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D1E45" w:rsidRPr="0074366C" w:rsidRDefault="002D1E45" w:rsidP="0074366C">
      <w:pPr>
        <w:spacing w:after="0" w:line="240" w:lineRule="auto"/>
        <w:jc w:val="right"/>
        <w:rPr>
          <w:rFonts w:ascii="Times New Roman" w:hAnsi="Times New Roman"/>
          <w:sz w:val="28"/>
          <w:szCs w:val="28"/>
        </w:rPr>
      </w:pPr>
      <w:r w:rsidRPr="0074366C">
        <w:rPr>
          <w:rFonts w:ascii="Times New Roman" w:hAnsi="Times New Roman"/>
          <w:sz w:val="28"/>
          <w:szCs w:val="28"/>
        </w:rPr>
        <w:t>Приложение</w:t>
      </w:r>
    </w:p>
    <w:p w:rsidR="002D1E45" w:rsidRPr="0074366C" w:rsidRDefault="002D1E45" w:rsidP="0074366C">
      <w:pPr>
        <w:spacing w:after="0" w:line="240" w:lineRule="auto"/>
        <w:jc w:val="right"/>
        <w:rPr>
          <w:rFonts w:ascii="Times New Roman" w:hAnsi="Times New Roman"/>
          <w:sz w:val="28"/>
          <w:szCs w:val="28"/>
        </w:rPr>
      </w:pPr>
      <w:r w:rsidRPr="0074366C">
        <w:rPr>
          <w:rFonts w:ascii="Times New Roman" w:hAnsi="Times New Roman"/>
          <w:sz w:val="28"/>
          <w:szCs w:val="28"/>
        </w:rPr>
        <w:t>к Решению Совета депутатов</w:t>
      </w:r>
    </w:p>
    <w:p w:rsidR="002D1E45" w:rsidRPr="0074366C" w:rsidRDefault="002D1E45" w:rsidP="0074366C">
      <w:pPr>
        <w:spacing w:after="0" w:line="240" w:lineRule="auto"/>
        <w:jc w:val="right"/>
        <w:rPr>
          <w:rFonts w:ascii="Times New Roman" w:hAnsi="Times New Roman"/>
          <w:sz w:val="28"/>
          <w:szCs w:val="28"/>
        </w:rPr>
      </w:pPr>
      <w:r w:rsidRPr="0074366C">
        <w:rPr>
          <w:rFonts w:ascii="Times New Roman" w:hAnsi="Times New Roman"/>
          <w:sz w:val="28"/>
          <w:szCs w:val="28"/>
        </w:rPr>
        <w:t xml:space="preserve">города Куйбышева </w:t>
      </w:r>
    </w:p>
    <w:p w:rsidR="002D1E45" w:rsidRPr="0074366C" w:rsidRDefault="002D1E45" w:rsidP="0074366C">
      <w:pPr>
        <w:spacing w:after="0" w:line="240" w:lineRule="auto"/>
        <w:jc w:val="right"/>
        <w:rPr>
          <w:rFonts w:ascii="Times New Roman" w:hAnsi="Times New Roman"/>
          <w:sz w:val="28"/>
          <w:szCs w:val="28"/>
        </w:rPr>
      </w:pPr>
      <w:r w:rsidRPr="0074366C">
        <w:rPr>
          <w:rFonts w:ascii="Times New Roman" w:hAnsi="Times New Roman"/>
          <w:sz w:val="28"/>
          <w:szCs w:val="28"/>
        </w:rPr>
        <w:t>Куйбышевского района</w:t>
      </w:r>
    </w:p>
    <w:p w:rsidR="002D1E45" w:rsidRPr="0074366C" w:rsidRDefault="002D1E45" w:rsidP="0074366C">
      <w:pPr>
        <w:spacing w:after="0" w:line="240" w:lineRule="auto"/>
        <w:jc w:val="right"/>
        <w:rPr>
          <w:rFonts w:ascii="Times New Roman" w:hAnsi="Times New Roman"/>
          <w:sz w:val="28"/>
          <w:szCs w:val="28"/>
        </w:rPr>
      </w:pPr>
      <w:r w:rsidRPr="0074366C">
        <w:rPr>
          <w:rFonts w:ascii="Times New Roman" w:hAnsi="Times New Roman"/>
          <w:sz w:val="28"/>
          <w:szCs w:val="28"/>
        </w:rPr>
        <w:t>Новосибирской области</w:t>
      </w:r>
    </w:p>
    <w:p w:rsidR="002D1E45" w:rsidRPr="0074366C" w:rsidRDefault="002D1E45" w:rsidP="0074366C">
      <w:pPr>
        <w:spacing w:after="0" w:line="240" w:lineRule="auto"/>
        <w:jc w:val="right"/>
        <w:rPr>
          <w:rFonts w:ascii="Times New Roman" w:hAnsi="Times New Roman"/>
          <w:sz w:val="28"/>
          <w:szCs w:val="28"/>
        </w:rPr>
      </w:pPr>
      <w:r w:rsidRPr="0074366C">
        <w:rPr>
          <w:rFonts w:ascii="Times New Roman" w:hAnsi="Times New Roman"/>
          <w:sz w:val="28"/>
          <w:szCs w:val="28"/>
        </w:rPr>
        <w:t>от 14.10.2021 № 28</w:t>
      </w:r>
    </w:p>
    <w:p w:rsidR="002D1E45" w:rsidRPr="0074366C" w:rsidRDefault="002D1E45" w:rsidP="0074366C">
      <w:pPr>
        <w:spacing w:after="0" w:line="240" w:lineRule="auto"/>
        <w:jc w:val="right"/>
        <w:rPr>
          <w:rFonts w:ascii="Times New Roman" w:hAnsi="Times New Roman"/>
          <w:sz w:val="28"/>
          <w:szCs w:val="28"/>
        </w:rPr>
      </w:pPr>
      <w:r w:rsidRPr="0074366C">
        <w:rPr>
          <w:rFonts w:ascii="Times New Roman" w:hAnsi="Times New Roman"/>
          <w:sz w:val="28"/>
          <w:szCs w:val="28"/>
        </w:rPr>
        <w:t>Изменения внесены Решением</w:t>
      </w:r>
    </w:p>
    <w:p w:rsidR="002D1E45" w:rsidRPr="0074366C" w:rsidRDefault="002D1E45" w:rsidP="0074366C">
      <w:pPr>
        <w:spacing w:after="0" w:line="240" w:lineRule="auto"/>
        <w:jc w:val="right"/>
        <w:rPr>
          <w:rFonts w:ascii="Times New Roman" w:hAnsi="Times New Roman"/>
          <w:sz w:val="28"/>
          <w:szCs w:val="28"/>
        </w:rPr>
      </w:pPr>
      <w:r w:rsidRPr="0074366C">
        <w:rPr>
          <w:rFonts w:ascii="Times New Roman" w:hAnsi="Times New Roman"/>
          <w:sz w:val="28"/>
          <w:szCs w:val="28"/>
        </w:rPr>
        <w:t>Совета депутатов г.Куйбышева</w:t>
      </w:r>
    </w:p>
    <w:p w:rsidR="002D1E45" w:rsidRPr="0074366C" w:rsidRDefault="002D1E45" w:rsidP="0074366C">
      <w:pPr>
        <w:spacing w:after="0" w:line="240" w:lineRule="auto"/>
        <w:jc w:val="right"/>
        <w:rPr>
          <w:rFonts w:ascii="Times New Roman" w:hAnsi="Times New Roman"/>
          <w:sz w:val="28"/>
          <w:szCs w:val="28"/>
        </w:rPr>
      </w:pPr>
      <w:r w:rsidRPr="0074366C">
        <w:rPr>
          <w:rFonts w:ascii="Times New Roman" w:hAnsi="Times New Roman"/>
          <w:sz w:val="28"/>
          <w:szCs w:val="28"/>
        </w:rPr>
        <w:t>от 09.02.2022 № 65</w:t>
      </w:r>
    </w:p>
    <w:p w:rsidR="002D1E45" w:rsidRDefault="002D1E45" w:rsidP="0074366C">
      <w:pPr>
        <w:spacing w:after="0" w:line="240" w:lineRule="auto"/>
        <w:jc w:val="right"/>
        <w:rPr>
          <w:rFonts w:ascii="Times New Roman" w:hAnsi="Times New Roman"/>
          <w:sz w:val="28"/>
          <w:szCs w:val="28"/>
        </w:rPr>
      </w:pPr>
      <w:r w:rsidRPr="0074366C">
        <w:rPr>
          <w:rFonts w:ascii="Times New Roman" w:hAnsi="Times New Roman"/>
          <w:sz w:val="28"/>
          <w:szCs w:val="28"/>
        </w:rPr>
        <w:t>от 24.05.2022 № 93</w:t>
      </w:r>
    </w:p>
    <w:p w:rsidR="002D1E45" w:rsidRDefault="002D1E45" w:rsidP="0074366C">
      <w:pPr>
        <w:spacing w:after="0" w:line="240" w:lineRule="auto"/>
        <w:jc w:val="right"/>
        <w:rPr>
          <w:rFonts w:ascii="Times New Roman" w:hAnsi="Times New Roman"/>
          <w:sz w:val="28"/>
          <w:szCs w:val="28"/>
        </w:rPr>
      </w:pPr>
      <w:r>
        <w:rPr>
          <w:rFonts w:ascii="Times New Roman" w:hAnsi="Times New Roman"/>
          <w:sz w:val="28"/>
          <w:szCs w:val="28"/>
        </w:rPr>
        <w:t>от 24.10.2022 № 152</w:t>
      </w:r>
    </w:p>
    <w:p w:rsidR="002D1E45" w:rsidRDefault="002D1E45" w:rsidP="0074366C">
      <w:pPr>
        <w:spacing w:after="0" w:line="240" w:lineRule="auto"/>
        <w:jc w:val="right"/>
        <w:rPr>
          <w:rFonts w:ascii="Times New Roman" w:hAnsi="Times New Roman"/>
          <w:sz w:val="28"/>
          <w:szCs w:val="28"/>
        </w:rPr>
      </w:pPr>
      <w:r w:rsidRPr="00CF735E">
        <w:rPr>
          <w:rFonts w:ascii="Times New Roman" w:hAnsi="Times New Roman"/>
          <w:sz w:val="28"/>
          <w:szCs w:val="28"/>
        </w:rPr>
        <w:t>от 14.12.2022 № 165</w:t>
      </w:r>
    </w:p>
    <w:p w:rsidR="002D1E45" w:rsidRPr="00852938" w:rsidRDefault="002D1E45" w:rsidP="0074366C">
      <w:pPr>
        <w:spacing w:after="0" w:line="240" w:lineRule="auto"/>
        <w:jc w:val="right"/>
        <w:rPr>
          <w:rFonts w:ascii="Times New Roman" w:hAnsi="Times New Roman"/>
          <w:sz w:val="28"/>
          <w:szCs w:val="28"/>
          <w:lang w:eastAsia="ru-RU"/>
        </w:rPr>
      </w:pPr>
      <w:r w:rsidRPr="00852938">
        <w:rPr>
          <w:rFonts w:ascii="Times New Roman" w:hAnsi="Times New Roman"/>
          <w:sz w:val="28"/>
          <w:szCs w:val="28"/>
        </w:rPr>
        <w:t>от 15.03.2023 № 193</w:t>
      </w:r>
    </w:p>
    <w:p w:rsidR="002D1E45" w:rsidRDefault="002D1E45" w:rsidP="00DB51A7">
      <w:pPr>
        <w:spacing w:after="0"/>
        <w:jc w:val="center"/>
        <w:rPr>
          <w:rFonts w:ascii="Times New Roman" w:hAnsi="Times New Roman"/>
          <w:b/>
          <w:sz w:val="48"/>
          <w:szCs w:val="48"/>
        </w:rPr>
      </w:pPr>
    </w:p>
    <w:p w:rsidR="002D1E45" w:rsidRDefault="002D1E45" w:rsidP="00DB51A7">
      <w:pPr>
        <w:spacing w:after="0"/>
        <w:jc w:val="center"/>
        <w:rPr>
          <w:rFonts w:ascii="Times New Roman" w:hAnsi="Times New Roman"/>
          <w:b/>
          <w:sz w:val="48"/>
          <w:szCs w:val="48"/>
        </w:rPr>
      </w:pPr>
      <w:bookmarkStart w:id="0" w:name="_GoBack"/>
      <w:bookmarkEnd w:id="0"/>
    </w:p>
    <w:p w:rsidR="002D1E45" w:rsidRDefault="002D1E45" w:rsidP="00DB51A7">
      <w:pPr>
        <w:spacing w:after="0"/>
        <w:jc w:val="center"/>
        <w:rPr>
          <w:rFonts w:ascii="Times New Roman" w:hAnsi="Times New Roman"/>
          <w:b/>
          <w:sz w:val="48"/>
          <w:szCs w:val="48"/>
        </w:rPr>
      </w:pPr>
    </w:p>
    <w:p w:rsidR="002D1E45" w:rsidRPr="00A91B9A" w:rsidRDefault="002D1E45" w:rsidP="004B2918">
      <w:pPr>
        <w:spacing w:after="0" w:line="240" w:lineRule="auto"/>
        <w:jc w:val="center"/>
        <w:rPr>
          <w:rFonts w:ascii="Times New Roman" w:hAnsi="Times New Roman"/>
          <w:b/>
          <w:sz w:val="48"/>
          <w:szCs w:val="48"/>
        </w:rPr>
      </w:pPr>
      <w:r w:rsidRPr="00A91B9A">
        <w:rPr>
          <w:rFonts w:ascii="Times New Roman" w:hAnsi="Times New Roman"/>
          <w:b/>
          <w:sz w:val="48"/>
          <w:szCs w:val="48"/>
          <w:lang w:eastAsia="ru-RU"/>
        </w:rPr>
        <w:t>ГЕНЕРАЛЬНЫЙ ПЛАН</w:t>
      </w:r>
    </w:p>
    <w:p w:rsidR="002D1E45" w:rsidRPr="00A43177" w:rsidRDefault="002D1E45" w:rsidP="00A43177">
      <w:pPr>
        <w:spacing w:after="0" w:line="240" w:lineRule="auto"/>
        <w:jc w:val="center"/>
        <w:rPr>
          <w:rFonts w:ascii="Times New Roman" w:hAnsi="Times New Roman"/>
          <w:b/>
          <w:sz w:val="48"/>
          <w:szCs w:val="48"/>
        </w:rPr>
      </w:pPr>
      <w:r w:rsidRPr="00A43177">
        <w:rPr>
          <w:rFonts w:ascii="Times New Roman" w:hAnsi="Times New Roman"/>
          <w:b/>
          <w:sz w:val="48"/>
          <w:szCs w:val="48"/>
        </w:rPr>
        <w:t xml:space="preserve">города Куйбышева </w:t>
      </w:r>
    </w:p>
    <w:p w:rsidR="002D1E45" w:rsidRPr="00BB782C" w:rsidRDefault="002D1E45" w:rsidP="00A43177">
      <w:pPr>
        <w:spacing w:after="0" w:line="240" w:lineRule="auto"/>
        <w:jc w:val="center"/>
        <w:rPr>
          <w:rFonts w:ascii="Times New Roman" w:hAnsi="Times New Roman"/>
          <w:b/>
          <w:sz w:val="44"/>
          <w:szCs w:val="40"/>
          <w:lang w:eastAsia="ru-RU"/>
        </w:rPr>
      </w:pPr>
      <w:r w:rsidRPr="00A43177">
        <w:rPr>
          <w:rFonts w:ascii="Times New Roman" w:hAnsi="Times New Roman"/>
          <w:b/>
          <w:sz w:val="48"/>
          <w:szCs w:val="48"/>
        </w:rPr>
        <w:t xml:space="preserve">Куйбышевского района </w:t>
      </w:r>
      <w:r>
        <w:rPr>
          <w:rFonts w:ascii="Times New Roman" w:hAnsi="Times New Roman"/>
          <w:b/>
          <w:sz w:val="48"/>
          <w:szCs w:val="48"/>
        </w:rPr>
        <w:br/>
      </w:r>
      <w:r w:rsidRPr="00A43177">
        <w:rPr>
          <w:rFonts w:ascii="Times New Roman" w:hAnsi="Times New Roman"/>
          <w:b/>
          <w:sz w:val="48"/>
          <w:szCs w:val="48"/>
        </w:rPr>
        <w:t>Новосибирской области</w:t>
      </w:r>
    </w:p>
    <w:p w:rsidR="002D1E45" w:rsidRPr="00BB782C" w:rsidRDefault="002D1E45" w:rsidP="00BB782C">
      <w:pPr>
        <w:spacing w:after="0" w:line="240" w:lineRule="auto"/>
        <w:rPr>
          <w:rFonts w:ascii="Times New Roman" w:hAnsi="Times New Roman"/>
          <w:b/>
          <w:sz w:val="32"/>
          <w:szCs w:val="32"/>
          <w:lang w:eastAsia="ru-RU"/>
        </w:rPr>
      </w:pPr>
      <w:r w:rsidRPr="00BB782C">
        <w:rPr>
          <w:rFonts w:ascii="Times New Roman" w:hAnsi="Times New Roman"/>
          <w:b/>
          <w:sz w:val="32"/>
          <w:szCs w:val="32"/>
          <w:lang w:eastAsia="ru-RU"/>
        </w:rPr>
        <w:t xml:space="preserve"> </w:t>
      </w:r>
    </w:p>
    <w:p w:rsidR="002D1E45" w:rsidRPr="00BB782C" w:rsidRDefault="002D1E45" w:rsidP="00BB782C">
      <w:pPr>
        <w:spacing w:after="0" w:line="240" w:lineRule="auto"/>
        <w:jc w:val="center"/>
        <w:rPr>
          <w:rFonts w:ascii="Times New Roman" w:hAnsi="Times New Roman"/>
          <w:b/>
          <w:sz w:val="44"/>
          <w:szCs w:val="44"/>
          <w:lang w:eastAsia="ru-RU"/>
        </w:rPr>
      </w:pPr>
    </w:p>
    <w:p w:rsidR="002D1E45" w:rsidRPr="00BB782C" w:rsidRDefault="002D1E45" w:rsidP="00BB782C">
      <w:pPr>
        <w:spacing w:after="0" w:line="240" w:lineRule="auto"/>
        <w:jc w:val="center"/>
        <w:rPr>
          <w:rFonts w:ascii="Times New Roman" w:hAnsi="Times New Roman"/>
          <w:b/>
          <w:sz w:val="44"/>
          <w:szCs w:val="44"/>
          <w:lang w:eastAsia="ru-RU"/>
        </w:rPr>
      </w:pPr>
      <w:r w:rsidRPr="00BB782C">
        <w:rPr>
          <w:rFonts w:ascii="Times New Roman" w:hAnsi="Times New Roman"/>
          <w:b/>
          <w:sz w:val="44"/>
          <w:szCs w:val="44"/>
          <w:lang w:eastAsia="ru-RU"/>
        </w:rPr>
        <w:t>Материалы по</w:t>
      </w:r>
      <w:r>
        <w:rPr>
          <w:rFonts w:ascii="Times New Roman" w:hAnsi="Times New Roman"/>
          <w:b/>
          <w:sz w:val="44"/>
          <w:szCs w:val="44"/>
          <w:lang w:eastAsia="ru-RU"/>
        </w:rPr>
        <w:t> </w:t>
      </w:r>
      <w:r w:rsidRPr="00BB782C">
        <w:rPr>
          <w:rFonts w:ascii="Times New Roman" w:hAnsi="Times New Roman"/>
          <w:b/>
          <w:sz w:val="44"/>
          <w:szCs w:val="44"/>
          <w:lang w:eastAsia="ru-RU"/>
        </w:rPr>
        <w:t xml:space="preserve">обоснованию </w:t>
      </w:r>
      <w:r w:rsidRPr="00BB782C">
        <w:rPr>
          <w:rFonts w:ascii="Times New Roman" w:hAnsi="Times New Roman"/>
          <w:b/>
          <w:sz w:val="44"/>
          <w:szCs w:val="44"/>
          <w:lang w:eastAsia="ru-RU"/>
        </w:rPr>
        <w:br/>
      </w:r>
    </w:p>
    <w:p w:rsidR="002D1E45" w:rsidRPr="00BB782C" w:rsidRDefault="002D1E45" w:rsidP="00BB782C">
      <w:pPr>
        <w:spacing w:after="0" w:line="240" w:lineRule="auto"/>
        <w:jc w:val="center"/>
        <w:rPr>
          <w:rFonts w:ascii="Times New Roman" w:hAnsi="Times New Roman"/>
          <w:b/>
          <w:sz w:val="40"/>
          <w:szCs w:val="40"/>
          <w:lang w:eastAsia="ru-RU"/>
        </w:rPr>
      </w:pPr>
    </w:p>
    <w:p w:rsidR="002D1E45" w:rsidRPr="00BB782C" w:rsidRDefault="002D1E45" w:rsidP="00BB782C">
      <w:pPr>
        <w:spacing w:after="0" w:line="240" w:lineRule="auto"/>
        <w:jc w:val="center"/>
        <w:rPr>
          <w:rFonts w:ascii="Times New Roman" w:hAnsi="Times New Roman"/>
          <w:b/>
          <w:sz w:val="44"/>
          <w:szCs w:val="40"/>
          <w:lang w:eastAsia="ru-RU"/>
        </w:rPr>
      </w:pPr>
      <w:r w:rsidRPr="00BB782C">
        <w:rPr>
          <w:rFonts w:ascii="Times New Roman" w:hAnsi="Times New Roman"/>
          <w:b/>
          <w:sz w:val="44"/>
          <w:szCs w:val="40"/>
          <w:lang w:eastAsia="ru-RU"/>
        </w:rPr>
        <w:t>Том II</w:t>
      </w:r>
    </w:p>
    <w:p w:rsidR="002D1E45" w:rsidRPr="00BB782C" w:rsidRDefault="002D1E45" w:rsidP="00BB782C">
      <w:pPr>
        <w:spacing w:after="0" w:line="240" w:lineRule="auto"/>
        <w:jc w:val="center"/>
        <w:rPr>
          <w:rFonts w:ascii="Times New Roman" w:hAnsi="Times New Roman"/>
          <w:sz w:val="24"/>
          <w:szCs w:val="24"/>
          <w:lang w:eastAsia="ru-RU"/>
        </w:rPr>
      </w:pPr>
    </w:p>
    <w:p w:rsidR="002D1E45" w:rsidRPr="00BB782C" w:rsidRDefault="002D1E45" w:rsidP="00BB782C">
      <w:pPr>
        <w:spacing w:after="0" w:line="240" w:lineRule="auto"/>
        <w:jc w:val="center"/>
        <w:rPr>
          <w:rFonts w:ascii="Times New Roman" w:hAnsi="Times New Roman"/>
          <w:b/>
          <w:color w:val="000000"/>
          <w:sz w:val="32"/>
          <w:szCs w:val="32"/>
          <w:lang w:eastAsia="ru-RU"/>
        </w:rPr>
      </w:pPr>
    </w:p>
    <w:p w:rsidR="002D1E45" w:rsidRPr="00BB782C" w:rsidRDefault="002D1E45" w:rsidP="00BB782C">
      <w:pPr>
        <w:spacing w:after="0" w:line="240" w:lineRule="auto"/>
        <w:jc w:val="center"/>
        <w:rPr>
          <w:rFonts w:ascii="Times New Roman" w:hAnsi="Times New Roman"/>
          <w:sz w:val="28"/>
          <w:szCs w:val="28"/>
          <w:lang w:eastAsia="ru-RU"/>
        </w:rPr>
      </w:pPr>
    </w:p>
    <w:p w:rsidR="002D1E45" w:rsidRDefault="002D1E45" w:rsidP="00A91B9A">
      <w:pPr>
        <w:spacing w:after="0" w:line="240" w:lineRule="auto"/>
        <w:rPr>
          <w:rFonts w:ascii="Times New Roman" w:hAnsi="Times New Roman"/>
          <w:sz w:val="28"/>
          <w:szCs w:val="28"/>
          <w:lang w:eastAsia="ru-RU"/>
        </w:rPr>
      </w:pPr>
    </w:p>
    <w:p w:rsidR="002D1E45" w:rsidRDefault="002D1E45" w:rsidP="00A91B9A">
      <w:pPr>
        <w:spacing w:after="0" w:line="240" w:lineRule="auto"/>
        <w:rPr>
          <w:rFonts w:ascii="Times New Roman" w:hAnsi="Times New Roman"/>
          <w:sz w:val="28"/>
          <w:szCs w:val="28"/>
          <w:lang w:eastAsia="ru-RU"/>
        </w:rPr>
      </w:pPr>
    </w:p>
    <w:p w:rsidR="002D1E45" w:rsidRDefault="002D1E45" w:rsidP="00A91B9A">
      <w:pPr>
        <w:spacing w:after="0" w:line="240" w:lineRule="auto"/>
        <w:rPr>
          <w:rFonts w:ascii="Times New Roman" w:hAnsi="Times New Roman"/>
          <w:sz w:val="28"/>
          <w:szCs w:val="28"/>
          <w:lang w:eastAsia="ru-RU"/>
        </w:rPr>
      </w:pPr>
    </w:p>
    <w:p w:rsidR="002D1E45" w:rsidRDefault="002D1E45" w:rsidP="00A91B9A">
      <w:pPr>
        <w:spacing w:after="0" w:line="240" w:lineRule="auto"/>
        <w:rPr>
          <w:rFonts w:ascii="Times New Roman" w:hAnsi="Times New Roman"/>
          <w:sz w:val="28"/>
          <w:szCs w:val="28"/>
          <w:lang w:eastAsia="ru-RU"/>
        </w:rPr>
      </w:pPr>
    </w:p>
    <w:p w:rsidR="002D1E45" w:rsidRPr="00BB782C" w:rsidRDefault="002D1E45" w:rsidP="00A91B9A">
      <w:pPr>
        <w:spacing w:after="0" w:line="240" w:lineRule="auto"/>
        <w:rPr>
          <w:rFonts w:ascii="Times New Roman" w:hAnsi="Times New Roman"/>
          <w:sz w:val="28"/>
          <w:szCs w:val="28"/>
          <w:lang w:eastAsia="ru-RU"/>
        </w:rPr>
      </w:pPr>
    </w:p>
    <w:p w:rsidR="002D1E45" w:rsidRPr="0061104C" w:rsidRDefault="002D1E45" w:rsidP="0061104C">
      <w:pPr>
        <w:spacing w:after="0"/>
        <w:jc w:val="center"/>
        <w:sectPr w:rsidR="002D1E45" w:rsidRPr="0061104C" w:rsidSect="003040BB">
          <w:headerReference w:type="default" r:id="rId7"/>
          <w:footerReference w:type="even" r:id="rId8"/>
          <w:headerReference w:type="first" r:id="rId9"/>
          <w:pgSz w:w="11906" w:h="16838"/>
          <w:pgMar w:top="1134" w:right="567" w:bottom="1134" w:left="1134" w:header="709" w:footer="709" w:gutter="0"/>
          <w:cols w:space="708"/>
          <w:titlePg/>
          <w:docGrid w:linePitch="360"/>
        </w:sectPr>
      </w:pPr>
      <w:bookmarkStart w:id="1" w:name="_Hlk5977275"/>
      <w:r>
        <w:rPr>
          <w:rFonts w:ascii="Times New Roman" w:hAnsi="Times New Roman"/>
          <w:sz w:val="28"/>
          <w:szCs w:val="28"/>
          <w:lang w:eastAsia="ru-RU"/>
        </w:rPr>
        <w:t>г. Куйбышев</w:t>
      </w:r>
      <w:r w:rsidRPr="00BB782C">
        <w:rPr>
          <w:rFonts w:ascii="Times New Roman" w:hAnsi="Times New Roman"/>
          <w:sz w:val="28"/>
          <w:szCs w:val="28"/>
          <w:lang w:eastAsia="ru-RU"/>
        </w:rPr>
        <w:t xml:space="preserve">, </w:t>
      </w:r>
      <w:r>
        <w:rPr>
          <w:rFonts w:ascii="Times New Roman" w:hAnsi="Times New Roman"/>
          <w:sz w:val="28"/>
          <w:szCs w:val="28"/>
          <w:lang w:eastAsia="ru-RU"/>
        </w:rPr>
        <w:t>2021</w:t>
      </w:r>
    </w:p>
    <w:bookmarkEnd w:id="1"/>
    <w:p w:rsidR="002D1E45" w:rsidRPr="00DE0A01" w:rsidRDefault="002D1E45" w:rsidP="00971927">
      <w:pPr>
        <w:pStyle w:val="TOCHeading"/>
        <w:jc w:val="center"/>
        <w:rPr>
          <w:rFonts w:ascii="Times New Roman" w:hAnsi="Times New Roman"/>
          <w:b w:val="0"/>
          <w:color w:val="auto"/>
        </w:rPr>
      </w:pPr>
      <w:r w:rsidRPr="00DE0A01">
        <w:rPr>
          <w:rFonts w:ascii="Times New Roman" w:hAnsi="Times New Roman"/>
          <w:b w:val="0"/>
          <w:color w:val="auto"/>
        </w:rPr>
        <w:t>СОДЕРЖАНИЕ</w:t>
      </w:r>
    </w:p>
    <w:p w:rsidR="002D1E45" w:rsidRPr="00DE0A01" w:rsidRDefault="002D1E45" w:rsidP="00DE0A01">
      <w:pPr>
        <w:rPr>
          <w:lang w:eastAsia="ru-RU"/>
        </w:rPr>
      </w:pPr>
    </w:p>
    <w:p w:rsidR="002D1E45" w:rsidRDefault="002D1E45">
      <w:pPr>
        <w:pStyle w:val="TOC1"/>
        <w:rPr>
          <w:rFonts w:ascii="Calibri" w:hAnsi="Calibri"/>
          <w:b w:val="0"/>
          <w:spacing w:val="0"/>
          <w:kern w:val="0"/>
          <w:sz w:val="22"/>
          <w:szCs w:val="22"/>
          <w:lang w:eastAsia="ru-RU"/>
        </w:rPr>
      </w:pPr>
      <w:r w:rsidRPr="007D1CC7">
        <w:rPr>
          <w:lang w:eastAsia="ru-RU"/>
        </w:rPr>
        <w:fldChar w:fldCharType="begin"/>
      </w:r>
      <w:r w:rsidRPr="007D1CC7">
        <w:rPr>
          <w:lang w:eastAsia="ru-RU"/>
        </w:rPr>
        <w:instrText xml:space="preserve"> TOC \h \z \t "Заголовок 1;1;Заголовок 2;2;Заголовок 3;3" </w:instrText>
      </w:r>
      <w:r w:rsidRPr="007D1CC7">
        <w:rPr>
          <w:lang w:eastAsia="ru-RU"/>
        </w:rPr>
        <w:fldChar w:fldCharType="separate"/>
      </w:r>
      <w:hyperlink w:anchor="_Toc84936003" w:history="1">
        <w:r w:rsidRPr="00664676">
          <w:rPr>
            <w:rStyle w:val="Hyperlink"/>
          </w:rPr>
          <w:t>1.</w:t>
        </w:r>
        <w:r>
          <w:rPr>
            <w:rFonts w:ascii="Calibri" w:hAnsi="Calibri"/>
            <w:b w:val="0"/>
            <w:spacing w:val="0"/>
            <w:kern w:val="0"/>
            <w:sz w:val="22"/>
            <w:szCs w:val="22"/>
            <w:lang w:eastAsia="ru-RU"/>
          </w:rPr>
          <w:tab/>
        </w:r>
        <w:r w:rsidRPr="00664676">
          <w:rPr>
            <w:rStyle w:val="Hyperlink"/>
          </w:rPr>
          <w:t>Общие положения</w:t>
        </w:r>
        <w:r>
          <w:rPr>
            <w:webHidden/>
          </w:rPr>
          <w:tab/>
        </w:r>
        <w:r>
          <w:rPr>
            <w:webHidden/>
          </w:rPr>
          <w:fldChar w:fldCharType="begin"/>
        </w:r>
        <w:r>
          <w:rPr>
            <w:webHidden/>
          </w:rPr>
          <w:instrText xml:space="preserve"> PAGEREF _Toc84936003 \h </w:instrText>
        </w:r>
        <w:r>
          <w:rPr>
            <w:webHidden/>
          </w:rPr>
          <w:fldChar w:fldCharType="separate"/>
        </w:r>
        <w:r>
          <w:rPr>
            <w:webHidden/>
          </w:rPr>
          <w:t>3</w:t>
        </w:r>
        <w:r>
          <w:rPr>
            <w:webHidden/>
          </w:rPr>
          <w:fldChar w:fldCharType="end"/>
        </w:r>
      </w:hyperlink>
    </w:p>
    <w:p w:rsidR="002D1E45" w:rsidRDefault="002D1E45">
      <w:pPr>
        <w:pStyle w:val="TOC2"/>
        <w:rPr>
          <w:rFonts w:ascii="Calibri" w:hAnsi="Calibri"/>
          <w:sz w:val="22"/>
          <w:szCs w:val="22"/>
        </w:rPr>
      </w:pPr>
      <w:hyperlink w:anchor="_Toc84936004" w:history="1">
        <w:r w:rsidRPr="00664676">
          <w:rPr>
            <w:rStyle w:val="Hyperlink"/>
            <w:b/>
          </w:rPr>
          <w:t>1.1.</w:t>
        </w:r>
        <w:r>
          <w:rPr>
            <w:rFonts w:ascii="Calibri" w:hAnsi="Calibri"/>
            <w:sz w:val="22"/>
            <w:szCs w:val="22"/>
          </w:rPr>
          <w:tab/>
        </w:r>
        <w:r w:rsidRPr="00664676">
          <w:rPr>
            <w:rStyle w:val="Hyperlink"/>
            <w:b/>
          </w:rPr>
          <w:t>Перечень применяемых в тексте сокращений</w:t>
        </w:r>
        <w:r>
          <w:rPr>
            <w:webHidden/>
          </w:rPr>
          <w:tab/>
        </w:r>
        <w:r>
          <w:rPr>
            <w:webHidden/>
          </w:rPr>
          <w:fldChar w:fldCharType="begin"/>
        </w:r>
        <w:r>
          <w:rPr>
            <w:webHidden/>
          </w:rPr>
          <w:instrText xml:space="preserve"> PAGEREF _Toc84936004 \h </w:instrText>
        </w:r>
        <w:r>
          <w:rPr>
            <w:webHidden/>
          </w:rPr>
          <w:fldChar w:fldCharType="separate"/>
        </w:r>
        <w:r>
          <w:rPr>
            <w:webHidden/>
          </w:rPr>
          <w:t>3</w:t>
        </w:r>
        <w:r>
          <w:rPr>
            <w:webHidden/>
          </w:rPr>
          <w:fldChar w:fldCharType="end"/>
        </w:r>
      </w:hyperlink>
    </w:p>
    <w:p w:rsidR="002D1E45" w:rsidRDefault="002D1E45">
      <w:pPr>
        <w:pStyle w:val="TOC2"/>
        <w:rPr>
          <w:rFonts w:ascii="Calibri" w:hAnsi="Calibri"/>
          <w:sz w:val="22"/>
          <w:szCs w:val="22"/>
        </w:rPr>
      </w:pPr>
      <w:hyperlink w:anchor="_Toc84936005" w:history="1">
        <w:r w:rsidRPr="00664676">
          <w:rPr>
            <w:rStyle w:val="Hyperlink"/>
            <w:b/>
          </w:rPr>
          <w:t>1.2.</w:t>
        </w:r>
        <w:r>
          <w:rPr>
            <w:rFonts w:ascii="Calibri" w:hAnsi="Calibri"/>
            <w:sz w:val="22"/>
            <w:szCs w:val="22"/>
          </w:rPr>
          <w:tab/>
        </w:r>
        <w:r w:rsidRPr="00664676">
          <w:rPr>
            <w:rStyle w:val="Hyperlink"/>
            <w:b/>
          </w:rPr>
          <w:t>Состав генерального плана</w:t>
        </w:r>
        <w:r>
          <w:rPr>
            <w:webHidden/>
          </w:rPr>
          <w:tab/>
        </w:r>
        <w:r>
          <w:rPr>
            <w:webHidden/>
          </w:rPr>
          <w:fldChar w:fldCharType="begin"/>
        </w:r>
        <w:r>
          <w:rPr>
            <w:webHidden/>
          </w:rPr>
          <w:instrText xml:space="preserve"> PAGEREF _Toc84936005 \h </w:instrText>
        </w:r>
        <w:r>
          <w:rPr>
            <w:webHidden/>
          </w:rPr>
          <w:fldChar w:fldCharType="separate"/>
        </w:r>
        <w:r>
          <w:rPr>
            <w:webHidden/>
          </w:rPr>
          <w:t>3</w:t>
        </w:r>
        <w:r>
          <w:rPr>
            <w:webHidden/>
          </w:rPr>
          <w:fldChar w:fldCharType="end"/>
        </w:r>
      </w:hyperlink>
    </w:p>
    <w:p w:rsidR="002D1E45" w:rsidRDefault="002D1E45">
      <w:pPr>
        <w:pStyle w:val="TOC2"/>
        <w:rPr>
          <w:rFonts w:ascii="Calibri" w:hAnsi="Calibri"/>
          <w:sz w:val="22"/>
          <w:szCs w:val="22"/>
        </w:rPr>
      </w:pPr>
      <w:hyperlink w:anchor="_Toc84936006" w:history="1">
        <w:r w:rsidRPr="00664676">
          <w:rPr>
            <w:rStyle w:val="Hyperlink"/>
            <w:b/>
          </w:rPr>
          <w:t>1.3.</w:t>
        </w:r>
        <w:r>
          <w:rPr>
            <w:rFonts w:ascii="Calibri" w:hAnsi="Calibri"/>
            <w:sz w:val="22"/>
            <w:szCs w:val="22"/>
          </w:rPr>
          <w:tab/>
        </w:r>
        <w:r w:rsidRPr="00664676">
          <w:rPr>
            <w:rStyle w:val="Hyperlink"/>
            <w:b/>
          </w:rPr>
          <w:t>Введение</w:t>
        </w:r>
        <w:r>
          <w:rPr>
            <w:webHidden/>
          </w:rPr>
          <w:tab/>
        </w:r>
        <w:r>
          <w:rPr>
            <w:webHidden/>
          </w:rPr>
          <w:fldChar w:fldCharType="begin"/>
        </w:r>
        <w:r>
          <w:rPr>
            <w:webHidden/>
          </w:rPr>
          <w:instrText xml:space="preserve"> PAGEREF _Toc84936006 \h </w:instrText>
        </w:r>
        <w:r>
          <w:rPr>
            <w:webHidden/>
          </w:rPr>
          <w:fldChar w:fldCharType="separate"/>
        </w:r>
        <w:r>
          <w:rPr>
            <w:webHidden/>
          </w:rPr>
          <w:t>3</w:t>
        </w:r>
        <w:r>
          <w:rPr>
            <w:webHidden/>
          </w:rPr>
          <w:fldChar w:fldCharType="end"/>
        </w:r>
      </w:hyperlink>
    </w:p>
    <w:p w:rsidR="002D1E45" w:rsidRDefault="002D1E45">
      <w:pPr>
        <w:pStyle w:val="TOC1"/>
        <w:rPr>
          <w:rFonts w:ascii="Calibri" w:hAnsi="Calibri"/>
          <w:b w:val="0"/>
          <w:spacing w:val="0"/>
          <w:kern w:val="0"/>
          <w:sz w:val="22"/>
          <w:szCs w:val="22"/>
          <w:lang w:eastAsia="ru-RU"/>
        </w:rPr>
      </w:pPr>
      <w:hyperlink w:anchor="_Toc84936007" w:history="1">
        <w:r w:rsidRPr="00664676">
          <w:rPr>
            <w:rStyle w:val="Hyperlink"/>
          </w:rPr>
          <w:t>2.</w:t>
        </w:r>
        <w:r>
          <w:rPr>
            <w:rFonts w:ascii="Calibri" w:hAnsi="Calibri"/>
            <w:b w:val="0"/>
            <w:spacing w:val="0"/>
            <w:kern w:val="0"/>
            <w:sz w:val="22"/>
            <w:szCs w:val="22"/>
            <w:lang w:eastAsia="ru-RU"/>
          </w:rPr>
          <w:tab/>
        </w:r>
        <w:r w:rsidRPr="00664676">
          <w:rPr>
            <w:rStyle w:val="Hyperlink"/>
          </w:rPr>
          <w:t>Общая характеристика территории города Куйбышева</w:t>
        </w:r>
        <w:r>
          <w:rPr>
            <w:webHidden/>
          </w:rPr>
          <w:tab/>
        </w:r>
        <w:r>
          <w:rPr>
            <w:webHidden/>
          </w:rPr>
          <w:fldChar w:fldCharType="begin"/>
        </w:r>
        <w:r>
          <w:rPr>
            <w:webHidden/>
          </w:rPr>
          <w:instrText xml:space="preserve"> PAGEREF _Toc84936007 \h </w:instrText>
        </w:r>
        <w:r>
          <w:rPr>
            <w:webHidden/>
          </w:rPr>
          <w:fldChar w:fldCharType="separate"/>
        </w:r>
        <w:r>
          <w:rPr>
            <w:webHidden/>
          </w:rPr>
          <w:t>3</w:t>
        </w:r>
        <w:r>
          <w:rPr>
            <w:webHidden/>
          </w:rPr>
          <w:fldChar w:fldCharType="end"/>
        </w:r>
      </w:hyperlink>
    </w:p>
    <w:p w:rsidR="002D1E45" w:rsidRDefault="002D1E45">
      <w:pPr>
        <w:pStyle w:val="TOC2"/>
        <w:rPr>
          <w:rFonts w:ascii="Calibri" w:hAnsi="Calibri"/>
          <w:sz w:val="22"/>
          <w:szCs w:val="22"/>
        </w:rPr>
      </w:pPr>
      <w:hyperlink w:anchor="_Toc84936008" w:history="1">
        <w:r w:rsidRPr="00664676">
          <w:rPr>
            <w:rStyle w:val="Hyperlink"/>
            <w:b/>
          </w:rPr>
          <w:t>2.1.</w:t>
        </w:r>
        <w:r>
          <w:rPr>
            <w:rFonts w:ascii="Calibri" w:hAnsi="Calibri"/>
            <w:sz w:val="22"/>
            <w:szCs w:val="22"/>
          </w:rPr>
          <w:tab/>
        </w:r>
        <w:r w:rsidRPr="00664676">
          <w:rPr>
            <w:rStyle w:val="Hyperlink"/>
            <w:b/>
          </w:rPr>
          <w:t>Местоположение города Куйбышева в системе расселения Куйбышевского района</w:t>
        </w:r>
        <w:r>
          <w:rPr>
            <w:webHidden/>
          </w:rPr>
          <w:tab/>
        </w:r>
        <w:r>
          <w:rPr>
            <w:webHidden/>
          </w:rPr>
          <w:fldChar w:fldCharType="begin"/>
        </w:r>
        <w:r>
          <w:rPr>
            <w:webHidden/>
          </w:rPr>
          <w:instrText xml:space="preserve"> PAGEREF _Toc84936008 \h </w:instrText>
        </w:r>
        <w:r>
          <w:rPr>
            <w:webHidden/>
          </w:rPr>
          <w:fldChar w:fldCharType="separate"/>
        </w:r>
        <w:r>
          <w:rPr>
            <w:webHidden/>
          </w:rPr>
          <w:t>3</w:t>
        </w:r>
        <w:r>
          <w:rPr>
            <w:webHidden/>
          </w:rPr>
          <w:fldChar w:fldCharType="end"/>
        </w:r>
      </w:hyperlink>
    </w:p>
    <w:p w:rsidR="002D1E45" w:rsidRDefault="002D1E45">
      <w:pPr>
        <w:pStyle w:val="TOC2"/>
        <w:rPr>
          <w:rFonts w:ascii="Calibri" w:hAnsi="Calibri"/>
          <w:sz w:val="22"/>
          <w:szCs w:val="22"/>
        </w:rPr>
      </w:pPr>
      <w:hyperlink w:anchor="_Toc84936009" w:history="1">
        <w:r w:rsidRPr="00664676">
          <w:rPr>
            <w:rStyle w:val="Hyperlink"/>
            <w:b/>
          </w:rPr>
          <w:t>2.2.</w:t>
        </w:r>
        <w:r>
          <w:rPr>
            <w:rFonts w:ascii="Calibri" w:hAnsi="Calibri"/>
            <w:sz w:val="22"/>
            <w:szCs w:val="22"/>
          </w:rPr>
          <w:tab/>
        </w:r>
        <w:r w:rsidRPr="00664676">
          <w:rPr>
            <w:rStyle w:val="Hyperlink"/>
            <w:b/>
          </w:rPr>
          <w:t>Памятники истории, археологии, архитектуры и культуры на территории города Куйбышева</w:t>
        </w:r>
        <w:r>
          <w:rPr>
            <w:webHidden/>
          </w:rPr>
          <w:tab/>
        </w:r>
        <w:r>
          <w:rPr>
            <w:webHidden/>
          </w:rPr>
          <w:fldChar w:fldCharType="begin"/>
        </w:r>
        <w:r>
          <w:rPr>
            <w:webHidden/>
          </w:rPr>
          <w:instrText xml:space="preserve"> PAGEREF _Toc84936009 \h </w:instrText>
        </w:r>
        <w:r>
          <w:rPr>
            <w:webHidden/>
          </w:rPr>
          <w:fldChar w:fldCharType="separate"/>
        </w:r>
        <w:r>
          <w:rPr>
            <w:webHidden/>
          </w:rPr>
          <w:t>3</w:t>
        </w:r>
        <w:r>
          <w:rPr>
            <w:webHidden/>
          </w:rPr>
          <w:fldChar w:fldCharType="end"/>
        </w:r>
      </w:hyperlink>
    </w:p>
    <w:p w:rsidR="002D1E45" w:rsidRDefault="002D1E45">
      <w:pPr>
        <w:pStyle w:val="TOC2"/>
        <w:rPr>
          <w:rFonts w:ascii="Calibri" w:hAnsi="Calibri"/>
          <w:sz w:val="22"/>
          <w:szCs w:val="22"/>
        </w:rPr>
      </w:pPr>
      <w:hyperlink w:anchor="_Toc84936010" w:history="1">
        <w:r w:rsidRPr="00664676">
          <w:rPr>
            <w:rStyle w:val="Hyperlink"/>
            <w:b/>
          </w:rPr>
          <w:t>2.3.</w:t>
        </w:r>
        <w:r>
          <w:rPr>
            <w:rFonts w:ascii="Calibri" w:hAnsi="Calibri"/>
            <w:sz w:val="22"/>
            <w:szCs w:val="22"/>
          </w:rPr>
          <w:tab/>
        </w:r>
        <w:r w:rsidRPr="00664676">
          <w:rPr>
            <w:rStyle w:val="Hyperlink"/>
            <w:b/>
          </w:rPr>
          <w:t>Природно-климатические условия</w:t>
        </w:r>
        <w:r>
          <w:rPr>
            <w:webHidden/>
          </w:rPr>
          <w:tab/>
        </w:r>
        <w:r>
          <w:rPr>
            <w:webHidden/>
          </w:rPr>
          <w:fldChar w:fldCharType="begin"/>
        </w:r>
        <w:r>
          <w:rPr>
            <w:webHidden/>
          </w:rPr>
          <w:instrText xml:space="preserve"> PAGEREF _Toc84936010 \h </w:instrText>
        </w:r>
        <w:r>
          <w:rPr>
            <w:webHidden/>
          </w:rPr>
          <w:fldChar w:fldCharType="separate"/>
        </w:r>
        <w:r>
          <w:rPr>
            <w:webHidden/>
          </w:rPr>
          <w:t>3</w:t>
        </w:r>
        <w:r>
          <w:rPr>
            <w:webHidden/>
          </w:rPr>
          <w:fldChar w:fldCharType="end"/>
        </w:r>
      </w:hyperlink>
    </w:p>
    <w:p w:rsidR="002D1E45" w:rsidRDefault="002D1E45">
      <w:pPr>
        <w:pStyle w:val="TOC3"/>
        <w:rPr>
          <w:rFonts w:ascii="Calibri" w:hAnsi="Calibri"/>
          <w:sz w:val="22"/>
          <w:szCs w:val="22"/>
        </w:rPr>
      </w:pPr>
      <w:hyperlink w:anchor="_Toc84936011" w:history="1">
        <w:r w:rsidRPr="00664676">
          <w:rPr>
            <w:rStyle w:val="Hyperlink"/>
          </w:rPr>
          <w:t>2.3.1.</w:t>
        </w:r>
        <w:r>
          <w:rPr>
            <w:rFonts w:ascii="Calibri" w:hAnsi="Calibri"/>
            <w:sz w:val="22"/>
            <w:szCs w:val="22"/>
          </w:rPr>
          <w:tab/>
        </w:r>
        <w:r w:rsidRPr="00664676">
          <w:rPr>
            <w:rStyle w:val="Hyperlink"/>
          </w:rPr>
          <w:t>Климат</w:t>
        </w:r>
        <w:r>
          <w:rPr>
            <w:webHidden/>
          </w:rPr>
          <w:tab/>
        </w:r>
        <w:r>
          <w:rPr>
            <w:webHidden/>
          </w:rPr>
          <w:fldChar w:fldCharType="begin"/>
        </w:r>
        <w:r>
          <w:rPr>
            <w:webHidden/>
          </w:rPr>
          <w:instrText xml:space="preserve"> PAGEREF _Toc84936011 \h </w:instrText>
        </w:r>
        <w:r>
          <w:rPr>
            <w:webHidden/>
          </w:rPr>
          <w:fldChar w:fldCharType="separate"/>
        </w:r>
        <w:r>
          <w:rPr>
            <w:webHidden/>
          </w:rPr>
          <w:t>3</w:t>
        </w:r>
        <w:r>
          <w:rPr>
            <w:webHidden/>
          </w:rPr>
          <w:fldChar w:fldCharType="end"/>
        </w:r>
      </w:hyperlink>
    </w:p>
    <w:p w:rsidR="002D1E45" w:rsidRDefault="002D1E45">
      <w:pPr>
        <w:pStyle w:val="TOC3"/>
        <w:rPr>
          <w:rFonts w:ascii="Calibri" w:hAnsi="Calibri"/>
          <w:sz w:val="22"/>
          <w:szCs w:val="22"/>
        </w:rPr>
      </w:pPr>
      <w:hyperlink w:anchor="_Toc84936012" w:history="1">
        <w:r w:rsidRPr="00664676">
          <w:rPr>
            <w:rStyle w:val="Hyperlink"/>
          </w:rPr>
          <w:t>2.3.2.</w:t>
        </w:r>
        <w:r>
          <w:rPr>
            <w:rFonts w:ascii="Calibri" w:hAnsi="Calibri"/>
            <w:sz w:val="22"/>
            <w:szCs w:val="22"/>
          </w:rPr>
          <w:tab/>
        </w:r>
        <w:r w:rsidRPr="00664676">
          <w:rPr>
            <w:rStyle w:val="Hyperlink"/>
          </w:rPr>
          <w:t>Рельеф и геоморфология</w:t>
        </w:r>
        <w:r>
          <w:rPr>
            <w:webHidden/>
          </w:rPr>
          <w:tab/>
        </w:r>
        <w:r>
          <w:rPr>
            <w:webHidden/>
          </w:rPr>
          <w:fldChar w:fldCharType="begin"/>
        </w:r>
        <w:r>
          <w:rPr>
            <w:webHidden/>
          </w:rPr>
          <w:instrText xml:space="preserve"> PAGEREF _Toc84936012 \h </w:instrText>
        </w:r>
        <w:r>
          <w:rPr>
            <w:webHidden/>
          </w:rPr>
          <w:fldChar w:fldCharType="separate"/>
        </w:r>
        <w:r>
          <w:rPr>
            <w:webHidden/>
          </w:rPr>
          <w:t>3</w:t>
        </w:r>
        <w:r>
          <w:rPr>
            <w:webHidden/>
          </w:rPr>
          <w:fldChar w:fldCharType="end"/>
        </w:r>
      </w:hyperlink>
    </w:p>
    <w:p w:rsidR="002D1E45" w:rsidRDefault="002D1E45">
      <w:pPr>
        <w:pStyle w:val="TOC3"/>
        <w:rPr>
          <w:rFonts w:ascii="Calibri" w:hAnsi="Calibri"/>
          <w:sz w:val="22"/>
          <w:szCs w:val="22"/>
        </w:rPr>
      </w:pPr>
      <w:hyperlink w:anchor="_Toc84936013" w:history="1">
        <w:r w:rsidRPr="00664676">
          <w:rPr>
            <w:rStyle w:val="Hyperlink"/>
          </w:rPr>
          <w:t>2.3.3.</w:t>
        </w:r>
        <w:r>
          <w:rPr>
            <w:rFonts w:ascii="Calibri" w:hAnsi="Calibri"/>
            <w:sz w:val="22"/>
            <w:szCs w:val="22"/>
          </w:rPr>
          <w:tab/>
        </w:r>
        <w:r w:rsidRPr="00664676">
          <w:rPr>
            <w:rStyle w:val="Hyperlink"/>
          </w:rPr>
          <w:t>Гидрография и гидрология</w:t>
        </w:r>
        <w:r>
          <w:rPr>
            <w:webHidden/>
          </w:rPr>
          <w:tab/>
        </w:r>
        <w:r>
          <w:rPr>
            <w:webHidden/>
          </w:rPr>
          <w:fldChar w:fldCharType="begin"/>
        </w:r>
        <w:r>
          <w:rPr>
            <w:webHidden/>
          </w:rPr>
          <w:instrText xml:space="preserve"> PAGEREF _Toc84936013 \h </w:instrText>
        </w:r>
        <w:r>
          <w:rPr>
            <w:webHidden/>
          </w:rPr>
          <w:fldChar w:fldCharType="separate"/>
        </w:r>
        <w:r>
          <w:rPr>
            <w:webHidden/>
          </w:rPr>
          <w:t>3</w:t>
        </w:r>
        <w:r>
          <w:rPr>
            <w:webHidden/>
          </w:rPr>
          <w:fldChar w:fldCharType="end"/>
        </w:r>
      </w:hyperlink>
    </w:p>
    <w:p w:rsidR="002D1E45" w:rsidRDefault="002D1E45">
      <w:pPr>
        <w:pStyle w:val="TOC3"/>
        <w:rPr>
          <w:rFonts w:ascii="Calibri" w:hAnsi="Calibri"/>
          <w:sz w:val="22"/>
          <w:szCs w:val="22"/>
        </w:rPr>
      </w:pPr>
      <w:hyperlink w:anchor="_Toc84936014" w:history="1">
        <w:r w:rsidRPr="00664676">
          <w:rPr>
            <w:rStyle w:val="Hyperlink"/>
          </w:rPr>
          <w:t>2.3.4.</w:t>
        </w:r>
        <w:r>
          <w:rPr>
            <w:rFonts w:ascii="Calibri" w:hAnsi="Calibri"/>
            <w:sz w:val="22"/>
            <w:szCs w:val="22"/>
          </w:rPr>
          <w:tab/>
        </w:r>
        <w:r w:rsidRPr="00664676">
          <w:rPr>
            <w:rStyle w:val="Hyperlink"/>
          </w:rPr>
          <w:t>Полезные ископаемые и природные ресурсы</w:t>
        </w:r>
        <w:r>
          <w:rPr>
            <w:webHidden/>
          </w:rPr>
          <w:tab/>
        </w:r>
        <w:r>
          <w:rPr>
            <w:webHidden/>
          </w:rPr>
          <w:fldChar w:fldCharType="begin"/>
        </w:r>
        <w:r>
          <w:rPr>
            <w:webHidden/>
          </w:rPr>
          <w:instrText xml:space="preserve"> PAGEREF _Toc84936014 \h </w:instrText>
        </w:r>
        <w:r>
          <w:rPr>
            <w:webHidden/>
          </w:rPr>
          <w:fldChar w:fldCharType="separate"/>
        </w:r>
        <w:r>
          <w:rPr>
            <w:webHidden/>
          </w:rPr>
          <w:t>3</w:t>
        </w:r>
        <w:r>
          <w:rPr>
            <w:webHidden/>
          </w:rPr>
          <w:fldChar w:fldCharType="end"/>
        </w:r>
      </w:hyperlink>
    </w:p>
    <w:p w:rsidR="002D1E45" w:rsidRDefault="002D1E45">
      <w:pPr>
        <w:pStyle w:val="TOC3"/>
        <w:rPr>
          <w:rFonts w:ascii="Calibri" w:hAnsi="Calibri"/>
          <w:sz w:val="22"/>
          <w:szCs w:val="22"/>
        </w:rPr>
      </w:pPr>
      <w:hyperlink w:anchor="_Toc84936015" w:history="1">
        <w:r w:rsidRPr="00664676">
          <w:rPr>
            <w:rStyle w:val="Hyperlink"/>
          </w:rPr>
          <w:t>2.3.5.</w:t>
        </w:r>
        <w:r>
          <w:rPr>
            <w:rFonts w:ascii="Calibri" w:hAnsi="Calibri"/>
            <w:sz w:val="22"/>
            <w:szCs w:val="22"/>
          </w:rPr>
          <w:tab/>
        </w:r>
        <w:r w:rsidRPr="00664676">
          <w:rPr>
            <w:rStyle w:val="Hyperlink"/>
          </w:rPr>
          <w:t>Почвы, растительный мир</w:t>
        </w:r>
        <w:r>
          <w:rPr>
            <w:webHidden/>
          </w:rPr>
          <w:tab/>
        </w:r>
        <w:r>
          <w:rPr>
            <w:webHidden/>
          </w:rPr>
          <w:fldChar w:fldCharType="begin"/>
        </w:r>
        <w:r>
          <w:rPr>
            <w:webHidden/>
          </w:rPr>
          <w:instrText xml:space="preserve"> PAGEREF _Toc84936015 \h </w:instrText>
        </w:r>
        <w:r>
          <w:rPr>
            <w:webHidden/>
          </w:rPr>
          <w:fldChar w:fldCharType="separate"/>
        </w:r>
        <w:r>
          <w:rPr>
            <w:webHidden/>
          </w:rPr>
          <w:t>3</w:t>
        </w:r>
        <w:r>
          <w:rPr>
            <w:webHidden/>
          </w:rPr>
          <w:fldChar w:fldCharType="end"/>
        </w:r>
      </w:hyperlink>
    </w:p>
    <w:p w:rsidR="002D1E45" w:rsidRDefault="002D1E45">
      <w:pPr>
        <w:pStyle w:val="TOC3"/>
        <w:rPr>
          <w:rFonts w:ascii="Calibri" w:hAnsi="Calibri"/>
          <w:sz w:val="22"/>
          <w:szCs w:val="22"/>
        </w:rPr>
      </w:pPr>
      <w:hyperlink w:anchor="_Toc84936016" w:history="1">
        <w:r w:rsidRPr="00664676">
          <w:rPr>
            <w:rStyle w:val="Hyperlink"/>
          </w:rPr>
          <w:t>2.3.6.</w:t>
        </w:r>
        <w:r>
          <w:rPr>
            <w:rFonts w:ascii="Calibri" w:hAnsi="Calibri"/>
            <w:sz w:val="22"/>
            <w:szCs w:val="22"/>
          </w:rPr>
          <w:tab/>
        </w:r>
        <w:r w:rsidRPr="00664676">
          <w:rPr>
            <w:rStyle w:val="Hyperlink"/>
          </w:rPr>
          <w:t>Рекреационные ресурсы</w:t>
        </w:r>
        <w:r>
          <w:rPr>
            <w:webHidden/>
          </w:rPr>
          <w:tab/>
        </w:r>
        <w:r>
          <w:rPr>
            <w:webHidden/>
          </w:rPr>
          <w:fldChar w:fldCharType="begin"/>
        </w:r>
        <w:r>
          <w:rPr>
            <w:webHidden/>
          </w:rPr>
          <w:instrText xml:space="preserve"> PAGEREF _Toc84936016 \h </w:instrText>
        </w:r>
        <w:r>
          <w:rPr>
            <w:webHidden/>
          </w:rPr>
          <w:fldChar w:fldCharType="separate"/>
        </w:r>
        <w:r>
          <w:rPr>
            <w:webHidden/>
          </w:rPr>
          <w:t>3</w:t>
        </w:r>
        <w:r>
          <w:rPr>
            <w:webHidden/>
          </w:rPr>
          <w:fldChar w:fldCharType="end"/>
        </w:r>
      </w:hyperlink>
    </w:p>
    <w:p w:rsidR="002D1E45" w:rsidRDefault="002D1E45">
      <w:pPr>
        <w:pStyle w:val="TOC3"/>
        <w:rPr>
          <w:rFonts w:ascii="Calibri" w:hAnsi="Calibri"/>
          <w:sz w:val="22"/>
          <w:szCs w:val="22"/>
        </w:rPr>
      </w:pPr>
      <w:hyperlink w:anchor="_Toc84936017" w:history="1">
        <w:r w:rsidRPr="00664676">
          <w:rPr>
            <w:rStyle w:val="Hyperlink"/>
          </w:rPr>
          <w:t>2.3.7.</w:t>
        </w:r>
        <w:r>
          <w:rPr>
            <w:rFonts w:ascii="Calibri" w:hAnsi="Calibri"/>
            <w:sz w:val="22"/>
            <w:szCs w:val="22"/>
          </w:rPr>
          <w:tab/>
        </w:r>
        <w:r w:rsidRPr="00664676">
          <w:rPr>
            <w:rStyle w:val="Hyperlink"/>
          </w:rPr>
          <w:t>Особо охраняемые природные территории</w:t>
        </w:r>
        <w:r>
          <w:rPr>
            <w:webHidden/>
          </w:rPr>
          <w:tab/>
        </w:r>
        <w:r>
          <w:rPr>
            <w:webHidden/>
          </w:rPr>
          <w:fldChar w:fldCharType="begin"/>
        </w:r>
        <w:r>
          <w:rPr>
            <w:webHidden/>
          </w:rPr>
          <w:instrText xml:space="preserve"> PAGEREF _Toc84936017 \h </w:instrText>
        </w:r>
        <w:r>
          <w:rPr>
            <w:webHidden/>
          </w:rPr>
          <w:fldChar w:fldCharType="separate"/>
        </w:r>
        <w:r>
          <w:rPr>
            <w:webHidden/>
          </w:rPr>
          <w:t>3</w:t>
        </w:r>
        <w:r>
          <w:rPr>
            <w:webHidden/>
          </w:rPr>
          <w:fldChar w:fldCharType="end"/>
        </w:r>
      </w:hyperlink>
    </w:p>
    <w:p w:rsidR="002D1E45" w:rsidRDefault="002D1E45">
      <w:pPr>
        <w:pStyle w:val="TOC1"/>
        <w:rPr>
          <w:rFonts w:ascii="Calibri" w:hAnsi="Calibri"/>
          <w:b w:val="0"/>
          <w:spacing w:val="0"/>
          <w:kern w:val="0"/>
          <w:sz w:val="22"/>
          <w:szCs w:val="22"/>
          <w:lang w:eastAsia="ru-RU"/>
        </w:rPr>
      </w:pPr>
      <w:hyperlink w:anchor="_Toc84936018" w:history="1">
        <w:r w:rsidRPr="00664676">
          <w:rPr>
            <w:rStyle w:val="Hyperlink"/>
          </w:rPr>
          <w:t>3.</w:t>
        </w:r>
        <w:r>
          <w:rPr>
            <w:rFonts w:ascii="Calibri" w:hAnsi="Calibri"/>
            <w:b w:val="0"/>
            <w:spacing w:val="0"/>
            <w:kern w:val="0"/>
            <w:sz w:val="22"/>
            <w:szCs w:val="22"/>
            <w:lang w:eastAsia="ru-RU"/>
          </w:rPr>
          <w:tab/>
        </w:r>
        <w:r w:rsidRPr="00664676">
          <w:rPr>
            <w:rStyle w:val="Hyperlink"/>
          </w:rPr>
          <w:t>Современное использование территории города Куйбышева</w:t>
        </w:r>
        <w:r>
          <w:rPr>
            <w:webHidden/>
          </w:rPr>
          <w:tab/>
        </w:r>
        <w:r>
          <w:rPr>
            <w:webHidden/>
          </w:rPr>
          <w:fldChar w:fldCharType="begin"/>
        </w:r>
        <w:r>
          <w:rPr>
            <w:webHidden/>
          </w:rPr>
          <w:instrText xml:space="preserve"> PAGEREF _Toc84936018 \h </w:instrText>
        </w:r>
        <w:r>
          <w:rPr>
            <w:webHidden/>
          </w:rPr>
          <w:fldChar w:fldCharType="separate"/>
        </w:r>
        <w:r>
          <w:rPr>
            <w:webHidden/>
          </w:rPr>
          <w:t>3</w:t>
        </w:r>
        <w:r>
          <w:rPr>
            <w:webHidden/>
          </w:rPr>
          <w:fldChar w:fldCharType="end"/>
        </w:r>
      </w:hyperlink>
    </w:p>
    <w:p w:rsidR="002D1E45" w:rsidRDefault="002D1E45">
      <w:pPr>
        <w:pStyle w:val="TOC2"/>
        <w:rPr>
          <w:rFonts w:ascii="Calibri" w:hAnsi="Calibri"/>
          <w:sz w:val="22"/>
          <w:szCs w:val="22"/>
        </w:rPr>
      </w:pPr>
      <w:hyperlink w:anchor="_Toc84936019" w:history="1">
        <w:r w:rsidRPr="00664676">
          <w:rPr>
            <w:rStyle w:val="Hyperlink"/>
            <w:b/>
          </w:rPr>
          <w:t>3.1.</w:t>
        </w:r>
        <w:r>
          <w:rPr>
            <w:rFonts w:ascii="Calibri" w:hAnsi="Calibri"/>
            <w:sz w:val="22"/>
            <w:szCs w:val="22"/>
          </w:rPr>
          <w:tab/>
        </w:r>
        <w:r w:rsidRPr="00664676">
          <w:rPr>
            <w:rStyle w:val="Hyperlink"/>
            <w:b/>
          </w:rPr>
          <w:t>Анализ демографической ситуации, занятости и уровня жизни в г. Куйбышеве</w:t>
        </w:r>
        <w:r>
          <w:rPr>
            <w:webHidden/>
          </w:rPr>
          <w:tab/>
        </w:r>
        <w:r>
          <w:rPr>
            <w:webHidden/>
          </w:rPr>
          <w:fldChar w:fldCharType="begin"/>
        </w:r>
        <w:r>
          <w:rPr>
            <w:webHidden/>
          </w:rPr>
          <w:instrText xml:space="preserve"> PAGEREF _Toc84936019 \h </w:instrText>
        </w:r>
        <w:r>
          <w:rPr>
            <w:webHidden/>
          </w:rPr>
          <w:fldChar w:fldCharType="separate"/>
        </w:r>
        <w:r>
          <w:rPr>
            <w:webHidden/>
          </w:rPr>
          <w:t>3</w:t>
        </w:r>
        <w:r>
          <w:rPr>
            <w:webHidden/>
          </w:rPr>
          <w:fldChar w:fldCharType="end"/>
        </w:r>
      </w:hyperlink>
    </w:p>
    <w:p w:rsidR="002D1E45" w:rsidRDefault="002D1E45">
      <w:pPr>
        <w:pStyle w:val="TOC2"/>
        <w:rPr>
          <w:rFonts w:ascii="Calibri" w:hAnsi="Calibri"/>
          <w:sz w:val="22"/>
          <w:szCs w:val="22"/>
        </w:rPr>
      </w:pPr>
      <w:hyperlink w:anchor="_Toc84936020" w:history="1">
        <w:r w:rsidRPr="00664676">
          <w:rPr>
            <w:rStyle w:val="Hyperlink"/>
            <w:b/>
          </w:rPr>
          <w:t>3.2.</w:t>
        </w:r>
        <w:r>
          <w:rPr>
            <w:rFonts w:ascii="Calibri" w:hAnsi="Calibri"/>
            <w:sz w:val="22"/>
            <w:szCs w:val="22"/>
          </w:rPr>
          <w:tab/>
        </w:r>
        <w:r w:rsidRPr="00664676">
          <w:rPr>
            <w:rStyle w:val="Hyperlink"/>
            <w:b/>
          </w:rPr>
          <w:t>Структура современного землепользования</w:t>
        </w:r>
        <w:r>
          <w:rPr>
            <w:webHidden/>
          </w:rPr>
          <w:tab/>
        </w:r>
        <w:r>
          <w:rPr>
            <w:webHidden/>
          </w:rPr>
          <w:fldChar w:fldCharType="begin"/>
        </w:r>
        <w:r>
          <w:rPr>
            <w:webHidden/>
          </w:rPr>
          <w:instrText xml:space="preserve"> PAGEREF _Toc84936020 \h </w:instrText>
        </w:r>
        <w:r>
          <w:rPr>
            <w:webHidden/>
          </w:rPr>
          <w:fldChar w:fldCharType="separate"/>
        </w:r>
        <w:r>
          <w:rPr>
            <w:webHidden/>
          </w:rPr>
          <w:t>3</w:t>
        </w:r>
        <w:r>
          <w:rPr>
            <w:webHidden/>
          </w:rPr>
          <w:fldChar w:fldCharType="end"/>
        </w:r>
      </w:hyperlink>
    </w:p>
    <w:p w:rsidR="002D1E45" w:rsidRDefault="002D1E45">
      <w:pPr>
        <w:pStyle w:val="TOC2"/>
        <w:rPr>
          <w:rFonts w:ascii="Calibri" w:hAnsi="Calibri"/>
          <w:sz w:val="22"/>
          <w:szCs w:val="22"/>
        </w:rPr>
      </w:pPr>
      <w:hyperlink w:anchor="_Toc84936021" w:history="1">
        <w:r w:rsidRPr="00664676">
          <w:rPr>
            <w:rStyle w:val="Hyperlink"/>
            <w:b/>
          </w:rPr>
          <w:t>3.3.</w:t>
        </w:r>
        <w:r>
          <w:rPr>
            <w:rFonts w:ascii="Calibri" w:hAnsi="Calibri"/>
            <w:sz w:val="22"/>
            <w:szCs w:val="22"/>
          </w:rPr>
          <w:tab/>
        </w:r>
        <w:r w:rsidRPr="00664676">
          <w:rPr>
            <w:rStyle w:val="Hyperlink"/>
            <w:b/>
          </w:rPr>
          <w:t>Основные направления экономики г. Куйбышева</w:t>
        </w:r>
        <w:r>
          <w:rPr>
            <w:webHidden/>
          </w:rPr>
          <w:tab/>
        </w:r>
        <w:r>
          <w:rPr>
            <w:webHidden/>
          </w:rPr>
          <w:fldChar w:fldCharType="begin"/>
        </w:r>
        <w:r>
          <w:rPr>
            <w:webHidden/>
          </w:rPr>
          <w:instrText xml:space="preserve"> PAGEREF _Toc84936021 \h </w:instrText>
        </w:r>
        <w:r>
          <w:rPr>
            <w:webHidden/>
          </w:rPr>
          <w:fldChar w:fldCharType="separate"/>
        </w:r>
        <w:r>
          <w:rPr>
            <w:webHidden/>
          </w:rPr>
          <w:t>3</w:t>
        </w:r>
        <w:r>
          <w:rPr>
            <w:webHidden/>
          </w:rPr>
          <w:fldChar w:fldCharType="end"/>
        </w:r>
      </w:hyperlink>
    </w:p>
    <w:p w:rsidR="002D1E45" w:rsidRDefault="002D1E45">
      <w:pPr>
        <w:pStyle w:val="TOC2"/>
        <w:rPr>
          <w:rFonts w:ascii="Calibri" w:hAnsi="Calibri"/>
          <w:sz w:val="22"/>
          <w:szCs w:val="22"/>
        </w:rPr>
      </w:pPr>
      <w:hyperlink w:anchor="_Toc84936022" w:history="1">
        <w:r w:rsidRPr="00664676">
          <w:rPr>
            <w:rStyle w:val="Hyperlink"/>
            <w:b/>
          </w:rPr>
          <w:t>3.4.</w:t>
        </w:r>
        <w:r>
          <w:rPr>
            <w:rFonts w:ascii="Calibri" w:hAnsi="Calibri"/>
            <w:sz w:val="22"/>
            <w:szCs w:val="22"/>
          </w:rPr>
          <w:tab/>
        </w:r>
        <w:r w:rsidRPr="00664676">
          <w:rPr>
            <w:rStyle w:val="Hyperlink"/>
            <w:b/>
          </w:rPr>
          <w:t>Пространственно-планировочная организация территории города</w:t>
        </w:r>
        <w:r>
          <w:rPr>
            <w:webHidden/>
          </w:rPr>
          <w:tab/>
        </w:r>
        <w:r>
          <w:rPr>
            <w:webHidden/>
          </w:rPr>
          <w:fldChar w:fldCharType="begin"/>
        </w:r>
        <w:r>
          <w:rPr>
            <w:webHidden/>
          </w:rPr>
          <w:instrText xml:space="preserve"> PAGEREF _Toc84936022 \h </w:instrText>
        </w:r>
        <w:r>
          <w:rPr>
            <w:webHidden/>
          </w:rPr>
          <w:fldChar w:fldCharType="separate"/>
        </w:r>
        <w:r>
          <w:rPr>
            <w:webHidden/>
          </w:rPr>
          <w:t>3</w:t>
        </w:r>
        <w:r>
          <w:rPr>
            <w:webHidden/>
          </w:rPr>
          <w:fldChar w:fldCharType="end"/>
        </w:r>
      </w:hyperlink>
    </w:p>
    <w:p w:rsidR="002D1E45" w:rsidRDefault="002D1E45">
      <w:pPr>
        <w:pStyle w:val="TOC1"/>
        <w:rPr>
          <w:rFonts w:ascii="Calibri" w:hAnsi="Calibri"/>
          <w:b w:val="0"/>
          <w:spacing w:val="0"/>
          <w:kern w:val="0"/>
          <w:sz w:val="22"/>
          <w:szCs w:val="22"/>
          <w:lang w:eastAsia="ru-RU"/>
        </w:rPr>
      </w:pPr>
      <w:hyperlink w:anchor="_Toc84936023" w:history="1">
        <w:r w:rsidRPr="00664676">
          <w:rPr>
            <w:rStyle w:val="Hyperlink"/>
          </w:rPr>
          <w:t>4.</w:t>
        </w:r>
        <w:r>
          <w:rPr>
            <w:rFonts w:ascii="Calibri" w:hAnsi="Calibri"/>
            <w:b w:val="0"/>
            <w:spacing w:val="0"/>
            <w:kern w:val="0"/>
            <w:sz w:val="22"/>
            <w:szCs w:val="22"/>
            <w:lang w:eastAsia="ru-RU"/>
          </w:rPr>
          <w:tab/>
        </w:r>
        <w:r w:rsidRPr="00664676">
          <w:rPr>
            <w:rStyle w:val="Hyperlink"/>
          </w:rPr>
          <w:t>Функциональное зонирование территории</w:t>
        </w:r>
        <w:r>
          <w:rPr>
            <w:webHidden/>
          </w:rPr>
          <w:tab/>
        </w:r>
        <w:r>
          <w:rPr>
            <w:webHidden/>
          </w:rPr>
          <w:fldChar w:fldCharType="begin"/>
        </w:r>
        <w:r>
          <w:rPr>
            <w:webHidden/>
          </w:rPr>
          <w:instrText xml:space="preserve"> PAGEREF _Toc84936023 \h </w:instrText>
        </w:r>
        <w:r>
          <w:rPr>
            <w:webHidden/>
          </w:rPr>
          <w:fldChar w:fldCharType="separate"/>
        </w:r>
        <w:r>
          <w:rPr>
            <w:webHidden/>
          </w:rPr>
          <w:t>3</w:t>
        </w:r>
        <w:r>
          <w:rPr>
            <w:webHidden/>
          </w:rPr>
          <w:fldChar w:fldCharType="end"/>
        </w:r>
      </w:hyperlink>
    </w:p>
    <w:p w:rsidR="002D1E45" w:rsidRDefault="002D1E45">
      <w:pPr>
        <w:pStyle w:val="TOC2"/>
        <w:rPr>
          <w:rFonts w:ascii="Calibri" w:hAnsi="Calibri"/>
          <w:sz w:val="22"/>
          <w:szCs w:val="22"/>
        </w:rPr>
      </w:pPr>
      <w:hyperlink w:anchor="_Toc84936024" w:history="1">
        <w:r w:rsidRPr="00664676">
          <w:rPr>
            <w:rStyle w:val="Hyperlink"/>
            <w:b/>
          </w:rPr>
          <w:t>4.1.</w:t>
        </w:r>
        <w:r>
          <w:rPr>
            <w:rFonts w:ascii="Calibri" w:hAnsi="Calibri"/>
            <w:sz w:val="22"/>
            <w:szCs w:val="22"/>
          </w:rPr>
          <w:tab/>
        </w:r>
        <w:r w:rsidRPr="00664676">
          <w:rPr>
            <w:rStyle w:val="Hyperlink"/>
            <w:b/>
          </w:rPr>
          <w:t>Жилая зона</w:t>
        </w:r>
        <w:r>
          <w:rPr>
            <w:webHidden/>
          </w:rPr>
          <w:tab/>
        </w:r>
        <w:r>
          <w:rPr>
            <w:webHidden/>
          </w:rPr>
          <w:fldChar w:fldCharType="begin"/>
        </w:r>
        <w:r>
          <w:rPr>
            <w:webHidden/>
          </w:rPr>
          <w:instrText xml:space="preserve"> PAGEREF _Toc84936024 \h </w:instrText>
        </w:r>
        <w:r>
          <w:rPr>
            <w:webHidden/>
          </w:rPr>
          <w:fldChar w:fldCharType="separate"/>
        </w:r>
        <w:r>
          <w:rPr>
            <w:webHidden/>
          </w:rPr>
          <w:t>3</w:t>
        </w:r>
        <w:r>
          <w:rPr>
            <w:webHidden/>
          </w:rPr>
          <w:fldChar w:fldCharType="end"/>
        </w:r>
      </w:hyperlink>
    </w:p>
    <w:p w:rsidR="002D1E45" w:rsidRDefault="002D1E45">
      <w:pPr>
        <w:pStyle w:val="TOC2"/>
        <w:rPr>
          <w:rFonts w:ascii="Calibri" w:hAnsi="Calibri"/>
          <w:sz w:val="22"/>
          <w:szCs w:val="22"/>
        </w:rPr>
      </w:pPr>
      <w:hyperlink w:anchor="_Toc84936025" w:history="1">
        <w:r w:rsidRPr="00664676">
          <w:rPr>
            <w:rStyle w:val="Hyperlink"/>
            <w:b/>
          </w:rPr>
          <w:t>4.2.</w:t>
        </w:r>
        <w:r>
          <w:rPr>
            <w:rFonts w:ascii="Calibri" w:hAnsi="Calibri"/>
            <w:sz w:val="22"/>
            <w:szCs w:val="22"/>
          </w:rPr>
          <w:tab/>
        </w:r>
        <w:r w:rsidRPr="00664676">
          <w:rPr>
            <w:rStyle w:val="Hyperlink"/>
            <w:b/>
          </w:rPr>
          <w:t>Общественно-деловая зона</w:t>
        </w:r>
        <w:r>
          <w:rPr>
            <w:webHidden/>
          </w:rPr>
          <w:tab/>
        </w:r>
        <w:r>
          <w:rPr>
            <w:webHidden/>
          </w:rPr>
          <w:fldChar w:fldCharType="begin"/>
        </w:r>
        <w:r>
          <w:rPr>
            <w:webHidden/>
          </w:rPr>
          <w:instrText xml:space="preserve"> PAGEREF _Toc84936025 \h </w:instrText>
        </w:r>
        <w:r>
          <w:rPr>
            <w:webHidden/>
          </w:rPr>
          <w:fldChar w:fldCharType="separate"/>
        </w:r>
        <w:r>
          <w:rPr>
            <w:webHidden/>
          </w:rPr>
          <w:t>3</w:t>
        </w:r>
        <w:r>
          <w:rPr>
            <w:webHidden/>
          </w:rPr>
          <w:fldChar w:fldCharType="end"/>
        </w:r>
      </w:hyperlink>
    </w:p>
    <w:p w:rsidR="002D1E45" w:rsidRDefault="002D1E45">
      <w:pPr>
        <w:pStyle w:val="TOC2"/>
        <w:rPr>
          <w:rFonts w:ascii="Calibri" w:hAnsi="Calibri"/>
          <w:sz w:val="22"/>
          <w:szCs w:val="22"/>
        </w:rPr>
      </w:pPr>
      <w:hyperlink w:anchor="_Toc84936026" w:history="1">
        <w:r w:rsidRPr="00664676">
          <w:rPr>
            <w:rStyle w:val="Hyperlink"/>
            <w:b/>
          </w:rPr>
          <w:t>4.3.</w:t>
        </w:r>
        <w:r>
          <w:rPr>
            <w:rFonts w:ascii="Calibri" w:hAnsi="Calibri"/>
            <w:sz w:val="22"/>
            <w:szCs w:val="22"/>
          </w:rPr>
          <w:tab/>
        </w:r>
        <w:r w:rsidRPr="00664676">
          <w:rPr>
            <w:rStyle w:val="Hyperlink"/>
            <w:b/>
          </w:rPr>
          <w:t>Сельскохозяйственная зона</w:t>
        </w:r>
        <w:r>
          <w:rPr>
            <w:webHidden/>
          </w:rPr>
          <w:tab/>
        </w:r>
        <w:r>
          <w:rPr>
            <w:webHidden/>
          </w:rPr>
          <w:fldChar w:fldCharType="begin"/>
        </w:r>
        <w:r>
          <w:rPr>
            <w:webHidden/>
          </w:rPr>
          <w:instrText xml:space="preserve"> PAGEREF _Toc84936026 \h </w:instrText>
        </w:r>
        <w:r>
          <w:rPr>
            <w:webHidden/>
          </w:rPr>
          <w:fldChar w:fldCharType="separate"/>
        </w:r>
        <w:r>
          <w:rPr>
            <w:webHidden/>
          </w:rPr>
          <w:t>3</w:t>
        </w:r>
        <w:r>
          <w:rPr>
            <w:webHidden/>
          </w:rPr>
          <w:fldChar w:fldCharType="end"/>
        </w:r>
      </w:hyperlink>
    </w:p>
    <w:p w:rsidR="002D1E45" w:rsidRDefault="002D1E45">
      <w:pPr>
        <w:pStyle w:val="TOC2"/>
        <w:rPr>
          <w:rFonts w:ascii="Calibri" w:hAnsi="Calibri"/>
          <w:sz w:val="22"/>
          <w:szCs w:val="22"/>
        </w:rPr>
      </w:pPr>
      <w:hyperlink w:anchor="_Toc84936027" w:history="1">
        <w:r w:rsidRPr="00664676">
          <w:rPr>
            <w:rStyle w:val="Hyperlink"/>
            <w:b/>
          </w:rPr>
          <w:t>4.4.</w:t>
        </w:r>
        <w:r>
          <w:rPr>
            <w:rFonts w:ascii="Calibri" w:hAnsi="Calibri"/>
            <w:sz w:val="22"/>
            <w:szCs w:val="22"/>
          </w:rPr>
          <w:tab/>
        </w:r>
        <w:r w:rsidRPr="00664676">
          <w:rPr>
            <w:rStyle w:val="Hyperlink"/>
            <w:b/>
          </w:rPr>
          <w:t>Производственная зона</w:t>
        </w:r>
        <w:r>
          <w:rPr>
            <w:webHidden/>
          </w:rPr>
          <w:tab/>
        </w:r>
        <w:r>
          <w:rPr>
            <w:webHidden/>
          </w:rPr>
          <w:fldChar w:fldCharType="begin"/>
        </w:r>
        <w:r>
          <w:rPr>
            <w:webHidden/>
          </w:rPr>
          <w:instrText xml:space="preserve"> PAGEREF _Toc84936027 \h </w:instrText>
        </w:r>
        <w:r>
          <w:rPr>
            <w:webHidden/>
          </w:rPr>
          <w:fldChar w:fldCharType="separate"/>
        </w:r>
        <w:r>
          <w:rPr>
            <w:webHidden/>
          </w:rPr>
          <w:t>3</w:t>
        </w:r>
        <w:r>
          <w:rPr>
            <w:webHidden/>
          </w:rPr>
          <w:fldChar w:fldCharType="end"/>
        </w:r>
      </w:hyperlink>
    </w:p>
    <w:p w:rsidR="002D1E45" w:rsidRDefault="002D1E45">
      <w:pPr>
        <w:pStyle w:val="TOC2"/>
        <w:rPr>
          <w:rFonts w:ascii="Calibri" w:hAnsi="Calibri"/>
          <w:sz w:val="22"/>
          <w:szCs w:val="22"/>
        </w:rPr>
      </w:pPr>
      <w:hyperlink w:anchor="_Toc84936028" w:history="1">
        <w:r w:rsidRPr="00664676">
          <w:rPr>
            <w:rStyle w:val="Hyperlink"/>
            <w:b/>
          </w:rPr>
          <w:t>4.5.</w:t>
        </w:r>
        <w:r>
          <w:rPr>
            <w:rFonts w:ascii="Calibri" w:hAnsi="Calibri"/>
            <w:sz w:val="22"/>
            <w:szCs w:val="22"/>
          </w:rPr>
          <w:tab/>
        </w:r>
        <w:r w:rsidRPr="00664676">
          <w:rPr>
            <w:rStyle w:val="Hyperlink"/>
            <w:b/>
          </w:rPr>
          <w:t>Зона транспортной инфраструктуры</w:t>
        </w:r>
        <w:r>
          <w:rPr>
            <w:webHidden/>
          </w:rPr>
          <w:tab/>
        </w:r>
        <w:r>
          <w:rPr>
            <w:webHidden/>
          </w:rPr>
          <w:fldChar w:fldCharType="begin"/>
        </w:r>
        <w:r>
          <w:rPr>
            <w:webHidden/>
          </w:rPr>
          <w:instrText xml:space="preserve"> PAGEREF _Toc84936028 \h </w:instrText>
        </w:r>
        <w:r>
          <w:rPr>
            <w:webHidden/>
          </w:rPr>
          <w:fldChar w:fldCharType="separate"/>
        </w:r>
        <w:r>
          <w:rPr>
            <w:webHidden/>
          </w:rPr>
          <w:t>3</w:t>
        </w:r>
        <w:r>
          <w:rPr>
            <w:webHidden/>
          </w:rPr>
          <w:fldChar w:fldCharType="end"/>
        </w:r>
      </w:hyperlink>
    </w:p>
    <w:p w:rsidR="002D1E45" w:rsidRDefault="002D1E45">
      <w:pPr>
        <w:pStyle w:val="TOC2"/>
        <w:rPr>
          <w:rFonts w:ascii="Calibri" w:hAnsi="Calibri"/>
          <w:sz w:val="22"/>
          <w:szCs w:val="22"/>
        </w:rPr>
      </w:pPr>
      <w:hyperlink w:anchor="_Toc84936029" w:history="1">
        <w:r w:rsidRPr="00664676">
          <w:rPr>
            <w:rStyle w:val="Hyperlink"/>
            <w:b/>
          </w:rPr>
          <w:t>4.6.</w:t>
        </w:r>
        <w:r>
          <w:rPr>
            <w:rFonts w:ascii="Calibri" w:hAnsi="Calibri"/>
            <w:sz w:val="22"/>
            <w:szCs w:val="22"/>
          </w:rPr>
          <w:tab/>
        </w:r>
        <w:r w:rsidRPr="00664676">
          <w:rPr>
            <w:rStyle w:val="Hyperlink"/>
            <w:b/>
          </w:rPr>
          <w:t>Зона рекреационного назначения</w:t>
        </w:r>
        <w:r>
          <w:rPr>
            <w:webHidden/>
          </w:rPr>
          <w:tab/>
        </w:r>
        <w:r>
          <w:rPr>
            <w:webHidden/>
          </w:rPr>
          <w:fldChar w:fldCharType="begin"/>
        </w:r>
        <w:r>
          <w:rPr>
            <w:webHidden/>
          </w:rPr>
          <w:instrText xml:space="preserve"> PAGEREF _Toc84936029 \h </w:instrText>
        </w:r>
        <w:r>
          <w:rPr>
            <w:webHidden/>
          </w:rPr>
          <w:fldChar w:fldCharType="separate"/>
        </w:r>
        <w:r>
          <w:rPr>
            <w:webHidden/>
          </w:rPr>
          <w:t>3</w:t>
        </w:r>
        <w:r>
          <w:rPr>
            <w:webHidden/>
          </w:rPr>
          <w:fldChar w:fldCharType="end"/>
        </w:r>
      </w:hyperlink>
    </w:p>
    <w:p w:rsidR="002D1E45" w:rsidRDefault="002D1E45">
      <w:pPr>
        <w:pStyle w:val="TOC2"/>
        <w:rPr>
          <w:rFonts w:ascii="Calibri" w:hAnsi="Calibri"/>
          <w:sz w:val="22"/>
          <w:szCs w:val="22"/>
        </w:rPr>
      </w:pPr>
      <w:hyperlink w:anchor="_Toc84936030" w:history="1">
        <w:r w:rsidRPr="00664676">
          <w:rPr>
            <w:rStyle w:val="Hyperlink"/>
            <w:b/>
          </w:rPr>
          <w:t>4.7.</w:t>
        </w:r>
        <w:r>
          <w:rPr>
            <w:rFonts w:ascii="Calibri" w:hAnsi="Calibri"/>
            <w:sz w:val="22"/>
            <w:szCs w:val="22"/>
          </w:rPr>
          <w:tab/>
        </w:r>
        <w:r w:rsidRPr="00664676">
          <w:rPr>
            <w:rStyle w:val="Hyperlink"/>
            <w:b/>
          </w:rPr>
          <w:t>Зона специального назначения</w:t>
        </w:r>
        <w:r>
          <w:rPr>
            <w:webHidden/>
          </w:rPr>
          <w:tab/>
        </w:r>
        <w:r>
          <w:rPr>
            <w:webHidden/>
          </w:rPr>
          <w:fldChar w:fldCharType="begin"/>
        </w:r>
        <w:r>
          <w:rPr>
            <w:webHidden/>
          </w:rPr>
          <w:instrText xml:space="preserve"> PAGEREF _Toc84936030 \h </w:instrText>
        </w:r>
        <w:r>
          <w:rPr>
            <w:webHidden/>
          </w:rPr>
          <w:fldChar w:fldCharType="separate"/>
        </w:r>
        <w:r>
          <w:rPr>
            <w:webHidden/>
          </w:rPr>
          <w:t>3</w:t>
        </w:r>
        <w:r>
          <w:rPr>
            <w:webHidden/>
          </w:rPr>
          <w:fldChar w:fldCharType="end"/>
        </w:r>
      </w:hyperlink>
    </w:p>
    <w:p w:rsidR="002D1E45" w:rsidRDefault="002D1E45">
      <w:pPr>
        <w:pStyle w:val="TOC2"/>
        <w:rPr>
          <w:rFonts w:ascii="Calibri" w:hAnsi="Calibri"/>
          <w:sz w:val="22"/>
          <w:szCs w:val="22"/>
        </w:rPr>
      </w:pPr>
      <w:hyperlink w:anchor="_Toc84936031" w:history="1">
        <w:r w:rsidRPr="00664676">
          <w:rPr>
            <w:rStyle w:val="Hyperlink"/>
            <w:b/>
          </w:rPr>
          <w:t>4.8.</w:t>
        </w:r>
        <w:r>
          <w:rPr>
            <w:rFonts w:ascii="Calibri" w:hAnsi="Calibri"/>
            <w:sz w:val="22"/>
            <w:szCs w:val="22"/>
          </w:rPr>
          <w:tab/>
        </w:r>
        <w:r w:rsidRPr="00664676">
          <w:rPr>
            <w:rStyle w:val="Hyperlink"/>
            <w:b/>
          </w:rPr>
          <w:t>Зона инженерной инфраструктуры</w:t>
        </w:r>
        <w:r>
          <w:rPr>
            <w:webHidden/>
          </w:rPr>
          <w:tab/>
        </w:r>
        <w:r>
          <w:rPr>
            <w:webHidden/>
          </w:rPr>
          <w:fldChar w:fldCharType="begin"/>
        </w:r>
        <w:r>
          <w:rPr>
            <w:webHidden/>
          </w:rPr>
          <w:instrText xml:space="preserve"> PAGEREF _Toc84936031 \h </w:instrText>
        </w:r>
        <w:r>
          <w:rPr>
            <w:webHidden/>
          </w:rPr>
          <w:fldChar w:fldCharType="separate"/>
        </w:r>
        <w:r>
          <w:rPr>
            <w:webHidden/>
          </w:rPr>
          <w:t>3</w:t>
        </w:r>
        <w:r>
          <w:rPr>
            <w:webHidden/>
          </w:rPr>
          <w:fldChar w:fldCharType="end"/>
        </w:r>
      </w:hyperlink>
    </w:p>
    <w:p w:rsidR="002D1E45" w:rsidRDefault="002D1E45">
      <w:pPr>
        <w:pStyle w:val="TOC3"/>
        <w:rPr>
          <w:rFonts w:ascii="Calibri" w:hAnsi="Calibri"/>
          <w:sz w:val="22"/>
          <w:szCs w:val="22"/>
        </w:rPr>
      </w:pPr>
      <w:hyperlink w:anchor="_Toc84936032" w:history="1">
        <w:r w:rsidRPr="00664676">
          <w:rPr>
            <w:rStyle w:val="Hyperlink"/>
          </w:rPr>
          <w:t>4.8.1.</w:t>
        </w:r>
        <w:r>
          <w:rPr>
            <w:rFonts w:ascii="Calibri" w:hAnsi="Calibri"/>
            <w:sz w:val="22"/>
            <w:szCs w:val="22"/>
          </w:rPr>
          <w:tab/>
        </w:r>
        <w:r w:rsidRPr="00664676">
          <w:rPr>
            <w:rStyle w:val="Hyperlink"/>
          </w:rPr>
          <w:t>Водоснабжение</w:t>
        </w:r>
        <w:r>
          <w:rPr>
            <w:webHidden/>
          </w:rPr>
          <w:tab/>
        </w:r>
        <w:r>
          <w:rPr>
            <w:webHidden/>
          </w:rPr>
          <w:fldChar w:fldCharType="begin"/>
        </w:r>
        <w:r>
          <w:rPr>
            <w:webHidden/>
          </w:rPr>
          <w:instrText xml:space="preserve"> PAGEREF _Toc84936032 \h </w:instrText>
        </w:r>
        <w:r>
          <w:rPr>
            <w:webHidden/>
          </w:rPr>
          <w:fldChar w:fldCharType="separate"/>
        </w:r>
        <w:r>
          <w:rPr>
            <w:webHidden/>
          </w:rPr>
          <w:t>3</w:t>
        </w:r>
        <w:r>
          <w:rPr>
            <w:webHidden/>
          </w:rPr>
          <w:fldChar w:fldCharType="end"/>
        </w:r>
      </w:hyperlink>
    </w:p>
    <w:p w:rsidR="002D1E45" w:rsidRDefault="002D1E45">
      <w:pPr>
        <w:pStyle w:val="TOC3"/>
        <w:rPr>
          <w:rFonts w:ascii="Calibri" w:hAnsi="Calibri"/>
          <w:sz w:val="22"/>
          <w:szCs w:val="22"/>
        </w:rPr>
      </w:pPr>
      <w:hyperlink w:anchor="_Toc84936033" w:history="1">
        <w:r w:rsidRPr="00664676">
          <w:rPr>
            <w:rStyle w:val="Hyperlink"/>
          </w:rPr>
          <w:t>4.8.2.</w:t>
        </w:r>
        <w:r>
          <w:rPr>
            <w:rFonts w:ascii="Calibri" w:hAnsi="Calibri"/>
            <w:sz w:val="22"/>
            <w:szCs w:val="22"/>
          </w:rPr>
          <w:tab/>
        </w:r>
        <w:r w:rsidRPr="00664676">
          <w:rPr>
            <w:rStyle w:val="Hyperlink"/>
          </w:rPr>
          <w:t>Водоотведение</w:t>
        </w:r>
        <w:r>
          <w:rPr>
            <w:webHidden/>
          </w:rPr>
          <w:tab/>
        </w:r>
        <w:r>
          <w:rPr>
            <w:webHidden/>
          </w:rPr>
          <w:fldChar w:fldCharType="begin"/>
        </w:r>
        <w:r>
          <w:rPr>
            <w:webHidden/>
          </w:rPr>
          <w:instrText xml:space="preserve"> PAGEREF _Toc84936033 \h </w:instrText>
        </w:r>
        <w:r>
          <w:rPr>
            <w:webHidden/>
          </w:rPr>
          <w:fldChar w:fldCharType="separate"/>
        </w:r>
        <w:r>
          <w:rPr>
            <w:webHidden/>
          </w:rPr>
          <w:t>3</w:t>
        </w:r>
        <w:r>
          <w:rPr>
            <w:webHidden/>
          </w:rPr>
          <w:fldChar w:fldCharType="end"/>
        </w:r>
      </w:hyperlink>
    </w:p>
    <w:p w:rsidR="002D1E45" w:rsidRDefault="002D1E45">
      <w:pPr>
        <w:pStyle w:val="TOC3"/>
        <w:rPr>
          <w:rFonts w:ascii="Calibri" w:hAnsi="Calibri"/>
          <w:sz w:val="22"/>
          <w:szCs w:val="22"/>
        </w:rPr>
      </w:pPr>
      <w:hyperlink w:anchor="_Toc84936034" w:history="1">
        <w:r w:rsidRPr="00664676">
          <w:rPr>
            <w:rStyle w:val="Hyperlink"/>
          </w:rPr>
          <w:t>4.8.3.</w:t>
        </w:r>
        <w:r>
          <w:rPr>
            <w:rFonts w:ascii="Calibri" w:hAnsi="Calibri"/>
            <w:sz w:val="22"/>
            <w:szCs w:val="22"/>
          </w:rPr>
          <w:tab/>
        </w:r>
        <w:r w:rsidRPr="00664676">
          <w:rPr>
            <w:rStyle w:val="Hyperlink"/>
          </w:rPr>
          <w:t>Теплоснабжение</w:t>
        </w:r>
        <w:r>
          <w:rPr>
            <w:webHidden/>
          </w:rPr>
          <w:tab/>
        </w:r>
        <w:r>
          <w:rPr>
            <w:webHidden/>
          </w:rPr>
          <w:fldChar w:fldCharType="begin"/>
        </w:r>
        <w:r>
          <w:rPr>
            <w:webHidden/>
          </w:rPr>
          <w:instrText xml:space="preserve"> PAGEREF _Toc84936034 \h </w:instrText>
        </w:r>
        <w:r>
          <w:rPr>
            <w:webHidden/>
          </w:rPr>
          <w:fldChar w:fldCharType="separate"/>
        </w:r>
        <w:r>
          <w:rPr>
            <w:webHidden/>
          </w:rPr>
          <w:t>3</w:t>
        </w:r>
        <w:r>
          <w:rPr>
            <w:webHidden/>
          </w:rPr>
          <w:fldChar w:fldCharType="end"/>
        </w:r>
      </w:hyperlink>
    </w:p>
    <w:p w:rsidR="002D1E45" w:rsidRDefault="002D1E45">
      <w:pPr>
        <w:pStyle w:val="TOC3"/>
        <w:rPr>
          <w:rFonts w:ascii="Calibri" w:hAnsi="Calibri"/>
          <w:sz w:val="22"/>
          <w:szCs w:val="22"/>
        </w:rPr>
      </w:pPr>
      <w:hyperlink w:anchor="_Toc84936035" w:history="1">
        <w:r w:rsidRPr="00664676">
          <w:rPr>
            <w:rStyle w:val="Hyperlink"/>
          </w:rPr>
          <w:t>4.8.4.</w:t>
        </w:r>
        <w:r>
          <w:rPr>
            <w:rFonts w:ascii="Calibri" w:hAnsi="Calibri"/>
            <w:sz w:val="22"/>
            <w:szCs w:val="22"/>
          </w:rPr>
          <w:tab/>
        </w:r>
        <w:r w:rsidRPr="00664676">
          <w:rPr>
            <w:rStyle w:val="Hyperlink"/>
          </w:rPr>
          <w:t>Газоснабжение</w:t>
        </w:r>
        <w:r>
          <w:rPr>
            <w:webHidden/>
          </w:rPr>
          <w:tab/>
        </w:r>
        <w:r>
          <w:rPr>
            <w:webHidden/>
          </w:rPr>
          <w:fldChar w:fldCharType="begin"/>
        </w:r>
        <w:r>
          <w:rPr>
            <w:webHidden/>
          </w:rPr>
          <w:instrText xml:space="preserve"> PAGEREF _Toc84936035 \h </w:instrText>
        </w:r>
        <w:r>
          <w:rPr>
            <w:webHidden/>
          </w:rPr>
          <w:fldChar w:fldCharType="separate"/>
        </w:r>
        <w:r>
          <w:rPr>
            <w:webHidden/>
          </w:rPr>
          <w:t>3</w:t>
        </w:r>
        <w:r>
          <w:rPr>
            <w:webHidden/>
          </w:rPr>
          <w:fldChar w:fldCharType="end"/>
        </w:r>
      </w:hyperlink>
    </w:p>
    <w:p w:rsidR="002D1E45" w:rsidRDefault="002D1E45">
      <w:pPr>
        <w:pStyle w:val="TOC3"/>
        <w:rPr>
          <w:rFonts w:ascii="Calibri" w:hAnsi="Calibri"/>
          <w:sz w:val="22"/>
          <w:szCs w:val="22"/>
        </w:rPr>
      </w:pPr>
      <w:hyperlink w:anchor="_Toc84936036" w:history="1">
        <w:r w:rsidRPr="00664676">
          <w:rPr>
            <w:rStyle w:val="Hyperlink"/>
          </w:rPr>
          <w:t>4.8.5.</w:t>
        </w:r>
        <w:r>
          <w:rPr>
            <w:rFonts w:ascii="Calibri" w:hAnsi="Calibri"/>
            <w:sz w:val="22"/>
            <w:szCs w:val="22"/>
          </w:rPr>
          <w:tab/>
        </w:r>
        <w:r w:rsidRPr="00664676">
          <w:rPr>
            <w:rStyle w:val="Hyperlink"/>
          </w:rPr>
          <w:t>Электроснабжение</w:t>
        </w:r>
        <w:r>
          <w:rPr>
            <w:webHidden/>
          </w:rPr>
          <w:tab/>
        </w:r>
        <w:r>
          <w:rPr>
            <w:webHidden/>
          </w:rPr>
          <w:fldChar w:fldCharType="begin"/>
        </w:r>
        <w:r>
          <w:rPr>
            <w:webHidden/>
          </w:rPr>
          <w:instrText xml:space="preserve"> PAGEREF _Toc84936036 \h </w:instrText>
        </w:r>
        <w:r>
          <w:rPr>
            <w:webHidden/>
          </w:rPr>
          <w:fldChar w:fldCharType="separate"/>
        </w:r>
        <w:r>
          <w:rPr>
            <w:webHidden/>
          </w:rPr>
          <w:t>3</w:t>
        </w:r>
        <w:r>
          <w:rPr>
            <w:webHidden/>
          </w:rPr>
          <w:fldChar w:fldCharType="end"/>
        </w:r>
      </w:hyperlink>
    </w:p>
    <w:p w:rsidR="002D1E45" w:rsidRDefault="002D1E45">
      <w:pPr>
        <w:pStyle w:val="TOC3"/>
        <w:rPr>
          <w:rFonts w:ascii="Calibri" w:hAnsi="Calibri"/>
          <w:sz w:val="22"/>
          <w:szCs w:val="22"/>
        </w:rPr>
      </w:pPr>
      <w:hyperlink w:anchor="_Toc84936037" w:history="1">
        <w:r w:rsidRPr="00664676">
          <w:rPr>
            <w:rStyle w:val="Hyperlink"/>
          </w:rPr>
          <w:t>4.8.6.</w:t>
        </w:r>
        <w:r>
          <w:rPr>
            <w:rFonts w:ascii="Calibri" w:hAnsi="Calibri"/>
            <w:sz w:val="22"/>
            <w:szCs w:val="22"/>
          </w:rPr>
          <w:tab/>
        </w:r>
        <w:r w:rsidRPr="00664676">
          <w:rPr>
            <w:rStyle w:val="Hyperlink"/>
          </w:rPr>
          <w:t>Связь</w:t>
        </w:r>
        <w:r>
          <w:rPr>
            <w:webHidden/>
          </w:rPr>
          <w:tab/>
        </w:r>
        <w:r>
          <w:rPr>
            <w:webHidden/>
          </w:rPr>
          <w:fldChar w:fldCharType="begin"/>
        </w:r>
        <w:r>
          <w:rPr>
            <w:webHidden/>
          </w:rPr>
          <w:instrText xml:space="preserve"> PAGEREF _Toc84936037 \h </w:instrText>
        </w:r>
        <w:r>
          <w:rPr>
            <w:webHidden/>
          </w:rPr>
          <w:fldChar w:fldCharType="separate"/>
        </w:r>
        <w:r>
          <w:rPr>
            <w:webHidden/>
          </w:rPr>
          <w:t>3</w:t>
        </w:r>
        <w:r>
          <w:rPr>
            <w:webHidden/>
          </w:rPr>
          <w:fldChar w:fldCharType="end"/>
        </w:r>
      </w:hyperlink>
    </w:p>
    <w:p w:rsidR="002D1E45" w:rsidRDefault="002D1E45">
      <w:pPr>
        <w:pStyle w:val="TOC1"/>
        <w:rPr>
          <w:rFonts w:ascii="Calibri" w:hAnsi="Calibri"/>
          <w:b w:val="0"/>
          <w:spacing w:val="0"/>
          <w:kern w:val="0"/>
          <w:sz w:val="22"/>
          <w:szCs w:val="22"/>
          <w:lang w:eastAsia="ru-RU"/>
        </w:rPr>
      </w:pPr>
      <w:hyperlink w:anchor="_Toc84936038" w:history="1">
        <w:r w:rsidRPr="00664676">
          <w:rPr>
            <w:rStyle w:val="Hyperlink"/>
          </w:rPr>
          <w:t>5.</w:t>
        </w:r>
        <w:r>
          <w:rPr>
            <w:rFonts w:ascii="Calibri" w:hAnsi="Calibri"/>
            <w:b w:val="0"/>
            <w:spacing w:val="0"/>
            <w:kern w:val="0"/>
            <w:sz w:val="22"/>
            <w:szCs w:val="22"/>
            <w:lang w:eastAsia="ru-RU"/>
          </w:rPr>
          <w:tab/>
        </w:r>
        <w:r w:rsidRPr="00664676">
          <w:rPr>
            <w:rStyle w:val="Hyperlink"/>
          </w:rPr>
          <w:t>Зоны с особыми условиями использования территорий</w:t>
        </w:r>
        <w:r>
          <w:rPr>
            <w:webHidden/>
          </w:rPr>
          <w:tab/>
        </w:r>
        <w:r>
          <w:rPr>
            <w:webHidden/>
          </w:rPr>
          <w:fldChar w:fldCharType="begin"/>
        </w:r>
        <w:r>
          <w:rPr>
            <w:webHidden/>
          </w:rPr>
          <w:instrText xml:space="preserve"> PAGEREF _Toc84936038 \h </w:instrText>
        </w:r>
        <w:r>
          <w:rPr>
            <w:webHidden/>
          </w:rPr>
          <w:fldChar w:fldCharType="separate"/>
        </w:r>
        <w:r>
          <w:rPr>
            <w:webHidden/>
          </w:rPr>
          <w:t>3</w:t>
        </w:r>
        <w:r>
          <w:rPr>
            <w:webHidden/>
          </w:rPr>
          <w:fldChar w:fldCharType="end"/>
        </w:r>
      </w:hyperlink>
    </w:p>
    <w:p w:rsidR="002D1E45" w:rsidRDefault="002D1E45">
      <w:pPr>
        <w:pStyle w:val="TOC2"/>
        <w:rPr>
          <w:rFonts w:ascii="Calibri" w:hAnsi="Calibri"/>
          <w:sz w:val="22"/>
          <w:szCs w:val="22"/>
        </w:rPr>
      </w:pPr>
      <w:hyperlink w:anchor="_Toc84936039" w:history="1">
        <w:r w:rsidRPr="00664676">
          <w:rPr>
            <w:rStyle w:val="Hyperlink"/>
            <w:b/>
          </w:rPr>
          <w:t>5.1.</w:t>
        </w:r>
        <w:r>
          <w:rPr>
            <w:rFonts w:ascii="Calibri" w:hAnsi="Calibri"/>
            <w:sz w:val="22"/>
            <w:szCs w:val="22"/>
          </w:rPr>
          <w:tab/>
        </w:r>
        <w:r w:rsidRPr="00664676">
          <w:rPr>
            <w:rStyle w:val="Hyperlink"/>
            <w:b/>
          </w:rPr>
          <w:t>Зоны охраны объектов культурного наследия</w:t>
        </w:r>
        <w:r>
          <w:rPr>
            <w:webHidden/>
          </w:rPr>
          <w:tab/>
        </w:r>
        <w:r>
          <w:rPr>
            <w:webHidden/>
          </w:rPr>
          <w:fldChar w:fldCharType="begin"/>
        </w:r>
        <w:r>
          <w:rPr>
            <w:webHidden/>
          </w:rPr>
          <w:instrText xml:space="preserve"> PAGEREF _Toc84936039 \h </w:instrText>
        </w:r>
        <w:r>
          <w:rPr>
            <w:webHidden/>
          </w:rPr>
          <w:fldChar w:fldCharType="separate"/>
        </w:r>
        <w:r>
          <w:rPr>
            <w:webHidden/>
          </w:rPr>
          <w:t>3</w:t>
        </w:r>
        <w:r>
          <w:rPr>
            <w:webHidden/>
          </w:rPr>
          <w:fldChar w:fldCharType="end"/>
        </w:r>
      </w:hyperlink>
    </w:p>
    <w:p w:rsidR="002D1E45" w:rsidRDefault="002D1E45">
      <w:pPr>
        <w:pStyle w:val="TOC2"/>
        <w:rPr>
          <w:rFonts w:ascii="Calibri" w:hAnsi="Calibri"/>
          <w:sz w:val="22"/>
          <w:szCs w:val="22"/>
        </w:rPr>
      </w:pPr>
      <w:hyperlink w:anchor="_Toc84936040" w:history="1">
        <w:r w:rsidRPr="00664676">
          <w:rPr>
            <w:rStyle w:val="Hyperlink"/>
            <w:b/>
          </w:rPr>
          <w:t>5.2.</w:t>
        </w:r>
        <w:r>
          <w:rPr>
            <w:rFonts w:ascii="Calibri" w:hAnsi="Calibri"/>
            <w:sz w:val="22"/>
            <w:szCs w:val="22"/>
          </w:rPr>
          <w:tab/>
        </w:r>
        <w:r w:rsidRPr="00664676">
          <w:rPr>
            <w:rStyle w:val="Hyperlink"/>
            <w:b/>
          </w:rPr>
          <w:t>Санитарно-защитные и охранные зоны</w:t>
        </w:r>
        <w:r>
          <w:rPr>
            <w:webHidden/>
          </w:rPr>
          <w:tab/>
        </w:r>
        <w:r>
          <w:rPr>
            <w:webHidden/>
          </w:rPr>
          <w:fldChar w:fldCharType="begin"/>
        </w:r>
        <w:r>
          <w:rPr>
            <w:webHidden/>
          </w:rPr>
          <w:instrText xml:space="preserve"> PAGEREF _Toc84936040 \h </w:instrText>
        </w:r>
        <w:r>
          <w:rPr>
            <w:webHidden/>
          </w:rPr>
          <w:fldChar w:fldCharType="separate"/>
        </w:r>
        <w:r>
          <w:rPr>
            <w:webHidden/>
          </w:rPr>
          <w:t>3</w:t>
        </w:r>
        <w:r>
          <w:rPr>
            <w:webHidden/>
          </w:rPr>
          <w:fldChar w:fldCharType="end"/>
        </w:r>
      </w:hyperlink>
    </w:p>
    <w:p w:rsidR="002D1E45" w:rsidRDefault="002D1E45">
      <w:pPr>
        <w:pStyle w:val="TOC2"/>
        <w:rPr>
          <w:rFonts w:ascii="Calibri" w:hAnsi="Calibri"/>
          <w:sz w:val="22"/>
          <w:szCs w:val="22"/>
        </w:rPr>
      </w:pPr>
      <w:hyperlink w:anchor="_Toc84936041" w:history="1">
        <w:r w:rsidRPr="00664676">
          <w:rPr>
            <w:rStyle w:val="Hyperlink"/>
            <w:b/>
          </w:rPr>
          <w:t>5.3.</w:t>
        </w:r>
        <w:r>
          <w:rPr>
            <w:rFonts w:ascii="Calibri" w:hAnsi="Calibri"/>
            <w:sz w:val="22"/>
            <w:szCs w:val="22"/>
          </w:rPr>
          <w:tab/>
        </w:r>
        <w:r w:rsidRPr="00664676">
          <w:rPr>
            <w:rStyle w:val="Hyperlink"/>
            <w:b/>
          </w:rPr>
          <w:t>Территории, подверженные воздействию чрезвычайных ситуаций природного и техногенного характера</w:t>
        </w:r>
        <w:r>
          <w:rPr>
            <w:webHidden/>
          </w:rPr>
          <w:tab/>
        </w:r>
        <w:r>
          <w:rPr>
            <w:webHidden/>
          </w:rPr>
          <w:fldChar w:fldCharType="begin"/>
        </w:r>
        <w:r>
          <w:rPr>
            <w:webHidden/>
          </w:rPr>
          <w:instrText xml:space="preserve"> PAGEREF _Toc84936041 \h </w:instrText>
        </w:r>
        <w:r>
          <w:rPr>
            <w:webHidden/>
          </w:rPr>
          <w:fldChar w:fldCharType="separate"/>
        </w:r>
        <w:r>
          <w:rPr>
            <w:webHidden/>
          </w:rPr>
          <w:t>3</w:t>
        </w:r>
        <w:r>
          <w:rPr>
            <w:webHidden/>
          </w:rPr>
          <w:fldChar w:fldCharType="end"/>
        </w:r>
      </w:hyperlink>
    </w:p>
    <w:p w:rsidR="002D1E45" w:rsidRDefault="002D1E45">
      <w:pPr>
        <w:pStyle w:val="TOC3"/>
        <w:rPr>
          <w:rFonts w:ascii="Calibri" w:hAnsi="Calibri"/>
          <w:sz w:val="22"/>
          <w:szCs w:val="22"/>
        </w:rPr>
      </w:pPr>
      <w:hyperlink w:anchor="_Toc84936042" w:history="1">
        <w:r w:rsidRPr="00664676">
          <w:rPr>
            <w:rStyle w:val="Hyperlink"/>
          </w:rPr>
          <w:t>5.3.1.</w:t>
        </w:r>
        <w:r>
          <w:rPr>
            <w:rFonts w:ascii="Calibri" w:hAnsi="Calibri"/>
            <w:sz w:val="22"/>
            <w:szCs w:val="22"/>
          </w:rPr>
          <w:tab/>
        </w:r>
        <w:r w:rsidRPr="00664676">
          <w:rPr>
            <w:rStyle w:val="Hyperlink"/>
          </w:rPr>
          <w:t>Общая оценка факторов риска чрезвычайных ситуаций природного и техногенного характера</w:t>
        </w:r>
        <w:r>
          <w:rPr>
            <w:webHidden/>
          </w:rPr>
          <w:tab/>
        </w:r>
        <w:r>
          <w:rPr>
            <w:webHidden/>
          </w:rPr>
          <w:fldChar w:fldCharType="begin"/>
        </w:r>
        <w:r>
          <w:rPr>
            <w:webHidden/>
          </w:rPr>
          <w:instrText xml:space="preserve"> PAGEREF _Toc84936042 \h </w:instrText>
        </w:r>
        <w:r>
          <w:rPr>
            <w:webHidden/>
          </w:rPr>
          <w:fldChar w:fldCharType="separate"/>
        </w:r>
        <w:r>
          <w:rPr>
            <w:webHidden/>
          </w:rPr>
          <w:t>3</w:t>
        </w:r>
        <w:r>
          <w:rPr>
            <w:webHidden/>
          </w:rPr>
          <w:fldChar w:fldCharType="end"/>
        </w:r>
      </w:hyperlink>
    </w:p>
    <w:p w:rsidR="002D1E45" w:rsidRDefault="002D1E45">
      <w:pPr>
        <w:pStyle w:val="TOC3"/>
        <w:rPr>
          <w:rFonts w:ascii="Calibri" w:hAnsi="Calibri"/>
          <w:sz w:val="22"/>
          <w:szCs w:val="22"/>
        </w:rPr>
      </w:pPr>
      <w:hyperlink w:anchor="_Toc84936043" w:history="1">
        <w:r w:rsidRPr="00664676">
          <w:rPr>
            <w:rStyle w:val="Hyperlink"/>
          </w:rPr>
          <w:t>5.3.2.</w:t>
        </w:r>
        <w:r>
          <w:rPr>
            <w:rFonts w:ascii="Calibri" w:hAnsi="Calibri"/>
            <w:sz w:val="22"/>
            <w:szCs w:val="22"/>
          </w:rPr>
          <w:tab/>
        </w:r>
        <w:r w:rsidRPr="00664676">
          <w:rPr>
            <w:rStyle w:val="Hyperlink"/>
          </w:rPr>
          <w:t>Перечень возможных источников ЧС природного характера, которые могут оказывать воздействие на проектируемую территорию</w:t>
        </w:r>
        <w:r>
          <w:rPr>
            <w:webHidden/>
          </w:rPr>
          <w:tab/>
        </w:r>
        <w:r>
          <w:rPr>
            <w:webHidden/>
          </w:rPr>
          <w:fldChar w:fldCharType="begin"/>
        </w:r>
        <w:r>
          <w:rPr>
            <w:webHidden/>
          </w:rPr>
          <w:instrText xml:space="preserve"> PAGEREF _Toc84936043 \h </w:instrText>
        </w:r>
        <w:r>
          <w:rPr>
            <w:webHidden/>
          </w:rPr>
          <w:fldChar w:fldCharType="separate"/>
        </w:r>
        <w:r>
          <w:rPr>
            <w:webHidden/>
          </w:rPr>
          <w:t>3</w:t>
        </w:r>
        <w:r>
          <w:rPr>
            <w:webHidden/>
          </w:rPr>
          <w:fldChar w:fldCharType="end"/>
        </w:r>
      </w:hyperlink>
    </w:p>
    <w:p w:rsidR="002D1E45" w:rsidRDefault="002D1E45">
      <w:pPr>
        <w:pStyle w:val="TOC3"/>
        <w:rPr>
          <w:rFonts w:ascii="Calibri" w:hAnsi="Calibri"/>
          <w:sz w:val="22"/>
          <w:szCs w:val="22"/>
        </w:rPr>
      </w:pPr>
      <w:hyperlink w:anchor="_Toc84936044" w:history="1">
        <w:r w:rsidRPr="00664676">
          <w:rPr>
            <w:rStyle w:val="Hyperlink"/>
          </w:rPr>
          <w:t>5.3.3.</w:t>
        </w:r>
        <w:r>
          <w:rPr>
            <w:rFonts w:ascii="Calibri" w:hAnsi="Calibri"/>
            <w:sz w:val="22"/>
            <w:szCs w:val="22"/>
          </w:rPr>
          <w:tab/>
        </w:r>
        <w:r w:rsidRPr="00664676">
          <w:rPr>
            <w:rStyle w:val="Hyperlink"/>
          </w:rPr>
          <w:t>Перечень источников ЧС техногенного характера на проектируемой территории, а также вблизи указанной территории</w:t>
        </w:r>
        <w:r>
          <w:rPr>
            <w:webHidden/>
          </w:rPr>
          <w:tab/>
        </w:r>
        <w:r>
          <w:rPr>
            <w:webHidden/>
          </w:rPr>
          <w:fldChar w:fldCharType="begin"/>
        </w:r>
        <w:r>
          <w:rPr>
            <w:webHidden/>
          </w:rPr>
          <w:instrText xml:space="preserve"> PAGEREF _Toc84936044 \h </w:instrText>
        </w:r>
        <w:r>
          <w:rPr>
            <w:webHidden/>
          </w:rPr>
          <w:fldChar w:fldCharType="separate"/>
        </w:r>
        <w:r>
          <w:rPr>
            <w:webHidden/>
          </w:rPr>
          <w:t>3</w:t>
        </w:r>
        <w:r>
          <w:rPr>
            <w:webHidden/>
          </w:rPr>
          <w:fldChar w:fldCharType="end"/>
        </w:r>
      </w:hyperlink>
    </w:p>
    <w:p w:rsidR="002D1E45" w:rsidRDefault="002D1E45">
      <w:pPr>
        <w:pStyle w:val="TOC3"/>
        <w:rPr>
          <w:rFonts w:ascii="Calibri" w:hAnsi="Calibri"/>
          <w:sz w:val="22"/>
          <w:szCs w:val="22"/>
        </w:rPr>
      </w:pPr>
      <w:hyperlink w:anchor="_Toc84936045" w:history="1">
        <w:r w:rsidRPr="00664676">
          <w:rPr>
            <w:rStyle w:val="Hyperlink"/>
          </w:rPr>
          <w:t>5.3.4.</w:t>
        </w:r>
        <w:r>
          <w:rPr>
            <w:rFonts w:ascii="Calibri" w:hAnsi="Calibri"/>
            <w:sz w:val="22"/>
            <w:szCs w:val="22"/>
          </w:rPr>
          <w:tab/>
        </w:r>
        <w:r w:rsidRPr="00664676">
          <w:rPr>
            <w:rStyle w:val="Hyperlink"/>
          </w:rPr>
          <w:t>Перечень возможных источников ЧС биолого-социального характера на проектируемой территории</w:t>
        </w:r>
        <w:r>
          <w:rPr>
            <w:webHidden/>
          </w:rPr>
          <w:tab/>
        </w:r>
        <w:r>
          <w:rPr>
            <w:webHidden/>
          </w:rPr>
          <w:fldChar w:fldCharType="begin"/>
        </w:r>
        <w:r>
          <w:rPr>
            <w:webHidden/>
          </w:rPr>
          <w:instrText xml:space="preserve"> PAGEREF _Toc84936045 \h </w:instrText>
        </w:r>
        <w:r>
          <w:rPr>
            <w:webHidden/>
          </w:rPr>
          <w:fldChar w:fldCharType="separate"/>
        </w:r>
        <w:r>
          <w:rPr>
            <w:webHidden/>
          </w:rPr>
          <w:t>3</w:t>
        </w:r>
        <w:r>
          <w:rPr>
            <w:webHidden/>
          </w:rPr>
          <w:fldChar w:fldCharType="end"/>
        </w:r>
      </w:hyperlink>
    </w:p>
    <w:p w:rsidR="002D1E45" w:rsidRDefault="002D1E45">
      <w:pPr>
        <w:pStyle w:val="TOC3"/>
        <w:rPr>
          <w:rFonts w:ascii="Calibri" w:hAnsi="Calibri"/>
          <w:sz w:val="22"/>
          <w:szCs w:val="22"/>
        </w:rPr>
      </w:pPr>
      <w:hyperlink w:anchor="_Toc84936046" w:history="1">
        <w:r w:rsidRPr="00664676">
          <w:rPr>
            <w:rStyle w:val="Hyperlink"/>
          </w:rPr>
          <w:t>5.3.5.</w:t>
        </w:r>
        <w:r>
          <w:rPr>
            <w:rFonts w:ascii="Calibri" w:hAnsi="Calibri"/>
            <w:sz w:val="22"/>
            <w:szCs w:val="22"/>
          </w:rPr>
          <w:tab/>
        </w:r>
        <w:r w:rsidRPr="00664676">
          <w:rPr>
            <w:rStyle w:val="Hyperlink"/>
          </w:rPr>
          <w:t>Перечень мероприятий по обеспечению пожарной безопасности</w:t>
        </w:r>
        <w:r>
          <w:rPr>
            <w:webHidden/>
          </w:rPr>
          <w:tab/>
        </w:r>
        <w:r>
          <w:rPr>
            <w:webHidden/>
          </w:rPr>
          <w:fldChar w:fldCharType="begin"/>
        </w:r>
        <w:r>
          <w:rPr>
            <w:webHidden/>
          </w:rPr>
          <w:instrText xml:space="preserve"> PAGEREF _Toc84936046 \h </w:instrText>
        </w:r>
        <w:r>
          <w:rPr>
            <w:webHidden/>
          </w:rPr>
          <w:fldChar w:fldCharType="separate"/>
        </w:r>
        <w:r>
          <w:rPr>
            <w:webHidden/>
          </w:rPr>
          <w:t>3</w:t>
        </w:r>
        <w:r>
          <w:rPr>
            <w:webHidden/>
          </w:rPr>
          <w:fldChar w:fldCharType="end"/>
        </w:r>
      </w:hyperlink>
    </w:p>
    <w:p w:rsidR="002D1E45" w:rsidRDefault="002D1E45">
      <w:pPr>
        <w:pStyle w:val="TOC3"/>
        <w:rPr>
          <w:rFonts w:ascii="Calibri" w:hAnsi="Calibri"/>
          <w:sz w:val="22"/>
          <w:szCs w:val="22"/>
        </w:rPr>
      </w:pPr>
      <w:hyperlink w:anchor="_Toc84936047" w:history="1">
        <w:r w:rsidRPr="00664676">
          <w:rPr>
            <w:rStyle w:val="Hyperlink"/>
          </w:rPr>
          <w:t>5.3.6.</w:t>
        </w:r>
        <w:r>
          <w:rPr>
            <w:rFonts w:ascii="Calibri" w:hAnsi="Calibri"/>
            <w:sz w:val="22"/>
            <w:szCs w:val="22"/>
          </w:rPr>
          <w:tab/>
        </w:r>
        <w:r w:rsidRPr="00664676">
          <w:rPr>
            <w:rStyle w:val="Hyperlink"/>
          </w:rPr>
          <w:t>Градостроительные и проектные ограничения, вводимые на территории, с целью минимизации рисков последствий чрезвычайных ситуаций</w:t>
        </w:r>
        <w:r>
          <w:rPr>
            <w:webHidden/>
          </w:rPr>
          <w:tab/>
        </w:r>
        <w:r>
          <w:rPr>
            <w:webHidden/>
          </w:rPr>
          <w:fldChar w:fldCharType="begin"/>
        </w:r>
        <w:r>
          <w:rPr>
            <w:webHidden/>
          </w:rPr>
          <w:instrText xml:space="preserve"> PAGEREF _Toc84936047 \h </w:instrText>
        </w:r>
        <w:r>
          <w:rPr>
            <w:webHidden/>
          </w:rPr>
          <w:fldChar w:fldCharType="separate"/>
        </w:r>
        <w:r>
          <w:rPr>
            <w:webHidden/>
          </w:rPr>
          <w:t>3</w:t>
        </w:r>
        <w:r>
          <w:rPr>
            <w:webHidden/>
          </w:rPr>
          <w:fldChar w:fldCharType="end"/>
        </w:r>
      </w:hyperlink>
    </w:p>
    <w:p w:rsidR="002D1E45" w:rsidRDefault="002D1E45">
      <w:pPr>
        <w:pStyle w:val="TOC2"/>
        <w:rPr>
          <w:rFonts w:ascii="Calibri" w:hAnsi="Calibri"/>
          <w:sz w:val="22"/>
          <w:szCs w:val="22"/>
        </w:rPr>
      </w:pPr>
      <w:hyperlink w:anchor="_Toc84936048" w:history="1">
        <w:r w:rsidRPr="00664676">
          <w:rPr>
            <w:rStyle w:val="Hyperlink"/>
            <w:b/>
          </w:rPr>
          <w:t>5.4.</w:t>
        </w:r>
        <w:r>
          <w:rPr>
            <w:rFonts w:ascii="Calibri" w:hAnsi="Calibri"/>
            <w:sz w:val="22"/>
            <w:szCs w:val="22"/>
          </w:rPr>
          <w:tab/>
        </w:r>
        <w:r w:rsidRPr="00664676">
          <w:rPr>
            <w:rStyle w:val="Hyperlink"/>
            <w:b/>
          </w:rPr>
          <w:t>Водоохранные зоны и прибрежные защитные полосы</w:t>
        </w:r>
        <w:r>
          <w:rPr>
            <w:webHidden/>
          </w:rPr>
          <w:tab/>
        </w:r>
        <w:r>
          <w:rPr>
            <w:webHidden/>
          </w:rPr>
          <w:fldChar w:fldCharType="begin"/>
        </w:r>
        <w:r>
          <w:rPr>
            <w:webHidden/>
          </w:rPr>
          <w:instrText xml:space="preserve"> PAGEREF _Toc84936048 \h </w:instrText>
        </w:r>
        <w:r>
          <w:rPr>
            <w:webHidden/>
          </w:rPr>
          <w:fldChar w:fldCharType="separate"/>
        </w:r>
        <w:r>
          <w:rPr>
            <w:webHidden/>
          </w:rPr>
          <w:t>3</w:t>
        </w:r>
        <w:r>
          <w:rPr>
            <w:webHidden/>
          </w:rPr>
          <w:fldChar w:fldCharType="end"/>
        </w:r>
      </w:hyperlink>
    </w:p>
    <w:p w:rsidR="002D1E45" w:rsidRDefault="002D1E45">
      <w:pPr>
        <w:pStyle w:val="TOC2"/>
        <w:rPr>
          <w:rFonts w:ascii="Calibri" w:hAnsi="Calibri"/>
          <w:sz w:val="22"/>
          <w:szCs w:val="22"/>
        </w:rPr>
      </w:pPr>
      <w:hyperlink w:anchor="_Toc84936049" w:history="1">
        <w:r w:rsidRPr="00664676">
          <w:rPr>
            <w:rStyle w:val="Hyperlink"/>
            <w:b/>
          </w:rPr>
          <w:t>5.5.</w:t>
        </w:r>
        <w:r>
          <w:rPr>
            <w:rFonts w:ascii="Calibri" w:hAnsi="Calibri"/>
            <w:sz w:val="22"/>
            <w:szCs w:val="22"/>
          </w:rPr>
          <w:tab/>
        </w:r>
        <w:r w:rsidRPr="00664676">
          <w:rPr>
            <w:rStyle w:val="Hyperlink"/>
            <w:b/>
          </w:rPr>
          <w:t>Зоны санитарной охраны источников водоснабжения</w:t>
        </w:r>
        <w:r>
          <w:rPr>
            <w:webHidden/>
          </w:rPr>
          <w:tab/>
        </w:r>
        <w:r>
          <w:rPr>
            <w:webHidden/>
          </w:rPr>
          <w:fldChar w:fldCharType="begin"/>
        </w:r>
        <w:r>
          <w:rPr>
            <w:webHidden/>
          </w:rPr>
          <w:instrText xml:space="preserve"> PAGEREF _Toc84936049 \h </w:instrText>
        </w:r>
        <w:r>
          <w:rPr>
            <w:webHidden/>
          </w:rPr>
          <w:fldChar w:fldCharType="separate"/>
        </w:r>
        <w:r>
          <w:rPr>
            <w:webHidden/>
          </w:rPr>
          <w:t>3</w:t>
        </w:r>
        <w:r>
          <w:rPr>
            <w:webHidden/>
          </w:rPr>
          <w:fldChar w:fldCharType="end"/>
        </w:r>
      </w:hyperlink>
    </w:p>
    <w:p w:rsidR="002D1E45" w:rsidRDefault="002D1E45">
      <w:pPr>
        <w:pStyle w:val="TOC2"/>
        <w:rPr>
          <w:rFonts w:ascii="Calibri" w:hAnsi="Calibri"/>
          <w:sz w:val="22"/>
          <w:szCs w:val="22"/>
        </w:rPr>
      </w:pPr>
      <w:hyperlink w:anchor="_Toc84936050" w:history="1">
        <w:r w:rsidRPr="00664676">
          <w:rPr>
            <w:rStyle w:val="Hyperlink"/>
            <w:b/>
          </w:rPr>
          <w:t>5.6.</w:t>
        </w:r>
        <w:r>
          <w:rPr>
            <w:rFonts w:ascii="Calibri" w:hAnsi="Calibri"/>
            <w:sz w:val="22"/>
            <w:szCs w:val="22"/>
          </w:rPr>
          <w:tab/>
        </w:r>
        <w:r w:rsidRPr="00664676">
          <w:rPr>
            <w:rStyle w:val="Hyperlink"/>
            <w:b/>
          </w:rPr>
          <w:t>Зоны залегания полезных ископаемых</w:t>
        </w:r>
        <w:r>
          <w:rPr>
            <w:webHidden/>
          </w:rPr>
          <w:tab/>
        </w:r>
        <w:r>
          <w:rPr>
            <w:webHidden/>
          </w:rPr>
          <w:fldChar w:fldCharType="begin"/>
        </w:r>
        <w:r>
          <w:rPr>
            <w:webHidden/>
          </w:rPr>
          <w:instrText xml:space="preserve"> PAGEREF _Toc84936050 \h </w:instrText>
        </w:r>
        <w:r>
          <w:rPr>
            <w:webHidden/>
          </w:rPr>
          <w:fldChar w:fldCharType="separate"/>
        </w:r>
        <w:r>
          <w:rPr>
            <w:webHidden/>
          </w:rPr>
          <w:t>3</w:t>
        </w:r>
        <w:r>
          <w:rPr>
            <w:webHidden/>
          </w:rPr>
          <w:fldChar w:fldCharType="end"/>
        </w:r>
      </w:hyperlink>
    </w:p>
    <w:p w:rsidR="002D1E45" w:rsidRDefault="002D1E45">
      <w:pPr>
        <w:pStyle w:val="TOC2"/>
        <w:rPr>
          <w:rFonts w:ascii="Calibri" w:hAnsi="Calibri"/>
          <w:sz w:val="22"/>
          <w:szCs w:val="22"/>
        </w:rPr>
      </w:pPr>
      <w:hyperlink w:anchor="_Toc84936051" w:history="1">
        <w:r w:rsidRPr="00664676">
          <w:rPr>
            <w:rStyle w:val="Hyperlink"/>
            <w:b/>
          </w:rPr>
          <w:t>5.7.</w:t>
        </w:r>
        <w:r>
          <w:rPr>
            <w:rFonts w:ascii="Calibri" w:hAnsi="Calibri"/>
            <w:sz w:val="22"/>
            <w:szCs w:val="22"/>
          </w:rPr>
          <w:tab/>
        </w:r>
        <w:r w:rsidRPr="00664676">
          <w:rPr>
            <w:rStyle w:val="Hyperlink"/>
            <w:b/>
          </w:rPr>
          <w:t>Иные зоны, установленные в соответствии с законодательством Российской Федерации и законодательством субъектов Российской Федерации</w:t>
        </w:r>
        <w:r>
          <w:rPr>
            <w:webHidden/>
          </w:rPr>
          <w:tab/>
        </w:r>
        <w:r>
          <w:rPr>
            <w:webHidden/>
          </w:rPr>
          <w:fldChar w:fldCharType="begin"/>
        </w:r>
        <w:r>
          <w:rPr>
            <w:webHidden/>
          </w:rPr>
          <w:instrText xml:space="preserve"> PAGEREF _Toc84936051 \h </w:instrText>
        </w:r>
        <w:r>
          <w:rPr>
            <w:webHidden/>
          </w:rPr>
          <w:fldChar w:fldCharType="separate"/>
        </w:r>
        <w:r>
          <w:rPr>
            <w:webHidden/>
          </w:rPr>
          <w:t>3</w:t>
        </w:r>
        <w:r>
          <w:rPr>
            <w:webHidden/>
          </w:rPr>
          <w:fldChar w:fldCharType="end"/>
        </w:r>
      </w:hyperlink>
    </w:p>
    <w:p w:rsidR="002D1E45" w:rsidRDefault="002D1E45">
      <w:pPr>
        <w:pStyle w:val="TOC1"/>
        <w:rPr>
          <w:rFonts w:ascii="Calibri" w:hAnsi="Calibri"/>
          <w:b w:val="0"/>
          <w:spacing w:val="0"/>
          <w:kern w:val="0"/>
          <w:sz w:val="22"/>
          <w:szCs w:val="22"/>
          <w:lang w:eastAsia="ru-RU"/>
        </w:rPr>
      </w:pPr>
      <w:hyperlink w:anchor="_Toc84936052" w:history="1">
        <w:r w:rsidRPr="00664676">
          <w:rPr>
            <w:rStyle w:val="Hyperlink"/>
          </w:rPr>
          <w:t>6.</w:t>
        </w:r>
        <w:r>
          <w:rPr>
            <w:rFonts w:ascii="Calibri" w:hAnsi="Calibri"/>
            <w:b w:val="0"/>
            <w:spacing w:val="0"/>
            <w:kern w:val="0"/>
            <w:sz w:val="22"/>
            <w:szCs w:val="22"/>
            <w:lang w:eastAsia="ru-RU"/>
          </w:rPr>
          <w:tab/>
        </w:r>
        <w:r w:rsidRPr="00664676">
          <w:rPr>
            <w:rStyle w:val="Hyperlink"/>
          </w:rPr>
          <w:t>Прогноз развития демографических и социально-экономических процессов в городе Куйбышеве</w:t>
        </w:r>
        <w:r>
          <w:rPr>
            <w:webHidden/>
          </w:rPr>
          <w:tab/>
        </w:r>
        <w:r>
          <w:rPr>
            <w:webHidden/>
          </w:rPr>
          <w:fldChar w:fldCharType="begin"/>
        </w:r>
        <w:r>
          <w:rPr>
            <w:webHidden/>
          </w:rPr>
          <w:instrText xml:space="preserve"> PAGEREF _Toc84936052 \h </w:instrText>
        </w:r>
        <w:r>
          <w:rPr>
            <w:webHidden/>
          </w:rPr>
          <w:fldChar w:fldCharType="separate"/>
        </w:r>
        <w:r>
          <w:rPr>
            <w:webHidden/>
          </w:rPr>
          <w:t>3</w:t>
        </w:r>
        <w:r>
          <w:rPr>
            <w:webHidden/>
          </w:rPr>
          <w:fldChar w:fldCharType="end"/>
        </w:r>
      </w:hyperlink>
    </w:p>
    <w:p w:rsidR="002D1E45" w:rsidRDefault="002D1E45">
      <w:pPr>
        <w:pStyle w:val="TOC1"/>
        <w:rPr>
          <w:rFonts w:ascii="Calibri" w:hAnsi="Calibri"/>
          <w:b w:val="0"/>
          <w:spacing w:val="0"/>
          <w:kern w:val="0"/>
          <w:sz w:val="22"/>
          <w:szCs w:val="22"/>
          <w:lang w:eastAsia="ru-RU"/>
        </w:rPr>
      </w:pPr>
      <w:hyperlink w:anchor="_Toc84936053" w:history="1">
        <w:r w:rsidRPr="00664676">
          <w:rPr>
            <w:rStyle w:val="Hyperlink"/>
          </w:rPr>
          <w:t>7.</w:t>
        </w:r>
        <w:r>
          <w:rPr>
            <w:rFonts w:ascii="Calibri" w:hAnsi="Calibri"/>
            <w:b w:val="0"/>
            <w:spacing w:val="0"/>
            <w:kern w:val="0"/>
            <w:sz w:val="22"/>
            <w:szCs w:val="22"/>
            <w:lang w:eastAsia="ru-RU"/>
          </w:rPr>
          <w:tab/>
        </w:r>
        <w:r w:rsidRPr="00664676">
          <w:rPr>
            <w:rStyle w:val="Hyperlink"/>
          </w:rPr>
          <w:t>Проектное решение территориального развития города Куйбышева</w:t>
        </w:r>
        <w:r>
          <w:rPr>
            <w:webHidden/>
          </w:rPr>
          <w:tab/>
        </w:r>
        <w:r>
          <w:rPr>
            <w:webHidden/>
          </w:rPr>
          <w:fldChar w:fldCharType="begin"/>
        </w:r>
        <w:r>
          <w:rPr>
            <w:webHidden/>
          </w:rPr>
          <w:instrText xml:space="preserve"> PAGEREF _Toc84936053 \h </w:instrText>
        </w:r>
        <w:r>
          <w:rPr>
            <w:webHidden/>
          </w:rPr>
          <w:fldChar w:fldCharType="separate"/>
        </w:r>
        <w:r>
          <w:rPr>
            <w:webHidden/>
          </w:rPr>
          <w:t>3</w:t>
        </w:r>
        <w:r>
          <w:rPr>
            <w:webHidden/>
          </w:rPr>
          <w:fldChar w:fldCharType="end"/>
        </w:r>
      </w:hyperlink>
    </w:p>
    <w:p w:rsidR="002D1E45" w:rsidRDefault="002D1E45">
      <w:pPr>
        <w:pStyle w:val="TOC2"/>
        <w:rPr>
          <w:rFonts w:ascii="Calibri" w:hAnsi="Calibri"/>
          <w:sz w:val="22"/>
          <w:szCs w:val="22"/>
        </w:rPr>
      </w:pPr>
      <w:hyperlink w:anchor="_Toc84936054" w:history="1">
        <w:r w:rsidRPr="00664676">
          <w:rPr>
            <w:rStyle w:val="Hyperlink"/>
            <w:b/>
          </w:rPr>
          <w:t>7.1.</w:t>
        </w:r>
        <w:r>
          <w:rPr>
            <w:rFonts w:ascii="Calibri" w:hAnsi="Calibri"/>
            <w:sz w:val="22"/>
            <w:szCs w:val="22"/>
          </w:rPr>
          <w:tab/>
        </w:r>
        <w:r w:rsidRPr="00664676">
          <w:rPr>
            <w:rStyle w:val="Hyperlink"/>
            <w:b/>
          </w:rPr>
          <w:t>Архитектурно-планировочное решение</w:t>
        </w:r>
        <w:r>
          <w:rPr>
            <w:webHidden/>
          </w:rPr>
          <w:tab/>
        </w:r>
        <w:r>
          <w:rPr>
            <w:webHidden/>
          </w:rPr>
          <w:fldChar w:fldCharType="begin"/>
        </w:r>
        <w:r>
          <w:rPr>
            <w:webHidden/>
          </w:rPr>
          <w:instrText xml:space="preserve"> PAGEREF _Toc84936054 \h </w:instrText>
        </w:r>
        <w:r>
          <w:rPr>
            <w:webHidden/>
          </w:rPr>
          <w:fldChar w:fldCharType="separate"/>
        </w:r>
        <w:r>
          <w:rPr>
            <w:webHidden/>
          </w:rPr>
          <w:t>3</w:t>
        </w:r>
        <w:r>
          <w:rPr>
            <w:webHidden/>
          </w:rPr>
          <w:fldChar w:fldCharType="end"/>
        </w:r>
      </w:hyperlink>
    </w:p>
    <w:p w:rsidR="002D1E45" w:rsidRDefault="002D1E45">
      <w:pPr>
        <w:pStyle w:val="TOC2"/>
        <w:rPr>
          <w:rFonts w:ascii="Calibri" w:hAnsi="Calibri"/>
          <w:sz w:val="22"/>
          <w:szCs w:val="22"/>
        </w:rPr>
      </w:pPr>
      <w:hyperlink w:anchor="_Toc84936055" w:history="1">
        <w:r w:rsidRPr="00664676">
          <w:rPr>
            <w:rStyle w:val="Hyperlink"/>
            <w:b/>
          </w:rPr>
          <w:t>7.2.</w:t>
        </w:r>
        <w:r>
          <w:rPr>
            <w:rFonts w:ascii="Calibri" w:hAnsi="Calibri"/>
            <w:sz w:val="22"/>
            <w:szCs w:val="22"/>
          </w:rPr>
          <w:tab/>
        </w:r>
        <w:r w:rsidRPr="00664676">
          <w:rPr>
            <w:rStyle w:val="Hyperlink"/>
            <w:b/>
          </w:rPr>
          <w:t>Развитие жилой зоны</w:t>
        </w:r>
        <w:r>
          <w:rPr>
            <w:webHidden/>
          </w:rPr>
          <w:tab/>
        </w:r>
        <w:r>
          <w:rPr>
            <w:webHidden/>
          </w:rPr>
          <w:fldChar w:fldCharType="begin"/>
        </w:r>
        <w:r>
          <w:rPr>
            <w:webHidden/>
          </w:rPr>
          <w:instrText xml:space="preserve"> PAGEREF _Toc84936055 \h </w:instrText>
        </w:r>
        <w:r>
          <w:rPr>
            <w:webHidden/>
          </w:rPr>
          <w:fldChar w:fldCharType="separate"/>
        </w:r>
        <w:r>
          <w:rPr>
            <w:webHidden/>
          </w:rPr>
          <w:t>3</w:t>
        </w:r>
        <w:r>
          <w:rPr>
            <w:webHidden/>
          </w:rPr>
          <w:fldChar w:fldCharType="end"/>
        </w:r>
      </w:hyperlink>
    </w:p>
    <w:p w:rsidR="002D1E45" w:rsidRDefault="002D1E45">
      <w:pPr>
        <w:pStyle w:val="TOC2"/>
        <w:rPr>
          <w:rFonts w:ascii="Calibri" w:hAnsi="Calibri"/>
          <w:sz w:val="22"/>
          <w:szCs w:val="22"/>
        </w:rPr>
      </w:pPr>
      <w:hyperlink w:anchor="_Toc84936056" w:history="1">
        <w:r w:rsidRPr="00664676">
          <w:rPr>
            <w:rStyle w:val="Hyperlink"/>
            <w:b/>
          </w:rPr>
          <w:t>7.3.</w:t>
        </w:r>
        <w:r>
          <w:rPr>
            <w:rFonts w:ascii="Calibri" w:hAnsi="Calibri"/>
            <w:sz w:val="22"/>
            <w:szCs w:val="22"/>
          </w:rPr>
          <w:tab/>
        </w:r>
        <w:r w:rsidRPr="00664676">
          <w:rPr>
            <w:rStyle w:val="Hyperlink"/>
            <w:b/>
          </w:rPr>
          <w:t>Развитие общественно-деловой зоны</w:t>
        </w:r>
        <w:r>
          <w:rPr>
            <w:webHidden/>
          </w:rPr>
          <w:tab/>
        </w:r>
        <w:r>
          <w:rPr>
            <w:webHidden/>
          </w:rPr>
          <w:fldChar w:fldCharType="begin"/>
        </w:r>
        <w:r>
          <w:rPr>
            <w:webHidden/>
          </w:rPr>
          <w:instrText xml:space="preserve"> PAGEREF _Toc84936056 \h </w:instrText>
        </w:r>
        <w:r>
          <w:rPr>
            <w:webHidden/>
          </w:rPr>
          <w:fldChar w:fldCharType="separate"/>
        </w:r>
        <w:r>
          <w:rPr>
            <w:webHidden/>
          </w:rPr>
          <w:t>3</w:t>
        </w:r>
        <w:r>
          <w:rPr>
            <w:webHidden/>
          </w:rPr>
          <w:fldChar w:fldCharType="end"/>
        </w:r>
      </w:hyperlink>
    </w:p>
    <w:p w:rsidR="002D1E45" w:rsidRDefault="002D1E45">
      <w:pPr>
        <w:pStyle w:val="TOC2"/>
        <w:rPr>
          <w:rFonts w:ascii="Calibri" w:hAnsi="Calibri"/>
          <w:sz w:val="22"/>
          <w:szCs w:val="22"/>
        </w:rPr>
      </w:pPr>
      <w:hyperlink w:anchor="_Toc84936057" w:history="1">
        <w:r w:rsidRPr="00664676">
          <w:rPr>
            <w:rStyle w:val="Hyperlink"/>
            <w:b/>
          </w:rPr>
          <w:t>7.4.</w:t>
        </w:r>
        <w:r>
          <w:rPr>
            <w:rFonts w:ascii="Calibri" w:hAnsi="Calibri"/>
            <w:sz w:val="22"/>
            <w:szCs w:val="22"/>
          </w:rPr>
          <w:tab/>
        </w:r>
        <w:r w:rsidRPr="00664676">
          <w:rPr>
            <w:rStyle w:val="Hyperlink"/>
            <w:b/>
          </w:rPr>
          <w:t>Развитие зоны сельскохозяйственного использования</w:t>
        </w:r>
        <w:r>
          <w:rPr>
            <w:webHidden/>
          </w:rPr>
          <w:tab/>
        </w:r>
        <w:r>
          <w:rPr>
            <w:webHidden/>
          </w:rPr>
          <w:fldChar w:fldCharType="begin"/>
        </w:r>
        <w:r>
          <w:rPr>
            <w:webHidden/>
          </w:rPr>
          <w:instrText xml:space="preserve"> PAGEREF _Toc84936057 \h </w:instrText>
        </w:r>
        <w:r>
          <w:rPr>
            <w:webHidden/>
          </w:rPr>
          <w:fldChar w:fldCharType="separate"/>
        </w:r>
        <w:r>
          <w:rPr>
            <w:webHidden/>
          </w:rPr>
          <w:t>3</w:t>
        </w:r>
        <w:r>
          <w:rPr>
            <w:webHidden/>
          </w:rPr>
          <w:fldChar w:fldCharType="end"/>
        </w:r>
      </w:hyperlink>
    </w:p>
    <w:p w:rsidR="002D1E45" w:rsidRDefault="002D1E45">
      <w:pPr>
        <w:pStyle w:val="TOC2"/>
        <w:rPr>
          <w:rFonts w:ascii="Calibri" w:hAnsi="Calibri"/>
          <w:sz w:val="22"/>
          <w:szCs w:val="22"/>
        </w:rPr>
      </w:pPr>
      <w:hyperlink w:anchor="_Toc84936058" w:history="1">
        <w:r w:rsidRPr="00664676">
          <w:rPr>
            <w:rStyle w:val="Hyperlink"/>
            <w:b/>
          </w:rPr>
          <w:t>7.5.</w:t>
        </w:r>
        <w:r>
          <w:rPr>
            <w:rFonts w:ascii="Calibri" w:hAnsi="Calibri"/>
            <w:sz w:val="22"/>
            <w:szCs w:val="22"/>
          </w:rPr>
          <w:tab/>
        </w:r>
        <w:r w:rsidRPr="00664676">
          <w:rPr>
            <w:rStyle w:val="Hyperlink"/>
            <w:b/>
          </w:rPr>
          <w:t>Развитие зоны производственного и коммунально-складского назначения</w:t>
        </w:r>
        <w:r>
          <w:rPr>
            <w:webHidden/>
          </w:rPr>
          <w:tab/>
        </w:r>
        <w:r>
          <w:rPr>
            <w:webHidden/>
          </w:rPr>
          <w:fldChar w:fldCharType="begin"/>
        </w:r>
        <w:r>
          <w:rPr>
            <w:webHidden/>
          </w:rPr>
          <w:instrText xml:space="preserve"> PAGEREF _Toc84936058 \h </w:instrText>
        </w:r>
        <w:r>
          <w:rPr>
            <w:webHidden/>
          </w:rPr>
          <w:fldChar w:fldCharType="separate"/>
        </w:r>
        <w:r>
          <w:rPr>
            <w:webHidden/>
          </w:rPr>
          <w:t>3</w:t>
        </w:r>
        <w:r>
          <w:rPr>
            <w:webHidden/>
          </w:rPr>
          <w:fldChar w:fldCharType="end"/>
        </w:r>
      </w:hyperlink>
    </w:p>
    <w:p w:rsidR="002D1E45" w:rsidRDefault="002D1E45">
      <w:pPr>
        <w:pStyle w:val="TOC2"/>
        <w:rPr>
          <w:rFonts w:ascii="Calibri" w:hAnsi="Calibri"/>
          <w:sz w:val="22"/>
          <w:szCs w:val="22"/>
        </w:rPr>
      </w:pPr>
      <w:hyperlink w:anchor="_Toc84936059" w:history="1">
        <w:r w:rsidRPr="00664676">
          <w:rPr>
            <w:rStyle w:val="Hyperlink"/>
            <w:b/>
          </w:rPr>
          <w:t>7.6.</w:t>
        </w:r>
        <w:r>
          <w:rPr>
            <w:rFonts w:ascii="Calibri" w:hAnsi="Calibri"/>
            <w:sz w:val="22"/>
            <w:szCs w:val="22"/>
          </w:rPr>
          <w:tab/>
        </w:r>
        <w:r w:rsidRPr="00664676">
          <w:rPr>
            <w:rStyle w:val="Hyperlink"/>
            <w:b/>
          </w:rPr>
          <w:t>Развитие транспортной инфраструктуры</w:t>
        </w:r>
        <w:r>
          <w:rPr>
            <w:webHidden/>
          </w:rPr>
          <w:tab/>
        </w:r>
        <w:r>
          <w:rPr>
            <w:webHidden/>
          </w:rPr>
          <w:fldChar w:fldCharType="begin"/>
        </w:r>
        <w:r>
          <w:rPr>
            <w:webHidden/>
          </w:rPr>
          <w:instrText xml:space="preserve"> PAGEREF _Toc84936059 \h </w:instrText>
        </w:r>
        <w:r>
          <w:rPr>
            <w:webHidden/>
          </w:rPr>
          <w:fldChar w:fldCharType="separate"/>
        </w:r>
        <w:r>
          <w:rPr>
            <w:webHidden/>
          </w:rPr>
          <w:t>3</w:t>
        </w:r>
        <w:r>
          <w:rPr>
            <w:webHidden/>
          </w:rPr>
          <w:fldChar w:fldCharType="end"/>
        </w:r>
      </w:hyperlink>
    </w:p>
    <w:p w:rsidR="002D1E45" w:rsidRDefault="002D1E45">
      <w:pPr>
        <w:pStyle w:val="TOC2"/>
        <w:rPr>
          <w:rFonts w:ascii="Calibri" w:hAnsi="Calibri"/>
          <w:sz w:val="22"/>
          <w:szCs w:val="22"/>
        </w:rPr>
      </w:pPr>
      <w:hyperlink w:anchor="_Toc84936060" w:history="1">
        <w:r w:rsidRPr="00664676">
          <w:rPr>
            <w:rStyle w:val="Hyperlink"/>
            <w:b/>
          </w:rPr>
          <w:t>7.7.</w:t>
        </w:r>
        <w:r>
          <w:rPr>
            <w:rFonts w:ascii="Calibri" w:hAnsi="Calibri"/>
            <w:sz w:val="22"/>
            <w:szCs w:val="22"/>
          </w:rPr>
          <w:tab/>
        </w:r>
        <w:r w:rsidRPr="00664676">
          <w:rPr>
            <w:rStyle w:val="Hyperlink"/>
            <w:b/>
          </w:rPr>
          <w:t>Развитие зоны рекреационного назначения</w:t>
        </w:r>
        <w:r>
          <w:rPr>
            <w:webHidden/>
          </w:rPr>
          <w:tab/>
        </w:r>
        <w:r>
          <w:rPr>
            <w:webHidden/>
          </w:rPr>
          <w:fldChar w:fldCharType="begin"/>
        </w:r>
        <w:r>
          <w:rPr>
            <w:webHidden/>
          </w:rPr>
          <w:instrText xml:space="preserve"> PAGEREF _Toc84936060 \h </w:instrText>
        </w:r>
        <w:r>
          <w:rPr>
            <w:webHidden/>
          </w:rPr>
          <w:fldChar w:fldCharType="separate"/>
        </w:r>
        <w:r>
          <w:rPr>
            <w:webHidden/>
          </w:rPr>
          <w:t>3</w:t>
        </w:r>
        <w:r>
          <w:rPr>
            <w:webHidden/>
          </w:rPr>
          <w:fldChar w:fldCharType="end"/>
        </w:r>
      </w:hyperlink>
    </w:p>
    <w:p w:rsidR="002D1E45" w:rsidRDefault="002D1E45">
      <w:pPr>
        <w:pStyle w:val="TOC2"/>
        <w:rPr>
          <w:rFonts w:ascii="Calibri" w:hAnsi="Calibri"/>
          <w:sz w:val="22"/>
          <w:szCs w:val="22"/>
        </w:rPr>
      </w:pPr>
      <w:hyperlink w:anchor="_Toc84936061" w:history="1">
        <w:r w:rsidRPr="00664676">
          <w:rPr>
            <w:rStyle w:val="Hyperlink"/>
            <w:b/>
          </w:rPr>
          <w:t>7.8.</w:t>
        </w:r>
        <w:r>
          <w:rPr>
            <w:rFonts w:ascii="Calibri" w:hAnsi="Calibri"/>
            <w:sz w:val="22"/>
            <w:szCs w:val="22"/>
          </w:rPr>
          <w:tab/>
        </w:r>
        <w:r w:rsidRPr="00664676">
          <w:rPr>
            <w:rStyle w:val="Hyperlink"/>
            <w:b/>
          </w:rPr>
          <w:t>Развитие зоны специального назначения</w:t>
        </w:r>
        <w:r>
          <w:rPr>
            <w:webHidden/>
          </w:rPr>
          <w:tab/>
        </w:r>
        <w:r>
          <w:rPr>
            <w:webHidden/>
          </w:rPr>
          <w:fldChar w:fldCharType="begin"/>
        </w:r>
        <w:r>
          <w:rPr>
            <w:webHidden/>
          </w:rPr>
          <w:instrText xml:space="preserve"> PAGEREF _Toc84936061 \h </w:instrText>
        </w:r>
        <w:r>
          <w:rPr>
            <w:webHidden/>
          </w:rPr>
          <w:fldChar w:fldCharType="separate"/>
        </w:r>
        <w:r>
          <w:rPr>
            <w:webHidden/>
          </w:rPr>
          <w:t>3</w:t>
        </w:r>
        <w:r>
          <w:rPr>
            <w:webHidden/>
          </w:rPr>
          <w:fldChar w:fldCharType="end"/>
        </w:r>
      </w:hyperlink>
    </w:p>
    <w:p w:rsidR="002D1E45" w:rsidRDefault="002D1E45">
      <w:pPr>
        <w:pStyle w:val="TOC2"/>
        <w:rPr>
          <w:rFonts w:ascii="Calibri" w:hAnsi="Calibri"/>
          <w:sz w:val="22"/>
          <w:szCs w:val="22"/>
        </w:rPr>
      </w:pPr>
      <w:hyperlink w:anchor="_Toc84936062" w:history="1">
        <w:r w:rsidRPr="00664676">
          <w:rPr>
            <w:rStyle w:val="Hyperlink"/>
            <w:b/>
          </w:rPr>
          <w:t>7.9.</w:t>
        </w:r>
        <w:r>
          <w:rPr>
            <w:rFonts w:ascii="Calibri" w:hAnsi="Calibri"/>
            <w:sz w:val="22"/>
            <w:szCs w:val="22"/>
          </w:rPr>
          <w:tab/>
        </w:r>
        <w:r w:rsidRPr="00664676">
          <w:rPr>
            <w:rStyle w:val="Hyperlink"/>
            <w:b/>
          </w:rPr>
          <w:t>Инженерное оборудование территории</w:t>
        </w:r>
        <w:r>
          <w:rPr>
            <w:webHidden/>
          </w:rPr>
          <w:tab/>
        </w:r>
        <w:r>
          <w:rPr>
            <w:webHidden/>
          </w:rPr>
          <w:fldChar w:fldCharType="begin"/>
        </w:r>
        <w:r>
          <w:rPr>
            <w:webHidden/>
          </w:rPr>
          <w:instrText xml:space="preserve"> PAGEREF _Toc84936062 \h </w:instrText>
        </w:r>
        <w:r>
          <w:rPr>
            <w:webHidden/>
          </w:rPr>
          <w:fldChar w:fldCharType="separate"/>
        </w:r>
        <w:r>
          <w:rPr>
            <w:webHidden/>
          </w:rPr>
          <w:t>3</w:t>
        </w:r>
        <w:r>
          <w:rPr>
            <w:webHidden/>
          </w:rPr>
          <w:fldChar w:fldCharType="end"/>
        </w:r>
      </w:hyperlink>
    </w:p>
    <w:p w:rsidR="002D1E45" w:rsidRDefault="002D1E45">
      <w:pPr>
        <w:pStyle w:val="TOC3"/>
        <w:rPr>
          <w:rFonts w:ascii="Calibri" w:hAnsi="Calibri"/>
          <w:sz w:val="22"/>
          <w:szCs w:val="22"/>
        </w:rPr>
      </w:pPr>
      <w:hyperlink w:anchor="_Toc84936063" w:history="1">
        <w:r w:rsidRPr="00664676">
          <w:rPr>
            <w:rStyle w:val="Hyperlink"/>
          </w:rPr>
          <w:t>7.9.1.</w:t>
        </w:r>
        <w:r>
          <w:rPr>
            <w:rFonts w:ascii="Calibri" w:hAnsi="Calibri"/>
            <w:sz w:val="22"/>
            <w:szCs w:val="22"/>
          </w:rPr>
          <w:tab/>
        </w:r>
        <w:r w:rsidRPr="00664676">
          <w:rPr>
            <w:rStyle w:val="Hyperlink"/>
          </w:rPr>
          <w:t>Водоснабжение</w:t>
        </w:r>
        <w:r>
          <w:rPr>
            <w:webHidden/>
          </w:rPr>
          <w:tab/>
        </w:r>
        <w:r>
          <w:rPr>
            <w:webHidden/>
          </w:rPr>
          <w:fldChar w:fldCharType="begin"/>
        </w:r>
        <w:r>
          <w:rPr>
            <w:webHidden/>
          </w:rPr>
          <w:instrText xml:space="preserve"> PAGEREF _Toc84936063 \h </w:instrText>
        </w:r>
        <w:r>
          <w:rPr>
            <w:webHidden/>
          </w:rPr>
          <w:fldChar w:fldCharType="separate"/>
        </w:r>
        <w:r>
          <w:rPr>
            <w:webHidden/>
          </w:rPr>
          <w:t>3</w:t>
        </w:r>
        <w:r>
          <w:rPr>
            <w:webHidden/>
          </w:rPr>
          <w:fldChar w:fldCharType="end"/>
        </w:r>
      </w:hyperlink>
    </w:p>
    <w:p w:rsidR="002D1E45" w:rsidRDefault="002D1E45">
      <w:pPr>
        <w:pStyle w:val="TOC3"/>
        <w:rPr>
          <w:rFonts w:ascii="Calibri" w:hAnsi="Calibri"/>
          <w:sz w:val="22"/>
          <w:szCs w:val="22"/>
        </w:rPr>
      </w:pPr>
      <w:hyperlink w:anchor="_Toc84936064" w:history="1">
        <w:r w:rsidRPr="00664676">
          <w:rPr>
            <w:rStyle w:val="Hyperlink"/>
          </w:rPr>
          <w:t>7.9.2.</w:t>
        </w:r>
        <w:r>
          <w:rPr>
            <w:rFonts w:ascii="Calibri" w:hAnsi="Calibri"/>
            <w:sz w:val="22"/>
            <w:szCs w:val="22"/>
          </w:rPr>
          <w:tab/>
        </w:r>
        <w:r w:rsidRPr="00664676">
          <w:rPr>
            <w:rStyle w:val="Hyperlink"/>
          </w:rPr>
          <w:t>Водоотведение</w:t>
        </w:r>
        <w:r>
          <w:rPr>
            <w:webHidden/>
          </w:rPr>
          <w:tab/>
        </w:r>
        <w:r>
          <w:rPr>
            <w:webHidden/>
          </w:rPr>
          <w:fldChar w:fldCharType="begin"/>
        </w:r>
        <w:r>
          <w:rPr>
            <w:webHidden/>
          </w:rPr>
          <w:instrText xml:space="preserve"> PAGEREF _Toc84936064 \h </w:instrText>
        </w:r>
        <w:r>
          <w:rPr>
            <w:webHidden/>
          </w:rPr>
          <w:fldChar w:fldCharType="separate"/>
        </w:r>
        <w:r>
          <w:rPr>
            <w:webHidden/>
          </w:rPr>
          <w:t>3</w:t>
        </w:r>
        <w:r>
          <w:rPr>
            <w:webHidden/>
          </w:rPr>
          <w:fldChar w:fldCharType="end"/>
        </w:r>
      </w:hyperlink>
    </w:p>
    <w:p w:rsidR="002D1E45" w:rsidRDefault="002D1E45">
      <w:pPr>
        <w:pStyle w:val="TOC3"/>
        <w:rPr>
          <w:rFonts w:ascii="Calibri" w:hAnsi="Calibri"/>
          <w:sz w:val="22"/>
          <w:szCs w:val="22"/>
        </w:rPr>
      </w:pPr>
      <w:hyperlink w:anchor="_Toc84936065" w:history="1">
        <w:r w:rsidRPr="00664676">
          <w:rPr>
            <w:rStyle w:val="Hyperlink"/>
          </w:rPr>
          <w:t>7.9.3.</w:t>
        </w:r>
        <w:r>
          <w:rPr>
            <w:rFonts w:ascii="Calibri" w:hAnsi="Calibri"/>
            <w:sz w:val="22"/>
            <w:szCs w:val="22"/>
          </w:rPr>
          <w:tab/>
        </w:r>
        <w:r w:rsidRPr="00664676">
          <w:rPr>
            <w:rStyle w:val="Hyperlink"/>
          </w:rPr>
          <w:t>Теплоснабжение</w:t>
        </w:r>
        <w:r>
          <w:rPr>
            <w:webHidden/>
          </w:rPr>
          <w:tab/>
        </w:r>
        <w:r>
          <w:rPr>
            <w:webHidden/>
          </w:rPr>
          <w:fldChar w:fldCharType="begin"/>
        </w:r>
        <w:r>
          <w:rPr>
            <w:webHidden/>
          </w:rPr>
          <w:instrText xml:space="preserve"> PAGEREF _Toc84936065 \h </w:instrText>
        </w:r>
        <w:r>
          <w:rPr>
            <w:webHidden/>
          </w:rPr>
          <w:fldChar w:fldCharType="separate"/>
        </w:r>
        <w:r>
          <w:rPr>
            <w:webHidden/>
          </w:rPr>
          <w:t>3</w:t>
        </w:r>
        <w:r>
          <w:rPr>
            <w:webHidden/>
          </w:rPr>
          <w:fldChar w:fldCharType="end"/>
        </w:r>
      </w:hyperlink>
    </w:p>
    <w:p w:rsidR="002D1E45" w:rsidRDefault="002D1E45">
      <w:pPr>
        <w:pStyle w:val="TOC3"/>
        <w:rPr>
          <w:rFonts w:ascii="Calibri" w:hAnsi="Calibri"/>
          <w:sz w:val="22"/>
          <w:szCs w:val="22"/>
        </w:rPr>
      </w:pPr>
      <w:hyperlink w:anchor="_Toc84936066" w:history="1">
        <w:r w:rsidRPr="00664676">
          <w:rPr>
            <w:rStyle w:val="Hyperlink"/>
          </w:rPr>
          <w:t>7.9.4.</w:t>
        </w:r>
        <w:r>
          <w:rPr>
            <w:rFonts w:ascii="Calibri" w:hAnsi="Calibri"/>
            <w:sz w:val="22"/>
            <w:szCs w:val="22"/>
          </w:rPr>
          <w:tab/>
        </w:r>
        <w:r w:rsidRPr="00664676">
          <w:rPr>
            <w:rStyle w:val="Hyperlink"/>
          </w:rPr>
          <w:t>Газоснабжение</w:t>
        </w:r>
        <w:r>
          <w:rPr>
            <w:webHidden/>
          </w:rPr>
          <w:tab/>
        </w:r>
        <w:r>
          <w:rPr>
            <w:webHidden/>
          </w:rPr>
          <w:fldChar w:fldCharType="begin"/>
        </w:r>
        <w:r>
          <w:rPr>
            <w:webHidden/>
          </w:rPr>
          <w:instrText xml:space="preserve"> PAGEREF _Toc84936066 \h </w:instrText>
        </w:r>
        <w:r>
          <w:rPr>
            <w:webHidden/>
          </w:rPr>
          <w:fldChar w:fldCharType="separate"/>
        </w:r>
        <w:r>
          <w:rPr>
            <w:webHidden/>
          </w:rPr>
          <w:t>3</w:t>
        </w:r>
        <w:r>
          <w:rPr>
            <w:webHidden/>
          </w:rPr>
          <w:fldChar w:fldCharType="end"/>
        </w:r>
      </w:hyperlink>
    </w:p>
    <w:p w:rsidR="002D1E45" w:rsidRDefault="002D1E45">
      <w:pPr>
        <w:pStyle w:val="TOC3"/>
        <w:rPr>
          <w:rFonts w:ascii="Calibri" w:hAnsi="Calibri"/>
          <w:sz w:val="22"/>
          <w:szCs w:val="22"/>
        </w:rPr>
      </w:pPr>
      <w:hyperlink w:anchor="_Toc84936067" w:history="1">
        <w:r w:rsidRPr="00664676">
          <w:rPr>
            <w:rStyle w:val="Hyperlink"/>
          </w:rPr>
          <w:t>7.9.5.</w:t>
        </w:r>
        <w:r>
          <w:rPr>
            <w:rFonts w:ascii="Calibri" w:hAnsi="Calibri"/>
            <w:sz w:val="22"/>
            <w:szCs w:val="22"/>
          </w:rPr>
          <w:tab/>
        </w:r>
        <w:r w:rsidRPr="00664676">
          <w:rPr>
            <w:rStyle w:val="Hyperlink"/>
          </w:rPr>
          <w:t>Электроснабжение</w:t>
        </w:r>
        <w:r>
          <w:rPr>
            <w:webHidden/>
          </w:rPr>
          <w:tab/>
        </w:r>
        <w:r>
          <w:rPr>
            <w:webHidden/>
          </w:rPr>
          <w:fldChar w:fldCharType="begin"/>
        </w:r>
        <w:r>
          <w:rPr>
            <w:webHidden/>
          </w:rPr>
          <w:instrText xml:space="preserve"> PAGEREF _Toc84936067 \h </w:instrText>
        </w:r>
        <w:r>
          <w:rPr>
            <w:webHidden/>
          </w:rPr>
          <w:fldChar w:fldCharType="separate"/>
        </w:r>
        <w:r>
          <w:rPr>
            <w:webHidden/>
          </w:rPr>
          <w:t>3</w:t>
        </w:r>
        <w:r>
          <w:rPr>
            <w:webHidden/>
          </w:rPr>
          <w:fldChar w:fldCharType="end"/>
        </w:r>
      </w:hyperlink>
    </w:p>
    <w:p w:rsidR="002D1E45" w:rsidRDefault="002D1E45">
      <w:pPr>
        <w:pStyle w:val="TOC3"/>
        <w:rPr>
          <w:rFonts w:ascii="Calibri" w:hAnsi="Calibri"/>
          <w:sz w:val="22"/>
          <w:szCs w:val="22"/>
        </w:rPr>
      </w:pPr>
      <w:hyperlink w:anchor="_Toc84936068" w:history="1">
        <w:r w:rsidRPr="00664676">
          <w:rPr>
            <w:rStyle w:val="Hyperlink"/>
          </w:rPr>
          <w:t>7.9.6.</w:t>
        </w:r>
        <w:r>
          <w:rPr>
            <w:rFonts w:ascii="Calibri" w:hAnsi="Calibri"/>
            <w:sz w:val="22"/>
            <w:szCs w:val="22"/>
          </w:rPr>
          <w:tab/>
        </w:r>
        <w:r w:rsidRPr="00664676">
          <w:rPr>
            <w:rStyle w:val="Hyperlink"/>
          </w:rPr>
          <w:t>Связь</w:t>
        </w:r>
        <w:r>
          <w:rPr>
            <w:webHidden/>
          </w:rPr>
          <w:tab/>
        </w:r>
        <w:r>
          <w:rPr>
            <w:webHidden/>
          </w:rPr>
          <w:fldChar w:fldCharType="begin"/>
        </w:r>
        <w:r>
          <w:rPr>
            <w:webHidden/>
          </w:rPr>
          <w:instrText xml:space="preserve"> PAGEREF _Toc84936068 \h </w:instrText>
        </w:r>
        <w:r>
          <w:rPr>
            <w:webHidden/>
          </w:rPr>
          <w:fldChar w:fldCharType="separate"/>
        </w:r>
        <w:r>
          <w:rPr>
            <w:webHidden/>
          </w:rPr>
          <w:t>3</w:t>
        </w:r>
        <w:r>
          <w:rPr>
            <w:webHidden/>
          </w:rPr>
          <w:fldChar w:fldCharType="end"/>
        </w:r>
      </w:hyperlink>
    </w:p>
    <w:p w:rsidR="002D1E45" w:rsidRDefault="002D1E45">
      <w:pPr>
        <w:pStyle w:val="TOC2"/>
        <w:rPr>
          <w:rFonts w:ascii="Calibri" w:hAnsi="Calibri"/>
          <w:sz w:val="22"/>
          <w:szCs w:val="22"/>
        </w:rPr>
      </w:pPr>
      <w:hyperlink w:anchor="_Toc84936069" w:history="1">
        <w:r w:rsidRPr="00664676">
          <w:rPr>
            <w:rStyle w:val="Hyperlink"/>
            <w:b/>
          </w:rPr>
          <w:t>7.10.</w:t>
        </w:r>
        <w:r>
          <w:rPr>
            <w:rFonts w:ascii="Calibri" w:hAnsi="Calibri"/>
            <w:sz w:val="22"/>
            <w:szCs w:val="22"/>
          </w:rPr>
          <w:tab/>
        </w:r>
        <w:r w:rsidRPr="00664676">
          <w:rPr>
            <w:rStyle w:val="Hyperlink"/>
            <w:b/>
          </w:rPr>
          <w:t>Благоустройство и санитарная очистка территории</w:t>
        </w:r>
        <w:r>
          <w:rPr>
            <w:webHidden/>
          </w:rPr>
          <w:tab/>
        </w:r>
        <w:r>
          <w:rPr>
            <w:webHidden/>
          </w:rPr>
          <w:fldChar w:fldCharType="begin"/>
        </w:r>
        <w:r>
          <w:rPr>
            <w:webHidden/>
          </w:rPr>
          <w:instrText xml:space="preserve"> PAGEREF _Toc84936069 \h </w:instrText>
        </w:r>
        <w:r>
          <w:rPr>
            <w:webHidden/>
          </w:rPr>
          <w:fldChar w:fldCharType="separate"/>
        </w:r>
        <w:r>
          <w:rPr>
            <w:webHidden/>
          </w:rPr>
          <w:t>3</w:t>
        </w:r>
        <w:r>
          <w:rPr>
            <w:webHidden/>
          </w:rPr>
          <w:fldChar w:fldCharType="end"/>
        </w:r>
      </w:hyperlink>
    </w:p>
    <w:p w:rsidR="002D1E45" w:rsidRDefault="002D1E45">
      <w:pPr>
        <w:pStyle w:val="TOC1"/>
        <w:rPr>
          <w:rFonts w:ascii="Calibri" w:hAnsi="Calibri"/>
          <w:b w:val="0"/>
          <w:spacing w:val="0"/>
          <w:kern w:val="0"/>
          <w:sz w:val="22"/>
          <w:szCs w:val="22"/>
          <w:lang w:eastAsia="ru-RU"/>
        </w:rPr>
      </w:pPr>
      <w:hyperlink w:anchor="_Toc84936070" w:history="1">
        <w:r w:rsidRPr="00664676">
          <w:rPr>
            <w:rStyle w:val="Hyperlink"/>
          </w:rPr>
          <w:t>8.</w:t>
        </w:r>
        <w:r>
          <w:rPr>
            <w:rFonts w:ascii="Calibri" w:hAnsi="Calibri"/>
            <w:b w:val="0"/>
            <w:spacing w:val="0"/>
            <w:kern w:val="0"/>
            <w:sz w:val="22"/>
            <w:szCs w:val="22"/>
            <w:lang w:eastAsia="ru-RU"/>
          </w:rPr>
          <w:tab/>
        </w:r>
        <w:r w:rsidRPr="00664676">
          <w:rPr>
            <w:rStyle w:val="Hyperlink"/>
          </w:rPr>
          <w:t>Сведения о видах, назначении и наименованиях планируемых для размещения на территории города Куйбышева объектов федерального значения, объектов регионального значения, объектов местного значения, их основные характеристики, местоположение, характеристики зон с особыми условиями использования территорий</w:t>
        </w:r>
        <w:r>
          <w:rPr>
            <w:webHidden/>
          </w:rPr>
          <w:tab/>
        </w:r>
        <w:r>
          <w:rPr>
            <w:webHidden/>
          </w:rPr>
          <w:fldChar w:fldCharType="begin"/>
        </w:r>
        <w:r>
          <w:rPr>
            <w:webHidden/>
          </w:rPr>
          <w:instrText xml:space="preserve"> PAGEREF _Toc84936070 \h </w:instrText>
        </w:r>
        <w:r>
          <w:rPr>
            <w:webHidden/>
          </w:rPr>
          <w:fldChar w:fldCharType="separate"/>
        </w:r>
        <w:r>
          <w:rPr>
            <w:webHidden/>
          </w:rPr>
          <w:t>3</w:t>
        </w:r>
        <w:r>
          <w:rPr>
            <w:webHidden/>
          </w:rPr>
          <w:fldChar w:fldCharType="end"/>
        </w:r>
      </w:hyperlink>
    </w:p>
    <w:p w:rsidR="002D1E45" w:rsidRDefault="002D1E45">
      <w:pPr>
        <w:pStyle w:val="TOC1"/>
        <w:rPr>
          <w:rFonts w:ascii="Calibri" w:hAnsi="Calibri"/>
          <w:b w:val="0"/>
          <w:spacing w:val="0"/>
          <w:kern w:val="0"/>
          <w:sz w:val="22"/>
          <w:szCs w:val="22"/>
          <w:lang w:eastAsia="ru-RU"/>
        </w:rPr>
      </w:pPr>
      <w:hyperlink w:anchor="_Toc84936071" w:history="1">
        <w:r w:rsidRPr="00664676">
          <w:rPr>
            <w:rStyle w:val="Hyperlink"/>
          </w:rPr>
          <w:t>9.</w:t>
        </w:r>
        <w:r>
          <w:rPr>
            <w:rFonts w:ascii="Calibri" w:hAnsi="Calibri"/>
            <w:b w:val="0"/>
            <w:spacing w:val="0"/>
            <w:kern w:val="0"/>
            <w:sz w:val="22"/>
            <w:szCs w:val="22"/>
            <w:lang w:eastAsia="ru-RU"/>
          </w:rPr>
          <w:tab/>
        </w:r>
        <w:r w:rsidRPr="00664676">
          <w:rPr>
            <w:rStyle w:val="Hyperlink"/>
          </w:rPr>
          <w:t>Основные технико-экономические показатели Генерального плана</w:t>
        </w:r>
        <w:r>
          <w:rPr>
            <w:webHidden/>
          </w:rPr>
          <w:tab/>
        </w:r>
        <w:r>
          <w:rPr>
            <w:webHidden/>
          </w:rPr>
          <w:fldChar w:fldCharType="begin"/>
        </w:r>
        <w:r>
          <w:rPr>
            <w:webHidden/>
          </w:rPr>
          <w:instrText xml:space="preserve"> PAGEREF _Toc84936071 \h </w:instrText>
        </w:r>
        <w:r>
          <w:rPr>
            <w:webHidden/>
          </w:rPr>
          <w:fldChar w:fldCharType="separate"/>
        </w:r>
        <w:r>
          <w:rPr>
            <w:webHidden/>
          </w:rPr>
          <w:t>3</w:t>
        </w:r>
        <w:r>
          <w:rPr>
            <w:webHidden/>
          </w:rPr>
          <w:fldChar w:fldCharType="end"/>
        </w:r>
      </w:hyperlink>
    </w:p>
    <w:p w:rsidR="002D1E45" w:rsidRDefault="002D1E45">
      <w:pPr>
        <w:pStyle w:val="TOC1"/>
        <w:rPr>
          <w:rFonts w:ascii="Calibri" w:hAnsi="Calibri"/>
          <w:b w:val="0"/>
          <w:spacing w:val="0"/>
          <w:kern w:val="0"/>
          <w:sz w:val="22"/>
          <w:szCs w:val="22"/>
          <w:lang w:eastAsia="ru-RU"/>
        </w:rPr>
      </w:pPr>
      <w:hyperlink w:anchor="_Toc84936072" w:history="1">
        <w:r w:rsidRPr="00664676">
          <w:rPr>
            <w:rStyle w:val="Hyperlink"/>
          </w:rPr>
          <w:t>10.</w:t>
        </w:r>
        <w:r>
          <w:rPr>
            <w:rFonts w:ascii="Calibri" w:hAnsi="Calibri"/>
            <w:b w:val="0"/>
            <w:spacing w:val="0"/>
            <w:kern w:val="0"/>
            <w:sz w:val="22"/>
            <w:szCs w:val="22"/>
            <w:lang w:eastAsia="ru-RU"/>
          </w:rPr>
          <w:tab/>
        </w:r>
        <w:r w:rsidRPr="00664676">
          <w:rPr>
            <w:rStyle w:val="Hyperlink"/>
          </w:rPr>
          <w:t>Приложения</w:t>
        </w:r>
        <w:r>
          <w:rPr>
            <w:webHidden/>
          </w:rPr>
          <w:tab/>
        </w:r>
        <w:r>
          <w:rPr>
            <w:webHidden/>
          </w:rPr>
          <w:fldChar w:fldCharType="begin"/>
        </w:r>
        <w:r>
          <w:rPr>
            <w:webHidden/>
          </w:rPr>
          <w:instrText xml:space="preserve"> PAGEREF _Toc84936072 \h </w:instrText>
        </w:r>
        <w:r>
          <w:rPr>
            <w:webHidden/>
          </w:rPr>
          <w:fldChar w:fldCharType="separate"/>
        </w:r>
        <w:r>
          <w:rPr>
            <w:webHidden/>
          </w:rPr>
          <w:t>3</w:t>
        </w:r>
        <w:r>
          <w:rPr>
            <w:webHidden/>
          </w:rPr>
          <w:fldChar w:fldCharType="end"/>
        </w:r>
      </w:hyperlink>
    </w:p>
    <w:p w:rsidR="002D1E45" w:rsidRDefault="002D1E45">
      <w:pPr>
        <w:pStyle w:val="TOC2"/>
        <w:rPr>
          <w:rFonts w:ascii="Calibri" w:hAnsi="Calibri"/>
          <w:sz w:val="22"/>
          <w:szCs w:val="22"/>
        </w:rPr>
      </w:pPr>
      <w:hyperlink w:anchor="_Toc84936073" w:history="1">
        <w:r w:rsidRPr="00664676">
          <w:rPr>
            <w:rStyle w:val="Hyperlink"/>
            <w:b/>
          </w:rPr>
          <w:t>10.1.</w:t>
        </w:r>
        <w:r>
          <w:rPr>
            <w:rFonts w:ascii="Calibri" w:hAnsi="Calibri"/>
            <w:sz w:val="22"/>
            <w:szCs w:val="22"/>
          </w:rPr>
          <w:tab/>
        </w:r>
        <w:r w:rsidRPr="00664676">
          <w:rPr>
            <w:rStyle w:val="Hyperlink"/>
            <w:b/>
          </w:rPr>
          <w:t>Перечень основных превентивных пропивопаводковых мероприятий, выполняемых при различных режимах ЧС</w:t>
        </w:r>
        <w:r>
          <w:rPr>
            <w:webHidden/>
          </w:rPr>
          <w:tab/>
        </w:r>
        <w:r>
          <w:rPr>
            <w:webHidden/>
          </w:rPr>
          <w:fldChar w:fldCharType="begin"/>
        </w:r>
        <w:r>
          <w:rPr>
            <w:webHidden/>
          </w:rPr>
          <w:instrText xml:space="preserve"> PAGEREF _Toc84936073 \h </w:instrText>
        </w:r>
        <w:r>
          <w:rPr>
            <w:webHidden/>
          </w:rPr>
          <w:fldChar w:fldCharType="separate"/>
        </w:r>
        <w:r>
          <w:rPr>
            <w:webHidden/>
          </w:rPr>
          <w:t>3</w:t>
        </w:r>
        <w:r>
          <w:rPr>
            <w:webHidden/>
          </w:rPr>
          <w:fldChar w:fldCharType="end"/>
        </w:r>
      </w:hyperlink>
    </w:p>
    <w:p w:rsidR="002D1E45" w:rsidRDefault="002D1E45">
      <w:pPr>
        <w:pStyle w:val="TOC2"/>
        <w:rPr>
          <w:rFonts w:ascii="Calibri" w:hAnsi="Calibri"/>
          <w:sz w:val="22"/>
          <w:szCs w:val="22"/>
        </w:rPr>
      </w:pPr>
      <w:hyperlink w:anchor="_Toc84936074" w:history="1">
        <w:r w:rsidRPr="00664676">
          <w:rPr>
            <w:rStyle w:val="Hyperlink"/>
            <w:b/>
          </w:rPr>
          <w:t>10.2.</w:t>
        </w:r>
        <w:r>
          <w:rPr>
            <w:rFonts w:ascii="Calibri" w:hAnsi="Calibri"/>
            <w:sz w:val="22"/>
            <w:szCs w:val="22"/>
          </w:rPr>
          <w:tab/>
        </w:r>
        <w:r w:rsidRPr="00664676">
          <w:rPr>
            <w:rStyle w:val="Hyperlink"/>
            <w:b/>
          </w:rPr>
          <w:t>Сводная таблица по пожарным гидрантам</w:t>
        </w:r>
        <w:r>
          <w:rPr>
            <w:webHidden/>
          </w:rPr>
          <w:tab/>
        </w:r>
        <w:r>
          <w:rPr>
            <w:webHidden/>
          </w:rPr>
          <w:fldChar w:fldCharType="begin"/>
        </w:r>
        <w:r>
          <w:rPr>
            <w:webHidden/>
          </w:rPr>
          <w:instrText xml:space="preserve"> PAGEREF _Toc84936074 \h </w:instrText>
        </w:r>
        <w:r>
          <w:rPr>
            <w:webHidden/>
          </w:rPr>
          <w:fldChar w:fldCharType="separate"/>
        </w:r>
        <w:r>
          <w:rPr>
            <w:webHidden/>
          </w:rPr>
          <w:t>3</w:t>
        </w:r>
        <w:r>
          <w:rPr>
            <w:webHidden/>
          </w:rPr>
          <w:fldChar w:fldCharType="end"/>
        </w:r>
      </w:hyperlink>
    </w:p>
    <w:p w:rsidR="002D1E45" w:rsidRDefault="002D1E45" w:rsidP="00593CE9">
      <w:pPr>
        <w:tabs>
          <w:tab w:val="right" w:pos="9498"/>
          <w:tab w:val="right" w:pos="9923"/>
          <w:tab w:val="right" w:pos="10205"/>
          <w:tab w:val="right" w:pos="10348"/>
        </w:tabs>
        <w:jc w:val="center"/>
        <w:rPr>
          <w:rFonts w:ascii="Times New Roman" w:hAnsi="Times New Roman"/>
          <w:sz w:val="24"/>
          <w:szCs w:val="24"/>
          <w:lang w:eastAsia="ru-RU"/>
        </w:rPr>
      </w:pPr>
      <w:r w:rsidRPr="007D1CC7">
        <w:rPr>
          <w:lang w:eastAsia="ru-RU"/>
        </w:rPr>
        <w:fldChar w:fldCharType="end"/>
      </w:r>
    </w:p>
    <w:p w:rsidR="002D1E45" w:rsidRPr="00DE0A01" w:rsidRDefault="002D1E45" w:rsidP="00D05D06">
      <w:pPr>
        <w:pStyle w:val="Heading1"/>
        <w:numPr>
          <w:ilvl w:val="0"/>
          <w:numId w:val="65"/>
        </w:numPr>
        <w:rPr>
          <w:b/>
          <w:sz w:val="32"/>
        </w:rPr>
      </w:pPr>
      <w:bookmarkStart w:id="2" w:name="_Toc442008383"/>
      <w:bookmarkStart w:id="3" w:name="_Toc442523024"/>
      <w:bookmarkStart w:id="4" w:name="_Toc442523282"/>
      <w:bookmarkStart w:id="5" w:name="_Toc84936003"/>
      <w:r w:rsidRPr="00DE0A01">
        <w:rPr>
          <w:b/>
          <w:sz w:val="32"/>
        </w:rPr>
        <w:t>Общие положения</w:t>
      </w:r>
      <w:bookmarkEnd w:id="2"/>
      <w:bookmarkEnd w:id="3"/>
      <w:bookmarkEnd w:id="4"/>
      <w:bookmarkEnd w:id="5"/>
    </w:p>
    <w:p w:rsidR="002D1E45" w:rsidRPr="00034677" w:rsidRDefault="002D1E45" w:rsidP="00852938">
      <w:pPr>
        <w:pStyle w:val="Heading2"/>
        <w:numPr>
          <w:ilvl w:val="1"/>
          <w:numId w:val="65"/>
        </w:numPr>
        <w:tabs>
          <w:tab w:val="clear" w:pos="794"/>
          <w:tab w:val="num" w:pos="993"/>
        </w:tabs>
        <w:ind w:left="993" w:hanging="633"/>
        <w:jc w:val="both"/>
        <w:rPr>
          <w:b/>
        </w:rPr>
      </w:pPr>
      <w:bookmarkStart w:id="6" w:name="_Toc84936004"/>
      <w:r w:rsidRPr="00034677">
        <w:rPr>
          <w:b/>
        </w:rPr>
        <w:t>Перечень применяемых в</w:t>
      </w:r>
      <w:r>
        <w:rPr>
          <w:b/>
        </w:rPr>
        <w:t> </w:t>
      </w:r>
      <w:r w:rsidRPr="00034677">
        <w:rPr>
          <w:b/>
        </w:rPr>
        <w:t>тексте сокращений</w:t>
      </w:r>
      <w:bookmarkEnd w:id="6"/>
    </w:p>
    <w:p w:rsidR="002D1E45" w:rsidRDefault="002D1E45" w:rsidP="00B334E2">
      <w:pPr>
        <w:spacing w:line="240" w:lineRule="auto"/>
        <w:ind w:firstLine="709"/>
        <w:contextualSpacing/>
        <w:jc w:val="both"/>
        <w:rPr>
          <w:rFonts w:ascii="Times New Roman" w:hAnsi="Times New Roman"/>
          <w:sz w:val="28"/>
          <w:szCs w:val="28"/>
        </w:rPr>
      </w:pPr>
    </w:p>
    <w:tbl>
      <w:tblPr>
        <w:tblW w:w="0" w:type="auto"/>
        <w:jc w:val="center"/>
        <w:tblLook w:val="00A0"/>
      </w:tblPr>
      <w:tblGrid>
        <w:gridCol w:w="2843"/>
        <w:gridCol w:w="6444"/>
      </w:tblGrid>
      <w:tr w:rsidR="002D1E45" w:rsidRPr="002D30BE" w:rsidTr="008F6C87">
        <w:trPr>
          <w:trHeight w:val="283"/>
          <w:jc w:val="center"/>
        </w:trPr>
        <w:tc>
          <w:tcPr>
            <w:tcW w:w="2843" w:type="dxa"/>
            <w:vAlign w:val="center"/>
          </w:tcPr>
          <w:p w:rsidR="002D1E45" w:rsidRPr="002D30BE" w:rsidRDefault="002D1E45" w:rsidP="00B334E2">
            <w:pPr>
              <w:spacing w:after="60" w:line="240" w:lineRule="auto"/>
              <w:rPr>
                <w:rFonts w:ascii="Times New Roman" w:hAnsi="Times New Roman"/>
                <w:color w:val="000000"/>
                <w:sz w:val="28"/>
                <w:szCs w:val="28"/>
                <w:lang w:eastAsia="ru-RU"/>
              </w:rPr>
            </w:pPr>
            <w:r w:rsidRPr="002D30BE">
              <w:rPr>
                <w:rFonts w:ascii="Times New Roman" w:hAnsi="Times New Roman"/>
                <w:color w:val="000000"/>
                <w:sz w:val="28"/>
                <w:szCs w:val="28"/>
                <w:lang w:eastAsia="ru-RU"/>
              </w:rPr>
              <w:t>АХОВ</w:t>
            </w:r>
          </w:p>
        </w:tc>
        <w:tc>
          <w:tcPr>
            <w:tcW w:w="6444" w:type="dxa"/>
            <w:vAlign w:val="center"/>
          </w:tcPr>
          <w:p w:rsidR="002D1E45" w:rsidRPr="002D30BE" w:rsidRDefault="002D1E45" w:rsidP="00B334E2">
            <w:pPr>
              <w:spacing w:after="60" w:line="240" w:lineRule="auto"/>
              <w:jc w:val="both"/>
              <w:rPr>
                <w:rFonts w:ascii="Times New Roman" w:hAnsi="Times New Roman"/>
                <w:color w:val="000000"/>
                <w:sz w:val="28"/>
                <w:szCs w:val="28"/>
                <w:lang w:eastAsia="ru-RU"/>
              </w:rPr>
            </w:pPr>
            <w:r w:rsidRPr="002D30BE">
              <w:rPr>
                <w:rFonts w:ascii="Times New Roman" w:hAnsi="Times New Roman"/>
                <w:color w:val="000000"/>
                <w:sz w:val="28"/>
                <w:szCs w:val="28"/>
                <w:lang w:eastAsia="ru-RU"/>
              </w:rPr>
              <w:t>аварийно-химически опасные вещества</w:t>
            </w:r>
          </w:p>
        </w:tc>
      </w:tr>
      <w:tr w:rsidR="002D1E45" w:rsidRPr="002D30BE" w:rsidTr="008F6C87">
        <w:trPr>
          <w:trHeight w:val="283"/>
          <w:jc w:val="center"/>
        </w:trPr>
        <w:tc>
          <w:tcPr>
            <w:tcW w:w="2843" w:type="dxa"/>
            <w:vAlign w:val="center"/>
          </w:tcPr>
          <w:p w:rsidR="002D1E45" w:rsidRPr="002D30BE" w:rsidRDefault="002D1E45" w:rsidP="00B334E2">
            <w:pPr>
              <w:spacing w:after="60" w:line="240" w:lineRule="auto"/>
              <w:rPr>
                <w:rFonts w:ascii="Times New Roman" w:hAnsi="Times New Roman"/>
                <w:color w:val="000000"/>
                <w:sz w:val="28"/>
                <w:szCs w:val="28"/>
                <w:lang w:eastAsia="ru-RU"/>
              </w:rPr>
            </w:pPr>
            <w:r w:rsidRPr="002D30BE">
              <w:rPr>
                <w:rFonts w:ascii="Times New Roman" w:hAnsi="Times New Roman"/>
                <w:color w:val="000000"/>
                <w:sz w:val="28"/>
                <w:szCs w:val="28"/>
                <w:lang w:eastAsia="ru-RU"/>
              </w:rPr>
              <w:t>ВЛ</w:t>
            </w:r>
          </w:p>
        </w:tc>
        <w:tc>
          <w:tcPr>
            <w:tcW w:w="6444" w:type="dxa"/>
            <w:vAlign w:val="center"/>
          </w:tcPr>
          <w:p w:rsidR="002D1E45" w:rsidRPr="002D30BE" w:rsidRDefault="002D1E45" w:rsidP="00B334E2">
            <w:pPr>
              <w:spacing w:after="60" w:line="240" w:lineRule="auto"/>
              <w:jc w:val="both"/>
              <w:rPr>
                <w:rFonts w:ascii="Times New Roman" w:hAnsi="Times New Roman"/>
                <w:color w:val="000000"/>
                <w:sz w:val="28"/>
                <w:szCs w:val="28"/>
                <w:lang w:eastAsia="ru-RU"/>
              </w:rPr>
            </w:pPr>
            <w:r w:rsidRPr="002D30BE">
              <w:rPr>
                <w:rFonts w:ascii="Times New Roman" w:hAnsi="Times New Roman"/>
                <w:color w:val="000000"/>
                <w:sz w:val="28"/>
                <w:szCs w:val="28"/>
                <w:lang w:eastAsia="ru-RU"/>
              </w:rPr>
              <w:t>воздушная линия</w:t>
            </w:r>
          </w:p>
        </w:tc>
      </w:tr>
      <w:tr w:rsidR="002D1E45" w:rsidRPr="002D30BE" w:rsidTr="008F6C87">
        <w:trPr>
          <w:trHeight w:val="283"/>
          <w:jc w:val="center"/>
        </w:trPr>
        <w:tc>
          <w:tcPr>
            <w:tcW w:w="2843" w:type="dxa"/>
            <w:vAlign w:val="center"/>
          </w:tcPr>
          <w:p w:rsidR="002D1E45" w:rsidRPr="002D30BE" w:rsidRDefault="002D1E45" w:rsidP="00B334E2">
            <w:pPr>
              <w:spacing w:after="60" w:line="240" w:lineRule="auto"/>
              <w:rPr>
                <w:rFonts w:ascii="Times New Roman" w:hAnsi="Times New Roman"/>
                <w:color w:val="000000"/>
                <w:sz w:val="28"/>
                <w:szCs w:val="28"/>
                <w:lang w:eastAsia="ru-RU"/>
              </w:rPr>
            </w:pPr>
            <w:r>
              <w:rPr>
                <w:rFonts w:ascii="Times New Roman" w:hAnsi="Times New Roman"/>
                <w:color w:val="000000"/>
                <w:sz w:val="28"/>
                <w:szCs w:val="28"/>
                <w:lang w:eastAsia="ru-RU"/>
              </w:rPr>
              <w:t>ВОС</w:t>
            </w:r>
          </w:p>
        </w:tc>
        <w:tc>
          <w:tcPr>
            <w:tcW w:w="6444" w:type="dxa"/>
            <w:vAlign w:val="center"/>
          </w:tcPr>
          <w:p w:rsidR="002D1E45" w:rsidRPr="002D30BE" w:rsidRDefault="002D1E45" w:rsidP="00B334E2">
            <w:pPr>
              <w:spacing w:after="60" w:line="240" w:lineRule="auto"/>
              <w:jc w:val="both"/>
              <w:rPr>
                <w:rFonts w:ascii="Times New Roman" w:hAnsi="Times New Roman"/>
                <w:color w:val="000000"/>
                <w:sz w:val="28"/>
                <w:szCs w:val="28"/>
                <w:lang w:eastAsia="ru-RU"/>
              </w:rPr>
            </w:pPr>
            <w:r>
              <w:rPr>
                <w:rFonts w:ascii="Times New Roman" w:hAnsi="Times New Roman"/>
                <w:color w:val="000000"/>
                <w:sz w:val="28"/>
                <w:szCs w:val="28"/>
                <w:lang w:eastAsia="ru-RU"/>
              </w:rPr>
              <w:t>водоочистные сооружения</w:t>
            </w:r>
          </w:p>
        </w:tc>
      </w:tr>
      <w:tr w:rsidR="002D1E45" w:rsidRPr="002D30BE" w:rsidTr="008F6C87">
        <w:trPr>
          <w:trHeight w:val="283"/>
          <w:jc w:val="center"/>
        </w:trPr>
        <w:tc>
          <w:tcPr>
            <w:tcW w:w="2843" w:type="dxa"/>
            <w:vAlign w:val="center"/>
          </w:tcPr>
          <w:p w:rsidR="002D1E45" w:rsidRPr="002D30BE" w:rsidRDefault="002D1E45" w:rsidP="00B334E2">
            <w:pPr>
              <w:spacing w:after="60" w:line="240" w:lineRule="auto"/>
              <w:rPr>
                <w:rFonts w:ascii="Times New Roman" w:hAnsi="Times New Roman"/>
                <w:color w:val="000000"/>
                <w:sz w:val="28"/>
                <w:szCs w:val="28"/>
                <w:lang w:eastAsia="ru-RU"/>
              </w:rPr>
            </w:pPr>
            <w:r w:rsidRPr="002D30BE">
              <w:rPr>
                <w:rFonts w:ascii="Times New Roman" w:hAnsi="Times New Roman"/>
                <w:color w:val="000000"/>
                <w:sz w:val="28"/>
                <w:szCs w:val="28"/>
                <w:lang w:eastAsia="ru-RU"/>
              </w:rPr>
              <w:t>ГО</w:t>
            </w:r>
          </w:p>
        </w:tc>
        <w:tc>
          <w:tcPr>
            <w:tcW w:w="6444" w:type="dxa"/>
            <w:vAlign w:val="center"/>
          </w:tcPr>
          <w:p w:rsidR="002D1E45" w:rsidRPr="002D30BE" w:rsidRDefault="002D1E45" w:rsidP="00B334E2">
            <w:pPr>
              <w:spacing w:after="60" w:line="240" w:lineRule="auto"/>
              <w:jc w:val="both"/>
              <w:rPr>
                <w:rFonts w:ascii="Times New Roman" w:hAnsi="Times New Roman"/>
                <w:color w:val="000000"/>
                <w:sz w:val="28"/>
                <w:szCs w:val="28"/>
                <w:lang w:eastAsia="ru-RU"/>
              </w:rPr>
            </w:pPr>
            <w:r w:rsidRPr="002D30BE">
              <w:rPr>
                <w:rFonts w:ascii="Times New Roman" w:hAnsi="Times New Roman"/>
                <w:color w:val="000000"/>
                <w:sz w:val="28"/>
                <w:szCs w:val="28"/>
                <w:lang w:eastAsia="ru-RU"/>
              </w:rPr>
              <w:t>гражданская оборона</w:t>
            </w:r>
          </w:p>
        </w:tc>
      </w:tr>
      <w:tr w:rsidR="002D1E45" w:rsidRPr="002D30BE" w:rsidTr="008F6C87">
        <w:trPr>
          <w:trHeight w:val="283"/>
          <w:jc w:val="center"/>
        </w:trPr>
        <w:tc>
          <w:tcPr>
            <w:tcW w:w="2843" w:type="dxa"/>
            <w:vAlign w:val="center"/>
          </w:tcPr>
          <w:p w:rsidR="002D1E45" w:rsidRPr="002D30BE" w:rsidRDefault="002D1E45" w:rsidP="00B334E2">
            <w:pPr>
              <w:spacing w:after="60" w:line="240" w:lineRule="auto"/>
              <w:rPr>
                <w:rFonts w:ascii="Times New Roman" w:hAnsi="Times New Roman"/>
                <w:color w:val="000000"/>
                <w:sz w:val="28"/>
                <w:szCs w:val="28"/>
                <w:lang w:eastAsia="ru-RU"/>
              </w:rPr>
            </w:pPr>
            <w:r>
              <w:rPr>
                <w:rFonts w:ascii="Times New Roman" w:hAnsi="Times New Roman"/>
                <w:color w:val="000000"/>
                <w:sz w:val="28"/>
                <w:szCs w:val="28"/>
                <w:lang w:eastAsia="ru-RU"/>
              </w:rPr>
              <w:t>д.</w:t>
            </w:r>
          </w:p>
        </w:tc>
        <w:tc>
          <w:tcPr>
            <w:tcW w:w="6444" w:type="dxa"/>
            <w:vAlign w:val="center"/>
          </w:tcPr>
          <w:p w:rsidR="002D1E45" w:rsidRPr="002D30BE" w:rsidRDefault="002D1E45" w:rsidP="00B334E2">
            <w:pPr>
              <w:spacing w:after="60" w:line="240" w:lineRule="auto"/>
              <w:jc w:val="both"/>
              <w:rPr>
                <w:rFonts w:ascii="Times New Roman" w:hAnsi="Times New Roman"/>
                <w:color w:val="000000"/>
                <w:sz w:val="28"/>
                <w:szCs w:val="28"/>
                <w:lang w:eastAsia="ru-RU"/>
              </w:rPr>
            </w:pPr>
            <w:r>
              <w:rPr>
                <w:rFonts w:ascii="Times New Roman" w:hAnsi="Times New Roman"/>
                <w:color w:val="000000"/>
                <w:sz w:val="28"/>
                <w:szCs w:val="28"/>
                <w:lang w:eastAsia="ru-RU"/>
              </w:rPr>
              <w:t>деревня</w:t>
            </w:r>
          </w:p>
        </w:tc>
      </w:tr>
      <w:tr w:rsidR="002D1E45" w:rsidRPr="002D30BE" w:rsidTr="008F6C87">
        <w:trPr>
          <w:trHeight w:val="283"/>
          <w:jc w:val="center"/>
        </w:trPr>
        <w:tc>
          <w:tcPr>
            <w:tcW w:w="2843" w:type="dxa"/>
            <w:vAlign w:val="center"/>
          </w:tcPr>
          <w:p w:rsidR="002D1E45" w:rsidRPr="002D30BE" w:rsidRDefault="002D1E45" w:rsidP="00B334E2">
            <w:pPr>
              <w:spacing w:after="60" w:line="240" w:lineRule="auto"/>
              <w:rPr>
                <w:rFonts w:ascii="Times New Roman" w:hAnsi="Times New Roman"/>
                <w:color w:val="000000"/>
                <w:sz w:val="28"/>
                <w:szCs w:val="28"/>
                <w:lang w:eastAsia="ru-RU"/>
              </w:rPr>
            </w:pPr>
            <w:r w:rsidRPr="002D30BE">
              <w:rPr>
                <w:rFonts w:ascii="Times New Roman" w:hAnsi="Times New Roman"/>
                <w:color w:val="000000"/>
                <w:sz w:val="28"/>
                <w:szCs w:val="28"/>
                <w:lang w:eastAsia="ru-RU"/>
              </w:rPr>
              <w:t>дБА</w:t>
            </w:r>
          </w:p>
        </w:tc>
        <w:tc>
          <w:tcPr>
            <w:tcW w:w="6444" w:type="dxa"/>
            <w:vAlign w:val="center"/>
          </w:tcPr>
          <w:p w:rsidR="002D1E45" w:rsidRPr="002D30BE" w:rsidRDefault="002D1E45" w:rsidP="00B334E2">
            <w:pPr>
              <w:spacing w:after="60" w:line="240" w:lineRule="auto"/>
              <w:jc w:val="both"/>
              <w:rPr>
                <w:rFonts w:ascii="Times New Roman" w:hAnsi="Times New Roman"/>
                <w:color w:val="000000"/>
                <w:sz w:val="28"/>
                <w:szCs w:val="28"/>
                <w:lang w:eastAsia="ru-RU"/>
              </w:rPr>
            </w:pPr>
            <w:r w:rsidRPr="002D30BE">
              <w:rPr>
                <w:rFonts w:ascii="Times New Roman" w:hAnsi="Times New Roman"/>
                <w:color w:val="000000"/>
                <w:sz w:val="28"/>
                <w:szCs w:val="28"/>
                <w:lang w:eastAsia="ru-RU"/>
              </w:rPr>
              <w:t>децибел акустический</w:t>
            </w:r>
          </w:p>
        </w:tc>
      </w:tr>
      <w:tr w:rsidR="002D1E45" w:rsidRPr="002D30BE" w:rsidTr="008F6C87">
        <w:trPr>
          <w:trHeight w:val="283"/>
          <w:jc w:val="center"/>
        </w:trPr>
        <w:tc>
          <w:tcPr>
            <w:tcW w:w="2843" w:type="dxa"/>
            <w:vAlign w:val="center"/>
          </w:tcPr>
          <w:p w:rsidR="002D1E45" w:rsidRPr="002D30BE" w:rsidRDefault="002D1E45" w:rsidP="00B334E2">
            <w:pPr>
              <w:spacing w:after="60" w:line="240" w:lineRule="auto"/>
              <w:rPr>
                <w:rFonts w:ascii="Times New Roman" w:hAnsi="Times New Roman"/>
                <w:color w:val="000000"/>
                <w:sz w:val="28"/>
                <w:szCs w:val="28"/>
                <w:lang w:eastAsia="ru-RU"/>
              </w:rPr>
            </w:pPr>
            <w:r w:rsidRPr="002D30BE">
              <w:rPr>
                <w:rFonts w:ascii="Times New Roman" w:hAnsi="Times New Roman"/>
                <w:color w:val="000000"/>
                <w:sz w:val="28"/>
                <w:szCs w:val="28"/>
                <w:lang w:eastAsia="ru-RU"/>
              </w:rPr>
              <w:t>жел. с</w:t>
            </w:r>
            <w:r>
              <w:rPr>
                <w:rFonts w:ascii="Times New Roman" w:hAnsi="Times New Roman"/>
                <w:color w:val="000000"/>
                <w:sz w:val="28"/>
                <w:szCs w:val="28"/>
                <w:lang w:eastAsia="ru-RU"/>
              </w:rPr>
              <w:t> </w:t>
            </w:r>
            <w:r w:rsidRPr="002D30BE">
              <w:rPr>
                <w:rFonts w:ascii="Times New Roman" w:hAnsi="Times New Roman"/>
                <w:color w:val="000000"/>
                <w:sz w:val="28"/>
                <w:szCs w:val="28"/>
                <w:lang w:eastAsia="ru-RU"/>
              </w:rPr>
              <w:t>крыш.</w:t>
            </w:r>
          </w:p>
        </w:tc>
        <w:tc>
          <w:tcPr>
            <w:tcW w:w="6444" w:type="dxa"/>
            <w:vAlign w:val="center"/>
          </w:tcPr>
          <w:p w:rsidR="002D1E45" w:rsidRPr="002D30BE" w:rsidRDefault="002D1E45" w:rsidP="00B334E2">
            <w:pPr>
              <w:spacing w:after="60" w:line="240" w:lineRule="auto"/>
              <w:jc w:val="both"/>
              <w:rPr>
                <w:rFonts w:ascii="Times New Roman" w:hAnsi="Times New Roman"/>
                <w:color w:val="000000"/>
                <w:sz w:val="28"/>
                <w:szCs w:val="28"/>
                <w:lang w:eastAsia="ru-RU"/>
              </w:rPr>
            </w:pPr>
            <w:r w:rsidRPr="002D30BE">
              <w:rPr>
                <w:rFonts w:ascii="Times New Roman" w:hAnsi="Times New Roman"/>
                <w:color w:val="000000"/>
                <w:sz w:val="28"/>
                <w:szCs w:val="28"/>
                <w:lang w:eastAsia="ru-RU"/>
              </w:rPr>
              <w:t>железный с</w:t>
            </w:r>
            <w:r>
              <w:rPr>
                <w:rFonts w:ascii="Times New Roman" w:hAnsi="Times New Roman"/>
                <w:color w:val="000000"/>
                <w:sz w:val="28"/>
                <w:szCs w:val="28"/>
                <w:lang w:eastAsia="ru-RU"/>
              </w:rPr>
              <w:t> </w:t>
            </w:r>
            <w:r w:rsidRPr="002D30BE">
              <w:rPr>
                <w:rFonts w:ascii="Times New Roman" w:hAnsi="Times New Roman"/>
                <w:color w:val="000000"/>
                <w:sz w:val="28"/>
                <w:szCs w:val="28"/>
                <w:lang w:eastAsia="ru-RU"/>
              </w:rPr>
              <w:t>крышкой</w:t>
            </w:r>
          </w:p>
        </w:tc>
      </w:tr>
      <w:tr w:rsidR="002D1E45" w:rsidRPr="002D30BE" w:rsidTr="008F6C87">
        <w:trPr>
          <w:trHeight w:val="283"/>
          <w:jc w:val="center"/>
        </w:trPr>
        <w:tc>
          <w:tcPr>
            <w:tcW w:w="2843" w:type="dxa"/>
            <w:vAlign w:val="center"/>
          </w:tcPr>
          <w:p w:rsidR="002D1E45" w:rsidRPr="002D30BE" w:rsidRDefault="002D1E45" w:rsidP="00B334E2">
            <w:pPr>
              <w:spacing w:after="60" w:line="240" w:lineRule="auto"/>
              <w:rPr>
                <w:rFonts w:ascii="Times New Roman" w:hAnsi="Times New Roman"/>
                <w:color w:val="000000"/>
                <w:sz w:val="28"/>
                <w:szCs w:val="28"/>
                <w:lang w:eastAsia="ru-RU"/>
              </w:rPr>
            </w:pPr>
            <w:r w:rsidRPr="002D30BE">
              <w:rPr>
                <w:rFonts w:ascii="Times New Roman" w:hAnsi="Times New Roman"/>
                <w:color w:val="000000"/>
                <w:sz w:val="28"/>
                <w:szCs w:val="28"/>
                <w:lang w:eastAsia="ru-RU"/>
              </w:rPr>
              <w:t>кол-во</w:t>
            </w:r>
          </w:p>
        </w:tc>
        <w:tc>
          <w:tcPr>
            <w:tcW w:w="6444" w:type="dxa"/>
            <w:vAlign w:val="center"/>
          </w:tcPr>
          <w:p w:rsidR="002D1E45" w:rsidRPr="002D30BE" w:rsidRDefault="002D1E45" w:rsidP="00B334E2">
            <w:pPr>
              <w:spacing w:after="60" w:line="240" w:lineRule="auto"/>
              <w:jc w:val="both"/>
              <w:rPr>
                <w:rFonts w:ascii="Times New Roman" w:hAnsi="Times New Roman"/>
                <w:color w:val="000000"/>
                <w:sz w:val="28"/>
                <w:szCs w:val="28"/>
                <w:lang w:eastAsia="ru-RU"/>
              </w:rPr>
            </w:pPr>
            <w:r w:rsidRPr="002D30BE">
              <w:rPr>
                <w:rFonts w:ascii="Times New Roman" w:hAnsi="Times New Roman"/>
                <w:color w:val="000000"/>
                <w:sz w:val="28"/>
                <w:szCs w:val="28"/>
                <w:lang w:eastAsia="ru-RU"/>
              </w:rPr>
              <w:t>количество</w:t>
            </w:r>
          </w:p>
        </w:tc>
      </w:tr>
      <w:tr w:rsidR="002D1E45" w:rsidRPr="002D30BE" w:rsidTr="008F6C87">
        <w:trPr>
          <w:trHeight w:val="283"/>
          <w:jc w:val="center"/>
        </w:trPr>
        <w:tc>
          <w:tcPr>
            <w:tcW w:w="2843" w:type="dxa"/>
            <w:vAlign w:val="center"/>
          </w:tcPr>
          <w:p w:rsidR="002D1E45" w:rsidRPr="002D30BE" w:rsidRDefault="002D1E45" w:rsidP="00B334E2">
            <w:pPr>
              <w:spacing w:after="60" w:line="240" w:lineRule="auto"/>
              <w:rPr>
                <w:rFonts w:ascii="Times New Roman" w:hAnsi="Times New Roman"/>
                <w:color w:val="000000"/>
                <w:sz w:val="28"/>
                <w:szCs w:val="28"/>
                <w:lang w:eastAsia="ru-RU"/>
              </w:rPr>
            </w:pPr>
            <w:r>
              <w:rPr>
                <w:rFonts w:ascii="Times New Roman" w:hAnsi="Times New Roman"/>
                <w:color w:val="000000"/>
                <w:sz w:val="28"/>
                <w:szCs w:val="28"/>
                <w:lang w:eastAsia="ru-RU"/>
              </w:rPr>
              <w:t>КНС</w:t>
            </w:r>
          </w:p>
        </w:tc>
        <w:tc>
          <w:tcPr>
            <w:tcW w:w="6444" w:type="dxa"/>
            <w:vAlign w:val="center"/>
          </w:tcPr>
          <w:p w:rsidR="002D1E45" w:rsidRPr="002D30BE" w:rsidRDefault="002D1E45" w:rsidP="00B334E2">
            <w:pPr>
              <w:spacing w:after="60" w:line="240" w:lineRule="auto"/>
              <w:jc w:val="both"/>
              <w:rPr>
                <w:rFonts w:ascii="Times New Roman" w:hAnsi="Times New Roman"/>
                <w:color w:val="000000"/>
                <w:sz w:val="28"/>
                <w:szCs w:val="28"/>
                <w:lang w:eastAsia="ru-RU"/>
              </w:rPr>
            </w:pPr>
            <w:r>
              <w:rPr>
                <w:rFonts w:ascii="Times New Roman" w:hAnsi="Times New Roman"/>
                <w:color w:val="000000"/>
                <w:sz w:val="28"/>
                <w:szCs w:val="28"/>
                <w:lang w:eastAsia="ru-RU"/>
              </w:rPr>
              <w:t>канализационная насосная станция</w:t>
            </w:r>
          </w:p>
        </w:tc>
      </w:tr>
      <w:tr w:rsidR="002D1E45" w:rsidRPr="002D30BE" w:rsidTr="008F6C87">
        <w:trPr>
          <w:trHeight w:val="283"/>
          <w:jc w:val="center"/>
        </w:trPr>
        <w:tc>
          <w:tcPr>
            <w:tcW w:w="2843" w:type="dxa"/>
            <w:vAlign w:val="center"/>
          </w:tcPr>
          <w:p w:rsidR="002D1E45" w:rsidRPr="002D30BE" w:rsidRDefault="002D1E45" w:rsidP="00B334E2">
            <w:pPr>
              <w:spacing w:after="60" w:line="240" w:lineRule="auto"/>
              <w:rPr>
                <w:rFonts w:ascii="Times New Roman" w:hAnsi="Times New Roman"/>
                <w:color w:val="000000"/>
                <w:sz w:val="28"/>
                <w:szCs w:val="28"/>
                <w:lang w:eastAsia="ru-RU"/>
              </w:rPr>
            </w:pPr>
            <w:r>
              <w:rPr>
                <w:rFonts w:ascii="Times New Roman" w:hAnsi="Times New Roman"/>
                <w:color w:val="000000"/>
                <w:sz w:val="28"/>
                <w:szCs w:val="28"/>
                <w:lang w:eastAsia="ru-RU"/>
              </w:rPr>
              <w:t>КОС</w:t>
            </w:r>
          </w:p>
        </w:tc>
        <w:tc>
          <w:tcPr>
            <w:tcW w:w="6444" w:type="dxa"/>
            <w:vAlign w:val="center"/>
          </w:tcPr>
          <w:p w:rsidR="002D1E45" w:rsidRPr="002D30BE" w:rsidRDefault="002D1E45" w:rsidP="00B334E2">
            <w:pPr>
              <w:spacing w:after="60" w:line="240" w:lineRule="auto"/>
              <w:jc w:val="both"/>
              <w:rPr>
                <w:rFonts w:ascii="Times New Roman" w:hAnsi="Times New Roman"/>
                <w:color w:val="000000"/>
                <w:sz w:val="28"/>
                <w:szCs w:val="28"/>
                <w:lang w:eastAsia="ru-RU"/>
              </w:rPr>
            </w:pPr>
            <w:r>
              <w:rPr>
                <w:rFonts w:ascii="Times New Roman" w:hAnsi="Times New Roman"/>
                <w:color w:val="000000"/>
                <w:sz w:val="28"/>
                <w:szCs w:val="28"/>
                <w:lang w:eastAsia="ru-RU"/>
              </w:rPr>
              <w:t>канализационные очистные сооружения</w:t>
            </w:r>
          </w:p>
        </w:tc>
      </w:tr>
      <w:tr w:rsidR="002D1E45" w:rsidRPr="002D30BE" w:rsidTr="008F6C87">
        <w:trPr>
          <w:trHeight w:val="283"/>
          <w:jc w:val="center"/>
        </w:trPr>
        <w:tc>
          <w:tcPr>
            <w:tcW w:w="2843" w:type="dxa"/>
            <w:vAlign w:val="center"/>
          </w:tcPr>
          <w:p w:rsidR="002D1E45" w:rsidRPr="002D30BE" w:rsidRDefault="002D1E45" w:rsidP="00B334E2">
            <w:pPr>
              <w:spacing w:after="60" w:line="240" w:lineRule="auto"/>
              <w:rPr>
                <w:rFonts w:ascii="Times New Roman" w:hAnsi="Times New Roman"/>
                <w:color w:val="000000"/>
                <w:sz w:val="28"/>
                <w:szCs w:val="28"/>
                <w:lang w:eastAsia="ru-RU"/>
              </w:rPr>
            </w:pPr>
            <w:r w:rsidRPr="002D30BE">
              <w:rPr>
                <w:rFonts w:ascii="Times New Roman" w:hAnsi="Times New Roman"/>
                <w:color w:val="000000"/>
                <w:sz w:val="28"/>
                <w:szCs w:val="28"/>
                <w:lang w:eastAsia="ru-RU"/>
              </w:rPr>
              <w:t>ЛВГЖ</w:t>
            </w:r>
          </w:p>
        </w:tc>
        <w:tc>
          <w:tcPr>
            <w:tcW w:w="6444" w:type="dxa"/>
            <w:vAlign w:val="center"/>
          </w:tcPr>
          <w:p w:rsidR="002D1E45" w:rsidRPr="002D30BE" w:rsidRDefault="002D1E45" w:rsidP="00B334E2">
            <w:pPr>
              <w:spacing w:after="60" w:line="240" w:lineRule="auto"/>
              <w:jc w:val="both"/>
              <w:rPr>
                <w:rFonts w:ascii="Times New Roman" w:hAnsi="Times New Roman"/>
                <w:color w:val="000000"/>
                <w:sz w:val="28"/>
                <w:szCs w:val="28"/>
                <w:lang w:eastAsia="ru-RU"/>
              </w:rPr>
            </w:pPr>
            <w:r w:rsidRPr="002D30BE">
              <w:rPr>
                <w:rFonts w:ascii="Times New Roman" w:hAnsi="Times New Roman"/>
                <w:color w:val="000000"/>
                <w:sz w:val="28"/>
                <w:szCs w:val="28"/>
                <w:lang w:eastAsia="ru-RU"/>
              </w:rPr>
              <w:t>легковоспламеняющиеся и</w:t>
            </w:r>
            <w:r>
              <w:rPr>
                <w:rFonts w:ascii="Times New Roman" w:hAnsi="Times New Roman"/>
                <w:color w:val="000000"/>
                <w:sz w:val="28"/>
                <w:szCs w:val="28"/>
                <w:lang w:eastAsia="ru-RU"/>
              </w:rPr>
              <w:t> </w:t>
            </w:r>
            <w:r w:rsidRPr="002D30BE">
              <w:rPr>
                <w:rFonts w:ascii="Times New Roman" w:hAnsi="Times New Roman"/>
                <w:color w:val="000000"/>
                <w:sz w:val="28"/>
                <w:szCs w:val="28"/>
                <w:lang w:eastAsia="ru-RU"/>
              </w:rPr>
              <w:t>горючие жидкости.</w:t>
            </w:r>
          </w:p>
        </w:tc>
      </w:tr>
      <w:tr w:rsidR="002D1E45" w:rsidRPr="002D30BE" w:rsidTr="008F6C87">
        <w:trPr>
          <w:trHeight w:val="283"/>
          <w:jc w:val="center"/>
        </w:trPr>
        <w:tc>
          <w:tcPr>
            <w:tcW w:w="2843" w:type="dxa"/>
            <w:vAlign w:val="center"/>
          </w:tcPr>
          <w:p w:rsidR="002D1E45" w:rsidRPr="002D30BE" w:rsidRDefault="002D1E45" w:rsidP="00B334E2">
            <w:pPr>
              <w:spacing w:after="60" w:line="240" w:lineRule="auto"/>
              <w:rPr>
                <w:rFonts w:ascii="Times New Roman" w:hAnsi="Times New Roman"/>
                <w:color w:val="000000"/>
                <w:sz w:val="28"/>
                <w:szCs w:val="28"/>
                <w:lang w:eastAsia="ru-RU"/>
              </w:rPr>
            </w:pPr>
            <w:r w:rsidRPr="002D30BE">
              <w:rPr>
                <w:rFonts w:ascii="Times New Roman" w:hAnsi="Times New Roman"/>
                <w:color w:val="000000"/>
                <w:sz w:val="28"/>
                <w:szCs w:val="28"/>
                <w:lang w:eastAsia="ru-RU"/>
              </w:rPr>
              <w:t>ЛЭП</w:t>
            </w:r>
          </w:p>
        </w:tc>
        <w:tc>
          <w:tcPr>
            <w:tcW w:w="6444" w:type="dxa"/>
            <w:vAlign w:val="center"/>
          </w:tcPr>
          <w:p w:rsidR="002D1E45" w:rsidRPr="002D30BE" w:rsidRDefault="002D1E45" w:rsidP="00B334E2">
            <w:pPr>
              <w:spacing w:after="60" w:line="240" w:lineRule="auto"/>
              <w:jc w:val="both"/>
              <w:rPr>
                <w:rFonts w:ascii="Times New Roman" w:hAnsi="Times New Roman"/>
                <w:color w:val="000000"/>
                <w:sz w:val="28"/>
                <w:szCs w:val="28"/>
                <w:lang w:eastAsia="ru-RU"/>
              </w:rPr>
            </w:pPr>
            <w:r w:rsidRPr="002D30BE">
              <w:rPr>
                <w:rFonts w:ascii="Times New Roman" w:hAnsi="Times New Roman"/>
                <w:color w:val="000000"/>
                <w:sz w:val="28"/>
                <w:szCs w:val="28"/>
                <w:lang w:eastAsia="ru-RU"/>
              </w:rPr>
              <w:t>линия электропередачи</w:t>
            </w:r>
          </w:p>
        </w:tc>
      </w:tr>
      <w:tr w:rsidR="002D1E45" w:rsidRPr="002D30BE" w:rsidTr="008F6C87">
        <w:trPr>
          <w:trHeight w:val="283"/>
          <w:jc w:val="center"/>
        </w:trPr>
        <w:tc>
          <w:tcPr>
            <w:tcW w:w="2843" w:type="dxa"/>
            <w:vAlign w:val="center"/>
          </w:tcPr>
          <w:p w:rsidR="002D1E45" w:rsidRPr="002D30BE" w:rsidRDefault="002D1E45" w:rsidP="00B334E2">
            <w:pPr>
              <w:spacing w:after="60" w:line="240" w:lineRule="auto"/>
              <w:rPr>
                <w:rFonts w:ascii="Times New Roman" w:hAnsi="Times New Roman"/>
                <w:color w:val="000000"/>
                <w:sz w:val="28"/>
                <w:szCs w:val="28"/>
                <w:lang w:eastAsia="ru-RU"/>
              </w:rPr>
            </w:pPr>
            <w:r w:rsidRPr="002D30BE">
              <w:rPr>
                <w:rFonts w:ascii="Times New Roman" w:hAnsi="Times New Roman"/>
                <w:color w:val="000000"/>
                <w:sz w:val="28"/>
                <w:szCs w:val="28"/>
                <w:lang w:eastAsia="ru-RU"/>
              </w:rPr>
              <w:t>оз.</w:t>
            </w:r>
          </w:p>
        </w:tc>
        <w:tc>
          <w:tcPr>
            <w:tcW w:w="6444" w:type="dxa"/>
            <w:vAlign w:val="center"/>
          </w:tcPr>
          <w:p w:rsidR="002D1E45" w:rsidRPr="002D30BE" w:rsidRDefault="002D1E45" w:rsidP="00B334E2">
            <w:pPr>
              <w:spacing w:after="60" w:line="240" w:lineRule="auto"/>
              <w:jc w:val="both"/>
              <w:rPr>
                <w:rFonts w:ascii="Times New Roman" w:hAnsi="Times New Roman"/>
                <w:color w:val="000000"/>
                <w:sz w:val="28"/>
                <w:szCs w:val="28"/>
                <w:lang w:eastAsia="ru-RU"/>
              </w:rPr>
            </w:pPr>
            <w:r w:rsidRPr="002D30BE">
              <w:rPr>
                <w:rFonts w:ascii="Times New Roman" w:hAnsi="Times New Roman"/>
                <w:color w:val="000000"/>
                <w:sz w:val="28"/>
                <w:szCs w:val="28"/>
                <w:lang w:eastAsia="ru-RU"/>
              </w:rPr>
              <w:t>озеро</w:t>
            </w:r>
          </w:p>
        </w:tc>
      </w:tr>
      <w:tr w:rsidR="002D1E45" w:rsidRPr="002D30BE" w:rsidTr="008F6C87">
        <w:trPr>
          <w:trHeight w:val="283"/>
          <w:jc w:val="center"/>
        </w:trPr>
        <w:tc>
          <w:tcPr>
            <w:tcW w:w="2843" w:type="dxa"/>
            <w:vAlign w:val="center"/>
          </w:tcPr>
          <w:p w:rsidR="002D1E45" w:rsidRPr="002D30BE" w:rsidRDefault="002D1E45" w:rsidP="00B334E2">
            <w:pPr>
              <w:spacing w:after="60" w:line="240" w:lineRule="auto"/>
              <w:rPr>
                <w:rFonts w:ascii="Times New Roman" w:hAnsi="Times New Roman"/>
                <w:color w:val="000000"/>
                <w:sz w:val="28"/>
                <w:szCs w:val="28"/>
                <w:lang w:eastAsia="ru-RU"/>
              </w:rPr>
            </w:pPr>
            <w:r w:rsidRPr="002D30BE">
              <w:rPr>
                <w:rFonts w:ascii="Times New Roman" w:hAnsi="Times New Roman"/>
                <w:color w:val="000000"/>
                <w:sz w:val="28"/>
                <w:szCs w:val="28"/>
                <w:lang w:eastAsia="ru-RU"/>
              </w:rPr>
              <w:t>ООПТ</w:t>
            </w:r>
          </w:p>
        </w:tc>
        <w:tc>
          <w:tcPr>
            <w:tcW w:w="6444" w:type="dxa"/>
            <w:vAlign w:val="center"/>
          </w:tcPr>
          <w:p w:rsidR="002D1E45" w:rsidRPr="002D30BE" w:rsidRDefault="002D1E45" w:rsidP="00B334E2">
            <w:pPr>
              <w:spacing w:after="60" w:line="240" w:lineRule="auto"/>
              <w:jc w:val="both"/>
              <w:rPr>
                <w:rFonts w:ascii="Times New Roman" w:hAnsi="Times New Roman"/>
                <w:color w:val="000000"/>
                <w:sz w:val="28"/>
                <w:szCs w:val="28"/>
                <w:lang w:eastAsia="ru-RU"/>
              </w:rPr>
            </w:pPr>
            <w:r w:rsidRPr="002D30BE">
              <w:rPr>
                <w:rFonts w:ascii="Times New Roman" w:hAnsi="Times New Roman"/>
                <w:color w:val="000000"/>
                <w:sz w:val="28"/>
                <w:szCs w:val="28"/>
                <w:lang w:eastAsia="ru-RU"/>
              </w:rPr>
              <w:t xml:space="preserve">особо охраняемые природные территории </w:t>
            </w:r>
          </w:p>
        </w:tc>
      </w:tr>
      <w:tr w:rsidR="002D1E45" w:rsidRPr="002D30BE" w:rsidTr="008F6C87">
        <w:trPr>
          <w:trHeight w:val="283"/>
          <w:jc w:val="center"/>
        </w:trPr>
        <w:tc>
          <w:tcPr>
            <w:tcW w:w="2843" w:type="dxa"/>
            <w:vAlign w:val="center"/>
          </w:tcPr>
          <w:p w:rsidR="002D1E45" w:rsidRPr="002D30BE" w:rsidRDefault="002D1E45" w:rsidP="00B334E2">
            <w:pPr>
              <w:spacing w:after="60" w:line="240" w:lineRule="auto"/>
              <w:rPr>
                <w:rFonts w:ascii="Times New Roman" w:hAnsi="Times New Roman"/>
                <w:color w:val="000000"/>
                <w:sz w:val="28"/>
                <w:szCs w:val="28"/>
                <w:lang w:eastAsia="ru-RU"/>
              </w:rPr>
            </w:pPr>
            <w:r w:rsidRPr="002D30BE">
              <w:rPr>
                <w:rFonts w:ascii="Times New Roman" w:hAnsi="Times New Roman"/>
                <w:color w:val="000000"/>
                <w:sz w:val="28"/>
                <w:szCs w:val="28"/>
                <w:lang w:eastAsia="ru-RU"/>
              </w:rPr>
              <w:t>ПДК</w:t>
            </w:r>
          </w:p>
        </w:tc>
        <w:tc>
          <w:tcPr>
            <w:tcW w:w="6444" w:type="dxa"/>
            <w:vAlign w:val="center"/>
          </w:tcPr>
          <w:p w:rsidR="002D1E45" w:rsidRPr="002D30BE" w:rsidRDefault="002D1E45" w:rsidP="00B334E2">
            <w:pPr>
              <w:spacing w:after="60" w:line="240" w:lineRule="auto"/>
              <w:jc w:val="both"/>
              <w:rPr>
                <w:rFonts w:ascii="Times New Roman" w:hAnsi="Times New Roman"/>
                <w:color w:val="000000"/>
                <w:sz w:val="28"/>
                <w:szCs w:val="28"/>
                <w:lang w:eastAsia="ru-RU"/>
              </w:rPr>
            </w:pPr>
            <w:r w:rsidRPr="002D30BE">
              <w:rPr>
                <w:rFonts w:ascii="Times New Roman" w:hAnsi="Times New Roman"/>
                <w:color w:val="000000"/>
                <w:sz w:val="28"/>
                <w:szCs w:val="28"/>
                <w:lang w:eastAsia="ru-RU"/>
              </w:rPr>
              <w:t>предельно допустимая концентрация</w:t>
            </w:r>
          </w:p>
        </w:tc>
      </w:tr>
      <w:tr w:rsidR="002D1E45" w:rsidRPr="002D30BE" w:rsidTr="008F6C87">
        <w:trPr>
          <w:trHeight w:val="283"/>
          <w:jc w:val="center"/>
        </w:trPr>
        <w:tc>
          <w:tcPr>
            <w:tcW w:w="2843" w:type="dxa"/>
            <w:vAlign w:val="center"/>
          </w:tcPr>
          <w:p w:rsidR="002D1E45" w:rsidRPr="002D30BE" w:rsidRDefault="002D1E45" w:rsidP="00B334E2">
            <w:pPr>
              <w:spacing w:after="60" w:line="240" w:lineRule="auto"/>
              <w:rPr>
                <w:rFonts w:ascii="Times New Roman" w:hAnsi="Times New Roman"/>
                <w:color w:val="000000"/>
                <w:sz w:val="28"/>
                <w:szCs w:val="28"/>
                <w:lang w:eastAsia="ru-RU"/>
              </w:rPr>
            </w:pPr>
            <w:r w:rsidRPr="002D30BE">
              <w:rPr>
                <w:rFonts w:ascii="Times New Roman" w:hAnsi="Times New Roman"/>
                <w:color w:val="000000"/>
                <w:sz w:val="28"/>
                <w:szCs w:val="28"/>
                <w:lang w:eastAsia="ru-RU"/>
              </w:rPr>
              <w:t>пр.</w:t>
            </w:r>
          </w:p>
        </w:tc>
        <w:tc>
          <w:tcPr>
            <w:tcW w:w="6444" w:type="dxa"/>
            <w:vAlign w:val="center"/>
          </w:tcPr>
          <w:p w:rsidR="002D1E45" w:rsidRPr="002D30BE" w:rsidRDefault="002D1E45" w:rsidP="00B334E2">
            <w:pPr>
              <w:spacing w:after="60" w:line="240" w:lineRule="auto"/>
              <w:jc w:val="both"/>
              <w:rPr>
                <w:rFonts w:ascii="Times New Roman" w:hAnsi="Times New Roman"/>
                <w:color w:val="000000"/>
                <w:sz w:val="28"/>
                <w:szCs w:val="28"/>
                <w:lang w:eastAsia="ru-RU"/>
              </w:rPr>
            </w:pPr>
            <w:r w:rsidRPr="002D30BE">
              <w:rPr>
                <w:rFonts w:ascii="Times New Roman" w:hAnsi="Times New Roman"/>
                <w:color w:val="000000"/>
                <w:sz w:val="28"/>
                <w:szCs w:val="28"/>
                <w:lang w:eastAsia="ru-RU"/>
              </w:rPr>
              <w:t>протока</w:t>
            </w:r>
          </w:p>
        </w:tc>
      </w:tr>
      <w:tr w:rsidR="002D1E45" w:rsidRPr="002D30BE" w:rsidTr="008F6C87">
        <w:trPr>
          <w:trHeight w:val="283"/>
          <w:jc w:val="center"/>
        </w:trPr>
        <w:tc>
          <w:tcPr>
            <w:tcW w:w="2843" w:type="dxa"/>
            <w:vAlign w:val="center"/>
          </w:tcPr>
          <w:p w:rsidR="002D1E45" w:rsidRPr="002D30BE" w:rsidRDefault="002D1E45" w:rsidP="00B334E2">
            <w:pPr>
              <w:spacing w:after="60" w:line="240" w:lineRule="auto"/>
              <w:rPr>
                <w:rFonts w:ascii="Times New Roman" w:hAnsi="Times New Roman"/>
                <w:color w:val="000000"/>
                <w:sz w:val="28"/>
                <w:szCs w:val="28"/>
                <w:lang w:eastAsia="ru-RU"/>
              </w:rPr>
            </w:pPr>
            <w:r w:rsidRPr="002D30BE">
              <w:rPr>
                <w:rFonts w:ascii="Times New Roman" w:hAnsi="Times New Roman"/>
                <w:color w:val="000000"/>
                <w:sz w:val="28"/>
                <w:szCs w:val="28"/>
                <w:lang w:eastAsia="ru-RU"/>
              </w:rPr>
              <w:t>ПС</w:t>
            </w:r>
          </w:p>
        </w:tc>
        <w:tc>
          <w:tcPr>
            <w:tcW w:w="6444" w:type="dxa"/>
            <w:vAlign w:val="center"/>
          </w:tcPr>
          <w:p w:rsidR="002D1E45" w:rsidRPr="002D30BE" w:rsidRDefault="002D1E45" w:rsidP="00B334E2">
            <w:pPr>
              <w:spacing w:after="60" w:line="240" w:lineRule="auto"/>
              <w:jc w:val="both"/>
              <w:rPr>
                <w:rFonts w:ascii="Times New Roman" w:hAnsi="Times New Roman"/>
                <w:color w:val="000000"/>
                <w:sz w:val="28"/>
                <w:szCs w:val="28"/>
                <w:lang w:eastAsia="ru-RU"/>
              </w:rPr>
            </w:pPr>
            <w:r w:rsidRPr="002D30BE">
              <w:rPr>
                <w:rFonts w:ascii="Times New Roman" w:hAnsi="Times New Roman"/>
                <w:color w:val="000000"/>
                <w:sz w:val="28"/>
                <w:szCs w:val="28"/>
                <w:lang w:eastAsia="ru-RU"/>
              </w:rPr>
              <w:t>подстанция (электрическая)</w:t>
            </w:r>
          </w:p>
        </w:tc>
      </w:tr>
      <w:tr w:rsidR="002D1E45" w:rsidRPr="002D30BE" w:rsidTr="008F6C87">
        <w:trPr>
          <w:trHeight w:val="283"/>
          <w:jc w:val="center"/>
        </w:trPr>
        <w:tc>
          <w:tcPr>
            <w:tcW w:w="2843" w:type="dxa"/>
            <w:vAlign w:val="center"/>
          </w:tcPr>
          <w:p w:rsidR="002D1E45" w:rsidRPr="002D30BE" w:rsidRDefault="002D1E45" w:rsidP="00B334E2">
            <w:pPr>
              <w:spacing w:after="60" w:line="240" w:lineRule="auto"/>
              <w:rPr>
                <w:rFonts w:ascii="Times New Roman" w:hAnsi="Times New Roman"/>
                <w:color w:val="000000"/>
                <w:sz w:val="28"/>
                <w:szCs w:val="28"/>
                <w:lang w:eastAsia="ru-RU"/>
              </w:rPr>
            </w:pPr>
            <w:r w:rsidRPr="002D30BE">
              <w:rPr>
                <w:rFonts w:ascii="Times New Roman" w:hAnsi="Times New Roman"/>
                <w:color w:val="000000"/>
                <w:sz w:val="28"/>
                <w:szCs w:val="28"/>
                <w:lang w:eastAsia="ru-RU"/>
              </w:rPr>
              <w:t>р.</w:t>
            </w:r>
          </w:p>
        </w:tc>
        <w:tc>
          <w:tcPr>
            <w:tcW w:w="6444" w:type="dxa"/>
            <w:vAlign w:val="center"/>
          </w:tcPr>
          <w:p w:rsidR="002D1E45" w:rsidRPr="002D30BE" w:rsidRDefault="002D1E45" w:rsidP="00B334E2">
            <w:pPr>
              <w:spacing w:after="60" w:line="240" w:lineRule="auto"/>
              <w:jc w:val="both"/>
              <w:rPr>
                <w:rFonts w:ascii="Times New Roman" w:hAnsi="Times New Roman"/>
                <w:color w:val="000000"/>
                <w:sz w:val="28"/>
                <w:szCs w:val="28"/>
                <w:lang w:eastAsia="ru-RU"/>
              </w:rPr>
            </w:pPr>
            <w:r w:rsidRPr="002D30BE">
              <w:rPr>
                <w:rFonts w:ascii="Times New Roman" w:hAnsi="Times New Roman"/>
                <w:color w:val="000000"/>
                <w:sz w:val="28"/>
                <w:szCs w:val="28"/>
                <w:lang w:eastAsia="ru-RU"/>
              </w:rPr>
              <w:t>река</w:t>
            </w:r>
          </w:p>
        </w:tc>
      </w:tr>
      <w:tr w:rsidR="002D1E45" w:rsidRPr="002D30BE" w:rsidTr="008F6C87">
        <w:trPr>
          <w:trHeight w:val="283"/>
          <w:jc w:val="center"/>
        </w:trPr>
        <w:tc>
          <w:tcPr>
            <w:tcW w:w="2843" w:type="dxa"/>
            <w:vAlign w:val="center"/>
          </w:tcPr>
          <w:p w:rsidR="002D1E45" w:rsidRPr="002D30BE" w:rsidRDefault="002D1E45" w:rsidP="00B334E2">
            <w:pPr>
              <w:spacing w:after="60" w:line="240" w:lineRule="auto"/>
              <w:rPr>
                <w:rFonts w:ascii="Times New Roman" w:hAnsi="Times New Roman"/>
                <w:color w:val="000000"/>
                <w:sz w:val="28"/>
                <w:szCs w:val="28"/>
                <w:lang w:eastAsia="ru-RU"/>
              </w:rPr>
            </w:pPr>
            <w:r w:rsidRPr="002D30BE">
              <w:rPr>
                <w:rFonts w:ascii="Times New Roman" w:hAnsi="Times New Roman"/>
                <w:color w:val="000000"/>
                <w:sz w:val="28"/>
                <w:szCs w:val="28"/>
                <w:lang w:eastAsia="ru-RU"/>
              </w:rPr>
              <w:t>с.</w:t>
            </w:r>
          </w:p>
        </w:tc>
        <w:tc>
          <w:tcPr>
            <w:tcW w:w="6444" w:type="dxa"/>
            <w:vAlign w:val="center"/>
          </w:tcPr>
          <w:p w:rsidR="002D1E45" w:rsidRPr="002D30BE" w:rsidRDefault="002D1E45" w:rsidP="00B334E2">
            <w:pPr>
              <w:spacing w:after="60" w:line="240" w:lineRule="auto"/>
              <w:jc w:val="both"/>
              <w:rPr>
                <w:rFonts w:ascii="Times New Roman" w:hAnsi="Times New Roman"/>
                <w:color w:val="000000"/>
                <w:sz w:val="28"/>
                <w:szCs w:val="28"/>
                <w:lang w:eastAsia="ru-RU"/>
              </w:rPr>
            </w:pPr>
            <w:r w:rsidRPr="002D30BE">
              <w:rPr>
                <w:rFonts w:ascii="Times New Roman" w:hAnsi="Times New Roman"/>
                <w:color w:val="000000"/>
                <w:sz w:val="28"/>
                <w:szCs w:val="28"/>
                <w:lang w:eastAsia="ru-RU"/>
              </w:rPr>
              <w:t>село</w:t>
            </w:r>
          </w:p>
        </w:tc>
      </w:tr>
      <w:tr w:rsidR="002D1E45" w:rsidRPr="002D30BE" w:rsidTr="008F6C87">
        <w:trPr>
          <w:trHeight w:val="283"/>
          <w:jc w:val="center"/>
        </w:trPr>
        <w:tc>
          <w:tcPr>
            <w:tcW w:w="2843" w:type="dxa"/>
            <w:vAlign w:val="center"/>
          </w:tcPr>
          <w:p w:rsidR="002D1E45" w:rsidRPr="002D30BE" w:rsidRDefault="002D1E45" w:rsidP="00B334E2">
            <w:pPr>
              <w:spacing w:after="60" w:line="240" w:lineRule="auto"/>
              <w:rPr>
                <w:rFonts w:ascii="Times New Roman" w:hAnsi="Times New Roman"/>
                <w:color w:val="000000"/>
                <w:sz w:val="28"/>
                <w:szCs w:val="28"/>
                <w:lang w:eastAsia="ru-RU"/>
              </w:rPr>
            </w:pPr>
            <w:r w:rsidRPr="002D30BE">
              <w:rPr>
                <w:rFonts w:ascii="Times New Roman" w:hAnsi="Times New Roman"/>
                <w:color w:val="000000"/>
                <w:sz w:val="28"/>
                <w:szCs w:val="28"/>
                <w:lang w:eastAsia="ru-RU"/>
              </w:rPr>
              <w:t>СЗЗ</w:t>
            </w:r>
          </w:p>
        </w:tc>
        <w:tc>
          <w:tcPr>
            <w:tcW w:w="6444" w:type="dxa"/>
            <w:vAlign w:val="center"/>
          </w:tcPr>
          <w:p w:rsidR="002D1E45" w:rsidRPr="002D30BE" w:rsidRDefault="002D1E45" w:rsidP="00B334E2">
            <w:pPr>
              <w:spacing w:after="60" w:line="240" w:lineRule="auto"/>
              <w:jc w:val="both"/>
              <w:rPr>
                <w:rFonts w:ascii="Times New Roman" w:hAnsi="Times New Roman"/>
                <w:color w:val="000000"/>
                <w:sz w:val="28"/>
                <w:szCs w:val="28"/>
                <w:lang w:eastAsia="ru-RU"/>
              </w:rPr>
            </w:pPr>
            <w:r w:rsidRPr="002D30BE">
              <w:rPr>
                <w:rFonts w:ascii="Times New Roman" w:hAnsi="Times New Roman"/>
                <w:color w:val="000000"/>
                <w:sz w:val="28"/>
                <w:szCs w:val="28"/>
                <w:lang w:eastAsia="ru-RU"/>
              </w:rPr>
              <w:t>санитарно-защитная зона</w:t>
            </w:r>
          </w:p>
        </w:tc>
      </w:tr>
      <w:tr w:rsidR="002D1E45" w:rsidRPr="002D30BE" w:rsidTr="008F6C87">
        <w:trPr>
          <w:trHeight w:val="283"/>
          <w:jc w:val="center"/>
        </w:trPr>
        <w:tc>
          <w:tcPr>
            <w:tcW w:w="2843" w:type="dxa"/>
            <w:vAlign w:val="center"/>
          </w:tcPr>
          <w:p w:rsidR="002D1E45" w:rsidRPr="002D30BE" w:rsidRDefault="002D1E45" w:rsidP="00B334E2">
            <w:pPr>
              <w:spacing w:after="60" w:line="240" w:lineRule="auto"/>
              <w:rPr>
                <w:rFonts w:ascii="Times New Roman" w:hAnsi="Times New Roman"/>
                <w:color w:val="000000"/>
                <w:sz w:val="28"/>
                <w:szCs w:val="28"/>
                <w:lang w:eastAsia="ru-RU"/>
              </w:rPr>
            </w:pPr>
            <w:r w:rsidRPr="002D30BE">
              <w:rPr>
                <w:rFonts w:ascii="Times New Roman" w:hAnsi="Times New Roman"/>
                <w:color w:val="000000"/>
                <w:sz w:val="28"/>
                <w:szCs w:val="28"/>
                <w:lang w:val="en-US" w:eastAsia="ru-RU"/>
              </w:rPr>
              <w:t>СТП</w:t>
            </w:r>
          </w:p>
        </w:tc>
        <w:tc>
          <w:tcPr>
            <w:tcW w:w="6444" w:type="dxa"/>
            <w:vAlign w:val="center"/>
          </w:tcPr>
          <w:p w:rsidR="002D1E45" w:rsidRPr="002D30BE" w:rsidRDefault="002D1E45" w:rsidP="00B334E2">
            <w:pPr>
              <w:spacing w:after="60" w:line="240" w:lineRule="auto"/>
              <w:jc w:val="both"/>
              <w:rPr>
                <w:rFonts w:ascii="Times New Roman" w:hAnsi="Times New Roman"/>
                <w:color w:val="000000"/>
                <w:sz w:val="28"/>
                <w:szCs w:val="28"/>
                <w:lang w:eastAsia="ru-RU"/>
              </w:rPr>
            </w:pPr>
            <w:r w:rsidRPr="002D30BE">
              <w:rPr>
                <w:rFonts w:ascii="Times New Roman" w:hAnsi="Times New Roman"/>
                <w:color w:val="000000"/>
                <w:sz w:val="28"/>
                <w:szCs w:val="28"/>
                <w:lang w:eastAsia="ru-RU"/>
              </w:rPr>
              <w:t>схема территориального планирования</w:t>
            </w:r>
          </w:p>
        </w:tc>
      </w:tr>
      <w:tr w:rsidR="002D1E45" w:rsidRPr="002D30BE" w:rsidTr="008F6C87">
        <w:trPr>
          <w:trHeight w:val="283"/>
          <w:jc w:val="center"/>
        </w:trPr>
        <w:tc>
          <w:tcPr>
            <w:tcW w:w="2843" w:type="dxa"/>
            <w:vAlign w:val="center"/>
          </w:tcPr>
          <w:p w:rsidR="002D1E45" w:rsidRPr="002D30BE" w:rsidRDefault="002D1E45" w:rsidP="00B334E2">
            <w:pPr>
              <w:spacing w:after="60" w:line="240" w:lineRule="auto"/>
              <w:rPr>
                <w:rFonts w:ascii="Times New Roman" w:hAnsi="Times New Roman"/>
                <w:color w:val="000000"/>
                <w:sz w:val="28"/>
                <w:szCs w:val="28"/>
                <w:lang w:eastAsia="ru-RU"/>
              </w:rPr>
            </w:pPr>
            <w:r w:rsidRPr="002D30BE">
              <w:rPr>
                <w:rFonts w:ascii="Times New Roman" w:hAnsi="Times New Roman"/>
                <w:color w:val="000000"/>
                <w:sz w:val="28"/>
                <w:szCs w:val="28"/>
                <w:lang w:eastAsia="ru-RU"/>
              </w:rPr>
              <w:t xml:space="preserve">СУГ </w:t>
            </w:r>
          </w:p>
        </w:tc>
        <w:tc>
          <w:tcPr>
            <w:tcW w:w="6444" w:type="dxa"/>
            <w:vAlign w:val="center"/>
          </w:tcPr>
          <w:p w:rsidR="002D1E45" w:rsidRPr="002D30BE" w:rsidRDefault="002D1E45" w:rsidP="00B334E2">
            <w:pPr>
              <w:spacing w:after="60" w:line="240" w:lineRule="auto"/>
              <w:jc w:val="both"/>
              <w:rPr>
                <w:rFonts w:ascii="Times New Roman" w:hAnsi="Times New Roman"/>
                <w:color w:val="000000"/>
                <w:sz w:val="28"/>
                <w:szCs w:val="28"/>
                <w:lang w:eastAsia="ru-RU"/>
              </w:rPr>
            </w:pPr>
            <w:r w:rsidRPr="002D30BE">
              <w:rPr>
                <w:rFonts w:ascii="Times New Roman" w:hAnsi="Times New Roman"/>
                <w:color w:val="000000"/>
                <w:sz w:val="28"/>
                <w:szCs w:val="28"/>
                <w:lang w:eastAsia="ru-RU"/>
              </w:rPr>
              <w:t>сжиженные углеводородные газы</w:t>
            </w:r>
          </w:p>
        </w:tc>
      </w:tr>
      <w:tr w:rsidR="002D1E45" w:rsidRPr="002D30BE" w:rsidTr="008F6C87">
        <w:trPr>
          <w:trHeight w:val="283"/>
          <w:jc w:val="center"/>
        </w:trPr>
        <w:tc>
          <w:tcPr>
            <w:tcW w:w="2843" w:type="dxa"/>
            <w:vAlign w:val="center"/>
          </w:tcPr>
          <w:p w:rsidR="002D1E45" w:rsidRPr="002D30BE" w:rsidRDefault="002D1E45" w:rsidP="00B334E2">
            <w:pPr>
              <w:spacing w:after="60" w:line="240" w:lineRule="auto"/>
              <w:rPr>
                <w:rFonts w:ascii="Times New Roman" w:hAnsi="Times New Roman"/>
                <w:color w:val="000000"/>
                <w:sz w:val="28"/>
                <w:szCs w:val="28"/>
                <w:lang w:eastAsia="ru-RU"/>
              </w:rPr>
            </w:pPr>
            <w:r w:rsidRPr="002D30BE">
              <w:rPr>
                <w:rFonts w:ascii="Times New Roman" w:hAnsi="Times New Roman"/>
                <w:color w:val="000000"/>
                <w:sz w:val="28"/>
                <w:szCs w:val="28"/>
                <w:lang w:eastAsia="ru-RU"/>
              </w:rPr>
              <w:t>ТВС</w:t>
            </w:r>
          </w:p>
        </w:tc>
        <w:tc>
          <w:tcPr>
            <w:tcW w:w="6444" w:type="dxa"/>
            <w:vAlign w:val="center"/>
          </w:tcPr>
          <w:p w:rsidR="002D1E45" w:rsidRPr="002D30BE" w:rsidRDefault="002D1E45" w:rsidP="00B334E2">
            <w:pPr>
              <w:spacing w:after="60" w:line="240" w:lineRule="auto"/>
              <w:jc w:val="both"/>
              <w:rPr>
                <w:rFonts w:ascii="Times New Roman" w:hAnsi="Times New Roman"/>
                <w:color w:val="000000"/>
                <w:sz w:val="28"/>
                <w:szCs w:val="28"/>
                <w:lang w:eastAsia="ru-RU"/>
              </w:rPr>
            </w:pPr>
            <w:r w:rsidRPr="002D30BE">
              <w:rPr>
                <w:rFonts w:ascii="Times New Roman" w:hAnsi="Times New Roman"/>
                <w:color w:val="000000"/>
                <w:sz w:val="28"/>
                <w:szCs w:val="28"/>
                <w:lang w:eastAsia="ru-RU"/>
              </w:rPr>
              <w:t>топливно-воздушная смесь</w:t>
            </w:r>
          </w:p>
        </w:tc>
      </w:tr>
      <w:tr w:rsidR="002D1E45" w:rsidRPr="002D30BE" w:rsidTr="008F6C87">
        <w:trPr>
          <w:trHeight w:val="283"/>
          <w:jc w:val="center"/>
        </w:trPr>
        <w:tc>
          <w:tcPr>
            <w:tcW w:w="2843" w:type="dxa"/>
            <w:vAlign w:val="center"/>
          </w:tcPr>
          <w:p w:rsidR="002D1E45" w:rsidRPr="002D30BE" w:rsidRDefault="002D1E45" w:rsidP="00B334E2">
            <w:pPr>
              <w:spacing w:after="60" w:line="240" w:lineRule="auto"/>
              <w:rPr>
                <w:rFonts w:ascii="Times New Roman" w:hAnsi="Times New Roman"/>
                <w:color w:val="000000"/>
                <w:sz w:val="28"/>
                <w:szCs w:val="28"/>
                <w:lang w:eastAsia="ru-RU"/>
              </w:rPr>
            </w:pPr>
            <w:r w:rsidRPr="002D30BE">
              <w:rPr>
                <w:rFonts w:ascii="Times New Roman" w:hAnsi="Times New Roman"/>
                <w:color w:val="000000"/>
                <w:sz w:val="28"/>
                <w:szCs w:val="28"/>
                <w:lang w:eastAsia="ru-RU"/>
              </w:rPr>
              <w:t>ТКО</w:t>
            </w:r>
          </w:p>
        </w:tc>
        <w:tc>
          <w:tcPr>
            <w:tcW w:w="6444" w:type="dxa"/>
            <w:vAlign w:val="center"/>
          </w:tcPr>
          <w:p w:rsidR="002D1E45" w:rsidRPr="002D30BE" w:rsidRDefault="002D1E45" w:rsidP="00B334E2">
            <w:pPr>
              <w:spacing w:after="60" w:line="240" w:lineRule="auto"/>
              <w:jc w:val="both"/>
              <w:rPr>
                <w:rFonts w:ascii="Times New Roman" w:hAnsi="Times New Roman"/>
                <w:color w:val="000000"/>
                <w:sz w:val="28"/>
                <w:szCs w:val="28"/>
                <w:lang w:eastAsia="ru-RU"/>
              </w:rPr>
            </w:pPr>
            <w:r w:rsidRPr="002D30BE">
              <w:rPr>
                <w:rFonts w:ascii="Times New Roman" w:hAnsi="Times New Roman"/>
                <w:color w:val="000000"/>
                <w:sz w:val="28"/>
                <w:szCs w:val="28"/>
                <w:lang w:eastAsia="ru-RU"/>
              </w:rPr>
              <w:t>твёрдые коммунальные отходы</w:t>
            </w:r>
          </w:p>
        </w:tc>
      </w:tr>
      <w:tr w:rsidR="002D1E45" w:rsidRPr="002D30BE" w:rsidTr="008F6C87">
        <w:trPr>
          <w:trHeight w:val="283"/>
          <w:jc w:val="center"/>
        </w:trPr>
        <w:tc>
          <w:tcPr>
            <w:tcW w:w="2843" w:type="dxa"/>
            <w:vAlign w:val="center"/>
          </w:tcPr>
          <w:p w:rsidR="002D1E45" w:rsidRPr="002D30BE" w:rsidRDefault="002D1E45" w:rsidP="00B334E2">
            <w:pPr>
              <w:spacing w:after="60" w:line="240" w:lineRule="auto"/>
              <w:rPr>
                <w:rFonts w:ascii="Times New Roman" w:hAnsi="Times New Roman"/>
                <w:color w:val="000000"/>
                <w:sz w:val="28"/>
                <w:szCs w:val="28"/>
                <w:lang w:eastAsia="ru-RU"/>
              </w:rPr>
            </w:pPr>
            <w:r w:rsidRPr="002D30BE">
              <w:rPr>
                <w:rFonts w:ascii="Times New Roman" w:hAnsi="Times New Roman"/>
                <w:color w:val="000000"/>
                <w:sz w:val="28"/>
                <w:szCs w:val="28"/>
                <w:lang w:eastAsia="ru-RU"/>
              </w:rPr>
              <w:t>ТП</w:t>
            </w:r>
          </w:p>
        </w:tc>
        <w:tc>
          <w:tcPr>
            <w:tcW w:w="6444" w:type="dxa"/>
            <w:vAlign w:val="center"/>
          </w:tcPr>
          <w:p w:rsidR="002D1E45" w:rsidRPr="002D30BE" w:rsidRDefault="002D1E45" w:rsidP="00B334E2">
            <w:pPr>
              <w:spacing w:after="60" w:line="240" w:lineRule="auto"/>
              <w:jc w:val="both"/>
              <w:rPr>
                <w:rFonts w:ascii="Times New Roman" w:hAnsi="Times New Roman"/>
                <w:color w:val="000000"/>
                <w:sz w:val="28"/>
                <w:szCs w:val="28"/>
                <w:lang w:eastAsia="ru-RU"/>
              </w:rPr>
            </w:pPr>
            <w:r w:rsidRPr="002D30BE">
              <w:rPr>
                <w:rFonts w:ascii="Times New Roman" w:hAnsi="Times New Roman"/>
                <w:color w:val="000000"/>
                <w:sz w:val="28"/>
                <w:szCs w:val="28"/>
                <w:lang w:eastAsia="ru-RU"/>
              </w:rPr>
              <w:t>трансформаторная подстанция</w:t>
            </w:r>
          </w:p>
        </w:tc>
      </w:tr>
      <w:tr w:rsidR="002D1E45" w:rsidRPr="002D30BE" w:rsidTr="008F6C87">
        <w:trPr>
          <w:trHeight w:val="283"/>
          <w:jc w:val="center"/>
        </w:trPr>
        <w:tc>
          <w:tcPr>
            <w:tcW w:w="2843" w:type="dxa"/>
            <w:vAlign w:val="center"/>
          </w:tcPr>
          <w:p w:rsidR="002D1E45" w:rsidRPr="002D30BE" w:rsidRDefault="002D1E45" w:rsidP="00B334E2">
            <w:pPr>
              <w:spacing w:after="60" w:line="240" w:lineRule="auto"/>
              <w:rPr>
                <w:rFonts w:ascii="Times New Roman" w:hAnsi="Times New Roman"/>
                <w:color w:val="000000"/>
                <w:sz w:val="28"/>
                <w:szCs w:val="28"/>
                <w:lang w:eastAsia="ru-RU"/>
              </w:rPr>
            </w:pPr>
            <w:r w:rsidRPr="002D30BE">
              <w:rPr>
                <w:rFonts w:ascii="Times New Roman" w:hAnsi="Times New Roman"/>
                <w:color w:val="000000"/>
                <w:sz w:val="28"/>
                <w:szCs w:val="28"/>
                <w:lang w:eastAsia="ru-RU"/>
              </w:rPr>
              <w:t>чел.</w:t>
            </w:r>
          </w:p>
        </w:tc>
        <w:tc>
          <w:tcPr>
            <w:tcW w:w="6444" w:type="dxa"/>
            <w:vAlign w:val="center"/>
          </w:tcPr>
          <w:p w:rsidR="002D1E45" w:rsidRPr="002D30BE" w:rsidRDefault="002D1E45" w:rsidP="00B334E2">
            <w:pPr>
              <w:spacing w:after="60" w:line="240" w:lineRule="auto"/>
              <w:jc w:val="both"/>
              <w:rPr>
                <w:rFonts w:ascii="Times New Roman" w:hAnsi="Times New Roman"/>
                <w:color w:val="000000"/>
                <w:sz w:val="28"/>
                <w:szCs w:val="28"/>
                <w:lang w:eastAsia="ru-RU"/>
              </w:rPr>
            </w:pPr>
            <w:r w:rsidRPr="002D30BE">
              <w:rPr>
                <w:rFonts w:ascii="Times New Roman" w:hAnsi="Times New Roman"/>
                <w:color w:val="000000"/>
                <w:sz w:val="28"/>
                <w:szCs w:val="28"/>
                <w:lang w:eastAsia="ru-RU"/>
              </w:rPr>
              <w:t>человек</w:t>
            </w:r>
          </w:p>
        </w:tc>
      </w:tr>
      <w:tr w:rsidR="002D1E45" w:rsidRPr="002D30BE" w:rsidTr="008F6C87">
        <w:trPr>
          <w:trHeight w:val="283"/>
          <w:jc w:val="center"/>
        </w:trPr>
        <w:tc>
          <w:tcPr>
            <w:tcW w:w="2843" w:type="dxa"/>
            <w:vAlign w:val="center"/>
          </w:tcPr>
          <w:p w:rsidR="002D1E45" w:rsidRPr="002D30BE" w:rsidRDefault="002D1E45" w:rsidP="00B334E2">
            <w:pPr>
              <w:spacing w:after="60" w:line="240" w:lineRule="auto"/>
              <w:rPr>
                <w:rFonts w:ascii="Times New Roman" w:hAnsi="Times New Roman"/>
                <w:color w:val="000000"/>
                <w:sz w:val="28"/>
                <w:szCs w:val="28"/>
                <w:lang w:eastAsia="ru-RU"/>
              </w:rPr>
            </w:pPr>
            <w:r w:rsidRPr="002D30BE">
              <w:rPr>
                <w:rFonts w:ascii="Times New Roman" w:hAnsi="Times New Roman"/>
                <w:color w:val="000000"/>
                <w:sz w:val="28"/>
                <w:szCs w:val="28"/>
                <w:lang w:eastAsia="ru-RU"/>
              </w:rPr>
              <w:t>ЧС</w:t>
            </w:r>
          </w:p>
        </w:tc>
        <w:tc>
          <w:tcPr>
            <w:tcW w:w="6444" w:type="dxa"/>
            <w:vAlign w:val="center"/>
          </w:tcPr>
          <w:p w:rsidR="002D1E45" w:rsidRPr="002D30BE" w:rsidRDefault="002D1E45" w:rsidP="00B334E2">
            <w:pPr>
              <w:spacing w:after="60" w:line="240" w:lineRule="auto"/>
              <w:jc w:val="both"/>
              <w:rPr>
                <w:rFonts w:ascii="Times New Roman" w:hAnsi="Times New Roman"/>
                <w:color w:val="000000"/>
                <w:sz w:val="28"/>
                <w:szCs w:val="28"/>
                <w:lang w:eastAsia="ru-RU"/>
              </w:rPr>
            </w:pPr>
            <w:r w:rsidRPr="002D30BE">
              <w:rPr>
                <w:rFonts w:ascii="Times New Roman" w:hAnsi="Times New Roman"/>
                <w:color w:val="000000"/>
                <w:sz w:val="28"/>
                <w:szCs w:val="28"/>
                <w:lang w:eastAsia="ru-RU"/>
              </w:rPr>
              <w:t>чрезвычайная ситуация</w:t>
            </w:r>
          </w:p>
        </w:tc>
      </w:tr>
    </w:tbl>
    <w:p w:rsidR="002D1E45" w:rsidRDefault="002D1E45" w:rsidP="00733804"/>
    <w:p w:rsidR="002D1E45" w:rsidRDefault="002D1E45" w:rsidP="00733804"/>
    <w:p w:rsidR="002D1E45" w:rsidRDefault="002D1E45" w:rsidP="00733804"/>
    <w:p w:rsidR="002D1E45" w:rsidRDefault="002D1E45" w:rsidP="00733804"/>
    <w:p w:rsidR="002D1E45" w:rsidRDefault="002D1E45" w:rsidP="00733804"/>
    <w:p w:rsidR="002D1E45" w:rsidRPr="007C3EA3" w:rsidRDefault="002D1E45" w:rsidP="00852938">
      <w:pPr>
        <w:pStyle w:val="Heading2"/>
        <w:numPr>
          <w:ilvl w:val="1"/>
          <w:numId w:val="65"/>
        </w:numPr>
        <w:ind w:left="993" w:hanging="633"/>
        <w:jc w:val="both"/>
        <w:rPr>
          <w:b/>
        </w:rPr>
      </w:pPr>
      <w:bookmarkStart w:id="7" w:name="_Toc27999413"/>
      <w:bookmarkStart w:id="8" w:name="_Toc44393683"/>
      <w:bookmarkStart w:id="9" w:name="_Toc84936005"/>
      <w:bookmarkStart w:id="10" w:name="_Hlk49092325"/>
      <w:r w:rsidRPr="007C3EA3">
        <w:rPr>
          <w:b/>
        </w:rPr>
        <w:t>Состав генерального плана</w:t>
      </w:r>
      <w:bookmarkEnd w:id="7"/>
      <w:bookmarkEnd w:id="8"/>
      <w:bookmarkEnd w:id="9"/>
    </w:p>
    <w:p w:rsidR="002D1E45" w:rsidRDefault="002D1E45" w:rsidP="00217DF4">
      <w:pPr>
        <w:pStyle w:val="ListParagraph"/>
        <w:tabs>
          <w:tab w:val="left" w:pos="284"/>
          <w:tab w:val="left" w:pos="426"/>
        </w:tabs>
        <w:spacing w:after="0" w:line="360" w:lineRule="auto"/>
        <w:ind w:left="0" w:firstLine="567"/>
        <w:jc w:val="both"/>
        <w:rPr>
          <w:rFonts w:ascii="Times New Roman" w:hAnsi="Times New Roman"/>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99"/>
        <w:gridCol w:w="6531"/>
        <w:gridCol w:w="1611"/>
        <w:gridCol w:w="1154"/>
      </w:tblGrid>
      <w:tr w:rsidR="002D1E45" w:rsidRPr="00905B69" w:rsidTr="002F5FFD">
        <w:trPr>
          <w:cantSplit/>
          <w:trHeight w:val="57"/>
          <w:tblHeader/>
          <w:jc w:val="center"/>
        </w:trPr>
        <w:tc>
          <w:tcPr>
            <w:tcW w:w="899" w:type="dxa"/>
            <w:vAlign w:val="center"/>
          </w:tcPr>
          <w:p w:rsidR="002D1E45" w:rsidRPr="00905B69" w:rsidRDefault="002D1E45" w:rsidP="002F5FFD">
            <w:pPr>
              <w:spacing w:after="0" w:line="240" w:lineRule="auto"/>
              <w:ind w:left="34"/>
              <w:jc w:val="center"/>
              <w:rPr>
                <w:rFonts w:ascii="Times New Roman" w:hAnsi="Times New Roman"/>
                <w:snapToGrid w:val="0"/>
                <w:sz w:val="24"/>
                <w:szCs w:val="24"/>
                <w:lang w:eastAsia="ru-RU"/>
              </w:rPr>
            </w:pPr>
            <w:bookmarkStart w:id="11" w:name="_Hlk487958839"/>
            <w:bookmarkEnd w:id="10"/>
            <w:r w:rsidRPr="00905B69">
              <w:rPr>
                <w:rFonts w:ascii="Times New Roman" w:hAnsi="Times New Roman"/>
                <w:snapToGrid w:val="0"/>
                <w:sz w:val="24"/>
                <w:szCs w:val="24"/>
                <w:lang w:eastAsia="ru-RU"/>
              </w:rPr>
              <w:t>№ п/п</w:t>
            </w:r>
          </w:p>
        </w:tc>
        <w:tc>
          <w:tcPr>
            <w:tcW w:w="6531" w:type="dxa"/>
            <w:vAlign w:val="center"/>
          </w:tcPr>
          <w:p w:rsidR="002D1E45" w:rsidRPr="00905B69" w:rsidRDefault="002D1E45" w:rsidP="002F5FFD">
            <w:pPr>
              <w:spacing w:after="0" w:line="240" w:lineRule="auto"/>
              <w:ind w:left="34"/>
              <w:jc w:val="center"/>
              <w:rPr>
                <w:rFonts w:ascii="Times New Roman" w:hAnsi="Times New Roman"/>
                <w:snapToGrid w:val="0"/>
                <w:sz w:val="24"/>
                <w:szCs w:val="24"/>
                <w:lang w:eastAsia="ru-RU"/>
              </w:rPr>
            </w:pPr>
            <w:r w:rsidRPr="00905B69">
              <w:rPr>
                <w:rFonts w:ascii="Times New Roman" w:hAnsi="Times New Roman"/>
                <w:snapToGrid w:val="0"/>
                <w:sz w:val="24"/>
                <w:szCs w:val="24"/>
                <w:lang w:eastAsia="ru-RU"/>
              </w:rPr>
              <w:t>Наименование</w:t>
            </w:r>
          </w:p>
        </w:tc>
        <w:tc>
          <w:tcPr>
            <w:tcW w:w="1611" w:type="dxa"/>
            <w:vAlign w:val="center"/>
          </w:tcPr>
          <w:p w:rsidR="002D1E45" w:rsidRPr="00905B69" w:rsidRDefault="002D1E45" w:rsidP="002F5FFD">
            <w:pPr>
              <w:spacing w:after="0" w:line="240" w:lineRule="auto"/>
              <w:ind w:left="34"/>
              <w:jc w:val="center"/>
              <w:rPr>
                <w:rFonts w:ascii="Times New Roman" w:hAnsi="Times New Roman"/>
                <w:snapToGrid w:val="0"/>
                <w:sz w:val="24"/>
                <w:szCs w:val="24"/>
                <w:lang w:eastAsia="ru-RU"/>
              </w:rPr>
            </w:pPr>
            <w:r w:rsidRPr="00905B69">
              <w:rPr>
                <w:rFonts w:ascii="Times New Roman" w:hAnsi="Times New Roman"/>
                <w:snapToGrid w:val="0"/>
                <w:sz w:val="24"/>
                <w:szCs w:val="24"/>
                <w:lang w:eastAsia="ru-RU"/>
              </w:rPr>
              <w:t>Масштаб</w:t>
            </w:r>
          </w:p>
        </w:tc>
        <w:tc>
          <w:tcPr>
            <w:tcW w:w="1154" w:type="dxa"/>
            <w:vAlign w:val="center"/>
          </w:tcPr>
          <w:p w:rsidR="002D1E45" w:rsidRPr="00905B69" w:rsidRDefault="002D1E45" w:rsidP="002F5FFD">
            <w:pPr>
              <w:spacing w:after="0" w:line="240" w:lineRule="auto"/>
              <w:ind w:left="34"/>
              <w:jc w:val="center"/>
              <w:rPr>
                <w:rFonts w:ascii="Times New Roman" w:hAnsi="Times New Roman"/>
                <w:snapToGrid w:val="0"/>
                <w:sz w:val="24"/>
                <w:szCs w:val="24"/>
                <w:lang w:eastAsia="ru-RU"/>
              </w:rPr>
            </w:pPr>
            <w:r w:rsidRPr="00905B69">
              <w:rPr>
                <w:rFonts w:ascii="Times New Roman" w:hAnsi="Times New Roman"/>
                <w:snapToGrid w:val="0"/>
                <w:sz w:val="24"/>
                <w:szCs w:val="24"/>
                <w:lang w:eastAsia="ru-RU"/>
              </w:rPr>
              <w:t>Марка</w:t>
            </w:r>
          </w:p>
        </w:tc>
      </w:tr>
      <w:tr w:rsidR="002D1E45" w:rsidRPr="00905B69" w:rsidTr="002F5FFD">
        <w:trPr>
          <w:cantSplit/>
          <w:trHeight w:val="57"/>
          <w:jc w:val="center"/>
        </w:trPr>
        <w:tc>
          <w:tcPr>
            <w:tcW w:w="10195" w:type="dxa"/>
            <w:gridSpan w:val="4"/>
            <w:vAlign w:val="center"/>
          </w:tcPr>
          <w:p w:rsidR="002D1E45" w:rsidRPr="00905B69" w:rsidRDefault="002D1E45" w:rsidP="002F5FFD">
            <w:pPr>
              <w:spacing w:after="0" w:line="240" w:lineRule="auto"/>
              <w:jc w:val="center"/>
              <w:rPr>
                <w:rFonts w:ascii="Times New Roman" w:hAnsi="Times New Roman"/>
                <w:b/>
                <w:snapToGrid w:val="0"/>
                <w:sz w:val="24"/>
                <w:szCs w:val="24"/>
                <w:lang w:eastAsia="ru-RU"/>
              </w:rPr>
            </w:pPr>
            <w:r w:rsidRPr="00905B69">
              <w:rPr>
                <w:rFonts w:ascii="Times New Roman" w:hAnsi="Times New Roman"/>
                <w:b/>
                <w:snapToGrid w:val="0"/>
                <w:sz w:val="24"/>
                <w:szCs w:val="24"/>
                <w:lang w:eastAsia="ru-RU"/>
              </w:rPr>
              <w:t>Текстовые материалы</w:t>
            </w:r>
          </w:p>
        </w:tc>
      </w:tr>
      <w:tr w:rsidR="002D1E45" w:rsidRPr="00905B69" w:rsidTr="002F5FFD">
        <w:trPr>
          <w:cantSplit/>
          <w:trHeight w:val="57"/>
          <w:jc w:val="center"/>
        </w:trPr>
        <w:tc>
          <w:tcPr>
            <w:tcW w:w="899" w:type="dxa"/>
            <w:vAlign w:val="center"/>
          </w:tcPr>
          <w:p w:rsidR="002D1E45" w:rsidRPr="00905B69" w:rsidRDefault="002D1E45" w:rsidP="00852938">
            <w:pPr>
              <w:numPr>
                <w:ilvl w:val="0"/>
                <w:numId w:val="98"/>
              </w:numPr>
              <w:spacing w:after="0" w:line="240" w:lineRule="auto"/>
              <w:ind w:left="644"/>
              <w:jc w:val="center"/>
              <w:rPr>
                <w:rFonts w:ascii="Times New Roman" w:hAnsi="Times New Roman"/>
                <w:snapToGrid w:val="0"/>
                <w:sz w:val="24"/>
                <w:szCs w:val="24"/>
                <w:lang w:eastAsia="ru-RU"/>
              </w:rPr>
            </w:pPr>
          </w:p>
        </w:tc>
        <w:tc>
          <w:tcPr>
            <w:tcW w:w="6531" w:type="dxa"/>
            <w:vAlign w:val="center"/>
          </w:tcPr>
          <w:p w:rsidR="002D1E45" w:rsidRPr="00905B69" w:rsidRDefault="002D1E45" w:rsidP="002F5FFD">
            <w:pPr>
              <w:spacing w:after="0" w:line="240" w:lineRule="auto"/>
              <w:ind w:left="33"/>
              <w:rPr>
                <w:rFonts w:ascii="Times New Roman" w:hAnsi="Times New Roman"/>
                <w:snapToGrid w:val="0"/>
                <w:sz w:val="24"/>
                <w:szCs w:val="24"/>
                <w:lang w:eastAsia="ru-RU"/>
              </w:rPr>
            </w:pPr>
            <w:r w:rsidRPr="00905B69">
              <w:rPr>
                <w:rFonts w:ascii="Times New Roman" w:hAnsi="Times New Roman"/>
                <w:snapToGrid w:val="0"/>
                <w:sz w:val="24"/>
                <w:szCs w:val="24"/>
                <w:lang w:eastAsia="ru-RU"/>
              </w:rPr>
              <w:t xml:space="preserve">Том </w:t>
            </w:r>
            <w:r w:rsidRPr="00905B69">
              <w:rPr>
                <w:rFonts w:ascii="Times New Roman" w:hAnsi="Times New Roman"/>
                <w:snapToGrid w:val="0"/>
                <w:sz w:val="24"/>
                <w:szCs w:val="24"/>
                <w:lang w:val="en-US" w:eastAsia="ru-RU"/>
              </w:rPr>
              <w:t>I</w:t>
            </w:r>
            <w:r w:rsidRPr="00905B69">
              <w:rPr>
                <w:rFonts w:ascii="Times New Roman" w:hAnsi="Times New Roman"/>
                <w:snapToGrid w:val="0"/>
                <w:sz w:val="24"/>
                <w:szCs w:val="24"/>
                <w:lang w:eastAsia="ru-RU"/>
              </w:rPr>
              <w:t xml:space="preserve">. Положение о территориальном планировании </w:t>
            </w:r>
          </w:p>
        </w:tc>
        <w:tc>
          <w:tcPr>
            <w:tcW w:w="1611" w:type="dxa"/>
            <w:vAlign w:val="center"/>
          </w:tcPr>
          <w:p w:rsidR="002D1E45" w:rsidRPr="00905B69" w:rsidRDefault="002D1E45" w:rsidP="002F5FFD">
            <w:pPr>
              <w:spacing w:after="0" w:line="240" w:lineRule="auto"/>
              <w:ind w:left="34"/>
              <w:jc w:val="center"/>
              <w:rPr>
                <w:rFonts w:ascii="Times New Roman" w:hAnsi="Times New Roman"/>
                <w:snapToGrid w:val="0"/>
                <w:sz w:val="24"/>
                <w:szCs w:val="24"/>
                <w:lang w:eastAsia="ru-RU"/>
              </w:rPr>
            </w:pPr>
            <w:r w:rsidRPr="00905B69">
              <w:rPr>
                <w:rFonts w:ascii="Times New Roman" w:hAnsi="Times New Roman"/>
                <w:snapToGrid w:val="0"/>
                <w:sz w:val="24"/>
                <w:szCs w:val="24"/>
                <w:lang w:eastAsia="ru-RU"/>
              </w:rPr>
              <w:t>-</w:t>
            </w:r>
          </w:p>
        </w:tc>
        <w:tc>
          <w:tcPr>
            <w:tcW w:w="1154" w:type="dxa"/>
            <w:vAlign w:val="center"/>
          </w:tcPr>
          <w:p w:rsidR="002D1E45" w:rsidRPr="00905B69" w:rsidRDefault="002D1E45" w:rsidP="002F5FFD">
            <w:pPr>
              <w:spacing w:after="0" w:line="240" w:lineRule="auto"/>
              <w:ind w:left="34"/>
              <w:jc w:val="center"/>
              <w:rPr>
                <w:rFonts w:ascii="Times New Roman" w:hAnsi="Times New Roman"/>
                <w:snapToGrid w:val="0"/>
                <w:sz w:val="24"/>
                <w:szCs w:val="24"/>
                <w:lang w:eastAsia="ru-RU"/>
              </w:rPr>
            </w:pPr>
            <w:r w:rsidRPr="00905B69">
              <w:rPr>
                <w:rFonts w:ascii="Times New Roman" w:hAnsi="Times New Roman"/>
                <w:snapToGrid w:val="0"/>
                <w:sz w:val="24"/>
                <w:szCs w:val="24"/>
                <w:lang w:eastAsia="ru-RU"/>
              </w:rPr>
              <w:t>-</w:t>
            </w:r>
          </w:p>
        </w:tc>
      </w:tr>
      <w:tr w:rsidR="002D1E45" w:rsidRPr="00905B69" w:rsidTr="002F5FFD">
        <w:trPr>
          <w:cantSplit/>
          <w:trHeight w:val="57"/>
          <w:jc w:val="center"/>
        </w:trPr>
        <w:tc>
          <w:tcPr>
            <w:tcW w:w="899" w:type="dxa"/>
            <w:vAlign w:val="center"/>
          </w:tcPr>
          <w:p w:rsidR="002D1E45" w:rsidRPr="00905B69" w:rsidRDefault="002D1E45" w:rsidP="00852938">
            <w:pPr>
              <w:numPr>
                <w:ilvl w:val="0"/>
                <w:numId w:val="98"/>
              </w:numPr>
              <w:spacing w:after="0" w:line="240" w:lineRule="auto"/>
              <w:ind w:left="644"/>
              <w:jc w:val="center"/>
              <w:rPr>
                <w:rFonts w:ascii="Times New Roman" w:hAnsi="Times New Roman"/>
                <w:snapToGrid w:val="0"/>
                <w:sz w:val="24"/>
                <w:szCs w:val="24"/>
                <w:lang w:eastAsia="ru-RU"/>
              </w:rPr>
            </w:pPr>
          </w:p>
        </w:tc>
        <w:tc>
          <w:tcPr>
            <w:tcW w:w="6531" w:type="dxa"/>
            <w:vAlign w:val="center"/>
          </w:tcPr>
          <w:p w:rsidR="002D1E45" w:rsidRPr="00905B69" w:rsidRDefault="002D1E45" w:rsidP="002F5FFD">
            <w:pPr>
              <w:spacing w:after="0" w:line="240" w:lineRule="auto"/>
              <w:ind w:left="33"/>
              <w:rPr>
                <w:rFonts w:ascii="Times New Roman" w:hAnsi="Times New Roman"/>
                <w:snapToGrid w:val="0"/>
                <w:sz w:val="24"/>
                <w:szCs w:val="24"/>
                <w:lang w:eastAsia="ru-RU"/>
              </w:rPr>
            </w:pPr>
            <w:r w:rsidRPr="00905B69">
              <w:rPr>
                <w:rFonts w:ascii="Times New Roman" w:hAnsi="Times New Roman"/>
                <w:snapToGrid w:val="0"/>
                <w:sz w:val="24"/>
                <w:szCs w:val="24"/>
                <w:lang w:eastAsia="ru-RU"/>
              </w:rPr>
              <w:t xml:space="preserve">Том </w:t>
            </w:r>
            <w:r w:rsidRPr="00905B69">
              <w:rPr>
                <w:rFonts w:ascii="Times New Roman" w:hAnsi="Times New Roman"/>
                <w:snapToGrid w:val="0"/>
                <w:sz w:val="24"/>
                <w:szCs w:val="24"/>
                <w:lang w:val="en-US" w:eastAsia="ru-RU"/>
              </w:rPr>
              <w:t>II</w:t>
            </w:r>
            <w:r w:rsidRPr="00905B69">
              <w:rPr>
                <w:rFonts w:ascii="Times New Roman" w:hAnsi="Times New Roman"/>
                <w:snapToGrid w:val="0"/>
                <w:sz w:val="24"/>
                <w:szCs w:val="24"/>
                <w:lang w:eastAsia="ru-RU"/>
              </w:rPr>
              <w:t>. Материалы по обоснованию генерального плана</w:t>
            </w:r>
          </w:p>
        </w:tc>
        <w:tc>
          <w:tcPr>
            <w:tcW w:w="1611" w:type="dxa"/>
            <w:vAlign w:val="center"/>
          </w:tcPr>
          <w:p w:rsidR="002D1E45" w:rsidRPr="00905B69" w:rsidRDefault="002D1E45" w:rsidP="002F5FFD">
            <w:pPr>
              <w:spacing w:after="0" w:line="240" w:lineRule="auto"/>
              <w:ind w:left="34"/>
              <w:jc w:val="center"/>
              <w:rPr>
                <w:rFonts w:ascii="Times New Roman" w:hAnsi="Times New Roman"/>
                <w:snapToGrid w:val="0"/>
                <w:sz w:val="24"/>
                <w:szCs w:val="24"/>
                <w:lang w:eastAsia="ru-RU"/>
              </w:rPr>
            </w:pPr>
            <w:r w:rsidRPr="00905B69">
              <w:rPr>
                <w:rFonts w:ascii="Times New Roman" w:hAnsi="Times New Roman"/>
                <w:snapToGrid w:val="0"/>
                <w:sz w:val="24"/>
                <w:szCs w:val="24"/>
                <w:lang w:eastAsia="ru-RU"/>
              </w:rPr>
              <w:t>-</w:t>
            </w:r>
          </w:p>
        </w:tc>
        <w:tc>
          <w:tcPr>
            <w:tcW w:w="1154" w:type="dxa"/>
            <w:vAlign w:val="center"/>
          </w:tcPr>
          <w:p w:rsidR="002D1E45" w:rsidRPr="00905B69" w:rsidRDefault="002D1E45" w:rsidP="002F5FFD">
            <w:pPr>
              <w:spacing w:after="0" w:line="240" w:lineRule="auto"/>
              <w:ind w:left="34"/>
              <w:jc w:val="center"/>
              <w:rPr>
                <w:rFonts w:ascii="Times New Roman" w:hAnsi="Times New Roman"/>
                <w:snapToGrid w:val="0"/>
                <w:sz w:val="24"/>
                <w:szCs w:val="24"/>
                <w:lang w:eastAsia="ru-RU"/>
              </w:rPr>
            </w:pPr>
            <w:r w:rsidRPr="00905B69">
              <w:rPr>
                <w:rFonts w:ascii="Times New Roman" w:hAnsi="Times New Roman"/>
                <w:snapToGrid w:val="0"/>
                <w:sz w:val="24"/>
                <w:szCs w:val="24"/>
                <w:lang w:eastAsia="ru-RU"/>
              </w:rPr>
              <w:t>-</w:t>
            </w:r>
          </w:p>
        </w:tc>
      </w:tr>
      <w:tr w:rsidR="002D1E45" w:rsidRPr="00905B69" w:rsidTr="002F5FFD">
        <w:trPr>
          <w:cantSplit/>
          <w:trHeight w:val="57"/>
          <w:jc w:val="center"/>
        </w:trPr>
        <w:tc>
          <w:tcPr>
            <w:tcW w:w="10195" w:type="dxa"/>
            <w:gridSpan w:val="4"/>
            <w:vAlign w:val="center"/>
          </w:tcPr>
          <w:p w:rsidR="002D1E45" w:rsidRPr="00905B69" w:rsidRDefault="002D1E45" w:rsidP="002F5FFD">
            <w:pPr>
              <w:spacing w:after="0" w:line="240" w:lineRule="auto"/>
              <w:ind w:left="34"/>
              <w:jc w:val="center"/>
              <w:rPr>
                <w:rFonts w:ascii="Times New Roman" w:hAnsi="Times New Roman"/>
                <w:b/>
                <w:snapToGrid w:val="0"/>
                <w:sz w:val="24"/>
                <w:szCs w:val="24"/>
                <w:lang w:eastAsia="ru-RU"/>
              </w:rPr>
            </w:pPr>
            <w:r w:rsidRPr="00905B69">
              <w:rPr>
                <w:rFonts w:ascii="Times New Roman" w:hAnsi="Times New Roman"/>
                <w:b/>
                <w:sz w:val="24"/>
                <w:szCs w:val="24"/>
                <w:lang w:eastAsia="ru-RU"/>
              </w:rPr>
              <w:t>Графические материалы. Положение о территориальном планировании</w:t>
            </w:r>
          </w:p>
        </w:tc>
      </w:tr>
      <w:tr w:rsidR="002D1E45" w:rsidRPr="00905B69" w:rsidTr="002F5FFD">
        <w:trPr>
          <w:cantSplit/>
          <w:trHeight w:val="57"/>
          <w:jc w:val="center"/>
        </w:trPr>
        <w:tc>
          <w:tcPr>
            <w:tcW w:w="899" w:type="dxa"/>
            <w:vAlign w:val="center"/>
          </w:tcPr>
          <w:p w:rsidR="002D1E45" w:rsidRPr="00905B69" w:rsidRDefault="002D1E45" w:rsidP="00852938">
            <w:pPr>
              <w:numPr>
                <w:ilvl w:val="0"/>
                <w:numId w:val="98"/>
              </w:numPr>
              <w:spacing w:after="0" w:line="240" w:lineRule="auto"/>
              <w:ind w:left="644"/>
              <w:jc w:val="center"/>
              <w:rPr>
                <w:rFonts w:ascii="Times New Roman" w:hAnsi="Times New Roman"/>
                <w:snapToGrid w:val="0"/>
                <w:sz w:val="24"/>
                <w:szCs w:val="24"/>
                <w:lang w:eastAsia="ru-RU"/>
              </w:rPr>
            </w:pPr>
          </w:p>
        </w:tc>
        <w:tc>
          <w:tcPr>
            <w:tcW w:w="6531" w:type="dxa"/>
            <w:vAlign w:val="center"/>
          </w:tcPr>
          <w:p w:rsidR="002D1E45" w:rsidRPr="00905B69" w:rsidRDefault="002D1E45" w:rsidP="002F5FFD">
            <w:pPr>
              <w:spacing w:after="0" w:line="240" w:lineRule="auto"/>
              <w:ind w:left="33"/>
              <w:rPr>
                <w:rFonts w:ascii="Times New Roman" w:hAnsi="Times New Roman"/>
                <w:sz w:val="24"/>
                <w:szCs w:val="24"/>
                <w:lang w:eastAsia="ru-RU"/>
              </w:rPr>
            </w:pPr>
            <w:r w:rsidRPr="00905B69">
              <w:rPr>
                <w:rFonts w:ascii="Times New Roman" w:hAnsi="Times New Roman"/>
                <w:sz w:val="24"/>
                <w:szCs w:val="24"/>
                <w:lang w:eastAsia="ru-RU"/>
              </w:rPr>
              <w:t xml:space="preserve">Карта планируемого размещения объектов местного значения </w:t>
            </w:r>
            <w:r w:rsidRPr="00905B69">
              <w:rPr>
                <w:rFonts w:ascii="Times New Roman" w:hAnsi="Times New Roman"/>
                <w:sz w:val="24"/>
                <w:szCs w:val="24"/>
              </w:rPr>
              <w:t>города Куйбышев</w:t>
            </w:r>
            <w:r>
              <w:rPr>
                <w:rFonts w:ascii="Times New Roman" w:hAnsi="Times New Roman"/>
                <w:sz w:val="24"/>
                <w:szCs w:val="24"/>
              </w:rPr>
              <w:t>а</w:t>
            </w:r>
            <w:r w:rsidRPr="00905B69">
              <w:rPr>
                <w:rFonts w:ascii="Times New Roman" w:hAnsi="Times New Roman"/>
                <w:sz w:val="24"/>
                <w:szCs w:val="24"/>
              </w:rPr>
              <w:t xml:space="preserve"> Куйбышевского района Новосибирской области</w:t>
            </w:r>
          </w:p>
        </w:tc>
        <w:tc>
          <w:tcPr>
            <w:tcW w:w="1611" w:type="dxa"/>
            <w:vAlign w:val="center"/>
          </w:tcPr>
          <w:p w:rsidR="002D1E45" w:rsidRPr="00905B69" w:rsidRDefault="002D1E45" w:rsidP="002F5FFD">
            <w:pPr>
              <w:spacing w:after="0" w:line="240" w:lineRule="auto"/>
              <w:ind w:left="62"/>
              <w:jc w:val="center"/>
              <w:rPr>
                <w:rFonts w:ascii="Times New Roman" w:hAnsi="Times New Roman"/>
                <w:snapToGrid w:val="0"/>
                <w:sz w:val="24"/>
                <w:szCs w:val="24"/>
                <w:lang w:eastAsia="ru-RU"/>
              </w:rPr>
            </w:pPr>
            <w:r w:rsidRPr="00905B69">
              <w:rPr>
                <w:rFonts w:ascii="Times New Roman" w:hAnsi="Times New Roman"/>
                <w:snapToGrid w:val="0"/>
                <w:sz w:val="24"/>
                <w:szCs w:val="24"/>
                <w:lang w:eastAsia="ru-RU"/>
              </w:rPr>
              <w:t>М 1:25000,</w:t>
            </w:r>
          </w:p>
          <w:p w:rsidR="002D1E45" w:rsidRPr="00905B69" w:rsidRDefault="002D1E45" w:rsidP="002F5FFD">
            <w:pPr>
              <w:spacing w:after="0" w:line="240" w:lineRule="auto"/>
              <w:ind w:left="62"/>
              <w:jc w:val="center"/>
              <w:rPr>
                <w:rFonts w:ascii="Times New Roman" w:hAnsi="Times New Roman"/>
                <w:snapToGrid w:val="0"/>
                <w:sz w:val="24"/>
                <w:szCs w:val="24"/>
                <w:lang w:eastAsia="ru-RU"/>
              </w:rPr>
            </w:pPr>
            <w:r w:rsidRPr="00905B69">
              <w:rPr>
                <w:rFonts w:ascii="Times New Roman" w:hAnsi="Times New Roman"/>
                <w:snapToGrid w:val="0"/>
                <w:sz w:val="24"/>
                <w:szCs w:val="24"/>
                <w:lang w:eastAsia="ru-RU"/>
              </w:rPr>
              <w:t>фрагменты населённых пунктов</w:t>
            </w:r>
          </w:p>
          <w:p w:rsidR="002D1E45" w:rsidRPr="00905B69" w:rsidRDefault="002D1E45" w:rsidP="002F5FFD">
            <w:pPr>
              <w:spacing w:after="0" w:line="240" w:lineRule="auto"/>
              <w:ind w:left="62"/>
              <w:jc w:val="center"/>
              <w:rPr>
                <w:rFonts w:ascii="Times New Roman" w:hAnsi="Times New Roman"/>
                <w:snapToGrid w:val="0"/>
                <w:sz w:val="24"/>
                <w:szCs w:val="24"/>
                <w:lang w:eastAsia="ru-RU"/>
              </w:rPr>
            </w:pPr>
            <w:r w:rsidRPr="00905B69">
              <w:rPr>
                <w:rFonts w:ascii="Times New Roman" w:hAnsi="Times New Roman"/>
                <w:snapToGrid w:val="0"/>
                <w:sz w:val="24"/>
                <w:szCs w:val="24"/>
                <w:lang w:eastAsia="ru-RU"/>
              </w:rPr>
              <w:t xml:space="preserve"> М 1:10000</w:t>
            </w:r>
          </w:p>
        </w:tc>
        <w:tc>
          <w:tcPr>
            <w:tcW w:w="1154" w:type="dxa"/>
            <w:vAlign w:val="center"/>
          </w:tcPr>
          <w:p w:rsidR="002D1E45" w:rsidRPr="00905B69" w:rsidRDefault="002D1E45" w:rsidP="002F5FFD">
            <w:pPr>
              <w:spacing w:after="0" w:line="240" w:lineRule="auto"/>
              <w:ind w:left="62"/>
              <w:jc w:val="center"/>
              <w:rPr>
                <w:rFonts w:ascii="Times New Roman" w:hAnsi="Times New Roman"/>
                <w:snapToGrid w:val="0"/>
                <w:sz w:val="24"/>
                <w:szCs w:val="24"/>
                <w:lang w:eastAsia="ru-RU"/>
              </w:rPr>
            </w:pPr>
            <w:r w:rsidRPr="00905B69">
              <w:rPr>
                <w:rFonts w:ascii="Times New Roman" w:hAnsi="Times New Roman"/>
                <w:snapToGrid w:val="0"/>
                <w:sz w:val="24"/>
                <w:szCs w:val="24"/>
                <w:lang w:eastAsia="ru-RU"/>
              </w:rPr>
              <w:t>ГП-1</w:t>
            </w:r>
          </w:p>
        </w:tc>
      </w:tr>
      <w:tr w:rsidR="002D1E45" w:rsidRPr="00905B69" w:rsidTr="002F5FFD">
        <w:trPr>
          <w:cantSplit/>
          <w:trHeight w:val="57"/>
          <w:jc w:val="center"/>
        </w:trPr>
        <w:tc>
          <w:tcPr>
            <w:tcW w:w="899" w:type="dxa"/>
            <w:vAlign w:val="center"/>
          </w:tcPr>
          <w:p w:rsidR="002D1E45" w:rsidRPr="00905B69" w:rsidRDefault="002D1E45" w:rsidP="00852938">
            <w:pPr>
              <w:numPr>
                <w:ilvl w:val="0"/>
                <w:numId w:val="98"/>
              </w:numPr>
              <w:spacing w:after="0" w:line="240" w:lineRule="auto"/>
              <w:ind w:left="644"/>
              <w:jc w:val="center"/>
              <w:rPr>
                <w:rFonts w:ascii="Times New Roman" w:hAnsi="Times New Roman"/>
                <w:snapToGrid w:val="0"/>
                <w:sz w:val="24"/>
                <w:szCs w:val="24"/>
                <w:lang w:eastAsia="ru-RU"/>
              </w:rPr>
            </w:pPr>
          </w:p>
        </w:tc>
        <w:tc>
          <w:tcPr>
            <w:tcW w:w="6531" w:type="dxa"/>
            <w:vAlign w:val="center"/>
          </w:tcPr>
          <w:p w:rsidR="002D1E45" w:rsidRPr="00905B69" w:rsidRDefault="002D1E45" w:rsidP="002F5FFD">
            <w:pPr>
              <w:spacing w:after="0" w:line="240" w:lineRule="auto"/>
              <w:ind w:left="33"/>
              <w:rPr>
                <w:rFonts w:ascii="Times New Roman" w:hAnsi="Times New Roman"/>
                <w:sz w:val="24"/>
                <w:szCs w:val="24"/>
                <w:lang w:eastAsia="ru-RU"/>
              </w:rPr>
            </w:pPr>
            <w:r w:rsidRPr="00905B69">
              <w:rPr>
                <w:rFonts w:ascii="Times New Roman" w:hAnsi="Times New Roman"/>
                <w:sz w:val="24"/>
                <w:szCs w:val="24"/>
                <w:lang w:eastAsia="ru-RU"/>
              </w:rPr>
              <w:t xml:space="preserve">Карта границ населённых пунктов </w:t>
            </w:r>
            <w:r w:rsidRPr="00905B69">
              <w:rPr>
                <w:rFonts w:ascii="Times New Roman" w:hAnsi="Times New Roman"/>
                <w:sz w:val="24"/>
                <w:szCs w:val="24"/>
              </w:rPr>
              <w:t>города Куйбышев</w:t>
            </w:r>
            <w:r>
              <w:rPr>
                <w:rFonts w:ascii="Times New Roman" w:hAnsi="Times New Roman"/>
                <w:sz w:val="24"/>
                <w:szCs w:val="24"/>
              </w:rPr>
              <w:t>а</w:t>
            </w:r>
            <w:r w:rsidRPr="00905B69">
              <w:rPr>
                <w:rFonts w:ascii="Times New Roman" w:hAnsi="Times New Roman"/>
                <w:sz w:val="24"/>
                <w:szCs w:val="24"/>
              </w:rPr>
              <w:t xml:space="preserve"> Куйбышевского района Новосибирской области</w:t>
            </w:r>
          </w:p>
        </w:tc>
        <w:tc>
          <w:tcPr>
            <w:tcW w:w="1611" w:type="dxa"/>
            <w:vAlign w:val="center"/>
          </w:tcPr>
          <w:p w:rsidR="002D1E45" w:rsidRPr="00905B69" w:rsidRDefault="002D1E45" w:rsidP="002F5FFD">
            <w:pPr>
              <w:spacing w:after="0" w:line="240" w:lineRule="auto"/>
              <w:ind w:left="62"/>
              <w:jc w:val="center"/>
              <w:rPr>
                <w:rFonts w:ascii="Times New Roman" w:hAnsi="Times New Roman"/>
                <w:snapToGrid w:val="0"/>
                <w:sz w:val="24"/>
                <w:szCs w:val="24"/>
                <w:lang w:eastAsia="ru-RU"/>
              </w:rPr>
            </w:pPr>
            <w:r w:rsidRPr="00905B69">
              <w:rPr>
                <w:rFonts w:ascii="Times New Roman" w:hAnsi="Times New Roman"/>
                <w:snapToGrid w:val="0"/>
                <w:sz w:val="24"/>
                <w:szCs w:val="24"/>
                <w:lang w:val="en-US" w:eastAsia="ru-RU"/>
              </w:rPr>
              <w:t>М 1:</w:t>
            </w:r>
            <w:r w:rsidRPr="00905B69">
              <w:rPr>
                <w:rFonts w:ascii="Times New Roman" w:hAnsi="Times New Roman"/>
                <w:snapToGrid w:val="0"/>
                <w:sz w:val="24"/>
                <w:szCs w:val="24"/>
                <w:lang w:eastAsia="ru-RU"/>
              </w:rPr>
              <w:t>20000</w:t>
            </w:r>
          </w:p>
        </w:tc>
        <w:tc>
          <w:tcPr>
            <w:tcW w:w="1154" w:type="dxa"/>
            <w:vAlign w:val="center"/>
          </w:tcPr>
          <w:p w:rsidR="002D1E45" w:rsidRPr="00905B69" w:rsidRDefault="002D1E45" w:rsidP="002F5FFD">
            <w:pPr>
              <w:spacing w:after="0" w:line="240" w:lineRule="auto"/>
              <w:ind w:left="62"/>
              <w:jc w:val="center"/>
              <w:rPr>
                <w:rFonts w:ascii="Times New Roman" w:hAnsi="Times New Roman"/>
                <w:snapToGrid w:val="0"/>
                <w:sz w:val="24"/>
                <w:szCs w:val="24"/>
                <w:lang w:eastAsia="ru-RU"/>
              </w:rPr>
            </w:pPr>
            <w:r w:rsidRPr="00905B69">
              <w:rPr>
                <w:rFonts w:ascii="Times New Roman" w:hAnsi="Times New Roman"/>
                <w:snapToGrid w:val="0"/>
                <w:sz w:val="24"/>
                <w:szCs w:val="24"/>
                <w:lang w:eastAsia="ru-RU"/>
              </w:rPr>
              <w:t>ГП-2</w:t>
            </w:r>
          </w:p>
        </w:tc>
      </w:tr>
      <w:tr w:rsidR="002D1E45" w:rsidRPr="00905B69" w:rsidTr="002F5FFD">
        <w:trPr>
          <w:cantSplit/>
          <w:trHeight w:val="57"/>
          <w:jc w:val="center"/>
        </w:trPr>
        <w:tc>
          <w:tcPr>
            <w:tcW w:w="899" w:type="dxa"/>
            <w:vAlign w:val="center"/>
          </w:tcPr>
          <w:p w:rsidR="002D1E45" w:rsidRPr="00905B69" w:rsidRDefault="002D1E45" w:rsidP="00852938">
            <w:pPr>
              <w:numPr>
                <w:ilvl w:val="0"/>
                <w:numId w:val="98"/>
              </w:numPr>
              <w:spacing w:after="0" w:line="240" w:lineRule="auto"/>
              <w:ind w:left="644"/>
              <w:jc w:val="center"/>
              <w:rPr>
                <w:rFonts w:ascii="Times New Roman" w:hAnsi="Times New Roman"/>
                <w:snapToGrid w:val="0"/>
                <w:sz w:val="24"/>
                <w:szCs w:val="24"/>
                <w:lang w:eastAsia="ru-RU"/>
              </w:rPr>
            </w:pPr>
          </w:p>
        </w:tc>
        <w:tc>
          <w:tcPr>
            <w:tcW w:w="6531" w:type="dxa"/>
            <w:vAlign w:val="center"/>
          </w:tcPr>
          <w:p w:rsidR="002D1E45" w:rsidRPr="00905B69" w:rsidRDefault="002D1E45" w:rsidP="002F5FFD">
            <w:pPr>
              <w:spacing w:after="0" w:line="240" w:lineRule="auto"/>
              <w:ind w:left="33"/>
              <w:rPr>
                <w:rFonts w:ascii="Times New Roman" w:hAnsi="Times New Roman"/>
                <w:sz w:val="24"/>
                <w:szCs w:val="24"/>
                <w:lang w:eastAsia="ru-RU"/>
              </w:rPr>
            </w:pPr>
            <w:r w:rsidRPr="00905B69">
              <w:rPr>
                <w:rFonts w:ascii="Times New Roman" w:hAnsi="Times New Roman"/>
                <w:sz w:val="24"/>
                <w:szCs w:val="24"/>
                <w:lang w:eastAsia="ru-RU"/>
              </w:rPr>
              <w:t xml:space="preserve">Карта функциональных зон </w:t>
            </w:r>
            <w:r w:rsidRPr="00905B69">
              <w:rPr>
                <w:rFonts w:ascii="Times New Roman" w:hAnsi="Times New Roman"/>
                <w:sz w:val="24"/>
                <w:szCs w:val="24"/>
              </w:rPr>
              <w:t>города Куйбышев</w:t>
            </w:r>
            <w:r>
              <w:rPr>
                <w:rFonts w:ascii="Times New Roman" w:hAnsi="Times New Roman"/>
                <w:sz w:val="24"/>
                <w:szCs w:val="24"/>
              </w:rPr>
              <w:t>а</w:t>
            </w:r>
            <w:r w:rsidRPr="00905B69">
              <w:rPr>
                <w:rFonts w:ascii="Times New Roman" w:hAnsi="Times New Roman"/>
                <w:sz w:val="24"/>
                <w:szCs w:val="24"/>
              </w:rPr>
              <w:t xml:space="preserve"> Куйбышевского района Новосибирской области</w:t>
            </w:r>
          </w:p>
        </w:tc>
        <w:tc>
          <w:tcPr>
            <w:tcW w:w="1611" w:type="dxa"/>
            <w:vAlign w:val="center"/>
          </w:tcPr>
          <w:p w:rsidR="002D1E45" w:rsidRPr="00905B69" w:rsidRDefault="002D1E45" w:rsidP="002F5FFD">
            <w:pPr>
              <w:spacing w:after="0" w:line="240" w:lineRule="auto"/>
              <w:ind w:left="62"/>
              <w:jc w:val="center"/>
              <w:rPr>
                <w:rFonts w:ascii="Times New Roman" w:hAnsi="Times New Roman"/>
                <w:snapToGrid w:val="0"/>
                <w:sz w:val="24"/>
                <w:szCs w:val="24"/>
                <w:lang w:eastAsia="ru-RU"/>
              </w:rPr>
            </w:pPr>
            <w:r w:rsidRPr="00905B69">
              <w:rPr>
                <w:rFonts w:ascii="Times New Roman" w:hAnsi="Times New Roman"/>
                <w:snapToGrid w:val="0"/>
                <w:sz w:val="24"/>
                <w:szCs w:val="24"/>
                <w:lang w:eastAsia="ru-RU"/>
              </w:rPr>
              <w:t>М 1:25000,</w:t>
            </w:r>
          </w:p>
          <w:p w:rsidR="002D1E45" w:rsidRPr="00905B69" w:rsidRDefault="002D1E45" w:rsidP="002F5FFD">
            <w:pPr>
              <w:spacing w:after="0" w:line="240" w:lineRule="auto"/>
              <w:ind w:left="62"/>
              <w:jc w:val="center"/>
              <w:rPr>
                <w:rFonts w:ascii="Times New Roman" w:hAnsi="Times New Roman"/>
                <w:snapToGrid w:val="0"/>
                <w:sz w:val="24"/>
                <w:szCs w:val="24"/>
                <w:lang w:eastAsia="ru-RU"/>
              </w:rPr>
            </w:pPr>
            <w:r w:rsidRPr="00905B69">
              <w:rPr>
                <w:rFonts w:ascii="Times New Roman" w:hAnsi="Times New Roman"/>
                <w:snapToGrid w:val="0"/>
                <w:sz w:val="24"/>
                <w:szCs w:val="24"/>
                <w:lang w:eastAsia="ru-RU"/>
              </w:rPr>
              <w:t>фрагменты населённых пунктов</w:t>
            </w:r>
          </w:p>
          <w:p w:rsidR="002D1E45" w:rsidRPr="00905B69" w:rsidRDefault="002D1E45" w:rsidP="002F5FFD">
            <w:pPr>
              <w:spacing w:after="0" w:line="240" w:lineRule="auto"/>
              <w:ind w:left="62"/>
              <w:jc w:val="center"/>
              <w:rPr>
                <w:rFonts w:ascii="Times New Roman" w:hAnsi="Times New Roman"/>
                <w:snapToGrid w:val="0"/>
                <w:sz w:val="24"/>
                <w:szCs w:val="24"/>
                <w:lang w:eastAsia="ru-RU"/>
              </w:rPr>
            </w:pPr>
            <w:r w:rsidRPr="00905B69">
              <w:rPr>
                <w:rFonts w:ascii="Times New Roman" w:hAnsi="Times New Roman"/>
                <w:snapToGrid w:val="0"/>
                <w:sz w:val="24"/>
                <w:szCs w:val="24"/>
                <w:lang w:eastAsia="ru-RU"/>
              </w:rPr>
              <w:t xml:space="preserve"> М 1:10000</w:t>
            </w:r>
          </w:p>
        </w:tc>
        <w:tc>
          <w:tcPr>
            <w:tcW w:w="1154" w:type="dxa"/>
            <w:vAlign w:val="center"/>
          </w:tcPr>
          <w:p w:rsidR="002D1E45" w:rsidRPr="00905B69" w:rsidRDefault="002D1E45" w:rsidP="002F5FFD">
            <w:pPr>
              <w:spacing w:after="0" w:line="240" w:lineRule="auto"/>
              <w:ind w:left="62"/>
              <w:jc w:val="center"/>
              <w:rPr>
                <w:rFonts w:ascii="Times New Roman" w:hAnsi="Times New Roman"/>
                <w:snapToGrid w:val="0"/>
                <w:sz w:val="24"/>
                <w:szCs w:val="24"/>
                <w:lang w:eastAsia="ru-RU"/>
              </w:rPr>
            </w:pPr>
            <w:r w:rsidRPr="00905B69">
              <w:rPr>
                <w:rFonts w:ascii="Times New Roman" w:hAnsi="Times New Roman"/>
                <w:snapToGrid w:val="0"/>
                <w:sz w:val="24"/>
                <w:szCs w:val="24"/>
                <w:lang w:eastAsia="ru-RU"/>
              </w:rPr>
              <w:t>ГП-3</w:t>
            </w:r>
          </w:p>
        </w:tc>
      </w:tr>
      <w:tr w:rsidR="002D1E45" w:rsidRPr="00905B69" w:rsidTr="002F5FFD">
        <w:trPr>
          <w:cantSplit/>
          <w:trHeight w:val="57"/>
          <w:jc w:val="center"/>
        </w:trPr>
        <w:tc>
          <w:tcPr>
            <w:tcW w:w="10195" w:type="dxa"/>
            <w:gridSpan w:val="4"/>
            <w:vAlign w:val="center"/>
          </w:tcPr>
          <w:p w:rsidR="002D1E45" w:rsidRPr="00905B69" w:rsidRDefault="002D1E45" w:rsidP="002F5FFD">
            <w:pPr>
              <w:spacing w:after="0" w:line="240" w:lineRule="auto"/>
              <w:jc w:val="center"/>
              <w:rPr>
                <w:rFonts w:ascii="Times New Roman" w:hAnsi="Times New Roman"/>
                <w:b/>
                <w:sz w:val="24"/>
                <w:szCs w:val="24"/>
                <w:lang w:eastAsia="ru-RU"/>
              </w:rPr>
            </w:pPr>
            <w:r w:rsidRPr="00905B69">
              <w:rPr>
                <w:rFonts w:ascii="Times New Roman" w:hAnsi="Times New Roman"/>
                <w:b/>
                <w:snapToGrid w:val="0"/>
                <w:sz w:val="24"/>
                <w:szCs w:val="24"/>
                <w:lang w:eastAsia="ru-RU"/>
              </w:rPr>
              <w:t xml:space="preserve">Графические материалы. </w:t>
            </w:r>
            <w:r w:rsidRPr="00905B69">
              <w:rPr>
                <w:rFonts w:ascii="Times New Roman" w:hAnsi="Times New Roman"/>
                <w:b/>
                <w:sz w:val="24"/>
                <w:szCs w:val="24"/>
                <w:lang w:eastAsia="ru-RU"/>
              </w:rPr>
              <w:t>Материалы по обоснованию</w:t>
            </w:r>
          </w:p>
        </w:tc>
      </w:tr>
      <w:tr w:rsidR="002D1E45" w:rsidRPr="00905B69" w:rsidTr="002F5FFD">
        <w:trPr>
          <w:cantSplit/>
          <w:trHeight w:val="57"/>
          <w:jc w:val="center"/>
        </w:trPr>
        <w:tc>
          <w:tcPr>
            <w:tcW w:w="899" w:type="dxa"/>
            <w:vAlign w:val="center"/>
          </w:tcPr>
          <w:p w:rsidR="002D1E45" w:rsidRPr="00905B69" w:rsidRDefault="002D1E45" w:rsidP="00852938">
            <w:pPr>
              <w:numPr>
                <w:ilvl w:val="0"/>
                <w:numId w:val="98"/>
              </w:numPr>
              <w:spacing w:after="0" w:line="240" w:lineRule="auto"/>
              <w:ind w:left="644"/>
              <w:jc w:val="center"/>
              <w:rPr>
                <w:rFonts w:ascii="Times New Roman" w:hAnsi="Times New Roman"/>
                <w:snapToGrid w:val="0"/>
                <w:sz w:val="24"/>
                <w:szCs w:val="24"/>
                <w:lang w:eastAsia="ru-RU"/>
              </w:rPr>
            </w:pPr>
          </w:p>
        </w:tc>
        <w:tc>
          <w:tcPr>
            <w:tcW w:w="6531" w:type="dxa"/>
            <w:vAlign w:val="center"/>
          </w:tcPr>
          <w:p w:rsidR="002D1E45" w:rsidRPr="00905B69" w:rsidRDefault="002D1E45" w:rsidP="002F5FFD">
            <w:pPr>
              <w:spacing w:after="0" w:line="240" w:lineRule="auto"/>
              <w:ind w:left="33"/>
              <w:rPr>
                <w:rFonts w:ascii="Times New Roman" w:hAnsi="Times New Roman"/>
                <w:sz w:val="24"/>
                <w:szCs w:val="24"/>
                <w:lang w:eastAsia="ru-RU"/>
              </w:rPr>
            </w:pPr>
            <w:r w:rsidRPr="00905B69">
              <w:rPr>
                <w:rFonts w:ascii="Times New Roman" w:hAnsi="Times New Roman"/>
                <w:sz w:val="24"/>
                <w:szCs w:val="24"/>
                <w:lang w:eastAsia="ru-RU"/>
              </w:rPr>
              <w:t xml:space="preserve">Карта границы, карта лесничеств </w:t>
            </w:r>
            <w:r w:rsidRPr="00905B69">
              <w:rPr>
                <w:rFonts w:ascii="Times New Roman" w:hAnsi="Times New Roman"/>
                <w:sz w:val="24"/>
                <w:szCs w:val="24"/>
              </w:rPr>
              <w:t>города Куйбышев</w:t>
            </w:r>
            <w:r>
              <w:rPr>
                <w:rFonts w:ascii="Times New Roman" w:hAnsi="Times New Roman"/>
                <w:sz w:val="24"/>
                <w:szCs w:val="24"/>
              </w:rPr>
              <w:t>а</w:t>
            </w:r>
            <w:r w:rsidRPr="00905B69">
              <w:rPr>
                <w:rFonts w:ascii="Times New Roman" w:hAnsi="Times New Roman"/>
                <w:sz w:val="24"/>
                <w:szCs w:val="24"/>
              </w:rPr>
              <w:t xml:space="preserve"> Куйбышевского района Новосибирской области</w:t>
            </w:r>
            <w:r w:rsidRPr="00905B69">
              <w:rPr>
                <w:rFonts w:ascii="Times New Roman" w:hAnsi="Times New Roman"/>
                <w:sz w:val="24"/>
                <w:szCs w:val="24"/>
                <w:lang w:eastAsia="ru-RU"/>
              </w:rPr>
              <w:t>, карта границ лесничеств</w:t>
            </w:r>
          </w:p>
        </w:tc>
        <w:tc>
          <w:tcPr>
            <w:tcW w:w="1611" w:type="dxa"/>
            <w:vAlign w:val="center"/>
          </w:tcPr>
          <w:p w:rsidR="002D1E45" w:rsidRPr="00905B69" w:rsidRDefault="002D1E45" w:rsidP="002F5FFD">
            <w:pPr>
              <w:spacing w:after="0" w:line="240" w:lineRule="auto"/>
              <w:ind w:left="62"/>
              <w:jc w:val="center"/>
              <w:rPr>
                <w:rFonts w:ascii="Times New Roman" w:hAnsi="Times New Roman"/>
                <w:snapToGrid w:val="0"/>
                <w:sz w:val="24"/>
                <w:szCs w:val="24"/>
                <w:lang w:eastAsia="ru-RU"/>
              </w:rPr>
            </w:pPr>
            <w:r w:rsidRPr="00905B69">
              <w:rPr>
                <w:rFonts w:ascii="Times New Roman" w:hAnsi="Times New Roman"/>
                <w:sz w:val="24"/>
                <w:szCs w:val="24"/>
                <w:lang w:eastAsia="ru-RU"/>
              </w:rPr>
              <w:t xml:space="preserve"> М 1:25000</w:t>
            </w:r>
          </w:p>
        </w:tc>
        <w:tc>
          <w:tcPr>
            <w:tcW w:w="1154" w:type="dxa"/>
            <w:vAlign w:val="center"/>
          </w:tcPr>
          <w:p w:rsidR="002D1E45" w:rsidRPr="00905B69" w:rsidRDefault="002D1E45" w:rsidP="002F5FFD">
            <w:pPr>
              <w:spacing w:after="0" w:line="240" w:lineRule="auto"/>
              <w:ind w:left="62"/>
              <w:jc w:val="center"/>
              <w:rPr>
                <w:rFonts w:ascii="Times New Roman" w:hAnsi="Times New Roman"/>
                <w:snapToGrid w:val="0"/>
                <w:sz w:val="24"/>
                <w:szCs w:val="24"/>
                <w:lang w:eastAsia="ru-RU"/>
              </w:rPr>
            </w:pPr>
            <w:r w:rsidRPr="00905B69">
              <w:rPr>
                <w:rFonts w:ascii="Times New Roman" w:hAnsi="Times New Roman"/>
                <w:snapToGrid w:val="0"/>
                <w:sz w:val="24"/>
                <w:szCs w:val="24"/>
                <w:lang w:eastAsia="ru-RU"/>
              </w:rPr>
              <w:t>ГП-4</w:t>
            </w:r>
          </w:p>
        </w:tc>
      </w:tr>
      <w:tr w:rsidR="002D1E45" w:rsidRPr="00905B69" w:rsidTr="002F5FFD">
        <w:trPr>
          <w:cantSplit/>
          <w:trHeight w:val="57"/>
          <w:jc w:val="center"/>
        </w:trPr>
        <w:tc>
          <w:tcPr>
            <w:tcW w:w="899" w:type="dxa"/>
            <w:vAlign w:val="center"/>
          </w:tcPr>
          <w:p w:rsidR="002D1E45" w:rsidRPr="00905B69" w:rsidRDefault="002D1E45" w:rsidP="00852938">
            <w:pPr>
              <w:numPr>
                <w:ilvl w:val="0"/>
                <w:numId w:val="98"/>
              </w:numPr>
              <w:spacing w:after="0" w:line="240" w:lineRule="auto"/>
              <w:ind w:left="644"/>
              <w:jc w:val="center"/>
              <w:rPr>
                <w:rFonts w:ascii="Times New Roman" w:hAnsi="Times New Roman"/>
                <w:snapToGrid w:val="0"/>
                <w:sz w:val="24"/>
                <w:szCs w:val="24"/>
                <w:lang w:eastAsia="ru-RU"/>
              </w:rPr>
            </w:pPr>
          </w:p>
        </w:tc>
        <w:tc>
          <w:tcPr>
            <w:tcW w:w="6531" w:type="dxa"/>
            <w:vAlign w:val="center"/>
          </w:tcPr>
          <w:p w:rsidR="002D1E45" w:rsidRPr="00905B69" w:rsidRDefault="002D1E45" w:rsidP="002F5FFD">
            <w:pPr>
              <w:spacing w:after="0" w:line="240" w:lineRule="auto"/>
              <w:ind w:left="33"/>
              <w:rPr>
                <w:rFonts w:ascii="Times New Roman" w:hAnsi="Times New Roman"/>
                <w:sz w:val="24"/>
                <w:szCs w:val="24"/>
              </w:rPr>
            </w:pPr>
            <w:r w:rsidRPr="00905B69">
              <w:rPr>
                <w:rFonts w:ascii="Times New Roman" w:hAnsi="Times New Roman"/>
                <w:sz w:val="24"/>
                <w:szCs w:val="24"/>
              </w:rPr>
              <w:t>Карта местоположения существующих и строящихся</w:t>
            </w:r>
          </w:p>
          <w:p w:rsidR="002D1E45" w:rsidRPr="00905B69" w:rsidRDefault="002D1E45" w:rsidP="002F5FFD">
            <w:pPr>
              <w:spacing w:after="0" w:line="240" w:lineRule="auto"/>
              <w:ind w:left="33"/>
              <w:rPr>
                <w:rFonts w:ascii="Times New Roman" w:hAnsi="Times New Roman"/>
                <w:sz w:val="24"/>
                <w:szCs w:val="24"/>
                <w:lang w:eastAsia="ru-RU"/>
              </w:rPr>
            </w:pPr>
            <w:r w:rsidRPr="00905B69">
              <w:rPr>
                <w:rFonts w:ascii="Times New Roman" w:hAnsi="Times New Roman"/>
                <w:sz w:val="24"/>
                <w:szCs w:val="24"/>
              </w:rPr>
              <w:t>объектов местного значения города Куйбышев</w:t>
            </w:r>
            <w:r>
              <w:rPr>
                <w:rFonts w:ascii="Times New Roman" w:hAnsi="Times New Roman"/>
                <w:sz w:val="24"/>
                <w:szCs w:val="24"/>
              </w:rPr>
              <w:t>а</w:t>
            </w:r>
            <w:r w:rsidRPr="00905B69">
              <w:rPr>
                <w:rFonts w:ascii="Times New Roman" w:hAnsi="Times New Roman"/>
                <w:sz w:val="24"/>
                <w:szCs w:val="24"/>
              </w:rPr>
              <w:t xml:space="preserve"> Куйбышевского района Новосибирской области</w:t>
            </w:r>
          </w:p>
        </w:tc>
        <w:tc>
          <w:tcPr>
            <w:tcW w:w="1611" w:type="dxa"/>
            <w:vAlign w:val="center"/>
          </w:tcPr>
          <w:p w:rsidR="002D1E45" w:rsidRPr="00905B69" w:rsidRDefault="002D1E45" w:rsidP="002F5FFD">
            <w:pPr>
              <w:spacing w:after="0" w:line="240" w:lineRule="auto"/>
              <w:ind w:left="62"/>
              <w:jc w:val="center"/>
              <w:rPr>
                <w:rFonts w:ascii="Times New Roman" w:hAnsi="Times New Roman"/>
                <w:snapToGrid w:val="0"/>
                <w:sz w:val="24"/>
                <w:szCs w:val="24"/>
                <w:lang w:eastAsia="ru-RU"/>
              </w:rPr>
            </w:pPr>
            <w:r w:rsidRPr="00905B69">
              <w:rPr>
                <w:rFonts w:ascii="Times New Roman" w:hAnsi="Times New Roman"/>
                <w:snapToGrid w:val="0"/>
                <w:sz w:val="24"/>
                <w:szCs w:val="24"/>
                <w:lang w:eastAsia="ru-RU"/>
              </w:rPr>
              <w:t>М 1:25000,</w:t>
            </w:r>
          </w:p>
          <w:p w:rsidR="002D1E45" w:rsidRPr="00905B69" w:rsidRDefault="002D1E45" w:rsidP="002F5FFD">
            <w:pPr>
              <w:spacing w:after="0" w:line="240" w:lineRule="auto"/>
              <w:ind w:left="62"/>
              <w:jc w:val="center"/>
              <w:rPr>
                <w:rFonts w:ascii="Times New Roman" w:hAnsi="Times New Roman"/>
                <w:snapToGrid w:val="0"/>
                <w:sz w:val="24"/>
                <w:szCs w:val="24"/>
                <w:lang w:eastAsia="ru-RU"/>
              </w:rPr>
            </w:pPr>
            <w:r w:rsidRPr="00905B69">
              <w:rPr>
                <w:rFonts w:ascii="Times New Roman" w:hAnsi="Times New Roman"/>
                <w:snapToGrid w:val="0"/>
                <w:sz w:val="24"/>
                <w:szCs w:val="24"/>
                <w:lang w:eastAsia="ru-RU"/>
              </w:rPr>
              <w:t>фрагменты населённых пунктов</w:t>
            </w:r>
          </w:p>
          <w:p w:rsidR="002D1E45" w:rsidRPr="00905B69" w:rsidRDefault="002D1E45" w:rsidP="002F5FFD">
            <w:pPr>
              <w:spacing w:after="0" w:line="240" w:lineRule="auto"/>
              <w:ind w:left="62"/>
              <w:jc w:val="center"/>
              <w:rPr>
                <w:rFonts w:ascii="Times New Roman" w:hAnsi="Times New Roman"/>
                <w:snapToGrid w:val="0"/>
                <w:sz w:val="24"/>
                <w:szCs w:val="24"/>
                <w:lang w:eastAsia="ru-RU"/>
              </w:rPr>
            </w:pPr>
            <w:r w:rsidRPr="00905B69">
              <w:rPr>
                <w:rFonts w:ascii="Times New Roman" w:hAnsi="Times New Roman"/>
                <w:snapToGrid w:val="0"/>
                <w:sz w:val="24"/>
                <w:szCs w:val="24"/>
                <w:lang w:eastAsia="ru-RU"/>
              </w:rPr>
              <w:t xml:space="preserve"> М 1:10000</w:t>
            </w:r>
          </w:p>
        </w:tc>
        <w:tc>
          <w:tcPr>
            <w:tcW w:w="1154" w:type="dxa"/>
            <w:vAlign w:val="center"/>
          </w:tcPr>
          <w:p w:rsidR="002D1E45" w:rsidRPr="00905B69" w:rsidRDefault="002D1E45" w:rsidP="002F5FFD">
            <w:pPr>
              <w:spacing w:after="0" w:line="240" w:lineRule="auto"/>
              <w:ind w:left="62"/>
              <w:jc w:val="center"/>
              <w:rPr>
                <w:rFonts w:ascii="Times New Roman" w:hAnsi="Times New Roman"/>
                <w:snapToGrid w:val="0"/>
                <w:sz w:val="24"/>
                <w:szCs w:val="24"/>
                <w:lang w:eastAsia="ru-RU"/>
              </w:rPr>
            </w:pPr>
            <w:r w:rsidRPr="00905B69">
              <w:rPr>
                <w:rFonts w:ascii="Times New Roman" w:hAnsi="Times New Roman"/>
                <w:snapToGrid w:val="0"/>
                <w:sz w:val="24"/>
                <w:szCs w:val="24"/>
                <w:lang w:eastAsia="ru-RU"/>
              </w:rPr>
              <w:t>ГП-5</w:t>
            </w:r>
          </w:p>
        </w:tc>
      </w:tr>
      <w:tr w:rsidR="002D1E45" w:rsidRPr="00905B69" w:rsidTr="002F5FFD">
        <w:trPr>
          <w:cantSplit/>
          <w:trHeight w:val="57"/>
          <w:jc w:val="center"/>
        </w:trPr>
        <w:tc>
          <w:tcPr>
            <w:tcW w:w="899" w:type="dxa"/>
            <w:vAlign w:val="center"/>
          </w:tcPr>
          <w:p w:rsidR="002D1E45" w:rsidRPr="00905B69" w:rsidRDefault="002D1E45" w:rsidP="00852938">
            <w:pPr>
              <w:numPr>
                <w:ilvl w:val="0"/>
                <w:numId w:val="98"/>
              </w:numPr>
              <w:spacing w:after="0" w:line="240" w:lineRule="auto"/>
              <w:ind w:left="644"/>
              <w:jc w:val="center"/>
              <w:rPr>
                <w:rFonts w:ascii="Times New Roman" w:hAnsi="Times New Roman"/>
                <w:snapToGrid w:val="0"/>
                <w:sz w:val="24"/>
                <w:szCs w:val="24"/>
                <w:lang w:eastAsia="ru-RU"/>
              </w:rPr>
            </w:pPr>
          </w:p>
        </w:tc>
        <w:tc>
          <w:tcPr>
            <w:tcW w:w="6531" w:type="dxa"/>
            <w:vAlign w:val="center"/>
          </w:tcPr>
          <w:p w:rsidR="002D1E45" w:rsidRPr="00905B69" w:rsidRDefault="002D1E45" w:rsidP="002F5FFD">
            <w:pPr>
              <w:spacing w:after="0" w:line="240" w:lineRule="auto"/>
              <w:ind w:left="33"/>
              <w:rPr>
                <w:rFonts w:ascii="Times New Roman" w:hAnsi="Times New Roman"/>
                <w:sz w:val="24"/>
                <w:szCs w:val="24"/>
                <w:lang w:eastAsia="ru-RU"/>
              </w:rPr>
            </w:pPr>
            <w:r w:rsidRPr="00905B69">
              <w:rPr>
                <w:rFonts w:ascii="Times New Roman" w:hAnsi="Times New Roman"/>
                <w:sz w:val="24"/>
                <w:szCs w:val="24"/>
                <w:lang w:eastAsia="ru-RU"/>
              </w:rPr>
              <w:t xml:space="preserve">Карта зон с особыми условиями использования территории </w:t>
            </w:r>
            <w:r w:rsidRPr="00905B69">
              <w:rPr>
                <w:rFonts w:ascii="Times New Roman" w:hAnsi="Times New Roman"/>
                <w:sz w:val="24"/>
                <w:szCs w:val="24"/>
              </w:rPr>
              <w:t>города Куйбышев</w:t>
            </w:r>
            <w:r>
              <w:rPr>
                <w:rFonts w:ascii="Times New Roman" w:hAnsi="Times New Roman"/>
                <w:sz w:val="24"/>
                <w:szCs w:val="24"/>
              </w:rPr>
              <w:t>а</w:t>
            </w:r>
            <w:r w:rsidRPr="00905B69">
              <w:rPr>
                <w:rFonts w:ascii="Times New Roman" w:hAnsi="Times New Roman"/>
                <w:sz w:val="24"/>
                <w:szCs w:val="24"/>
              </w:rPr>
              <w:t xml:space="preserve"> Куйбышевского района Новосибирской области</w:t>
            </w:r>
          </w:p>
        </w:tc>
        <w:tc>
          <w:tcPr>
            <w:tcW w:w="1611" w:type="dxa"/>
            <w:vAlign w:val="center"/>
          </w:tcPr>
          <w:p w:rsidR="002D1E45" w:rsidRPr="00905B69" w:rsidRDefault="002D1E45" w:rsidP="002F5FFD">
            <w:pPr>
              <w:spacing w:after="0" w:line="240" w:lineRule="auto"/>
              <w:ind w:left="62"/>
              <w:jc w:val="center"/>
              <w:rPr>
                <w:rFonts w:ascii="Times New Roman" w:hAnsi="Times New Roman"/>
                <w:snapToGrid w:val="0"/>
                <w:sz w:val="24"/>
                <w:szCs w:val="24"/>
                <w:lang w:val="en-US" w:eastAsia="ru-RU"/>
              </w:rPr>
            </w:pPr>
            <w:r w:rsidRPr="00905B69">
              <w:rPr>
                <w:rFonts w:ascii="Times New Roman" w:hAnsi="Times New Roman"/>
                <w:snapToGrid w:val="0"/>
                <w:sz w:val="24"/>
                <w:szCs w:val="24"/>
                <w:lang w:val="en-US" w:eastAsia="ru-RU"/>
              </w:rPr>
              <w:t>М 1:15000</w:t>
            </w:r>
          </w:p>
        </w:tc>
        <w:tc>
          <w:tcPr>
            <w:tcW w:w="1154" w:type="dxa"/>
            <w:vAlign w:val="center"/>
          </w:tcPr>
          <w:p w:rsidR="002D1E45" w:rsidRPr="00905B69" w:rsidRDefault="002D1E45" w:rsidP="002F5FFD">
            <w:pPr>
              <w:spacing w:after="0" w:line="240" w:lineRule="auto"/>
              <w:ind w:left="62"/>
              <w:jc w:val="center"/>
              <w:rPr>
                <w:rFonts w:ascii="Times New Roman" w:hAnsi="Times New Roman"/>
                <w:snapToGrid w:val="0"/>
                <w:sz w:val="24"/>
                <w:szCs w:val="24"/>
                <w:lang w:eastAsia="ru-RU"/>
              </w:rPr>
            </w:pPr>
            <w:r w:rsidRPr="00905B69">
              <w:rPr>
                <w:rFonts w:ascii="Times New Roman" w:hAnsi="Times New Roman"/>
                <w:snapToGrid w:val="0"/>
                <w:sz w:val="24"/>
                <w:szCs w:val="24"/>
                <w:lang w:eastAsia="ru-RU"/>
              </w:rPr>
              <w:t>ГП-6</w:t>
            </w:r>
          </w:p>
        </w:tc>
      </w:tr>
      <w:tr w:rsidR="002D1E45" w:rsidRPr="00905B69" w:rsidTr="002F5FFD">
        <w:trPr>
          <w:cantSplit/>
          <w:trHeight w:val="57"/>
          <w:jc w:val="center"/>
        </w:trPr>
        <w:tc>
          <w:tcPr>
            <w:tcW w:w="899" w:type="dxa"/>
            <w:vAlign w:val="center"/>
          </w:tcPr>
          <w:p w:rsidR="002D1E45" w:rsidRPr="00905B69" w:rsidRDefault="002D1E45" w:rsidP="00852938">
            <w:pPr>
              <w:numPr>
                <w:ilvl w:val="0"/>
                <w:numId w:val="98"/>
              </w:numPr>
              <w:spacing w:after="0" w:line="240" w:lineRule="auto"/>
              <w:ind w:left="644"/>
              <w:jc w:val="center"/>
              <w:rPr>
                <w:rFonts w:ascii="Times New Roman" w:hAnsi="Times New Roman"/>
                <w:snapToGrid w:val="0"/>
                <w:sz w:val="24"/>
                <w:szCs w:val="24"/>
                <w:lang w:eastAsia="ru-RU"/>
              </w:rPr>
            </w:pPr>
          </w:p>
        </w:tc>
        <w:tc>
          <w:tcPr>
            <w:tcW w:w="6531" w:type="dxa"/>
            <w:vAlign w:val="center"/>
          </w:tcPr>
          <w:p w:rsidR="002D1E45" w:rsidRPr="00905B69" w:rsidRDefault="002D1E45" w:rsidP="002F5FFD">
            <w:pPr>
              <w:spacing w:after="0" w:line="240" w:lineRule="auto"/>
              <w:ind w:left="33"/>
              <w:rPr>
                <w:rFonts w:ascii="Times New Roman" w:hAnsi="Times New Roman"/>
                <w:sz w:val="24"/>
                <w:szCs w:val="24"/>
                <w:lang w:eastAsia="ru-RU"/>
              </w:rPr>
            </w:pPr>
            <w:r w:rsidRPr="00905B69">
              <w:rPr>
                <w:rFonts w:ascii="Times New Roman" w:hAnsi="Times New Roman"/>
                <w:sz w:val="24"/>
                <w:szCs w:val="24"/>
                <w:lang w:eastAsia="ru-RU"/>
              </w:rPr>
              <w:t xml:space="preserve">Карта территорий, подверженных риску возникновения чрезвычайных ситуаций природного и техногенного характера территории </w:t>
            </w:r>
            <w:r w:rsidRPr="00905B69">
              <w:rPr>
                <w:rFonts w:ascii="Times New Roman" w:hAnsi="Times New Roman"/>
                <w:sz w:val="24"/>
                <w:szCs w:val="24"/>
              </w:rPr>
              <w:t>города Куйбышев</w:t>
            </w:r>
            <w:r>
              <w:rPr>
                <w:rFonts w:ascii="Times New Roman" w:hAnsi="Times New Roman"/>
                <w:sz w:val="24"/>
                <w:szCs w:val="24"/>
              </w:rPr>
              <w:t>а</w:t>
            </w:r>
            <w:r w:rsidRPr="00905B69">
              <w:rPr>
                <w:rFonts w:ascii="Times New Roman" w:hAnsi="Times New Roman"/>
                <w:sz w:val="24"/>
                <w:szCs w:val="24"/>
              </w:rPr>
              <w:t xml:space="preserve"> Куйбышевского района Новосибирской области</w:t>
            </w:r>
          </w:p>
        </w:tc>
        <w:tc>
          <w:tcPr>
            <w:tcW w:w="1611" w:type="dxa"/>
            <w:vAlign w:val="center"/>
          </w:tcPr>
          <w:p w:rsidR="002D1E45" w:rsidRPr="00905B69" w:rsidRDefault="002D1E45" w:rsidP="002F5FFD">
            <w:pPr>
              <w:spacing w:after="0" w:line="240" w:lineRule="auto"/>
              <w:ind w:left="62"/>
              <w:jc w:val="center"/>
              <w:rPr>
                <w:rFonts w:ascii="Times New Roman" w:hAnsi="Times New Roman"/>
                <w:snapToGrid w:val="0"/>
                <w:sz w:val="24"/>
                <w:szCs w:val="24"/>
                <w:lang w:val="en-US" w:eastAsia="ru-RU"/>
              </w:rPr>
            </w:pPr>
            <w:r w:rsidRPr="00905B69">
              <w:rPr>
                <w:rFonts w:ascii="Times New Roman" w:hAnsi="Times New Roman"/>
                <w:snapToGrid w:val="0"/>
                <w:sz w:val="24"/>
                <w:szCs w:val="24"/>
                <w:lang w:val="en-US" w:eastAsia="ru-RU"/>
              </w:rPr>
              <w:t>М 1:15000</w:t>
            </w:r>
          </w:p>
        </w:tc>
        <w:tc>
          <w:tcPr>
            <w:tcW w:w="1154" w:type="dxa"/>
            <w:vAlign w:val="center"/>
          </w:tcPr>
          <w:p w:rsidR="002D1E45" w:rsidRPr="00905B69" w:rsidRDefault="002D1E45" w:rsidP="002F5FFD">
            <w:pPr>
              <w:spacing w:after="0" w:line="240" w:lineRule="auto"/>
              <w:ind w:left="62"/>
              <w:jc w:val="center"/>
              <w:rPr>
                <w:rFonts w:ascii="Times New Roman" w:hAnsi="Times New Roman"/>
                <w:snapToGrid w:val="0"/>
                <w:sz w:val="24"/>
                <w:szCs w:val="24"/>
                <w:lang w:eastAsia="ru-RU"/>
              </w:rPr>
            </w:pPr>
            <w:r w:rsidRPr="00905B69">
              <w:rPr>
                <w:rFonts w:ascii="Times New Roman" w:hAnsi="Times New Roman"/>
                <w:snapToGrid w:val="0"/>
                <w:sz w:val="24"/>
                <w:szCs w:val="24"/>
                <w:lang w:eastAsia="ru-RU"/>
              </w:rPr>
              <w:t>ГП-7</w:t>
            </w:r>
          </w:p>
        </w:tc>
      </w:tr>
      <w:bookmarkEnd w:id="11"/>
    </w:tbl>
    <w:p w:rsidR="002D1E45" w:rsidRDefault="002D1E45" w:rsidP="00733804"/>
    <w:p w:rsidR="002D1E45" w:rsidRDefault="002D1E45" w:rsidP="00733804"/>
    <w:p w:rsidR="002D1E45" w:rsidRDefault="002D1E45" w:rsidP="00733804"/>
    <w:p w:rsidR="002D1E45" w:rsidRDefault="002D1E45" w:rsidP="00733804"/>
    <w:p w:rsidR="002D1E45" w:rsidRDefault="002D1E45" w:rsidP="00733804"/>
    <w:p w:rsidR="002D1E45" w:rsidRDefault="002D1E45" w:rsidP="00733804"/>
    <w:p w:rsidR="002D1E45" w:rsidRDefault="002D1E45" w:rsidP="00733804"/>
    <w:p w:rsidR="002D1E45" w:rsidRDefault="002D1E45" w:rsidP="00733804"/>
    <w:p w:rsidR="002D1E45" w:rsidRPr="000E1064" w:rsidRDefault="002D1E45" w:rsidP="00852938">
      <w:pPr>
        <w:pStyle w:val="Heading2"/>
        <w:numPr>
          <w:ilvl w:val="1"/>
          <w:numId w:val="65"/>
        </w:numPr>
        <w:tabs>
          <w:tab w:val="clear" w:pos="794"/>
          <w:tab w:val="num" w:pos="993"/>
        </w:tabs>
        <w:ind w:left="993" w:hanging="633"/>
        <w:jc w:val="both"/>
        <w:rPr>
          <w:b/>
        </w:rPr>
      </w:pPr>
      <w:bookmarkStart w:id="12" w:name="_Toc84936006"/>
      <w:bookmarkStart w:id="13" w:name="_Toc337124320"/>
      <w:bookmarkStart w:id="14" w:name="_Toc337125105"/>
      <w:bookmarkStart w:id="15" w:name="_Toc340212786"/>
      <w:bookmarkStart w:id="16" w:name="_Toc342835897"/>
      <w:bookmarkStart w:id="17" w:name="_Toc345316135"/>
      <w:bookmarkStart w:id="18" w:name="_Toc345510084"/>
      <w:bookmarkStart w:id="19" w:name="_Toc373678830"/>
      <w:bookmarkStart w:id="20" w:name="_Toc391717327"/>
      <w:bookmarkStart w:id="21" w:name="_Toc397187957"/>
      <w:bookmarkStart w:id="22" w:name="_Toc397241465"/>
      <w:bookmarkStart w:id="23" w:name="_Toc402346713"/>
      <w:bookmarkStart w:id="24" w:name="_Toc403824879"/>
      <w:bookmarkStart w:id="25" w:name="_Toc404432587"/>
      <w:bookmarkStart w:id="26" w:name="_Toc419370683"/>
      <w:bookmarkStart w:id="27" w:name="_Toc419973651"/>
      <w:bookmarkStart w:id="28" w:name="_Toc442008382"/>
      <w:bookmarkStart w:id="29" w:name="_Toc442523023"/>
      <w:bookmarkStart w:id="30" w:name="_Toc442523281"/>
      <w:r w:rsidRPr="000E1064">
        <w:rPr>
          <w:b/>
        </w:rPr>
        <w:t>Введение</w:t>
      </w:r>
      <w:bookmarkEnd w:id="12"/>
    </w:p>
    <w:p w:rsidR="002D1E45" w:rsidRPr="000D4F86" w:rsidRDefault="002D1E45" w:rsidP="000F0095">
      <w:pPr>
        <w:spacing w:after="0" w:line="240" w:lineRule="auto"/>
        <w:rPr>
          <w:sz w:val="28"/>
          <w:szCs w:val="28"/>
          <w:lang w:eastAsia="ru-RU"/>
        </w:rPr>
      </w:pPr>
    </w:p>
    <w:p w:rsidR="002D1E45" w:rsidRPr="0058793B" w:rsidRDefault="002D1E45" w:rsidP="0058793B">
      <w:pPr>
        <w:spacing w:after="0" w:line="240" w:lineRule="auto"/>
        <w:ind w:firstLine="709"/>
        <w:contextualSpacing/>
        <w:jc w:val="both"/>
        <w:rPr>
          <w:rFonts w:ascii="Times New Roman" w:hAnsi="Times New Roman"/>
          <w:sz w:val="28"/>
          <w:szCs w:val="28"/>
        </w:rPr>
      </w:pPr>
      <w:r w:rsidRPr="0058793B">
        <w:rPr>
          <w:rFonts w:ascii="Times New Roman" w:hAnsi="Times New Roman"/>
          <w:sz w:val="28"/>
          <w:szCs w:val="28"/>
        </w:rPr>
        <w:t>Выполнение работ по подготовке проекта генерального плана города Куйбышева Куйбышевского района Новосибирской области выполняется в соответствии с действующим законодательством с целью определения назначения территорий, исходя из совокупности социальных, экономических, экологических и иных факторов в целях обеспечения устойчивого развития территории поселения, развития инженерной, транспортной и социальной инфраструктур, позволяющего обеспечить комплексное устойчивое развитие данной территории с благоприятными условиями жизнедеятельности.</w:t>
      </w:r>
    </w:p>
    <w:p w:rsidR="002D1E45" w:rsidRPr="0058793B" w:rsidRDefault="002D1E45" w:rsidP="0058793B">
      <w:pPr>
        <w:spacing w:after="0" w:line="240" w:lineRule="auto"/>
        <w:ind w:firstLine="709"/>
        <w:contextualSpacing/>
        <w:jc w:val="both"/>
        <w:rPr>
          <w:rFonts w:ascii="Times New Roman" w:hAnsi="Times New Roman"/>
          <w:sz w:val="28"/>
          <w:szCs w:val="28"/>
        </w:rPr>
      </w:pPr>
      <w:r w:rsidRPr="0058793B">
        <w:rPr>
          <w:rFonts w:ascii="Times New Roman" w:hAnsi="Times New Roman"/>
          <w:sz w:val="28"/>
          <w:szCs w:val="28"/>
        </w:rPr>
        <w:t>В основу разработки проекта генерального плана положены исходные данные по разделам и следующие документы:</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Техническое задание на выполнение работ по подготовке проекта генерального плана города Куйбышева Куйбышевского района Новосибирской области;</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 xml:space="preserve">Генеральный план </w:t>
      </w:r>
      <w:r>
        <w:rPr>
          <w:rFonts w:ascii="Times New Roman" w:hAnsi="Times New Roman"/>
          <w:sz w:val="28"/>
          <w:szCs w:val="28"/>
        </w:rPr>
        <w:t>г. Куйбышева</w:t>
      </w:r>
      <w:r w:rsidRPr="0058793B">
        <w:rPr>
          <w:rFonts w:ascii="Times New Roman" w:hAnsi="Times New Roman"/>
          <w:sz w:val="28"/>
          <w:szCs w:val="28"/>
        </w:rPr>
        <w:t xml:space="preserve"> Куйбышевского района Новосибирской области, утверждённый Решение Совета депутатов города Куйбышева Куйбышевского района Новосибирской от 27.01.2003 № 7;</w:t>
      </w:r>
    </w:p>
    <w:p w:rsidR="002D1E45"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Схема территориального планирования Новосибирской области, утверждённая постановлением Администрации Новосибирской области от 07.09.2009 № 339-па</w:t>
      </w:r>
      <w:r>
        <w:rPr>
          <w:rFonts w:ascii="Times New Roman" w:hAnsi="Times New Roman"/>
          <w:sz w:val="28"/>
          <w:szCs w:val="28"/>
        </w:rPr>
        <w:t>;</w:t>
      </w:r>
    </w:p>
    <w:p w:rsidR="002D1E45"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 xml:space="preserve">Схема территориального планирования </w:t>
      </w:r>
      <w:r>
        <w:rPr>
          <w:rFonts w:ascii="Times New Roman" w:hAnsi="Times New Roman"/>
          <w:sz w:val="28"/>
          <w:szCs w:val="28"/>
        </w:rPr>
        <w:t>Куйбышевского района</w:t>
      </w:r>
      <w:r w:rsidRPr="0058793B">
        <w:rPr>
          <w:rFonts w:ascii="Times New Roman" w:hAnsi="Times New Roman"/>
          <w:sz w:val="28"/>
          <w:szCs w:val="28"/>
        </w:rPr>
        <w:t>, Новосибирской области</w:t>
      </w:r>
      <w:r>
        <w:rPr>
          <w:rFonts w:ascii="Times New Roman" w:hAnsi="Times New Roman"/>
          <w:sz w:val="28"/>
          <w:szCs w:val="28"/>
        </w:rPr>
        <w:t>,</w:t>
      </w:r>
      <w:r w:rsidRPr="0058793B">
        <w:rPr>
          <w:rFonts w:ascii="Times New Roman" w:hAnsi="Times New Roman"/>
          <w:sz w:val="28"/>
          <w:szCs w:val="28"/>
        </w:rPr>
        <w:t xml:space="preserve"> утверждённая </w:t>
      </w:r>
      <w:r>
        <w:rPr>
          <w:rFonts w:ascii="Times New Roman" w:hAnsi="Times New Roman"/>
          <w:sz w:val="28"/>
          <w:szCs w:val="28"/>
        </w:rPr>
        <w:t>р</w:t>
      </w:r>
      <w:r w:rsidRPr="00DA0108">
        <w:rPr>
          <w:rFonts w:ascii="Times New Roman" w:hAnsi="Times New Roman"/>
          <w:sz w:val="28"/>
          <w:szCs w:val="28"/>
        </w:rPr>
        <w:t>ешение</w:t>
      </w:r>
      <w:r>
        <w:rPr>
          <w:rFonts w:ascii="Times New Roman" w:hAnsi="Times New Roman"/>
          <w:sz w:val="28"/>
          <w:szCs w:val="28"/>
        </w:rPr>
        <w:t>м</w:t>
      </w:r>
      <w:r w:rsidRPr="00DA0108">
        <w:rPr>
          <w:rFonts w:ascii="Times New Roman" w:hAnsi="Times New Roman"/>
          <w:sz w:val="28"/>
          <w:szCs w:val="28"/>
        </w:rPr>
        <w:t xml:space="preserve"> сессии Совета депутатов Куйбышевского района </w:t>
      </w:r>
      <w:r w:rsidRPr="0058793B">
        <w:rPr>
          <w:rFonts w:ascii="Times New Roman" w:hAnsi="Times New Roman"/>
          <w:sz w:val="28"/>
          <w:szCs w:val="28"/>
        </w:rPr>
        <w:t xml:space="preserve">от </w:t>
      </w:r>
      <w:r w:rsidRPr="00DA0108">
        <w:rPr>
          <w:rFonts w:ascii="Times New Roman" w:hAnsi="Times New Roman"/>
          <w:sz w:val="28"/>
          <w:szCs w:val="28"/>
        </w:rPr>
        <w:t>14.03.2013</w:t>
      </w:r>
      <w:r w:rsidRPr="0058793B">
        <w:rPr>
          <w:rFonts w:ascii="Times New Roman" w:hAnsi="Times New Roman"/>
          <w:sz w:val="28"/>
          <w:szCs w:val="28"/>
        </w:rPr>
        <w:t xml:space="preserve"> № </w:t>
      </w:r>
      <w:r>
        <w:rPr>
          <w:rFonts w:ascii="Times New Roman" w:hAnsi="Times New Roman"/>
          <w:sz w:val="28"/>
          <w:szCs w:val="28"/>
        </w:rPr>
        <w:t>11.</w:t>
      </w:r>
    </w:p>
    <w:p w:rsidR="002D1E45" w:rsidRPr="0058793B" w:rsidRDefault="002D1E45" w:rsidP="0058793B">
      <w:pPr>
        <w:spacing w:after="0" w:line="240" w:lineRule="auto"/>
        <w:ind w:firstLine="709"/>
        <w:contextualSpacing/>
        <w:jc w:val="both"/>
        <w:rPr>
          <w:rFonts w:ascii="Times New Roman" w:hAnsi="Times New Roman"/>
          <w:sz w:val="28"/>
          <w:szCs w:val="28"/>
        </w:rPr>
      </w:pPr>
      <w:r w:rsidRPr="0058793B">
        <w:rPr>
          <w:rFonts w:ascii="Times New Roman" w:hAnsi="Times New Roman"/>
          <w:sz w:val="28"/>
          <w:szCs w:val="28"/>
        </w:rPr>
        <w:t>Генеральный план города Куйбышева Куйбышевского района Новосибирской является документом территориального планирования. Этапы территориального планирования: первая очередь – до 2030 года, расчётный срок – до 2040 года включительно.</w:t>
      </w:r>
    </w:p>
    <w:p w:rsidR="002D1E45" w:rsidRPr="0058793B" w:rsidRDefault="002D1E45" w:rsidP="0058793B">
      <w:pPr>
        <w:spacing w:after="0" w:line="240" w:lineRule="auto"/>
        <w:ind w:firstLine="709"/>
        <w:contextualSpacing/>
        <w:jc w:val="both"/>
        <w:rPr>
          <w:rFonts w:ascii="Times New Roman" w:hAnsi="Times New Roman"/>
          <w:sz w:val="28"/>
          <w:szCs w:val="28"/>
        </w:rPr>
      </w:pPr>
      <w:r w:rsidRPr="0058793B">
        <w:rPr>
          <w:rFonts w:ascii="Times New Roman" w:hAnsi="Times New Roman"/>
          <w:sz w:val="28"/>
          <w:szCs w:val="28"/>
        </w:rPr>
        <w:t>Выполнение работ по подготовке проекта генерального плана города Куйбышева Куйбышевского района Новосибирской области проведены в соответствии со следующими нормативными и законодательными документами:</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bookmarkStart w:id="31" w:name="_Hlk41330870"/>
      <w:bookmarkStart w:id="32" w:name="_Hlk483648289"/>
      <w:r w:rsidRPr="0058793B">
        <w:rPr>
          <w:rFonts w:ascii="Times New Roman" w:hAnsi="Times New Roman"/>
          <w:sz w:val="28"/>
          <w:szCs w:val="28"/>
        </w:rPr>
        <w:t>Градостроительный кодекс Российской Федерации от 29.12.2004 № 190</w:t>
      </w:r>
      <w:r w:rsidRPr="0058793B">
        <w:rPr>
          <w:rFonts w:ascii="Times New Roman" w:hAnsi="Times New Roman"/>
          <w:sz w:val="28"/>
          <w:szCs w:val="28"/>
        </w:rPr>
        <w:noBreakHyphen/>
        <w:t>ФЗ;</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Земельный кодекс Российской Федерации от 25.10.2001 № 136 ФЗ;</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Водный кодекс Российской Федерации от 03.06.2006 № 74-ФЗ;</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Лесной кодекс Российской Федерации от 04.12.2006 № 200-ФЗ;</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Федеральный закон от 28.06.2014 № 172-ФЗ «О стратегическом планировании в Российской Федерации»;</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Федеральный закон от 6.10.2003 № 131-ФЗ «Об общих принципах организации местного самоуправления в Российской Федерации»;</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Федеральный закон от 14.03.1995 № 33-ФЗ «Об особо охраняемых природных территориях»;</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Федеральный закон от 30.03.1999 № 52-Ф «О санитарно-эпидемиологическом благополучии населения»;</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Федеральный закон от 24.07.2007 № 221-ФЗ «О кадастровой деятельности»;</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Федеральный закон от 8.11.2007 № 257-ФЗ «Об автомобильных дорогах и дорожной деятельности в РФ и о внесении изменений в отдельные законодательные акты Российской Федерации»;</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Федеральный закон от 21.12.2004 № 172-ФЗ «О переводе земель или земельных участков из одной категории в другую»;</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Федеральный закон от 10.01.2002 № 7-ФЗ «Об охране окружающей среды»;</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Федеральный закон от 25.06.2002 № 73-ФЗ «Об объектах культурного наследия (памятники истории и культуры) народов Российской Федерации»;</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Федеральный закон от 24.07.2002 № 101-ФЗ «Об обороте земель сельскохозяйственного назначения»;</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Федеральный закон от 22.07.2008 № 123-ФЗ «Технический регламент о требованиях пожарной безопасности»;</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Федеральный закон от 29.12.2014 № 473-ФЗ «О территориях опережающего социально-экономического развития в Российской Федерации»;</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Федеральный закон от 21.07.1997 № 122-ФЗ «О государственной регистрации прав на недвижимое имущество и сделок с ним»;</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Федеральный закон от 24.07.2002 № 101-ФЗ «Об обороте земель сельскохозяйственного назначения»;</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Федеральный закон от 21.12.2004 № 172-ФЗ «О переводе земель или земельных участков из одной категории в другую»;</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Федеральный закон от 10.01.2002 № 7-ФЗ «Об охране окружающей среды»;</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Федеральный закон от 29.07.2017 №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Федеральный закон от 13.07.2015 № 218-ФЗ «О государственной регистрации недвижимости»;</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Федеральный закон от 29.07.2017 № 280-ФЗ «О внесении изменений в отдельные законодательные акты Российской Федерации в целях устранения противоречий в сведениях государственных реестров и установления принадлежности земельного участка к определенной категории земель»;</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Федеральный закон от 07.07.2003 № 112-ФЗ «О личном подсобном хозяйстве»;</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Федеральный закон от 11.06.2003 № 74-ФЗ «О крестьянском (фермерском) хозяйстве»;</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Федеральный закон от 30.03.1999 № 52-ФЗ «О санитарно-эпидемиологическом благополучии населения»;</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Постановление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Постановление Госгортехнадзора Российской Федерации от 22.04.1992 № 9 «Правила охраны магистральных трубопроводов»;</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Постановление Правительства Российской Федерации от 20.11.2000 № 878 «Об утверждении Правил охраны газораспределительных сетей»;</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Постановление Правительства Российской Федерации от 27.08.1999 № 972 «Об утверждении Положения о создании охранных зон стационарных пунктов наблюдений за состоянием окружающей природной среды, е</w:t>
      </w:r>
      <w:r>
        <w:rPr>
          <w:rFonts w:ascii="Times New Roman" w:hAnsi="Times New Roman"/>
          <w:sz w:val="28"/>
          <w:szCs w:val="28"/>
        </w:rPr>
        <w:t>ё</w:t>
      </w:r>
      <w:r w:rsidRPr="0058793B">
        <w:rPr>
          <w:rFonts w:ascii="Times New Roman" w:hAnsi="Times New Roman"/>
          <w:sz w:val="28"/>
          <w:szCs w:val="28"/>
        </w:rPr>
        <w:t xml:space="preserve"> загрязнением»;</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Постановление Правительства Российской Федерации от 09.06.1995 № 578 «Об утверждении Правил охраны линий и сооружений связи Российской Федерации»;</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Постановление Правительства Российской Федерации от 10.01.2009 № 17 «Об утверждении Правил установления на местности границ водоохранных зон и границ прибрежных защитных полос водных объектов»;</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Постановление Правительства Российской Федерации от 18.04.2014 № 360 «Об определении границ зон затопления, подтопления»;</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Постановление Правительства Российской Федерации от 14.12.2009 № 1007 «Об утверждении Положения об определении функциональных зон в лесопарковых зонах, площади и границ лесопарковых зон, зелёных зон»;</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Постановление Правительства Российской Федерации от 26.12.2014 № 1521 «Об утверждении перечня национальных стандартов и сводов правил (частей таких стандартов и сводов правил), в результате применения которых на обязательной основе обеспечивается соблюдение требований Федерального закона «Технический регламент о безопасности зданий и сооружений»;</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Постановление Правительства Российской Федерации от 30.07.2009 № 621 «Об утверждении формы карты (плана) объекта землеустройства и требований к её составлению»;</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Постановление Правительства Российской Федерации от 08.09.2010 № 697 «О единой системе межведомственного электронного взаимодействия» (вместе с «Положением о единой системе межведомственного электронного взаимодействия»);</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Распоряжение Правительства Российской Федерации от 28.12.2012 № 2607-р «Об утверждении схемы территориального планирования Российской Федерации в области здравоохранения»;</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Распоряжение Правительства Российской Федерации от 01.08.2016 № 1634-р «Об утверждении Схемы территориального планирования Российской Федерации в области энергетики»;</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Распоряжение Правительства Российской Федерации от 26.02.2013 № 247-р «Об утверждении схемы территориального планирования Российской Федерации в области высшего профессионального образования»;</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 xml:space="preserve">Приказ Министерства экономического развития Российской Федерации от 01.09.2014 № 540 «Об утверждении классификатора видов разрешённого использования земельных участков»; </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Приказ Министерства регионального развития Российской Федерации от 26.05.2011 № 244 «Об утверждении Методических рекомендаций по разработке проектов генеральных планов поселений и городских округов»;</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Приказ Министерства экономического развития Российской Федерации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 793»;</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Приказ Минэкономразвития России от 23.11.2018 № 650 «Об установлении формы графического описания местоположения границ населённых пунктов, территориальных зон, особо охраняемых природных территорий, зон с особыми условиями использования территории, формы текстового описания местоположения границ населённых пунктов, территориальных зон, требований к точности определения координат характерных точек границ населённых пунктов, территориальных зон, особо охраняемых природных территорий зон с особыми условиями использования территории, формату электронного документа, содержащего сведения о границах населённых пунктов, территориальных зон, особо охраняемых природных территорий, зон с особыми условиями использования территории, и о признании утратившими силу приказов Минэкономразвития России от 23 марта 2016 г. № 163 и от 4 мая 2018 г. № 236»;</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Закон Российской Федерации от 21.02.1992 № 2395-1 «О недрах»;</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Приказ Министерства экономического развития Российской Федерации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07.12.2016 № 793»;</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Приказ Министерства экономического развития Российской Федерации от 03.06.2011 № 267 «Об утверждении порядка описания местоположения границ объектов землеустройства»;</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Приказ Федеральной службы государственной регистрации, кадастра и картографии от 01.08.2014 № П/369 «О реализации информационного взаимодействия при ведении государственного кадастра недвижимости в электронном виде»;</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Приказ Министерства регионального развития Российской Федерации от 21.07.2016 № 460 «Об утверждении порядка согласования проектов документов территориального планирования муниципальных образований, состава и порядка работы согласительной комиссии при согласовании проектов документов территориального планирования»;</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Приказ Министерства регионального развития Российской Федерации от 26.05.2011 № 244 «Об утверждении Методических рекомендаций по разработке проектов генеральных планов поселений и городских округов»;</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Приказ Министерства регионального развития Российской Федерации от 01.09.2014 № 540 «Об утверждении классификатора видов разрешённого использования земельных участков»;</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Приказ Министерства регионального развития Российской Федерации от 23.11.2018 № 650 «Об установлении формы графического описания местоположения границ населённых пунктов, территориальных зон, особо охраняемых природных территорий, зон с особыми условиями использования территории, формы текстового описания местоположения границ населённых пунктов, территориальных зон, требований к точности определения координат характерных точек границ населённых пунктов, территориальных зон, особо охраняемых природных территорий, зон с особыми условиями использования территории, формату электронного документа, содержащего сведения о границах населённых пунктов, территориальных зон, особо охраняемых природных территорий, зон с особыми условиями использования территории, и о признании утратившими силу приказов Минэкономразвития России от 23.03.2016 № 163 и от 04.05.2018 № 236»;</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Закон Новосибирской области от 27.04.2010 № 481-ОЗ «О регулировании градостроительной деятельности в Новосибирской области» (ред. от 06.05.2019);</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Приказ Министерства регионального развития Российской Федерации от 02.04.2013 № 123 «Об утверждении технико-технологических требований к обеспечению взаимодействия федеральной государственной информационной системы территориального планирования с другими информационными системами»;</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Приказ Росреестра от 01.08.2014 № П/369 «О реализации информационного взаимодействия при ведении государственного кадастра недвижимости в электронном виде»;</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Письмо Федеральной службы государственной регистрации, кадастра и картографии Министерства экономического развития Российской Федерации от 19.02.2018 № 4118-ВА/Д23и «О внесении сведений о границах объектов землеустройства»;</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Письмо ФГБУ ФКП Росреестра от 17.01.2018 № 01-00357-ГЕ/18 «Об установлении или изменении границ территориальных зон»;</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Письмо ФГБУ ФКП Росреестра от 28.04.2018 № 10-0810-МС «Об изменениях в законодательстве»;</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Письмо ФГБУ ФКП Росреестра от 28.04.2018 № 10-1876/18 «Для сведения и учёта в работе»;</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Закон Новосибирской области от 02.06.2004 № 200-ОЗ «О статусе и границах муниципальных образований Новосибирской области» (ред. от 01.07.2019);</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Закон Новосибирской области от 27.04.2010 № 481-ОЗ «О регулировании градостроительной деятельности в Новосибирской области»;</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Закон Новосибирской области от 18.12.2015 № 27-ОЗ «О перераспределении полномочий между органами местного самоуправления муниципальных образований Новосибирской области и органами государственной власти Новосибирской области и внесении изменения в статью 3 закона Новосибирской области «Об отдельных вопросах организации местного самоуправления в Новосибирской области»;</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Постановление Правительства Новосибирской области от 28.12.2011 № 608-п «О введении в действие местной системы координат Новосибирской области»;</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Постановление Правительства Новосибирской области от 29.02.2016 № 57-п «Об установлении Порядка взаимодействия между органами местного самоуправления муниципальных образований Новосибирской области и министерством строительства Новосибирской области при реализации ими перераспределённых полномочий»;</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Постановление Правительства Новосибирской области от 28.12.2011 № 608-п «О введении в действие местной системы координат Новосибирской области»;</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Постановление Правительства Новосибирской области от 12.08.2015 № 303-п «Об утверждении региональных нормативов градостроительного проектирования Новосибирской области»;</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Постановление Правительства Новосибирской области от 19.03.2019 № 105-п «О Стратегии социально-экономического развития Новосибирской области на период до 2030 года»;</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Постановление Правительства Новосибирской области от 25.12.2014 № 541-п «Об утверждении Инвестиционной стратегии Новосибирской области до 2030 года»;</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Постановление Администрации Новосибирской области от 07.09.2009 № 339-па «Об утверждении Схемы территориального планирования Новосибирской области»;</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Постановление Правительства Новосибирской области от 25.12.2014 № 541-п «Об утверждении Инвестиционной стратегии Новосибирской области до 2030 года» (ред. от 20.08.2019);</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Постановление Администрации Новосибирской области от 07.09.2009 № 339-па «Об утверждении схемы территориального планирования Новосибирской области» (ред. от 10.04.2018 № 130-п);</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Постановление</w:t>
      </w:r>
      <w:r>
        <w:rPr>
          <w:rFonts w:ascii="Times New Roman" w:hAnsi="Times New Roman"/>
          <w:sz w:val="28"/>
          <w:szCs w:val="28"/>
        </w:rPr>
        <w:t xml:space="preserve"> </w:t>
      </w:r>
      <w:r w:rsidRPr="0058793B">
        <w:rPr>
          <w:rFonts w:ascii="Times New Roman" w:hAnsi="Times New Roman"/>
          <w:sz w:val="28"/>
          <w:szCs w:val="28"/>
        </w:rPr>
        <w:t xml:space="preserve">правительства Новосибирской области от 12 августа 2015 года </w:t>
      </w:r>
      <w:r>
        <w:rPr>
          <w:rFonts w:ascii="Times New Roman" w:hAnsi="Times New Roman"/>
          <w:sz w:val="28"/>
          <w:szCs w:val="28"/>
        </w:rPr>
        <w:t>№</w:t>
      </w:r>
      <w:r w:rsidRPr="0058793B">
        <w:rPr>
          <w:rFonts w:ascii="Times New Roman" w:hAnsi="Times New Roman"/>
          <w:sz w:val="28"/>
          <w:szCs w:val="28"/>
        </w:rPr>
        <w:t xml:space="preserve"> 303-п «Об утверждении региональных нормативов градостроительного</w:t>
      </w:r>
      <w:r>
        <w:rPr>
          <w:rFonts w:ascii="Times New Roman" w:hAnsi="Times New Roman"/>
          <w:sz w:val="28"/>
          <w:szCs w:val="28"/>
        </w:rPr>
        <w:t xml:space="preserve"> </w:t>
      </w:r>
      <w:r w:rsidRPr="0058793B">
        <w:rPr>
          <w:rFonts w:ascii="Times New Roman" w:hAnsi="Times New Roman"/>
          <w:sz w:val="28"/>
          <w:szCs w:val="28"/>
        </w:rPr>
        <w:t>проектирования Новосибирской области», Местные нормативы градостроительного проектирования города Куйбышева, Куйбышевского района Новосибирской области, утверждённых</w:t>
      </w:r>
      <w:r>
        <w:rPr>
          <w:rFonts w:ascii="Times New Roman" w:hAnsi="Times New Roman"/>
          <w:sz w:val="28"/>
          <w:szCs w:val="28"/>
        </w:rPr>
        <w:t xml:space="preserve"> </w:t>
      </w:r>
      <w:r w:rsidRPr="0058793B">
        <w:rPr>
          <w:rFonts w:ascii="Times New Roman" w:hAnsi="Times New Roman"/>
          <w:sz w:val="28"/>
          <w:szCs w:val="28"/>
        </w:rPr>
        <w:t>решением девятой сессии Совета депутатов города Куйбышева Куйбышевского района Новосибирской области от 20.02.2017 № 79</w:t>
      </w:r>
      <w:r>
        <w:rPr>
          <w:rFonts w:ascii="Times New Roman" w:hAnsi="Times New Roman"/>
          <w:sz w:val="28"/>
          <w:szCs w:val="28"/>
        </w:rPr>
        <w:t>;</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 xml:space="preserve">Генеральный план </w:t>
      </w:r>
      <w:r>
        <w:rPr>
          <w:rFonts w:ascii="Times New Roman" w:hAnsi="Times New Roman"/>
          <w:sz w:val="28"/>
          <w:szCs w:val="28"/>
        </w:rPr>
        <w:t>г. Куйбышева Куйбышевского</w:t>
      </w:r>
      <w:r w:rsidRPr="0058793B">
        <w:rPr>
          <w:rFonts w:ascii="Times New Roman" w:hAnsi="Times New Roman"/>
          <w:sz w:val="28"/>
          <w:szCs w:val="28"/>
        </w:rPr>
        <w:t xml:space="preserve"> района Новосибирской области, утверждённый Решение Совета депутатов города Куйбышева Куйбышевского района Новосибирской от 27.01.2003 № 7;</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СанПиН 2.1.7. 1038-01 «Гигиенические требования к устройству и содержанию полигонов для твёрдых бытовых отходов»;</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СанПиН 2.1.4.1110-02 «Зоны санитарной охраны источников водоснабжения и водопроводов питьевого назначения».</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СанПиН 2.2.1/2.1.1.1200-03 «Санитарно-защитные зоны и санитарная классификация предприятий, сооружений и иных объектов»;</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СП 42.13330.2016 «Свод правил. Градостроительство. Планировка и застройка городских и сельских поселений. Актуализированная редакция СНиП 2.07.01-89*»;</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СП 14.13330.2018 «Строительство в сейсмических районах. Актуализированная редакция СНиП II-7-81*»;</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СП 20.13330.2016 «Нагрузки и воздействия. Актуализированная редакция СНиП 2.01.07-85* (с Изменениями № 1, 2)»;</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СП 131.13330.2012 «Строительная климатология. Актуализированная редакция СНиП 23-01-99*»;</w:t>
      </w:r>
    </w:p>
    <w:p w:rsidR="002D1E45" w:rsidRPr="0058793B" w:rsidRDefault="002D1E45" w:rsidP="00D05D06">
      <w:pPr>
        <w:numPr>
          <w:ilvl w:val="0"/>
          <w:numId w:val="9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СП 165.1325800.2014 «Инженерно-технические мероприятия гражданской обороны».</w:t>
      </w:r>
      <w:bookmarkEnd w:id="31"/>
    </w:p>
    <w:bookmarkEnd w:id="32"/>
    <w:p w:rsidR="002D1E45" w:rsidRPr="0058793B" w:rsidRDefault="002D1E45" w:rsidP="0058793B">
      <w:pPr>
        <w:spacing w:after="0" w:line="240" w:lineRule="auto"/>
        <w:ind w:firstLine="709"/>
        <w:contextualSpacing/>
        <w:jc w:val="both"/>
        <w:rPr>
          <w:rFonts w:ascii="Times New Roman" w:hAnsi="Times New Roman"/>
          <w:sz w:val="28"/>
          <w:szCs w:val="28"/>
        </w:rPr>
      </w:pPr>
      <w:r w:rsidRPr="0058793B">
        <w:rPr>
          <w:rFonts w:ascii="Times New Roman" w:hAnsi="Times New Roman"/>
          <w:sz w:val="28"/>
          <w:szCs w:val="28"/>
        </w:rPr>
        <w:t xml:space="preserve">Генеральный план является основополагающим документом, на базе которого формируются комплексные программы по экономическому и социальному развитию </w:t>
      </w:r>
      <w:r>
        <w:rPr>
          <w:rFonts w:ascii="Times New Roman" w:hAnsi="Times New Roman"/>
          <w:sz w:val="28"/>
          <w:szCs w:val="28"/>
        </w:rPr>
        <w:t>города Куйбышева</w:t>
      </w:r>
      <w:r w:rsidRPr="0058793B">
        <w:rPr>
          <w:rFonts w:ascii="Times New Roman" w:hAnsi="Times New Roman"/>
          <w:sz w:val="28"/>
          <w:szCs w:val="28"/>
        </w:rPr>
        <w:t xml:space="preserve"> по использованию территории по категориям земель, расселению, проведению мероприятий по градостроительству, размещению объектов капитального строительства, предотвращению чрезвычайных ситуаций природного и техногенного характера.</w:t>
      </w:r>
    </w:p>
    <w:p w:rsidR="002D1E45" w:rsidRPr="0058793B" w:rsidRDefault="002D1E45" w:rsidP="0058793B">
      <w:pPr>
        <w:spacing w:after="0" w:line="240" w:lineRule="auto"/>
        <w:ind w:firstLine="709"/>
        <w:contextualSpacing/>
        <w:jc w:val="both"/>
        <w:rPr>
          <w:rFonts w:ascii="Times New Roman" w:hAnsi="Times New Roman"/>
          <w:sz w:val="28"/>
          <w:szCs w:val="28"/>
        </w:rPr>
      </w:pPr>
      <w:r w:rsidRPr="0058793B">
        <w:rPr>
          <w:rFonts w:ascii="Times New Roman" w:hAnsi="Times New Roman"/>
          <w:sz w:val="28"/>
          <w:szCs w:val="28"/>
        </w:rPr>
        <w:t>Решения Генерального плана города Куйбышева Куйбышевского района Новосибирской области основаны на результатах комплексного анализа современного использования территории поселения, ограничений её использования, демографических процессов и потребностей в развитии селитебной и производственной территории и инженерно-транспортной инфраструктуры в соответствии с градостроительными и экологическими требованиями.</w:t>
      </w:r>
    </w:p>
    <w:p w:rsidR="002D1E45" w:rsidRDefault="002D1E45" w:rsidP="0058793B">
      <w:pPr>
        <w:spacing w:after="0" w:line="240" w:lineRule="auto"/>
        <w:ind w:firstLine="709"/>
        <w:contextualSpacing/>
        <w:jc w:val="both"/>
        <w:rPr>
          <w:rFonts w:ascii="Times New Roman" w:hAnsi="Times New Roman"/>
          <w:sz w:val="28"/>
          <w:szCs w:val="28"/>
        </w:rPr>
      </w:pPr>
      <w:r w:rsidRPr="0058793B">
        <w:rPr>
          <w:rFonts w:ascii="Times New Roman" w:hAnsi="Times New Roman"/>
          <w:sz w:val="28"/>
          <w:szCs w:val="28"/>
        </w:rPr>
        <w:t xml:space="preserve">Органом, уполномоченным на утверждение проекта Генерального плана, в соответствии с Федеральным законом от 06.10.2003 № 131-ФЗ «Об общих принципах организации местного самоуправления в Российской Федерации» и Уставом города Куйбышева </w:t>
      </w:r>
      <w:bookmarkStart w:id="33" w:name="_Hlk48042300"/>
      <w:r w:rsidRPr="0058793B">
        <w:rPr>
          <w:rFonts w:ascii="Times New Roman" w:hAnsi="Times New Roman"/>
          <w:sz w:val="28"/>
          <w:szCs w:val="28"/>
        </w:rPr>
        <w:t xml:space="preserve">Куйбышевского </w:t>
      </w:r>
      <w:bookmarkEnd w:id="33"/>
      <w:r w:rsidRPr="0058793B">
        <w:rPr>
          <w:rFonts w:ascii="Times New Roman" w:hAnsi="Times New Roman"/>
          <w:sz w:val="28"/>
          <w:szCs w:val="28"/>
        </w:rPr>
        <w:t>района Новосибирской области, является представительный орган муниципального образования – Совет депутатов города Куйбышева Куйбышевского района Новосибирской области.</w:t>
      </w:r>
    </w:p>
    <w:p w:rsidR="002D1E45" w:rsidRPr="00436E5C" w:rsidRDefault="002D1E45" w:rsidP="000F0095">
      <w:pPr>
        <w:spacing w:after="0" w:line="240" w:lineRule="auto"/>
        <w:ind w:firstLine="709"/>
        <w:contextualSpacing/>
        <w:jc w:val="both"/>
        <w:rPr>
          <w:rFonts w:ascii="Times New Roman" w:hAnsi="Times New Roman"/>
          <w:sz w:val="28"/>
          <w:szCs w:val="28"/>
        </w:rPr>
      </w:pPr>
    </w:p>
    <w:p w:rsidR="002D1E45" w:rsidRPr="009313EC" w:rsidRDefault="002D1E45" w:rsidP="00D05D06">
      <w:pPr>
        <w:pStyle w:val="Heading1"/>
        <w:numPr>
          <w:ilvl w:val="0"/>
          <w:numId w:val="65"/>
        </w:numPr>
        <w:spacing w:line="240" w:lineRule="auto"/>
        <w:rPr>
          <w:b/>
          <w:sz w:val="32"/>
        </w:rPr>
      </w:pPr>
      <w:bookmarkStart w:id="34" w:name="_Toc84936007"/>
      <w:r w:rsidRPr="009313EC">
        <w:rPr>
          <w:b/>
          <w:sz w:val="32"/>
        </w:rPr>
        <w:t xml:space="preserve">Общая характеристика территории </w:t>
      </w:r>
      <w:r w:rsidRPr="0058793B">
        <w:rPr>
          <w:b/>
          <w:sz w:val="32"/>
        </w:rPr>
        <w:t>города Куйбышева</w:t>
      </w:r>
      <w:bookmarkEnd w:id="34"/>
    </w:p>
    <w:p w:rsidR="002D1E45" w:rsidRPr="00B334E2" w:rsidRDefault="002D1E45" w:rsidP="00B334E2">
      <w:pPr>
        <w:spacing w:after="0" w:line="240" w:lineRule="auto"/>
        <w:rPr>
          <w:lang w:eastAsia="ru-RU"/>
        </w:rPr>
      </w:pPr>
    </w:p>
    <w:p w:rsidR="002D1E45" w:rsidRPr="00205787" w:rsidRDefault="002D1E45" w:rsidP="00852938">
      <w:pPr>
        <w:pStyle w:val="Heading2"/>
        <w:numPr>
          <w:ilvl w:val="1"/>
          <w:numId w:val="65"/>
        </w:numPr>
        <w:tabs>
          <w:tab w:val="clear" w:pos="794"/>
          <w:tab w:val="num" w:pos="993"/>
        </w:tabs>
        <w:jc w:val="both"/>
        <w:rPr>
          <w:b/>
        </w:rPr>
      </w:pPr>
      <w:bookmarkStart w:id="35" w:name="_Toc84936008"/>
      <w:r w:rsidRPr="00205787">
        <w:rPr>
          <w:b/>
        </w:rPr>
        <w:t xml:space="preserve">Местоположение </w:t>
      </w:r>
      <w:r w:rsidRPr="0058793B">
        <w:rPr>
          <w:b/>
        </w:rPr>
        <w:t>города Куйбышева в системе расселения Куйбышевского района</w:t>
      </w:r>
      <w:bookmarkEnd w:id="35"/>
    </w:p>
    <w:p w:rsidR="002D1E45" w:rsidRDefault="002D1E45" w:rsidP="007D5FDB">
      <w:pPr>
        <w:spacing w:after="0" w:line="240" w:lineRule="auto"/>
        <w:ind w:firstLine="709"/>
        <w:contextualSpacing/>
        <w:jc w:val="both"/>
        <w:rPr>
          <w:rFonts w:ascii="Times New Roman" w:hAnsi="Times New Roman"/>
          <w:sz w:val="28"/>
          <w:szCs w:val="24"/>
        </w:rPr>
      </w:pPr>
      <w:bookmarkStart w:id="36" w:name="_Hlk487375553"/>
    </w:p>
    <w:bookmarkEnd w:id="36"/>
    <w:p w:rsidR="002D1E45" w:rsidRDefault="002D1E45" w:rsidP="0058793B">
      <w:pPr>
        <w:spacing w:after="0" w:line="240" w:lineRule="auto"/>
        <w:ind w:firstLine="709"/>
        <w:contextualSpacing/>
        <w:jc w:val="both"/>
        <w:rPr>
          <w:rFonts w:ascii="Times New Roman" w:hAnsi="Times New Roman"/>
          <w:sz w:val="28"/>
          <w:szCs w:val="24"/>
        </w:rPr>
      </w:pPr>
      <w:r w:rsidRPr="0058793B">
        <w:rPr>
          <w:rFonts w:ascii="Times New Roman" w:hAnsi="Times New Roman"/>
          <w:sz w:val="28"/>
          <w:szCs w:val="24"/>
        </w:rPr>
        <w:t>Куйбышев - административный центр Куйбышевского района Новосибирской области. Находится на западе Новосибирской области, расположенный на берегах реки Омь, в 315 километрах от областного центра. В 40 км от г. Куйбышева расположен г. Барабинск, который является крупной железнодорожной станцией западного направления. Города Куйбышев и Барабинск связаны асфальтированной автомобильной трассой и вблизи них проходит федеральная автомагистраль Новосибирск – Омск.</w:t>
      </w:r>
    </w:p>
    <w:p w:rsidR="002D1E45" w:rsidRDefault="002D1E45" w:rsidP="0058793B">
      <w:pPr>
        <w:spacing w:after="0" w:line="240" w:lineRule="auto"/>
        <w:ind w:firstLine="709"/>
        <w:contextualSpacing/>
        <w:jc w:val="both"/>
        <w:rPr>
          <w:rFonts w:ascii="Times New Roman" w:hAnsi="Times New Roman"/>
          <w:sz w:val="28"/>
          <w:szCs w:val="24"/>
        </w:rPr>
      </w:pPr>
    </w:p>
    <w:p w:rsidR="002D1E45" w:rsidRDefault="002D1E45" w:rsidP="0058793B">
      <w:pPr>
        <w:spacing w:before="240" w:line="240" w:lineRule="auto"/>
        <w:contextualSpacing/>
        <w:jc w:val="center"/>
        <w:rPr>
          <w:rFonts w:ascii="Times New Roman" w:hAnsi="Times New Roman"/>
          <w:sz w:val="28"/>
          <w:szCs w:val="24"/>
        </w:rPr>
      </w:pPr>
      <w:r w:rsidRPr="00C02575">
        <w:rPr>
          <w:rFonts w:ascii="Times New Roman" w:hAnsi="Times New Roman"/>
          <w:noProof/>
          <w:sz w:val="28"/>
          <w:szCs w:val="24"/>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i1025" type="#_x0000_t75" style="width:364.5pt;height:249.75pt;visibility:visible">
            <v:imagedata r:id="rId10" o:title="" croptop="10322f" cropbottom="14863f" cropleft="2839f" cropright="22215f"/>
          </v:shape>
        </w:pict>
      </w:r>
    </w:p>
    <w:p w:rsidR="002D1E45" w:rsidRDefault="002D1E45" w:rsidP="0058793B">
      <w:pPr>
        <w:spacing w:before="120" w:after="120" w:line="240" w:lineRule="auto"/>
        <w:jc w:val="center"/>
        <w:rPr>
          <w:rFonts w:ascii="Times New Roman" w:hAnsi="Times New Roman"/>
          <w:sz w:val="28"/>
          <w:szCs w:val="24"/>
          <w:lang w:eastAsia="ru-RU"/>
        </w:rPr>
      </w:pPr>
      <w:r>
        <w:rPr>
          <w:rFonts w:ascii="Times New Roman" w:hAnsi="Times New Roman"/>
          <w:sz w:val="28"/>
          <w:szCs w:val="24"/>
          <w:lang w:eastAsia="ru-RU"/>
        </w:rPr>
        <w:t xml:space="preserve">Рисунок </w:t>
      </w:r>
      <w:r>
        <w:rPr>
          <w:rFonts w:ascii="Times New Roman" w:hAnsi="Times New Roman"/>
          <w:sz w:val="28"/>
          <w:szCs w:val="24"/>
          <w:lang w:eastAsia="ru-RU"/>
        </w:rPr>
        <w:fldChar w:fldCharType="begin"/>
      </w:r>
      <w:r>
        <w:rPr>
          <w:rFonts w:ascii="Times New Roman" w:hAnsi="Times New Roman"/>
          <w:sz w:val="28"/>
          <w:szCs w:val="24"/>
          <w:lang w:eastAsia="ru-RU"/>
        </w:rPr>
        <w:instrText xml:space="preserve"> SEQ Рисунок \* ARABIC </w:instrText>
      </w:r>
      <w:r>
        <w:rPr>
          <w:rFonts w:ascii="Times New Roman" w:hAnsi="Times New Roman"/>
          <w:sz w:val="28"/>
          <w:szCs w:val="24"/>
          <w:lang w:eastAsia="ru-RU"/>
        </w:rPr>
        <w:fldChar w:fldCharType="separate"/>
      </w:r>
      <w:r>
        <w:rPr>
          <w:rFonts w:ascii="Times New Roman" w:hAnsi="Times New Roman"/>
          <w:noProof/>
          <w:sz w:val="28"/>
          <w:szCs w:val="24"/>
          <w:lang w:eastAsia="ru-RU"/>
        </w:rPr>
        <w:t>1</w:t>
      </w:r>
      <w:r>
        <w:rPr>
          <w:rFonts w:ascii="Times New Roman" w:hAnsi="Times New Roman"/>
          <w:sz w:val="28"/>
          <w:szCs w:val="24"/>
          <w:lang w:eastAsia="ru-RU"/>
        </w:rPr>
        <w:fldChar w:fldCharType="end"/>
      </w:r>
      <w:r>
        <w:rPr>
          <w:rFonts w:ascii="Times New Roman" w:hAnsi="Times New Roman"/>
          <w:sz w:val="28"/>
          <w:szCs w:val="24"/>
          <w:lang w:eastAsia="ru-RU"/>
        </w:rPr>
        <w:t>. Город Куйбышев в системе расселения Куйбышевского района Новосибирской области.</w:t>
      </w:r>
    </w:p>
    <w:p w:rsidR="002D1E45" w:rsidRPr="0058793B" w:rsidRDefault="002D1E45" w:rsidP="0058793B">
      <w:pPr>
        <w:spacing w:after="0" w:line="240" w:lineRule="auto"/>
        <w:contextualSpacing/>
        <w:jc w:val="center"/>
        <w:rPr>
          <w:rFonts w:ascii="Times New Roman" w:hAnsi="Times New Roman"/>
          <w:sz w:val="28"/>
          <w:szCs w:val="24"/>
        </w:rPr>
      </w:pPr>
    </w:p>
    <w:p w:rsidR="002D1E45" w:rsidRDefault="002D1E45" w:rsidP="0058793B">
      <w:pPr>
        <w:spacing w:after="0" w:line="240" w:lineRule="auto"/>
        <w:ind w:firstLine="709"/>
        <w:contextualSpacing/>
        <w:jc w:val="both"/>
        <w:rPr>
          <w:rFonts w:ascii="Times New Roman" w:hAnsi="Times New Roman"/>
          <w:sz w:val="28"/>
          <w:szCs w:val="24"/>
        </w:rPr>
      </w:pPr>
      <w:r w:rsidRPr="0058793B">
        <w:rPr>
          <w:rFonts w:ascii="Times New Roman" w:hAnsi="Times New Roman"/>
          <w:sz w:val="28"/>
          <w:szCs w:val="24"/>
        </w:rPr>
        <w:t>Статус и границы территории муниципального образования установлены Законом Новосибирской области от 02.06.2004 № 200-ОЗ «О статусе и границах муниципальных образований Новосибирской области».</w:t>
      </w:r>
    </w:p>
    <w:p w:rsidR="002D1E45" w:rsidRDefault="002D1E45" w:rsidP="00B44956">
      <w:pPr>
        <w:spacing w:after="0" w:line="240" w:lineRule="auto"/>
        <w:contextualSpacing/>
        <w:jc w:val="center"/>
        <w:rPr>
          <w:rFonts w:ascii="Times New Roman" w:hAnsi="Times New Roman"/>
          <w:sz w:val="28"/>
          <w:szCs w:val="24"/>
        </w:rPr>
      </w:pPr>
    </w:p>
    <w:p w:rsidR="002D1E45" w:rsidRPr="00EC2273" w:rsidRDefault="002D1E45" w:rsidP="00751394">
      <w:pPr>
        <w:spacing w:after="0" w:line="240" w:lineRule="auto"/>
        <w:contextualSpacing/>
        <w:jc w:val="both"/>
        <w:rPr>
          <w:rFonts w:ascii="Times New Roman" w:hAnsi="Times New Roman"/>
          <w:iCs/>
          <w:sz w:val="28"/>
          <w:szCs w:val="24"/>
        </w:rPr>
      </w:pPr>
    </w:p>
    <w:p w:rsidR="002D1E45" w:rsidRPr="003D022D" w:rsidRDefault="002D1E45" w:rsidP="00852938">
      <w:pPr>
        <w:pStyle w:val="Heading2"/>
        <w:numPr>
          <w:ilvl w:val="1"/>
          <w:numId w:val="65"/>
        </w:numPr>
        <w:tabs>
          <w:tab w:val="clear" w:pos="794"/>
          <w:tab w:val="num" w:pos="993"/>
        </w:tabs>
        <w:ind w:left="993" w:hanging="633"/>
        <w:jc w:val="both"/>
        <w:rPr>
          <w:b/>
        </w:rPr>
      </w:pPr>
      <w:bookmarkStart w:id="37" w:name="_Toc84936009"/>
      <w:r w:rsidRPr="003D022D">
        <w:rPr>
          <w:b/>
        </w:rPr>
        <w:t xml:space="preserve">Памятники </w:t>
      </w:r>
      <w:r w:rsidRPr="00793DA9">
        <w:rPr>
          <w:b/>
        </w:rPr>
        <w:t>истории, археологии</w:t>
      </w:r>
      <w:r>
        <w:rPr>
          <w:b/>
        </w:rPr>
        <w:t xml:space="preserve">, </w:t>
      </w:r>
      <w:r w:rsidRPr="00793DA9">
        <w:rPr>
          <w:b/>
        </w:rPr>
        <w:t>архитектуры</w:t>
      </w:r>
      <w:r>
        <w:rPr>
          <w:b/>
        </w:rPr>
        <w:t xml:space="preserve"> и культуры</w:t>
      </w:r>
      <w:r w:rsidRPr="00793DA9">
        <w:rPr>
          <w:b/>
        </w:rPr>
        <w:t xml:space="preserve"> </w:t>
      </w:r>
      <w:r>
        <w:rPr>
          <w:b/>
        </w:rPr>
        <w:t>на территории города Куйбышева</w:t>
      </w:r>
      <w:bookmarkEnd w:id="37"/>
    </w:p>
    <w:p w:rsidR="002D1E45" w:rsidRDefault="002D1E45" w:rsidP="003D022D">
      <w:pPr>
        <w:spacing w:after="0" w:line="240" w:lineRule="auto"/>
        <w:rPr>
          <w:sz w:val="28"/>
          <w:szCs w:val="28"/>
          <w:lang w:eastAsia="ru-RU"/>
        </w:rPr>
      </w:pPr>
    </w:p>
    <w:p w:rsidR="002D1E45" w:rsidRPr="007333B4" w:rsidRDefault="002D1E45" w:rsidP="007333B4">
      <w:pPr>
        <w:spacing w:after="0" w:line="240" w:lineRule="auto"/>
        <w:ind w:firstLine="709"/>
        <w:contextualSpacing/>
        <w:jc w:val="both"/>
        <w:rPr>
          <w:rFonts w:ascii="Times New Roman" w:hAnsi="Times New Roman"/>
          <w:sz w:val="28"/>
          <w:szCs w:val="28"/>
          <w:lang w:eastAsia="ru-RU"/>
        </w:rPr>
      </w:pPr>
      <w:r w:rsidRPr="007333B4">
        <w:rPr>
          <w:rFonts w:ascii="Times New Roman" w:hAnsi="Times New Roman"/>
          <w:sz w:val="28"/>
          <w:szCs w:val="28"/>
          <w:lang w:eastAsia="ru-RU"/>
        </w:rPr>
        <w:t>Памятники истории, археологии и архитектуры характеризуют многотысячелетний путь истории и развития человечества. Они являются не только значительной частью культурного наследия нашей страны, но и основным источником информации о дописьменной эпохе. Археологические объекты – своеобразная летопись древней и раннесредневековой истории для большинства регионов России, без знания которой невозможна работа по сохранению отечественной и мировой культуры.</w:t>
      </w:r>
    </w:p>
    <w:p w:rsidR="002D1E45" w:rsidRPr="007333B4" w:rsidRDefault="002D1E45" w:rsidP="007333B4">
      <w:pPr>
        <w:spacing w:after="0" w:line="240" w:lineRule="auto"/>
        <w:ind w:firstLine="709"/>
        <w:contextualSpacing/>
        <w:jc w:val="both"/>
        <w:rPr>
          <w:rFonts w:ascii="Times New Roman" w:hAnsi="Times New Roman"/>
          <w:sz w:val="28"/>
          <w:szCs w:val="28"/>
          <w:lang w:eastAsia="ru-RU"/>
        </w:rPr>
      </w:pPr>
      <w:r w:rsidRPr="007333B4">
        <w:rPr>
          <w:rFonts w:ascii="Times New Roman" w:hAnsi="Times New Roman"/>
          <w:sz w:val="28"/>
          <w:szCs w:val="28"/>
          <w:lang w:eastAsia="ru-RU"/>
        </w:rPr>
        <w:t xml:space="preserve">В соответствии со ст. 3.1 Федерального закона от 25.06.2002 № 73-ФЗ «Об объектах культурного наследия (памятниках истории и культуры) народов Российской Федерации» (далее </w:t>
      </w:r>
      <w:r>
        <w:rPr>
          <w:rFonts w:ascii="Times New Roman" w:hAnsi="Times New Roman"/>
          <w:sz w:val="28"/>
          <w:szCs w:val="28"/>
          <w:lang w:eastAsia="ru-RU"/>
        </w:rPr>
        <w:t>–</w:t>
      </w:r>
      <w:r w:rsidRPr="007333B4">
        <w:rPr>
          <w:rFonts w:ascii="Times New Roman" w:hAnsi="Times New Roman"/>
          <w:sz w:val="28"/>
          <w:szCs w:val="28"/>
          <w:lang w:eastAsia="ru-RU"/>
        </w:rPr>
        <w:t xml:space="preserve"> Федеральный закон № 73-ФЗ) территорией объекта культурного наследия является территория, непосредственно занятая данным объектом культурного наследия и (или) связанная с ним исторически и функционально, являющаяся его неотъемлемой частью.</w:t>
      </w:r>
    </w:p>
    <w:p w:rsidR="002D1E45" w:rsidRPr="007333B4" w:rsidRDefault="002D1E45" w:rsidP="007333B4">
      <w:pPr>
        <w:spacing w:after="0" w:line="240" w:lineRule="auto"/>
        <w:ind w:firstLine="709"/>
        <w:contextualSpacing/>
        <w:jc w:val="both"/>
        <w:rPr>
          <w:rFonts w:ascii="Times New Roman" w:hAnsi="Times New Roman"/>
          <w:sz w:val="28"/>
          <w:szCs w:val="28"/>
          <w:lang w:eastAsia="ru-RU"/>
        </w:rPr>
      </w:pPr>
      <w:r w:rsidRPr="007333B4">
        <w:rPr>
          <w:rFonts w:ascii="Times New Roman" w:hAnsi="Times New Roman"/>
          <w:sz w:val="28"/>
          <w:szCs w:val="28"/>
          <w:lang w:eastAsia="ru-RU"/>
        </w:rPr>
        <w:t>Для определения наличия либо отсутствия объектов культурного наследия либо объектов, обладающих признаками объекта культурного наследия, ст. 30 Федерального закона № 73-ФЗ предусмотрено проведение историко-культурной экспертизы на земельных участках, участках лесного фонда либо водных объектах или их частях, подлежащих воздействию земляных, строительных, мелиоративных, хозяйственных работ, указанных в статье 30 Федерального закона № 73-ФЗ работ по использованию лесов и иных работ, путём археологической разведки, в порядке, определённом ст. 45.1 Федерального закона № 73-ФЗ.</w:t>
      </w:r>
    </w:p>
    <w:p w:rsidR="002D1E45" w:rsidRPr="007333B4" w:rsidRDefault="002D1E45" w:rsidP="007333B4">
      <w:pPr>
        <w:spacing w:after="0" w:line="240" w:lineRule="auto"/>
        <w:ind w:firstLine="709"/>
        <w:contextualSpacing/>
        <w:jc w:val="both"/>
        <w:rPr>
          <w:rFonts w:ascii="Times New Roman" w:hAnsi="Times New Roman"/>
          <w:sz w:val="28"/>
          <w:szCs w:val="28"/>
          <w:lang w:eastAsia="ru-RU"/>
        </w:rPr>
      </w:pPr>
      <w:r w:rsidRPr="007333B4">
        <w:rPr>
          <w:rFonts w:ascii="Times New Roman" w:hAnsi="Times New Roman"/>
          <w:sz w:val="28"/>
          <w:szCs w:val="28"/>
          <w:lang w:eastAsia="ru-RU"/>
        </w:rPr>
        <w:t>Так же согласно ст. 36 Федерального закона № 73-Ф3, проектирование и проведение земляных, строительных, мелиоративных, хозяйственных работ, указанных в ст. 30 Федерального закона № 73-Ф3, работ по использованию лесов и иных работ осуществляются при отсутствии на территории объектов культурного наследия, включённых в реестр, выявленных объектов культурного наследия или объектов, обладающих признаками объекта культурного наследия.</w:t>
      </w:r>
    </w:p>
    <w:p w:rsidR="002D1E45" w:rsidRPr="007333B4" w:rsidRDefault="002D1E45" w:rsidP="007333B4">
      <w:pPr>
        <w:spacing w:after="0" w:line="240" w:lineRule="auto"/>
        <w:ind w:firstLine="709"/>
        <w:contextualSpacing/>
        <w:jc w:val="both"/>
        <w:rPr>
          <w:rFonts w:ascii="Times New Roman" w:hAnsi="Times New Roman"/>
          <w:sz w:val="28"/>
          <w:szCs w:val="28"/>
          <w:lang w:eastAsia="ru-RU"/>
        </w:rPr>
      </w:pPr>
      <w:r w:rsidRPr="007333B4">
        <w:rPr>
          <w:rFonts w:ascii="Times New Roman" w:hAnsi="Times New Roman"/>
          <w:sz w:val="28"/>
          <w:szCs w:val="28"/>
          <w:lang w:eastAsia="ru-RU"/>
        </w:rPr>
        <w:t>В соответствии со ст. 5.1 Федерального закона № 73-ФЗ на территории памятника или ансамбля запрещаются строительство объектов капитального строительства и увеличение объёмно-пространственных характеристик существующих на территории памятника или ансамбля объектов капитального строительства; проведение земляных, строительных, мелиоративных и иных работ, за исключением работ по сохранению объекта культурного наследия или его отдельных элементов, сохранению историко-градостроительной или природной среды объекта культурного наследия.</w:t>
      </w:r>
    </w:p>
    <w:p w:rsidR="002D1E45" w:rsidRPr="007333B4" w:rsidRDefault="002D1E45" w:rsidP="007333B4">
      <w:pPr>
        <w:spacing w:after="0" w:line="240" w:lineRule="auto"/>
        <w:ind w:firstLine="709"/>
        <w:contextualSpacing/>
        <w:jc w:val="both"/>
        <w:rPr>
          <w:rFonts w:ascii="Times New Roman" w:hAnsi="Times New Roman"/>
          <w:sz w:val="28"/>
          <w:szCs w:val="28"/>
          <w:lang w:eastAsia="ru-RU"/>
        </w:rPr>
      </w:pPr>
      <w:r w:rsidRPr="007333B4">
        <w:rPr>
          <w:rFonts w:ascii="Times New Roman" w:hAnsi="Times New Roman"/>
          <w:sz w:val="28"/>
          <w:szCs w:val="28"/>
          <w:lang w:eastAsia="ru-RU"/>
        </w:rPr>
        <w:t xml:space="preserve">Согласно п. 3 ст. 36 Федерального закона. № 73-ФЗ строительные и иные работы на земельном участке, непосредственно связанном с земельным участком в границах территории объекта культурного наследия, проводятся при наличии в проектной документации разделов об обеспечении сохранности указанного объекта культурного наследия либо проекта обеспечения сохранности объекта культурного наследия. </w:t>
      </w:r>
    </w:p>
    <w:p w:rsidR="002D1E45" w:rsidRPr="007333B4" w:rsidRDefault="002D1E45" w:rsidP="007333B4">
      <w:pPr>
        <w:spacing w:after="0" w:line="240" w:lineRule="auto"/>
        <w:ind w:firstLine="709"/>
        <w:contextualSpacing/>
        <w:jc w:val="both"/>
        <w:rPr>
          <w:rFonts w:ascii="Times New Roman" w:hAnsi="Times New Roman"/>
          <w:sz w:val="28"/>
          <w:szCs w:val="28"/>
          <w:lang w:eastAsia="ru-RU"/>
        </w:rPr>
      </w:pPr>
      <w:r w:rsidRPr="007333B4">
        <w:rPr>
          <w:rFonts w:ascii="Times New Roman" w:hAnsi="Times New Roman"/>
          <w:sz w:val="28"/>
          <w:szCs w:val="28"/>
          <w:lang w:eastAsia="ru-RU"/>
        </w:rPr>
        <w:t>В соответствии со ст. 28, 30 Федерального закона № 73-ФЗ в целях определения наличия или отсутствия объектов, обладающих признаками объекта культурного наследия, земельные участки, подлежащие воздействию земляных, строительных, мелиоративных, хозяйственных и иных работ, подлежат государственной историко</w:t>
      </w:r>
      <w:r w:rsidRPr="007333B4">
        <w:rPr>
          <w:rFonts w:ascii="Times New Roman" w:hAnsi="Times New Roman"/>
          <w:sz w:val="28"/>
          <w:szCs w:val="28"/>
          <w:lang w:eastAsia="ru-RU"/>
        </w:rPr>
        <w:noBreakHyphen/>
        <w:t>культурной экспертизе.</w:t>
      </w:r>
    </w:p>
    <w:p w:rsidR="002D1E45" w:rsidRPr="007333B4" w:rsidRDefault="002D1E45" w:rsidP="007333B4">
      <w:pPr>
        <w:spacing w:after="0" w:line="240" w:lineRule="auto"/>
        <w:ind w:firstLine="709"/>
        <w:contextualSpacing/>
        <w:jc w:val="both"/>
        <w:rPr>
          <w:rFonts w:ascii="Times New Roman" w:hAnsi="Times New Roman"/>
          <w:sz w:val="28"/>
          <w:szCs w:val="28"/>
          <w:lang w:eastAsia="ru-RU"/>
        </w:rPr>
      </w:pPr>
      <w:r w:rsidRPr="007333B4">
        <w:rPr>
          <w:rFonts w:ascii="Times New Roman" w:hAnsi="Times New Roman"/>
          <w:sz w:val="28"/>
          <w:szCs w:val="28"/>
          <w:lang w:eastAsia="ru-RU"/>
        </w:rPr>
        <w:t>Согласно п. 4 ст. 36 Федерального закона № 73-ФЗ в случае обнаружения в ходе проведения изыскательских, проектных, земляных, строительных, мелиоративных, хозяйственных работ и иных работ объекта, обладающего признаками объекта культурного наследия, в том числе объекта археологического наследия, заказчик указанных работ, технический заказчик (застройщик) объекта капитального строительства, лицо, проводящее указанные работы, обязаны незамедлительно приостановить указанные работы и в течение трёх дней со дня обнаружения такого объекта направить в региональный орган охраны объектов культурного наследия письменное заявление об обнаруженном объекте культурного наследия.</w:t>
      </w:r>
    </w:p>
    <w:p w:rsidR="002D1E45" w:rsidRPr="007333B4" w:rsidRDefault="002D1E45" w:rsidP="007333B4">
      <w:pPr>
        <w:spacing w:after="0" w:line="240" w:lineRule="auto"/>
        <w:ind w:firstLine="709"/>
        <w:contextualSpacing/>
        <w:jc w:val="both"/>
        <w:rPr>
          <w:rFonts w:ascii="Times New Roman" w:hAnsi="Times New Roman"/>
          <w:sz w:val="28"/>
          <w:szCs w:val="28"/>
          <w:lang w:eastAsia="ru-RU"/>
        </w:rPr>
      </w:pPr>
      <w:r w:rsidRPr="007333B4">
        <w:rPr>
          <w:rFonts w:ascii="Times New Roman" w:hAnsi="Times New Roman"/>
          <w:sz w:val="28"/>
          <w:szCs w:val="28"/>
          <w:lang w:eastAsia="ru-RU"/>
        </w:rPr>
        <w:t xml:space="preserve">В соответствии со ст. 11 Закона Российской Федерации от 14.01.1993 № 4292-1 «Об увековечении памяти погибших при защите Отечества» к полномочиям органов местного самоуправления, осуществляющих работу по увековечиванию памяти погибших при защите Отечества относится осуществление мероприятий по содержанию в порядке и благоустройству воинских захоронений, мемориал сооружений и объектов, увековечивающих память погибших при защите Отечества, которые находятся на территориях, а также работы по реализации межправительственных соглашений по уходу за захоронениями иностранных военнослужащих на территории Российской Федерации. </w:t>
      </w:r>
    </w:p>
    <w:p w:rsidR="002D1E45" w:rsidRPr="007333B4" w:rsidRDefault="002D1E45" w:rsidP="007333B4">
      <w:pPr>
        <w:spacing w:after="0" w:line="240" w:lineRule="auto"/>
        <w:ind w:firstLine="709"/>
        <w:contextualSpacing/>
        <w:jc w:val="both"/>
        <w:rPr>
          <w:rFonts w:ascii="Times New Roman" w:hAnsi="Times New Roman"/>
          <w:sz w:val="28"/>
          <w:szCs w:val="28"/>
          <w:lang w:eastAsia="ru-RU"/>
        </w:rPr>
      </w:pPr>
      <w:r w:rsidRPr="007333B4">
        <w:rPr>
          <w:rFonts w:ascii="Times New Roman" w:hAnsi="Times New Roman"/>
          <w:sz w:val="28"/>
          <w:szCs w:val="28"/>
          <w:lang w:eastAsia="ru-RU"/>
        </w:rPr>
        <w:t>Документы территориального планирования подлежат соответствующей корректировке с обязательным внесением изменений и дополнений после утверждения границ территории и/или проектов зон охраны объектов культурного наследия.</w:t>
      </w:r>
    </w:p>
    <w:p w:rsidR="002D1E45" w:rsidRPr="007333B4" w:rsidRDefault="002D1E45" w:rsidP="007333B4">
      <w:pPr>
        <w:spacing w:after="0" w:line="240" w:lineRule="auto"/>
        <w:ind w:firstLine="709"/>
        <w:contextualSpacing/>
        <w:jc w:val="both"/>
        <w:rPr>
          <w:rFonts w:ascii="Times New Roman" w:hAnsi="Times New Roman"/>
          <w:sz w:val="28"/>
          <w:szCs w:val="28"/>
          <w:lang w:eastAsia="ru-RU"/>
        </w:rPr>
      </w:pPr>
      <w:r w:rsidRPr="007333B4">
        <w:rPr>
          <w:rFonts w:ascii="Times New Roman" w:hAnsi="Times New Roman"/>
          <w:sz w:val="28"/>
          <w:szCs w:val="28"/>
          <w:lang w:eastAsia="ru-RU"/>
        </w:rPr>
        <w:t>В целях оптимизации процессов изучения и инвентаризации объектов культурного наследия, в том числе и объектов археологического наследия, рекомендуется проведение следующих мероприятий:</w:t>
      </w:r>
    </w:p>
    <w:p w:rsidR="002D1E45" w:rsidRPr="007333B4" w:rsidRDefault="002D1E45" w:rsidP="00852938">
      <w:pPr>
        <w:numPr>
          <w:ilvl w:val="0"/>
          <w:numId w:val="92"/>
        </w:numPr>
        <w:tabs>
          <w:tab w:val="left" w:pos="1134"/>
        </w:tabs>
        <w:spacing w:after="0" w:line="240" w:lineRule="auto"/>
        <w:ind w:left="1134"/>
        <w:jc w:val="both"/>
        <w:rPr>
          <w:rFonts w:ascii="Times New Roman" w:hAnsi="Times New Roman"/>
          <w:sz w:val="28"/>
          <w:szCs w:val="28"/>
          <w:lang w:eastAsia="ru-RU"/>
        </w:rPr>
      </w:pPr>
      <w:r w:rsidRPr="007333B4">
        <w:rPr>
          <w:rFonts w:ascii="Times New Roman" w:hAnsi="Times New Roman"/>
          <w:sz w:val="28"/>
          <w:szCs w:val="28"/>
          <w:lang w:eastAsia="ru-RU"/>
        </w:rPr>
        <w:t>инициировать разработку и утверждение в установленном порядке границ территорий объектов культурного наследия и зон их охраны;</w:t>
      </w:r>
    </w:p>
    <w:p w:rsidR="002D1E45" w:rsidRPr="007333B4" w:rsidRDefault="002D1E45" w:rsidP="00852938">
      <w:pPr>
        <w:numPr>
          <w:ilvl w:val="0"/>
          <w:numId w:val="92"/>
        </w:numPr>
        <w:tabs>
          <w:tab w:val="left" w:pos="1134"/>
        </w:tabs>
        <w:spacing w:after="0" w:line="240" w:lineRule="auto"/>
        <w:ind w:left="1134"/>
        <w:jc w:val="both"/>
        <w:rPr>
          <w:rFonts w:ascii="Times New Roman" w:hAnsi="Times New Roman"/>
          <w:sz w:val="28"/>
          <w:szCs w:val="28"/>
          <w:lang w:eastAsia="ru-RU"/>
        </w:rPr>
      </w:pPr>
      <w:r w:rsidRPr="007333B4">
        <w:rPr>
          <w:rFonts w:ascii="Times New Roman" w:hAnsi="Times New Roman"/>
          <w:sz w:val="28"/>
          <w:szCs w:val="28"/>
          <w:lang w:eastAsia="ru-RU"/>
        </w:rPr>
        <w:t>инициировать перевод земельных участков, на которых расположены объекты культурного наследия (в том числе и археологического наследия) в категорию особо охраняемых земель историко-культурного наследия (за исключением участков в границах населённых пунктов);</w:t>
      </w:r>
    </w:p>
    <w:p w:rsidR="002D1E45" w:rsidRPr="007333B4" w:rsidRDefault="002D1E45" w:rsidP="00852938">
      <w:pPr>
        <w:numPr>
          <w:ilvl w:val="0"/>
          <w:numId w:val="92"/>
        </w:numPr>
        <w:tabs>
          <w:tab w:val="left" w:pos="1134"/>
        </w:tabs>
        <w:spacing w:after="0" w:line="240" w:lineRule="auto"/>
        <w:ind w:left="1134"/>
        <w:jc w:val="both"/>
        <w:rPr>
          <w:rFonts w:ascii="Times New Roman" w:hAnsi="Times New Roman"/>
          <w:sz w:val="28"/>
          <w:szCs w:val="28"/>
          <w:lang w:eastAsia="ru-RU"/>
        </w:rPr>
      </w:pPr>
      <w:r w:rsidRPr="007333B4">
        <w:rPr>
          <w:rFonts w:ascii="Times New Roman" w:hAnsi="Times New Roman"/>
          <w:sz w:val="28"/>
          <w:szCs w:val="28"/>
          <w:lang w:eastAsia="ru-RU"/>
        </w:rPr>
        <w:t>популяризировать культурное наследие путём установки надписей и обозначений на территории объектов культурного наследия, зон охраны объектов культурного наследия.</w:t>
      </w:r>
    </w:p>
    <w:p w:rsidR="002D1E45" w:rsidRPr="007333B4" w:rsidRDefault="002D1E45" w:rsidP="007333B4">
      <w:pPr>
        <w:spacing w:after="0" w:line="240" w:lineRule="auto"/>
        <w:ind w:firstLine="709"/>
        <w:contextualSpacing/>
        <w:jc w:val="both"/>
        <w:rPr>
          <w:rFonts w:ascii="Times New Roman" w:hAnsi="Times New Roman"/>
          <w:sz w:val="28"/>
          <w:szCs w:val="28"/>
          <w:lang w:eastAsia="ru-RU"/>
        </w:rPr>
      </w:pPr>
      <w:r w:rsidRPr="007333B4">
        <w:rPr>
          <w:rFonts w:ascii="Times New Roman" w:hAnsi="Times New Roman"/>
          <w:sz w:val="28"/>
          <w:szCs w:val="28"/>
          <w:lang w:eastAsia="ru-RU"/>
        </w:rPr>
        <w:t>На территории города Куйбышева имеются памятники культурного наследия.</w:t>
      </w:r>
    </w:p>
    <w:p w:rsidR="002D1E45" w:rsidRDefault="002D1E45" w:rsidP="007333B4">
      <w:pPr>
        <w:spacing w:after="0" w:line="240" w:lineRule="auto"/>
        <w:jc w:val="right"/>
        <w:rPr>
          <w:rFonts w:ascii="Times New Roman" w:hAnsi="Times New Roman"/>
          <w:sz w:val="28"/>
          <w:szCs w:val="28"/>
        </w:rPr>
      </w:pPr>
    </w:p>
    <w:p w:rsidR="002D1E45" w:rsidRDefault="002D1E45" w:rsidP="007333B4">
      <w:pPr>
        <w:spacing w:after="0" w:line="240" w:lineRule="auto"/>
        <w:jc w:val="right"/>
        <w:rPr>
          <w:rFonts w:ascii="Times New Roman" w:hAnsi="Times New Roman"/>
          <w:sz w:val="28"/>
          <w:szCs w:val="28"/>
        </w:rPr>
      </w:pPr>
    </w:p>
    <w:p w:rsidR="002D1E45" w:rsidRPr="007333B4" w:rsidRDefault="002D1E45" w:rsidP="007333B4">
      <w:pPr>
        <w:spacing w:after="0" w:line="240" w:lineRule="auto"/>
        <w:jc w:val="right"/>
        <w:rPr>
          <w:rFonts w:ascii="Times New Roman" w:hAnsi="Times New Roman"/>
          <w:sz w:val="28"/>
          <w:szCs w:val="28"/>
        </w:rPr>
      </w:pPr>
      <w:r w:rsidRPr="007333B4">
        <w:rPr>
          <w:rFonts w:ascii="Times New Roman" w:hAnsi="Times New Roman"/>
          <w:sz w:val="28"/>
          <w:szCs w:val="28"/>
        </w:rPr>
        <w:t xml:space="preserve">Таблица </w:t>
      </w:r>
      <w:bookmarkStart w:id="38" w:name="Tbl_OKN1"/>
      <w:r w:rsidRPr="007333B4">
        <w:rPr>
          <w:rFonts w:ascii="Times New Roman" w:hAnsi="Times New Roman"/>
          <w:sz w:val="28"/>
          <w:szCs w:val="28"/>
        </w:rPr>
        <w:fldChar w:fldCharType="begin"/>
      </w:r>
      <w:r w:rsidRPr="007333B4">
        <w:rPr>
          <w:rFonts w:ascii="Times New Roman" w:hAnsi="Times New Roman"/>
          <w:sz w:val="28"/>
          <w:szCs w:val="28"/>
        </w:rPr>
        <w:instrText xml:space="preserve"> SEQ Таблица \* ARABIC </w:instrText>
      </w:r>
      <w:r w:rsidRPr="007333B4">
        <w:rPr>
          <w:rFonts w:ascii="Times New Roman" w:hAnsi="Times New Roman"/>
          <w:sz w:val="28"/>
          <w:szCs w:val="28"/>
        </w:rPr>
        <w:fldChar w:fldCharType="separate"/>
      </w:r>
      <w:r>
        <w:rPr>
          <w:rFonts w:ascii="Times New Roman" w:hAnsi="Times New Roman"/>
          <w:noProof/>
          <w:sz w:val="28"/>
          <w:szCs w:val="28"/>
        </w:rPr>
        <w:t>1</w:t>
      </w:r>
      <w:r w:rsidRPr="007333B4">
        <w:rPr>
          <w:rFonts w:ascii="Times New Roman" w:hAnsi="Times New Roman"/>
          <w:sz w:val="28"/>
          <w:szCs w:val="28"/>
        </w:rPr>
        <w:fldChar w:fldCharType="end"/>
      </w:r>
      <w:bookmarkEnd w:id="38"/>
    </w:p>
    <w:p w:rsidR="002D1E45" w:rsidRPr="007333B4" w:rsidRDefault="002D1E45" w:rsidP="007333B4">
      <w:pPr>
        <w:spacing w:after="120" w:line="240" w:lineRule="auto"/>
        <w:jc w:val="center"/>
        <w:rPr>
          <w:rFonts w:ascii="Times New Roman" w:hAnsi="Times New Roman"/>
          <w:sz w:val="28"/>
          <w:szCs w:val="28"/>
          <w:lang w:eastAsia="ru-RU"/>
        </w:rPr>
      </w:pPr>
      <w:r w:rsidRPr="007333B4">
        <w:rPr>
          <w:rFonts w:ascii="Times New Roman" w:hAnsi="Times New Roman"/>
          <w:sz w:val="28"/>
          <w:szCs w:val="28"/>
          <w:lang w:eastAsia="ru-RU"/>
        </w:rPr>
        <w:t>Перечень объектов культурного наследия</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A0"/>
      </w:tblPr>
      <w:tblGrid>
        <w:gridCol w:w="420"/>
        <w:gridCol w:w="3258"/>
        <w:gridCol w:w="1559"/>
        <w:gridCol w:w="2072"/>
        <w:gridCol w:w="2748"/>
      </w:tblGrid>
      <w:tr w:rsidR="002D1E45" w:rsidRPr="007333B4" w:rsidTr="007333B4">
        <w:trPr>
          <w:cantSplit/>
          <w:tblHeader/>
          <w:jc w:val="center"/>
        </w:trPr>
        <w:tc>
          <w:tcPr>
            <w:tcW w:w="420" w:type="dxa"/>
            <w:vAlign w:val="center"/>
          </w:tcPr>
          <w:p w:rsidR="002D1E45" w:rsidRPr="007333B4" w:rsidRDefault="002D1E45" w:rsidP="007333B4">
            <w:pPr>
              <w:spacing w:after="0" w:line="240" w:lineRule="auto"/>
              <w:ind w:left="-113" w:right="-113"/>
              <w:jc w:val="center"/>
              <w:rPr>
                <w:rFonts w:ascii="Times New Roman" w:hAnsi="Times New Roman"/>
                <w:sz w:val="20"/>
                <w:szCs w:val="20"/>
                <w:lang w:eastAsia="ru-RU"/>
              </w:rPr>
            </w:pPr>
            <w:r w:rsidRPr="007333B4">
              <w:rPr>
                <w:rFonts w:ascii="Times New Roman" w:hAnsi="Times New Roman"/>
                <w:sz w:val="20"/>
                <w:szCs w:val="20"/>
                <w:lang w:eastAsia="ru-RU"/>
              </w:rPr>
              <w:t>№ п/п</w:t>
            </w:r>
          </w:p>
        </w:tc>
        <w:tc>
          <w:tcPr>
            <w:tcW w:w="3258" w:type="dxa"/>
            <w:vAlign w:val="center"/>
          </w:tcPr>
          <w:p w:rsidR="002D1E45" w:rsidRPr="007333B4" w:rsidRDefault="002D1E45" w:rsidP="007333B4">
            <w:pPr>
              <w:spacing w:after="0" w:line="240" w:lineRule="auto"/>
              <w:ind w:left="-113" w:right="-113"/>
              <w:rPr>
                <w:rFonts w:ascii="Times New Roman" w:hAnsi="Times New Roman"/>
                <w:sz w:val="20"/>
                <w:szCs w:val="20"/>
                <w:lang w:eastAsia="ru-RU"/>
              </w:rPr>
            </w:pPr>
            <w:r w:rsidRPr="007333B4">
              <w:rPr>
                <w:rFonts w:ascii="Times New Roman" w:hAnsi="Times New Roman"/>
                <w:sz w:val="20"/>
                <w:szCs w:val="20"/>
                <w:lang w:eastAsia="ru-RU"/>
              </w:rPr>
              <w:t>Наименование памятника</w:t>
            </w:r>
          </w:p>
        </w:tc>
        <w:tc>
          <w:tcPr>
            <w:tcW w:w="1559" w:type="dxa"/>
            <w:vAlign w:val="center"/>
          </w:tcPr>
          <w:p w:rsidR="002D1E45" w:rsidRPr="007333B4" w:rsidRDefault="002D1E45" w:rsidP="007333B4">
            <w:pPr>
              <w:spacing w:after="0" w:line="240" w:lineRule="auto"/>
              <w:ind w:left="-113" w:right="-113"/>
              <w:jc w:val="center"/>
              <w:rPr>
                <w:rFonts w:ascii="Times New Roman" w:hAnsi="Times New Roman"/>
                <w:sz w:val="20"/>
                <w:szCs w:val="20"/>
                <w:lang w:eastAsia="ru-RU"/>
              </w:rPr>
            </w:pPr>
            <w:r w:rsidRPr="007333B4">
              <w:rPr>
                <w:rFonts w:ascii="Times New Roman" w:hAnsi="Times New Roman"/>
                <w:sz w:val="20"/>
                <w:szCs w:val="20"/>
                <w:lang w:eastAsia="ru-RU"/>
              </w:rPr>
              <w:t>Датировка</w:t>
            </w:r>
          </w:p>
        </w:tc>
        <w:tc>
          <w:tcPr>
            <w:tcW w:w="2072" w:type="dxa"/>
            <w:vAlign w:val="center"/>
          </w:tcPr>
          <w:p w:rsidR="002D1E45" w:rsidRPr="007333B4" w:rsidRDefault="002D1E45" w:rsidP="007333B4">
            <w:pPr>
              <w:spacing w:after="0" w:line="240" w:lineRule="auto"/>
              <w:ind w:left="-113" w:right="-113"/>
              <w:jc w:val="center"/>
              <w:rPr>
                <w:rFonts w:ascii="Times New Roman" w:hAnsi="Times New Roman"/>
                <w:sz w:val="20"/>
                <w:szCs w:val="20"/>
                <w:lang w:eastAsia="ru-RU"/>
              </w:rPr>
            </w:pPr>
            <w:r w:rsidRPr="007333B4">
              <w:rPr>
                <w:rFonts w:ascii="Times New Roman" w:hAnsi="Times New Roman"/>
                <w:sz w:val="20"/>
                <w:szCs w:val="20"/>
                <w:lang w:eastAsia="ru-RU"/>
              </w:rPr>
              <w:t>Местонахождение</w:t>
            </w:r>
          </w:p>
        </w:tc>
        <w:tc>
          <w:tcPr>
            <w:tcW w:w="2748" w:type="dxa"/>
            <w:vAlign w:val="center"/>
          </w:tcPr>
          <w:p w:rsidR="002D1E45" w:rsidRPr="007333B4" w:rsidRDefault="002D1E45" w:rsidP="007333B4">
            <w:pPr>
              <w:spacing w:after="0" w:line="240" w:lineRule="auto"/>
              <w:ind w:left="-113" w:right="-113"/>
              <w:jc w:val="center"/>
              <w:rPr>
                <w:rFonts w:ascii="Times New Roman" w:hAnsi="Times New Roman"/>
                <w:sz w:val="20"/>
                <w:szCs w:val="20"/>
                <w:lang w:eastAsia="ru-RU"/>
              </w:rPr>
            </w:pPr>
            <w:r w:rsidRPr="007333B4">
              <w:rPr>
                <w:rFonts w:ascii="Times New Roman" w:hAnsi="Times New Roman"/>
                <w:sz w:val="20"/>
                <w:szCs w:val="20"/>
                <w:lang w:eastAsia="ru-RU"/>
              </w:rPr>
              <w:t>Категория охраны</w:t>
            </w:r>
          </w:p>
        </w:tc>
      </w:tr>
      <w:tr w:rsidR="002D1E45" w:rsidRPr="007333B4" w:rsidTr="007333B4">
        <w:trPr>
          <w:cantSplit/>
          <w:jc w:val="center"/>
        </w:trPr>
        <w:tc>
          <w:tcPr>
            <w:tcW w:w="420" w:type="dxa"/>
            <w:vAlign w:val="center"/>
          </w:tcPr>
          <w:p w:rsidR="002D1E45" w:rsidRPr="007333B4" w:rsidRDefault="002D1E45" w:rsidP="007333B4">
            <w:pPr>
              <w:spacing w:after="0" w:line="240" w:lineRule="auto"/>
              <w:ind w:left="-113" w:right="-113"/>
              <w:jc w:val="center"/>
              <w:rPr>
                <w:rFonts w:ascii="Times New Roman" w:hAnsi="Times New Roman"/>
                <w:sz w:val="20"/>
                <w:szCs w:val="20"/>
                <w:lang w:eastAsia="ru-RU"/>
              </w:rPr>
            </w:pPr>
            <w:r w:rsidRPr="007333B4">
              <w:rPr>
                <w:rFonts w:ascii="Times New Roman" w:hAnsi="Times New Roman"/>
                <w:sz w:val="20"/>
                <w:szCs w:val="20"/>
                <w:lang w:eastAsia="ru-RU"/>
              </w:rPr>
              <w:t>1</w:t>
            </w:r>
          </w:p>
        </w:tc>
        <w:tc>
          <w:tcPr>
            <w:tcW w:w="3258" w:type="dxa"/>
            <w:vAlign w:val="center"/>
          </w:tcPr>
          <w:p w:rsidR="002D1E45" w:rsidRPr="007333B4" w:rsidRDefault="002D1E45" w:rsidP="007333B4">
            <w:pPr>
              <w:spacing w:after="0" w:line="240" w:lineRule="auto"/>
              <w:ind w:right="-27"/>
              <w:rPr>
                <w:rFonts w:ascii="Times New Roman" w:hAnsi="Times New Roman"/>
                <w:sz w:val="20"/>
                <w:szCs w:val="20"/>
                <w:lang w:eastAsia="ru-RU"/>
              </w:rPr>
            </w:pPr>
            <w:r w:rsidRPr="007333B4">
              <w:rPr>
                <w:rFonts w:ascii="Times New Roman" w:hAnsi="Times New Roman"/>
                <w:sz w:val="20"/>
                <w:szCs w:val="20"/>
                <w:lang w:eastAsia="ru-RU"/>
              </w:rPr>
              <w:t>Вокзал станции «Каинск-Барабинский»</w:t>
            </w:r>
          </w:p>
        </w:tc>
        <w:tc>
          <w:tcPr>
            <w:tcW w:w="1559"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1912 г.</w:t>
            </w:r>
          </w:p>
        </w:tc>
        <w:tc>
          <w:tcPr>
            <w:tcW w:w="2072"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г. Куйбышев</w:t>
            </w:r>
          </w:p>
        </w:tc>
        <w:tc>
          <w:tcPr>
            <w:tcW w:w="2748"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М</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Приказ УГО ОКН НСО от 17.01.19</w:t>
            </w:r>
            <w:r>
              <w:rPr>
                <w:rFonts w:ascii="Times New Roman" w:hAnsi="Times New Roman"/>
                <w:sz w:val="20"/>
                <w:szCs w:val="20"/>
                <w:lang w:eastAsia="ru-RU"/>
              </w:rPr>
              <w:t xml:space="preserve"> </w:t>
            </w:r>
            <w:r w:rsidRPr="007333B4">
              <w:rPr>
                <w:rFonts w:ascii="Times New Roman" w:hAnsi="Times New Roman"/>
                <w:sz w:val="20"/>
                <w:szCs w:val="20"/>
                <w:lang w:eastAsia="ru-RU"/>
              </w:rPr>
              <w:t>№ 4</w:t>
            </w:r>
            <w:r>
              <w:rPr>
                <w:rFonts w:ascii="Times New Roman" w:hAnsi="Times New Roman"/>
                <w:sz w:val="20"/>
                <w:szCs w:val="20"/>
                <w:lang w:eastAsia="ru-RU"/>
              </w:rPr>
              <w:t xml:space="preserve"> </w:t>
            </w:r>
            <w:r w:rsidRPr="007333B4">
              <w:rPr>
                <w:rFonts w:ascii="Times New Roman" w:hAnsi="Times New Roman"/>
                <w:sz w:val="20"/>
                <w:szCs w:val="20"/>
                <w:lang w:eastAsia="ru-RU"/>
              </w:rPr>
              <w:t>в редакции</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Приказа ГИО ОКН НСО от 23.12.19</w:t>
            </w:r>
            <w:r>
              <w:rPr>
                <w:rFonts w:ascii="Times New Roman" w:hAnsi="Times New Roman"/>
                <w:sz w:val="20"/>
                <w:szCs w:val="20"/>
                <w:lang w:eastAsia="ru-RU"/>
              </w:rPr>
              <w:t xml:space="preserve"> </w:t>
            </w:r>
            <w:r w:rsidRPr="007333B4">
              <w:rPr>
                <w:rFonts w:ascii="Times New Roman" w:hAnsi="Times New Roman"/>
                <w:sz w:val="20"/>
                <w:szCs w:val="20"/>
                <w:lang w:eastAsia="ru-RU"/>
              </w:rPr>
              <w:t>№ 490</w:t>
            </w:r>
          </w:p>
        </w:tc>
      </w:tr>
      <w:tr w:rsidR="002D1E45" w:rsidRPr="007333B4" w:rsidTr="007333B4">
        <w:trPr>
          <w:cantSplit/>
          <w:jc w:val="center"/>
        </w:trPr>
        <w:tc>
          <w:tcPr>
            <w:tcW w:w="420" w:type="dxa"/>
            <w:vAlign w:val="center"/>
          </w:tcPr>
          <w:p w:rsidR="002D1E45" w:rsidRPr="007333B4" w:rsidRDefault="002D1E45" w:rsidP="007333B4">
            <w:pPr>
              <w:spacing w:after="0" w:line="240" w:lineRule="auto"/>
              <w:ind w:left="-113" w:right="-113"/>
              <w:jc w:val="center"/>
              <w:rPr>
                <w:rFonts w:ascii="Times New Roman" w:hAnsi="Times New Roman"/>
                <w:sz w:val="20"/>
                <w:szCs w:val="20"/>
                <w:lang w:eastAsia="ru-RU"/>
              </w:rPr>
            </w:pPr>
            <w:r w:rsidRPr="007333B4">
              <w:rPr>
                <w:rFonts w:ascii="Times New Roman" w:hAnsi="Times New Roman"/>
                <w:sz w:val="20"/>
                <w:szCs w:val="20"/>
                <w:lang w:eastAsia="ru-RU"/>
              </w:rPr>
              <w:t>2</w:t>
            </w:r>
          </w:p>
        </w:tc>
        <w:tc>
          <w:tcPr>
            <w:tcW w:w="3258" w:type="dxa"/>
            <w:vAlign w:val="center"/>
          </w:tcPr>
          <w:p w:rsidR="002D1E45" w:rsidRPr="007333B4" w:rsidRDefault="002D1E45" w:rsidP="007333B4">
            <w:pPr>
              <w:spacing w:after="0" w:line="240" w:lineRule="auto"/>
              <w:ind w:right="-27"/>
              <w:rPr>
                <w:rFonts w:ascii="Times New Roman" w:hAnsi="Times New Roman"/>
                <w:sz w:val="20"/>
                <w:szCs w:val="20"/>
                <w:lang w:eastAsia="ru-RU"/>
              </w:rPr>
            </w:pPr>
            <w:r w:rsidRPr="007333B4">
              <w:rPr>
                <w:rFonts w:ascii="Times New Roman" w:hAnsi="Times New Roman"/>
                <w:sz w:val="20"/>
                <w:szCs w:val="20"/>
                <w:lang w:eastAsia="ru-RU"/>
              </w:rPr>
              <w:t>Памятник на братской могиле партизан, расстрелянных колчаковцами</w:t>
            </w:r>
          </w:p>
        </w:tc>
        <w:tc>
          <w:tcPr>
            <w:tcW w:w="1559"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1920 г., обелиск 1928г.</w:t>
            </w:r>
          </w:p>
        </w:tc>
        <w:tc>
          <w:tcPr>
            <w:tcW w:w="2072"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сквер «Городская площадь»</w:t>
            </w:r>
          </w:p>
        </w:tc>
        <w:tc>
          <w:tcPr>
            <w:tcW w:w="2748"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 xml:space="preserve">Р </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Решение облисп. от 22.11.60 № 868</w:t>
            </w:r>
          </w:p>
        </w:tc>
      </w:tr>
      <w:tr w:rsidR="002D1E45" w:rsidRPr="007333B4" w:rsidTr="007333B4">
        <w:trPr>
          <w:cantSplit/>
          <w:jc w:val="center"/>
        </w:trPr>
        <w:tc>
          <w:tcPr>
            <w:tcW w:w="420" w:type="dxa"/>
            <w:vAlign w:val="center"/>
          </w:tcPr>
          <w:p w:rsidR="002D1E45" w:rsidRPr="007333B4" w:rsidRDefault="002D1E45" w:rsidP="007333B4">
            <w:pPr>
              <w:spacing w:after="0" w:line="240" w:lineRule="auto"/>
              <w:ind w:left="-113" w:right="-113"/>
              <w:jc w:val="center"/>
              <w:rPr>
                <w:rFonts w:ascii="Times New Roman" w:hAnsi="Times New Roman"/>
                <w:sz w:val="20"/>
                <w:szCs w:val="20"/>
                <w:lang w:eastAsia="ru-RU"/>
              </w:rPr>
            </w:pPr>
            <w:r w:rsidRPr="007333B4">
              <w:rPr>
                <w:rFonts w:ascii="Times New Roman" w:hAnsi="Times New Roman"/>
                <w:sz w:val="20"/>
                <w:szCs w:val="20"/>
                <w:lang w:eastAsia="ru-RU"/>
              </w:rPr>
              <w:t>3</w:t>
            </w:r>
          </w:p>
        </w:tc>
        <w:tc>
          <w:tcPr>
            <w:tcW w:w="3258" w:type="dxa"/>
            <w:vAlign w:val="center"/>
          </w:tcPr>
          <w:p w:rsidR="002D1E45" w:rsidRPr="007333B4" w:rsidRDefault="002D1E45" w:rsidP="007333B4">
            <w:pPr>
              <w:spacing w:after="0" w:line="240" w:lineRule="auto"/>
              <w:ind w:right="-27"/>
              <w:rPr>
                <w:rFonts w:ascii="Times New Roman" w:hAnsi="Times New Roman"/>
                <w:sz w:val="20"/>
                <w:szCs w:val="20"/>
                <w:lang w:eastAsia="ru-RU"/>
              </w:rPr>
            </w:pPr>
            <w:r w:rsidRPr="007333B4">
              <w:rPr>
                <w:rFonts w:ascii="Times New Roman" w:hAnsi="Times New Roman"/>
                <w:sz w:val="20"/>
                <w:szCs w:val="20"/>
                <w:lang w:eastAsia="ru-RU"/>
              </w:rPr>
              <w:t>Братская могила партизан, расстрелянных колчаковцами в 1919 г. 26/VI</w:t>
            </w:r>
          </w:p>
        </w:tc>
        <w:tc>
          <w:tcPr>
            <w:tcW w:w="1559"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1919 г., обелиск 1965 г.</w:t>
            </w:r>
          </w:p>
        </w:tc>
        <w:tc>
          <w:tcPr>
            <w:tcW w:w="2072"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старое кладбище</w:t>
            </w:r>
          </w:p>
        </w:tc>
        <w:tc>
          <w:tcPr>
            <w:tcW w:w="2748"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 xml:space="preserve">Р </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Решение облисп. от 22.11.60 № 868</w:t>
            </w:r>
          </w:p>
        </w:tc>
      </w:tr>
      <w:tr w:rsidR="002D1E45" w:rsidRPr="007333B4" w:rsidTr="007333B4">
        <w:trPr>
          <w:cantSplit/>
          <w:jc w:val="center"/>
        </w:trPr>
        <w:tc>
          <w:tcPr>
            <w:tcW w:w="420" w:type="dxa"/>
            <w:vAlign w:val="center"/>
          </w:tcPr>
          <w:p w:rsidR="002D1E45" w:rsidRPr="007333B4" w:rsidRDefault="002D1E45" w:rsidP="007333B4">
            <w:pPr>
              <w:spacing w:after="0" w:line="240" w:lineRule="auto"/>
              <w:ind w:left="-113" w:right="-113"/>
              <w:jc w:val="center"/>
              <w:rPr>
                <w:rFonts w:ascii="Times New Roman" w:hAnsi="Times New Roman"/>
                <w:sz w:val="20"/>
                <w:szCs w:val="20"/>
                <w:lang w:eastAsia="ru-RU"/>
              </w:rPr>
            </w:pPr>
            <w:r w:rsidRPr="007333B4">
              <w:rPr>
                <w:rFonts w:ascii="Times New Roman" w:hAnsi="Times New Roman"/>
                <w:sz w:val="20"/>
                <w:szCs w:val="20"/>
                <w:lang w:eastAsia="ru-RU"/>
              </w:rPr>
              <w:t>4</w:t>
            </w:r>
          </w:p>
        </w:tc>
        <w:tc>
          <w:tcPr>
            <w:tcW w:w="3258" w:type="dxa"/>
            <w:vAlign w:val="center"/>
          </w:tcPr>
          <w:p w:rsidR="002D1E45" w:rsidRPr="007333B4" w:rsidRDefault="002D1E45" w:rsidP="007333B4">
            <w:pPr>
              <w:spacing w:after="0" w:line="240" w:lineRule="auto"/>
              <w:ind w:right="-27"/>
              <w:rPr>
                <w:rFonts w:ascii="Times New Roman" w:hAnsi="Times New Roman"/>
                <w:sz w:val="20"/>
                <w:szCs w:val="20"/>
                <w:lang w:eastAsia="ru-RU"/>
              </w:rPr>
            </w:pPr>
            <w:r w:rsidRPr="007333B4">
              <w:rPr>
                <w:rFonts w:ascii="Times New Roman" w:hAnsi="Times New Roman"/>
                <w:sz w:val="20"/>
                <w:szCs w:val="20"/>
              </w:rPr>
              <w:t>Памятник В.В. Куйбышеву</w:t>
            </w:r>
          </w:p>
        </w:tc>
        <w:tc>
          <w:tcPr>
            <w:tcW w:w="1559"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1943 г.</w:t>
            </w:r>
          </w:p>
        </w:tc>
        <w:tc>
          <w:tcPr>
            <w:tcW w:w="2072"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сквер в центре города</w:t>
            </w:r>
          </w:p>
        </w:tc>
        <w:tc>
          <w:tcPr>
            <w:tcW w:w="2748"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 xml:space="preserve">Р </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Решение облисп. от 22.11.60 № 868</w:t>
            </w:r>
          </w:p>
        </w:tc>
      </w:tr>
      <w:tr w:rsidR="002D1E45" w:rsidRPr="007333B4" w:rsidTr="007333B4">
        <w:trPr>
          <w:cantSplit/>
          <w:jc w:val="center"/>
        </w:trPr>
        <w:tc>
          <w:tcPr>
            <w:tcW w:w="420" w:type="dxa"/>
            <w:vAlign w:val="center"/>
          </w:tcPr>
          <w:p w:rsidR="002D1E45" w:rsidRPr="007333B4" w:rsidRDefault="002D1E45" w:rsidP="007333B4">
            <w:pPr>
              <w:spacing w:after="0" w:line="240" w:lineRule="auto"/>
              <w:ind w:left="-113" w:right="-113"/>
              <w:jc w:val="center"/>
              <w:rPr>
                <w:rFonts w:ascii="Times New Roman" w:hAnsi="Times New Roman"/>
                <w:sz w:val="20"/>
                <w:szCs w:val="20"/>
                <w:lang w:eastAsia="ru-RU"/>
              </w:rPr>
            </w:pPr>
            <w:r w:rsidRPr="007333B4">
              <w:rPr>
                <w:rFonts w:ascii="Times New Roman" w:hAnsi="Times New Roman"/>
                <w:sz w:val="20"/>
                <w:szCs w:val="20"/>
                <w:lang w:eastAsia="ru-RU"/>
              </w:rPr>
              <w:t>5</w:t>
            </w:r>
          </w:p>
        </w:tc>
        <w:tc>
          <w:tcPr>
            <w:tcW w:w="3258" w:type="dxa"/>
            <w:vAlign w:val="center"/>
          </w:tcPr>
          <w:p w:rsidR="002D1E45" w:rsidRPr="007333B4" w:rsidRDefault="002D1E45" w:rsidP="007333B4">
            <w:pPr>
              <w:spacing w:after="0" w:line="240" w:lineRule="auto"/>
              <w:ind w:right="-27"/>
              <w:rPr>
                <w:rFonts w:ascii="Times New Roman" w:hAnsi="Times New Roman"/>
                <w:sz w:val="20"/>
                <w:szCs w:val="20"/>
                <w:lang w:eastAsia="ru-RU"/>
              </w:rPr>
            </w:pPr>
            <w:r w:rsidRPr="007333B4">
              <w:rPr>
                <w:rFonts w:ascii="Times New Roman" w:hAnsi="Times New Roman"/>
                <w:sz w:val="20"/>
                <w:szCs w:val="20"/>
                <w:lang w:eastAsia="ru-RU"/>
              </w:rPr>
              <w:t>Дом общественных собраний</w:t>
            </w:r>
          </w:p>
        </w:tc>
        <w:tc>
          <w:tcPr>
            <w:tcW w:w="1559"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нач. ХХ в.</w:t>
            </w:r>
          </w:p>
        </w:tc>
        <w:tc>
          <w:tcPr>
            <w:tcW w:w="2072"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ул. Здвинского, 15</w:t>
            </w:r>
          </w:p>
        </w:tc>
        <w:tc>
          <w:tcPr>
            <w:tcW w:w="2748"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М</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Пост. Правительства НСО от 23.04.12 № 206-п</w:t>
            </w:r>
          </w:p>
        </w:tc>
      </w:tr>
      <w:tr w:rsidR="002D1E45" w:rsidRPr="007333B4" w:rsidTr="007333B4">
        <w:trPr>
          <w:cantSplit/>
          <w:jc w:val="center"/>
        </w:trPr>
        <w:tc>
          <w:tcPr>
            <w:tcW w:w="420" w:type="dxa"/>
            <w:vAlign w:val="center"/>
          </w:tcPr>
          <w:p w:rsidR="002D1E45" w:rsidRPr="007333B4" w:rsidRDefault="002D1E45" w:rsidP="007333B4">
            <w:pPr>
              <w:spacing w:after="0" w:line="240" w:lineRule="auto"/>
              <w:ind w:left="-113" w:right="-113"/>
              <w:jc w:val="center"/>
              <w:rPr>
                <w:rFonts w:ascii="Times New Roman" w:hAnsi="Times New Roman"/>
                <w:sz w:val="20"/>
                <w:szCs w:val="20"/>
                <w:lang w:eastAsia="ru-RU"/>
              </w:rPr>
            </w:pPr>
            <w:r w:rsidRPr="007333B4">
              <w:rPr>
                <w:rFonts w:ascii="Times New Roman" w:hAnsi="Times New Roman"/>
                <w:sz w:val="20"/>
                <w:szCs w:val="20"/>
                <w:lang w:eastAsia="ru-RU"/>
              </w:rPr>
              <w:t>6</w:t>
            </w:r>
          </w:p>
        </w:tc>
        <w:tc>
          <w:tcPr>
            <w:tcW w:w="3258" w:type="dxa"/>
            <w:vAlign w:val="center"/>
          </w:tcPr>
          <w:p w:rsidR="002D1E45" w:rsidRPr="007333B4" w:rsidRDefault="002D1E45" w:rsidP="007333B4">
            <w:pPr>
              <w:spacing w:after="0" w:line="240" w:lineRule="auto"/>
              <w:ind w:right="-27"/>
              <w:rPr>
                <w:rFonts w:ascii="Times New Roman" w:hAnsi="Times New Roman"/>
                <w:sz w:val="20"/>
                <w:szCs w:val="20"/>
                <w:lang w:eastAsia="ru-RU"/>
              </w:rPr>
            </w:pPr>
            <w:r w:rsidRPr="007333B4">
              <w:rPr>
                <w:rFonts w:ascii="Times New Roman" w:hAnsi="Times New Roman"/>
                <w:sz w:val="20"/>
                <w:szCs w:val="20"/>
                <w:lang w:eastAsia="ru-RU"/>
              </w:rPr>
              <w:t>Каинское уездное училище</w:t>
            </w:r>
          </w:p>
        </w:tc>
        <w:tc>
          <w:tcPr>
            <w:tcW w:w="1559"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Первая половина ХIХ в.</w:t>
            </w:r>
          </w:p>
        </w:tc>
        <w:tc>
          <w:tcPr>
            <w:tcW w:w="2072" w:type="dxa"/>
            <w:vAlign w:val="center"/>
          </w:tcPr>
          <w:p w:rsidR="002D1E45" w:rsidRPr="007333B4" w:rsidRDefault="002D1E45" w:rsidP="007333B4">
            <w:pPr>
              <w:rPr>
                <w:rFonts w:ascii="Times New Roman" w:hAnsi="Times New Roman"/>
                <w:sz w:val="20"/>
                <w:szCs w:val="20"/>
                <w:lang w:eastAsia="ru-RU"/>
              </w:rPr>
            </w:pPr>
            <w:r w:rsidRPr="007333B4">
              <w:rPr>
                <w:rFonts w:ascii="Times New Roman" w:hAnsi="Times New Roman"/>
                <w:sz w:val="20"/>
                <w:szCs w:val="20"/>
                <w:lang w:eastAsia="ru-RU"/>
              </w:rPr>
              <w:t>ул. Здвинского, 16</w:t>
            </w:r>
          </w:p>
          <w:p w:rsidR="002D1E45" w:rsidRPr="007333B4" w:rsidRDefault="002D1E45" w:rsidP="007333B4">
            <w:pPr>
              <w:spacing w:after="0" w:line="240" w:lineRule="auto"/>
              <w:ind w:right="-27"/>
              <w:jc w:val="center"/>
              <w:rPr>
                <w:rFonts w:ascii="Times New Roman" w:hAnsi="Times New Roman"/>
                <w:sz w:val="20"/>
                <w:szCs w:val="20"/>
                <w:lang w:eastAsia="ru-RU"/>
              </w:rPr>
            </w:pPr>
          </w:p>
        </w:tc>
        <w:tc>
          <w:tcPr>
            <w:tcW w:w="2748"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Р</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Пост. адм. НСО от 27.07.05</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 54</w:t>
            </w:r>
          </w:p>
        </w:tc>
      </w:tr>
      <w:tr w:rsidR="002D1E45" w:rsidRPr="007333B4" w:rsidTr="007333B4">
        <w:trPr>
          <w:cantSplit/>
          <w:jc w:val="center"/>
        </w:trPr>
        <w:tc>
          <w:tcPr>
            <w:tcW w:w="420" w:type="dxa"/>
            <w:vAlign w:val="center"/>
          </w:tcPr>
          <w:p w:rsidR="002D1E45" w:rsidRPr="007333B4" w:rsidRDefault="002D1E45" w:rsidP="007333B4">
            <w:pPr>
              <w:spacing w:after="0" w:line="240" w:lineRule="auto"/>
              <w:ind w:left="-113" w:right="-113"/>
              <w:jc w:val="center"/>
              <w:rPr>
                <w:rFonts w:ascii="Times New Roman" w:hAnsi="Times New Roman"/>
                <w:sz w:val="20"/>
                <w:szCs w:val="20"/>
                <w:lang w:eastAsia="ru-RU"/>
              </w:rPr>
            </w:pPr>
            <w:r w:rsidRPr="007333B4">
              <w:rPr>
                <w:rFonts w:ascii="Times New Roman" w:hAnsi="Times New Roman"/>
                <w:sz w:val="20"/>
                <w:szCs w:val="20"/>
                <w:lang w:eastAsia="ru-RU"/>
              </w:rPr>
              <w:t>7</w:t>
            </w:r>
          </w:p>
        </w:tc>
        <w:tc>
          <w:tcPr>
            <w:tcW w:w="3258" w:type="dxa"/>
            <w:vAlign w:val="center"/>
          </w:tcPr>
          <w:p w:rsidR="002D1E45" w:rsidRPr="007333B4" w:rsidRDefault="002D1E45" w:rsidP="007333B4">
            <w:pPr>
              <w:spacing w:after="0" w:line="240" w:lineRule="auto"/>
              <w:ind w:right="-27"/>
              <w:rPr>
                <w:rFonts w:ascii="Times New Roman" w:hAnsi="Times New Roman"/>
                <w:sz w:val="20"/>
                <w:szCs w:val="20"/>
                <w:lang w:eastAsia="ru-RU"/>
              </w:rPr>
            </w:pPr>
            <w:r w:rsidRPr="007333B4">
              <w:rPr>
                <w:rFonts w:ascii="Times New Roman" w:hAnsi="Times New Roman"/>
                <w:sz w:val="20"/>
                <w:szCs w:val="20"/>
                <w:lang w:eastAsia="ru-RU"/>
              </w:rPr>
              <w:t>Дом жилой</w:t>
            </w:r>
          </w:p>
        </w:tc>
        <w:tc>
          <w:tcPr>
            <w:tcW w:w="1559"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 xml:space="preserve">кон. ХIХ - нач. </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ХХ вв.</w:t>
            </w:r>
          </w:p>
        </w:tc>
        <w:tc>
          <w:tcPr>
            <w:tcW w:w="2072"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ул. Здвинского, 17</w:t>
            </w:r>
          </w:p>
        </w:tc>
        <w:tc>
          <w:tcPr>
            <w:tcW w:w="2748"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 xml:space="preserve">Р </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Пост. Главы адм. НСО от 18.12.00</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 1127</w:t>
            </w:r>
          </w:p>
        </w:tc>
      </w:tr>
      <w:tr w:rsidR="002D1E45" w:rsidRPr="007333B4" w:rsidTr="007333B4">
        <w:trPr>
          <w:cantSplit/>
          <w:jc w:val="center"/>
        </w:trPr>
        <w:tc>
          <w:tcPr>
            <w:tcW w:w="420" w:type="dxa"/>
            <w:vAlign w:val="center"/>
          </w:tcPr>
          <w:p w:rsidR="002D1E45" w:rsidRPr="007333B4" w:rsidRDefault="002D1E45" w:rsidP="007333B4">
            <w:pPr>
              <w:spacing w:after="0" w:line="240" w:lineRule="auto"/>
              <w:ind w:left="-113" w:right="-113"/>
              <w:jc w:val="center"/>
              <w:rPr>
                <w:rFonts w:ascii="Times New Roman" w:hAnsi="Times New Roman"/>
                <w:sz w:val="20"/>
                <w:szCs w:val="20"/>
                <w:lang w:eastAsia="ru-RU"/>
              </w:rPr>
            </w:pPr>
            <w:r w:rsidRPr="007333B4">
              <w:rPr>
                <w:rFonts w:ascii="Times New Roman" w:hAnsi="Times New Roman"/>
                <w:sz w:val="20"/>
                <w:szCs w:val="20"/>
                <w:lang w:eastAsia="ru-RU"/>
              </w:rPr>
              <w:t>8</w:t>
            </w:r>
          </w:p>
        </w:tc>
        <w:tc>
          <w:tcPr>
            <w:tcW w:w="3258" w:type="dxa"/>
            <w:vAlign w:val="center"/>
          </w:tcPr>
          <w:p w:rsidR="002D1E45" w:rsidRPr="007333B4" w:rsidRDefault="002D1E45" w:rsidP="007333B4">
            <w:pPr>
              <w:spacing w:after="0" w:line="240" w:lineRule="auto"/>
              <w:ind w:right="-27"/>
              <w:rPr>
                <w:rFonts w:ascii="Times New Roman" w:hAnsi="Times New Roman"/>
                <w:sz w:val="20"/>
                <w:szCs w:val="20"/>
                <w:lang w:eastAsia="ru-RU"/>
              </w:rPr>
            </w:pPr>
            <w:r w:rsidRPr="007333B4">
              <w:rPr>
                <w:rFonts w:ascii="Times New Roman" w:hAnsi="Times New Roman"/>
                <w:sz w:val="20"/>
                <w:szCs w:val="20"/>
                <w:lang w:eastAsia="ru-RU"/>
              </w:rPr>
              <w:t>2-х этажный кирпичный дом</w:t>
            </w:r>
          </w:p>
        </w:tc>
        <w:tc>
          <w:tcPr>
            <w:tcW w:w="1559"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2-я пол. ХIХ в.</w:t>
            </w:r>
          </w:p>
        </w:tc>
        <w:tc>
          <w:tcPr>
            <w:tcW w:w="2072"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ул. Коммунистическая, 29</w:t>
            </w:r>
          </w:p>
        </w:tc>
        <w:tc>
          <w:tcPr>
            <w:tcW w:w="2748"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 xml:space="preserve">Р </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Решение облисп. от 16.02.87 № 53</w:t>
            </w:r>
          </w:p>
        </w:tc>
      </w:tr>
      <w:tr w:rsidR="002D1E45" w:rsidRPr="007333B4" w:rsidTr="007333B4">
        <w:trPr>
          <w:cantSplit/>
          <w:jc w:val="center"/>
        </w:trPr>
        <w:tc>
          <w:tcPr>
            <w:tcW w:w="420" w:type="dxa"/>
            <w:vAlign w:val="center"/>
          </w:tcPr>
          <w:p w:rsidR="002D1E45" w:rsidRPr="007333B4" w:rsidRDefault="002D1E45" w:rsidP="007333B4">
            <w:pPr>
              <w:spacing w:after="0" w:line="240" w:lineRule="auto"/>
              <w:ind w:left="-113" w:right="-113"/>
              <w:jc w:val="center"/>
              <w:rPr>
                <w:rFonts w:ascii="Times New Roman" w:hAnsi="Times New Roman"/>
                <w:sz w:val="20"/>
                <w:szCs w:val="20"/>
                <w:lang w:eastAsia="ru-RU"/>
              </w:rPr>
            </w:pPr>
            <w:r w:rsidRPr="007333B4">
              <w:rPr>
                <w:rFonts w:ascii="Times New Roman" w:hAnsi="Times New Roman"/>
                <w:sz w:val="20"/>
                <w:szCs w:val="20"/>
                <w:lang w:eastAsia="ru-RU"/>
              </w:rPr>
              <w:t>9</w:t>
            </w:r>
          </w:p>
        </w:tc>
        <w:tc>
          <w:tcPr>
            <w:tcW w:w="3258" w:type="dxa"/>
            <w:vAlign w:val="center"/>
          </w:tcPr>
          <w:p w:rsidR="002D1E45" w:rsidRPr="007333B4" w:rsidRDefault="002D1E45" w:rsidP="007333B4">
            <w:pPr>
              <w:spacing w:after="0" w:line="240" w:lineRule="auto"/>
              <w:ind w:right="-27"/>
              <w:rPr>
                <w:rFonts w:ascii="Times New Roman" w:hAnsi="Times New Roman"/>
                <w:sz w:val="20"/>
                <w:szCs w:val="20"/>
                <w:lang w:eastAsia="ru-RU"/>
              </w:rPr>
            </w:pPr>
            <w:r w:rsidRPr="007333B4">
              <w:rPr>
                <w:rFonts w:ascii="Times New Roman" w:hAnsi="Times New Roman"/>
                <w:sz w:val="20"/>
                <w:szCs w:val="20"/>
                <w:lang w:eastAsia="ru-RU"/>
              </w:rPr>
              <w:t>Дом, в котором с 1919 г. размещался уездный комитет комсомола</w:t>
            </w:r>
          </w:p>
        </w:tc>
        <w:tc>
          <w:tcPr>
            <w:tcW w:w="1559"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1919 г.</w:t>
            </w:r>
          </w:p>
        </w:tc>
        <w:tc>
          <w:tcPr>
            <w:tcW w:w="2072"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ул. Коммунистическая, 29</w:t>
            </w:r>
          </w:p>
        </w:tc>
        <w:tc>
          <w:tcPr>
            <w:tcW w:w="2748"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 xml:space="preserve">Р </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Решение облисп. от 16.02.87 № 53</w:t>
            </w:r>
          </w:p>
        </w:tc>
      </w:tr>
      <w:tr w:rsidR="002D1E45" w:rsidRPr="007333B4" w:rsidTr="007333B4">
        <w:trPr>
          <w:cantSplit/>
          <w:jc w:val="center"/>
        </w:trPr>
        <w:tc>
          <w:tcPr>
            <w:tcW w:w="420" w:type="dxa"/>
            <w:vAlign w:val="center"/>
          </w:tcPr>
          <w:p w:rsidR="002D1E45" w:rsidRPr="007333B4" w:rsidRDefault="002D1E45" w:rsidP="007333B4">
            <w:pPr>
              <w:spacing w:after="0" w:line="240" w:lineRule="auto"/>
              <w:ind w:left="-113" w:right="-113"/>
              <w:jc w:val="center"/>
              <w:rPr>
                <w:rFonts w:ascii="Times New Roman" w:hAnsi="Times New Roman"/>
                <w:sz w:val="20"/>
                <w:szCs w:val="20"/>
                <w:lang w:eastAsia="ru-RU"/>
              </w:rPr>
            </w:pPr>
            <w:r w:rsidRPr="007333B4">
              <w:rPr>
                <w:rFonts w:ascii="Times New Roman" w:hAnsi="Times New Roman"/>
                <w:sz w:val="20"/>
                <w:szCs w:val="20"/>
                <w:lang w:eastAsia="ru-RU"/>
              </w:rPr>
              <w:t>10</w:t>
            </w:r>
          </w:p>
        </w:tc>
        <w:tc>
          <w:tcPr>
            <w:tcW w:w="3258" w:type="dxa"/>
            <w:vAlign w:val="center"/>
          </w:tcPr>
          <w:p w:rsidR="002D1E45" w:rsidRPr="007333B4" w:rsidRDefault="002D1E45" w:rsidP="007333B4">
            <w:pPr>
              <w:spacing w:after="0" w:line="240" w:lineRule="auto"/>
              <w:ind w:right="-27"/>
              <w:rPr>
                <w:rFonts w:ascii="Times New Roman" w:hAnsi="Times New Roman"/>
                <w:sz w:val="20"/>
                <w:szCs w:val="20"/>
                <w:lang w:eastAsia="ru-RU"/>
              </w:rPr>
            </w:pPr>
            <w:r w:rsidRPr="007333B4">
              <w:rPr>
                <w:rFonts w:ascii="Times New Roman" w:hAnsi="Times New Roman"/>
                <w:sz w:val="20"/>
                <w:szCs w:val="20"/>
                <w:lang w:eastAsia="ru-RU"/>
              </w:rPr>
              <w:t>Дом купца И.И. Шкроева</w:t>
            </w:r>
          </w:p>
        </w:tc>
        <w:tc>
          <w:tcPr>
            <w:tcW w:w="1559"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кон. ХIХ в.</w:t>
            </w:r>
          </w:p>
        </w:tc>
        <w:tc>
          <w:tcPr>
            <w:tcW w:w="2072"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ул. Коммунистическая, 31</w:t>
            </w:r>
          </w:p>
        </w:tc>
        <w:tc>
          <w:tcPr>
            <w:tcW w:w="2748"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Р</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Пост. адм. НСО от 27.07.05</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 54</w:t>
            </w:r>
          </w:p>
        </w:tc>
      </w:tr>
      <w:tr w:rsidR="002D1E45" w:rsidRPr="007333B4" w:rsidTr="007333B4">
        <w:trPr>
          <w:cantSplit/>
          <w:jc w:val="center"/>
        </w:trPr>
        <w:tc>
          <w:tcPr>
            <w:tcW w:w="420" w:type="dxa"/>
            <w:vAlign w:val="center"/>
          </w:tcPr>
          <w:p w:rsidR="002D1E45" w:rsidRPr="007333B4" w:rsidRDefault="002D1E45" w:rsidP="007333B4">
            <w:pPr>
              <w:spacing w:after="0" w:line="240" w:lineRule="auto"/>
              <w:ind w:left="-113" w:right="-113"/>
              <w:jc w:val="center"/>
              <w:rPr>
                <w:rFonts w:ascii="Times New Roman" w:hAnsi="Times New Roman"/>
                <w:sz w:val="20"/>
                <w:szCs w:val="20"/>
                <w:lang w:eastAsia="ru-RU"/>
              </w:rPr>
            </w:pPr>
            <w:r w:rsidRPr="007333B4">
              <w:rPr>
                <w:rFonts w:ascii="Times New Roman" w:hAnsi="Times New Roman"/>
                <w:sz w:val="20"/>
                <w:szCs w:val="20"/>
                <w:lang w:eastAsia="ru-RU"/>
              </w:rPr>
              <w:t>11</w:t>
            </w:r>
          </w:p>
        </w:tc>
        <w:tc>
          <w:tcPr>
            <w:tcW w:w="3258" w:type="dxa"/>
            <w:vAlign w:val="center"/>
          </w:tcPr>
          <w:p w:rsidR="002D1E45" w:rsidRPr="007333B4" w:rsidRDefault="002D1E45" w:rsidP="007333B4">
            <w:pPr>
              <w:spacing w:after="0" w:line="240" w:lineRule="auto"/>
              <w:ind w:right="-27"/>
              <w:rPr>
                <w:rFonts w:ascii="Times New Roman" w:hAnsi="Times New Roman"/>
                <w:sz w:val="20"/>
                <w:szCs w:val="20"/>
                <w:lang w:eastAsia="ru-RU"/>
              </w:rPr>
            </w:pPr>
            <w:r w:rsidRPr="007333B4">
              <w:rPr>
                <w:rFonts w:ascii="Times New Roman" w:hAnsi="Times New Roman"/>
                <w:sz w:val="20"/>
                <w:szCs w:val="20"/>
                <w:lang w:eastAsia="ru-RU"/>
              </w:rPr>
              <w:t>Одноэтажный деревянный дом</w:t>
            </w:r>
          </w:p>
        </w:tc>
        <w:tc>
          <w:tcPr>
            <w:tcW w:w="1559"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 xml:space="preserve">нач. </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ХХ в.</w:t>
            </w:r>
          </w:p>
        </w:tc>
        <w:tc>
          <w:tcPr>
            <w:tcW w:w="2072"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ул. Коммунистическая, 64</w:t>
            </w:r>
          </w:p>
        </w:tc>
        <w:tc>
          <w:tcPr>
            <w:tcW w:w="2748"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 xml:space="preserve">Р </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Решение облисп. от 16.02.87 № 53</w:t>
            </w:r>
          </w:p>
        </w:tc>
      </w:tr>
      <w:tr w:rsidR="002D1E45" w:rsidRPr="007333B4" w:rsidTr="007333B4">
        <w:trPr>
          <w:cantSplit/>
          <w:jc w:val="center"/>
        </w:trPr>
        <w:tc>
          <w:tcPr>
            <w:tcW w:w="420" w:type="dxa"/>
            <w:vAlign w:val="center"/>
          </w:tcPr>
          <w:p w:rsidR="002D1E45" w:rsidRPr="007333B4" w:rsidRDefault="002D1E45" w:rsidP="007333B4">
            <w:pPr>
              <w:spacing w:after="0" w:line="240" w:lineRule="auto"/>
              <w:ind w:left="-113" w:right="-113"/>
              <w:jc w:val="center"/>
              <w:rPr>
                <w:rFonts w:ascii="Times New Roman" w:hAnsi="Times New Roman"/>
                <w:sz w:val="20"/>
                <w:szCs w:val="20"/>
                <w:lang w:eastAsia="ru-RU"/>
              </w:rPr>
            </w:pPr>
            <w:r w:rsidRPr="007333B4">
              <w:rPr>
                <w:rFonts w:ascii="Times New Roman" w:hAnsi="Times New Roman"/>
                <w:sz w:val="20"/>
                <w:szCs w:val="20"/>
                <w:lang w:eastAsia="ru-RU"/>
              </w:rPr>
              <w:t>12</w:t>
            </w:r>
          </w:p>
        </w:tc>
        <w:tc>
          <w:tcPr>
            <w:tcW w:w="3258" w:type="dxa"/>
            <w:vAlign w:val="center"/>
          </w:tcPr>
          <w:p w:rsidR="002D1E45" w:rsidRPr="007333B4" w:rsidRDefault="002D1E45" w:rsidP="007333B4">
            <w:pPr>
              <w:spacing w:after="0" w:line="240" w:lineRule="auto"/>
              <w:ind w:right="-27"/>
              <w:rPr>
                <w:rFonts w:ascii="Times New Roman" w:hAnsi="Times New Roman"/>
                <w:sz w:val="20"/>
                <w:szCs w:val="20"/>
                <w:lang w:eastAsia="ru-RU"/>
              </w:rPr>
            </w:pPr>
            <w:r w:rsidRPr="007333B4">
              <w:rPr>
                <w:rFonts w:ascii="Times New Roman" w:hAnsi="Times New Roman"/>
                <w:sz w:val="20"/>
                <w:szCs w:val="20"/>
                <w:lang w:eastAsia="ru-RU"/>
              </w:rPr>
              <w:t>2-х этажный кирпичный дом</w:t>
            </w:r>
          </w:p>
        </w:tc>
        <w:tc>
          <w:tcPr>
            <w:tcW w:w="1559"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1884 г.</w:t>
            </w:r>
          </w:p>
        </w:tc>
        <w:tc>
          <w:tcPr>
            <w:tcW w:w="2072"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ул. Краскома, 3</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(по реш. облисп. – ул. Краскома, 7)</w:t>
            </w:r>
          </w:p>
        </w:tc>
        <w:tc>
          <w:tcPr>
            <w:tcW w:w="2748"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 xml:space="preserve">Р </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Решение облисп. от 16.02.87 № 53</w:t>
            </w:r>
          </w:p>
        </w:tc>
      </w:tr>
      <w:tr w:rsidR="002D1E45" w:rsidRPr="007333B4" w:rsidTr="007333B4">
        <w:trPr>
          <w:cantSplit/>
          <w:jc w:val="center"/>
        </w:trPr>
        <w:tc>
          <w:tcPr>
            <w:tcW w:w="420" w:type="dxa"/>
            <w:vAlign w:val="center"/>
          </w:tcPr>
          <w:p w:rsidR="002D1E45" w:rsidRPr="007333B4" w:rsidRDefault="002D1E45" w:rsidP="007333B4">
            <w:pPr>
              <w:spacing w:after="0" w:line="240" w:lineRule="auto"/>
              <w:ind w:left="-113" w:right="-113"/>
              <w:jc w:val="center"/>
              <w:rPr>
                <w:rFonts w:ascii="Times New Roman" w:hAnsi="Times New Roman"/>
                <w:sz w:val="20"/>
                <w:szCs w:val="20"/>
                <w:lang w:eastAsia="ru-RU"/>
              </w:rPr>
            </w:pPr>
            <w:r w:rsidRPr="007333B4">
              <w:rPr>
                <w:rFonts w:ascii="Times New Roman" w:hAnsi="Times New Roman"/>
                <w:sz w:val="20"/>
                <w:szCs w:val="20"/>
                <w:lang w:eastAsia="ru-RU"/>
              </w:rPr>
              <w:t>13</w:t>
            </w:r>
          </w:p>
        </w:tc>
        <w:tc>
          <w:tcPr>
            <w:tcW w:w="3258" w:type="dxa"/>
            <w:vAlign w:val="center"/>
          </w:tcPr>
          <w:p w:rsidR="002D1E45" w:rsidRPr="007333B4" w:rsidRDefault="002D1E45" w:rsidP="007333B4">
            <w:pPr>
              <w:rPr>
                <w:rFonts w:ascii="Times New Roman" w:hAnsi="Times New Roman"/>
                <w:sz w:val="20"/>
                <w:szCs w:val="20"/>
                <w:lang w:eastAsia="ru-RU"/>
              </w:rPr>
            </w:pPr>
            <w:r w:rsidRPr="007333B4">
              <w:rPr>
                <w:rFonts w:ascii="Times New Roman" w:hAnsi="Times New Roman"/>
                <w:sz w:val="20"/>
                <w:szCs w:val="20"/>
                <w:lang w:eastAsia="ru-RU"/>
              </w:rPr>
              <w:t>2-х этажный кирпичный дом</w:t>
            </w:r>
          </w:p>
          <w:p w:rsidR="002D1E45" w:rsidRPr="007333B4" w:rsidRDefault="002D1E45" w:rsidP="007333B4">
            <w:pPr>
              <w:spacing w:after="0" w:line="240" w:lineRule="auto"/>
              <w:ind w:right="-27"/>
              <w:rPr>
                <w:rFonts w:ascii="Times New Roman" w:hAnsi="Times New Roman"/>
                <w:sz w:val="20"/>
                <w:szCs w:val="20"/>
                <w:lang w:eastAsia="ru-RU"/>
              </w:rPr>
            </w:pPr>
          </w:p>
        </w:tc>
        <w:tc>
          <w:tcPr>
            <w:tcW w:w="1559"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кон. ХIХ в.</w:t>
            </w:r>
          </w:p>
        </w:tc>
        <w:tc>
          <w:tcPr>
            <w:tcW w:w="2072"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ул. Краскома, 5</w:t>
            </w:r>
          </w:p>
        </w:tc>
        <w:tc>
          <w:tcPr>
            <w:tcW w:w="2748"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 xml:space="preserve">Р </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Решение облисп. от 16.02.87 № 53</w:t>
            </w:r>
          </w:p>
        </w:tc>
      </w:tr>
      <w:tr w:rsidR="002D1E45" w:rsidRPr="007333B4" w:rsidTr="007333B4">
        <w:trPr>
          <w:cantSplit/>
          <w:jc w:val="center"/>
        </w:trPr>
        <w:tc>
          <w:tcPr>
            <w:tcW w:w="420" w:type="dxa"/>
            <w:vAlign w:val="center"/>
          </w:tcPr>
          <w:p w:rsidR="002D1E45" w:rsidRPr="007333B4" w:rsidRDefault="002D1E45" w:rsidP="007333B4">
            <w:pPr>
              <w:spacing w:after="0" w:line="240" w:lineRule="auto"/>
              <w:ind w:left="-113" w:right="-113"/>
              <w:jc w:val="center"/>
              <w:rPr>
                <w:rFonts w:ascii="Times New Roman" w:hAnsi="Times New Roman"/>
                <w:sz w:val="20"/>
                <w:szCs w:val="20"/>
                <w:lang w:eastAsia="ru-RU"/>
              </w:rPr>
            </w:pPr>
            <w:r w:rsidRPr="007333B4">
              <w:rPr>
                <w:rFonts w:ascii="Times New Roman" w:hAnsi="Times New Roman"/>
                <w:sz w:val="20"/>
                <w:szCs w:val="20"/>
                <w:lang w:eastAsia="ru-RU"/>
              </w:rPr>
              <w:t>14</w:t>
            </w:r>
          </w:p>
        </w:tc>
        <w:tc>
          <w:tcPr>
            <w:tcW w:w="3258" w:type="dxa"/>
            <w:vAlign w:val="center"/>
          </w:tcPr>
          <w:p w:rsidR="002D1E45" w:rsidRPr="007333B4" w:rsidRDefault="002D1E45" w:rsidP="007333B4">
            <w:pPr>
              <w:spacing w:after="0" w:line="240" w:lineRule="auto"/>
              <w:ind w:right="-27"/>
              <w:rPr>
                <w:rFonts w:ascii="Times New Roman" w:hAnsi="Times New Roman"/>
                <w:sz w:val="20"/>
                <w:szCs w:val="20"/>
                <w:lang w:eastAsia="ru-RU"/>
              </w:rPr>
            </w:pPr>
            <w:r w:rsidRPr="007333B4">
              <w:rPr>
                <w:rFonts w:ascii="Times New Roman" w:hAnsi="Times New Roman"/>
                <w:sz w:val="20"/>
                <w:szCs w:val="20"/>
                <w:lang w:eastAsia="ru-RU"/>
              </w:rPr>
              <w:t>Дом купца Тинкера</w:t>
            </w:r>
          </w:p>
        </w:tc>
        <w:tc>
          <w:tcPr>
            <w:tcW w:w="1559"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кон. ХIХ в.</w:t>
            </w:r>
          </w:p>
        </w:tc>
        <w:tc>
          <w:tcPr>
            <w:tcW w:w="2072"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ул. Краскома, 8</w:t>
            </w:r>
          </w:p>
        </w:tc>
        <w:tc>
          <w:tcPr>
            <w:tcW w:w="2748"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Р</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Пост. адм. НСО от 27.07.05</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 54</w:t>
            </w:r>
          </w:p>
        </w:tc>
      </w:tr>
      <w:tr w:rsidR="002D1E45" w:rsidRPr="007333B4" w:rsidTr="007333B4">
        <w:trPr>
          <w:cantSplit/>
          <w:jc w:val="center"/>
        </w:trPr>
        <w:tc>
          <w:tcPr>
            <w:tcW w:w="420" w:type="dxa"/>
            <w:vAlign w:val="center"/>
          </w:tcPr>
          <w:p w:rsidR="002D1E45" w:rsidRPr="007333B4" w:rsidRDefault="002D1E45" w:rsidP="007333B4">
            <w:pPr>
              <w:spacing w:after="0" w:line="240" w:lineRule="auto"/>
              <w:ind w:left="-113" w:right="-113"/>
              <w:jc w:val="center"/>
              <w:rPr>
                <w:rFonts w:ascii="Times New Roman" w:hAnsi="Times New Roman"/>
                <w:sz w:val="20"/>
                <w:szCs w:val="20"/>
                <w:lang w:eastAsia="ru-RU"/>
              </w:rPr>
            </w:pPr>
            <w:r w:rsidRPr="007333B4">
              <w:rPr>
                <w:rFonts w:ascii="Times New Roman" w:hAnsi="Times New Roman"/>
                <w:sz w:val="20"/>
                <w:szCs w:val="20"/>
                <w:lang w:eastAsia="ru-RU"/>
              </w:rPr>
              <w:t>15</w:t>
            </w:r>
          </w:p>
        </w:tc>
        <w:tc>
          <w:tcPr>
            <w:tcW w:w="3258" w:type="dxa"/>
            <w:vAlign w:val="center"/>
          </w:tcPr>
          <w:p w:rsidR="002D1E45" w:rsidRPr="007333B4" w:rsidRDefault="002D1E45" w:rsidP="007333B4">
            <w:pPr>
              <w:spacing w:after="0" w:line="240" w:lineRule="auto"/>
              <w:ind w:right="-27"/>
              <w:rPr>
                <w:rFonts w:ascii="Times New Roman" w:hAnsi="Times New Roman"/>
                <w:sz w:val="20"/>
                <w:szCs w:val="20"/>
                <w:lang w:eastAsia="ru-RU"/>
              </w:rPr>
            </w:pPr>
            <w:r w:rsidRPr="007333B4">
              <w:rPr>
                <w:rFonts w:ascii="Times New Roman" w:hAnsi="Times New Roman"/>
                <w:sz w:val="20"/>
                <w:szCs w:val="20"/>
                <w:lang w:eastAsia="ru-RU"/>
              </w:rPr>
              <w:t>2-х этажный деревянный жилой дом</w:t>
            </w:r>
          </w:p>
        </w:tc>
        <w:tc>
          <w:tcPr>
            <w:tcW w:w="1559"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 xml:space="preserve">нач. </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ХХ в.</w:t>
            </w:r>
          </w:p>
        </w:tc>
        <w:tc>
          <w:tcPr>
            <w:tcW w:w="2072"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ул. Краскома, 14</w:t>
            </w:r>
          </w:p>
        </w:tc>
        <w:tc>
          <w:tcPr>
            <w:tcW w:w="2748"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Р</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Решение облисп. от 16.02.87 № 53</w:t>
            </w:r>
          </w:p>
        </w:tc>
      </w:tr>
      <w:tr w:rsidR="002D1E45" w:rsidRPr="007333B4" w:rsidTr="007333B4">
        <w:trPr>
          <w:cantSplit/>
          <w:jc w:val="center"/>
        </w:trPr>
        <w:tc>
          <w:tcPr>
            <w:tcW w:w="420" w:type="dxa"/>
            <w:vAlign w:val="center"/>
          </w:tcPr>
          <w:p w:rsidR="002D1E45" w:rsidRPr="007333B4" w:rsidRDefault="002D1E45" w:rsidP="007333B4">
            <w:pPr>
              <w:spacing w:after="0" w:line="240" w:lineRule="auto"/>
              <w:ind w:left="-113" w:right="-113"/>
              <w:jc w:val="center"/>
              <w:rPr>
                <w:rFonts w:ascii="Times New Roman" w:hAnsi="Times New Roman"/>
                <w:sz w:val="20"/>
                <w:szCs w:val="20"/>
                <w:lang w:eastAsia="ru-RU"/>
              </w:rPr>
            </w:pPr>
            <w:r w:rsidRPr="007333B4">
              <w:rPr>
                <w:rFonts w:ascii="Times New Roman" w:hAnsi="Times New Roman"/>
                <w:sz w:val="20"/>
                <w:szCs w:val="20"/>
                <w:lang w:eastAsia="ru-RU"/>
              </w:rPr>
              <w:t>16</w:t>
            </w:r>
          </w:p>
        </w:tc>
        <w:tc>
          <w:tcPr>
            <w:tcW w:w="3258" w:type="dxa"/>
            <w:vAlign w:val="center"/>
          </w:tcPr>
          <w:p w:rsidR="002D1E45" w:rsidRPr="007333B4" w:rsidRDefault="002D1E45" w:rsidP="007333B4">
            <w:pPr>
              <w:spacing w:after="0" w:line="240" w:lineRule="auto"/>
              <w:ind w:right="-27"/>
              <w:rPr>
                <w:rFonts w:ascii="Times New Roman" w:hAnsi="Times New Roman"/>
                <w:sz w:val="20"/>
                <w:szCs w:val="20"/>
                <w:lang w:eastAsia="ru-RU"/>
              </w:rPr>
            </w:pPr>
            <w:r w:rsidRPr="007333B4">
              <w:rPr>
                <w:rFonts w:ascii="Times New Roman" w:hAnsi="Times New Roman"/>
                <w:sz w:val="20"/>
                <w:szCs w:val="20"/>
                <w:lang w:eastAsia="ru-RU"/>
              </w:rPr>
              <w:t>2-х этажный деревянный жилой дом</w:t>
            </w:r>
          </w:p>
        </w:tc>
        <w:tc>
          <w:tcPr>
            <w:tcW w:w="1559"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 xml:space="preserve">кон. </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ХIХ в.</w:t>
            </w:r>
          </w:p>
        </w:tc>
        <w:tc>
          <w:tcPr>
            <w:tcW w:w="2072"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ул. Краскома, 16</w:t>
            </w:r>
          </w:p>
        </w:tc>
        <w:tc>
          <w:tcPr>
            <w:tcW w:w="2748"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Р</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Решение облисп. от 16.02.87 № 53</w:t>
            </w:r>
          </w:p>
        </w:tc>
      </w:tr>
      <w:tr w:rsidR="002D1E45" w:rsidRPr="007333B4" w:rsidTr="007333B4">
        <w:trPr>
          <w:cantSplit/>
          <w:jc w:val="center"/>
        </w:trPr>
        <w:tc>
          <w:tcPr>
            <w:tcW w:w="420" w:type="dxa"/>
            <w:vAlign w:val="center"/>
          </w:tcPr>
          <w:p w:rsidR="002D1E45" w:rsidRPr="007333B4" w:rsidRDefault="002D1E45" w:rsidP="007333B4">
            <w:pPr>
              <w:spacing w:after="0" w:line="240" w:lineRule="auto"/>
              <w:ind w:left="-113" w:right="-113"/>
              <w:jc w:val="center"/>
              <w:rPr>
                <w:rFonts w:ascii="Times New Roman" w:hAnsi="Times New Roman"/>
                <w:sz w:val="20"/>
                <w:szCs w:val="20"/>
                <w:lang w:eastAsia="ru-RU"/>
              </w:rPr>
            </w:pPr>
            <w:r w:rsidRPr="007333B4">
              <w:rPr>
                <w:rFonts w:ascii="Times New Roman" w:hAnsi="Times New Roman"/>
                <w:sz w:val="20"/>
                <w:szCs w:val="20"/>
                <w:lang w:eastAsia="ru-RU"/>
              </w:rPr>
              <w:t>17</w:t>
            </w:r>
          </w:p>
        </w:tc>
        <w:tc>
          <w:tcPr>
            <w:tcW w:w="3258" w:type="dxa"/>
            <w:vAlign w:val="center"/>
          </w:tcPr>
          <w:p w:rsidR="002D1E45" w:rsidRPr="007333B4" w:rsidRDefault="002D1E45" w:rsidP="007333B4">
            <w:pPr>
              <w:spacing w:after="0" w:line="240" w:lineRule="auto"/>
              <w:ind w:right="-27"/>
              <w:rPr>
                <w:rFonts w:ascii="Times New Roman" w:hAnsi="Times New Roman"/>
                <w:sz w:val="20"/>
                <w:szCs w:val="20"/>
                <w:lang w:eastAsia="ru-RU"/>
              </w:rPr>
            </w:pPr>
            <w:r w:rsidRPr="007333B4">
              <w:rPr>
                <w:rFonts w:ascii="Times New Roman" w:hAnsi="Times New Roman"/>
                <w:sz w:val="20"/>
                <w:szCs w:val="20"/>
                <w:lang w:eastAsia="ru-RU"/>
              </w:rPr>
              <w:t xml:space="preserve">Доходный дом купца </w:t>
            </w:r>
          </w:p>
          <w:p w:rsidR="002D1E45" w:rsidRPr="007333B4" w:rsidRDefault="002D1E45" w:rsidP="007333B4">
            <w:pPr>
              <w:spacing w:after="0" w:line="240" w:lineRule="auto"/>
              <w:ind w:right="-27"/>
              <w:rPr>
                <w:rFonts w:ascii="Times New Roman" w:hAnsi="Times New Roman"/>
                <w:sz w:val="20"/>
                <w:szCs w:val="20"/>
                <w:lang w:eastAsia="ru-RU"/>
              </w:rPr>
            </w:pPr>
            <w:r w:rsidRPr="007333B4">
              <w:rPr>
                <w:rFonts w:ascii="Times New Roman" w:hAnsi="Times New Roman"/>
                <w:sz w:val="20"/>
                <w:szCs w:val="20"/>
                <w:lang w:eastAsia="ru-RU"/>
              </w:rPr>
              <w:t>Н.И. Досманова</w:t>
            </w:r>
          </w:p>
        </w:tc>
        <w:tc>
          <w:tcPr>
            <w:tcW w:w="1559"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кон. ХIХ в.</w:t>
            </w:r>
          </w:p>
        </w:tc>
        <w:tc>
          <w:tcPr>
            <w:tcW w:w="2072"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ул. Краскома, 18</w:t>
            </w:r>
          </w:p>
        </w:tc>
        <w:tc>
          <w:tcPr>
            <w:tcW w:w="2748"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Р</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Пост. адм. НСО от 27.07.05</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 54</w:t>
            </w:r>
          </w:p>
        </w:tc>
      </w:tr>
      <w:tr w:rsidR="002D1E45" w:rsidRPr="007333B4" w:rsidTr="007333B4">
        <w:trPr>
          <w:cantSplit/>
          <w:jc w:val="center"/>
        </w:trPr>
        <w:tc>
          <w:tcPr>
            <w:tcW w:w="420" w:type="dxa"/>
            <w:vAlign w:val="center"/>
          </w:tcPr>
          <w:p w:rsidR="002D1E45" w:rsidRPr="007333B4" w:rsidRDefault="002D1E45" w:rsidP="007333B4">
            <w:pPr>
              <w:spacing w:after="0" w:line="240" w:lineRule="auto"/>
              <w:ind w:left="-113" w:right="-113"/>
              <w:jc w:val="center"/>
              <w:rPr>
                <w:rFonts w:ascii="Times New Roman" w:hAnsi="Times New Roman"/>
                <w:sz w:val="20"/>
                <w:szCs w:val="20"/>
                <w:lang w:eastAsia="ru-RU"/>
              </w:rPr>
            </w:pPr>
            <w:r w:rsidRPr="007333B4">
              <w:rPr>
                <w:rFonts w:ascii="Times New Roman" w:hAnsi="Times New Roman"/>
                <w:sz w:val="20"/>
                <w:szCs w:val="20"/>
                <w:lang w:eastAsia="ru-RU"/>
              </w:rPr>
              <w:t>18</w:t>
            </w:r>
          </w:p>
        </w:tc>
        <w:tc>
          <w:tcPr>
            <w:tcW w:w="3258" w:type="dxa"/>
            <w:vAlign w:val="center"/>
          </w:tcPr>
          <w:p w:rsidR="002D1E45" w:rsidRPr="007333B4" w:rsidRDefault="002D1E45" w:rsidP="007333B4">
            <w:pPr>
              <w:spacing w:after="0" w:line="240" w:lineRule="auto"/>
              <w:ind w:right="-27"/>
              <w:rPr>
                <w:rFonts w:ascii="Times New Roman" w:hAnsi="Times New Roman"/>
                <w:sz w:val="20"/>
                <w:szCs w:val="20"/>
                <w:lang w:eastAsia="ru-RU"/>
              </w:rPr>
            </w:pPr>
            <w:r w:rsidRPr="007333B4">
              <w:rPr>
                <w:rFonts w:ascii="Times New Roman" w:hAnsi="Times New Roman"/>
                <w:sz w:val="20"/>
                <w:szCs w:val="20"/>
                <w:lang w:eastAsia="ru-RU"/>
              </w:rPr>
              <w:t>Дом купца Н.И. Досманова</w:t>
            </w:r>
          </w:p>
        </w:tc>
        <w:tc>
          <w:tcPr>
            <w:tcW w:w="1559"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кон. ХIХ в.</w:t>
            </w:r>
          </w:p>
        </w:tc>
        <w:tc>
          <w:tcPr>
            <w:tcW w:w="2072"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ул. Краскома, 20</w:t>
            </w:r>
          </w:p>
        </w:tc>
        <w:tc>
          <w:tcPr>
            <w:tcW w:w="2748"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Р</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Пост. адм. НСО от 27.07.05</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 54</w:t>
            </w:r>
          </w:p>
        </w:tc>
      </w:tr>
      <w:tr w:rsidR="002D1E45" w:rsidRPr="007333B4" w:rsidTr="007333B4">
        <w:trPr>
          <w:cantSplit/>
          <w:jc w:val="center"/>
        </w:trPr>
        <w:tc>
          <w:tcPr>
            <w:tcW w:w="420" w:type="dxa"/>
            <w:vAlign w:val="center"/>
          </w:tcPr>
          <w:p w:rsidR="002D1E45" w:rsidRPr="007333B4" w:rsidRDefault="002D1E45" w:rsidP="007333B4">
            <w:pPr>
              <w:spacing w:after="0" w:line="240" w:lineRule="auto"/>
              <w:ind w:left="-113" w:right="-113"/>
              <w:jc w:val="center"/>
              <w:rPr>
                <w:rFonts w:ascii="Times New Roman" w:hAnsi="Times New Roman"/>
                <w:sz w:val="20"/>
                <w:szCs w:val="20"/>
                <w:lang w:eastAsia="ru-RU"/>
              </w:rPr>
            </w:pPr>
            <w:r w:rsidRPr="007333B4">
              <w:rPr>
                <w:rFonts w:ascii="Times New Roman" w:hAnsi="Times New Roman"/>
                <w:sz w:val="20"/>
                <w:szCs w:val="20"/>
                <w:lang w:eastAsia="ru-RU"/>
              </w:rPr>
              <w:t>19</w:t>
            </w:r>
          </w:p>
        </w:tc>
        <w:tc>
          <w:tcPr>
            <w:tcW w:w="3258" w:type="dxa"/>
            <w:vAlign w:val="center"/>
          </w:tcPr>
          <w:p w:rsidR="002D1E45" w:rsidRPr="007333B4" w:rsidRDefault="002D1E45" w:rsidP="007333B4">
            <w:pPr>
              <w:spacing w:after="0" w:line="240" w:lineRule="auto"/>
              <w:ind w:right="-27"/>
              <w:rPr>
                <w:rFonts w:ascii="Times New Roman" w:hAnsi="Times New Roman"/>
                <w:sz w:val="20"/>
                <w:szCs w:val="20"/>
                <w:lang w:eastAsia="ru-RU"/>
              </w:rPr>
            </w:pPr>
            <w:r w:rsidRPr="007333B4">
              <w:rPr>
                <w:rFonts w:ascii="Times New Roman" w:hAnsi="Times New Roman"/>
                <w:sz w:val="20"/>
                <w:szCs w:val="20"/>
                <w:lang w:eastAsia="ru-RU"/>
              </w:rPr>
              <w:t>Одноэтажный деревянный жилой дом</w:t>
            </w:r>
          </w:p>
        </w:tc>
        <w:tc>
          <w:tcPr>
            <w:tcW w:w="1559"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 xml:space="preserve">нач. </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ХХ в.</w:t>
            </w:r>
          </w:p>
        </w:tc>
        <w:tc>
          <w:tcPr>
            <w:tcW w:w="2072"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ул. Краскома, 25</w:t>
            </w:r>
          </w:p>
        </w:tc>
        <w:tc>
          <w:tcPr>
            <w:tcW w:w="2748"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 xml:space="preserve">Р </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Решение облисп. от 16.02.87 № 53</w:t>
            </w:r>
          </w:p>
        </w:tc>
      </w:tr>
      <w:tr w:rsidR="002D1E45" w:rsidRPr="007333B4" w:rsidTr="007333B4">
        <w:trPr>
          <w:cantSplit/>
          <w:jc w:val="center"/>
        </w:trPr>
        <w:tc>
          <w:tcPr>
            <w:tcW w:w="420" w:type="dxa"/>
            <w:vAlign w:val="center"/>
          </w:tcPr>
          <w:p w:rsidR="002D1E45" w:rsidRPr="007333B4" w:rsidRDefault="002D1E45" w:rsidP="007333B4">
            <w:pPr>
              <w:spacing w:after="0" w:line="240" w:lineRule="auto"/>
              <w:ind w:left="-113" w:right="-113"/>
              <w:jc w:val="center"/>
              <w:rPr>
                <w:rFonts w:ascii="Times New Roman" w:hAnsi="Times New Roman"/>
                <w:sz w:val="20"/>
                <w:szCs w:val="20"/>
                <w:lang w:eastAsia="ru-RU"/>
              </w:rPr>
            </w:pPr>
            <w:r w:rsidRPr="007333B4">
              <w:rPr>
                <w:rFonts w:ascii="Times New Roman" w:hAnsi="Times New Roman"/>
                <w:sz w:val="20"/>
                <w:szCs w:val="20"/>
                <w:lang w:eastAsia="ru-RU"/>
              </w:rPr>
              <w:t>20</w:t>
            </w:r>
          </w:p>
        </w:tc>
        <w:tc>
          <w:tcPr>
            <w:tcW w:w="3258" w:type="dxa"/>
            <w:vAlign w:val="center"/>
          </w:tcPr>
          <w:p w:rsidR="002D1E45" w:rsidRPr="007333B4" w:rsidRDefault="002D1E45" w:rsidP="007333B4">
            <w:pPr>
              <w:spacing w:after="0" w:line="240" w:lineRule="auto"/>
              <w:ind w:right="-27"/>
              <w:rPr>
                <w:rFonts w:ascii="Times New Roman" w:hAnsi="Times New Roman"/>
                <w:sz w:val="20"/>
                <w:szCs w:val="20"/>
                <w:lang w:eastAsia="ru-RU"/>
              </w:rPr>
            </w:pPr>
            <w:r w:rsidRPr="007333B4">
              <w:rPr>
                <w:rFonts w:ascii="Times New Roman" w:hAnsi="Times New Roman"/>
                <w:sz w:val="20"/>
                <w:szCs w:val="20"/>
                <w:lang w:eastAsia="ru-RU"/>
              </w:rPr>
              <w:t>Одноэтажный кирпичный дом</w:t>
            </w:r>
          </w:p>
        </w:tc>
        <w:tc>
          <w:tcPr>
            <w:tcW w:w="1559"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1-я пол. ХIХ в.</w:t>
            </w:r>
          </w:p>
        </w:tc>
        <w:tc>
          <w:tcPr>
            <w:tcW w:w="2072"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ул. Краскома, 27</w:t>
            </w:r>
          </w:p>
        </w:tc>
        <w:tc>
          <w:tcPr>
            <w:tcW w:w="2748"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 xml:space="preserve">Р </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Решение облисп. от 16.02.87 № 53</w:t>
            </w:r>
          </w:p>
        </w:tc>
      </w:tr>
      <w:tr w:rsidR="002D1E45" w:rsidRPr="007333B4" w:rsidTr="007333B4">
        <w:trPr>
          <w:cantSplit/>
          <w:jc w:val="center"/>
        </w:trPr>
        <w:tc>
          <w:tcPr>
            <w:tcW w:w="420" w:type="dxa"/>
            <w:vAlign w:val="center"/>
          </w:tcPr>
          <w:p w:rsidR="002D1E45" w:rsidRPr="007333B4" w:rsidRDefault="002D1E45" w:rsidP="007333B4">
            <w:pPr>
              <w:spacing w:after="0" w:line="240" w:lineRule="auto"/>
              <w:ind w:left="-113" w:right="-113"/>
              <w:jc w:val="center"/>
              <w:rPr>
                <w:rFonts w:ascii="Times New Roman" w:hAnsi="Times New Roman"/>
                <w:sz w:val="20"/>
                <w:szCs w:val="20"/>
                <w:lang w:eastAsia="ru-RU"/>
              </w:rPr>
            </w:pPr>
            <w:r w:rsidRPr="007333B4">
              <w:rPr>
                <w:rFonts w:ascii="Times New Roman" w:hAnsi="Times New Roman"/>
                <w:sz w:val="20"/>
                <w:szCs w:val="20"/>
                <w:lang w:eastAsia="ru-RU"/>
              </w:rPr>
              <w:t>21</w:t>
            </w:r>
          </w:p>
        </w:tc>
        <w:tc>
          <w:tcPr>
            <w:tcW w:w="3258" w:type="dxa"/>
            <w:vAlign w:val="center"/>
          </w:tcPr>
          <w:p w:rsidR="002D1E45" w:rsidRPr="007333B4" w:rsidRDefault="002D1E45" w:rsidP="007333B4">
            <w:pPr>
              <w:spacing w:after="0" w:line="240" w:lineRule="auto"/>
              <w:ind w:right="-27"/>
              <w:rPr>
                <w:rFonts w:ascii="Times New Roman" w:hAnsi="Times New Roman"/>
                <w:sz w:val="20"/>
                <w:szCs w:val="20"/>
                <w:lang w:eastAsia="ru-RU"/>
              </w:rPr>
            </w:pPr>
            <w:r w:rsidRPr="007333B4">
              <w:rPr>
                <w:rFonts w:ascii="Times New Roman" w:hAnsi="Times New Roman"/>
                <w:sz w:val="20"/>
                <w:szCs w:val="20"/>
                <w:lang w:eastAsia="ru-RU"/>
              </w:rPr>
              <w:t>2-х этажный смешанный жилой дом с кирпичным складом</w:t>
            </w:r>
          </w:p>
        </w:tc>
        <w:tc>
          <w:tcPr>
            <w:tcW w:w="1559"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кон. ХIХ в.</w:t>
            </w:r>
          </w:p>
        </w:tc>
        <w:tc>
          <w:tcPr>
            <w:tcW w:w="2072"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ул. Краскома, 29</w:t>
            </w:r>
          </w:p>
        </w:tc>
        <w:tc>
          <w:tcPr>
            <w:tcW w:w="2748"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 xml:space="preserve">Р </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Решение облисп. от 16.02.87 № 53</w:t>
            </w:r>
          </w:p>
        </w:tc>
      </w:tr>
      <w:tr w:rsidR="002D1E45" w:rsidRPr="007333B4" w:rsidTr="007333B4">
        <w:trPr>
          <w:cantSplit/>
          <w:jc w:val="center"/>
        </w:trPr>
        <w:tc>
          <w:tcPr>
            <w:tcW w:w="420" w:type="dxa"/>
            <w:vAlign w:val="center"/>
          </w:tcPr>
          <w:p w:rsidR="002D1E45" w:rsidRPr="007333B4" w:rsidRDefault="002D1E45" w:rsidP="007333B4">
            <w:pPr>
              <w:spacing w:after="0" w:line="240" w:lineRule="auto"/>
              <w:ind w:left="-113" w:right="-113"/>
              <w:jc w:val="center"/>
              <w:rPr>
                <w:rFonts w:ascii="Times New Roman" w:hAnsi="Times New Roman"/>
                <w:sz w:val="20"/>
                <w:szCs w:val="20"/>
                <w:lang w:eastAsia="ru-RU"/>
              </w:rPr>
            </w:pPr>
            <w:r w:rsidRPr="007333B4">
              <w:rPr>
                <w:rFonts w:ascii="Times New Roman" w:hAnsi="Times New Roman"/>
                <w:sz w:val="20"/>
                <w:szCs w:val="20"/>
                <w:lang w:eastAsia="ru-RU"/>
              </w:rPr>
              <w:t>22</w:t>
            </w:r>
          </w:p>
        </w:tc>
        <w:tc>
          <w:tcPr>
            <w:tcW w:w="3258" w:type="dxa"/>
            <w:vAlign w:val="center"/>
          </w:tcPr>
          <w:p w:rsidR="002D1E45" w:rsidRPr="007333B4" w:rsidRDefault="002D1E45" w:rsidP="007333B4">
            <w:pPr>
              <w:spacing w:after="0" w:line="240" w:lineRule="auto"/>
              <w:ind w:right="-27"/>
              <w:rPr>
                <w:rFonts w:ascii="Times New Roman" w:hAnsi="Times New Roman"/>
                <w:sz w:val="20"/>
                <w:szCs w:val="20"/>
                <w:lang w:eastAsia="ru-RU"/>
              </w:rPr>
            </w:pPr>
            <w:r w:rsidRPr="007333B4">
              <w:rPr>
                <w:rFonts w:ascii="Times New Roman" w:hAnsi="Times New Roman"/>
                <w:sz w:val="20"/>
                <w:szCs w:val="20"/>
                <w:lang w:eastAsia="ru-RU"/>
              </w:rPr>
              <w:t>Женская гимназия</w:t>
            </w:r>
          </w:p>
        </w:tc>
        <w:tc>
          <w:tcPr>
            <w:tcW w:w="1559"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1860 г.</w:t>
            </w:r>
          </w:p>
        </w:tc>
        <w:tc>
          <w:tcPr>
            <w:tcW w:w="2072"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 xml:space="preserve">ул. Красная, 23 </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(ул. Здвинского, 19)</w:t>
            </w:r>
          </w:p>
        </w:tc>
        <w:tc>
          <w:tcPr>
            <w:tcW w:w="2748"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М</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Пост. Правительства НСО от 23.04.12 № 206-п</w:t>
            </w:r>
          </w:p>
        </w:tc>
      </w:tr>
      <w:tr w:rsidR="002D1E45" w:rsidRPr="007333B4" w:rsidTr="007333B4">
        <w:trPr>
          <w:cantSplit/>
          <w:jc w:val="center"/>
        </w:trPr>
        <w:tc>
          <w:tcPr>
            <w:tcW w:w="420" w:type="dxa"/>
            <w:vAlign w:val="center"/>
          </w:tcPr>
          <w:p w:rsidR="002D1E45" w:rsidRPr="007333B4" w:rsidRDefault="002D1E45" w:rsidP="007333B4">
            <w:pPr>
              <w:spacing w:after="0" w:line="240" w:lineRule="auto"/>
              <w:ind w:left="-113" w:right="-113"/>
              <w:jc w:val="center"/>
              <w:rPr>
                <w:rFonts w:ascii="Times New Roman" w:hAnsi="Times New Roman"/>
                <w:sz w:val="20"/>
                <w:szCs w:val="20"/>
                <w:lang w:eastAsia="ru-RU"/>
              </w:rPr>
            </w:pPr>
            <w:r w:rsidRPr="007333B4">
              <w:rPr>
                <w:rFonts w:ascii="Times New Roman" w:hAnsi="Times New Roman"/>
                <w:sz w:val="20"/>
                <w:szCs w:val="20"/>
                <w:lang w:eastAsia="ru-RU"/>
              </w:rPr>
              <w:t>23</w:t>
            </w:r>
          </w:p>
        </w:tc>
        <w:tc>
          <w:tcPr>
            <w:tcW w:w="3258" w:type="dxa"/>
            <w:vAlign w:val="center"/>
          </w:tcPr>
          <w:p w:rsidR="002D1E45" w:rsidRPr="007333B4" w:rsidRDefault="002D1E45" w:rsidP="007333B4">
            <w:pPr>
              <w:spacing w:after="0" w:line="240" w:lineRule="auto"/>
              <w:ind w:right="-27"/>
              <w:rPr>
                <w:rFonts w:ascii="Times New Roman" w:hAnsi="Times New Roman"/>
                <w:sz w:val="20"/>
                <w:szCs w:val="20"/>
                <w:lang w:eastAsia="ru-RU"/>
              </w:rPr>
            </w:pPr>
            <w:r w:rsidRPr="007333B4">
              <w:rPr>
                <w:rFonts w:ascii="Times New Roman" w:hAnsi="Times New Roman"/>
                <w:sz w:val="20"/>
                <w:szCs w:val="20"/>
                <w:lang w:eastAsia="ru-RU"/>
              </w:rPr>
              <w:t>2-х этажный смешанный дом</w:t>
            </w:r>
          </w:p>
        </w:tc>
        <w:tc>
          <w:tcPr>
            <w:tcW w:w="1559"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1916 г.</w:t>
            </w:r>
          </w:p>
        </w:tc>
        <w:tc>
          <w:tcPr>
            <w:tcW w:w="2072"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ул. Куйбышева, 12</w:t>
            </w:r>
          </w:p>
          <w:p w:rsidR="002D1E45" w:rsidRPr="007333B4" w:rsidRDefault="002D1E45" w:rsidP="007333B4">
            <w:pPr>
              <w:spacing w:after="0" w:line="240" w:lineRule="auto"/>
              <w:ind w:right="-27"/>
              <w:jc w:val="center"/>
              <w:rPr>
                <w:rFonts w:ascii="Times New Roman" w:hAnsi="Times New Roman"/>
                <w:sz w:val="20"/>
                <w:szCs w:val="20"/>
                <w:lang w:eastAsia="ru-RU"/>
              </w:rPr>
            </w:pP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(по реш. облисп. – ул. Краскома, 6)</w:t>
            </w:r>
          </w:p>
        </w:tc>
        <w:tc>
          <w:tcPr>
            <w:tcW w:w="2748"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 xml:space="preserve">Р </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Решение облисп. от 16.02.87 № 53</w:t>
            </w:r>
          </w:p>
        </w:tc>
      </w:tr>
      <w:tr w:rsidR="002D1E45" w:rsidRPr="007333B4" w:rsidTr="007333B4">
        <w:trPr>
          <w:cantSplit/>
          <w:jc w:val="center"/>
        </w:trPr>
        <w:tc>
          <w:tcPr>
            <w:tcW w:w="420" w:type="dxa"/>
            <w:vAlign w:val="center"/>
          </w:tcPr>
          <w:p w:rsidR="002D1E45" w:rsidRPr="007333B4" w:rsidRDefault="002D1E45" w:rsidP="007333B4">
            <w:pPr>
              <w:spacing w:after="0" w:line="240" w:lineRule="auto"/>
              <w:ind w:left="-113" w:right="-113"/>
              <w:jc w:val="center"/>
              <w:rPr>
                <w:rFonts w:ascii="Times New Roman" w:hAnsi="Times New Roman"/>
                <w:sz w:val="20"/>
                <w:szCs w:val="20"/>
                <w:lang w:eastAsia="ru-RU"/>
              </w:rPr>
            </w:pPr>
            <w:r w:rsidRPr="007333B4">
              <w:rPr>
                <w:rFonts w:ascii="Times New Roman" w:hAnsi="Times New Roman"/>
                <w:sz w:val="20"/>
                <w:szCs w:val="20"/>
                <w:lang w:eastAsia="ru-RU"/>
              </w:rPr>
              <w:t>24</w:t>
            </w:r>
          </w:p>
        </w:tc>
        <w:tc>
          <w:tcPr>
            <w:tcW w:w="3258" w:type="dxa"/>
            <w:vAlign w:val="center"/>
          </w:tcPr>
          <w:p w:rsidR="002D1E45" w:rsidRPr="007333B4" w:rsidRDefault="002D1E45" w:rsidP="007333B4">
            <w:pPr>
              <w:spacing w:after="0" w:line="240" w:lineRule="auto"/>
              <w:ind w:right="-27"/>
              <w:rPr>
                <w:rFonts w:ascii="Times New Roman" w:hAnsi="Times New Roman"/>
                <w:sz w:val="20"/>
                <w:szCs w:val="20"/>
                <w:lang w:eastAsia="ru-RU"/>
              </w:rPr>
            </w:pPr>
            <w:r w:rsidRPr="007333B4">
              <w:rPr>
                <w:rFonts w:ascii="Times New Roman" w:hAnsi="Times New Roman"/>
                <w:sz w:val="20"/>
                <w:szCs w:val="20"/>
                <w:lang w:eastAsia="ru-RU"/>
              </w:rPr>
              <w:t>Дом, в котором в 1920 г.</w:t>
            </w:r>
            <w:r>
              <w:rPr>
                <w:rFonts w:ascii="Times New Roman" w:hAnsi="Times New Roman"/>
                <w:sz w:val="20"/>
                <w:szCs w:val="20"/>
                <w:lang w:eastAsia="ru-RU"/>
              </w:rPr>
              <w:t xml:space="preserve"> </w:t>
            </w:r>
            <w:r w:rsidRPr="007333B4">
              <w:rPr>
                <w:rFonts w:ascii="Times New Roman" w:hAnsi="Times New Roman"/>
                <w:sz w:val="20"/>
                <w:szCs w:val="20"/>
                <w:lang w:eastAsia="ru-RU"/>
              </w:rPr>
              <w:t>размещался уездный революционный комитет</w:t>
            </w:r>
          </w:p>
        </w:tc>
        <w:tc>
          <w:tcPr>
            <w:tcW w:w="1559" w:type="dxa"/>
            <w:vAlign w:val="center"/>
          </w:tcPr>
          <w:p w:rsidR="002D1E45" w:rsidRPr="007333B4" w:rsidRDefault="002D1E45" w:rsidP="007333B4">
            <w:pPr>
              <w:rPr>
                <w:rFonts w:ascii="Times New Roman" w:hAnsi="Times New Roman"/>
                <w:sz w:val="20"/>
                <w:szCs w:val="20"/>
                <w:lang w:eastAsia="ru-RU"/>
              </w:rPr>
            </w:pPr>
            <w:r w:rsidRPr="007333B4">
              <w:rPr>
                <w:rFonts w:ascii="Times New Roman" w:hAnsi="Times New Roman"/>
                <w:sz w:val="20"/>
                <w:szCs w:val="20"/>
                <w:lang w:eastAsia="ru-RU"/>
              </w:rPr>
              <w:t>1920 г.</w:t>
            </w:r>
          </w:p>
          <w:p w:rsidR="002D1E45" w:rsidRPr="007333B4" w:rsidRDefault="002D1E45" w:rsidP="007333B4">
            <w:pPr>
              <w:spacing w:after="0" w:line="240" w:lineRule="auto"/>
              <w:ind w:right="-27"/>
              <w:jc w:val="center"/>
              <w:rPr>
                <w:rFonts w:ascii="Times New Roman" w:hAnsi="Times New Roman"/>
                <w:sz w:val="20"/>
                <w:szCs w:val="20"/>
                <w:lang w:eastAsia="ru-RU"/>
              </w:rPr>
            </w:pPr>
          </w:p>
        </w:tc>
        <w:tc>
          <w:tcPr>
            <w:tcW w:w="2072"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ул. Куйбышева, 22</w:t>
            </w:r>
          </w:p>
        </w:tc>
        <w:tc>
          <w:tcPr>
            <w:tcW w:w="2748"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 xml:space="preserve">Р </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Решение облисп. от 16.02.87 № 53</w:t>
            </w:r>
          </w:p>
        </w:tc>
      </w:tr>
      <w:tr w:rsidR="002D1E45" w:rsidRPr="007333B4" w:rsidTr="007333B4">
        <w:trPr>
          <w:cantSplit/>
          <w:jc w:val="center"/>
        </w:trPr>
        <w:tc>
          <w:tcPr>
            <w:tcW w:w="420" w:type="dxa"/>
            <w:vAlign w:val="center"/>
          </w:tcPr>
          <w:p w:rsidR="002D1E45" w:rsidRPr="007333B4" w:rsidRDefault="002D1E45" w:rsidP="007333B4">
            <w:pPr>
              <w:spacing w:after="0" w:line="240" w:lineRule="auto"/>
              <w:ind w:left="-113" w:right="-113"/>
              <w:jc w:val="center"/>
              <w:rPr>
                <w:rFonts w:ascii="Times New Roman" w:hAnsi="Times New Roman"/>
                <w:sz w:val="20"/>
                <w:szCs w:val="20"/>
                <w:lang w:eastAsia="ru-RU"/>
              </w:rPr>
            </w:pPr>
            <w:r w:rsidRPr="007333B4">
              <w:rPr>
                <w:rFonts w:ascii="Times New Roman" w:hAnsi="Times New Roman"/>
                <w:sz w:val="20"/>
                <w:szCs w:val="20"/>
                <w:lang w:eastAsia="ru-RU"/>
              </w:rPr>
              <w:t>25</w:t>
            </w:r>
          </w:p>
        </w:tc>
        <w:tc>
          <w:tcPr>
            <w:tcW w:w="3258" w:type="dxa"/>
            <w:vAlign w:val="center"/>
          </w:tcPr>
          <w:p w:rsidR="002D1E45" w:rsidRPr="007333B4" w:rsidRDefault="002D1E45" w:rsidP="007333B4">
            <w:pPr>
              <w:spacing w:after="0" w:line="240" w:lineRule="auto"/>
              <w:ind w:right="-27"/>
              <w:rPr>
                <w:rFonts w:ascii="Times New Roman" w:hAnsi="Times New Roman"/>
                <w:sz w:val="20"/>
                <w:szCs w:val="20"/>
                <w:lang w:eastAsia="ru-RU"/>
              </w:rPr>
            </w:pPr>
            <w:r w:rsidRPr="007333B4">
              <w:rPr>
                <w:rFonts w:ascii="Times New Roman" w:hAnsi="Times New Roman"/>
                <w:sz w:val="20"/>
                <w:szCs w:val="20"/>
                <w:lang w:eastAsia="ru-RU"/>
              </w:rPr>
              <w:t>Польский костёл</w:t>
            </w:r>
          </w:p>
        </w:tc>
        <w:tc>
          <w:tcPr>
            <w:tcW w:w="1559"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1909 г.</w:t>
            </w:r>
          </w:p>
        </w:tc>
        <w:tc>
          <w:tcPr>
            <w:tcW w:w="2072"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ул. Куйбышева, 39, (ул. Закраевского)</w:t>
            </w:r>
          </w:p>
        </w:tc>
        <w:tc>
          <w:tcPr>
            <w:tcW w:w="2748"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В</w:t>
            </w:r>
          </w:p>
        </w:tc>
      </w:tr>
      <w:tr w:rsidR="002D1E45" w:rsidRPr="007333B4" w:rsidTr="007333B4">
        <w:trPr>
          <w:cantSplit/>
          <w:jc w:val="center"/>
        </w:trPr>
        <w:tc>
          <w:tcPr>
            <w:tcW w:w="420" w:type="dxa"/>
            <w:vAlign w:val="center"/>
          </w:tcPr>
          <w:p w:rsidR="002D1E45" w:rsidRPr="007333B4" w:rsidRDefault="002D1E45" w:rsidP="007333B4">
            <w:pPr>
              <w:spacing w:after="0" w:line="240" w:lineRule="auto"/>
              <w:ind w:left="-113" w:right="-113"/>
              <w:jc w:val="center"/>
              <w:rPr>
                <w:rFonts w:ascii="Times New Roman" w:hAnsi="Times New Roman"/>
                <w:sz w:val="20"/>
                <w:szCs w:val="20"/>
                <w:lang w:eastAsia="ru-RU"/>
              </w:rPr>
            </w:pPr>
            <w:r w:rsidRPr="007333B4">
              <w:rPr>
                <w:rFonts w:ascii="Times New Roman" w:hAnsi="Times New Roman"/>
                <w:sz w:val="20"/>
                <w:szCs w:val="20"/>
                <w:lang w:eastAsia="ru-RU"/>
              </w:rPr>
              <w:t>26</w:t>
            </w:r>
          </w:p>
        </w:tc>
        <w:tc>
          <w:tcPr>
            <w:tcW w:w="3258" w:type="dxa"/>
            <w:vAlign w:val="center"/>
          </w:tcPr>
          <w:p w:rsidR="002D1E45" w:rsidRPr="007333B4" w:rsidRDefault="002D1E45" w:rsidP="007333B4">
            <w:pPr>
              <w:spacing w:after="0" w:line="240" w:lineRule="auto"/>
              <w:ind w:right="-27"/>
              <w:rPr>
                <w:rFonts w:ascii="Times New Roman" w:hAnsi="Times New Roman"/>
                <w:sz w:val="20"/>
                <w:szCs w:val="20"/>
                <w:lang w:eastAsia="ru-RU"/>
              </w:rPr>
            </w:pPr>
            <w:r w:rsidRPr="007333B4">
              <w:rPr>
                <w:rFonts w:ascii="Times New Roman" w:hAnsi="Times New Roman"/>
                <w:sz w:val="20"/>
                <w:szCs w:val="20"/>
                <w:lang w:eastAsia="ru-RU"/>
              </w:rPr>
              <w:t>Дом жилой</w:t>
            </w:r>
          </w:p>
        </w:tc>
        <w:tc>
          <w:tcPr>
            <w:tcW w:w="1559"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1-я пол. ХIХ в.</w:t>
            </w:r>
          </w:p>
        </w:tc>
        <w:tc>
          <w:tcPr>
            <w:tcW w:w="2072"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ул. Куйбышева, 42</w:t>
            </w:r>
          </w:p>
        </w:tc>
        <w:tc>
          <w:tcPr>
            <w:tcW w:w="2748"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 xml:space="preserve">Р </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Пост. Главы адм. НСО от 18.12.00</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 1127</w:t>
            </w:r>
          </w:p>
        </w:tc>
      </w:tr>
      <w:tr w:rsidR="002D1E45" w:rsidRPr="007333B4" w:rsidTr="007333B4">
        <w:trPr>
          <w:cantSplit/>
          <w:jc w:val="center"/>
        </w:trPr>
        <w:tc>
          <w:tcPr>
            <w:tcW w:w="420" w:type="dxa"/>
            <w:vAlign w:val="center"/>
          </w:tcPr>
          <w:p w:rsidR="002D1E45" w:rsidRPr="007333B4" w:rsidRDefault="002D1E45" w:rsidP="007333B4">
            <w:pPr>
              <w:spacing w:after="0" w:line="240" w:lineRule="auto"/>
              <w:ind w:left="-113" w:right="-113"/>
              <w:jc w:val="center"/>
              <w:rPr>
                <w:rFonts w:ascii="Times New Roman" w:hAnsi="Times New Roman"/>
                <w:sz w:val="20"/>
                <w:szCs w:val="20"/>
                <w:lang w:eastAsia="ru-RU"/>
              </w:rPr>
            </w:pPr>
            <w:r w:rsidRPr="007333B4">
              <w:rPr>
                <w:rFonts w:ascii="Times New Roman" w:hAnsi="Times New Roman"/>
                <w:sz w:val="20"/>
                <w:szCs w:val="20"/>
                <w:lang w:eastAsia="ru-RU"/>
              </w:rPr>
              <w:t>27</w:t>
            </w:r>
          </w:p>
        </w:tc>
        <w:tc>
          <w:tcPr>
            <w:tcW w:w="3258" w:type="dxa"/>
            <w:vAlign w:val="center"/>
          </w:tcPr>
          <w:p w:rsidR="002D1E45" w:rsidRPr="007333B4" w:rsidRDefault="002D1E45" w:rsidP="007333B4">
            <w:pPr>
              <w:spacing w:after="0" w:line="240" w:lineRule="auto"/>
              <w:ind w:right="-27"/>
              <w:rPr>
                <w:rFonts w:ascii="Times New Roman" w:hAnsi="Times New Roman"/>
                <w:sz w:val="20"/>
                <w:szCs w:val="20"/>
                <w:lang w:eastAsia="ru-RU"/>
              </w:rPr>
            </w:pPr>
            <w:r w:rsidRPr="007333B4">
              <w:rPr>
                <w:rFonts w:ascii="Times New Roman" w:hAnsi="Times New Roman"/>
                <w:sz w:val="20"/>
                <w:szCs w:val="20"/>
                <w:lang w:eastAsia="ru-RU"/>
              </w:rPr>
              <w:t>Дом, где в 1912-1913 гг. жил в ссылке государственный деятель Куйбышев В.В.</w:t>
            </w:r>
          </w:p>
        </w:tc>
        <w:tc>
          <w:tcPr>
            <w:tcW w:w="1559"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1912 - 1913 гг.</w:t>
            </w:r>
          </w:p>
        </w:tc>
        <w:tc>
          <w:tcPr>
            <w:tcW w:w="2072"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ул. Ленина, 2</w:t>
            </w:r>
          </w:p>
        </w:tc>
        <w:tc>
          <w:tcPr>
            <w:tcW w:w="2748"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 xml:space="preserve">Р </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Пост. Главы адм. НСО от 11.07.97</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 360</w:t>
            </w:r>
          </w:p>
        </w:tc>
      </w:tr>
      <w:tr w:rsidR="002D1E45" w:rsidRPr="007333B4" w:rsidTr="007333B4">
        <w:trPr>
          <w:cantSplit/>
          <w:jc w:val="center"/>
        </w:trPr>
        <w:tc>
          <w:tcPr>
            <w:tcW w:w="420" w:type="dxa"/>
            <w:vAlign w:val="center"/>
          </w:tcPr>
          <w:p w:rsidR="002D1E45" w:rsidRPr="007333B4" w:rsidRDefault="002D1E45" w:rsidP="007333B4">
            <w:pPr>
              <w:spacing w:after="0" w:line="240" w:lineRule="auto"/>
              <w:ind w:left="-113" w:right="-113"/>
              <w:jc w:val="center"/>
              <w:rPr>
                <w:rFonts w:ascii="Times New Roman" w:hAnsi="Times New Roman"/>
                <w:sz w:val="20"/>
                <w:szCs w:val="20"/>
                <w:lang w:eastAsia="ru-RU"/>
              </w:rPr>
            </w:pPr>
            <w:r w:rsidRPr="007333B4">
              <w:rPr>
                <w:rFonts w:ascii="Times New Roman" w:hAnsi="Times New Roman"/>
                <w:sz w:val="20"/>
                <w:szCs w:val="20"/>
                <w:lang w:eastAsia="ru-RU"/>
              </w:rPr>
              <w:t>28</w:t>
            </w:r>
          </w:p>
        </w:tc>
        <w:tc>
          <w:tcPr>
            <w:tcW w:w="3258" w:type="dxa"/>
            <w:vAlign w:val="center"/>
          </w:tcPr>
          <w:p w:rsidR="002D1E45" w:rsidRPr="007333B4" w:rsidRDefault="002D1E45" w:rsidP="007333B4">
            <w:pPr>
              <w:spacing w:after="0" w:line="240" w:lineRule="auto"/>
              <w:ind w:right="-27"/>
              <w:rPr>
                <w:rFonts w:ascii="Times New Roman" w:hAnsi="Times New Roman"/>
                <w:sz w:val="20"/>
                <w:szCs w:val="20"/>
                <w:lang w:eastAsia="ru-RU"/>
              </w:rPr>
            </w:pPr>
            <w:r w:rsidRPr="007333B4">
              <w:rPr>
                <w:rFonts w:ascii="Times New Roman" w:hAnsi="Times New Roman"/>
                <w:sz w:val="20"/>
                <w:szCs w:val="20"/>
                <w:lang w:eastAsia="ru-RU"/>
              </w:rPr>
              <w:t>Завод винокуренный И.П. Ерофеева. Комплекс.</w:t>
            </w:r>
          </w:p>
          <w:p w:rsidR="002D1E45" w:rsidRPr="007333B4" w:rsidRDefault="002D1E45" w:rsidP="007333B4">
            <w:pPr>
              <w:spacing w:after="0" w:line="240" w:lineRule="auto"/>
              <w:ind w:right="-27"/>
              <w:rPr>
                <w:rFonts w:ascii="Times New Roman" w:hAnsi="Times New Roman"/>
                <w:sz w:val="20"/>
                <w:szCs w:val="20"/>
                <w:lang w:eastAsia="ru-RU"/>
              </w:rPr>
            </w:pPr>
          </w:p>
          <w:p w:rsidR="002D1E45" w:rsidRPr="007333B4" w:rsidRDefault="002D1E45" w:rsidP="007333B4">
            <w:pPr>
              <w:spacing w:after="0" w:line="240" w:lineRule="auto"/>
              <w:ind w:right="-27"/>
              <w:rPr>
                <w:rFonts w:ascii="Times New Roman" w:hAnsi="Times New Roman"/>
                <w:sz w:val="20"/>
                <w:szCs w:val="20"/>
                <w:lang w:eastAsia="ru-RU"/>
              </w:rPr>
            </w:pPr>
          </w:p>
          <w:p w:rsidR="002D1E45" w:rsidRPr="007333B4" w:rsidRDefault="002D1E45" w:rsidP="007333B4">
            <w:pPr>
              <w:spacing w:after="0" w:line="240" w:lineRule="auto"/>
              <w:ind w:right="-27"/>
              <w:rPr>
                <w:rFonts w:ascii="Times New Roman" w:hAnsi="Times New Roman"/>
                <w:sz w:val="20"/>
                <w:szCs w:val="20"/>
                <w:lang w:eastAsia="ru-RU"/>
              </w:rPr>
            </w:pPr>
            <w:r w:rsidRPr="007333B4">
              <w:rPr>
                <w:rFonts w:ascii="Times New Roman" w:hAnsi="Times New Roman"/>
                <w:sz w:val="20"/>
                <w:szCs w:val="20"/>
                <w:lang w:eastAsia="ru-RU"/>
              </w:rPr>
              <w:t>•</w:t>
            </w:r>
            <w:r>
              <w:rPr>
                <w:rFonts w:ascii="Times New Roman" w:hAnsi="Times New Roman"/>
                <w:sz w:val="20"/>
                <w:szCs w:val="20"/>
                <w:lang w:eastAsia="ru-RU"/>
              </w:rPr>
              <w:t xml:space="preserve"> </w:t>
            </w:r>
            <w:r w:rsidRPr="007333B4">
              <w:rPr>
                <w:rFonts w:ascii="Times New Roman" w:hAnsi="Times New Roman"/>
                <w:sz w:val="20"/>
                <w:szCs w:val="20"/>
                <w:lang w:eastAsia="ru-RU"/>
              </w:rPr>
              <w:t>Производственное здание</w:t>
            </w:r>
          </w:p>
          <w:p w:rsidR="002D1E45" w:rsidRPr="007333B4" w:rsidRDefault="002D1E45" w:rsidP="007333B4">
            <w:pPr>
              <w:spacing w:after="0" w:line="240" w:lineRule="auto"/>
              <w:ind w:right="-27"/>
              <w:rPr>
                <w:rFonts w:ascii="Times New Roman" w:hAnsi="Times New Roman"/>
                <w:sz w:val="20"/>
                <w:szCs w:val="20"/>
                <w:lang w:eastAsia="ru-RU"/>
              </w:rPr>
            </w:pPr>
          </w:p>
          <w:p w:rsidR="002D1E45" w:rsidRPr="007333B4" w:rsidRDefault="002D1E45" w:rsidP="007333B4">
            <w:pPr>
              <w:spacing w:after="0" w:line="240" w:lineRule="auto"/>
              <w:ind w:right="-27"/>
              <w:rPr>
                <w:rFonts w:ascii="Times New Roman" w:hAnsi="Times New Roman"/>
                <w:sz w:val="20"/>
                <w:szCs w:val="20"/>
                <w:lang w:eastAsia="ru-RU"/>
              </w:rPr>
            </w:pPr>
          </w:p>
          <w:p w:rsidR="002D1E45" w:rsidRPr="007333B4" w:rsidRDefault="002D1E45" w:rsidP="007333B4">
            <w:pPr>
              <w:spacing w:after="0" w:line="240" w:lineRule="auto"/>
              <w:ind w:right="-27"/>
              <w:rPr>
                <w:rFonts w:ascii="Times New Roman" w:hAnsi="Times New Roman"/>
                <w:sz w:val="20"/>
                <w:szCs w:val="20"/>
                <w:lang w:eastAsia="ru-RU"/>
              </w:rPr>
            </w:pPr>
          </w:p>
          <w:p w:rsidR="002D1E45" w:rsidRPr="007333B4" w:rsidRDefault="002D1E45" w:rsidP="007333B4">
            <w:pPr>
              <w:spacing w:after="0" w:line="240" w:lineRule="auto"/>
              <w:ind w:right="-27"/>
              <w:rPr>
                <w:rFonts w:ascii="Times New Roman" w:hAnsi="Times New Roman"/>
                <w:sz w:val="20"/>
                <w:szCs w:val="20"/>
                <w:lang w:eastAsia="ru-RU"/>
              </w:rPr>
            </w:pPr>
            <w:r w:rsidRPr="007333B4">
              <w:rPr>
                <w:rFonts w:ascii="Times New Roman" w:hAnsi="Times New Roman"/>
                <w:sz w:val="20"/>
                <w:szCs w:val="20"/>
                <w:lang w:eastAsia="ru-RU"/>
              </w:rPr>
              <w:t>•</w:t>
            </w:r>
            <w:r>
              <w:rPr>
                <w:rFonts w:ascii="Times New Roman" w:hAnsi="Times New Roman"/>
                <w:sz w:val="20"/>
                <w:szCs w:val="20"/>
                <w:lang w:eastAsia="ru-RU"/>
              </w:rPr>
              <w:t xml:space="preserve"> </w:t>
            </w:r>
            <w:r w:rsidRPr="007333B4">
              <w:rPr>
                <w:rFonts w:ascii="Times New Roman" w:hAnsi="Times New Roman"/>
                <w:sz w:val="20"/>
                <w:szCs w:val="20"/>
                <w:lang w:eastAsia="ru-RU"/>
              </w:rPr>
              <w:t>Склад для хранения спирта</w:t>
            </w:r>
          </w:p>
        </w:tc>
        <w:tc>
          <w:tcPr>
            <w:tcW w:w="1559"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2 пол. ХIХ в.</w:t>
            </w:r>
          </w:p>
        </w:tc>
        <w:tc>
          <w:tcPr>
            <w:tcW w:w="2072"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ул. Омская, 1</w:t>
            </w:r>
          </w:p>
        </w:tc>
        <w:tc>
          <w:tcPr>
            <w:tcW w:w="2748"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 xml:space="preserve">Р </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Пост. Главы адм. НСО от 18.12.00</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 1127</w:t>
            </w:r>
          </w:p>
        </w:tc>
      </w:tr>
      <w:tr w:rsidR="002D1E45" w:rsidRPr="007333B4" w:rsidTr="007333B4">
        <w:trPr>
          <w:cantSplit/>
          <w:jc w:val="center"/>
        </w:trPr>
        <w:tc>
          <w:tcPr>
            <w:tcW w:w="420" w:type="dxa"/>
            <w:vAlign w:val="center"/>
          </w:tcPr>
          <w:p w:rsidR="002D1E45" w:rsidRPr="007333B4" w:rsidRDefault="002D1E45" w:rsidP="007333B4">
            <w:pPr>
              <w:spacing w:after="0" w:line="240" w:lineRule="auto"/>
              <w:ind w:left="-113" w:right="-113"/>
              <w:jc w:val="center"/>
              <w:rPr>
                <w:rFonts w:ascii="Times New Roman" w:hAnsi="Times New Roman"/>
                <w:sz w:val="20"/>
                <w:szCs w:val="20"/>
                <w:lang w:eastAsia="ru-RU"/>
              </w:rPr>
            </w:pPr>
            <w:r w:rsidRPr="007333B4">
              <w:rPr>
                <w:rFonts w:ascii="Times New Roman" w:hAnsi="Times New Roman"/>
                <w:sz w:val="20"/>
                <w:szCs w:val="20"/>
                <w:lang w:eastAsia="ru-RU"/>
              </w:rPr>
              <w:t>29</w:t>
            </w:r>
          </w:p>
        </w:tc>
        <w:tc>
          <w:tcPr>
            <w:tcW w:w="3258" w:type="dxa"/>
            <w:vAlign w:val="center"/>
          </w:tcPr>
          <w:p w:rsidR="002D1E45" w:rsidRPr="007333B4" w:rsidRDefault="002D1E45" w:rsidP="007333B4">
            <w:pPr>
              <w:spacing w:after="0" w:line="240" w:lineRule="auto"/>
              <w:ind w:right="-27"/>
              <w:rPr>
                <w:rFonts w:ascii="Times New Roman" w:hAnsi="Times New Roman"/>
                <w:sz w:val="20"/>
                <w:szCs w:val="20"/>
                <w:lang w:eastAsia="ru-RU"/>
              </w:rPr>
            </w:pPr>
            <w:r w:rsidRPr="007333B4">
              <w:rPr>
                <w:rFonts w:ascii="Times New Roman" w:hAnsi="Times New Roman"/>
                <w:sz w:val="20"/>
                <w:szCs w:val="20"/>
                <w:lang w:eastAsia="ru-RU"/>
              </w:rPr>
              <w:t>Дом жилой С.А. Лебедева</w:t>
            </w:r>
          </w:p>
        </w:tc>
        <w:tc>
          <w:tcPr>
            <w:tcW w:w="1559"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вторая половина ХIХ в.</w:t>
            </w:r>
          </w:p>
        </w:tc>
        <w:tc>
          <w:tcPr>
            <w:tcW w:w="2072"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ул. Папшева, 3,</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(ул. Халтурина)</w:t>
            </w:r>
          </w:p>
        </w:tc>
        <w:tc>
          <w:tcPr>
            <w:tcW w:w="2748"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Р</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Пост. адм. НСО от 27.07.05</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 54</w:t>
            </w:r>
          </w:p>
        </w:tc>
      </w:tr>
      <w:tr w:rsidR="002D1E45" w:rsidRPr="007333B4" w:rsidTr="007333B4">
        <w:trPr>
          <w:cantSplit/>
          <w:jc w:val="center"/>
        </w:trPr>
        <w:tc>
          <w:tcPr>
            <w:tcW w:w="420" w:type="dxa"/>
            <w:vAlign w:val="center"/>
          </w:tcPr>
          <w:p w:rsidR="002D1E45" w:rsidRPr="007333B4" w:rsidRDefault="002D1E45" w:rsidP="007333B4">
            <w:pPr>
              <w:spacing w:after="0" w:line="240" w:lineRule="auto"/>
              <w:ind w:left="-113" w:right="-113"/>
              <w:jc w:val="center"/>
              <w:rPr>
                <w:rFonts w:ascii="Times New Roman" w:hAnsi="Times New Roman"/>
                <w:sz w:val="20"/>
                <w:szCs w:val="20"/>
                <w:lang w:eastAsia="ru-RU"/>
              </w:rPr>
            </w:pPr>
            <w:r w:rsidRPr="007333B4">
              <w:rPr>
                <w:rFonts w:ascii="Times New Roman" w:hAnsi="Times New Roman"/>
                <w:sz w:val="20"/>
                <w:szCs w:val="20"/>
                <w:lang w:eastAsia="ru-RU"/>
              </w:rPr>
              <w:t>30</w:t>
            </w:r>
          </w:p>
        </w:tc>
        <w:tc>
          <w:tcPr>
            <w:tcW w:w="3258" w:type="dxa"/>
            <w:vAlign w:val="center"/>
          </w:tcPr>
          <w:p w:rsidR="002D1E45" w:rsidRPr="007333B4" w:rsidRDefault="002D1E45" w:rsidP="007333B4">
            <w:pPr>
              <w:spacing w:after="0" w:line="240" w:lineRule="auto"/>
              <w:ind w:right="-27"/>
              <w:rPr>
                <w:rFonts w:ascii="Times New Roman" w:hAnsi="Times New Roman"/>
                <w:sz w:val="20"/>
                <w:szCs w:val="20"/>
                <w:lang w:eastAsia="ru-RU"/>
              </w:rPr>
            </w:pPr>
            <w:r w:rsidRPr="007333B4">
              <w:rPr>
                <w:rFonts w:ascii="Times New Roman" w:hAnsi="Times New Roman"/>
                <w:sz w:val="20"/>
                <w:szCs w:val="20"/>
                <w:lang w:eastAsia="ru-RU"/>
              </w:rPr>
              <w:t>Дом жилой А.В. Пяткова</w:t>
            </w:r>
          </w:p>
        </w:tc>
        <w:tc>
          <w:tcPr>
            <w:tcW w:w="1559"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вторая половина ХIХ в.</w:t>
            </w:r>
          </w:p>
        </w:tc>
        <w:tc>
          <w:tcPr>
            <w:tcW w:w="2072"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ул. Папшева, 5</w:t>
            </w:r>
          </w:p>
        </w:tc>
        <w:tc>
          <w:tcPr>
            <w:tcW w:w="2748"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Р</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Пост. адм. НСО от 27.07.05</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 54</w:t>
            </w:r>
          </w:p>
        </w:tc>
      </w:tr>
      <w:tr w:rsidR="002D1E45" w:rsidRPr="007333B4" w:rsidTr="007333B4">
        <w:trPr>
          <w:cantSplit/>
          <w:jc w:val="center"/>
        </w:trPr>
        <w:tc>
          <w:tcPr>
            <w:tcW w:w="420" w:type="dxa"/>
            <w:vAlign w:val="center"/>
          </w:tcPr>
          <w:p w:rsidR="002D1E45" w:rsidRPr="007333B4" w:rsidRDefault="002D1E45" w:rsidP="007333B4">
            <w:pPr>
              <w:spacing w:after="0" w:line="240" w:lineRule="auto"/>
              <w:ind w:left="-113" w:right="-113"/>
              <w:jc w:val="center"/>
              <w:rPr>
                <w:rFonts w:ascii="Times New Roman" w:hAnsi="Times New Roman"/>
                <w:sz w:val="20"/>
                <w:szCs w:val="20"/>
                <w:lang w:eastAsia="ru-RU"/>
              </w:rPr>
            </w:pPr>
            <w:r w:rsidRPr="007333B4">
              <w:rPr>
                <w:rFonts w:ascii="Times New Roman" w:hAnsi="Times New Roman"/>
                <w:sz w:val="20"/>
                <w:szCs w:val="20"/>
                <w:lang w:eastAsia="ru-RU"/>
              </w:rPr>
              <w:t>31</w:t>
            </w:r>
          </w:p>
        </w:tc>
        <w:tc>
          <w:tcPr>
            <w:tcW w:w="3258" w:type="dxa"/>
            <w:vAlign w:val="center"/>
          </w:tcPr>
          <w:p w:rsidR="002D1E45" w:rsidRPr="007333B4" w:rsidRDefault="002D1E45" w:rsidP="007333B4">
            <w:pPr>
              <w:spacing w:after="0" w:line="240" w:lineRule="auto"/>
              <w:ind w:right="-27"/>
              <w:rPr>
                <w:rFonts w:ascii="Times New Roman" w:hAnsi="Times New Roman"/>
                <w:sz w:val="20"/>
                <w:szCs w:val="20"/>
                <w:lang w:eastAsia="ru-RU"/>
              </w:rPr>
            </w:pPr>
            <w:r w:rsidRPr="007333B4">
              <w:rPr>
                <w:rFonts w:ascii="Times New Roman" w:hAnsi="Times New Roman"/>
                <w:sz w:val="20"/>
                <w:szCs w:val="20"/>
                <w:lang w:eastAsia="ru-RU"/>
              </w:rPr>
              <w:t>2-х этажный деревянный дом</w:t>
            </w:r>
          </w:p>
        </w:tc>
        <w:tc>
          <w:tcPr>
            <w:tcW w:w="1559"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 xml:space="preserve">нач. </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ХХ в.</w:t>
            </w:r>
          </w:p>
        </w:tc>
        <w:tc>
          <w:tcPr>
            <w:tcW w:w="2072"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ул. Папшева, 7</w:t>
            </w:r>
          </w:p>
        </w:tc>
        <w:tc>
          <w:tcPr>
            <w:tcW w:w="2748"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 xml:space="preserve">Р </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Решение облисп. от 16.02.87 № 53</w:t>
            </w:r>
          </w:p>
        </w:tc>
      </w:tr>
      <w:tr w:rsidR="002D1E45" w:rsidRPr="007333B4" w:rsidTr="007333B4">
        <w:trPr>
          <w:cantSplit/>
          <w:jc w:val="center"/>
        </w:trPr>
        <w:tc>
          <w:tcPr>
            <w:tcW w:w="420" w:type="dxa"/>
            <w:vAlign w:val="center"/>
          </w:tcPr>
          <w:p w:rsidR="002D1E45" w:rsidRPr="007333B4" w:rsidRDefault="002D1E45" w:rsidP="007333B4">
            <w:pPr>
              <w:spacing w:after="0" w:line="240" w:lineRule="auto"/>
              <w:ind w:left="-113" w:right="-113"/>
              <w:jc w:val="center"/>
              <w:rPr>
                <w:rFonts w:ascii="Times New Roman" w:hAnsi="Times New Roman"/>
                <w:sz w:val="20"/>
                <w:szCs w:val="20"/>
                <w:lang w:eastAsia="ru-RU"/>
              </w:rPr>
            </w:pPr>
            <w:r w:rsidRPr="007333B4">
              <w:rPr>
                <w:rFonts w:ascii="Times New Roman" w:hAnsi="Times New Roman"/>
                <w:sz w:val="20"/>
                <w:szCs w:val="20"/>
                <w:lang w:eastAsia="ru-RU"/>
              </w:rPr>
              <w:t>32</w:t>
            </w:r>
          </w:p>
        </w:tc>
        <w:tc>
          <w:tcPr>
            <w:tcW w:w="3258" w:type="dxa"/>
            <w:vAlign w:val="center"/>
          </w:tcPr>
          <w:p w:rsidR="002D1E45" w:rsidRPr="007333B4" w:rsidRDefault="002D1E45" w:rsidP="007333B4">
            <w:pPr>
              <w:spacing w:after="0" w:line="240" w:lineRule="auto"/>
              <w:ind w:right="-27"/>
              <w:rPr>
                <w:rFonts w:ascii="Times New Roman" w:hAnsi="Times New Roman"/>
                <w:sz w:val="20"/>
                <w:szCs w:val="20"/>
                <w:lang w:eastAsia="ru-RU"/>
              </w:rPr>
            </w:pPr>
            <w:r w:rsidRPr="007333B4">
              <w:rPr>
                <w:rFonts w:ascii="Times New Roman" w:hAnsi="Times New Roman"/>
                <w:sz w:val="20"/>
                <w:szCs w:val="20"/>
                <w:lang w:eastAsia="ru-RU"/>
              </w:rPr>
              <w:t>Церковь каменная</w:t>
            </w:r>
          </w:p>
        </w:tc>
        <w:tc>
          <w:tcPr>
            <w:tcW w:w="1559"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1906 г.</w:t>
            </w:r>
          </w:p>
        </w:tc>
        <w:tc>
          <w:tcPr>
            <w:tcW w:w="2072"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 xml:space="preserve">ул. Пугачёва, 2 </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 xml:space="preserve"> (по реш. облисп. –ул. Октябрьская, 1)</w:t>
            </w:r>
          </w:p>
        </w:tc>
        <w:tc>
          <w:tcPr>
            <w:tcW w:w="2748"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 xml:space="preserve">Р </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Решение облисп. от 16.02.87 № 53</w:t>
            </w:r>
          </w:p>
        </w:tc>
      </w:tr>
      <w:tr w:rsidR="002D1E45" w:rsidRPr="007333B4" w:rsidTr="007333B4">
        <w:trPr>
          <w:cantSplit/>
          <w:jc w:val="center"/>
        </w:trPr>
        <w:tc>
          <w:tcPr>
            <w:tcW w:w="420" w:type="dxa"/>
            <w:vAlign w:val="center"/>
          </w:tcPr>
          <w:p w:rsidR="002D1E45" w:rsidRPr="007333B4" w:rsidRDefault="002D1E45" w:rsidP="007333B4">
            <w:pPr>
              <w:spacing w:after="0" w:line="240" w:lineRule="auto"/>
              <w:ind w:left="-113" w:right="-113"/>
              <w:jc w:val="center"/>
              <w:rPr>
                <w:rFonts w:ascii="Times New Roman" w:hAnsi="Times New Roman"/>
                <w:sz w:val="20"/>
                <w:szCs w:val="20"/>
                <w:lang w:eastAsia="ru-RU"/>
              </w:rPr>
            </w:pPr>
            <w:r w:rsidRPr="007333B4">
              <w:rPr>
                <w:rFonts w:ascii="Times New Roman" w:hAnsi="Times New Roman"/>
                <w:sz w:val="20"/>
                <w:szCs w:val="20"/>
                <w:lang w:eastAsia="ru-RU"/>
              </w:rPr>
              <w:t>33</w:t>
            </w:r>
          </w:p>
        </w:tc>
        <w:tc>
          <w:tcPr>
            <w:tcW w:w="3258" w:type="dxa"/>
            <w:vAlign w:val="center"/>
          </w:tcPr>
          <w:p w:rsidR="002D1E45" w:rsidRPr="007333B4" w:rsidRDefault="002D1E45" w:rsidP="007333B4">
            <w:pPr>
              <w:rPr>
                <w:rFonts w:ascii="Times New Roman" w:hAnsi="Times New Roman"/>
                <w:sz w:val="20"/>
                <w:szCs w:val="20"/>
                <w:lang w:eastAsia="ru-RU"/>
              </w:rPr>
            </w:pPr>
            <w:r w:rsidRPr="007333B4">
              <w:rPr>
                <w:rFonts w:ascii="Times New Roman" w:hAnsi="Times New Roman"/>
                <w:sz w:val="20"/>
                <w:szCs w:val="20"/>
                <w:lang w:eastAsia="ru-RU"/>
              </w:rPr>
              <w:t>Дом, в котором в 1907 – 1909 гг. жил в ссылке партийный и советский деятель В.В. Куйбышев</w:t>
            </w:r>
          </w:p>
        </w:tc>
        <w:tc>
          <w:tcPr>
            <w:tcW w:w="1559"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1907 - 1909 гг.</w:t>
            </w:r>
          </w:p>
        </w:tc>
        <w:tc>
          <w:tcPr>
            <w:tcW w:w="2072"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ул. Свердлова, 28</w:t>
            </w:r>
          </w:p>
        </w:tc>
        <w:tc>
          <w:tcPr>
            <w:tcW w:w="2748"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 xml:space="preserve">Р </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Решение облисп. от 18.07.90 № 282</w:t>
            </w:r>
          </w:p>
        </w:tc>
      </w:tr>
      <w:tr w:rsidR="002D1E45" w:rsidRPr="007333B4" w:rsidTr="007333B4">
        <w:trPr>
          <w:cantSplit/>
          <w:jc w:val="center"/>
        </w:trPr>
        <w:tc>
          <w:tcPr>
            <w:tcW w:w="420" w:type="dxa"/>
            <w:vAlign w:val="center"/>
          </w:tcPr>
          <w:p w:rsidR="002D1E45" w:rsidRPr="007333B4" w:rsidRDefault="002D1E45" w:rsidP="007333B4">
            <w:pPr>
              <w:spacing w:after="0" w:line="240" w:lineRule="auto"/>
              <w:ind w:left="-113" w:right="-113"/>
              <w:jc w:val="center"/>
              <w:rPr>
                <w:rFonts w:ascii="Times New Roman" w:hAnsi="Times New Roman"/>
                <w:sz w:val="20"/>
                <w:szCs w:val="20"/>
                <w:lang w:eastAsia="ru-RU"/>
              </w:rPr>
            </w:pPr>
            <w:r w:rsidRPr="007333B4">
              <w:rPr>
                <w:rFonts w:ascii="Times New Roman" w:hAnsi="Times New Roman"/>
                <w:sz w:val="20"/>
                <w:szCs w:val="20"/>
                <w:lang w:eastAsia="ru-RU"/>
              </w:rPr>
              <w:t>34</w:t>
            </w:r>
          </w:p>
        </w:tc>
        <w:tc>
          <w:tcPr>
            <w:tcW w:w="3258" w:type="dxa"/>
            <w:vAlign w:val="center"/>
          </w:tcPr>
          <w:p w:rsidR="002D1E45" w:rsidRPr="007333B4" w:rsidRDefault="002D1E45" w:rsidP="007333B4">
            <w:pPr>
              <w:spacing w:after="0" w:line="240" w:lineRule="auto"/>
              <w:ind w:right="-27"/>
              <w:rPr>
                <w:rFonts w:ascii="Times New Roman" w:hAnsi="Times New Roman"/>
                <w:sz w:val="20"/>
                <w:szCs w:val="20"/>
                <w:lang w:eastAsia="ru-RU"/>
              </w:rPr>
            </w:pPr>
            <w:r w:rsidRPr="007333B4">
              <w:rPr>
                <w:rFonts w:ascii="Times New Roman" w:hAnsi="Times New Roman"/>
                <w:sz w:val="20"/>
                <w:szCs w:val="20"/>
                <w:lang w:eastAsia="ru-RU"/>
              </w:rPr>
              <w:t>Школа церковно-приходская</w:t>
            </w:r>
          </w:p>
        </w:tc>
        <w:tc>
          <w:tcPr>
            <w:tcW w:w="1559"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1906 г.</w:t>
            </w:r>
          </w:p>
        </w:tc>
        <w:tc>
          <w:tcPr>
            <w:tcW w:w="2072"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ул. Свердлова, 34</w:t>
            </w:r>
          </w:p>
        </w:tc>
        <w:tc>
          <w:tcPr>
            <w:tcW w:w="2748"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Р</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Пост. адм. НСО от 27.07.05</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 54</w:t>
            </w:r>
          </w:p>
        </w:tc>
      </w:tr>
      <w:tr w:rsidR="002D1E45" w:rsidRPr="007333B4" w:rsidTr="007333B4">
        <w:trPr>
          <w:cantSplit/>
          <w:jc w:val="center"/>
        </w:trPr>
        <w:tc>
          <w:tcPr>
            <w:tcW w:w="420" w:type="dxa"/>
            <w:vAlign w:val="center"/>
          </w:tcPr>
          <w:p w:rsidR="002D1E45" w:rsidRPr="007333B4" w:rsidRDefault="002D1E45" w:rsidP="007333B4">
            <w:pPr>
              <w:spacing w:after="0" w:line="240" w:lineRule="auto"/>
              <w:ind w:left="-113" w:right="-113"/>
              <w:jc w:val="center"/>
              <w:rPr>
                <w:rFonts w:ascii="Times New Roman" w:hAnsi="Times New Roman"/>
                <w:sz w:val="20"/>
                <w:szCs w:val="20"/>
                <w:lang w:eastAsia="ru-RU"/>
              </w:rPr>
            </w:pPr>
            <w:r w:rsidRPr="007333B4">
              <w:rPr>
                <w:rFonts w:ascii="Times New Roman" w:hAnsi="Times New Roman"/>
                <w:sz w:val="20"/>
                <w:szCs w:val="20"/>
                <w:lang w:eastAsia="ru-RU"/>
              </w:rPr>
              <w:t>35</w:t>
            </w:r>
          </w:p>
        </w:tc>
        <w:tc>
          <w:tcPr>
            <w:tcW w:w="3258" w:type="dxa"/>
            <w:vAlign w:val="center"/>
          </w:tcPr>
          <w:p w:rsidR="002D1E45" w:rsidRPr="007333B4" w:rsidRDefault="002D1E45" w:rsidP="007333B4">
            <w:pPr>
              <w:spacing w:after="0" w:line="240" w:lineRule="auto"/>
              <w:ind w:right="-27"/>
              <w:rPr>
                <w:rFonts w:ascii="Times New Roman" w:hAnsi="Times New Roman"/>
                <w:sz w:val="20"/>
                <w:szCs w:val="20"/>
                <w:lang w:eastAsia="ru-RU"/>
              </w:rPr>
            </w:pPr>
            <w:r w:rsidRPr="007333B4">
              <w:rPr>
                <w:rFonts w:ascii="Times New Roman" w:hAnsi="Times New Roman"/>
                <w:sz w:val="20"/>
                <w:szCs w:val="20"/>
                <w:lang w:eastAsia="ru-RU"/>
              </w:rPr>
              <w:t>2-х этажный деревянный дом</w:t>
            </w:r>
          </w:p>
        </w:tc>
        <w:tc>
          <w:tcPr>
            <w:tcW w:w="1559"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1911 г.</w:t>
            </w:r>
          </w:p>
        </w:tc>
        <w:tc>
          <w:tcPr>
            <w:tcW w:w="2072"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ул. Чехова, 8</w:t>
            </w:r>
          </w:p>
        </w:tc>
        <w:tc>
          <w:tcPr>
            <w:tcW w:w="2748"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 xml:space="preserve">Р </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Решение облисп. от 16.02.87 № 53</w:t>
            </w:r>
          </w:p>
        </w:tc>
      </w:tr>
      <w:tr w:rsidR="002D1E45" w:rsidRPr="007333B4" w:rsidTr="007333B4">
        <w:trPr>
          <w:cantSplit/>
          <w:jc w:val="center"/>
        </w:trPr>
        <w:tc>
          <w:tcPr>
            <w:tcW w:w="420" w:type="dxa"/>
            <w:vAlign w:val="center"/>
          </w:tcPr>
          <w:p w:rsidR="002D1E45" w:rsidRPr="007333B4" w:rsidRDefault="002D1E45" w:rsidP="007333B4">
            <w:pPr>
              <w:spacing w:after="0" w:line="240" w:lineRule="auto"/>
              <w:ind w:left="-113" w:right="-113"/>
              <w:jc w:val="center"/>
              <w:rPr>
                <w:rFonts w:ascii="Times New Roman" w:hAnsi="Times New Roman"/>
                <w:sz w:val="20"/>
                <w:szCs w:val="20"/>
                <w:lang w:eastAsia="ru-RU"/>
              </w:rPr>
            </w:pPr>
            <w:r w:rsidRPr="007333B4">
              <w:rPr>
                <w:rFonts w:ascii="Times New Roman" w:hAnsi="Times New Roman"/>
                <w:sz w:val="20"/>
                <w:szCs w:val="20"/>
                <w:lang w:eastAsia="ru-RU"/>
              </w:rPr>
              <w:t>36</w:t>
            </w:r>
          </w:p>
        </w:tc>
        <w:tc>
          <w:tcPr>
            <w:tcW w:w="3258" w:type="dxa"/>
            <w:vAlign w:val="center"/>
          </w:tcPr>
          <w:p w:rsidR="002D1E45" w:rsidRPr="007333B4" w:rsidRDefault="002D1E45" w:rsidP="007333B4">
            <w:pPr>
              <w:spacing w:after="0" w:line="240" w:lineRule="auto"/>
              <w:ind w:right="-27"/>
              <w:rPr>
                <w:rFonts w:ascii="Times New Roman" w:hAnsi="Times New Roman"/>
                <w:sz w:val="20"/>
                <w:szCs w:val="20"/>
                <w:lang w:eastAsia="ru-RU"/>
              </w:rPr>
            </w:pPr>
            <w:r w:rsidRPr="007333B4">
              <w:rPr>
                <w:rFonts w:ascii="Times New Roman" w:hAnsi="Times New Roman"/>
                <w:sz w:val="20"/>
                <w:szCs w:val="20"/>
                <w:lang w:eastAsia="ru-RU"/>
              </w:rPr>
              <w:t>2-х этажный кирпичный дом</w:t>
            </w:r>
          </w:p>
        </w:tc>
        <w:tc>
          <w:tcPr>
            <w:tcW w:w="1559"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кон. ХIХ в.</w:t>
            </w:r>
          </w:p>
        </w:tc>
        <w:tc>
          <w:tcPr>
            <w:tcW w:w="2072"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ул. Чехова, 16</w:t>
            </w:r>
          </w:p>
        </w:tc>
        <w:tc>
          <w:tcPr>
            <w:tcW w:w="2748"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 xml:space="preserve">Р </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Решение облисп. от 16.02.87 № 53</w:t>
            </w:r>
          </w:p>
        </w:tc>
      </w:tr>
      <w:tr w:rsidR="002D1E45" w:rsidRPr="007333B4" w:rsidTr="007333B4">
        <w:trPr>
          <w:cantSplit/>
          <w:jc w:val="center"/>
        </w:trPr>
        <w:tc>
          <w:tcPr>
            <w:tcW w:w="420" w:type="dxa"/>
            <w:vAlign w:val="center"/>
          </w:tcPr>
          <w:p w:rsidR="002D1E45" w:rsidRPr="007333B4" w:rsidRDefault="002D1E45" w:rsidP="007333B4">
            <w:pPr>
              <w:spacing w:after="0" w:line="240" w:lineRule="auto"/>
              <w:ind w:left="-113" w:right="-113"/>
              <w:jc w:val="center"/>
              <w:rPr>
                <w:rFonts w:ascii="Times New Roman" w:hAnsi="Times New Roman"/>
                <w:sz w:val="20"/>
                <w:szCs w:val="20"/>
                <w:lang w:eastAsia="ru-RU"/>
              </w:rPr>
            </w:pPr>
            <w:r w:rsidRPr="007333B4">
              <w:rPr>
                <w:rFonts w:ascii="Times New Roman" w:hAnsi="Times New Roman"/>
                <w:sz w:val="20"/>
                <w:szCs w:val="20"/>
                <w:lang w:eastAsia="ru-RU"/>
              </w:rPr>
              <w:t>37</w:t>
            </w:r>
          </w:p>
        </w:tc>
        <w:tc>
          <w:tcPr>
            <w:tcW w:w="3258" w:type="dxa"/>
            <w:vAlign w:val="center"/>
          </w:tcPr>
          <w:p w:rsidR="002D1E45" w:rsidRPr="007333B4" w:rsidRDefault="002D1E45" w:rsidP="007333B4">
            <w:pPr>
              <w:spacing w:after="0" w:line="240" w:lineRule="auto"/>
              <w:ind w:right="-27"/>
              <w:rPr>
                <w:rFonts w:ascii="Times New Roman" w:hAnsi="Times New Roman"/>
                <w:sz w:val="20"/>
                <w:szCs w:val="20"/>
                <w:lang w:eastAsia="ru-RU"/>
              </w:rPr>
            </w:pPr>
            <w:r w:rsidRPr="007333B4">
              <w:rPr>
                <w:rFonts w:ascii="Times New Roman" w:hAnsi="Times New Roman"/>
                <w:sz w:val="20"/>
                <w:szCs w:val="20"/>
                <w:lang w:eastAsia="ru-RU"/>
              </w:rPr>
              <w:t>Завод водочный казённый.</w:t>
            </w:r>
          </w:p>
          <w:p w:rsidR="002D1E45" w:rsidRPr="00400086" w:rsidRDefault="002D1E45" w:rsidP="00852938">
            <w:pPr>
              <w:pStyle w:val="ListParagraph"/>
              <w:numPr>
                <w:ilvl w:val="0"/>
                <w:numId w:val="95"/>
              </w:numPr>
              <w:spacing w:after="0" w:line="240" w:lineRule="auto"/>
              <w:ind w:left="463" w:right="-27" w:hanging="219"/>
              <w:rPr>
                <w:rFonts w:ascii="Times New Roman" w:hAnsi="Times New Roman"/>
                <w:sz w:val="20"/>
                <w:lang w:eastAsia="ru-RU"/>
              </w:rPr>
            </w:pPr>
            <w:r w:rsidRPr="00400086">
              <w:rPr>
                <w:rFonts w:ascii="Times New Roman" w:hAnsi="Times New Roman"/>
                <w:sz w:val="20"/>
                <w:lang w:eastAsia="ru-RU"/>
              </w:rPr>
              <w:t>Комплекс.</w:t>
            </w:r>
          </w:p>
          <w:p w:rsidR="002D1E45" w:rsidRPr="00400086" w:rsidRDefault="002D1E45" w:rsidP="00852938">
            <w:pPr>
              <w:pStyle w:val="ListParagraph"/>
              <w:numPr>
                <w:ilvl w:val="0"/>
                <w:numId w:val="95"/>
              </w:numPr>
              <w:spacing w:after="0" w:line="240" w:lineRule="auto"/>
              <w:ind w:left="463" w:right="-27" w:hanging="219"/>
              <w:rPr>
                <w:rFonts w:ascii="Times New Roman" w:hAnsi="Times New Roman"/>
                <w:sz w:val="20"/>
                <w:lang w:eastAsia="ru-RU"/>
              </w:rPr>
            </w:pPr>
            <w:r w:rsidRPr="00400086">
              <w:rPr>
                <w:rFonts w:ascii="Times New Roman" w:hAnsi="Times New Roman"/>
                <w:sz w:val="20"/>
                <w:lang w:eastAsia="ru-RU"/>
              </w:rPr>
              <w:t>Склад для хранения спирта</w:t>
            </w:r>
          </w:p>
          <w:p w:rsidR="002D1E45" w:rsidRPr="00400086" w:rsidRDefault="002D1E45" w:rsidP="00852938">
            <w:pPr>
              <w:pStyle w:val="ListParagraph"/>
              <w:numPr>
                <w:ilvl w:val="0"/>
                <w:numId w:val="95"/>
              </w:numPr>
              <w:spacing w:after="0" w:line="240" w:lineRule="auto"/>
              <w:ind w:left="463" w:right="-27" w:hanging="219"/>
              <w:rPr>
                <w:rFonts w:ascii="Times New Roman" w:hAnsi="Times New Roman"/>
                <w:sz w:val="20"/>
                <w:lang w:eastAsia="ru-RU"/>
              </w:rPr>
            </w:pPr>
            <w:r w:rsidRPr="00400086">
              <w:rPr>
                <w:rFonts w:ascii="Times New Roman" w:hAnsi="Times New Roman"/>
                <w:sz w:val="20"/>
                <w:lang w:eastAsia="ru-RU"/>
              </w:rPr>
              <w:t>Мастерские</w:t>
            </w:r>
          </w:p>
          <w:p w:rsidR="002D1E45" w:rsidRPr="00400086" w:rsidRDefault="002D1E45" w:rsidP="00852938">
            <w:pPr>
              <w:pStyle w:val="ListParagraph"/>
              <w:numPr>
                <w:ilvl w:val="0"/>
                <w:numId w:val="95"/>
              </w:numPr>
              <w:spacing w:after="0" w:line="240" w:lineRule="auto"/>
              <w:ind w:left="463" w:right="-27" w:hanging="219"/>
              <w:rPr>
                <w:rFonts w:ascii="Times New Roman" w:hAnsi="Times New Roman"/>
                <w:sz w:val="20"/>
                <w:lang w:eastAsia="ru-RU"/>
              </w:rPr>
            </w:pPr>
            <w:r w:rsidRPr="00400086">
              <w:rPr>
                <w:rFonts w:ascii="Times New Roman" w:hAnsi="Times New Roman"/>
                <w:sz w:val="20"/>
                <w:lang w:eastAsia="ru-RU"/>
              </w:rPr>
              <w:t>Склад</w:t>
            </w:r>
          </w:p>
          <w:p w:rsidR="002D1E45" w:rsidRPr="00400086" w:rsidRDefault="002D1E45" w:rsidP="00852938">
            <w:pPr>
              <w:pStyle w:val="ListParagraph"/>
              <w:numPr>
                <w:ilvl w:val="0"/>
                <w:numId w:val="95"/>
              </w:numPr>
              <w:spacing w:after="0" w:line="240" w:lineRule="auto"/>
              <w:ind w:left="463" w:right="-27" w:hanging="219"/>
              <w:rPr>
                <w:rFonts w:ascii="Times New Roman" w:hAnsi="Times New Roman"/>
                <w:sz w:val="20"/>
                <w:lang w:eastAsia="ru-RU"/>
              </w:rPr>
            </w:pPr>
            <w:r w:rsidRPr="00400086">
              <w:rPr>
                <w:rFonts w:ascii="Times New Roman" w:hAnsi="Times New Roman"/>
                <w:sz w:val="20"/>
                <w:lang w:eastAsia="ru-RU"/>
              </w:rPr>
              <w:t>Склады</w:t>
            </w:r>
          </w:p>
          <w:p w:rsidR="002D1E45" w:rsidRPr="00400086" w:rsidRDefault="002D1E45" w:rsidP="00852938">
            <w:pPr>
              <w:pStyle w:val="ListParagraph"/>
              <w:numPr>
                <w:ilvl w:val="0"/>
                <w:numId w:val="95"/>
              </w:numPr>
              <w:spacing w:after="0" w:line="240" w:lineRule="auto"/>
              <w:ind w:left="463" w:right="-27" w:hanging="219"/>
              <w:rPr>
                <w:rFonts w:ascii="Times New Roman" w:hAnsi="Times New Roman"/>
                <w:sz w:val="20"/>
                <w:lang w:eastAsia="ru-RU"/>
              </w:rPr>
            </w:pPr>
            <w:r w:rsidRPr="00400086">
              <w:rPr>
                <w:rFonts w:ascii="Times New Roman" w:hAnsi="Times New Roman"/>
                <w:sz w:val="20"/>
                <w:lang w:eastAsia="ru-RU"/>
              </w:rPr>
              <w:t>Дом жилой</w:t>
            </w:r>
          </w:p>
        </w:tc>
        <w:tc>
          <w:tcPr>
            <w:tcW w:w="1559"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 xml:space="preserve">нач. </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ХХ в.</w:t>
            </w:r>
          </w:p>
        </w:tc>
        <w:tc>
          <w:tcPr>
            <w:tcW w:w="2072"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ул. Шишкова, 2</w:t>
            </w:r>
          </w:p>
        </w:tc>
        <w:tc>
          <w:tcPr>
            <w:tcW w:w="2748" w:type="dxa"/>
            <w:vAlign w:val="center"/>
          </w:tcPr>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 xml:space="preserve">Р </w:t>
            </w:r>
          </w:p>
          <w:p w:rsidR="002D1E45" w:rsidRPr="007333B4" w:rsidRDefault="002D1E45" w:rsidP="007333B4">
            <w:pPr>
              <w:spacing w:after="0" w:line="240" w:lineRule="auto"/>
              <w:ind w:right="-27"/>
              <w:jc w:val="center"/>
              <w:rPr>
                <w:rFonts w:ascii="Times New Roman" w:hAnsi="Times New Roman"/>
                <w:sz w:val="20"/>
                <w:szCs w:val="20"/>
                <w:lang w:eastAsia="ru-RU"/>
              </w:rPr>
            </w:pPr>
            <w:r w:rsidRPr="007333B4">
              <w:rPr>
                <w:rFonts w:ascii="Times New Roman" w:hAnsi="Times New Roman"/>
                <w:sz w:val="20"/>
                <w:szCs w:val="20"/>
                <w:lang w:eastAsia="ru-RU"/>
              </w:rPr>
              <w:t>Пост. Главы адм. НСО от 18.12.00</w:t>
            </w:r>
            <w:r>
              <w:rPr>
                <w:rFonts w:ascii="Times New Roman" w:hAnsi="Times New Roman"/>
                <w:sz w:val="20"/>
                <w:szCs w:val="20"/>
                <w:lang w:eastAsia="ru-RU"/>
              </w:rPr>
              <w:t xml:space="preserve"> </w:t>
            </w:r>
            <w:r w:rsidRPr="007333B4">
              <w:rPr>
                <w:rFonts w:ascii="Times New Roman" w:hAnsi="Times New Roman"/>
                <w:sz w:val="20"/>
                <w:szCs w:val="20"/>
                <w:lang w:eastAsia="ru-RU"/>
              </w:rPr>
              <w:t>№ 1127</w:t>
            </w:r>
          </w:p>
        </w:tc>
      </w:tr>
    </w:tbl>
    <w:p w:rsidR="002D1E45" w:rsidRPr="007333B4" w:rsidRDefault="002D1E45" w:rsidP="007333B4">
      <w:pPr>
        <w:spacing w:after="0" w:line="240" w:lineRule="auto"/>
        <w:jc w:val="right"/>
        <w:rPr>
          <w:rFonts w:ascii="Times New Roman" w:hAnsi="Times New Roman"/>
          <w:sz w:val="28"/>
          <w:szCs w:val="28"/>
        </w:rPr>
      </w:pPr>
    </w:p>
    <w:p w:rsidR="002D1E45" w:rsidRPr="007333B4" w:rsidRDefault="002D1E45" w:rsidP="007333B4">
      <w:pPr>
        <w:spacing w:after="0" w:line="240" w:lineRule="auto"/>
        <w:jc w:val="right"/>
        <w:rPr>
          <w:rFonts w:ascii="Times New Roman" w:hAnsi="Times New Roman"/>
          <w:sz w:val="28"/>
          <w:szCs w:val="28"/>
        </w:rPr>
      </w:pPr>
      <w:r w:rsidRPr="007333B4">
        <w:rPr>
          <w:rFonts w:ascii="Times New Roman" w:hAnsi="Times New Roman"/>
          <w:sz w:val="28"/>
          <w:szCs w:val="28"/>
        </w:rPr>
        <w:t xml:space="preserve">Таблица </w:t>
      </w:r>
      <w:r w:rsidRPr="007333B4">
        <w:rPr>
          <w:rFonts w:ascii="Times New Roman" w:hAnsi="Times New Roman"/>
          <w:sz w:val="28"/>
          <w:szCs w:val="28"/>
        </w:rPr>
        <w:fldChar w:fldCharType="begin"/>
      </w:r>
      <w:r w:rsidRPr="007333B4">
        <w:rPr>
          <w:rFonts w:ascii="Times New Roman" w:hAnsi="Times New Roman"/>
          <w:sz w:val="28"/>
          <w:szCs w:val="28"/>
        </w:rPr>
        <w:instrText xml:space="preserve"> SEQ Таблица \* ARABIC </w:instrText>
      </w:r>
      <w:r w:rsidRPr="007333B4">
        <w:rPr>
          <w:rFonts w:ascii="Times New Roman" w:hAnsi="Times New Roman"/>
          <w:sz w:val="28"/>
          <w:szCs w:val="28"/>
        </w:rPr>
        <w:fldChar w:fldCharType="separate"/>
      </w:r>
      <w:r>
        <w:rPr>
          <w:rFonts w:ascii="Times New Roman" w:hAnsi="Times New Roman"/>
          <w:noProof/>
          <w:sz w:val="28"/>
          <w:szCs w:val="28"/>
        </w:rPr>
        <w:t>2</w:t>
      </w:r>
      <w:r w:rsidRPr="007333B4">
        <w:rPr>
          <w:rFonts w:ascii="Times New Roman" w:hAnsi="Times New Roman"/>
          <w:sz w:val="28"/>
          <w:szCs w:val="28"/>
        </w:rPr>
        <w:fldChar w:fldCharType="end"/>
      </w:r>
    </w:p>
    <w:p w:rsidR="002D1E45" w:rsidRPr="007333B4" w:rsidRDefault="002D1E45" w:rsidP="007333B4">
      <w:pPr>
        <w:spacing w:after="120" w:line="240" w:lineRule="auto"/>
        <w:jc w:val="center"/>
        <w:rPr>
          <w:rFonts w:ascii="Times New Roman" w:hAnsi="Times New Roman"/>
          <w:sz w:val="28"/>
          <w:szCs w:val="28"/>
          <w:lang w:eastAsia="ru-RU"/>
        </w:rPr>
      </w:pPr>
      <w:r w:rsidRPr="007333B4">
        <w:rPr>
          <w:rFonts w:ascii="Times New Roman" w:hAnsi="Times New Roman"/>
          <w:sz w:val="28"/>
          <w:szCs w:val="28"/>
          <w:lang w:eastAsia="ru-RU"/>
        </w:rPr>
        <w:t>Список археологических памятников города Куйбышева, стоящих на государственной охране</w:t>
      </w:r>
    </w:p>
    <w:tbl>
      <w:tblPr>
        <w:tblW w:w="10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61"/>
        <w:gridCol w:w="1134"/>
        <w:gridCol w:w="1134"/>
        <w:gridCol w:w="851"/>
        <w:gridCol w:w="900"/>
        <w:gridCol w:w="1661"/>
        <w:gridCol w:w="3959"/>
      </w:tblGrid>
      <w:tr w:rsidR="002D1E45" w:rsidRPr="007333B4" w:rsidTr="007333B4">
        <w:trPr>
          <w:trHeight w:val="170"/>
          <w:tblHeader/>
          <w:jc w:val="center"/>
        </w:trPr>
        <w:tc>
          <w:tcPr>
            <w:tcW w:w="562" w:type="dxa"/>
            <w:vAlign w:val="center"/>
          </w:tcPr>
          <w:p w:rsidR="002D1E45" w:rsidRPr="007333B4" w:rsidRDefault="002D1E45" w:rsidP="007333B4">
            <w:pPr>
              <w:spacing w:after="0" w:line="240" w:lineRule="auto"/>
              <w:ind w:hanging="8"/>
              <w:jc w:val="center"/>
              <w:rPr>
                <w:rFonts w:ascii="Times New Roman" w:hAnsi="Times New Roman"/>
                <w:bCs/>
                <w:sz w:val="20"/>
                <w:szCs w:val="20"/>
                <w:lang w:eastAsia="ru-RU"/>
              </w:rPr>
            </w:pPr>
            <w:r w:rsidRPr="007333B4">
              <w:rPr>
                <w:rFonts w:ascii="Times New Roman" w:hAnsi="Times New Roman"/>
                <w:bCs/>
                <w:sz w:val="20"/>
                <w:szCs w:val="20"/>
                <w:lang w:eastAsia="ru-RU"/>
              </w:rPr>
              <w:t>№ п/п</w:t>
            </w:r>
          </w:p>
        </w:tc>
        <w:tc>
          <w:tcPr>
            <w:tcW w:w="1134" w:type="dxa"/>
            <w:vAlign w:val="center"/>
          </w:tcPr>
          <w:p w:rsidR="002D1E45" w:rsidRPr="007333B4" w:rsidRDefault="002D1E45" w:rsidP="007333B4">
            <w:pPr>
              <w:spacing w:after="0" w:line="240" w:lineRule="auto"/>
              <w:ind w:hanging="8"/>
              <w:jc w:val="center"/>
              <w:rPr>
                <w:rFonts w:ascii="Times New Roman" w:hAnsi="Times New Roman"/>
                <w:bCs/>
                <w:sz w:val="20"/>
                <w:szCs w:val="20"/>
                <w:lang w:eastAsia="ru-RU"/>
              </w:rPr>
            </w:pPr>
            <w:r w:rsidRPr="007333B4">
              <w:rPr>
                <w:rFonts w:ascii="Times New Roman" w:hAnsi="Times New Roman"/>
                <w:bCs/>
                <w:sz w:val="20"/>
                <w:szCs w:val="20"/>
                <w:lang w:eastAsia="ru-RU"/>
              </w:rPr>
              <w:t>Наименование памятника</w:t>
            </w:r>
          </w:p>
        </w:tc>
        <w:tc>
          <w:tcPr>
            <w:tcW w:w="1134" w:type="dxa"/>
            <w:vAlign w:val="center"/>
          </w:tcPr>
          <w:p w:rsidR="002D1E45" w:rsidRPr="007333B4" w:rsidRDefault="002D1E45" w:rsidP="007333B4">
            <w:pPr>
              <w:spacing w:after="0" w:line="240" w:lineRule="auto"/>
              <w:ind w:hanging="8"/>
              <w:jc w:val="center"/>
              <w:rPr>
                <w:rFonts w:ascii="Times New Roman" w:hAnsi="Times New Roman"/>
                <w:bCs/>
                <w:sz w:val="20"/>
                <w:szCs w:val="20"/>
                <w:lang w:eastAsia="ru-RU"/>
              </w:rPr>
            </w:pPr>
            <w:r w:rsidRPr="007333B4">
              <w:rPr>
                <w:rFonts w:ascii="Times New Roman" w:hAnsi="Times New Roman"/>
                <w:bCs/>
                <w:sz w:val="20"/>
                <w:szCs w:val="20"/>
                <w:lang w:eastAsia="ru-RU"/>
              </w:rPr>
              <w:t>Тип памятника</w:t>
            </w:r>
          </w:p>
        </w:tc>
        <w:tc>
          <w:tcPr>
            <w:tcW w:w="851" w:type="dxa"/>
            <w:vAlign w:val="center"/>
          </w:tcPr>
          <w:p w:rsidR="002D1E45" w:rsidRPr="007333B4" w:rsidRDefault="002D1E45" w:rsidP="007333B4">
            <w:pPr>
              <w:spacing w:after="0" w:line="240" w:lineRule="auto"/>
              <w:ind w:hanging="8"/>
              <w:jc w:val="center"/>
              <w:rPr>
                <w:rFonts w:ascii="Times New Roman" w:hAnsi="Times New Roman"/>
                <w:bCs/>
                <w:sz w:val="20"/>
                <w:szCs w:val="20"/>
                <w:lang w:eastAsia="ru-RU"/>
              </w:rPr>
            </w:pPr>
            <w:r w:rsidRPr="007333B4">
              <w:rPr>
                <w:rFonts w:ascii="Times New Roman" w:hAnsi="Times New Roman"/>
                <w:bCs/>
                <w:sz w:val="20"/>
                <w:szCs w:val="20"/>
                <w:lang w:eastAsia="ru-RU"/>
              </w:rPr>
              <w:t>Населённый пункт</w:t>
            </w:r>
          </w:p>
        </w:tc>
        <w:tc>
          <w:tcPr>
            <w:tcW w:w="900" w:type="dxa"/>
            <w:vAlign w:val="center"/>
          </w:tcPr>
          <w:p w:rsidR="002D1E45" w:rsidRPr="007333B4" w:rsidRDefault="002D1E45" w:rsidP="007333B4">
            <w:pPr>
              <w:spacing w:after="0" w:line="240" w:lineRule="auto"/>
              <w:ind w:hanging="8"/>
              <w:jc w:val="center"/>
              <w:rPr>
                <w:rFonts w:ascii="Times New Roman" w:hAnsi="Times New Roman"/>
                <w:bCs/>
                <w:sz w:val="20"/>
                <w:szCs w:val="20"/>
                <w:lang w:eastAsia="ru-RU"/>
              </w:rPr>
            </w:pPr>
            <w:r w:rsidRPr="007333B4">
              <w:rPr>
                <w:rFonts w:ascii="Times New Roman" w:hAnsi="Times New Roman"/>
                <w:bCs/>
                <w:sz w:val="20"/>
                <w:szCs w:val="20"/>
                <w:lang w:eastAsia="ru-RU"/>
              </w:rPr>
              <w:t>Датировка</w:t>
            </w:r>
          </w:p>
        </w:tc>
        <w:tc>
          <w:tcPr>
            <w:tcW w:w="1661" w:type="dxa"/>
            <w:vAlign w:val="center"/>
          </w:tcPr>
          <w:p w:rsidR="002D1E45" w:rsidRPr="007333B4" w:rsidRDefault="002D1E45" w:rsidP="007333B4">
            <w:pPr>
              <w:spacing w:after="0" w:line="240" w:lineRule="auto"/>
              <w:ind w:hanging="8"/>
              <w:jc w:val="center"/>
              <w:rPr>
                <w:rFonts w:ascii="Times New Roman" w:hAnsi="Times New Roman"/>
                <w:bCs/>
                <w:sz w:val="20"/>
                <w:szCs w:val="20"/>
                <w:lang w:eastAsia="ru-RU"/>
              </w:rPr>
            </w:pPr>
            <w:r w:rsidRPr="007333B4">
              <w:rPr>
                <w:rFonts w:ascii="Times New Roman" w:hAnsi="Times New Roman"/>
                <w:bCs/>
                <w:sz w:val="20"/>
                <w:szCs w:val="20"/>
                <w:lang w:eastAsia="ru-RU"/>
              </w:rPr>
              <w:t>Документ о принятии на охрану</w:t>
            </w:r>
          </w:p>
        </w:tc>
        <w:tc>
          <w:tcPr>
            <w:tcW w:w="3959" w:type="dxa"/>
            <w:vAlign w:val="center"/>
          </w:tcPr>
          <w:p w:rsidR="002D1E45" w:rsidRPr="007333B4" w:rsidRDefault="002D1E45" w:rsidP="007333B4">
            <w:pPr>
              <w:spacing w:after="0" w:line="240" w:lineRule="auto"/>
              <w:ind w:hanging="8"/>
              <w:jc w:val="center"/>
              <w:rPr>
                <w:rFonts w:ascii="Times New Roman" w:hAnsi="Times New Roman"/>
                <w:bCs/>
                <w:sz w:val="20"/>
                <w:szCs w:val="20"/>
                <w:lang w:eastAsia="ru-RU"/>
              </w:rPr>
            </w:pPr>
            <w:r w:rsidRPr="007333B4">
              <w:rPr>
                <w:rFonts w:ascii="Times New Roman" w:hAnsi="Times New Roman"/>
                <w:bCs/>
                <w:sz w:val="20"/>
                <w:szCs w:val="20"/>
                <w:lang w:eastAsia="ru-RU"/>
              </w:rPr>
              <w:t>Местоположение памятника</w:t>
            </w:r>
          </w:p>
        </w:tc>
      </w:tr>
      <w:tr w:rsidR="002D1E45" w:rsidRPr="007333B4" w:rsidTr="007333B4">
        <w:trPr>
          <w:trHeight w:val="170"/>
          <w:jc w:val="center"/>
        </w:trPr>
        <w:tc>
          <w:tcPr>
            <w:tcW w:w="562" w:type="dxa"/>
            <w:vAlign w:val="center"/>
          </w:tcPr>
          <w:p w:rsidR="002D1E45" w:rsidRPr="007333B4" w:rsidRDefault="002D1E45" w:rsidP="00D05D06">
            <w:pPr>
              <w:numPr>
                <w:ilvl w:val="0"/>
                <w:numId w:val="93"/>
              </w:numPr>
              <w:spacing w:after="0" w:line="240" w:lineRule="auto"/>
              <w:contextualSpacing/>
              <w:jc w:val="center"/>
              <w:rPr>
                <w:rFonts w:ascii="Times New Roman" w:hAnsi="Times New Roman" w:cs="Calibri"/>
                <w:bCs/>
                <w:sz w:val="20"/>
                <w:szCs w:val="20"/>
                <w:lang w:eastAsia="ru-RU"/>
              </w:rPr>
            </w:pPr>
          </w:p>
        </w:tc>
        <w:tc>
          <w:tcPr>
            <w:tcW w:w="1134" w:type="dxa"/>
            <w:vAlign w:val="center"/>
          </w:tcPr>
          <w:p w:rsidR="002D1E45" w:rsidRPr="007333B4" w:rsidRDefault="002D1E45" w:rsidP="007333B4">
            <w:pPr>
              <w:spacing w:after="0" w:line="240" w:lineRule="auto"/>
              <w:ind w:hanging="8"/>
              <w:jc w:val="center"/>
              <w:rPr>
                <w:rFonts w:ascii="Times New Roman" w:hAnsi="Times New Roman"/>
                <w:sz w:val="20"/>
                <w:szCs w:val="20"/>
                <w:lang w:eastAsia="ru-RU"/>
              </w:rPr>
            </w:pPr>
            <w:r w:rsidRPr="007333B4">
              <w:rPr>
                <w:rFonts w:ascii="Times New Roman" w:hAnsi="Times New Roman"/>
                <w:sz w:val="20"/>
                <w:szCs w:val="20"/>
                <w:lang w:eastAsia="ru-RU"/>
              </w:rPr>
              <w:t>Казачья Грива-1</w:t>
            </w:r>
          </w:p>
        </w:tc>
        <w:tc>
          <w:tcPr>
            <w:tcW w:w="1134" w:type="dxa"/>
            <w:vAlign w:val="center"/>
          </w:tcPr>
          <w:p w:rsidR="002D1E45" w:rsidRPr="007333B4" w:rsidRDefault="002D1E45" w:rsidP="007333B4">
            <w:pPr>
              <w:spacing w:after="0" w:line="240" w:lineRule="auto"/>
              <w:ind w:hanging="8"/>
              <w:jc w:val="center"/>
              <w:rPr>
                <w:rFonts w:ascii="Times New Roman" w:hAnsi="Times New Roman"/>
                <w:sz w:val="20"/>
                <w:szCs w:val="20"/>
                <w:lang w:eastAsia="ru-RU"/>
              </w:rPr>
            </w:pPr>
            <w:r w:rsidRPr="007333B4">
              <w:rPr>
                <w:rFonts w:ascii="Times New Roman" w:hAnsi="Times New Roman"/>
                <w:sz w:val="20"/>
                <w:szCs w:val="20"/>
                <w:lang w:eastAsia="ru-RU"/>
              </w:rPr>
              <w:t>Одиночный курган</w:t>
            </w:r>
          </w:p>
        </w:tc>
        <w:tc>
          <w:tcPr>
            <w:tcW w:w="851" w:type="dxa"/>
            <w:vAlign w:val="center"/>
          </w:tcPr>
          <w:p w:rsidR="002D1E45" w:rsidRPr="007333B4" w:rsidRDefault="002D1E45" w:rsidP="007333B4">
            <w:pPr>
              <w:spacing w:after="0" w:line="240" w:lineRule="auto"/>
              <w:ind w:hanging="8"/>
              <w:jc w:val="center"/>
              <w:rPr>
                <w:rFonts w:ascii="Times New Roman" w:hAnsi="Times New Roman"/>
                <w:sz w:val="20"/>
                <w:szCs w:val="20"/>
                <w:lang w:eastAsia="ru-RU"/>
              </w:rPr>
            </w:pPr>
            <w:r w:rsidRPr="007333B4">
              <w:rPr>
                <w:rFonts w:ascii="Times New Roman" w:hAnsi="Times New Roman"/>
                <w:sz w:val="20"/>
                <w:szCs w:val="20"/>
                <w:lang w:eastAsia="ru-RU"/>
              </w:rPr>
              <w:t>г. Куйбышев</w:t>
            </w:r>
          </w:p>
        </w:tc>
        <w:tc>
          <w:tcPr>
            <w:tcW w:w="900" w:type="dxa"/>
            <w:vAlign w:val="center"/>
          </w:tcPr>
          <w:p w:rsidR="002D1E45" w:rsidRPr="007333B4" w:rsidRDefault="002D1E45" w:rsidP="007333B4">
            <w:pPr>
              <w:spacing w:after="0" w:line="240" w:lineRule="auto"/>
              <w:ind w:hanging="8"/>
              <w:jc w:val="center"/>
              <w:rPr>
                <w:rFonts w:ascii="Times New Roman" w:hAnsi="Times New Roman"/>
                <w:sz w:val="20"/>
                <w:szCs w:val="20"/>
                <w:lang w:eastAsia="ru-RU"/>
              </w:rPr>
            </w:pPr>
            <w:r w:rsidRPr="007333B4">
              <w:rPr>
                <w:rFonts w:ascii="Times New Roman" w:hAnsi="Times New Roman"/>
                <w:sz w:val="20"/>
                <w:szCs w:val="20"/>
                <w:lang w:eastAsia="ru-RU"/>
              </w:rPr>
              <w:t>не известна</w:t>
            </w:r>
          </w:p>
        </w:tc>
        <w:tc>
          <w:tcPr>
            <w:tcW w:w="1661" w:type="dxa"/>
            <w:vAlign w:val="center"/>
          </w:tcPr>
          <w:p w:rsidR="002D1E45" w:rsidRPr="007333B4" w:rsidRDefault="002D1E45" w:rsidP="007333B4">
            <w:pPr>
              <w:spacing w:after="0" w:line="240" w:lineRule="auto"/>
              <w:ind w:hanging="8"/>
              <w:jc w:val="center"/>
              <w:rPr>
                <w:rFonts w:ascii="Times New Roman" w:hAnsi="Times New Roman"/>
                <w:sz w:val="20"/>
                <w:szCs w:val="20"/>
                <w:lang w:eastAsia="ru-RU"/>
              </w:rPr>
            </w:pPr>
            <w:r w:rsidRPr="007333B4">
              <w:rPr>
                <w:rFonts w:ascii="Times New Roman" w:hAnsi="Times New Roman"/>
                <w:sz w:val="20"/>
                <w:szCs w:val="20"/>
                <w:lang w:eastAsia="ru-RU"/>
              </w:rPr>
              <w:t>Приказ УГО ОКН НСО от 05.03.2009 г. № 12</w:t>
            </w:r>
          </w:p>
        </w:tc>
        <w:tc>
          <w:tcPr>
            <w:tcW w:w="3959" w:type="dxa"/>
            <w:vAlign w:val="center"/>
          </w:tcPr>
          <w:p w:rsidR="002D1E45" w:rsidRPr="007333B4" w:rsidRDefault="002D1E45" w:rsidP="007333B4">
            <w:pPr>
              <w:spacing w:after="0" w:line="240" w:lineRule="auto"/>
              <w:ind w:hanging="8"/>
              <w:rPr>
                <w:rFonts w:ascii="Times New Roman" w:hAnsi="Times New Roman"/>
                <w:sz w:val="20"/>
                <w:szCs w:val="20"/>
                <w:lang w:eastAsia="ru-RU"/>
              </w:rPr>
            </w:pPr>
            <w:r w:rsidRPr="007333B4">
              <w:rPr>
                <w:rFonts w:ascii="Times New Roman" w:hAnsi="Times New Roman"/>
                <w:sz w:val="20"/>
                <w:szCs w:val="20"/>
                <w:lang w:eastAsia="ru-RU"/>
              </w:rPr>
              <w:t xml:space="preserve">В 4,7 км к СВ от СВ окраины г. Куйбышев, в 3,4 км к СЗ от с. Малинино, на надпойменной террасе левого берега бывшей р. Патрушихи (правого притока р. Оми, ныне Патрушевский канал), на ЮЗ оконечности гривы, на пашне, в 53 м к ЮВ от оси автодороги </w:t>
            </w:r>
            <w:r>
              <w:rPr>
                <w:rFonts w:ascii="Times New Roman" w:hAnsi="Times New Roman"/>
                <w:sz w:val="20"/>
                <w:szCs w:val="20"/>
                <w:lang w:eastAsia="ru-RU"/>
              </w:rPr>
              <w:t>«</w:t>
            </w:r>
            <w:r w:rsidRPr="007333B4">
              <w:rPr>
                <w:rFonts w:ascii="Times New Roman" w:hAnsi="Times New Roman"/>
                <w:sz w:val="20"/>
                <w:szCs w:val="20"/>
                <w:lang w:eastAsia="ru-RU"/>
              </w:rPr>
              <w:t>Куйбышев - Отрадненское</w:t>
            </w:r>
            <w:r>
              <w:rPr>
                <w:rFonts w:ascii="Times New Roman" w:hAnsi="Times New Roman"/>
                <w:sz w:val="20"/>
                <w:szCs w:val="20"/>
                <w:lang w:eastAsia="ru-RU"/>
              </w:rPr>
              <w:t>»</w:t>
            </w:r>
            <w:r w:rsidRPr="007333B4">
              <w:rPr>
                <w:rFonts w:ascii="Times New Roman" w:hAnsi="Times New Roman"/>
                <w:sz w:val="20"/>
                <w:szCs w:val="20"/>
                <w:lang w:eastAsia="ru-RU"/>
              </w:rPr>
              <w:t xml:space="preserve"> и в 70 м к СВ от бровки Патрушевского канала.</w:t>
            </w:r>
          </w:p>
        </w:tc>
      </w:tr>
      <w:tr w:rsidR="002D1E45" w:rsidRPr="007333B4" w:rsidTr="007333B4">
        <w:trPr>
          <w:trHeight w:val="170"/>
          <w:jc w:val="center"/>
        </w:trPr>
        <w:tc>
          <w:tcPr>
            <w:tcW w:w="562" w:type="dxa"/>
            <w:vAlign w:val="center"/>
          </w:tcPr>
          <w:p w:rsidR="002D1E45" w:rsidRPr="007333B4" w:rsidRDefault="002D1E45" w:rsidP="00D05D06">
            <w:pPr>
              <w:numPr>
                <w:ilvl w:val="0"/>
                <w:numId w:val="93"/>
              </w:numPr>
              <w:spacing w:after="0" w:line="240" w:lineRule="auto"/>
              <w:contextualSpacing/>
              <w:jc w:val="center"/>
              <w:rPr>
                <w:rFonts w:ascii="Times New Roman" w:hAnsi="Times New Roman" w:cs="Calibri"/>
                <w:bCs/>
                <w:sz w:val="20"/>
                <w:szCs w:val="20"/>
                <w:lang w:eastAsia="ru-RU"/>
              </w:rPr>
            </w:pPr>
          </w:p>
        </w:tc>
        <w:tc>
          <w:tcPr>
            <w:tcW w:w="1134" w:type="dxa"/>
            <w:vAlign w:val="center"/>
          </w:tcPr>
          <w:p w:rsidR="002D1E45" w:rsidRPr="007333B4" w:rsidRDefault="002D1E45" w:rsidP="007333B4">
            <w:pPr>
              <w:spacing w:after="0" w:line="240" w:lineRule="auto"/>
              <w:ind w:hanging="8"/>
              <w:jc w:val="center"/>
              <w:rPr>
                <w:rFonts w:ascii="Times New Roman" w:hAnsi="Times New Roman"/>
                <w:bCs/>
                <w:sz w:val="20"/>
                <w:szCs w:val="20"/>
                <w:lang w:eastAsia="ru-RU"/>
              </w:rPr>
            </w:pPr>
            <w:r w:rsidRPr="007333B4">
              <w:rPr>
                <w:rFonts w:ascii="Times New Roman" w:hAnsi="Times New Roman"/>
                <w:bCs/>
                <w:sz w:val="20"/>
                <w:szCs w:val="20"/>
                <w:lang w:eastAsia="ru-RU"/>
              </w:rPr>
              <w:t>Казачья Грива-2</w:t>
            </w:r>
          </w:p>
        </w:tc>
        <w:tc>
          <w:tcPr>
            <w:tcW w:w="1134" w:type="dxa"/>
            <w:vAlign w:val="center"/>
          </w:tcPr>
          <w:p w:rsidR="002D1E45" w:rsidRPr="007333B4" w:rsidRDefault="002D1E45" w:rsidP="007333B4">
            <w:pPr>
              <w:spacing w:after="0" w:line="240" w:lineRule="auto"/>
              <w:ind w:hanging="8"/>
              <w:jc w:val="center"/>
              <w:rPr>
                <w:rFonts w:ascii="Times New Roman" w:hAnsi="Times New Roman"/>
                <w:bCs/>
                <w:sz w:val="20"/>
                <w:szCs w:val="20"/>
                <w:lang w:eastAsia="ru-RU"/>
              </w:rPr>
            </w:pPr>
            <w:r w:rsidRPr="007333B4">
              <w:rPr>
                <w:rFonts w:ascii="Times New Roman" w:hAnsi="Times New Roman"/>
                <w:bCs/>
                <w:sz w:val="20"/>
                <w:szCs w:val="20"/>
                <w:lang w:eastAsia="ru-RU"/>
              </w:rPr>
              <w:t>Одиночный курган</w:t>
            </w:r>
          </w:p>
        </w:tc>
        <w:tc>
          <w:tcPr>
            <w:tcW w:w="851" w:type="dxa"/>
            <w:vAlign w:val="center"/>
          </w:tcPr>
          <w:p w:rsidR="002D1E45" w:rsidRPr="007333B4" w:rsidRDefault="002D1E45" w:rsidP="007333B4">
            <w:pPr>
              <w:spacing w:after="0" w:line="240" w:lineRule="auto"/>
              <w:ind w:hanging="8"/>
              <w:jc w:val="center"/>
              <w:rPr>
                <w:rFonts w:ascii="Times New Roman" w:hAnsi="Times New Roman"/>
                <w:bCs/>
                <w:sz w:val="20"/>
                <w:szCs w:val="20"/>
                <w:lang w:eastAsia="ru-RU"/>
              </w:rPr>
            </w:pPr>
            <w:r w:rsidRPr="007333B4">
              <w:rPr>
                <w:rFonts w:ascii="Times New Roman" w:hAnsi="Times New Roman"/>
                <w:bCs/>
                <w:sz w:val="20"/>
                <w:szCs w:val="20"/>
                <w:lang w:eastAsia="ru-RU"/>
              </w:rPr>
              <w:t>г. Куйбышев</w:t>
            </w:r>
          </w:p>
        </w:tc>
        <w:tc>
          <w:tcPr>
            <w:tcW w:w="900" w:type="dxa"/>
            <w:vAlign w:val="center"/>
          </w:tcPr>
          <w:p w:rsidR="002D1E45" w:rsidRPr="007333B4" w:rsidRDefault="002D1E45" w:rsidP="007333B4">
            <w:pPr>
              <w:spacing w:after="0" w:line="240" w:lineRule="auto"/>
              <w:ind w:hanging="8"/>
              <w:jc w:val="center"/>
              <w:rPr>
                <w:rFonts w:ascii="Times New Roman" w:hAnsi="Times New Roman"/>
                <w:bCs/>
                <w:sz w:val="20"/>
                <w:szCs w:val="20"/>
                <w:lang w:eastAsia="ru-RU"/>
              </w:rPr>
            </w:pPr>
            <w:r w:rsidRPr="007333B4">
              <w:rPr>
                <w:rFonts w:ascii="Times New Roman" w:hAnsi="Times New Roman"/>
                <w:bCs/>
                <w:sz w:val="20"/>
                <w:szCs w:val="20"/>
                <w:lang w:eastAsia="ru-RU"/>
              </w:rPr>
              <w:t>не известна</w:t>
            </w:r>
          </w:p>
        </w:tc>
        <w:tc>
          <w:tcPr>
            <w:tcW w:w="1661" w:type="dxa"/>
            <w:vAlign w:val="center"/>
          </w:tcPr>
          <w:p w:rsidR="002D1E45" w:rsidRPr="007333B4" w:rsidRDefault="002D1E45" w:rsidP="007333B4">
            <w:pPr>
              <w:spacing w:after="0" w:line="240" w:lineRule="auto"/>
              <w:ind w:hanging="8"/>
              <w:jc w:val="center"/>
              <w:rPr>
                <w:rFonts w:ascii="Times New Roman" w:hAnsi="Times New Roman"/>
                <w:sz w:val="20"/>
                <w:szCs w:val="20"/>
                <w:lang w:eastAsia="ru-RU"/>
              </w:rPr>
            </w:pPr>
            <w:r w:rsidRPr="007333B4">
              <w:rPr>
                <w:rFonts w:ascii="Times New Roman" w:hAnsi="Times New Roman"/>
                <w:bCs/>
                <w:sz w:val="20"/>
                <w:szCs w:val="20"/>
                <w:lang w:eastAsia="ru-RU"/>
              </w:rPr>
              <w:t>Приказ УГО ОКН НСО от 18.02.2013 г. № 23</w:t>
            </w:r>
          </w:p>
        </w:tc>
        <w:tc>
          <w:tcPr>
            <w:tcW w:w="3959" w:type="dxa"/>
            <w:vAlign w:val="center"/>
          </w:tcPr>
          <w:p w:rsidR="002D1E45" w:rsidRPr="007333B4" w:rsidRDefault="002D1E45" w:rsidP="007333B4">
            <w:pPr>
              <w:spacing w:after="0" w:line="240" w:lineRule="auto"/>
              <w:ind w:hanging="8"/>
              <w:rPr>
                <w:rFonts w:ascii="Times New Roman" w:hAnsi="Times New Roman"/>
                <w:sz w:val="20"/>
                <w:szCs w:val="20"/>
                <w:lang w:eastAsia="ru-RU"/>
              </w:rPr>
            </w:pPr>
            <w:r w:rsidRPr="007333B4">
              <w:rPr>
                <w:rFonts w:ascii="Times New Roman" w:hAnsi="Times New Roman"/>
                <w:sz w:val="20"/>
                <w:szCs w:val="20"/>
                <w:lang w:eastAsia="ru-RU"/>
              </w:rPr>
              <w:t xml:space="preserve">в 6,5 км к северо-востоку от северо-восточной окраины г. Куйбышева, на вершине гривы между Патрушевским каналом (р. Патрушихой) и автодорогой </w:t>
            </w:r>
            <w:r>
              <w:rPr>
                <w:rFonts w:ascii="Times New Roman" w:hAnsi="Times New Roman"/>
                <w:sz w:val="20"/>
                <w:szCs w:val="20"/>
                <w:lang w:eastAsia="ru-RU"/>
              </w:rPr>
              <w:t>«</w:t>
            </w:r>
            <w:r w:rsidRPr="007333B4">
              <w:rPr>
                <w:rFonts w:ascii="Times New Roman" w:hAnsi="Times New Roman"/>
                <w:sz w:val="20"/>
                <w:szCs w:val="20"/>
                <w:lang w:eastAsia="ru-RU"/>
              </w:rPr>
              <w:t>Куйбышев – Чумаково - Балман</w:t>
            </w:r>
            <w:r>
              <w:rPr>
                <w:rFonts w:ascii="Times New Roman" w:hAnsi="Times New Roman"/>
                <w:sz w:val="20"/>
                <w:szCs w:val="20"/>
                <w:lang w:eastAsia="ru-RU"/>
              </w:rPr>
              <w:t>»</w:t>
            </w:r>
            <w:r w:rsidRPr="007333B4">
              <w:rPr>
                <w:rFonts w:ascii="Times New Roman" w:hAnsi="Times New Roman"/>
                <w:sz w:val="20"/>
                <w:szCs w:val="20"/>
                <w:lang w:eastAsia="ru-RU"/>
              </w:rPr>
              <w:t>, на пашне.</w:t>
            </w:r>
          </w:p>
        </w:tc>
      </w:tr>
    </w:tbl>
    <w:p w:rsidR="002D1E45" w:rsidRPr="007333B4" w:rsidRDefault="002D1E45" w:rsidP="007333B4">
      <w:pPr>
        <w:spacing w:after="0" w:line="240" w:lineRule="auto"/>
        <w:ind w:firstLine="709"/>
        <w:contextualSpacing/>
        <w:jc w:val="both"/>
        <w:rPr>
          <w:rFonts w:ascii="Times New Roman" w:hAnsi="Times New Roman"/>
          <w:sz w:val="28"/>
          <w:szCs w:val="28"/>
          <w:lang w:eastAsia="ru-RU"/>
        </w:rPr>
      </w:pPr>
    </w:p>
    <w:p w:rsidR="002D1E45" w:rsidRPr="007333B4" w:rsidRDefault="002D1E45" w:rsidP="007333B4">
      <w:pPr>
        <w:spacing w:after="0" w:line="240" w:lineRule="auto"/>
        <w:ind w:firstLine="709"/>
        <w:contextualSpacing/>
        <w:jc w:val="both"/>
        <w:rPr>
          <w:rFonts w:ascii="Times New Roman" w:hAnsi="Times New Roman"/>
          <w:sz w:val="28"/>
          <w:szCs w:val="28"/>
          <w:lang w:eastAsia="ru-RU"/>
        </w:rPr>
      </w:pPr>
      <w:r w:rsidRPr="007333B4">
        <w:rPr>
          <w:rFonts w:ascii="Times New Roman" w:hAnsi="Times New Roman"/>
          <w:sz w:val="28"/>
          <w:szCs w:val="28"/>
          <w:lang w:eastAsia="ru-RU"/>
        </w:rPr>
        <w:t>Объекты культурного наследия подлежат государственной охране в целях предотвращения их повреждения, разрушения или уничтожения, изменения облика и интерьера, нарушения установленного порядка их использования, перемещения и предотвращения других действий, могущих причинить вред объектам культурного наследия, а также в целях их защиты от неблагоприятного воздействия окружающей среды и от иных негативных воздействий. Первоочередной задачей по сохранению объектов культурного наследия являются проведение полномасштабного, сплошного обследования территории, создание единой информационной базы объектов культурного наследия, использование новых информационных технологий в исследовании памятников.</w:t>
      </w:r>
    </w:p>
    <w:p w:rsidR="002D1E45" w:rsidRPr="007333B4" w:rsidRDefault="002D1E45" w:rsidP="007333B4">
      <w:pPr>
        <w:spacing w:after="0" w:line="240" w:lineRule="auto"/>
        <w:ind w:firstLine="709"/>
        <w:contextualSpacing/>
        <w:jc w:val="both"/>
        <w:rPr>
          <w:rFonts w:ascii="Times New Roman" w:hAnsi="Times New Roman"/>
          <w:sz w:val="28"/>
          <w:szCs w:val="28"/>
          <w:lang w:eastAsia="ru-RU"/>
        </w:rPr>
      </w:pPr>
      <w:r w:rsidRPr="007333B4">
        <w:rPr>
          <w:rFonts w:ascii="Times New Roman" w:hAnsi="Times New Roman"/>
          <w:sz w:val="28"/>
          <w:szCs w:val="28"/>
          <w:lang w:eastAsia="ru-RU"/>
        </w:rPr>
        <w:t>Мероприятия по сохранению объектов историко-культурного наследия предполагают:</w:t>
      </w:r>
    </w:p>
    <w:p w:rsidR="002D1E45" w:rsidRPr="007333B4" w:rsidRDefault="002D1E45" w:rsidP="00852938">
      <w:pPr>
        <w:numPr>
          <w:ilvl w:val="0"/>
          <w:numId w:val="94"/>
        </w:numPr>
        <w:spacing w:after="0" w:line="240" w:lineRule="auto"/>
        <w:ind w:left="567" w:hanging="283"/>
        <w:jc w:val="both"/>
        <w:rPr>
          <w:rFonts w:ascii="Times New Roman" w:hAnsi="Times New Roman"/>
          <w:bCs/>
          <w:sz w:val="28"/>
          <w:szCs w:val="28"/>
          <w:lang w:eastAsia="ru-RU"/>
        </w:rPr>
      </w:pPr>
      <w:r w:rsidRPr="007333B4">
        <w:rPr>
          <w:rFonts w:ascii="Times New Roman" w:hAnsi="Times New Roman"/>
          <w:bCs/>
          <w:sz w:val="28"/>
          <w:szCs w:val="28"/>
          <w:lang w:eastAsia="ru-RU"/>
        </w:rPr>
        <w:t>Выполнение требований использования объектов культурного наследия, земельных участков, в пределах которых располагаются объекты культурного наследия:</w:t>
      </w:r>
    </w:p>
    <w:p w:rsidR="002D1E45" w:rsidRPr="007333B4" w:rsidRDefault="002D1E45" w:rsidP="00852938">
      <w:pPr>
        <w:numPr>
          <w:ilvl w:val="0"/>
          <w:numId w:val="92"/>
        </w:numPr>
        <w:tabs>
          <w:tab w:val="left" w:pos="1134"/>
        </w:tabs>
        <w:spacing w:after="0" w:line="240" w:lineRule="auto"/>
        <w:ind w:left="1134"/>
        <w:jc w:val="both"/>
        <w:rPr>
          <w:rFonts w:ascii="Times New Roman" w:hAnsi="Times New Roman"/>
          <w:sz w:val="28"/>
          <w:szCs w:val="28"/>
          <w:lang w:eastAsia="ru-RU"/>
        </w:rPr>
      </w:pPr>
      <w:r w:rsidRPr="007333B4">
        <w:rPr>
          <w:rFonts w:ascii="Times New Roman" w:hAnsi="Times New Roman"/>
          <w:sz w:val="28"/>
          <w:szCs w:val="28"/>
          <w:lang w:eastAsia="ru-RU"/>
        </w:rPr>
        <w:t xml:space="preserve">обеспечение целостности и сохранности объектов культурного наследия; </w:t>
      </w:r>
    </w:p>
    <w:p w:rsidR="002D1E45" w:rsidRPr="007333B4" w:rsidRDefault="002D1E45" w:rsidP="00852938">
      <w:pPr>
        <w:numPr>
          <w:ilvl w:val="0"/>
          <w:numId w:val="92"/>
        </w:numPr>
        <w:tabs>
          <w:tab w:val="left" w:pos="1134"/>
        </w:tabs>
        <w:spacing w:after="0" w:line="240" w:lineRule="auto"/>
        <w:ind w:left="1134"/>
        <w:jc w:val="both"/>
        <w:rPr>
          <w:rFonts w:ascii="Times New Roman" w:hAnsi="Times New Roman"/>
          <w:sz w:val="28"/>
          <w:szCs w:val="28"/>
          <w:lang w:eastAsia="ru-RU"/>
        </w:rPr>
      </w:pPr>
      <w:r w:rsidRPr="007333B4">
        <w:rPr>
          <w:rFonts w:ascii="Times New Roman" w:hAnsi="Times New Roman"/>
          <w:sz w:val="28"/>
          <w:szCs w:val="28"/>
          <w:lang w:eastAsia="ru-RU"/>
        </w:rPr>
        <w:t>предотвращение ухудшения физического состояния объектов культурного наследия и изменения особенностей, составляющих предмет охраны, в ходе эксплуатации;</w:t>
      </w:r>
    </w:p>
    <w:p w:rsidR="002D1E45" w:rsidRPr="007333B4" w:rsidRDefault="002D1E45" w:rsidP="00852938">
      <w:pPr>
        <w:numPr>
          <w:ilvl w:val="0"/>
          <w:numId w:val="92"/>
        </w:numPr>
        <w:tabs>
          <w:tab w:val="left" w:pos="1134"/>
        </w:tabs>
        <w:spacing w:after="0" w:line="240" w:lineRule="auto"/>
        <w:ind w:left="1134"/>
        <w:jc w:val="both"/>
        <w:rPr>
          <w:rFonts w:ascii="Times New Roman" w:hAnsi="Times New Roman"/>
          <w:sz w:val="28"/>
          <w:szCs w:val="28"/>
          <w:lang w:eastAsia="ru-RU"/>
        </w:rPr>
      </w:pPr>
      <w:r w:rsidRPr="007333B4">
        <w:rPr>
          <w:rFonts w:ascii="Times New Roman" w:hAnsi="Times New Roman"/>
          <w:sz w:val="28"/>
          <w:szCs w:val="28"/>
          <w:lang w:eastAsia="ru-RU"/>
        </w:rPr>
        <w:t>проведение мероприятий по обеспечению физической сохранности объектов культурного наследия;</w:t>
      </w:r>
    </w:p>
    <w:p w:rsidR="002D1E45" w:rsidRPr="007333B4" w:rsidRDefault="002D1E45" w:rsidP="00852938">
      <w:pPr>
        <w:numPr>
          <w:ilvl w:val="0"/>
          <w:numId w:val="92"/>
        </w:numPr>
        <w:tabs>
          <w:tab w:val="left" w:pos="1134"/>
        </w:tabs>
        <w:spacing w:after="0" w:line="240" w:lineRule="auto"/>
        <w:ind w:left="1134"/>
        <w:jc w:val="both"/>
        <w:rPr>
          <w:rFonts w:ascii="Times New Roman" w:hAnsi="Times New Roman"/>
          <w:sz w:val="28"/>
          <w:szCs w:val="28"/>
          <w:lang w:eastAsia="ru-RU"/>
        </w:rPr>
      </w:pPr>
      <w:r w:rsidRPr="007333B4">
        <w:rPr>
          <w:rFonts w:ascii="Times New Roman" w:hAnsi="Times New Roman"/>
          <w:sz w:val="28"/>
          <w:szCs w:val="28"/>
          <w:lang w:eastAsia="ru-RU"/>
        </w:rPr>
        <w:t>применение мер по обеспечению сохранности объектов культурного наследия при проектировании и проведении хозяйственных работ;</w:t>
      </w:r>
    </w:p>
    <w:p w:rsidR="002D1E45" w:rsidRPr="007333B4" w:rsidRDefault="002D1E45" w:rsidP="00852938">
      <w:pPr>
        <w:numPr>
          <w:ilvl w:val="0"/>
          <w:numId w:val="92"/>
        </w:numPr>
        <w:tabs>
          <w:tab w:val="left" w:pos="1134"/>
        </w:tabs>
        <w:spacing w:after="0" w:line="240" w:lineRule="auto"/>
        <w:ind w:left="1134"/>
        <w:jc w:val="both"/>
        <w:rPr>
          <w:rFonts w:ascii="Times New Roman" w:hAnsi="Times New Roman"/>
          <w:sz w:val="28"/>
          <w:szCs w:val="28"/>
          <w:lang w:eastAsia="ru-RU"/>
        </w:rPr>
      </w:pPr>
      <w:r w:rsidRPr="007333B4">
        <w:rPr>
          <w:rFonts w:ascii="Times New Roman" w:hAnsi="Times New Roman"/>
          <w:sz w:val="28"/>
          <w:szCs w:val="28"/>
          <w:lang w:eastAsia="ru-RU"/>
        </w:rPr>
        <w:t>обеспечение режима содержания земель историко-культурного назначения;</w:t>
      </w:r>
    </w:p>
    <w:p w:rsidR="002D1E45" w:rsidRPr="007333B4" w:rsidRDefault="002D1E45" w:rsidP="00852938">
      <w:pPr>
        <w:numPr>
          <w:ilvl w:val="0"/>
          <w:numId w:val="92"/>
        </w:numPr>
        <w:tabs>
          <w:tab w:val="left" w:pos="1134"/>
        </w:tabs>
        <w:spacing w:after="0" w:line="240" w:lineRule="auto"/>
        <w:ind w:left="1134"/>
        <w:jc w:val="both"/>
        <w:rPr>
          <w:rFonts w:ascii="Times New Roman" w:hAnsi="Times New Roman"/>
          <w:sz w:val="28"/>
          <w:szCs w:val="28"/>
          <w:lang w:eastAsia="ru-RU"/>
        </w:rPr>
      </w:pPr>
      <w:r w:rsidRPr="007333B4">
        <w:rPr>
          <w:rFonts w:ascii="Times New Roman" w:hAnsi="Times New Roman"/>
          <w:sz w:val="28"/>
          <w:szCs w:val="28"/>
          <w:lang w:eastAsia="ru-RU"/>
        </w:rPr>
        <w:t>обеспечение доступа к объектам культурного наследия;</w:t>
      </w:r>
    </w:p>
    <w:p w:rsidR="002D1E45" w:rsidRPr="007333B4" w:rsidRDefault="002D1E45" w:rsidP="00852938">
      <w:pPr>
        <w:numPr>
          <w:ilvl w:val="0"/>
          <w:numId w:val="92"/>
        </w:numPr>
        <w:tabs>
          <w:tab w:val="left" w:pos="1134"/>
        </w:tabs>
        <w:spacing w:after="0" w:line="240" w:lineRule="auto"/>
        <w:ind w:left="1134"/>
        <w:jc w:val="both"/>
        <w:rPr>
          <w:rFonts w:ascii="Times New Roman" w:hAnsi="Times New Roman"/>
          <w:sz w:val="28"/>
          <w:szCs w:val="28"/>
          <w:lang w:eastAsia="ru-RU"/>
        </w:rPr>
      </w:pPr>
      <w:r w:rsidRPr="007333B4">
        <w:rPr>
          <w:rFonts w:ascii="Times New Roman" w:hAnsi="Times New Roman"/>
          <w:sz w:val="28"/>
          <w:szCs w:val="28"/>
          <w:lang w:eastAsia="ru-RU"/>
        </w:rPr>
        <w:t>иные требования, установленные законодательством.</w:t>
      </w:r>
    </w:p>
    <w:p w:rsidR="002D1E45" w:rsidRPr="007333B4" w:rsidRDefault="002D1E45" w:rsidP="00852938">
      <w:pPr>
        <w:numPr>
          <w:ilvl w:val="0"/>
          <w:numId w:val="94"/>
        </w:numPr>
        <w:spacing w:after="0" w:line="240" w:lineRule="auto"/>
        <w:ind w:left="567" w:hanging="283"/>
        <w:jc w:val="both"/>
        <w:rPr>
          <w:rFonts w:ascii="Times New Roman" w:hAnsi="Times New Roman"/>
          <w:bCs/>
          <w:sz w:val="28"/>
          <w:szCs w:val="28"/>
          <w:lang w:eastAsia="ru-RU"/>
        </w:rPr>
      </w:pPr>
      <w:r w:rsidRPr="007333B4">
        <w:rPr>
          <w:rFonts w:ascii="Times New Roman" w:hAnsi="Times New Roman"/>
          <w:bCs/>
          <w:sz w:val="28"/>
          <w:szCs w:val="28"/>
          <w:lang w:eastAsia="ru-RU"/>
        </w:rPr>
        <w:t>На территории объектов культурного наследия запрещается проведение земляных, строительных, мелиоративных, хозяйственных и иных работ за исключением работ по сохранению данного памятника и (или) его территории, а также хозяйственной деятельности, не нарушающей целостности памятников и не создающей угрозы его повреждения, разрушения или уничтожения.</w:t>
      </w:r>
    </w:p>
    <w:p w:rsidR="002D1E45" w:rsidRPr="007333B4" w:rsidRDefault="002D1E45" w:rsidP="00852938">
      <w:pPr>
        <w:numPr>
          <w:ilvl w:val="0"/>
          <w:numId w:val="94"/>
        </w:numPr>
        <w:spacing w:after="0" w:line="240" w:lineRule="auto"/>
        <w:ind w:left="567" w:hanging="283"/>
        <w:jc w:val="both"/>
        <w:rPr>
          <w:rFonts w:ascii="Times New Roman" w:hAnsi="Times New Roman"/>
          <w:sz w:val="28"/>
          <w:szCs w:val="28"/>
          <w:lang w:eastAsia="ru-RU"/>
        </w:rPr>
      </w:pPr>
      <w:r w:rsidRPr="007333B4">
        <w:rPr>
          <w:rFonts w:ascii="Times New Roman" w:hAnsi="Times New Roman"/>
          <w:bCs/>
          <w:sz w:val="28"/>
          <w:szCs w:val="28"/>
          <w:lang w:eastAsia="ru-RU"/>
        </w:rPr>
        <w:t xml:space="preserve">Мероприятия по обеспечению физической сохранности объектов культурного наследия (работы по сохранению памятников) включают в себя ремонтно-реставрационные, научно-исследовательские, изыскательские, проектные и производственные работы, работы по консервации, приспособлению объектов культурного наследия для современного использования, научно-методическое руководство, технический и авторский надзор, в исключительных случаях – спасательные археологические полевые работы (археологические раскопки). </w:t>
      </w:r>
      <w:r w:rsidRPr="007333B4">
        <w:rPr>
          <w:rFonts w:ascii="Times New Roman" w:hAnsi="Times New Roman"/>
          <w:sz w:val="28"/>
          <w:szCs w:val="28"/>
          <w:lang w:eastAsia="ru-RU"/>
        </w:rPr>
        <w:t>Работы по сохранению памятников проводятся по согласованию с </w:t>
      </w:r>
      <w:r w:rsidRPr="00EE0012">
        <w:rPr>
          <w:rFonts w:ascii="Times New Roman" w:hAnsi="Times New Roman"/>
          <w:sz w:val="28"/>
          <w:szCs w:val="28"/>
          <w:lang w:eastAsia="ru-RU"/>
        </w:rPr>
        <w:t>Государственн</w:t>
      </w:r>
      <w:r>
        <w:rPr>
          <w:rFonts w:ascii="Times New Roman" w:hAnsi="Times New Roman"/>
          <w:sz w:val="28"/>
          <w:szCs w:val="28"/>
          <w:lang w:eastAsia="ru-RU"/>
        </w:rPr>
        <w:t>ой</w:t>
      </w:r>
      <w:r w:rsidRPr="00EE0012">
        <w:rPr>
          <w:rFonts w:ascii="Times New Roman" w:hAnsi="Times New Roman"/>
          <w:sz w:val="28"/>
          <w:szCs w:val="28"/>
          <w:lang w:eastAsia="ru-RU"/>
        </w:rPr>
        <w:t xml:space="preserve"> инспекци</w:t>
      </w:r>
      <w:r>
        <w:rPr>
          <w:rFonts w:ascii="Times New Roman" w:hAnsi="Times New Roman"/>
          <w:sz w:val="28"/>
          <w:szCs w:val="28"/>
          <w:lang w:eastAsia="ru-RU"/>
        </w:rPr>
        <w:t>ей</w:t>
      </w:r>
      <w:r w:rsidRPr="00EE0012">
        <w:rPr>
          <w:rFonts w:ascii="Times New Roman" w:hAnsi="Times New Roman"/>
          <w:sz w:val="28"/>
          <w:szCs w:val="28"/>
          <w:lang w:eastAsia="ru-RU"/>
        </w:rPr>
        <w:t xml:space="preserve"> по охране объектов культурного наследия Новосибирской области</w:t>
      </w:r>
      <w:r w:rsidRPr="007333B4">
        <w:rPr>
          <w:rFonts w:ascii="Times New Roman" w:hAnsi="Times New Roman"/>
          <w:sz w:val="28"/>
          <w:szCs w:val="28"/>
          <w:lang w:eastAsia="ru-RU"/>
        </w:rPr>
        <w:t>.</w:t>
      </w:r>
    </w:p>
    <w:p w:rsidR="002D1E45" w:rsidRPr="007333B4" w:rsidRDefault="002D1E45" w:rsidP="00852938">
      <w:pPr>
        <w:numPr>
          <w:ilvl w:val="0"/>
          <w:numId w:val="94"/>
        </w:numPr>
        <w:spacing w:after="0" w:line="240" w:lineRule="auto"/>
        <w:ind w:left="567" w:hanging="283"/>
        <w:jc w:val="both"/>
        <w:rPr>
          <w:rFonts w:ascii="Times New Roman" w:hAnsi="Times New Roman"/>
          <w:bCs/>
          <w:sz w:val="28"/>
          <w:szCs w:val="28"/>
          <w:lang w:eastAsia="ru-RU"/>
        </w:rPr>
      </w:pPr>
      <w:r w:rsidRPr="007333B4">
        <w:rPr>
          <w:rFonts w:ascii="Times New Roman" w:hAnsi="Times New Roman"/>
          <w:bCs/>
          <w:sz w:val="28"/>
          <w:szCs w:val="28"/>
          <w:lang w:eastAsia="ru-RU"/>
        </w:rPr>
        <w:t>Меры по обеспечению сохранности объектов культурного наследия при проектировании и проведении землеустроительных, земляных, строительных, мелиоративных, хозяйственных и иных работ (далее – хозяйственных работ) включают в себя:</w:t>
      </w:r>
    </w:p>
    <w:p w:rsidR="002D1E45" w:rsidRPr="007333B4" w:rsidRDefault="002D1E45" w:rsidP="00852938">
      <w:pPr>
        <w:numPr>
          <w:ilvl w:val="0"/>
          <w:numId w:val="92"/>
        </w:numPr>
        <w:tabs>
          <w:tab w:val="left" w:pos="1134"/>
        </w:tabs>
        <w:spacing w:after="0" w:line="240" w:lineRule="auto"/>
        <w:ind w:left="1134"/>
        <w:jc w:val="both"/>
        <w:rPr>
          <w:rFonts w:ascii="Times New Roman" w:hAnsi="Times New Roman"/>
          <w:sz w:val="28"/>
          <w:szCs w:val="28"/>
          <w:lang w:eastAsia="ru-RU"/>
        </w:rPr>
      </w:pPr>
      <w:r w:rsidRPr="007333B4">
        <w:rPr>
          <w:rFonts w:ascii="Times New Roman" w:hAnsi="Times New Roman"/>
          <w:sz w:val="28"/>
          <w:szCs w:val="28"/>
          <w:lang w:eastAsia="ru-RU"/>
        </w:rPr>
        <w:t>разработку разделов об обеспечении сохранности объектов культурного наследия в проектах проведения хозяйственных работ;</w:t>
      </w:r>
    </w:p>
    <w:p w:rsidR="002D1E45" w:rsidRPr="007333B4" w:rsidRDefault="002D1E45" w:rsidP="00852938">
      <w:pPr>
        <w:numPr>
          <w:ilvl w:val="0"/>
          <w:numId w:val="92"/>
        </w:numPr>
        <w:tabs>
          <w:tab w:val="left" w:pos="1134"/>
        </w:tabs>
        <w:spacing w:after="0" w:line="240" w:lineRule="auto"/>
        <w:ind w:left="1134"/>
        <w:jc w:val="both"/>
        <w:rPr>
          <w:rFonts w:ascii="Times New Roman" w:hAnsi="Times New Roman"/>
          <w:sz w:val="28"/>
          <w:szCs w:val="28"/>
          <w:lang w:eastAsia="ru-RU"/>
        </w:rPr>
      </w:pPr>
      <w:r w:rsidRPr="007333B4">
        <w:rPr>
          <w:rFonts w:ascii="Times New Roman" w:hAnsi="Times New Roman"/>
          <w:sz w:val="28"/>
          <w:szCs w:val="28"/>
          <w:lang w:eastAsia="ru-RU"/>
        </w:rPr>
        <w:t>включение в состав указанных разделов мероприятий по обеспечению физической сохранности объектов культурного наследия;</w:t>
      </w:r>
    </w:p>
    <w:p w:rsidR="002D1E45" w:rsidRPr="007333B4" w:rsidRDefault="002D1E45" w:rsidP="00852938">
      <w:pPr>
        <w:numPr>
          <w:ilvl w:val="0"/>
          <w:numId w:val="92"/>
        </w:numPr>
        <w:tabs>
          <w:tab w:val="left" w:pos="1134"/>
        </w:tabs>
        <w:spacing w:after="0" w:line="240" w:lineRule="auto"/>
        <w:ind w:left="1134"/>
        <w:jc w:val="both"/>
        <w:rPr>
          <w:rFonts w:ascii="Times New Roman" w:hAnsi="Times New Roman"/>
          <w:sz w:val="28"/>
          <w:szCs w:val="28"/>
          <w:lang w:eastAsia="ru-RU"/>
        </w:rPr>
      </w:pPr>
      <w:r w:rsidRPr="007333B4">
        <w:rPr>
          <w:rFonts w:ascii="Times New Roman" w:hAnsi="Times New Roman"/>
          <w:sz w:val="28"/>
          <w:szCs w:val="28"/>
          <w:lang w:eastAsia="ru-RU"/>
        </w:rPr>
        <w:t>согласование проектирования и проведения работ с </w:t>
      </w:r>
      <w:r w:rsidRPr="00EE0012">
        <w:rPr>
          <w:rFonts w:ascii="Times New Roman" w:hAnsi="Times New Roman"/>
          <w:sz w:val="28"/>
          <w:szCs w:val="28"/>
          <w:lang w:eastAsia="ru-RU"/>
        </w:rPr>
        <w:t>Государственн</w:t>
      </w:r>
      <w:r>
        <w:rPr>
          <w:rFonts w:ascii="Times New Roman" w:hAnsi="Times New Roman"/>
          <w:sz w:val="28"/>
          <w:szCs w:val="28"/>
          <w:lang w:eastAsia="ru-RU"/>
        </w:rPr>
        <w:t>ой</w:t>
      </w:r>
      <w:r w:rsidRPr="00EE0012">
        <w:rPr>
          <w:rFonts w:ascii="Times New Roman" w:hAnsi="Times New Roman"/>
          <w:sz w:val="28"/>
          <w:szCs w:val="28"/>
          <w:lang w:eastAsia="ru-RU"/>
        </w:rPr>
        <w:t xml:space="preserve"> инспекци</w:t>
      </w:r>
      <w:r>
        <w:rPr>
          <w:rFonts w:ascii="Times New Roman" w:hAnsi="Times New Roman"/>
          <w:sz w:val="28"/>
          <w:szCs w:val="28"/>
          <w:lang w:eastAsia="ru-RU"/>
        </w:rPr>
        <w:t>ей</w:t>
      </w:r>
      <w:r w:rsidRPr="00EE0012">
        <w:rPr>
          <w:rFonts w:ascii="Times New Roman" w:hAnsi="Times New Roman"/>
          <w:sz w:val="28"/>
          <w:szCs w:val="28"/>
          <w:lang w:eastAsia="ru-RU"/>
        </w:rPr>
        <w:t xml:space="preserve"> по охране объектов культурного наследия</w:t>
      </w:r>
      <w:r w:rsidRPr="007333B4">
        <w:rPr>
          <w:rFonts w:ascii="Times New Roman" w:hAnsi="Times New Roman"/>
          <w:sz w:val="28"/>
          <w:szCs w:val="28"/>
          <w:lang w:eastAsia="ru-RU"/>
        </w:rPr>
        <w:t xml:space="preserve"> Новосибирской области;</w:t>
      </w:r>
    </w:p>
    <w:p w:rsidR="002D1E45" w:rsidRPr="007333B4" w:rsidRDefault="002D1E45" w:rsidP="00852938">
      <w:pPr>
        <w:numPr>
          <w:ilvl w:val="0"/>
          <w:numId w:val="92"/>
        </w:numPr>
        <w:tabs>
          <w:tab w:val="left" w:pos="1134"/>
        </w:tabs>
        <w:spacing w:after="0" w:line="240" w:lineRule="auto"/>
        <w:ind w:left="1134"/>
        <w:jc w:val="both"/>
        <w:rPr>
          <w:rFonts w:ascii="Times New Roman" w:hAnsi="Times New Roman"/>
          <w:sz w:val="28"/>
          <w:szCs w:val="28"/>
          <w:lang w:eastAsia="ru-RU"/>
        </w:rPr>
      </w:pPr>
      <w:r w:rsidRPr="007333B4">
        <w:rPr>
          <w:rFonts w:ascii="Times New Roman" w:hAnsi="Times New Roman"/>
          <w:sz w:val="28"/>
          <w:szCs w:val="28"/>
          <w:lang w:eastAsia="ru-RU"/>
        </w:rPr>
        <w:t>приостановку хозяйственных работ в случае обнаружения объекта, обладающего признаками объекта культурного наследия (ранее неизвестного памятника археологии);</w:t>
      </w:r>
    </w:p>
    <w:p w:rsidR="002D1E45" w:rsidRPr="007333B4" w:rsidRDefault="002D1E45" w:rsidP="00852938">
      <w:pPr>
        <w:numPr>
          <w:ilvl w:val="0"/>
          <w:numId w:val="92"/>
        </w:numPr>
        <w:tabs>
          <w:tab w:val="left" w:pos="1134"/>
        </w:tabs>
        <w:spacing w:after="0" w:line="240" w:lineRule="auto"/>
        <w:ind w:left="1134"/>
        <w:jc w:val="both"/>
        <w:rPr>
          <w:rFonts w:ascii="Times New Roman" w:hAnsi="Times New Roman"/>
          <w:sz w:val="28"/>
          <w:szCs w:val="28"/>
          <w:lang w:eastAsia="ru-RU"/>
        </w:rPr>
      </w:pPr>
      <w:r w:rsidRPr="007333B4">
        <w:rPr>
          <w:rFonts w:ascii="Times New Roman" w:hAnsi="Times New Roman"/>
          <w:sz w:val="28"/>
          <w:szCs w:val="28"/>
          <w:lang w:eastAsia="ru-RU"/>
        </w:rPr>
        <w:t xml:space="preserve">информирование об обнаруженном объекте </w:t>
      </w:r>
      <w:r w:rsidRPr="00EE0012">
        <w:rPr>
          <w:rFonts w:ascii="Times New Roman" w:hAnsi="Times New Roman"/>
          <w:sz w:val="28"/>
          <w:szCs w:val="28"/>
          <w:lang w:eastAsia="ru-RU"/>
        </w:rPr>
        <w:t>Государственн</w:t>
      </w:r>
      <w:r>
        <w:rPr>
          <w:rFonts w:ascii="Times New Roman" w:hAnsi="Times New Roman"/>
          <w:sz w:val="28"/>
          <w:szCs w:val="28"/>
          <w:lang w:eastAsia="ru-RU"/>
        </w:rPr>
        <w:t>ой</w:t>
      </w:r>
      <w:r w:rsidRPr="00EE0012">
        <w:rPr>
          <w:rFonts w:ascii="Times New Roman" w:hAnsi="Times New Roman"/>
          <w:sz w:val="28"/>
          <w:szCs w:val="28"/>
          <w:lang w:eastAsia="ru-RU"/>
        </w:rPr>
        <w:t xml:space="preserve"> инспекци</w:t>
      </w:r>
      <w:r>
        <w:rPr>
          <w:rFonts w:ascii="Times New Roman" w:hAnsi="Times New Roman"/>
          <w:sz w:val="28"/>
          <w:szCs w:val="28"/>
          <w:lang w:eastAsia="ru-RU"/>
        </w:rPr>
        <w:t>и</w:t>
      </w:r>
      <w:r w:rsidRPr="00EE0012">
        <w:rPr>
          <w:rFonts w:ascii="Times New Roman" w:hAnsi="Times New Roman"/>
          <w:sz w:val="28"/>
          <w:szCs w:val="28"/>
          <w:lang w:eastAsia="ru-RU"/>
        </w:rPr>
        <w:t xml:space="preserve"> по охране объектов культурного наследия</w:t>
      </w:r>
      <w:r w:rsidRPr="007333B4">
        <w:rPr>
          <w:rFonts w:ascii="Times New Roman" w:hAnsi="Times New Roman"/>
          <w:sz w:val="28"/>
          <w:szCs w:val="28"/>
          <w:lang w:eastAsia="ru-RU"/>
        </w:rPr>
        <w:t xml:space="preserve"> Новосибирской области;</w:t>
      </w:r>
    </w:p>
    <w:p w:rsidR="002D1E45" w:rsidRPr="007333B4" w:rsidRDefault="002D1E45" w:rsidP="00852938">
      <w:pPr>
        <w:numPr>
          <w:ilvl w:val="0"/>
          <w:numId w:val="92"/>
        </w:numPr>
        <w:tabs>
          <w:tab w:val="left" w:pos="1134"/>
        </w:tabs>
        <w:spacing w:after="0" w:line="240" w:lineRule="auto"/>
        <w:ind w:left="1134"/>
        <w:jc w:val="both"/>
        <w:rPr>
          <w:rFonts w:ascii="Times New Roman" w:hAnsi="Times New Roman"/>
          <w:sz w:val="28"/>
          <w:szCs w:val="28"/>
          <w:lang w:eastAsia="ru-RU"/>
        </w:rPr>
      </w:pPr>
      <w:r w:rsidRPr="007333B4">
        <w:rPr>
          <w:rFonts w:ascii="Times New Roman" w:hAnsi="Times New Roman"/>
          <w:sz w:val="28"/>
          <w:szCs w:val="28"/>
          <w:lang w:eastAsia="ru-RU"/>
        </w:rPr>
        <w:t xml:space="preserve">возобновление приостановленных работ по письменному разрешению </w:t>
      </w:r>
      <w:r w:rsidRPr="00EE0012">
        <w:rPr>
          <w:rFonts w:ascii="Times New Roman" w:hAnsi="Times New Roman"/>
          <w:sz w:val="28"/>
          <w:szCs w:val="28"/>
          <w:lang w:eastAsia="ru-RU"/>
        </w:rPr>
        <w:t>Государственн</w:t>
      </w:r>
      <w:r>
        <w:rPr>
          <w:rFonts w:ascii="Times New Roman" w:hAnsi="Times New Roman"/>
          <w:sz w:val="28"/>
          <w:szCs w:val="28"/>
          <w:lang w:eastAsia="ru-RU"/>
        </w:rPr>
        <w:t>ой</w:t>
      </w:r>
      <w:r w:rsidRPr="00EE0012">
        <w:rPr>
          <w:rFonts w:ascii="Times New Roman" w:hAnsi="Times New Roman"/>
          <w:sz w:val="28"/>
          <w:szCs w:val="28"/>
          <w:lang w:eastAsia="ru-RU"/>
        </w:rPr>
        <w:t xml:space="preserve"> инспекци</w:t>
      </w:r>
      <w:r>
        <w:rPr>
          <w:rFonts w:ascii="Times New Roman" w:hAnsi="Times New Roman"/>
          <w:sz w:val="28"/>
          <w:szCs w:val="28"/>
          <w:lang w:eastAsia="ru-RU"/>
        </w:rPr>
        <w:t>и</w:t>
      </w:r>
      <w:r w:rsidRPr="00EE0012">
        <w:rPr>
          <w:rFonts w:ascii="Times New Roman" w:hAnsi="Times New Roman"/>
          <w:sz w:val="28"/>
          <w:szCs w:val="28"/>
          <w:lang w:eastAsia="ru-RU"/>
        </w:rPr>
        <w:t xml:space="preserve"> по охране объектов культурного наследия</w:t>
      </w:r>
      <w:r w:rsidRPr="007333B4">
        <w:rPr>
          <w:rFonts w:ascii="Times New Roman" w:hAnsi="Times New Roman"/>
          <w:sz w:val="28"/>
          <w:szCs w:val="28"/>
          <w:lang w:eastAsia="ru-RU"/>
        </w:rPr>
        <w:t xml:space="preserve"> Новосибирской области, после устранения угрозы нарушения целостности и сохранности выявленного объекта культурного наследия.</w:t>
      </w:r>
    </w:p>
    <w:p w:rsidR="002D1E45" w:rsidRPr="007333B4" w:rsidRDefault="002D1E45" w:rsidP="00852938">
      <w:pPr>
        <w:numPr>
          <w:ilvl w:val="0"/>
          <w:numId w:val="94"/>
        </w:numPr>
        <w:spacing w:after="0" w:line="240" w:lineRule="auto"/>
        <w:ind w:left="567" w:hanging="283"/>
        <w:jc w:val="both"/>
        <w:rPr>
          <w:rFonts w:ascii="Times New Roman" w:hAnsi="Times New Roman"/>
          <w:bCs/>
          <w:sz w:val="28"/>
          <w:szCs w:val="28"/>
          <w:lang w:eastAsia="ru-RU"/>
        </w:rPr>
      </w:pPr>
      <w:r w:rsidRPr="007333B4">
        <w:rPr>
          <w:rFonts w:ascii="Times New Roman" w:hAnsi="Times New Roman"/>
          <w:bCs/>
          <w:sz w:val="28"/>
          <w:szCs w:val="28"/>
          <w:lang w:eastAsia="ru-RU"/>
        </w:rPr>
        <w:t>Условия доступа к объекту культурного наследия устанавливаются собственником объекта культурного наследия по согласованию с </w:t>
      </w:r>
      <w:r w:rsidRPr="00EE0012">
        <w:rPr>
          <w:rFonts w:ascii="Times New Roman" w:hAnsi="Times New Roman"/>
          <w:sz w:val="28"/>
          <w:szCs w:val="28"/>
          <w:lang w:eastAsia="ru-RU"/>
        </w:rPr>
        <w:t>Государственн</w:t>
      </w:r>
      <w:r>
        <w:rPr>
          <w:rFonts w:ascii="Times New Roman" w:hAnsi="Times New Roman"/>
          <w:sz w:val="28"/>
          <w:szCs w:val="28"/>
          <w:lang w:eastAsia="ru-RU"/>
        </w:rPr>
        <w:t>ой</w:t>
      </w:r>
      <w:r w:rsidRPr="00EE0012">
        <w:rPr>
          <w:rFonts w:ascii="Times New Roman" w:hAnsi="Times New Roman"/>
          <w:sz w:val="28"/>
          <w:szCs w:val="28"/>
          <w:lang w:eastAsia="ru-RU"/>
        </w:rPr>
        <w:t xml:space="preserve"> инспекци</w:t>
      </w:r>
      <w:r>
        <w:rPr>
          <w:rFonts w:ascii="Times New Roman" w:hAnsi="Times New Roman"/>
          <w:sz w:val="28"/>
          <w:szCs w:val="28"/>
          <w:lang w:eastAsia="ru-RU"/>
        </w:rPr>
        <w:t>ей</w:t>
      </w:r>
      <w:r w:rsidRPr="00EE0012">
        <w:rPr>
          <w:rFonts w:ascii="Times New Roman" w:hAnsi="Times New Roman"/>
          <w:sz w:val="28"/>
          <w:szCs w:val="28"/>
          <w:lang w:eastAsia="ru-RU"/>
        </w:rPr>
        <w:t xml:space="preserve"> по охране объектов культурного наследия</w:t>
      </w:r>
      <w:r w:rsidRPr="007333B4">
        <w:rPr>
          <w:rFonts w:ascii="Times New Roman" w:hAnsi="Times New Roman"/>
          <w:bCs/>
          <w:sz w:val="28"/>
          <w:szCs w:val="28"/>
          <w:lang w:eastAsia="ru-RU"/>
        </w:rPr>
        <w:t xml:space="preserve"> </w:t>
      </w:r>
      <w:r w:rsidRPr="007333B4">
        <w:rPr>
          <w:rFonts w:ascii="Times New Roman" w:hAnsi="Times New Roman"/>
          <w:sz w:val="28"/>
          <w:szCs w:val="28"/>
          <w:lang w:eastAsia="ru-RU"/>
        </w:rPr>
        <w:t xml:space="preserve">Новосибирской </w:t>
      </w:r>
      <w:r w:rsidRPr="007333B4">
        <w:rPr>
          <w:rFonts w:ascii="Times New Roman" w:hAnsi="Times New Roman"/>
          <w:bCs/>
          <w:sz w:val="28"/>
          <w:szCs w:val="28"/>
          <w:lang w:eastAsia="ru-RU"/>
        </w:rPr>
        <w:t>области.</w:t>
      </w:r>
    </w:p>
    <w:p w:rsidR="002D1E45" w:rsidRPr="007333B4" w:rsidRDefault="002D1E45" w:rsidP="00852938">
      <w:pPr>
        <w:numPr>
          <w:ilvl w:val="0"/>
          <w:numId w:val="94"/>
        </w:numPr>
        <w:spacing w:after="0" w:line="240" w:lineRule="auto"/>
        <w:ind w:left="567" w:hanging="283"/>
        <w:jc w:val="both"/>
        <w:rPr>
          <w:rFonts w:ascii="Times New Roman" w:hAnsi="Times New Roman"/>
          <w:sz w:val="28"/>
          <w:szCs w:val="28"/>
          <w:lang w:eastAsia="ru-RU"/>
        </w:rPr>
      </w:pPr>
      <w:r w:rsidRPr="007333B4">
        <w:rPr>
          <w:rFonts w:ascii="Times New Roman" w:hAnsi="Times New Roman"/>
          <w:bCs/>
          <w:sz w:val="28"/>
          <w:szCs w:val="28"/>
          <w:lang w:eastAsia="ru-RU"/>
        </w:rPr>
        <w:t>Собственники и пользователи земельных участков, в границах которых находятся объекты археологического наследия, уведомляются о расположении археологических объек</w:t>
      </w:r>
      <w:r w:rsidRPr="007333B4">
        <w:rPr>
          <w:rFonts w:ascii="Times New Roman" w:hAnsi="Times New Roman"/>
          <w:sz w:val="28"/>
          <w:szCs w:val="28"/>
          <w:lang w:eastAsia="ru-RU"/>
        </w:rPr>
        <w:t>тов на принадлежащих им земельных участках, о требованиях к использованию данных земельных участков.</w:t>
      </w:r>
    </w:p>
    <w:p w:rsidR="002D1E45" w:rsidRPr="007333B4" w:rsidRDefault="002D1E45" w:rsidP="00852938">
      <w:pPr>
        <w:numPr>
          <w:ilvl w:val="0"/>
          <w:numId w:val="94"/>
        </w:numPr>
        <w:spacing w:after="0" w:line="240" w:lineRule="auto"/>
        <w:ind w:left="567" w:hanging="283"/>
        <w:jc w:val="both"/>
        <w:rPr>
          <w:rFonts w:ascii="Times New Roman" w:hAnsi="Times New Roman"/>
          <w:sz w:val="28"/>
          <w:szCs w:val="28"/>
          <w:lang w:eastAsia="ru-RU"/>
        </w:rPr>
      </w:pPr>
      <w:r w:rsidRPr="007333B4">
        <w:rPr>
          <w:rFonts w:ascii="Times New Roman" w:hAnsi="Times New Roman"/>
          <w:sz w:val="28"/>
          <w:szCs w:val="28"/>
          <w:lang w:eastAsia="ru-RU"/>
        </w:rPr>
        <w:t>Собственники (пользователи) объектов культурного наследия, земельных участков, в пределах которых находятся объекты археологического наследия, заключают охранные обязательства с </w:t>
      </w:r>
      <w:r w:rsidRPr="00EE0012">
        <w:rPr>
          <w:rFonts w:ascii="Times New Roman" w:hAnsi="Times New Roman"/>
          <w:sz w:val="28"/>
          <w:szCs w:val="28"/>
          <w:lang w:eastAsia="ru-RU"/>
        </w:rPr>
        <w:t>Государственн</w:t>
      </w:r>
      <w:r>
        <w:rPr>
          <w:rFonts w:ascii="Times New Roman" w:hAnsi="Times New Roman"/>
          <w:sz w:val="28"/>
          <w:szCs w:val="28"/>
          <w:lang w:eastAsia="ru-RU"/>
        </w:rPr>
        <w:t>ой</w:t>
      </w:r>
      <w:r w:rsidRPr="00EE0012">
        <w:rPr>
          <w:rFonts w:ascii="Times New Roman" w:hAnsi="Times New Roman"/>
          <w:sz w:val="28"/>
          <w:szCs w:val="28"/>
          <w:lang w:eastAsia="ru-RU"/>
        </w:rPr>
        <w:t xml:space="preserve"> инспекци</w:t>
      </w:r>
      <w:r>
        <w:rPr>
          <w:rFonts w:ascii="Times New Roman" w:hAnsi="Times New Roman"/>
          <w:sz w:val="28"/>
          <w:szCs w:val="28"/>
          <w:lang w:eastAsia="ru-RU"/>
        </w:rPr>
        <w:t>ей</w:t>
      </w:r>
      <w:r w:rsidRPr="00EE0012">
        <w:rPr>
          <w:rFonts w:ascii="Times New Roman" w:hAnsi="Times New Roman"/>
          <w:sz w:val="28"/>
          <w:szCs w:val="28"/>
          <w:lang w:eastAsia="ru-RU"/>
        </w:rPr>
        <w:t xml:space="preserve"> по охране объектов культурного наследия</w:t>
      </w:r>
      <w:r w:rsidRPr="007333B4">
        <w:rPr>
          <w:rFonts w:ascii="Times New Roman" w:hAnsi="Times New Roman"/>
          <w:sz w:val="28"/>
          <w:szCs w:val="28"/>
          <w:lang w:eastAsia="ru-RU"/>
        </w:rPr>
        <w:t xml:space="preserve"> Новосибирской области.</w:t>
      </w:r>
    </w:p>
    <w:p w:rsidR="002D1E45" w:rsidRPr="004D2F4E" w:rsidRDefault="002D1E45" w:rsidP="00852938">
      <w:pPr>
        <w:numPr>
          <w:ilvl w:val="0"/>
          <w:numId w:val="68"/>
        </w:numPr>
        <w:spacing w:after="0" w:line="240" w:lineRule="auto"/>
        <w:ind w:left="567" w:hanging="283"/>
        <w:jc w:val="both"/>
        <w:rPr>
          <w:rFonts w:ascii="Times New Roman" w:hAnsi="Times New Roman"/>
          <w:sz w:val="28"/>
          <w:szCs w:val="28"/>
          <w:lang w:eastAsia="ru-RU"/>
        </w:rPr>
      </w:pPr>
      <w:r w:rsidRPr="007333B4">
        <w:rPr>
          <w:rFonts w:ascii="Times New Roman" w:hAnsi="Times New Roman"/>
          <w:sz w:val="28"/>
          <w:szCs w:val="28"/>
          <w:lang w:eastAsia="ru-RU"/>
        </w:rPr>
        <w:t>В целях обеспечения сохранности объекта культурного наследия в его исторической среде на сопряжённой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w:t>
      </w:r>
    </w:p>
    <w:p w:rsidR="002D1E45" w:rsidRPr="004D2F4E" w:rsidRDefault="002D1E45" w:rsidP="004D2F4E">
      <w:pPr>
        <w:spacing w:after="0" w:line="240" w:lineRule="auto"/>
        <w:ind w:firstLine="567"/>
        <w:contextualSpacing/>
        <w:jc w:val="both"/>
        <w:rPr>
          <w:rFonts w:ascii="Times New Roman" w:hAnsi="Times New Roman"/>
          <w:sz w:val="28"/>
          <w:szCs w:val="28"/>
          <w:lang w:eastAsia="ru-RU"/>
        </w:rPr>
      </w:pPr>
    </w:p>
    <w:p w:rsidR="002D1E45" w:rsidRDefault="002D1E45" w:rsidP="00CE30F8">
      <w:pPr>
        <w:spacing w:after="0" w:line="240" w:lineRule="auto"/>
        <w:ind w:firstLine="709"/>
        <w:contextualSpacing/>
        <w:jc w:val="both"/>
        <w:rPr>
          <w:rFonts w:ascii="Times New Roman" w:hAnsi="Times New Roman"/>
          <w:sz w:val="28"/>
          <w:szCs w:val="28"/>
          <w:lang w:eastAsia="ru-RU"/>
        </w:rPr>
      </w:pPr>
    </w:p>
    <w:p w:rsidR="002D1E45" w:rsidRDefault="002D1E45" w:rsidP="000F0095">
      <w:pPr>
        <w:spacing w:after="0" w:line="240" w:lineRule="auto"/>
        <w:rPr>
          <w:sz w:val="2"/>
          <w:szCs w:val="2"/>
          <w:highlight w:val="yellow"/>
        </w:rPr>
      </w:pPr>
    </w:p>
    <w:p w:rsidR="002D1E45" w:rsidRPr="00205787" w:rsidRDefault="002D1E45" w:rsidP="000F0095">
      <w:pPr>
        <w:spacing w:after="0" w:line="240" w:lineRule="auto"/>
        <w:rPr>
          <w:vanish/>
          <w:sz w:val="2"/>
          <w:szCs w:val="2"/>
        </w:rPr>
      </w:pPr>
    </w:p>
    <w:p w:rsidR="002D1E45" w:rsidRDefault="002D1E45" w:rsidP="00852938">
      <w:pPr>
        <w:pStyle w:val="Heading2"/>
        <w:numPr>
          <w:ilvl w:val="1"/>
          <w:numId w:val="65"/>
        </w:numPr>
        <w:tabs>
          <w:tab w:val="clear" w:pos="794"/>
          <w:tab w:val="num" w:pos="993"/>
        </w:tabs>
        <w:ind w:left="993" w:hanging="633"/>
        <w:jc w:val="both"/>
        <w:rPr>
          <w:b/>
        </w:rPr>
      </w:pPr>
      <w:bookmarkStart w:id="39" w:name="_Toc84936010"/>
      <w:r w:rsidRPr="003D022D">
        <w:rPr>
          <w:b/>
        </w:rPr>
        <w:t>Природно-климатические условия</w:t>
      </w:r>
      <w:bookmarkEnd w:id="39"/>
      <w:r w:rsidRPr="00FA4765">
        <w:rPr>
          <w:b/>
        </w:rPr>
        <w:t xml:space="preserve"> </w:t>
      </w:r>
    </w:p>
    <w:p w:rsidR="002D1E45" w:rsidRPr="00310832" w:rsidRDefault="002D1E45" w:rsidP="00310832">
      <w:pPr>
        <w:spacing w:after="0" w:line="240" w:lineRule="auto"/>
        <w:rPr>
          <w:lang w:eastAsia="ru-RU"/>
        </w:rPr>
      </w:pPr>
    </w:p>
    <w:p w:rsidR="002D1E45" w:rsidRDefault="002D1E45" w:rsidP="00852938">
      <w:pPr>
        <w:pStyle w:val="Heading3"/>
        <w:numPr>
          <w:ilvl w:val="2"/>
          <w:numId w:val="65"/>
        </w:numPr>
        <w:tabs>
          <w:tab w:val="left" w:pos="1276"/>
        </w:tabs>
        <w:spacing w:before="120"/>
        <w:ind w:left="1276" w:hanging="556"/>
        <w:jc w:val="both"/>
        <w:rPr>
          <w:rFonts w:ascii="Times New Roman" w:hAnsi="Times New Roman"/>
          <w:sz w:val="28"/>
        </w:rPr>
      </w:pPr>
      <w:bookmarkStart w:id="40" w:name="_Toc373678836"/>
      <w:bookmarkStart w:id="41" w:name="_Toc373678839"/>
      <w:bookmarkStart w:id="42" w:name="_Toc337125112"/>
      <w:bookmarkStart w:id="43" w:name="_Toc340212793"/>
      <w:bookmarkStart w:id="44" w:name="_Toc342835904"/>
      <w:bookmarkStart w:id="45" w:name="_Toc345316142"/>
      <w:bookmarkStart w:id="46" w:name="_Toc345510091"/>
      <w:bookmarkStart w:id="47" w:name="_Toc373678841"/>
      <w:bookmarkStart w:id="48" w:name="_Toc391717229"/>
      <w:bookmarkStart w:id="49" w:name="_Toc391717334"/>
      <w:bookmarkStart w:id="50" w:name="_Toc397187964"/>
      <w:bookmarkStart w:id="51" w:name="_Toc397241472"/>
      <w:bookmarkStart w:id="52" w:name="_Toc402346720"/>
      <w:bookmarkStart w:id="53" w:name="_Toc403824886"/>
      <w:bookmarkStart w:id="54" w:name="_Toc404432594"/>
      <w:bookmarkStart w:id="55" w:name="_Toc419370690"/>
      <w:bookmarkStart w:id="56" w:name="_Toc419973658"/>
      <w:bookmarkStart w:id="57" w:name="_Toc442008390"/>
      <w:bookmarkStart w:id="58" w:name="_Toc442523031"/>
      <w:bookmarkStart w:id="59" w:name="_Toc442523289"/>
      <w:bookmarkStart w:id="60" w:name="_Toc84936011"/>
      <w:bookmarkStart w:id="61" w:name="_Toc337125111"/>
      <w:bookmarkStart w:id="62" w:name="_Toc340212792"/>
      <w:bookmarkStart w:id="63" w:name="_Toc342835903"/>
      <w:bookmarkStart w:id="64" w:name="_Toc345316141"/>
      <w:bookmarkStart w:id="65" w:name="_Toc345510090"/>
      <w:bookmarkStart w:id="66" w:name="_Toc373678840"/>
      <w:bookmarkStart w:id="67" w:name="_Toc391717228"/>
      <w:bookmarkStart w:id="68" w:name="_Toc391717333"/>
      <w:bookmarkStart w:id="69" w:name="_Toc397187963"/>
      <w:bookmarkStart w:id="70" w:name="_Toc397241471"/>
      <w:bookmarkStart w:id="71" w:name="_Toc402346719"/>
      <w:bookmarkStart w:id="72" w:name="_Toc403824885"/>
      <w:bookmarkStart w:id="73" w:name="_Toc404432593"/>
      <w:bookmarkStart w:id="74" w:name="_Toc419370689"/>
      <w:bookmarkStart w:id="75" w:name="_Toc419973657"/>
      <w:bookmarkStart w:id="76" w:name="_Toc442008389"/>
      <w:bookmarkStart w:id="77" w:name="_Toc442523030"/>
      <w:bookmarkStart w:id="78" w:name="_Toc442523288"/>
      <w:bookmarkEnd w:id="40"/>
      <w:bookmarkEnd w:id="41"/>
      <w:r w:rsidRPr="00310832">
        <w:rPr>
          <w:rFonts w:ascii="Times New Roman" w:hAnsi="Times New Roman"/>
          <w:sz w:val="28"/>
        </w:rPr>
        <w:t>Климат</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p>
    <w:p w:rsidR="002D1E45" w:rsidRPr="00BD7A89" w:rsidRDefault="002D1E45" w:rsidP="00BD7A89"/>
    <w:p w:rsidR="002D1E45" w:rsidRPr="007A3481" w:rsidRDefault="002D1E45" w:rsidP="007A3481">
      <w:pPr>
        <w:spacing w:after="0" w:line="240" w:lineRule="auto"/>
        <w:ind w:firstLine="709"/>
        <w:jc w:val="both"/>
        <w:rPr>
          <w:rFonts w:ascii="Times New Roman" w:hAnsi="Times New Roman"/>
          <w:sz w:val="28"/>
          <w:szCs w:val="24"/>
          <w:lang w:eastAsia="ru-RU"/>
        </w:rPr>
      </w:pPr>
      <w:r w:rsidRPr="007A3481">
        <w:rPr>
          <w:rFonts w:ascii="Times New Roman" w:hAnsi="Times New Roman"/>
          <w:sz w:val="28"/>
          <w:szCs w:val="24"/>
          <w:lang w:eastAsia="ru-RU"/>
        </w:rPr>
        <w:t xml:space="preserve">Климат города Куйбышева является резко континентальным с суровой и продолжительной зимой, жарким коротким летом, короткой и бурно протекающей весной и короткой осенью. Средняя температура января составляет -20,7 </w:t>
      </w:r>
      <w:r>
        <w:rPr>
          <w:rFonts w:ascii="Times New Roman" w:hAnsi="Times New Roman"/>
          <w:sz w:val="28"/>
          <w:szCs w:val="24"/>
          <w:lang w:eastAsia="ru-RU"/>
        </w:rPr>
        <w:t>°С</w:t>
      </w:r>
      <w:r w:rsidRPr="007A3481">
        <w:rPr>
          <w:rFonts w:ascii="Times New Roman" w:hAnsi="Times New Roman"/>
          <w:sz w:val="28"/>
          <w:szCs w:val="24"/>
          <w:lang w:eastAsia="ru-RU"/>
        </w:rPr>
        <w:t xml:space="preserve">, средняя температура июля +21,5 </w:t>
      </w:r>
      <w:r>
        <w:rPr>
          <w:rFonts w:ascii="Times New Roman" w:hAnsi="Times New Roman"/>
          <w:sz w:val="28"/>
          <w:szCs w:val="24"/>
          <w:lang w:eastAsia="ru-RU"/>
        </w:rPr>
        <w:t>°С</w:t>
      </w:r>
      <w:r w:rsidRPr="007A3481">
        <w:rPr>
          <w:rFonts w:ascii="Times New Roman" w:hAnsi="Times New Roman"/>
          <w:sz w:val="28"/>
          <w:szCs w:val="24"/>
          <w:lang w:eastAsia="ru-RU"/>
        </w:rPr>
        <w:t xml:space="preserve">. Заморозки в северной части начинаются в первой декаде сентября. </w:t>
      </w:r>
    </w:p>
    <w:p w:rsidR="002D1E45" w:rsidRPr="007A3481" w:rsidRDefault="002D1E45" w:rsidP="007A3481">
      <w:pPr>
        <w:spacing w:after="0" w:line="240" w:lineRule="auto"/>
        <w:ind w:firstLine="709"/>
        <w:jc w:val="both"/>
        <w:rPr>
          <w:rFonts w:ascii="Times New Roman" w:hAnsi="Times New Roman"/>
          <w:sz w:val="28"/>
          <w:szCs w:val="24"/>
          <w:lang w:eastAsia="ru-RU"/>
        </w:rPr>
      </w:pPr>
      <w:r w:rsidRPr="007A3481">
        <w:rPr>
          <w:rFonts w:ascii="Times New Roman" w:hAnsi="Times New Roman"/>
          <w:sz w:val="28"/>
          <w:szCs w:val="24"/>
          <w:lang w:eastAsia="ru-RU"/>
        </w:rPr>
        <w:t>Господствующими ветрами являются юго-западные, следующее место занимают южные и западные.</w:t>
      </w:r>
    </w:p>
    <w:p w:rsidR="002D1E45" w:rsidRPr="007A3481" w:rsidRDefault="002D1E45" w:rsidP="007A3481">
      <w:pPr>
        <w:spacing w:after="0" w:line="240" w:lineRule="auto"/>
        <w:ind w:firstLine="709"/>
        <w:jc w:val="both"/>
        <w:rPr>
          <w:rFonts w:ascii="Times New Roman" w:hAnsi="Times New Roman"/>
          <w:sz w:val="28"/>
          <w:szCs w:val="24"/>
          <w:lang w:eastAsia="ru-RU"/>
        </w:rPr>
      </w:pPr>
      <w:r w:rsidRPr="007A3481">
        <w:rPr>
          <w:rFonts w:ascii="Times New Roman" w:hAnsi="Times New Roman"/>
          <w:sz w:val="28"/>
          <w:szCs w:val="24"/>
          <w:lang w:eastAsia="ru-RU"/>
        </w:rPr>
        <w:t>Средние скорости ветра в районе г.</w:t>
      </w:r>
      <w:r>
        <w:rPr>
          <w:rFonts w:ascii="Times New Roman" w:hAnsi="Times New Roman"/>
          <w:sz w:val="28"/>
          <w:szCs w:val="24"/>
          <w:lang w:eastAsia="ru-RU"/>
        </w:rPr>
        <w:t xml:space="preserve"> </w:t>
      </w:r>
      <w:r w:rsidRPr="007A3481">
        <w:rPr>
          <w:rFonts w:ascii="Times New Roman" w:hAnsi="Times New Roman"/>
          <w:sz w:val="28"/>
          <w:szCs w:val="24"/>
          <w:lang w:eastAsia="ru-RU"/>
        </w:rPr>
        <w:t>Куйбышева невелики. Наибольшие скорости свойственны господствующим ветрам. Летом скорость юго-западных ветров меньше, чем в остальные времена года.</w:t>
      </w:r>
    </w:p>
    <w:p w:rsidR="002D1E45" w:rsidRPr="007A3481" w:rsidRDefault="002D1E45" w:rsidP="007A3481">
      <w:pPr>
        <w:spacing w:after="0" w:line="240" w:lineRule="auto"/>
        <w:ind w:firstLine="709"/>
        <w:jc w:val="both"/>
        <w:rPr>
          <w:rFonts w:ascii="Times New Roman" w:hAnsi="Times New Roman"/>
          <w:sz w:val="28"/>
          <w:szCs w:val="24"/>
          <w:lang w:eastAsia="ru-RU"/>
        </w:rPr>
      </w:pPr>
      <w:r w:rsidRPr="007A3481">
        <w:rPr>
          <w:rFonts w:ascii="Times New Roman" w:hAnsi="Times New Roman"/>
          <w:sz w:val="28"/>
          <w:szCs w:val="24"/>
          <w:lang w:eastAsia="ru-RU"/>
        </w:rPr>
        <w:t>Средняя годовая скорость ветра 5,8 м/с.</w:t>
      </w:r>
    </w:p>
    <w:p w:rsidR="002D1E45" w:rsidRPr="007A3481" w:rsidRDefault="002D1E45" w:rsidP="007A3481">
      <w:pPr>
        <w:spacing w:after="0" w:line="240" w:lineRule="auto"/>
        <w:ind w:firstLine="709"/>
        <w:jc w:val="both"/>
        <w:rPr>
          <w:rFonts w:ascii="Times New Roman" w:hAnsi="Times New Roman"/>
          <w:sz w:val="28"/>
          <w:szCs w:val="24"/>
          <w:lang w:eastAsia="ru-RU"/>
        </w:rPr>
      </w:pPr>
      <w:r w:rsidRPr="007A3481">
        <w:rPr>
          <w:rFonts w:ascii="Times New Roman" w:hAnsi="Times New Roman"/>
          <w:sz w:val="28"/>
          <w:szCs w:val="24"/>
          <w:lang w:eastAsia="ru-RU"/>
        </w:rPr>
        <w:t>Наиболее часто наблюдаются ветры со скоростью от 2 до 5 м/сек., на долю которых падает примерно 50</w:t>
      </w:r>
      <w:r>
        <w:rPr>
          <w:rFonts w:ascii="Times New Roman" w:hAnsi="Times New Roman"/>
          <w:sz w:val="28"/>
          <w:szCs w:val="24"/>
          <w:lang w:eastAsia="ru-RU"/>
        </w:rPr>
        <w:t xml:space="preserve"> </w:t>
      </w:r>
      <w:r w:rsidRPr="007A3481">
        <w:rPr>
          <w:rFonts w:ascii="Times New Roman" w:hAnsi="Times New Roman"/>
          <w:sz w:val="28"/>
          <w:szCs w:val="24"/>
          <w:lang w:eastAsia="ru-RU"/>
        </w:rPr>
        <w:t>% всех ветров. Значительно реже наблюдаются ветры со скоростью 6-10 м/сек. Повторяемость скоростей от 11 до 15 м/с мала, особенно летом. Очень редко наблюдаются скорости более 15 м/с. Случаи затишья и самых слабых ветров – 25-35</w:t>
      </w:r>
      <w:r>
        <w:rPr>
          <w:rFonts w:ascii="Times New Roman" w:hAnsi="Times New Roman"/>
          <w:sz w:val="28"/>
          <w:szCs w:val="24"/>
          <w:lang w:eastAsia="ru-RU"/>
        </w:rPr>
        <w:t xml:space="preserve"> </w:t>
      </w:r>
      <w:r w:rsidRPr="007A3481">
        <w:rPr>
          <w:rFonts w:ascii="Times New Roman" w:hAnsi="Times New Roman"/>
          <w:sz w:val="28"/>
          <w:szCs w:val="24"/>
          <w:lang w:eastAsia="ru-RU"/>
        </w:rPr>
        <w:t>%. Один раз в год возможна скорость ветра 22 м/с, за 5 лет – 26 м/с, за 15 лет – 27 м/с и 20 лет – 28 м/с. Повторяемость штилей в январе</w:t>
      </w:r>
      <w:r>
        <w:rPr>
          <w:rFonts w:ascii="Times New Roman" w:hAnsi="Times New Roman"/>
          <w:sz w:val="28"/>
          <w:szCs w:val="24"/>
          <w:lang w:eastAsia="ru-RU"/>
        </w:rPr>
        <w:t xml:space="preserve"> – </w:t>
      </w:r>
      <w:r w:rsidRPr="007A3481">
        <w:rPr>
          <w:rFonts w:ascii="Times New Roman" w:hAnsi="Times New Roman"/>
          <w:sz w:val="28"/>
          <w:szCs w:val="24"/>
          <w:lang w:eastAsia="ru-RU"/>
        </w:rPr>
        <w:t>4</w:t>
      </w:r>
      <w:r>
        <w:rPr>
          <w:rFonts w:ascii="Times New Roman" w:hAnsi="Times New Roman"/>
          <w:sz w:val="28"/>
          <w:szCs w:val="24"/>
          <w:lang w:eastAsia="ru-RU"/>
        </w:rPr>
        <w:t xml:space="preserve"> </w:t>
      </w:r>
      <w:r w:rsidRPr="007A3481">
        <w:rPr>
          <w:rFonts w:ascii="Times New Roman" w:hAnsi="Times New Roman"/>
          <w:sz w:val="28"/>
          <w:szCs w:val="24"/>
          <w:lang w:eastAsia="ru-RU"/>
        </w:rPr>
        <w:t>%, в июле – 10</w:t>
      </w:r>
      <w:r>
        <w:rPr>
          <w:rFonts w:ascii="Times New Roman" w:hAnsi="Times New Roman"/>
          <w:sz w:val="28"/>
          <w:szCs w:val="24"/>
          <w:lang w:eastAsia="ru-RU"/>
        </w:rPr>
        <w:t> </w:t>
      </w:r>
      <w:r w:rsidRPr="007A3481">
        <w:rPr>
          <w:rFonts w:ascii="Times New Roman" w:hAnsi="Times New Roman"/>
          <w:sz w:val="28"/>
          <w:szCs w:val="24"/>
          <w:lang w:eastAsia="ru-RU"/>
        </w:rPr>
        <w:t>%.</w:t>
      </w:r>
    </w:p>
    <w:p w:rsidR="002D1E45" w:rsidRPr="007A3481" w:rsidRDefault="002D1E45" w:rsidP="007A3481">
      <w:pPr>
        <w:spacing w:after="0" w:line="240" w:lineRule="auto"/>
        <w:ind w:firstLine="709"/>
        <w:jc w:val="both"/>
        <w:rPr>
          <w:rFonts w:ascii="Times New Roman" w:hAnsi="Times New Roman"/>
          <w:sz w:val="28"/>
          <w:szCs w:val="24"/>
          <w:lang w:eastAsia="ru-RU"/>
        </w:rPr>
      </w:pPr>
      <w:r w:rsidRPr="007A3481">
        <w:rPr>
          <w:rFonts w:ascii="Times New Roman" w:hAnsi="Times New Roman"/>
          <w:sz w:val="28"/>
          <w:szCs w:val="24"/>
          <w:lang w:eastAsia="ru-RU"/>
        </w:rPr>
        <w:t>Максимальное количество осадков 549 мм, минимальное – 223 мм. Распределение осадков неравномерно: за три летних месяца (VI-VII-VIII) их выпадает 180 мм, т.е. 36,5</w:t>
      </w:r>
      <w:r>
        <w:rPr>
          <w:rFonts w:ascii="Times New Roman" w:hAnsi="Times New Roman"/>
          <w:sz w:val="28"/>
          <w:szCs w:val="24"/>
          <w:lang w:eastAsia="ru-RU"/>
        </w:rPr>
        <w:t xml:space="preserve"> </w:t>
      </w:r>
      <w:r w:rsidRPr="007A3481">
        <w:rPr>
          <w:rFonts w:ascii="Times New Roman" w:hAnsi="Times New Roman"/>
          <w:sz w:val="28"/>
          <w:szCs w:val="24"/>
          <w:lang w:eastAsia="ru-RU"/>
        </w:rPr>
        <w:t>% от общего городского количества. Максимальное суточное количество осадков составляет 78 мм.</w:t>
      </w:r>
    </w:p>
    <w:p w:rsidR="002D1E45" w:rsidRPr="007A3481" w:rsidRDefault="002D1E45" w:rsidP="007A3481">
      <w:pPr>
        <w:spacing w:after="0" w:line="240" w:lineRule="auto"/>
        <w:ind w:firstLine="709"/>
        <w:jc w:val="both"/>
        <w:rPr>
          <w:rFonts w:ascii="Times New Roman" w:hAnsi="Times New Roman"/>
          <w:sz w:val="28"/>
          <w:szCs w:val="24"/>
          <w:lang w:eastAsia="ru-RU"/>
        </w:rPr>
      </w:pPr>
      <w:r w:rsidRPr="007A3481">
        <w:rPr>
          <w:rFonts w:ascii="Times New Roman" w:hAnsi="Times New Roman"/>
          <w:sz w:val="28"/>
          <w:szCs w:val="24"/>
          <w:lang w:eastAsia="ru-RU"/>
        </w:rPr>
        <w:t>Характерной особенностью климата является цикличное чередование влажных и сухих периодов продолжительностью 3-5 лет.</w:t>
      </w:r>
    </w:p>
    <w:p w:rsidR="002D1E45" w:rsidRPr="007A3481" w:rsidRDefault="002D1E45" w:rsidP="007A3481">
      <w:pPr>
        <w:spacing w:after="0" w:line="240" w:lineRule="auto"/>
        <w:ind w:firstLine="709"/>
        <w:jc w:val="both"/>
        <w:rPr>
          <w:rFonts w:ascii="Times New Roman" w:hAnsi="Times New Roman"/>
          <w:sz w:val="28"/>
          <w:szCs w:val="24"/>
          <w:lang w:eastAsia="ru-RU"/>
        </w:rPr>
      </w:pPr>
      <w:r w:rsidRPr="007A3481">
        <w:rPr>
          <w:rFonts w:ascii="Times New Roman" w:hAnsi="Times New Roman"/>
          <w:sz w:val="28"/>
          <w:szCs w:val="24"/>
          <w:lang w:eastAsia="ru-RU"/>
        </w:rPr>
        <w:t>Снежный покров в г. Куйбышеве лежит в среднем 169 дней.</w:t>
      </w:r>
    </w:p>
    <w:p w:rsidR="002D1E45" w:rsidRPr="007A3481" w:rsidRDefault="002D1E45" w:rsidP="007A3481">
      <w:pPr>
        <w:spacing w:after="0" w:line="240" w:lineRule="auto"/>
        <w:ind w:firstLine="709"/>
        <w:jc w:val="both"/>
        <w:rPr>
          <w:rFonts w:ascii="Times New Roman" w:hAnsi="Times New Roman"/>
          <w:sz w:val="28"/>
          <w:szCs w:val="24"/>
          <w:lang w:eastAsia="ru-RU"/>
        </w:rPr>
      </w:pPr>
      <w:r w:rsidRPr="007A3481">
        <w:rPr>
          <w:rFonts w:ascii="Times New Roman" w:hAnsi="Times New Roman"/>
          <w:sz w:val="28"/>
          <w:szCs w:val="24"/>
          <w:lang w:eastAsia="ru-RU"/>
        </w:rPr>
        <w:t>Количество тепла при рассеянной радиации, поступившее за сутки, равно 1310 ккал/м</w:t>
      </w:r>
      <w:r w:rsidRPr="00FC55B4">
        <w:rPr>
          <w:rFonts w:ascii="Times New Roman" w:hAnsi="Times New Roman"/>
          <w:sz w:val="28"/>
          <w:szCs w:val="24"/>
          <w:vertAlign w:val="superscript"/>
          <w:lang w:eastAsia="ru-RU"/>
        </w:rPr>
        <w:t>2</w:t>
      </w:r>
      <w:r w:rsidRPr="007A3481">
        <w:rPr>
          <w:rFonts w:ascii="Times New Roman" w:hAnsi="Times New Roman"/>
          <w:sz w:val="28"/>
          <w:szCs w:val="24"/>
          <w:lang w:eastAsia="ru-RU"/>
        </w:rPr>
        <w:t>, максимально за час – 110 ккал/м</w:t>
      </w:r>
      <w:r w:rsidRPr="00DE38C1">
        <w:rPr>
          <w:rFonts w:ascii="Times New Roman" w:hAnsi="Times New Roman"/>
          <w:sz w:val="28"/>
          <w:szCs w:val="24"/>
          <w:vertAlign w:val="superscript"/>
          <w:lang w:eastAsia="ru-RU"/>
        </w:rPr>
        <w:t>2</w:t>
      </w:r>
      <w:r w:rsidRPr="007A3481">
        <w:rPr>
          <w:rFonts w:ascii="Times New Roman" w:hAnsi="Times New Roman"/>
          <w:sz w:val="28"/>
          <w:szCs w:val="24"/>
          <w:lang w:eastAsia="ru-RU"/>
        </w:rPr>
        <w:t>.</w:t>
      </w:r>
    </w:p>
    <w:p w:rsidR="002D1E45" w:rsidRPr="007A3481" w:rsidRDefault="002D1E45" w:rsidP="007A3481">
      <w:pPr>
        <w:spacing w:after="0" w:line="240" w:lineRule="auto"/>
        <w:ind w:firstLine="709"/>
        <w:jc w:val="both"/>
        <w:rPr>
          <w:rFonts w:ascii="Times New Roman" w:hAnsi="Times New Roman"/>
          <w:sz w:val="28"/>
          <w:szCs w:val="24"/>
          <w:lang w:eastAsia="ru-RU"/>
        </w:rPr>
      </w:pPr>
      <w:r w:rsidRPr="007A3481">
        <w:rPr>
          <w:rFonts w:ascii="Times New Roman" w:hAnsi="Times New Roman"/>
          <w:sz w:val="28"/>
          <w:szCs w:val="24"/>
          <w:lang w:eastAsia="ru-RU"/>
        </w:rPr>
        <w:t>Гололёдные явления повторяются редко, менее 5 дней в году. Число дней в году с изморозью значительно больше -- от 20 до 50.</w:t>
      </w:r>
    </w:p>
    <w:p w:rsidR="002D1E45" w:rsidRPr="007A3481" w:rsidRDefault="002D1E45" w:rsidP="007A3481">
      <w:pPr>
        <w:spacing w:after="0" w:line="240" w:lineRule="auto"/>
        <w:ind w:firstLine="709"/>
        <w:jc w:val="both"/>
        <w:rPr>
          <w:rFonts w:ascii="Times New Roman" w:hAnsi="Times New Roman"/>
          <w:sz w:val="28"/>
          <w:szCs w:val="24"/>
          <w:lang w:eastAsia="ru-RU"/>
        </w:rPr>
      </w:pPr>
      <w:r w:rsidRPr="007A3481">
        <w:rPr>
          <w:rFonts w:ascii="Times New Roman" w:hAnsi="Times New Roman"/>
          <w:sz w:val="28"/>
          <w:szCs w:val="24"/>
          <w:lang w:eastAsia="ru-RU"/>
        </w:rPr>
        <w:t>Мокрый снег наблюдается от 10 до 15 дней в году. Максимальный диаметр отложения на проводах гололёда до 15 мм, изморози – менее 20 мм, мокрого снега</w:t>
      </w:r>
      <w:r>
        <w:rPr>
          <w:rFonts w:ascii="Times New Roman" w:hAnsi="Times New Roman"/>
          <w:sz w:val="28"/>
          <w:szCs w:val="24"/>
          <w:lang w:eastAsia="ru-RU"/>
        </w:rPr>
        <w:t xml:space="preserve"> – </w:t>
      </w:r>
      <w:r w:rsidRPr="007A3481">
        <w:rPr>
          <w:rFonts w:ascii="Times New Roman" w:hAnsi="Times New Roman"/>
          <w:sz w:val="28"/>
          <w:szCs w:val="24"/>
          <w:lang w:eastAsia="ru-RU"/>
        </w:rPr>
        <w:t>до 30</w:t>
      </w:r>
      <w:r>
        <w:rPr>
          <w:rFonts w:ascii="Times New Roman" w:hAnsi="Times New Roman"/>
          <w:sz w:val="28"/>
          <w:szCs w:val="24"/>
          <w:lang w:eastAsia="ru-RU"/>
        </w:rPr>
        <w:t xml:space="preserve"> </w:t>
      </w:r>
      <w:r w:rsidRPr="007A3481">
        <w:rPr>
          <w:rFonts w:ascii="Times New Roman" w:hAnsi="Times New Roman"/>
          <w:sz w:val="28"/>
          <w:szCs w:val="24"/>
          <w:lang w:eastAsia="ru-RU"/>
        </w:rPr>
        <w:t>мм.</w:t>
      </w:r>
    </w:p>
    <w:p w:rsidR="002D1E45" w:rsidRDefault="002D1E45" w:rsidP="007A3481">
      <w:pPr>
        <w:spacing w:after="0" w:line="240" w:lineRule="auto"/>
        <w:ind w:firstLine="709"/>
        <w:jc w:val="both"/>
        <w:rPr>
          <w:rFonts w:ascii="Times New Roman" w:hAnsi="Times New Roman"/>
          <w:sz w:val="28"/>
          <w:szCs w:val="24"/>
          <w:lang w:eastAsia="ru-RU"/>
        </w:rPr>
      </w:pPr>
      <w:r w:rsidRPr="007A3481">
        <w:rPr>
          <w:rFonts w:ascii="Times New Roman" w:hAnsi="Times New Roman"/>
          <w:sz w:val="28"/>
          <w:szCs w:val="24"/>
          <w:lang w:eastAsia="ru-RU"/>
        </w:rPr>
        <w:t>По С</w:t>
      </w:r>
      <w:r>
        <w:rPr>
          <w:rFonts w:ascii="Times New Roman" w:hAnsi="Times New Roman"/>
          <w:sz w:val="28"/>
          <w:szCs w:val="24"/>
          <w:lang w:eastAsia="ru-RU"/>
        </w:rPr>
        <w:t>Н</w:t>
      </w:r>
      <w:r w:rsidRPr="007A3481">
        <w:rPr>
          <w:rFonts w:ascii="Times New Roman" w:hAnsi="Times New Roman"/>
          <w:sz w:val="28"/>
          <w:szCs w:val="24"/>
          <w:lang w:eastAsia="ru-RU"/>
        </w:rPr>
        <w:t>иП 23-01-99 «Строительная климатология» территория г. Куйбышева относится ко I</w:t>
      </w:r>
      <w:r w:rsidRPr="007A3481">
        <w:rPr>
          <w:rFonts w:ascii="Times New Roman" w:hAnsi="Times New Roman"/>
          <w:sz w:val="28"/>
          <w:szCs w:val="24"/>
          <w:lang w:val="en-US" w:eastAsia="ru-RU"/>
        </w:rPr>
        <w:t>I</w:t>
      </w:r>
      <w:r w:rsidRPr="007A3481">
        <w:rPr>
          <w:rFonts w:ascii="Times New Roman" w:hAnsi="Times New Roman"/>
          <w:sz w:val="28"/>
          <w:szCs w:val="24"/>
          <w:lang w:eastAsia="ru-RU"/>
        </w:rPr>
        <w:t xml:space="preserve"> климатическому району подрайону А.</w:t>
      </w:r>
      <w:r>
        <w:rPr>
          <w:rFonts w:ascii="Times New Roman" w:hAnsi="Times New Roman"/>
          <w:sz w:val="28"/>
          <w:szCs w:val="24"/>
          <w:lang w:eastAsia="ru-RU"/>
        </w:rPr>
        <w:t xml:space="preserve"> </w:t>
      </w:r>
    </w:p>
    <w:p w:rsidR="002D1E45" w:rsidRDefault="002D1E45" w:rsidP="003D022D">
      <w:pPr>
        <w:spacing w:after="0" w:line="240" w:lineRule="auto"/>
        <w:ind w:firstLine="709"/>
        <w:contextualSpacing/>
        <w:jc w:val="both"/>
        <w:rPr>
          <w:rFonts w:ascii="Times New Roman" w:hAnsi="Times New Roman"/>
          <w:sz w:val="28"/>
          <w:szCs w:val="24"/>
        </w:rPr>
      </w:pPr>
    </w:p>
    <w:p w:rsidR="002D1E45" w:rsidRPr="00310832" w:rsidRDefault="002D1E45" w:rsidP="00852938">
      <w:pPr>
        <w:pStyle w:val="Heading3"/>
        <w:numPr>
          <w:ilvl w:val="2"/>
          <w:numId w:val="65"/>
        </w:numPr>
        <w:tabs>
          <w:tab w:val="left" w:pos="1276"/>
        </w:tabs>
        <w:spacing w:before="120"/>
        <w:ind w:left="1276" w:hanging="556"/>
        <w:jc w:val="both"/>
        <w:rPr>
          <w:rFonts w:ascii="Times New Roman" w:hAnsi="Times New Roman"/>
          <w:sz w:val="28"/>
        </w:rPr>
      </w:pPr>
      <w:bookmarkStart w:id="79" w:name="_Toc84936012"/>
      <w:r w:rsidRPr="00310832">
        <w:rPr>
          <w:rFonts w:ascii="Times New Roman" w:hAnsi="Times New Roman"/>
          <w:sz w:val="28"/>
        </w:rPr>
        <w:t>Рельеф</w:t>
      </w:r>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r w:rsidRPr="00310832">
        <w:rPr>
          <w:rFonts w:ascii="Times New Roman" w:hAnsi="Times New Roman"/>
          <w:sz w:val="28"/>
        </w:rPr>
        <w:t xml:space="preserve"> и</w:t>
      </w:r>
      <w:r>
        <w:rPr>
          <w:rFonts w:ascii="Times New Roman" w:hAnsi="Times New Roman"/>
          <w:sz w:val="28"/>
        </w:rPr>
        <w:t> </w:t>
      </w:r>
      <w:r w:rsidRPr="00310832">
        <w:rPr>
          <w:rFonts w:ascii="Times New Roman" w:hAnsi="Times New Roman"/>
          <w:sz w:val="28"/>
        </w:rPr>
        <w:t>геоморфология</w:t>
      </w:r>
      <w:bookmarkEnd w:id="79"/>
      <w:r>
        <w:rPr>
          <w:rFonts w:ascii="Times New Roman" w:hAnsi="Times New Roman"/>
          <w:sz w:val="28"/>
        </w:rPr>
        <w:t xml:space="preserve"> </w:t>
      </w:r>
    </w:p>
    <w:p w:rsidR="002D1E45" w:rsidRPr="000D4F86" w:rsidRDefault="002D1E45" w:rsidP="003D022D">
      <w:pPr>
        <w:spacing w:after="0" w:line="240" w:lineRule="auto"/>
        <w:rPr>
          <w:sz w:val="28"/>
          <w:szCs w:val="28"/>
          <w:lang w:eastAsia="ru-RU"/>
        </w:rPr>
      </w:pPr>
    </w:p>
    <w:p w:rsidR="002D1E45" w:rsidRPr="007A3481" w:rsidRDefault="002D1E45" w:rsidP="007A3481">
      <w:pPr>
        <w:spacing w:after="0" w:line="240" w:lineRule="auto"/>
        <w:ind w:firstLine="709"/>
        <w:jc w:val="both"/>
        <w:rPr>
          <w:rFonts w:ascii="Times New Roman" w:hAnsi="Times New Roman"/>
          <w:sz w:val="28"/>
          <w:szCs w:val="24"/>
          <w:lang w:eastAsia="ru-RU"/>
        </w:rPr>
      </w:pPr>
      <w:r w:rsidRPr="007A3481">
        <w:rPr>
          <w:rFonts w:ascii="Times New Roman" w:hAnsi="Times New Roman"/>
          <w:sz w:val="28"/>
          <w:szCs w:val="24"/>
          <w:lang w:eastAsia="ru-RU"/>
        </w:rPr>
        <w:t xml:space="preserve">Территория города расположена в центре Барабинской низменности. Равнинная поверхность нарушается гривами. </w:t>
      </w:r>
    </w:p>
    <w:p w:rsidR="002D1E45" w:rsidRPr="007A3481" w:rsidRDefault="002D1E45" w:rsidP="007A3481">
      <w:pPr>
        <w:spacing w:after="0" w:line="240" w:lineRule="auto"/>
        <w:ind w:firstLine="709"/>
        <w:jc w:val="both"/>
        <w:rPr>
          <w:rFonts w:ascii="Times New Roman" w:hAnsi="Times New Roman"/>
          <w:sz w:val="28"/>
          <w:szCs w:val="24"/>
          <w:lang w:eastAsia="ru-RU"/>
        </w:rPr>
      </w:pPr>
      <w:r w:rsidRPr="007A3481">
        <w:rPr>
          <w:rFonts w:ascii="Times New Roman" w:hAnsi="Times New Roman"/>
          <w:sz w:val="28"/>
          <w:szCs w:val="24"/>
          <w:lang w:eastAsia="ru-RU"/>
        </w:rPr>
        <w:t>Центральная и восточная части города расположены на сильно эродированной (почти снивелированной) поверхности северо-восточных окончаний грив с максимальными абсолютными отметками 114-116 м, а также на межгривных понижениях второго порядка с абсолютными отметками 109-112 м, сливающихся с юга с плоской равниной.</w:t>
      </w:r>
    </w:p>
    <w:p w:rsidR="002D1E45" w:rsidRPr="007A3481" w:rsidRDefault="002D1E45" w:rsidP="007A3481">
      <w:pPr>
        <w:spacing w:after="0" w:line="240" w:lineRule="auto"/>
        <w:ind w:firstLine="709"/>
        <w:jc w:val="both"/>
        <w:rPr>
          <w:rFonts w:ascii="Times New Roman" w:hAnsi="Times New Roman"/>
          <w:sz w:val="28"/>
          <w:szCs w:val="24"/>
          <w:lang w:eastAsia="ru-RU"/>
        </w:rPr>
      </w:pPr>
      <w:r w:rsidRPr="007A3481">
        <w:rPr>
          <w:rFonts w:ascii="Times New Roman" w:hAnsi="Times New Roman"/>
          <w:sz w:val="28"/>
          <w:szCs w:val="24"/>
          <w:lang w:eastAsia="ru-RU"/>
        </w:rPr>
        <w:t>На отдельных участках, особенно в пределах излучин реки на крутых склонах, прослеживается слабое сползание поверхностного слоя вследствие подмыва реки, а также осыпание нависшей бровки этих склонов.</w:t>
      </w:r>
    </w:p>
    <w:p w:rsidR="002D1E45" w:rsidRPr="007A3481" w:rsidRDefault="002D1E45" w:rsidP="007A3481">
      <w:pPr>
        <w:spacing w:after="0" w:line="240" w:lineRule="auto"/>
        <w:ind w:firstLine="709"/>
        <w:jc w:val="both"/>
        <w:rPr>
          <w:rFonts w:ascii="Times New Roman" w:hAnsi="Times New Roman"/>
          <w:sz w:val="28"/>
          <w:szCs w:val="24"/>
          <w:lang w:eastAsia="ru-RU"/>
        </w:rPr>
      </w:pPr>
      <w:r w:rsidRPr="007A3481">
        <w:rPr>
          <w:rFonts w:ascii="Times New Roman" w:hAnsi="Times New Roman"/>
          <w:sz w:val="28"/>
          <w:szCs w:val="24"/>
          <w:lang w:eastAsia="ru-RU"/>
        </w:rPr>
        <w:t>Вблизи реки Омь отмечается несколько коротких неглубоких оврагов и промоин.</w:t>
      </w:r>
    </w:p>
    <w:p w:rsidR="002D1E45" w:rsidRPr="007A3481" w:rsidRDefault="002D1E45" w:rsidP="007A3481">
      <w:pPr>
        <w:spacing w:after="0" w:line="240" w:lineRule="auto"/>
        <w:ind w:firstLine="709"/>
        <w:jc w:val="both"/>
        <w:rPr>
          <w:rFonts w:ascii="Times New Roman" w:hAnsi="Times New Roman"/>
          <w:sz w:val="28"/>
          <w:szCs w:val="24"/>
          <w:lang w:eastAsia="ru-RU"/>
        </w:rPr>
      </w:pPr>
      <w:r w:rsidRPr="007A3481">
        <w:rPr>
          <w:rFonts w:ascii="Times New Roman" w:hAnsi="Times New Roman"/>
          <w:sz w:val="28"/>
          <w:szCs w:val="24"/>
          <w:lang w:eastAsia="ru-RU"/>
        </w:rPr>
        <w:t>В геологическом отношении территория, на которой расположен г.</w:t>
      </w:r>
      <w:r>
        <w:rPr>
          <w:rFonts w:ascii="Times New Roman" w:hAnsi="Times New Roman"/>
          <w:sz w:val="28"/>
          <w:szCs w:val="24"/>
          <w:lang w:eastAsia="ru-RU"/>
        </w:rPr>
        <w:t xml:space="preserve"> </w:t>
      </w:r>
      <w:r w:rsidRPr="007A3481">
        <w:rPr>
          <w:rFonts w:ascii="Times New Roman" w:hAnsi="Times New Roman"/>
          <w:sz w:val="28"/>
          <w:szCs w:val="24"/>
          <w:lang w:eastAsia="ru-RU"/>
        </w:rPr>
        <w:t>Куйбышев, сложена мезозойскими и кайнозойскими породами.</w:t>
      </w:r>
    </w:p>
    <w:p w:rsidR="002D1E45" w:rsidRPr="007A3481" w:rsidRDefault="002D1E45" w:rsidP="007A3481">
      <w:pPr>
        <w:spacing w:after="0" w:line="240" w:lineRule="auto"/>
        <w:ind w:firstLine="709"/>
        <w:jc w:val="both"/>
        <w:rPr>
          <w:rFonts w:ascii="Times New Roman" w:hAnsi="Times New Roman"/>
          <w:sz w:val="28"/>
          <w:szCs w:val="24"/>
          <w:lang w:eastAsia="ru-RU"/>
        </w:rPr>
      </w:pPr>
      <w:r w:rsidRPr="007A3481">
        <w:rPr>
          <w:rFonts w:ascii="Times New Roman" w:hAnsi="Times New Roman"/>
          <w:sz w:val="28"/>
          <w:szCs w:val="24"/>
          <w:lang w:eastAsia="ru-RU"/>
        </w:rPr>
        <w:t>Древнечетвертичные отложения различного происхождения залегают непосредственно под почвенно-насыпным слоем или прикрыты современными образованиями.</w:t>
      </w:r>
    </w:p>
    <w:p w:rsidR="002D1E45" w:rsidRPr="007A3481" w:rsidRDefault="002D1E45" w:rsidP="007A3481">
      <w:pPr>
        <w:spacing w:after="0" w:line="240" w:lineRule="auto"/>
        <w:ind w:firstLine="709"/>
        <w:jc w:val="both"/>
        <w:rPr>
          <w:rFonts w:ascii="Times New Roman" w:hAnsi="Times New Roman"/>
          <w:sz w:val="28"/>
          <w:szCs w:val="24"/>
          <w:lang w:eastAsia="ru-RU"/>
        </w:rPr>
      </w:pPr>
      <w:r w:rsidRPr="007A3481">
        <w:rPr>
          <w:rFonts w:ascii="Times New Roman" w:hAnsi="Times New Roman"/>
          <w:sz w:val="28"/>
          <w:szCs w:val="24"/>
          <w:lang w:eastAsia="ru-RU"/>
        </w:rPr>
        <w:t>В кровле древнечетвертичных образований залегают суглинки, супеси и глины.</w:t>
      </w:r>
    </w:p>
    <w:p w:rsidR="002D1E45" w:rsidRPr="007A3481" w:rsidRDefault="002D1E45" w:rsidP="007A3481">
      <w:pPr>
        <w:spacing w:after="0" w:line="240" w:lineRule="auto"/>
        <w:ind w:firstLine="709"/>
        <w:jc w:val="both"/>
        <w:rPr>
          <w:rFonts w:ascii="Times New Roman" w:hAnsi="Times New Roman"/>
          <w:sz w:val="28"/>
          <w:szCs w:val="24"/>
          <w:lang w:eastAsia="ru-RU"/>
        </w:rPr>
      </w:pPr>
      <w:r w:rsidRPr="007A3481">
        <w:rPr>
          <w:rFonts w:ascii="Times New Roman" w:hAnsi="Times New Roman"/>
          <w:sz w:val="28"/>
          <w:szCs w:val="24"/>
          <w:lang w:eastAsia="ru-RU"/>
        </w:rPr>
        <w:t>В толще четвертичных отложений наблюдаются, в основном, два водоносных горизонта.</w:t>
      </w:r>
    </w:p>
    <w:p w:rsidR="002D1E45" w:rsidRDefault="002D1E45" w:rsidP="007A3481">
      <w:pPr>
        <w:spacing w:after="0" w:line="240" w:lineRule="auto"/>
        <w:ind w:firstLine="709"/>
        <w:jc w:val="both"/>
        <w:rPr>
          <w:rFonts w:ascii="Times New Roman" w:hAnsi="Times New Roman"/>
          <w:sz w:val="28"/>
          <w:szCs w:val="24"/>
          <w:lang w:eastAsia="ru-RU"/>
        </w:rPr>
      </w:pPr>
      <w:r w:rsidRPr="007A3481">
        <w:rPr>
          <w:rFonts w:ascii="Times New Roman" w:hAnsi="Times New Roman"/>
          <w:sz w:val="28"/>
          <w:szCs w:val="24"/>
          <w:lang w:eastAsia="ru-RU"/>
        </w:rPr>
        <w:t>Первый приурочен к песчаным и супесчаным прослойкам и линзам толщи глинистых пород. Второй – к подстилающей толще супесей и песков, содержащей в большинстве случаев напорную воду. Для крупного централизованного водоснабжения интерес представляют воды верхнемеловых и нижнеолигоценовых отложений.</w:t>
      </w:r>
      <w:r w:rsidRPr="00850BAB">
        <w:rPr>
          <w:rFonts w:ascii="Times New Roman" w:hAnsi="Times New Roman"/>
          <w:sz w:val="28"/>
          <w:szCs w:val="24"/>
          <w:lang w:eastAsia="ru-RU"/>
        </w:rPr>
        <w:t xml:space="preserve"> </w:t>
      </w:r>
    </w:p>
    <w:p w:rsidR="002D1E45" w:rsidRPr="00AB0E1C" w:rsidRDefault="002D1E45" w:rsidP="00AB0E1C">
      <w:pPr>
        <w:spacing w:after="0" w:line="240" w:lineRule="auto"/>
        <w:ind w:firstLine="709"/>
        <w:jc w:val="both"/>
        <w:rPr>
          <w:rFonts w:ascii="Times New Roman" w:hAnsi="Times New Roman"/>
          <w:sz w:val="28"/>
          <w:szCs w:val="24"/>
          <w:lang w:eastAsia="ru-RU"/>
        </w:rPr>
      </w:pPr>
    </w:p>
    <w:p w:rsidR="002D1E45" w:rsidRPr="006709EE" w:rsidRDefault="002D1E45" w:rsidP="00852938">
      <w:pPr>
        <w:pStyle w:val="Heading3"/>
        <w:numPr>
          <w:ilvl w:val="2"/>
          <w:numId w:val="65"/>
        </w:numPr>
        <w:tabs>
          <w:tab w:val="left" w:pos="1276"/>
        </w:tabs>
        <w:spacing w:before="120"/>
        <w:ind w:left="1276" w:hanging="556"/>
        <w:jc w:val="both"/>
        <w:rPr>
          <w:rFonts w:ascii="Times New Roman" w:hAnsi="Times New Roman"/>
          <w:sz w:val="28"/>
        </w:rPr>
      </w:pPr>
      <w:bookmarkStart w:id="80" w:name="_Toc84936013"/>
      <w:r w:rsidRPr="006709EE">
        <w:rPr>
          <w:rFonts w:ascii="Times New Roman" w:hAnsi="Times New Roman"/>
          <w:sz w:val="28"/>
        </w:rPr>
        <w:t>Гидрография и</w:t>
      </w:r>
      <w:r>
        <w:rPr>
          <w:rFonts w:ascii="Times New Roman" w:hAnsi="Times New Roman"/>
          <w:sz w:val="28"/>
        </w:rPr>
        <w:t> </w:t>
      </w:r>
      <w:r w:rsidRPr="006709EE">
        <w:rPr>
          <w:rFonts w:ascii="Times New Roman" w:hAnsi="Times New Roman"/>
          <w:sz w:val="28"/>
        </w:rPr>
        <w:t>гидрология</w:t>
      </w:r>
      <w:bookmarkEnd w:id="80"/>
    </w:p>
    <w:p w:rsidR="002D1E45" w:rsidRDefault="002D1E45" w:rsidP="006709EE">
      <w:pPr>
        <w:spacing w:after="0" w:line="240" w:lineRule="auto"/>
        <w:ind w:firstLine="709"/>
        <w:jc w:val="both"/>
        <w:rPr>
          <w:rFonts w:ascii="Times New Roman" w:hAnsi="Times New Roman"/>
          <w:sz w:val="28"/>
          <w:szCs w:val="24"/>
          <w:lang w:eastAsia="ru-RU"/>
        </w:rPr>
      </w:pPr>
    </w:p>
    <w:p w:rsidR="002D1E45" w:rsidRPr="007A3481" w:rsidRDefault="002D1E45" w:rsidP="007A3481">
      <w:pPr>
        <w:spacing w:after="0" w:line="240" w:lineRule="auto"/>
        <w:ind w:firstLine="709"/>
        <w:jc w:val="both"/>
        <w:rPr>
          <w:rFonts w:ascii="Times New Roman" w:hAnsi="Times New Roman"/>
          <w:sz w:val="28"/>
          <w:szCs w:val="24"/>
          <w:lang w:eastAsia="ru-RU"/>
        </w:rPr>
      </w:pPr>
      <w:r w:rsidRPr="007A3481">
        <w:rPr>
          <w:rFonts w:ascii="Times New Roman" w:hAnsi="Times New Roman"/>
          <w:sz w:val="28"/>
          <w:szCs w:val="24"/>
          <w:lang w:eastAsia="ru-RU"/>
        </w:rPr>
        <w:t>Гидрографическая сеть представлена р. Омь, которая берет своё начало с юго-восточной окраины Васюганского болотного массива из озера Омского.</w:t>
      </w:r>
    </w:p>
    <w:p w:rsidR="002D1E45" w:rsidRPr="007A3481" w:rsidRDefault="002D1E45" w:rsidP="007A3481">
      <w:pPr>
        <w:spacing w:after="0" w:line="240" w:lineRule="auto"/>
        <w:ind w:firstLine="709"/>
        <w:jc w:val="both"/>
        <w:rPr>
          <w:rFonts w:ascii="Times New Roman" w:hAnsi="Times New Roman"/>
          <w:sz w:val="28"/>
          <w:szCs w:val="24"/>
          <w:lang w:eastAsia="ru-RU"/>
        </w:rPr>
      </w:pPr>
      <w:r>
        <w:rPr>
          <w:rFonts w:ascii="Times New Roman" w:hAnsi="Times New Roman"/>
          <w:sz w:val="28"/>
          <w:szCs w:val="24"/>
          <w:lang w:eastAsia="ru-RU"/>
        </w:rPr>
        <w:t>Река</w:t>
      </w:r>
      <w:r w:rsidRPr="000A6BF9">
        <w:rPr>
          <w:rFonts w:ascii="Times New Roman" w:hAnsi="Times New Roman"/>
          <w:sz w:val="28"/>
          <w:szCs w:val="24"/>
          <w:lang w:eastAsia="ru-RU"/>
        </w:rPr>
        <w:t xml:space="preserve"> Омь </w:t>
      </w:r>
      <w:r w:rsidRPr="007A3481">
        <w:rPr>
          <w:rFonts w:ascii="Times New Roman" w:hAnsi="Times New Roman"/>
          <w:sz w:val="28"/>
          <w:szCs w:val="24"/>
          <w:lang w:eastAsia="ru-RU"/>
        </w:rPr>
        <w:t>является правобережным притоком р. Иртыш и впадает в него на расстоянии</w:t>
      </w:r>
      <w:r>
        <w:rPr>
          <w:rFonts w:ascii="Times New Roman" w:hAnsi="Times New Roman"/>
          <w:sz w:val="28"/>
          <w:szCs w:val="24"/>
          <w:lang w:eastAsia="ru-RU"/>
        </w:rPr>
        <w:t xml:space="preserve"> </w:t>
      </w:r>
      <w:r w:rsidRPr="007A3481">
        <w:rPr>
          <w:rFonts w:ascii="Times New Roman" w:hAnsi="Times New Roman"/>
          <w:sz w:val="28"/>
          <w:szCs w:val="24"/>
          <w:lang w:eastAsia="ru-RU"/>
        </w:rPr>
        <w:t>1831 км от его устья. Река протекает по равнине, пересечённой в широтном направлении гривами высотой 4-6 м по территории Убинского, Куйбышевского, Чановского. Венгеровского и Усть-Таркского районов Новосибирской области. Уклон водной поверхности составляет 0,04 – 0,05 м. Межгривные пространства местами заболочены, в основном, представлены степной</w:t>
      </w:r>
      <w:r>
        <w:rPr>
          <w:rFonts w:ascii="Times New Roman" w:hAnsi="Times New Roman"/>
          <w:sz w:val="28"/>
          <w:szCs w:val="24"/>
          <w:lang w:eastAsia="ru-RU"/>
        </w:rPr>
        <w:t xml:space="preserve"> </w:t>
      </w:r>
      <w:r w:rsidRPr="007A3481">
        <w:rPr>
          <w:rFonts w:ascii="Times New Roman" w:hAnsi="Times New Roman"/>
          <w:sz w:val="28"/>
          <w:szCs w:val="24"/>
          <w:lang w:eastAsia="ru-RU"/>
        </w:rPr>
        <w:t>растительностью и распаханы. Долина реки пойменная, хорошо разработана, шириной 3-5 км с явно выраженной бровкой коренного берега. Склоны долины крутые, супесчаные, покрыты кустарником.</w:t>
      </w:r>
    </w:p>
    <w:p w:rsidR="002D1E45" w:rsidRPr="007A3481" w:rsidRDefault="002D1E45" w:rsidP="007A3481">
      <w:pPr>
        <w:spacing w:after="0" w:line="240" w:lineRule="auto"/>
        <w:ind w:firstLine="709"/>
        <w:jc w:val="both"/>
        <w:rPr>
          <w:rFonts w:ascii="Times New Roman" w:hAnsi="Times New Roman"/>
          <w:sz w:val="28"/>
          <w:szCs w:val="24"/>
          <w:lang w:eastAsia="ru-RU"/>
        </w:rPr>
      </w:pPr>
      <w:r w:rsidRPr="007A3481">
        <w:rPr>
          <w:rFonts w:ascii="Times New Roman" w:hAnsi="Times New Roman"/>
          <w:sz w:val="28"/>
          <w:szCs w:val="24"/>
          <w:lang w:eastAsia="ru-RU"/>
        </w:rPr>
        <w:t xml:space="preserve">Длина реки составляет 1091 км, площадь водосбора </w:t>
      </w:r>
      <w:r>
        <w:rPr>
          <w:rFonts w:ascii="Times New Roman" w:hAnsi="Times New Roman"/>
          <w:sz w:val="28"/>
          <w:szCs w:val="24"/>
          <w:lang w:eastAsia="ru-RU"/>
        </w:rPr>
        <w:t>–</w:t>
      </w:r>
      <w:r w:rsidRPr="007A3481">
        <w:rPr>
          <w:rFonts w:ascii="Times New Roman" w:hAnsi="Times New Roman"/>
          <w:sz w:val="28"/>
          <w:szCs w:val="24"/>
          <w:lang w:eastAsia="ru-RU"/>
        </w:rPr>
        <w:t xml:space="preserve"> 52 600 км</w:t>
      </w:r>
      <w:r w:rsidRPr="007A3481">
        <w:rPr>
          <w:rFonts w:ascii="Times New Roman" w:hAnsi="Times New Roman"/>
          <w:sz w:val="28"/>
          <w:szCs w:val="24"/>
          <w:vertAlign w:val="superscript"/>
          <w:lang w:eastAsia="ru-RU"/>
        </w:rPr>
        <w:t>2</w:t>
      </w:r>
      <w:r w:rsidRPr="007A3481">
        <w:rPr>
          <w:rFonts w:ascii="Times New Roman" w:hAnsi="Times New Roman"/>
          <w:sz w:val="28"/>
          <w:szCs w:val="24"/>
          <w:lang w:eastAsia="ru-RU"/>
        </w:rPr>
        <w:t xml:space="preserve">, на территории </w:t>
      </w:r>
    </w:p>
    <w:p w:rsidR="002D1E45" w:rsidRPr="007A3481" w:rsidRDefault="002D1E45" w:rsidP="007A3481">
      <w:pPr>
        <w:spacing w:after="0" w:line="240" w:lineRule="auto"/>
        <w:ind w:firstLine="709"/>
        <w:jc w:val="both"/>
        <w:rPr>
          <w:rFonts w:ascii="Times New Roman" w:hAnsi="Times New Roman"/>
          <w:sz w:val="28"/>
          <w:szCs w:val="24"/>
          <w:lang w:eastAsia="ru-RU"/>
        </w:rPr>
      </w:pPr>
      <w:r w:rsidRPr="007A3481">
        <w:rPr>
          <w:rFonts w:ascii="Times New Roman" w:hAnsi="Times New Roman"/>
          <w:sz w:val="28"/>
          <w:szCs w:val="24"/>
          <w:lang w:eastAsia="ru-RU"/>
        </w:rPr>
        <w:t>Новосибирской области 43 000 км</w:t>
      </w:r>
      <w:r w:rsidRPr="007A3481">
        <w:rPr>
          <w:rFonts w:ascii="Times New Roman" w:hAnsi="Times New Roman"/>
          <w:sz w:val="28"/>
          <w:szCs w:val="24"/>
          <w:vertAlign w:val="superscript"/>
          <w:lang w:eastAsia="ru-RU"/>
        </w:rPr>
        <w:t>2</w:t>
      </w:r>
      <w:r w:rsidRPr="007A3481">
        <w:rPr>
          <w:rFonts w:ascii="Times New Roman" w:hAnsi="Times New Roman"/>
          <w:sz w:val="28"/>
          <w:szCs w:val="24"/>
          <w:lang w:eastAsia="ru-RU"/>
        </w:rPr>
        <w:t>. Русло реки Омь в верховье шириной от 10 до 20 м, в среднем течении 50-150 м. Глубина реки от 0,3 до 5</w:t>
      </w:r>
      <w:r>
        <w:rPr>
          <w:rFonts w:ascii="Times New Roman" w:hAnsi="Times New Roman"/>
          <w:sz w:val="28"/>
          <w:szCs w:val="24"/>
          <w:lang w:eastAsia="ru-RU"/>
        </w:rPr>
        <w:t>,</w:t>
      </w:r>
      <w:r w:rsidRPr="007A3481">
        <w:rPr>
          <w:rFonts w:ascii="Times New Roman" w:hAnsi="Times New Roman"/>
          <w:sz w:val="28"/>
          <w:szCs w:val="24"/>
          <w:lang w:eastAsia="ru-RU"/>
        </w:rPr>
        <w:t>0</w:t>
      </w:r>
      <w:r>
        <w:rPr>
          <w:rFonts w:ascii="Times New Roman" w:hAnsi="Times New Roman"/>
          <w:sz w:val="28"/>
          <w:szCs w:val="24"/>
          <w:lang w:eastAsia="ru-RU"/>
        </w:rPr>
        <w:t xml:space="preserve"> </w:t>
      </w:r>
      <w:r w:rsidRPr="007A3481">
        <w:rPr>
          <w:rFonts w:ascii="Times New Roman" w:hAnsi="Times New Roman"/>
          <w:sz w:val="28"/>
          <w:szCs w:val="24"/>
          <w:lang w:eastAsia="ru-RU"/>
        </w:rPr>
        <w:t>м, средняя скорость течения на плёсах составляет 0,1 - 0,5 м/с, на перекатах 0,3-1,0 м/с, на участке водозабора - 0,3м/с.</w:t>
      </w:r>
    </w:p>
    <w:p w:rsidR="002D1E45" w:rsidRPr="007A3481" w:rsidRDefault="002D1E45" w:rsidP="007A3481">
      <w:pPr>
        <w:spacing w:after="0" w:line="240" w:lineRule="auto"/>
        <w:ind w:firstLine="709"/>
        <w:jc w:val="both"/>
        <w:rPr>
          <w:rFonts w:ascii="Times New Roman" w:hAnsi="Times New Roman"/>
          <w:sz w:val="28"/>
          <w:szCs w:val="24"/>
          <w:lang w:eastAsia="ru-RU"/>
        </w:rPr>
      </w:pPr>
      <w:r w:rsidRPr="007A3481">
        <w:rPr>
          <w:rFonts w:ascii="Times New Roman" w:hAnsi="Times New Roman"/>
          <w:sz w:val="28"/>
          <w:szCs w:val="24"/>
          <w:lang w:eastAsia="ru-RU"/>
        </w:rPr>
        <w:t>Пойма реки двухсторонняя, средняя ширина достигает 1,0 км. Половодье протекает в резко выраженной форме, весенний подъем уровня может достигать 9,0 м, в обычное половодье пойма заливается лишь местами, а в высокие на 1-2 км. Полное затопление поймы происходит при уровне вода в реке 500-600см. До строительства гидротехнических сооружений паводковыми водами затапливалась юго-восточная часть г. Куйбышев.</w:t>
      </w:r>
    </w:p>
    <w:p w:rsidR="002D1E45" w:rsidRPr="007A3481" w:rsidRDefault="002D1E45" w:rsidP="007A3481">
      <w:pPr>
        <w:spacing w:after="0" w:line="240" w:lineRule="auto"/>
        <w:ind w:firstLine="709"/>
        <w:jc w:val="both"/>
        <w:rPr>
          <w:rFonts w:ascii="Times New Roman" w:hAnsi="Times New Roman"/>
          <w:sz w:val="28"/>
          <w:szCs w:val="24"/>
          <w:lang w:eastAsia="ru-RU"/>
        </w:rPr>
      </w:pPr>
      <w:r w:rsidRPr="007A3481">
        <w:rPr>
          <w:rFonts w:ascii="Times New Roman" w:hAnsi="Times New Roman"/>
          <w:sz w:val="28"/>
          <w:szCs w:val="24"/>
          <w:lang w:eastAsia="ru-RU"/>
        </w:rPr>
        <w:t>Питание реки в основном снеговое.</w:t>
      </w:r>
    </w:p>
    <w:p w:rsidR="002D1E45" w:rsidRPr="007A3481" w:rsidRDefault="002D1E45" w:rsidP="007A3481">
      <w:pPr>
        <w:spacing w:after="0" w:line="240" w:lineRule="auto"/>
        <w:ind w:firstLine="709"/>
        <w:jc w:val="both"/>
        <w:rPr>
          <w:rFonts w:ascii="Times New Roman" w:hAnsi="Times New Roman"/>
          <w:sz w:val="28"/>
          <w:szCs w:val="24"/>
          <w:lang w:eastAsia="ru-RU"/>
        </w:rPr>
      </w:pPr>
      <w:r w:rsidRPr="007A3481">
        <w:rPr>
          <w:rFonts w:ascii="Times New Roman" w:hAnsi="Times New Roman"/>
          <w:sz w:val="28"/>
          <w:szCs w:val="24"/>
          <w:lang w:eastAsia="ru-RU"/>
        </w:rPr>
        <w:t xml:space="preserve">Малая водность реки и небольшие скорости течения приводят образованию мощного ледяного покрова, установление которого в среднем приходится на 31 октября. Средняя толщина льда на конец марта составляет 103 см, максимальная - наблюдалась в марте 1964 г и составляла 141 см. Начало весеннего ледохода и среднем отмечается во второй декаде апреля, ранее </w:t>
      </w:r>
      <w:r>
        <w:rPr>
          <w:rFonts w:ascii="Times New Roman" w:hAnsi="Times New Roman"/>
          <w:sz w:val="28"/>
          <w:szCs w:val="24"/>
          <w:lang w:eastAsia="ru-RU"/>
        </w:rPr>
        <w:t xml:space="preserve">– </w:t>
      </w:r>
      <w:r w:rsidRPr="007A3481">
        <w:rPr>
          <w:rFonts w:ascii="Times New Roman" w:hAnsi="Times New Roman"/>
          <w:sz w:val="28"/>
          <w:szCs w:val="24"/>
          <w:lang w:eastAsia="ru-RU"/>
        </w:rPr>
        <w:t xml:space="preserve">в первой декаде апреля, позднее </w:t>
      </w:r>
      <w:r>
        <w:rPr>
          <w:rFonts w:ascii="Times New Roman" w:hAnsi="Times New Roman"/>
          <w:sz w:val="28"/>
          <w:szCs w:val="24"/>
          <w:lang w:eastAsia="ru-RU"/>
        </w:rPr>
        <w:t>–</w:t>
      </w:r>
      <w:r w:rsidRPr="007A3481">
        <w:rPr>
          <w:rFonts w:ascii="Times New Roman" w:hAnsi="Times New Roman"/>
          <w:sz w:val="28"/>
          <w:szCs w:val="24"/>
          <w:lang w:eastAsia="ru-RU"/>
        </w:rPr>
        <w:t xml:space="preserve"> в начале второй декады мая.</w:t>
      </w:r>
    </w:p>
    <w:p w:rsidR="002D1E45" w:rsidRPr="007A3481" w:rsidRDefault="002D1E45" w:rsidP="007A3481">
      <w:pPr>
        <w:spacing w:after="0" w:line="240" w:lineRule="auto"/>
        <w:ind w:firstLine="709"/>
        <w:jc w:val="both"/>
        <w:rPr>
          <w:rFonts w:ascii="Times New Roman" w:hAnsi="Times New Roman"/>
          <w:sz w:val="28"/>
          <w:szCs w:val="24"/>
          <w:lang w:eastAsia="ru-RU"/>
        </w:rPr>
      </w:pPr>
      <w:r w:rsidRPr="007A3481">
        <w:rPr>
          <w:rFonts w:ascii="Times New Roman" w:hAnsi="Times New Roman"/>
          <w:sz w:val="28"/>
          <w:szCs w:val="24"/>
          <w:lang w:eastAsia="ru-RU"/>
        </w:rPr>
        <w:t xml:space="preserve">Ширина водоохранной зоны р. Омь установлена на расстоянии 200 м от береговой линии, ширина прибрежно-защитной полосы </w:t>
      </w:r>
      <w:r>
        <w:rPr>
          <w:rFonts w:ascii="Times New Roman" w:hAnsi="Times New Roman"/>
          <w:sz w:val="28"/>
          <w:szCs w:val="24"/>
          <w:lang w:eastAsia="ru-RU"/>
        </w:rPr>
        <w:t>–</w:t>
      </w:r>
      <w:r w:rsidRPr="007A3481">
        <w:rPr>
          <w:rFonts w:ascii="Times New Roman" w:hAnsi="Times New Roman"/>
          <w:sz w:val="28"/>
          <w:szCs w:val="24"/>
          <w:lang w:eastAsia="ru-RU"/>
        </w:rPr>
        <w:t xml:space="preserve"> 50,0 м.</w:t>
      </w:r>
    </w:p>
    <w:p w:rsidR="002D1E45" w:rsidRPr="007A3481" w:rsidRDefault="002D1E45" w:rsidP="007A3481">
      <w:pPr>
        <w:spacing w:after="0" w:line="240" w:lineRule="auto"/>
        <w:ind w:firstLine="709"/>
        <w:jc w:val="both"/>
        <w:rPr>
          <w:rFonts w:ascii="Times New Roman" w:hAnsi="Times New Roman"/>
          <w:sz w:val="28"/>
          <w:szCs w:val="24"/>
          <w:lang w:eastAsia="ru-RU"/>
        </w:rPr>
      </w:pPr>
      <w:r w:rsidRPr="007A3481">
        <w:rPr>
          <w:rFonts w:ascii="Times New Roman" w:hAnsi="Times New Roman"/>
          <w:sz w:val="28"/>
          <w:szCs w:val="24"/>
          <w:lang w:eastAsia="ru-RU"/>
        </w:rPr>
        <w:t xml:space="preserve">Озеро </w:t>
      </w:r>
      <w:r w:rsidRPr="000A6BF9">
        <w:rPr>
          <w:rFonts w:ascii="Times New Roman" w:hAnsi="Times New Roman"/>
          <w:sz w:val="28"/>
          <w:szCs w:val="24"/>
          <w:lang w:eastAsia="ru-RU"/>
        </w:rPr>
        <w:t>Большие Кайлы,</w:t>
      </w:r>
      <w:r w:rsidRPr="007A3481">
        <w:rPr>
          <w:rFonts w:ascii="Times New Roman" w:hAnsi="Times New Roman"/>
          <w:sz w:val="28"/>
          <w:szCs w:val="24"/>
          <w:lang w:eastAsia="ru-RU"/>
        </w:rPr>
        <w:t xml:space="preserve"> расположено в левосторонней пойме р. Омь в г.</w:t>
      </w:r>
      <w:r>
        <w:rPr>
          <w:rFonts w:ascii="Times New Roman" w:hAnsi="Times New Roman"/>
          <w:sz w:val="28"/>
          <w:szCs w:val="24"/>
          <w:lang w:eastAsia="ru-RU"/>
        </w:rPr>
        <w:t> </w:t>
      </w:r>
      <w:r w:rsidRPr="007A3481">
        <w:rPr>
          <w:rFonts w:ascii="Times New Roman" w:hAnsi="Times New Roman"/>
          <w:sz w:val="28"/>
          <w:szCs w:val="24"/>
          <w:lang w:eastAsia="ru-RU"/>
        </w:rPr>
        <w:t>Куйбышеве Новосибирской области, в юго-западном направлении в 1,5 км от г.</w:t>
      </w:r>
      <w:r>
        <w:rPr>
          <w:rFonts w:ascii="Times New Roman" w:hAnsi="Times New Roman"/>
          <w:sz w:val="28"/>
          <w:szCs w:val="24"/>
          <w:lang w:eastAsia="ru-RU"/>
        </w:rPr>
        <w:t> </w:t>
      </w:r>
      <w:r w:rsidRPr="007A3481">
        <w:rPr>
          <w:rFonts w:ascii="Times New Roman" w:hAnsi="Times New Roman"/>
          <w:sz w:val="28"/>
          <w:szCs w:val="24"/>
          <w:lang w:eastAsia="ru-RU"/>
        </w:rPr>
        <w:t>Куйбышева.</w:t>
      </w:r>
    </w:p>
    <w:p w:rsidR="002D1E45" w:rsidRPr="007A3481" w:rsidRDefault="002D1E45" w:rsidP="007A3481">
      <w:pPr>
        <w:spacing w:after="0" w:line="240" w:lineRule="auto"/>
        <w:ind w:firstLine="709"/>
        <w:jc w:val="both"/>
        <w:rPr>
          <w:rFonts w:ascii="Times New Roman" w:hAnsi="Times New Roman"/>
          <w:sz w:val="28"/>
          <w:szCs w:val="24"/>
          <w:lang w:eastAsia="ru-RU"/>
        </w:rPr>
      </w:pPr>
      <w:r w:rsidRPr="007A3481">
        <w:rPr>
          <w:rFonts w:ascii="Times New Roman" w:hAnsi="Times New Roman"/>
          <w:sz w:val="28"/>
          <w:szCs w:val="24"/>
          <w:lang w:eastAsia="ru-RU"/>
        </w:rPr>
        <w:t>Площадь озера 3,04 км</w:t>
      </w:r>
      <w:r w:rsidRPr="007A3481">
        <w:rPr>
          <w:rFonts w:ascii="Times New Roman" w:hAnsi="Times New Roman"/>
          <w:sz w:val="28"/>
          <w:szCs w:val="24"/>
          <w:vertAlign w:val="superscript"/>
          <w:lang w:eastAsia="ru-RU"/>
        </w:rPr>
        <w:t>2</w:t>
      </w:r>
      <w:r w:rsidRPr="007A3481">
        <w:rPr>
          <w:rFonts w:ascii="Times New Roman" w:hAnsi="Times New Roman"/>
          <w:sz w:val="28"/>
          <w:szCs w:val="24"/>
          <w:lang w:eastAsia="ru-RU"/>
        </w:rPr>
        <w:t>, максимальная длина 3070</w:t>
      </w:r>
      <w:r>
        <w:rPr>
          <w:rFonts w:ascii="Times New Roman" w:hAnsi="Times New Roman"/>
          <w:sz w:val="28"/>
          <w:szCs w:val="24"/>
          <w:lang w:eastAsia="ru-RU"/>
        </w:rPr>
        <w:t xml:space="preserve"> </w:t>
      </w:r>
      <w:r w:rsidRPr="007A3481">
        <w:rPr>
          <w:rFonts w:ascii="Times New Roman" w:hAnsi="Times New Roman"/>
          <w:sz w:val="28"/>
          <w:szCs w:val="24"/>
          <w:lang w:eastAsia="ru-RU"/>
        </w:rPr>
        <w:t>м, ширина 1049,2 м, максимальная глубина 1,5</w:t>
      </w:r>
      <w:r>
        <w:rPr>
          <w:rFonts w:ascii="Times New Roman" w:hAnsi="Times New Roman"/>
          <w:sz w:val="28"/>
          <w:szCs w:val="24"/>
          <w:lang w:eastAsia="ru-RU"/>
        </w:rPr>
        <w:t xml:space="preserve"> </w:t>
      </w:r>
      <w:r w:rsidRPr="007A3481">
        <w:rPr>
          <w:rFonts w:ascii="Times New Roman" w:hAnsi="Times New Roman"/>
          <w:sz w:val="28"/>
          <w:szCs w:val="24"/>
          <w:lang w:eastAsia="ru-RU"/>
        </w:rPr>
        <w:t xml:space="preserve">м. Озеро относится к категории малых озёр. Уровневый режим водоёма не имеет резки выраженных колебаний в течение года. Водообеспечение озера происходит за счёт выпадения атмосферных осадков на зеркало водоёма и притока воды с площади водосбора. Дно ровное, илистое. Для площади водосбора характерно преобладание дерново-осолоделых почв и выщелочные среднегумусные чернозёмы. Вода из озера в питьевых целях не используется. </w:t>
      </w:r>
    </w:p>
    <w:p w:rsidR="002D1E45" w:rsidRPr="007A3481" w:rsidRDefault="002D1E45" w:rsidP="007A3481">
      <w:pPr>
        <w:spacing w:after="0" w:line="240" w:lineRule="auto"/>
        <w:ind w:firstLine="709"/>
        <w:jc w:val="both"/>
        <w:rPr>
          <w:rFonts w:ascii="Times New Roman" w:hAnsi="Times New Roman"/>
          <w:sz w:val="28"/>
          <w:szCs w:val="24"/>
          <w:lang w:eastAsia="ru-RU"/>
        </w:rPr>
      </w:pPr>
      <w:r w:rsidRPr="007A3481">
        <w:rPr>
          <w:rFonts w:ascii="Times New Roman" w:hAnsi="Times New Roman"/>
          <w:sz w:val="28"/>
          <w:szCs w:val="24"/>
          <w:lang w:eastAsia="ru-RU"/>
        </w:rPr>
        <w:t>Дно озера состоит преимущественно из заиленного песка, ила. Биологическая продуктивность озера невысока.</w:t>
      </w:r>
    </w:p>
    <w:p w:rsidR="002D1E45" w:rsidRDefault="002D1E45" w:rsidP="007A3481">
      <w:pPr>
        <w:spacing w:after="0" w:line="240" w:lineRule="auto"/>
        <w:ind w:firstLine="709"/>
        <w:jc w:val="both"/>
        <w:rPr>
          <w:rFonts w:ascii="Times New Roman" w:hAnsi="Times New Roman"/>
          <w:sz w:val="28"/>
          <w:szCs w:val="24"/>
          <w:lang w:eastAsia="ru-RU"/>
        </w:rPr>
      </w:pPr>
      <w:r w:rsidRPr="007A3481">
        <w:rPr>
          <w:rFonts w:ascii="Times New Roman" w:hAnsi="Times New Roman"/>
          <w:sz w:val="28"/>
          <w:szCs w:val="24"/>
          <w:lang w:eastAsia="ru-RU"/>
        </w:rPr>
        <w:t>Какая-либо рыбохозяйственная деятельность на озере Большие Кайлы не ведётся. Озеро по своим характеристикам может быть использовано для добычи (вылова) водных биоресурсов, не относящихся к особо ценным и ценным видам.</w:t>
      </w:r>
    </w:p>
    <w:p w:rsidR="002D1E45" w:rsidRPr="00B32622" w:rsidRDefault="002D1E45" w:rsidP="00CF73B8">
      <w:pPr>
        <w:spacing w:after="0" w:line="240" w:lineRule="auto"/>
        <w:contextualSpacing/>
        <w:jc w:val="both"/>
        <w:rPr>
          <w:rFonts w:ascii="Times New Roman" w:hAnsi="Times New Roman"/>
          <w:sz w:val="28"/>
          <w:szCs w:val="24"/>
        </w:rPr>
      </w:pPr>
    </w:p>
    <w:p w:rsidR="002D1E45" w:rsidRPr="00BF00BE" w:rsidRDefault="002D1E45" w:rsidP="00852938">
      <w:pPr>
        <w:pStyle w:val="Heading3"/>
        <w:numPr>
          <w:ilvl w:val="2"/>
          <w:numId w:val="65"/>
        </w:numPr>
        <w:tabs>
          <w:tab w:val="left" w:pos="1418"/>
        </w:tabs>
        <w:spacing w:before="120"/>
        <w:ind w:left="1418" w:hanging="698"/>
        <w:jc w:val="both"/>
        <w:rPr>
          <w:rFonts w:ascii="Times New Roman" w:hAnsi="Times New Roman"/>
          <w:sz w:val="28"/>
        </w:rPr>
      </w:pPr>
      <w:bookmarkStart w:id="81" w:name="_Toc84936014"/>
      <w:r w:rsidRPr="00BF00BE">
        <w:rPr>
          <w:rFonts w:ascii="Times New Roman" w:hAnsi="Times New Roman"/>
          <w:sz w:val="28"/>
        </w:rPr>
        <w:t>Полезные ископаемые</w:t>
      </w:r>
      <w:r w:rsidRPr="00310832">
        <w:rPr>
          <w:rFonts w:ascii="Times New Roman" w:hAnsi="Times New Roman"/>
          <w:sz w:val="28"/>
        </w:rPr>
        <w:t xml:space="preserve"> и</w:t>
      </w:r>
      <w:r>
        <w:rPr>
          <w:rFonts w:ascii="Times New Roman" w:hAnsi="Times New Roman"/>
          <w:sz w:val="28"/>
        </w:rPr>
        <w:t> </w:t>
      </w:r>
      <w:r w:rsidRPr="00310832">
        <w:rPr>
          <w:rFonts w:ascii="Times New Roman" w:hAnsi="Times New Roman"/>
          <w:sz w:val="28"/>
        </w:rPr>
        <w:t>природные ресурсы</w:t>
      </w:r>
      <w:bookmarkEnd w:id="81"/>
    </w:p>
    <w:p w:rsidR="002D1E45" w:rsidRDefault="002D1E45" w:rsidP="00BF00BE">
      <w:pPr>
        <w:spacing w:after="0" w:line="240" w:lineRule="auto"/>
        <w:ind w:firstLine="709"/>
        <w:contextualSpacing/>
        <w:jc w:val="both"/>
        <w:rPr>
          <w:sz w:val="28"/>
          <w:szCs w:val="28"/>
          <w:lang w:eastAsia="ru-RU"/>
        </w:rPr>
      </w:pPr>
    </w:p>
    <w:p w:rsidR="002D1E45" w:rsidRDefault="002D1E45" w:rsidP="00A76E3C">
      <w:pPr>
        <w:spacing w:after="0" w:line="240" w:lineRule="auto"/>
        <w:ind w:firstLine="709"/>
        <w:contextualSpacing/>
        <w:jc w:val="both"/>
        <w:rPr>
          <w:rFonts w:ascii="Times New Roman" w:hAnsi="Times New Roman"/>
          <w:bCs/>
          <w:iCs/>
          <w:sz w:val="28"/>
          <w:szCs w:val="24"/>
          <w:lang w:eastAsia="ru-RU"/>
        </w:rPr>
      </w:pPr>
      <w:r w:rsidRPr="001C71F9">
        <w:rPr>
          <w:rFonts w:ascii="Times New Roman" w:hAnsi="Times New Roman"/>
          <w:bCs/>
          <w:iCs/>
          <w:sz w:val="28"/>
          <w:szCs w:val="24"/>
          <w:lang w:eastAsia="ru-RU"/>
        </w:rPr>
        <w:t>Сырьевые ресурсы представлены полезными ископаемыми. На территории муниципального образования производится добыча торфа «Озеро Большие Кайлы», на юго-западной окраине г.</w:t>
      </w:r>
      <w:r>
        <w:rPr>
          <w:rFonts w:ascii="Times New Roman" w:hAnsi="Times New Roman"/>
          <w:bCs/>
          <w:iCs/>
          <w:sz w:val="28"/>
          <w:szCs w:val="24"/>
          <w:lang w:eastAsia="ru-RU"/>
        </w:rPr>
        <w:t xml:space="preserve"> </w:t>
      </w:r>
      <w:r w:rsidRPr="001C71F9">
        <w:rPr>
          <w:rFonts w:ascii="Times New Roman" w:hAnsi="Times New Roman"/>
          <w:bCs/>
          <w:iCs/>
          <w:sz w:val="28"/>
          <w:szCs w:val="24"/>
          <w:lang w:eastAsia="ru-RU"/>
        </w:rPr>
        <w:t>Куйбышев. Количество запасов</w:t>
      </w:r>
      <w:r>
        <w:rPr>
          <w:rFonts w:ascii="Times New Roman" w:hAnsi="Times New Roman"/>
          <w:bCs/>
          <w:iCs/>
          <w:sz w:val="28"/>
          <w:szCs w:val="24"/>
          <w:lang w:eastAsia="ru-RU"/>
        </w:rPr>
        <w:t xml:space="preserve"> – </w:t>
      </w:r>
      <w:r w:rsidRPr="001C71F9">
        <w:rPr>
          <w:rFonts w:ascii="Times New Roman" w:hAnsi="Times New Roman"/>
          <w:bCs/>
          <w:iCs/>
          <w:sz w:val="28"/>
          <w:szCs w:val="24"/>
          <w:lang w:eastAsia="ru-RU"/>
        </w:rPr>
        <w:t>113 тыс.</w:t>
      </w:r>
      <w:r>
        <w:rPr>
          <w:rFonts w:ascii="Times New Roman" w:hAnsi="Times New Roman"/>
          <w:bCs/>
          <w:iCs/>
          <w:sz w:val="28"/>
          <w:szCs w:val="24"/>
          <w:lang w:eastAsia="ru-RU"/>
        </w:rPr>
        <w:t xml:space="preserve"> </w:t>
      </w:r>
      <w:r w:rsidRPr="001C71F9">
        <w:rPr>
          <w:rFonts w:ascii="Times New Roman" w:hAnsi="Times New Roman"/>
          <w:bCs/>
          <w:iCs/>
          <w:sz w:val="28"/>
          <w:szCs w:val="24"/>
          <w:lang w:eastAsia="ru-RU"/>
        </w:rPr>
        <w:t>т.</w:t>
      </w:r>
    </w:p>
    <w:p w:rsidR="002D1E45" w:rsidRPr="00C32D73" w:rsidRDefault="002D1E45" w:rsidP="00C32D73">
      <w:pPr>
        <w:spacing w:after="0" w:line="240" w:lineRule="auto"/>
        <w:ind w:firstLine="567"/>
        <w:contextualSpacing/>
        <w:jc w:val="both"/>
        <w:rPr>
          <w:rFonts w:ascii="Times New Roman" w:hAnsi="Times New Roman"/>
          <w:sz w:val="28"/>
          <w:szCs w:val="24"/>
          <w:lang w:eastAsia="ru-RU"/>
        </w:rPr>
      </w:pPr>
    </w:p>
    <w:p w:rsidR="002D1E45" w:rsidRPr="00FA4765" w:rsidRDefault="002D1E45" w:rsidP="00852938">
      <w:pPr>
        <w:pStyle w:val="Heading3"/>
        <w:numPr>
          <w:ilvl w:val="2"/>
          <w:numId w:val="65"/>
        </w:numPr>
        <w:tabs>
          <w:tab w:val="left" w:pos="1418"/>
        </w:tabs>
        <w:spacing w:before="120"/>
        <w:ind w:left="1418" w:hanging="698"/>
        <w:jc w:val="both"/>
        <w:rPr>
          <w:rFonts w:ascii="Times New Roman" w:hAnsi="Times New Roman"/>
          <w:sz w:val="28"/>
        </w:rPr>
      </w:pPr>
      <w:bookmarkStart w:id="82" w:name="_Toc337125118"/>
      <w:bookmarkStart w:id="83" w:name="_Toc340212799"/>
      <w:bookmarkStart w:id="84" w:name="_Toc342835910"/>
      <w:bookmarkStart w:id="85" w:name="_Toc345316148"/>
      <w:bookmarkStart w:id="86" w:name="_Toc345510097"/>
      <w:bookmarkStart w:id="87" w:name="_Toc373678848"/>
      <w:bookmarkStart w:id="88" w:name="_Toc391717236"/>
      <w:bookmarkStart w:id="89" w:name="_Toc391717341"/>
      <w:bookmarkStart w:id="90" w:name="_Toc397187971"/>
      <w:bookmarkStart w:id="91" w:name="_Toc397241479"/>
      <w:bookmarkStart w:id="92" w:name="_Toc402346727"/>
      <w:bookmarkStart w:id="93" w:name="_Toc403824892"/>
      <w:bookmarkStart w:id="94" w:name="_Toc404432600"/>
      <w:bookmarkStart w:id="95" w:name="_Toc419370696"/>
      <w:bookmarkStart w:id="96" w:name="_Toc419973664"/>
      <w:bookmarkStart w:id="97" w:name="_Toc442008396"/>
      <w:bookmarkStart w:id="98" w:name="_Toc442523037"/>
      <w:bookmarkStart w:id="99" w:name="_Toc442523295"/>
      <w:bookmarkStart w:id="100" w:name="_Toc84936015"/>
      <w:r w:rsidRPr="00FA4765">
        <w:rPr>
          <w:rFonts w:ascii="Times New Roman" w:hAnsi="Times New Roman"/>
          <w:sz w:val="28"/>
        </w:rPr>
        <w:t>Почвы</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r w:rsidRPr="00310832">
        <w:rPr>
          <w:rFonts w:ascii="Times New Roman" w:hAnsi="Times New Roman"/>
          <w:sz w:val="28"/>
        </w:rPr>
        <w:t>, растительный мир</w:t>
      </w:r>
      <w:bookmarkEnd w:id="100"/>
    </w:p>
    <w:p w:rsidR="002D1E45" w:rsidRDefault="002D1E45" w:rsidP="00BF00BE">
      <w:pPr>
        <w:spacing w:after="0" w:line="240" w:lineRule="auto"/>
        <w:rPr>
          <w:sz w:val="28"/>
          <w:szCs w:val="28"/>
          <w:lang w:eastAsia="ru-RU"/>
        </w:rPr>
      </w:pPr>
    </w:p>
    <w:p w:rsidR="002D1E45" w:rsidRPr="001C71F9" w:rsidRDefault="002D1E45" w:rsidP="001C71F9">
      <w:pPr>
        <w:spacing w:after="0" w:line="240" w:lineRule="auto"/>
        <w:ind w:firstLine="709"/>
        <w:contextualSpacing/>
        <w:jc w:val="both"/>
        <w:rPr>
          <w:rFonts w:ascii="Times New Roman" w:hAnsi="Times New Roman"/>
          <w:sz w:val="28"/>
          <w:szCs w:val="24"/>
          <w:lang w:eastAsia="ru-RU"/>
        </w:rPr>
      </w:pPr>
      <w:r w:rsidRPr="001C71F9">
        <w:rPr>
          <w:rFonts w:ascii="Times New Roman" w:hAnsi="Times New Roman"/>
          <w:sz w:val="28"/>
          <w:szCs w:val="24"/>
          <w:lang w:eastAsia="ru-RU"/>
        </w:rPr>
        <w:t>Степень изученности почвообразующих пород в данное время такова, что с полной определённостью можно выделить только их типы по механическому составу и указать основные закономерности их распространения.</w:t>
      </w:r>
    </w:p>
    <w:p w:rsidR="002D1E45" w:rsidRPr="001C71F9" w:rsidRDefault="002D1E45" w:rsidP="001C71F9">
      <w:pPr>
        <w:spacing w:after="0" w:line="240" w:lineRule="auto"/>
        <w:ind w:firstLine="709"/>
        <w:contextualSpacing/>
        <w:jc w:val="both"/>
        <w:rPr>
          <w:rFonts w:ascii="Times New Roman" w:hAnsi="Times New Roman"/>
          <w:sz w:val="28"/>
          <w:szCs w:val="24"/>
          <w:lang w:eastAsia="ru-RU"/>
        </w:rPr>
      </w:pPr>
      <w:r w:rsidRPr="001C71F9">
        <w:rPr>
          <w:rFonts w:ascii="Times New Roman" w:hAnsi="Times New Roman"/>
          <w:sz w:val="28"/>
          <w:szCs w:val="24"/>
          <w:lang w:eastAsia="ru-RU"/>
        </w:rPr>
        <w:t xml:space="preserve">Фактические материалы, накопленные главным образом почвенной партией Новосибирской экспедиции «Росгипрозем», позволяют сделать вывод о том, что смена одних типов почвообразующих пород другими происходит по геоморфологическим районам и элементам рельефа, отражая генетическую неоднородность тех и других. </w:t>
      </w:r>
    </w:p>
    <w:p w:rsidR="002D1E45" w:rsidRPr="001C71F9" w:rsidRDefault="002D1E45" w:rsidP="001C71F9">
      <w:pPr>
        <w:spacing w:after="0" w:line="240" w:lineRule="auto"/>
        <w:ind w:firstLine="709"/>
        <w:contextualSpacing/>
        <w:jc w:val="both"/>
        <w:rPr>
          <w:rFonts w:ascii="Times New Roman" w:hAnsi="Times New Roman"/>
          <w:sz w:val="28"/>
          <w:szCs w:val="24"/>
          <w:lang w:eastAsia="ru-RU"/>
        </w:rPr>
      </w:pPr>
      <w:r w:rsidRPr="001C71F9">
        <w:rPr>
          <w:rFonts w:ascii="Times New Roman" w:hAnsi="Times New Roman"/>
          <w:sz w:val="28"/>
          <w:szCs w:val="24"/>
          <w:lang w:eastAsia="ru-RU"/>
        </w:rPr>
        <w:t>Почвообразующие породы представлены тяжёлыми карбонатными суглинками различной степени засоления. Гривы сложены опреснёнными породами – средними и лёгкими суглинками, реже супесями, лощины выполнены засоленными тяжёлыми суглинками и глинами. В отдельных случаях в озёрных котловинах встречаются третичные засоленные мергелистые пестроцветные и тёмные пластичные глины.</w:t>
      </w:r>
    </w:p>
    <w:p w:rsidR="002D1E45" w:rsidRPr="001C71F9" w:rsidRDefault="002D1E45" w:rsidP="001C71F9">
      <w:pPr>
        <w:spacing w:after="0" w:line="240" w:lineRule="auto"/>
        <w:ind w:firstLine="709"/>
        <w:contextualSpacing/>
        <w:jc w:val="both"/>
        <w:rPr>
          <w:rFonts w:ascii="Times New Roman" w:hAnsi="Times New Roman"/>
          <w:sz w:val="28"/>
          <w:szCs w:val="24"/>
          <w:lang w:eastAsia="ru-RU"/>
        </w:rPr>
      </w:pPr>
      <w:r w:rsidRPr="001C71F9">
        <w:rPr>
          <w:rFonts w:ascii="Times New Roman" w:hAnsi="Times New Roman"/>
          <w:sz w:val="28"/>
          <w:szCs w:val="24"/>
          <w:lang w:eastAsia="ru-RU"/>
        </w:rPr>
        <w:t>Почвенный покров рассматриваемой территории относится к району засоленной заболоченной лесостепи.</w:t>
      </w:r>
    </w:p>
    <w:p w:rsidR="002D1E45" w:rsidRPr="001C71F9" w:rsidRDefault="002D1E45" w:rsidP="001C71F9">
      <w:pPr>
        <w:spacing w:after="0" w:line="240" w:lineRule="auto"/>
        <w:ind w:firstLine="709"/>
        <w:contextualSpacing/>
        <w:jc w:val="both"/>
        <w:rPr>
          <w:rFonts w:ascii="Times New Roman" w:hAnsi="Times New Roman"/>
          <w:sz w:val="28"/>
          <w:szCs w:val="24"/>
          <w:lang w:eastAsia="ru-RU"/>
        </w:rPr>
      </w:pPr>
      <w:r w:rsidRPr="001C71F9">
        <w:rPr>
          <w:rFonts w:ascii="Times New Roman" w:hAnsi="Times New Roman"/>
          <w:sz w:val="28"/>
          <w:szCs w:val="24"/>
          <w:lang w:eastAsia="ru-RU"/>
        </w:rPr>
        <w:t>Засоленная заболоченная лесостепь представлена засоленными торфяно-болотными и луговыми почвами. Значительные площади заняты плодородными лугово-чернозёмными почвами. Преобладают чернозёмы, солонцы, засоленные почвы и солончаки. Меньшие площади занимают лугово-чернозёмные почвы. Для района заболоченной засоленной лесостепи характерны солонцы.</w:t>
      </w:r>
    </w:p>
    <w:p w:rsidR="002D1E45" w:rsidRPr="001C71F9" w:rsidRDefault="002D1E45" w:rsidP="001C71F9">
      <w:pPr>
        <w:spacing w:after="0" w:line="240" w:lineRule="auto"/>
        <w:ind w:firstLine="709"/>
        <w:contextualSpacing/>
        <w:jc w:val="both"/>
        <w:rPr>
          <w:rFonts w:ascii="Times New Roman" w:hAnsi="Times New Roman"/>
          <w:sz w:val="28"/>
          <w:szCs w:val="24"/>
          <w:lang w:eastAsia="ru-RU"/>
        </w:rPr>
      </w:pPr>
      <w:r w:rsidRPr="001C71F9">
        <w:rPr>
          <w:rFonts w:ascii="Times New Roman" w:hAnsi="Times New Roman"/>
          <w:sz w:val="28"/>
          <w:szCs w:val="24"/>
          <w:lang w:eastAsia="ru-RU"/>
        </w:rPr>
        <w:t>Почвы данной территории восприимчивы к развитию дефляционных процессов, поэтому в посевах зерновых возможно создание буферных полос многолетних трав, ориентированных поперёк направления господствующих ветров, посева кулис. Многолетние травы накапливают большое количество корней, улучшают структуру почвы, поэтому должны занимать не меньше 30% пашни.</w:t>
      </w:r>
    </w:p>
    <w:p w:rsidR="002D1E45" w:rsidRPr="001C71F9" w:rsidRDefault="002D1E45" w:rsidP="001C71F9">
      <w:pPr>
        <w:spacing w:after="0" w:line="240" w:lineRule="auto"/>
        <w:ind w:firstLine="709"/>
        <w:contextualSpacing/>
        <w:jc w:val="both"/>
        <w:rPr>
          <w:rFonts w:ascii="Times New Roman" w:hAnsi="Times New Roman"/>
          <w:sz w:val="28"/>
          <w:szCs w:val="24"/>
          <w:lang w:eastAsia="ru-RU"/>
        </w:rPr>
      </w:pPr>
      <w:r w:rsidRPr="001C71F9">
        <w:rPr>
          <w:rFonts w:ascii="Times New Roman" w:hAnsi="Times New Roman"/>
          <w:sz w:val="28"/>
          <w:szCs w:val="24"/>
          <w:lang w:eastAsia="ru-RU"/>
        </w:rPr>
        <w:t>В борьбе с ветровой эрозией большое значение имеют узкорядные и перекрёстные способы посева, обеспечивающие надёжную защиту почвы. Необходимым условием экологоприемлемого ведения сельскохозяйственного природопользования является соблюдение комплекса агротехнических приёмов и мероприятий: безотвальная обработка полей, посев с сохранением стерни на поверхности, полосное размещение паровых участков и посев поперёк господствующих ветров, залужение эродированных почв, посевы кулис из высокостебельных растений, мульчирование поверхности полей соломой, применение удобрений, влагонакопление и т.д.</w:t>
      </w:r>
    </w:p>
    <w:p w:rsidR="002D1E45" w:rsidRPr="001C71F9" w:rsidRDefault="002D1E45" w:rsidP="001C71F9">
      <w:pPr>
        <w:spacing w:after="0" w:line="240" w:lineRule="auto"/>
        <w:ind w:firstLine="709"/>
        <w:contextualSpacing/>
        <w:jc w:val="both"/>
        <w:rPr>
          <w:rFonts w:ascii="Times New Roman" w:hAnsi="Times New Roman"/>
          <w:sz w:val="28"/>
          <w:szCs w:val="24"/>
          <w:lang w:eastAsia="ru-RU"/>
        </w:rPr>
      </w:pPr>
      <w:r w:rsidRPr="001C71F9">
        <w:rPr>
          <w:rFonts w:ascii="Times New Roman" w:hAnsi="Times New Roman"/>
          <w:sz w:val="28"/>
          <w:szCs w:val="24"/>
          <w:lang w:eastAsia="ru-RU"/>
        </w:rPr>
        <w:t>Для территорий со средней степенью нарушенности должны вводиться разнообразные ограничения на формы и интенсивность эксплуатации земель, исключающие негативное воздействие. Данные ландшафты рекомендуется использовать под кормовые угодья и частично под пашню в кормовом севообороте для скороспелых культур. Большинство угодий нуждается в мероприятиях мелиорации той или иной степени. Для улучшения следует использовать как сеяные травы, так и приспособленные к местным условиям декоративные травы. В мелиорации солонцов основным мероприятием коренного характера является гипсование. Одновременно с гипсованием на улучшаемые участки рекомендуется внесение перегноя.</w:t>
      </w:r>
    </w:p>
    <w:p w:rsidR="002D1E45" w:rsidRPr="001C71F9" w:rsidRDefault="002D1E45" w:rsidP="001C71F9">
      <w:pPr>
        <w:spacing w:after="0" w:line="240" w:lineRule="auto"/>
        <w:ind w:firstLine="709"/>
        <w:contextualSpacing/>
        <w:jc w:val="both"/>
        <w:rPr>
          <w:rFonts w:ascii="Times New Roman" w:hAnsi="Times New Roman"/>
          <w:sz w:val="28"/>
          <w:szCs w:val="24"/>
          <w:lang w:eastAsia="ru-RU"/>
        </w:rPr>
      </w:pPr>
      <w:r w:rsidRPr="001C71F9">
        <w:rPr>
          <w:rFonts w:ascii="Times New Roman" w:hAnsi="Times New Roman"/>
          <w:sz w:val="28"/>
          <w:szCs w:val="24"/>
          <w:lang w:eastAsia="ru-RU"/>
        </w:rPr>
        <w:t>Для экологической реставрации засоленных земель, создания на их месте высокопродуктивных кормовых биоценозов, повышения плодородия почв рекомендуется высеивать галофитные группировки растений (сведа дуголистная, лебеда серая, марь белая, солодка уральская, полынь солончаковая и др.).</w:t>
      </w:r>
    </w:p>
    <w:p w:rsidR="002D1E45" w:rsidRPr="001C71F9" w:rsidRDefault="002D1E45" w:rsidP="001C71F9">
      <w:pPr>
        <w:spacing w:after="0" w:line="240" w:lineRule="auto"/>
        <w:ind w:firstLine="709"/>
        <w:contextualSpacing/>
        <w:jc w:val="both"/>
        <w:rPr>
          <w:rFonts w:ascii="Times New Roman" w:hAnsi="Times New Roman"/>
          <w:sz w:val="28"/>
          <w:szCs w:val="24"/>
          <w:lang w:eastAsia="ru-RU"/>
        </w:rPr>
      </w:pPr>
      <w:r w:rsidRPr="001C71F9">
        <w:rPr>
          <w:rFonts w:ascii="Times New Roman" w:hAnsi="Times New Roman"/>
          <w:sz w:val="28"/>
          <w:szCs w:val="24"/>
          <w:lang w:eastAsia="ru-RU"/>
        </w:rPr>
        <w:t>Для сенокосных целей следует высеивать люцерну жёлтую, донники белый и жёлтый, эспарцет песчаный, костёр безостый, пырей бескорневищный. Поскольку на естественных кормовых угодьях травостой используется более длительное время, чем на пашне, здесь лучше высеивать травосмеси, а не отдельные виды.</w:t>
      </w:r>
    </w:p>
    <w:p w:rsidR="002D1E45" w:rsidRPr="001C71F9" w:rsidRDefault="002D1E45" w:rsidP="001C71F9">
      <w:pPr>
        <w:spacing w:after="0" w:line="240" w:lineRule="auto"/>
        <w:ind w:firstLine="709"/>
        <w:contextualSpacing/>
        <w:jc w:val="both"/>
        <w:rPr>
          <w:rFonts w:ascii="Times New Roman" w:hAnsi="Times New Roman"/>
          <w:sz w:val="28"/>
          <w:szCs w:val="24"/>
          <w:lang w:eastAsia="ru-RU"/>
        </w:rPr>
      </w:pPr>
      <w:r w:rsidRPr="001C71F9">
        <w:rPr>
          <w:rFonts w:ascii="Times New Roman" w:hAnsi="Times New Roman"/>
          <w:sz w:val="28"/>
          <w:szCs w:val="24"/>
          <w:lang w:eastAsia="ru-RU"/>
        </w:rPr>
        <w:t>Почвенный покров кормовых угодий требует не менее бережного отношения, чем пашня. Занимая удобные для механизированных технологий местоположения, сенокосы и пастбища при должном к ним отношении служат существенным источником кормов для животноводства.</w:t>
      </w:r>
    </w:p>
    <w:p w:rsidR="002D1E45" w:rsidRPr="001C71F9" w:rsidRDefault="002D1E45" w:rsidP="001C71F9">
      <w:pPr>
        <w:spacing w:after="0" w:line="240" w:lineRule="auto"/>
        <w:ind w:firstLine="709"/>
        <w:contextualSpacing/>
        <w:jc w:val="both"/>
        <w:rPr>
          <w:rFonts w:ascii="Times New Roman" w:hAnsi="Times New Roman"/>
          <w:sz w:val="28"/>
          <w:szCs w:val="24"/>
          <w:lang w:eastAsia="ru-RU"/>
        </w:rPr>
      </w:pPr>
      <w:r w:rsidRPr="001C71F9">
        <w:rPr>
          <w:rFonts w:ascii="Times New Roman" w:hAnsi="Times New Roman"/>
          <w:sz w:val="28"/>
          <w:szCs w:val="24"/>
          <w:lang w:eastAsia="ru-RU"/>
        </w:rPr>
        <w:t>Форма ареалов автоморфных почв в основном изоморфная, иногда вытянутая, отражающая форму вершин увалов, на которых они сформировались. Контуры полугидроморфных лугово-чернозёмных почв в основном изоморфные, часто кольцевые, опоясывающие вершины увалов. Форма ареалов чернозёмно-луговых почв определена их местоположением: в подножии склонов увалов ареалы имеют ленточную полузамкнутую форму. В аллювиальной равнине с выраженным микрорельефом, образовавшейся на месте высохшего древнего озера, формируются ареалы луговых почв лопастной асимметриодной формы, часто дырчатые. Лугово-болотные и луговые почвы, приуроченные к ложбинам, имеют разветвлённую древовидную форму. Солоди луговые, как правило, локализованные в замкнутых понижениях, образуют мелкие ареалы правильной округлой формы.</w:t>
      </w:r>
      <w:r>
        <w:rPr>
          <w:rFonts w:ascii="Times New Roman" w:hAnsi="Times New Roman"/>
          <w:sz w:val="28"/>
          <w:szCs w:val="24"/>
          <w:lang w:eastAsia="ru-RU"/>
        </w:rPr>
        <w:t xml:space="preserve"> </w:t>
      </w:r>
    </w:p>
    <w:p w:rsidR="002D1E45" w:rsidRPr="001C71F9" w:rsidRDefault="002D1E45" w:rsidP="001C71F9">
      <w:pPr>
        <w:spacing w:after="0" w:line="240" w:lineRule="auto"/>
        <w:ind w:firstLine="709"/>
        <w:contextualSpacing/>
        <w:jc w:val="both"/>
        <w:rPr>
          <w:rFonts w:ascii="Times New Roman" w:hAnsi="Times New Roman"/>
          <w:sz w:val="28"/>
          <w:szCs w:val="24"/>
          <w:lang w:eastAsia="ru-RU"/>
        </w:rPr>
      </w:pPr>
      <w:r w:rsidRPr="001C71F9">
        <w:rPr>
          <w:rFonts w:ascii="Times New Roman" w:hAnsi="Times New Roman"/>
          <w:sz w:val="28"/>
          <w:szCs w:val="24"/>
          <w:lang w:eastAsia="ru-RU"/>
        </w:rPr>
        <w:t>Долину реки Омь занимают сосновые, берёзово-сосновые кустарниковые, злаково-разнотравные, разнотравно-злаково-осоковые с элементами широкотравья и высокотравья леса.</w:t>
      </w:r>
    </w:p>
    <w:p w:rsidR="002D1E45" w:rsidRPr="001C71F9" w:rsidRDefault="002D1E45" w:rsidP="001C71F9">
      <w:pPr>
        <w:spacing w:after="0" w:line="240" w:lineRule="auto"/>
        <w:ind w:firstLine="709"/>
        <w:contextualSpacing/>
        <w:jc w:val="both"/>
        <w:rPr>
          <w:rFonts w:ascii="Times New Roman" w:hAnsi="Times New Roman"/>
          <w:sz w:val="28"/>
          <w:szCs w:val="24"/>
          <w:lang w:eastAsia="ru-RU"/>
        </w:rPr>
      </w:pPr>
      <w:r w:rsidRPr="001C71F9">
        <w:rPr>
          <w:rFonts w:ascii="Times New Roman" w:hAnsi="Times New Roman"/>
          <w:sz w:val="28"/>
          <w:szCs w:val="24"/>
          <w:lang w:eastAsia="ru-RU"/>
        </w:rPr>
        <w:t>Так же обширен комплекс дикорастущих пищевых плодово-ягодных растений. В долинах реки произрастают черёмуха, калина, облепиха, смородина черная. В сосновых и берёзово-сосновых кустарниково-травяных лесах, в берёзовых остепнённых лесах постоянными видами являются брусника, клубника, костяника. Им сопутствуют смородина черная, калина, черёмуха, малина, земляника, клюква. В лесах встречаются следующие виды грибов – строчки, сморчки, белый гриб, рыжик, сыроежка, подберёзовик, подосиновик, маслёнок, моховик, опёнок, лисичка, валуй, груздь, свинушка, волнушка, шампиньон.</w:t>
      </w:r>
    </w:p>
    <w:p w:rsidR="002D1E45" w:rsidRDefault="002D1E45" w:rsidP="001C71F9">
      <w:pPr>
        <w:spacing w:after="0" w:line="240" w:lineRule="auto"/>
        <w:ind w:firstLine="709"/>
        <w:contextualSpacing/>
        <w:jc w:val="both"/>
        <w:rPr>
          <w:rFonts w:ascii="Times New Roman" w:hAnsi="Times New Roman"/>
          <w:sz w:val="28"/>
          <w:szCs w:val="24"/>
          <w:lang w:eastAsia="ru-RU"/>
        </w:rPr>
      </w:pPr>
      <w:r w:rsidRPr="001C71F9">
        <w:rPr>
          <w:rFonts w:ascii="Times New Roman" w:hAnsi="Times New Roman"/>
          <w:sz w:val="28"/>
          <w:szCs w:val="24"/>
          <w:lang w:eastAsia="ru-RU"/>
        </w:rPr>
        <w:t>На территории района широкое распространение имеют виды лекарственных растений, которые применяются в основном в народной медицине – листья брусники, листья толокнянки, багульник, берёзовые и сосновые почки и др.</w:t>
      </w:r>
    </w:p>
    <w:p w:rsidR="002D1E45" w:rsidRDefault="002D1E45" w:rsidP="000101C0">
      <w:pPr>
        <w:spacing w:after="0" w:line="240" w:lineRule="auto"/>
        <w:jc w:val="both"/>
        <w:rPr>
          <w:rFonts w:ascii="Times New Roman" w:hAnsi="Times New Roman"/>
          <w:bCs/>
          <w:sz w:val="28"/>
          <w:szCs w:val="24"/>
        </w:rPr>
      </w:pPr>
    </w:p>
    <w:p w:rsidR="002D1E45" w:rsidRPr="009C38E9" w:rsidRDefault="002D1E45" w:rsidP="00852938">
      <w:pPr>
        <w:pStyle w:val="Heading3"/>
        <w:numPr>
          <w:ilvl w:val="2"/>
          <w:numId w:val="65"/>
        </w:numPr>
        <w:tabs>
          <w:tab w:val="left" w:pos="1418"/>
        </w:tabs>
        <w:spacing w:before="120"/>
        <w:ind w:left="1418" w:hanging="698"/>
        <w:jc w:val="both"/>
        <w:rPr>
          <w:rFonts w:ascii="Times New Roman" w:hAnsi="Times New Roman"/>
          <w:sz w:val="28"/>
        </w:rPr>
      </w:pPr>
      <w:bookmarkStart w:id="101" w:name="_Toc84936016"/>
      <w:r w:rsidRPr="009C38E9">
        <w:rPr>
          <w:rFonts w:ascii="Times New Roman" w:hAnsi="Times New Roman"/>
          <w:sz w:val="28"/>
        </w:rPr>
        <w:t>Рекреационные ресурсы</w:t>
      </w:r>
      <w:bookmarkEnd w:id="101"/>
    </w:p>
    <w:p w:rsidR="002D1E45" w:rsidRPr="000D4F86" w:rsidRDefault="002D1E45" w:rsidP="00BF00BE">
      <w:pPr>
        <w:spacing w:after="0" w:line="240" w:lineRule="auto"/>
        <w:rPr>
          <w:sz w:val="28"/>
          <w:szCs w:val="28"/>
          <w:lang w:eastAsia="ru-RU"/>
        </w:rPr>
      </w:pPr>
    </w:p>
    <w:p w:rsidR="002D1E45" w:rsidRPr="006E4F57" w:rsidRDefault="002D1E45" w:rsidP="006E4F57">
      <w:pPr>
        <w:spacing w:after="0" w:line="240" w:lineRule="auto"/>
        <w:ind w:firstLine="567"/>
        <w:contextualSpacing/>
        <w:jc w:val="both"/>
        <w:rPr>
          <w:rFonts w:ascii="Times New Roman" w:hAnsi="Times New Roman"/>
          <w:sz w:val="28"/>
          <w:szCs w:val="24"/>
          <w:lang w:eastAsia="ru-RU"/>
        </w:rPr>
      </w:pPr>
      <w:r w:rsidRPr="006E4F57">
        <w:rPr>
          <w:rFonts w:ascii="Times New Roman" w:hAnsi="Times New Roman"/>
          <w:sz w:val="28"/>
          <w:szCs w:val="24"/>
          <w:lang w:eastAsia="ru-RU"/>
        </w:rPr>
        <w:t xml:space="preserve">Город Куйбышев обладает достаточным природным, культурным и историческим потенциалом, способным стать основой для создания сферы сервиса, гостеприимства и туризма, для развития внутреннего и въездного туризма. Разнообразие природно-ландшафтных объектов, памятников культурного наследия, позволяют выделить данный потенциал для территории </w:t>
      </w:r>
      <w:r>
        <w:rPr>
          <w:rFonts w:ascii="Times New Roman" w:hAnsi="Times New Roman"/>
          <w:sz w:val="28"/>
          <w:szCs w:val="24"/>
          <w:lang w:eastAsia="ru-RU"/>
        </w:rPr>
        <w:t>города</w:t>
      </w:r>
      <w:r w:rsidRPr="006E4F57">
        <w:rPr>
          <w:rFonts w:ascii="Times New Roman" w:hAnsi="Times New Roman"/>
          <w:sz w:val="28"/>
          <w:szCs w:val="24"/>
          <w:lang w:eastAsia="ru-RU"/>
        </w:rPr>
        <w:t xml:space="preserve"> как перспективный с точки зрения становления и развития туристической отрасли.</w:t>
      </w:r>
    </w:p>
    <w:p w:rsidR="002D1E45" w:rsidRPr="006E4F57" w:rsidRDefault="002D1E45" w:rsidP="006E4F57">
      <w:pPr>
        <w:spacing w:after="0" w:line="240" w:lineRule="auto"/>
        <w:ind w:firstLine="567"/>
        <w:contextualSpacing/>
        <w:jc w:val="both"/>
        <w:rPr>
          <w:rFonts w:ascii="Times New Roman" w:hAnsi="Times New Roman"/>
          <w:sz w:val="28"/>
          <w:szCs w:val="24"/>
          <w:lang w:eastAsia="ru-RU"/>
        </w:rPr>
      </w:pPr>
      <w:r w:rsidRPr="006E4F57">
        <w:rPr>
          <w:rFonts w:ascii="Times New Roman" w:hAnsi="Times New Roman"/>
          <w:sz w:val="28"/>
          <w:szCs w:val="24"/>
          <w:lang w:eastAsia="ru-RU"/>
        </w:rPr>
        <w:t xml:space="preserve">Город Куйбышев имеет богатую историю и уникальные объекты историко-культурного наследия, что создаёт предпосылки для организации познавательного туризма. Кроме того, на территории </w:t>
      </w:r>
      <w:r>
        <w:rPr>
          <w:rFonts w:ascii="Times New Roman" w:hAnsi="Times New Roman"/>
          <w:sz w:val="28"/>
          <w:szCs w:val="24"/>
          <w:lang w:eastAsia="ru-RU"/>
        </w:rPr>
        <w:t>города</w:t>
      </w:r>
      <w:r w:rsidRPr="006E4F57">
        <w:rPr>
          <w:rFonts w:ascii="Times New Roman" w:hAnsi="Times New Roman"/>
          <w:sz w:val="28"/>
          <w:szCs w:val="24"/>
          <w:lang w:eastAsia="ru-RU"/>
        </w:rPr>
        <w:t xml:space="preserve"> возможно совмещение познавательного туризма с другими видами туризма, такими как:</w:t>
      </w:r>
    </w:p>
    <w:p w:rsidR="002D1E45" w:rsidRPr="006E4F57" w:rsidRDefault="002D1E45" w:rsidP="00D05D06">
      <w:pPr>
        <w:numPr>
          <w:ilvl w:val="0"/>
          <w:numId w:val="96"/>
        </w:numPr>
        <w:spacing w:after="0" w:line="240" w:lineRule="auto"/>
        <w:contextualSpacing/>
        <w:jc w:val="both"/>
        <w:rPr>
          <w:rFonts w:ascii="Times New Roman" w:hAnsi="Times New Roman" w:cs="Calibri"/>
          <w:sz w:val="28"/>
          <w:szCs w:val="24"/>
          <w:lang w:eastAsia="ru-RU"/>
        </w:rPr>
      </w:pPr>
      <w:r w:rsidRPr="006E4F57">
        <w:rPr>
          <w:rFonts w:ascii="Times New Roman" w:hAnsi="Times New Roman" w:cs="Calibri"/>
          <w:sz w:val="28"/>
          <w:szCs w:val="24"/>
          <w:lang w:eastAsia="ru-RU"/>
        </w:rPr>
        <w:t>охотничье-рыболовный;</w:t>
      </w:r>
    </w:p>
    <w:p w:rsidR="002D1E45" w:rsidRPr="006E4F57" w:rsidRDefault="002D1E45" w:rsidP="00D05D06">
      <w:pPr>
        <w:numPr>
          <w:ilvl w:val="0"/>
          <w:numId w:val="96"/>
        </w:numPr>
        <w:spacing w:after="0" w:line="240" w:lineRule="auto"/>
        <w:contextualSpacing/>
        <w:jc w:val="both"/>
        <w:rPr>
          <w:rFonts w:ascii="Times New Roman" w:hAnsi="Times New Roman" w:cs="Calibri"/>
          <w:sz w:val="28"/>
          <w:szCs w:val="24"/>
          <w:lang w:eastAsia="ru-RU"/>
        </w:rPr>
      </w:pPr>
      <w:r w:rsidRPr="006E4F57">
        <w:rPr>
          <w:rFonts w:ascii="Times New Roman" w:hAnsi="Times New Roman" w:cs="Calibri"/>
          <w:sz w:val="28"/>
          <w:szCs w:val="24"/>
          <w:lang w:eastAsia="ru-RU"/>
        </w:rPr>
        <w:t>паломнический;</w:t>
      </w:r>
    </w:p>
    <w:p w:rsidR="002D1E45" w:rsidRPr="006E4F57" w:rsidRDefault="002D1E45" w:rsidP="00D05D06">
      <w:pPr>
        <w:numPr>
          <w:ilvl w:val="0"/>
          <w:numId w:val="96"/>
        </w:numPr>
        <w:spacing w:after="0" w:line="240" w:lineRule="auto"/>
        <w:contextualSpacing/>
        <w:jc w:val="both"/>
        <w:rPr>
          <w:rFonts w:ascii="Times New Roman" w:hAnsi="Times New Roman" w:cs="Calibri"/>
          <w:sz w:val="28"/>
          <w:szCs w:val="24"/>
          <w:lang w:eastAsia="ru-RU"/>
        </w:rPr>
      </w:pPr>
      <w:r w:rsidRPr="006E4F57">
        <w:rPr>
          <w:rFonts w:ascii="Times New Roman" w:hAnsi="Times New Roman" w:cs="Calibri"/>
          <w:sz w:val="28"/>
          <w:szCs w:val="24"/>
          <w:lang w:eastAsia="ru-RU"/>
        </w:rPr>
        <w:t>этнографический.</w:t>
      </w:r>
    </w:p>
    <w:p w:rsidR="002D1E45" w:rsidRPr="006E4F57" w:rsidRDefault="002D1E45" w:rsidP="006E4F57">
      <w:pPr>
        <w:spacing w:after="0" w:line="240" w:lineRule="auto"/>
        <w:ind w:firstLine="567"/>
        <w:contextualSpacing/>
        <w:jc w:val="both"/>
        <w:rPr>
          <w:rFonts w:ascii="Times New Roman" w:hAnsi="Times New Roman"/>
          <w:sz w:val="28"/>
          <w:szCs w:val="24"/>
          <w:lang w:eastAsia="ru-RU"/>
        </w:rPr>
      </w:pPr>
      <w:r w:rsidRPr="006E4F57">
        <w:rPr>
          <w:rFonts w:ascii="Times New Roman" w:hAnsi="Times New Roman"/>
          <w:sz w:val="28"/>
          <w:szCs w:val="24"/>
          <w:lang w:eastAsia="ru-RU"/>
        </w:rPr>
        <w:t>Туризм как одна из важных составляющих экономики любой территории может быть эффективным и очень прибыльным бизнесом при наличии ряда условий. С одной стороны, они должны удовлетворять интересы муниципального образования и организаций, занимающихся туризмом, и с другой стороны – интересы конечных потребителей услуг – туристов. Сфера услуг туризма является неотъемлемой частью социально ориентированной рыночной экономики.</w:t>
      </w:r>
    </w:p>
    <w:p w:rsidR="002D1E45" w:rsidRPr="006E4F57" w:rsidRDefault="002D1E45" w:rsidP="006E4F57">
      <w:pPr>
        <w:spacing w:after="0" w:line="240" w:lineRule="auto"/>
        <w:ind w:firstLine="567"/>
        <w:contextualSpacing/>
        <w:jc w:val="both"/>
        <w:rPr>
          <w:rFonts w:ascii="Times New Roman" w:hAnsi="Times New Roman"/>
          <w:sz w:val="28"/>
          <w:szCs w:val="24"/>
          <w:lang w:eastAsia="ru-RU"/>
        </w:rPr>
      </w:pPr>
      <w:r w:rsidRPr="006E4F57">
        <w:rPr>
          <w:rFonts w:ascii="Times New Roman" w:hAnsi="Times New Roman"/>
          <w:sz w:val="28"/>
          <w:szCs w:val="24"/>
          <w:lang w:eastAsia="ru-RU"/>
        </w:rPr>
        <w:t>Главным сокровищем архитектуры города являются купеческие усадьбы и дома: сибирские предприниматели были вполне состоятельны, развивали производство с иностранцами и даже имели зарубежные представительства.</w:t>
      </w:r>
      <w:r w:rsidRPr="006E4F57">
        <w:t xml:space="preserve"> </w:t>
      </w:r>
      <w:r w:rsidRPr="006E4F57">
        <w:rPr>
          <w:rFonts w:ascii="Times New Roman" w:hAnsi="Times New Roman"/>
          <w:sz w:val="28"/>
          <w:szCs w:val="24"/>
          <w:lang w:eastAsia="ru-RU"/>
        </w:rPr>
        <w:t>На территории города реализуется проект «Каинск исторический», призванный отразить историю каинского купечества. Ежегодно в последних числах июня проходит фестиваль с одноименным названием.</w:t>
      </w:r>
    </w:p>
    <w:p w:rsidR="002D1E45" w:rsidRPr="006E4F57" w:rsidRDefault="002D1E45" w:rsidP="006E4F57">
      <w:pPr>
        <w:spacing w:after="0" w:line="240" w:lineRule="auto"/>
        <w:ind w:firstLine="567"/>
        <w:contextualSpacing/>
        <w:jc w:val="both"/>
        <w:rPr>
          <w:rFonts w:ascii="Times New Roman" w:hAnsi="Times New Roman"/>
          <w:sz w:val="28"/>
          <w:szCs w:val="24"/>
          <w:lang w:eastAsia="ru-RU"/>
        </w:rPr>
      </w:pPr>
      <w:r w:rsidRPr="006E4F57">
        <w:rPr>
          <w:rFonts w:ascii="Times New Roman" w:hAnsi="Times New Roman"/>
          <w:sz w:val="28"/>
          <w:szCs w:val="24"/>
          <w:lang w:eastAsia="ru-RU"/>
        </w:rPr>
        <w:t>В городе расположен дом-музей, в котором отбывал ссылку В. Куйбышев, человек, чьё имя носит сам город. Дом был построен в 1898</w:t>
      </w:r>
      <w:r>
        <w:rPr>
          <w:rFonts w:ascii="Times New Roman" w:hAnsi="Times New Roman"/>
          <w:sz w:val="28"/>
          <w:szCs w:val="24"/>
          <w:lang w:eastAsia="ru-RU"/>
        </w:rPr>
        <w:t xml:space="preserve"> </w:t>
      </w:r>
      <w:r w:rsidRPr="006E4F57">
        <w:rPr>
          <w:rFonts w:ascii="Times New Roman" w:hAnsi="Times New Roman"/>
          <w:sz w:val="28"/>
          <w:szCs w:val="24"/>
          <w:lang w:eastAsia="ru-RU"/>
        </w:rPr>
        <w:t>году, является памятником истории, связан с пребыванием в 1907</w:t>
      </w:r>
      <w:r>
        <w:rPr>
          <w:rFonts w:ascii="Times New Roman" w:hAnsi="Times New Roman"/>
          <w:sz w:val="28"/>
          <w:szCs w:val="24"/>
          <w:lang w:eastAsia="ru-RU"/>
        </w:rPr>
        <w:t>-</w:t>
      </w:r>
      <w:r w:rsidRPr="006E4F57">
        <w:rPr>
          <w:rFonts w:ascii="Times New Roman" w:hAnsi="Times New Roman"/>
          <w:sz w:val="28"/>
          <w:szCs w:val="24"/>
          <w:lang w:eastAsia="ru-RU"/>
        </w:rPr>
        <w:t>1909</w:t>
      </w:r>
      <w:r>
        <w:rPr>
          <w:rFonts w:ascii="Times New Roman" w:hAnsi="Times New Roman"/>
          <w:sz w:val="28"/>
          <w:szCs w:val="24"/>
          <w:lang w:eastAsia="ru-RU"/>
        </w:rPr>
        <w:t xml:space="preserve"> г</w:t>
      </w:r>
      <w:r w:rsidRPr="006E4F57">
        <w:rPr>
          <w:rFonts w:ascii="Times New Roman" w:hAnsi="Times New Roman"/>
          <w:sz w:val="28"/>
          <w:szCs w:val="24"/>
          <w:lang w:eastAsia="ru-RU"/>
        </w:rPr>
        <w:t>г. в ссылке партийного и советского деятеля Валериана Куйбышева. В 1947</w:t>
      </w:r>
      <w:r>
        <w:rPr>
          <w:rFonts w:ascii="Times New Roman" w:hAnsi="Times New Roman"/>
          <w:sz w:val="28"/>
          <w:szCs w:val="24"/>
          <w:lang w:eastAsia="ru-RU"/>
        </w:rPr>
        <w:t xml:space="preserve"> </w:t>
      </w:r>
      <w:r w:rsidRPr="006E4F57">
        <w:rPr>
          <w:rFonts w:ascii="Times New Roman" w:hAnsi="Times New Roman"/>
          <w:sz w:val="28"/>
          <w:szCs w:val="24"/>
          <w:lang w:eastAsia="ru-RU"/>
        </w:rPr>
        <w:t xml:space="preserve">г. в этом здании открыт мемориальный музей В.В. Куйбышева и установлена мемориальная доска из белого мрамора, а в сквере перед домом </w:t>
      </w:r>
      <w:r>
        <w:rPr>
          <w:rFonts w:ascii="Times New Roman" w:hAnsi="Times New Roman"/>
          <w:sz w:val="28"/>
          <w:szCs w:val="24"/>
          <w:lang w:eastAsia="ru-RU"/>
        </w:rPr>
        <w:t>–</w:t>
      </w:r>
      <w:r w:rsidRPr="006E4F57">
        <w:rPr>
          <w:rFonts w:ascii="Times New Roman" w:hAnsi="Times New Roman"/>
          <w:sz w:val="28"/>
          <w:szCs w:val="24"/>
          <w:lang w:eastAsia="ru-RU"/>
        </w:rPr>
        <w:t xml:space="preserve"> бюст В. В. Куйбышева.</w:t>
      </w:r>
    </w:p>
    <w:p w:rsidR="002D1E45" w:rsidRPr="006E4F57" w:rsidRDefault="002D1E45" w:rsidP="006E4F57">
      <w:pPr>
        <w:spacing w:after="0" w:line="240" w:lineRule="auto"/>
        <w:ind w:firstLine="567"/>
        <w:contextualSpacing/>
        <w:jc w:val="both"/>
        <w:rPr>
          <w:rFonts w:ascii="Times New Roman" w:hAnsi="Times New Roman"/>
          <w:sz w:val="28"/>
          <w:szCs w:val="24"/>
          <w:lang w:eastAsia="ru-RU"/>
        </w:rPr>
      </w:pPr>
      <w:r w:rsidRPr="006E4F57">
        <w:rPr>
          <w:rFonts w:ascii="Times New Roman" w:hAnsi="Times New Roman"/>
          <w:sz w:val="28"/>
          <w:szCs w:val="24"/>
          <w:lang w:eastAsia="ru-RU"/>
        </w:rPr>
        <w:t xml:space="preserve">Ещё одна достопримечательность города </w:t>
      </w:r>
      <w:r>
        <w:rPr>
          <w:rFonts w:ascii="Times New Roman" w:hAnsi="Times New Roman"/>
          <w:sz w:val="28"/>
          <w:szCs w:val="24"/>
          <w:lang w:eastAsia="ru-RU"/>
        </w:rPr>
        <w:t>–</w:t>
      </w:r>
      <w:r w:rsidRPr="006E4F57">
        <w:t xml:space="preserve"> </w:t>
      </w:r>
      <w:r w:rsidRPr="006E4F57">
        <w:rPr>
          <w:rFonts w:ascii="Times New Roman" w:hAnsi="Times New Roman"/>
          <w:sz w:val="28"/>
          <w:szCs w:val="24"/>
          <w:lang w:eastAsia="ru-RU"/>
        </w:rPr>
        <w:t>самый молодой православный храм из пяти бывших до революции и единственный уцелевший за годы советской власти. Каменная церковь была построена в 1906 году на пожертвования Александры Шкроевой, вдовы каинского купца 1</w:t>
      </w:r>
      <w:r>
        <w:rPr>
          <w:rFonts w:ascii="Times New Roman" w:hAnsi="Times New Roman"/>
          <w:sz w:val="28"/>
          <w:szCs w:val="24"/>
          <w:lang w:eastAsia="ru-RU"/>
        </w:rPr>
        <w:t>-</w:t>
      </w:r>
      <w:r w:rsidRPr="006E4F57">
        <w:rPr>
          <w:rFonts w:ascii="Times New Roman" w:hAnsi="Times New Roman"/>
          <w:sz w:val="28"/>
          <w:szCs w:val="24"/>
          <w:lang w:eastAsia="ru-RU"/>
        </w:rPr>
        <w:t>й гильдии Ивана Васильевича Шкроева. Храм представляет собой образец эклектичного стиля.</w:t>
      </w:r>
    </w:p>
    <w:p w:rsidR="002D1E45" w:rsidRPr="006E4F57" w:rsidRDefault="002D1E45" w:rsidP="006E4F57">
      <w:pPr>
        <w:spacing w:after="0" w:line="240" w:lineRule="auto"/>
        <w:ind w:firstLine="567"/>
        <w:contextualSpacing/>
        <w:jc w:val="both"/>
        <w:rPr>
          <w:rFonts w:ascii="Times New Roman" w:hAnsi="Times New Roman"/>
          <w:sz w:val="28"/>
          <w:szCs w:val="24"/>
          <w:lang w:eastAsia="ru-RU"/>
        </w:rPr>
      </w:pPr>
      <w:r w:rsidRPr="006E4F57">
        <w:t xml:space="preserve"> </w:t>
      </w:r>
      <w:r w:rsidRPr="006E4F57">
        <w:rPr>
          <w:rFonts w:ascii="Times New Roman" w:hAnsi="Times New Roman"/>
          <w:sz w:val="28"/>
          <w:szCs w:val="24"/>
          <w:lang w:eastAsia="ru-RU"/>
        </w:rPr>
        <w:t>В 1938 году храм был закрыт. В годы советской власти здание храма использовалось под зерносклад, кинотеатр, краеведческий музей. В этот период была разрушена колокольня и снесено пятиглавие храма и главка над алтарной частью.</w:t>
      </w:r>
    </w:p>
    <w:p w:rsidR="002D1E45" w:rsidRPr="006E4F57" w:rsidRDefault="002D1E45" w:rsidP="006E4F57">
      <w:pPr>
        <w:spacing w:after="0" w:line="240" w:lineRule="auto"/>
        <w:ind w:firstLine="567"/>
        <w:contextualSpacing/>
        <w:jc w:val="both"/>
        <w:rPr>
          <w:rFonts w:ascii="Times New Roman" w:hAnsi="Times New Roman"/>
          <w:sz w:val="28"/>
          <w:szCs w:val="24"/>
          <w:lang w:eastAsia="ru-RU"/>
        </w:rPr>
      </w:pPr>
      <w:r w:rsidRPr="006E4F57">
        <w:rPr>
          <w:rFonts w:ascii="Times New Roman" w:hAnsi="Times New Roman"/>
          <w:sz w:val="28"/>
          <w:szCs w:val="24"/>
          <w:lang w:eastAsia="ru-RU"/>
        </w:rPr>
        <w:t>В 1987 церковь была поставлена на учёт, как памятник архитектуры регионального значения. В 1990 году храм был возвращён верующим, и началась его реставрация.</w:t>
      </w:r>
    </w:p>
    <w:p w:rsidR="002D1E45" w:rsidRPr="006E4F57" w:rsidRDefault="002D1E45" w:rsidP="006E4F57">
      <w:pPr>
        <w:spacing w:after="0" w:line="240" w:lineRule="auto"/>
        <w:ind w:firstLine="567"/>
        <w:contextualSpacing/>
        <w:jc w:val="both"/>
        <w:rPr>
          <w:rFonts w:ascii="Times New Roman" w:hAnsi="Times New Roman"/>
          <w:sz w:val="28"/>
          <w:szCs w:val="24"/>
          <w:lang w:eastAsia="ru-RU"/>
        </w:rPr>
      </w:pPr>
      <w:r w:rsidRPr="006E4F57">
        <w:rPr>
          <w:rFonts w:ascii="Times New Roman" w:hAnsi="Times New Roman"/>
          <w:sz w:val="28"/>
          <w:szCs w:val="24"/>
          <w:lang w:eastAsia="ru-RU"/>
        </w:rPr>
        <w:t>К церкви приписана часовня иконы Божией Матери Живоносный источник при Центральной районной больнице Куйбышева. При церкви работает детская воскресная школа и библиотека.</w:t>
      </w:r>
    </w:p>
    <w:p w:rsidR="002D1E45" w:rsidRPr="006E4F57" w:rsidRDefault="002D1E45" w:rsidP="006E4F57">
      <w:pPr>
        <w:spacing w:after="0" w:line="240" w:lineRule="auto"/>
        <w:ind w:firstLine="567"/>
        <w:contextualSpacing/>
        <w:jc w:val="both"/>
        <w:rPr>
          <w:rFonts w:ascii="Times New Roman" w:hAnsi="Times New Roman"/>
          <w:sz w:val="28"/>
          <w:szCs w:val="24"/>
          <w:lang w:eastAsia="ru-RU"/>
        </w:rPr>
      </w:pPr>
      <w:r w:rsidRPr="006E4F57">
        <w:rPr>
          <w:rFonts w:ascii="Times New Roman" w:hAnsi="Times New Roman"/>
          <w:sz w:val="28"/>
          <w:szCs w:val="24"/>
          <w:lang w:eastAsia="ru-RU"/>
        </w:rPr>
        <w:t>Своеобразной достопримечательностью Куйбышева является самолёт ИЛ-14, установленный в центре города. Он был подарен градоначальнику в 1984 году. Самолёт был установлен по инициативе А. Г. Петрова, на тот момент председателя исполкома городского Совета народных депутатов, как украшение для города и напоминание землякам о годах воинской службы.</w:t>
      </w:r>
    </w:p>
    <w:p w:rsidR="002D1E45" w:rsidRPr="006E4F57" w:rsidRDefault="002D1E45" w:rsidP="006E4F57">
      <w:pPr>
        <w:spacing w:after="0" w:line="240" w:lineRule="auto"/>
        <w:ind w:firstLine="567"/>
        <w:contextualSpacing/>
        <w:jc w:val="both"/>
        <w:rPr>
          <w:rFonts w:ascii="Times New Roman" w:hAnsi="Times New Roman"/>
          <w:sz w:val="28"/>
          <w:szCs w:val="24"/>
          <w:lang w:eastAsia="ru-RU"/>
        </w:rPr>
      </w:pPr>
      <w:r w:rsidRPr="006E4F57">
        <w:rPr>
          <w:rFonts w:ascii="Times New Roman" w:hAnsi="Times New Roman"/>
          <w:sz w:val="28"/>
          <w:szCs w:val="24"/>
          <w:lang w:eastAsia="ru-RU"/>
        </w:rPr>
        <w:t xml:space="preserve">На берегу Оми в черте города находится санаторий-профилакторий </w:t>
      </w:r>
      <w:r>
        <w:rPr>
          <w:rFonts w:ascii="Times New Roman" w:hAnsi="Times New Roman"/>
          <w:sz w:val="28"/>
          <w:szCs w:val="24"/>
          <w:lang w:eastAsia="ru-RU"/>
        </w:rPr>
        <w:t>«</w:t>
      </w:r>
      <w:r w:rsidRPr="006E4F57">
        <w:rPr>
          <w:rFonts w:ascii="Times New Roman" w:hAnsi="Times New Roman"/>
          <w:sz w:val="28"/>
          <w:szCs w:val="24"/>
          <w:lang w:eastAsia="ru-RU"/>
        </w:rPr>
        <w:t>Омь</w:t>
      </w:r>
      <w:r>
        <w:rPr>
          <w:rFonts w:ascii="Times New Roman" w:hAnsi="Times New Roman"/>
          <w:sz w:val="28"/>
          <w:szCs w:val="24"/>
          <w:lang w:eastAsia="ru-RU"/>
        </w:rPr>
        <w:t>»</w:t>
      </w:r>
      <w:r w:rsidRPr="006E4F57">
        <w:rPr>
          <w:rFonts w:ascii="Times New Roman" w:hAnsi="Times New Roman"/>
          <w:sz w:val="28"/>
          <w:szCs w:val="24"/>
          <w:lang w:eastAsia="ru-RU"/>
        </w:rPr>
        <w:t xml:space="preserve"> на 100 человек. Санаторий-профилакторий располагает физиокабинетом, кабинетами массажа, бальнеотерапии, ЛФК, процедурным, стоматологическим, а также сауной. Лечебные грязи завозят из озера Солёненькое. Гидромассаж, лазеротерапия </w:t>
      </w:r>
      <w:r>
        <w:rPr>
          <w:rFonts w:ascii="Times New Roman" w:hAnsi="Times New Roman"/>
          <w:sz w:val="28"/>
          <w:szCs w:val="24"/>
          <w:lang w:eastAsia="ru-RU"/>
        </w:rPr>
        <w:t>–</w:t>
      </w:r>
      <w:r w:rsidRPr="006E4F57">
        <w:rPr>
          <w:rFonts w:ascii="Times New Roman" w:hAnsi="Times New Roman"/>
          <w:sz w:val="28"/>
          <w:szCs w:val="24"/>
          <w:lang w:eastAsia="ru-RU"/>
        </w:rPr>
        <w:t xml:space="preserve"> эти виды лечения есть далеко не в каждом санатории. Появился новый метод лечения заболеваний позвоночника </w:t>
      </w:r>
      <w:r>
        <w:rPr>
          <w:rFonts w:ascii="Times New Roman" w:hAnsi="Times New Roman"/>
          <w:sz w:val="28"/>
          <w:szCs w:val="24"/>
          <w:lang w:eastAsia="ru-RU"/>
        </w:rPr>
        <w:t>–</w:t>
      </w:r>
      <w:r w:rsidRPr="006E4F57">
        <w:rPr>
          <w:rFonts w:ascii="Times New Roman" w:hAnsi="Times New Roman"/>
          <w:sz w:val="28"/>
          <w:szCs w:val="24"/>
          <w:lang w:eastAsia="ru-RU"/>
        </w:rPr>
        <w:t xml:space="preserve"> подводное вытяжение. </w:t>
      </w:r>
    </w:p>
    <w:p w:rsidR="002D1E45" w:rsidRPr="006E4F57" w:rsidRDefault="002D1E45" w:rsidP="006E4F57">
      <w:pPr>
        <w:spacing w:after="0" w:line="240" w:lineRule="auto"/>
        <w:ind w:firstLine="567"/>
        <w:contextualSpacing/>
        <w:jc w:val="both"/>
        <w:rPr>
          <w:rFonts w:ascii="Times New Roman" w:hAnsi="Times New Roman"/>
          <w:sz w:val="28"/>
          <w:szCs w:val="24"/>
          <w:lang w:eastAsia="ru-RU"/>
        </w:rPr>
      </w:pPr>
      <w:r w:rsidRPr="006E4F57">
        <w:rPr>
          <w:rFonts w:ascii="Times New Roman" w:hAnsi="Times New Roman"/>
          <w:sz w:val="28"/>
          <w:szCs w:val="24"/>
          <w:lang w:eastAsia="ru-RU"/>
        </w:rPr>
        <w:t>Организация познавательного туризма на территории города Куйбышева имеет широкие перспективы и гармонично сочетается с другими видами туристско-рекреационной деятельности на территории района и области.</w:t>
      </w:r>
    </w:p>
    <w:p w:rsidR="002D1E45" w:rsidRPr="006E4F57" w:rsidRDefault="002D1E45" w:rsidP="006E4F57">
      <w:pPr>
        <w:spacing w:after="0" w:line="240" w:lineRule="auto"/>
        <w:ind w:firstLine="709"/>
        <w:contextualSpacing/>
        <w:jc w:val="both"/>
        <w:rPr>
          <w:rFonts w:ascii="Times New Roman" w:hAnsi="Times New Roman"/>
          <w:sz w:val="28"/>
          <w:szCs w:val="24"/>
        </w:rPr>
      </w:pPr>
      <w:r w:rsidRPr="006E4F57">
        <w:rPr>
          <w:rFonts w:ascii="Times New Roman" w:hAnsi="Times New Roman"/>
          <w:sz w:val="28"/>
          <w:szCs w:val="24"/>
        </w:rPr>
        <w:t>Поддержка и развитие внутреннего и въездного туризма признана приоритетным направлением государственного регулирования туристкой деятельности, и одним из механизмов государственного регулирования туристской деятельности является разработка и реализация федеральных, региональных и муниципальных программ развития туризма.</w:t>
      </w:r>
    </w:p>
    <w:p w:rsidR="002D1E45" w:rsidRPr="006E4F57" w:rsidRDefault="002D1E45" w:rsidP="006E4F57">
      <w:pPr>
        <w:spacing w:after="0" w:line="240" w:lineRule="auto"/>
        <w:ind w:firstLine="709"/>
        <w:contextualSpacing/>
        <w:jc w:val="both"/>
        <w:rPr>
          <w:rFonts w:ascii="Times New Roman" w:hAnsi="Times New Roman"/>
          <w:sz w:val="28"/>
          <w:szCs w:val="24"/>
        </w:rPr>
      </w:pPr>
      <w:r w:rsidRPr="006E4F57">
        <w:rPr>
          <w:rFonts w:ascii="Times New Roman" w:hAnsi="Times New Roman"/>
          <w:sz w:val="28"/>
          <w:szCs w:val="24"/>
        </w:rPr>
        <w:t>Ключевые документы федерального, окружного и муниципального уровня, определяющие государственную политику в сфере туризма:</w:t>
      </w:r>
    </w:p>
    <w:p w:rsidR="002D1E45" w:rsidRPr="006E4F57" w:rsidRDefault="002D1E45" w:rsidP="00852938">
      <w:pPr>
        <w:numPr>
          <w:ilvl w:val="0"/>
          <w:numId w:val="92"/>
        </w:numPr>
        <w:tabs>
          <w:tab w:val="left" w:pos="1134"/>
        </w:tabs>
        <w:spacing w:after="0" w:line="240" w:lineRule="auto"/>
        <w:ind w:left="1134"/>
        <w:jc w:val="both"/>
        <w:rPr>
          <w:rFonts w:ascii="Times New Roman" w:hAnsi="Times New Roman"/>
          <w:sz w:val="28"/>
          <w:szCs w:val="28"/>
        </w:rPr>
      </w:pPr>
      <w:r w:rsidRPr="006E4F57">
        <w:rPr>
          <w:rFonts w:ascii="Times New Roman" w:hAnsi="Times New Roman"/>
          <w:sz w:val="28"/>
          <w:szCs w:val="28"/>
        </w:rPr>
        <w:t>Концепция федеральной целевой программы «Развитие внутреннего и въездного туризма в Российской Федерации (2019-2025 годы)» (утверждена распоряжением Правительства Российской Федерации от 05.05.2018 № 872</w:t>
      </w:r>
      <w:r w:rsidRPr="006E4F57">
        <w:rPr>
          <w:rFonts w:ascii="Times New Roman" w:hAnsi="Times New Roman"/>
          <w:sz w:val="28"/>
          <w:szCs w:val="28"/>
        </w:rPr>
        <w:noBreakHyphen/>
        <w:t xml:space="preserve">р); </w:t>
      </w:r>
    </w:p>
    <w:p w:rsidR="002D1E45" w:rsidRPr="006E4F57" w:rsidRDefault="002D1E45" w:rsidP="00852938">
      <w:pPr>
        <w:numPr>
          <w:ilvl w:val="0"/>
          <w:numId w:val="92"/>
        </w:numPr>
        <w:tabs>
          <w:tab w:val="left" w:pos="1134"/>
        </w:tabs>
        <w:spacing w:after="0" w:line="240" w:lineRule="auto"/>
        <w:ind w:left="1134"/>
        <w:jc w:val="both"/>
        <w:rPr>
          <w:rFonts w:ascii="Times New Roman" w:hAnsi="Times New Roman"/>
          <w:sz w:val="28"/>
          <w:szCs w:val="24"/>
        </w:rPr>
      </w:pPr>
      <w:r w:rsidRPr="006E4F57">
        <w:rPr>
          <w:rFonts w:ascii="Times New Roman" w:hAnsi="Times New Roman"/>
          <w:sz w:val="28"/>
          <w:szCs w:val="28"/>
        </w:rPr>
        <w:t>Государственная программа Российской Федерации «Развитие культуры» (утверждена постановлением Правительства Российской Федерации от 15.04.2014 № 317</w:t>
      </w:r>
      <w:r w:rsidRPr="006E4F57">
        <w:rPr>
          <w:rFonts w:ascii="Times New Roman" w:hAnsi="Times New Roman"/>
          <w:sz w:val="28"/>
          <w:szCs w:val="24"/>
        </w:rPr>
        <w:t>);</w:t>
      </w:r>
    </w:p>
    <w:p w:rsidR="002D1E45" w:rsidRPr="006E4F57" w:rsidRDefault="002D1E45" w:rsidP="00852938">
      <w:pPr>
        <w:numPr>
          <w:ilvl w:val="0"/>
          <w:numId w:val="92"/>
        </w:numPr>
        <w:tabs>
          <w:tab w:val="left" w:pos="1134"/>
        </w:tabs>
        <w:spacing w:after="0" w:line="240" w:lineRule="auto"/>
        <w:ind w:left="1134"/>
        <w:jc w:val="both"/>
        <w:rPr>
          <w:rFonts w:ascii="Times New Roman" w:hAnsi="Times New Roman"/>
          <w:sz w:val="28"/>
          <w:szCs w:val="28"/>
        </w:rPr>
      </w:pPr>
      <w:r w:rsidRPr="006E4F57">
        <w:rPr>
          <w:rFonts w:ascii="Times New Roman" w:hAnsi="Times New Roman"/>
          <w:sz w:val="28"/>
          <w:szCs w:val="28"/>
        </w:rPr>
        <w:t>Государственная программа Новосибирской области «Стимулирование инвестиционной и инновационной активности в Новосибирской области на 2015-2023 годы» (утверждена постановлением правительства Новосибирской области от 01.04.2015 № 126-п).</w:t>
      </w:r>
    </w:p>
    <w:p w:rsidR="002D1E45" w:rsidRPr="006E4F57" w:rsidRDefault="002D1E45" w:rsidP="00852938">
      <w:pPr>
        <w:numPr>
          <w:ilvl w:val="0"/>
          <w:numId w:val="92"/>
        </w:numPr>
        <w:tabs>
          <w:tab w:val="left" w:pos="1134"/>
        </w:tabs>
        <w:spacing w:after="0" w:line="240" w:lineRule="auto"/>
        <w:ind w:left="1134"/>
        <w:jc w:val="both"/>
        <w:rPr>
          <w:rFonts w:ascii="Times New Roman" w:hAnsi="Times New Roman"/>
          <w:sz w:val="28"/>
          <w:szCs w:val="28"/>
        </w:rPr>
      </w:pPr>
      <w:r w:rsidRPr="006E4F57">
        <w:rPr>
          <w:rFonts w:ascii="Times New Roman" w:hAnsi="Times New Roman"/>
          <w:sz w:val="28"/>
          <w:szCs w:val="28"/>
        </w:rPr>
        <w:t>Стратегия социально-экономического развития Куйбышевского района до 2030 года.</w:t>
      </w:r>
    </w:p>
    <w:p w:rsidR="002D1E45" w:rsidRDefault="002D1E45" w:rsidP="00DD760A">
      <w:pPr>
        <w:tabs>
          <w:tab w:val="left" w:pos="2346"/>
        </w:tabs>
        <w:spacing w:after="0" w:line="240" w:lineRule="auto"/>
        <w:jc w:val="both"/>
        <w:rPr>
          <w:rFonts w:ascii="Times New Roman" w:hAnsi="Times New Roman"/>
          <w:sz w:val="28"/>
          <w:szCs w:val="28"/>
        </w:rPr>
      </w:pPr>
      <w:r>
        <w:rPr>
          <w:rFonts w:ascii="Times New Roman" w:hAnsi="Times New Roman"/>
          <w:sz w:val="28"/>
          <w:szCs w:val="28"/>
        </w:rPr>
        <w:tab/>
      </w:r>
    </w:p>
    <w:p w:rsidR="002D1E45" w:rsidRPr="00370D91" w:rsidRDefault="002D1E45" w:rsidP="00852938">
      <w:pPr>
        <w:pStyle w:val="Heading3"/>
        <w:numPr>
          <w:ilvl w:val="2"/>
          <w:numId w:val="65"/>
        </w:numPr>
        <w:tabs>
          <w:tab w:val="left" w:pos="1418"/>
        </w:tabs>
        <w:spacing w:before="120"/>
        <w:ind w:left="1418" w:hanging="698"/>
        <w:jc w:val="both"/>
        <w:rPr>
          <w:rFonts w:ascii="Times New Roman" w:hAnsi="Times New Roman"/>
          <w:sz w:val="28"/>
        </w:rPr>
      </w:pPr>
      <w:bookmarkStart w:id="102" w:name="_Toc84936017"/>
      <w:r w:rsidRPr="00370D91">
        <w:rPr>
          <w:rFonts w:ascii="Times New Roman" w:hAnsi="Times New Roman"/>
          <w:sz w:val="28"/>
        </w:rPr>
        <w:t>Особо охраняемые природные территории</w:t>
      </w:r>
      <w:bookmarkEnd w:id="102"/>
    </w:p>
    <w:p w:rsidR="002D1E45" w:rsidRDefault="002D1E45" w:rsidP="00370D91">
      <w:pPr>
        <w:spacing w:after="0" w:line="240" w:lineRule="auto"/>
        <w:ind w:firstLine="709"/>
        <w:contextualSpacing/>
        <w:jc w:val="both"/>
        <w:rPr>
          <w:rFonts w:ascii="Times New Roman" w:hAnsi="Times New Roman"/>
          <w:sz w:val="28"/>
          <w:szCs w:val="24"/>
        </w:rPr>
      </w:pPr>
    </w:p>
    <w:p w:rsidR="002D1E45" w:rsidRPr="00320778" w:rsidRDefault="002D1E45" w:rsidP="00320778">
      <w:pPr>
        <w:spacing w:after="0" w:line="240" w:lineRule="auto"/>
        <w:ind w:firstLine="709"/>
        <w:contextualSpacing/>
        <w:jc w:val="both"/>
        <w:rPr>
          <w:rFonts w:ascii="Times New Roman" w:hAnsi="Times New Roman"/>
          <w:sz w:val="28"/>
          <w:szCs w:val="24"/>
        </w:rPr>
      </w:pPr>
      <w:r w:rsidRPr="00320778">
        <w:rPr>
          <w:rFonts w:ascii="Times New Roman" w:hAnsi="Times New Roman"/>
          <w:sz w:val="28"/>
          <w:szCs w:val="24"/>
        </w:rPr>
        <w:t>Особо охраняемые природные территории (далее – ООПТ) – участки земли, водной поверхности и воздушного пространства над ними, где располагаются природные комплексы и объекты, которые имеют особое природоохранное, научное, культурное, эстетическое, рекреационное и оздоровительное значение, изъяты решениями органов государственной власти полностью или частично из хозяйственного использования и для которых установлен режим особой охраны.</w:t>
      </w:r>
    </w:p>
    <w:p w:rsidR="002D1E45" w:rsidRPr="00320778" w:rsidRDefault="002D1E45" w:rsidP="00320778">
      <w:pPr>
        <w:spacing w:after="0" w:line="240" w:lineRule="auto"/>
        <w:ind w:firstLine="709"/>
        <w:contextualSpacing/>
        <w:jc w:val="both"/>
        <w:rPr>
          <w:rFonts w:ascii="Times New Roman" w:hAnsi="Times New Roman"/>
          <w:sz w:val="28"/>
          <w:szCs w:val="24"/>
        </w:rPr>
      </w:pPr>
      <w:r w:rsidRPr="00320778">
        <w:rPr>
          <w:rFonts w:ascii="Times New Roman" w:hAnsi="Times New Roman"/>
          <w:sz w:val="28"/>
          <w:szCs w:val="24"/>
        </w:rPr>
        <w:t>ООПТ предназначены для сохранения типичных и уникальных природных комплексов, и ландшафтов, биологического разнообразия животного и растительного мира, охраны объектов природного и культурного наследия, а также для сохранения благоприятной окружающей среды и необходимых условий для жизнедеятельности населения. Создание и сохранение ООПТ является наиболее эффективной формой для поддержания экологического баланса и природоохранной деятельности.</w:t>
      </w:r>
    </w:p>
    <w:p w:rsidR="002D1E45" w:rsidRPr="00320778" w:rsidRDefault="002D1E45" w:rsidP="00320778">
      <w:pPr>
        <w:spacing w:after="0" w:line="240" w:lineRule="auto"/>
        <w:ind w:firstLine="709"/>
        <w:contextualSpacing/>
        <w:jc w:val="both"/>
        <w:rPr>
          <w:rFonts w:ascii="Times New Roman" w:hAnsi="Times New Roman"/>
          <w:sz w:val="28"/>
          <w:szCs w:val="24"/>
        </w:rPr>
      </w:pPr>
      <w:r w:rsidRPr="00320778">
        <w:rPr>
          <w:rFonts w:ascii="Times New Roman" w:hAnsi="Times New Roman"/>
          <w:sz w:val="28"/>
          <w:szCs w:val="24"/>
        </w:rPr>
        <w:t>Отношения в области организации, охраны и использования ООПТ регулируются Федеральным законом от 14.03.1995 № 33-ФЗ «Об особо охраняемых природных территориях».</w:t>
      </w:r>
    </w:p>
    <w:p w:rsidR="002D1E45" w:rsidRPr="00320778" w:rsidRDefault="002D1E45" w:rsidP="00320778">
      <w:pPr>
        <w:spacing w:after="0" w:line="240" w:lineRule="auto"/>
        <w:ind w:firstLine="709"/>
        <w:contextualSpacing/>
        <w:jc w:val="both"/>
        <w:rPr>
          <w:rFonts w:ascii="Times New Roman" w:hAnsi="Times New Roman"/>
          <w:sz w:val="28"/>
          <w:szCs w:val="24"/>
        </w:rPr>
      </w:pPr>
      <w:r w:rsidRPr="00320778">
        <w:rPr>
          <w:rFonts w:ascii="Times New Roman" w:hAnsi="Times New Roman"/>
          <w:sz w:val="28"/>
          <w:szCs w:val="24"/>
        </w:rPr>
        <w:t>На территории города ООПТ не размещаются.</w:t>
      </w:r>
    </w:p>
    <w:p w:rsidR="002D1E45" w:rsidRDefault="002D1E45" w:rsidP="004F2016">
      <w:pPr>
        <w:spacing w:after="0" w:line="240" w:lineRule="auto"/>
        <w:ind w:firstLine="709"/>
        <w:contextualSpacing/>
        <w:jc w:val="both"/>
        <w:rPr>
          <w:rFonts w:ascii="Times New Roman" w:hAnsi="Times New Roman"/>
          <w:sz w:val="28"/>
          <w:szCs w:val="28"/>
        </w:rPr>
      </w:pPr>
    </w:p>
    <w:p w:rsidR="002D1E45" w:rsidRPr="00480575" w:rsidRDefault="002D1E45" w:rsidP="00D05D06">
      <w:pPr>
        <w:pStyle w:val="Heading1"/>
        <w:numPr>
          <w:ilvl w:val="0"/>
          <w:numId w:val="65"/>
        </w:numPr>
        <w:spacing w:line="240" w:lineRule="auto"/>
        <w:rPr>
          <w:b/>
          <w:sz w:val="32"/>
        </w:rPr>
      </w:pPr>
      <w:bookmarkStart w:id="103" w:name="_Toc84936018"/>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r w:rsidRPr="00480575">
        <w:rPr>
          <w:b/>
          <w:sz w:val="32"/>
        </w:rPr>
        <w:t xml:space="preserve">Современное использование территории </w:t>
      </w:r>
      <w:r>
        <w:rPr>
          <w:b/>
          <w:sz w:val="32"/>
        </w:rPr>
        <w:t>города Куйбышева</w:t>
      </w:r>
      <w:bookmarkEnd w:id="103"/>
    </w:p>
    <w:p w:rsidR="002D1E45" w:rsidRPr="00AA0C45" w:rsidRDefault="002D1E45" w:rsidP="000D4F86">
      <w:pPr>
        <w:spacing w:after="0" w:line="240" w:lineRule="auto"/>
        <w:rPr>
          <w:sz w:val="28"/>
          <w:szCs w:val="28"/>
          <w:lang w:eastAsia="ru-RU"/>
        </w:rPr>
      </w:pPr>
      <w:bookmarkStart w:id="104" w:name="_Toc373678847"/>
      <w:bookmarkStart w:id="105" w:name="_Toc391717235"/>
      <w:bookmarkStart w:id="106" w:name="_Toc391717340"/>
      <w:bookmarkStart w:id="107" w:name="_Toc397187970"/>
      <w:bookmarkStart w:id="108" w:name="_Toc397241478"/>
      <w:bookmarkStart w:id="109" w:name="_Toc402346726"/>
      <w:bookmarkStart w:id="110" w:name="_Toc373678854"/>
      <w:bookmarkEnd w:id="104"/>
      <w:bookmarkEnd w:id="105"/>
      <w:bookmarkEnd w:id="106"/>
      <w:bookmarkEnd w:id="107"/>
      <w:bookmarkEnd w:id="108"/>
      <w:bookmarkEnd w:id="109"/>
      <w:bookmarkEnd w:id="110"/>
    </w:p>
    <w:p w:rsidR="002D1E45" w:rsidRDefault="002D1E45" w:rsidP="00DA1A61">
      <w:pPr>
        <w:spacing w:after="0" w:line="240" w:lineRule="auto"/>
        <w:ind w:firstLine="709"/>
        <w:contextualSpacing/>
        <w:jc w:val="both"/>
        <w:rPr>
          <w:rFonts w:ascii="Times New Roman" w:hAnsi="Times New Roman"/>
          <w:sz w:val="28"/>
          <w:szCs w:val="24"/>
        </w:rPr>
      </w:pPr>
      <w:r w:rsidRPr="00C64B99">
        <w:rPr>
          <w:rFonts w:ascii="Times New Roman" w:hAnsi="Times New Roman"/>
          <w:sz w:val="28"/>
          <w:szCs w:val="24"/>
        </w:rPr>
        <w:t>Раздел разработан на</w:t>
      </w:r>
      <w:r>
        <w:rPr>
          <w:rFonts w:ascii="Times New Roman" w:hAnsi="Times New Roman"/>
          <w:sz w:val="28"/>
          <w:szCs w:val="24"/>
        </w:rPr>
        <w:t> </w:t>
      </w:r>
      <w:r w:rsidRPr="00C64B99">
        <w:rPr>
          <w:rFonts w:ascii="Times New Roman" w:hAnsi="Times New Roman"/>
          <w:sz w:val="28"/>
          <w:szCs w:val="24"/>
        </w:rPr>
        <w:t>основе анализа отчётов о</w:t>
      </w:r>
      <w:r>
        <w:rPr>
          <w:rFonts w:ascii="Times New Roman" w:hAnsi="Times New Roman"/>
          <w:sz w:val="28"/>
          <w:szCs w:val="24"/>
        </w:rPr>
        <w:t> </w:t>
      </w:r>
      <w:r w:rsidRPr="00C64B99">
        <w:rPr>
          <w:rFonts w:ascii="Times New Roman" w:hAnsi="Times New Roman"/>
          <w:sz w:val="28"/>
          <w:szCs w:val="24"/>
        </w:rPr>
        <w:t xml:space="preserve">социально-экономическом развитии </w:t>
      </w:r>
      <w:r>
        <w:rPr>
          <w:rFonts w:ascii="Times New Roman" w:hAnsi="Times New Roman"/>
          <w:sz w:val="28"/>
          <w:szCs w:val="24"/>
        </w:rPr>
        <w:t>города Куйбышева</w:t>
      </w:r>
      <w:r w:rsidRPr="006270E2">
        <w:rPr>
          <w:rFonts w:ascii="Times New Roman" w:hAnsi="Times New Roman"/>
          <w:sz w:val="28"/>
          <w:szCs w:val="24"/>
        </w:rPr>
        <w:t xml:space="preserve"> </w:t>
      </w:r>
      <w:r w:rsidRPr="00C64B99">
        <w:rPr>
          <w:rFonts w:ascii="Times New Roman" w:hAnsi="Times New Roman"/>
          <w:sz w:val="28"/>
          <w:szCs w:val="24"/>
        </w:rPr>
        <w:t>и</w:t>
      </w:r>
      <w:r>
        <w:rPr>
          <w:rFonts w:ascii="Times New Roman" w:hAnsi="Times New Roman"/>
          <w:sz w:val="28"/>
          <w:szCs w:val="24"/>
        </w:rPr>
        <w:t> </w:t>
      </w:r>
      <w:r w:rsidRPr="00C64B99">
        <w:rPr>
          <w:rFonts w:ascii="Times New Roman" w:hAnsi="Times New Roman"/>
          <w:sz w:val="28"/>
          <w:szCs w:val="24"/>
        </w:rPr>
        <w:t>информации, представленной администраци</w:t>
      </w:r>
      <w:r>
        <w:rPr>
          <w:rFonts w:ascii="Times New Roman" w:hAnsi="Times New Roman"/>
          <w:sz w:val="28"/>
          <w:szCs w:val="24"/>
        </w:rPr>
        <w:t>ей города Куйбышева</w:t>
      </w:r>
      <w:r w:rsidRPr="00C64B99">
        <w:rPr>
          <w:rFonts w:ascii="Times New Roman" w:hAnsi="Times New Roman"/>
          <w:sz w:val="28"/>
          <w:szCs w:val="24"/>
        </w:rPr>
        <w:t>.</w:t>
      </w:r>
    </w:p>
    <w:p w:rsidR="002D1E45" w:rsidRDefault="002D1E45" w:rsidP="00DA1A61">
      <w:pPr>
        <w:spacing w:after="0" w:line="240" w:lineRule="auto"/>
        <w:ind w:firstLine="709"/>
        <w:contextualSpacing/>
        <w:jc w:val="both"/>
        <w:rPr>
          <w:rFonts w:ascii="Times New Roman" w:hAnsi="Times New Roman"/>
          <w:sz w:val="28"/>
          <w:szCs w:val="24"/>
        </w:rPr>
      </w:pPr>
    </w:p>
    <w:p w:rsidR="002D1E45" w:rsidRDefault="002D1E45" w:rsidP="00DA1A61">
      <w:pPr>
        <w:spacing w:after="0" w:line="240" w:lineRule="auto"/>
        <w:ind w:firstLine="709"/>
        <w:contextualSpacing/>
        <w:jc w:val="both"/>
        <w:rPr>
          <w:rFonts w:ascii="Times New Roman" w:hAnsi="Times New Roman"/>
          <w:sz w:val="28"/>
          <w:szCs w:val="24"/>
        </w:rPr>
      </w:pPr>
    </w:p>
    <w:p w:rsidR="002D1E45" w:rsidRPr="00320778" w:rsidRDefault="002D1E45" w:rsidP="00852938">
      <w:pPr>
        <w:pStyle w:val="Heading2"/>
        <w:numPr>
          <w:ilvl w:val="1"/>
          <w:numId w:val="65"/>
        </w:numPr>
        <w:tabs>
          <w:tab w:val="clear" w:pos="794"/>
          <w:tab w:val="num" w:pos="993"/>
        </w:tabs>
        <w:ind w:left="993" w:hanging="633"/>
        <w:jc w:val="both"/>
        <w:rPr>
          <w:b/>
        </w:rPr>
      </w:pPr>
      <w:bookmarkStart w:id="111" w:name="_Toc373678858"/>
      <w:bookmarkStart w:id="112" w:name="_Toc84936019"/>
      <w:bookmarkEnd w:id="111"/>
      <w:r w:rsidRPr="00320778">
        <w:rPr>
          <w:b/>
        </w:rPr>
        <w:t>Анализ демографической ситуации, занятости и уровня жизни в г. Куйбышеве</w:t>
      </w:r>
      <w:bookmarkEnd w:id="112"/>
    </w:p>
    <w:p w:rsidR="002D1E45" w:rsidRPr="000D4F86" w:rsidRDefault="002D1E45" w:rsidP="000D4F86">
      <w:pPr>
        <w:spacing w:after="0" w:line="240" w:lineRule="auto"/>
        <w:rPr>
          <w:sz w:val="28"/>
          <w:szCs w:val="28"/>
          <w:lang w:eastAsia="ru-RU"/>
        </w:rPr>
      </w:pPr>
    </w:p>
    <w:p w:rsidR="002D1E45" w:rsidRPr="00E0093C" w:rsidRDefault="002D1E45" w:rsidP="00E0093C">
      <w:pPr>
        <w:spacing w:after="0" w:line="240" w:lineRule="auto"/>
        <w:ind w:firstLine="709"/>
        <w:jc w:val="both"/>
        <w:rPr>
          <w:rFonts w:ascii="Times New Roman" w:hAnsi="Times New Roman"/>
          <w:sz w:val="28"/>
          <w:szCs w:val="28"/>
          <w:lang w:eastAsia="ru-RU"/>
        </w:rPr>
      </w:pPr>
      <w:r w:rsidRPr="00E0093C">
        <w:rPr>
          <w:rFonts w:ascii="Times New Roman" w:hAnsi="Times New Roman"/>
          <w:sz w:val="28"/>
          <w:szCs w:val="28"/>
          <w:lang w:eastAsia="ru-RU"/>
        </w:rPr>
        <w:t>Одним из</w:t>
      </w:r>
      <w:r>
        <w:rPr>
          <w:rFonts w:ascii="Times New Roman" w:hAnsi="Times New Roman"/>
          <w:sz w:val="28"/>
          <w:szCs w:val="28"/>
          <w:lang w:eastAsia="ru-RU"/>
        </w:rPr>
        <w:t> </w:t>
      </w:r>
      <w:r w:rsidRPr="00E0093C">
        <w:rPr>
          <w:rFonts w:ascii="Times New Roman" w:hAnsi="Times New Roman"/>
          <w:sz w:val="28"/>
          <w:szCs w:val="28"/>
          <w:lang w:eastAsia="ru-RU"/>
        </w:rPr>
        <w:t xml:space="preserve">важнейших факторов, обеспечивающих конкурентоспособность </w:t>
      </w:r>
      <w:r>
        <w:rPr>
          <w:rFonts w:ascii="Times New Roman" w:hAnsi="Times New Roman"/>
          <w:sz w:val="28"/>
          <w:szCs w:val="28"/>
          <w:lang w:eastAsia="ru-RU"/>
        </w:rPr>
        <w:t>любой территориальной единицы</w:t>
      </w:r>
      <w:r w:rsidRPr="00E0093C">
        <w:rPr>
          <w:rFonts w:ascii="Times New Roman" w:hAnsi="Times New Roman"/>
          <w:sz w:val="28"/>
          <w:szCs w:val="28"/>
          <w:lang w:eastAsia="ru-RU"/>
        </w:rPr>
        <w:t>, является наличие достаточного количества трудовых ресурсов, что, в</w:t>
      </w:r>
      <w:r>
        <w:rPr>
          <w:rFonts w:ascii="Times New Roman" w:hAnsi="Times New Roman"/>
          <w:sz w:val="28"/>
          <w:szCs w:val="28"/>
          <w:lang w:eastAsia="ru-RU"/>
        </w:rPr>
        <w:t> </w:t>
      </w:r>
      <w:r w:rsidRPr="00E0093C">
        <w:rPr>
          <w:rFonts w:ascii="Times New Roman" w:hAnsi="Times New Roman"/>
          <w:sz w:val="28"/>
          <w:szCs w:val="28"/>
          <w:lang w:eastAsia="ru-RU"/>
        </w:rPr>
        <w:t>свою очередь, зависит от</w:t>
      </w:r>
      <w:r>
        <w:rPr>
          <w:rFonts w:ascii="Times New Roman" w:hAnsi="Times New Roman"/>
          <w:sz w:val="28"/>
          <w:szCs w:val="28"/>
          <w:lang w:eastAsia="ru-RU"/>
        </w:rPr>
        <w:t> </w:t>
      </w:r>
      <w:r w:rsidRPr="00E0093C">
        <w:rPr>
          <w:rFonts w:ascii="Times New Roman" w:hAnsi="Times New Roman"/>
          <w:sz w:val="28"/>
          <w:szCs w:val="28"/>
          <w:lang w:eastAsia="ru-RU"/>
        </w:rPr>
        <w:t>демографической ситуации.</w:t>
      </w:r>
    </w:p>
    <w:p w:rsidR="002D1E45" w:rsidRPr="00E0093C" w:rsidRDefault="002D1E45" w:rsidP="00E0093C">
      <w:pPr>
        <w:spacing w:after="0" w:line="240" w:lineRule="auto"/>
        <w:ind w:firstLine="709"/>
        <w:jc w:val="both"/>
        <w:rPr>
          <w:rFonts w:ascii="Times New Roman" w:hAnsi="Times New Roman"/>
          <w:sz w:val="28"/>
          <w:szCs w:val="28"/>
          <w:lang w:eastAsia="ru-RU"/>
        </w:rPr>
      </w:pPr>
      <w:bookmarkStart w:id="113" w:name="_Hlk5978105"/>
      <w:r w:rsidRPr="00E0093C">
        <w:rPr>
          <w:rFonts w:ascii="Times New Roman" w:hAnsi="Times New Roman"/>
          <w:sz w:val="28"/>
          <w:szCs w:val="28"/>
          <w:lang w:eastAsia="ru-RU"/>
        </w:rPr>
        <w:t>Демографическая ситуация, сложившаяся в</w:t>
      </w:r>
      <w:r>
        <w:rPr>
          <w:rFonts w:ascii="Times New Roman" w:hAnsi="Times New Roman"/>
          <w:sz w:val="28"/>
          <w:szCs w:val="28"/>
          <w:lang w:eastAsia="ru-RU"/>
        </w:rPr>
        <w:t xml:space="preserve"> анализируемом населённом пункте, </w:t>
      </w:r>
      <w:r w:rsidRPr="00E0093C">
        <w:rPr>
          <w:rFonts w:ascii="Times New Roman" w:hAnsi="Times New Roman"/>
          <w:sz w:val="28"/>
          <w:szCs w:val="28"/>
          <w:lang w:eastAsia="ru-RU"/>
        </w:rPr>
        <w:t xml:space="preserve">характеризуется </w:t>
      </w:r>
      <w:r>
        <w:rPr>
          <w:rFonts w:ascii="Times New Roman" w:hAnsi="Times New Roman"/>
          <w:sz w:val="28"/>
          <w:szCs w:val="28"/>
          <w:lang w:eastAsia="ru-RU"/>
        </w:rPr>
        <w:t>стабильным</w:t>
      </w:r>
      <w:r w:rsidRPr="00FF14A9">
        <w:rPr>
          <w:rFonts w:ascii="Times New Roman" w:hAnsi="Times New Roman"/>
          <w:sz w:val="28"/>
          <w:szCs w:val="28"/>
          <w:lang w:eastAsia="ru-RU"/>
        </w:rPr>
        <w:t xml:space="preserve"> </w:t>
      </w:r>
      <w:r w:rsidRPr="00E0093C">
        <w:rPr>
          <w:rFonts w:ascii="Times New Roman" w:hAnsi="Times New Roman"/>
          <w:sz w:val="28"/>
          <w:szCs w:val="28"/>
          <w:lang w:eastAsia="ru-RU"/>
        </w:rPr>
        <w:t>за</w:t>
      </w:r>
      <w:r>
        <w:rPr>
          <w:rFonts w:ascii="Times New Roman" w:hAnsi="Times New Roman"/>
          <w:sz w:val="28"/>
          <w:szCs w:val="28"/>
          <w:lang w:eastAsia="ru-RU"/>
        </w:rPr>
        <w:t> </w:t>
      </w:r>
      <w:r w:rsidRPr="00E0093C">
        <w:rPr>
          <w:rFonts w:ascii="Times New Roman" w:hAnsi="Times New Roman"/>
          <w:sz w:val="28"/>
          <w:szCs w:val="28"/>
          <w:lang w:eastAsia="ru-RU"/>
        </w:rPr>
        <w:t>период 20</w:t>
      </w:r>
      <w:r>
        <w:rPr>
          <w:rFonts w:ascii="Times New Roman" w:hAnsi="Times New Roman"/>
          <w:sz w:val="28"/>
          <w:szCs w:val="28"/>
          <w:lang w:eastAsia="ru-RU"/>
        </w:rPr>
        <w:t>15</w:t>
      </w:r>
      <w:r w:rsidRPr="00E0093C">
        <w:rPr>
          <w:rFonts w:ascii="Times New Roman" w:hAnsi="Times New Roman"/>
          <w:sz w:val="28"/>
          <w:szCs w:val="28"/>
          <w:lang w:eastAsia="ru-RU"/>
        </w:rPr>
        <w:t>-20</w:t>
      </w:r>
      <w:r>
        <w:rPr>
          <w:rFonts w:ascii="Times New Roman" w:hAnsi="Times New Roman"/>
          <w:sz w:val="28"/>
          <w:szCs w:val="28"/>
          <w:lang w:eastAsia="ru-RU"/>
        </w:rPr>
        <w:t>20</w:t>
      </w:r>
      <w:r w:rsidRPr="00E0093C">
        <w:rPr>
          <w:rFonts w:ascii="Times New Roman" w:hAnsi="Times New Roman"/>
          <w:sz w:val="28"/>
          <w:szCs w:val="28"/>
          <w:lang w:eastAsia="ru-RU"/>
        </w:rPr>
        <w:t xml:space="preserve"> гг.</w:t>
      </w:r>
      <w:r>
        <w:rPr>
          <w:rFonts w:ascii="Times New Roman" w:hAnsi="Times New Roman"/>
          <w:sz w:val="28"/>
          <w:szCs w:val="28"/>
          <w:lang w:eastAsia="ru-RU"/>
        </w:rPr>
        <w:t xml:space="preserve"> снижением численности населения</w:t>
      </w:r>
      <w:r w:rsidRPr="00E0093C">
        <w:rPr>
          <w:rFonts w:ascii="Times New Roman" w:hAnsi="Times New Roman"/>
          <w:sz w:val="28"/>
          <w:szCs w:val="28"/>
          <w:lang w:eastAsia="ru-RU"/>
        </w:rPr>
        <w:t>.  </w:t>
      </w:r>
    </w:p>
    <w:p w:rsidR="002D1E45" w:rsidRPr="00E0093C" w:rsidRDefault="002D1E45" w:rsidP="00E0093C">
      <w:pPr>
        <w:spacing w:after="0" w:line="240" w:lineRule="auto"/>
        <w:ind w:firstLine="709"/>
        <w:jc w:val="both"/>
        <w:rPr>
          <w:rFonts w:ascii="Times New Roman" w:hAnsi="Times New Roman"/>
          <w:sz w:val="28"/>
          <w:szCs w:val="28"/>
          <w:lang w:eastAsia="ru-RU"/>
        </w:rPr>
      </w:pPr>
      <w:r w:rsidRPr="00E0093C">
        <w:rPr>
          <w:rFonts w:ascii="Times New Roman" w:hAnsi="Times New Roman"/>
          <w:sz w:val="28"/>
          <w:szCs w:val="28"/>
          <w:lang w:eastAsia="ru-RU"/>
        </w:rPr>
        <w:t xml:space="preserve">За </w:t>
      </w:r>
      <w:r>
        <w:rPr>
          <w:rFonts w:ascii="Times New Roman" w:hAnsi="Times New Roman"/>
          <w:sz w:val="28"/>
          <w:szCs w:val="28"/>
          <w:lang w:eastAsia="ru-RU"/>
        </w:rPr>
        <w:t xml:space="preserve">данный период среднегодовая </w:t>
      </w:r>
      <w:r w:rsidRPr="00E0093C">
        <w:rPr>
          <w:rFonts w:ascii="Times New Roman" w:hAnsi="Times New Roman"/>
          <w:sz w:val="28"/>
          <w:szCs w:val="28"/>
          <w:lang w:eastAsia="ru-RU"/>
        </w:rPr>
        <w:t xml:space="preserve">численность населения </w:t>
      </w:r>
      <w:r>
        <w:rPr>
          <w:rFonts w:ascii="Times New Roman" w:hAnsi="Times New Roman"/>
          <w:sz w:val="28"/>
          <w:szCs w:val="28"/>
          <w:lang w:eastAsia="ru-RU"/>
        </w:rPr>
        <w:t>уменьшилась</w:t>
      </w:r>
      <w:r w:rsidRPr="00E0093C">
        <w:rPr>
          <w:rFonts w:ascii="Times New Roman" w:hAnsi="Times New Roman"/>
          <w:sz w:val="28"/>
          <w:szCs w:val="28"/>
          <w:lang w:eastAsia="ru-RU"/>
        </w:rPr>
        <w:t xml:space="preserve"> на </w:t>
      </w:r>
      <w:r>
        <w:rPr>
          <w:rFonts w:ascii="Times New Roman" w:hAnsi="Times New Roman"/>
          <w:sz w:val="28"/>
          <w:szCs w:val="28"/>
          <w:lang w:eastAsia="ru-RU"/>
        </w:rPr>
        <w:t>1091</w:t>
      </w:r>
      <w:r w:rsidRPr="00E0093C">
        <w:rPr>
          <w:rFonts w:ascii="Times New Roman" w:hAnsi="Times New Roman"/>
          <w:sz w:val="28"/>
          <w:szCs w:val="28"/>
          <w:lang w:eastAsia="ru-RU"/>
        </w:rPr>
        <w:t xml:space="preserve"> человек</w:t>
      </w:r>
      <w:r>
        <w:rPr>
          <w:rFonts w:ascii="Times New Roman" w:hAnsi="Times New Roman"/>
          <w:sz w:val="28"/>
          <w:szCs w:val="28"/>
          <w:lang w:eastAsia="ru-RU"/>
        </w:rPr>
        <w:t>а</w:t>
      </w:r>
      <w:r w:rsidRPr="00E0093C">
        <w:rPr>
          <w:rFonts w:ascii="Times New Roman" w:hAnsi="Times New Roman"/>
          <w:sz w:val="28"/>
          <w:szCs w:val="28"/>
          <w:lang w:eastAsia="ru-RU"/>
        </w:rPr>
        <w:t xml:space="preserve"> и</w:t>
      </w:r>
      <w:r>
        <w:rPr>
          <w:rFonts w:ascii="Times New Roman" w:hAnsi="Times New Roman"/>
          <w:sz w:val="28"/>
          <w:szCs w:val="28"/>
          <w:lang w:eastAsia="ru-RU"/>
        </w:rPr>
        <w:t> на начало</w:t>
      </w:r>
      <w:r w:rsidRPr="00E0093C">
        <w:rPr>
          <w:rFonts w:ascii="Times New Roman" w:hAnsi="Times New Roman"/>
          <w:sz w:val="28"/>
          <w:szCs w:val="28"/>
          <w:lang w:eastAsia="ru-RU"/>
        </w:rPr>
        <w:t xml:space="preserve"> 20</w:t>
      </w:r>
      <w:r>
        <w:rPr>
          <w:rFonts w:ascii="Times New Roman" w:hAnsi="Times New Roman"/>
          <w:sz w:val="28"/>
          <w:szCs w:val="28"/>
          <w:lang w:eastAsia="ru-RU"/>
        </w:rPr>
        <w:t xml:space="preserve">20 </w:t>
      </w:r>
      <w:r w:rsidRPr="00E0093C">
        <w:rPr>
          <w:rFonts w:ascii="Times New Roman" w:hAnsi="Times New Roman"/>
          <w:sz w:val="28"/>
          <w:szCs w:val="28"/>
          <w:lang w:eastAsia="ru-RU"/>
        </w:rPr>
        <w:t>год</w:t>
      </w:r>
      <w:r>
        <w:rPr>
          <w:rFonts w:ascii="Times New Roman" w:hAnsi="Times New Roman"/>
          <w:sz w:val="28"/>
          <w:szCs w:val="28"/>
          <w:lang w:eastAsia="ru-RU"/>
        </w:rPr>
        <w:t>а</w:t>
      </w:r>
      <w:r w:rsidRPr="00E0093C">
        <w:rPr>
          <w:rFonts w:ascii="Times New Roman" w:hAnsi="Times New Roman"/>
          <w:sz w:val="28"/>
          <w:szCs w:val="28"/>
          <w:lang w:eastAsia="ru-RU"/>
        </w:rPr>
        <w:t xml:space="preserve"> составила </w:t>
      </w:r>
      <w:r>
        <w:rPr>
          <w:rFonts w:ascii="Times New Roman" w:hAnsi="Times New Roman"/>
          <w:sz w:val="28"/>
          <w:szCs w:val="28"/>
          <w:lang w:eastAsia="ru-RU"/>
        </w:rPr>
        <w:t>по данным ФСГС РФ, 43 536</w:t>
      </w:r>
      <w:r w:rsidRPr="00E0093C">
        <w:rPr>
          <w:rFonts w:ascii="Times New Roman" w:hAnsi="Times New Roman"/>
          <w:sz w:val="28"/>
          <w:szCs w:val="28"/>
          <w:lang w:eastAsia="ru-RU"/>
        </w:rPr>
        <w:t xml:space="preserve"> человек против </w:t>
      </w:r>
      <w:r>
        <w:rPr>
          <w:rFonts w:ascii="Times New Roman" w:hAnsi="Times New Roman"/>
          <w:sz w:val="28"/>
          <w:szCs w:val="28"/>
          <w:lang w:eastAsia="ru-RU"/>
        </w:rPr>
        <w:t>44 627</w:t>
      </w:r>
      <w:r w:rsidRPr="00E0093C">
        <w:rPr>
          <w:rFonts w:ascii="Times New Roman" w:hAnsi="Times New Roman"/>
          <w:sz w:val="28"/>
          <w:szCs w:val="28"/>
          <w:lang w:eastAsia="ru-RU"/>
        </w:rPr>
        <w:t xml:space="preserve"> человек </w:t>
      </w:r>
      <w:r>
        <w:rPr>
          <w:rFonts w:ascii="Times New Roman" w:hAnsi="Times New Roman"/>
          <w:sz w:val="28"/>
          <w:szCs w:val="28"/>
          <w:lang w:eastAsia="ru-RU"/>
        </w:rPr>
        <w:t xml:space="preserve">на начало </w:t>
      </w:r>
      <w:r w:rsidRPr="00E0093C">
        <w:rPr>
          <w:rFonts w:ascii="Times New Roman" w:hAnsi="Times New Roman"/>
          <w:sz w:val="28"/>
          <w:szCs w:val="28"/>
          <w:lang w:eastAsia="ru-RU"/>
        </w:rPr>
        <w:t>20</w:t>
      </w:r>
      <w:r>
        <w:rPr>
          <w:rFonts w:ascii="Times New Roman" w:hAnsi="Times New Roman"/>
          <w:sz w:val="28"/>
          <w:szCs w:val="28"/>
          <w:lang w:eastAsia="ru-RU"/>
        </w:rPr>
        <w:t>15</w:t>
      </w:r>
      <w:r w:rsidRPr="00E0093C">
        <w:rPr>
          <w:rFonts w:ascii="Times New Roman" w:hAnsi="Times New Roman"/>
          <w:sz w:val="28"/>
          <w:szCs w:val="28"/>
          <w:lang w:eastAsia="ru-RU"/>
        </w:rPr>
        <w:t xml:space="preserve"> год</w:t>
      </w:r>
      <w:r>
        <w:rPr>
          <w:rFonts w:ascii="Times New Roman" w:hAnsi="Times New Roman"/>
          <w:sz w:val="28"/>
          <w:szCs w:val="28"/>
          <w:lang w:eastAsia="ru-RU"/>
        </w:rPr>
        <w:t>а</w:t>
      </w:r>
      <w:r w:rsidRPr="00E0093C">
        <w:rPr>
          <w:rFonts w:ascii="Times New Roman" w:hAnsi="Times New Roman"/>
          <w:sz w:val="28"/>
          <w:szCs w:val="28"/>
          <w:lang w:eastAsia="ru-RU"/>
        </w:rPr>
        <w:t>. В</w:t>
      </w:r>
      <w:r>
        <w:rPr>
          <w:rFonts w:ascii="Times New Roman" w:hAnsi="Times New Roman"/>
          <w:sz w:val="28"/>
          <w:szCs w:val="28"/>
          <w:lang w:eastAsia="ru-RU"/>
        </w:rPr>
        <w:t> </w:t>
      </w:r>
      <w:r w:rsidRPr="00E0093C">
        <w:rPr>
          <w:rFonts w:ascii="Times New Roman" w:hAnsi="Times New Roman"/>
          <w:sz w:val="28"/>
          <w:szCs w:val="28"/>
          <w:lang w:eastAsia="ru-RU"/>
        </w:rPr>
        <w:t xml:space="preserve">процентном соотношении численность населения </w:t>
      </w:r>
      <w:r>
        <w:rPr>
          <w:rFonts w:ascii="Times New Roman" w:hAnsi="Times New Roman"/>
          <w:sz w:val="28"/>
          <w:szCs w:val="28"/>
          <w:lang w:eastAsia="ru-RU"/>
        </w:rPr>
        <w:t>города</w:t>
      </w:r>
      <w:r w:rsidRPr="00E0093C">
        <w:rPr>
          <w:rFonts w:ascii="Times New Roman" w:hAnsi="Times New Roman"/>
          <w:sz w:val="28"/>
          <w:szCs w:val="28"/>
          <w:lang w:eastAsia="ru-RU"/>
        </w:rPr>
        <w:t xml:space="preserve"> за</w:t>
      </w:r>
      <w:r>
        <w:rPr>
          <w:rFonts w:ascii="Times New Roman" w:hAnsi="Times New Roman"/>
          <w:sz w:val="28"/>
          <w:szCs w:val="28"/>
          <w:lang w:eastAsia="ru-RU"/>
        </w:rPr>
        <w:t xml:space="preserve"> данный </w:t>
      </w:r>
      <w:r w:rsidRPr="00E0093C">
        <w:rPr>
          <w:rFonts w:ascii="Times New Roman" w:hAnsi="Times New Roman"/>
          <w:sz w:val="28"/>
          <w:szCs w:val="28"/>
          <w:lang w:eastAsia="ru-RU"/>
        </w:rPr>
        <w:t xml:space="preserve">период </w:t>
      </w:r>
      <w:r>
        <w:rPr>
          <w:rFonts w:ascii="Times New Roman" w:hAnsi="Times New Roman"/>
          <w:sz w:val="28"/>
          <w:szCs w:val="28"/>
          <w:lang w:eastAsia="ru-RU"/>
        </w:rPr>
        <w:t>снизилась</w:t>
      </w:r>
      <w:r w:rsidRPr="00E0093C">
        <w:rPr>
          <w:rFonts w:ascii="Times New Roman" w:hAnsi="Times New Roman"/>
          <w:sz w:val="28"/>
          <w:szCs w:val="28"/>
          <w:lang w:eastAsia="ru-RU"/>
        </w:rPr>
        <w:t xml:space="preserve"> на </w:t>
      </w:r>
      <w:r>
        <w:rPr>
          <w:rFonts w:ascii="Times New Roman" w:hAnsi="Times New Roman"/>
          <w:sz w:val="28"/>
          <w:szCs w:val="28"/>
          <w:lang w:eastAsia="ru-RU"/>
        </w:rPr>
        <w:t>2,4</w:t>
      </w:r>
      <w:r w:rsidRPr="00E0093C">
        <w:rPr>
          <w:rFonts w:ascii="Times New Roman" w:hAnsi="Times New Roman"/>
          <w:sz w:val="28"/>
          <w:szCs w:val="28"/>
          <w:lang w:eastAsia="ru-RU"/>
        </w:rPr>
        <w:t xml:space="preserve"> %.</w:t>
      </w:r>
      <w:r>
        <w:rPr>
          <w:rFonts w:ascii="Times New Roman" w:hAnsi="Times New Roman"/>
          <w:sz w:val="28"/>
          <w:szCs w:val="28"/>
          <w:lang w:eastAsia="ru-RU"/>
        </w:rPr>
        <w:t xml:space="preserve"> </w:t>
      </w:r>
    </w:p>
    <w:bookmarkEnd w:id="113"/>
    <w:p w:rsidR="002D1E45" w:rsidRPr="00E0093C" w:rsidRDefault="002D1E45" w:rsidP="00E0093C">
      <w:pPr>
        <w:spacing w:before="120" w:after="0" w:line="240" w:lineRule="auto"/>
        <w:jc w:val="center"/>
        <w:rPr>
          <w:rFonts w:ascii="Times New Roman" w:hAnsi="Times New Roman"/>
          <w:sz w:val="28"/>
          <w:szCs w:val="28"/>
          <w:lang w:eastAsia="ru-RU"/>
        </w:rPr>
      </w:pPr>
      <w:r w:rsidRPr="00C02575">
        <w:rPr>
          <w:rFonts w:ascii="Times New Roman" w:hAnsi="Times New Roman"/>
          <w:noProof/>
          <w:sz w:val="28"/>
          <w:szCs w:val="28"/>
          <w:lang w:eastAsia="ru-RU"/>
        </w:rPr>
        <w:pict>
          <v:shape id="Рисунок 4" o:spid="_x0000_i1026" type="#_x0000_t75" style="width:414.75pt;height:166.5pt;visibility:visible">
            <v:imagedata r:id="rId11" o:title="" cropbottom="7089f"/>
          </v:shape>
        </w:pict>
      </w:r>
    </w:p>
    <w:p w:rsidR="002D1E45" w:rsidRDefault="002D1E45" w:rsidP="00E0093C">
      <w:pPr>
        <w:spacing w:before="120" w:after="120" w:line="240" w:lineRule="auto"/>
        <w:jc w:val="center"/>
        <w:rPr>
          <w:rFonts w:ascii="Times New Roman" w:hAnsi="Times New Roman"/>
          <w:sz w:val="28"/>
          <w:szCs w:val="24"/>
          <w:lang w:eastAsia="ru-RU"/>
        </w:rPr>
      </w:pPr>
      <w:r w:rsidRPr="00E0093C">
        <w:rPr>
          <w:rFonts w:ascii="Times New Roman" w:hAnsi="Times New Roman"/>
          <w:sz w:val="28"/>
          <w:szCs w:val="24"/>
          <w:lang w:eastAsia="ru-RU"/>
        </w:rPr>
        <w:t xml:space="preserve">Рисунок </w:t>
      </w:r>
      <w:r w:rsidRPr="00E0093C">
        <w:rPr>
          <w:rFonts w:ascii="Times New Roman" w:hAnsi="Times New Roman"/>
          <w:sz w:val="28"/>
          <w:szCs w:val="24"/>
          <w:lang w:eastAsia="ru-RU"/>
        </w:rPr>
        <w:fldChar w:fldCharType="begin"/>
      </w:r>
      <w:r w:rsidRPr="00E0093C">
        <w:rPr>
          <w:rFonts w:ascii="Times New Roman" w:hAnsi="Times New Roman"/>
          <w:sz w:val="28"/>
          <w:szCs w:val="24"/>
          <w:lang w:eastAsia="ru-RU"/>
        </w:rPr>
        <w:instrText xml:space="preserve"> SEQ Рисунок \* ARABIC </w:instrText>
      </w:r>
      <w:r w:rsidRPr="00E0093C">
        <w:rPr>
          <w:rFonts w:ascii="Times New Roman" w:hAnsi="Times New Roman"/>
          <w:sz w:val="28"/>
          <w:szCs w:val="24"/>
          <w:lang w:eastAsia="ru-RU"/>
        </w:rPr>
        <w:fldChar w:fldCharType="separate"/>
      </w:r>
      <w:r>
        <w:rPr>
          <w:rFonts w:ascii="Times New Roman" w:hAnsi="Times New Roman"/>
          <w:noProof/>
          <w:sz w:val="28"/>
          <w:szCs w:val="24"/>
          <w:lang w:eastAsia="ru-RU"/>
        </w:rPr>
        <w:t>2</w:t>
      </w:r>
      <w:r w:rsidRPr="00E0093C">
        <w:rPr>
          <w:rFonts w:ascii="Times New Roman" w:hAnsi="Times New Roman"/>
          <w:sz w:val="28"/>
          <w:szCs w:val="24"/>
          <w:lang w:eastAsia="ru-RU"/>
        </w:rPr>
        <w:fldChar w:fldCharType="end"/>
      </w:r>
      <w:r w:rsidRPr="00E0093C">
        <w:rPr>
          <w:rFonts w:ascii="Times New Roman" w:hAnsi="Times New Roman"/>
          <w:sz w:val="28"/>
          <w:szCs w:val="24"/>
          <w:lang w:eastAsia="ru-RU"/>
        </w:rPr>
        <w:t xml:space="preserve">. </w:t>
      </w:r>
      <w:r>
        <w:rPr>
          <w:rFonts w:ascii="Times New Roman" w:hAnsi="Times New Roman"/>
          <w:sz w:val="28"/>
          <w:szCs w:val="24"/>
          <w:lang w:eastAsia="ru-RU"/>
        </w:rPr>
        <w:t xml:space="preserve">Среднегодовая </w:t>
      </w:r>
      <w:r w:rsidRPr="00E0093C">
        <w:rPr>
          <w:rFonts w:ascii="Times New Roman" w:hAnsi="Times New Roman"/>
          <w:sz w:val="28"/>
          <w:szCs w:val="24"/>
          <w:lang w:eastAsia="ru-RU"/>
        </w:rPr>
        <w:t>численност</w:t>
      </w:r>
      <w:r>
        <w:rPr>
          <w:rFonts w:ascii="Times New Roman" w:hAnsi="Times New Roman"/>
          <w:sz w:val="28"/>
          <w:szCs w:val="24"/>
          <w:lang w:eastAsia="ru-RU"/>
        </w:rPr>
        <w:t>ь</w:t>
      </w:r>
      <w:r w:rsidRPr="00E0093C">
        <w:rPr>
          <w:rFonts w:ascii="Times New Roman" w:hAnsi="Times New Roman"/>
          <w:sz w:val="28"/>
          <w:szCs w:val="24"/>
          <w:lang w:eastAsia="ru-RU"/>
        </w:rPr>
        <w:t xml:space="preserve"> населения </w:t>
      </w:r>
      <w:r>
        <w:rPr>
          <w:rFonts w:ascii="Times New Roman" w:hAnsi="Times New Roman"/>
          <w:sz w:val="28"/>
          <w:szCs w:val="24"/>
          <w:lang w:eastAsia="ru-RU"/>
        </w:rPr>
        <w:t>г. Куйбышева</w:t>
      </w:r>
      <w:r w:rsidRPr="00E0093C">
        <w:rPr>
          <w:rFonts w:ascii="Times New Roman" w:hAnsi="Times New Roman"/>
          <w:sz w:val="28"/>
          <w:szCs w:val="24"/>
          <w:lang w:eastAsia="ru-RU"/>
        </w:rPr>
        <w:t>, чел.</w:t>
      </w:r>
    </w:p>
    <w:p w:rsidR="002D1E45" w:rsidRPr="0014148D" w:rsidRDefault="002D1E45" w:rsidP="00E0093C">
      <w:pPr>
        <w:spacing w:after="0" w:line="240" w:lineRule="auto"/>
        <w:ind w:firstLine="709"/>
        <w:jc w:val="both"/>
        <w:rPr>
          <w:rFonts w:ascii="Times New Roman" w:hAnsi="Times New Roman"/>
          <w:sz w:val="28"/>
          <w:szCs w:val="28"/>
          <w:lang w:eastAsia="ru-RU"/>
        </w:rPr>
      </w:pPr>
      <w:r w:rsidRPr="0014148D">
        <w:rPr>
          <w:rFonts w:ascii="Times New Roman" w:hAnsi="Times New Roman"/>
          <w:sz w:val="28"/>
          <w:szCs w:val="28"/>
          <w:lang w:eastAsia="ru-RU"/>
        </w:rPr>
        <w:t>За 201</w:t>
      </w:r>
      <w:r>
        <w:rPr>
          <w:rFonts w:ascii="Times New Roman" w:hAnsi="Times New Roman"/>
          <w:sz w:val="28"/>
          <w:szCs w:val="28"/>
          <w:lang w:eastAsia="ru-RU"/>
        </w:rPr>
        <w:t>9</w:t>
      </w:r>
      <w:r w:rsidRPr="0014148D">
        <w:rPr>
          <w:rFonts w:ascii="Times New Roman" w:hAnsi="Times New Roman"/>
          <w:sz w:val="28"/>
          <w:szCs w:val="28"/>
          <w:lang w:eastAsia="ru-RU"/>
        </w:rPr>
        <w:t xml:space="preserve"> г. демографические показатели, связанные с</w:t>
      </w:r>
      <w:r>
        <w:rPr>
          <w:rFonts w:ascii="Times New Roman" w:hAnsi="Times New Roman"/>
          <w:sz w:val="28"/>
          <w:szCs w:val="28"/>
          <w:lang w:eastAsia="ru-RU"/>
        </w:rPr>
        <w:t> </w:t>
      </w:r>
      <w:r w:rsidRPr="0014148D">
        <w:rPr>
          <w:rFonts w:ascii="Times New Roman" w:hAnsi="Times New Roman"/>
          <w:sz w:val="28"/>
          <w:szCs w:val="28"/>
          <w:lang w:eastAsia="ru-RU"/>
        </w:rPr>
        <w:t xml:space="preserve">естественным приростом населения, имеют значение </w:t>
      </w:r>
      <w:r>
        <w:rPr>
          <w:rFonts w:ascii="Times New Roman" w:hAnsi="Times New Roman"/>
          <w:sz w:val="28"/>
          <w:szCs w:val="28"/>
          <w:lang w:eastAsia="ru-RU"/>
        </w:rPr>
        <w:t>8,3</w:t>
      </w:r>
      <w:r w:rsidRPr="0014148D">
        <w:rPr>
          <w:rFonts w:ascii="Times New Roman" w:hAnsi="Times New Roman"/>
          <w:sz w:val="28"/>
          <w:szCs w:val="28"/>
          <w:lang w:eastAsia="ru-RU"/>
        </w:rPr>
        <w:t xml:space="preserve"> родившихся на 1000 чел. населения </w:t>
      </w:r>
      <w:r>
        <w:rPr>
          <w:rFonts w:ascii="Times New Roman" w:hAnsi="Times New Roman"/>
          <w:sz w:val="28"/>
          <w:szCs w:val="28"/>
          <w:lang w:eastAsia="ru-RU"/>
        </w:rPr>
        <w:t xml:space="preserve">(средний показатель за 5 лет 9,5) </w:t>
      </w:r>
      <w:r w:rsidRPr="0014148D">
        <w:rPr>
          <w:rFonts w:ascii="Times New Roman" w:hAnsi="Times New Roman"/>
          <w:sz w:val="28"/>
          <w:szCs w:val="28"/>
          <w:lang w:eastAsia="ru-RU"/>
        </w:rPr>
        <w:t xml:space="preserve">при смертности </w:t>
      </w:r>
      <w:r>
        <w:rPr>
          <w:rFonts w:ascii="Times New Roman" w:hAnsi="Times New Roman"/>
          <w:sz w:val="28"/>
          <w:szCs w:val="28"/>
          <w:lang w:eastAsia="ru-RU"/>
        </w:rPr>
        <w:t>13,5</w:t>
      </w:r>
      <w:r w:rsidRPr="0014148D">
        <w:rPr>
          <w:rFonts w:ascii="Times New Roman" w:hAnsi="Times New Roman"/>
          <w:sz w:val="28"/>
          <w:szCs w:val="28"/>
          <w:lang w:eastAsia="ru-RU"/>
        </w:rPr>
        <w:t xml:space="preserve"> чел. на 1000 человек населения</w:t>
      </w:r>
      <w:r>
        <w:rPr>
          <w:rFonts w:ascii="Times New Roman" w:hAnsi="Times New Roman"/>
          <w:sz w:val="28"/>
          <w:szCs w:val="28"/>
          <w:lang w:eastAsia="ru-RU"/>
        </w:rPr>
        <w:t xml:space="preserve"> (средний показатель за 5 лет – 13,3)</w:t>
      </w:r>
      <w:r w:rsidRPr="0014148D">
        <w:rPr>
          <w:rFonts w:ascii="Times New Roman" w:hAnsi="Times New Roman"/>
          <w:sz w:val="28"/>
          <w:szCs w:val="28"/>
          <w:lang w:eastAsia="ru-RU"/>
        </w:rPr>
        <w:t xml:space="preserve">. </w:t>
      </w:r>
      <w:r>
        <w:rPr>
          <w:rFonts w:ascii="Times New Roman" w:hAnsi="Times New Roman"/>
          <w:sz w:val="28"/>
          <w:szCs w:val="28"/>
          <w:lang w:eastAsia="ru-RU"/>
        </w:rPr>
        <w:t>В городе остаются низкими</w:t>
      </w:r>
      <w:r w:rsidRPr="0014148D">
        <w:rPr>
          <w:rFonts w:ascii="Times New Roman" w:hAnsi="Times New Roman"/>
          <w:sz w:val="28"/>
          <w:szCs w:val="28"/>
          <w:lang w:eastAsia="ru-RU"/>
        </w:rPr>
        <w:t xml:space="preserve"> показатели численности женщин фертильного возраста</w:t>
      </w:r>
      <w:r>
        <w:rPr>
          <w:rFonts w:ascii="Times New Roman" w:hAnsi="Times New Roman"/>
          <w:sz w:val="28"/>
          <w:szCs w:val="28"/>
          <w:lang w:eastAsia="ru-RU"/>
        </w:rPr>
        <w:t xml:space="preserve"> и </w:t>
      </w:r>
      <w:r w:rsidRPr="0014148D">
        <w:rPr>
          <w:rFonts w:ascii="Times New Roman" w:hAnsi="Times New Roman"/>
          <w:sz w:val="28"/>
          <w:szCs w:val="28"/>
          <w:lang w:eastAsia="ru-RU"/>
        </w:rPr>
        <w:t>количеств</w:t>
      </w:r>
      <w:r>
        <w:rPr>
          <w:rFonts w:ascii="Times New Roman" w:hAnsi="Times New Roman"/>
          <w:sz w:val="28"/>
          <w:szCs w:val="28"/>
          <w:lang w:eastAsia="ru-RU"/>
        </w:rPr>
        <w:t>а</w:t>
      </w:r>
      <w:r w:rsidRPr="0014148D">
        <w:rPr>
          <w:rFonts w:ascii="Times New Roman" w:hAnsi="Times New Roman"/>
          <w:sz w:val="28"/>
          <w:szCs w:val="28"/>
          <w:lang w:eastAsia="ru-RU"/>
        </w:rPr>
        <w:t xml:space="preserve"> детей на</w:t>
      </w:r>
      <w:r>
        <w:rPr>
          <w:rFonts w:ascii="Times New Roman" w:hAnsi="Times New Roman"/>
          <w:sz w:val="28"/>
          <w:szCs w:val="28"/>
          <w:lang w:eastAsia="ru-RU"/>
        </w:rPr>
        <w:t> </w:t>
      </w:r>
      <w:r w:rsidRPr="0014148D">
        <w:rPr>
          <w:rFonts w:ascii="Times New Roman" w:hAnsi="Times New Roman"/>
          <w:sz w:val="28"/>
          <w:szCs w:val="28"/>
          <w:lang w:eastAsia="ru-RU"/>
        </w:rPr>
        <w:t xml:space="preserve">одну семью. </w:t>
      </w:r>
    </w:p>
    <w:p w:rsidR="002D1E45" w:rsidRPr="0014148D" w:rsidRDefault="002D1E45" w:rsidP="00363E3B">
      <w:pPr>
        <w:spacing w:before="120" w:after="0" w:line="240" w:lineRule="auto"/>
        <w:jc w:val="center"/>
        <w:rPr>
          <w:rFonts w:ascii="Times New Roman" w:hAnsi="Times New Roman"/>
          <w:sz w:val="28"/>
          <w:szCs w:val="28"/>
          <w:lang w:eastAsia="ru-RU"/>
        </w:rPr>
      </w:pPr>
      <w:r w:rsidRPr="00C02575">
        <w:rPr>
          <w:rFonts w:ascii="Times New Roman" w:hAnsi="Times New Roman"/>
          <w:noProof/>
          <w:sz w:val="28"/>
          <w:szCs w:val="28"/>
          <w:lang w:eastAsia="ru-RU"/>
        </w:rPr>
        <w:pict>
          <v:shape id="Рисунок 6" o:spid="_x0000_i1027" type="#_x0000_t75" style="width:426.75pt;height:192.75pt;visibility:visible">
            <v:imagedata r:id="rId12" o:title="" croptop="2139f" cropbottom="2367f" cropleft="789f" cropright="1004f"/>
          </v:shape>
        </w:pict>
      </w:r>
    </w:p>
    <w:p w:rsidR="002D1E45" w:rsidRPr="0014148D" w:rsidRDefault="002D1E45" w:rsidP="00E0093C">
      <w:pPr>
        <w:spacing w:before="120" w:after="120" w:line="240" w:lineRule="auto"/>
        <w:jc w:val="center"/>
        <w:rPr>
          <w:rFonts w:ascii="Times New Roman" w:hAnsi="Times New Roman"/>
          <w:sz w:val="28"/>
          <w:szCs w:val="24"/>
          <w:lang w:eastAsia="ru-RU"/>
        </w:rPr>
      </w:pPr>
      <w:r w:rsidRPr="0014148D">
        <w:rPr>
          <w:rFonts w:ascii="Times New Roman" w:hAnsi="Times New Roman"/>
          <w:sz w:val="28"/>
          <w:szCs w:val="24"/>
          <w:lang w:eastAsia="ru-RU"/>
        </w:rPr>
        <w:t xml:space="preserve">Рисунок </w:t>
      </w:r>
      <w:bookmarkStart w:id="114" w:name="Fgr_Edvizh"/>
      <w:r w:rsidRPr="0014148D">
        <w:rPr>
          <w:rFonts w:ascii="Times New Roman" w:hAnsi="Times New Roman"/>
          <w:sz w:val="28"/>
          <w:szCs w:val="24"/>
          <w:lang w:eastAsia="ru-RU"/>
        </w:rPr>
        <w:fldChar w:fldCharType="begin"/>
      </w:r>
      <w:r w:rsidRPr="0014148D">
        <w:rPr>
          <w:rFonts w:ascii="Times New Roman" w:hAnsi="Times New Roman"/>
          <w:sz w:val="28"/>
          <w:szCs w:val="24"/>
          <w:lang w:eastAsia="ru-RU"/>
        </w:rPr>
        <w:instrText xml:space="preserve"> SEQ Рисунок \* ARABIC </w:instrText>
      </w:r>
      <w:r w:rsidRPr="0014148D">
        <w:rPr>
          <w:rFonts w:ascii="Times New Roman" w:hAnsi="Times New Roman"/>
          <w:sz w:val="28"/>
          <w:szCs w:val="24"/>
          <w:lang w:eastAsia="ru-RU"/>
        </w:rPr>
        <w:fldChar w:fldCharType="separate"/>
      </w:r>
      <w:r>
        <w:rPr>
          <w:rFonts w:ascii="Times New Roman" w:hAnsi="Times New Roman"/>
          <w:noProof/>
          <w:sz w:val="28"/>
          <w:szCs w:val="24"/>
          <w:lang w:eastAsia="ru-RU"/>
        </w:rPr>
        <w:t>3</w:t>
      </w:r>
      <w:r w:rsidRPr="0014148D">
        <w:rPr>
          <w:rFonts w:ascii="Times New Roman" w:hAnsi="Times New Roman"/>
          <w:sz w:val="28"/>
          <w:szCs w:val="24"/>
          <w:lang w:eastAsia="ru-RU"/>
        </w:rPr>
        <w:fldChar w:fldCharType="end"/>
      </w:r>
      <w:bookmarkEnd w:id="114"/>
      <w:r w:rsidRPr="0014148D">
        <w:rPr>
          <w:rFonts w:ascii="Times New Roman" w:hAnsi="Times New Roman"/>
          <w:sz w:val="28"/>
          <w:szCs w:val="24"/>
          <w:lang w:eastAsia="ru-RU"/>
        </w:rPr>
        <w:t>. Динамика естественного движения населения</w:t>
      </w:r>
      <w:r>
        <w:rPr>
          <w:rFonts w:ascii="Times New Roman" w:hAnsi="Times New Roman"/>
          <w:sz w:val="28"/>
          <w:szCs w:val="24"/>
          <w:lang w:eastAsia="ru-RU"/>
        </w:rPr>
        <w:t xml:space="preserve"> г. Куйбышева</w:t>
      </w:r>
      <w:r w:rsidRPr="0014148D">
        <w:rPr>
          <w:rFonts w:ascii="Times New Roman" w:hAnsi="Times New Roman"/>
          <w:sz w:val="28"/>
          <w:szCs w:val="24"/>
          <w:lang w:eastAsia="ru-RU"/>
        </w:rPr>
        <w:t>, чел.</w:t>
      </w:r>
    </w:p>
    <w:p w:rsidR="002D1E45" w:rsidRPr="0014148D" w:rsidRDefault="002D1E45" w:rsidP="00E0093C">
      <w:pPr>
        <w:spacing w:after="0" w:line="240" w:lineRule="auto"/>
        <w:ind w:firstLine="709"/>
        <w:jc w:val="both"/>
        <w:rPr>
          <w:rFonts w:ascii="Times New Roman" w:hAnsi="Times New Roman"/>
          <w:sz w:val="28"/>
          <w:szCs w:val="28"/>
          <w:lang w:eastAsia="ru-RU"/>
        </w:rPr>
      </w:pPr>
      <w:r w:rsidRPr="0014148D">
        <w:rPr>
          <w:rFonts w:ascii="Times New Roman" w:hAnsi="Times New Roman"/>
          <w:sz w:val="28"/>
          <w:szCs w:val="28"/>
          <w:lang w:eastAsia="ru-RU"/>
        </w:rPr>
        <w:t>Из диаграммы на</w:t>
      </w:r>
      <w:r>
        <w:rPr>
          <w:rFonts w:ascii="Times New Roman" w:hAnsi="Times New Roman"/>
          <w:sz w:val="28"/>
          <w:szCs w:val="28"/>
          <w:lang w:eastAsia="ru-RU"/>
        </w:rPr>
        <w:t> </w:t>
      </w:r>
      <w:r w:rsidRPr="0014148D">
        <w:rPr>
          <w:rFonts w:ascii="Times New Roman" w:hAnsi="Times New Roman"/>
          <w:sz w:val="28"/>
          <w:szCs w:val="28"/>
          <w:lang w:eastAsia="ru-RU"/>
        </w:rPr>
        <w:t xml:space="preserve">рисунке </w:t>
      </w:r>
      <w:fldSimple w:instr=" REF Fgr_Edvizh \h  \* MERGEFORMAT ">
        <w:r>
          <w:rPr>
            <w:rFonts w:ascii="Times New Roman" w:hAnsi="Times New Roman"/>
            <w:noProof/>
            <w:sz w:val="28"/>
            <w:szCs w:val="24"/>
            <w:lang w:eastAsia="ru-RU"/>
          </w:rPr>
          <w:t>3</w:t>
        </w:r>
      </w:fldSimple>
      <w:r w:rsidRPr="0014148D">
        <w:rPr>
          <w:rFonts w:ascii="Times New Roman" w:hAnsi="Times New Roman"/>
          <w:sz w:val="28"/>
          <w:szCs w:val="28"/>
          <w:lang w:eastAsia="ru-RU"/>
        </w:rPr>
        <w:t xml:space="preserve"> видно, что за</w:t>
      </w:r>
      <w:r>
        <w:rPr>
          <w:rFonts w:ascii="Times New Roman" w:hAnsi="Times New Roman"/>
          <w:sz w:val="28"/>
          <w:szCs w:val="28"/>
          <w:lang w:eastAsia="ru-RU"/>
        </w:rPr>
        <w:t> </w:t>
      </w:r>
      <w:r w:rsidRPr="0014148D">
        <w:rPr>
          <w:rFonts w:ascii="Times New Roman" w:hAnsi="Times New Roman"/>
          <w:sz w:val="28"/>
          <w:szCs w:val="28"/>
          <w:lang w:eastAsia="ru-RU"/>
        </w:rPr>
        <w:t xml:space="preserve">анализируемый период </w:t>
      </w:r>
      <w:r>
        <w:rPr>
          <w:rFonts w:ascii="Times New Roman" w:hAnsi="Times New Roman"/>
          <w:sz w:val="28"/>
          <w:szCs w:val="28"/>
          <w:lang w:eastAsia="ru-RU"/>
        </w:rPr>
        <w:t>стабильное соотношение</w:t>
      </w:r>
      <w:r w:rsidRPr="0014148D">
        <w:rPr>
          <w:rFonts w:ascii="Times New Roman" w:hAnsi="Times New Roman"/>
          <w:sz w:val="28"/>
          <w:szCs w:val="28"/>
          <w:lang w:eastAsia="ru-RU"/>
        </w:rPr>
        <w:t xml:space="preserve"> показателей</w:t>
      </w:r>
      <w:r>
        <w:rPr>
          <w:rFonts w:ascii="Times New Roman" w:hAnsi="Times New Roman"/>
          <w:sz w:val="28"/>
          <w:szCs w:val="28"/>
          <w:lang w:eastAsia="ru-RU"/>
        </w:rPr>
        <w:t xml:space="preserve"> и </w:t>
      </w:r>
      <w:r w:rsidRPr="0014148D">
        <w:rPr>
          <w:rFonts w:ascii="Times New Roman" w:hAnsi="Times New Roman"/>
          <w:sz w:val="28"/>
          <w:szCs w:val="28"/>
          <w:lang w:eastAsia="ru-RU"/>
        </w:rPr>
        <w:t>смертности</w:t>
      </w:r>
      <w:r>
        <w:rPr>
          <w:rFonts w:ascii="Times New Roman" w:hAnsi="Times New Roman"/>
          <w:sz w:val="28"/>
          <w:szCs w:val="28"/>
          <w:lang w:eastAsia="ru-RU"/>
        </w:rPr>
        <w:t>, и рождаемости.</w:t>
      </w:r>
      <w:r w:rsidRPr="0014148D">
        <w:rPr>
          <w:rFonts w:ascii="Times New Roman" w:hAnsi="Times New Roman"/>
          <w:sz w:val="28"/>
          <w:szCs w:val="28"/>
          <w:lang w:eastAsia="ru-RU"/>
        </w:rPr>
        <w:t xml:space="preserve"> </w:t>
      </w:r>
      <w:r>
        <w:rPr>
          <w:rFonts w:ascii="Times New Roman" w:hAnsi="Times New Roman"/>
          <w:sz w:val="28"/>
          <w:szCs w:val="28"/>
          <w:lang w:eastAsia="ru-RU"/>
        </w:rPr>
        <w:t xml:space="preserve">При этом, интенсивность рождаемости заметно снижается с 2016 года. </w:t>
      </w:r>
      <w:r w:rsidRPr="0014148D">
        <w:rPr>
          <w:rFonts w:ascii="Times New Roman" w:hAnsi="Times New Roman"/>
          <w:sz w:val="28"/>
          <w:szCs w:val="28"/>
          <w:lang w:eastAsia="ru-RU"/>
        </w:rPr>
        <w:t>Как показывает статистика, в</w:t>
      </w:r>
      <w:r>
        <w:rPr>
          <w:rFonts w:ascii="Times New Roman" w:hAnsi="Times New Roman"/>
          <w:sz w:val="28"/>
          <w:szCs w:val="28"/>
          <w:lang w:eastAsia="ru-RU"/>
        </w:rPr>
        <w:t> </w:t>
      </w:r>
      <w:r w:rsidRPr="0014148D">
        <w:rPr>
          <w:rFonts w:ascii="Times New Roman" w:hAnsi="Times New Roman"/>
          <w:sz w:val="28"/>
          <w:szCs w:val="28"/>
          <w:lang w:eastAsia="ru-RU"/>
        </w:rPr>
        <w:t>структуре родившихся по</w:t>
      </w:r>
      <w:r>
        <w:rPr>
          <w:rFonts w:ascii="Times New Roman" w:hAnsi="Times New Roman"/>
          <w:sz w:val="28"/>
          <w:szCs w:val="28"/>
          <w:lang w:eastAsia="ru-RU"/>
        </w:rPr>
        <w:t> </w:t>
      </w:r>
      <w:r w:rsidRPr="0014148D">
        <w:rPr>
          <w:rFonts w:ascii="Times New Roman" w:hAnsi="Times New Roman"/>
          <w:sz w:val="28"/>
          <w:szCs w:val="28"/>
          <w:lang w:eastAsia="ru-RU"/>
        </w:rPr>
        <w:t>очерёдности доминируют первые и</w:t>
      </w:r>
      <w:r>
        <w:rPr>
          <w:rFonts w:ascii="Times New Roman" w:hAnsi="Times New Roman"/>
          <w:sz w:val="28"/>
          <w:szCs w:val="28"/>
          <w:lang w:eastAsia="ru-RU"/>
        </w:rPr>
        <w:t> </w:t>
      </w:r>
      <w:r w:rsidRPr="0014148D">
        <w:rPr>
          <w:rFonts w:ascii="Times New Roman" w:hAnsi="Times New Roman"/>
          <w:sz w:val="28"/>
          <w:szCs w:val="28"/>
          <w:lang w:eastAsia="ru-RU"/>
        </w:rPr>
        <w:t>вторые рождения, что является доказательством твёрдых ориентиров семей на</w:t>
      </w:r>
      <w:r>
        <w:rPr>
          <w:rFonts w:ascii="Times New Roman" w:hAnsi="Times New Roman"/>
          <w:sz w:val="28"/>
          <w:szCs w:val="28"/>
          <w:lang w:eastAsia="ru-RU"/>
        </w:rPr>
        <w:t> </w:t>
      </w:r>
      <w:r w:rsidRPr="0014148D">
        <w:rPr>
          <w:rFonts w:ascii="Times New Roman" w:hAnsi="Times New Roman"/>
          <w:sz w:val="28"/>
          <w:szCs w:val="28"/>
          <w:lang w:eastAsia="ru-RU"/>
        </w:rPr>
        <w:t>одно-двухдетную модель семьи, при явно выраженном предпочтении однодетной модели.</w:t>
      </w:r>
    </w:p>
    <w:p w:rsidR="002D1E45" w:rsidRPr="00462DB7" w:rsidRDefault="002D1E45" w:rsidP="00CB731A">
      <w:pPr>
        <w:spacing w:after="0" w:line="240" w:lineRule="auto"/>
        <w:ind w:firstLine="709"/>
        <w:jc w:val="both"/>
        <w:rPr>
          <w:rFonts w:ascii="Times New Roman" w:hAnsi="Times New Roman"/>
          <w:sz w:val="28"/>
          <w:szCs w:val="28"/>
          <w:lang w:eastAsia="ru-RU"/>
        </w:rPr>
      </w:pPr>
      <w:r w:rsidRPr="00462DB7">
        <w:rPr>
          <w:rFonts w:ascii="Times New Roman" w:hAnsi="Times New Roman"/>
          <w:sz w:val="28"/>
          <w:szCs w:val="28"/>
          <w:lang w:eastAsia="ru-RU"/>
        </w:rPr>
        <w:t>Динамика миграционных потоков за</w:t>
      </w:r>
      <w:r>
        <w:rPr>
          <w:rFonts w:ascii="Times New Roman" w:hAnsi="Times New Roman"/>
          <w:sz w:val="28"/>
          <w:szCs w:val="28"/>
          <w:lang w:eastAsia="ru-RU"/>
        </w:rPr>
        <w:t> </w:t>
      </w:r>
      <w:r w:rsidRPr="00462DB7">
        <w:rPr>
          <w:rFonts w:ascii="Times New Roman" w:hAnsi="Times New Roman"/>
          <w:sz w:val="28"/>
          <w:szCs w:val="28"/>
          <w:lang w:eastAsia="ru-RU"/>
        </w:rPr>
        <w:t xml:space="preserve">анализируемый период </w:t>
      </w:r>
      <w:r>
        <w:rPr>
          <w:rFonts w:ascii="Times New Roman" w:hAnsi="Times New Roman"/>
          <w:sz w:val="28"/>
          <w:szCs w:val="28"/>
          <w:lang w:eastAsia="ru-RU"/>
        </w:rPr>
        <w:t>в целом</w:t>
      </w:r>
      <w:r w:rsidRPr="00462DB7">
        <w:rPr>
          <w:rFonts w:ascii="Times New Roman" w:hAnsi="Times New Roman"/>
          <w:sz w:val="28"/>
          <w:szCs w:val="28"/>
          <w:lang w:eastAsia="ru-RU"/>
        </w:rPr>
        <w:t xml:space="preserve"> показывает </w:t>
      </w:r>
      <w:r>
        <w:rPr>
          <w:rFonts w:ascii="Times New Roman" w:hAnsi="Times New Roman"/>
          <w:sz w:val="28"/>
          <w:szCs w:val="28"/>
          <w:lang w:eastAsia="ru-RU"/>
        </w:rPr>
        <w:t>отрицательное</w:t>
      </w:r>
      <w:r w:rsidRPr="00462DB7">
        <w:rPr>
          <w:rFonts w:ascii="Times New Roman" w:hAnsi="Times New Roman"/>
          <w:sz w:val="28"/>
          <w:szCs w:val="28"/>
          <w:lang w:eastAsia="ru-RU"/>
        </w:rPr>
        <w:t xml:space="preserve"> направлени</w:t>
      </w:r>
      <w:r>
        <w:rPr>
          <w:rFonts w:ascii="Times New Roman" w:hAnsi="Times New Roman"/>
          <w:sz w:val="28"/>
          <w:szCs w:val="28"/>
          <w:lang w:eastAsia="ru-RU"/>
        </w:rPr>
        <w:t>е. При этом в целом отрицательный баланс сформирован на фоне возрастающей активности показателя.</w:t>
      </w:r>
    </w:p>
    <w:p w:rsidR="002D1E45" w:rsidRPr="00462DB7" w:rsidRDefault="002D1E45" w:rsidP="00CB731A">
      <w:pPr>
        <w:spacing w:after="0" w:line="240" w:lineRule="auto"/>
        <w:ind w:firstLine="709"/>
        <w:contextualSpacing/>
        <w:jc w:val="both"/>
        <w:rPr>
          <w:rFonts w:ascii="Times New Roman" w:hAnsi="Times New Roman"/>
          <w:sz w:val="28"/>
          <w:szCs w:val="24"/>
          <w:lang w:eastAsia="ru-RU"/>
        </w:rPr>
      </w:pPr>
      <w:r w:rsidRPr="00462DB7">
        <w:rPr>
          <w:rFonts w:ascii="Times New Roman" w:hAnsi="Times New Roman"/>
          <w:sz w:val="28"/>
          <w:szCs w:val="28"/>
          <w:lang w:eastAsia="ru-RU"/>
        </w:rPr>
        <w:t>Миграционный прирост населения в 201</w:t>
      </w:r>
      <w:r>
        <w:rPr>
          <w:rFonts w:ascii="Times New Roman" w:hAnsi="Times New Roman"/>
          <w:sz w:val="28"/>
          <w:szCs w:val="28"/>
          <w:lang w:eastAsia="ru-RU"/>
        </w:rPr>
        <w:t>8</w:t>
      </w:r>
      <w:r w:rsidRPr="00462DB7">
        <w:rPr>
          <w:rFonts w:ascii="Times New Roman" w:hAnsi="Times New Roman"/>
          <w:sz w:val="28"/>
          <w:szCs w:val="28"/>
          <w:lang w:eastAsia="ru-RU"/>
        </w:rPr>
        <w:t xml:space="preserve"> году составил </w:t>
      </w:r>
      <w:r>
        <w:rPr>
          <w:rFonts w:ascii="Times New Roman" w:hAnsi="Times New Roman"/>
          <w:sz w:val="28"/>
          <w:szCs w:val="28"/>
          <w:lang w:eastAsia="ru-RU"/>
        </w:rPr>
        <w:t>–0,3</w:t>
      </w:r>
      <w:r w:rsidRPr="00462DB7">
        <w:rPr>
          <w:rFonts w:ascii="Times New Roman" w:hAnsi="Times New Roman"/>
          <w:sz w:val="28"/>
          <w:szCs w:val="28"/>
          <w:lang w:eastAsia="ru-RU"/>
        </w:rPr>
        <w:t>/1000 чел. при среднем показателе за</w:t>
      </w:r>
      <w:r>
        <w:rPr>
          <w:rFonts w:ascii="Times New Roman" w:hAnsi="Times New Roman"/>
          <w:sz w:val="28"/>
          <w:szCs w:val="28"/>
          <w:lang w:eastAsia="ru-RU"/>
        </w:rPr>
        <w:t> </w:t>
      </w:r>
      <w:r w:rsidRPr="00462DB7">
        <w:rPr>
          <w:rFonts w:ascii="Times New Roman" w:hAnsi="Times New Roman"/>
          <w:sz w:val="28"/>
          <w:szCs w:val="28"/>
          <w:lang w:eastAsia="ru-RU"/>
        </w:rPr>
        <w:t xml:space="preserve">последние 5 лет </w:t>
      </w:r>
      <w:r>
        <w:rPr>
          <w:rFonts w:ascii="Times New Roman" w:hAnsi="Times New Roman"/>
          <w:sz w:val="28"/>
          <w:szCs w:val="28"/>
          <w:lang w:eastAsia="ru-RU"/>
        </w:rPr>
        <w:t>+2,9</w:t>
      </w:r>
      <w:r w:rsidRPr="00462DB7">
        <w:rPr>
          <w:rFonts w:ascii="Times New Roman" w:hAnsi="Times New Roman"/>
          <w:sz w:val="28"/>
          <w:szCs w:val="28"/>
          <w:lang w:eastAsia="ru-RU"/>
        </w:rPr>
        <w:t xml:space="preserve">/1000 чел. </w:t>
      </w:r>
    </w:p>
    <w:p w:rsidR="002D1E45" w:rsidRPr="00462DB7" w:rsidRDefault="002D1E45" w:rsidP="00CB731A">
      <w:pPr>
        <w:spacing w:before="120" w:after="0" w:line="240" w:lineRule="auto"/>
        <w:jc w:val="center"/>
        <w:rPr>
          <w:rFonts w:ascii="Times New Roman" w:hAnsi="Times New Roman"/>
          <w:sz w:val="28"/>
          <w:szCs w:val="28"/>
          <w:lang w:eastAsia="ru-RU"/>
        </w:rPr>
      </w:pPr>
      <w:r w:rsidRPr="00C02575">
        <w:rPr>
          <w:rFonts w:ascii="Times New Roman" w:hAnsi="Times New Roman"/>
          <w:noProof/>
          <w:sz w:val="28"/>
          <w:szCs w:val="28"/>
          <w:lang w:eastAsia="ru-RU"/>
        </w:rPr>
        <w:pict>
          <v:shape id="Рисунок 8" o:spid="_x0000_i1028" type="#_x0000_t75" style="width:426pt;height:195.75pt;visibility:visible">
            <v:imagedata r:id="rId13" o:title="" croptop="1896f" cropbottom="1881f" cropleft="790f" cropright="1026f"/>
          </v:shape>
        </w:pict>
      </w:r>
    </w:p>
    <w:p w:rsidR="002D1E45" w:rsidRPr="00462DB7" w:rsidRDefault="002D1E45" w:rsidP="00CB731A">
      <w:pPr>
        <w:spacing w:before="120" w:after="120" w:line="240" w:lineRule="auto"/>
        <w:jc w:val="center"/>
        <w:rPr>
          <w:rFonts w:ascii="Times New Roman" w:hAnsi="Times New Roman"/>
          <w:sz w:val="28"/>
          <w:szCs w:val="24"/>
          <w:lang w:eastAsia="ru-RU"/>
        </w:rPr>
      </w:pPr>
      <w:r w:rsidRPr="00462DB7">
        <w:rPr>
          <w:rFonts w:ascii="Times New Roman" w:hAnsi="Times New Roman"/>
          <w:sz w:val="28"/>
          <w:szCs w:val="24"/>
          <w:lang w:eastAsia="ru-RU"/>
        </w:rPr>
        <w:t xml:space="preserve">Рисунок </w:t>
      </w:r>
      <w:r w:rsidRPr="00462DB7">
        <w:rPr>
          <w:rFonts w:ascii="Times New Roman" w:hAnsi="Times New Roman"/>
          <w:sz w:val="28"/>
          <w:szCs w:val="24"/>
          <w:lang w:eastAsia="ru-RU"/>
        </w:rPr>
        <w:fldChar w:fldCharType="begin"/>
      </w:r>
      <w:r w:rsidRPr="00462DB7">
        <w:rPr>
          <w:rFonts w:ascii="Times New Roman" w:hAnsi="Times New Roman"/>
          <w:sz w:val="28"/>
          <w:szCs w:val="24"/>
          <w:lang w:eastAsia="ru-RU"/>
        </w:rPr>
        <w:instrText xml:space="preserve"> SEQ Рисунок \* ARABIC </w:instrText>
      </w:r>
      <w:r w:rsidRPr="00462DB7">
        <w:rPr>
          <w:rFonts w:ascii="Times New Roman" w:hAnsi="Times New Roman"/>
          <w:sz w:val="28"/>
          <w:szCs w:val="24"/>
          <w:lang w:eastAsia="ru-RU"/>
        </w:rPr>
        <w:fldChar w:fldCharType="separate"/>
      </w:r>
      <w:r>
        <w:rPr>
          <w:rFonts w:ascii="Times New Roman" w:hAnsi="Times New Roman"/>
          <w:noProof/>
          <w:sz w:val="28"/>
          <w:szCs w:val="24"/>
          <w:lang w:eastAsia="ru-RU"/>
        </w:rPr>
        <w:t>4</w:t>
      </w:r>
      <w:r w:rsidRPr="00462DB7">
        <w:rPr>
          <w:rFonts w:ascii="Times New Roman" w:hAnsi="Times New Roman"/>
          <w:sz w:val="28"/>
          <w:szCs w:val="24"/>
          <w:lang w:eastAsia="ru-RU"/>
        </w:rPr>
        <w:fldChar w:fldCharType="end"/>
      </w:r>
      <w:r w:rsidRPr="00462DB7">
        <w:rPr>
          <w:rFonts w:ascii="Times New Roman" w:hAnsi="Times New Roman"/>
          <w:sz w:val="28"/>
          <w:szCs w:val="24"/>
          <w:lang w:eastAsia="ru-RU"/>
        </w:rPr>
        <w:t xml:space="preserve">. Динамика механического прироста населения </w:t>
      </w:r>
      <w:r>
        <w:rPr>
          <w:rFonts w:ascii="Times New Roman" w:hAnsi="Times New Roman"/>
          <w:sz w:val="28"/>
          <w:szCs w:val="24"/>
          <w:lang w:eastAsia="ru-RU"/>
        </w:rPr>
        <w:t>г. Куйбышева</w:t>
      </w:r>
      <w:r w:rsidRPr="00462DB7">
        <w:rPr>
          <w:rFonts w:ascii="Times New Roman" w:hAnsi="Times New Roman"/>
          <w:sz w:val="28"/>
          <w:szCs w:val="24"/>
          <w:lang w:eastAsia="ru-RU"/>
        </w:rPr>
        <w:t>, чел.</w:t>
      </w:r>
    </w:p>
    <w:p w:rsidR="002D1E45" w:rsidRPr="00146391" w:rsidRDefault="002D1E45" w:rsidP="00BA7FCF">
      <w:pPr>
        <w:autoSpaceDE w:val="0"/>
        <w:autoSpaceDN w:val="0"/>
        <w:adjustRightInd w:val="0"/>
        <w:spacing w:after="0" w:line="360" w:lineRule="auto"/>
        <w:jc w:val="right"/>
        <w:rPr>
          <w:rFonts w:ascii="Times New Roman" w:hAnsi="Times New Roman"/>
          <w:sz w:val="28"/>
          <w:szCs w:val="24"/>
          <w:lang w:eastAsia="ru-RU"/>
        </w:rPr>
      </w:pPr>
      <w:r w:rsidRPr="00146391">
        <w:rPr>
          <w:rFonts w:ascii="Times New Roman" w:hAnsi="Times New Roman"/>
          <w:sz w:val="28"/>
          <w:szCs w:val="24"/>
          <w:lang w:eastAsia="ru-RU"/>
        </w:rPr>
        <w:t xml:space="preserve">Таблица </w:t>
      </w:r>
      <w:r w:rsidRPr="00146391">
        <w:rPr>
          <w:rFonts w:ascii="Times New Roman" w:hAnsi="Times New Roman"/>
          <w:sz w:val="28"/>
          <w:szCs w:val="24"/>
          <w:lang w:eastAsia="ru-RU"/>
        </w:rPr>
        <w:fldChar w:fldCharType="begin"/>
      </w:r>
      <w:r w:rsidRPr="00146391">
        <w:rPr>
          <w:rFonts w:ascii="Times New Roman" w:hAnsi="Times New Roman"/>
          <w:sz w:val="28"/>
          <w:szCs w:val="24"/>
          <w:lang w:eastAsia="ru-RU"/>
        </w:rPr>
        <w:instrText xml:space="preserve"> SEQ Таблица \* ARABIC </w:instrText>
      </w:r>
      <w:r w:rsidRPr="00146391">
        <w:rPr>
          <w:rFonts w:ascii="Times New Roman" w:hAnsi="Times New Roman"/>
          <w:sz w:val="28"/>
          <w:szCs w:val="24"/>
          <w:lang w:eastAsia="ru-RU"/>
        </w:rPr>
        <w:fldChar w:fldCharType="separate"/>
      </w:r>
      <w:r>
        <w:rPr>
          <w:rFonts w:ascii="Times New Roman" w:hAnsi="Times New Roman"/>
          <w:noProof/>
          <w:sz w:val="28"/>
          <w:szCs w:val="24"/>
          <w:lang w:eastAsia="ru-RU"/>
        </w:rPr>
        <w:t>3</w:t>
      </w:r>
      <w:r w:rsidRPr="00146391">
        <w:rPr>
          <w:rFonts w:ascii="Times New Roman" w:hAnsi="Times New Roman"/>
          <w:sz w:val="28"/>
          <w:szCs w:val="24"/>
          <w:lang w:eastAsia="ru-RU"/>
        </w:rPr>
        <w:fldChar w:fldCharType="end"/>
      </w:r>
    </w:p>
    <w:p w:rsidR="002D1E45" w:rsidRDefault="002D1E45" w:rsidP="00BA7FCF">
      <w:pPr>
        <w:tabs>
          <w:tab w:val="left" w:pos="1418"/>
        </w:tabs>
        <w:spacing w:line="240" w:lineRule="auto"/>
        <w:jc w:val="center"/>
        <w:rPr>
          <w:rFonts w:ascii="Times New Roman" w:hAnsi="Times New Roman"/>
          <w:sz w:val="28"/>
          <w:szCs w:val="24"/>
          <w:lang w:eastAsia="ru-RU"/>
        </w:rPr>
      </w:pPr>
      <w:r>
        <w:rPr>
          <w:rFonts w:ascii="Times New Roman" w:hAnsi="Times New Roman"/>
          <w:sz w:val="28"/>
          <w:szCs w:val="24"/>
          <w:lang w:eastAsia="ru-RU"/>
        </w:rPr>
        <w:t xml:space="preserve">Демографические показатели </w:t>
      </w:r>
      <w:r w:rsidRPr="001013C0">
        <w:rPr>
          <w:rFonts w:ascii="Times New Roman" w:hAnsi="Times New Roman"/>
          <w:sz w:val="28"/>
          <w:szCs w:val="24"/>
          <w:lang w:eastAsia="ru-RU"/>
        </w:rPr>
        <w:t>г. Куйбышева</w:t>
      </w:r>
    </w:p>
    <w:tbl>
      <w:tblPr>
        <w:tblW w:w="0" w:type="auto"/>
        <w:jc w:val="center"/>
        <w:tblLayout w:type="fixed"/>
        <w:tblLook w:val="00A0"/>
      </w:tblPr>
      <w:tblGrid>
        <w:gridCol w:w="4218"/>
        <w:gridCol w:w="1138"/>
        <w:gridCol w:w="1272"/>
        <w:gridCol w:w="1189"/>
        <w:gridCol w:w="1189"/>
        <w:gridCol w:w="1189"/>
      </w:tblGrid>
      <w:tr w:rsidR="002D1E45" w:rsidRPr="00BA7FCF" w:rsidTr="00BA7FCF">
        <w:trPr>
          <w:trHeight w:val="170"/>
          <w:tblHeader/>
          <w:jc w:val="center"/>
        </w:trPr>
        <w:tc>
          <w:tcPr>
            <w:tcW w:w="4218" w:type="dxa"/>
            <w:tcBorders>
              <w:top w:val="single" w:sz="4" w:space="0" w:color="auto"/>
              <w:left w:val="single" w:sz="4" w:space="0" w:color="auto"/>
              <w:bottom w:val="single" w:sz="4" w:space="0" w:color="auto"/>
              <w:right w:val="single" w:sz="4" w:space="0" w:color="auto"/>
            </w:tcBorders>
            <w:vAlign w:val="center"/>
          </w:tcPr>
          <w:p w:rsidR="002D1E45" w:rsidRPr="00BA7FCF" w:rsidRDefault="002D1E45" w:rsidP="00BA7FCF">
            <w:pPr>
              <w:spacing w:after="0" w:line="240" w:lineRule="auto"/>
              <w:jc w:val="center"/>
              <w:rPr>
                <w:rFonts w:ascii="Times New Roman" w:hAnsi="Times New Roman"/>
                <w:color w:val="000000"/>
                <w:sz w:val="24"/>
                <w:szCs w:val="24"/>
                <w:lang w:eastAsia="ru-RU"/>
              </w:rPr>
            </w:pPr>
            <w:r w:rsidRPr="00BA7FCF">
              <w:rPr>
                <w:rFonts w:ascii="Times New Roman" w:hAnsi="Times New Roman"/>
                <w:color w:val="000000"/>
                <w:sz w:val="24"/>
                <w:szCs w:val="24"/>
                <w:lang w:eastAsia="ru-RU"/>
              </w:rPr>
              <w:t>Показатели</w:t>
            </w:r>
          </w:p>
        </w:tc>
        <w:tc>
          <w:tcPr>
            <w:tcW w:w="1138" w:type="dxa"/>
            <w:tcBorders>
              <w:top w:val="single" w:sz="4" w:space="0" w:color="auto"/>
              <w:left w:val="nil"/>
              <w:bottom w:val="single" w:sz="4" w:space="0" w:color="auto"/>
              <w:right w:val="single" w:sz="4" w:space="0" w:color="auto"/>
            </w:tcBorders>
            <w:vAlign w:val="center"/>
          </w:tcPr>
          <w:p w:rsidR="002D1E45" w:rsidRPr="00BA7FCF" w:rsidRDefault="002D1E45" w:rsidP="00BA7FCF">
            <w:pPr>
              <w:spacing w:after="0" w:line="240" w:lineRule="auto"/>
              <w:jc w:val="center"/>
              <w:rPr>
                <w:rFonts w:ascii="Times New Roman" w:hAnsi="Times New Roman"/>
                <w:color w:val="000000"/>
                <w:sz w:val="24"/>
                <w:szCs w:val="24"/>
                <w:lang w:eastAsia="ru-RU"/>
              </w:rPr>
            </w:pPr>
            <w:r w:rsidRPr="00BA7FCF">
              <w:rPr>
                <w:rFonts w:ascii="Times New Roman" w:hAnsi="Times New Roman"/>
                <w:color w:val="000000"/>
                <w:sz w:val="24"/>
                <w:szCs w:val="24"/>
                <w:lang w:eastAsia="ru-RU"/>
              </w:rPr>
              <w:t>2015</w:t>
            </w:r>
          </w:p>
        </w:tc>
        <w:tc>
          <w:tcPr>
            <w:tcW w:w="1272" w:type="dxa"/>
            <w:tcBorders>
              <w:top w:val="single" w:sz="4" w:space="0" w:color="auto"/>
              <w:left w:val="nil"/>
              <w:bottom w:val="single" w:sz="4" w:space="0" w:color="auto"/>
              <w:right w:val="single" w:sz="4" w:space="0" w:color="auto"/>
            </w:tcBorders>
            <w:vAlign w:val="center"/>
          </w:tcPr>
          <w:p w:rsidR="002D1E45" w:rsidRPr="00BA7FCF" w:rsidRDefault="002D1E45" w:rsidP="00BA7FCF">
            <w:pPr>
              <w:spacing w:after="0" w:line="240" w:lineRule="auto"/>
              <w:jc w:val="center"/>
              <w:rPr>
                <w:rFonts w:ascii="Times New Roman" w:hAnsi="Times New Roman"/>
                <w:color w:val="000000"/>
                <w:sz w:val="24"/>
                <w:szCs w:val="24"/>
                <w:lang w:eastAsia="ru-RU"/>
              </w:rPr>
            </w:pPr>
            <w:r w:rsidRPr="00BA7FCF">
              <w:rPr>
                <w:rFonts w:ascii="Times New Roman" w:hAnsi="Times New Roman"/>
                <w:color w:val="000000"/>
                <w:sz w:val="24"/>
                <w:szCs w:val="24"/>
                <w:lang w:eastAsia="ru-RU"/>
              </w:rPr>
              <w:t>2016</w:t>
            </w:r>
          </w:p>
        </w:tc>
        <w:tc>
          <w:tcPr>
            <w:tcW w:w="1189" w:type="dxa"/>
            <w:tcBorders>
              <w:top w:val="single" w:sz="4" w:space="0" w:color="auto"/>
              <w:left w:val="nil"/>
              <w:bottom w:val="single" w:sz="4" w:space="0" w:color="auto"/>
              <w:right w:val="single" w:sz="4" w:space="0" w:color="auto"/>
            </w:tcBorders>
            <w:vAlign w:val="center"/>
          </w:tcPr>
          <w:p w:rsidR="002D1E45" w:rsidRPr="00BA7FCF" w:rsidRDefault="002D1E45" w:rsidP="00BA7FCF">
            <w:pPr>
              <w:spacing w:after="0" w:line="240" w:lineRule="auto"/>
              <w:jc w:val="center"/>
              <w:rPr>
                <w:rFonts w:ascii="Times New Roman" w:hAnsi="Times New Roman"/>
                <w:color w:val="000000"/>
                <w:sz w:val="24"/>
                <w:szCs w:val="24"/>
                <w:lang w:eastAsia="ru-RU"/>
              </w:rPr>
            </w:pPr>
            <w:r w:rsidRPr="00BA7FCF">
              <w:rPr>
                <w:rFonts w:ascii="Times New Roman" w:hAnsi="Times New Roman"/>
                <w:color w:val="000000"/>
                <w:sz w:val="24"/>
                <w:szCs w:val="24"/>
                <w:lang w:eastAsia="ru-RU"/>
              </w:rPr>
              <w:t>2017</w:t>
            </w:r>
          </w:p>
        </w:tc>
        <w:tc>
          <w:tcPr>
            <w:tcW w:w="1189" w:type="dxa"/>
            <w:tcBorders>
              <w:top w:val="single" w:sz="4" w:space="0" w:color="auto"/>
              <w:left w:val="nil"/>
              <w:bottom w:val="single" w:sz="4" w:space="0" w:color="auto"/>
              <w:right w:val="single" w:sz="4" w:space="0" w:color="auto"/>
            </w:tcBorders>
            <w:vAlign w:val="center"/>
          </w:tcPr>
          <w:p w:rsidR="002D1E45" w:rsidRPr="00BA7FCF" w:rsidRDefault="002D1E45" w:rsidP="00BA7FCF">
            <w:pPr>
              <w:spacing w:after="0" w:line="240" w:lineRule="auto"/>
              <w:jc w:val="center"/>
              <w:rPr>
                <w:rFonts w:ascii="Times New Roman" w:hAnsi="Times New Roman"/>
                <w:color w:val="000000"/>
                <w:sz w:val="24"/>
                <w:szCs w:val="24"/>
                <w:lang w:eastAsia="ru-RU"/>
              </w:rPr>
            </w:pPr>
            <w:r w:rsidRPr="00BA7FCF">
              <w:rPr>
                <w:rFonts w:ascii="Times New Roman" w:hAnsi="Times New Roman"/>
                <w:color w:val="000000"/>
                <w:sz w:val="24"/>
                <w:szCs w:val="24"/>
                <w:lang w:eastAsia="ru-RU"/>
              </w:rPr>
              <w:t>2018</w:t>
            </w:r>
          </w:p>
        </w:tc>
        <w:tc>
          <w:tcPr>
            <w:tcW w:w="1189" w:type="dxa"/>
            <w:tcBorders>
              <w:top w:val="single" w:sz="4" w:space="0" w:color="auto"/>
              <w:left w:val="nil"/>
              <w:bottom w:val="single" w:sz="4" w:space="0" w:color="auto"/>
              <w:right w:val="single" w:sz="4" w:space="0" w:color="auto"/>
            </w:tcBorders>
            <w:vAlign w:val="center"/>
          </w:tcPr>
          <w:p w:rsidR="002D1E45" w:rsidRPr="00BA7FCF" w:rsidRDefault="002D1E45" w:rsidP="00BA7FCF">
            <w:pPr>
              <w:spacing w:after="0" w:line="240" w:lineRule="auto"/>
              <w:jc w:val="center"/>
              <w:rPr>
                <w:rFonts w:ascii="Times New Roman" w:hAnsi="Times New Roman"/>
                <w:color w:val="000000"/>
                <w:sz w:val="24"/>
                <w:szCs w:val="24"/>
                <w:lang w:eastAsia="ru-RU"/>
              </w:rPr>
            </w:pPr>
            <w:r w:rsidRPr="00BA7FCF">
              <w:rPr>
                <w:rFonts w:ascii="Times New Roman" w:hAnsi="Times New Roman"/>
                <w:color w:val="000000"/>
                <w:sz w:val="24"/>
                <w:szCs w:val="24"/>
                <w:lang w:eastAsia="ru-RU"/>
              </w:rPr>
              <w:t>2019</w:t>
            </w:r>
          </w:p>
        </w:tc>
      </w:tr>
      <w:tr w:rsidR="002D1E45" w:rsidRPr="00BA7FCF" w:rsidTr="001013C0">
        <w:trPr>
          <w:trHeight w:val="170"/>
          <w:jc w:val="center"/>
        </w:trPr>
        <w:tc>
          <w:tcPr>
            <w:tcW w:w="4218" w:type="dxa"/>
            <w:tcBorders>
              <w:top w:val="nil"/>
              <w:left w:val="single" w:sz="4" w:space="0" w:color="auto"/>
              <w:bottom w:val="single" w:sz="4" w:space="0" w:color="auto"/>
              <w:right w:val="single" w:sz="4" w:space="0" w:color="auto"/>
            </w:tcBorders>
            <w:vAlign w:val="center"/>
          </w:tcPr>
          <w:p w:rsidR="002D1E45" w:rsidRPr="00BA7FCF" w:rsidRDefault="002D1E45" w:rsidP="001013C0">
            <w:pPr>
              <w:spacing w:after="0" w:line="240" w:lineRule="auto"/>
              <w:jc w:val="both"/>
              <w:rPr>
                <w:rFonts w:ascii="Times New Roman" w:hAnsi="Times New Roman"/>
                <w:color w:val="000000"/>
                <w:sz w:val="24"/>
                <w:szCs w:val="24"/>
                <w:lang w:eastAsia="ru-RU"/>
              </w:rPr>
            </w:pPr>
            <w:r w:rsidRPr="00BA7FCF">
              <w:rPr>
                <w:rFonts w:ascii="Times New Roman" w:hAnsi="Times New Roman"/>
                <w:color w:val="000000"/>
                <w:sz w:val="24"/>
                <w:szCs w:val="24"/>
                <w:lang w:eastAsia="ru-RU"/>
              </w:rPr>
              <w:t>Численность населения среднегодовая (чел.)</w:t>
            </w:r>
          </w:p>
        </w:tc>
        <w:tc>
          <w:tcPr>
            <w:tcW w:w="1138" w:type="dxa"/>
            <w:tcBorders>
              <w:top w:val="nil"/>
              <w:left w:val="nil"/>
              <w:bottom w:val="single" w:sz="4" w:space="0" w:color="auto"/>
              <w:right w:val="single" w:sz="4" w:space="0" w:color="auto"/>
            </w:tcBorders>
            <w:vAlign w:val="center"/>
          </w:tcPr>
          <w:p w:rsidR="002D1E45" w:rsidRPr="00BA7FCF" w:rsidRDefault="002D1E45" w:rsidP="001013C0">
            <w:pPr>
              <w:spacing w:after="0" w:line="240" w:lineRule="auto"/>
              <w:jc w:val="center"/>
              <w:rPr>
                <w:rFonts w:ascii="Times New Roman" w:hAnsi="Times New Roman"/>
                <w:color w:val="000000"/>
                <w:sz w:val="24"/>
                <w:szCs w:val="24"/>
                <w:lang w:eastAsia="ru-RU"/>
              </w:rPr>
            </w:pPr>
            <w:r w:rsidRPr="001013C0">
              <w:rPr>
                <w:rFonts w:ascii="Times New Roman" w:hAnsi="Times New Roman"/>
                <w:color w:val="000000"/>
                <w:sz w:val="24"/>
                <w:szCs w:val="24"/>
                <w:lang w:eastAsia="ru-RU"/>
              </w:rPr>
              <w:t>44622</w:t>
            </w:r>
          </w:p>
        </w:tc>
        <w:tc>
          <w:tcPr>
            <w:tcW w:w="1272" w:type="dxa"/>
            <w:tcBorders>
              <w:top w:val="nil"/>
              <w:left w:val="nil"/>
              <w:bottom w:val="single" w:sz="4" w:space="0" w:color="auto"/>
              <w:right w:val="single" w:sz="4" w:space="0" w:color="auto"/>
            </w:tcBorders>
            <w:vAlign w:val="center"/>
          </w:tcPr>
          <w:p w:rsidR="002D1E45" w:rsidRPr="00BA7FCF" w:rsidRDefault="002D1E45" w:rsidP="001013C0">
            <w:pPr>
              <w:spacing w:after="0" w:line="240" w:lineRule="auto"/>
              <w:jc w:val="center"/>
              <w:rPr>
                <w:rFonts w:ascii="Times New Roman" w:hAnsi="Times New Roman"/>
                <w:color w:val="000000"/>
                <w:sz w:val="24"/>
                <w:szCs w:val="24"/>
                <w:lang w:eastAsia="ru-RU"/>
              </w:rPr>
            </w:pPr>
            <w:r w:rsidRPr="001013C0">
              <w:rPr>
                <w:rFonts w:ascii="Times New Roman" w:hAnsi="Times New Roman"/>
                <w:color w:val="000000"/>
                <w:sz w:val="24"/>
                <w:szCs w:val="24"/>
                <w:lang w:eastAsia="ru-RU"/>
              </w:rPr>
              <w:t>44431</w:t>
            </w:r>
          </w:p>
        </w:tc>
        <w:tc>
          <w:tcPr>
            <w:tcW w:w="1189" w:type="dxa"/>
            <w:tcBorders>
              <w:top w:val="nil"/>
              <w:left w:val="nil"/>
              <w:bottom w:val="single" w:sz="4" w:space="0" w:color="auto"/>
              <w:right w:val="single" w:sz="4" w:space="0" w:color="auto"/>
            </w:tcBorders>
            <w:vAlign w:val="center"/>
          </w:tcPr>
          <w:p w:rsidR="002D1E45" w:rsidRPr="00BA7FCF" w:rsidRDefault="002D1E45" w:rsidP="001013C0">
            <w:pPr>
              <w:spacing w:after="0" w:line="240" w:lineRule="auto"/>
              <w:jc w:val="center"/>
              <w:rPr>
                <w:rFonts w:ascii="Times New Roman" w:hAnsi="Times New Roman"/>
                <w:color w:val="000000"/>
                <w:sz w:val="24"/>
                <w:szCs w:val="24"/>
                <w:lang w:eastAsia="ru-RU"/>
              </w:rPr>
            </w:pPr>
            <w:r w:rsidRPr="001013C0">
              <w:rPr>
                <w:rFonts w:ascii="Times New Roman" w:hAnsi="Times New Roman"/>
                <w:color w:val="000000"/>
                <w:sz w:val="24"/>
                <w:szCs w:val="24"/>
                <w:lang w:eastAsia="ru-RU"/>
              </w:rPr>
              <w:t>44208</w:t>
            </w:r>
          </w:p>
        </w:tc>
        <w:tc>
          <w:tcPr>
            <w:tcW w:w="1189" w:type="dxa"/>
            <w:tcBorders>
              <w:top w:val="nil"/>
              <w:left w:val="nil"/>
              <w:bottom w:val="single" w:sz="4" w:space="0" w:color="auto"/>
              <w:right w:val="single" w:sz="4" w:space="0" w:color="auto"/>
            </w:tcBorders>
            <w:vAlign w:val="center"/>
          </w:tcPr>
          <w:p w:rsidR="002D1E45" w:rsidRPr="00BA7FCF" w:rsidRDefault="002D1E45" w:rsidP="001013C0">
            <w:pPr>
              <w:spacing w:after="0" w:line="240" w:lineRule="auto"/>
              <w:jc w:val="center"/>
              <w:rPr>
                <w:rFonts w:ascii="Times New Roman" w:hAnsi="Times New Roman"/>
                <w:color w:val="000000"/>
                <w:sz w:val="24"/>
                <w:szCs w:val="24"/>
                <w:lang w:eastAsia="ru-RU"/>
              </w:rPr>
            </w:pPr>
            <w:r w:rsidRPr="001013C0">
              <w:rPr>
                <w:rFonts w:ascii="Times New Roman" w:hAnsi="Times New Roman"/>
                <w:color w:val="000000"/>
                <w:sz w:val="24"/>
                <w:szCs w:val="24"/>
                <w:lang w:eastAsia="ru-RU"/>
              </w:rPr>
              <w:t>43983</w:t>
            </w:r>
          </w:p>
        </w:tc>
        <w:tc>
          <w:tcPr>
            <w:tcW w:w="1189" w:type="dxa"/>
            <w:tcBorders>
              <w:top w:val="nil"/>
              <w:left w:val="nil"/>
              <w:bottom w:val="single" w:sz="4" w:space="0" w:color="auto"/>
              <w:right w:val="single" w:sz="4" w:space="0" w:color="auto"/>
            </w:tcBorders>
            <w:vAlign w:val="center"/>
          </w:tcPr>
          <w:p w:rsidR="002D1E45" w:rsidRPr="00BA7FCF" w:rsidRDefault="002D1E45" w:rsidP="001013C0">
            <w:pPr>
              <w:spacing w:after="0" w:line="240" w:lineRule="auto"/>
              <w:jc w:val="center"/>
              <w:rPr>
                <w:rFonts w:ascii="Times New Roman" w:hAnsi="Times New Roman"/>
                <w:color w:val="000000"/>
                <w:sz w:val="24"/>
                <w:szCs w:val="24"/>
                <w:lang w:eastAsia="ru-RU"/>
              </w:rPr>
            </w:pPr>
            <w:r w:rsidRPr="001013C0">
              <w:rPr>
                <w:rFonts w:ascii="Times New Roman" w:hAnsi="Times New Roman"/>
                <w:color w:val="000000"/>
                <w:sz w:val="24"/>
                <w:szCs w:val="24"/>
                <w:lang w:eastAsia="ru-RU"/>
              </w:rPr>
              <w:t>43666</w:t>
            </w:r>
          </w:p>
        </w:tc>
      </w:tr>
      <w:tr w:rsidR="002D1E45" w:rsidRPr="00BA7FCF" w:rsidTr="001013C0">
        <w:trPr>
          <w:trHeight w:val="170"/>
          <w:jc w:val="center"/>
        </w:trPr>
        <w:tc>
          <w:tcPr>
            <w:tcW w:w="4218" w:type="dxa"/>
            <w:tcBorders>
              <w:top w:val="nil"/>
              <w:left w:val="single" w:sz="4" w:space="0" w:color="auto"/>
              <w:bottom w:val="single" w:sz="4" w:space="0" w:color="auto"/>
              <w:right w:val="single" w:sz="4" w:space="0" w:color="auto"/>
            </w:tcBorders>
            <w:vAlign w:val="center"/>
          </w:tcPr>
          <w:p w:rsidR="002D1E45" w:rsidRPr="00BA7FCF" w:rsidRDefault="002D1E45" w:rsidP="001013C0">
            <w:pPr>
              <w:spacing w:after="0" w:line="240" w:lineRule="auto"/>
              <w:jc w:val="both"/>
              <w:rPr>
                <w:rFonts w:ascii="Times New Roman" w:hAnsi="Times New Roman"/>
                <w:color w:val="000000"/>
                <w:sz w:val="24"/>
                <w:szCs w:val="24"/>
                <w:lang w:eastAsia="ru-RU"/>
              </w:rPr>
            </w:pPr>
            <w:r w:rsidRPr="00BA7FCF">
              <w:rPr>
                <w:rFonts w:ascii="Times New Roman" w:hAnsi="Times New Roman"/>
                <w:color w:val="000000"/>
                <w:sz w:val="24"/>
                <w:szCs w:val="24"/>
                <w:lang w:eastAsia="ru-RU"/>
              </w:rPr>
              <w:t>Зарегистрировано родившихся (чел.)</w:t>
            </w:r>
          </w:p>
        </w:tc>
        <w:tc>
          <w:tcPr>
            <w:tcW w:w="1138" w:type="dxa"/>
            <w:tcBorders>
              <w:top w:val="nil"/>
              <w:left w:val="nil"/>
              <w:bottom w:val="single" w:sz="4" w:space="0" w:color="auto"/>
              <w:right w:val="single" w:sz="4" w:space="0" w:color="auto"/>
            </w:tcBorders>
            <w:vAlign w:val="center"/>
          </w:tcPr>
          <w:p w:rsidR="002D1E45" w:rsidRPr="00BA7FCF" w:rsidRDefault="002D1E45" w:rsidP="001013C0">
            <w:pPr>
              <w:spacing w:after="0" w:line="240" w:lineRule="auto"/>
              <w:jc w:val="center"/>
              <w:rPr>
                <w:rFonts w:ascii="Times New Roman" w:hAnsi="Times New Roman"/>
                <w:color w:val="000000"/>
                <w:sz w:val="24"/>
                <w:szCs w:val="24"/>
                <w:lang w:eastAsia="ru-RU"/>
              </w:rPr>
            </w:pPr>
            <w:r w:rsidRPr="001013C0">
              <w:rPr>
                <w:rFonts w:ascii="Times New Roman" w:hAnsi="Times New Roman"/>
                <w:color w:val="000000"/>
                <w:sz w:val="24"/>
                <w:szCs w:val="24"/>
                <w:lang w:eastAsia="ru-RU"/>
              </w:rPr>
              <w:t>419</w:t>
            </w:r>
          </w:p>
        </w:tc>
        <w:tc>
          <w:tcPr>
            <w:tcW w:w="1272" w:type="dxa"/>
            <w:tcBorders>
              <w:top w:val="nil"/>
              <w:left w:val="nil"/>
              <w:bottom w:val="single" w:sz="4" w:space="0" w:color="auto"/>
              <w:right w:val="single" w:sz="4" w:space="0" w:color="auto"/>
            </w:tcBorders>
            <w:vAlign w:val="center"/>
          </w:tcPr>
          <w:p w:rsidR="002D1E45" w:rsidRPr="00BA7FCF" w:rsidRDefault="002D1E45" w:rsidP="001013C0">
            <w:pPr>
              <w:spacing w:after="0" w:line="240" w:lineRule="auto"/>
              <w:jc w:val="center"/>
              <w:rPr>
                <w:rFonts w:ascii="Times New Roman" w:hAnsi="Times New Roman"/>
                <w:color w:val="000000"/>
                <w:sz w:val="24"/>
                <w:szCs w:val="24"/>
                <w:lang w:eastAsia="ru-RU"/>
              </w:rPr>
            </w:pPr>
            <w:r w:rsidRPr="001013C0">
              <w:rPr>
                <w:rFonts w:ascii="Times New Roman" w:hAnsi="Times New Roman"/>
                <w:color w:val="000000"/>
                <w:sz w:val="24"/>
                <w:szCs w:val="24"/>
                <w:lang w:eastAsia="ru-RU"/>
              </w:rPr>
              <w:t>484</w:t>
            </w:r>
          </w:p>
        </w:tc>
        <w:tc>
          <w:tcPr>
            <w:tcW w:w="1189" w:type="dxa"/>
            <w:tcBorders>
              <w:top w:val="nil"/>
              <w:left w:val="nil"/>
              <w:bottom w:val="single" w:sz="4" w:space="0" w:color="auto"/>
              <w:right w:val="single" w:sz="4" w:space="0" w:color="auto"/>
            </w:tcBorders>
            <w:vAlign w:val="center"/>
          </w:tcPr>
          <w:p w:rsidR="002D1E45" w:rsidRPr="00BA7FCF" w:rsidRDefault="002D1E45" w:rsidP="001013C0">
            <w:pPr>
              <w:spacing w:after="0" w:line="240" w:lineRule="auto"/>
              <w:jc w:val="center"/>
              <w:rPr>
                <w:rFonts w:ascii="Times New Roman" w:hAnsi="Times New Roman"/>
                <w:color w:val="000000"/>
                <w:sz w:val="24"/>
                <w:szCs w:val="24"/>
                <w:lang w:eastAsia="ru-RU"/>
              </w:rPr>
            </w:pPr>
            <w:r w:rsidRPr="001013C0">
              <w:rPr>
                <w:rFonts w:ascii="Times New Roman" w:hAnsi="Times New Roman"/>
                <w:color w:val="000000"/>
                <w:sz w:val="24"/>
                <w:szCs w:val="24"/>
                <w:lang w:eastAsia="ru-RU"/>
              </w:rPr>
              <w:t>426</w:t>
            </w:r>
          </w:p>
        </w:tc>
        <w:tc>
          <w:tcPr>
            <w:tcW w:w="1189" w:type="dxa"/>
            <w:tcBorders>
              <w:top w:val="nil"/>
              <w:left w:val="nil"/>
              <w:bottom w:val="single" w:sz="4" w:space="0" w:color="auto"/>
              <w:right w:val="single" w:sz="4" w:space="0" w:color="auto"/>
            </w:tcBorders>
            <w:vAlign w:val="center"/>
          </w:tcPr>
          <w:p w:rsidR="002D1E45" w:rsidRPr="00BA7FCF" w:rsidRDefault="002D1E45" w:rsidP="001013C0">
            <w:pPr>
              <w:spacing w:after="0" w:line="240" w:lineRule="auto"/>
              <w:jc w:val="center"/>
              <w:rPr>
                <w:rFonts w:ascii="Times New Roman" w:hAnsi="Times New Roman"/>
                <w:color w:val="000000"/>
                <w:sz w:val="24"/>
                <w:szCs w:val="24"/>
                <w:lang w:eastAsia="ru-RU"/>
              </w:rPr>
            </w:pPr>
            <w:r w:rsidRPr="001013C0">
              <w:rPr>
                <w:rFonts w:ascii="Times New Roman" w:hAnsi="Times New Roman"/>
                <w:color w:val="000000"/>
                <w:sz w:val="24"/>
                <w:szCs w:val="24"/>
                <w:lang w:eastAsia="ru-RU"/>
              </w:rPr>
              <w:t>401</w:t>
            </w:r>
          </w:p>
        </w:tc>
        <w:tc>
          <w:tcPr>
            <w:tcW w:w="1189" w:type="dxa"/>
            <w:tcBorders>
              <w:top w:val="nil"/>
              <w:left w:val="nil"/>
              <w:bottom w:val="single" w:sz="4" w:space="0" w:color="auto"/>
              <w:right w:val="single" w:sz="4" w:space="0" w:color="auto"/>
            </w:tcBorders>
            <w:vAlign w:val="center"/>
          </w:tcPr>
          <w:p w:rsidR="002D1E45" w:rsidRPr="00BA7FCF" w:rsidRDefault="002D1E45" w:rsidP="001013C0">
            <w:pPr>
              <w:spacing w:after="0" w:line="240" w:lineRule="auto"/>
              <w:jc w:val="center"/>
              <w:rPr>
                <w:rFonts w:ascii="Times New Roman" w:hAnsi="Times New Roman"/>
                <w:color w:val="000000"/>
                <w:sz w:val="24"/>
                <w:szCs w:val="24"/>
                <w:lang w:eastAsia="ru-RU"/>
              </w:rPr>
            </w:pPr>
            <w:r w:rsidRPr="001013C0">
              <w:rPr>
                <w:rFonts w:ascii="Times New Roman" w:hAnsi="Times New Roman"/>
                <w:color w:val="000000"/>
                <w:sz w:val="24"/>
                <w:szCs w:val="24"/>
                <w:lang w:eastAsia="ru-RU"/>
              </w:rPr>
              <w:t>363</w:t>
            </w:r>
          </w:p>
        </w:tc>
      </w:tr>
      <w:tr w:rsidR="002D1E45" w:rsidRPr="00BA7FCF" w:rsidTr="001013C0">
        <w:trPr>
          <w:trHeight w:val="170"/>
          <w:jc w:val="center"/>
        </w:trPr>
        <w:tc>
          <w:tcPr>
            <w:tcW w:w="4218" w:type="dxa"/>
            <w:tcBorders>
              <w:top w:val="nil"/>
              <w:left w:val="single" w:sz="4" w:space="0" w:color="auto"/>
              <w:bottom w:val="single" w:sz="4" w:space="0" w:color="auto"/>
              <w:right w:val="single" w:sz="4" w:space="0" w:color="auto"/>
            </w:tcBorders>
            <w:vAlign w:val="center"/>
          </w:tcPr>
          <w:p w:rsidR="002D1E45" w:rsidRPr="00BA7FCF" w:rsidRDefault="002D1E45" w:rsidP="001013C0">
            <w:pPr>
              <w:spacing w:after="0" w:line="240" w:lineRule="auto"/>
              <w:jc w:val="both"/>
              <w:rPr>
                <w:rFonts w:ascii="Times New Roman" w:hAnsi="Times New Roman"/>
                <w:color w:val="000000"/>
                <w:sz w:val="24"/>
                <w:szCs w:val="24"/>
                <w:lang w:eastAsia="ru-RU"/>
              </w:rPr>
            </w:pPr>
            <w:r w:rsidRPr="00BA7FCF">
              <w:rPr>
                <w:rFonts w:ascii="Times New Roman" w:hAnsi="Times New Roman"/>
                <w:color w:val="000000"/>
                <w:sz w:val="24"/>
                <w:szCs w:val="24"/>
                <w:lang w:eastAsia="ru-RU"/>
              </w:rPr>
              <w:t>Зарегистрировано умерших (чел.)</w:t>
            </w:r>
          </w:p>
        </w:tc>
        <w:tc>
          <w:tcPr>
            <w:tcW w:w="1138" w:type="dxa"/>
            <w:tcBorders>
              <w:top w:val="nil"/>
              <w:left w:val="nil"/>
              <w:bottom w:val="single" w:sz="4" w:space="0" w:color="auto"/>
              <w:right w:val="single" w:sz="4" w:space="0" w:color="auto"/>
            </w:tcBorders>
            <w:vAlign w:val="center"/>
          </w:tcPr>
          <w:p w:rsidR="002D1E45" w:rsidRPr="00BA7FCF" w:rsidRDefault="002D1E45" w:rsidP="001013C0">
            <w:pPr>
              <w:spacing w:after="0" w:line="240" w:lineRule="auto"/>
              <w:jc w:val="center"/>
              <w:rPr>
                <w:rFonts w:ascii="Times New Roman" w:hAnsi="Times New Roman"/>
                <w:color w:val="000000"/>
                <w:sz w:val="24"/>
                <w:szCs w:val="24"/>
                <w:lang w:eastAsia="ru-RU"/>
              </w:rPr>
            </w:pPr>
            <w:r w:rsidRPr="001013C0">
              <w:rPr>
                <w:rFonts w:ascii="Times New Roman" w:hAnsi="Times New Roman"/>
                <w:color w:val="000000"/>
                <w:sz w:val="24"/>
                <w:szCs w:val="24"/>
                <w:lang w:eastAsia="ru-RU"/>
              </w:rPr>
              <w:t>587</w:t>
            </w:r>
          </w:p>
        </w:tc>
        <w:tc>
          <w:tcPr>
            <w:tcW w:w="1272" w:type="dxa"/>
            <w:tcBorders>
              <w:top w:val="nil"/>
              <w:left w:val="nil"/>
              <w:bottom w:val="single" w:sz="4" w:space="0" w:color="auto"/>
              <w:right w:val="single" w:sz="4" w:space="0" w:color="auto"/>
            </w:tcBorders>
            <w:vAlign w:val="center"/>
          </w:tcPr>
          <w:p w:rsidR="002D1E45" w:rsidRPr="00BA7FCF" w:rsidRDefault="002D1E45" w:rsidP="001013C0">
            <w:pPr>
              <w:spacing w:after="0" w:line="240" w:lineRule="auto"/>
              <w:jc w:val="center"/>
              <w:rPr>
                <w:rFonts w:ascii="Times New Roman" w:hAnsi="Times New Roman"/>
                <w:color w:val="000000"/>
                <w:sz w:val="24"/>
                <w:szCs w:val="24"/>
                <w:lang w:eastAsia="ru-RU"/>
              </w:rPr>
            </w:pPr>
            <w:r w:rsidRPr="001013C0">
              <w:rPr>
                <w:rFonts w:ascii="Times New Roman" w:hAnsi="Times New Roman"/>
                <w:color w:val="000000"/>
                <w:sz w:val="24"/>
                <w:szCs w:val="24"/>
                <w:lang w:eastAsia="ru-RU"/>
              </w:rPr>
              <w:t>573</w:t>
            </w:r>
          </w:p>
        </w:tc>
        <w:tc>
          <w:tcPr>
            <w:tcW w:w="1189" w:type="dxa"/>
            <w:tcBorders>
              <w:top w:val="nil"/>
              <w:left w:val="nil"/>
              <w:bottom w:val="single" w:sz="4" w:space="0" w:color="auto"/>
              <w:right w:val="single" w:sz="4" w:space="0" w:color="auto"/>
            </w:tcBorders>
            <w:vAlign w:val="center"/>
          </w:tcPr>
          <w:p w:rsidR="002D1E45" w:rsidRPr="00BA7FCF" w:rsidRDefault="002D1E45" w:rsidP="001013C0">
            <w:pPr>
              <w:spacing w:after="0" w:line="240" w:lineRule="auto"/>
              <w:jc w:val="center"/>
              <w:rPr>
                <w:rFonts w:ascii="Times New Roman" w:hAnsi="Times New Roman"/>
                <w:color w:val="000000"/>
                <w:sz w:val="24"/>
                <w:szCs w:val="24"/>
                <w:lang w:eastAsia="ru-RU"/>
              </w:rPr>
            </w:pPr>
            <w:r w:rsidRPr="001013C0">
              <w:rPr>
                <w:rFonts w:ascii="Times New Roman" w:hAnsi="Times New Roman"/>
                <w:color w:val="000000"/>
                <w:sz w:val="24"/>
                <w:szCs w:val="24"/>
                <w:lang w:eastAsia="ru-RU"/>
              </w:rPr>
              <w:t>582</w:t>
            </w:r>
          </w:p>
        </w:tc>
        <w:tc>
          <w:tcPr>
            <w:tcW w:w="1189" w:type="dxa"/>
            <w:tcBorders>
              <w:top w:val="nil"/>
              <w:left w:val="nil"/>
              <w:bottom w:val="single" w:sz="4" w:space="0" w:color="auto"/>
              <w:right w:val="single" w:sz="4" w:space="0" w:color="auto"/>
            </w:tcBorders>
            <w:vAlign w:val="center"/>
          </w:tcPr>
          <w:p w:rsidR="002D1E45" w:rsidRPr="00BA7FCF" w:rsidRDefault="002D1E45" w:rsidP="001013C0">
            <w:pPr>
              <w:spacing w:after="0" w:line="240" w:lineRule="auto"/>
              <w:jc w:val="center"/>
              <w:rPr>
                <w:rFonts w:ascii="Times New Roman" w:hAnsi="Times New Roman"/>
                <w:color w:val="000000"/>
                <w:sz w:val="24"/>
                <w:szCs w:val="24"/>
                <w:lang w:eastAsia="ru-RU"/>
              </w:rPr>
            </w:pPr>
            <w:r w:rsidRPr="001013C0">
              <w:rPr>
                <w:rFonts w:ascii="Times New Roman" w:hAnsi="Times New Roman"/>
                <w:color w:val="000000"/>
                <w:sz w:val="24"/>
                <w:szCs w:val="24"/>
                <w:lang w:eastAsia="ru-RU"/>
              </w:rPr>
              <w:t>603</w:t>
            </w:r>
          </w:p>
        </w:tc>
        <w:tc>
          <w:tcPr>
            <w:tcW w:w="1189" w:type="dxa"/>
            <w:tcBorders>
              <w:top w:val="nil"/>
              <w:left w:val="nil"/>
              <w:bottom w:val="single" w:sz="4" w:space="0" w:color="auto"/>
              <w:right w:val="single" w:sz="4" w:space="0" w:color="auto"/>
            </w:tcBorders>
            <w:vAlign w:val="center"/>
          </w:tcPr>
          <w:p w:rsidR="002D1E45" w:rsidRPr="00BA7FCF" w:rsidRDefault="002D1E45" w:rsidP="001013C0">
            <w:pPr>
              <w:spacing w:after="0" w:line="240" w:lineRule="auto"/>
              <w:jc w:val="center"/>
              <w:rPr>
                <w:rFonts w:ascii="Times New Roman" w:hAnsi="Times New Roman"/>
                <w:color w:val="000000"/>
                <w:sz w:val="24"/>
                <w:szCs w:val="24"/>
                <w:lang w:eastAsia="ru-RU"/>
              </w:rPr>
            </w:pPr>
            <w:r w:rsidRPr="001013C0">
              <w:rPr>
                <w:rFonts w:ascii="Times New Roman" w:hAnsi="Times New Roman"/>
                <w:color w:val="000000"/>
                <w:sz w:val="24"/>
                <w:szCs w:val="24"/>
                <w:lang w:eastAsia="ru-RU"/>
              </w:rPr>
              <w:t>591</w:t>
            </w:r>
          </w:p>
        </w:tc>
      </w:tr>
      <w:tr w:rsidR="002D1E45" w:rsidRPr="00BA7FCF" w:rsidTr="001013C0">
        <w:trPr>
          <w:trHeight w:val="170"/>
          <w:jc w:val="center"/>
        </w:trPr>
        <w:tc>
          <w:tcPr>
            <w:tcW w:w="4218" w:type="dxa"/>
            <w:tcBorders>
              <w:top w:val="nil"/>
              <w:left w:val="single" w:sz="4" w:space="0" w:color="auto"/>
              <w:bottom w:val="single" w:sz="4" w:space="0" w:color="auto"/>
              <w:right w:val="single" w:sz="4" w:space="0" w:color="auto"/>
            </w:tcBorders>
            <w:vAlign w:val="center"/>
          </w:tcPr>
          <w:p w:rsidR="002D1E45" w:rsidRPr="00BA7FCF" w:rsidRDefault="002D1E45" w:rsidP="001013C0">
            <w:pPr>
              <w:spacing w:after="0" w:line="240" w:lineRule="auto"/>
              <w:jc w:val="both"/>
              <w:rPr>
                <w:rFonts w:ascii="Times New Roman" w:hAnsi="Times New Roman"/>
                <w:color w:val="000000"/>
                <w:sz w:val="24"/>
                <w:szCs w:val="24"/>
                <w:lang w:eastAsia="ru-RU"/>
              </w:rPr>
            </w:pPr>
            <w:r w:rsidRPr="00BA7FCF">
              <w:rPr>
                <w:rFonts w:ascii="Times New Roman" w:hAnsi="Times New Roman"/>
                <w:color w:val="000000"/>
                <w:sz w:val="24"/>
                <w:szCs w:val="24"/>
                <w:lang w:eastAsia="ru-RU"/>
              </w:rPr>
              <w:t>Естественный прирост (+), убыль (-) населения (чел.)</w:t>
            </w:r>
          </w:p>
        </w:tc>
        <w:tc>
          <w:tcPr>
            <w:tcW w:w="1138" w:type="dxa"/>
            <w:tcBorders>
              <w:top w:val="nil"/>
              <w:left w:val="nil"/>
              <w:bottom w:val="single" w:sz="4" w:space="0" w:color="auto"/>
              <w:right w:val="single" w:sz="4" w:space="0" w:color="auto"/>
            </w:tcBorders>
            <w:vAlign w:val="center"/>
          </w:tcPr>
          <w:p w:rsidR="002D1E45" w:rsidRPr="00BA7FCF" w:rsidRDefault="002D1E45" w:rsidP="001013C0">
            <w:pPr>
              <w:spacing w:after="0" w:line="240" w:lineRule="auto"/>
              <w:jc w:val="center"/>
              <w:rPr>
                <w:rFonts w:ascii="Times New Roman" w:hAnsi="Times New Roman"/>
                <w:color w:val="000000"/>
                <w:sz w:val="24"/>
                <w:szCs w:val="24"/>
                <w:lang w:eastAsia="ru-RU"/>
              </w:rPr>
            </w:pPr>
            <w:r w:rsidRPr="001013C0">
              <w:rPr>
                <w:rFonts w:ascii="Times New Roman" w:hAnsi="Times New Roman"/>
                <w:color w:val="000000"/>
                <w:sz w:val="24"/>
                <w:szCs w:val="24"/>
                <w:lang w:eastAsia="ru-RU"/>
              </w:rPr>
              <w:t>-169</w:t>
            </w:r>
          </w:p>
        </w:tc>
        <w:tc>
          <w:tcPr>
            <w:tcW w:w="1272" w:type="dxa"/>
            <w:tcBorders>
              <w:top w:val="nil"/>
              <w:left w:val="nil"/>
              <w:bottom w:val="single" w:sz="4" w:space="0" w:color="auto"/>
              <w:right w:val="single" w:sz="4" w:space="0" w:color="auto"/>
            </w:tcBorders>
            <w:vAlign w:val="center"/>
          </w:tcPr>
          <w:p w:rsidR="002D1E45" w:rsidRPr="00BA7FCF" w:rsidRDefault="002D1E45" w:rsidP="001013C0">
            <w:pPr>
              <w:spacing w:after="0" w:line="240" w:lineRule="auto"/>
              <w:jc w:val="center"/>
              <w:rPr>
                <w:rFonts w:ascii="Times New Roman" w:hAnsi="Times New Roman"/>
                <w:color w:val="000000"/>
                <w:sz w:val="24"/>
                <w:szCs w:val="24"/>
                <w:lang w:eastAsia="ru-RU"/>
              </w:rPr>
            </w:pPr>
            <w:r w:rsidRPr="001013C0">
              <w:rPr>
                <w:rFonts w:ascii="Times New Roman" w:hAnsi="Times New Roman"/>
                <w:color w:val="000000"/>
                <w:sz w:val="24"/>
                <w:szCs w:val="24"/>
                <w:lang w:eastAsia="ru-RU"/>
              </w:rPr>
              <w:t>-89</w:t>
            </w:r>
          </w:p>
        </w:tc>
        <w:tc>
          <w:tcPr>
            <w:tcW w:w="1189" w:type="dxa"/>
            <w:tcBorders>
              <w:top w:val="nil"/>
              <w:left w:val="nil"/>
              <w:bottom w:val="single" w:sz="4" w:space="0" w:color="auto"/>
              <w:right w:val="single" w:sz="4" w:space="0" w:color="auto"/>
            </w:tcBorders>
            <w:vAlign w:val="center"/>
          </w:tcPr>
          <w:p w:rsidR="002D1E45" w:rsidRPr="00BA7FCF" w:rsidRDefault="002D1E45" w:rsidP="001013C0">
            <w:pPr>
              <w:spacing w:after="0" w:line="240" w:lineRule="auto"/>
              <w:jc w:val="center"/>
              <w:rPr>
                <w:rFonts w:ascii="Times New Roman" w:hAnsi="Times New Roman"/>
                <w:color w:val="000000"/>
                <w:sz w:val="24"/>
                <w:szCs w:val="24"/>
                <w:lang w:eastAsia="ru-RU"/>
              </w:rPr>
            </w:pPr>
            <w:r w:rsidRPr="001013C0">
              <w:rPr>
                <w:rFonts w:ascii="Times New Roman" w:hAnsi="Times New Roman"/>
                <w:color w:val="000000"/>
                <w:sz w:val="24"/>
                <w:szCs w:val="24"/>
                <w:lang w:eastAsia="ru-RU"/>
              </w:rPr>
              <w:t>-156</w:t>
            </w:r>
          </w:p>
        </w:tc>
        <w:tc>
          <w:tcPr>
            <w:tcW w:w="1189" w:type="dxa"/>
            <w:tcBorders>
              <w:top w:val="nil"/>
              <w:left w:val="nil"/>
              <w:bottom w:val="single" w:sz="4" w:space="0" w:color="auto"/>
              <w:right w:val="single" w:sz="4" w:space="0" w:color="auto"/>
            </w:tcBorders>
            <w:vAlign w:val="center"/>
          </w:tcPr>
          <w:p w:rsidR="002D1E45" w:rsidRPr="00BA7FCF" w:rsidRDefault="002D1E45" w:rsidP="001013C0">
            <w:pPr>
              <w:spacing w:after="0" w:line="240" w:lineRule="auto"/>
              <w:jc w:val="center"/>
              <w:rPr>
                <w:rFonts w:ascii="Times New Roman" w:hAnsi="Times New Roman"/>
                <w:color w:val="000000"/>
                <w:sz w:val="24"/>
                <w:szCs w:val="24"/>
                <w:lang w:eastAsia="ru-RU"/>
              </w:rPr>
            </w:pPr>
            <w:r w:rsidRPr="001013C0">
              <w:rPr>
                <w:rFonts w:ascii="Times New Roman" w:hAnsi="Times New Roman"/>
                <w:color w:val="000000"/>
                <w:sz w:val="24"/>
                <w:szCs w:val="24"/>
                <w:lang w:eastAsia="ru-RU"/>
              </w:rPr>
              <w:t>-202</w:t>
            </w:r>
          </w:p>
        </w:tc>
        <w:tc>
          <w:tcPr>
            <w:tcW w:w="1189" w:type="dxa"/>
            <w:tcBorders>
              <w:top w:val="nil"/>
              <w:left w:val="nil"/>
              <w:bottom w:val="single" w:sz="4" w:space="0" w:color="auto"/>
              <w:right w:val="single" w:sz="4" w:space="0" w:color="auto"/>
            </w:tcBorders>
            <w:vAlign w:val="center"/>
          </w:tcPr>
          <w:p w:rsidR="002D1E45" w:rsidRPr="00BA7FCF" w:rsidRDefault="002D1E45" w:rsidP="001013C0">
            <w:pPr>
              <w:spacing w:after="0" w:line="240" w:lineRule="auto"/>
              <w:jc w:val="center"/>
              <w:rPr>
                <w:rFonts w:ascii="Times New Roman" w:hAnsi="Times New Roman"/>
                <w:color w:val="000000"/>
                <w:sz w:val="24"/>
                <w:szCs w:val="24"/>
                <w:lang w:eastAsia="ru-RU"/>
              </w:rPr>
            </w:pPr>
            <w:r w:rsidRPr="001013C0">
              <w:rPr>
                <w:rFonts w:ascii="Times New Roman" w:hAnsi="Times New Roman"/>
                <w:color w:val="000000"/>
                <w:sz w:val="24"/>
                <w:szCs w:val="24"/>
                <w:lang w:eastAsia="ru-RU"/>
              </w:rPr>
              <w:t>-228</w:t>
            </w:r>
          </w:p>
        </w:tc>
      </w:tr>
      <w:tr w:rsidR="002D1E45" w:rsidRPr="00BA7FCF" w:rsidTr="001013C0">
        <w:trPr>
          <w:trHeight w:val="170"/>
          <w:jc w:val="center"/>
        </w:trPr>
        <w:tc>
          <w:tcPr>
            <w:tcW w:w="4218" w:type="dxa"/>
            <w:tcBorders>
              <w:top w:val="nil"/>
              <w:left w:val="single" w:sz="4" w:space="0" w:color="auto"/>
              <w:bottom w:val="single" w:sz="4" w:space="0" w:color="auto"/>
              <w:right w:val="single" w:sz="4" w:space="0" w:color="auto"/>
            </w:tcBorders>
            <w:vAlign w:val="center"/>
          </w:tcPr>
          <w:p w:rsidR="002D1E45" w:rsidRPr="00BA7FCF" w:rsidRDefault="002D1E45" w:rsidP="001013C0">
            <w:pPr>
              <w:spacing w:after="0" w:line="240" w:lineRule="auto"/>
              <w:jc w:val="both"/>
              <w:rPr>
                <w:rFonts w:ascii="Times New Roman" w:hAnsi="Times New Roman"/>
                <w:color w:val="000000"/>
                <w:sz w:val="24"/>
                <w:szCs w:val="24"/>
                <w:lang w:eastAsia="ru-RU"/>
              </w:rPr>
            </w:pPr>
            <w:r w:rsidRPr="00BA7FCF">
              <w:rPr>
                <w:rFonts w:ascii="Times New Roman" w:hAnsi="Times New Roman"/>
                <w:color w:val="000000"/>
                <w:sz w:val="24"/>
                <w:szCs w:val="24"/>
                <w:lang w:eastAsia="ru-RU"/>
              </w:rPr>
              <w:t>Коэффициент рождаемости (чел. на 1000 чел. населения)</w:t>
            </w:r>
          </w:p>
        </w:tc>
        <w:tc>
          <w:tcPr>
            <w:tcW w:w="1138" w:type="dxa"/>
            <w:tcBorders>
              <w:top w:val="nil"/>
              <w:left w:val="nil"/>
              <w:bottom w:val="single" w:sz="4" w:space="0" w:color="auto"/>
              <w:right w:val="single" w:sz="4" w:space="0" w:color="auto"/>
            </w:tcBorders>
            <w:vAlign w:val="center"/>
          </w:tcPr>
          <w:p w:rsidR="002D1E45" w:rsidRPr="00BA7FCF" w:rsidRDefault="002D1E45" w:rsidP="001013C0">
            <w:pPr>
              <w:spacing w:after="0" w:line="240" w:lineRule="auto"/>
              <w:jc w:val="center"/>
              <w:rPr>
                <w:rFonts w:ascii="Times New Roman" w:hAnsi="Times New Roman"/>
                <w:color w:val="000000"/>
                <w:sz w:val="24"/>
                <w:szCs w:val="24"/>
                <w:lang w:eastAsia="ru-RU"/>
              </w:rPr>
            </w:pPr>
            <w:r w:rsidRPr="001013C0">
              <w:rPr>
                <w:rFonts w:ascii="Times New Roman" w:hAnsi="Times New Roman"/>
                <w:color w:val="000000"/>
                <w:sz w:val="24"/>
                <w:szCs w:val="24"/>
                <w:lang w:eastAsia="ru-RU"/>
              </w:rPr>
              <w:t>9,4</w:t>
            </w:r>
          </w:p>
        </w:tc>
        <w:tc>
          <w:tcPr>
            <w:tcW w:w="1272" w:type="dxa"/>
            <w:tcBorders>
              <w:top w:val="nil"/>
              <w:left w:val="nil"/>
              <w:bottom w:val="single" w:sz="4" w:space="0" w:color="auto"/>
              <w:right w:val="single" w:sz="4" w:space="0" w:color="auto"/>
            </w:tcBorders>
            <w:vAlign w:val="center"/>
          </w:tcPr>
          <w:p w:rsidR="002D1E45" w:rsidRPr="00BA7FCF" w:rsidRDefault="002D1E45" w:rsidP="001013C0">
            <w:pPr>
              <w:spacing w:after="0" w:line="240" w:lineRule="auto"/>
              <w:jc w:val="center"/>
              <w:rPr>
                <w:rFonts w:ascii="Times New Roman" w:hAnsi="Times New Roman"/>
                <w:color w:val="000000"/>
                <w:sz w:val="24"/>
                <w:szCs w:val="24"/>
                <w:lang w:eastAsia="ru-RU"/>
              </w:rPr>
            </w:pPr>
            <w:r w:rsidRPr="001013C0">
              <w:rPr>
                <w:rFonts w:ascii="Times New Roman" w:hAnsi="Times New Roman"/>
                <w:color w:val="000000"/>
                <w:sz w:val="24"/>
                <w:szCs w:val="24"/>
                <w:lang w:eastAsia="ru-RU"/>
              </w:rPr>
              <w:t>10,9</w:t>
            </w:r>
          </w:p>
        </w:tc>
        <w:tc>
          <w:tcPr>
            <w:tcW w:w="1189" w:type="dxa"/>
            <w:tcBorders>
              <w:top w:val="nil"/>
              <w:left w:val="nil"/>
              <w:bottom w:val="single" w:sz="4" w:space="0" w:color="auto"/>
              <w:right w:val="single" w:sz="4" w:space="0" w:color="auto"/>
            </w:tcBorders>
            <w:vAlign w:val="center"/>
          </w:tcPr>
          <w:p w:rsidR="002D1E45" w:rsidRPr="00BA7FCF" w:rsidRDefault="002D1E45" w:rsidP="001013C0">
            <w:pPr>
              <w:spacing w:after="0" w:line="240" w:lineRule="auto"/>
              <w:jc w:val="center"/>
              <w:rPr>
                <w:rFonts w:ascii="Times New Roman" w:hAnsi="Times New Roman"/>
                <w:color w:val="000000"/>
                <w:sz w:val="24"/>
                <w:szCs w:val="24"/>
                <w:lang w:eastAsia="ru-RU"/>
              </w:rPr>
            </w:pPr>
            <w:r w:rsidRPr="001013C0">
              <w:rPr>
                <w:rFonts w:ascii="Times New Roman" w:hAnsi="Times New Roman"/>
                <w:color w:val="000000"/>
                <w:sz w:val="24"/>
                <w:szCs w:val="24"/>
                <w:lang w:eastAsia="ru-RU"/>
              </w:rPr>
              <w:t>9,6</w:t>
            </w:r>
          </w:p>
        </w:tc>
        <w:tc>
          <w:tcPr>
            <w:tcW w:w="1189" w:type="dxa"/>
            <w:tcBorders>
              <w:top w:val="nil"/>
              <w:left w:val="nil"/>
              <w:bottom w:val="single" w:sz="4" w:space="0" w:color="auto"/>
              <w:right w:val="single" w:sz="4" w:space="0" w:color="auto"/>
            </w:tcBorders>
            <w:vAlign w:val="center"/>
          </w:tcPr>
          <w:p w:rsidR="002D1E45" w:rsidRPr="00BA7FCF" w:rsidRDefault="002D1E45" w:rsidP="001013C0">
            <w:pPr>
              <w:spacing w:after="0" w:line="240" w:lineRule="auto"/>
              <w:jc w:val="center"/>
              <w:rPr>
                <w:rFonts w:ascii="Times New Roman" w:hAnsi="Times New Roman"/>
                <w:color w:val="000000"/>
                <w:sz w:val="24"/>
                <w:szCs w:val="24"/>
                <w:lang w:eastAsia="ru-RU"/>
              </w:rPr>
            </w:pPr>
            <w:r w:rsidRPr="001013C0">
              <w:rPr>
                <w:rFonts w:ascii="Times New Roman" w:hAnsi="Times New Roman"/>
                <w:color w:val="000000"/>
                <w:sz w:val="24"/>
                <w:szCs w:val="24"/>
                <w:lang w:eastAsia="ru-RU"/>
              </w:rPr>
              <w:t>9,1</w:t>
            </w:r>
          </w:p>
        </w:tc>
        <w:tc>
          <w:tcPr>
            <w:tcW w:w="1189" w:type="dxa"/>
            <w:tcBorders>
              <w:top w:val="nil"/>
              <w:left w:val="nil"/>
              <w:bottom w:val="single" w:sz="4" w:space="0" w:color="auto"/>
              <w:right w:val="single" w:sz="4" w:space="0" w:color="auto"/>
            </w:tcBorders>
            <w:vAlign w:val="center"/>
          </w:tcPr>
          <w:p w:rsidR="002D1E45" w:rsidRPr="00BA7FCF" w:rsidRDefault="002D1E45" w:rsidP="001013C0">
            <w:pPr>
              <w:spacing w:after="0" w:line="240" w:lineRule="auto"/>
              <w:jc w:val="center"/>
              <w:rPr>
                <w:rFonts w:ascii="Times New Roman" w:hAnsi="Times New Roman"/>
                <w:color w:val="000000"/>
                <w:sz w:val="24"/>
                <w:szCs w:val="24"/>
                <w:lang w:eastAsia="ru-RU"/>
              </w:rPr>
            </w:pPr>
            <w:r w:rsidRPr="001013C0">
              <w:rPr>
                <w:rFonts w:ascii="Times New Roman" w:hAnsi="Times New Roman"/>
                <w:color w:val="000000"/>
                <w:sz w:val="24"/>
                <w:szCs w:val="24"/>
                <w:lang w:eastAsia="ru-RU"/>
              </w:rPr>
              <w:t>8,3</w:t>
            </w:r>
          </w:p>
        </w:tc>
      </w:tr>
      <w:tr w:rsidR="002D1E45" w:rsidRPr="00BA7FCF" w:rsidTr="001013C0">
        <w:trPr>
          <w:trHeight w:val="170"/>
          <w:jc w:val="center"/>
        </w:trPr>
        <w:tc>
          <w:tcPr>
            <w:tcW w:w="4218" w:type="dxa"/>
            <w:tcBorders>
              <w:top w:val="nil"/>
              <w:left w:val="single" w:sz="4" w:space="0" w:color="auto"/>
              <w:bottom w:val="single" w:sz="4" w:space="0" w:color="auto"/>
              <w:right w:val="single" w:sz="4" w:space="0" w:color="auto"/>
            </w:tcBorders>
            <w:vAlign w:val="center"/>
          </w:tcPr>
          <w:p w:rsidR="002D1E45" w:rsidRPr="00BA7FCF" w:rsidRDefault="002D1E45" w:rsidP="001013C0">
            <w:pPr>
              <w:spacing w:after="0" w:line="240" w:lineRule="auto"/>
              <w:jc w:val="both"/>
              <w:rPr>
                <w:rFonts w:ascii="Times New Roman" w:hAnsi="Times New Roman"/>
                <w:color w:val="000000"/>
                <w:sz w:val="24"/>
                <w:szCs w:val="24"/>
                <w:lang w:eastAsia="ru-RU"/>
              </w:rPr>
            </w:pPr>
            <w:r w:rsidRPr="00BA7FCF">
              <w:rPr>
                <w:rFonts w:ascii="Times New Roman" w:hAnsi="Times New Roman"/>
                <w:color w:val="000000"/>
                <w:sz w:val="24"/>
                <w:szCs w:val="24"/>
                <w:lang w:eastAsia="ru-RU"/>
              </w:rPr>
              <w:t>Общий коэффициент смертности (чел. на 1000 чел. населения)</w:t>
            </w:r>
          </w:p>
        </w:tc>
        <w:tc>
          <w:tcPr>
            <w:tcW w:w="1138" w:type="dxa"/>
            <w:tcBorders>
              <w:top w:val="nil"/>
              <w:left w:val="nil"/>
              <w:bottom w:val="single" w:sz="4" w:space="0" w:color="auto"/>
              <w:right w:val="single" w:sz="4" w:space="0" w:color="auto"/>
            </w:tcBorders>
            <w:vAlign w:val="center"/>
          </w:tcPr>
          <w:p w:rsidR="002D1E45" w:rsidRPr="00BA7FCF" w:rsidRDefault="002D1E45" w:rsidP="001013C0">
            <w:pPr>
              <w:spacing w:after="0" w:line="240" w:lineRule="auto"/>
              <w:jc w:val="center"/>
              <w:rPr>
                <w:rFonts w:ascii="Times New Roman" w:hAnsi="Times New Roman"/>
                <w:color w:val="000000"/>
                <w:sz w:val="24"/>
                <w:szCs w:val="24"/>
                <w:lang w:eastAsia="ru-RU"/>
              </w:rPr>
            </w:pPr>
            <w:r w:rsidRPr="001013C0">
              <w:rPr>
                <w:rFonts w:ascii="Times New Roman" w:hAnsi="Times New Roman"/>
                <w:color w:val="000000"/>
                <w:sz w:val="24"/>
                <w:szCs w:val="24"/>
                <w:lang w:eastAsia="ru-RU"/>
              </w:rPr>
              <w:t>13,2</w:t>
            </w:r>
          </w:p>
        </w:tc>
        <w:tc>
          <w:tcPr>
            <w:tcW w:w="1272" w:type="dxa"/>
            <w:tcBorders>
              <w:top w:val="nil"/>
              <w:left w:val="nil"/>
              <w:bottom w:val="single" w:sz="4" w:space="0" w:color="auto"/>
              <w:right w:val="single" w:sz="4" w:space="0" w:color="auto"/>
            </w:tcBorders>
            <w:vAlign w:val="center"/>
          </w:tcPr>
          <w:p w:rsidR="002D1E45" w:rsidRPr="00BA7FCF" w:rsidRDefault="002D1E45" w:rsidP="001013C0">
            <w:pPr>
              <w:spacing w:after="0" w:line="240" w:lineRule="auto"/>
              <w:jc w:val="center"/>
              <w:rPr>
                <w:rFonts w:ascii="Times New Roman" w:hAnsi="Times New Roman"/>
                <w:color w:val="000000"/>
                <w:sz w:val="24"/>
                <w:szCs w:val="24"/>
                <w:lang w:eastAsia="ru-RU"/>
              </w:rPr>
            </w:pPr>
            <w:r w:rsidRPr="001013C0">
              <w:rPr>
                <w:rFonts w:ascii="Times New Roman" w:hAnsi="Times New Roman"/>
                <w:color w:val="000000"/>
                <w:sz w:val="24"/>
                <w:szCs w:val="24"/>
                <w:lang w:eastAsia="ru-RU"/>
              </w:rPr>
              <w:t>12,9</w:t>
            </w:r>
          </w:p>
        </w:tc>
        <w:tc>
          <w:tcPr>
            <w:tcW w:w="1189" w:type="dxa"/>
            <w:tcBorders>
              <w:top w:val="nil"/>
              <w:left w:val="nil"/>
              <w:bottom w:val="single" w:sz="4" w:space="0" w:color="auto"/>
              <w:right w:val="single" w:sz="4" w:space="0" w:color="auto"/>
            </w:tcBorders>
            <w:vAlign w:val="center"/>
          </w:tcPr>
          <w:p w:rsidR="002D1E45" w:rsidRPr="00BA7FCF" w:rsidRDefault="002D1E45" w:rsidP="001013C0">
            <w:pPr>
              <w:spacing w:after="0" w:line="240" w:lineRule="auto"/>
              <w:jc w:val="center"/>
              <w:rPr>
                <w:rFonts w:ascii="Times New Roman" w:hAnsi="Times New Roman"/>
                <w:color w:val="000000"/>
                <w:sz w:val="24"/>
                <w:szCs w:val="24"/>
                <w:lang w:eastAsia="ru-RU"/>
              </w:rPr>
            </w:pPr>
            <w:r w:rsidRPr="001013C0">
              <w:rPr>
                <w:rFonts w:ascii="Times New Roman" w:hAnsi="Times New Roman"/>
                <w:color w:val="000000"/>
                <w:sz w:val="24"/>
                <w:szCs w:val="24"/>
                <w:lang w:eastAsia="ru-RU"/>
              </w:rPr>
              <w:t>13,2</w:t>
            </w:r>
          </w:p>
        </w:tc>
        <w:tc>
          <w:tcPr>
            <w:tcW w:w="1189" w:type="dxa"/>
            <w:tcBorders>
              <w:top w:val="nil"/>
              <w:left w:val="nil"/>
              <w:bottom w:val="single" w:sz="4" w:space="0" w:color="auto"/>
              <w:right w:val="single" w:sz="4" w:space="0" w:color="auto"/>
            </w:tcBorders>
            <w:vAlign w:val="center"/>
          </w:tcPr>
          <w:p w:rsidR="002D1E45" w:rsidRPr="00BA7FCF" w:rsidRDefault="002D1E45" w:rsidP="001013C0">
            <w:pPr>
              <w:spacing w:after="0" w:line="240" w:lineRule="auto"/>
              <w:jc w:val="center"/>
              <w:rPr>
                <w:rFonts w:ascii="Times New Roman" w:hAnsi="Times New Roman"/>
                <w:color w:val="000000"/>
                <w:sz w:val="24"/>
                <w:szCs w:val="24"/>
                <w:lang w:eastAsia="ru-RU"/>
              </w:rPr>
            </w:pPr>
            <w:r w:rsidRPr="001013C0">
              <w:rPr>
                <w:rFonts w:ascii="Times New Roman" w:hAnsi="Times New Roman"/>
                <w:color w:val="000000"/>
                <w:sz w:val="24"/>
                <w:szCs w:val="24"/>
                <w:lang w:eastAsia="ru-RU"/>
              </w:rPr>
              <w:t>13,7</w:t>
            </w:r>
          </w:p>
        </w:tc>
        <w:tc>
          <w:tcPr>
            <w:tcW w:w="1189" w:type="dxa"/>
            <w:tcBorders>
              <w:top w:val="nil"/>
              <w:left w:val="nil"/>
              <w:bottom w:val="single" w:sz="4" w:space="0" w:color="auto"/>
              <w:right w:val="single" w:sz="4" w:space="0" w:color="auto"/>
            </w:tcBorders>
            <w:vAlign w:val="center"/>
          </w:tcPr>
          <w:p w:rsidR="002D1E45" w:rsidRPr="00BA7FCF" w:rsidRDefault="002D1E45" w:rsidP="001013C0">
            <w:pPr>
              <w:spacing w:after="0" w:line="240" w:lineRule="auto"/>
              <w:jc w:val="center"/>
              <w:rPr>
                <w:rFonts w:ascii="Times New Roman" w:hAnsi="Times New Roman"/>
                <w:color w:val="000000"/>
                <w:sz w:val="24"/>
                <w:szCs w:val="24"/>
                <w:lang w:eastAsia="ru-RU"/>
              </w:rPr>
            </w:pPr>
            <w:r w:rsidRPr="001013C0">
              <w:rPr>
                <w:rFonts w:ascii="Times New Roman" w:hAnsi="Times New Roman"/>
                <w:color w:val="000000"/>
                <w:sz w:val="24"/>
                <w:szCs w:val="24"/>
                <w:lang w:eastAsia="ru-RU"/>
              </w:rPr>
              <w:t>13,5</w:t>
            </w:r>
          </w:p>
        </w:tc>
      </w:tr>
      <w:tr w:rsidR="002D1E45" w:rsidRPr="00BA7FCF" w:rsidTr="001013C0">
        <w:trPr>
          <w:trHeight w:val="170"/>
          <w:jc w:val="center"/>
        </w:trPr>
        <w:tc>
          <w:tcPr>
            <w:tcW w:w="4218" w:type="dxa"/>
            <w:tcBorders>
              <w:top w:val="nil"/>
              <w:left w:val="single" w:sz="4" w:space="0" w:color="auto"/>
              <w:bottom w:val="single" w:sz="4" w:space="0" w:color="auto"/>
              <w:right w:val="single" w:sz="4" w:space="0" w:color="auto"/>
            </w:tcBorders>
            <w:vAlign w:val="center"/>
          </w:tcPr>
          <w:p w:rsidR="002D1E45" w:rsidRPr="00BA7FCF" w:rsidRDefault="002D1E45" w:rsidP="001013C0">
            <w:pPr>
              <w:spacing w:after="0" w:line="240" w:lineRule="auto"/>
              <w:jc w:val="both"/>
              <w:rPr>
                <w:rFonts w:ascii="Times New Roman" w:hAnsi="Times New Roman"/>
                <w:color w:val="000000"/>
                <w:sz w:val="24"/>
                <w:szCs w:val="24"/>
                <w:lang w:eastAsia="ru-RU"/>
              </w:rPr>
            </w:pPr>
            <w:r w:rsidRPr="00BA7FCF">
              <w:rPr>
                <w:rFonts w:ascii="Times New Roman" w:hAnsi="Times New Roman"/>
                <w:color w:val="000000"/>
                <w:sz w:val="24"/>
                <w:szCs w:val="24"/>
                <w:lang w:eastAsia="ru-RU"/>
              </w:rPr>
              <w:t>Коэффициент естественного прироста (чел. на 1000 чел. населения)</w:t>
            </w:r>
          </w:p>
        </w:tc>
        <w:tc>
          <w:tcPr>
            <w:tcW w:w="1138" w:type="dxa"/>
            <w:tcBorders>
              <w:top w:val="nil"/>
              <w:left w:val="nil"/>
              <w:bottom w:val="single" w:sz="4" w:space="0" w:color="auto"/>
              <w:right w:val="single" w:sz="4" w:space="0" w:color="auto"/>
            </w:tcBorders>
            <w:vAlign w:val="center"/>
          </w:tcPr>
          <w:p w:rsidR="002D1E45" w:rsidRPr="00BA7FCF" w:rsidRDefault="002D1E45" w:rsidP="001013C0">
            <w:pPr>
              <w:spacing w:after="0" w:line="240" w:lineRule="auto"/>
              <w:jc w:val="center"/>
              <w:rPr>
                <w:rFonts w:ascii="Times New Roman" w:hAnsi="Times New Roman"/>
                <w:color w:val="000000"/>
                <w:sz w:val="24"/>
                <w:szCs w:val="24"/>
                <w:lang w:eastAsia="ru-RU"/>
              </w:rPr>
            </w:pPr>
            <w:r w:rsidRPr="001013C0">
              <w:rPr>
                <w:rFonts w:ascii="Times New Roman" w:hAnsi="Times New Roman"/>
                <w:color w:val="000000"/>
                <w:sz w:val="24"/>
                <w:szCs w:val="24"/>
                <w:lang w:eastAsia="ru-RU"/>
              </w:rPr>
              <w:t>-3,8</w:t>
            </w:r>
          </w:p>
        </w:tc>
        <w:tc>
          <w:tcPr>
            <w:tcW w:w="1272" w:type="dxa"/>
            <w:tcBorders>
              <w:top w:val="nil"/>
              <w:left w:val="nil"/>
              <w:bottom w:val="single" w:sz="4" w:space="0" w:color="auto"/>
              <w:right w:val="single" w:sz="4" w:space="0" w:color="auto"/>
            </w:tcBorders>
            <w:vAlign w:val="center"/>
          </w:tcPr>
          <w:p w:rsidR="002D1E45" w:rsidRPr="00BA7FCF" w:rsidRDefault="002D1E45" w:rsidP="001013C0">
            <w:pPr>
              <w:spacing w:after="0" w:line="240" w:lineRule="auto"/>
              <w:jc w:val="center"/>
              <w:rPr>
                <w:rFonts w:ascii="Times New Roman" w:hAnsi="Times New Roman"/>
                <w:color w:val="000000"/>
                <w:sz w:val="24"/>
                <w:szCs w:val="24"/>
                <w:lang w:eastAsia="ru-RU"/>
              </w:rPr>
            </w:pPr>
            <w:r w:rsidRPr="001013C0">
              <w:rPr>
                <w:rFonts w:ascii="Times New Roman" w:hAnsi="Times New Roman"/>
                <w:color w:val="000000"/>
                <w:sz w:val="24"/>
                <w:szCs w:val="24"/>
                <w:lang w:eastAsia="ru-RU"/>
              </w:rPr>
              <w:t>-2,0</w:t>
            </w:r>
          </w:p>
        </w:tc>
        <w:tc>
          <w:tcPr>
            <w:tcW w:w="1189" w:type="dxa"/>
            <w:tcBorders>
              <w:top w:val="nil"/>
              <w:left w:val="nil"/>
              <w:bottom w:val="single" w:sz="4" w:space="0" w:color="auto"/>
              <w:right w:val="single" w:sz="4" w:space="0" w:color="auto"/>
            </w:tcBorders>
            <w:vAlign w:val="center"/>
          </w:tcPr>
          <w:p w:rsidR="002D1E45" w:rsidRPr="00BA7FCF" w:rsidRDefault="002D1E45" w:rsidP="001013C0">
            <w:pPr>
              <w:spacing w:after="0" w:line="240" w:lineRule="auto"/>
              <w:jc w:val="center"/>
              <w:rPr>
                <w:rFonts w:ascii="Times New Roman" w:hAnsi="Times New Roman"/>
                <w:color w:val="000000"/>
                <w:sz w:val="24"/>
                <w:szCs w:val="24"/>
                <w:lang w:eastAsia="ru-RU"/>
              </w:rPr>
            </w:pPr>
            <w:r w:rsidRPr="001013C0">
              <w:rPr>
                <w:rFonts w:ascii="Times New Roman" w:hAnsi="Times New Roman"/>
                <w:color w:val="000000"/>
                <w:sz w:val="24"/>
                <w:szCs w:val="24"/>
                <w:lang w:eastAsia="ru-RU"/>
              </w:rPr>
              <w:t>-3,5</w:t>
            </w:r>
          </w:p>
        </w:tc>
        <w:tc>
          <w:tcPr>
            <w:tcW w:w="1189" w:type="dxa"/>
            <w:tcBorders>
              <w:top w:val="nil"/>
              <w:left w:val="nil"/>
              <w:bottom w:val="single" w:sz="4" w:space="0" w:color="auto"/>
              <w:right w:val="single" w:sz="4" w:space="0" w:color="auto"/>
            </w:tcBorders>
            <w:vAlign w:val="center"/>
          </w:tcPr>
          <w:p w:rsidR="002D1E45" w:rsidRPr="00BA7FCF" w:rsidRDefault="002D1E45" w:rsidP="001013C0">
            <w:pPr>
              <w:spacing w:after="0" w:line="240" w:lineRule="auto"/>
              <w:jc w:val="center"/>
              <w:rPr>
                <w:rFonts w:ascii="Times New Roman" w:hAnsi="Times New Roman"/>
                <w:color w:val="000000"/>
                <w:sz w:val="24"/>
                <w:szCs w:val="24"/>
                <w:lang w:eastAsia="ru-RU"/>
              </w:rPr>
            </w:pPr>
            <w:r w:rsidRPr="001013C0">
              <w:rPr>
                <w:rFonts w:ascii="Times New Roman" w:hAnsi="Times New Roman"/>
                <w:color w:val="000000"/>
                <w:sz w:val="24"/>
                <w:szCs w:val="24"/>
                <w:lang w:eastAsia="ru-RU"/>
              </w:rPr>
              <w:t>-4,6</w:t>
            </w:r>
          </w:p>
        </w:tc>
        <w:tc>
          <w:tcPr>
            <w:tcW w:w="1189" w:type="dxa"/>
            <w:tcBorders>
              <w:top w:val="nil"/>
              <w:left w:val="nil"/>
              <w:bottom w:val="single" w:sz="4" w:space="0" w:color="auto"/>
              <w:right w:val="single" w:sz="4" w:space="0" w:color="auto"/>
            </w:tcBorders>
            <w:vAlign w:val="center"/>
          </w:tcPr>
          <w:p w:rsidR="002D1E45" w:rsidRPr="00BA7FCF" w:rsidRDefault="002D1E45" w:rsidP="001013C0">
            <w:pPr>
              <w:spacing w:after="0" w:line="240" w:lineRule="auto"/>
              <w:jc w:val="center"/>
              <w:rPr>
                <w:rFonts w:ascii="Times New Roman" w:hAnsi="Times New Roman"/>
                <w:color w:val="000000"/>
                <w:sz w:val="24"/>
                <w:szCs w:val="24"/>
                <w:lang w:eastAsia="ru-RU"/>
              </w:rPr>
            </w:pPr>
            <w:r w:rsidRPr="001013C0">
              <w:rPr>
                <w:rFonts w:ascii="Times New Roman" w:hAnsi="Times New Roman"/>
                <w:color w:val="000000"/>
                <w:sz w:val="24"/>
                <w:szCs w:val="24"/>
                <w:lang w:eastAsia="ru-RU"/>
              </w:rPr>
              <w:t>-5,2</w:t>
            </w:r>
          </w:p>
        </w:tc>
      </w:tr>
      <w:tr w:rsidR="002D1E45" w:rsidRPr="00BA7FCF" w:rsidTr="001013C0">
        <w:trPr>
          <w:trHeight w:val="170"/>
          <w:jc w:val="center"/>
        </w:trPr>
        <w:tc>
          <w:tcPr>
            <w:tcW w:w="4218" w:type="dxa"/>
            <w:tcBorders>
              <w:top w:val="nil"/>
              <w:left w:val="single" w:sz="4" w:space="0" w:color="auto"/>
              <w:bottom w:val="single" w:sz="4" w:space="0" w:color="auto"/>
              <w:right w:val="single" w:sz="4" w:space="0" w:color="auto"/>
            </w:tcBorders>
            <w:vAlign w:val="center"/>
          </w:tcPr>
          <w:p w:rsidR="002D1E45" w:rsidRPr="00BA7FCF" w:rsidRDefault="002D1E45" w:rsidP="001013C0">
            <w:pPr>
              <w:spacing w:after="0" w:line="240" w:lineRule="auto"/>
              <w:jc w:val="both"/>
              <w:outlineLvl w:val="0"/>
              <w:rPr>
                <w:rFonts w:ascii="Times New Roman" w:hAnsi="Times New Roman"/>
                <w:color w:val="000000"/>
                <w:sz w:val="24"/>
                <w:szCs w:val="24"/>
                <w:lang w:eastAsia="ru-RU"/>
              </w:rPr>
            </w:pPr>
            <w:r w:rsidRPr="00BA7FCF">
              <w:rPr>
                <w:rFonts w:ascii="Times New Roman" w:hAnsi="Times New Roman"/>
                <w:color w:val="000000"/>
                <w:sz w:val="24"/>
                <w:szCs w:val="24"/>
                <w:lang w:eastAsia="ru-RU"/>
              </w:rPr>
              <w:t>Прибыло мигрантов (чел.)</w:t>
            </w:r>
          </w:p>
        </w:tc>
        <w:tc>
          <w:tcPr>
            <w:tcW w:w="1138" w:type="dxa"/>
            <w:tcBorders>
              <w:top w:val="nil"/>
              <w:left w:val="nil"/>
              <w:bottom w:val="single" w:sz="4" w:space="0" w:color="auto"/>
              <w:right w:val="single" w:sz="4" w:space="0" w:color="auto"/>
            </w:tcBorders>
            <w:vAlign w:val="center"/>
          </w:tcPr>
          <w:p w:rsidR="002D1E45" w:rsidRPr="00BA7FCF" w:rsidRDefault="002D1E45" w:rsidP="001013C0">
            <w:pPr>
              <w:spacing w:after="0" w:line="240" w:lineRule="auto"/>
              <w:jc w:val="center"/>
              <w:rPr>
                <w:rFonts w:ascii="Times New Roman" w:hAnsi="Times New Roman"/>
                <w:color w:val="000000"/>
                <w:sz w:val="24"/>
                <w:szCs w:val="24"/>
                <w:lang w:eastAsia="ru-RU"/>
              </w:rPr>
            </w:pPr>
            <w:r w:rsidRPr="001013C0">
              <w:rPr>
                <w:rFonts w:ascii="Times New Roman" w:hAnsi="Times New Roman"/>
                <w:color w:val="000000"/>
                <w:sz w:val="24"/>
                <w:szCs w:val="24"/>
                <w:lang w:eastAsia="ru-RU"/>
              </w:rPr>
              <w:t>1215</w:t>
            </w:r>
          </w:p>
        </w:tc>
        <w:tc>
          <w:tcPr>
            <w:tcW w:w="1272" w:type="dxa"/>
            <w:tcBorders>
              <w:top w:val="nil"/>
              <w:left w:val="nil"/>
              <w:bottom w:val="single" w:sz="4" w:space="0" w:color="auto"/>
              <w:right w:val="single" w:sz="4" w:space="0" w:color="auto"/>
            </w:tcBorders>
            <w:vAlign w:val="center"/>
          </w:tcPr>
          <w:p w:rsidR="002D1E45" w:rsidRPr="00BA7FCF" w:rsidRDefault="002D1E45" w:rsidP="001013C0">
            <w:pPr>
              <w:spacing w:after="0" w:line="240" w:lineRule="auto"/>
              <w:jc w:val="center"/>
              <w:rPr>
                <w:rFonts w:ascii="Times New Roman" w:hAnsi="Times New Roman"/>
                <w:color w:val="000000"/>
                <w:sz w:val="24"/>
                <w:szCs w:val="24"/>
                <w:lang w:eastAsia="ru-RU"/>
              </w:rPr>
            </w:pPr>
            <w:r w:rsidRPr="001013C0">
              <w:rPr>
                <w:rFonts w:ascii="Times New Roman" w:hAnsi="Times New Roman"/>
                <w:color w:val="000000"/>
                <w:sz w:val="24"/>
                <w:szCs w:val="24"/>
                <w:lang w:eastAsia="ru-RU"/>
              </w:rPr>
              <w:t>911</w:t>
            </w:r>
          </w:p>
        </w:tc>
        <w:tc>
          <w:tcPr>
            <w:tcW w:w="1189" w:type="dxa"/>
            <w:tcBorders>
              <w:top w:val="nil"/>
              <w:left w:val="nil"/>
              <w:bottom w:val="single" w:sz="4" w:space="0" w:color="auto"/>
              <w:right w:val="single" w:sz="4" w:space="0" w:color="auto"/>
            </w:tcBorders>
            <w:vAlign w:val="center"/>
          </w:tcPr>
          <w:p w:rsidR="002D1E45" w:rsidRPr="00BA7FCF" w:rsidRDefault="002D1E45" w:rsidP="001013C0">
            <w:pPr>
              <w:spacing w:after="0" w:line="240" w:lineRule="auto"/>
              <w:jc w:val="center"/>
              <w:rPr>
                <w:rFonts w:ascii="Times New Roman" w:hAnsi="Times New Roman"/>
                <w:color w:val="000000"/>
                <w:sz w:val="24"/>
                <w:szCs w:val="24"/>
                <w:lang w:eastAsia="ru-RU"/>
              </w:rPr>
            </w:pPr>
            <w:r w:rsidRPr="001013C0">
              <w:rPr>
                <w:rFonts w:ascii="Times New Roman" w:hAnsi="Times New Roman"/>
                <w:color w:val="000000"/>
                <w:sz w:val="24"/>
                <w:szCs w:val="24"/>
                <w:lang w:eastAsia="ru-RU"/>
              </w:rPr>
              <w:t>1125</w:t>
            </w:r>
          </w:p>
        </w:tc>
        <w:tc>
          <w:tcPr>
            <w:tcW w:w="1189" w:type="dxa"/>
            <w:tcBorders>
              <w:top w:val="nil"/>
              <w:left w:val="nil"/>
              <w:bottom w:val="single" w:sz="4" w:space="0" w:color="auto"/>
              <w:right w:val="single" w:sz="4" w:space="0" w:color="auto"/>
            </w:tcBorders>
            <w:vAlign w:val="center"/>
          </w:tcPr>
          <w:p w:rsidR="002D1E45" w:rsidRPr="00BA7FCF" w:rsidRDefault="002D1E45" w:rsidP="001013C0">
            <w:pPr>
              <w:spacing w:after="0" w:line="240" w:lineRule="auto"/>
              <w:jc w:val="center"/>
              <w:rPr>
                <w:rFonts w:ascii="Times New Roman" w:hAnsi="Times New Roman"/>
                <w:color w:val="000000"/>
                <w:sz w:val="24"/>
                <w:szCs w:val="24"/>
                <w:lang w:eastAsia="ru-RU"/>
              </w:rPr>
            </w:pPr>
            <w:r w:rsidRPr="001013C0">
              <w:rPr>
                <w:rFonts w:ascii="Times New Roman" w:hAnsi="Times New Roman"/>
                <w:color w:val="000000"/>
                <w:sz w:val="24"/>
                <w:szCs w:val="24"/>
                <w:lang w:eastAsia="ru-RU"/>
              </w:rPr>
              <w:t>1107</w:t>
            </w:r>
          </w:p>
        </w:tc>
        <w:tc>
          <w:tcPr>
            <w:tcW w:w="1189" w:type="dxa"/>
            <w:tcBorders>
              <w:top w:val="nil"/>
              <w:left w:val="nil"/>
              <w:bottom w:val="single" w:sz="4" w:space="0" w:color="auto"/>
              <w:right w:val="single" w:sz="4" w:space="0" w:color="auto"/>
            </w:tcBorders>
            <w:vAlign w:val="center"/>
          </w:tcPr>
          <w:p w:rsidR="002D1E45" w:rsidRPr="00BA7FCF" w:rsidRDefault="002D1E45" w:rsidP="001013C0">
            <w:pPr>
              <w:spacing w:after="0" w:line="240" w:lineRule="auto"/>
              <w:jc w:val="center"/>
              <w:rPr>
                <w:rFonts w:ascii="Times New Roman" w:hAnsi="Times New Roman"/>
                <w:color w:val="000000"/>
                <w:sz w:val="24"/>
                <w:szCs w:val="24"/>
                <w:lang w:eastAsia="ru-RU"/>
              </w:rPr>
            </w:pPr>
            <w:r w:rsidRPr="001013C0">
              <w:rPr>
                <w:rFonts w:ascii="Times New Roman" w:hAnsi="Times New Roman"/>
                <w:color w:val="000000"/>
                <w:sz w:val="24"/>
                <w:szCs w:val="24"/>
                <w:lang w:eastAsia="ru-RU"/>
              </w:rPr>
              <w:t>876</w:t>
            </w:r>
          </w:p>
        </w:tc>
      </w:tr>
      <w:tr w:rsidR="002D1E45" w:rsidRPr="00BA7FCF" w:rsidTr="001013C0">
        <w:trPr>
          <w:trHeight w:val="170"/>
          <w:jc w:val="center"/>
        </w:trPr>
        <w:tc>
          <w:tcPr>
            <w:tcW w:w="4218" w:type="dxa"/>
            <w:tcBorders>
              <w:top w:val="nil"/>
              <w:left w:val="single" w:sz="4" w:space="0" w:color="auto"/>
              <w:bottom w:val="single" w:sz="4" w:space="0" w:color="auto"/>
              <w:right w:val="single" w:sz="4" w:space="0" w:color="auto"/>
            </w:tcBorders>
            <w:vAlign w:val="center"/>
          </w:tcPr>
          <w:p w:rsidR="002D1E45" w:rsidRPr="00BA7FCF" w:rsidRDefault="002D1E45" w:rsidP="001013C0">
            <w:pPr>
              <w:spacing w:after="0" w:line="240" w:lineRule="auto"/>
              <w:jc w:val="both"/>
              <w:outlineLvl w:val="0"/>
              <w:rPr>
                <w:rFonts w:ascii="Times New Roman" w:hAnsi="Times New Roman"/>
                <w:color w:val="000000"/>
                <w:sz w:val="24"/>
                <w:szCs w:val="24"/>
                <w:lang w:eastAsia="ru-RU"/>
              </w:rPr>
            </w:pPr>
            <w:r w:rsidRPr="00BA7FCF">
              <w:rPr>
                <w:rFonts w:ascii="Times New Roman" w:hAnsi="Times New Roman"/>
                <w:color w:val="000000"/>
                <w:sz w:val="24"/>
                <w:szCs w:val="24"/>
                <w:lang w:eastAsia="ru-RU"/>
              </w:rPr>
              <w:t>Выехало жителей (чел.)</w:t>
            </w:r>
          </w:p>
        </w:tc>
        <w:tc>
          <w:tcPr>
            <w:tcW w:w="1138" w:type="dxa"/>
            <w:tcBorders>
              <w:top w:val="nil"/>
              <w:left w:val="nil"/>
              <w:bottom w:val="single" w:sz="4" w:space="0" w:color="auto"/>
              <w:right w:val="single" w:sz="4" w:space="0" w:color="auto"/>
            </w:tcBorders>
            <w:vAlign w:val="center"/>
          </w:tcPr>
          <w:p w:rsidR="002D1E45" w:rsidRPr="00BA7FCF" w:rsidRDefault="002D1E45" w:rsidP="001013C0">
            <w:pPr>
              <w:spacing w:after="0" w:line="240" w:lineRule="auto"/>
              <w:jc w:val="center"/>
              <w:rPr>
                <w:rFonts w:ascii="Times New Roman" w:hAnsi="Times New Roman"/>
                <w:color w:val="000000"/>
                <w:sz w:val="24"/>
                <w:szCs w:val="24"/>
                <w:lang w:eastAsia="ru-RU"/>
              </w:rPr>
            </w:pPr>
            <w:r w:rsidRPr="001013C0">
              <w:rPr>
                <w:rFonts w:ascii="Times New Roman" w:hAnsi="Times New Roman"/>
                <w:color w:val="000000"/>
                <w:sz w:val="24"/>
                <w:szCs w:val="24"/>
                <w:lang w:eastAsia="ru-RU"/>
              </w:rPr>
              <w:t>1171</w:t>
            </w:r>
          </w:p>
        </w:tc>
        <w:tc>
          <w:tcPr>
            <w:tcW w:w="1272" w:type="dxa"/>
            <w:tcBorders>
              <w:top w:val="nil"/>
              <w:left w:val="nil"/>
              <w:bottom w:val="single" w:sz="4" w:space="0" w:color="auto"/>
              <w:right w:val="single" w:sz="4" w:space="0" w:color="auto"/>
            </w:tcBorders>
            <w:vAlign w:val="center"/>
          </w:tcPr>
          <w:p w:rsidR="002D1E45" w:rsidRPr="00BA7FCF" w:rsidRDefault="002D1E45" w:rsidP="001013C0">
            <w:pPr>
              <w:spacing w:after="0" w:line="240" w:lineRule="auto"/>
              <w:jc w:val="center"/>
              <w:rPr>
                <w:rFonts w:ascii="Times New Roman" w:hAnsi="Times New Roman"/>
                <w:color w:val="000000"/>
                <w:sz w:val="24"/>
                <w:szCs w:val="24"/>
                <w:lang w:eastAsia="ru-RU"/>
              </w:rPr>
            </w:pPr>
            <w:r w:rsidRPr="001013C0">
              <w:rPr>
                <w:rFonts w:ascii="Times New Roman" w:hAnsi="Times New Roman"/>
                <w:color w:val="000000"/>
                <w:sz w:val="24"/>
                <w:szCs w:val="24"/>
                <w:lang w:eastAsia="ru-RU"/>
              </w:rPr>
              <w:t>1192</w:t>
            </w:r>
          </w:p>
        </w:tc>
        <w:tc>
          <w:tcPr>
            <w:tcW w:w="1189" w:type="dxa"/>
            <w:tcBorders>
              <w:top w:val="nil"/>
              <w:left w:val="nil"/>
              <w:bottom w:val="single" w:sz="4" w:space="0" w:color="auto"/>
              <w:right w:val="single" w:sz="4" w:space="0" w:color="auto"/>
            </w:tcBorders>
            <w:vAlign w:val="center"/>
          </w:tcPr>
          <w:p w:rsidR="002D1E45" w:rsidRPr="00BA7FCF" w:rsidRDefault="002D1E45" w:rsidP="001013C0">
            <w:pPr>
              <w:spacing w:after="0" w:line="240" w:lineRule="auto"/>
              <w:jc w:val="center"/>
              <w:rPr>
                <w:rFonts w:ascii="Times New Roman" w:hAnsi="Times New Roman"/>
                <w:color w:val="000000"/>
                <w:sz w:val="24"/>
                <w:szCs w:val="24"/>
                <w:lang w:eastAsia="ru-RU"/>
              </w:rPr>
            </w:pPr>
            <w:r w:rsidRPr="001013C0">
              <w:rPr>
                <w:rFonts w:ascii="Times New Roman" w:hAnsi="Times New Roman"/>
                <w:color w:val="000000"/>
                <w:sz w:val="24"/>
                <w:szCs w:val="24"/>
                <w:lang w:eastAsia="ru-RU"/>
              </w:rPr>
              <w:t>1045</w:t>
            </w:r>
          </w:p>
        </w:tc>
        <w:tc>
          <w:tcPr>
            <w:tcW w:w="1189" w:type="dxa"/>
            <w:tcBorders>
              <w:top w:val="nil"/>
              <w:left w:val="nil"/>
              <w:bottom w:val="single" w:sz="4" w:space="0" w:color="auto"/>
              <w:right w:val="single" w:sz="4" w:space="0" w:color="auto"/>
            </w:tcBorders>
            <w:vAlign w:val="center"/>
          </w:tcPr>
          <w:p w:rsidR="002D1E45" w:rsidRPr="00BA7FCF" w:rsidRDefault="002D1E45" w:rsidP="001013C0">
            <w:pPr>
              <w:spacing w:after="0" w:line="240" w:lineRule="auto"/>
              <w:jc w:val="center"/>
              <w:rPr>
                <w:rFonts w:ascii="Times New Roman" w:hAnsi="Times New Roman"/>
                <w:color w:val="000000"/>
                <w:sz w:val="24"/>
                <w:szCs w:val="24"/>
                <w:lang w:eastAsia="ru-RU"/>
              </w:rPr>
            </w:pPr>
            <w:r w:rsidRPr="001013C0">
              <w:rPr>
                <w:rFonts w:ascii="Times New Roman" w:hAnsi="Times New Roman"/>
                <w:color w:val="000000"/>
                <w:sz w:val="24"/>
                <w:szCs w:val="24"/>
                <w:lang w:eastAsia="ru-RU"/>
              </w:rPr>
              <w:t>1279</w:t>
            </w:r>
          </w:p>
        </w:tc>
        <w:tc>
          <w:tcPr>
            <w:tcW w:w="1189" w:type="dxa"/>
            <w:tcBorders>
              <w:top w:val="nil"/>
              <w:left w:val="nil"/>
              <w:bottom w:val="single" w:sz="4" w:space="0" w:color="auto"/>
              <w:right w:val="single" w:sz="4" w:space="0" w:color="auto"/>
            </w:tcBorders>
            <w:vAlign w:val="center"/>
          </w:tcPr>
          <w:p w:rsidR="002D1E45" w:rsidRPr="00BA7FCF" w:rsidRDefault="002D1E45" w:rsidP="001013C0">
            <w:pPr>
              <w:spacing w:after="0" w:line="240" w:lineRule="auto"/>
              <w:jc w:val="center"/>
              <w:rPr>
                <w:rFonts w:ascii="Times New Roman" w:hAnsi="Times New Roman"/>
                <w:color w:val="000000"/>
                <w:sz w:val="24"/>
                <w:szCs w:val="24"/>
                <w:lang w:eastAsia="ru-RU"/>
              </w:rPr>
            </w:pPr>
            <w:r w:rsidRPr="001013C0">
              <w:rPr>
                <w:rFonts w:ascii="Times New Roman" w:hAnsi="Times New Roman"/>
                <w:color w:val="000000"/>
                <w:sz w:val="24"/>
                <w:szCs w:val="24"/>
                <w:lang w:eastAsia="ru-RU"/>
              </w:rPr>
              <w:t>908</w:t>
            </w:r>
          </w:p>
        </w:tc>
      </w:tr>
      <w:tr w:rsidR="002D1E45" w:rsidRPr="00BA7FCF" w:rsidTr="001013C0">
        <w:trPr>
          <w:trHeight w:val="170"/>
          <w:jc w:val="center"/>
        </w:trPr>
        <w:tc>
          <w:tcPr>
            <w:tcW w:w="4218" w:type="dxa"/>
            <w:tcBorders>
              <w:top w:val="nil"/>
              <w:left w:val="single" w:sz="4" w:space="0" w:color="auto"/>
              <w:bottom w:val="single" w:sz="4" w:space="0" w:color="auto"/>
              <w:right w:val="single" w:sz="4" w:space="0" w:color="auto"/>
            </w:tcBorders>
            <w:vAlign w:val="center"/>
          </w:tcPr>
          <w:p w:rsidR="002D1E45" w:rsidRPr="00BA7FCF" w:rsidRDefault="002D1E45" w:rsidP="001013C0">
            <w:pPr>
              <w:spacing w:after="0" w:line="240" w:lineRule="auto"/>
              <w:jc w:val="both"/>
              <w:rPr>
                <w:rFonts w:ascii="Times New Roman" w:hAnsi="Times New Roman"/>
                <w:color w:val="000000"/>
                <w:sz w:val="24"/>
                <w:szCs w:val="24"/>
                <w:lang w:eastAsia="ru-RU"/>
              </w:rPr>
            </w:pPr>
            <w:r w:rsidRPr="00BA7FCF">
              <w:rPr>
                <w:rFonts w:ascii="Times New Roman" w:hAnsi="Times New Roman"/>
                <w:color w:val="000000"/>
                <w:sz w:val="24"/>
                <w:szCs w:val="24"/>
                <w:lang w:eastAsia="ru-RU"/>
              </w:rPr>
              <w:t>Миграционный прирост (+), убыль (-) населения (чел.)</w:t>
            </w:r>
          </w:p>
        </w:tc>
        <w:tc>
          <w:tcPr>
            <w:tcW w:w="1138" w:type="dxa"/>
            <w:tcBorders>
              <w:top w:val="nil"/>
              <w:left w:val="nil"/>
              <w:bottom w:val="single" w:sz="4" w:space="0" w:color="auto"/>
              <w:right w:val="single" w:sz="4" w:space="0" w:color="auto"/>
            </w:tcBorders>
            <w:vAlign w:val="center"/>
          </w:tcPr>
          <w:p w:rsidR="002D1E45" w:rsidRPr="00BA7FCF" w:rsidRDefault="002D1E45" w:rsidP="001013C0">
            <w:pPr>
              <w:spacing w:after="0" w:line="240" w:lineRule="auto"/>
              <w:jc w:val="center"/>
              <w:rPr>
                <w:rFonts w:ascii="Times New Roman" w:hAnsi="Times New Roman"/>
                <w:color w:val="000000"/>
                <w:sz w:val="24"/>
                <w:szCs w:val="24"/>
                <w:lang w:eastAsia="ru-RU"/>
              </w:rPr>
            </w:pPr>
            <w:r w:rsidRPr="001013C0">
              <w:rPr>
                <w:rFonts w:ascii="Times New Roman" w:hAnsi="Times New Roman"/>
                <w:color w:val="000000"/>
                <w:sz w:val="24"/>
                <w:szCs w:val="24"/>
                <w:lang w:eastAsia="ru-RU"/>
              </w:rPr>
              <w:t>44</w:t>
            </w:r>
          </w:p>
        </w:tc>
        <w:tc>
          <w:tcPr>
            <w:tcW w:w="1272" w:type="dxa"/>
            <w:tcBorders>
              <w:top w:val="nil"/>
              <w:left w:val="nil"/>
              <w:bottom w:val="single" w:sz="4" w:space="0" w:color="auto"/>
              <w:right w:val="single" w:sz="4" w:space="0" w:color="auto"/>
            </w:tcBorders>
            <w:vAlign w:val="center"/>
          </w:tcPr>
          <w:p w:rsidR="002D1E45" w:rsidRPr="00BA7FCF" w:rsidRDefault="002D1E45" w:rsidP="001013C0">
            <w:pPr>
              <w:spacing w:after="0" w:line="240" w:lineRule="auto"/>
              <w:jc w:val="center"/>
              <w:rPr>
                <w:rFonts w:ascii="Times New Roman" w:hAnsi="Times New Roman"/>
                <w:color w:val="000000"/>
                <w:sz w:val="24"/>
                <w:szCs w:val="24"/>
                <w:lang w:eastAsia="ru-RU"/>
              </w:rPr>
            </w:pPr>
            <w:r w:rsidRPr="001013C0">
              <w:rPr>
                <w:rFonts w:ascii="Times New Roman" w:hAnsi="Times New Roman"/>
                <w:color w:val="000000"/>
                <w:sz w:val="24"/>
                <w:szCs w:val="24"/>
                <w:lang w:eastAsia="ru-RU"/>
              </w:rPr>
              <w:t>-281</w:t>
            </w:r>
          </w:p>
        </w:tc>
        <w:tc>
          <w:tcPr>
            <w:tcW w:w="1189" w:type="dxa"/>
            <w:tcBorders>
              <w:top w:val="nil"/>
              <w:left w:val="nil"/>
              <w:bottom w:val="single" w:sz="4" w:space="0" w:color="auto"/>
              <w:right w:val="single" w:sz="4" w:space="0" w:color="auto"/>
            </w:tcBorders>
            <w:vAlign w:val="center"/>
          </w:tcPr>
          <w:p w:rsidR="002D1E45" w:rsidRPr="00BA7FCF" w:rsidRDefault="002D1E45" w:rsidP="001013C0">
            <w:pPr>
              <w:spacing w:after="0" w:line="240" w:lineRule="auto"/>
              <w:jc w:val="center"/>
              <w:rPr>
                <w:rFonts w:ascii="Times New Roman" w:hAnsi="Times New Roman"/>
                <w:color w:val="000000"/>
                <w:sz w:val="24"/>
                <w:szCs w:val="24"/>
                <w:lang w:eastAsia="ru-RU"/>
              </w:rPr>
            </w:pPr>
            <w:r w:rsidRPr="001013C0">
              <w:rPr>
                <w:rFonts w:ascii="Times New Roman" w:hAnsi="Times New Roman"/>
                <w:color w:val="000000"/>
                <w:sz w:val="24"/>
                <w:szCs w:val="24"/>
                <w:lang w:eastAsia="ru-RU"/>
              </w:rPr>
              <w:t>80</w:t>
            </w:r>
          </w:p>
        </w:tc>
        <w:tc>
          <w:tcPr>
            <w:tcW w:w="1189" w:type="dxa"/>
            <w:tcBorders>
              <w:top w:val="nil"/>
              <w:left w:val="nil"/>
              <w:bottom w:val="single" w:sz="4" w:space="0" w:color="auto"/>
              <w:right w:val="single" w:sz="4" w:space="0" w:color="auto"/>
            </w:tcBorders>
            <w:vAlign w:val="center"/>
          </w:tcPr>
          <w:p w:rsidR="002D1E45" w:rsidRPr="00BA7FCF" w:rsidRDefault="002D1E45" w:rsidP="001013C0">
            <w:pPr>
              <w:spacing w:after="0" w:line="240" w:lineRule="auto"/>
              <w:jc w:val="center"/>
              <w:rPr>
                <w:rFonts w:ascii="Times New Roman" w:hAnsi="Times New Roman"/>
                <w:color w:val="000000"/>
                <w:sz w:val="24"/>
                <w:szCs w:val="24"/>
                <w:lang w:eastAsia="ru-RU"/>
              </w:rPr>
            </w:pPr>
            <w:r w:rsidRPr="001013C0">
              <w:rPr>
                <w:rFonts w:ascii="Times New Roman" w:hAnsi="Times New Roman"/>
                <w:color w:val="000000"/>
                <w:sz w:val="24"/>
                <w:szCs w:val="24"/>
                <w:lang w:eastAsia="ru-RU"/>
              </w:rPr>
              <w:t>-172</w:t>
            </w:r>
          </w:p>
        </w:tc>
        <w:tc>
          <w:tcPr>
            <w:tcW w:w="1189" w:type="dxa"/>
            <w:tcBorders>
              <w:top w:val="nil"/>
              <w:left w:val="nil"/>
              <w:bottom w:val="single" w:sz="4" w:space="0" w:color="auto"/>
              <w:right w:val="single" w:sz="4" w:space="0" w:color="auto"/>
            </w:tcBorders>
            <w:vAlign w:val="center"/>
          </w:tcPr>
          <w:p w:rsidR="002D1E45" w:rsidRPr="00BA7FCF" w:rsidRDefault="002D1E45" w:rsidP="001013C0">
            <w:pPr>
              <w:spacing w:after="0" w:line="240" w:lineRule="auto"/>
              <w:jc w:val="center"/>
              <w:rPr>
                <w:rFonts w:ascii="Times New Roman" w:hAnsi="Times New Roman"/>
                <w:color w:val="000000"/>
                <w:sz w:val="24"/>
                <w:szCs w:val="24"/>
                <w:lang w:eastAsia="ru-RU"/>
              </w:rPr>
            </w:pPr>
            <w:r w:rsidRPr="001013C0">
              <w:rPr>
                <w:rFonts w:ascii="Times New Roman" w:hAnsi="Times New Roman"/>
                <w:color w:val="000000"/>
                <w:sz w:val="24"/>
                <w:szCs w:val="24"/>
                <w:lang w:eastAsia="ru-RU"/>
              </w:rPr>
              <w:t>-32</w:t>
            </w:r>
          </w:p>
        </w:tc>
      </w:tr>
      <w:tr w:rsidR="002D1E45" w:rsidRPr="00BA7FCF" w:rsidTr="001013C0">
        <w:trPr>
          <w:trHeight w:val="170"/>
          <w:jc w:val="center"/>
        </w:trPr>
        <w:tc>
          <w:tcPr>
            <w:tcW w:w="4218" w:type="dxa"/>
            <w:tcBorders>
              <w:top w:val="nil"/>
              <w:left w:val="single" w:sz="4" w:space="0" w:color="auto"/>
              <w:bottom w:val="single" w:sz="4" w:space="0" w:color="auto"/>
              <w:right w:val="single" w:sz="4" w:space="0" w:color="auto"/>
            </w:tcBorders>
            <w:vAlign w:val="center"/>
          </w:tcPr>
          <w:p w:rsidR="002D1E45" w:rsidRPr="00BA7FCF" w:rsidRDefault="002D1E45" w:rsidP="001013C0">
            <w:pPr>
              <w:spacing w:after="0" w:line="240" w:lineRule="auto"/>
              <w:jc w:val="both"/>
              <w:rPr>
                <w:rFonts w:ascii="Times New Roman" w:hAnsi="Times New Roman"/>
                <w:color w:val="000000"/>
                <w:sz w:val="24"/>
                <w:szCs w:val="24"/>
                <w:lang w:eastAsia="ru-RU"/>
              </w:rPr>
            </w:pPr>
            <w:r w:rsidRPr="00BA7FCF">
              <w:rPr>
                <w:rFonts w:ascii="Times New Roman" w:hAnsi="Times New Roman"/>
                <w:color w:val="000000"/>
                <w:sz w:val="24"/>
                <w:szCs w:val="24"/>
                <w:lang w:eastAsia="ru-RU"/>
              </w:rPr>
              <w:t>Коэффициент миграционного прироста (чел на 1000 чел. населения)</w:t>
            </w:r>
          </w:p>
        </w:tc>
        <w:tc>
          <w:tcPr>
            <w:tcW w:w="1138" w:type="dxa"/>
            <w:tcBorders>
              <w:top w:val="nil"/>
              <w:left w:val="nil"/>
              <w:bottom w:val="single" w:sz="4" w:space="0" w:color="auto"/>
              <w:right w:val="single" w:sz="4" w:space="0" w:color="auto"/>
            </w:tcBorders>
            <w:vAlign w:val="center"/>
          </w:tcPr>
          <w:p w:rsidR="002D1E45" w:rsidRPr="00BA7FCF" w:rsidRDefault="002D1E45" w:rsidP="001013C0">
            <w:pPr>
              <w:spacing w:after="0" w:line="240" w:lineRule="auto"/>
              <w:jc w:val="center"/>
              <w:rPr>
                <w:rFonts w:ascii="Times New Roman" w:hAnsi="Times New Roman"/>
                <w:color w:val="000000"/>
                <w:sz w:val="24"/>
                <w:szCs w:val="24"/>
                <w:lang w:eastAsia="ru-RU"/>
              </w:rPr>
            </w:pPr>
            <w:r w:rsidRPr="001013C0">
              <w:rPr>
                <w:rFonts w:ascii="Times New Roman" w:hAnsi="Times New Roman"/>
                <w:color w:val="000000"/>
                <w:sz w:val="24"/>
                <w:szCs w:val="24"/>
                <w:lang w:eastAsia="ru-RU"/>
              </w:rPr>
              <w:t>1,0</w:t>
            </w:r>
          </w:p>
        </w:tc>
        <w:tc>
          <w:tcPr>
            <w:tcW w:w="1272" w:type="dxa"/>
            <w:tcBorders>
              <w:top w:val="nil"/>
              <w:left w:val="nil"/>
              <w:bottom w:val="single" w:sz="4" w:space="0" w:color="auto"/>
              <w:right w:val="single" w:sz="4" w:space="0" w:color="auto"/>
            </w:tcBorders>
            <w:vAlign w:val="center"/>
          </w:tcPr>
          <w:p w:rsidR="002D1E45" w:rsidRPr="00BA7FCF" w:rsidRDefault="002D1E45" w:rsidP="001013C0">
            <w:pPr>
              <w:spacing w:after="0" w:line="240" w:lineRule="auto"/>
              <w:jc w:val="center"/>
              <w:rPr>
                <w:rFonts w:ascii="Times New Roman" w:hAnsi="Times New Roman"/>
                <w:color w:val="000000"/>
                <w:sz w:val="24"/>
                <w:szCs w:val="24"/>
                <w:lang w:eastAsia="ru-RU"/>
              </w:rPr>
            </w:pPr>
            <w:r w:rsidRPr="001013C0">
              <w:rPr>
                <w:rFonts w:ascii="Times New Roman" w:hAnsi="Times New Roman"/>
                <w:color w:val="000000"/>
                <w:sz w:val="24"/>
                <w:szCs w:val="24"/>
                <w:lang w:eastAsia="ru-RU"/>
              </w:rPr>
              <w:t>-6,3</w:t>
            </w:r>
          </w:p>
        </w:tc>
        <w:tc>
          <w:tcPr>
            <w:tcW w:w="1189" w:type="dxa"/>
            <w:tcBorders>
              <w:top w:val="nil"/>
              <w:left w:val="nil"/>
              <w:bottom w:val="single" w:sz="4" w:space="0" w:color="auto"/>
              <w:right w:val="single" w:sz="4" w:space="0" w:color="auto"/>
            </w:tcBorders>
            <w:vAlign w:val="center"/>
          </w:tcPr>
          <w:p w:rsidR="002D1E45" w:rsidRPr="00BA7FCF" w:rsidRDefault="002D1E45" w:rsidP="001013C0">
            <w:pPr>
              <w:spacing w:after="0" w:line="240" w:lineRule="auto"/>
              <w:jc w:val="center"/>
              <w:rPr>
                <w:rFonts w:ascii="Times New Roman" w:hAnsi="Times New Roman"/>
                <w:color w:val="000000"/>
                <w:sz w:val="24"/>
                <w:szCs w:val="24"/>
                <w:lang w:eastAsia="ru-RU"/>
              </w:rPr>
            </w:pPr>
            <w:r w:rsidRPr="001013C0">
              <w:rPr>
                <w:rFonts w:ascii="Times New Roman" w:hAnsi="Times New Roman"/>
                <w:color w:val="000000"/>
                <w:sz w:val="24"/>
                <w:szCs w:val="24"/>
                <w:lang w:eastAsia="ru-RU"/>
              </w:rPr>
              <w:t>1,8</w:t>
            </w:r>
          </w:p>
        </w:tc>
        <w:tc>
          <w:tcPr>
            <w:tcW w:w="1189" w:type="dxa"/>
            <w:tcBorders>
              <w:top w:val="nil"/>
              <w:left w:val="nil"/>
              <w:bottom w:val="single" w:sz="4" w:space="0" w:color="auto"/>
              <w:right w:val="single" w:sz="4" w:space="0" w:color="auto"/>
            </w:tcBorders>
            <w:vAlign w:val="center"/>
          </w:tcPr>
          <w:p w:rsidR="002D1E45" w:rsidRPr="00BA7FCF" w:rsidRDefault="002D1E45" w:rsidP="001013C0">
            <w:pPr>
              <w:spacing w:after="0" w:line="240" w:lineRule="auto"/>
              <w:jc w:val="center"/>
              <w:rPr>
                <w:rFonts w:ascii="Times New Roman" w:hAnsi="Times New Roman"/>
                <w:color w:val="000000"/>
                <w:sz w:val="24"/>
                <w:szCs w:val="24"/>
                <w:lang w:eastAsia="ru-RU"/>
              </w:rPr>
            </w:pPr>
            <w:r w:rsidRPr="001013C0">
              <w:rPr>
                <w:rFonts w:ascii="Times New Roman" w:hAnsi="Times New Roman"/>
                <w:color w:val="000000"/>
                <w:sz w:val="24"/>
                <w:szCs w:val="24"/>
                <w:lang w:eastAsia="ru-RU"/>
              </w:rPr>
              <w:t>-3,9</w:t>
            </w:r>
          </w:p>
        </w:tc>
        <w:tc>
          <w:tcPr>
            <w:tcW w:w="1189" w:type="dxa"/>
            <w:tcBorders>
              <w:top w:val="nil"/>
              <w:left w:val="nil"/>
              <w:bottom w:val="single" w:sz="4" w:space="0" w:color="auto"/>
              <w:right w:val="single" w:sz="4" w:space="0" w:color="auto"/>
            </w:tcBorders>
            <w:vAlign w:val="center"/>
          </w:tcPr>
          <w:p w:rsidR="002D1E45" w:rsidRPr="00BA7FCF" w:rsidRDefault="002D1E45" w:rsidP="001013C0">
            <w:pPr>
              <w:spacing w:after="0" w:line="240" w:lineRule="auto"/>
              <w:jc w:val="center"/>
              <w:rPr>
                <w:rFonts w:ascii="Times New Roman" w:hAnsi="Times New Roman"/>
                <w:color w:val="000000"/>
                <w:sz w:val="24"/>
                <w:szCs w:val="24"/>
                <w:lang w:eastAsia="ru-RU"/>
              </w:rPr>
            </w:pPr>
            <w:r w:rsidRPr="001013C0">
              <w:rPr>
                <w:rFonts w:ascii="Times New Roman" w:hAnsi="Times New Roman"/>
                <w:color w:val="000000"/>
                <w:sz w:val="24"/>
                <w:szCs w:val="24"/>
                <w:lang w:eastAsia="ru-RU"/>
              </w:rPr>
              <w:t>-0,7</w:t>
            </w:r>
          </w:p>
        </w:tc>
      </w:tr>
    </w:tbl>
    <w:p w:rsidR="002D1E45" w:rsidRDefault="002D1E45" w:rsidP="00BA7FCF">
      <w:pPr>
        <w:tabs>
          <w:tab w:val="left" w:pos="1418"/>
        </w:tabs>
        <w:spacing w:line="240" w:lineRule="auto"/>
        <w:jc w:val="center"/>
        <w:rPr>
          <w:rFonts w:ascii="Times New Roman" w:hAnsi="Times New Roman"/>
          <w:sz w:val="28"/>
          <w:szCs w:val="24"/>
          <w:lang w:eastAsia="ru-RU"/>
        </w:rPr>
      </w:pPr>
    </w:p>
    <w:p w:rsidR="002D1E45" w:rsidRPr="0014148D" w:rsidRDefault="002D1E45" w:rsidP="00E0093C">
      <w:pPr>
        <w:spacing w:after="0" w:line="240" w:lineRule="auto"/>
        <w:ind w:firstLine="709"/>
        <w:contextualSpacing/>
        <w:jc w:val="both"/>
        <w:rPr>
          <w:rFonts w:ascii="Times New Roman" w:hAnsi="Times New Roman"/>
          <w:sz w:val="28"/>
          <w:szCs w:val="24"/>
          <w:lang w:eastAsia="ru-RU"/>
        </w:rPr>
      </w:pPr>
      <w:r w:rsidRPr="0014148D">
        <w:rPr>
          <w:rFonts w:ascii="Times New Roman" w:hAnsi="Times New Roman"/>
          <w:sz w:val="28"/>
          <w:szCs w:val="24"/>
          <w:lang w:eastAsia="ru-RU"/>
        </w:rPr>
        <w:t>В целях сохранения накопленных потенциальных трудовых ресурсов появляется необходимость проведения мероприятий, направленных на</w:t>
      </w:r>
      <w:r>
        <w:rPr>
          <w:rFonts w:ascii="Times New Roman" w:hAnsi="Times New Roman"/>
          <w:sz w:val="28"/>
          <w:szCs w:val="24"/>
          <w:lang w:eastAsia="ru-RU"/>
        </w:rPr>
        <w:t> </w:t>
      </w:r>
      <w:r w:rsidRPr="0014148D">
        <w:rPr>
          <w:rFonts w:ascii="Times New Roman" w:hAnsi="Times New Roman"/>
          <w:sz w:val="28"/>
          <w:szCs w:val="24"/>
          <w:lang w:eastAsia="ru-RU"/>
        </w:rPr>
        <w:t>снижение смертности населения в</w:t>
      </w:r>
      <w:r>
        <w:rPr>
          <w:rFonts w:ascii="Times New Roman" w:hAnsi="Times New Roman"/>
          <w:sz w:val="28"/>
          <w:szCs w:val="24"/>
          <w:lang w:eastAsia="ru-RU"/>
        </w:rPr>
        <w:t> </w:t>
      </w:r>
      <w:r w:rsidRPr="0014148D">
        <w:rPr>
          <w:rFonts w:ascii="Times New Roman" w:hAnsi="Times New Roman"/>
          <w:sz w:val="28"/>
          <w:szCs w:val="24"/>
          <w:lang w:eastAsia="ru-RU"/>
        </w:rPr>
        <w:t>рабочих возрастах. Основная часть трудоспособного населения погибает под воздействием внешних факторов, поэтому устранение или уменьшение их</w:t>
      </w:r>
      <w:r>
        <w:rPr>
          <w:rFonts w:ascii="Times New Roman" w:hAnsi="Times New Roman"/>
          <w:sz w:val="28"/>
          <w:szCs w:val="24"/>
          <w:lang w:eastAsia="ru-RU"/>
        </w:rPr>
        <w:t> </w:t>
      </w:r>
      <w:r w:rsidRPr="0014148D">
        <w:rPr>
          <w:rFonts w:ascii="Times New Roman" w:hAnsi="Times New Roman"/>
          <w:sz w:val="28"/>
          <w:szCs w:val="24"/>
          <w:lang w:eastAsia="ru-RU"/>
        </w:rPr>
        <w:t>влияния на</w:t>
      </w:r>
      <w:r>
        <w:rPr>
          <w:rFonts w:ascii="Times New Roman" w:hAnsi="Times New Roman"/>
          <w:sz w:val="28"/>
          <w:szCs w:val="24"/>
          <w:lang w:eastAsia="ru-RU"/>
        </w:rPr>
        <w:t> </w:t>
      </w:r>
      <w:r w:rsidRPr="0014148D">
        <w:rPr>
          <w:rFonts w:ascii="Times New Roman" w:hAnsi="Times New Roman"/>
          <w:sz w:val="28"/>
          <w:szCs w:val="24"/>
          <w:lang w:eastAsia="ru-RU"/>
        </w:rPr>
        <w:t>человека может быть использовано как один из</w:t>
      </w:r>
      <w:r>
        <w:rPr>
          <w:rFonts w:ascii="Times New Roman" w:hAnsi="Times New Roman"/>
          <w:sz w:val="28"/>
          <w:szCs w:val="24"/>
          <w:lang w:eastAsia="ru-RU"/>
        </w:rPr>
        <w:t> </w:t>
      </w:r>
      <w:r w:rsidRPr="0014148D">
        <w:rPr>
          <w:rFonts w:ascii="Times New Roman" w:hAnsi="Times New Roman"/>
          <w:sz w:val="28"/>
          <w:szCs w:val="24"/>
          <w:lang w:eastAsia="ru-RU"/>
        </w:rPr>
        <w:t>методов снижения смертности населения в</w:t>
      </w:r>
      <w:r>
        <w:rPr>
          <w:rFonts w:ascii="Times New Roman" w:hAnsi="Times New Roman"/>
          <w:sz w:val="28"/>
          <w:szCs w:val="24"/>
          <w:lang w:eastAsia="ru-RU"/>
        </w:rPr>
        <w:t> </w:t>
      </w:r>
      <w:r w:rsidRPr="0014148D">
        <w:rPr>
          <w:rFonts w:ascii="Times New Roman" w:hAnsi="Times New Roman"/>
          <w:sz w:val="28"/>
          <w:szCs w:val="24"/>
          <w:lang w:eastAsia="ru-RU"/>
        </w:rPr>
        <w:t xml:space="preserve">целом. </w:t>
      </w:r>
    </w:p>
    <w:p w:rsidR="002D1E45" w:rsidRPr="0014148D" w:rsidRDefault="002D1E45" w:rsidP="00E0093C">
      <w:pPr>
        <w:spacing w:after="0" w:line="240" w:lineRule="auto"/>
        <w:ind w:firstLine="709"/>
        <w:contextualSpacing/>
        <w:jc w:val="both"/>
        <w:rPr>
          <w:rFonts w:ascii="Times New Roman" w:hAnsi="Times New Roman"/>
          <w:sz w:val="28"/>
          <w:szCs w:val="24"/>
          <w:lang w:eastAsia="ru-RU"/>
        </w:rPr>
      </w:pPr>
      <w:r w:rsidRPr="0014148D">
        <w:rPr>
          <w:rFonts w:ascii="Times New Roman" w:hAnsi="Times New Roman"/>
          <w:sz w:val="28"/>
          <w:szCs w:val="24"/>
          <w:lang w:eastAsia="ru-RU"/>
        </w:rPr>
        <w:t>В целом снижение смертности населения в</w:t>
      </w:r>
      <w:r>
        <w:rPr>
          <w:rFonts w:ascii="Times New Roman" w:hAnsi="Times New Roman"/>
          <w:sz w:val="28"/>
          <w:szCs w:val="24"/>
          <w:lang w:eastAsia="ru-RU"/>
        </w:rPr>
        <w:t> </w:t>
      </w:r>
      <w:r w:rsidRPr="0014148D">
        <w:rPr>
          <w:rFonts w:ascii="Times New Roman" w:hAnsi="Times New Roman"/>
          <w:sz w:val="28"/>
          <w:szCs w:val="24"/>
          <w:lang w:eastAsia="ru-RU"/>
        </w:rPr>
        <w:t>настоящее время является одним из</w:t>
      </w:r>
      <w:r>
        <w:rPr>
          <w:rFonts w:ascii="Times New Roman" w:hAnsi="Times New Roman"/>
          <w:sz w:val="28"/>
          <w:szCs w:val="24"/>
          <w:lang w:eastAsia="ru-RU"/>
        </w:rPr>
        <w:t> </w:t>
      </w:r>
      <w:r w:rsidRPr="0014148D">
        <w:rPr>
          <w:rFonts w:ascii="Times New Roman" w:hAnsi="Times New Roman"/>
          <w:sz w:val="28"/>
          <w:szCs w:val="24"/>
          <w:lang w:eastAsia="ru-RU"/>
        </w:rPr>
        <w:t>эффективных способов противостоять тенденциям депопуляции. Для этого необходимы меры, направленные на</w:t>
      </w:r>
      <w:r>
        <w:rPr>
          <w:rFonts w:ascii="Times New Roman" w:hAnsi="Times New Roman"/>
          <w:sz w:val="28"/>
          <w:szCs w:val="24"/>
          <w:lang w:eastAsia="ru-RU"/>
        </w:rPr>
        <w:t> </w:t>
      </w:r>
      <w:r w:rsidRPr="0014148D">
        <w:rPr>
          <w:rFonts w:ascii="Times New Roman" w:hAnsi="Times New Roman"/>
          <w:sz w:val="28"/>
          <w:szCs w:val="24"/>
          <w:lang w:eastAsia="ru-RU"/>
        </w:rPr>
        <w:t>повышение уровня жизни населения, улучшение экологической обстановки, повышение доступности качественного здравоохранения. Для снижения заболеваемости – одного из</w:t>
      </w:r>
      <w:r>
        <w:rPr>
          <w:rFonts w:ascii="Times New Roman" w:hAnsi="Times New Roman"/>
          <w:sz w:val="28"/>
          <w:szCs w:val="24"/>
          <w:lang w:eastAsia="ru-RU"/>
        </w:rPr>
        <w:t> </w:t>
      </w:r>
      <w:r w:rsidRPr="0014148D">
        <w:rPr>
          <w:rFonts w:ascii="Times New Roman" w:hAnsi="Times New Roman"/>
          <w:sz w:val="28"/>
          <w:szCs w:val="24"/>
          <w:lang w:eastAsia="ru-RU"/>
        </w:rPr>
        <w:t>основных факторов высокой смертности, необходима широкая пропаганда здорового образа жизни, направленная на</w:t>
      </w:r>
      <w:r>
        <w:rPr>
          <w:rFonts w:ascii="Times New Roman" w:hAnsi="Times New Roman"/>
          <w:sz w:val="28"/>
          <w:szCs w:val="24"/>
          <w:lang w:eastAsia="ru-RU"/>
        </w:rPr>
        <w:t> </w:t>
      </w:r>
      <w:r w:rsidRPr="0014148D">
        <w:rPr>
          <w:rFonts w:ascii="Times New Roman" w:hAnsi="Times New Roman"/>
          <w:sz w:val="28"/>
          <w:szCs w:val="24"/>
          <w:lang w:eastAsia="ru-RU"/>
        </w:rPr>
        <w:t>изменение поведения населения в</w:t>
      </w:r>
      <w:r>
        <w:rPr>
          <w:rFonts w:ascii="Times New Roman" w:hAnsi="Times New Roman"/>
          <w:sz w:val="28"/>
          <w:szCs w:val="24"/>
          <w:lang w:eastAsia="ru-RU"/>
        </w:rPr>
        <w:t> </w:t>
      </w:r>
      <w:r w:rsidRPr="0014148D">
        <w:rPr>
          <w:rFonts w:ascii="Times New Roman" w:hAnsi="Times New Roman"/>
          <w:sz w:val="28"/>
          <w:szCs w:val="24"/>
          <w:lang w:eastAsia="ru-RU"/>
        </w:rPr>
        <w:t>целях самосохранения.</w:t>
      </w:r>
    </w:p>
    <w:p w:rsidR="002D1E45" w:rsidRDefault="002D1E45" w:rsidP="006300A5">
      <w:pPr>
        <w:spacing w:after="0" w:line="240" w:lineRule="auto"/>
        <w:ind w:firstLine="709"/>
        <w:contextualSpacing/>
        <w:jc w:val="both"/>
        <w:rPr>
          <w:rFonts w:ascii="Times New Roman" w:hAnsi="Times New Roman"/>
          <w:sz w:val="28"/>
          <w:szCs w:val="24"/>
          <w:lang w:eastAsia="ru-RU"/>
        </w:rPr>
      </w:pPr>
      <w:r>
        <w:rPr>
          <w:rFonts w:ascii="Times New Roman" w:hAnsi="Times New Roman"/>
          <w:sz w:val="28"/>
          <w:szCs w:val="24"/>
          <w:lang w:eastAsia="ru-RU"/>
        </w:rPr>
        <w:t>Отрицательные</w:t>
      </w:r>
      <w:r w:rsidRPr="0014148D">
        <w:rPr>
          <w:rFonts w:ascii="Times New Roman" w:hAnsi="Times New Roman"/>
          <w:sz w:val="28"/>
          <w:szCs w:val="24"/>
          <w:lang w:eastAsia="ru-RU"/>
        </w:rPr>
        <w:t xml:space="preserve"> тенденции усиливаются и</w:t>
      </w:r>
      <w:r>
        <w:rPr>
          <w:rFonts w:ascii="Times New Roman" w:hAnsi="Times New Roman"/>
          <w:sz w:val="28"/>
          <w:szCs w:val="24"/>
          <w:lang w:eastAsia="ru-RU"/>
        </w:rPr>
        <w:t> </w:t>
      </w:r>
      <w:r w:rsidRPr="0014148D">
        <w:rPr>
          <w:rFonts w:ascii="Times New Roman" w:hAnsi="Times New Roman"/>
          <w:sz w:val="28"/>
          <w:szCs w:val="24"/>
          <w:lang w:eastAsia="ru-RU"/>
        </w:rPr>
        <w:t>стартовыми условиями в</w:t>
      </w:r>
      <w:r>
        <w:rPr>
          <w:rFonts w:ascii="Times New Roman" w:hAnsi="Times New Roman"/>
          <w:sz w:val="28"/>
          <w:szCs w:val="24"/>
          <w:lang w:eastAsia="ru-RU"/>
        </w:rPr>
        <w:t> анализируемом населённом пункте</w:t>
      </w:r>
      <w:r w:rsidRPr="0014148D">
        <w:rPr>
          <w:rFonts w:ascii="Times New Roman" w:hAnsi="Times New Roman"/>
          <w:sz w:val="28"/>
          <w:szCs w:val="24"/>
          <w:lang w:eastAsia="ru-RU"/>
        </w:rPr>
        <w:t xml:space="preserve">, которые показывают </w:t>
      </w:r>
      <w:r>
        <w:rPr>
          <w:rFonts w:ascii="Times New Roman" w:hAnsi="Times New Roman"/>
          <w:sz w:val="28"/>
          <w:szCs w:val="24"/>
          <w:lang w:eastAsia="ru-RU"/>
        </w:rPr>
        <w:t xml:space="preserve">не очень </w:t>
      </w:r>
      <w:r w:rsidRPr="0014148D">
        <w:rPr>
          <w:rFonts w:ascii="Times New Roman" w:hAnsi="Times New Roman"/>
          <w:sz w:val="28"/>
          <w:szCs w:val="24"/>
          <w:lang w:eastAsia="ru-RU"/>
        </w:rPr>
        <w:t>перспективное на</w:t>
      </w:r>
      <w:r>
        <w:rPr>
          <w:rFonts w:ascii="Times New Roman" w:hAnsi="Times New Roman"/>
          <w:sz w:val="28"/>
          <w:szCs w:val="24"/>
          <w:lang w:eastAsia="ru-RU"/>
        </w:rPr>
        <w:t> </w:t>
      </w:r>
      <w:r w:rsidRPr="0014148D">
        <w:rPr>
          <w:rFonts w:ascii="Times New Roman" w:hAnsi="Times New Roman"/>
          <w:sz w:val="28"/>
          <w:szCs w:val="24"/>
          <w:lang w:eastAsia="ru-RU"/>
        </w:rPr>
        <w:t>сегодняшний день положение с</w:t>
      </w:r>
      <w:r>
        <w:rPr>
          <w:rFonts w:ascii="Times New Roman" w:hAnsi="Times New Roman"/>
          <w:sz w:val="28"/>
          <w:szCs w:val="24"/>
          <w:lang w:eastAsia="ru-RU"/>
        </w:rPr>
        <w:t> </w:t>
      </w:r>
      <w:r w:rsidRPr="0014148D">
        <w:rPr>
          <w:rFonts w:ascii="Times New Roman" w:hAnsi="Times New Roman"/>
          <w:sz w:val="28"/>
          <w:szCs w:val="24"/>
          <w:lang w:eastAsia="ru-RU"/>
        </w:rPr>
        <w:t>соотношением возрастов – превышение численности лиц старше трудоспособного возраста над лицами младше трудоспособного возраста. Таким образом, при сохранении миграционных потоков, в</w:t>
      </w:r>
      <w:r>
        <w:rPr>
          <w:rFonts w:ascii="Times New Roman" w:hAnsi="Times New Roman"/>
          <w:sz w:val="28"/>
          <w:szCs w:val="24"/>
          <w:lang w:eastAsia="ru-RU"/>
        </w:rPr>
        <w:t> </w:t>
      </w:r>
      <w:r w:rsidRPr="0014148D">
        <w:rPr>
          <w:rFonts w:ascii="Times New Roman" w:hAnsi="Times New Roman"/>
          <w:sz w:val="28"/>
          <w:szCs w:val="24"/>
          <w:lang w:eastAsia="ru-RU"/>
        </w:rPr>
        <w:t xml:space="preserve">ближайшие годы может обеспечиваться </w:t>
      </w:r>
      <w:r>
        <w:rPr>
          <w:rFonts w:ascii="Times New Roman" w:hAnsi="Times New Roman"/>
          <w:sz w:val="28"/>
          <w:szCs w:val="24"/>
          <w:lang w:eastAsia="ru-RU"/>
        </w:rPr>
        <w:t>суженый</w:t>
      </w:r>
      <w:r w:rsidRPr="0014148D">
        <w:rPr>
          <w:rFonts w:ascii="Times New Roman" w:hAnsi="Times New Roman"/>
          <w:sz w:val="28"/>
          <w:szCs w:val="24"/>
          <w:lang w:eastAsia="ru-RU"/>
        </w:rPr>
        <w:t xml:space="preserve"> характер естественного воспроизводства населения. </w:t>
      </w:r>
    </w:p>
    <w:p w:rsidR="002D1E45" w:rsidRPr="0014148D" w:rsidRDefault="002D1E45" w:rsidP="006300A5">
      <w:pPr>
        <w:spacing w:after="0" w:line="240" w:lineRule="auto"/>
        <w:ind w:firstLine="709"/>
        <w:contextualSpacing/>
        <w:jc w:val="both"/>
        <w:rPr>
          <w:rFonts w:ascii="Times New Roman" w:hAnsi="Times New Roman"/>
          <w:sz w:val="28"/>
          <w:szCs w:val="24"/>
          <w:lang w:eastAsia="ru-RU"/>
        </w:rPr>
      </w:pPr>
    </w:p>
    <w:p w:rsidR="002D1E45" w:rsidRPr="0014148D" w:rsidRDefault="002D1E45" w:rsidP="004466CD">
      <w:pPr>
        <w:spacing w:before="120" w:after="0" w:line="240" w:lineRule="auto"/>
        <w:contextualSpacing/>
        <w:jc w:val="center"/>
        <w:rPr>
          <w:rFonts w:ascii="Times New Roman" w:hAnsi="Times New Roman"/>
          <w:sz w:val="28"/>
          <w:szCs w:val="24"/>
          <w:lang w:eastAsia="ru-RU"/>
        </w:rPr>
      </w:pPr>
      <w:r w:rsidRPr="00C02575">
        <w:rPr>
          <w:rFonts w:ascii="Times New Roman" w:hAnsi="Times New Roman"/>
          <w:noProof/>
          <w:sz w:val="28"/>
          <w:szCs w:val="24"/>
          <w:lang w:eastAsia="ru-RU"/>
        </w:rPr>
        <w:pict>
          <v:shape id="Рисунок 9" o:spid="_x0000_i1029" type="#_x0000_t75" style="width:243.75pt;height:228.75pt;visibility:visible">
            <v:imagedata r:id="rId14" o:title="" croptop="1299f" cropbottom="1199f" cropleft="7195f" cropright="24949f"/>
          </v:shape>
        </w:pict>
      </w:r>
    </w:p>
    <w:p w:rsidR="002D1E45" w:rsidRPr="0014148D" w:rsidRDefault="002D1E45" w:rsidP="004466CD">
      <w:pPr>
        <w:spacing w:before="120" w:after="120" w:line="240" w:lineRule="auto"/>
        <w:jc w:val="center"/>
        <w:rPr>
          <w:rFonts w:ascii="Times New Roman" w:hAnsi="Times New Roman"/>
          <w:sz w:val="28"/>
          <w:szCs w:val="24"/>
          <w:lang w:eastAsia="ru-RU"/>
        </w:rPr>
      </w:pPr>
      <w:r w:rsidRPr="0014148D">
        <w:rPr>
          <w:rFonts w:ascii="Times New Roman" w:hAnsi="Times New Roman"/>
          <w:sz w:val="28"/>
          <w:szCs w:val="24"/>
          <w:lang w:eastAsia="ru-RU"/>
        </w:rPr>
        <w:t xml:space="preserve">Рисунок </w:t>
      </w:r>
      <w:r w:rsidRPr="0014148D">
        <w:rPr>
          <w:rFonts w:ascii="Times New Roman" w:hAnsi="Times New Roman"/>
          <w:sz w:val="28"/>
          <w:szCs w:val="24"/>
          <w:lang w:eastAsia="ru-RU"/>
        </w:rPr>
        <w:fldChar w:fldCharType="begin"/>
      </w:r>
      <w:r w:rsidRPr="0014148D">
        <w:rPr>
          <w:rFonts w:ascii="Times New Roman" w:hAnsi="Times New Roman"/>
          <w:sz w:val="28"/>
          <w:szCs w:val="24"/>
          <w:lang w:eastAsia="ru-RU"/>
        </w:rPr>
        <w:instrText xml:space="preserve"> SEQ Рисунок \* ARABIC </w:instrText>
      </w:r>
      <w:r w:rsidRPr="0014148D">
        <w:rPr>
          <w:rFonts w:ascii="Times New Roman" w:hAnsi="Times New Roman"/>
          <w:sz w:val="28"/>
          <w:szCs w:val="24"/>
          <w:lang w:eastAsia="ru-RU"/>
        </w:rPr>
        <w:fldChar w:fldCharType="separate"/>
      </w:r>
      <w:r>
        <w:rPr>
          <w:rFonts w:ascii="Times New Roman" w:hAnsi="Times New Roman"/>
          <w:noProof/>
          <w:sz w:val="28"/>
          <w:szCs w:val="24"/>
          <w:lang w:eastAsia="ru-RU"/>
        </w:rPr>
        <w:t>5</w:t>
      </w:r>
      <w:r w:rsidRPr="0014148D">
        <w:rPr>
          <w:rFonts w:ascii="Times New Roman" w:hAnsi="Times New Roman"/>
          <w:sz w:val="28"/>
          <w:szCs w:val="24"/>
          <w:lang w:eastAsia="ru-RU"/>
        </w:rPr>
        <w:fldChar w:fldCharType="end"/>
      </w:r>
      <w:r w:rsidRPr="0014148D">
        <w:rPr>
          <w:rFonts w:ascii="Times New Roman" w:hAnsi="Times New Roman"/>
          <w:sz w:val="28"/>
          <w:szCs w:val="24"/>
          <w:lang w:eastAsia="ru-RU"/>
        </w:rPr>
        <w:t>. Структура населения</w:t>
      </w:r>
      <w:r>
        <w:rPr>
          <w:rFonts w:ascii="Times New Roman" w:hAnsi="Times New Roman"/>
          <w:sz w:val="28"/>
          <w:szCs w:val="24"/>
          <w:lang w:eastAsia="ru-RU"/>
        </w:rPr>
        <w:t xml:space="preserve"> г. Куйбышева</w:t>
      </w:r>
      <w:r w:rsidRPr="0014148D">
        <w:rPr>
          <w:rFonts w:ascii="Times New Roman" w:hAnsi="Times New Roman"/>
          <w:sz w:val="28"/>
          <w:szCs w:val="24"/>
          <w:lang w:eastAsia="ru-RU"/>
        </w:rPr>
        <w:t>, 20</w:t>
      </w:r>
      <w:r>
        <w:rPr>
          <w:rFonts w:ascii="Times New Roman" w:hAnsi="Times New Roman"/>
          <w:sz w:val="28"/>
          <w:szCs w:val="24"/>
          <w:lang w:eastAsia="ru-RU"/>
        </w:rPr>
        <w:t>20</w:t>
      </w:r>
      <w:r w:rsidRPr="0014148D">
        <w:rPr>
          <w:rFonts w:ascii="Times New Roman" w:hAnsi="Times New Roman"/>
          <w:sz w:val="28"/>
          <w:szCs w:val="24"/>
          <w:lang w:eastAsia="ru-RU"/>
        </w:rPr>
        <w:t xml:space="preserve"> г.</w:t>
      </w:r>
    </w:p>
    <w:p w:rsidR="002D1E45" w:rsidRDefault="002D1E45" w:rsidP="006300A5">
      <w:pPr>
        <w:spacing w:after="0" w:line="240" w:lineRule="auto"/>
        <w:ind w:firstLine="709"/>
        <w:contextualSpacing/>
        <w:jc w:val="both"/>
        <w:rPr>
          <w:rFonts w:ascii="Times New Roman" w:hAnsi="Times New Roman"/>
          <w:sz w:val="28"/>
          <w:szCs w:val="24"/>
          <w:lang w:eastAsia="ru-RU"/>
        </w:rPr>
      </w:pPr>
      <w:r w:rsidRPr="0014148D">
        <w:rPr>
          <w:rFonts w:ascii="Times New Roman" w:hAnsi="Times New Roman"/>
          <w:sz w:val="28"/>
          <w:szCs w:val="24"/>
          <w:lang w:eastAsia="ru-RU"/>
        </w:rPr>
        <w:t xml:space="preserve">Это явление имеет далеко идущие экономические последствия – </w:t>
      </w:r>
      <w:r>
        <w:rPr>
          <w:rFonts w:ascii="Times New Roman" w:hAnsi="Times New Roman"/>
          <w:sz w:val="28"/>
          <w:szCs w:val="24"/>
          <w:lang w:eastAsia="ru-RU"/>
        </w:rPr>
        <w:t>снижение</w:t>
      </w:r>
      <w:r w:rsidRPr="0014148D">
        <w:rPr>
          <w:rFonts w:ascii="Times New Roman" w:hAnsi="Times New Roman"/>
          <w:sz w:val="28"/>
          <w:szCs w:val="24"/>
          <w:lang w:eastAsia="ru-RU"/>
        </w:rPr>
        <w:t xml:space="preserve"> в</w:t>
      </w:r>
      <w:r>
        <w:rPr>
          <w:rFonts w:ascii="Times New Roman" w:hAnsi="Times New Roman"/>
          <w:sz w:val="28"/>
          <w:szCs w:val="24"/>
          <w:lang w:eastAsia="ru-RU"/>
        </w:rPr>
        <w:t> </w:t>
      </w:r>
      <w:r w:rsidRPr="0014148D">
        <w:rPr>
          <w:rFonts w:ascii="Times New Roman" w:hAnsi="Times New Roman"/>
          <w:sz w:val="28"/>
          <w:szCs w:val="24"/>
          <w:lang w:eastAsia="ru-RU"/>
        </w:rPr>
        <w:t xml:space="preserve">перспективе численности трудовых ресурсов, </w:t>
      </w:r>
      <w:r>
        <w:rPr>
          <w:rFonts w:ascii="Times New Roman" w:hAnsi="Times New Roman"/>
          <w:sz w:val="28"/>
          <w:szCs w:val="24"/>
          <w:lang w:eastAsia="ru-RU"/>
        </w:rPr>
        <w:t>усиление</w:t>
      </w:r>
      <w:r w:rsidRPr="0014148D">
        <w:rPr>
          <w:rFonts w:ascii="Times New Roman" w:hAnsi="Times New Roman"/>
          <w:sz w:val="28"/>
          <w:szCs w:val="24"/>
          <w:lang w:eastAsia="ru-RU"/>
        </w:rPr>
        <w:t xml:space="preserve"> общего для страны уровня старения трудового потенциала, </w:t>
      </w:r>
      <w:r>
        <w:rPr>
          <w:rFonts w:ascii="Times New Roman" w:hAnsi="Times New Roman"/>
          <w:sz w:val="28"/>
          <w:szCs w:val="24"/>
          <w:lang w:eastAsia="ru-RU"/>
        </w:rPr>
        <w:t>рост</w:t>
      </w:r>
      <w:r w:rsidRPr="0014148D">
        <w:rPr>
          <w:rFonts w:ascii="Times New Roman" w:hAnsi="Times New Roman"/>
          <w:sz w:val="28"/>
          <w:szCs w:val="24"/>
          <w:lang w:eastAsia="ru-RU"/>
        </w:rPr>
        <w:t xml:space="preserve"> средних показателей заболеваемости, </w:t>
      </w:r>
      <w:r>
        <w:rPr>
          <w:rFonts w:ascii="Times New Roman" w:hAnsi="Times New Roman"/>
          <w:sz w:val="28"/>
          <w:szCs w:val="24"/>
          <w:lang w:eastAsia="ru-RU"/>
        </w:rPr>
        <w:t>увеличение</w:t>
      </w:r>
      <w:r w:rsidRPr="0014148D">
        <w:rPr>
          <w:rFonts w:ascii="Times New Roman" w:hAnsi="Times New Roman"/>
          <w:sz w:val="28"/>
          <w:szCs w:val="24"/>
          <w:lang w:eastAsia="ru-RU"/>
        </w:rPr>
        <w:t xml:space="preserve"> демографической нагрузки на</w:t>
      </w:r>
      <w:r>
        <w:rPr>
          <w:rFonts w:ascii="Times New Roman" w:hAnsi="Times New Roman"/>
          <w:sz w:val="28"/>
          <w:szCs w:val="24"/>
          <w:lang w:eastAsia="ru-RU"/>
        </w:rPr>
        <w:t> </w:t>
      </w:r>
      <w:r w:rsidRPr="0014148D">
        <w:rPr>
          <w:rFonts w:ascii="Times New Roman" w:hAnsi="Times New Roman"/>
          <w:sz w:val="28"/>
          <w:szCs w:val="24"/>
          <w:lang w:eastAsia="ru-RU"/>
        </w:rPr>
        <w:t>трудоспособное население и</w:t>
      </w:r>
      <w:r>
        <w:rPr>
          <w:rFonts w:ascii="Times New Roman" w:hAnsi="Times New Roman"/>
          <w:sz w:val="28"/>
          <w:szCs w:val="24"/>
          <w:lang w:eastAsia="ru-RU"/>
        </w:rPr>
        <w:t> </w:t>
      </w:r>
      <w:r w:rsidRPr="0014148D">
        <w:rPr>
          <w:rFonts w:ascii="Times New Roman" w:hAnsi="Times New Roman"/>
          <w:sz w:val="28"/>
          <w:szCs w:val="24"/>
          <w:lang w:eastAsia="ru-RU"/>
        </w:rPr>
        <w:t>соответственно затрат на</w:t>
      </w:r>
      <w:r>
        <w:rPr>
          <w:rFonts w:ascii="Times New Roman" w:hAnsi="Times New Roman"/>
          <w:sz w:val="28"/>
          <w:szCs w:val="24"/>
          <w:lang w:eastAsia="ru-RU"/>
        </w:rPr>
        <w:t> </w:t>
      </w:r>
      <w:r w:rsidRPr="0014148D">
        <w:rPr>
          <w:rFonts w:ascii="Times New Roman" w:hAnsi="Times New Roman"/>
          <w:sz w:val="28"/>
          <w:szCs w:val="24"/>
          <w:lang w:eastAsia="ru-RU"/>
        </w:rPr>
        <w:t>социальное обеспечение лиц старше и</w:t>
      </w:r>
      <w:r>
        <w:rPr>
          <w:rFonts w:ascii="Times New Roman" w:hAnsi="Times New Roman"/>
          <w:sz w:val="28"/>
          <w:szCs w:val="24"/>
          <w:lang w:eastAsia="ru-RU"/>
        </w:rPr>
        <w:t> </w:t>
      </w:r>
      <w:r w:rsidRPr="0014148D">
        <w:rPr>
          <w:rFonts w:ascii="Times New Roman" w:hAnsi="Times New Roman"/>
          <w:sz w:val="28"/>
          <w:szCs w:val="24"/>
          <w:lang w:eastAsia="ru-RU"/>
        </w:rPr>
        <w:t xml:space="preserve">младше трудоспособного возраста, </w:t>
      </w:r>
      <w:r>
        <w:rPr>
          <w:rFonts w:ascii="Times New Roman" w:hAnsi="Times New Roman"/>
          <w:sz w:val="28"/>
          <w:szCs w:val="24"/>
          <w:lang w:eastAsia="ru-RU"/>
        </w:rPr>
        <w:t>снижение</w:t>
      </w:r>
      <w:r w:rsidRPr="0014148D">
        <w:rPr>
          <w:rFonts w:ascii="Times New Roman" w:hAnsi="Times New Roman"/>
          <w:sz w:val="28"/>
          <w:szCs w:val="24"/>
          <w:lang w:eastAsia="ru-RU"/>
        </w:rPr>
        <w:t xml:space="preserve"> потенциальных возможностей экономического роста. В 201</w:t>
      </w:r>
      <w:r>
        <w:rPr>
          <w:rFonts w:ascii="Times New Roman" w:hAnsi="Times New Roman"/>
          <w:sz w:val="28"/>
          <w:szCs w:val="24"/>
          <w:lang w:eastAsia="ru-RU"/>
        </w:rPr>
        <w:t>9</w:t>
      </w:r>
      <w:r w:rsidRPr="0014148D">
        <w:rPr>
          <w:rFonts w:ascii="Times New Roman" w:hAnsi="Times New Roman"/>
          <w:sz w:val="28"/>
          <w:szCs w:val="24"/>
          <w:lang w:eastAsia="ru-RU"/>
        </w:rPr>
        <w:t xml:space="preserve"> году полная демографическая нагрузка на </w:t>
      </w:r>
      <w:r>
        <w:rPr>
          <w:rFonts w:ascii="Times New Roman" w:hAnsi="Times New Roman"/>
          <w:sz w:val="28"/>
          <w:szCs w:val="24"/>
          <w:lang w:eastAsia="ru-RU"/>
        </w:rPr>
        <w:t>1000</w:t>
      </w:r>
      <w:r w:rsidRPr="0014148D">
        <w:rPr>
          <w:rFonts w:ascii="Times New Roman" w:hAnsi="Times New Roman"/>
          <w:sz w:val="28"/>
          <w:szCs w:val="24"/>
          <w:lang w:eastAsia="ru-RU"/>
        </w:rPr>
        <w:t xml:space="preserve"> человек трудоспособного возраста в</w:t>
      </w:r>
      <w:r>
        <w:rPr>
          <w:rFonts w:ascii="Times New Roman" w:hAnsi="Times New Roman"/>
          <w:sz w:val="28"/>
          <w:szCs w:val="24"/>
          <w:lang w:eastAsia="ru-RU"/>
        </w:rPr>
        <w:t> </w:t>
      </w:r>
      <w:r w:rsidRPr="0014148D">
        <w:rPr>
          <w:rFonts w:ascii="Times New Roman" w:hAnsi="Times New Roman"/>
          <w:sz w:val="28"/>
          <w:szCs w:val="24"/>
          <w:lang w:eastAsia="ru-RU"/>
        </w:rPr>
        <w:t xml:space="preserve">поселении составляла </w:t>
      </w:r>
      <w:r>
        <w:rPr>
          <w:rFonts w:ascii="Times New Roman" w:hAnsi="Times New Roman"/>
          <w:sz w:val="28"/>
          <w:szCs w:val="24"/>
          <w:lang w:eastAsia="ru-RU"/>
        </w:rPr>
        <w:t>691</w:t>
      </w:r>
      <w:r w:rsidRPr="0014148D">
        <w:rPr>
          <w:rFonts w:ascii="Times New Roman" w:hAnsi="Times New Roman"/>
          <w:sz w:val="28"/>
          <w:szCs w:val="24"/>
          <w:lang w:eastAsia="ru-RU"/>
        </w:rPr>
        <w:t xml:space="preserve"> чел. Это </w:t>
      </w:r>
      <w:r>
        <w:rPr>
          <w:rFonts w:ascii="Times New Roman" w:hAnsi="Times New Roman"/>
          <w:sz w:val="28"/>
          <w:szCs w:val="24"/>
          <w:lang w:eastAsia="ru-RU"/>
        </w:rPr>
        <w:t xml:space="preserve">достаточно </w:t>
      </w:r>
      <w:r w:rsidRPr="0014148D">
        <w:rPr>
          <w:rFonts w:ascii="Times New Roman" w:hAnsi="Times New Roman"/>
          <w:sz w:val="28"/>
          <w:szCs w:val="24"/>
          <w:lang w:eastAsia="ru-RU"/>
        </w:rPr>
        <w:t>высокий показатель нагрузки.</w:t>
      </w:r>
      <w:r>
        <w:rPr>
          <w:rFonts w:ascii="Times New Roman" w:hAnsi="Times New Roman"/>
          <w:sz w:val="28"/>
          <w:szCs w:val="24"/>
          <w:lang w:eastAsia="ru-RU"/>
        </w:rPr>
        <w:t xml:space="preserve"> При этом на 55 % эту нагрузку составляют жители старше трудоспособного возраста (377 чел. на 1000 чел. </w:t>
      </w:r>
      <w:r w:rsidRPr="0014148D">
        <w:rPr>
          <w:rFonts w:ascii="Times New Roman" w:hAnsi="Times New Roman"/>
          <w:sz w:val="28"/>
          <w:szCs w:val="24"/>
          <w:lang w:eastAsia="ru-RU"/>
        </w:rPr>
        <w:t>трудоспособного возраста</w:t>
      </w:r>
      <w:r>
        <w:rPr>
          <w:rFonts w:ascii="Times New Roman" w:hAnsi="Times New Roman"/>
          <w:sz w:val="28"/>
          <w:szCs w:val="24"/>
          <w:lang w:eastAsia="ru-RU"/>
        </w:rPr>
        <w:t>).</w:t>
      </w:r>
    </w:p>
    <w:p w:rsidR="002D1E45" w:rsidRPr="00A604C0" w:rsidRDefault="002D1E45" w:rsidP="00A604C0">
      <w:pPr>
        <w:spacing w:after="0" w:line="240" w:lineRule="auto"/>
        <w:ind w:firstLine="709"/>
        <w:contextualSpacing/>
        <w:jc w:val="both"/>
        <w:rPr>
          <w:rFonts w:ascii="Times New Roman" w:hAnsi="Times New Roman"/>
          <w:sz w:val="28"/>
          <w:szCs w:val="24"/>
          <w:lang w:eastAsia="ru-RU"/>
        </w:rPr>
      </w:pPr>
      <w:r>
        <w:rPr>
          <w:rFonts w:ascii="Times New Roman" w:hAnsi="Times New Roman"/>
          <w:sz w:val="28"/>
          <w:szCs w:val="24"/>
          <w:lang w:eastAsia="ru-RU"/>
        </w:rPr>
        <w:t>В</w:t>
      </w:r>
      <w:r w:rsidRPr="001F35B9">
        <w:rPr>
          <w:rFonts w:ascii="Times New Roman" w:hAnsi="Times New Roman"/>
          <w:sz w:val="28"/>
          <w:szCs w:val="24"/>
          <w:lang w:eastAsia="ru-RU"/>
        </w:rPr>
        <w:t xml:space="preserve"> структуре </w:t>
      </w:r>
      <w:r>
        <w:rPr>
          <w:rFonts w:ascii="Times New Roman" w:hAnsi="Times New Roman"/>
          <w:sz w:val="28"/>
          <w:szCs w:val="24"/>
          <w:lang w:eastAsia="ru-RU"/>
        </w:rPr>
        <w:t xml:space="preserve">доходов населения </w:t>
      </w:r>
      <w:r w:rsidRPr="001F35B9">
        <w:rPr>
          <w:rFonts w:ascii="Times New Roman" w:hAnsi="Times New Roman"/>
          <w:sz w:val="28"/>
          <w:szCs w:val="24"/>
          <w:lang w:eastAsia="ru-RU"/>
        </w:rPr>
        <w:t>больш</w:t>
      </w:r>
      <w:r>
        <w:rPr>
          <w:rFonts w:ascii="Times New Roman" w:hAnsi="Times New Roman"/>
          <w:sz w:val="28"/>
          <w:szCs w:val="24"/>
          <w:lang w:eastAsia="ru-RU"/>
        </w:rPr>
        <w:t>ую</w:t>
      </w:r>
      <w:r w:rsidRPr="001F35B9">
        <w:rPr>
          <w:rFonts w:ascii="Times New Roman" w:hAnsi="Times New Roman"/>
          <w:sz w:val="28"/>
          <w:szCs w:val="24"/>
          <w:lang w:eastAsia="ru-RU"/>
        </w:rPr>
        <w:t xml:space="preserve"> часть </w:t>
      </w:r>
      <w:r>
        <w:rPr>
          <w:rFonts w:ascii="Times New Roman" w:hAnsi="Times New Roman"/>
          <w:sz w:val="28"/>
          <w:szCs w:val="24"/>
          <w:lang w:eastAsia="ru-RU"/>
        </w:rPr>
        <w:t xml:space="preserve">составляет </w:t>
      </w:r>
      <w:r w:rsidRPr="001F35B9">
        <w:rPr>
          <w:rFonts w:ascii="Times New Roman" w:hAnsi="Times New Roman"/>
          <w:sz w:val="28"/>
          <w:szCs w:val="24"/>
          <w:lang w:eastAsia="ru-RU"/>
        </w:rPr>
        <w:t xml:space="preserve">заработная плата. </w:t>
      </w:r>
      <w:r w:rsidRPr="00BB36C0">
        <w:rPr>
          <w:rFonts w:ascii="Times New Roman" w:hAnsi="Times New Roman"/>
          <w:sz w:val="28"/>
          <w:szCs w:val="24"/>
          <w:lang w:eastAsia="ru-RU"/>
        </w:rPr>
        <w:t>Среднеквартальный прожиточный минимум за 201</w:t>
      </w:r>
      <w:r>
        <w:rPr>
          <w:rFonts w:ascii="Times New Roman" w:hAnsi="Times New Roman"/>
          <w:sz w:val="28"/>
          <w:szCs w:val="24"/>
          <w:lang w:eastAsia="ru-RU"/>
        </w:rPr>
        <w:t>9</w:t>
      </w:r>
      <w:r w:rsidRPr="00BB36C0">
        <w:rPr>
          <w:rFonts w:ascii="Times New Roman" w:hAnsi="Times New Roman"/>
          <w:sz w:val="28"/>
          <w:szCs w:val="24"/>
          <w:lang w:eastAsia="ru-RU"/>
        </w:rPr>
        <w:t xml:space="preserve"> год по</w:t>
      </w:r>
      <w:r>
        <w:rPr>
          <w:rFonts w:ascii="Times New Roman" w:hAnsi="Times New Roman"/>
          <w:sz w:val="28"/>
          <w:szCs w:val="24"/>
          <w:lang w:eastAsia="ru-RU"/>
        </w:rPr>
        <w:t> </w:t>
      </w:r>
      <w:r w:rsidRPr="00BB36C0">
        <w:rPr>
          <w:rFonts w:ascii="Times New Roman" w:hAnsi="Times New Roman"/>
          <w:sz w:val="28"/>
          <w:szCs w:val="24"/>
          <w:lang w:eastAsia="ru-RU"/>
        </w:rPr>
        <w:t>Новосибирской области установлен в</w:t>
      </w:r>
      <w:r>
        <w:rPr>
          <w:rFonts w:ascii="Times New Roman" w:hAnsi="Times New Roman"/>
          <w:sz w:val="28"/>
          <w:szCs w:val="24"/>
          <w:lang w:eastAsia="ru-RU"/>
        </w:rPr>
        <w:t> </w:t>
      </w:r>
      <w:r w:rsidRPr="00BB36C0">
        <w:rPr>
          <w:rFonts w:ascii="Times New Roman" w:hAnsi="Times New Roman"/>
          <w:sz w:val="28"/>
          <w:szCs w:val="24"/>
          <w:lang w:eastAsia="ru-RU"/>
        </w:rPr>
        <w:t xml:space="preserve">размере </w:t>
      </w:r>
      <w:r>
        <w:rPr>
          <w:rFonts w:ascii="Times New Roman" w:hAnsi="Times New Roman"/>
          <w:sz w:val="28"/>
          <w:szCs w:val="24"/>
          <w:lang w:eastAsia="ru-RU"/>
        </w:rPr>
        <w:t>11720</w:t>
      </w:r>
      <w:r w:rsidRPr="00BB36C0">
        <w:rPr>
          <w:rFonts w:ascii="Times New Roman" w:hAnsi="Times New Roman"/>
          <w:sz w:val="28"/>
          <w:szCs w:val="24"/>
          <w:lang w:eastAsia="ru-RU"/>
        </w:rPr>
        <w:t xml:space="preserve"> рублей на</w:t>
      </w:r>
      <w:r>
        <w:rPr>
          <w:rFonts w:ascii="Times New Roman" w:hAnsi="Times New Roman"/>
          <w:sz w:val="28"/>
          <w:szCs w:val="24"/>
          <w:lang w:eastAsia="ru-RU"/>
        </w:rPr>
        <w:t> </w:t>
      </w:r>
      <w:r w:rsidRPr="00BB36C0">
        <w:rPr>
          <w:rFonts w:ascii="Times New Roman" w:hAnsi="Times New Roman"/>
          <w:sz w:val="28"/>
          <w:szCs w:val="24"/>
          <w:lang w:eastAsia="ru-RU"/>
        </w:rPr>
        <w:t>душу населения</w:t>
      </w:r>
      <w:r w:rsidRPr="00BB36C0">
        <w:rPr>
          <w:rFonts w:ascii="Times New Roman" w:hAnsi="Times New Roman"/>
          <w:sz w:val="28"/>
          <w:szCs w:val="24"/>
          <w:vertAlign w:val="superscript"/>
          <w:lang w:eastAsia="ru-RU"/>
        </w:rPr>
        <w:footnoteReference w:id="1"/>
      </w:r>
      <w:r w:rsidRPr="00BB36C0">
        <w:rPr>
          <w:rFonts w:ascii="Times New Roman" w:hAnsi="Times New Roman"/>
          <w:sz w:val="28"/>
          <w:szCs w:val="24"/>
          <w:lang w:eastAsia="ru-RU"/>
        </w:rPr>
        <w:t xml:space="preserve">. </w:t>
      </w:r>
      <w:r w:rsidRPr="00A604C0">
        <w:rPr>
          <w:rFonts w:ascii="Times New Roman" w:hAnsi="Times New Roman"/>
          <w:sz w:val="28"/>
          <w:szCs w:val="24"/>
          <w:lang w:eastAsia="ru-RU"/>
        </w:rPr>
        <w:t xml:space="preserve">Основным показателем, характеризующим уровень жизни населения </w:t>
      </w:r>
      <w:r>
        <w:rPr>
          <w:rFonts w:ascii="Times New Roman" w:hAnsi="Times New Roman"/>
          <w:sz w:val="28"/>
          <w:szCs w:val="24"/>
          <w:lang w:eastAsia="ru-RU"/>
        </w:rPr>
        <w:t>г. Куйбышева,</w:t>
      </w:r>
      <w:r w:rsidRPr="00A604C0">
        <w:rPr>
          <w:rFonts w:ascii="Times New Roman" w:hAnsi="Times New Roman"/>
          <w:sz w:val="28"/>
          <w:szCs w:val="24"/>
          <w:lang w:eastAsia="ru-RU"/>
        </w:rPr>
        <w:t xml:space="preserve"> является размер среднемесячной заработной платы, который в</w:t>
      </w:r>
      <w:r>
        <w:rPr>
          <w:rFonts w:ascii="Times New Roman" w:hAnsi="Times New Roman"/>
          <w:sz w:val="28"/>
          <w:szCs w:val="24"/>
          <w:lang w:eastAsia="ru-RU"/>
        </w:rPr>
        <w:t> </w:t>
      </w:r>
      <w:r w:rsidRPr="00A604C0">
        <w:rPr>
          <w:rFonts w:ascii="Times New Roman" w:hAnsi="Times New Roman"/>
          <w:sz w:val="28"/>
          <w:szCs w:val="24"/>
          <w:lang w:eastAsia="ru-RU"/>
        </w:rPr>
        <w:t xml:space="preserve">абсолютном выражении </w:t>
      </w:r>
      <w:r>
        <w:rPr>
          <w:rFonts w:ascii="Times New Roman" w:hAnsi="Times New Roman"/>
          <w:sz w:val="28"/>
          <w:szCs w:val="24"/>
          <w:lang w:eastAsia="ru-RU"/>
        </w:rPr>
        <w:t xml:space="preserve">по предварительным итогам </w:t>
      </w:r>
      <w:r w:rsidRPr="00A604C0">
        <w:rPr>
          <w:rFonts w:ascii="Times New Roman" w:hAnsi="Times New Roman"/>
          <w:sz w:val="28"/>
          <w:szCs w:val="24"/>
          <w:lang w:eastAsia="ru-RU"/>
        </w:rPr>
        <w:t xml:space="preserve">достиг </w:t>
      </w:r>
      <w:r>
        <w:rPr>
          <w:rFonts w:ascii="Times New Roman" w:hAnsi="Times New Roman"/>
          <w:sz w:val="28"/>
          <w:szCs w:val="24"/>
          <w:lang w:eastAsia="ru-RU"/>
        </w:rPr>
        <w:t>32,9</w:t>
      </w:r>
      <w:r w:rsidRPr="00A604C0">
        <w:rPr>
          <w:rFonts w:ascii="Times New Roman" w:hAnsi="Times New Roman"/>
          <w:sz w:val="28"/>
          <w:szCs w:val="24"/>
          <w:lang w:eastAsia="ru-RU"/>
        </w:rPr>
        <w:t xml:space="preserve"> тыс. рублей и</w:t>
      </w:r>
      <w:r>
        <w:rPr>
          <w:rFonts w:ascii="Times New Roman" w:hAnsi="Times New Roman"/>
          <w:sz w:val="28"/>
          <w:szCs w:val="24"/>
          <w:lang w:eastAsia="ru-RU"/>
        </w:rPr>
        <w:t> </w:t>
      </w:r>
      <w:r w:rsidRPr="00A604C0">
        <w:rPr>
          <w:rFonts w:ascii="Times New Roman" w:hAnsi="Times New Roman"/>
          <w:sz w:val="28"/>
          <w:szCs w:val="24"/>
          <w:lang w:eastAsia="ru-RU"/>
        </w:rPr>
        <w:t xml:space="preserve">вырос за </w:t>
      </w:r>
      <w:r>
        <w:rPr>
          <w:rFonts w:ascii="Times New Roman" w:hAnsi="Times New Roman"/>
          <w:sz w:val="28"/>
          <w:szCs w:val="24"/>
          <w:lang w:eastAsia="ru-RU"/>
        </w:rPr>
        <w:t xml:space="preserve">2019 </w:t>
      </w:r>
      <w:r w:rsidRPr="00A604C0">
        <w:rPr>
          <w:rFonts w:ascii="Times New Roman" w:hAnsi="Times New Roman"/>
          <w:sz w:val="28"/>
          <w:szCs w:val="24"/>
          <w:lang w:eastAsia="ru-RU"/>
        </w:rPr>
        <w:t xml:space="preserve">год на </w:t>
      </w:r>
      <w:r>
        <w:rPr>
          <w:rFonts w:ascii="Times New Roman" w:hAnsi="Times New Roman"/>
          <w:sz w:val="28"/>
          <w:szCs w:val="24"/>
          <w:lang w:eastAsia="ru-RU"/>
        </w:rPr>
        <w:t>6</w:t>
      </w:r>
      <w:r w:rsidRPr="00A604C0">
        <w:rPr>
          <w:rFonts w:ascii="Times New Roman" w:hAnsi="Times New Roman"/>
          <w:sz w:val="28"/>
          <w:szCs w:val="24"/>
          <w:lang w:eastAsia="ru-RU"/>
        </w:rPr>
        <w:t xml:space="preserve"> %</w:t>
      </w:r>
      <w:r>
        <w:rPr>
          <w:rStyle w:val="FootnoteReference"/>
          <w:rFonts w:ascii="Times New Roman" w:hAnsi="Times New Roman"/>
          <w:sz w:val="28"/>
          <w:szCs w:val="24"/>
          <w:lang w:eastAsia="ru-RU"/>
        </w:rPr>
        <w:footnoteReference w:id="2"/>
      </w:r>
      <w:r w:rsidRPr="00A604C0">
        <w:rPr>
          <w:rFonts w:ascii="Times New Roman" w:hAnsi="Times New Roman"/>
          <w:sz w:val="28"/>
          <w:szCs w:val="24"/>
          <w:lang w:eastAsia="ru-RU"/>
        </w:rPr>
        <w:t>.</w:t>
      </w:r>
    </w:p>
    <w:p w:rsidR="002D1E45" w:rsidRPr="0014148D" w:rsidRDefault="002D1E45" w:rsidP="00BB36C0">
      <w:pPr>
        <w:spacing w:before="120" w:after="0" w:line="240" w:lineRule="auto"/>
        <w:jc w:val="center"/>
        <w:rPr>
          <w:rFonts w:ascii="Times New Roman" w:hAnsi="Times New Roman"/>
          <w:sz w:val="28"/>
          <w:szCs w:val="24"/>
          <w:lang w:eastAsia="ru-RU"/>
        </w:rPr>
      </w:pPr>
      <w:r w:rsidRPr="00C02575">
        <w:rPr>
          <w:rFonts w:ascii="Times New Roman" w:hAnsi="Times New Roman"/>
          <w:noProof/>
          <w:sz w:val="28"/>
          <w:szCs w:val="24"/>
          <w:lang w:eastAsia="ru-RU"/>
        </w:rPr>
        <w:pict>
          <v:shape id="Рисунок 11" o:spid="_x0000_i1030" type="#_x0000_t75" style="width:410.25pt;height:220.5pt;visibility:visible">
            <v:imagedata r:id="rId15" o:title="" croptop="3580f" cropbottom="4610f" cropleft="1776f" cropright="5561f"/>
          </v:shape>
        </w:pict>
      </w:r>
    </w:p>
    <w:p w:rsidR="002D1E45" w:rsidRPr="0014148D" w:rsidRDefault="002D1E45" w:rsidP="00BB36C0">
      <w:pPr>
        <w:spacing w:before="120" w:after="120" w:line="240" w:lineRule="auto"/>
        <w:jc w:val="center"/>
        <w:rPr>
          <w:rFonts w:ascii="Times New Roman" w:hAnsi="Times New Roman"/>
          <w:sz w:val="28"/>
          <w:szCs w:val="24"/>
          <w:lang w:eastAsia="ru-RU"/>
        </w:rPr>
      </w:pPr>
      <w:r w:rsidRPr="0014148D">
        <w:rPr>
          <w:rFonts w:ascii="Times New Roman" w:hAnsi="Times New Roman"/>
          <w:sz w:val="28"/>
          <w:szCs w:val="24"/>
          <w:lang w:eastAsia="ru-RU"/>
        </w:rPr>
        <w:t xml:space="preserve">Рисунок </w:t>
      </w:r>
      <w:r w:rsidRPr="0014148D">
        <w:rPr>
          <w:rFonts w:ascii="Times New Roman" w:hAnsi="Times New Roman"/>
          <w:sz w:val="28"/>
          <w:szCs w:val="24"/>
          <w:lang w:eastAsia="ru-RU"/>
        </w:rPr>
        <w:fldChar w:fldCharType="begin"/>
      </w:r>
      <w:r w:rsidRPr="0014148D">
        <w:rPr>
          <w:rFonts w:ascii="Times New Roman" w:hAnsi="Times New Roman"/>
          <w:sz w:val="28"/>
          <w:szCs w:val="24"/>
          <w:lang w:eastAsia="ru-RU"/>
        </w:rPr>
        <w:instrText xml:space="preserve"> SEQ Рисунок \* ARABIC </w:instrText>
      </w:r>
      <w:r w:rsidRPr="0014148D">
        <w:rPr>
          <w:rFonts w:ascii="Times New Roman" w:hAnsi="Times New Roman"/>
          <w:sz w:val="28"/>
          <w:szCs w:val="24"/>
          <w:lang w:eastAsia="ru-RU"/>
        </w:rPr>
        <w:fldChar w:fldCharType="separate"/>
      </w:r>
      <w:r>
        <w:rPr>
          <w:rFonts w:ascii="Times New Roman" w:hAnsi="Times New Roman"/>
          <w:noProof/>
          <w:sz w:val="28"/>
          <w:szCs w:val="24"/>
          <w:lang w:eastAsia="ru-RU"/>
        </w:rPr>
        <w:t>6</w:t>
      </w:r>
      <w:r w:rsidRPr="0014148D">
        <w:rPr>
          <w:rFonts w:ascii="Times New Roman" w:hAnsi="Times New Roman"/>
          <w:sz w:val="28"/>
          <w:szCs w:val="24"/>
          <w:lang w:eastAsia="ru-RU"/>
        </w:rPr>
        <w:fldChar w:fldCharType="end"/>
      </w:r>
      <w:r w:rsidRPr="0014148D">
        <w:rPr>
          <w:rFonts w:ascii="Times New Roman" w:hAnsi="Times New Roman"/>
          <w:sz w:val="28"/>
          <w:szCs w:val="24"/>
          <w:lang w:eastAsia="ru-RU"/>
        </w:rPr>
        <w:t xml:space="preserve">. </w:t>
      </w:r>
      <w:r w:rsidRPr="00BB36C0">
        <w:rPr>
          <w:rFonts w:ascii="Times New Roman" w:hAnsi="Times New Roman"/>
          <w:sz w:val="28"/>
          <w:szCs w:val="24"/>
          <w:lang w:eastAsia="ru-RU"/>
        </w:rPr>
        <w:t>Соотношение уровней доходов населения со</w:t>
      </w:r>
      <w:r>
        <w:rPr>
          <w:rFonts w:ascii="Times New Roman" w:hAnsi="Times New Roman"/>
          <w:sz w:val="28"/>
          <w:szCs w:val="24"/>
          <w:lang w:eastAsia="ru-RU"/>
        </w:rPr>
        <w:t> </w:t>
      </w:r>
      <w:r w:rsidRPr="00BB36C0">
        <w:rPr>
          <w:rFonts w:ascii="Times New Roman" w:hAnsi="Times New Roman"/>
          <w:sz w:val="28"/>
          <w:szCs w:val="24"/>
          <w:lang w:eastAsia="ru-RU"/>
        </w:rPr>
        <w:t>среднедушевым прожиточным минимумом в</w:t>
      </w:r>
      <w:r>
        <w:rPr>
          <w:rFonts w:ascii="Times New Roman" w:hAnsi="Times New Roman"/>
          <w:sz w:val="28"/>
          <w:szCs w:val="24"/>
          <w:lang w:eastAsia="ru-RU"/>
        </w:rPr>
        <w:t> г. Куйбышеве</w:t>
      </w:r>
    </w:p>
    <w:p w:rsidR="002D1E45" w:rsidRDefault="002D1E45" w:rsidP="001125E5">
      <w:pPr>
        <w:spacing w:after="0" w:line="240" w:lineRule="auto"/>
        <w:ind w:firstLine="709"/>
        <w:contextualSpacing/>
        <w:jc w:val="both"/>
        <w:rPr>
          <w:rFonts w:ascii="Times New Roman" w:hAnsi="Times New Roman"/>
          <w:sz w:val="28"/>
          <w:szCs w:val="24"/>
          <w:lang w:eastAsia="ru-RU"/>
        </w:rPr>
      </w:pPr>
    </w:p>
    <w:p w:rsidR="002D1E45" w:rsidRPr="00D8521F" w:rsidRDefault="002D1E45" w:rsidP="00D8521F">
      <w:pPr>
        <w:spacing w:after="0" w:line="240" w:lineRule="auto"/>
        <w:ind w:firstLine="709"/>
        <w:contextualSpacing/>
        <w:jc w:val="both"/>
        <w:rPr>
          <w:rFonts w:ascii="Times New Roman" w:hAnsi="Times New Roman"/>
          <w:sz w:val="28"/>
          <w:szCs w:val="24"/>
          <w:lang w:eastAsia="ru-RU"/>
        </w:rPr>
      </w:pPr>
      <w:r w:rsidRPr="00D8521F">
        <w:rPr>
          <w:rFonts w:ascii="Times New Roman" w:hAnsi="Times New Roman"/>
          <w:sz w:val="28"/>
          <w:szCs w:val="24"/>
          <w:lang w:eastAsia="ru-RU"/>
        </w:rPr>
        <w:t>На демографическую ситуацию наибольшее влияние оказывает занятость работоспособного населения. Среднегодовая численность занятых в экономике поселения составила за 201</w:t>
      </w:r>
      <w:r>
        <w:rPr>
          <w:rFonts w:ascii="Times New Roman" w:hAnsi="Times New Roman"/>
          <w:sz w:val="28"/>
          <w:szCs w:val="24"/>
          <w:lang w:eastAsia="ru-RU"/>
        </w:rPr>
        <w:t>9</w:t>
      </w:r>
      <w:r w:rsidRPr="00D8521F">
        <w:rPr>
          <w:rFonts w:ascii="Times New Roman" w:hAnsi="Times New Roman"/>
          <w:sz w:val="28"/>
          <w:szCs w:val="24"/>
          <w:lang w:eastAsia="ru-RU"/>
        </w:rPr>
        <w:t xml:space="preserve"> год </w:t>
      </w:r>
      <w:r>
        <w:rPr>
          <w:rFonts w:ascii="Times New Roman" w:hAnsi="Times New Roman"/>
          <w:sz w:val="28"/>
          <w:szCs w:val="24"/>
          <w:lang w:eastAsia="ru-RU"/>
        </w:rPr>
        <w:t>18723</w:t>
      </w:r>
      <w:r w:rsidRPr="00D8521F">
        <w:rPr>
          <w:rFonts w:ascii="Times New Roman" w:hAnsi="Times New Roman"/>
          <w:sz w:val="28"/>
          <w:szCs w:val="24"/>
          <w:lang w:eastAsia="ru-RU"/>
        </w:rPr>
        <w:t xml:space="preserve"> человек</w:t>
      </w:r>
      <w:r>
        <w:rPr>
          <w:rFonts w:ascii="Times New Roman" w:hAnsi="Times New Roman"/>
          <w:sz w:val="28"/>
          <w:szCs w:val="24"/>
          <w:lang w:eastAsia="ru-RU"/>
        </w:rPr>
        <w:t>а (без занятых в домашнем хозяйстве)</w:t>
      </w:r>
      <w:r w:rsidRPr="00D8521F">
        <w:rPr>
          <w:rFonts w:ascii="Times New Roman" w:hAnsi="Times New Roman"/>
          <w:sz w:val="28"/>
          <w:szCs w:val="24"/>
          <w:lang w:eastAsia="ru-RU"/>
        </w:rPr>
        <w:t>.</w:t>
      </w:r>
    </w:p>
    <w:p w:rsidR="002D1E45" w:rsidRPr="00146391" w:rsidRDefault="002D1E45" w:rsidP="00D8521F">
      <w:pPr>
        <w:autoSpaceDE w:val="0"/>
        <w:autoSpaceDN w:val="0"/>
        <w:adjustRightInd w:val="0"/>
        <w:spacing w:after="0" w:line="240" w:lineRule="auto"/>
        <w:jc w:val="right"/>
        <w:rPr>
          <w:rFonts w:ascii="Times New Roman" w:hAnsi="Times New Roman"/>
          <w:sz w:val="28"/>
          <w:szCs w:val="24"/>
          <w:lang w:eastAsia="ru-RU"/>
        </w:rPr>
      </w:pPr>
      <w:r w:rsidRPr="00146391">
        <w:rPr>
          <w:rFonts w:ascii="Times New Roman" w:hAnsi="Times New Roman"/>
          <w:sz w:val="28"/>
          <w:szCs w:val="24"/>
          <w:lang w:eastAsia="ru-RU"/>
        </w:rPr>
        <w:t xml:space="preserve">Таблица </w:t>
      </w:r>
      <w:r w:rsidRPr="00146391">
        <w:rPr>
          <w:rFonts w:ascii="Times New Roman" w:hAnsi="Times New Roman"/>
          <w:sz w:val="28"/>
          <w:szCs w:val="24"/>
          <w:lang w:eastAsia="ru-RU"/>
        </w:rPr>
        <w:fldChar w:fldCharType="begin"/>
      </w:r>
      <w:r w:rsidRPr="00146391">
        <w:rPr>
          <w:rFonts w:ascii="Times New Roman" w:hAnsi="Times New Roman"/>
          <w:sz w:val="28"/>
          <w:szCs w:val="24"/>
          <w:lang w:eastAsia="ru-RU"/>
        </w:rPr>
        <w:instrText xml:space="preserve"> SEQ Таблица \* ARABIC </w:instrText>
      </w:r>
      <w:r w:rsidRPr="00146391">
        <w:rPr>
          <w:rFonts w:ascii="Times New Roman" w:hAnsi="Times New Roman"/>
          <w:sz w:val="28"/>
          <w:szCs w:val="24"/>
          <w:lang w:eastAsia="ru-RU"/>
        </w:rPr>
        <w:fldChar w:fldCharType="separate"/>
      </w:r>
      <w:r>
        <w:rPr>
          <w:rFonts w:ascii="Times New Roman" w:hAnsi="Times New Roman"/>
          <w:noProof/>
          <w:sz w:val="28"/>
          <w:szCs w:val="24"/>
          <w:lang w:eastAsia="ru-RU"/>
        </w:rPr>
        <w:t>4</w:t>
      </w:r>
      <w:r w:rsidRPr="00146391">
        <w:rPr>
          <w:rFonts w:ascii="Times New Roman" w:hAnsi="Times New Roman"/>
          <w:sz w:val="28"/>
          <w:szCs w:val="24"/>
          <w:lang w:eastAsia="ru-RU"/>
        </w:rPr>
        <w:fldChar w:fldCharType="end"/>
      </w:r>
    </w:p>
    <w:p w:rsidR="002D1E45" w:rsidRDefault="002D1E45" w:rsidP="00D8521F">
      <w:pPr>
        <w:tabs>
          <w:tab w:val="left" w:pos="1418"/>
        </w:tabs>
        <w:spacing w:after="0" w:line="360" w:lineRule="auto"/>
        <w:jc w:val="center"/>
        <w:rPr>
          <w:rFonts w:ascii="Times New Roman" w:hAnsi="Times New Roman"/>
          <w:sz w:val="28"/>
          <w:szCs w:val="28"/>
          <w:lang w:eastAsia="ru-RU"/>
        </w:rPr>
      </w:pPr>
      <w:r w:rsidRPr="00D8521F">
        <w:rPr>
          <w:rFonts w:ascii="Times New Roman" w:hAnsi="Times New Roman"/>
          <w:sz w:val="28"/>
          <w:szCs w:val="28"/>
          <w:lang w:eastAsia="ru-RU"/>
        </w:rPr>
        <w:t xml:space="preserve">Характеристика трудовых ресурсов </w:t>
      </w:r>
      <w:r>
        <w:rPr>
          <w:rFonts w:ascii="Times New Roman" w:hAnsi="Times New Roman"/>
          <w:sz w:val="28"/>
          <w:szCs w:val="28"/>
          <w:lang w:eastAsia="ru-RU"/>
        </w:rPr>
        <w:t>г. Куйбышева</w:t>
      </w:r>
      <w:r w:rsidRPr="00D8521F">
        <w:rPr>
          <w:rFonts w:ascii="Times New Roman" w:hAnsi="Times New Roman"/>
          <w:sz w:val="28"/>
          <w:szCs w:val="28"/>
          <w:lang w:eastAsia="ru-RU"/>
        </w:rPr>
        <w:t>, 20</w:t>
      </w:r>
      <w:r>
        <w:rPr>
          <w:rFonts w:ascii="Times New Roman" w:hAnsi="Times New Roman"/>
          <w:sz w:val="28"/>
          <w:szCs w:val="28"/>
          <w:lang w:eastAsia="ru-RU"/>
        </w:rPr>
        <w:t>16</w:t>
      </w:r>
      <w:r w:rsidRPr="00D8521F">
        <w:rPr>
          <w:rFonts w:ascii="Times New Roman" w:hAnsi="Times New Roman"/>
          <w:sz w:val="28"/>
          <w:szCs w:val="28"/>
          <w:lang w:eastAsia="ru-RU"/>
        </w:rPr>
        <w:t>-20</w:t>
      </w:r>
      <w:r>
        <w:rPr>
          <w:rFonts w:ascii="Times New Roman" w:hAnsi="Times New Roman"/>
          <w:sz w:val="28"/>
          <w:szCs w:val="28"/>
          <w:lang w:eastAsia="ru-RU"/>
        </w:rPr>
        <w:t>19</w:t>
      </w:r>
      <w:r w:rsidRPr="00D8521F">
        <w:rPr>
          <w:rFonts w:ascii="Times New Roman" w:hAnsi="Times New Roman"/>
          <w:sz w:val="28"/>
          <w:szCs w:val="28"/>
          <w:lang w:eastAsia="ru-RU"/>
        </w:rPr>
        <w:t xml:space="preserve"> гг.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663"/>
        <w:gridCol w:w="1204"/>
        <w:gridCol w:w="1205"/>
        <w:gridCol w:w="1205"/>
        <w:gridCol w:w="1205"/>
        <w:gridCol w:w="1713"/>
      </w:tblGrid>
      <w:tr w:rsidR="002D1E45" w:rsidRPr="00D8521F" w:rsidTr="00D8521F">
        <w:trPr>
          <w:trHeight w:val="57"/>
        </w:trPr>
        <w:tc>
          <w:tcPr>
            <w:tcW w:w="3663" w:type="dxa"/>
            <w:vMerge w:val="restart"/>
            <w:vAlign w:val="center"/>
          </w:tcPr>
          <w:p w:rsidR="002D1E45" w:rsidRPr="00D8521F" w:rsidRDefault="002D1E45" w:rsidP="00D8521F">
            <w:pPr>
              <w:spacing w:after="0" w:line="240" w:lineRule="auto"/>
              <w:jc w:val="center"/>
              <w:rPr>
                <w:rFonts w:ascii="Times New Roman" w:hAnsi="Times New Roman"/>
                <w:color w:val="000000"/>
                <w:sz w:val="24"/>
                <w:szCs w:val="24"/>
                <w:lang w:eastAsia="ru-RU"/>
              </w:rPr>
            </w:pPr>
            <w:r w:rsidRPr="00D8521F">
              <w:rPr>
                <w:rFonts w:ascii="Times New Roman" w:hAnsi="Times New Roman"/>
                <w:color w:val="000000"/>
                <w:sz w:val="24"/>
                <w:szCs w:val="24"/>
                <w:lang w:eastAsia="ru-RU"/>
              </w:rPr>
              <w:t>Показатели</w:t>
            </w:r>
          </w:p>
        </w:tc>
        <w:tc>
          <w:tcPr>
            <w:tcW w:w="4819" w:type="dxa"/>
            <w:gridSpan w:val="4"/>
            <w:vAlign w:val="center"/>
          </w:tcPr>
          <w:p w:rsidR="002D1E45" w:rsidRPr="00D8521F" w:rsidRDefault="002D1E45" w:rsidP="00D8521F">
            <w:pPr>
              <w:spacing w:after="0" w:line="240" w:lineRule="auto"/>
              <w:jc w:val="center"/>
              <w:rPr>
                <w:rFonts w:ascii="Times New Roman" w:hAnsi="Times New Roman"/>
                <w:color w:val="000000"/>
                <w:sz w:val="24"/>
                <w:szCs w:val="24"/>
                <w:lang w:eastAsia="ru-RU"/>
              </w:rPr>
            </w:pPr>
            <w:r w:rsidRPr="00D8521F">
              <w:rPr>
                <w:rFonts w:ascii="Times New Roman" w:hAnsi="Times New Roman"/>
                <w:color w:val="000000"/>
                <w:sz w:val="24"/>
                <w:szCs w:val="24"/>
                <w:lang w:eastAsia="ru-RU"/>
              </w:rPr>
              <w:t>Годы</w:t>
            </w:r>
          </w:p>
        </w:tc>
        <w:tc>
          <w:tcPr>
            <w:tcW w:w="1713" w:type="dxa"/>
            <w:vMerge w:val="restart"/>
            <w:vAlign w:val="center"/>
          </w:tcPr>
          <w:p w:rsidR="002D1E45" w:rsidRPr="00D8521F" w:rsidRDefault="002D1E45" w:rsidP="00D8521F">
            <w:pPr>
              <w:spacing w:after="0" w:line="240" w:lineRule="auto"/>
              <w:jc w:val="center"/>
              <w:rPr>
                <w:rFonts w:ascii="Times New Roman" w:hAnsi="Times New Roman"/>
                <w:color w:val="000000"/>
                <w:sz w:val="24"/>
                <w:szCs w:val="24"/>
                <w:lang w:eastAsia="ru-RU"/>
              </w:rPr>
            </w:pPr>
            <w:r w:rsidRPr="00D8521F">
              <w:rPr>
                <w:rFonts w:ascii="Times New Roman" w:hAnsi="Times New Roman"/>
                <w:color w:val="000000"/>
                <w:sz w:val="24"/>
                <w:szCs w:val="24"/>
                <w:lang w:eastAsia="ru-RU"/>
              </w:rPr>
              <w:t>Рост численности</w:t>
            </w:r>
            <w:r>
              <w:rPr>
                <w:rFonts w:ascii="Times New Roman" w:hAnsi="Times New Roman"/>
                <w:color w:val="000000"/>
                <w:sz w:val="24"/>
                <w:szCs w:val="24"/>
                <w:lang w:eastAsia="ru-RU"/>
              </w:rPr>
              <w:t>, 2019 к 2016 г.</w:t>
            </w:r>
          </w:p>
        </w:tc>
      </w:tr>
      <w:tr w:rsidR="002D1E45" w:rsidRPr="00D8521F" w:rsidTr="00D8521F">
        <w:trPr>
          <w:trHeight w:val="57"/>
        </w:trPr>
        <w:tc>
          <w:tcPr>
            <w:tcW w:w="3663" w:type="dxa"/>
            <w:vMerge/>
            <w:vAlign w:val="center"/>
          </w:tcPr>
          <w:p w:rsidR="002D1E45" w:rsidRPr="00D8521F" w:rsidRDefault="002D1E45" w:rsidP="00D8521F">
            <w:pPr>
              <w:spacing w:after="0" w:line="240" w:lineRule="auto"/>
              <w:rPr>
                <w:rFonts w:ascii="Times New Roman" w:hAnsi="Times New Roman"/>
                <w:color w:val="000000"/>
                <w:sz w:val="24"/>
                <w:szCs w:val="24"/>
                <w:lang w:eastAsia="ru-RU"/>
              </w:rPr>
            </w:pPr>
          </w:p>
        </w:tc>
        <w:tc>
          <w:tcPr>
            <w:tcW w:w="1204" w:type="dxa"/>
            <w:vAlign w:val="center"/>
          </w:tcPr>
          <w:p w:rsidR="002D1E45" w:rsidRPr="00D8521F" w:rsidRDefault="002D1E45" w:rsidP="00D8521F">
            <w:pPr>
              <w:spacing w:after="0" w:line="240" w:lineRule="auto"/>
              <w:jc w:val="center"/>
              <w:rPr>
                <w:rFonts w:ascii="Times New Roman" w:hAnsi="Times New Roman"/>
                <w:color w:val="000000"/>
                <w:sz w:val="24"/>
                <w:szCs w:val="24"/>
                <w:lang w:eastAsia="ru-RU"/>
              </w:rPr>
            </w:pPr>
            <w:r w:rsidRPr="00D8521F">
              <w:rPr>
                <w:rFonts w:ascii="Times New Roman" w:hAnsi="Times New Roman"/>
                <w:color w:val="000000"/>
                <w:sz w:val="24"/>
                <w:szCs w:val="24"/>
                <w:lang w:eastAsia="ru-RU"/>
              </w:rPr>
              <w:t>2016</w:t>
            </w:r>
          </w:p>
        </w:tc>
        <w:tc>
          <w:tcPr>
            <w:tcW w:w="1205" w:type="dxa"/>
            <w:vAlign w:val="center"/>
          </w:tcPr>
          <w:p w:rsidR="002D1E45" w:rsidRPr="00D8521F" w:rsidRDefault="002D1E45" w:rsidP="00D8521F">
            <w:pPr>
              <w:spacing w:after="0" w:line="240" w:lineRule="auto"/>
              <w:jc w:val="center"/>
              <w:rPr>
                <w:rFonts w:ascii="Times New Roman" w:hAnsi="Times New Roman"/>
                <w:color w:val="000000"/>
                <w:sz w:val="24"/>
                <w:szCs w:val="24"/>
                <w:lang w:eastAsia="ru-RU"/>
              </w:rPr>
            </w:pPr>
            <w:r w:rsidRPr="00D8521F">
              <w:rPr>
                <w:rFonts w:ascii="Times New Roman" w:hAnsi="Times New Roman"/>
                <w:color w:val="000000"/>
                <w:sz w:val="24"/>
                <w:szCs w:val="24"/>
                <w:lang w:eastAsia="ru-RU"/>
              </w:rPr>
              <w:t>2017</w:t>
            </w:r>
          </w:p>
        </w:tc>
        <w:tc>
          <w:tcPr>
            <w:tcW w:w="1205" w:type="dxa"/>
            <w:vAlign w:val="center"/>
          </w:tcPr>
          <w:p w:rsidR="002D1E45" w:rsidRPr="00D8521F" w:rsidRDefault="002D1E45" w:rsidP="00D8521F">
            <w:pPr>
              <w:spacing w:after="0" w:line="240" w:lineRule="auto"/>
              <w:jc w:val="center"/>
              <w:rPr>
                <w:rFonts w:ascii="Times New Roman" w:hAnsi="Times New Roman"/>
                <w:color w:val="000000"/>
                <w:sz w:val="24"/>
                <w:szCs w:val="24"/>
                <w:lang w:eastAsia="ru-RU"/>
              </w:rPr>
            </w:pPr>
            <w:r w:rsidRPr="00D8521F">
              <w:rPr>
                <w:rFonts w:ascii="Times New Roman" w:hAnsi="Times New Roman"/>
                <w:color w:val="000000"/>
                <w:sz w:val="24"/>
                <w:szCs w:val="24"/>
                <w:lang w:eastAsia="ru-RU"/>
              </w:rPr>
              <w:t>2018</w:t>
            </w:r>
          </w:p>
        </w:tc>
        <w:tc>
          <w:tcPr>
            <w:tcW w:w="1205" w:type="dxa"/>
            <w:vAlign w:val="center"/>
          </w:tcPr>
          <w:p w:rsidR="002D1E45" w:rsidRPr="00D8521F" w:rsidRDefault="002D1E45" w:rsidP="00D8521F">
            <w:pPr>
              <w:spacing w:after="0" w:line="240" w:lineRule="auto"/>
              <w:jc w:val="center"/>
              <w:rPr>
                <w:rFonts w:ascii="Times New Roman" w:hAnsi="Times New Roman"/>
                <w:color w:val="000000"/>
                <w:sz w:val="24"/>
                <w:szCs w:val="24"/>
                <w:lang w:eastAsia="ru-RU"/>
              </w:rPr>
            </w:pPr>
            <w:r w:rsidRPr="00D8521F">
              <w:rPr>
                <w:rFonts w:ascii="Times New Roman" w:hAnsi="Times New Roman"/>
                <w:color w:val="000000"/>
                <w:sz w:val="24"/>
                <w:szCs w:val="24"/>
                <w:lang w:eastAsia="ru-RU"/>
              </w:rPr>
              <w:t>2019</w:t>
            </w:r>
          </w:p>
        </w:tc>
        <w:tc>
          <w:tcPr>
            <w:tcW w:w="1713" w:type="dxa"/>
            <w:vMerge/>
            <w:vAlign w:val="center"/>
          </w:tcPr>
          <w:p w:rsidR="002D1E45" w:rsidRPr="00D8521F" w:rsidRDefault="002D1E45" w:rsidP="00D8521F">
            <w:pPr>
              <w:spacing w:after="0" w:line="240" w:lineRule="auto"/>
              <w:rPr>
                <w:rFonts w:ascii="Times New Roman" w:hAnsi="Times New Roman"/>
                <w:color w:val="000000"/>
                <w:sz w:val="24"/>
                <w:szCs w:val="24"/>
                <w:lang w:eastAsia="ru-RU"/>
              </w:rPr>
            </w:pPr>
          </w:p>
        </w:tc>
      </w:tr>
      <w:tr w:rsidR="002D1E45" w:rsidRPr="00D8521F" w:rsidTr="005F78C9">
        <w:trPr>
          <w:trHeight w:val="57"/>
        </w:trPr>
        <w:tc>
          <w:tcPr>
            <w:tcW w:w="3663" w:type="dxa"/>
            <w:vAlign w:val="center"/>
          </w:tcPr>
          <w:p w:rsidR="002D1E45" w:rsidRPr="00D8521F" w:rsidRDefault="002D1E45" w:rsidP="005F78C9">
            <w:pPr>
              <w:spacing w:after="0" w:line="240" w:lineRule="auto"/>
              <w:rPr>
                <w:rFonts w:ascii="Times New Roman" w:hAnsi="Times New Roman"/>
                <w:color w:val="000000"/>
                <w:sz w:val="24"/>
                <w:szCs w:val="24"/>
                <w:lang w:eastAsia="ru-RU"/>
              </w:rPr>
            </w:pPr>
            <w:r w:rsidRPr="00D8521F">
              <w:rPr>
                <w:rFonts w:ascii="Times New Roman" w:hAnsi="Times New Roman"/>
                <w:color w:val="000000"/>
                <w:sz w:val="24"/>
                <w:szCs w:val="24"/>
                <w:lang w:eastAsia="ru-RU"/>
              </w:rPr>
              <w:t>Среднегодовая численность занятых в экономике (чел.)</w:t>
            </w:r>
          </w:p>
        </w:tc>
        <w:tc>
          <w:tcPr>
            <w:tcW w:w="1204" w:type="dxa"/>
            <w:vAlign w:val="center"/>
          </w:tcPr>
          <w:p w:rsidR="002D1E45" w:rsidRPr="00D8521F" w:rsidRDefault="002D1E45" w:rsidP="005F78C9">
            <w:pPr>
              <w:spacing w:after="0" w:line="240" w:lineRule="auto"/>
              <w:jc w:val="right"/>
              <w:rPr>
                <w:rFonts w:ascii="Times New Roman" w:hAnsi="Times New Roman"/>
                <w:color w:val="000000"/>
                <w:sz w:val="24"/>
                <w:szCs w:val="24"/>
                <w:lang w:eastAsia="ru-RU"/>
              </w:rPr>
            </w:pPr>
            <w:r w:rsidRPr="00D8521F">
              <w:rPr>
                <w:rFonts w:ascii="Times New Roman" w:hAnsi="Times New Roman"/>
                <w:color w:val="000000"/>
                <w:sz w:val="24"/>
                <w:szCs w:val="24"/>
                <w:lang w:eastAsia="ru-RU"/>
              </w:rPr>
              <w:t>19360</w:t>
            </w:r>
          </w:p>
        </w:tc>
        <w:tc>
          <w:tcPr>
            <w:tcW w:w="1205" w:type="dxa"/>
            <w:vAlign w:val="center"/>
          </w:tcPr>
          <w:p w:rsidR="002D1E45" w:rsidRPr="00D8521F" w:rsidRDefault="002D1E45" w:rsidP="005F78C9">
            <w:pPr>
              <w:spacing w:after="0" w:line="240" w:lineRule="auto"/>
              <w:jc w:val="right"/>
              <w:rPr>
                <w:rFonts w:ascii="Times New Roman" w:hAnsi="Times New Roman"/>
                <w:color w:val="000000"/>
                <w:sz w:val="24"/>
                <w:szCs w:val="24"/>
                <w:lang w:eastAsia="ru-RU"/>
              </w:rPr>
            </w:pPr>
            <w:r w:rsidRPr="00D8521F">
              <w:rPr>
                <w:rFonts w:ascii="Times New Roman" w:hAnsi="Times New Roman"/>
                <w:color w:val="000000"/>
                <w:sz w:val="24"/>
                <w:szCs w:val="24"/>
                <w:lang w:eastAsia="ru-RU"/>
              </w:rPr>
              <w:t>19131</w:t>
            </w:r>
          </w:p>
        </w:tc>
        <w:tc>
          <w:tcPr>
            <w:tcW w:w="1205" w:type="dxa"/>
            <w:vAlign w:val="center"/>
          </w:tcPr>
          <w:p w:rsidR="002D1E45" w:rsidRPr="00D8521F" w:rsidRDefault="002D1E45" w:rsidP="005F78C9">
            <w:pPr>
              <w:spacing w:after="0" w:line="240" w:lineRule="auto"/>
              <w:jc w:val="right"/>
              <w:rPr>
                <w:rFonts w:ascii="Times New Roman" w:hAnsi="Times New Roman"/>
                <w:color w:val="000000"/>
                <w:sz w:val="24"/>
                <w:szCs w:val="24"/>
                <w:lang w:eastAsia="ru-RU"/>
              </w:rPr>
            </w:pPr>
            <w:r w:rsidRPr="00D8521F">
              <w:rPr>
                <w:rFonts w:ascii="Times New Roman" w:hAnsi="Times New Roman"/>
                <w:color w:val="000000"/>
                <w:sz w:val="24"/>
                <w:szCs w:val="24"/>
                <w:lang w:eastAsia="ru-RU"/>
              </w:rPr>
              <w:t>19068</w:t>
            </w:r>
          </w:p>
        </w:tc>
        <w:tc>
          <w:tcPr>
            <w:tcW w:w="1205" w:type="dxa"/>
            <w:vAlign w:val="center"/>
          </w:tcPr>
          <w:p w:rsidR="002D1E45" w:rsidRPr="00D8521F" w:rsidRDefault="002D1E45" w:rsidP="005F78C9">
            <w:pPr>
              <w:spacing w:after="0" w:line="240" w:lineRule="auto"/>
              <w:jc w:val="right"/>
              <w:rPr>
                <w:rFonts w:ascii="Times New Roman" w:hAnsi="Times New Roman"/>
                <w:color w:val="000000"/>
                <w:sz w:val="24"/>
                <w:szCs w:val="24"/>
                <w:lang w:eastAsia="ru-RU"/>
              </w:rPr>
            </w:pPr>
            <w:r w:rsidRPr="00D8521F">
              <w:rPr>
                <w:rFonts w:ascii="Times New Roman" w:hAnsi="Times New Roman"/>
                <w:color w:val="000000"/>
                <w:sz w:val="24"/>
                <w:szCs w:val="24"/>
                <w:lang w:eastAsia="ru-RU"/>
              </w:rPr>
              <w:t>18 723</w:t>
            </w:r>
          </w:p>
        </w:tc>
        <w:tc>
          <w:tcPr>
            <w:tcW w:w="1713" w:type="dxa"/>
            <w:noWrap/>
            <w:vAlign w:val="center"/>
          </w:tcPr>
          <w:p w:rsidR="002D1E45" w:rsidRPr="00D8521F" w:rsidRDefault="002D1E45" w:rsidP="005F78C9">
            <w:pPr>
              <w:spacing w:after="0" w:line="240" w:lineRule="auto"/>
              <w:jc w:val="right"/>
              <w:rPr>
                <w:rFonts w:ascii="Times New Roman" w:hAnsi="Times New Roman"/>
                <w:color w:val="000000"/>
                <w:sz w:val="24"/>
                <w:szCs w:val="24"/>
                <w:lang w:eastAsia="ru-RU"/>
              </w:rPr>
            </w:pPr>
            <w:r w:rsidRPr="005F78C9">
              <w:rPr>
                <w:rFonts w:ascii="Times New Roman" w:hAnsi="Times New Roman"/>
                <w:color w:val="000000"/>
                <w:sz w:val="24"/>
                <w:szCs w:val="24"/>
                <w:lang w:eastAsia="ru-RU"/>
              </w:rPr>
              <w:t>-3,3%</w:t>
            </w:r>
          </w:p>
        </w:tc>
      </w:tr>
      <w:tr w:rsidR="002D1E45" w:rsidRPr="00D8521F" w:rsidTr="005F78C9">
        <w:trPr>
          <w:trHeight w:val="57"/>
        </w:trPr>
        <w:tc>
          <w:tcPr>
            <w:tcW w:w="3663" w:type="dxa"/>
            <w:vAlign w:val="center"/>
          </w:tcPr>
          <w:p w:rsidR="002D1E45" w:rsidRPr="00D8521F" w:rsidRDefault="002D1E45" w:rsidP="005F78C9">
            <w:pPr>
              <w:spacing w:after="0" w:line="240" w:lineRule="auto"/>
              <w:jc w:val="both"/>
              <w:rPr>
                <w:rFonts w:ascii="Times New Roman" w:hAnsi="Times New Roman"/>
                <w:color w:val="000000"/>
                <w:sz w:val="24"/>
                <w:szCs w:val="24"/>
                <w:lang w:eastAsia="ru-RU"/>
              </w:rPr>
            </w:pPr>
            <w:r w:rsidRPr="00D8521F">
              <w:rPr>
                <w:rFonts w:ascii="Times New Roman" w:hAnsi="Times New Roman"/>
                <w:color w:val="000000"/>
                <w:sz w:val="24"/>
                <w:szCs w:val="24"/>
                <w:lang w:eastAsia="ru-RU"/>
              </w:rPr>
              <w:t>обрабатывающие производства</w:t>
            </w:r>
          </w:p>
        </w:tc>
        <w:tc>
          <w:tcPr>
            <w:tcW w:w="1204" w:type="dxa"/>
            <w:vAlign w:val="center"/>
          </w:tcPr>
          <w:p w:rsidR="002D1E45" w:rsidRPr="00D8521F" w:rsidRDefault="002D1E45" w:rsidP="005F78C9">
            <w:pPr>
              <w:spacing w:after="0" w:line="240" w:lineRule="auto"/>
              <w:jc w:val="right"/>
              <w:rPr>
                <w:rFonts w:ascii="Times New Roman" w:hAnsi="Times New Roman"/>
                <w:color w:val="000000"/>
                <w:sz w:val="24"/>
                <w:szCs w:val="24"/>
                <w:lang w:eastAsia="ru-RU"/>
              </w:rPr>
            </w:pPr>
            <w:r w:rsidRPr="00D8521F">
              <w:rPr>
                <w:rFonts w:ascii="Times New Roman" w:hAnsi="Times New Roman"/>
                <w:color w:val="000000"/>
                <w:sz w:val="24"/>
                <w:szCs w:val="24"/>
                <w:lang w:eastAsia="ru-RU"/>
              </w:rPr>
              <w:t>3539</w:t>
            </w:r>
          </w:p>
        </w:tc>
        <w:tc>
          <w:tcPr>
            <w:tcW w:w="1205" w:type="dxa"/>
            <w:vAlign w:val="center"/>
          </w:tcPr>
          <w:p w:rsidR="002D1E45" w:rsidRPr="00D8521F" w:rsidRDefault="002D1E45" w:rsidP="005F78C9">
            <w:pPr>
              <w:spacing w:after="0" w:line="240" w:lineRule="auto"/>
              <w:jc w:val="right"/>
              <w:rPr>
                <w:rFonts w:ascii="Times New Roman" w:hAnsi="Times New Roman"/>
                <w:color w:val="000000"/>
                <w:sz w:val="24"/>
                <w:szCs w:val="24"/>
                <w:lang w:eastAsia="ru-RU"/>
              </w:rPr>
            </w:pPr>
            <w:r w:rsidRPr="00D8521F">
              <w:rPr>
                <w:rFonts w:ascii="Times New Roman" w:hAnsi="Times New Roman"/>
                <w:color w:val="000000"/>
                <w:sz w:val="24"/>
                <w:szCs w:val="24"/>
                <w:lang w:eastAsia="ru-RU"/>
              </w:rPr>
              <w:t>2896</w:t>
            </w:r>
          </w:p>
        </w:tc>
        <w:tc>
          <w:tcPr>
            <w:tcW w:w="1205" w:type="dxa"/>
            <w:vAlign w:val="center"/>
          </w:tcPr>
          <w:p w:rsidR="002D1E45" w:rsidRPr="00D8521F" w:rsidRDefault="002D1E45" w:rsidP="005F78C9">
            <w:pPr>
              <w:spacing w:after="0" w:line="240" w:lineRule="auto"/>
              <w:jc w:val="right"/>
              <w:rPr>
                <w:rFonts w:ascii="Times New Roman" w:hAnsi="Times New Roman"/>
                <w:color w:val="000000"/>
                <w:sz w:val="24"/>
                <w:szCs w:val="24"/>
                <w:lang w:eastAsia="ru-RU"/>
              </w:rPr>
            </w:pPr>
            <w:r w:rsidRPr="00D8521F">
              <w:rPr>
                <w:rFonts w:ascii="Times New Roman" w:hAnsi="Times New Roman"/>
                <w:color w:val="000000"/>
                <w:sz w:val="24"/>
                <w:szCs w:val="24"/>
                <w:lang w:eastAsia="ru-RU"/>
              </w:rPr>
              <w:t>2779</w:t>
            </w:r>
          </w:p>
        </w:tc>
        <w:tc>
          <w:tcPr>
            <w:tcW w:w="1205" w:type="dxa"/>
            <w:vAlign w:val="center"/>
          </w:tcPr>
          <w:p w:rsidR="002D1E45" w:rsidRPr="00D8521F" w:rsidRDefault="002D1E45" w:rsidP="005F78C9">
            <w:pPr>
              <w:spacing w:after="0" w:line="240" w:lineRule="auto"/>
              <w:jc w:val="right"/>
              <w:rPr>
                <w:rFonts w:ascii="Times New Roman" w:hAnsi="Times New Roman"/>
                <w:color w:val="000000"/>
                <w:sz w:val="24"/>
                <w:szCs w:val="24"/>
                <w:lang w:eastAsia="ru-RU"/>
              </w:rPr>
            </w:pPr>
            <w:r w:rsidRPr="00D8521F">
              <w:rPr>
                <w:rFonts w:ascii="Times New Roman" w:hAnsi="Times New Roman"/>
                <w:color w:val="000000"/>
                <w:sz w:val="24"/>
                <w:szCs w:val="24"/>
                <w:lang w:eastAsia="ru-RU"/>
              </w:rPr>
              <w:t>2779</w:t>
            </w:r>
          </w:p>
        </w:tc>
        <w:tc>
          <w:tcPr>
            <w:tcW w:w="1713" w:type="dxa"/>
            <w:noWrap/>
            <w:vAlign w:val="center"/>
          </w:tcPr>
          <w:p w:rsidR="002D1E45" w:rsidRPr="00D8521F" w:rsidRDefault="002D1E45" w:rsidP="005F78C9">
            <w:pPr>
              <w:spacing w:after="0" w:line="240" w:lineRule="auto"/>
              <w:jc w:val="right"/>
              <w:rPr>
                <w:rFonts w:ascii="Times New Roman" w:hAnsi="Times New Roman"/>
                <w:color w:val="000000"/>
                <w:sz w:val="24"/>
                <w:szCs w:val="24"/>
                <w:lang w:eastAsia="ru-RU"/>
              </w:rPr>
            </w:pPr>
            <w:r w:rsidRPr="005F78C9">
              <w:rPr>
                <w:rFonts w:ascii="Times New Roman" w:hAnsi="Times New Roman"/>
                <w:color w:val="000000"/>
                <w:sz w:val="24"/>
                <w:szCs w:val="24"/>
                <w:lang w:eastAsia="ru-RU"/>
              </w:rPr>
              <w:t>-21,5%</w:t>
            </w:r>
          </w:p>
        </w:tc>
      </w:tr>
      <w:tr w:rsidR="002D1E45" w:rsidRPr="00D8521F" w:rsidTr="005F78C9">
        <w:trPr>
          <w:trHeight w:val="57"/>
        </w:trPr>
        <w:tc>
          <w:tcPr>
            <w:tcW w:w="3663" w:type="dxa"/>
            <w:vAlign w:val="center"/>
          </w:tcPr>
          <w:p w:rsidR="002D1E45" w:rsidRPr="00D8521F" w:rsidRDefault="002D1E45" w:rsidP="005F78C9">
            <w:pPr>
              <w:spacing w:after="0" w:line="240" w:lineRule="auto"/>
              <w:jc w:val="both"/>
              <w:rPr>
                <w:rFonts w:ascii="Times New Roman" w:hAnsi="Times New Roman"/>
                <w:color w:val="000000"/>
                <w:sz w:val="24"/>
                <w:szCs w:val="24"/>
                <w:lang w:eastAsia="ru-RU"/>
              </w:rPr>
            </w:pPr>
            <w:r w:rsidRPr="00D8521F">
              <w:rPr>
                <w:rFonts w:ascii="Times New Roman" w:hAnsi="Times New Roman"/>
                <w:color w:val="000000"/>
                <w:sz w:val="24"/>
                <w:szCs w:val="24"/>
                <w:lang w:eastAsia="ru-RU"/>
              </w:rPr>
              <w:t>сельское хозяйство</w:t>
            </w:r>
          </w:p>
        </w:tc>
        <w:tc>
          <w:tcPr>
            <w:tcW w:w="1204" w:type="dxa"/>
            <w:vAlign w:val="center"/>
          </w:tcPr>
          <w:p w:rsidR="002D1E45" w:rsidRPr="00D8521F" w:rsidRDefault="002D1E45" w:rsidP="005F78C9">
            <w:pPr>
              <w:spacing w:after="0" w:line="240" w:lineRule="auto"/>
              <w:jc w:val="right"/>
              <w:rPr>
                <w:rFonts w:ascii="Times New Roman" w:hAnsi="Times New Roman"/>
                <w:color w:val="000000"/>
                <w:sz w:val="24"/>
                <w:szCs w:val="24"/>
                <w:lang w:eastAsia="ru-RU"/>
              </w:rPr>
            </w:pPr>
            <w:r w:rsidRPr="00D8521F">
              <w:rPr>
                <w:rFonts w:ascii="Times New Roman" w:hAnsi="Times New Roman"/>
                <w:color w:val="000000"/>
                <w:sz w:val="24"/>
                <w:szCs w:val="24"/>
                <w:lang w:eastAsia="ru-RU"/>
              </w:rPr>
              <w:t>94</w:t>
            </w:r>
          </w:p>
        </w:tc>
        <w:tc>
          <w:tcPr>
            <w:tcW w:w="1205" w:type="dxa"/>
            <w:vAlign w:val="center"/>
          </w:tcPr>
          <w:p w:rsidR="002D1E45" w:rsidRPr="00D8521F" w:rsidRDefault="002D1E45" w:rsidP="005F78C9">
            <w:pPr>
              <w:spacing w:after="0" w:line="240" w:lineRule="auto"/>
              <w:jc w:val="right"/>
              <w:rPr>
                <w:rFonts w:ascii="Times New Roman" w:hAnsi="Times New Roman"/>
                <w:color w:val="000000"/>
                <w:sz w:val="24"/>
                <w:szCs w:val="24"/>
                <w:lang w:eastAsia="ru-RU"/>
              </w:rPr>
            </w:pPr>
            <w:r w:rsidRPr="00D8521F">
              <w:rPr>
                <w:rFonts w:ascii="Times New Roman" w:hAnsi="Times New Roman"/>
                <w:color w:val="000000"/>
                <w:sz w:val="24"/>
                <w:szCs w:val="24"/>
                <w:lang w:eastAsia="ru-RU"/>
              </w:rPr>
              <w:t>58</w:t>
            </w:r>
          </w:p>
        </w:tc>
        <w:tc>
          <w:tcPr>
            <w:tcW w:w="1205" w:type="dxa"/>
            <w:vAlign w:val="center"/>
          </w:tcPr>
          <w:p w:rsidR="002D1E45" w:rsidRPr="00D8521F" w:rsidRDefault="002D1E45" w:rsidP="005F78C9">
            <w:pPr>
              <w:spacing w:after="0" w:line="240" w:lineRule="auto"/>
              <w:jc w:val="right"/>
              <w:rPr>
                <w:rFonts w:ascii="Times New Roman" w:hAnsi="Times New Roman"/>
                <w:color w:val="000000"/>
                <w:sz w:val="24"/>
                <w:szCs w:val="24"/>
                <w:lang w:eastAsia="ru-RU"/>
              </w:rPr>
            </w:pPr>
            <w:r w:rsidRPr="00D8521F">
              <w:rPr>
                <w:rFonts w:ascii="Times New Roman" w:hAnsi="Times New Roman"/>
                <w:color w:val="000000"/>
                <w:sz w:val="24"/>
                <w:szCs w:val="24"/>
                <w:lang w:eastAsia="ru-RU"/>
              </w:rPr>
              <w:t>39</w:t>
            </w:r>
          </w:p>
        </w:tc>
        <w:tc>
          <w:tcPr>
            <w:tcW w:w="1205" w:type="dxa"/>
            <w:vAlign w:val="center"/>
          </w:tcPr>
          <w:p w:rsidR="002D1E45" w:rsidRPr="00D8521F" w:rsidRDefault="002D1E45" w:rsidP="005F78C9">
            <w:pPr>
              <w:spacing w:after="0" w:line="240" w:lineRule="auto"/>
              <w:jc w:val="right"/>
              <w:rPr>
                <w:rFonts w:ascii="Times New Roman" w:hAnsi="Times New Roman"/>
                <w:color w:val="000000"/>
                <w:sz w:val="24"/>
                <w:szCs w:val="24"/>
                <w:lang w:eastAsia="ru-RU"/>
              </w:rPr>
            </w:pPr>
            <w:r w:rsidRPr="00D8521F">
              <w:rPr>
                <w:rFonts w:ascii="Times New Roman" w:hAnsi="Times New Roman"/>
                <w:color w:val="000000"/>
                <w:sz w:val="24"/>
                <w:szCs w:val="24"/>
                <w:lang w:eastAsia="ru-RU"/>
              </w:rPr>
              <w:t>33</w:t>
            </w:r>
          </w:p>
        </w:tc>
        <w:tc>
          <w:tcPr>
            <w:tcW w:w="1713" w:type="dxa"/>
            <w:noWrap/>
            <w:vAlign w:val="center"/>
          </w:tcPr>
          <w:p w:rsidR="002D1E45" w:rsidRPr="00D8521F" w:rsidRDefault="002D1E45" w:rsidP="005F78C9">
            <w:pPr>
              <w:spacing w:after="0" w:line="240" w:lineRule="auto"/>
              <w:jc w:val="right"/>
              <w:rPr>
                <w:rFonts w:ascii="Times New Roman" w:hAnsi="Times New Roman"/>
                <w:color w:val="000000"/>
                <w:sz w:val="24"/>
                <w:szCs w:val="24"/>
                <w:lang w:eastAsia="ru-RU"/>
              </w:rPr>
            </w:pPr>
            <w:r w:rsidRPr="005F78C9">
              <w:rPr>
                <w:rFonts w:ascii="Times New Roman" w:hAnsi="Times New Roman"/>
                <w:color w:val="000000"/>
                <w:sz w:val="24"/>
                <w:szCs w:val="24"/>
                <w:lang w:eastAsia="ru-RU"/>
              </w:rPr>
              <w:t>-64,9%</w:t>
            </w:r>
          </w:p>
        </w:tc>
      </w:tr>
      <w:tr w:rsidR="002D1E45" w:rsidRPr="00D8521F" w:rsidTr="005F78C9">
        <w:trPr>
          <w:trHeight w:val="57"/>
        </w:trPr>
        <w:tc>
          <w:tcPr>
            <w:tcW w:w="3663" w:type="dxa"/>
            <w:vAlign w:val="center"/>
          </w:tcPr>
          <w:p w:rsidR="002D1E45" w:rsidRPr="00D8521F" w:rsidRDefault="002D1E45" w:rsidP="005F78C9">
            <w:pPr>
              <w:spacing w:after="0" w:line="240" w:lineRule="auto"/>
              <w:jc w:val="both"/>
              <w:rPr>
                <w:rFonts w:ascii="Times New Roman" w:hAnsi="Times New Roman"/>
                <w:color w:val="000000"/>
                <w:sz w:val="24"/>
                <w:szCs w:val="24"/>
                <w:lang w:eastAsia="ru-RU"/>
              </w:rPr>
            </w:pPr>
            <w:r w:rsidRPr="00D8521F">
              <w:rPr>
                <w:rFonts w:ascii="Times New Roman" w:hAnsi="Times New Roman"/>
                <w:color w:val="000000"/>
                <w:sz w:val="24"/>
                <w:szCs w:val="24"/>
                <w:lang w:eastAsia="ru-RU"/>
              </w:rPr>
              <w:t>строительство</w:t>
            </w:r>
          </w:p>
        </w:tc>
        <w:tc>
          <w:tcPr>
            <w:tcW w:w="1204" w:type="dxa"/>
            <w:vAlign w:val="center"/>
          </w:tcPr>
          <w:p w:rsidR="002D1E45" w:rsidRPr="00D8521F" w:rsidRDefault="002D1E45" w:rsidP="005F78C9">
            <w:pPr>
              <w:spacing w:after="0" w:line="240" w:lineRule="auto"/>
              <w:jc w:val="right"/>
              <w:rPr>
                <w:rFonts w:ascii="Times New Roman" w:hAnsi="Times New Roman"/>
                <w:color w:val="000000"/>
                <w:sz w:val="24"/>
                <w:szCs w:val="24"/>
                <w:lang w:eastAsia="ru-RU"/>
              </w:rPr>
            </w:pPr>
            <w:r w:rsidRPr="00D8521F">
              <w:rPr>
                <w:rFonts w:ascii="Times New Roman" w:hAnsi="Times New Roman"/>
                <w:color w:val="000000"/>
                <w:sz w:val="24"/>
                <w:szCs w:val="24"/>
                <w:lang w:eastAsia="ru-RU"/>
              </w:rPr>
              <w:t>1062</w:t>
            </w:r>
          </w:p>
        </w:tc>
        <w:tc>
          <w:tcPr>
            <w:tcW w:w="1205" w:type="dxa"/>
            <w:vAlign w:val="center"/>
          </w:tcPr>
          <w:p w:rsidR="002D1E45" w:rsidRPr="00D8521F" w:rsidRDefault="002D1E45" w:rsidP="005F78C9">
            <w:pPr>
              <w:spacing w:after="0" w:line="240" w:lineRule="auto"/>
              <w:jc w:val="right"/>
              <w:rPr>
                <w:rFonts w:ascii="Times New Roman" w:hAnsi="Times New Roman"/>
                <w:color w:val="000000"/>
                <w:sz w:val="24"/>
                <w:szCs w:val="24"/>
                <w:lang w:eastAsia="ru-RU"/>
              </w:rPr>
            </w:pPr>
            <w:r w:rsidRPr="00D8521F">
              <w:rPr>
                <w:rFonts w:ascii="Times New Roman" w:hAnsi="Times New Roman"/>
                <w:color w:val="000000"/>
                <w:sz w:val="24"/>
                <w:szCs w:val="24"/>
                <w:lang w:eastAsia="ru-RU"/>
              </w:rPr>
              <w:t>1218</w:t>
            </w:r>
          </w:p>
        </w:tc>
        <w:tc>
          <w:tcPr>
            <w:tcW w:w="1205" w:type="dxa"/>
            <w:vAlign w:val="center"/>
          </w:tcPr>
          <w:p w:rsidR="002D1E45" w:rsidRPr="00D8521F" w:rsidRDefault="002D1E45" w:rsidP="005F78C9">
            <w:pPr>
              <w:spacing w:after="0" w:line="240" w:lineRule="auto"/>
              <w:jc w:val="right"/>
              <w:rPr>
                <w:rFonts w:ascii="Times New Roman" w:hAnsi="Times New Roman"/>
                <w:color w:val="000000"/>
                <w:sz w:val="24"/>
                <w:szCs w:val="24"/>
                <w:lang w:eastAsia="ru-RU"/>
              </w:rPr>
            </w:pPr>
            <w:r w:rsidRPr="00D8521F">
              <w:rPr>
                <w:rFonts w:ascii="Times New Roman" w:hAnsi="Times New Roman"/>
                <w:color w:val="000000"/>
                <w:sz w:val="24"/>
                <w:szCs w:val="24"/>
                <w:lang w:eastAsia="ru-RU"/>
              </w:rPr>
              <w:t>1227</w:t>
            </w:r>
          </w:p>
        </w:tc>
        <w:tc>
          <w:tcPr>
            <w:tcW w:w="1205" w:type="dxa"/>
            <w:vAlign w:val="center"/>
          </w:tcPr>
          <w:p w:rsidR="002D1E45" w:rsidRPr="00D8521F" w:rsidRDefault="002D1E45" w:rsidP="005F78C9">
            <w:pPr>
              <w:spacing w:after="0" w:line="240" w:lineRule="auto"/>
              <w:jc w:val="right"/>
              <w:rPr>
                <w:rFonts w:ascii="Times New Roman" w:hAnsi="Times New Roman"/>
                <w:color w:val="000000"/>
                <w:sz w:val="24"/>
                <w:szCs w:val="24"/>
                <w:lang w:eastAsia="ru-RU"/>
              </w:rPr>
            </w:pPr>
            <w:r w:rsidRPr="00D8521F">
              <w:rPr>
                <w:rFonts w:ascii="Times New Roman" w:hAnsi="Times New Roman"/>
                <w:color w:val="000000"/>
                <w:sz w:val="24"/>
                <w:szCs w:val="24"/>
                <w:lang w:eastAsia="ru-RU"/>
              </w:rPr>
              <w:t>1206</w:t>
            </w:r>
          </w:p>
        </w:tc>
        <w:tc>
          <w:tcPr>
            <w:tcW w:w="1713" w:type="dxa"/>
            <w:noWrap/>
            <w:vAlign w:val="center"/>
          </w:tcPr>
          <w:p w:rsidR="002D1E45" w:rsidRPr="00D8521F" w:rsidRDefault="002D1E45" w:rsidP="005F78C9">
            <w:pPr>
              <w:spacing w:after="0" w:line="240" w:lineRule="auto"/>
              <w:jc w:val="right"/>
              <w:rPr>
                <w:rFonts w:ascii="Times New Roman" w:hAnsi="Times New Roman"/>
                <w:color w:val="000000"/>
                <w:sz w:val="24"/>
                <w:szCs w:val="24"/>
                <w:lang w:eastAsia="ru-RU"/>
              </w:rPr>
            </w:pPr>
            <w:r w:rsidRPr="005F78C9">
              <w:rPr>
                <w:rFonts w:ascii="Times New Roman" w:hAnsi="Times New Roman"/>
                <w:color w:val="000000"/>
                <w:sz w:val="24"/>
                <w:szCs w:val="24"/>
                <w:lang w:eastAsia="ru-RU"/>
              </w:rPr>
              <w:t>13,6%</w:t>
            </w:r>
          </w:p>
        </w:tc>
      </w:tr>
      <w:tr w:rsidR="002D1E45" w:rsidRPr="00D8521F" w:rsidTr="005F78C9">
        <w:trPr>
          <w:trHeight w:val="57"/>
        </w:trPr>
        <w:tc>
          <w:tcPr>
            <w:tcW w:w="3663" w:type="dxa"/>
            <w:vAlign w:val="center"/>
          </w:tcPr>
          <w:p w:rsidR="002D1E45" w:rsidRPr="00D8521F" w:rsidRDefault="002D1E45" w:rsidP="005F78C9">
            <w:pPr>
              <w:spacing w:after="0" w:line="240" w:lineRule="auto"/>
              <w:jc w:val="both"/>
              <w:rPr>
                <w:rFonts w:ascii="Times New Roman" w:hAnsi="Times New Roman"/>
                <w:color w:val="000000"/>
                <w:sz w:val="24"/>
                <w:szCs w:val="24"/>
                <w:lang w:eastAsia="ru-RU"/>
              </w:rPr>
            </w:pPr>
            <w:r w:rsidRPr="00D8521F">
              <w:rPr>
                <w:rFonts w:ascii="Times New Roman" w:hAnsi="Times New Roman"/>
                <w:color w:val="000000"/>
                <w:sz w:val="24"/>
                <w:szCs w:val="24"/>
                <w:lang w:eastAsia="ru-RU"/>
              </w:rPr>
              <w:t>транспорт и связь</w:t>
            </w:r>
          </w:p>
        </w:tc>
        <w:tc>
          <w:tcPr>
            <w:tcW w:w="1204" w:type="dxa"/>
            <w:vAlign w:val="center"/>
          </w:tcPr>
          <w:p w:rsidR="002D1E45" w:rsidRPr="00D8521F" w:rsidRDefault="002D1E45" w:rsidP="005F78C9">
            <w:pPr>
              <w:spacing w:after="0" w:line="240" w:lineRule="auto"/>
              <w:jc w:val="right"/>
              <w:rPr>
                <w:rFonts w:ascii="Times New Roman" w:hAnsi="Times New Roman"/>
                <w:color w:val="000000"/>
                <w:sz w:val="24"/>
                <w:szCs w:val="24"/>
                <w:lang w:eastAsia="ru-RU"/>
              </w:rPr>
            </w:pPr>
            <w:r w:rsidRPr="00D8521F">
              <w:rPr>
                <w:rFonts w:ascii="Times New Roman" w:hAnsi="Times New Roman"/>
                <w:color w:val="000000"/>
                <w:sz w:val="24"/>
                <w:szCs w:val="24"/>
                <w:lang w:eastAsia="ru-RU"/>
              </w:rPr>
              <w:t>1420</w:t>
            </w:r>
          </w:p>
        </w:tc>
        <w:tc>
          <w:tcPr>
            <w:tcW w:w="1205" w:type="dxa"/>
            <w:vAlign w:val="center"/>
          </w:tcPr>
          <w:p w:rsidR="002D1E45" w:rsidRPr="00D8521F" w:rsidRDefault="002D1E45" w:rsidP="005F78C9">
            <w:pPr>
              <w:spacing w:after="0" w:line="240" w:lineRule="auto"/>
              <w:jc w:val="right"/>
              <w:rPr>
                <w:rFonts w:ascii="Times New Roman" w:hAnsi="Times New Roman"/>
                <w:color w:val="000000"/>
                <w:sz w:val="24"/>
                <w:szCs w:val="24"/>
                <w:lang w:eastAsia="ru-RU"/>
              </w:rPr>
            </w:pPr>
            <w:r w:rsidRPr="00D8521F">
              <w:rPr>
                <w:rFonts w:ascii="Times New Roman" w:hAnsi="Times New Roman"/>
                <w:color w:val="000000"/>
                <w:sz w:val="24"/>
                <w:szCs w:val="24"/>
                <w:lang w:eastAsia="ru-RU"/>
              </w:rPr>
              <w:t>1711</w:t>
            </w:r>
          </w:p>
        </w:tc>
        <w:tc>
          <w:tcPr>
            <w:tcW w:w="1205" w:type="dxa"/>
            <w:vAlign w:val="center"/>
          </w:tcPr>
          <w:p w:rsidR="002D1E45" w:rsidRPr="00D8521F" w:rsidRDefault="002D1E45" w:rsidP="005F78C9">
            <w:pPr>
              <w:spacing w:after="0" w:line="240" w:lineRule="auto"/>
              <w:jc w:val="right"/>
              <w:rPr>
                <w:rFonts w:ascii="Times New Roman" w:hAnsi="Times New Roman"/>
                <w:color w:val="000000"/>
                <w:sz w:val="24"/>
                <w:szCs w:val="24"/>
                <w:lang w:eastAsia="ru-RU"/>
              </w:rPr>
            </w:pPr>
            <w:r w:rsidRPr="00D8521F">
              <w:rPr>
                <w:rFonts w:ascii="Times New Roman" w:hAnsi="Times New Roman"/>
                <w:color w:val="000000"/>
                <w:sz w:val="24"/>
                <w:szCs w:val="24"/>
                <w:lang w:eastAsia="ru-RU"/>
              </w:rPr>
              <w:t>1558</w:t>
            </w:r>
          </w:p>
        </w:tc>
        <w:tc>
          <w:tcPr>
            <w:tcW w:w="1205" w:type="dxa"/>
            <w:vAlign w:val="center"/>
          </w:tcPr>
          <w:p w:rsidR="002D1E45" w:rsidRPr="00D8521F" w:rsidRDefault="002D1E45" w:rsidP="005F78C9">
            <w:pPr>
              <w:spacing w:after="0" w:line="240" w:lineRule="auto"/>
              <w:jc w:val="right"/>
              <w:rPr>
                <w:rFonts w:ascii="Times New Roman" w:hAnsi="Times New Roman"/>
                <w:color w:val="000000"/>
                <w:sz w:val="24"/>
                <w:szCs w:val="24"/>
                <w:lang w:eastAsia="ru-RU"/>
              </w:rPr>
            </w:pPr>
            <w:r w:rsidRPr="00D8521F">
              <w:rPr>
                <w:rFonts w:ascii="Times New Roman" w:hAnsi="Times New Roman"/>
                <w:color w:val="000000"/>
                <w:sz w:val="24"/>
                <w:szCs w:val="24"/>
                <w:lang w:eastAsia="ru-RU"/>
              </w:rPr>
              <w:t>1571</w:t>
            </w:r>
          </w:p>
        </w:tc>
        <w:tc>
          <w:tcPr>
            <w:tcW w:w="1713" w:type="dxa"/>
            <w:noWrap/>
            <w:vAlign w:val="center"/>
          </w:tcPr>
          <w:p w:rsidR="002D1E45" w:rsidRPr="00D8521F" w:rsidRDefault="002D1E45" w:rsidP="005F78C9">
            <w:pPr>
              <w:spacing w:after="0" w:line="240" w:lineRule="auto"/>
              <w:jc w:val="right"/>
              <w:rPr>
                <w:rFonts w:ascii="Times New Roman" w:hAnsi="Times New Roman"/>
                <w:color w:val="000000"/>
                <w:sz w:val="24"/>
                <w:szCs w:val="24"/>
                <w:lang w:eastAsia="ru-RU"/>
              </w:rPr>
            </w:pPr>
            <w:r w:rsidRPr="005F78C9">
              <w:rPr>
                <w:rFonts w:ascii="Times New Roman" w:hAnsi="Times New Roman"/>
                <w:color w:val="000000"/>
                <w:sz w:val="24"/>
                <w:szCs w:val="24"/>
                <w:lang w:eastAsia="ru-RU"/>
              </w:rPr>
              <w:t>10,6%</w:t>
            </w:r>
          </w:p>
        </w:tc>
      </w:tr>
      <w:tr w:rsidR="002D1E45" w:rsidRPr="00D8521F" w:rsidTr="005F78C9">
        <w:trPr>
          <w:trHeight w:val="57"/>
        </w:trPr>
        <w:tc>
          <w:tcPr>
            <w:tcW w:w="3663" w:type="dxa"/>
            <w:vAlign w:val="center"/>
          </w:tcPr>
          <w:p w:rsidR="002D1E45" w:rsidRPr="00D8521F" w:rsidRDefault="002D1E45" w:rsidP="005F78C9">
            <w:pPr>
              <w:spacing w:after="0" w:line="240" w:lineRule="auto"/>
              <w:jc w:val="both"/>
              <w:rPr>
                <w:rFonts w:ascii="Times New Roman" w:hAnsi="Times New Roman"/>
                <w:color w:val="000000"/>
                <w:sz w:val="24"/>
                <w:szCs w:val="24"/>
                <w:lang w:eastAsia="ru-RU"/>
              </w:rPr>
            </w:pPr>
            <w:r w:rsidRPr="00D8521F">
              <w:rPr>
                <w:rFonts w:ascii="Times New Roman" w:hAnsi="Times New Roman"/>
                <w:color w:val="000000"/>
                <w:sz w:val="24"/>
                <w:szCs w:val="24"/>
                <w:lang w:eastAsia="ru-RU"/>
              </w:rPr>
              <w:t>здравоохранение</w:t>
            </w:r>
          </w:p>
        </w:tc>
        <w:tc>
          <w:tcPr>
            <w:tcW w:w="1204" w:type="dxa"/>
            <w:vAlign w:val="center"/>
          </w:tcPr>
          <w:p w:rsidR="002D1E45" w:rsidRPr="00D8521F" w:rsidRDefault="002D1E45" w:rsidP="005F78C9">
            <w:pPr>
              <w:spacing w:after="0" w:line="240" w:lineRule="auto"/>
              <w:jc w:val="right"/>
              <w:rPr>
                <w:rFonts w:ascii="Times New Roman" w:hAnsi="Times New Roman"/>
                <w:color w:val="000000"/>
                <w:sz w:val="24"/>
                <w:szCs w:val="24"/>
                <w:lang w:eastAsia="ru-RU"/>
              </w:rPr>
            </w:pPr>
            <w:r w:rsidRPr="00D8521F">
              <w:rPr>
                <w:rFonts w:ascii="Times New Roman" w:hAnsi="Times New Roman"/>
                <w:color w:val="000000"/>
                <w:sz w:val="24"/>
                <w:szCs w:val="24"/>
                <w:lang w:eastAsia="ru-RU"/>
              </w:rPr>
              <w:t>1753</w:t>
            </w:r>
          </w:p>
        </w:tc>
        <w:tc>
          <w:tcPr>
            <w:tcW w:w="1205" w:type="dxa"/>
            <w:vAlign w:val="center"/>
          </w:tcPr>
          <w:p w:rsidR="002D1E45" w:rsidRPr="00D8521F" w:rsidRDefault="002D1E45" w:rsidP="005F78C9">
            <w:pPr>
              <w:spacing w:after="0" w:line="240" w:lineRule="auto"/>
              <w:jc w:val="right"/>
              <w:rPr>
                <w:rFonts w:ascii="Times New Roman" w:hAnsi="Times New Roman"/>
                <w:color w:val="000000"/>
                <w:sz w:val="24"/>
                <w:szCs w:val="24"/>
                <w:lang w:eastAsia="ru-RU"/>
              </w:rPr>
            </w:pPr>
            <w:r w:rsidRPr="00D8521F">
              <w:rPr>
                <w:rFonts w:ascii="Times New Roman" w:hAnsi="Times New Roman"/>
                <w:color w:val="000000"/>
                <w:sz w:val="24"/>
                <w:szCs w:val="24"/>
                <w:lang w:eastAsia="ru-RU"/>
              </w:rPr>
              <w:t>1446</w:t>
            </w:r>
          </w:p>
        </w:tc>
        <w:tc>
          <w:tcPr>
            <w:tcW w:w="1205" w:type="dxa"/>
            <w:vAlign w:val="center"/>
          </w:tcPr>
          <w:p w:rsidR="002D1E45" w:rsidRPr="00D8521F" w:rsidRDefault="002D1E45" w:rsidP="005F78C9">
            <w:pPr>
              <w:spacing w:after="0" w:line="240" w:lineRule="auto"/>
              <w:jc w:val="right"/>
              <w:rPr>
                <w:rFonts w:ascii="Times New Roman" w:hAnsi="Times New Roman"/>
                <w:color w:val="000000"/>
                <w:sz w:val="24"/>
                <w:szCs w:val="24"/>
                <w:lang w:eastAsia="ru-RU"/>
              </w:rPr>
            </w:pPr>
            <w:r w:rsidRPr="00D8521F">
              <w:rPr>
                <w:rFonts w:ascii="Times New Roman" w:hAnsi="Times New Roman"/>
                <w:color w:val="000000"/>
                <w:sz w:val="24"/>
                <w:szCs w:val="24"/>
                <w:lang w:eastAsia="ru-RU"/>
              </w:rPr>
              <w:t>1489</w:t>
            </w:r>
          </w:p>
        </w:tc>
        <w:tc>
          <w:tcPr>
            <w:tcW w:w="1205" w:type="dxa"/>
            <w:vAlign w:val="center"/>
          </w:tcPr>
          <w:p w:rsidR="002D1E45" w:rsidRPr="00D8521F" w:rsidRDefault="002D1E45" w:rsidP="005F78C9">
            <w:pPr>
              <w:spacing w:after="0" w:line="240" w:lineRule="auto"/>
              <w:jc w:val="right"/>
              <w:rPr>
                <w:rFonts w:ascii="Times New Roman" w:hAnsi="Times New Roman"/>
                <w:color w:val="000000"/>
                <w:sz w:val="24"/>
                <w:szCs w:val="24"/>
                <w:lang w:eastAsia="ru-RU"/>
              </w:rPr>
            </w:pPr>
            <w:r w:rsidRPr="00D8521F">
              <w:rPr>
                <w:rFonts w:ascii="Times New Roman" w:hAnsi="Times New Roman"/>
                <w:color w:val="000000"/>
                <w:sz w:val="24"/>
                <w:szCs w:val="24"/>
                <w:lang w:eastAsia="ru-RU"/>
              </w:rPr>
              <w:t>1487</w:t>
            </w:r>
          </w:p>
        </w:tc>
        <w:tc>
          <w:tcPr>
            <w:tcW w:w="1713" w:type="dxa"/>
            <w:noWrap/>
            <w:vAlign w:val="center"/>
          </w:tcPr>
          <w:p w:rsidR="002D1E45" w:rsidRPr="00D8521F" w:rsidRDefault="002D1E45" w:rsidP="005F78C9">
            <w:pPr>
              <w:spacing w:after="0" w:line="240" w:lineRule="auto"/>
              <w:jc w:val="right"/>
              <w:rPr>
                <w:rFonts w:ascii="Times New Roman" w:hAnsi="Times New Roman"/>
                <w:color w:val="000000"/>
                <w:sz w:val="24"/>
                <w:szCs w:val="24"/>
                <w:lang w:eastAsia="ru-RU"/>
              </w:rPr>
            </w:pPr>
            <w:r w:rsidRPr="005F78C9">
              <w:rPr>
                <w:rFonts w:ascii="Times New Roman" w:hAnsi="Times New Roman"/>
                <w:color w:val="000000"/>
                <w:sz w:val="24"/>
                <w:szCs w:val="24"/>
                <w:lang w:eastAsia="ru-RU"/>
              </w:rPr>
              <w:t>-15,2%</w:t>
            </w:r>
          </w:p>
        </w:tc>
      </w:tr>
      <w:tr w:rsidR="002D1E45" w:rsidRPr="00D8521F" w:rsidTr="005F78C9">
        <w:trPr>
          <w:trHeight w:val="57"/>
        </w:trPr>
        <w:tc>
          <w:tcPr>
            <w:tcW w:w="3663" w:type="dxa"/>
            <w:vAlign w:val="center"/>
          </w:tcPr>
          <w:p w:rsidR="002D1E45" w:rsidRPr="00D8521F" w:rsidRDefault="002D1E45" w:rsidP="005F78C9">
            <w:pPr>
              <w:spacing w:after="0" w:line="240" w:lineRule="auto"/>
              <w:jc w:val="both"/>
              <w:rPr>
                <w:rFonts w:ascii="Times New Roman" w:hAnsi="Times New Roman"/>
                <w:color w:val="000000"/>
                <w:sz w:val="24"/>
                <w:szCs w:val="24"/>
                <w:lang w:eastAsia="ru-RU"/>
              </w:rPr>
            </w:pPr>
            <w:r w:rsidRPr="00D8521F">
              <w:rPr>
                <w:rFonts w:ascii="Times New Roman" w:hAnsi="Times New Roman"/>
                <w:color w:val="000000"/>
                <w:sz w:val="24"/>
                <w:szCs w:val="24"/>
                <w:lang w:eastAsia="ru-RU"/>
              </w:rPr>
              <w:t>образование</w:t>
            </w:r>
          </w:p>
        </w:tc>
        <w:tc>
          <w:tcPr>
            <w:tcW w:w="1204" w:type="dxa"/>
            <w:vAlign w:val="center"/>
          </w:tcPr>
          <w:p w:rsidR="002D1E45" w:rsidRPr="00D8521F" w:rsidRDefault="002D1E45" w:rsidP="005F78C9">
            <w:pPr>
              <w:spacing w:after="0" w:line="240" w:lineRule="auto"/>
              <w:jc w:val="right"/>
              <w:rPr>
                <w:rFonts w:ascii="Times New Roman" w:hAnsi="Times New Roman"/>
                <w:color w:val="000000"/>
                <w:sz w:val="24"/>
                <w:szCs w:val="24"/>
                <w:lang w:eastAsia="ru-RU"/>
              </w:rPr>
            </w:pPr>
            <w:r w:rsidRPr="00D8521F">
              <w:rPr>
                <w:rFonts w:ascii="Times New Roman" w:hAnsi="Times New Roman"/>
                <w:color w:val="000000"/>
                <w:sz w:val="24"/>
                <w:szCs w:val="24"/>
                <w:lang w:eastAsia="ru-RU"/>
              </w:rPr>
              <w:t>2183</w:t>
            </w:r>
          </w:p>
        </w:tc>
        <w:tc>
          <w:tcPr>
            <w:tcW w:w="1205" w:type="dxa"/>
            <w:vAlign w:val="center"/>
          </w:tcPr>
          <w:p w:rsidR="002D1E45" w:rsidRPr="00D8521F" w:rsidRDefault="002D1E45" w:rsidP="005F78C9">
            <w:pPr>
              <w:spacing w:after="0" w:line="240" w:lineRule="auto"/>
              <w:jc w:val="right"/>
              <w:rPr>
                <w:rFonts w:ascii="Times New Roman" w:hAnsi="Times New Roman"/>
                <w:color w:val="000000"/>
                <w:sz w:val="24"/>
                <w:szCs w:val="24"/>
                <w:lang w:eastAsia="ru-RU"/>
              </w:rPr>
            </w:pPr>
            <w:r w:rsidRPr="00D8521F">
              <w:rPr>
                <w:rFonts w:ascii="Times New Roman" w:hAnsi="Times New Roman"/>
                <w:color w:val="000000"/>
                <w:sz w:val="24"/>
                <w:szCs w:val="24"/>
                <w:lang w:eastAsia="ru-RU"/>
              </w:rPr>
              <w:t>2081</w:t>
            </w:r>
          </w:p>
        </w:tc>
        <w:tc>
          <w:tcPr>
            <w:tcW w:w="1205" w:type="dxa"/>
            <w:vAlign w:val="center"/>
          </w:tcPr>
          <w:p w:rsidR="002D1E45" w:rsidRPr="00D8521F" w:rsidRDefault="002D1E45" w:rsidP="005F78C9">
            <w:pPr>
              <w:spacing w:after="0" w:line="240" w:lineRule="auto"/>
              <w:jc w:val="right"/>
              <w:rPr>
                <w:rFonts w:ascii="Times New Roman" w:hAnsi="Times New Roman"/>
                <w:color w:val="000000"/>
                <w:sz w:val="24"/>
                <w:szCs w:val="24"/>
                <w:lang w:eastAsia="ru-RU"/>
              </w:rPr>
            </w:pPr>
            <w:r w:rsidRPr="00D8521F">
              <w:rPr>
                <w:rFonts w:ascii="Times New Roman" w:hAnsi="Times New Roman"/>
                <w:color w:val="000000"/>
                <w:sz w:val="24"/>
                <w:szCs w:val="24"/>
                <w:lang w:eastAsia="ru-RU"/>
              </w:rPr>
              <w:t>2067</w:t>
            </w:r>
          </w:p>
        </w:tc>
        <w:tc>
          <w:tcPr>
            <w:tcW w:w="1205" w:type="dxa"/>
            <w:vAlign w:val="center"/>
          </w:tcPr>
          <w:p w:rsidR="002D1E45" w:rsidRPr="00D8521F" w:rsidRDefault="002D1E45" w:rsidP="005F78C9">
            <w:pPr>
              <w:spacing w:after="0" w:line="240" w:lineRule="auto"/>
              <w:jc w:val="right"/>
              <w:rPr>
                <w:rFonts w:ascii="Times New Roman" w:hAnsi="Times New Roman"/>
                <w:color w:val="000000"/>
                <w:sz w:val="24"/>
                <w:szCs w:val="24"/>
                <w:lang w:eastAsia="ru-RU"/>
              </w:rPr>
            </w:pPr>
            <w:r w:rsidRPr="00D8521F">
              <w:rPr>
                <w:rFonts w:ascii="Times New Roman" w:hAnsi="Times New Roman"/>
                <w:color w:val="000000"/>
                <w:sz w:val="24"/>
                <w:szCs w:val="24"/>
                <w:lang w:eastAsia="ru-RU"/>
              </w:rPr>
              <w:t>2470</w:t>
            </w:r>
          </w:p>
        </w:tc>
        <w:tc>
          <w:tcPr>
            <w:tcW w:w="1713" w:type="dxa"/>
            <w:noWrap/>
            <w:vAlign w:val="center"/>
          </w:tcPr>
          <w:p w:rsidR="002D1E45" w:rsidRPr="00D8521F" w:rsidRDefault="002D1E45" w:rsidP="005F78C9">
            <w:pPr>
              <w:spacing w:after="0" w:line="240" w:lineRule="auto"/>
              <w:jc w:val="right"/>
              <w:rPr>
                <w:rFonts w:ascii="Times New Roman" w:hAnsi="Times New Roman"/>
                <w:color w:val="000000"/>
                <w:sz w:val="24"/>
                <w:szCs w:val="24"/>
                <w:lang w:eastAsia="ru-RU"/>
              </w:rPr>
            </w:pPr>
            <w:r w:rsidRPr="005F78C9">
              <w:rPr>
                <w:rFonts w:ascii="Times New Roman" w:hAnsi="Times New Roman"/>
                <w:color w:val="000000"/>
                <w:sz w:val="24"/>
                <w:szCs w:val="24"/>
                <w:lang w:eastAsia="ru-RU"/>
              </w:rPr>
              <w:t>13,1%</w:t>
            </w:r>
          </w:p>
        </w:tc>
      </w:tr>
      <w:tr w:rsidR="002D1E45" w:rsidRPr="00D8521F" w:rsidTr="005F78C9">
        <w:trPr>
          <w:trHeight w:val="57"/>
        </w:trPr>
        <w:tc>
          <w:tcPr>
            <w:tcW w:w="3663" w:type="dxa"/>
            <w:vAlign w:val="center"/>
          </w:tcPr>
          <w:p w:rsidR="002D1E45" w:rsidRPr="00D8521F" w:rsidRDefault="002D1E45" w:rsidP="005F78C9">
            <w:pPr>
              <w:spacing w:after="0" w:line="240" w:lineRule="auto"/>
              <w:jc w:val="both"/>
              <w:rPr>
                <w:rFonts w:ascii="Times New Roman" w:hAnsi="Times New Roman"/>
                <w:color w:val="000000"/>
                <w:sz w:val="24"/>
                <w:szCs w:val="24"/>
                <w:lang w:eastAsia="ru-RU"/>
              </w:rPr>
            </w:pPr>
            <w:r w:rsidRPr="00D8521F">
              <w:rPr>
                <w:rFonts w:ascii="Times New Roman" w:hAnsi="Times New Roman"/>
                <w:color w:val="000000"/>
                <w:sz w:val="24"/>
                <w:szCs w:val="24"/>
                <w:lang w:eastAsia="ru-RU"/>
              </w:rPr>
              <w:t>государственное управление</w:t>
            </w:r>
          </w:p>
        </w:tc>
        <w:tc>
          <w:tcPr>
            <w:tcW w:w="1204" w:type="dxa"/>
            <w:vAlign w:val="center"/>
          </w:tcPr>
          <w:p w:rsidR="002D1E45" w:rsidRPr="00D8521F" w:rsidRDefault="002D1E45" w:rsidP="005F78C9">
            <w:pPr>
              <w:spacing w:after="0" w:line="240" w:lineRule="auto"/>
              <w:jc w:val="right"/>
              <w:rPr>
                <w:rFonts w:ascii="Times New Roman" w:hAnsi="Times New Roman"/>
                <w:color w:val="000000"/>
                <w:sz w:val="24"/>
                <w:szCs w:val="24"/>
                <w:lang w:eastAsia="ru-RU"/>
              </w:rPr>
            </w:pPr>
            <w:r w:rsidRPr="00D8521F">
              <w:rPr>
                <w:rFonts w:ascii="Times New Roman" w:hAnsi="Times New Roman"/>
                <w:color w:val="000000"/>
                <w:sz w:val="24"/>
                <w:szCs w:val="24"/>
                <w:lang w:eastAsia="ru-RU"/>
              </w:rPr>
              <w:t>1703</w:t>
            </w:r>
          </w:p>
        </w:tc>
        <w:tc>
          <w:tcPr>
            <w:tcW w:w="1205" w:type="dxa"/>
            <w:vAlign w:val="center"/>
          </w:tcPr>
          <w:p w:rsidR="002D1E45" w:rsidRPr="00D8521F" w:rsidRDefault="002D1E45" w:rsidP="005F78C9">
            <w:pPr>
              <w:spacing w:after="0" w:line="240" w:lineRule="auto"/>
              <w:jc w:val="right"/>
              <w:rPr>
                <w:rFonts w:ascii="Times New Roman" w:hAnsi="Times New Roman"/>
                <w:color w:val="000000"/>
                <w:sz w:val="24"/>
                <w:szCs w:val="24"/>
                <w:lang w:eastAsia="ru-RU"/>
              </w:rPr>
            </w:pPr>
            <w:r w:rsidRPr="00D8521F">
              <w:rPr>
                <w:rFonts w:ascii="Times New Roman" w:hAnsi="Times New Roman"/>
                <w:color w:val="000000"/>
                <w:sz w:val="24"/>
                <w:szCs w:val="24"/>
                <w:lang w:eastAsia="ru-RU"/>
              </w:rPr>
              <w:t>1442</w:t>
            </w:r>
          </w:p>
        </w:tc>
        <w:tc>
          <w:tcPr>
            <w:tcW w:w="1205" w:type="dxa"/>
            <w:vAlign w:val="center"/>
          </w:tcPr>
          <w:p w:rsidR="002D1E45" w:rsidRPr="00D8521F" w:rsidRDefault="002D1E45" w:rsidP="005F78C9">
            <w:pPr>
              <w:spacing w:after="0" w:line="240" w:lineRule="auto"/>
              <w:jc w:val="right"/>
              <w:rPr>
                <w:rFonts w:ascii="Times New Roman" w:hAnsi="Times New Roman"/>
                <w:color w:val="000000"/>
                <w:sz w:val="24"/>
                <w:szCs w:val="24"/>
                <w:lang w:eastAsia="ru-RU"/>
              </w:rPr>
            </w:pPr>
            <w:r w:rsidRPr="00D8521F">
              <w:rPr>
                <w:rFonts w:ascii="Times New Roman" w:hAnsi="Times New Roman"/>
                <w:color w:val="000000"/>
                <w:sz w:val="24"/>
                <w:szCs w:val="24"/>
                <w:lang w:eastAsia="ru-RU"/>
              </w:rPr>
              <w:t>1346</w:t>
            </w:r>
          </w:p>
        </w:tc>
        <w:tc>
          <w:tcPr>
            <w:tcW w:w="1205" w:type="dxa"/>
            <w:vAlign w:val="center"/>
          </w:tcPr>
          <w:p w:rsidR="002D1E45" w:rsidRPr="00D8521F" w:rsidRDefault="002D1E45" w:rsidP="005F78C9">
            <w:pPr>
              <w:spacing w:after="0" w:line="240" w:lineRule="auto"/>
              <w:jc w:val="right"/>
              <w:rPr>
                <w:rFonts w:ascii="Times New Roman" w:hAnsi="Times New Roman"/>
                <w:color w:val="000000"/>
                <w:sz w:val="24"/>
                <w:szCs w:val="24"/>
                <w:lang w:eastAsia="ru-RU"/>
              </w:rPr>
            </w:pPr>
            <w:r w:rsidRPr="00D8521F">
              <w:rPr>
                <w:rFonts w:ascii="Times New Roman" w:hAnsi="Times New Roman"/>
                <w:color w:val="000000"/>
                <w:sz w:val="24"/>
                <w:szCs w:val="24"/>
                <w:lang w:eastAsia="ru-RU"/>
              </w:rPr>
              <w:t>1319</w:t>
            </w:r>
          </w:p>
        </w:tc>
        <w:tc>
          <w:tcPr>
            <w:tcW w:w="1713" w:type="dxa"/>
            <w:noWrap/>
            <w:vAlign w:val="center"/>
          </w:tcPr>
          <w:p w:rsidR="002D1E45" w:rsidRPr="00D8521F" w:rsidRDefault="002D1E45" w:rsidP="005F78C9">
            <w:pPr>
              <w:spacing w:after="0" w:line="240" w:lineRule="auto"/>
              <w:jc w:val="right"/>
              <w:rPr>
                <w:rFonts w:ascii="Times New Roman" w:hAnsi="Times New Roman"/>
                <w:color w:val="000000"/>
                <w:sz w:val="24"/>
                <w:szCs w:val="24"/>
                <w:lang w:eastAsia="ru-RU"/>
              </w:rPr>
            </w:pPr>
            <w:r w:rsidRPr="005F78C9">
              <w:rPr>
                <w:rFonts w:ascii="Times New Roman" w:hAnsi="Times New Roman"/>
                <w:color w:val="000000"/>
                <w:sz w:val="24"/>
                <w:szCs w:val="24"/>
                <w:lang w:eastAsia="ru-RU"/>
              </w:rPr>
              <w:t>-22,5%</w:t>
            </w:r>
          </w:p>
        </w:tc>
      </w:tr>
      <w:tr w:rsidR="002D1E45" w:rsidRPr="00D8521F" w:rsidTr="005F78C9">
        <w:trPr>
          <w:trHeight w:val="57"/>
        </w:trPr>
        <w:tc>
          <w:tcPr>
            <w:tcW w:w="3663" w:type="dxa"/>
            <w:vAlign w:val="center"/>
          </w:tcPr>
          <w:p w:rsidR="002D1E45" w:rsidRPr="00D8521F" w:rsidRDefault="002D1E45" w:rsidP="005F78C9">
            <w:pPr>
              <w:spacing w:after="0" w:line="240" w:lineRule="auto"/>
              <w:jc w:val="both"/>
              <w:rPr>
                <w:rFonts w:ascii="Times New Roman" w:hAnsi="Times New Roman"/>
                <w:color w:val="000000"/>
                <w:sz w:val="24"/>
                <w:szCs w:val="24"/>
                <w:lang w:eastAsia="ru-RU"/>
              </w:rPr>
            </w:pPr>
            <w:r w:rsidRPr="00D8521F">
              <w:rPr>
                <w:rFonts w:ascii="Times New Roman" w:hAnsi="Times New Roman"/>
                <w:color w:val="000000"/>
                <w:sz w:val="24"/>
                <w:szCs w:val="24"/>
                <w:lang w:eastAsia="ru-RU"/>
              </w:rPr>
              <w:t>ЖКХ</w:t>
            </w:r>
          </w:p>
        </w:tc>
        <w:tc>
          <w:tcPr>
            <w:tcW w:w="1204" w:type="dxa"/>
            <w:vAlign w:val="center"/>
          </w:tcPr>
          <w:p w:rsidR="002D1E45" w:rsidRPr="00D8521F" w:rsidRDefault="002D1E45" w:rsidP="005F78C9">
            <w:pPr>
              <w:spacing w:after="0" w:line="240" w:lineRule="auto"/>
              <w:jc w:val="right"/>
              <w:rPr>
                <w:rFonts w:ascii="Times New Roman" w:hAnsi="Times New Roman"/>
                <w:color w:val="000000"/>
                <w:sz w:val="24"/>
                <w:szCs w:val="24"/>
                <w:lang w:eastAsia="ru-RU"/>
              </w:rPr>
            </w:pPr>
            <w:r w:rsidRPr="00D8521F">
              <w:rPr>
                <w:rFonts w:ascii="Times New Roman" w:hAnsi="Times New Roman"/>
                <w:color w:val="000000"/>
                <w:sz w:val="24"/>
                <w:szCs w:val="24"/>
                <w:lang w:eastAsia="ru-RU"/>
              </w:rPr>
              <w:t>828</w:t>
            </w:r>
          </w:p>
        </w:tc>
        <w:tc>
          <w:tcPr>
            <w:tcW w:w="1205" w:type="dxa"/>
            <w:vAlign w:val="center"/>
          </w:tcPr>
          <w:p w:rsidR="002D1E45" w:rsidRPr="00D8521F" w:rsidRDefault="002D1E45" w:rsidP="005F78C9">
            <w:pPr>
              <w:spacing w:after="0" w:line="240" w:lineRule="auto"/>
              <w:jc w:val="right"/>
              <w:rPr>
                <w:rFonts w:ascii="Times New Roman" w:hAnsi="Times New Roman"/>
                <w:color w:val="000000"/>
                <w:sz w:val="24"/>
                <w:szCs w:val="24"/>
                <w:lang w:eastAsia="ru-RU"/>
              </w:rPr>
            </w:pPr>
            <w:r w:rsidRPr="00D8521F">
              <w:rPr>
                <w:rFonts w:ascii="Times New Roman" w:hAnsi="Times New Roman"/>
                <w:color w:val="000000"/>
                <w:sz w:val="24"/>
                <w:szCs w:val="24"/>
                <w:lang w:eastAsia="ru-RU"/>
              </w:rPr>
              <w:t>1685</w:t>
            </w:r>
          </w:p>
        </w:tc>
        <w:tc>
          <w:tcPr>
            <w:tcW w:w="1205" w:type="dxa"/>
            <w:vAlign w:val="center"/>
          </w:tcPr>
          <w:p w:rsidR="002D1E45" w:rsidRPr="00D8521F" w:rsidRDefault="002D1E45" w:rsidP="005F78C9">
            <w:pPr>
              <w:spacing w:after="0" w:line="240" w:lineRule="auto"/>
              <w:jc w:val="right"/>
              <w:rPr>
                <w:rFonts w:ascii="Times New Roman" w:hAnsi="Times New Roman"/>
                <w:color w:val="000000"/>
                <w:sz w:val="24"/>
                <w:szCs w:val="24"/>
                <w:lang w:eastAsia="ru-RU"/>
              </w:rPr>
            </w:pPr>
            <w:r w:rsidRPr="00D8521F">
              <w:rPr>
                <w:rFonts w:ascii="Times New Roman" w:hAnsi="Times New Roman"/>
                <w:color w:val="000000"/>
                <w:sz w:val="24"/>
                <w:szCs w:val="24"/>
                <w:lang w:eastAsia="ru-RU"/>
              </w:rPr>
              <w:t>1719</w:t>
            </w:r>
          </w:p>
        </w:tc>
        <w:tc>
          <w:tcPr>
            <w:tcW w:w="1205" w:type="dxa"/>
            <w:vAlign w:val="center"/>
          </w:tcPr>
          <w:p w:rsidR="002D1E45" w:rsidRPr="00D8521F" w:rsidRDefault="002D1E45" w:rsidP="005F78C9">
            <w:pPr>
              <w:spacing w:after="0" w:line="240" w:lineRule="auto"/>
              <w:jc w:val="right"/>
              <w:rPr>
                <w:rFonts w:ascii="Times New Roman" w:hAnsi="Times New Roman"/>
                <w:color w:val="000000"/>
                <w:sz w:val="24"/>
                <w:szCs w:val="24"/>
                <w:lang w:eastAsia="ru-RU"/>
              </w:rPr>
            </w:pPr>
            <w:r w:rsidRPr="00D8521F">
              <w:rPr>
                <w:rFonts w:ascii="Times New Roman" w:hAnsi="Times New Roman"/>
                <w:color w:val="000000"/>
                <w:sz w:val="24"/>
                <w:szCs w:val="24"/>
                <w:lang w:eastAsia="ru-RU"/>
              </w:rPr>
              <w:t>1601</w:t>
            </w:r>
          </w:p>
        </w:tc>
        <w:tc>
          <w:tcPr>
            <w:tcW w:w="1713" w:type="dxa"/>
            <w:noWrap/>
            <w:vAlign w:val="center"/>
          </w:tcPr>
          <w:p w:rsidR="002D1E45" w:rsidRPr="00D8521F" w:rsidRDefault="002D1E45" w:rsidP="005F78C9">
            <w:pPr>
              <w:spacing w:after="0" w:line="240" w:lineRule="auto"/>
              <w:jc w:val="right"/>
              <w:rPr>
                <w:rFonts w:ascii="Times New Roman" w:hAnsi="Times New Roman"/>
                <w:color w:val="000000"/>
                <w:sz w:val="24"/>
                <w:szCs w:val="24"/>
                <w:lang w:eastAsia="ru-RU"/>
              </w:rPr>
            </w:pPr>
            <w:r w:rsidRPr="005F78C9">
              <w:rPr>
                <w:rFonts w:ascii="Times New Roman" w:hAnsi="Times New Roman"/>
                <w:color w:val="000000"/>
                <w:sz w:val="24"/>
                <w:szCs w:val="24"/>
                <w:lang w:eastAsia="ru-RU"/>
              </w:rPr>
              <w:t>93,4%</w:t>
            </w:r>
          </w:p>
        </w:tc>
      </w:tr>
      <w:tr w:rsidR="002D1E45" w:rsidRPr="00D8521F" w:rsidTr="005F78C9">
        <w:trPr>
          <w:trHeight w:val="57"/>
        </w:trPr>
        <w:tc>
          <w:tcPr>
            <w:tcW w:w="3663" w:type="dxa"/>
            <w:vAlign w:val="center"/>
          </w:tcPr>
          <w:p w:rsidR="002D1E45" w:rsidRPr="00D8521F" w:rsidRDefault="002D1E45" w:rsidP="005F78C9">
            <w:pPr>
              <w:spacing w:after="0" w:line="240" w:lineRule="auto"/>
              <w:jc w:val="both"/>
              <w:rPr>
                <w:rFonts w:ascii="Times New Roman" w:hAnsi="Times New Roman"/>
                <w:color w:val="000000"/>
                <w:sz w:val="24"/>
                <w:szCs w:val="24"/>
                <w:lang w:eastAsia="ru-RU"/>
              </w:rPr>
            </w:pPr>
            <w:r w:rsidRPr="00D8521F">
              <w:rPr>
                <w:rFonts w:ascii="Times New Roman" w:hAnsi="Times New Roman"/>
                <w:color w:val="000000"/>
                <w:sz w:val="24"/>
                <w:szCs w:val="24"/>
                <w:lang w:eastAsia="ru-RU"/>
              </w:rPr>
              <w:t>прочее</w:t>
            </w:r>
          </w:p>
        </w:tc>
        <w:tc>
          <w:tcPr>
            <w:tcW w:w="1204" w:type="dxa"/>
            <w:vAlign w:val="center"/>
          </w:tcPr>
          <w:p w:rsidR="002D1E45" w:rsidRPr="00D8521F" w:rsidRDefault="002D1E45" w:rsidP="005F78C9">
            <w:pPr>
              <w:spacing w:after="0" w:line="240" w:lineRule="auto"/>
              <w:jc w:val="right"/>
              <w:rPr>
                <w:rFonts w:ascii="Times New Roman" w:hAnsi="Times New Roman"/>
                <w:color w:val="000000"/>
                <w:sz w:val="24"/>
                <w:szCs w:val="24"/>
                <w:lang w:eastAsia="ru-RU"/>
              </w:rPr>
            </w:pPr>
            <w:r w:rsidRPr="00D8521F">
              <w:rPr>
                <w:rFonts w:ascii="Times New Roman" w:hAnsi="Times New Roman"/>
                <w:color w:val="000000"/>
                <w:sz w:val="24"/>
                <w:szCs w:val="24"/>
                <w:lang w:eastAsia="ru-RU"/>
              </w:rPr>
              <w:t>6778</w:t>
            </w:r>
          </w:p>
        </w:tc>
        <w:tc>
          <w:tcPr>
            <w:tcW w:w="1205" w:type="dxa"/>
            <w:vAlign w:val="center"/>
          </w:tcPr>
          <w:p w:rsidR="002D1E45" w:rsidRPr="00D8521F" w:rsidRDefault="002D1E45" w:rsidP="005F78C9">
            <w:pPr>
              <w:spacing w:after="0" w:line="240" w:lineRule="auto"/>
              <w:jc w:val="right"/>
              <w:rPr>
                <w:rFonts w:ascii="Times New Roman" w:hAnsi="Times New Roman"/>
                <w:color w:val="000000"/>
                <w:sz w:val="24"/>
                <w:szCs w:val="24"/>
                <w:lang w:eastAsia="ru-RU"/>
              </w:rPr>
            </w:pPr>
            <w:r w:rsidRPr="00D8521F">
              <w:rPr>
                <w:rFonts w:ascii="Times New Roman" w:hAnsi="Times New Roman"/>
                <w:color w:val="000000"/>
                <w:sz w:val="24"/>
                <w:szCs w:val="24"/>
                <w:lang w:eastAsia="ru-RU"/>
              </w:rPr>
              <w:t>6594</w:t>
            </w:r>
          </w:p>
        </w:tc>
        <w:tc>
          <w:tcPr>
            <w:tcW w:w="1205" w:type="dxa"/>
            <w:vAlign w:val="center"/>
          </w:tcPr>
          <w:p w:rsidR="002D1E45" w:rsidRPr="00D8521F" w:rsidRDefault="002D1E45" w:rsidP="005F78C9">
            <w:pPr>
              <w:spacing w:after="0" w:line="240" w:lineRule="auto"/>
              <w:jc w:val="right"/>
              <w:rPr>
                <w:rFonts w:ascii="Times New Roman" w:hAnsi="Times New Roman"/>
                <w:color w:val="000000"/>
                <w:sz w:val="24"/>
                <w:szCs w:val="24"/>
                <w:lang w:eastAsia="ru-RU"/>
              </w:rPr>
            </w:pPr>
            <w:r w:rsidRPr="00D8521F">
              <w:rPr>
                <w:rFonts w:ascii="Times New Roman" w:hAnsi="Times New Roman"/>
                <w:color w:val="000000"/>
                <w:sz w:val="24"/>
                <w:szCs w:val="24"/>
                <w:lang w:eastAsia="ru-RU"/>
              </w:rPr>
              <w:t>6844</w:t>
            </w:r>
          </w:p>
        </w:tc>
        <w:tc>
          <w:tcPr>
            <w:tcW w:w="1205" w:type="dxa"/>
            <w:vAlign w:val="center"/>
          </w:tcPr>
          <w:p w:rsidR="002D1E45" w:rsidRPr="00D8521F" w:rsidRDefault="002D1E45" w:rsidP="005F78C9">
            <w:pPr>
              <w:spacing w:after="0" w:line="240" w:lineRule="auto"/>
              <w:jc w:val="right"/>
              <w:rPr>
                <w:rFonts w:ascii="Times New Roman" w:hAnsi="Times New Roman"/>
                <w:color w:val="000000"/>
                <w:sz w:val="24"/>
                <w:szCs w:val="24"/>
                <w:lang w:eastAsia="ru-RU"/>
              </w:rPr>
            </w:pPr>
            <w:r w:rsidRPr="00D8521F">
              <w:rPr>
                <w:rFonts w:ascii="Times New Roman" w:hAnsi="Times New Roman"/>
                <w:color w:val="000000"/>
                <w:sz w:val="24"/>
                <w:szCs w:val="24"/>
                <w:lang w:eastAsia="ru-RU"/>
              </w:rPr>
              <w:t>6257</w:t>
            </w:r>
          </w:p>
        </w:tc>
        <w:tc>
          <w:tcPr>
            <w:tcW w:w="1713" w:type="dxa"/>
            <w:noWrap/>
            <w:vAlign w:val="center"/>
          </w:tcPr>
          <w:p w:rsidR="002D1E45" w:rsidRPr="00D8521F" w:rsidRDefault="002D1E45" w:rsidP="005F78C9">
            <w:pPr>
              <w:spacing w:after="0" w:line="240" w:lineRule="auto"/>
              <w:jc w:val="right"/>
              <w:rPr>
                <w:rFonts w:ascii="Times New Roman" w:hAnsi="Times New Roman"/>
                <w:color w:val="000000"/>
                <w:sz w:val="24"/>
                <w:szCs w:val="24"/>
                <w:lang w:eastAsia="ru-RU"/>
              </w:rPr>
            </w:pPr>
            <w:r w:rsidRPr="005F78C9">
              <w:rPr>
                <w:rFonts w:ascii="Times New Roman" w:hAnsi="Times New Roman"/>
                <w:color w:val="000000"/>
                <w:sz w:val="24"/>
                <w:szCs w:val="24"/>
                <w:lang w:eastAsia="ru-RU"/>
              </w:rPr>
              <w:t>-7,7%</w:t>
            </w:r>
          </w:p>
        </w:tc>
      </w:tr>
      <w:tr w:rsidR="002D1E45" w:rsidRPr="00D8521F" w:rsidTr="005F78C9">
        <w:trPr>
          <w:trHeight w:val="57"/>
        </w:trPr>
        <w:tc>
          <w:tcPr>
            <w:tcW w:w="3663" w:type="dxa"/>
            <w:vAlign w:val="center"/>
          </w:tcPr>
          <w:p w:rsidR="002D1E45" w:rsidRPr="00D8521F" w:rsidRDefault="002D1E45" w:rsidP="005F78C9">
            <w:pPr>
              <w:spacing w:after="0" w:line="240" w:lineRule="auto"/>
              <w:rPr>
                <w:rFonts w:ascii="Times New Roman" w:hAnsi="Times New Roman"/>
                <w:color w:val="000000"/>
                <w:sz w:val="24"/>
                <w:szCs w:val="24"/>
                <w:lang w:eastAsia="ru-RU"/>
              </w:rPr>
            </w:pPr>
            <w:r w:rsidRPr="00D8521F">
              <w:rPr>
                <w:rFonts w:ascii="Times New Roman" w:hAnsi="Times New Roman"/>
                <w:color w:val="000000"/>
                <w:sz w:val="24"/>
                <w:szCs w:val="24"/>
                <w:lang w:eastAsia="ru-RU"/>
              </w:rPr>
              <w:t>Численность имеющих статус безработных на конец отчётного периода (чел.)</w:t>
            </w:r>
          </w:p>
        </w:tc>
        <w:tc>
          <w:tcPr>
            <w:tcW w:w="1204" w:type="dxa"/>
            <w:vAlign w:val="center"/>
          </w:tcPr>
          <w:p w:rsidR="002D1E45" w:rsidRPr="00D8521F" w:rsidRDefault="002D1E45" w:rsidP="005F78C9">
            <w:pPr>
              <w:spacing w:after="0" w:line="240" w:lineRule="auto"/>
              <w:jc w:val="right"/>
              <w:rPr>
                <w:rFonts w:ascii="Times New Roman" w:hAnsi="Times New Roman"/>
                <w:color w:val="000000"/>
                <w:sz w:val="24"/>
                <w:szCs w:val="24"/>
                <w:lang w:eastAsia="ru-RU"/>
              </w:rPr>
            </w:pPr>
            <w:r w:rsidRPr="00D8521F">
              <w:rPr>
                <w:rFonts w:ascii="Times New Roman" w:hAnsi="Times New Roman"/>
                <w:color w:val="000000"/>
                <w:sz w:val="24"/>
                <w:szCs w:val="24"/>
                <w:lang w:eastAsia="ru-RU"/>
              </w:rPr>
              <w:t>684</w:t>
            </w:r>
          </w:p>
        </w:tc>
        <w:tc>
          <w:tcPr>
            <w:tcW w:w="1205" w:type="dxa"/>
            <w:vAlign w:val="center"/>
          </w:tcPr>
          <w:p w:rsidR="002D1E45" w:rsidRPr="00D8521F" w:rsidRDefault="002D1E45" w:rsidP="005F78C9">
            <w:pPr>
              <w:spacing w:after="0" w:line="240" w:lineRule="auto"/>
              <w:jc w:val="right"/>
              <w:rPr>
                <w:rFonts w:ascii="Times New Roman" w:hAnsi="Times New Roman"/>
                <w:color w:val="000000"/>
                <w:sz w:val="24"/>
                <w:szCs w:val="24"/>
                <w:lang w:eastAsia="ru-RU"/>
              </w:rPr>
            </w:pPr>
            <w:r w:rsidRPr="00D8521F">
              <w:rPr>
                <w:rFonts w:ascii="Times New Roman" w:hAnsi="Times New Roman"/>
                <w:color w:val="000000"/>
                <w:sz w:val="24"/>
                <w:szCs w:val="24"/>
                <w:lang w:eastAsia="ru-RU"/>
              </w:rPr>
              <w:t>246</w:t>
            </w:r>
          </w:p>
        </w:tc>
        <w:tc>
          <w:tcPr>
            <w:tcW w:w="1205" w:type="dxa"/>
            <w:vAlign w:val="center"/>
          </w:tcPr>
          <w:p w:rsidR="002D1E45" w:rsidRPr="00D8521F" w:rsidRDefault="002D1E45" w:rsidP="005F78C9">
            <w:pPr>
              <w:spacing w:after="0" w:line="240" w:lineRule="auto"/>
              <w:jc w:val="right"/>
              <w:rPr>
                <w:rFonts w:ascii="Times New Roman" w:hAnsi="Times New Roman"/>
                <w:color w:val="000000"/>
                <w:sz w:val="24"/>
                <w:szCs w:val="24"/>
                <w:lang w:eastAsia="ru-RU"/>
              </w:rPr>
            </w:pPr>
            <w:r w:rsidRPr="00D8521F">
              <w:rPr>
                <w:rFonts w:ascii="Times New Roman" w:hAnsi="Times New Roman"/>
                <w:color w:val="000000"/>
                <w:sz w:val="24"/>
                <w:szCs w:val="24"/>
                <w:lang w:eastAsia="ru-RU"/>
              </w:rPr>
              <w:t>244</w:t>
            </w:r>
          </w:p>
        </w:tc>
        <w:tc>
          <w:tcPr>
            <w:tcW w:w="1205" w:type="dxa"/>
            <w:vAlign w:val="center"/>
          </w:tcPr>
          <w:p w:rsidR="002D1E45" w:rsidRPr="00D8521F" w:rsidRDefault="002D1E45" w:rsidP="005F78C9">
            <w:pPr>
              <w:spacing w:after="0" w:line="240" w:lineRule="auto"/>
              <w:jc w:val="right"/>
              <w:rPr>
                <w:rFonts w:ascii="Times New Roman" w:hAnsi="Times New Roman"/>
                <w:color w:val="000000"/>
                <w:sz w:val="24"/>
                <w:szCs w:val="24"/>
                <w:lang w:eastAsia="ru-RU"/>
              </w:rPr>
            </w:pPr>
            <w:r w:rsidRPr="00D8521F">
              <w:rPr>
                <w:rFonts w:ascii="Times New Roman" w:hAnsi="Times New Roman"/>
                <w:color w:val="000000"/>
                <w:sz w:val="24"/>
                <w:szCs w:val="24"/>
                <w:lang w:eastAsia="ru-RU"/>
              </w:rPr>
              <w:t>350</w:t>
            </w:r>
          </w:p>
        </w:tc>
        <w:tc>
          <w:tcPr>
            <w:tcW w:w="1713" w:type="dxa"/>
            <w:noWrap/>
            <w:vAlign w:val="center"/>
          </w:tcPr>
          <w:p w:rsidR="002D1E45" w:rsidRPr="00D8521F" w:rsidRDefault="002D1E45" w:rsidP="005F78C9">
            <w:pPr>
              <w:spacing w:after="0" w:line="240" w:lineRule="auto"/>
              <w:jc w:val="right"/>
              <w:rPr>
                <w:rFonts w:ascii="Times New Roman" w:hAnsi="Times New Roman"/>
                <w:color w:val="000000"/>
                <w:sz w:val="24"/>
                <w:szCs w:val="24"/>
                <w:lang w:eastAsia="ru-RU"/>
              </w:rPr>
            </w:pPr>
            <w:r w:rsidRPr="005F78C9">
              <w:rPr>
                <w:rFonts w:ascii="Times New Roman" w:hAnsi="Times New Roman"/>
                <w:color w:val="000000"/>
                <w:sz w:val="24"/>
                <w:szCs w:val="24"/>
                <w:lang w:eastAsia="ru-RU"/>
              </w:rPr>
              <w:t>-48,8%</w:t>
            </w:r>
          </w:p>
        </w:tc>
      </w:tr>
    </w:tbl>
    <w:p w:rsidR="002D1E45" w:rsidRPr="00D8521F" w:rsidRDefault="002D1E45" w:rsidP="00D8521F">
      <w:pPr>
        <w:tabs>
          <w:tab w:val="left" w:pos="1418"/>
        </w:tabs>
        <w:spacing w:after="0" w:line="360" w:lineRule="auto"/>
        <w:jc w:val="center"/>
        <w:rPr>
          <w:rFonts w:ascii="Times New Roman" w:hAnsi="Times New Roman"/>
          <w:sz w:val="28"/>
          <w:szCs w:val="28"/>
          <w:lang w:eastAsia="ru-RU"/>
        </w:rPr>
      </w:pPr>
    </w:p>
    <w:p w:rsidR="002D1E45" w:rsidRPr="00D8521F" w:rsidRDefault="002D1E45" w:rsidP="00D8521F">
      <w:pPr>
        <w:tabs>
          <w:tab w:val="left" w:pos="1418"/>
        </w:tabs>
        <w:spacing w:after="0" w:line="360" w:lineRule="auto"/>
        <w:jc w:val="center"/>
        <w:rPr>
          <w:rFonts w:ascii="Times New Roman" w:hAnsi="Times New Roman"/>
          <w:sz w:val="10"/>
          <w:szCs w:val="10"/>
          <w:lang w:eastAsia="ru-RU"/>
        </w:rPr>
      </w:pPr>
    </w:p>
    <w:p w:rsidR="002D1E45" w:rsidRDefault="002D1E45" w:rsidP="00320778">
      <w:pPr>
        <w:spacing w:line="240" w:lineRule="auto"/>
        <w:ind w:firstLine="709"/>
        <w:contextualSpacing/>
        <w:jc w:val="both"/>
        <w:rPr>
          <w:rFonts w:ascii="Times New Roman" w:hAnsi="Times New Roman"/>
          <w:sz w:val="28"/>
          <w:szCs w:val="24"/>
          <w:lang w:eastAsia="ru-RU"/>
        </w:rPr>
      </w:pPr>
      <w:r w:rsidRPr="00D8521F">
        <w:rPr>
          <w:rFonts w:ascii="Times New Roman" w:hAnsi="Times New Roman"/>
          <w:sz w:val="28"/>
          <w:szCs w:val="24"/>
          <w:lang w:eastAsia="ru-RU"/>
        </w:rPr>
        <w:t xml:space="preserve">Как видно по следующему рисунку, большая часть населения, занятого в экономике, задействована в </w:t>
      </w:r>
      <w:r>
        <w:rPr>
          <w:rFonts w:ascii="Times New Roman" w:hAnsi="Times New Roman"/>
          <w:sz w:val="28"/>
          <w:szCs w:val="24"/>
          <w:lang w:eastAsia="ru-RU"/>
        </w:rPr>
        <w:t xml:space="preserve">прочих отраслях (торговля, бытовые услуги </w:t>
      </w:r>
      <w:r w:rsidRPr="00D8521F">
        <w:rPr>
          <w:rFonts w:ascii="Times New Roman" w:hAnsi="Times New Roman"/>
          <w:sz w:val="28"/>
          <w:szCs w:val="24"/>
          <w:lang w:eastAsia="ru-RU"/>
        </w:rPr>
        <w:t xml:space="preserve">– </w:t>
      </w:r>
      <w:r>
        <w:rPr>
          <w:rFonts w:ascii="Times New Roman" w:hAnsi="Times New Roman"/>
          <w:sz w:val="28"/>
          <w:szCs w:val="24"/>
          <w:lang w:eastAsia="ru-RU"/>
        </w:rPr>
        <w:t xml:space="preserve">33,42 </w:t>
      </w:r>
      <w:r w:rsidRPr="00D8521F">
        <w:rPr>
          <w:rFonts w:ascii="Times New Roman" w:hAnsi="Times New Roman"/>
          <w:sz w:val="28"/>
          <w:szCs w:val="24"/>
          <w:lang w:eastAsia="ru-RU"/>
        </w:rPr>
        <w:t>%). На начало 20</w:t>
      </w:r>
      <w:r>
        <w:rPr>
          <w:rFonts w:ascii="Times New Roman" w:hAnsi="Times New Roman"/>
          <w:sz w:val="28"/>
          <w:szCs w:val="24"/>
          <w:lang w:eastAsia="ru-RU"/>
        </w:rPr>
        <w:t>20</w:t>
      </w:r>
      <w:r w:rsidRPr="00D8521F">
        <w:rPr>
          <w:rFonts w:ascii="Times New Roman" w:hAnsi="Times New Roman"/>
          <w:sz w:val="28"/>
          <w:szCs w:val="24"/>
          <w:lang w:eastAsia="ru-RU"/>
        </w:rPr>
        <w:t xml:space="preserve"> года е</w:t>
      </w:r>
      <w:r>
        <w:rPr>
          <w:rFonts w:ascii="Times New Roman" w:hAnsi="Times New Roman"/>
          <w:sz w:val="28"/>
          <w:szCs w:val="24"/>
          <w:lang w:eastAsia="ru-RU"/>
        </w:rPr>
        <w:t>ё</w:t>
      </w:r>
      <w:r w:rsidRPr="00D8521F">
        <w:rPr>
          <w:rFonts w:ascii="Times New Roman" w:hAnsi="Times New Roman"/>
          <w:sz w:val="28"/>
          <w:szCs w:val="24"/>
          <w:lang w:eastAsia="ru-RU"/>
        </w:rPr>
        <w:t xml:space="preserve"> численность составила </w:t>
      </w:r>
      <w:r>
        <w:rPr>
          <w:rFonts w:ascii="Times New Roman" w:hAnsi="Times New Roman"/>
          <w:sz w:val="28"/>
          <w:szCs w:val="24"/>
          <w:lang w:eastAsia="ru-RU"/>
        </w:rPr>
        <w:t>6257</w:t>
      </w:r>
      <w:r w:rsidRPr="00D8521F">
        <w:rPr>
          <w:rFonts w:ascii="Times New Roman" w:hAnsi="Times New Roman"/>
          <w:sz w:val="28"/>
          <w:szCs w:val="24"/>
          <w:lang w:eastAsia="ru-RU"/>
        </w:rPr>
        <w:t xml:space="preserve"> человек. На втором месте наход</w:t>
      </w:r>
      <w:r>
        <w:rPr>
          <w:rFonts w:ascii="Times New Roman" w:hAnsi="Times New Roman"/>
          <w:sz w:val="28"/>
          <w:szCs w:val="24"/>
          <w:lang w:eastAsia="ru-RU"/>
        </w:rPr>
        <w:t>я</w:t>
      </w:r>
      <w:r w:rsidRPr="00D8521F">
        <w:rPr>
          <w:rFonts w:ascii="Times New Roman" w:hAnsi="Times New Roman"/>
          <w:sz w:val="28"/>
          <w:szCs w:val="24"/>
          <w:lang w:eastAsia="ru-RU"/>
        </w:rPr>
        <w:t xml:space="preserve">тся </w:t>
      </w:r>
      <w:r>
        <w:rPr>
          <w:rFonts w:ascii="Times New Roman" w:hAnsi="Times New Roman"/>
          <w:sz w:val="28"/>
          <w:szCs w:val="24"/>
          <w:lang w:eastAsia="ru-RU"/>
        </w:rPr>
        <w:t>обрабатывающие производства</w:t>
      </w:r>
      <w:r w:rsidRPr="00D8521F">
        <w:rPr>
          <w:rFonts w:ascii="Times New Roman" w:hAnsi="Times New Roman"/>
          <w:sz w:val="28"/>
          <w:szCs w:val="24"/>
          <w:lang w:eastAsia="ru-RU"/>
        </w:rPr>
        <w:t xml:space="preserve"> (</w:t>
      </w:r>
      <w:r>
        <w:rPr>
          <w:rFonts w:ascii="Times New Roman" w:hAnsi="Times New Roman"/>
          <w:sz w:val="28"/>
          <w:szCs w:val="24"/>
          <w:lang w:eastAsia="ru-RU"/>
        </w:rPr>
        <w:t>2779</w:t>
      </w:r>
      <w:r w:rsidRPr="00D8521F">
        <w:rPr>
          <w:rFonts w:ascii="Times New Roman" w:hAnsi="Times New Roman"/>
          <w:sz w:val="28"/>
          <w:szCs w:val="24"/>
          <w:lang w:eastAsia="ru-RU"/>
        </w:rPr>
        <w:t xml:space="preserve"> человек или </w:t>
      </w:r>
      <w:r>
        <w:rPr>
          <w:rFonts w:ascii="Times New Roman" w:hAnsi="Times New Roman"/>
          <w:sz w:val="28"/>
          <w:szCs w:val="24"/>
          <w:lang w:eastAsia="ru-RU"/>
        </w:rPr>
        <w:t xml:space="preserve">14,8 </w:t>
      </w:r>
      <w:r w:rsidRPr="00D8521F">
        <w:rPr>
          <w:rFonts w:ascii="Times New Roman" w:hAnsi="Times New Roman"/>
          <w:sz w:val="28"/>
          <w:szCs w:val="24"/>
          <w:lang w:eastAsia="ru-RU"/>
        </w:rPr>
        <w:t xml:space="preserve">%). Меньше всего людей задействовано в </w:t>
      </w:r>
      <w:r>
        <w:rPr>
          <w:rFonts w:ascii="Times New Roman" w:hAnsi="Times New Roman"/>
          <w:sz w:val="28"/>
          <w:szCs w:val="24"/>
          <w:lang w:eastAsia="ru-RU"/>
        </w:rPr>
        <w:t>сельском хозяйстве</w:t>
      </w:r>
      <w:r w:rsidRPr="00D8521F">
        <w:rPr>
          <w:rFonts w:ascii="Times New Roman" w:hAnsi="Times New Roman"/>
          <w:sz w:val="28"/>
          <w:szCs w:val="24"/>
          <w:lang w:eastAsia="ru-RU"/>
        </w:rPr>
        <w:t xml:space="preserve"> (</w:t>
      </w:r>
      <w:r>
        <w:rPr>
          <w:rFonts w:ascii="Times New Roman" w:hAnsi="Times New Roman"/>
          <w:sz w:val="28"/>
          <w:szCs w:val="24"/>
          <w:lang w:eastAsia="ru-RU"/>
        </w:rPr>
        <w:t xml:space="preserve">33 чел., 0,18 </w:t>
      </w:r>
      <w:r w:rsidRPr="00D8521F">
        <w:rPr>
          <w:rFonts w:ascii="Times New Roman" w:hAnsi="Times New Roman"/>
          <w:sz w:val="28"/>
          <w:szCs w:val="24"/>
          <w:lang w:eastAsia="ru-RU"/>
        </w:rPr>
        <w:t>%).</w:t>
      </w:r>
    </w:p>
    <w:p w:rsidR="002D1E45" w:rsidRPr="00D8521F" w:rsidRDefault="002D1E45" w:rsidP="00320778">
      <w:pPr>
        <w:spacing w:line="240" w:lineRule="auto"/>
        <w:ind w:firstLine="709"/>
        <w:contextualSpacing/>
        <w:jc w:val="both"/>
        <w:rPr>
          <w:rFonts w:ascii="Times New Roman" w:hAnsi="Times New Roman"/>
          <w:sz w:val="28"/>
          <w:szCs w:val="24"/>
          <w:lang w:eastAsia="ru-RU"/>
        </w:rPr>
      </w:pPr>
    </w:p>
    <w:p w:rsidR="002D1E45" w:rsidRPr="00D8521F" w:rsidRDefault="002D1E45" w:rsidP="00320778">
      <w:pPr>
        <w:tabs>
          <w:tab w:val="left" w:pos="1418"/>
        </w:tabs>
        <w:spacing w:after="0" w:line="240" w:lineRule="auto"/>
        <w:jc w:val="center"/>
        <w:rPr>
          <w:rFonts w:ascii="Times New Roman" w:hAnsi="Times New Roman"/>
          <w:sz w:val="24"/>
          <w:szCs w:val="24"/>
          <w:lang w:eastAsia="ru-RU"/>
        </w:rPr>
      </w:pPr>
      <w:r w:rsidRPr="00C02575">
        <w:rPr>
          <w:rFonts w:ascii="Times New Roman" w:hAnsi="Times New Roman"/>
          <w:noProof/>
          <w:sz w:val="24"/>
          <w:szCs w:val="24"/>
          <w:lang w:eastAsia="ru-RU"/>
        </w:rPr>
        <w:pict>
          <v:shape id="Рисунок 17" o:spid="_x0000_i1031" type="#_x0000_t75" style="width:480pt;height:230.25pt;visibility:visible">
            <v:imagedata r:id="rId16" o:title="" croptop="1728f" cropbottom="7464f" cropleft="4053f" cropright="10309f"/>
          </v:shape>
        </w:pict>
      </w:r>
    </w:p>
    <w:p w:rsidR="002D1E45" w:rsidRPr="0014148D" w:rsidRDefault="002D1E45" w:rsidP="00EA47F2">
      <w:pPr>
        <w:spacing w:before="120" w:after="120" w:line="240" w:lineRule="auto"/>
        <w:jc w:val="center"/>
        <w:rPr>
          <w:rFonts w:ascii="Times New Roman" w:hAnsi="Times New Roman"/>
          <w:sz w:val="28"/>
          <w:szCs w:val="24"/>
          <w:lang w:eastAsia="ru-RU"/>
        </w:rPr>
      </w:pPr>
      <w:r w:rsidRPr="0014148D">
        <w:rPr>
          <w:rFonts w:ascii="Times New Roman" w:hAnsi="Times New Roman"/>
          <w:sz w:val="28"/>
          <w:szCs w:val="24"/>
          <w:lang w:eastAsia="ru-RU"/>
        </w:rPr>
        <w:t xml:space="preserve">Рисунок </w:t>
      </w:r>
      <w:r w:rsidRPr="0014148D">
        <w:rPr>
          <w:rFonts w:ascii="Times New Roman" w:hAnsi="Times New Roman"/>
          <w:sz w:val="28"/>
          <w:szCs w:val="24"/>
          <w:lang w:eastAsia="ru-RU"/>
        </w:rPr>
        <w:fldChar w:fldCharType="begin"/>
      </w:r>
      <w:r w:rsidRPr="0014148D">
        <w:rPr>
          <w:rFonts w:ascii="Times New Roman" w:hAnsi="Times New Roman"/>
          <w:sz w:val="28"/>
          <w:szCs w:val="24"/>
          <w:lang w:eastAsia="ru-RU"/>
        </w:rPr>
        <w:instrText xml:space="preserve"> SEQ Рисунок \* ARABIC </w:instrText>
      </w:r>
      <w:r w:rsidRPr="0014148D">
        <w:rPr>
          <w:rFonts w:ascii="Times New Roman" w:hAnsi="Times New Roman"/>
          <w:sz w:val="28"/>
          <w:szCs w:val="24"/>
          <w:lang w:eastAsia="ru-RU"/>
        </w:rPr>
        <w:fldChar w:fldCharType="separate"/>
      </w:r>
      <w:r>
        <w:rPr>
          <w:rFonts w:ascii="Times New Roman" w:hAnsi="Times New Roman"/>
          <w:noProof/>
          <w:sz w:val="28"/>
          <w:szCs w:val="24"/>
          <w:lang w:eastAsia="ru-RU"/>
        </w:rPr>
        <w:t>7</w:t>
      </w:r>
      <w:r w:rsidRPr="0014148D">
        <w:rPr>
          <w:rFonts w:ascii="Times New Roman" w:hAnsi="Times New Roman"/>
          <w:sz w:val="28"/>
          <w:szCs w:val="24"/>
          <w:lang w:eastAsia="ru-RU"/>
        </w:rPr>
        <w:fldChar w:fldCharType="end"/>
      </w:r>
      <w:r w:rsidRPr="0014148D">
        <w:rPr>
          <w:rFonts w:ascii="Times New Roman" w:hAnsi="Times New Roman"/>
          <w:sz w:val="28"/>
          <w:szCs w:val="24"/>
          <w:lang w:eastAsia="ru-RU"/>
        </w:rPr>
        <w:t xml:space="preserve">. </w:t>
      </w:r>
      <w:r w:rsidRPr="00EA47F2">
        <w:rPr>
          <w:rFonts w:ascii="Times New Roman" w:hAnsi="Times New Roman"/>
          <w:sz w:val="28"/>
          <w:szCs w:val="24"/>
          <w:lang w:eastAsia="ru-RU"/>
        </w:rPr>
        <w:t>Распределение трудовых ресурсов в г. Куйбышеве по отраслям, 201</w:t>
      </w:r>
      <w:r>
        <w:rPr>
          <w:rFonts w:ascii="Times New Roman" w:hAnsi="Times New Roman"/>
          <w:sz w:val="28"/>
          <w:szCs w:val="24"/>
          <w:lang w:eastAsia="ru-RU"/>
        </w:rPr>
        <w:t>9</w:t>
      </w:r>
      <w:r w:rsidRPr="00EA47F2">
        <w:rPr>
          <w:rFonts w:ascii="Times New Roman" w:hAnsi="Times New Roman"/>
          <w:sz w:val="28"/>
          <w:szCs w:val="24"/>
          <w:lang w:eastAsia="ru-RU"/>
        </w:rPr>
        <w:t xml:space="preserve"> год</w:t>
      </w:r>
      <w:r w:rsidRPr="00BB36C0">
        <w:rPr>
          <w:rFonts w:ascii="Times New Roman" w:hAnsi="Times New Roman"/>
          <w:sz w:val="28"/>
          <w:szCs w:val="24"/>
          <w:lang w:eastAsia="ru-RU"/>
        </w:rPr>
        <w:t xml:space="preserve"> </w:t>
      </w:r>
    </w:p>
    <w:p w:rsidR="002D1E45" w:rsidRDefault="002D1E45" w:rsidP="00F32D06">
      <w:pPr>
        <w:spacing w:after="0" w:line="240" w:lineRule="auto"/>
        <w:ind w:firstLine="709"/>
        <w:contextualSpacing/>
        <w:jc w:val="both"/>
        <w:rPr>
          <w:rFonts w:ascii="Times New Roman" w:hAnsi="Times New Roman"/>
          <w:sz w:val="28"/>
          <w:szCs w:val="24"/>
          <w:lang w:eastAsia="ru-RU"/>
        </w:rPr>
      </w:pPr>
    </w:p>
    <w:p w:rsidR="002D1E45" w:rsidRDefault="002D1E45" w:rsidP="00F32D06">
      <w:pPr>
        <w:spacing w:after="0" w:line="240" w:lineRule="auto"/>
        <w:ind w:firstLine="709"/>
        <w:contextualSpacing/>
        <w:jc w:val="both"/>
        <w:rPr>
          <w:rFonts w:ascii="Times New Roman" w:hAnsi="Times New Roman"/>
          <w:sz w:val="28"/>
          <w:szCs w:val="24"/>
          <w:lang w:eastAsia="ru-RU"/>
        </w:rPr>
      </w:pPr>
      <w:r w:rsidRPr="00F32D06">
        <w:rPr>
          <w:rFonts w:ascii="Times New Roman" w:hAnsi="Times New Roman"/>
          <w:sz w:val="28"/>
          <w:szCs w:val="24"/>
          <w:lang w:eastAsia="ru-RU"/>
        </w:rPr>
        <w:t xml:space="preserve">Количество </w:t>
      </w:r>
      <w:r>
        <w:rPr>
          <w:rFonts w:ascii="Times New Roman" w:hAnsi="Times New Roman"/>
          <w:sz w:val="28"/>
          <w:szCs w:val="24"/>
          <w:lang w:eastAsia="ru-RU"/>
        </w:rPr>
        <w:t xml:space="preserve">официально зарегистрированных безработных за 2019 год в городе составило 350 человек. Увеличение численности безработных по сравнению с 2018 годом составило 43,4 %. </w:t>
      </w:r>
    </w:p>
    <w:p w:rsidR="002D1E45" w:rsidRPr="0014148D" w:rsidRDefault="002D1E45" w:rsidP="001125E5">
      <w:pPr>
        <w:spacing w:after="0" w:line="240" w:lineRule="auto"/>
        <w:ind w:firstLine="709"/>
        <w:contextualSpacing/>
        <w:jc w:val="both"/>
        <w:rPr>
          <w:rFonts w:ascii="Times New Roman" w:hAnsi="Times New Roman"/>
          <w:sz w:val="28"/>
          <w:szCs w:val="24"/>
          <w:lang w:eastAsia="ru-RU"/>
        </w:rPr>
      </w:pPr>
      <w:r w:rsidRPr="0014148D">
        <w:rPr>
          <w:rFonts w:ascii="Times New Roman" w:hAnsi="Times New Roman"/>
          <w:sz w:val="28"/>
          <w:szCs w:val="24"/>
          <w:lang w:eastAsia="ru-RU"/>
        </w:rPr>
        <w:t xml:space="preserve">Главными задачами демографического развития являются: </w:t>
      </w:r>
    </w:p>
    <w:p w:rsidR="002D1E45" w:rsidRPr="0014148D"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lang w:eastAsia="ru-RU"/>
        </w:rPr>
      </w:pPr>
      <w:r w:rsidRPr="0014148D">
        <w:rPr>
          <w:rFonts w:ascii="Times New Roman" w:hAnsi="Times New Roman"/>
          <w:sz w:val="28"/>
          <w:szCs w:val="24"/>
          <w:lang w:eastAsia="ru-RU"/>
        </w:rPr>
        <w:t>повышение рождаемости и</w:t>
      </w:r>
      <w:r>
        <w:rPr>
          <w:rFonts w:ascii="Times New Roman" w:hAnsi="Times New Roman"/>
          <w:sz w:val="28"/>
          <w:szCs w:val="24"/>
          <w:lang w:eastAsia="ru-RU"/>
        </w:rPr>
        <w:t> </w:t>
      </w:r>
      <w:r w:rsidRPr="0014148D">
        <w:rPr>
          <w:rFonts w:ascii="Times New Roman" w:hAnsi="Times New Roman"/>
          <w:sz w:val="28"/>
          <w:szCs w:val="24"/>
          <w:lang w:eastAsia="ru-RU"/>
        </w:rPr>
        <w:t xml:space="preserve">укрепление института семьи, </w:t>
      </w:r>
      <w:r w:rsidRPr="0014148D">
        <w:rPr>
          <w:rFonts w:ascii="Times New Roman" w:hAnsi="Times New Roman"/>
          <w:sz w:val="28"/>
          <w:szCs w:val="24"/>
        </w:rPr>
        <w:t>возрождение</w:t>
      </w:r>
      <w:r w:rsidRPr="0014148D">
        <w:rPr>
          <w:rFonts w:ascii="Times New Roman" w:hAnsi="Times New Roman"/>
          <w:sz w:val="28"/>
          <w:szCs w:val="24"/>
          <w:lang w:eastAsia="ru-RU"/>
        </w:rPr>
        <w:t xml:space="preserve"> и</w:t>
      </w:r>
      <w:r>
        <w:rPr>
          <w:rFonts w:ascii="Times New Roman" w:hAnsi="Times New Roman"/>
          <w:sz w:val="28"/>
          <w:szCs w:val="24"/>
          <w:lang w:eastAsia="ru-RU"/>
        </w:rPr>
        <w:t> </w:t>
      </w:r>
      <w:r w:rsidRPr="0014148D">
        <w:rPr>
          <w:rFonts w:ascii="Times New Roman" w:hAnsi="Times New Roman"/>
          <w:sz w:val="28"/>
          <w:szCs w:val="24"/>
          <w:lang w:eastAsia="ru-RU"/>
        </w:rPr>
        <w:t>распространение её духовно-нравственных ценностей.</w:t>
      </w:r>
    </w:p>
    <w:p w:rsidR="002D1E45" w:rsidRPr="0014148D"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14148D">
        <w:rPr>
          <w:rFonts w:ascii="Times New Roman" w:hAnsi="Times New Roman"/>
          <w:sz w:val="28"/>
          <w:szCs w:val="24"/>
        </w:rPr>
        <w:t>снижение предотвратимой и</w:t>
      </w:r>
      <w:r>
        <w:rPr>
          <w:rFonts w:ascii="Times New Roman" w:hAnsi="Times New Roman"/>
          <w:sz w:val="28"/>
          <w:szCs w:val="24"/>
        </w:rPr>
        <w:t> </w:t>
      </w:r>
      <w:r w:rsidRPr="0014148D">
        <w:rPr>
          <w:rFonts w:ascii="Times New Roman" w:hAnsi="Times New Roman"/>
          <w:sz w:val="28"/>
          <w:szCs w:val="24"/>
        </w:rPr>
        <w:t>преждевременной смертности населения, существенное снижение уровня заболеваемости и</w:t>
      </w:r>
      <w:r>
        <w:rPr>
          <w:rFonts w:ascii="Times New Roman" w:hAnsi="Times New Roman"/>
          <w:sz w:val="28"/>
          <w:szCs w:val="24"/>
        </w:rPr>
        <w:t> </w:t>
      </w:r>
      <w:r w:rsidRPr="0014148D">
        <w:rPr>
          <w:rFonts w:ascii="Times New Roman" w:hAnsi="Times New Roman"/>
          <w:sz w:val="28"/>
          <w:szCs w:val="24"/>
        </w:rPr>
        <w:t>смертности от</w:t>
      </w:r>
      <w:r>
        <w:rPr>
          <w:rFonts w:ascii="Times New Roman" w:hAnsi="Times New Roman"/>
          <w:sz w:val="28"/>
          <w:szCs w:val="24"/>
        </w:rPr>
        <w:t> </w:t>
      </w:r>
      <w:r w:rsidRPr="0014148D">
        <w:rPr>
          <w:rFonts w:ascii="Times New Roman" w:hAnsi="Times New Roman"/>
          <w:sz w:val="28"/>
          <w:szCs w:val="24"/>
        </w:rPr>
        <w:t>болезней социального характера, увеличение ожидаемой продолжительности жизни населения, в</w:t>
      </w:r>
      <w:r>
        <w:rPr>
          <w:rFonts w:ascii="Times New Roman" w:hAnsi="Times New Roman"/>
          <w:sz w:val="28"/>
          <w:szCs w:val="24"/>
        </w:rPr>
        <w:t> </w:t>
      </w:r>
      <w:r w:rsidRPr="0014148D">
        <w:rPr>
          <w:rFonts w:ascii="Times New Roman" w:hAnsi="Times New Roman"/>
          <w:sz w:val="28"/>
          <w:szCs w:val="24"/>
        </w:rPr>
        <w:t>том числе продолжительности активной жизни, улучшение состояния здоровья населения;</w:t>
      </w:r>
    </w:p>
    <w:p w:rsidR="002D1E45" w:rsidRPr="0014148D"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14148D">
        <w:rPr>
          <w:rFonts w:ascii="Times New Roman" w:hAnsi="Times New Roman"/>
          <w:sz w:val="28"/>
          <w:szCs w:val="24"/>
        </w:rPr>
        <w:t>дальнейшее сокращение уровня младенческой смертности;</w:t>
      </w:r>
    </w:p>
    <w:p w:rsidR="002D1E45" w:rsidRPr="0014148D"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14148D">
        <w:rPr>
          <w:rFonts w:ascii="Times New Roman" w:hAnsi="Times New Roman"/>
          <w:sz w:val="28"/>
          <w:szCs w:val="24"/>
        </w:rPr>
        <w:t>повышение качества жизни пожилых людей и</w:t>
      </w:r>
      <w:r>
        <w:rPr>
          <w:rFonts w:ascii="Times New Roman" w:hAnsi="Times New Roman"/>
          <w:sz w:val="28"/>
          <w:szCs w:val="24"/>
        </w:rPr>
        <w:t> </w:t>
      </w:r>
      <w:r w:rsidRPr="0014148D">
        <w:rPr>
          <w:rFonts w:ascii="Times New Roman" w:hAnsi="Times New Roman"/>
          <w:sz w:val="28"/>
          <w:szCs w:val="24"/>
        </w:rPr>
        <w:t>инвалидов;</w:t>
      </w:r>
    </w:p>
    <w:p w:rsidR="002D1E45" w:rsidRPr="0014148D"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lang w:eastAsia="ru-RU"/>
        </w:rPr>
      </w:pPr>
      <w:r w:rsidRPr="0014148D">
        <w:rPr>
          <w:rFonts w:ascii="Times New Roman" w:hAnsi="Times New Roman"/>
          <w:sz w:val="28"/>
          <w:szCs w:val="24"/>
        </w:rPr>
        <w:t>регулирование миграционных потоков в</w:t>
      </w:r>
      <w:r>
        <w:rPr>
          <w:rFonts w:ascii="Times New Roman" w:hAnsi="Times New Roman"/>
          <w:sz w:val="28"/>
          <w:szCs w:val="24"/>
        </w:rPr>
        <w:t> </w:t>
      </w:r>
      <w:r w:rsidRPr="0014148D">
        <w:rPr>
          <w:rFonts w:ascii="Times New Roman" w:hAnsi="Times New Roman"/>
          <w:sz w:val="28"/>
          <w:szCs w:val="24"/>
        </w:rPr>
        <w:t>целях обеспечения социально-экономического комплекса кадрами необходимых профессий и</w:t>
      </w:r>
      <w:r>
        <w:rPr>
          <w:rFonts w:ascii="Times New Roman" w:hAnsi="Times New Roman"/>
          <w:sz w:val="28"/>
          <w:szCs w:val="24"/>
        </w:rPr>
        <w:t> </w:t>
      </w:r>
      <w:r w:rsidRPr="0014148D">
        <w:rPr>
          <w:rFonts w:ascii="Times New Roman" w:hAnsi="Times New Roman"/>
          <w:sz w:val="28"/>
          <w:szCs w:val="24"/>
        </w:rPr>
        <w:t>уровня квалификации</w:t>
      </w:r>
      <w:r w:rsidRPr="0014148D">
        <w:rPr>
          <w:rFonts w:ascii="Times New Roman" w:hAnsi="Times New Roman"/>
          <w:sz w:val="28"/>
          <w:szCs w:val="24"/>
          <w:lang w:eastAsia="ru-RU"/>
        </w:rPr>
        <w:t>.</w:t>
      </w:r>
    </w:p>
    <w:p w:rsidR="002D1E45" w:rsidRPr="0014148D" w:rsidRDefault="002D1E45" w:rsidP="00FF4F95">
      <w:pPr>
        <w:spacing w:after="0" w:line="240" w:lineRule="auto"/>
        <w:ind w:firstLine="709"/>
        <w:contextualSpacing/>
        <w:jc w:val="both"/>
        <w:rPr>
          <w:rFonts w:ascii="Times New Roman" w:hAnsi="Times New Roman"/>
          <w:sz w:val="28"/>
          <w:szCs w:val="24"/>
          <w:lang w:eastAsia="ru-RU"/>
        </w:rPr>
      </w:pPr>
      <w:r w:rsidRPr="0014148D">
        <w:rPr>
          <w:rFonts w:ascii="Times New Roman" w:hAnsi="Times New Roman"/>
          <w:sz w:val="28"/>
          <w:szCs w:val="24"/>
          <w:lang w:eastAsia="ru-RU"/>
        </w:rPr>
        <w:t>В результате комплексного анализа демографической ситуации выявлены основные факторы, влияющие на</w:t>
      </w:r>
      <w:r>
        <w:rPr>
          <w:rFonts w:ascii="Times New Roman" w:hAnsi="Times New Roman"/>
          <w:sz w:val="28"/>
          <w:szCs w:val="24"/>
          <w:lang w:eastAsia="ru-RU"/>
        </w:rPr>
        <w:t> </w:t>
      </w:r>
      <w:r w:rsidRPr="0014148D">
        <w:rPr>
          <w:rFonts w:ascii="Times New Roman" w:hAnsi="Times New Roman"/>
          <w:sz w:val="28"/>
          <w:szCs w:val="24"/>
          <w:lang w:eastAsia="ru-RU"/>
        </w:rPr>
        <w:t>численность населения:</w:t>
      </w:r>
    </w:p>
    <w:p w:rsidR="002D1E45"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Pr>
          <w:rFonts w:ascii="Times New Roman" w:hAnsi="Times New Roman"/>
          <w:sz w:val="28"/>
          <w:szCs w:val="24"/>
        </w:rPr>
        <w:t>в целом отрицательный естественный прирост населения</w:t>
      </w:r>
      <w:r w:rsidRPr="0014148D">
        <w:rPr>
          <w:rFonts w:ascii="Times New Roman" w:hAnsi="Times New Roman"/>
          <w:sz w:val="28"/>
          <w:szCs w:val="24"/>
        </w:rPr>
        <w:t xml:space="preserve"> </w:t>
      </w:r>
      <w:r>
        <w:rPr>
          <w:rFonts w:ascii="Times New Roman" w:hAnsi="Times New Roman"/>
          <w:sz w:val="28"/>
          <w:szCs w:val="24"/>
        </w:rPr>
        <w:t>на фоне волнообразной миграции со среднегодовой отрицательной тенденцией в миграционном приросте</w:t>
      </w:r>
      <w:r w:rsidRPr="0014148D">
        <w:rPr>
          <w:rFonts w:ascii="Times New Roman" w:hAnsi="Times New Roman"/>
          <w:sz w:val="28"/>
          <w:szCs w:val="24"/>
        </w:rPr>
        <w:t>;</w:t>
      </w:r>
    </w:p>
    <w:p w:rsidR="002D1E45" w:rsidRPr="0014148D"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Pr>
          <w:rFonts w:ascii="Times New Roman" w:hAnsi="Times New Roman"/>
          <w:sz w:val="28"/>
          <w:szCs w:val="24"/>
        </w:rPr>
        <w:t>превышение смертности над рождаемостью в 1,4 раза за период с 2015 года;</w:t>
      </w:r>
    </w:p>
    <w:p w:rsidR="002D1E45" w:rsidRPr="0014148D"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14148D">
        <w:rPr>
          <w:rFonts w:ascii="Times New Roman" w:hAnsi="Times New Roman"/>
          <w:sz w:val="28"/>
          <w:szCs w:val="24"/>
        </w:rPr>
        <w:t xml:space="preserve">высокая доля населения </w:t>
      </w:r>
      <w:r>
        <w:rPr>
          <w:rFonts w:ascii="Times New Roman" w:hAnsi="Times New Roman"/>
          <w:sz w:val="28"/>
          <w:szCs w:val="24"/>
        </w:rPr>
        <w:t xml:space="preserve">старше </w:t>
      </w:r>
      <w:r w:rsidRPr="0014148D">
        <w:rPr>
          <w:rFonts w:ascii="Times New Roman" w:hAnsi="Times New Roman"/>
          <w:sz w:val="28"/>
          <w:szCs w:val="24"/>
        </w:rPr>
        <w:t>трудоспособного возраста (в 201</w:t>
      </w:r>
      <w:r>
        <w:rPr>
          <w:rFonts w:ascii="Times New Roman" w:hAnsi="Times New Roman"/>
          <w:sz w:val="28"/>
          <w:szCs w:val="24"/>
        </w:rPr>
        <w:t>9</w:t>
      </w:r>
      <w:r w:rsidRPr="0014148D">
        <w:rPr>
          <w:rFonts w:ascii="Times New Roman" w:hAnsi="Times New Roman"/>
          <w:sz w:val="28"/>
          <w:szCs w:val="24"/>
        </w:rPr>
        <w:t xml:space="preserve"> году доля лиц </w:t>
      </w:r>
      <w:r>
        <w:rPr>
          <w:rFonts w:ascii="Times New Roman" w:hAnsi="Times New Roman"/>
          <w:sz w:val="28"/>
          <w:szCs w:val="24"/>
        </w:rPr>
        <w:t xml:space="preserve">старше </w:t>
      </w:r>
      <w:r w:rsidRPr="0014148D">
        <w:rPr>
          <w:rFonts w:ascii="Times New Roman" w:hAnsi="Times New Roman"/>
          <w:sz w:val="28"/>
          <w:szCs w:val="24"/>
        </w:rPr>
        <w:t xml:space="preserve">трудоспособного возраста составляла </w:t>
      </w:r>
      <w:r>
        <w:rPr>
          <w:rFonts w:ascii="Times New Roman" w:hAnsi="Times New Roman"/>
          <w:sz w:val="28"/>
          <w:szCs w:val="24"/>
        </w:rPr>
        <w:t xml:space="preserve">22 </w:t>
      </w:r>
      <w:r w:rsidRPr="0014148D">
        <w:rPr>
          <w:rFonts w:ascii="Times New Roman" w:hAnsi="Times New Roman"/>
          <w:sz w:val="28"/>
          <w:szCs w:val="24"/>
        </w:rPr>
        <w:t>%)</w:t>
      </w:r>
      <w:r>
        <w:rPr>
          <w:rFonts w:ascii="Times New Roman" w:hAnsi="Times New Roman"/>
          <w:sz w:val="28"/>
          <w:szCs w:val="24"/>
        </w:rPr>
        <w:t>.</w:t>
      </w:r>
    </w:p>
    <w:p w:rsidR="002D1E45" w:rsidRPr="00AF5B3E" w:rsidRDefault="002D1E45" w:rsidP="00852938">
      <w:pPr>
        <w:pStyle w:val="Heading2"/>
        <w:numPr>
          <w:ilvl w:val="1"/>
          <w:numId w:val="65"/>
        </w:numPr>
        <w:spacing w:before="240"/>
        <w:ind w:left="993" w:hanging="633"/>
        <w:jc w:val="both"/>
        <w:rPr>
          <w:b/>
        </w:rPr>
      </w:pPr>
      <w:bookmarkStart w:id="115" w:name="_Toc84936020"/>
      <w:bookmarkStart w:id="116" w:name="_Toc337125129"/>
      <w:bookmarkStart w:id="117" w:name="_Toc340212809"/>
      <w:bookmarkStart w:id="118" w:name="_Toc342835921"/>
      <w:bookmarkStart w:id="119" w:name="_Toc345316159"/>
      <w:bookmarkStart w:id="120" w:name="_Toc345510108"/>
      <w:bookmarkStart w:id="121" w:name="_Toc373678861"/>
      <w:bookmarkStart w:id="122" w:name="_Toc391717247"/>
      <w:bookmarkStart w:id="123" w:name="_Toc391717352"/>
      <w:bookmarkStart w:id="124" w:name="_Toc397187982"/>
      <w:bookmarkStart w:id="125" w:name="_Toc397241490"/>
      <w:bookmarkStart w:id="126" w:name="_Toc402346738"/>
      <w:bookmarkStart w:id="127" w:name="_Toc403824903"/>
      <w:bookmarkStart w:id="128" w:name="_Toc404432611"/>
      <w:r w:rsidRPr="00AF5B3E">
        <w:rPr>
          <w:b/>
        </w:rPr>
        <w:t>Структура современного землепользования</w:t>
      </w:r>
      <w:bookmarkEnd w:id="115"/>
    </w:p>
    <w:p w:rsidR="002D1E45" w:rsidRDefault="002D1E45" w:rsidP="001125E5">
      <w:pPr>
        <w:spacing w:after="0" w:line="240" w:lineRule="auto"/>
        <w:ind w:firstLine="709"/>
        <w:contextualSpacing/>
        <w:jc w:val="both"/>
        <w:rPr>
          <w:rFonts w:ascii="Times New Roman" w:hAnsi="Times New Roman"/>
          <w:sz w:val="28"/>
          <w:szCs w:val="24"/>
          <w:lang w:eastAsia="ru-RU"/>
        </w:rPr>
      </w:pPr>
    </w:p>
    <w:p w:rsidR="002D1E45" w:rsidRPr="00894306" w:rsidRDefault="002D1E45" w:rsidP="00146184">
      <w:pPr>
        <w:spacing w:after="0" w:line="240" w:lineRule="auto"/>
        <w:ind w:firstLine="709"/>
        <w:contextualSpacing/>
        <w:jc w:val="both"/>
        <w:rPr>
          <w:rFonts w:ascii="Times New Roman" w:hAnsi="Times New Roman"/>
          <w:sz w:val="28"/>
          <w:szCs w:val="24"/>
          <w:lang w:eastAsia="ru-RU"/>
        </w:rPr>
      </w:pPr>
      <w:r w:rsidRPr="00894306">
        <w:rPr>
          <w:rFonts w:ascii="Times New Roman" w:hAnsi="Times New Roman"/>
          <w:sz w:val="28"/>
          <w:szCs w:val="24"/>
          <w:lang w:eastAsia="ru-RU"/>
        </w:rPr>
        <w:t>Согласно действующему Земельному кодексу Российской Федерации, введённому в</w:t>
      </w:r>
      <w:r>
        <w:rPr>
          <w:rFonts w:ascii="Times New Roman" w:hAnsi="Times New Roman"/>
          <w:sz w:val="28"/>
          <w:szCs w:val="24"/>
          <w:lang w:eastAsia="ru-RU"/>
        </w:rPr>
        <w:t> </w:t>
      </w:r>
      <w:r w:rsidRPr="00894306">
        <w:rPr>
          <w:rFonts w:ascii="Times New Roman" w:hAnsi="Times New Roman"/>
          <w:sz w:val="28"/>
          <w:szCs w:val="24"/>
          <w:lang w:eastAsia="ru-RU"/>
        </w:rPr>
        <w:t>действие 25.10.2001, № 136-ФЗ, все земли Российской Федерации в</w:t>
      </w:r>
      <w:r>
        <w:rPr>
          <w:rFonts w:ascii="Times New Roman" w:hAnsi="Times New Roman"/>
          <w:sz w:val="28"/>
          <w:szCs w:val="24"/>
          <w:lang w:eastAsia="ru-RU"/>
        </w:rPr>
        <w:t> </w:t>
      </w:r>
      <w:r w:rsidRPr="00894306">
        <w:rPr>
          <w:rFonts w:ascii="Times New Roman" w:hAnsi="Times New Roman"/>
          <w:sz w:val="28"/>
          <w:szCs w:val="24"/>
          <w:lang w:eastAsia="ru-RU"/>
        </w:rPr>
        <w:t>соответствии с</w:t>
      </w:r>
      <w:r>
        <w:rPr>
          <w:rFonts w:ascii="Times New Roman" w:hAnsi="Times New Roman"/>
          <w:sz w:val="28"/>
          <w:szCs w:val="24"/>
          <w:lang w:eastAsia="ru-RU"/>
        </w:rPr>
        <w:t> </w:t>
      </w:r>
      <w:r w:rsidRPr="00894306">
        <w:rPr>
          <w:rFonts w:ascii="Times New Roman" w:hAnsi="Times New Roman"/>
          <w:sz w:val="28"/>
          <w:szCs w:val="24"/>
          <w:lang w:eastAsia="ru-RU"/>
        </w:rPr>
        <w:t>основным целевым назначением подразделяются на</w:t>
      </w:r>
      <w:r>
        <w:rPr>
          <w:rFonts w:ascii="Times New Roman" w:hAnsi="Times New Roman"/>
          <w:sz w:val="28"/>
          <w:szCs w:val="24"/>
          <w:lang w:eastAsia="ru-RU"/>
        </w:rPr>
        <w:t> </w:t>
      </w:r>
      <w:r w:rsidRPr="00894306">
        <w:rPr>
          <w:rFonts w:ascii="Times New Roman" w:hAnsi="Times New Roman"/>
          <w:sz w:val="28"/>
          <w:szCs w:val="24"/>
          <w:lang w:eastAsia="ru-RU"/>
        </w:rPr>
        <w:t>семь основных категорий, каждая из</w:t>
      </w:r>
      <w:r>
        <w:rPr>
          <w:rFonts w:ascii="Times New Roman" w:hAnsi="Times New Roman"/>
          <w:sz w:val="28"/>
          <w:szCs w:val="24"/>
          <w:lang w:eastAsia="ru-RU"/>
        </w:rPr>
        <w:t> </w:t>
      </w:r>
      <w:r w:rsidRPr="00894306">
        <w:rPr>
          <w:rFonts w:ascii="Times New Roman" w:hAnsi="Times New Roman"/>
          <w:sz w:val="28"/>
          <w:szCs w:val="24"/>
          <w:lang w:eastAsia="ru-RU"/>
        </w:rPr>
        <w:t>которых характеризуется определённым правовым режимом пользования – законодательно закреплёнными правилами использования земель:</w:t>
      </w:r>
    </w:p>
    <w:p w:rsidR="002D1E45" w:rsidRPr="00894306" w:rsidRDefault="002D1E45" w:rsidP="00D05D06">
      <w:pPr>
        <w:pStyle w:val="ListParagraph"/>
        <w:numPr>
          <w:ilvl w:val="0"/>
          <w:numId w:val="74"/>
        </w:numPr>
        <w:spacing w:after="0" w:line="240" w:lineRule="auto"/>
        <w:jc w:val="both"/>
        <w:rPr>
          <w:rFonts w:ascii="Times New Roman" w:hAnsi="Times New Roman"/>
          <w:sz w:val="28"/>
          <w:szCs w:val="24"/>
          <w:lang w:eastAsia="ru-RU"/>
        </w:rPr>
      </w:pPr>
      <w:r w:rsidRPr="00894306">
        <w:rPr>
          <w:rFonts w:ascii="Times New Roman" w:hAnsi="Times New Roman"/>
          <w:sz w:val="28"/>
          <w:szCs w:val="24"/>
          <w:lang w:eastAsia="ru-RU"/>
        </w:rPr>
        <w:t>земли сельскохозяйственного назначения;</w:t>
      </w:r>
    </w:p>
    <w:p w:rsidR="002D1E45" w:rsidRPr="00894306" w:rsidRDefault="002D1E45" w:rsidP="00D05D06">
      <w:pPr>
        <w:pStyle w:val="ListParagraph"/>
        <w:numPr>
          <w:ilvl w:val="0"/>
          <w:numId w:val="74"/>
        </w:numPr>
        <w:spacing w:after="0" w:line="240" w:lineRule="auto"/>
        <w:jc w:val="both"/>
        <w:rPr>
          <w:rFonts w:ascii="Times New Roman" w:hAnsi="Times New Roman"/>
          <w:sz w:val="28"/>
          <w:szCs w:val="24"/>
          <w:lang w:eastAsia="ru-RU"/>
        </w:rPr>
      </w:pPr>
      <w:r w:rsidRPr="00894306">
        <w:rPr>
          <w:rFonts w:ascii="Times New Roman" w:hAnsi="Times New Roman"/>
          <w:sz w:val="28"/>
          <w:szCs w:val="24"/>
          <w:lang w:eastAsia="ru-RU"/>
        </w:rPr>
        <w:t>земли населённых пунктов;</w:t>
      </w:r>
    </w:p>
    <w:p w:rsidR="002D1E45" w:rsidRPr="00894306" w:rsidRDefault="002D1E45" w:rsidP="00D05D06">
      <w:pPr>
        <w:pStyle w:val="ListParagraph"/>
        <w:numPr>
          <w:ilvl w:val="0"/>
          <w:numId w:val="74"/>
        </w:numPr>
        <w:spacing w:after="0" w:line="240" w:lineRule="auto"/>
        <w:jc w:val="both"/>
        <w:rPr>
          <w:rFonts w:ascii="Times New Roman" w:hAnsi="Times New Roman"/>
          <w:sz w:val="28"/>
          <w:szCs w:val="24"/>
          <w:lang w:eastAsia="ru-RU"/>
        </w:rPr>
      </w:pPr>
      <w:r w:rsidRPr="00894306">
        <w:rPr>
          <w:rFonts w:ascii="Times New Roman" w:hAnsi="Times New Roman"/>
          <w:sz w:val="28"/>
          <w:szCs w:val="24"/>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w:t>
      </w:r>
      <w:r>
        <w:rPr>
          <w:rFonts w:ascii="Times New Roman" w:hAnsi="Times New Roman"/>
          <w:sz w:val="28"/>
          <w:szCs w:val="24"/>
          <w:lang w:eastAsia="ru-RU"/>
        </w:rPr>
        <w:t> </w:t>
      </w:r>
      <w:r w:rsidRPr="00894306">
        <w:rPr>
          <w:rFonts w:ascii="Times New Roman" w:hAnsi="Times New Roman"/>
          <w:sz w:val="28"/>
          <w:szCs w:val="24"/>
          <w:lang w:eastAsia="ru-RU"/>
        </w:rPr>
        <w:t>земли иного специального назначения;</w:t>
      </w:r>
    </w:p>
    <w:p w:rsidR="002D1E45" w:rsidRPr="00894306" w:rsidRDefault="002D1E45" w:rsidP="00D05D06">
      <w:pPr>
        <w:pStyle w:val="ListParagraph"/>
        <w:numPr>
          <w:ilvl w:val="0"/>
          <w:numId w:val="74"/>
        </w:numPr>
        <w:spacing w:after="0" w:line="240" w:lineRule="auto"/>
        <w:jc w:val="both"/>
        <w:rPr>
          <w:rFonts w:ascii="Times New Roman" w:hAnsi="Times New Roman"/>
          <w:sz w:val="28"/>
          <w:szCs w:val="24"/>
          <w:lang w:eastAsia="ru-RU"/>
        </w:rPr>
      </w:pPr>
      <w:r w:rsidRPr="00894306">
        <w:rPr>
          <w:rFonts w:ascii="Times New Roman" w:hAnsi="Times New Roman"/>
          <w:sz w:val="28"/>
          <w:szCs w:val="24"/>
          <w:lang w:eastAsia="ru-RU"/>
        </w:rPr>
        <w:t>земли особо охраняемых территорий и</w:t>
      </w:r>
      <w:r>
        <w:rPr>
          <w:rFonts w:ascii="Times New Roman" w:hAnsi="Times New Roman"/>
          <w:sz w:val="28"/>
          <w:szCs w:val="24"/>
          <w:lang w:eastAsia="ru-RU"/>
        </w:rPr>
        <w:t> </w:t>
      </w:r>
      <w:r w:rsidRPr="00894306">
        <w:rPr>
          <w:rFonts w:ascii="Times New Roman" w:hAnsi="Times New Roman"/>
          <w:sz w:val="28"/>
          <w:szCs w:val="24"/>
          <w:lang w:eastAsia="ru-RU"/>
        </w:rPr>
        <w:t>объектов;</w:t>
      </w:r>
    </w:p>
    <w:p w:rsidR="002D1E45" w:rsidRPr="00894306" w:rsidRDefault="002D1E45" w:rsidP="00D05D06">
      <w:pPr>
        <w:pStyle w:val="ListParagraph"/>
        <w:numPr>
          <w:ilvl w:val="0"/>
          <w:numId w:val="74"/>
        </w:numPr>
        <w:spacing w:after="0" w:line="240" w:lineRule="auto"/>
        <w:jc w:val="both"/>
        <w:rPr>
          <w:rFonts w:ascii="Times New Roman" w:hAnsi="Times New Roman"/>
          <w:sz w:val="28"/>
          <w:szCs w:val="24"/>
          <w:lang w:eastAsia="ru-RU"/>
        </w:rPr>
      </w:pPr>
      <w:r w:rsidRPr="00894306">
        <w:rPr>
          <w:rFonts w:ascii="Times New Roman" w:hAnsi="Times New Roman"/>
          <w:sz w:val="28"/>
          <w:szCs w:val="24"/>
          <w:lang w:eastAsia="ru-RU"/>
        </w:rPr>
        <w:t>земли лесного фонда;</w:t>
      </w:r>
    </w:p>
    <w:p w:rsidR="002D1E45" w:rsidRPr="00894306" w:rsidRDefault="002D1E45" w:rsidP="00D05D06">
      <w:pPr>
        <w:pStyle w:val="ListParagraph"/>
        <w:numPr>
          <w:ilvl w:val="0"/>
          <w:numId w:val="74"/>
        </w:numPr>
        <w:spacing w:after="0" w:line="240" w:lineRule="auto"/>
        <w:jc w:val="both"/>
        <w:rPr>
          <w:rFonts w:ascii="Times New Roman" w:hAnsi="Times New Roman"/>
          <w:sz w:val="28"/>
          <w:szCs w:val="24"/>
          <w:lang w:eastAsia="ru-RU"/>
        </w:rPr>
      </w:pPr>
      <w:r w:rsidRPr="00894306">
        <w:rPr>
          <w:rFonts w:ascii="Times New Roman" w:hAnsi="Times New Roman"/>
          <w:sz w:val="28"/>
          <w:szCs w:val="24"/>
          <w:lang w:eastAsia="ru-RU"/>
        </w:rPr>
        <w:t>земли водного фонда;</w:t>
      </w:r>
    </w:p>
    <w:p w:rsidR="002D1E45" w:rsidRPr="00894306" w:rsidRDefault="002D1E45" w:rsidP="00D05D06">
      <w:pPr>
        <w:pStyle w:val="ListParagraph"/>
        <w:numPr>
          <w:ilvl w:val="0"/>
          <w:numId w:val="74"/>
        </w:numPr>
        <w:spacing w:after="0" w:line="240" w:lineRule="auto"/>
        <w:jc w:val="both"/>
        <w:rPr>
          <w:rFonts w:ascii="Times New Roman" w:hAnsi="Times New Roman"/>
          <w:sz w:val="28"/>
          <w:szCs w:val="24"/>
          <w:lang w:eastAsia="ru-RU"/>
        </w:rPr>
      </w:pPr>
      <w:r w:rsidRPr="00894306">
        <w:rPr>
          <w:rFonts w:ascii="Times New Roman" w:hAnsi="Times New Roman"/>
          <w:sz w:val="28"/>
          <w:szCs w:val="24"/>
          <w:lang w:eastAsia="ru-RU"/>
        </w:rPr>
        <w:t>земли запаса.</w:t>
      </w:r>
    </w:p>
    <w:p w:rsidR="002D1E45" w:rsidRPr="00894306" w:rsidRDefault="002D1E45" w:rsidP="00146184">
      <w:pPr>
        <w:spacing w:after="0" w:line="240" w:lineRule="auto"/>
        <w:ind w:firstLine="709"/>
        <w:contextualSpacing/>
        <w:jc w:val="both"/>
        <w:rPr>
          <w:rFonts w:ascii="Times New Roman" w:hAnsi="Times New Roman"/>
          <w:sz w:val="28"/>
          <w:szCs w:val="24"/>
          <w:lang w:eastAsia="ru-RU"/>
        </w:rPr>
      </w:pPr>
      <w:r w:rsidRPr="00894306">
        <w:rPr>
          <w:rFonts w:ascii="Times New Roman" w:hAnsi="Times New Roman"/>
          <w:b/>
          <w:sz w:val="28"/>
          <w:szCs w:val="24"/>
          <w:lang w:eastAsia="ru-RU"/>
        </w:rPr>
        <w:t>Земли сельскохозяйственного назначения</w:t>
      </w:r>
      <w:r w:rsidRPr="00894306">
        <w:rPr>
          <w:rFonts w:ascii="Times New Roman" w:hAnsi="Times New Roman"/>
          <w:sz w:val="28"/>
          <w:szCs w:val="24"/>
          <w:lang w:eastAsia="ru-RU"/>
        </w:rPr>
        <w:t xml:space="preserve"> – земли, находящиеся за</w:t>
      </w:r>
      <w:r>
        <w:rPr>
          <w:rFonts w:ascii="Times New Roman" w:hAnsi="Times New Roman"/>
          <w:sz w:val="28"/>
          <w:szCs w:val="24"/>
          <w:lang w:eastAsia="ru-RU"/>
        </w:rPr>
        <w:t> </w:t>
      </w:r>
      <w:r w:rsidRPr="00894306">
        <w:rPr>
          <w:rFonts w:ascii="Times New Roman" w:hAnsi="Times New Roman"/>
          <w:sz w:val="28"/>
          <w:szCs w:val="24"/>
          <w:lang w:eastAsia="ru-RU"/>
        </w:rPr>
        <w:t>границами населённого пункта и</w:t>
      </w:r>
      <w:r>
        <w:rPr>
          <w:rFonts w:ascii="Times New Roman" w:hAnsi="Times New Roman"/>
          <w:sz w:val="28"/>
          <w:szCs w:val="24"/>
          <w:lang w:eastAsia="ru-RU"/>
        </w:rPr>
        <w:t> </w:t>
      </w:r>
      <w:r w:rsidRPr="00894306">
        <w:rPr>
          <w:rFonts w:ascii="Times New Roman" w:hAnsi="Times New Roman"/>
          <w:sz w:val="28"/>
          <w:szCs w:val="24"/>
          <w:lang w:eastAsia="ru-RU"/>
        </w:rPr>
        <w:t>предоставленные для нужд сельского хозяйства, а</w:t>
      </w:r>
      <w:r>
        <w:rPr>
          <w:rFonts w:ascii="Times New Roman" w:hAnsi="Times New Roman"/>
          <w:sz w:val="28"/>
          <w:szCs w:val="24"/>
          <w:lang w:eastAsia="ru-RU"/>
        </w:rPr>
        <w:t> </w:t>
      </w:r>
      <w:r w:rsidRPr="00894306">
        <w:rPr>
          <w:rFonts w:ascii="Times New Roman" w:hAnsi="Times New Roman"/>
          <w:sz w:val="28"/>
          <w:szCs w:val="24"/>
          <w:lang w:eastAsia="ru-RU"/>
        </w:rPr>
        <w:t>также предназначенные для этих целей.</w:t>
      </w:r>
    </w:p>
    <w:p w:rsidR="002D1E45" w:rsidRPr="00894306" w:rsidRDefault="002D1E45" w:rsidP="00146184">
      <w:pPr>
        <w:spacing w:after="0" w:line="240" w:lineRule="auto"/>
        <w:ind w:firstLine="709"/>
        <w:contextualSpacing/>
        <w:jc w:val="both"/>
        <w:rPr>
          <w:rFonts w:ascii="Times New Roman" w:hAnsi="Times New Roman"/>
          <w:sz w:val="28"/>
          <w:szCs w:val="24"/>
          <w:lang w:eastAsia="ru-RU"/>
        </w:rPr>
      </w:pPr>
      <w:r w:rsidRPr="00894306">
        <w:rPr>
          <w:rFonts w:ascii="Times New Roman" w:hAnsi="Times New Roman"/>
          <w:sz w:val="28"/>
          <w:szCs w:val="24"/>
          <w:lang w:eastAsia="ru-RU"/>
        </w:rPr>
        <w:t>В составе земель сельскохозяйственного назначения выделяются сельскохозяйственные угодья, земли, занятые внутрихозяйственными дорогами, коммуникациями, лесными насаждениями, предназначенными для обеспечения защиты земель от</w:t>
      </w:r>
      <w:r>
        <w:rPr>
          <w:rFonts w:ascii="Times New Roman" w:hAnsi="Times New Roman"/>
          <w:sz w:val="28"/>
          <w:szCs w:val="24"/>
          <w:lang w:eastAsia="ru-RU"/>
        </w:rPr>
        <w:t> </w:t>
      </w:r>
      <w:r w:rsidRPr="00894306">
        <w:rPr>
          <w:rFonts w:ascii="Times New Roman" w:hAnsi="Times New Roman"/>
          <w:sz w:val="28"/>
          <w:szCs w:val="24"/>
          <w:lang w:eastAsia="ru-RU"/>
        </w:rPr>
        <w:t>негативного воздействия, водными объектами (в том числе прудами, образованными водоподпорными сооружениями на</w:t>
      </w:r>
      <w:r>
        <w:rPr>
          <w:rFonts w:ascii="Times New Roman" w:hAnsi="Times New Roman"/>
          <w:sz w:val="28"/>
          <w:szCs w:val="24"/>
          <w:lang w:eastAsia="ru-RU"/>
        </w:rPr>
        <w:t> </w:t>
      </w:r>
      <w:r w:rsidRPr="00894306">
        <w:rPr>
          <w:rFonts w:ascii="Times New Roman" w:hAnsi="Times New Roman"/>
          <w:sz w:val="28"/>
          <w:szCs w:val="24"/>
          <w:lang w:eastAsia="ru-RU"/>
        </w:rPr>
        <w:t>водотоках и</w:t>
      </w:r>
      <w:r>
        <w:rPr>
          <w:rFonts w:ascii="Times New Roman" w:hAnsi="Times New Roman"/>
          <w:sz w:val="28"/>
          <w:szCs w:val="24"/>
          <w:lang w:eastAsia="ru-RU"/>
        </w:rPr>
        <w:t> </w:t>
      </w:r>
      <w:r w:rsidRPr="00894306">
        <w:rPr>
          <w:rFonts w:ascii="Times New Roman" w:hAnsi="Times New Roman"/>
          <w:sz w:val="28"/>
          <w:szCs w:val="24"/>
          <w:lang w:eastAsia="ru-RU"/>
        </w:rPr>
        <w:t>используемыми для целей осуществления прудовой аквакультуры), а</w:t>
      </w:r>
      <w:r>
        <w:rPr>
          <w:rFonts w:ascii="Times New Roman" w:hAnsi="Times New Roman"/>
          <w:sz w:val="28"/>
          <w:szCs w:val="24"/>
          <w:lang w:eastAsia="ru-RU"/>
        </w:rPr>
        <w:t> </w:t>
      </w:r>
      <w:r w:rsidRPr="00894306">
        <w:rPr>
          <w:rFonts w:ascii="Times New Roman" w:hAnsi="Times New Roman"/>
          <w:sz w:val="28"/>
          <w:szCs w:val="24"/>
          <w:lang w:eastAsia="ru-RU"/>
        </w:rPr>
        <w:t>также зданиями, сооружениями, используемыми для производства, хранения и</w:t>
      </w:r>
      <w:r>
        <w:rPr>
          <w:rFonts w:ascii="Times New Roman" w:hAnsi="Times New Roman"/>
          <w:sz w:val="28"/>
          <w:szCs w:val="24"/>
          <w:lang w:eastAsia="ru-RU"/>
        </w:rPr>
        <w:t> </w:t>
      </w:r>
      <w:r w:rsidRPr="00894306">
        <w:rPr>
          <w:rFonts w:ascii="Times New Roman" w:hAnsi="Times New Roman"/>
          <w:sz w:val="28"/>
          <w:szCs w:val="24"/>
          <w:lang w:eastAsia="ru-RU"/>
        </w:rPr>
        <w:t>первичной переработки сельскохозяйственной продукции.</w:t>
      </w:r>
    </w:p>
    <w:p w:rsidR="002D1E45" w:rsidRPr="00894306" w:rsidRDefault="002D1E45" w:rsidP="00146184">
      <w:pPr>
        <w:spacing w:after="0" w:line="240" w:lineRule="auto"/>
        <w:ind w:firstLine="709"/>
        <w:contextualSpacing/>
        <w:jc w:val="both"/>
        <w:rPr>
          <w:rFonts w:ascii="Times New Roman" w:hAnsi="Times New Roman"/>
          <w:sz w:val="28"/>
          <w:szCs w:val="24"/>
          <w:lang w:eastAsia="ru-RU"/>
        </w:rPr>
      </w:pPr>
      <w:r w:rsidRPr="00894306">
        <w:rPr>
          <w:rFonts w:ascii="Times New Roman" w:hAnsi="Times New Roman"/>
          <w:sz w:val="28"/>
          <w:szCs w:val="24"/>
          <w:lang w:eastAsia="ru-RU"/>
        </w:rPr>
        <w:t>Сельскохозяйственные угодья – пашни, сенокосы, пастбища, залежи, земли, занятые многолетними насаждениями (садами, виноградниками и</w:t>
      </w:r>
      <w:r>
        <w:rPr>
          <w:rFonts w:ascii="Times New Roman" w:hAnsi="Times New Roman"/>
          <w:sz w:val="28"/>
          <w:szCs w:val="24"/>
          <w:lang w:eastAsia="ru-RU"/>
        </w:rPr>
        <w:t> </w:t>
      </w:r>
      <w:r w:rsidRPr="00894306">
        <w:rPr>
          <w:rFonts w:ascii="Times New Roman" w:hAnsi="Times New Roman"/>
          <w:sz w:val="28"/>
          <w:szCs w:val="24"/>
          <w:lang w:eastAsia="ru-RU"/>
        </w:rPr>
        <w:t>другими), - в</w:t>
      </w:r>
      <w:r>
        <w:rPr>
          <w:rFonts w:ascii="Times New Roman" w:hAnsi="Times New Roman"/>
          <w:sz w:val="28"/>
          <w:szCs w:val="24"/>
          <w:lang w:eastAsia="ru-RU"/>
        </w:rPr>
        <w:t> </w:t>
      </w:r>
      <w:r w:rsidRPr="00894306">
        <w:rPr>
          <w:rFonts w:ascii="Times New Roman" w:hAnsi="Times New Roman"/>
          <w:sz w:val="28"/>
          <w:szCs w:val="24"/>
          <w:lang w:eastAsia="ru-RU"/>
        </w:rPr>
        <w:t>составе земель сельскохозяйственного назначения имеют приоритет в</w:t>
      </w:r>
      <w:r>
        <w:rPr>
          <w:rFonts w:ascii="Times New Roman" w:hAnsi="Times New Roman"/>
          <w:sz w:val="28"/>
          <w:szCs w:val="24"/>
          <w:lang w:eastAsia="ru-RU"/>
        </w:rPr>
        <w:t> </w:t>
      </w:r>
      <w:r w:rsidRPr="00894306">
        <w:rPr>
          <w:rFonts w:ascii="Times New Roman" w:hAnsi="Times New Roman"/>
          <w:sz w:val="28"/>
          <w:szCs w:val="24"/>
          <w:lang w:eastAsia="ru-RU"/>
        </w:rPr>
        <w:t>использовании и</w:t>
      </w:r>
      <w:r>
        <w:rPr>
          <w:rFonts w:ascii="Times New Roman" w:hAnsi="Times New Roman"/>
          <w:sz w:val="28"/>
          <w:szCs w:val="24"/>
          <w:lang w:eastAsia="ru-RU"/>
        </w:rPr>
        <w:t> </w:t>
      </w:r>
      <w:r w:rsidRPr="00894306">
        <w:rPr>
          <w:rFonts w:ascii="Times New Roman" w:hAnsi="Times New Roman"/>
          <w:sz w:val="28"/>
          <w:szCs w:val="24"/>
          <w:lang w:eastAsia="ru-RU"/>
        </w:rPr>
        <w:t>подлежат особой охране.</w:t>
      </w:r>
    </w:p>
    <w:p w:rsidR="002D1E45" w:rsidRPr="00894306" w:rsidRDefault="002D1E45" w:rsidP="00146184">
      <w:pPr>
        <w:spacing w:after="0" w:line="240" w:lineRule="auto"/>
        <w:ind w:firstLine="709"/>
        <w:contextualSpacing/>
        <w:jc w:val="both"/>
        <w:rPr>
          <w:rFonts w:ascii="Times New Roman" w:hAnsi="Times New Roman"/>
          <w:sz w:val="28"/>
          <w:szCs w:val="24"/>
          <w:lang w:eastAsia="ru-RU"/>
        </w:rPr>
      </w:pPr>
      <w:r w:rsidRPr="00894306">
        <w:rPr>
          <w:rFonts w:ascii="Times New Roman" w:hAnsi="Times New Roman"/>
          <w:b/>
          <w:sz w:val="28"/>
          <w:szCs w:val="24"/>
          <w:lang w:eastAsia="ru-RU"/>
        </w:rPr>
        <w:t>Земли населённых пунктов</w:t>
      </w:r>
      <w:r w:rsidRPr="00894306">
        <w:rPr>
          <w:rFonts w:ascii="Times New Roman" w:hAnsi="Times New Roman"/>
          <w:sz w:val="28"/>
          <w:szCs w:val="24"/>
          <w:lang w:eastAsia="ru-RU"/>
        </w:rPr>
        <w:t>. Землями населённых пунктов признаются земли, используемые и</w:t>
      </w:r>
      <w:r>
        <w:rPr>
          <w:rFonts w:ascii="Times New Roman" w:hAnsi="Times New Roman"/>
          <w:sz w:val="28"/>
          <w:szCs w:val="24"/>
          <w:lang w:eastAsia="ru-RU"/>
        </w:rPr>
        <w:t> </w:t>
      </w:r>
      <w:r w:rsidRPr="00894306">
        <w:rPr>
          <w:rFonts w:ascii="Times New Roman" w:hAnsi="Times New Roman"/>
          <w:sz w:val="28"/>
          <w:szCs w:val="24"/>
          <w:lang w:eastAsia="ru-RU"/>
        </w:rPr>
        <w:t>предназначенные для застройки и</w:t>
      </w:r>
      <w:r>
        <w:rPr>
          <w:rFonts w:ascii="Times New Roman" w:hAnsi="Times New Roman"/>
          <w:sz w:val="28"/>
          <w:szCs w:val="24"/>
          <w:lang w:eastAsia="ru-RU"/>
        </w:rPr>
        <w:t> </w:t>
      </w:r>
      <w:r w:rsidRPr="00894306">
        <w:rPr>
          <w:rFonts w:ascii="Times New Roman" w:hAnsi="Times New Roman"/>
          <w:sz w:val="28"/>
          <w:szCs w:val="24"/>
          <w:lang w:eastAsia="ru-RU"/>
        </w:rPr>
        <w:t>развития населённых пунктов.</w:t>
      </w:r>
    </w:p>
    <w:p w:rsidR="002D1E45" w:rsidRPr="00894306" w:rsidRDefault="002D1E45" w:rsidP="00146184">
      <w:pPr>
        <w:spacing w:after="0" w:line="240" w:lineRule="auto"/>
        <w:ind w:firstLine="709"/>
        <w:contextualSpacing/>
        <w:jc w:val="both"/>
        <w:rPr>
          <w:rFonts w:ascii="Times New Roman" w:hAnsi="Times New Roman"/>
          <w:sz w:val="28"/>
          <w:szCs w:val="24"/>
          <w:lang w:eastAsia="ru-RU"/>
        </w:rPr>
      </w:pPr>
      <w:r w:rsidRPr="00894306">
        <w:rPr>
          <w:rFonts w:ascii="Times New Roman" w:hAnsi="Times New Roman"/>
          <w:sz w:val="28"/>
          <w:szCs w:val="24"/>
          <w:lang w:eastAsia="ru-RU"/>
        </w:rPr>
        <w:t>Границы городских, сельских населённых пунктов отделяют земли населённых пунктов от</w:t>
      </w:r>
      <w:r>
        <w:rPr>
          <w:rFonts w:ascii="Times New Roman" w:hAnsi="Times New Roman"/>
          <w:sz w:val="28"/>
          <w:szCs w:val="24"/>
          <w:lang w:eastAsia="ru-RU"/>
        </w:rPr>
        <w:t> </w:t>
      </w:r>
      <w:r w:rsidRPr="00894306">
        <w:rPr>
          <w:rFonts w:ascii="Times New Roman" w:hAnsi="Times New Roman"/>
          <w:sz w:val="28"/>
          <w:szCs w:val="24"/>
          <w:lang w:eastAsia="ru-RU"/>
        </w:rPr>
        <w:t>земель иных категорий. Границы городских, сельских населённых пунктов не</w:t>
      </w:r>
      <w:r>
        <w:rPr>
          <w:rFonts w:ascii="Times New Roman" w:hAnsi="Times New Roman"/>
          <w:sz w:val="28"/>
          <w:szCs w:val="24"/>
          <w:lang w:eastAsia="ru-RU"/>
        </w:rPr>
        <w:t> </w:t>
      </w:r>
      <w:r w:rsidRPr="00894306">
        <w:rPr>
          <w:rFonts w:ascii="Times New Roman" w:hAnsi="Times New Roman"/>
          <w:sz w:val="28"/>
          <w:szCs w:val="24"/>
          <w:lang w:eastAsia="ru-RU"/>
        </w:rPr>
        <w:t>могут пересекать границы муниципальных образований или выходить за</w:t>
      </w:r>
      <w:r>
        <w:rPr>
          <w:rFonts w:ascii="Times New Roman" w:hAnsi="Times New Roman"/>
          <w:sz w:val="28"/>
          <w:szCs w:val="24"/>
          <w:lang w:eastAsia="ru-RU"/>
        </w:rPr>
        <w:t> </w:t>
      </w:r>
      <w:r w:rsidRPr="00894306">
        <w:rPr>
          <w:rFonts w:ascii="Times New Roman" w:hAnsi="Times New Roman"/>
          <w:sz w:val="28"/>
          <w:szCs w:val="24"/>
          <w:lang w:eastAsia="ru-RU"/>
        </w:rPr>
        <w:t>их</w:t>
      </w:r>
      <w:r>
        <w:rPr>
          <w:rFonts w:ascii="Times New Roman" w:hAnsi="Times New Roman"/>
          <w:sz w:val="28"/>
          <w:szCs w:val="24"/>
          <w:lang w:eastAsia="ru-RU"/>
        </w:rPr>
        <w:t> </w:t>
      </w:r>
      <w:r w:rsidRPr="00894306">
        <w:rPr>
          <w:rFonts w:ascii="Times New Roman" w:hAnsi="Times New Roman"/>
          <w:sz w:val="28"/>
          <w:szCs w:val="24"/>
          <w:lang w:eastAsia="ru-RU"/>
        </w:rPr>
        <w:t>границы, а</w:t>
      </w:r>
      <w:r>
        <w:rPr>
          <w:rFonts w:ascii="Times New Roman" w:hAnsi="Times New Roman"/>
          <w:sz w:val="28"/>
          <w:szCs w:val="24"/>
          <w:lang w:eastAsia="ru-RU"/>
        </w:rPr>
        <w:t> </w:t>
      </w:r>
      <w:r w:rsidRPr="00894306">
        <w:rPr>
          <w:rFonts w:ascii="Times New Roman" w:hAnsi="Times New Roman"/>
          <w:sz w:val="28"/>
          <w:szCs w:val="24"/>
          <w:lang w:eastAsia="ru-RU"/>
        </w:rPr>
        <w:t>также пересекать границы земельных участков, предоставленных гражданам или юридическим лицам.</w:t>
      </w:r>
    </w:p>
    <w:p w:rsidR="002D1E45" w:rsidRPr="00894306" w:rsidRDefault="002D1E45" w:rsidP="00146184">
      <w:pPr>
        <w:spacing w:after="0" w:line="240" w:lineRule="auto"/>
        <w:ind w:firstLine="709"/>
        <w:contextualSpacing/>
        <w:jc w:val="both"/>
        <w:rPr>
          <w:rFonts w:ascii="Times New Roman" w:hAnsi="Times New Roman"/>
          <w:sz w:val="28"/>
          <w:szCs w:val="24"/>
          <w:lang w:eastAsia="ru-RU"/>
        </w:rPr>
      </w:pPr>
      <w:r w:rsidRPr="00894306">
        <w:rPr>
          <w:rFonts w:ascii="Times New Roman" w:hAnsi="Times New Roman"/>
          <w:sz w:val="28"/>
          <w:szCs w:val="24"/>
          <w:lang w:eastAsia="ru-RU"/>
        </w:rPr>
        <w:t>В состав земель населённых пунктов могут входить земельные участки, отнесённые в</w:t>
      </w:r>
      <w:r>
        <w:rPr>
          <w:rFonts w:ascii="Times New Roman" w:hAnsi="Times New Roman"/>
          <w:sz w:val="28"/>
          <w:szCs w:val="24"/>
          <w:lang w:eastAsia="ru-RU"/>
        </w:rPr>
        <w:t> </w:t>
      </w:r>
      <w:r w:rsidRPr="00894306">
        <w:rPr>
          <w:rFonts w:ascii="Times New Roman" w:hAnsi="Times New Roman"/>
          <w:sz w:val="28"/>
          <w:szCs w:val="24"/>
          <w:lang w:eastAsia="ru-RU"/>
        </w:rPr>
        <w:t>соответствии с</w:t>
      </w:r>
      <w:r>
        <w:rPr>
          <w:rFonts w:ascii="Times New Roman" w:hAnsi="Times New Roman"/>
          <w:sz w:val="28"/>
          <w:szCs w:val="24"/>
          <w:lang w:eastAsia="ru-RU"/>
        </w:rPr>
        <w:t> </w:t>
      </w:r>
      <w:r w:rsidRPr="00894306">
        <w:rPr>
          <w:rFonts w:ascii="Times New Roman" w:hAnsi="Times New Roman"/>
          <w:sz w:val="28"/>
          <w:szCs w:val="24"/>
          <w:lang w:eastAsia="ru-RU"/>
        </w:rPr>
        <w:t>градостроительными регламентами к</w:t>
      </w:r>
      <w:r>
        <w:rPr>
          <w:rFonts w:ascii="Times New Roman" w:hAnsi="Times New Roman"/>
          <w:sz w:val="28"/>
          <w:szCs w:val="24"/>
          <w:lang w:eastAsia="ru-RU"/>
        </w:rPr>
        <w:t> </w:t>
      </w:r>
      <w:r w:rsidRPr="00894306">
        <w:rPr>
          <w:rFonts w:ascii="Times New Roman" w:hAnsi="Times New Roman"/>
          <w:sz w:val="28"/>
          <w:szCs w:val="24"/>
          <w:lang w:eastAsia="ru-RU"/>
        </w:rPr>
        <w:t>следующим территориальным зонам:</w:t>
      </w:r>
    </w:p>
    <w:p w:rsidR="002D1E45" w:rsidRPr="00894306" w:rsidRDefault="002D1E45" w:rsidP="00D05D06">
      <w:pPr>
        <w:pStyle w:val="ListParagraph"/>
        <w:numPr>
          <w:ilvl w:val="0"/>
          <w:numId w:val="78"/>
        </w:numPr>
        <w:spacing w:after="0" w:line="240" w:lineRule="auto"/>
        <w:jc w:val="both"/>
        <w:rPr>
          <w:rFonts w:ascii="Times New Roman" w:hAnsi="Times New Roman"/>
          <w:sz w:val="28"/>
          <w:szCs w:val="24"/>
          <w:lang w:eastAsia="ru-RU"/>
        </w:rPr>
      </w:pPr>
      <w:r w:rsidRPr="00894306">
        <w:rPr>
          <w:rFonts w:ascii="Times New Roman" w:hAnsi="Times New Roman"/>
          <w:sz w:val="28"/>
          <w:szCs w:val="24"/>
          <w:lang w:eastAsia="ru-RU"/>
        </w:rPr>
        <w:t>жилым;</w:t>
      </w:r>
    </w:p>
    <w:p w:rsidR="002D1E45" w:rsidRPr="00894306" w:rsidRDefault="002D1E45" w:rsidP="00D05D06">
      <w:pPr>
        <w:pStyle w:val="ListParagraph"/>
        <w:numPr>
          <w:ilvl w:val="0"/>
          <w:numId w:val="78"/>
        </w:numPr>
        <w:spacing w:after="0" w:line="240" w:lineRule="auto"/>
        <w:jc w:val="both"/>
        <w:rPr>
          <w:rFonts w:ascii="Times New Roman" w:hAnsi="Times New Roman"/>
          <w:sz w:val="28"/>
          <w:szCs w:val="24"/>
          <w:lang w:eastAsia="ru-RU"/>
        </w:rPr>
      </w:pPr>
      <w:r w:rsidRPr="00894306">
        <w:rPr>
          <w:rFonts w:ascii="Times New Roman" w:hAnsi="Times New Roman"/>
          <w:sz w:val="28"/>
          <w:szCs w:val="24"/>
          <w:lang w:eastAsia="ru-RU"/>
        </w:rPr>
        <w:t>общественно-деловым;</w:t>
      </w:r>
    </w:p>
    <w:p w:rsidR="002D1E45" w:rsidRPr="00894306" w:rsidRDefault="002D1E45" w:rsidP="00D05D06">
      <w:pPr>
        <w:pStyle w:val="ListParagraph"/>
        <w:numPr>
          <w:ilvl w:val="0"/>
          <w:numId w:val="78"/>
        </w:numPr>
        <w:spacing w:after="0" w:line="240" w:lineRule="auto"/>
        <w:jc w:val="both"/>
        <w:rPr>
          <w:rFonts w:ascii="Times New Roman" w:hAnsi="Times New Roman"/>
          <w:sz w:val="28"/>
          <w:szCs w:val="24"/>
          <w:lang w:eastAsia="ru-RU"/>
        </w:rPr>
      </w:pPr>
      <w:r w:rsidRPr="00894306">
        <w:rPr>
          <w:rFonts w:ascii="Times New Roman" w:hAnsi="Times New Roman"/>
          <w:sz w:val="28"/>
          <w:szCs w:val="24"/>
          <w:lang w:eastAsia="ru-RU"/>
        </w:rPr>
        <w:t>производственным;</w:t>
      </w:r>
    </w:p>
    <w:p w:rsidR="002D1E45" w:rsidRPr="00894306" w:rsidRDefault="002D1E45" w:rsidP="00D05D06">
      <w:pPr>
        <w:pStyle w:val="ListParagraph"/>
        <w:numPr>
          <w:ilvl w:val="0"/>
          <w:numId w:val="78"/>
        </w:numPr>
        <w:spacing w:after="0" w:line="240" w:lineRule="auto"/>
        <w:jc w:val="both"/>
        <w:rPr>
          <w:rFonts w:ascii="Times New Roman" w:hAnsi="Times New Roman"/>
          <w:sz w:val="28"/>
          <w:szCs w:val="24"/>
          <w:lang w:eastAsia="ru-RU"/>
        </w:rPr>
      </w:pPr>
      <w:r w:rsidRPr="00894306">
        <w:rPr>
          <w:rFonts w:ascii="Times New Roman" w:hAnsi="Times New Roman"/>
          <w:sz w:val="28"/>
          <w:szCs w:val="24"/>
          <w:lang w:eastAsia="ru-RU"/>
        </w:rPr>
        <w:t>инженерных и</w:t>
      </w:r>
      <w:r>
        <w:rPr>
          <w:rFonts w:ascii="Times New Roman" w:hAnsi="Times New Roman"/>
          <w:sz w:val="28"/>
          <w:szCs w:val="24"/>
          <w:lang w:eastAsia="ru-RU"/>
        </w:rPr>
        <w:t> </w:t>
      </w:r>
      <w:r w:rsidRPr="00894306">
        <w:rPr>
          <w:rFonts w:ascii="Times New Roman" w:hAnsi="Times New Roman"/>
          <w:sz w:val="28"/>
          <w:szCs w:val="24"/>
          <w:lang w:eastAsia="ru-RU"/>
        </w:rPr>
        <w:t>транспортных инфраструктур;</w:t>
      </w:r>
    </w:p>
    <w:p w:rsidR="002D1E45" w:rsidRPr="00894306" w:rsidRDefault="002D1E45" w:rsidP="00D05D06">
      <w:pPr>
        <w:pStyle w:val="ListParagraph"/>
        <w:numPr>
          <w:ilvl w:val="0"/>
          <w:numId w:val="78"/>
        </w:numPr>
        <w:spacing w:after="0" w:line="240" w:lineRule="auto"/>
        <w:jc w:val="both"/>
        <w:rPr>
          <w:rFonts w:ascii="Times New Roman" w:hAnsi="Times New Roman"/>
          <w:sz w:val="28"/>
          <w:szCs w:val="24"/>
          <w:lang w:eastAsia="ru-RU"/>
        </w:rPr>
      </w:pPr>
      <w:r w:rsidRPr="00894306">
        <w:rPr>
          <w:rFonts w:ascii="Times New Roman" w:hAnsi="Times New Roman"/>
          <w:sz w:val="28"/>
          <w:szCs w:val="24"/>
          <w:lang w:eastAsia="ru-RU"/>
        </w:rPr>
        <w:t>рекреационным;</w:t>
      </w:r>
    </w:p>
    <w:p w:rsidR="002D1E45" w:rsidRPr="00894306" w:rsidRDefault="002D1E45" w:rsidP="00D05D06">
      <w:pPr>
        <w:pStyle w:val="ListParagraph"/>
        <w:numPr>
          <w:ilvl w:val="0"/>
          <w:numId w:val="78"/>
        </w:numPr>
        <w:spacing w:after="0" w:line="240" w:lineRule="auto"/>
        <w:jc w:val="both"/>
        <w:rPr>
          <w:rFonts w:ascii="Times New Roman" w:hAnsi="Times New Roman"/>
          <w:sz w:val="28"/>
          <w:szCs w:val="24"/>
          <w:lang w:eastAsia="ru-RU"/>
        </w:rPr>
      </w:pPr>
      <w:r w:rsidRPr="00894306">
        <w:rPr>
          <w:rFonts w:ascii="Times New Roman" w:hAnsi="Times New Roman"/>
          <w:sz w:val="28"/>
          <w:szCs w:val="24"/>
          <w:lang w:eastAsia="ru-RU"/>
        </w:rPr>
        <w:t>сельскохозяйственного использования;</w:t>
      </w:r>
    </w:p>
    <w:p w:rsidR="002D1E45" w:rsidRPr="00894306" w:rsidRDefault="002D1E45" w:rsidP="00D05D06">
      <w:pPr>
        <w:pStyle w:val="ListParagraph"/>
        <w:numPr>
          <w:ilvl w:val="0"/>
          <w:numId w:val="78"/>
        </w:numPr>
        <w:spacing w:after="0" w:line="240" w:lineRule="auto"/>
        <w:jc w:val="both"/>
        <w:rPr>
          <w:rFonts w:ascii="Times New Roman" w:hAnsi="Times New Roman"/>
          <w:sz w:val="28"/>
          <w:szCs w:val="24"/>
          <w:lang w:eastAsia="ru-RU"/>
        </w:rPr>
      </w:pPr>
      <w:r w:rsidRPr="00894306">
        <w:rPr>
          <w:rFonts w:ascii="Times New Roman" w:hAnsi="Times New Roman"/>
          <w:sz w:val="28"/>
          <w:szCs w:val="24"/>
          <w:lang w:eastAsia="ru-RU"/>
        </w:rPr>
        <w:t>специального назначения;</w:t>
      </w:r>
    </w:p>
    <w:p w:rsidR="002D1E45" w:rsidRPr="00894306" w:rsidRDefault="002D1E45" w:rsidP="00D05D06">
      <w:pPr>
        <w:pStyle w:val="ListParagraph"/>
        <w:numPr>
          <w:ilvl w:val="0"/>
          <w:numId w:val="78"/>
        </w:numPr>
        <w:spacing w:after="0" w:line="240" w:lineRule="auto"/>
        <w:jc w:val="both"/>
        <w:rPr>
          <w:rFonts w:ascii="Times New Roman" w:hAnsi="Times New Roman"/>
          <w:sz w:val="28"/>
          <w:szCs w:val="24"/>
          <w:lang w:eastAsia="ru-RU"/>
        </w:rPr>
      </w:pPr>
      <w:r w:rsidRPr="00894306">
        <w:rPr>
          <w:rFonts w:ascii="Times New Roman" w:hAnsi="Times New Roman"/>
          <w:sz w:val="28"/>
          <w:szCs w:val="24"/>
          <w:lang w:eastAsia="ru-RU"/>
        </w:rPr>
        <w:t>военных объектов;</w:t>
      </w:r>
    </w:p>
    <w:p w:rsidR="002D1E45" w:rsidRPr="00894306" w:rsidRDefault="002D1E45" w:rsidP="00D05D06">
      <w:pPr>
        <w:pStyle w:val="ListParagraph"/>
        <w:numPr>
          <w:ilvl w:val="0"/>
          <w:numId w:val="78"/>
        </w:numPr>
        <w:spacing w:after="0" w:line="240" w:lineRule="auto"/>
        <w:jc w:val="both"/>
        <w:rPr>
          <w:rFonts w:ascii="Times New Roman" w:hAnsi="Times New Roman"/>
          <w:sz w:val="28"/>
          <w:szCs w:val="24"/>
          <w:lang w:eastAsia="ru-RU"/>
        </w:rPr>
      </w:pPr>
      <w:r w:rsidRPr="00894306">
        <w:rPr>
          <w:rFonts w:ascii="Times New Roman" w:hAnsi="Times New Roman"/>
          <w:sz w:val="28"/>
          <w:szCs w:val="24"/>
          <w:lang w:eastAsia="ru-RU"/>
        </w:rPr>
        <w:t>иным территориальным зонам.</w:t>
      </w:r>
    </w:p>
    <w:p w:rsidR="002D1E45" w:rsidRPr="00894306" w:rsidRDefault="002D1E45" w:rsidP="00146184">
      <w:pPr>
        <w:spacing w:after="0" w:line="240" w:lineRule="auto"/>
        <w:ind w:firstLine="709"/>
        <w:contextualSpacing/>
        <w:jc w:val="both"/>
        <w:rPr>
          <w:rFonts w:ascii="Times New Roman" w:hAnsi="Times New Roman"/>
          <w:sz w:val="28"/>
          <w:szCs w:val="24"/>
          <w:lang w:eastAsia="ru-RU"/>
        </w:rPr>
      </w:pPr>
      <w:r w:rsidRPr="00894306">
        <w:rPr>
          <w:rFonts w:ascii="Times New Roman" w:hAnsi="Times New Roman"/>
          <w:sz w:val="28"/>
          <w:szCs w:val="24"/>
          <w:lang w:eastAsia="ru-RU"/>
        </w:rPr>
        <w:t>Границы территориальных зон должны отвечать требованиям принадлежности каждого земельного участка только к</w:t>
      </w:r>
      <w:r>
        <w:rPr>
          <w:rFonts w:ascii="Times New Roman" w:hAnsi="Times New Roman"/>
          <w:sz w:val="28"/>
          <w:szCs w:val="24"/>
          <w:lang w:eastAsia="ru-RU"/>
        </w:rPr>
        <w:t> </w:t>
      </w:r>
      <w:r w:rsidRPr="00894306">
        <w:rPr>
          <w:rFonts w:ascii="Times New Roman" w:hAnsi="Times New Roman"/>
          <w:sz w:val="28"/>
          <w:szCs w:val="24"/>
          <w:lang w:eastAsia="ru-RU"/>
        </w:rPr>
        <w:t>одной зоне.</w:t>
      </w:r>
    </w:p>
    <w:p w:rsidR="002D1E45" w:rsidRPr="00894306" w:rsidRDefault="002D1E45" w:rsidP="00146184">
      <w:pPr>
        <w:spacing w:after="0" w:line="240" w:lineRule="auto"/>
        <w:ind w:firstLine="709"/>
        <w:contextualSpacing/>
        <w:jc w:val="both"/>
        <w:rPr>
          <w:rFonts w:ascii="Times New Roman" w:hAnsi="Times New Roman"/>
          <w:sz w:val="28"/>
          <w:szCs w:val="24"/>
          <w:lang w:eastAsia="ru-RU"/>
        </w:rPr>
      </w:pPr>
      <w:r w:rsidRPr="00894306">
        <w:rPr>
          <w:rFonts w:ascii="Times New Roman" w:hAnsi="Times New Roman"/>
          <w:b/>
          <w:sz w:val="28"/>
          <w:szCs w:val="24"/>
          <w:lang w:eastAsia="ru-RU"/>
        </w:rPr>
        <w:t>Земли промышленности, транспорта, связи, радиовещания, телевидения, информатики и</w:t>
      </w:r>
      <w:r>
        <w:rPr>
          <w:rFonts w:ascii="Times New Roman" w:hAnsi="Times New Roman"/>
          <w:b/>
          <w:sz w:val="28"/>
          <w:szCs w:val="24"/>
          <w:lang w:eastAsia="ru-RU"/>
        </w:rPr>
        <w:t> </w:t>
      </w:r>
      <w:r w:rsidRPr="00894306">
        <w:rPr>
          <w:rFonts w:ascii="Times New Roman" w:hAnsi="Times New Roman"/>
          <w:b/>
          <w:sz w:val="28"/>
          <w:szCs w:val="24"/>
          <w:lang w:eastAsia="ru-RU"/>
        </w:rPr>
        <w:t>космического обеспечения, энергетики, обороны и</w:t>
      </w:r>
      <w:r>
        <w:rPr>
          <w:rFonts w:ascii="Times New Roman" w:hAnsi="Times New Roman"/>
          <w:b/>
          <w:sz w:val="28"/>
          <w:szCs w:val="24"/>
          <w:lang w:eastAsia="ru-RU"/>
        </w:rPr>
        <w:t> </w:t>
      </w:r>
      <w:r w:rsidRPr="00894306">
        <w:rPr>
          <w:rFonts w:ascii="Times New Roman" w:hAnsi="Times New Roman"/>
          <w:b/>
          <w:sz w:val="28"/>
          <w:szCs w:val="24"/>
          <w:lang w:eastAsia="ru-RU"/>
        </w:rPr>
        <w:t>иного назначения</w:t>
      </w:r>
      <w:r w:rsidRPr="00894306">
        <w:rPr>
          <w:rFonts w:ascii="Times New Roman" w:hAnsi="Times New Roman"/>
          <w:sz w:val="28"/>
          <w:szCs w:val="24"/>
          <w:lang w:eastAsia="ru-RU"/>
        </w:rPr>
        <w:t xml:space="preserve"> – земли, расположены за</w:t>
      </w:r>
      <w:r>
        <w:rPr>
          <w:rFonts w:ascii="Times New Roman" w:hAnsi="Times New Roman"/>
          <w:sz w:val="28"/>
          <w:szCs w:val="24"/>
          <w:lang w:eastAsia="ru-RU"/>
        </w:rPr>
        <w:t> </w:t>
      </w:r>
      <w:r w:rsidRPr="00894306">
        <w:rPr>
          <w:rFonts w:ascii="Times New Roman" w:hAnsi="Times New Roman"/>
          <w:sz w:val="28"/>
          <w:szCs w:val="24"/>
          <w:lang w:eastAsia="ru-RU"/>
        </w:rPr>
        <w:t>границами населённых пунктов и</w:t>
      </w:r>
      <w:r>
        <w:rPr>
          <w:rFonts w:ascii="Times New Roman" w:hAnsi="Times New Roman"/>
          <w:sz w:val="28"/>
          <w:szCs w:val="24"/>
          <w:lang w:eastAsia="ru-RU"/>
        </w:rPr>
        <w:t> </w:t>
      </w:r>
      <w:r w:rsidRPr="00894306">
        <w:rPr>
          <w:rFonts w:ascii="Times New Roman" w:hAnsi="Times New Roman"/>
          <w:sz w:val="28"/>
          <w:szCs w:val="24"/>
          <w:lang w:eastAsia="ru-RU"/>
        </w:rPr>
        <w:t>используемые или предназначенные для обеспечения деятельности организаций и (или) эксплуатации объектов промышленности, энергетики, транспорта, связи, радиовещания, телевидения, информатики, объектов для обеспечения космической деятельности, объектов обороны и</w:t>
      </w:r>
      <w:r>
        <w:rPr>
          <w:rFonts w:ascii="Times New Roman" w:hAnsi="Times New Roman"/>
          <w:sz w:val="28"/>
          <w:szCs w:val="24"/>
          <w:lang w:eastAsia="ru-RU"/>
        </w:rPr>
        <w:t> </w:t>
      </w:r>
      <w:r w:rsidRPr="00894306">
        <w:rPr>
          <w:rFonts w:ascii="Times New Roman" w:hAnsi="Times New Roman"/>
          <w:sz w:val="28"/>
          <w:szCs w:val="24"/>
          <w:lang w:eastAsia="ru-RU"/>
        </w:rPr>
        <w:t>безопасности, осуществления иных специальных задач и</w:t>
      </w:r>
      <w:r>
        <w:rPr>
          <w:rFonts w:ascii="Times New Roman" w:hAnsi="Times New Roman"/>
          <w:sz w:val="28"/>
          <w:szCs w:val="24"/>
          <w:lang w:eastAsia="ru-RU"/>
        </w:rPr>
        <w:t> </w:t>
      </w:r>
      <w:r w:rsidRPr="00894306">
        <w:rPr>
          <w:rFonts w:ascii="Times New Roman" w:hAnsi="Times New Roman"/>
          <w:sz w:val="28"/>
          <w:szCs w:val="24"/>
          <w:lang w:eastAsia="ru-RU"/>
        </w:rPr>
        <w:t>права на</w:t>
      </w:r>
      <w:r>
        <w:rPr>
          <w:rFonts w:ascii="Times New Roman" w:hAnsi="Times New Roman"/>
          <w:sz w:val="28"/>
          <w:szCs w:val="24"/>
          <w:lang w:eastAsia="ru-RU"/>
        </w:rPr>
        <w:t> </w:t>
      </w:r>
      <w:r w:rsidRPr="00894306">
        <w:rPr>
          <w:rFonts w:ascii="Times New Roman" w:hAnsi="Times New Roman"/>
          <w:sz w:val="28"/>
          <w:szCs w:val="24"/>
          <w:lang w:eastAsia="ru-RU"/>
        </w:rPr>
        <w:t>которые возникли у</w:t>
      </w:r>
      <w:r>
        <w:rPr>
          <w:rFonts w:ascii="Times New Roman" w:hAnsi="Times New Roman"/>
          <w:sz w:val="28"/>
          <w:szCs w:val="24"/>
          <w:lang w:eastAsia="ru-RU"/>
        </w:rPr>
        <w:t> </w:t>
      </w:r>
      <w:r w:rsidRPr="00894306">
        <w:rPr>
          <w:rFonts w:ascii="Times New Roman" w:hAnsi="Times New Roman"/>
          <w:sz w:val="28"/>
          <w:szCs w:val="24"/>
          <w:lang w:eastAsia="ru-RU"/>
        </w:rPr>
        <w:t>участников земельных отношений по</w:t>
      </w:r>
      <w:r>
        <w:rPr>
          <w:rFonts w:ascii="Times New Roman" w:hAnsi="Times New Roman"/>
          <w:sz w:val="28"/>
          <w:szCs w:val="24"/>
          <w:lang w:eastAsia="ru-RU"/>
        </w:rPr>
        <w:t> </w:t>
      </w:r>
      <w:r w:rsidRPr="00894306">
        <w:rPr>
          <w:rFonts w:ascii="Times New Roman" w:hAnsi="Times New Roman"/>
          <w:sz w:val="28"/>
          <w:szCs w:val="24"/>
          <w:lang w:eastAsia="ru-RU"/>
        </w:rPr>
        <w:t>основаниям, предусмотренным Земельным Кодексом, федеральными законами и</w:t>
      </w:r>
      <w:r>
        <w:rPr>
          <w:rFonts w:ascii="Times New Roman" w:hAnsi="Times New Roman"/>
          <w:sz w:val="28"/>
          <w:szCs w:val="24"/>
          <w:lang w:eastAsia="ru-RU"/>
        </w:rPr>
        <w:t> </w:t>
      </w:r>
      <w:r w:rsidRPr="00894306">
        <w:rPr>
          <w:rFonts w:ascii="Times New Roman" w:hAnsi="Times New Roman"/>
          <w:sz w:val="28"/>
          <w:szCs w:val="24"/>
          <w:lang w:eastAsia="ru-RU"/>
        </w:rPr>
        <w:t>законами субъектов Российской Федерации (далее - земли промышленности и</w:t>
      </w:r>
      <w:r>
        <w:rPr>
          <w:rFonts w:ascii="Times New Roman" w:hAnsi="Times New Roman"/>
          <w:sz w:val="28"/>
          <w:szCs w:val="24"/>
          <w:lang w:eastAsia="ru-RU"/>
        </w:rPr>
        <w:t> </w:t>
      </w:r>
      <w:r w:rsidRPr="00894306">
        <w:rPr>
          <w:rFonts w:ascii="Times New Roman" w:hAnsi="Times New Roman"/>
          <w:sz w:val="28"/>
          <w:szCs w:val="24"/>
          <w:lang w:eastAsia="ru-RU"/>
        </w:rPr>
        <w:t>иного специального назначения).</w:t>
      </w:r>
    </w:p>
    <w:p w:rsidR="002D1E45" w:rsidRPr="00894306" w:rsidRDefault="002D1E45" w:rsidP="00146184">
      <w:pPr>
        <w:spacing w:after="0" w:line="240" w:lineRule="auto"/>
        <w:ind w:firstLine="709"/>
        <w:contextualSpacing/>
        <w:jc w:val="both"/>
        <w:rPr>
          <w:rFonts w:ascii="Times New Roman" w:hAnsi="Times New Roman"/>
          <w:sz w:val="28"/>
          <w:szCs w:val="24"/>
          <w:lang w:eastAsia="ru-RU"/>
        </w:rPr>
      </w:pPr>
      <w:r w:rsidRPr="00894306">
        <w:rPr>
          <w:rFonts w:ascii="Times New Roman" w:hAnsi="Times New Roman"/>
          <w:sz w:val="28"/>
          <w:szCs w:val="24"/>
          <w:lang w:eastAsia="ru-RU"/>
        </w:rPr>
        <w:t>Земли промышленности и</w:t>
      </w:r>
      <w:r>
        <w:rPr>
          <w:rFonts w:ascii="Times New Roman" w:hAnsi="Times New Roman"/>
          <w:sz w:val="28"/>
          <w:szCs w:val="24"/>
          <w:lang w:eastAsia="ru-RU"/>
        </w:rPr>
        <w:t> </w:t>
      </w:r>
      <w:r w:rsidRPr="00894306">
        <w:rPr>
          <w:rFonts w:ascii="Times New Roman" w:hAnsi="Times New Roman"/>
          <w:sz w:val="28"/>
          <w:szCs w:val="24"/>
          <w:lang w:eastAsia="ru-RU"/>
        </w:rPr>
        <w:t>иного специального назначения в</w:t>
      </w:r>
      <w:r>
        <w:rPr>
          <w:rFonts w:ascii="Times New Roman" w:hAnsi="Times New Roman"/>
          <w:sz w:val="28"/>
          <w:szCs w:val="24"/>
          <w:lang w:eastAsia="ru-RU"/>
        </w:rPr>
        <w:t> </w:t>
      </w:r>
      <w:r w:rsidRPr="00894306">
        <w:rPr>
          <w:rFonts w:ascii="Times New Roman" w:hAnsi="Times New Roman"/>
          <w:sz w:val="28"/>
          <w:szCs w:val="24"/>
          <w:lang w:eastAsia="ru-RU"/>
        </w:rPr>
        <w:t>зависимости от</w:t>
      </w:r>
      <w:r>
        <w:rPr>
          <w:rFonts w:ascii="Times New Roman" w:hAnsi="Times New Roman"/>
          <w:sz w:val="28"/>
          <w:szCs w:val="24"/>
          <w:lang w:eastAsia="ru-RU"/>
        </w:rPr>
        <w:t> </w:t>
      </w:r>
      <w:r w:rsidRPr="00894306">
        <w:rPr>
          <w:rFonts w:ascii="Times New Roman" w:hAnsi="Times New Roman"/>
          <w:sz w:val="28"/>
          <w:szCs w:val="24"/>
          <w:lang w:eastAsia="ru-RU"/>
        </w:rPr>
        <w:t>характера специальных задач, для решения которых они используются или предназначены, подразделяются на:</w:t>
      </w:r>
    </w:p>
    <w:p w:rsidR="002D1E45" w:rsidRPr="00894306" w:rsidRDefault="002D1E45" w:rsidP="00D05D06">
      <w:pPr>
        <w:pStyle w:val="ListParagraph"/>
        <w:numPr>
          <w:ilvl w:val="0"/>
          <w:numId w:val="73"/>
        </w:numPr>
        <w:spacing w:after="0" w:line="240" w:lineRule="auto"/>
        <w:jc w:val="both"/>
        <w:rPr>
          <w:rFonts w:ascii="Times New Roman" w:hAnsi="Times New Roman"/>
          <w:sz w:val="28"/>
          <w:szCs w:val="24"/>
          <w:lang w:eastAsia="ru-RU"/>
        </w:rPr>
      </w:pPr>
      <w:r w:rsidRPr="00894306">
        <w:rPr>
          <w:rFonts w:ascii="Times New Roman" w:hAnsi="Times New Roman"/>
          <w:sz w:val="28"/>
          <w:szCs w:val="24"/>
          <w:lang w:eastAsia="ru-RU"/>
        </w:rPr>
        <w:t>земли промышленности;</w:t>
      </w:r>
    </w:p>
    <w:p w:rsidR="002D1E45" w:rsidRPr="00894306" w:rsidRDefault="002D1E45" w:rsidP="00D05D06">
      <w:pPr>
        <w:pStyle w:val="ListParagraph"/>
        <w:numPr>
          <w:ilvl w:val="0"/>
          <w:numId w:val="73"/>
        </w:numPr>
        <w:spacing w:after="0" w:line="240" w:lineRule="auto"/>
        <w:jc w:val="both"/>
        <w:rPr>
          <w:rFonts w:ascii="Times New Roman" w:hAnsi="Times New Roman"/>
          <w:sz w:val="28"/>
          <w:szCs w:val="24"/>
          <w:lang w:eastAsia="ru-RU"/>
        </w:rPr>
      </w:pPr>
      <w:r w:rsidRPr="00894306">
        <w:rPr>
          <w:rFonts w:ascii="Times New Roman" w:hAnsi="Times New Roman"/>
          <w:sz w:val="28"/>
          <w:szCs w:val="24"/>
          <w:lang w:eastAsia="ru-RU"/>
        </w:rPr>
        <w:t>земли энергетики;</w:t>
      </w:r>
    </w:p>
    <w:p w:rsidR="002D1E45" w:rsidRPr="00894306" w:rsidRDefault="002D1E45" w:rsidP="00D05D06">
      <w:pPr>
        <w:pStyle w:val="ListParagraph"/>
        <w:numPr>
          <w:ilvl w:val="0"/>
          <w:numId w:val="73"/>
        </w:numPr>
        <w:spacing w:after="0" w:line="240" w:lineRule="auto"/>
        <w:jc w:val="both"/>
        <w:rPr>
          <w:rFonts w:ascii="Times New Roman" w:hAnsi="Times New Roman"/>
          <w:sz w:val="28"/>
          <w:szCs w:val="24"/>
          <w:lang w:eastAsia="ru-RU"/>
        </w:rPr>
      </w:pPr>
      <w:r w:rsidRPr="00894306">
        <w:rPr>
          <w:rFonts w:ascii="Times New Roman" w:hAnsi="Times New Roman"/>
          <w:sz w:val="28"/>
          <w:szCs w:val="24"/>
          <w:lang w:eastAsia="ru-RU"/>
        </w:rPr>
        <w:t>земли транспорта;</w:t>
      </w:r>
    </w:p>
    <w:p w:rsidR="002D1E45" w:rsidRPr="00894306" w:rsidRDefault="002D1E45" w:rsidP="00D05D06">
      <w:pPr>
        <w:pStyle w:val="ListParagraph"/>
        <w:numPr>
          <w:ilvl w:val="0"/>
          <w:numId w:val="73"/>
        </w:numPr>
        <w:spacing w:after="0" w:line="240" w:lineRule="auto"/>
        <w:jc w:val="both"/>
        <w:rPr>
          <w:rFonts w:ascii="Times New Roman" w:hAnsi="Times New Roman"/>
          <w:sz w:val="28"/>
          <w:szCs w:val="24"/>
          <w:lang w:eastAsia="ru-RU"/>
        </w:rPr>
      </w:pPr>
      <w:r w:rsidRPr="00894306">
        <w:rPr>
          <w:rFonts w:ascii="Times New Roman" w:hAnsi="Times New Roman"/>
          <w:sz w:val="28"/>
          <w:szCs w:val="24"/>
          <w:lang w:eastAsia="ru-RU"/>
        </w:rPr>
        <w:t>земли связи, радиовещания, телевидения, информатики;</w:t>
      </w:r>
    </w:p>
    <w:p w:rsidR="002D1E45" w:rsidRPr="00894306" w:rsidRDefault="002D1E45" w:rsidP="00D05D06">
      <w:pPr>
        <w:pStyle w:val="ListParagraph"/>
        <w:numPr>
          <w:ilvl w:val="0"/>
          <w:numId w:val="73"/>
        </w:numPr>
        <w:spacing w:after="0" w:line="240" w:lineRule="auto"/>
        <w:jc w:val="both"/>
        <w:rPr>
          <w:rFonts w:ascii="Times New Roman" w:hAnsi="Times New Roman"/>
          <w:sz w:val="28"/>
          <w:szCs w:val="24"/>
          <w:lang w:eastAsia="ru-RU"/>
        </w:rPr>
      </w:pPr>
      <w:r w:rsidRPr="00894306">
        <w:rPr>
          <w:rFonts w:ascii="Times New Roman" w:hAnsi="Times New Roman"/>
          <w:sz w:val="28"/>
          <w:szCs w:val="24"/>
          <w:lang w:eastAsia="ru-RU"/>
        </w:rPr>
        <w:t>земли для обеспечения космической деятельности;</w:t>
      </w:r>
    </w:p>
    <w:p w:rsidR="002D1E45" w:rsidRPr="00894306" w:rsidRDefault="002D1E45" w:rsidP="00D05D06">
      <w:pPr>
        <w:pStyle w:val="ListParagraph"/>
        <w:numPr>
          <w:ilvl w:val="0"/>
          <w:numId w:val="73"/>
        </w:numPr>
        <w:spacing w:after="0" w:line="240" w:lineRule="auto"/>
        <w:jc w:val="both"/>
        <w:rPr>
          <w:rFonts w:ascii="Times New Roman" w:hAnsi="Times New Roman"/>
          <w:sz w:val="28"/>
          <w:szCs w:val="24"/>
          <w:lang w:eastAsia="ru-RU"/>
        </w:rPr>
      </w:pPr>
      <w:r w:rsidRPr="00894306">
        <w:rPr>
          <w:rFonts w:ascii="Times New Roman" w:hAnsi="Times New Roman"/>
          <w:sz w:val="28"/>
          <w:szCs w:val="24"/>
          <w:lang w:eastAsia="ru-RU"/>
        </w:rPr>
        <w:t>земли обороны и</w:t>
      </w:r>
      <w:r>
        <w:rPr>
          <w:rFonts w:ascii="Times New Roman" w:hAnsi="Times New Roman"/>
          <w:sz w:val="28"/>
          <w:szCs w:val="24"/>
          <w:lang w:eastAsia="ru-RU"/>
        </w:rPr>
        <w:t> </w:t>
      </w:r>
      <w:r w:rsidRPr="00894306">
        <w:rPr>
          <w:rFonts w:ascii="Times New Roman" w:hAnsi="Times New Roman"/>
          <w:sz w:val="28"/>
          <w:szCs w:val="24"/>
          <w:lang w:eastAsia="ru-RU"/>
        </w:rPr>
        <w:t>безопасности;</w:t>
      </w:r>
    </w:p>
    <w:p w:rsidR="002D1E45" w:rsidRPr="00894306" w:rsidRDefault="002D1E45" w:rsidP="00D05D06">
      <w:pPr>
        <w:pStyle w:val="ListParagraph"/>
        <w:numPr>
          <w:ilvl w:val="0"/>
          <w:numId w:val="73"/>
        </w:numPr>
        <w:spacing w:after="0" w:line="240" w:lineRule="auto"/>
        <w:jc w:val="both"/>
        <w:rPr>
          <w:rFonts w:ascii="Times New Roman" w:hAnsi="Times New Roman"/>
          <w:sz w:val="28"/>
          <w:szCs w:val="24"/>
          <w:lang w:eastAsia="ru-RU"/>
        </w:rPr>
      </w:pPr>
      <w:r w:rsidRPr="00894306">
        <w:rPr>
          <w:rFonts w:ascii="Times New Roman" w:hAnsi="Times New Roman"/>
          <w:sz w:val="28"/>
          <w:szCs w:val="24"/>
          <w:lang w:eastAsia="ru-RU"/>
        </w:rPr>
        <w:t>земли иного специального назначения.</w:t>
      </w:r>
    </w:p>
    <w:p w:rsidR="002D1E45" w:rsidRPr="00894306" w:rsidRDefault="002D1E45" w:rsidP="00146184">
      <w:pPr>
        <w:spacing w:after="0" w:line="240" w:lineRule="auto"/>
        <w:ind w:firstLine="709"/>
        <w:contextualSpacing/>
        <w:jc w:val="both"/>
        <w:rPr>
          <w:rFonts w:ascii="Times New Roman" w:hAnsi="Times New Roman"/>
          <w:sz w:val="28"/>
          <w:szCs w:val="24"/>
          <w:lang w:eastAsia="ru-RU"/>
        </w:rPr>
      </w:pPr>
      <w:r w:rsidRPr="00894306">
        <w:rPr>
          <w:rFonts w:ascii="Times New Roman" w:hAnsi="Times New Roman"/>
          <w:sz w:val="28"/>
          <w:szCs w:val="24"/>
          <w:lang w:eastAsia="ru-RU"/>
        </w:rPr>
        <w:t>В состав земель промышленности и</w:t>
      </w:r>
      <w:r>
        <w:rPr>
          <w:rFonts w:ascii="Times New Roman" w:hAnsi="Times New Roman"/>
          <w:sz w:val="28"/>
          <w:szCs w:val="24"/>
          <w:lang w:eastAsia="ru-RU"/>
        </w:rPr>
        <w:t> </w:t>
      </w:r>
      <w:r w:rsidRPr="00894306">
        <w:rPr>
          <w:rFonts w:ascii="Times New Roman" w:hAnsi="Times New Roman"/>
          <w:sz w:val="28"/>
          <w:szCs w:val="24"/>
          <w:lang w:eastAsia="ru-RU"/>
        </w:rPr>
        <w:t>иного специального назначения в</w:t>
      </w:r>
      <w:r>
        <w:rPr>
          <w:rFonts w:ascii="Times New Roman" w:hAnsi="Times New Roman"/>
          <w:sz w:val="28"/>
          <w:szCs w:val="24"/>
          <w:lang w:eastAsia="ru-RU"/>
        </w:rPr>
        <w:t> </w:t>
      </w:r>
      <w:r w:rsidRPr="00894306">
        <w:rPr>
          <w:rFonts w:ascii="Times New Roman" w:hAnsi="Times New Roman"/>
          <w:sz w:val="28"/>
          <w:szCs w:val="24"/>
          <w:lang w:eastAsia="ru-RU"/>
        </w:rPr>
        <w:t>целях обеспечения безопасности населения и</w:t>
      </w:r>
      <w:r>
        <w:rPr>
          <w:rFonts w:ascii="Times New Roman" w:hAnsi="Times New Roman"/>
          <w:sz w:val="28"/>
          <w:szCs w:val="24"/>
          <w:lang w:eastAsia="ru-RU"/>
        </w:rPr>
        <w:t> </w:t>
      </w:r>
      <w:r w:rsidRPr="00894306">
        <w:rPr>
          <w:rFonts w:ascii="Times New Roman" w:hAnsi="Times New Roman"/>
          <w:sz w:val="28"/>
          <w:szCs w:val="24"/>
          <w:lang w:eastAsia="ru-RU"/>
        </w:rPr>
        <w:t>создания необходимых условий для эксплуатации объектов промышленности, энергетики, особо радиационно опасных и</w:t>
      </w:r>
      <w:r>
        <w:rPr>
          <w:rFonts w:ascii="Times New Roman" w:hAnsi="Times New Roman"/>
          <w:sz w:val="28"/>
          <w:szCs w:val="24"/>
          <w:lang w:eastAsia="ru-RU"/>
        </w:rPr>
        <w:t> </w:t>
      </w:r>
      <w:r w:rsidRPr="00894306">
        <w:rPr>
          <w:rFonts w:ascii="Times New Roman" w:hAnsi="Times New Roman"/>
          <w:sz w:val="28"/>
          <w:szCs w:val="24"/>
          <w:lang w:eastAsia="ru-RU"/>
        </w:rPr>
        <w:t>ядерно-опасных объектов, пунктов хранения ядерных материалов и</w:t>
      </w:r>
      <w:r>
        <w:rPr>
          <w:rFonts w:ascii="Times New Roman" w:hAnsi="Times New Roman"/>
          <w:sz w:val="28"/>
          <w:szCs w:val="24"/>
          <w:lang w:eastAsia="ru-RU"/>
        </w:rPr>
        <w:t> </w:t>
      </w:r>
      <w:r w:rsidRPr="00894306">
        <w:rPr>
          <w:rFonts w:ascii="Times New Roman" w:hAnsi="Times New Roman"/>
          <w:sz w:val="28"/>
          <w:szCs w:val="24"/>
          <w:lang w:eastAsia="ru-RU"/>
        </w:rPr>
        <w:t>радиоактивных веществ, транспортных и</w:t>
      </w:r>
      <w:r>
        <w:rPr>
          <w:rFonts w:ascii="Times New Roman" w:hAnsi="Times New Roman"/>
          <w:sz w:val="28"/>
          <w:szCs w:val="24"/>
          <w:lang w:eastAsia="ru-RU"/>
        </w:rPr>
        <w:t> </w:t>
      </w:r>
      <w:r w:rsidRPr="00894306">
        <w:rPr>
          <w:rFonts w:ascii="Times New Roman" w:hAnsi="Times New Roman"/>
          <w:sz w:val="28"/>
          <w:szCs w:val="24"/>
          <w:lang w:eastAsia="ru-RU"/>
        </w:rPr>
        <w:t>иных объектов могут включаться зоны с</w:t>
      </w:r>
      <w:r>
        <w:rPr>
          <w:rFonts w:ascii="Times New Roman" w:hAnsi="Times New Roman"/>
          <w:sz w:val="28"/>
          <w:szCs w:val="24"/>
          <w:lang w:eastAsia="ru-RU"/>
        </w:rPr>
        <w:t> </w:t>
      </w:r>
      <w:r w:rsidRPr="00894306">
        <w:rPr>
          <w:rFonts w:ascii="Times New Roman" w:hAnsi="Times New Roman"/>
          <w:sz w:val="28"/>
          <w:szCs w:val="24"/>
          <w:lang w:eastAsia="ru-RU"/>
        </w:rPr>
        <w:t>особыми условиями использования земель.</w:t>
      </w:r>
    </w:p>
    <w:p w:rsidR="002D1E45" w:rsidRPr="00894306" w:rsidRDefault="002D1E45" w:rsidP="00146184">
      <w:pPr>
        <w:spacing w:after="0" w:line="240" w:lineRule="auto"/>
        <w:ind w:firstLine="709"/>
        <w:contextualSpacing/>
        <w:jc w:val="both"/>
        <w:rPr>
          <w:rFonts w:ascii="Times New Roman" w:hAnsi="Times New Roman"/>
          <w:sz w:val="28"/>
          <w:szCs w:val="24"/>
          <w:lang w:eastAsia="ru-RU"/>
        </w:rPr>
      </w:pPr>
      <w:r w:rsidRPr="00894306">
        <w:rPr>
          <w:rFonts w:ascii="Times New Roman" w:hAnsi="Times New Roman"/>
          <w:b/>
          <w:sz w:val="28"/>
          <w:szCs w:val="24"/>
          <w:lang w:eastAsia="ru-RU"/>
        </w:rPr>
        <w:t>Земли особо охраняемых территорий</w:t>
      </w:r>
      <w:r w:rsidRPr="00894306">
        <w:rPr>
          <w:rFonts w:ascii="Times New Roman" w:hAnsi="Times New Roman"/>
          <w:sz w:val="28"/>
          <w:szCs w:val="24"/>
          <w:lang w:eastAsia="ru-RU"/>
        </w:rPr>
        <w:t>. К</w:t>
      </w:r>
      <w:r>
        <w:rPr>
          <w:rFonts w:ascii="Times New Roman" w:hAnsi="Times New Roman"/>
          <w:sz w:val="28"/>
          <w:szCs w:val="24"/>
          <w:lang w:eastAsia="ru-RU"/>
        </w:rPr>
        <w:t> </w:t>
      </w:r>
      <w:r w:rsidRPr="00894306">
        <w:rPr>
          <w:rFonts w:ascii="Times New Roman" w:hAnsi="Times New Roman"/>
          <w:sz w:val="28"/>
          <w:szCs w:val="24"/>
          <w:lang w:eastAsia="ru-RU"/>
        </w:rPr>
        <w:t>землям особо охраняемых территорий относятся земли, которые имеют особое природоохранное, научное, историко-культурное, эстетическое, рекреационное, оздоровительное и</w:t>
      </w:r>
      <w:r>
        <w:rPr>
          <w:rFonts w:ascii="Times New Roman" w:hAnsi="Times New Roman"/>
          <w:sz w:val="28"/>
          <w:szCs w:val="24"/>
          <w:lang w:eastAsia="ru-RU"/>
        </w:rPr>
        <w:t> </w:t>
      </w:r>
      <w:r w:rsidRPr="00894306">
        <w:rPr>
          <w:rFonts w:ascii="Times New Roman" w:hAnsi="Times New Roman"/>
          <w:sz w:val="28"/>
          <w:szCs w:val="24"/>
          <w:lang w:eastAsia="ru-RU"/>
        </w:rPr>
        <w:t>иное ценное значение, которые изъяты в</w:t>
      </w:r>
      <w:r>
        <w:rPr>
          <w:rFonts w:ascii="Times New Roman" w:hAnsi="Times New Roman"/>
          <w:sz w:val="28"/>
          <w:szCs w:val="24"/>
          <w:lang w:eastAsia="ru-RU"/>
        </w:rPr>
        <w:t> </w:t>
      </w:r>
      <w:r w:rsidRPr="00894306">
        <w:rPr>
          <w:rFonts w:ascii="Times New Roman" w:hAnsi="Times New Roman"/>
          <w:sz w:val="28"/>
          <w:szCs w:val="24"/>
          <w:lang w:eastAsia="ru-RU"/>
        </w:rPr>
        <w:t>соответствии с</w:t>
      </w:r>
      <w:r>
        <w:rPr>
          <w:rFonts w:ascii="Times New Roman" w:hAnsi="Times New Roman"/>
          <w:sz w:val="28"/>
          <w:szCs w:val="24"/>
          <w:lang w:eastAsia="ru-RU"/>
        </w:rPr>
        <w:t> </w:t>
      </w:r>
      <w:r w:rsidRPr="00894306">
        <w:rPr>
          <w:rFonts w:ascii="Times New Roman" w:hAnsi="Times New Roman"/>
          <w:sz w:val="28"/>
          <w:szCs w:val="24"/>
          <w:lang w:eastAsia="ru-RU"/>
        </w:rPr>
        <w:t>постановлениями федеральных органов государственной власти, органов государственной власти субъектов Российской Федерации или решениями органов местного самоуправления полностью или частично из</w:t>
      </w:r>
      <w:r>
        <w:rPr>
          <w:rFonts w:ascii="Times New Roman" w:hAnsi="Times New Roman"/>
          <w:sz w:val="28"/>
          <w:szCs w:val="24"/>
          <w:lang w:eastAsia="ru-RU"/>
        </w:rPr>
        <w:t> </w:t>
      </w:r>
      <w:r w:rsidRPr="00894306">
        <w:rPr>
          <w:rFonts w:ascii="Times New Roman" w:hAnsi="Times New Roman"/>
          <w:sz w:val="28"/>
          <w:szCs w:val="24"/>
          <w:lang w:eastAsia="ru-RU"/>
        </w:rPr>
        <w:t>хозяйственного использования и</w:t>
      </w:r>
      <w:r>
        <w:rPr>
          <w:rFonts w:ascii="Times New Roman" w:hAnsi="Times New Roman"/>
          <w:sz w:val="28"/>
          <w:szCs w:val="24"/>
          <w:lang w:eastAsia="ru-RU"/>
        </w:rPr>
        <w:t> </w:t>
      </w:r>
      <w:r w:rsidRPr="00894306">
        <w:rPr>
          <w:rFonts w:ascii="Times New Roman" w:hAnsi="Times New Roman"/>
          <w:sz w:val="28"/>
          <w:szCs w:val="24"/>
          <w:lang w:eastAsia="ru-RU"/>
        </w:rPr>
        <w:t>оборота и</w:t>
      </w:r>
      <w:r>
        <w:rPr>
          <w:rFonts w:ascii="Times New Roman" w:hAnsi="Times New Roman"/>
          <w:sz w:val="28"/>
          <w:szCs w:val="24"/>
          <w:lang w:eastAsia="ru-RU"/>
        </w:rPr>
        <w:t> </w:t>
      </w:r>
      <w:r w:rsidRPr="00894306">
        <w:rPr>
          <w:rFonts w:ascii="Times New Roman" w:hAnsi="Times New Roman"/>
          <w:sz w:val="28"/>
          <w:szCs w:val="24"/>
          <w:lang w:eastAsia="ru-RU"/>
        </w:rPr>
        <w:t>для которых установлен особый правовой режим.</w:t>
      </w:r>
    </w:p>
    <w:p w:rsidR="002D1E45" w:rsidRPr="00894306" w:rsidRDefault="002D1E45" w:rsidP="00146184">
      <w:pPr>
        <w:spacing w:after="0" w:line="240" w:lineRule="auto"/>
        <w:ind w:firstLine="709"/>
        <w:contextualSpacing/>
        <w:jc w:val="both"/>
        <w:rPr>
          <w:rFonts w:ascii="Times New Roman" w:hAnsi="Times New Roman"/>
          <w:sz w:val="28"/>
          <w:szCs w:val="24"/>
          <w:lang w:eastAsia="ru-RU"/>
        </w:rPr>
      </w:pPr>
      <w:r w:rsidRPr="00894306">
        <w:rPr>
          <w:rFonts w:ascii="Times New Roman" w:hAnsi="Times New Roman"/>
          <w:sz w:val="28"/>
          <w:szCs w:val="24"/>
          <w:lang w:eastAsia="ru-RU"/>
        </w:rPr>
        <w:t>К землям особо охраняемых территорий относятся земли:</w:t>
      </w:r>
    </w:p>
    <w:p w:rsidR="002D1E45" w:rsidRPr="00894306" w:rsidRDefault="002D1E45" w:rsidP="00D05D06">
      <w:pPr>
        <w:pStyle w:val="ListParagraph"/>
        <w:numPr>
          <w:ilvl w:val="0"/>
          <w:numId w:val="75"/>
        </w:numPr>
        <w:spacing w:after="0" w:line="240" w:lineRule="auto"/>
        <w:jc w:val="both"/>
        <w:rPr>
          <w:rFonts w:ascii="Times New Roman" w:hAnsi="Times New Roman"/>
          <w:sz w:val="28"/>
          <w:szCs w:val="24"/>
          <w:lang w:eastAsia="ru-RU"/>
        </w:rPr>
      </w:pPr>
      <w:r w:rsidRPr="00894306">
        <w:rPr>
          <w:rFonts w:ascii="Times New Roman" w:hAnsi="Times New Roman"/>
          <w:sz w:val="28"/>
          <w:szCs w:val="24"/>
          <w:lang w:eastAsia="ru-RU"/>
        </w:rPr>
        <w:t>особо охраняемых природных территорий;</w:t>
      </w:r>
    </w:p>
    <w:p w:rsidR="002D1E45" w:rsidRPr="00894306" w:rsidRDefault="002D1E45" w:rsidP="00D05D06">
      <w:pPr>
        <w:pStyle w:val="ListParagraph"/>
        <w:numPr>
          <w:ilvl w:val="0"/>
          <w:numId w:val="75"/>
        </w:numPr>
        <w:spacing w:after="0" w:line="240" w:lineRule="auto"/>
        <w:jc w:val="both"/>
        <w:rPr>
          <w:rFonts w:ascii="Times New Roman" w:hAnsi="Times New Roman"/>
          <w:sz w:val="28"/>
          <w:szCs w:val="24"/>
          <w:lang w:eastAsia="ru-RU"/>
        </w:rPr>
      </w:pPr>
      <w:r w:rsidRPr="00894306">
        <w:rPr>
          <w:rFonts w:ascii="Times New Roman" w:hAnsi="Times New Roman"/>
          <w:sz w:val="28"/>
          <w:szCs w:val="24"/>
          <w:lang w:eastAsia="ru-RU"/>
        </w:rPr>
        <w:t>природоохранного назначения;</w:t>
      </w:r>
    </w:p>
    <w:p w:rsidR="002D1E45" w:rsidRPr="00894306" w:rsidRDefault="002D1E45" w:rsidP="00D05D06">
      <w:pPr>
        <w:pStyle w:val="ListParagraph"/>
        <w:numPr>
          <w:ilvl w:val="0"/>
          <w:numId w:val="75"/>
        </w:numPr>
        <w:spacing w:after="0" w:line="240" w:lineRule="auto"/>
        <w:jc w:val="both"/>
        <w:rPr>
          <w:rFonts w:ascii="Times New Roman" w:hAnsi="Times New Roman"/>
          <w:sz w:val="28"/>
          <w:szCs w:val="24"/>
          <w:lang w:eastAsia="ru-RU"/>
        </w:rPr>
      </w:pPr>
      <w:r w:rsidRPr="00894306">
        <w:rPr>
          <w:rFonts w:ascii="Times New Roman" w:hAnsi="Times New Roman"/>
          <w:sz w:val="28"/>
          <w:szCs w:val="24"/>
          <w:lang w:eastAsia="ru-RU"/>
        </w:rPr>
        <w:t>рекреационного назначения;</w:t>
      </w:r>
    </w:p>
    <w:p w:rsidR="002D1E45" w:rsidRPr="00894306" w:rsidRDefault="002D1E45" w:rsidP="00D05D06">
      <w:pPr>
        <w:pStyle w:val="ListParagraph"/>
        <w:numPr>
          <w:ilvl w:val="0"/>
          <w:numId w:val="75"/>
        </w:numPr>
        <w:spacing w:after="0" w:line="240" w:lineRule="auto"/>
        <w:jc w:val="both"/>
        <w:rPr>
          <w:rFonts w:ascii="Times New Roman" w:hAnsi="Times New Roman"/>
          <w:sz w:val="28"/>
          <w:szCs w:val="24"/>
          <w:lang w:eastAsia="ru-RU"/>
        </w:rPr>
      </w:pPr>
      <w:r w:rsidRPr="00894306">
        <w:rPr>
          <w:rFonts w:ascii="Times New Roman" w:hAnsi="Times New Roman"/>
          <w:sz w:val="28"/>
          <w:szCs w:val="24"/>
          <w:lang w:eastAsia="ru-RU"/>
        </w:rPr>
        <w:t>историко-культурного назначения;</w:t>
      </w:r>
    </w:p>
    <w:p w:rsidR="002D1E45" w:rsidRPr="00894306" w:rsidRDefault="002D1E45" w:rsidP="00D05D06">
      <w:pPr>
        <w:pStyle w:val="ListParagraph"/>
        <w:numPr>
          <w:ilvl w:val="0"/>
          <w:numId w:val="75"/>
        </w:numPr>
        <w:spacing w:after="0" w:line="240" w:lineRule="auto"/>
        <w:jc w:val="both"/>
        <w:rPr>
          <w:rFonts w:ascii="Times New Roman" w:hAnsi="Times New Roman"/>
          <w:sz w:val="28"/>
          <w:szCs w:val="24"/>
          <w:lang w:eastAsia="ru-RU"/>
        </w:rPr>
      </w:pPr>
      <w:r w:rsidRPr="00894306">
        <w:rPr>
          <w:rFonts w:ascii="Times New Roman" w:hAnsi="Times New Roman"/>
          <w:sz w:val="28"/>
          <w:szCs w:val="24"/>
          <w:lang w:eastAsia="ru-RU"/>
        </w:rPr>
        <w:t>особо ценные земли.</w:t>
      </w:r>
    </w:p>
    <w:p w:rsidR="002D1E45" w:rsidRPr="00894306" w:rsidRDefault="002D1E45" w:rsidP="00146184">
      <w:pPr>
        <w:spacing w:after="0" w:line="240" w:lineRule="auto"/>
        <w:ind w:firstLine="709"/>
        <w:contextualSpacing/>
        <w:jc w:val="both"/>
        <w:rPr>
          <w:rFonts w:ascii="Times New Roman" w:hAnsi="Times New Roman"/>
          <w:sz w:val="28"/>
          <w:szCs w:val="24"/>
          <w:lang w:eastAsia="ru-RU"/>
        </w:rPr>
      </w:pPr>
      <w:r w:rsidRPr="00894306">
        <w:rPr>
          <w:rFonts w:ascii="Times New Roman" w:hAnsi="Times New Roman"/>
          <w:sz w:val="28"/>
          <w:szCs w:val="24"/>
          <w:lang w:eastAsia="ru-RU"/>
        </w:rPr>
        <w:t>Земли особо охраняемых природных территорий, земли, занятые объектами культурного наследия Российской Федерации, используются для соответствующих целей. Использование этих земель для иных целей ограничивается или запрещается в</w:t>
      </w:r>
      <w:r>
        <w:rPr>
          <w:rFonts w:ascii="Times New Roman" w:hAnsi="Times New Roman"/>
          <w:sz w:val="28"/>
          <w:szCs w:val="24"/>
          <w:lang w:eastAsia="ru-RU"/>
        </w:rPr>
        <w:t> </w:t>
      </w:r>
      <w:r w:rsidRPr="00894306">
        <w:rPr>
          <w:rFonts w:ascii="Times New Roman" w:hAnsi="Times New Roman"/>
          <w:sz w:val="28"/>
          <w:szCs w:val="24"/>
          <w:lang w:eastAsia="ru-RU"/>
        </w:rPr>
        <w:t>случаях, установленных настоящим Кодексом, федеральными законами.</w:t>
      </w:r>
    </w:p>
    <w:p w:rsidR="002D1E45" w:rsidRPr="00894306" w:rsidRDefault="002D1E45" w:rsidP="00146184">
      <w:pPr>
        <w:spacing w:after="0" w:line="240" w:lineRule="auto"/>
        <w:ind w:firstLine="709"/>
        <w:contextualSpacing/>
        <w:jc w:val="both"/>
        <w:rPr>
          <w:rFonts w:ascii="Times New Roman" w:hAnsi="Times New Roman"/>
          <w:sz w:val="28"/>
          <w:szCs w:val="24"/>
          <w:lang w:eastAsia="ru-RU"/>
        </w:rPr>
      </w:pPr>
      <w:r w:rsidRPr="00894306">
        <w:rPr>
          <w:rFonts w:ascii="Times New Roman" w:hAnsi="Times New Roman"/>
          <w:b/>
          <w:sz w:val="28"/>
          <w:szCs w:val="24"/>
          <w:lang w:eastAsia="ru-RU"/>
        </w:rPr>
        <w:t>Земли лесного фонда</w:t>
      </w:r>
      <w:r w:rsidRPr="00894306">
        <w:rPr>
          <w:rFonts w:ascii="Times New Roman" w:hAnsi="Times New Roman"/>
          <w:sz w:val="28"/>
          <w:szCs w:val="24"/>
          <w:lang w:eastAsia="ru-RU"/>
        </w:rPr>
        <w:t xml:space="preserve"> – лесные земли и</w:t>
      </w:r>
      <w:r>
        <w:rPr>
          <w:rFonts w:ascii="Times New Roman" w:hAnsi="Times New Roman"/>
          <w:sz w:val="28"/>
          <w:szCs w:val="24"/>
          <w:lang w:eastAsia="ru-RU"/>
        </w:rPr>
        <w:t> </w:t>
      </w:r>
      <w:r w:rsidRPr="00894306">
        <w:rPr>
          <w:rFonts w:ascii="Times New Roman" w:hAnsi="Times New Roman"/>
          <w:sz w:val="28"/>
          <w:szCs w:val="24"/>
          <w:lang w:eastAsia="ru-RU"/>
        </w:rPr>
        <w:t>нелесные земли, состав которых устанавливается лесным законодательством.</w:t>
      </w:r>
    </w:p>
    <w:p w:rsidR="002D1E45" w:rsidRPr="00894306" w:rsidRDefault="002D1E45" w:rsidP="00146184">
      <w:pPr>
        <w:spacing w:after="0" w:line="240" w:lineRule="auto"/>
        <w:ind w:firstLine="709"/>
        <w:contextualSpacing/>
        <w:jc w:val="both"/>
        <w:rPr>
          <w:rFonts w:ascii="Times New Roman" w:hAnsi="Times New Roman"/>
          <w:sz w:val="28"/>
          <w:szCs w:val="24"/>
          <w:lang w:eastAsia="ru-RU"/>
        </w:rPr>
      </w:pPr>
      <w:r w:rsidRPr="00894306">
        <w:rPr>
          <w:rFonts w:ascii="Times New Roman" w:hAnsi="Times New Roman"/>
          <w:sz w:val="28"/>
          <w:szCs w:val="24"/>
          <w:lang w:eastAsia="ru-RU"/>
        </w:rPr>
        <w:t>К лесным землям относятся земли, на</w:t>
      </w:r>
      <w:r>
        <w:rPr>
          <w:rFonts w:ascii="Times New Roman" w:hAnsi="Times New Roman"/>
          <w:sz w:val="28"/>
          <w:szCs w:val="24"/>
          <w:lang w:eastAsia="ru-RU"/>
        </w:rPr>
        <w:t> </w:t>
      </w:r>
      <w:r w:rsidRPr="00894306">
        <w:rPr>
          <w:rFonts w:ascii="Times New Roman" w:hAnsi="Times New Roman"/>
          <w:sz w:val="28"/>
          <w:szCs w:val="24"/>
          <w:lang w:eastAsia="ru-RU"/>
        </w:rPr>
        <w:t>которых расположены леса, и</w:t>
      </w:r>
      <w:r>
        <w:rPr>
          <w:rFonts w:ascii="Times New Roman" w:hAnsi="Times New Roman"/>
          <w:sz w:val="28"/>
          <w:szCs w:val="24"/>
          <w:lang w:eastAsia="ru-RU"/>
        </w:rPr>
        <w:t> </w:t>
      </w:r>
      <w:r w:rsidRPr="00894306">
        <w:rPr>
          <w:rFonts w:ascii="Times New Roman" w:hAnsi="Times New Roman"/>
          <w:sz w:val="28"/>
          <w:szCs w:val="24"/>
          <w:lang w:eastAsia="ru-RU"/>
        </w:rPr>
        <w:t>земли, предназначенные для лесовосстановления (вырубки, гари, редины, пустыри, прогалины и</w:t>
      </w:r>
      <w:r>
        <w:rPr>
          <w:rFonts w:ascii="Times New Roman" w:hAnsi="Times New Roman"/>
          <w:sz w:val="28"/>
          <w:szCs w:val="24"/>
          <w:lang w:eastAsia="ru-RU"/>
        </w:rPr>
        <w:t> </w:t>
      </w:r>
      <w:r w:rsidRPr="00894306">
        <w:rPr>
          <w:rFonts w:ascii="Times New Roman" w:hAnsi="Times New Roman"/>
          <w:sz w:val="28"/>
          <w:szCs w:val="24"/>
          <w:lang w:eastAsia="ru-RU"/>
        </w:rPr>
        <w:t>другие).</w:t>
      </w:r>
    </w:p>
    <w:p w:rsidR="002D1E45" w:rsidRPr="00894306" w:rsidRDefault="002D1E45" w:rsidP="00146184">
      <w:pPr>
        <w:spacing w:after="0" w:line="240" w:lineRule="auto"/>
        <w:ind w:firstLine="709"/>
        <w:contextualSpacing/>
        <w:jc w:val="both"/>
        <w:rPr>
          <w:rFonts w:ascii="Times New Roman" w:hAnsi="Times New Roman"/>
          <w:sz w:val="28"/>
          <w:szCs w:val="24"/>
          <w:lang w:eastAsia="ru-RU"/>
        </w:rPr>
      </w:pPr>
      <w:r w:rsidRPr="00894306">
        <w:rPr>
          <w:rFonts w:ascii="Times New Roman" w:hAnsi="Times New Roman"/>
          <w:sz w:val="28"/>
          <w:szCs w:val="24"/>
          <w:lang w:eastAsia="ru-RU"/>
        </w:rPr>
        <w:t>К нелесным землям относятся земли, необходимые для освоения лесов (просеки, дороги и</w:t>
      </w:r>
      <w:r>
        <w:rPr>
          <w:rFonts w:ascii="Times New Roman" w:hAnsi="Times New Roman"/>
          <w:sz w:val="28"/>
          <w:szCs w:val="24"/>
          <w:lang w:eastAsia="ru-RU"/>
        </w:rPr>
        <w:t> </w:t>
      </w:r>
      <w:r w:rsidRPr="00894306">
        <w:rPr>
          <w:rFonts w:ascii="Times New Roman" w:hAnsi="Times New Roman"/>
          <w:sz w:val="28"/>
          <w:szCs w:val="24"/>
          <w:lang w:eastAsia="ru-RU"/>
        </w:rPr>
        <w:t>другие), и</w:t>
      </w:r>
      <w:r>
        <w:rPr>
          <w:rFonts w:ascii="Times New Roman" w:hAnsi="Times New Roman"/>
          <w:sz w:val="28"/>
          <w:szCs w:val="24"/>
          <w:lang w:eastAsia="ru-RU"/>
        </w:rPr>
        <w:t> </w:t>
      </w:r>
      <w:r w:rsidRPr="00894306">
        <w:rPr>
          <w:rFonts w:ascii="Times New Roman" w:hAnsi="Times New Roman"/>
          <w:sz w:val="28"/>
          <w:szCs w:val="24"/>
          <w:lang w:eastAsia="ru-RU"/>
        </w:rPr>
        <w:t>земли, неудобные для использования (болота, каменистые россыпи и</w:t>
      </w:r>
      <w:r>
        <w:rPr>
          <w:rFonts w:ascii="Times New Roman" w:hAnsi="Times New Roman"/>
          <w:sz w:val="28"/>
          <w:szCs w:val="24"/>
          <w:lang w:eastAsia="ru-RU"/>
        </w:rPr>
        <w:t> </w:t>
      </w:r>
      <w:r w:rsidRPr="00894306">
        <w:rPr>
          <w:rFonts w:ascii="Times New Roman" w:hAnsi="Times New Roman"/>
          <w:sz w:val="28"/>
          <w:szCs w:val="24"/>
          <w:lang w:eastAsia="ru-RU"/>
        </w:rPr>
        <w:t>другие).</w:t>
      </w:r>
    </w:p>
    <w:p w:rsidR="002D1E45" w:rsidRPr="00894306" w:rsidRDefault="002D1E45" w:rsidP="00146184">
      <w:pPr>
        <w:spacing w:after="0" w:line="240" w:lineRule="auto"/>
        <w:ind w:firstLine="709"/>
        <w:contextualSpacing/>
        <w:jc w:val="both"/>
        <w:rPr>
          <w:rFonts w:ascii="Times New Roman" w:hAnsi="Times New Roman"/>
          <w:sz w:val="28"/>
          <w:szCs w:val="24"/>
          <w:lang w:eastAsia="ru-RU"/>
        </w:rPr>
      </w:pPr>
      <w:r w:rsidRPr="00894306">
        <w:rPr>
          <w:rFonts w:ascii="Times New Roman" w:hAnsi="Times New Roman"/>
          <w:sz w:val="28"/>
          <w:szCs w:val="24"/>
          <w:lang w:eastAsia="ru-RU"/>
        </w:rPr>
        <w:t>Границы земель лесного фонда определяются границами лесничеств.</w:t>
      </w:r>
    </w:p>
    <w:p w:rsidR="002D1E45" w:rsidRPr="00894306" w:rsidRDefault="002D1E45" w:rsidP="00146184">
      <w:pPr>
        <w:spacing w:after="0" w:line="240" w:lineRule="auto"/>
        <w:ind w:firstLine="709"/>
        <w:contextualSpacing/>
        <w:jc w:val="both"/>
        <w:rPr>
          <w:rFonts w:ascii="Times New Roman" w:hAnsi="Times New Roman"/>
          <w:sz w:val="28"/>
          <w:szCs w:val="24"/>
          <w:lang w:eastAsia="ru-RU"/>
        </w:rPr>
      </w:pPr>
      <w:r w:rsidRPr="00894306">
        <w:rPr>
          <w:rFonts w:ascii="Times New Roman" w:hAnsi="Times New Roman"/>
          <w:sz w:val="28"/>
          <w:szCs w:val="24"/>
          <w:lang w:eastAsia="ru-RU"/>
        </w:rPr>
        <w:t>Порядок использования и</w:t>
      </w:r>
      <w:r>
        <w:rPr>
          <w:rFonts w:ascii="Times New Roman" w:hAnsi="Times New Roman"/>
          <w:sz w:val="28"/>
          <w:szCs w:val="24"/>
          <w:lang w:eastAsia="ru-RU"/>
        </w:rPr>
        <w:t> </w:t>
      </w:r>
      <w:r w:rsidRPr="00894306">
        <w:rPr>
          <w:rFonts w:ascii="Times New Roman" w:hAnsi="Times New Roman"/>
          <w:sz w:val="28"/>
          <w:szCs w:val="24"/>
          <w:lang w:eastAsia="ru-RU"/>
        </w:rPr>
        <w:t>охраны земель лесного фонда устанавливается Земельным Кодексом и</w:t>
      </w:r>
      <w:r>
        <w:rPr>
          <w:rFonts w:ascii="Times New Roman" w:hAnsi="Times New Roman"/>
          <w:sz w:val="28"/>
          <w:szCs w:val="24"/>
          <w:lang w:eastAsia="ru-RU"/>
        </w:rPr>
        <w:t> </w:t>
      </w:r>
      <w:r w:rsidRPr="00894306">
        <w:rPr>
          <w:rFonts w:ascii="Times New Roman" w:hAnsi="Times New Roman"/>
          <w:sz w:val="28"/>
          <w:szCs w:val="24"/>
          <w:lang w:eastAsia="ru-RU"/>
        </w:rPr>
        <w:t>лесным законодательством.</w:t>
      </w:r>
    </w:p>
    <w:p w:rsidR="002D1E45" w:rsidRPr="00894306" w:rsidRDefault="002D1E45" w:rsidP="00146184">
      <w:pPr>
        <w:spacing w:after="0" w:line="240" w:lineRule="auto"/>
        <w:ind w:firstLine="709"/>
        <w:contextualSpacing/>
        <w:jc w:val="both"/>
        <w:rPr>
          <w:rFonts w:ascii="Times New Roman" w:hAnsi="Times New Roman"/>
          <w:sz w:val="28"/>
          <w:szCs w:val="24"/>
          <w:lang w:eastAsia="ru-RU"/>
        </w:rPr>
      </w:pPr>
      <w:r w:rsidRPr="00894306">
        <w:rPr>
          <w:rFonts w:ascii="Times New Roman" w:hAnsi="Times New Roman"/>
          <w:b/>
          <w:sz w:val="28"/>
          <w:szCs w:val="24"/>
          <w:lang w:eastAsia="ru-RU"/>
        </w:rPr>
        <w:t>Земли водного фонда</w:t>
      </w:r>
      <w:r w:rsidRPr="00894306">
        <w:rPr>
          <w:rFonts w:ascii="Times New Roman" w:hAnsi="Times New Roman"/>
          <w:sz w:val="28"/>
          <w:szCs w:val="24"/>
          <w:lang w:eastAsia="ru-RU"/>
        </w:rPr>
        <w:t>. К</w:t>
      </w:r>
      <w:r>
        <w:rPr>
          <w:rFonts w:ascii="Times New Roman" w:hAnsi="Times New Roman"/>
          <w:sz w:val="28"/>
          <w:szCs w:val="24"/>
          <w:lang w:eastAsia="ru-RU"/>
        </w:rPr>
        <w:t> </w:t>
      </w:r>
      <w:r w:rsidRPr="00894306">
        <w:rPr>
          <w:rFonts w:ascii="Times New Roman" w:hAnsi="Times New Roman"/>
          <w:sz w:val="28"/>
          <w:szCs w:val="24"/>
          <w:lang w:eastAsia="ru-RU"/>
        </w:rPr>
        <w:t>землям водного фонда относятся земли:</w:t>
      </w:r>
    </w:p>
    <w:p w:rsidR="002D1E45" w:rsidRPr="00894306" w:rsidRDefault="002D1E45" w:rsidP="00D05D06">
      <w:pPr>
        <w:pStyle w:val="ListParagraph"/>
        <w:numPr>
          <w:ilvl w:val="0"/>
          <w:numId w:val="76"/>
        </w:numPr>
        <w:spacing w:after="0" w:line="240" w:lineRule="auto"/>
        <w:jc w:val="both"/>
        <w:rPr>
          <w:rFonts w:ascii="Times New Roman" w:hAnsi="Times New Roman"/>
          <w:sz w:val="28"/>
          <w:szCs w:val="24"/>
          <w:lang w:eastAsia="ru-RU"/>
        </w:rPr>
      </w:pPr>
      <w:r w:rsidRPr="00894306">
        <w:rPr>
          <w:rFonts w:ascii="Times New Roman" w:hAnsi="Times New Roman"/>
          <w:sz w:val="28"/>
          <w:szCs w:val="24"/>
          <w:lang w:eastAsia="ru-RU"/>
        </w:rPr>
        <w:t>покрытые поверхностными водами, сосредоточенными в</w:t>
      </w:r>
      <w:r>
        <w:rPr>
          <w:rFonts w:ascii="Times New Roman" w:hAnsi="Times New Roman"/>
          <w:sz w:val="28"/>
          <w:szCs w:val="24"/>
          <w:lang w:eastAsia="ru-RU"/>
        </w:rPr>
        <w:t> </w:t>
      </w:r>
      <w:r w:rsidRPr="00894306">
        <w:rPr>
          <w:rFonts w:ascii="Times New Roman" w:hAnsi="Times New Roman"/>
          <w:sz w:val="28"/>
          <w:szCs w:val="24"/>
          <w:lang w:eastAsia="ru-RU"/>
        </w:rPr>
        <w:t>водных объектах;</w:t>
      </w:r>
    </w:p>
    <w:p w:rsidR="002D1E45" w:rsidRPr="00894306" w:rsidRDefault="002D1E45" w:rsidP="00D05D06">
      <w:pPr>
        <w:pStyle w:val="ListParagraph"/>
        <w:numPr>
          <w:ilvl w:val="0"/>
          <w:numId w:val="76"/>
        </w:numPr>
        <w:spacing w:after="0" w:line="240" w:lineRule="auto"/>
        <w:jc w:val="both"/>
        <w:rPr>
          <w:rFonts w:ascii="Times New Roman" w:hAnsi="Times New Roman"/>
          <w:sz w:val="28"/>
          <w:szCs w:val="24"/>
          <w:lang w:eastAsia="ru-RU"/>
        </w:rPr>
      </w:pPr>
      <w:r w:rsidRPr="00894306">
        <w:rPr>
          <w:rFonts w:ascii="Times New Roman" w:hAnsi="Times New Roman"/>
          <w:sz w:val="28"/>
          <w:szCs w:val="24"/>
          <w:lang w:eastAsia="ru-RU"/>
        </w:rPr>
        <w:t>занятые гидротехническими и</w:t>
      </w:r>
      <w:r>
        <w:rPr>
          <w:rFonts w:ascii="Times New Roman" w:hAnsi="Times New Roman"/>
          <w:sz w:val="28"/>
          <w:szCs w:val="24"/>
          <w:lang w:eastAsia="ru-RU"/>
        </w:rPr>
        <w:t> </w:t>
      </w:r>
      <w:r w:rsidRPr="00894306">
        <w:rPr>
          <w:rFonts w:ascii="Times New Roman" w:hAnsi="Times New Roman"/>
          <w:sz w:val="28"/>
          <w:szCs w:val="24"/>
          <w:lang w:eastAsia="ru-RU"/>
        </w:rPr>
        <w:t>иными сооружениями, расположенными на</w:t>
      </w:r>
      <w:r>
        <w:rPr>
          <w:rFonts w:ascii="Times New Roman" w:hAnsi="Times New Roman"/>
          <w:sz w:val="28"/>
          <w:szCs w:val="24"/>
          <w:lang w:eastAsia="ru-RU"/>
        </w:rPr>
        <w:t> </w:t>
      </w:r>
      <w:r w:rsidRPr="00894306">
        <w:rPr>
          <w:rFonts w:ascii="Times New Roman" w:hAnsi="Times New Roman"/>
          <w:sz w:val="28"/>
          <w:szCs w:val="24"/>
          <w:lang w:eastAsia="ru-RU"/>
        </w:rPr>
        <w:t>водных объектах.</w:t>
      </w:r>
    </w:p>
    <w:p w:rsidR="002D1E45" w:rsidRPr="00894306" w:rsidRDefault="002D1E45" w:rsidP="00146184">
      <w:pPr>
        <w:spacing w:after="0" w:line="240" w:lineRule="auto"/>
        <w:ind w:firstLine="709"/>
        <w:contextualSpacing/>
        <w:jc w:val="both"/>
        <w:rPr>
          <w:rFonts w:ascii="Times New Roman" w:hAnsi="Times New Roman"/>
          <w:sz w:val="28"/>
          <w:szCs w:val="24"/>
          <w:lang w:eastAsia="ru-RU"/>
        </w:rPr>
      </w:pPr>
      <w:r w:rsidRPr="00894306">
        <w:rPr>
          <w:rFonts w:ascii="Times New Roman" w:hAnsi="Times New Roman"/>
          <w:sz w:val="28"/>
          <w:szCs w:val="24"/>
          <w:lang w:eastAsia="ru-RU"/>
        </w:rPr>
        <w:t>Водный кодекс Российской Федерации относит сосредоточение природных вод на</w:t>
      </w:r>
      <w:r>
        <w:rPr>
          <w:rFonts w:ascii="Times New Roman" w:hAnsi="Times New Roman"/>
          <w:sz w:val="28"/>
          <w:szCs w:val="24"/>
          <w:lang w:eastAsia="ru-RU"/>
        </w:rPr>
        <w:t> </w:t>
      </w:r>
      <w:r w:rsidRPr="00894306">
        <w:rPr>
          <w:rFonts w:ascii="Times New Roman" w:hAnsi="Times New Roman"/>
          <w:sz w:val="28"/>
          <w:szCs w:val="24"/>
          <w:lang w:eastAsia="ru-RU"/>
        </w:rPr>
        <w:t>поверхности суши, имеющее характерные формы распространения и</w:t>
      </w:r>
      <w:r>
        <w:rPr>
          <w:rFonts w:ascii="Times New Roman" w:hAnsi="Times New Roman"/>
          <w:sz w:val="28"/>
          <w:szCs w:val="24"/>
          <w:lang w:eastAsia="ru-RU"/>
        </w:rPr>
        <w:t> </w:t>
      </w:r>
      <w:r w:rsidRPr="00894306">
        <w:rPr>
          <w:rFonts w:ascii="Times New Roman" w:hAnsi="Times New Roman"/>
          <w:sz w:val="28"/>
          <w:szCs w:val="24"/>
          <w:lang w:eastAsia="ru-RU"/>
        </w:rPr>
        <w:t>черты режима к</w:t>
      </w:r>
      <w:r>
        <w:rPr>
          <w:rFonts w:ascii="Times New Roman" w:hAnsi="Times New Roman"/>
          <w:sz w:val="28"/>
          <w:szCs w:val="24"/>
          <w:lang w:eastAsia="ru-RU"/>
        </w:rPr>
        <w:t> </w:t>
      </w:r>
      <w:r w:rsidRPr="00894306">
        <w:rPr>
          <w:rFonts w:ascii="Times New Roman" w:hAnsi="Times New Roman"/>
          <w:sz w:val="28"/>
          <w:szCs w:val="24"/>
          <w:lang w:eastAsia="ru-RU"/>
        </w:rPr>
        <w:t>поверхностным водным объектам. К</w:t>
      </w:r>
      <w:r>
        <w:rPr>
          <w:rFonts w:ascii="Times New Roman" w:hAnsi="Times New Roman"/>
          <w:sz w:val="28"/>
          <w:szCs w:val="24"/>
          <w:lang w:eastAsia="ru-RU"/>
        </w:rPr>
        <w:t> </w:t>
      </w:r>
      <w:r w:rsidRPr="00894306">
        <w:rPr>
          <w:rFonts w:ascii="Times New Roman" w:hAnsi="Times New Roman"/>
          <w:sz w:val="28"/>
          <w:szCs w:val="24"/>
          <w:lang w:eastAsia="ru-RU"/>
        </w:rPr>
        <w:t>землям под водными объектами относятся земли, занятые сосредоточением природных вод на</w:t>
      </w:r>
      <w:r>
        <w:rPr>
          <w:rFonts w:ascii="Times New Roman" w:hAnsi="Times New Roman"/>
          <w:sz w:val="28"/>
          <w:szCs w:val="24"/>
          <w:lang w:eastAsia="ru-RU"/>
        </w:rPr>
        <w:t> </w:t>
      </w:r>
      <w:r w:rsidRPr="00894306">
        <w:rPr>
          <w:rFonts w:ascii="Times New Roman" w:hAnsi="Times New Roman"/>
          <w:sz w:val="28"/>
          <w:szCs w:val="24"/>
          <w:lang w:eastAsia="ru-RU"/>
        </w:rPr>
        <w:t>поверхности суши (реками, ручьями, родниками, озёрами, водохранилищами, прудами, прудами-копанями, каналами и</w:t>
      </w:r>
      <w:r>
        <w:rPr>
          <w:rFonts w:ascii="Times New Roman" w:hAnsi="Times New Roman"/>
          <w:sz w:val="28"/>
          <w:szCs w:val="24"/>
          <w:lang w:eastAsia="ru-RU"/>
        </w:rPr>
        <w:t> </w:t>
      </w:r>
      <w:r w:rsidRPr="00894306">
        <w:rPr>
          <w:rFonts w:ascii="Times New Roman" w:hAnsi="Times New Roman"/>
          <w:sz w:val="28"/>
          <w:szCs w:val="24"/>
          <w:lang w:eastAsia="ru-RU"/>
        </w:rPr>
        <w:t xml:space="preserve">иными поверхностными водными объектами). </w:t>
      </w:r>
    </w:p>
    <w:p w:rsidR="002D1E45" w:rsidRPr="00894306" w:rsidRDefault="002D1E45" w:rsidP="00146184">
      <w:pPr>
        <w:spacing w:after="0" w:line="240" w:lineRule="auto"/>
        <w:ind w:firstLine="709"/>
        <w:contextualSpacing/>
        <w:jc w:val="both"/>
        <w:rPr>
          <w:rFonts w:ascii="Times New Roman" w:hAnsi="Times New Roman"/>
          <w:sz w:val="28"/>
          <w:szCs w:val="24"/>
          <w:lang w:eastAsia="ru-RU"/>
        </w:rPr>
      </w:pPr>
      <w:r w:rsidRPr="00894306">
        <w:rPr>
          <w:rFonts w:ascii="Times New Roman" w:hAnsi="Times New Roman"/>
          <w:sz w:val="28"/>
          <w:szCs w:val="24"/>
          <w:lang w:eastAsia="ru-RU"/>
        </w:rPr>
        <w:t>На землях, покрытых поверхностными водами, не</w:t>
      </w:r>
      <w:r>
        <w:rPr>
          <w:rFonts w:ascii="Times New Roman" w:hAnsi="Times New Roman"/>
          <w:sz w:val="28"/>
          <w:szCs w:val="24"/>
          <w:lang w:eastAsia="ru-RU"/>
        </w:rPr>
        <w:t> </w:t>
      </w:r>
      <w:r w:rsidRPr="00894306">
        <w:rPr>
          <w:rFonts w:ascii="Times New Roman" w:hAnsi="Times New Roman"/>
          <w:sz w:val="28"/>
          <w:szCs w:val="24"/>
          <w:lang w:eastAsia="ru-RU"/>
        </w:rPr>
        <w:t>осуществляется образование земельных участков.</w:t>
      </w:r>
    </w:p>
    <w:p w:rsidR="002D1E45" w:rsidRPr="00894306" w:rsidRDefault="002D1E45" w:rsidP="00146184">
      <w:pPr>
        <w:spacing w:after="0" w:line="240" w:lineRule="auto"/>
        <w:ind w:firstLine="709"/>
        <w:contextualSpacing/>
        <w:jc w:val="both"/>
        <w:rPr>
          <w:rFonts w:ascii="Times New Roman" w:hAnsi="Times New Roman"/>
          <w:sz w:val="28"/>
          <w:szCs w:val="24"/>
          <w:lang w:eastAsia="ru-RU"/>
        </w:rPr>
      </w:pPr>
      <w:r w:rsidRPr="00894306">
        <w:rPr>
          <w:rFonts w:ascii="Times New Roman" w:hAnsi="Times New Roman"/>
          <w:sz w:val="28"/>
          <w:szCs w:val="24"/>
          <w:lang w:eastAsia="ru-RU"/>
        </w:rPr>
        <w:t>В целях строительства водохранилищ и</w:t>
      </w:r>
      <w:r>
        <w:rPr>
          <w:rFonts w:ascii="Times New Roman" w:hAnsi="Times New Roman"/>
          <w:sz w:val="28"/>
          <w:szCs w:val="24"/>
          <w:lang w:eastAsia="ru-RU"/>
        </w:rPr>
        <w:t> </w:t>
      </w:r>
      <w:r w:rsidRPr="00894306">
        <w:rPr>
          <w:rFonts w:ascii="Times New Roman" w:hAnsi="Times New Roman"/>
          <w:sz w:val="28"/>
          <w:szCs w:val="24"/>
          <w:lang w:eastAsia="ru-RU"/>
        </w:rPr>
        <w:t>иных искусственных водных объектов осуществляется резервирование земель.</w:t>
      </w:r>
    </w:p>
    <w:p w:rsidR="002D1E45" w:rsidRPr="00894306" w:rsidRDefault="002D1E45" w:rsidP="00146184">
      <w:pPr>
        <w:spacing w:after="0" w:line="240" w:lineRule="auto"/>
        <w:ind w:firstLine="709"/>
        <w:contextualSpacing/>
        <w:jc w:val="both"/>
        <w:rPr>
          <w:rFonts w:ascii="Times New Roman" w:hAnsi="Times New Roman"/>
          <w:sz w:val="28"/>
          <w:szCs w:val="24"/>
          <w:lang w:eastAsia="ru-RU"/>
        </w:rPr>
      </w:pPr>
      <w:r w:rsidRPr="00894306">
        <w:rPr>
          <w:rFonts w:ascii="Times New Roman" w:hAnsi="Times New Roman"/>
          <w:sz w:val="28"/>
          <w:szCs w:val="24"/>
          <w:lang w:eastAsia="ru-RU"/>
        </w:rPr>
        <w:t>Порядок использования и</w:t>
      </w:r>
      <w:r>
        <w:rPr>
          <w:rFonts w:ascii="Times New Roman" w:hAnsi="Times New Roman"/>
          <w:sz w:val="28"/>
          <w:szCs w:val="24"/>
          <w:lang w:eastAsia="ru-RU"/>
        </w:rPr>
        <w:t> </w:t>
      </w:r>
      <w:r w:rsidRPr="00894306">
        <w:rPr>
          <w:rFonts w:ascii="Times New Roman" w:hAnsi="Times New Roman"/>
          <w:sz w:val="28"/>
          <w:szCs w:val="24"/>
          <w:lang w:eastAsia="ru-RU"/>
        </w:rPr>
        <w:t>охраны земель водного фонда определяется Земельным Кодексом и</w:t>
      </w:r>
      <w:r>
        <w:rPr>
          <w:rFonts w:ascii="Times New Roman" w:hAnsi="Times New Roman"/>
          <w:sz w:val="28"/>
          <w:szCs w:val="24"/>
          <w:lang w:eastAsia="ru-RU"/>
        </w:rPr>
        <w:t> </w:t>
      </w:r>
      <w:r w:rsidRPr="00894306">
        <w:rPr>
          <w:rFonts w:ascii="Times New Roman" w:hAnsi="Times New Roman"/>
          <w:sz w:val="28"/>
          <w:szCs w:val="24"/>
          <w:lang w:eastAsia="ru-RU"/>
        </w:rPr>
        <w:t>водным законодательством.</w:t>
      </w:r>
    </w:p>
    <w:p w:rsidR="002D1E45" w:rsidRPr="00894306" w:rsidRDefault="002D1E45" w:rsidP="00146184">
      <w:pPr>
        <w:spacing w:after="0" w:line="240" w:lineRule="auto"/>
        <w:ind w:firstLine="709"/>
        <w:contextualSpacing/>
        <w:jc w:val="both"/>
        <w:rPr>
          <w:rFonts w:ascii="Times New Roman" w:hAnsi="Times New Roman"/>
          <w:sz w:val="28"/>
          <w:szCs w:val="24"/>
          <w:lang w:eastAsia="ru-RU"/>
        </w:rPr>
      </w:pPr>
      <w:r w:rsidRPr="00894306">
        <w:rPr>
          <w:rFonts w:ascii="Times New Roman" w:hAnsi="Times New Roman"/>
          <w:b/>
          <w:sz w:val="28"/>
          <w:szCs w:val="24"/>
          <w:lang w:eastAsia="ru-RU"/>
        </w:rPr>
        <w:t>Земли запаса</w:t>
      </w:r>
      <w:r w:rsidRPr="00894306">
        <w:rPr>
          <w:rFonts w:ascii="Times New Roman" w:hAnsi="Times New Roman"/>
          <w:sz w:val="28"/>
          <w:szCs w:val="24"/>
          <w:lang w:eastAsia="ru-RU"/>
        </w:rPr>
        <w:t xml:space="preserve"> – это земли, находящиеся в</w:t>
      </w:r>
      <w:r>
        <w:rPr>
          <w:rFonts w:ascii="Times New Roman" w:hAnsi="Times New Roman"/>
          <w:sz w:val="28"/>
          <w:szCs w:val="24"/>
          <w:lang w:eastAsia="ru-RU"/>
        </w:rPr>
        <w:t> </w:t>
      </w:r>
      <w:r w:rsidRPr="00894306">
        <w:rPr>
          <w:rFonts w:ascii="Times New Roman" w:hAnsi="Times New Roman"/>
          <w:sz w:val="28"/>
          <w:szCs w:val="24"/>
          <w:lang w:eastAsia="ru-RU"/>
        </w:rPr>
        <w:t>государственной или муниципальной собственности и</w:t>
      </w:r>
      <w:r>
        <w:rPr>
          <w:rFonts w:ascii="Times New Roman" w:hAnsi="Times New Roman"/>
          <w:sz w:val="28"/>
          <w:szCs w:val="24"/>
          <w:lang w:eastAsia="ru-RU"/>
        </w:rPr>
        <w:t> </w:t>
      </w:r>
      <w:r w:rsidRPr="00894306">
        <w:rPr>
          <w:rFonts w:ascii="Times New Roman" w:hAnsi="Times New Roman"/>
          <w:sz w:val="28"/>
          <w:szCs w:val="24"/>
          <w:lang w:eastAsia="ru-RU"/>
        </w:rPr>
        <w:t>не</w:t>
      </w:r>
      <w:r>
        <w:rPr>
          <w:rFonts w:ascii="Times New Roman" w:hAnsi="Times New Roman"/>
          <w:sz w:val="28"/>
          <w:szCs w:val="24"/>
          <w:lang w:eastAsia="ru-RU"/>
        </w:rPr>
        <w:t> </w:t>
      </w:r>
      <w:r w:rsidRPr="00894306">
        <w:rPr>
          <w:rFonts w:ascii="Times New Roman" w:hAnsi="Times New Roman"/>
          <w:sz w:val="28"/>
          <w:szCs w:val="24"/>
          <w:lang w:eastAsia="ru-RU"/>
        </w:rPr>
        <w:t>предоставленные гражданам или юридическим лицам, за</w:t>
      </w:r>
      <w:r>
        <w:rPr>
          <w:rFonts w:ascii="Times New Roman" w:hAnsi="Times New Roman"/>
          <w:sz w:val="28"/>
          <w:szCs w:val="24"/>
          <w:lang w:eastAsia="ru-RU"/>
        </w:rPr>
        <w:t> </w:t>
      </w:r>
      <w:r w:rsidRPr="00894306">
        <w:rPr>
          <w:rFonts w:ascii="Times New Roman" w:hAnsi="Times New Roman"/>
          <w:sz w:val="28"/>
          <w:szCs w:val="24"/>
          <w:lang w:eastAsia="ru-RU"/>
        </w:rPr>
        <w:t>исключением земель фонда перераспределения земель.</w:t>
      </w:r>
    </w:p>
    <w:p w:rsidR="002D1E45" w:rsidRPr="00894306" w:rsidRDefault="002D1E45" w:rsidP="00146184">
      <w:pPr>
        <w:spacing w:after="0" w:line="240" w:lineRule="auto"/>
        <w:ind w:firstLine="709"/>
        <w:contextualSpacing/>
        <w:jc w:val="both"/>
        <w:rPr>
          <w:rFonts w:ascii="Times New Roman" w:hAnsi="Times New Roman"/>
          <w:sz w:val="28"/>
          <w:szCs w:val="24"/>
          <w:lang w:eastAsia="ru-RU"/>
        </w:rPr>
      </w:pPr>
      <w:r w:rsidRPr="00894306">
        <w:rPr>
          <w:rFonts w:ascii="Times New Roman" w:hAnsi="Times New Roman"/>
          <w:sz w:val="28"/>
          <w:szCs w:val="24"/>
          <w:lang w:eastAsia="ru-RU"/>
        </w:rPr>
        <w:t>Использование земель запаса допускается после перевода их</w:t>
      </w:r>
      <w:r>
        <w:rPr>
          <w:rFonts w:ascii="Times New Roman" w:hAnsi="Times New Roman"/>
          <w:sz w:val="28"/>
          <w:szCs w:val="24"/>
          <w:lang w:eastAsia="ru-RU"/>
        </w:rPr>
        <w:t> </w:t>
      </w:r>
      <w:r w:rsidRPr="00894306">
        <w:rPr>
          <w:rFonts w:ascii="Times New Roman" w:hAnsi="Times New Roman"/>
          <w:sz w:val="28"/>
          <w:szCs w:val="24"/>
          <w:lang w:eastAsia="ru-RU"/>
        </w:rPr>
        <w:t>в</w:t>
      </w:r>
      <w:r>
        <w:rPr>
          <w:rFonts w:ascii="Times New Roman" w:hAnsi="Times New Roman"/>
          <w:sz w:val="28"/>
          <w:szCs w:val="24"/>
          <w:lang w:eastAsia="ru-RU"/>
        </w:rPr>
        <w:t> </w:t>
      </w:r>
      <w:r w:rsidRPr="00894306">
        <w:rPr>
          <w:rFonts w:ascii="Times New Roman" w:hAnsi="Times New Roman"/>
          <w:sz w:val="28"/>
          <w:szCs w:val="24"/>
          <w:lang w:eastAsia="ru-RU"/>
        </w:rPr>
        <w:t>другую категорию, за</w:t>
      </w:r>
      <w:r>
        <w:rPr>
          <w:rFonts w:ascii="Times New Roman" w:hAnsi="Times New Roman"/>
          <w:sz w:val="28"/>
          <w:szCs w:val="24"/>
          <w:lang w:eastAsia="ru-RU"/>
        </w:rPr>
        <w:t> </w:t>
      </w:r>
      <w:r w:rsidRPr="00894306">
        <w:rPr>
          <w:rFonts w:ascii="Times New Roman" w:hAnsi="Times New Roman"/>
          <w:sz w:val="28"/>
          <w:szCs w:val="24"/>
          <w:lang w:eastAsia="ru-RU"/>
        </w:rPr>
        <w:t>исключением случаев, если земли запаса включены в</w:t>
      </w:r>
      <w:r>
        <w:rPr>
          <w:rFonts w:ascii="Times New Roman" w:hAnsi="Times New Roman"/>
          <w:sz w:val="28"/>
          <w:szCs w:val="24"/>
          <w:lang w:eastAsia="ru-RU"/>
        </w:rPr>
        <w:t> </w:t>
      </w:r>
      <w:r w:rsidRPr="00894306">
        <w:rPr>
          <w:rFonts w:ascii="Times New Roman" w:hAnsi="Times New Roman"/>
          <w:sz w:val="28"/>
          <w:szCs w:val="24"/>
          <w:lang w:eastAsia="ru-RU"/>
        </w:rPr>
        <w:t>границы охотничьих угодий, случаев выполнения работ, связанных с</w:t>
      </w:r>
      <w:r>
        <w:rPr>
          <w:rFonts w:ascii="Times New Roman" w:hAnsi="Times New Roman"/>
          <w:sz w:val="28"/>
          <w:szCs w:val="24"/>
          <w:lang w:eastAsia="ru-RU"/>
        </w:rPr>
        <w:t> </w:t>
      </w:r>
      <w:r w:rsidRPr="00894306">
        <w:rPr>
          <w:rFonts w:ascii="Times New Roman" w:hAnsi="Times New Roman"/>
          <w:sz w:val="28"/>
          <w:szCs w:val="24"/>
          <w:lang w:eastAsia="ru-RU"/>
        </w:rPr>
        <w:t>пользованием недрами на</w:t>
      </w:r>
      <w:r>
        <w:rPr>
          <w:rFonts w:ascii="Times New Roman" w:hAnsi="Times New Roman"/>
          <w:sz w:val="28"/>
          <w:szCs w:val="24"/>
          <w:lang w:eastAsia="ru-RU"/>
        </w:rPr>
        <w:t> </w:t>
      </w:r>
      <w:r w:rsidRPr="00894306">
        <w:rPr>
          <w:rFonts w:ascii="Times New Roman" w:hAnsi="Times New Roman"/>
          <w:sz w:val="28"/>
          <w:szCs w:val="24"/>
          <w:lang w:eastAsia="ru-RU"/>
        </w:rPr>
        <w:t>таких землях, и</w:t>
      </w:r>
      <w:r>
        <w:rPr>
          <w:rFonts w:ascii="Times New Roman" w:hAnsi="Times New Roman"/>
          <w:sz w:val="28"/>
          <w:szCs w:val="24"/>
          <w:lang w:eastAsia="ru-RU"/>
        </w:rPr>
        <w:t> </w:t>
      </w:r>
      <w:r w:rsidRPr="00894306">
        <w:rPr>
          <w:rFonts w:ascii="Times New Roman" w:hAnsi="Times New Roman"/>
          <w:sz w:val="28"/>
          <w:szCs w:val="24"/>
          <w:lang w:eastAsia="ru-RU"/>
        </w:rPr>
        <w:t>иных предусмотренных федеральными законами случаев.</w:t>
      </w:r>
    </w:p>
    <w:p w:rsidR="002D1E45" w:rsidRPr="00894306" w:rsidRDefault="002D1E45" w:rsidP="00146184">
      <w:pPr>
        <w:spacing w:after="0" w:line="240" w:lineRule="auto"/>
        <w:ind w:firstLine="709"/>
        <w:contextualSpacing/>
        <w:jc w:val="both"/>
        <w:rPr>
          <w:rFonts w:ascii="Times New Roman" w:hAnsi="Times New Roman"/>
          <w:sz w:val="28"/>
          <w:szCs w:val="24"/>
          <w:lang w:eastAsia="ru-RU"/>
        </w:rPr>
      </w:pPr>
      <w:r w:rsidRPr="00894306">
        <w:rPr>
          <w:rFonts w:ascii="Times New Roman" w:hAnsi="Times New Roman"/>
          <w:sz w:val="28"/>
          <w:szCs w:val="24"/>
          <w:lang w:eastAsia="ru-RU"/>
        </w:rPr>
        <w:t>Перевод земель из</w:t>
      </w:r>
      <w:r>
        <w:rPr>
          <w:rFonts w:ascii="Times New Roman" w:hAnsi="Times New Roman"/>
          <w:sz w:val="28"/>
          <w:szCs w:val="24"/>
          <w:lang w:eastAsia="ru-RU"/>
        </w:rPr>
        <w:t> </w:t>
      </w:r>
      <w:r w:rsidRPr="00894306">
        <w:rPr>
          <w:rFonts w:ascii="Times New Roman" w:hAnsi="Times New Roman"/>
          <w:sz w:val="28"/>
          <w:szCs w:val="24"/>
          <w:lang w:eastAsia="ru-RU"/>
        </w:rPr>
        <w:t>одной категории в</w:t>
      </w:r>
      <w:r>
        <w:rPr>
          <w:rFonts w:ascii="Times New Roman" w:hAnsi="Times New Roman"/>
          <w:sz w:val="28"/>
          <w:szCs w:val="24"/>
          <w:lang w:eastAsia="ru-RU"/>
        </w:rPr>
        <w:t> </w:t>
      </w:r>
      <w:r w:rsidRPr="00894306">
        <w:rPr>
          <w:rFonts w:ascii="Times New Roman" w:hAnsi="Times New Roman"/>
          <w:sz w:val="28"/>
          <w:szCs w:val="24"/>
          <w:lang w:eastAsia="ru-RU"/>
        </w:rPr>
        <w:t>другую осуществляется в</w:t>
      </w:r>
      <w:r>
        <w:rPr>
          <w:rFonts w:ascii="Times New Roman" w:hAnsi="Times New Roman"/>
          <w:sz w:val="28"/>
          <w:szCs w:val="24"/>
          <w:lang w:eastAsia="ru-RU"/>
        </w:rPr>
        <w:t> </w:t>
      </w:r>
      <w:r w:rsidRPr="00894306">
        <w:rPr>
          <w:rFonts w:ascii="Times New Roman" w:hAnsi="Times New Roman"/>
          <w:sz w:val="28"/>
          <w:szCs w:val="24"/>
          <w:lang w:eastAsia="ru-RU"/>
        </w:rPr>
        <w:t>отношении:</w:t>
      </w:r>
    </w:p>
    <w:p w:rsidR="002D1E45" w:rsidRPr="00894306" w:rsidRDefault="002D1E45" w:rsidP="00D05D06">
      <w:pPr>
        <w:pStyle w:val="ListParagraph"/>
        <w:numPr>
          <w:ilvl w:val="0"/>
          <w:numId w:val="79"/>
        </w:numPr>
        <w:spacing w:after="0" w:line="240" w:lineRule="auto"/>
        <w:jc w:val="both"/>
        <w:rPr>
          <w:rFonts w:ascii="Times New Roman" w:hAnsi="Times New Roman"/>
          <w:sz w:val="28"/>
          <w:szCs w:val="24"/>
          <w:lang w:eastAsia="ru-RU"/>
        </w:rPr>
      </w:pPr>
      <w:r w:rsidRPr="00894306">
        <w:rPr>
          <w:rFonts w:ascii="Times New Roman" w:hAnsi="Times New Roman"/>
          <w:sz w:val="28"/>
          <w:szCs w:val="24"/>
          <w:lang w:eastAsia="ru-RU"/>
        </w:rPr>
        <w:t>земель, находящихся в</w:t>
      </w:r>
      <w:r>
        <w:rPr>
          <w:rFonts w:ascii="Times New Roman" w:hAnsi="Times New Roman"/>
          <w:sz w:val="28"/>
          <w:szCs w:val="24"/>
          <w:lang w:eastAsia="ru-RU"/>
        </w:rPr>
        <w:t> </w:t>
      </w:r>
      <w:r w:rsidRPr="00894306">
        <w:rPr>
          <w:rFonts w:ascii="Times New Roman" w:hAnsi="Times New Roman"/>
          <w:sz w:val="28"/>
          <w:szCs w:val="24"/>
          <w:lang w:eastAsia="ru-RU"/>
        </w:rPr>
        <w:t>федеральной собственности, – Правительством Российской Федерации;</w:t>
      </w:r>
    </w:p>
    <w:p w:rsidR="002D1E45" w:rsidRPr="00894306" w:rsidRDefault="002D1E45" w:rsidP="00D05D06">
      <w:pPr>
        <w:pStyle w:val="ListParagraph"/>
        <w:numPr>
          <w:ilvl w:val="0"/>
          <w:numId w:val="79"/>
        </w:numPr>
        <w:spacing w:after="0" w:line="240" w:lineRule="auto"/>
        <w:jc w:val="both"/>
        <w:rPr>
          <w:rFonts w:ascii="Times New Roman" w:hAnsi="Times New Roman"/>
          <w:sz w:val="28"/>
          <w:szCs w:val="24"/>
          <w:lang w:eastAsia="ru-RU"/>
        </w:rPr>
      </w:pPr>
      <w:r w:rsidRPr="00894306">
        <w:rPr>
          <w:rFonts w:ascii="Times New Roman" w:hAnsi="Times New Roman"/>
          <w:sz w:val="28"/>
          <w:szCs w:val="24"/>
          <w:lang w:eastAsia="ru-RU"/>
        </w:rPr>
        <w:t>земель, находящихся в</w:t>
      </w:r>
      <w:r>
        <w:rPr>
          <w:rFonts w:ascii="Times New Roman" w:hAnsi="Times New Roman"/>
          <w:sz w:val="28"/>
          <w:szCs w:val="24"/>
          <w:lang w:eastAsia="ru-RU"/>
        </w:rPr>
        <w:t> </w:t>
      </w:r>
      <w:r w:rsidRPr="00894306">
        <w:rPr>
          <w:rFonts w:ascii="Times New Roman" w:hAnsi="Times New Roman"/>
          <w:sz w:val="28"/>
          <w:szCs w:val="24"/>
          <w:lang w:eastAsia="ru-RU"/>
        </w:rPr>
        <w:t>собственности субъектов Российской Федерации, и</w:t>
      </w:r>
      <w:r>
        <w:rPr>
          <w:rFonts w:ascii="Times New Roman" w:hAnsi="Times New Roman"/>
          <w:sz w:val="28"/>
          <w:szCs w:val="24"/>
          <w:lang w:eastAsia="ru-RU"/>
        </w:rPr>
        <w:t> </w:t>
      </w:r>
      <w:r w:rsidRPr="00894306">
        <w:rPr>
          <w:rFonts w:ascii="Times New Roman" w:hAnsi="Times New Roman"/>
          <w:sz w:val="28"/>
          <w:szCs w:val="24"/>
          <w:lang w:eastAsia="ru-RU"/>
        </w:rPr>
        <w:t>земель сельскохозяйственного назначения, находящихся в</w:t>
      </w:r>
      <w:r>
        <w:rPr>
          <w:rFonts w:ascii="Times New Roman" w:hAnsi="Times New Roman"/>
          <w:sz w:val="28"/>
          <w:szCs w:val="24"/>
          <w:lang w:eastAsia="ru-RU"/>
        </w:rPr>
        <w:t> </w:t>
      </w:r>
      <w:r w:rsidRPr="00894306">
        <w:rPr>
          <w:rFonts w:ascii="Times New Roman" w:hAnsi="Times New Roman"/>
          <w:sz w:val="28"/>
          <w:szCs w:val="24"/>
          <w:lang w:eastAsia="ru-RU"/>
        </w:rPr>
        <w:t>муниципальной собственности, – органами исполнительной власти субъектов Российской Федерации;</w:t>
      </w:r>
    </w:p>
    <w:p w:rsidR="002D1E45" w:rsidRPr="00894306" w:rsidRDefault="002D1E45" w:rsidP="00D05D06">
      <w:pPr>
        <w:pStyle w:val="ListParagraph"/>
        <w:numPr>
          <w:ilvl w:val="0"/>
          <w:numId w:val="79"/>
        </w:numPr>
        <w:spacing w:after="0" w:line="240" w:lineRule="auto"/>
        <w:jc w:val="both"/>
        <w:rPr>
          <w:rFonts w:ascii="Times New Roman" w:hAnsi="Times New Roman"/>
          <w:sz w:val="28"/>
          <w:szCs w:val="24"/>
          <w:lang w:eastAsia="ru-RU"/>
        </w:rPr>
      </w:pPr>
      <w:r w:rsidRPr="00894306">
        <w:rPr>
          <w:rFonts w:ascii="Times New Roman" w:hAnsi="Times New Roman"/>
          <w:sz w:val="28"/>
          <w:szCs w:val="24"/>
          <w:lang w:eastAsia="ru-RU"/>
        </w:rPr>
        <w:t>земель, находящихся в</w:t>
      </w:r>
      <w:r>
        <w:rPr>
          <w:rFonts w:ascii="Times New Roman" w:hAnsi="Times New Roman"/>
          <w:sz w:val="28"/>
          <w:szCs w:val="24"/>
          <w:lang w:eastAsia="ru-RU"/>
        </w:rPr>
        <w:t> </w:t>
      </w:r>
      <w:r w:rsidRPr="00894306">
        <w:rPr>
          <w:rFonts w:ascii="Times New Roman" w:hAnsi="Times New Roman"/>
          <w:sz w:val="28"/>
          <w:szCs w:val="24"/>
          <w:lang w:eastAsia="ru-RU"/>
        </w:rPr>
        <w:t>муниципальной собственности, за</w:t>
      </w:r>
      <w:r>
        <w:rPr>
          <w:rFonts w:ascii="Times New Roman" w:hAnsi="Times New Roman"/>
          <w:sz w:val="28"/>
          <w:szCs w:val="24"/>
          <w:lang w:eastAsia="ru-RU"/>
        </w:rPr>
        <w:t> </w:t>
      </w:r>
      <w:r w:rsidRPr="00894306">
        <w:rPr>
          <w:rFonts w:ascii="Times New Roman" w:hAnsi="Times New Roman"/>
          <w:sz w:val="28"/>
          <w:szCs w:val="24"/>
          <w:lang w:eastAsia="ru-RU"/>
        </w:rPr>
        <w:t>исключением земель сельскохозяйственного назначения, – органами местного самоуправления;</w:t>
      </w:r>
    </w:p>
    <w:p w:rsidR="002D1E45" w:rsidRPr="00894306" w:rsidRDefault="002D1E45" w:rsidP="00D05D06">
      <w:pPr>
        <w:pStyle w:val="ListParagraph"/>
        <w:numPr>
          <w:ilvl w:val="0"/>
          <w:numId w:val="79"/>
        </w:numPr>
        <w:spacing w:after="0" w:line="240" w:lineRule="auto"/>
        <w:jc w:val="both"/>
        <w:rPr>
          <w:rFonts w:ascii="Times New Roman" w:hAnsi="Times New Roman"/>
          <w:sz w:val="28"/>
          <w:szCs w:val="24"/>
          <w:lang w:eastAsia="ru-RU"/>
        </w:rPr>
      </w:pPr>
      <w:r w:rsidRPr="00894306">
        <w:rPr>
          <w:rFonts w:ascii="Times New Roman" w:hAnsi="Times New Roman"/>
          <w:sz w:val="28"/>
          <w:szCs w:val="24"/>
          <w:lang w:eastAsia="ru-RU"/>
        </w:rPr>
        <w:t>земель, находящихся в</w:t>
      </w:r>
      <w:r>
        <w:rPr>
          <w:rFonts w:ascii="Times New Roman" w:hAnsi="Times New Roman"/>
          <w:sz w:val="28"/>
          <w:szCs w:val="24"/>
          <w:lang w:eastAsia="ru-RU"/>
        </w:rPr>
        <w:t> </w:t>
      </w:r>
      <w:r w:rsidRPr="00894306">
        <w:rPr>
          <w:rFonts w:ascii="Times New Roman" w:hAnsi="Times New Roman"/>
          <w:sz w:val="28"/>
          <w:szCs w:val="24"/>
          <w:lang w:eastAsia="ru-RU"/>
        </w:rPr>
        <w:t>частной собственности:</w:t>
      </w:r>
    </w:p>
    <w:p w:rsidR="002D1E45" w:rsidRPr="00894306" w:rsidRDefault="002D1E45" w:rsidP="00852938">
      <w:pPr>
        <w:pStyle w:val="ListParagraph"/>
        <w:numPr>
          <w:ilvl w:val="0"/>
          <w:numId w:val="77"/>
        </w:numPr>
        <w:spacing w:after="0" w:line="240" w:lineRule="auto"/>
        <w:ind w:left="1418" w:hanging="284"/>
        <w:jc w:val="both"/>
        <w:rPr>
          <w:rFonts w:ascii="Times New Roman" w:hAnsi="Times New Roman"/>
          <w:sz w:val="28"/>
          <w:szCs w:val="24"/>
          <w:lang w:eastAsia="ru-RU"/>
        </w:rPr>
      </w:pPr>
      <w:r w:rsidRPr="00894306">
        <w:rPr>
          <w:rFonts w:ascii="Times New Roman" w:hAnsi="Times New Roman"/>
          <w:sz w:val="28"/>
          <w:szCs w:val="24"/>
          <w:lang w:eastAsia="ru-RU"/>
        </w:rPr>
        <w:t>земель сельскохозяйственного назначения – органами исполнительной власти субъектов Российской Федерации;</w:t>
      </w:r>
    </w:p>
    <w:p w:rsidR="002D1E45" w:rsidRPr="00894306" w:rsidRDefault="002D1E45" w:rsidP="00852938">
      <w:pPr>
        <w:pStyle w:val="ListParagraph"/>
        <w:numPr>
          <w:ilvl w:val="0"/>
          <w:numId w:val="77"/>
        </w:numPr>
        <w:spacing w:after="0" w:line="240" w:lineRule="auto"/>
        <w:ind w:left="1418" w:hanging="284"/>
        <w:jc w:val="both"/>
        <w:rPr>
          <w:rFonts w:ascii="Times New Roman" w:hAnsi="Times New Roman"/>
          <w:sz w:val="28"/>
          <w:szCs w:val="24"/>
          <w:lang w:eastAsia="ru-RU"/>
        </w:rPr>
      </w:pPr>
      <w:r w:rsidRPr="00894306">
        <w:rPr>
          <w:rFonts w:ascii="Times New Roman" w:hAnsi="Times New Roman"/>
          <w:sz w:val="28"/>
          <w:szCs w:val="24"/>
          <w:lang w:eastAsia="ru-RU"/>
        </w:rPr>
        <w:t>земель иного целевого назначения – органами местного самоуправления.</w:t>
      </w:r>
    </w:p>
    <w:p w:rsidR="002D1E45" w:rsidRPr="00894306" w:rsidRDefault="002D1E45" w:rsidP="00146184">
      <w:pPr>
        <w:spacing w:after="0" w:line="240" w:lineRule="auto"/>
        <w:ind w:firstLine="709"/>
        <w:contextualSpacing/>
        <w:jc w:val="both"/>
        <w:rPr>
          <w:rFonts w:ascii="Times New Roman" w:hAnsi="Times New Roman"/>
          <w:sz w:val="28"/>
          <w:szCs w:val="24"/>
          <w:lang w:eastAsia="ru-RU"/>
        </w:rPr>
      </w:pPr>
      <w:r w:rsidRPr="00894306">
        <w:rPr>
          <w:rFonts w:ascii="Times New Roman" w:hAnsi="Times New Roman"/>
          <w:sz w:val="28"/>
          <w:szCs w:val="24"/>
          <w:lang w:eastAsia="ru-RU"/>
        </w:rPr>
        <w:t>Перевод земель населённых пунктов в</w:t>
      </w:r>
      <w:r>
        <w:rPr>
          <w:rFonts w:ascii="Times New Roman" w:hAnsi="Times New Roman"/>
          <w:sz w:val="28"/>
          <w:szCs w:val="24"/>
          <w:lang w:eastAsia="ru-RU"/>
        </w:rPr>
        <w:t> </w:t>
      </w:r>
      <w:r w:rsidRPr="00894306">
        <w:rPr>
          <w:rFonts w:ascii="Times New Roman" w:hAnsi="Times New Roman"/>
          <w:sz w:val="28"/>
          <w:szCs w:val="24"/>
          <w:lang w:eastAsia="ru-RU"/>
        </w:rPr>
        <w:t>земли иных категорий и</w:t>
      </w:r>
      <w:r>
        <w:rPr>
          <w:rFonts w:ascii="Times New Roman" w:hAnsi="Times New Roman"/>
          <w:sz w:val="28"/>
          <w:szCs w:val="24"/>
          <w:lang w:eastAsia="ru-RU"/>
        </w:rPr>
        <w:t> </w:t>
      </w:r>
      <w:r w:rsidRPr="00894306">
        <w:rPr>
          <w:rFonts w:ascii="Times New Roman" w:hAnsi="Times New Roman"/>
          <w:sz w:val="28"/>
          <w:szCs w:val="24"/>
          <w:lang w:eastAsia="ru-RU"/>
        </w:rPr>
        <w:t>земель иных категорий в</w:t>
      </w:r>
      <w:r>
        <w:rPr>
          <w:rFonts w:ascii="Times New Roman" w:hAnsi="Times New Roman"/>
          <w:sz w:val="28"/>
          <w:szCs w:val="24"/>
          <w:lang w:eastAsia="ru-RU"/>
        </w:rPr>
        <w:t> </w:t>
      </w:r>
      <w:r w:rsidRPr="00894306">
        <w:rPr>
          <w:rFonts w:ascii="Times New Roman" w:hAnsi="Times New Roman"/>
          <w:sz w:val="28"/>
          <w:szCs w:val="24"/>
          <w:lang w:eastAsia="ru-RU"/>
        </w:rPr>
        <w:t>земли населённых пунктов независимо от</w:t>
      </w:r>
      <w:r>
        <w:rPr>
          <w:rFonts w:ascii="Times New Roman" w:hAnsi="Times New Roman"/>
          <w:sz w:val="28"/>
          <w:szCs w:val="24"/>
          <w:lang w:eastAsia="ru-RU"/>
        </w:rPr>
        <w:t> </w:t>
      </w:r>
      <w:r w:rsidRPr="00894306">
        <w:rPr>
          <w:rFonts w:ascii="Times New Roman" w:hAnsi="Times New Roman"/>
          <w:sz w:val="28"/>
          <w:szCs w:val="24"/>
          <w:lang w:eastAsia="ru-RU"/>
        </w:rPr>
        <w:t>их</w:t>
      </w:r>
      <w:r>
        <w:rPr>
          <w:rFonts w:ascii="Times New Roman" w:hAnsi="Times New Roman"/>
          <w:sz w:val="28"/>
          <w:szCs w:val="24"/>
          <w:lang w:eastAsia="ru-RU"/>
        </w:rPr>
        <w:t> </w:t>
      </w:r>
      <w:r w:rsidRPr="00894306">
        <w:rPr>
          <w:rFonts w:ascii="Times New Roman" w:hAnsi="Times New Roman"/>
          <w:sz w:val="28"/>
          <w:szCs w:val="24"/>
          <w:lang w:eastAsia="ru-RU"/>
        </w:rPr>
        <w:t>форм собственности осуществляется путём установления или изменения границ населённых пунктов в</w:t>
      </w:r>
      <w:r>
        <w:rPr>
          <w:rFonts w:ascii="Times New Roman" w:hAnsi="Times New Roman"/>
          <w:sz w:val="28"/>
          <w:szCs w:val="24"/>
          <w:lang w:eastAsia="ru-RU"/>
        </w:rPr>
        <w:t> </w:t>
      </w:r>
      <w:r w:rsidRPr="00894306">
        <w:rPr>
          <w:rFonts w:ascii="Times New Roman" w:hAnsi="Times New Roman"/>
          <w:sz w:val="28"/>
          <w:szCs w:val="24"/>
          <w:lang w:eastAsia="ru-RU"/>
        </w:rPr>
        <w:t>порядке, установленном Земельным Кодексом и</w:t>
      </w:r>
      <w:r>
        <w:rPr>
          <w:rFonts w:ascii="Times New Roman" w:hAnsi="Times New Roman"/>
          <w:sz w:val="28"/>
          <w:szCs w:val="24"/>
          <w:lang w:eastAsia="ru-RU"/>
        </w:rPr>
        <w:t> </w:t>
      </w:r>
      <w:r w:rsidRPr="00894306">
        <w:rPr>
          <w:rFonts w:ascii="Times New Roman" w:hAnsi="Times New Roman"/>
          <w:sz w:val="28"/>
          <w:szCs w:val="24"/>
          <w:lang w:eastAsia="ru-RU"/>
        </w:rPr>
        <w:t>законодательством Российской Федерации о</w:t>
      </w:r>
      <w:r>
        <w:rPr>
          <w:rFonts w:ascii="Times New Roman" w:hAnsi="Times New Roman"/>
          <w:sz w:val="28"/>
          <w:szCs w:val="24"/>
          <w:lang w:eastAsia="ru-RU"/>
        </w:rPr>
        <w:t> </w:t>
      </w:r>
      <w:r w:rsidRPr="00894306">
        <w:rPr>
          <w:rFonts w:ascii="Times New Roman" w:hAnsi="Times New Roman"/>
          <w:sz w:val="28"/>
          <w:szCs w:val="24"/>
          <w:lang w:eastAsia="ru-RU"/>
        </w:rPr>
        <w:t>градостроительной деятельности. Порядок перевода земель из</w:t>
      </w:r>
      <w:r>
        <w:rPr>
          <w:rFonts w:ascii="Times New Roman" w:hAnsi="Times New Roman"/>
          <w:sz w:val="28"/>
          <w:szCs w:val="24"/>
          <w:lang w:eastAsia="ru-RU"/>
        </w:rPr>
        <w:t> </w:t>
      </w:r>
      <w:r w:rsidRPr="00894306">
        <w:rPr>
          <w:rFonts w:ascii="Times New Roman" w:hAnsi="Times New Roman"/>
          <w:sz w:val="28"/>
          <w:szCs w:val="24"/>
          <w:lang w:eastAsia="ru-RU"/>
        </w:rPr>
        <w:t>одной категории в</w:t>
      </w:r>
      <w:r>
        <w:rPr>
          <w:rFonts w:ascii="Times New Roman" w:hAnsi="Times New Roman"/>
          <w:sz w:val="28"/>
          <w:szCs w:val="24"/>
          <w:lang w:eastAsia="ru-RU"/>
        </w:rPr>
        <w:t> </w:t>
      </w:r>
      <w:r w:rsidRPr="00894306">
        <w:rPr>
          <w:rFonts w:ascii="Times New Roman" w:hAnsi="Times New Roman"/>
          <w:sz w:val="28"/>
          <w:szCs w:val="24"/>
          <w:lang w:eastAsia="ru-RU"/>
        </w:rPr>
        <w:t>другую устанавливается федеральными законами.</w:t>
      </w:r>
    </w:p>
    <w:p w:rsidR="002D1E45" w:rsidRPr="001C3050" w:rsidRDefault="002D1E45" w:rsidP="006270E2">
      <w:pPr>
        <w:spacing w:after="0" w:line="240" w:lineRule="auto"/>
        <w:ind w:firstLine="709"/>
        <w:contextualSpacing/>
        <w:jc w:val="both"/>
        <w:rPr>
          <w:rFonts w:ascii="Times New Roman" w:hAnsi="Times New Roman"/>
          <w:sz w:val="28"/>
          <w:szCs w:val="24"/>
        </w:rPr>
      </w:pPr>
      <w:r w:rsidRPr="001C3050">
        <w:rPr>
          <w:rFonts w:ascii="Times New Roman" w:hAnsi="Times New Roman"/>
          <w:sz w:val="28"/>
          <w:szCs w:val="24"/>
        </w:rPr>
        <w:t>Статус и</w:t>
      </w:r>
      <w:r>
        <w:rPr>
          <w:rFonts w:ascii="Times New Roman" w:hAnsi="Times New Roman"/>
          <w:sz w:val="28"/>
          <w:szCs w:val="24"/>
        </w:rPr>
        <w:t> </w:t>
      </w:r>
      <w:r w:rsidRPr="001C3050">
        <w:rPr>
          <w:rFonts w:ascii="Times New Roman" w:hAnsi="Times New Roman"/>
          <w:sz w:val="28"/>
          <w:szCs w:val="24"/>
        </w:rPr>
        <w:t xml:space="preserve">границы территории муниципального образования установлены </w:t>
      </w:r>
      <w:r w:rsidRPr="00803A2E">
        <w:rPr>
          <w:rFonts w:ascii="Times New Roman" w:hAnsi="Times New Roman"/>
          <w:sz w:val="28"/>
          <w:szCs w:val="24"/>
        </w:rPr>
        <w:t>Законом Новосибирской области от 02.06.2004 № 200-ОЗ «О статусе и</w:t>
      </w:r>
      <w:r>
        <w:rPr>
          <w:rFonts w:ascii="Times New Roman" w:hAnsi="Times New Roman"/>
          <w:sz w:val="28"/>
          <w:szCs w:val="24"/>
        </w:rPr>
        <w:t> </w:t>
      </w:r>
      <w:r w:rsidRPr="00803A2E">
        <w:rPr>
          <w:rFonts w:ascii="Times New Roman" w:hAnsi="Times New Roman"/>
          <w:sz w:val="28"/>
          <w:szCs w:val="24"/>
        </w:rPr>
        <w:t>границах муниципальных образований Новосибирской области».</w:t>
      </w:r>
      <w:r w:rsidRPr="001C3050">
        <w:rPr>
          <w:rFonts w:ascii="Times New Roman" w:hAnsi="Times New Roman"/>
          <w:sz w:val="28"/>
          <w:szCs w:val="24"/>
        </w:rPr>
        <w:t xml:space="preserve"> </w:t>
      </w:r>
    </w:p>
    <w:p w:rsidR="002D1E45" w:rsidRDefault="002D1E45" w:rsidP="004D1ABA">
      <w:pPr>
        <w:spacing w:after="0" w:line="240" w:lineRule="auto"/>
        <w:ind w:firstLine="709"/>
        <w:contextualSpacing/>
        <w:jc w:val="both"/>
        <w:rPr>
          <w:rFonts w:ascii="Times New Roman" w:hAnsi="Times New Roman"/>
          <w:sz w:val="28"/>
          <w:szCs w:val="24"/>
          <w:lang w:eastAsia="ru-RU"/>
        </w:rPr>
      </w:pPr>
      <w:bookmarkStart w:id="129" w:name="_Hlk5977920"/>
      <w:r>
        <w:rPr>
          <w:rFonts w:ascii="Times New Roman" w:hAnsi="Times New Roman"/>
          <w:sz w:val="28"/>
          <w:szCs w:val="24"/>
          <w:lang w:eastAsia="ru-RU"/>
        </w:rPr>
        <w:t xml:space="preserve">Границы </w:t>
      </w:r>
      <w:r w:rsidRPr="0014699F">
        <w:rPr>
          <w:rFonts w:ascii="Times New Roman" w:hAnsi="Times New Roman"/>
          <w:sz w:val="28"/>
          <w:szCs w:val="24"/>
          <w:lang w:eastAsia="ru-RU"/>
        </w:rPr>
        <w:t xml:space="preserve">населённого пункта </w:t>
      </w:r>
      <w:r>
        <w:rPr>
          <w:rFonts w:ascii="Times New Roman" w:hAnsi="Times New Roman"/>
          <w:sz w:val="28"/>
          <w:szCs w:val="24"/>
          <w:lang w:eastAsia="ru-RU"/>
        </w:rPr>
        <w:t>установлены.</w:t>
      </w:r>
    </w:p>
    <w:p w:rsidR="002D1E45" w:rsidRPr="00F710CE" w:rsidRDefault="002D1E45" w:rsidP="00852938">
      <w:pPr>
        <w:pStyle w:val="Heading2"/>
        <w:numPr>
          <w:ilvl w:val="1"/>
          <w:numId w:val="65"/>
        </w:numPr>
        <w:spacing w:before="240"/>
        <w:ind w:left="993" w:hanging="633"/>
        <w:jc w:val="both"/>
        <w:rPr>
          <w:b/>
        </w:rPr>
      </w:pPr>
      <w:bookmarkStart w:id="130" w:name="_Toc84936021"/>
      <w:bookmarkStart w:id="131" w:name="_Toc419370707"/>
      <w:bookmarkStart w:id="132" w:name="_Toc419973675"/>
      <w:bookmarkStart w:id="133" w:name="_Toc442008407"/>
      <w:bookmarkStart w:id="134" w:name="_Toc442523048"/>
      <w:bookmarkStart w:id="135" w:name="_Toc442523306"/>
      <w:bookmarkEnd w:id="129"/>
      <w:r w:rsidRPr="00F710CE">
        <w:rPr>
          <w:b/>
        </w:rPr>
        <w:t xml:space="preserve">Основные направления экономики </w:t>
      </w:r>
      <w:r>
        <w:rPr>
          <w:b/>
        </w:rPr>
        <w:t>г. Куйбышева</w:t>
      </w:r>
      <w:bookmarkEnd w:id="130"/>
    </w:p>
    <w:p w:rsidR="002D1E45" w:rsidRDefault="002D1E45" w:rsidP="00415974">
      <w:pPr>
        <w:spacing w:after="0" w:line="240" w:lineRule="auto"/>
        <w:ind w:firstLine="709"/>
        <w:contextualSpacing/>
        <w:jc w:val="both"/>
        <w:rPr>
          <w:rFonts w:ascii="Times New Roman" w:hAnsi="Times New Roman"/>
          <w:sz w:val="28"/>
          <w:szCs w:val="24"/>
        </w:rPr>
      </w:pPr>
    </w:p>
    <w:p w:rsidR="002D1E45" w:rsidRDefault="002D1E45" w:rsidP="00973AAB">
      <w:pPr>
        <w:spacing w:after="0" w:line="240" w:lineRule="auto"/>
        <w:ind w:firstLine="709"/>
        <w:contextualSpacing/>
        <w:jc w:val="both"/>
        <w:rPr>
          <w:rFonts w:ascii="Times New Roman" w:hAnsi="Times New Roman"/>
          <w:sz w:val="28"/>
          <w:szCs w:val="24"/>
          <w:lang w:eastAsia="ru-RU"/>
        </w:rPr>
      </w:pPr>
      <w:r w:rsidRPr="007E1244">
        <w:rPr>
          <w:rFonts w:ascii="Times New Roman" w:hAnsi="Times New Roman"/>
          <w:sz w:val="28"/>
          <w:szCs w:val="24"/>
          <w:lang w:eastAsia="ru-RU"/>
        </w:rPr>
        <w:t xml:space="preserve">Куйбышевский район Новосибирской области относится к территории со смешанным типом производства, на его территории расположены предприятия химической промышленности, машиностроения, полиграфии, пищевой, лёгкой промышленности, строительной индустрии и предприятия сельскохозяйственного производства. </w:t>
      </w:r>
    </w:p>
    <w:p w:rsidR="002D1E45" w:rsidRPr="00146391" w:rsidRDefault="002D1E45" w:rsidP="00AB4E24">
      <w:pPr>
        <w:autoSpaceDE w:val="0"/>
        <w:autoSpaceDN w:val="0"/>
        <w:adjustRightInd w:val="0"/>
        <w:spacing w:after="0" w:line="360" w:lineRule="auto"/>
        <w:jc w:val="right"/>
        <w:rPr>
          <w:rFonts w:ascii="Times New Roman" w:hAnsi="Times New Roman"/>
          <w:sz w:val="28"/>
          <w:szCs w:val="24"/>
          <w:lang w:eastAsia="ru-RU"/>
        </w:rPr>
      </w:pPr>
      <w:r w:rsidRPr="00146391">
        <w:rPr>
          <w:rFonts w:ascii="Times New Roman" w:hAnsi="Times New Roman"/>
          <w:sz w:val="28"/>
          <w:szCs w:val="24"/>
          <w:lang w:eastAsia="ru-RU"/>
        </w:rPr>
        <w:t xml:space="preserve">Таблица </w:t>
      </w:r>
      <w:r w:rsidRPr="00146391">
        <w:rPr>
          <w:rFonts w:ascii="Times New Roman" w:hAnsi="Times New Roman"/>
          <w:sz w:val="28"/>
          <w:szCs w:val="24"/>
          <w:lang w:eastAsia="ru-RU"/>
        </w:rPr>
        <w:fldChar w:fldCharType="begin"/>
      </w:r>
      <w:r w:rsidRPr="00146391">
        <w:rPr>
          <w:rFonts w:ascii="Times New Roman" w:hAnsi="Times New Roman"/>
          <w:sz w:val="28"/>
          <w:szCs w:val="24"/>
          <w:lang w:eastAsia="ru-RU"/>
        </w:rPr>
        <w:instrText xml:space="preserve"> SEQ Таблица \* ARABIC </w:instrText>
      </w:r>
      <w:r w:rsidRPr="00146391">
        <w:rPr>
          <w:rFonts w:ascii="Times New Roman" w:hAnsi="Times New Roman"/>
          <w:sz w:val="28"/>
          <w:szCs w:val="24"/>
          <w:lang w:eastAsia="ru-RU"/>
        </w:rPr>
        <w:fldChar w:fldCharType="separate"/>
      </w:r>
      <w:r>
        <w:rPr>
          <w:rFonts w:ascii="Times New Roman" w:hAnsi="Times New Roman"/>
          <w:noProof/>
          <w:sz w:val="28"/>
          <w:szCs w:val="24"/>
          <w:lang w:eastAsia="ru-RU"/>
        </w:rPr>
        <w:t>5</w:t>
      </w:r>
      <w:r w:rsidRPr="00146391">
        <w:rPr>
          <w:rFonts w:ascii="Times New Roman" w:hAnsi="Times New Roman"/>
          <w:sz w:val="28"/>
          <w:szCs w:val="24"/>
          <w:lang w:eastAsia="ru-RU"/>
        </w:rPr>
        <w:fldChar w:fldCharType="end"/>
      </w:r>
    </w:p>
    <w:p w:rsidR="002D1E45" w:rsidRDefault="002D1E45" w:rsidP="00AB4E24">
      <w:pPr>
        <w:tabs>
          <w:tab w:val="left" w:pos="1418"/>
        </w:tabs>
        <w:spacing w:line="240" w:lineRule="auto"/>
        <w:jc w:val="center"/>
        <w:rPr>
          <w:rFonts w:ascii="Times New Roman" w:hAnsi="Times New Roman"/>
          <w:sz w:val="28"/>
          <w:szCs w:val="24"/>
          <w:lang w:eastAsia="ru-RU"/>
        </w:rPr>
      </w:pPr>
      <w:r w:rsidRPr="006A350D">
        <w:rPr>
          <w:rFonts w:ascii="Times New Roman" w:hAnsi="Times New Roman"/>
          <w:sz w:val="28"/>
          <w:szCs w:val="24"/>
          <w:lang w:eastAsia="ru-RU"/>
        </w:rPr>
        <w:t xml:space="preserve">Характеристики </w:t>
      </w:r>
      <w:r>
        <w:rPr>
          <w:rFonts w:ascii="Times New Roman" w:hAnsi="Times New Roman"/>
          <w:sz w:val="28"/>
          <w:szCs w:val="24"/>
          <w:lang w:eastAsia="ru-RU"/>
        </w:rPr>
        <w:t>деятельности ведущих предприятий на территории г. Куйбышева</w:t>
      </w:r>
    </w:p>
    <w:tbl>
      <w:tblPr>
        <w:tblW w:w="10703" w:type="dxa"/>
        <w:jc w:val="center"/>
        <w:tblLayout w:type="fixed"/>
        <w:tblCellMar>
          <w:left w:w="0" w:type="dxa"/>
          <w:right w:w="0" w:type="dxa"/>
        </w:tblCellMar>
        <w:tblLook w:val="0000"/>
      </w:tblPr>
      <w:tblGrid>
        <w:gridCol w:w="507"/>
        <w:gridCol w:w="1898"/>
        <w:gridCol w:w="1733"/>
        <w:gridCol w:w="1183"/>
        <w:gridCol w:w="2187"/>
        <w:gridCol w:w="1586"/>
        <w:gridCol w:w="1609"/>
      </w:tblGrid>
      <w:tr w:rsidR="002D1E45" w:rsidRPr="00AB4E24" w:rsidTr="00AB4E24">
        <w:trPr>
          <w:trHeight w:val="57"/>
          <w:jc w:val="center"/>
        </w:trPr>
        <w:tc>
          <w:tcPr>
            <w:tcW w:w="507" w:type="dxa"/>
            <w:tcBorders>
              <w:top w:val="single" w:sz="4" w:space="0" w:color="auto"/>
              <w:left w:val="single" w:sz="4" w:space="0" w:color="auto"/>
              <w:bottom w:val="nil"/>
              <w:right w:val="nil"/>
            </w:tcBorders>
            <w:shd w:val="clear" w:color="auto" w:fill="FFFFFF"/>
            <w:vAlign w:val="center"/>
          </w:tcPr>
          <w:p w:rsidR="002D1E45" w:rsidRPr="00AB4E24" w:rsidRDefault="002D1E45" w:rsidP="00AB4E24">
            <w:pPr>
              <w:spacing w:after="0" w:line="240" w:lineRule="auto"/>
              <w:ind w:left="28" w:right="28" w:hanging="28"/>
              <w:jc w:val="center"/>
              <w:rPr>
                <w:rFonts w:ascii="Times New Roman" w:hAnsi="Times New Roman"/>
                <w:lang w:eastAsia="ru-RU"/>
              </w:rPr>
            </w:pPr>
            <w:r w:rsidRPr="00AB4E24">
              <w:rPr>
                <w:rFonts w:ascii="Times New Roman" w:hAnsi="Times New Roman"/>
                <w:color w:val="000000"/>
                <w:lang w:eastAsia="ru-RU"/>
              </w:rPr>
              <w:t>№ п/'п</w:t>
            </w:r>
          </w:p>
        </w:tc>
        <w:tc>
          <w:tcPr>
            <w:tcW w:w="1898" w:type="dxa"/>
            <w:tcBorders>
              <w:top w:val="single" w:sz="4" w:space="0" w:color="auto"/>
              <w:left w:val="single" w:sz="4" w:space="0" w:color="auto"/>
              <w:bottom w:val="nil"/>
              <w:right w:val="nil"/>
            </w:tcBorders>
            <w:shd w:val="clear" w:color="auto" w:fill="FFFFFF"/>
            <w:vAlign w:val="center"/>
          </w:tcPr>
          <w:p w:rsidR="002D1E45" w:rsidRPr="00AB4E24" w:rsidRDefault="002D1E45" w:rsidP="00AB4E24">
            <w:pPr>
              <w:spacing w:after="0" w:line="240" w:lineRule="auto"/>
              <w:ind w:left="28" w:right="28" w:hanging="28"/>
              <w:jc w:val="center"/>
              <w:rPr>
                <w:rFonts w:ascii="Times New Roman" w:hAnsi="Times New Roman"/>
                <w:lang w:eastAsia="ru-RU"/>
              </w:rPr>
            </w:pPr>
            <w:r w:rsidRPr="00AB4E24">
              <w:rPr>
                <w:rFonts w:ascii="Times New Roman" w:hAnsi="Times New Roman"/>
                <w:color w:val="000000"/>
                <w:lang w:eastAsia="ru-RU"/>
              </w:rPr>
              <w:t>Наименование предприятия</w:t>
            </w:r>
          </w:p>
        </w:tc>
        <w:tc>
          <w:tcPr>
            <w:tcW w:w="1733" w:type="dxa"/>
            <w:tcBorders>
              <w:top w:val="single" w:sz="4" w:space="0" w:color="auto"/>
              <w:left w:val="single" w:sz="4" w:space="0" w:color="auto"/>
              <w:bottom w:val="nil"/>
              <w:right w:val="nil"/>
            </w:tcBorders>
            <w:shd w:val="clear" w:color="auto" w:fill="FFFFFF"/>
            <w:vAlign w:val="center"/>
          </w:tcPr>
          <w:p w:rsidR="002D1E45" w:rsidRPr="00AB4E24" w:rsidRDefault="002D1E45" w:rsidP="00AB4E24">
            <w:pPr>
              <w:spacing w:after="0" w:line="240" w:lineRule="auto"/>
              <w:ind w:left="28" w:right="28" w:hanging="28"/>
              <w:jc w:val="center"/>
              <w:rPr>
                <w:rFonts w:ascii="Times New Roman" w:hAnsi="Times New Roman"/>
                <w:lang w:eastAsia="ru-RU"/>
              </w:rPr>
            </w:pPr>
            <w:r w:rsidRPr="00AB4E24">
              <w:rPr>
                <w:rFonts w:ascii="Times New Roman" w:hAnsi="Times New Roman"/>
                <w:color w:val="000000"/>
                <w:lang w:eastAsia="ru-RU"/>
              </w:rPr>
              <w:t>Местонахождение</w:t>
            </w:r>
          </w:p>
        </w:tc>
        <w:tc>
          <w:tcPr>
            <w:tcW w:w="1183" w:type="dxa"/>
            <w:tcBorders>
              <w:top w:val="single" w:sz="4" w:space="0" w:color="auto"/>
              <w:left w:val="single" w:sz="4" w:space="0" w:color="auto"/>
              <w:bottom w:val="nil"/>
              <w:right w:val="nil"/>
            </w:tcBorders>
            <w:shd w:val="clear" w:color="auto" w:fill="FFFFFF"/>
            <w:vAlign w:val="center"/>
          </w:tcPr>
          <w:p w:rsidR="002D1E45" w:rsidRPr="00AB4E24" w:rsidRDefault="002D1E45" w:rsidP="00AB4E24">
            <w:pPr>
              <w:spacing w:after="0" w:line="240" w:lineRule="auto"/>
              <w:ind w:left="28" w:right="28" w:hanging="28"/>
              <w:jc w:val="center"/>
              <w:rPr>
                <w:rFonts w:ascii="Times New Roman" w:hAnsi="Times New Roman"/>
                <w:lang w:eastAsia="ru-RU"/>
              </w:rPr>
            </w:pPr>
            <w:r w:rsidRPr="00AB4E24">
              <w:rPr>
                <w:rFonts w:ascii="Times New Roman" w:hAnsi="Times New Roman"/>
                <w:color w:val="000000"/>
                <w:lang w:eastAsia="ru-RU"/>
              </w:rPr>
              <w:t>Численность на 01.01.2020</w:t>
            </w:r>
          </w:p>
        </w:tc>
        <w:tc>
          <w:tcPr>
            <w:tcW w:w="2187" w:type="dxa"/>
            <w:tcBorders>
              <w:top w:val="single" w:sz="4" w:space="0" w:color="auto"/>
              <w:left w:val="single" w:sz="4" w:space="0" w:color="auto"/>
              <w:bottom w:val="nil"/>
              <w:right w:val="nil"/>
            </w:tcBorders>
            <w:shd w:val="clear" w:color="auto" w:fill="FFFFFF"/>
            <w:vAlign w:val="center"/>
          </w:tcPr>
          <w:p w:rsidR="002D1E45" w:rsidRPr="00AB4E24" w:rsidRDefault="002D1E45" w:rsidP="00AB4E24">
            <w:pPr>
              <w:spacing w:after="0" w:line="240" w:lineRule="auto"/>
              <w:ind w:left="28" w:right="28" w:hanging="28"/>
              <w:jc w:val="center"/>
              <w:rPr>
                <w:rFonts w:ascii="Times New Roman" w:hAnsi="Times New Roman"/>
                <w:lang w:eastAsia="ru-RU"/>
              </w:rPr>
            </w:pPr>
            <w:r w:rsidRPr="00AB4E24">
              <w:rPr>
                <w:rFonts w:ascii="Times New Roman" w:hAnsi="Times New Roman"/>
                <w:color w:val="000000"/>
                <w:lang w:eastAsia="ru-RU"/>
              </w:rPr>
              <w:t>Производимая п ролу к ни я /у слуга</w:t>
            </w:r>
          </w:p>
        </w:tc>
        <w:tc>
          <w:tcPr>
            <w:tcW w:w="1586" w:type="dxa"/>
            <w:tcBorders>
              <w:top w:val="single" w:sz="4" w:space="0" w:color="auto"/>
              <w:left w:val="single" w:sz="4" w:space="0" w:color="auto"/>
              <w:bottom w:val="nil"/>
              <w:right w:val="nil"/>
            </w:tcBorders>
            <w:shd w:val="clear" w:color="auto" w:fill="FFFFFF"/>
            <w:vAlign w:val="center"/>
          </w:tcPr>
          <w:p w:rsidR="002D1E45" w:rsidRPr="00AB4E24" w:rsidRDefault="002D1E45" w:rsidP="00AB4E24">
            <w:pPr>
              <w:spacing w:after="0" w:line="240" w:lineRule="auto"/>
              <w:ind w:left="28" w:right="28" w:hanging="28"/>
              <w:jc w:val="center"/>
              <w:rPr>
                <w:rFonts w:ascii="Times New Roman" w:hAnsi="Times New Roman"/>
                <w:lang w:eastAsia="ru-RU"/>
              </w:rPr>
            </w:pPr>
            <w:r w:rsidRPr="00AB4E24">
              <w:rPr>
                <w:rFonts w:ascii="Times New Roman" w:hAnsi="Times New Roman"/>
                <w:color w:val="000000"/>
                <w:lang w:eastAsia="ru-RU"/>
              </w:rPr>
              <w:t>Объёмы производства, 2018 год млн.</w:t>
            </w:r>
            <w:r>
              <w:rPr>
                <w:rFonts w:ascii="Times New Roman" w:hAnsi="Times New Roman"/>
                <w:color w:val="000000"/>
                <w:lang w:eastAsia="ru-RU"/>
              </w:rPr>
              <w:t xml:space="preserve"> </w:t>
            </w:r>
            <w:r w:rsidRPr="00AB4E24">
              <w:rPr>
                <w:rFonts w:ascii="Times New Roman" w:hAnsi="Times New Roman"/>
                <w:color w:val="000000"/>
                <w:lang w:eastAsia="ru-RU"/>
              </w:rPr>
              <w:t>руб.</w:t>
            </w:r>
          </w:p>
        </w:tc>
        <w:tc>
          <w:tcPr>
            <w:tcW w:w="1609" w:type="dxa"/>
            <w:tcBorders>
              <w:top w:val="single" w:sz="4" w:space="0" w:color="auto"/>
              <w:left w:val="single" w:sz="4" w:space="0" w:color="auto"/>
              <w:bottom w:val="nil"/>
              <w:right w:val="single" w:sz="4" w:space="0" w:color="auto"/>
            </w:tcBorders>
            <w:shd w:val="clear" w:color="auto" w:fill="FFFFFF"/>
            <w:vAlign w:val="center"/>
          </w:tcPr>
          <w:p w:rsidR="002D1E45" w:rsidRPr="00AB4E24" w:rsidRDefault="002D1E45" w:rsidP="00AB4E24">
            <w:pPr>
              <w:spacing w:after="0" w:line="240" w:lineRule="auto"/>
              <w:ind w:left="28" w:right="28" w:hanging="28"/>
              <w:jc w:val="center"/>
              <w:rPr>
                <w:rFonts w:ascii="Times New Roman" w:hAnsi="Times New Roman"/>
                <w:lang w:eastAsia="ru-RU"/>
              </w:rPr>
            </w:pPr>
            <w:r w:rsidRPr="00AB4E24">
              <w:rPr>
                <w:rFonts w:ascii="Times New Roman" w:hAnsi="Times New Roman"/>
                <w:color w:val="000000"/>
                <w:lang w:eastAsia="ru-RU"/>
              </w:rPr>
              <w:t>Объёмы производства. 2019 год млн.</w:t>
            </w:r>
            <w:r>
              <w:rPr>
                <w:rFonts w:ascii="Times New Roman" w:hAnsi="Times New Roman"/>
                <w:color w:val="000000"/>
                <w:lang w:eastAsia="ru-RU"/>
              </w:rPr>
              <w:t xml:space="preserve"> </w:t>
            </w:r>
            <w:r w:rsidRPr="00AB4E24">
              <w:rPr>
                <w:rFonts w:ascii="Times New Roman" w:hAnsi="Times New Roman"/>
                <w:color w:val="000000"/>
                <w:lang w:eastAsia="ru-RU"/>
              </w:rPr>
              <w:t>руб.</w:t>
            </w:r>
          </w:p>
        </w:tc>
      </w:tr>
      <w:tr w:rsidR="002D1E45" w:rsidRPr="00AB4E24" w:rsidTr="00AB4E24">
        <w:trPr>
          <w:trHeight w:val="57"/>
          <w:jc w:val="center"/>
        </w:trPr>
        <w:tc>
          <w:tcPr>
            <w:tcW w:w="507" w:type="dxa"/>
            <w:tcBorders>
              <w:top w:val="single" w:sz="4" w:space="0" w:color="auto"/>
              <w:left w:val="single" w:sz="4" w:space="0" w:color="auto"/>
              <w:bottom w:val="nil"/>
              <w:right w:val="nil"/>
            </w:tcBorders>
            <w:shd w:val="clear" w:color="auto" w:fill="FFFFFF"/>
            <w:vAlign w:val="center"/>
          </w:tcPr>
          <w:p w:rsidR="002D1E45" w:rsidRPr="00AB4E24" w:rsidRDefault="002D1E45" w:rsidP="00AB4E24">
            <w:pPr>
              <w:spacing w:after="0" w:line="240" w:lineRule="auto"/>
              <w:ind w:left="28" w:right="28" w:hanging="28"/>
              <w:jc w:val="center"/>
              <w:rPr>
                <w:rFonts w:ascii="Times New Roman" w:hAnsi="Times New Roman"/>
                <w:lang w:eastAsia="ru-RU"/>
              </w:rPr>
            </w:pPr>
            <w:r w:rsidRPr="00AB4E24">
              <w:rPr>
                <w:rFonts w:ascii="Times New Roman" w:hAnsi="Times New Roman"/>
                <w:color w:val="000000"/>
                <w:lang w:eastAsia="ru-RU"/>
              </w:rPr>
              <w:t>1</w:t>
            </w:r>
          </w:p>
        </w:tc>
        <w:tc>
          <w:tcPr>
            <w:tcW w:w="1898" w:type="dxa"/>
            <w:tcBorders>
              <w:top w:val="single" w:sz="4" w:space="0" w:color="auto"/>
              <w:left w:val="single" w:sz="4" w:space="0" w:color="auto"/>
              <w:bottom w:val="nil"/>
              <w:right w:val="nil"/>
            </w:tcBorders>
            <w:shd w:val="clear" w:color="auto" w:fill="FFFFFF"/>
            <w:vAlign w:val="center"/>
          </w:tcPr>
          <w:p w:rsidR="002D1E45" w:rsidRPr="00AB4E24" w:rsidRDefault="002D1E45" w:rsidP="00761B07">
            <w:pPr>
              <w:spacing w:after="0" w:line="240" w:lineRule="auto"/>
              <w:ind w:left="53" w:right="28"/>
              <w:rPr>
                <w:rFonts w:ascii="Times New Roman" w:hAnsi="Times New Roman"/>
                <w:lang w:eastAsia="ru-RU"/>
              </w:rPr>
            </w:pPr>
            <w:r w:rsidRPr="00AB4E24">
              <w:rPr>
                <w:rFonts w:ascii="Times New Roman" w:hAnsi="Times New Roman"/>
                <w:color w:val="000000"/>
                <w:lang w:eastAsia="ru-RU"/>
              </w:rPr>
              <w:t>ФКП «Анозит»</w:t>
            </w:r>
          </w:p>
        </w:tc>
        <w:tc>
          <w:tcPr>
            <w:tcW w:w="1733" w:type="dxa"/>
            <w:tcBorders>
              <w:top w:val="single" w:sz="4" w:space="0" w:color="auto"/>
              <w:left w:val="single" w:sz="4" w:space="0" w:color="auto"/>
              <w:bottom w:val="nil"/>
              <w:right w:val="nil"/>
            </w:tcBorders>
            <w:shd w:val="clear" w:color="auto" w:fill="FFFFFF"/>
            <w:vAlign w:val="center"/>
          </w:tcPr>
          <w:p w:rsidR="002D1E45" w:rsidRPr="00AB4E24" w:rsidRDefault="002D1E45" w:rsidP="00761B07">
            <w:pPr>
              <w:spacing w:after="0" w:line="240" w:lineRule="auto"/>
              <w:ind w:left="53" w:right="28"/>
              <w:rPr>
                <w:rFonts w:ascii="Times New Roman" w:hAnsi="Times New Roman"/>
                <w:color w:val="000000"/>
                <w:lang w:eastAsia="ru-RU"/>
              </w:rPr>
            </w:pPr>
            <w:r w:rsidRPr="00AB4E24">
              <w:rPr>
                <w:rFonts w:ascii="Times New Roman" w:hAnsi="Times New Roman"/>
                <w:color w:val="000000"/>
                <w:lang w:eastAsia="ru-RU"/>
              </w:rPr>
              <w:t>г.</w:t>
            </w:r>
            <w:r>
              <w:rPr>
                <w:rFonts w:ascii="Times New Roman" w:hAnsi="Times New Roman"/>
                <w:color w:val="000000"/>
                <w:lang w:eastAsia="ru-RU"/>
              </w:rPr>
              <w:t xml:space="preserve"> </w:t>
            </w:r>
            <w:r w:rsidRPr="00AB4E24">
              <w:rPr>
                <w:rFonts w:ascii="Times New Roman" w:hAnsi="Times New Roman"/>
                <w:color w:val="000000"/>
                <w:lang w:eastAsia="ru-RU"/>
              </w:rPr>
              <w:t>Куйбышев, ул.</w:t>
            </w:r>
          </w:p>
          <w:p w:rsidR="002D1E45" w:rsidRPr="00AB4E24" w:rsidRDefault="002D1E45" w:rsidP="00761B07">
            <w:pPr>
              <w:spacing w:after="0" w:line="240" w:lineRule="auto"/>
              <w:ind w:left="53" w:right="28"/>
              <w:rPr>
                <w:rFonts w:ascii="Times New Roman" w:hAnsi="Times New Roman"/>
                <w:color w:val="000000"/>
                <w:lang w:eastAsia="ru-RU"/>
              </w:rPr>
            </w:pPr>
            <w:r w:rsidRPr="00AB4E24">
              <w:rPr>
                <w:rFonts w:ascii="Times New Roman" w:hAnsi="Times New Roman"/>
                <w:color w:val="000000"/>
                <w:lang w:eastAsia="ru-RU"/>
              </w:rPr>
              <w:t>Садовая. 1</w:t>
            </w:r>
          </w:p>
        </w:tc>
        <w:tc>
          <w:tcPr>
            <w:tcW w:w="1183" w:type="dxa"/>
            <w:tcBorders>
              <w:top w:val="single" w:sz="4" w:space="0" w:color="auto"/>
              <w:left w:val="single" w:sz="4" w:space="0" w:color="auto"/>
              <w:bottom w:val="nil"/>
              <w:right w:val="nil"/>
            </w:tcBorders>
            <w:shd w:val="clear" w:color="auto" w:fill="FFFFFF"/>
            <w:vAlign w:val="center"/>
          </w:tcPr>
          <w:p w:rsidR="002D1E45" w:rsidRPr="00AB4E24" w:rsidRDefault="002D1E45" w:rsidP="00AB4E24">
            <w:pPr>
              <w:spacing w:after="0" w:line="240" w:lineRule="auto"/>
              <w:ind w:left="28" w:right="28" w:hanging="28"/>
              <w:jc w:val="center"/>
              <w:rPr>
                <w:rFonts w:ascii="Times New Roman" w:hAnsi="Times New Roman"/>
                <w:lang w:eastAsia="ru-RU"/>
              </w:rPr>
            </w:pPr>
            <w:r w:rsidRPr="00AB4E24">
              <w:rPr>
                <w:rFonts w:ascii="Times New Roman" w:hAnsi="Times New Roman"/>
                <w:color w:val="000000"/>
                <w:lang w:eastAsia="ru-RU"/>
              </w:rPr>
              <w:t>1293</w:t>
            </w:r>
          </w:p>
        </w:tc>
        <w:tc>
          <w:tcPr>
            <w:tcW w:w="2187" w:type="dxa"/>
            <w:tcBorders>
              <w:top w:val="single" w:sz="4" w:space="0" w:color="auto"/>
              <w:left w:val="single" w:sz="4" w:space="0" w:color="auto"/>
              <w:bottom w:val="nil"/>
              <w:right w:val="nil"/>
            </w:tcBorders>
            <w:shd w:val="clear" w:color="auto" w:fill="FFFFFF"/>
            <w:vAlign w:val="center"/>
          </w:tcPr>
          <w:p w:rsidR="002D1E45" w:rsidRPr="00AB4E24" w:rsidRDefault="002D1E45" w:rsidP="00AB4E24">
            <w:pPr>
              <w:spacing w:after="0" w:line="240" w:lineRule="auto"/>
              <w:ind w:left="28" w:right="28" w:hanging="28"/>
              <w:jc w:val="center"/>
              <w:rPr>
                <w:rFonts w:ascii="Times New Roman" w:hAnsi="Times New Roman"/>
                <w:lang w:eastAsia="ru-RU"/>
              </w:rPr>
            </w:pPr>
            <w:r w:rsidRPr="00AB4E24">
              <w:rPr>
                <w:rFonts w:ascii="Times New Roman" w:hAnsi="Times New Roman"/>
                <w:color w:val="000000"/>
                <w:lang w:eastAsia="ru-RU"/>
              </w:rPr>
              <w:t>Перхлорат аммония, перекись водорода медицинская и техническая марка А</w:t>
            </w:r>
          </w:p>
        </w:tc>
        <w:tc>
          <w:tcPr>
            <w:tcW w:w="1586" w:type="dxa"/>
            <w:tcBorders>
              <w:top w:val="single" w:sz="4" w:space="0" w:color="auto"/>
              <w:left w:val="single" w:sz="4" w:space="0" w:color="auto"/>
              <w:bottom w:val="nil"/>
              <w:right w:val="nil"/>
            </w:tcBorders>
            <w:shd w:val="clear" w:color="auto" w:fill="FFFFFF"/>
            <w:vAlign w:val="center"/>
          </w:tcPr>
          <w:p w:rsidR="002D1E45" w:rsidRPr="00AB4E24" w:rsidRDefault="002D1E45" w:rsidP="00AB4E24">
            <w:pPr>
              <w:spacing w:after="0" w:line="240" w:lineRule="auto"/>
              <w:ind w:left="28" w:right="28" w:hanging="28"/>
              <w:jc w:val="center"/>
              <w:rPr>
                <w:rFonts w:ascii="Times New Roman" w:hAnsi="Times New Roman"/>
                <w:lang w:eastAsia="ru-RU"/>
              </w:rPr>
            </w:pPr>
            <w:r w:rsidRPr="00AB4E24">
              <w:rPr>
                <w:rFonts w:ascii="Times New Roman" w:hAnsi="Times New Roman"/>
                <w:color w:val="000000"/>
                <w:lang w:eastAsia="ru-RU"/>
              </w:rPr>
              <w:t>2310,0</w:t>
            </w:r>
          </w:p>
        </w:tc>
        <w:tc>
          <w:tcPr>
            <w:tcW w:w="1609" w:type="dxa"/>
            <w:tcBorders>
              <w:top w:val="single" w:sz="4" w:space="0" w:color="auto"/>
              <w:left w:val="single" w:sz="4" w:space="0" w:color="auto"/>
              <w:bottom w:val="nil"/>
              <w:right w:val="single" w:sz="4" w:space="0" w:color="auto"/>
            </w:tcBorders>
            <w:shd w:val="clear" w:color="auto" w:fill="FFFFFF"/>
            <w:vAlign w:val="center"/>
          </w:tcPr>
          <w:p w:rsidR="002D1E45" w:rsidRPr="00AB4E24" w:rsidRDefault="002D1E45" w:rsidP="00AB4E24">
            <w:pPr>
              <w:spacing w:after="0" w:line="240" w:lineRule="auto"/>
              <w:ind w:left="28" w:right="28" w:hanging="28"/>
              <w:jc w:val="center"/>
              <w:rPr>
                <w:rFonts w:ascii="Times New Roman" w:hAnsi="Times New Roman"/>
                <w:lang w:eastAsia="ru-RU"/>
              </w:rPr>
            </w:pPr>
            <w:r w:rsidRPr="00AB4E24">
              <w:rPr>
                <w:rFonts w:ascii="Times New Roman" w:hAnsi="Times New Roman"/>
                <w:color w:val="000000"/>
                <w:lang w:eastAsia="ru-RU"/>
              </w:rPr>
              <w:t>1761,6</w:t>
            </w:r>
          </w:p>
        </w:tc>
      </w:tr>
      <w:tr w:rsidR="002D1E45" w:rsidRPr="00AB4E24" w:rsidTr="00AB4E24">
        <w:trPr>
          <w:trHeight w:val="57"/>
          <w:jc w:val="center"/>
        </w:trPr>
        <w:tc>
          <w:tcPr>
            <w:tcW w:w="507" w:type="dxa"/>
            <w:tcBorders>
              <w:top w:val="single" w:sz="4" w:space="0" w:color="auto"/>
              <w:left w:val="single" w:sz="4" w:space="0" w:color="auto"/>
              <w:bottom w:val="single" w:sz="4" w:space="0" w:color="auto"/>
              <w:right w:val="nil"/>
            </w:tcBorders>
            <w:shd w:val="clear" w:color="auto" w:fill="FFFFFF"/>
            <w:vAlign w:val="center"/>
          </w:tcPr>
          <w:p w:rsidR="002D1E45" w:rsidRPr="00AB4E24" w:rsidRDefault="002D1E45" w:rsidP="00AB4E24">
            <w:pPr>
              <w:spacing w:after="0" w:line="240" w:lineRule="auto"/>
              <w:ind w:left="28" w:right="28" w:hanging="28"/>
              <w:jc w:val="center"/>
              <w:rPr>
                <w:rFonts w:ascii="Times New Roman" w:hAnsi="Times New Roman"/>
                <w:lang w:eastAsia="ru-RU"/>
              </w:rPr>
            </w:pPr>
            <w:r w:rsidRPr="00AB4E24">
              <w:rPr>
                <w:rFonts w:ascii="Times New Roman" w:hAnsi="Times New Roman"/>
                <w:color w:val="000000"/>
                <w:lang w:eastAsia="ru-RU"/>
              </w:rPr>
              <w:t>2</w:t>
            </w:r>
          </w:p>
        </w:tc>
        <w:tc>
          <w:tcPr>
            <w:tcW w:w="1898" w:type="dxa"/>
            <w:tcBorders>
              <w:top w:val="single" w:sz="4" w:space="0" w:color="auto"/>
              <w:left w:val="single" w:sz="4" w:space="0" w:color="auto"/>
              <w:bottom w:val="single" w:sz="4" w:space="0" w:color="auto"/>
              <w:right w:val="nil"/>
            </w:tcBorders>
            <w:shd w:val="clear" w:color="auto" w:fill="FFFFFF"/>
            <w:vAlign w:val="center"/>
          </w:tcPr>
          <w:p w:rsidR="002D1E45" w:rsidRPr="00AB4E24" w:rsidRDefault="002D1E45" w:rsidP="00761B07">
            <w:pPr>
              <w:spacing w:after="0" w:line="240" w:lineRule="auto"/>
              <w:ind w:left="53" w:right="28"/>
              <w:rPr>
                <w:rFonts w:ascii="Times New Roman" w:hAnsi="Times New Roman"/>
                <w:lang w:eastAsia="ru-RU"/>
              </w:rPr>
            </w:pPr>
            <w:r w:rsidRPr="00AB4E24">
              <w:rPr>
                <w:rFonts w:ascii="Times New Roman" w:hAnsi="Times New Roman"/>
                <w:color w:val="000000"/>
                <w:lang w:eastAsia="ru-RU"/>
              </w:rPr>
              <w:t>ООО «Фармер»</w:t>
            </w:r>
          </w:p>
        </w:tc>
        <w:tc>
          <w:tcPr>
            <w:tcW w:w="1733" w:type="dxa"/>
            <w:tcBorders>
              <w:top w:val="single" w:sz="4" w:space="0" w:color="auto"/>
              <w:left w:val="single" w:sz="4" w:space="0" w:color="auto"/>
              <w:bottom w:val="single" w:sz="4" w:space="0" w:color="auto"/>
              <w:right w:val="nil"/>
            </w:tcBorders>
            <w:shd w:val="clear" w:color="auto" w:fill="FFFFFF"/>
            <w:vAlign w:val="center"/>
          </w:tcPr>
          <w:p w:rsidR="002D1E45" w:rsidRPr="00AB4E24" w:rsidRDefault="002D1E45" w:rsidP="00761B07">
            <w:pPr>
              <w:spacing w:after="0" w:line="240" w:lineRule="auto"/>
              <w:ind w:left="53" w:right="28"/>
              <w:rPr>
                <w:rFonts w:ascii="Times New Roman" w:hAnsi="Times New Roman"/>
                <w:color w:val="000000"/>
                <w:lang w:eastAsia="ru-RU"/>
              </w:rPr>
            </w:pPr>
            <w:r w:rsidRPr="00AB4E24">
              <w:rPr>
                <w:rFonts w:ascii="Times New Roman" w:hAnsi="Times New Roman"/>
                <w:color w:val="000000"/>
                <w:lang w:eastAsia="ru-RU"/>
              </w:rPr>
              <w:t>г.</w:t>
            </w:r>
            <w:r>
              <w:rPr>
                <w:rFonts w:ascii="Times New Roman" w:hAnsi="Times New Roman"/>
                <w:color w:val="000000"/>
                <w:lang w:eastAsia="ru-RU"/>
              </w:rPr>
              <w:t xml:space="preserve"> </w:t>
            </w:r>
            <w:r w:rsidRPr="00AB4E24">
              <w:rPr>
                <w:rFonts w:ascii="Times New Roman" w:hAnsi="Times New Roman"/>
                <w:color w:val="000000"/>
                <w:lang w:eastAsia="ru-RU"/>
              </w:rPr>
              <w:t>Куйбышев, ул.</w:t>
            </w:r>
          </w:p>
          <w:p w:rsidR="002D1E45" w:rsidRPr="00AB4E24" w:rsidRDefault="002D1E45" w:rsidP="00761B07">
            <w:pPr>
              <w:spacing w:after="0" w:line="240" w:lineRule="auto"/>
              <w:ind w:left="53" w:right="28"/>
              <w:rPr>
                <w:rFonts w:ascii="Times New Roman" w:hAnsi="Times New Roman"/>
                <w:color w:val="000000"/>
                <w:lang w:eastAsia="ru-RU"/>
              </w:rPr>
            </w:pPr>
            <w:r w:rsidRPr="00AB4E24">
              <w:rPr>
                <w:rFonts w:ascii="Times New Roman" w:hAnsi="Times New Roman"/>
                <w:color w:val="000000"/>
                <w:lang w:eastAsia="ru-RU"/>
              </w:rPr>
              <w:t>Садовое Кольцо,</w:t>
            </w:r>
            <w:r>
              <w:rPr>
                <w:rFonts w:ascii="Times New Roman" w:hAnsi="Times New Roman"/>
                <w:color w:val="000000"/>
                <w:lang w:eastAsia="ru-RU"/>
              </w:rPr>
              <w:t xml:space="preserve"> 1</w:t>
            </w:r>
          </w:p>
        </w:tc>
        <w:tc>
          <w:tcPr>
            <w:tcW w:w="1183" w:type="dxa"/>
            <w:tcBorders>
              <w:top w:val="single" w:sz="4" w:space="0" w:color="auto"/>
              <w:left w:val="single" w:sz="4" w:space="0" w:color="auto"/>
              <w:bottom w:val="single" w:sz="4" w:space="0" w:color="auto"/>
              <w:right w:val="nil"/>
            </w:tcBorders>
            <w:shd w:val="clear" w:color="auto" w:fill="FFFFFF"/>
            <w:vAlign w:val="center"/>
          </w:tcPr>
          <w:p w:rsidR="002D1E45" w:rsidRPr="00AB4E24" w:rsidRDefault="002D1E45" w:rsidP="00AB4E24">
            <w:pPr>
              <w:spacing w:after="0" w:line="240" w:lineRule="auto"/>
              <w:ind w:left="28" w:right="28" w:hanging="28"/>
              <w:jc w:val="center"/>
              <w:rPr>
                <w:rFonts w:ascii="Times New Roman" w:hAnsi="Times New Roman"/>
                <w:lang w:eastAsia="ru-RU"/>
              </w:rPr>
            </w:pPr>
            <w:r w:rsidRPr="00AB4E24">
              <w:rPr>
                <w:rFonts w:ascii="Times New Roman" w:hAnsi="Times New Roman"/>
                <w:color w:val="000000"/>
                <w:lang w:eastAsia="ru-RU"/>
              </w:rPr>
              <w:t>154</w:t>
            </w:r>
          </w:p>
        </w:tc>
        <w:tc>
          <w:tcPr>
            <w:tcW w:w="2187" w:type="dxa"/>
            <w:tcBorders>
              <w:top w:val="single" w:sz="4" w:space="0" w:color="auto"/>
              <w:left w:val="single" w:sz="4" w:space="0" w:color="auto"/>
              <w:bottom w:val="single" w:sz="4" w:space="0" w:color="auto"/>
              <w:right w:val="nil"/>
            </w:tcBorders>
            <w:shd w:val="clear" w:color="auto" w:fill="FFFFFF"/>
            <w:vAlign w:val="center"/>
          </w:tcPr>
          <w:p w:rsidR="002D1E45" w:rsidRPr="00AB4E24" w:rsidRDefault="002D1E45" w:rsidP="00AB4E24">
            <w:pPr>
              <w:spacing w:after="0" w:line="240" w:lineRule="auto"/>
              <w:ind w:left="28" w:right="28" w:hanging="28"/>
              <w:jc w:val="center"/>
              <w:rPr>
                <w:rFonts w:ascii="Times New Roman" w:hAnsi="Times New Roman"/>
                <w:lang w:eastAsia="ru-RU"/>
              </w:rPr>
            </w:pPr>
            <w:r w:rsidRPr="00AB4E24">
              <w:rPr>
                <w:rFonts w:ascii="Times New Roman" w:hAnsi="Times New Roman"/>
                <w:color w:val="000000"/>
                <w:lang w:eastAsia="ru-RU"/>
              </w:rPr>
              <w:t>Химические средства защиты растений</w:t>
            </w:r>
          </w:p>
        </w:tc>
        <w:tc>
          <w:tcPr>
            <w:tcW w:w="1586" w:type="dxa"/>
            <w:tcBorders>
              <w:top w:val="single" w:sz="4" w:space="0" w:color="auto"/>
              <w:left w:val="single" w:sz="4" w:space="0" w:color="auto"/>
              <w:bottom w:val="single" w:sz="4" w:space="0" w:color="auto"/>
              <w:right w:val="nil"/>
            </w:tcBorders>
            <w:shd w:val="clear" w:color="auto" w:fill="FFFFFF"/>
            <w:vAlign w:val="center"/>
          </w:tcPr>
          <w:p w:rsidR="002D1E45" w:rsidRPr="00AB4E24" w:rsidRDefault="002D1E45" w:rsidP="00AB4E24">
            <w:pPr>
              <w:spacing w:after="0" w:line="240" w:lineRule="auto"/>
              <w:ind w:left="28" w:right="28" w:hanging="28"/>
              <w:jc w:val="center"/>
              <w:rPr>
                <w:rFonts w:ascii="Times New Roman" w:hAnsi="Times New Roman"/>
                <w:lang w:eastAsia="ru-RU"/>
              </w:rPr>
            </w:pPr>
            <w:r w:rsidRPr="00AB4E24">
              <w:rPr>
                <w:rFonts w:ascii="Times New Roman" w:hAnsi="Times New Roman"/>
                <w:color w:val="000000"/>
                <w:lang w:eastAsia="ru-RU"/>
              </w:rPr>
              <w:t>1274,0</w:t>
            </w:r>
          </w:p>
        </w:tc>
        <w:tc>
          <w:tcPr>
            <w:tcW w:w="1609"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AB4E24" w:rsidRDefault="002D1E45" w:rsidP="00AB4E24">
            <w:pPr>
              <w:spacing w:after="0" w:line="240" w:lineRule="auto"/>
              <w:ind w:left="28" w:right="28" w:hanging="28"/>
              <w:jc w:val="center"/>
              <w:rPr>
                <w:rFonts w:ascii="Times New Roman" w:hAnsi="Times New Roman"/>
                <w:lang w:eastAsia="ru-RU"/>
              </w:rPr>
            </w:pPr>
            <w:r w:rsidRPr="00AB4E24">
              <w:rPr>
                <w:rFonts w:ascii="Times New Roman" w:hAnsi="Times New Roman"/>
                <w:color w:val="000000"/>
                <w:lang w:eastAsia="ru-RU"/>
              </w:rPr>
              <w:t>1400,6</w:t>
            </w:r>
          </w:p>
        </w:tc>
      </w:tr>
      <w:tr w:rsidR="002D1E45" w:rsidRPr="00AB4E24" w:rsidTr="00AB4E24">
        <w:trPr>
          <w:trHeight w:val="57"/>
          <w:jc w:val="center"/>
        </w:trPr>
        <w:tc>
          <w:tcPr>
            <w:tcW w:w="507" w:type="dxa"/>
            <w:tcBorders>
              <w:top w:val="single" w:sz="4" w:space="0" w:color="auto"/>
              <w:left w:val="single" w:sz="4" w:space="0" w:color="auto"/>
              <w:bottom w:val="single" w:sz="4" w:space="0" w:color="auto"/>
              <w:right w:val="nil"/>
            </w:tcBorders>
            <w:shd w:val="clear" w:color="auto" w:fill="FFFFFF"/>
            <w:vAlign w:val="center"/>
          </w:tcPr>
          <w:p w:rsidR="002D1E45" w:rsidRPr="00AB4E24" w:rsidRDefault="002D1E45" w:rsidP="00AB4E24">
            <w:pPr>
              <w:spacing w:after="0" w:line="240" w:lineRule="auto"/>
              <w:ind w:left="28" w:right="28" w:hanging="28"/>
              <w:jc w:val="center"/>
              <w:rPr>
                <w:rFonts w:ascii="Times New Roman" w:hAnsi="Times New Roman"/>
                <w:color w:val="000000"/>
                <w:lang w:eastAsia="ru-RU"/>
              </w:rPr>
            </w:pPr>
            <w:r w:rsidRPr="00AB4E24">
              <w:rPr>
                <w:rFonts w:ascii="Times New Roman" w:hAnsi="Times New Roman"/>
                <w:color w:val="000000"/>
                <w:lang w:eastAsia="ru-RU"/>
              </w:rPr>
              <w:t>3</w:t>
            </w:r>
          </w:p>
        </w:tc>
        <w:tc>
          <w:tcPr>
            <w:tcW w:w="1898" w:type="dxa"/>
            <w:tcBorders>
              <w:top w:val="single" w:sz="4" w:space="0" w:color="auto"/>
              <w:left w:val="single" w:sz="4" w:space="0" w:color="auto"/>
              <w:bottom w:val="single" w:sz="4" w:space="0" w:color="auto"/>
              <w:right w:val="nil"/>
            </w:tcBorders>
            <w:shd w:val="clear" w:color="auto" w:fill="FFFFFF"/>
            <w:vAlign w:val="center"/>
          </w:tcPr>
          <w:p w:rsidR="002D1E45" w:rsidRPr="00AB4E24" w:rsidRDefault="002D1E45" w:rsidP="00761B07">
            <w:pPr>
              <w:spacing w:after="0" w:line="240" w:lineRule="auto"/>
              <w:ind w:left="53" w:right="28"/>
              <w:rPr>
                <w:rFonts w:ascii="Times New Roman" w:hAnsi="Times New Roman"/>
                <w:color w:val="000000"/>
                <w:lang w:eastAsia="ru-RU"/>
              </w:rPr>
            </w:pPr>
            <w:r w:rsidRPr="00AB4E24">
              <w:rPr>
                <w:rFonts w:ascii="Times New Roman" w:hAnsi="Times New Roman"/>
                <w:color w:val="000000"/>
                <w:lang w:eastAsia="ru-RU"/>
              </w:rPr>
              <w:t>ООО «Металлист»</w:t>
            </w:r>
          </w:p>
        </w:tc>
        <w:tc>
          <w:tcPr>
            <w:tcW w:w="1733" w:type="dxa"/>
            <w:tcBorders>
              <w:top w:val="single" w:sz="4" w:space="0" w:color="auto"/>
              <w:left w:val="single" w:sz="4" w:space="0" w:color="auto"/>
              <w:bottom w:val="single" w:sz="4" w:space="0" w:color="auto"/>
              <w:right w:val="nil"/>
            </w:tcBorders>
            <w:shd w:val="clear" w:color="auto" w:fill="FFFFFF"/>
            <w:vAlign w:val="center"/>
          </w:tcPr>
          <w:p w:rsidR="002D1E45" w:rsidRPr="00AB4E24" w:rsidRDefault="002D1E45" w:rsidP="00761B07">
            <w:pPr>
              <w:spacing w:after="0" w:line="240" w:lineRule="auto"/>
              <w:ind w:left="53" w:right="28"/>
              <w:rPr>
                <w:rFonts w:ascii="Times New Roman" w:hAnsi="Times New Roman"/>
                <w:color w:val="000000"/>
                <w:lang w:eastAsia="ru-RU"/>
              </w:rPr>
            </w:pPr>
            <w:r w:rsidRPr="00AB4E24">
              <w:rPr>
                <w:rFonts w:ascii="Times New Roman" w:hAnsi="Times New Roman"/>
                <w:color w:val="000000"/>
                <w:lang w:eastAsia="ru-RU"/>
              </w:rPr>
              <w:t>г.</w:t>
            </w:r>
            <w:r>
              <w:rPr>
                <w:rFonts w:ascii="Times New Roman" w:hAnsi="Times New Roman"/>
                <w:color w:val="000000"/>
                <w:lang w:eastAsia="ru-RU"/>
              </w:rPr>
              <w:t xml:space="preserve"> </w:t>
            </w:r>
            <w:r w:rsidRPr="00AB4E24">
              <w:rPr>
                <w:rFonts w:ascii="Times New Roman" w:hAnsi="Times New Roman"/>
                <w:color w:val="000000"/>
                <w:lang w:eastAsia="ru-RU"/>
              </w:rPr>
              <w:t>Куйбышев, ул.</w:t>
            </w:r>
          </w:p>
          <w:p w:rsidR="002D1E45" w:rsidRPr="00AB4E24" w:rsidRDefault="002D1E45" w:rsidP="00761B07">
            <w:pPr>
              <w:spacing w:after="0" w:line="240" w:lineRule="auto"/>
              <w:ind w:left="53" w:right="28"/>
              <w:rPr>
                <w:rFonts w:ascii="Times New Roman" w:hAnsi="Times New Roman"/>
                <w:color w:val="000000"/>
                <w:lang w:eastAsia="ru-RU"/>
              </w:rPr>
            </w:pPr>
            <w:r w:rsidRPr="00AB4E24">
              <w:rPr>
                <w:rFonts w:ascii="Times New Roman" w:hAnsi="Times New Roman"/>
                <w:color w:val="000000"/>
                <w:lang w:eastAsia="ru-RU"/>
              </w:rPr>
              <w:t>Промышленная,</w:t>
            </w:r>
          </w:p>
          <w:p w:rsidR="002D1E45" w:rsidRPr="00AB4E24" w:rsidRDefault="002D1E45" w:rsidP="00761B07">
            <w:pPr>
              <w:spacing w:after="0" w:line="240" w:lineRule="auto"/>
              <w:ind w:left="53" w:right="28"/>
              <w:rPr>
                <w:rFonts w:ascii="Times New Roman" w:hAnsi="Times New Roman"/>
                <w:color w:val="000000"/>
                <w:lang w:eastAsia="ru-RU"/>
              </w:rPr>
            </w:pPr>
            <w:r w:rsidRPr="00AB4E24">
              <w:rPr>
                <w:rFonts w:ascii="Times New Roman" w:hAnsi="Times New Roman"/>
                <w:color w:val="000000"/>
                <w:lang w:eastAsia="ru-RU"/>
              </w:rPr>
              <w:t>6</w:t>
            </w:r>
          </w:p>
        </w:tc>
        <w:tc>
          <w:tcPr>
            <w:tcW w:w="1183" w:type="dxa"/>
            <w:tcBorders>
              <w:top w:val="single" w:sz="4" w:space="0" w:color="auto"/>
              <w:left w:val="single" w:sz="4" w:space="0" w:color="auto"/>
              <w:bottom w:val="single" w:sz="4" w:space="0" w:color="auto"/>
              <w:right w:val="nil"/>
            </w:tcBorders>
            <w:shd w:val="clear" w:color="auto" w:fill="FFFFFF"/>
            <w:vAlign w:val="center"/>
          </w:tcPr>
          <w:p w:rsidR="002D1E45" w:rsidRPr="00AB4E24" w:rsidRDefault="002D1E45" w:rsidP="00AB4E24">
            <w:pPr>
              <w:spacing w:after="0" w:line="240" w:lineRule="auto"/>
              <w:ind w:left="28" w:right="28" w:hanging="28"/>
              <w:jc w:val="center"/>
              <w:rPr>
                <w:rFonts w:ascii="Times New Roman" w:hAnsi="Times New Roman"/>
                <w:color w:val="000000"/>
                <w:lang w:eastAsia="ru-RU"/>
              </w:rPr>
            </w:pPr>
            <w:r w:rsidRPr="00AB4E24">
              <w:rPr>
                <w:rFonts w:ascii="Times New Roman" w:hAnsi="Times New Roman"/>
                <w:color w:val="000000"/>
                <w:lang w:eastAsia="ru-RU"/>
              </w:rPr>
              <w:t>101</w:t>
            </w:r>
          </w:p>
        </w:tc>
        <w:tc>
          <w:tcPr>
            <w:tcW w:w="2187" w:type="dxa"/>
            <w:tcBorders>
              <w:top w:val="single" w:sz="4" w:space="0" w:color="auto"/>
              <w:left w:val="single" w:sz="4" w:space="0" w:color="auto"/>
              <w:bottom w:val="single" w:sz="4" w:space="0" w:color="auto"/>
              <w:right w:val="nil"/>
            </w:tcBorders>
            <w:shd w:val="clear" w:color="auto" w:fill="FFFFFF"/>
            <w:vAlign w:val="center"/>
          </w:tcPr>
          <w:p w:rsidR="002D1E45" w:rsidRPr="00AB4E24" w:rsidRDefault="002D1E45" w:rsidP="00AB4E24">
            <w:pPr>
              <w:spacing w:after="0" w:line="240" w:lineRule="auto"/>
              <w:ind w:left="28" w:right="28" w:hanging="28"/>
              <w:jc w:val="center"/>
              <w:rPr>
                <w:rFonts w:ascii="Times New Roman" w:hAnsi="Times New Roman"/>
                <w:color w:val="000000"/>
                <w:lang w:eastAsia="ru-RU"/>
              </w:rPr>
            </w:pPr>
            <w:r w:rsidRPr="00AB4E24">
              <w:rPr>
                <w:rFonts w:ascii="Times New Roman" w:hAnsi="Times New Roman"/>
                <w:color w:val="000000"/>
                <w:lang w:eastAsia="ru-RU"/>
              </w:rPr>
              <w:t>Сборный железобетон и прочие сборные строительные изделия</w:t>
            </w:r>
          </w:p>
        </w:tc>
        <w:tc>
          <w:tcPr>
            <w:tcW w:w="1586" w:type="dxa"/>
            <w:tcBorders>
              <w:top w:val="single" w:sz="4" w:space="0" w:color="auto"/>
              <w:left w:val="single" w:sz="4" w:space="0" w:color="auto"/>
              <w:bottom w:val="single" w:sz="4" w:space="0" w:color="auto"/>
              <w:right w:val="nil"/>
            </w:tcBorders>
            <w:shd w:val="clear" w:color="auto" w:fill="FFFFFF"/>
            <w:vAlign w:val="center"/>
          </w:tcPr>
          <w:p w:rsidR="002D1E45" w:rsidRPr="00AB4E24" w:rsidRDefault="002D1E45" w:rsidP="00AB4E24">
            <w:pPr>
              <w:spacing w:after="0" w:line="240" w:lineRule="auto"/>
              <w:ind w:left="28" w:right="28" w:hanging="28"/>
              <w:jc w:val="center"/>
              <w:rPr>
                <w:rFonts w:ascii="Times New Roman" w:hAnsi="Times New Roman"/>
                <w:color w:val="000000"/>
                <w:lang w:eastAsia="ru-RU"/>
              </w:rPr>
            </w:pPr>
            <w:r w:rsidRPr="00AB4E24">
              <w:rPr>
                <w:rFonts w:ascii="Times New Roman" w:hAnsi="Times New Roman"/>
                <w:color w:val="000000"/>
                <w:lang w:eastAsia="ru-RU"/>
              </w:rPr>
              <w:t>50,9</w:t>
            </w:r>
          </w:p>
        </w:tc>
        <w:tc>
          <w:tcPr>
            <w:tcW w:w="1609"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AB4E24" w:rsidRDefault="002D1E45" w:rsidP="00AB4E24">
            <w:pPr>
              <w:spacing w:after="0" w:line="240" w:lineRule="auto"/>
              <w:ind w:left="28" w:right="28" w:hanging="28"/>
              <w:jc w:val="center"/>
              <w:rPr>
                <w:rFonts w:ascii="Times New Roman" w:hAnsi="Times New Roman"/>
                <w:color w:val="000000"/>
                <w:lang w:eastAsia="ru-RU"/>
              </w:rPr>
            </w:pPr>
            <w:r w:rsidRPr="00AB4E24">
              <w:rPr>
                <w:rFonts w:ascii="Times New Roman" w:hAnsi="Times New Roman"/>
                <w:color w:val="000000"/>
                <w:lang w:eastAsia="ru-RU"/>
              </w:rPr>
              <w:t>51,2</w:t>
            </w:r>
          </w:p>
        </w:tc>
      </w:tr>
      <w:tr w:rsidR="002D1E45" w:rsidRPr="00AB4E24" w:rsidTr="00AB4E24">
        <w:trPr>
          <w:trHeight w:val="57"/>
          <w:jc w:val="center"/>
        </w:trPr>
        <w:tc>
          <w:tcPr>
            <w:tcW w:w="507" w:type="dxa"/>
            <w:tcBorders>
              <w:top w:val="single" w:sz="4" w:space="0" w:color="auto"/>
              <w:left w:val="single" w:sz="4" w:space="0" w:color="auto"/>
              <w:bottom w:val="single" w:sz="4" w:space="0" w:color="auto"/>
              <w:right w:val="nil"/>
            </w:tcBorders>
            <w:shd w:val="clear" w:color="auto" w:fill="FFFFFF"/>
            <w:vAlign w:val="center"/>
          </w:tcPr>
          <w:p w:rsidR="002D1E45" w:rsidRPr="00AB4E24" w:rsidRDefault="002D1E45" w:rsidP="00AB4E24">
            <w:pPr>
              <w:spacing w:after="0" w:line="240" w:lineRule="auto"/>
              <w:ind w:left="28" w:right="28" w:hanging="28"/>
              <w:jc w:val="center"/>
              <w:rPr>
                <w:rFonts w:ascii="Times New Roman" w:hAnsi="Times New Roman"/>
                <w:color w:val="000000"/>
                <w:lang w:eastAsia="ru-RU"/>
              </w:rPr>
            </w:pPr>
            <w:r w:rsidRPr="00AB4E24">
              <w:rPr>
                <w:rFonts w:ascii="Times New Roman" w:hAnsi="Times New Roman"/>
                <w:color w:val="000000"/>
                <w:lang w:eastAsia="ru-RU"/>
              </w:rPr>
              <w:t>4</w:t>
            </w:r>
          </w:p>
        </w:tc>
        <w:tc>
          <w:tcPr>
            <w:tcW w:w="1898" w:type="dxa"/>
            <w:tcBorders>
              <w:top w:val="single" w:sz="4" w:space="0" w:color="auto"/>
              <w:left w:val="single" w:sz="4" w:space="0" w:color="auto"/>
              <w:bottom w:val="single" w:sz="4" w:space="0" w:color="auto"/>
              <w:right w:val="nil"/>
            </w:tcBorders>
            <w:shd w:val="clear" w:color="auto" w:fill="FFFFFF"/>
            <w:vAlign w:val="center"/>
          </w:tcPr>
          <w:p w:rsidR="002D1E45" w:rsidRPr="00AB4E24" w:rsidRDefault="002D1E45" w:rsidP="00761B07">
            <w:pPr>
              <w:spacing w:after="0" w:line="240" w:lineRule="auto"/>
              <w:ind w:left="53" w:right="28"/>
              <w:rPr>
                <w:rFonts w:ascii="Times New Roman" w:hAnsi="Times New Roman"/>
                <w:color w:val="000000"/>
                <w:lang w:eastAsia="ru-RU"/>
              </w:rPr>
            </w:pPr>
            <w:r w:rsidRPr="00AB4E24">
              <w:rPr>
                <w:rFonts w:ascii="Times New Roman" w:hAnsi="Times New Roman"/>
                <w:color w:val="000000"/>
                <w:lang w:eastAsia="ru-RU"/>
              </w:rPr>
              <w:t>ЗАО «Ерофеев»</w:t>
            </w:r>
          </w:p>
        </w:tc>
        <w:tc>
          <w:tcPr>
            <w:tcW w:w="1733" w:type="dxa"/>
            <w:tcBorders>
              <w:top w:val="single" w:sz="4" w:space="0" w:color="auto"/>
              <w:left w:val="single" w:sz="4" w:space="0" w:color="auto"/>
              <w:bottom w:val="single" w:sz="4" w:space="0" w:color="auto"/>
              <w:right w:val="nil"/>
            </w:tcBorders>
            <w:shd w:val="clear" w:color="auto" w:fill="FFFFFF"/>
            <w:vAlign w:val="center"/>
          </w:tcPr>
          <w:p w:rsidR="002D1E45" w:rsidRPr="00AB4E24" w:rsidRDefault="002D1E45" w:rsidP="00761B07">
            <w:pPr>
              <w:spacing w:after="0" w:line="240" w:lineRule="auto"/>
              <w:ind w:left="53" w:right="28"/>
              <w:rPr>
                <w:rFonts w:ascii="Times New Roman" w:hAnsi="Times New Roman"/>
                <w:color w:val="000000"/>
                <w:lang w:eastAsia="ru-RU"/>
              </w:rPr>
            </w:pPr>
            <w:r w:rsidRPr="00AB4E24">
              <w:rPr>
                <w:rFonts w:ascii="Times New Roman" w:hAnsi="Times New Roman"/>
                <w:color w:val="000000"/>
                <w:lang w:eastAsia="ru-RU"/>
              </w:rPr>
              <w:t>г Куйбышев, ул. Омская, 1</w:t>
            </w:r>
          </w:p>
        </w:tc>
        <w:tc>
          <w:tcPr>
            <w:tcW w:w="1183" w:type="dxa"/>
            <w:tcBorders>
              <w:top w:val="single" w:sz="4" w:space="0" w:color="auto"/>
              <w:left w:val="single" w:sz="4" w:space="0" w:color="auto"/>
              <w:bottom w:val="single" w:sz="4" w:space="0" w:color="auto"/>
              <w:right w:val="nil"/>
            </w:tcBorders>
            <w:shd w:val="clear" w:color="auto" w:fill="FFFFFF"/>
            <w:vAlign w:val="center"/>
          </w:tcPr>
          <w:p w:rsidR="002D1E45" w:rsidRPr="00AB4E24" w:rsidRDefault="002D1E45" w:rsidP="00AB4E24">
            <w:pPr>
              <w:spacing w:after="0" w:line="240" w:lineRule="auto"/>
              <w:ind w:left="28" w:right="28" w:hanging="28"/>
              <w:jc w:val="center"/>
              <w:rPr>
                <w:rFonts w:ascii="Times New Roman" w:hAnsi="Times New Roman"/>
                <w:color w:val="000000"/>
                <w:lang w:eastAsia="ru-RU"/>
              </w:rPr>
            </w:pPr>
            <w:r w:rsidRPr="00AB4E24">
              <w:rPr>
                <w:rFonts w:ascii="Times New Roman" w:hAnsi="Times New Roman"/>
                <w:color w:val="000000"/>
                <w:lang w:eastAsia="ru-RU"/>
              </w:rPr>
              <w:t>191</w:t>
            </w:r>
          </w:p>
        </w:tc>
        <w:tc>
          <w:tcPr>
            <w:tcW w:w="2187" w:type="dxa"/>
            <w:tcBorders>
              <w:top w:val="single" w:sz="4" w:space="0" w:color="auto"/>
              <w:left w:val="single" w:sz="4" w:space="0" w:color="auto"/>
              <w:bottom w:val="single" w:sz="4" w:space="0" w:color="auto"/>
              <w:right w:val="nil"/>
            </w:tcBorders>
            <w:shd w:val="clear" w:color="auto" w:fill="FFFFFF"/>
            <w:vAlign w:val="center"/>
          </w:tcPr>
          <w:p w:rsidR="002D1E45" w:rsidRPr="00AB4E24" w:rsidRDefault="002D1E45" w:rsidP="00AB4E24">
            <w:pPr>
              <w:spacing w:after="0" w:line="240" w:lineRule="auto"/>
              <w:ind w:left="28" w:right="28" w:hanging="28"/>
              <w:jc w:val="center"/>
              <w:rPr>
                <w:rFonts w:ascii="Times New Roman" w:hAnsi="Times New Roman"/>
                <w:color w:val="000000"/>
                <w:lang w:eastAsia="ru-RU"/>
              </w:rPr>
            </w:pPr>
            <w:r w:rsidRPr="00AB4E24">
              <w:rPr>
                <w:rFonts w:ascii="Times New Roman" w:hAnsi="Times New Roman"/>
                <w:color w:val="000000"/>
                <w:lang w:eastAsia="ru-RU"/>
              </w:rPr>
              <w:t>Спирт этиловый ректификованный из пищевого сырья «Люкс»; концентрат головных примесей;</w:t>
            </w:r>
          </w:p>
          <w:p w:rsidR="002D1E45" w:rsidRPr="00AB4E24" w:rsidRDefault="002D1E45" w:rsidP="00AB4E24">
            <w:pPr>
              <w:spacing w:after="0" w:line="240" w:lineRule="auto"/>
              <w:ind w:left="28" w:right="28" w:hanging="28"/>
              <w:jc w:val="center"/>
              <w:rPr>
                <w:rFonts w:ascii="Times New Roman" w:hAnsi="Times New Roman"/>
                <w:color w:val="000000"/>
                <w:lang w:eastAsia="ru-RU"/>
              </w:rPr>
            </w:pPr>
            <w:r w:rsidRPr="00AB4E24">
              <w:rPr>
                <w:rFonts w:ascii="Times New Roman" w:hAnsi="Times New Roman"/>
                <w:color w:val="000000"/>
                <w:lang w:eastAsia="ru-RU"/>
              </w:rPr>
              <w:t>Сивушные масла; барда сухая кормовая</w:t>
            </w:r>
          </w:p>
        </w:tc>
        <w:tc>
          <w:tcPr>
            <w:tcW w:w="1586" w:type="dxa"/>
            <w:tcBorders>
              <w:top w:val="single" w:sz="4" w:space="0" w:color="auto"/>
              <w:left w:val="single" w:sz="4" w:space="0" w:color="auto"/>
              <w:bottom w:val="single" w:sz="4" w:space="0" w:color="auto"/>
              <w:right w:val="nil"/>
            </w:tcBorders>
            <w:shd w:val="clear" w:color="auto" w:fill="FFFFFF"/>
            <w:vAlign w:val="center"/>
          </w:tcPr>
          <w:p w:rsidR="002D1E45" w:rsidRPr="00AB4E24" w:rsidRDefault="002D1E45" w:rsidP="00AB4E24">
            <w:pPr>
              <w:spacing w:after="0" w:line="240" w:lineRule="auto"/>
              <w:ind w:left="28" w:right="28" w:hanging="28"/>
              <w:jc w:val="center"/>
              <w:rPr>
                <w:rFonts w:ascii="Times New Roman" w:hAnsi="Times New Roman"/>
                <w:color w:val="000000"/>
                <w:lang w:eastAsia="ru-RU"/>
              </w:rPr>
            </w:pPr>
            <w:r w:rsidRPr="00AB4E24">
              <w:rPr>
                <w:rFonts w:ascii="Times New Roman" w:hAnsi="Times New Roman"/>
                <w:color w:val="000000"/>
                <w:lang w:eastAsia="ru-RU"/>
              </w:rPr>
              <w:t>634,8</w:t>
            </w:r>
          </w:p>
        </w:tc>
        <w:tc>
          <w:tcPr>
            <w:tcW w:w="1609"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AB4E24" w:rsidRDefault="002D1E45" w:rsidP="00AB4E24">
            <w:pPr>
              <w:spacing w:after="0" w:line="240" w:lineRule="auto"/>
              <w:ind w:left="28" w:right="28" w:hanging="28"/>
              <w:jc w:val="center"/>
              <w:rPr>
                <w:rFonts w:ascii="Times New Roman" w:hAnsi="Times New Roman"/>
                <w:color w:val="000000"/>
                <w:lang w:eastAsia="ru-RU"/>
              </w:rPr>
            </w:pPr>
            <w:r w:rsidRPr="00AB4E24">
              <w:rPr>
                <w:rFonts w:ascii="Times New Roman" w:hAnsi="Times New Roman"/>
                <w:color w:val="000000"/>
                <w:lang w:eastAsia="ru-RU"/>
              </w:rPr>
              <w:t>782,9</w:t>
            </w:r>
          </w:p>
        </w:tc>
      </w:tr>
      <w:tr w:rsidR="002D1E45" w:rsidRPr="00AB4E24" w:rsidTr="00AB4E24">
        <w:trPr>
          <w:trHeight w:val="57"/>
          <w:jc w:val="center"/>
        </w:trPr>
        <w:tc>
          <w:tcPr>
            <w:tcW w:w="507" w:type="dxa"/>
            <w:tcBorders>
              <w:top w:val="single" w:sz="4" w:space="0" w:color="auto"/>
              <w:left w:val="single" w:sz="4" w:space="0" w:color="auto"/>
              <w:bottom w:val="single" w:sz="4" w:space="0" w:color="auto"/>
              <w:right w:val="nil"/>
            </w:tcBorders>
            <w:shd w:val="clear" w:color="auto" w:fill="FFFFFF"/>
            <w:vAlign w:val="center"/>
          </w:tcPr>
          <w:p w:rsidR="002D1E45" w:rsidRPr="00AB4E24" w:rsidRDefault="002D1E45" w:rsidP="00AB4E24">
            <w:pPr>
              <w:spacing w:after="0" w:line="240" w:lineRule="auto"/>
              <w:ind w:left="28" w:right="28" w:hanging="28"/>
              <w:jc w:val="center"/>
              <w:rPr>
                <w:rFonts w:ascii="Times New Roman" w:hAnsi="Times New Roman"/>
                <w:color w:val="000000"/>
                <w:lang w:eastAsia="ru-RU"/>
              </w:rPr>
            </w:pPr>
            <w:r w:rsidRPr="00AB4E24">
              <w:rPr>
                <w:rFonts w:ascii="Times New Roman" w:hAnsi="Times New Roman"/>
                <w:color w:val="000000"/>
                <w:lang w:eastAsia="ru-RU"/>
              </w:rPr>
              <w:t>5</w:t>
            </w:r>
          </w:p>
        </w:tc>
        <w:tc>
          <w:tcPr>
            <w:tcW w:w="1898" w:type="dxa"/>
            <w:tcBorders>
              <w:top w:val="single" w:sz="4" w:space="0" w:color="auto"/>
              <w:left w:val="single" w:sz="4" w:space="0" w:color="auto"/>
              <w:bottom w:val="single" w:sz="4" w:space="0" w:color="auto"/>
              <w:right w:val="nil"/>
            </w:tcBorders>
            <w:shd w:val="clear" w:color="auto" w:fill="FFFFFF"/>
            <w:vAlign w:val="center"/>
          </w:tcPr>
          <w:p w:rsidR="002D1E45" w:rsidRPr="00AB4E24" w:rsidRDefault="002D1E45" w:rsidP="00761B07">
            <w:pPr>
              <w:spacing w:after="0" w:line="240" w:lineRule="auto"/>
              <w:ind w:left="53" w:right="28"/>
              <w:rPr>
                <w:rFonts w:ascii="Times New Roman" w:hAnsi="Times New Roman"/>
                <w:color w:val="000000"/>
                <w:lang w:eastAsia="ru-RU"/>
              </w:rPr>
            </w:pPr>
            <w:r w:rsidRPr="00AB4E24">
              <w:rPr>
                <w:rFonts w:ascii="Times New Roman" w:hAnsi="Times New Roman"/>
                <w:color w:val="000000"/>
                <w:lang w:eastAsia="ru-RU"/>
              </w:rPr>
              <w:t>ООО «ФИШ МЭН»</w:t>
            </w:r>
          </w:p>
        </w:tc>
        <w:tc>
          <w:tcPr>
            <w:tcW w:w="1733" w:type="dxa"/>
            <w:tcBorders>
              <w:top w:val="single" w:sz="4" w:space="0" w:color="auto"/>
              <w:left w:val="single" w:sz="4" w:space="0" w:color="auto"/>
              <w:bottom w:val="single" w:sz="4" w:space="0" w:color="auto"/>
              <w:right w:val="nil"/>
            </w:tcBorders>
            <w:shd w:val="clear" w:color="auto" w:fill="FFFFFF"/>
            <w:vAlign w:val="center"/>
          </w:tcPr>
          <w:p w:rsidR="002D1E45" w:rsidRPr="00AB4E24" w:rsidRDefault="002D1E45" w:rsidP="00761B07">
            <w:pPr>
              <w:spacing w:after="0" w:line="240" w:lineRule="auto"/>
              <w:ind w:left="53" w:right="28"/>
              <w:rPr>
                <w:rFonts w:ascii="Times New Roman" w:hAnsi="Times New Roman"/>
                <w:color w:val="000000"/>
                <w:lang w:eastAsia="ru-RU"/>
              </w:rPr>
            </w:pPr>
            <w:r w:rsidRPr="00AB4E24">
              <w:rPr>
                <w:rFonts w:ascii="Times New Roman" w:hAnsi="Times New Roman"/>
                <w:color w:val="000000"/>
                <w:lang w:eastAsia="ru-RU"/>
              </w:rPr>
              <w:t>г.</w:t>
            </w:r>
            <w:r>
              <w:rPr>
                <w:rFonts w:ascii="Times New Roman" w:hAnsi="Times New Roman"/>
                <w:color w:val="000000"/>
                <w:lang w:eastAsia="ru-RU"/>
              </w:rPr>
              <w:t xml:space="preserve"> </w:t>
            </w:r>
            <w:r w:rsidRPr="00AB4E24">
              <w:rPr>
                <w:rFonts w:ascii="Times New Roman" w:hAnsi="Times New Roman"/>
                <w:color w:val="000000"/>
                <w:lang w:eastAsia="ru-RU"/>
              </w:rPr>
              <w:t>Куйбышев, ул.</w:t>
            </w:r>
            <w:r>
              <w:rPr>
                <w:rFonts w:ascii="Times New Roman" w:hAnsi="Times New Roman"/>
                <w:color w:val="000000"/>
                <w:lang w:eastAsia="ru-RU"/>
              </w:rPr>
              <w:t xml:space="preserve"> </w:t>
            </w:r>
            <w:r w:rsidRPr="00AB4E24">
              <w:rPr>
                <w:rFonts w:ascii="Times New Roman" w:hAnsi="Times New Roman"/>
                <w:color w:val="000000"/>
                <w:lang w:eastAsia="ru-RU"/>
              </w:rPr>
              <w:t>Олимпийская 1е</w:t>
            </w:r>
          </w:p>
        </w:tc>
        <w:tc>
          <w:tcPr>
            <w:tcW w:w="1183" w:type="dxa"/>
            <w:tcBorders>
              <w:top w:val="single" w:sz="4" w:space="0" w:color="auto"/>
              <w:left w:val="single" w:sz="4" w:space="0" w:color="auto"/>
              <w:bottom w:val="single" w:sz="4" w:space="0" w:color="auto"/>
              <w:right w:val="nil"/>
            </w:tcBorders>
            <w:shd w:val="clear" w:color="auto" w:fill="FFFFFF"/>
            <w:vAlign w:val="center"/>
          </w:tcPr>
          <w:p w:rsidR="002D1E45" w:rsidRPr="00AB4E24" w:rsidRDefault="002D1E45" w:rsidP="00AB4E24">
            <w:pPr>
              <w:spacing w:after="0" w:line="240" w:lineRule="auto"/>
              <w:ind w:left="28" w:right="28" w:hanging="28"/>
              <w:jc w:val="center"/>
              <w:rPr>
                <w:rFonts w:ascii="Times New Roman" w:hAnsi="Times New Roman"/>
                <w:color w:val="000000"/>
                <w:lang w:eastAsia="ru-RU"/>
              </w:rPr>
            </w:pPr>
            <w:r w:rsidRPr="00AB4E24">
              <w:rPr>
                <w:rFonts w:ascii="Times New Roman" w:hAnsi="Times New Roman"/>
                <w:color w:val="000000"/>
                <w:lang w:eastAsia="ru-RU"/>
              </w:rPr>
              <w:t>121</w:t>
            </w:r>
          </w:p>
        </w:tc>
        <w:tc>
          <w:tcPr>
            <w:tcW w:w="2187" w:type="dxa"/>
            <w:tcBorders>
              <w:top w:val="single" w:sz="4" w:space="0" w:color="auto"/>
              <w:left w:val="single" w:sz="4" w:space="0" w:color="auto"/>
              <w:bottom w:val="single" w:sz="4" w:space="0" w:color="auto"/>
              <w:right w:val="nil"/>
            </w:tcBorders>
            <w:shd w:val="clear" w:color="auto" w:fill="FFFFFF"/>
            <w:vAlign w:val="center"/>
          </w:tcPr>
          <w:p w:rsidR="002D1E45" w:rsidRPr="00AB4E24" w:rsidRDefault="002D1E45" w:rsidP="001D2F24">
            <w:pPr>
              <w:spacing w:after="0" w:line="240" w:lineRule="auto"/>
              <w:ind w:left="28" w:right="28" w:hanging="28"/>
              <w:jc w:val="center"/>
              <w:rPr>
                <w:rFonts w:ascii="Times New Roman" w:hAnsi="Times New Roman"/>
                <w:color w:val="000000"/>
                <w:lang w:eastAsia="ru-RU"/>
              </w:rPr>
            </w:pPr>
            <w:r w:rsidRPr="00AB4E24">
              <w:rPr>
                <w:rFonts w:ascii="Times New Roman" w:hAnsi="Times New Roman"/>
                <w:color w:val="000000"/>
                <w:lang w:eastAsia="ru-RU"/>
              </w:rPr>
              <w:t>Переработанная рыба реч</w:t>
            </w:r>
            <w:r>
              <w:rPr>
                <w:rFonts w:ascii="Times New Roman" w:hAnsi="Times New Roman"/>
                <w:color w:val="000000"/>
                <w:lang w:eastAsia="ru-RU"/>
              </w:rPr>
              <w:t xml:space="preserve">ного </w:t>
            </w:r>
            <w:r w:rsidRPr="00AB4E24">
              <w:rPr>
                <w:rFonts w:ascii="Times New Roman" w:hAnsi="Times New Roman"/>
                <w:color w:val="000000"/>
                <w:lang w:eastAsia="ru-RU"/>
              </w:rPr>
              <w:t>происхождения окунь, судак (разделка, филе)</w:t>
            </w:r>
          </w:p>
        </w:tc>
        <w:tc>
          <w:tcPr>
            <w:tcW w:w="1586" w:type="dxa"/>
            <w:tcBorders>
              <w:top w:val="single" w:sz="4" w:space="0" w:color="auto"/>
              <w:left w:val="single" w:sz="4" w:space="0" w:color="auto"/>
              <w:bottom w:val="single" w:sz="4" w:space="0" w:color="auto"/>
              <w:right w:val="nil"/>
            </w:tcBorders>
            <w:shd w:val="clear" w:color="auto" w:fill="FFFFFF"/>
            <w:vAlign w:val="center"/>
          </w:tcPr>
          <w:p w:rsidR="002D1E45" w:rsidRPr="00AB4E24" w:rsidRDefault="002D1E45" w:rsidP="00AB4E24">
            <w:pPr>
              <w:spacing w:after="0" w:line="240" w:lineRule="auto"/>
              <w:ind w:left="28" w:right="28" w:hanging="28"/>
              <w:jc w:val="center"/>
              <w:rPr>
                <w:rFonts w:ascii="Times New Roman" w:hAnsi="Times New Roman"/>
                <w:color w:val="000000"/>
                <w:lang w:eastAsia="ru-RU"/>
              </w:rPr>
            </w:pPr>
            <w:r w:rsidRPr="00AB4E24">
              <w:rPr>
                <w:rFonts w:ascii="Times New Roman" w:hAnsi="Times New Roman"/>
                <w:color w:val="000000"/>
                <w:lang w:eastAsia="ru-RU"/>
              </w:rPr>
              <w:t>578,9</w:t>
            </w:r>
          </w:p>
        </w:tc>
        <w:tc>
          <w:tcPr>
            <w:tcW w:w="1609"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AB4E24" w:rsidRDefault="002D1E45" w:rsidP="00AB4E24">
            <w:pPr>
              <w:spacing w:after="0" w:line="240" w:lineRule="auto"/>
              <w:ind w:left="28" w:right="28" w:hanging="28"/>
              <w:jc w:val="center"/>
              <w:rPr>
                <w:rFonts w:ascii="Times New Roman" w:hAnsi="Times New Roman"/>
                <w:color w:val="000000"/>
                <w:lang w:eastAsia="ru-RU"/>
              </w:rPr>
            </w:pPr>
            <w:r w:rsidRPr="00AB4E24">
              <w:rPr>
                <w:rFonts w:ascii="Times New Roman" w:hAnsi="Times New Roman"/>
                <w:color w:val="000000"/>
                <w:lang w:eastAsia="ru-RU"/>
              </w:rPr>
              <w:t>472,3</w:t>
            </w:r>
          </w:p>
        </w:tc>
      </w:tr>
      <w:tr w:rsidR="002D1E45" w:rsidRPr="00AB4E24" w:rsidTr="00AB4E24">
        <w:trPr>
          <w:trHeight w:val="57"/>
          <w:jc w:val="center"/>
        </w:trPr>
        <w:tc>
          <w:tcPr>
            <w:tcW w:w="507" w:type="dxa"/>
            <w:tcBorders>
              <w:top w:val="single" w:sz="4" w:space="0" w:color="auto"/>
              <w:left w:val="single" w:sz="4" w:space="0" w:color="auto"/>
              <w:bottom w:val="single" w:sz="4" w:space="0" w:color="auto"/>
              <w:right w:val="nil"/>
            </w:tcBorders>
            <w:shd w:val="clear" w:color="auto" w:fill="FFFFFF"/>
            <w:vAlign w:val="center"/>
          </w:tcPr>
          <w:p w:rsidR="002D1E45" w:rsidRPr="00AB4E24" w:rsidRDefault="002D1E45" w:rsidP="00AB4E24">
            <w:pPr>
              <w:spacing w:after="0" w:line="240" w:lineRule="auto"/>
              <w:ind w:left="28" w:right="28" w:hanging="28"/>
              <w:jc w:val="center"/>
              <w:rPr>
                <w:rFonts w:ascii="Times New Roman" w:hAnsi="Times New Roman"/>
                <w:color w:val="000000"/>
                <w:lang w:eastAsia="ru-RU"/>
              </w:rPr>
            </w:pPr>
            <w:r w:rsidRPr="00AB4E24">
              <w:rPr>
                <w:rFonts w:ascii="Times New Roman" w:hAnsi="Times New Roman"/>
                <w:color w:val="000000"/>
                <w:lang w:eastAsia="ru-RU"/>
              </w:rPr>
              <w:t>6</w:t>
            </w:r>
          </w:p>
        </w:tc>
        <w:tc>
          <w:tcPr>
            <w:tcW w:w="1898" w:type="dxa"/>
            <w:tcBorders>
              <w:top w:val="single" w:sz="4" w:space="0" w:color="auto"/>
              <w:left w:val="single" w:sz="4" w:space="0" w:color="auto"/>
              <w:bottom w:val="single" w:sz="4" w:space="0" w:color="auto"/>
              <w:right w:val="nil"/>
            </w:tcBorders>
            <w:shd w:val="clear" w:color="auto" w:fill="FFFFFF"/>
            <w:vAlign w:val="center"/>
          </w:tcPr>
          <w:p w:rsidR="002D1E45" w:rsidRPr="00AB4E24" w:rsidRDefault="002D1E45" w:rsidP="00761B07">
            <w:pPr>
              <w:spacing w:after="0" w:line="240" w:lineRule="auto"/>
              <w:ind w:left="53" w:right="28"/>
              <w:rPr>
                <w:rFonts w:ascii="Times New Roman" w:hAnsi="Times New Roman"/>
                <w:color w:val="000000"/>
                <w:lang w:eastAsia="ru-RU"/>
              </w:rPr>
            </w:pPr>
            <w:r w:rsidRPr="00AB4E24">
              <w:rPr>
                <w:rFonts w:ascii="Times New Roman" w:hAnsi="Times New Roman"/>
                <w:color w:val="000000"/>
                <w:lang w:eastAsia="ru-RU"/>
              </w:rPr>
              <w:t>ООО Сибирский рыбный дом»</w:t>
            </w:r>
          </w:p>
        </w:tc>
        <w:tc>
          <w:tcPr>
            <w:tcW w:w="1733" w:type="dxa"/>
            <w:tcBorders>
              <w:top w:val="single" w:sz="4" w:space="0" w:color="auto"/>
              <w:left w:val="single" w:sz="4" w:space="0" w:color="auto"/>
              <w:bottom w:val="single" w:sz="4" w:space="0" w:color="auto"/>
              <w:right w:val="nil"/>
            </w:tcBorders>
            <w:shd w:val="clear" w:color="auto" w:fill="FFFFFF"/>
            <w:vAlign w:val="center"/>
          </w:tcPr>
          <w:p w:rsidR="002D1E45" w:rsidRPr="00AB4E24" w:rsidRDefault="002D1E45" w:rsidP="00761B07">
            <w:pPr>
              <w:spacing w:after="0" w:line="240" w:lineRule="auto"/>
              <w:ind w:left="53" w:right="28"/>
              <w:rPr>
                <w:rFonts w:ascii="Times New Roman" w:hAnsi="Times New Roman"/>
                <w:color w:val="000000"/>
                <w:lang w:eastAsia="ru-RU"/>
              </w:rPr>
            </w:pPr>
            <w:r w:rsidRPr="00AB4E24">
              <w:rPr>
                <w:rFonts w:ascii="Times New Roman" w:hAnsi="Times New Roman"/>
                <w:color w:val="000000"/>
                <w:lang w:eastAsia="ru-RU"/>
              </w:rPr>
              <w:t>г.</w:t>
            </w:r>
            <w:r>
              <w:rPr>
                <w:rFonts w:ascii="Times New Roman" w:hAnsi="Times New Roman"/>
                <w:color w:val="000000"/>
                <w:lang w:eastAsia="ru-RU"/>
              </w:rPr>
              <w:t xml:space="preserve"> </w:t>
            </w:r>
            <w:r w:rsidRPr="00AB4E24">
              <w:rPr>
                <w:rFonts w:ascii="Times New Roman" w:hAnsi="Times New Roman"/>
                <w:color w:val="000000"/>
                <w:lang w:eastAsia="ru-RU"/>
              </w:rPr>
              <w:t>Куйбышев, ул.</w:t>
            </w:r>
            <w:r>
              <w:rPr>
                <w:rFonts w:ascii="Times New Roman" w:hAnsi="Times New Roman"/>
                <w:color w:val="000000"/>
                <w:lang w:eastAsia="ru-RU"/>
              </w:rPr>
              <w:t xml:space="preserve"> </w:t>
            </w:r>
            <w:r w:rsidRPr="00AB4E24">
              <w:rPr>
                <w:rFonts w:ascii="Times New Roman" w:hAnsi="Times New Roman"/>
                <w:color w:val="000000"/>
                <w:lang w:eastAsia="ru-RU"/>
              </w:rPr>
              <w:t>Олимпийская 1е</w:t>
            </w:r>
          </w:p>
        </w:tc>
        <w:tc>
          <w:tcPr>
            <w:tcW w:w="1183" w:type="dxa"/>
            <w:tcBorders>
              <w:top w:val="single" w:sz="4" w:space="0" w:color="auto"/>
              <w:left w:val="single" w:sz="4" w:space="0" w:color="auto"/>
              <w:bottom w:val="single" w:sz="4" w:space="0" w:color="auto"/>
              <w:right w:val="nil"/>
            </w:tcBorders>
            <w:shd w:val="clear" w:color="auto" w:fill="FFFFFF"/>
            <w:vAlign w:val="center"/>
          </w:tcPr>
          <w:p w:rsidR="002D1E45" w:rsidRPr="00AB4E24" w:rsidRDefault="002D1E45" w:rsidP="00AB4E24">
            <w:pPr>
              <w:spacing w:after="0" w:line="240" w:lineRule="auto"/>
              <w:ind w:left="28" w:right="28" w:hanging="28"/>
              <w:jc w:val="center"/>
              <w:rPr>
                <w:rFonts w:ascii="Times New Roman" w:hAnsi="Times New Roman"/>
                <w:color w:val="000000"/>
                <w:lang w:eastAsia="ru-RU"/>
              </w:rPr>
            </w:pPr>
            <w:r w:rsidRPr="00AB4E24">
              <w:rPr>
                <w:rFonts w:ascii="Times New Roman" w:hAnsi="Times New Roman"/>
                <w:color w:val="000000"/>
                <w:lang w:eastAsia="ru-RU"/>
              </w:rPr>
              <w:t>46</w:t>
            </w:r>
          </w:p>
        </w:tc>
        <w:tc>
          <w:tcPr>
            <w:tcW w:w="2187" w:type="dxa"/>
            <w:tcBorders>
              <w:top w:val="single" w:sz="4" w:space="0" w:color="auto"/>
              <w:left w:val="single" w:sz="4" w:space="0" w:color="auto"/>
              <w:bottom w:val="single" w:sz="4" w:space="0" w:color="auto"/>
              <w:right w:val="nil"/>
            </w:tcBorders>
            <w:shd w:val="clear" w:color="auto" w:fill="FFFFFF"/>
            <w:vAlign w:val="center"/>
          </w:tcPr>
          <w:p w:rsidR="002D1E45" w:rsidRPr="00AB4E24" w:rsidRDefault="002D1E45" w:rsidP="00AB4E24">
            <w:pPr>
              <w:spacing w:after="0" w:line="240" w:lineRule="auto"/>
              <w:ind w:left="28" w:right="28" w:hanging="28"/>
              <w:jc w:val="center"/>
              <w:rPr>
                <w:rFonts w:ascii="Times New Roman" w:hAnsi="Times New Roman"/>
                <w:color w:val="000000"/>
                <w:lang w:eastAsia="ru-RU"/>
              </w:rPr>
            </w:pPr>
            <w:r w:rsidRPr="00AB4E24">
              <w:rPr>
                <w:rFonts w:ascii="Times New Roman" w:hAnsi="Times New Roman"/>
                <w:color w:val="000000"/>
                <w:lang w:eastAsia="ru-RU"/>
              </w:rPr>
              <w:t>Вялен</w:t>
            </w:r>
            <w:r>
              <w:rPr>
                <w:rFonts w:ascii="Times New Roman" w:hAnsi="Times New Roman"/>
                <w:color w:val="000000"/>
                <w:lang w:eastAsia="ru-RU"/>
              </w:rPr>
              <w:t>ная</w:t>
            </w:r>
          </w:p>
          <w:p w:rsidR="002D1E45" w:rsidRPr="00AB4E24" w:rsidRDefault="002D1E45" w:rsidP="00AB4E24">
            <w:pPr>
              <w:spacing w:after="0" w:line="240" w:lineRule="auto"/>
              <w:ind w:left="28" w:right="28" w:hanging="28"/>
              <w:jc w:val="center"/>
              <w:rPr>
                <w:rFonts w:ascii="Times New Roman" w:hAnsi="Times New Roman"/>
                <w:color w:val="000000"/>
                <w:lang w:eastAsia="ru-RU"/>
              </w:rPr>
            </w:pPr>
            <w:r w:rsidRPr="00AB4E24">
              <w:rPr>
                <w:rFonts w:ascii="Times New Roman" w:hAnsi="Times New Roman"/>
                <w:color w:val="000000"/>
                <w:lang w:eastAsia="ru-RU"/>
              </w:rPr>
              <w:t>Продукция</w:t>
            </w:r>
          </w:p>
        </w:tc>
        <w:tc>
          <w:tcPr>
            <w:tcW w:w="1586" w:type="dxa"/>
            <w:tcBorders>
              <w:top w:val="single" w:sz="4" w:space="0" w:color="auto"/>
              <w:left w:val="single" w:sz="4" w:space="0" w:color="auto"/>
              <w:bottom w:val="single" w:sz="4" w:space="0" w:color="auto"/>
              <w:right w:val="nil"/>
            </w:tcBorders>
            <w:shd w:val="clear" w:color="auto" w:fill="FFFFFF"/>
            <w:vAlign w:val="center"/>
          </w:tcPr>
          <w:p w:rsidR="002D1E45" w:rsidRPr="00AB4E24" w:rsidRDefault="002D1E45" w:rsidP="00AB4E24">
            <w:pPr>
              <w:spacing w:after="0" w:line="240" w:lineRule="auto"/>
              <w:ind w:left="28" w:right="28" w:hanging="28"/>
              <w:jc w:val="center"/>
              <w:rPr>
                <w:rFonts w:ascii="Times New Roman" w:hAnsi="Times New Roman"/>
                <w:color w:val="000000"/>
                <w:lang w:eastAsia="ru-RU"/>
              </w:rPr>
            </w:pPr>
            <w:r w:rsidRPr="00AB4E24">
              <w:rPr>
                <w:rFonts w:ascii="Times New Roman" w:hAnsi="Times New Roman"/>
                <w:color w:val="000000"/>
                <w:lang w:eastAsia="ru-RU"/>
              </w:rPr>
              <w:t>125.8</w:t>
            </w:r>
          </w:p>
        </w:tc>
        <w:tc>
          <w:tcPr>
            <w:tcW w:w="1609"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AB4E24" w:rsidRDefault="002D1E45" w:rsidP="00AB4E24">
            <w:pPr>
              <w:spacing w:after="0" w:line="240" w:lineRule="auto"/>
              <w:ind w:left="28" w:right="28" w:hanging="28"/>
              <w:jc w:val="center"/>
              <w:rPr>
                <w:rFonts w:ascii="Times New Roman" w:hAnsi="Times New Roman"/>
                <w:color w:val="000000"/>
                <w:lang w:eastAsia="ru-RU"/>
              </w:rPr>
            </w:pPr>
            <w:r w:rsidRPr="00AB4E24">
              <w:rPr>
                <w:rFonts w:ascii="Times New Roman" w:hAnsi="Times New Roman"/>
                <w:color w:val="000000"/>
                <w:lang w:eastAsia="ru-RU"/>
              </w:rPr>
              <w:t>152,4</w:t>
            </w:r>
          </w:p>
        </w:tc>
      </w:tr>
      <w:tr w:rsidR="002D1E45" w:rsidRPr="00AB4E24" w:rsidTr="00AB4E24">
        <w:trPr>
          <w:trHeight w:val="57"/>
          <w:jc w:val="center"/>
        </w:trPr>
        <w:tc>
          <w:tcPr>
            <w:tcW w:w="507" w:type="dxa"/>
            <w:tcBorders>
              <w:top w:val="single" w:sz="4" w:space="0" w:color="auto"/>
              <w:left w:val="single" w:sz="4" w:space="0" w:color="auto"/>
              <w:bottom w:val="single" w:sz="4" w:space="0" w:color="auto"/>
              <w:right w:val="nil"/>
            </w:tcBorders>
            <w:shd w:val="clear" w:color="auto" w:fill="FFFFFF"/>
            <w:vAlign w:val="center"/>
          </w:tcPr>
          <w:p w:rsidR="002D1E45" w:rsidRPr="00AB4E24" w:rsidRDefault="002D1E45" w:rsidP="00AB4E24">
            <w:pPr>
              <w:spacing w:after="0" w:line="240" w:lineRule="auto"/>
              <w:ind w:left="28" w:right="28" w:hanging="28"/>
              <w:jc w:val="center"/>
              <w:rPr>
                <w:rFonts w:ascii="Times New Roman" w:hAnsi="Times New Roman"/>
                <w:color w:val="000000"/>
                <w:lang w:eastAsia="ru-RU"/>
              </w:rPr>
            </w:pPr>
            <w:r w:rsidRPr="00AB4E24">
              <w:rPr>
                <w:rFonts w:ascii="Times New Roman" w:hAnsi="Times New Roman"/>
                <w:color w:val="000000"/>
                <w:lang w:eastAsia="ru-RU"/>
              </w:rPr>
              <w:t>7</w:t>
            </w:r>
          </w:p>
        </w:tc>
        <w:tc>
          <w:tcPr>
            <w:tcW w:w="1898" w:type="dxa"/>
            <w:tcBorders>
              <w:top w:val="single" w:sz="4" w:space="0" w:color="auto"/>
              <w:left w:val="single" w:sz="4" w:space="0" w:color="auto"/>
              <w:bottom w:val="single" w:sz="4" w:space="0" w:color="auto"/>
              <w:right w:val="nil"/>
            </w:tcBorders>
            <w:shd w:val="clear" w:color="auto" w:fill="FFFFFF"/>
            <w:vAlign w:val="center"/>
          </w:tcPr>
          <w:p w:rsidR="002D1E45" w:rsidRPr="00AB4E24" w:rsidRDefault="002D1E45" w:rsidP="00761B07">
            <w:pPr>
              <w:spacing w:after="0" w:line="240" w:lineRule="auto"/>
              <w:ind w:left="53" w:right="28"/>
              <w:rPr>
                <w:rFonts w:ascii="Times New Roman" w:hAnsi="Times New Roman"/>
                <w:color w:val="000000"/>
                <w:lang w:eastAsia="ru-RU"/>
              </w:rPr>
            </w:pPr>
            <w:r w:rsidRPr="00AB4E24">
              <w:rPr>
                <w:rFonts w:ascii="Times New Roman" w:hAnsi="Times New Roman"/>
                <w:color w:val="000000"/>
                <w:lang w:eastAsia="ru-RU"/>
              </w:rPr>
              <w:t>ООО «Баланс» в декабре 2019 года была выпущена первая пробная продукция.</w:t>
            </w:r>
          </w:p>
        </w:tc>
        <w:tc>
          <w:tcPr>
            <w:tcW w:w="1733" w:type="dxa"/>
            <w:tcBorders>
              <w:top w:val="single" w:sz="4" w:space="0" w:color="auto"/>
              <w:left w:val="single" w:sz="4" w:space="0" w:color="auto"/>
              <w:bottom w:val="single" w:sz="4" w:space="0" w:color="auto"/>
              <w:right w:val="nil"/>
            </w:tcBorders>
            <w:shd w:val="clear" w:color="auto" w:fill="FFFFFF"/>
            <w:vAlign w:val="center"/>
          </w:tcPr>
          <w:p w:rsidR="002D1E45" w:rsidRPr="00AB4E24" w:rsidRDefault="002D1E45" w:rsidP="00761B07">
            <w:pPr>
              <w:spacing w:after="0" w:line="240" w:lineRule="auto"/>
              <w:ind w:left="53" w:right="28"/>
              <w:rPr>
                <w:rFonts w:ascii="Times New Roman" w:hAnsi="Times New Roman"/>
                <w:color w:val="000000"/>
                <w:lang w:eastAsia="ru-RU"/>
              </w:rPr>
            </w:pPr>
            <w:r w:rsidRPr="00AB4E24">
              <w:rPr>
                <w:rFonts w:ascii="Times New Roman" w:hAnsi="Times New Roman"/>
                <w:color w:val="000000"/>
                <w:lang w:eastAsia="ru-RU"/>
              </w:rPr>
              <w:t>г.</w:t>
            </w:r>
            <w:r>
              <w:rPr>
                <w:rFonts w:ascii="Times New Roman" w:hAnsi="Times New Roman"/>
                <w:color w:val="000000"/>
                <w:lang w:eastAsia="ru-RU"/>
              </w:rPr>
              <w:t xml:space="preserve"> </w:t>
            </w:r>
            <w:r w:rsidRPr="00AB4E24">
              <w:rPr>
                <w:rFonts w:ascii="Times New Roman" w:hAnsi="Times New Roman"/>
                <w:color w:val="000000"/>
                <w:lang w:eastAsia="ru-RU"/>
              </w:rPr>
              <w:t>Куйбышев, ул. Володарского</w:t>
            </w:r>
            <w:r>
              <w:rPr>
                <w:rFonts w:ascii="Times New Roman" w:hAnsi="Times New Roman"/>
                <w:color w:val="000000"/>
                <w:lang w:eastAsia="ru-RU"/>
              </w:rPr>
              <w:t>, 11</w:t>
            </w:r>
          </w:p>
        </w:tc>
        <w:tc>
          <w:tcPr>
            <w:tcW w:w="1183" w:type="dxa"/>
            <w:tcBorders>
              <w:top w:val="single" w:sz="4" w:space="0" w:color="auto"/>
              <w:left w:val="single" w:sz="4" w:space="0" w:color="auto"/>
              <w:bottom w:val="single" w:sz="4" w:space="0" w:color="auto"/>
              <w:right w:val="nil"/>
            </w:tcBorders>
            <w:shd w:val="clear" w:color="auto" w:fill="FFFFFF"/>
            <w:vAlign w:val="center"/>
          </w:tcPr>
          <w:p w:rsidR="002D1E45" w:rsidRPr="00AB4E24" w:rsidRDefault="002D1E45" w:rsidP="00AB4E24">
            <w:pPr>
              <w:spacing w:after="0" w:line="240" w:lineRule="auto"/>
              <w:ind w:left="28" w:right="28" w:hanging="28"/>
              <w:jc w:val="center"/>
              <w:rPr>
                <w:rFonts w:ascii="Times New Roman" w:hAnsi="Times New Roman"/>
                <w:color w:val="000000"/>
                <w:lang w:eastAsia="ru-RU"/>
              </w:rPr>
            </w:pPr>
          </w:p>
        </w:tc>
        <w:tc>
          <w:tcPr>
            <w:tcW w:w="2187" w:type="dxa"/>
            <w:tcBorders>
              <w:top w:val="single" w:sz="4" w:space="0" w:color="auto"/>
              <w:left w:val="single" w:sz="4" w:space="0" w:color="auto"/>
              <w:bottom w:val="single" w:sz="4" w:space="0" w:color="auto"/>
              <w:right w:val="nil"/>
            </w:tcBorders>
            <w:shd w:val="clear" w:color="auto" w:fill="FFFFFF"/>
            <w:vAlign w:val="center"/>
          </w:tcPr>
          <w:p w:rsidR="002D1E45" w:rsidRPr="00AB4E24" w:rsidRDefault="002D1E45" w:rsidP="00AB4E24">
            <w:pPr>
              <w:spacing w:after="0" w:line="240" w:lineRule="auto"/>
              <w:ind w:left="28" w:right="28" w:hanging="28"/>
              <w:jc w:val="center"/>
              <w:rPr>
                <w:rFonts w:ascii="Times New Roman" w:hAnsi="Times New Roman"/>
                <w:color w:val="000000"/>
                <w:lang w:eastAsia="ru-RU"/>
              </w:rPr>
            </w:pPr>
            <w:r w:rsidRPr="00AB4E24">
              <w:rPr>
                <w:rFonts w:ascii="Times New Roman" w:hAnsi="Times New Roman"/>
                <w:color w:val="000000"/>
                <w:lang w:eastAsia="ru-RU"/>
              </w:rPr>
              <w:t>Производство сухих молочных продуктов: сухого цельного молока и сухого обезжиренного молока.</w:t>
            </w:r>
          </w:p>
          <w:p w:rsidR="002D1E45" w:rsidRPr="00AB4E24" w:rsidRDefault="002D1E45" w:rsidP="00AB4E24">
            <w:pPr>
              <w:spacing w:after="0" w:line="240" w:lineRule="auto"/>
              <w:ind w:left="28" w:right="28" w:hanging="28"/>
              <w:jc w:val="center"/>
              <w:rPr>
                <w:rFonts w:ascii="Times New Roman" w:hAnsi="Times New Roman"/>
                <w:color w:val="000000"/>
                <w:lang w:eastAsia="ru-RU"/>
              </w:rPr>
            </w:pPr>
            <w:r w:rsidRPr="00AB4E24">
              <w:rPr>
                <w:rFonts w:ascii="Times New Roman" w:hAnsi="Times New Roman"/>
                <w:color w:val="000000"/>
                <w:lang w:eastAsia="ru-RU"/>
              </w:rPr>
              <w:t>Цельномолочная продукция.</w:t>
            </w:r>
          </w:p>
        </w:tc>
        <w:tc>
          <w:tcPr>
            <w:tcW w:w="1586" w:type="dxa"/>
            <w:tcBorders>
              <w:top w:val="single" w:sz="4" w:space="0" w:color="auto"/>
              <w:left w:val="single" w:sz="4" w:space="0" w:color="auto"/>
              <w:bottom w:val="single" w:sz="4" w:space="0" w:color="auto"/>
              <w:right w:val="nil"/>
            </w:tcBorders>
            <w:shd w:val="clear" w:color="auto" w:fill="FFFFFF"/>
            <w:vAlign w:val="center"/>
          </w:tcPr>
          <w:p w:rsidR="002D1E45" w:rsidRPr="00AB4E24" w:rsidRDefault="002D1E45" w:rsidP="00AB4E24">
            <w:pPr>
              <w:spacing w:after="0" w:line="240" w:lineRule="auto"/>
              <w:ind w:left="28" w:right="28" w:hanging="28"/>
              <w:jc w:val="center"/>
              <w:rPr>
                <w:rFonts w:ascii="Times New Roman" w:hAnsi="Times New Roman"/>
                <w:color w:val="000000"/>
                <w:lang w:eastAsia="ru-RU"/>
              </w:rPr>
            </w:pPr>
            <w:r>
              <w:rPr>
                <w:rFonts w:ascii="Times New Roman" w:hAnsi="Times New Roman"/>
                <w:color w:val="000000"/>
                <w:lang w:eastAsia="ru-RU"/>
              </w:rPr>
              <w:t>-</w:t>
            </w:r>
          </w:p>
        </w:tc>
        <w:tc>
          <w:tcPr>
            <w:tcW w:w="1609"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AB4E24" w:rsidRDefault="002D1E45" w:rsidP="00AB4E24">
            <w:pPr>
              <w:spacing w:after="0" w:line="240" w:lineRule="auto"/>
              <w:ind w:left="28" w:right="28" w:hanging="28"/>
              <w:jc w:val="center"/>
              <w:rPr>
                <w:rFonts w:ascii="Times New Roman" w:hAnsi="Times New Roman"/>
                <w:color w:val="000000"/>
                <w:lang w:eastAsia="ru-RU"/>
              </w:rPr>
            </w:pPr>
            <w:r>
              <w:rPr>
                <w:rFonts w:ascii="Times New Roman" w:hAnsi="Times New Roman"/>
                <w:color w:val="000000"/>
                <w:lang w:eastAsia="ru-RU"/>
              </w:rPr>
              <w:t>-</w:t>
            </w:r>
          </w:p>
        </w:tc>
      </w:tr>
    </w:tbl>
    <w:p w:rsidR="002D1E45" w:rsidRDefault="002D1E45" w:rsidP="00761B07">
      <w:pPr>
        <w:autoSpaceDE w:val="0"/>
        <w:autoSpaceDN w:val="0"/>
        <w:adjustRightInd w:val="0"/>
        <w:spacing w:after="0" w:line="360" w:lineRule="auto"/>
        <w:jc w:val="right"/>
        <w:rPr>
          <w:rFonts w:ascii="Times New Roman" w:hAnsi="Times New Roman"/>
          <w:sz w:val="28"/>
          <w:szCs w:val="24"/>
          <w:lang w:eastAsia="ru-RU"/>
        </w:rPr>
      </w:pPr>
    </w:p>
    <w:p w:rsidR="002D1E45" w:rsidRDefault="002D1E45" w:rsidP="00761B07">
      <w:pPr>
        <w:autoSpaceDE w:val="0"/>
        <w:autoSpaceDN w:val="0"/>
        <w:adjustRightInd w:val="0"/>
        <w:spacing w:after="0" w:line="360" w:lineRule="auto"/>
        <w:jc w:val="right"/>
        <w:rPr>
          <w:rFonts w:ascii="Times New Roman" w:hAnsi="Times New Roman"/>
          <w:sz w:val="28"/>
          <w:szCs w:val="24"/>
          <w:lang w:eastAsia="ru-RU"/>
        </w:rPr>
      </w:pPr>
    </w:p>
    <w:p w:rsidR="002D1E45" w:rsidRDefault="002D1E45" w:rsidP="00761B07">
      <w:pPr>
        <w:autoSpaceDE w:val="0"/>
        <w:autoSpaceDN w:val="0"/>
        <w:adjustRightInd w:val="0"/>
        <w:spacing w:after="0" w:line="360" w:lineRule="auto"/>
        <w:jc w:val="right"/>
        <w:rPr>
          <w:rFonts w:ascii="Times New Roman" w:hAnsi="Times New Roman"/>
          <w:sz w:val="28"/>
          <w:szCs w:val="24"/>
          <w:lang w:eastAsia="ru-RU"/>
        </w:rPr>
      </w:pPr>
    </w:p>
    <w:p w:rsidR="002D1E45" w:rsidRDefault="002D1E45" w:rsidP="00761B07">
      <w:pPr>
        <w:autoSpaceDE w:val="0"/>
        <w:autoSpaceDN w:val="0"/>
        <w:adjustRightInd w:val="0"/>
        <w:spacing w:after="0" w:line="360" w:lineRule="auto"/>
        <w:jc w:val="right"/>
        <w:rPr>
          <w:rFonts w:ascii="Times New Roman" w:hAnsi="Times New Roman"/>
          <w:sz w:val="28"/>
          <w:szCs w:val="24"/>
          <w:lang w:eastAsia="ru-RU"/>
        </w:rPr>
      </w:pPr>
    </w:p>
    <w:p w:rsidR="002D1E45" w:rsidRPr="00146391" w:rsidRDefault="002D1E45" w:rsidP="00761B07">
      <w:pPr>
        <w:autoSpaceDE w:val="0"/>
        <w:autoSpaceDN w:val="0"/>
        <w:adjustRightInd w:val="0"/>
        <w:spacing w:after="0" w:line="360" w:lineRule="auto"/>
        <w:jc w:val="right"/>
        <w:rPr>
          <w:rFonts w:ascii="Times New Roman" w:hAnsi="Times New Roman"/>
          <w:sz w:val="28"/>
          <w:szCs w:val="24"/>
          <w:lang w:eastAsia="ru-RU"/>
        </w:rPr>
      </w:pPr>
      <w:r w:rsidRPr="00146391">
        <w:rPr>
          <w:rFonts w:ascii="Times New Roman" w:hAnsi="Times New Roman"/>
          <w:sz w:val="28"/>
          <w:szCs w:val="24"/>
          <w:lang w:eastAsia="ru-RU"/>
        </w:rPr>
        <w:t xml:space="preserve">Таблица </w:t>
      </w:r>
      <w:r w:rsidRPr="00146391">
        <w:rPr>
          <w:rFonts w:ascii="Times New Roman" w:hAnsi="Times New Roman"/>
          <w:sz w:val="28"/>
          <w:szCs w:val="24"/>
          <w:lang w:eastAsia="ru-RU"/>
        </w:rPr>
        <w:fldChar w:fldCharType="begin"/>
      </w:r>
      <w:r w:rsidRPr="00146391">
        <w:rPr>
          <w:rFonts w:ascii="Times New Roman" w:hAnsi="Times New Roman"/>
          <w:sz w:val="28"/>
          <w:szCs w:val="24"/>
          <w:lang w:eastAsia="ru-RU"/>
        </w:rPr>
        <w:instrText xml:space="preserve"> SEQ Таблица \* ARABIC </w:instrText>
      </w:r>
      <w:r w:rsidRPr="00146391">
        <w:rPr>
          <w:rFonts w:ascii="Times New Roman" w:hAnsi="Times New Roman"/>
          <w:sz w:val="28"/>
          <w:szCs w:val="24"/>
          <w:lang w:eastAsia="ru-RU"/>
        </w:rPr>
        <w:fldChar w:fldCharType="separate"/>
      </w:r>
      <w:r>
        <w:rPr>
          <w:rFonts w:ascii="Times New Roman" w:hAnsi="Times New Roman"/>
          <w:noProof/>
          <w:sz w:val="28"/>
          <w:szCs w:val="24"/>
          <w:lang w:eastAsia="ru-RU"/>
        </w:rPr>
        <w:t>6</w:t>
      </w:r>
      <w:r w:rsidRPr="00146391">
        <w:rPr>
          <w:rFonts w:ascii="Times New Roman" w:hAnsi="Times New Roman"/>
          <w:sz w:val="28"/>
          <w:szCs w:val="24"/>
          <w:lang w:eastAsia="ru-RU"/>
        </w:rPr>
        <w:fldChar w:fldCharType="end"/>
      </w:r>
    </w:p>
    <w:p w:rsidR="002D1E45" w:rsidRDefault="002D1E45" w:rsidP="00761B07">
      <w:pPr>
        <w:tabs>
          <w:tab w:val="left" w:pos="1418"/>
        </w:tabs>
        <w:spacing w:line="240" w:lineRule="auto"/>
        <w:jc w:val="center"/>
        <w:rPr>
          <w:rFonts w:ascii="Times New Roman" w:hAnsi="Times New Roman"/>
          <w:sz w:val="28"/>
          <w:szCs w:val="24"/>
          <w:lang w:eastAsia="ru-RU"/>
        </w:rPr>
      </w:pPr>
      <w:r>
        <w:rPr>
          <w:rFonts w:ascii="Times New Roman" w:hAnsi="Times New Roman"/>
          <w:sz w:val="28"/>
          <w:szCs w:val="24"/>
          <w:lang w:eastAsia="ru-RU"/>
        </w:rPr>
        <w:t>Динамика объёмов промышленного производства</w:t>
      </w:r>
      <w:r w:rsidRPr="00761B07">
        <w:rPr>
          <w:rFonts w:ascii="Times New Roman" w:hAnsi="Times New Roman"/>
          <w:color w:val="000000"/>
          <w:sz w:val="24"/>
          <w:szCs w:val="24"/>
          <w:lang w:eastAsia="ru-RU"/>
        </w:rPr>
        <w:t>, млн.</w:t>
      </w:r>
      <w:r>
        <w:rPr>
          <w:rFonts w:ascii="Times New Roman" w:hAnsi="Times New Roman"/>
          <w:color w:val="000000"/>
          <w:sz w:val="24"/>
          <w:szCs w:val="24"/>
          <w:lang w:eastAsia="ru-RU"/>
        </w:rPr>
        <w:t xml:space="preserve"> </w:t>
      </w:r>
      <w:r w:rsidRPr="00761B07">
        <w:rPr>
          <w:rFonts w:ascii="Times New Roman" w:hAnsi="Times New Roman"/>
          <w:color w:val="000000"/>
          <w:sz w:val="24"/>
          <w:szCs w:val="24"/>
          <w:lang w:eastAsia="ru-RU"/>
        </w:rPr>
        <w:t>руб.</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4870"/>
        <w:gridCol w:w="869"/>
        <w:gridCol w:w="869"/>
        <w:gridCol w:w="877"/>
        <w:gridCol w:w="862"/>
        <w:gridCol w:w="869"/>
        <w:gridCol w:w="979"/>
      </w:tblGrid>
      <w:tr w:rsidR="002D1E45" w:rsidRPr="00761B07" w:rsidTr="00761B07">
        <w:trPr>
          <w:trHeight w:val="57"/>
          <w:jc w:val="center"/>
        </w:trPr>
        <w:tc>
          <w:tcPr>
            <w:tcW w:w="4870" w:type="dxa"/>
            <w:vMerge w:val="restart"/>
            <w:shd w:val="clear" w:color="auto" w:fill="FFFFFF"/>
            <w:vAlign w:val="center"/>
          </w:tcPr>
          <w:p w:rsidR="002D1E45" w:rsidRPr="00761B07" w:rsidRDefault="002D1E45" w:rsidP="00761B07">
            <w:pPr>
              <w:spacing w:after="0" w:line="240" w:lineRule="auto"/>
              <w:jc w:val="center"/>
              <w:rPr>
                <w:rFonts w:ascii="Times New Roman" w:hAnsi="Times New Roman"/>
                <w:sz w:val="24"/>
                <w:szCs w:val="24"/>
                <w:lang w:eastAsia="ru-RU"/>
              </w:rPr>
            </w:pPr>
            <w:r w:rsidRPr="00761B07">
              <w:rPr>
                <w:rFonts w:ascii="Times New Roman" w:hAnsi="Times New Roman"/>
                <w:color w:val="000000"/>
                <w:sz w:val="24"/>
                <w:szCs w:val="24"/>
                <w:lang w:eastAsia="ru-RU"/>
              </w:rPr>
              <w:t>Показатели</w:t>
            </w:r>
          </w:p>
        </w:tc>
        <w:tc>
          <w:tcPr>
            <w:tcW w:w="5325" w:type="dxa"/>
            <w:gridSpan w:val="6"/>
            <w:shd w:val="clear" w:color="auto" w:fill="FFFFFF"/>
            <w:vAlign w:val="center"/>
          </w:tcPr>
          <w:p w:rsidR="002D1E45" w:rsidRPr="00761B07" w:rsidRDefault="002D1E45" w:rsidP="00761B07">
            <w:pPr>
              <w:spacing w:after="0" w:line="240" w:lineRule="auto"/>
              <w:jc w:val="center"/>
              <w:rPr>
                <w:rFonts w:ascii="Times New Roman" w:hAnsi="Times New Roman"/>
                <w:sz w:val="24"/>
                <w:szCs w:val="24"/>
                <w:lang w:eastAsia="ru-RU"/>
              </w:rPr>
            </w:pPr>
            <w:r w:rsidRPr="00761B07">
              <w:rPr>
                <w:rFonts w:ascii="Times New Roman" w:hAnsi="Times New Roman"/>
                <w:color w:val="000000"/>
                <w:sz w:val="24"/>
                <w:szCs w:val="24"/>
                <w:lang w:eastAsia="ru-RU"/>
              </w:rPr>
              <w:t>Годы</w:t>
            </w:r>
          </w:p>
        </w:tc>
      </w:tr>
      <w:tr w:rsidR="002D1E45" w:rsidRPr="00761B07" w:rsidTr="00761B07">
        <w:trPr>
          <w:trHeight w:val="57"/>
          <w:jc w:val="center"/>
        </w:trPr>
        <w:tc>
          <w:tcPr>
            <w:tcW w:w="4870" w:type="dxa"/>
            <w:vMerge/>
            <w:shd w:val="clear" w:color="auto" w:fill="FFFFFF"/>
            <w:vAlign w:val="center"/>
          </w:tcPr>
          <w:p w:rsidR="002D1E45" w:rsidRPr="00761B07" w:rsidRDefault="002D1E45" w:rsidP="00761B07">
            <w:pPr>
              <w:spacing w:after="0" w:line="240" w:lineRule="auto"/>
              <w:jc w:val="center"/>
              <w:rPr>
                <w:rFonts w:ascii="Times New Roman" w:hAnsi="Times New Roman"/>
                <w:sz w:val="24"/>
                <w:szCs w:val="24"/>
                <w:lang w:eastAsia="ru-RU"/>
              </w:rPr>
            </w:pPr>
          </w:p>
        </w:tc>
        <w:tc>
          <w:tcPr>
            <w:tcW w:w="869" w:type="dxa"/>
            <w:shd w:val="clear" w:color="auto" w:fill="FFFFFF"/>
            <w:vAlign w:val="center"/>
          </w:tcPr>
          <w:p w:rsidR="002D1E45" w:rsidRPr="00761B07" w:rsidRDefault="002D1E45" w:rsidP="00761B07">
            <w:pPr>
              <w:spacing w:after="0" w:line="240" w:lineRule="auto"/>
              <w:jc w:val="center"/>
              <w:rPr>
                <w:rFonts w:ascii="Times New Roman" w:hAnsi="Times New Roman"/>
                <w:sz w:val="24"/>
                <w:szCs w:val="24"/>
                <w:lang w:eastAsia="ru-RU"/>
              </w:rPr>
            </w:pPr>
            <w:r w:rsidRPr="00761B07">
              <w:rPr>
                <w:rFonts w:ascii="Times New Roman" w:hAnsi="Times New Roman"/>
                <w:color w:val="000000"/>
                <w:sz w:val="24"/>
                <w:szCs w:val="24"/>
                <w:lang w:eastAsia="ru-RU"/>
              </w:rPr>
              <w:t>2014</w:t>
            </w:r>
          </w:p>
        </w:tc>
        <w:tc>
          <w:tcPr>
            <w:tcW w:w="869" w:type="dxa"/>
            <w:shd w:val="clear" w:color="auto" w:fill="FFFFFF"/>
            <w:vAlign w:val="center"/>
          </w:tcPr>
          <w:p w:rsidR="002D1E45" w:rsidRPr="00761B07" w:rsidRDefault="002D1E45" w:rsidP="00761B07">
            <w:pPr>
              <w:spacing w:after="0" w:line="240" w:lineRule="auto"/>
              <w:jc w:val="center"/>
              <w:rPr>
                <w:rFonts w:ascii="Times New Roman" w:hAnsi="Times New Roman"/>
                <w:sz w:val="24"/>
                <w:szCs w:val="24"/>
                <w:lang w:eastAsia="ru-RU"/>
              </w:rPr>
            </w:pPr>
            <w:r w:rsidRPr="00761B07">
              <w:rPr>
                <w:rFonts w:ascii="Times New Roman" w:hAnsi="Times New Roman"/>
                <w:color w:val="000000"/>
                <w:sz w:val="24"/>
                <w:szCs w:val="24"/>
                <w:lang w:eastAsia="ru-RU"/>
              </w:rPr>
              <w:t>2015</w:t>
            </w:r>
          </w:p>
        </w:tc>
        <w:tc>
          <w:tcPr>
            <w:tcW w:w="877" w:type="dxa"/>
            <w:shd w:val="clear" w:color="auto" w:fill="FFFFFF"/>
            <w:vAlign w:val="center"/>
          </w:tcPr>
          <w:p w:rsidR="002D1E45" w:rsidRPr="00761B07" w:rsidRDefault="002D1E45" w:rsidP="00761B07">
            <w:pPr>
              <w:spacing w:after="0" w:line="240" w:lineRule="auto"/>
              <w:jc w:val="center"/>
              <w:rPr>
                <w:rFonts w:ascii="Times New Roman" w:hAnsi="Times New Roman"/>
                <w:sz w:val="24"/>
                <w:szCs w:val="24"/>
                <w:lang w:eastAsia="ru-RU"/>
              </w:rPr>
            </w:pPr>
            <w:r w:rsidRPr="00761B07">
              <w:rPr>
                <w:rFonts w:ascii="Times New Roman" w:hAnsi="Times New Roman"/>
                <w:color w:val="000000"/>
                <w:sz w:val="24"/>
                <w:szCs w:val="24"/>
                <w:lang w:eastAsia="ru-RU"/>
              </w:rPr>
              <w:t>2016</w:t>
            </w:r>
          </w:p>
        </w:tc>
        <w:tc>
          <w:tcPr>
            <w:tcW w:w="862" w:type="dxa"/>
            <w:shd w:val="clear" w:color="auto" w:fill="FFFFFF"/>
            <w:vAlign w:val="center"/>
          </w:tcPr>
          <w:p w:rsidR="002D1E45" w:rsidRPr="00761B07" w:rsidRDefault="002D1E45" w:rsidP="00761B07">
            <w:pPr>
              <w:spacing w:after="0" w:line="240" w:lineRule="auto"/>
              <w:jc w:val="center"/>
              <w:rPr>
                <w:rFonts w:ascii="Times New Roman" w:hAnsi="Times New Roman"/>
                <w:sz w:val="24"/>
                <w:szCs w:val="24"/>
                <w:lang w:eastAsia="ru-RU"/>
              </w:rPr>
            </w:pPr>
            <w:r w:rsidRPr="00761B07">
              <w:rPr>
                <w:rFonts w:ascii="Times New Roman" w:hAnsi="Times New Roman"/>
                <w:color w:val="000000"/>
                <w:sz w:val="24"/>
                <w:szCs w:val="24"/>
                <w:lang w:eastAsia="ru-RU"/>
              </w:rPr>
              <w:t>2017</w:t>
            </w:r>
          </w:p>
        </w:tc>
        <w:tc>
          <w:tcPr>
            <w:tcW w:w="869" w:type="dxa"/>
            <w:shd w:val="clear" w:color="auto" w:fill="FFFFFF"/>
            <w:vAlign w:val="center"/>
          </w:tcPr>
          <w:p w:rsidR="002D1E45" w:rsidRPr="00761B07" w:rsidRDefault="002D1E45" w:rsidP="00761B07">
            <w:pPr>
              <w:spacing w:after="0" w:line="240" w:lineRule="auto"/>
              <w:jc w:val="center"/>
              <w:rPr>
                <w:rFonts w:ascii="Times New Roman" w:hAnsi="Times New Roman"/>
                <w:sz w:val="24"/>
                <w:szCs w:val="24"/>
                <w:lang w:eastAsia="ru-RU"/>
              </w:rPr>
            </w:pPr>
            <w:r w:rsidRPr="00761B07">
              <w:rPr>
                <w:rFonts w:ascii="Times New Roman" w:hAnsi="Times New Roman"/>
                <w:color w:val="000000"/>
                <w:sz w:val="24"/>
                <w:szCs w:val="24"/>
                <w:lang w:eastAsia="ru-RU"/>
              </w:rPr>
              <w:t>2018</w:t>
            </w:r>
          </w:p>
        </w:tc>
        <w:tc>
          <w:tcPr>
            <w:tcW w:w="979" w:type="dxa"/>
            <w:shd w:val="clear" w:color="auto" w:fill="FFFFFF"/>
            <w:vAlign w:val="center"/>
          </w:tcPr>
          <w:p w:rsidR="002D1E45" w:rsidRPr="00761B07" w:rsidRDefault="002D1E45" w:rsidP="00761B07">
            <w:pPr>
              <w:spacing w:after="0" w:line="240" w:lineRule="auto"/>
              <w:jc w:val="center"/>
              <w:rPr>
                <w:rFonts w:ascii="Times New Roman" w:hAnsi="Times New Roman"/>
                <w:sz w:val="24"/>
                <w:szCs w:val="24"/>
                <w:lang w:eastAsia="ru-RU"/>
              </w:rPr>
            </w:pPr>
            <w:r w:rsidRPr="00761B07">
              <w:rPr>
                <w:rFonts w:ascii="Times New Roman" w:hAnsi="Times New Roman"/>
                <w:color w:val="000000"/>
                <w:sz w:val="24"/>
                <w:szCs w:val="24"/>
                <w:lang w:eastAsia="ru-RU"/>
              </w:rPr>
              <w:t>2019</w:t>
            </w:r>
          </w:p>
        </w:tc>
      </w:tr>
      <w:tr w:rsidR="002D1E45" w:rsidRPr="00761B07" w:rsidTr="00761B07">
        <w:trPr>
          <w:trHeight w:val="57"/>
          <w:jc w:val="center"/>
        </w:trPr>
        <w:tc>
          <w:tcPr>
            <w:tcW w:w="4870" w:type="dxa"/>
            <w:shd w:val="clear" w:color="auto" w:fill="FFFFFF"/>
          </w:tcPr>
          <w:p w:rsidR="002D1E45" w:rsidRPr="00761B07" w:rsidRDefault="002D1E45" w:rsidP="00761B07">
            <w:pPr>
              <w:spacing w:after="0" w:line="240" w:lineRule="auto"/>
              <w:rPr>
                <w:rFonts w:ascii="Times New Roman" w:hAnsi="Times New Roman"/>
                <w:sz w:val="24"/>
                <w:szCs w:val="24"/>
                <w:lang w:eastAsia="ru-RU"/>
              </w:rPr>
            </w:pPr>
            <w:r w:rsidRPr="00761B07">
              <w:rPr>
                <w:rFonts w:ascii="Times New Roman" w:hAnsi="Times New Roman"/>
                <w:color w:val="000000"/>
                <w:sz w:val="24"/>
                <w:szCs w:val="24"/>
                <w:lang w:eastAsia="ru-RU"/>
              </w:rPr>
              <w:t>Объёмы промышленного производства</w:t>
            </w:r>
          </w:p>
        </w:tc>
        <w:tc>
          <w:tcPr>
            <w:tcW w:w="869" w:type="dxa"/>
            <w:shd w:val="clear" w:color="auto" w:fill="FFFFFF"/>
            <w:vAlign w:val="center"/>
          </w:tcPr>
          <w:p w:rsidR="002D1E45" w:rsidRPr="00761B07" w:rsidRDefault="002D1E45" w:rsidP="00761B07">
            <w:pPr>
              <w:spacing w:after="0" w:line="240" w:lineRule="auto"/>
              <w:jc w:val="center"/>
              <w:rPr>
                <w:rFonts w:ascii="Times New Roman" w:hAnsi="Times New Roman"/>
                <w:sz w:val="24"/>
                <w:szCs w:val="24"/>
                <w:lang w:eastAsia="ru-RU"/>
              </w:rPr>
            </w:pPr>
            <w:r w:rsidRPr="00761B07">
              <w:rPr>
                <w:rFonts w:ascii="Times New Roman" w:hAnsi="Times New Roman"/>
                <w:color w:val="000000"/>
                <w:sz w:val="24"/>
                <w:szCs w:val="24"/>
                <w:lang w:eastAsia="ru-RU"/>
              </w:rPr>
              <w:t>4540,2</w:t>
            </w:r>
          </w:p>
        </w:tc>
        <w:tc>
          <w:tcPr>
            <w:tcW w:w="869" w:type="dxa"/>
            <w:shd w:val="clear" w:color="auto" w:fill="FFFFFF"/>
            <w:vAlign w:val="center"/>
          </w:tcPr>
          <w:p w:rsidR="002D1E45" w:rsidRPr="00761B07" w:rsidRDefault="002D1E45" w:rsidP="00761B07">
            <w:pPr>
              <w:spacing w:after="0" w:line="240" w:lineRule="auto"/>
              <w:jc w:val="center"/>
              <w:rPr>
                <w:rFonts w:ascii="Times New Roman" w:hAnsi="Times New Roman"/>
                <w:sz w:val="24"/>
                <w:szCs w:val="24"/>
                <w:lang w:eastAsia="ru-RU"/>
              </w:rPr>
            </w:pPr>
            <w:r w:rsidRPr="00761B07">
              <w:rPr>
                <w:rFonts w:ascii="Times New Roman" w:hAnsi="Times New Roman"/>
                <w:color w:val="000000"/>
                <w:sz w:val="24"/>
                <w:szCs w:val="24"/>
                <w:lang w:eastAsia="ru-RU"/>
              </w:rPr>
              <w:t>4700,0</w:t>
            </w:r>
          </w:p>
        </w:tc>
        <w:tc>
          <w:tcPr>
            <w:tcW w:w="877" w:type="dxa"/>
            <w:shd w:val="clear" w:color="auto" w:fill="FFFFFF"/>
            <w:vAlign w:val="center"/>
          </w:tcPr>
          <w:p w:rsidR="002D1E45" w:rsidRPr="00761B07" w:rsidRDefault="002D1E45" w:rsidP="00761B07">
            <w:pPr>
              <w:spacing w:after="0" w:line="240" w:lineRule="auto"/>
              <w:jc w:val="center"/>
              <w:rPr>
                <w:rFonts w:ascii="Times New Roman" w:hAnsi="Times New Roman"/>
                <w:sz w:val="24"/>
                <w:szCs w:val="24"/>
                <w:lang w:eastAsia="ru-RU"/>
              </w:rPr>
            </w:pPr>
            <w:r w:rsidRPr="00761B07">
              <w:rPr>
                <w:rFonts w:ascii="Times New Roman" w:hAnsi="Times New Roman"/>
                <w:color w:val="000000"/>
                <w:sz w:val="24"/>
                <w:szCs w:val="24"/>
                <w:lang w:eastAsia="ru-RU"/>
              </w:rPr>
              <w:t>5285,1</w:t>
            </w:r>
          </w:p>
        </w:tc>
        <w:tc>
          <w:tcPr>
            <w:tcW w:w="862" w:type="dxa"/>
            <w:shd w:val="clear" w:color="auto" w:fill="FFFFFF"/>
            <w:vAlign w:val="center"/>
          </w:tcPr>
          <w:p w:rsidR="002D1E45" w:rsidRPr="00761B07" w:rsidRDefault="002D1E45" w:rsidP="00761B07">
            <w:pPr>
              <w:spacing w:after="0" w:line="240" w:lineRule="auto"/>
              <w:jc w:val="center"/>
              <w:rPr>
                <w:rFonts w:ascii="Times New Roman" w:hAnsi="Times New Roman"/>
                <w:sz w:val="24"/>
                <w:szCs w:val="24"/>
                <w:lang w:eastAsia="ru-RU"/>
              </w:rPr>
            </w:pPr>
            <w:r w:rsidRPr="00761B07">
              <w:rPr>
                <w:rFonts w:ascii="Times New Roman" w:hAnsi="Times New Roman"/>
                <w:color w:val="000000"/>
                <w:sz w:val="24"/>
                <w:szCs w:val="24"/>
                <w:lang w:eastAsia="ru-RU"/>
              </w:rPr>
              <w:t>5700,0</w:t>
            </w:r>
          </w:p>
        </w:tc>
        <w:tc>
          <w:tcPr>
            <w:tcW w:w="869" w:type="dxa"/>
            <w:shd w:val="clear" w:color="auto" w:fill="FFFFFF"/>
            <w:vAlign w:val="center"/>
          </w:tcPr>
          <w:p w:rsidR="002D1E45" w:rsidRPr="00761B07" w:rsidRDefault="002D1E45" w:rsidP="00761B07">
            <w:pPr>
              <w:spacing w:after="0" w:line="240" w:lineRule="auto"/>
              <w:jc w:val="center"/>
              <w:rPr>
                <w:rFonts w:ascii="Times New Roman" w:hAnsi="Times New Roman"/>
                <w:sz w:val="24"/>
                <w:szCs w:val="24"/>
                <w:lang w:eastAsia="ru-RU"/>
              </w:rPr>
            </w:pPr>
            <w:r w:rsidRPr="00761B07">
              <w:rPr>
                <w:rFonts w:ascii="Times New Roman" w:hAnsi="Times New Roman"/>
                <w:color w:val="000000"/>
                <w:sz w:val="24"/>
                <w:szCs w:val="24"/>
                <w:lang w:eastAsia="ru-RU"/>
              </w:rPr>
              <w:t>6110,4</w:t>
            </w:r>
          </w:p>
        </w:tc>
        <w:tc>
          <w:tcPr>
            <w:tcW w:w="979" w:type="dxa"/>
            <w:shd w:val="clear" w:color="auto" w:fill="FFFFFF"/>
            <w:vAlign w:val="center"/>
          </w:tcPr>
          <w:p w:rsidR="002D1E45" w:rsidRPr="00761B07" w:rsidRDefault="002D1E45" w:rsidP="00761B07">
            <w:pPr>
              <w:spacing w:after="0" w:line="240" w:lineRule="auto"/>
              <w:jc w:val="center"/>
              <w:rPr>
                <w:rFonts w:ascii="Times New Roman" w:hAnsi="Times New Roman"/>
                <w:sz w:val="24"/>
                <w:szCs w:val="24"/>
                <w:lang w:eastAsia="ru-RU"/>
              </w:rPr>
            </w:pPr>
            <w:r w:rsidRPr="00761B07">
              <w:rPr>
                <w:rFonts w:ascii="Times New Roman" w:hAnsi="Times New Roman"/>
                <w:color w:val="000000"/>
                <w:sz w:val="24"/>
                <w:szCs w:val="24"/>
                <w:lang w:eastAsia="ru-RU"/>
              </w:rPr>
              <w:t>6140,6</w:t>
            </w:r>
          </w:p>
        </w:tc>
      </w:tr>
    </w:tbl>
    <w:p w:rsidR="002D1E45" w:rsidRDefault="002D1E45" w:rsidP="001D1803">
      <w:pPr>
        <w:autoSpaceDE w:val="0"/>
        <w:autoSpaceDN w:val="0"/>
        <w:adjustRightInd w:val="0"/>
        <w:spacing w:after="0" w:line="360" w:lineRule="auto"/>
        <w:jc w:val="right"/>
        <w:rPr>
          <w:rFonts w:ascii="Times New Roman" w:hAnsi="Times New Roman"/>
          <w:sz w:val="28"/>
          <w:szCs w:val="24"/>
          <w:lang w:eastAsia="ru-RU"/>
        </w:rPr>
      </w:pPr>
    </w:p>
    <w:p w:rsidR="002D1E45" w:rsidRPr="00146391" w:rsidRDefault="002D1E45" w:rsidP="001D1803">
      <w:pPr>
        <w:autoSpaceDE w:val="0"/>
        <w:autoSpaceDN w:val="0"/>
        <w:adjustRightInd w:val="0"/>
        <w:spacing w:after="0" w:line="360" w:lineRule="auto"/>
        <w:jc w:val="right"/>
        <w:rPr>
          <w:rFonts w:ascii="Times New Roman" w:hAnsi="Times New Roman"/>
          <w:sz w:val="28"/>
          <w:szCs w:val="24"/>
          <w:lang w:eastAsia="ru-RU"/>
        </w:rPr>
      </w:pPr>
      <w:r w:rsidRPr="00146391">
        <w:rPr>
          <w:rFonts w:ascii="Times New Roman" w:hAnsi="Times New Roman"/>
          <w:sz w:val="28"/>
          <w:szCs w:val="24"/>
          <w:lang w:eastAsia="ru-RU"/>
        </w:rPr>
        <w:t xml:space="preserve">Таблица </w:t>
      </w:r>
      <w:r w:rsidRPr="00146391">
        <w:rPr>
          <w:rFonts w:ascii="Times New Roman" w:hAnsi="Times New Roman"/>
          <w:sz w:val="28"/>
          <w:szCs w:val="24"/>
          <w:lang w:eastAsia="ru-RU"/>
        </w:rPr>
        <w:fldChar w:fldCharType="begin"/>
      </w:r>
      <w:r w:rsidRPr="00146391">
        <w:rPr>
          <w:rFonts w:ascii="Times New Roman" w:hAnsi="Times New Roman"/>
          <w:sz w:val="28"/>
          <w:szCs w:val="24"/>
          <w:lang w:eastAsia="ru-RU"/>
        </w:rPr>
        <w:instrText xml:space="preserve"> SEQ Таблица \* ARABIC </w:instrText>
      </w:r>
      <w:r w:rsidRPr="00146391">
        <w:rPr>
          <w:rFonts w:ascii="Times New Roman" w:hAnsi="Times New Roman"/>
          <w:sz w:val="28"/>
          <w:szCs w:val="24"/>
          <w:lang w:eastAsia="ru-RU"/>
        </w:rPr>
        <w:fldChar w:fldCharType="separate"/>
      </w:r>
      <w:r>
        <w:rPr>
          <w:rFonts w:ascii="Times New Roman" w:hAnsi="Times New Roman"/>
          <w:noProof/>
          <w:sz w:val="28"/>
          <w:szCs w:val="24"/>
          <w:lang w:eastAsia="ru-RU"/>
        </w:rPr>
        <w:t>7</w:t>
      </w:r>
      <w:r w:rsidRPr="00146391">
        <w:rPr>
          <w:rFonts w:ascii="Times New Roman" w:hAnsi="Times New Roman"/>
          <w:sz w:val="28"/>
          <w:szCs w:val="24"/>
          <w:lang w:eastAsia="ru-RU"/>
        </w:rPr>
        <w:fldChar w:fldCharType="end"/>
      </w:r>
    </w:p>
    <w:p w:rsidR="002D1E45" w:rsidRDefault="002D1E45" w:rsidP="001D1803">
      <w:pPr>
        <w:tabs>
          <w:tab w:val="left" w:pos="1418"/>
        </w:tabs>
        <w:spacing w:line="240" w:lineRule="auto"/>
        <w:jc w:val="center"/>
        <w:rPr>
          <w:rFonts w:ascii="Times New Roman" w:hAnsi="Times New Roman"/>
          <w:sz w:val="28"/>
          <w:szCs w:val="24"/>
          <w:lang w:eastAsia="ru-RU"/>
        </w:rPr>
      </w:pPr>
      <w:r w:rsidRPr="00EB5EE6">
        <w:rPr>
          <w:rFonts w:ascii="Times New Roman" w:hAnsi="Times New Roman"/>
          <w:sz w:val="28"/>
          <w:szCs w:val="24"/>
          <w:lang w:eastAsia="ru-RU"/>
        </w:rPr>
        <w:t>Основные показатели развития малого бизнеса муниципального образования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4881"/>
        <w:gridCol w:w="862"/>
        <w:gridCol w:w="869"/>
        <w:gridCol w:w="875"/>
        <w:gridCol w:w="869"/>
        <w:gridCol w:w="862"/>
        <w:gridCol w:w="977"/>
      </w:tblGrid>
      <w:tr w:rsidR="002D1E45" w:rsidRPr="00EB5EE6" w:rsidTr="00EB5EE6">
        <w:trPr>
          <w:trHeight w:val="57"/>
          <w:jc w:val="center"/>
        </w:trPr>
        <w:tc>
          <w:tcPr>
            <w:tcW w:w="4881" w:type="dxa"/>
            <w:vMerge w:val="restart"/>
            <w:shd w:val="clear" w:color="auto" w:fill="FFFFFF"/>
            <w:vAlign w:val="center"/>
          </w:tcPr>
          <w:p w:rsidR="002D1E45" w:rsidRPr="00EB5EE6" w:rsidRDefault="002D1E45" w:rsidP="00EB5EE6">
            <w:pPr>
              <w:spacing w:after="0" w:line="240" w:lineRule="auto"/>
              <w:jc w:val="center"/>
              <w:rPr>
                <w:rFonts w:ascii="Times New Roman" w:hAnsi="Times New Roman"/>
                <w:lang w:eastAsia="ru-RU"/>
              </w:rPr>
            </w:pPr>
            <w:r w:rsidRPr="00EB5EE6">
              <w:rPr>
                <w:rFonts w:ascii="Times New Roman" w:hAnsi="Times New Roman"/>
                <w:color w:val="000000"/>
                <w:lang w:eastAsia="ru-RU"/>
              </w:rPr>
              <w:t>Показатели</w:t>
            </w:r>
          </w:p>
        </w:tc>
        <w:tc>
          <w:tcPr>
            <w:tcW w:w="5314" w:type="dxa"/>
            <w:gridSpan w:val="6"/>
            <w:shd w:val="clear" w:color="auto" w:fill="FFFFFF"/>
            <w:vAlign w:val="center"/>
          </w:tcPr>
          <w:p w:rsidR="002D1E45" w:rsidRPr="00EB5EE6" w:rsidRDefault="002D1E45" w:rsidP="00EB5EE6">
            <w:pPr>
              <w:spacing w:after="0" w:line="240" w:lineRule="auto"/>
              <w:jc w:val="center"/>
              <w:rPr>
                <w:rFonts w:ascii="Times New Roman" w:hAnsi="Times New Roman"/>
                <w:lang w:eastAsia="ru-RU"/>
              </w:rPr>
            </w:pPr>
            <w:r w:rsidRPr="00EB5EE6">
              <w:rPr>
                <w:rFonts w:ascii="Times New Roman" w:hAnsi="Times New Roman"/>
                <w:color w:val="000000"/>
                <w:lang w:eastAsia="ru-RU"/>
              </w:rPr>
              <w:t>Годы</w:t>
            </w:r>
          </w:p>
        </w:tc>
      </w:tr>
      <w:tr w:rsidR="002D1E45" w:rsidRPr="00EB5EE6" w:rsidTr="00EB5EE6">
        <w:trPr>
          <w:trHeight w:val="57"/>
          <w:jc w:val="center"/>
        </w:trPr>
        <w:tc>
          <w:tcPr>
            <w:tcW w:w="4881" w:type="dxa"/>
            <w:vMerge/>
            <w:shd w:val="clear" w:color="auto" w:fill="FFFFFF"/>
            <w:vAlign w:val="center"/>
          </w:tcPr>
          <w:p w:rsidR="002D1E45" w:rsidRPr="00EB5EE6" w:rsidRDefault="002D1E45" w:rsidP="00EB5EE6">
            <w:pPr>
              <w:spacing w:after="0" w:line="240" w:lineRule="auto"/>
              <w:jc w:val="center"/>
              <w:rPr>
                <w:rFonts w:ascii="Times New Roman" w:hAnsi="Times New Roman"/>
                <w:lang w:eastAsia="ru-RU"/>
              </w:rPr>
            </w:pPr>
          </w:p>
        </w:tc>
        <w:tc>
          <w:tcPr>
            <w:tcW w:w="862" w:type="dxa"/>
            <w:shd w:val="clear" w:color="auto" w:fill="FFFFFF"/>
            <w:vAlign w:val="center"/>
          </w:tcPr>
          <w:p w:rsidR="002D1E45" w:rsidRPr="00EB5EE6" w:rsidRDefault="002D1E45" w:rsidP="00EB5EE6">
            <w:pPr>
              <w:spacing w:after="0" w:line="240" w:lineRule="auto"/>
              <w:jc w:val="center"/>
              <w:rPr>
                <w:rFonts w:ascii="Times New Roman" w:hAnsi="Times New Roman"/>
                <w:lang w:eastAsia="ru-RU"/>
              </w:rPr>
            </w:pPr>
            <w:r w:rsidRPr="00EB5EE6">
              <w:rPr>
                <w:rFonts w:ascii="Times New Roman" w:hAnsi="Times New Roman"/>
                <w:color w:val="000000"/>
                <w:lang w:eastAsia="ru-RU"/>
              </w:rPr>
              <w:t>2014</w:t>
            </w:r>
          </w:p>
        </w:tc>
        <w:tc>
          <w:tcPr>
            <w:tcW w:w="869" w:type="dxa"/>
            <w:shd w:val="clear" w:color="auto" w:fill="FFFFFF"/>
            <w:vAlign w:val="center"/>
          </w:tcPr>
          <w:p w:rsidR="002D1E45" w:rsidRPr="00EB5EE6" w:rsidRDefault="002D1E45" w:rsidP="00EB5EE6">
            <w:pPr>
              <w:spacing w:after="0" w:line="240" w:lineRule="auto"/>
              <w:jc w:val="center"/>
              <w:rPr>
                <w:rFonts w:ascii="Times New Roman" w:hAnsi="Times New Roman"/>
                <w:lang w:eastAsia="ru-RU"/>
              </w:rPr>
            </w:pPr>
            <w:r w:rsidRPr="00EB5EE6">
              <w:rPr>
                <w:rFonts w:ascii="Times New Roman" w:hAnsi="Times New Roman"/>
                <w:color w:val="000000"/>
                <w:lang w:eastAsia="ru-RU"/>
              </w:rPr>
              <w:t>2015</w:t>
            </w:r>
          </w:p>
        </w:tc>
        <w:tc>
          <w:tcPr>
            <w:tcW w:w="875" w:type="dxa"/>
            <w:shd w:val="clear" w:color="auto" w:fill="FFFFFF"/>
            <w:vAlign w:val="center"/>
          </w:tcPr>
          <w:p w:rsidR="002D1E45" w:rsidRPr="00EB5EE6" w:rsidRDefault="002D1E45" w:rsidP="00EB5EE6">
            <w:pPr>
              <w:spacing w:after="0" w:line="240" w:lineRule="auto"/>
              <w:jc w:val="center"/>
              <w:rPr>
                <w:rFonts w:ascii="Times New Roman" w:hAnsi="Times New Roman"/>
                <w:lang w:eastAsia="ru-RU"/>
              </w:rPr>
            </w:pPr>
            <w:r w:rsidRPr="00EB5EE6">
              <w:rPr>
                <w:rFonts w:ascii="Times New Roman" w:hAnsi="Times New Roman"/>
                <w:color w:val="000000"/>
                <w:lang w:eastAsia="ru-RU"/>
              </w:rPr>
              <w:t>2016</w:t>
            </w:r>
          </w:p>
        </w:tc>
        <w:tc>
          <w:tcPr>
            <w:tcW w:w="869" w:type="dxa"/>
            <w:shd w:val="clear" w:color="auto" w:fill="FFFFFF"/>
            <w:vAlign w:val="center"/>
          </w:tcPr>
          <w:p w:rsidR="002D1E45" w:rsidRPr="00EB5EE6" w:rsidRDefault="002D1E45" w:rsidP="00EB5EE6">
            <w:pPr>
              <w:spacing w:after="0" w:line="240" w:lineRule="auto"/>
              <w:jc w:val="center"/>
              <w:rPr>
                <w:rFonts w:ascii="Times New Roman" w:hAnsi="Times New Roman"/>
                <w:lang w:eastAsia="ru-RU"/>
              </w:rPr>
            </w:pPr>
            <w:r w:rsidRPr="00EB5EE6">
              <w:rPr>
                <w:rFonts w:ascii="Times New Roman" w:hAnsi="Times New Roman"/>
                <w:color w:val="000000"/>
                <w:lang w:eastAsia="ru-RU"/>
              </w:rPr>
              <w:t>2017</w:t>
            </w:r>
          </w:p>
        </w:tc>
        <w:tc>
          <w:tcPr>
            <w:tcW w:w="862" w:type="dxa"/>
            <w:shd w:val="clear" w:color="auto" w:fill="FFFFFF"/>
            <w:vAlign w:val="center"/>
          </w:tcPr>
          <w:p w:rsidR="002D1E45" w:rsidRPr="00EB5EE6" w:rsidRDefault="002D1E45" w:rsidP="00EB5EE6">
            <w:pPr>
              <w:spacing w:after="0" w:line="240" w:lineRule="auto"/>
              <w:jc w:val="center"/>
              <w:rPr>
                <w:rFonts w:ascii="Times New Roman" w:hAnsi="Times New Roman"/>
                <w:lang w:eastAsia="ru-RU"/>
              </w:rPr>
            </w:pPr>
            <w:r w:rsidRPr="00EB5EE6">
              <w:rPr>
                <w:rFonts w:ascii="Times New Roman" w:hAnsi="Times New Roman"/>
                <w:color w:val="000000"/>
                <w:lang w:eastAsia="ru-RU"/>
              </w:rPr>
              <w:t>2018</w:t>
            </w:r>
          </w:p>
        </w:tc>
        <w:tc>
          <w:tcPr>
            <w:tcW w:w="977" w:type="dxa"/>
            <w:shd w:val="clear" w:color="auto" w:fill="FFFFFF"/>
            <w:vAlign w:val="center"/>
          </w:tcPr>
          <w:p w:rsidR="002D1E45" w:rsidRPr="00EB5EE6" w:rsidRDefault="002D1E45" w:rsidP="00EB5EE6">
            <w:pPr>
              <w:spacing w:after="0" w:line="240" w:lineRule="auto"/>
              <w:jc w:val="center"/>
              <w:rPr>
                <w:rFonts w:ascii="Times New Roman" w:hAnsi="Times New Roman"/>
                <w:lang w:eastAsia="ru-RU"/>
              </w:rPr>
            </w:pPr>
            <w:r w:rsidRPr="00EB5EE6">
              <w:rPr>
                <w:rFonts w:ascii="Times New Roman" w:hAnsi="Times New Roman"/>
                <w:color w:val="000000"/>
                <w:lang w:eastAsia="ru-RU"/>
              </w:rPr>
              <w:t>2019</w:t>
            </w:r>
          </w:p>
        </w:tc>
      </w:tr>
      <w:tr w:rsidR="002D1E45" w:rsidRPr="00EB5EE6" w:rsidTr="00EB5EE6">
        <w:trPr>
          <w:trHeight w:val="57"/>
          <w:jc w:val="center"/>
        </w:trPr>
        <w:tc>
          <w:tcPr>
            <w:tcW w:w="4881" w:type="dxa"/>
            <w:shd w:val="clear" w:color="auto" w:fill="FFFFFF"/>
          </w:tcPr>
          <w:p w:rsidR="002D1E45" w:rsidRPr="00EB5EE6" w:rsidRDefault="002D1E45" w:rsidP="00EB5EE6">
            <w:pPr>
              <w:spacing w:after="0" w:line="240" w:lineRule="auto"/>
              <w:rPr>
                <w:rFonts w:ascii="Times New Roman" w:hAnsi="Times New Roman"/>
                <w:lang w:eastAsia="ru-RU"/>
              </w:rPr>
            </w:pPr>
            <w:r w:rsidRPr="00EB5EE6">
              <w:rPr>
                <w:rFonts w:ascii="Times New Roman" w:hAnsi="Times New Roman"/>
                <w:color w:val="000000"/>
                <w:lang w:eastAsia="ru-RU"/>
              </w:rPr>
              <w:t>Количество малых предприятий, ед.</w:t>
            </w:r>
          </w:p>
        </w:tc>
        <w:tc>
          <w:tcPr>
            <w:tcW w:w="862" w:type="dxa"/>
            <w:shd w:val="clear" w:color="auto" w:fill="FFFFFF"/>
            <w:vAlign w:val="center"/>
          </w:tcPr>
          <w:p w:rsidR="002D1E45" w:rsidRPr="00EB5EE6" w:rsidRDefault="002D1E45" w:rsidP="00EB5EE6">
            <w:pPr>
              <w:spacing w:after="0" w:line="240" w:lineRule="auto"/>
              <w:jc w:val="center"/>
              <w:rPr>
                <w:rFonts w:ascii="Times New Roman" w:hAnsi="Times New Roman"/>
                <w:lang w:eastAsia="ru-RU"/>
              </w:rPr>
            </w:pPr>
            <w:r w:rsidRPr="00EB5EE6">
              <w:rPr>
                <w:rFonts w:ascii="Times New Roman" w:hAnsi="Times New Roman"/>
                <w:color w:val="000000"/>
                <w:lang w:eastAsia="ru-RU"/>
              </w:rPr>
              <w:t>197</w:t>
            </w:r>
          </w:p>
        </w:tc>
        <w:tc>
          <w:tcPr>
            <w:tcW w:w="869" w:type="dxa"/>
            <w:shd w:val="clear" w:color="auto" w:fill="FFFFFF"/>
            <w:vAlign w:val="center"/>
          </w:tcPr>
          <w:p w:rsidR="002D1E45" w:rsidRPr="00EB5EE6" w:rsidRDefault="002D1E45" w:rsidP="00EB5EE6">
            <w:pPr>
              <w:spacing w:after="0" w:line="240" w:lineRule="auto"/>
              <w:jc w:val="center"/>
              <w:rPr>
                <w:rFonts w:ascii="Times New Roman" w:hAnsi="Times New Roman"/>
                <w:lang w:eastAsia="ru-RU"/>
              </w:rPr>
            </w:pPr>
            <w:r w:rsidRPr="00EB5EE6">
              <w:rPr>
                <w:rFonts w:ascii="Times New Roman" w:hAnsi="Times New Roman"/>
                <w:color w:val="000000"/>
                <w:lang w:eastAsia="ru-RU"/>
              </w:rPr>
              <w:t>198</w:t>
            </w:r>
          </w:p>
        </w:tc>
        <w:tc>
          <w:tcPr>
            <w:tcW w:w="875" w:type="dxa"/>
            <w:shd w:val="clear" w:color="auto" w:fill="FFFFFF"/>
            <w:vAlign w:val="center"/>
          </w:tcPr>
          <w:p w:rsidR="002D1E45" w:rsidRPr="00EB5EE6" w:rsidRDefault="002D1E45" w:rsidP="00EB5EE6">
            <w:pPr>
              <w:spacing w:after="0" w:line="240" w:lineRule="auto"/>
              <w:jc w:val="center"/>
              <w:rPr>
                <w:rFonts w:ascii="Times New Roman" w:hAnsi="Times New Roman"/>
                <w:lang w:eastAsia="ru-RU"/>
              </w:rPr>
            </w:pPr>
            <w:r w:rsidRPr="00EB5EE6">
              <w:rPr>
                <w:rFonts w:ascii="Times New Roman" w:hAnsi="Times New Roman"/>
                <w:color w:val="000000"/>
                <w:lang w:eastAsia="ru-RU"/>
              </w:rPr>
              <w:t>211</w:t>
            </w:r>
          </w:p>
        </w:tc>
        <w:tc>
          <w:tcPr>
            <w:tcW w:w="869" w:type="dxa"/>
            <w:shd w:val="clear" w:color="auto" w:fill="FFFFFF"/>
            <w:vAlign w:val="center"/>
          </w:tcPr>
          <w:p w:rsidR="002D1E45" w:rsidRPr="00EB5EE6" w:rsidRDefault="002D1E45" w:rsidP="00EB5EE6">
            <w:pPr>
              <w:spacing w:after="0" w:line="240" w:lineRule="auto"/>
              <w:jc w:val="center"/>
              <w:rPr>
                <w:rFonts w:ascii="Times New Roman" w:hAnsi="Times New Roman"/>
                <w:lang w:eastAsia="ru-RU"/>
              </w:rPr>
            </w:pPr>
            <w:r w:rsidRPr="00EB5EE6">
              <w:rPr>
                <w:rFonts w:ascii="Times New Roman" w:hAnsi="Times New Roman"/>
                <w:color w:val="000000"/>
                <w:lang w:eastAsia="ru-RU"/>
              </w:rPr>
              <w:t>150</w:t>
            </w:r>
          </w:p>
        </w:tc>
        <w:tc>
          <w:tcPr>
            <w:tcW w:w="862" w:type="dxa"/>
            <w:shd w:val="clear" w:color="auto" w:fill="FFFFFF"/>
            <w:vAlign w:val="center"/>
          </w:tcPr>
          <w:p w:rsidR="002D1E45" w:rsidRPr="00EB5EE6" w:rsidRDefault="002D1E45" w:rsidP="00EB5EE6">
            <w:pPr>
              <w:spacing w:after="0" w:line="240" w:lineRule="auto"/>
              <w:jc w:val="center"/>
              <w:rPr>
                <w:rFonts w:ascii="Times New Roman" w:hAnsi="Times New Roman"/>
                <w:lang w:eastAsia="ru-RU"/>
              </w:rPr>
            </w:pPr>
            <w:r w:rsidRPr="00EB5EE6">
              <w:rPr>
                <w:rFonts w:ascii="Times New Roman" w:hAnsi="Times New Roman"/>
                <w:color w:val="000000"/>
                <w:lang w:eastAsia="ru-RU"/>
              </w:rPr>
              <w:t>162</w:t>
            </w:r>
          </w:p>
        </w:tc>
        <w:tc>
          <w:tcPr>
            <w:tcW w:w="977" w:type="dxa"/>
            <w:shd w:val="clear" w:color="auto" w:fill="FFFFFF"/>
            <w:vAlign w:val="center"/>
          </w:tcPr>
          <w:p w:rsidR="002D1E45" w:rsidRPr="00EB5EE6" w:rsidRDefault="002D1E45" w:rsidP="00EB5EE6">
            <w:pPr>
              <w:spacing w:after="0" w:line="240" w:lineRule="auto"/>
              <w:jc w:val="center"/>
              <w:rPr>
                <w:rFonts w:ascii="Times New Roman" w:hAnsi="Times New Roman"/>
                <w:lang w:eastAsia="ru-RU"/>
              </w:rPr>
            </w:pPr>
            <w:r w:rsidRPr="00EB5EE6">
              <w:rPr>
                <w:rFonts w:ascii="Times New Roman" w:hAnsi="Times New Roman"/>
                <w:color w:val="000000"/>
                <w:lang w:eastAsia="ru-RU"/>
              </w:rPr>
              <w:t>160</w:t>
            </w:r>
          </w:p>
        </w:tc>
      </w:tr>
      <w:tr w:rsidR="002D1E45" w:rsidRPr="00EB5EE6" w:rsidTr="00EB5EE6">
        <w:trPr>
          <w:trHeight w:val="57"/>
          <w:jc w:val="center"/>
        </w:trPr>
        <w:tc>
          <w:tcPr>
            <w:tcW w:w="4881" w:type="dxa"/>
            <w:shd w:val="clear" w:color="auto" w:fill="FFFFFF"/>
          </w:tcPr>
          <w:p w:rsidR="002D1E45" w:rsidRPr="00EB5EE6" w:rsidRDefault="002D1E45" w:rsidP="00EB5EE6">
            <w:pPr>
              <w:spacing w:after="0" w:line="240" w:lineRule="auto"/>
              <w:rPr>
                <w:rFonts w:ascii="Times New Roman" w:hAnsi="Times New Roman"/>
                <w:color w:val="000000"/>
                <w:lang w:eastAsia="ru-RU"/>
              </w:rPr>
            </w:pPr>
            <w:r w:rsidRPr="00EB5EE6">
              <w:rPr>
                <w:rFonts w:ascii="Times New Roman" w:hAnsi="Times New Roman"/>
                <w:color w:val="000000"/>
                <w:lang w:eastAsia="ru-RU"/>
              </w:rPr>
              <w:t>Среднесписочная численность работающих, чел</w:t>
            </w:r>
          </w:p>
        </w:tc>
        <w:tc>
          <w:tcPr>
            <w:tcW w:w="862" w:type="dxa"/>
            <w:shd w:val="clear" w:color="auto" w:fill="FFFFFF"/>
            <w:vAlign w:val="center"/>
          </w:tcPr>
          <w:p w:rsidR="002D1E45" w:rsidRPr="00EB5EE6" w:rsidRDefault="002D1E45" w:rsidP="00EB5EE6">
            <w:pPr>
              <w:spacing w:after="0" w:line="240" w:lineRule="auto"/>
              <w:jc w:val="center"/>
              <w:rPr>
                <w:rFonts w:ascii="Times New Roman" w:hAnsi="Times New Roman"/>
                <w:color w:val="000000"/>
                <w:lang w:eastAsia="ru-RU"/>
              </w:rPr>
            </w:pPr>
            <w:r w:rsidRPr="00EB5EE6">
              <w:rPr>
                <w:rFonts w:ascii="Times New Roman" w:hAnsi="Times New Roman"/>
                <w:color w:val="000000"/>
                <w:lang w:eastAsia="ru-RU"/>
              </w:rPr>
              <w:t>2100</w:t>
            </w:r>
          </w:p>
        </w:tc>
        <w:tc>
          <w:tcPr>
            <w:tcW w:w="869" w:type="dxa"/>
            <w:shd w:val="clear" w:color="auto" w:fill="FFFFFF"/>
            <w:vAlign w:val="center"/>
          </w:tcPr>
          <w:p w:rsidR="002D1E45" w:rsidRPr="00EB5EE6" w:rsidRDefault="002D1E45" w:rsidP="00EB5EE6">
            <w:pPr>
              <w:spacing w:after="0" w:line="240" w:lineRule="auto"/>
              <w:jc w:val="center"/>
              <w:rPr>
                <w:rFonts w:ascii="Times New Roman" w:hAnsi="Times New Roman"/>
                <w:color w:val="000000"/>
                <w:lang w:eastAsia="ru-RU"/>
              </w:rPr>
            </w:pPr>
            <w:r w:rsidRPr="00EB5EE6">
              <w:rPr>
                <w:rFonts w:ascii="Times New Roman" w:hAnsi="Times New Roman"/>
                <w:color w:val="000000"/>
                <w:lang w:eastAsia="ru-RU"/>
              </w:rPr>
              <w:t>2121</w:t>
            </w:r>
          </w:p>
        </w:tc>
        <w:tc>
          <w:tcPr>
            <w:tcW w:w="875" w:type="dxa"/>
            <w:shd w:val="clear" w:color="auto" w:fill="FFFFFF"/>
            <w:vAlign w:val="center"/>
          </w:tcPr>
          <w:p w:rsidR="002D1E45" w:rsidRPr="00EB5EE6" w:rsidRDefault="002D1E45" w:rsidP="00EB5EE6">
            <w:pPr>
              <w:spacing w:after="0" w:line="240" w:lineRule="auto"/>
              <w:jc w:val="center"/>
              <w:rPr>
                <w:rFonts w:ascii="Times New Roman" w:hAnsi="Times New Roman"/>
                <w:color w:val="000000"/>
                <w:lang w:eastAsia="ru-RU"/>
              </w:rPr>
            </w:pPr>
            <w:r w:rsidRPr="00EB5EE6">
              <w:rPr>
                <w:rFonts w:ascii="Times New Roman" w:hAnsi="Times New Roman"/>
                <w:color w:val="000000"/>
                <w:lang w:eastAsia="ru-RU"/>
              </w:rPr>
              <w:t>2!6/</w:t>
            </w:r>
          </w:p>
        </w:tc>
        <w:tc>
          <w:tcPr>
            <w:tcW w:w="869" w:type="dxa"/>
            <w:shd w:val="clear" w:color="auto" w:fill="FFFFFF"/>
            <w:vAlign w:val="center"/>
          </w:tcPr>
          <w:p w:rsidR="002D1E45" w:rsidRPr="00EB5EE6" w:rsidRDefault="002D1E45" w:rsidP="00EB5EE6">
            <w:pPr>
              <w:spacing w:after="0" w:line="240" w:lineRule="auto"/>
              <w:jc w:val="center"/>
              <w:rPr>
                <w:rFonts w:ascii="Times New Roman" w:hAnsi="Times New Roman"/>
                <w:color w:val="000000"/>
                <w:lang w:eastAsia="ru-RU"/>
              </w:rPr>
            </w:pPr>
            <w:r w:rsidRPr="00EB5EE6">
              <w:rPr>
                <w:rFonts w:ascii="Times New Roman" w:hAnsi="Times New Roman"/>
                <w:color w:val="000000"/>
                <w:lang w:eastAsia="ru-RU"/>
              </w:rPr>
              <w:t>1064</w:t>
            </w:r>
          </w:p>
        </w:tc>
        <w:tc>
          <w:tcPr>
            <w:tcW w:w="862" w:type="dxa"/>
            <w:shd w:val="clear" w:color="auto" w:fill="FFFFFF"/>
            <w:vAlign w:val="center"/>
          </w:tcPr>
          <w:p w:rsidR="002D1E45" w:rsidRPr="00EB5EE6" w:rsidRDefault="002D1E45" w:rsidP="00EB5EE6">
            <w:pPr>
              <w:spacing w:after="0" w:line="240" w:lineRule="auto"/>
              <w:jc w:val="center"/>
              <w:rPr>
                <w:rFonts w:ascii="Times New Roman" w:hAnsi="Times New Roman"/>
                <w:color w:val="000000"/>
                <w:lang w:eastAsia="ru-RU"/>
              </w:rPr>
            </w:pPr>
            <w:r>
              <w:rPr>
                <w:rFonts w:ascii="Times New Roman" w:hAnsi="Times New Roman"/>
                <w:color w:val="000000"/>
                <w:lang w:eastAsia="ru-RU"/>
              </w:rPr>
              <w:t>1625</w:t>
            </w:r>
          </w:p>
        </w:tc>
        <w:tc>
          <w:tcPr>
            <w:tcW w:w="977" w:type="dxa"/>
            <w:shd w:val="clear" w:color="auto" w:fill="FFFFFF"/>
            <w:vAlign w:val="center"/>
          </w:tcPr>
          <w:p w:rsidR="002D1E45" w:rsidRPr="00EB5EE6" w:rsidRDefault="002D1E45" w:rsidP="00EB5EE6">
            <w:pPr>
              <w:spacing w:after="0" w:line="240" w:lineRule="auto"/>
              <w:jc w:val="center"/>
              <w:rPr>
                <w:rFonts w:ascii="Times New Roman" w:hAnsi="Times New Roman"/>
                <w:color w:val="000000"/>
                <w:lang w:eastAsia="ru-RU"/>
              </w:rPr>
            </w:pPr>
            <w:r>
              <w:rPr>
                <w:rFonts w:ascii="Times New Roman" w:hAnsi="Times New Roman"/>
                <w:color w:val="000000"/>
                <w:lang w:eastAsia="ru-RU"/>
              </w:rPr>
              <w:t>1607</w:t>
            </w:r>
          </w:p>
        </w:tc>
      </w:tr>
      <w:tr w:rsidR="002D1E45" w:rsidRPr="00EB5EE6" w:rsidTr="00EB5EE6">
        <w:trPr>
          <w:trHeight w:val="57"/>
          <w:jc w:val="center"/>
        </w:trPr>
        <w:tc>
          <w:tcPr>
            <w:tcW w:w="4881" w:type="dxa"/>
            <w:shd w:val="clear" w:color="auto" w:fill="FFFFFF"/>
          </w:tcPr>
          <w:p w:rsidR="002D1E45" w:rsidRPr="00EB5EE6" w:rsidRDefault="002D1E45" w:rsidP="00EB5EE6">
            <w:pPr>
              <w:spacing w:after="0" w:line="240" w:lineRule="auto"/>
              <w:rPr>
                <w:rFonts w:ascii="Times New Roman" w:hAnsi="Times New Roman"/>
                <w:color w:val="000000"/>
                <w:lang w:eastAsia="ru-RU"/>
              </w:rPr>
            </w:pPr>
            <w:r w:rsidRPr="00EB5EE6">
              <w:rPr>
                <w:rFonts w:ascii="Times New Roman" w:hAnsi="Times New Roman"/>
                <w:color w:val="000000"/>
                <w:lang w:eastAsia="ru-RU"/>
              </w:rPr>
              <w:t>Выпуск продукции, работ, услуг, млн. руб. (оборот организаций)</w:t>
            </w:r>
          </w:p>
        </w:tc>
        <w:tc>
          <w:tcPr>
            <w:tcW w:w="862" w:type="dxa"/>
            <w:shd w:val="clear" w:color="auto" w:fill="FFFFFF"/>
            <w:vAlign w:val="center"/>
          </w:tcPr>
          <w:p w:rsidR="002D1E45" w:rsidRPr="00EB5EE6" w:rsidRDefault="002D1E45" w:rsidP="00EB5EE6">
            <w:pPr>
              <w:spacing w:after="0" w:line="240" w:lineRule="auto"/>
              <w:jc w:val="center"/>
              <w:rPr>
                <w:rFonts w:ascii="Times New Roman" w:hAnsi="Times New Roman"/>
                <w:color w:val="000000"/>
                <w:lang w:eastAsia="ru-RU"/>
              </w:rPr>
            </w:pPr>
            <w:r w:rsidRPr="00EB5EE6">
              <w:rPr>
                <w:rFonts w:ascii="Times New Roman" w:hAnsi="Times New Roman"/>
                <w:color w:val="000000"/>
                <w:lang w:eastAsia="ru-RU"/>
              </w:rPr>
              <w:t>2605,6</w:t>
            </w:r>
          </w:p>
        </w:tc>
        <w:tc>
          <w:tcPr>
            <w:tcW w:w="869" w:type="dxa"/>
            <w:shd w:val="clear" w:color="auto" w:fill="FFFFFF"/>
            <w:vAlign w:val="center"/>
          </w:tcPr>
          <w:p w:rsidR="002D1E45" w:rsidRPr="00EB5EE6" w:rsidRDefault="002D1E45" w:rsidP="00EB5EE6">
            <w:pPr>
              <w:spacing w:after="0" w:line="240" w:lineRule="auto"/>
              <w:jc w:val="center"/>
              <w:rPr>
                <w:rFonts w:ascii="Times New Roman" w:hAnsi="Times New Roman"/>
                <w:color w:val="000000"/>
                <w:lang w:eastAsia="ru-RU"/>
              </w:rPr>
            </w:pPr>
            <w:r w:rsidRPr="00EB5EE6">
              <w:rPr>
                <w:rFonts w:ascii="Times New Roman" w:hAnsi="Times New Roman"/>
                <w:color w:val="000000"/>
                <w:lang w:eastAsia="ru-RU"/>
              </w:rPr>
              <w:t>2810,0</w:t>
            </w:r>
          </w:p>
        </w:tc>
        <w:tc>
          <w:tcPr>
            <w:tcW w:w="875" w:type="dxa"/>
            <w:shd w:val="clear" w:color="auto" w:fill="FFFFFF"/>
            <w:vAlign w:val="center"/>
          </w:tcPr>
          <w:p w:rsidR="002D1E45" w:rsidRPr="00EB5EE6" w:rsidRDefault="002D1E45" w:rsidP="00EB5EE6">
            <w:pPr>
              <w:spacing w:after="0" w:line="240" w:lineRule="auto"/>
              <w:jc w:val="center"/>
              <w:rPr>
                <w:rFonts w:ascii="Times New Roman" w:hAnsi="Times New Roman"/>
                <w:color w:val="000000"/>
                <w:lang w:eastAsia="ru-RU"/>
              </w:rPr>
            </w:pPr>
            <w:r w:rsidRPr="00EB5EE6">
              <w:rPr>
                <w:rFonts w:ascii="Times New Roman" w:hAnsi="Times New Roman"/>
                <w:color w:val="000000"/>
                <w:lang w:eastAsia="ru-RU"/>
              </w:rPr>
              <w:t>3058,6</w:t>
            </w:r>
          </w:p>
        </w:tc>
        <w:tc>
          <w:tcPr>
            <w:tcW w:w="869" w:type="dxa"/>
            <w:shd w:val="clear" w:color="auto" w:fill="FFFFFF"/>
            <w:vAlign w:val="center"/>
          </w:tcPr>
          <w:p w:rsidR="002D1E45" w:rsidRPr="00EB5EE6" w:rsidRDefault="002D1E45" w:rsidP="00EB5EE6">
            <w:pPr>
              <w:spacing w:after="0" w:line="240" w:lineRule="auto"/>
              <w:jc w:val="center"/>
              <w:rPr>
                <w:rFonts w:ascii="Times New Roman" w:hAnsi="Times New Roman"/>
                <w:color w:val="000000"/>
                <w:lang w:eastAsia="ru-RU"/>
              </w:rPr>
            </w:pPr>
            <w:r w:rsidRPr="00EB5EE6">
              <w:rPr>
                <w:rFonts w:ascii="Times New Roman" w:hAnsi="Times New Roman"/>
                <w:color w:val="000000"/>
                <w:lang w:eastAsia="ru-RU"/>
              </w:rPr>
              <w:t>3010,9</w:t>
            </w:r>
          </w:p>
        </w:tc>
        <w:tc>
          <w:tcPr>
            <w:tcW w:w="862" w:type="dxa"/>
            <w:shd w:val="clear" w:color="auto" w:fill="FFFFFF"/>
            <w:vAlign w:val="center"/>
          </w:tcPr>
          <w:p w:rsidR="002D1E45" w:rsidRPr="00EB5EE6" w:rsidRDefault="002D1E45" w:rsidP="00EB5EE6">
            <w:pPr>
              <w:spacing w:after="0" w:line="240" w:lineRule="auto"/>
              <w:jc w:val="center"/>
              <w:rPr>
                <w:rFonts w:ascii="Times New Roman" w:hAnsi="Times New Roman"/>
                <w:color w:val="000000"/>
                <w:lang w:eastAsia="ru-RU"/>
              </w:rPr>
            </w:pPr>
            <w:r w:rsidRPr="00EB5EE6">
              <w:rPr>
                <w:rFonts w:ascii="Times New Roman" w:hAnsi="Times New Roman"/>
                <w:color w:val="000000"/>
                <w:lang w:eastAsia="ru-RU"/>
              </w:rPr>
              <w:t>3097,3</w:t>
            </w:r>
          </w:p>
        </w:tc>
        <w:tc>
          <w:tcPr>
            <w:tcW w:w="977" w:type="dxa"/>
            <w:shd w:val="clear" w:color="auto" w:fill="FFFFFF"/>
            <w:vAlign w:val="center"/>
          </w:tcPr>
          <w:p w:rsidR="002D1E45" w:rsidRPr="00EB5EE6" w:rsidRDefault="002D1E45" w:rsidP="00EB5EE6">
            <w:pPr>
              <w:spacing w:after="0" w:line="240" w:lineRule="auto"/>
              <w:jc w:val="center"/>
              <w:rPr>
                <w:rFonts w:ascii="Times New Roman" w:hAnsi="Times New Roman"/>
                <w:color w:val="000000"/>
                <w:lang w:eastAsia="ru-RU"/>
              </w:rPr>
            </w:pPr>
            <w:r w:rsidRPr="00EB5EE6">
              <w:rPr>
                <w:rFonts w:ascii="Times New Roman" w:hAnsi="Times New Roman"/>
                <w:color w:val="000000"/>
                <w:lang w:eastAsia="ru-RU"/>
              </w:rPr>
              <w:t>2980,4</w:t>
            </w:r>
          </w:p>
        </w:tc>
      </w:tr>
      <w:tr w:rsidR="002D1E45" w:rsidRPr="00EB5EE6" w:rsidTr="00EB5EE6">
        <w:trPr>
          <w:trHeight w:val="57"/>
          <w:jc w:val="center"/>
        </w:trPr>
        <w:tc>
          <w:tcPr>
            <w:tcW w:w="4881" w:type="dxa"/>
            <w:shd w:val="clear" w:color="auto" w:fill="FFFFFF"/>
          </w:tcPr>
          <w:p w:rsidR="002D1E45" w:rsidRPr="00EB5EE6" w:rsidRDefault="002D1E45" w:rsidP="00EB5EE6">
            <w:pPr>
              <w:spacing w:after="0" w:line="240" w:lineRule="auto"/>
              <w:rPr>
                <w:rFonts w:ascii="Times New Roman" w:hAnsi="Times New Roman"/>
                <w:color w:val="000000"/>
                <w:lang w:eastAsia="ru-RU"/>
              </w:rPr>
            </w:pPr>
            <w:r w:rsidRPr="00EB5EE6">
              <w:rPr>
                <w:rFonts w:ascii="Times New Roman" w:hAnsi="Times New Roman"/>
                <w:color w:val="000000"/>
                <w:lang w:eastAsia="ru-RU"/>
              </w:rPr>
              <w:t>Удельный вес продукции малых предприятий в общем объёме продукции предприятий села, %</w:t>
            </w:r>
          </w:p>
        </w:tc>
        <w:tc>
          <w:tcPr>
            <w:tcW w:w="862" w:type="dxa"/>
            <w:shd w:val="clear" w:color="auto" w:fill="FFFFFF"/>
            <w:vAlign w:val="center"/>
          </w:tcPr>
          <w:p w:rsidR="002D1E45" w:rsidRPr="00EB5EE6" w:rsidRDefault="002D1E45" w:rsidP="00EB5EE6">
            <w:pPr>
              <w:spacing w:after="0" w:line="240" w:lineRule="auto"/>
              <w:jc w:val="center"/>
              <w:rPr>
                <w:rFonts w:ascii="Times New Roman" w:hAnsi="Times New Roman"/>
                <w:color w:val="000000"/>
                <w:lang w:eastAsia="ru-RU"/>
              </w:rPr>
            </w:pPr>
            <w:r w:rsidRPr="00EB5EE6">
              <w:rPr>
                <w:rFonts w:ascii="Times New Roman" w:hAnsi="Times New Roman"/>
                <w:color w:val="000000"/>
                <w:lang w:eastAsia="ru-RU"/>
              </w:rPr>
              <w:t>37,8</w:t>
            </w:r>
          </w:p>
        </w:tc>
        <w:tc>
          <w:tcPr>
            <w:tcW w:w="869" w:type="dxa"/>
            <w:shd w:val="clear" w:color="auto" w:fill="FFFFFF"/>
            <w:vAlign w:val="center"/>
          </w:tcPr>
          <w:p w:rsidR="002D1E45" w:rsidRPr="00EB5EE6" w:rsidRDefault="002D1E45" w:rsidP="00EB5EE6">
            <w:pPr>
              <w:spacing w:after="0" w:line="240" w:lineRule="auto"/>
              <w:jc w:val="center"/>
              <w:rPr>
                <w:rFonts w:ascii="Times New Roman" w:hAnsi="Times New Roman"/>
                <w:color w:val="000000"/>
                <w:lang w:eastAsia="ru-RU"/>
              </w:rPr>
            </w:pPr>
            <w:r w:rsidRPr="00EB5EE6">
              <w:rPr>
                <w:rFonts w:ascii="Times New Roman" w:hAnsi="Times New Roman"/>
                <w:color w:val="000000"/>
                <w:lang w:eastAsia="ru-RU"/>
              </w:rPr>
              <w:t>28,6</w:t>
            </w:r>
          </w:p>
        </w:tc>
        <w:tc>
          <w:tcPr>
            <w:tcW w:w="875" w:type="dxa"/>
            <w:shd w:val="clear" w:color="auto" w:fill="FFFFFF"/>
            <w:vAlign w:val="center"/>
          </w:tcPr>
          <w:p w:rsidR="002D1E45" w:rsidRPr="00EB5EE6" w:rsidRDefault="002D1E45" w:rsidP="00EB5EE6">
            <w:pPr>
              <w:spacing w:after="0" w:line="240" w:lineRule="auto"/>
              <w:jc w:val="center"/>
              <w:rPr>
                <w:rFonts w:ascii="Times New Roman" w:hAnsi="Times New Roman"/>
                <w:color w:val="000000"/>
                <w:lang w:eastAsia="ru-RU"/>
              </w:rPr>
            </w:pPr>
            <w:r w:rsidRPr="00EB5EE6">
              <w:rPr>
                <w:rFonts w:ascii="Times New Roman" w:hAnsi="Times New Roman"/>
                <w:color w:val="000000"/>
                <w:lang w:eastAsia="ru-RU"/>
              </w:rPr>
              <w:t>|27,7</w:t>
            </w:r>
          </w:p>
        </w:tc>
        <w:tc>
          <w:tcPr>
            <w:tcW w:w="869" w:type="dxa"/>
            <w:shd w:val="clear" w:color="auto" w:fill="FFFFFF"/>
            <w:vAlign w:val="center"/>
          </w:tcPr>
          <w:p w:rsidR="002D1E45" w:rsidRPr="00EB5EE6" w:rsidRDefault="002D1E45" w:rsidP="00EB5EE6">
            <w:pPr>
              <w:spacing w:after="0" w:line="240" w:lineRule="auto"/>
              <w:jc w:val="center"/>
              <w:rPr>
                <w:rFonts w:ascii="Times New Roman" w:hAnsi="Times New Roman"/>
                <w:color w:val="000000"/>
                <w:lang w:eastAsia="ru-RU"/>
              </w:rPr>
            </w:pPr>
            <w:r w:rsidRPr="00EB5EE6">
              <w:rPr>
                <w:rFonts w:ascii="Times New Roman" w:hAnsi="Times New Roman"/>
                <w:color w:val="000000"/>
                <w:lang w:eastAsia="ru-RU"/>
              </w:rPr>
              <w:t>34,9</w:t>
            </w:r>
          </w:p>
        </w:tc>
        <w:tc>
          <w:tcPr>
            <w:tcW w:w="862" w:type="dxa"/>
            <w:shd w:val="clear" w:color="auto" w:fill="FFFFFF"/>
            <w:vAlign w:val="center"/>
          </w:tcPr>
          <w:p w:rsidR="002D1E45" w:rsidRPr="00EB5EE6" w:rsidRDefault="002D1E45" w:rsidP="00EB5EE6">
            <w:pPr>
              <w:spacing w:after="0" w:line="240" w:lineRule="auto"/>
              <w:jc w:val="center"/>
              <w:rPr>
                <w:rFonts w:ascii="Times New Roman" w:hAnsi="Times New Roman"/>
                <w:color w:val="000000"/>
                <w:lang w:eastAsia="ru-RU"/>
              </w:rPr>
            </w:pPr>
            <w:r w:rsidRPr="00EB5EE6">
              <w:rPr>
                <w:rFonts w:ascii="Times New Roman" w:hAnsi="Times New Roman"/>
                <w:color w:val="000000"/>
                <w:lang w:eastAsia="ru-RU"/>
              </w:rPr>
              <w:t>27,3</w:t>
            </w:r>
          </w:p>
        </w:tc>
        <w:tc>
          <w:tcPr>
            <w:tcW w:w="977" w:type="dxa"/>
            <w:shd w:val="clear" w:color="auto" w:fill="FFFFFF"/>
            <w:vAlign w:val="center"/>
          </w:tcPr>
          <w:p w:rsidR="002D1E45" w:rsidRPr="00EB5EE6" w:rsidRDefault="002D1E45" w:rsidP="00EB5EE6">
            <w:pPr>
              <w:spacing w:after="0" w:line="240" w:lineRule="auto"/>
              <w:jc w:val="center"/>
              <w:rPr>
                <w:rFonts w:ascii="Times New Roman" w:hAnsi="Times New Roman"/>
                <w:color w:val="000000"/>
                <w:lang w:eastAsia="ru-RU"/>
              </w:rPr>
            </w:pPr>
            <w:r w:rsidRPr="00EB5EE6">
              <w:rPr>
                <w:rFonts w:ascii="Times New Roman" w:hAnsi="Times New Roman"/>
                <w:color w:val="000000"/>
                <w:lang w:eastAsia="ru-RU"/>
              </w:rPr>
              <w:t>25,9</w:t>
            </w:r>
          </w:p>
        </w:tc>
      </w:tr>
      <w:tr w:rsidR="002D1E45" w:rsidRPr="00EB5EE6" w:rsidTr="00EB5EE6">
        <w:trPr>
          <w:trHeight w:val="57"/>
          <w:jc w:val="center"/>
        </w:trPr>
        <w:tc>
          <w:tcPr>
            <w:tcW w:w="4881" w:type="dxa"/>
            <w:shd w:val="clear" w:color="auto" w:fill="FFFFFF"/>
          </w:tcPr>
          <w:p w:rsidR="002D1E45" w:rsidRPr="00EB5EE6" w:rsidRDefault="002D1E45" w:rsidP="00EB5EE6">
            <w:pPr>
              <w:spacing w:after="0" w:line="240" w:lineRule="auto"/>
              <w:rPr>
                <w:rFonts w:ascii="Times New Roman" w:hAnsi="Times New Roman"/>
                <w:color w:val="000000"/>
                <w:lang w:eastAsia="ru-RU"/>
              </w:rPr>
            </w:pPr>
            <w:r w:rsidRPr="00EB5EE6">
              <w:rPr>
                <w:rFonts w:ascii="Times New Roman" w:hAnsi="Times New Roman"/>
                <w:color w:val="000000"/>
                <w:lang w:eastAsia="ru-RU"/>
              </w:rPr>
              <w:t>Численность индивидуальных предпринимателей, чел.</w:t>
            </w:r>
          </w:p>
        </w:tc>
        <w:tc>
          <w:tcPr>
            <w:tcW w:w="862" w:type="dxa"/>
            <w:shd w:val="clear" w:color="auto" w:fill="FFFFFF"/>
            <w:vAlign w:val="center"/>
          </w:tcPr>
          <w:p w:rsidR="002D1E45" w:rsidRPr="00EB5EE6" w:rsidRDefault="002D1E45" w:rsidP="00EB5EE6">
            <w:pPr>
              <w:spacing w:after="0" w:line="240" w:lineRule="auto"/>
              <w:jc w:val="center"/>
              <w:rPr>
                <w:rFonts w:ascii="Times New Roman" w:hAnsi="Times New Roman"/>
                <w:color w:val="000000"/>
                <w:lang w:eastAsia="ru-RU"/>
              </w:rPr>
            </w:pPr>
            <w:r w:rsidRPr="00EB5EE6">
              <w:rPr>
                <w:rFonts w:ascii="Times New Roman" w:hAnsi="Times New Roman"/>
                <w:color w:val="000000"/>
                <w:lang w:eastAsia="ru-RU"/>
              </w:rPr>
              <w:t>1137</w:t>
            </w:r>
          </w:p>
        </w:tc>
        <w:tc>
          <w:tcPr>
            <w:tcW w:w="869" w:type="dxa"/>
            <w:shd w:val="clear" w:color="auto" w:fill="FFFFFF"/>
            <w:vAlign w:val="center"/>
          </w:tcPr>
          <w:p w:rsidR="002D1E45" w:rsidRPr="00EB5EE6" w:rsidRDefault="002D1E45" w:rsidP="00EB5EE6">
            <w:pPr>
              <w:spacing w:after="0" w:line="240" w:lineRule="auto"/>
              <w:jc w:val="center"/>
              <w:rPr>
                <w:rFonts w:ascii="Times New Roman" w:hAnsi="Times New Roman"/>
                <w:color w:val="000000"/>
                <w:lang w:eastAsia="ru-RU"/>
              </w:rPr>
            </w:pPr>
            <w:r w:rsidRPr="00EB5EE6">
              <w:rPr>
                <w:rFonts w:ascii="Times New Roman" w:hAnsi="Times New Roman"/>
                <w:color w:val="000000"/>
                <w:lang w:eastAsia="ru-RU"/>
              </w:rPr>
              <w:t>1077</w:t>
            </w:r>
          </w:p>
        </w:tc>
        <w:tc>
          <w:tcPr>
            <w:tcW w:w="875" w:type="dxa"/>
            <w:shd w:val="clear" w:color="auto" w:fill="FFFFFF"/>
            <w:vAlign w:val="center"/>
          </w:tcPr>
          <w:p w:rsidR="002D1E45" w:rsidRPr="00EB5EE6" w:rsidRDefault="002D1E45" w:rsidP="00EB5EE6">
            <w:pPr>
              <w:spacing w:after="0" w:line="240" w:lineRule="auto"/>
              <w:jc w:val="center"/>
              <w:rPr>
                <w:rFonts w:ascii="Times New Roman" w:hAnsi="Times New Roman"/>
                <w:color w:val="000000"/>
                <w:lang w:eastAsia="ru-RU"/>
              </w:rPr>
            </w:pPr>
            <w:r w:rsidRPr="00EB5EE6">
              <w:rPr>
                <w:rFonts w:ascii="Times New Roman" w:hAnsi="Times New Roman"/>
                <w:color w:val="000000"/>
                <w:lang w:eastAsia="ru-RU"/>
              </w:rPr>
              <w:t>1074</w:t>
            </w:r>
          </w:p>
        </w:tc>
        <w:tc>
          <w:tcPr>
            <w:tcW w:w="869" w:type="dxa"/>
            <w:shd w:val="clear" w:color="auto" w:fill="FFFFFF"/>
            <w:vAlign w:val="center"/>
          </w:tcPr>
          <w:p w:rsidR="002D1E45" w:rsidRPr="00EB5EE6" w:rsidRDefault="002D1E45" w:rsidP="00EB5EE6">
            <w:pPr>
              <w:spacing w:after="0" w:line="240" w:lineRule="auto"/>
              <w:jc w:val="center"/>
              <w:rPr>
                <w:rFonts w:ascii="Times New Roman" w:hAnsi="Times New Roman"/>
                <w:color w:val="000000"/>
                <w:lang w:eastAsia="ru-RU"/>
              </w:rPr>
            </w:pPr>
            <w:r w:rsidRPr="00EB5EE6">
              <w:rPr>
                <w:rFonts w:ascii="Times New Roman" w:hAnsi="Times New Roman"/>
                <w:color w:val="000000"/>
                <w:lang w:eastAsia="ru-RU"/>
              </w:rPr>
              <w:t>1041</w:t>
            </w:r>
          </w:p>
        </w:tc>
        <w:tc>
          <w:tcPr>
            <w:tcW w:w="862" w:type="dxa"/>
            <w:shd w:val="clear" w:color="auto" w:fill="FFFFFF"/>
            <w:vAlign w:val="center"/>
          </w:tcPr>
          <w:p w:rsidR="002D1E45" w:rsidRPr="00EB5EE6" w:rsidRDefault="002D1E45" w:rsidP="00EB5EE6">
            <w:pPr>
              <w:spacing w:after="0" w:line="240" w:lineRule="auto"/>
              <w:jc w:val="center"/>
              <w:rPr>
                <w:rFonts w:ascii="Times New Roman" w:hAnsi="Times New Roman"/>
                <w:color w:val="000000"/>
                <w:lang w:eastAsia="ru-RU"/>
              </w:rPr>
            </w:pPr>
            <w:r w:rsidRPr="00EB5EE6">
              <w:rPr>
                <w:rFonts w:ascii="Times New Roman" w:hAnsi="Times New Roman"/>
                <w:color w:val="000000"/>
                <w:lang w:eastAsia="ru-RU"/>
              </w:rPr>
              <w:t>1031</w:t>
            </w:r>
          </w:p>
        </w:tc>
        <w:tc>
          <w:tcPr>
            <w:tcW w:w="977" w:type="dxa"/>
            <w:shd w:val="clear" w:color="auto" w:fill="FFFFFF"/>
            <w:vAlign w:val="center"/>
          </w:tcPr>
          <w:p w:rsidR="002D1E45" w:rsidRPr="00EB5EE6" w:rsidRDefault="002D1E45" w:rsidP="00EB5EE6">
            <w:pPr>
              <w:spacing w:after="0" w:line="240" w:lineRule="auto"/>
              <w:jc w:val="center"/>
              <w:rPr>
                <w:rFonts w:ascii="Times New Roman" w:hAnsi="Times New Roman"/>
                <w:color w:val="000000"/>
                <w:lang w:eastAsia="ru-RU"/>
              </w:rPr>
            </w:pPr>
            <w:r w:rsidRPr="00EB5EE6">
              <w:rPr>
                <w:rFonts w:ascii="Times New Roman" w:hAnsi="Times New Roman"/>
                <w:color w:val="000000"/>
                <w:lang w:eastAsia="ru-RU"/>
              </w:rPr>
              <w:t>971</w:t>
            </w:r>
          </w:p>
        </w:tc>
      </w:tr>
    </w:tbl>
    <w:p w:rsidR="002D1E45" w:rsidRDefault="002D1E45" w:rsidP="00F026D8">
      <w:pPr>
        <w:spacing w:after="0" w:line="240" w:lineRule="auto"/>
        <w:ind w:firstLine="709"/>
        <w:jc w:val="both"/>
        <w:rPr>
          <w:rFonts w:ascii="Times New Roman" w:hAnsi="Times New Roman"/>
          <w:sz w:val="28"/>
          <w:szCs w:val="24"/>
          <w:lang w:eastAsia="ru-RU"/>
        </w:rPr>
      </w:pPr>
    </w:p>
    <w:p w:rsidR="002D1E45" w:rsidRDefault="002D1E45" w:rsidP="00EB5EE6">
      <w:pPr>
        <w:spacing w:after="0" w:line="240" w:lineRule="auto"/>
        <w:ind w:firstLine="709"/>
        <w:jc w:val="both"/>
        <w:rPr>
          <w:rFonts w:ascii="Times New Roman" w:hAnsi="Times New Roman"/>
          <w:sz w:val="28"/>
          <w:szCs w:val="24"/>
          <w:lang w:eastAsia="ru-RU"/>
        </w:rPr>
      </w:pPr>
      <w:r w:rsidRPr="00D0077A">
        <w:rPr>
          <w:rFonts w:ascii="Times New Roman" w:hAnsi="Times New Roman"/>
          <w:sz w:val="28"/>
          <w:szCs w:val="24"/>
          <w:lang w:eastAsia="ru-RU"/>
        </w:rPr>
        <w:t xml:space="preserve">На территории поселения расположено </w:t>
      </w:r>
      <w:r>
        <w:rPr>
          <w:rFonts w:ascii="Times New Roman" w:hAnsi="Times New Roman"/>
          <w:sz w:val="28"/>
          <w:szCs w:val="24"/>
          <w:lang w:eastAsia="ru-RU"/>
        </w:rPr>
        <w:t>286</w:t>
      </w:r>
      <w:r w:rsidRPr="00D0077A">
        <w:rPr>
          <w:rFonts w:ascii="Times New Roman" w:hAnsi="Times New Roman"/>
          <w:sz w:val="28"/>
          <w:szCs w:val="24"/>
          <w:lang w:eastAsia="ru-RU"/>
        </w:rPr>
        <w:t xml:space="preserve"> магазинов. В магазинах ассортимент представлен смешенными товарами.</w:t>
      </w:r>
      <w:r>
        <w:rPr>
          <w:rFonts w:ascii="Times New Roman" w:hAnsi="Times New Roman"/>
          <w:sz w:val="28"/>
          <w:szCs w:val="24"/>
          <w:lang w:eastAsia="ru-RU"/>
        </w:rPr>
        <w:t xml:space="preserve"> Бытовые услуги представлены 158 объектами, обеспечивающими 438 рабочих мест.</w:t>
      </w:r>
    </w:p>
    <w:p w:rsidR="002D1E45" w:rsidRPr="00146391" w:rsidRDefault="002D1E45" w:rsidP="00697553">
      <w:pPr>
        <w:autoSpaceDE w:val="0"/>
        <w:autoSpaceDN w:val="0"/>
        <w:adjustRightInd w:val="0"/>
        <w:spacing w:after="0" w:line="360" w:lineRule="auto"/>
        <w:jc w:val="right"/>
        <w:rPr>
          <w:rFonts w:ascii="Times New Roman" w:hAnsi="Times New Roman"/>
          <w:sz w:val="28"/>
          <w:szCs w:val="24"/>
          <w:lang w:eastAsia="ru-RU"/>
        </w:rPr>
      </w:pPr>
      <w:r w:rsidRPr="00146391">
        <w:rPr>
          <w:rFonts w:ascii="Times New Roman" w:hAnsi="Times New Roman"/>
          <w:sz w:val="28"/>
          <w:szCs w:val="24"/>
          <w:lang w:eastAsia="ru-RU"/>
        </w:rPr>
        <w:t xml:space="preserve">Таблица </w:t>
      </w:r>
      <w:r w:rsidRPr="00146391">
        <w:rPr>
          <w:rFonts w:ascii="Times New Roman" w:hAnsi="Times New Roman"/>
          <w:sz w:val="28"/>
          <w:szCs w:val="24"/>
          <w:lang w:eastAsia="ru-RU"/>
        </w:rPr>
        <w:fldChar w:fldCharType="begin"/>
      </w:r>
      <w:r w:rsidRPr="00146391">
        <w:rPr>
          <w:rFonts w:ascii="Times New Roman" w:hAnsi="Times New Roman"/>
          <w:sz w:val="28"/>
          <w:szCs w:val="24"/>
          <w:lang w:eastAsia="ru-RU"/>
        </w:rPr>
        <w:instrText xml:space="preserve"> SEQ Таблица \* ARABIC </w:instrText>
      </w:r>
      <w:r w:rsidRPr="00146391">
        <w:rPr>
          <w:rFonts w:ascii="Times New Roman" w:hAnsi="Times New Roman"/>
          <w:sz w:val="28"/>
          <w:szCs w:val="24"/>
          <w:lang w:eastAsia="ru-RU"/>
        </w:rPr>
        <w:fldChar w:fldCharType="separate"/>
      </w:r>
      <w:r>
        <w:rPr>
          <w:rFonts w:ascii="Times New Roman" w:hAnsi="Times New Roman"/>
          <w:noProof/>
          <w:sz w:val="28"/>
          <w:szCs w:val="24"/>
          <w:lang w:eastAsia="ru-RU"/>
        </w:rPr>
        <w:t>8</w:t>
      </w:r>
      <w:r w:rsidRPr="00146391">
        <w:rPr>
          <w:rFonts w:ascii="Times New Roman" w:hAnsi="Times New Roman"/>
          <w:sz w:val="28"/>
          <w:szCs w:val="24"/>
          <w:lang w:eastAsia="ru-RU"/>
        </w:rPr>
        <w:fldChar w:fldCharType="end"/>
      </w:r>
    </w:p>
    <w:p w:rsidR="002D1E45" w:rsidRDefault="002D1E45" w:rsidP="00697553">
      <w:pPr>
        <w:tabs>
          <w:tab w:val="left" w:pos="1418"/>
        </w:tabs>
        <w:spacing w:line="240" w:lineRule="auto"/>
        <w:jc w:val="center"/>
        <w:rPr>
          <w:rFonts w:ascii="Times New Roman" w:hAnsi="Times New Roman"/>
          <w:sz w:val="28"/>
          <w:szCs w:val="24"/>
          <w:lang w:eastAsia="ru-RU"/>
        </w:rPr>
      </w:pPr>
      <w:r w:rsidRPr="00697553">
        <w:rPr>
          <w:rFonts w:ascii="Times New Roman" w:hAnsi="Times New Roman"/>
          <w:sz w:val="28"/>
          <w:szCs w:val="24"/>
          <w:lang w:eastAsia="ru-RU"/>
        </w:rPr>
        <w:t>Организации розничной торговли и общепита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65"/>
        <w:gridCol w:w="911"/>
        <w:gridCol w:w="1259"/>
        <w:gridCol w:w="1578"/>
        <w:gridCol w:w="900"/>
        <w:gridCol w:w="1232"/>
        <w:gridCol w:w="1576"/>
      </w:tblGrid>
      <w:tr w:rsidR="002D1E45" w:rsidRPr="00697553" w:rsidTr="00675FE0">
        <w:trPr>
          <w:jc w:val="center"/>
        </w:trPr>
        <w:tc>
          <w:tcPr>
            <w:tcW w:w="1423" w:type="pct"/>
            <w:vMerge w:val="restart"/>
            <w:vAlign w:val="center"/>
          </w:tcPr>
          <w:p w:rsidR="002D1E45" w:rsidRPr="00697553" w:rsidRDefault="002D1E45" w:rsidP="00697553">
            <w:pPr>
              <w:autoSpaceDE w:val="0"/>
              <w:autoSpaceDN w:val="0"/>
              <w:spacing w:after="0" w:line="240" w:lineRule="auto"/>
              <w:jc w:val="center"/>
              <w:rPr>
                <w:rFonts w:ascii="Times New Roman" w:hAnsi="Times New Roman"/>
                <w:snapToGrid w:val="0"/>
                <w:color w:val="000000"/>
                <w:lang w:eastAsia="ru-RU"/>
              </w:rPr>
            </w:pPr>
            <w:r w:rsidRPr="00697553">
              <w:rPr>
                <w:rFonts w:ascii="Times New Roman" w:hAnsi="Times New Roman"/>
                <w:snapToGrid w:val="0"/>
                <w:color w:val="000000"/>
                <w:lang w:eastAsia="ru-RU"/>
              </w:rPr>
              <w:t>Населённый пункт</w:t>
            </w:r>
          </w:p>
        </w:tc>
        <w:tc>
          <w:tcPr>
            <w:tcW w:w="1798" w:type="pct"/>
            <w:gridSpan w:val="3"/>
            <w:vAlign w:val="center"/>
          </w:tcPr>
          <w:p w:rsidR="002D1E45" w:rsidRPr="00697553" w:rsidRDefault="002D1E45" w:rsidP="00697553">
            <w:pPr>
              <w:autoSpaceDE w:val="0"/>
              <w:autoSpaceDN w:val="0"/>
              <w:spacing w:after="0" w:line="240" w:lineRule="auto"/>
              <w:jc w:val="center"/>
              <w:rPr>
                <w:rFonts w:ascii="Times New Roman" w:hAnsi="Times New Roman"/>
                <w:lang w:eastAsia="ru-RU"/>
              </w:rPr>
            </w:pPr>
            <w:r w:rsidRPr="00697553">
              <w:rPr>
                <w:rFonts w:ascii="Times New Roman" w:hAnsi="Times New Roman"/>
                <w:lang w:eastAsia="ru-RU"/>
              </w:rPr>
              <w:t>Магазины</w:t>
            </w:r>
          </w:p>
        </w:tc>
        <w:tc>
          <w:tcPr>
            <w:tcW w:w="1780" w:type="pct"/>
            <w:gridSpan w:val="3"/>
            <w:vAlign w:val="center"/>
          </w:tcPr>
          <w:p w:rsidR="002D1E45" w:rsidRPr="00697553" w:rsidRDefault="002D1E45" w:rsidP="00697553">
            <w:pPr>
              <w:autoSpaceDE w:val="0"/>
              <w:autoSpaceDN w:val="0"/>
              <w:spacing w:after="0" w:line="240" w:lineRule="auto"/>
              <w:jc w:val="center"/>
              <w:rPr>
                <w:rFonts w:ascii="Times New Roman" w:hAnsi="Times New Roman"/>
                <w:lang w:eastAsia="ru-RU"/>
              </w:rPr>
            </w:pPr>
            <w:r w:rsidRPr="00697553">
              <w:rPr>
                <w:rFonts w:ascii="Times New Roman" w:hAnsi="Times New Roman"/>
                <w:lang w:eastAsia="ru-RU"/>
              </w:rPr>
              <w:t>Кафе, столовые</w:t>
            </w:r>
          </w:p>
        </w:tc>
      </w:tr>
      <w:tr w:rsidR="002D1E45" w:rsidRPr="00697553" w:rsidTr="00675FE0">
        <w:trPr>
          <w:jc w:val="center"/>
        </w:trPr>
        <w:tc>
          <w:tcPr>
            <w:tcW w:w="0" w:type="auto"/>
            <w:vMerge/>
            <w:vAlign w:val="center"/>
          </w:tcPr>
          <w:p w:rsidR="002D1E45" w:rsidRPr="00697553" w:rsidRDefault="002D1E45" w:rsidP="00697553">
            <w:pPr>
              <w:spacing w:after="0"/>
              <w:rPr>
                <w:rFonts w:ascii="Times New Roman" w:hAnsi="Times New Roman"/>
                <w:snapToGrid w:val="0"/>
                <w:color w:val="000000"/>
                <w:lang w:eastAsia="ru-RU"/>
              </w:rPr>
            </w:pPr>
          </w:p>
        </w:tc>
        <w:tc>
          <w:tcPr>
            <w:tcW w:w="437" w:type="pct"/>
            <w:vAlign w:val="center"/>
          </w:tcPr>
          <w:p w:rsidR="002D1E45" w:rsidRPr="00697553" w:rsidRDefault="002D1E45" w:rsidP="00697553">
            <w:pPr>
              <w:autoSpaceDE w:val="0"/>
              <w:autoSpaceDN w:val="0"/>
              <w:spacing w:after="0" w:line="240" w:lineRule="auto"/>
              <w:jc w:val="center"/>
              <w:rPr>
                <w:rFonts w:ascii="Times New Roman" w:hAnsi="Times New Roman"/>
                <w:lang w:eastAsia="ru-RU"/>
              </w:rPr>
            </w:pPr>
            <w:r w:rsidRPr="00697553">
              <w:rPr>
                <w:rFonts w:ascii="Times New Roman" w:hAnsi="Times New Roman"/>
                <w:lang w:eastAsia="ru-RU"/>
              </w:rPr>
              <w:t>кол-во</w:t>
            </w:r>
          </w:p>
        </w:tc>
        <w:tc>
          <w:tcPr>
            <w:tcW w:w="604" w:type="pct"/>
            <w:vAlign w:val="center"/>
          </w:tcPr>
          <w:p w:rsidR="002D1E45" w:rsidRPr="00697553" w:rsidRDefault="002D1E45" w:rsidP="00697553">
            <w:pPr>
              <w:autoSpaceDE w:val="0"/>
              <w:autoSpaceDN w:val="0"/>
              <w:spacing w:after="0" w:line="240" w:lineRule="auto"/>
              <w:jc w:val="center"/>
              <w:rPr>
                <w:rFonts w:ascii="Times New Roman" w:hAnsi="Times New Roman"/>
                <w:lang w:eastAsia="ru-RU"/>
              </w:rPr>
            </w:pPr>
            <w:r w:rsidRPr="00697553">
              <w:rPr>
                <w:rFonts w:ascii="Times New Roman" w:hAnsi="Times New Roman"/>
                <w:lang w:eastAsia="ru-RU"/>
              </w:rPr>
              <w:t>площадь, м</w:t>
            </w:r>
            <w:r w:rsidRPr="00697553">
              <w:rPr>
                <w:rFonts w:ascii="Times New Roman" w:hAnsi="Times New Roman"/>
                <w:vertAlign w:val="superscript"/>
                <w:lang w:eastAsia="ru-RU"/>
              </w:rPr>
              <w:t>2</w:t>
            </w:r>
          </w:p>
        </w:tc>
        <w:tc>
          <w:tcPr>
            <w:tcW w:w="757" w:type="pct"/>
            <w:vAlign w:val="center"/>
          </w:tcPr>
          <w:p w:rsidR="002D1E45" w:rsidRPr="00697553" w:rsidRDefault="002D1E45" w:rsidP="00697553">
            <w:pPr>
              <w:autoSpaceDE w:val="0"/>
              <w:autoSpaceDN w:val="0"/>
              <w:spacing w:after="0" w:line="240" w:lineRule="auto"/>
              <w:jc w:val="center"/>
              <w:rPr>
                <w:rFonts w:ascii="Times New Roman" w:hAnsi="Times New Roman"/>
                <w:lang w:eastAsia="ru-RU"/>
              </w:rPr>
            </w:pPr>
            <w:r w:rsidRPr="00697553">
              <w:rPr>
                <w:rFonts w:ascii="Times New Roman" w:hAnsi="Times New Roman"/>
                <w:lang w:eastAsia="ru-RU"/>
              </w:rPr>
              <w:t>работающих</w:t>
            </w:r>
          </w:p>
        </w:tc>
        <w:tc>
          <w:tcPr>
            <w:tcW w:w="432" w:type="pct"/>
            <w:vAlign w:val="center"/>
          </w:tcPr>
          <w:p w:rsidR="002D1E45" w:rsidRPr="00697553" w:rsidRDefault="002D1E45" w:rsidP="00697553">
            <w:pPr>
              <w:autoSpaceDE w:val="0"/>
              <w:autoSpaceDN w:val="0"/>
              <w:spacing w:after="0" w:line="240" w:lineRule="auto"/>
              <w:jc w:val="center"/>
              <w:rPr>
                <w:rFonts w:ascii="Times New Roman" w:hAnsi="Times New Roman"/>
                <w:lang w:eastAsia="ru-RU"/>
              </w:rPr>
            </w:pPr>
            <w:r w:rsidRPr="00697553">
              <w:rPr>
                <w:rFonts w:ascii="Times New Roman" w:hAnsi="Times New Roman"/>
                <w:lang w:eastAsia="ru-RU"/>
              </w:rPr>
              <w:t>кол-во</w:t>
            </w:r>
          </w:p>
        </w:tc>
        <w:tc>
          <w:tcPr>
            <w:tcW w:w="591" w:type="pct"/>
            <w:vAlign w:val="center"/>
          </w:tcPr>
          <w:p w:rsidR="002D1E45" w:rsidRPr="00697553" w:rsidRDefault="002D1E45" w:rsidP="00697553">
            <w:pPr>
              <w:autoSpaceDE w:val="0"/>
              <w:autoSpaceDN w:val="0"/>
              <w:spacing w:after="0" w:line="240" w:lineRule="auto"/>
              <w:jc w:val="center"/>
              <w:rPr>
                <w:rFonts w:ascii="Times New Roman" w:hAnsi="Times New Roman"/>
                <w:lang w:eastAsia="ru-RU"/>
              </w:rPr>
            </w:pPr>
            <w:r w:rsidRPr="00697553">
              <w:rPr>
                <w:rFonts w:ascii="Times New Roman" w:hAnsi="Times New Roman"/>
                <w:lang w:eastAsia="ru-RU"/>
              </w:rPr>
              <w:t>посет. мест</w:t>
            </w:r>
          </w:p>
        </w:tc>
        <w:tc>
          <w:tcPr>
            <w:tcW w:w="757" w:type="pct"/>
            <w:vAlign w:val="center"/>
          </w:tcPr>
          <w:p w:rsidR="002D1E45" w:rsidRPr="00697553" w:rsidRDefault="002D1E45" w:rsidP="00697553">
            <w:pPr>
              <w:autoSpaceDE w:val="0"/>
              <w:autoSpaceDN w:val="0"/>
              <w:spacing w:after="0" w:line="240" w:lineRule="auto"/>
              <w:jc w:val="center"/>
              <w:rPr>
                <w:rFonts w:ascii="Times New Roman" w:hAnsi="Times New Roman"/>
                <w:lang w:eastAsia="ru-RU"/>
              </w:rPr>
            </w:pPr>
            <w:r w:rsidRPr="00697553">
              <w:rPr>
                <w:rFonts w:ascii="Times New Roman" w:hAnsi="Times New Roman"/>
                <w:lang w:eastAsia="ru-RU"/>
              </w:rPr>
              <w:t>работающих</w:t>
            </w:r>
          </w:p>
        </w:tc>
      </w:tr>
      <w:tr w:rsidR="002D1E45" w:rsidRPr="00697553" w:rsidTr="00675FE0">
        <w:trPr>
          <w:jc w:val="center"/>
        </w:trPr>
        <w:tc>
          <w:tcPr>
            <w:tcW w:w="1423" w:type="pct"/>
            <w:vAlign w:val="center"/>
          </w:tcPr>
          <w:p w:rsidR="002D1E45" w:rsidRPr="00697553" w:rsidRDefault="002D1E45" w:rsidP="00697553">
            <w:pPr>
              <w:spacing w:after="0" w:line="240" w:lineRule="auto"/>
              <w:rPr>
                <w:rFonts w:ascii="Times New Roman" w:hAnsi="Times New Roman"/>
                <w:szCs w:val="24"/>
                <w:lang w:eastAsia="ru-RU"/>
              </w:rPr>
            </w:pPr>
            <w:r>
              <w:rPr>
                <w:rFonts w:ascii="Times New Roman" w:hAnsi="Times New Roman"/>
                <w:szCs w:val="24"/>
                <w:lang w:eastAsia="ru-RU"/>
              </w:rPr>
              <w:t>г. Куйбышев</w:t>
            </w:r>
          </w:p>
        </w:tc>
        <w:tc>
          <w:tcPr>
            <w:tcW w:w="437" w:type="pct"/>
            <w:vAlign w:val="center"/>
          </w:tcPr>
          <w:p w:rsidR="002D1E45" w:rsidRPr="00697553" w:rsidRDefault="002D1E45" w:rsidP="00697553">
            <w:pPr>
              <w:spacing w:after="0" w:line="240" w:lineRule="auto"/>
              <w:jc w:val="center"/>
              <w:rPr>
                <w:rFonts w:ascii="Times New Roman" w:hAnsi="Times New Roman"/>
                <w:bCs/>
                <w:lang w:eastAsia="ru-RU"/>
              </w:rPr>
            </w:pPr>
            <w:r>
              <w:rPr>
                <w:rFonts w:ascii="Times New Roman" w:hAnsi="Times New Roman"/>
                <w:bCs/>
                <w:lang w:eastAsia="ru-RU"/>
              </w:rPr>
              <w:t>286</w:t>
            </w:r>
          </w:p>
        </w:tc>
        <w:tc>
          <w:tcPr>
            <w:tcW w:w="604" w:type="pct"/>
            <w:vAlign w:val="center"/>
          </w:tcPr>
          <w:p w:rsidR="002D1E45" w:rsidRPr="00697553" w:rsidRDefault="002D1E45" w:rsidP="00697553">
            <w:pPr>
              <w:spacing w:after="0" w:line="240" w:lineRule="auto"/>
              <w:jc w:val="center"/>
              <w:rPr>
                <w:rFonts w:ascii="Times New Roman" w:hAnsi="Times New Roman"/>
                <w:bCs/>
                <w:lang w:eastAsia="ru-RU"/>
              </w:rPr>
            </w:pPr>
            <w:r w:rsidRPr="00EB5EE6">
              <w:rPr>
                <w:rFonts w:ascii="Times New Roman" w:hAnsi="Times New Roman"/>
                <w:bCs/>
                <w:lang w:eastAsia="ru-RU"/>
              </w:rPr>
              <w:t>28872,86</w:t>
            </w:r>
          </w:p>
        </w:tc>
        <w:tc>
          <w:tcPr>
            <w:tcW w:w="757" w:type="pct"/>
            <w:vAlign w:val="center"/>
          </w:tcPr>
          <w:p w:rsidR="002D1E45" w:rsidRPr="00697553" w:rsidRDefault="002D1E45" w:rsidP="00697553">
            <w:pPr>
              <w:spacing w:after="0" w:line="240" w:lineRule="auto"/>
              <w:jc w:val="center"/>
              <w:rPr>
                <w:rFonts w:ascii="Times New Roman" w:hAnsi="Times New Roman"/>
                <w:bCs/>
                <w:lang w:eastAsia="ru-RU"/>
              </w:rPr>
            </w:pPr>
            <w:r>
              <w:rPr>
                <w:rFonts w:ascii="Times New Roman" w:hAnsi="Times New Roman"/>
                <w:bCs/>
                <w:lang w:eastAsia="ru-RU"/>
              </w:rPr>
              <w:t>822</w:t>
            </w:r>
          </w:p>
        </w:tc>
        <w:tc>
          <w:tcPr>
            <w:tcW w:w="432" w:type="pct"/>
            <w:vAlign w:val="center"/>
          </w:tcPr>
          <w:p w:rsidR="002D1E45" w:rsidRPr="00697553" w:rsidRDefault="002D1E45" w:rsidP="00697553">
            <w:pPr>
              <w:spacing w:after="0" w:line="240" w:lineRule="auto"/>
              <w:jc w:val="center"/>
              <w:rPr>
                <w:rFonts w:ascii="Times New Roman" w:hAnsi="Times New Roman"/>
                <w:bCs/>
                <w:lang w:eastAsia="ru-RU"/>
              </w:rPr>
            </w:pPr>
            <w:r>
              <w:rPr>
                <w:rFonts w:ascii="Times New Roman" w:hAnsi="Times New Roman"/>
                <w:bCs/>
                <w:lang w:eastAsia="ru-RU"/>
              </w:rPr>
              <w:t>31</w:t>
            </w:r>
          </w:p>
        </w:tc>
        <w:tc>
          <w:tcPr>
            <w:tcW w:w="591" w:type="pct"/>
            <w:vAlign w:val="center"/>
          </w:tcPr>
          <w:p w:rsidR="002D1E45" w:rsidRPr="00697553" w:rsidRDefault="002D1E45" w:rsidP="00697553">
            <w:pPr>
              <w:spacing w:after="0" w:line="240" w:lineRule="auto"/>
              <w:jc w:val="center"/>
              <w:rPr>
                <w:rFonts w:ascii="Times New Roman" w:hAnsi="Times New Roman"/>
                <w:bCs/>
                <w:lang w:eastAsia="ru-RU"/>
              </w:rPr>
            </w:pPr>
            <w:r>
              <w:rPr>
                <w:rFonts w:ascii="Times New Roman" w:hAnsi="Times New Roman"/>
                <w:bCs/>
                <w:lang w:eastAsia="ru-RU"/>
              </w:rPr>
              <w:t>1522</w:t>
            </w:r>
          </w:p>
        </w:tc>
        <w:tc>
          <w:tcPr>
            <w:tcW w:w="757" w:type="pct"/>
            <w:vAlign w:val="center"/>
          </w:tcPr>
          <w:p w:rsidR="002D1E45" w:rsidRPr="00697553" w:rsidRDefault="002D1E45" w:rsidP="00697553">
            <w:pPr>
              <w:spacing w:after="0" w:line="240" w:lineRule="auto"/>
              <w:jc w:val="center"/>
              <w:rPr>
                <w:rFonts w:ascii="Times New Roman" w:hAnsi="Times New Roman"/>
                <w:bCs/>
                <w:lang w:eastAsia="ru-RU"/>
              </w:rPr>
            </w:pPr>
            <w:r>
              <w:rPr>
                <w:rFonts w:ascii="Times New Roman" w:hAnsi="Times New Roman"/>
                <w:bCs/>
                <w:lang w:eastAsia="ru-RU"/>
              </w:rPr>
              <w:t>224</w:t>
            </w:r>
          </w:p>
        </w:tc>
      </w:tr>
    </w:tbl>
    <w:p w:rsidR="002D1E45" w:rsidRDefault="002D1E45" w:rsidP="00EA7C1D">
      <w:pPr>
        <w:spacing w:after="0" w:line="240" w:lineRule="auto"/>
        <w:ind w:firstLine="709"/>
        <w:jc w:val="both"/>
        <w:rPr>
          <w:rFonts w:ascii="Times New Roman" w:hAnsi="Times New Roman"/>
          <w:sz w:val="28"/>
          <w:szCs w:val="24"/>
          <w:lang w:eastAsia="ru-RU"/>
        </w:rPr>
      </w:pPr>
    </w:p>
    <w:p w:rsidR="002D1E45" w:rsidRPr="00D059EF" w:rsidRDefault="002D1E45" w:rsidP="00EA7C1D">
      <w:pPr>
        <w:spacing w:after="0" w:line="240" w:lineRule="auto"/>
        <w:ind w:firstLine="709"/>
        <w:jc w:val="both"/>
        <w:rPr>
          <w:rFonts w:ascii="Times New Roman" w:hAnsi="Times New Roman"/>
          <w:sz w:val="28"/>
          <w:szCs w:val="24"/>
          <w:lang w:eastAsia="ru-RU"/>
        </w:rPr>
      </w:pPr>
      <w:r w:rsidRPr="00D059EF">
        <w:rPr>
          <w:rFonts w:ascii="Times New Roman" w:hAnsi="Times New Roman"/>
          <w:sz w:val="28"/>
          <w:szCs w:val="24"/>
          <w:lang w:eastAsia="ru-RU"/>
        </w:rPr>
        <w:t>Основным инструментом реализации муниципальной политики в</w:t>
      </w:r>
      <w:r>
        <w:rPr>
          <w:rFonts w:ascii="Times New Roman" w:hAnsi="Times New Roman"/>
          <w:sz w:val="28"/>
          <w:szCs w:val="24"/>
          <w:lang w:eastAsia="ru-RU"/>
        </w:rPr>
        <w:t> </w:t>
      </w:r>
      <w:r w:rsidRPr="00D059EF">
        <w:rPr>
          <w:rFonts w:ascii="Times New Roman" w:hAnsi="Times New Roman"/>
          <w:sz w:val="28"/>
          <w:szCs w:val="24"/>
          <w:lang w:eastAsia="ru-RU"/>
        </w:rPr>
        <w:t>сфере развития малого и</w:t>
      </w:r>
      <w:r>
        <w:rPr>
          <w:rFonts w:ascii="Times New Roman" w:hAnsi="Times New Roman"/>
          <w:sz w:val="28"/>
          <w:szCs w:val="24"/>
          <w:lang w:eastAsia="ru-RU"/>
        </w:rPr>
        <w:t> </w:t>
      </w:r>
      <w:r w:rsidRPr="00D059EF">
        <w:rPr>
          <w:rFonts w:ascii="Times New Roman" w:hAnsi="Times New Roman"/>
          <w:sz w:val="28"/>
          <w:szCs w:val="24"/>
          <w:lang w:eastAsia="ru-RU"/>
        </w:rPr>
        <w:t>среднего бизнеса в</w:t>
      </w:r>
      <w:r>
        <w:rPr>
          <w:rFonts w:ascii="Times New Roman" w:hAnsi="Times New Roman"/>
          <w:sz w:val="28"/>
          <w:szCs w:val="24"/>
          <w:lang w:eastAsia="ru-RU"/>
        </w:rPr>
        <w:t> городе</w:t>
      </w:r>
      <w:r w:rsidRPr="00D059EF">
        <w:rPr>
          <w:rFonts w:ascii="Times New Roman" w:hAnsi="Times New Roman"/>
          <w:sz w:val="28"/>
          <w:szCs w:val="24"/>
          <w:lang w:eastAsia="ru-RU"/>
        </w:rPr>
        <w:t xml:space="preserve"> является </w:t>
      </w:r>
      <w:r w:rsidRPr="006A24BD">
        <w:rPr>
          <w:rFonts w:ascii="Times New Roman" w:hAnsi="Times New Roman"/>
          <w:sz w:val="28"/>
          <w:szCs w:val="24"/>
          <w:lang w:eastAsia="ru-RU"/>
        </w:rPr>
        <w:t>Государственная программа Новосибирской области «Развитие субъектов малого и</w:t>
      </w:r>
      <w:r>
        <w:rPr>
          <w:rFonts w:ascii="Times New Roman" w:hAnsi="Times New Roman"/>
          <w:sz w:val="28"/>
          <w:szCs w:val="24"/>
          <w:lang w:eastAsia="ru-RU"/>
        </w:rPr>
        <w:t> </w:t>
      </w:r>
      <w:r w:rsidRPr="006A24BD">
        <w:rPr>
          <w:rFonts w:ascii="Times New Roman" w:hAnsi="Times New Roman"/>
          <w:sz w:val="28"/>
          <w:szCs w:val="24"/>
          <w:lang w:eastAsia="ru-RU"/>
        </w:rPr>
        <w:t>среднего предпринимательства в</w:t>
      </w:r>
      <w:r>
        <w:rPr>
          <w:rFonts w:ascii="Times New Roman" w:hAnsi="Times New Roman"/>
          <w:sz w:val="28"/>
          <w:szCs w:val="24"/>
          <w:lang w:eastAsia="ru-RU"/>
        </w:rPr>
        <w:t> </w:t>
      </w:r>
      <w:r w:rsidRPr="006A24BD">
        <w:rPr>
          <w:rFonts w:ascii="Times New Roman" w:hAnsi="Times New Roman"/>
          <w:sz w:val="28"/>
          <w:szCs w:val="24"/>
          <w:lang w:eastAsia="ru-RU"/>
        </w:rPr>
        <w:t>Новосибирской области»</w:t>
      </w:r>
      <w:r w:rsidRPr="00D059EF">
        <w:rPr>
          <w:rFonts w:ascii="Times New Roman" w:hAnsi="Times New Roman"/>
          <w:sz w:val="28"/>
          <w:szCs w:val="24"/>
          <w:lang w:eastAsia="ru-RU"/>
        </w:rPr>
        <w:t>.</w:t>
      </w:r>
      <w:r>
        <w:rPr>
          <w:rFonts w:ascii="Times New Roman" w:hAnsi="Times New Roman"/>
          <w:sz w:val="28"/>
          <w:szCs w:val="24"/>
          <w:lang w:eastAsia="ru-RU"/>
        </w:rPr>
        <w:t xml:space="preserve"> </w:t>
      </w:r>
      <w:r w:rsidRPr="00EC3CA8">
        <w:rPr>
          <w:rFonts w:ascii="Times New Roman" w:hAnsi="Times New Roman"/>
          <w:sz w:val="28"/>
          <w:szCs w:val="24"/>
          <w:lang w:eastAsia="ru-RU"/>
        </w:rPr>
        <w:t>В</w:t>
      </w:r>
      <w:r>
        <w:rPr>
          <w:rFonts w:ascii="Times New Roman" w:hAnsi="Times New Roman"/>
          <w:sz w:val="28"/>
          <w:szCs w:val="24"/>
          <w:lang w:eastAsia="ru-RU"/>
        </w:rPr>
        <w:t> </w:t>
      </w:r>
      <w:r w:rsidRPr="00EC3CA8">
        <w:rPr>
          <w:rFonts w:ascii="Times New Roman" w:hAnsi="Times New Roman"/>
          <w:sz w:val="28"/>
          <w:szCs w:val="24"/>
          <w:lang w:eastAsia="ru-RU"/>
        </w:rPr>
        <w:t>целях поддержки и</w:t>
      </w:r>
      <w:r>
        <w:rPr>
          <w:rFonts w:ascii="Times New Roman" w:hAnsi="Times New Roman"/>
          <w:sz w:val="28"/>
          <w:szCs w:val="24"/>
          <w:lang w:eastAsia="ru-RU"/>
        </w:rPr>
        <w:t> </w:t>
      </w:r>
      <w:r w:rsidRPr="00EC3CA8">
        <w:rPr>
          <w:rFonts w:ascii="Times New Roman" w:hAnsi="Times New Roman"/>
          <w:sz w:val="28"/>
          <w:szCs w:val="24"/>
          <w:lang w:eastAsia="ru-RU"/>
        </w:rPr>
        <w:t>развития малого и</w:t>
      </w:r>
      <w:r>
        <w:rPr>
          <w:rFonts w:ascii="Times New Roman" w:hAnsi="Times New Roman"/>
          <w:sz w:val="28"/>
          <w:szCs w:val="24"/>
          <w:lang w:eastAsia="ru-RU"/>
        </w:rPr>
        <w:t> </w:t>
      </w:r>
      <w:r w:rsidRPr="00EC3CA8">
        <w:rPr>
          <w:rFonts w:ascii="Times New Roman" w:hAnsi="Times New Roman"/>
          <w:sz w:val="28"/>
          <w:szCs w:val="24"/>
          <w:lang w:eastAsia="ru-RU"/>
        </w:rPr>
        <w:t>среднего предпринимательства в 201</w:t>
      </w:r>
      <w:r>
        <w:rPr>
          <w:rFonts w:ascii="Times New Roman" w:hAnsi="Times New Roman"/>
          <w:sz w:val="28"/>
          <w:szCs w:val="24"/>
          <w:lang w:eastAsia="ru-RU"/>
        </w:rPr>
        <w:t>9</w:t>
      </w:r>
      <w:r w:rsidRPr="00EC3CA8">
        <w:rPr>
          <w:rFonts w:ascii="Times New Roman" w:hAnsi="Times New Roman"/>
          <w:sz w:val="28"/>
          <w:szCs w:val="24"/>
          <w:lang w:eastAsia="ru-RU"/>
        </w:rPr>
        <w:t xml:space="preserve"> г. была разработана и</w:t>
      </w:r>
      <w:r>
        <w:rPr>
          <w:rFonts w:ascii="Times New Roman" w:hAnsi="Times New Roman"/>
          <w:sz w:val="28"/>
          <w:szCs w:val="24"/>
          <w:lang w:eastAsia="ru-RU"/>
        </w:rPr>
        <w:t> </w:t>
      </w:r>
      <w:r w:rsidRPr="00EC3CA8">
        <w:rPr>
          <w:rFonts w:ascii="Times New Roman" w:hAnsi="Times New Roman"/>
          <w:sz w:val="28"/>
          <w:szCs w:val="24"/>
          <w:lang w:eastAsia="ru-RU"/>
        </w:rPr>
        <w:t xml:space="preserve">утверждена муниципальная целевая программа </w:t>
      </w:r>
      <w:r w:rsidRPr="000D5E6D">
        <w:rPr>
          <w:rFonts w:ascii="Times New Roman" w:hAnsi="Times New Roman"/>
          <w:sz w:val="28"/>
          <w:szCs w:val="24"/>
          <w:lang w:eastAsia="ru-RU"/>
        </w:rPr>
        <w:t>«Развитие субъектов малого и среднего предпринимательства в городе Куйбышеве Куйбышевском районе Новосибирской области на 2020</w:t>
      </w:r>
      <w:r>
        <w:rPr>
          <w:rFonts w:ascii="Times New Roman" w:hAnsi="Times New Roman"/>
          <w:sz w:val="28"/>
          <w:szCs w:val="24"/>
          <w:lang w:eastAsia="ru-RU"/>
        </w:rPr>
        <w:t>-</w:t>
      </w:r>
      <w:r w:rsidRPr="000D5E6D">
        <w:rPr>
          <w:rFonts w:ascii="Times New Roman" w:hAnsi="Times New Roman"/>
          <w:sz w:val="28"/>
          <w:szCs w:val="24"/>
          <w:lang w:eastAsia="ru-RU"/>
        </w:rPr>
        <w:t>2022 годы»</w:t>
      </w:r>
      <w:r w:rsidRPr="00EC3CA8">
        <w:rPr>
          <w:rFonts w:ascii="Times New Roman" w:hAnsi="Times New Roman"/>
          <w:sz w:val="28"/>
          <w:szCs w:val="24"/>
          <w:lang w:eastAsia="ru-RU"/>
        </w:rPr>
        <w:t xml:space="preserve">. Главной целью программы является </w:t>
      </w:r>
      <w:r w:rsidRPr="000D5E6D">
        <w:rPr>
          <w:rFonts w:ascii="Times New Roman" w:hAnsi="Times New Roman"/>
          <w:sz w:val="28"/>
          <w:szCs w:val="24"/>
          <w:lang w:eastAsia="ru-RU"/>
        </w:rPr>
        <w:t>создание благоприятных условий для развития малого и среднего предпринимательства на территории города Куйбышева, насыщение рынка потребительских товаров и услуг, стимулирование граждан к занятию предпринимательской деятельностью.</w:t>
      </w:r>
      <w:r>
        <w:rPr>
          <w:rFonts w:ascii="Times New Roman" w:hAnsi="Times New Roman"/>
          <w:sz w:val="28"/>
          <w:szCs w:val="24"/>
          <w:lang w:eastAsia="ru-RU"/>
        </w:rPr>
        <w:t xml:space="preserve"> </w:t>
      </w:r>
    </w:p>
    <w:p w:rsidR="002D1E45" w:rsidRPr="00DB296C" w:rsidRDefault="002D1E45" w:rsidP="00DB296C">
      <w:pPr>
        <w:spacing w:after="0" w:line="240" w:lineRule="auto"/>
        <w:ind w:firstLine="709"/>
        <w:jc w:val="both"/>
        <w:rPr>
          <w:rFonts w:ascii="Times New Roman" w:hAnsi="Times New Roman"/>
          <w:sz w:val="28"/>
          <w:szCs w:val="24"/>
          <w:lang w:eastAsia="ru-RU"/>
        </w:rPr>
      </w:pPr>
      <w:r w:rsidRPr="00D059EF">
        <w:rPr>
          <w:rFonts w:ascii="Times New Roman" w:hAnsi="Times New Roman"/>
          <w:sz w:val="28"/>
          <w:szCs w:val="24"/>
          <w:lang w:eastAsia="ru-RU"/>
        </w:rPr>
        <w:t>Поступления налогов и</w:t>
      </w:r>
      <w:r>
        <w:rPr>
          <w:rFonts w:ascii="Times New Roman" w:hAnsi="Times New Roman"/>
          <w:sz w:val="28"/>
          <w:szCs w:val="24"/>
          <w:lang w:eastAsia="ru-RU"/>
        </w:rPr>
        <w:t> </w:t>
      </w:r>
      <w:r w:rsidRPr="00D059EF">
        <w:rPr>
          <w:rFonts w:ascii="Times New Roman" w:hAnsi="Times New Roman"/>
          <w:sz w:val="28"/>
          <w:szCs w:val="24"/>
          <w:lang w:eastAsia="ru-RU"/>
        </w:rPr>
        <w:t>сборов от</w:t>
      </w:r>
      <w:r>
        <w:rPr>
          <w:rFonts w:ascii="Times New Roman" w:hAnsi="Times New Roman"/>
          <w:sz w:val="28"/>
          <w:szCs w:val="24"/>
          <w:lang w:eastAsia="ru-RU"/>
        </w:rPr>
        <w:t> </w:t>
      </w:r>
      <w:r w:rsidRPr="00D059EF">
        <w:rPr>
          <w:rFonts w:ascii="Times New Roman" w:hAnsi="Times New Roman"/>
          <w:sz w:val="28"/>
          <w:szCs w:val="24"/>
          <w:lang w:eastAsia="ru-RU"/>
        </w:rPr>
        <w:t>субъектов предпринимательства играет</w:t>
      </w:r>
      <w:r w:rsidRPr="00DB296C">
        <w:rPr>
          <w:rFonts w:ascii="Times New Roman" w:hAnsi="Times New Roman"/>
          <w:sz w:val="28"/>
          <w:szCs w:val="24"/>
          <w:lang w:eastAsia="ru-RU"/>
        </w:rPr>
        <w:t xml:space="preserve"> важную роль в</w:t>
      </w:r>
      <w:r>
        <w:rPr>
          <w:rFonts w:ascii="Times New Roman" w:hAnsi="Times New Roman"/>
          <w:sz w:val="28"/>
          <w:szCs w:val="24"/>
          <w:lang w:eastAsia="ru-RU"/>
        </w:rPr>
        <w:t> </w:t>
      </w:r>
      <w:r w:rsidRPr="00DB296C">
        <w:rPr>
          <w:rFonts w:ascii="Times New Roman" w:hAnsi="Times New Roman"/>
          <w:sz w:val="28"/>
          <w:szCs w:val="24"/>
          <w:lang w:eastAsia="ru-RU"/>
        </w:rPr>
        <w:t>формировании доходной части бюджета. Увеличение числа субъектов предпринимательской деятельности влечёт за</w:t>
      </w:r>
      <w:r>
        <w:rPr>
          <w:rFonts w:ascii="Times New Roman" w:hAnsi="Times New Roman"/>
          <w:sz w:val="28"/>
          <w:szCs w:val="24"/>
          <w:lang w:eastAsia="ru-RU"/>
        </w:rPr>
        <w:t> </w:t>
      </w:r>
      <w:r w:rsidRPr="00DB296C">
        <w:rPr>
          <w:rFonts w:ascii="Times New Roman" w:hAnsi="Times New Roman"/>
          <w:sz w:val="28"/>
          <w:szCs w:val="24"/>
          <w:lang w:eastAsia="ru-RU"/>
        </w:rPr>
        <w:t xml:space="preserve">собой создание новых рабочих мест. </w:t>
      </w:r>
    </w:p>
    <w:p w:rsidR="002D1E45" w:rsidRPr="00872D7F" w:rsidRDefault="002D1E45" w:rsidP="00872D7F">
      <w:pPr>
        <w:spacing w:after="0" w:line="240" w:lineRule="auto"/>
        <w:ind w:firstLine="709"/>
        <w:contextualSpacing/>
        <w:jc w:val="both"/>
        <w:rPr>
          <w:rFonts w:ascii="Times New Roman" w:hAnsi="Times New Roman"/>
          <w:sz w:val="28"/>
          <w:szCs w:val="24"/>
          <w:lang w:eastAsia="ru-RU"/>
        </w:rPr>
      </w:pPr>
      <w:r w:rsidRPr="00872D7F">
        <w:rPr>
          <w:rFonts w:ascii="Times New Roman" w:hAnsi="Times New Roman"/>
          <w:sz w:val="28"/>
          <w:szCs w:val="24"/>
          <w:lang w:eastAsia="ru-RU"/>
        </w:rPr>
        <w:t>На</w:t>
      </w:r>
      <w:r>
        <w:rPr>
          <w:rFonts w:ascii="Times New Roman" w:hAnsi="Times New Roman"/>
          <w:sz w:val="28"/>
          <w:szCs w:val="24"/>
          <w:lang w:eastAsia="ru-RU"/>
        </w:rPr>
        <w:t xml:space="preserve"> </w:t>
      </w:r>
      <w:r w:rsidRPr="00872D7F">
        <w:rPr>
          <w:rFonts w:ascii="Times New Roman" w:hAnsi="Times New Roman"/>
          <w:sz w:val="28"/>
          <w:szCs w:val="24"/>
          <w:lang w:eastAsia="ru-RU"/>
        </w:rPr>
        <w:t>современном этапе финансовое состояние предприятий ослаблено, имеет место рост издержек производства, связанных с повышением цен на энергоносители, комплектующие, остаётся высокой себестоимость производимой продукции, что снижает рентабельность производства, высока кредиторская и дебиторская задолженность. Из-за нехватки собственных средств значительно уменьшилось инвестирование в основной капитал предприятий. Крупное промышленное предприятия АО «К</w:t>
      </w:r>
      <w:r>
        <w:rPr>
          <w:rFonts w:ascii="Times New Roman" w:hAnsi="Times New Roman"/>
          <w:sz w:val="28"/>
          <w:szCs w:val="24"/>
          <w:lang w:eastAsia="ru-RU"/>
        </w:rPr>
        <w:t>АЗ</w:t>
      </w:r>
      <w:r w:rsidRPr="00872D7F">
        <w:rPr>
          <w:rFonts w:ascii="Times New Roman" w:hAnsi="Times New Roman"/>
          <w:sz w:val="28"/>
          <w:szCs w:val="24"/>
          <w:lang w:eastAsia="ru-RU"/>
        </w:rPr>
        <w:t>-Холдинг» находятся в стадии банкротства.</w:t>
      </w:r>
    </w:p>
    <w:p w:rsidR="002D1E45" w:rsidRPr="00872D7F" w:rsidRDefault="002D1E45" w:rsidP="00872D7F">
      <w:pPr>
        <w:spacing w:after="0" w:line="240" w:lineRule="auto"/>
        <w:ind w:firstLine="709"/>
        <w:contextualSpacing/>
        <w:jc w:val="both"/>
        <w:rPr>
          <w:rFonts w:ascii="Times New Roman" w:hAnsi="Times New Roman"/>
          <w:sz w:val="28"/>
          <w:szCs w:val="24"/>
          <w:lang w:eastAsia="ru-RU"/>
        </w:rPr>
      </w:pPr>
      <w:r w:rsidRPr="00872D7F">
        <w:rPr>
          <w:rFonts w:ascii="Times New Roman" w:hAnsi="Times New Roman"/>
          <w:sz w:val="28"/>
          <w:szCs w:val="24"/>
          <w:lang w:eastAsia="ru-RU"/>
        </w:rPr>
        <w:t>Одной из наиболее важных проблем промышленности является необходимость е</w:t>
      </w:r>
      <w:r>
        <w:rPr>
          <w:rFonts w:ascii="Times New Roman" w:hAnsi="Times New Roman"/>
          <w:sz w:val="28"/>
          <w:szCs w:val="24"/>
          <w:lang w:eastAsia="ru-RU"/>
        </w:rPr>
        <w:t>ё</w:t>
      </w:r>
      <w:r w:rsidRPr="00872D7F">
        <w:rPr>
          <w:rFonts w:ascii="Times New Roman" w:hAnsi="Times New Roman"/>
          <w:sz w:val="28"/>
          <w:szCs w:val="24"/>
          <w:lang w:eastAsia="ru-RU"/>
        </w:rPr>
        <w:t xml:space="preserve"> технической модернизации. Существующий потенциал промышленности сильно уступает требованиям рынка, промышленные комплексы нуждаются в новом современном оборудовании, технологиях и методах. Второй важной проблемой является недостаток финансирования и нестабильная материально-техническая база. В условиях нехватки материальных средств, промышленные предприятия не имеют возможности обновить свою технологическую базу, внедрить инновации и перейти на новый технический уровень развития.</w:t>
      </w:r>
    </w:p>
    <w:p w:rsidR="002D1E45" w:rsidRPr="00872D7F" w:rsidRDefault="002D1E45" w:rsidP="00872D7F">
      <w:pPr>
        <w:spacing w:after="0" w:line="240" w:lineRule="auto"/>
        <w:ind w:firstLine="709"/>
        <w:contextualSpacing/>
        <w:jc w:val="both"/>
        <w:rPr>
          <w:rFonts w:ascii="Times New Roman" w:hAnsi="Times New Roman"/>
          <w:sz w:val="28"/>
          <w:szCs w:val="24"/>
          <w:lang w:eastAsia="ru-RU"/>
        </w:rPr>
      </w:pPr>
      <w:r w:rsidRPr="00872D7F">
        <w:rPr>
          <w:rFonts w:ascii="Times New Roman" w:hAnsi="Times New Roman"/>
          <w:sz w:val="28"/>
          <w:szCs w:val="24"/>
          <w:lang w:eastAsia="ru-RU"/>
        </w:rPr>
        <w:t>Ещё одной важной проблемой является резкий отток квалифицированных кадров и ухудшение социальной ситуации на предприятиях. Нехватка кадров резко влияет на развитие промышленного комплекса.</w:t>
      </w:r>
    </w:p>
    <w:p w:rsidR="002D1E45" w:rsidRPr="00872D7F" w:rsidRDefault="002D1E45" w:rsidP="00872D7F">
      <w:pPr>
        <w:spacing w:after="0" w:line="240" w:lineRule="auto"/>
        <w:ind w:firstLine="709"/>
        <w:contextualSpacing/>
        <w:jc w:val="both"/>
        <w:rPr>
          <w:rFonts w:ascii="Times New Roman" w:hAnsi="Times New Roman"/>
          <w:sz w:val="28"/>
          <w:szCs w:val="24"/>
          <w:lang w:eastAsia="ru-RU"/>
        </w:rPr>
      </w:pPr>
      <w:r w:rsidRPr="00872D7F">
        <w:rPr>
          <w:rFonts w:ascii="Times New Roman" w:hAnsi="Times New Roman"/>
          <w:sz w:val="28"/>
          <w:szCs w:val="24"/>
          <w:lang w:eastAsia="ru-RU"/>
        </w:rPr>
        <w:t>Наиболее острой проблемой в агропромышленном комплексе района является сложное финансовое состояние предприятий сельского хозяйства, которое характеризуется ростом кредиторской задолженностью, убыточностью предприятий. Основными причинами являются низкие закупочные цены. Остаётся низкой рентабельность сельскохозяйственного производства. Очень остро стоит проблема высокого физического и морального износа основных производственных фондов отрасли.</w:t>
      </w:r>
    </w:p>
    <w:p w:rsidR="002D1E45" w:rsidRPr="00872D7F" w:rsidRDefault="002D1E45" w:rsidP="00872D7F">
      <w:pPr>
        <w:spacing w:after="0" w:line="240" w:lineRule="auto"/>
        <w:ind w:firstLine="709"/>
        <w:contextualSpacing/>
        <w:jc w:val="both"/>
        <w:rPr>
          <w:rFonts w:ascii="Times New Roman" w:hAnsi="Times New Roman"/>
          <w:sz w:val="28"/>
          <w:szCs w:val="24"/>
          <w:lang w:eastAsia="ru-RU"/>
        </w:rPr>
      </w:pPr>
      <w:r w:rsidRPr="00872D7F">
        <w:rPr>
          <w:rFonts w:ascii="Times New Roman" w:hAnsi="Times New Roman"/>
          <w:sz w:val="28"/>
          <w:szCs w:val="24"/>
          <w:lang w:eastAsia="ru-RU"/>
        </w:rPr>
        <w:t>В дополнение к этому, продолжается негативная тенденция отрицательной динамики инвестиций в основной капитал. Величина инвестиций не обеспечивает восполнение выбывающих и морально устаревших основных фондов.</w:t>
      </w:r>
    </w:p>
    <w:p w:rsidR="002D1E45" w:rsidRDefault="002D1E45" w:rsidP="00872D7F">
      <w:pPr>
        <w:spacing w:after="0" w:line="240" w:lineRule="auto"/>
        <w:ind w:firstLine="709"/>
        <w:contextualSpacing/>
        <w:jc w:val="both"/>
        <w:rPr>
          <w:rFonts w:ascii="Times New Roman" w:hAnsi="Times New Roman"/>
          <w:sz w:val="28"/>
          <w:szCs w:val="24"/>
          <w:lang w:eastAsia="ru-RU"/>
        </w:rPr>
      </w:pPr>
      <w:r w:rsidRPr="00872D7F">
        <w:rPr>
          <w:rFonts w:ascii="Times New Roman" w:hAnsi="Times New Roman"/>
          <w:sz w:val="28"/>
          <w:szCs w:val="24"/>
          <w:lang w:eastAsia="ru-RU"/>
        </w:rPr>
        <w:t>Основным источником инвестиций в основной капитал, по-прежнему, остаются собственные средства, внутренние ресурсы предприятий (прибыль, амортизационные отчисления), которые составляют более 60</w:t>
      </w:r>
      <w:r>
        <w:rPr>
          <w:rFonts w:ascii="Times New Roman" w:hAnsi="Times New Roman"/>
          <w:sz w:val="28"/>
          <w:szCs w:val="24"/>
          <w:lang w:eastAsia="ru-RU"/>
        </w:rPr>
        <w:t xml:space="preserve"> </w:t>
      </w:r>
      <w:r w:rsidRPr="00872D7F">
        <w:rPr>
          <w:rFonts w:ascii="Times New Roman" w:hAnsi="Times New Roman"/>
          <w:sz w:val="28"/>
          <w:szCs w:val="24"/>
          <w:lang w:eastAsia="ru-RU"/>
        </w:rPr>
        <w:t>% общего объёма инвестиций.</w:t>
      </w:r>
    </w:p>
    <w:p w:rsidR="002D1E45" w:rsidRDefault="002D1E45" w:rsidP="007B275C">
      <w:pPr>
        <w:spacing w:after="0" w:line="240" w:lineRule="auto"/>
        <w:ind w:firstLine="709"/>
        <w:contextualSpacing/>
        <w:jc w:val="both"/>
        <w:rPr>
          <w:rFonts w:ascii="Times New Roman" w:hAnsi="Times New Roman"/>
          <w:sz w:val="28"/>
          <w:szCs w:val="24"/>
          <w:lang w:eastAsia="ru-RU"/>
        </w:rPr>
      </w:pPr>
      <w:r w:rsidRPr="007B275C">
        <w:rPr>
          <w:rFonts w:ascii="Times New Roman" w:hAnsi="Times New Roman"/>
          <w:sz w:val="28"/>
          <w:szCs w:val="24"/>
          <w:lang w:eastAsia="ru-RU"/>
        </w:rPr>
        <w:t xml:space="preserve">Территория </w:t>
      </w:r>
      <w:r>
        <w:rPr>
          <w:rFonts w:ascii="Times New Roman" w:hAnsi="Times New Roman"/>
          <w:sz w:val="28"/>
          <w:szCs w:val="24"/>
          <w:lang w:eastAsia="ru-RU"/>
        </w:rPr>
        <w:t>города</w:t>
      </w:r>
      <w:r w:rsidRPr="007B275C">
        <w:rPr>
          <w:rFonts w:ascii="Times New Roman" w:hAnsi="Times New Roman"/>
          <w:sz w:val="28"/>
          <w:szCs w:val="24"/>
          <w:lang w:eastAsia="ru-RU"/>
        </w:rPr>
        <w:t xml:space="preserve"> привлекательна для строительства новых производственных объектов, наиболее перспективно развитие производственной и</w:t>
      </w:r>
      <w:r>
        <w:rPr>
          <w:rFonts w:ascii="Times New Roman" w:hAnsi="Times New Roman"/>
          <w:sz w:val="28"/>
          <w:szCs w:val="24"/>
          <w:lang w:eastAsia="ru-RU"/>
        </w:rPr>
        <w:t> </w:t>
      </w:r>
      <w:r w:rsidRPr="007B275C">
        <w:rPr>
          <w:rFonts w:ascii="Times New Roman" w:hAnsi="Times New Roman"/>
          <w:sz w:val="28"/>
          <w:szCs w:val="24"/>
          <w:lang w:eastAsia="ru-RU"/>
        </w:rPr>
        <w:t>складской зоны, развитие сферы бытового обслуживания и</w:t>
      </w:r>
      <w:r>
        <w:rPr>
          <w:rFonts w:ascii="Times New Roman" w:hAnsi="Times New Roman"/>
          <w:sz w:val="28"/>
          <w:szCs w:val="24"/>
          <w:lang w:eastAsia="ru-RU"/>
        </w:rPr>
        <w:t> </w:t>
      </w:r>
      <w:r w:rsidRPr="007B275C">
        <w:rPr>
          <w:rFonts w:ascii="Times New Roman" w:hAnsi="Times New Roman"/>
          <w:sz w:val="28"/>
          <w:szCs w:val="24"/>
          <w:lang w:eastAsia="ru-RU"/>
        </w:rPr>
        <w:t>предприятий по</w:t>
      </w:r>
      <w:r>
        <w:rPr>
          <w:rFonts w:ascii="Times New Roman" w:hAnsi="Times New Roman"/>
          <w:sz w:val="28"/>
          <w:szCs w:val="24"/>
          <w:lang w:eastAsia="ru-RU"/>
        </w:rPr>
        <w:t> </w:t>
      </w:r>
      <w:r w:rsidRPr="007B275C">
        <w:rPr>
          <w:rFonts w:ascii="Times New Roman" w:hAnsi="Times New Roman"/>
          <w:sz w:val="28"/>
          <w:szCs w:val="24"/>
          <w:lang w:eastAsia="ru-RU"/>
        </w:rPr>
        <w:t>переработке сельскохозяйственной продукции и</w:t>
      </w:r>
      <w:r>
        <w:rPr>
          <w:rFonts w:ascii="Times New Roman" w:hAnsi="Times New Roman"/>
          <w:sz w:val="28"/>
          <w:szCs w:val="24"/>
          <w:lang w:eastAsia="ru-RU"/>
        </w:rPr>
        <w:t> </w:t>
      </w:r>
      <w:r w:rsidRPr="007B275C">
        <w:rPr>
          <w:rFonts w:ascii="Times New Roman" w:hAnsi="Times New Roman"/>
          <w:sz w:val="28"/>
          <w:szCs w:val="24"/>
          <w:lang w:eastAsia="ru-RU"/>
        </w:rPr>
        <w:t>изготовлению полуфабрикатов, хлебобулочных изделий.</w:t>
      </w:r>
    </w:p>
    <w:p w:rsidR="002D1E45" w:rsidRDefault="002D1E45" w:rsidP="007B275C">
      <w:pPr>
        <w:spacing w:after="0" w:line="240" w:lineRule="auto"/>
        <w:ind w:firstLine="709"/>
        <w:contextualSpacing/>
        <w:jc w:val="both"/>
        <w:rPr>
          <w:rFonts w:ascii="Times New Roman" w:hAnsi="Times New Roman"/>
          <w:sz w:val="28"/>
          <w:szCs w:val="24"/>
          <w:lang w:eastAsia="ru-RU"/>
        </w:rPr>
      </w:pPr>
      <w:r w:rsidRPr="004710D3">
        <w:rPr>
          <w:rFonts w:ascii="Times New Roman" w:hAnsi="Times New Roman"/>
          <w:sz w:val="28"/>
          <w:szCs w:val="24"/>
          <w:lang w:eastAsia="ru-RU"/>
        </w:rPr>
        <w:t xml:space="preserve">Потенциал </w:t>
      </w:r>
      <w:r>
        <w:rPr>
          <w:rFonts w:ascii="Times New Roman" w:hAnsi="Times New Roman"/>
          <w:sz w:val="28"/>
          <w:szCs w:val="24"/>
          <w:lang w:eastAsia="ru-RU"/>
        </w:rPr>
        <w:t>территории анализируемых населённых пунктов</w:t>
      </w:r>
      <w:r w:rsidRPr="004710D3">
        <w:rPr>
          <w:rFonts w:ascii="Times New Roman" w:hAnsi="Times New Roman"/>
          <w:sz w:val="28"/>
          <w:szCs w:val="24"/>
          <w:lang w:eastAsia="ru-RU"/>
        </w:rPr>
        <w:t>, в</w:t>
      </w:r>
      <w:r>
        <w:rPr>
          <w:rFonts w:ascii="Times New Roman" w:hAnsi="Times New Roman"/>
          <w:sz w:val="28"/>
          <w:szCs w:val="24"/>
          <w:lang w:eastAsia="ru-RU"/>
        </w:rPr>
        <w:t> </w:t>
      </w:r>
      <w:r w:rsidRPr="004710D3">
        <w:rPr>
          <w:rFonts w:ascii="Times New Roman" w:hAnsi="Times New Roman"/>
          <w:sz w:val="28"/>
          <w:szCs w:val="24"/>
          <w:lang w:eastAsia="ru-RU"/>
        </w:rPr>
        <w:t>том числе, заключается в</w:t>
      </w:r>
      <w:r>
        <w:rPr>
          <w:rFonts w:ascii="Times New Roman" w:hAnsi="Times New Roman"/>
          <w:sz w:val="28"/>
          <w:szCs w:val="24"/>
          <w:lang w:eastAsia="ru-RU"/>
        </w:rPr>
        <w:t> </w:t>
      </w:r>
      <w:r w:rsidRPr="004710D3">
        <w:rPr>
          <w:rFonts w:ascii="Times New Roman" w:hAnsi="Times New Roman"/>
          <w:sz w:val="28"/>
          <w:szCs w:val="24"/>
          <w:lang w:eastAsia="ru-RU"/>
        </w:rPr>
        <w:t>развитии актуальных направлений в</w:t>
      </w:r>
      <w:r>
        <w:rPr>
          <w:rFonts w:ascii="Times New Roman" w:hAnsi="Times New Roman"/>
          <w:sz w:val="28"/>
          <w:szCs w:val="24"/>
          <w:lang w:eastAsia="ru-RU"/>
        </w:rPr>
        <w:t> </w:t>
      </w:r>
      <w:r w:rsidRPr="004710D3">
        <w:rPr>
          <w:rFonts w:ascii="Times New Roman" w:hAnsi="Times New Roman"/>
          <w:sz w:val="28"/>
          <w:szCs w:val="24"/>
          <w:lang w:eastAsia="ru-RU"/>
        </w:rPr>
        <w:t xml:space="preserve">экономике. </w:t>
      </w:r>
    </w:p>
    <w:p w:rsidR="002D1E45" w:rsidRPr="007B275C" w:rsidRDefault="002D1E45" w:rsidP="007B275C">
      <w:pPr>
        <w:spacing w:after="0" w:line="240" w:lineRule="auto"/>
        <w:ind w:firstLine="709"/>
        <w:contextualSpacing/>
        <w:jc w:val="both"/>
        <w:rPr>
          <w:rFonts w:ascii="Times New Roman" w:hAnsi="Times New Roman"/>
          <w:sz w:val="28"/>
          <w:szCs w:val="24"/>
          <w:lang w:eastAsia="ru-RU"/>
        </w:rPr>
      </w:pPr>
      <w:r w:rsidRPr="007B275C">
        <w:rPr>
          <w:rFonts w:ascii="Times New Roman" w:hAnsi="Times New Roman"/>
          <w:sz w:val="28"/>
          <w:szCs w:val="24"/>
          <w:lang w:eastAsia="ru-RU"/>
        </w:rPr>
        <w:t>Важное значение в</w:t>
      </w:r>
      <w:r>
        <w:rPr>
          <w:rFonts w:ascii="Times New Roman" w:hAnsi="Times New Roman"/>
          <w:sz w:val="28"/>
          <w:szCs w:val="24"/>
          <w:lang w:eastAsia="ru-RU"/>
        </w:rPr>
        <w:t> </w:t>
      </w:r>
      <w:r w:rsidRPr="007B275C">
        <w:rPr>
          <w:rFonts w:ascii="Times New Roman" w:hAnsi="Times New Roman"/>
          <w:sz w:val="28"/>
          <w:szCs w:val="24"/>
          <w:lang w:eastAsia="ru-RU"/>
        </w:rPr>
        <w:t xml:space="preserve">развитии всех указанных направлений имеет малое предпринимательство, расширение сферы обслуживания. </w:t>
      </w:r>
    </w:p>
    <w:p w:rsidR="002D1E45" w:rsidRPr="007B275C" w:rsidRDefault="002D1E45" w:rsidP="007B275C">
      <w:pPr>
        <w:spacing w:after="0" w:line="240" w:lineRule="auto"/>
        <w:ind w:firstLine="709"/>
        <w:contextualSpacing/>
        <w:jc w:val="both"/>
        <w:rPr>
          <w:rFonts w:ascii="Times New Roman" w:hAnsi="Times New Roman"/>
          <w:sz w:val="28"/>
          <w:szCs w:val="24"/>
          <w:lang w:eastAsia="ru-RU"/>
        </w:rPr>
      </w:pPr>
      <w:r w:rsidRPr="007B275C">
        <w:rPr>
          <w:rFonts w:ascii="Times New Roman" w:hAnsi="Times New Roman"/>
          <w:sz w:val="28"/>
          <w:szCs w:val="24"/>
          <w:lang w:eastAsia="ru-RU"/>
        </w:rPr>
        <w:t>В перспективе может развиваться сфера рекреации и</w:t>
      </w:r>
      <w:r>
        <w:rPr>
          <w:rFonts w:ascii="Times New Roman" w:hAnsi="Times New Roman"/>
          <w:sz w:val="28"/>
          <w:szCs w:val="24"/>
          <w:lang w:eastAsia="ru-RU"/>
        </w:rPr>
        <w:t> </w:t>
      </w:r>
      <w:r w:rsidRPr="007B275C">
        <w:rPr>
          <w:rFonts w:ascii="Times New Roman" w:hAnsi="Times New Roman"/>
          <w:sz w:val="28"/>
          <w:szCs w:val="24"/>
          <w:lang w:eastAsia="ru-RU"/>
        </w:rPr>
        <w:t>туризма с</w:t>
      </w:r>
      <w:r>
        <w:rPr>
          <w:rFonts w:ascii="Times New Roman" w:hAnsi="Times New Roman"/>
          <w:sz w:val="28"/>
          <w:szCs w:val="24"/>
          <w:lang w:eastAsia="ru-RU"/>
        </w:rPr>
        <w:t> </w:t>
      </w:r>
      <w:r w:rsidRPr="007B275C">
        <w:rPr>
          <w:rFonts w:ascii="Times New Roman" w:hAnsi="Times New Roman"/>
          <w:sz w:val="28"/>
          <w:szCs w:val="24"/>
          <w:lang w:eastAsia="ru-RU"/>
        </w:rPr>
        <w:t>привлечением частного бизнеса для организации досуга.</w:t>
      </w:r>
    </w:p>
    <w:p w:rsidR="002D1E45" w:rsidRPr="002F1969" w:rsidRDefault="002D1E45" w:rsidP="002F1969">
      <w:pPr>
        <w:spacing w:after="0" w:line="240" w:lineRule="auto"/>
        <w:ind w:firstLine="709"/>
        <w:contextualSpacing/>
        <w:jc w:val="both"/>
        <w:rPr>
          <w:rFonts w:ascii="Times New Roman" w:hAnsi="Times New Roman"/>
          <w:sz w:val="28"/>
          <w:szCs w:val="24"/>
          <w:lang w:eastAsia="ru-RU"/>
        </w:rPr>
      </w:pPr>
      <w:r w:rsidRPr="002F1969">
        <w:rPr>
          <w:rFonts w:ascii="Times New Roman" w:hAnsi="Times New Roman"/>
          <w:sz w:val="28"/>
          <w:szCs w:val="24"/>
          <w:lang w:eastAsia="ru-RU"/>
        </w:rPr>
        <w:t>Основными, приоритетными направлениями развития малого бизнеса являются:</w:t>
      </w:r>
    </w:p>
    <w:p w:rsidR="002D1E45" w:rsidRPr="002F1969" w:rsidRDefault="002D1E45" w:rsidP="00D05D06">
      <w:pPr>
        <w:numPr>
          <w:ilvl w:val="0"/>
          <w:numId w:val="57"/>
        </w:numPr>
        <w:spacing w:after="0" w:line="240" w:lineRule="auto"/>
        <w:contextualSpacing/>
        <w:jc w:val="both"/>
        <w:rPr>
          <w:rFonts w:ascii="Times New Roman" w:hAnsi="Times New Roman"/>
          <w:sz w:val="28"/>
          <w:szCs w:val="24"/>
          <w:lang w:eastAsia="ru-RU"/>
        </w:rPr>
      </w:pPr>
      <w:r w:rsidRPr="002F1969">
        <w:rPr>
          <w:rFonts w:ascii="Times New Roman" w:hAnsi="Times New Roman"/>
          <w:sz w:val="28"/>
          <w:szCs w:val="24"/>
          <w:lang w:eastAsia="ru-RU"/>
        </w:rPr>
        <w:t>оказание информационной и</w:t>
      </w:r>
      <w:r>
        <w:rPr>
          <w:rFonts w:ascii="Times New Roman" w:hAnsi="Times New Roman"/>
          <w:sz w:val="28"/>
          <w:szCs w:val="24"/>
          <w:lang w:eastAsia="ru-RU"/>
        </w:rPr>
        <w:t> </w:t>
      </w:r>
      <w:r w:rsidRPr="002F1969">
        <w:rPr>
          <w:rFonts w:ascii="Times New Roman" w:hAnsi="Times New Roman"/>
          <w:sz w:val="28"/>
          <w:szCs w:val="24"/>
          <w:lang w:eastAsia="ru-RU"/>
        </w:rPr>
        <w:t>консультативной поддержки предпринимательства;</w:t>
      </w:r>
    </w:p>
    <w:p w:rsidR="002D1E45" w:rsidRPr="002F1969" w:rsidRDefault="002D1E45" w:rsidP="00D05D06">
      <w:pPr>
        <w:numPr>
          <w:ilvl w:val="0"/>
          <w:numId w:val="57"/>
        </w:numPr>
        <w:spacing w:after="0" w:line="240" w:lineRule="auto"/>
        <w:contextualSpacing/>
        <w:jc w:val="both"/>
        <w:rPr>
          <w:rFonts w:ascii="Times New Roman" w:hAnsi="Times New Roman"/>
          <w:sz w:val="28"/>
          <w:szCs w:val="24"/>
          <w:lang w:eastAsia="ru-RU"/>
        </w:rPr>
      </w:pPr>
      <w:r w:rsidRPr="002F1969">
        <w:rPr>
          <w:rFonts w:ascii="Times New Roman" w:hAnsi="Times New Roman"/>
          <w:sz w:val="28"/>
          <w:szCs w:val="24"/>
          <w:lang w:eastAsia="ru-RU"/>
        </w:rPr>
        <w:t>развитие инфраструктуры поддержки малого предпринимательства;</w:t>
      </w:r>
    </w:p>
    <w:p w:rsidR="002D1E45" w:rsidRPr="002F1969" w:rsidRDefault="002D1E45" w:rsidP="00D05D06">
      <w:pPr>
        <w:numPr>
          <w:ilvl w:val="0"/>
          <w:numId w:val="57"/>
        </w:numPr>
        <w:spacing w:after="0" w:line="240" w:lineRule="auto"/>
        <w:contextualSpacing/>
        <w:jc w:val="both"/>
        <w:rPr>
          <w:rFonts w:ascii="Times New Roman" w:hAnsi="Times New Roman"/>
          <w:sz w:val="28"/>
          <w:szCs w:val="24"/>
          <w:lang w:eastAsia="ru-RU"/>
        </w:rPr>
      </w:pPr>
      <w:r w:rsidRPr="002F1969">
        <w:rPr>
          <w:rFonts w:ascii="Times New Roman" w:hAnsi="Times New Roman"/>
          <w:sz w:val="28"/>
          <w:szCs w:val="24"/>
          <w:lang w:eastAsia="ru-RU"/>
        </w:rPr>
        <w:t>обучение и</w:t>
      </w:r>
      <w:r>
        <w:rPr>
          <w:rFonts w:ascii="Times New Roman" w:hAnsi="Times New Roman"/>
          <w:sz w:val="28"/>
          <w:szCs w:val="24"/>
          <w:lang w:eastAsia="ru-RU"/>
        </w:rPr>
        <w:t> </w:t>
      </w:r>
      <w:r w:rsidRPr="002F1969">
        <w:rPr>
          <w:rFonts w:ascii="Times New Roman" w:hAnsi="Times New Roman"/>
          <w:sz w:val="28"/>
          <w:szCs w:val="24"/>
          <w:lang w:eastAsia="ru-RU"/>
        </w:rPr>
        <w:t>подготовка кадров в</w:t>
      </w:r>
      <w:r>
        <w:rPr>
          <w:rFonts w:ascii="Times New Roman" w:hAnsi="Times New Roman"/>
          <w:sz w:val="28"/>
          <w:szCs w:val="24"/>
          <w:lang w:eastAsia="ru-RU"/>
        </w:rPr>
        <w:t> </w:t>
      </w:r>
      <w:r w:rsidRPr="002F1969">
        <w:rPr>
          <w:rFonts w:ascii="Times New Roman" w:hAnsi="Times New Roman"/>
          <w:sz w:val="28"/>
          <w:szCs w:val="24"/>
          <w:lang w:eastAsia="ru-RU"/>
        </w:rPr>
        <w:t>сфере малого предпринимательства;</w:t>
      </w:r>
    </w:p>
    <w:p w:rsidR="002D1E45" w:rsidRPr="002F1969" w:rsidRDefault="002D1E45" w:rsidP="00D05D06">
      <w:pPr>
        <w:numPr>
          <w:ilvl w:val="0"/>
          <w:numId w:val="57"/>
        </w:numPr>
        <w:spacing w:after="0" w:line="240" w:lineRule="auto"/>
        <w:contextualSpacing/>
        <w:jc w:val="both"/>
        <w:rPr>
          <w:rFonts w:ascii="Times New Roman" w:hAnsi="Times New Roman"/>
          <w:sz w:val="28"/>
          <w:szCs w:val="24"/>
          <w:lang w:eastAsia="ru-RU"/>
        </w:rPr>
      </w:pPr>
      <w:r w:rsidRPr="002F1969">
        <w:rPr>
          <w:rFonts w:ascii="Times New Roman" w:hAnsi="Times New Roman"/>
          <w:sz w:val="28"/>
          <w:szCs w:val="24"/>
          <w:lang w:eastAsia="ru-RU"/>
        </w:rPr>
        <w:t>обеспечение социальной защиты и</w:t>
      </w:r>
      <w:r>
        <w:rPr>
          <w:rFonts w:ascii="Times New Roman" w:hAnsi="Times New Roman"/>
          <w:sz w:val="28"/>
          <w:szCs w:val="24"/>
          <w:lang w:eastAsia="ru-RU"/>
        </w:rPr>
        <w:t> </w:t>
      </w:r>
      <w:r w:rsidRPr="002F1969">
        <w:rPr>
          <w:rFonts w:ascii="Times New Roman" w:hAnsi="Times New Roman"/>
          <w:sz w:val="28"/>
          <w:szCs w:val="24"/>
          <w:lang w:eastAsia="ru-RU"/>
        </w:rPr>
        <w:t>безопасности в</w:t>
      </w:r>
      <w:r>
        <w:rPr>
          <w:rFonts w:ascii="Times New Roman" w:hAnsi="Times New Roman"/>
          <w:sz w:val="28"/>
          <w:szCs w:val="24"/>
          <w:lang w:eastAsia="ru-RU"/>
        </w:rPr>
        <w:t> </w:t>
      </w:r>
      <w:r w:rsidRPr="002F1969">
        <w:rPr>
          <w:rFonts w:ascii="Times New Roman" w:hAnsi="Times New Roman"/>
          <w:sz w:val="28"/>
          <w:szCs w:val="24"/>
          <w:lang w:eastAsia="ru-RU"/>
        </w:rPr>
        <w:t>сфере малого предпринимательства;</w:t>
      </w:r>
    </w:p>
    <w:p w:rsidR="002D1E45" w:rsidRPr="002F1969" w:rsidRDefault="002D1E45" w:rsidP="00D05D06">
      <w:pPr>
        <w:numPr>
          <w:ilvl w:val="0"/>
          <w:numId w:val="57"/>
        </w:numPr>
        <w:spacing w:after="0" w:line="240" w:lineRule="auto"/>
        <w:contextualSpacing/>
        <w:jc w:val="both"/>
        <w:rPr>
          <w:rFonts w:ascii="Times New Roman" w:hAnsi="Times New Roman"/>
          <w:sz w:val="28"/>
          <w:szCs w:val="24"/>
          <w:lang w:eastAsia="ru-RU"/>
        </w:rPr>
      </w:pPr>
      <w:r w:rsidRPr="002F1969">
        <w:rPr>
          <w:rFonts w:ascii="Times New Roman" w:hAnsi="Times New Roman"/>
          <w:sz w:val="28"/>
          <w:szCs w:val="24"/>
          <w:lang w:eastAsia="ru-RU"/>
        </w:rPr>
        <w:t>использование муниципального имущества для развития малого и</w:t>
      </w:r>
      <w:r>
        <w:rPr>
          <w:rFonts w:ascii="Times New Roman" w:hAnsi="Times New Roman"/>
          <w:sz w:val="28"/>
          <w:szCs w:val="24"/>
          <w:lang w:eastAsia="ru-RU"/>
        </w:rPr>
        <w:t> </w:t>
      </w:r>
      <w:r w:rsidRPr="002F1969">
        <w:rPr>
          <w:rFonts w:ascii="Times New Roman" w:hAnsi="Times New Roman"/>
          <w:sz w:val="28"/>
          <w:szCs w:val="24"/>
          <w:lang w:eastAsia="ru-RU"/>
        </w:rPr>
        <w:t>среднего предпринимательства.</w:t>
      </w:r>
    </w:p>
    <w:p w:rsidR="002D1E45" w:rsidRPr="002F1969" w:rsidRDefault="002D1E45" w:rsidP="002F1969">
      <w:pPr>
        <w:spacing w:after="0" w:line="240" w:lineRule="auto"/>
        <w:ind w:firstLine="709"/>
        <w:jc w:val="both"/>
        <w:rPr>
          <w:rFonts w:ascii="Times New Roman" w:hAnsi="Times New Roman"/>
          <w:sz w:val="28"/>
          <w:szCs w:val="24"/>
          <w:lang w:eastAsia="ru-RU"/>
        </w:rPr>
      </w:pPr>
      <w:r w:rsidRPr="002F1969">
        <w:rPr>
          <w:rFonts w:ascii="Times New Roman" w:hAnsi="Times New Roman"/>
          <w:sz w:val="28"/>
          <w:szCs w:val="24"/>
          <w:lang w:eastAsia="ru-RU"/>
        </w:rPr>
        <w:t>Основные мероприятия развития малого и</w:t>
      </w:r>
      <w:r>
        <w:rPr>
          <w:rFonts w:ascii="Times New Roman" w:hAnsi="Times New Roman"/>
          <w:sz w:val="28"/>
          <w:szCs w:val="24"/>
          <w:lang w:eastAsia="ru-RU"/>
        </w:rPr>
        <w:t> </w:t>
      </w:r>
      <w:r w:rsidRPr="002F1969">
        <w:rPr>
          <w:rFonts w:ascii="Times New Roman" w:hAnsi="Times New Roman"/>
          <w:sz w:val="28"/>
          <w:szCs w:val="24"/>
          <w:lang w:eastAsia="ru-RU"/>
        </w:rPr>
        <w:t>среднего бизнеса являются:</w:t>
      </w:r>
    </w:p>
    <w:p w:rsidR="002D1E45" w:rsidRPr="002F1969" w:rsidRDefault="002D1E45" w:rsidP="00D05D06">
      <w:pPr>
        <w:numPr>
          <w:ilvl w:val="0"/>
          <w:numId w:val="57"/>
        </w:numPr>
        <w:spacing w:after="0" w:line="240" w:lineRule="auto"/>
        <w:contextualSpacing/>
        <w:jc w:val="both"/>
        <w:rPr>
          <w:rFonts w:ascii="Times New Roman" w:hAnsi="Times New Roman"/>
          <w:sz w:val="28"/>
          <w:szCs w:val="24"/>
          <w:lang w:eastAsia="ru-RU"/>
        </w:rPr>
      </w:pPr>
      <w:r w:rsidRPr="002F1969">
        <w:rPr>
          <w:rFonts w:ascii="Times New Roman" w:hAnsi="Times New Roman"/>
          <w:sz w:val="28"/>
          <w:szCs w:val="24"/>
          <w:lang w:eastAsia="ru-RU"/>
        </w:rPr>
        <w:t>формирование благоприятной внешней среды для развития малого бизнеса, информационно-консультативная поддержка субъектов малого и</w:t>
      </w:r>
      <w:r>
        <w:rPr>
          <w:rFonts w:ascii="Times New Roman" w:hAnsi="Times New Roman"/>
          <w:sz w:val="28"/>
          <w:szCs w:val="24"/>
          <w:lang w:eastAsia="ru-RU"/>
        </w:rPr>
        <w:t> </w:t>
      </w:r>
      <w:r w:rsidRPr="002F1969">
        <w:rPr>
          <w:rFonts w:ascii="Times New Roman" w:hAnsi="Times New Roman"/>
          <w:sz w:val="28"/>
          <w:szCs w:val="24"/>
          <w:lang w:eastAsia="ru-RU"/>
        </w:rPr>
        <w:t>среднего предпринимательства</w:t>
      </w:r>
    </w:p>
    <w:p w:rsidR="002D1E45" w:rsidRPr="002F1969" w:rsidRDefault="002D1E45" w:rsidP="00D05D06">
      <w:pPr>
        <w:numPr>
          <w:ilvl w:val="0"/>
          <w:numId w:val="57"/>
        </w:numPr>
        <w:spacing w:after="0" w:line="240" w:lineRule="auto"/>
        <w:contextualSpacing/>
        <w:jc w:val="both"/>
        <w:rPr>
          <w:rFonts w:ascii="Times New Roman" w:hAnsi="Times New Roman"/>
          <w:sz w:val="28"/>
          <w:szCs w:val="24"/>
          <w:lang w:eastAsia="ru-RU"/>
        </w:rPr>
      </w:pPr>
      <w:r w:rsidRPr="002F1969">
        <w:rPr>
          <w:rFonts w:ascii="Times New Roman" w:hAnsi="Times New Roman"/>
          <w:sz w:val="28"/>
          <w:szCs w:val="24"/>
          <w:lang w:eastAsia="ru-RU"/>
        </w:rPr>
        <w:t>информационно-методическое обеспечение организаций, образующих инфраструктуру поддержки субъектов малого и</w:t>
      </w:r>
      <w:r>
        <w:rPr>
          <w:rFonts w:ascii="Times New Roman" w:hAnsi="Times New Roman"/>
          <w:sz w:val="28"/>
          <w:szCs w:val="24"/>
          <w:lang w:eastAsia="ru-RU"/>
        </w:rPr>
        <w:t> </w:t>
      </w:r>
      <w:r w:rsidRPr="002F1969">
        <w:rPr>
          <w:rFonts w:ascii="Times New Roman" w:hAnsi="Times New Roman"/>
          <w:sz w:val="28"/>
          <w:szCs w:val="24"/>
          <w:lang w:eastAsia="ru-RU"/>
        </w:rPr>
        <w:t>среднего предпринимательства, общественных организаций и</w:t>
      </w:r>
      <w:r>
        <w:rPr>
          <w:rFonts w:ascii="Times New Roman" w:hAnsi="Times New Roman"/>
          <w:sz w:val="28"/>
          <w:szCs w:val="24"/>
          <w:lang w:eastAsia="ru-RU"/>
        </w:rPr>
        <w:t> </w:t>
      </w:r>
      <w:r w:rsidRPr="002F1969">
        <w:rPr>
          <w:rFonts w:ascii="Times New Roman" w:hAnsi="Times New Roman"/>
          <w:sz w:val="28"/>
          <w:szCs w:val="24"/>
          <w:lang w:eastAsia="ru-RU"/>
        </w:rPr>
        <w:t>субъектов малого и</w:t>
      </w:r>
      <w:r>
        <w:rPr>
          <w:rFonts w:ascii="Times New Roman" w:hAnsi="Times New Roman"/>
          <w:sz w:val="28"/>
          <w:szCs w:val="24"/>
          <w:lang w:eastAsia="ru-RU"/>
        </w:rPr>
        <w:t> </w:t>
      </w:r>
      <w:r w:rsidRPr="002F1969">
        <w:rPr>
          <w:rFonts w:ascii="Times New Roman" w:hAnsi="Times New Roman"/>
          <w:sz w:val="28"/>
          <w:szCs w:val="24"/>
          <w:lang w:eastAsia="ru-RU"/>
        </w:rPr>
        <w:t>среднего предпринимательства по</w:t>
      </w:r>
      <w:r>
        <w:rPr>
          <w:rFonts w:ascii="Times New Roman" w:hAnsi="Times New Roman"/>
          <w:sz w:val="28"/>
          <w:szCs w:val="24"/>
          <w:lang w:eastAsia="ru-RU"/>
        </w:rPr>
        <w:t> </w:t>
      </w:r>
      <w:r w:rsidRPr="002F1969">
        <w:rPr>
          <w:rFonts w:ascii="Times New Roman" w:hAnsi="Times New Roman"/>
          <w:sz w:val="28"/>
          <w:szCs w:val="24"/>
          <w:lang w:eastAsia="ru-RU"/>
        </w:rPr>
        <w:t>вопросам поддержки и</w:t>
      </w:r>
      <w:r>
        <w:rPr>
          <w:rFonts w:ascii="Times New Roman" w:hAnsi="Times New Roman"/>
          <w:sz w:val="28"/>
          <w:szCs w:val="24"/>
          <w:lang w:eastAsia="ru-RU"/>
        </w:rPr>
        <w:t> </w:t>
      </w:r>
      <w:r w:rsidRPr="002F1969">
        <w:rPr>
          <w:rFonts w:ascii="Times New Roman" w:hAnsi="Times New Roman"/>
          <w:sz w:val="28"/>
          <w:szCs w:val="24"/>
          <w:lang w:eastAsia="ru-RU"/>
        </w:rPr>
        <w:t>развития малого и</w:t>
      </w:r>
      <w:r>
        <w:rPr>
          <w:rFonts w:ascii="Times New Roman" w:hAnsi="Times New Roman"/>
          <w:sz w:val="28"/>
          <w:szCs w:val="24"/>
          <w:lang w:eastAsia="ru-RU"/>
        </w:rPr>
        <w:t> </w:t>
      </w:r>
      <w:r w:rsidRPr="002F1969">
        <w:rPr>
          <w:rFonts w:ascii="Times New Roman" w:hAnsi="Times New Roman"/>
          <w:sz w:val="28"/>
          <w:szCs w:val="24"/>
          <w:lang w:eastAsia="ru-RU"/>
        </w:rPr>
        <w:t>среднего предпринимательства путём проведения работ по</w:t>
      </w:r>
      <w:r>
        <w:rPr>
          <w:rFonts w:ascii="Times New Roman" w:hAnsi="Times New Roman"/>
          <w:sz w:val="28"/>
          <w:szCs w:val="24"/>
          <w:lang w:eastAsia="ru-RU"/>
        </w:rPr>
        <w:t> </w:t>
      </w:r>
      <w:r w:rsidRPr="002F1969">
        <w:rPr>
          <w:rFonts w:ascii="Times New Roman" w:hAnsi="Times New Roman"/>
          <w:sz w:val="28"/>
          <w:szCs w:val="24"/>
          <w:lang w:eastAsia="ru-RU"/>
        </w:rPr>
        <w:t>подготовке и</w:t>
      </w:r>
      <w:r>
        <w:rPr>
          <w:rFonts w:ascii="Times New Roman" w:hAnsi="Times New Roman"/>
          <w:sz w:val="28"/>
          <w:szCs w:val="24"/>
          <w:lang w:eastAsia="ru-RU"/>
        </w:rPr>
        <w:t> </w:t>
      </w:r>
      <w:r w:rsidRPr="002F1969">
        <w:rPr>
          <w:rFonts w:ascii="Times New Roman" w:hAnsi="Times New Roman"/>
          <w:sz w:val="28"/>
          <w:szCs w:val="24"/>
          <w:lang w:eastAsia="ru-RU"/>
        </w:rPr>
        <w:t>изданию информационно-справочных пособий, сборников и</w:t>
      </w:r>
      <w:r>
        <w:rPr>
          <w:rFonts w:ascii="Times New Roman" w:hAnsi="Times New Roman"/>
          <w:sz w:val="28"/>
          <w:szCs w:val="24"/>
          <w:lang w:eastAsia="ru-RU"/>
        </w:rPr>
        <w:t> </w:t>
      </w:r>
      <w:r w:rsidRPr="002F1969">
        <w:rPr>
          <w:rFonts w:ascii="Times New Roman" w:hAnsi="Times New Roman"/>
          <w:sz w:val="28"/>
          <w:szCs w:val="24"/>
          <w:lang w:eastAsia="ru-RU"/>
        </w:rPr>
        <w:t>брошюр, освещающих различные аспекты предпринимательской деятельности в</w:t>
      </w:r>
      <w:r>
        <w:rPr>
          <w:rFonts w:ascii="Times New Roman" w:hAnsi="Times New Roman"/>
          <w:sz w:val="28"/>
          <w:szCs w:val="24"/>
          <w:lang w:eastAsia="ru-RU"/>
        </w:rPr>
        <w:t> </w:t>
      </w:r>
      <w:r w:rsidRPr="002F1969">
        <w:rPr>
          <w:rFonts w:ascii="Times New Roman" w:hAnsi="Times New Roman"/>
          <w:sz w:val="28"/>
          <w:szCs w:val="24"/>
          <w:lang w:eastAsia="ru-RU"/>
        </w:rPr>
        <w:t>средствах массовой информации;</w:t>
      </w:r>
    </w:p>
    <w:p w:rsidR="002D1E45" w:rsidRPr="002F1969" w:rsidRDefault="002D1E45" w:rsidP="00D05D06">
      <w:pPr>
        <w:numPr>
          <w:ilvl w:val="0"/>
          <w:numId w:val="57"/>
        </w:numPr>
        <w:spacing w:after="0" w:line="240" w:lineRule="auto"/>
        <w:contextualSpacing/>
        <w:jc w:val="both"/>
        <w:rPr>
          <w:rFonts w:ascii="Times New Roman" w:hAnsi="Times New Roman"/>
          <w:sz w:val="28"/>
          <w:szCs w:val="24"/>
          <w:lang w:eastAsia="ru-RU"/>
        </w:rPr>
      </w:pPr>
      <w:r w:rsidRPr="002F1969">
        <w:rPr>
          <w:rFonts w:ascii="Times New Roman" w:hAnsi="Times New Roman"/>
          <w:sz w:val="28"/>
          <w:szCs w:val="24"/>
          <w:lang w:eastAsia="ru-RU"/>
        </w:rPr>
        <w:t>предоставление в</w:t>
      </w:r>
      <w:r>
        <w:rPr>
          <w:rFonts w:ascii="Times New Roman" w:hAnsi="Times New Roman"/>
          <w:sz w:val="28"/>
          <w:szCs w:val="24"/>
          <w:lang w:eastAsia="ru-RU"/>
        </w:rPr>
        <w:t> </w:t>
      </w:r>
      <w:r w:rsidRPr="002F1969">
        <w:rPr>
          <w:rFonts w:ascii="Times New Roman" w:hAnsi="Times New Roman"/>
          <w:sz w:val="28"/>
          <w:szCs w:val="24"/>
          <w:lang w:eastAsia="ru-RU"/>
        </w:rPr>
        <w:t>аренду муниципального имущества для развития малого и</w:t>
      </w:r>
      <w:r>
        <w:rPr>
          <w:rFonts w:ascii="Times New Roman" w:hAnsi="Times New Roman"/>
          <w:sz w:val="28"/>
          <w:szCs w:val="24"/>
          <w:lang w:eastAsia="ru-RU"/>
        </w:rPr>
        <w:t> </w:t>
      </w:r>
      <w:r w:rsidRPr="002F1969">
        <w:rPr>
          <w:rFonts w:ascii="Times New Roman" w:hAnsi="Times New Roman"/>
          <w:sz w:val="28"/>
          <w:szCs w:val="24"/>
          <w:lang w:eastAsia="ru-RU"/>
        </w:rPr>
        <w:t>среднего предпринимательства;</w:t>
      </w:r>
    </w:p>
    <w:p w:rsidR="002D1E45" w:rsidRPr="002F1969" w:rsidRDefault="002D1E45" w:rsidP="00D05D06">
      <w:pPr>
        <w:numPr>
          <w:ilvl w:val="0"/>
          <w:numId w:val="57"/>
        </w:numPr>
        <w:spacing w:after="0" w:line="240" w:lineRule="auto"/>
        <w:contextualSpacing/>
        <w:jc w:val="both"/>
        <w:rPr>
          <w:rFonts w:ascii="Times New Roman" w:hAnsi="Times New Roman"/>
          <w:sz w:val="28"/>
          <w:szCs w:val="24"/>
          <w:lang w:eastAsia="ru-RU"/>
        </w:rPr>
      </w:pPr>
      <w:r w:rsidRPr="002F1969">
        <w:rPr>
          <w:rFonts w:ascii="Times New Roman" w:hAnsi="Times New Roman"/>
          <w:sz w:val="28"/>
          <w:szCs w:val="24"/>
          <w:lang w:eastAsia="ru-RU"/>
        </w:rPr>
        <w:t>содействие в</w:t>
      </w:r>
      <w:r>
        <w:rPr>
          <w:rFonts w:ascii="Times New Roman" w:hAnsi="Times New Roman"/>
          <w:sz w:val="28"/>
          <w:szCs w:val="24"/>
          <w:lang w:eastAsia="ru-RU"/>
        </w:rPr>
        <w:t> </w:t>
      </w:r>
      <w:r w:rsidRPr="002F1969">
        <w:rPr>
          <w:rFonts w:ascii="Times New Roman" w:hAnsi="Times New Roman"/>
          <w:sz w:val="28"/>
          <w:szCs w:val="24"/>
          <w:lang w:eastAsia="ru-RU"/>
        </w:rPr>
        <w:t>решение вопроса о</w:t>
      </w:r>
      <w:r>
        <w:rPr>
          <w:rFonts w:ascii="Times New Roman" w:hAnsi="Times New Roman"/>
          <w:sz w:val="28"/>
          <w:szCs w:val="24"/>
          <w:lang w:eastAsia="ru-RU"/>
        </w:rPr>
        <w:t> </w:t>
      </w:r>
      <w:r w:rsidRPr="002F1969">
        <w:rPr>
          <w:rFonts w:ascii="Times New Roman" w:hAnsi="Times New Roman"/>
          <w:sz w:val="28"/>
          <w:szCs w:val="24"/>
          <w:lang w:eastAsia="ru-RU"/>
        </w:rPr>
        <w:t>предоставлении земельных участков под строительство новых объектов потребительского рынка;</w:t>
      </w:r>
    </w:p>
    <w:p w:rsidR="002D1E45" w:rsidRPr="002F1969" w:rsidRDefault="002D1E45" w:rsidP="00D05D06">
      <w:pPr>
        <w:numPr>
          <w:ilvl w:val="0"/>
          <w:numId w:val="57"/>
        </w:numPr>
        <w:spacing w:after="0" w:line="240" w:lineRule="auto"/>
        <w:contextualSpacing/>
        <w:jc w:val="both"/>
        <w:rPr>
          <w:rFonts w:ascii="Times New Roman" w:hAnsi="Times New Roman"/>
          <w:sz w:val="28"/>
          <w:szCs w:val="24"/>
          <w:lang w:eastAsia="ru-RU"/>
        </w:rPr>
      </w:pPr>
      <w:r w:rsidRPr="002F1969">
        <w:rPr>
          <w:rFonts w:ascii="Times New Roman" w:hAnsi="Times New Roman"/>
          <w:sz w:val="28"/>
          <w:szCs w:val="24"/>
          <w:lang w:eastAsia="ru-RU"/>
        </w:rPr>
        <w:t>проведение конкурсов, семинаров тренингов, круглых столов и</w:t>
      </w:r>
      <w:r>
        <w:rPr>
          <w:rFonts w:ascii="Times New Roman" w:hAnsi="Times New Roman"/>
          <w:sz w:val="28"/>
          <w:szCs w:val="24"/>
          <w:lang w:eastAsia="ru-RU"/>
        </w:rPr>
        <w:t> </w:t>
      </w:r>
      <w:r w:rsidRPr="002F1969">
        <w:rPr>
          <w:rFonts w:ascii="Times New Roman" w:hAnsi="Times New Roman"/>
          <w:sz w:val="28"/>
          <w:szCs w:val="24"/>
          <w:lang w:eastAsia="ru-RU"/>
        </w:rPr>
        <w:t>иных мероприятий с</w:t>
      </w:r>
      <w:r>
        <w:rPr>
          <w:rFonts w:ascii="Times New Roman" w:hAnsi="Times New Roman"/>
          <w:sz w:val="28"/>
          <w:szCs w:val="24"/>
          <w:lang w:eastAsia="ru-RU"/>
        </w:rPr>
        <w:t> </w:t>
      </w:r>
      <w:r w:rsidRPr="002F1969">
        <w:rPr>
          <w:rFonts w:ascii="Times New Roman" w:hAnsi="Times New Roman"/>
          <w:sz w:val="28"/>
          <w:szCs w:val="24"/>
          <w:lang w:eastAsia="ru-RU"/>
        </w:rPr>
        <w:t>субъектами малого и</w:t>
      </w:r>
      <w:r>
        <w:rPr>
          <w:rFonts w:ascii="Times New Roman" w:hAnsi="Times New Roman"/>
          <w:sz w:val="28"/>
          <w:szCs w:val="24"/>
          <w:lang w:eastAsia="ru-RU"/>
        </w:rPr>
        <w:t> </w:t>
      </w:r>
      <w:r w:rsidRPr="002F1969">
        <w:rPr>
          <w:rFonts w:ascii="Times New Roman" w:hAnsi="Times New Roman"/>
          <w:sz w:val="28"/>
          <w:szCs w:val="24"/>
          <w:lang w:eastAsia="ru-RU"/>
        </w:rPr>
        <w:t>среднего предпринимательства.</w:t>
      </w:r>
    </w:p>
    <w:p w:rsidR="002D1E45" w:rsidRPr="002F1969" w:rsidRDefault="002D1E45" w:rsidP="002F1969">
      <w:pPr>
        <w:spacing w:after="0" w:line="240" w:lineRule="auto"/>
        <w:ind w:firstLine="709"/>
        <w:jc w:val="both"/>
        <w:rPr>
          <w:rFonts w:ascii="Times New Roman" w:hAnsi="Times New Roman"/>
          <w:sz w:val="28"/>
          <w:szCs w:val="24"/>
          <w:lang w:eastAsia="ru-RU"/>
        </w:rPr>
      </w:pPr>
      <w:r w:rsidRPr="002F1969">
        <w:rPr>
          <w:rFonts w:ascii="Times New Roman" w:hAnsi="Times New Roman"/>
          <w:sz w:val="28"/>
          <w:szCs w:val="24"/>
          <w:lang w:eastAsia="ru-RU"/>
        </w:rPr>
        <w:t>Целью развития потребительского рынка является удовлетворение покупательского спроса населения в</w:t>
      </w:r>
      <w:r>
        <w:rPr>
          <w:rFonts w:ascii="Times New Roman" w:hAnsi="Times New Roman"/>
          <w:sz w:val="28"/>
          <w:szCs w:val="24"/>
          <w:lang w:eastAsia="ru-RU"/>
        </w:rPr>
        <w:t> </w:t>
      </w:r>
      <w:r w:rsidRPr="002F1969">
        <w:rPr>
          <w:rFonts w:ascii="Times New Roman" w:hAnsi="Times New Roman"/>
          <w:sz w:val="28"/>
          <w:szCs w:val="24"/>
          <w:lang w:eastAsia="ru-RU"/>
        </w:rPr>
        <w:t>качественных товарах и</w:t>
      </w:r>
      <w:r>
        <w:rPr>
          <w:rFonts w:ascii="Times New Roman" w:hAnsi="Times New Roman"/>
          <w:sz w:val="28"/>
          <w:szCs w:val="24"/>
          <w:lang w:eastAsia="ru-RU"/>
        </w:rPr>
        <w:t> </w:t>
      </w:r>
      <w:r w:rsidRPr="002F1969">
        <w:rPr>
          <w:rFonts w:ascii="Times New Roman" w:hAnsi="Times New Roman"/>
          <w:sz w:val="28"/>
          <w:szCs w:val="24"/>
          <w:lang w:eastAsia="ru-RU"/>
        </w:rPr>
        <w:t>услугах.</w:t>
      </w:r>
    </w:p>
    <w:p w:rsidR="002D1E45" w:rsidRPr="002F1969" w:rsidRDefault="002D1E45" w:rsidP="002F1969">
      <w:pPr>
        <w:spacing w:after="0" w:line="240" w:lineRule="auto"/>
        <w:ind w:firstLine="709"/>
        <w:jc w:val="both"/>
        <w:rPr>
          <w:rFonts w:ascii="Times New Roman" w:hAnsi="Times New Roman"/>
          <w:sz w:val="28"/>
          <w:szCs w:val="24"/>
          <w:lang w:eastAsia="ru-RU"/>
        </w:rPr>
      </w:pPr>
      <w:r w:rsidRPr="002F1969">
        <w:rPr>
          <w:rFonts w:ascii="Times New Roman" w:hAnsi="Times New Roman"/>
          <w:sz w:val="28"/>
          <w:szCs w:val="24"/>
          <w:lang w:eastAsia="ru-RU"/>
        </w:rPr>
        <w:t>Основные мероприятия по</w:t>
      </w:r>
      <w:r>
        <w:rPr>
          <w:rFonts w:ascii="Times New Roman" w:hAnsi="Times New Roman"/>
          <w:sz w:val="28"/>
          <w:szCs w:val="24"/>
          <w:lang w:eastAsia="ru-RU"/>
        </w:rPr>
        <w:t> </w:t>
      </w:r>
      <w:r w:rsidRPr="002F1969">
        <w:rPr>
          <w:rFonts w:ascii="Times New Roman" w:hAnsi="Times New Roman"/>
          <w:sz w:val="28"/>
          <w:szCs w:val="24"/>
          <w:lang w:eastAsia="ru-RU"/>
        </w:rPr>
        <w:t>развитию потребительского рынка:</w:t>
      </w:r>
    </w:p>
    <w:p w:rsidR="002D1E45" w:rsidRPr="002F1969" w:rsidRDefault="002D1E45" w:rsidP="00D05D06">
      <w:pPr>
        <w:numPr>
          <w:ilvl w:val="0"/>
          <w:numId w:val="57"/>
        </w:numPr>
        <w:spacing w:after="0" w:line="240" w:lineRule="auto"/>
        <w:contextualSpacing/>
        <w:jc w:val="both"/>
        <w:rPr>
          <w:rFonts w:ascii="Times New Roman" w:hAnsi="Times New Roman"/>
          <w:sz w:val="28"/>
          <w:szCs w:val="24"/>
          <w:lang w:eastAsia="ru-RU"/>
        </w:rPr>
      </w:pPr>
      <w:r w:rsidRPr="002F1969">
        <w:rPr>
          <w:rFonts w:ascii="Times New Roman" w:hAnsi="Times New Roman"/>
          <w:sz w:val="28"/>
          <w:szCs w:val="24"/>
          <w:lang w:eastAsia="ru-RU"/>
        </w:rPr>
        <w:t>мониторинг развития потребительского рынка; пути развития исходя из</w:t>
      </w:r>
      <w:r>
        <w:rPr>
          <w:rFonts w:ascii="Times New Roman" w:hAnsi="Times New Roman"/>
          <w:sz w:val="28"/>
          <w:szCs w:val="24"/>
          <w:lang w:eastAsia="ru-RU"/>
        </w:rPr>
        <w:t> </w:t>
      </w:r>
      <w:r w:rsidRPr="002F1969">
        <w:rPr>
          <w:rFonts w:ascii="Times New Roman" w:hAnsi="Times New Roman"/>
          <w:sz w:val="28"/>
          <w:szCs w:val="24"/>
          <w:lang w:eastAsia="ru-RU"/>
        </w:rPr>
        <w:t>уровня потребления основных продуктов питания, непродовольственных товаров, бытовых и</w:t>
      </w:r>
      <w:r>
        <w:rPr>
          <w:rFonts w:ascii="Times New Roman" w:hAnsi="Times New Roman"/>
          <w:sz w:val="28"/>
          <w:szCs w:val="24"/>
          <w:lang w:eastAsia="ru-RU"/>
        </w:rPr>
        <w:t> </w:t>
      </w:r>
      <w:r w:rsidRPr="002F1969">
        <w:rPr>
          <w:rFonts w:ascii="Times New Roman" w:hAnsi="Times New Roman"/>
          <w:sz w:val="28"/>
          <w:szCs w:val="24"/>
          <w:lang w:eastAsia="ru-RU"/>
        </w:rPr>
        <w:t xml:space="preserve">платных услуг; </w:t>
      </w:r>
    </w:p>
    <w:p w:rsidR="002D1E45" w:rsidRPr="002F1969" w:rsidRDefault="002D1E45" w:rsidP="00D05D06">
      <w:pPr>
        <w:numPr>
          <w:ilvl w:val="0"/>
          <w:numId w:val="57"/>
        </w:numPr>
        <w:spacing w:after="0" w:line="240" w:lineRule="auto"/>
        <w:contextualSpacing/>
        <w:jc w:val="both"/>
        <w:rPr>
          <w:rFonts w:ascii="Times New Roman" w:hAnsi="Times New Roman"/>
          <w:sz w:val="28"/>
          <w:szCs w:val="24"/>
          <w:lang w:eastAsia="ru-RU"/>
        </w:rPr>
      </w:pPr>
      <w:r w:rsidRPr="002F1969">
        <w:rPr>
          <w:rFonts w:ascii="Times New Roman" w:hAnsi="Times New Roman"/>
          <w:sz w:val="28"/>
          <w:szCs w:val="24"/>
          <w:lang w:eastAsia="ru-RU"/>
        </w:rPr>
        <w:t>организация и</w:t>
      </w:r>
      <w:r>
        <w:rPr>
          <w:rFonts w:ascii="Times New Roman" w:hAnsi="Times New Roman"/>
          <w:sz w:val="28"/>
          <w:szCs w:val="24"/>
          <w:lang w:eastAsia="ru-RU"/>
        </w:rPr>
        <w:t> </w:t>
      </w:r>
      <w:r w:rsidRPr="002F1969">
        <w:rPr>
          <w:rFonts w:ascii="Times New Roman" w:hAnsi="Times New Roman"/>
          <w:sz w:val="28"/>
          <w:szCs w:val="24"/>
          <w:lang w:eastAsia="ru-RU"/>
        </w:rPr>
        <w:t>проведение ярмарок, конкурсов, выставок-продаж;</w:t>
      </w:r>
    </w:p>
    <w:p w:rsidR="002D1E45" w:rsidRPr="002F1969" w:rsidRDefault="002D1E45" w:rsidP="00D05D06">
      <w:pPr>
        <w:numPr>
          <w:ilvl w:val="0"/>
          <w:numId w:val="57"/>
        </w:numPr>
        <w:spacing w:after="0" w:line="240" w:lineRule="auto"/>
        <w:contextualSpacing/>
        <w:jc w:val="both"/>
        <w:rPr>
          <w:rFonts w:ascii="Times New Roman" w:hAnsi="Times New Roman"/>
          <w:sz w:val="28"/>
          <w:szCs w:val="24"/>
          <w:lang w:eastAsia="ru-RU"/>
        </w:rPr>
      </w:pPr>
      <w:r w:rsidRPr="00B35471">
        <w:rPr>
          <w:rFonts w:ascii="Times New Roman" w:hAnsi="Times New Roman"/>
          <w:sz w:val="28"/>
          <w:szCs w:val="24"/>
          <w:lang w:eastAsia="ru-RU"/>
        </w:rPr>
        <w:t xml:space="preserve">актуализация </w:t>
      </w:r>
      <w:r w:rsidRPr="002F1969">
        <w:rPr>
          <w:rFonts w:ascii="Times New Roman" w:hAnsi="Times New Roman"/>
          <w:sz w:val="28"/>
          <w:szCs w:val="24"/>
          <w:lang w:eastAsia="ru-RU"/>
        </w:rPr>
        <w:t>схемы размещения нестационарных торговых объектов на</w:t>
      </w:r>
      <w:r>
        <w:rPr>
          <w:rFonts w:ascii="Times New Roman" w:hAnsi="Times New Roman"/>
          <w:sz w:val="28"/>
          <w:szCs w:val="24"/>
          <w:lang w:eastAsia="ru-RU"/>
        </w:rPr>
        <w:t> </w:t>
      </w:r>
      <w:r w:rsidRPr="002F1969">
        <w:rPr>
          <w:rFonts w:ascii="Times New Roman" w:hAnsi="Times New Roman"/>
          <w:sz w:val="28"/>
          <w:szCs w:val="24"/>
          <w:lang w:eastAsia="ru-RU"/>
        </w:rPr>
        <w:t xml:space="preserve">территории </w:t>
      </w:r>
      <w:r>
        <w:rPr>
          <w:rFonts w:ascii="Times New Roman" w:hAnsi="Times New Roman"/>
          <w:sz w:val="28"/>
          <w:szCs w:val="24"/>
          <w:lang w:eastAsia="ru-RU"/>
        </w:rPr>
        <w:t>города</w:t>
      </w:r>
      <w:r w:rsidRPr="002F1969">
        <w:rPr>
          <w:rFonts w:ascii="Times New Roman" w:hAnsi="Times New Roman"/>
          <w:sz w:val="28"/>
          <w:szCs w:val="24"/>
          <w:lang w:eastAsia="ru-RU"/>
        </w:rPr>
        <w:t>;</w:t>
      </w:r>
    </w:p>
    <w:p w:rsidR="002D1E45" w:rsidRPr="002F1969" w:rsidRDefault="002D1E45" w:rsidP="00D05D06">
      <w:pPr>
        <w:numPr>
          <w:ilvl w:val="0"/>
          <w:numId w:val="57"/>
        </w:numPr>
        <w:spacing w:after="0" w:line="240" w:lineRule="auto"/>
        <w:contextualSpacing/>
        <w:jc w:val="both"/>
        <w:rPr>
          <w:rFonts w:ascii="Times New Roman" w:hAnsi="Times New Roman"/>
          <w:sz w:val="28"/>
          <w:szCs w:val="24"/>
          <w:lang w:eastAsia="ru-RU"/>
        </w:rPr>
      </w:pPr>
      <w:r w:rsidRPr="002F1969">
        <w:rPr>
          <w:rFonts w:ascii="Times New Roman" w:hAnsi="Times New Roman"/>
          <w:sz w:val="28"/>
          <w:szCs w:val="24"/>
          <w:lang w:eastAsia="ru-RU"/>
        </w:rPr>
        <w:t>организация работы по</w:t>
      </w:r>
      <w:r>
        <w:rPr>
          <w:rFonts w:ascii="Times New Roman" w:hAnsi="Times New Roman"/>
          <w:sz w:val="28"/>
          <w:szCs w:val="24"/>
          <w:lang w:eastAsia="ru-RU"/>
        </w:rPr>
        <w:t> </w:t>
      </w:r>
      <w:r w:rsidRPr="002F1969">
        <w:rPr>
          <w:rFonts w:ascii="Times New Roman" w:hAnsi="Times New Roman"/>
          <w:sz w:val="28"/>
          <w:szCs w:val="24"/>
          <w:lang w:eastAsia="ru-RU"/>
        </w:rPr>
        <w:t>размещению наружной рекламы и</w:t>
      </w:r>
      <w:r>
        <w:rPr>
          <w:rFonts w:ascii="Times New Roman" w:hAnsi="Times New Roman"/>
          <w:sz w:val="28"/>
          <w:szCs w:val="24"/>
          <w:lang w:eastAsia="ru-RU"/>
        </w:rPr>
        <w:t> </w:t>
      </w:r>
      <w:r w:rsidRPr="002F1969">
        <w:rPr>
          <w:rFonts w:ascii="Times New Roman" w:hAnsi="Times New Roman"/>
          <w:sz w:val="28"/>
          <w:szCs w:val="24"/>
          <w:lang w:eastAsia="ru-RU"/>
        </w:rPr>
        <w:t>информации, подготовка и</w:t>
      </w:r>
      <w:r>
        <w:rPr>
          <w:rFonts w:ascii="Times New Roman" w:hAnsi="Times New Roman"/>
          <w:sz w:val="28"/>
          <w:szCs w:val="24"/>
          <w:lang w:eastAsia="ru-RU"/>
        </w:rPr>
        <w:t> </w:t>
      </w:r>
      <w:r w:rsidRPr="002F1969">
        <w:rPr>
          <w:rFonts w:ascii="Times New Roman" w:hAnsi="Times New Roman"/>
          <w:sz w:val="28"/>
          <w:szCs w:val="24"/>
          <w:lang w:eastAsia="ru-RU"/>
        </w:rPr>
        <w:t>выдача разрешения на</w:t>
      </w:r>
      <w:r>
        <w:rPr>
          <w:rFonts w:ascii="Times New Roman" w:hAnsi="Times New Roman"/>
          <w:sz w:val="28"/>
          <w:szCs w:val="24"/>
          <w:lang w:eastAsia="ru-RU"/>
        </w:rPr>
        <w:t> </w:t>
      </w:r>
      <w:r w:rsidRPr="002F1969">
        <w:rPr>
          <w:rFonts w:ascii="Times New Roman" w:hAnsi="Times New Roman"/>
          <w:sz w:val="28"/>
          <w:szCs w:val="24"/>
          <w:lang w:eastAsia="ru-RU"/>
        </w:rPr>
        <w:t>установку рекламных конструкций.</w:t>
      </w:r>
    </w:p>
    <w:p w:rsidR="002D1E45" w:rsidRDefault="002D1E45" w:rsidP="00DD7431">
      <w:pPr>
        <w:spacing w:after="0" w:line="240" w:lineRule="auto"/>
        <w:ind w:firstLine="709"/>
        <w:contextualSpacing/>
        <w:jc w:val="both"/>
        <w:rPr>
          <w:rFonts w:ascii="Times New Roman" w:hAnsi="Times New Roman"/>
          <w:sz w:val="28"/>
          <w:szCs w:val="24"/>
        </w:rPr>
      </w:pPr>
      <w:r w:rsidRPr="002F1969">
        <w:rPr>
          <w:rFonts w:ascii="Times New Roman" w:hAnsi="Times New Roman"/>
          <w:sz w:val="28"/>
          <w:szCs w:val="24"/>
          <w:lang w:eastAsia="ru-RU"/>
        </w:rPr>
        <w:t>Экономический эффект от</w:t>
      </w:r>
      <w:r>
        <w:rPr>
          <w:rFonts w:ascii="Times New Roman" w:hAnsi="Times New Roman"/>
          <w:sz w:val="28"/>
          <w:szCs w:val="24"/>
          <w:lang w:eastAsia="ru-RU"/>
        </w:rPr>
        <w:t> </w:t>
      </w:r>
      <w:r w:rsidRPr="002F1969">
        <w:rPr>
          <w:rFonts w:ascii="Times New Roman" w:hAnsi="Times New Roman"/>
          <w:sz w:val="28"/>
          <w:szCs w:val="24"/>
          <w:lang w:eastAsia="ru-RU"/>
        </w:rPr>
        <w:t>деятельности малого и</w:t>
      </w:r>
      <w:r>
        <w:rPr>
          <w:rFonts w:ascii="Times New Roman" w:hAnsi="Times New Roman"/>
          <w:sz w:val="28"/>
          <w:szCs w:val="24"/>
          <w:lang w:eastAsia="ru-RU"/>
        </w:rPr>
        <w:t> </w:t>
      </w:r>
      <w:r w:rsidRPr="002F1969">
        <w:rPr>
          <w:rFonts w:ascii="Times New Roman" w:hAnsi="Times New Roman"/>
          <w:sz w:val="28"/>
          <w:szCs w:val="24"/>
          <w:lang w:eastAsia="ru-RU"/>
        </w:rPr>
        <w:t>среднего бизнеса оценивается с</w:t>
      </w:r>
      <w:r>
        <w:rPr>
          <w:rFonts w:ascii="Times New Roman" w:hAnsi="Times New Roman"/>
          <w:sz w:val="28"/>
          <w:szCs w:val="24"/>
          <w:lang w:eastAsia="ru-RU"/>
        </w:rPr>
        <w:t> </w:t>
      </w:r>
      <w:r w:rsidRPr="002F1969">
        <w:rPr>
          <w:rFonts w:ascii="Times New Roman" w:hAnsi="Times New Roman"/>
          <w:sz w:val="28"/>
          <w:szCs w:val="24"/>
          <w:lang w:eastAsia="ru-RU"/>
        </w:rPr>
        <w:t>точки зрения вклада в</w:t>
      </w:r>
      <w:r>
        <w:rPr>
          <w:rFonts w:ascii="Times New Roman" w:hAnsi="Times New Roman"/>
          <w:sz w:val="28"/>
          <w:szCs w:val="24"/>
          <w:lang w:eastAsia="ru-RU"/>
        </w:rPr>
        <w:t> </w:t>
      </w:r>
      <w:r w:rsidRPr="002F1969">
        <w:rPr>
          <w:rFonts w:ascii="Times New Roman" w:hAnsi="Times New Roman"/>
          <w:sz w:val="28"/>
          <w:szCs w:val="24"/>
          <w:lang w:eastAsia="ru-RU"/>
        </w:rPr>
        <w:t>валовой продукт и</w:t>
      </w:r>
      <w:r>
        <w:rPr>
          <w:rFonts w:ascii="Times New Roman" w:hAnsi="Times New Roman"/>
          <w:sz w:val="28"/>
          <w:szCs w:val="24"/>
          <w:lang w:eastAsia="ru-RU"/>
        </w:rPr>
        <w:t> </w:t>
      </w:r>
      <w:r w:rsidRPr="002F1969">
        <w:rPr>
          <w:rFonts w:ascii="Times New Roman" w:hAnsi="Times New Roman"/>
          <w:sz w:val="28"/>
          <w:szCs w:val="24"/>
          <w:lang w:eastAsia="ru-RU"/>
        </w:rPr>
        <w:t>увеличения уплаченных субъектами малого и</w:t>
      </w:r>
      <w:r>
        <w:rPr>
          <w:rFonts w:ascii="Times New Roman" w:hAnsi="Times New Roman"/>
          <w:sz w:val="28"/>
          <w:szCs w:val="24"/>
          <w:lang w:eastAsia="ru-RU"/>
        </w:rPr>
        <w:t> </w:t>
      </w:r>
      <w:r w:rsidRPr="002F1969">
        <w:rPr>
          <w:rFonts w:ascii="Times New Roman" w:hAnsi="Times New Roman"/>
          <w:sz w:val="28"/>
          <w:szCs w:val="24"/>
          <w:lang w:eastAsia="ru-RU"/>
        </w:rPr>
        <w:t>среднего предпринимательства налогов в</w:t>
      </w:r>
      <w:r>
        <w:rPr>
          <w:rFonts w:ascii="Times New Roman" w:hAnsi="Times New Roman"/>
          <w:sz w:val="28"/>
          <w:szCs w:val="24"/>
          <w:lang w:eastAsia="ru-RU"/>
        </w:rPr>
        <w:t> </w:t>
      </w:r>
      <w:r w:rsidRPr="002F1969">
        <w:rPr>
          <w:rFonts w:ascii="Times New Roman" w:hAnsi="Times New Roman"/>
          <w:sz w:val="28"/>
          <w:szCs w:val="24"/>
          <w:lang w:eastAsia="ru-RU"/>
        </w:rPr>
        <w:t>местные бюджеты.</w:t>
      </w:r>
      <w:r w:rsidRPr="002B5CDE">
        <w:rPr>
          <w:rFonts w:ascii="Times New Roman" w:hAnsi="Times New Roman"/>
          <w:sz w:val="28"/>
          <w:szCs w:val="24"/>
        </w:rPr>
        <w:t xml:space="preserve"> </w:t>
      </w:r>
    </w:p>
    <w:p w:rsidR="002D1E45" w:rsidRDefault="002D1E45" w:rsidP="00DD7431">
      <w:pPr>
        <w:spacing w:after="0" w:line="240" w:lineRule="auto"/>
        <w:ind w:firstLine="709"/>
        <w:contextualSpacing/>
        <w:jc w:val="both"/>
        <w:rPr>
          <w:rFonts w:ascii="Times New Roman" w:hAnsi="Times New Roman"/>
          <w:sz w:val="28"/>
          <w:szCs w:val="24"/>
        </w:rPr>
      </w:pPr>
    </w:p>
    <w:p w:rsidR="002D1E45" w:rsidRPr="00816398" w:rsidRDefault="002D1E45" w:rsidP="00852938">
      <w:pPr>
        <w:pStyle w:val="Heading2"/>
        <w:numPr>
          <w:ilvl w:val="1"/>
          <w:numId w:val="65"/>
        </w:numPr>
        <w:spacing w:before="240"/>
        <w:ind w:left="993" w:hanging="633"/>
        <w:jc w:val="both"/>
        <w:rPr>
          <w:b/>
        </w:rPr>
      </w:pPr>
      <w:bookmarkStart w:id="136" w:name="_Toc84936022"/>
      <w:r w:rsidRPr="00816398">
        <w:rPr>
          <w:b/>
        </w:rPr>
        <w:t xml:space="preserve">Пространственно-планировочная организация территории </w:t>
      </w:r>
      <w:r>
        <w:rPr>
          <w:b/>
        </w:rPr>
        <w:t>города</w:t>
      </w:r>
      <w:bookmarkEnd w:id="136"/>
    </w:p>
    <w:p w:rsidR="002D1E45" w:rsidRDefault="002D1E45" w:rsidP="00DD7431">
      <w:pPr>
        <w:spacing w:after="0" w:line="240" w:lineRule="auto"/>
        <w:ind w:firstLine="709"/>
        <w:contextualSpacing/>
        <w:jc w:val="both"/>
        <w:rPr>
          <w:rFonts w:ascii="Times New Roman" w:hAnsi="Times New Roman"/>
          <w:sz w:val="28"/>
          <w:szCs w:val="24"/>
        </w:rPr>
      </w:pPr>
    </w:p>
    <w:p w:rsidR="002D1E45" w:rsidRPr="007722DE" w:rsidRDefault="002D1E45" w:rsidP="007722DE">
      <w:pPr>
        <w:spacing w:after="0" w:line="240" w:lineRule="auto"/>
        <w:ind w:firstLine="709"/>
        <w:contextualSpacing/>
        <w:jc w:val="both"/>
        <w:rPr>
          <w:rFonts w:ascii="Times New Roman" w:hAnsi="Times New Roman"/>
          <w:sz w:val="28"/>
          <w:szCs w:val="24"/>
        </w:rPr>
      </w:pPr>
      <w:r w:rsidRPr="007722DE">
        <w:rPr>
          <w:rFonts w:ascii="Times New Roman" w:hAnsi="Times New Roman"/>
          <w:sz w:val="28"/>
          <w:szCs w:val="24"/>
        </w:rPr>
        <w:t>Центр города формируется на месте исторического возникновения города. В застройке центра расположен ряд памятников архитектуры и истории, стоящих на государственной охране.</w:t>
      </w:r>
    </w:p>
    <w:p w:rsidR="002D1E45" w:rsidRPr="007722DE" w:rsidRDefault="002D1E45" w:rsidP="007722DE">
      <w:pPr>
        <w:spacing w:after="0" w:line="240" w:lineRule="auto"/>
        <w:ind w:firstLine="709"/>
        <w:contextualSpacing/>
        <w:jc w:val="both"/>
        <w:rPr>
          <w:rFonts w:ascii="Times New Roman" w:hAnsi="Times New Roman"/>
          <w:sz w:val="28"/>
          <w:szCs w:val="24"/>
        </w:rPr>
      </w:pPr>
      <w:r w:rsidRPr="007722DE">
        <w:rPr>
          <w:rFonts w:ascii="Times New Roman" w:hAnsi="Times New Roman"/>
          <w:sz w:val="28"/>
          <w:szCs w:val="24"/>
        </w:rPr>
        <w:t xml:space="preserve">Сохраняются и другие здания, построенные в </w:t>
      </w:r>
      <w:r w:rsidRPr="007722DE">
        <w:rPr>
          <w:rFonts w:ascii="Times New Roman" w:hAnsi="Times New Roman"/>
          <w:sz w:val="28"/>
          <w:szCs w:val="24"/>
          <w:lang w:val="en-US"/>
        </w:rPr>
        <w:t>XIX</w:t>
      </w:r>
      <w:r w:rsidRPr="007722DE">
        <w:rPr>
          <w:rFonts w:ascii="Times New Roman" w:hAnsi="Times New Roman"/>
          <w:sz w:val="28"/>
          <w:szCs w:val="24"/>
        </w:rPr>
        <w:t xml:space="preserve"> в., начале </w:t>
      </w:r>
      <w:r w:rsidRPr="007722DE">
        <w:rPr>
          <w:rFonts w:ascii="Times New Roman" w:hAnsi="Times New Roman"/>
          <w:sz w:val="28"/>
          <w:szCs w:val="24"/>
          <w:lang w:val="en-US"/>
        </w:rPr>
        <w:t>XX</w:t>
      </w:r>
      <w:r w:rsidRPr="007722DE">
        <w:rPr>
          <w:rFonts w:ascii="Times New Roman" w:hAnsi="Times New Roman"/>
          <w:sz w:val="28"/>
          <w:szCs w:val="24"/>
        </w:rPr>
        <w:t xml:space="preserve"> и ценные в историко-культурном отношении, а также рядовая застройка, являющаяся исторической средой для памятников истории и архитектуры.</w:t>
      </w:r>
    </w:p>
    <w:p w:rsidR="002D1E45" w:rsidRPr="007722DE" w:rsidRDefault="002D1E45" w:rsidP="007722DE">
      <w:pPr>
        <w:spacing w:after="0" w:line="240" w:lineRule="auto"/>
        <w:ind w:firstLine="709"/>
        <w:contextualSpacing/>
        <w:jc w:val="both"/>
        <w:rPr>
          <w:rFonts w:ascii="Times New Roman" w:hAnsi="Times New Roman"/>
          <w:sz w:val="28"/>
          <w:szCs w:val="24"/>
        </w:rPr>
      </w:pPr>
      <w:r w:rsidRPr="007722DE">
        <w:rPr>
          <w:rFonts w:ascii="Times New Roman" w:hAnsi="Times New Roman"/>
          <w:sz w:val="28"/>
          <w:szCs w:val="24"/>
        </w:rPr>
        <w:t>Более подробные данные о памятниках истории и архитектуры приводятся в разделе 3.6 данной главы по материалам «Проекта зон охраны и зон регулирования застройки недвижимого историко-культурного наследия исторического центра г. Куйбышева НСО (разработан ПТМ «АРСИБ» и НПЦ по сохранению историко-культурного наследия при Администрации НСО, 1994 г., утверждён Распоряжением Администрации НСО № 586-р от 16.08.95 г.)». В этой же части города размещаются комплекс районной и детской больницы, ряд специальных учебных заведений: филиал Новосибирского государственного педагогического университета, техникумы, профтехучилища.</w:t>
      </w:r>
    </w:p>
    <w:p w:rsidR="002D1E45" w:rsidRPr="007722DE" w:rsidRDefault="002D1E45" w:rsidP="007722DE">
      <w:pPr>
        <w:spacing w:after="0" w:line="240" w:lineRule="auto"/>
        <w:ind w:firstLine="709"/>
        <w:contextualSpacing/>
        <w:jc w:val="both"/>
        <w:rPr>
          <w:rFonts w:ascii="Times New Roman" w:hAnsi="Times New Roman"/>
          <w:sz w:val="28"/>
          <w:szCs w:val="24"/>
        </w:rPr>
      </w:pPr>
      <w:r w:rsidRPr="007722DE">
        <w:rPr>
          <w:rFonts w:ascii="Times New Roman" w:hAnsi="Times New Roman"/>
          <w:sz w:val="28"/>
          <w:szCs w:val="24"/>
        </w:rPr>
        <w:t>К озеленению общего пользования относятся скверы у здания городской администрации, у здания спорткомплекса «Олимп», у Дома культуры им.</w:t>
      </w:r>
      <w:r>
        <w:rPr>
          <w:rFonts w:ascii="Times New Roman" w:hAnsi="Times New Roman"/>
          <w:sz w:val="28"/>
          <w:szCs w:val="24"/>
        </w:rPr>
        <w:t xml:space="preserve"> </w:t>
      </w:r>
      <w:r w:rsidRPr="007722DE">
        <w:rPr>
          <w:rFonts w:ascii="Times New Roman" w:hAnsi="Times New Roman"/>
          <w:sz w:val="28"/>
          <w:szCs w:val="24"/>
        </w:rPr>
        <w:t>В.В.</w:t>
      </w:r>
      <w:r>
        <w:rPr>
          <w:rFonts w:ascii="Times New Roman" w:hAnsi="Times New Roman"/>
          <w:sz w:val="28"/>
          <w:szCs w:val="24"/>
        </w:rPr>
        <w:t> </w:t>
      </w:r>
      <w:r w:rsidRPr="007722DE">
        <w:rPr>
          <w:rFonts w:ascii="Times New Roman" w:hAnsi="Times New Roman"/>
          <w:sz w:val="28"/>
          <w:szCs w:val="24"/>
        </w:rPr>
        <w:t xml:space="preserve">Куйбышева, сквер перед кинотеатром «Комета», сквер на пересечении улицы Краскома и Куйбышева, парк «Улыбка» по ул. Ленина. </w:t>
      </w:r>
    </w:p>
    <w:p w:rsidR="002D1E45" w:rsidRPr="007722DE" w:rsidRDefault="002D1E45" w:rsidP="007722DE">
      <w:pPr>
        <w:spacing w:after="0" w:line="240" w:lineRule="auto"/>
        <w:ind w:firstLine="709"/>
        <w:contextualSpacing/>
        <w:jc w:val="both"/>
        <w:rPr>
          <w:rFonts w:ascii="Times New Roman" w:hAnsi="Times New Roman"/>
          <w:sz w:val="28"/>
          <w:szCs w:val="24"/>
        </w:rPr>
      </w:pPr>
      <w:r w:rsidRPr="007722DE">
        <w:rPr>
          <w:rFonts w:ascii="Times New Roman" w:hAnsi="Times New Roman"/>
          <w:sz w:val="28"/>
          <w:szCs w:val="24"/>
        </w:rPr>
        <w:t>Важным природным и градостроительным фактором является озеленение прибрежной зоны р.</w:t>
      </w:r>
      <w:r>
        <w:rPr>
          <w:rFonts w:ascii="Times New Roman" w:hAnsi="Times New Roman"/>
          <w:sz w:val="28"/>
          <w:szCs w:val="24"/>
        </w:rPr>
        <w:t xml:space="preserve"> </w:t>
      </w:r>
      <w:r w:rsidRPr="007722DE">
        <w:rPr>
          <w:rFonts w:ascii="Times New Roman" w:hAnsi="Times New Roman"/>
          <w:sz w:val="28"/>
          <w:szCs w:val="24"/>
        </w:rPr>
        <w:t xml:space="preserve">Оми, при развитии которого в перспективе можно получить основной объединяющий элемент озеленения города Куйбышева. </w:t>
      </w:r>
    </w:p>
    <w:p w:rsidR="002D1E45" w:rsidRDefault="002D1E45" w:rsidP="007722DE">
      <w:pPr>
        <w:spacing w:after="0" w:line="240" w:lineRule="auto"/>
        <w:ind w:firstLine="709"/>
        <w:contextualSpacing/>
        <w:jc w:val="both"/>
        <w:rPr>
          <w:rFonts w:ascii="Times New Roman" w:hAnsi="Times New Roman"/>
          <w:sz w:val="28"/>
          <w:szCs w:val="24"/>
        </w:rPr>
      </w:pPr>
      <w:r w:rsidRPr="007722DE">
        <w:rPr>
          <w:rFonts w:ascii="Times New Roman" w:hAnsi="Times New Roman"/>
          <w:sz w:val="28"/>
          <w:szCs w:val="24"/>
        </w:rPr>
        <w:t>Существующая сеть улиц и дорог в целом также близка к прямоугольной, но е</w:t>
      </w:r>
      <w:r>
        <w:rPr>
          <w:rFonts w:ascii="Times New Roman" w:hAnsi="Times New Roman"/>
          <w:sz w:val="28"/>
          <w:szCs w:val="24"/>
        </w:rPr>
        <w:t>ё</w:t>
      </w:r>
      <w:r w:rsidRPr="007722DE">
        <w:rPr>
          <w:rFonts w:ascii="Times New Roman" w:hAnsi="Times New Roman"/>
          <w:sz w:val="28"/>
          <w:szCs w:val="24"/>
        </w:rPr>
        <w:t xml:space="preserve"> нельзя отнести ни к одной классической геометрической схеме. Многие улицы и дороги имеют в плане ломаное начертание из-за наличия ряда естественных преград, к которым, в первую очередь, относятся извилистая р.</w:t>
      </w:r>
      <w:r>
        <w:rPr>
          <w:rFonts w:ascii="Times New Roman" w:hAnsi="Times New Roman"/>
          <w:sz w:val="28"/>
          <w:szCs w:val="24"/>
        </w:rPr>
        <w:t xml:space="preserve"> </w:t>
      </w:r>
      <w:r w:rsidRPr="007722DE">
        <w:rPr>
          <w:rFonts w:ascii="Times New Roman" w:hAnsi="Times New Roman"/>
          <w:sz w:val="28"/>
          <w:szCs w:val="24"/>
        </w:rPr>
        <w:t>Омь со старицами, озера, болотистые и затапливаемые участки.</w:t>
      </w:r>
    </w:p>
    <w:p w:rsidR="002D1E45" w:rsidRDefault="002D1E45" w:rsidP="005376AC">
      <w:pPr>
        <w:spacing w:after="0" w:line="240" w:lineRule="auto"/>
        <w:ind w:firstLine="709"/>
        <w:contextualSpacing/>
        <w:jc w:val="both"/>
        <w:rPr>
          <w:rFonts w:ascii="Times New Roman" w:hAnsi="Times New Roman"/>
          <w:sz w:val="28"/>
          <w:szCs w:val="24"/>
        </w:rPr>
      </w:pPr>
    </w:p>
    <w:p w:rsidR="002D1E45" w:rsidRPr="00FF5C6E" w:rsidRDefault="002D1E45" w:rsidP="00D05D06">
      <w:pPr>
        <w:pStyle w:val="Heading1"/>
        <w:numPr>
          <w:ilvl w:val="0"/>
          <w:numId w:val="65"/>
        </w:numPr>
        <w:spacing w:line="240" w:lineRule="auto"/>
        <w:rPr>
          <w:b/>
          <w:sz w:val="32"/>
        </w:rPr>
      </w:pPr>
      <w:bookmarkStart w:id="137" w:name="_Toc84936023"/>
      <w:r w:rsidRPr="00FF5C6E">
        <w:rPr>
          <w:b/>
          <w:sz w:val="32"/>
        </w:rPr>
        <w:t>Функциональное зонирование территории</w:t>
      </w:r>
      <w:bookmarkEnd w:id="137"/>
    </w:p>
    <w:p w:rsidR="002D1E45" w:rsidRPr="00B87C05" w:rsidRDefault="002D1E45" w:rsidP="00852938">
      <w:pPr>
        <w:pStyle w:val="Heading2"/>
        <w:numPr>
          <w:ilvl w:val="1"/>
          <w:numId w:val="65"/>
        </w:numPr>
        <w:spacing w:before="240"/>
        <w:ind w:left="993" w:hanging="633"/>
        <w:jc w:val="both"/>
        <w:rPr>
          <w:b/>
        </w:rPr>
      </w:pPr>
      <w:bookmarkStart w:id="138" w:name="_Toc84936024"/>
      <w:r w:rsidRPr="00B87C05">
        <w:rPr>
          <w:b/>
        </w:rPr>
        <w:t>Жилая зона</w:t>
      </w:r>
      <w:bookmarkEnd w:id="138"/>
    </w:p>
    <w:p w:rsidR="002D1E45" w:rsidRDefault="002D1E45" w:rsidP="0060215F">
      <w:pPr>
        <w:spacing w:after="0" w:line="240" w:lineRule="auto"/>
        <w:ind w:firstLine="709"/>
        <w:contextualSpacing/>
        <w:jc w:val="both"/>
        <w:rPr>
          <w:rFonts w:ascii="Times New Roman" w:hAnsi="Times New Roman"/>
          <w:sz w:val="28"/>
          <w:szCs w:val="24"/>
        </w:rPr>
      </w:pPr>
    </w:p>
    <w:p w:rsidR="002D1E45" w:rsidRDefault="002D1E45" w:rsidP="0060215F">
      <w:pPr>
        <w:spacing w:after="0" w:line="240" w:lineRule="auto"/>
        <w:ind w:firstLine="709"/>
        <w:contextualSpacing/>
        <w:jc w:val="both"/>
        <w:rPr>
          <w:rFonts w:ascii="Times New Roman" w:hAnsi="Times New Roman"/>
          <w:sz w:val="28"/>
          <w:szCs w:val="24"/>
        </w:rPr>
      </w:pPr>
      <w:r w:rsidRPr="00650D4F">
        <w:rPr>
          <w:rFonts w:ascii="Times New Roman" w:hAnsi="Times New Roman"/>
          <w:sz w:val="28"/>
          <w:szCs w:val="24"/>
        </w:rPr>
        <w:t>Жилые зоны предназначены для размещения жилой застройки разных типов, а</w:t>
      </w:r>
      <w:r>
        <w:rPr>
          <w:rFonts w:ascii="Times New Roman" w:hAnsi="Times New Roman"/>
          <w:sz w:val="28"/>
          <w:szCs w:val="24"/>
        </w:rPr>
        <w:t> </w:t>
      </w:r>
      <w:r w:rsidRPr="00650D4F">
        <w:rPr>
          <w:rFonts w:ascii="Times New Roman" w:hAnsi="Times New Roman"/>
          <w:sz w:val="28"/>
          <w:szCs w:val="24"/>
        </w:rPr>
        <w:t>также отдельно стоящих, встроенных или пристроенных объектов социального и</w:t>
      </w:r>
      <w:r>
        <w:rPr>
          <w:rFonts w:ascii="Times New Roman" w:hAnsi="Times New Roman"/>
          <w:sz w:val="28"/>
          <w:szCs w:val="24"/>
        </w:rPr>
        <w:t> </w:t>
      </w:r>
      <w:r w:rsidRPr="00650D4F">
        <w:rPr>
          <w:rFonts w:ascii="Times New Roman" w:hAnsi="Times New Roman"/>
          <w:sz w:val="28"/>
          <w:szCs w:val="24"/>
        </w:rPr>
        <w:t>культурно-бытового обслуживания населения, культовых объектов, стоянок автомобильного транспорта, промышленных, коммунальных и</w:t>
      </w:r>
      <w:r>
        <w:rPr>
          <w:rFonts w:ascii="Times New Roman" w:hAnsi="Times New Roman"/>
          <w:sz w:val="28"/>
          <w:szCs w:val="24"/>
        </w:rPr>
        <w:t> </w:t>
      </w:r>
      <w:r w:rsidRPr="00650D4F">
        <w:rPr>
          <w:rFonts w:ascii="Times New Roman" w:hAnsi="Times New Roman"/>
          <w:sz w:val="28"/>
          <w:szCs w:val="24"/>
        </w:rPr>
        <w:t>складских объектов, для которых не</w:t>
      </w:r>
      <w:r>
        <w:rPr>
          <w:rFonts w:ascii="Times New Roman" w:hAnsi="Times New Roman"/>
          <w:sz w:val="28"/>
          <w:szCs w:val="24"/>
        </w:rPr>
        <w:t> </w:t>
      </w:r>
      <w:r w:rsidRPr="00650D4F">
        <w:rPr>
          <w:rFonts w:ascii="Times New Roman" w:hAnsi="Times New Roman"/>
          <w:sz w:val="28"/>
          <w:szCs w:val="24"/>
        </w:rPr>
        <w:t>требуется установление санитарно-защитных зон и</w:t>
      </w:r>
      <w:r>
        <w:rPr>
          <w:rFonts w:ascii="Times New Roman" w:hAnsi="Times New Roman"/>
          <w:sz w:val="28"/>
          <w:szCs w:val="24"/>
        </w:rPr>
        <w:t> </w:t>
      </w:r>
      <w:r w:rsidRPr="00650D4F">
        <w:rPr>
          <w:rFonts w:ascii="Times New Roman" w:hAnsi="Times New Roman"/>
          <w:sz w:val="28"/>
          <w:szCs w:val="24"/>
        </w:rPr>
        <w:t>деятельность которых не</w:t>
      </w:r>
      <w:r>
        <w:rPr>
          <w:rFonts w:ascii="Times New Roman" w:hAnsi="Times New Roman"/>
          <w:sz w:val="28"/>
          <w:szCs w:val="24"/>
        </w:rPr>
        <w:t> </w:t>
      </w:r>
      <w:r w:rsidRPr="00650D4F">
        <w:rPr>
          <w:rFonts w:ascii="Times New Roman" w:hAnsi="Times New Roman"/>
          <w:sz w:val="28"/>
          <w:szCs w:val="24"/>
        </w:rPr>
        <w:t>оказывает вредное воздействие на</w:t>
      </w:r>
      <w:r>
        <w:rPr>
          <w:rFonts w:ascii="Times New Roman" w:hAnsi="Times New Roman"/>
          <w:sz w:val="28"/>
          <w:szCs w:val="24"/>
        </w:rPr>
        <w:t> </w:t>
      </w:r>
      <w:r w:rsidRPr="00650D4F">
        <w:rPr>
          <w:rFonts w:ascii="Times New Roman" w:hAnsi="Times New Roman"/>
          <w:sz w:val="28"/>
          <w:szCs w:val="24"/>
        </w:rPr>
        <w:t>окружающую среду.</w:t>
      </w:r>
    </w:p>
    <w:p w:rsidR="002D1E45" w:rsidRPr="00A04E5B" w:rsidRDefault="002D1E45" w:rsidP="00A04E5B">
      <w:pPr>
        <w:spacing w:after="0" w:line="240" w:lineRule="auto"/>
        <w:ind w:firstLine="709"/>
        <w:contextualSpacing/>
        <w:jc w:val="both"/>
        <w:rPr>
          <w:rFonts w:ascii="Times New Roman" w:hAnsi="Times New Roman"/>
          <w:sz w:val="28"/>
          <w:szCs w:val="24"/>
        </w:rPr>
      </w:pPr>
      <w:r w:rsidRPr="00A04E5B">
        <w:rPr>
          <w:rFonts w:ascii="Times New Roman" w:hAnsi="Times New Roman"/>
          <w:sz w:val="28"/>
          <w:szCs w:val="24"/>
        </w:rPr>
        <w:t>Жилищный фонд муниципального образования представлен индивидуальной</w:t>
      </w:r>
      <w:r>
        <w:rPr>
          <w:rFonts w:ascii="Times New Roman" w:hAnsi="Times New Roman"/>
          <w:sz w:val="28"/>
          <w:szCs w:val="24"/>
        </w:rPr>
        <w:t xml:space="preserve">, </w:t>
      </w:r>
      <w:r w:rsidRPr="00F41130">
        <w:rPr>
          <w:rFonts w:ascii="Times New Roman" w:hAnsi="Times New Roman"/>
          <w:sz w:val="28"/>
          <w:szCs w:val="24"/>
        </w:rPr>
        <w:t>мало- и многоэтажной жилой застройкой.</w:t>
      </w:r>
    </w:p>
    <w:p w:rsidR="002D1E45" w:rsidRDefault="002D1E45" w:rsidP="00C85290">
      <w:pPr>
        <w:spacing w:after="0" w:line="240" w:lineRule="auto"/>
        <w:ind w:firstLine="709"/>
        <w:contextualSpacing/>
        <w:jc w:val="both"/>
        <w:rPr>
          <w:rFonts w:ascii="Times New Roman" w:hAnsi="Times New Roman"/>
          <w:sz w:val="28"/>
          <w:szCs w:val="24"/>
        </w:rPr>
      </w:pPr>
      <w:r>
        <w:rPr>
          <w:rFonts w:ascii="Times New Roman" w:hAnsi="Times New Roman"/>
          <w:sz w:val="28"/>
          <w:szCs w:val="24"/>
        </w:rPr>
        <w:t>По данным ФС ГС РФ, о</w:t>
      </w:r>
      <w:r w:rsidRPr="00A90F31">
        <w:rPr>
          <w:rFonts w:ascii="Times New Roman" w:hAnsi="Times New Roman"/>
          <w:sz w:val="28"/>
          <w:szCs w:val="24"/>
        </w:rPr>
        <w:t xml:space="preserve">бщая площадь жилых помещений </w:t>
      </w:r>
      <w:r>
        <w:rPr>
          <w:rFonts w:ascii="Times New Roman" w:hAnsi="Times New Roman"/>
          <w:sz w:val="28"/>
          <w:szCs w:val="24"/>
        </w:rPr>
        <w:t>в г. Куйбышеве на начало 2019</w:t>
      </w:r>
      <w:r w:rsidRPr="00A90F31">
        <w:rPr>
          <w:rFonts w:ascii="Times New Roman" w:hAnsi="Times New Roman"/>
          <w:sz w:val="28"/>
          <w:szCs w:val="24"/>
        </w:rPr>
        <w:t xml:space="preserve"> года составляла </w:t>
      </w:r>
      <w:r>
        <w:rPr>
          <w:rFonts w:ascii="Times New Roman" w:hAnsi="Times New Roman"/>
          <w:sz w:val="28"/>
          <w:szCs w:val="24"/>
        </w:rPr>
        <w:t>936 тыс. м</w:t>
      </w:r>
      <w:r>
        <w:rPr>
          <w:rFonts w:ascii="Times New Roman" w:hAnsi="Times New Roman"/>
          <w:sz w:val="28"/>
          <w:szCs w:val="24"/>
          <w:vertAlign w:val="superscript"/>
        </w:rPr>
        <w:t>2</w:t>
      </w:r>
      <w:r w:rsidRPr="00A90F31">
        <w:rPr>
          <w:rFonts w:ascii="Times New Roman" w:hAnsi="Times New Roman"/>
          <w:sz w:val="28"/>
          <w:szCs w:val="24"/>
        </w:rPr>
        <w:t>.</w:t>
      </w:r>
      <w:r w:rsidRPr="00C85290">
        <w:rPr>
          <w:rFonts w:ascii="Times New Roman" w:hAnsi="Times New Roman"/>
          <w:sz w:val="28"/>
          <w:szCs w:val="24"/>
        </w:rPr>
        <w:t xml:space="preserve"> </w:t>
      </w:r>
      <w:r w:rsidRPr="00A90F31">
        <w:rPr>
          <w:rFonts w:ascii="Times New Roman" w:hAnsi="Times New Roman"/>
          <w:sz w:val="28"/>
          <w:szCs w:val="24"/>
        </w:rPr>
        <w:t xml:space="preserve">При численности населения </w:t>
      </w:r>
      <w:r>
        <w:rPr>
          <w:rFonts w:ascii="Times New Roman" w:hAnsi="Times New Roman"/>
          <w:sz w:val="28"/>
          <w:szCs w:val="24"/>
        </w:rPr>
        <w:t>г. Куйбышева</w:t>
      </w:r>
      <w:r w:rsidRPr="00A90F31">
        <w:rPr>
          <w:rFonts w:ascii="Times New Roman" w:hAnsi="Times New Roman"/>
          <w:sz w:val="28"/>
          <w:szCs w:val="24"/>
        </w:rPr>
        <w:t xml:space="preserve"> </w:t>
      </w:r>
      <w:r>
        <w:rPr>
          <w:rFonts w:ascii="Times New Roman" w:hAnsi="Times New Roman"/>
          <w:sz w:val="28"/>
          <w:szCs w:val="24"/>
        </w:rPr>
        <w:t xml:space="preserve">на этот год </w:t>
      </w:r>
      <w:r w:rsidRPr="00A90F31">
        <w:rPr>
          <w:rFonts w:ascii="Times New Roman" w:hAnsi="Times New Roman"/>
          <w:sz w:val="28"/>
          <w:szCs w:val="24"/>
        </w:rPr>
        <w:t>в</w:t>
      </w:r>
      <w:r>
        <w:rPr>
          <w:rFonts w:ascii="Times New Roman" w:hAnsi="Times New Roman"/>
          <w:sz w:val="28"/>
          <w:szCs w:val="24"/>
        </w:rPr>
        <w:t> </w:t>
      </w:r>
      <w:r w:rsidRPr="00A90F31">
        <w:rPr>
          <w:rFonts w:ascii="Times New Roman" w:hAnsi="Times New Roman"/>
          <w:sz w:val="28"/>
          <w:szCs w:val="24"/>
        </w:rPr>
        <w:t xml:space="preserve">количестве </w:t>
      </w:r>
      <w:r w:rsidRPr="00A71FF8">
        <w:rPr>
          <w:rFonts w:ascii="Times New Roman" w:hAnsi="Times New Roman"/>
          <w:sz w:val="28"/>
          <w:szCs w:val="24"/>
        </w:rPr>
        <w:t>43</w:t>
      </w:r>
      <w:r>
        <w:rPr>
          <w:rFonts w:ascii="Times New Roman" w:hAnsi="Times New Roman"/>
          <w:sz w:val="28"/>
          <w:szCs w:val="24"/>
        </w:rPr>
        <w:t> 79</w:t>
      </w:r>
      <w:r w:rsidRPr="00A71FF8">
        <w:rPr>
          <w:rFonts w:ascii="Times New Roman" w:hAnsi="Times New Roman"/>
          <w:sz w:val="28"/>
          <w:szCs w:val="24"/>
        </w:rPr>
        <w:t xml:space="preserve">6 </w:t>
      </w:r>
      <w:r w:rsidRPr="00A90F31">
        <w:rPr>
          <w:rFonts w:ascii="Times New Roman" w:hAnsi="Times New Roman"/>
          <w:sz w:val="28"/>
          <w:szCs w:val="24"/>
        </w:rPr>
        <w:t xml:space="preserve">человек, размер средней жилищной обеспеченности </w:t>
      </w:r>
      <w:r>
        <w:rPr>
          <w:rFonts w:ascii="Times New Roman" w:hAnsi="Times New Roman"/>
          <w:sz w:val="28"/>
          <w:szCs w:val="24"/>
        </w:rPr>
        <w:t xml:space="preserve">составлял </w:t>
      </w:r>
      <w:r w:rsidRPr="00A90F31">
        <w:rPr>
          <w:rFonts w:ascii="Times New Roman" w:hAnsi="Times New Roman"/>
          <w:sz w:val="28"/>
          <w:szCs w:val="24"/>
        </w:rPr>
        <w:t xml:space="preserve">– </w:t>
      </w:r>
      <w:r>
        <w:rPr>
          <w:rFonts w:ascii="Times New Roman" w:hAnsi="Times New Roman"/>
          <w:sz w:val="28"/>
          <w:szCs w:val="24"/>
        </w:rPr>
        <w:t>21,4</w:t>
      </w:r>
      <w:r w:rsidRPr="00A90F31">
        <w:rPr>
          <w:rFonts w:ascii="Times New Roman" w:hAnsi="Times New Roman"/>
          <w:sz w:val="28"/>
          <w:szCs w:val="24"/>
        </w:rPr>
        <w:t xml:space="preserve"> м</w:t>
      </w:r>
      <w:r>
        <w:rPr>
          <w:rFonts w:ascii="Times New Roman" w:hAnsi="Times New Roman"/>
          <w:sz w:val="28"/>
          <w:szCs w:val="24"/>
          <w:vertAlign w:val="superscript"/>
        </w:rPr>
        <w:t>2</w:t>
      </w:r>
      <w:r w:rsidRPr="00A90F31">
        <w:rPr>
          <w:rFonts w:ascii="Times New Roman" w:hAnsi="Times New Roman"/>
          <w:sz w:val="28"/>
          <w:szCs w:val="24"/>
        </w:rPr>
        <w:t xml:space="preserve"> общей площади жилых помещений на</w:t>
      </w:r>
      <w:r>
        <w:rPr>
          <w:rFonts w:ascii="Times New Roman" w:hAnsi="Times New Roman"/>
          <w:sz w:val="28"/>
          <w:szCs w:val="24"/>
        </w:rPr>
        <w:t> </w:t>
      </w:r>
      <w:r w:rsidRPr="00A90F31">
        <w:rPr>
          <w:rFonts w:ascii="Times New Roman" w:hAnsi="Times New Roman"/>
          <w:sz w:val="28"/>
          <w:szCs w:val="24"/>
        </w:rPr>
        <w:t>одного человека.</w:t>
      </w:r>
      <w:r>
        <w:rPr>
          <w:rFonts w:ascii="Times New Roman" w:hAnsi="Times New Roman"/>
          <w:sz w:val="28"/>
          <w:szCs w:val="24"/>
        </w:rPr>
        <w:t xml:space="preserve"> По данным </w:t>
      </w:r>
      <w:r w:rsidRPr="00A71FF8">
        <w:rPr>
          <w:rFonts w:ascii="Times New Roman" w:hAnsi="Times New Roman"/>
          <w:sz w:val="28"/>
          <w:szCs w:val="24"/>
        </w:rPr>
        <w:t>ГБУ НСО «ЦКО и БТИ»</w:t>
      </w:r>
      <w:r>
        <w:rPr>
          <w:rFonts w:ascii="Times New Roman" w:hAnsi="Times New Roman"/>
          <w:sz w:val="28"/>
          <w:szCs w:val="24"/>
        </w:rPr>
        <w:t xml:space="preserve">, на начало 2020 года жилой фонд в городе составляет </w:t>
      </w:r>
      <w:r w:rsidRPr="006420AF">
        <w:rPr>
          <w:rFonts w:ascii="Times New Roman" w:hAnsi="Times New Roman"/>
          <w:sz w:val="28"/>
          <w:szCs w:val="24"/>
        </w:rPr>
        <w:t>1</w:t>
      </w:r>
      <w:r>
        <w:rPr>
          <w:rFonts w:ascii="Times New Roman" w:hAnsi="Times New Roman"/>
          <w:sz w:val="28"/>
          <w:szCs w:val="24"/>
        </w:rPr>
        <w:t> </w:t>
      </w:r>
      <w:r w:rsidRPr="006420AF">
        <w:rPr>
          <w:rFonts w:ascii="Times New Roman" w:hAnsi="Times New Roman"/>
          <w:sz w:val="28"/>
          <w:szCs w:val="24"/>
        </w:rPr>
        <w:t>189</w:t>
      </w:r>
      <w:r>
        <w:rPr>
          <w:rFonts w:ascii="Times New Roman" w:hAnsi="Times New Roman"/>
          <w:sz w:val="28"/>
          <w:szCs w:val="24"/>
        </w:rPr>
        <w:t> </w:t>
      </w:r>
      <w:r w:rsidRPr="006420AF">
        <w:rPr>
          <w:rFonts w:ascii="Times New Roman" w:hAnsi="Times New Roman"/>
          <w:sz w:val="28"/>
          <w:szCs w:val="24"/>
        </w:rPr>
        <w:t xml:space="preserve">752,58 </w:t>
      </w:r>
      <w:r w:rsidRPr="00A90F31">
        <w:rPr>
          <w:rFonts w:ascii="Times New Roman" w:hAnsi="Times New Roman"/>
          <w:sz w:val="28"/>
          <w:szCs w:val="24"/>
        </w:rPr>
        <w:t>м</w:t>
      </w:r>
      <w:r>
        <w:rPr>
          <w:rFonts w:ascii="Times New Roman" w:hAnsi="Times New Roman"/>
          <w:sz w:val="28"/>
          <w:szCs w:val="24"/>
          <w:vertAlign w:val="superscript"/>
        </w:rPr>
        <w:t>2</w:t>
      </w:r>
      <w:r w:rsidRPr="006420AF">
        <w:rPr>
          <w:rFonts w:ascii="Times New Roman" w:hAnsi="Times New Roman"/>
          <w:sz w:val="28"/>
          <w:szCs w:val="24"/>
        </w:rPr>
        <w:t xml:space="preserve"> </w:t>
      </w:r>
      <w:r>
        <w:rPr>
          <w:rFonts w:ascii="Times New Roman" w:hAnsi="Times New Roman"/>
          <w:sz w:val="28"/>
          <w:szCs w:val="24"/>
        </w:rPr>
        <w:t xml:space="preserve">или 27,3 </w:t>
      </w:r>
      <w:r w:rsidRPr="00A90F31">
        <w:rPr>
          <w:rFonts w:ascii="Times New Roman" w:hAnsi="Times New Roman"/>
          <w:sz w:val="28"/>
          <w:szCs w:val="24"/>
        </w:rPr>
        <w:t>м</w:t>
      </w:r>
      <w:r>
        <w:rPr>
          <w:rFonts w:ascii="Times New Roman" w:hAnsi="Times New Roman"/>
          <w:sz w:val="28"/>
          <w:szCs w:val="24"/>
          <w:vertAlign w:val="superscript"/>
        </w:rPr>
        <w:t>2</w:t>
      </w:r>
      <w:r>
        <w:rPr>
          <w:rFonts w:ascii="Times New Roman" w:hAnsi="Times New Roman"/>
          <w:sz w:val="28"/>
          <w:szCs w:val="24"/>
        </w:rPr>
        <w:t xml:space="preserve">/человека. В связи с существенной разницей в исходных данных для целей генерального плана использованы данные ФС ГС РФ. </w:t>
      </w:r>
    </w:p>
    <w:p w:rsidR="002D1E45" w:rsidRDefault="002D1E45" w:rsidP="00C85290">
      <w:pPr>
        <w:spacing w:after="0" w:line="240" w:lineRule="auto"/>
        <w:ind w:firstLine="709"/>
        <w:contextualSpacing/>
        <w:jc w:val="both"/>
        <w:rPr>
          <w:rFonts w:ascii="Times New Roman" w:hAnsi="Times New Roman"/>
          <w:sz w:val="28"/>
          <w:szCs w:val="24"/>
        </w:rPr>
      </w:pPr>
      <w:r w:rsidRPr="008F4BD8">
        <w:rPr>
          <w:rFonts w:ascii="Times New Roman" w:hAnsi="Times New Roman"/>
          <w:sz w:val="28"/>
          <w:szCs w:val="24"/>
        </w:rPr>
        <w:t>В соответствии с данными</w:t>
      </w:r>
      <w:r>
        <w:rPr>
          <w:rFonts w:ascii="Times New Roman" w:hAnsi="Times New Roman"/>
          <w:sz w:val="28"/>
          <w:szCs w:val="24"/>
        </w:rPr>
        <w:t xml:space="preserve"> портала ФС ГС РФ</w:t>
      </w:r>
      <w:r w:rsidRPr="008F4BD8">
        <w:rPr>
          <w:rFonts w:ascii="Times New Roman" w:hAnsi="Times New Roman"/>
          <w:sz w:val="28"/>
          <w:szCs w:val="24"/>
        </w:rPr>
        <w:t xml:space="preserve">, суммарная общая площадь жилищного фонда на </w:t>
      </w:r>
      <w:r>
        <w:rPr>
          <w:rFonts w:ascii="Times New Roman" w:hAnsi="Times New Roman"/>
          <w:sz w:val="28"/>
          <w:szCs w:val="24"/>
        </w:rPr>
        <w:t xml:space="preserve">начало </w:t>
      </w:r>
      <w:r w:rsidRPr="008F4BD8">
        <w:rPr>
          <w:rFonts w:ascii="Times New Roman" w:hAnsi="Times New Roman"/>
          <w:sz w:val="28"/>
          <w:szCs w:val="24"/>
        </w:rPr>
        <w:t>201</w:t>
      </w:r>
      <w:r>
        <w:rPr>
          <w:rFonts w:ascii="Times New Roman" w:hAnsi="Times New Roman"/>
          <w:sz w:val="28"/>
          <w:szCs w:val="24"/>
        </w:rPr>
        <w:t xml:space="preserve">5 </w:t>
      </w:r>
      <w:r w:rsidRPr="008F4BD8">
        <w:rPr>
          <w:rFonts w:ascii="Times New Roman" w:hAnsi="Times New Roman"/>
          <w:sz w:val="28"/>
          <w:szCs w:val="24"/>
        </w:rPr>
        <w:t>г. составля</w:t>
      </w:r>
      <w:r>
        <w:rPr>
          <w:rFonts w:ascii="Times New Roman" w:hAnsi="Times New Roman"/>
          <w:sz w:val="28"/>
          <w:szCs w:val="24"/>
        </w:rPr>
        <w:t>ла</w:t>
      </w:r>
      <w:r w:rsidRPr="008F4BD8">
        <w:rPr>
          <w:rFonts w:ascii="Times New Roman" w:hAnsi="Times New Roman"/>
          <w:sz w:val="28"/>
          <w:szCs w:val="24"/>
        </w:rPr>
        <w:t xml:space="preserve"> порядка </w:t>
      </w:r>
      <w:r>
        <w:rPr>
          <w:rFonts w:ascii="Times New Roman" w:hAnsi="Times New Roman"/>
          <w:sz w:val="28"/>
          <w:szCs w:val="24"/>
        </w:rPr>
        <w:t>914,8</w:t>
      </w:r>
      <w:r w:rsidRPr="008F4BD8">
        <w:rPr>
          <w:rFonts w:ascii="Times New Roman" w:hAnsi="Times New Roman"/>
          <w:sz w:val="28"/>
          <w:szCs w:val="24"/>
        </w:rPr>
        <w:t xml:space="preserve"> тыс. м</w:t>
      </w:r>
      <w:r w:rsidRPr="008F4BD8">
        <w:rPr>
          <w:rFonts w:ascii="Times New Roman" w:hAnsi="Times New Roman"/>
          <w:sz w:val="28"/>
          <w:szCs w:val="24"/>
          <w:vertAlign w:val="superscript"/>
        </w:rPr>
        <w:t>2</w:t>
      </w:r>
      <w:r>
        <w:rPr>
          <w:rFonts w:ascii="Times New Roman" w:hAnsi="Times New Roman"/>
          <w:sz w:val="28"/>
          <w:szCs w:val="24"/>
        </w:rPr>
        <w:t xml:space="preserve"> (20,5 м</w:t>
      </w:r>
      <w:r>
        <w:rPr>
          <w:rFonts w:ascii="Times New Roman" w:hAnsi="Times New Roman"/>
          <w:sz w:val="28"/>
          <w:szCs w:val="24"/>
          <w:vertAlign w:val="superscript"/>
        </w:rPr>
        <w:t>2</w:t>
      </w:r>
      <w:r>
        <w:rPr>
          <w:rFonts w:ascii="Times New Roman" w:hAnsi="Times New Roman"/>
          <w:sz w:val="28"/>
          <w:szCs w:val="24"/>
        </w:rPr>
        <w:t xml:space="preserve"> на 1 жителя)</w:t>
      </w:r>
      <w:r w:rsidRPr="008F4BD8">
        <w:rPr>
          <w:rFonts w:ascii="Times New Roman" w:hAnsi="Times New Roman"/>
          <w:sz w:val="28"/>
          <w:szCs w:val="24"/>
        </w:rPr>
        <w:t xml:space="preserve">. </w:t>
      </w:r>
      <w:r>
        <w:rPr>
          <w:rFonts w:ascii="Times New Roman" w:hAnsi="Times New Roman"/>
          <w:sz w:val="28"/>
          <w:szCs w:val="24"/>
        </w:rPr>
        <w:t>Таким образом жилой фонд увеличился на 21,5 тыс. м</w:t>
      </w:r>
      <w:r>
        <w:rPr>
          <w:rFonts w:ascii="Times New Roman" w:hAnsi="Times New Roman"/>
          <w:sz w:val="28"/>
          <w:szCs w:val="24"/>
          <w:vertAlign w:val="superscript"/>
        </w:rPr>
        <w:t>2</w:t>
      </w:r>
      <w:r>
        <w:rPr>
          <w:rFonts w:ascii="Times New Roman" w:hAnsi="Times New Roman"/>
          <w:sz w:val="28"/>
          <w:szCs w:val="24"/>
        </w:rPr>
        <w:t>, или на 0,9 м</w:t>
      </w:r>
      <w:r>
        <w:rPr>
          <w:rFonts w:ascii="Times New Roman" w:hAnsi="Times New Roman"/>
          <w:sz w:val="28"/>
          <w:szCs w:val="24"/>
          <w:vertAlign w:val="superscript"/>
        </w:rPr>
        <w:t>2</w:t>
      </w:r>
      <w:r>
        <w:rPr>
          <w:rFonts w:ascii="Times New Roman" w:hAnsi="Times New Roman"/>
          <w:sz w:val="28"/>
          <w:szCs w:val="24"/>
        </w:rPr>
        <w:t xml:space="preserve"> на человека за период с 2015 по 2019 годы. </w:t>
      </w:r>
    </w:p>
    <w:p w:rsidR="002D1E45" w:rsidRPr="00146391" w:rsidRDefault="002D1E45" w:rsidP="00146391">
      <w:pPr>
        <w:spacing w:after="0" w:line="240" w:lineRule="auto"/>
        <w:ind w:firstLine="709"/>
        <w:jc w:val="both"/>
        <w:rPr>
          <w:rFonts w:ascii="Times New Roman" w:hAnsi="Times New Roman"/>
          <w:sz w:val="28"/>
          <w:szCs w:val="24"/>
          <w:lang w:eastAsia="ru-RU"/>
        </w:rPr>
      </w:pPr>
      <w:r w:rsidRPr="00146391">
        <w:rPr>
          <w:rFonts w:ascii="Times New Roman" w:hAnsi="Times New Roman"/>
          <w:sz w:val="28"/>
          <w:szCs w:val="24"/>
          <w:lang w:eastAsia="ru-RU"/>
        </w:rPr>
        <w:t xml:space="preserve">На территории </w:t>
      </w:r>
      <w:r>
        <w:rPr>
          <w:rFonts w:ascii="Times New Roman" w:hAnsi="Times New Roman"/>
          <w:sz w:val="28"/>
          <w:szCs w:val="24"/>
          <w:lang w:eastAsia="ru-RU"/>
        </w:rPr>
        <w:t xml:space="preserve">города Куйбышева </w:t>
      </w:r>
      <w:r w:rsidRPr="00146391">
        <w:rPr>
          <w:rFonts w:ascii="Times New Roman" w:hAnsi="Times New Roman"/>
          <w:sz w:val="28"/>
          <w:szCs w:val="24"/>
          <w:lang w:eastAsia="ru-RU"/>
        </w:rPr>
        <w:t>действуют программы развития жилищного строительства:</w:t>
      </w:r>
    </w:p>
    <w:p w:rsidR="002D1E45" w:rsidRPr="00146391" w:rsidRDefault="002D1E45" w:rsidP="00D05D06">
      <w:pPr>
        <w:numPr>
          <w:ilvl w:val="0"/>
          <w:numId w:val="58"/>
        </w:numPr>
        <w:spacing w:after="0" w:line="240" w:lineRule="auto"/>
        <w:contextualSpacing/>
        <w:jc w:val="both"/>
        <w:rPr>
          <w:rFonts w:ascii="Times New Roman" w:hAnsi="Times New Roman"/>
          <w:sz w:val="28"/>
          <w:szCs w:val="24"/>
          <w:lang w:eastAsia="ru-RU"/>
        </w:rPr>
      </w:pPr>
      <w:r>
        <w:rPr>
          <w:rFonts w:ascii="Times New Roman" w:hAnsi="Times New Roman"/>
          <w:sz w:val="28"/>
          <w:szCs w:val="24"/>
          <w:lang w:eastAsia="ru-RU"/>
        </w:rPr>
        <w:t>«</w:t>
      </w:r>
      <w:r w:rsidRPr="00146391">
        <w:rPr>
          <w:rFonts w:ascii="Times New Roman" w:hAnsi="Times New Roman"/>
          <w:sz w:val="28"/>
          <w:szCs w:val="24"/>
          <w:lang w:eastAsia="ru-RU"/>
        </w:rPr>
        <w:t>Жильё для российской семьи</w:t>
      </w:r>
      <w:r>
        <w:rPr>
          <w:rFonts w:ascii="Times New Roman" w:hAnsi="Times New Roman"/>
          <w:sz w:val="28"/>
          <w:szCs w:val="24"/>
          <w:lang w:eastAsia="ru-RU"/>
        </w:rPr>
        <w:t>»</w:t>
      </w:r>
      <w:r w:rsidRPr="00146391">
        <w:rPr>
          <w:rFonts w:ascii="Times New Roman" w:hAnsi="Times New Roman"/>
          <w:sz w:val="28"/>
          <w:szCs w:val="24"/>
          <w:lang w:eastAsia="ru-RU"/>
        </w:rPr>
        <w:t xml:space="preserve"> в</w:t>
      </w:r>
      <w:r>
        <w:rPr>
          <w:rFonts w:ascii="Times New Roman" w:hAnsi="Times New Roman"/>
          <w:sz w:val="28"/>
          <w:szCs w:val="24"/>
          <w:lang w:eastAsia="ru-RU"/>
        </w:rPr>
        <w:t> </w:t>
      </w:r>
      <w:r w:rsidRPr="00146391">
        <w:rPr>
          <w:rFonts w:ascii="Times New Roman" w:hAnsi="Times New Roman"/>
          <w:sz w:val="28"/>
          <w:szCs w:val="24"/>
          <w:lang w:eastAsia="ru-RU"/>
        </w:rPr>
        <w:t xml:space="preserve">рамках государственной программы Российской Федерации </w:t>
      </w:r>
      <w:r>
        <w:rPr>
          <w:rFonts w:ascii="Times New Roman" w:hAnsi="Times New Roman"/>
          <w:sz w:val="28"/>
          <w:szCs w:val="24"/>
          <w:lang w:eastAsia="ru-RU"/>
        </w:rPr>
        <w:t>«</w:t>
      </w:r>
      <w:r w:rsidRPr="00146391">
        <w:rPr>
          <w:rFonts w:ascii="Times New Roman" w:hAnsi="Times New Roman"/>
          <w:sz w:val="28"/>
          <w:szCs w:val="24"/>
          <w:lang w:eastAsia="ru-RU"/>
        </w:rPr>
        <w:t>Обеспечение доступным и</w:t>
      </w:r>
      <w:r>
        <w:rPr>
          <w:rFonts w:ascii="Times New Roman" w:hAnsi="Times New Roman"/>
          <w:sz w:val="28"/>
          <w:szCs w:val="24"/>
          <w:lang w:eastAsia="ru-RU"/>
        </w:rPr>
        <w:t> </w:t>
      </w:r>
      <w:r w:rsidRPr="00146391">
        <w:rPr>
          <w:rFonts w:ascii="Times New Roman" w:hAnsi="Times New Roman"/>
          <w:sz w:val="28"/>
          <w:szCs w:val="24"/>
          <w:lang w:eastAsia="ru-RU"/>
        </w:rPr>
        <w:t>комфортным жильём и</w:t>
      </w:r>
      <w:r>
        <w:rPr>
          <w:rFonts w:ascii="Times New Roman" w:hAnsi="Times New Roman"/>
          <w:sz w:val="28"/>
          <w:szCs w:val="24"/>
          <w:lang w:eastAsia="ru-RU"/>
        </w:rPr>
        <w:t> </w:t>
      </w:r>
      <w:r w:rsidRPr="00146391">
        <w:rPr>
          <w:rFonts w:ascii="Times New Roman" w:hAnsi="Times New Roman"/>
          <w:sz w:val="28"/>
          <w:szCs w:val="24"/>
          <w:lang w:eastAsia="ru-RU"/>
        </w:rPr>
        <w:t>коммунальными услугами граждан Российской Федерации</w:t>
      </w:r>
      <w:r>
        <w:rPr>
          <w:rFonts w:ascii="Times New Roman" w:hAnsi="Times New Roman"/>
          <w:sz w:val="28"/>
          <w:szCs w:val="24"/>
          <w:lang w:eastAsia="ru-RU"/>
        </w:rPr>
        <w:t>».</w:t>
      </w:r>
    </w:p>
    <w:p w:rsidR="002D1E45" w:rsidRDefault="002D1E45" w:rsidP="00D05D06">
      <w:pPr>
        <w:numPr>
          <w:ilvl w:val="0"/>
          <w:numId w:val="58"/>
        </w:numPr>
        <w:spacing w:after="0" w:line="240" w:lineRule="auto"/>
        <w:contextualSpacing/>
        <w:jc w:val="both"/>
        <w:rPr>
          <w:rFonts w:ascii="Times New Roman" w:hAnsi="Times New Roman"/>
          <w:sz w:val="28"/>
          <w:szCs w:val="24"/>
          <w:lang w:eastAsia="ru-RU"/>
        </w:rPr>
      </w:pPr>
      <w:r w:rsidRPr="00146391">
        <w:rPr>
          <w:rFonts w:ascii="Times New Roman" w:hAnsi="Times New Roman"/>
          <w:sz w:val="28"/>
          <w:szCs w:val="24"/>
          <w:lang w:eastAsia="ru-RU"/>
        </w:rPr>
        <w:t xml:space="preserve">Подпрограмма </w:t>
      </w:r>
      <w:r>
        <w:rPr>
          <w:rFonts w:ascii="Times New Roman" w:hAnsi="Times New Roman"/>
          <w:sz w:val="28"/>
          <w:szCs w:val="24"/>
          <w:lang w:eastAsia="ru-RU"/>
        </w:rPr>
        <w:t>«</w:t>
      </w:r>
      <w:r w:rsidRPr="00146391">
        <w:rPr>
          <w:rFonts w:ascii="Times New Roman" w:hAnsi="Times New Roman"/>
          <w:sz w:val="28"/>
          <w:szCs w:val="24"/>
          <w:lang w:eastAsia="ru-RU"/>
        </w:rPr>
        <w:t>Обеспечение жильём молодых семей</w:t>
      </w:r>
      <w:r>
        <w:rPr>
          <w:rFonts w:ascii="Times New Roman" w:hAnsi="Times New Roman"/>
          <w:sz w:val="28"/>
          <w:szCs w:val="24"/>
          <w:lang w:eastAsia="ru-RU"/>
        </w:rPr>
        <w:t>»</w:t>
      </w:r>
      <w:r w:rsidRPr="00146391">
        <w:rPr>
          <w:rFonts w:ascii="Times New Roman" w:hAnsi="Times New Roman"/>
          <w:sz w:val="28"/>
          <w:szCs w:val="24"/>
          <w:lang w:eastAsia="ru-RU"/>
        </w:rPr>
        <w:t xml:space="preserve"> федеральной целевой программы </w:t>
      </w:r>
      <w:r>
        <w:rPr>
          <w:rFonts w:ascii="Times New Roman" w:hAnsi="Times New Roman"/>
          <w:sz w:val="28"/>
          <w:szCs w:val="24"/>
          <w:lang w:eastAsia="ru-RU"/>
        </w:rPr>
        <w:t>«</w:t>
      </w:r>
      <w:r w:rsidRPr="00146391">
        <w:rPr>
          <w:rFonts w:ascii="Times New Roman" w:hAnsi="Times New Roman"/>
          <w:sz w:val="28"/>
          <w:szCs w:val="24"/>
          <w:lang w:eastAsia="ru-RU"/>
        </w:rPr>
        <w:t>Жилище</w:t>
      </w:r>
      <w:r>
        <w:rPr>
          <w:rFonts w:ascii="Times New Roman" w:hAnsi="Times New Roman"/>
          <w:sz w:val="28"/>
          <w:szCs w:val="24"/>
          <w:lang w:eastAsia="ru-RU"/>
        </w:rPr>
        <w:t>»</w:t>
      </w:r>
      <w:r w:rsidRPr="00146391">
        <w:rPr>
          <w:rFonts w:ascii="Times New Roman" w:hAnsi="Times New Roman"/>
          <w:sz w:val="28"/>
          <w:szCs w:val="24"/>
          <w:lang w:eastAsia="ru-RU"/>
        </w:rPr>
        <w:t xml:space="preserve"> на 2015-2020 годы</w:t>
      </w:r>
      <w:r>
        <w:rPr>
          <w:rFonts w:ascii="Times New Roman" w:hAnsi="Times New Roman"/>
          <w:sz w:val="28"/>
          <w:szCs w:val="24"/>
          <w:lang w:eastAsia="ru-RU"/>
        </w:rPr>
        <w:t>».</w:t>
      </w:r>
    </w:p>
    <w:p w:rsidR="002D1E45" w:rsidRDefault="002D1E45" w:rsidP="00D05D06">
      <w:pPr>
        <w:numPr>
          <w:ilvl w:val="0"/>
          <w:numId w:val="58"/>
        </w:numPr>
        <w:spacing w:after="0" w:line="240" w:lineRule="auto"/>
        <w:contextualSpacing/>
        <w:jc w:val="both"/>
        <w:rPr>
          <w:rFonts w:ascii="Times New Roman" w:hAnsi="Times New Roman"/>
          <w:sz w:val="28"/>
          <w:szCs w:val="24"/>
          <w:lang w:eastAsia="ru-RU"/>
        </w:rPr>
      </w:pPr>
      <w:r w:rsidRPr="008F4BD8">
        <w:rPr>
          <w:rFonts w:ascii="Times New Roman" w:hAnsi="Times New Roman"/>
          <w:sz w:val="28"/>
          <w:szCs w:val="24"/>
          <w:lang w:eastAsia="ru-RU"/>
        </w:rPr>
        <w:t>Государственная программа Новосибирской области «</w:t>
      </w:r>
      <w:r w:rsidRPr="006420AF">
        <w:rPr>
          <w:rFonts w:ascii="Times New Roman" w:hAnsi="Times New Roman"/>
          <w:sz w:val="28"/>
          <w:szCs w:val="24"/>
          <w:lang w:eastAsia="ru-RU"/>
        </w:rPr>
        <w:t>Стимулирование развития жилищного строительства в Новосибирской области</w:t>
      </w:r>
      <w:r w:rsidRPr="008F4BD8">
        <w:rPr>
          <w:rFonts w:ascii="Times New Roman" w:hAnsi="Times New Roman"/>
          <w:sz w:val="28"/>
          <w:szCs w:val="24"/>
          <w:lang w:eastAsia="ru-RU"/>
        </w:rPr>
        <w:t>»</w:t>
      </w:r>
      <w:r>
        <w:rPr>
          <w:rFonts w:ascii="Times New Roman" w:hAnsi="Times New Roman"/>
          <w:sz w:val="28"/>
          <w:szCs w:val="24"/>
          <w:lang w:eastAsia="ru-RU"/>
        </w:rPr>
        <w:t>.</w:t>
      </w:r>
    </w:p>
    <w:p w:rsidR="002D1E45" w:rsidRDefault="002D1E45" w:rsidP="00D05D06">
      <w:pPr>
        <w:numPr>
          <w:ilvl w:val="0"/>
          <w:numId w:val="58"/>
        </w:numPr>
        <w:spacing w:after="0" w:line="240" w:lineRule="auto"/>
        <w:contextualSpacing/>
        <w:jc w:val="both"/>
        <w:rPr>
          <w:rFonts w:ascii="Times New Roman" w:hAnsi="Times New Roman"/>
          <w:sz w:val="28"/>
          <w:szCs w:val="24"/>
          <w:lang w:eastAsia="ru-RU"/>
        </w:rPr>
      </w:pPr>
      <w:r w:rsidRPr="008F4BD8">
        <w:rPr>
          <w:rFonts w:ascii="Times New Roman" w:hAnsi="Times New Roman"/>
          <w:sz w:val="28"/>
          <w:szCs w:val="24"/>
          <w:lang w:eastAsia="ru-RU"/>
        </w:rPr>
        <w:t>Государственная программа Новосибирской области «</w:t>
      </w:r>
      <w:r w:rsidRPr="006420AF">
        <w:rPr>
          <w:rFonts w:ascii="Times New Roman" w:hAnsi="Times New Roman"/>
          <w:sz w:val="28"/>
          <w:szCs w:val="24"/>
          <w:lang w:eastAsia="ru-RU"/>
        </w:rPr>
        <w:t>Обеспечение жильём молодых семей в Новосибирской области</w:t>
      </w:r>
      <w:r w:rsidRPr="008F4BD8">
        <w:rPr>
          <w:rFonts w:ascii="Times New Roman" w:hAnsi="Times New Roman"/>
          <w:sz w:val="28"/>
          <w:szCs w:val="24"/>
          <w:lang w:eastAsia="ru-RU"/>
        </w:rPr>
        <w:t>»</w:t>
      </w:r>
      <w:r>
        <w:rPr>
          <w:rFonts w:ascii="Times New Roman" w:hAnsi="Times New Roman"/>
          <w:sz w:val="28"/>
          <w:szCs w:val="24"/>
          <w:lang w:eastAsia="ru-RU"/>
        </w:rPr>
        <w:t>.</w:t>
      </w:r>
    </w:p>
    <w:p w:rsidR="002D1E45" w:rsidRDefault="002D1E45" w:rsidP="00D05D06">
      <w:pPr>
        <w:numPr>
          <w:ilvl w:val="0"/>
          <w:numId w:val="58"/>
        </w:numPr>
        <w:spacing w:after="0" w:line="240" w:lineRule="auto"/>
        <w:contextualSpacing/>
        <w:jc w:val="both"/>
        <w:rPr>
          <w:rFonts w:ascii="Times New Roman" w:hAnsi="Times New Roman"/>
          <w:sz w:val="28"/>
          <w:szCs w:val="24"/>
          <w:lang w:eastAsia="ru-RU"/>
        </w:rPr>
      </w:pPr>
      <w:r w:rsidRPr="008F4BD8">
        <w:rPr>
          <w:rFonts w:ascii="Times New Roman" w:hAnsi="Times New Roman"/>
          <w:sz w:val="28"/>
          <w:szCs w:val="24"/>
          <w:lang w:eastAsia="ru-RU"/>
        </w:rPr>
        <w:t>Государственная программа Новосибирской области «</w:t>
      </w:r>
      <w:r w:rsidRPr="00F153D9">
        <w:rPr>
          <w:rFonts w:ascii="Times New Roman" w:hAnsi="Times New Roman"/>
          <w:sz w:val="28"/>
          <w:szCs w:val="24"/>
          <w:lang w:eastAsia="ru-RU"/>
        </w:rPr>
        <w:t>Жилищно-коммунальное хозяйство Новосибирской области</w:t>
      </w:r>
      <w:r w:rsidRPr="008F4BD8">
        <w:rPr>
          <w:rFonts w:ascii="Times New Roman" w:hAnsi="Times New Roman"/>
          <w:sz w:val="28"/>
          <w:szCs w:val="24"/>
          <w:lang w:eastAsia="ru-RU"/>
        </w:rPr>
        <w:t>»</w:t>
      </w:r>
      <w:r>
        <w:rPr>
          <w:rFonts w:ascii="Times New Roman" w:hAnsi="Times New Roman"/>
          <w:sz w:val="28"/>
          <w:szCs w:val="24"/>
          <w:lang w:eastAsia="ru-RU"/>
        </w:rPr>
        <w:t>.</w:t>
      </w:r>
    </w:p>
    <w:p w:rsidR="002D1E45" w:rsidRPr="00146391" w:rsidRDefault="002D1E45" w:rsidP="00146391">
      <w:pPr>
        <w:spacing w:after="0" w:line="240" w:lineRule="auto"/>
        <w:ind w:firstLine="709"/>
        <w:jc w:val="both"/>
        <w:rPr>
          <w:rFonts w:ascii="Times New Roman" w:hAnsi="Times New Roman"/>
          <w:sz w:val="28"/>
          <w:szCs w:val="24"/>
          <w:lang w:eastAsia="ru-RU"/>
        </w:rPr>
      </w:pPr>
      <w:r w:rsidRPr="00146391">
        <w:rPr>
          <w:rFonts w:ascii="Times New Roman" w:hAnsi="Times New Roman"/>
          <w:sz w:val="28"/>
          <w:szCs w:val="24"/>
          <w:lang w:eastAsia="ru-RU"/>
        </w:rPr>
        <w:t>Реализация данных программ направлена на</w:t>
      </w:r>
      <w:r>
        <w:rPr>
          <w:rFonts w:ascii="Times New Roman" w:hAnsi="Times New Roman"/>
          <w:sz w:val="28"/>
          <w:szCs w:val="24"/>
          <w:lang w:eastAsia="ru-RU"/>
        </w:rPr>
        <w:t> </w:t>
      </w:r>
      <w:r w:rsidRPr="00146391">
        <w:rPr>
          <w:rFonts w:ascii="Times New Roman" w:hAnsi="Times New Roman"/>
          <w:sz w:val="28"/>
          <w:szCs w:val="24"/>
          <w:lang w:eastAsia="ru-RU"/>
        </w:rPr>
        <w:t xml:space="preserve">увеличение обеспеченности жителей </w:t>
      </w:r>
      <w:r>
        <w:rPr>
          <w:rFonts w:ascii="Times New Roman" w:hAnsi="Times New Roman"/>
          <w:sz w:val="28"/>
          <w:szCs w:val="24"/>
          <w:lang w:eastAsia="ru-RU"/>
        </w:rPr>
        <w:t xml:space="preserve">города и района </w:t>
      </w:r>
      <w:r w:rsidRPr="00146391">
        <w:rPr>
          <w:rFonts w:ascii="Times New Roman" w:hAnsi="Times New Roman"/>
          <w:sz w:val="28"/>
          <w:szCs w:val="24"/>
          <w:lang w:eastAsia="ru-RU"/>
        </w:rPr>
        <w:t>жилой площадью за</w:t>
      </w:r>
      <w:r>
        <w:rPr>
          <w:rFonts w:ascii="Times New Roman" w:hAnsi="Times New Roman"/>
          <w:sz w:val="28"/>
          <w:szCs w:val="24"/>
          <w:lang w:eastAsia="ru-RU"/>
        </w:rPr>
        <w:t> </w:t>
      </w:r>
      <w:r w:rsidRPr="00146391">
        <w:rPr>
          <w:rFonts w:ascii="Times New Roman" w:hAnsi="Times New Roman"/>
          <w:sz w:val="28"/>
          <w:szCs w:val="24"/>
          <w:lang w:eastAsia="ru-RU"/>
        </w:rPr>
        <w:t>счёт проведения планомерных мероприятий и</w:t>
      </w:r>
      <w:r>
        <w:rPr>
          <w:rFonts w:ascii="Times New Roman" w:hAnsi="Times New Roman"/>
          <w:sz w:val="28"/>
          <w:szCs w:val="24"/>
          <w:lang w:eastAsia="ru-RU"/>
        </w:rPr>
        <w:t> </w:t>
      </w:r>
      <w:r w:rsidRPr="00146391">
        <w:rPr>
          <w:rFonts w:ascii="Times New Roman" w:hAnsi="Times New Roman"/>
          <w:sz w:val="28"/>
          <w:szCs w:val="24"/>
          <w:lang w:eastAsia="ru-RU"/>
        </w:rPr>
        <w:t>в</w:t>
      </w:r>
      <w:r>
        <w:rPr>
          <w:rFonts w:ascii="Times New Roman" w:hAnsi="Times New Roman"/>
          <w:sz w:val="28"/>
          <w:szCs w:val="24"/>
          <w:lang w:eastAsia="ru-RU"/>
        </w:rPr>
        <w:t> </w:t>
      </w:r>
      <w:r w:rsidRPr="00146391">
        <w:rPr>
          <w:rFonts w:ascii="Times New Roman" w:hAnsi="Times New Roman"/>
          <w:sz w:val="28"/>
          <w:szCs w:val="24"/>
          <w:lang w:eastAsia="ru-RU"/>
        </w:rPr>
        <w:t>строительстве (рост ввода жилья), и</w:t>
      </w:r>
      <w:r>
        <w:rPr>
          <w:rFonts w:ascii="Times New Roman" w:hAnsi="Times New Roman"/>
          <w:sz w:val="28"/>
          <w:szCs w:val="24"/>
          <w:lang w:eastAsia="ru-RU"/>
        </w:rPr>
        <w:t> </w:t>
      </w:r>
      <w:r w:rsidRPr="00146391">
        <w:rPr>
          <w:rFonts w:ascii="Times New Roman" w:hAnsi="Times New Roman"/>
          <w:sz w:val="28"/>
          <w:szCs w:val="24"/>
          <w:lang w:eastAsia="ru-RU"/>
        </w:rPr>
        <w:t>в</w:t>
      </w:r>
      <w:r>
        <w:rPr>
          <w:rFonts w:ascii="Times New Roman" w:hAnsi="Times New Roman"/>
          <w:sz w:val="28"/>
          <w:szCs w:val="24"/>
          <w:lang w:eastAsia="ru-RU"/>
        </w:rPr>
        <w:t> </w:t>
      </w:r>
      <w:r w:rsidRPr="00146391">
        <w:rPr>
          <w:rFonts w:ascii="Times New Roman" w:hAnsi="Times New Roman"/>
          <w:sz w:val="28"/>
          <w:szCs w:val="24"/>
          <w:lang w:eastAsia="ru-RU"/>
        </w:rPr>
        <w:t>обеспечении градостроительной деятельности (снос ветхого жилья, подготовка и</w:t>
      </w:r>
      <w:r>
        <w:rPr>
          <w:rFonts w:ascii="Times New Roman" w:hAnsi="Times New Roman"/>
          <w:sz w:val="28"/>
          <w:szCs w:val="24"/>
          <w:lang w:eastAsia="ru-RU"/>
        </w:rPr>
        <w:t> </w:t>
      </w:r>
      <w:r w:rsidRPr="00146391">
        <w:rPr>
          <w:rFonts w:ascii="Times New Roman" w:hAnsi="Times New Roman"/>
          <w:sz w:val="28"/>
          <w:szCs w:val="24"/>
          <w:lang w:eastAsia="ru-RU"/>
        </w:rPr>
        <w:t>софинансирование проектов планировки и</w:t>
      </w:r>
      <w:r>
        <w:rPr>
          <w:rFonts w:ascii="Times New Roman" w:hAnsi="Times New Roman"/>
          <w:sz w:val="28"/>
          <w:szCs w:val="24"/>
          <w:lang w:eastAsia="ru-RU"/>
        </w:rPr>
        <w:t> </w:t>
      </w:r>
      <w:r w:rsidRPr="00146391">
        <w:rPr>
          <w:rFonts w:ascii="Times New Roman" w:hAnsi="Times New Roman"/>
          <w:sz w:val="28"/>
          <w:szCs w:val="24"/>
          <w:lang w:eastAsia="ru-RU"/>
        </w:rPr>
        <w:t>застройки территорий поселений).</w:t>
      </w:r>
    </w:p>
    <w:p w:rsidR="002D1E45" w:rsidRDefault="002D1E45" w:rsidP="00146391">
      <w:pPr>
        <w:spacing w:after="0" w:line="240" w:lineRule="auto"/>
        <w:ind w:firstLine="709"/>
        <w:jc w:val="both"/>
        <w:rPr>
          <w:rFonts w:ascii="Times New Roman" w:hAnsi="Times New Roman"/>
          <w:sz w:val="28"/>
          <w:szCs w:val="24"/>
          <w:lang w:eastAsia="ru-RU"/>
        </w:rPr>
      </w:pPr>
      <w:r w:rsidRPr="00146391">
        <w:rPr>
          <w:rFonts w:ascii="Times New Roman" w:hAnsi="Times New Roman"/>
          <w:sz w:val="28"/>
          <w:szCs w:val="24"/>
          <w:lang w:eastAsia="ru-RU"/>
        </w:rPr>
        <w:t>Проблема развития жилищного строительства связана с</w:t>
      </w:r>
      <w:r>
        <w:rPr>
          <w:rFonts w:ascii="Times New Roman" w:hAnsi="Times New Roman"/>
          <w:sz w:val="28"/>
          <w:szCs w:val="24"/>
          <w:lang w:eastAsia="ru-RU"/>
        </w:rPr>
        <w:t> </w:t>
      </w:r>
      <w:r w:rsidRPr="00146391">
        <w:rPr>
          <w:rFonts w:ascii="Times New Roman" w:hAnsi="Times New Roman"/>
          <w:sz w:val="28"/>
          <w:szCs w:val="24"/>
          <w:lang w:eastAsia="ru-RU"/>
        </w:rPr>
        <w:t>природно-климатическими условиями в</w:t>
      </w:r>
      <w:r>
        <w:rPr>
          <w:rFonts w:ascii="Times New Roman" w:hAnsi="Times New Roman"/>
          <w:sz w:val="28"/>
          <w:szCs w:val="24"/>
          <w:lang w:eastAsia="ru-RU"/>
        </w:rPr>
        <w:t> городе</w:t>
      </w:r>
      <w:r w:rsidRPr="00146391">
        <w:rPr>
          <w:rFonts w:ascii="Times New Roman" w:hAnsi="Times New Roman"/>
          <w:sz w:val="28"/>
          <w:szCs w:val="24"/>
          <w:lang w:eastAsia="ru-RU"/>
        </w:rPr>
        <w:t>. Низкие зимние температуры, заболоченность почвы усложняют проведение работ, диктуют применение строительных материалов особого качества и</w:t>
      </w:r>
      <w:r>
        <w:rPr>
          <w:rFonts w:ascii="Times New Roman" w:hAnsi="Times New Roman"/>
          <w:sz w:val="28"/>
          <w:szCs w:val="24"/>
          <w:lang w:eastAsia="ru-RU"/>
        </w:rPr>
        <w:t> </w:t>
      </w:r>
      <w:r w:rsidRPr="00146391">
        <w:rPr>
          <w:rFonts w:ascii="Times New Roman" w:hAnsi="Times New Roman"/>
          <w:sz w:val="28"/>
          <w:szCs w:val="24"/>
          <w:lang w:eastAsia="ru-RU"/>
        </w:rPr>
        <w:t>специфических строительных технологий. Также проблема развития жилищного строительства обусловлена особенностями транспортной инфраструктуры: доставка грузов в</w:t>
      </w:r>
      <w:r>
        <w:rPr>
          <w:rFonts w:ascii="Times New Roman" w:hAnsi="Times New Roman"/>
          <w:sz w:val="28"/>
          <w:szCs w:val="24"/>
          <w:lang w:eastAsia="ru-RU"/>
        </w:rPr>
        <w:t> </w:t>
      </w:r>
      <w:r w:rsidRPr="00146391">
        <w:rPr>
          <w:rFonts w:ascii="Times New Roman" w:hAnsi="Times New Roman"/>
          <w:sz w:val="28"/>
          <w:szCs w:val="24"/>
          <w:lang w:eastAsia="ru-RU"/>
        </w:rPr>
        <w:t>определённый период и</w:t>
      </w:r>
      <w:r>
        <w:rPr>
          <w:rFonts w:ascii="Times New Roman" w:hAnsi="Times New Roman"/>
          <w:sz w:val="28"/>
          <w:szCs w:val="24"/>
          <w:lang w:eastAsia="ru-RU"/>
        </w:rPr>
        <w:t> </w:t>
      </w:r>
      <w:r w:rsidRPr="00146391">
        <w:rPr>
          <w:rFonts w:ascii="Times New Roman" w:hAnsi="Times New Roman"/>
          <w:sz w:val="28"/>
          <w:szCs w:val="24"/>
          <w:lang w:eastAsia="ru-RU"/>
        </w:rPr>
        <w:t>определёнными видами транспорта. Такое положение повышает цену стройматериалов и</w:t>
      </w:r>
      <w:r>
        <w:rPr>
          <w:rFonts w:ascii="Times New Roman" w:hAnsi="Times New Roman"/>
          <w:sz w:val="28"/>
          <w:szCs w:val="24"/>
          <w:lang w:eastAsia="ru-RU"/>
        </w:rPr>
        <w:t> </w:t>
      </w:r>
      <w:r w:rsidRPr="00146391">
        <w:rPr>
          <w:rFonts w:ascii="Times New Roman" w:hAnsi="Times New Roman"/>
          <w:sz w:val="28"/>
          <w:szCs w:val="24"/>
          <w:lang w:eastAsia="ru-RU"/>
        </w:rPr>
        <w:t>увеличивает стоимость и</w:t>
      </w:r>
      <w:r>
        <w:rPr>
          <w:rFonts w:ascii="Times New Roman" w:hAnsi="Times New Roman"/>
          <w:sz w:val="28"/>
          <w:szCs w:val="24"/>
          <w:lang w:eastAsia="ru-RU"/>
        </w:rPr>
        <w:t> </w:t>
      </w:r>
      <w:r w:rsidRPr="00146391">
        <w:rPr>
          <w:rFonts w:ascii="Times New Roman" w:hAnsi="Times New Roman"/>
          <w:sz w:val="28"/>
          <w:szCs w:val="24"/>
          <w:lang w:eastAsia="ru-RU"/>
        </w:rPr>
        <w:t>сроки строительства новых объектов, и</w:t>
      </w:r>
      <w:r>
        <w:rPr>
          <w:rFonts w:ascii="Times New Roman" w:hAnsi="Times New Roman"/>
          <w:sz w:val="28"/>
          <w:szCs w:val="24"/>
          <w:lang w:eastAsia="ru-RU"/>
        </w:rPr>
        <w:t> </w:t>
      </w:r>
      <w:r w:rsidRPr="00146391">
        <w:rPr>
          <w:rFonts w:ascii="Times New Roman" w:hAnsi="Times New Roman"/>
          <w:sz w:val="28"/>
          <w:szCs w:val="24"/>
          <w:lang w:eastAsia="ru-RU"/>
        </w:rPr>
        <w:t>проведение ремонтных работ.</w:t>
      </w:r>
    </w:p>
    <w:p w:rsidR="002D1E45" w:rsidRDefault="002D1E45" w:rsidP="00146391">
      <w:pPr>
        <w:spacing w:after="0" w:line="240" w:lineRule="auto"/>
        <w:ind w:firstLine="709"/>
        <w:jc w:val="both"/>
        <w:rPr>
          <w:rFonts w:ascii="Times New Roman" w:hAnsi="Times New Roman"/>
          <w:sz w:val="28"/>
          <w:szCs w:val="24"/>
          <w:lang w:eastAsia="ru-RU"/>
        </w:rPr>
      </w:pPr>
    </w:p>
    <w:p w:rsidR="002D1E45" w:rsidRPr="00F153D9" w:rsidRDefault="002D1E45" w:rsidP="00852938">
      <w:pPr>
        <w:pStyle w:val="Heading2"/>
        <w:numPr>
          <w:ilvl w:val="1"/>
          <w:numId w:val="65"/>
        </w:numPr>
        <w:spacing w:before="240"/>
        <w:ind w:left="993" w:hanging="633"/>
        <w:jc w:val="both"/>
        <w:rPr>
          <w:b/>
        </w:rPr>
      </w:pPr>
      <w:bookmarkStart w:id="139" w:name="_Toc84936025"/>
      <w:r w:rsidRPr="00F153D9">
        <w:rPr>
          <w:b/>
        </w:rPr>
        <w:t>Общественно-деловая зона</w:t>
      </w:r>
      <w:bookmarkEnd w:id="139"/>
    </w:p>
    <w:p w:rsidR="002D1E45" w:rsidRDefault="002D1E45" w:rsidP="00FB49C9">
      <w:pPr>
        <w:spacing w:after="0" w:line="240" w:lineRule="auto"/>
        <w:rPr>
          <w:rFonts w:ascii="Arial" w:hAnsi="Arial" w:cs="Arial"/>
          <w:sz w:val="16"/>
          <w:szCs w:val="16"/>
          <w:lang w:eastAsia="ru-RU"/>
        </w:rPr>
      </w:pPr>
    </w:p>
    <w:p w:rsidR="002D1E45" w:rsidRDefault="002D1E45" w:rsidP="00FB49C9">
      <w:pPr>
        <w:spacing w:after="0" w:line="240" w:lineRule="auto"/>
        <w:ind w:firstLine="709"/>
        <w:contextualSpacing/>
        <w:jc w:val="both"/>
        <w:rPr>
          <w:rFonts w:ascii="Times New Roman" w:hAnsi="Times New Roman"/>
          <w:sz w:val="28"/>
          <w:szCs w:val="28"/>
          <w:lang w:eastAsia="ru-RU"/>
        </w:rPr>
      </w:pPr>
      <w:r w:rsidRPr="00413C4F">
        <w:rPr>
          <w:rFonts w:ascii="Times New Roman" w:hAnsi="Times New Roman"/>
          <w:sz w:val="28"/>
          <w:szCs w:val="28"/>
          <w:lang w:eastAsia="ru-RU"/>
        </w:rPr>
        <w:t>Общественная зона предназначена для размещения объектов здравоохранения, культуры, торговли, общественного питания, бытового обслуживания, коммерческой деятельности, а</w:t>
      </w:r>
      <w:r>
        <w:rPr>
          <w:rFonts w:ascii="Times New Roman" w:hAnsi="Times New Roman"/>
          <w:sz w:val="28"/>
          <w:szCs w:val="28"/>
          <w:lang w:eastAsia="ru-RU"/>
        </w:rPr>
        <w:t> </w:t>
      </w:r>
      <w:r w:rsidRPr="00413C4F">
        <w:rPr>
          <w:rFonts w:ascii="Times New Roman" w:hAnsi="Times New Roman"/>
          <w:sz w:val="28"/>
          <w:szCs w:val="28"/>
          <w:lang w:eastAsia="ru-RU"/>
        </w:rPr>
        <w:t>также образовательных учреждений среднего профессионального образования, административны</w:t>
      </w:r>
      <w:r>
        <w:rPr>
          <w:rFonts w:ascii="Times New Roman" w:hAnsi="Times New Roman"/>
          <w:sz w:val="28"/>
          <w:szCs w:val="28"/>
          <w:lang w:eastAsia="ru-RU"/>
        </w:rPr>
        <w:t xml:space="preserve">х, учреждений, культовых зданий, </w:t>
      </w:r>
      <w:r w:rsidRPr="00413C4F">
        <w:rPr>
          <w:rFonts w:ascii="Times New Roman" w:hAnsi="Times New Roman"/>
          <w:sz w:val="28"/>
          <w:szCs w:val="28"/>
          <w:lang w:eastAsia="ru-RU"/>
        </w:rPr>
        <w:t>иных строений и</w:t>
      </w:r>
      <w:r>
        <w:rPr>
          <w:rFonts w:ascii="Times New Roman" w:hAnsi="Times New Roman"/>
          <w:sz w:val="28"/>
          <w:szCs w:val="28"/>
          <w:lang w:eastAsia="ru-RU"/>
        </w:rPr>
        <w:t> </w:t>
      </w:r>
      <w:r w:rsidRPr="00413C4F">
        <w:rPr>
          <w:rFonts w:ascii="Times New Roman" w:hAnsi="Times New Roman"/>
          <w:sz w:val="28"/>
          <w:szCs w:val="28"/>
          <w:lang w:eastAsia="ru-RU"/>
        </w:rPr>
        <w:t>сооружений, стоянок автомобильного транспорта, центров деловой финансовой, общественной активности.</w:t>
      </w:r>
    </w:p>
    <w:p w:rsidR="002D1E45" w:rsidRPr="00BC3E79" w:rsidRDefault="002D1E45" w:rsidP="00BC3E79">
      <w:pPr>
        <w:spacing w:after="0" w:line="240" w:lineRule="auto"/>
        <w:ind w:firstLine="709"/>
        <w:contextualSpacing/>
        <w:jc w:val="both"/>
        <w:rPr>
          <w:rFonts w:ascii="Times New Roman" w:hAnsi="Times New Roman"/>
          <w:sz w:val="28"/>
          <w:szCs w:val="28"/>
          <w:lang w:eastAsia="ru-RU"/>
        </w:rPr>
      </w:pPr>
      <w:r w:rsidRPr="00BC3E79">
        <w:rPr>
          <w:rFonts w:ascii="Times New Roman" w:hAnsi="Times New Roman"/>
          <w:sz w:val="28"/>
          <w:szCs w:val="28"/>
          <w:lang w:eastAsia="ru-RU"/>
        </w:rPr>
        <w:t>Важными показателями качества жизни населения являются наличие и</w:t>
      </w:r>
      <w:r>
        <w:rPr>
          <w:rFonts w:ascii="Times New Roman" w:hAnsi="Times New Roman"/>
          <w:sz w:val="28"/>
          <w:szCs w:val="28"/>
          <w:lang w:eastAsia="ru-RU"/>
        </w:rPr>
        <w:t> </w:t>
      </w:r>
      <w:r w:rsidRPr="00BC3E79">
        <w:rPr>
          <w:rFonts w:ascii="Times New Roman" w:hAnsi="Times New Roman"/>
          <w:sz w:val="28"/>
          <w:szCs w:val="28"/>
          <w:lang w:eastAsia="ru-RU"/>
        </w:rPr>
        <w:t>разнообразие объектов социальной инфраструктуры, их</w:t>
      </w:r>
      <w:r>
        <w:rPr>
          <w:rFonts w:ascii="Times New Roman" w:hAnsi="Times New Roman"/>
          <w:sz w:val="28"/>
          <w:szCs w:val="28"/>
          <w:lang w:eastAsia="ru-RU"/>
        </w:rPr>
        <w:t> </w:t>
      </w:r>
      <w:r w:rsidRPr="00BC3E79">
        <w:rPr>
          <w:rFonts w:ascii="Times New Roman" w:hAnsi="Times New Roman"/>
          <w:sz w:val="28"/>
          <w:szCs w:val="28"/>
          <w:lang w:eastAsia="ru-RU"/>
        </w:rPr>
        <w:t>пространственная, социальная и</w:t>
      </w:r>
      <w:r>
        <w:rPr>
          <w:rFonts w:ascii="Times New Roman" w:hAnsi="Times New Roman"/>
          <w:sz w:val="28"/>
          <w:szCs w:val="28"/>
          <w:lang w:eastAsia="ru-RU"/>
        </w:rPr>
        <w:t> </w:t>
      </w:r>
      <w:r w:rsidRPr="00BC3E79">
        <w:rPr>
          <w:rFonts w:ascii="Times New Roman" w:hAnsi="Times New Roman"/>
          <w:sz w:val="28"/>
          <w:szCs w:val="28"/>
          <w:lang w:eastAsia="ru-RU"/>
        </w:rPr>
        <w:t>экономическая доступность.</w:t>
      </w:r>
    </w:p>
    <w:p w:rsidR="002D1E45" w:rsidRPr="00BC3E79" w:rsidRDefault="002D1E45" w:rsidP="00BC3E79">
      <w:pPr>
        <w:spacing w:after="0" w:line="240" w:lineRule="auto"/>
        <w:ind w:firstLine="709"/>
        <w:contextualSpacing/>
        <w:jc w:val="both"/>
        <w:rPr>
          <w:rFonts w:ascii="Times New Roman" w:hAnsi="Times New Roman"/>
          <w:sz w:val="28"/>
          <w:szCs w:val="28"/>
          <w:lang w:eastAsia="ru-RU"/>
        </w:rPr>
      </w:pPr>
      <w:r w:rsidRPr="00BC3E79">
        <w:rPr>
          <w:rFonts w:ascii="Times New Roman" w:hAnsi="Times New Roman"/>
          <w:sz w:val="28"/>
          <w:szCs w:val="28"/>
          <w:lang w:eastAsia="ru-RU"/>
        </w:rPr>
        <w:t>В соответствии со</w:t>
      </w:r>
      <w:r>
        <w:rPr>
          <w:rFonts w:ascii="Times New Roman" w:hAnsi="Times New Roman"/>
          <w:sz w:val="28"/>
          <w:szCs w:val="28"/>
          <w:lang w:eastAsia="ru-RU"/>
        </w:rPr>
        <w:t> </w:t>
      </w:r>
      <w:r w:rsidRPr="00BC3E79">
        <w:rPr>
          <w:rFonts w:ascii="Times New Roman" w:hAnsi="Times New Roman"/>
          <w:sz w:val="28"/>
          <w:szCs w:val="28"/>
          <w:lang w:eastAsia="ru-RU"/>
        </w:rPr>
        <w:t xml:space="preserve">статьёй 23 Градостроительного кодекса Российской Федерации генеральный план </w:t>
      </w:r>
      <w:r>
        <w:rPr>
          <w:rFonts w:ascii="Times New Roman" w:hAnsi="Times New Roman"/>
          <w:sz w:val="28"/>
          <w:szCs w:val="28"/>
        </w:rPr>
        <w:t>города Куйбышева</w:t>
      </w:r>
      <w:r w:rsidRPr="00BC3E79">
        <w:rPr>
          <w:rFonts w:ascii="Times New Roman" w:hAnsi="Times New Roman"/>
          <w:sz w:val="28"/>
          <w:szCs w:val="28"/>
          <w:lang w:eastAsia="ru-RU"/>
        </w:rPr>
        <w:t xml:space="preserve"> содержит карту планируемого размещения объектов местного значения поселения. Согласно Федеральному закону от 06.10.2003 № 131-ФЗ «Об общих принципах организации местного</w:t>
      </w:r>
      <w:r>
        <w:rPr>
          <w:rFonts w:ascii="Times New Roman" w:hAnsi="Times New Roman"/>
          <w:sz w:val="28"/>
          <w:szCs w:val="28"/>
          <w:lang w:eastAsia="ru-RU"/>
        </w:rPr>
        <w:t xml:space="preserve"> </w:t>
      </w:r>
      <w:r w:rsidRPr="00BC3E79">
        <w:rPr>
          <w:rFonts w:ascii="Times New Roman" w:hAnsi="Times New Roman"/>
          <w:sz w:val="28"/>
          <w:szCs w:val="28"/>
          <w:lang w:eastAsia="ru-RU"/>
        </w:rPr>
        <w:t>самоуправления в</w:t>
      </w:r>
      <w:r>
        <w:rPr>
          <w:rFonts w:ascii="Times New Roman" w:hAnsi="Times New Roman"/>
          <w:sz w:val="28"/>
          <w:szCs w:val="28"/>
          <w:lang w:eastAsia="ru-RU"/>
        </w:rPr>
        <w:t> </w:t>
      </w:r>
      <w:r w:rsidRPr="00BC3E79">
        <w:rPr>
          <w:rFonts w:ascii="Times New Roman" w:hAnsi="Times New Roman"/>
          <w:sz w:val="28"/>
          <w:szCs w:val="28"/>
          <w:lang w:eastAsia="ru-RU"/>
        </w:rPr>
        <w:t xml:space="preserve">Российской Федерации», Закону </w:t>
      </w:r>
      <w:r w:rsidRPr="008477EC">
        <w:rPr>
          <w:rFonts w:ascii="Times New Roman" w:hAnsi="Times New Roman"/>
          <w:sz w:val="28"/>
          <w:szCs w:val="28"/>
          <w:lang w:eastAsia="ru-RU"/>
        </w:rPr>
        <w:t>Новосибирской области от 27.04.2010 № 481-ОЗ «О регулировании градостроительной деятельности в</w:t>
      </w:r>
      <w:r>
        <w:rPr>
          <w:rFonts w:ascii="Times New Roman" w:hAnsi="Times New Roman"/>
          <w:sz w:val="28"/>
          <w:szCs w:val="28"/>
          <w:lang w:eastAsia="ru-RU"/>
        </w:rPr>
        <w:t> </w:t>
      </w:r>
      <w:r w:rsidRPr="008477EC">
        <w:rPr>
          <w:rFonts w:ascii="Times New Roman" w:hAnsi="Times New Roman"/>
          <w:sz w:val="28"/>
          <w:szCs w:val="28"/>
          <w:lang w:eastAsia="ru-RU"/>
        </w:rPr>
        <w:t>Новосибирской области»</w:t>
      </w:r>
      <w:r w:rsidRPr="00BC3E79">
        <w:rPr>
          <w:rFonts w:ascii="Times New Roman" w:hAnsi="Times New Roman"/>
          <w:sz w:val="28"/>
          <w:szCs w:val="28"/>
          <w:lang w:eastAsia="ru-RU"/>
        </w:rPr>
        <w:t xml:space="preserve"> к</w:t>
      </w:r>
      <w:r>
        <w:rPr>
          <w:rFonts w:ascii="Times New Roman" w:hAnsi="Times New Roman"/>
          <w:sz w:val="28"/>
          <w:szCs w:val="28"/>
          <w:lang w:eastAsia="ru-RU"/>
        </w:rPr>
        <w:t> </w:t>
      </w:r>
      <w:r w:rsidRPr="00BC3E79">
        <w:rPr>
          <w:rFonts w:ascii="Times New Roman" w:hAnsi="Times New Roman"/>
          <w:sz w:val="28"/>
          <w:szCs w:val="28"/>
          <w:lang w:eastAsia="ru-RU"/>
        </w:rPr>
        <w:t>объектам местного значения поселения в</w:t>
      </w:r>
      <w:r>
        <w:rPr>
          <w:rFonts w:ascii="Times New Roman" w:hAnsi="Times New Roman"/>
          <w:sz w:val="28"/>
          <w:szCs w:val="28"/>
          <w:lang w:eastAsia="ru-RU"/>
        </w:rPr>
        <w:t> </w:t>
      </w:r>
      <w:r w:rsidRPr="00BC3E79">
        <w:rPr>
          <w:rFonts w:ascii="Times New Roman" w:hAnsi="Times New Roman"/>
          <w:sz w:val="28"/>
          <w:szCs w:val="28"/>
          <w:lang w:eastAsia="ru-RU"/>
        </w:rPr>
        <w:t>сфере социальной инфраструктуры относятся объекты в</w:t>
      </w:r>
      <w:r>
        <w:rPr>
          <w:rFonts w:ascii="Times New Roman" w:hAnsi="Times New Roman"/>
          <w:sz w:val="28"/>
          <w:szCs w:val="28"/>
          <w:lang w:eastAsia="ru-RU"/>
        </w:rPr>
        <w:t> </w:t>
      </w:r>
      <w:r w:rsidRPr="00BC3E79">
        <w:rPr>
          <w:rFonts w:ascii="Times New Roman" w:hAnsi="Times New Roman"/>
          <w:sz w:val="28"/>
          <w:szCs w:val="28"/>
          <w:lang w:eastAsia="ru-RU"/>
        </w:rPr>
        <w:t>области физической культуры и</w:t>
      </w:r>
      <w:r>
        <w:rPr>
          <w:rFonts w:ascii="Times New Roman" w:hAnsi="Times New Roman"/>
          <w:sz w:val="28"/>
          <w:szCs w:val="28"/>
          <w:lang w:eastAsia="ru-RU"/>
        </w:rPr>
        <w:t> </w:t>
      </w:r>
      <w:r w:rsidRPr="00BC3E79">
        <w:rPr>
          <w:rFonts w:ascii="Times New Roman" w:hAnsi="Times New Roman"/>
          <w:sz w:val="28"/>
          <w:szCs w:val="28"/>
          <w:lang w:eastAsia="ru-RU"/>
        </w:rPr>
        <w:t>массового спорта, культуры и</w:t>
      </w:r>
      <w:r>
        <w:rPr>
          <w:rFonts w:ascii="Times New Roman" w:hAnsi="Times New Roman"/>
          <w:sz w:val="28"/>
          <w:szCs w:val="28"/>
          <w:lang w:eastAsia="ru-RU"/>
        </w:rPr>
        <w:t> </w:t>
      </w:r>
      <w:r w:rsidRPr="00BC3E79">
        <w:rPr>
          <w:rFonts w:ascii="Times New Roman" w:hAnsi="Times New Roman"/>
          <w:sz w:val="28"/>
          <w:szCs w:val="28"/>
          <w:lang w:eastAsia="ru-RU"/>
        </w:rPr>
        <w:t>искусства.</w:t>
      </w:r>
    </w:p>
    <w:p w:rsidR="002D1E45" w:rsidRPr="00BC3E79" w:rsidRDefault="002D1E45" w:rsidP="00BC3E79">
      <w:pPr>
        <w:spacing w:after="0" w:line="240" w:lineRule="auto"/>
        <w:ind w:firstLine="709"/>
        <w:contextualSpacing/>
        <w:jc w:val="both"/>
        <w:rPr>
          <w:rFonts w:ascii="Times New Roman" w:hAnsi="Times New Roman"/>
          <w:sz w:val="28"/>
          <w:szCs w:val="28"/>
          <w:lang w:eastAsia="ru-RU"/>
        </w:rPr>
      </w:pPr>
      <w:r w:rsidRPr="00BC3E79">
        <w:rPr>
          <w:rFonts w:ascii="Times New Roman" w:hAnsi="Times New Roman"/>
          <w:sz w:val="28"/>
          <w:szCs w:val="28"/>
          <w:lang w:eastAsia="ru-RU"/>
        </w:rPr>
        <w:t>При оценке развития сети объектов социальной инфраструктуры необходимо учитывать объекты всех значений (федерального, регионального, местного), действующих на</w:t>
      </w:r>
      <w:r>
        <w:rPr>
          <w:rFonts w:ascii="Times New Roman" w:hAnsi="Times New Roman"/>
          <w:sz w:val="28"/>
          <w:szCs w:val="28"/>
          <w:lang w:eastAsia="ru-RU"/>
        </w:rPr>
        <w:t> </w:t>
      </w:r>
      <w:r w:rsidRPr="00BC3E79">
        <w:rPr>
          <w:rFonts w:ascii="Times New Roman" w:hAnsi="Times New Roman"/>
          <w:sz w:val="28"/>
          <w:szCs w:val="28"/>
          <w:lang w:eastAsia="ru-RU"/>
        </w:rPr>
        <w:t>территории. Оценка уровня развития сети объектов социальной инфраструктуры выполнена на</w:t>
      </w:r>
      <w:r>
        <w:rPr>
          <w:rFonts w:ascii="Times New Roman" w:hAnsi="Times New Roman"/>
          <w:sz w:val="28"/>
          <w:szCs w:val="28"/>
          <w:lang w:eastAsia="ru-RU"/>
        </w:rPr>
        <w:t> </w:t>
      </w:r>
      <w:r w:rsidRPr="00BC3E79">
        <w:rPr>
          <w:rFonts w:ascii="Times New Roman" w:hAnsi="Times New Roman"/>
          <w:sz w:val="28"/>
          <w:szCs w:val="28"/>
          <w:lang w:eastAsia="ru-RU"/>
        </w:rPr>
        <w:t>предмет:</w:t>
      </w:r>
    </w:p>
    <w:p w:rsidR="002D1E45" w:rsidRPr="00857B5D"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857B5D">
        <w:rPr>
          <w:rFonts w:ascii="Times New Roman" w:hAnsi="Times New Roman"/>
          <w:sz w:val="28"/>
          <w:szCs w:val="24"/>
        </w:rPr>
        <w:t>соответствия мощности действующих объектов расчётным показателям минимально допустимого уровня обеспеченности в</w:t>
      </w:r>
      <w:r>
        <w:rPr>
          <w:rFonts w:ascii="Times New Roman" w:hAnsi="Times New Roman"/>
          <w:sz w:val="28"/>
          <w:szCs w:val="24"/>
        </w:rPr>
        <w:t> </w:t>
      </w:r>
      <w:r w:rsidRPr="00857B5D">
        <w:rPr>
          <w:rFonts w:ascii="Times New Roman" w:hAnsi="Times New Roman"/>
          <w:sz w:val="28"/>
          <w:szCs w:val="24"/>
        </w:rPr>
        <w:t>соответствии с</w:t>
      </w:r>
      <w:r>
        <w:rPr>
          <w:rFonts w:ascii="Times New Roman" w:hAnsi="Times New Roman"/>
          <w:sz w:val="28"/>
          <w:szCs w:val="24"/>
        </w:rPr>
        <w:t> </w:t>
      </w:r>
      <w:r w:rsidRPr="00857B5D">
        <w:rPr>
          <w:rFonts w:ascii="Times New Roman" w:hAnsi="Times New Roman"/>
          <w:sz w:val="28"/>
          <w:szCs w:val="24"/>
        </w:rPr>
        <w:t>нормативами градостроительного проектирования;</w:t>
      </w:r>
    </w:p>
    <w:p w:rsidR="002D1E45" w:rsidRPr="00857B5D"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857B5D">
        <w:rPr>
          <w:rFonts w:ascii="Times New Roman" w:hAnsi="Times New Roman"/>
          <w:sz w:val="28"/>
          <w:szCs w:val="24"/>
        </w:rPr>
        <w:t>соответствия размещения действующих объектов расчётным показателям максимально допустимого уровня территориальной доступности в</w:t>
      </w:r>
      <w:r>
        <w:rPr>
          <w:rFonts w:ascii="Times New Roman" w:hAnsi="Times New Roman"/>
          <w:sz w:val="28"/>
          <w:szCs w:val="24"/>
        </w:rPr>
        <w:t> </w:t>
      </w:r>
      <w:r w:rsidRPr="00857B5D">
        <w:rPr>
          <w:rFonts w:ascii="Times New Roman" w:hAnsi="Times New Roman"/>
          <w:sz w:val="28"/>
          <w:szCs w:val="24"/>
        </w:rPr>
        <w:t>соответствии с</w:t>
      </w:r>
      <w:r>
        <w:rPr>
          <w:rFonts w:ascii="Times New Roman" w:hAnsi="Times New Roman"/>
          <w:sz w:val="28"/>
          <w:szCs w:val="24"/>
        </w:rPr>
        <w:t> </w:t>
      </w:r>
      <w:r w:rsidRPr="00857B5D">
        <w:rPr>
          <w:rFonts w:ascii="Times New Roman" w:hAnsi="Times New Roman"/>
          <w:sz w:val="28"/>
          <w:szCs w:val="24"/>
        </w:rPr>
        <w:t>нормативами градостроительного проектирования;</w:t>
      </w:r>
    </w:p>
    <w:p w:rsidR="002D1E45" w:rsidRPr="00857B5D"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857B5D">
        <w:rPr>
          <w:rFonts w:ascii="Times New Roman" w:hAnsi="Times New Roman"/>
          <w:sz w:val="28"/>
          <w:szCs w:val="24"/>
        </w:rPr>
        <w:t>наличия объектов, находящихся в</w:t>
      </w:r>
      <w:r>
        <w:rPr>
          <w:rFonts w:ascii="Times New Roman" w:hAnsi="Times New Roman"/>
          <w:sz w:val="28"/>
          <w:szCs w:val="24"/>
        </w:rPr>
        <w:t> </w:t>
      </w:r>
      <w:r w:rsidRPr="00857B5D">
        <w:rPr>
          <w:rFonts w:ascii="Times New Roman" w:hAnsi="Times New Roman"/>
          <w:sz w:val="28"/>
          <w:szCs w:val="24"/>
        </w:rPr>
        <w:t>неудовлетворительном техническом состоянии (ветхих, аварийных), а</w:t>
      </w:r>
      <w:r>
        <w:rPr>
          <w:rFonts w:ascii="Times New Roman" w:hAnsi="Times New Roman"/>
          <w:sz w:val="28"/>
          <w:szCs w:val="24"/>
        </w:rPr>
        <w:t> </w:t>
      </w:r>
      <w:r w:rsidRPr="00857B5D">
        <w:rPr>
          <w:rFonts w:ascii="Times New Roman" w:hAnsi="Times New Roman"/>
          <w:sz w:val="28"/>
          <w:szCs w:val="24"/>
        </w:rPr>
        <w:t>также расположенных в</w:t>
      </w:r>
      <w:r>
        <w:rPr>
          <w:rFonts w:ascii="Times New Roman" w:hAnsi="Times New Roman"/>
          <w:sz w:val="28"/>
          <w:szCs w:val="24"/>
        </w:rPr>
        <w:t> </w:t>
      </w:r>
      <w:r w:rsidRPr="00857B5D">
        <w:rPr>
          <w:rFonts w:ascii="Times New Roman" w:hAnsi="Times New Roman"/>
          <w:sz w:val="28"/>
          <w:szCs w:val="24"/>
        </w:rPr>
        <w:t>приспособленных помещениях.</w:t>
      </w:r>
    </w:p>
    <w:p w:rsidR="002D1E45" w:rsidRDefault="002D1E45" w:rsidP="00702EDD">
      <w:pPr>
        <w:spacing w:after="0" w:line="240" w:lineRule="auto"/>
        <w:ind w:firstLine="709"/>
        <w:contextualSpacing/>
        <w:jc w:val="both"/>
        <w:rPr>
          <w:rFonts w:ascii="Times New Roman" w:hAnsi="Times New Roman"/>
          <w:sz w:val="28"/>
          <w:szCs w:val="28"/>
          <w:lang w:eastAsia="ru-RU"/>
        </w:rPr>
      </w:pPr>
      <w:r>
        <w:rPr>
          <w:rFonts w:ascii="Times New Roman" w:hAnsi="Times New Roman"/>
          <w:sz w:val="28"/>
          <w:szCs w:val="28"/>
          <w:lang w:eastAsia="ru-RU"/>
        </w:rPr>
        <w:t xml:space="preserve">Расчёт </w:t>
      </w:r>
      <w:r w:rsidRPr="00BC3E79">
        <w:rPr>
          <w:rFonts w:ascii="Times New Roman" w:hAnsi="Times New Roman"/>
          <w:sz w:val="28"/>
          <w:szCs w:val="28"/>
          <w:lang w:eastAsia="ru-RU"/>
        </w:rPr>
        <w:t xml:space="preserve">уровня обеспеченности населения объектами </w:t>
      </w:r>
      <w:r>
        <w:rPr>
          <w:rFonts w:ascii="Times New Roman" w:hAnsi="Times New Roman"/>
          <w:sz w:val="28"/>
          <w:szCs w:val="28"/>
          <w:lang w:eastAsia="ru-RU"/>
        </w:rPr>
        <w:t>регионального</w:t>
      </w:r>
      <w:r w:rsidRPr="00BC3E79">
        <w:rPr>
          <w:rFonts w:ascii="Times New Roman" w:hAnsi="Times New Roman"/>
          <w:sz w:val="28"/>
          <w:szCs w:val="28"/>
          <w:lang w:eastAsia="ru-RU"/>
        </w:rPr>
        <w:t xml:space="preserve"> значения </w:t>
      </w:r>
      <w:r>
        <w:rPr>
          <w:rFonts w:ascii="Times New Roman" w:hAnsi="Times New Roman"/>
          <w:sz w:val="28"/>
          <w:szCs w:val="28"/>
          <w:lang w:eastAsia="ru-RU"/>
        </w:rPr>
        <w:t xml:space="preserve">Новосибирской области регулируется Региональными нормативами </w:t>
      </w:r>
      <w:r w:rsidRPr="00702EDD">
        <w:rPr>
          <w:rFonts w:ascii="Times New Roman" w:hAnsi="Times New Roman"/>
          <w:sz w:val="28"/>
          <w:szCs w:val="28"/>
          <w:lang w:eastAsia="ru-RU"/>
        </w:rPr>
        <w:t>градостроительного проектирования Новосибирской области</w:t>
      </w:r>
      <w:r>
        <w:rPr>
          <w:rFonts w:ascii="Times New Roman" w:hAnsi="Times New Roman"/>
          <w:sz w:val="28"/>
          <w:szCs w:val="28"/>
          <w:lang w:eastAsia="ru-RU"/>
        </w:rPr>
        <w:t>,</w:t>
      </w:r>
      <w:r w:rsidRPr="00BC3E79">
        <w:rPr>
          <w:rFonts w:ascii="Times New Roman" w:hAnsi="Times New Roman"/>
          <w:sz w:val="28"/>
          <w:szCs w:val="28"/>
          <w:lang w:eastAsia="ru-RU"/>
        </w:rPr>
        <w:t xml:space="preserve"> утверждёнными</w:t>
      </w:r>
      <w:r>
        <w:rPr>
          <w:rFonts w:ascii="Times New Roman" w:hAnsi="Times New Roman"/>
          <w:sz w:val="28"/>
          <w:szCs w:val="28"/>
          <w:lang w:eastAsia="ru-RU"/>
        </w:rPr>
        <w:t xml:space="preserve"> </w:t>
      </w:r>
      <w:r w:rsidRPr="00702EDD">
        <w:rPr>
          <w:rFonts w:ascii="Times New Roman" w:hAnsi="Times New Roman"/>
          <w:sz w:val="28"/>
          <w:szCs w:val="28"/>
          <w:lang w:eastAsia="ru-RU"/>
        </w:rPr>
        <w:t>постановлением</w:t>
      </w:r>
      <w:r>
        <w:rPr>
          <w:rFonts w:ascii="Times New Roman" w:hAnsi="Times New Roman"/>
          <w:sz w:val="28"/>
          <w:szCs w:val="28"/>
          <w:lang w:eastAsia="ru-RU"/>
        </w:rPr>
        <w:t xml:space="preserve"> </w:t>
      </w:r>
      <w:r w:rsidRPr="00702EDD">
        <w:rPr>
          <w:rFonts w:ascii="Times New Roman" w:hAnsi="Times New Roman"/>
          <w:sz w:val="28"/>
          <w:szCs w:val="28"/>
          <w:lang w:eastAsia="ru-RU"/>
        </w:rPr>
        <w:t>Правительства Новосибирской области</w:t>
      </w:r>
      <w:r>
        <w:rPr>
          <w:rFonts w:ascii="Times New Roman" w:hAnsi="Times New Roman"/>
          <w:sz w:val="28"/>
          <w:szCs w:val="28"/>
          <w:lang w:eastAsia="ru-RU"/>
        </w:rPr>
        <w:t xml:space="preserve"> </w:t>
      </w:r>
      <w:r w:rsidRPr="00702EDD">
        <w:rPr>
          <w:rFonts w:ascii="Times New Roman" w:hAnsi="Times New Roman"/>
          <w:sz w:val="28"/>
          <w:szCs w:val="28"/>
          <w:lang w:eastAsia="ru-RU"/>
        </w:rPr>
        <w:t>от 12.08.2015 № 303-п</w:t>
      </w:r>
      <w:r>
        <w:rPr>
          <w:rFonts w:ascii="Times New Roman" w:hAnsi="Times New Roman"/>
          <w:sz w:val="28"/>
          <w:szCs w:val="28"/>
          <w:lang w:eastAsia="ru-RU"/>
        </w:rPr>
        <w:t xml:space="preserve"> </w:t>
      </w:r>
      <w:r w:rsidRPr="00BC3E79">
        <w:rPr>
          <w:rFonts w:ascii="Times New Roman" w:hAnsi="Times New Roman"/>
          <w:sz w:val="28"/>
          <w:szCs w:val="28"/>
          <w:lang w:eastAsia="ru-RU"/>
        </w:rPr>
        <w:t xml:space="preserve">(далее – </w:t>
      </w:r>
      <w:r>
        <w:rPr>
          <w:rFonts w:ascii="Times New Roman" w:hAnsi="Times New Roman"/>
          <w:sz w:val="28"/>
          <w:szCs w:val="28"/>
          <w:lang w:eastAsia="ru-RU"/>
        </w:rPr>
        <w:t>Р</w:t>
      </w:r>
      <w:r w:rsidRPr="00BC3E79">
        <w:rPr>
          <w:rFonts w:ascii="Times New Roman" w:hAnsi="Times New Roman"/>
          <w:sz w:val="28"/>
          <w:szCs w:val="28"/>
          <w:lang w:eastAsia="ru-RU"/>
        </w:rPr>
        <w:t xml:space="preserve">НГП </w:t>
      </w:r>
      <w:r>
        <w:rPr>
          <w:rFonts w:ascii="Times New Roman" w:hAnsi="Times New Roman"/>
          <w:sz w:val="28"/>
          <w:szCs w:val="28"/>
          <w:lang w:eastAsia="ru-RU"/>
        </w:rPr>
        <w:t>НСО</w:t>
      </w:r>
      <w:r w:rsidRPr="00BC3E79">
        <w:rPr>
          <w:rFonts w:ascii="Times New Roman" w:hAnsi="Times New Roman"/>
          <w:sz w:val="28"/>
          <w:szCs w:val="28"/>
          <w:lang w:eastAsia="ru-RU"/>
        </w:rPr>
        <w:t>)</w:t>
      </w:r>
      <w:r>
        <w:rPr>
          <w:rFonts w:ascii="Times New Roman" w:hAnsi="Times New Roman"/>
          <w:sz w:val="28"/>
          <w:szCs w:val="28"/>
          <w:lang w:eastAsia="ru-RU"/>
        </w:rPr>
        <w:t>.</w:t>
      </w:r>
    </w:p>
    <w:p w:rsidR="002D1E45" w:rsidRDefault="002D1E45" w:rsidP="004F7E50">
      <w:pPr>
        <w:spacing w:after="0" w:line="240" w:lineRule="auto"/>
        <w:ind w:firstLine="709"/>
        <w:contextualSpacing/>
        <w:jc w:val="both"/>
        <w:rPr>
          <w:rFonts w:ascii="Times New Roman" w:hAnsi="Times New Roman"/>
          <w:sz w:val="28"/>
          <w:szCs w:val="28"/>
          <w:lang w:eastAsia="ru-RU"/>
        </w:rPr>
      </w:pPr>
      <w:r>
        <w:rPr>
          <w:rFonts w:ascii="Times New Roman" w:hAnsi="Times New Roman"/>
          <w:sz w:val="28"/>
          <w:szCs w:val="28"/>
          <w:lang w:eastAsia="ru-RU"/>
        </w:rPr>
        <w:t xml:space="preserve">Расчёт </w:t>
      </w:r>
      <w:r w:rsidRPr="00BC3E79">
        <w:rPr>
          <w:rFonts w:ascii="Times New Roman" w:hAnsi="Times New Roman"/>
          <w:sz w:val="28"/>
          <w:szCs w:val="28"/>
          <w:lang w:eastAsia="ru-RU"/>
        </w:rPr>
        <w:t xml:space="preserve">уровня обеспеченности населения объектами местного значения </w:t>
      </w:r>
      <w:r>
        <w:rPr>
          <w:rFonts w:ascii="Times New Roman" w:hAnsi="Times New Roman"/>
          <w:sz w:val="28"/>
          <w:szCs w:val="28"/>
          <w:lang w:eastAsia="ru-RU"/>
        </w:rPr>
        <w:t xml:space="preserve">района регулируется Местными нормативами </w:t>
      </w:r>
      <w:r w:rsidRPr="00702EDD">
        <w:rPr>
          <w:rFonts w:ascii="Times New Roman" w:hAnsi="Times New Roman"/>
          <w:sz w:val="28"/>
          <w:szCs w:val="28"/>
          <w:lang w:eastAsia="ru-RU"/>
        </w:rPr>
        <w:t xml:space="preserve">градостроительного проектирования </w:t>
      </w:r>
      <w:r w:rsidRPr="00ED77F4">
        <w:rPr>
          <w:rFonts w:ascii="Times New Roman" w:hAnsi="Times New Roman"/>
          <w:sz w:val="28"/>
          <w:szCs w:val="28"/>
          <w:lang w:eastAsia="ru-RU"/>
        </w:rPr>
        <w:t xml:space="preserve">Куйбышевского </w:t>
      </w:r>
      <w:r w:rsidRPr="00702EDD">
        <w:rPr>
          <w:rFonts w:ascii="Times New Roman" w:hAnsi="Times New Roman"/>
          <w:sz w:val="28"/>
          <w:szCs w:val="28"/>
          <w:lang w:eastAsia="ru-RU"/>
        </w:rPr>
        <w:t>района Новосибирской области</w:t>
      </w:r>
      <w:r>
        <w:rPr>
          <w:rFonts w:ascii="Times New Roman" w:hAnsi="Times New Roman"/>
          <w:sz w:val="28"/>
          <w:szCs w:val="28"/>
          <w:lang w:eastAsia="ru-RU"/>
        </w:rPr>
        <w:t>,</w:t>
      </w:r>
      <w:r w:rsidRPr="00BC3E79">
        <w:rPr>
          <w:rFonts w:ascii="Times New Roman" w:hAnsi="Times New Roman"/>
          <w:sz w:val="28"/>
          <w:szCs w:val="28"/>
          <w:lang w:eastAsia="ru-RU"/>
        </w:rPr>
        <w:t xml:space="preserve"> утверждёнными</w:t>
      </w:r>
      <w:r>
        <w:rPr>
          <w:rFonts w:ascii="Times New Roman" w:hAnsi="Times New Roman"/>
          <w:sz w:val="28"/>
          <w:szCs w:val="28"/>
          <w:lang w:eastAsia="ru-RU"/>
        </w:rPr>
        <w:t xml:space="preserve"> </w:t>
      </w:r>
      <w:r w:rsidRPr="00672995">
        <w:rPr>
          <w:rFonts w:ascii="Times New Roman" w:hAnsi="Times New Roman"/>
          <w:sz w:val="28"/>
          <w:szCs w:val="28"/>
          <w:lang w:eastAsia="ru-RU"/>
        </w:rPr>
        <w:t>Решение</w:t>
      </w:r>
      <w:r>
        <w:rPr>
          <w:rFonts w:ascii="Times New Roman" w:hAnsi="Times New Roman"/>
          <w:sz w:val="28"/>
          <w:szCs w:val="28"/>
          <w:lang w:eastAsia="ru-RU"/>
        </w:rPr>
        <w:t>м</w:t>
      </w:r>
      <w:r w:rsidRPr="00672995">
        <w:rPr>
          <w:rFonts w:ascii="Times New Roman" w:hAnsi="Times New Roman"/>
          <w:sz w:val="28"/>
          <w:szCs w:val="28"/>
          <w:lang w:eastAsia="ru-RU"/>
        </w:rPr>
        <w:t xml:space="preserve"> </w:t>
      </w:r>
      <w:r w:rsidRPr="00ED77F4">
        <w:rPr>
          <w:rFonts w:ascii="Times New Roman" w:hAnsi="Times New Roman"/>
          <w:sz w:val="28"/>
          <w:szCs w:val="28"/>
          <w:lang w:eastAsia="ru-RU"/>
        </w:rPr>
        <w:t>Совета депутатов Куйбышевского района</w:t>
      </w:r>
      <w:r>
        <w:rPr>
          <w:rFonts w:ascii="Times New Roman" w:hAnsi="Times New Roman"/>
          <w:sz w:val="28"/>
          <w:szCs w:val="28"/>
          <w:lang w:eastAsia="ru-RU"/>
        </w:rPr>
        <w:t xml:space="preserve"> </w:t>
      </w:r>
      <w:r w:rsidRPr="00ED77F4">
        <w:rPr>
          <w:rFonts w:ascii="Times New Roman" w:hAnsi="Times New Roman"/>
          <w:sz w:val="28"/>
          <w:szCs w:val="28"/>
          <w:lang w:eastAsia="ru-RU"/>
        </w:rPr>
        <w:t>Новосибирской области</w:t>
      </w:r>
      <w:r>
        <w:rPr>
          <w:rFonts w:ascii="Times New Roman" w:hAnsi="Times New Roman"/>
          <w:sz w:val="28"/>
          <w:szCs w:val="28"/>
          <w:lang w:eastAsia="ru-RU"/>
        </w:rPr>
        <w:t xml:space="preserve"> </w:t>
      </w:r>
      <w:r w:rsidRPr="00ED77F4">
        <w:rPr>
          <w:rFonts w:ascii="Times New Roman" w:hAnsi="Times New Roman"/>
          <w:sz w:val="28"/>
          <w:szCs w:val="28"/>
          <w:lang w:eastAsia="ru-RU"/>
        </w:rPr>
        <w:t>от 20.10.2016 № 7</w:t>
      </w:r>
      <w:r w:rsidRPr="00427F05">
        <w:rPr>
          <w:rFonts w:ascii="Times New Roman" w:hAnsi="Times New Roman"/>
          <w:sz w:val="28"/>
          <w:szCs w:val="28"/>
          <w:lang w:eastAsia="ru-RU"/>
        </w:rPr>
        <w:t xml:space="preserve"> </w:t>
      </w:r>
      <w:r>
        <w:rPr>
          <w:rFonts w:ascii="Times New Roman" w:hAnsi="Times New Roman"/>
          <w:sz w:val="28"/>
          <w:szCs w:val="28"/>
          <w:lang w:eastAsia="ru-RU"/>
        </w:rPr>
        <w:t>(</w:t>
      </w:r>
      <w:r w:rsidRPr="00BC3E79">
        <w:rPr>
          <w:rFonts w:ascii="Times New Roman" w:hAnsi="Times New Roman"/>
          <w:sz w:val="28"/>
          <w:szCs w:val="28"/>
          <w:lang w:eastAsia="ru-RU"/>
        </w:rPr>
        <w:t xml:space="preserve">далее – МНГП </w:t>
      </w:r>
      <w:r w:rsidRPr="00ED77F4">
        <w:rPr>
          <w:rFonts w:ascii="Times New Roman" w:hAnsi="Times New Roman"/>
          <w:sz w:val="28"/>
          <w:szCs w:val="28"/>
          <w:lang w:eastAsia="ru-RU"/>
        </w:rPr>
        <w:t xml:space="preserve">Куйбышевского </w:t>
      </w:r>
      <w:r>
        <w:rPr>
          <w:rFonts w:ascii="Times New Roman" w:hAnsi="Times New Roman"/>
          <w:sz w:val="28"/>
          <w:szCs w:val="28"/>
          <w:lang w:eastAsia="ru-RU"/>
        </w:rPr>
        <w:t>района</w:t>
      </w:r>
      <w:r w:rsidRPr="00BC3E79">
        <w:rPr>
          <w:rFonts w:ascii="Times New Roman" w:hAnsi="Times New Roman"/>
          <w:sz w:val="28"/>
          <w:szCs w:val="28"/>
          <w:lang w:eastAsia="ru-RU"/>
        </w:rPr>
        <w:t>)</w:t>
      </w:r>
      <w:r>
        <w:rPr>
          <w:rFonts w:ascii="Times New Roman" w:hAnsi="Times New Roman"/>
          <w:sz w:val="28"/>
          <w:szCs w:val="28"/>
          <w:lang w:eastAsia="ru-RU"/>
        </w:rPr>
        <w:t>.</w:t>
      </w:r>
    </w:p>
    <w:p w:rsidR="002D1E45" w:rsidRPr="00BC3E79" w:rsidRDefault="002D1E45" w:rsidP="004F7E50">
      <w:pPr>
        <w:spacing w:after="0" w:line="240" w:lineRule="auto"/>
        <w:ind w:firstLine="709"/>
        <w:contextualSpacing/>
        <w:jc w:val="both"/>
        <w:rPr>
          <w:rFonts w:ascii="Times New Roman" w:hAnsi="Times New Roman"/>
          <w:sz w:val="28"/>
          <w:szCs w:val="28"/>
          <w:lang w:eastAsia="ru-RU"/>
        </w:rPr>
      </w:pPr>
      <w:r w:rsidRPr="00BC3E79">
        <w:rPr>
          <w:rFonts w:ascii="Times New Roman" w:hAnsi="Times New Roman"/>
          <w:sz w:val="28"/>
          <w:szCs w:val="28"/>
          <w:lang w:eastAsia="ru-RU"/>
        </w:rPr>
        <w:t xml:space="preserve">Расчёт уровня обеспеченности населения объектами местного значения </w:t>
      </w:r>
      <w:r>
        <w:rPr>
          <w:rFonts w:ascii="Times New Roman" w:hAnsi="Times New Roman"/>
          <w:sz w:val="28"/>
          <w:szCs w:val="28"/>
          <w:lang w:eastAsia="ru-RU"/>
        </w:rPr>
        <w:t xml:space="preserve">города Куйбышева регулируется </w:t>
      </w:r>
      <w:r w:rsidRPr="00BC3E79">
        <w:rPr>
          <w:rFonts w:ascii="Times New Roman" w:hAnsi="Times New Roman"/>
          <w:sz w:val="28"/>
          <w:szCs w:val="28"/>
          <w:lang w:eastAsia="ru-RU"/>
        </w:rPr>
        <w:t xml:space="preserve">Местными </w:t>
      </w:r>
      <w:r w:rsidRPr="00271593">
        <w:rPr>
          <w:rFonts w:ascii="Times New Roman" w:hAnsi="Times New Roman"/>
          <w:sz w:val="28"/>
          <w:szCs w:val="28"/>
          <w:lang w:eastAsia="ru-RU"/>
        </w:rPr>
        <w:t>норматив</w:t>
      </w:r>
      <w:r>
        <w:rPr>
          <w:rFonts w:ascii="Times New Roman" w:hAnsi="Times New Roman"/>
          <w:sz w:val="28"/>
          <w:szCs w:val="28"/>
          <w:lang w:eastAsia="ru-RU"/>
        </w:rPr>
        <w:t>ами</w:t>
      </w:r>
      <w:r w:rsidRPr="00271593">
        <w:rPr>
          <w:rFonts w:ascii="Times New Roman" w:hAnsi="Times New Roman"/>
          <w:sz w:val="28"/>
          <w:szCs w:val="28"/>
          <w:lang w:eastAsia="ru-RU"/>
        </w:rPr>
        <w:t xml:space="preserve"> градостроительного проектирования </w:t>
      </w:r>
      <w:r>
        <w:rPr>
          <w:rFonts w:ascii="Times New Roman" w:hAnsi="Times New Roman"/>
          <w:sz w:val="28"/>
          <w:szCs w:val="28"/>
          <w:lang w:eastAsia="ru-RU"/>
        </w:rPr>
        <w:t>г. Куйбышева</w:t>
      </w:r>
      <w:r w:rsidRPr="001E7750">
        <w:rPr>
          <w:rFonts w:ascii="Times New Roman" w:hAnsi="Times New Roman"/>
          <w:sz w:val="28"/>
          <w:szCs w:val="28"/>
          <w:lang w:eastAsia="ru-RU"/>
        </w:rPr>
        <w:t xml:space="preserve"> </w:t>
      </w:r>
      <w:r>
        <w:rPr>
          <w:rFonts w:ascii="Times New Roman" w:hAnsi="Times New Roman"/>
          <w:sz w:val="28"/>
          <w:szCs w:val="28"/>
          <w:lang w:eastAsia="ru-RU"/>
        </w:rPr>
        <w:t>Куйбышевского</w:t>
      </w:r>
      <w:r w:rsidRPr="00427F05">
        <w:rPr>
          <w:rFonts w:ascii="Times New Roman" w:hAnsi="Times New Roman"/>
          <w:sz w:val="28"/>
          <w:szCs w:val="28"/>
          <w:lang w:eastAsia="ru-RU"/>
        </w:rPr>
        <w:t xml:space="preserve"> </w:t>
      </w:r>
      <w:r w:rsidRPr="001E7750">
        <w:rPr>
          <w:rFonts w:ascii="Times New Roman" w:hAnsi="Times New Roman"/>
          <w:sz w:val="28"/>
          <w:szCs w:val="28"/>
          <w:lang w:eastAsia="ru-RU"/>
        </w:rPr>
        <w:t>района Новосибирской области</w:t>
      </w:r>
      <w:r>
        <w:rPr>
          <w:rFonts w:ascii="Times New Roman" w:hAnsi="Times New Roman"/>
          <w:sz w:val="28"/>
          <w:szCs w:val="28"/>
          <w:lang w:eastAsia="ru-RU"/>
        </w:rPr>
        <w:t>,</w:t>
      </w:r>
      <w:r w:rsidRPr="00BC3E79">
        <w:rPr>
          <w:rFonts w:ascii="Times New Roman" w:hAnsi="Times New Roman"/>
          <w:sz w:val="28"/>
          <w:szCs w:val="28"/>
          <w:lang w:eastAsia="ru-RU"/>
        </w:rPr>
        <w:t xml:space="preserve"> утверждёнными Решением </w:t>
      </w:r>
      <w:r w:rsidRPr="004F7E50">
        <w:rPr>
          <w:rFonts w:ascii="Times New Roman" w:hAnsi="Times New Roman"/>
          <w:sz w:val="28"/>
          <w:szCs w:val="28"/>
          <w:lang w:eastAsia="ru-RU"/>
        </w:rPr>
        <w:t>Совета депутатов города Куйбышева Куйбышевского</w:t>
      </w:r>
      <w:r>
        <w:rPr>
          <w:rFonts w:ascii="Times New Roman" w:hAnsi="Times New Roman"/>
          <w:sz w:val="28"/>
          <w:szCs w:val="28"/>
          <w:lang w:eastAsia="ru-RU"/>
        </w:rPr>
        <w:t xml:space="preserve"> </w:t>
      </w:r>
      <w:r w:rsidRPr="004F7E50">
        <w:rPr>
          <w:rFonts w:ascii="Times New Roman" w:hAnsi="Times New Roman"/>
          <w:sz w:val="28"/>
          <w:szCs w:val="28"/>
          <w:lang w:eastAsia="ru-RU"/>
        </w:rPr>
        <w:t>района Новосибирской области от 20.02.2017 № 79</w:t>
      </w:r>
      <w:r w:rsidRPr="00427F05">
        <w:rPr>
          <w:rFonts w:ascii="Times New Roman" w:hAnsi="Times New Roman"/>
          <w:sz w:val="28"/>
          <w:szCs w:val="28"/>
          <w:lang w:eastAsia="ru-RU"/>
        </w:rPr>
        <w:t xml:space="preserve"> </w:t>
      </w:r>
      <w:r w:rsidRPr="00BC3E79">
        <w:rPr>
          <w:rFonts w:ascii="Times New Roman" w:hAnsi="Times New Roman"/>
          <w:sz w:val="28"/>
          <w:szCs w:val="28"/>
          <w:lang w:eastAsia="ru-RU"/>
        </w:rPr>
        <w:t xml:space="preserve">(далее – МНГП </w:t>
      </w:r>
      <w:r>
        <w:rPr>
          <w:rFonts w:ascii="Times New Roman" w:hAnsi="Times New Roman"/>
          <w:sz w:val="28"/>
          <w:szCs w:val="28"/>
          <w:lang w:eastAsia="ru-RU"/>
        </w:rPr>
        <w:t>г. Куйбышева</w:t>
      </w:r>
      <w:r w:rsidRPr="00BC3E79">
        <w:rPr>
          <w:rFonts w:ascii="Times New Roman" w:hAnsi="Times New Roman"/>
          <w:sz w:val="28"/>
          <w:szCs w:val="28"/>
          <w:lang w:eastAsia="ru-RU"/>
        </w:rPr>
        <w:t>)</w:t>
      </w:r>
      <w:r>
        <w:rPr>
          <w:rFonts w:ascii="Times New Roman" w:hAnsi="Times New Roman"/>
          <w:sz w:val="28"/>
          <w:szCs w:val="28"/>
          <w:lang w:eastAsia="ru-RU"/>
        </w:rPr>
        <w:t xml:space="preserve">, с учётом </w:t>
      </w:r>
      <w:r w:rsidRPr="002F309F">
        <w:rPr>
          <w:rFonts w:ascii="Times New Roman" w:hAnsi="Times New Roman"/>
          <w:sz w:val="28"/>
          <w:szCs w:val="28"/>
          <w:lang w:eastAsia="ru-RU"/>
        </w:rPr>
        <w:t>СП 42.13330.2016 «Градостроительство. Планировка и</w:t>
      </w:r>
      <w:r>
        <w:rPr>
          <w:rFonts w:ascii="Times New Roman" w:hAnsi="Times New Roman"/>
          <w:sz w:val="28"/>
          <w:szCs w:val="28"/>
          <w:lang w:eastAsia="ru-RU"/>
        </w:rPr>
        <w:t> </w:t>
      </w:r>
      <w:r w:rsidRPr="002F309F">
        <w:rPr>
          <w:rFonts w:ascii="Times New Roman" w:hAnsi="Times New Roman"/>
          <w:sz w:val="28"/>
          <w:szCs w:val="28"/>
          <w:lang w:eastAsia="ru-RU"/>
        </w:rPr>
        <w:t>застройка городских и</w:t>
      </w:r>
      <w:r>
        <w:rPr>
          <w:rFonts w:ascii="Times New Roman" w:hAnsi="Times New Roman"/>
          <w:sz w:val="28"/>
          <w:szCs w:val="28"/>
          <w:lang w:eastAsia="ru-RU"/>
        </w:rPr>
        <w:t> </w:t>
      </w:r>
      <w:r w:rsidRPr="002F309F">
        <w:rPr>
          <w:rFonts w:ascii="Times New Roman" w:hAnsi="Times New Roman"/>
          <w:sz w:val="28"/>
          <w:szCs w:val="28"/>
          <w:lang w:eastAsia="ru-RU"/>
        </w:rPr>
        <w:t>сельских поселений». Актуализированная редакция СНиП 2.07.01-89*</w:t>
      </w:r>
      <w:r>
        <w:rPr>
          <w:rFonts w:ascii="Times New Roman" w:hAnsi="Times New Roman"/>
          <w:sz w:val="28"/>
          <w:szCs w:val="28"/>
          <w:lang w:eastAsia="ru-RU"/>
        </w:rPr>
        <w:t xml:space="preserve"> и иных отраслевых нормативных актов в сфере градостроительства</w:t>
      </w:r>
      <w:r w:rsidRPr="00BC3E79">
        <w:rPr>
          <w:rFonts w:ascii="Times New Roman" w:hAnsi="Times New Roman"/>
          <w:sz w:val="28"/>
          <w:szCs w:val="28"/>
          <w:lang w:eastAsia="ru-RU"/>
        </w:rPr>
        <w:t>.</w:t>
      </w:r>
    </w:p>
    <w:p w:rsidR="002D1E45" w:rsidRPr="005D28B1" w:rsidRDefault="002D1E45" w:rsidP="00260D34">
      <w:pPr>
        <w:spacing w:after="0" w:line="240" w:lineRule="auto"/>
        <w:ind w:firstLine="709"/>
        <w:jc w:val="both"/>
        <w:rPr>
          <w:rFonts w:ascii="Times New Roman" w:hAnsi="Times New Roman"/>
          <w:i/>
          <w:sz w:val="28"/>
          <w:szCs w:val="24"/>
          <w:u w:val="single"/>
          <w:lang w:eastAsia="ru-RU"/>
        </w:rPr>
      </w:pPr>
      <w:bookmarkStart w:id="140" w:name="_Hlk487541735"/>
      <w:r w:rsidRPr="005D28B1">
        <w:rPr>
          <w:rFonts w:ascii="Times New Roman" w:hAnsi="Times New Roman"/>
          <w:i/>
          <w:sz w:val="28"/>
          <w:szCs w:val="24"/>
          <w:u w:val="single"/>
          <w:lang w:eastAsia="ru-RU"/>
        </w:rPr>
        <w:t>Образование</w:t>
      </w:r>
    </w:p>
    <w:p w:rsidR="002D1E45" w:rsidRPr="00AA4D99" w:rsidRDefault="002D1E45" w:rsidP="00AA4D99">
      <w:pPr>
        <w:spacing w:after="0" w:line="240" w:lineRule="auto"/>
        <w:ind w:firstLine="709"/>
        <w:contextualSpacing/>
        <w:jc w:val="both"/>
        <w:rPr>
          <w:rFonts w:ascii="Times New Roman" w:hAnsi="Times New Roman"/>
          <w:color w:val="000000"/>
          <w:sz w:val="28"/>
          <w:szCs w:val="28"/>
        </w:rPr>
      </w:pPr>
      <w:r w:rsidRPr="00AA4D99">
        <w:rPr>
          <w:rFonts w:ascii="Times New Roman" w:hAnsi="Times New Roman"/>
          <w:sz w:val="28"/>
          <w:szCs w:val="28"/>
          <w:lang w:eastAsia="ru-RU"/>
        </w:rPr>
        <w:t>О</w:t>
      </w:r>
      <w:r>
        <w:rPr>
          <w:rFonts w:ascii="Times New Roman" w:hAnsi="Times New Roman"/>
          <w:sz w:val="28"/>
          <w:szCs w:val="28"/>
          <w:lang w:eastAsia="ru-RU"/>
        </w:rPr>
        <w:t>бщео</w:t>
      </w:r>
      <w:r w:rsidRPr="00AA4D99">
        <w:rPr>
          <w:rFonts w:ascii="Times New Roman" w:hAnsi="Times New Roman"/>
          <w:sz w:val="28"/>
          <w:szCs w:val="28"/>
          <w:lang w:eastAsia="ru-RU"/>
        </w:rPr>
        <w:t>бразовательные</w:t>
      </w:r>
      <w:r w:rsidRPr="00AA4D99">
        <w:rPr>
          <w:rFonts w:ascii="Times New Roman" w:hAnsi="Times New Roman"/>
          <w:color w:val="000000"/>
          <w:sz w:val="28"/>
          <w:szCs w:val="28"/>
          <w:shd w:val="clear" w:color="auto" w:fill="FFFFFF"/>
        </w:rPr>
        <w:t xml:space="preserve"> услуги на</w:t>
      </w:r>
      <w:r>
        <w:rPr>
          <w:rFonts w:ascii="Times New Roman" w:hAnsi="Times New Roman"/>
          <w:color w:val="000000"/>
          <w:sz w:val="28"/>
          <w:szCs w:val="28"/>
          <w:shd w:val="clear" w:color="auto" w:fill="FFFFFF"/>
        </w:rPr>
        <w:t> </w:t>
      </w:r>
      <w:r w:rsidRPr="00AA4D99">
        <w:rPr>
          <w:rFonts w:ascii="Times New Roman" w:hAnsi="Times New Roman"/>
          <w:color w:val="000000"/>
          <w:sz w:val="28"/>
          <w:szCs w:val="28"/>
          <w:shd w:val="clear" w:color="auto" w:fill="FFFFFF"/>
        </w:rPr>
        <w:t>территории поселения оказываются следующими организациями:</w:t>
      </w:r>
    </w:p>
    <w:p w:rsidR="002D1E45"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2070B9">
        <w:rPr>
          <w:rFonts w:ascii="Times New Roman" w:hAnsi="Times New Roman"/>
          <w:sz w:val="28"/>
          <w:szCs w:val="24"/>
        </w:rPr>
        <w:t>МБОУ «</w:t>
      </w:r>
      <w:r>
        <w:rPr>
          <w:rFonts w:ascii="Times New Roman" w:hAnsi="Times New Roman"/>
          <w:sz w:val="28"/>
          <w:szCs w:val="24"/>
        </w:rPr>
        <w:t>Г</w:t>
      </w:r>
      <w:r w:rsidRPr="002070B9">
        <w:rPr>
          <w:rFonts w:ascii="Times New Roman" w:hAnsi="Times New Roman"/>
          <w:sz w:val="28"/>
          <w:szCs w:val="24"/>
        </w:rPr>
        <w:t>имназия №</w:t>
      </w:r>
      <w:r>
        <w:rPr>
          <w:rFonts w:ascii="Times New Roman" w:hAnsi="Times New Roman"/>
          <w:sz w:val="28"/>
          <w:szCs w:val="24"/>
        </w:rPr>
        <w:t xml:space="preserve"> </w:t>
      </w:r>
      <w:r w:rsidRPr="002070B9">
        <w:rPr>
          <w:rFonts w:ascii="Times New Roman" w:hAnsi="Times New Roman"/>
          <w:sz w:val="28"/>
          <w:szCs w:val="24"/>
        </w:rPr>
        <w:t>1 им. А.</w:t>
      </w:r>
      <w:r>
        <w:rPr>
          <w:rFonts w:ascii="Times New Roman" w:hAnsi="Times New Roman"/>
          <w:sz w:val="28"/>
          <w:szCs w:val="24"/>
        </w:rPr>
        <w:t xml:space="preserve"> </w:t>
      </w:r>
      <w:r w:rsidRPr="002070B9">
        <w:rPr>
          <w:rFonts w:ascii="Times New Roman" w:hAnsi="Times New Roman"/>
          <w:sz w:val="28"/>
          <w:szCs w:val="24"/>
        </w:rPr>
        <w:t>Л.</w:t>
      </w:r>
      <w:r>
        <w:rPr>
          <w:rFonts w:ascii="Times New Roman" w:hAnsi="Times New Roman"/>
          <w:sz w:val="28"/>
          <w:szCs w:val="24"/>
        </w:rPr>
        <w:t xml:space="preserve"> </w:t>
      </w:r>
      <w:r w:rsidRPr="002070B9">
        <w:rPr>
          <w:rFonts w:ascii="Times New Roman" w:hAnsi="Times New Roman"/>
          <w:sz w:val="28"/>
          <w:szCs w:val="24"/>
        </w:rPr>
        <w:t>Кузнецовой»</w:t>
      </w:r>
      <w:r>
        <w:rPr>
          <w:rFonts w:ascii="Times New Roman" w:hAnsi="Times New Roman"/>
          <w:sz w:val="28"/>
          <w:szCs w:val="24"/>
        </w:rPr>
        <w:t xml:space="preserve"> (количество учащихся – 473 чел., педагогов – 37 чел., нагрузка – 12,8 уч./пед.</w:t>
      </w:r>
      <w:r w:rsidRPr="002070B9">
        <w:rPr>
          <w:rFonts w:ascii="Times New Roman" w:hAnsi="Times New Roman"/>
          <w:sz w:val="28"/>
          <w:szCs w:val="24"/>
        </w:rPr>
        <w:t>);</w:t>
      </w:r>
    </w:p>
    <w:p w:rsidR="002D1E45" w:rsidRPr="002070B9"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EC43A5">
        <w:rPr>
          <w:rFonts w:ascii="Times New Roman" w:hAnsi="Times New Roman"/>
          <w:sz w:val="28"/>
          <w:szCs w:val="24"/>
        </w:rPr>
        <w:t>МБОУ «</w:t>
      </w:r>
      <w:r>
        <w:rPr>
          <w:rFonts w:ascii="Times New Roman" w:hAnsi="Times New Roman"/>
          <w:sz w:val="28"/>
          <w:szCs w:val="24"/>
        </w:rPr>
        <w:t>С</w:t>
      </w:r>
      <w:r w:rsidRPr="00EC43A5">
        <w:rPr>
          <w:rFonts w:ascii="Times New Roman" w:hAnsi="Times New Roman"/>
          <w:sz w:val="28"/>
          <w:szCs w:val="24"/>
        </w:rPr>
        <w:t>редняя общеобразовательная школа №</w:t>
      </w:r>
      <w:r>
        <w:rPr>
          <w:rFonts w:ascii="Times New Roman" w:hAnsi="Times New Roman"/>
          <w:sz w:val="28"/>
          <w:szCs w:val="24"/>
        </w:rPr>
        <w:t xml:space="preserve"> </w:t>
      </w:r>
      <w:r w:rsidRPr="00EC43A5">
        <w:rPr>
          <w:rFonts w:ascii="Times New Roman" w:hAnsi="Times New Roman"/>
          <w:sz w:val="28"/>
          <w:szCs w:val="24"/>
        </w:rPr>
        <w:t xml:space="preserve">2» </w:t>
      </w:r>
      <w:r>
        <w:rPr>
          <w:rFonts w:ascii="Times New Roman" w:hAnsi="Times New Roman"/>
          <w:sz w:val="28"/>
          <w:szCs w:val="24"/>
        </w:rPr>
        <w:t>(количество учащихся – 341 чел., педагогов – 30 чел., нагрузка – 11,4 уч./пед.</w:t>
      </w:r>
      <w:r w:rsidRPr="002070B9">
        <w:rPr>
          <w:rFonts w:ascii="Times New Roman" w:hAnsi="Times New Roman"/>
          <w:sz w:val="28"/>
          <w:szCs w:val="24"/>
        </w:rPr>
        <w:t>);</w:t>
      </w:r>
    </w:p>
    <w:p w:rsidR="002D1E45" w:rsidRPr="002070B9"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EC43A5">
        <w:rPr>
          <w:rFonts w:ascii="Times New Roman" w:hAnsi="Times New Roman"/>
          <w:sz w:val="28"/>
          <w:szCs w:val="24"/>
        </w:rPr>
        <w:t>МБОУ «</w:t>
      </w:r>
      <w:r>
        <w:rPr>
          <w:rFonts w:ascii="Times New Roman" w:hAnsi="Times New Roman"/>
          <w:sz w:val="28"/>
          <w:szCs w:val="24"/>
        </w:rPr>
        <w:t>С</w:t>
      </w:r>
      <w:r w:rsidRPr="00EC43A5">
        <w:rPr>
          <w:rFonts w:ascii="Times New Roman" w:hAnsi="Times New Roman"/>
          <w:sz w:val="28"/>
          <w:szCs w:val="24"/>
        </w:rPr>
        <w:t>редняя общеобразовательная школа №</w:t>
      </w:r>
      <w:r>
        <w:rPr>
          <w:rFonts w:ascii="Times New Roman" w:hAnsi="Times New Roman"/>
          <w:sz w:val="28"/>
          <w:szCs w:val="24"/>
        </w:rPr>
        <w:t xml:space="preserve"> 3</w:t>
      </w:r>
      <w:r w:rsidRPr="00EC43A5">
        <w:rPr>
          <w:rFonts w:ascii="Times New Roman" w:hAnsi="Times New Roman"/>
          <w:sz w:val="28"/>
          <w:szCs w:val="24"/>
        </w:rPr>
        <w:t xml:space="preserve">» </w:t>
      </w:r>
      <w:r>
        <w:rPr>
          <w:rFonts w:ascii="Times New Roman" w:hAnsi="Times New Roman"/>
          <w:sz w:val="28"/>
          <w:szCs w:val="24"/>
        </w:rPr>
        <w:t>(количество учащихся – 825 чел., педагогов – 56 чел., нагрузка – 14,7 уч./пед.</w:t>
      </w:r>
      <w:r w:rsidRPr="002070B9">
        <w:rPr>
          <w:rFonts w:ascii="Times New Roman" w:hAnsi="Times New Roman"/>
          <w:sz w:val="28"/>
          <w:szCs w:val="24"/>
        </w:rPr>
        <w:t>);</w:t>
      </w:r>
    </w:p>
    <w:p w:rsidR="002D1E45" w:rsidRPr="002070B9"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EC43A5">
        <w:rPr>
          <w:rFonts w:ascii="Times New Roman" w:hAnsi="Times New Roman"/>
          <w:sz w:val="28"/>
          <w:szCs w:val="24"/>
        </w:rPr>
        <w:t>М</w:t>
      </w:r>
      <w:r>
        <w:rPr>
          <w:rFonts w:ascii="Times New Roman" w:hAnsi="Times New Roman"/>
          <w:sz w:val="28"/>
          <w:szCs w:val="24"/>
        </w:rPr>
        <w:t>К</w:t>
      </w:r>
      <w:r w:rsidRPr="00EC43A5">
        <w:rPr>
          <w:rFonts w:ascii="Times New Roman" w:hAnsi="Times New Roman"/>
          <w:sz w:val="28"/>
          <w:szCs w:val="24"/>
        </w:rPr>
        <w:t>ОУ «</w:t>
      </w:r>
      <w:r>
        <w:rPr>
          <w:rFonts w:ascii="Times New Roman" w:hAnsi="Times New Roman"/>
          <w:sz w:val="28"/>
          <w:szCs w:val="24"/>
        </w:rPr>
        <w:t>С</w:t>
      </w:r>
      <w:r w:rsidRPr="00EC43A5">
        <w:rPr>
          <w:rFonts w:ascii="Times New Roman" w:hAnsi="Times New Roman"/>
          <w:sz w:val="28"/>
          <w:szCs w:val="24"/>
        </w:rPr>
        <w:t>редняя общеобразовательная школа №</w:t>
      </w:r>
      <w:r>
        <w:rPr>
          <w:rFonts w:ascii="Times New Roman" w:hAnsi="Times New Roman"/>
          <w:sz w:val="28"/>
          <w:szCs w:val="24"/>
        </w:rPr>
        <w:t xml:space="preserve"> 4</w:t>
      </w:r>
      <w:r w:rsidRPr="00EC43A5">
        <w:rPr>
          <w:rFonts w:ascii="Times New Roman" w:hAnsi="Times New Roman"/>
          <w:sz w:val="28"/>
          <w:szCs w:val="24"/>
        </w:rPr>
        <w:t xml:space="preserve">» </w:t>
      </w:r>
      <w:r>
        <w:rPr>
          <w:rFonts w:ascii="Times New Roman" w:hAnsi="Times New Roman"/>
          <w:sz w:val="28"/>
          <w:szCs w:val="24"/>
        </w:rPr>
        <w:t>(количество учащихся – 364 чел., педагогов – 36 чел., нагрузка – 10,1 уч./пед.</w:t>
      </w:r>
      <w:r w:rsidRPr="002070B9">
        <w:rPr>
          <w:rFonts w:ascii="Times New Roman" w:hAnsi="Times New Roman"/>
          <w:sz w:val="28"/>
          <w:szCs w:val="24"/>
        </w:rPr>
        <w:t>);</w:t>
      </w:r>
    </w:p>
    <w:p w:rsidR="002D1E45" w:rsidRPr="002070B9"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EC43A5">
        <w:rPr>
          <w:rFonts w:ascii="Times New Roman" w:hAnsi="Times New Roman"/>
          <w:sz w:val="28"/>
          <w:szCs w:val="24"/>
        </w:rPr>
        <w:t>М</w:t>
      </w:r>
      <w:r>
        <w:rPr>
          <w:rFonts w:ascii="Times New Roman" w:hAnsi="Times New Roman"/>
          <w:sz w:val="28"/>
          <w:szCs w:val="24"/>
        </w:rPr>
        <w:t>К</w:t>
      </w:r>
      <w:r w:rsidRPr="00EC43A5">
        <w:rPr>
          <w:rFonts w:ascii="Times New Roman" w:hAnsi="Times New Roman"/>
          <w:sz w:val="28"/>
          <w:szCs w:val="24"/>
        </w:rPr>
        <w:t>ОУ «</w:t>
      </w:r>
      <w:r>
        <w:rPr>
          <w:rFonts w:ascii="Times New Roman" w:hAnsi="Times New Roman"/>
          <w:sz w:val="28"/>
          <w:szCs w:val="24"/>
        </w:rPr>
        <w:t>С</w:t>
      </w:r>
      <w:r w:rsidRPr="00EC43A5">
        <w:rPr>
          <w:rFonts w:ascii="Times New Roman" w:hAnsi="Times New Roman"/>
          <w:sz w:val="28"/>
          <w:szCs w:val="24"/>
        </w:rPr>
        <w:t>редняя общеобразовательная школа №</w:t>
      </w:r>
      <w:r>
        <w:rPr>
          <w:rFonts w:ascii="Times New Roman" w:hAnsi="Times New Roman"/>
          <w:sz w:val="28"/>
          <w:szCs w:val="24"/>
        </w:rPr>
        <w:t xml:space="preserve"> 5</w:t>
      </w:r>
      <w:r w:rsidRPr="00EC43A5">
        <w:rPr>
          <w:rFonts w:ascii="Times New Roman" w:hAnsi="Times New Roman"/>
          <w:sz w:val="28"/>
          <w:szCs w:val="24"/>
        </w:rPr>
        <w:t xml:space="preserve">» </w:t>
      </w:r>
      <w:r>
        <w:rPr>
          <w:rFonts w:ascii="Times New Roman" w:hAnsi="Times New Roman"/>
          <w:sz w:val="28"/>
          <w:szCs w:val="24"/>
        </w:rPr>
        <w:t>(количество учащихся – 536 чел., педагогов – 31 чел., нагрузка – 17,3 уч./пед.</w:t>
      </w:r>
      <w:r w:rsidRPr="002070B9">
        <w:rPr>
          <w:rFonts w:ascii="Times New Roman" w:hAnsi="Times New Roman"/>
          <w:sz w:val="28"/>
          <w:szCs w:val="24"/>
        </w:rPr>
        <w:t>);</w:t>
      </w:r>
    </w:p>
    <w:p w:rsidR="002D1E45" w:rsidRPr="002070B9"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EC43A5">
        <w:rPr>
          <w:rFonts w:ascii="Times New Roman" w:hAnsi="Times New Roman"/>
          <w:sz w:val="28"/>
          <w:szCs w:val="24"/>
        </w:rPr>
        <w:t>М</w:t>
      </w:r>
      <w:r>
        <w:rPr>
          <w:rFonts w:ascii="Times New Roman" w:hAnsi="Times New Roman"/>
          <w:sz w:val="28"/>
          <w:szCs w:val="24"/>
        </w:rPr>
        <w:t>Б</w:t>
      </w:r>
      <w:r w:rsidRPr="00EC43A5">
        <w:rPr>
          <w:rFonts w:ascii="Times New Roman" w:hAnsi="Times New Roman"/>
          <w:sz w:val="28"/>
          <w:szCs w:val="24"/>
        </w:rPr>
        <w:t>ОУ «</w:t>
      </w:r>
      <w:r>
        <w:rPr>
          <w:rFonts w:ascii="Times New Roman" w:hAnsi="Times New Roman"/>
          <w:sz w:val="28"/>
          <w:szCs w:val="24"/>
        </w:rPr>
        <w:t>С</w:t>
      </w:r>
      <w:r w:rsidRPr="00EC43A5">
        <w:rPr>
          <w:rFonts w:ascii="Times New Roman" w:hAnsi="Times New Roman"/>
          <w:sz w:val="28"/>
          <w:szCs w:val="24"/>
        </w:rPr>
        <w:t>редняя общеобразовательная школа №</w:t>
      </w:r>
      <w:r>
        <w:rPr>
          <w:rFonts w:ascii="Times New Roman" w:hAnsi="Times New Roman"/>
          <w:sz w:val="28"/>
          <w:szCs w:val="24"/>
        </w:rPr>
        <w:t xml:space="preserve"> 6</w:t>
      </w:r>
      <w:r w:rsidRPr="00EC43A5">
        <w:rPr>
          <w:rFonts w:ascii="Times New Roman" w:hAnsi="Times New Roman"/>
          <w:sz w:val="28"/>
          <w:szCs w:val="24"/>
        </w:rPr>
        <w:t xml:space="preserve">» </w:t>
      </w:r>
      <w:r>
        <w:rPr>
          <w:rFonts w:ascii="Times New Roman" w:hAnsi="Times New Roman"/>
          <w:sz w:val="28"/>
          <w:szCs w:val="24"/>
        </w:rPr>
        <w:t>(количество учащихся – 791 чел., педагогов – 49 чел., нагрузка – 16,1 уч./пед.</w:t>
      </w:r>
      <w:r w:rsidRPr="002070B9">
        <w:rPr>
          <w:rFonts w:ascii="Times New Roman" w:hAnsi="Times New Roman"/>
          <w:sz w:val="28"/>
          <w:szCs w:val="24"/>
        </w:rPr>
        <w:t>);</w:t>
      </w:r>
    </w:p>
    <w:p w:rsidR="002D1E45" w:rsidRPr="002070B9"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EC43A5">
        <w:rPr>
          <w:rFonts w:ascii="Times New Roman" w:hAnsi="Times New Roman"/>
          <w:sz w:val="28"/>
          <w:szCs w:val="24"/>
        </w:rPr>
        <w:t>М</w:t>
      </w:r>
      <w:r>
        <w:rPr>
          <w:rFonts w:ascii="Times New Roman" w:hAnsi="Times New Roman"/>
          <w:sz w:val="28"/>
          <w:szCs w:val="24"/>
        </w:rPr>
        <w:t>Б</w:t>
      </w:r>
      <w:r w:rsidRPr="00EC43A5">
        <w:rPr>
          <w:rFonts w:ascii="Times New Roman" w:hAnsi="Times New Roman"/>
          <w:sz w:val="28"/>
          <w:szCs w:val="24"/>
        </w:rPr>
        <w:t>ОУ «</w:t>
      </w:r>
      <w:r>
        <w:rPr>
          <w:rFonts w:ascii="Times New Roman" w:hAnsi="Times New Roman"/>
          <w:sz w:val="28"/>
          <w:szCs w:val="24"/>
        </w:rPr>
        <w:t>С</w:t>
      </w:r>
      <w:r w:rsidRPr="00EC43A5">
        <w:rPr>
          <w:rFonts w:ascii="Times New Roman" w:hAnsi="Times New Roman"/>
          <w:sz w:val="28"/>
          <w:szCs w:val="24"/>
        </w:rPr>
        <w:t>редняя общеобразовательная школа №</w:t>
      </w:r>
      <w:r>
        <w:rPr>
          <w:rFonts w:ascii="Times New Roman" w:hAnsi="Times New Roman"/>
          <w:sz w:val="28"/>
          <w:szCs w:val="24"/>
        </w:rPr>
        <w:t xml:space="preserve"> 9</w:t>
      </w:r>
      <w:r w:rsidRPr="00EC43A5">
        <w:rPr>
          <w:rFonts w:ascii="Times New Roman" w:hAnsi="Times New Roman"/>
          <w:sz w:val="28"/>
          <w:szCs w:val="24"/>
        </w:rPr>
        <w:t xml:space="preserve">» </w:t>
      </w:r>
      <w:r>
        <w:rPr>
          <w:rFonts w:ascii="Times New Roman" w:hAnsi="Times New Roman"/>
          <w:sz w:val="28"/>
          <w:szCs w:val="24"/>
        </w:rPr>
        <w:t>(количество учащихся – 681 чел., педагогов – 35 чел., нагрузка – 19,4 уч./пед.</w:t>
      </w:r>
      <w:r w:rsidRPr="002070B9">
        <w:rPr>
          <w:rFonts w:ascii="Times New Roman" w:hAnsi="Times New Roman"/>
          <w:sz w:val="28"/>
          <w:szCs w:val="24"/>
        </w:rPr>
        <w:t>);</w:t>
      </w:r>
    </w:p>
    <w:p w:rsidR="002D1E45" w:rsidRPr="002070B9"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EC43A5">
        <w:rPr>
          <w:rFonts w:ascii="Times New Roman" w:hAnsi="Times New Roman"/>
          <w:sz w:val="28"/>
          <w:szCs w:val="24"/>
        </w:rPr>
        <w:t>М</w:t>
      </w:r>
      <w:r>
        <w:rPr>
          <w:rFonts w:ascii="Times New Roman" w:hAnsi="Times New Roman"/>
          <w:sz w:val="28"/>
          <w:szCs w:val="24"/>
        </w:rPr>
        <w:t>Б</w:t>
      </w:r>
      <w:r w:rsidRPr="00EC43A5">
        <w:rPr>
          <w:rFonts w:ascii="Times New Roman" w:hAnsi="Times New Roman"/>
          <w:sz w:val="28"/>
          <w:szCs w:val="24"/>
        </w:rPr>
        <w:t>ОУ «</w:t>
      </w:r>
      <w:r>
        <w:rPr>
          <w:rFonts w:ascii="Times New Roman" w:hAnsi="Times New Roman"/>
          <w:sz w:val="28"/>
          <w:szCs w:val="24"/>
        </w:rPr>
        <w:t>С</w:t>
      </w:r>
      <w:r w:rsidRPr="00EC43A5">
        <w:rPr>
          <w:rFonts w:ascii="Times New Roman" w:hAnsi="Times New Roman"/>
          <w:sz w:val="28"/>
          <w:szCs w:val="24"/>
        </w:rPr>
        <w:t>редняя общеобразовательная школа №</w:t>
      </w:r>
      <w:r>
        <w:rPr>
          <w:rFonts w:ascii="Times New Roman" w:hAnsi="Times New Roman"/>
          <w:sz w:val="28"/>
          <w:szCs w:val="24"/>
        </w:rPr>
        <w:t xml:space="preserve"> 10</w:t>
      </w:r>
      <w:r w:rsidRPr="00EC43A5">
        <w:rPr>
          <w:rFonts w:ascii="Times New Roman" w:hAnsi="Times New Roman"/>
          <w:sz w:val="28"/>
          <w:szCs w:val="24"/>
        </w:rPr>
        <w:t xml:space="preserve">» </w:t>
      </w:r>
      <w:r>
        <w:rPr>
          <w:rFonts w:ascii="Times New Roman" w:hAnsi="Times New Roman"/>
          <w:sz w:val="28"/>
          <w:szCs w:val="24"/>
        </w:rPr>
        <w:t>(количество учащихся – 584 чел., педагогов – 34 чел., нагрузка – 19,4 уч./пед.</w:t>
      </w:r>
      <w:r w:rsidRPr="002070B9">
        <w:rPr>
          <w:rFonts w:ascii="Times New Roman" w:hAnsi="Times New Roman"/>
          <w:sz w:val="28"/>
          <w:szCs w:val="24"/>
        </w:rPr>
        <w:t>);</w:t>
      </w:r>
    </w:p>
    <w:p w:rsidR="002D1E45" w:rsidRPr="002070B9"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E960BD">
        <w:rPr>
          <w:rFonts w:ascii="Times New Roman" w:hAnsi="Times New Roman"/>
          <w:sz w:val="28"/>
          <w:szCs w:val="24"/>
        </w:rPr>
        <w:t>МКОУ «</w:t>
      </w:r>
      <w:r>
        <w:rPr>
          <w:rFonts w:ascii="Times New Roman" w:hAnsi="Times New Roman"/>
          <w:sz w:val="28"/>
          <w:szCs w:val="24"/>
        </w:rPr>
        <w:t>Ш</w:t>
      </w:r>
      <w:r w:rsidRPr="00E960BD">
        <w:rPr>
          <w:rFonts w:ascii="Times New Roman" w:hAnsi="Times New Roman"/>
          <w:sz w:val="28"/>
          <w:szCs w:val="24"/>
        </w:rPr>
        <w:t>кола</w:t>
      </w:r>
      <w:r>
        <w:rPr>
          <w:rFonts w:ascii="Times New Roman" w:hAnsi="Times New Roman"/>
          <w:sz w:val="28"/>
          <w:szCs w:val="24"/>
        </w:rPr>
        <w:t>-</w:t>
      </w:r>
      <w:r w:rsidRPr="00E960BD">
        <w:rPr>
          <w:rFonts w:ascii="Times New Roman" w:hAnsi="Times New Roman"/>
          <w:sz w:val="28"/>
          <w:szCs w:val="24"/>
        </w:rPr>
        <w:t>интернат основного общего образования»</w:t>
      </w:r>
      <w:r w:rsidRPr="00EC43A5">
        <w:rPr>
          <w:rFonts w:ascii="Times New Roman" w:hAnsi="Times New Roman"/>
          <w:sz w:val="28"/>
          <w:szCs w:val="24"/>
        </w:rPr>
        <w:t xml:space="preserve"> </w:t>
      </w:r>
      <w:r>
        <w:rPr>
          <w:rFonts w:ascii="Times New Roman" w:hAnsi="Times New Roman"/>
          <w:sz w:val="28"/>
          <w:szCs w:val="24"/>
        </w:rPr>
        <w:t>(количество учащихся – 220 чел., педагогов – 39 чел., нагрузка – 19,4 уч./пед.</w:t>
      </w:r>
      <w:r w:rsidRPr="002070B9">
        <w:rPr>
          <w:rFonts w:ascii="Times New Roman" w:hAnsi="Times New Roman"/>
          <w:sz w:val="28"/>
          <w:szCs w:val="24"/>
        </w:rPr>
        <w:t>);</w:t>
      </w:r>
    </w:p>
    <w:p w:rsidR="002D1E45" w:rsidRPr="002070B9"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E960BD">
        <w:rPr>
          <w:rFonts w:ascii="Times New Roman" w:hAnsi="Times New Roman"/>
          <w:sz w:val="28"/>
          <w:szCs w:val="24"/>
        </w:rPr>
        <w:t>МКОУ «</w:t>
      </w:r>
      <w:r>
        <w:rPr>
          <w:rFonts w:ascii="Times New Roman" w:hAnsi="Times New Roman"/>
          <w:sz w:val="28"/>
          <w:szCs w:val="24"/>
        </w:rPr>
        <w:t>В</w:t>
      </w:r>
      <w:r w:rsidRPr="00E960BD">
        <w:rPr>
          <w:rFonts w:ascii="Times New Roman" w:hAnsi="Times New Roman"/>
          <w:sz w:val="28"/>
          <w:szCs w:val="24"/>
        </w:rPr>
        <w:t>ечерняя (сменная) общеобразовательная школа»</w:t>
      </w:r>
      <w:r w:rsidRPr="00EC43A5">
        <w:rPr>
          <w:rFonts w:ascii="Times New Roman" w:hAnsi="Times New Roman"/>
          <w:sz w:val="28"/>
          <w:szCs w:val="24"/>
        </w:rPr>
        <w:t xml:space="preserve"> </w:t>
      </w:r>
      <w:r>
        <w:rPr>
          <w:rFonts w:ascii="Times New Roman" w:hAnsi="Times New Roman"/>
          <w:sz w:val="28"/>
          <w:szCs w:val="24"/>
        </w:rPr>
        <w:t>(количество учащихся – 104 чел., педагогов – 12 чел., нагрузка – 8,7 уч./пед.</w:t>
      </w:r>
      <w:r w:rsidRPr="002070B9">
        <w:rPr>
          <w:rFonts w:ascii="Times New Roman" w:hAnsi="Times New Roman"/>
          <w:sz w:val="28"/>
          <w:szCs w:val="24"/>
        </w:rPr>
        <w:t>);</w:t>
      </w:r>
    </w:p>
    <w:p w:rsidR="002D1E45" w:rsidRPr="002070B9"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Pr>
          <w:rFonts w:ascii="Times New Roman" w:hAnsi="Times New Roman"/>
          <w:sz w:val="28"/>
          <w:szCs w:val="24"/>
        </w:rPr>
        <w:t>ГБОУ</w:t>
      </w:r>
      <w:r w:rsidRPr="00661BAE">
        <w:rPr>
          <w:rFonts w:ascii="Times New Roman" w:hAnsi="Times New Roman"/>
          <w:sz w:val="28"/>
          <w:szCs w:val="24"/>
        </w:rPr>
        <w:t xml:space="preserve"> Новосибирской области </w:t>
      </w:r>
      <w:r>
        <w:rPr>
          <w:rFonts w:ascii="Times New Roman" w:hAnsi="Times New Roman"/>
          <w:sz w:val="28"/>
          <w:szCs w:val="24"/>
        </w:rPr>
        <w:t>«</w:t>
      </w:r>
      <w:r w:rsidRPr="00661BAE">
        <w:rPr>
          <w:rFonts w:ascii="Times New Roman" w:hAnsi="Times New Roman"/>
          <w:sz w:val="28"/>
          <w:szCs w:val="24"/>
        </w:rPr>
        <w:t>Коррекционная школа-интернат</w:t>
      </w:r>
      <w:r>
        <w:rPr>
          <w:rFonts w:ascii="Times New Roman" w:hAnsi="Times New Roman"/>
          <w:sz w:val="28"/>
          <w:szCs w:val="24"/>
        </w:rPr>
        <w:t>»</w:t>
      </w:r>
      <w:r w:rsidRPr="00EC43A5">
        <w:rPr>
          <w:rFonts w:ascii="Times New Roman" w:hAnsi="Times New Roman"/>
          <w:sz w:val="28"/>
          <w:szCs w:val="24"/>
        </w:rPr>
        <w:t xml:space="preserve"> </w:t>
      </w:r>
      <w:r>
        <w:rPr>
          <w:rFonts w:ascii="Times New Roman" w:hAnsi="Times New Roman"/>
          <w:sz w:val="28"/>
          <w:szCs w:val="24"/>
        </w:rPr>
        <w:t>(количество учащихся – 189 чел., педагогов – 75 чел., нагрузка – 2,5 уч./пед.</w:t>
      </w:r>
      <w:r w:rsidRPr="002070B9">
        <w:rPr>
          <w:rFonts w:ascii="Times New Roman" w:hAnsi="Times New Roman"/>
          <w:sz w:val="28"/>
          <w:szCs w:val="24"/>
        </w:rPr>
        <w:t>)</w:t>
      </w:r>
      <w:r>
        <w:rPr>
          <w:rFonts w:ascii="Times New Roman" w:hAnsi="Times New Roman"/>
          <w:sz w:val="28"/>
          <w:szCs w:val="24"/>
        </w:rPr>
        <w:t>.</w:t>
      </w:r>
    </w:p>
    <w:p w:rsidR="002D1E45" w:rsidRPr="001C4AEA" w:rsidRDefault="002D1E45" w:rsidP="001C4AEA">
      <w:pPr>
        <w:spacing w:after="0" w:line="240" w:lineRule="auto"/>
        <w:ind w:firstLine="709"/>
        <w:contextualSpacing/>
        <w:jc w:val="both"/>
        <w:rPr>
          <w:rFonts w:ascii="Times New Roman" w:hAnsi="Times New Roman"/>
          <w:color w:val="000000"/>
          <w:sz w:val="28"/>
          <w:szCs w:val="28"/>
        </w:rPr>
      </w:pPr>
      <w:r w:rsidRPr="001C4AEA">
        <w:rPr>
          <w:rFonts w:ascii="Times New Roman" w:hAnsi="Times New Roman"/>
          <w:color w:val="000000"/>
          <w:sz w:val="28"/>
          <w:szCs w:val="28"/>
          <w:shd w:val="clear" w:color="auto" w:fill="FFFFFF"/>
        </w:rPr>
        <w:t xml:space="preserve">Обеспеченность местами в школьных учреждениях </w:t>
      </w:r>
      <w:r>
        <w:rPr>
          <w:rFonts w:ascii="Times New Roman" w:hAnsi="Times New Roman"/>
          <w:color w:val="000000"/>
          <w:sz w:val="28"/>
          <w:szCs w:val="28"/>
          <w:shd w:val="clear" w:color="auto" w:fill="FFFFFF"/>
        </w:rPr>
        <w:t>города</w:t>
      </w:r>
      <w:r w:rsidRPr="001C4AEA">
        <w:rPr>
          <w:rFonts w:ascii="Times New Roman" w:hAnsi="Times New Roman"/>
          <w:color w:val="000000"/>
          <w:sz w:val="28"/>
          <w:szCs w:val="28"/>
          <w:shd w:val="clear" w:color="auto" w:fill="FFFFFF"/>
        </w:rPr>
        <w:t xml:space="preserve"> в соответствии с МНГП Куйбышевского района составляет 100 %.  </w:t>
      </w:r>
    </w:p>
    <w:p w:rsidR="002D1E45" w:rsidRDefault="002D1E45" w:rsidP="00C901D2">
      <w:pPr>
        <w:spacing w:after="0" w:line="240" w:lineRule="auto"/>
        <w:ind w:firstLine="709"/>
        <w:contextualSpacing/>
        <w:jc w:val="both"/>
        <w:rPr>
          <w:rFonts w:ascii="Times New Roman" w:hAnsi="Times New Roman"/>
          <w:color w:val="000000"/>
          <w:sz w:val="28"/>
          <w:szCs w:val="28"/>
          <w:shd w:val="clear" w:color="auto" w:fill="FFFFFF"/>
        </w:rPr>
      </w:pPr>
      <w:r>
        <w:rPr>
          <w:rFonts w:ascii="Times New Roman" w:hAnsi="Times New Roman"/>
          <w:color w:val="000000"/>
          <w:sz w:val="28"/>
          <w:szCs w:val="28"/>
          <w:shd w:val="clear" w:color="auto" w:fill="FFFFFF"/>
        </w:rPr>
        <w:t xml:space="preserve">Услуги по дошкольному образованию </w:t>
      </w:r>
      <w:r w:rsidRPr="00AA4D99">
        <w:rPr>
          <w:rFonts w:ascii="Times New Roman" w:hAnsi="Times New Roman"/>
          <w:color w:val="000000"/>
          <w:sz w:val="28"/>
          <w:szCs w:val="28"/>
          <w:shd w:val="clear" w:color="auto" w:fill="FFFFFF"/>
        </w:rPr>
        <w:t>на</w:t>
      </w:r>
      <w:r>
        <w:rPr>
          <w:rFonts w:ascii="Times New Roman" w:hAnsi="Times New Roman"/>
          <w:color w:val="000000"/>
          <w:sz w:val="28"/>
          <w:szCs w:val="28"/>
          <w:shd w:val="clear" w:color="auto" w:fill="FFFFFF"/>
        </w:rPr>
        <w:t> </w:t>
      </w:r>
      <w:r w:rsidRPr="00AA4D99">
        <w:rPr>
          <w:rFonts w:ascii="Times New Roman" w:hAnsi="Times New Roman"/>
          <w:color w:val="000000"/>
          <w:sz w:val="28"/>
          <w:szCs w:val="28"/>
          <w:shd w:val="clear" w:color="auto" w:fill="FFFFFF"/>
        </w:rPr>
        <w:t>территории поселения оказываются следующими организациями:</w:t>
      </w:r>
    </w:p>
    <w:p w:rsidR="002D1E45" w:rsidRPr="002070B9"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C901D2">
        <w:rPr>
          <w:rFonts w:ascii="Times New Roman" w:hAnsi="Times New Roman"/>
          <w:sz w:val="28"/>
          <w:szCs w:val="24"/>
        </w:rPr>
        <w:t>ДОУ «</w:t>
      </w:r>
      <w:r>
        <w:rPr>
          <w:rFonts w:ascii="Times New Roman" w:hAnsi="Times New Roman"/>
          <w:sz w:val="28"/>
          <w:szCs w:val="24"/>
        </w:rPr>
        <w:t>А</w:t>
      </w:r>
      <w:r w:rsidRPr="00C901D2">
        <w:rPr>
          <w:rFonts w:ascii="Times New Roman" w:hAnsi="Times New Roman"/>
          <w:sz w:val="28"/>
          <w:szCs w:val="24"/>
        </w:rPr>
        <w:t>ленький цветочек»</w:t>
      </w:r>
      <w:r w:rsidRPr="00EC43A5">
        <w:rPr>
          <w:rFonts w:ascii="Times New Roman" w:hAnsi="Times New Roman"/>
          <w:sz w:val="28"/>
          <w:szCs w:val="24"/>
        </w:rPr>
        <w:t xml:space="preserve"> </w:t>
      </w:r>
      <w:r>
        <w:rPr>
          <w:rFonts w:ascii="Times New Roman" w:hAnsi="Times New Roman"/>
          <w:sz w:val="28"/>
          <w:szCs w:val="24"/>
        </w:rPr>
        <w:t>(количество воспитанников – 81 чел., воспитателей – 14 чел., нагрузка – 5,8 уч./пед.</w:t>
      </w:r>
      <w:r w:rsidRPr="002070B9">
        <w:rPr>
          <w:rFonts w:ascii="Times New Roman" w:hAnsi="Times New Roman"/>
          <w:sz w:val="28"/>
          <w:szCs w:val="24"/>
        </w:rPr>
        <w:t>)</w:t>
      </w:r>
      <w:r>
        <w:rPr>
          <w:rFonts w:ascii="Times New Roman" w:hAnsi="Times New Roman"/>
          <w:sz w:val="28"/>
          <w:szCs w:val="24"/>
        </w:rPr>
        <w:t>;</w:t>
      </w:r>
    </w:p>
    <w:p w:rsidR="002D1E45" w:rsidRPr="002070B9"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E30AFB">
        <w:rPr>
          <w:rFonts w:ascii="Times New Roman" w:hAnsi="Times New Roman"/>
          <w:sz w:val="28"/>
          <w:szCs w:val="24"/>
        </w:rPr>
        <w:t>ДОУ «Алёнушка»</w:t>
      </w:r>
      <w:r w:rsidRPr="00EC43A5">
        <w:rPr>
          <w:rFonts w:ascii="Times New Roman" w:hAnsi="Times New Roman"/>
          <w:sz w:val="28"/>
          <w:szCs w:val="24"/>
        </w:rPr>
        <w:t xml:space="preserve"> </w:t>
      </w:r>
      <w:r>
        <w:rPr>
          <w:rFonts w:ascii="Times New Roman" w:hAnsi="Times New Roman"/>
          <w:sz w:val="28"/>
          <w:szCs w:val="24"/>
        </w:rPr>
        <w:t>(количество воспитанников – 144 чел., воспитателей – 19 чел., нагрузка – 7,8 уч./пед.</w:t>
      </w:r>
      <w:r w:rsidRPr="002070B9">
        <w:rPr>
          <w:rFonts w:ascii="Times New Roman" w:hAnsi="Times New Roman"/>
          <w:sz w:val="28"/>
          <w:szCs w:val="24"/>
        </w:rPr>
        <w:t>)</w:t>
      </w:r>
      <w:r>
        <w:rPr>
          <w:rFonts w:ascii="Times New Roman" w:hAnsi="Times New Roman"/>
          <w:sz w:val="28"/>
          <w:szCs w:val="24"/>
        </w:rPr>
        <w:t>;</w:t>
      </w:r>
    </w:p>
    <w:p w:rsidR="002D1E45" w:rsidRPr="002070B9"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E30AFB">
        <w:rPr>
          <w:rFonts w:ascii="Times New Roman" w:hAnsi="Times New Roman"/>
          <w:sz w:val="28"/>
          <w:szCs w:val="24"/>
        </w:rPr>
        <w:t>ДОУ «</w:t>
      </w:r>
      <w:r w:rsidRPr="001007F6">
        <w:rPr>
          <w:rFonts w:ascii="Times New Roman" w:hAnsi="Times New Roman"/>
          <w:sz w:val="28"/>
          <w:szCs w:val="24"/>
        </w:rPr>
        <w:t>Звёздочка</w:t>
      </w:r>
      <w:r w:rsidRPr="00E30AFB">
        <w:rPr>
          <w:rFonts w:ascii="Times New Roman" w:hAnsi="Times New Roman"/>
          <w:sz w:val="28"/>
          <w:szCs w:val="24"/>
        </w:rPr>
        <w:t>»</w:t>
      </w:r>
      <w:r w:rsidRPr="00EC43A5">
        <w:rPr>
          <w:rFonts w:ascii="Times New Roman" w:hAnsi="Times New Roman"/>
          <w:sz w:val="28"/>
          <w:szCs w:val="24"/>
        </w:rPr>
        <w:t xml:space="preserve"> </w:t>
      </w:r>
      <w:r>
        <w:rPr>
          <w:rFonts w:ascii="Times New Roman" w:hAnsi="Times New Roman"/>
          <w:sz w:val="28"/>
          <w:szCs w:val="24"/>
        </w:rPr>
        <w:t>(количество воспитанников – 139 чел., воспитателей – 13 чел., нагрузка – 10,7 уч./пед.</w:t>
      </w:r>
      <w:r w:rsidRPr="002070B9">
        <w:rPr>
          <w:rFonts w:ascii="Times New Roman" w:hAnsi="Times New Roman"/>
          <w:sz w:val="28"/>
          <w:szCs w:val="24"/>
        </w:rPr>
        <w:t>)</w:t>
      </w:r>
      <w:r>
        <w:rPr>
          <w:rFonts w:ascii="Times New Roman" w:hAnsi="Times New Roman"/>
          <w:sz w:val="28"/>
          <w:szCs w:val="24"/>
        </w:rPr>
        <w:t>;</w:t>
      </w:r>
    </w:p>
    <w:p w:rsidR="002D1E45" w:rsidRPr="002070B9"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A92B87">
        <w:rPr>
          <w:rFonts w:ascii="Times New Roman" w:hAnsi="Times New Roman"/>
          <w:sz w:val="28"/>
          <w:szCs w:val="24"/>
        </w:rPr>
        <w:t>ДОУ «</w:t>
      </w:r>
      <w:r>
        <w:rPr>
          <w:rFonts w:ascii="Times New Roman" w:hAnsi="Times New Roman"/>
          <w:sz w:val="28"/>
          <w:szCs w:val="24"/>
        </w:rPr>
        <w:t>З</w:t>
      </w:r>
      <w:r w:rsidRPr="00A92B87">
        <w:rPr>
          <w:rFonts w:ascii="Times New Roman" w:hAnsi="Times New Roman"/>
          <w:sz w:val="28"/>
          <w:szCs w:val="24"/>
        </w:rPr>
        <w:t>олотой ключик»</w:t>
      </w:r>
      <w:r w:rsidRPr="00EC43A5">
        <w:rPr>
          <w:rFonts w:ascii="Times New Roman" w:hAnsi="Times New Roman"/>
          <w:sz w:val="28"/>
          <w:szCs w:val="24"/>
        </w:rPr>
        <w:t xml:space="preserve"> </w:t>
      </w:r>
      <w:r>
        <w:rPr>
          <w:rFonts w:ascii="Times New Roman" w:hAnsi="Times New Roman"/>
          <w:sz w:val="28"/>
          <w:szCs w:val="24"/>
        </w:rPr>
        <w:t>(количество воспитанников – 121 чел., воспитателей – 18 чел., нагрузка – 6,7 уч./пед.</w:t>
      </w:r>
      <w:r w:rsidRPr="002070B9">
        <w:rPr>
          <w:rFonts w:ascii="Times New Roman" w:hAnsi="Times New Roman"/>
          <w:sz w:val="28"/>
          <w:szCs w:val="24"/>
        </w:rPr>
        <w:t>)</w:t>
      </w:r>
      <w:r>
        <w:rPr>
          <w:rFonts w:ascii="Times New Roman" w:hAnsi="Times New Roman"/>
          <w:sz w:val="28"/>
          <w:szCs w:val="24"/>
        </w:rPr>
        <w:t>;</w:t>
      </w:r>
    </w:p>
    <w:p w:rsidR="002D1E45" w:rsidRPr="002070B9"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DE3718">
        <w:rPr>
          <w:rFonts w:ascii="Times New Roman" w:hAnsi="Times New Roman"/>
          <w:sz w:val="28"/>
          <w:szCs w:val="24"/>
        </w:rPr>
        <w:t>ДОУ «Колокольчик»</w:t>
      </w:r>
      <w:r w:rsidRPr="00EC43A5">
        <w:rPr>
          <w:rFonts w:ascii="Times New Roman" w:hAnsi="Times New Roman"/>
          <w:sz w:val="28"/>
          <w:szCs w:val="24"/>
        </w:rPr>
        <w:t xml:space="preserve"> </w:t>
      </w:r>
      <w:r>
        <w:rPr>
          <w:rFonts w:ascii="Times New Roman" w:hAnsi="Times New Roman"/>
          <w:sz w:val="28"/>
          <w:szCs w:val="24"/>
        </w:rPr>
        <w:t>(количество воспитанников – 69 чел., воспитателей – 11 чел., нагрузка – 6,3 уч./пед.</w:t>
      </w:r>
      <w:r w:rsidRPr="002070B9">
        <w:rPr>
          <w:rFonts w:ascii="Times New Roman" w:hAnsi="Times New Roman"/>
          <w:sz w:val="28"/>
          <w:szCs w:val="24"/>
        </w:rPr>
        <w:t>)</w:t>
      </w:r>
      <w:r>
        <w:rPr>
          <w:rFonts w:ascii="Times New Roman" w:hAnsi="Times New Roman"/>
          <w:sz w:val="28"/>
          <w:szCs w:val="24"/>
        </w:rPr>
        <w:t>;</w:t>
      </w:r>
    </w:p>
    <w:p w:rsidR="002D1E45" w:rsidRPr="002070B9"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241C03">
        <w:rPr>
          <w:rFonts w:ascii="Times New Roman" w:hAnsi="Times New Roman"/>
          <w:sz w:val="28"/>
          <w:szCs w:val="24"/>
        </w:rPr>
        <w:t>ДОУ «Орлёнок»</w:t>
      </w:r>
      <w:r w:rsidRPr="00EC43A5">
        <w:rPr>
          <w:rFonts w:ascii="Times New Roman" w:hAnsi="Times New Roman"/>
          <w:sz w:val="28"/>
          <w:szCs w:val="24"/>
        </w:rPr>
        <w:t xml:space="preserve"> </w:t>
      </w:r>
      <w:r>
        <w:rPr>
          <w:rFonts w:ascii="Times New Roman" w:hAnsi="Times New Roman"/>
          <w:sz w:val="28"/>
          <w:szCs w:val="24"/>
        </w:rPr>
        <w:t>(количество воспитанников – 287 чел., воспитателей – 27 чел., нагрузка – 10,6 уч./пед.</w:t>
      </w:r>
      <w:r w:rsidRPr="002070B9">
        <w:rPr>
          <w:rFonts w:ascii="Times New Roman" w:hAnsi="Times New Roman"/>
          <w:sz w:val="28"/>
          <w:szCs w:val="24"/>
        </w:rPr>
        <w:t>)</w:t>
      </w:r>
      <w:r>
        <w:rPr>
          <w:rFonts w:ascii="Times New Roman" w:hAnsi="Times New Roman"/>
          <w:sz w:val="28"/>
          <w:szCs w:val="24"/>
        </w:rPr>
        <w:t>;</w:t>
      </w:r>
    </w:p>
    <w:p w:rsidR="002D1E45" w:rsidRPr="002070B9"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76240E">
        <w:rPr>
          <w:rFonts w:ascii="Times New Roman" w:hAnsi="Times New Roman"/>
          <w:sz w:val="28"/>
          <w:szCs w:val="24"/>
        </w:rPr>
        <w:t>ДОУ «Родничок»</w:t>
      </w:r>
      <w:r w:rsidRPr="00EC43A5">
        <w:rPr>
          <w:rFonts w:ascii="Times New Roman" w:hAnsi="Times New Roman"/>
          <w:sz w:val="28"/>
          <w:szCs w:val="24"/>
        </w:rPr>
        <w:t xml:space="preserve"> </w:t>
      </w:r>
      <w:r>
        <w:rPr>
          <w:rFonts w:ascii="Times New Roman" w:hAnsi="Times New Roman"/>
          <w:sz w:val="28"/>
          <w:szCs w:val="24"/>
        </w:rPr>
        <w:t>(количество воспитанников – 313 чел., воспитателей – 38 чел., нагрузка – 8,2 уч./пед.</w:t>
      </w:r>
      <w:r w:rsidRPr="002070B9">
        <w:rPr>
          <w:rFonts w:ascii="Times New Roman" w:hAnsi="Times New Roman"/>
          <w:sz w:val="28"/>
          <w:szCs w:val="24"/>
        </w:rPr>
        <w:t>)</w:t>
      </w:r>
      <w:r>
        <w:rPr>
          <w:rFonts w:ascii="Times New Roman" w:hAnsi="Times New Roman"/>
          <w:sz w:val="28"/>
          <w:szCs w:val="24"/>
        </w:rPr>
        <w:t>;</w:t>
      </w:r>
    </w:p>
    <w:p w:rsidR="002D1E45" w:rsidRPr="002070B9"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1A65EA">
        <w:rPr>
          <w:rFonts w:ascii="Times New Roman" w:hAnsi="Times New Roman"/>
          <w:sz w:val="28"/>
          <w:szCs w:val="24"/>
        </w:rPr>
        <w:t>ДОУ «Ромашка»</w:t>
      </w:r>
      <w:r w:rsidRPr="00EC43A5">
        <w:rPr>
          <w:rFonts w:ascii="Times New Roman" w:hAnsi="Times New Roman"/>
          <w:sz w:val="28"/>
          <w:szCs w:val="24"/>
        </w:rPr>
        <w:t xml:space="preserve"> </w:t>
      </w:r>
      <w:r>
        <w:rPr>
          <w:rFonts w:ascii="Times New Roman" w:hAnsi="Times New Roman"/>
          <w:sz w:val="28"/>
          <w:szCs w:val="24"/>
        </w:rPr>
        <w:t>(количество воспитанников – 50 чел., воспитателей – 7 чел., нагрузка – 7,1 уч./пед.</w:t>
      </w:r>
      <w:r w:rsidRPr="002070B9">
        <w:rPr>
          <w:rFonts w:ascii="Times New Roman" w:hAnsi="Times New Roman"/>
          <w:sz w:val="28"/>
          <w:szCs w:val="24"/>
        </w:rPr>
        <w:t>)</w:t>
      </w:r>
      <w:r>
        <w:rPr>
          <w:rFonts w:ascii="Times New Roman" w:hAnsi="Times New Roman"/>
          <w:sz w:val="28"/>
          <w:szCs w:val="24"/>
        </w:rPr>
        <w:t>;</w:t>
      </w:r>
    </w:p>
    <w:p w:rsidR="002D1E45" w:rsidRPr="002070B9"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3A673B">
        <w:rPr>
          <w:rFonts w:ascii="Times New Roman" w:hAnsi="Times New Roman"/>
          <w:sz w:val="28"/>
          <w:szCs w:val="24"/>
        </w:rPr>
        <w:t>ДОУ «Сказка»</w:t>
      </w:r>
      <w:r w:rsidRPr="00EC43A5">
        <w:rPr>
          <w:rFonts w:ascii="Times New Roman" w:hAnsi="Times New Roman"/>
          <w:sz w:val="28"/>
          <w:szCs w:val="24"/>
        </w:rPr>
        <w:t xml:space="preserve"> </w:t>
      </w:r>
      <w:r>
        <w:rPr>
          <w:rFonts w:ascii="Times New Roman" w:hAnsi="Times New Roman"/>
          <w:sz w:val="28"/>
          <w:szCs w:val="24"/>
        </w:rPr>
        <w:t>(количество воспитанников – 302 чел., воспитателей – 30 чел., нагрузка – 10 уч./пед.</w:t>
      </w:r>
      <w:r w:rsidRPr="002070B9">
        <w:rPr>
          <w:rFonts w:ascii="Times New Roman" w:hAnsi="Times New Roman"/>
          <w:sz w:val="28"/>
          <w:szCs w:val="24"/>
        </w:rPr>
        <w:t>)</w:t>
      </w:r>
      <w:r>
        <w:rPr>
          <w:rFonts w:ascii="Times New Roman" w:hAnsi="Times New Roman"/>
          <w:sz w:val="28"/>
          <w:szCs w:val="24"/>
        </w:rPr>
        <w:t>;</w:t>
      </w:r>
    </w:p>
    <w:p w:rsidR="002D1E45" w:rsidRPr="002070B9"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3A673B">
        <w:rPr>
          <w:rFonts w:ascii="Times New Roman" w:hAnsi="Times New Roman"/>
          <w:sz w:val="28"/>
          <w:szCs w:val="24"/>
        </w:rPr>
        <w:t>ДОУ «</w:t>
      </w:r>
      <w:r>
        <w:rPr>
          <w:rFonts w:ascii="Times New Roman" w:hAnsi="Times New Roman"/>
          <w:sz w:val="28"/>
          <w:szCs w:val="24"/>
        </w:rPr>
        <w:t>Солнышко</w:t>
      </w:r>
      <w:r w:rsidRPr="003A673B">
        <w:rPr>
          <w:rFonts w:ascii="Times New Roman" w:hAnsi="Times New Roman"/>
          <w:sz w:val="28"/>
          <w:szCs w:val="24"/>
        </w:rPr>
        <w:t>»</w:t>
      </w:r>
      <w:r w:rsidRPr="00EC43A5">
        <w:rPr>
          <w:rFonts w:ascii="Times New Roman" w:hAnsi="Times New Roman"/>
          <w:sz w:val="28"/>
          <w:szCs w:val="24"/>
        </w:rPr>
        <w:t xml:space="preserve"> </w:t>
      </w:r>
      <w:r>
        <w:rPr>
          <w:rFonts w:ascii="Times New Roman" w:hAnsi="Times New Roman"/>
          <w:sz w:val="28"/>
          <w:szCs w:val="24"/>
        </w:rPr>
        <w:t>(количество воспитанников – 183 чел., воспитателей – 27 чел., нагрузка – 6,8 уч./пед.</w:t>
      </w:r>
      <w:r w:rsidRPr="002070B9">
        <w:rPr>
          <w:rFonts w:ascii="Times New Roman" w:hAnsi="Times New Roman"/>
          <w:sz w:val="28"/>
          <w:szCs w:val="24"/>
        </w:rPr>
        <w:t>)</w:t>
      </w:r>
      <w:r>
        <w:rPr>
          <w:rFonts w:ascii="Times New Roman" w:hAnsi="Times New Roman"/>
          <w:sz w:val="28"/>
          <w:szCs w:val="24"/>
        </w:rPr>
        <w:t>;</w:t>
      </w:r>
    </w:p>
    <w:p w:rsidR="002D1E45" w:rsidRPr="002070B9"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F01DFC">
        <w:rPr>
          <w:rFonts w:ascii="Times New Roman" w:hAnsi="Times New Roman"/>
          <w:sz w:val="28"/>
          <w:szCs w:val="24"/>
        </w:rPr>
        <w:t>ДОУ «Тополёк»</w:t>
      </w:r>
      <w:r w:rsidRPr="00EC43A5">
        <w:rPr>
          <w:rFonts w:ascii="Times New Roman" w:hAnsi="Times New Roman"/>
          <w:sz w:val="28"/>
          <w:szCs w:val="24"/>
        </w:rPr>
        <w:t xml:space="preserve"> </w:t>
      </w:r>
      <w:r>
        <w:rPr>
          <w:rFonts w:ascii="Times New Roman" w:hAnsi="Times New Roman"/>
          <w:sz w:val="28"/>
          <w:szCs w:val="24"/>
        </w:rPr>
        <w:t>(количество воспитанников – 178 чел., воспитателей – 20 чел., нагрузка – 8,9 уч./пед.</w:t>
      </w:r>
      <w:r w:rsidRPr="002070B9">
        <w:rPr>
          <w:rFonts w:ascii="Times New Roman" w:hAnsi="Times New Roman"/>
          <w:sz w:val="28"/>
          <w:szCs w:val="24"/>
        </w:rPr>
        <w:t>)</w:t>
      </w:r>
      <w:r>
        <w:rPr>
          <w:rFonts w:ascii="Times New Roman" w:hAnsi="Times New Roman"/>
          <w:sz w:val="28"/>
          <w:szCs w:val="24"/>
        </w:rPr>
        <w:t>;</w:t>
      </w:r>
    </w:p>
    <w:p w:rsidR="002D1E45" w:rsidRPr="002070B9"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494D55">
        <w:rPr>
          <w:rFonts w:ascii="Times New Roman" w:hAnsi="Times New Roman"/>
          <w:sz w:val="28"/>
          <w:szCs w:val="24"/>
        </w:rPr>
        <w:t>ДОУ «Журавлик»</w:t>
      </w:r>
      <w:r w:rsidRPr="00EC43A5">
        <w:rPr>
          <w:rFonts w:ascii="Times New Roman" w:hAnsi="Times New Roman"/>
          <w:sz w:val="28"/>
          <w:szCs w:val="24"/>
        </w:rPr>
        <w:t xml:space="preserve"> </w:t>
      </w:r>
      <w:r>
        <w:rPr>
          <w:rFonts w:ascii="Times New Roman" w:hAnsi="Times New Roman"/>
          <w:sz w:val="28"/>
          <w:szCs w:val="24"/>
        </w:rPr>
        <w:t>(количество воспитанников – 126 чел., воспитателей – 15 чел., нагрузка – 8,4 уч./пед.</w:t>
      </w:r>
      <w:r w:rsidRPr="002070B9">
        <w:rPr>
          <w:rFonts w:ascii="Times New Roman" w:hAnsi="Times New Roman"/>
          <w:sz w:val="28"/>
          <w:szCs w:val="24"/>
        </w:rPr>
        <w:t>)</w:t>
      </w:r>
      <w:r>
        <w:rPr>
          <w:rFonts w:ascii="Times New Roman" w:hAnsi="Times New Roman"/>
          <w:sz w:val="28"/>
          <w:szCs w:val="24"/>
        </w:rPr>
        <w:t>;</w:t>
      </w:r>
    </w:p>
    <w:p w:rsidR="002D1E45" w:rsidRPr="002070B9"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494D55">
        <w:rPr>
          <w:rFonts w:ascii="Times New Roman" w:hAnsi="Times New Roman"/>
          <w:sz w:val="28"/>
          <w:szCs w:val="24"/>
        </w:rPr>
        <w:t>ДОУ «Жемчужинка»</w:t>
      </w:r>
      <w:r>
        <w:rPr>
          <w:rFonts w:ascii="Times New Roman" w:hAnsi="Times New Roman"/>
          <w:sz w:val="28"/>
          <w:szCs w:val="24"/>
        </w:rPr>
        <w:t xml:space="preserve"> (количество воспитанников – 271 чел., воспитателей – 38 чел., нагрузка – 7,1 уч./пед.</w:t>
      </w:r>
      <w:r w:rsidRPr="002070B9">
        <w:rPr>
          <w:rFonts w:ascii="Times New Roman" w:hAnsi="Times New Roman"/>
          <w:sz w:val="28"/>
          <w:szCs w:val="24"/>
        </w:rPr>
        <w:t>)</w:t>
      </w:r>
      <w:r>
        <w:rPr>
          <w:rFonts w:ascii="Times New Roman" w:hAnsi="Times New Roman"/>
          <w:sz w:val="28"/>
          <w:szCs w:val="24"/>
        </w:rPr>
        <w:t>.</w:t>
      </w:r>
    </w:p>
    <w:p w:rsidR="002D1E45" w:rsidRPr="00675FE0" w:rsidRDefault="002D1E45" w:rsidP="00675FE0">
      <w:pPr>
        <w:spacing w:after="0" w:line="240" w:lineRule="auto"/>
        <w:ind w:firstLine="709"/>
        <w:contextualSpacing/>
        <w:jc w:val="both"/>
        <w:rPr>
          <w:rFonts w:ascii="Times New Roman" w:hAnsi="Times New Roman"/>
          <w:color w:val="000000"/>
          <w:sz w:val="28"/>
          <w:szCs w:val="28"/>
          <w:shd w:val="clear" w:color="auto" w:fill="FFFFFF"/>
        </w:rPr>
      </w:pPr>
      <w:r>
        <w:rPr>
          <w:rFonts w:ascii="Times New Roman" w:hAnsi="Times New Roman"/>
          <w:color w:val="000000"/>
          <w:sz w:val="28"/>
          <w:szCs w:val="28"/>
          <w:shd w:val="clear" w:color="auto" w:fill="FFFFFF"/>
        </w:rPr>
        <w:t>Обеспеченность местами в дошкольных учреждениях города в соответствии с </w:t>
      </w:r>
      <w:r w:rsidRPr="00D813D1">
        <w:rPr>
          <w:rFonts w:ascii="Times New Roman" w:hAnsi="Times New Roman"/>
          <w:color w:val="000000"/>
          <w:sz w:val="28"/>
          <w:szCs w:val="28"/>
          <w:shd w:val="clear" w:color="auto" w:fill="FFFFFF"/>
        </w:rPr>
        <w:t xml:space="preserve">МНГП </w:t>
      </w:r>
      <w:r>
        <w:rPr>
          <w:rFonts w:ascii="Times New Roman" w:hAnsi="Times New Roman"/>
          <w:color w:val="000000"/>
          <w:sz w:val="28"/>
          <w:szCs w:val="28"/>
          <w:shd w:val="clear" w:color="auto" w:fill="FFFFFF"/>
        </w:rPr>
        <w:t>Куйбышевского</w:t>
      </w:r>
      <w:r w:rsidRPr="00D813D1">
        <w:rPr>
          <w:rFonts w:ascii="Times New Roman" w:hAnsi="Times New Roman"/>
          <w:color w:val="000000"/>
          <w:sz w:val="28"/>
          <w:szCs w:val="28"/>
          <w:shd w:val="clear" w:color="auto" w:fill="FFFFFF"/>
        </w:rPr>
        <w:t xml:space="preserve"> </w:t>
      </w:r>
      <w:r>
        <w:rPr>
          <w:rFonts w:ascii="Times New Roman" w:hAnsi="Times New Roman"/>
          <w:color w:val="000000"/>
          <w:sz w:val="28"/>
          <w:szCs w:val="28"/>
          <w:shd w:val="clear" w:color="auto" w:fill="FFFFFF"/>
        </w:rPr>
        <w:t xml:space="preserve">района составляет 88 %. </w:t>
      </w:r>
      <w:r w:rsidRPr="00AA4D99">
        <w:rPr>
          <w:rFonts w:ascii="Times New Roman" w:hAnsi="Times New Roman"/>
          <w:color w:val="000000"/>
          <w:sz w:val="28"/>
          <w:szCs w:val="28"/>
          <w:shd w:val="clear" w:color="auto" w:fill="FFFFFF"/>
        </w:rPr>
        <w:t> </w:t>
      </w:r>
    </w:p>
    <w:p w:rsidR="002D1E45" w:rsidRDefault="002D1E45" w:rsidP="00184E5F">
      <w:pPr>
        <w:spacing w:after="0" w:line="240" w:lineRule="auto"/>
        <w:ind w:firstLine="709"/>
        <w:contextualSpacing/>
        <w:jc w:val="both"/>
        <w:rPr>
          <w:rFonts w:ascii="Times New Roman" w:hAnsi="Times New Roman"/>
          <w:sz w:val="28"/>
          <w:szCs w:val="28"/>
          <w:lang w:eastAsia="ru-RU"/>
        </w:rPr>
      </w:pPr>
      <w:r>
        <w:rPr>
          <w:rFonts w:ascii="Times New Roman" w:hAnsi="Times New Roman"/>
          <w:sz w:val="28"/>
          <w:szCs w:val="28"/>
          <w:lang w:eastAsia="ru-RU"/>
        </w:rPr>
        <w:t>Дополнительное образование представлено следующими учреждениями:</w:t>
      </w:r>
    </w:p>
    <w:p w:rsidR="002D1E45" w:rsidRPr="00675FE0"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B94416">
        <w:rPr>
          <w:rFonts w:ascii="Times New Roman" w:hAnsi="Times New Roman"/>
          <w:sz w:val="28"/>
          <w:szCs w:val="24"/>
        </w:rPr>
        <w:t xml:space="preserve">МБОУ ДОД ДООЛ «Незабудка» </w:t>
      </w:r>
      <w:r>
        <w:rPr>
          <w:rFonts w:ascii="Times New Roman" w:hAnsi="Times New Roman"/>
          <w:sz w:val="28"/>
          <w:szCs w:val="24"/>
        </w:rPr>
        <w:t>(количество воспитанников – 933 чел., воспитателей – 22 чел., нагрузка – 42,4 уч./пед.</w:t>
      </w:r>
      <w:r w:rsidRPr="002070B9">
        <w:rPr>
          <w:rFonts w:ascii="Times New Roman" w:hAnsi="Times New Roman"/>
          <w:sz w:val="28"/>
          <w:szCs w:val="24"/>
        </w:rPr>
        <w:t>)</w:t>
      </w:r>
      <w:r>
        <w:rPr>
          <w:rFonts w:ascii="Times New Roman" w:hAnsi="Times New Roman"/>
          <w:sz w:val="28"/>
          <w:szCs w:val="24"/>
        </w:rPr>
        <w:t>.</w:t>
      </w:r>
      <w:r w:rsidRPr="00675FE0">
        <w:rPr>
          <w:rFonts w:ascii="Times New Roman" w:hAnsi="Times New Roman"/>
          <w:sz w:val="28"/>
          <w:szCs w:val="24"/>
        </w:rPr>
        <w:t>;</w:t>
      </w:r>
    </w:p>
    <w:p w:rsidR="002D1E45" w:rsidRPr="00675FE0"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B94416">
        <w:rPr>
          <w:rFonts w:ascii="Times New Roman" w:hAnsi="Times New Roman"/>
          <w:sz w:val="28"/>
          <w:szCs w:val="24"/>
        </w:rPr>
        <w:t xml:space="preserve">МБУ ДО </w:t>
      </w:r>
      <w:r>
        <w:rPr>
          <w:rFonts w:ascii="Times New Roman" w:hAnsi="Times New Roman"/>
          <w:sz w:val="28"/>
          <w:szCs w:val="24"/>
        </w:rPr>
        <w:t>К</w:t>
      </w:r>
      <w:r w:rsidRPr="00B94416">
        <w:rPr>
          <w:rFonts w:ascii="Times New Roman" w:hAnsi="Times New Roman"/>
          <w:sz w:val="28"/>
          <w:szCs w:val="24"/>
        </w:rPr>
        <w:t>уйбышевский «</w:t>
      </w:r>
      <w:r>
        <w:rPr>
          <w:rFonts w:ascii="Times New Roman" w:hAnsi="Times New Roman"/>
          <w:sz w:val="28"/>
          <w:szCs w:val="24"/>
        </w:rPr>
        <w:t>Д</w:t>
      </w:r>
      <w:r w:rsidRPr="00B94416">
        <w:rPr>
          <w:rFonts w:ascii="Times New Roman" w:hAnsi="Times New Roman"/>
          <w:sz w:val="28"/>
          <w:szCs w:val="24"/>
        </w:rPr>
        <w:t xml:space="preserve">ом детского творчества» </w:t>
      </w:r>
      <w:r>
        <w:rPr>
          <w:rFonts w:ascii="Times New Roman" w:hAnsi="Times New Roman"/>
          <w:sz w:val="28"/>
          <w:szCs w:val="24"/>
        </w:rPr>
        <w:t>(количество воспитанников – 1062 чел., воспитателей – 56 чел., нагрузка – 19 уч./пед.</w:t>
      </w:r>
      <w:r w:rsidRPr="002070B9">
        <w:rPr>
          <w:rFonts w:ascii="Times New Roman" w:hAnsi="Times New Roman"/>
          <w:sz w:val="28"/>
          <w:szCs w:val="24"/>
        </w:rPr>
        <w:t>)</w:t>
      </w:r>
      <w:r>
        <w:rPr>
          <w:rFonts w:ascii="Times New Roman" w:hAnsi="Times New Roman"/>
          <w:sz w:val="28"/>
          <w:szCs w:val="24"/>
        </w:rPr>
        <w:t>.</w:t>
      </w:r>
      <w:r w:rsidRPr="00675FE0">
        <w:rPr>
          <w:rFonts w:ascii="Times New Roman" w:hAnsi="Times New Roman"/>
          <w:sz w:val="28"/>
          <w:szCs w:val="24"/>
        </w:rPr>
        <w:t>;</w:t>
      </w:r>
    </w:p>
    <w:p w:rsidR="002D1E45" w:rsidRPr="00675FE0"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960FA4">
        <w:rPr>
          <w:rFonts w:ascii="Times New Roman" w:hAnsi="Times New Roman"/>
          <w:sz w:val="28"/>
          <w:szCs w:val="24"/>
        </w:rPr>
        <w:t>МБУ ДО «Станция Юных Техников»</w:t>
      </w:r>
      <w:r w:rsidRPr="00B94416">
        <w:rPr>
          <w:rFonts w:ascii="Times New Roman" w:hAnsi="Times New Roman"/>
          <w:sz w:val="28"/>
          <w:szCs w:val="24"/>
        </w:rPr>
        <w:t xml:space="preserve"> </w:t>
      </w:r>
      <w:r>
        <w:rPr>
          <w:rFonts w:ascii="Times New Roman" w:hAnsi="Times New Roman"/>
          <w:sz w:val="28"/>
          <w:szCs w:val="24"/>
        </w:rPr>
        <w:t>(количество воспитанников – 413 чел., воспитателей – 7 чел., нагрузка – 59 уч./пед.</w:t>
      </w:r>
      <w:r w:rsidRPr="002070B9">
        <w:rPr>
          <w:rFonts w:ascii="Times New Roman" w:hAnsi="Times New Roman"/>
          <w:sz w:val="28"/>
          <w:szCs w:val="24"/>
        </w:rPr>
        <w:t>)</w:t>
      </w:r>
      <w:r>
        <w:rPr>
          <w:rFonts w:ascii="Times New Roman" w:hAnsi="Times New Roman"/>
          <w:sz w:val="28"/>
          <w:szCs w:val="24"/>
        </w:rPr>
        <w:t>.</w:t>
      </w:r>
      <w:r w:rsidRPr="00675FE0">
        <w:rPr>
          <w:rFonts w:ascii="Times New Roman" w:hAnsi="Times New Roman"/>
          <w:sz w:val="28"/>
          <w:szCs w:val="24"/>
        </w:rPr>
        <w:t>;</w:t>
      </w:r>
    </w:p>
    <w:p w:rsidR="002D1E45" w:rsidRPr="00675FE0" w:rsidRDefault="002D1E45" w:rsidP="00675FE0">
      <w:pPr>
        <w:spacing w:after="0" w:line="240" w:lineRule="auto"/>
        <w:ind w:firstLine="709"/>
        <w:contextualSpacing/>
        <w:jc w:val="both"/>
        <w:rPr>
          <w:rFonts w:ascii="Times New Roman" w:hAnsi="Times New Roman"/>
          <w:color w:val="000000"/>
          <w:sz w:val="28"/>
          <w:szCs w:val="28"/>
          <w:shd w:val="clear" w:color="auto" w:fill="FFFFFF"/>
        </w:rPr>
      </w:pPr>
      <w:r w:rsidRPr="00675FE0">
        <w:rPr>
          <w:rFonts w:ascii="Times New Roman" w:hAnsi="Times New Roman"/>
          <w:color w:val="000000"/>
          <w:sz w:val="28"/>
          <w:szCs w:val="28"/>
          <w:shd w:val="clear" w:color="auto" w:fill="FFFFFF"/>
        </w:rPr>
        <w:t xml:space="preserve">Обеспеченность местами в учреждениях </w:t>
      </w:r>
      <w:r>
        <w:rPr>
          <w:rFonts w:ascii="Times New Roman" w:hAnsi="Times New Roman"/>
          <w:color w:val="000000"/>
          <w:sz w:val="28"/>
          <w:szCs w:val="28"/>
          <w:shd w:val="clear" w:color="auto" w:fill="FFFFFF"/>
        </w:rPr>
        <w:t>дополнительного образования города</w:t>
      </w:r>
      <w:r w:rsidRPr="00675FE0">
        <w:rPr>
          <w:rFonts w:ascii="Times New Roman" w:hAnsi="Times New Roman"/>
          <w:color w:val="000000"/>
          <w:sz w:val="28"/>
          <w:szCs w:val="28"/>
          <w:shd w:val="clear" w:color="auto" w:fill="FFFFFF"/>
        </w:rPr>
        <w:t xml:space="preserve"> в соответствии с МНГП </w:t>
      </w:r>
      <w:r>
        <w:rPr>
          <w:rFonts w:ascii="Times New Roman" w:hAnsi="Times New Roman"/>
          <w:color w:val="000000"/>
          <w:sz w:val="28"/>
          <w:szCs w:val="28"/>
          <w:shd w:val="clear" w:color="auto" w:fill="FFFFFF"/>
        </w:rPr>
        <w:t>Куйбышевского</w:t>
      </w:r>
      <w:r w:rsidRPr="00D813D1">
        <w:rPr>
          <w:rFonts w:ascii="Times New Roman" w:hAnsi="Times New Roman"/>
          <w:color w:val="000000"/>
          <w:sz w:val="28"/>
          <w:szCs w:val="28"/>
          <w:shd w:val="clear" w:color="auto" w:fill="FFFFFF"/>
        </w:rPr>
        <w:t xml:space="preserve"> </w:t>
      </w:r>
      <w:r>
        <w:rPr>
          <w:rFonts w:ascii="Times New Roman" w:hAnsi="Times New Roman"/>
          <w:color w:val="000000"/>
          <w:sz w:val="28"/>
          <w:szCs w:val="28"/>
          <w:shd w:val="clear" w:color="auto" w:fill="FFFFFF"/>
        </w:rPr>
        <w:t xml:space="preserve">района </w:t>
      </w:r>
      <w:r w:rsidRPr="00675FE0">
        <w:rPr>
          <w:rFonts w:ascii="Times New Roman" w:hAnsi="Times New Roman"/>
          <w:color w:val="000000"/>
          <w:sz w:val="28"/>
          <w:szCs w:val="28"/>
          <w:shd w:val="clear" w:color="auto" w:fill="FFFFFF"/>
        </w:rPr>
        <w:t xml:space="preserve">составляет </w:t>
      </w:r>
      <w:r>
        <w:rPr>
          <w:rFonts w:ascii="Times New Roman" w:hAnsi="Times New Roman"/>
          <w:color w:val="000000"/>
          <w:sz w:val="28"/>
          <w:szCs w:val="28"/>
          <w:shd w:val="clear" w:color="auto" w:fill="FFFFFF"/>
        </w:rPr>
        <w:t>59</w:t>
      </w:r>
      <w:r w:rsidRPr="00675FE0">
        <w:rPr>
          <w:rFonts w:ascii="Times New Roman" w:hAnsi="Times New Roman"/>
          <w:color w:val="000000"/>
          <w:sz w:val="28"/>
          <w:szCs w:val="28"/>
          <w:shd w:val="clear" w:color="auto" w:fill="FFFFFF"/>
        </w:rPr>
        <w:t xml:space="preserve"> %.  </w:t>
      </w:r>
    </w:p>
    <w:p w:rsidR="002D1E45" w:rsidRPr="00260D34" w:rsidRDefault="002D1E45" w:rsidP="00260D34">
      <w:pPr>
        <w:autoSpaceDE w:val="0"/>
        <w:autoSpaceDN w:val="0"/>
        <w:adjustRightInd w:val="0"/>
        <w:spacing w:after="0" w:line="360" w:lineRule="auto"/>
        <w:ind w:firstLine="709"/>
        <w:jc w:val="right"/>
        <w:rPr>
          <w:rFonts w:ascii="Times New Roman" w:hAnsi="Times New Roman"/>
          <w:sz w:val="28"/>
          <w:szCs w:val="24"/>
          <w:lang w:eastAsia="ru-RU"/>
        </w:rPr>
      </w:pPr>
      <w:r w:rsidRPr="00260D34">
        <w:rPr>
          <w:rFonts w:ascii="Times New Roman" w:hAnsi="Times New Roman"/>
          <w:sz w:val="28"/>
          <w:szCs w:val="24"/>
          <w:lang w:eastAsia="ru-RU"/>
        </w:rPr>
        <w:t xml:space="preserve">Таблица </w:t>
      </w:r>
      <w:r w:rsidRPr="00260D34">
        <w:rPr>
          <w:rFonts w:ascii="Times New Roman" w:hAnsi="Times New Roman"/>
          <w:sz w:val="28"/>
          <w:szCs w:val="24"/>
        </w:rPr>
        <w:fldChar w:fldCharType="begin"/>
      </w:r>
      <w:r w:rsidRPr="00260D34">
        <w:rPr>
          <w:rFonts w:ascii="Times New Roman" w:hAnsi="Times New Roman"/>
          <w:sz w:val="28"/>
          <w:szCs w:val="24"/>
        </w:rPr>
        <w:instrText xml:space="preserve"> SEQ Таблица \* ARABIC </w:instrText>
      </w:r>
      <w:r w:rsidRPr="00260D34">
        <w:rPr>
          <w:rFonts w:ascii="Times New Roman" w:hAnsi="Times New Roman"/>
          <w:sz w:val="28"/>
          <w:szCs w:val="24"/>
        </w:rPr>
        <w:fldChar w:fldCharType="separate"/>
      </w:r>
      <w:r>
        <w:rPr>
          <w:rFonts w:ascii="Times New Roman" w:hAnsi="Times New Roman"/>
          <w:noProof/>
          <w:sz w:val="28"/>
          <w:szCs w:val="24"/>
        </w:rPr>
        <w:t>9</w:t>
      </w:r>
      <w:r w:rsidRPr="00260D34">
        <w:rPr>
          <w:rFonts w:ascii="Times New Roman" w:hAnsi="Times New Roman"/>
          <w:sz w:val="28"/>
          <w:szCs w:val="24"/>
        </w:rPr>
        <w:fldChar w:fldCharType="end"/>
      </w:r>
    </w:p>
    <w:p w:rsidR="002D1E45" w:rsidRPr="00260D34" w:rsidRDefault="002D1E45" w:rsidP="00370A0F">
      <w:pPr>
        <w:tabs>
          <w:tab w:val="left" w:pos="1418"/>
        </w:tabs>
        <w:spacing w:line="240" w:lineRule="auto"/>
        <w:jc w:val="center"/>
        <w:rPr>
          <w:rFonts w:ascii="Times New Roman" w:hAnsi="Times New Roman"/>
          <w:sz w:val="28"/>
          <w:szCs w:val="24"/>
          <w:lang w:eastAsia="ru-RU"/>
        </w:rPr>
      </w:pPr>
      <w:r w:rsidRPr="00260D34">
        <w:rPr>
          <w:rFonts w:ascii="Times New Roman" w:hAnsi="Times New Roman"/>
          <w:sz w:val="28"/>
          <w:szCs w:val="24"/>
          <w:lang w:eastAsia="ru-RU"/>
        </w:rPr>
        <w:t>Характеристика системы образования, 201</w:t>
      </w:r>
      <w:r>
        <w:rPr>
          <w:rFonts w:ascii="Times New Roman" w:hAnsi="Times New Roman"/>
          <w:sz w:val="28"/>
          <w:szCs w:val="24"/>
          <w:lang w:eastAsia="ru-RU"/>
        </w:rPr>
        <w:t xml:space="preserve">9-2020 учебный </w:t>
      </w:r>
      <w:r w:rsidRPr="00260D34">
        <w:rPr>
          <w:rFonts w:ascii="Times New Roman" w:hAnsi="Times New Roman"/>
          <w:sz w:val="28"/>
          <w:szCs w:val="24"/>
          <w:lang w:eastAsia="ru-RU"/>
        </w:rPr>
        <w:t>г</w:t>
      </w:r>
      <w:r>
        <w:rPr>
          <w:rFonts w:ascii="Times New Roman" w:hAnsi="Times New Roman"/>
          <w:sz w:val="28"/>
          <w:szCs w:val="24"/>
          <w:lang w:eastAsia="ru-RU"/>
        </w:rPr>
        <w:t>од</w:t>
      </w:r>
    </w:p>
    <w:tbl>
      <w:tblPr>
        <w:tblW w:w="73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807"/>
        <w:gridCol w:w="1561"/>
      </w:tblGrid>
      <w:tr w:rsidR="002D1E45" w:rsidRPr="00D813D1" w:rsidTr="00D813D1">
        <w:trPr>
          <w:cantSplit/>
          <w:trHeight w:val="170"/>
          <w:tblHeader/>
          <w:jc w:val="center"/>
        </w:trPr>
        <w:tc>
          <w:tcPr>
            <w:tcW w:w="5807" w:type="dxa"/>
            <w:noWrap/>
            <w:tcMar>
              <w:top w:w="15" w:type="dxa"/>
              <w:left w:w="108" w:type="dxa"/>
              <w:bottom w:w="15" w:type="dxa"/>
              <w:right w:w="108" w:type="dxa"/>
            </w:tcMar>
            <w:vAlign w:val="center"/>
          </w:tcPr>
          <w:p w:rsidR="002D1E45" w:rsidRPr="00D813D1" w:rsidRDefault="002D1E45" w:rsidP="00D813D1">
            <w:pPr>
              <w:spacing w:after="0" w:line="240" w:lineRule="auto"/>
              <w:jc w:val="center"/>
              <w:rPr>
                <w:rFonts w:ascii="Times New Roman" w:hAnsi="Times New Roman"/>
                <w:color w:val="000000"/>
                <w:sz w:val="24"/>
                <w:szCs w:val="24"/>
                <w:lang w:eastAsia="ru-RU"/>
              </w:rPr>
            </w:pPr>
            <w:r w:rsidRPr="00D813D1">
              <w:rPr>
                <w:rFonts w:ascii="Times New Roman" w:hAnsi="Times New Roman"/>
                <w:color w:val="000000"/>
                <w:sz w:val="24"/>
                <w:szCs w:val="24"/>
                <w:lang w:eastAsia="ru-RU"/>
              </w:rPr>
              <w:t>Показатель</w:t>
            </w:r>
          </w:p>
        </w:tc>
        <w:tc>
          <w:tcPr>
            <w:tcW w:w="1561" w:type="dxa"/>
            <w:noWrap/>
            <w:tcMar>
              <w:top w:w="15" w:type="dxa"/>
              <w:left w:w="108" w:type="dxa"/>
              <w:bottom w:w="15" w:type="dxa"/>
              <w:right w:w="108" w:type="dxa"/>
            </w:tcMar>
            <w:vAlign w:val="center"/>
          </w:tcPr>
          <w:p w:rsidR="002D1E45" w:rsidRPr="00D813D1" w:rsidRDefault="002D1E45" w:rsidP="00D813D1">
            <w:pPr>
              <w:spacing w:after="0" w:line="240" w:lineRule="auto"/>
              <w:jc w:val="center"/>
              <w:rPr>
                <w:rFonts w:ascii="Times New Roman" w:hAnsi="Times New Roman"/>
                <w:color w:val="000000"/>
                <w:sz w:val="24"/>
                <w:szCs w:val="24"/>
                <w:lang w:eastAsia="ru-RU"/>
              </w:rPr>
            </w:pPr>
            <w:r w:rsidRPr="00D813D1">
              <w:rPr>
                <w:rFonts w:ascii="Times New Roman" w:hAnsi="Times New Roman"/>
                <w:color w:val="000000"/>
                <w:sz w:val="24"/>
                <w:szCs w:val="24"/>
                <w:lang w:eastAsia="ru-RU"/>
              </w:rPr>
              <w:t xml:space="preserve"> Значение</w:t>
            </w:r>
          </w:p>
        </w:tc>
      </w:tr>
      <w:tr w:rsidR="002D1E45" w:rsidRPr="00D813D1" w:rsidTr="00D813D1">
        <w:trPr>
          <w:cantSplit/>
          <w:trHeight w:val="170"/>
          <w:jc w:val="center"/>
        </w:trPr>
        <w:tc>
          <w:tcPr>
            <w:tcW w:w="7368" w:type="dxa"/>
            <w:gridSpan w:val="2"/>
            <w:tcMar>
              <w:top w:w="15" w:type="dxa"/>
              <w:left w:w="108" w:type="dxa"/>
              <w:bottom w:w="15" w:type="dxa"/>
              <w:right w:w="108" w:type="dxa"/>
            </w:tcMar>
            <w:vAlign w:val="center"/>
          </w:tcPr>
          <w:p w:rsidR="002D1E45" w:rsidRPr="00D813D1" w:rsidRDefault="002D1E45" w:rsidP="00D813D1">
            <w:pPr>
              <w:spacing w:after="0" w:line="240" w:lineRule="auto"/>
              <w:jc w:val="center"/>
              <w:rPr>
                <w:rFonts w:ascii="Times New Roman" w:hAnsi="Times New Roman"/>
                <w:color w:val="000000"/>
                <w:sz w:val="24"/>
                <w:szCs w:val="24"/>
                <w:lang w:eastAsia="ru-RU"/>
              </w:rPr>
            </w:pPr>
            <w:r w:rsidRPr="00D813D1">
              <w:rPr>
                <w:rFonts w:ascii="Times New Roman" w:hAnsi="Times New Roman"/>
                <w:color w:val="000000"/>
                <w:sz w:val="24"/>
                <w:szCs w:val="24"/>
                <w:lang w:eastAsia="ru-RU"/>
              </w:rPr>
              <w:t>Общеобразовательные школы</w:t>
            </w:r>
          </w:p>
        </w:tc>
      </w:tr>
      <w:tr w:rsidR="002D1E45" w:rsidRPr="00D813D1" w:rsidTr="004823C1">
        <w:trPr>
          <w:cantSplit/>
          <w:trHeight w:val="170"/>
          <w:jc w:val="center"/>
        </w:trPr>
        <w:tc>
          <w:tcPr>
            <w:tcW w:w="5807" w:type="dxa"/>
            <w:tcMar>
              <w:top w:w="15" w:type="dxa"/>
              <w:left w:w="108" w:type="dxa"/>
              <w:bottom w:w="15" w:type="dxa"/>
              <w:right w:w="108" w:type="dxa"/>
            </w:tcMar>
            <w:vAlign w:val="center"/>
          </w:tcPr>
          <w:p w:rsidR="002D1E45" w:rsidRPr="00D813D1" w:rsidRDefault="002D1E45" w:rsidP="004823C1">
            <w:pPr>
              <w:spacing w:after="0" w:line="240" w:lineRule="auto"/>
              <w:rPr>
                <w:rFonts w:ascii="Times New Roman" w:hAnsi="Times New Roman"/>
                <w:color w:val="000000"/>
                <w:sz w:val="24"/>
                <w:szCs w:val="24"/>
                <w:lang w:eastAsia="ru-RU"/>
              </w:rPr>
            </w:pPr>
            <w:r w:rsidRPr="00D813D1">
              <w:rPr>
                <w:rFonts w:ascii="Times New Roman" w:hAnsi="Times New Roman"/>
                <w:color w:val="000000"/>
                <w:sz w:val="24"/>
                <w:szCs w:val="24"/>
                <w:lang w:eastAsia="ru-RU"/>
              </w:rPr>
              <w:t>Число школ, ед.</w:t>
            </w:r>
          </w:p>
        </w:tc>
        <w:tc>
          <w:tcPr>
            <w:tcW w:w="1561" w:type="dxa"/>
            <w:noWrap/>
            <w:tcMar>
              <w:top w:w="15" w:type="dxa"/>
              <w:left w:w="108" w:type="dxa"/>
              <w:bottom w:w="15" w:type="dxa"/>
              <w:right w:w="108" w:type="dxa"/>
            </w:tcMar>
            <w:vAlign w:val="center"/>
          </w:tcPr>
          <w:p w:rsidR="002D1E45" w:rsidRPr="004823C1" w:rsidRDefault="002D1E45" w:rsidP="004823C1">
            <w:pPr>
              <w:spacing w:after="0" w:line="240" w:lineRule="auto"/>
              <w:jc w:val="right"/>
              <w:rPr>
                <w:rFonts w:ascii="Times New Roman" w:hAnsi="Times New Roman"/>
                <w:color w:val="000000"/>
                <w:sz w:val="24"/>
                <w:szCs w:val="24"/>
                <w:lang w:eastAsia="ru-RU"/>
              </w:rPr>
            </w:pPr>
            <w:r w:rsidRPr="004823C1">
              <w:rPr>
                <w:rFonts w:ascii="Times New Roman" w:hAnsi="Times New Roman"/>
                <w:color w:val="000000"/>
                <w:sz w:val="24"/>
                <w:szCs w:val="24"/>
                <w:lang w:eastAsia="ru-RU"/>
              </w:rPr>
              <w:t>11</w:t>
            </w:r>
          </w:p>
        </w:tc>
      </w:tr>
      <w:tr w:rsidR="002D1E45" w:rsidRPr="00D813D1" w:rsidTr="004823C1">
        <w:trPr>
          <w:cantSplit/>
          <w:trHeight w:val="170"/>
          <w:jc w:val="center"/>
        </w:trPr>
        <w:tc>
          <w:tcPr>
            <w:tcW w:w="5807" w:type="dxa"/>
            <w:tcMar>
              <w:top w:w="15" w:type="dxa"/>
              <w:left w:w="108" w:type="dxa"/>
              <w:bottom w:w="15" w:type="dxa"/>
              <w:right w:w="108" w:type="dxa"/>
            </w:tcMar>
            <w:vAlign w:val="center"/>
          </w:tcPr>
          <w:p w:rsidR="002D1E45" w:rsidRPr="00D813D1" w:rsidRDefault="002D1E45" w:rsidP="004823C1">
            <w:pPr>
              <w:spacing w:after="0" w:line="240" w:lineRule="auto"/>
              <w:rPr>
                <w:rFonts w:ascii="Times New Roman" w:hAnsi="Times New Roman"/>
                <w:color w:val="000000"/>
                <w:sz w:val="24"/>
                <w:szCs w:val="24"/>
                <w:lang w:eastAsia="ru-RU"/>
              </w:rPr>
            </w:pPr>
            <w:r w:rsidRPr="00D813D1">
              <w:rPr>
                <w:rFonts w:ascii="Times New Roman" w:hAnsi="Times New Roman"/>
                <w:color w:val="000000"/>
                <w:sz w:val="24"/>
                <w:szCs w:val="24"/>
                <w:lang w:eastAsia="ru-RU"/>
              </w:rPr>
              <w:t>Проектная мощность школ, мест</w:t>
            </w:r>
          </w:p>
        </w:tc>
        <w:tc>
          <w:tcPr>
            <w:tcW w:w="1561" w:type="dxa"/>
            <w:tcBorders>
              <w:top w:val="nil"/>
            </w:tcBorders>
            <w:noWrap/>
            <w:tcMar>
              <w:top w:w="15" w:type="dxa"/>
              <w:left w:w="108" w:type="dxa"/>
              <w:bottom w:w="15" w:type="dxa"/>
              <w:right w:w="108" w:type="dxa"/>
            </w:tcMar>
            <w:vAlign w:val="center"/>
          </w:tcPr>
          <w:p w:rsidR="002D1E45" w:rsidRPr="004823C1" w:rsidRDefault="002D1E45" w:rsidP="004823C1">
            <w:pPr>
              <w:spacing w:after="0" w:line="240" w:lineRule="auto"/>
              <w:jc w:val="right"/>
              <w:rPr>
                <w:rFonts w:ascii="Times New Roman" w:hAnsi="Times New Roman"/>
                <w:color w:val="000000"/>
                <w:sz w:val="24"/>
                <w:szCs w:val="24"/>
                <w:lang w:eastAsia="ru-RU"/>
              </w:rPr>
            </w:pPr>
            <w:r w:rsidRPr="004823C1">
              <w:rPr>
                <w:rFonts w:ascii="Times New Roman" w:hAnsi="Times New Roman"/>
                <w:color w:val="000000"/>
                <w:sz w:val="24"/>
                <w:szCs w:val="24"/>
                <w:lang w:eastAsia="ru-RU"/>
              </w:rPr>
              <w:t>5 048</w:t>
            </w:r>
          </w:p>
        </w:tc>
      </w:tr>
      <w:tr w:rsidR="002D1E45" w:rsidRPr="00D813D1" w:rsidTr="004823C1">
        <w:trPr>
          <w:cantSplit/>
          <w:trHeight w:val="170"/>
          <w:jc w:val="center"/>
        </w:trPr>
        <w:tc>
          <w:tcPr>
            <w:tcW w:w="5807" w:type="dxa"/>
            <w:tcMar>
              <w:top w:w="15" w:type="dxa"/>
              <w:left w:w="108" w:type="dxa"/>
              <w:bottom w:w="15" w:type="dxa"/>
              <w:right w:w="108" w:type="dxa"/>
            </w:tcMar>
            <w:vAlign w:val="center"/>
          </w:tcPr>
          <w:p w:rsidR="002D1E45" w:rsidRPr="00D813D1" w:rsidRDefault="002D1E45" w:rsidP="004823C1">
            <w:pPr>
              <w:spacing w:after="0" w:line="240" w:lineRule="auto"/>
              <w:rPr>
                <w:rFonts w:ascii="Times New Roman" w:hAnsi="Times New Roman"/>
                <w:color w:val="000000"/>
                <w:sz w:val="24"/>
                <w:szCs w:val="24"/>
                <w:lang w:eastAsia="ru-RU"/>
              </w:rPr>
            </w:pPr>
            <w:r w:rsidRPr="00D813D1">
              <w:rPr>
                <w:rFonts w:ascii="Times New Roman" w:hAnsi="Times New Roman"/>
                <w:color w:val="000000"/>
                <w:sz w:val="24"/>
                <w:szCs w:val="24"/>
                <w:lang w:eastAsia="ru-RU"/>
              </w:rPr>
              <w:t>Численность обучающихся, чел.</w:t>
            </w:r>
          </w:p>
        </w:tc>
        <w:tc>
          <w:tcPr>
            <w:tcW w:w="1561" w:type="dxa"/>
            <w:tcBorders>
              <w:top w:val="nil"/>
            </w:tcBorders>
            <w:noWrap/>
            <w:tcMar>
              <w:top w:w="15" w:type="dxa"/>
              <w:left w:w="108" w:type="dxa"/>
              <w:bottom w:w="15" w:type="dxa"/>
              <w:right w:w="108" w:type="dxa"/>
            </w:tcMar>
            <w:vAlign w:val="center"/>
          </w:tcPr>
          <w:p w:rsidR="002D1E45" w:rsidRPr="004823C1" w:rsidRDefault="002D1E45" w:rsidP="004823C1">
            <w:pPr>
              <w:spacing w:after="0" w:line="240" w:lineRule="auto"/>
              <w:jc w:val="right"/>
              <w:rPr>
                <w:rFonts w:ascii="Times New Roman" w:hAnsi="Times New Roman"/>
                <w:color w:val="000000"/>
                <w:sz w:val="24"/>
                <w:szCs w:val="24"/>
                <w:lang w:eastAsia="ru-RU"/>
              </w:rPr>
            </w:pPr>
            <w:r w:rsidRPr="004823C1">
              <w:rPr>
                <w:rFonts w:ascii="Times New Roman" w:hAnsi="Times New Roman"/>
                <w:color w:val="000000"/>
                <w:sz w:val="24"/>
                <w:szCs w:val="24"/>
                <w:lang w:eastAsia="ru-RU"/>
              </w:rPr>
              <w:t>5108</w:t>
            </w:r>
          </w:p>
        </w:tc>
      </w:tr>
      <w:tr w:rsidR="002D1E45" w:rsidRPr="00D813D1" w:rsidTr="004823C1">
        <w:trPr>
          <w:cantSplit/>
          <w:trHeight w:val="170"/>
          <w:jc w:val="center"/>
        </w:trPr>
        <w:tc>
          <w:tcPr>
            <w:tcW w:w="5807" w:type="dxa"/>
            <w:tcMar>
              <w:top w:w="15" w:type="dxa"/>
              <w:left w:w="108" w:type="dxa"/>
              <w:bottom w:w="15" w:type="dxa"/>
              <w:right w:w="108" w:type="dxa"/>
            </w:tcMar>
            <w:vAlign w:val="center"/>
          </w:tcPr>
          <w:p w:rsidR="002D1E45" w:rsidRPr="00D813D1" w:rsidRDefault="002D1E45" w:rsidP="004823C1">
            <w:pPr>
              <w:spacing w:after="0" w:line="240" w:lineRule="auto"/>
              <w:rPr>
                <w:rFonts w:ascii="Times New Roman" w:hAnsi="Times New Roman"/>
                <w:color w:val="000000"/>
                <w:sz w:val="24"/>
                <w:szCs w:val="24"/>
                <w:lang w:eastAsia="ru-RU"/>
              </w:rPr>
            </w:pPr>
            <w:r w:rsidRPr="00D813D1">
              <w:rPr>
                <w:rFonts w:ascii="Times New Roman" w:hAnsi="Times New Roman"/>
                <w:color w:val="000000"/>
                <w:sz w:val="24"/>
                <w:szCs w:val="24"/>
                <w:lang w:eastAsia="ru-RU"/>
              </w:rPr>
              <w:t>Наполняемость, чел./место</w:t>
            </w:r>
          </w:p>
        </w:tc>
        <w:tc>
          <w:tcPr>
            <w:tcW w:w="1561" w:type="dxa"/>
            <w:tcBorders>
              <w:top w:val="nil"/>
            </w:tcBorders>
            <w:noWrap/>
            <w:tcMar>
              <w:top w:w="15" w:type="dxa"/>
              <w:left w:w="108" w:type="dxa"/>
              <w:bottom w:w="15" w:type="dxa"/>
              <w:right w:w="108" w:type="dxa"/>
            </w:tcMar>
            <w:vAlign w:val="center"/>
          </w:tcPr>
          <w:p w:rsidR="002D1E45" w:rsidRPr="004823C1" w:rsidRDefault="002D1E45" w:rsidP="004823C1">
            <w:pPr>
              <w:spacing w:after="0" w:line="240" w:lineRule="auto"/>
              <w:jc w:val="right"/>
              <w:rPr>
                <w:rFonts w:ascii="Times New Roman" w:hAnsi="Times New Roman"/>
                <w:color w:val="000000"/>
                <w:sz w:val="24"/>
                <w:szCs w:val="24"/>
                <w:lang w:eastAsia="ru-RU"/>
              </w:rPr>
            </w:pPr>
            <w:r w:rsidRPr="004823C1">
              <w:rPr>
                <w:rFonts w:ascii="Times New Roman" w:hAnsi="Times New Roman"/>
                <w:color w:val="000000"/>
                <w:sz w:val="24"/>
                <w:szCs w:val="24"/>
                <w:lang w:eastAsia="ru-RU"/>
              </w:rPr>
              <w:t>1,01</w:t>
            </w:r>
          </w:p>
        </w:tc>
      </w:tr>
      <w:tr w:rsidR="002D1E45" w:rsidRPr="00D813D1" w:rsidTr="004823C1">
        <w:trPr>
          <w:cantSplit/>
          <w:trHeight w:val="170"/>
          <w:jc w:val="center"/>
        </w:trPr>
        <w:tc>
          <w:tcPr>
            <w:tcW w:w="5807" w:type="dxa"/>
            <w:tcMar>
              <w:top w:w="15" w:type="dxa"/>
              <w:left w:w="108" w:type="dxa"/>
              <w:bottom w:w="15" w:type="dxa"/>
              <w:right w:w="108" w:type="dxa"/>
            </w:tcMar>
            <w:vAlign w:val="center"/>
          </w:tcPr>
          <w:p w:rsidR="002D1E45" w:rsidRPr="00D813D1" w:rsidRDefault="002D1E45" w:rsidP="004823C1">
            <w:pPr>
              <w:spacing w:after="0" w:line="240" w:lineRule="auto"/>
              <w:rPr>
                <w:rFonts w:ascii="Times New Roman" w:hAnsi="Times New Roman"/>
                <w:color w:val="000000"/>
                <w:sz w:val="24"/>
                <w:szCs w:val="24"/>
                <w:lang w:eastAsia="ru-RU"/>
              </w:rPr>
            </w:pPr>
            <w:r w:rsidRPr="00D813D1">
              <w:rPr>
                <w:rFonts w:ascii="Times New Roman" w:hAnsi="Times New Roman"/>
                <w:color w:val="000000"/>
                <w:sz w:val="24"/>
                <w:szCs w:val="24"/>
                <w:lang w:eastAsia="ru-RU"/>
              </w:rPr>
              <w:t>Число педагогов школ, чел.</w:t>
            </w:r>
          </w:p>
        </w:tc>
        <w:tc>
          <w:tcPr>
            <w:tcW w:w="1561" w:type="dxa"/>
            <w:tcBorders>
              <w:top w:val="nil"/>
            </w:tcBorders>
            <w:noWrap/>
            <w:tcMar>
              <w:top w:w="15" w:type="dxa"/>
              <w:left w:w="108" w:type="dxa"/>
              <w:bottom w:w="15" w:type="dxa"/>
              <w:right w:w="108" w:type="dxa"/>
            </w:tcMar>
            <w:vAlign w:val="center"/>
          </w:tcPr>
          <w:p w:rsidR="002D1E45" w:rsidRPr="004823C1" w:rsidRDefault="002D1E45" w:rsidP="004823C1">
            <w:pPr>
              <w:spacing w:after="0" w:line="240" w:lineRule="auto"/>
              <w:jc w:val="right"/>
              <w:rPr>
                <w:rFonts w:ascii="Times New Roman" w:hAnsi="Times New Roman"/>
                <w:color w:val="000000"/>
                <w:sz w:val="24"/>
                <w:szCs w:val="24"/>
                <w:lang w:eastAsia="ru-RU"/>
              </w:rPr>
            </w:pPr>
            <w:r w:rsidRPr="004823C1">
              <w:rPr>
                <w:rFonts w:ascii="Times New Roman" w:hAnsi="Times New Roman"/>
                <w:color w:val="000000"/>
                <w:sz w:val="24"/>
                <w:szCs w:val="24"/>
                <w:lang w:eastAsia="ru-RU"/>
              </w:rPr>
              <w:t>434</w:t>
            </w:r>
          </w:p>
        </w:tc>
      </w:tr>
      <w:tr w:rsidR="002D1E45" w:rsidRPr="00D813D1" w:rsidTr="004823C1">
        <w:trPr>
          <w:cantSplit/>
          <w:trHeight w:val="170"/>
          <w:jc w:val="center"/>
        </w:trPr>
        <w:tc>
          <w:tcPr>
            <w:tcW w:w="5807" w:type="dxa"/>
            <w:tcMar>
              <w:top w:w="15" w:type="dxa"/>
              <w:left w:w="108" w:type="dxa"/>
              <w:bottom w:w="15" w:type="dxa"/>
              <w:right w:w="108" w:type="dxa"/>
            </w:tcMar>
            <w:vAlign w:val="center"/>
          </w:tcPr>
          <w:p w:rsidR="002D1E45" w:rsidRPr="00D813D1" w:rsidRDefault="002D1E45" w:rsidP="004823C1">
            <w:pPr>
              <w:spacing w:after="0" w:line="240" w:lineRule="auto"/>
              <w:rPr>
                <w:rFonts w:ascii="Times New Roman" w:hAnsi="Times New Roman"/>
                <w:color w:val="000000"/>
                <w:sz w:val="24"/>
                <w:szCs w:val="24"/>
                <w:lang w:eastAsia="ru-RU"/>
              </w:rPr>
            </w:pPr>
            <w:r w:rsidRPr="00D813D1">
              <w:rPr>
                <w:rFonts w:ascii="Times New Roman" w:hAnsi="Times New Roman"/>
                <w:color w:val="000000"/>
                <w:sz w:val="24"/>
                <w:szCs w:val="24"/>
                <w:lang w:eastAsia="ru-RU"/>
              </w:rPr>
              <w:t>Количество учеников на 1 учителя, чел.</w:t>
            </w:r>
          </w:p>
        </w:tc>
        <w:tc>
          <w:tcPr>
            <w:tcW w:w="1561" w:type="dxa"/>
            <w:tcBorders>
              <w:top w:val="nil"/>
            </w:tcBorders>
            <w:noWrap/>
            <w:tcMar>
              <w:top w:w="15" w:type="dxa"/>
              <w:left w:w="108" w:type="dxa"/>
              <w:bottom w:w="15" w:type="dxa"/>
              <w:right w:w="108" w:type="dxa"/>
            </w:tcMar>
            <w:vAlign w:val="center"/>
          </w:tcPr>
          <w:p w:rsidR="002D1E45" w:rsidRPr="004823C1" w:rsidRDefault="002D1E45" w:rsidP="004823C1">
            <w:pPr>
              <w:spacing w:after="0" w:line="240" w:lineRule="auto"/>
              <w:jc w:val="right"/>
              <w:rPr>
                <w:rFonts w:ascii="Times New Roman" w:hAnsi="Times New Roman"/>
                <w:color w:val="000000"/>
                <w:sz w:val="24"/>
                <w:szCs w:val="24"/>
                <w:lang w:eastAsia="ru-RU"/>
              </w:rPr>
            </w:pPr>
            <w:r w:rsidRPr="004823C1">
              <w:rPr>
                <w:rFonts w:ascii="Times New Roman" w:hAnsi="Times New Roman"/>
                <w:color w:val="000000"/>
                <w:sz w:val="24"/>
                <w:szCs w:val="24"/>
                <w:lang w:eastAsia="ru-RU"/>
              </w:rPr>
              <w:t>11,8</w:t>
            </w:r>
          </w:p>
        </w:tc>
      </w:tr>
      <w:tr w:rsidR="002D1E45" w:rsidRPr="00D813D1" w:rsidTr="00D813D1">
        <w:trPr>
          <w:cantSplit/>
          <w:trHeight w:val="170"/>
          <w:jc w:val="center"/>
        </w:trPr>
        <w:tc>
          <w:tcPr>
            <w:tcW w:w="7368" w:type="dxa"/>
            <w:gridSpan w:val="2"/>
            <w:tcMar>
              <w:top w:w="15" w:type="dxa"/>
              <w:left w:w="108" w:type="dxa"/>
              <w:bottom w:w="15" w:type="dxa"/>
              <w:right w:w="108" w:type="dxa"/>
            </w:tcMar>
            <w:vAlign w:val="center"/>
          </w:tcPr>
          <w:p w:rsidR="002D1E45" w:rsidRPr="00D813D1" w:rsidRDefault="002D1E45" w:rsidP="00D813D1">
            <w:pPr>
              <w:spacing w:after="0" w:line="240" w:lineRule="auto"/>
              <w:jc w:val="center"/>
              <w:rPr>
                <w:rFonts w:ascii="Times New Roman" w:hAnsi="Times New Roman"/>
                <w:color w:val="000000"/>
                <w:sz w:val="24"/>
                <w:szCs w:val="24"/>
                <w:lang w:eastAsia="ru-RU"/>
              </w:rPr>
            </w:pPr>
            <w:r w:rsidRPr="00D813D1">
              <w:rPr>
                <w:rFonts w:ascii="Times New Roman" w:hAnsi="Times New Roman"/>
                <w:color w:val="000000"/>
                <w:sz w:val="24"/>
                <w:szCs w:val="24"/>
                <w:lang w:eastAsia="ru-RU"/>
              </w:rPr>
              <w:t>Дошкольные учреждения</w:t>
            </w:r>
          </w:p>
        </w:tc>
      </w:tr>
      <w:tr w:rsidR="002D1E45" w:rsidRPr="00D813D1" w:rsidTr="000173C4">
        <w:trPr>
          <w:cantSplit/>
          <w:trHeight w:val="170"/>
          <w:jc w:val="center"/>
        </w:trPr>
        <w:tc>
          <w:tcPr>
            <w:tcW w:w="5807" w:type="dxa"/>
            <w:tcMar>
              <w:top w:w="15" w:type="dxa"/>
              <w:left w:w="108" w:type="dxa"/>
              <w:bottom w:w="15" w:type="dxa"/>
              <w:right w:w="108" w:type="dxa"/>
            </w:tcMar>
            <w:vAlign w:val="bottom"/>
          </w:tcPr>
          <w:p w:rsidR="002D1E45" w:rsidRPr="00D813D1" w:rsidRDefault="002D1E45" w:rsidP="00D0571D">
            <w:pPr>
              <w:spacing w:after="0" w:line="240" w:lineRule="auto"/>
              <w:rPr>
                <w:rFonts w:ascii="Times New Roman" w:hAnsi="Times New Roman"/>
                <w:color w:val="000000"/>
                <w:sz w:val="24"/>
                <w:szCs w:val="24"/>
                <w:lang w:eastAsia="ru-RU"/>
              </w:rPr>
            </w:pPr>
            <w:r w:rsidRPr="00D813D1">
              <w:rPr>
                <w:rFonts w:ascii="Times New Roman" w:hAnsi="Times New Roman"/>
                <w:color w:val="000000"/>
                <w:sz w:val="24"/>
                <w:szCs w:val="24"/>
                <w:lang w:eastAsia="ru-RU"/>
              </w:rPr>
              <w:t>Число детских садов, ед.</w:t>
            </w:r>
          </w:p>
        </w:tc>
        <w:tc>
          <w:tcPr>
            <w:tcW w:w="1561" w:type="dxa"/>
            <w:noWrap/>
            <w:tcMar>
              <w:top w:w="15" w:type="dxa"/>
              <w:left w:w="108" w:type="dxa"/>
              <w:bottom w:w="15" w:type="dxa"/>
              <w:right w:w="108" w:type="dxa"/>
            </w:tcMar>
          </w:tcPr>
          <w:p w:rsidR="002D1E45" w:rsidRPr="00D0571D" w:rsidRDefault="002D1E45" w:rsidP="00D0571D">
            <w:pPr>
              <w:spacing w:after="0" w:line="240" w:lineRule="auto"/>
              <w:jc w:val="right"/>
              <w:rPr>
                <w:rFonts w:ascii="Times New Roman" w:hAnsi="Times New Roman"/>
                <w:color w:val="000000"/>
                <w:sz w:val="24"/>
                <w:szCs w:val="24"/>
                <w:lang w:eastAsia="ru-RU"/>
              </w:rPr>
            </w:pPr>
            <w:r w:rsidRPr="00D0571D">
              <w:rPr>
                <w:rFonts w:ascii="Times New Roman" w:hAnsi="Times New Roman"/>
                <w:color w:val="000000"/>
                <w:sz w:val="24"/>
                <w:szCs w:val="24"/>
                <w:lang w:eastAsia="ru-RU"/>
              </w:rPr>
              <w:t>13</w:t>
            </w:r>
          </w:p>
        </w:tc>
      </w:tr>
      <w:tr w:rsidR="002D1E45" w:rsidRPr="00D813D1" w:rsidTr="000173C4">
        <w:trPr>
          <w:cantSplit/>
          <w:trHeight w:val="170"/>
          <w:jc w:val="center"/>
        </w:trPr>
        <w:tc>
          <w:tcPr>
            <w:tcW w:w="5807" w:type="dxa"/>
            <w:tcMar>
              <w:top w:w="15" w:type="dxa"/>
              <w:left w:w="108" w:type="dxa"/>
              <w:bottom w:w="15" w:type="dxa"/>
              <w:right w:w="108" w:type="dxa"/>
            </w:tcMar>
            <w:vAlign w:val="center"/>
          </w:tcPr>
          <w:p w:rsidR="002D1E45" w:rsidRPr="00D813D1" w:rsidRDefault="002D1E45" w:rsidP="00D0571D">
            <w:pPr>
              <w:spacing w:after="0" w:line="240" w:lineRule="auto"/>
              <w:rPr>
                <w:rFonts w:ascii="Times New Roman" w:hAnsi="Times New Roman"/>
                <w:color w:val="000000"/>
                <w:sz w:val="24"/>
                <w:szCs w:val="24"/>
                <w:lang w:eastAsia="ru-RU"/>
              </w:rPr>
            </w:pPr>
            <w:r w:rsidRPr="00D813D1">
              <w:rPr>
                <w:rFonts w:ascii="Times New Roman" w:hAnsi="Times New Roman"/>
                <w:color w:val="000000"/>
                <w:sz w:val="24"/>
                <w:szCs w:val="24"/>
                <w:lang w:eastAsia="ru-RU"/>
              </w:rPr>
              <w:t>Проектная мощность детских садов, мест</w:t>
            </w:r>
          </w:p>
        </w:tc>
        <w:tc>
          <w:tcPr>
            <w:tcW w:w="1561" w:type="dxa"/>
            <w:tcBorders>
              <w:top w:val="nil"/>
            </w:tcBorders>
            <w:noWrap/>
            <w:tcMar>
              <w:top w:w="15" w:type="dxa"/>
              <w:left w:w="108" w:type="dxa"/>
              <w:bottom w:w="15" w:type="dxa"/>
              <w:right w:w="108" w:type="dxa"/>
            </w:tcMar>
          </w:tcPr>
          <w:p w:rsidR="002D1E45" w:rsidRPr="00D0571D" w:rsidRDefault="002D1E45" w:rsidP="00D0571D">
            <w:pPr>
              <w:spacing w:after="0" w:line="240" w:lineRule="auto"/>
              <w:jc w:val="right"/>
              <w:rPr>
                <w:rFonts w:ascii="Times New Roman" w:hAnsi="Times New Roman"/>
                <w:color w:val="000000"/>
                <w:sz w:val="24"/>
                <w:szCs w:val="24"/>
                <w:lang w:eastAsia="ru-RU"/>
              </w:rPr>
            </w:pPr>
            <w:r w:rsidRPr="00D0571D">
              <w:rPr>
                <w:rFonts w:ascii="Times New Roman" w:hAnsi="Times New Roman"/>
                <w:color w:val="000000"/>
                <w:sz w:val="24"/>
                <w:szCs w:val="24"/>
                <w:lang w:eastAsia="ru-RU"/>
              </w:rPr>
              <w:t>2379</w:t>
            </w:r>
          </w:p>
        </w:tc>
      </w:tr>
      <w:tr w:rsidR="002D1E45" w:rsidRPr="00D813D1" w:rsidTr="000173C4">
        <w:trPr>
          <w:cantSplit/>
          <w:trHeight w:val="170"/>
          <w:jc w:val="center"/>
        </w:trPr>
        <w:tc>
          <w:tcPr>
            <w:tcW w:w="5807" w:type="dxa"/>
            <w:tcMar>
              <w:top w:w="15" w:type="dxa"/>
              <w:left w:w="108" w:type="dxa"/>
              <w:bottom w:w="15" w:type="dxa"/>
              <w:right w:w="108" w:type="dxa"/>
            </w:tcMar>
            <w:vAlign w:val="center"/>
          </w:tcPr>
          <w:p w:rsidR="002D1E45" w:rsidRPr="00D813D1" w:rsidRDefault="002D1E45" w:rsidP="00D0571D">
            <w:pPr>
              <w:spacing w:after="0" w:line="240" w:lineRule="auto"/>
              <w:rPr>
                <w:rFonts w:ascii="Times New Roman" w:hAnsi="Times New Roman"/>
                <w:color w:val="000000"/>
                <w:sz w:val="24"/>
                <w:szCs w:val="24"/>
                <w:lang w:eastAsia="ru-RU"/>
              </w:rPr>
            </w:pPr>
            <w:r w:rsidRPr="00D813D1">
              <w:rPr>
                <w:rFonts w:ascii="Times New Roman" w:hAnsi="Times New Roman"/>
                <w:color w:val="000000"/>
                <w:sz w:val="24"/>
                <w:szCs w:val="24"/>
                <w:lang w:eastAsia="ru-RU"/>
              </w:rPr>
              <w:t>Численность воспитанников, чел.</w:t>
            </w:r>
          </w:p>
        </w:tc>
        <w:tc>
          <w:tcPr>
            <w:tcW w:w="1561" w:type="dxa"/>
            <w:tcBorders>
              <w:top w:val="nil"/>
            </w:tcBorders>
            <w:noWrap/>
            <w:tcMar>
              <w:top w:w="15" w:type="dxa"/>
              <w:left w:w="108" w:type="dxa"/>
              <w:bottom w:w="15" w:type="dxa"/>
              <w:right w:w="108" w:type="dxa"/>
            </w:tcMar>
          </w:tcPr>
          <w:p w:rsidR="002D1E45" w:rsidRPr="00D0571D" w:rsidRDefault="002D1E45" w:rsidP="00D0571D">
            <w:pPr>
              <w:spacing w:after="0" w:line="240" w:lineRule="auto"/>
              <w:jc w:val="right"/>
              <w:rPr>
                <w:rFonts w:ascii="Times New Roman" w:hAnsi="Times New Roman"/>
                <w:color w:val="000000"/>
                <w:sz w:val="24"/>
                <w:szCs w:val="24"/>
                <w:lang w:eastAsia="ru-RU"/>
              </w:rPr>
            </w:pPr>
            <w:r w:rsidRPr="00D0571D">
              <w:rPr>
                <w:rFonts w:ascii="Times New Roman" w:hAnsi="Times New Roman"/>
                <w:color w:val="000000"/>
                <w:sz w:val="24"/>
                <w:szCs w:val="24"/>
                <w:lang w:eastAsia="ru-RU"/>
              </w:rPr>
              <w:t>2264</w:t>
            </w:r>
          </w:p>
        </w:tc>
      </w:tr>
      <w:tr w:rsidR="002D1E45" w:rsidRPr="00D813D1" w:rsidTr="000173C4">
        <w:trPr>
          <w:cantSplit/>
          <w:trHeight w:val="170"/>
          <w:jc w:val="center"/>
        </w:trPr>
        <w:tc>
          <w:tcPr>
            <w:tcW w:w="5807" w:type="dxa"/>
            <w:tcMar>
              <w:top w:w="15" w:type="dxa"/>
              <w:left w:w="108" w:type="dxa"/>
              <w:bottom w:w="15" w:type="dxa"/>
              <w:right w:w="108" w:type="dxa"/>
            </w:tcMar>
            <w:vAlign w:val="center"/>
          </w:tcPr>
          <w:p w:rsidR="002D1E45" w:rsidRPr="00D813D1" w:rsidRDefault="002D1E45" w:rsidP="00D0571D">
            <w:pPr>
              <w:spacing w:after="0" w:line="240" w:lineRule="auto"/>
              <w:rPr>
                <w:rFonts w:ascii="Times New Roman" w:hAnsi="Times New Roman"/>
                <w:color w:val="000000"/>
                <w:sz w:val="24"/>
                <w:szCs w:val="24"/>
                <w:lang w:eastAsia="ru-RU"/>
              </w:rPr>
            </w:pPr>
            <w:r w:rsidRPr="00D813D1">
              <w:rPr>
                <w:rFonts w:ascii="Times New Roman" w:hAnsi="Times New Roman"/>
                <w:color w:val="000000"/>
                <w:sz w:val="24"/>
                <w:szCs w:val="24"/>
                <w:lang w:eastAsia="ru-RU"/>
              </w:rPr>
              <w:t>Наполняемость, чел./место</w:t>
            </w:r>
          </w:p>
        </w:tc>
        <w:tc>
          <w:tcPr>
            <w:tcW w:w="1561" w:type="dxa"/>
            <w:tcBorders>
              <w:top w:val="nil"/>
            </w:tcBorders>
            <w:noWrap/>
            <w:tcMar>
              <w:top w:w="15" w:type="dxa"/>
              <w:left w:w="108" w:type="dxa"/>
              <w:bottom w:w="15" w:type="dxa"/>
              <w:right w:w="108" w:type="dxa"/>
            </w:tcMar>
          </w:tcPr>
          <w:p w:rsidR="002D1E45" w:rsidRPr="00D0571D" w:rsidRDefault="002D1E45" w:rsidP="00D0571D">
            <w:pPr>
              <w:spacing w:after="0" w:line="240" w:lineRule="auto"/>
              <w:jc w:val="right"/>
              <w:rPr>
                <w:rFonts w:ascii="Times New Roman" w:hAnsi="Times New Roman"/>
                <w:color w:val="000000"/>
                <w:sz w:val="24"/>
                <w:szCs w:val="24"/>
                <w:lang w:eastAsia="ru-RU"/>
              </w:rPr>
            </w:pPr>
            <w:r w:rsidRPr="00D0571D">
              <w:rPr>
                <w:rFonts w:ascii="Times New Roman" w:hAnsi="Times New Roman"/>
                <w:color w:val="000000"/>
                <w:sz w:val="24"/>
                <w:szCs w:val="24"/>
                <w:lang w:eastAsia="ru-RU"/>
              </w:rPr>
              <w:t>0,95</w:t>
            </w:r>
          </w:p>
        </w:tc>
      </w:tr>
      <w:tr w:rsidR="002D1E45" w:rsidRPr="00D813D1" w:rsidTr="000173C4">
        <w:trPr>
          <w:cantSplit/>
          <w:trHeight w:val="170"/>
          <w:jc w:val="center"/>
        </w:trPr>
        <w:tc>
          <w:tcPr>
            <w:tcW w:w="5807" w:type="dxa"/>
            <w:tcMar>
              <w:top w:w="15" w:type="dxa"/>
              <w:left w:w="108" w:type="dxa"/>
              <w:bottom w:w="15" w:type="dxa"/>
              <w:right w:w="108" w:type="dxa"/>
            </w:tcMar>
            <w:vAlign w:val="center"/>
          </w:tcPr>
          <w:p w:rsidR="002D1E45" w:rsidRPr="00D813D1" w:rsidRDefault="002D1E45" w:rsidP="00D0571D">
            <w:pPr>
              <w:spacing w:after="0" w:line="240" w:lineRule="auto"/>
              <w:rPr>
                <w:rFonts w:ascii="Times New Roman" w:hAnsi="Times New Roman"/>
                <w:color w:val="000000"/>
                <w:sz w:val="24"/>
                <w:szCs w:val="24"/>
                <w:lang w:eastAsia="ru-RU"/>
              </w:rPr>
            </w:pPr>
            <w:r w:rsidRPr="00D813D1">
              <w:rPr>
                <w:rFonts w:ascii="Times New Roman" w:hAnsi="Times New Roman"/>
                <w:color w:val="000000"/>
                <w:sz w:val="24"/>
                <w:szCs w:val="24"/>
                <w:lang w:eastAsia="ru-RU"/>
              </w:rPr>
              <w:t>Число воспитателей чел.</w:t>
            </w:r>
          </w:p>
        </w:tc>
        <w:tc>
          <w:tcPr>
            <w:tcW w:w="1561" w:type="dxa"/>
            <w:tcBorders>
              <w:top w:val="nil"/>
            </w:tcBorders>
            <w:noWrap/>
            <w:tcMar>
              <w:top w:w="15" w:type="dxa"/>
              <w:left w:w="108" w:type="dxa"/>
              <w:bottom w:w="15" w:type="dxa"/>
              <w:right w:w="108" w:type="dxa"/>
            </w:tcMar>
          </w:tcPr>
          <w:p w:rsidR="002D1E45" w:rsidRPr="00D0571D" w:rsidRDefault="002D1E45" w:rsidP="00D0571D">
            <w:pPr>
              <w:spacing w:after="0" w:line="240" w:lineRule="auto"/>
              <w:jc w:val="right"/>
              <w:rPr>
                <w:rFonts w:ascii="Times New Roman" w:hAnsi="Times New Roman"/>
                <w:color w:val="000000"/>
                <w:sz w:val="24"/>
                <w:szCs w:val="24"/>
                <w:lang w:eastAsia="ru-RU"/>
              </w:rPr>
            </w:pPr>
            <w:r w:rsidRPr="00D0571D">
              <w:rPr>
                <w:rFonts w:ascii="Times New Roman" w:hAnsi="Times New Roman"/>
                <w:color w:val="000000"/>
                <w:sz w:val="24"/>
                <w:szCs w:val="24"/>
                <w:lang w:eastAsia="ru-RU"/>
              </w:rPr>
              <w:t>277</w:t>
            </w:r>
          </w:p>
        </w:tc>
      </w:tr>
      <w:tr w:rsidR="002D1E45" w:rsidRPr="00D813D1" w:rsidTr="000173C4">
        <w:trPr>
          <w:cantSplit/>
          <w:trHeight w:val="170"/>
          <w:jc w:val="center"/>
        </w:trPr>
        <w:tc>
          <w:tcPr>
            <w:tcW w:w="5807" w:type="dxa"/>
            <w:tcMar>
              <w:top w:w="15" w:type="dxa"/>
              <w:left w:w="108" w:type="dxa"/>
              <w:bottom w:w="15" w:type="dxa"/>
              <w:right w:w="108" w:type="dxa"/>
            </w:tcMar>
            <w:vAlign w:val="center"/>
          </w:tcPr>
          <w:p w:rsidR="002D1E45" w:rsidRPr="00D813D1" w:rsidRDefault="002D1E45" w:rsidP="00D0571D">
            <w:pPr>
              <w:spacing w:after="0" w:line="240" w:lineRule="auto"/>
              <w:rPr>
                <w:rFonts w:ascii="Times New Roman" w:hAnsi="Times New Roman"/>
                <w:color w:val="000000"/>
                <w:sz w:val="24"/>
                <w:szCs w:val="24"/>
                <w:lang w:eastAsia="ru-RU"/>
              </w:rPr>
            </w:pPr>
            <w:r w:rsidRPr="00D813D1">
              <w:rPr>
                <w:rFonts w:ascii="Times New Roman" w:hAnsi="Times New Roman"/>
                <w:color w:val="000000"/>
                <w:sz w:val="24"/>
                <w:szCs w:val="24"/>
                <w:lang w:eastAsia="ru-RU"/>
              </w:rPr>
              <w:t>Количество воспитанников на 1 воспитателя, чел.</w:t>
            </w:r>
          </w:p>
        </w:tc>
        <w:tc>
          <w:tcPr>
            <w:tcW w:w="1561" w:type="dxa"/>
            <w:tcBorders>
              <w:top w:val="nil"/>
            </w:tcBorders>
            <w:noWrap/>
            <w:tcMar>
              <w:top w:w="15" w:type="dxa"/>
              <w:left w:w="108" w:type="dxa"/>
              <w:bottom w:w="15" w:type="dxa"/>
              <w:right w:w="108" w:type="dxa"/>
            </w:tcMar>
          </w:tcPr>
          <w:p w:rsidR="002D1E45" w:rsidRPr="00D0571D" w:rsidRDefault="002D1E45" w:rsidP="00D0571D">
            <w:pPr>
              <w:spacing w:after="0" w:line="240" w:lineRule="auto"/>
              <w:jc w:val="right"/>
              <w:rPr>
                <w:rFonts w:ascii="Times New Roman" w:hAnsi="Times New Roman"/>
                <w:color w:val="000000"/>
                <w:sz w:val="24"/>
                <w:szCs w:val="24"/>
                <w:lang w:eastAsia="ru-RU"/>
              </w:rPr>
            </w:pPr>
            <w:r w:rsidRPr="00D0571D">
              <w:rPr>
                <w:rFonts w:ascii="Times New Roman" w:hAnsi="Times New Roman"/>
                <w:color w:val="000000"/>
                <w:sz w:val="24"/>
                <w:szCs w:val="24"/>
                <w:lang w:eastAsia="ru-RU"/>
              </w:rPr>
              <w:t>8,2</w:t>
            </w:r>
          </w:p>
        </w:tc>
      </w:tr>
    </w:tbl>
    <w:p w:rsidR="002D1E45" w:rsidRDefault="002D1E45" w:rsidP="00260D34">
      <w:pPr>
        <w:spacing w:after="0" w:line="240" w:lineRule="auto"/>
        <w:ind w:firstLine="709"/>
        <w:jc w:val="both"/>
        <w:rPr>
          <w:rFonts w:ascii="Times New Roman" w:hAnsi="Times New Roman"/>
          <w:sz w:val="28"/>
          <w:szCs w:val="24"/>
          <w:lang w:eastAsia="ru-RU"/>
        </w:rPr>
      </w:pPr>
    </w:p>
    <w:p w:rsidR="002D1E45" w:rsidRDefault="002D1E45" w:rsidP="00260D34">
      <w:pPr>
        <w:spacing w:after="0" w:line="240" w:lineRule="auto"/>
        <w:ind w:firstLine="709"/>
        <w:jc w:val="both"/>
        <w:rPr>
          <w:rFonts w:ascii="Times New Roman" w:hAnsi="Times New Roman"/>
          <w:sz w:val="28"/>
          <w:szCs w:val="24"/>
          <w:lang w:eastAsia="ru-RU"/>
        </w:rPr>
      </w:pPr>
      <w:r>
        <w:rPr>
          <w:rFonts w:ascii="Times New Roman" w:hAnsi="Times New Roman"/>
          <w:sz w:val="28"/>
          <w:szCs w:val="24"/>
          <w:lang w:eastAsia="ru-RU"/>
        </w:rPr>
        <w:t>Профессиональное образование предоставляют учреждения:</w:t>
      </w:r>
    </w:p>
    <w:p w:rsidR="002D1E45" w:rsidRPr="001F7335"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1F7335">
        <w:rPr>
          <w:rFonts w:ascii="Times New Roman" w:hAnsi="Times New Roman"/>
          <w:sz w:val="28"/>
          <w:szCs w:val="24"/>
        </w:rPr>
        <w:t>Куйбышевский филиал ФГБОУ ВО «НГПУ» (КФ НГПУ), в котором обучаются 517 человек;</w:t>
      </w:r>
    </w:p>
    <w:p w:rsidR="002D1E45"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1F7335">
        <w:rPr>
          <w:rFonts w:ascii="Times New Roman" w:hAnsi="Times New Roman"/>
          <w:sz w:val="28"/>
          <w:szCs w:val="24"/>
        </w:rPr>
        <w:t>Куйбышевский Сельскохозяйственный техникум ФГБОУ ВО Новосибирского Государственного Аграрного университета, в котором обучаются 2366 человек</w:t>
      </w:r>
      <w:r>
        <w:rPr>
          <w:rFonts w:ascii="Times New Roman" w:hAnsi="Times New Roman"/>
          <w:sz w:val="28"/>
          <w:szCs w:val="24"/>
        </w:rPr>
        <w:t>;</w:t>
      </w:r>
    </w:p>
    <w:p w:rsidR="002D1E45"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C33480">
        <w:rPr>
          <w:rFonts w:ascii="Times New Roman" w:hAnsi="Times New Roman"/>
          <w:sz w:val="28"/>
          <w:szCs w:val="24"/>
        </w:rPr>
        <w:t>ГБПОУ НСО «Куйбышевский политехнический колледж»</w:t>
      </w:r>
      <w:r>
        <w:rPr>
          <w:rFonts w:ascii="Times New Roman" w:hAnsi="Times New Roman"/>
          <w:sz w:val="28"/>
          <w:szCs w:val="24"/>
        </w:rPr>
        <w:t xml:space="preserve">, в котором </w:t>
      </w:r>
      <w:r w:rsidRPr="001F7335">
        <w:rPr>
          <w:rFonts w:ascii="Times New Roman" w:hAnsi="Times New Roman"/>
          <w:sz w:val="28"/>
          <w:szCs w:val="24"/>
        </w:rPr>
        <w:t xml:space="preserve">обучаются </w:t>
      </w:r>
      <w:r>
        <w:rPr>
          <w:rFonts w:ascii="Times New Roman" w:hAnsi="Times New Roman"/>
          <w:sz w:val="28"/>
          <w:szCs w:val="24"/>
        </w:rPr>
        <w:t>684</w:t>
      </w:r>
      <w:r w:rsidRPr="001F7335">
        <w:rPr>
          <w:rFonts w:ascii="Times New Roman" w:hAnsi="Times New Roman"/>
          <w:sz w:val="28"/>
          <w:szCs w:val="24"/>
        </w:rPr>
        <w:t xml:space="preserve"> человек</w:t>
      </w:r>
      <w:r>
        <w:rPr>
          <w:rFonts w:ascii="Times New Roman" w:hAnsi="Times New Roman"/>
          <w:sz w:val="28"/>
          <w:szCs w:val="24"/>
        </w:rPr>
        <w:t>а;</w:t>
      </w:r>
    </w:p>
    <w:p w:rsidR="002D1E45" w:rsidRPr="001F7335"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1E69EF">
        <w:rPr>
          <w:rFonts w:ascii="Times New Roman" w:hAnsi="Times New Roman"/>
          <w:sz w:val="28"/>
          <w:szCs w:val="24"/>
        </w:rPr>
        <w:t xml:space="preserve">ГАПОУ НСО </w:t>
      </w:r>
      <w:r>
        <w:rPr>
          <w:rFonts w:ascii="Times New Roman" w:hAnsi="Times New Roman"/>
          <w:sz w:val="28"/>
          <w:szCs w:val="24"/>
        </w:rPr>
        <w:t>«</w:t>
      </w:r>
      <w:r w:rsidRPr="001E69EF">
        <w:rPr>
          <w:rFonts w:ascii="Times New Roman" w:hAnsi="Times New Roman"/>
          <w:sz w:val="28"/>
          <w:szCs w:val="24"/>
        </w:rPr>
        <w:t>Куйбышевский педагогический колледж</w:t>
      </w:r>
      <w:r>
        <w:rPr>
          <w:rFonts w:ascii="Times New Roman" w:hAnsi="Times New Roman"/>
          <w:sz w:val="28"/>
          <w:szCs w:val="24"/>
        </w:rPr>
        <w:t xml:space="preserve">», в котором </w:t>
      </w:r>
      <w:r w:rsidRPr="001F7335">
        <w:rPr>
          <w:rFonts w:ascii="Times New Roman" w:hAnsi="Times New Roman"/>
          <w:sz w:val="28"/>
          <w:szCs w:val="24"/>
        </w:rPr>
        <w:t xml:space="preserve">обучаются </w:t>
      </w:r>
      <w:r>
        <w:rPr>
          <w:rFonts w:ascii="Times New Roman" w:hAnsi="Times New Roman"/>
          <w:sz w:val="28"/>
          <w:szCs w:val="24"/>
        </w:rPr>
        <w:t>95</w:t>
      </w:r>
      <w:r w:rsidRPr="001F7335">
        <w:rPr>
          <w:rFonts w:ascii="Times New Roman" w:hAnsi="Times New Roman"/>
          <w:sz w:val="28"/>
          <w:szCs w:val="24"/>
        </w:rPr>
        <w:t xml:space="preserve"> человек</w:t>
      </w:r>
      <w:r>
        <w:rPr>
          <w:rFonts w:ascii="Times New Roman" w:hAnsi="Times New Roman"/>
          <w:sz w:val="28"/>
          <w:szCs w:val="24"/>
        </w:rPr>
        <w:t>.</w:t>
      </w:r>
    </w:p>
    <w:p w:rsidR="002D1E45" w:rsidRDefault="002D1E45" w:rsidP="00260D34">
      <w:pPr>
        <w:spacing w:after="0" w:line="240" w:lineRule="auto"/>
        <w:ind w:firstLine="709"/>
        <w:jc w:val="both"/>
        <w:rPr>
          <w:rFonts w:ascii="Times New Roman" w:hAnsi="Times New Roman"/>
          <w:sz w:val="28"/>
          <w:szCs w:val="24"/>
          <w:lang w:eastAsia="ru-RU"/>
        </w:rPr>
      </w:pPr>
      <w:r w:rsidRPr="00260D34">
        <w:rPr>
          <w:rFonts w:ascii="Times New Roman" w:hAnsi="Times New Roman"/>
          <w:sz w:val="28"/>
          <w:szCs w:val="24"/>
          <w:lang w:eastAsia="ru-RU"/>
        </w:rPr>
        <w:t>Особое внимание в</w:t>
      </w:r>
      <w:r>
        <w:rPr>
          <w:rFonts w:ascii="Times New Roman" w:hAnsi="Times New Roman"/>
          <w:sz w:val="28"/>
          <w:szCs w:val="24"/>
          <w:lang w:eastAsia="ru-RU"/>
        </w:rPr>
        <w:t> </w:t>
      </w:r>
      <w:r w:rsidRPr="00260D34">
        <w:rPr>
          <w:rFonts w:ascii="Times New Roman" w:hAnsi="Times New Roman"/>
          <w:sz w:val="28"/>
          <w:szCs w:val="24"/>
          <w:lang w:eastAsia="ru-RU"/>
        </w:rPr>
        <w:t xml:space="preserve">образовательной политике </w:t>
      </w:r>
      <w:r>
        <w:rPr>
          <w:rFonts w:ascii="Times New Roman" w:hAnsi="Times New Roman"/>
          <w:sz w:val="28"/>
          <w:szCs w:val="24"/>
          <w:lang w:eastAsia="ru-RU"/>
        </w:rPr>
        <w:t>города Куйбышева</w:t>
      </w:r>
      <w:r w:rsidRPr="00260D34">
        <w:rPr>
          <w:rFonts w:ascii="Times New Roman" w:hAnsi="Times New Roman"/>
          <w:sz w:val="28"/>
          <w:szCs w:val="24"/>
          <w:lang w:eastAsia="ru-RU"/>
        </w:rPr>
        <w:t xml:space="preserve"> отводится целенаправленным действиям по</w:t>
      </w:r>
      <w:r>
        <w:rPr>
          <w:rFonts w:ascii="Times New Roman" w:hAnsi="Times New Roman"/>
          <w:sz w:val="28"/>
          <w:szCs w:val="24"/>
          <w:lang w:eastAsia="ru-RU"/>
        </w:rPr>
        <w:t> </w:t>
      </w:r>
      <w:r w:rsidRPr="00260D34">
        <w:rPr>
          <w:rFonts w:ascii="Times New Roman" w:hAnsi="Times New Roman"/>
          <w:sz w:val="28"/>
          <w:szCs w:val="24"/>
          <w:lang w:eastAsia="ru-RU"/>
        </w:rPr>
        <w:t>развитию специальной адаптационной, коррекционно-развивающей среды для детей с</w:t>
      </w:r>
      <w:r>
        <w:rPr>
          <w:rFonts w:ascii="Times New Roman" w:hAnsi="Times New Roman"/>
          <w:sz w:val="28"/>
          <w:szCs w:val="24"/>
          <w:lang w:eastAsia="ru-RU"/>
        </w:rPr>
        <w:t> </w:t>
      </w:r>
      <w:r w:rsidRPr="00260D34">
        <w:rPr>
          <w:rFonts w:ascii="Times New Roman" w:hAnsi="Times New Roman"/>
          <w:sz w:val="28"/>
          <w:szCs w:val="24"/>
          <w:lang w:eastAsia="ru-RU"/>
        </w:rPr>
        <w:t>ограниченными возможностями здоровья и</w:t>
      </w:r>
      <w:r>
        <w:rPr>
          <w:rFonts w:ascii="Times New Roman" w:hAnsi="Times New Roman"/>
          <w:sz w:val="28"/>
          <w:szCs w:val="24"/>
          <w:lang w:eastAsia="ru-RU"/>
        </w:rPr>
        <w:t> </w:t>
      </w:r>
      <w:r w:rsidRPr="00260D34">
        <w:rPr>
          <w:rFonts w:ascii="Times New Roman" w:hAnsi="Times New Roman"/>
          <w:sz w:val="28"/>
          <w:szCs w:val="24"/>
          <w:lang w:eastAsia="ru-RU"/>
        </w:rPr>
        <w:t>детей-инвалидов.</w:t>
      </w:r>
    </w:p>
    <w:p w:rsidR="002D1E45" w:rsidRPr="005D28B1" w:rsidRDefault="002D1E45" w:rsidP="005D28B1">
      <w:pPr>
        <w:spacing w:after="0" w:line="240" w:lineRule="auto"/>
        <w:ind w:firstLine="709"/>
        <w:jc w:val="both"/>
        <w:rPr>
          <w:rFonts w:ascii="Times New Roman" w:hAnsi="Times New Roman"/>
          <w:i/>
          <w:sz w:val="28"/>
          <w:szCs w:val="24"/>
          <w:u w:val="single"/>
          <w:lang w:eastAsia="ru-RU"/>
        </w:rPr>
      </w:pPr>
      <w:r>
        <w:rPr>
          <w:rFonts w:ascii="Times New Roman" w:hAnsi="Times New Roman"/>
          <w:i/>
          <w:sz w:val="28"/>
          <w:szCs w:val="24"/>
          <w:u w:val="single"/>
          <w:lang w:eastAsia="ru-RU"/>
        </w:rPr>
        <w:t>Здравоохранение</w:t>
      </w:r>
    </w:p>
    <w:p w:rsidR="002D1E45" w:rsidRDefault="002D1E45" w:rsidP="00307117">
      <w:pPr>
        <w:spacing w:after="0" w:line="240" w:lineRule="auto"/>
        <w:ind w:firstLine="709"/>
        <w:jc w:val="both"/>
        <w:rPr>
          <w:rFonts w:ascii="Times New Roman" w:hAnsi="Times New Roman"/>
          <w:sz w:val="28"/>
          <w:szCs w:val="24"/>
          <w:lang w:eastAsia="ru-RU"/>
        </w:rPr>
      </w:pPr>
      <w:r w:rsidRPr="00532B2A">
        <w:rPr>
          <w:rFonts w:ascii="Times New Roman" w:hAnsi="Times New Roman"/>
          <w:sz w:val="28"/>
          <w:szCs w:val="24"/>
          <w:lang w:eastAsia="ru-RU"/>
        </w:rPr>
        <w:t>Услуги сферы здравоохранения в</w:t>
      </w:r>
      <w:r>
        <w:rPr>
          <w:rFonts w:ascii="Times New Roman" w:hAnsi="Times New Roman"/>
          <w:sz w:val="28"/>
          <w:szCs w:val="24"/>
          <w:lang w:eastAsia="ru-RU"/>
        </w:rPr>
        <w:t> </w:t>
      </w:r>
      <w:r w:rsidRPr="00532B2A">
        <w:rPr>
          <w:rFonts w:ascii="Times New Roman" w:hAnsi="Times New Roman"/>
          <w:sz w:val="28"/>
          <w:szCs w:val="24"/>
          <w:lang w:eastAsia="ru-RU"/>
        </w:rPr>
        <w:t xml:space="preserve">муниципальном образовании представлены ГБУЗ </w:t>
      </w:r>
      <w:r w:rsidRPr="00307117">
        <w:rPr>
          <w:rFonts w:ascii="Times New Roman" w:hAnsi="Times New Roman"/>
          <w:sz w:val="28"/>
          <w:szCs w:val="24"/>
          <w:lang w:eastAsia="ru-RU"/>
        </w:rPr>
        <w:t>НСО «</w:t>
      </w:r>
      <w:r>
        <w:rPr>
          <w:rFonts w:ascii="Times New Roman" w:hAnsi="Times New Roman"/>
          <w:sz w:val="28"/>
          <w:szCs w:val="24"/>
          <w:lang w:eastAsia="ru-RU"/>
        </w:rPr>
        <w:t xml:space="preserve">Куйбышевская </w:t>
      </w:r>
      <w:r w:rsidRPr="00307117">
        <w:rPr>
          <w:rFonts w:ascii="Times New Roman" w:hAnsi="Times New Roman"/>
          <w:sz w:val="28"/>
          <w:szCs w:val="24"/>
          <w:lang w:eastAsia="ru-RU"/>
        </w:rPr>
        <w:t>ЦРБ»</w:t>
      </w:r>
      <w:r w:rsidRPr="00532B2A">
        <w:rPr>
          <w:rFonts w:ascii="Times New Roman" w:hAnsi="Times New Roman"/>
          <w:sz w:val="28"/>
          <w:szCs w:val="24"/>
          <w:lang w:eastAsia="ru-RU"/>
        </w:rPr>
        <w:t>, в</w:t>
      </w:r>
      <w:r>
        <w:rPr>
          <w:rFonts w:ascii="Times New Roman" w:hAnsi="Times New Roman"/>
          <w:sz w:val="28"/>
          <w:szCs w:val="24"/>
          <w:lang w:eastAsia="ru-RU"/>
        </w:rPr>
        <w:t> </w:t>
      </w:r>
      <w:r w:rsidRPr="00532B2A">
        <w:rPr>
          <w:rFonts w:ascii="Times New Roman" w:hAnsi="Times New Roman"/>
          <w:sz w:val="28"/>
          <w:szCs w:val="24"/>
          <w:lang w:eastAsia="ru-RU"/>
        </w:rPr>
        <w:t>структуру которой</w:t>
      </w:r>
      <w:r>
        <w:rPr>
          <w:rFonts w:ascii="Times New Roman" w:hAnsi="Times New Roman"/>
          <w:sz w:val="28"/>
          <w:szCs w:val="24"/>
          <w:lang w:eastAsia="ru-RU"/>
        </w:rPr>
        <w:t xml:space="preserve"> кроме взрослой и детской поликлиник входят:</w:t>
      </w:r>
    </w:p>
    <w:p w:rsidR="002D1E45" w:rsidRPr="001F7335"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1F7335">
        <w:rPr>
          <w:rFonts w:ascii="Times New Roman" w:hAnsi="Times New Roman"/>
          <w:sz w:val="28"/>
          <w:szCs w:val="24"/>
        </w:rPr>
        <w:t>Куйбышевский межрайонный кабинет врача инфекциониста;</w:t>
      </w:r>
    </w:p>
    <w:p w:rsidR="002D1E45" w:rsidRPr="001F7335"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1F7335">
        <w:rPr>
          <w:rFonts w:ascii="Times New Roman" w:hAnsi="Times New Roman"/>
          <w:sz w:val="28"/>
          <w:szCs w:val="24"/>
        </w:rPr>
        <w:t>Стационар ГБУЗ НСО «Куйбышевская ЦРБ»;</w:t>
      </w:r>
    </w:p>
    <w:p w:rsidR="002D1E45" w:rsidRPr="001F7335"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1F7335">
        <w:rPr>
          <w:rFonts w:ascii="Times New Roman" w:hAnsi="Times New Roman"/>
          <w:sz w:val="28"/>
          <w:szCs w:val="24"/>
        </w:rPr>
        <w:t>Детское отделение ГБУЗ НСО «Куйбышевская ЦРБ»4</w:t>
      </w:r>
    </w:p>
    <w:p w:rsidR="002D1E45" w:rsidRPr="001F7335"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1F7335">
        <w:rPr>
          <w:rFonts w:ascii="Times New Roman" w:hAnsi="Times New Roman"/>
          <w:sz w:val="28"/>
          <w:szCs w:val="24"/>
        </w:rPr>
        <w:t>Межрайонный наркологический диспансер ГБУЗ НСО «Куйбышевская ЦРБ»;</w:t>
      </w:r>
    </w:p>
    <w:p w:rsidR="002D1E45" w:rsidRPr="001F7335"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1F7335">
        <w:rPr>
          <w:rFonts w:ascii="Times New Roman" w:hAnsi="Times New Roman"/>
          <w:sz w:val="28"/>
          <w:szCs w:val="24"/>
        </w:rPr>
        <w:t>Противотуберкулёзный диспансер ГБУЗ НСО «Куйбышевская ЦРБ»;</w:t>
      </w:r>
    </w:p>
    <w:p w:rsidR="002D1E45" w:rsidRPr="001F7335"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1F7335">
        <w:rPr>
          <w:rFonts w:ascii="Times New Roman" w:hAnsi="Times New Roman"/>
          <w:sz w:val="28"/>
          <w:szCs w:val="24"/>
        </w:rPr>
        <w:t>Отделение реабилитации дневного пребывания;</w:t>
      </w:r>
    </w:p>
    <w:p w:rsidR="002D1E45" w:rsidRPr="001F7335"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1F7335">
        <w:rPr>
          <w:rFonts w:ascii="Times New Roman" w:hAnsi="Times New Roman"/>
          <w:sz w:val="28"/>
          <w:szCs w:val="24"/>
        </w:rPr>
        <w:t>Стоматологические поликлиники (взрослая и детская).</w:t>
      </w:r>
    </w:p>
    <w:p w:rsidR="002D1E45" w:rsidRDefault="002D1E45" w:rsidP="00307117">
      <w:pPr>
        <w:spacing w:after="0" w:line="240" w:lineRule="auto"/>
        <w:ind w:firstLine="709"/>
        <w:jc w:val="both"/>
        <w:rPr>
          <w:rFonts w:ascii="Times New Roman" w:hAnsi="Times New Roman"/>
          <w:sz w:val="28"/>
          <w:szCs w:val="24"/>
          <w:lang w:eastAsia="ru-RU"/>
        </w:rPr>
      </w:pPr>
      <w:r>
        <w:rPr>
          <w:rFonts w:ascii="Times New Roman" w:hAnsi="Times New Roman"/>
          <w:sz w:val="28"/>
          <w:szCs w:val="24"/>
          <w:lang w:eastAsia="ru-RU"/>
        </w:rPr>
        <w:t xml:space="preserve"> Мощность учреждений здравоохранения города оценивается в 438 койко-мест, поликлинические объекты рассчитаны на 677 посещения в смену</w:t>
      </w:r>
      <w:r>
        <w:rPr>
          <w:rStyle w:val="FootnoteReference"/>
          <w:rFonts w:ascii="Times New Roman" w:hAnsi="Times New Roman"/>
          <w:sz w:val="28"/>
          <w:szCs w:val="24"/>
          <w:lang w:eastAsia="ru-RU"/>
        </w:rPr>
        <w:footnoteReference w:id="3"/>
      </w:r>
      <w:r>
        <w:rPr>
          <w:rFonts w:ascii="Times New Roman" w:hAnsi="Times New Roman"/>
          <w:sz w:val="28"/>
          <w:szCs w:val="24"/>
          <w:lang w:eastAsia="ru-RU"/>
        </w:rPr>
        <w:t>.</w:t>
      </w:r>
    </w:p>
    <w:p w:rsidR="002D1E45" w:rsidRPr="00260D34" w:rsidRDefault="002D1E45" w:rsidP="00675FE0">
      <w:pPr>
        <w:autoSpaceDE w:val="0"/>
        <w:autoSpaceDN w:val="0"/>
        <w:adjustRightInd w:val="0"/>
        <w:spacing w:after="0" w:line="360" w:lineRule="auto"/>
        <w:ind w:firstLine="709"/>
        <w:jc w:val="right"/>
        <w:rPr>
          <w:rFonts w:ascii="Times New Roman" w:hAnsi="Times New Roman"/>
          <w:sz w:val="28"/>
          <w:szCs w:val="24"/>
          <w:lang w:eastAsia="ru-RU"/>
        </w:rPr>
      </w:pPr>
      <w:r w:rsidRPr="00260D34">
        <w:rPr>
          <w:rFonts w:ascii="Times New Roman" w:hAnsi="Times New Roman"/>
          <w:sz w:val="28"/>
          <w:szCs w:val="24"/>
          <w:lang w:eastAsia="ru-RU"/>
        </w:rPr>
        <w:t xml:space="preserve">Таблица </w:t>
      </w:r>
      <w:r w:rsidRPr="00260D34">
        <w:rPr>
          <w:rFonts w:ascii="Times New Roman" w:hAnsi="Times New Roman"/>
          <w:sz w:val="28"/>
          <w:szCs w:val="24"/>
        </w:rPr>
        <w:fldChar w:fldCharType="begin"/>
      </w:r>
      <w:r w:rsidRPr="00260D34">
        <w:rPr>
          <w:rFonts w:ascii="Times New Roman" w:hAnsi="Times New Roman"/>
          <w:sz w:val="28"/>
          <w:szCs w:val="24"/>
        </w:rPr>
        <w:instrText xml:space="preserve"> SEQ Таблица \* ARABIC </w:instrText>
      </w:r>
      <w:r w:rsidRPr="00260D34">
        <w:rPr>
          <w:rFonts w:ascii="Times New Roman" w:hAnsi="Times New Roman"/>
          <w:sz w:val="28"/>
          <w:szCs w:val="24"/>
        </w:rPr>
        <w:fldChar w:fldCharType="separate"/>
      </w:r>
      <w:r>
        <w:rPr>
          <w:rFonts w:ascii="Times New Roman" w:hAnsi="Times New Roman"/>
          <w:noProof/>
          <w:sz w:val="28"/>
          <w:szCs w:val="24"/>
        </w:rPr>
        <w:t>10</w:t>
      </w:r>
      <w:r w:rsidRPr="00260D34">
        <w:rPr>
          <w:rFonts w:ascii="Times New Roman" w:hAnsi="Times New Roman"/>
          <w:sz w:val="28"/>
          <w:szCs w:val="24"/>
        </w:rPr>
        <w:fldChar w:fldCharType="end"/>
      </w:r>
    </w:p>
    <w:p w:rsidR="002D1E45" w:rsidRDefault="002D1E45" w:rsidP="00675FE0">
      <w:pPr>
        <w:tabs>
          <w:tab w:val="left" w:pos="1418"/>
        </w:tabs>
        <w:spacing w:line="240" w:lineRule="auto"/>
        <w:jc w:val="center"/>
        <w:rPr>
          <w:rFonts w:ascii="Times New Roman" w:hAnsi="Times New Roman"/>
          <w:sz w:val="28"/>
          <w:szCs w:val="24"/>
          <w:lang w:eastAsia="ru-RU"/>
        </w:rPr>
      </w:pPr>
      <w:r w:rsidRPr="00260D34">
        <w:rPr>
          <w:rFonts w:ascii="Times New Roman" w:hAnsi="Times New Roman"/>
          <w:sz w:val="28"/>
          <w:szCs w:val="24"/>
          <w:lang w:eastAsia="ru-RU"/>
        </w:rPr>
        <w:t xml:space="preserve">Характеристика системы </w:t>
      </w:r>
      <w:r>
        <w:rPr>
          <w:rFonts w:ascii="Times New Roman" w:hAnsi="Times New Roman"/>
          <w:sz w:val="28"/>
          <w:szCs w:val="24"/>
          <w:lang w:eastAsia="ru-RU"/>
        </w:rPr>
        <w:t>здравоохранения города Куйбышева</w:t>
      </w:r>
    </w:p>
    <w:tbl>
      <w:tblPr>
        <w:tblW w:w="10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405"/>
        <w:gridCol w:w="2887"/>
        <w:gridCol w:w="942"/>
        <w:gridCol w:w="1400"/>
        <w:gridCol w:w="1417"/>
        <w:gridCol w:w="1417"/>
      </w:tblGrid>
      <w:tr w:rsidR="002D1E45" w:rsidRPr="00675FE0" w:rsidTr="003D0BB2">
        <w:trPr>
          <w:trHeight w:val="170"/>
          <w:tblHeader/>
          <w:jc w:val="center"/>
        </w:trPr>
        <w:tc>
          <w:tcPr>
            <w:tcW w:w="2405" w:type="dxa"/>
            <w:vMerge w:val="restart"/>
            <w:vAlign w:val="center"/>
          </w:tcPr>
          <w:p w:rsidR="002D1E45" w:rsidRPr="00675FE0" w:rsidRDefault="002D1E45" w:rsidP="00675FE0">
            <w:pPr>
              <w:spacing w:after="0" w:line="240" w:lineRule="auto"/>
              <w:jc w:val="center"/>
              <w:rPr>
                <w:rFonts w:ascii="Times New Roman" w:hAnsi="Times New Roman"/>
                <w:sz w:val="24"/>
                <w:szCs w:val="24"/>
                <w:lang w:eastAsia="ru-RU"/>
              </w:rPr>
            </w:pPr>
            <w:r w:rsidRPr="00675FE0">
              <w:rPr>
                <w:rFonts w:ascii="Times New Roman" w:hAnsi="Times New Roman"/>
                <w:color w:val="000000"/>
                <w:sz w:val="24"/>
                <w:szCs w:val="24"/>
                <w:lang w:eastAsia="ru-RU"/>
              </w:rPr>
              <w:t>Медицинское учреждение/фи</w:t>
            </w:r>
            <w:r>
              <w:rPr>
                <w:rFonts w:ascii="Times New Roman" w:hAnsi="Times New Roman"/>
                <w:color w:val="000000"/>
                <w:sz w:val="24"/>
                <w:szCs w:val="24"/>
                <w:lang w:eastAsia="ru-RU"/>
              </w:rPr>
              <w:t>л</w:t>
            </w:r>
            <w:r w:rsidRPr="00675FE0">
              <w:rPr>
                <w:rFonts w:ascii="Times New Roman" w:hAnsi="Times New Roman"/>
                <w:color w:val="000000"/>
                <w:sz w:val="24"/>
                <w:szCs w:val="24"/>
                <w:lang w:eastAsia="ru-RU"/>
              </w:rPr>
              <w:t>иа</w:t>
            </w:r>
            <w:r>
              <w:rPr>
                <w:rFonts w:ascii="Times New Roman" w:hAnsi="Times New Roman"/>
                <w:color w:val="000000"/>
                <w:sz w:val="24"/>
                <w:szCs w:val="24"/>
                <w:lang w:eastAsia="ru-RU"/>
              </w:rPr>
              <w:t>л</w:t>
            </w:r>
            <w:r w:rsidRPr="00675FE0">
              <w:rPr>
                <w:rFonts w:ascii="Times New Roman" w:hAnsi="Times New Roman"/>
                <w:color w:val="000000"/>
                <w:sz w:val="24"/>
                <w:szCs w:val="24"/>
                <w:lang w:eastAsia="ru-RU"/>
              </w:rPr>
              <w:t xml:space="preserve"> (название)</w:t>
            </w:r>
          </w:p>
        </w:tc>
        <w:tc>
          <w:tcPr>
            <w:tcW w:w="2887" w:type="dxa"/>
            <w:vMerge w:val="restart"/>
            <w:vAlign w:val="center"/>
          </w:tcPr>
          <w:p w:rsidR="002D1E45" w:rsidRPr="00675FE0" w:rsidRDefault="002D1E45" w:rsidP="00675FE0">
            <w:pPr>
              <w:spacing w:after="0" w:line="240" w:lineRule="auto"/>
              <w:jc w:val="center"/>
              <w:rPr>
                <w:rFonts w:ascii="Times New Roman" w:hAnsi="Times New Roman"/>
                <w:sz w:val="24"/>
                <w:szCs w:val="24"/>
                <w:lang w:eastAsia="ru-RU"/>
              </w:rPr>
            </w:pPr>
            <w:r w:rsidRPr="00675FE0">
              <w:rPr>
                <w:rFonts w:ascii="Times New Roman" w:hAnsi="Times New Roman"/>
                <w:color w:val="000000"/>
                <w:sz w:val="24"/>
                <w:szCs w:val="24"/>
                <w:lang w:eastAsia="ru-RU"/>
              </w:rPr>
              <w:t>Дислокация (с адресной привязкой)</w:t>
            </w:r>
          </w:p>
        </w:tc>
        <w:tc>
          <w:tcPr>
            <w:tcW w:w="2342" w:type="dxa"/>
            <w:gridSpan w:val="2"/>
            <w:vAlign w:val="center"/>
          </w:tcPr>
          <w:p w:rsidR="002D1E45" w:rsidRPr="00675FE0" w:rsidRDefault="002D1E45" w:rsidP="00307117">
            <w:pPr>
              <w:spacing w:after="0" w:line="240" w:lineRule="auto"/>
              <w:jc w:val="center"/>
              <w:rPr>
                <w:rFonts w:ascii="Times New Roman" w:hAnsi="Times New Roman"/>
                <w:sz w:val="24"/>
                <w:szCs w:val="24"/>
                <w:lang w:eastAsia="ru-RU"/>
              </w:rPr>
            </w:pPr>
            <w:r w:rsidRPr="00675FE0">
              <w:rPr>
                <w:rFonts w:ascii="Times New Roman" w:hAnsi="Times New Roman"/>
                <w:color w:val="000000"/>
                <w:sz w:val="24"/>
                <w:szCs w:val="24"/>
                <w:lang w:eastAsia="ru-RU"/>
              </w:rPr>
              <w:t>Мощность объекта</w:t>
            </w:r>
          </w:p>
        </w:tc>
        <w:tc>
          <w:tcPr>
            <w:tcW w:w="1417" w:type="dxa"/>
            <w:vMerge w:val="restart"/>
            <w:vAlign w:val="center"/>
          </w:tcPr>
          <w:p w:rsidR="002D1E45" w:rsidRPr="00675FE0" w:rsidRDefault="002D1E45" w:rsidP="00307117">
            <w:pPr>
              <w:spacing w:after="0" w:line="240" w:lineRule="auto"/>
              <w:jc w:val="center"/>
              <w:rPr>
                <w:rFonts w:ascii="Times New Roman" w:hAnsi="Times New Roman"/>
                <w:sz w:val="24"/>
                <w:szCs w:val="24"/>
                <w:lang w:eastAsia="ru-RU"/>
              </w:rPr>
            </w:pPr>
            <w:r w:rsidRPr="00675FE0">
              <w:rPr>
                <w:rFonts w:ascii="Times New Roman" w:hAnsi="Times New Roman"/>
                <w:color w:val="000000"/>
                <w:sz w:val="24"/>
                <w:szCs w:val="24"/>
                <w:lang w:eastAsia="ru-RU"/>
              </w:rPr>
              <w:t>Количество врачей</w:t>
            </w:r>
          </w:p>
        </w:tc>
        <w:tc>
          <w:tcPr>
            <w:tcW w:w="1417" w:type="dxa"/>
            <w:vMerge w:val="restart"/>
            <w:vAlign w:val="center"/>
          </w:tcPr>
          <w:p w:rsidR="002D1E45" w:rsidRPr="00675FE0" w:rsidRDefault="002D1E45" w:rsidP="00307117">
            <w:pPr>
              <w:spacing w:after="0" w:line="240" w:lineRule="auto"/>
              <w:jc w:val="center"/>
              <w:rPr>
                <w:rFonts w:ascii="Times New Roman" w:hAnsi="Times New Roman"/>
                <w:sz w:val="24"/>
                <w:szCs w:val="24"/>
                <w:lang w:eastAsia="ru-RU"/>
              </w:rPr>
            </w:pPr>
            <w:r w:rsidRPr="00675FE0">
              <w:rPr>
                <w:rFonts w:ascii="Times New Roman" w:hAnsi="Times New Roman"/>
                <w:color w:val="000000"/>
                <w:sz w:val="24"/>
                <w:szCs w:val="24"/>
                <w:lang w:eastAsia="ru-RU"/>
              </w:rPr>
              <w:t>Количество среднего и младшего персонала</w:t>
            </w:r>
          </w:p>
        </w:tc>
      </w:tr>
      <w:tr w:rsidR="002D1E45" w:rsidRPr="00675FE0" w:rsidTr="003D0BB2">
        <w:trPr>
          <w:trHeight w:val="170"/>
          <w:tblHeader/>
          <w:jc w:val="center"/>
        </w:trPr>
        <w:tc>
          <w:tcPr>
            <w:tcW w:w="2405" w:type="dxa"/>
            <w:vMerge/>
          </w:tcPr>
          <w:p w:rsidR="002D1E45" w:rsidRPr="00675FE0" w:rsidRDefault="002D1E45" w:rsidP="00675FE0">
            <w:pPr>
              <w:spacing w:after="0" w:line="240" w:lineRule="auto"/>
              <w:rPr>
                <w:rFonts w:ascii="Times New Roman" w:hAnsi="Times New Roman"/>
                <w:sz w:val="24"/>
                <w:szCs w:val="24"/>
                <w:lang w:eastAsia="ru-RU"/>
              </w:rPr>
            </w:pPr>
          </w:p>
        </w:tc>
        <w:tc>
          <w:tcPr>
            <w:tcW w:w="2887" w:type="dxa"/>
            <w:vMerge/>
          </w:tcPr>
          <w:p w:rsidR="002D1E45" w:rsidRPr="00675FE0" w:rsidRDefault="002D1E45" w:rsidP="00675FE0">
            <w:pPr>
              <w:spacing w:after="0" w:line="240" w:lineRule="auto"/>
              <w:rPr>
                <w:rFonts w:ascii="Times New Roman" w:hAnsi="Times New Roman"/>
                <w:sz w:val="24"/>
                <w:szCs w:val="24"/>
                <w:lang w:eastAsia="ru-RU"/>
              </w:rPr>
            </w:pPr>
          </w:p>
        </w:tc>
        <w:tc>
          <w:tcPr>
            <w:tcW w:w="942" w:type="dxa"/>
            <w:vAlign w:val="center"/>
          </w:tcPr>
          <w:p w:rsidR="002D1E45" w:rsidRPr="00675FE0" w:rsidRDefault="002D1E45" w:rsidP="00307117">
            <w:pPr>
              <w:spacing w:after="0" w:line="240" w:lineRule="auto"/>
              <w:jc w:val="center"/>
              <w:rPr>
                <w:rFonts w:ascii="Times New Roman" w:hAnsi="Times New Roman"/>
                <w:sz w:val="24"/>
                <w:szCs w:val="24"/>
                <w:lang w:eastAsia="ru-RU"/>
              </w:rPr>
            </w:pPr>
            <w:r w:rsidRPr="00675FE0">
              <w:rPr>
                <w:rFonts w:ascii="Times New Roman" w:hAnsi="Times New Roman"/>
                <w:color w:val="000000"/>
                <w:sz w:val="24"/>
                <w:szCs w:val="24"/>
                <w:lang w:eastAsia="ru-RU"/>
              </w:rPr>
              <w:t>Койко-</w:t>
            </w:r>
          </w:p>
          <w:p w:rsidR="002D1E45" w:rsidRPr="00675FE0" w:rsidRDefault="002D1E45" w:rsidP="00307117">
            <w:pPr>
              <w:spacing w:after="0" w:line="240" w:lineRule="auto"/>
              <w:jc w:val="center"/>
              <w:rPr>
                <w:rFonts w:ascii="Times New Roman" w:hAnsi="Times New Roman"/>
                <w:sz w:val="24"/>
                <w:szCs w:val="24"/>
                <w:lang w:eastAsia="ru-RU"/>
              </w:rPr>
            </w:pPr>
            <w:r w:rsidRPr="00675FE0">
              <w:rPr>
                <w:rFonts w:ascii="Times New Roman" w:hAnsi="Times New Roman"/>
                <w:color w:val="000000"/>
                <w:sz w:val="24"/>
                <w:szCs w:val="24"/>
                <w:lang w:eastAsia="ru-RU"/>
              </w:rPr>
              <w:t>мест</w:t>
            </w:r>
          </w:p>
        </w:tc>
        <w:tc>
          <w:tcPr>
            <w:tcW w:w="1400" w:type="dxa"/>
            <w:vAlign w:val="center"/>
          </w:tcPr>
          <w:p w:rsidR="002D1E45" w:rsidRPr="00675FE0" w:rsidRDefault="002D1E45" w:rsidP="00307117">
            <w:pPr>
              <w:spacing w:after="0" w:line="240" w:lineRule="auto"/>
              <w:jc w:val="center"/>
              <w:rPr>
                <w:rFonts w:ascii="Times New Roman" w:hAnsi="Times New Roman"/>
                <w:sz w:val="24"/>
                <w:szCs w:val="24"/>
                <w:lang w:eastAsia="ru-RU"/>
              </w:rPr>
            </w:pPr>
            <w:r w:rsidRPr="00675FE0">
              <w:rPr>
                <w:rFonts w:ascii="Times New Roman" w:hAnsi="Times New Roman"/>
                <w:color w:val="000000"/>
                <w:sz w:val="24"/>
                <w:szCs w:val="24"/>
                <w:lang w:eastAsia="ru-RU"/>
              </w:rPr>
              <w:t>Посещений в смену</w:t>
            </w:r>
          </w:p>
        </w:tc>
        <w:tc>
          <w:tcPr>
            <w:tcW w:w="1417" w:type="dxa"/>
            <w:vMerge/>
            <w:vAlign w:val="center"/>
          </w:tcPr>
          <w:p w:rsidR="002D1E45" w:rsidRPr="00675FE0" w:rsidRDefault="002D1E45" w:rsidP="00307117">
            <w:pPr>
              <w:spacing w:after="0" w:line="240" w:lineRule="auto"/>
              <w:jc w:val="center"/>
              <w:rPr>
                <w:rFonts w:ascii="Times New Roman" w:hAnsi="Times New Roman"/>
                <w:sz w:val="24"/>
                <w:szCs w:val="24"/>
                <w:lang w:eastAsia="ru-RU"/>
              </w:rPr>
            </w:pPr>
          </w:p>
        </w:tc>
        <w:tc>
          <w:tcPr>
            <w:tcW w:w="1417" w:type="dxa"/>
            <w:vMerge/>
            <w:vAlign w:val="center"/>
          </w:tcPr>
          <w:p w:rsidR="002D1E45" w:rsidRPr="00675FE0" w:rsidRDefault="002D1E45" w:rsidP="00307117">
            <w:pPr>
              <w:spacing w:after="0" w:line="240" w:lineRule="auto"/>
              <w:jc w:val="center"/>
              <w:rPr>
                <w:rFonts w:ascii="Times New Roman" w:hAnsi="Times New Roman"/>
                <w:sz w:val="24"/>
                <w:szCs w:val="24"/>
                <w:lang w:eastAsia="ru-RU"/>
              </w:rPr>
            </w:pPr>
          </w:p>
        </w:tc>
      </w:tr>
      <w:tr w:rsidR="002D1E45" w:rsidRPr="00675FE0" w:rsidTr="003D0BB2">
        <w:trPr>
          <w:trHeight w:val="170"/>
          <w:jc w:val="center"/>
        </w:trPr>
        <w:tc>
          <w:tcPr>
            <w:tcW w:w="2405" w:type="dxa"/>
            <w:vAlign w:val="center"/>
          </w:tcPr>
          <w:p w:rsidR="002D1E45" w:rsidRPr="00675FE0" w:rsidRDefault="002D1E45" w:rsidP="00307117">
            <w:pPr>
              <w:spacing w:after="0" w:line="240" w:lineRule="auto"/>
              <w:rPr>
                <w:rFonts w:ascii="Times New Roman" w:hAnsi="Times New Roman"/>
                <w:sz w:val="24"/>
                <w:szCs w:val="24"/>
                <w:lang w:eastAsia="ru-RU"/>
              </w:rPr>
            </w:pPr>
            <w:r w:rsidRPr="00675FE0">
              <w:rPr>
                <w:rFonts w:ascii="Times New Roman" w:hAnsi="Times New Roman"/>
                <w:color w:val="000000"/>
                <w:sz w:val="24"/>
                <w:szCs w:val="24"/>
                <w:lang w:eastAsia="ru-RU"/>
              </w:rPr>
              <w:t>ГБУЗ НСО «</w:t>
            </w:r>
            <w:r>
              <w:rPr>
                <w:rFonts w:ascii="Times New Roman" w:hAnsi="Times New Roman"/>
                <w:color w:val="000000"/>
                <w:sz w:val="24"/>
                <w:szCs w:val="24"/>
                <w:lang w:eastAsia="ru-RU"/>
              </w:rPr>
              <w:t>Куйбышевская</w:t>
            </w:r>
          </w:p>
          <w:p w:rsidR="002D1E45" w:rsidRPr="00675FE0" w:rsidRDefault="002D1E45" w:rsidP="00307117">
            <w:pPr>
              <w:spacing w:after="0" w:line="240" w:lineRule="auto"/>
              <w:rPr>
                <w:rFonts w:ascii="Times New Roman" w:hAnsi="Times New Roman"/>
                <w:sz w:val="24"/>
                <w:szCs w:val="24"/>
                <w:lang w:eastAsia="ru-RU"/>
              </w:rPr>
            </w:pPr>
            <w:r w:rsidRPr="00675FE0">
              <w:rPr>
                <w:rFonts w:ascii="Times New Roman" w:hAnsi="Times New Roman"/>
                <w:color w:val="000000"/>
                <w:sz w:val="24"/>
                <w:szCs w:val="24"/>
                <w:lang w:eastAsia="ru-RU"/>
              </w:rPr>
              <w:t>ЦРБ»</w:t>
            </w:r>
          </w:p>
        </w:tc>
        <w:tc>
          <w:tcPr>
            <w:tcW w:w="2887" w:type="dxa"/>
            <w:vAlign w:val="center"/>
          </w:tcPr>
          <w:p w:rsidR="002D1E45" w:rsidRPr="00675FE0" w:rsidRDefault="002D1E45" w:rsidP="00307117">
            <w:pPr>
              <w:spacing w:after="0" w:line="240" w:lineRule="auto"/>
              <w:rPr>
                <w:rFonts w:ascii="Times New Roman" w:hAnsi="Times New Roman"/>
                <w:sz w:val="24"/>
                <w:szCs w:val="24"/>
                <w:lang w:eastAsia="ru-RU"/>
              </w:rPr>
            </w:pPr>
            <w:r w:rsidRPr="003D0BB2">
              <w:rPr>
                <w:rFonts w:ascii="Times New Roman" w:hAnsi="Times New Roman"/>
                <w:color w:val="000000"/>
                <w:sz w:val="24"/>
                <w:szCs w:val="24"/>
                <w:lang w:eastAsia="ru-RU"/>
              </w:rPr>
              <w:t>г. Куйбышев, ул. Володарского, 61</w:t>
            </w:r>
          </w:p>
        </w:tc>
        <w:tc>
          <w:tcPr>
            <w:tcW w:w="942" w:type="dxa"/>
            <w:vAlign w:val="center"/>
          </w:tcPr>
          <w:p w:rsidR="002D1E45" w:rsidRPr="00675FE0" w:rsidRDefault="002D1E45" w:rsidP="00307117">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438</w:t>
            </w:r>
          </w:p>
        </w:tc>
        <w:tc>
          <w:tcPr>
            <w:tcW w:w="1400" w:type="dxa"/>
            <w:vAlign w:val="center"/>
          </w:tcPr>
          <w:p w:rsidR="002D1E45" w:rsidRPr="00675FE0" w:rsidRDefault="002D1E45" w:rsidP="00307117">
            <w:pPr>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677</w:t>
            </w:r>
          </w:p>
        </w:tc>
        <w:tc>
          <w:tcPr>
            <w:tcW w:w="1417" w:type="dxa"/>
            <w:vAlign w:val="center"/>
          </w:tcPr>
          <w:p w:rsidR="002D1E45" w:rsidRPr="00675FE0" w:rsidRDefault="002D1E45" w:rsidP="00307117">
            <w:pPr>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161</w:t>
            </w:r>
          </w:p>
        </w:tc>
        <w:tc>
          <w:tcPr>
            <w:tcW w:w="1417" w:type="dxa"/>
            <w:vAlign w:val="center"/>
          </w:tcPr>
          <w:p w:rsidR="002D1E45" w:rsidRPr="00675FE0" w:rsidRDefault="002D1E45" w:rsidP="00307117">
            <w:pPr>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604</w:t>
            </w:r>
          </w:p>
        </w:tc>
      </w:tr>
    </w:tbl>
    <w:p w:rsidR="002D1E45" w:rsidRDefault="002D1E45" w:rsidP="00E04764">
      <w:pPr>
        <w:spacing w:after="0" w:line="240" w:lineRule="auto"/>
        <w:ind w:firstLine="709"/>
        <w:jc w:val="both"/>
        <w:rPr>
          <w:rFonts w:ascii="Times New Roman" w:hAnsi="Times New Roman"/>
          <w:sz w:val="28"/>
          <w:szCs w:val="24"/>
          <w:lang w:eastAsia="ru-RU"/>
        </w:rPr>
      </w:pPr>
    </w:p>
    <w:p w:rsidR="002D1E45" w:rsidRPr="00C671DE" w:rsidRDefault="002D1E45" w:rsidP="00E04764">
      <w:pPr>
        <w:spacing w:after="0" w:line="240" w:lineRule="auto"/>
        <w:ind w:firstLine="709"/>
        <w:jc w:val="both"/>
        <w:rPr>
          <w:rFonts w:ascii="Times New Roman" w:hAnsi="Times New Roman"/>
          <w:sz w:val="28"/>
          <w:szCs w:val="24"/>
          <w:lang w:eastAsia="ru-RU"/>
        </w:rPr>
      </w:pPr>
      <w:r>
        <w:rPr>
          <w:rFonts w:ascii="Times New Roman" w:hAnsi="Times New Roman"/>
          <w:sz w:val="28"/>
          <w:szCs w:val="24"/>
          <w:lang w:eastAsia="ru-RU"/>
        </w:rPr>
        <w:t xml:space="preserve">На территории города, </w:t>
      </w:r>
      <w:r w:rsidRPr="00720AAA">
        <w:rPr>
          <w:rFonts w:ascii="Times New Roman" w:hAnsi="Times New Roman"/>
          <w:sz w:val="28"/>
          <w:szCs w:val="24"/>
          <w:lang w:eastAsia="ru-RU"/>
        </w:rPr>
        <w:t>в</w:t>
      </w:r>
      <w:r>
        <w:rPr>
          <w:rFonts w:ascii="Times New Roman" w:hAnsi="Times New Roman"/>
          <w:sz w:val="28"/>
          <w:szCs w:val="24"/>
          <w:lang w:eastAsia="ru-RU"/>
        </w:rPr>
        <w:t> </w:t>
      </w:r>
      <w:r w:rsidRPr="00720AAA">
        <w:rPr>
          <w:rFonts w:ascii="Times New Roman" w:hAnsi="Times New Roman"/>
          <w:sz w:val="28"/>
          <w:szCs w:val="24"/>
          <w:lang w:eastAsia="ru-RU"/>
        </w:rPr>
        <w:t>соответствии с</w:t>
      </w:r>
      <w:r>
        <w:rPr>
          <w:rFonts w:ascii="Times New Roman" w:hAnsi="Times New Roman"/>
          <w:sz w:val="28"/>
          <w:szCs w:val="24"/>
          <w:lang w:eastAsia="ru-RU"/>
        </w:rPr>
        <w:t> РНГП</w:t>
      </w:r>
      <w:r w:rsidRPr="00720AAA">
        <w:rPr>
          <w:rFonts w:ascii="Times New Roman" w:hAnsi="Times New Roman"/>
          <w:sz w:val="28"/>
          <w:szCs w:val="24"/>
          <w:lang w:eastAsia="ru-RU"/>
        </w:rPr>
        <w:t xml:space="preserve"> </w:t>
      </w:r>
      <w:r>
        <w:rPr>
          <w:rFonts w:ascii="Times New Roman" w:hAnsi="Times New Roman"/>
          <w:sz w:val="28"/>
          <w:szCs w:val="24"/>
          <w:lang w:eastAsia="ru-RU"/>
        </w:rPr>
        <w:t>Новосибирской области, у</w:t>
      </w:r>
      <w:r w:rsidRPr="00C671DE">
        <w:rPr>
          <w:rFonts w:ascii="Times New Roman" w:hAnsi="Times New Roman"/>
          <w:sz w:val="28"/>
          <w:szCs w:val="24"/>
          <w:lang w:eastAsia="ru-RU"/>
        </w:rPr>
        <w:t xml:space="preserve">ровень охвата граждан первичной медико-санитарной помощью </w:t>
      </w:r>
      <w:r>
        <w:rPr>
          <w:rFonts w:ascii="Times New Roman" w:hAnsi="Times New Roman"/>
          <w:sz w:val="28"/>
          <w:szCs w:val="24"/>
          <w:lang w:eastAsia="ru-RU"/>
        </w:rPr>
        <w:t xml:space="preserve">учреждениями поселения </w:t>
      </w:r>
      <w:r w:rsidRPr="00C671DE">
        <w:rPr>
          <w:rFonts w:ascii="Times New Roman" w:hAnsi="Times New Roman"/>
          <w:sz w:val="28"/>
          <w:szCs w:val="24"/>
          <w:lang w:eastAsia="ru-RU"/>
        </w:rPr>
        <w:t xml:space="preserve">составляет </w:t>
      </w:r>
      <w:r>
        <w:rPr>
          <w:rFonts w:ascii="Times New Roman" w:hAnsi="Times New Roman"/>
          <w:sz w:val="28"/>
          <w:szCs w:val="24"/>
          <w:lang w:eastAsia="ru-RU"/>
        </w:rPr>
        <w:t>86</w:t>
      </w:r>
      <w:r w:rsidRPr="00C671DE">
        <w:rPr>
          <w:rFonts w:ascii="Times New Roman" w:hAnsi="Times New Roman"/>
          <w:sz w:val="28"/>
          <w:szCs w:val="24"/>
          <w:lang w:eastAsia="ru-RU"/>
        </w:rPr>
        <w:t xml:space="preserve"> % от</w:t>
      </w:r>
      <w:r>
        <w:rPr>
          <w:rFonts w:ascii="Times New Roman" w:hAnsi="Times New Roman"/>
          <w:sz w:val="28"/>
          <w:szCs w:val="24"/>
          <w:lang w:eastAsia="ru-RU"/>
        </w:rPr>
        <w:t> </w:t>
      </w:r>
      <w:r w:rsidRPr="00C671DE">
        <w:rPr>
          <w:rFonts w:ascii="Times New Roman" w:hAnsi="Times New Roman"/>
          <w:sz w:val="28"/>
          <w:szCs w:val="24"/>
          <w:lang w:eastAsia="ru-RU"/>
        </w:rPr>
        <w:t>нормативного значения</w:t>
      </w:r>
      <w:r>
        <w:rPr>
          <w:rFonts w:ascii="Times New Roman" w:hAnsi="Times New Roman"/>
          <w:sz w:val="28"/>
          <w:szCs w:val="24"/>
          <w:lang w:eastAsia="ru-RU"/>
        </w:rPr>
        <w:t xml:space="preserve"> по амбулаторно-поликлиническому обслуживанию и 75 % по стационарному обслуживанию</w:t>
      </w:r>
      <w:r w:rsidRPr="00C671DE">
        <w:rPr>
          <w:rFonts w:ascii="Times New Roman" w:hAnsi="Times New Roman"/>
          <w:sz w:val="28"/>
          <w:szCs w:val="24"/>
          <w:lang w:eastAsia="ru-RU"/>
        </w:rPr>
        <w:t>.</w:t>
      </w:r>
      <w:r>
        <w:rPr>
          <w:rFonts w:ascii="Times New Roman" w:hAnsi="Times New Roman"/>
          <w:sz w:val="28"/>
          <w:szCs w:val="24"/>
          <w:lang w:eastAsia="ru-RU"/>
        </w:rPr>
        <w:t xml:space="preserve"> При этом, если учитывать, что </w:t>
      </w:r>
      <w:r w:rsidRPr="00BE78BC">
        <w:rPr>
          <w:rFonts w:ascii="Times New Roman" w:hAnsi="Times New Roman"/>
          <w:sz w:val="28"/>
          <w:szCs w:val="24"/>
          <w:lang w:eastAsia="ru-RU"/>
        </w:rPr>
        <w:t>ГБУЗ НСО «</w:t>
      </w:r>
      <w:r>
        <w:rPr>
          <w:rFonts w:ascii="Times New Roman" w:hAnsi="Times New Roman"/>
          <w:sz w:val="28"/>
          <w:szCs w:val="24"/>
          <w:lang w:eastAsia="ru-RU"/>
        </w:rPr>
        <w:t>Куйбышевская</w:t>
      </w:r>
      <w:r w:rsidRPr="00571270">
        <w:rPr>
          <w:rFonts w:ascii="Times New Roman" w:hAnsi="Times New Roman"/>
          <w:sz w:val="28"/>
          <w:szCs w:val="24"/>
          <w:lang w:eastAsia="ru-RU"/>
        </w:rPr>
        <w:t xml:space="preserve"> </w:t>
      </w:r>
      <w:r>
        <w:rPr>
          <w:rFonts w:ascii="Times New Roman" w:hAnsi="Times New Roman"/>
          <w:sz w:val="28"/>
          <w:szCs w:val="24"/>
          <w:lang w:eastAsia="ru-RU"/>
        </w:rPr>
        <w:t>ЦРБ</w:t>
      </w:r>
      <w:r w:rsidRPr="00BE78BC">
        <w:rPr>
          <w:rFonts w:ascii="Times New Roman" w:hAnsi="Times New Roman"/>
          <w:sz w:val="28"/>
          <w:szCs w:val="24"/>
          <w:lang w:eastAsia="ru-RU"/>
        </w:rPr>
        <w:t>»</w:t>
      </w:r>
      <w:r>
        <w:rPr>
          <w:rFonts w:ascii="Times New Roman" w:hAnsi="Times New Roman"/>
          <w:sz w:val="28"/>
          <w:szCs w:val="24"/>
          <w:lang w:eastAsia="ru-RU"/>
        </w:rPr>
        <w:t xml:space="preserve"> обслуживает население всего района, то обеспеченность составляет 66 % и 57 % соответственно.</w:t>
      </w:r>
    </w:p>
    <w:p w:rsidR="002D1E45" w:rsidRDefault="002D1E45" w:rsidP="00571270">
      <w:pPr>
        <w:spacing w:after="0" w:line="240" w:lineRule="auto"/>
        <w:ind w:firstLine="709"/>
        <w:jc w:val="both"/>
        <w:rPr>
          <w:rFonts w:ascii="Times New Roman" w:hAnsi="Times New Roman"/>
          <w:sz w:val="28"/>
          <w:szCs w:val="24"/>
          <w:lang w:eastAsia="ru-RU"/>
        </w:rPr>
      </w:pPr>
      <w:r w:rsidRPr="00571270">
        <w:rPr>
          <w:rFonts w:ascii="Times New Roman" w:hAnsi="Times New Roman"/>
          <w:sz w:val="28"/>
          <w:szCs w:val="24"/>
          <w:lang w:eastAsia="ru-RU"/>
        </w:rPr>
        <w:t xml:space="preserve">На территории </w:t>
      </w:r>
      <w:r>
        <w:rPr>
          <w:rFonts w:ascii="Times New Roman" w:hAnsi="Times New Roman"/>
          <w:sz w:val="28"/>
          <w:szCs w:val="24"/>
          <w:lang w:eastAsia="ru-RU"/>
        </w:rPr>
        <w:t>города Куйбышева</w:t>
      </w:r>
      <w:r w:rsidRPr="00571270">
        <w:rPr>
          <w:rFonts w:ascii="Times New Roman" w:hAnsi="Times New Roman"/>
          <w:sz w:val="28"/>
          <w:szCs w:val="24"/>
          <w:lang w:eastAsia="ru-RU"/>
        </w:rPr>
        <w:t xml:space="preserve"> расположен</w:t>
      </w:r>
      <w:r>
        <w:rPr>
          <w:rFonts w:ascii="Times New Roman" w:hAnsi="Times New Roman"/>
          <w:sz w:val="28"/>
          <w:szCs w:val="24"/>
          <w:lang w:eastAsia="ru-RU"/>
        </w:rPr>
        <w:t xml:space="preserve">ы объекты социального обслуживания населения </w:t>
      </w:r>
      <w:r w:rsidRPr="00B769B6">
        <w:rPr>
          <w:rFonts w:ascii="Times New Roman" w:hAnsi="Times New Roman"/>
          <w:sz w:val="28"/>
          <w:szCs w:val="24"/>
          <w:lang w:eastAsia="ru-RU"/>
        </w:rPr>
        <w:t>МБУ КЦСОН</w:t>
      </w:r>
      <w:r>
        <w:rPr>
          <w:rFonts w:ascii="Times New Roman" w:hAnsi="Times New Roman"/>
          <w:sz w:val="28"/>
          <w:szCs w:val="24"/>
          <w:lang w:eastAsia="ru-RU"/>
        </w:rPr>
        <w:t>.</w:t>
      </w:r>
    </w:p>
    <w:p w:rsidR="002D1E45" w:rsidRPr="00260D34" w:rsidRDefault="002D1E45" w:rsidP="00B769B6">
      <w:pPr>
        <w:autoSpaceDE w:val="0"/>
        <w:autoSpaceDN w:val="0"/>
        <w:adjustRightInd w:val="0"/>
        <w:spacing w:after="0" w:line="360" w:lineRule="auto"/>
        <w:ind w:firstLine="709"/>
        <w:jc w:val="right"/>
        <w:rPr>
          <w:rFonts w:ascii="Times New Roman" w:hAnsi="Times New Roman"/>
          <w:sz w:val="28"/>
          <w:szCs w:val="24"/>
          <w:lang w:eastAsia="ru-RU"/>
        </w:rPr>
      </w:pPr>
      <w:r w:rsidRPr="00260D34">
        <w:rPr>
          <w:rFonts w:ascii="Times New Roman" w:hAnsi="Times New Roman"/>
          <w:sz w:val="28"/>
          <w:szCs w:val="24"/>
          <w:lang w:eastAsia="ru-RU"/>
        </w:rPr>
        <w:t xml:space="preserve">Таблица </w:t>
      </w:r>
      <w:r w:rsidRPr="00260D34">
        <w:rPr>
          <w:rFonts w:ascii="Times New Roman" w:hAnsi="Times New Roman"/>
          <w:sz w:val="28"/>
          <w:szCs w:val="24"/>
        </w:rPr>
        <w:fldChar w:fldCharType="begin"/>
      </w:r>
      <w:r w:rsidRPr="00260D34">
        <w:rPr>
          <w:rFonts w:ascii="Times New Roman" w:hAnsi="Times New Roman"/>
          <w:sz w:val="28"/>
          <w:szCs w:val="24"/>
        </w:rPr>
        <w:instrText xml:space="preserve"> SEQ Таблица \* ARABIC </w:instrText>
      </w:r>
      <w:r w:rsidRPr="00260D34">
        <w:rPr>
          <w:rFonts w:ascii="Times New Roman" w:hAnsi="Times New Roman"/>
          <w:sz w:val="28"/>
          <w:szCs w:val="24"/>
        </w:rPr>
        <w:fldChar w:fldCharType="separate"/>
      </w:r>
      <w:r>
        <w:rPr>
          <w:rFonts w:ascii="Times New Roman" w:hAnsi="Times New Roman"/>
          <w:noProof/>
          <w:sz w:val="28"/>
          <w:szCs w:val="24"/>
        </w:rPr>
        <w:t>11</w:t>
      </w:r>
      <w:r w:rsidRPr="00260D34">
        <w:rPr>
          <w:rFonts w:ascii="Times New Roman" w:hAnsi="Times New Roman"/>
          <w:sz w:val="28"/>
          <w:szCs w:val="24"/>
        </w:rPr>
        <w:fldChar w:fldCharType="end"/>
      </w:r>
    </w:p>
    <w:p w:rsidR="002D1E45" w:rsidRDefault="002D1E45" w:rsidP="00B769B6">
      <w:pPr>
        <w:tabs>
          <w:tab w:val="left" w:pos="1418"/>
        </w:tabs>
        <w:spacing w:line="240" w:lineRule="auto"/>
        <w:jc w:val="center"/>
        <w:rPr>
          <w:rFonts w:ascii="Times New Roman" w:hAnsi="Times New Roman"/>
          <w:sz w:val="28"/>
          <w:szCs w:val="24"/>
          <w:lang w:eastAsia="ru-RU"/>
        </w:rPr>
      </w:pPr>
      <w:r w:rsidRPr="00B769B6">
        <w:rPr>
          <w:rFonts w:ascii="Times New Roman" w:hAnsi="Times New Roman"/>
          <w:sz w:val="28"/>
          <w:szCs w:val="24"/>
          <w:lang w:eastAsia="ru-RU"/>
        </w:rPr>
        <w:t>Технико-экономические параметры существующих объектов социальной защиты</w:t>
      </w:r>
      <w:r>
        <w:rPr>
          <w:rFonts w:ascii="Times New Roman" w:hAnsi="Times New Roman"/>
          <w:sz w:val="28"/>
          <w:szCs w:val="24"/>
          <w:lang w:eastAsia="ru-RU"/>
        </w:rPr>
        <w:t xml:space="preserve"> </w:t>
      </w:r>
      <w:r w:rsidRPr="00B769B6">
        <w:rPr>
          <w:rFonts w:ascii="Times New Roman" w:hAnsi="Times New Roman"/>
          <w:sz w:val="28"/>
          <w:szCs w:val="24"/>
          <w:lang w:eastAsia="ru-RU"/>
        </w:rPr>
        <w:t>населения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2065"/>
        <w:gridCol w:w="2313"/>
        <w:gridCol w:w="1745"/>
        <w:gridCol w:w="1688"/>
        <w:gridCol w:w="1158"/>
        <w:gridCol w:w="1246"/>
      </w:tblGrid>
      <w:tr w:rsidR="002D1E45" w:rsidRPr="005C4186" w:rsidTr="005C4186">
        <w:trPr>
          <w:trHeight w:val="57"/>
        </w:trPr>
        <w:tc>
          <w:tcPr>
            <w:tcW w:w="1011" w:type="pct"/>
            <w:vMerge w:val="restart"/>
            <w:shd w:val="clear" w:color="auto" w:fill="FFFFFF"/>
            <w:vAlign w:val="center"/>
          </w:tcPr>
          <w:p w:rsidR="002D1E45" w:rsidRPr="005C4186" w:rsidRDefault="002D1E45" w:rsidP="005C4186">
            <w:pPr>
              <w:spacing w:after="0" w:line="240" w:lineRule="auto"/>
              <w:ind w:right="81"/>
              <w:jc w:val="center"/>
              <w:rPr>
                <w:rFonts w:ascii="Times New Roman" w:hAnsi="Times New Roman"/>
                <w:lang w:eastAsia="ru-RU"/>
              </w:rPr>
            </w:pPr>
            <w:r w:rsidRPr="005C4186">
              <w:rPr>
                <w:rFonts w:ascii="Times New Roman" w:hAnsi="Times New Roman"/>
                <w:color w:val="000000"/>
                <w:lang w:eastAsia="ru-RU"/>
              </w:rPr>
              <w:t>Объект</w:t>
            </w:r>
          </w:p>
        </w:tc>
        <w:tc>
          <w:tcPr>
            <w:tcW w:w="1132" w:type="pct"/>
            <w:vMerge w:val="restart"/>
            <w:shd w:val="clear" w:color="auto" w:fill="FFFFFF"/>
            <w:vAlign w:val="center"/>
          </w:tcPr>
          <w:p w:rsidR="002D1E45" w:rsidRPr="005C4186" w:rsidRDefault="002D1E45" w:rsidP="005C4186">
            <w:pPr>
              <w:spacing w:after="0" w:line="240" w:lineRule="auto"/>
              <w:ind w:right="81"/>
              <w:jc w:val="center"/>
              <w:rPr>
                <w:rFonts w:ascii="Times New Roman" w:hAnsi="Times New Roman"/>
                <w:lang w:eastAsia="ru-RU"/>
              </w:rPr>
            </w:pPr>
            <w:r w:rsidRPr="005C4186">
              <w:rPr>
                <w:rFonts w:ascii="Times New Roman" w:hAnsi="Times New Roman"/>
                <w:color w:val="000000"/>
                <w:lang w:eastAsia="ru-RU"/>
              </w:rPr>
              <w:t>Адрес расположения</w:t>
            </w:r>
          </w:p>
        </w:tc>
        <w:tc>
          <w:tcPr>
            <w:tcW w:w="854" w:type="pct"/>
            <w:vMerge w:val="restart"/>
            <w:shd w:val="clear" w:color="auto" w:fill="FFFFFF"/>
            <w:vAlign w:val="center"/>
          </w:tcPr>
          <w:p w:rsidR="002D1E45" w:rsidRPr="005C4186" w:rsidRDefault="002D1E45" w:rsidP="005C4186">
            <w:pPr>
              <w:spacing w:after="0" w:line="240" w:lineRule="auto"/>
              <w:ind w:right="81"/>
              <w:jc w:val="center"/>
              <w:rPr>
                <w:rFonts w:ascii="Times New Roman" w:hAnsi="Times New Roman"/>
                <w:lang w:eastAsia="ru-RU"/>
              </w:rPr>
            </w:pPr>
            <w:r w:rsidRPr="005C4186">
              <w:rPr>
                <w:rFonts w:ascii="Times New Roman" w:hAnsi="Times New Roman"/>
                <w:color w:val="000000"/>
                <w:lang w:eastAsia="ru-RU"/>
              </w:rPr>
              <w:t>Площадь земельного участка, кв. м</w:t>
            </w:r>
          </w:p>
        </w:tc>
        <w:tc>
          <w:tcPr>
            <w:tcW w:w="1393" w:type="pct"/>
            <w:gridSpan w:val="2"/>
            <w:shd w:val="clear" w:color="auto" w:fill="FFFFFF"/>
            <w:vAlign w:val="center"/>
          </w:tcPr>
          <w:p w:rsidR="002D1E45" w:rsidRPr="005C4186" w:rsidRDefault="002D1E45" w:rsidP="005C4186">
            <w:pPr>
              <w:spacing w:after="0" w:line="240" w:lineRule="auto"/>
              <w:ind w:right="81"/>
              <w:jc w:val="center"/>
              <w:rPr>
                <w:rFonts w:ascii="Times New Roman" w:hAnsi="Times New Roman"/>
                <w:lang w:eastAsia="ru-RU"/>
              </w:rPr>
            </w:pPr>
            <w:r w:rsidRPr="005C4186">
              <w:rPr>
                <w:rFonts w:ascii="Times New Roman" w:hAnsi="Times New Roman"/>
                <w:color w:val="000000"/>
                <w:lang w:eastAsia="ru-RU"/>
              </w:rPr>
              <w:t>Проектная мощность</w:t>
            </w:r>
          </w:p>
        </w:tc>
        <w:tc>
          <w:tcPr>
            <w:tcW w:w="610" w:type="pct"/>
            <w:vMerge w:val="restart"/>
            <w:shd w:val="clear" w:color="auto" w:fill="FFFFFF"/>
            <w:vAlign w:val="center"/>
          </w:tcPr>
          <w:p w:rsidR="002D1E45" w:rsidRPr="005C4186" w:rsidRDefault="002D1E45" w:rsidP="005C4186">
            <w:pPr>
              <w:spacing w:after="0" w:line="240" w:lineRule="auto"/>
              <w:ind w:right="81"/>
              <w:jc w:val="center"/>
              <w:rPr>
                <w:rFonts w:ascii="Times New Roman" w:hAnsi="Times New Roman"/>
                <w:lang w:eastAsia="ru-RU"/>
              </w:rPr>
            </w:pPr>
            <w:r w:rsidRPr="005C4186">
              <w:rPr>
                <w:rFonts w:ascii="Times New Roman" w:hAnsi="Times New Roman"/>
                <w:color w:val="000000"/>
                <w:lang w:eastAsia="ru-RU"/>
              </w:rPr>
              <w:t>Износ здания, %</w:t>
            </w:r>
          </w:p>
        </w:tc>
      </w:tr>
      <w:tr w:rsidR="002D1E45" w:rsidRPr="005C4186" w:rsidTr="005C4186">
        <w:trPr>
          <w:trHeight w:val="57"/>
        </w:trPr>
        <w:tc>
          <w:tcPr>
            <w:tcW w:w="1011" w:type="pct"/>
            <w:vMerge/>
            <w:shd w:val="clear" w:color="auto" w:fill="FFFFFF"/>
            <w:vAlign w:val="center"/>
          </w:tcPr>
          <w:p w:rsidR="002D1E45" w:rsidRPr="005C4186" w:rsidRDefault="002D1E45" w:rsidP="005C4186">
            <w:pPr>
              <w:spacing w:after="0" w:line="240" w:lineRule="auto"/>
              <w:ind w:right="81"/>
              <w:jc w:val="center"/>
              <w:rPr>
                <w:rFonts w:ascii="Times New Roman" w:hAnsi="Times New Roman"/>
                <w:lang w:eastAsia="ru-RU"/>
              </w:rPr>
            </w:pPr>
          </w:p>
        </w:tc>
        <w:tc>
          <w:tcPr>
            <w:tcW w:w="1132" w:type="pct"/>
            <w:vMerge/>
            <w:shd w:val="clear" w:color="auto" w:fill="FFFFFF"/>
            <w:vAlign w:val="center"/>
          </w:tcPr>
          <w:p w:rsidR="002D1E45" w:rsidRPr="005C4186" w:rsidRDefault="002D1E45" w:rsidP="005C4186">
            <w:pPr>
              <w:spacing w:after="0" w:line="240" w:lineRule="auto"/>
              <w:ind w:right="81"/>
              <w:jc w:val="center"/>
              <w:rPr>
                <w:rFonts w:ascii="Times New Roman" w:hAnsi="Times New Roman"/>
                <w:lang w:eastAsia="ru-RU"/>
              </w:rPr>
            </w:pPr>
          </w:p>
        </w:tc>
        <w:tc>
          <w:tcPr>
            <w:tcW w:w="854" w:type="pct"/>
            <w:vMerge/>
            <w:shd w:val="clear" w:color="auto" w:fill="FFFFFF"/>
            <w:vAlign w:val="center"/>
          </w:tcPr>
          <w:p w:rsidR="002D1E45" w:rsidRPr="005C4186" w:rsidRDefault="002D1E45" w:rsidP="005C4186">
            <w:pPr>
              <w:spacing w:after="0" w:line="240" w:lineRule="auto"/>
              <w:ind w:right="81"/>
              <w:jc w:val="center"/>
              <w:rPr>
                <w:rFonts w:ascii="Times New Roman" w:hAnsi="Times New Roman"/>
                <w:lang w:eastAsia="ru-RU"/>
              </w:rPr>
            </w:pPr>
          </w:p>
        </w:tc>
        <w:tc>
          <w:tcPr>
            <w:tcW w:w="826" w:type="pct"/>
            <w:shd w:val="clear" w:color="auto" w:fill="FFFFFF"/>
            <w:vAlign w:val="center"/>
          </w:tcPr>
          <w:p w:rsidR="002D1E45" w:rsidRPr="005C4186" w:rsidRDefault="002D1E45" w:rsidP="005C4186">
            <w:pPr>
              <w:spacing w:after="0" w:line="240" w:lineRule="auto"/>
              <w:ind w:right="81"/>
              <w:jc w:val="center"/>
              <w:rPr>
                <w:rFonts w:ascii="Times New Roman" w:hAnsi="Times New Roman"/>
                <w:lang w:eastAsia="ru-RU"/>
              </w:rPr>
            </w:pPr>
            <w:r w:rsidRPr="005C4186">
              <w:rPr>
                <w:rFonts w:ascii="Times New Roman" w:hAnsi="Times New Roman"/>
                <w:color w:val="000000"/>
                <w:lang w:eastAsia="ru-RU"/>
              </w:rPr>
              <w:t>ед.</w:t>
            </w:r>
          </w:p>
          <w:p w:rsidR="002D1E45" w:rsidRPr="005C4186" w:rsidRDefault="002D1E45" w:rsidP="005C4186">
            <w:pPr>
              <w:spacing w:after="0" w:line="240" w:lineRule="auto"/>
              <w:ind w:right="81"/>
              <w:jc w:val="center"/>
              <w:rPr>
                <w:rFonts w:ascii="Times New Roman" w:hAnsi="Times New Roman"/>
                <w:lang w:eastAsia="ru-RU"/>
              </w:rPr>
            </w:pPr>
            <w:r w:rsidRPr="005C4186">
              <w:rPr>
                <w:rFonts w:ascii="Times New Roman" w:hAnsi="Times New Roman"/>
                <w:color w:val="000000"/>
                <w:lang w:eastAsia="ru-RU"/>
              </w:rPr>
              <w:t>измерения</w:t>
            </w:r>
          </w:p>
        </w:tc>
        <w:tc>
          <w:tcPr>
            <w:tcW w:w="567" w:type="pct"/>
            <w:shd w:val="clear" w:color="auto" w:fill="FFFFFF"/>
            <w:vAlign w:val="center"/>
          </w:tcPr>
          <w:p w:rsidR="002D1E45" w:rsidRPr="005C4186" w:rsidRDefault="002D1E45" w:rsidP="005C4186">
            <w:pPr>
              <w:spacing w:after="0" w:line="240" w:lineRule="auto"/>
              <w:ind w:right="81"/>
              <w:jc w:val="center"/>
              <w:rPr>
                <w:rFonts w:ascii="Times New Roman" w:hAnsi="Times New Roman"/>
                <w:lang w:eastAsia="ru-RU"/>
              </w:rPr>
            </w:pPr>
            <w:r w:rsidRPr="005C4186">
              <w:rPr>
                <w:rFonts w:ascii="Times New Roman" w:hAnsi="Times New Roman"/>
                <w:color w:val="000000"/>
                <w:lang w:eastAsia="ru-RU"/>
              </w:rPr>
              <w:t>значение</w:t>
            </w:r>
          </w:p>
        </w:tc>
        <w:tc>
          <w:tcPr>
            <w:tcW w:w="610" w:type="pct"/>
            <w:vMerge/>
            <w:shd w:val="clear" w:color="auto" w:fill="FFFFFF"/>
            <w:vAlign w:val="center"/>
          </w:tcPr>
          <w:p w:rsidR="002D1E45" w:rsidRPr="005C4186" w:rsidRDefault="002D1E45" w:rsidP="005C4186">
            <w:pPr>
              <w:spacing w:after="0" w:line="240" w:lineRule="auto"/>
              <w:ind w:right="81"/>
              <w:jc w:val="center"/>
              <w:rPr>
                <w:rFonts w:ascii="Times New Roman" w:hAnsi="Times New Roman"/>
                <w:lang w:eastAsia="ru-RU"/>
              </w:rPr>
            </w:pPr>
          </w:p>
        </w:tc>
      </w:tr>
      <w:tr w:rsidR="002D1E45" w:rsidRPr="005C4186" w:rsidTr="005C4186">
        <w:trPr>
          <w:trHeight w:val="57"/>
        </w:trPr>
        <w:tc>
          <w:tcPr>
            <w:tcW w:w="5000" w:type="pct"/>
            <w:gridSpan w:val="6"/>
            <w:shd w:val="clear" w:color="auto" w:fill="FFFFFF"/>
            <w:vAlign w:val="center"/>
          </w:tcPr>
          <w:p w:rsidR="002D1E45" w:rsidRPr="005C4186" w:rsidRDefault="002D1E45" w:rsidP="005C4186">
            <w:pPr>
              <w:spacing w:after="0" w:line="240" w:lineRule="auto"/>
              <w:ind w:right="81"/>
              <w:jc w:val="center"/>
              <w:rPr>
                <w:rFonts w:ascii="Times New Roman" w:hAnsi="Times New Roman"/>
                <w:lang w:eastAsia="ru-RU"/>
              </w:rPr>
            </w:pPr>
            <w:r w:rsidRPr="005C4186">
              <w:rPr>
                <w:rFonts w:ascii="Times New Roman" w:hAnsi="Times New Roman"/>
                <w:color w:val="000000"/>
                <w:lang w:eastAsia="ru-RU"/>
              </w:rPr>
              <w:t>Социальная защита населения (дома престарелых/интернаты для инвалидов и др.)</w:t>
            </w:r>
          </w:p>
        </w:tc>
      </w:tr>
      <w:tr w:rsidR="002D1E45" w:rsidRPr="005C4186" w:rsidTr="005C4186">
        <w:trPr>
          <w:trHeight w:val="57"/>
        </w:trPr>
        <w:tc>
          <w:tcPr>
            <w:tcW w:w="1011" w:type="pct"/>
            <w:shd w:val="clear" w:color="auto" w:fill="FFFFFF"/>
            <w:vAlign w:val="center"/>
          </w:tcPr>
          <w:p w:rsidR="002D1E45" w:rsidRPr="005C4186" w:rsidRDefault="002D1E45" w:rsidP="005C4186">
            <w:pPr>
              <w:spacing w:after="0" w:line="240" w:lineRule="auto"/>
              <w:ind w:left="28" w:right="28"/>
              <w:rPr>
                <w:rFonts w:ascii="Times New Roman" w:hAnsi="Times New Roman"/>
                <w:lang w:eastAsia="ru-RU"/>
              </w:rPr>
            </w:pPr>
            <w:r w:rsidRPr="005C4186">
              <w:rPr>
                <w:rFonts w:ascii="Times New Roman" w:hAnsi="Times New Roman"/>
                <w:color w:val="000000"/>
                <w:lang w:eastAsia="ru-RU"/>
              </w:rPr>
              <w:t>Административное здание</w:t>
            </w:r>
          </w:p>
        </w:tc>
        <w:tc>
          <w:tcPr>
            <w:tcW w:w="1132" w:type="pct"/>
            <w:shd w:val="clear" w:color="auto" w:fill="FFFFFF"/>
            <w:vAlign w:val="center"/>
          </w:tcPr>
          <w:p w:rsidR="002D1E45" w:rsidRPr="005C4186" w:rsidRDefault="002D1E45" w:rsidP="005C4186">
            <w:pPr>
              <w:spacing w:after="0" w:line="240" w:lineRule="auto"/>
              <w:ind w:left="28" w:right="28"/>
              <w:rPr>
                <w:rFonts w:ascii="Times New Roman" w:hAnsi="Times New Roman"/>
                <w:lang w:eastAsia="ru-RU"/>
              </w:rPr>
            </w:pPr>
            <w:r w:rsidRPr="005C4186">
              <w:rPr>
                <w:rFonts w:ascii="Times New Roman" w:hAnsi="Times New Roman"/>
                <w:color w:val="000000"/>
                <w:lang w:eastAsia="ru-RU"/>
              </w:rPr>
              <w:t>Новосибирская область, город Куйбышев, квартал 7 дом 15</w:t>
            </w:r>
          </w:p>
        </w:tc>
        <w:tc>
          <w:tcPr>
            <w:tcW w:w="854" w:type="pct"/>
            <w:shd w:val="clear" w:color="auto" w:fill="FFFFFF"/>
            <w:vAlign w:val="center"/>
          </w:tcPr>
          <w:p w:rsidR="002D1E45" w:rsidRPr="005C4186" w:rsidRDefault="002D1E45" w:rsidP="005C4186">
            <w:pPr>
              <w:spacing w:after="0" w:line="240" w:lineRule="auto"/>
              <w:ind w:left="28" w:right="28"/>
              <w:jc w:val="center"/>
              <w:rPr>
                <w:rFonts w:ascii="Times New Roman" w:hAnsi="Times New Roman"/>
                <w:lang w:eastAsia="ru-RU"/>
              </w:rPr>
            </w:pPr>
            <w:r w:rsidRPr="005C4186">
              <w:rPr>
                <w:rFonts w:ascii="Times New Roman" w:hAnsi="Times New Roman"/>
                <w:color w:val="000000"/>
                <w:lang w:eastAsia="ru-RU"/>
              </w:rPr>
              <w:t>3821 кв.м.</w:t>
            </w:r>
          </w:p>
        </w:tc>
        <w:tc>
          <w:tcPr>
            <w:tcW w:w="826" w:type="pct"/>
            <w:shd w:val="clear" w:color="auto" w:fill="FFFFFF"/>
            <w:vAlign w:val="center"/>
          </w:tcPr>
          <w:p w:rsidR="002D1E45" w:rsidRPr="005C4186" w:rsidRDefault="002D1E45" w:rsidP="005C4186">
            <w:pPr>
              <w:spacing w:after="0" w:line="240" w:lineRule="auto"/>
              <w:ind w:left="28" w:right="28"/>
              <w:jc w:val="center"/>
              <w:rPr>
                <w:rFonts w:ascii="Times New Roman" w:hAnsi="Times New Roman"/>
                <w:lang w:eastAsia="ru-RU"/>
              </w:rPr>
            </w:pPr>
            <w:r w:rsidRPr="005C4186">
              <w:rPr>
                <w:rFonts w:ascii="Times New Roman" w:hAnsi="Times New Roman"/>
                <w:color w:val="000000"/>
                <w:lang w:eastAsia="ru-RU"/>
              </w:rPr>
              <w:t>мест</w:t>
            </w:r>
          </w:p>
        </w:tc>
        <w:tc>
          <w:tcPr>
            <w:tcW w:w="567" w:type="pct"/>
            <w:shd w:val="clear" w:color="auto" w:fill="FFFFFF"/>
            <w:vAlign w:val="center"/>
          </w:tcPr>
          <w:p w:rsidR="002D1E45" w:rsidRPr="005C4186" w:rsidRDefault="002D1E45" w:rsidP="005C4186">
            <w:pPr>
              <w:spacing w:after="0" w:line="240" w:lineRule="auto"/>
              <w:ind w:left="28" w:right="28"/>
              <w:jc w:val="center"/>
              <w:rPr>
                <w:rFonts w:ascii="Times New Roman" w:hAnsi="Times New Roman"/>
                <w:lang w:eastAsia="ru-RU"/>
              </w:rPr>
            </w:pPr>
            <w:r>
              <w:rPr>
                <w:rFonts w:ascii="Times New Roman" w:hAnsi="Times New Roman"/>
                <w:lang w:eastAsia="ru-RU"/>
              </w:rPr>
              <w:t>-</w:t>
            </w:r>
          </w:p>
        </w:tc>
        <w:tc>
          <w:tcPr>
            <w:tcW w:w="610" w:type="pct"/>
            <w:shd w:val="clear" w:color="auto" w:fill="FFFFFF"/>
            <w:vAlign w:val="center"/>
          </w:tcPr>
          <w:p w:rsidR="002D1E45" w:rsidRPr="005C4186" w:rsidRDefault="002D1E45" w:rsidP="005C4186">
            <w:pPr>
              <w:spacing w:after="0" w:line="240" w:lineRule="auto"/>
              <w:ind w:left="28" w:right="28"/>
              <w:jc w:val="center"/>
              <w:rPr>
                <w:rFonts w:ascii="Times New Roman" w:hAnsi="Times New Roman"/>
                <w:lang w:eastAsia="ru-RU"/>
              </w:rPr>
            </w:pPr>
            <w:r w:rsidRPr="005C4186">
              <w:rPr>
                <w:rFonts w:ascii="Times New Roman" w:hAnsi="Times New Roman"/>
                <w:color w:val="000000"/>
                <w:lang w:eastAsia="ru-RU"/>
              </w:rPr>
              <w:t>81,54</w:t>
            </w:r>
          </w:p>
        </w:tc>
      </w:tr>
      <w:tr w:rsidR="002D1E45" w:rsidRPr="005C4186" w:rsidTr="005C4186">
        <w:trPr>
          <w:trHeight w:val="57"/>
        </w:trPr>
        <w:tc>
          <w:tcPr>
            <w:tcW w:w="1011" w:type="pct"/>
            <w:shd w:val="clear" w:color="auto" w:fill="FFFFFF"/>
            <w:vAlign w:val="center"/>
          </w:tcPr>
          <w:p w:rsidR="002D1E45" w:rsidRPr="005C4186" w:rsidRDefault="002D1E45" w:rsidP="005C4186">
            <w:pPr>
              <w:spacing w:after="0" w:line="240" w:lineRule="auto"/>
              <w:ind w:left="28" w:right="28"/>
              <w:rPr>
                <w:rFonts w:ascii="Times New Roman" w:hAnsi="Times New Roman"/>
                <w:lang w:eastAsia="ru-RU"/>
              </w:rPr>
            </w:pPr>
            <w:r w:rsidRPr="005C4186">
              <w:rPr>
                <w:rFonts w:ascii="Times New Roman" w:hAnsi="Times New Roman"/>
                <w:color w:val="000000"/>
                <w:lang w:eastAsia="ru-RU"/>
              </w:rPr>
              <w:t>Стационарное отделение «Социальная гостиница»</w:t>
            </w:r>
          </w:p>
        </w:tc>
        <w:tc>
          <w:tcPr>
            <w:tcW w:w="1132" w:type="pct"/>
            <w:shd w:val="clear" w:color="auto" w:fill="FFFFFF"/>
            <w:vAlign w:val="center"/>
          </w:tcPr>
          <w:p w:rsidR="002D1E45" w:rsidRPr="005C4186" w:rsidRDefault="002D1E45" w:rsidP="005C4186">
            <w:pPr>
              <w:spacing w:after="0" w:line="240" w:lineRule="auto"/>
              <w:ind w:left="28" w:right="28"/>
              <w:rPr>
                <w:rFonts w:ascii="Times New Roman" w:hAnsi="Times New Roman"/>
                <w:lang w:eastAsia="ru-RU"/>
              </w:rPr>
            </w:pPr>
            <w:r w:rsidRPr="005C4186">
              <w:rPr>
                <w:rFonts w:ascii="Times New Roman" w:hAnsi="Times New Roman"/>
                <w:color w:val="000000"/>
                <w:lang w:eastAsia="ru-RU"/>
              </w:rPr>
              <w:t>Новосибирская область, город Куйбышев, ул. Пионерская, дом 6</w:t>
            </w:r>
          </w:p>
        </w:tc>
        <w:tc>
          <w:tcPr>
            <w:tcW w:w="854" w:type="pct"/>
            <w:shd w:val="clear" w:color="auto" w:fill="FFFFFF"/>
            <w:vAlign w:val="center"/>
          </w:tcPr>
          <w:p w:rsidR="002D1E45" w:rsidRPr="005C4186" w:rsidRDefault="002D1E45" w:rsidP="005C4186">
            <w:pPr>
              <w:spacing w:after="0" w:line="240" w:lineRule="auto"/>
              <w:ind w:left="28" w:right="28"/>
              <w:jc w:val="center"/>
              <w:rPr>
                <w:rFonts w:ascii="Times New Roman" w:hAnsi="Times New Roman"/>
                <w:lang w:eastAsia="ru-RU"/>
              </w:rPr>
            </w:pPr>
            <w:r w:rsidRPr="005C4186">
              <w:rPr>
                <w:rFonts w:ascii="Times New Roman" w:hAnsi="Times New Roman"/>
                <w:color w:val="000000"/>
                <w:lang w:eastAsia="ru-RU"/>
              </w:rPr>
              <w:t>3208 кв.м.</w:t>
            </w:r>
          </w:p>
        </w:tc>
        <w:tc>
          <w:tcPr>
            <w:tcW w:w="826" w:type="pct"/>
            <w:shd w:val="clear" w:color="auto" w:fill="FFFFFF"/>
            <w:vAlign w:val="center"/>
          </w:tcPr>
          <w:p w:rsidR="002D1E45" w:rsidRPr="005C4186" w:rsidRDefault="002D1E45" w:rsidP="005C4186">
            <w:pPr>
              <w:spacing w:after="0" w:line="240" w:lineRule="auto"/>
              <w:ind w:left="28" w:right="28"/>
              <w:jc w:val="center"/>
              <w:rPr>
                <w:rFonts w:ascii="Times New Roman" w:hAnsi="Times New Roman"/>
                <w:lang w:eastAsia="ru-RU"/>
              </w:rPr>
            </w:pPr>
            <w:r w:rsidRPr="005C4186">
              <w:rPr>
                <w:rFonts w:ascii="Times New Roman" w:hAnsi="Times New Roman"/>
                <w:color w:val="000000"/>
                <w:lang w:eastAsia="ru-RU"/>
              </w:rPr>
              <w:t>мест</w:t>
            </w:r>
          </w:p>
        </w:tc>
        <w:tc>
          <w:tcPr>
            <w:tcW w:w="567" w:type="pct"/>
            <w:shd w:val="clear" w:color="auto" w:fill="FFFFFF"/>
            <w:vAlign w:val="center"/>
          </w:tcPr>
          <w:p w:rsidR="002D1E45" w:rsidRPr="005C4186" w:rsidRDefault="002D1E45" w:rsidP="005C4186">
            <w:pPr>
              <w:spacing w:after="0" w:line="240" w:lineRule="auto"/>
              <w:ind w:left="28" w:right="28"/>
              <w:jc w:val="center"/>
              <w:rPr>
                <w:rFonts w:ascii="Times New Roman" w:hAnsi="Times New Roman"/>
                <w:lang w:eastAsia="ru-RU"/>
              </w:rPr>
            </w:pPr>
            <w:r w:rsidRPr="005C4186">
              <w:rPr>
                <w:rFonts w:ascii="Times New Roman" w:hAnsi="Times New Roman"/>
                <w:color w:val="000000"/>
                <w:lang w:eastAsia="ru-RU"/>
              </w:rPr>
              <w:t>19</w:t>
            </w:r>
          </w:p>
        </w:tc>
        <w:tc>
          <w:tcPr>
            <w:tcW w:w="610" w:type="pct"/>
            <w:shd w:val="clear" w:color="auto" w:fill="FFFFFF"/>
            <w:vAlign w:val="center"/>
          </w:tcPr>
          <w:p w:rsidR="002D1E45" w:rsidRPr="005C4186" w:rsidRDefault="002D1E45" w:rsidP="005C4186">
            <w:pPr>
              <w:spacing w:after="0" w:line="240" w:lineRule="auto"/>
              <w:ind w:left="28" w:right="28"/>
              <w:jc w:val="center"/>
              <w:rPr>
                <w:rFonts w:ascii="Times New Roman" w:hAnsi="Times New Roman"/>
                <w:lang w:eastAsia="ru-RU"/>
              </w:rPr>
            </w:pPr>
            <w:r w:rsidRPr="005C4186">
              <w:rPr>
                <w:rFonts w:ascii="Times New Roman" w:hAnsi="Times New Roman"/>
                <w:color w:val="000000"/>
                <w:lang w:eastAsia="ru-RU"/>
              </w:rPr>
              <w:t>97,85</w:t>
            </w:r>
          </w:p>
        </w:tc>
      </w:tr>
    </w:tbl>
    <w:p w:rsidR="002D1E45" w:rsidRDefault="002D1E45" w:rsidP="00571270">
      <w:pPr>
        <w:spacing w:after="0" w:line="240" w:lineRule="auto"/>
        <w:ind w:firstLine="709"/>
        <w:jc w:val="both"/>
        <w:rPr>
          <w:rFonts w:ascii="Times New Roman" w:hAnsi="Times New Roman"/>
          <w:sz w:val="28"/>
          <w:szCs w:val="24"/>
          <w:lang w:eastAsia="ru-RU"/>
        </w:rPr>
      </w:pPr>
    </w:p>
    <w:p w:rsidR="002D1E45" w:rsidRPr="00532B2A" w:rsidRDefault="002D1E45" w:rsidP="00532B2A">
      <w:pPr>
        <w:spacing w:after="0" w:line="240" w:lineRule="auto"/>
        <w:ind w:firstLine="709"/>
        <w:jc w:val="both"/>
        <w:rPr>
          <w:rFonts w:ascii="Times New Roman" w:hAnsi="Times New Roman"/>
          <w:sz w:val="28"/>
          <w:szCs w:val="24"/>
        </w:rPr>
      </w:pPr>
      <w:r w:rsidRPr="00532B2A">
        <w:rPr>
          <w:rFonts w:ascii="Times New Roman" w:hAnsi="Times New Roman"/>
          <w:sz w:val="28"/>
          <w:szCs w:val="24"/>
        </w:rPr>
        <w:t>Приоритетными заболеваниями всего населения района являются заболевания органов дыхания (27,41 %), травмы и</w:t>
      </w:r>
      <w:r>
        <w:rPr>
          <w:rFonts w:ascii="Times New Roman" w:hAnsi="Times New Roman"/>
          <w:sz w:val="28"/>
          <w:szCs w:val="24"/>
        </w:rPr>
        <w:t> </w:t>
      </w:r>
      <w:r w:rsidRPr="00532B2A">
        <w:rPr>
          <w:rFonts w:ascii="Times New Roman" w:hAnsi="Times New Roman"/>
          <w:sz w:val="28"/>
          <w:szCs w:val="24"/>
        </w:rPr>
        <w:t>отравления (6,33 %), болезни органов пищеварения (6,52 %), инфекционные и</w:t>
      </w:r>
      <w:r>
        <w:rPr>
          <w:rFonts w:ascii="Times New Roman" w:hAnsi="Times New Roman"/>
          <w:sz w:val="28"/>
          <w:szCs w:val="24"/>
        </w:rPr>
        <w:t> </w:t>
      </w:r>
      <w:r w:rsidRPr="00532B2A">
        <w:rPr>
          <w:rFonts w:ascii="Times New Roman" w:hAnsi="Times New Roman"/>
          <w:sz w:val="28"/>
          <w:szCs w:val="24"/>
        </w:rPr>
        <w:t>паразитарные болезни (5,87 %), болезни глаз (5,51 %), болезни системы кровообращения (8,30 %), болезни костно-мышечной системы (8,36 %), болезни мочеполовой системы (8,77 %).</w:t>
      </w:r>
    </w:p>
    <w:p w:rsidR="002D1E45" w:rsidRPr="00532B2A" w:rsidRDefault="002D1E45" w:rsidP="00532B2A">
      <w:pPr>
        <w:spacing w:after="0" w:line="240" w:lineRule="auto"/>
        <w:ind w:firstLine="709"/>
        <w:jc w:val="both"/>
        <w:rPr>
          <w:rFonts w:ascii="Times New Roman" w:hAnsi="Times New Roman"/>
          <w:sz w:val="28"/>
          <w:szCs w:val="24"/>
        </w:rPr>
      </w:pPr>
      <w:r w:rsidRPr="00532B2A">
        <w:rPr>
          <w:rFonts w:ascii="Times New Roman" w:hAnsi="Times New Roman"/>
          <w:sz w:val="28"/>
          <w:szCs w:val="24"/>
        </w:rPr>
        <w:t>Приоритетными заболеваниями среди детей являются заболевания органов дыхания (54,90 %), травмы и</w:t>
      </w:r>
      <w:r>
        <w:rPr>
          <w:rFonts w:ascii="Times New Roman" w:hAnsi="Times New Roman"/>
          <w:sz w:val="28"/>
          <w:szCs w:val="24"/>
        </w:rPr>
        <w:t> </w:t>
      </w:r>
      <w:r w:rsidRPr="00532B2A">
        <w:rPr>
          <w:rFonts w:ascii="Times New Roman" w:hAnsi="Times New Roman"/>
          <w:sz w:val="28"/>
          <w:szCs w:val="24"/>
        </w:rPr>
        <w:t>отравления (4,94 %), болезни органов пищеварения (5,52 %), инфекционные и</w:t>
      </w:r>
      <w:r>
        <w:rPr>
          <w:rFonts w:ascii="Times New Roman" w:hAnsi="Times New Roman"/>
          <w:sz w:val="28"/>
          <w:szCs w:val="24"/>
        </w:rPr>
        <w:t> </w:t>
      </w:r>
      <w:r w:rsidRPr="00532B2A">
        <w:rPr>
          <w:rFonts w:ascii="Times New Roman" w:hAnsi="Times New Roman"/>
          <w:sz w:val="28"/>
          <w:szCs w:val="24"/>
        </w:rPr>
        <w:t>паразитарные болезни (4,64 %), болезни глаз и</w:t>
      </w:r>
      <w:r>
        <w:rPr>
          <w:rFonts w:ascii="Times New Roman" w:hAnsi="Times New Roman"/>
          <w:sz w:val="28"/>
          <w:szCs w:val="24"/>
        </w:rPr>
        <w:t> </w:t>
      </w:r>
      <w:r w:rsidRPr="00532B2A">
        <w:rPr>
          <w:rFonts w:ascii="Times New Roman" w:hAnsi="Times New Roman"/>
          <w:sz w:val="28"/>
          <w:szCs w:val="24"/>
        </w:rPr>
        <w:t>его придаточного аппарата (4,98 %), болезни нервной системы (4,53 %), болезни кожи и</w:t>
      </w:r>
      <w:r>
        <w:rPr>
          <w:rFonts w:ascii="Times New Roman" w:hAnsi="Times New Roman"/>
          <w:sz w:val="28"/>
          <w:szCs w:val="24"/>
        </w:rPr>
        <w:t> </w:t>
      </w:r>
      <w:r w:rsidRPr="00532B2A">
        <w:rPr>
          <w:rFonts w:ascii="Times New Roman" w:hAnsi="Times New Roman"/>
          <w:sz w:val="28"/>
          <w:szCs w:val="24"/>
        </w:rPr>
        <w:t>подкожной клетчатки (4,35 %).</w:t>
      </w:r>
    </w:p>
    <w:p w:rsidR="002D1E45" w:rsidRPr="00532B2A" w:rsidRDefault="002D1E45" w:rsidP="00532B2A">
      <w:pPr>
        <w:spacing w:after="0" w:line="240" w:lineRule="auto"/>
        <w:ind w:firstLine="709"/>
        <w:jc w:val="both"/>
        <w:rPr>
          <w:rFonts w:ascii="Times New Roman" w:hAnsi="Times New Roman"/>
          <w:sz w:val="28"/>
          <w:szCs w:val="24"/>
        </w:rPr>
      </w:pPr>
      <w:r w:rsidRPr="00532B2A">
        <w:rPr>
          <w:rFonts w:ascii="Times New Roman" w:hAnsi="Times New Roman"/>
          <w:sz w:val="28"/>
          <w:szCs w:val="24"/>
        </w:rPr>
        <w:t>Приоритетными болезнями среди взрослого населения района являются болезни органов дыхания (12,12 %), травмы отравления (6,87 %), болезни органов пищеварения (6,98 %), психические расстройства (2,99 %), болезни системы кровообращения (12,47 %), инфекционные и</w:t>
      </w:r>
      <w:r>
        <w:rPr>
          <w:rFonts w:ascii="Times New Roman" w:hAnsi="Times New Roman"/>
          <w:sz w:val="28"/>
          <w:szCs w:val="24"/>
        </w:rPr>
        <w:t> </w:t>
      </w:r>
      <w:r w:rsidRPr="00532B2A">
        <w:rPr>
          <w:rFonts w:ascii="Times New Roman" w:hAnsi="Times New Roman"/>
          <w:sz w:val="28"/>
          <w:szCs w:val="24"/>
        </w:rPr>
        <w:t>паразитарные болезни (6,68 %), болезни глаза и</w:t>
      </w:r>
      <w:r>
        <w:rPr>
          <w:rFonts w:ascii="Times New Roman" w:hAnsi="Times New Roman"/>
          <w:sz w:val="28"/>
          <w:szCs w:val="24"/>
        </w:rPr>
        <w:t> </w:t>
      </w:r>
      <w:r w:rsidRPr="00532B2A">
        <w:rPr>
          <w:rFonts w:ascii="Times New Roman" w:hAnsi="Times New Roman"/>
          <w:sz w:val="28"/>
          <w:szCs w:val="24"/>
        </w:rPr>
        <w:t>его придаточного аппарата (5,55), болезни мочеполовой системы (11,98 %).</w:t>
      </w:r>
    </w:p>
    <w:p w:rsidR="002D1E45" w:rsidRPr="00532B2A" w:rsidRDefault="002D1E45" w:rsidP="00532B2A">
      <w:pPr>
        <w:spacing w:after="0" w:line="240" w:lineRule="auto"/>
        <w:ind w:firstLine="709"/>
        <w:jc w:val="both"/>
        <w:rPr>
          <w:rFonts w:ascii="Times New Roman" w:hAnsi="Times New Roman"/>
          <w:sz w:val="28"/>
          <w:szCs w:val="24"/>
        </w:rPr>
      </w:pPr>
      <w:r w:rsidRPr="00532B2A">
        <w:rPr>
          <w:rFonts w:ascii="Times New Roman" w:hAnsi="Times New Roman"/>
          <w:sz w:val="28"/>
          <w:szCs w:val="24"/>
        </w:rPr>
        <w:t>В целом показатели здоровья постепенно улучшаются за</w:t>
      </w:r>
      <w:r>
        <w:rPr>
          <w:rFonts w:ascii="Times New Roman" w:hAnsi="Times New Roman"/>
          <w:sz w:val="28"/>
          <w:szCs w:val="24"/>
        </w:rPr>
        <w:t> </w:t>
      </w:r>
      <w:r w:rsidRPr="00532B2A">
        <w:rPr>
          <w:rFonts w:ascii="Times New Roman" w:hAnsi="Times New Roman"/>
          <w:sz w:val="28"/>
          <w:szCs w:val="24"/>
        </w:rPr>
        <w:t>счёт приобретения современного диагностического оборудования, улучшения условий жизни населения.</w:t>
      </w:r>
    </w:p>
    <w:p w:rsidR="002D1E45" w:rsidRPr="00532B2A" w:rsidRDefault="002D1E45" w:rsidP="00532B2A">
      <w:pPr>
        <w:spacing w:after="0" w:line="240" w:lineRule="auto"/>
        <w:ind w:firstLine="709"/>
        <w:jc w:val="both"/>
        <w:rPr>
          <w:rFonts w:ascii="Times New Roman" w:hAnsi="Times New Roman"/>
          <w:sz w:val="28"/>
          <w:szCs w:val="24"/>
        </w:rPr>
      </w:pPr>
      <w:r w:rsidRPr="00532B2A">
        <w:rPr>
          <w:rFonts w:ascii="Times New Roman" w:hAnsi="Times New Roman"/>
          <w:sz w:val="28"/>
          <w:szCs w:val="24"/>
        </w:rPr>
        <w:t>Стремясь к</w:t>
      </w:r>
      <w:r>
        <w:rPr>
          <w:rFonts w:ascii="Times New Roman" w:hAnsi="Times New Roman"/>
          <w:sz w:val="28"/>
          <w:szCs w:val="24"/>
        </w:rPr>
        <w:t> </w:t>
      </w:r>
      <w:r w:rsidRPr="00532B2A">
        <w:rPr>
          <w:rFonts w:ascii="Times New Roman" w:hAnsi="Times New Roman"/>
          <w:sz w:val="28"/>
          <w:szCs w:val="24"/>
        </w:rPr>
        <w:t xml:space="preserve">обеспечению максимально комфортных условий проживания для каждого жителя </w:t>
      </w:r>
      <w:r>
        <w:rPr>
          <w:rFonts w:ascii="Times New Roman" w:hAnsi="Times New Roman"/>
          <w:sz w:val="28"/>
          <w:szCs w:val="24"/>
        </w:rPr>
        <w:t>г. Куйбышева</w:t>
      </w:r>
      <w:r w:rsidRPr="00532B2A">
        <w:rPr>
          <w:rFonts w:ascii="Times New Roman" w:hAnsi="Times New Roman"/>
          <w:sz w:val="28"/>
          <w:szCs w:val="24"/>
        </w:rPr>
        <w:t>, необходимо сосредоточиться на</w:t>
      </w:r>
      <w:r>
        <w:rPr>
          <w:rFonts w:ascii="Times New Roman" w:hAnsi="Times New Roman"/>
          <w:sz w:val="28"/>
          <w:szCs w:val="24"/>
        </w:rPr>
        <w:t> </w:t>
      </w:r>
      <w:r w:rsidRPr="00532B2A">
        <w:rPr>
          <w:rFonts w:ascii="Times New Roman" w:hAnsi="Times New Roman"/>
          <w:sz w:val="28"/>
          <w:szCs w:val="24"/>
        </w:rPr>
        <w:t>развитии современной, комплексной и</w:t>
      </w:r>
      <w:r>
        <w:rPr>
          <w:rFonts w:ascii="Times New Roman" w:hAnsi="Times New Roman"/>
          <w:sz w:val="28"/>
          <w:szCs w:val="24"/>
        </w:rPr>
        <w:t> </w:t>
      </w:r>
      <w:r w:rsidRPr="00532B2A">
        <w:rPr>
          <w:rFonts w:ascii="Times New Roman" w:hAnsi="Times New Roman"/>
          <w:sz w:val="28"/>
          <w:szCs w:val="24"/>
        </w:rPr>
        <w:t>интегрированной системы охраны здоровья, организованной в</w:t>
      </w:r>
      <w:r>
        <w:rPr>
          <w:rFonts w:ascii="Times New Roman" w:hAnsi="Times New Roman"/>
          <w:sz w:val="28"/>
          <w:szCs w:val="24"/>
        </w:rPr>
        <w:t> </w:t>
      </w:r>
      <w:r w:rsidRPr="00532B2A">
        <w:rPr>
          <w:rFonts w:ascii="Times New Roman" w:hAnsi="Times New Roman"/>
          <w:sz w:val="28"/>
          <w:szCs w:val="24"/>
        </w:rPr>
        <w:t>единый многофункциональный медицинский кластер, управляемой в</w:t>
      </w:r>
      <w:r>
        <w:rPr>
          <w:rFonts w:ascii="Times New Roman" w:hAnsi="Times New Roman"/>
          <w:sz w:val="28"/>
          <w:szCs w:val="24"/>
        </w:rPr>
        <w:t> </w:t>
      </w:r>
      <w:r w:rsidRPr="00532B2A">
        <w:rPr>
          <w:rFonts w:ascii="Times New Roman" w:hAnsi="Times New Roman"/>
          <w:sz w:val="28"/>
          <w:szCs w:val="24"/>
        </w:rPr>
        <w:t>соответствии с</w:t>
      </w:r>
      <w:r>
        <w:rPr>
          <w:rFonts w:ascii="Times New Roman" w:hAnsi="Times New Roman"/>
          <w:sz w:val="28"/>
          <w:szCs w:val="24"/>
        </w:rPr>
        <w:t> </w:t>
      </w:r>
      <w:r w:rsidRPr="00532B2A">
        <w:rPr>
          <w:rFonts w:ascii="Times New Roman" w:hAnsi="Times New Roman"/>
          <w:sz w:val="28"/>
          <w:szCs w:val="24"/>
        </w:rPr>
        <w:t>мировыми стандартами. Эта система позволит удовлетворить потребности существующих и</w:t>
      </w:r>
      <w:r>
        <w:rPr>
          <w:rFonts w:ascii="Times New Roman" w:hAnsi="Times New Roman"/>
          <w:sz w:val="28"/>
          <w:szCs w:val="24"/>
        </w:rPr>
        <w:t> </w:t>
      </w:r>
      <w:r w:rsidRPr="00532B2A">
        <w:rPr>
          <w:rFonts w:ascii="Times New Roman" w:hAnsi="Times New Roman"/>
          <w:sz w:val="28"/>
          <w:szCs w:val="24"/>
        </w:rPr>
        <w:t>будущих поколений и</w:t>
      </w:r>
      <w:r>
        <w:rPr>
          <w:rFonts w:ascii="Times New Roman" w:hAnsi="Times New Roman"/>
          <w:sz w:val="28"/>
          <w:szCs w:val="24"/>
        </w:rPr>
        <w:t> </w:t>
      </w:r>
      <w:r w:rsidRPr="00532B2A">
        <w:rPr>
          <w:rFonts w:ascii="Times New Roman" w:hAnsi="Times New Roman"/>
          <w:sz w:val="28"/>
          <w:szCs w:val="24"/>
        </w:rPr>
        <w:t>обеспечит более здоровую и</w:t>
      </w:r>
      <w:r>
        <w:rPr>
          <w:rFonts w:ascii="Times New Roman" w:hAnsi="Times New Roman"/>
          <w:sz w:val="28"/>
          <w:szCs w:val="24"/>
        </w:rPr>
        <w:t> </w:t>
      </w:r>
      <w:r w:rsidRPr="00532B2A">
        <w:rPr>
          <w:rFonts w:ascii="Times New Roman" w:hAnsi="Times New Roman"/>
          <w:sz w:val="28"/>
          <w:szCs w:val="24"/>
        </w:rPr>
        <w:t>длительную жизнь для всех жителей.</w:t>
      </w:r>
    </w:p>
    <w:p w:rsidR="002D1E45" w:rsidRDefault="002D1E45" w:rsidP="00532B2A">
      <w:pPr>
        <w:spacing w:after="0" w:line="240" w:lineRule="auto"/>
        <w:ind w:firstLine="709"/>
        <w:jc w:val="both"/>
        <w:rPr>
          <w:rFonts w:ascii="Times New Roman" w:hAnsi="Times New Roman"/>
          <w:sz w:val="28"/>
          <w:szCs w:val="24"/>
        </w:rPr>
      </w:pPr>
      <w:r w:rsidRPr="00532B2A">
        <w:rPr>
          <w:rFonts w:ascii="Times New Roman" w:hAnsi="Times New Roman"/>
          <w:sz w:val="28"/>
          <w:szCs w:val="24"/>
        </w:rPr>
        <w:t>Дальнейшее развитие сферы здравоохранения в</w:t>
      </w:r>
      <w:r>
        <w:rPr>
          <w:rFonts w:ascii="Times New Roman" w:hAnsi="Times New Roman"/>
          <w:sz w:val="28"/>
          <w:szCs w:val="24"/>
        </w:rPr>
        <w:t> </w:t>
      </w:r>
      <w:r w:rsidRPr="00532B2A">
        <w:rPr>
          <w:rFonts w:ascii="Times New Roman" w:hAnsi="Times New Roman"/>
          <w:sz w:val="28"/>
          <w:szCs w:val="24"/>
        </w:rPr>
        <w:t>районе должно осуществляться, прежде всего, за</w:t>
      </w:r>
      <w:r>
        <w:rPr>
          <w:rFonts w:ascii="Times New Roman" w:hAnsi="Times New Roman"/>
          <w:sz w:val="28"/>
          <w:szCs w:val="24"/>
        </w:rPr>
        <w:t> </w:t>
      </w:r>
      <w:r w:rsidRPr="00532B2A">
        <w:rPr>
          <w:rFonts w:ascii="Times New Roman" w:hAnsi="Times New Roman"/>
          <w:sz w:val="28"/>
          <w:szCs w:val="24"/>
        </w:rPr>
        <w:t>счёт обеспечения укомплектованности всех учреждений медицинским персоналом. Работа самого здравоохранения района должна быть направлена на</w:t>
      </w:r>
      <w:r>
        <w:rPr>
          <w:rFonts w:ascii="Times New Roman" w:hAnsi="Times New Roman"/>
          <w:sz w:val="28"/>
          <w:szCs w:val="24"/>
        </w:rPr>
        <w:t> </w:t>
      </w:r>
      <w:r w:rsidRPr="00532B2A">
        <w:rPr>
          <w:rFonts w:ascii="Times New Roman" w:hAnsi="Times New Roman"/>
          <w:sz w:val="28"/>
          <w:szCs w:val="24"/>
        </w:rPr>
        <w:t>эффективную профилактику заболеваний, сокращение сроков восстановления утраченного здоровья людей путём широкого внедрения в</w:t>
      </w:r>
      <w:r>
        <w:rPr>
          <w:rFonts w:ascii="Times New Roman" w:hAnsi="Times New Roman"/>
          <w:sz w:val="28"/>
          <w:szCs w:val="24"/>
        </w:rPr>
        <w:t> </w:t>
      </w:r>
      <w:r w:rsidRPr="00532B2A">
        <w:rPr>
          <w:rFonts w:ascii="Times New Roman" w:hAnsi="Times New Roman"/>
          <w:sz w:val="28"/>
          <w:szCs w:val="24"/>
        </w:rPr>
        <w:t>медицинскую практику современных методов диагностики и</w:t>
      </w:r>
      <w:r>
        <w:rPr>
          <w:rFonts w:ascii="Times New Roman" w:hAnsi="Times New Roman"/>
          <w:sz w:val="28"/>
          <w:szCs w:val="24"/>
        </w:rPr>
        <w:t> </w:t>
      </w:r>
      <w:r w:rsidRPr="00532B2A">
        <w:rPr>
          <w:rFonts w:ascii="Times New Roman" w:hAnsi="Times New Roman"/>
          <w:sz w:val="28"/>
          <w:szCs w:val="24"/>
        </w:rPr>
        <w:t>лечения.</w:t>
      </w:r>
    </w:p>
    <w:p w:rsidR="002D1E45" w:rsidRDefault="002D1E45" w:rsidP="004F661A">
      <w:pPr>
        <w:spacing w:after="0" w:line="240" w:lineRule="auto"/>
        <w:ind w:firstLine="709"/>
        <w:jc w:val="both"/>
        <w:rPr>
          <w:rFonts w:ascii="Times New Roman" w:hAnsi="Times New Roman"/>
          <w:sz w:val="28"/>
          <w:szCs w:val="24"/>
          <w:lang w:eastAsia="ru-RU"/>
        </w:rPr>
      </w:pPr>
      <w:r w:rsidRPr="004F661A">
        <w:rPr>
          <w:rFonts w:ascii="Times New Roman" w:hAnsi="Times New Roman"/>
          <w:sz w:val="28"/>
          <w:szCs w:val="24"/>
          <w:lang w:eastAsia="ru-RU"/>
        </w:rPr>
        <w:t xml:space="preserve">Для улучшения медицинского обслуживания населения разработана </w:t>
      </w:r>
      <w:r w:rsidRPr="00021C6A">
        <w:rPr>
          <w:rFonts w:ascii="Times New Roman" w:hAnsi="Times New Roman"/>
          <w:sz w:val="28"/>
          <w:szCs w:val="24"/>
          <w:lang w:eastAsia="ru-RU"/>
        </w:rPr>
        <w:t>Государственная программа «</w:t>
      </w:r>
      <w:r w:rsidRPr="005C4186">
        <w:rPr>
          <w:rFonts w:ascii="Times New Roman" w:hAnsi="Times New Roman"/>
          <w:sz w:val="28"/>
          <w:szCs w:val="24"/>
          <w:lang w:eastAsia="ru-RU"/>
        </w:rPr>
        <w:t>Развитие здравоохранения Новосибирской области</w:t>
      </w:r>
      <w:r w:rsidRPr="00021C6A">
        <w:rPr>
          <w:rFonts w:ascii="Times New Roman" w:hAnsi="Times New Roman"/>
          <w:sz w:val="28"/>
          <w:szCs w:val="24"/>
          <w:lang w:eastAsia="ru-RU"/>
        </w:rPr>
        <w:t>»</w:t>
      </w:r>
      <w:r w:rsidRPr="004F661A">
        <w:rPr>
          <w:rFonts w:ascii="Times New Roman" w:hAnsi="Times New Roman"/>
          <w:sz w:val="28"/>
          <w:szCs w:val="24"/>
          <w:lang w:eastAsia="ru-RU"/>
        </w:rPr>
        <w:t>. В</w:t>
      </w:r>
      <w:r>
        <w:rPr>
          <w:rFonts w:ascii="Times New Roman" w:hAnsi="Times New Roman"/>
          <w:sz w:val="28"/>
          <w:szCs w:val="24"/>
          <w:lang w:eastAsia="ru-RU"/>
        </w:rPr>
        <w:t> </w:t>
      </w:r>
      <w:r w:rsidRPr="004F661A">
        <w:rPr>
          <w:rFonts w:ascii="Times New Roman" w:hAnsi="Times New Roman"/>
          <w:sz w:val="28"/>
          <w:szCs w:val="24"/>
          <w:lang w:eastAsia="ru-RU"/>
        </w:rPr>
        <w:t>настоящее время идёт её реализация.</w:t>
      </w:r>
    </w:p>
    <w:p w:rsidR="002D1E45" w:rsidRPr="004F661A" w:rsidRDefault="002D1E45" w:rsidP="004F661A">
      <w:pPr>
        <w:spacing w:after="0" w:line="240" w:lineRule="auto"/>
        <w:ind w:firstLine="709"/>
        <w:jc w:val="both"/>
        <w:rPr>
          <w:rFonts w:ascii="Times New Roman" w:hAnsi="Times New Roman"/>
          <w:sz w:val="28"/>
          <w:szCs w:val="24"/>
          <w:lang w:eastAsia="ru-RU"/>
        </w:rPr>
      </w:pPr>
      <w:r w:rsidRPr="004F661A">
        <w:rPr>
          <w:rFonts w:ascii="Times New Roman" w:hAnsi="Times New Roman"/>
          <w:sz w:val="28"/>
          <w:szCs w:val="24"/>
          <w:lang w:eastAsia="ru-RU"/>
        </w:rPr>
        <w:t xml:space="preserve"> </w:t>
      </w:r>
    </w:p>
    <w:p w:rsidR="002D1E45" w:rsidRPr="005D28B1" w:rsidRDefault="002D1E45" w:rsidP="005D28B1">
      <w:pPr>
        <w:spacing w:after="0" w:line="240" w:lineRule="auto"/>
        <w:ind w:firstLine="709"/>
        <w:jc w:val="both"/>
        <w:rPr>
          <w:rFonts w:ascii="Times New Roman" w:hAnsi="Times New Roman"/>
          <w:i/>
          <w:sz w:val="28"/>
          <w:szCs w:val="24"/>
          <w:u w:val="single"/>
          <w:lang w:eastAsia="ru-RU"/>
        </w:rPr>
      </w:pPr>
      <w:r w:rsidRPr="008D770F">
        <w:rPr>
          <w:rFonts w:ascii="Times New Roman" w:hAnsi="Times New Roman"/>
          <w:i/>
          <w:sz w:val="28"/>
          <w:szCs w:val="24"/>
          <w:u w:val="single"/>
          <w:lang w:eastAsia="ru-RU"/>
        </w:rPr>
        <w:t>Культура</w:t>
      </w:r>
    </w:p>
    <w:p w:rsidR="002D1E45" w:rsidRPr="005D28B1" w:rsidRDefault="002D1E45" w:rsidP="005D28B1">
      <w:pPr>
        <w:spacing w:after="0" w:line="240" w:lineRule="auto"/>
        <w:ind w:firstLine="709"/>
        <w:jc w:val="both"/>
        <w:rPr>
          <w:rFonts w:ascii="Times New Roman" w:hAnsi="Times New Roman"/>
          <w:sz w:val="28"/>
          <w:szCs w:val="24"/>
          <w:lang w:eastAsia="ru-RU"/>
        </w:rPr>
      </w:pPr>
      <w:r w:rsidRPr="005D28B1">
        <w:rPr>
          <w:rFonts w:ascii="Times New Roman" w:hAnsi="Times New Roman"/>
          <w:sz w:val="28"/>
          <w:szCs w:val="24"/>
          <w:lang w:eastAsia="ru-RU"/>
        </w:rPr>
        <w:t>Уровень качества жизни определяется также доступностью населения к</w:t>
      </w:r>
      <w:r>
        <w:rPr>
          <w:rFonts w:ascii="Times New Roman" w:hAnsi="Times New Roman"/>
          <w:sz w:val="28"/>
          <w:szCs w:val="24"/>
          <w:lang w:eastAsia="ru-RU"/>
        </w:rPr>
        <w:t> </w:t>
      </w:r>
      <w:r w:rsidRPr="005D28B1">
        <w:rPr>
          <w:rFonts w:ascii="Times New Roman" w:hAnsi="Times New Roman"/>
          <w:sz w:val="28"/>
          <w:szCs w:val="24"/>
          <w:lang w:eastAsia="ru-RU"/>
        </w:rPr>
        <w:t>культурным ценностям, наличием возможностей для культурного досуга, занятий творчеством и</w:t>
      </w:r>
      <w:r>
        <w:rPr>
          <w:rFonts w:ascii="Times New Roman" w:hAnsi="Times New Roman"/>
          <w:sz w:val="28"/>
          <w:szCs w:val="24"/>
          <w:lang w:eastAsia="ru-RU"/>
        </w:rPr>
        <w:t> </w:t>
      </w:r>
      <w:r w:rsidRPr="005D28B1">
        <w:rPr>
          <w:rFonts w:ascii="Times New Roman" w:hAnsi="Times New Roman"/>
          <w:sz w:val="28"/>
          <w:szCs w:val="24"/>
          <w:lang w:eastAsia="ru-RU"/>
        </w:rPr>
        <w:t xml:space="preserve">спортом. </w:t>
      </w:r>
    </w:p>
    <w:p w:rsidR="002D1E45" w:rsidRPr="005D28B1" w:rsidRDefault="002D1E45" w:rsidP="005D28B1">
      <w:pPr>
        <w:spacing w:after="0" w:line="240" w:lineRule="auto"/>
        <w:ind w:firstLine="709"/>
        <w:jc w:val="both"/>
        <w:rPr>
          <w:rFonts w:ascii="Times New Roman" w:hAnsi="Times New Roman"/>
          <w:sz w:val="28"/>
          <w:szCs w:val="24"/>
          <w:lang w:eastAsia="ru-RU"/>
        </w:rPr>
      </w:pPr>
      <w:r w:rsidRPr="005D28B1">
        <w:rPr>
          <w:rFonts w:ascii="Times New Roman" w:hAnsi="Times New Roman"/>
          <w:sz w:val="28"/>
          <w:szCs w:val="24"/>
          <w:lang w:eastAsia="ru-RU"/>
        </w:rPr>
        <w:t>В последние годы большой интерес общества обращён к</w:t>
      </w:r>
      <w:r>
        <w:rPr>
          <w:rFonts w:ascii="Times New Roman" w:hAnsi="Times New Roman"/>
          <w:sz w:val="28"/>
          <w:szCs w:val="24"/>
          <w:lang w:eastAsia="ru-RU"/>
        </w:rPr>
        <w:t> </w:t>
      </w:r>
      <w:r w:rsidRPr="005D28B1">
        <w:rPr>
          <w:rFonts w:ascii="Times New Roman" w:hAnsi="Times New Roman"/>
          <w:sz w:val="28"/>
          <w:szCs w:val="24"/>
          <w:lang w:eastAsia="ru-RU"/>
        </w:rPr>
        <w:t>истокам традиционной народной культуры и</w:t>
      </w:r>
      <w:r>
        <w:rPr>
          <w:rFonts w:ascii="Times New Roman" w:hAnsi="Times New Roman"/>
          <w:sz w:val="28"/>
          <w:szCs w:val="24"/>
          <w:lang w:eastAsia="ru-RU"/>
        </w:rPr>
        <w:t> </w:t>
      </w:r>
      <w:r w:rsidRPr="005D28B1">
        <w:rPr>
          <w:rFonts w:ascii="Times New Roman" w:hAnsi="Times New Roman"/>
          <w:sz w:val="28"/>
          <w:szCs w:val="24"/>
          <w:lang w:eastAsia="ru-RU"/>
        </w:rPr>
        <w:t>любительскому искусству как фактору сохранения единого культурного пространства в</w:t>
      </w:r>
      <w:r>
        <w:rPr>
          <w:rFonts w:ascii="Times New Roman" w:hAnsi="Times New Roman"/>
          <w:sz w:val="28"/>
          <w:szCs w:val="24"/>
          <w:lang w:eastAsia="ru-RU"/>
        </w:rPr>
        <w:t> Куйбышевском районе</w:t>
      </w:r>
      <w:r w:rsidRPr="005D28B1">
        <w:rPr>
          <w:rFonts w:ascii="Times New Roman" w:hAnsi="Times New Roman"/>
          <w:sz w:val="28"/>
          <w:szCs w:val="24"/>
          <w:lang w:eastAsia="ru-RU"/>
        </w:rPr>
        <w:t>. Учреждения культурно-досугового типа удовлетворяют широкий диапазон запросов и</w:t>
      </w:r>
      <w:r>
        <w:rPr>
          <w:rFonts w:ascii="Times New Roman" w:hAnsi="Times New Roman"/>
          <w:sz w:val="28"/>
          <w:szCs w:val="24"/>
          <w:lang w:eastAsia="ru-RU"/>
        </w:rPr>
        <w:t> </w:t>
      </w:r>
      <w:r w:rsidRPr="005D28B1">
        <w:rPr>
          <w:rFonts w:ascii="Times New Roman" w:hAnsi="Times New Roman"/>
          <w:sz w:val="28"/>
          <w:szCs w:val="24"/>
          <w:lang w:eastAsia="ru-RU"/>
        </w:rPr>
        <w:t>нужд населения в</w:t>
      </w:r>
      <w:r>
        <w:rPr>
          <w:rFonts w:ascii="Times New Roman" w:hAnsi="Times New Roman"/>
          <w:sz w:val="28"/>
          <w:szCs w:val="24"/>
          <w:lang w:eastAsia="ru-RU"/>
        </w:rPr>
        <w:t> </w:t>
      </w:r>
      <w:r w:rsidRPr="005D28B1">
        <w:rPr>
          <w:rFonts w:ascii="Times New Roman" w:hAnsi="Times New Roman"/>
          <w:sz w:val="28"/>
          <w:szCs w:val="24"/>
          <w:lang w:eastAsia="ru-RU"/>
        </w:rPr>
        <w:t>сфере культуры, способствуют полноценной реализации конституционных прав граждан на</w:t>
      </w:r>
      <w:r>
        <w:rPr>
          <w:rFonts w:ascii="Times New Roman" w:hAnsi="Times New Roman"/>
          <w:sz w:val="28"/>
          <w:szCs w:val="24"/>
          <w:lang w:eastAsia="ru-RU"/>
        </w:rPr>
        <w:t> </w:t>
      </w:r>
      <w:r w:rsidRPr="005D28B1">
        <w:rPr>
          <w:rFonts w:ascii="Times New Roman" w:hAnsi="Times New Roman"/>
          <w:sz w:val="28"/>
          <w:szCs w:val="24"/>
          <w:lang w:eastAsia="ru-RU"/>
        </w:rPr>
        <w:t>участие в</w:t>
      </w:r>
      <w:r>
        <w:rPr>
          <w:rFonts w:ascii="Times New Roman" w:hAnsi="Times New Roman"/>
          <w:sz w:val="28"/>
          <w:szCs w:val="24"/>
          <w:lang w:eastAsia="ru-RU"/>
        </w:rPr>
        <w:t> </w:t>
      </w:r>
      <w:r w:rsidRPr="005D28B1">
        <w:rPr>
          <w:rFonts w:ascii="Times New Roman" w:hAnsi="Times New Roman"/>
          <w:sz w:val="28"/>
          <w:szCs w:val="24"/>
          <w:lang w:eastAsia="ru-RU"/>
        </w:rPr>
        <w:t>культурной жизни и</w:t>
      </w:r>
      <w:r>
        <w:rPr>
          <w:rFonts w:ascii="Times New Roman" w:hAnsi="Times New Roman"/>
          <w:sz w:val="28"/>
          <w:szCs w:val="24"/>
          <w:lang w:eastAsia="ru-RU"/>
        </w:rPr>
        <w:t> </w:t>
      </w:r>
      <w:r w:rsidRPr="005D28B1">
        <w:rPr>
          <w:rFonts w:ascii="Times New Roman" w:hAnsi="Times New Roman"/>
          <w:sz w:val="28"/>
          <w:szCs w:val="24"/>
          <w:lang w:eastAsia="ru-RU"/>
        </w:rPr>
        <w:t>пользование учреждениями культуры.</w:t>
      </w:r>
    </w:p>
    <w:p w:rsidR="002D1E45" w:rsidRPr="00640D8C" w:rsidRDefault="002D1E45" w:rsidP="00A92168">
      <w:pPr>
        <w:spacing w:after="0" w:line="240" w:lineRule="auto"/>
        <w:ind w:firstLine="709"/>
        <w:jc w:val="both"/>
        <w:rPr>
          <w:rFonts w:ascii="Times New Roman" w:hAnsi="Times New Roman"/>
          <w:sz w:val="28"/>
          <w:szCs w:val="24"/>
          <w:lang w:eastAsia="ru-RU"/>
        </w:rPr>
      </w:pPr>
      <w:r w:rsidRPr="00640D8C">
        <w:rPr>
          <w:rFonts w:ascii="Times New Roman" w:hAnsi="Times New Roman"/>
          <w:sz w:val="28"/>
          <w:szCs w:val="24"/>
          <w:lang w:eastAsia="ru-RU"/>
        </w:rPr>
        <w:t>Организация культурного досуга и</w:t>
      </w:r>
      <w:r>
        <w:rPr>
          <w:rFonts w:ascii="Times New Roman" w:hAnsi="Times New Roman"/>
          <w:sz w:val="28"/>
          <w:szCs w:val="24"/>
          <w:lang w:eastAsia="ru-RU"/>
        </w:rPr>
        <w:t> </w:t>
      </w:r>
      <w:r w:rsidRPr="00640D8C">
        <w:rPr>
          <w:rFonts w:ascii="Times New Roman" w:hAnsi="Times New Roman"/>
          <w:sz w:val="28"/>
          <w:szCs w:val="24"/>
          <w:lang w:eastAsia="ru-RU"/>
        </w:rPr>
        <w:t>отдыха на</w:t>
      </w:r>
      <w:r>
        <w:rPr>
          <w:rFonts w:ascii="Times New Roman" w:hAnsi="Times New Roman"/>
          <w:sz w:val="28"/>
          <w:szCs w:val="24"/>
          <w:lang w:eastAsia="ru-RU"/>
        </w:rPr>
        <w:t> </w:t>
      </w:r>
      <w:r w:rsidRPr="00640D8C">
        <w:rPr>
          <w:rFonts w:ascii="Times New Roman" w:hAnsi="Times New Roman"/>
          <w:sz w:val="28"/>
          <w:szCs w:val="24"/>
          <w:lang w:eastAsia="ru-RU"/>
        </w:rPr>
        <w:t>территории поселения возложена на </w:t>
      </w:r>
      <w:r>
        <w:rPr>
          <w:rFonts w:ascii="Times New Roman" w:hAnsi="Times New Roman"/>
          <w:sz w:val="28"/>
          <w:szCs w:val="24"/>
          <w:lang w:eastAsia="ru-RU"/>
        </w:rPr>
        <w:t>МБУК</w:t>
      </w:r>
      <w:r w:rsidRPr="00A92168">
        <w:rPr>
          <w:rFonts w:ascii="Times New Roman" w:hAnsi="Times New Roman"/>
          <w:sz w:val="28"/>
          <w:szCs w:val="24"/>
          <w:lang w:eastAsia="ru-RU"/>
        </w:rPr>
        <w:t xml:space="preserve"> города Куйбышева</w:t>
      </w:r>
      <w:r>
        <w:rPr>
          <w:rFonts w:ascii="Times New Roman" w:hAnsi="Times New Roman"/>
          <w:sz w:val="28"/>
          <w:szCs w:val="24"/>
          <w:lang w:eastAsia="ru-RU"/>
        </w:rPr>
        <w:t xml:space="preserve"> </w:t>
      </w:r>
      <w:r w:rsidRPr="00A92168">
        <w:rPr>
          <w:rFonts w:ascii="Times New Roman" w:hAnsi="Times New Roman"/>
          <w:sz w:val="28"/>
          <w:szCs w:val="24"/>
          <w:lang w:eastAsia="ru-RU"/>
        </w:rPr>
        <w:t>Куйбышевского района Новосибирской области «Культурно-досуговый</w:t>
      </w:r>
      <w:r>
        <w:rPr>
          <w:rFonts w:ascii="Times New Roman" w:hAnsi="Times New Roman"/>
          <w:sz w:val="28"/>
          <w:szCs w:val="24"/>
          <w:lang w:eastAsia="ru-RU"/>
        </w:rPr>
        <w:t xml:space="preserve"> </w:t>
      </w:r>
      <w:r w:rsidRPr="00A92168">
        <w:rPr>
          <w:rFonts w:ascii="Times New Roman" w:hAnsi="Times New Roman"/>
          <w:sz w:val="28"/>
          <w:szCs w:val="24"/>
          <w:lang w:eastAsia="ru-RU"/>
        </w:rPr>
        <w:t>комплекс»</w:t>
      </w:r>
      <w:r w:rsidRPr="00640D8C">
        <w:rPr>
          <w:rFonts w:ascii="Times New Roman" w:hAnsi="Times New Roman"/>
          <w:sz w:val="28"/>
          <w:szCs w:val="24"/>
          <w:lang w:eastAsia="ru-RU"/>
        </w:rPr>
        <w:t>.</w:t>
      </w:r>
    </w:p>
    <w:p w:rsidR="002D1E45" w:rsidRPr="006B5B02" w:rsidRDefault="002D1E45" w:rsidP="006B5B02">
      <w:pPr>
        <w:spacing w:after="0" w:line="240" w:lineRule="auto"/>
        <w:ind w:firstLine="709"/>
        <w:jc w:val="both"/>
        <w:rPr>
          <w:rFonts w:ascii="Times New Roman" w:hAnsi="Times New Roman"/>
          <w:sz w:val="28"/>
          <w:szCs w:val="24"/>
          <w:lang w:eastAsia="ru-RU"/>
        </w:rPr>
      </w:pPr>
      <w:r w:rsidRPr="006B5B02">
        <w:rPr>
          <w:rFonts w:ascii="Times New Roman" w:hAnsi="Times New Roman"/>
          <w:sz w:val="28"/>
          <w:szCs w:val="24"/>
          <w:lang w:eastAsia="ru-RU"/>
        </w:rPr>
        <w:t>В поселении отмечается устойчивая тенденция к росту востребованности в услугах культуры. Увеличивается количество проводимых мероприятий и клубных формирований, расширяется круг партнёрства. Среди населения стали популярны социально значимые формы мероприятий, такие как День единства, День Победы, День защиты детей, День молодёжи. Для молодёжи и детей школьного возраста еженедельно проводятся дискотеки. Жители поселения активно участвуют в районных творческих конкурсах.</w:t>
      </w:r>
    </w:p>
    <w:p w:rsidR="002D1E45" w:rsidRPr="001D4B4C" w:rsidRDefault="002D1E45" w:rsidP="001D4B4C">
      <w:pPr>
        <w:shd w:val="clear" w:color="auto" w:fill="FFFFFF"/>
        <w:spacing w:after="0" w:line="240" w:lineRule="auto"/>
        <w:jc w:val="right"/>
        <w:rPr>
          <w:rFonts w:ascii="Arial" w:hAnsi="Arial" w:cs="Arial"/>
          <w:sz w:val="28"/>
          <w:szCs w:val="28"/>
          <w:lang w:eastAsia="ru-RU"/>
        </w:rPr>
      </w:pPr>
      <w:r w:rsidRPr="001D4B4C">
        <w:rPr>
          <w:rFonts w:ascii="Times New Roman" w:hAnsi="Times New Roman"/>
          <w:sz w:val="28"/>
          <w:szCs w:val="28"/>
          <w:lang w:eastAsia="ru-RU"/>
        </w:rPr>
        <w:t>Таблица 22</w:t>
      </w:r>
    </w:p>
    <w:p w:rsidR="002D1E45" w:rsidRDefault="002D1E45" w:rsidP="001D4B4C">
      <w:pPr>
        <w:shd w:val="clear" w:color="auto" w:fill="FFFFFF"/>
        <w:spacing w:after="120" w:line="240" w:lineRule="auto"/>
        <w:jc w:val="center"/>
        <w:rPr>
          <w:rFonts w:ascii="Times New Roman" w:hAnsi="Times New Roman"/>
          <w:sz w:val="28"/>
          <w:szCs w:val="28"/>
          <w:lang w:eastAsia="ru-RU"/>
        </w:rPr>
      </w:pPr>
      <w:r w:rsidRPr="001D4B4C">
        <w:rPr>
          <w:rFonts w:ascii="Times New Roman" w:hAnsi="Times New Roman"/>
          <w:sz w:val="28"/>
          <w:szCs w:val="28"/>
          <w:lang w:eastAsia="ru-RU"/>
        </w:rPr>
        <w:t>Перечень действующих объектов культурно-досугового назначения</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3964"/>
        <w:gridCol w:w="2453"/>
        <w:gridCol w:w="1951"/>
        <w:gridCol w:w="1521"/>
      </w:tblGrid>
      <w:tr w:rsidR="002D1E45" w:rsidRPr="00A92168" w:rsidTr="00AF2D3E">
        <w:trPr>
          <w:trHeight w:val="57"/>
          <w:jc w:val="center"/>
        </w:trPr>
        <w:tc>
          <w:tcPr>
            <w:tcW w:w="3964" w:type="dxa"/>
            <w:shd w:val="clear" w:color="auto" w:fill="FFFFFF"/>
            <w:vAlign w:val="center"/>
          </w:tcPr>
          <w:p w:rsidR="002D1E45" w:rsidRPr="00A92168" w:rsidRDefault="002D1E45" w:rsidP="00A92168">
            <w:pPr>
              <w:spacing w:after="0" w:line="240" w:lineRule="auto"/>
              <w:jc w:val="center"/>
              <w:rPr>
                <w:rFonts w:ascii="Times New Roman" w:hAnsi="Times New Roman"/>
                <w:lang w:eastAsia="ru-RU"/>
              </w:rPr>
            </w:pPr>
            <w:r w:rsidRPr="00A92168">
              <w:rPr>
                <w:rFonts w:ascii="Times New Roman" w:hAnsi="Times New Roman"/>
                <w:color w:val="000000"/>
                <w:lang w:eastAsia="ru-RU"/>
              </w:rPr>
              <w:t>Культурно</w:t>
            </w:r>
            <w:r>
              <w:rPr>
                <w:rFonts w:ascii="Times New Roman" w:hAnsi="Times New Roman"/>
                <w:color w:val="000000"/>
                <w:lang w:eastAsia="ru-RU"/>
              </w:rPr>
              <w:t>-</w:t>
            </w:r>
            <w:r w:rsidRPr="00A92168">
              <w:rPr>
                <w:rFonts w:ascii="Times New Roman" w:hAnsi="Times New Roman"/>
                <w:color w:val="000000"/>
                <w:lang w:eastAsia="ru-RU"/>
              </w:rPr>
              <w:t>досуговые учреждения</w:t>
            </w:r>
          </w:p>
        </w:tc>
        <w:tc>
          <w:tcPr>
            <w:tcW w:w="2453" w:type="dxa"/>
            <w:shd w:val="clear" w:color="auto" w:fill="FFFFFF"/>
            <w:vAlign w:val="center"/>
          </w:tcPr>
          <w:p w:rsidR="002D1E45" w:rsidRPr="00A92168" w:rsidRDefault="002D1E45" w:rsidP="00A92168">
            <w:pPr>
              <w:spacing w:after="0" w:line="240" w:lineRule="auto"/>
              <w:jc w:val="center"/>
              <w:rPr>
                <w:rFonts w:ascii="Times New Roman" w:hAnsi="Times New Roman"/>
                <w:lang w:eastAsia="ru-RU"/>
              </w:rPr>
            </w:pPr>
            <w:r w:rsidRPr="00A92168">
              <w:rPr>
                <w:rFonts w:ascii="Times New Roman" w:hAnsi="Times New Roman"/>
                <w:color w:val="000000"/>
                <w:lang w:eastAsia="ru-RU"/>
              </w:rPr>
              <w:t>Местонахождение</w:t>
            </w:r>
          </w:p>
        </w:tc>
        <w:tc>
          <w:tcPr>
            <w:tcW w:w="1951" w:type="dxa"/>
            <w:shd w:val="clear" w:color="auto" w:fill="FFFFFF"/>
            <w:vAlign w:val="center"/>
          </w:tcPr>
          <w:p w:rsidR="002D1E45" w:rsidRPr="00A92168" w:rsidRDefault="002D1E45" w:rsidP="00A92168">
            <w:pPr>
              <w:spacing w:after="0" w:line="240" w:lineRule="auto"/>
              <w:jc w:val="center"/>
              <w:rPr>
                <w:rFonts w:ascii="Times New Roman" w:hAnsi="Times New Roman"/>
                <w:lang w:eastAsia="ru-RU"/>
              </w:rPr>
            </w:pPr>
            <w:r w:rsidRPr="00A92168">
              <w:rPr>
                <w:rFonts w:ascii="Times New Roman" w:hAnsi="Times New Roman"/>
                <w:color w:val="000000"/>
                <w:lang w:eastAsia="ru-RU"/>
              </w:rPr>
              <w:t>Вместимость, мест</w:t>
            </w:r>
          </w:p>
        </w:tc>
        <w:tc>
          <w:tcPr>
            <w:tcW w:w="1521" w:type="dxa"/>
            <w:shd w:val="clear" w:color="auto" w:fill="FFFFFF"/>
            <w:vAlign w:val="center"/>
          </w:tcPr>
          <w:p w:rsidR="002D1E45" w:rsidRPr="00A92168" w:rsidRDefault="002D1E45" w:rsidP="00A92168">
            <w:pPr>
              <w:spacing w:after="0" w:line="240" w:lineRule="auto"/>
              <w:jc w:val="center"/>
              <w:rPr>
                <w:rFonts w:ascii="Times New Roman" w:hAnsi="Times New Roman"/>
                <w:lang w:eastAsia="ru-RU"/>
              </w:rPr>
            </w:pPr>
            <w:r w:rsidRPr="00A92168">
              <w:rPr>
                <w:rFonts w:ascii="Times New Roman" w:hAnsi="Times New Roman"/>
                <w:color w:val="000000"/>
                <w:lang w:eastAsia="ru-RU"/>
              </w:rPr>
              <w:t>Износ здания, %</w:t>
            </w:r>
          </w:p>
        </w:tc>
      </w:tr>
      <w:tr w:rsidR="002D1E45" w:rsidRPr="00A92168" w:rsidTr="00AF2D3E">
        <w:trPr>
          <w:trHeight w:val="57"/>
          <w:jc w:val="center"/>
        </w:trPr>
        <w:tc>
          <w:tcPr>
            <w:tcW w:w="3964" w:type="dxa"/>
            <w:shd w:val="clear" w:color="auto" w:fill="FFFFFF"/>
            <w:vAlign w:val="bottom"/>
          </w:tcPr>
          <w:p w:rsidR="002D1E45" w:rsidRPr="00A92168" w:rsidRDefault="002D1E45" w:rsidP="00A92168">
            <w:pPr>
              <w:spacing w:after="0" w:line="240" w:lineRule="auto"/>
              <w:rPr>
                <w:rFonts w:ascii="Times New Roman" w:hAnsi="Times New Roman"/>
                <w:color w:val="000000"/>
                <w:lang w:eastAsia="ru-RU"/>
              </w:rPr>
            </w:pPr>
            <w:r w:rsidRPr="00A92168">
              <w:rPr>
                <w:rFonts w:ascii="Times New Roman" w:hAnsi="Times New Roman"/>
                <w:color w:val="000000"/>
                <w:lang w:eastAsia="ru-RU"/>
              </w:rPr>
              <w:t>Дворец культуры им. В.В. Куйбышева</w:t>
            </w:r>
          </w:p>
        </w:tc>
        <w:tc>
          <w:tcPr>
            <w:tcW w:w="2453" w:type="dxa"/>
            <w:shd w:val="clear" w:color="auto" w:fill="FFFFFF"/>
            <w:vAlign w:val="center"/>
          </w:tcPr>
          <w:p w:rsidR="002D1E45" w:rsidRPr="00A92168" w:rsidRDefault="002D1E45" w:rsidP="00A92168">
            <w:pPr>
              <w:spacing w:after="0" w:line="240" w:lineRule="auto"/>
              <w:rPr>
                <w:rFonts w:ascii="Times New Roman" w:hAnsi="Times New Roman"/>
                <w:color w:val="000000"/>
                <w:lang w:eastAsia="ru-RU"/>
              </w:rPr>
            </w:pPr>
            <w:r>
              <w:rPr>
                <w:rFonts w:ascii="Times New Roman" w:hAnsi="Times New Roman"/>
                <w:color w:val="000000"/>
                <w:lang w:eastAsia="ru-RU"/>
              </w:rPr>
              <w:t>у</w:t>
            </w:r>
            <w:r w:rsidRPr="00A92168">
              <w:rPr>
                <w:rFonts w:ascii="Times New Roman" w:hAnsi="Times New Roman"/>
                <w:color w:val="000000"/>
                <w:lang w:eastAsia="ru-RU"/>
              </w:rPr>
              <w:t>л.</w:t>
            </w:r>
            <w:r>
              <w:rPr>
                <w:rFonts w:ascii="Times New Roman" w:hAnsi="Times New Roman"/>
                <w:color w:val="000000"/>
                <w:lang w:eastAsia="ru-RU"/>
              </w:rPr>
              <w:t xml:space="preserve"> </w:t>
            </w:r>
            <w:r w:rsidRPr="00A92168">
              <w:rPr>
                <w:rFonts w:ascii="Times New Roman" w:hAnsi="Times New Roman"/>
                <w:color w:val="000000"/>
                <w:lang w:eastAsia="ru-RU"/>
              </w:rPr>
              <w:t>Партизанская, 95</w:t>
            </w:r>
          </w:p>
        </w:tc>
        <w:tc>
          <w:tcPr>
            <w:tcW w:w="1951" w:type="dxa"/>
            <w:shd w:val="clear" w:color="auto" w:fill="FFFFFF"/>
            <w:vAlign w:val="center"/>
          </w:tcPr>
          <w:p w:rsidR="002D1E45" w:rsidRPr="00A92168" w:rsidRDefault="002D1E45" w:rsidP="00A92168">
            <w:pPr>
              <w:spacing w:after="0" w:line="240" w:lineRule="auto"/>
              <w:jc w:val="center"/>
              <w:rPr>
                <w:rFonts w:ascii="Times New Roman" w:hAnsi="Times New Roman"/>
                <w:color w:val="000000"/>
                <w:lang w:eastAsia="ru-RU"/>
              </w:rPr>
            </w:pPr>
            <w:r w:rsidRPr="00A92168">
              <w:rPr>
                <w:rFonts w:ascii="Times New Roman" w:hAnsi="Times New Roman"/>
                <w:color w:val="000000"/>
                <w:lang w:eastAsia="ru-RU"/>
              </w:rPr>
              <w:t>561</w:t>
            </w:r>
          </w:p>
        </w:tc>
        <w:tc>
          <w:tcPr>
            <w:tcW w:w="1521" w:type="dxa"/>
            <w:shd w:val="clear" w:color="auto" w:fill="FFFFFF"/>
            <w:vAlign w:val="center"/>
          </w:tcPr>
          <w:p w:rsidR="002D1E45" w:rsidRPr="00A92168" w:rsidRDefault="002D1E45" w:rsidP="00A92168">
            <w:pPr>
              <w:spacing w:after="0" w:line="240" w:lineRule="auto"/>
              <w:jc w:val="center"/>
              <w:rPr>
                <w:rFonts w:ascii="Times New Roman" w:hAnsi="Times New Roman"/>
                <w:color w:val="000000"/>
                <w:lang w:eastAsia="ru-RU"/>
              </w:rPr>
            </w:pPr>
            <w:r w:rsidRPr="00A92168">
              <w:rPr>
                <w:rFonts w:ascii="Times New Roman" w:hAnsi="Times New Roman"/>
                <w:color w:val="000000"/>
                <w:lang w:eastAsia="ru-RU"/>
              </w:rPr>
              <w:t>100%</w:t>
            </w:r>
          </w:p>
        </w:tc>
      </w:tr>
      <w:tr w:rsidR="002D1E45" w:rsidRPr="00A92168" w:rsidTr="00AF2D3E">
        <w:trPr>
          <w:trHeight w:val="57"/>
          <w:jc w:val="center"/>
        </w:trPr>
        <w:tc>
          <w:tcPr>
            <w:tcW w:w="3964" w:type="dxa"/>
            <w:shd w:val="clear" w:color="auto" w:fill="FFFFFF"/>
            <w:vAlign w:val="bottom"/>
          </w:tcPr>
          <w:p w:rsidR="002D1E45" w:rsidRPr="00A92168" w:rsidRDefault="002D1E45" w:rsidP="00A92168">
            <w:pPr>
              <w:spacing w:after="0" w:line="240" w:lineRule="auto"/>
              <w:rPr>
                <w:rFonts w:ascii="Times New Roman" w:hAnsi="Times New Roman"/>
                <w:color w:val="000000"/>
                <w:lang w:eastAsia="ru-RU"/>
              </w:rPr>
            </w:pPr>
            <w:r w:rsidRPr="00A92168">
              <w:rPr>
                <w:rFonts w:ascii="Times New Roman" w:hAnsi="Times New Roman"/>
                <w:color w:val="000000"/>
                <w:lang w:eastAsia="ru-RU"/>
              </w:rPr>
              <w:t>Административное здание в сквере «Городской сад»</w:t>
            </w:r>
          </w:p>
        </w:tc>
        <w:tc>
          <w:tcPr>
            <w:tcW w:w="2453" w:type="dxa"/>
            <w:shd w:val="clear" w:color="auto" w:fill="FFFFFF"/>
            <w:vAlign w:val="center"/>
          </w:tcPr>
          <w:p w:rsidR="002D1E45" w:rsidRPr="00A92168" w:rsidRDefault="002D1E45" w:rsidP="00A92168">
            <w:pPr>
              <w:spacing w:after="0" w:line="240" w:lineRule="auto"/>
              <w:rPr>
                <w:rFonts w:ascii="Times New Roman" w:hAnsi="Times New Roman"/>
                <w:color w:val="000000"/>
                <w:lang w:eastAsia="ru-RU"/>
              </w:rPr>
            </w:pPr>
            <w:r>
              <w:rPr>
                <w:rFonts w:ascii="Times New Roman" w:hAnsi="Times New Roman"/>
                <w:color w:val="000000"/>
                <w:lang w:eastAsia="ru-RU"/>
              </w:rPr>
              <w:t>у</w:t>
            </w:r>
            <w:r w:rsidRPr="00A92168">
              <w:rPr>
                <w:rFonts w:ascii="Times New Roman" w:hAnsi="Times New Roman"/>
                <w:color w:val="000000"/>
                <w:lang w:eastAsia="ru-RU"/>
              </w:rPr>
              <w:t>л. Ленина</w:t>
            </w:r>
            <w:r>
              <w:rPr>
                <w:rFonts w:ascii="Times New Roman" w:hAnsi="Times New Roman"/>
                <w:color w:val="000000"/>
                <w:lang w:eastAsia="ru-RU"/>
              </w:rPr>
              <w:t>, 1</w:t>
            </w:r>
            <w:r w:rsidRPr="00A92168">
              <w:rPr>
                <w:rFonts w:ascii="Times New Roman" w:hAnsi="Times New Roman"/>
                <w:color w:val="000000"/>
                <w:lang w:eastAsia="ru-RU"/>
              </w:rPr>
              <w:t>5</w:t>
            </w:r>
          </w:p>
        </w:tc>
        <w:tc>
          <w:tcPr>
            <w:tcW w:w="1951" w:type="dxa"/>
            <w:shd w:val="clear" w:color="auto" w:fill="FFFFFF"/>
            <w:vAlign w:val="center"/>
          </w:tcPr>
          <w:p w:rsidR="002D1E45" w:rsidRPr="00A92168" w:rsidRDefault="002D1E45" w:rsidP="00A92168">
            <w:pPr>
              <w:spacing w:after="0" w:line="240" w:lineRule="auto"/>
              <w:jc w:val="center"/>
              <w:rPr>
                <w:rFonts w:ascii="Times New Roman" w:hAnsi="Times New Roman"/>
                <w:color w:val="000000"/>
                <w:lang w:eastAsia="ru-RU"/>
              </w:rPr>
            </w:pPr>
            <w:r w:rsidRPr="00A92168">
              <w:rPr>
                <w:rFonts w:ascii="Times New Roman" w:hAnsi="Times New Roman"/>
                <w:color w:val="000000"/>
                <w:lang w:eastAsia="ru-RU"/>
              </w:rPr>
              <w:t>10</w:t>
            </w:r>
          </w:p>
        </w:tc>
        <w:tc>
          <w:tcPr>
            <w:tcW w:w="1521" w:type="dxa"/>
            <w:shd w:val="clear" w:color="auto" w:fill="FFFFFF"/>
            <w:vAlign w:val="center"/>
          </w:tcPr>
          <w:p w:rsidR="002D1E45" w:rsidRPr="00A92168" w:rsidRDefault="002D1E45" w:rsidP="00A92168">
            <w:pPr>
              <w:spacing w:after="0" w:line="240" w:lineRule="auto"/>
              <w:jc w:val="center"/>
              <w:rPr>
                <w:rFonts w:ascii="Times New Roman" w:hAnsi="Times New Roman"/>
                <w:color w:val="000000"/>
                <w:lang w:eastAsia="ru-RU"/>
              </w:rPr>
            </w:pPr>
            <w:r w:rsidRPr="00A92168">
              <w:rPr>
                <w:rFonts w:ascii="Times New Roman" w:hAnsi="Times New Roman"/>
                <w:color w:val="000000"/>
                <w:lang w:eastAsia="ru-RU"/>
              </w:rPr>
              <w:t>100%</w:t>
            </w:r>
          </w:p>
        </w:tc>
      </w:tr>
      <w:tr w:rsidR="002D1E45" w:rsidRPr="00A92168" w:rsidTr="00AF2D3E">
        <w:trPr>
          <w:trHeight w:val="57"/>
          <w:jc w:val="center"/>
        </w:trPr>
        <w:tc>
          <w:tcPr>
            <w:tcW w:w="3964" w:type="dxa"/>
            <w:shd w:val="clear" w:color="auto" w:fill="FFFFFF"/>
            <w:vAlign w:val="bottom"/>
          </w:tcPr>
          <w:p w:rsidR="002D1E45" w:rsidRPr="00A92168" w:rsidRDefault="002D1E45" w:rsidP="00A92168">
            <w:pPr>
              <w:spacing w:after="0" w:line="240" w:lineRule="auto"/>
              <w:rPr>
                <w:rFonts w:ascii="Times New Roman" w:hAnsi="Times New Roman"/>
                <w:color w:val="000000"/>
                <w:lang w:eastAsia="ru-RU"/>
              </w:rPr>
            </w:pPr>
            <w:r w:rsidRPr="00A92168">
              <w:rPr>
                <w:rFonts w:ascii="Times New Roman" w:hAnsi="Times New Roman"/>
                <w:color w:val="000000"/>
                <w:lang w:eastAsia="ru-RU"/>
              </w:rPr>
              <w:t>Здание тира в сквере «Городской сад»</w:t>
            </w:r>
          </w:p>
        </w:tc>
        <w:tc>
          <w:tcPr>
            <w:tcW w:w="2453" w:type="dxa"/>
            <w:shd w:val="clear" w:color="auto" w:fill="FFFFFF"/>
            <w:vAlign w:val="center"/>
          </w:tcPr>
          <w:p w:rsidR="002D1E45" w:rsidRPr="00A92168" w:rsidRDefault="002D1E45" w:rsidP="00A92168">
            <w:pPr>
              <w:spacing w:after="0" w:line="240" w:lineRule="auto"/>
              <w:rPr>
                <w:rFonts w:ascii="Times New Roman" w:hAnsi="Times New Roman"/>
                <w:color w:val="000000"/>
                <w:lang w:eastAsia="ru-RU"/>
              </w:rPr>
            </w:pPr>
            <w:r>
              <w:rPr>
                <w:rFonts w:ascii="Times New Roman" w:hAnsi="Times New Roman"/>
                <w:color w:val="000000"/>
                <w:lang w:eastAsia="ru-RU"/>
              </w:rPr>
              <w:t>у</w:t>
            </w:r>
            <w:r w:rsidRPr="00A92168">
              <w:rPr>
                <w:rFonts w:ascii="Times New Roman" w:hAnsi="Times New Roman"/>
                <w:color w:val="000000"/>
                <w:lang w:eastAsia="ru-RU"/>
              </w:rPr>
              <w:t>л. Ленина</w:t>
            </w:r>
            <w:r>
              <w:rPr>
                <w:rFonts w:ascii="Times New Roman" w:hAnsi="Times New Roman"/>
                <w:color w:val="000000"/>
                <w:lang w:eastAsia="ru-RU"/>
              </w:rPr>
              <w:t>, 1</w:t>
            </w:r>
            <w:r w:rsidRPr="00A92168">
              <w:rPr>
                <w:rFonts w:ascii="Times New Roman" w:hAnsi="Times New Roman"/>
                <w:color w:val="000000"/>
                <w:lang w:eastAsia="ru-RU"/>
              </w:rPr>
              <w:t>5</w:t>
            </w:r>
          </w:p>
        </w:tc>
        <w:tc>
          <w:tcPr>
            <w:tcW w:w="1951" w:type="dxa"/>
            <w:shd w:val="clear" w:color="auto" w:fill="FFFFFF"/>
            <w:vAlign w:val="center"/>
          </w:tcPr>
          <w:p w:rsidR="002D1E45" w:rsidRPr="00A92168" w:rsidRDefault="002D1E45" w:rsidP="00A92168">
            <w:pPr>
              <w:spacing w:after="0" w:line="240" w:lineRule="auto"/>
              <w:jc w:val="center"/>
              <w:rPr>
                <w:rFonts w:ascii="Times New Roman" w:hAnsi="Times New Roman"/>
                <w:color w:val="000000"/>
                <w:lang w:eastAsia="ru-RU"/>
              </w:rPr>
            </w:pPr>
            <w:r w:rsidRPr="00A92168">
              <w:rPr>
                <w:rFonts w:ascii="Times New Roman" w:hAnsi="Times New Roman"/>
                <w:color w:val="000000"/>
                <w:lang w:eastAsia="ru-RU"/>
              </w:rPr>
              <w:t>10</w:t>
            </w:r>
          </w:p>
        </w:tc>
        <w:tc>
          <w:tcPr>
            <w:tcW w:w="1521" w:type="dxa"/>
            <w:shd w:val="clear" w:color="auto" w:fill="FFFFFF"/>
            <w:vAlign w:val="center"/>
          </w:tcPr>
          <w:p w:rsidR="002D1E45" w:rsidRPr="00A92168" w:rsidRDefault="002D1E45" w:rsidP="00A92168">
            <w:pPr>
              <w:spacing w:after="0" w:line="240" w:lineRule="auto"/>
              <w:jc w:val="center"/>
              <w:rPr>
                <w:rFonts w:ascii="Times New Roman" w:hAnsi="Times New Roman"/>
                <w:color w:val="000000"/>
                <w:lang w:eastAsia="ru-RU"/>
              </w:rPr>
            </w:pPr>
            <w:r w:rsidRPr="00A92168">
              <w:rPr>
                <w:rFonts w:ascii="Times New Roman" w:hAnsi="Times New Roman"/>
                <w:color w:val="000000"/>
                <w:lang w:eastAsia="ru-RU"/>
              </w:rPr>
              <w:t>100%</w:t>
            </w:r>
          </w:p>
        </w:tc>
      </w:tr>
    </w:tbl>
    <w:p w:rsidR="002D1E45" w:rsidRPr="001D4B4C" w:rsidRDefault="002D1E45" w:rsidP="001D4B4C">
      <w:pPr>
        <w:shd w:val="clear" w:color="auto" w:fill="FFFFFF"/>
        <w:spacing w:after="120" w:line="240" w:lineRule="auto"/>
        <w:jc w:val="center"/>
        <w:rPr>
          <w:rFonts w:ascii="Arial" w:hAnsi="Arial" w:cs="Arial"/>
          <w:sz w:val="28"/>
          <w:szCs w:val="28"/>
          <w:lang w:eastAsia="ru-RU"/>
        </w:rPr>
      </w:pPr>
    </w:p>
    <w:p w:rsidR="002D1E45" w:rsidRDefault="002D1E45" w:rsidP="006B5B02">
      <w:pPr>
        <w:spacing w:after="0" w:line="240" w:lineRule="auto"/>
        <w:ind w:firstLine="709"/>
        <w:jc w:val="both"/>
        <w:rPr>
          <w:rFonts w:ascii="Times New Roman" w:hAnsi="Times New Roman"/>
          <w:sz w:val="28"/>
          <w:szCs w:val="28"/>
          <w:lang w:eastAsia="ru-RU"/>
        </w:rPr>
      </w:pPr>
      <w:r w:rsidRPr="00640D8C">
        <w:rPr>
          <w:rFonts w:ascii="Times New Roman" w:hAnsi="Times New Roman"/>
          <w:sz w:val="28"/>
          <w:szCs w:val="24"/>
          <w:lang w:eastAsia="ru-RU"/>
        </w:rPr>
        <w:t>Библиотечное</w:t>
      </w:r>
      <w:r>
        <w:rPr>
          <w:rFonts w:ascii="Times New Roman" w:hAnsi="Times New Roman"/>
          <w:sz w:val="28"/>
          <w:szCs w:val="24"/>
          <w:lang w:eastAsia="ru-RU"/>
        </w:rPr>
        <w:t xml:space="preserve"> </w:t>
      </w:r>
      <w:r w:rsidRPr="00640D8C">
        <w:rPr>
          <w:rFonts w:ascii="Times New Roman" w:hAnsi="Times New Roman"/>
          <w:sz w:val="28"/>
          <w:szCs w:val="24"/>
          <w:lang w:eastAsia="ru-RU"/>
        </w:rPr>
        <w:t>обслуживание населения</w:t>
      </w:r>
      <w:r>
        <w:rPr>
          <w:rFonts w:ascii="Times New Roman" w:hAnsi="Times New Roman"/>
          <w:sz w:val="28"/>
          <w:szCs w:val="24"/>
          <w:lang w:eastAsia="ru-RU"/>
        </w:rPr>
        <w:t xml:space="preserve"> </w:t>
      </w:r>
      <w:r w:rsidRPr="00640D8C">
        <w:rPr>
          <w:rFonts w:ascii="Times New Roman" w:hAnsi="Times New Roman"/>
          <w:sz w:val="28"/>
          <w:szCs w:val="24"/>
          <w:lang w:eastAsia="ru-RU"/>
        </w:rPr>
        <w:t xml:space="preserve">муниципального образования выполняет </w:t>
      </w:r>
      <w:r>
        <w:rPr>
          <w:rFonts w:ascii="Times New Roman" w:hAnsi="Times New Roman"/>
          <w:sz w:val="28"/>
          <w:szCs w:val="24"/>
          <w:lang w:eastAsia="ru-RU"/>
        </w:rPr>
        <w:t>МКУК</w:t>
      </w:r>
      <w:r w:rsidRPr="00194E37">
        <w:rPr>
          <w:rFonts w:ascii="Times New Roman" w:hAnsi="Times New Roman"/>
          <w:sz w:val="28"/>
          <w:szCs w:val="24"/>
          <w:lang w:eastAsia="ru-RU"/>
        </w:rPr>
        <w:t xml:space="preserve"> города Куйбышева Куйбышевского района Новосибирской области «Централизованная </w:t>
      </w:r>
      <w:r w:rsidRPr="00194E37">
        <w:rPr>
          <w:rFonts w:ascii="Times New Roman" w:hAnsi="Times New Roman"/>
          <w:sz w:val="28"/>
          <w:szCs w:val="24"/>
          <w:lang w:eastAsia="ru-RU"/>
        </w:rPr>
        <w:tab/>
        <w:t xml:space="preserve"> библиотечная</w:t>
      </w:r>
      <w:r>
        <w:rPr>
          <w:rFonts w:ascii="Times New Roman" w:hAnsi="Times New Roman"/>
          <w:sz w:val="28"/>
          <w:szCs w:val="24"/>
          <w:lang w:eastAsia="ru-RU"/>
        </w:rPr>
        <w:t xml:space="preserve"> </w:t>
      </w:r>
      <w:r w:rsidRPr="00194E37">
        <w:rPr>
          <w:rFonts w:ascii="Times New Roman" w:hAnsi="Times New Roman"/>
          <w:sz w:val="28"/>
          <w:szCs w:val="24"/>
          <w:lang w:eastAsia="ru-RU"/>
        </w:rPr>
        <w:t>система»</w:t>
      </w:r>
      <w:r>
        <w:rPr>
          <w:rFonts w:ascii="Times New Roman" w:hAnsi="Times New Roman"/>
          <w:sz w:val="28"/>
          <w:szCs w:val="24"/>
          <w:lang w:eastAsia="ru-RU"/>
        </w:rPr>
        <w:t xml:space="preserve">. </w:t>
      </w:r>
    </w:p>
    <w:p w:rsidR="002D1E45" w:rsidRDefault="002D1E45" w:rsidP="001D4B4C">
      <w:pPr>
        <w:shd w:val="clear" w:color="auto" w:fill="FFFFFF"/>
        <w:spacing w:after="0" w:line="240" w:lineRule="auto"/>
        <w:jc w:val="right"/>
        <w:rPr>
          <w:rFonts w:ascii="Times New Roman" w:hAnsi="Times New Roman"/>
          <w:sz w:val="28"/>
          <w:szCs w:val="28"/>
          <w:lang w:eastAsia="ru-RU"/>
        </w:rPr>
      </w:pPr>
    </w:p>
    <w:p w:rsidR="002D1E45" w:rsidRDefault="002D1E45" w:rsidP="001D4B4C">
      <w:pPr>
        <w:shd w:val="clear" w:color="auto" w:fill="FFFFFF"/>
        <w:spacing w:after="0" w:line="240" w:lineRule="auto"/>
        <w:jc w:val="right"/>
        <w:rPr>
          <w:rFonts w:ascii="Times New Roman" w:hAnsi="Times New Roman"/>
          <w:sz w:val="28"/>
          <w:szCs w:val="28"/>
          <w:lang w:eastAsia="ru-RU"/>
        </w:rPr>
      </w:pPr>
    </w:p>
    <w:p w:rsidR="002D1E45" w:rsidRPr="001D4B4C" w:rsidRDefault="002D1E45" w:rsidP="001D4B4C">
      <w:pPr>
        <w:shd w:val="clear" w:color="auto" w:fill="FFFFFF"/>
        <w:spacing w:after="0" w:line="240" w:lineRule="auto"/>
        <w:jc w:val="right"/>
        <w:rPr>
          <w:rFonts w:ascii="Times New Roman" w:hAnsi="Times New Roman"/>
          <w:sz w:val="28"/>
          <w:szCs w:val="28"/>
          <w:lang w:eastAsia="ru-RU"/>
        </w:rPr>
      </w:pPr>
      <w:r w:rsidRPr="001D4B4C">
        <w:rPr>
          <w:rFonts w:ascii="Times New Roman" w:hAnsi="Times New Roman"/>
          <w:sz w:val="28"/>
          <w:szCs w:val="28"/>
          <w:lang w:eastAsia="ru-RU"/>
        </w:rPr>
        <w:t>Таблица 23</w:t>
      </w:r>
    </w:p>
    <w:p w:rsidR="002D1E45" w:rsidRDefault="002D1E45" w:rsidP="001D4B4C">
      <w:pPr>
        <w:shd w:val="clear" w:color="auto" w:fill="FFFFFF"/>
        <w:spacing w:after="120" w:line="240" w:lineRule="auto"/>
        <w:jc w:val="center"/>
        <w:rPr>
          <w:rFonts w:ascii="Times New Roman" w:hAnsi="Times New Roman"/>
          <w:sz w:val="28"/>
          <w:szCs w:val="28"/>
          <w:lang w:eastAsia="ru-RU"/>
        </w:rPr>
      </w:pPr>
      <w:r w:rsidRPr="001D4B4C">
        <w:rPr>
          <w:rFonts w:ascii="Times New Roman" w:hAnsi="Times New Roman"/>
          <w:sz w:val="28"/>
          <w:szCs w:val="28"/>
          <w:lang w:eastAsia="ru-RU"/>
        </w:rPr>
        <w:t>Перечень действующих библиотек</w:t>
      </w:r>
    </w:p>
    <w:tbl>
      <w:tblPr>
        <w:tblW w:w="49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5251"/>
        <w:gridCol w:w="1988"/>
        <w:gridCol w:w="1704"/>
        <w:gridCol w:w="1137"/>
      </w:tblGrid>
      <w:tr w:rsidR="002D1E45" w:rsidRPr="00194E37" w:rsidTr="00194E37">
        <w:trPr>
          <w:trHeight w:val="57"/>
          <w:jc w:val="center"/>
        </w:trPr>
        <w:tc>
          <w:tcPr>
            <w:tcW w:w="2605" w:type="pct"/>
            <w:shd w:val="clear" w:color="auto" w:fill="FFFFFF"/>
            <w:vAlign w:val="center"/>
          </w:tcPr>
          <w:p w:rsidR="002D1E45" w:rsidRPr="00194E37" w:rsidRDefault="002D1E45" w:rsidP="00194E37">
            <w:pPr>
              <w:spacing w:after="0" w:line="240" w:lineRule="auto"/>
              <w:ind w:left="28" w:right="28"/>
              <w:jc w:val="center"/>
              <w:rPr>
                <w:rFonts w:ascii="Times New Roman" w:hAnsi="Times New Roman"/>
                <w:lang w:eastAsia="ru-RU"/>
              </w:rPr>
            </w:pPr>
            <w:r w:rsidRPr="00194E37">
              <w:rPr>
                <w:rFonts w:ascii="Times New Roman" w:hAnsi="Times New Roman"/>
                <w:color w:val="000000"/>
                <w:lang w:eastAsia="ru-RU"/>
              </w:rPr>
              <w:t>Местонахождение</w:t>
            </w:r>
          </w:p>
        </w:tc>
        <w:tc>
          <w:tcPr>
            <w:tcW w:w="986" w:type="pct"/>
            <w:shd w:val="clear" w:color="auto" w:fill="FFFFFF"/>
            <w:vAlign w:val="center"/>
          </w:tcPr>
          <w:p w:rsidR="002D1E45" w:rsidRPr="00194E37" w:rsidRDefault="002D1E45" w:rsidP="00194E37">
            <w:pPr>
              <w:spacing w:after="0" w:line="240" w:lineRule="auto"/>
              <w:ind w:left="28" w:right="28"/>
              <w:jc w:val="center"/>
              <w:rPr>
                <w:rFonts w:ascii="Times New Roman" w:hAnsi="Times New Roman"/>
                <w:lang w:eastAsia="ru-RU"/>
              </w:rPr>
            </w:pPr>
            <w:r w:rsidRPr="00194E37">
              <w:rPr>
                <w:rFonts w:ascii="Times New Roman" w:hAnsi="Times New Roman"/>
                <w:color w:val="000000"/>
                <w:lang w:eastAsia="ru-RU"/>
              </w:rPr>
              <w:t>Вместимость, читательских мест</w:t>
            </w:r>
          </w:p>
        </w:tc>
        <w:tc>
          <w:tcPr>
            <w:tcW w:w="845" w:type="pct"/>
            <w:shd w:val="clear" w:color="auto" w:fill="FFFFFF"/>
            <w:vAlign w:val="center"/>
          </w:tcPr>
          <w:p w:rsidR="002D1E45" w:rsidRPr="00194E37" w:rsidRDefault="002D1E45" w:rsidP="00194E37">
            <w:pPr>
              <w:spacing w:after="0" w:line="240" w:lineRule="auto"/>
              <w:ind w:left="28" w:right="28"/>
              <w:jc w:val="center"/>
              <w:rPr>
                <w:rFonts w:ascii="Times New Roman" w:hAnsi="Times New Roman"/>
                <w:lang w:eastAsia="ru-RU"/>
              </w:rPr>
            </w:pPr>
            <w:r w:rsidRPr="00194E37">
              <w:rPr>
                <w:rFonts w:ascii="Times New Roman" w:hAnsi="Times New Roman"/>
                <w:color w:val="000000"/>
                <w:lang w:eastAsia="ru-RU"/>
              </w:rPr>
              <w:t>Фонд, тыс.</w:t>
            </w:r>
          </w:p>
          <w:p w:rsidR="002D1E45" w:rsidRPr="00194E37" w:rsidRDefault="002D1E45" w:rsidP="00194E37">
            <w:pPr>
              <w:spacing w:after="0" w:line="240" w:lineRule="auto"/>
              <w:ind w:left="28" w:right="28"/>
              <w:jc w:val="center"/>
              <w:rPr>
                <w:rFonts w:ascii="Times New Roman" w:hAnsi="Times New Roman"/>
                <w:lang w:eastAsia="ru-RU"/>
              </w:rPr>
            </w:pPr>
            <w:r w:rsidRPr="00194E37">
              <w:rPr>
                <w:rFonts w:ascii="Times New Roman" w:hAnsi="Times New Roman"/>
                <w:color w:val="000000"/>
                <w:lang w:eastAsia="ru-RU"/>
              </w:rPr>
              <w:t>экз.</w:t>
            </w:r>
          </w:p>
        </w:tc>
        <w:tc>
          <w:tcPr>
            <w:tcW w:w="563" w:type="pct"/>
            <w:shd w:val="clear" w:color="auto" w:fill="FFFFFF"/>
            <w:vAlign w:val="center"/>
          </w:tcPr>
          <w:p w:rsidR="002D1E45" w:rsidRPr="00194E37" w:rsidRDefault="002D1E45" w:rsidP="00194E37">
            <w:pPr>
              <w:spacing w:after="0" w:line="240" w:lineRule="auto"/>
              <w:ind w:left="28" w:right="28"/>
              <w:jc w:val="center"/>
              <w:rPr>
                <w:rFonts w:ascii="Times New Roman" w:hAnsi="Times New Roman"/>
                <w:lang w:eastAsia="ru-RU"/>
              </w:rPr>
            </w:pPr>
            <w:r w:rsidRPr="00194E37">
              <w:rPr>
                <w:rFonts w:ascii="Times New Roman" w:hAnsi="Times New Roman"/>
                <w:color w:val="000000"/>
                <w:lang w:eastAsia="ru-RU"/>
              </w:rPr>
              <w:t>Износ здания, %</w:t>
            </w:r>
          </w:p>
        </w:tc>
      </w:tr>
      <w:tr w:rsidR="002D1E45" w:rsidRPr="00194E37" w:rsidTr="00194E37">
        <w:trPr>
          <w:trHeight w:val="57"/>
          <w:jc w:val="center"/>
        </w:trPr>
        <w:tc>
          <w:tcPr>
            <w:tcW w:w="2605" w:type="pct"/>
            <w:shd w:val="clear" w:color="auto" w:fill="FFFFFF"/>
            <w:vAlign w:val="center"/>
          </w:tcPr>
          <w:p w:rsidR="002D1E45" w:rsidRPr="00194E37" w:rsidRDefault="002D1E45" w:rsidP="00194E37">
            <w:pPr>
              <w:tabs>
                <w:tab w:val="left" w:leader="underscore" w:pos="774"/>
              </w:tabs>
              <w:spacing w:after="0" w:line="240" w:lineRule="auto"/>
              <w:ind w:left="28" w:right="28"/>
              <w:jc w:val="center"/>
              <w:rPr>
                <w:rFonts w:ascii="Times New Roman" w:hAnsi="Times New Roman"/>
                <w:lang w:eastAsia="ru-RU"/>
              </w:rPr>
            </w:pPr>
          </w:p>
        </w:tc>
        <w:tc>
          <w:tcPr>
            <w:tcW w:w="2395" w:type="pct"/>
            <w:gridSpan w:val="3"/>
            <w:shd w:val="clear" w:color="auto" w:fill="FFFFFF"/>
            <w:vAlign w:val="center"/>
          </w:tcPr>
          <w:p w:rsidR="002D1E45" w:rsidRPr="00194E37" w:rsidRDefault="002D1E45" w:rsidP="00194E37">
            <w:pPr>
              <w:tabs>
                <w:tab w:val="left" w:leader="underscore" w:pos="774"/>
              </w:tabs>
              <w:spacing w:after="0" w:line="240" w:lineRule="auto"/>
              <w:ind w:left="28" w:right="28"/>
              <w:jc w:val="center"/>
              <w:rPr>
                <w:rFonts w:ascii="Times New Roman" w:hAnsi="Times New Roman"/>
                <w:lang w:eastAsia="ru-RU"/>
              </w:rPr>
            </w:pPr>
          </w:p>
        </w:tc>
      </w:tr>
      <w:tr w:rsidR="002D1E45" w:rsidRPr="00194E37" w:rsidTr="00194E37">
        <w:trPr>
          <w:trHeight w:val="57"/>
          <w:jc w:val="center"/>
        </w:trPr>
        <w:tc>
          <w:tcPr>
            <w:tcW w:w="2605" w:type="pct"/>
            <w:shd w:val="clear" w:color="auto" w:fill="FFFFFF"/>
            <w:vAlign w:val="center"/>
          </w:tcPr>
          <w:p w:rsidR="002D1E45" w:rsidRPr="00194E37" w:rsidRDefault="002D1E45" w:rsidP="00194E37">
            <w:pPr>
              <w:spacing w:after="0" w:line="240" w:lineRule="auto"/>
              <w:ind w:left="28" w:right="28"/>
              <w:rPr>
                <w:rFonts w:ascii="Times New Roman" w:hAnsi="Times New Roman"/>
                <w:lang w:eastAsia="ru-RU"/>
              </w:rPr>
            </w:pPr>
            <w:r w:rsidRPr="00194E37">
              <w:rPr>
                <w:rFonts w:ascii="Times New Roman" w:hAnsi="Times New Roman"/>
                <w:color w:val="000000"/>
                <w:lang w:eastAsia="ru-RU"/>
              </w:rPr>
              <w:t>Центральная библиотека г. Куйбышев, ул. Красная, 25</w:t>
            </w:r>
          </w:p>
        </w:tc>
        <w:tc>
          <w:tcPr>
            <w:tcW w:w="986" w:type="pct"/>
            <w:shd w:val="clear" w:color="auto" w:fill="FFFFFF"/>
            <w:vAlign w:val="center"/>
          </w:tcPr>
          <w:p w:rsidR="002D1E45" w:rsidRPr="00194E37" w:rsidRDefault="002D1E45" w:rsidP="00194E37">
            <w:pPr>
              <w:spacing w:after="0" w:line="240" w:lineRule="auto"/>
              <w:ind w:left="28" w:right="28"/>
              <w:jc w:val="center"/>
              <w:rPr>
                <w:rFonts w:ascii="Times New Roman" w:hAnsi="Times New Roman"/>
                <w:lang w:eastAsia="ru-RU"/>
              </w:rPr>
            </w:pPr>
            <w:r w:rsidRPr="00194E37">
              <w:rPr>
                <w:rFonts w:ascii="Times New Roman" w:hAnsi="Times New Roman"/>
                <w:color w:val="000000"/>
                <w:lang w:eastAsia="ru-RU"/>
              </w:rPr>
              <w:t>110</w:t>
            </w:r>
          </w:p>
        </w:tc>
        <w:tc>
          <w:tcPr>
            <w:tcW w:w="845" w:type="pct"/>
            <w:shd w:val="clear" w:color="auto" w:fill="FFFFFF"/>
            <w:vAlign w:val="center"/>
          </w:tcPr>
          <w:p w:rsidR="002D1E45" w:rsidRPr="00194E37" w:rsidRDefault="002D1E45" w:rsidP="00194E37">
            <w:pPr>
              <w:spacing w:after="0" w:line="240" w:lineRule="auto"/>
              <w:ind w:left="28" w:right="28"/>
              <w:jc w:val="center"/>
              <w:rPr>
                <w:rFonts w:ascii="Times New Roman" w:hAnsi="Times New Roman"/>
                <w:lang w:eastAsia="ru-RU"/>
              </w:rPr>
            </w:pPr>
            <w:r w:rsidRPr="00194E37">
              <w:rPr>
                <w:rFonts w:ascii="Times New Roman" w:hAnsi="Times New Roman"/>
                <w:color w:val="000000"/>
                <w:lang w:eastAsia="ru-RU"/>
              </w:rPr>
              <w:t>76 893</w:t>
            </w:r>
          </w:p>
        </w:tc>
        <w:tc>
          <w:tcPr>
            <w:tcW w:w="563" w:type="pct"/>
            <w:shd w:val="clear" w:color="auto" w:fill="FFFFFF"/>
            <w:vAlign w:val="center"/>
          </w:tcPr>
          <w:p w:rsidR="002D1E45" w:rsidRPr="00194E37" w:rsidRDefault="002D1E45" w:rsidP="00194E37">
            <w:pPr>
              <w:spacing w:after="0" w:line="240" w:lineRule="auto"/>
              <w:ind w:left="28" w:right="28"/>
              <w:jc w:val="center"/>
              <w:rPr>
                <w:rFonts w:ascii="Times New Roman" w:hAnsi="Times New Roman"/>
                <w:lang w:eastAsia="ru-RU"/>
              </w:rPr>
            </w:pPr>
            <w:r w:rsidRPr="00194E37">
              <w:rPr>
                <w:rFonts w:ascii="Times New Roman" w:hAnsi="Times New Roman"/>
                <w:color w:val="000000"/>
                <w:lang w:eastAsia="ru-RU"/>
              </w:rPr>
              <w:t>50</w:t>
            </w:r>
          </w:p>
        </w:tc>
      </w:tr>
      <w:tr w:rsidR="002D1E45" w:rsidRPr="00194E37" w:rsidTr="00194E37">
        <w:trPr>
          <w:trHeight w:val="57"/>
          <w:jc w:val="center"/>
        </w:trPr>
        <w:tc>
          <w:tcPr>
            <w:tcW w:w="2605" w:type="pct"/>
            <w:shd w:val="clear" w:color="auto" w:fill="FFFFFF"/>
            <w:vAlign w:val="center"/>
          </w:tcPr>
          <w:p w:rsidR="002D1E45" w:rsidRPr="00194E37" w:rsidRDefault="002D1E45" w:rsidP="00194E37">
            <w:pPr>
              <w:spacing w:after="0" w:line="240" w:lineRule="auto"/>
              <w:ind w:left="28" w:right="28"/>
              <w:rPr>
                <w:rFonts w:ascii="Times New Roman" w:hAnsi="Times New Roman"/>
                <w:lang w:eastAsia="ru-RU"/>
              </w:rPr>
            </w:pPr>
            <w:r w:rsidRPr="00194E37">
              <w:rPr>
                <w:rFonts w:ascii="Times New Roman" w:hAnsi="Times New Roman"/>
                <w:color w:val="000000"/>
                <w:lang w:eastAsia="ru-RU"/>
              </w:rPr>
              <w:t>Городская детская библиотека № 3 г. Куйбышев, ул. Достоевского, 34</w:t>
            </w:r>
          </w:p>
        </w:tc>
        <w:tc>
          <w:tcPr>
            <w:tcW w:w="986" w:type="pct"/>
            <w:shd w:val="clear" w:color="auto" w:fill="FFFFFF"/>
            <w:vAlign w:val="center"/>
          </w:tcPr>
          <w:p w:rsidR="002D1E45" w:rsidRPr="00194E37" w:rsidRDefault="002D1E45" w:rsidP="00194E37">
            <w:pPr>
              <w:spacing w:after="0" w:line="240" w:lineRule="auto"/>
              <w:ind w:left="28" w:right="28"/>
              <w:jc w:val="center"/>
              <w:rPr>
                <w:rFonts w:ascii="Times New Roman" w:hAnsi="Times New Roman"/>
                <w:lang w:eastAsia="ru-RU"/>
              </w:rPr>
            </w:pPr>
            <w:r w:rsidRPr="00194E37">
              <w:rPr>
                <w:rFonts w:ascii="Times New Roman" w:hAnsi="Times New Roman"/>
                <w:color w:val="000000"/>
                <w:lang w:eastAsia="ru-RU"/>
              </w:rPr>
              <w:t>12</w:t>
            </w:r>
          </w:p>
        </w:tc>
        <w:tc>
          <w:tcPr>
            <w:tcW w:w="845" w:type="pct"/>
            <w:shd w:val="clear" w:color="auto" w:fill="FFFFFF"/>
            <w:vAlign w:val="center"/>
          </w:tcPr>
          <w:p w:rsidR="002D1E45" w:rsidRPr="00194E37" w:rsidRDefault="002D1E45" w:rsidP="00194E37">
            <w:pPr>
              <w:spacing w:after="0" w:line="240" w:lineRule="auto"/>
              <w:ind w:left="28" w:right="28"/>
              <w:jc w:val="center"/>
              <w:rPr>
                <w:rFonts w:ascii="Times New Roman" w:hAnsi="Times New Roman"/>
                <w:lang w:eastAsia="ru-RU"/>
              </w:rPr>
            </w:pPr>
            <w:r w:rsidRPr="00194E37">
              <w:rPr>
                <w:rFonts w:ascii="Times New Roman" w:hAnsi="Times New Roman"/>
                <w:color w:val="000000"/>
                <w:lang w:eastAsia="ru-RU"/>
              </w:rPr>
              <w:t>13 217</w:t>
            </w:r>
          </w:p>
        </w:tc>
        <w:tc>
          <w:tcPr>
            <w:tcW w:w="563" w:type="pct"/>
            <w:shd w:val="clear" w:color="auto" w:fill="FFFFFF"/>
            <w:vAlign w:val="center"/>
          </w:tcPr>
          <w:p w:rsidR="002D1E45" w:rsidRPr="00194E37" w:rsidRDefault="002D1E45" w:rsidP="00194E37">
            <w:pPr>
              <w:spacing w:after="0" w:line="240" w:lineRule="auto"/>
              <w:ind w:left="28" w:right="28"/>
              <w:jc w:val="center"/>
              <w:rPr>
                <w:rFonts w:ascii="Times New Roman" w:hAnsi="Times New Roman"/>
                <w:lang w:eastAsia="ru-RU"/>
              </w:rPr>
            </w:pPr>
            <w:r w:rsidRPr="00194E37">
              <w:rPr>
                <w:rFonts w:ascii="Times New Roman" w:hAnsi="Times New Roman"/>
                <w:color w:val="000000"/>
                <w:lang w:eastAsia="ru-RU"/>
              </w:rPr>
              <w:t>34</w:t>
            </w:r>
          </w:p>
        </w:tc>
      </w:tr>
      <w:tr w:rsidR="002D1E45" w:rsidRPr="00194E37" w:rsidTr="00194E37">
        <w:trPr>
          <w:trHeight w:val="57"/>
          <w:jc w:val="center"/>
        </w:trPr>
        <w:tc>
          <w:tcPr>
            <w:tcW w:w="2605" w:type="pct"/>
            <w:shd w:val="clear" w:color="auto" w:fill="FFFFFF"/>
            <w:vAlign w:val="center"/>
          </w:tcPr>
          <w:p w:rsidR="002D1E45" w:rsidRPr="00194E37" w:rsidRDefault="002D1E45" w:rsidP="00194E37">
            <w:pPr>
              <w:spacing w:after="0" w:line="240" w:lineRule="auto"/>
              <w:ind w:left="28" w:right="28"/>
              <w:rPr>
                <w:rFonts w:ascii="Times New Roman" w:hAnsi="Times New Roman"/>
                <w:lang w:eastAsia="ru-RU"/>
              </w:rPr>
            </w:pPr>
            <w:r w:rsidRPr="00194E37">
              <w:rPr>
                <w:rFonts w:ascii="Times New Roman" w:hAnsi="Times New Roman"/>
                <w:color w:val="000000"/>
                <w:lang w:eastAsia="ru-RU"/>
              </w:rPr>
              <w:t>Городская библиотека № 1, г. Куйбышев, ул. Агафонова,71</w:t>
            </w:r>
          </w:p>
        </w:tc>
        <w:tc>
          <w:tcPr>
            <w:tcW w:w="986" w:type="pct"/>
            <w:shd w:val="clear" w:color="auto" w:fill="FFFFFF"/>
            <w:vAlign w:val="center"/>
          </w:tcPr>
          <w:p w:rsidR="002D1E45" w:rsidRPr="00194E37" w:rsidRDefault="002D1E45" w:rsidP="00194E37">
            <w:pPr>
              <w:spacing w:after="0" w:line="240" w:lineRule="auto"/>
              <w:ind w:left="28" w:right="28"/>
              <w:jc w:val="center"/>
              <w:rPr>
                <w:rFonts w:ascii="Times New Roman" w:hAnsi="Times New Roman"/>
                <w:lang w:eastAsia="ru-RU"/>
              </w:rPr>
            </w:pPr>
            <w:r w:rsidRPr="00194E37">
              <w:rPr>
                <w:rFonts w:ascii="Times New Roman" w:hAnsi="Times New Roman"/>
                <w:color w:val="000000"/>
                <w:lang w:eastAsia="ru-RU"/>
              </w:rPr>
              <w:t>19</w:t>
            </w:r>
          </w:p>
        </w:tc>
        <w:tc>
          <w:tcPr>
            <w:tcW w:w="845" w:type="pct"/>
            <w:shd w:val="clear" w:color="auto" w:fill="FFFFFF"/>
            <w:vAlign w:val="center"/>
          </w:tcPr>
          <w:p w:rsidR="002D1E45" w:rsidRPr="00194E37" w:rsidRDefault="002D1E45" w:rsidP="00194E37">
            <w:pPr>
              <w:spacing w:after="0" w:line="240" w:lineRule="auto"/>
              <w:ind w:left="28" w:right="28"/>
              <w:jc w:val="center"/>
              <w:rPr>
                <w:rFonts w:ascii="Times New Roman" w:hAnsi="Times New Roman"/>
                <w:lang w:eastAsia="ru-RU"/>
              </w:rPr>
            </w:pPr>
            <w:r w:rsidRPr="00194E37">
              <w:rPr>
                <w:rFonts w:ascii="Times New Roman" w:hAnsi="Times New Roman"/>
                <w:color w:val="000000"/>
                <w:lang w:eastAsia="ru-RU"/>
              </w:rPr>
              <w:t>29 381</w:t>
            </w:r>
          </w:p>
        </w:tc>
        <w:tc>
          <w:tcPr>
            <w:tcW w:w="563" w:type="pct"/>
            <w:shd w:val="clear" w:color="auto" w:fill="FFFFFF"/>
            <w:vAlign w:val="center"/>
          </w:tcPr>
          <w:p w:rsidR="002D1E45" w:rsidRPr="00194E37" w:rsidRDefault="002D1E45" w:rsidP="00194E37">
            <w:pPr>
              <w:spacing w:after="0" w:line="240" w:lineRule="auto"/>
              <w:ind w:left="28" w:right="28"/>
              <w:jc w:val="center"/>
              <w:rPr>
                <w:rFonts w:ascii="Times New Roman" w:hAnsi="Times New Roman"/>
                <w:lang w:eastAsia="ru-RU"/>
              </w:rPr>
            </w:pPr>
            <w:r w:rsidRPr="00194E37">
              <w:rPr>
                <w:rFonts w:ascii="Times New Roman" w:hAnsi="Times New Roman"/>
                <w:color w:val="000000"/>
                <w:lang w:eastAsia="ru-RU"/>
              </w:rPr>
              <w:t>34</w:t>
            </w:r>
          </w:p>
        </w:tc>
      </w:tr>
      <w:tr w:rsidR="002D1E45" w:rsidRPr="00194E37" w:rsidTr="00194E37">
        <w:trPr>
          <w:trHeight w:val="57"/>
          <w:jc w:val="center"/>
        </w:trPr>
        <w:tc>
          <w:tcPr>
            <w:tcW w:w="2605" w:type="pct"/>
            <w:shd w:val="clear" w:color="auto" w:fill="FFFFFF"/>
            <w:vAlign w:val="center"/>
          </w:tcPr>
          <w:p w:rsidR="002D1E45" w:rsidRPr="00194E37" w:rsidRDefault="002D1E45" w:rsidP="00194E37">
            <w:pPr>
              <w:spacing w:after="0" w:line="240" w:lineRule="auto"/>
              <w:ind w:left="28" w:right="28"/>
              <w:rPr>
                <w:rFonts w:ascii="Times New Roman" w:hAnsi="Times New Roman"/>
                <w:lang w:eastAsia="ru-RU"/>
              </w:rPr>
            </w:pPr>
            <w:r w:rsidRPr="00194E37">
              <w:rPr>
                <w:rFonts w:ascii="Times New Roman" w:hAnsi="Times New Roman"/>
                <w:color w:val="000000"/>
                <w:lang w:eastAsia="ru-RU"/>
              </w:rPr>
              <w:t>Детская библиотека, г. Куйбышев, ул.</w:t>
            </w:r>
            <w:r>
              <w:rPr>
                <w:rFonts w:ascii="Times New Roman" w:hAnsi="Times New Roman"/>
                <w:color w:val="000000"/>
                <w:lang w:eastAsia="ru-RU"/>
              </w:rPr>
              <w:t xml:space="preserve"> </w:t>
            </w:r>
            <w:r w:rsidRPr="00194E37">
              <w:rPr>
                <w:rFonts w:ascii="Times New Roman" w:hAnsi="Times New Roman"/>
                <w:color w:val="000000"/>
                <w:lang w:eastAsia="ru-RU"/>
              </w:rPr>
              <w:t>Красная, 25</w:t>
            </w:r>
          </w:p>
        </w:tc>
        <w:tc>
          <w:tcPr>
            <w:tcW w:w="986" w:type="pct"/>
            <w:shd w:val="clear" w:color="auto" w:fill="FFFFFF"/>
            <w:vAlign w:val="center"/>
          </w:tcPr>
          <w:p w:rsidR="002D1E45" w:rsidRPr="00194E37" w:rsidRDefault="002D1E45" w:rsidP="00194E37">
            <w:pPr>
              <w:spacing w:after="0" w:line="240" w:lineRule="auto"/>
              <w:ind w:left="28" w:right="28"/>
              <w:jc w:val="center"/>
              <w:rPr>
                <w:rFonts w:ascii="Times New Roman" w:hAnsi="Times New Roman"/>
                <w:lang w:eastAsia="ru-RU"/>
              </w:rPr>
            </w:pPr>
            <w:r w:rsidRPr="00194E37">
              <w:rPr>
                <w:rFonts w:ascii="Times New Roman" w:hAnsi="Times New Roman"/>
                <w:color w:val="000000"/>
                <w:lang w:eastAsia="ru-RU"/>
              </w:rPr>
              <w:t>64</w:t>
            </w:r>
          </w:p>
        </w:tc>
        <w:tc>
          <w:tcPr>
            <w:tcW w:w="845" w:type="pct"/>
            <w:shd w:val="clear" w:color="auto" w:fill="FFFFFF"/>
            <w:vAlign w:val="center"/>
          </w:tcPr>
          <w:p w:rsidR="002D1E45" w:rsidRPr="00194E37" w:rsidRDefault="002D1E45" w:rsidP="00194E37">
            <w:pPr>
              <w:spacing w:after="0" w:line="240" w:lineRule="auto"/>
              <w:ind w:left="28" w:right="28"/>
              <w:jc w:val="center"/>
              <w:rPr>
                <w:rFonts w:ascii="Times New Roman" w:hAnsi="Times New Roman"/>
                <w:lang w:eastAsia="ru-RU"/>
              </w:rPr>
            </w:pPr>
            <w:r w:rsidRPr="00194E37">
              <w:rPr>
                <w:rFonts w:ascii="Times New Roman" w:hAnsi="Times New Roman"/>
                <w:color w:val="000000"/>
                <w:lang w:eastAsia="ru-RU"/>
              </w:rPr>
              <w:t>28 903</w:t>
            </w:r>
          </w:p>
        </w:tc>
        <w:tc>
          <w:tcPr>
            <w:tcW w:w="563" w:type="pct"/>
            <w:shd w:val="clear" w:color="auto" w:fill="FFFFFF"/>
            <w:vAlign w:val="center"/>
          </w:tcPr>
          <w:p w:rsidR="002D1E45" w:rsidRPr="00194E37" w:rsidRDefault="002D1E45" w:rsidP="00194E37">
            <w:pPr>
              <w:spacing w:after="0" w:line="240" w:lineRule="auto"/>
              <w:ind w:left="28" w:right="28"/>
              <w:jc w:val="center"/>
              <w:rPr>
                <w:rFonts w:ascii="Times New Roman" w:hAnsi="Times New Roman"/>
                <w:lang w:eastAsia="ru-RU"/>
              </w:rPr>
            </w:pPr>
            <w:r w:rsidRPr="00194E37">
              <w:rPr>
                <w:rFonts w:ascii="Times New Roman" w:hAnsi="Times New Roman"/>
                <w:color w:val="000000"/>
                <w:lang w:eastAsia="ru-RU"/>
              </w:rPr>
              <w:t>50</w:t>
            </w:r>
          </w:p>
        </w:tc>
      </w:tr>
    </w:tbl>
    <w:p w:rsidR="002D1E45" w:rsidRPr="00640D8C" w:rsidRDefault="002D1E45" w:rsidP="00640D8C">
      <w:pPr>
        <w:spacing w:after="0" w:line="240" w:lineRule="auto"/>
        <w:ind w:firstLine="709"/>
        <w:jc w:val="both"/>
        <w:rPr>
          <w:rFonts w:ascii="Times New Roman" w:hAnsi="Times New Roman"/>
          <w:sz w:val="28"/>
          <w:szCs w:val="24"/>
          <w:lang w:eastAsia="ru-RU"/>
        </w:rPr>
      </w:pPr>
    </w:p>
    <w:p w:rsidR="002D1E45" w:rsidRPr="00640D8C" w:rsidRDefault="002D1E45" w:rsidP="00640D8C">
      <w:pPr>
        <w:spacing w:after="0" w:line="240" w:lineRule="auto"/>
        <w:ind w:firstLine="709"/>
        <w:jc w:val="both"/>
        <w:rPr>
          <w:rFonts w:ascii="Times New Roman" w:hAnsi="Times New Roman"/>
          <w:sz w:val="28"/>
          <w:szCs w:val="24"/>
          <w:lang w:eastAsia="ru-RU"/>
        </w:rPr>
      </w:pPr>
      <w:r w:rsidRPr="00640D8C">
        <w:rPr>
          <w:rFonts w:ascii="Times New Roman" w:hAnsi="Times New Roman"/>
          <w:sz w:val="28"/>
          <w:szCs w:val="24"/>
          <w:lang w:eastAsia="ru-RU"/>
        </w:rPr>
        <w:t>В библиотек</w:t>
      </w:r>
      <w:r>
        <w:rPr>
          <w:rFonts w:ascii="Times New Roman" w:hAnsi="Times New Roman"/>
          <w:sz w:val="28"/>
          <w:szCs w:val="24"/>
          <w:lang w:eastAsia="ru-RU"/>
        </w:rPr>
        <w:t>ах</w:t>
      </w:r>
      <w:r w:rsidRPr="00640D8C">
        <w:rPr>
          <w:rFonts w:ascii="Times New Roman" w:hAnsi="Times New Roman"/>
          <w:sz w:val="28"/>
          <w:szCs w:val="24"/>
          <w:lang w:eastAsia="ru-RU"/>
        </w:rPr>
        <w:t xml:space="preserve"> регулярно проводятся выставки, в</w:t>
      </w:r>
      <w:r>
        <w:rPr>
          <w:rFonts w:ascii="Times New Roman" w:hAnsi="Times New Roman"/>
          <w:sz w:val="28"/>
          <w:szCs w:val="24"/>
          <w:lang w:eastAsia="ru-RU"/>
        </w:rPr>
        <w:t> </w:t>
      </w:r>
      <w:r w:rsidRPr="00640D8C">
        <w:rPr>
          <w:rFonts w:ascii="Times New Roman" w:hAnsi="Times New Roman"/>
          <w:sz w:val="28"/>
          <w:szCs w:val="24"/>
          <w:lang w:eastAsia="ru-RU"/>
        </w:rPr>
        <w:t xml:space="preserve">которых активно участвуют жители </w:t>
      </w:r>
      <w:r>
        <w:rPr>
          <w:rFonts w:ascii="Times New Roman" w:hAnsi="Times New Roman"/>
          <w:sz w:val="28"/>
          <w:szCs w:val="24"/>
          <w:lang w:eastAsia="ru-RU"/>
        </w:rPr>
        <w:t>города</w:t>
      </w:r>
      <w:r w:rsidRPr="00640D8C">
        <w:rPr>
          <w:rFonts w:ascii="Times New Roman" w:hAnsi="Times New Roman"/>
          <w:sz w:val="28"/>
          <w:szCs w:val="24"/>
          <w:lang w:eastAsia="ru-RU"/>
        </w:rPr>
        <w:t>. К</w:t>
      </w:r>
      <w:r>
        <w:rPr>
          <w:rFonts w:ascii="Times New Roman" w:hAnsi="Times New Roman"/>
          <w:sz w:val="28"/>
          <w:szCs w:val="24"/>
          <w:lang w:eastAsia="ru-RU"/>
        </w:rPr>
        <w:t> </w:t>
      </w:r>
      <w:r w:rsidRPr="00640D8C">
        <w:rPr>
          <w:rFonts w:ascii="Times New Roman" w:hAnsi="Times New Roman"/>
          <w:sz w:val="28"/>
          <w:szCs w:val="24"/>
          <w:lang w:eastAsia="ru-RU"/>
        </w:rPr>
        <w:t>памятным датам проводятся выставки и</w:t>
      </w:r>
      <w:r>
        <w:rPr>
          <w:rFonts w:ascii="Times New Roman" w:hAnsi="Times New Roman"/>
          <w:sz w:val="28"/>
          <w:szCs w:val="24"/>
          <w:lang w:eastAsia="ru-RU"/>
        </w:rPr>
        <w:t> </w:t>
      </w:r>
      <w:r w:rsidRPr="00640D8C">
        <w:rPr>
          <w:rFonts w:ascii="Times New Roman" w:hAnsi="Times New Roman"/>
          <w:sz w:val="28"/>
          <w:szCs w:val="24"/>
          <w:lang w:eastAsia="ru-RU"/>
        </w:rPr>
        <w:t>конкурсы детских рису</w:t>
      </w:r>
      <w:r>
        <w:rPr>
          <w:rFonts w:ascii="Times New Roman" w:hAnsi="Times New Roman"/>
          <w:sz w:val="28"/>
          <w:szCs w:val="24"/>
          <w:lang w:eastAsia="ru-RU"/>
        </w:rPr>
        <w:t>нк</w:t>
      </w:r>
      <w:r w:rsidRPr="00640D8C">
        <w:rPr>
          <w:rFonts w:ascii="Times New Roman" w:hAnsi="Times New Roman"/>
          <w:sz w:val="28"/>
          <w:szCs w:val="24"/>
          <w:lang w:eastAsia="ru-RU"/>
        </w:rPr>
        <w:t>ов.</w:t>
      </w:r>
    </w:p>
    <w:p w:rsidR="002D1E45" w:rsidRPr="001D4B4C" w:rsidRDefault="002D1E45" w:rsidP="003148C5">
      <w:pPr>
        <w:shd w:val="clear" w:color="auto" w:fill="FFFFFF"/>
        <w:spacing w:after="0" w:line="240" w:lineRule="auto"/>
        <w:jc w:val="right"/>
        <w:rPr>
          <w:rFonts w:ascii="Times New Roman" w:hAnsi="Times New Roman"/>
          <w:sz w:val="28"/>
          <w:szCs w:val="28"/>
          <w:lang w:eastAsia="ru-RU"/>
        </w:rPr>
      </w:pPr>
      <w:r w:rsidRPr="001D4B4C">
        <w:rPr>
          <w:rFonts w:ascii="Times New Roman" w:hAnsi="Times New Roman"/>
          <w:sz w:val="28"/>
          <w:szCs w:val="28"/>
          <w:lang w:eastAsia="ru-RU"/>
        </w:rPr>
        <w:t>Таблица 23</w:t>
      </w:r>
    </w:p>
    <w:p w:rsidR="002D1E45" w:rsidRPr="00CE4A88" w:rsidRDefault="002D1E45" w:rsidP="003148C5">
      <w:pPr>
        <w:shd w:val="clear" w:color="auto" w:fill="FFFFFF"/>
        <w:spacing w:after="120" w:line="240" w:lineRule="auto"/>
        <w:jc w:val="center"/>
        <w:rPr>
          <w:rFonts w:ascii="Times New Roman" w:hAnsi="Times New Roman"/>
          <w:sz w:val="28"/>
          <w:szCs w:val="28"/>
          <w:lang w:eastAsia="ru-RU"/>
        </w:rPr>
      </w:pPr>
      <w:r w:rsidRPr="001D4B4C">
        <w:rPr>
          <w:rFonts w:ascii="Times New Roman" w:hAnsi="Times New Roman"/>
          <w:sz w:val="28"/>
          <w:szCs w:val="28"/>
          <w:lang w:eastAsia="ru-RU"/>
        </w:rPr>
        <w:t xml:space="preserve">Перечень </w:t>
      </w:r>
      <w:r>
        <w:rPr>
          <w:rFonts w:ascii="Times New Roman" w:hAnsi="Times New Roman"/>
          <w:sz w:val="28"/>
          <w:szCs w:val="28"/>
          <w:lang w:eastAsia="ru-RU"/>
        </w:rPr>
        <w:t xml:space="preserve">музеев </w:t>
      </w:r>
    </w:p>
    <w:tbl>
      <w:tblPr>
        <w:tblW w:w="9872" w:type="dxa"/>
        <w:jc w:val="center"/>
        <w:tblLayout w:type="fixed"/>
        <w:tblCellMar>
          <w:left w:w="0" w:type="dxa"/>
          <w:right w:w="0" w:type="dxa"/>
        </w:tblCellMar>
        <w:tblLook w:val="0000"/>
      </w:tblPr>
      <w:tblGrid>
        <w:gridCol w:w="3681"/>
        <w:gridCol w:w="3150"/>
        <w:gridCol w:w="1528"/>
        <w:gridCol w:w="1513"/>
      </w:tblGrid>
      <w:tr w:rsidR="002D1E45" w:rsidRPr="00335704" w:rsidTr="00335704">
        <w:trPr>
          <w:trHeight w:val="57"/>
          <w:jc w:val="center"/>
        </w:trPr>
        <w:tc>
          <w:tcPr>
            <w:tcW w:w="3681" w:type="dxa"/>
            <w:tcBorders>
              <w:top w:val="single" w:sz="4" w:space="0" w:color="auto"/>
              <w:left w:val="single" w:sz="4" w:space="0" w:color="auto"/>
              <w:bottom w:val="nil"/>
              <w:right w:val="nil"/>
            </w:tcBorders>
            <w:shd w:val="clear" w:color="auto" w:fill="FFFFFF"/>
            <w:vAlign w:val="center"/>
          </w:tcPr>
          <w:p w:rsidR="002D1E45" w:rsidRPr="00335704" w:rsidRDefault="002D1E45" w:rsidP="00335704">
            <w:pPr>
              <w:spacing w:after="0" w:line="240" w:lineRule="auto"/>
              <w:ind w:left="28" w:right="28"/>
              <w:jc w:val="center"/>
              <w:rPr>
                <w:rFonts w:ascii="Times New Roman" w:hAnsi="Times New Roman"/>
                <w:lang w:eastAsia="ru-RU"/>
              </w:rPr>
            </w:pPr>
            <w:r w:rsidRPr="00335704">
              <w:rPr>
                <w:rFonts w:ascii="Times New Roman" w:hAnsi="Times New Roman"/>
                <w:color w:val="000000"/>
                <w:lang w:eastAsia="ru-RU"/>
              </w:rPr>
              <w:t>Культурно</w:t>
            </w:r>
            <w:r w:rsidRPr="00335704">
              <w:rPr>
                <w:rFonts w:ascii="Times New Roman" w:hAnsi="Times New Roman"/>
                <w:color w:val="000000"/>
                <w:lang w:eastAsia="ru-RU"/>
              </w:rPr>
              <w:softHyphen/>
            </w:r>
            <w:r>
              <w:rPr>
                <w:rFonts w:ascii="Times New Roman" w:hAnsi="Times New Roman"/>
                <w:color w:val="000000"/>
                <w:lang w:eastAsia="ru-RU"/>
              </w:rPr>
              <w:t>-</w:t>
            </w:r>
            <w:r w:rsidRPr="00335704">
              <w:rPr>
                <w:rFonts w:ascii="Times New Roman" w:hAnsi="Times New Roman"/>
                <w:color w:val="000000"/>
                <w:lang w:eastAsia="ru-RU"/>
              </w:rPr>
              <w:t>досуговые учреждения</w:t>
            </w:r>
          </w:p>
        </w:tc>
        <w:tc>
          <w:tcPr>
            <w:tcW w:w="3150" w:type="dxa"/>
            <w:tcBorders>
              <w:top w:val="single" w:sz="4" w:space="0" w:color="auto"/>
              <w:left w:val="single" w:sz="4" w:space="0" w:color="auto"/>
              <w:bottom w:val="nil"/>
              <w:right w:val="nil"/>
            </w:tcBorders>
            <w:shd w:val="clear" w:color="auto" w:fill="FFFFFF"/>
            <w:vAlign w:val="center"/>
          </w:tcPr>
          <w:p w:rsidR="002D1E45" w:rsidRPr="00335704" w:rsidRDefault="002D1E45" w:rsidP="00335704">
            <w:pPr>
              <w:spacing w:after="0" w:line="240" w:lineRule="auto"/>
              <w:ind w:left="28" w:right="28"/>
              <w:jc w:val="center"/>
              <w:rPr>
                <w:rFonts w:ascii="Times New Roman" w:hAnsi="Times New Roman"/>
                <w:lang w:eastAsia="ru-RU"/>
              </w:rPr>
            </w:pPr>
            <w:r w:rsidRPr="00335704">
              <w:rPr>
                <w:rFonts w:ascii="Times New Roman" w:hAnsi="Times New Roman"/>
                <w:color w:val="000000"/>
                <w:lang w:eastAsia="ru-RU"/>
              </w:rPr>
              <w:t>Местонахождение</w:t>
            </w:r>
          </w:p>
        </w:tc>
        <w:tc>
          <w:tcPr>
            <w:tcW w:w="1528" w:type="dxa"/>
            <w:tcBorders>
              <w:top w:val="single" w:sz="4" w:space="0" w:color="auto"/>
              <w:left w:val="single" w:sz="4" w:space="0" w:color="auto"/>
              <w:bottom w:val="nil"/>
              <w:right w:val="nil"/>
            </w:tcBorders>
            <w:shd w:val="clear" w:color="auto" w:fill="FFFFFF"/>
            <w:vAlign w:val="center"/>
          </w:tcPr>
          <w:p w:rsidR="002D1E45" w:rsidRPr="00335704" w:rsidRDefault="002D1E45" w:rsidP="00335704">
            <w:pPr>
              <w:spacing w:after="0" w:line="240" w:lineRule="auto"/>
              <w:ind w:left="28" w:right="28"/>
              <w:jc w:val="center"/>
              <w:rPr>
                <w:rFonts w:ascii="Times New Roman" w:hAnsi="Times New Roman"/>
                <w:lang w:eastAsia="ru-RU"/>
              </w:rPr>
            </w:pPr>
            <w:r w:rsidRPr="00335704">
              <w:rPr>
                <w:rFonts w:ascii="Times New Roman" w:hAnsi="Times New Roman"/>
                <w:color w:val="000000"/>
                <w:lang w:eastAsia="ru-RU"/>
              </w:rPr>
              <w:t>Вместимость.</w:t>
            </w:r>
          </w:p>
          <w:p w:rsidR="002D1E45" w:rsidRPr="00335704" w:rsidRDefault="002D1E45" w:rsidP="00335704">
            <w:pPr>
              <w:spacing w:after="0" w:line="240" w:lineRule="auto"/>
              <w:ind w:left="28" w:right="28"/>
              <w:jc w:val="center"/>
              <w:rPr>
                <w:rFonts w:ascii="Times New Roman" w:hAnsi="Times New Roman"/>
                <w:lang w:eastAsia="ru-RU"/>
              </w:rPr>
            </w:pPr>
            <w:r w:rsidRPr="00335704">
              <w:rPr>
                <w:rFonts w:ascii="Times New Roman" w:hAnsi="Times New Roman"/>
                <w:color w:val="000000"/>
                <w:lang w:eastAsia="ru-RU"/>
              </w:rPr>
              <w:t>мест</w:t>
            </w:r>
          </w:p>
        </w:tc>
        <w:tc>
          <w:tcPr>
            <w:tcW w:w="1513" w:type="dxa"/>
            <w:tcBorders>
              <w:top w:val="single" w:sz="4" w:space="0" w:color="auto"/>
              <w:left w:val="single" w:sz="4" w:space="0" w:color="auto"/>
              <w:bottom w:val="nil"/>
              <w:right w:val="single" w:sz="4" w:space="0" w:color="auto"/>
            </w:tcBorders>
            <w:shd w:val="clear" w:color="auto" w:fill="FFFFFF"/>
            <w:vAlign w:val="center"/>
          </w:tcPr>
          <w:p w:rsidR="002D1E45" w:rsidRPr="00335704" w:rsidRDefault="002D1E45" w:rsidP="00335704">
            <w:pPr>
              <w:spacing w:after="0" w:line="240" w:lineRule="auto"/>
              <w:ind w:left="28" w:right="28"/>
              <w:jc w:val="center"/>
              <w:rPr>
                <w:rFonts w:ascii="Times New Roman" w:hAnsi="Times New Roman"/>
                <w:lang w:eastAsia="ru-RU"/>
              </w:rPr>
            </w:pPr>
            <w:r w:rsidRPr="00335704">
              <w:rPr>
                <w:rFonts w:ascii="Times New Roman" w:hAnsi="Times New Roman"/>
                <w:color w:val="000000"/>
                <w:lang w:eastAsia="ru-RU"/>
              </w:rPr>
              <w:t>Износ здания, %</w:t>
            </w:r>
          </w:p>
        </w:tc>
      </w:tr>
      <w:tr w:rsidR="002D1E45" w:rsidRPr="00335704" w:rsidTr="00335704">
        <w:trPr>
          <w:trHeight w:val="57"/>
          <w:jc w:val="center"/>
        </w:trPr>
        <w:tc>
          <w:tcPr>
            <w:tcW w:w="3681" w:type="dxa"/>
            <w:tcBorders>
              <w:top w:val="single" w:sz="4" w:space="0" w:color="auto"/>
              <w:left w:val="single" w:sz="4" w:space="0" w:color="auto"/>
              <w:bottom w:val="single" w:sz="4" w:space="0" w:color="auto"/>
              <w:right w:val="nil"/>
            </w:tcBorders>
            <w:shd w:val="clear" w:color="auto" w:fill="FFFFFF"/>
            <w:vAlign w:val="center"/>
          </w:tcPr>
          <w:p w:rsidR="002D1E45" w:rsidRPr="00335704" w:rsidRDefault="002D1E45" w:rsidP="00335704">
            <w:pPr>
              <w:spacing w:after="0" w:line="240" w:lineRule="auto"/>
              <w:ind w:left="28" w:right="28"/>
              <w:rPr>
                <w:rFonts w:ascii="Times New Roman" w:hAnsi="Times New Roman"/>
                <w:lang w:eastAsia="ru-RU"/>
              </w:rPr>
            </w:pPr>
            <w:r w:rsidRPr="00335704">
              <w:rPr>
                <w:rFonts w:ascii="Times New Roman" w:hAnsi="Times New Roman"/>
                <w:color w:val="000000"/>
                <w:lang w:eastAsia="ru-RU"/>
              </w:rPr>
              <w:t>МКУК г.</w:t>
            </w:r>
            <w:r>
              <w:rPr>
                <w:rFonts w:ascii="Times New Roman" w:hAnsi="Times New Roman"/>
                <w:color w:val="000000"/>
                <w:lang w:eastAsia="ru-RU"/>
              </w:rPr>
              <w:t xml:space="preserve"> </w:t>
            </w:r>
            <w:r w:rsidRPr="00335704">
              <w:rPr>
                <w:rFonts w:ascii="Times New Roman" w:hAnsi="Times New Roman"/>
                <w:color w:val="000000"/>
                <w:lang w:eastAsia="ru-RU"/>
              </w:rPr>
              <w:t>Куйбышева Куйбышевского района Новосибирская область «Музейный комплекс»</w:t>
            </w:r>
            <w:r>
              <w:rPr>
                <w:rFonts w:ascii="Times New Roman" w:hAnsi="Times New Roman"/>
                <w:color w:val="000000"/>
                <w:lang w:eastAsia="ru-RU"/>
              </w:rPr>
              <w:t>:</w:t>
            </w:r>
          </w:p>
        </w:tc>
        <w:tc>
          <w:tcPr>
            <w:tcW w:w="3150" w:type="dxa"/>
            <w:tcBorders>
              <w:top w:val="single" w:sz="4" w:space="0" w:color="auto"/>
              <w:left w:val="single" w:sz="4" w:space="0" w:color="auto"/>
              <w:bottom w:val="single" w:sz="4" w:space="0" w:color="auto"/>
              <w:right w:val="nil"/>
            </w:tcBorders>
            <w:shd w:val="clear" w:color="auto" w:fill="FFFFFF"/>
            <w:vAlign w:val="center"/>
          </w:tcPr>
          <w:p w:rsidR="002D1E45" w:rsidRPr="00335704" w:rsidRDefault="002D1E45" w:rsidP="00CE4A88">
            <w:pPr>
              <w:spacing w:after="0" w:line="240" w:lineRule="auto"/>
              <w:ind w:left="28" w:right="28"/>
              <w:rPr>
                <w:rFonts w:ascii="Times New Roman" w:hAnsi="Times New Roman"/>
                <w:lang w:eastAsia="ru-RU"/>
              </w:rPr>
            </w:pPr>
            <w:r w:rsidRPr="00335704">
              <w:rPr>
                <w:rFonts w:ascii="Times New Roman" w:hAnsi="Times New Roman"/>
                <w:color w:val="000000"/>
                <w:lang w:eastAsia="ru-RU"/>
              </w:rPr>
              <w:t>г. Куйбышев Куйбышевского района Новосибирской области, ул.</w:t>
            </w:r>
            <w:r>
              <w:rPr>
                <w:rFonts w:ascii="Times New Roman" w:hAnsi="Times New Roman"/>
                <w:color w:val="000000"/>
                <w:lang w:eastAsia="ru-RU"/>
              </w:rPr>
              <w:t xml:space="preserve"> </w:t>
            </w:r>
            <w:r w:rsidRPr="00335704">
              <w:rPr>
                <w:rFonts w:ascii="Times New Roman" w:hAnsi="Times New Roman"/>
                <w:color w:val="000000"/>
                <w:lang w:eastAsia="ru-RU"/>
              </w:rPr>
              <w:t>Коммунистическая, 29</w:t>
            </w:r>
          </w:p>
        </w:tc>
        <w:tc>
          <w:tcPr>
            <w:tcW w:w="1528" w:type="dxa"/>
            <w:tcBorders>
              <w:top w:val="single" w:sz="4" w:space="0" w:color="auto"/>
              <w:left w:val="single" w:sz="4" w:space="0" w:color="auto"/>
              <w:bottom w:val="single" w:sz="4" w:space="0" w:color="auto"/>
              <w:right w:val="nil"/>
            </w:tcBorders>
            <w:shd w:val="clear" w:color="auto" w:fill="FFFFFF"/>
            <w:vAlign w:val="center"/>
          </w:tcPr>
          <w:p w:rsidR="002D1E45" w:rsidRPr="00335704" w:rsidRDefault="002D1E45" w:rsidP="00335704">
            <w:pPr>
              <w:spacing w:after="0" w:line="240" w:lineRule="auto"/>
              <w:ind w:left="28" w:right="28"/>
              <w:jc w:val="center"/>
              <w:rPr>
                <w:rFonts w:ascii="Times New Roman" w:hAnsi="Times New Roman"/>
                <w:lang w:eastAsia="ru-RU"/>
              </w:rPr>
            </w:pPr>
            <w:r w:rsidRPr="00335704">
              <w:rPr>
                <w:rFonts w:ascii="Times New Roman" w:hAnsi="Times New Roman"/>
                <w:color w:val="000000"/>
                <w:lang w:eastAsia="ru-RU"/>
              </w:rPr>
              <w:t>200</w:t>
            </w:r>
          </w:p>
        </w:tc>
        <w:tc>
          <w:tcPr>
            <w:tcW w:w="1513"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335704" w:rsidRDefault="002D1E45" w:rsidP="00335704">
            <w:pPr>
              <w:spacing w:after="0" w:line="240" w:lineRule="auto"/>
              <w:ind w:left="28" w:right="28"/>
              <w:jc w:val="center"/>
              <w:rPr>
                <w:rFonts w:ascii="Times New Roman" w:hAnsi="Times New Roman"/>
                <w:lang w:eastAsia="ru-RU"/>
              </w:rPr>
            </w:pPr>
            <w:r>
              <w:rPr>
                <w:rFonts w:ascii="Times New Roman" w:hAnsi="Times New Roman"/>
                <w:lang w:eastAsia="ru-RU"/>
              </w:rPr>
              <w:fldChar w:fldCharType="begin"/>
            </w:r>
            <w:r>
              <w:rPr>
                <w:rFonts w:ascii="Times New Roman" w:hAnsi="Times New Roman"/>
                <w:lang w:eastAsia="ru-RU"/>
              </w:rPr>
              <w:instrText xml:space="preserve"> =AVERAGE(below) </w:instrText>
            </w:r>
            <w:r>
              <w:rPr>
                <w:rFonts w:ascii="Times New Roman" w:hAnsi="Times New Roman"/>
                <w:lang w:eastAsia="ru-RU"/>
              </w:rPr>
              <w:fldChar w:fldCharType="separate"/>
            </w:r>
            <w:r>
              <w:rPr>
                <w:rFonts w:ascii="Times New Roman" w:hAnsi="Times New Roman"/>
                <w:noProof/>
                <w:lang w:eastAsia="ru-RU"/>
              </w:rPr>
              <w:t>90</w:t>
            </w:r>
            <w:r>
              <w:rPr>
                <w:rFonts w:ascii="Times New Roman" w:hAnsi="Times New Roman"/>
                <w:lang w:eastAsia="ru-RU"/>
              </w:rPr>
              <w:fldChar w:fldCharType="end"/>
            </w:r>
          </w:p>
        </w:tc>
      </w:tr>
      <w:tr w:rsidR="002D1E45" w:rsidRPr="00335704" w:rsidTr="00335704">
        <w:trPr>
          <w:trHeight w:val="57"/>
          <w:jc w:val="center"/>
        </w:trPr>
        <w:tc>
          <w:tcPr>
            <w:tcW w:w="3681" w:type="dxa"/>
            <w:tcBorders>
              <w:top w:val="single" w:sz="4" w:space="0" w:color="auto"/>
              <w:left w:val="single" w:sz="4" w:space="0" w:color="auto"/>
              <w:bottom w:val="single" w:sz="4" w:space="0" w:color="auto"/>
              <w:right w:val="nil"/>
            </w:tcBorders>
            <w:shd w:val="clear" w:color="auto" w:fill="FFFFFF"/>
            <w:vAlign w:val="center"/>
          </w:tcPr>
          <w:p w:rsidR="002D1E45" w:rsidRPr="00335704" w:rsidRDefault="002D1E45" w:rsidP="00335704">
            <w:pPr>
              <w:spacing w:after="0" w:line="240" w:lineRule="auto"/>
              <w:ind w:left="28" w:right="28"/>
              <w:rPr>
                <w:rFonts w:ascii="Times New Roman" w:hAnsi="Times New Roman"/>
                <w:color w:val="000000"/>
                <w:lang w:eastAsia="ru-RU"/>
              </w:rPr>
            </w:pPr>
            <w:r w:rsidRPr="00335704">
              <w:rPr>
                <w:rFonts w:ascii="Times New Roman" w:hAnsi="Times New Roman"/>
                <w:color w:val="000000"/>
                <w:lang w:eastAsia="ru-RU"/>
              </w:rPr>
              <w:t>Краеведческий музей</w:t>
            </w:r>
          </w:p>
        </w:tc>
        <w:tc>
          <w:tcPr>
            <w:tcW w:w="3150" w:type="dxa"/>
            <w:tcBorders>
              <w:top w:val="single" w:sz="4" w:space="0" w:color="auto"/>
              <w:left w:val="single" w:sz="4" w:space="0" w:color="auto"/>
              <w:bottom w:val="single" w:sz="4" w:space="0" w:color="auto"/>
              <w:right w:val="nil"/>
            </w:tcBorders>
            <w:shd w:val="clear" w:color="auto" w:fill="FFFFFF"/>
            <w:vAlign w:val="center"/>
          </w:tcPr>
          <w:p w:rsidR="002D1E45" w:rsidRPr="00335704" w:rsidRDefault="002D1E45" w:rsidP="00335704">
            <w:pPr>
              <w:spacing w:after="0" w:line="240" w:lineRule="auto"/>
              <w:ind w:left="28" w:right="28"/>
              <w:rPr>
                <w:rFonts w:ascii="Times New Roman" w:hAnsi="Times New Roman"/>
                <w:color w:val="000000"/>
                <w:lang w:eastAsia="ru-RU"/>
              </w:rPr>
            </w:pPr>
            <w:r w:rsidRPr="00335704">
              <w:rPr>
                <w:rFonts w:ascii="Times New Roman" w:hAnsi="Times New Roman"/>
                <w:color w:val="000000"/>
                <w:lang w:eastAsia="ru-RU"/>
              </w:rPr>
              <w:t>г. Куйбышев Куйбышевского района Новосибирской области, ул. Коммунистическая, 29</w:t>
            </w:r>
          </w:p>
        </w:tc>
        <w:tc>
          <w:tcPr>
            <w:tcW w:w="1528" w:type="dxa"/>
            <w:tcBorders>
              <w:top w:val="single" w:sz="4" w:space="0" w:color="auto"/>
              <w:left w:val="single" w:sz="4" w:space="0" w:color="auto"/>
              <w:bottom w:val="single" w:sz="4" w:space="0" w:color="auto"/>
              <w:right w:val="nil"/>
            </w:tcBorders>
            <w:shd w:val="clear" w:color="auto" w:fill="FFFFFF"/>
            <w:vAlign w:val="center"/>
          </w:tcPr>
          <w:p w:rsidR="002D1E45" w:rsidRPr="00335704" w:rsidRDefault="002D1E45" w:rsidP="00335704">
            <w:pPr>
              <w:spacing w:after="0" w:line="240" w:lineRule="auto"/>
              <w:ind w:left="28" w:right="28"/>
              <w:jc w:val="center"/>
              <w:rPr>
                <w:rFonts w:ascii="Times New Roman" w:hAnsi="Times New Roman"/>
                <w:color w:val="000000"/>
                <w:lang w:eastAsia="ru-RU"/>
              </w:rPr>
            </w:pPr>
            <w:r w:rsidRPr="00335704">
              <w:rPr>
                <w:rFonts w:ascii="Times New Roman" w:hAnsi="Times New Roman"/>
                <w:color w:val="000000"/>
                <w:lang w:eastAsia="ru-RU"/>
              </w:rPr>
              <w:t>120</w:t>
            </w:r>
          </w:p>
        </w:tc>
        <w:tc>
          <w:tcPr>
            <w:tcW w:w="1513"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335704" w:rsidRDefault="002D1E45" w:rsidP="00335704">
            <w:pPr>
              <w:spacing w:after="0" w:line="240" w:lineRule="auto"/>
              <w:ind w:left="28" w:right="28"/>
              <w:jc w:val="center"/>
              <w:rPr>
                <w:rFonts w:ascii="Times New Roman" w:hAnsi="Times New Roman"/>
                <w:lang w:eastAsia="ru-RU"/>
              </w:rPr>
            </w:pPr>
            <w:r w:rsidRPr="00335704">
              <w:rPr>
                <w:rFonts w:ascii="Times New Roman" w:hAnsi="Times New Roman"/>
                <w:lang w:eastAsia="ru-RU"/>
              </w:rPr>
              <w:t>60</w:t>
            </w:r>
          </w:p>
        </w:tc>
      </w:tr>
      <w:tr w:rsidR="002D1E45" w:rsidRPr="00335704" w:rsidTr="00335704">
        <w:trPr>
          <w:trHeight w:val="57"/>
          <w:jc w:val="center"/>
        </w:trPr>
        <w:tc>
          <w:tcPr>
            <w:tcW w:w="3681" w:type="dxa"/>
            <w:tcBorders>
              <w:top w:val="single" w:sz="4" w:space="0" w:color="auto"/>
              <w:left w:val="single" w:sz="4" w:space="0" w:color="auto"/>
              <w:bottom w:val="single" w:sz="4" w:space="0" w:color="auto"/>
              <w:right w:val="nil"/>
            </w:tcBorders>
            <w:shd w:val="clear" w:color="auto" w:fill="FFFFFF"/>
            <w:vAlign w:val="center"/>
          </w:tcPr>
          <w:p w:rsidR="002D1E45" w:rsidRPr="00335704" w:rsidRDefault="002D1E45" w:rsidP="00335704">
            <w:pPr>
              <w:spacing w:after="0" w:line="240" w:lineRule="auto"/>
              <w:ind w:left="28" w:right="28"/>
              <w:rPr>
                <w:rFonts w:ascii="Times New Roman" w:hAnsi="Times New Roman"/>
                <w:color w:val="000000"/>
                <w:lang w:eastAsia="ru-RU"/>
              </w:rPr>
            </w:pPr>
            <w:r w:rsidRPr="00335704">
              <w:rPr>
                <w:rFonts w:ascii="Times New Roman" w:hAnsi="Times New Roman"/>
                <w:color w:val="000000"/>
                <w:lang w:eastAsia="ru-RU"/>
              </w:rPr>
              <w:t>Дом-музей В.В. Куйбышева</w:t>
            </w:r>
          </w:p>
        </w:tc>
        <w:tc>
          <w:tcPr>
            <w:tcW w:w="3150" w:type="dxa"/>
            <w:tcBorders>
              <w:top w:val="single" w:sz="4" w:space="0" w:color="auto"/>
              <w:left w:val="single" w:sz="4" w:space="0" w:color="auto"/>
              <w:bottom w:val="single" w:sz="4" w:space="0" w:color="auto"/>
              <w:right w:val="nil"/>
            </w:tcBorders>
            <w:shd w:val="clear" w:color="auto" w:fill="FFFFFF"/>
            <w:vAlign w:val="center"/>
          </w:tcPr>
          <w:p w:rsidR="002D1E45" w:rsidRPr="00335704" w:rsidRDefault="002D1E45" w:rsidP="00335704">
            <w:pPr>
              <w:spacing w:after="0" w:line="240" w:lineRule="auto"/>
              <w:ind w:left="28" w:right="28"/>
              <w:rPr>
                <w:rFonts w:ascii="Times New Roman" w:hAnsi="Times New Roman"/>
                <w:color w:val="000000"/>
                <w:lang w:eastAsia="ru-RU"/>
              </w:rPr>
            </w:pPr>
            <w:r w:rsidRPr="00335704">
              <w:rPr>
                <w:rFonts w:ascii="Times New Roman" w:hAnsi="Times New Roman"/>
                <w:color w:val="000000"/>
                <w:lang w:eastAsia="ru-RU"/>
              </w:rPr>
              <w:t>г. Куйбышев Куйбышевского района Новосибирской области, ул.</w:t>
            </w:r>
            <w:r w:rsidRPr="00CE4A88">
              <w:rPr>
                <w:rFonts w:ascii="Times New Roman" w:hAnsi="Times New Roman"/>
                <w:color w:val="000000"/>
                <w:lang w:eastAsia="ru-RU"/>
              </w:rPr>
              <w:t xml:space="preserve"> </w:t>
            </w:r>
            <w:r w:rsidRPr="00335704">
              <w:rPr>
                <w:rFonts w:ascii="Times New Roman" w:hAnsi="Times New Roman"/>
                <w:color w:val="000000"/>
                <w:lang w:eastAsia="ru-RU"/>
              </w:rPr>
              <w:t>Ленина,</w:t>
            </w:r>
            <w:r w:rsidRPr="00CE4A88">
              <w:rPr>
                <w:rFonts w:ascii="Times New Roman" w:hAnsi="Times New Roman"/>
                <w:color w:val="000000"/>
                <w:lang w:eastAsia="ru-RU"/>
              </w:rPr>
              <w:t xml:space="preserve"> </w:t>
            </w:r>
            <w:r w:rsidRPr="00335704">
              <w:rPr>
                <w:rFonts w:ascii="Times New Roman" w:hAnsi="Times New Roman"/>
                <w:color w:val="000000"/>
                <w:lang w:eastAsia="ru-RU"/>
              </w:rPr>
              <w:t>2</w:t>
            </w:r>
          </w:p>
        </w:tc>
        <w:tc>
          <w:tcPr>
            <w:tcW w:w="1528" w:type="dxa"/>
            <w:tcBorders>
              <w:top w:val="single" w:sz="4" w:space="0" w:color="auto"/>
              <w:left w:val="single" w:sz="4" w:space="0" w:color="auto"/>
              <w:bottom w:val="single" w:sz="4" w:space="0" w:color="auto"/>
              <w:right w:val="nil"/>
            </w:tcBorders>
            <w:shd w:val="clear" w:color="auto" w:fill="FFFFFF"/>
            <w:vAlign w:val="center"/>
          </w:tcPr>
          <w:p w:rsidR="002D1E45" w:rsidRPr="00335704" w:rsidRDefault="002D1E45" w:rsidP="00335704">
            <w:pPr>
              <w:spacing w:after="0" w:line="240" w:lineRule="auto"/>
              <w:ind w:left="28" w:right="28"/>
              <w:jc w:val="center"/>
              <w:rPr>
                <w:rFonts w:ascii="Times New Roman" w:hAnsi="Times New Roman"/>
                <w:color w:val="000000"/>
                <w:lang w:eastAsia="ru-RU"/>
              </w:rPr>
            </w:pPr>
            <w:r w:rsidRPr="00335704">
              <w:rPr>
                <w:rFonts w:ascii="Times New Roman" w:hAnsi="Times New Roman"/>
                <w:color w:val="000000"/>
                <w:lang w:eastAsia="ru-RU"/>
              </w:rPr>
              <w:t>20</w:t>
            </w:r>
          </w:p>
        </w:tc>
        <w:tc>
          <w:tcPr>
            <w:tcW w:w="1513"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335704" w:rsidRDefault="002D1E45" w:rsidP="00335704">
            <w:pPr>
              <w:spacing w:after="0" w:line="240" w:lineRule="auto"/>
              <w:ind w:left="28" w:right="28"/>
              <w:jc w:val="center"/>
              <w:rPr>
                <w:rFonts w:ascii="Times New Roman" w:hAnsi="Times New Roman"/>
                <w:lang w:eastAsia="ru-RU"/>
              </w:rPr>
            </w:pPr>
            <w:r w:rsidRPr="00335704">
              <w:rPr>
                <w:rFonts w:ascii="Times New Roman" w:hAnsi="Times New Roman"/>
                <w:lang w:eastAsia="ru-RU"/>
              </w:rPr>
              <w:t>100</w:t>
            </w:r>
          </w:p>
        </w:tc>
      </w:tr>
      <w:tr w:rsidR="002D1E45" w:rsidRPr="00335704" w:rsidTr="00335704">
        <w:trPr>
          <w:trHeight w:val="57"/>
          <w:jc w:val="center"/>
        </w:trPr>
        <w:tc>
          <w:tcPr>
            <w:tcW w:w="3681" w:type="dxa"/>
            <w:tcBorders>
              <w:top w:val="single" w:sz="4" w:space="0" w:color="auto"/>
              <w:left w:val="single" w:sz="4" w:space="0" w:color="auto"/>
              <w:bottom w:val="single" w:sz="4" w:space="0" w:color="auto"/>
              <w:right w:val="nil"/>
            </w:tcBorders>
            <w:shd w:val="clear" w:color="auto" w:fill="FFFFFF"/>
            <w:vAlign w:val="center"/>
          </w:tcPr>
          <w:p w:rsidR="002D1E45" w:rsidRPr="00335704" w:rsidRDefault="002D1E45" w:rsidP="00335704">
            <w:pPr>
              <w:spacing w:after="0" w:line="240" w:lineRule="auto"/>
              <w:ind w:left="28" w:right="28"/>
              <w:rPr>
                <w:rFonts w:ascii="Times New Roman" w:hAnsi="Times New Roman"/>
                <w:color w:val="000000"/>
                <w:lang w:eastAsia="ru-RU"/>
              </w:rPr>
            </w:pPr>
            <w:r w:rsidRPr="00335704">
              <w:rPr>
                <w:rFonts w:ascii="Times New Roman" w:hAnsi="Times New Roman"/>
                <w:color w:val="000000"/>
                <w:lang w:eastAsia="ru-RU"/>
              </w:rPr>
              <w:t>Экспозиционно</w:t>
            </w:r>
            <w:r>
              <w:rPr>
                <w:rFonts w:ascii="Times New Roman" w:hAnsi="Times New Roman"/>
                <w:color w:val="000000"/>
                <w:lang w:eastAsia="ru-RU"/>
              </w:rPr>
              <w:t>-</w:t>
            </w:r>
            <w:r w:rsidRPr="00335704">
              <w:rPr>
                <w:rFonts w:ascii="Times New Roman" w:hAnsi="Times New Roman"/>
                <w:color w:val="000000"/>
                <w:lang w:eastAsia="ru-RU"/>
              </w:rPr>
              <w:t>выставочный зал</w:t>
            </w:r>
          </w:p>
        </w:tc>
        <w:tc>
          <w:tcPr>
            <w:tcW w:w="3150" w:type="dxa"/>
            <w:tcBorders>
              <w:top w:val="single" w:sz="4" w:space="0" w:color="auto"/>
              <w:left w:val="single" w:sz="4" w:space="0" w:color="auto"/>
              <w:bottom w:val="single" w:sz="4" w:space="0" w:color="auto"/>
              <w:right w:val="nil"/>
            </w:tcBorders>
            <w:shd w:val="clear" w:color="auto" w:fill="FFFFFF"/>
            <w:vAlign w:val="center"/>
          </w:tcPr>
          <w:p w:rsidR="002D1E45" w:rsidRPr="00335704" w:rsidRDefault="002D1E45" w:rsidP="00335704">
            <w:pPr>
              <w:spacing w:after="0" w:line="240" w:lineRule="auto"/>
              <w:ind w:left="28" w:right="28"/>
              <w:rPr>
                <w:rFonts w:ascii="Times New Roman" w:hAnsi="Times New Roman"/>
                <w:color w:val="000000"/>
                <w:lang w:eastAsia="ru-RU"/>
              </w:rPr>
            </w:pPr>
            <w:r w:rsidRPr="00335704">
              <w:rPr>
                <w:rFonts w:ascii="Times New Roman" w:hAnsi="Times New Roman"/>
                <w:color w:val="000000"/>
                <w:lang w:eastAsia="ru-RU"/>
              </w:rPr>
              <w:t xml:space="preserve">г. Куйбышев Куйбышевского района Новосибирской области, ул. </w:t>
            </w:r>
            <w:r>
              <w:rPr>
                <w:rFonts w:ascii="Times New Roman" w:hAnsi="Times New Roman"/>
                <w:color w:val="000000"/>
                <w:lang w:eastAsia="ru-RU"/>
              </w:rPr>
              <w:t>Папшева</w:t>
            </w:r>
            <w:r w:rsidRPr="00335704">
              <w:rPr>
                <w:rFonts w:ascii="Times New Roman" w:hAnsi="Times New Roman"/>
                <w:color w:val="000000"/>
                <w:lang w:eastAsia="ru-RU"/>
              </w:rPr>
              <w:t>,</w:t>
            </w:r>
            <w:r>
              <w:rPr>
                <w:rFonts w:ascii="Times New Roman" w:hAnsi="Times New Roman"/>
                <w:color w:val="000000"/>
                <w:lang w:eastAsia="ru-RU"/>
              </w:rPr>
              <w:t xml:space="preserve"> </w:t>
            </w:r>
            <w:r w:rsidRPr="00335704">
              <w:rPr>
                <w:rFonts w:ascii="Times New Roman" w:hAnsi="Times New Roman"/>
                <w:color w:val="000000"/>
                <w:lang w:eastAsia="ru-RU"/>
              </w:rPr>
              <w:t>5</w:t>
            </w:r>
          </w:p>
        </w:tc>
        <w:tc>
          <w:tcPr>
            <w:tcW w:w="1528" w:type="dxa"/>
            <w:tcBorders>
              <w:top w:val="single" w:sz="4" w:space="0" w:color="auto"/>
              <w:left w:val="single" w:sz="4" w:space="0" w:color="auto"/>
              <w:bottom w:val="single" w:sz="4" w:space="0" w:color="auto"/>
              <w:right w:val="nil"/>
            </w:tcBorders>
            <w:shd w:val="clear" w:color="auto" w:fill="FFFFFF"/>
            <w:vAlign w:val="center"/>
          </w:tcPr>
          <w:p w:rsidR="002D1E45" w:rsidRPr="00335704" w:rsidRDefault="002D1E45" w:rsidP="00335704">
            <w:pPr>
              <w:spacing w:after="0" w:line="240" w:lineRule="auto"/>
              <w:ind w:left="28" w:right="28"/>
              <w:jc w:val="center"/>
              <w:rPr>
                <w:rFonts w:ascii="Times New Roman" w:hAnsi="Times New Roman"/>
                <w:color w:val="000000"/>
                <w:lang w:eastAsia="ru-RU"/>
              </w:rPr>
            </w:pPr>
            <w:r w:rsidRPr="00335704">
              <w:rPr>
                <w:rFonts w:ascii="Times New Roman" w:hAnsi="Times New Roman"/>
                <w:color w:val="000000"/>
                <w:lang w:eastAsia="ru-RU"/>
              </w:rPr>
              <w:t>60</w:t>
            </w:r>
          </w:p>
        </w:tc>
        <w:tc>
          <w:tcPr>
            <w:tcW w:w="1513"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335704" w:rsidRDefault="002D1E45" w:rsidP="00335704">
            <w:pPr>
              <w:spacing w:after="0" w:line="240" w:lineRule="auto"/>
              <w:ind w:left="28" w:right="28"/>
              <w:jc w:val="center"/>
              <w:rPr>
                <w:rFonts w:ascii="Times New Roman" w:hAnsi="Times New Roman"/>
                <w:lang w:eastAsia="ru-RU"/>
              </w:rPr>
            </w:pPr>
            <w:r w:rsidRPr="00335704">
              <w:rPr>
                <w:rFonts w:ascii="Times New Roman" w:hAnsi="Times New Roman"/>
                <w:lang w:eastAsia="ru-RU"/>
              </w:rPr>
              <w:t>100</w:t>
            </w:r>
          </w:p>
        </w:tc>
      </w:tr>
    </w:tbl>
    <w:p w:rsidR="002D1E45" w:rsidRDefault="002D1E45" w:rsidP="00640D8C">
      <w:pPr>
        <w:spacing w:after="0" w:line="240" w:lineRule="auto"/>
        <w:ind w:firstLine="709"/>
        <w:jc w:val="both"/>
        <w:rPr>
          <w:rFonts w:ascii="Times New Roman" w:hAnsi="Times New Roman"/>
          <w:sz w:val="28"/>
          <w:szCs w:val="24"/>
          <w:lang w:eastAsia="ru-RU"/>
        </w:rPr>
      </w:pPr>
    </w:p>
    <w:p w:rsidR="002D1E45" w:rsidRDefault="002D1E45" w:rsidP="00640D8C">
      <w:pPr>
        <w:spacing w:after="0" w:line="240" w:lineRule="auto"/>
        <w:ind w:firstLine="709"/>
        <w:jc w:val="both"/>
        <w:rPr>
          <w:rFonts w:ascii="Times New Roman" w:hAnsi="Times New Roman"/>
          <w:sz w:val="28"/>
          <w:szCs w:val="24"/>
          <w:lang w:eastAsia="ru-RU"/>
        </w:rPr>
      </w:pPr>
      <w:r>
        <w:rPr>
          <w:rFonts w:ascii="Times New Roman" w:hAnsi="Times New Roman"/>
          <w:sz w:val="28"/>
          <w:szCs w:val="24"/>
          <w:lang w:eastAsia="ru-RU"/>
        </w:rPr>
        <w:t>Музей а</w:t>
      </w:r>
      <w:r w:rsidRPr="00640D8C">
        <w:rPr>
          <w:rFonts w:ascii="Times New Roman" w:hAnsi="Times New Roman"/>
          <w:sz w:val="28"/>
          <w:szCs w:val="24"/>
          <w:lang w:eastAsia="ru-RU"/>
        </w:rPr>
        <w:t>ктивно занима</w:t>
      </w:r>
      <w:r>
        <w:rPr>
          <w:rFonts w:ascii="Times New Roman" w:hAnsi="Times New Roman"/>
          <w:sz w:val="28"/>
          <w:szCs w:val="24"/>
          <w:lang w:eastAsia="ru-RU"/>
        </w:rPr>
        <w:t>е</w:t>
      </w:r>
      <w:r w:rsidRPr="00640D8C">
        <w:rPr>
          <w:rFonts w:ascii="Times New Roman" w:hAnsi="Times New Roman"/>
          <w:sz w:val="28"/>
          <w:szCs w:val="24"/>
          <w:lang w:eastAsia="ru-RU"/>
        </w:rPr>
        <w:t>тся краеведением, ведётся накопление краеведческого материала, оформляются папки-накопители по</w:t>
      </w:r>
      <w:r>
        <w:rPr>
          <w:rFonts w:ascii="Times New Roman" w:hAnsi="Times New Roman"/>
          <w:sz w:val="28"/>
          <w:szCs w:val="24"/>
          <w:lang w:eastAsia="ru-RU"/>
        </w:rPr>
        <w:t> </w:t>
      </w:r>
      <w:r w:rsidRPr="00640D8C">
        <w:rPr>
          <w:rFonts w:ascii="Times New Roman" w:hAnsi="Times New Roman"/>
          <w:sz w:val="28"/>
          <w:szCs w:val="24"/>
          <w:lang w:eastAsia="ru-RU"/>
        </w:rPr>
        <w:t>истории сел и</w:t>
      </w:r>
      <w:r>
        <w:rPr>
          <w:rFonts w:ascii="Times New Roman" w:hAnsi="Times New Roman"/>
          <w:sz w:val="28"/>
          <w:szCs w:val="24"/>
          <w:lang w:eastAsia="ru-RU"/>
        </w:rPr>
        <w:t> </w:t>
      </w:r>
      <w:r w:rsidRPr="00640D8C">
        <w:rPr>
          <w:rFonts w:ascii="Times New Roman" w:hAnsi="Times New Roman"/>
          <w:sz w:val="28"/>
          <w:szCs w:val="24"/>
          <w:lang w:eastAsia="ru-RU"/>
        </w:rPr>
        <w:t>деревень, о</w:t>
      </w:r>
      <w:r>
        <w:rPr>
          <w:rFonts w:ascii="Times New Roman" w:hAnsi="Times New Roman"/>
          <w:sz w:val="28"/>
          <w:szCs w:val="24"/>
          <w:lang w:eastAsia="ru-RU"/>
        </w:rPr>
        <w:t> </w:t>
      </w:r>
      <w:r w:rsidRPr="00640D8C">
        <w:rPr>
          <w:rFonts w:ascii="Times New Roman" w:hAnsi="Times New Roman"/>
          <w:sz w:val="28"/>
          <w:szCs w:val="24"/>
          <w:lang w:eastAsia="ru-RU"/>
        </w:rPr>
        <w:t>земляках, награждённых правительственными наградами, о</w:t>
      </w:r>
      <w:r>
        <w:rPr>
          <w:rFonts w:ascii="Times New Roman" w:hAnsi="Times New Roman"/>
          <w:sz w:val="28"/>
          <w:szCs w:val="24"/>
          <w:lang w:eastAsia="ru-RU"/>
        </w:rPr>
        <w:t> </w:t>
      </w:r>
      <w:r w:rsidRPr="00640D8C">
        <w:rPr>
          <w:rFonts w:ascii="Times New Roman" w:hAnsi="Times New Roman"/>
          <w:sz w:val="28"/>
          <w:szCs w:val="24"/>
          <w:lang w:eastAsia="ru-RU"/>
        </w:rPr>
        <w:t>репрессированных жителях, о</w:t>
      </w:r>
      <w:r>
        <w:rPr>
          <w:rFonts w:ascii="Times New Roman" w:hAnsi="Times New Roman"/>
          <w:sz w:val="28"/>
          <w:szCs w:val="24"/>
          <w:lang w:eastAsia="ru-RU"/>
        </w:rPr>
        <w:t> </w:t>
      </w:r>
      <w:r w:rsidRPr="00640D8C">
        <w:rPr>
          <w:rFonts w:ascii="Times New Roman" w:hAnsi="Times New Roman"/>
          <w:sz w:val="28"/>
          <w:szCs w:val="24"/>
          <w:lang w:eastAsia="ru-RU"/>
        </w:rPr>
        <w:t>фронтовиках, детях военного времени, родословные.</w:t>
      </w:r>
    </w:p>
    <w:p w:rsidR="002D1E45" w:rsidRDefault="002D1E45" w:rsidP="00380E4F">
      <w:pPr>
        <w:spacing w:after="0" w:line="240" w:lineRule="auto"/>
        <w:ind w:firstLine="709"/>
        <w:jc w:val="both"/>
        <w:rPr>
          <w:rFonts w:ascii="Times New Roman" w:hAnsi="Times New Roman"/>
          <w:sz w:val="28"/>
          <w:szCs w:val="24"/>
          <w:lang w:eastAsia="ru-RU"/>
        </w:rPr>
      </w:pPr>
      <w:r w:rsidRPr="00380E4F">
        <w:rPr>
          <w:rFonts w:ascii="Times New Roman" w:hAnsi="Times New Roman"/>
          <w:sz w:val="28"/>
          <w:szCs w:val="24"/>
          <w:lang w:eastAsia="ru-RU"/>
        </w:rPr>
        <w:t xml:space="preserve">В соответствии </w:t>
      </w:r>
      <w:r w:rsidRPr="00AF3509">
        <w:rPr>
          <w:rFonts w:ascii="Times New Roman" w:hAnsi="Times New Roman"/>
          <w:sz w:val="28"/>
          <w:szCs w:val="24"/>
          <w:lang w:eastAsia="ru-RU"/>
        </w:rPr>
        <w:t>распоряжени</w:t>
      </w:r>
      <w:r>
        <w:rPr>
          <w:rFonts w:ascii="Times New Roman" w:hAnsi="Times New Roman"/>
          <w:sz w:val="28"/>
          <w:szCs w:val="24"/>
          <w:lang w:eastAsia="ru-RU"/>
        </w:rPr>
        <w:t>ем</w:t>
      </w:r>
      <w:r w:rsidRPr="00AF3509">
        <w:rPr>
          <w:rFonts w:ascii="Times New Roman" w:hAnsi="Times New Roman"/>
          <w:sz w:val="28"/>
          <w:szCs w:val="24"/>
          <w:lang w:eastAsia="ru-RU"/>
        </w:rPr>
        <w:t xml:space="preserve"> Министерства</w:t>
      </w:r>
      <w:r>
        <w:rPr>
          <w:rFonts w:ascii="Times New Roman" w:hAnsi="Times New Roman"/>
          <w:sz w:val="28"/>
          <w:szCs w:val="24"/>
          <w:lang w:eastAsia="ru-RU"/>
        </w:rPr>
        <w:t xml:space="preserve"> </w:t>
      </w:r>
      <w:r w:rsidRPr="00AF3509">
        <w:rPr>
          <w:rFonts w:ascii="Times New Roman" w:hAnsi="Times New Roman"/>
          <w:sz w:val="28"/>
          <w:szCs w:val="24"/>
          <w:lang w:eastAsia="ru-RU"/>
        </w:rPr>
        <w:t>культуры Российской Федерации</w:t>
      </w:r>
      <w:r>
        <w:rPr>
          <w:rFonts w:ascii="Times New Roman" w:hAnsi="Times New Roman"/>
          <w:sz w:val="28"/>
          <w:szCs w:val="24"/>
          <w:lang w:eastAsia="ru-RU"/>
        </w:rPr>
        <w:t xml:space="preserve"> </w:t>
      </w:r>
      <w:r w:rsidRPr="00AF3509">
        <w:rPr>
          <w:rFonts w:ascii="Times New Roman" w:hAnsi="Times New Roman"/>
          <w:sz w:val="28"/>
          <w:szCs w:val="24"/>
          <w:lang w:eastAsia="ru-RU"/>
        </w:rPr>
        <w:t xml:space="preserve">от </w:t>
      </w:r>
      <w:r>
        <w:rPr>
          <w:rFonts w:ascii="Times New Roman" w:hAnsi="Times New Roman"/>
          <w:sz w:val="28"/>
          <w:szCs w:val="24"/>
          <w:lang w:eastAsia="ru-RU"/>
        </w:rPr>
        <w:t>0</w:t>
      </w:r>
      <w:r w:rsidRPr="00AF3509">
        <w:rPr>
          <w:rFonts w:ascii="Times New Roman" w:hAnsi="Times New Roman"/>
          <w:sz w:val="28"/>
          <w:szCs w:val="24"/>
          <w:lang w:eastAsia="ru-RU"/>
        </w:rPr>
        <w:t>2</w:t>
      </w:r>
      <w:r>
        <w:rPr>
          <w:rFonts w:ascii="Times New Roman" w:hAnsi="Times New Roman"/>
          <w:sz w:val="28"/>
          <w:szCs w:val="24"/>
          <w:lang w:eastAsia="ru-RU"/>
        </w:rPr>
        <w:t>.08.</w:t>
      </w:r>
      <w:r w:rsidRPr="00AF3509">
        <w:rPr>
          <w:rFonts w:ascii="Times New Roman" w:hAnsi="Times New Roman"/>
          <w:sz w:val="28"/>
          <w:szCs w:val="24"/>
          <w:lang w:eastAsia="ru-RU"/>
        </w:rPr>
        <w:t>2017</w:t>
      </w:r>
      <w:r>
        <w:rPr>
          <w:rFonts w:ascii="Times New Roman" w:hAnsi="Times New Roman"/>
          <w:sz w:val="28"/>
          <w:szCs w:val="24"/>
          <w:lang w:eastAsia="ru-RU"/>
        </w:rPr>
        <w:t xml:space="preserve"> №</w:t>
      </w:r>
      <w:r w:rsidRPr="00AF3509">
        <w:rPr>
          <w:rFonts w:ascii="Times New Roman" w:hAnsi="Times New Roman"/>
          <w:sz w:val="28"/>
          <w:szCs w:val="24"/>
          <w:lang w:eastAsia="ru-RU"/>
        </w:rPr>
        <w:t xml:space="preserve"> Р-965</w:t>
      </w:r>
      <w:r>
        <w:rPr>
          <w:rFonts w:ascii="Times New Roman" w:hAnsi="Times New Roman"/>
          <w:sz w:val="28"/>
          <w:szCs w:val="24"/>
          <w:lang w:eastAsia="ru-RU"/>
        </w:rPr>
        <w:t>, обеспеченность клубными учреждениями составляет 35 %,</w:t>
      </w:r>
      <w:r w:rsidRPr="00380E4F">
        <w:rPr>
          <w:rFonts w:ascii="Times New Roman" w:hAnsi="Times New Roman"/>
          <w:sz w:val="28"/>
          <w:szCs w:val="24"/>
          <w:lang w:eastAsia="ru-RU"/>
        </w:rPr>
        <w:t xml:space="preserve"> </w:t>
      </w:r>
      <w:r>
        <w:rPr>
          <w:rFonts w:ascii="Times New Roman" w:hAnsi="Times New Roman"/>
          <w:sz w:val="28"/>
          <w:szCs w:val="24"/>
          <w:lang w:eastAsia="ru-RU"/>
        </w:rPr>
        <w:t xml:space="preserve">библиотеками (единицами) – 100 %. </w:t>
      </w:r>
      <w:r w:rsidRPr="00380E4F">
        <w:rPr>
          <w:rFonts w:ascii="Times New Roman" w:hAnsi="Times New Roman"/>
          <w:sz w:val="28"/>
          <w:szCs w:val="24"/>
          <w:lang w:eastAsia="ru-RU"/>
        </w:rPr>
        <w:t>В</w:t>
      </w:r>
      <w:r>
        <w:rPr>
          <w:rFonts w:ascii="Times New Roman" w:hAnsi="Times New Roman"/>
          <w:sz w:val="28"/>
          <w:szCs w:val="24"/>
          <w:lang w:eastAsia="ru-RU"/>
        </w:rPr>
        <w:t> </w:t>
      </w:r>
      <w:r w:rsidRPr="00380E4F">
        <w:rPr>
          <w:rFonts w:ascii="Times New Roman" w:hAnsi="Times New Roman"/>
          <w:sz w:val="28"/>
          <w:szCs w:val="24"/>
          <w:lang w:eastAsia="ru-RU"/>
        </w:rPr>
        <w:t>соответств</w:t>
      </w:r>
      <w:r>
        <w:rPr>
          <w:rFonts w:ascii="Times New Roman" w:hAnsi="Times New Roman"/>
          <w:sz w:val="28"/>
          <w:szCs w:val="24"/>
          <w:lang w:eastAsia="ru-RU"/>
        </w:rPr>
        <w:t>ии с </w:t>
      </w:r>
      <w:r w:rsidRPr="00A867EB">
        <w:rPr>
          <w:rFonts w:ascii="Times New Roman" w:hAnsi="Times New Roman"/>
          <w:sz w:val="28"/>
          <w:szCs w:val="24"/>
          <w:lang w:eastAsia="ru-RU"/>
        </w:rPr>
        <w:t>СП 42.13330.2016 «Градостроительство, планировка и</w:t>
      </w:r>
      <w:r>
        <w:rPr>
          <w:rFonts w:ascii="Times New Roman" w:hAnsi="Times New Roman"/>
          <w:sz w:val="28"/>
          <w:szCs w:val="24"/>
          <w:lang w:eastAsia="ru-RU"/>
        </w:rPr>
        <w:t> </w:t>
      </w:r>
      <w:r w:rsidRPr="00A867EB">
        <w:rPr>
          <w:rFonts w:ascii="Times New Roman" w:hAnsi="Times New Roman"/>
          <w:sz w:val="28"/>
          <w:szCs w:val="24"/>
          <w:lang w:eastAsia="ru-RU"/>
        </w:rPr>
        <w:t>застройка городских и</w:t>
      </w:r>
      <w:r>
        <w:rPr>
          <w:rFonts w:ascii="Times New Roman" w:hAnsi="Times New Roman"/>
          <w:sz w:val="28"/>
          <w:szCs w:val="24"/>
          <w:lang w:eastAsia="ru-RU"/>
        </w:rPr>
        <w:t> </w:t>
      </w:r>
      <w:r w:rsidRPr="00A867EB">
        <w:rPr>
          <w:rFonts w:ascii="Times New Roman" w:hAnsi="Times New Roman"/>
          <w:sz w:val="28"/>
          <w:szCs w:val="24"/>
          <w:lang w:eastAsia="ru-RU"/>
        </w:rPr>
        <w:t>сельских поселений»</w:t>
      </w:r>
      <w:r>
        <w:rPr>
          <w:rFonts w:ascii="Times New Roman" w:hAnsi="Times New Roman"/>
          <w:sz w:val="28"/>
          <w:szCs w:val="24"/>
          <w:lang w:eastAsia="ru-RU"/>
        </w:rPr>
        <w:t>, обеспеченность фондами библиотек составляет 85 %, обеспеченность музеями – 100 %, парки культуры и отдыха – 100 %, кинотеатры – 300 %.</w:t>
      </w:r>
    </w:p>
    <w:p w:rsidR="002D1E45" w:rsidRDefault="002D1E45" w:rsidP="008C2F26">
      <w:pPr>
        <w:spacing w:after="0" w:line="240" w:lineRule="auto"/>
        <w:ind w:firstLine="709"/>
        <w:jc w:val="both"/>
        <w:rPr>
          <w:rFonts w:ascii="Times New Roman" w:hAnsi="Times New Roman"/>
          <w:sz w:val="28"/>
          <w:szCs w:val="24"/>
          <w:lang w:eastAsia="ru-RU"/>
        </w:rPr>
      </w:pPr>
      <w:r w:rsidRPr="005D28B1">
        <w:rPr>
          <w:rFonts w:ascii="Times New Roman" w:hAnsi="Times New Roman"/>
          <w:sz w:val="28"/>
          <w:szCs w:val="24"/>
          <w:lang w:eastAsia="ru-RU"/>
        </w:rPr>
        <w:t xml:space="preserve">Анализ деятельности </w:t>
      </w:r>
      <w:r>
        <w:rPr>
          <w:rFonts w:ascii="Times New Roman" w:hAnsi="Times New Roman"/>
          <w:sz w:val="28"/>
          <w:szCs w:val="24"/>
          <w:lang w:eastAsia="ru-RU"/>
        </w:rPr>
        <w:t xml:space="preserve">объектов культуры </w:t>
      </w:r>
      <w:r>
        <w:rPr>
          <w:rFonts w:ascii="Times New Roman" w:hAnsi="Times New Roman"/>
          <w:sz w:val="28"/>
          <w:szCs w:val="28"/>
        </w:rPr>
        <w:t>города Куйбышева</w:t>
      </w:r>
      <w:r w:rsidRPr="005D28B1">
        <w:rPr>
          <w:rFonts w:ascii="Times New Roman" w:hAnsi="Times New Roman"/>
          <w:sz w:val="28"/>
          <w:szCs w:val="24"/>
          <w:lang w:eastAsia="ru-RU"/>
        </w:rPr>
        <w:t xml:space="preserve"> свидетельствует об</w:t>
      </w:r>
      <w:r>
        <w:rPr>
          <w:rFonts w:ascii="Times New Roman" w:hAnsi="Times New Roman"/>
          <w:sz w:val="28"/>
          <w:szCs w:val="24"/>
          <w:lang w:eastAsia="ru-RU"/>
        </w:rPr>
        <w:t> </w:t>
      </w:r>
      <w:r w:rsidRPr="005D28B1">
        <w:rPr>
          <w:rFonts w:ascii="Times New Roman" w:hAnsi="Times New Roman"/>
          <w:sz w:val="28"/>
          <w:szCs w:val="24"/>
          <w:lang w:eastAsia="ru-RU"/>
        </w:rPr>
        <w:t>общих прогрессивных тенденциях, но</w:t>
      </w:r>
      <w:r>
        <w:rPr>
          <w:rFonts w:ascii="Times New Roman" w:hAnsi="Times New Roman"/>
          <w:sz w:val="28"/>
          <w:szCs w:val="24"/>
          <w:lang w:eastAsia="ru-RU"/>
        </w:rPr>
        <w:t> </w:t>
      </w:r>
      <w:r w:rsidRPr="005D28B1">
        <w:rPr>
          <w:rFonts w:ascii="Times New Roman" w:hAnsi="Times New Roman"/>
          <w:sz w:val="28"/>
          <w:szCs w:val="24"/>
          <w:lang w:eastAsia="ru-RU"/>
        </w:rPr>
        <w:t>вместе с</w:t>
      </w:r>
      <w:r>
        <w:rPr>
          <w:rFonts w:ascii="Times New Roman" w:hAnsi="Times New Roman"/>
          <w:sz w:val="28"/>
          <w:szCs w:val="24"/>
          <w:lang w:eastAsia="ru-RU"/>
        </w:rPr>
        <w:t> </w:t>
      </w:r>
      <w:r w:rsidRPr="005D28B1">
        <w:rPr>
          <w:rFonts w:ascii="Times New Roman" w:hAnsi="Times New Roman"/>
          <w:sz w:val="28"/>
          <w:szCs w:val="24"/>
          <w:lang w:eastAsia="ru-RU"/>
        </w:rPr>
        <w:t>тем в</w:t>
      </w:r>
      <w:r>
        <w:rPr>
          <w:rFonts w:ascii="Times New Roman" w:hAnsi="Times New Roman"/>
          <w:sz w:val="28"/>
          <w:szCs w:val="24"/>
          <w:lang w:eastAsia="ru-RU"/>
        </w:rPr>
        <w:t> </w:t>
      </w:r>
      <w:r w:rsidRPr="005D28B1">
        <w:rPr>
          <w:rFonts w:ascii="Times New Roman" w:hAnsi="Times New Roman"/>
          <w:sz w:val="28"/>
          <w:szCs w:val="24"/>
          <w:lang w:eastAsia="ru-RU"/>
        </w:rPr>
        <w:t>отрасли существует ряд сдерживающих факторов</w:t>
      </w:r>
      <w:r>
        <w:rPr>
          <w:rFonts w:ascii="Times New Roman" w:hAnsi="Times New Roman"/>
          <w:sz w:val="28"/>
          <w:szCs w:val="24"/>
          <w:lang w:eastAsia="ru-RU"/>
        </w:rPr>
        <w:t>.</w:t>
      </w:r>
    </w:p>
    <w:p w:rsidR="002D1E45" w:rsidRPr="005D28B1" w:rsidRDefault="002D1E45" w:rsidP="008C2F26">
      <w:pPr>
        <w:spacing w:after="0" w:line="240" w:lineRule="auto"/>
        <w:ind w:firstLine="709"/>
        <w:jc w:val="both"/>
        <w:rPr>
          <w:rFonts w:ascii="Times New Roman" w:hAnsi="Times New Roman"/>
          <w:sz w:val="28"/>
          <w:szCs w:val="24"/>
          <w:lang w:eastAsia="ru-RU"/>
        </w:rPr>
      </w:pPr>
      <w:r w:rsidRPr="008C2F26">
        <w:rPr>
          <w:rFonts w:ascii="Times New Roman" w:hAnsi="Times New Roman"/>
          <w:sz w:val="28"/>
          <w:szCs w:val="24"/>
          <w:lang w:eastAsia="ru-RU"/>
        </w:rPr>
        <w:t xml:space="preserve">Материально-техническая база </w:t>
      </w:r>
      <w:r>
        <w:rPr>
          <w:rFonts w:ascii="Times New Roman" w:hAnsi="Times New Roman"/>
          <w:sz w:val="28"/>
          <w:szCs w:val="24"/>
          <w:lang w:eastAsia="ru-RU"/>
        </w:rPr>
        <w:t>Центра</w:t>
      </w:r>
      <w:r w:rsidRPr="008C2F26">
        <w:rPr>
          <w:rFonts w:ascii="Times New Roman" w:hAnsi="Times New Roman"/>
          <w:sz w:val="28"/>
          <w:szCs w:val="24"/>
          <w:lang w:eastAsia="ru-RU"/>
        </w:rPr>
        <w:t xml:space="preserve"> культуры</w:t>
      </w:r>
      <w:r>
        <w:rPr>
          <w:rFonts w:ascii="Times New Roman" w:hAnsi="Times New Roman"/>
          <w:sz w:val="28"/>
          <w:szCs w:val="24"/>
          <w:lang w:eastAsia="ru-RU"/>
        </w:rPr>
        <w:t xml:space="preserve"> </w:t>
      </w:r>
      <w:r w:rsidRPr="008C2F26">
        <w:rPr>
          <w:rFonts w:ascii="Times New Roman" w:hAnsi="Times New Roman"/>
          <w:sz w:val="28"/>
          <w:szCs w:val="24"/>
          <w:lang w:eastAsia="ru-RU"/>
        </w:rPr>
        <w:t>и</w:t>
      </w:r>
      <w:r>
        <w:rPr>
          <w:rFonts w:ascii="Times New Roman" w:hAnsi="Times New Roman"/>
          <w:sz w:val="28"/>
          <w:szCs w:val="24"/>
          <w:lang w:eastAsia="ru-RU"/>
        </w:rPr>
        <w:t> </w:t>
      </w:r>
      <w:r w:rsidRPr="008C2F26">
        <w:rPr>
          <w:rFonts w:ascii="Times New Roman" w:hAnsi="Times New Roman"/>
          <w:sz w:val="28"/>
          <w:szCs w:val="24"/>
          <w:lang w:eastAsia="ru-RU"/>
        </w:rPr>
        <w:t>библиотек</w:t>
      </w:r>
      <w:r>
        <w:rPr>
          <w:rFonts w:ascii="Times New Roman" w:hAnsi="Times New Roman"/>
          <w:sz w:val="28"/>
          <w:szCs w:val="24"/>
          <w:lang w:eastAsia="ru-RU"/>
        </w:rPr>
        <w:t>и</w:t>
      </w:r>
      <w:r w:rsidRPr="008C2F26">
        <w:rPr>
          <w:rFonts w:ascii="Times New Roman" w:hAnsi="Times New Roman"/>
          <w:sz w:val="28"/>
          <w:szCs w:val="24"/>
          <w:lang w:eastAsia="ru-RU"/>
        </w:rPr>
        <w:t xml:space="preserve"> поддерживается на</w:t>
      </w:r>
      <w:r>
        <w:rPr>
          <w:rFonts w:ascii="Times New Roman" w:hAnsi="Times New Roman"/>
          <w:sz w:val="28"/>
          <w:szCs w:val="24"/>
          <w:lang w:eastAsia="ru-RU"/>
        </w:rPr>
        <w:t> </w:t>
      </w:r>
      <w:r w:rsidRPr="008C2F26">
        <w:rPr>
          <w:rFonts w:ascii="Times New Roman" w:hAnsi="Times New Roman"/>
          <w:sz w:val="28"/>
          <w:szCs w:val="24"/>
          <w:lang w:eastAsia="ru-RU"/>
        </w:rPr>
        <w:t>достаточно хорошем уровне, но, безусловно, требует обновления и</w:t>
      </w:r>
      <w:r>
        <w:rPr>
          <w:rFonts w:ascii="Times New Roman" w:hAnsi="Times New Roman"/>
          <w:sz w:val="28"/>
          <w:szCs w:val="24"/>
          <w:lang w:eastAsia="ru-RU"/>
        </w:rPr>
        <w:t> </w:t>
      </w:r>
      <w:r w:rsidRPr="008C2F26">
        <w:rPr>
          <w:rFonts w:ascii="Times New Roman" w:hAnsi="Times New Roman"/>
          <w:sz w:val="28"/>
          <w:szCs w:val="24"/>
          <w:lang w:eastAsia="ru-RU"/>
        </w:rPr>
        <w:t xml:space="preserve">технического совершенствования. </w:t>
      </w:r>
      <w:r>
        <w:rPr>
          <w:rFonts w:ascii="Times New Roman" w:hAnsi="Times New Roman"/>
          <w:sz w:val="28"/>
          <w:szCs w:val="24"/>
          <w:lang w:eastAsia="ru-RU"/>
        </w:rPr>
        <w:t xml:space="preserve">Объекты культуры в городе </w:t>
      </w:r>
      <w:r w:rsidRPr="008C2F26">
        <w:rPr>
          <w:rFonts w:ascii="Times New Roman" w:hAnsi="Times New Roman"/>
          <w:sz w:val="28"/>
          <w:szCs w:val="24"/>
          <w:lang w:eastAsia="ru-RU"/>
        </w:rPr>
        <w:t>выполняют функции не</w:t>
      </w:r>
      <w:r>
        <w:rPr>
          <w:rFonts w:ascii="Times New Roman" w:hAnsi="Times New Roman"/>
          <w:sz w:val="28"/>
          <w:szCs w:val="24"/>
          <w:lang w:eastAsia="ru-RU"/>
        </w:rPr>
        <w:t> </w:t>
      </w:r>
      <w:r w:rsidRPr="008C2F26">
        <w:rPr>
          <w:rFonts w:ascii="Times New Roman" w:hAnsi="Times New Roman"/>
          <w:sz w:val="28"/>
          <w:szCs w:val="24"/>
          <w:lang w:eastAsia="ru-RU"/>
        </w:rPr>
        <w:t>только по</w:t>
      </w:r>
      <w:r>
        <w:rPr>
          <w:rFonts w:ascii="Times New Roman" w:hAnsi="Times New Roman"/>
          <w:sz w:val="28"/>
          <w:szCs w:val="24"/>
          <w:lang w:eastAsia="ru-RU"/>
        </w:rPr>
        <w:t> </w:t>
      </w:r>
      <w:r w:rsidRPr="008C2F26">
        <w:rPr>
          <w:rFonts w:ascii="Times New Roman" w:hAnsi="Times New Roman"/>
          <w:sz w:val="28"/>
          <w:szCs w:val="24"/>
          <w:lang w:eastAsia="ru-RU"/>
        </w:rPr>
        <w:t>организации досуга и</w:t>
      </w:r>
      <w:r>
        <w:rPr>
          <w:rFonts w:ascii="Times New Roman" w:hAnsi="Times New Roman"/>
          <w:sz w:val="28"/>
          <w:szCs w:val="24"/>
          <w:lang w:eastAsia="ru-RU"/>
        </w:rPr>
        <w:t> </w:t>
      </w:r>
      <w:r w:rsidRPr="008C2F26">
        <w:rPr>
          <w:rFonts w:ascii="Times New Roman" w:hAnsi="Times New Roman"/>
          <w:sz w:val="28"/>
          <w:szCs w:val="24"/>
          <w:lang w:eastAsia="ru-RU"/>
        </w:rPr>
        <w:t>развития художественного творчества населения поселений, но</w:t>
      </w:r>
      <w:r>
        <w:rPr>
          <w:rFonts w:ascii="Times New Roman" w:hAnsi="Times New Roman"/>
          <w:sz w:val="28"/>
          <w:szCs w:val="24"/>
          <w:lang w:eastAsia="ru-RU"/>
        </w:rPr>
        <w:t> </w:t>
      </w:r>
      <w:r w:rsidRPr="008C2F26">
        <w:rPr>
          <w:rFonts w:ascii="Times New Roman" w:hAnsi="Times New Roman"/>
          <w:sz w:val="28"/>
          <w:szCs w:val="24"/>
          <w:lang w:eastAsia="ru-RU"/>
        </w:rPr>
        <w:t>и</w:t>
      </w:r>
      <w:r>
        <w:rPr>
          <w:rFonts w:ascii="Times New Roman" w:hAnsi="Times New Roman"/>
          <w:sz w:val="28"/>
          <w:szCs w:val="24"/>
          <w:lang w:eastAsia="ru-RU"/>
        </w:rPr>
        <w:t> </w:t>
      </w:r>
      <w:r w:rsidRPr="008C2F26">
        <w:rPr>
          <w:rFonts w:ascii="Times New Roman" w:hAnsi="Times New Roman"/>
          <w:sz w:val="28"/>
          <w:szCs w:val="24"/>
          <w:lang w:eastAsia="ru-RU"/>
        </w:rPr>
        <w:t>являются площадкой для проведения мероприятий районного уровня. Показатели участия населения в</w:t>
      </w:r>
      <w:r>
        <w:rPr>
          <w:rFonts w:ascii="Times New Roman" w:hAnsi="Times New Roman"/>
          <w:sz w:val="28"/>
          <w:szCs w:val="24"/>
          <w:lang w:eastAsia="ru-RU"/>
        </w:rPr>
        <w:t> </w:t>
      </w:r>
      <w:r w:rsidRPr="008C2F26">
        <w:rPr>
          <w:rFonts w:ascii="Times New Roman" w:hAnsi="Times New Roman"/>
          <w:sz w:val="28"/>
          <w:szCs w:val="24"/>
          <w:lang w:eastAsia="ru-RU"/>
        </w:rPr>
        <w:t>культурной жизни на</w:t>
      </w:r>
      <w:r>
        <w:rPr>
          <w:rFonts w:ascii="Times New Roman" w:hAnsi="Times New Roman"/>
          <w:sz w:val="28"/>
          <w:szCs w:val="24"/>
          <w:lang w:eastAsia="ru-RU"/>
        </w:rPr>
        <w:t> </w:t>
      </w:r>
      <w:r w:rsidRPr="008C2F26">
        <w:rPr>
          <w:rFonts w:ascii="Times New Roman" w:hAnsi="Times New Roman"/>
          <w:sz w:val="28"/>
          <w:szCs w:val="24"/>
          <w:lang w:eastAsia="ru-RU"/>
        </w:rPr>
        <w:t>протяжении ряда лет имеют положительную тенденцию по</w:t>
      </w:r>
      <w:r>
        <w:rPr>
          <w:rFonts w:ascii="Times New Roman" w:hAnsi="Times New Roman"/>
          <w:sz w:val="28"/>
          <w:szCs w:val="24"/>
          <w:lang w:eastAsia="ru-RU"/>
        </w:rPr>
        <w:t> </w:t>
      </w:r>
      <w:r w:rsidRPr="008C2F26">
        <w:rPr>
          <w:rFonts w:ascii="Times New Roman" w:hAnsi="Times New Roman"/>
          <w:sz w:val="28"/>
          <w:szCs w:val="24"/>
          <w:lang w:eastAsia="ru-RU"/>
        </w:rPr>
        <w:t>ряду характеристик, включающих количество проводимых мероприятий и</w:t>
      </w:r>
      <w:r>
        <w:rPr>
          <w:rFonts w:ascii="Times New Roman" w:hAnsi="Times New Roman"/>
          <w:sz w:val="28"/>
          <w:szCs w:val="24"/>
          <w:lang w:eastAsia="ru-RU"/>
        </w:rPr>
        <w:t> </w:t>
      </w:r>
      <w:r w:rsidRPr="008C2F26">
        <w:rPr>
          <w:rFonts w:ascii="Times New Roman" w:hAnsi="Times New Roman"/>
          <w:sz w:val="28"/>
          <w:szCs w:val="24"/>
          <w:lang w:eastAsia="ru-RU"/>
        </w:rPr>
        <w:t>их</w:t>
      </w:r>
      <w:r>
        <w:rPr>
          <w:rFonts w:ascii="Times New Roman" w:hAnsi="Times New Roman"/>
          <w:sz w:val="28"/>
          <w:szCs w:val="24"/>
          <w:lang w:eastAsia="ru-RU"/>
        </w:rPr>
        <w:t> </w:t>
      </w:r>
      <w:r w:rsidRPr="008C2F26">
        <w:rPr>
          <w:rFonts w:ascii="Times New Roman" w:hAnsi="Times New Roman"/>
          <w:sz w:val="28"/>
          <w:szCs w:val="24"/>
          <w:lang w:eastAsia="ru-RU"/>
        </w:rPr>
        <w:t>участников. Проводится работа по</w:t>
      </w:r>
      <w:r>
        <w:rPr>
          <w:rFonts w:ascii="Times New Roman" w:hAnsi="Times New Roman"/>
          <w:sz w:val="28"/>
          <w:szCs w:val="24"/>
          <w:lang w:eastAsia="ru-RU"/>
        </w:rPr>
        <w:t> </w:t>
      </w:r>
      <w:r w:rsidRPr="008C2F26">
        <w:rPr>
          <w:rFonts w:ascii="Times New Roman" w:hAnsi="Times New Roman"/>
          <w:sz w:val="28"/>
          <w:szCs w:val="24"/>
          <w:lang w:eastAsia="ru-RU"/>
        </w:rPr>
        <w:t>развитию платных услуг населению.</w:t>
      </w:r>
    </w:p>
    <w:p w:rsidR="002D1E45" w:rsidRDefault="002D1E45" w:rsidP="005D28B1">
      <w:pPr>
        <w:spacing w:after="0" w:line="240" w:lineRule="auto"/>
        <w:ind w:firstLine="709"/>
        <w:jc w:val="both"/>
        <w:rPr>
          <w:rFonts w:ascii="Times New Roman" w:hAnsi="Times New Roman"/>
          <w:sz w:val="28"/>
          <w:szCs w:val="24"/>
          <w:lang w:eastAsia="ru-RU"/>
        </w:rPr>
      </w:pPr>
      <w:r w:rsidRPr="00737D10">
        <w:rPr>
          <w:rFonts w:ascii="Times New Roman" w:hAnsi="Times New Roman"/>
          <w:sz w:val="28"/>
          <w:szCs w:val="24"/>
          <w:lang w:eastAsia="ru-RU"/>
        </w:rPr>
        <w:t>Особое место в</w:t>
      </w:r>
      <w:r>
        <w:rPr>
          <w:rFonts w:ascii="Times New Roman" w:hAnsi="Times New Roman"/>
          <w:sz w:val="28"/>
          <w:szCs w:val="24"/>
          <w:lang w:eastAsia="ru-RU"/>
        </w:rPr>
        <w:t> </w:t>
      </w:r>
      <w:r w:rsidRPr="00737D10">
        <w:rPr>
          <w:rFonts w:ascii="Times New Roman" w:hAnsi="Times New Roman"/>
          <w:sz w:val="28"/>
          <w:szCs w:val="24"/>
          <w:lang w:eastAsia="ru-RU"/>
        </w:rPr>
        <w:t>совершенствовании качества предоставления муниципальных услуг, занимает вопрос уровня профессиональной компетенции работников учреждений. На</w:t>
      </w:r>
      <w:r>
        <w:rPr>
          <w:rFonts w:ascii="Times New Roman" w:hAnsi="Times New Roman"/>
          <w:sz w:val="28"/>
          <w:szCs w:val="24"/>
          <w:lang w:eastAsia="ru-RU"/>
        </w:rPr>
        <w:t> </w:t>
      </w:r>
      <w:r w:rsidRPr="00737D10">
        <w:rPr>
          <w:rFonts w:ascii="Times New Roman" w:hAnsi="Times New Roman"/>
          <w:sz w:val="28"/>
          <w:szCs w:val="24"/>
          <w:lang w:eastAsia="ru-RU"/>
        </w:rPr>
        <w:t>постоянной основе ведётся работа, направленная на</w:t>
      </w:r>
      <w:r>
        <w:rPr>
          <w:rFonts w:ascii="Times New Roman" w:hAnsi="Times New Roman"/>
          <w:sz w:val="28"/>
          <w:szCs w:val="24"/>
          <w:lang w:eastAsia="ru-RU"/>
        </w:rPr>
        <w:t> </w:t>
      </w:r>
      <w:r w:rsidRPr="00737D10">
        <w:rPr>
          <w:rFonts w:ascii="Times New Roman" w:hAnsi="Times New Roman"/>
          <w:sz w:val="28"/>
          <w:szCs w:val="24"/>
          <w:lang w:eastAsia="ru-RU"/>
        </w:rPr>
        <w:t>повышение квалификации работников, совершенствования уровня их</w:t>
      </w:r>
      <w:r>
        <w:rPr>
          <w:rFonts w:ascii="Times New Roman" w:hAnsi="Times New Roman"/>
          <w:sz w:val="28"/>
          <w:szCs w:val="24"/>
          <w:lang w:eastAsia="ru-RU"/>
        </w:rPr>
        <w:t> </w:t>
      </w:r>
      <w:r w:rsidRPr="00737D10">
        <w:rPr>
          <w:rFonts w:ascii="Times New Roman" w:hAnsi="Times New Roman"/>
          <w:sz w:val="28"/>
          <w:szCs w:val="24"/>
          <w:lang w:eastAsia="ru-RU"/>
        </w:rPr>
        <w:t>профессиональной подготовки.</w:t>
      </w:r>
    </w:p>
    <w:p w:rsidR="002D1E45" w:rsidRDefault="002D1E45" w:rsidP="005D28B1">
      <w:pPr>
        <w:spacing w:after="0" w:line="240" w:lineRule="auto"/>
        <w:ind w:firstLine="709"/>
        <w:jc w:val="both"/>
        <w:rPr>
          <w:rFonts w:ascii="Times New Roman" w:hAnsi="Times New Roman"/>
          <w:sz w:val="28"/>
          <w:szCs w:val="24"/>
          <w:lang w:eastAsia="ru-RU"/>
        </w:rPr>
      </w:pPr>
      <w:r w:rsidRPr="00737D10">
        <w:rPr>
          <w:rFonts w:ascii="Times New Roman" w:hAnsi="Times New Roman"/>
          <w:sz w:val="28"/>
          <w:szCs w:val="24"/>
          <w:lang w:eastAsia="ru-RU"/>
        </w:rPr>
        <w:t>Тем не</w:t>
      </w:r>
      <w:r>
        <w:rPr>
          <w:rFonts w:ascii="Times New Roman" w:hAnsi="Times New Roman"/>
          <w:sz w:val="28"/>
          <w:szCs w:val="24"/>
          <w:lang w:eastAsia="ru-RU"/>
        </w:rPr>
        <w:t> </w:t>
      </w:r>
      <w:r w:rsidRPr="00737D10">
        <w:rPr>
          <w:rFonts w:ascii="Times New Roman" w:hAnsi="Times New Roman"/>
          <w:sz w:val="28"/>
          <w:szCs w:val="24"/>
          <w:lang w:eastAsia="ru-RU"/>
        </w:rPr>
        <w:t>менее, вследствие отсутствия кадрового резерва в</w:t>
      </w:r>
      <w:r>
        <w:rPr>
          <w:rFonts w:ascii="Times New Roman" w:hAnsi="Times New Roman"/>
          <w:sz w:val="28"/>
          <w:szCs w:val="24"/>
          <w:lang w:eastAsia="ru-RU"/>
        </w:rPr>
        <w:t> </w:t>
      </w:r>
      <w:r w:rsidRPr="00737D10">
        <w:rPr>
          <w:rFonts w:ascii="Times New Roman" w:hAnsi="Times New Roman"/>
          <w:sz w:val="28"/>
          <w:szCs w:val="24"/>
          <w:lang w:eastAsia="ru-RU"/>
        </w:rPr>
        <w:t>сфере культуры наблюдаются тенденции «старения» творческого персонала, отрасль испытывает острый дефицит в</w:t>
      </w:r>
      <w:r>
        <w:rPr>
          <w:rFonts w:ascii="Times New Roman" w:hAnsi="Times New Roman"/>
          <w:sz w:val="28"/>
          <w:szCs w:val="24"/>
          <w:lang w:eastAsia="ru-RU"/>
        </w:rPr>
        <w:t> </w:t>
      </w:r>
      <w:r w:rsidRPr="00737D10">
        <w:rPr>
          <w:rFonts w:ascii="Times New Roman" w:hAnsi="Times New Roman"/>
          <w:sz w:val="28"/>
          <w:szCs w:val="24"/>
          <w:lang w:eastAsia="ru-RU"/>
        </w:rPr>
        <w:t>специалистах определённой профессиональной квалификации: хореографы, режиссёры, преподаватели образовательных учреждений сферы культуры.</w:t>
      </w:r>
    </w:p>
    <w:p w:rsidR="002D1E45" w:rsidRDefault="002D1E45" w:rsidP="005D28B1">
      <w:pPr>
        <w:spacing w:after="0" w:line="240" w:lineRule="auto"/>
        <w:ind w:firstLine="709"/>
        <w:jc w:val="both"/>
        <w:rPr>
          <w:rFonts w:ascii="Times New Roman" w:hAnsi="Times New Roman"/>
          <w:sz w:val="28"/>
          <w:szCs w:val="24"/>
          <w:lang w:eastAsia="ru-RU"/>
        </w:rPr>
      </w:pPr>
      <w:r w:rsidRPr="00737D10">
        <w:rPr>
          <w:rFonts w:ascii="Times New Roman" w:hAnsi="Times New Roman"/>
          <w:sz w:val="28"/>
          <w:szCs w:val="24"/>
          <w:lang w:eastAsia="ru-RU"/>
        </w:rPr>
        <w:t xml:space="preserve">Уровень компьютеризации библиотек </w:t>
      </w:r>
      <w:r>
        <w:rPr>
          <w:rFonts w:ascii="Times New Roman" w:hAnsi="Times New Roman"/>
          <w:sz w:val="28"/>
          <w:szCs w:val="24"/>
          <w:lang w:eastAsia="ru-RU"/>
        </w:rPr>
        <w:t xml:space="preserve">анализируемых населённых пунктов </w:t>
      </w:r>
      <w:r w:rsidRPr="00737D10">
        <w:rPr>
          <w:rFonts w:ascii="Times New Roman" w:hAnsi="Times New Roman"/>
          <w:sz w:val="28"/>
          <w:szCs w:val="24"/>
          <w:lang w:eastAsia="ru-RU"/>
        </w:rPr>
        <w:t>и</w:t>
      </w:r>
      <w:r>
        <w:rPr>
          <w:rFonts w:ascii="Times New Roman" w:hAnsi="Times New Roman"/>
          <w:sz w:val="28"/>
          <w:szCs w:val="24"/>
          <w:lang w:eastAsia="ru-RU"/>
        </w:rPr>
        <w:t> </w:t>
      </w:r>
      <w:r w:rsidRPr="00737D10">
        <w:rPr>
          <w:rFonts w:ascii="Times New Roman" w:hAnsi="Times New Roman"/>
          <w:sz w:val="28"/>
          <w:szCs w:val="24"/>
          <w:lang w:eastAsia="ru-RU"/>
        </w:rPr>
        <w:t>обеспечение доступа в</w:t>
      </w:r>
      <w:r>
        <w:rPr>
          <w:rFonts w:ascii="Times New Roman" w:hAnsi="Times New Roman"/>
          <w:sz w:val="28"/>
          <w:szCs w:val="24"/>
          <w:lang w:eastAsia="ru-RU"/>
        </w:rPr>
        <w:t> </w:t>
      </w:r>
      <w:r w:rsidRPr="00737D10">
        <w:rPr>
          <w:rFonts w:ascii="Times New Roman" w:hAnsi="Times New Roman"/>
          <w:sz w:val="28"/>
          <w:szCs w:val="24"/>
          <w:lang w:eastAsia="ru-RU"/>
        </w:rPr>
        <w:t xml:space="preserve">Интернет </w:t>
      </w:r>
      <w:r>
        <w:rPr>
          <w:rFonts w:ascii="Times New Roman" w:hAnsi="Times New Roman"/>
          <w:sz w:val="28"/>
          <w:szCs w:val="24"/>
          <w:lang w:eastAsia="ru-RU"/>
        </w:rPr>
        <w:t>составляют</w:t>
      </w:r>
      <w:r w:rsidRPr="00737D10">
        <w:rPr>
          <w:rFonts w:ascii="Times New Roman" w:hAnsi="Times New Roman"/>
          <w:sz w:val="28"/>
          <w:szCs w:val="24"/>
          <w:lang w:eastAsia="ru-RU"/>
        </w:rPr>
        <w:t xml:space="preserve"> </w:t>
      </w:r>
      <w:r>
        <w:rPr>
          <w:rFonts w:ascii="Times New Roman" w:hAnsi="Times New Roman"/>
          <w:sz w:val="28"/>
          <w:szCs w:val="24"/>
          <w:lang w:eastAsia="ru-RU"/>
        </w:rPr>
        <w:t>10</w:t>
      </w:r>
      <w:r w:rsidRPr="00737D10">
        <w:rPr>
          <w:rFonts w:ascii="Times New Roman" w:hAnsi="Times New Roman"/>
          <w:sz w:val="28"/>
          <w:szCs w:val="24"/>
          <w:lang w:eastAsia="ru-RU"/>
        </w:rPr>
        <w:t>0 %. Штатная численность и</w:t>
      </w:r>
      <w:r>
        <w:rPr>
          <w:rFonts w:ascii="Times New Roman" w:hAnsi="Times New Roman"/>
          <w:sz w:val="28"/>
          <w:szCs w:val="24"/>
          <w:lang w:eastAsia="ru-RU"/>
        </w:rPr>
        <w:t> </w:t>
      </w:r>
      <w:r w:rsidRPr="00737D10">
        <w:rPr>
          <w:rFonts w:ascii="Times New Roman" w:hAnsi="Times New Roman"/>
          <w:sz w:val="28"/>
          <w:szCs w:val="24"/>
          <w:lang w:eastAsia="ru-RU"/>
        </w:rPr>
        <w:t xml:space="preserve">профессиональная квалификация </w:t>
      </w:r>
      <w:r>
        <w:rPr>
          <w:rFonts w:ascii="Times New Roman" w:hAnsi="Times New Roman"/>
          <w:sz w:val="28"/>
          <w:szCs w:val="24"/>
          <w:lang w:eastAsia="ru-RU"/>
        </w:rPr>
        <w:t xml:space="preserve">работников отрасли культуры поселения </w:t>
      </w:r>
      <w:r w:rsidRPr="00737D10">
        <w:rPr>
          <w:rFonts w:ascii="Times New Roman" w:hAnsi="Times New Roman"/>
          <w:sz w:val="28"/>
          <w:szCs w:val="24"/>
          <w:lang w:eastAsia="ru-RU"/>
        </w:rPr>
        <w:t xml:space="preserve">соответствует </w:t>
      </w:r>
      <w:r>
        <w:rPr>
          <w:rFonts w:ascii="Times New Roman" w:hAnsi="Times New Roman"/>
          <w:sz w:val="28"/>
          <w:szCs w:val="24"/>
          <w:lang w:eastAsia="ru-RU"/>
        </w:rPr>
        <w:t xml:space="preserve">установленным </w:t>
      </w:r>
      <w:r w:rsidRPr="00737D10">
        <w:rPr>
          <w:rFonts w:ascii="Times New Roman" w:hAnsi="Times New Roman"/>
          <w:sz w:val="28"/>
          <w:szCs w:val="24"/>
          <w:lang w:eastAsia="ru-RU"/>
        </w:rPr>
        <w:t>нормативам.</w:t>
      </w:r>
    </w:p>
    <w:p w:rsidR="002D1E45" w:rsidRDefault="002D1E45" w:rsidP="005D28B1">
      <w:pPr>
        <w:spacing w:after="0" w:line="240" w:lineRule="auto"/>
        <w:ind w:firstLine="709"/>
        <w:jc w:val="both"/>
        <w:rPr>
          <w:rFonts w:ascii="Times New Roman" w:hAnsi="Times New Roman"/>
          <w:sz w:val="28"/>
          <w:szCs w:val="24"/>
          <w:lang w:eastAsia="ru-RU"/>
        </w:rPr>
      </w:pPr>
    </w:p>
    <w:p w:rsidR="002D1E45" w:rsidRPr="005D28B1" w:rsidRDefault="002D1E45" w:rsidP="005D28B1">
      <w:pPr>
        <w:spacing w:after="0" w:line="240" w:lineRule="auto"/>
        <w:ind w:firstLine="709"/>
        <w:jc w:val="both"/>
        <w:rPr>
          <w:rFonts w:ascii="Times New Roman" w:hAnsi="Times New Roman"/>
          <w:i/>
          <w:sz w:val="28"/>
          <w:szCs w:val="24"/>
          <w:u w:val="single"/>
          <w:lang w:eastAsia="ru-RU"/>
        </w:rPr>
      </w:pPr>
      <w:r w:rsidRPr="0063654F">
        <w:rPr>
          <w:rFonts w:ascii="Times New Roman" w:hAnsi="Times New Roman"/>
          <w:i/>
          <w:sz w:val="28"/>
          <w:szCs w:val="24"/>
          <w:u w:val="single"/>
          <w:lang w:eastAsia="ru-RU"/>
        </w:rPr>
        <w:t>Физическая культура и спорт</w:t>
      </w:r>
    </w:p>
    <w:p w:rsidR="002D1E45" w:rsidRDefault="002D1E45" w:rsidP="003A4A59">
      <w:pPr>
        <w:spacing w:after="0" w:line="240" w:lineRule="auto"/>
        <w:ind w:firstLine="709"/>
        <w:jc w:val="both"/>
        <w:rPr>
          <w:rFonts w:ascii="Times New Roman" w:hAnsi="Times New Roman"/>
          <w:sz w:val="28"/>
          <w:szCs w:val="24"/>
          <w:lang w:eastAsia="ru-RU"/>
        </w:rPr>
      </w:pPr>
      <w:r w:rsidRPr="003A4A59">
        <w:rPr>
          <w:rFonts w:ascii="Times New Roman" w:hAnsi="Times New Roman"/>
          <w:sz w:val="28"/>
          <w:szCs w:val="24"/>
          <w:lang w:eastAsia="ru-RU"/>
        </w:rPr>
        <w:t>Основными направлениями в</w:t>
      </w:r>
      <w:r>
        <w:rPr>
          <w:rFonts w:ascii="Times New Roman" w:hAnsi="Times New Roman"/>
          <w:sz w:val="28"/>
          <w:szCs w:val="24"/>
          <w:lang w:eastAsia="ru-RU"/>
        </w:rPr>
        <w:t> </w:t>
      </w:r>
      <w:r w:rsidRPr="003A4A59">
        <w:rPr>
          <w:rFonts w:ascii="Times New Roman" w:hAnsi="Times New Roman"/>
          <w:sz w:val="28"/>
          <w:szCs w:val="24"/>
          <w:lang w:eastAsia="ru-RU"/>
        </w:rPr>
        <w:t>области физической культуры и</w:t>
      </w:r>
      <w:r>
        <w:rPr>
          <w:rFonts w:ascii="Times New Roman" w:hAnsi="Times New Roman"/>
          <w:sz w:val="28"/>
          <w:szCs w:val="24"/>
          <w:lang w:eastAsia="ru-RU"/>
        </w:rPr>
        <w:t> </w:t>
      </w:r>
      <w:r w:rsidRPr="003A4A59">
        <w:rPr>
          <w:rFonts w:ascii="Times New Roman" w:hAnsi="Times New Roman"/>
          <w:sz w:val="28"/>
          <w:szCs w:val="24"/>
          <w:lang w:eastAsia="ru-RU"/>
        </w:rPr>
        <w:t>массового спорта являются привлечение жителей муниципального образования к</w:t>
      </w:r>
      <w:r>
        <w:rPr>
          <w:rFonts w:ascii="Times New Roman" w:hAnsi="Times New Roman"/>
          <w:sz w:val="28"/>
          <w:szCs w:val="24"/>
          <w:lang w:eastAsia="ru-RU"/>
        </w:rPr>
        <w:t> </w:t>
      </w:r>
      <w:r w:rsidRPr="003A4A59">
        <w:rPr>
          <w:rFonts w:ascii="Times New Roman" w:hAnsi="Times New Roman"/>
          <w:sz w:val="28"/>
          <w:szCs w:val="24"/>
          <w:lang w:eastAsia="ru-RU"/>
        </w:rPr>
        <w:t>занятиям физической культурой и</w:t>
      </w:r>
      <w:r>
        <w:rPr>
          <w:rFonts w:ascii="Times New Roman" w:hAnsi="Times New Roman"/>
          <w:sz w:val="28"/>
          <w:szCs w:val="24"/>
          <w:lang w:eastAsia="ru-RU"/>
        </w:rPr>
        <w:t> </w:t>
      </w:r>
      <w:r w:rsidRPr="003A4A59">
        <w:rPr>
          <w:rFonts w:ascii="Times New Roman" w:hAnsi="Times New Roman"/>
          <w:sz w:val="28"/>
          <w:szCs w:val="24"/>
          <w:lang w:eastAsia="ru-RU"/>
        </w:rPr>
        <w:t>спортом, развитие детско-юношеского спорта, пропаганда здорового образа жизни, военно-патриотическое воспитание молодёжи и</w:t>
      </w:r>
      <w:r>
        <w:rPr>
          <w:rFonts w:ascii="Times New Roman" w:hAnsi="Times New Roman"/>
          <w:sz w:val="28"/>
          <w:szCs w:val="24"/>
          <w:lang w:eastAsia="ru-RU"/>
        </w:rPr>
        <w:t> </w:t>
      </w:r>
      <w:r w:rsidRPr="003A4A59">
        <w:rPr>
          <w:rFonts w:ascii="Times New Roman" w:hAnsi="Times New Roman"/>
          <w:sz w:val="28"/>
          <w:szCs w:val="24"/>
          <w:lang w:eastAsia="ru-RU"/>
        </w:rPr>
        <w:t xml:space="preserve">подростков. </w:t>
      </w:r>
    </w:p>
    <w:p w:rsidR="002D1E45" w:rsidRDefault="002D1E45" w:rsidP="0063654F">
      <w:pPr>
        <w:spacing w:after="0" w:line="240" w:lineRule="auto"/>
        <w:ind w:firstLine="709"/>
        <w:jc w:val="both"/>
        <w:rPr>
          <w:rFonts w:ascii="Times New Roman" w:hAnsi="Times New Roman"/>
          <w:sz w:val="28"/>
          <w:szCs w:val="24"/>
          <w:lang w:eastAsia="ru-RU"/>
        </w:rPr>
      </w:pPr>
      <w:r w:rsidRPr="00FA1DE7">
        <w:rPr>
          <w:rFonts w:ascii="Times New Roman" w:hAnsi="Times New Roman"/>
          <w:sz w:val="28"/>
          <w:szCs w:val="24"/>
          <w:lang w:eastAsia="ru-RU"/>
        </w:rPr>
        <w:t>В области физической культуры и</w:t>
      </w:r>
      <w:r>
        <w:rPr>
          <w:rFonts w:ascii="Times New Roman" w:hAnsi="Times New Roman"/>
          <w:sz w:val="28"/>
          <w:szCs w:val="24"/>
          <w:lang w:eastAsia="ru-RU"/>
        </w:rPr>
        <w:t> </w:t>
      </w:r>
      <w:r w:rsidRPr="00FA1DE7">
        <w:rPr>
          <w:rFonts w:ascii="Times New Roman" w:hAnsi="Times New Roman"/>
          <w:sz w:val="28"/>
          <w:szCs w:val="24"/>
          <w:lang w:eastAsia="ru-RU"/>
        </w:rPr>
        <w:t>массового спорта в</w:t>
      </w:r>
      <w:r>
        <w:rPr>
          <w:rFonts w:ascii="Times New Roman" w:hAnsi="Times New Roman"/>
          <w:sz w:val="28"/>
          <w:szCs w:val="24"/>
          <w:lang w:eastAsia="ru-RU"/>
        </w:rPr>
        <w:t> городе</w:t>
      </w:r>
      <w:r w:rsidRPr="00FA1DE7">
        <w:rPr>
          <w:rFonts w:ascii="Times New Roman" w:hAnsi="Times New Roman"/>
          <w:sz w:val="28"/>
          <w:szCs w:val="24"/>
          <w:lang w:eastAsia="ru-RU"/>
        </w:rPr>
        <w:t xml:space="preserve"> функционируют</w:t>
      </w:r>
      <w:r>
        <w:rPr>
          <w:rFonts w:ascii="Times New Roman" w:hAnsi="Times New Roman"/>
          <w:sz w:val="28"/>
          <w:szCs w:val="24"/>
          <w:lang w:eastAsia="ru-RU"/>
        </w:rPr>
        <w:t xml:space="preserve"> несколько общедоступных спортивных объектов крытого и открытого типа.</w:t>
      </w:r>
    </w:p>
    <w:p w:rsidR="002D1E45" w:rsidRPr="001D4B4C" w:rsidRDefault="002D1E45" w:rsidP="0063654F">
      <w:pPr>
        <w:shd w:val="clear" w:color="auto" w:fill="FFFFFF"/>
        <w:spacing w:after="0" w:line="240" w:lineRule="auto"/>
        <w:jc w:val="right"/>
        <w:rPr>
          <w:rFonts w:ascii="Times New Roman" w:hAnsi="Times New Roman"/>
          <w:sz w:val="28"/>
          <w:szCs w:val="28"/>
          <w:lang w:eastAsia="ru-RU"/>
        </w:rPr>
      </w:pPr>
      <w:r w:rsidRPr="001D4B4C">
        <w:rPr>
          <w:rFonts w:ascii="Times New Roman" w:hAnsi="Times New Roman"/>
          <w:sz w:val="28"/>
          <w:szCs w:val="28"/>
          <w:lang w:eastAsia="ru-RU"/>
        </w:rPr>
        <w:t>Таблица 23</w:t>
      </w:r>
    </w:p>
    <w:p w:rsidR="002D1E45" w:rsidRDefault="002D1E45" w:rsidP="0063654F">
      <w:pPr>
        <w:shd w:val="clear" w:color="auto" w:fill="FFFFFF"/>
        <w:spacing w:after="120" w:line="240" w:lineRule="auto"/>
        <w:jc w:val="center"/>
        <w:rPr>
          <w:rFonts w:ascii="Times New Roman" w:hAnsi="Times New Roman"/>
          <w:sz w:val="28"/>
          <w:szCs w:val="28"/>
          <w:lang w:eastAsia="ru-RU"/>
        </w:rPr>
      </w:pPr>
      <w:r w:rsidRPr="0063654F">
        <w:rPr>
          <w:rFonts w:ascii="Times New Roman" w:hAnsi="Times New Roman"/>
          <w:sz w:val="28"/>
          <w:szCs w:val="28"/>
          <w:lang w:eastAsia="ru-RU"/>
        </w:rPr>
        <w:t xml:space="preserve">Количество и </w:t>
      </w:r>
      <w:r>
        <w:rPr>
          <w:rFonts w:ascii="Times New Roman" w:hAnsi="Times New Roman"/>
          <w:sz w:val="28"/>
          <w:szCs w:val="28"/>
          <w:lang w:eastAsia="ru-RU"/>
        </w:rPr>
        <w:t>п</w:t>
      </w:r>
      <w:r w:rsidRPr="0063654F">
        <w:rPr>
          <w:rFonts w:ascii="Times New Roman" w:hAnsi="Times New Roman"/>
          <w:sz w:val="28"/>
          <w:szCs w:val="28"/>
          <w:lang w:eastAsia="ru-RU"/>
        </w:rPr>
        <w:t>лощадь спортивных залов и плавательных бассейнов</w:t>
      </w:r>
      <w:r>
        <w:rPr>
          <w:rFonts w:ascii="Times New Roman" w:hAnsi="Times New Roman"/>
          <w:sz w:val="28"/>
          <w:szCs w:val="28"/>
          <w:lang w:eastAsia="ru-RU"/>
        </w:rPr>
        <w:t xml:space="preserve"> </w:t>
      </w:r>
      <w:r w:rsidRPr="0063654F">
        <w:rPr>
          <w:rFonts w:ascii="Times New Roman" w:hAnsi="Times New Roman"/>
          <w:sz w:val="28"/>
          <w:szCs w:val="28"/>
          <w:lang w:eastAsia="ru-RU"/>
        </w:rPr>
        <w:t>(включая школьные) на территории города Куйбышева</w:t>
      </w:r>
      <w:r>
        <w:rPr>
          <w:rFonts w:ascii="Times New Roman" w:hAnsi="Times New Roman"/>
          <w:sz w:val="28"/>
          <w:szCs w:val="28"/>
          <w:lang w:eastAsia="ru-RU"/>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4673"/>
        <w:gridCol w:w="1511"/>
        <w:gridCol w:w="3116"/>
      </w:tblGrid>
      <w:tr w:rsidR="002D1E45" w:rsidRPr="00AC308A" w:rsidTr="00322C86">
        <w:trPr>
          <w:trHeight w:val="57"/>
          <w:tblHeader/>
          <w:jc w:val="center"/>
        </w:trPr>
        <w:tc>
          <w:tcPr>
            <w:tcW w:w="4673" w:type="dxa"/>
            <w:shd w:val="clear" w:color="auto" w:fill="FFFFFF"/>
            <w:vAlign w:val="center"/>
          </w:tcPr>
          <w:p w:rsidR="002D1E45" w:rsidRPr="00AC308A" w:rsidRDefault="002D1E45" w:rsidP="00AC308A">
            <w:pPr>
              <w:spacing w:after="0" w:line="240" w:lineRule="auto"/>
              <w:jc w:val="center"/>
              <w:rPr>
                <w:rFonts w:ascii="Times New Roman" w:hAnsi="Times New Roman"/>
                <w:lang w:eastAsia="ru-RU"/>
              </w:rPr>
            </w:pPr>
            <w:r w:rsidRPr="00AC308A">
              <w:rPr>
                <w:rFonts w:ascii="Times New Roman" w:hAnsi="Times New Roman"/>
                <w:color w:val="000000"/>
                <w:lang w:eastAsia="ru-RU"/>
              </w:rPr>
              <w:t>Наименование объекта и адрес</w:t>
            </w:r>
          </w:p>
        </w:tc>
        <w:tc>
          <w:tcPr>
            <w:tcW w:w="1511" w:type="dxa"/>
            <w:shd w:val="clear" w:color="auto" w:fill="FFFFFF"/>
          </w:tcPr>
          <w:p w:rsidR="002D1E45" w:rsidRPr="00AC308A" w:rsidRDefault="002D1E45" w:rsidP="00AC308A">
            <w:pPr>
              <w:spacing w:after="0" w:line="240" w:lineRule="auto"/>
              <w:jc w:val="center"/>
              <w:rPr>
                <w:rFonts w:ascii="Times New Roman" w:hAnsi="Times New Roman"/>
                <w:lang w:eastAsia="ru-RU"/>
              </w:rPr>
            </w:pPr>
            <w:r w:rsidRPr="00AC308A">
              <w:rPr>
                <w:rFonts w:ascii="Times New Roman" w:hAnsi="Times New Roman"/>
                <w:color w:val="000000"/>
                <w:lang w:eastAsia="ru-RU"/>
              </w:rPr>
              <w:t>Количество объектов</w:t>
            </w:r>
          </w:p>
        </w:tc>
        <w:tc>
          <w:tcPr>
            <w:tcW w:w="3116" w:type="dxa"/>
            <w:shd w:val="clear" w:color="auto" w:fill="FFFFFF"/>
            <w:vAlign w:val="bottom"/>
          </w:tcPr>
          <w:p w:rsidR="002D1E45" w:rsidRPr="00AC308A" w:rsidRDefault="002D1E45" w:rsidP="00AC308A">
            <w:pPr>
              <w:spacing w:after="0" w:line="240" w:lineRule="auto"/>
              <w:jc w:val="center"/>
              <w:rPr>
                <w:rFonts w:ascii="Times New Roman" w:hAnsi="Times New Roman"/>
                <w:lang w:eastAsia="ru-RU"/>
              </w:rPr>
            </w:pPr>
            <w:r w:rsidRPr="00AC308A">
              <w:rPr>
                <w:rFonts w:ascii="Times New Roman" w:hAnsi="Times New Roman"/>
                <w:color w:val="000000"/>
                <w:lang w:eastAsia="ru-RU"/>
              </w:rPr>
              <w:t>Площадь объекта, м</w:t>
            </w:r>
            <w:r w:rsidRPr="00AC308A">
              <w:rPr>
                <w:rFonts w:ascii="Times New Roman" w:hAnsi="Times New Roman"/>
                <w:color w:val="000000"/>
                <w:vertAlign w:val="superscript"/>
                <w:lang w:eastAsia="ru-RU"/>
              </w:rPr>
              <w:t>2</w:t>
            </w:r>
            <w:r w:rsidRPr="00AC308A">
              <w:rPr>
                <w:rFonts w:ascii="Times New Roman" w:hAnsi="Times New Roman"/>
                <w:color w:val="000000"/>
                <w:lang w:eastAsia="ru-RU"/>
              </w:rPr>
              <w:t xml:space="preserve"> (пола, зеркала воды)</w:t>
            </w:r>
          </w:p>
        </w:tc>
      </w:tr>
      <w:tr w:rsidR="002D1E45" w:rsidRPr="00AC308A" w:rsidTr="00AC308A">
        <w:trPr>
          <w:trHeight w:val="57"/>
          <w:jc w:val="center"/>
        </w:trPr>
        <w:tc>
          <w:tcPr>
            <w:tcW w:w="4673" w:type="dxa"/>
            <w:shd w:val="clear" w:color="auto" w:fill="FFFFFF"/>
          </w:tcPr>
          <w:p w:rsidR="002D1E45" w:rsidRPr="00AC308A" w:rsidRDefault="002D1E45" w:rsidP="00AC308A">
            <w:pPr>
              <w:spacing w:after="0" w:line="240" w:lineRule="auto"/>
              <w:rPr>
                <w:rFonts w:ascii="Times New Roman" w:hAnsi="Times New Roman"/>
                <w:b/>
                <w:bCs/>
                <w:lang w:eastAsia="ru-RU"/>
              </w:rPr>
            </w:pPr>
            <w:r w:rsidRPr="00AC308A">
              <w:rPr>
                <w:rFonts w:ascii="Times New Roman" w:hAnsi="Times New Roman"/>
                <w:b/>
                <w:bCs/>
                <w:color w:val="000000"/>
                <w:lang w:eastAsia="ru-RU"/>
              </w:rPr>
              <w:t>МБУС «Спортивно - оздоровительный центр города Куйбышева» ул. Партизанская,</w:t>
            </w:r>
            <w:r w:rsidRPr="00677122">
              <w:rPr>
                <w:rFonts w:ascii="Times New Roman" w:hAnsi="Times New Roman"/>
                <w:b/>
                <w:bCs/>
                <w:color w:val="000000"/>
                <w:lang w:eastAsia="ru-RU"/>
              </w:rPr>
              <w:t xml:space="preserve"> </w:t>
            </w:r>
            <w:r w:rsidRPr="00AC308A">
              <w:rPr>
                <w:rFonts w:ascii="Times New Roman" w:hAnsi="Times New Roman"/>
                <w:b/>
                <w:bCs/>
                <w:color w:val="000000"/>
                <w:lang w:eastAsia="ru-RU"/>
              </w:rPr>
              <w:t>2</w:t>
            </w:r>
          </w:p>
        </w:tc>
        <w:tc>
          <w:tcPr>
            <w:tcW w:w="1511" w:type="dxa"/>
            <w:shd w:val="clear" w:color="auto" w:fill="FFFFFF"/>
            <w:vAlign w:val="center"/>
          </w:tcPr>
          <w:p w:rsidR="002D1E45" w:rsidRPr="00AC308A" w:rsidRDefault="002D1E45" w:rsidP="00AC308A">
            <w:pPr>
              <w:spacing w:after="0" w:line="240" w:lineRule="auto"/>
              <w:jc w:val="center"/>
              <w:rPr>
                <w:rFonts w:ascii="Times New Roman" w:hAnsi="Times New Roman"/>
                <w:b/>
                <w:bCs/>
                <w:lang w:eastAsia="ru-RU"/>
              </w:rPr>
            </w:pPr>
            <w:r w:rsidRPr="00AC308A">
              <w:rPr>
                <w:rFonts w:ascii="Times New Roman" w:hAnsi="Times New Roman"/>
                <w:b/>
                <w:bCs/>
                <w:color w:val="000000"/>
                <w:lang w:eastAsia="ru-RU"/>
              </w:rPr>
              <w:t>1</w:t>
            </w:r>
            <w:r>
              <w:rPr>
                <w:rFonts w:ascii="Times New Roman" w:hAnsi="Times New Roman"/>
                <w:b/>
                <w:bCs/>
                <w:color w:val="000000"/>
                <w:lang w:eastAsia="ru-RU"/>
              </w:rPr>
              <w:t>2</w:t>
            </w:r>
          </w:p>
        </w:tc>
        <w:tc>
          <w:tcPr>
            <w:tcW w:w="3116" w:type="dxa"/>
            <w:shd w:val="clear" w:color="auto" w:fill="FFFFFF"/>
            <w:vAlign w:val="center"/>
          </w:tcPr>
          <w:p w:rsidR="002D1E45" w:rsidRPr="00AC308A" w:rsidRDefault="002D1E45" w:rsidP="00AC308A">
            <w:pPr>
              <w:spacing w:after="0" w:line="240" w:lineRule="auto"/>
              <w:jc w:val="center"/>
              <w:rPr>
                <w:rFonts w:ascii="Times New Roman" w:hAnsi="Times New Roman"/>
                <w:b/>
                <w:bCs/>
                <w:lang w:eastAsia="ru-RU"/>
              </w:rPr>
            </w:pPr>
            <w:r w:rsidRPr="00AC308A">
              <w:rPr>
                <w:rFonts w:ascii="Times New Roman" w:hAnsi="Times New Roman"/>
                <w:b/>
                <w:bCs/>
                <w:color w:val="000000"/>
                <w:lang w:eastAsia="ru-RU"/>
              </w:rPr>
              <w:t>6459,4</w:t>
            </w:r>
          </w:p>
        </w:tc>
      </w:tr>
      <w:tr w:rsidR="002D1E45" w:rsidRPr="00AC308A" w:rsidTr="00AC308A">
        <w:trPr>
          <w:trHeight w:val="250"/>
          <w:jc w:val="center"/>
        </w:trPr>
        <w:tc>
          <w:tcPr>
            <w:tcW w:w="4673" w:type="dxa"/>
            <w:shd w:val="clear" w:color="auto" w:fill="FFFFFF"/>
            <w:vAlign w:val="bottom"/>
          </w:tcPr>
          <w:p w:rsidR="002D1E45" w:rsidRPr="00AC308A" w:rsidRDefault="002D1E45" w:rsidP="00AC308A">
            <w:pPr>
              <w:spacing w:after="0" w:line="240" w:lineRule="auto"/>
              <w:rPr>
                <w:rFonts w:ascii="Times New Roman" w:hAnsi="Times New Roman"/>
                <w:lang w:eastAsia="ru-RU"/>
              </w:rPr>
            </w:pPr>
            <w:r w:rsidRPr="00AC308A">
              <w:rPr>
                <w:rFonts w:ascii="Times New Roman" w:hAnsi="Times New Roman"/>
                <w:color w:val="000000"/>
                <w:lang w:eastAsia="ru-RU"/>
              </w:rPr>
              <w:t>Бассейн (большая ванна)</w:t>
            </w:r>
          </w:p>
        </w:tc>
        <w:tc>
          <w:tcPr>
            <w:tcW w:w="1511" w:type="dxa"/>
            <w:shd w:val="clear" w:color="auto" w:fill="FFFFFF"/>
            <w:vAlign w:val="center"/>
          </w:tcPr>
          <w:p w:rsidR="002D1E45" w:rsidRPr="00AC308A" w:rsidRDefault="002D1E45" w:rsidP="00AC308A">
            <w:pPr>
              <w:spacing w:after="0" w:line="240" w:lineRule="auto"/>
              <w:jc w:val="center"/>
              <w:rPr>
                <w:rFonts w:ascii="Times New Roman" w:hAnsi="Times New Roman"/>
                <w:lang w:eastAsia="ru-RU"/>
              </w:rPr>
            </w:pPr>
            <w:r w:rsidRPr="00AC308A">
              <w:rPr>
                <w:rFonts w:ascii="Times New Roman" w:hAnsi="Times New Roman"/>
                <w:color w:val="000000"/>
                <w:lang w:eastAsia="ru-RU"/>
              </w:rPr>
              <w:t>1</w:t>
            </w:r>
          </w:p>
        </w:tc>
        <w:tc>
          <w:tcPr>
            <w:tcW w:w="3116" w:type="dxa"/>
            <w:shd w:val="clear" w:color="auto" w:fill="FFFFFF"/>
            <w:vAlign w:val="center"/>
          </w:tcPr>
          <w:p w:rsidR="002D1E45" w:rsidRPr="00AC308A" w:rsidRDefault="002D1E45" w:rsidP="00AC308A">
            <w:pPr>
              <w:spacing w:after="0" w:line="240" w:lineRule="auto"/>
              <w:jc w:val="center"/>
              <w:rPr>
                <w:rFonts w:ascii="Times New Roman" w:hAnsi="Times New Roman"/>
                <w:lang w:eastAsia="ru-RU"/>
              </w:rPr>
            </w:pPr>
            <w:r w:rsidRPr="00AC308A">
              <w:rPr>
                <w:rFonts w:ascii="Times New Roman" w:hAnsi="Times New Roman"/>
                <w:color w:val="000000"/>
                <w:lang w:eastAsia="ru-RU"/>
              </w:rPr>
              <w:t>395</w:t>
            </w:r>
          </w:p>
        </w:tc>
      </w:tr>
      <w:tr w:rsidR="002D1E45" w:rsidRPr="00AC308A" w:rsidTr="00AC308A">
        <w:trPr>
          <w:trHeight w:val="240"/>
          <w:jc w:val="center"/>
        </w:trPr>
        <w:tc>
          <w:tcPr>
            <w:tcW w:w="4673" w:type="dxa"/>
            <w:shd w:val="clear" w:color="auto" w:fill="FFFFFF"/>
            <w:vAlign w:val="bottom"/>
          </w:tcPr>
          <w:p w:rsidR="002D1E45" w:rsidRPr="00AC308A" w:rsidRDefault="002D1E45" w:rsidP="00AC308A">
            <w:pPr>
              <w:spacing w:after="0" w:line="240" w:lineRule="auto"/>
              <w:rPr>
                <w:rFonts w:ascii="Times New Roman" w:hAnsi="Times New Roman"/>
                <w:color w:val="000000"/>
                <w:lang w:eastAsia="ru-RU"/>
              </w:rPr>
            </w:pPr>
            <w:r w:rsidRPr="00AC308A">
              <w:rPr>
                <w:rFonts w:ascii="Times New Roman" w:hAnsi="Times New Roman"/>
                <w:color w:val="000000"/>
                <w:lang w:eastAsia="ru-RU"/>
              </w:rPr>
              <w:t>Бассейн (малая ванна)</w:t>
            </w:r>
          </w:p>
        </w:tc>
        <w:tc>
          <w:tcPr>
            <w:tcW w:w="1511" w:type="dxa"/>
            <w:shd w:val="clear" w:color="auto" w:fill="FFFFFF"/>
            <w:vAlign w:val="center"/>
          </w:tcPr>
          <w:p w:rsidR="002D1E45" w:rsidRPr="00AC308A" w:rsidRDefault="002D1E45" w:rsidP="00AC308A">
            <w:pPr>
              <w:spacing w:after="0" w:line="240" w:lineRule="auto"/>
              <w:jc w:val="center"/>
              <w:rPr>
                <w:rFonts w:ascii="Times New Roman" w:hAnsi="Times New Roman"/>
                <w:color w:val="000000"/>
                <w:lang w:eastAsia="ru-RU"/>
              </w:rPr>
            </w:pPr>
            <w:r w:rsidRPr="00AC308A">
              <w:rPr>
                <w:rFonts w:ascii="Times New Roman" w:hAnsi="Times New Roman"/>
                <w:color w:val="000000"/>
                <w:lang w:eastAsia="ru-RU"/>
              </w:rPr>
              <w:t>1</w:t>
            </w:r>
          </w:p>
        </w:tc>
        <w:tc>
          <w:tcPr>
            <w:tcW w:w="3116" w:type="dxa"/>
            <w:shd w:val="clear" w:color="auto" w:fill="FFFFFF"/>
            <w:vAlign w:val="center"/>
          </w:tcPr>
          <w:p w:rsidR="002D1E45" w:rsidRPr="00AC308A" w:rsidRDefault="002D1E45" w:rsidP="00AC308A">
            <w:pPr>
              <w:spacing w:after="0" w:line="240" w:lineRule="auto"/>
              <w:jc w:val="center"/>
              <w:rPr>
                <w:rFonts w:ascii="Times New Roman" w:hAnsi="Times New Roman"/>
                <w:color w:val="000000"/>
                <w:lang w:eastAsia="ru-RU"/>
              </w:rPr>
            </w:pPr>
            <w:r w:rsidRPr="00AC308A">
              <w:rPr>
                <w:rFonts w:ascii="Times New Roman" w:hAnsi="Times New Roman"/>
                <w:color w:val="000000"/>
                <w:lang w:eastAsia="ru-RU"/>
              </w:rPr>
              <w:t>61,7</w:t>
            </w:r>
          </w:p>
        </w:tc>
      </w:tr>
      <w:tr w:rsidR="002D1E45" w:rsidRPr="00AC308A" w:rsidTr="00AC308A">
        <w:trPr>
          <w:trHeight w:val="57"/>
          <w:jc w:val="center"/>
        </w:trPr>
        <w:tc>
          <w:tcPr>
            <w:tcW w:w="4673" w:type="dxa"/>
            <w:shd w:val="clear" w:color="auto" w:fill="FFFFFF"/>
          </w:tcPr>
          <w:p w:rsidR="002D1E45" w:rsidRPr="00AC308A" w:rsidRDefault="002D1E45" w:rsidP="00AC308A">
            <w:pPr>
              <w:spacing w:after="0" w:line="240" w:lineRule="auto"/>
              <w:rPr>
                <w:rFonts w:ascii="Times New Roman" w:hAnsi="Times New Roman"/>
                <w:lang w:eastAsia="ru-RU"/>
              </w:rPr>
            </w:pPr>
            <w:r w:rsidRPr="00AC308A">
              <w:rPr>
                <w:rFonts w:ascii="Times New Roman" w:hAnsi="Times New Roman"/>
                <w:color w:val="000000"/>
                <w:lang w:eastAsia="ru-RU"/>
              </w:rPr>
              <w:t>Баскетбольный зал</w:t>
            </w:r>
          </w:p>
        </w:tc>
        <w:tc>
          <w:tcPr>
            <w:tcW w:w="1511" w:type="dxa"/>
            <w:shd w:val="clear" w:color="auto" w:fill="FFFFFF"/>
            <w:vAlign w:val="center"/>
          </w:tcPr>
          <w:p w:rsidR="002D1E45" w:rsidRPr="00AC308A" w:rsidRDefault="002D1E45" w:rsidP="00AC308A">
            <w:pPr>
              <w:spacing w:after="0" w:line="240" w:lineRule="auto"/>
              <w:jc w:val="center"/>
              <w:rPr>
                <w:rFonts w:ascii="Times New Roman" w:hAnsi="Times New Roman"/>
                <w:lang w:eastAsia="ru-RU"/>
              </w:rPr>
            </w:pPr>
            <w:r w:rsidRPr="00AC308A">
              <w:rPr>
                <w:rFonts w:ascii="Times New Roman" w:hAnsi="Times New Roman"/>
                <w:color w:val="000000"/>
                <w:lang w:eastAsia="ru-RU"/>
              </w:rPr>
              <w:t>1</w:t>
            </w:r>
          </w:p>
        </w:tc>
        <w:tc>
          <w:tcPr>
            <w:tcW w:w="3116" w:type="dxa"/>
            <w:shd w:val="clear" w:color="auto" w:fill="FFFFFF"/>
            <w:vAlign w:val="center"/>
          </w:tcPr>
          <w:p w:rsidR="002D1E45" w:rsidRPr="00AC308A" w:rsidRDefault="002D1E45" w:rsidP="00AC308A">
            <w:pPr>
              <w:spacing w:after="0" w:line="240" w:lineRule="auto"/>
              <w:jc w:val="center"/>
              <w:rPr>
                <w:rFonts w:ascii="Times New Roman" w:hAnsi="Times New Roman"/>
                <w:lang w:eastAsia="ru-RU"/>
              </w:rPr>
            </w:pPr>
            <w:r w:rsidRPr="00AC308A">
              <w:rPr>
                <w:rFonts w:ascii="Times New Roman" w:hAnsi="Times New Roman"/>
                <w:color w:val="000000"/>
                <w:lang w:eastAsia="ru-RU"/>
              </w:rPr>
              <w:t>545</w:t>
            </w:r>
          </w:p>
        </w:tc>
      </w:tr>
      <w:tr w:rsidR="002D1E45" w:rsidRPr="00AC308A" w:rsidTr="00AC308A">
        <w:trPr>
          <w:trHeight w:val="57"/>
          <w:jc w:val="center"/>
        </w:trPr>
        <w:tc>
          <w:tcPr>
            <w:tcW w:w="4673" w:type="dxa"/>
            <w:shd w:val="clear" w:color="auto" w:fill="FFFFFF"/>
          </w:tcPr>
          <w:p w:rsidR="002D1E45" w:rsidRPr="00AC308A" w:rsidRDefault="002D1E45" w:rsidP="00AC308A">
            <w:pPr>
              <w:spacing w:after="0" w:line="240" w:lineRule="auto"/>
              <w:rPr>
                <w:rFonts w:ascii="Times New Roman" w:hAnsi="Times New Roman"/>
                <w:lang w:eastAsia="ru-RU"/>
              </w:rPr>
            </w:pPr>
            <w:r w:rsidRPr="00AC308A">
              <w:rPr>
                <w:rFonts w:ascii="Times New Roman" w:hAnsi="Times New Roman"/>
                <w:color w:val="000000"/>
                <w:lang w:eastAsia="ru-RU"/>
              </w:rPr>
              <w:t>Волейбольный зал</w:t>
            </w:r>
          </w:p>
        </w:tc>
        <w:tc>
          <w:tcPr>
            <w:tcW w:w="1511" w:type="dxa"/>
            <w:shd w:val="clear" w:color="auto" w:fill="FFFFFF"/>
            <w:vAlign w:val="center"/>
          </w:tcPr>
          <w:p w:rsidR="002D1E45" w:rsidRPr="00AC308A" w:rsidRDefault="002D1E45" w:rsidP="00AC308A">
            <w:pPr>
              <w:spacing w:after="0" w:line="240" w:lineRule="auto"/>
              <w:jc w:val="center"/>
              <w:rPr>
                <w:rFonts w:ascii="Times New Roman" w:hAnsi="Times New Roman"/>
                <w:lang w:eastAsia="ru-RU"/>
              </w:rPr>
            </w:pPr>
            <w:r w:rsidRPr="00AC308A">
              <w:rPr>
                <w:rFonts w:ascii="Times New Roman" w:hAnsi="Times New Roman"/>
                <w:color w:val="000000"/>
                <w:lang w:eastAsia="ru-RU"/>
              </w:rPr>
              <w:t>1</w:t>
            </w:r>
          </w:p>
        </w:tc>
        <w:tc>
          <w:tcPr>
            <w:tcW w:w="3116" w:type="dxa"/>
            <w:shd w:val="clear" w:color="auto" w:fill="FFFFFF"/>
            <w:vAlign w:val="center"/>
          </w:tcPr>
          <w:p w:rsidR="002D1E45" w:rsidRPr="00AC308A" w:rsidRDefault="002D1E45" w:rsidP="00AC308A">
            <w:pPr>
              <w:spacing w:after="0" w:line="240" w:lineRule="auto"/>
              <w:jc w:val="center"/>
              <w:rPr>
                <w:rFonts w:ascii="Times New Roman" w:hAnsi="Times New Roman"/>
                <w:lang w:eastAsia="ru-RU"/>
              </w:rPr>
            </w:pPr>
            <w:r w:rsidRPr="00AC308A">
              <w:rPr>
                <w:rFonts w:ascii="Times New Roman" w:hAnsi="Times New Roman"/>
                <w:color w:val="000000"/>
                <w:lang w:eastAsia="ru-RU"/>
              </w:rPr>
              <w:t>557</w:t>
            </w:r>
          </w:p>
        </w:tc>
      </w:tr>
      <w:tr w:rsidR="002D1E45" w:rsidRPr="00AC308A" w:rsidTr="00AC308A">
        <w:trPr>
          <w:trHeight w:val="57"/>
          <w:jc w:val="center"/>
        </w:trPr>
        <w:tc>
          <w:tcPr>
            <w:tcW w:w="4673" w:type="dxa"/>
            <w:shd w:val="clear" w:color="auto" w:fill="FFFFFF"/>
            <w:vAlign w:val="bottom"/>
          </w:tcPr>
          <w:p w:rsidR="002D1E45" w:rsidRPr="00AC308A" w:rsidRDefault="002D1E45" w:rsidP="00AC308A">
            <w:pPr>
              <w:spacing w:after="0" w:line="240" w:lineRule="auto"/>
              <w:rPr>
                <w:rFonts w:ascii="Times New Roman" w:hAnsi="Times New Roman"/>
                <w:lang w:eastAsia="ru-RU"/>
              </w:rPr>
            </w:pPr>
            <w:r w:rsidRPr="00AC308A">
              <w:rPr>
                <w:rFonts w:ascii="Times New Roman" w:hAnsi="Times New Roman"/>
                <w:color w:val="000000"/>
                <w:lang w:eastAsia="ru-RU"/>
              </w:rPr>
              <w:t>Зал гимнастики</w:t>
            </w:r>
          </w:p>
        </w:tc>
        <w:tc>
          <w:tcPr>
            <w:tcW w:w="1511" w:type="dxa"/>
            <w:shd w:val="clear" w:color="auto" w:fill="FFFFFF"/>
            <w:vAlign w:val="center"/>
          </w:tcPr>
          <w:p w:rsidR="002D1E45" w:rsidRPr="00AC308A" w:rsidRDefault="002D1E45" w:rsidP="00AC308A">
            <w:pPr>
              <w:spacing w:after="0" w:line="240" w:lineRule="auto"/>
              <w:jc w:val="center"/>
              <w:rPr>
                <w:rFonts w:ascii="Times New Roman" w:hAnsi="Times New Roman"/>
                <w:lang w:eastAsia="ru-RU"/>
              </w:rPr>
            </w:pPr>
            <w:r w:rsidRPr="00AC308A">
              <w:rPr>
                <w:rFonts w:ascii="Times New Roman" w:hAnsi="Times New Roman"/>
                <w:color w:val="000000"/>
                <w:lang w:eastAsia="ru-RU"/>
              </w:rPr>
              <w:t>1</w:t>
            </w:r>
          </w:p>
        </w:tc>
        <w:tc>
          <w:tcPr>
            <w:tcW w:w="3116" w:type="dxa"/>
            <w:shd w:val="clear" w:color="auto" w:fill="FFFFFF"/>
            <w:vAlign w:val="center"/>
          </w:tcPr>
          <w:p w:rsidR="002D1E45" w:rsidRPr="00AC308A" w:rsidRDefault="002D1E45" w:rsidP="00AC308A">
            <w:pPr>
              <w:spacing w:after="0" w:line="240" w:lineRule="auto"/>
              <w:jc w:val="center"/>
              <w:rPr>
                <w:rFonts w:ascii="Times New Roman" w:hAnsi="Times New Roman"/>
                <w:lang w:eastAsia="ru-RU"/>
              </w:rPr>
            </w:pPr>
            <w:r w:rsidRPr="00AC308A">
              <w:rPr>
                <w:rFonts w:ascii="Times New Roman" w:hAnsi="Times New Roman"/>
                <w:color w:val="000000"/>
                <w:lang w:eastAsia="ru-RU"/>
              </w:rPr>
              <w:t>38,6</w:t>
            </w:r>
          </w:p>
        </w:tc>
      </w:tr>
      <w:tr w:rsidR="002D1E45" w:rsidRPr="00AC308A" w:rsidTr="00AC308A">
        <w:trPr>
          <w:trHeight w:val="57"/>
          <w:jc w:val="center"/>
        </w:trPr>
        <w:tc>
          <w:tcPr>
            <w:tcW w:w="4673" w:type="dxa"/>
            <w:shd w:val="clear" w:color="auto" w:fill="FFFFFF"/>
            <w:vAlign w:val="bottom"/>
          </w:tcPr>
          <w:p w:rsidR="002D1E45" w:rsidRPr="00AC308A" w:rsidRDefault="002D1E45" w:rsidP="00AC308A">
            <w:pPr>
              <w:spacing w:after="0" w:line="240" w:lineRule="auto"/>
              <w:rPr>
                <w:rFonts w:ascii="Times New Roman" w:hAnsi="Times New Roman"/>
                <w:lang w:eastAsia="ru-RU"/>
              </w:rPr>
            </w:pPr>
            <w:r w:rsidRPr="00AC308A">
              <w:rPr>
                <w:rFonts w:ascii="Times New Roman" w:hAnsi="Times New Roman"/>
                <w:color w:val="000000"/>
                <w:lang w:eastAsia="ru-RU"/>
              </w:rPr>
              <w:t>Зал аэробики</w:t>
            </w:r>
          </w:p>
        </w:tc>
        <w:tc>
          <w:tcPr>
            <w:tcW w:w="1511" w:type="dxa"/>
            <w:shd w:val="clear" w:color="auto" w:fill="FFFFFF"/>
            <w:vAlign w:val="center"/>
          </w:tcPr>
          <w:p w:rsidR="002D1E45" w:rsidRPr="00AC308A" w:rsidRDefault="002D1E45" w:rsidP="00AC308A">
            <w:pPr>
              <w:spacing w:after="0" w:line="240" w:lineRule="auto"/>
              <w:jc w:val="center"/>
              <w:rPr>
                <w:rFonts w:ascii="Times New Roman" w:hAnsi="Times New Roman"/>
                <w:lang w:eastAsia="ru-RU"/>
              </w:rPr>
            </w:pPr>
            <w:r w:rsidRPr="00AC308A">
              <w:rPr>
                <w:rFonts w:ascii="Times New Roman" w:hAnsi="Times New Roman"/>
                <w:color w:val="000000"/>
                <w:lang w:eastAsia="ru-RU"/>
              </w:rPr>
              <w:t>1</w:t>
            </w:r>
          </w:p>
        </w:tc>
        <w:tc>
          <w:tcPr>
            <w:tcW w:w="3116" w:type="dxa"/>
            <w:shd w:val="clear" w:color="auto" w:fill="FFFFFF"/>
            <w:vAlign w:val="center"/>
          </w:tcPr>
          <w:p w:rsidR="002D1E45" w:rsidRPr="00AC308A" w:rsidRDefault="002D1E45" w:rsidP="00AC308A">
            <w:pPr>
              <w:spacing w:after="0" w:line="240" w:lineRule="auto"/>
              <w:jc w:val="center"/>
              <w:rPr>
                <w:rFonts w:ascii="Times New Roman" w:hAnsi="Times New Roman"/>
                <w:lang w:eastAsia="ru-RU"/>
              </w:rPr>
            </w:pPr>
            <w:r w:rsidRPr="00AC308A">
              <w:rPr>
                <w:rFonts w:ascii="Times New Roman" w:hAnsi="Times New Roman"/>
                <w:color w:val="000000"/>
                <w:lang w:eastAsia="ru-RU"/>
              </w:rPr>
              <w:t>61,25</w:t>
            </w:r>
          </w:p>
        </w:tc>
      </w:tr>
      <w:tr w:rsidR="002D1E45" w:rsidRPr="00AC308A" w:rsidTr="00AC308A">
        <w:trPr>
          <w:trHeight w:val="57"/>
          <w:jc w:val="center"/>
        </w:trPr>
        <w:tc>
          <w:tcPr>
            <w:tcW w:w="4673" w:type="dxa"/>
            <w:shd w:val="clear" w:color="auto" w:fill="FFFFFF"/>
            <w:vAlign w:val="bottom"/>
          </w:tcPr>
          <w:p w:rsidR="002D1E45" w:rsidRPr="00AC308A" w:rsidRDefault="002D1E45" w:rsidP="00AC308A">
            <w:pPr>
              <w:spacing w:after="0" w:line="240" w:lineRule="auto"/>
              <w:rPr>
                <w:rFonts w:ascii="Times New Roman" w:hAnsi="Times New Roman"/>
                <w:lang w:eastAsia="ru-RU"/>
              </w:rPr>
            </w:pPr>
            <w:r w:rsidRPr="00AC308A">
              <w:rPr>
                <w:rFonts w:ascii="Times New Roman" w:hAnsi="Times New Roman"/>
                <w:color w:val="000000"/>
                <w:lang w:eastAsia="ru-RU"/>
              </w:rPr>
              <w:t>Зал фитнеса</w:t>
            </w:r>
          </w:p>
        </w:tc>
        <w:tc>
          <w:tcPr>
            <w:tcW w:w="1511" w:type="dxa"/>
            <w:shd w:val="clear" w:color="auto" w:fill="FFFFFF"/>
            <w:vAlign w:val="center"/>
          </w:tcPr>
          <w:p w:rsidR="002D1E45" w:rsidRPr="00AC308A" w:rsidRDefault="002D1E45" w:rsidP="00AC308A">
            <w:pPr>
              <w:spacing w:after="0" w:line="240" w:lineRule="auto"/>
              <w:jc w:val="center"/>
              <w:rPr>
                <w:rFonts w:ascii="Times New Roman" w:hAnsi="Times New Roman"/>
                <w:lang w:eastAsia="ru-RU"/>
              </w:rPr>
            </w:pPr>
            <w:r w:rsidRPr="00AC308A">
              <w:rPr>
                <w:rFonts w:ascii="Times New Roman" w:hAnsi="Times New Roman"/>
                <w:color w:val="000000"/>
                <w:lang w:eastAsia="ru-RU"/>
              </w:rPr>
              <w:t>1</w:t>
            </w:r>
          </w:p>
        </w:tc>
        <w:tc>
          <w:tcPr>
            <w:tcW w:w="3116" w:type="dxa"/>
            <w:shd w:val="clear" w:color="auto" w:fill="FFFFFF"/>
            <w:vAlign w:val="center"/>
          </w:tcPr>
          <w:p w:rsidR="002D1E45" w:rsidRPr="00AC308A" w:rsidRDefault="002D1E45" w:rsidP="00AC308A">
            <w:pPr>
              <w:spacing w:after="0" w:line="240" w:lineRule="auto"/>
              <w:jc w:val="center"/>
              <w:rPr>
                <w:rFonts w:ascii="Times New Roman" w:hAnsi="Times New Roman"/>
                <w:lang w:eastAsia="ru-RU"/>
              </w:rPr>
            </w:pPr>
            <w:r w:rsidRPr="00AC308A">
              <w:rPr>
                <w:rFonts w:ascii="Times New Roman" w:hAnsi="Times New Roman"/>
                <w:color w:val="000000"/>
                <w:lang w:eastAsia="ru-RU"/>
              </w:rPr>
              <w:t>86,52</w:t>
            </w:r>
          </w:p>
        </w:tc>
      </w:tr>
      <w:tr w:rsidR="002D1E45" w:rsidRPr="00AC308A" w:rsidTr="00AC308A">
        <w:trPr>
          <w:trHeight w:val="57"/>
          <w:jc w:val="center"/>
        </w:trPr>
        <w:tc>
          <w:tcPr>
            <w:tcW w:w="4673" w:type="dxa"/>
            <w:shd w:val="clear" w:color="auto" w:fill="FFFFFF"/>
            <w:vAlign w:val="bottom"/>
          </w:tcPr>
          <w:p w:rsidR="002D1E45" w:rsidRPr="00AC308A" w:rsidRDefault="002D1E45" w:rsidP="00AC308A">
            <w:pPr>
              <w:spacing w:after="0" w:line="240" w:lineRule="auto"/>
              <w:rPr>
                <w:rFonts w:ascii="Times New Roman" w:hAnsi="Times New Roman"/>
                <w:lang w:eastAsia="ru-RU"/>
              </w:rPr>
            </w:pPr>
            <w:r w:rsidRPr="00AC308A">
              <w:rPr>
                <w:rFonts w:ascii="Times New Roman" w:hAnsi="Times New Roman"/>
                <w:color w:val="000000"/>
                <w:lang w:eastAsia="ru-RU"/>
              </w:rPr>
              <w:t>Зал шейпинга</w:t>
            </w:r>
          </w:p>
        </w:tc>
        <w:tc>
          <w:tcPr>
            <w:tcW w:w="1511" w:type="dxa"/>
            <w:shd w:val="clear" w:color="auto" w:fill="FFFFFF"/>
            <w:vAlign w:val="center"/>
          </w:tcPr>
          <w:p w:rsidR="002D1E45" w:rsidRPr="00AC308A" w:rsidRDefault="002D1E45" w:rsidP="00AC308A">
            <w:pPr>
              <w:spacing w:after="0" w:line="240" w:lineRule="auto"/>
              <w:jc w:val="center"/>
              <w:rPr>
                <w:rFonts w:ascii="Times New Roman" w:hAnsi="Times New Roman"/>
                <w:lang w:eastAsia="ru-RU"/>
              </w:rPr>
            </w:pPr>
            <w:r w:rsidRPr="00AC308A">
              <w:rPr>
                <w:rFonts w:ascii="Times New Roman" w:hAnsi="Times New Roman"/>
                <w:color w:val="000000"/>
                <w:lang w:eastAsia="ru-RU"/>
              </w:rPr>
              <w:t>1</w:t>
            </w:r>
          </w:p>
        </w:tc>
        <w:tc>
          <w:tcPr>
            <w:tcW w:w="3116" w:type="dxa"/>
            <w:shd w:val="clear" w:color="auto" w:fill="FFFFFF"/>
            <w:vAlign w:val="center"/>
          </w:tcPr>
          <w:p w:rsidR="002D1E45" w:rsidRPr="00AC308A" w:rsidRDefault="002D1E45" w:rsidP="00AC308A">
            <w:pPr>
              <w:spacing w:after="0" w:line="240" w:lineRule="auto"/>
              <w:jc w:val="center"/>
              <w:rPr>
                <w:rFonts w:ascii="Times New Roman" w:hAnsi="Times New Roman"/>
                <w:lang w:eastAsia="ru-RU"/>
              </w:rPr>
            </w:pPr>
            <w:r w:rsidRPr="00AC308A">
              <w:rPr>
                <w:rFonts w:ascii="Times New Roman" w:hAnsi="Times New Roman"/>
                <w:color w:val="000000"/>
                <w:lang w:eastAsia="ru-RU"/>
              </w:rPr>
              <w:t>52</w:t>
            </w:r>
          </w:p>
        </w:tc>
      </w:tr>
      <w:tr w:rsidR="002D1E45" w:rsidRPr="00AC308A" w:rsidTr="00AC308A">
        <w:trPr>
          <w:trHeight w:val="57"/>
          <w:jc w:val="center"/>
        </w:trPr>
        <w:tc>
          <w:tcPr>
            <w:tcW w:w="4673" w:type="dxa"/>
            <w:shd w:val="clear" w:color="auto" w:fill="FFFFFF"/>
            <w:vAlign w:val="bottom"/>
          </w:tcPr>
          <w:p w:rsidR="002D1E45" w:rsidRPr="00AC308A" w:rsidRDefault="002D1E45" w:rsidP="00AC308A">
            <w:pPr>
              <w:spacing w:after="0" w:line="240" w:lineRule="auto"/>
              <w:rPr>
                <w:rFonts w:ascii="Times New Roman" w:hAnsi="Times New Roman"/>
                <w:lang w:eastAsia="ru-RU"/>
              </w:rPr>
            </w:pPr>
            <w:r w:rsidRPr="00AC308A">
              <w:rPr>
                <w:rFonts w:ascii="Times New Roman" w:hAnsi="Times New Roman"/>
                <w:color w:val="000000"/>
                <w:lang w:eastAsia="ru-RU"/>
              </w:rPr>
              <w:t>Зал пилатес</w:t>
            </w:r>
          </w:p>
        </w:tc>
        <w:tc>
          <w:tcPr>
            <w:tcW w:w="1511" w:type="dxa"/>
            <w:shd w:val="clear" w:color="auto" w:fill="FFFFFF"/>
            <w:vAlign w:val="center"/>
          </w:tcPr>
          <w:p w:rsidR="002D1E45" w:rsidRPr="00AC308A" w:rsidRDefault="002D1E45" w:rsidP="00AC308A">
            <w:pPr>
              <w:spacing w:after="0" w:line="240" w:lineRule="auto"/>
              <w:jc w:val="center"/>
              <w:rPr>
                <w:rFonts w:ascii="Times New Roman" w:hAnsi="Times New Roman"/>
                <w:lang w:eastAsia="ru-RU"/>
              </w:rPr>
            </w:pPr>
            <w:r w:rsidRPr="00AC308A">
              <w:rPr>
                <w:rFonts w:ascii="Times New Roman" w:hAnsi="Times New Roman"/>
                <w:color w:val="000000"/>
                <w:lang w:eastAsia="ru-RU"/>
              </w:rPr>
              <w:t>1</w:t>
            </w:r>
          </w:p>
        </w:tc>
        <w:tc>
          <w:tcPr>
            <w:tcW w:w="3116" w:type="dxa"/>
            <w:shd w:val="clear" w:color="auto" w:fill="FFFFFF"/>
            <w:vAlign w:val="center"/>
          </w:tcPr>
          <w:p w:rsidR="002D1E45" w:rsidRPr="00AC308A" w:rsidRDefault="002D1E45" w:rsidP="00AC308A">
            <w:pPr>
              <w:spacing w:after="0" w:line="240" w:lineRule="auto"/>
              <w:jc w:val="center"/>
              <w:rPr>
                <w:rFonts w:ascii="Times New Roman" w:hAnsi="Times New Roman"/>
                <w:lang w:eastAsia="ru-RU"/>
              </w:rPr>
            </w:pPr>
            <w:r w:rsidRPr="00AC308A">
              <w:rPr>
                <w:rFonts w:ascii="Times New Roman" w:hAnsi="Times New Roman"/>
                <w:color w:val="000000"/>
                <w:lang w:eastAsia="ru-RU"/>
              </w:rPr>
              <w:t>74,2</w:t>
            </w:r>
          </w:p>
        </w:tc>
      </w:tr>
      <w:tr w:rsidR="002D1E45" w:rsidRPr="00AC308A" w:rsidTr="00AC308A">
        <w:trPr>
          <w:trHeight w:val="57"/>
          <w:jc w:val="center"/>
        </w:trPr>
        <w:tc>
          <w:tcPr>
            <w:tcW w:w="4673" w:type="dxa"/>
            <w:shd w:val="clear" w:color="auto" w:fill="FFFFFF"/>
            <w:vAlign w:val="bottom"/>
          </w:tcPr>
          <w:p w:rsidR="002D1E45" w:rsidRPr="00AC308A" w:rsidRDefault="002D1E45" w:rsidP="00AC308A">
            <w:pPr>
              <w:spacing w:after="0" w:line="240" w:lineRule="auto"/>
              <w:rPr>
                <w:rFonts w:ascii="Times New Roman" w:hAnsi="Times New Roman"/>
                <w:lang w:eastAsia="ru-RU"/>
              </w:rPr>
            </w:pPr>
            <w:r w:rsidRPr="00AC308A">
              <w:rPr>
                <w:rFonts w:ascii="Times New Roman" w:hAnsi="Times New Roman"/>
                <w:color w:val="000000"/>
                <w:lang w:eastAsia="ru-RU"/>
              </w:rPr>
              <w:t>Зал силовой подготовки</w:t>
            </w:r>
          </w:p>
        </w:tc>
        <w:tc>
          <w:tcPr>
            <w:tcW w:w="1511" w:type="dxa"/>
            <w:shd w:val="clear" w:color="auto" w:fill="FFFFFF"/>
            <w:vAlign w:val="center"/>
          </w:tcPr>
          <w:p w:rsidR="002D1E45" w:rsidRPr="00AC308A" w:rsidRDefault="002D1E45" w:rsidP="00AC308A">
            <w:pPr>
              <w:spacing w:after="0" w:line="240" w:lineRule="auto"/>
              <w:jc w:val="center"/>
              <w:rPr>
                <w:rFonts w:ascii="Times New Roman" w:hAnsi="Times New Roman"/>
                <w:lang w:eastAsia="ru-RU"/>
              </w:rPr>
            </w:pPr>
            <w:r w:rsidRPr="00AC308A">
              <w:rPr>
                <w:rFonts w:ascii="Times New Roman" w:hAnsi="Times New Roman"/>
                <w:color w:val="000000"/>
                <w:lang w:eastAsia="ru-RU"/>
              </w:rPr>
              <w:t>1</w:t>
            </w:r>
          </w:p>
        </w:tc>
        <w:tc>
          <w:tcPr>
            <w:tcW w:w="3116" w:type="dxa"/>
            <w:shd w:val="clear" w:color="auto" w:fill="FFFFFF"/>
            <w:vAlign w:val="center"/>
          </w:tcPr>
          <w:p w:rsidR="002D1E45" w:rsidRPr="00AC308A" w:rsidRDefault="002D1E45" w:rsidP="00AC308A">
            <w:pPr>
              <w:spacing w:after="0" w:line="240" w:lineRule="auto"/>
              <w:jc w:val="center"/>
              <w:rPr>
                <w:rFonts w:ascii="Times New Roman" w:hAnsi="Times New Roman"/>
                <w:lang w:eastAsia="ru-RU"/>
              </w:rPr>
            </w:pPr>
            <w:r w:rsidRPr="00AC308A">
              <w:rPr>
                <w:rFonts w:ascii="Times New Roman" w:hAnsi="Times New Roman"/>
                <w:color w:val="000000"/>
                <w:lang w:eastAsia="ru-RU"/>
              </w:rPr>
              <w:t>300,7</w:t>
            </w:r>
          </w:p>
        </w:tc>
      </w:tr>
      <w:tr w:rsidR="002D1E45" w:rsidRPr="00AC308A" w:rsidTr="00AC308A">
        <w:trPr>
          <w:trHeight w:val="57"/>
          <w:jc w:val="center"/>
        </w:trPr>
        <w:tc>
          <w:tcPr>
            <w:tcW w:w="4673" w:type="dxa"/>
            <w:shd w:val="clear" w:color="auto" w:fill="FFFFFF"/>
            <w:vAlign w:val="bottom"/>
          </w:tcPr>
          <w:p w:rsidR="002D1E45" w:rsidRPr="00AC308A" w:rsidRDefault="002D1E45" w:rsidP="00AC308A">
            <w:pPr>
              <w:spacing w:after="0" w:line="240" w:lineRule="auto"/>
              <w:rPr>
                <w:rFonts w:ascii="Times New Roman" w:hAnsi="Times New Roman"/>
                <w:lang w:eastAsia="ru-RU"/>
              </w:rPr>
            </w:pPr>
            <w:r w:rsidRPr="00AC308A">
              <w:rPr>
                <w:rFonts w:ascii="Times New Roman" w:hAnsi="Times New Roman"/>
                <w:color w:val="000000"/>
                <w:lang w:eastAsia="ru-RU"/>
              </w:rPr>
              <w:t>Шахматный зал</w:t>
            </w:r>
          </w:p>
        </w:tc>
        <w:tc>
          <w:tcPr>
            <w:tcW w:w="1511" w:type="dxa"/>
            <w:shd w:val="clear" w:color="auto" w:fill="FFFFFF"/>
            <w:vAlign w:val="center"/>
          </w:tcPr>
          <w:p w:rsidR="002D1E45" w:rsidRPr="00AC308A" w:rsidRDefault="002D1E45" w:rsidP="00AC308A">
            <w:pPr>
              <w:spacing w:after="0" w:line="240" w:lineRule="auto"/>
              <w:jc w:val="center"/>
              <w:rPr>
                <w:rFonts w:ascii="Times New Roman" w:hAnsi="Times New Roman"/>
                <w:lang w:eastAsia="ru-RU"/>
              </w:rPr>
            </w:pPr>
            <w:r w:rsidRPr="00AC308A">
              <w:rPr>
                <w:rFonts w:ascii="Times New Roman" w:hAnsi="Times New Roman"/>
                <w:color w:val="000000"/>
                <w:lang w:eastAsia="ru-RU"/>
              </w:rPr>
              <w:t>1</w:t>
            </w:r>
          </w:p>
        </w:tc>
        <w:tc>
          <w:tcPr>
            <w:tcW w:w="3116" w:type="dxa"/>
            <w:shd w:val="clear" w:color="auto" w:fill="FFFFFF"/>
            <w:vAlign w:val="center"/>
          </w:tcPr>
          <w:p w:rsidR="002D1E45" w:rsidRPr="00AC308A" w:rsidRDefault="002D1E45" w:rsidP="00AC308A">
            <w:pPr>
              <w:spacing w:after="0" w:line="240" w:lineRule="auto"/>
              <w:jc w:val="center"/>
              <w:rPr>
                <w:rFonts w:ascii="Times New Roman" w:hAnsi="Times New Roman"/>
                <w:lang w:eastAsia="ru-RU"/>
              </w:rPr>
            </w:pPr>
            <w:r w:rsidRPr="00AC308A">
              <w:rPr>
                <w:rFonts w:ascii="Times New Roman" w:hAnsi="Times New Roman"/>
                <w:color w:val="000000"/>
                <w:lang w:eastAsia="ru-RU"/>
              </w:rPr>
              <w:t>38,6</w:t>
            </w:r>
          </w:p>
        </w:tc>
      </w:tr>
      <w:tr w:rsidR="002D1E45" w:rsidRPr="00AC308A" w:rsidTr="00AC308A">
        <w:trPr>
          <w:trHeight w:val="57"/>
          <w:jc w:val="center"/>
        </w:trPr>
        <w:tc>
          <w:tcPr>
            <w:tcW w:w="4673" w:type="dxa"/>
            <w:shd w:val="clear" w:color="auto" w:fill="FFFFFF"/>
          </w:tcPr>
          <w:p w:rsidR="002D1E45" w:rsidRPr="00AC308A" w:rsidRDefault="002D1E45" w:rsidP="00AC308A">
            <w:pPr>
              <w:spacing w:after="0" w:line="240" w:lineRule="auto"/>
              <w:rPr>
                <w:rFonts w:ascii="Times New Roman" w:hAnsi="Times New Roman"/>
                <w:lang w:eastAsia="ru-RU"/>
              </w:rPr>
            </w:pPr>
            <w:r w:rsidRPr="00AC308A">
              <w:rPr>
                <w:rFonts w:ascii="Times New Roman" w:hAnsi="Times New Roman"/>
                <w:color w:val="000000"/>
                <w:lang w:eastAsia="ru-RU"/>
              </w:rPr>
              <w:t>Фитнес зал 1 этаж</w:t>
            </w:r>
          </w:p>
        </w:tc>
        <w:tc>
          <w:tcPr>
            <w:tcW w:w="1511" w:type="dxa"/>
            <w:shd w:val="clear" w:color="auto" w:fill="FFFFFF"/>
            <w:vAlign w:val="center"/>
          </w:tcPr>
          <w:p w:rsidR="002D1E45" w:rsidRPr="00AC308A" w:rsidRDefault="002D1E45" w:rsidP="00AC308A">
            <w:pPr>
              <w:spacing w:after="0" w:line="240" w:lineRule="auto"/>
              <w:jc w:val="center"/>
              <w:rPr>
                <w:rFonts w:ascii="Times New Roman" w:hAnsi="Times New Roman"/>
                <w:lang w:eastAsia="ru-RU"/>
              </w:rPr>
            </w:pPr>
            <w:r w:rsidRPr="00AC308A">
              <w:rPr>
                <w:rFonts w:ascii="Times New Roman" w:hAnsi="Times New Roman"/>
                <w:color w:val="000000"/>
                <w:lang w:eastAsia="ru-RU"/>
              </w:rPr>
              <w:t>1</w:t>
            </w:r>
          </w:p>
        </w:tc>
        <w:tc>
          <w:tcPr>
            <w:tcW w:w="3116" w:type="dxa"/>
            <w:shd w:val="clear" w:color="auto" w:fill="FFFFFF"/>
            <w:vAlign w:val="center"/>
          </w:tcPr>
          <w:p w:rsidR="002D1E45" w:rsidRPr="00AC308A" w:rsidRDefault="002D1E45" w:rsidP="00AC308A">
            <w:pPr>
              <w:spacing w:after="0" w:line="240" w:lineRule="auto"/>
              <w:jc w:val="center"/>
              <w:rPr>
                <w:rFonts w:ascii="Times New Roman" w:hAnsi="Times New Roman"/>
                <w:lang w:eastAsia="ru-RU"/>
              </w:rPr>
            </w:pPr>
            <w:r w:rsidRPr="00AC308A">
              <w:rPr>
                <w:rFonts w:ascii="Times New Roman" w:hAnsi="Times New Roman"/>
                <w:color w:val="000000"/>
                <w:lang w:eastAsia="ru-RU"/>
              </w:rPr>
              <w:t>102</w:t>
            </w:r>
          </w:p>
        </w:tc>
      </w:tr>
      <w:tr w:rsidR="002D1E45" w:rsidRPr="00677122" w:rsidTr="00677122">
        <w:trPr>
          <w:trHeight w:val="57"/>
          <w:jc w:val="center"/>
        </w:trPr>
        <w:tc>
          <w:tcPr>
            <w:tcW w:w="4673" w:type="dxa"/>
            <w:shd w:val="clear" w:color="auto" w:fill="FFFFFF"/>
          </w:tcPr>
          <w:p w:rsidR="002D1E45" w:rsidRPr="00AC308A" w:rsidRDefault="002D1E45" w:rsidP="000173C4">
            <w:pPr>
              <w:spacing w:after="0" w:line="240" w:lineRule="auto"/>
              <w:rPr>
                <w:rFonts w:ascii="Times New Roman" w:hAnsi="Times New Roman"/>
                <w:b/>
                <w:bCs/>
                <w:color w:val="000000"/>
                <w:lang w:eastAsia="ru-RU"/>
              </w:rPr>
            </w:pPr>
            <w:r w:rsidRPr="00677122">
              <w:rPr>
                <w:rFonts w:ascii="Times New Roman" w:hAnsi="Times New Roman"/>
                <w:b/>
                <w:bCs/>
                <w:color w:val="000000"/>
                <w:lang w:eastAsia="ru-RU"/>
              </w:rPr>
              <w:t>Муниципальное казённое учреждение города Куйбышева Куйбышевского района Новосибирской области «Молодёжный центр»</w:t>
            </w:r>
          </w:p>
        </w:tc>
        <w:tc>
          <w:tcPr>
            <w:tcW w:w="1511" w:type="dxa"/>
            <w:shd w:val="clear" w:color="auto" w:fill="FFFFFF"/>
            <w:vAlign w:val="center"/>
          </w:tcPr>
          <w:p w:rsidR="002D1E45" w:rsidRPr="00AC308A" w:rsidRDefault="002D1E45" w:rsidP="000173C4">
            <w:pPr>
              <w:spacing w:after="0" w:line="240" w:lineRule="auto"/>
              <w:jc w:val="center"/>
              <w:rPr>
                <w:rFonts w:ascii="Times New Roman" w:hAnsi="Times New Roman"/>
                <w:b/>
                <w:bCs/>
                <w:color w:val="000000"/>
                <w:lang w:eastAsia="ru-RU"/>
              </w:rPr>
            </w:pPr>
            <w:r>
              <w:rPr>
                <w:rFonts w:ascii="Times New Roman" w:hAnsi="Times New Roman"/>
                <w:b/>
                <w:bCs/>
                <w:color w:val="000000"/>
                <w:lang w:eastAsia="ru-RU"/>
              </w:rPr>
              <w:t>2</w:t>
            </w:r>
          </w:p>
        </w:tc>
        <w:tc>
          <w:tcPr>
            <w:tcW w:w="3116" w:type="dxa"/>
            <w:shd w:val="clear" w:color="auto" w:fill="FFFFFF"/>
            <w:vAlign w:val="center"/>
          </w:tcPr>
          <w:p w:rsidR="002D1E45" w:rsidRPr="00AC308A" w:rsidRDefault="002D1E45" w:rsidP="000173C4">
            <w:pPr>
              <w:spacing w:after="0" w:line="240" w:lineRule="auto"/>
              <w:jc w:val="center"/>
              <w:rPr>
                <w:rFonts w:ascii="Times New Roman" w:hAnsi="Times New Roman"/>
                <w:b/>
                <w:bCs/>
                <w:color w:val="000000"/>
                <w:lang w:eastAsia="ru-RU"/>
              </w:rPr>
            </w:pPr>
            <w:r>
              <w:rPr>
                <w:rFonts w:ascii="Times New Roman" w:hAnsi="Times New Roman"/>
                <w:b/>
                <w:bCs/>
                <w:color w:val="000000"/>
                <w:lang w:eastAsia="ru-RU"/>
              </w:rPr>
              <w:t>371,0</w:t>
            </w:r>
          </w:p>
        </w:tc>
      </w:tr>
      <w:tr w:rsidR="002D1E45" w:rsidRPr="00AC308A" w:rsidTr="00677122">
        <w:trPr>
          <w:trHeight w:val="57"/>
          <w:jc w:val="center"/>
        </w:trPr>
        <w:tc>
          <w:tcPr>
            <w:tcW w:w="4673" w:type="dxa"/>
            <w:shd w:val="clear" w:color="auto" w:fill="FFFFFF"/>
          </w:tcPr>
          <w:p w:rsidR="002D1E45" w:rsidRPr="00677122" w:rsidRDefault="002D1E45" w:rsidP="00677122">
            <w:pPr>
              <w:spacing w:after="0" w:line="240" w:lineRule="auto"/>
              <w:rPr>
                <w:rFonts w:ascii="Times New Roman" w:hAnsi="Times New Roman"/>
                <w:color w:val="000000"/>
                <w:lang w:eastAsia="ru-RU"/>
              </w:rPr>
            </w:pPr>
            <w:r w:rsidRPr="00677122">
              <w:rPr>
                <w:rFonts w:ascii="Times New Roman" w:hAnsi="Times New Roman"/>
                <w:color w:val="000000"/>
                <w:lang w:eastAsia="ru-RU"/>
              </w:rPr>
              <w:t>МКУ «Молодёжный центр» городской</w:t>
            </w:r>
          </w:p>
          <w:p w:rsidR="002D1E45" w:rsidRPr="00677122" w:rsidRDefault="002D1E45" w:rsidP="00677122">
            <w:pPr>
              <w:spacing w:after="0" w:line="240" w:lineRule="auto"/>
              <w:rPr>
                <w:rFonts w:ascii="Times New Roman" w:hAnsi="Times New Roman"/>
                <w:color w:val="000000"/>
                <w:lang w:eastAsia="ru-RU"/>
              </w:rPr>
            </w:pPr>
            <w:r w:rsidRPr="00677122">
              <w:rPr>
                <w:rFonts w:ascii="Times New Roman" w:hAnsi="Times New Roman"/>
                <w:color w:val="000000"/>
                <w:lang w:eastAsia="ru-RU"/>
              </w:rPr>
              <w:t>патриотический военно-спортивный клуб</w:t>
            </w:r>
          </w:p>
          <w:p w:rsidR="002D1E45" w:rsidRPr="00AC308A" w:rsidRDefault="002D1E45" w:rsidP="00677122">
            <w:pPr>
              <w:spacing w:after="0" w:line="240" w:lineRule="auto"/>
              <w:rPr>
                <w:rFonts w:ascii="Times New Roman" w:hAnsi="Times New Roman"/>
                <w:color w:val="000000"/>
                <w:lang w:eastAsia="ru-RU"/>
              </w:rPr>
            </w:pPr>
            <w:r w:rsidRPr="00677122">
              <w:rPr>
                <w:rFonts w:ascii="Times New Roman" w:hAnsi="Times New Roman"/>
                <w:color w:val="000000"/>
                <w:lang w:eastAsia="ru-RU"/>
              </w:rPr>
              <w:t>«Корсар», ул. Агафонова, 71</w:t>
            </w:r>
          </w:p>
        </w:tc>
        <w:tc>
          <w:tcPr>
            <w:tcW w:w="1511" w:type="dxa"/>
            <w:shd w:val="clear" w:color="auto" w:fill="FFFFFF"/>
            <w:vAlign w:val="center"/>
          </w:tcPr>
          <w:p w:rsidR="002D1E45" w:rsidRPr="00AC308A" w:rsidRDefault="002D1E45" w:rsidP="000173C4">
            <w:pPr>
              <w:spacing w:after="0" w:line="240" w:lineRule="auto"/>
              <w:jc w:val="center"/>
              <w:rPr>
                <w:rFonts w:ascii="Times New Roman" w:hAnsi="Times New Roman"/>
                <w:color w:val="000000"/>
                <w:lang w:eastAsia="ru-RU"/>
              </w:rPr>
            </w:pPr>
            <w:r w:rsidRPr="00AC308A">
              <w:rPr>
                <w:rFonts w:ascii="Times New Roman" w:hAnsi="Times New Roman"/>
                <w:color w:val="000000"/>
                <w:lang w:eastAsia="ru-RU"/>
              </w:rPr>
              <w:t>1</w:t>
            </w:r>
          </w:p>
        </w:tc>
        <w:tc>
          <w:tcPr>
            <w:tcW w:w="3116" w:type="dxa"/>
            <w:shd w:val="clear" w:color="auto" w:fill="FFFFFF"/>
            <w:vAlign w:val="center"/>
          </w:tcPr>
          <w:p w:rsidR="002D1E45" w:rsidRPr="00AC308A" w:rsidRDefault="002D1E45" w:rsidP="000173C4">
            <w:pPr>
              <w:spacing w:after="0" w:line="240" w:lineRule="auto"/>
              <w:jc w:val="center"/>
              <w:rPr>
                <w:rFonts w:ascii="Times New Roman" w:hAnsi="Times New Roman"/>
                <w:color w:val="000000"/>
                <w:lang w:eastAsia="ru-RU"/>
              </w:rPr>
            </w:pPr>
            <w:r w:rsidRPr="00677122">
              <w:rPr>
                <w:rFonts w:ascii="Times New Roman" w:hAnsi="Times New Roman"/>
                <w:color w:val="000000"/>
                <w:lang w:eastAsia="ru-RU"/>
              </w:rPr>
              <w:t>248,8</w:t>
            </w:r>
          </w:p>
        </w:tc>
      </w:tr>
      <w:tr w:rsidR="002D1E45" w:rsidRPr="00AC308A" w:rsidTr="00677122">
        <w:trPr>
          <w:trHeight w:val="57"/>
          <w:jc w:val="center"/>
        </w:trPr>
        <w:tc>
          <w:tcPr>
            <w:tcW w:w="4673" w:type="dxa"/>
            <w:shd w:val="clear" w:color="auto" w:fill="FFFFFF"/>
          </w:tcPr>
          <w:p w:rsidR="002D1E45" w:rsidRPr="00677122" w:rsidRDefault="002D1E45" w:rsidP="00677122">
            <w:pPr>
              <w:spacing w:after="0" w:line="240" w:lineRule="auto"/>
              <w:rPr>
                <w:rFonts w:ascii="Times New Roman" w:hAnsi="Times New Roman"/>
                <w:color w:val="000000"/>
                <w:lang w:eastAsia="ru-RU"/>
              </w:rPr>
            </w:pPr>
            <w:r w:rsidRPr="00677122">
              <w:rPr>
                <w:rFonts w:ascii="Times New Roman" w:hAnsi="Times New Roman"/>
                <w:color w:val="000000"/>
                <w:lang w:eastAsia="ru-RU"/>
              </w:rPr>
              <w:t>МКУ «Молодёжный центр» Спортивно туристический</w:t>
            </w:r>
            <w:r>
              <w:rPr>
                <w:rFonts w:ascii="Times New Roman" w:hAnsi="Times New Roman"/>
                <w:color w:val="000000"/>
                <w:lang w:eastAsia="ru-RU"/>
              </w:rPr>
              <w:t xml:space="preserve"> </w:t>
            </w:r>
            <w:r w:rsidRPr="00677122">
              <w:rPr>
                <w:rFonts w:ascii="Times New Roman" w:hAnsi="Times New Roman"/>
                <w:color w:val="000000"/>
                <w:lang w:eastAsia="ru-RU"/>
              </w:rPr>
              <w:t>клуб «Заречный», ул.</w:t>
            </w:r>
          </w:p>
          <w:p w:rsidR="002D1E45" w:rsidRPr="00AC308A" w:rsidRDefault="002D1E45" w:rsidP="00677122">
            <w:pPr>
              <w:spacing w:after="0" w:line="240" w:lineRule="auto"/>
              <w:rPr>
                <w:rFonts w:ascii="Times New Roman" w:hAnsi="Times New Roman"/>
                <w:color w:val="000000"/>
                <w:lang w:eastAsia="ru-RU"/>
              </w:rPr>
            </w:pPr>
            <w:r w:rsidRPr="00677122">
              <w:rPr>
                <w:rFonts w:ascii="Times New Roman" w:hAnsi="Times New Roman"/>
                <w:color w:val="000000"/>
                <w:lang w:eastAsia="ru-RU"/>
              </w:rPr>
              <w:t>Достоевского, 34</w:t>
            </w:r>
          </w:p>
        </w:tc>
        <w:tc>
          <w:tcPr>
            <w:tcW w:w="1511" w:type="dxa"/>
            <w:shd w:val="clear" w:color="auto" w:fill="FFFFFF"/>
            <w:vAlign w:val="center"/>
          </w:tcPr>
          <w:p w:rsidR="002D1E45" w:rsidRPr="00AC308A" w:rsidRDefault="002D1E45" w:rsidP="000173C4">
            <w:pPr>
              <w:spacing w:after="0" w:line="240" w:lineRule="auto"/>
              <w:jc w:val="center"/>
              <w:rPr>
                <w:rFonts w:ascii="Times New Roman" w:hAnsi="Times New Roman"/>
                <w:color w:val="000000"/>
                <w:lang w:eastAsia="ru-RU"/>
              </w:rPr>
            </w:pPr>
            <w:r w:rsidRPr="00AC308A">
              <w:rPr>
                <w:rFonts w:ascii="Times New Roman" w:hAnsi="Times New Roman"/>
                <w:color w:val="000000"/>
                <w:lang w:eastAsia="ru-RU"/>
              </w:rPr>
              <w:t>1</w:t>
            </w:r>
          </w:p>
        </w:tc>
        <w:tc>
          <w:tcPr>
            <w:tcW w:w="3116" w:type="dxa"/>
            <w:shd w:val="clear" w:color="auto" w:fill="FFFFFF"/>
            <w:vAlign w:val="center"/>
          </w:tcPr>
          <w:p w:rsidR="002D1E45" w:rsidRPr="00AC308A" w:rsidRDefault="002D1E45" w:rsidP="000173C4">
            <w:pPr>
              <w:spacing w:after="0" w:line="240" w:lineRule="auto"/>
              <w:jc w:val="center"/>
              <w:rPr>
                <w:rFonts w:ascii="Times New Roman" w:hAnsi="Times New Roman"/>
                <w:color w:val="000000"/>
                <w:lang w:eastAsia="ru-RU"/>
              </w:rPr>
            </w:pPr>
            <w:r w:rsidRPr="00677122">
              <w:rPr>
                <w:rFonts w:ascii="Times New Roman" w:hAnsi="Times New Roman"/>
                <w:color w:val="000000"/>
                <w:lang w:eastAsia="ru-RU"/>
              </w:rPr>
              <w:t>122,2</w:t>
            </w:r>
          </w:p>
        </w:tc>
      </w:tr>
      <w:tr w:rsidR="002D1E45" w:rsidRPr="007A0677" w:rsidTr="00677122">
        <w:trPr>
          <w:trHeight w:val="57"/>
          <w:jc w:val="center"/>
        </w:trPr>
        <w:tc>
          <w:tcPr>
            <w:tcW w:w="4673" w:type="dxa"/>
            <w:shd w:val="clear" w:color="auto" w:fill="FFFFFF"/>
          </w:tcPr>
          <w:p w:rsidR="002D1E45" w:rsidRPr="007A0677" w:rsidRDefault="002D1E45" w:rsidP="00677122">
            <w:pPr>
              <w:spacing w:after="0" w:line="240" w:lineRule="auto"/>
              <w:rPr>
                <w:rFonts w:ascii="Times New Roman" w:hAnsi="Times New Roman"/>
                <w:b/>
                <w:bCs/>
                <w:i/>
                <w:iCs/>
                <w:color w:val="000000"/>
                <w:lang w:eastAsia="ru-RU"/>
              </w:rPr>
            </w:pPr>
            <w:r w:rsidRPr="007A0677">
              <w:rPr>
                <w:rFonts w:ascii="Times New Roman" w:hAnsi="Times New Roman"/>
                <w:b/>
                <w:bCs/>
                <w:i/>
                <w:iCs/>
                <w:color w:val="000000"/>
                <w:lang w:eastAsia="ru-RU"/>
              </w:rPr>
              <w:t>ИТОГО</w:t>
            </w:r>
          </w:p>
        </w:tc>
        <w:tc>
          <w:tcPr>
            <w:tcW w:w="1511" w:type="dxa"/>
            <w:shd w:val="clear" w:color="auto" w:fill="FFFFFF"/>
            <w:vAlign w:val="center"/>
          </w:tcPr>
          <w:p w:rsidR="002D1E45" w:rsidRPr="007A0677" w:rsidRDefault="002D1E45" w:rsidP="000173C4">
            <w:pPr>
              <w:spacing w:after="0" w:line="240" w:lineRule="auto"/>
              <w:jc w:val="center"/>
              <w:rPr>
                <w:rFonts w:ascii="Times New Roman" w:hAnsi="Times New Roman"/>
                <w:b/>
                <w:bCs/>
                <w:i/>
                <w:iCs/>
                <w:color w:val="000000"/>
                <w:lang w:eastAsia="ru-RU"/>
              </w:rPr>
            </w:pPr>
            <w:r w:rsidRPr="007A0677">
              <w:rPr>
                <w:rFonts w:ascii="Times New Roman" w:hAnsi="Times New Roman"/>
                <w:b/>
                <w:bCs/>
                <w:i/>
                <w:iCs/>
                <w:color w:val="000000"/>
                <w:lang w:eastAsia="ru-RU"/>
              </w:rPr>
              <w:t>14</w:t>
            </w:r>
          </w:p>
        </w:tc>
        <w:tc>
          <w:tcPr>
            <w:tcW w:w="3116" w:type="dxa"/>
            <w:shd w:val="clear" w:color="auto" w:fill="FFFFFF"/>
            <w:vAlign w:val="center"/>
          </w:tcPr>
          <w:p w:rsidR="002D1E45" w:rsidRPr="007A0677" w:rsidRDefault="002D1E45" w:rsidP="000173C4">
            <w:pPr>
              <w:spacing w:after="0" w:line="240" w:lineRule="auto"/>
              <w:jc w:val="center"/>
              <w:rPr>
                <w:rFonts w:ascii="Times New Roman" w:hAnsi="Times New Roman"/>
                <w:b/>
                <w:bCs/>
                <w:i/>
                <w:iCs/>
                <w:color w:val="000000"/>
                <w:lang w:eastAsia="ru-RU"/>
              </w:rPr>
            </w:pPr>
            <w:r w:rsidRPr="007A0677">
              <w:rPr>
                <w:rFonts w:ascii="Times New Roman" w:hAnsi="Times New Roman"/>
                <w:b/>
                <w:bCs/>
                <w:i/>
                <w:iCs/>
                <w:color w:val="000000"/>
                <w:lang w:eastAsia="ru-RU"/>
              </w:rPr>
              <w:t>6830,4</w:t>
            </w:r>
          </w:p>
        </w:tc>
      </w:tr>
    </w:tbl>
    <w:p w:rsidR="002D1E45" w:rsidRDefault="002D1E45" w:rsidP="0063654F">
      <w:pPr>
        <w:shd w:val="clear" w:color="auto" w:fill="FFFFFF"/>
        <w:spacing w:after="120" w:line="240" w:lineRule="auto"/>
        <w:jc w:val="center"/>
        <w:rPr>
          <w:rFonts w:ascii="Times New Roman" w:hAnsi="Times New Roman"/>
          <w:sz w:val="28"/>
          <w:szCs w:val="28"/>
          <w:lang w:eastAsia="ru-RU"/>
        </w:rPr>
      </w:pPr>
    </w:p>
    <w:p w:rsidR="002D1E45" w:rsidRPr="001D4B4C" w:rsidRDefault="002D1E45" w:rsidP="00677122">
      <w:pPr>
        <w:shd w:val="clear" w:color="auto" w:fill="FFFFFF"/>
        <w:spacing w:after="0" w:line="240" w:lineRule="auto"/>
        <w:jc w:val="right"/>
        <w:rPr>
          <w:rFonts w:ascii="Times New Roman" w:hAnsi="Times New Roman"/>
          <w:sz w:val="28"/>
          <w:szCs w:val="28"/>
          <w:lang w:eastAsia="ru-RU"/>
        </w:rPr>
      </w:pPr>
      <w:r w:rsidRPr="001D4B4C">
        <w:rPr>
          <w:rFonts w:ascii="Times New Roman" w:hAnsi="Times New Roman"/>
          <w:sz w:val="28"/>
          <w:szCs w:val="28"/>
          <w:lang w:eastAsia="ru-RU"/>
        </w:rPr>
        <w:t>Таблица 23</w:t>
      </w:r>
    </w:p>
    <w:p w:rsidR="002D1E45" w:rsidRDefault="002D1E45" w:rsidP="00677122">
      <w:pPr>
        <w:shd w:val="clear" w:color="auto" w:fill="FFFFFF"/>
        <w:spacing w:after="120" w:line="240" w:lineRule="auto"/>
        <w:jc w:val="center"/>
        <w:rPr>
          <w:rFonts w:ascii="Times New Roman" w:hAnsi="Times New Roman"/>
          <w:sz w:val="28"/>
          <w:szCs w:val="28"/>
          <w:lang w:eastAsia="ru-RU"/>
        </w:rPr>
      </w:pPr>
      <w:r w:rsidRPr="0063654F">
        <w:rPr>
          <w:rFonts w:ascii="Times New Roman" w:hAnsi="Times New Roman"/>
          <w:sz w:val="28"/>
          <w:szCs w:val="28"/>
          <w:lang w:eastAsia="ru-RU"/>
        </w:rPr>
        <w:t xml:space="preserve">Количество и </w:t>
      </w:r>
      <w:r>
        <w:rPr>
          <w:rFonts w:ascii="Times New Roman" w:hAnsi="Times New Roman"/>
          <w:sz w:val="28"/>
          <w:szCs w:val="28"/>
          <w:lang w:eastAsia="ru-RU"/>
        </w:rPr>
        <w:t>п</w:t>
      </w:r>
      <w:r w:rsidRPr="0063654F">
        <w:rPr>
          <w:rFonts w:ascii="Times New Roman" w:hAnsi="Times New Roman"/>
          <w:sz w:val="28"/>
          <w:szCs w:val="28"/>
          <w:lang w:eastAsia="ru-RU"/>
        </w:rPr>
        <w:t xml:space="preserve">лощадь </w:t>
      </w:r>
      <w:r w:rsidRPr="00D27409">
        <w:rPr>
          <w:rFonts w:ascii="Times New Roman" w:hAnsi="Times New Roman"/>
          <w:sz w:val="28"/>
          <w:szCs w:val="28"/>
          <w:lang w:eastAsia="ru-RU"/>
        </w:rPr>
        <w:t>плоскостных спортивных сооружений</w:t>
      </w:r>
      <w:r>
        <w:rPr>
          <w:rFonts w:ascii="Times New Roman" w:hAnsi="Times New Roman"/>
          <w:sz w:val="28"/>
          <w:szCs w:val="28"/>
          <w:lang w:eastAsia="ru-RU"/>
        </w:rPr>
        <w:t xml:space="preserve"> </w:t>
      </w:r>
      <w:r w:rsidRPr="0063654F">
        <w:rPr>
          <w:rFonts w:ascii="Times New Roman" w:hAnsi="Times New Roman"/>
          <w:sz w:val="28"/>
          <w:szCs w:val="28"/>
          <w:lang w:eastAsia="ru-RU"/>
        </w:rPr>
        <w:t>(включая школьные) на территории города Куйбышева</w:t>
      </w:r>
      <w:r>
        <w:rPr>
          <w:rFonts w:ascii="Times New Roman" w:hAnsi="Times New Roman"/>
          <w:sz w:val="28"/>
          <w:szCs w:val="28"/>
          <w:lang w:eastAsia="ru-RU"/>
        </w:rPr>
        <w:t xml:space="preserve"> </w:t>
      </w:r>
    </w:p>
    <w:tbl>
      <w:tblPr>
        <w:tblW w:w="0" w:type="auto"/>
        <w:jc w:val="center"/>
        <w:tblLayout w:type="fixed"/>
        <w:tblCellMar>
          <w:left w:w="0" w:type="dxa"/>
          <w:right w:w="0" w:type="dxa"/>
        </w:tblCellMar>
        <w:tblLook w:val="0000"/>
      </w:tblPr>
      <w:tblGrid>
        <w:gridCol w:w="5626"/>
        <w:gridCol w:w="1521"/>
        <w:gridCol w:w="3048"/>
      </w:tblGrid>
      <w:tr w:rsidR="002D1E45" w:rsidRPr="00412120" w:rsidTr="00412120">
        <w:trPr>
          <w:trHeight w:val="57"/>
          <w:jc w:val="center"/>
        </w:trPr>
        <w:tc>
          <w:tcPr>
            <w:tcW w:w="5626" w:type="dxa"/>
            <w:tcBorders>
              <w:top w:val="single" w:sz="4" w:space="0" w:color="auto"/>
              <w:left w:val="single" w:sz="4" w:space="0" w:color="auto"/>
              <w:bottom w:val="nil"/>
              <w:right w:val="nil"/>
            </w:tcBorders>
            <w:shd w:val="clear" w:color="auto" w:fill="FFFFFF"/>
            <w:vAlign w:val="center"/>
          </w:tcPr>
          <w:p w:rsidR="002D1E45" w:rsidRPr="00412120" w:rsidRDefault="002D1E45" w:rsidP="00412120">
            <w:pPr>
              <w:spacing w:after="0" w:line="240" w:lineRule="auto"/>
              <w:ind w:left="28" w:right="28"/>
              <w:jc w:val="center"/>
              <w:rPr>
                <w:rFonts w:ascii="Times New Roman" w:hAnsi="Times New Roman"/>
                <w:lang w:eastAsia="ru-RU"/>
              </w:rPr>
            </w:pPr>
            <w:r w:rsidRPr="00412120">
              <w:rPr>
                <w:rFonts w:ascii="Times New Roman" w:hAnsi="Times New Roman"/>
                <w:color w:val="000000"/>
                <w:lang w:eastAsia="ru-RU"/>
              </w:rPr>
              <w:t>Наименование объекта и адрес</w:t>
            </w:r>
          </w:p>
        </w:tc>
        <w:tc>
          <w:tcPr>
            <w:tcW w:w="1521" w:type="dxa"/>
            <w:tcBorders>
              <w:top w:val="single" w:sz="4" w:space="0" w:color="auto"/>
              <w:left w:val="single" w:sz="4" w:space="0" w:color="auto"/>
              <w:bottom w:val="nil"/>
              <w:right w:val="nil"/>
            </w:tcBorders>
            <w:shd w:val="clear" w:color="auto" w:fill="FFFFFF"/>
            <w:vAlign w:val="center"/>
          </w:tcPr>
          <w:p w:rsidR="002D1E45" w:rsidRPr="00412120" w:rsidRDefault="002D1E45" w:rsidP="00412120">
            <w:pPr>
              <w:spacing w:after="0" w:line="240" w:lineRule="auto"/>
              <w:ind w:left="28" w:right="28"/>
              <w:jc w:val="center"/>
              <w:rPr>
                <w:rFonts w:ascii="Times New Roman" w:hAnsi="Times New Roman"/>
                <w:lang w:eastAsia="ru-RU"/>
              </w:rPr>
            </w:pPr>
            <w:r w:rsidRPr="00412120">
              <w:rPr>
                <w:rFonts w:ascii="Times New Roman" w:hAnsi="Times New Roman"/>
                <w:color w:val="000000"/>
                <w:lang w:eastAsia="ru-RU"/>
              </w:rPr>
              <w:t>Количество объектов</w:t>
            </w:r>
          </w:p>
        </w:tc>
        <w:tc>
          <w:tcPr>
            <w:tcW w:w="3048" w:type="dxa"/>
            <w:tcBorders>
              <w:top w:val="single" w:sz="4" w:space="0" w:color="auto"/>
              <w:left w:val="single" w:sz="4" w:space="0" w:color="auto"/>
              <w:bottom w:val="nil"/>
              <w:right w:val="single" w:sz="4" w:space="0" w:color="auto"/>
            </w:tcBorders>
            <w:shd w:val="clear" w:color="auto" w:fill="FFFFFF"/>
            <w:vAlign w:val="center"/>
          </w:tcPr>
          <w:p w:rsidR="002D1E45" w:rsidRPr="00412120" w:rsidRDefault="002D1E45" w:rsidP="00412120">
            <w:pPr>
              <w:spacing w:after="0" w:line="240" w:lineRule="auto"/>
              <w:ind w:left="28" w:right="28"/>
              <w:jc w:val="center"/>
              <w:rPr>
                <w:rFonts w:ascii="Times New Roman" w:hAnsi="Times New Roman"/>
                <w:lang w:eastAsia="ru-RU"/>
              </w:rPr>
            </w:pPr>
            <w:r w:rsidRPr="00412120">
              <w:rPr>
                <w:rFonts w:ascii="Times New Roman" w:hAnsi="Times New Roman"/>
                <w:color w:val="000000"/>
                <w:lang w:eastAsia="ru-RU"/>
              </w:rPr>
              <w:t>Площадь объекта 9 М~</w:t>
            </w:r>
          </w:p>
        </w:tc>
      </w:tr>
      <w:tr w:rsidR="002D1E45" w:rsidRPr="00412120" w:rsidTr="00412120">
        <w:trPr>
          <w:trHeight w:val="57"/>
          <w:jc w:val="center"/>
        </w:trPr>
        <w:tc>
          <w:tcPr>
            <w:tcW w:w="10195" w:type="dxa"/>
            <w:gridSpan w:val="3"/>
            <w:tcBorders>
              <w:top w:val="single" w:sz="4" w:space="0" w:color="auto"/>
              <w:left w:val="single" w:sz="4" w:space="0" w:color="auto"/>
              <w:bottom w:val="nil"/>
              <w:right w:val="single" w:sz="4" w:space="0" w:color="auto"/>
            </w:tcBorders>
            <w:shd w:val="clear" w:color="auto" w:fill="FFFFFF"/>
            <w:vAlign w:val="bottom"/>
          </w:tcPr>
          <w:p w:rsidR="002D1E45" w:rsidRPr="00412120" w:rsidRDefault="002D1E45" w:rsidP="00412120">
            <w:pPr>
              <w:spacing w:after="0" w:line="240" w:lineRule="auto"/>
              <w:ind w:left="28" w:right="28"/>
              <w:jc w:val="center"/>
              <w:rPr>
                <w:rFonts w:ascii="Times New Roman" w:hAnsi="Times New Roman"/>
                <w:b/>
                <w:bCs/>
                <w:lang w:eastAsia="ru-RU"/>
              </w:rPr>
            </w:pPr>
            <w:r w:rsidRPr="00412120">
              <w:rPr>
                <w:rFonts w:ascii="Times New Roman" w:hAnsi="Times New Roman"/>
                <w:b/>
                <w:bCs/>
                <w:color w:val="000000"/>
                <w:lang w:eastAsia="ru-RU"/>
              </w:rPr>
              <w:t>МБУС города Куйбышева Куйбышевского района Новосибирской области «Спортивно - оздоровительный центр города Куйбышева»</w:t>
            </w:r>
          </w:p>
        </w:tc>
      </w:tr>
      <w:tr w:rsidR="002D1E45" w:rsidRPr="00412120" w:rsidTr="00412120">
        <w:trPr>
          <w:trHeight w:val="57"/>
          <w:jc w:val="center"/>
        </w:trPr>
        <w:tc>
          <w:tcPr>
            <w:tcW w:w="5626" w:type="dxa"/>
            <w:tcBorders>
              <w:top w:val="single" w:sz="4" w:space="0" w:color="auto"/>
              <w:left w:val="single" w:sz="4" w:space="0" w:color="auto"/>
              <w:bottom w:val="nil"/>
              <w:right w:val="nil"/>
            </w:tcBorders>
            <w:shd w:val="clear" w:color="auto" w:fill="FFFFFF"/>
          </w:tcPr>
          <w:p w:rsidR="002D1E45" w:rsidRPr="00412120" w:rsidRDefault="002D1E45" w:rsidP="00412120">
            <w:pPr>
              <w:spacing w:after="0" w:line="240" w:lineRule="auto"/>
              <w:ind w:left="28" w:right="28"/>
              <w:rPr>
                <w:rFonts w:ascii="Times New Roman" w:hAnsi="Times New Roman"/>
                <w:lang w:eastAsia="ru-RU"/>
              </w:rPr>
            </w:pPr>
            <w:r w:rsidRPr="00412120">
              <w:rPr>
                <w:rFonts w:ascii="Times New Roman" w:hAnsi="Times New Roman"/>
                <w:color w:val="000000"/>
                <w:lang w:eastAsia="ru-RU"/>
              </w:rPr>
              <w:t>Сквер «Загородный» ул. Воинская, 18</w:t>
            </w:r>
          </w:p>
        </w:tc>
        <w:tc>
          <w:tcPr>
            <w:tcW w:w="1521" w:type="dxa"/>
            <w:tcBorders>
              <w:top w:val="single" w:sz="4" w:space="0" w:color="auto"/>
              <w:left w:val="single" w:sz="4" w:space="0" w:color="auto"/>
              <w:bottom w:val="nil"/>
              <w:right w:val="nil"/>
            </w:tcBorders>
            <w:shd w:val="clear" w:color="auto" w:fill="FFFFFF"/>
            <w:vAlign w:val="center"/>
          </w:tcPr>
          <w:p w:rsidR="002D1E45" w:rsidRPr="00412120" w:rsidRDefault="002D1E45" w:rsidP="00412120">
            <w:pPr>
              <w:spacing w:after="0" w:line="240" w:lineRule="auto"/>
              <w:ind w:left="28" w:right="28"/>
              <w:jc w:val="center"/>
              <w:rPr>
                <w:rFonts w:ascii="Times New Roman" w:hAnsi="Times New Roman"/>
                <w:lang w:eastAsia="ru-RU"/>
              </w:rPr>
            </w:pPr>
            <w:r w:rsidRPr="00412120">
              <w:rPr>
                <w:rFonts w:ascii="Times New Roman" w:hAnsi="Times New Roman"/>
                <w:color w:val="000000"/>
                <w:lang w:eastAsia="ru-RU"/>
              </w:rPr>
              <w:t>1</w:t>
            </w:r>
          </w:p>
        </w:tc>
        <w:tc>
          <w:tcPr>
            <w:tcW w:w="3048" w:type="dxa"/>
            <w:tcBorders>
              <w:top w:val="single" w:sz="4" w:space="0" w:color="auto"/>
              <w:left w:val="single" w:sz="4" w:space="0" w:color="auto"/>
              <w:bottom w:val="nil"/>
              <w:right w:val="single" w:sz="4" w:space="0" w:color="auto"/>
            </w:tcBorders>
            <w:shd w:val="clear" w:color="auto" w:fill="FFFFFF"/>
            <w:vAlign w:val="center"/>
          </w:tcPr>
          <w:p w:rsidR="002D1E45" w:rsidRPr="00412120" w:rsidRDefault="002D1E45" w:rsidP="00412120">
            <w:pPr>
              <w:spacing w:after="0" w:line="240" w:lineRule="auto"/>
              <w:ind w:left="28" w:right="28"/>
              <w:jc w:val="center"/>
              <w:rPr>
                <w:rFonts w:ascii="Times New Roman" w:hAnsi="Times New Roman"/>
                <w:lang w:eastAsia="ru-RU"/>
              </w:rPr>
            </w:pPr>
            <w:r w:rsidRPr="00412120">
              <w:rPr>
                <w:rFonts w:ascii="Times New Roman" w:hAnsi="Times New Roman"/>
                <w:color w:val="000000"/>
                <w:lang w:eastAsia="ru-RU"/>
              </w:rPr>
              <w:t>57362</w:t>
            </w:r>
          </w:p>
        </w:tc>
      </w:tr>
      <w:tr w:rsidR="002D1E45" w:rsidRPr="00412120" w:rsidTr="00412120">
        <w:trPr>
          <w:trHeight w:val="57"/>
          <w:jc w:val="center"/>
        </w:trPr>
        <w:tc>
          <w:tcPr>
            <w:tcW w:w="5626" w:type="dxa"/>
            <w:tcBorders>
              <w:top w:val="single" w:sz="4" w:space="0" w:color="auto"/>
              <w:left w:val="single" w:sz="4" w:space="0" w:color="auto"/>
              <w:bottom w:val="nil"/>
              <w:right w:val="nil"/>
            </w:tcBorders>
            <w:shd w:val="clear" w:color="auto" w:fill="FFFFFF"/>
            <w:vAlign w:val="bottom"/>
          </w:tcPr>
          <w:p w:rsidR="002D1E45" w:rsidRPr="00412120" w:rsidRDefault="002D1E45" w:rsidP="00412120">
            <w:pPr>
              <w:spacing w:after="0" w:line="240" w:lineRule="auto"/>
              <w:ind w:left="28" w:right="28"/>
              <w:rPr>
                <w:rFonts w:ascii="Times New Roman" w:hAnsi="Times New Roman"/>
                <w:lang w:eastAsia="ru-RU"/>
              </w:rPr>
            </w:pPr>
            <w:r w:rsidRPr="00412120">
              <w:rPr>
                <w:rFonts w:ascii="Times New Roman" w:hAnsi="Times New Roman"/>
                <w:color w:val="000000"/>
                <w:lang w:eastAsia="ru-RU"/>
              </w:rPr>
              <w:t>Сквер «Спортивный» ул. Партизанская 2/2</w:t>
            </w:r>
          </w:p>
        </w:tc>
        <w:tc>
          <w:tcPr>
            <w:tcW w:w="1521" w:type="dxa"/>
            <w:tcBorders>
              <w:top w:val="single" w:sz="4" w:space="0" w:color="auto"/>
              <w:left w:val="single" w:sz="4" w:space="0" w:color="auto"/>
              <w:bottom w:val="nil"/>
              <w:right w:val="nil"/>
            </w:tcBorders>
            <w:shd w:val="clear" w:color="auto" w:fill="FFFFFF"/>
            <w:vAlign w:val="center"/>
          </w:tcPr>
          <w:p w:rsidR="002D1E45" w:rsidRPr="00412120" w:rsidRDefault="002D1E45" w:rsidP="00412120">
            <w:pPr>
              <w:spacing w:after="0" w:line="240" w:lineRule="auto"/>
              <w:ind w:left="28" w:right="28"/>
              <w:jc w:val="center"/>
              <w:rPr>
                <w:rFonts w:ascii="Times New Roman" w:hAnsi="Times New Roman"/>
                <w:lang w:eastAsia="ru-RU"/>
              </w:rPr>
            </w:pPr>
            <w:r w:rsidRPr="00412120">
              <w:rPr>
                <w:rFonts w:ascii="Times New Roman" w:hAnsi="Times New Roman"/>
                <w:color w:val="000000"/>
                <w:lang w:eastAsia="ru-RU"/>
              </w:rPr>
              <w:t>1</w:t>
            </w:r>
          </w:p>
        </w:tc>
        <w:tc>
          <w:tcPr>
            <w:tcW w:w="3048" w:type="dxa"/>
            <w:tcBorders>
              <w:top w:val="single" w:sz="4" w:space="0" w:color="auto"/>
              <w:left w:val="single" w:sz="4" w:space="0" w:color="auto"/>
              <w:bottom w:val="nil"/>
              <w:right w:val="single" w:sz="4" w:space="0" w:color="auto"/>
            </w:tcBorders>
            <w:shd w:val="clear" w:color="auto" w:fill="FFFFFF"/>
            <w:vAlign w:val="center"/>
          </w:tcPr>
          <w:p w:rsidR="002D1E45" w:rsidRPr="00412120" w:rsidRDefault="002D1E45" w:rsidP="00412120">
            <w:pPr>
              <w:spacing w:after="0" w:line="240" w:lineRule="auto"/>
              <w:ind w:left="28" w:right="28"/>
              <w:jc w:val="center"/>
              <w:rPr>
                <w:rFonts w:ascii="Times New Roman" w:hAnsi="Times New Roman"/>
                <w:lang w:eastAsia="ru-RU"/>
              </w:rPr>
            </w:pPr>
            <w:r w:rsidRPr="00412120">
              <w:rPr>
                <w:rFonts w:ascii="Times New Roman" w:hAnsi="Times New Roman"/>
                <w:color w:val="000000"/>
                <w:lang w:eastAsia="ru-RU"/>
              </w:rPr>
              <w:t>6346</w:t>
            </w:r>
          </w:p>
        </w:tc>
      </w:tr>
      <w:tr w:rsidR="002D1E45" w:rsidRPr="00412120" w:rsidTr="00412120">
        <w:trPr>
          <w:trHeight w:val="234"/>
          <w:jc w:val="center"/>
        </w:trPr>
        <w:tc>
          <w:tcPr>
            <w:tcW w:w="5626" w:type="dxa"/>
            <w:tcBorders>
              <w:top w:val="single" w:sz="4" w:space="0" w:color="auto"/>
              <w:left w:val="single" w:sz="4" w:space="0" w:color="auto"/>
              <w:bottom w:val="single" w:sz="4" w:space="0" w:color="auto"/>
              <w:right w:val="nil"/>
            </w:tcBorders>
            <w:shd w:val="clear" w:color="auto" w:fill="FFFFFF"/>
            <w:vAlign w:val="bottom"/>
          </w:tcPr>
          <w:p w:rsidR="002D1E45" w:rsidRPr="00412120" w:rsidRDefault="002D1E45" w:rsidP="00412120">
            <w:pPr>
              <w:spacing w:after="0" w:line="240" w:lineRule="auto"/>
              <w:ind w:left="28" w:right="28"/>
              <w:rPr>
                <w:rFonts w:ascii="Times New Roman" w:hAnsi="Times New Roman"/>
                <w:lang w:eastAsia="ru-RU"/>
              </w:rPr>
            </w:pPr>
            <w:r w:rsidRPr="00412120">
              <w:rPr>
                <w:rFonts w:ascii="Times New Roman" w:hAnsi="Times New Roman"/>
                <w:color w:val="000000"/>
                <w:lang w:eastAsia="ru-RU"/>
              </w:rPr>
              <w:t xml:space="preserve">Скейтпарк ул. Партизанская 2/1 </w:t>
            </w:r>
          </w:p>
        </w:tc>
        <w:tc>
          <w:tcPr>
            <w:tcW w:w="1521" w:type="dxa"/>
            <w:tcBorders>
              <w:top w:val="single" w:sz="4" w:space="0" w:color="auto"/>
              <w:left w:val="single" w:sz="4" w:space="0" w:color="auto"/>
              <w:bottom w:val="single" w:sz="4" w:space="0" w:color="auto"/>
              <w:right w:val="nil"/>
            </w:tcBorders>
            <w:shd w:val="clear" w:color="auto" w:fill="FFFFFF"/>
            <w:vAlign w:val="center"/>
          </w:tcPr>
          <w:p w:rsidR="002D1E45" w:rsidRPr="00412120" w:rsidRDefault="002D1E45" w:rsidP="00412120">
            <w:pPr>
              <w:spacing w:after="0" w:line="240" w:lineRule="auto"/>
              <w:ind w:left="28" w:right="28"/>
              <w:jc w:val="center"/>
              <w:rPr>
                <w:rFonts w:ascii="Times New Roman" w:hAnsi="Times New Roman"/>
                <w:lang w:eastAsia="ru-RU"/>
              </w:rPr>
            </w:pPr>
            <w:r w:rsidRPr="00412120">
              <w:rPr>
                <w:rFonts w:ascii="Times New Roman" w:hAnsi="Times New Roman"/>
                <w:color w:val="000000"/>
                <w:lang w:eastAsia="ru-RU"/>
              </w:rPr>
              <w:t>1</w:t>
            </w:r>
          </w:p>
        </w:tc>
        <w:tc>
          <w:tcPr>
            <w:tcW w:w="3048"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412120" w:rsidRDefault="002D1E45" w:rsidP="00412120">
            <w:pPr>
              <w:spacing w:after="0" w:line="240" w:lineRule="auto"/>
              <w:ind w:left="28" w:right="28"/>
              <w:jc w:val="center"/>
              <w:rPr>
                <w:rFonts w:ascii="Times New Roman" w:hAnsi="Times New Roman"/>
                <w:lang w:eastAsia="ru-RU"/>
              </w:rPr>
            </w:pPr>
            <w:r w:rsidRPr="00412120">
              <w:rPr>
                <w:rFonts w:ascii="Times New Roman" w:hAnsi="Times New Roman"/>
                <w:color w:val="000000"/>
                <w:lang w:eastAsia="ru-RU"/>
              </w:rPr>
              <w:t>168</w:t>
            </w:r>
          </w:p>
        </w:tc>
      </w:tr>
      <w:tr w:rsidR="002D1E45" w:rsidRPr="00412120" w:rsidTr="00412120">
        <w:trPr>
          <w:trHeight w:val="256"/>
          <w:jc w:val="center"/>
        </w:trPr>
        <w:tc>
          <w:tcPr>
            <w:tcW w:w="5626" w:type="dxa"/>
            <w:tcBorders>
              <w:top w:val="single" w:sz="4" w:space="0" w:color="auto"/>
              <w:left w:val="single" w:sz="4" w:space="0" w:color="auto"/>
              <w:bottom w:val="nil"/>
              <w:right w:val="nil"/>
            </w:tcBorders>
            <w:shd w:val="clear" w:color="auto" w:fill="FFFFFF"/>
            <w:vAlign w:val="bottom"/>
          </w:tcPr>
          <w:p w:rsidR="002D1E45" w:rsidRPr="00412120" w:rsidRDefault="002D1E45" w:rsidP="00412120">
            <w:pPr>
              <w:spacing w:after="0" w:line="240" w:lineRule="auto"/>
              <w:ind w:left="28" w:right="28"/>
              <w:rPr>
                <w:rFonts w:ascii="Times New Roman" w:hAnsi="Times New Roman"/>
                <w:color w:val="000000"/>
                <w:lang w:eastAsia="ru-RU"/>
              </w:rPr>
            </w:pPr>
            <w:r w:rsidRPr="00412120">
              <w:rPr>
                <w:rFonts w:ascii="Times New Roman" w:hAnsi="Times New Roman"/>
                <w:color w:val="000000"/>
                <w:lang w:eastAsia="ru-RU"/>
              </w:rPr>
              <w:t>Стадион «Труд» ул. Новосибирская,]</w:t>
            </w:r>
          </w:p>
        </w:tc>
        <w:tc>
          <w:tcPr>
            <w:tcW w:w="1521" w:type="dxa"/>
            <w:tcBorders>
              <w:top w:val="single" w:sz="4" w:space="0" w:color="auto"/>
              <w:left w:val="single" w:sz="4" w:space="0" w:color="auto"/>
              <w:bottom w:val="nil"/>
              <w:right w:val="nil"/>
            </w:tcBorders>
            <w:shd w:val="clear" w:color="auto" w:fill="FFFFFF"/>
            <w:vAlign w:val="center"/>
          </w:tcPr>
          <w:p w:rsidR="002D1E45" w:rsidRPr="00412120" w:rsidRDefault="002D1E45" w:rsidP="00412120">
            <w:pPr>
              <w:spacing w:after="0" w:line="240" w:lineRule="auto"/>
              <w:ind w:left="28" w:right="28"/>
              <w:jc w:val="center"/>
              <w:rPr>
                <w:rFonts w:ascii="Times New Roman" w:hAnsi="Times New Roman"/>
                <w:color w:val="000000"/>
                <w:lang w:eastAsia="ru-RU"/>
              </w:rPr>
            </w:pPr>
            <w:r>
              <w:rPr>
                <w:rFonts w:ascii="Times New Roman" w:hAnsi="Times New Roman"/>
                <w:color w:val="000000"/>
                <w:lang w:eastAsia="ru-RU"/>
              </w:rPr>
              <w:t>1</w:t>
            </w:r>
          </w:p>
        </w:tc>
        <w:tc>
          <w:tcPr>
            <w:tcW w:w="3048" w:type="dxa"/>
            <w:tcBorders>
              <w:top w:val="single" w:sz="4" w:space="0" w:color="auto"/>
              <w:left w:val="single" w:sz="4" w:space="0" w:color="auto"/>
              <w:bottom w:val="nil"/>
              <w:right w:val="single" w:sz="4" w:space="0" w:color="auto"/>
            </w:tcBorders>
            <w:shd w:val="clear" w:color="auto" w:fill="FFFFFF"/>
            <w:vAlign w:val="center"/>
          </w:tcPr>
          <w:p w:rsidR="002D1E45" w:rsidRPr="00412120" w:rsidRDefault="002D1E45" w:rsidP="00412120">
            <w:pPr>
              <w:spacing w:after="0" w:line="240" w:lineRule="auto"/>
              <w:ind w:left="28" w:right="28"/>
              <w:jc w:val="center"/>
              <w:rPr>
                <w:rFonts w:ascii="Times New Roman" w:hAnsi="Times New Roman"/>
                <w:color w:val="000000"/>
                <w:lang w:eastAsia="ru-RU"/>
              </w:rPr>
            </w:pPr>
            <w:r w:rsidRPr="00412120">
              <w:rPr>
                <w:rFonts w:ascii="Times New Roman" w:hAnsi="Times New Roman"/>
                <w:color w:val="000000"/>
                <w:lang w:eastAsia="ru-RU"/>
              </w:rPr>
              <w:t>12718,4</w:t>
            </w:r>
          </w:p>
        </w:tc>
      </w:tr>
      <w:tr w:rsidR="002D1E45" w:rsidRPr="00412120" w:rsidTr="00412120">
        <w:trPr>
          <w:trHeight w:val="57"/>
          <w:jc w:val="center"/>
        </w:trPr>
        <w:tc>
          <w:tcPr>
            <w:tcW w:w="5626" w:type="dxa"/>
            <w:tcBorders>
              <w:top w:val="single" w:sz="4" w:space="0" w:color="auto"/>
              <w:left w:val="single" w:sz="4" w:space="0" w:color="auto"/>
              <w:bottom w:val="nil"/>
              <w:right w:val="nil"/>
            </w:tcBorders>
            <w:shd w:val="clear" w:color="auto" w:fill="FFFFFF"/>
            <w:vAlign w:val="bottom"/>
          </w:tcPr>
          <w:p w:rsidR="002D1E45" w:rsidRPr="00412120" w:rsidRDefault="002D1E45" w:rsidP="00412120">
            <w:pPr>
              <w:spacing w:after="0" w:line="240" w:lineRule="auto"/>
              <w:ind w:left="28" w:right="28"/>
              <w:rPr>
                <w:rFonts w:ascii="Times New Roman" w:hAnsi="Times New Roman"/>
                <w:lang w:eastAsia="ru-RU"/>
              </w:rPr>
            </w:pPr>
            <w:r w:rsidRPr="00412120">
              <w:rPr>
                <w:rFonts w:ascii="Times New Roman" w:hAnsi="Times New Roman"/>
                <w:color w:val="000000"/>
                <w:lang w:eastAsia="ru-RU"/>
              </w:rPr>
              <w:t>Хоккейные коробки 11 кв.</w:t>
            </w:r>
          </w:p>
        </w:tc>
        <w:tc>
          <w:tcPr>
            <w:tcW w:w="1521" w:type="dxa"/>
            <w:tcBorders>
              <w:top w:val="single" w:sz="4" w:space="0" w:color="auto"/>
              <w:left w:val="single" w:sz="4" w:space="0" w:color="auto"/>
              <w:bottom w:val="nil"/>
              <w:right w:val="nil"/>
            </w:tcBorders>
            <w:shd w:val="clear" w:color="auto" w:fill="FFFFFF"/>
            <w:vAlign w:val="center"/>
          </w:tcPr>
          <w:p w:rsidR="002D1E45" w:rsidRPr="00412120" w:rsidRDefault="002D1E45" w:rsidP="00412120">
            <w:pPr>
              <w:spacing w:after="0" w:line="240" w:lineRule="auto"/>
              <w:ind w:left="28" w:right="28"/>
              <w:jc w:val="center"/>
              <w:rPr>
                <w:rFonts w:ascii="Times New Roman" w:hAnsi="Times New Roman"/>
                <w:lang w:eastAsia="ru-RU"/>
              </w:rPr>
            </w:pPr>
            <w:r w:rsidRPr="00412120">
              <w:rPr>
                <w:rFonts w:ascii="Times New Roman" w:hAnsi="Times New Roman"/>
                <w:color w:val="000000"/>
                <w:lang w:eastAsia="ru-RU"/>
              </w:rPr>
              <w:t>1</w:t>
            </w:r>
          </w:p>
        </w:tc>
        <w:tc>
          <w:tcPr>
            <w:tcW w:w="3048" w:type="dxa"/>
            <w:tcBorders>
              <w:top w:val="single" w:sz="4" w:space="0" w:color="auto"/>
              <w:left w:val="single" w:sz="4" w:space="0" w:color="auto"/>
              <w:bottom w:val="nil"/>
              <w:right w:val="single" w:sz="4" w:space="0" w:color="auto"/>
            </w:tcBorders>
            <w:shd w:val="clear" w:color="auto" w:fill="FFFFFF"/>
            <w:vAlign w:val="center"/>
          </w:tcPr>
          <w:p w:rsidR="002D1E45" w:rsidRPr="00412120" w:rsidRDefault="002D1E45" w:rsidP="00412120">
            <w:pPr>
              <w:spacing w:after="0" w:line="240" w:lineRule="auto"/>
              <w:ind w:left="28" w:right="28"/>
              <w:jc w:val="center"/>
              <w:rPr>
                <w:rFonts w:ascii="Times New Roman" w:hAnsi="Times New Roman"/>
                <w:lang w:eastAsia="ru-RU"/>
              </w:rPr>
            </w:pPr>
            <w:r w:rsidRPr="00412120">
              <w:rPr>
                <w:rFonts w:ascii="Times New Roman" w:hAnsi="Times New Roman"/>
                <w:color w:val="000000"/>
                <w:lang w:eastAsia="ru-RU"/>
              </w:rPr>
              <w:t>146,2</w:t>
            </w:r>
          </w:p>
        </w:tc>
      </w:tr>
      <w:tr w:rsidR="002D1E45" w:rsidRPr="00412120" w:rsidTr="00412120">
        <w:trPr>
          <w:trHeight w:val="57"/>
          <w:jc w:val="center"/>
        </w:trPr>
        <w:tc>
          <w:tcPr>
            <w:tcW w:w="5626" w:type="dxa"/>
            <w:tcBorders>
              <w:top w:val="single" w:sz="4" w:space="0" w:color="auto"/>
              <w:left w:val="single" w:sz="4" w:space="0" w:color="auto"/>
              <w:bottom w:val="nil"/>
              <w:right w:val="nil"/>
            </w:tcBorders>
            <w:shd w:val="clear" w:color="auto" w:fill="FFFFFF"/>
            <w:vAlign w:val="bottom"/>
          </w:tcPr>
          <w:p w:rsidR="002D1E45" w:rsidRPr="00412120" w:rsidRDefault="002D1E45" w:rsidP="00412120">
            <w:pPr>
              <w:spacing w:after="0" w:line="240" w:lineRule="auto"/>
              <w:ind w:left="28" w:right="28"/>
              <w:rPr>
                <w:rFonts w:ascii="Times New Roman" w:hAnsi="Times New Roman"/>
                <w:lang w:eastAsia="ru-RU"/>
              </w:rPr>
            </w:pPr>
            <w:r w:rsidRPr="00412120">
              <w:rPr>
                <w:rFonts w:ascii="Times New Roman" w:hAnsi="Times New Roman"/>
                <w:color w:val="000000"/>
                <w:lang w:eastAsia="ru-RU"/>
              </w:rPr>
              <w:t>Хоккейный коробки 8 кв.</w:t>
            </w:r>
          </w:p>
        </w:tc>
        <w:tc>
          <w:tcPr>
            <w:tcW w:w="1521" w:type="dxa"/>
            <w:tcBorders>
              <w:top w:val="single" w:sz="4" w:space="0" w:color="auto"/>
              <w:left w:val="single" w:sz="4" w:space="0" w:color="auto"/>
              <w:bottom w:val="nil"/>
              <w:right w:val="nil"/>
            </w:tcBorders>
            <w:shd w:val="clear" w:color="auto" w:fill="FFFFFF"/>
            <w:vAlign w:val="center"/>
          </w:tcPr>
          <w:p w:rsidR="002D1E45" w:rsidRPr="00412120" w:rsidRDefault="002D1E45" w:rsidP="00412120">
            <w:pPr>
              <w:spacing w:after="0" w:line="240" w:lineRule="auto"/>
              <w:ind w:left="28" w:right="28"/>
              <w:jc w:val="center"/>
              <w:rPr>
                <w:rFonts w:ascii="Times New Roman" w:hAnsi="Times New Roman"/>
                <w:lang w:eastAsia="ru-RU"/>
              </w:rPr>
            </w:pPr>
            <w:r w:rsidRPr="00412120">
              <w:rPr>
                <w:rFonts w:ascii="Times New Roman" w:hAnsi="Times New Roman"/>
                <w:color w:val="000000"/>
                <w:lang w:eastAsia="ru-RU"/>
              </w:rPr>
              <w:t>1</w:t>
            </w:r>
          </w:p>
        </w:tc>
        <w:tc>
          <w:tcPr>
            <w:tcW w:w="3048" w:type="dxa"/>
            <w:tcBorders>
              <w:top w:val="single" w:sz="4" w:space="0" w:color="auto"/>
              <w:left w:val="single" w:sz="4" w:space="0" w:color="auto"/>
              <w:bottom w:val="nil"/>
              <w:right w:val="single" w:sz="4" w:space="0" w:color="auto"/>
            </w:tcBorders>
            <w:shd w:val="clear" w:color="auto" w:fill="FFFFFF"/>
            <w:vAlign w:val="center"/>
          </w:tcPr>
          <w:p w:rsidR="002D1E45" w:rsidRPr="00412120" w:rsidRDefault="002D1E45" w:rsidP="00412120">
            <w:pPr>
              <w:spacing w:after="0" w:line="240" w:lineRule="auto"/>
              <w:ind w:left="28" w:right="28"/>
              <w:jc w:val="center"/>
              <w:rPr>
                <w:rFonts w:ascii="Times New Roman" w:hAnsi="Times New Roman"/>
                <w:lang w:eastAsia="ru-RU"/>
              </w:rPr>
            </w:pPr>
            <w:r w:rsidRPr="00412120">
              <w:rPr>
                <w:rFonts w:ascii="Times New Roman" w:hAnsi="Times New Roman"/>
                <w:color w:val="000000"/>
                <w:lang w:eastAsia="ru-RU"/>
              </w:rPr>
              <w:t>133,6</w:t>
            </w:r>
          </w:p>
        </w:tc>
      </w:tr>
      <w:tr w:rsidR="002D1E45" w:rsidRPr="00412120" w:rsidTr="00412120">
        <w:trPr>
          <w:trHeight w:val="57"/>
          <w:jc w:val="center"/>
        </w:trPr>
        <w:tc>
          <w:tcPr>
            <w:tcW w:w="10195" w:type="dxa"/>
            <w:gridSpan w:val="3"/>
            <w:tcBorders>
              <w:top w:val="single" w:sz="4" w:space="0" w:color="auto"/>
              <w:left w:val="single" w:sz="4" w:space="0" w:color="auto"/>
              <w:bottom w:val="nil"/>
              <w:right w:val="single" w:sz="4" w:space="0" w:color="auto"/>
            </w:tcBorders>
            <w:shd w:val="clear" w:color="auto" w:fill="FFFFFF"/>
            <w:vAlign w:val="bottom"/>
          </w:tcPr>
          <w:p w:rsidR="002D1E45" w:rsidRPr="00412120" w:rsidRDefault="002D1E45" w:rsidP="00412120">
            <w:pPr>
              <w:spacing w:after="0" w:line="240" w:lineRule="auto"/>
              <w:ind w:left="28" w:right="28"/>
              <w:jc w:val="center"/>
              <w:rPr>
                <w:rFonts w:ascii="Times New Roman" w:hAnsi="Times New Roman"/>
                <w:b/>
                <w:bCs/>
                <w:lang w:eastAsia="ru-RU"/>
              </w:rPr>
            </w:pPr>
            <w:r w:rsidRPr="00412120">
              <w:rPr>
                <w:rFonts w:ascii="Times New Roman" w:hAnsi="Times New Roman"/>
                <w:b/>
                <w:bCs/>
                <w:color w:val="000000"/>
                <w:lang w:eastAsia="ru-RU"/>
              </w:rPr>
              <w:t>Муниципальное казённое учреждение города Куйбышева Куйбышевского района Новосибирской области «Молодёжный центр»</w:t>
            </w:r>
          </w:p>
        </w:tc>
      </w:tr>
      <w:tr w:rsidR="002D1E45" w:rsidRPr="00412120" w:rsidTr="00412120">
        <w:trPr>
          <w:trHeight w:val="57"/>
          <w:jc w:val="center"/>
        </w:trPr>
        <w:tc>
          <w:tcPr>
            <w:tcW w:w="5626" w:type="dxa"/>
            <w:tcBorders>
              <w:top w:val="single" w:sz="4" w:space="0" w:color="auto"/>
              <w:left w:val="single" w:sz="4" w:space="0" w:color="auto"/>
              <w:bottom w:val="single" w:sz="4" w:space="0" w:color="auto"/>
              <w:right w:val="nil"/>
            </w:tcBorders>
            <w:shd w:val="clear" w:color="auto" w:fill="FFFFFF"/>
          </w:tcPr>
          <w:p w:rsidR="002D1E45" w:rsidRPr="00412120" w:rsidRDefault="002D1E45" w:rsidP="00412120">
            <w:pPr>
              <w:spacing w:after="0" w:line="240" w:lineRule="auto"/>
              <w:ind w:left="28" w:right="28"/>
              <w:rPr>
                <w:rFonts w:ascii="Times New Roman" w:hAnsi="Times New Roman"/>
                <w:lang w:eastAsia="ru-RU"/>
              </w:rPr>
            </w:pPr>
            <w:r w:rsidRPr="00412120">
              <w:rPr>
                <w:rFonts w:ascii="Times New Roman" w:hAnsi="Times New Roman"/>
                <w:color w:val="000000"/>
                <w:lang w:eastAsia="ru-RU"/>
              </w:rPr>
              <w:t>МКУ «Молодёжный центр» Спортивно</w:t>
            </w:r>
            <w:r>
              <w:rPr>
                <w:rFonts w:ascii="Times New Roman" w:hAnsi="Times New Roman"/>
                <w:color w:val="000000"/>
                <w:lang w:eastAsia="ru-RU"/>
              </w:rPr>
              <w:t>-</w:t>
            </w:r>
            <w:r w:rsidRPr="00412120">
              <w:rPr>
                <w:rFonts w:ascii="Times New Roman" w:hAnsi="Times New Roman"/>
                <w:color w:val="000000"/>
                <w:lang w:eastAsia="ru-RU"/>
              </w:rPr>
              <w:softHyphen/>
              <w:t>туристический клуб «Заречный», ул. Достоевского, 34</w:t>
            </w:r>
          </w:p>
        </w:tc>
        <w:tc>
          <w:tcPr>
            <w:tcW w:w="1521" w:type="dxa"/>
            <w:tcBorders>
              <w:top w:val="single" w:sz="4" w:space="0" w:color="auto"/>
              <w:left w:val="single" w:sz="4" w:space="0" w:color="auto"/>
              <w:bottom w:val="single" w:sz="4" w:space="0" w:color="auto"/>
              <w:right w:val="nil"/>
            </w:tcBorders>
            <w:shd w:val="clear" w:color="auto" w:fill="FFFFFF"/>
            <w:vAlign w:val="center"/>
          </w:tcPr>
          <w:p w:rsidR="002D1E45" w:rsidRPr="00412120" w:rsidRDefault="002D1E45" w:rsidP="00412120">
            <w:pPr>
              <w:spacing w:after="0" w:line="240" w:lineRule="auto"/>
              <w:ind w:left="28" w:right="28"/>
              <w:jc w:val="center"/>
              <w:rPr>
                <w:rFonts w:ascii="Times New Roman" w:hAnsi="Times New Roman"/>
                <w:lang w:eastAsia="ru-RU"/>
              </w:rPr>
            </w:pPr>
            <w:r w:rsidRPr="00412120">
              <w:rPr>
                <w:rFonts w:ascii="Times New Roman" w:hAnsi="Times New Roman"/>
                <w:color w:val="000000"/>
                <w:lang w:eastAsia="ru-RU"/>
              </w:rPr>
              <w:t>1</w:t>
            </w:r>
          </w:p>
        </w:tc>
        <w:tc>
          <w:tcPr>
            <w:tcW w:w="3048"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412120" w:rsidRDefault="002D1E45" w:rsidP="00412120">
            <w:pPr>
              <w:spacing w:after="0" w:line="240" w:lineRule="auto"/>
              <w:ind w:left="28" w:right="28"/>
              <w:jc w:val="center"/>
              <w:rPr>
                <w:rFonts w:ascii="Times New Roman" w:hAnsi="Times New Roman"/>
                <w:lang w:eastAsia="ru-RU"/>
              </w:rPr>
            </w:pPr>
            <w:r w:rsidRPr="00412120">
              <w:rPr>
                <w:rFonts w:ascii="Times New Roman" w:hAnsi="Times New Roman"/>
                <w:color w:val="000000"/>
                <w:lang w:eastAsia="ru-RU"/>
              </w:rPr>
              <w:t>473</w:t>
            </w:r>
          </w:p>
        </w:tc>
      </w:tr>
      <w:tr w:rsidR="002D1E45" w:rsidRPr="00412120" w:rsidTr="00412120">
        <w:trPr>
          <w:trHeight w:val="57"/>
          <w:jc w:val="center"/>
        </w:trPr>
        <w:tc>
          <w:tcPr>
            <w:tcW w:w="5626" w:type="dxa"/>
            <w:tcBorders>
              <w:top w:val="single" w:sz="4" w:space="0" w:color="auto"/>
              <w:left w:val="single" w:sz="4" w:space="0" w:color="auto"/>
              <w:bottom w:val="single" w:sz="4" w:space="0" w:color="auto"/>
              <w:right w:val="nil"/>
            </w:tcBorders>
            <w:shd w:val="clear" w:color="auto" w:fill="FFFFFF"/>
          </w:tcPr>
          <w:p w:rsidR="002D1E45" w:rsidRPr="00412120" w:rsidRDefault="002D1E45" w:rsidP="00412120">
            <w:pPr>
              <w:spacing w:after="0" w:line="240" w:lineRule="auto"/>
              <w:ind w:left="28" w:right="28"/>
              <w:rPr>
                <w:rFonts w:ascii="Times New Roman" w:hAnsi="Times New Roman"/>
                <w:color w:val="000000"/>
                <w:lang w:eastAsia="ru-RU"/>
              </w:rPr>
            </w:pPr>
            <w:r>
              <w:rPr>
                <w:rFonts w:ascii="Times New Roman" w:hAnsi="Times New Roman"/>
                <w:color w:val="000000"/>
                <w:lang w:eastAsia="ru-RU"/>
              </w:rPr>
              <w:t>ИТОГО</w:t>
            </w:r>
          </w:p>
        </w:tc>
        <w:tc>
          <w:tcPr>
            <w:tcW w:w="1521" w:type="dxa"/>
            <w:tcBorders>
              <w:top w:val="single" w:sz="4" w:space="0" w:color="auto"/>
              <w:left w:val="single" w:sz="4" w:space="0" w:color="auto"/>
              <w:bottom w:val="single" w:sz="4" w:space="0" w:color="auto"/>
              <w:right w:val="nil"/>
            </w:tcBorders>
            <w:shd w:val="clear" w:color="auto" w:fill="FFFFFF"/>
            <w:vAlign w:val="center"/>
          </w:tcPr>
          <w:p w:rsidR="002D1E45" w:rsidRPr="00412120" w:rsidRDefault="002D1E45" w:rsidP="00412120">
            <w:pPr>
              <w:spacing w:after="0" w:line="240" w:lineRule="auto"/>
              <w:ind w:left="28" w:right="28"/>
              <w:jc w:val="center"/>
              <w:rPr>
                <w:rFonts w:ascii="Times New Roman" w:hAnsi="Times New Roman"/>
                <w:color w:val="000000"/>
                <w:lang w:eastAsia="ru-RU"/>
              </w:rPr>
            </w:pPr>
            <w:r>
              <w:rPr>
                <w:rFonts w:ascii="Times New Roman" w:hAnsi="Times New Roman"/>
                <w:color w:val="000000"/>
                <w:lang w:eastAsia="ru-RU"/>
              </w:rPr>
              <w:t>7</w:t>
            </w:r>
          </w:p>
        </w:tc>
        <w:tc>
          <w:tcPr>
            <w:tcW w:w="3048"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412120" w:rsidRDefault="002D1E45" w:rsidP="00412120">
            <w:pPr>
              <w:spacing w:after="0" w:line="240" w:lineRule="auto"/>
              <w:ind w:left="28" w:right="28"/>
              <w:jc w:val="center"/>
              <w:rPr>
                <w:rFonts w:ascii="Times New Roman" w:hAnsi="Times New Roman"/>
                <w:color w:val="000000"/>
                <w:lang w:eastAsia="ru-RU"/>
              </w:rPr>
            </w:pPr>
          </w:p>
        </w:tc>
      </w:tr>
    </w:tbl>
    <w:p w:rsidR="002D1E45" w:rsidRPr="00CE4A88" w:rsidRDefault="002D1E45" w:rsidP="0063654F">
      <w:pPr>
        <w:shd w:val="clear" w:color="auto" w:fill="FFFFFF"/>
        <w:spacing w:after="120" w:line="240" w:lineRule="auto"/>
        <w:jc w:val="center"/>
        <w:rPr>
          <w:rFonts w:ascii="Times New Roman" w:hAnsi="Times New Roman"/>
          <w:sz w:val="28"/>
          <w:szCs w:val="28"/>
          <w:lang w:eastAsia="ru-RU"/>
        </w:rPr>
      </w:pPr>
    </w:p>
    <w:p w:rsidR="002D1E45" w:rsidRPr="008E240F" w:rsidRDefault="002D1E45" w:rsidP="008E240F">
      <w:pPr>
        <w:spacing w:after="0" w:line="240" w:lineRule="auto"/>
        <w:ind w:firstLine="709"/>
        <w:jc w:val="both"/>
        <w:rPr>
          <w:rFonts w:ascii="Times New Roman" w:hAnsi="Times New Roman"/>
          <w:sz w:val="28"/>
          <w:szCs w:val="24"/>
          <w:lang w:eastAsia="ru-RU"/>
        </w:rPr>
      </w:pPr>
      <w:r w:rsidRPr="008E240F">
        <w:rPr>
          <w:rFonts w:ascii="Times New Roman" w:hAnsi="Times New Roman"/>
          <w:sz w:val="28"/>
          <w:szCs w:val="24"/>
          <w:lang w:eastAsia="ru-RU"/>
        </w:rPr>
        <w:t>Количество жителей, занимающихся физической культурой и посещающих спортивные мероприятия, в поселении с каждым годом увеличивается. Возрастной состав занимающихся широк: от подростков и молодёжи</w:t>
      </w:r>
      <w:r>
        <w:rPr>
          <w:rFonts w:ascii="Times New Roman" w:hAnsi="Times New Roman"/>
          <w:sz w:val="28"/>
          <w:szCs w:val="24"/>
          <w:lang w:eastAsia="ru-RU"/>
        </w:rPr>
        <w:t xml:space="preserve"> </w:t>
      </w:r>
      <w:r w:rsidRPr="008E240F">
        <w:rPr>
          <w:rFonts w:ascii="Times New Roman" w:hAnsi="Times New Roman"/>
          <w:sz w:val="28"/>
          <w:szCs w:val="24"/>
          <w:lang w:eastAsia="ru-RU"/>
        </w:rPr>
        <w:t xml:space="preserve">до людей пожилого возраста. </w:t>
      </w:r>
    </w:p>
    <w:p w:rsidR="002D1E45" w:rsidRPr="00FA1DE7" w:rsidRDefault="002D1E45" w:rsidP="00FA1DE7">
      <w:pPr>
        <w:spacing w:after="0" w:line="240" w:lineRule="auto"/>
        <w:ind w:firstLine="709"/>
        <w:jc w:val="both"/>
        <w:rPr>
          <w:rFonts w:ascii="Times New Roman" w:hAnsi="Times New Roman"/>
          <w:sz w:val="28"/>
          <w:szCs w:val="24"/>
          <w:lang w:eastAsia="ru-RU"/>
        </w:rPr>
      </w:pPr>
      <w:r w:rsidRPr="00FA1DE7">
        <w:rPr>
          <w:rFonts w:ascii="Times New Roman" w:hAnsi="Times New Roman"/>
          <w:sz w:val="28"/>
          <w:szCs w:val="24"/>
          <w:lang w:eastAsia="ru-RU"/>
        </w:rPr>
        <w:t>Растёт интерес к</w:t>
      </w:r>
      <w:r>
        <w:rPr>
          <w:rFonts w:ascii="Times New Roman" w:hAnsi="Times New Roman"/>
          <w:sz w:val="28"/>
          <w:szCs w:val="24"/>
          <w:lang w:eastAsia="ru-RU"/>
        </w:rPr>
        <w:t> </w:t>
      </w:r>
      <w:r w:rsidRPr="00FA1DE7">
        <w:rPr>
          <w:rFonts w:ascii="Times New Roman" w:hAnsi="Times New Roman"/>
          <w:sz w:val="28"/>
          <w:szCs w:val="24"/>
          <w:lang w:eastAsia="ru-RU"/>
        </w:rPr>
        <w:t>здоровому образу жизни и</w:t>
      </w:r>
      <w:r>
        <w:rPr>
          <w:rFonts w:ascii="Times New Roman" w:hAnsi="Times New Roman"/>
          <w:sz w:val="28"/>
          <w:szCs w:val="24"/>
          <w:lang w:eastAsia="ru-RU"/>
        </w:rPr>
        <w:t> </w:t>
      </w:r>
      <w:r w:rsidRPr="00FA1DE7">
        <w:rPr>
          <w:rFonts w:ascii="Times New Roman" w:hAnsi="Times New Roman"/>
          <w:sz w:val="28"/>
          <w:szCs w:val="24"/>
          <w:lang w:eastAsia="ru-RU"/>
        </w:rPr>
        <w:t>отказу от</w:t>
      </w:r>
      <w:r>
        <w:rPr>
          <w:rFonts w:ascii="Times New Roman" w:hAnsi="Times New Roman"/>
          <w:sz w:val="28"/>
          <w:szCs w:val="24"/>
          <w:lang w:eastAsia="ru-RU"/>
        </w:rPr>
        <w:t> </w:t>
      </w:r>
      <w:r w:rsidRPr="00FA1DE7">
        <w:rPr>
          <w:rFonts w:ascii="Times New Roman" w:hAnsi="Times New Roman"/>
          <w:sz w:val="28"/>
          <w:szCs w:val="24"/>
          <w:lang w:eastAsia="ru-RU"/>
        </w:rPr>
        <w:t>вредных привычек. Поселение активно участвует в</w:t>
      </w:r>
      <w:r>
        <w:rPr>
          <w:rFonts w:ascii="Times New Roman" w:hAnsi="Times New Roman"/>
          <w:sz w:val="28"/>
          <w:szCs w:val="24"/>
          <w:lang w:eastAsia="ru-RU"/>
        </w:rPr>
        <w:t> </w:t>
      </w:r>
      <w:r w:rsidRPr="00FA1DE7">
        <w:rPr>
          <w:rFonts w:ascii="Times New Roman" w:hAnsi="Times New Roman"/>
          <w:sz w:val="28"/>
          <w:szCs w:val="24"/>
          <w:lang w:eastAsia="ru-RU"/>
        </w:rPr>
        <w:t>районных летних спортивных играх, в</w:t>
      </w:r>
      <w:r>
        <w:rPr>
          <w:rFonts w:ascii="Times New Roman" w:hAnsi="Times New Roman"/>
          <w:sz w:val="28"/>
          <w:szCs w:val="24"/>
          <w:lang w:eastAsia="ru-RU"/>
        </w:rPr>
        <w:t> </w:t>
      </w:r>
      <w:r w:rsidRPr="00FA1DE7">
        <w:rPr>
          <w:rFonts w:ascii="Times New Roman" w:hAnsi="Times New Roman"/>
          <w:sz w:val="28"/>
          <w:szCs w:val="24"/>
          <w:lang w:eastAsia="ru-RU"/>
        </w:rPr>
        <w:t xml:space="preserve">составе команды поселения </w:t>
      </w:r>
      <w:r>
        <w:rPr>
          <w:rFonts w:ascii="Times New Roman" w:hAnsi="Times New Roman"/>
          <w:sz w:val="28"/>
          <w:szCs w:val="24"/>
          <w:lang w:eastAsia="ru-RU"/>
        </w:rPr>
        <w:t>–</w:t>
      </w:r>
      <w:r w:rsidRPr="00FA1DE7">
        <w:rPr>
          <w:rFonts w:ascii="Times New Roman" w:hAnsi="Times New Roman"/>
          <w:sz w:val="28"/>
          <w:szCs w:val="24"/>
          <w:lang w:eastAsia="ru-RU"/>
        </w:rPr>
        <w:t xml:space="preserve"> в зимних и</w:t>
      </w:r>
      <w:r>
        <w:rPr>
          <w:rFonts w:ascii="Times New Roman" w:hAnsi="Times New Roman"/>
          <w:sz w:val="28"/>
          <w:szCs w:val="24"/>
          <w:lang w:eastAsia="ru-RU"/>
        </w:rPr>
        <w:t> </w:t>
      </w:r>
      <w:r w:rsidRPr="00FA1DE7">
        <w:rPr>
          <w:rFonts w:ascii="Times New Roman" w:hAnsi="Times New Roman"/>
          <w:sz w:val="28"/>
          <w:szCs w:val="24"/>
          <w:lang w:eastAsia="ru-RU"/>
        </w:rPr>
        <w:t>летних районных спортивных играх.</w:t>
      </w:r>
    </w:p>
    <w:p w:rsidR="002D1E45" w:rsidRPr="003A4A59" w:rsidRDefault="002D1E45" w:rsidP="003A4A59">
      <w:pPr>
        <w:spacing w:after="0" w:line="240" w:lineRule="auto"/>
        <w:ind w:firstLine="709"/>
        <w:jc w:val="both"/>
        <w:rPr>
          <w:rFonts w:ascii="Times New Roman" w:hAnsi="Times New Roman"/>
          <w:sz w:val="28"/>
          <w:szCs w:val="24"/>
          <w:lang w:eastAsia="ru-RU"/>
        </w:rPr>
      </w:pPr>
      <w:r>
        <w:rPr>
          <w:rFonts w:ascii="Times New Roman" w:hAnsi="Times New Roman"/>
          <w:sz w:val="28"/>
          <w:szCs w:val="24"/>
          <w:lang w:eastAsia="ru-RU"/>
        </w:rPr>
        <w:t>В соответствии с МНГП города Куйбышева, у</w:t>
      </w:r>
      <w:r w:rsidRPr="003A4A59">
        <w:rPr>
          <w:rFonts w:ascii="Times New Roman" w:hAnsi="Times New Roman"/>
          <w:sz w:val="28"/>
          <w:szCs w:val="24"/>
          <w:lang w:eastAsia="ru-RU"/>
        </w:rPr>
        <w:t>ровень обеспеченности от</w:t>
      </w:r>
      <w:r>
        <w:rPr>
          <w:rFonts w:ascii="Times New Roman" w:hAnsi="Times New Roman"/>
          <w:sz w:val="28"/>
          <w:szCs w:val="24"/>
          <w:lang w:eastAsia="ru-RU"/>
        </w:rPr>
        <w:t> </w:t>
      </w:r>
      <w:r w:rsidRPr="003A4A59">
        <w:rPr>
          <w:rFonts w:ascii="Times New Roman" w:hAnsi="Times New Roman"/>
          <w:sz w:val="28"/>
          <w:szCs w:val="24"/>
          <w:lang w:eastAsia="ru-RU"/>
        </w:rPr>
        <w:t>нормативного значения</w:t>
      </w:r>
      <w:r>
        <w:rPr>
          <w:rFonts w:ascii="Times New Roman" w:hAnsi="Times New Roman"/>
          <w:sz w:val="28"/>
          <w:szCs w:val="24"/>
          <w:lang w:eastAsia="ru-RU"/>
        </w:rPr>
        <w:t xml:space="preserve"> по всем общедоступным плоскостным объектам составляет</w:t>
      </w:r>
      <w:r w:rsidRPr="003A4A59">
        <w:rPr>
          <w:rFonts w:ascii="Times New Roman" w:hAnsi="Times New Roman"/>
          <w:sz w:val="28"/>
          <w:szCs w:val="24"/>
          <w:lang w:eastAsia="ru-RU"/>
        </w:rPr>
        <w:t xml:space="preserve"> </w:t>
      </w:r>
      <w:r>
        <w:rPr>
          <w:rFonts w:ascii="Times New Roman" w:hAnsi="Times New Roman"/>
          <w:sz w:val="28"/>
          <w:szCs w:val="24"/>
          <w:lang w:eastAsia="ru-RU"/>
        </w:rPr>
        <w:t xml:space="preserve">102 </w:t>
      </w:r>
      <w:r w:rsidRPr="003A4A59">
        <w:rPr>
          <w:rFonts w:ascii="Times New Roman" w:hAnsi="Times New Roman"/>
          <w:sz w:val="28"/>
          <w:szCs w:val="24"/>
          <w:lang w:eastAsia="ru-RU"/>
        </w:rPr>
        <w:t>%</w:t>
      </w:r>
      <w:r>
        <w:rPr>
          <w:rFonts w:ascii="Times New Roman" w:hAnsi="Times New Roman"/>
          <w:sz w:val="28"/>
          <w:szCs w:val="24"/>
          <w:lang w:eastAsia="ru-RU"/>
        </w:rPr>
        <w:t>, по спортивным залам (крытым) – 47 %, бассейнам – 59 %</w:t>
      </w:r>
      <w:r w:rsidRPr="003A4A59">
        <w:rPr>
          <w:rFonts w:ascii="Times New Roman" w:hAnsi="Times New Roman"/>
          <w:sz w:val="28"/>
          <w:szCs w:val="24"/>
          <w:lang w:eastAsia="ru-RU"/>
        </w:rPr>
        <w:t xml:space="preserve">. </w:t>
      </w:r>
    </w:p>
    <w:p w:rsidR="002D1E45" w:rsidRPr="00E8751B" w:rsidRDefault="002D1E45" w:rsidP="00E8751B">
      <w:pPr>
        <w:spacing w:after="0" w:line="240" w:lineRule="auto"/>
        <w:ind w:firstLine="709"/>
        <w:jc w:val="both"/>
        <w:rPr>
          <w:rFonts w:ascii="Times New Roman" w:hAnsi="Times New Roman"/>
          <w:sz w:val="28"/>
          <w:szCs w:val="24"/>
          <w:lang w:eastAsia="ru-RU"/>
        </w:rPr>
      </w:pPr>
      <w:r w:rsidRPr="00E8751B">
        <w:rPr>
          <w:rFonts w:ascii="Times New Roman" w:hAnsi="Times New Roman"/>
          <w:sz w:val="28"/>
          <w:szCs w:val="24"/>
          <w:lang w:eastAsia="ru-RU"/>
        </w:rPr>
        <w:t xml:space="preserve">На территории </w:t>
      </w:r>
      <w:r>
        <w:rPr>
          <w:rFonts w:ascii="Times New Roman" w:hAnsi="Times New Roman"/>
          <w:sz w:val="28"/>
          <w:szCs w:val="24"/>
          <w:lang w:eastAsia="ru-RU"/>
        </w:rPr>
        <w:t>города</w:t>
      </w:r>
      <w:r w:rsidRPr="00E8751B">
        <w:rPr>
          <w:rFonts w:ascii="Times New Roman" w:hAnsi="Times New Roman"/>
          <w:sz w:val="28"/>
          <w:szCs w:val="24"/>
          <w:lang w:eastAsia="ru-RU"/>
        </w:rPr>
        <w:t xml:space="preserve"> в</w:t>
      </w:r>
      <w:r>
        <w:rPr>
          <w:rFonts w:ascii="Times New Roman" w:hAnsi="Times New Roman"/>
          <w:sz w:val="28"/>
          <w:szCs w:val="24"/>
          <w:lang w:eastAsia="ru-RU"/>
        </w:rPr>
        <w:t> </w:t>
      </w:r>
      <w:r w:rsidRPr="00E8751B">
        <w:rPr>
          <w:rFonts w:ascii="Times New Roman" w:hAnsi="Times New Roman"/>
          <w:sz w:val="28"/>
          <w:szCs w:val="24"/>
          <w:lang w:eastAsia="ru-RU"/>
        </w:rPr>
        <w:t>отрасли физкультуры и</w:t>
      </w:r>
      <w:r>
        <w:rPr>
          <w:rFonts w:ascii="Times New Roman" w:hAnsi="Times New Roman"/>
          <w:sz w:val="28"/>
          <w:szCs w:val="24"/>
          <w:lang w:eastAsia="ru-RU"/>
        </w:rPr>
        <w:t> </w:t>
      </w:r>
      <w:r w:rsidRPr="00E8751B">
        <w:rPr>
          <w:rFonts w:ascii="Times New Roman" w:hAnsi="Times New Roman"/>
          <w:sz w:val="28"/>
          <w:szCs w:val="24"/>
          <w:lang w:eastAsia="ru-RU"/>
        </w:rPr>
        <w:t xml:space="preserve">спорта </w:t>
      </w:r>
      <w:r>
        <w:rPr>
          <w:rFonts w:ascii="Times New Roman" w:hAnsi="Times New Roman"/>
          <w:sz w:val="28"/>
          <w:szCs w:val="24"/>
          <w:lang w:eastAsia="ru-RU"/>
        </w:rPr>
        <w:t>реализуется</w:t>
      </w:r>
      <w:r w:rsidRPr="00E8751B">
        <w:rPr>
          <w:rFonts w:ascii="Times New Roman" w:hAnsi="Times New Roman"/>
          <w:sz w:val="28"/>
          <w:szCs w:val="24"/>
          <w:lang w:eastAsia="ru-RU"/>
        </w:rPr>
        <w:t xml:space="preserve"> комплекс мер по</w:t>
      </w:r>
      <w:r>
        <w:rPr>
          <w:rFonts w:ascii="Times New Roman" w:hAnsi="Times New Roman"/>
          <w:sz w:val="28"/>
          <w:szCs w:val="24"/>
          <w:lang w:eastAsia="ru-RU"/>
        </w:rPr>
        <w:t> </w:t>
      </w:r>
      <w:r w:rsidRPr="00E8751B">
        <w:rPr>
          <w:rFonts w:ascii="Times New Roman" w:hAnsi="Times New Roman"/>
          <w:sz w:val="28"/>
          <w:szCs w:val="24"/>
          <w:lang w:eastAsia="ru-RU"/>
        </w:rPr>
        <w:t>пропаганде физической культуры и</w:t>
      </w:r>
      <w:r>
        <w:rPr>
          <w:rFonts w:ascii="Times New Roman" w:hAnsi="Times New Roman"/>
          <w:sz w:val="28"/>
          <w:szCs w:val="24"/>
          <w:lang w:eastAsia="ru-RU"/>
        </w:rPr>
        <w:t> </w:t>
      </w:r>
      <w:r w:rsidRPr="00E8751B">
        <w:rPr>
          <w:rFonts w:ascii="Times New Roman" w:hAnsi="Times New Roman"/>
          <w:sz w:val="28"/>
          <w:szCs w:val="24"/>
          <w:lang w:eastAsia="ru-RU"/>
        </w:rPr>
        <w:t>спорта как важнейшей составляющей здорового образа жизни, включающей в</w:t>
      </w:r>
      <w:r>
        <w:rPr>
          <w:rFonts w:ascii="Times New Roman" w:hAnsi="Times New Roman"/>
          <w:sz w:val="28"/>
          <w:szCs w:val="24"/>
          <w:lang w:eastAsia="ru-RU"/>
        </w:rPr>
        <w:t> </w:t>
      </w:r>
      <w:r w:rsidRPr="00E8751B">
        <w:rPr>
          <w:rFonts w:ascii="Times New Roman" w:hAnsi="Times New Roman"/>
          <w:sz w:val="28"/>
          <w:szCs w:val="24"/>
          <w:lang w:eastAsia="ru-RU"/>
        </w:rPr>
        <w:t>себя:</w:t>
      </w:r>
    </w:p>
    <w:p w:rsidR="002D1E45" w:rsidRPr="00E8751B" w:rsidRDefault="002D1E45" w:rsidP="00D05D06">
      <w:pPr>
        <w:numPr>
          <w:ilvl w:val="0"/>
          <w:numId w:val="57"/>
        </w:numPr>
        <w:spacing w:after="0" w:line="240" w:lineRule="auto"/>
        <w:contextualSpacing/>
        <w:jc w:val="both"/>
        <w:rPr>
          <w:rFonts w:ascii="Times New Roman" w:hAnsi="Times New Roman"/>
          <w:sz w:val="28"/>
          <w:szCs w:val="24"/>
          <w:lang w:eastAsia="ru-RU"/>
        </w:rPr>
      </w:pPr>
      <w:r w:rsidRPr="00E8751B">
        <w:rPr>
          <w:rFonts w:ascii="Times New Roman" w:hAnsi="Times New Roman"/>
          <w:sz w:val="28"/>
          <w:szCs w:val="24"/>
          <w:lang w:eastAsia="ru-RU"/>
        </w:rPr>
        <w:t>определение приоритетных направлений пропаганды физической культуры, спорта и</w:t>
      </w:r>
      <w:r>
        <w:rPr>
          <w:rFonts w:ascii="Times New Roman" w:hAnsi="Times New Roman"/>
          <w:sz w:val="28"/>
          <w:szCs w:val="24"/>
          <w:lang w:eastAsia="ru-RU"/>
        </w:rPr>
        <w:t> </w:t>
      </w:r>
      <w:r w:rsidRPr="00E8751B">
        <w:rPr>
          <w:rFonts w:ascii="Times New Roman" w:hAnsi="Times New Roman"/>
          <w:sz w:val="28"/>
          <w:szCs w:val="24"/>
          <w:lang w:eastAsia="ru-RU"/>
        </w:rPr>
        <w:t>здорового образа жизни;</w:t>
      </w:r>
    </w:p>
    <w:p w:rsidR="002D1E45" w:rsidRPr="00E8751B" w:rsidRDefault="002D1E45" w:rsidP="00D05D06">
      <w:pPr>
        <w:numPr>
          <w:ilvl w:val="0"/>
          <w:numId w:val="57"/>
        </w:numPr>
        <w:spacing w:after="0" w:line="240" w:lineRule="auto"/>
        <w:contextualSpacing/>
        <w:jc w:val="both"/>
        <w:rPr>
          <w:rFonts w:ascii="Times New Roman" w:hAnsi="Times New Roman"/>
          <w:sz w:val="28"/>
          <w:szCs w:val="24"/>
          <w:lang w:eastAsia="ru-RU"/>
        </w:rPr>
      </w:pPr>
      <w:r w:rsidRPr="00E8751B">
        <w:rPr>
          <w:rFonts w:ascii="Times New Roman" w:hAnsi="Times New Roman"/>
          <w:sz w:val="28"/>
          <w:szCs w:val="24"/>
          <w:lang w:eastAsia="ru-RU"/>
        </w:rPr>
        <w:t>поддержку проектов по</w:t>
      </w:r>
      <w:r>
        <w:rPr>
          <w:rFonts w:ascii="Times New Roman" w:hAnsi="Times New Roman"/>
          <w:sz w:val="28"/>
          <w:szCs w:val="24"/>
          <w:lang w:eastAsia="ru-RU"/>
        </w:rPr>
        <w:t> </w:t>
      </w:r>
      <w:r w:rsidRPr="00E8751B">
        <w:rPr>
          <w:rFonts w:ascii="Times New Roman" w:hAnsi="Times New Roman"/>
          <w:sz w:val="28"/>
          <w:szCs w:val="24"/>
          <w:lang w:eastAsia="ru-RU"/>
        </w:rPr>
        <w:t>развитию физической культуры и</w:t>
      </w:r>
      <w:r>
        <w:rPr>
          <w:rFonts w:ascii="Times New Roman" w:hAnsi="Times New Roman"/>
          <w:sz w:val="28"/>
          <w:szCs w:val="24"/>
          <w:lang w:eastAsia="ru-RU"/>
        </w:rPr>
        <w:t> </w:t>
      </w:r>
      <w:r w:rsidRPr="00E8751B">
        <w:rPr>
          <w:rFonts w:ascii="Times New Roman" w:hAnsi="Times New Roman"/>
          <w:sz w:val="28"/>
          <w:szCs w:val="24"/>
          <w:lang w:eastAsia="ru-RU"/>
        </w:rPr>
        <w:t>спорта в</w:t>
      </w:r>
      <w:r>
        <w:rPr>
          <w:rFonts w:ascii="Times New Roman" w:hAnsi="Times New Roman"/>
          <w:sz w:val="28"/>
          <w:szCs w:val="24"/>
          <w:lang w:eastAsia="ru-RU"/>
        </w:rPr>
        <w:t> </w:t>
      </w:r>
      <w:r w:rsidRPr="00E8751B">
        <w:rPr>
          <w:rFonts w:ascii="Times New Roman" w:hAnsi="Times New Roman"/>
          <w:sz w:val="28"/>
          <w:szCs w:val="24"/>
          <w:lang w:eastAsia="ru-RU"/>
        </w:rPr>
        <w:t>средствах массовой информации;</w:t>
      </w:r>
    </w:p>
    <w:p w:rsidR="002D1E45" w:rsidRPr="00E8751B" w:rsidRDefault="002D1E45" w:rsidP="00D05D06">
      <w:pPr>
        <w:numPr>
          <w:ilvl w:val="0"/>
          <w:numId w:val="57"/>
        </w:numPr>
        <w:spacing w:after="0" w:line="240" w:lineRule="auto"/>
        <w:contextualSpacing/>
        <w:jc w:val="both"/>
        <w:rPr>
          <w:rFonts w:ascii="Times New Roman" w:hAnsi="Times New Roman"/>
          <w:sz w:val="28"/>
          <w:szCs w:val="24"/>
          <w:lang w:eastAsia="ru-RU"/>
        </w:rPr>
      </w:pPr>
      <w:r w:rsidRPr="00E8751B">
        <w:rPr>
          <w:rFonts w:ascii="Times New Roman" w:hAnsi="Times New Roman"/>
          <w:sz w:val="28"/>
          <w:szCs w:val="24"/>
          <w:lang w:eastAsia="ru-RU"/>
        </w:rPr>
        <w:t>оказание информационной поддержки населению в</w:t>
      </w:r>
      <w:r>
        <w:rPr>
          <w:rFonts w:ascii="Times New Roman" w:hAnsi="Times New Roman"/>
          <w:sz w:val="28"/>
          <w:szCs w:val="24"/>
          <w:lang w:eastAsia="ru-RU"/>
        </w:rPr>
        <w:t> </w:t>
      </w:r>
      <w:r w:rsidRPr="00E8751B">
        <w:rPr>
          <w:rFonts w:ascii="Times New Roman" w:hAnsi="Times New Roman"/>
          <w:sz w:val="28"/>
          <w:szCs w:val="24"/>
          <w:lang w:eastAsia="ru-RU"/>
        </w:rPr>
        <w:t>организации занятий физической культурой и</w:t>
      </w:r>
      <w:r>
        <w:rPr>
          <w:rFonts w:ascii="Times New Roman" w:hAnsi="Times New Roman"/>
          <w:sz w:val="28"/>
          <w:szCs w:val="24"/>
          <w:lang w:eastAsia="ru-RU"/>
        </w:rPr>
        <w:t> </w:t>
      </w:r>
      <w:r w:rsidRPr="00E8751B">
        <w:rPr>
          <w:rFonts w:ascii="Times New Roman" w:hAnsi="Times New Roman"/>
          <w:sz w:val="28"/>
          <w:szCs w:val="24"/>
          <w:lang w:eastAsia="ru-RU"/>
        </w:rPr>
        <w:t>спортом.</w:t>
      </w:r>
    </w:p>
    <w:p w:rsidR="002D1E45" w:rsidRDefault="002D1E45" w:rsidP="007A340D">
      <w:pPr>
        <w:spacing w:after="0" w:line="240" w:lineRule="auto"/>
        <w:ind w:firstLine="709"/>
        <w:jc w:val="both"/>
        <w:rPr>
          <w:rFonts w:ascii="Times New Roman" w:hAnsi="Times New Roman"/>
          <w:sz w:val="28"/>
          <w:szCs w:val="24"/>
          <w:lang w:eastAsia="ru-RU"/>
        </w:rPr>
      </w:pPr>
      <w:r>
        <w:rPr>
          <w:rFonts w:ascii="Times New Roman" w:hAnsi="Times New Roman"/>
          <w:sz w:val="28"/>
          <w:szCs w:val="24"/>
          <w:lang w:eastAsia="ru-RU"/>
        </w:rPr>
        <w:t>Н</w:t>
      </w:r>
      <w:r w:rsidRPr="00E8751B">
        <w:rPr>
          <w:rFonts w:ascii="Times New Roman" w:hAnsi="Times New Roman"/>
          <w:sz w:val="28"/>
          <w:szCs w:val="24"/>
          <w:lang w:eastAsia="ru-RU"/>
        </w:rPr>
        <w:t>а территории учреждениями не</w:t>
      </w:r>
      <w:r>
        <w:rPr>
          <w:rFonts w:ascii="Times New Roman" w:hAnsi="Times New Roman"/>
          <w:sz w:val="28"/>
          <w:szCs w:val="24"/>
          <w:lang w:eastAsia="ru-RU"/>
        </w:rPr>
        <w:t>достаточно развито оказание</w:t>
      </w:r>
      <w:r w:rsidRPr="00E8751B">
        <w:rPr>
          <w:rFonts w:ascii="Times New Roman" w:hAnsi="Times New Roman"/>
          <w:sz w:val="28"/>
          <w:szCs w:val="24"/>
          <w:lang w:eastAsia="ru-RU"/>
        </w:rPr>
        <w:t xml:space="preserve"> платны</w:t>
      </w:r>
      <w:r>
        <w:rPr>
          <w:rFonts w:ascii="Times New Roman" w:hAnsi="Times New Roman"/>
          <w:sz w:val="28"/>
          <w:szCs w:val="24"/>
          <w:lang w:eastAsia="ru-RU"/>
        </w:rPr>
        <w:t>х</w:t>
      </w:r>
      <w:r w:rsidRPr="00E8751B">
        <w:rPr>
          <w:rFonts w:ascii="Times New Roman" w:hAnsi="Times New Roman"/>
          <w:sz w:val="28"/>
          <w:szCs w:val="24"/>
          <w:lang w:eastAsia="ru-RU"/>
        </w:rPr>
        <w:t xml:space="preserve"> услуг</w:t>
      </w:r>
      <w:r>
        <w:rPr>
          <w:rFonts w:ascii="Times New Roman" w:hAnsi="Times New Roman"/>
          <w:sz w:val="28"/>
          <w:szCs w:val="24"/>
          <w:lang w:eastAsia="ru-RU"/>
        </w:rPr>
        <w:t xml:space="preserve"> </w:t>
      </w:r>
      <w:r w:rsidRPr="00E8751B">
        <w:rPr>
          <w:rFonts w:ascii="Times New Roman" w:hAnsi="Times New Roman"/>
          <w:sz w:val="28"/>
          <w:szCs w:val="24"/>
          <w:lang w:eastAsia="ru-RU"/>
        </w:rPr>
        <w:t>в</w:t>
      </w:r>
      <w:r>
        <w:rPr>
          <w:rFonts w:ascii="Times New Roman" w:hAnsi="Times New Roman"/>
          <w:sz w:val="28"/>
          <w:szCs w:val="24"/>
          <w:lang w:eastAsia="ru-RU"/>
        </w:rPr>
        <w:t> </w:t>
      </w:r>
      <w:r w:rsidRPr="00E8751B">
        <w:rPr>
          <w:rFonts w:ascii="Times New Roman" w:hAnsi="Times New Roman"/>
          <w:sz w:val="28"/>
          <w:szCs w:val="24"/>
          <w:lang w:eastAsia="ru-RU"/>
        </w:rPr>
        <w:t>области физической культуры и</w:t>
      </w:r>
      <w:r>
        <w:rPr>
          <w:rFonts w:ascii="Times New Roman" w:hAnsi="Times New Roman"/>
          <w:sz w:val="28"/>
          <w:szCs w:val="24"/>
          <w:lang w:eastAsia="ru-RU"/>
        </w:rPr>
        <w:t> </w:t>
      </w:r>
      <w:r w:rsidRPr="00E8751B">
        <w:rPr>
          <w:rFonts w:ascii="Times New Roman" w:hAnsi="Times New Roman"/>
          <w:sz w:val="28"/>
          <w:szCs w:val="24"/>
          <w:lang w:eastAsia="ru-RU"/>
        </w:rPr>
        <w:t>спорта, предпринимательская деятельность в</w:t>
      </w:r>
      <w:r>
        <w:rPr>
          <w:rFonts w:ascii="Times New Roman" w:hAnsi="Times New Roman"/>
          <w:sz w:val="28"/>
          <w:szCs w:val="24"/>
          <w:lang w:eastAsia="ru-RU"/>
        </w:rPr>
        <w:t> </w:t>
      </w:r>
      <w:r w:rsidRPr="00E8751B">
        <w:rPr>
          <w:rFonts w:ascii="Times New Roman" w:hAnsi="Times New Roman"/>
          <w:sz w:val="28"/>
          <w:szCs w:val="24"/>
          <w:lang w:eastAsia="ru-RU"/>
        </w:rPr>
        <w:t>данной сфере разви</w:t>
      </w:r>
      <w:r>
        <w:rPr>
          <w:rFonts w:ascii="Times New Roman" w:hAnsi="Times New Roman"/>
          <w:sz w:val="28"/>
          <w:szCs w:val="24"/>
          <w:lang w:eastAsia="ru-RU"/>
        </w:rPr>
        <w:t>вается</w:t>
      </w:r>
      <w:r w:rsidRPr="00E8751B">
        <w:rPr>
          <w:rFonts w:ascii="Times New Roman" w:hAnsi="Times New Roman"/>
          <w:sz w:val="28"/>
          <w:szCs w:val="24"/>
          <w:lang w:eastAsia="ru-RU"/>
        </w:rPr>
        <w:t>.</w:t>
      </w:r>
      <w:r w:rsidRPr="007A340D">
        <w:rPr>
          <w:rFonts w:ascii="Times New Roman" w:hAnsi="Times New Roman"/>
          <w:sz w:val="28"/>
          <w:szCs w:val="24"/>
          <w:lang w:eastAsia="ru-RU"/>
        </w:rPr>
        <w:t xml:space="preserve"> </w:t>
      </w:r>
    </w:p>
    <w:p w:rsidR="002D1E45" w:rsidRPr="00815EBD" w:rsidRDefault="002D1E45" w:rsidP="007A340D">
      <w:pPr>
        <w:spacing w:after="0" w:line="240" w:lineRule="auto"/>
        <w:ind w:firstLine="709"/>
        <w:jc w:val="both"/>
        <w:rPr>
          <w:rFonts w:ascii="Times New Roman" w:hAnsi="Times New Roman"/>
          <w:sz w:val="28"/>
          <w:szCs w:val="24"/>
          <w:lang w:eastAsia="ru-RU"/>
        </w:rPr>
      </w:pPr>
      <w:r w:rsidRPr="003A4A59">
        <w:rPr>
          <w:rFonts w:ascii="Times New Roman" w:hAnsi="Times New Roman"/>
          <w:sz w:val="28"/>
          <w:szCs w:val="24"/>
          <w:lang w:eastAsia="ru-RU"/>
        </w:rPr>
        <w:t>Таким образом, в</w:t>
      </w:r>
      <w:r>
        <w:rPr>
          <w:rFonts w:ascii="Times New Roman" w:hAnsi="Times New Roman"/>
          <w:sz w:val="28"/>
          <w:szCs w:val="24"/>
          <w:lang w:eastAsia="ru-RU"/>
        </w:rPr>
        <w:t> </w:t>
      </w:r>
      <w:r w:rsidRPr="003A4A59">
        <w:rPr>
          <w:rFonts w:ascii="Times New Roman" w:hAnsi="Times New Roman"/>
          <w:sz w:val="28"/>
          <w:szCs w:val="24"/>
          <w:lang w:eastAsia="ru-RU"/>
        </w:rPr>
        <w:t>результате анализа существующего положения в</w:t>
      </w:r>
      <w:r>
        <w:rPr>
          <w:rFonts w:ascii="Times New Roman" w:hAnsi="Times New Roman"/>
          <w:sz w:val="28"/>
          <w:szCs w:val="24"/>
          <w:lang w:eastAsia="ru-RU"/>
        </w:rPr>
        <w:t> </w:t>
      </w:r>
      <w:r w:rsidRPr="003A4A59">
        <w:rPr>
          <w:rFonts w:ascii="Times New Roman" w:hAnsi="Times New Roman"/>
          <w:sz w:val="28"/>
          <w:szCs w:val="24"/>
          <w:lang w:eastAsia="ru-RU"/>
        </w:rPr>
        <w:t>сфере социальной инфраструктуры выявлено</w:t>
      </w:r>
      <w:r>
        <w:rPr>
          <w:rFonts w:ascii="Times New Roman" w:hAnsi="Times New Roman"/>
          <w:sz w:val="28"/>
          <w:szCs w:val="24"/>
          <w:lang w:eastAsia="ru-RU"/>
        </w:rPr>
        <w:t xml:space="preserve"> н</w:t>
      </w:r>
      <w:r w:rsidRPr="00815EBD">
        <w:rPr>
          <w:rFonts w:ascii="Times New Roman" w:hAnsi="Times New Roman"/>
          <w:sz w:val="28"/>
          <w:szCs w:val="24"/>
          <w:lang w:eastAsia="ru-RU"/>
        </w:rPr>
        <w:t xml:space="preserve">есоответствие мощности действующих объектов минимально допустимому уровню обеспеченности объектами следующих видов: </w:t>
      </w:r>
    </w:p>
    <w:p w:rsidR="002D1E45" w:rsidRDefault="002D1E45" w:rsidP="00D05D06">
      <w:pPr>
        <w:numPr>
          <w:ilvl w:val="0"/>
          <w:numId w:val="57"/>
        </w:numPr>
        <w:spacing w:after="0" w:line="240" w:lineRule="auto"/>
        <w:contextualSpacing/>
        <w:jc w:val="both"/>
        <w:rPr>
          <w:rFonts w:ascii="Times New Roman" w:hAnsi="Times New Roman"/>
          <w:sz w:val="28"/>
          <w:szCs w:val="24"/>
          <w:lang w:eastAsia="ru-RU"/>
        </w:rPr>
      </w:pPr>
      <w:r w:rsidRPr="003A4A59">
        <w:rPr>
          <w:rFonts w:ascii="Times New Roman" w:hAnsi="Times New Roman"/>
          <w:sz w:val="28"/>
          <w:szCs w:val="24"/>
          <w:lang w:eastAsia="ru-RU"/>
        </w:rPr>
        <w:t>дошкольные образовательные организации;</w:t>
      </w:r>
    </w:p>
    <w:p w:rsidR="002D1E45" w:rsidRDefault="002D1E45" w:rsidP="00D05D06">
      <w:pPr>
        <w:numPr>
          <w:ilvl w:val="0"/>
          <w:numId w:val="57"/>
        </w:numPr>
        <w:spacing w:after="0" w:line="240" w:lineRule="auto"/>
        <w:contextualSpacing/>
        <w:jc w:val="both"/>
        <w:rPr>
          <w:rFonts w:ascii="Times New Roman" w:hAnsi="Times New Roman"/>
          <w:sz w:val="28"/>
          <w:szCs w:val="24"/>
          <w:lang w:eastAsia="ru-RU"/>
        </w:rPr>
      </w:pPr>
      <w:r>
        <w:rPr>
          <w:rFonts w:ascii="Times New Roman" w:hAnsi="Times New Roman"/>
          <w:sz w:val="28"/>
          <w:szCs w:val="24"/>
          <w:lang w:eastAsia="ru-RU"/>
        </w:rPr>
        <w:t>учреждения дополнительного образования;</w:t>
      </w:r>
    </w:p>
    <w:p w:rsidR="002D1E45" w:rsidRDefault="002D1E45" w:rsidP="00D05D06">
      <w:pPr>
        <w:numPr>
          <w:ilvl w:val="0"/>
          <w:numId w:val="57"/>
        </w:numPr>
        <w:spacing w:after="0" w:line="240" w:lineRule="auto"/>
        <w:contextualSpacing/>
        <w:jc w:val="both"/>
        <w:rPr>
          <w:rFonts w:ascii="Times New Roman" w:hAnsi="Times New Roman"/>
          <w:sz w:val="28"/>
          <w:szCs w:val="24"/>
          <w:lang w:eastAsia="ru-RU"/>
        </w:rPr>
      </w:pPr>
      <w:r>
        <w:rPr>
          <w:rFonts w:ascii="Times New Roman" w:hAnsi="Times New Roman"/>
          <w:sz w:val="28"/>
          <w:szCs w:val="24"/>
          <w:lang w:eastAsia="ru-RU"/>
        </w:rPr>
        <w:t>учреждения здравоохранения;</w:t>
      </w:r>
    </w:p>
    <w:p w:rsidR="002D1E45" w:rsidRDefault="002D1E45" w:rsidP="00D05D06">
      <w:pPr>
        <w:numPr>
          <w:ilvl w:val="0"/>
          <w:numId w:val="57"/>
        </w:numPr>
        <w:spacing w:after="0" w:line="240" w:lineRule="auto"/>
        <w:contextualSpacing/>
        <w:jc w:val="both"/>
        <w:rPr>
          <w:rFonts w:ascii="Times New Roman" w:hAnsi="Times New Roman"/>
          <w:sz w:val="28"/>
          <w:szCs w:val="24"/>
          <w:lang w:eastAsia="ru-RU"/>
        </w:rPr>
      </w:pPr>
      <w:r>
        <w:rPr>
          <w:rFonts w:ascii="Times New Roman" w:hAnsi="Times New Roman"/>
          <w:sz w:val="28"/>
          <w:szCs w:val="24"/>
          <w:lang w:eastAsia="ru-RU"/>
        </w:rPr>
        <w:t>спортивные залы</w:t>
      </w:r>
      <w:r w:rsidRPr="003A4A59">
        <w:rPr>
          <w:rFonts w:ascii="Times New Roman" w:hAnsi="Times New Roman"/>
          <w:sz w:val="28"/>
          <w:szCs w:val="24"/>
          <w:lang w:eastAsia="ru-RU"/>
        </w:rPr>
        <w:t>;</w:t>
      </w:r>
    </w:p>
    <w:p w:rsidR="002D1E45" w:rsidRPr="003A4A59" w:rsidRDefault="002D1E45" w:rsidP="00D05D06">
      <w:pPr>
        <w:numPr>
          <w:ilvl w:val="0"/>
          <w:numId w:val="57"/>
        </w:numPr>
        <w:spacing w:after="0" w:line="240" w:lineRule="auto"/>
        <w:contextualSpacing/>
        <w:jc w:val="both"/>
        <w:rPr>
          <w:rFonts w:ascii="Times New Roman" w:hAnsi="Times New Roman"/>
          <w:sz w:val="28"/>
          <w:szCs w:val="24"/>
          <w:lang w:eastAsia="ru-RU"/>
        </w:rPr>
      </w:pPr>
      <w:r>
        <w:rPr>
          <w:rFonts w:ascii="Times New Roman" w:hAnsi="Times New Roman"/>
          <w:sz w:val="28"/>
          <w:szCs w:val="24"/>
          <w:lang w:eastAsia="ru-RU"/>
        </w:rPr>
        <w:t>крытые плавательные бассейны;</w:t>
      </w:r>
    </w:p>
    <w:p w:rsidR="002D1E45" w:rsidRDefault="002D1E45" w:rsidP="00D05D06">
      <w:pPr>
        <w:numPr>
          <w:ilvl w:val="0"/>
          <w:numId w:val="57"/>
        </w:numPr>
        <w:spacing w:after="0" w:line="240" w:lineRule="auto"/>
        <w:contextualSpacing/>
        <w:jc w:val="both"/>
        <w:rPr>
          <w:rFonts w:ascii="Times New Roman" w:hAnsi="Times New Roman"/>
          <w:sz w:val="28"/>
          <w:szCs w:val="24"/>
          <w:lang w:eastAsia="ru-RU"/>
        </w:rPr>
      </w:pPr>
      <w:r w:rsidRPr="003A4A59">
        <w:rPr>
          <w:rFonts w:ascii="Times New Roman" w:hAnsi="Times New Roman"/>
          <w:sz w:val="28"/>
          <w:szCs w:val="24"/>
          <w:lang w:eastAsia="ru-RU"/>
        </w:rPr>
        <w:t xml:space="preserve">учреждения культуры </w:t>
      </w:r>
      <w:r>
        <w:rPr>
          <w:rFonts w:ascii="Times New Roman" w:hAnsi="Times New Roman"/>
          <w:sz w:val="28"/>
          <w:szCs w:val="24"/>
          <w:lang w:eastAsia="ru-RU"/>
        </w:rPr>
        <w:t>досугового</w:t>
      </w:r>
      <w:r w:rsidRPr="003A4A59">
        <w:rPr>
          <w:rFonts w:ascii="Times New Roman" w:hAnsi="Times New Roman"/>
          <w:sz w:val="28"/>
          <w:szCs w:val="24"/>
          <w:lang w:eastAsia="ru-RU"/>
        </w:rPr>
        <w:t xml:space="preserve"> типа</w:t>
      </w:r>
      <w:r>
        <w:rPr>
          <w:rFonts w:ascii="Times New Roman" w:hAnsi="Times New Roman"/>
          <w:sz w:val="28"/>
          <w:szCs w:val="24"/>
          <w:lang w:eastAsia="ru-RU"/>
        </w:rPr>
        <w:t>;</w:t>
      </w:r>
    </w:p>
    <w:p w:rsidR="002D1E45" w:rsidRPr="003A4A59" w:rsidRDefault="002D1E45" w:rsidP="00D05D06">
      <w:pPr>
        <w:numPr>
          <w:ilvl w:val="0"/>
          <w:numId w:val="57"/>
        </w:numPr>
        <w:spacing w:after="0" w:line="240" w:lineRule="auto"/>
        <w:contextualSpacing/>
        <w:jc w:val="both"/>
        <w:rPr>
          <w:rFonts w:ascii="Times New Roman" w:hAnsi="Times New Roman"/>
          <w:sz w:val="28"/>
          <w:szCs w:val="24"/>
          <w:lang w:eastAsia="ru-RU"/>
        </w:rPr>
      </w:pPr>
      <w:r>
        <w:rPr>
          <w:rFonts w:ascii="Times New Roman" w:hAnsi="Times New Roman"/>
          <w:sz w:val="28"/>
          <w:szCs w:val="24"/>
          <w:lang w:eastAsia="ru-RU"/>
        </w:rPr>
        <w:t>библиотеки (фонды).</w:t>
      </w:r>
    </w:p>
    <w:p w:rsidR="002D1E45" w:rsidRPr="00F27FFC" w:rsidRDefault="002D1E45" w:rsidP="00852938">
      <w:pPr>
        <w:pStyle w:val="Heading2"/>
        <w:numPr>
          <w:ilvl w:val="1"/>
          <w:numId w:val="65"/>
        </w:numPr>
        <w:spacing w:before="240"/>
        <w:ind w:left="993" w:hanging="633"/>
        <w:jc w:val="both"/>
        <w:rPr>
          <w:b/>
        </w:rPr>
      </w:pPr>
      <w:bookmarkStart w:id="141" w:name="_Toc84936026"/>
      <w:bookmarkEnd w:id="140"/>
      <w:r w:rsidRPr="00F27FFC">
        <w:rPr>
          <w:b/>
        </w:rPr>
        <w:t>Сельскохозяйственная зона</w:t>
      </w:r>
      <w:bookmarkEnd w:id="141"/>
    </w:p>
    <w:p w:rsidR="002D1E45" w:rsidRDefault="002D1E45" w:rsidP="00FB49C9">
      <w:pPr>
        <w:spacing w:after="0" w:line="240" w:lineRule="auto"/>
        <w:rPr>
          <w:rFonts w:ascii="Arial" w:hAnsi="Arial" w:cs="Arial"/>
          <w:sz w:val="16"/>
          <w:szCs w:val="16"/>
          <w:lang w:eastAsia="ru-RU"/>
        </w:rPr>
      </w:pPr>
    </w:p>
    <w:p w:rsidR="002D1E45" w:rsidRDefault="002D1E45" w:rsidP="00AF2F9D">
      <w:pPr>
        <w:spacing w:after="0" w:line="240" w:lineRule="auto"/>
        <w:ind w:firstLine="709"/>
        <w:contextualSpacing/>
        <w:jc w:val="both"/>
        <w:rPr>
          <w:rFonts w:ascii="Times New Roman" w:hAnsi="Times New Roman"/>
          <w:sz w:val="28"/>
          <w:szCs w:val="28"/>
          <w:lang w:eastAsia="ru-RU"/>
        </w:rPr>
      </w:pPr>
      <w:r w:rsidRPr="00C40F77">
        <w:rPr>
          <w:rFonts w:ascii="Times New Roman" w:hAnsi="Times New Roman"/>
          <w:sz w:val="28"/>
          <w:szCs w:val="28"/>
          <w:lang w:eastAsia="ru-RU"/>
        </w:rPr>
        <w:t>Зоны сельскохозяйственного использования</w:t>
      </w:r>
      <w:r>
        <w:rPr>
          <w:rFonts w:ascii="Times New Roman" w:hAnsi="Times New Roman"/>
          <w:sz w:val="28"/>
          <w:szCs w:val="28"/>
          <w:lang w:eastAsia="ru-RU"/>
        </w:rPr>
        <w:t xml:space="preserve"> </w:t>
      </w:r>
      <w:r w:rsidRPr="00C40F77">
        <w:rPr>
          <w:rFonts w:ascii="Times New Roman" w:hAnsi="Times New Roman"/>
          <w:sz w:val="28"/>
          <w:szCs w:val="28"/>
          <w:lang w:eastAsia="ru-RU"/>
        </w:rPr>
        <w:t>включают в</w:t>
      </w:r>
      <w:r>
        <w:rPr>
          <w:rFonts w:ascii="Times New Roman" w:hAnsi="Times New Roman"/>
          <w:sz w:val="28"/>
          <w:szCs w:val="28"/>
          <w:lang w:eastAsia="ru-RU"/>
        </w:rPr>
        <w:t> </w:t>
      </w:r>
      <w:r w:rsidRPr="00C40F77">
        <w:rPr>
          <w:rFonts w:ascii="Times New Roman" w:hAnsi="Times New Roman"/>
          <w:sz w:val="28"/>
          <w:szCs w:val="28"/>
          <w:lang w:eastAsia="ru-RU"/>
        </w:rPr>
        <w:t>себя зоны, занятые объектами сельскохозяйственного назначения и</w:t>
      </w:r>
      <w:r>
        <w:rPr>
          <w:rFonts w:ascii="Times New Roman" w:hAnsi="Times New Roman"/>
          <w:sz w:val="28"/>
          <w:szCs w:val="28"/>
          <w:lang w:eastAsia="ru-RU"/>
        </w:rPr>
        <w:t> </w:t>
      </w:r>
      <w:r w:rsidRPr="00C40F77">
        <w:rPr>
          <w:rFonts w:ascii="Times New Roman" w:hAnsi="Times New Roman"/>
          <w:sz w:val="28"/>
          <w:szCs w:val="28"/>
          <w:lang w:eastAsia="ru-RU"/>
        </w:rPr>
        <w:t>предназначенные для ведения сельского хозяйства, дачного хозяйства, садоводства и</w:t>
      </w:r>
      <w:r>
        <w:rPr>
          <w:rFonts w:ascii="Times New Roman" w:hAnsi="Times New Roman"/>
          <w:sz w:val="28"/>
          <w:szCs w:val="28"/>
          <w:lang w:eastAsia="ru-RU"/>
        </w:rPr>
        <w:t> </w:t>
      </w:r>
      <w:r w:rsidRPr="00C40F77">
        <w:rPr>
          <w:rFonts w:ascii="Times New Roman" w:hAnsi="Times New Roman"/>
          <w:sz w:val="28"/>
          <w:szCs w:val="28"/>
          <w:lang w:eastAsia="ru-RU"/>
        </w:rPr>
        <w:t>личного подсобного хозяйства.</w:t>
      </w:r>
    </w:p>
    <w:p w:rsidR="002D1E45" w:rsidRDefault="002D1E45" w:rsidP="00FB49C9">
      <w:pPr>
        <w:spacing w:after="0" w:line="240" w:lineRule="auto"/>
        <w:rPr>
          <w:rFonts w:ascii="Arial" w:hAnsi="Arial" w:cs="Arial"/>
          <w:sz w:val="16"/>
          <w:szCs w:val="16"/>
          <w:lang w:eastAsia="ru-RU"/>
        </w:rPr>
      </w:pPr>
    </w:p>
    <w:p w:rsidR="002D1E45" w:rsidRPr="00582FF3" w:rsidRDefault="002D1E45" w:rsidP="00852938">
      <w:pPr>
        <w:pStyle w:val="Heading2"/>
        <w:numPr>
          <w:ilvl w:val="1"/>
          <w:numId w:val="65"/>
        </w:numPr>
        <w:spacing w:before="240"/>
        <w:ind w:left="993" w:hanging="633"/>
        <w:jc w:val="both"/>
        <w:rPr>
          <w:b/>
        </w:rPr>
      </w:pPr>
      <w:bookmarkStart w:id="142" w:name="_Toc84936027"/>
      <w:r w:rsidRPr="00582FF3">
        <w:rPr>
          <w:b/>
        </w:rPr>
        <w:t>Производственная зона</w:t>
      </w:r>
      <w:bookmarkEnd w:id="142"/>
      <w:r w:rsidRPr="00582FF3">
        <w:rPr>
          <w:b/>
        </w:rPr>
        <w:t xml:space="preserve"> </w:t>
      </w:r>
    </w:p>
    <w:p w:rsidR="002D1E45" w:rsidRPr="00582FF3" w:rsidRDefault="002D1E45" w:rsidP="00632421">
      <w:pPr>
        <w:spacing w:after="0" w:line="240" w:lineRule="auto"/>
        <w:rPr>
          <w:rFonts w:ascii="Arial" w:hAnsi="Arial" w:cs="Arial"/>
          <w:sz w:val="16"/>
          <w:szCs w:val="16"/>
          <w:lang w:eastAsia="ru-RU"/>
        </w:rPr>
      </w:pPr>
    </w:p>
    <w:p w:rsidR="002D1E45" w:rsidRPr="00582FF3" w:rsidRDefault="002D1E45" w:rsidP="00632421">
      <w:pPr>
        <w:spacing w:after="0" w:line="240" w:lineRule="auto"/>
        <w:rPr>
          <w:rFonts w:ascii="Arial" w:hAnsi="Arial" w:cs="Arial"/>
          <w:sz w:val="16"/>
          <w:szCs w:val="16"/>
          <w:lang w:eastAsia="ru-RU"/>
        </w:rPr>
      </w:pPr>
    </w:p>
    <w:p w:rsidR="002D1E45" w:rsidRPr="00582FF3" w:rsidRDefault="002D1E45" w:rsidP="00D200AD">
      <w:pPr>
        <w:spacing w:after="0" w:line="240" w:lineRule="auto"/>
        <w:ind w:firstLine="709"/>
        <w:contextualSpacing/>
        <w:jc w:val="both"/>
        <w:rPr>
          <w:rFonts w:ascii="Times New Roman" w:hAnsi="Times New Roman"/>
          <w:sz w:val="28"/>
          <w:szCs w:val="28"/>
          <w:lang w:eastAsia="ru-RU"/>
        </w:rPr>
      </w:pPr>
      <w:r w:rsidRPr="00582FF3">
        <w:rPr>
          <w:rFonts w:ascii="Times New Roman" w:hAnsi="Times New Roman"/>
          <w:sz w:val="28"/>
          <w:szCs w:val="28"/>
          <w:lang w:eastAsia="ru-RU"/>
        </w:rPr>
        <w:t>В состав зоны включаются:</w:t>
      </w:r>
    </w:p>
    <w:p w:rsidR="002D1E45" w:rsidRPr="00582FF3"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582FF3">
        <w:rPr>
          <w:rFonts w:ascii="Times New Roman" w:hAnsi="Times New Roman"/>
          <w:sz w:val="28"/>
          <w:szCs w:val="28"/>
        </w:rPr>
        <w:t>производственная зона – зона размещения производственных и складских объектов с различными нормативами воздействия на окружающую среду.</w:t>
      </w:r>
    </w:p>
    <w:p w:rsidR="002D1E45" w:rsidRPr="00582FF3"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582FF3">
        <w:rPr>
          <w:rFonts w:ascii="Times New Roman" w:hAnsi="Times New Roman"/>
          <w:sz w:val="28"/>
          <w:szCs w:val="28"/>
        </w:rPr>
        <w:t>коммунальная зона – зона размещения коммунальных объектов, складов ГСМ, нефтебаз.</w:t>
      </w:r>
    </w:p>
    <w:p w:rsidR="002D1E45" w:rsidRPr="00582FF3" w:rsidRDefault="002D1E45" w:rsidP="00331365">
      <w:pPr>
        <w:spacing w:after="0" w:line="240" w:lineRule="auto"/>
        <w:ind w:firstLine="709"/>
        <w:contextualSpacing/>
        <w:jc w:val="both"/>
        <w:rPr>
          <w:rFonts w:ascii="Times New Roman" w:hAnsi="Times New Roman"/>
          <w:sz w:val="28"/>
          <w:szCs w:val="28"/>
          <w:lang w:eastAsia="ru-RU"/>
        </w:rPr>
      </w:pPr>
      <w:r w:rsidRPr="00582FF3">
        <w:rPr>
          <w:rFonts w:ascii="Times New Roman" w:hAnsi="Times New Roman"/>
          <w:sz w:val="28"/>
          <w:szCs w:val="28"/>
          <w:lang w:eastAsia="ru-RU"/>
        </w:rPr>
        <w:t xml:space="preserve">В данной зоне расположены производственные и коммунально-складские объекты действующих предприятий. </w:t>
      </w:r>
    </w:p>
    <w:p w:rsidR="002D1E45" w:rsidRPr="00582FF3" w:rsidRDefault="002D1E45" w:rsidP="00632421">
      <w:pPr>
        <w:spacing w:after="0" w:line="240" w:lineRule="auto"/>
        <w:rPr>
          <w:rFonts w:ascii="Arial" w:hAnsi="Arial" w:cs="Arial"/>
          <w:sz w:val="16"/>
          <w:szCs w:val="16"/>
          <w:lang w:eastAsia="ru-RU"/>
        </w:rPr>
      </w:pPr>
    </w:p>
    <w:p w:rsidR="002D1E45" w:rsidRPr="004D4AC7" w:rsidRDefault="002D1E45" w:rsidP="00852938">
      <w:pPr>
        <w:pStyle w:val="Heading2"/>
        <w:numPr>
          <w:ilvl w:val="1"/>
          <w:numId w:val="65"/>
        </w:numPr>
        <w:spacing w:before="240"/>
        <w:ind w:left="993" w:hanging="633"/>
        <w:jc w:val="both"/>
        <w:rPr>
          <w:b/>
        </w:rPr>
      </w:pPr>
      <w:bookmarkStart w:id="143" w:name="_Toc475037085"/>
      <w:bookmarkStart w:id="144" w:name="_Toc84936028"/>
      <w:r w:rsidRPr="004D4AC7">
        <w:rPr>
          <w:b/>
        </w:rPr>
        <w:t>Зона транспортной инфраструктуры</w:t>
      </w:r>
      <w:bookmarkEnd w:id="143"/>
      <w:bookmarkEnd w:id="144"/>
    </w:p>
    <w:p w:rsidR="002D1E45" w:rsidRDefault="002D1E45" w:rsidP="00632421">
      <w:pPr>
        <w:spacing w:after="0" w:line="240" w:lineRule="auto"/>
        <w:rPr>
          <w:rFonts w:ascii="Arial" w:hAnsi="Arial" w:cs="Arial"/>
          <w:sz w:val="16"/>
          <w:szCs w:val="16"/>
          <w:lang w:eastAsia="ru-RU"/>
        </w:rPr>
      </w:pPr>
    </w:p>
    <w:p w:rsidR="002D1E45" w:rsidRDefault="002D1E45" w:rsidP="000C134A">
      <w:pPr>
        <w:pStyle w:val="BodyText"/>
        <w:ind w:firstLine="709"/>
        <w:rPr>
          <w:szCs w:val="28"/>
        </w:rPr>
      </w:pPr>
      <w:r w:rsidRPr="002A4FAA">
        <w:rPr>
          <w:szCs w:val="28"/>
        </w:rPr>
        <w:t>Зона транспортной инфраструктуры предусматривается для размещения в</w:t>
      </w:r>
      <w:r>
        <w:rPr>
          <w:szCs w:val="28"/>
        </w:rPr>
        <w:t> </w:t>
      </w:r>
      <w:r w:rsidRPr="002A4FAA">
        <w:rPr>
          <w:szCs w:val="28"/>
        </w:rPr>
        <w:t>ней сооружений и</w:t>
      </w:r>
      <w:r>
        <w:rPr>
          <w:szCs w:val="28"/>
        </w:rPr>
        <w:t> </w:t>
      </w:r>
      <w:r w:rsidRPr="002A4FAA">
        <w:rPr>
          <w:szCs w:val="28"/>
        </w:rPr>
        <w:t xml:space="preserve">коммуникаций транспорта. </w:t>
      </w:r>
      <w:r>
        <w:rPr>
          <w:szCs w:val="28"/>
        </w:rPr>
        <w:t xml:space="preserve">Зона также </w:t>
      </w:r>
      <w:r w:rsidRPr="002F6510">
        <w:rPr>
          <w:szCs w:val="28"/>
        </w:rPr>
        <w:t>предназначена для размещения и</w:t>
      </w:r>
      <w:r>
        <w:rPr>
          <w:szCs w:val="28"/>
        </w:rPr>
        <w:t> </w:t>
      </w:r>
      <w:r w:rsidRPr="002F6510">
        <w:rPr>
          <w:szCs w:val="28"/>
        </w:rPr>
        <w:t>функционирования сооружений трубопроводного транспорта</w:t>
      </w:r>
      <w:r>
        <w:rPr>
          <w:szCs w:val="28"/>
        </w:rPr>
        <w:t>.</w:t>
      </w:r>
    </w:p>
    <w:p w:rsidR="002D1E45" w:rsidRPr="00AB67F3" w:rsidRDefault="002D1E45" w:rsidP="00AB67F3">
      <w:pPr>
        <w:pStyle w:val="BodyText"/>
        <w:ind w:firstLine="709"/>
        <w:rPr>
          <w:szCs w:val="28"/>
        </w:rPr>
      </w:pPr>
      <w:r w:rsidRPr="00AB67F3">
        <w:rPr>
          <w:szCs w:val="28"/>
        </w:rPr>
        <w:t>Внешний транспорт на</w:t>
      </w:r>
      <w:r>
        <w:rPr>
          <w:szCs w:val="28"/>
        </w:rPr>
        <w:t> </w:t>
      </w:r>
      <w:r w:rsidRPr="00AB67F3">
        <w:rPr>
          <w:szCs w:val="28"/>
        </w:rPr>
        <w:t xml:space="preserve">территории </w:t>
      </w:r>
      <w:r>
        <w:rPr>
          <w:szCs w:val="28"/>
        </w:rPr>
        <w:t>города</w:t>
      </w:r>
      <w:r w:rsidRPr="00AB67F3">
        <w:rPr>
          <w:szCs w:val="28"/>
        </w:rPr>
        <w:t xml:space="preserve"> представлен автомобильным транспортом.</w:t>
      </w:r>
    </w:p>
    <w:p w:rsidR="002D1E45" w:rsidRPr="00AB67F3" w:rsidRDefault="002D1E45" w:rsidP="00AB67F3">
      <w:pPr>
        <w:pStyle w:val="BodyText"/>
        <w:ind w:firstLine="709"/>
        <w:rPr>
          <w:bCs/>
          <w:i/>
          <w:szCs w:val="28"/>
          <w:u w:val="single"/>
        </w:rPr>
      </w:pPr>
      <w:r w:rsidRPr="00AB67F3">
        <w:rPr>
          <w:bCs/>
          <w:i/>
          <w:szCs w:val="28"/>
          <w:u w:val="single"/>
        </w:rPr>
        <w:t>Автомобильный транспорт</w:t>
      </w:r>
    </w:p>
    <w:p w:rsidR="002D1E45" w:rsidRPr="00F27FFC" w:rsidRDefault="002D1E45" w:rsidP="00F27FFC">
      <w:pPr>
        <w:pStyle w:val="BodyText"/>
        <w:ind w:firstLine="709"/>
        <w:rPr>
          <w:szCs w:val="28"/>
        </w:rPr>
      </w:pPr>
      <w:r w:rsidRPr="00F27FFC">
        <w:rPr>
          <w:szCs w:val="28"/>
        </w:rPr>
        <w:t>Внешние связи г. Куйбышева поддерживаются круглогодично автомобильным транспортом. Расстояние от г. Куйбышева до областного центра</w:t>
      </w:r>
      <w:r>
        <w:rPr>
          <w:szCs w:val="28"/>
        </w:rPr>
        <w:t>,</w:t>
      </w:r>
      <w:r w:rsidRPr="00F27FFC">
        <w:rPr>
          <w:szCs w:val="28"/>
        </w:rPr>
        <w:t xml:space="preserve"> г. Новосибирск – 350 км.</w:t>
      </w:r>
    </w:p>
    <w:p w:rsidR="002D1E45" w:rsidRPr="00F27FFC" w:rsidRDefault="002D1E45" w:rsidP="00F27FFC">
      <w:pPr>
        <w:pStyle w:val="BodyText"/>
        <w:ind w:firstLine="709"/>
        <w:rPr>
          <w:szCs w:val="28"/>
        </w:rPr>
      </w:pPr>
      <w:r w:rsidRPr="00F27FFC">
        <w:rPr>
          <w:szCs w:val="28"/>
        </w:rPr>
        <w:t>Одной из основных проблем автодорожной сети г. Куйбышева является то, что большая часть автомобильных дорог общего пользования местного значения не соответствует техническим нормативам.</w:t>
      </w:r>
    </w:p>
    <w:p w:rsidR="002D1E45" w:rsidRDefault="002D1E45" w:rsidP="00F27FFC">
      <w:pPr>
        <w:pStyle w:val="BodyText"/>
        <w:ind w:firstLine="709"/>
        <w:rPr>
          <w:szCs w:val="28"/>
        </w:rPr>
      </w:pPr>
      <w:r w:rsidRPr="00F27FFC">
        <w:rPr>
          <w:szCs w:val="28"/>
        </w:rPr>
        <w:t>Сооружения и сообщения речного и воздушного транспорта в г. Куйбышеве отсутствуют.</w:t>
      </w:r>
      <w:r>
        <w:rPr>
          <w:szCs w:val="28"/>
        </w:rPr>
        <w:t xml:space="preserve"> </w:t>
      </w:r>
    </w:p>
    <w:p w:rsidR="002D1E45" w:rsidRDefault="002D1E45" w:rsidP="00FC15B6">
      <w:pPr>
        <w:pStyle w:val="BodyText"/>
        <w:ind w:firstLine="709"/>
        <w:rPr>
          <w:szCs w:val="28"/>
        </w:rPr>
      </w:pPr>
      <w:r w:rsidRPr="00E43143">
        <w:rPr>
          <w:szCs w:val="28"/>
        </w:rPr>
        <w:t xml:space="preserve">Перечень </w:t>
      </w:r>
      <w:r w:rsidRPr="00BB4FFB">
        <w:rPr>
          <w:szCs w:val="28"/>
        </w:rPr>
        <w:t>автомобильных дорог общего пользования регионального и</w:t>
      </w:r>
      <w:r>
        <w:rPr>
          <w:szCs w:val="28"/>
        </w:rPr>
        <w:t> </w:t>
      </w:r>
      <w:r w:rsidRPr="00BB4FFB">
        <w:rPr>
          <w:szCs w:val="28"/>
        </w:rPr>
        <w:t>межмуниципального значения и</w:t>
      </w:r>
      <w:r>
        <w:rPr>
          <w:szCs w:val="28"/>
        </w:rPr>
        <w:t> </w:t>
      </w:r>
      <w:r w:rsidRPr="00BB4FFB">
        <w:rPr>
          <w:szCs w:val="28"/>
        </w:rPr>
        <w:t>искусственных сооружений на</w:t>
      </w:r>
      <w:r>
        <w:rPr>
          <w:szCs w:val="28"/>
        </w:rPr>
        <w:t> </w:t>
      </w:r>
      <w:r w:rsidRPr="00BB4FFB">
        <w:rPr>
          <w:szCs w:val="28"/>
        </w:rPr>
        <w:t>них, отнесённых к</w:t>
      </w:r>
      <w:r>
        <w:rPr>
          <w:szCs w:val="28"/>
        </w:rPr>
        <w:t> </w:t>
      </w:r>
      <w:r w:rsidRPr="00BB4FFB">
        <w:rPr>
          <w:szCs w:val="28"/>
        </w:rPr>
        <w:t>государственной собственности Новосибирской области</w:t>
      </w:r>
      <w:r w:rsidRPr="00E43143">
        <w:rPr>
          <w:szCs w:val="28"/>
        </w:rPr>
        <w:t xml:space="preserve">, утверждён </w:t>
      </w:r>
      <w:r>
        <w:rPr>
          <w:szCs w:val="28"/>
        </w:rPr>
        <w:t xml:space="preserve">приказом </w:t>
      </w:r>
      <w:r w:rsidRPr="00BB4FFB">
        <w:rPr>
          <w:szCs w:val="28"/>
        </w:rPr>
        <w:t>министерства транспорта и</w:t>
      </w:r>
      <w:r>
        <w:rPr>
          <w:szCs w:val="28"/>
        </w:rPr>
        <w:t> </w:t>
      </w:r>
      <w:r w:rsidRPr="00BB4FFB">
        <w:rPr>
          <w:szCs w:val="28"/>
        </w:rPr>
        <w:t>дорожного</w:t>
      </w:r>
      <w:r>
        <w:rPr>
          <w:szCs w:val="28"/>
        </w:rPr>
        <w:t xml:space="preserve"> </w:t>
      </w:r>
      <w:r w:rsidRPr="00BB4FFB">
        <w:rPr>
          <w:szCs w:val="28"/>
        </w:rPr>
        <w:t>хозяйства Новосибирской области</w:t>
      </w:r>
      <w:r>
        <w:rPr>
          <w:szCs w:val="28"/>
        </w:rPr>
        <w:t xml:space="preserve"> </w:t>
      </w:r>
      <w:r w:rsidRPr="00BB4FFB">
        <w:rPr>
          <w:szCs w:val="28"/>
        </w:rPr>
        <w:t>от 1</w:t>
      </w:r>
      <w:r>
        <w:rPr>
          <w:szCs w:val="28"/>
        </w:rPr>
        <w:t>9</w:t>
      </w:r>
      <w:r w:rsidRPr="00BB4FFB">
        <w:rPr>
          <w:szCs w:val="28"/>
        </w:rPr>
        <w:t>.02.20</w:t>
      </w:r>
      <w:r>
        <w:rPr>
          <w:szCs w:val="28"/>
        </w:rPr>
        <w:t>20</w:t>
      </w:r>
      <w:r w:rsidRPr="00BB4FFB">
        <w:rPr>
          <w:szCs w:val="28"/>
        </w:rPr>
        <w:t xml:space="preserve"> № </w:t>
      </w:r>
      <w:r>
        <w:rPr>
          <w:szCs w:val="28"/>
        </w:rPr>
        <w:t xml:space="preserve">22 (см. таблицы </w:t>
      </w:r>
      <w:r>
        <w:rPr>
          <w:szCs w:val="28"/>
        </w:rPr>
        <w:fldChar w:fldCharType="begin"/>
      </w:r>
      <w:r>
        <w:rPr>
          <w:szCs w:val="28"/>
        </w:rPr>
        <w:instrText xml:space="preserve"> REF Tbl_Dorogi \h </w:instrText>
      </w:r>
      <w:r w:rsidRPr="00E65328">
        <w:rPr>
          <w:szCs w:val="28"/>
        </w:rPr>
      </w:r>
      <w:r>
        <w:rPr>
          <w:szCs w:val="28"/>
        </w:rPr>
        <w:fldChar w:fldCharType="separate"/>
      </w:r>
      <w:r>
        <w:rPr>
          <w:noProof/>
          <w:szCs w:val="24"/>
        </w:rPr>
        <w:t>12</w:t>
      </w:r>
      <w:r>
        <w:rPr>
          <w:szCs w:val="28"/>
        </w:rPr>
        <w:fldChar w:fldCharType="end"/>
      </w:r>
      <w:r>
        <w:rPr>
          <w:szCs w:val="28"/>
        </w:rPr>
        <w:t>-</w:t>
      </w:r>
      <w:r>
        <w:rPr>
          <w:szCs w:val="28"/>
        </w:rPr>
        <w:fldChar w:fldCharType="begin"/>
      </w:r>
      <w:r>
        <w:rPr>
          <w:szCs w:val="28"/>
        </w:rPr>
        <w:instrText xml:space="preserve"> REF Tbl_Mosty \h </w:instrText>
      </w:r>
      <w:r w:rsidRPr="00E65328">
        <w:rPr>
          <w:szCs w:val="28"/>
        </w:rPr>
      </w:r>
      <w:r>
        <w:rPr>
          <w:szCs w:val="28"/>
        </w:rPr>
        <w:fldChar w:fldCharType="separate"/>
      </w:r>
      <w:r>
        <w:rPr>
          <w:noProof/>
          <w:szCs w:val="24"/>
        </w:rPr>
        <w:t>13</w:t>
      </w:r>
      <w:r>
        <w:rPr>
          <w:szCs w:val="28"/>
        </w:rPr>
        <w:fldChar w:fldCharType="end"/>
      </w:r>
      <w:r>
        <w:rPr>
          <w:szCs w:val="28"/>
        </w:rPr>
        <w:t>). Протяжённость автодорог регионального и межмуниципального значения по территории городского поселения составляет 38,315 км.</w:t>
      </w:r>
    </w:p>
    <w:p w:rsidR="002D1E45" w:rsidRPr="00124B97" w:rsidRDefault="002D1E45" w:rsidP="00124B97">
      <w:pPr>
        <w:pStyle w:val="BodyText"/>
        <w:ind w:firstLine="709"/>
        <w:rPr>
          <w:szCs w:val="28"/>
        </w:rPr>
      </w:pPr>
      <w:r w:rsidRPr="00124B97">
        <w:rPr>
          <w:szCs w:val="28"/>
        </w:rPr>
        <w:t xml:space="preserve">Внешние связи муниципального образования поддерживаются круглогодично автомобильным транспортом. </w:t>
      </w:r>
    </w:p>
    <w:p w:rsidR="002D1E45" w:rsidRDefault="002D1E45" w:rsidP="00B07A34">
      <w:pPr>
        <w:pStyle w:val="BodyText"/>
        <w:ind w:firstLine="709"/>
        <w:rPr>
          <w:szCs w:val="28"/>
        </w:rPr>
      </w:pPr>
      <w:r w:rsidRPr="00E84CA0">
        <w:rPr>
          <w:szCs w:val="28"/>
        </w:rPr>
        <w:t>Основными транспортными артериями в</w:t>
      </w:r>
      <w:r>
        <w:rPr>
          <w:szCs w:val="28"/>
        </w:rPr>
        <w:t xml:space="preserve"> городе </w:t>
      </w:r>
      <w:r w:rsidRPr="00E84CA0">
        <w:rPr>
          <w:szCs w:val="28"/>
        </w:rPr>
        <w:t xml:space="preserve">являются главные улицы </w:t>
      </w:r>
      <w:r>
        <w:rPr>
          <w:szCs w:val="28"/>
        </w:rPr>
        <w:t>в </w:t>
      </w:r>
      <w:r w:rsidRPr="00E84CA0">
        <w:rPr>
          <w:szCs w:val="28"/>
        </w:rPr>
        <w:t>жилой застройке. Основные маршруты движения грузовых потоков в</w:t>
      </w:r>
      <w:r>
        <w:rPr>
          <w:szCs w:val="28"/>
        </w:rPr>
        <w:t> </w:t>
      </w:r>
      <w:r w:rsidRPr="00E84CA0">
        <w:rPr>
          <w:szCs w:val="28"/>
        </w:rPr>
        <w:t>населённ</w:t>
      </w:r>
      <w:r>
        <w:rPr>
          <w:szCs w:val="28"/>
        </w:rPr>
        <w:t>ом</w:t>
      </w:r>
      <w:r w:rsidRPr="00E84CA0">
        <w:rPr>
          <w:szCs w:val="28"/>
        </w:rPr>
        <w:t xml:space="preserve"> пункт</w:t>
      </w:r>
      <w:r>
        <w:rPr>
          <w:szCs w:val="28"/>
        </w:rPr>
        <w:t>е</w:t>
      </w:r>
      <w:r w:rsidRPr="00E84CA0">
        <w:rPr>
          <w:szCs w:val="28"/>
        </w:rPr>
        <w:t xml:space="preserve"> на</w:t>
      </w:r>
      <w:r>
        <w:rPr>
          <w:szCs w:val="28"/>
        </w:rPr>
        <w:t> </w:t>
      </w:r>
      <w:r w:rsidRPr="00E84CA0">
        <w:rPr>
          <w:szCs w:val="28"/>
        </w:rPr>
        <w:t>сегодняшний день проходят по</w:t>
      </w:r>
      <w:r>
        <w:rPr>
          <w:szCs w:val="28"/>
        </w:rPr>
        <w:t> авто</w:t>
      </w:r>
      <w:r w:rsidRPr="00E84CA0">
        <w:rPr>
          <w:szCs w:val="28"/>
        </w:rPr>
        <w:t>дорогам</w:t>
      </w:r>
      <w:r>
        <w:rPr>
          <w:szCs w:val="28"/>
        </w:rPr>
        <w:t xml:space="preserve"> регионального и межмуниципального значения, проходящим через населённый пункт</w:t>
      </w:r>
      <w:r w:rsidRPr="00E84CA0">
        <w:rPr>
          <w:szCs w:val="28"/>
        </w:rPr>
        <w:t>, а</w:t>
      </w:r>
      <w:r>
        <w:rPr>
          <w:szCs w:val="28"/>
        </w:rPr>
        <w:t> </w:t>
      </w:r>
      <w:r w:rsidRPr="00E84CA0">
        <w:rPr>
          <w:szCs w:val="28"/>
        </w:rPr>
        <w:t>также по</w:t>
      </w:r>
      <w:r>
        <w:rPr>
          <w:szCs w:val="28"/>
        </w:rPr>
        <w:t> </w:t>
      </w:r>
      <w:r w:rsidRPr="00E84CA0">
        <w:rPr>
          <w:szCs w:val="28"/>
        </w:rPr>
        <w:t>центральным улицам</w:t>
      </w:r>
      <w:r>
        <w:rPr>
          <w:szCs w:val="28"/>
        </w:rPr>
        <w:t xml:space="preserve"> (ул. Войкова, Каинская, Володарского, Краскома, Партизанская, Гуляева,</w:t>
      </w:r>
      <w:r w:rsidRPr="009D2E4A">
        <w:rPr>
          <w:szCs w:val="28"/>
        </w:rPr>
        <w:t xml:space="preserve"> </w:t>
      </w:r>
      <w:r>
        <w:rPr>
          <w:szCs w:val="28"/>
        </w:rPr>
        <w:t>Озёрная)</w:t>
      </w:r>
      <w:r w:rsidRPr="00E84CA0">
        <w:rPr>
          <w:szCs w:val="28"/>
        </w:rPr>
        <w:t xml:space="preserve">. Интенсивность грузового транспорта </w:t>
      </w:r>
      <w:r>
        <w:rPr>
          <w:szCs w:val="28"/>
        </w:rPr>
        <w:t>средняя</w:t>
      </w:r>
      <w:r w:rsidRPr="00E84CA0">
        <w:rPr>
          <w:szCs w:val="28"/>
        </w:rPr>
        <w:t xml:space="preserve">. </w:t>
      </w:r>
    </w:p>
    <w:p w:rsidR="002D1E45" w:rsidRDefault="002D1E45" w:rsidP="00B07A34">
      <w:pPr>
        <w:pStyle w:val="BodyText"/>
        <w:ind w:firstLine="709"/>
        <w:rPr>
          <w:szCs w:val="28"/>
        </w:rPr>
        <w:sectPr w:rsidR="002D1E45" w:rsidSect="00B77450">
          <w:headerReference w:type="first" r:id="rId17"/>
          <w:pgSz w:w="11906" w:h="16838"/>
          <w:pgMar w:top="1134" w:right="567" w:bottom="1134" w:left="1134" w:header="709" w:footer="794" w:gutter="0"/>
          <w:cols w:space="708"/>
          <w:titlePg/>
          <w:docGrid w:linePitch="360"/>
        </w:sectPr>
      </w:pPr>
    </w:p>
    <w:p w:rsidR="002D1E45" w:rsidRPr="004F661A" w:rsidRDefault="002D1E45" w:rsidP="00B07A34">
      <w:pPr>
        <w:autoSpaceDE w:val="0"/>
        <w:autoSpaceDN w:val="0"/>
        <w:adjustRightInd w:val="0"/>
        <w:spacing w:after="0" w:line="360" w:lineRule="auto"/>
        <w:ind w:firstLine="709"/>
        <w:jc w:val="right"/>
        <w:rPr>
          <w:rFonts w:ascii="Times New Roman" w:hAnsi="Times New Roman"/>
          <w:sz w:val="28"/>
          <w:szCs w:val="24"/>
          <w:lang w:eastAsia="ru-RU"/>
        </w:rPr>
      </w:pPr>
      <w:r w:rsidRPr="004F661A">
        <w:rPr>
          <w:rFonts w:ascii="Times New Roman" w:hAnsi="Times New Roman"/>
          <w:sz w:val="28"/>
          <w:szCs w:val="24"/>
          <w:lang w:eastAsia="ru-RU"/>
        </w:rPr>
        <w:t xml:space="preserve">Таблица </w:t>
      </w:r>
      <w:bookmarkStart w:id="145" w:name="Tbl_Dorogi"/>
      <w:r w:rsidRPr="004F661A">
        <w:rPr>
          <w:rFonts w:ascii="Times New Roman" w:hAnsi="Times New Roman"/>
          <w:sz w:val="28"/>
          <w:szCs w:val="24"/>
        </w:rPr>
        <w:fldChar w:fldCharType="begin"/>
      </w:r>
      <w:r w:rsidRPr="004F661A">
        <w:rPr>
          <w:rFonts w:ascii="Times New Roman" w:hAnsi="Times New Roman"/>
          <w:sz w:val="28"/>
          <w:szCs w:val="24"/>
        </w:rPr>
        <w:instrText xml:space="preserve"> SEQ Таблица \* ARABIC </w:instrText>
      </w:r>
      <w:r w:rsidRPr="004F661A">
        <w:rPr>
          <w:rFonts w:ascii="Times New Roman" w:hAnsi="Times New Roman"/>
          <w:sz w:val="28"/>
          <w:szCs w:val="24"/>
        </w:rPr>
        <w:fldChar w:fldCharType="separate"/>
      </w:r>
      <w:r>
        <w:rPr>
          <w:rFonts w:ascii="Times New Roman" w:hAnsi="Times New Roman"/>
          <w:noProof/>
          <w:sz w:val="28"/>
          <w:szCs w:val="24"/>
        </w:rPr>
        <w:t>12</w:t>
      </w:r>
      <w:r w:rsidRPr="004F661A">
        <w:rPr>
          <w:rFonts w:ascii="Times New Roman" w:hAnsi="Times New Roman"/>
          <w:sz w:val="28"/>
          <w:szCs w:val="24"/>
        </w:rPr>
        <w:fldChar w:fldCharType="end"/>
      </w:r>
      <w:bookmarkEnd w:id="145"/>
    </w:p>
    <w:p w:rsidR="002D1E45" w:rsidRDefault="002D1E45" w:rsidP="00B07A34">
      <w:pPr>
        <w:tabs>
          <w:tab w:val="left" w:pos="1418"/>
        </w:tabs>
        <w:spacing w:line="240" w:lineRule="auto"/>
        <w:jc w:val="center"/>
        <w:rPr>
          <w:rFonts w:ascii="Times New Roman" w:hAnsi="Times New Roman"/>
          <w:sz w:val="28"/>
          <w:szCs w:val="24"/>
          <w:lang w:eastAsia="ru-RU"/>
        </w:rPr>
      </w:pPr>
      <w:r w:rsidRPr="00BB6844">
        <w:rPr>
          <w:rFonts w:ascii="Times New Roman" w:hAnsi="Times New Roman"/>
          <w:sz w:val="28"/>
          <w:szCs w:val="24"/>
          <w:lang w:eastAsia="ru-RU"/>
        </w:rPr>
        <w:t xml:space="preserve">Перечень автомобильных дорог общего пользования </w:t>
      </w:r>
      <w:r>
        <w:rPr>
          <w:rFonts w:ascii="Times New Roman" w:hAnsi="Times New Roman"/>
          <w:sz w:val="28"/>
          <w:szCs w:val="24"/>
          <w:lang w:eastAsia="ru-RU"/>
        </w:rPr>
        <w:t>Куйбышевского</w:t>
      </w:r>
      <w:r w:rsidRPr="00BB6844">
        <w:rPr>
          <w:rFonts w:ascii="Times New Roman" w:hAnsi="Times New Roman"/>
          <w:sz w:val="28"/>
          <w:szCs w:val="24"/>
          <w:lang w:eastAsia="ru-RU"/>
        </w:rPr>
        <w:t xml:space="preserve"> района, отнесённых к</w:t>
      </w:r>
      <w:r>
        <w:rPr>
          <w:rFonts w:ascii="Times New Roman" w:hAnsi="Times New Roman"/>
          <w:sz w:val="28"/>
          <w:szCs w:val="24"/>
          <w:lang w:eastAsia="ru-RU"/>
        </w:rPr>
        <w:t> </w:t>
      </w:r>
      <w:r w:rsidRPr="00BB6844">
        <w:rPr>
          <w:rFonts w:ascii="Times New Roman" w:hAnsi="Times New Roman"/>
          <w:sz w:val="28"/>
          <w:szCs w:val="24"/>
          <w:lang w:eastAsia="ru-RU"/>
        </w:rPr>
        <w:t>государственной собственности Новосибирской области</w:t>
      </w:r>
      <w:r>
        <w:rPr>
          <w:rFonts w:ascii="Times New Roman" w:hAnsi="Times New Roman"/>
          <w:sz w:val="28"/>
          <w:szCs w:val="24"/>
          <w:lang w:eastAsia="ru-RU"/>
        </w:rPr>
        <w:t>, проходящих по территории городского поселения «Город Куйбышев»</w:t>
      </w:r>
    </w:p>
    <w:tbl>
      <w:tblPr>
        <w:tblW w:w="154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36"/>
        <w:gridCol w:w="1541"/>
        <w:gridCol w:w="2413"/>
        <w:gridCol w:w="708"/>
        <w:gridCol w:w="585"/>
        <w:gridCol w:w="691"/>
        <w:gridCol w:w="851"/>
        <w:gridCol w:w="708"/>
        <w:gridCol w:w="426"/>
        <w:gridCol w:w="708"/>
        <w:gridCol w:w="709"/>
        <w:gridCol w:w="851"/>
        <w:gridCol w:w="708"/>
        <w:gridCol w:w="851"/>
        <w:gridCol w:w="425"/>
        <w:gridCol w:w="425"/>
        <w:gridCol w:w="851"/>
        <w:gridCol w:w="850"/>
        <w:gridCol w:w="709"/>
      </w:tblGrid>
      <w:tr w:rsidR="002D1E45" w:rsidRPr="00983827" w:rsidTr="00983827">
        <w:trPr>
          <w:trHeight w:val="28"/>
        </w:trPr>
        <w:tc>
          <w:tcPr>
            <w:tcW w:w="436" w:type="dxa"/>
            <w:vMerge w:val="restart"/>
            <w:vAlign w:val="center"/>
          </w:tcPr>
          <w:p w:rsidR="002D1E45" w:rsidRPr="00983827" w:rsidRDefault="002D1E45" w:rsidP="000C1C1D">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 п/п</w:t>
            </w:r>
          </w:p>
        </w:tc>
        <w:tc>
          <w:tcPr>
            <w:tcW w:w="1541" w:type="dxa"/>
            <w:vMerge w:val="restart"/>
            <w:vAlign w:val="center"/>
          </w:tcPr>
          <w:p w:rsidR="002D1E45" w:rsidRPr="00983827" w:rsidRDefault="002D1E45" w:rsidP="000C1C1D">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Идентификационный номер автомобильной дороги</w:t>
            </w:r>
          </w:p>
        </w:tc>
        <w:tc>
          <w:tcPr>
            <w:tcW w:w="2413" w:type="dxa"/>
            <w:vMerge w:val="restart"/>
            <w:noWrap/>
            <w:vAlign w:val="center"/>
          </w:tcPr>
          <w:p w:rsidR="002D1E45" w:rsidRPr="00983827" w:rsidRDefault="002D1E45" w:rsidP="000C1C1D">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Наименование дорог</w:t>
            </w:r>
          </w:p>
        </w:tc>
        <w:tc>
          <w:tcPr>
            <w:tcW w:w="708" w:type="dxa"/>
            <w:vMerge w:val="restart"/>
            <w:vAlign w:val="center"/>
          </w:tcPr>
          <w:p w:rsidR="002D1E45" w:rsidRPr="00983827" w:rsidRDefault="002D1E45" w:rsidP="000C1C1D">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Номер (код) дороги</w:t>
            </w:r>
          </w:p>
        </w:tc>
        <w:tc>
          <w:tcPr>
            <w:tcW w:w="585" w:type="dxa"/>
            <w:vMerge w:val="restart"/>
            <w:vAlign w:val="center"/>
          </w:tcPr>
          <w:p w:rsidR="002D1E45" w:rsidRPr="00983827" w:rsidRDefault="002D1E45" w:rsidP="000C1C1D">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Начало дороги, км</w:t>
            </w:r>
          </w:p>
        </w:tc>
        <w:tc>
          <w:tcPr>
            <w:tcW w:w="691" w:type="dxa"/>
            <w:vMerge w:val="restart"/>
            <w:vAlign w:val="center"/>
          </w:tcPr>
          <w:p w:rsidR="002D1E45" w:rsidRPr="00983827" w:rsidRDefault="002D1E45" w:rsidP="000C1C1D">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Конец дороги, км</w:t>
            </w:r>
          </w:p>
        </w:tc>
        <w:tc>
          <w:tcPr>
            <w:tcW w:w="851" w:type="dxa"/>
            <w:vMerge w:val="restart"/>
            <w:vAlign w:val="center"/>
          </w:tcPr>
          <w:p w:rsidR="002D1E45" w:rsidRPr="00983827" w:rsidRDefault="002D1E45" w:rsidP="000C1C1D">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Протяженность, км</w:t>
            </w:r>
          </w:p>
        </w:tc>
        <w:tc>
          <w:tcPr>
            <w:tcW w:w="708" w:type="dxa"/>
            <w:vMerge w:val="restart"/>
            <w:vAlign w:val="center"/>
          </w:tcPr>
          <w:p w:rsidR="002D1E45" w:rsidRPr="00983827" w:rsidRDefault="002D1E45" w:rsidP="000C1C1D">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Твёрдое покрытие, км</w:t>
            </w:r>
          </w:p>
        </w:tc>
        <w:tc>
          <w:tcPr>
            <w:tcW w:w="4253" w:type="dxa"/>
            <w:gridSpan w:val="6"/>
            <w:noWrap/>
            <w:vAlign w:val="center"/>
          </w:tcPr>
          <w:p w:rsidR="002D1E45" w:rsidRPr="00983827" w:rsidRDefault="002D1E45" w:rsidP="000C1C1D">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В том числе по типам покрытия, км</w:t>
            </w:r>
          </w:p>
        </w:tc>
        <w:tc>
          <w:tcPr>
            <w:tcW w:w="3260" w:type="dxa"/>
            <w:gridSpan w:val="5"/>
            <w:noWrap/>
            <w:vAlign w:val="center"/>
          </w:tcPr>
          <w:p w:rsidR="002D1E45" w:rsidRPr="00983827" w:rsidRDefault="002D1E45" w:rsidP="000C1C1D">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Техническая категория, км</w:t>
            </w:r>
          </w:p>
        </w:tc>
      </w:tr>
      <w:tr w:rsidR="002D1E45" w:rsidRPr="00983827" w:rsidTr="00983827">
        <w:trPr>
          <w:trHeight w:val="28"/>
        </w:trPr>
        <w:tc>
          <w:tcPr>
            <w:tcW w:w="436" w:type="dxa"/>
            <w:vMerge/>
            <w:vAlign w:val="center"/>
          </w:tcPr>
          <w:p w:rsidR="002D1E45" w:rsidRPr="00983827" w:rsidRDefault="002D1E45" w:rsidP="000173C4">
            <w:pPr>
              <w:spacing w:after="0" w:line="240" w:lineRule="auto"/>
              <w:jc w:val="center"/>
              <w:rPr>
                <w:rFonts w:ascii="Times New Roman" w:hAnsi="Times New Roman"/>
                <w:sz w:val="14"/>
                <w:szCs w:val="14"/>
                <w:lang w:eastAsia="ru-RU"/>
              </w:rPr>
            </w:pPr>
          </w:p>
        </w:tc>
        <w:tc>
          <w:tcPr>
            <w:tcW w:w="1541" w:type="dxa"/>
            <w:vMerge/>
            <w:vAlign w:val="center"/>
          </w:tcPr>
          <w:p w:rsidR="002D1E45" w:rsidRPr="00983827" w:rsidRDefault="002D1E45" w:rsidP="000173C4">
            <w:pPr>
              <w:spacing w:after="0" w:line="240" w:lineRule="auto"/>
              <w:jc w:val="center"/>
              <w:rPr>
                <w:rFonts w:ascii="Times New Roman" w:hAnsi="Times New Roman"/>
                <w:sz w:val="14"/>
                <w:szCs w:val="14"/>
                <w:lang w:eastAsia="ru-RU"/>
              </w:rPr>
            </w:pPr>
          </w:p>
        </w:tc>
        <w:tc>
          <w:tcPr>
            <w:tcW w:w="2413" w:type="dxa"/>
            <w:vMerge/>
            <w:vAlign w:val="center"/>
          </w:tcPr>
          <w:p w:rsidR="002D1E45" w:rsidRPr="00983827" w:rsidRDefault="002D1E45" w:rsidP="000C1C1D">
            <w:pPr>
              <w:spacing w:after="0" w:line="240" w:lineRule="auto"/>
              <w:rPr>
                <w:rFonts w:ascii="Times New Roman" w:hAnsi="Times New Roman"/>
                <w:sz w:val="14"/>
                <w:szCs w:val="14"/>
                <w:lang w:eastAsia="ru-RU"/>
              </w:rPr>
            </w:pPr>
          </w:p>
        </w:tc>
        <w:tc>
          <w:tcPr>
            <w:tcW w:w="708" w:type="dxa"/>
            <w:vMerge/>
            <w:vAlign w:val="center"/>
          </w:tcPr>
          <w:p w:rsidR="002D1E45" w:rsidRPr="00983827" w:rsidRDefault="002D1E45" w:rsidP="000173C4">
            <w:pPr>
              <w:spacing w:after="0" w:line="240" w:lineRule="auto"/>
              <w:jc w:val="center"/>
              <w:rPr>
                <w:rFonts w:ascii="Times New Roman" w:hAnsi="Times New Roman"/>
                <w:sz w:val="14"/>
                <w:szCs w:val="14"/>
                <w:lang w:eastAsia="ru-RU"/>
              </w:rPr>
            </w:pPr>
          </w:p>
        </w:tc>
        <w:tc>
          <w:tcPr>
            <w:tcW w:w="585" w:type="dxa"/>
            <w:vMerge/>
            <w:vAlign w:val="center"/>
          </w:tcPr>
          <w:p w:rsidR="002D1E45" w:rsidRPr="00983827" w:rsidRDefault="002D1E45" w:rsidP="000173C4">
            <w:pPr>
              <w:spacing w:after="0" w:line="240" w:lineRule="auto"/>
              <w:jc w:val="center"/>
              <w:rPr>
                <w:rFonts w:ascii="Times New Roman" w:hAnsi="Times New Roman"/>
                <w:sz w:val="14"/>
                <w:szCs w:val="14"/>
                <w:lang w:eastAsia="ru-RU"/>
              </w:rPr>
            </w:pPr>
          </w:p>
        </w:tc>
        <w:tc>
          <w:tcPr>
            <w:tcW w:w="691" w:type="dxa"/>
            <w:vMerge/>
            <w:vAlign w:val="center"/>
          </w:tcPr>
          <w:p w:rsidR="002D1E45" w:rsidRPr="00983827" w:rsidRDefault="002D1E45" w:rsidP="000173C4">
            <w:pPr>
              <w:spacing w:after="0" w:line="240" w:lineRule="auto"/>
              <w:jc w:val="center"/>
              <w:rPr>
                <w:rFonts w:ascii="Times New Roman" w:hAnsi="Times New Roman"/>
                <w:sz w:val="14"/>
                <w:szCs w:val="14"/>
                <w:lang w:eastAsia="ru-RU"/>
              </w:rPr>
            </w:pPr>
          </w:p>
        </w:tc>
        <w:tc>
          <w:tcPr>
            <w:tcW w:w="851" w:type="dxa"/>
            <w:vMerge/>
            <w:vAlign w:val="center"/>
          </w:tcPr>
          <w:p w:rsidR="002D1E45" w:rsidRPr="00983827" w:rsidRDefault="002D1E45" w:rsidP="000173C4">
            <w:pPr>
              <w:spacing w:after="0" w:line="240" w:lineRule="auto"/>
              <w:jc w:val="center"/>
              <w:rPr>
                <w:rFonts w:ascii="Times New Roman" w:hAnsi="Times New Roman"/>
                <w:sz w:val="14"/>
                <w:szCs w:val="14"/>
                <w:lang w:eastAsia="ru-RU"/>
              </w:rPr>
            </w:pPr>
          </w:p>
        </w:tc>
        <w:tc>
          <w:tcPr>
            <w:tcW w:w="708" w:type="dxa"/>
            <w:vMerge/>
            <w:vAlign w:val="center"/>
          </w:tcPr>
          <w:p w:rsidR="002D1E45" w:rsidRPr="00983827" w:rsidRDefault="002D1E45" w:rsidP="000173C4">
            <w:pPr>
              <w:spacing w:after="0" w:line="240" w:lineRule="auto"/>
              <w:jc w:val="center"/>
              <w:rPr>
                <w:rFonts w:ascii="Times New Roman" w:hAnsi="Times New Roman"/>
                <w:sz w:val="14"/>
                <w:szCs w:val="14"/>
                <w:lang w:eastAsia="ru-RU"/>
              </w:rPr>
            </w:pPr>
          </w:p>
        </w:tc>
        <w:tc>
          <w:tcPr>
            <w:tcW w:w="1843" w:type="dxa"/>
            <w:gridSpan w:val="3"/>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Усовершенствованный</w:t>
            </w:r>
          </w:p>
        </w:tc>
        <w:tc>
          <w:tcPr>
            <w:tcW w:w="1559" w:type="dxa"/>
            <w:gridSpan w:val="2"/>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Переходный</w:t>
            </w:r>
          </w:p>
        </w:tc>
        <w:tc>
          <w:tcPr>
            <w:tcW w:w="851" w:type="dxa"/>
            <w:vMerge w:val="restart"/>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Грунтовые</w:t>
            </w:r>
          </w:p>
        </w:tc>
        <w:tc>
          <w:tcPr>
            <w:tcW w:w="425" w:type="dxa"/>
            <w:vMerge w:val="restart"/>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I</w:t>
            </w:r>
          </w:p>
        </w:tc>
        <w:tc>
          <w:tcPr>
            <w:tcW w:w="425" w:type="dxa"/>
            <w:vMerge w:val="restart"/>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II</w:t>
            </w:r>
          </w:p>
        </w:tc>
        <w:tc>
          <w:tcPr>
            <w:tcW w:w="851" w:type="dxa"/>
            <w:vMerge w:val="restart"/>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III</w:t>
            </w:r>
          </w:p>
        </w:tc>
        <w:tc>
          <w:tcPr>
            <w:tcW w:w="850" w:type="dxa"/>
            <w:vMerge w:val="restart"/>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IV</w:t>
            </w:r>
          </w:p>
        </w:tc>
        <w:tc>
          <w:tcPr>
            <w:tcW w:w="709" w:type="dxa"/>
            <w:vMerge w:val="restart"/>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V</w:t>
            </w:r>
          </w:p>
        </w:tc>
      </w:tr>
      <w:tr w:rsidR="002D1E45" w:rsidRPr="00983827" w:rsidTr="00983827">
        <w:trPr>
          <w:trHeight w:val="28"/>
        </w:trPr>
        <w:tc>
          <w:tcPr>
            <w:tcW w:w="436" w:type="dxa"/>
            <w:vMerge/>
            <w:vAlign w:val="center"/>
          </w:tcPr>
          <w:p w:rsidR="002D1E45" w:rsidRPr="00983827" w:rsidRDefault="002D1E45" w:rsidP="000173C4">
            <w:pPr>
              <w:spacing w:after="0" w:line="240" w:lineRule="auto"/>
              <w:jc w:val="center"/>
              <w:rPr>
                <w:rFonts w:ascii="Times New Roman" w:hAnsi="Times New Roman"/>
                <w:sz w:val="14"/>
                <w:szCs w:val="14"/>
                <w:lang w:eastAsia="ru-RU"/>
              </w:rPr>
            </w:pPr>
          </w:p>
        </w:tc>
        <w:tc>
          <w:tcPr>
            <w:tcW w:w="1541" w:type="dxa"/>
            <w:vMerge/>
            <w:vAlign w:val="center"/>
          </w:tcPr>
          <w:p w:rsidR="002D1E45" w:rsidRPr="00983827" w:rsidRDefault="002D1E45" w:rsidP="000173C4">
            <w:pPr>
              <w:spacing w:after="0" w:line="240" w:lineRule="auto"/>
              <w:jc w:val="center"/>
              <w:rPr>
                <w:rFonts w:ascii="Times New Roman" w:hAnsi="Times New Roman"/>
                <w:sz w:val="14"/>
                <w:szCs w:val="14"/>
                <w:lang w:eastAsia="ru-RU"/>
              </w:rPr>
            </w:pPr>
          </w:p>
        </w:tc>
        <w:tc>
          <w:tcPr>
            <w:tcW w:w="2413" w:type="dxa"/>
            <w:vMerge/>
            <w:vAlign w:val="center"/>
          </w:tcPr>
          <w:p w:rsidR="002D1E45" w:rsidRPr="00983827" w:rsidRDefault="002D1E45" w:rsidP="000C1C1D">
            <w:pPr>
              <w:spacing w:after="0" w:line="240" w:lineRule="auto"/>
              <w:rPr>
                <w:rFonts w:ascii="Times New Roman" w:hAnsi="Times New Roman"/>
                <w:sz w:val="14"/>
                <w:szCs w:val="14"/>
                <w:lang w:eastAsia="ru-RU"/>
              </w:rPr>
            </w:pPr>
          </w:p>
        </w:tc>
        <w:tc>
          <w:tcPr>
            <w:tcW w:w="708" w:type="dxa"/>
            <w:vMerge/>
            <w:vAlign w:val="center"/>
          </w:tcPr>
          <w:p w:rsidR="002D1E45" w:rsidRPr="00983827" w:rsidRDefault="002D1E45" w:rsidP="000173C4">
            <w:pPr>
              <w:spacing w:after="0" w:line="240" w:lineRule="auto"/>
              <w:jc w:val="center"/>
              <w:rPr>
                <w:rFonts w:ascii="Times New Roman" w:hAnsi="Times New Roman"/>
                <w:sz w:val="14"/>
                <w:szCs w:val="14"/>
                <w:lang w:eastAsia="ru-RU"/>
              </w:rPr>
            </w:pPr>
          </w:p>
        </w:tc>
        <w:tc>
          <w:tcPr>
            <w:tcW w:w="585" w:type="dxa"/>
            <w:vMerge/>
            <w:vAlign w:val="center"/>
          </w:tcPr>
          <w:p w:rsidR="002D1E45" w:rsidRPr="00983827" w:rsidRDefault="002D1E45" w:rsidP="000173C4">
            <w:pPr>
              <w:spacing w:after="0" w:line="240" w:lineRule="auto"/>
              <w:jc w:val="center"/>
              <w:rPr>
                <w:rFonts w:ascii="Times New Roman" w:hAnsi="Times New Roman"/>
                <w:sz w:val="14"/>
                <w:szCs w:val="14"/>
                <w:lang w:eastAsia="ru-RU"/>
              </w:rPr>
            </w:pPr>
          </w:p>
        </w:tc>
        <w:tc>
          <w:tcPr>
            <w:tcW w:w="691" w:type="dxa"/>
            <w:vMerge/>
            <w:vAlign w:val="center"/>
          </w:tcPr>
          <w:p w:rsidR="002D1E45" w:rsidRPr="00983827" w:rsidRDefault="002D1E45" w:rsidP="000173C4">
            <w:pPr>
              <w:spacing w:after="0" w:line="240" w:lineRule="auto"/>
              <w:jc w:val="center"/>
              <w:rPr>
                <w:rFonts w:ascii="Times New Roman" w:hAnsi="Times New Roman"/>
                <w:sz w:val="14"/>
                <w:szCs w:val="14"/>
                <w:lang w:eastAsia="ru-RU"/>
              </w:rPr>
            </w:pPr>
          </w:p>
        </w:tc>
        <w:tc>
          <w:tcPr>
            <w:tcW w:w="851" w:type="dxa"/>
            <w:vMerge/>
            <w:vAlign w:val="center"/>
          </w:tcPr>
          <w:p w:rsidR="002D1E45" w:rsidRPr="00983827" w:rsidRDefault="002D1E45" w:rsidP="000173C4">
            <w:pPr>
              <w:spacing w:after="0" w:line="240" w:lineRule="auto"/>
              <w:jc w:val="center"/>
              <w:rPr>
                <w:rFonts w:ascii="Times New Roman" w:hAnsi="Times New Roman"/>
                <w:sz w:val="14"/>
                <w:szCs w:val="14"/>
                <w:lang w:eastAsia="ru-RU"/>
              </w:rPr>
            </w:pPr>
          </w:p>
        </w:tc>
        <w:tc>
          <w:tcPr>
            <w:tcW w:w="708" w:type="dxa"/>
            <w:vMerge/>
            <w:vAlign w:val="center"/>
          </w:tcPr>
          <w:p w:rsidR="002D1E45" w:rsidRPr="00983827" w:rsidRDefault="002D1E45" w:rsidP="000173C4">
            <w:pPr>
              <w:spacing w:after="0" w:line="240" w:lineRule="auto"/>
              <w:jc w:val="center"/>
              <w:rPr>
                <w:rFonts w:ascii="Times New Roman" w:hAnsi="Times New Roman"/>
                <w:sz w:val="14"/>
                <w:szCs w:val="14"/>
                <w:lang w:eastAsia="ru-RU"/>
              </w:rPr>
            </w:pPr>
          </w:p>
        </w:tc>
        <w:tc>
          <w:tcPr>
            <w:tcW w:w="426"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ц/б</w:t>
            </w:r>
          </w:p>
        </w:tc>
        <w:tc>
          <w:tcPr>
            <w:tcW w:w="708"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а/б</w:t>
            </w:r>
          </w:p>
        </w:tc>
        <w:tc>
          <w:tcPr>
            <w:tcW w:w="709"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ч/щ</w:t>
            </w:r>
          </w:p>
        </w:tc>
        <w:tc>
          <w:tcPr>
            <w:tcW w:w="851" w:type="dxa"/>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щебень, гравий</w:t>
            </w:r>
          </w:p>
        </w:tc>
        <w:tc>
          <w:tcPr>
            <w:tcW w:w="708" w:type="dxa"/>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грунтощебень</w:t>
            </w:r>
          </w:p>
        </w:tc>
        <w:tc>
          <w:tcPr>
            <w:tcW w:w="851" w:type="dxa"/>
            <w:vMerge/>
            <w:vAlign w:val="center"/>
          </w:tcPr>
          <w:p w:rsidR="002D1E45" w:rsidRPr="00983827" w:rsidRDefault="002D1E45" w:rsidP="000173C4">
            <w:pPr>
              <w:spacing w:after="0" w:line="240" w:lineRule="auto"/>
              <w:jc w:val="center"/>
              <w:rPr>
                <w:rFonts w:ascii="Times New Roman" w:hAnsi="Times New Roman"/>
                <w:sz w:val="14"/>
                <w:szCs w:val="14"/>
                <w:lang w:eastAsia="ru-RU"/>
              </w:rPr>
            </w:pPr>
          </w:p>
        </w:tc>
        <w:tc>
          <w:tcPr>
            <w:tcW w:w="425" w:type="dxa"/>
            <w:vMerge/>
            <w:noWrap/>
            <w:vAlign w:val="center"/>
          </w:tcPr>
          <w:p w:rsidR="002D1E45" w:rsidRPr="00983827" w:rsidRDefault="002D1E45" w:rsidP="000173C4">
            <w:pPr>
              <w:spacing w:after="0" w:line="240" w:lineRule="auto"/>
              <w:jc w:val="center"/>
              <w:rPr>
                <w:rFonts w:ascii="Times New Roman" w:hAnsi="Times New Roman"/>
                <w:sz w:val="14"/>
                <w:szCs w:val="14"/>
                <w:lang w:eastAsia="ru-RU"/>
              </w:rPr>
            </w:pPr>
          </w:p>
        </w:tc>
        <w:tc>
          <w:tcPr>
            <w:tcW w:w="425" w:type="dxa"/>
            <w:vMerge/>
            <w:noWrap/>
            <w:vAlign w:val="center"/>
          </w:tcPr>
          <w:p w:rsidR="002D1E45" w:rsidRPr="00983827" w:rsidRDefault="002D1E45" w:rsidP="000173C4">
            <w:pPr>
              <w:spacing w:after="0" w:line="240" w:lineRule="auto"/>
              <w:jc w:val="center"/>
              <w:rPr>
                <w:rFonts w:ascii="Times New Roman" w:hAnsi="Times New Roman"/>
                <w:sz w:val="14"/>
                <w:szCs w:val="14"/>
                <w:lang w:eastAsia="ru-RU"/>
              </w:rPr>
            </w:pPr>
          </w:p>
        </w:tc>
        <w:tc>
          <w:tcPr>
            <w:tcW w:w="851" w:type="dxa"/>
            <w:vMerge/>
            <w:noWrap/>
            <w:vAlign w:val="center"/>
          </w:tcPr>
          <w:p w:rsidR="002D1E45" w:rsidRPr="00983827" w:rsidRDefault="002D1E45" w:rsidP="000173C4">
            <w:pPr>
              <w:spacing w:after="0" w:line="240" w:lineRule="auto"/>
              <w:jc w:val="center"/>
              <w:rPr>
                <w:rFonts w:ascii="Times New Roman" w:hAnsi="Times New Roman"/>
                <w:sz w:val="14"/>
                <w:szCs w:val="14"/>
                <w:lang w:eastAsia="ru-RU"/>
              </w:rPr>
            </w:pPr>
          </w:p>
        </w:tc>
        <w:tc>
          <w:tcPr>
            <w:tcW w:w="850" w:type="dxa"/>
            <w:vMerge/>
            <w:noWrap/>
            <w:vAlign w:val="center"/>
          </w:tcPr>
          <w:p w:rsidR="002D1E45" w:rsidRPr="00983827" w:rsidRDefault="002D1E45" w:rsidP="000173C4">
            <w:pPr>
              <w:spacing w:after="0" w:line="240" w:lineRule="auto"/>
              <w:jc w:val="center"/>
              <w:rPr>
                <w:rFonts w:ascii="Times New Roman" w:hAnsi="Times New Roman"/>
                <w:sz w:val="14"/>
                <w:szCs w:val="14"/>
                <w:lang w:eastAsia="ru-RU"/>
              </w:rPr>
            </w:pPr>
          </w:p>
        </w:tc>
        <w:tc>
          <w:tcPr>
            <w:tcW w:w="709" w:type="dxa"/>
            <w:vMerge/>
            <w:noWrap/>
            <w:vAlign w:val="center"/>
          </w:tcPr>
          <w:p w:rsidR="002D1E45" w:rsidRPr="00983827" w:rsidRDefault="002D1E45" w:rsidP="000173C4">
            <w:pPr>
              <w:spacing w:after="0" w:line="240" w:lineRule="auto"/>
              <w:jc w:val="center"/>
              <w:rPr>
                <w:rFonts w:ascii="Times New Roman" w:hAnsi="Times New Roman"/>
                <w:sz w:val="14"/>
                <w:szCs w:val="14"/>
                <w:lang w:eastAsia="ru-RU"/>
              </w:rPr>
            </w:pPr>
          </w:p>
        </w:tc>
      </w:tr>
      <w:tr w:rsidR="002D1E45" w:rsidRPr="00983827" w:rsidTr="00983827">
        <w:trPr>
          <w:trHeight w:val="28"/>
        </w:trPr>
        <w:tc>
          <w:tcPr>
            <w:tcW w:w="15446" w:type="dxa"/>
            <w:gridSpan w:val="19"/>
            <w:noWrap/>
            <w:vAlign w:val="center"/>
          </w:tcPr>
          <w:p w:rsidR="002D1E45" w:rsidRPr="00983827" w:rsidRDefault="002D1E45" w:rsidP="00983827">
            <w:pPr>
              <w:spacing w:after="0" w:line="240" w:lineRule="auto"/>
              <w:jc w:val="center"/>
              <w:rPr>
                <w:rFonts w:ascii="Times New Roman" w:hAnsi="Times New Roman"/>
                <w:b/>
                <w:bCs/>
                <w:sz w:val="14"/>
                <w:szCs w:val="14"/>
                <w:lang w:eastAsia="ru-RU"/>
              </w:rPr>
            </w:pPr>
            <w:r w:rsidRPr="00983827">
              <w:rPr>
                <w:rFonts w:ascii="Times New Roman" w:hAnsi="Times New Roman"/>
                <w:b/>
                <w:bCs/>
                <w:sz w:val="14"/>
                <w:szCs w:val="14"/>
                <w:lang w:eastAsia="ru-RU"/>
              </w:rPr>
              <w:t>Автомобильные дороги регионального значения</w:t>
            </w:r>
          </w:p>
          <w:p w:rsidR="002D1E45" w:rsidRPr="00983827" w:rsidRDefault="002D1E45" w:rsidP="00983827">
            <w:pPr>
              <w:spacing w:after="0" w:line="240" w:lineRule="auto"/>
              <w:jc w:val="center"/>
              <w:rPr>
                <w:rFonts w:ascii="Times New Roman" w:hAnsi="Times New Roman"/>
                <w:b/>
                <w:bCs/>
                <w:sz w:val="14"/>
                <w:szCs w:val="14"/>
                <w:lang w:eastAsia="ru-RU"/>
              </w:rPr>
            </w:pPr>
          </w:p>
        </w:tc>
      </w:tr>
      <w:tr w:rsidR="002D1E45" w:rsidRPr="00983827" w:rsidTr="00983827">
        <w:trPr>
          <w:trHeight w:val="28"/>
        </w:trPr>
        <w:tc>
          <w:tcPr>
            <w:tcW w:w="436"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1</w:t>
            </w:r>
          </w:p>
        </w:tc>
        <w:tc>
          <w:tcPr>
            <w:tcW w:w="1541"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50 ОП РЗ 50К-04</w:t>
            </w:r>
          </w:p>
        </w:tc>
        <w:tc>
          <w:tcPr>
            <w:tcW w:w="2413" w:type="dxa"/>
            <w:noWrap/>
            <w:vAlign w:val="center"/>
          </w:tcPr>
          <w:p w:rsidR="002D1E45" w:rsidRPr="00983827" w:rsidRDefault="002D1E45" w:rsidP="000C1C1D">
            <w:pPr>
              <w:spacing w:after="0" w:line="240" w:lineRule="auto"/>
              <w:rPr>
                <w:rFonts w:ascii="Times New Roman" w:hAnsi="Times New Roman"/>
                <w:sz w:val="14"/>
                <w:szCs w:val="14"/>
                <w:lang w:eastAsia="ru-RU"/>
              </w:rPr>
            </w:pPr>
            <w:r w:rsidRPr="00983827">
              <w:rPr>
                <w:rFonts w:ascii="Times New Roman" w:hAnsi="Times New Roman"/>
                <w:sz w:val="14"/>
                <w:szCs w:val="14"/>
                <w:lang w:eastAsia="ru-RU"/>
              </w:rPr>
              <w:t>Куйбышев - Северное</w:t>
            </w:r>
          </w:p>
        </w:tc>
        <w:tc>
          <w:tcPr>
            <w:tcW w:w="708"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К-04</w:t>
            </w:r>
          </w:p>
        </w:tc>
        <w:tc>
          <w:tcPr>
            <w:tcW w:w="585"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3,672</w:t>
            </w:r>
          </w:p>
        </w:tc>
        <w:tc>
          <w:tcPr>
            <w:tcW w:w="691"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60,254</w:t>
            </w:r>
          </w:p>
        </w:tc>
        <w:tc>
          <w:tcPr>
            <w:tcW w:w="851"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56,582</w:t>
            </w:r>
          </w:p>
        </w:tc>
        <w:tc>
          <w:tcPr>
            <w:tcW w:w="708"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56,582</w:t>
            </w:r>
          </w:p>
        </w:tc>
        <w:tc>
          <w:tcPr>
            <w:tcW w:w="426"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r w:rsidRPr="00983827">
              <w:rPr>
                <w:rFonts w:ascii="Times New Roman" w:hAnsi="Times New Roman"/>
                <w:color w:val="FFFFFF"/>
                <w:sz w:val="14"/>
                <w:szCs w:val="14"/>
                <w:lang w:eastAsia="ru-RU"/>
              </w:rPr>
              <w:t>0,00</w:t>
            </w:r>
          </w:p>
        </w:tc>
        <w:tc>
          <w:tcPr>
            <w:tcW w:w="708"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56,582</w:t>
            </w:r>
          </w:p>
        </w:tc>
        <w:tc>
          <w:tcPr>
            <w:tcW w:w="709"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r w:rsidRPr="00983827">
              <w:rPr>
                <w:rFonts w:ascii="Times New Roman" w:hAnsi="Times New Roman"/>
                <w:color w:val="FFFFFF"/>
                <w:sz w:val="14"/>
                <w:szCs w:val="14"/>
                <w:lang w:eastAsia="ru-RU"/>
              </w:rPr>
              <w:t>0,00</w:t>
            </w:r>
          </w:p>
        </w:tc>
        <w:tc>
          <w:tcPr>
            <w:tcW w:w="851"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r w:rsidRPr="00983827">
              <w:rPr>
                <w:rFonts w:ascii="Times New Roman" w:hAnsi="Times New Roman"/>
                <w:color w:val="FFFFFF"/>
                <w:sz w:val="14"/>
                <w:szCs w:val="14"/>
                <w:lang w:eastAsia="ru-RU"/>
              </w:rPr>
              <w:t>0,00</w:t>
            </w:r>
          </w:p>
        </w:tc>
        <w:tc>
          <w:tcPr>
            <w:tcW w:w="708"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p>
        </w:tc>
        <w:tc>
          <w:tcPr>
            <w:tcW w:w="851"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r w:rsidRPr="00983827">
              <w:rPr>
                <w:rFonts w:ascii="Times New Roman" w:hAnsi="Times New Roman"/>
                <w:color w:val="FFFFFF"/>
                <w:sz w:val="14"/>
                <w:szCs w:val="14"/>
                <w:lang w:eastAsia="ru-RU"/>
              </w:rPr>
              <w:t>0,000</w:t>
            </w:r>
          </w:p>
        </w:tc>
        <w:tc>
          <w:tcPr>
            <w:tcW w:w="425"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r w:rsidRPr="00983827">
              <w:rPr>
                <w:rFonts w:ascii="Times New Roman" w:hAnsi="Times New Roman"/>
                <w:color w:val="FFFFFF"/>
                <w:sz w:val="14"/>
                <w:szCs w:val="14"/>
                <w:lang w:eastAsia="ru-RU"/>
              </w:rPr>
              <w:t>0,000</w:t>
            </w:r>
          </w:p>
        </w:tc>
        <w:tc>
          <w:tcPr>
            <w:tcW w:w="425"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r w:rsidRPr="00983827">
              <w:rPr>
                <w:rFonts w:ascii="Times New Roman" w:hAnsi="Times New Roman"/>
                <w:color w:val="FFFFFF"/>
                <w:sz w:val="14"/>
                <w:szCs w:val="14"/>
                <w:lang w:eastAsia="ru-RU"/>
              </w:rPr>
              <w:t>0,000</w:t>
            </w:r>
          </w:p>
        </w:tc>
        <w:tc>
          <w:tcPr>
            <w:tcW w:w="851"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56,582</w:t>
            </w:r>
          </w:p>
        </w:tc>
        <w:tc>
          <w:tcPr>
            <w:tcW w:w="850"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r w:rsidRPr="00983827">
              <w:rPr>
                <w:rFonts w:ascii="Times New Roman" w:hAnsi="Times New Roman"/>
                <w:color w:val="FFFFFF"/>
                <w:sz w:val="14"/>
                <w:szCs w:val="14"/>
                <w:lang w:eastAsia="ru-RU"/>
              </w:rPr>
              <w:t>0,000</w:t>
            </w:r>
          </w:p>
        </w:tc>
        <w:tc>
          <w:tcPr>
            <w:tcW w:w="709"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r w:rsidRPr="00983827">
              <w:rPr>
                <w:rFonts w:ascii="Times New Roman" w:hAnsi="Times New Roman"/>
                <w:color w:val="FFFFFF"/>
                <w:sz w:val="14"/>
                <w:szCs w:val="14"/>
                <w:lang w:eastAsia="ru-RU"/>
              </w:rPr>
              <w:t>0,000</w:t>
            </w:r>
          </w:p>
        </w:tc>
      </w:tr>
      <w:tr w:rsidR="002D1E45" w:rsidRPr="00983827" w:rsidTr="00983827">
        <w:trPr>
          <w:trHeight w:val="28"/>
        </w:trPr>
        <w:tc>
          <w:tcPr>
            <w:tcW w:w="436"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2</w:t>
            </w:r>
          </w:p>
        </w:tc>
        <w:tc>
          <w:tcPr>
            <w:tcW w:w="1541"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50 ОП РЗ 50К-22</w:t>
            </w:r>
          </w:p>
        </w:tc>
        <w:tc>
          <w:tcPr>
            <w:tcW w:w="2413" w:type="dxa"/>
            <w:vAlign w:val="center"/>
          </w:tcPr>
          <w:p w:rsidR="002D1E45" w:rsidRPr="00983827" w:rsidRDefault="002D1E45" w:rsidP="000C1C1D">
            <w:pPr>
              <w:spacing w:after="0" w:line="240" w:lineRule="auto"/>
              <w:rPr>
                <w:rFonts w:ascii="Times New Roman" w:hAnsi="Times New Roman"/>
                <w:sz w:val="14"/>
                <w:szCs w:val="14"/>
                <w:lang w:eastAsia="ru-RU"/>
              </w:rPr>
            </w:pPr>
            <w:r w:rsidRPr="00983827">
              <w:rPr>
                <w:rFonts w:ascii="Times New Roman" w:hAnsi="Times New Roman"/>
                <w:sz w:val="14"/>
                <w:szCs w:val="14"/>
                <w:lang w:eastAsia="ru-RU"/>
              </w:rPr>
              <w:t>Куйбышев - Венгерово - гр. Омской области</w:t>
            </w:r>
            <w:r>
              <w:rPr>
                <w:rFonts w:ascii="Times New Roman" w:hAnsi="Times New Roman"/>
                <w:sz w:val="14"/>
                <w:szCs w:val="14"/>
                <w:lang w:eastAsia="ru-RU"/>
              </w:rPr>
              <w:t xml:space="preserve"> </w:t>
            </w:r>
            <w:r w:rsidRPr="00983827">
              <w:rPr>
                <w:rFonts w:ascii="Times New Roman" w:hAnsi="Times New Roman"/>
                <w:sz w:val="14"/>
                <w:szCs w:val="14"/>
                <w:lang w:eastAsia="ru-RU"/>
              </w:rPr>
              <w:t>(старый Московский тракт)</w:t>
            </w:r>
          </w:p>
        </w:tc>
        <w:tc>
          <w:tcPr>
            <w:tcW w:w="708"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К-22</w:t>
            </w:r>
          </w:p>
        </w:tc>
        <w:tc>
          <w:tcPr>
            <w:tcW w:w="585"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0,000</w:t>
            </w:r>
          </w:p>
        </w:tc>
        <w:tc>
          <w:tcPr>
            <w:tcW w:w="691"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65,858</w:t>
            </w:r>
          </w:p>
        </w:tc>
        <w:tc>
          <w:tcPr>
            <w:tcW w:w="851"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65,858</w:t>
            </w:r>
          </w:p>
        </w:tc>
        <w:tc>
          <w:tcPr>
            <w:tcW w:w="708"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65,858</w:t>
            </w:r>
          </w:p>
        </w:tc>
        <w:tc>
          <w:tcPr>
            <w:tcW w:w="426"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r w:rsidRPr="00983827">
              <w:rPr>
                <w:rFonts w:ascii="Times New Roman" w:hAnsi="Times New Roman"/>
                <w:color w:val="FFFFFF"/>
                <w:sz w:val="14"/>
                <w:szCs w:val="14"/>
                <w:lang w:eastAsia="ru-RU"/>
              </w:rPr>
              <w:t>0,000</w:t>
            </w:r>
          </w:p>
        </w:tc>
        <w:tc>
          <w:tcPr>
            <w:tcW w:w="708"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6,103</w:t>
            </w:r>
          </w:p>
        </w:tc>
        <w:tc>
          <w:tcPr>
            <w:tcW w:w="709"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r w:rsidRPr="00983827">
              <w:rPr>
                <w:rFonts w:ascii="Times New Roman" w:hAnsi="Times New Roman"/>
                <w:color w:val="FFFFFF"/>
                <w:sz w:val="14"/>
                <w:szCs w:val="14"/>
                <w:lang w:eastAsia="ru-RU"/>
              </w:rPr>
              <w:t>0,000</w:t>
            </w:r>
          </w:p>
        </w:tc>
        <w:tc>
          <w:tcPr>
            <w:tcW w:w="851"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59,755</w:t>
            </w:r>
          </w:p>
        </w:tc>
        <w:tc>
          <w:tcPr>
            <w:tcW w:w="708"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p>
        </w:tc>
        <w:tc>
          <w:tcPr>
            <w:tcW w:w="851"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p>
        </w:tc>
        <w:tc>
          <w:tcPr>
            <w:tcW w:w="425"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r w:rsidRPr="00983827">
              <w:rPr>
                <w:rFonts w:ascii="Times New Roman" w:hAnsi="Times New Roman"/>
                <w:color w:val="FFFFFF"/>
                <w:sz w:val="14"/>
                <w:szCs w:val="14"/>
                <w:lang w:eastAsia="ru-RU"/>
              </w:rPr>
              <w:t>0,000</w:t>
            </w:r>
          </w:p>
        </w:tc>
        <w:tc>
          <w:tcPr>
            <w:tcW w:w="425"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r w:rsidRPr="00983827">
              <w:rPr>
                <w:rFonts w:ascii="Times New Roman" w:hAnsi="Times New Roman"/>
                <w:color w:val="FFFFFF"/>
                <w:sz w:val="14"/>
                <w:szCs w:val="14"/>
                <w:lang w:eastAsia="ru-RU"/>
              </w:rPr>
              <w:t>0,000</w:t>
            </w:r>
          </w:p>
        </w:tc>
        <w:tc>
          <w:tcPr>
            <w:tcW w:w="851"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65,858</w:t>
            </w:r>
          </w:p>
        </w:tc>
        <w:tc>
          <w:tcPr>
            <w:tcW w:w="850"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r w:rsidRPr="00983827">
              <w:rPr>
                <w:rFonts w:ascii="Times New Roman" w:hAnsi="Times New Roman"/>
                <w:color w:val="FFFFFF"/>
                <w:sz w:val="14"/>
                <w:szCs w:val="14"/>
                <w:lang w:eastAsia="ru-RU"/>
              </w:rPr>
              <w:t>0,000</w:t>
            </w:r>
          </w:p>
        </w:tc>
        <w:tc>
          <w:tcPr>
            <w:tcW w:w="709"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r w:rsidRPr="00983827">
              <w:rPr>
                <w:rFonts w:ascii="Times New Roman" w:hAnsi="Times New Roman"/>
                <w:color w:val="FFFFFF"/>
                <w:sz w:val="14"/>
                <w:szCs w:val="14"/>
                <w:lang w:eastAsia="ru-RU"/>
              </w:rPr>
              <w:t>0,000</w:t>
            </w:r>
          </w:p>
        </w:tc>
      </w:tr>
      <w:tr w:rsidR="002D1E45" w:rsidRPr="00983827" w:rsidTr="00983827">
        <w:trPr>
          <w:trHeight w:val="28"/>
        </w:trPr>
        <w:tc>
          <w:tcPr>
            <w:tcW w:w="436"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3</w:t>
            </w:r>
          </w:p>
        </w:tc>
        <w:tc>
          <w:tcPr>
            <w:tcW w:w="1541"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50 ОП РЗ 50К-23</w:t>
            </w:r>
          </w:p>
        </w:tc>
        <w:tc>
          <w:tcPr>
            <w:tcW w:w="2413" w:type="dxa"/>
            <w:noWrap/>
            <w:vAlign w:val="center"/>
          </w:tcPr>
          <w:p w:rsidR="002D1E45" w:rsidRPr="00983827" w:rsidRDefault="002D1E45" w:rsidP="000C1C1D">
            <w:pPr>
              <w:spacing w:after="0" w:line="240" w:lineRule="auto"/>
              <w:rPr>
                <w:rFonts w:ascii="Times New Roman" w:hAnsi="Times New Roman"/>
                <w:sz w:val="14"/>
                <w:szCs w:val="14"/>
                <w:lang w:eastAsia="ru-RU"/>
              </w:rPr>
            </w:pPr>
            <w:r w:rsidRPr="00983827">
              <w:rPr>
                <w:rFonts w:ascii="Times New Roman" w:hAnsi="Times New Roman"/>
                <w:sz w:val="14"/>
                <w:szCs w:val="14"/>
                <w:lang w:eastAsia="ru-RU"/>
              </w:rPr>
              <w:t>Барабинск - Куйбышев</w:t>
            </w:r>
          </w:p>
        </w:tc>
        <w:tc>
          <w:tcPr>
            <w:tcW w:w="708"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К-23</w:t>
            </w:r>
          </w:p>
        </w:tc>
        <w:tc>
          <w:tcPr>
            <w:tcW w:w="585"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9,853</w:t>
            </w:r>
          </w:p>
        </w:tc>
        <w:tc>
          <w:tcPr>
            <w:tcW w:w="691"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10,114</w:t>
            </w:r>
          </w:p>
        </w:tc>
        <w:tc>
          <w:tcPr>
            <w:tcW w:w="851"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0,261</w:t>
            </w:r>
          </w:p>
        </w:tc>
        <w:tc>
          <w:tcPr>
            <w:tcW w:w="708"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0,261</w:t>
            </w:r>
          </w:p>
        </w:tc>
        <w:tc>
          <w:tcPr>
            <w:tcW w:w="426"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p>
        </w:tc>
        <w:tc>
          <w:tcPr>
            <w:tcW w:w="708"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0,261</w:t>
            </w:r>
          </w:p>
        </w:tc>
        <w:tc>
          <w:tcPr>
            <w:tcW w:w="709"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p>
        </w:tc>
        <w:tc>
          <w:tcPr>
            <w:tcW w:w="851"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p>
        </w:tc>
        <w:tc>
          <w:tcPr>
            <w:tcW w:w="708"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p>
        </w:tc>
        <w:tc>
          <w:tcPr>
            <w:tcW w:w="851"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p>
        </w:tc>
        <w:tc>
          <w:tcPr>
            <w:tcW w:w="425"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p>
        </w:tc>
        <w:tc>
          <w:tcPr>
            <w:tcW w:w="425"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p>
        </w:tc>
        <w:tc>
          <w:tcPr>
            <w:tcW w:w="851"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0,261</w:t>
            </w:r>
          </w:p>
        </w:tc>
        <w:tc>
          <w:tcPr>
            <w:tcW w:w="850"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p>
        </w:tc>
        <w:tc>
          <w:tcPr>
            <w:tcW w:w="709"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p>
        </w:tc>
      </w:tr>
      <w:tr w:rsidR="002D1E45" w:rsidRPr="00983827" w:rsidTr="00983827">
        <w:trPr>
          <w:trHeight w:val="28"/>
        </w:trPr>
        <w:tc>
          <w:tcPr>
            <w:tcW w:w="5098" w:type="dxa"/>
            <w:gridSpan w:val="4"/>
            <w:noWrap/>
            <w:vAlign w:val="center"/>
          </w:tcPr>
          <w:p w:rsidR="002D1E45" w:rsidRPr="00983827" w:rsidRDefault="002D1E45" w:rsidP="000C1C1D">
            <w:pPr>
              <w:spacing w:after="0" w:line="240" w:lineRule="auto"/>
              <w:rPr>
                <w:rFonts w:ascii="Times New Roman" w:hAnsi="Times New Roman"/>
                <w:b/>
                <w:bCs/>
                <w:sz w:val="14"/>
                <w:szCs w:val="14"/>
                <w:lang w:eastAsia="ru-RU"/>
              </w:rPr>
            </w:pPr>
            <w:r w:rsidRPr="00983827">
              <w:rPr>
                <w:rFonts w:ascii="Times New Roman" w:hAnsi="Times New Roman"/>
                <w:b/>
                <w:bCs/>
                <w:sz w:val="14"/>
                <w:szCs w:val="14"/>
                <w:lang w:eastAsia="ru-RU"/>
              </w:rPr>
              <w:t>Итого автомобильные дороги регионального значения:</w:t>
            </w:r>
          </w:p>
        </w:tc>
        <w:tc>
          <w:tcPr>
            <w:tcW w:w="585" w:type="dxa"/>
            <w:noWrap/>
            <w:vAlign w:val="center"/>
          </w:tcPr>
          <w:p w:rsidR="002D1E45" w:rsidRPr="00983827" w:rsidRDefault="002D1E45" w:rsidP="000173C4">
            <w:pPr>
              <w:spacing w:after="0" w:line="240" w:lineRule="auto"/>
              <w:jc w:val="center"/>
              <w:rPr>
                <w:rFonts w:ascii="Times New Roman" w:hAnsi="Times New Roman"/>
                <w:b/>
                <w:bCs/>
                <w:color w:val="FFFFFF"/>
                <w:sz w:val="14"/>
                <w:szCs w:val="14"/>
                <w:lang w:eastAsia="ru-RU"/>
              </w:rPr>
            </w:pPr>
          </w:p>
        </w:tc>
        <w:tc>
          <w:tcPr>
            <w:tcW w:w="691" w:type="dxa"/>
            <w:noWrap/>
            <w:vAlign w:val="center"/>
          </w:tcPr>
          <w:p w:rsidR="002D1E45" w:rsidRPr="00983827" w:rsidRDefault="002D1E45" w:rsidP="000173C4">
            <w:pPr>
              <w:spacing w:after="0" w:line="240" w:lineRule="auto"/>
              <w:jc w:val="center"/>
              <w:rPr>
                <w:rFonts w:ascii="Times New Roman" w:hAnsi="Times New Roman"/>
                <w:b/>
                <w:bCs/>
                <w:color w:val="FFFFFF"/>
                <w:sz w:val="14"/>
                <w:szCs w:val="14"/>
                <w:lang w:eastAsia="ru-RU"/>
              </w:rPr>
            </w:pPr>
          </w:p>
        </w:tc>
        <w:tc>
          <w:tcPr>
            <w:tcW w:w="851" w:type="dxa"/>
            <w:noWrap/>
            <w:vAlign w:val="center"/>
          </w:tcPr>
          <w:p w:rsidR="002D1E45" w:rsidRPr="00983827" w:rsidRDefault="002D1E45" w:rsidP="000173C4">
            <w:pPr>
              <w:spacing w:after="0" w:line="240" w:lineRule="auto"/>
              <w:jc w:val="center"/>
              <w:rPr>
                <w:rFonts w:ascii="Times New Roman" w:hAnsi="Times New Roman"/>
                <w:b/>
                <w:bCs/>
                <w:sz w:val="14"/>
                <w:szCs w:val="14"/>
                <w:lang w:eastAsia="ru-RU"/>
              </w:rPr>
            </w:pPr>
            <w:r w:rsidRPr="00983827">
              <w:rPr>
                <w:rFonts w:ascii="Times New Roman" w:hAnsi="Times New Roman"/>
                <w:b/>
                <w:bCs/>
                <w:sz w:val="14"/>
                <w:szCs w:val="14"/>
                <w:lang w:eastAsia="ru-RU"/>
              </w:rPr>
              <w:fldChar w:fldCharType="begin"/>
            </w:r>
            <w:r w:rsidRPr="00983827">
              <w:rPr>
                <w:rFonts w:ascii="Times New Roman" w:hAnsi="Times New Roman"/>
                <w:b/>
                <w:bCs/>
                <w:sz w:val="14"/>
                <w:szCs w:val="14"/>
                <w:lang w:eastAsia="ru-RU"/>
              </w:rPr>
              <w:instrText xml:space="preserve"> =SUM(ABOVE) </w:instrText>
            </w:r>
            <w:r w:rsidRPr="00983827">
              <w:rPr>
                <w:rFonts w:ascii="Times New Roman" w:hAnsi="Times New Roman"/>
                <w:b/>
                <w:bCs/>
                <w:sz w:val="14"/>
                <w:szCs w:val="14"/>
                <w:lang w:eastAsia="ru-RU"/>
              </w:rPr>
              <w:fldChar w:fldCharType="separate"/>
            </w:r>
            <w:r w:rsidRPr="00983827">
              <w:rPr>
                <w:rFonts w:ascii="Times New Roman" w:hAnsi="Times New Roman"/>
                <w:b/>
                <w:bCs/>
                <w:noProof/>
                <w:sz w:val="14"/>
                <w:szCs w:val="14"/>
                <w:lang w:eastAsia="ru-RU"/>
              </w:rPr>
              <w:t>122,701</w:t>
            </w:r>
            <w:r w:rsidRPr="00983827">
              <w:rPr>
                <w:rFonts w:ascii="Times New Roman" w:hAnsi="Times New Roman"/>
                <w:b/>
                <w:bCs/>
                <w:sz w:val="14"/>
                <w:szCs w:val="14"/>
                <w:lang w:eastAsia="ru-RU"/>
              </w:rPr>
              <w:fldChar w:fldCharType="end"/>
            </w:r>
          </w:p>
        </w:tc>
        <w:tc>
          <w:tcPr>
            <w:tcW w:w="708" w:type="dxa"/>
            <w:noWrap/>
            <w:vAlign w:val="center"/>
          </w:tcPr>
          <w:p w:rsidR="002D1E45" w:rsidRPr="00983827" w:rsidRDefault="002D1E45" w:rsidP="000173C4">
            <w:pPr>
              <w:spacing w:after="0" w:line="240" w:lineRule="auto"/>
              <w:jc w:val="center"/>
              <w:rPr>
                <w:rFonts w:ascii="Times New Roman" w:hAnsi="Times New Roman"/>
                <w:b/>
                <w:bCs/>
                <w:sz w:val="14"/>
                <w:szCs w:val="14"/>
                <w:lang w:eastAsia="ru-RU"/>
              </w:rPr>
            </w:pPr>
            <w:r w:rsidRPr="00983827">
              <w:rPr>
                <w:rFonts w:ascii="Times New Roman" w:hAnsi="Times New Roman"/>
                <w:b/>
                <w:bCs/>
                <w:sz w:val="14"/>
                <w:szCs w:val="14"/>
                <w:lang w:eastAsia="ru-RU"/>
              </w:rPr>
              <w:fldChar w:fldCharType="begin"/>
            </w:r>
            <w:r w:rsidRPr="00983827">
              <w:rPr>
                <w:rFonts w:ascii="Times New Roman" w:hAnsi="Times New Roman"/>
                <w:b/>
                <w:bCs/>
                <w:sz w:val="14"/>
                <w:szCs w:val="14"/>
                <w:lang w:eastAsia="ru-RU"/>
              </w:rPr>
              <w:instrText xml:space="preserve"> =SUM(ABOVE) </w:instrText>
            </w:r>
            <w:r w:rsidRPr="00983827">
              <w:rPr>
                <w:rFonts w:ascii="Times New Roman" w:hAnsi="Times New Roman"/>
                <w:b/>
                <w:bCs/>
                <w:sz w:val="14"/>
                <w:szCs w:val="14"/>
                <w:lang w:eastAsia="ru-RU"/>
              </w:rPr>
              <w:fldChar w:fldCharType="separate"/>
            </w:r>
            <w:r w:rsidRPr="00983827">
              <w:rPr>
                <w:rFonts w:ascii="Times New Roman" w:hAnsi="Times New Roman"/>
                <w:b/>
                <w:bCs/>
                <w:noProof/>
                <w:sz w:val="14"/>
                <w:szCs w:val="14"/>
                <w:lang w:eastAsia="ru-RU"/>
              </w:rPr>
              <w:t>122,701</w:t>
            </w:r>
            <w:r w:rsidRPr="00983827">
              <w:rPr>
                <w:rFonts w:ascii="Times New Roman" w:hAnsi="Times New Roman"/>
                <w:b/>
                <w:bCs/>
                <w:sz w:val="14"/>
                <w:szCs w:val="14"/>
                <w:lang w:eastAsia="ru-RU"/>
              </w:rPr>
              <w:fldChar w:fldCharType="end"/>
            </w:r>
          </w:p>
        </w:tc>
        <w:tc>
          <w:tcPr>
            <w:tcW w:w="426" w:type="dxa"/>
            <w:noWrap/>
            <w:vAlign w:val="center"/>
          </w:tcPr>
          <w:p w:rsidR="002D1E45" w:rsidRPr="00983827" w:rsidRDefault="002D1E45" w:rsidP="000173C4">
            <w:pPr>
              <w:spacing w:after="0" w:line="240" w:lineRule="auto"/>
              <w:jc w:val="center"/>
              <w:rPr>
                <w:rFonts w:ascii="Times New Roman" w:hAnsi="Times New Roman"/>
                <w:b/>
                <w:bCs/>
                <w:color w:val="FFFFFF"/>
                <w:sz w:val="14"/>
                <w:szCs w:val="14"/>
                <w:lang w:eastAsia="ru-RU"/>
              </w:rPr>
            </w:pPr>
          </w:p>
        </w:tc>
        <w:tc>
          <w:tcPr>
            <w:tcW w:w="708" w:type="dxa"/>
            <w:noWrap/>
            <w:vAlign w:val="center"/>
          </w:tcPr>
          <w:p w:rsidR="002D1E45" w:rsidRPr="00983827" w:rsidRDefault="002D1E45" w:rsidP="000173C4">
            <w:pPr>
              <w:spacing w:after="0" w:line="240" w:lineRule="auto"/>
              <w:jc w:val="center"/>
              <w:rPr>
                <w:rFonts w:ascii="Times New Roman" w:hAnsi="Times New Roman"/>
                <w:b/>
                <w:bCs/>
                <w:sz w:val="14"/>
                <w:szCs w:val="14"/>
                <w:lang w:eastAsia="ru-RU"/>
              </w:rPr>
            </w:pPr>
            <w:r w:rsidRPr="00983827">
              <w:rPr>
                <w:rFonts w:ascii="Times New Roman" w:hAnsi="Times New Roman"/>
                <w:b/>
                <w:bCs/>
                <w:sz w:val="14"/>
                <w:szCs w:val="14"/>
                <w:lang w:eastAsia="ru-RU"/>
              </w:rPr>
              <w:fldChar w:fldCharType="begin"/>
            </w:r>
            <w:r w:rsidRPr="00983827">
              <w:rPr>
                <w:rFonts w:ascii="Times New Roman" w:hAnsi="Times New Roman"/>
                <w:b/>
                <w:bCs/>
                <w:sz w:val="14"/>
                <w:szCs w:val="14"/>
                <w:lang w:eastAsia="ru-RU"/>
              </w:rPr>
              <w:instrText xml:space="preserve"> =SUM(ABOVE) </w:instrText>
            </w:r>
            <w:r w:rsidRPr="00983827">
              <w:rPr>
                <w:rFonts w:ascii="Times New Roman" w:hAnsi="Times New Roman"/>
                <w:b/>
                <w:bCs/>
                <w:sz w:val="14"/>
                <w:szCs w:val="14"/>
                <w:lang w:eastAsia="ru-RU"/>
              </w:rPr>
              <w:fldChar w:fldCharType="separate"/>
            </w:r>
            <w:r w:rsidRPr="00983827">
              <w:rPr>
                <w:rFonts w:ascii="Times New Roman" w:hAnsi="Times New Roman"/>
                <w:b/>
                <w:bCs/>
                <w:noProof/>
                <w:sz w:val="14"/>
                <w:szCs w:val="14"/>
                <w:lang w:eastAsia="ru-RU"/>
              </w:rPr>
              <w:t>62,946</w:t>
            </w:r>
            <w:r w:rsidRPr="00983827">
              <w:rPr>
                <w:rFonts w:ascii="Times New Roman" w:hAnsi="Times New Roman"/>
                <w:b/>
                <w:bCs/>
                <w:sz w:val="14"/>
                <w:szCs w:val="14"/>
                <w:lang w:eastAsia="ru-RU"/>
              </w:rPr>
              <w:fldChar w:fldCharType="end"/>
            </w:r>
          </w:p>
        </w:tc>
        <w:tc>
          <w:tcPr>
            <w:tcW w:w="709" w:type="dxa"/>
            <w:noWrap/>
            <w:vAlign w:val="center"/>
          </w:tcPr>
          <w:p w:rsidR="002D1E45" w:rsidRPr="00983827" w:rsidRDefault="002D1E45" w:rsidP="000173C4">
            <w:pPr>
              <w:spacing w:after="0" w:line="240" w:lineRule="auto"/>
              <w:jc w:val="center"/>
              <w:rPr>
                <w:rFonts w:ascii="Times New Roman" w:hAnsi="Times New Roman"/>
                <w:b/>
                <w:bCs/>
                <w:color w:val="FFFFFF"/>
                <w:sz w:val="14"/>
                <w:szCs w:val="14"/>
                <w:lang w:eastAsia="ru-RU"/>
              </w:rPr>
            </w:pPr>
          </w:p>
        </w:tc>
        <w:tc>
          <w:tcPr>
            <w:tcW w:w="851" w:type="dxa"/>
            <w:noWrap/>
            <w:vAlign w:val="center"/>
          </w:tcPr>
          <w:p w:rsidR="002D1E45" w:rsidRPr="00983827" w:rsidRDefault="002D1E45" w:rsidP="000173C4">
            <w:pPr>
              <w:spacing w:after="0" w:line="240" w:lineRule="auto"/>
              <w:jc w:val="center"/>
              <w:rPr>
                <w:rFonts w:ascii="Times New Roman" w:hAnsi="Times New Roman"/>
                <w:b/>
                <w:bCs/>
                <w:sz w:val="14"/>
                <w:szCs w:val="14"/>
                <w:lang w:eastAsia="ru-RU"/>
              </w:rPr>
            </w:pPr>
            <w:r w:rsidRPr="00983827">
              <w:rPr>
                <w:rFonts w:ascii="Times New Roman" w:hAnsi="Times New Roman"/>
                <w:b/>
                <w:bCs/>
                <w:sz w:val="14"/>
                <w:szCs w:val="14"/>
                <w:lang w:eastAsia="ru-RU"/>
              </w:rPr>
              <w:fldChar w:fldCharType="begin"/>
            </w:r>
            <w:r w:rsidRPr="00983827">
              <w:rPr>
                <w:rFonts w:ascii="Times New Roman" w:hAnsi="Times New Roman"/>
                <w:b/>
                <w:bCs/>
                <w:sz w:val="14"/>
                <w:szCs w:val="14"/>
                <w:lang w:eastAsia="ru-RU"/>
              </w:rPr>
              <w:instrText xml:space="preserve"> =SUM(ABOVE) </w:instrText>
            </w:r>
            <w:r w:rsidRPr="00983827">
              <w:rPr>
                <w:rFonts w:ascii="Times New Roman" w:hAnsi="Times New Roman"/>
                <w:b/>
                <w:bCs/>
                <w:sz w:val="14"/>
                <w:szCs w:val="14"/>
                <w:lang w:eastAsia="ru-RU"/>
              </w:rPr>
              <w:fldChar w:fldCharType="separate"/>
            </w:r>
            <w:r w:rsidRPr="00983827">
              <w:rPr>
                <w:rFonts w:ascii="Times New Roman" w:hAnsi="Times New Roman"/>
                <w:b/>
                <w:bCs/>
                <w:noProof/>
                <w:sz w:val="14"/>
                <w:szCs w:val="14"/>
                <w:lang w:eastAsia="ru-RU"/>
              </w:rPr>
              <w:t>59,755</w:t>
            </w:r>
            <w:r w:rsidRPr="00983827">
              <w:rPr>
                <w:rFonts w:ascii="Times New Roman" w:hAnsi="Times New Roman"/>
                <w:b/>
                <w:bCs/>
                <w:sz w:val="14"/>
                <w:szCs w:val="14"/>
                <w:lang w:eastAsia="ru-RU"/>
              </w:rPr>
              <w:fldChar w:fldCharType="end"/>
            </w:r>
          </w:p>
        </w:tc>
        <w:tc>
          <w:tcPr>
            <w:tcW w:w="708" w:type="dxa"/>
            <w:noWrap/>
            <w:vAlign w:val="center"/>
          </w:tcPr>
          <w:p w:rsidR="002D1E45" w:rsidRPr="00983827" w:rsidRDefault="002D1E45" w:rsidP="000173C4">
            <w:pPr>
              <w:spacing w:after="0" w:line="240" w:lineRule="auto"/>
              <w:jc w:val="center"/>
              <w:rPr>
                <w:rFonts w:ascii="Times New Roman" w:hAnsi="Times New Roman"/>
                <w:b/>
                <w:bCs/>
                <w:color w:val="FFFFFF"/>
                <w:sz w:val="14"/>
                <w:szCs w:val="14"/>
                <w:lang w:eastAsia="ru-RU"/>
              </w:rPr>
            </w:pPr>
          </w:p>
        </w:tc>
        <w:tc>
          <w:tcPr>
            <w:tcW w:w="851" w:type="dxa"/>
            <w:noWrap/>
            <w:vAlign w:val="center"/>
          </w:tcPr>
          <w:p w:rsidR="002D1E45" w:rsidRPr="00983827" w:rsidRDefault="002D1E45" w:rsidP="000173C4">
            <w:pPr>
              <w:spacing w:after="0" w:line="240" w:lineRule="auto"/>
              <w:jc w:val="center"/>
              <w:rPr>
                <w:rFonts w:ascii="Times New Roman" w:hAnsi="Times New Roman"/>
                <w:b/>
                <w:bCs/>
                <w:color w:val="FFFFFF"/>
                <w:sz w:val="14"/>
                <w:szCs w:val="14"/>
                <w:lang w:eastAsia="ru-RU"/>
              </w:rPr>
            </w:pPr>
          </w:p>
        </w:tc>
        <w:tc>
          <w:tcPr>
            <w:tcW w:w="425" w:type="dxa"/>
            <w:noWrap/>
            <w:vAlign w:val="center"/>
          </w:tcPr>
          <w:p w:rsidR="002D1E45" w:rsidRPr="00983827" w:rsidRDefault="002D1E45" w:rsidP="000173C4">
            <w:pPr>
              <w:spacing w:after="0" w:line="240" w:lineRule="auto"/>
              <w:jc w:val="center"/>
              <w:rPr>
                <w:rFonts w:ascii="Times New Roman" w:hAnsi="Times New Roman"/>
                <w:b/>
                <w:bCs/>
                <w:color w:val="FFFFFF"/>
                <w:sz w:val="14"/>
                <w:szCs w:val="14"/>
                <w:lang w:eastAsia="ru-RU"/>
              </w:rPr>
            </w:pPr>
          </w:p>
        </w:tc>
        <w:tc>
          <w:tcPr>
            <w:tcW w:w="425" w:type="dxa"/>
            <w:noWrap/>
            <w:vAlign w:val="center"/>
          </w:tcPr>
          <w:p w:rsidR="002D1E45" w:rsidRPr="00983827" w:rsidRDefault="002D1E45" w:rsidP="000173C4">
            <w:pPr>
              <w:spacing w:after="0" w:line="240" w:lineRule="auto"/>
              <w:jc w:val="center"/>
              <w:rPr>
                <w:rFonts w:ascii="Times New Roman" w:hAnsi="Times New Roman"/>
                <w:b/>
                <w:bCs/>
                <w:color w:val="FFFFFF"/>
                <w:sz w:val="14"/>
                <w:szCs w:val="14"/>
                <w:lang w:eastAsia="ru-RU"/>
              </w:rPr>
            </w:pPr>
          </w:p>
        </w:tc>
        <w:tc>
          <w:tcPr>
            <w:tcW w:w="851" w:type="dxa"/>
            <w:noWrap/>
            <w:vAlign w:val="center"/>
          </w:tcPr>
          <w:p w:rsidR="002D1E45" w:rsidRPr="00983827" w:rsidRDefault="002D1E45" w:rsidP="000173C4">
            <w:pPr>
              <w:spacing w:after="0" w:line="240" w:lineRule="auto"/>
              <w:jc w:val="center"/>
              <w:rPr>
                <w:rFonts w:ascii="Times New Roman" w:hAnsi="Times New Roman"/>
                <w:b/>
                <w:bCs/>
                <w:sz w:val="14"/>
                <w:szCs w:val="14"/>
                <w:lang w:eastAsia="ru-RU"/>
              </w:rPr>
            </w:pPr>
            <w:r w:rsidRPr="00983827">
              <w:rPr>
                <w:rFonts w:ascii="Times New Roman" w:hAnsi="Times New Roman"/>
                <w:b/>
                <w:bCs/>
                <w:sz w:val="14"/>
                <w:szCs w:val="14"/>
                <w:lang w:eastAsia="ru-RU"/>
              </w:rPr>
              <w:fldChar w:fldCharType="begin"/>
            </w:r>
            <w:r w:rsidRPr="00983827">
              <w:rPr>
                <w:rFonts w:ascii="Times New Roman" w:hAnsi="Times New Roman"/>
                <w:b/>
                <w:bCs/>
                <w:sz w:val="14"/>
                <w:szCs w:val="14"/>
                <w:lang w:eastAsia="ru-RU"/>
              </w:rPr>
              <w:instrText xml:space="preserve"> =SUM(ABOVE) </w:instrText>
            </w:r>
            <w:r w:rsidRPr="00983827">
              <w:rPr>
                <w:rFonts w:ascii="Times New Roman" w:hAnsi="Times New Roman"/>
                <w:b/>
                <w:bCs/>
                <w:sz w:val="14"/>
                <w:szCs w:val="14"/>
                <w:lang w:eastAsia="ru-RU"/>
              </w:rPr>
              <w:fldChar w:fldCharType="separate"/>
            </w:r>
            <w:r w:rsidRPr="00983827">
              <w:rPr>
                <w:rFonts w:ascii="Times New Roman" w:hAnsi="Times New Roman"/>
                <w:b/>
                <w:bCs/>
                <w:noProof/>
                <w:sz w:val="14"/>
                <w:szCs w:val="14"/>
                <w:lang w:eastAsia="ru-RU"/>
              </w:rPr>
              <w:t>122,701</w:t>
            </w:r>
            <w:r w:rsidRPr="00983827">
              <w:rPr>
                <w:rFonts w:ascii="Times New Roman" w:hAnsi="Times New Roman"/>
                <w:b/>
                <w:bCs/>
                <w:sz w:val="14"/>
                <w:szCs w:val="14"/>
                <w:lang w:eastAsia="ru-RU"/>
              </w:rPr>
              <w:fldChar w:fldCharType="end"/>
            </w:r>
          </w:p>
        </w:tc>
        <w:tc>
          <w:tcPr>
            <w:tcW w:w="850" w:type="dxa"/>
            <w:noWrap/>
            <w:vAlign w:val="center"/>
          </w:tcPr>
          <w:p w:rsidR="002D1E45" w:rsidRPr="00983827" w:rsidRDefault="002D1E45" w:rsidP="000173C4">
            <w:pPr>
              <w:spacing w:after="0" w:line="240" w:lineRule="auto"/>
              <w:jc w:val="center"/>
              <w:rPr>
                <w:rFonts w:ascii="Times New Roman" w:hAnsi="Times New Roman"/>
                <w:b/>
                <w:bCs/>
                <w:color w:val="FFFFFF"/>
                <w:sz w:val="14"/>
                <w:szCs w:val="14"/>
                <w:lang w:eastAsia="ru-RU"/>
              </w:rPr>
            </w:pPr>
            <w:r w:rsidRPr="00983827">
              <w:rPr>
                <w:rFonts w:ascii="Times New Roman" w:hAnsi="Times New Roman"/>
                <w:b/>
                <w:bCs/>
                <w:color w:val="FFFFFF"/>
                <w:sz w:val="14"/>
                <w:szCs w:val="14"/>
                <w:lang w:eastAsia="ru-RU"/>
              </w:rPr>
              <w:t>0,000</w:t>
            </w:r>
          </w:p>
        </w:tc>
        <w:tc>
          <w:tcPr>
            <w:tcW w:w="709" w:type="dxa"/>
            <w:noWrap/>
            <w:vAlign w:val="center"/>
          </w:tcPr>
          <w:p w:rsidR="002D1E45" w:rsidRPr="00983827" w:rsidRDefault="002D1E45" w:rsidP="000173C4">
            <w:pPr>
              <w:spacing w:after="0" w:line="240" w:lineRule="auto"/>
              <w:jc w:val="center"/>
              <w:rPr>
                <w:rFonts w:ascii="Times New Roman" w:hAnsi="Times New Roman"/>
                <w:b/>
                <w:bCs/>
                <w:color w:val="FFFFFF"/>
                <w:sz w:val="14"/>
                <w:szCs w:val="14"/>
                <w:lang w:eastAsia="ru-RU"/>
              </w:rPr>
            </w:pPr>
            <w:r w:rsidRPr="00983827">
              <w:rPr>
                <w:rFonts w:ascii="Times New Roman" w:hAnsi="Times New Roman"/>
                <w:b/>
                <w:bCs/>
                <w:color w:val="FFFFFF"/>
                <w:sz w:val="14"/>
                <w:szCs w:val="14"/>
                <w:lang w:eastAsia="ru-RU"/>
              </w:rPr>
              <w:t>0,000</w:t>
            </w:r>
          </w:p>
        </w:tc>
      </w:tr>
      <w:tr w:rsidR="002D1E45" w:rsidRPr="00983827" w:rsidTr="00983827">
        <w:trPr>
          <w:trHeight w:val="28"/>
        </w:trPr>
        <w:tc>
          <w:tcPr>
            <w:tcW w:w="15446" w:type="dxa"/>
            <w:gridSpan w:val="19"/>
            <w:noWrap/>
            <w:vAlign w:val="center"/>
          </w:tcPr>
          <w:p w:rsidR="002D1E45" w:rsidRPr="00983827" w:rsidRDefault="002D1E45" w:rsidP="000C1C1D">
            <w:pPr>
              <w:spacing w:after="0" w:line="240" w:lineRule="auto"/>
              <w:rPr>
                <w:rFonts w:ascii="Times New Roman" w:hAnsi="Times New Roman"/>
                <w:color w:val="FFFFFF"/>
                <w:sz w:val="14"/>
                <w:szCs w:val="14"/>
                <w:lang w:eastAsia="ru-RU"/>
              </w:rPr>
            </w:pPr>
            <w:r w:rsidRPr="00983827">
              <w:rPr>
                <w:rFonts w:ascii="Times New Roman" w:hAnsi="Times New Roman"/>
                <w:sz w:val="14"/>
                <w:szCs w:val="14"/>
                <w:lang w:eastAsia="ru-RU"/>
              </w:rPr>
              <w:t>Автомобильные дороги межмуниципального значения</w:t>
            </w:r>
          </w:p>
        </w:tc>
      </w:tr>
      <w:tr w:rsidR="002D1E45" w:rsidRPr="00983827" w:rsidTr="00983827">
        <w:trPr>
          <w:trHeight w:val="28"/>
        </w:trPr>
        <w:tc>
          <w:tcPr>
            <w:tcW w:w="436"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Pr>
                <w:rFonts w:ascii="Times New Roman" w:hAnsi="Times New Roman"/>
                <w:sz w:val="14"/>
                <w:szCs w:val="14"/>
                <w:lang w:eastAsia="ru-RU"/>
              </w:rPr>
              <w:t>4</w:t>
            </w:r>
          </w:p>
        </w:tc>
        <w:tc>
          <w:tcPr>
            <w:tcW w:w="1541"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50 ОП МЗ 50К-22п1</w:t>
            </w:r>
          </w:p>
        </w:tc>
        <w:tc>
          <w:tcPr>
            <w:tcW w:w="2413" w:type="dxa"/>
            <w:noWrap/>
            <w:vAlign w:val="center"/>
          </w:tcPr>
          <w:p w:rsidR="002D1E45" w:rsidRPr="00983827" w:rsidRDefault="002D1E45" w:rsidP="000C1C1D">
            <w:pPr>
              <w:spacing w:after="0" w:line="240" w:lineRule="auto"/>
              <w:rPr>
                <w:rFonts w:ascii="Times New Roman" w:hAnsi="Times New Roman"/>
                <w:sz w:val="14"/>
                <w:szCs w:val="14"/>
                <w:lang w:eastAsia="ru-RU"/>
              </w:rPr>
            </w:pPr>
            <w:r w:rsidRPr="00983827">
              <w:rPr>
                <w:rFonts w:ascii="Times New Roman" w:hAnsi="Times New Roman"/>
                <w:sz w:val="14"/>
                <w:szCs w:val="14"/>
                <w:lang w:eastAsia="ru-RU"/>
              </w:rPr>
              <w:t>Подъезд к г. Куйбышев /5 км/</w:t>
            </w:r>
          </w:p>
        </w:tc>
        <w:tc>
          <w:tcPr>
            <w:tcW w:w="708"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К-22п1</w:t>
            </w:r>
          </w:p>
        </w:tc>
        <w:tc>
          <w:tcPr>
            <w:tcW w:w="585"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0,000</w:t>
            </w:r>
          </w:p>
        </w:tc>
        <w:tc>
          <w:tcPr>
            <w:tcW w:w="691"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1,254</w:t>
            </w:r>
          </w:p>
        </w:tc>
        <w:tc>
          <w:tcPr>
            <w:tcW w:w="851"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1,254</w:t>
            </w:r>
          </w:p>
        </w:tc>
        <w:tc>
          <w:tcPr>
            <w:tcW w:w="708"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1,254</w:t>
            </w:r>
          </w:p>
        </w:tc>
        <w:tc>
          <w:tcPr>
            <w:tcW w:w="426"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p>
        </w:tc>
        <w:tc>
          <w:tcPr>
            <w:tcW w:w="708"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0,363</w:t>
            </w:r>
          </w:p>
        </w:tc>
        <w:tc>
          <w:tcPr>
            <w:tcW w:w="709"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r w:rsidRPr="00983827">
              <w:rPr>
                <w:rFonts w:ascii="Times New Roman" w:hAnsi="Times New Roman"/>
                <w:color w:val="FFFFFF"/>
                <w:sz w:val="14"/>
                <w:szCs w:val="14"/>
                <w:lang w:eastAsia="ru-RU"/>
              </w:rPr>
              <w:t>0,000</w:t>
            </w:r>
          </w:p>
        </w:tc>
        <w:tc>
          <w:tcPr>
            <w:tcW w:w="851"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0,891</w:t>
            </w:r>
          </w:p>
        </w:tc>
        <w:tc>
          <w:tcPr>
            <w:tcW w:w="708"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p>
        </w:tc>
        <w:tc>
          <w:tcPr>
            <w:tcW w:w="851"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r w:rsidRPr="00983827">
              <w:rPr>
                <w:rFonts w:ascii="Times New Roman" w:hAnsi="Times New Roman"/>
                <w:color w:val="FFFFFF"/>
                <w:sz w:val="14"/>
                <w:szCs w:val="14"/>
                <w:lang w:eastAsia="ru-RU"/>
              </w:rPr>
              <w:t>0,000</w:t>
            </w:r>
          </w:p>
        </w:tc>
        <w:tc>
          <w:tcPr>
            <w:tcW w:w="425"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p>
        </w:tc>
        <w:tc>
          <w:tcPr>
            <w:tcW w:w="425"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p>
        </w:tc>
        <w:tc>
          <w:tcPr>
            <w:tcW w:w="851"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r w:rsidRPr="00983827">
              <w:rPr>
                <w:rFonts w:ascii="Times New Roman" w:hAnsi="Times New Roman"/>
                <w:color w:val="FFFFFF"/>
                <w:sz w:val="14"/>
                <w:szCs w:val="14"/>
                <w:lang w:eastAsia="ru-RU"/>
              </w:rPr>
              <w:t>0,000</w:t>
            </w:r>
          </w:p>
        </w:tc>
        <w:tc>
          <w:tcPr>
            <w:tcW w:w="850"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1,254</w:t>
            </w:r>
          </w:p>
        </w:tc>
        <w:tc>
          <w:tcPr>
            <w:tcW w:w="709"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r w:rsidRPr="00983827">
              <w:rPr>
                <w:rFonts w:ascii="Times New Roman" w:hAnsi="Times New Roman"/>
                <w:color w:val="FFFFFF"/>
                <w:sz w:val="14"/>
                <w:szCs w:val="14"/>
                <w:lang w:eastAsia="ru-RU"/>
              </w:rPr>
              <w:t>0,000</w:t>
            </w:r>
          </w:p>
        </w:tc>
      </w:tr>
      <w:tr w:rsidR="002D1E45" w:rsidRPr="00983827" w:rsidTr="00983827">
        <w:trPr>
          <w:trHeight w:val="28"/>
        </w:trPr>
        <w:tc>
          <w:tcPr>
            <w:tcW w:w="436"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Pr>
                <w:rFonts w:ascii="Times New Roman" w:hAnsi="Times New Roman"/>
                <w:sz w:val="14"/>
                <w:szCs w:val="14"/>
                <w:lang w:eastAsia="ru-RU"/>
              </w:rPr>
              <w:t>5</w:t>
            </w:r>
          </w:p>
        </w:tc>
        <w:tc>
          <w:tcPr>
            <w:tcW w:w="1541"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50 ОП МЗ 50Н-1401</w:t>
            </w:r>
          </w:p>
        </w:tc>
        <w:tc>
          <w:tcPr>
            <w:tcW w:w="2413" w:type="dxa"/>
            <w:noWrap/>
            <w:vAlign w:val="center"/>
          </w:tcPr>
          <w:p w:rsidR="002D1E45" w:rsidRPr="00983827" w:rsidRDefault="002D1E45" w:rsidP="000C1C1D">
            <w:pPr>
              <w:spacing w:after="0" w:line="240" w:lineRule="auto"/>
              <w:rPr>
                <w:rFonts w:ascii="Times New Roman" w:hAnsi="Times New Roman"/>
                <w:sz w:val="14"/>
                <w:szCs w:val="14"/>
                <w:lang w:eastAsia="ru-RU"/>
              </w:rPr>
            </w:pPr>
            <w:r w:rsidRPr="00983827">
              <w:rPr>
                <w:rFonts w:ascii="Times New Roman" w:hAnsi="Times New Roman"/>
                <w:sz w:val="14"/>
                <w:szCs w:val="14"/>
                <w:lang w:eastAsia="ru-RU"/>
              </w:rPr>
              <w:t>Куйбышев - Абрамово</w:t>
            </w:r>
          </w:p>
        </w:tc>
        <w:tc>
          <w:tcPr>
            <w:tcW w:w="708"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Н-1401</w:t>
            </w:r>
          </w:p>
        </w:tc>
        <w:tc>
          <w:tcPr>
            <w:tcW w:w="585"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0,000</w:t>
            </w:r>
          </w:p>
        </w:tc>
        <w:tc>
          <w:tcPr>
            <w:tcW w:w="691"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3,808</w:t>
            </w:r>
          </w:p>
        </w:tc>
        <w:tc>
          <w:tcPr>
            <w:tcW w:w="851"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3,808</w:t>
            </w:r>
          </w:p>
        </w:tc>
        <w:tc>
          <w:tcPr>
            <w:tcW w:w="708"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3,808</w:t>
            </w:r>
          </w:p>
        </w:tc>
        <w:tc>
          <w:tcPr>
            <w:tcW w:w="426"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p>
        </w:tc>
        <w:tc>
          <w:tcPr>
            <w:tcW w:w="708"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3,341</w:t>
            </w:r>
          </w:p>
        </w:tc>
        <w:tc>
          <w:tcPr>
            <w:tcW w:w="709"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r w:rsidRPr="00983827">
              <w:rPr>
                <w:rFonts w:ascii="Times New Roman" w:hAnsi="Times New Roman"/>
                <w:color w:val="FFFFFF"/>
                <w:sz w:val="14"/>
                <w:szCs w:val="14"/>
                <w:lang w:eastAsia="ru-RU"/>
              </w:rPr>
              <w:t>0,000</w:t>
            </w:r>
          </w:p>
        </w:tc>
        <w:tc>
          <w:tcPr>
            <w:tcW w:w="851"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0,467</w:t>
            </w:r>
          </w:p>
        </w:tc>
        <w:tc>
          <w:tcPr>
            <w:tcW w:w="708"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p>
        </w:tc>
        <w:tc>
          <w:tcPr>
            <w:tcW w:w="851"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r w:rsidRPr="00983827">
              <w:rPr>
                <w:rFonts w:ascii="Times New Roman" w:hAnsi="Times New Roman"/>
                <w:color w:val="FFFFFF"/>
                <w:sz w:val="14"/>
                <w:szCs w:val="14"/>
                <w:lang w:eastAsia="ru-RU"/>
              </w:rPr>
              <w:t>0,000</w:t>
            </w:r>
          </w:p>
        </w:tc>
        <w:tc>
          <w:tcPr>
            <w:tcW w:w="425"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p>
        </w:tc>
        <w:tc>
          <w:tcPr>
            <w:tcW w:w="425"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p>
        </w:tc>
        <w:tc>
          <w:tcPr>
            <w:tcW w:w="851"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r w:rsidRPr="00983827">
              <w:rPr>
                <w:rFonts w:ascii="Times New Roman" w:hAnsi="Times New Roman"/>
                <w:color w:val="FFFFFF"/>
                <w:sz w:val="14"/>
                <w:szCs w:val="14"/>
                <w:lang w:eastAsia="ru-RU"/>
              </w:rPr>
              <w:t>0,000</w:t>
            </w:r>
          </w:p>
        </w:tc>
        <w:tc>
          <w:tcPr>
            <w:tcW w:w="850"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3,808</w:t>
            </w:r>
          </w:p>
        </w:tc>
        <w:tc>
          <w:tcPr>
            <w:tcW w:w="709"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r w:rsidRPr="00983827">
              <w:rPr>
                <w:rFonts w:ascii="Times New Roman" w:hAnsi="Times New Roman"/>
                <w:color w:val="FFFFFF"/>
                <w:sz w:val="14"/>
                <w:szCs w:val="14"/>
                <w:lang w:eastAsia="ru-RU"/>
              </w:rPr>
              <w:t>0,000</w:t>
            </w:r>
          </w:p>
        </w:tc>
      </w:tr>
      <w:tr w:rsidR="002D1E45" w:rsidRPr="00983827" w:rsidTr="00983827">
        <w:trPr>
          <w:trHeight w:val="28"/>
        </w:trPr>
        <w:tc>
          <w:tcPr>
            <w:tcW w:w="436"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Pr>
                <w:rFonts w:ascii="Times New Roman" w:hAnsi="Times New Roman"/>
                <w:sz w:val="14"/>
                <w:szCs w:val="14"/>
                <w:lang w:eastAsia="ru-RU"/>
              </w:rPr>
              <w:t>6</w:t>
            </w:r>
          </w:p>
        </w:tc>
        <w:tc>
          <w:tcPr>
            <w:tcW w:w="1541"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50 ОП МЗ 50Н-1402</w:t>
            </w:r>
          </w:p>
        </w:tc>
        <w:tc>
          <w:tcPr>
            <w:tcW w:w="2413" w:type="dxa"/>
            <w:noWrap/>
            <w:vAlign w:val="center"/>
          </w:tcPr>
          <w:p w:rsidR="002D1E45" w:rsidRPr="00983827" w:rsidRDefault="002D1E45" w:rsidP="000C1C1D">
            <w:pPr>
              <w:spacing w:after="0" w:line="240" w:lineRule="auto"/>
              <w:rPr>
                <w:rFonts w:ascii="Times New Roman" w:hAnsi="Times New Roman"/>
                <w:sz w:val="14"/>
                <w:szCs w:val="14"/>
                <w:lang w:eastAsia="ru-RU"/>
              </w:rPr>
            </w:pPr>
            <w:r w:rsidRPr="00983827">
              <w:rPr>
                <w:rFonts w:ascii="Times New Roman" w:hAnsi="Times New Roman"/>
                <w:sz w:val="14"/>
                <w:szCs w:val="14"/>
                <w:lang w:eastAsia="ru-RU"/>
              </w:rPr>
              <w:t>Куйбышев - Нагорное</w:t>
            </w:r>
          </w:p>
        </w:tc>
        <w:tc>
          <w:tcPr>
            <w:tcW w:w="708"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Н-1402</w:t>
            </w:r>
          </w:p>
        </w:tc>
        <w:tc>
          <w:tcPr>
            <w:tcW w:w="585"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3,300</w:t>
            </w:r>
          </w:p>
        </w:tc>
        <w:tc>
          <w:tcPr>
            <w:tcW w:w="691"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4,500</w:t>
            </w:r>
          </w:p>
        </w:tc>
        <w:tc>
          <w:tcPr>
            <w:tcW w:w="851"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1,200</w:t>
            </w:r>
          </w:p>
        </w:tc>
        <w:tc>
          <w:tcPr>
            <w:tcW w:w="708"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1,200</w:t>
            </w:r>
          </w:p>
        </w:tc>
        <w:tc>
          <w:tcPr>
            <w:tcW w:w="426"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p>
        </w:tc>
        <w:tc>
          <w:tcPr>
            <w:tcW w:w="708"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1,200</w:t>
            </w:r>
          </w:p>
        </w:tc>
        <w:tc>
          <w:tcPr>
            <w:tcW w:w="709"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r w:rsidRPr="00983827">
              <w:rPr>
                <w:rFonts w:ascii="Times New Roman" w:hAnsi="Times New Roman"/>
                <w:color w:val="FFFFFF"/>
                <w:sz w:val="14"/>
                <w:szCs w:val="14"/>
                <w:lang w:eastAsia="ru-RU"/>
              </w:rPr>
              <w:t>0,000</w:t>
            </w:r>
          </w:p>
        </w:tc>
        <w:tc>
          <w:tcPr>
            <w:tcW w:w="851"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r>
              <w:rPr>
                <w:rFonts w:ascii="Times New Roman" w:hAnsi="Times New Roman"/>
                <w:color w:val="FFFFFF"/>
                <w:sz w:val="14"/>
                <w:szCs w:val="14"/>
                <w:lang w:eastAsia="ru-RU"/>
              </w:rPr>
              <w:t>0</w:t>
            </w:r>
          </w:p>
        </w:tc>
        <w:tc>
          <w:tcPr>
            <w:tcW w:w="708"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p>
        </w:tc>
        <w:tc>
          <w:tcPr>
            <w:tcW w:w="851"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r w:rsidRPr="00983827">
              <w:rPr>
                <w:rFonts w:ascii="Times New Roman" w:hAnsi="Times New Roman"/>
                <w:color w:val="FFFFFF"/>
                <w:sz w:val="14"/>
                <w:szCs w:val="14"/>
                <w:lang w:eastAsia="ru-RU"/>
              </w:rPr>
              <w:t>0,000</w:t>
            </w:r>
          </w:p>
        </w:tc>
        <w:tc>
          <w:tcPr>
            <w:tcW w:w="425"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p>
        </w:tc>
        <w:tc>
          <w:tcPr>
            <w:tcW w:w="425"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p>
        </w:tc>
        <w:tc>
          <w:tcPr>
            <w:tcW w:w="851"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r w:rsidRPr="00983827">
              <w:rPr>
                <w:rFonts w:ascii="Times New Roman" w:hAnsi="Times New Roman"/>
                <w:color w:val="FFFFFF"/>
                <w:sz w:val="14"/>
                <w:szCs w:val="14"/>
                <w:lang w:eastAsia="ru-RU"/>
              </w:rPr>
              <w:t>0,000</w:t>
            </w:r>
          </w:p>
        </w:tc>
        <w:tc>
          <w:tcPr>
            <w:tcW w:w="850"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1,200</w:t>
            </w:r>
          </w:p>
        </w:tc>
        <w:tc>
          <w:tcPr>
            <w:tcW w:w="709"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r w:rsidRPr="00983827">
              <w:rPr>
                <w:rFonts w:ascii="Times New Roman" w:hAnsi="Times New Roman"/>
                <w:color w:val="FFFFFF"/>
                <w:sz w:val="14"/>
                <w:szCs w:val="14"/>
                <w:lang w:eastAsia="ru-RU"/>
              </w:rPr>
              <w:t>0,000</w:t>
            </w:r>
          </w:p>
        </w:tc>
      </w:tr>
      <w:tr w:rsidR="002D1E45" w:rsidRPr="00983827" w:rsidTr="00983827">
        <w:trPr>
          <w:trHeight w:val="28"/>
        </w:trPr>
        <w:tc>
          <w:tcPr>
            <w:tcW w:w="436"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Pr>
                <w:rFonts w:ascii="Times New Roman" w:hAnsi="Times New Roman"/>
                <w:sz w:val="14"/>
                <w:szCs w:val="14"/>
                <w:lang w:eastAsia="ru-RU"/>
              </w:rPr>
              <w:t>7</w:t>
            </w:r>
          </w:p>
        </w:tc>
        <w:tc>
          <w:tcPr>
            <w:tcW w:w="1541"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50 ОП МЗ 50Н-1408</w:t>
            </w:r>
          </w:p>
        </w:tc>
        <w:tc>
          <w:tcPr>
            <w:tcW w:w="2413" w:type="dxa"/>
            <w:noWrap/>
            <w:vAlign w:val="center"/>
          </w:tcPr>
          <w:p w:rsidR="002D1E45" w:rsidRPr="00983827" w:rsidRDefault="002D1E45" w:rsidP="000C1C1D">
            <w:pPr>
              <w:spacing w:after="0" w:line="240" w:lineRule="auto"/>
              <w:rPr>
                <w:rFonts w:ascii="Times New Roman" w:hAnsi="Times New Roman"/>
                <w:sz w:val="14"/>
                <w:szCs w:val="14"/>
                <w:lang w:eastAsia="ru-RU"/>
              </w:rPr>
            </w:pPr>
            <w:r w:rsidRPr="00983827">
              <w:rPr>
                <w:rFonts w:ascii="Times New Roman" w:hAnsi="Times New Roman"/>
                <w:sz w:val="14"/>
                <w:szCs w:val="14"/>
                <w:lang w:eastAsia="ru-RU"/>
              </w:rPr>
              <w:t>Куйбышев - Чумаково - Балман</w:t>
            </w:r>
          </w:p>
        </w:tc>
        <w:tc>
          <w:tcPr>
            <w:tcW w:w="708"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Н-1408</w:t>
            </w:r>
          </w:p>
        </w:tc>
        <w:tc>
          <w:tcPr>
            <w:tcW w:w="585"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3,400</w:t>
            </w:r>
          </w:p>
        </w:tc>
        <w:tc>
          <w:tcPr>
            <w:tcW w:w="691"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94,596</w:t>
            </w:r>
          </w:p>
        </w:tc>
        <w:tc>
          <w:tcPr>
            <w:tcW w:w="851"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91,196</w:t>
            </w:r>
          </w:p>
        </w:tc>
        <w:tc>
          <w:tcPr>
            <w:tcW w:w="708"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91,196</w:t>
            </w:r>
          </w:p>
        </w:tc>
        <w:tc>
          <w:tcPr>
            <w:tcW w:w="426"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p>
        </w:tc>
        <w:tc>
          <w:tcPr>
            <w:tcW w:w="708"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r>
              <w:rPr>
                <w:rFonts w:ascii="Times New Roman" w:hAnsi="Times New Roman"/>
                <w:color w:val="FFFFFF"/>
                <w:sz w:val="14"/>
                <w:szCs w:val="14"/>
                <w:lang w:eastAsia="ru-RU"/>
              </w:rPr>
              <w:t>0</w:t>
            </w:r>
          </w:p>
        </w:tc>
        <w:tc>
          <w:tcPr>
            <w:tcW w:w="709"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22,477</w:t>
            </w:r>
          </w:p>
        </w:tc>
        <w:tc>
          <w:tcPr>
            <w:tcW w:w="851"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68,719</w:t>
            </w:r>
          </w:p>
        </w:tc>
        <w:tc>
          <w:tcPr>
            <w:tcW w:w="708"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p>
        </w:tc>
        <w:tc>
          <w:tcPr>
            <w:tcW w:w="851"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r w:rsidRPr="00983827">
              <w:rPr>
                <w:rFonts w:ascii="Times New Roman" w:hAnsi="Times New Roman"/>
                <w:color w:val="FFFFFF"/>
                <w:sz w:val="14"/>
                <w:szCs w:val="14"/>
                <w:lang w:eastAsia="ru-RU"/>
              </w:rPr>
              <w:t>0,000</w:t>
            </w:r>
          </w:p>
        </w:tc>
        <w:tc>
          <w:tcPr>
            <w:tcW w:w="425"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p>
        </w:tc>
        <w:tc>
          <w:tcPr>
            <w:tcW w:w="425"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p>
        </w:tc>
        <w:tc>
          <w:tcPr>
            <w:tcW w:w="851"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r w:rsidRPr="00983827">
              <w:rPr>
                <w:rFonts w:ascii="Times New Roman" w:hAnsi="Times New Roman"/>
                <w:color w:val="FFFFFF"/>
                <w:sz w:val="14"/>
                <w:szCs w:val="14"/>
                <w:lang w:eastAsia="ru-RU"/>
              </w:rPr>
              <w:t>0,000</w:t>
            </w:r>
          </w:p>
        </w:tc>
        <w:tc>
          <w:tcPr>
            <w:tcW w:w="850"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91,196</w:t>
            </w:r>
          </w:p>
        </w:tc>
        <w:tc>
          <w:tcPr>
            <w:tcW w:w="709"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r w:rsidRPr="00983827">
              <w:rPr>
                <w:rFonts w:ascii="Times New Roman" w:hAnsi="Times New Roman"/>
                <w:color w:val="FFFFFF"/>
                <w:sz w:val="14"/>
                <w:szCs w:val="14"/>
                <w:lang w:eastAsia="ru-RU"/>
              </w:rPr>
              <w:t>0,000</w:t>
            </w:r>
          </w:p>
        </w:tc>
      </w:tr>
      <w:tr w:rsidR="002D1E45" w:rsidRPr="00983827" w:rsidTr="00983827">
        <w:trPr>
          <w:trHeight w:val="28"/>
        </w:trPr>
        <w:tc>
          <w:tcPr>
            <w:tcW w:w="436"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Pr>
                <w:rFonts w:ascii="Times New Roman" w:hAnsi="Times New Roman"/>
                <w:sz w:val="14"/>
                <w:szCs w:val="14"/>
                <w:lang w:eastAsia="ru-RU"/>
              </w:rPr>
              <w:t>8</w:t>
            </w:r>
          </w:p>
        </w:tc>
        <w:tc>
          <w:tcPr>
            <w:tcW w:w="1541"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50 ОП МЗ 50Н-1425</w:t>
            </w:r>
          </w:p>
        </w:tc>
        <w:tc>
          <w:tcPr>
            <w:tcW w:w="2413" w:type="dxa"/>
            <w:noWrap/>
            <w:vAlign w:val="center"/>
          </w:tcPr>
          <w:p w:rsidR="002D1E45" w:rsidRPr="00983827" w:rsidRDefault="002D1E45" w:rsidP="000C1C1D">
            <w:pPr>
              <w:spacing w:after="0" w:line="240" w:lineRule="auto"/>
              <w:rPr>
                <w:rFonts w:ascii="Times New Roman" w:hAnsi="Times New Roman"/>
                <w:sz w:val="14"/>
                <w:szCs w:val="14"/>
                <w:lang w:eastAsia="ru-RU"/>
              </w:rPr>
            </w:pPr>
            <w:r w:rsidRPr="00983827">
              <w:rPr>
                <w:rFonts w:ascii="Times New Roman" w:hAnsi="Times New Roman"/>
                <w:sz w:val="14"/>
                <w:szCs w:val="14"/>
                <w:lang w:eastAsia="ru-RU"/>
              </w:rPr>
              <w:t>Куйбышев - Кондусла - гр.Убинского района</w:t>
            </w:r>
          </w:p>
        </w:tc>
        <w:tc>
          <w:tcPr>
            <w:tcW w:w="708"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Н-1425</w:t>
            </w:r>
          </w:p>
        </w:tc>
        <w:tc>
          <w:tcPr>
            <w:tcW w:w="585"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0,000</w:t>
            </w:r>
          </w:p>
        </w:tc>
        <w:tc>
          <w:tcPr>
            <w:tcW w:w="691"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39,945</w:t>
            </w:r>
          </w:p>
        </w:tc>
        <w:tc>
          <w:tcPr>
            <w:tcW w:w="851"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39,945</w:t>
            </w:r>
          </w:p>
        </w:tc>
        <w:tc>
          <w:tcPr>
            <w:tcW w:w="708"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39,945</w:t>
            </w:r>
          </w:p>
        </w:tc>
        <w:tc>
          <w:tcPr>
            <w:tcW w:w="426"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p>
        </w:tc>
        <w:tc>
          <w:tcPr>
            <w:tcW w:w="708"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r>
              <w:rPr>
                <w:rFonts w:ascii="Times New Roman" w:hAnsi="Times New Roman"/>
                <w:color w:val="FFFFFF"/>
                <w:sz w:val="14"/>
                <w:szCs w:val="14"/>
                <w:lang w:eastAsia="ru-RU"/>
              </w:rPr>
              <w:t>0</w:t>
            </w:r>
          </w:p>
        </w:tc>
        <w:tc>
          <w:tcPr>
            <w:tcW w:w="709"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p>
        </w:tc>
        <w:tc>
          <w:tcPr>
            <w:tcW w:w="851"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39,945</w:t>
            </w:r>
          </w:p>
        </w:tc>
        <w:tc>
          <w:tcPr>
            <w:tcW w:w="708"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p>
        </w:tc>
        <w:tc>
          <w:tcPr>
            <w:tcW w:w="851"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p>
        </w:tc>
        <w:tc>
          <w:tcPr>
            <w:tcW w:w="425"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p>
        </w:tc>
        <w:tc>
          <w:tcPr>
            <w:tcW w:w="425"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p>
        </w:tc>
        <w:tc>
          <w:tcPr>
            <w:tcW w:w="851"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p>
        </w:tc>
        <w:tc>
          <w:tcPr>
            <w:tcW w:w="850"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39,945</w:t>
            </w:r>
          </w:p>
        </w:tc>
        <w:tc>
          <w:tcPr>
            <w:tcW w:w="709"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r w:rsidRPr="00983827">
              <w:rPr>
                <w:rFonts w:ascii="Times New Roman" w:hAnsi="Times New Roman"/>
                <w:color w:val="FFFFFF"/>
                <w:sz w:val="14"/>
                <w:szCs w:val="14"/>
                <w:lang w:eastAsia="ru-RU"/>
              </w:rPr>
              <w:t>0,000</w:t>
            </w:r>
          </w:p>
        </w:tc>
      </w:tr>
      <w:tr w:rsidR="002D1E45" w:rsidRPr="00983827" w:rsidTr="00983827">
        <w:trPr>
          <w:trHeight w:val="28"/>
        </w:trPr>
        <w:tc>
          <w:tcPr>
            <w:tcW w:w="436"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Pr>
                <w:rFonts w:ascii="Times New Roman" w:hAnsi="Times New Roman"/>
                <w:sz w:val="14"/>
                <w:szCs w:val="14"/>
                <w:lang w:eastAsia="ru-RU"/>
              </w:rPr>
              <w:t>9</w:t>
            </w:r>
          </w:p>
        </w:tc>
        <w:tc>
          <w:tcPr>
            <w:tcW w:w="1541"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50 ОП МЗ 50Н-1431</w:t>
            </w:r>
          </w:p>
        </w:tc>
        <w:tc>
          <w:tcPr>
            <w:tcW w:w="2413" w:type="dxa"/>
            <w:noWrap/>
            <w:vAlign w:val="center"/>
          </w:tcPr>
          <w:p w:rsidR="002D1E45" w:rsidRPr="00983827" w:rsidRDefault="002D1E45" w:rsidP="000C1C1D">
            <w:pPr>
              <w:spacing w:after="0" w:line="240" w:lineRule="auto"/>
              <w:rPr>
                <w:rFonts w:ascii="Times New Roman" w:hAnsi="Times New Roman"/>
                <w:sz w:val="14"/>
                <w:szCs w:val="14"/>
                <w:lang w:eastAsia="ru-RU"/>
              </w:rPr>
            </w:pPr>
            <w:r w:rsidRPr="00983827">
              <w:rPr>
                <w:rFonts w:ascii="Times New Roman" w:hAnsi="Times New Roman"/>
                <w:sz w:val="14"/>
                <w:szCs w:val="14"/>
                <w:lang w:eastAsia="ru-RU"/>
              </w:rPr>
              <w:t>Куйбышев - Малинино</w:t>
            </w:r>
          </w:p>
        </w:tc>
        <w:tc>
          <w:tcPr>
            <w:tcW w:w="708"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Н-1431</w:t>
            </w:r>
          </w:p>
        </w:tc>
        <w:tc>
          <w:tcPr>
            <w:tcW w:w="585"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0,000</w:t>
            </w:r>
          </w:p>
        </w:tc>
        <w:tc>
          <w:tcPr>
            <w:tcW w:w="691"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6,786</w:t>
            </w:r>
          </w:p>
        </w:tc>
        <w:tc>
          <w:tcPr>
            <w:tcW w:w="851"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6,786</w:t>
            </w:r>
          </w:p>
        </w:tc>
        <w:tc>
          <w:tcPr>
            <w:tcW w:w="708"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6,786</w:t>
            </w:r>
          </w:p>
        </w:tc>
        <w:tc>
          <w:tcPr>
            <w:tcW w:w="426"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p>
        </w:tc>
        <w:tc>
          <w:tcPr>
            <w:tcW w:w="708"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r>
              <w:rPr>
                <w:rFonts w:ascii="Times New Roman" w:hAnsi="Times New Roman"/>
                <w:color w:val="FFFFFF"/>
                <w:sz w:val="14"/>
                <w:szCs w:val="14"/>
                <w:lang w:eastAsia="ru-RU"/>
              </w:rPr>
              <w:t>0</w:t>
            </w:r>
          </w:p>
        </w:tc>
        <w:tc>
          <w:tcPr>
            <w:tcW w:w="709"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p>
        </w:tc>
        <w:tc>
          <w:tcPr>
            <w:tcW w:w="851"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6,786</w:t>
            </w:r>
          </w:p>
        </w:tc>
        <w:tc>
          <w:tcPr>
            <w:tcW w:w="708"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p>
        </w:tc>
        <w:tc>
          <w:tcPr>
            <w:tcW w:w="851"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r w:rsidRPr="00983827">
              <w:rPr>
                <w:rFonts w:ascii="Times New Roman" w:hAnsi="Times New Roman"/>
                <w:color w:val="FFFFFF"/>
                <w:sz w:val="14"/>
                <w:szCs w:val="14"/>
                <w:lang w:eastAsia="ru-RU"/>
              </w:rPr>
              <w:t>0,000</w:t>
            </w:r>
          </w:p>
        </w:tc>
        <w:tc>
          <w:tcPr>
            <w:tcW w:w="425"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p>
        </w:tc>
        <w:tc>
          <w:tcPr>
            <w:tcW w:w="425"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p>
        </w:tc>
        <w:tc>
          <w:tcPr>
            <w:tcW w:w="851"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p>
        </w:tc>
        <w:tc>
          <w:tcPr>
            <w:tcW w:w="850" w:type="dxa"/>
            <w:noWrap/>
            <w:vAlign w:val="center"/>
          </w:tcPr>
          <w:p w:rsidR="002D1E45" w:rsidRPr="00983827" w:rsidRDefault="002D1E45" w:rsidP="000173C4">
            <w:pPr>
              <w:spacing w:after="0" w:line="240" w:lineRule="auto"/>
              <w:jc w:val="center"/>
              <w:rPr>
                <w:rFonts w:ascii="Times New Roman" w:hAnsi="Times New Roman"/>
                <w:color w:val="FFFFFF"/>
                <w:sz w:val="14"/>
                <w:szCs w:val="14"/>
                <w:lang w:eastAsia="ru-RU"/>
              </w:rPr>
            </w:pPr>
            <w:r>
              <w:rPr>
                <w:rFonts w:ascii="Times New Roman" w:hAnsi="Times New Roman"/>
                <w:color w:val="FFFFFF"/>
                <w:sz w:val="14"/>
                <w:szCs w:val="14"/>
                <w:lang w:eastAsia="ru-RU"/>
              </w:rPr>
              <w:t>0</w:t>
            </w:r>
          </w:p>
        </w:tc>
        <w:tc>
          <w:tcPr>
            <w:tcW w:w="709" w:type="dxa"/>
            <w:noWrap/>
            <w:vAlign w:val="center"/>
          </w:tcPr>
          <w:p w:rsidR="002D1E45" w:rsidRPr="00983827" w:rsidRDefault="002D1E45" w:rsidP="000173C4">
            <w:pPr>
              <w:spacing w:after="0" w:line="240" w:lineRule="auto"/>
              <w:jc w:val="center"/>
              <w:rPr>
                <w:rFonts w:ascii="Times New Roman" w:hAnsi="Times New Roman"/>
                <w:sz w:val="14"/>
                <w:szCs w:val="14"/>
                <w:lang w:eastAsia="ru-RU"/>
              </w:rPr>
            </w:pPr>
            <w:r w:rsidRPr="00983827">
              <w:rPr>
                <w:rFonts w:ascii="Times New Roman" w:hAnsi="Times New Roman"/>
                <w:sz w:val="14"/>
                <w:szCs w:val="14"/>
                <w:lang w:eastAsia="ru-RU"/>
              </w:rPr>
              <w:t>6,786</w:t>
            </w:r>
          </w:p>
        </w:tc>
      </w:tr>
      <w:tr w:rsidR="002D1E45" w:rsidRPr="00983827" w:rsidTr="00983827">
        <w:trPr>
          <w:trHeight w:val="28"/>
        </w:trPr>
        <w:tc>
          <w:tcPr>
            <w:tcW w:w="5098" w:type="dxa"/>
            <w:gridSpan w:val="4"/>
            <w:noWrap/>
            <w:vAlign w:val="center"/>
          </w:tcPr>
          <w:p w:rsidR="002D1E45" w:rsidRPr="00983827" w:rsidRDefault="002D1E45" w:rsidP="00983827">
            <w:pPr>
              <w:spacing w:after="0" w:line="240" w:lineRule="auto"/>
              <w:rPr>
                <w:rFonts w:ascii="Times New Roman" w:hAnsi="Times New Roman"/>
                <w:b/>
                <w:bCs/>
                <w:sz w:val="14"/>
                <w:szCs w:val="14"/>
                <w:lang w:eastAsia="ru-RU"/>
              </w:rPr>
            </w:pPr>
            <w:r w:rsidRPr="00983827">
              <w:rPr>
                <w:rFonts w:ascii="Times New Roman" w:hAnsi="Times New Roman"/>
                <w:b/>
                <w:bCs/>
                <w:sz w:val="14"/>
                <w:szCs w:val="14"/>
                <w:lang w:eastAsia="ru-RU"/>
              </w:rPr>
              <w:t>Итого автомобильные дороги межмуниципального значения:</w:t>
            </w:r>
          </w:p>
        </w:tc>
        <w:tc>
          <w:tcPr>
            <w:tcW w:w="585" w:type="dxa"/>
            <w:noWrap/>
            <w:vAlign w:val="center"/>
          </w:tcPr>
          <w:p w:rsidR="002D1E45" w:rsidRPr="00983827" w:rsidRDefault="002D1E45" w:rsidP="00983827">
            <w:pPr>
              <w:spacing w:after="0" w:line="240" w:lineRule="auto"/>
              <w:jc w:val="center"/>
              <w:rPr>
                <w:rFonts w:ascii="Times New Roman" w:hAnsi="Times New Roman"/>
                <w:b/>
                <w:bCs/>
                <w:sz w:val="14"/>
                <w:szCs w:val="14"/>
                <w:lang w:eastAsia="ru-RU"/>
              </w:rPr>
            </w:pPr>
          </w:p>
        </w:tc>
        <w:tc>
          <w:tcPr>
            <w:tcW w:w="691" w:type="dxa"/>
            <w:noWrap/>
            <w:vAlign w:val="center"/>
          </w:tcPr>
          <w:p w:rsidR="002D1E45" w:rsidRPr="00983827" w:rsidRDefault="002D1E45" w:rsidP="00983827">
            <w:pPr>
              <w:spacing w:after="0" w:line="240" w:lineRule="auto"/>
              <w:jc w:val="center"/>
              <w:rPr>
                <w:rFonts w:ascii="Times New Roman" w:hAnsi="Times New Roman"/>
                <w:b/>
                <w:bCs/>
                <w:sz w:val="14"/>
                <w:szCs w:val="14"/>
                <w:lang w:eastAsia="ru-RU"/>
              </w:rPr>
            </w:pPr>
          </w:p>
        </w:tc>
        <w:tc>
          <w:tcPr>
            <w:tcW w:w="851" w:type="dxa"/>
            <w:noWrap/>
            <w:vAlign w:val="center"/>
          </w:tcPr>
          <w:p w:rsidR="002D1E45" w:rsidRPr="00983827" w:rsidRDefault="002D1E45" w:rsidP="00983827">
            <w:pPr>
              <w:spacing w:after="0" w:line="240" w:lineRule="auto"/>
              <w:jc w:val="center"/>
              <w:rPr>
                <w:rFonts w:ascii="Times New Roman" w:hAnsi="Times New Roman"/>
                <w:b/>
                <w:bCs/>
                <w:sz w:val="14"/>
                <w:szCs w:val="14"/>
                <w:lang w:eastAsia="ru-RU"/>
              </w:rPr>
            </w:pPr>
            <w:r>
              <w:rPr>
                <w:rFonts w:ascii="Times New Roman" w:hAnsi="Times New Roman"/>
                <w:b/>
                <w:bCs/>
                <w:sz w:val="14"/>
                <w:szCs w:val="14"/>
                <w:lang w:eastAsia="ru-RU"/>
              </w:rPr>
              <w:fldChar w:fldCharType="begin"/>
            </w:r>
            <w:r>
              <w:rPr>
                <w:rFonts w:ascii="Times New Roman" w:hAnsi="Times New Roman"/>
                <w:b/>
                <w:bCs/>
                <w:sz w:val="14"/>
                <w:szCs w:val="14"/>
                <w:lang w:eastAsia="ru-RU"/>
              </w:rPr>
              <w:instrText xml:space="preserve"> =SUM(ABOVE) </w:instrText>
            </w:r>
            <w:r>
              <w:rPr>
                <w:rFonts w:ascii="Times New Roman" w:hAnsi="Times New Roman"/>
                <w:b/>
                <w:bCs/>
                <w:sz w:val="14"/>
                <w:szCs w:val="14"/>
                <w:lang w:eastAsia="ru-RU"/>
              </w:rPr>
              <w:fldChar w:fldCharType="separate"/>
            </w:r>
            <w:r>
              <w:rPr>
                <w:rFonts w:ascii="Times New Roman" w:hAnsi="Times New Roman"/>
                <w:b/>
                <w:bCs/>
                <w:noProof/>
                <w:sz w:val="14"/>
                <w:szCs w:val="14"/>
                <w:lang w:eastAsia="ru-RU"/>
              </w:rPr>
              <w:t>144,189</w:t>
            </w:r>
            <w:r>
              <w:rPr>
                <w:rFonts w:ascii="Times New Roman" w:hAnsi="Times New Roman"/>
                <w:b/>
                <w:bCs/>
                <w:sz w:val="14"/>
                <w:szCs w:val="14"/>
                <w:lang w:eastAsia="ru-RU"/>
              </w:rPr>
              <w:fldChar w:fldCharType="end"/>
            </w:r>
          </w:p>
        </w:tc>
        <w:tc>
          <w:tcPr>
            <w:tcW w:w="708" w:type="dxa"/>
            <w:noWrap/>
            <w:vAlign w:val="center"/>
          </w:tcPr>
          <w:p w:rsidR="002D1E45" w:rsidRPr="00983827" w:rsidRDefault="002D1E45" w:rsidP="00983827">
            <w:pPr>
              <w:spacing w:after="0" w:line="240" w:lineRule="auto"/>
              <w:jc w:val="center"/>
              <w:rPr>
                <w:rFonts w:ascii="Times New Roman" w:hAnsi="Times New Roman"/>
                <w:b/>
                <w:bCs/>
                <w:sz w:val="14"/>
                <w:szCs w:val="14"/>
                <w:lang w:eastAsia="ru-RU"/>
              </w:rPr>
            </w:pPr>
            <w:r>
              <w:rPr>
                <w:rFonts w:ascii="Times New Roman" w:hAnsi="Times New Roman"/>
                <w:b/>
                <w:bCs/>
                <w:sz w:val="14"/>
                <w:szCs w:val="14"/>
                <w:lang w:eastAsia="ru-RU"/>
              </w:rPr>
              <w:fldChar w:fldCharType="begin"/>
            </w:r>
            <w:r>
              <w:rPr>
                <w:rFonts w:ascii="Times New Roman" w:hAnsi="Times New Roman"/>
                <w:b/>
                <w:bCs/>
                <w:sz w:val="14"/>
                <w:szCs w:val="14"/>
                <w:lang w:eastAsia="ru-RU"/>
              </w:rPr>
              <w:instrText xml:space="preserve"> =SUM(ABOVE) </w:instrText>
            </w:r>
            <w:r>
              <w:rPr>
                <w:rFonts w:ascii="Times New Roman" w:hAnsi="Times New Roman"/>
                <w:b/>
                <w:bCs/>
                <w:sz w:val="14"/>
                <w:szCs w:val="14"/>
                <w:lang w:eastAsia="ru-RU"/>
              </w:rPr>
              <w:fldChar w:fldCharType="separate"/>
            </w:r>
            <w:r>
              <w:rPr>
                <w:rFonts w:ascii="Times New Roman" w:hAnsi="Times New Roman"/>
                <w:b/>
                <w:bCs/>
                <w:noProof/>
                <w:sz w:val="14"/>
                <w:szCs w:val="14"/>
                <w:lang w:eastAsia="ru-RU"/>
              </w:rPr>
              <w:t>144,189</w:t>
            </w:r>
            <w:r>
              <w:rPr>
                <w:rFonts w:ascii="Times New Roman" w:hAnsi="Times New Roman"/>
                <w:b/>
                <w:bCs/>
                <w:sz w:val="14"/>
                <w:szCs w:val="14"/>
                <w:lang w:eastAsia="ru-RU"/>
              </w:rPr>
              <w:fldChar w:fldCharType="end"/>
            </w:r>
          </w:p>
        </w:tc>
        <w:tc>
          <w:tcPr>
            <w:tcW w:w="426" w:type="dxa"/>
            <w:noWrap/>
            <w:vAlign w:val="center"/>
          </w:tcPr>
          <w:p w:rsidR="002D1E45" w:rsidRPr="00983827" w:rsidRDefault="002D1E45" w:rsidP="00983827">
            <w:pPr>
              <w:spacing w:after="0" w:line="240" w:lineRule="auto"/>
              <w:jc w:val="center"/>
              <w:rPr>
                <w:rFonts w:ascii="Times New Roman" w:hAnsi="Times New Roman"/>
                <w:b/>
                <w:bCs/>
                <w:color w:val="FFFFFF"/>
                <w:sz w:val="14"/>
                <w:szCs w:val="14"/>
                <w:lang w:eastAsia="ru-RU"/>
              </w:rPr>
            </w:pPr>
          </w:p>
        </w:tc>
        <w:tc>
          <w:tcPr>
            <w:tcW w:w="708" w:type="dxa"/>
            <w:noWrap/>
            <w:vAlign w:val="center"/>
          </w:tcPr>
          <w:p w:rsidR="002D1E45" w:rsidRPr="00983827" w:rsidRDefault="002D1E45" w:rsidP="00983827">
            <w:pPr>
              <w:spacing w:after="0" w:line="240" w:lineRule="auto"/>
              <w:jc w:val="center"/>
              <w:rPr>
                <w:rFonts w:ascii="Times New Roman" w:hAnsi="Times New Roman"/>
                <w:b/>
                <w:bCs/>
                <w:sz w:val="14"/>
                <w:szCs w:val="14"/>
                <w:lang w:eastAsia="ru-RU"/>
              </w:rPr>
            </w:pPr>
            <w:r>
              <w:rPr>
                <w:rFonts w:ascii="Times New Roman" w:hAnsi="Times New Roman"/>
                <w:b/>
                <w:bCs/>
                <w:sz w:val="14"/>
                <w:szCs w:val="14"/>
                <w:lang w:eastAsia="ru-RU"/>
              </w:rPr>
              <w:fldChar w:fldCharType="begin"/>
            </w:r>
            <w:r>
              <w:rPr>
                <w:rFonts w:ascii="Times New Roman" w:hAnsi="Times New Roman"/>
                <w:b/>
                <w:bCs/>
                <w:sz w:val="14"/>
                <w:szCs w:val="14"/>
                <w:lang w:eastAsia="ru-RU"/>
              </w:rPr>
              <w:instrText xml:space="preserve"> =SUM(ABOVE) </w:instrText>
            </w:r>
            <w:r>
              <w:rPr>
                <w:rFonts w:ascii="Times New Roman" w:hAnsi="Times New Roman"/>
                <w:b/>
                <w:bCs/>
                <w:sz w:val="14"/>
                <w:szCs w:val="14"/>
                <w:lang w:eastAsia="ru-RU"/>
              </w:rPr>
              <w:fldChar w:fldCharType="separate"/>
            </w:r>
            <w:r>
              <w:rPr>
                <w:rFonts w:ascii="Times New Roman" w:hAnsi="Times New Roman"/>
                <w:b/>
                <w:bCs/>
                <w:noProof/>
                <w:sz w:val="14"/>
                <w:szCs w:val="14"/>
                <w:lang w:eastAsia="ru-RU"/>
              </w:rPr>
              <w:t>4,904</w:t>
            </w:r>
            <w:r>
              <w:rPr>
                <w:rFonts w:ascii="Times New Roman" w:hAnsi="Times New Roman"/>
                <w:b/>
                <w:bCs/>
                <w:sz w:val="14"/>
                <w:szCs w:val="14"/>
                <w:lang w:eastAsia="ru-RU"/>
              </w:rPr>
              <w:fldChar w:fldCharType="end"/>
            </w:r>
          </w:p>
        </w:tc>
        <w:tc>
          <w:tcPr>
            <w:tcW w:w="709" w:type="dxa"/>
            <w:noWrap/>
            <w:vAlign w:val="center"/>
          </w:tcPr>
          <w:p w:rsidR="002D1E45" w:rsidRPr="00983827" w:rsidRDefault="002D1E45" w:rsidP="00983827">
            <w:pPr>
              <w:spacing w:after="0" w:line="240" w:lineRule="auto"/>
              <w:jc w:val="center"/>
              <w:rPr>
                <w:rFonts w:ascii="Times New Roman" w:hAnsi="Times New Roman"/>
                <w:b/>
                <w:bCs/>
                <w:sz w:val="14"/>
                <w:szCs w:val="14"/>
                <w:lang w:eastAsia="ru-RU"/>
              </w:rPr>
            </w:pPr>
            <w:r w:rsidRPr="00983827">
              <w:rPr>
                <w:rFonts w:ascii="Times New Roman" w:hAnsi="Times New Roman"/>
                <w:b/>
                <w:bCs/>
                <w:sz w:val="14"/>
                <w:szCs w:val="14"/>
                <w:lang w:eastAsia="ru-RU"/>
              </w:rPr>
              <w:t>22,477</w:t>
            </w:r>
          </w:p>
        </w:tc>
        <w:tc>
          <w:tcPr>
            <w:tcW w:w="851" w:type="dxa"/>
            <w:noWrap/>
            <w:vAlign w:val="center"/>
          </w:tcPr>
          <w:p w:rsidR="002D1E45" w:rsidRPr="00983827" w:rsidRDefault="002D1E45" w:rsidP="00983827">
            <w:pPr>
              <w:spacing w:after="0" w:line="240" w:lineRule="auto"/>
              <w:jc w:val="center"/>
              <w:rPr>
                <w:rFonts w:ascii="Times New Roman" w:hAnsi="Times New Roman"/>
                <w:b/>
                <w:bCs/>
                <w:sz w:val="14"/>
                <w:szCs w:val="14"/>
                <w:lang w:eastAsia="ru-RU"/>
              </w:rPr>
            </w:pPr>
            <w:r>
              <w:rPr>
                <w:rFonts w:ascii="Times New Roman" w:hAnsi="Times New Roman"/>
                <w:b/>
                <w:bCs/>
                <w:sz w:val="14"/>
                <w:szCs w:val="14"/>
                <w:lang w:eastAsia="ru-RU"/>
              </w:rPr>
              <w:fldChar w:fldCharType="begin"/>
            </w:r>
            <w:r>
              <w:rPr>
                <w:rFonts w:ascii="Times New Roman" w:hAnsi="Times New Roman"/>
                <w:b/>
                <w:bCs/>
                <w:sz w:val="14"/>
                <w:szCs w:val="14"/>
                <w:lang w:eastAsia="ru-RU"/>
              </w:rPr>
              <w:instrText xml:space="preserve"> =SUM(ABOVE) </w:instrText>
            </w:r>
            <w:r>
              <w:rPr>
                <w:rFonts w:ascii="Times New Roman" w:hAnsi="Times New Roman"/>
                <w:b/>
                <w:bCs/>
                <w:sz w:val="14"/>
                <w:szCs w:val="14"/>
                <w:lang w:eastAsia="ru-RU"/>
              </w:rPr>
              <w:fldChar w:fldCharType="separate"/>
            </w:r>
            <w:r>
              <w:rPr>
                <w:rFonts w:ascii="Times New Roman" w:hAnsi="Times New Roman"/>
                <w:b/>
                <w:bCs/>
                <w:noProof/>
                <w:sz w:val="14"/>
                <w:szCs w:val="14"/>
                <w:lang w:eastAsia="ru-RU"/>
              </w:rPr>
              <w:t>116,808</w:t>
            </w:r>
            <w:r>
              <w:rPr>
                <w:rFonts w:ascii="Times New Roman" w:hAnsi="Times New Roman"/>
                <w:b/>
                <w:bCs/>
                <w:sz w:val="14"/>
                <w:szCs w:val="14"/>
                <w:lang w:eastAsia="ru-RU"/>
              </w:rPr>
              <w:fldChar w:fldCharType="end"/>
            </w:r>
          </w:p>
        </w:tc>
        <w:tc>
          <w:tcPr>
            <w:tcW w:w="708" w:type="dxa"/>
            <w:noWrap/>
            <w:vAlign w:val="center"/>
          </w:tcPr>
          <w:p w:rsidR="002D1E45" w:rsidRPr="00983827" w:rsidRDefault="002D1E45" w:rsidP="00983827">
            <w:pPr>
              <w:spacing w:after="0" w:line="240" w:lineRule="auto"/>
              <w:jc w:val="center"/>
              <w:rPr>
                <w:rFonts w:ascii="Times New Roman" w:hAnsi="Times New Roman"/>
                <w:b/>
                <w:bCs/>
                <w:sz w:val="14"/>
                <w:szCs w:val="14"/>
                <w:lang w:eastAsia="ru-RU"/>
              </w:rPr>
            </w:pPr>
          </w:p>
        </w:tc>
        <w:tc>
          <w:tcPr>
            <w:tcW w:w="851" w:type="dxa"/>
            <w:noWrap/>
            <w:vAlign w:val="center"/>
          </w:tcPr>
          <w:p w:rsidR="002D1E45" w:rsidRPr="00983827" w:rsidRDefault="002D1E45" w:rsidP="00983827">
            <w:pPr>
              <w:spacing w:after="0" w:line="240" w:lineRule="auto"/>
              <w:jc w:val="center"/>
              <w:rPr>
                <w:rFonts w:ascii="Times New Roman" w:hAnsi="Times New Roman"/>
                <w:b/>
                <w:bCs/>
                <w:sz w:val="14"/>
                <w:szCs w:val="14"/>
                <w:lang w:eastAsia="ru-RU"/>
              </w:rPr>
            </w:pPr>
          </w:p>
        </w:tc>
        <w:tc>
          <w:tcPr>
            <w:tcW w:w="425" w:type="dxa"/>
            <w:noWrap/>
            <w:vAlign w:val="center"/>
          </w:tcPr>
          <w:p w:rsidR="002D1E45" w:rsidRPr="00983827" w:rsidRDefault="002D1E45" w:rsidP="00983827">
            <w:pPr>
              <w:spacing w:after="0" w:line="240" w:lineRule="auto"/>
              <w:jc w:val="center"/>
              <w:rPr>
                <w:rFonts w:ascii="Times New Roman" w:hAnsi="Times New Roman"/>
                <w:b/>
                <w:bCs/>
                <w:color w:val="FFFFFF"/>
                <w:sz w:val="14"/>
                <w:szCs w:val="14"/>
                <w:lang w:eastAsia="ru-RU"/>
              </w:rPr>
            </w:pPr>
          </w:p>
        </w:tc>
        <w:tc>
          <w:tcPr>
            <w:tcW w:w="425" w:type="dxa"/>
            <w:noWrap/>
            <w:vAlign w:val="center"/>
          </w:tcPr>
          <w:p w:rsidR="002D1E45" w:rsidRPr="00983827" w:rsidRDefault="002D1E45" w:rsidP="00983827">
            <w:pPr>
              <w:spacing w:after="0" w:line="240" w:lineRule="auto"/>
              <w:jc w:val="center"/>
              <w:rPr>
                <w:rFonts w:ascii="Times New Roman" w:hAnsi="Times New Roman"/>
                <w:b/>
                <w:bCs/>
                <w:color w:val="FFFFFF"/>
                <w:sz w:val="14"/>
                <w:szCs w:val="14"/>
                <w:lang w:eastAsia="ru-RU"/>
              </w:rPr>
            </w:pPr>
          </w:p>
        </w:tc>
        <w:tc>
          <w:tcPr>
            <w:tcW w:w="851" w:type="dxa"/>
            <w:noWrap/>
            <w:vAlign w:val="center"/>
          </w:tcPr>
          <w:p w:rsidR="002D1E45" w:rsidRPr="00983827" w:rsidRDefault="002D1E45" w:rsidP="00983827">
            <w:pPr>
              <w:spacing w:after="0" w:line="240" w:lineRule="auto"/>
              <w:jc w:val="center"/>
              <w:rPr>
                <w:rFonts w:ascii="Times New Roman" w:hAnsi="Times New Roman"/>
                <w:b/>
                <w:bCs/>
                <w:color w:val="FFFFFF"/>
                <w:sz w:val="14"/>
                <w:szCs w:val="14"/>
                <w:lang w:eastAsia="ru-RU"/>
              </w:rPr>
            </w:pPr>
          </w:p>
        </w:tc>
        <w:tc>
          <w:tcPr>
            <w:tcW w:w="850" w:type="dxa"/>
            <w:noWrap/>
            <w:vAlign w:val="center"/>
          </w:tcPr>
          <w:p w:rsidR="002D1E45" w:rsidRPr="00983827" w:rsidRDefault="002D1E45" w:rsidP="00983827">
            <w:pPr>
              <w:spacing w:after="0" w:line="240" w:lineRule="auto"/>
              <w:jc w:val="center"/>
              <w:rPr>
                <w:rFonts w:ascii="Times New Roman" w:hAnsi="Times New Roman"/>
                <w:b/>
                <w:bCs/>
                <w:sz w:val="14"/>
                <w:szCs w:val="14"/>
                <w:lang w:eastAsia="ru-RU"/>
              </w:rPr>
            </w:pPr>
            <w:r>
              <w:rPr>
                <w:rFonts w:ascii="Times New Roman" w:hAnsi="Times New Roman"/>
                <w:b/>
                <w:bCs/>
                <w:sz w:val="14"/>
                <w:szCs w:val="14"/>
                <w:lang w:eastAsia="ru-RU"/>
              </w:rPr>
              <w:fldChar w:fldCharType="begin"/>
            </w:r>
            <w:r>
              <w:rPr>
                <w:rFonts w:ascii="Times New Roman" w:hAnsi="Times New Roman"/>
                <w:b/>
                <w:bCs/>
                <w:sz w:val="14"/>
                <w:szCs w:val="14"/>
                <w:lang w:eastAsia="ru-RU"/>
              </w:rPr>
              <w:instrText xml:space="preserve"> =SUM(ABOVE) </w:instrText>
            </w:r>
            <w:r>
              <w:rPr>
                <w:rFonts w:ascii="Times New Roman" w:hAnsi="Times New Roman"/>
                <w:b/>
                <w:bCs/>
                <w:sz w:val="14"/>
                <w:szCs w:val="14"/>
                <w:lang w:eastAsia="ru-RU"/>
              </w:rPr>
              <w:fldChar w:fldCharType="separate"/>
            </w:r>
            <w:r>
              <w:rPr>
                <w:rFonts w:ascii="Times New Roman" w:hAnsi="Times New Roman"/>
                <w:b/>
                <w:bCs/>
                <w:noProof/>
                <w:sz w:val="14"/>
                <w:szCs w:val="14"/>
                <w:lang w:eastAsia="ru-RU"/>
              </w:rPr>
              <w:t>137,403</w:t>
            </w:r>
            <w:r>
              <w:rPr>
                <w:rFonts w:ascii="Times New Roman" w:hAnsi="Times New Roman"/>
                <w:b/>
                <w:bCs/>
                <w:sz w:val="14"/>
                <w:szCs w:val="14"/>
                <w:lang w:eastAsia="ru-RU"/>
              </w:rPr>
              <w:fldChar w:fldCharType="end"/>
            </w:r>
          </w:p>
        </w:tc>
        <w:tc>
          <w:tcPr>
            <w:tcW w:w="709" w:type="dxa"/>
            <w:noWrap/>
            <w:vAlign w:val="center"/>
          </w:tcPr>
          <w:p w:rsidR="002D1E45" w:rsidRPr="00983827" w:rsidRDefault="002D1E45" w:rsidP="00983827">
            <w:pPr>
              <w:spacing w:after="0" w:line="240" w:lineRule="auto"/>
              <w:jc w:val="center"/>
              <w:rPr>
                <w:rFonts w:ascii="Times New Roman" w:hAnsi="Times New Roman"/>
                <w:b/>
                <w:bCs/>
                <w:sz w:val="14"/>
                <w:szCs w:val="14"/>
                <w:lang w:eastAsia="ru-RU"/>
              </w:rPr>
            </w:pPr>
            <w:r>
              <w:rPr>
                <w:rFonts w:ascii="Times New Roman" w:hAnsi="Times New Roman"/>
                <w:b/>
                <w:bCs/>
                <w:sz w:val="14"/>
                <w:szCs w:val="14"/>
                <w:lang w:eastAsia="ru-RU"/>
              </w:rPr>
              <w:fldChar w:fldCharType="begin"/>
            </w:r>
            <w:r>
              <w:rPr>
                <w:rFonts w:ascii="Times New Roman" w:hAnsi="Times New Roman"/>
                <w:b/>
                <w:bCs/>
                <w:sz w:val="14"/>
                <w:szCs w:val="14"/>
                <w:lang w:eastAsia="ru-RU"/>
              </w:rPr>
              <w:instrText xml:space="preserve"> =SUM(ABOVE) </w:instrText>
            </w:r>
            <w:r>
              <w:rPr>
                <w:rFonts w:ascii="Times New Roman" w:hAnsi="Times New Roman"/>
                <w:b/>
                <w:bCs/>
                <w:sz w:val="14"/>
                <w:szCs w:val="14"/>
                <w:lang w:eastAsia="ru-RU"/>
              </w:rPr>
              <w:fldChar w:fldCharType="separate"/>
            </w:r>
            <w:r>
              <w:rPr>
                <w:rFonts w:ascii="Times New Roman" w:hAnsi="Times New Roman"/>
                <w:b/>
                <w:bCs/>
                <w:noProof/>
                <w:sz w:val="14"/>
                <w:szCs w:val="14"/>
                <w:lang w:eastAsia="ru-RU"/>
              </w:rPr>
              <w:t>6,786</w:t>
            </w:r>
            <w:r>
              <w:rPr>
                <w:rFonts w:ascii="Times New Roman" w:hAnsi="Times New Roman"/>
                <w:b/>
                <w:bCs/>
                <w:sz w:val="14"/>
                <w:szCs w:val="14"/>
                <w:lang w:eastAsia="ru-RU"/>
              </w:rPr>
              <w:fldChar w:fldCharType="end"/>
            </w:r>
          </w:p>
        </w:tc>
      </w:tr>
      <w:tr w:rsidR="002D1E45" w:rsidRPr="00983827" w:rsidTr="00461628">
        <w:trPr>
          <w:trHeight w:val="28"/>
        </w:trPr>
        <w:tc>
          <w:tcPr>
            <w:tcW w:w="6374" w:type="dxa"/>
            <w:gridSpan w:val="6"/>
            <w:vAlign w:val="center"/>
          </w:tcPr>
          <w:p w:rsidR="002D1E45" w:rsidRPr="00983827" w:rsidRDefault="002D1E45" w:rsidP="00983827">
            <w:pPr>
              <w:spacing w:after="0" w:line="240" w:lineRule="auto"/>
              <w:rPr>
                <w:rFonts w:ascii="Times New Roman" w:hAnsi="Times New Roman"/>
                <w:sz w:val="14"/>
                <w:szCs w:val="14"/>
                <w:lang w:eastAsia="ru-RU"/>
              </w:rPr>
            </w:pPr>
          </w:p>
        </w:tc>
        <w:tc>
          <w:tcPr>
            <w:tcW w:w="851" w:type="dxa"/>
            <w:noWrap/>
          </w:tcPr>
          <w:p w:rsidR="002D1E45" w:rsidRPr="00983827" w:rsidRDefault="002D1E45" w:rsidP="00983827">
            <w:pPr>
              <w:spacing w:after="0" w:line="240" w:lineRule="auto"/>
              <w:jc w:val="center"/>
              <w:rPr>
                <w:rFonts w:ascii="Times New Roman" w:hAnsi="Times New Roman"/>
                <w:b/>
                <w:bCs/>
                <w:noProof/>
                <w:sz w:val="14"/>
                <w:szCs w:val="14"/>
                <w:lang w:eastAsia="ru-RU"/>
              </w:rPr>
            </w:pPr>
            <w:r w:rsidRPr="00983827">
              <w:rPr>
                <w:rFonts w:ascii="Times New Roman" w:hAnsi="Times New Roman"/>
                <w:b/>
                <w:bCs/>
                <w:noProof/>
                <w:sz w:val="14"/>
                <w:szCs w:val="14"/>
                <w:lang w:eastAsia="ru-RU"/>
              </w:rPr>
              <w:t>266,89</w:t>
            </w:r>
          </w:p>
        </w:tc>
        <w:tc>
          <w:tcPr>
            <w:tcW w:w="708" w:type="dxa"/>
            <w:noWrap/>
          </w:tcPr>
          <w:p w:rsidR="002D1E45" w:rsidRPr="00983827" w:rsidRDefault="002D1E45" w:rsidP="00983827">
            <w:pPr>
              <w:spacing w:after="0" w:line="240" w:lineRule="auto"/>
              <w:jc w:val="center"/>
              <w:rPr>
                <w:rFonts w:ascii="Times New Roman" w:hAnsi="Times New Roman"/>
                <w:b/>
                <w:bCs/>
                <w:noProof/>
                <w:sz w:val="14"/>
                <w:szCs w:val="14"/>
                <w:lang w:eastAsia="ru-RU"/>
              </w:rPr>
            </w:pPr>
            <w:r w:rsidRPr="00983827">
              <w:rPr>
                <w:rFonts w:ascii="Times New Roman" w:hAnsi="Times New Roman"/>
                <w:b/>
                <w:bCs/>
                <w:noProof/>
                <w:sz w:val="14"/>
                <w:szCs w:val="14"/>
                <w:lang w:eastAsia="ru-RU"/>
              </w:rPr>
              <w:t>266,89</w:t>
            </w:r>
          </w:p>
        </w:tc>
        <w:tc>
          <w:tcPr>
            <w:tcW w:w="426" w:type="dxa"/>
            <w:noWrap/>
          </w:tcPr>
          <w:p w:rsidR="002D1E45" w:rsidRPr="00983827" w:rsidRDefault="002D1E45" w:rsidP="00983827">
            <w:pPr>
              <w:spacing w:after="0" w:line="240" w:lineRule="auto"/>
              <w:jc w:val="center"/>
              <w:rPr>
                <w:rFonts w:ascii="Times New Roman" w:hAnsi="Times New Roman"/>
                <w:b/>
                <w:bCs/>
                <w:noProof/>
                <w:sz w:val="14"/>
                <w:szCs w:val="14"/>
                <w:lang w:eastAsia="ru-RU"/>
              </w:rPr>
            </w:pPr>
          </w:p>
        </w:tc>
        <w:tc>
          <w:tcPr>
            <w:tcW w:w="708" w:type="dxa"/>
            <w:noWrap/>
          </w:tcPr>
          <w:p w:rsidR="002D1E45" w:rsidRPr="00983827" w:rsidRDefault="002D1E45" w:rsidP="00983827">
            <w:pPr>
              <w:spacing w:after="0" w:line="240" w:lineRule="auto"/>
              <w:jc w:val="center"/>
              <w:rPr>
                <w:rFonts w:ascii="Times New Roman" w:hAnsi="Times New Roman"/>
                <w:b/>
                <w:bCs/>
                <w:noProof/>
                <w:sz w:val="14"/>
                <w:szCs w:val="14"/>
                <w:lang w:eastAsia="ru-RU"/>
              </w:rPr>
            </w:pPr>
            <w:r w:rsidRPr="00983827">
              <w:rPr>
                <w:rFonts w:ascii="Times New Roman" w:hAnsi="Times New Roman"/>
                <w:b/>
                <w:bCs/>
                <w:noProof/>
                <w:sz w:val="14"/>
                <w:szCs w:val="14"/>
                <w:lang w:eastAsia="ru-RU"/>
              </w:rPr>
              <w:t>67,85</w:t>
            </w:r>
          </w:p>
        </w:tc>
        <w:tc>
          <w:tcPr>
            <w:tcW w:w="709" w:type="dxa"/>
            <w:noWrap/>
          </w:tcPr>
          <w:p w:rsidR="002D1E45" w:rsidRPr="00983827" w:rsidRDefault="002D1E45" w:rsidP="00983827">
            <w:pPr>
              <w:spacing w:after="0" w:line="240" w:lineRule="auto"/>
              <w:jc w:val="center"/>
              <w:rPr>
                <w:rFonts w:ascii="Times New Roman" w:hAnsi="Times New Roman"/>
                <w:b/>
                <w:bCs/>
                <w:noProof/>
                <w:sz w:val="14"/>
                <w:szCs w:val="14"/>
                <w:lang w:eastAsia="ru-RU"/>
              </w:rPr>
            </w:pPr>
            <w:r w:rsidRPr="00983827">
              <w:rPr>
                <w:rFonts w:ascii="Times New Roman" w:hAnsi="Times New Roman"/>
                <w:b/>
                <w:bCs/>
                <w:noProof/>
                <w:sz w:val="14"/>
                <w:szCs w:val="14"/>
                <w:lang w:eastAsia="ru-RU"/>
              </w:rPr>
              <w:t>22,477</w:t>
            </w:r>
          </w:p>
        </w:tc>
        <w:tc>
          <w:tcPr>
            <w:tcW w:w="851" w:type="dxa"/>
            <w:noWrap/>
          </w:tcPr>
          <w:p w:rsidR="002D1E45" w:rsidRPr="00983827" w:rsidRDefault="002D1E45" w:rsidP="00983827">
            <w:pPr>
              <w:spacing w:after="0" w:line="240" w:lineRule="auto"/>
              <w:jc w:val="center"/>
              <w:rPr>
                <w:rFonts w:ascii="Times New Roman" w:hAnsi="Times New Roman"/>
                <w:b/>
                <w:bCs/>
                <w:noProof/>
                <w:sz w:val="14"/>
                <w:szCs w:val="14"/>
                <w:lang w:eastAsia="ru-RU"/>
              </w:rPr>
            </w:pPr>
            <w:r w:rsidRPr="00983827">
              <w:rPr>
                <w:rFonts w:ascii="Times New Roman" w:hAnsi="Times New Roman"/>
                <w:b/>
                <w:bCs/>
                <w:noProof/>
                <w:sz w:val="14"/>
                <w:szCs w:val="14"/>
                <w:lang w:eastAsia="ru-RU"/>
              </w:rPr>
              <w:t>176,563</w:t>
            </w:r>
          </w:p>
        </w:tc>
        <w:tc>
          <w:tcPr>
            <w:tcW w:w="708" w:type="dxa"/>
            <w:noWrap/>
          </w:tcPr>
          <w:p w:rsidR="002D1E45" w:rsidRPr="00983827" w:rsidRDefault="002D1E45" w:rsidP="00983827">
            <w:pPr>
              <w:spacing w:after="0" w:line="240" w:lineRule="auto"/>
              <w:jc w:val="center"/>
              <w:rPr>
                <w:rFonts w:ascii="Times New Roman" w:hAnsi="Times New Roman"/>
                <w:b/>
                <w:bCs/>
                <w:noProof/>
                <w:sz w:val="14"/>
                <w:szCs w:val="14"/>
                <w:lang w:eastAsia="ru-RU"/>
              </w:rPr>
            </w:pPr>
          </w:p>
        </w:tc>
        <w:tc>
          <w:tcPr>
            <w:tcW w:w="851" w:type="dxa"/>
            <w:noWrap/>
          </w:tcPr>
          <w:p w:rsidR="002D1E45" w:rsidRPr="00983827" w:rsidRDefault="002D1E45" w:rsidP="00983827">
            <w:pPr>
              <w:spacing w:after="0" w:line="240" w:lineRule="auto"/>
              <w:jc w:val="center"/>
              <w:rPr>
                <w:rFonts w:ascii="Times New Roman" w:hAnsi="Times New Roman"/>
                <w:b/>
                <w:bCs/>
                <w:noProof/>
                <w:sz w:val="14"/>
                <w:szCs w:val="14"/>
                <w:lang w:eastAsia="ru-RU"/>
              </w:rPr>
            </w:pPr>
          </w:p>
        </w:tc>
        <w:tc>
          <w:tcPr>
            <w:tcW w:w="425" w:type="dxa"/>
            <w:noWrap/>
          </w:tcPr>
          <w:p w:rsidR="002D1E45" w:rsidRPr="00983827" w:rsidRDefault="002D1E45" w:rsidP="00983827">
            <w:pPr>
              <w:spacing w:after="0" w:line="240" w:lineRule="auto"/>
              <w:jc w:val="center"/>
              <w:rPr>
                <w:rFonts w:ascii="Times New Roman" w:hAnsi="Times New Roman"/>
                <w:b/>
                <w:bCs/>
                <w:noProof/>
                <w:sz w:val="14"/>
                <w:szCs w:val="14"/>
                <w:lang w:eastAsia="ru-RU"/>
              </w:rPr>
            </w:pPr>
          </w:p>
        </w:tc>
        <w:tc>
          <w:tcPr>
            <w:tcW w:w="425" w:type="dxa"/>
            <w:noWrap/>
          </w:tcPr>
          <w:p w:rsidR="002D1E45" w:rsidRPr="00983827" w:rsidRDefault="002D1E45" w:rsidP="00983827">
            <w:pPr>
              <w:spacing w:after="0" w:line="240" w:lineRule="auto"/>
              <w:jc w:val="center"/>
              <w:rPr>
                <w:rFonts w:ascii="Times New Roman" w:hAnsi="Times New Roman"/>
                <w:b/>
                <w:bCs/>
                <w:noProof/>
                <w:sz w:val="14"/>
                <w:szCs w:val="14"/>
                <w:lang w:eastAsia="ru-RU"/>
              </w:rPr>
            </w:pPr>
          </w:p>
        </w:tc>
        <w:tc>
          <w:tcPr>
            <w:tcW w:w="851" w:type="dxa"/>
            <w:noWrap/>
          </w:tcPr>
          <w:p w:rsidR="002D1E45" w:rsidRPr="00983827" w:rsidRDefault="002D1E45" w:rsidP="00983827">
            <w:pPr>
              <w:spacing w:after="0" w:line="240" w:lineRule="auto"/>
              <w:jc w:val="center"/>
              <w:rPr>
                <w:rFonts w:ascii="Times New Roman" w:hAnsi="Times New Roman"/>
                <w:b/>
                <w:bCs/>
                <w:noProof/>
                <w:sz w:val="14"/>
                <w:szCs w:val="14"/>
                <w:lang w:eastAsia="ru-RU"/>
              </w:rPr>
            </w:pPr>
            <w:r w:rsidRPr="00983827">
              <w:rPr>
                <w:rFonts w:ascii="Times New Roman" w:hAnsi="Times New Roman"/>
                <w:b/>
                <w:bCs/>
                <w:noProof/>
                <w:sz w:val="14"/>
                <w:szCs w:val="14"/>
                <w:lang w:eastAsia="ru-RU"/>
              </w:rPr>
              <w:t>122,701</w:t>
            </w:r>
          </w:p>
        </w:tc>
        <w:tc>
          <w:tcPr>
            <w:tcW w:w="850" w:type="dxa"/>
            <w:noWrap/>
          </w:tcPr>
          <w:p w:rsidR="002D1E45" w:rsidRPr="00983827" w:rsidRDefault="002D1E45" w:rsidP="00983827">
            <w:pPr>
              <w:spacing w:after="0" w:line="240" w:lineRule="auto"/>
              <w:jc w:val="center"/>
              <w:rPr>
                <w:rFonts w:ascii="Times New Roman" w:hAnsi="Times New Roman"/>
                <w:b/>
                <w:bCs/>
                <w:noProof/>
                <w:sz w:val="14"/>
                <w:szCs w:val="14"/>
                <w:lang w:eastAsia="ru-RU"/>
              </w:rPr>
            </w:pPr>
            <w:r w:rsidRPr="00983827">
              <w:rPr>
                <w:rFonts w:ascii="Times New Roman" w:hAnsi="Times New Roman"/>
                <w:b/>
                <w:bCs/>
                <w:noProof/>
                <w:sz w:val="14"/>
                <w:szCs w:val="14"/>
                <w:lang w:eastAsia="ru-RU"/>
              </w:rPr>
              <w:t>137,403</w:t>
            </w:r>
          </w:p>
        </w:tc>
        <w:tc>
          <w:tcPr>
            <w:tcW w:w="709" w:type="dxa"/>
            <w:noWrap/>
          </w:tcPr>
          <w:p w:rsidR="002D1E45" w:rsidRPr="00983827" w:rsidRDefault="002D1E45" w:rsidP="00983827">
            <w:pPr>
              <w:spacing w:after="0" w:line="240" w:lineRule="auto"/>
              <w:jc w:val="center"/>
              <w:rPr>
                <w:rFonts w:ascii="Times New Roman" w:hAnsi="Times New Roman"/>
                <w:b/>
                <w:bCs/>
                <w:noProof/>
                <w:sz w:val="14"/>
                <w:szCs w:val="14"/>
                <w:lang w:eastAsia="ru-RU"/>
              </w:rPr>
            </w:pPr>
            <w:r w:rsidRPr="00983827">
              <w:rPr>
                <w:rFonts w:ascii="Times New Roman" w:hAnsi="Times New Roman"/>
                <w:b/>
                <w:bCs/>
                <w:noProof/>
                <w:sz w:val="14"/>
                <w:szCs w:val="14"/>
                <w:lang w:eastAsia="ru-RU"/>
              </w:rPr>
              <w:t>6,786</w:t>
            </w:r>
          </w:p>
        </w:tc>
      </w:tr>
    </w:tbl>
    <w:p w:rsidR="002D1E45" w:rsidRDefault="002D1E45" w:rsidP="00BB6844">
      <w:pPr>
        <w:autoSpaceDE w:val="0"/>
        <w:autoSpaceDN w:val="0"/>
        <w:adjustRightInd w:val="0"/>
        <w:spacing w:after="0" w:line="360" w:lineRule="auto"/>
        <w:ind w:firstLine="709"/>
        <w:jc w:val="right"/>
        <w:rPr>
          <w:rFonts w:ascii="Times New Roman" w:hAnsi="Times New Roman"/>
          <w:sz w:val="28"/>
          <w:szCs w:val="24"/>
          <w:lang w:eastAsia="ru-RU"/>
        </w:rPr>
      </w:pPr>
    </w:p>
    <w:p w:rsidR="002D1E45" w:rsidRPr="004F661A" w:rsidRDefault="002D1E45" w:rsidP="00BB6844">
      <w:pPr>
        <w:autoSpaceDE w:val="0"/>
        <w:autoSpaceDN w:val="0"/>
        <w:adjustRightInd w:val="0"/>
        <w:spacing w:after="0" w:line="360" w:lineRule="auto"/>
        <w:ind w:firstLine="709"/>
        <w:jc w:val="right"/>
        <w:rPr>
          <w:rFonts w:ascii="Times New Roman" w:hAnsi="Times New Roman"/>
          <w:sz w:val="28"/>
          <w:szCs w:val="24"/>
          <w:lang w:eastAsia="ru-RU"/>
        </w:rPr>
      </w:pPr>
      <w:r w:rsidRPr="004F661A">
        <w:rPr>
          <w:rFonts w:ascii="Times New Roman" w:hAnsi="Times New Roman"/>
          <w:sz w:val="28"/>
          <w:szCs w:val="24"/>
          <w:lang w:eastAsia="ru-RU"/>
        </w:rPr>
        <w:t xml:space="preserve">Таблица </w:t>
      </w:r>
      <w:bookmarkStart w:id="146" w:name="Tbl_Mosty"/>
      <w:r w:rsidRPr="004F661A">
        <w:rPr>
          <w:rFonts w:ascii="Times New Roman" w:hAnsi="Times New Roman"/>
          <w:sz w:val="28"/>
          <w:szCs w:val="24"/>
        </w:rPr>
        <w:fldChar w:fldCharType="begin"/>
      </w:r>
      <w:r w:rsidRPr="004F661A">
        <w:rPr>
          <w:rFonts w:ascii="Times New Roman" w:hAnsi="Times New Roman"/>
          <w:sz w:val="28"/>
          <w:szCs w:val="24"/>
        </w:rPr>
        <w:instrText xml:space="preserve"> SEQ Таблица \* ARABIC </w:instrText>
      </w:r>
      <w:r w:rsidRPr="004F661A">
        <w:rPr>
          <w:rFonts w:ascii="Times New Roman" w:hAnsi="Times New Roman"/>
          <w:sz w:val="28"/>
          <w:szCs w:val="24"/>
        </w:rPr>
        <w:fldChar w:fldCharType="separate"/>
      </w:r>
      <w:r>
        <w:rPr>
          <w:rFonts w:ascii="Times New Roman" w:hAnsi="Times New Roman"/>
          <w:noProof/>
          <w:sz w:val="28"/>
          <w:szCs w:val="24"/>
        </w:rPr>
        <w:t>13</w:t>
      </w:r>
      <w:r w:rsidRPr="004F661A">
        <w:rPr>
          <w:rFonts w:ascii="Times New Roman" w:hAnsi="Times New Roman"/>
          <w:sz w:val="28"/>
          <w:szCs w:val="24"/>
        </w:rPr>
        <w:fldChar w:fldCharType="end"/>
      </w:r>
      <w:bookmarkEnd w:id="146"/>
    </w:p>
    <w:p w:rsidR="002D1E45" w:rsidRDefault="002D1E45" w:rsidP="00BB6844">
      <w:pPr>
        <w:tabs>
          <w:tab w:val="left" w:pos="1418"/>
        </w:tabs>
        <w:spacing w:line="240" w:lineRule="auto"/>
        <w:jc w:val="center"/>
        <w:rPr>
          <w:rFonts w:ascii="Times New Roman" w:hAnsi="Times New Roman"/>
          <w:sz w:val="28"/>
          <w:szCs w:val="24"/>
          <w:lang w:eastAsia="ru-RU"/>
        </w:rPr>
      </w:pPr>
      <w:r w:rsidRPr="00BB6844">
        <w:rPr>
          <w:rFonts w:ascii="Times New Roman" w:hAnsi="Times New Roman"/>
          <w:sz w:val="28"/>
          <w:szCs w:val="24"/>
          <w:lang w:eastAsia="ru-RU"/>
        </w:rPr>
        <w:t>Перечень искусственных сооружений на</w:t>
      </w:r>
      <w:r>
        <w:rPr>
          <w:rFonts w:ascii="Times New Roman" w:hAnsi="Times New Roman"/>
          <w:sz w:val="28"/>
          <w:szCs w:val="24"/>
          <w:lang w:eastAsia="ru-RU"/>
        </w:rPr>
        <w:t> </w:t>
      </w:r>
      <w:r w:rsidRPr="00BB6844">
        <w:rPr>
          <w:rFonts w:ascii="Times New Roman" w:hAnsi="Times New Roman"/>
          <w:sz w:val="28"/>
          <w:szCs w:val="24"/>
          <w:lang w:eastAsia="ru-RU"/>
        </w:rPr>
        <w:t xml:space="preserve">автомобильных дорогах общего пользования </w:t>
      </w:r>
      <w:r>
        <w:rPr>
          <w:rFonts w:ascii="Times New Roman" w:hAnsi="Times New Roman"/>
          <w:sz w:val="28"/>
          <w:szCs w:val="24"/>
          <w:lang w:eastAsia="ru-RU"/>
        </w:rPr>
        <w:t>городского поселения «Город Куйбышев»</w:t>
      </w:r>
      <w:r w:rsidRPr="00BB6844">
        <w:rPr>
          <w:rFonts w:ascii="Times New Roman" w:hAnsi="Times New Roman"/>
          <w:sz w:val="28"/>
          <w:szCs w:val="24"/>
          <w:lang w:eastAsia="ru-RU"/>
        </w:rPr>
        <w:t>, отнесённых к</w:t>
      </w:r>
      <w:r>
        <w:rPr>
          <w:rFonts w:ascii="Times New Roman" w:hAnsi="Times New Roman"/>
          <w:sz w:val="28"/>
          <w:szCs w:val="24"/>
          <w:lang w:eastAsia="ru-RU"/>
        </w:rPr>
        <w:t> </w:t>
      </w:r>
      <w:r w:rsidRPr="00BB6844">
        <w:rPr>
          <w:rFonts w:ascii="Times New Roman" w:hAnsi="Times New Roman"/>
          <w:sz w:val="28"/>
          <w:szCs w:val="24"/>
          <w:lang w:eastAsia="ru-RU"/>
        </w:rPr>
        <w:t>государственной собственности Новосибирской области</w:t>
      </w:r>
    </w:p>
    <w:tbl>
      <w:tblPr>
        <w:tblW w:w="15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529"/>
        <w:gridCol w:w="565"/>
        <w:gridCol w:w="740"/>
        <w:gridCol w:w="566"/>
        <w:gridCol w:w="827"/>
        <w:gridCol w:w="431"/>
        <w:gridCol w:w="703"/>
        <w:gridCol w:w="1197"/>
        <w:gridCol w:w="509"/>
        <w:gridCol w:w="426"/>
        <w:gridCol w:w="604"/>
        <w:gridCol w:w="452"/>
        <w:gridCol w:w="671"/>
        <w:gridCol w:w="491"/>
        <w:gridCol w:w="611"/>
        <w:gridCol w:w="586"/>
        <w:gridCol w:w="626"/>
        <w:gridCol w:w="481"/>
        <w:gridCol w:w="581"/>
        <w:gridCol w:w="850"/>
      </w:tblGrid>
      <w:tr w:rsidR="002D1E45" w:rsidRPr="00140671" w:rsidTr="00140671">
        <w:trPr>
          <w:trHeight w:val="57"/>
          <w:tblHeader/>
          <w:jc w:val="center"/>
        </w:trPr>
        <w:tc>
          <w:tcPr>
            <w:tcW w:w="3529" w:type="dxa"/>
            <w:vMerge w:val="restart"/>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Pr>
                <w:rFonts w:ascii="Times New Roman" w:hAnsi="Times New Roman"/>
                <w:sz w:val="14"/>
                <w:szCs w:val="14"/>
                <w:lang w:eastAsia="ru-RU"/>
              </w:rPr>
              <w:t xml:space="preserve"> </w:t>
            </w:r>
            <w:r w:rsidRPr="00140671">
              <w:rPr>
                <w:rFonts w:ascii="Times New Roman" w:hAnsi="Times New Roman"/>
                <w:sz w:val="14"/>
                <w:szCs w:val="14"/>
                <w:lang w:eastAsia="ru-RU"/>
              </w:rPr>
              <w:t>Наименование дорог</w:t>
            </w:r>
          </w:p>
        </w:tc>
        <w:tc>
          <w:tcPr>
            <w:tcW w:w="5538" w:type="dxa"/>
            <w:gridSpan w:val="8"/>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Трубы</w:t>
            </w:r>
          </w:p>
        </w:tc>
        <w:tc>
          <w:tcPr>
            <w:tcW w:w="5529" w:type="dxa"/>
            <w:gridSpan w:val="10"/>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М</w:t>
            </w:r>
            <w:r>
              <w:rPr>
                <w:rFonts w:ascii="Times New Roman" w:hAnsi="Times New Roman"/>
                <w:sz w:val="14"/>
                <w:szCs w:val="14"/>
                <w:lang w:eastAsia="ru-RU"/>
              </w:rPr>
              <w:t>осты</w:t>
            </w:r>
          </w:p>
        </w:tc>
        <w:tc>
          <w:tcPr>
            <w:tcW w:w="850" w:type="dxa"/>
            <w:vMerge w:val="restart"/>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Железнодорожные переезды, км</w:t>
            </w:r>
          </w:p>
        </w:tc>
      </w:tr>
      <w:tr w:rsidR="002D1E45" w:rsidRPr="00140671" w:rsidTr="00140671">
        <w:trPr>
          <w:trHeight w:val="57"/>
          <w:tblHeader/>
          <w:jc w:val="center"/>
        </w:trPr>
        <w:tc>
          <w:tcPr>
            <w:tcW w:w="3529" w:type="dxa"/>
            <w:vMerge/>
            <w:vAlign w:val="center"/>
          </w:tcPr>
          <w:p w:rsidR="002D1E45" w:rsidRPr="00140671" w:rsidRDefault="002D1E45" w:rsidP="00140671">
            <w:pPr>
              <w:spacing w:after="0" w:line="240" w:lineRule="auto"/>
              <w:rPr>
                <w:rFonts w:ascii="Times New Roman" w:hAnsi="Times New Roman"/>
                <w:sz w:val="14"/>
                <w:szCs w:val="14"/>
                <w:lang w:eastAsia="ru-RU"/>
              </w:rPr>
            </w:pPr>
          </w:p>
        </w:tc>
        <w:tc>
          <w:tcPr>
            <w:tcW w:w="1305" w:type="dxa"/>
            <w:gridSpan w:val="2"/>
            <w:vMerge w:val="restart"/>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Всего</w:t>
            </w:r>
          </w:p>
        </w:tc>
        <w:tc>
          <w:tcPr>
            <w:tcW w:w="4233" w:type="dxa"/>
            <w:gridSpan w:val="6"/>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в том числе</w:t>
            </w:r>
          </w:p>
        </w:tc>
        <w:tc>
          <w:tcPr>
            <w:tcW w:w="1030" w:type="dxa"/>
            <w:gridSpan w:val="2"/>
            <w:vMerge w:val="restart"/>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Всего</w:t>
            </w:r>
          </w:p>
        </w:tc>
        <w:tc>
          <w:tcPr>
            <w:tcW w:w="4499" w:type="dxa"/>
            <w:gridSpan w:val="8"/>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в</w:t>
            </w:r>
            <w:r>
              <w:rPr>
                <w:rFonts w:ascii="Times New Roman" w:hAnsi="Times New Roman"/>
                <w:sz w:val="14"/>
                <w:szCs w:val="14"/>
                <w:lang w:eastAsia="ru-RU"/>
              </w:rPr>
              <w:t xml:space="preserve"> </w:t>
            </w:r>
            <w:r w:rsidRPr="00140671">
              <w:rPr>
                <w:rFonts w:ascii="Times New Roman" w:hAnsi="Times New Roman"/>
                <w:sz w:val="14"/>
                <w:szCs w:val="14"/>
                <w:lang w:eastAsia="ru-RU"/>
              </w:rPr>
              <w:t>том числе</w:t>
            </w:r>
          </w:p>
        </w:tc>
        <w:tc>
          <w:tcPr>
            <w:tcW w:w="850" w:type="dxa"/>
            <w:vMerge/>
            <w:vAlign w:val="center"/>
          </w:tcPr>
          <w:p w:rsidR="002D1E45" w:rsidRPr="00140671" w:rsidRDefault="002D1E45" w:rsidP="00140671">
            <w:pPr>
              <w:spacing w:after="0" w:line="240" w:lineRule="auto"/>
              <w:jc w:val="center"/>
              <w:rPr>
                <w:rFonts w:ascii="Times New Roman" w:hAnsi="Times New Roman"/>
                <w:sz w:val="14"/>
                <w:szCs w:val="14"/>
                <w:lang w:eastAsia="ru-RU"/>
              </w:rPr>
            </w:pPr>
          </w:p>
        </w:tc>
      </w:tr>
      <w:tr w:rsidR="002D1E45" w:rsidRPr="00140671" w:rsidTr="00140671">
        <w:trPr>
          <w:trHeight w:val="57"/>
          <w:tblHeader/>
          <w:jc w:val="center"/>
        </w:trPr>
        <w:tc>
          <w:tcPr>
            <w:tcW w:w="3529" w:type="dxa"/>
            <w:vMerge/>
            <w:vAlign w:val="center"/>
          </w:tcPr>
          <w:p w:rsidR="002D1E45" w:rsidRPr="00140671" w:rsidRDefault="002D1E45" w:rsidP="00140671">
            <w:pPr>
              <w:spacing w:after="0" w:line="240" w:lineRule="auto"/>
              <w:rPr>
                <w:rFonts w:ascii="Times New Roman" w:hAnsi="Times New Roman"/>
                <w:sz w:val="14"/>
                <w:szCs w:val="14"/>
                <w:lang w:eastAsia="ru-RU"/>
              </w:rPr>
            </w:pPr>
          </w:p>
        </w:tc>
        <w:tc>
          <w:tcPr>
            <w:tcW w:w="1305" w:type="dxa"/>
            <w:gridSpan w:val="2"/>
            <w:vMerge/>
            <w:vAlign w:val="center"/>
          </w:tcPr>
          <w:p w:rsidR="002D1E45" w:rsidRPr="00140671" w:rsidRDefault="002D1E45" w:rsidP="00140671">
            <w:pPr>
              <w:spacing w:after="0" w:line="240" w:lineRule="auto"/>
              <w:jc w:val="center"/>
              <w:rPr>
                <w:rFonts w:ascii="Times New Roman" w:hAnsi="Times New Roman"/>
                <w:sz w:val="14"/>
                <w:szCs w:val="14"/>
                <w:lang w:eastAsia="ru-RU"/>
              </w:rPr>
            </w:pPr>
          </w:p>
        </w:tc>
        <w:tc>
          <w:tcPr>
            <w:tcW w:w="1393" w:type="dxa"/>
            <w:gridSpan w:val="2"/>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Железобетонные</w:t>
            </w:r>
          </w:p>
        </w:tc>
        <w:tc>
          <w:tcPr>
            <w:tcW w:w="1134" w:type="dxa"/>
            <w:gridSpan w:val="2"/>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Металлические</w:t>
            </w:r>
          </w:p>
        </w:tc>
        <w:tc>
          <w:tcPr>
            <w:tcW w:w="1706" w:type="dxa"/>
            <w:gridSpan w:val="2"/>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Деревянные</w:t>
            </w:r>
          </w:p>
        </w:tc>
        <w:tc>
          <w:tcPr>
            <w:tcW w:w="1030" w:type="dxa"/>
            <w:gridSpan w:val="2"/>
            <w:vMerge/>
            <w:noWrap/>
            <w:vAlign w:val="center"/>
          </w:tcPr>
          <w:p w:rsidR="002D1E45" w:rsidRPr="00140671" w:rsidRDefault="002D1E45" w:rsidP="00140671">
            <w:pPr>
              <w:spacing w:after="0" w:line="240" w:lineRule="auto"/>
              <w:jc w:val="center"/>
              <w:rPr>
                <w:rFonts w:ascii="Times New Roman" w:hAnsi="Times New Roman"/>
                <w:sz w:val="14"/>
                <w:szCs w:val="14"/>
                <w:lang w:eastAsia="ru-RU"/>
              </w:rPr>
            </w:pPr>
          </w:p>
        </w:tc>
        <w:tc>
          <w:tcPr>
            <w:tcW w:w="1123" w:type="dxa"/>
            <w:gridSpan w:val="2"/>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Железобетонные</w:t>
            </w:r>
          </w:p>
        </w:tc>
        <w:tc>
          <w:tcPr>
            <w:tcW w:w="1102" w:type="dxa"/>
            <w:gridSpan w:val="2"/>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Металлические</w:t>
            </w:r>
          </w:p>
        </w:tc>
        <w:tc>
          <w:tcPr>
            <w:tcW w:w="1212" w:type="dxa"/>
            <w:gridSpan w:val="2"/>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Комбинированные</w:t>
            </w:r>
          </w:p>
        </w:tc>
        <w:tc>
          <w:tcPr>
            <w:tcW w:w="1062" w:type="dxa"/>
            <w:gridSpan w:val="2"/>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Деревянные</w:t>
            </w:r>
          </w:p>
        </w:tc>
        <w:tc>
          <w:tcPr>
            <w:tcW w:w="850" w:type="dxa"/>
            <w:vMerge/>
            <w:vAlign w:val="center"/>
          </w:tcPr>
          <w:p w:rsidR="002D1E45" w:rsidRPr="00140671" w:rsidRDefault="002D1E45" w:rsidP="00140671">
            <w:pPr>
              <w:spacing w:after="0" w:line="240" w:lineRule="auto"/>
              <w:jc w:val="center"/>
              <w:rPr>
                <w:rFonts w:ascii="Times New Roman" w:hAnsi="Times New Roman"/>
                <w:sz w:val="14"/>
                <w:szCs w:val="14"/>
                <w:lang w:eastAsia="ru-RU"/>
              </w:rPr>
            </w:pPr>
          </w:p>
        </w:tc>
      </w:tr>
      <w:tr w:rsidR="002D1E45" w:rsidRPr="00140671" w:rsidTr="00140671">
        <w:trPr>
          <w:trHeight w:val="57"/>
          <w:tblHeader/>
          <w:jc w:val="center"/>
        </w:trPr>
        <w:tc>
          <w:tcPr>
            <w:tcW w:w="3529" w:type="dxa"/>
            <w:vMerge/>
            <w:vAlign w:val="center"/>
          </w:tcPr>
          <w:p w:rsidR="002D1E45" w:rsidRPr="00140671" w:rsidRDefault="002D1E45" w:rsidP="00140671">
            <w:pPr>
              <w:spacing w:after="0" w:line="240" w:lineRule="auto"/>
              <w:rPr>
                <w:rFonts w:ascii="Times New Roman" w:hAnsi="Times New Roman"/>
                <w:sz w:val="14"/>
                <w:szCs w:val="14"/>
                <w:lang w:eastAsia="ru-RU"/>
              </w:rPr>
            </w:pPr>
          </w:p>
        </w:tc>
        <w:tc>
          <w:tcPr>
            <w:tcW w:w="565"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шт</w:t>
            </w:r>
          </w:p>
        </w:tc>
        <w:tc>
          <w:tcPr>
            <w:tcW w:w="740"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п.м.</w:t>
            </w:r>
          </w:p>
        </w:tc>
        <w:tc>
          <w:tcPr>
            <w:tcW w:w="566"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шт</w:t>
            </w:r>
          </w:p>
        </w:tc>
        <w:tc>
          <w:tcPr>
            <w:tcW w:w="827"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п.м.</w:t>
            </w:r>
          </w:p>
        </w:tc>
        <w:tc>
          <w:tcPr>
            <w:tcW w:w="431"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шт</w:t>
            </w:r>
          </w:p>
        </w:tc>
        <w:tc>
          <w:tcPr>
            <w:tcW w:w="703"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п.м.</w:t>
            </w:r>
          </w:p>
        </w:tc>
        <w:tc>
          <w:tcPr>
            <w:tcW w:w="1197"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шт</w:t>
            </w:r>
          </w:p>
        </w:tc>
        <w:tc>
          <w:tcPr>
            <w:tcW w:w="509"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п.м.</w:t>
            </w:r>
          </w:p>
        </w:tc>
        <w:tc>
          <w:tcPr>
            <w:tcW w:w="426"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шт</w:t>
            </w:r>
          </w:p>
        </w:tc>
        <w:tc>
          <w:tcPr>
            <w:tcW w:w="604"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п.м.</w:t>
            </w:r>
          </w:p>
        </w:tc>
        <w:tc>
          <w:tcPr>
            <w:tcW w:w="452"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шт</w:t>
            </w:r>
          </w:p>
        </w:tc>
        <w:tc>
          <w:tcPr>
            <w:tcW w:w="671"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п.м.</w:t>
            </w:r>
          </w:p>
        </w:tc>
        <w:tc>
          <w:tcPr>
            <w:tcW w:w="491"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шт</w:t>
            </w:r>
          </w:p>
        </w:tc>
        <w:tc>
          <w:tcPr>
            <w:tcW w:w="611"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п.м.</w:t>
            </w:r>
          </w:p>
        </w:tc>
        <w:tc>
          <w:tcPr>
            <w:tcW w:w="586"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шт</w:t>
            </w:r>
          </w:p>
        </w:tc>
        <w:tc>
          <w:tcPr>
            <w:tcW w:w="626"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п.м.</w:t>
            </w:r>
          </w:p>
        </w:tc>
        <w:tc>
          <w:tcPr>
            <w:tcW w:w="481"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Pr>
                <w:rFonts w:ascii="Times New Roman" w:hAnsi="Times New Roman"/>
                <w:sz w:val="14"/>
                <w:szCs w:val="14"/>
                <w:lang w:eastAsia="ru-RU"/>
              </w:rPr>
              <w:t>ш</w:t>
            </w:r>
            <w:r w:rsidRPr="00140671">
              <w:rPr>
                <w:rFonts w:ascii="Times New Roman" w:hAnsi="Times New Roman"/>
                <w:sz w:val="14"/>
                <w:szCs w:val="14"/>
                <w:lang w:eastAsia="ru-RU"/>
              </w:rPr>
              <w:t>т</w:t>
            </w:r>
          </w:p>
        </w:tc>
        <w:tc>
          <w:tcPr>
            <w:tcW w:w="581"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п.м.</w:t>
            </w:r>
          </w:p>
        </w:tc>
        <w:tc>
          <w:tcPr>
            <w:tcW w:w="850" w:type="dxa"/>
            <w:vMerge/>
            <w:vAlign w:val="center"/>
          </w:tcPr>
          <w:p w:rsidR="002D1E45" w:rsidRPr="00140671" w:rsidRDefault="002D1E45" w:rsidP="00140671">
            <w:pPr>
              <w:spacing w:after="0" w:line="240" w:lineRule="auto"/>
              <w:jc w:val="center"/>
              <w:rPr>
                <w:rFonts w:ascii="Times New Roman" w:hAnsi="Times New Roman"/>
                <w:sz w:val="14"/>
                <w:szCs w:val="14"/>
                <w:lang w:eastAsia="ru-RU"/>
              </w:rPr>
            </w:pPr>
          </w:p>
        </w:tc>
      </w:tr>
      <w:tr w:rsidR="002D1E45" w:rsidRPr="004663F7" w:rsidTr="00461628">
        <w:trPr>
          <w:trHeight w:val="57"/>
          <w:jc w:val="center"/>
        </w:trPr>
        <w:tc>
          <w:tcPr>
            <w:tcW w:w="15446" w:type="dxa"/>
            <w:gridSpan w:val="20"/>
            <w:noWrap/>
            <w:vAlign w:val="bottom"/>
          </w:tcPr>
          <w:p w:rsidR="002D1E45" w:rsidRPr="00140671" w:rsidRDefault="002D1E45" w:rsidP="00140671">
            <w:pPr>
              <w:spacing w:after="0" w:line="240" w:lineRule="auto"/>
              <w:jc w:val="center"/>
              <w:rPr>
                <w:rFonts w:ascii="Times New Roman" w:hAnsi="Times New Roman"/>
                <w:b/>
                <w:bCs/>
                <w:sz w:val="14"/>
                <w:szCs w:val="14"/>
                <w:lang w:eastAsia="ru-RU"/>
              </w:rPr>
            </w:pPr>
            <w:r w:rsidRPr="00140671">
              <w:rPr>
                <w:rFonts w:ascii="Times New Roman" w:hAnsi="Times New Roman"/>
                <w:b/>
                <w:bCs/>
                <w:sz w:val="14"/>
                <w:szCs w:val="14"/>
                <w:lang w:eastAsia="ru-RU"/>
              </w:rPr>
              <w:t>Автомобильные дороги регионального значения</w:t>
            </w:r>
          </w:p>
        </w:tc>
      </w:tr>
      <w:tr w:rsidR="002D1E45" w:rsidRPr="00140671" w:rsidTr="00140671">
        <w:trPr>
          <w:trHeight w:val="57"/>
          <w:jc w:val="center"/>
        </w:trPr>
        <w:tc>
          <w:tcPr>
            <w:tcW w:w="3529" w:type="dxa"/>
            <w:noWrap/>
            <w:vAlign w:val="bottom"/>
          </w:tcPr>
          <w:p w:rsidR="002D1E45" w:rsidRPr="00140671" w:rsidRDefault="002D1E45" w:rsidP="00140671">
            <w:pPr>
              <w:spacing w:after="0" w:line="240" w:lineRule="auto"/>
              <w:rPr>
                <w:rFonts w:ascii="Times New Roman" w:hAnsi="Times New Roman"/>
                <w:sz w:val="14"/>
                <w:szCs w:val="14"/>
                <w:lang w:eastAsia="ru-RU"/>
              </w:rPr>
            </w:pPr>
            <w:r w:rsidRPr="00140671">
              <w:rPr>
                <w:rFonts w:ascii="Times New Roman" w:hAnsi="Times New Roman"/>
                <w:sz w:val="14"/>
                <w:szCs w:val="14"/>
                <w:lang w:eastAsia="ru-RU"/>
              </w:rPr>
              <w:t>Куйбышев - Северное</w:t>
            </w:r>
          </w:p>
        </w:tc>
        <w:tc>
          <w:tcPr>
            <w:tcW w:w="565"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38</w:t>
            </w:r>
          </w:p>
        </w:tc>
        <w:tc>
          <w:tcPr>
            <w:tcW w:w="740"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579,60</w:t>
            </w:r>
          </w:p>
        </w:tc>
        <w:tc>
          <w:tcPr>
            <w:tcW w:w="566"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38</w:t>
            </w:r>
          </w:p>
        </w:tc>
        <w:tc>
          <w:tcPr>
            <w:tcW w:w="827"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579,60</w:t>
            </w:r>
          </w:p>
        </w:tc>
        <w:tc>
          <w:tcPr>
            <w:tcW w:w="431"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r w:rsidRPr="00140671">
              <w:rPr>
                <w:rFonts w:ascii="Times New Roman" w:hAnsi="Times New Roman"/>
                <w:color w:val="FFFFFF"/>
                <w:sz w:val="14"/>
                <w:szCs w:val="14"/>
                <w:lang w:eastAsia="ru-RU"/>
              </w:rPr>
              <w:t>0</w:t>
            </w:r>
          </w:p>
        </w:tc>
        <w:tc>
          <w:tcPr>
            <w:tcW w:w="703"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1197"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509"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426"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1</w:t>
            </w:r>
          </w:p>
        </w:tc>
        <w:tc>
          <w:tcPr>
            <w:tcW w:w="604"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56,00</w:t>
            </w:r>
          </w:p>
        </w:tc>
        <w:tc>
          <w:tcPr>
            <w:tcW w:w="452"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1</w:t>
            </w:r>
          </w:p>
        </w:tc>
        <w:tc>
          <w:tcPr>
            <w:tcW w:w="671"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56,00</w:t>
            </w:r>
          </w:p>
        </w:tc>
        <w:tc>
          <w:tcPr>
            <w:tcW w:w="491"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r w:rsidRPr="00140671">
              <w:rPr>
                <w:rFonts w:ascii="Times New Roman" w:hAnsi="Times New Roman"/>
                <w:color w:val="FFFFFF"/>
                <w:sz w:val="14"/>
                <w:szCs w:val="14"/>
                <w:lang w:eastAsia="ru-RU"/>
              </w:rPr>
              <w:t>0</w:t>
            </w:r>
          </w:p>
        </w:tc>
        <w:tc>
          <w:tcPr>
            <w:tcW w:w="611"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r w:rsidRPr="00140671">
              <w:rPr>
                <w:rFonts w:ascii="Times New Roman" w:hAnsi="Times New Roman"/>
                <w:color w:val="FFFFFF"/>
                <w:sz w:val="14"/>
                <w:szCs w:val="14"/>
                <w:lang w:eastAsia="ru-RU"/>
              </w:rPr>
              <w:t>0,00</w:t>
            </w:r>
          </w:p>
        </w:tc>
        <w:tc>
          <w:tcPr>
            <w:tcW w:w="586"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626"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481"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r w:rsidRPr="00140671">
              <w:rPr>
                <w:rFonts w:ascii="Times New Roman" w:hAnsi="Times New Roman"/>
                <w:color w:val="FFFFFF"/>
                <w:sz w:val="14"/>
                <w:szCs w:val="14"/>
                <w:lang w:eastAsia="ru-RU"/>
              </w:rPr>
              <w:t>0,0</w:t>
            </w:r>
          </w:p>
        </w:tc>
        <w:tc>
          <w:tcPr>
            <w:tcW w:w="581"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r w:rsidRPr="00140671">
              <w:rPr>
                <w:rFonts w:ascii="Times New Roman" w:hAnsi="Times New Roman"/>
                <w:color w:val="FFFFFF"/>
                <w:sz w:val="14"/>
                <w:szCs w:val="14"/>
                <w:lang w:eastAsia="ru-RU"/>
              </w:rPr>
              <w:t>0,00</w:t>
            </w:r>
          </w:p>
        </w:tc>
        <w:tc>
          <w:tcPr>
            <w:tcW w:w="850"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нет</w:t>
            </w:r>
          </w:p>
        </w:tc>
      </w:tr>
      <w:tr w:rsidR="002D1E45" w:rsidRPr="00140671" w:rsidTr="00140671">
        <w:trPr>
          <w:trHeight w:val="57"/>
          <w:jc w:val="center"/>
        </w:trPr>
        <w:tc>
          <w:tcPr>
            <w:tcW w:w="3529" w:type="dxa"/>
            <w:vAlign w:val="bottom"/>
          </w:tcPr>
          <w:p w:rsidR="002D1E45" w:rsidRPr="00140671" w:rsidRDefault="002D1E45" w:rsidP="00140671">
            <w:pPr>
              <w:spacing w:after="0" w:line="240" w:lineRule="auto"/>
              <w:rPr>
                <w:rFonts w:ascii="Times New Roman" w:hAnsi="Times New Roman"/>
                <w:sz w:val="14"/>
                <w:szCs w:val="14"/>
                <w:lang w:eastAsia="ru-RU"/>
              </w:rPr>
            </w:pPr>
            <w:r w:rsidRPr="00140671">
              <w:rPr>
                <w:rFonts w:ascii="Times New Roman" w:hAnsi="Times New Roman"/>
                <w:sz w:val="14"/>
                <w:szCs w:val="14"/>
                <w:lang w:eastAsia="ru-RU"/>
              </w:rPr>
              <w:t>Куйбышев - Венгерово - гр. Омской области</w:t>
            </w:r>
            <w:r w:rsidRPr="00140671">
              <w:rPr>
                <w:rFonts w:ascii="Times New Roman" w:hAnsi="Times New Roman"/>
                <w:sz w:val="14"/>
                <w:szCs w:val="14"/>
                <w:lang w:eastAsia="ru-RU"/>
              </w:rPr>
              <w:br/>
              <w:t>(старый Московский тракт)</w:t>
            </w:r>
          </w:p>
        </w:tc>
        <w:tc>
          <w:tcPr>
            <w:tcW w:w="565"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42</w:t>
            </w:r>
          </w:p>
        </w:tc>
        <w:tc>
          <w:tcPr>
            <w:tcW w:w="740"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651,31</w:t>
            </w:r>
          </w:p>
        </w:tc>
        <w:tc>
          <w:tcPr>
            <w:tcW w:w="566"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41</w:t>
            </w:r>
          </w:p>
        </w:tc>
        <w:tc>
          <w:tcPr>
            <w:tcW w:w="827"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611,40</w:t>
            </w:r>
          </w:p>
        </w:tc>
        <w:tc>
          <w:tcPr>
            <w:tcW w:w="431"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1</w:t>
            </w:r>
          </w:p>
        </w:tc>
        <w:tc>
          <w:tcPr>
            <w:tcW w:w="703"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39,91</w:t>
            </w:r>
          </w:p>
        </w:tc>
        <w:tc>
          <w:tcPr>
            <w:tcW w:w="1197"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509"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426"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1</w:t>
            </w:r>
          </w:p>
        </w:tc>
        <w:tc>
          <w:tcPr>
            <w:tcW w:w="604"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23,00</w:t>
            </w:r>
          </w:p>
        </w:tc>
        <w:tc>
          <w:tcPr>
            <w:tcW w:w="452"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1</w:t>
            </w:r>
          </w:p>
        </w:tc>
        <w:tc>
          <w:tcPr>
            <w:tcW w:w="671"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23,00</w:t>
            </w:r>
          </w:p>
        </w:tc>
        <w:tc>
          <w:tcPr>
            <w:tcW w:w="491"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r w:rsidRPr="00140671">
              <w:rPr>
                <w:rFonts w:ascii="Times New Roman" w:hAnsi="Times New Roman"/>
                <w:color w:val="FFFFFF"/>
                <w:sz w:val="14"/>
                <w:szCs w:val="14"/>
                <w:lang w:eastAsia="ru-RU"/>
              </w:rPr>
              <w:t>0</w:t>
            </w:r>
          </w:p>
        </w:tc>
        <w:tc>
          <w:tcPr>
            <w:tcW w:w="611"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r w:rsidRPr="00140671">
              <w:rPr>
                <w:rFonts w:ascii="Times New Roman" w:hAnsi="Times New Roman"/>
                <w:color w:val="FFFFFF"/>
                <w:sz w:val="14"/>
                <w:szCs w:val="14"/>
                <w:lang w:eastAsia="ru-RU"/>
              </w:rPr>
              <w:t>0,00</w:t>
            </w:r>
          </w:p>
        </w:tc>
        <w:tc>
          <w:tcPr>
            <w:tcW w:w="586"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626"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481"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r w:rsidRPr="00140671">
              <w:rPr>
                <w:rFonts w:ascii="Times New Roman" w:hAnsi="Times New Roman"/>
                <w:color w:val="FFFFFF"/>
                <w:sz w:val="14"/>
                <w:szCs w:val="14"/>
                <w:lang w:eastAsia="ru-RU"/>
              </w:rPr>
              <w:t>0,0</w:t>
            </w:r>
          </w:p>
        </w:tc>
        <w:tc>
          <w:tcPr>
            <w:tcW w:w="581"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r w:rsidRPr="00140671">
              <w:rPr>
                <w:rFonts w:ascii="Times New Roman" w:hAnsi="Times New Roman"/>
                <w:color w:val="FFFFFF"/>
                <w:sz w:val="14"/>
                <w:szCs w:val="14"/>
                <w:lang w:eastAsia="ru-RU"/>
              </w:rPr>
              <w:t>0,00</w:t>
            </w:r>
          </w:p>
        </w:tc>
        <w:tc>
          <w:tcPr>
            <w:tcW w:w="850"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нет</w:t>
            </w:r>
          </w:p>
        </w:tc>
      </w:tr>
      <w:tr w:rsidR="002D1E45" w:rsidRPr="00140671" w:rsidTr="00140671">
        <w:trPr>
          <w:trHeight w:val="57"/>
          <w:jc w:val="center"/>
        </w:trPr>
        <w:tc>
          <w:tcPr>
            <w:tcW w:w="3529" w:type="dxa"/>
            <w:noWrap/>
            <w:vAlign w:val="bottom"/>
          </w:tcPr>
          <w:p w:rsidR="002D1E45" w:rsidRPr="00140671" w:rsidRDefault="002D1E45" w:rsidP="00140671">
            <w:pPr>
              <w:spacing w:after="0" w:line="240" w:lineRule="auto"/>
              <w:rPr>
                <w:rFonts w:ascii="Times New Roman" w:hAnsi="Times New Roman"/>
                <w:sz w:val="14"/>
                <w:szCs w:val="14"/>
                <w:lang w:eastAsia="ru-RU"/>
              </w:rPr>
            </w:pPr>
            <w:r w:rsidRPr="00140671">
              <w:rPr>
                <w:rFonts w:ascii="Times New Roman" w:hAnsi="Times New Roman"/>
                <w:sz w:val="14"/>
                <w:szCs w:val="14"/>
                <w:lang w:eastAsia="ru-RU"/>
              </w:rPr>
              <w:t>Барабинск - Куйбышев</w:t>
            </w:r>
          </w:p>
        </w:tc>
        <w:tc>
          <w:tcPr>
            <w:tcW w:w="565"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2</w:t>
            </w:r>
          </w:p>
        </w:tc>
        <w:tc>
          <w:tcPr>
            <w:tcW w:w="740"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71,00</w:t>
            </w:r>
          </w:p>
        </w:tc>
        <w:tc>
          <w:tcPr>
            <w:tcW w:w="566"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2</w:t>
            </w:r>
          </w:p>
        </w:tc>
        <w:tc>
          <w:tcPr>
            <w:tcW w:w="827"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71,00</w:t>
            </w:r>
          </w:p>
        </w:tc>
        <w:tc>
          <w:tcPr>
            <w:tcW w:w="431"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703"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1197"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509"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426"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604"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452"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671"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491"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611"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586"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626"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481"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581"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850"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p>
        </w:tc>
      </w:tr>
      <w:tr w:rsidR="002D1E45" w:rsidRPr="00140671" w:rsidTr="004663F7">
        <w:trPr>
          <w:trHeight w:val="57"/>
          <w:jc w:val="center"/>
        </w:trPr>
        <w:tc>
          <w:tcPr>
            <w:tcW w:w="3529" w:type="dxa"/>
            <w:noWrap/>
            <w:vAlign w:val="center"/>
          </w:tcPr>
          <w:p w:rsidR="002D1E45" w:rsidRPr="00140671" w:rsidRDefault="002D1E45" w:rsidP="00140671">
            <w:pPr>
              <w:spacing w:after="0" w:line="240" w:lineRule="auto"/>
              <w:rPr>
                <w:rFonts w:ascii="Times New Roman" w:hAnsi="Times New Roman"/>
                <w:b/>
                <w:bCs/>
                <w:sz w:val="14"/>
                <w:szCs w:val="14"/>
                <w:lang w:eastAsia="ru-RU"/>
              </w:rPr>
            </w:pPr>
            <w:r w:rsidRPr="00140671">
              <w:rPr>
                <w:rFonts w:ascii="Times New Roman" w:hAnsi="Times New Roman"/>
                <w:b/>
                <w:bCs/>
                <w:sz w:val="14"/>
                <w:szCs w:val="14"/>
                <w:lang w:eastAsia="ru-RU"/>
              </w:rPr>
              <w:t>Итого автомобильных дорог регионального значения:</w:t>
            </w:r>
          </w:p>
        </w:tc>
        <w:tc>
          <w:tcPr>
            <w:tcW w:w="565" w:type="dxa"/>
            <w:noWrap/>
            <w:vAlign w:val="center"/>
          </w:tcPr>
          <w:p w:rsidR="002D1E45" w:rsidRPr="00140671" w:rsidRDefault="002D1E45" w:rsidP="00140671">
            <w:pPr>
              <w:spacing w:after="0" w:line="240" w:lineRule="auto"/>
              <w:jc w:val="center"/>
              <w:rPr>
                <w:rFonts w:ascii="Times New Roman" w:hAnsi="Times New Roman"/>
                <w:b/>
                <w:bCs/>
                <w:sz w:val="14"/>
                <w:szCs w:val="14"/>
                <w:lang w:eastAsia="ru-RU"/>
              </w:rPr>
            </w:pPr>
            <w:r w:rsidRPr="00140671">
              <w:rPr>
                <w:rFonts w:ascii="Times New Roman" w:hAnsi="Times New Roman"/>
                <w:b/>
                <w:bCs/>
                <w:sz w:val="14"/>
                <w:szCs w:val="14"/>
                <w:lang w:eastAsia="ru-RU"/>
              </w:rPr>
              <w:t>82</w:t>
            </w:r>
          </w:p>
        </w:tc>
        <w:tc>
          <w:tcPr>
            <w:tcW w:w="740" w:type="dxa"/>
            <w:noWrap/>
            <w:vAlign w:val="center"/>
          </w:tcPr>
          <w:p w:rsidR="002D1E45" w:rsidRPr="00140671" w:rsidRDefault="002D1E45" w:rsidP="00140671">
            <w:pPr>
              <w:spacing w:after="0" w:line="240" w:lineRule="auto"/>
              <w:jc w:val="center"/>
              <w:rPr>
                <w:rFonts w:ascii="Times New Roman" w:hAnsi="Times New Roman"/>
                <w:b/>
                <w:bCs/>
                <w:sz w:val="14"/>
                <w:szCs w:val="14"/>
                <w:lang w:eastAsia="ru-RU"/>
              </w:rPr>
            </w:pPr>
            <w:r w:rsidRPr="00140671">
              <w:rPr>
                <w:rFonts w:ascii="Times New Roman" w:hAnsi="Times New Roman"/>
                <w:b/>
                <w:bCs/>
                <w:sz w:val="14"/>
                <w:szCs w:val="14"/>
                <w:lang w:eastAsia="ru-RU"/>
              </w:rPr>
              <w:t>1301,91</w:t>
            </w:r>
          </w:p>
        </w:tc>
        <w:tc>
          <w:tcPr>
            <w:tcW w:w="566" w:type="dxa"/>
            <w:noWrap/>
            <w:vAlign w:val="center"/>
          </w:tcPr>
          <w:p w:rsidR="002D1E45" w:rsidRPr="00140671" w:rsidRDefault="002D1E45" w:rsidP="00140671">
            <w:pPr>
              <w:spacing w:after="0" w:line="240" w:lineRule="auto"/>
              <w:jc w:val="center"/>
              <w:rPr>
                <w:rFonts w:ascii="Times New Roman" w:hAnsi="Times New Roman"/>
                <w:b/>
                <w:bCs/>
                <w:sz w:val="14"/>
                <w:szCs w:val="14"/>
                <w:lang w:eastAsia="ru-RU"/>
              </w:rPr>
            </w:pPr>
            <w:r w:rsidRPr="00140671">
              <w:rPr>
                <w:rFonts w:ascii="Times New Roman" w:hAnsi="Times New Roman"/>
                <w:b/>
                <w:bCs/>
                <w:sz w:val="14"/>
                <w:szCs w:val="14"/>
                <w:lang w:eastAsia="ru-RU"/>
              </w:rPr>
              <w:t>81</w:t>
            </w:r>
          </w:p>
        </w:tc>
        <w:tc>
          <w:tcPr>
            <w:tcW w:w="827" w:type="dxa"/>
            <w:noWrap/>
            <w:vAlign w:val="center"/>
          </w:tcPr>
          <w:p w:rsidR="002D1E45" w:rsidRPr="00140671" w:rsidRDefault="002D1E45" w:rsidP="00140671">
            <w:pPr>
              <w:spacing w:after="0" w:line="240" w:lineRule="auto"/>
              <w:jc w:val="center"/>
              <w:rPr>
                <w:rFonts w:ascii="Times New Roman" w:hAnsi="Times New Roman"/>
                <w:b/>
                <w:bCs/>
                <w:sz w:val="14"/>
                <w:szCs w:val="14"/>
                <w:lang w:eastAsia="ru-RU"/>
              </w:rPr>
            </w:pPr>
            <w:r w:rsidRPr="00140671">
              <w:rPr>
                <w:rFonts w:ascii="Times New Roman" w:hAnsi="Times New Roman"/>
                <w:b/>
                <w:bCs/>
                <w:sz w:val="14"/>
                <w:szCs w:val="14"/>
                <w:lang w:eastAsia="ru-RU"/>
              </w:rPr>
              <w:t>1262,00</w:t>
            </w:r>
          </w:p>
        </w:tc>
        <w:tc>
          <w:tcPr>
            <w:tcW w:w="431" w:type="dxa"/>
            <w:noWrap/>
            <w:vAlign w:val="center"/>
          </w:tcPr>
          <w:p w:rsidR="002D1E45" w:rsidRPr="00140671" w:rsidRDefault="002D1E45" w:rsidP="00140671">
            <w:pPr>
              <w:spacing w:after="0" w:line="240" w:lineRule="auto"/>
              <w:jc w:val="center"/>
              <w:rPr>
                <w:rFonts w:ascii="Times New Roman" w:hAnsi="Times New Roman"/>
                <w:b/>
                <w:bCs/>
                <w:sz w:val="14"/>
                <w:szCs w:val="14"/>
                <w:lang w:eastAsia="ru-RU"/>
              </w:rPr>
            </w:pPr>
            <w:r w:rsidRPr="00140671">
              <w:rPr>
                <w:rFonts w:ascii="Times New Roman" w:hAnsi="Times New Roman"/>
                <w:b/>
                <w:bCs/>
                <w:sz w:val="14"/>
                <w:szCs w:val="14"/>
                <w:lang w:eastAsia="ru-RU"/>
              </w:rPr>
              <w:t>1</w:t>
            </w:r>
          </w:p>
        </w:tc>
        <w:tc>
          <w:tcPr>
            <w:tcW w:w="703" w:type="dxa"/>
            <w:noWrap/>
            <w:vAlign w:val="center"/>
          </w:tcPr>
          <w:p w:rsidR="002D1E45" w:rsidRPr="00140671" w:rsidRDefault="002D1E45" w:rsidP="00140671">
            <w:pPr>
              <w:spacing w:after="0" w:line="240" w:lineRule="auto"/>
              <w:jc w:val="center"/>
              <w:rPr>
                <w:rFonts w:ascii="Times New Roman" w:hAnsi="Times New Roman"/>
                <w:b/>
                <w:bCs/>
                <w:sz w:val="14"/>
                <w:szCs w:val="14"/>
                <w:lang w:eastAsia="ru-RU"/>
              </w:rPr>
            </w:pPr>
            <w:r w:rsidRPr="00140671">
              <w:rPr>
                <w:rFonts w:ascii="Times New Roman" w:hAnsi="Times New Roman"/>
                <w:b/>
                <w:bCs/>
                <w:sz w:val="14"/>
                <w:szCs w:val="14"/>
                <w:lang w:eastAsia="ru-RU"/>
              </w:rPr>
              <w:t>39,91</w:t>
            </w:r>
          </w:p>
        </w:tc>
        <w:tc>
          <w:tcPr>
            <w:tcW w:w="1197" w:type="dxa"/>
            <w:noWrap/>
            <w:vAlign w:val="center"/>
          </w:tcPr>
          <w:p w:rsidR="002D1E45" w:rsidRPr="00140671" w:rsidRDefault="002D1E45" w:rsidP="00140671">
            <w:pPr>
              <w:spacing w:after="0" w:line="240" w:lineRule="auto"/>
              <w:jc w:val="center"/>
              <w:rPr>
                <w:rFonts w:ascii="Times New Roman" w:hAnsi="Times New Roman"/>
                <w:b/>
                <w:bCs/>
                <w:color w:val="FFFFFF"/>
                <w:sz w:val="14"/>
                <w:szCs w:val="14"/>
                <w:lang w:eastAsia="ru-RU"/>
              </w:rPr>
            </w:pPr>
            <w:r w:rsidRPr="00140671">
              <w:rPr>
                <w:rFonts w:ascii="Times New Roman" w:hAnsi="Times New Roman"/>
                <w:b/>
                <w:bCs/>
                <w:color w:val="FFFFFF"/>
                <w:sz w:val="14"/>
                <w:szCs w:val="14"/>
                <w:lang w:eastAsia="ru-RU"/>
              </w:rPr>
              <w:t>0,0</w:t>
            </w:r>
          </w:p>
        </w:tc>
        <w:tc>
          <w:tcPr>
            <w:tcW w:w="509" w:type="dxa"/>
            <w:noWrap/>
            <w:vAlign w:val="center"/>
          </w:tcPr>
          <w:p w:rsidR="002D1E45" w:rsidRPr="00140671" w:rsidRDefault="002D1E45" w:rsidP="00140671">
            <w:pPr>
              <w:spacing w:after="0" w:line="240" w:lineRule="auto"/>
              <w:jc w:val="center"/>
              <w:rPr>
                <w:rFonts w:ascii="Times New Roman" w:hAnsi="Times New Roman"/>
                <w:b/>
                <w:bCs/>
                <w:color w:val="FFFFFF"/>
                <w:sz w:val="14"/>
                <w:szCs w:val="14"/>
                <w:lang w:eastAsia="ru-RU"/>
              </w:rPr>
            </w:pPr>
            <w:r w:rsidRPr="00140671">
              <w:rPr>
                <w:rFonts w:ascii="Times New Roman" w:hAnsi="Times New Roman"/>
                <w:b/>
                <w:bCs/>
                <w:color w:val="FFFFFF"/>
                <w:sz w:val="14"/>
                <w:szCs w:val="14"/>
                <w:lang w:eastAsia="ru-RU"/>
              </w:rPr>
              <w:t>0,00</w:t>
            </w:r>
          </w:p>
        </w:tc>
        <w:tc>
          <w:tcPr>
            <w:tcW w:w="426" w:type="dxa"/>
            <w:noWrap/>
            <w:vAlign w:val="center"/>
          </w:tcPr>
          <w:p w:rsidR="002D1E45" w:rsidRPr="00140671" w:rsidRDefault="002D1E45" w:rsidP="00140671">
            <w:pPr>
              <w:spacing w:after="0" w:line="240" w:lineRule="auto"/>
              <w:jc w:val="center"/>
              <w:rPr>
                <w:rFonts w:ascii="Times New Roman" w:hAnsi="Times New Roman"/>
                <w:b/>
                <w:bCs/>
                <w:sz w:val="14"/>
                <w:szCs w:val="14"/>
                <w:lang w:eastAsia="ru-RU"/>
              </w:rPr>
            </w:pPr>
            <w:r w:rsidRPr="00140671">
              <w:rPr>
                <w:rFonts w:ascii="Times New Roman" w:hAnsi="Times New Roman"/>
                <w:b/>
                <w:bCs/>
                <w:sz w:val="14"/>
                <w:szCs w:val="14"/>
                <w:lang w:eastAsia="ru-RU"/>
              </w:rPr>
              <w:t>2</w:t>
            </w:r>
          </w:p>
        </w:tc>
        <w:tc>
          <w:tcPr>
            <w:tcW w:w="604" w:type="dxa"/>
            <w:noWrap/>
            <w:vAlign w:val="center"/>
          </w:tcPr>
          <w:p w:rsidR="002D1E45" w:rsidRPr="00140671" w:rsidRDefault="002D1E45" w:rsidP="00140671">
            <w:pPr>
              <w:spacing w:after="0" w:line="240" w:lineRule="auto"/>
              <w:jc w:val="center"/>
              <w:rPr>
                <w:rFonts w:ascii="Times New Roman" w:hAnsi="Times New Roman"/>
                <w:b/>
                <w:bCs/>
                <w:sz w:val="14"/>
                <w:szCs w:val="14"/>
                <w:lang w:eastAsia="ru-RU"/>
              </w:rPr>
            </w:pPr>
            <w:r w:rsidRPr="00140671">
              <w:rPr>
                <w:rFonts w:ascii="Times New Roman" w:hAnsi="Times New Roman"/>
                <w:b/>
                <w:bCs/>
                <w:sz w:val="14"/>
                <w:szCs w:val="14"/>
                <w:lang w:eastAsia="ru-RU"/>
              </w:rPr>
              <w:t>79,00</w:t>
            </w:r>
          </w:p>
        </w:tc>
        <w:tc>
          <w:tcPr>
            <w:tcW w:w="452" w:type="dxa"/>
            <w:noWrap/>
            <w:vAlign w:val="center"/>
          </w:tcPr>
          <w:p w:rsidR="002D1E45" w:rsidRPr="00140671" w:rsidRDefault="002D1E45" w:rsidP="00140671">
            <w:pPr>
              <w:spacing w:after="0" w:line="240" w:lineRule="auto"/>
              <w:jc w:val="center"/>
              <w:rPr>
                <w:rFonts w:ascii="Times New Roman" w:hAnsi="Times New Roman"/>
                <w:b/>
                <w:bCs/>
                <w:sz w:val="14"/>
                <w:szCs w:val="14"/>
                <w:lang w:eastAsia="ru-RU"/>
              </w:rPr>
            </w:pPr>
            <w:r w:rsidRPr="00140671">
              <w:rPr>
                <w:rFonts w:ascii="Times New Roman" w:hAnsi="Times New Roman"/>
                <w:b/>
                <w:bCs/>
                <w:sz w:val="14"/>
                <w:szCs w:val="14"/>
                <w:lang w:eastAsia="ru-RU"/>
              </w:rPr>
              <w:t>2</w:t>
            </w:r>
          </w:p>
        </w:tc>
        <w:tc>
          <w:tcPr>
            <w:tcW w:w="671" w:type="dxa"/>
            <w:noWrap/>
            <w:vAlign w:val="center"/>
          </w:tcPr>
          <w:p w:rsidR="002D1E45" w:rsidRPr="00140671" w:rsidRDefault="002D1E45" w:rsidP="00140671">
            <w:pPr>
              <w:spacing w:after="0" w:line="240" w:lineRule="auto"/>
              <w:jc w:val="center"/>
              <w:rPr>
                <w:rFonts w:ascii="Times New Roman" w:hAnsi="Times New Roman"/>
                <w:b/>
                <w:bCs/>
                <w:sz w:val="14"/>
                <w:szCs w:val="14"/>
                <w:lang w:eastAsia="ru-RU"/>
              </w:rPr>
            </w:pPr>
            <w:r w:rsidRPr="00140671">
              <w:rPr>
                <w:rFonts w:ascii="Times New Roman" w:hAnsi="Times New Roman"/>
                <w:b/>
                <w:bCs/>
                <w:sz w:val="14"/>
                <w:szCs w:val="14"/>
                <w:lang w:eastAsia="ru-RU"/>
              </w:rPr>
              <w:t>79,00</w:t>
            </w:r>
          </w:p>
        </w:tc>
        <w:tc>
          <w:tcPr>
            <w:tcW w:w="491" w:type="dxa"/>
            <w:noWrap/>
            <w:vAlign w:val="center"/>
          </w:tcPr>
          <w:p w:rsidR="002D1E45" w:rsidRPr="00140671" w:rsidRDefault="002D1E45" w:rsidP="00140671">
            <w:pPr>
              <w:spacing w:after="0" w:line="240" w:lineRule="auto"/>
              <w:jc w:val="center"/>
              <w:rPr>
                <w:rFonts w:ascii="Times New Roman" w:hAnsi="Times New Roman"/>
                <w:b/>
                <w:bCs/>
                <w:color w:val="FFFFFF"/>
                <w:sz w:val="14"/>
                <w:szCs w:val="14"/>
                <w:lang w:eastAsia="ru-RU"/>
              </w:rPr>
            </w:pPr>
            <w:r w:rsidRPr="00140671">
              <w:rPr>
                <w:rFonts w:ascii="Times New Roman" w:hAnsi="Times New Roman"/>
                <w:b/>
                <w:bCs/>
                <w:color w:val="FFFFFF"/>
                <w:sz w:val="14"/>
                <w:szCs w:val="14"/>
                <w:lang w:eastAsia="ru-RU"/>
              </w:rPr>
              <w:t>0</w:t>
            </w:r>
          </w:p>
        </w:tc>
        <w:tc>
          <w:tcPr>
            <w:tcW w:w="611" w:type="dxa"/>
            <w:noWrap/>
            <w:vAlign w:val="center"/>
          </w:tcPr>
          <w:p w:rsidR="002D1E45" w:rsidRPr="00140671" w:rsidRDefault="002D1E45" w:rsidP="00140671">
            <w:pPr>
              <w:spacing w:after="0" w:line="240" w:lineRule="auto"/>
              <w:jc w:val="center"/>
              <w:rPr>
                <w:rFonts w:ascii="Times New Roman" w:hAnsi="Times New Roman"/>
                <w:b/>
                <w:bCs/>
                <w:color w:val="FFFFFF"/>
                <w:sz w:val="14"/>
                <w:szCs w:val="14"/>
                <w:lang w:eastAsia="ru-RU"/>
              </w:rPr>
            </w:pPr>
            <w:r w:rsidRPr="00140671">
              <w:rPr>
                <w:rFonts w:ascii="Times New Roman" w:hAnsi="Times New Roman"/>
                <w:b/>
                <w:bCs/>
                <w:color w:val="FFFFFF"/>
                <w:sz w:val="14"/>
                <w:szCs w:val="14"/>
                <w:lang w:eastAsia="ru-RU"/>
              </w:rPr>
              <w:t>0,00</w:t>
            </w:r>
          </w:p>
        </w:tc>
        <w:tc>
          <w:tcPr>
            <w:tcW w:w="586" w:type="dxa"/>
            <w:noWrap/>
            <w:vAlign w:val="center"/>
          </w:tcPr>
          <w:p w:rsidR="002D1E45" w:rsidRPr="00140671" w:rsidRDefault="002D1E45" w:rsidP="00140671">
            <w:pPr>
              <w:spacing w:after="0" w:line="240" w:lineRule="auto"/>
              <w:jc w:val="center"/>
              <w:rPr>
                <w:rFonts w:ascii="Times New Roman" w:hAnsi="Times New Roman"/>
                <w:b/>
                <w:bCs/>
                <w:color w:val="FFFFFF"/>
                <w:sz w:val="14"/>
                <w:szCs w:val="14"/>
                <w:lang w:eastAsia="ru-RU"/>
              </w:rPr>
            </w:pPr>
            <w:r w:rsidRPr="00140671">
              <w:rPr>
                <w:rFonts w:ascii="Times New Roman" w:hAnsi="Times New Roman"/>
                <w:b/>
                <w:bCs/>
                <w:color w:val="FFFFFF"/>
                <w:sz w:val="14"/>
                <w:szCs w:val="14"/>
                <w:lang w:eastAsia="ru-RU"/>
              </w:rPr>
              <w:t>0,00</w:t>
            </w:r>
          </w:p>
        </w:tc>
        <w:tc>
          <w:tcPr>
            <w:tcW w:w="626" w:type="dxa"/>
            <w:noWrap/>
            <w:vAlign w:val="center"/>
          </w:tcPr>
          <w:p w:rsidR="002D1E45" w:rsidRPr="00140671" w:rsidRDefault="002D1E45" w:rsidP="00140671">
            <w:pPr>
              <w:spacing w:after="0" w:line="240" w:lineRule="auto"/>
              <w:jc w:val="center"/>
              <w:rPr>
                <w:rFonts w:ascii="Times New Roman" w:hAnsi="Times New Roman"/>
                <w:b/>
                <w:bCs/>
                <w:color w:val="FFFFFF"/>
                <w:sz w:val="14"/>
                <w:szCs w:val="14"/>
                <w:lang w:eastAsia="ru-RU"/>
              </w:rPr>
            </w:pPr>
            <w:r w:rsidRPr="00140671">
              <w:rPr>
                <w:rFonts w:ascii="Times New Roman" w:hAnsi="Times New Roman"/>
                <w:b/>
                <w:bCs/>
                <w:color w:val="FFFFFF"/>
                <w:sz w:val="14"/>
                <w:szCs w:val="14"/>
                <w:lang w:eastAsia="ru-RU"/>
              </w:rPr>
              <w:t>0,00</w:t>
            </w:r>
          </w:p>
        </w:tc>
        <w:tc>
          <w:tcPr>
            <w:tcW w:w="481" w:type="dxa"/>
            <w:noWrap/>
            <w:vAlign w:val="center"/>
          </w:tcPr>
          <w:p w:rsidR="002D1E45" w:rsidRPr="00140671" w:rsidRDefault="002D1E45" w:rsidP="00140671">
            <w:pPr>
              <w:spacing w:after="0" w:line="240" w:lineRule="auto"/>
              <w:jc w:val="center"/>
              <w:rPr>
                <w:rFonts w:ascii="Times New Roman" w:hAnsi="Times New Roman"/>
                <w:b/>
                <w:bCs/>
                <w:color w:val="FFFFFF"/>
                <w:sz w:val="14"/>
                <w:szCs w:val="14"/>
                <w:lang w:eastAsia="ru-RU"/>
              </w:rPr>
            </w:pPr>
            <w:r w:rsidRPr="00140671">
              <w:rPr>
                <w:rFonts w:ascii="Times New Roman" w:hAnsi="Times New Roman"/>
                <w:b/>
                <w:bCs/>
                <w:color w:val="FFFFFF"/>
                <w:sz w:val="14"/>
                <w:szCs w:val="14"/>
                <w:lang w:eastAsia="ru-RU"/>
              </w:rPr>
              <w:t>0,0</w:t>
            </w:r>
          </w:p>
        </w:tc>
        <w:tc>
          <w:tcPr>
            <w:tcW w:w="581" w:type="dxa"/>
            <w:noWrap/>
            <w:vAlign w:val="center"/>
          </w:tcPr>
          <w:p w:rsidR="002D1E45" w:rsidRPr="00140671" w:rsidRDefault="002D1E45" w:rsidP="00140671">
            <w:pPr>
              <w:spacing w:after="0" w:line="240" w:lineRule="auto"/>
              <w:jc w:val="center"/>
              <w:rPr>
                <w:rFonts w:ascii="Times New Roman" w:hAnsi="Times New Roman"/>
                <w:b/>
                <w:bCs/>
                <w:sz w:val="14"/>
                <w:szCs w:val="14"/>
                <w:lang w:eastAsia="ru-RU"/>
              </w:rPr>
            </w:pPr>
          </w:p>
        </w:tc>
        <w:tc>
          <w:tcPr>
            <w:tcW w:w="850" w:type="dxa"/>
            <w:noWrap/>
            <w:vAlign w:val="center"/>
          </w:tcPr>
          <w:p w:rsidR="002D1E45" w:rsidRPr="00140671" w:rsidRDefault="002D1E45" w:rsidP="00140671">
            <w:pPr>
              <w:spacing w:after="0" w:line="240" w:lineRule="auto"/>
              <w:jc w:val="center"/>
              <w:rPr>
                <w:rFonts w:ascii="Times New Roman" w:hAnsi="Times New Roman"/>
                <w:b/>
                <w:bCs/>
                <w:sz w:val="14"/>
                <w:szCs w:val="14"/>
                <w:lang w:eastAsia="ru-RU"/>
              </w:rPr>
            </w:pPr>
            <w:r w:rsidRPr="00140671">
              <w:rPr>
                <w:rFonts w:ascii="Times New Roman" w:hAnsi="Times New Roman"/>
                <w:b/>
                <w:bCs/>
                <w:sz w:val="14"/>
                <w:szCs w:val="14"/>
                <w:lang w:eastAsia="ru-RU"/>
              </w:rPr>
              <w:t>-</w:t>
            </w:r>
          </w:p>
        </w:tc>
      </w:tr>
      <w:tr w:rsidR="002D1E45" w:rsidRPr="004663F7" w:rsidTr="00461628">
        <w:trPr>
          <w:trHeight w:val="57"/>
          <w:jc w:val="center"/>
        </w:trPr>
        <w:tc>
          <w:tcPr>
            <w:tcW w:w="15446" w:type="dxa"/>
            <w:gridSpan w:val="20"/>
            <w:noWrap/>
            <w:vAlign w:val="center"/>
          </w:tcPr>
          <w:p w:rsidR="002D1E45" w:rsidRPr="00140671" w:rsidRDefault="002D1E45" w:rsidP="00140671">
            <w:pPr>
              <w:spacing w:after="0" w:line="240" w:lineRule="auto"/>
              <w:jc w:val="center"/>
              <w:rPr>
                <w:rFonts w:ascii="Times New Roman" w:hAnsi="Times New Roman"/>
                <w:b/>
                <w:bCs/>
                <w:sz w:val="14"/>
                <w:szCs w:val="14"/>
                <w:lang w:eastAsia="ru-RU"/>
              </w:rPr>
            </w:pPr>
            <w:r w:rsidRPr="00140671">
              <w:rPr>
                <w:rFonts w:ascii="Times New Roman" w:hAnsi="Times New Roman"/>
                <w:b/>
                <w:bCs/>
                <w:sz w:val="14"/>
                <w:szCs w:val="14"/>
                <w:lang w:eastAsia="ru-RU"/>
              </w:rPr>
              <w:t>Автомобильные дороги межмуниципального значения</w:t>
            </w:r>
          </w:p>
        </w:tc>
      </w:tr>
      <w:tr w:rsidR="002D1E45" w:rsidRPr="00140671" w:rsidTr="00140671">
        <w:trPr>
          <w:trHeight w:val="57"/>
          <w:jc w:val="center"/>
        </w:trPr>
        <w:tc>
          <w:tcPr>
            <w:tcW w:w="3529" w:type="dxa"/>
            <w:noWrap/>
            <w:vAlign w:val="bottom"/>
          </w:tcPr>
          <w:p w:rsidR="002D1E45" w:rsidRPr="00140671" w:rsidRDefault="002D1E45" w:rsidP="00140671">
            <w:pPr>
              <w:spacing w:after="0" w:line="240" w:lineRule="auto"/>
              <w:rPr>
                <w:rFonts w:ascii="Times New Roman" w:hAnsi="Times New Roman"/>
                <w:sz w:val="14"/>
                <w:szCs w:val="14"/>
                <w:lang w:eastAsia="ru-RU"/>
              </w:rPr>
            </w:pPr>
            <w:r w:rsidRPr="00140671">
              <w:rPr>
                <w:rFonts w:ascii="Times New Roman" w:hAnsi="Times New Roman"/>
                <w:sz w:val="14"/>
                <w:szCs w:val="14"/>
                <w:lang w:eastAsia="ru-RU"/>
              </w:rPr>
              <w:t>Подъезд к г. Куйбышев /5 км/</w:t>
            </w:r>
          </w:p>
        </w:tc>
        <w:tc>
          <w:tcPr>
            <w:tcW w:w="565"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r w:rsidRPr="00140671">
              <w:rPr>
                <w:rFonts w:ascii="Times New Roman" w:hAnsi="Times New Roman"/>
                <w:color w:val="FFFFFF"/>
                <w:sz w:val="14"/>
                <w:szCs w:val="14"/>
                <w:lang w:eastAsia="ru-RU"/>
              </w:rPr>
              <w:t>0</w:t>
            </w:r>
          </w:p>
        </w:tc>
        <w:tc>
          <w:tcPr>
            <w:tcW w:w="740"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r w:rsidRPr="00140671">
              <w:rPr>
                <w:rFonts w:ascii="Times New Roman" w:hAnsi="Times New Roman"/>
                <w:color w:val="FFFFFF"/>
                <w:sz w:val="14"/>
                <w:szCs w:val="14"/>
                <w:lang w:eastAsia="ru-RU"/>
              </w:rPr>
              <w:t>0,00</w:t>
            </w:r>
          </w:p>
        </w:tc>
        <w:tc>
          <w:tcPr>
            <w:tcW w:w="566"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827"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431"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703"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1197"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509"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426"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r w:rsidRPr="00140671">
              <w:rPr>
                <w:rFonts w:ascii="Times New Roman" w:hAnsi="Times New Roman"/>
                <w:color w:val="FFFFFF"/>
                <w:sz w:val="14"/>
                <w:szCs w:val="14"/>
                <w:lang w:eastAsia="ru-RU"/>
              </w:rPr>
              <w:t>0</w:t>
            </w:r>
          </w:p>
        </w:tc>
        <w:tc>
          <w:tcPr>
            <w:tcW w:w="604"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r w:rsidRPr="00140671">
              <w:rPr>
                <w:rFonts w:ascii="Times New Roman" w:hAnsi="Times New Roman"/>
                <w:color w:val="FFFFFF"/>
                <w:sz w:val="14"/>
                <w:szCs w:val="14"/>
                <w:lang w:eastAsia="ru-RU"/>
              </w:rPr>
              <w:t>0,00</w:t>
            </w:r>
          </w:p>
        </w:tc>
        <w:tc>
          <w:tcPr>
            <w:tcW w:w="452"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671"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491"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611"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586"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626"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481"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581"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850"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нет</w:t>
            </w:r>
          </w:p>
        </w:tc>
      </w:tr>
      <w:tr w:rsidR="002D1E45" w:rsidRPr="00140671" w:rsidTr="00140671">
        <w:trPr>
          <w:trHeight w:val="57"/>
          <w:jc w:val="center"/>
        </w:trPr>
        <w:tc>
          <w:tcPr>
            <w:tcW w:w="3529" w:type="dxa"/>
            <w:noWrap/>
            <w:vAlign w:val="bottom"/>
          </w:tcPr>
          <w:p w:rsidR="002D1E45" w:rsidRPr="00140671" w:rsidRDefault="002D1E45" w:rsidP="00140671">
            <w:pPr>
              <w:spacing w:after="0" w:line="240" w:lineRule="auto"/>
              <w:rPr>
                <w:rFonts w:ascii="Times New Roman" w:hAnsi="Times New Roman"/>
                <w:sz w:val="14"/>
                <w:szCs w:val="14"/>
                <w:lang w:eastAsia="ru-RU"/>
              </w:rPr>
            </w:pPr>
            <w:r w:rsidRPr="00140671">
              <w:rPr>
                <w:rFonts w:ascii="Times New Roman" w:hAnsi="Times New Roman"/>
                <w:sz w:val="14"/>
                <w:szCs w:val="14"/>
                <w:lang w:eastAsia="ru-RU"/>
              </w:rPr>
              <w:t>Куйбышев - Абрамово</w:t>
            </w:r>
          </w:p>
        </w:tc>
        <w:tc>
          <w:tcPr>
            <w:tcW w:w="565"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r w:rsidRPr="00140671">
              <w:rPr>
                <w:rFonts w:ascii="Times New Roman" w:hAnsi="Times New Roman"/>
                <w:color w:val="FFFFFF"/>
                <w:sz w:val="14"/>
                <w:szCs w:val="14"/>
                <w:lang w:eastAsia="ru-RU"/>
              </w:rPr>
              <w:t>0</w:t>
            </w:r>
          </w:p>
        </w:tc>
        <w:tc>
          <w:tcPr>
            <w:tcW w:w="740"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r w:rsidRPr="00140671">
              <w:rPr>
                <w:rFonts w:ascii="Times New Roman" w:hAnsi="Times New Roman"/>
                <w:color w:val="FFFFFF"/>
                <w:sz w:val="14"/>
                <w:szCs w:val="14"/>
                <w:lang w:eastAsia="ru-RU"/>
              </w:rPr>
              <w:t>0,00</w:t>
            </w:r>
          </w:p>
        </w:tc>
        <w:tc>
          <w:tcPr>
            <w:tcW w:w="566"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r w:rsidRPr="00140671">
              <w:rPr>
                <w:rFonts w:ascii="Times New Roman" w:hAnsi="Times New Roman"/>
                <w:color w:val="FFFFFF"/>
                <w:sz w:val="14"/>
                <w:szCs w:val="14"/>
                <w:lang w:eastAsia="ru-RU"/>
              </w:rPr>
              <w:t>0</w:t>
            </w:r>
          </w:p>
        </w:tc>
        <w:tc>
          <w:tcPr>
            <w:tcW w:w="827"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r w:rsidRPr="00140671">
              <w:rPr>
                <w:rFonts w:ascii="Times New Roman" w:hAnsi="Times New Roman"/>
                <w:color w:val="FFFFFF"/>
                <w:sz w:val="14"/>
                <w:szCs w:val="14"/>
                <w:lang w:eastAsia="ru-RU"/>
              </w:rPr>
              <w:t>0,00</w:t>
            </w:r>
          </w:p>
        </w:tc>
        <w:tc>
          <w:tcPr>
            <w:tcW w:w="431"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r w:rsidRPr="00140671">
              <w:rPr>
                <w:rFonts w:ascii="Times New Roman" w:hAnsi="Times New Roman"/>
                <w:color w:val="FFFFFF"/>
                <w:sz w:val="14"/>
                <w:szCs w:val="14"/>
                <w:lang w:eastAsia="ru-RU"/>
              </w:rPr>
              <w:t>0</w:t>
            </w:r>
          </w:p>
        </w:tc>
        <w:tc>
          <w:tcPr>
            <w:tcW w:w="703"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r w:rsidRPr="00140671">
              <w:rPr>
                <w:rFonts w:ascii="Times New Roman" w:hAnsi="Times New Roman"/>
                <w:color w:val="FFFFFF"/>
                <w:sz w:val="14"/>
                <w:szCs w:val="14"/>
                <w:lang w:eastAsia="ru-RU"/>
              </w:rPr>
              <w:t>0,00</w:t>
            </w:r>
          </w:p>
        </w:tc>
        <w:tc>
          <w:tcPr>
            <w:tcW w:w="1197"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509"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426"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r w:rsidRPr="00140671">
              <w:rPr>
                <w:rFonts w:ascii="Times New Roman" w:hAnsi="Times New Roman"/>
                <w:color w:val="FFFFFF"/>
                <w:sz w:val="14"/>
                <w:szCs w:val="14"/>
                <w:lang w:eastAsia="ru-RU"/>
              </w:rPr>
              <w:t>0</w:t>
            </w:r>
          </w:p>
        </w:tc>
        <w:tc>
          <w:tcPr>
            <w:tcW w:w="604"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r w:rsidRPr="00140671">
              <w:rPr>
                <w:rFonts w:ascii="Times New Roman" w:hAnsi="Times New Roman"/>
                <w:color w:val="FFFFFF"/>
                <w:sz w:val="14"/>
                <w:szCs w:val="14"/>
                <w:lang w:eastAsia="ru-RU"/>
              </w:rPr>
              <w:t>0,00</w:t>
            </w:r>
          </w:p>
        </w:tc>
        <w:tc>
          <w:tcPr>
            <w:tcW w:w="452"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r w:rsidRPr="00140671">
              <w:rPr>
                <w:rFonts w:ascii="Times New Roman" w:hAnsi="Times New Roman"/>
                <w:color w:val="FFFFFF"/>
                <w:sz w:val="14"/>
                <w:szCs w:val="14"/>
                <w:lang w:eastAsia="ru-RU"/>
              </w:rPr>
              <w:t>0</w:t>
            </w:r>
          </w:p>
        </w:tc>
        <w:tc>
          <w:tcPr>
            <w:tcW w:w="671"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r w:rsidRPr="00140671">
              <w:rPr>
                <w:rFonts w:ascii="Times New Roman" w:hAnsi="Times New Roman"/>
                <w:color w:val="FFFFFF"/>
                <w:sz w:val="14"/>
                <w:szCs w:val="14"/>
                <w:lang w:eastAsia="ru-RU"/>
              </w:rPr>
              <w:t>0,00</w:t>
            </w:r>
          </w:p>
        </w:tc>
        <w:tc>
          <w:tcPr>
            <w:tcW w:w="491"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r w:rsidRPr="00140671">
              <w:rPr>
                <w:rFonts w:ascii="Times New Roman" w:hAnsi="Times New Roman"/>
                <w:color w:val="FFFFFF"/>
                <w:sz w:val="14"/>
                <w:szCs w:val="14"/>
                <w:lang w:eastAsia="ru-RU"/>
              </w:rPr>
              <w:t>0</w:t>
            </w:r>
          </w:p>
        </w:tc>
        <w:tc>
          <w:tcPr>
            <w:tcW w:w="611"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r w:rsidRPr="00140671">
              <w:rPr>
                <w:rFonts w:ascii="Times New Roman" w:hAnsi="Times New Roman"/>
                <w:color w:val="FFFFFF"/>
                <w:sz w:val="14"/>
                <w:szCs w:val="14"/>
                <w:lang w:eastAsia="ru-RU"/>
              </w:rPr>
              <w:t>0,00</w:t>
            </w:r>
          </w:p>
        </w:tc>
        <w:tc>
          <w:tcPr>
            <w:tcW w:w="586"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626"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481"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r w:rsidRPr="00140671">
              <w:rPr>
                <w:rFonts w:ascii="Times New Roman" w:hAnsi="Times New Roman"/>
                <w:color w:val="FFFFFF"/>
                <w:sz w:val="14"/>
                <w:szCs w:val="14"/>
                <w:lang w:eastAsia="ru-RU"/>
              </w:rPr>
              <w:t>0,0</w:t>
            </w:r>
          </w:p>
        </w:tc>
        <w:tc>
          <w:tcPr>
            <w:tcW w:w="581"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r w:rsidRPr="00140671">
              <w:rPr>
                <w:rFonts w:ascii="Times New Roman" w:hAnsi="Times New Roman"/>
                <w:color w:val="FFFFFF"/>
                <w:sz w:val="14"/>
                <w:szCs w:val="14"/>
                <w:lang w:eastAsia="ru-RU"/>
              </w:rPr>
              <w:t>0,00</w:t>
            </w:r>
          </w:p>
        </w:tc>
        <w:tc>
          <w:tcPr>
            <w:tcW w:w="850"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нет</w:t>
            </w:r>
          </w:p>
        </w:tc>
      </w:tr>
      <w:tr w:rsidR="002D1E45" w:rsidRPr="00140671" w:rsidTr="00140671">
        <w:trPr>
          <w:trHeight w:val="57"/>
          <w:jc w:val="center"/>
        </w:trPr>
        <w:tc>
          <w:tcPr>
            <w:tcW w:w="3529" w:type="dxa"/>
            <w:noWrap/>
            <w:vAlign w:val="bottom"/>
          </w:tcPr>
          <w:p w:rsidR="002D1E45" w:rsidRPr="00140671" w:rsidRDefault="002D1E45" w:rsidP="00140671">
            <w:pPr>
              <w:spacing w:after="0" w:line="240" w:lineRule="auto"/>
              <w:rPr>
                <w:rFonts w:ascii="Times New Roman" w:hAnsi="Times New Roman"/>
                <w:sz w:val="14"/>
                <w:szCs w:val="14"/>
                <w:lang w:eastAsia="ru-RU"/>
              </w:rPr>
            </w:pPr>
            <w:r w:rsidRPr="00140671">
              <w:rPr>
                <w:rFonts w:ascii="Times New Roman" w:hAnsi="Times New Roman"/>
                <w:sz w:val="14"/>
                <w:szCs w:val="14"/>
                <w:lang w:eastAsia="ru-RU"/>
              </w:rPr>
              <w:t>Куйбышев - Нагорное</w:t>
            </w:r>
          </w:p>
        </w:tc>
        <w:tc>
          <w:tcPr>
            <w:tcW w:w="565"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r w:rsidRPr="00140671">
              <w:rPr>
                <w:rFonts w:ascii="Times New Roman" w:hAnsi="Times New Roman"/>
                <w:color w:val="FFFFFF"/>
                <w:sz w:val="14"/>
                <w:szCs w:val="14"/>
                <w:lang w:eastAsia="ru-RU"/>
              </w:rPr>
              <w:t>0</w:t>
            </w:r>
          </w:p>
        </w:tc>
        <w:tc>
          <w:tcPr>
            <w:tcW w:w="740"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r w:rsidRPr="00140671">
              <w:rPr>
                <w:rFonts w:ascii="Times New Roman" w:hAnsi="Times New Roman"/>
                <w:color w:val="FFFFFF"/>
                <w:sz w:val="14"/>
                <w:szCs w:val="14"/>
                <w:lang w:eastAsia="ru-RU"/>
              </w:rPr>
              <w:t>0,00</w:t>
            </w:r>
          </w:p>
        </w:tc>
        <w:tc>
          <w:tcPr>
            <w:tcW w:w="566"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r w:rsidRPr="00140671">
              <w:rPr>
                <w:rFonts w:ascii="Times New Roman" w:hAnsi="Times New Roman"/>
                <w:color w:val="FFFFFF"/>
                <w:sz w:val="14"/>
                <w:szCs w:val="14"/>
                <w:lang w:eastAsia="ru-RU"/>
              </w:rPr>
              <w:t>0</w:t>
            </w:r>
          </w:p>
        </w:tc>
        <w:tc>
          <w:tcPr>
            <w:tcW w:w="827"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r w:rsidRPr="00140671">
              <w:rPr>
                <w:rFonts w:ascii="Times New Roman" w:hAnsi="Times New Roman"/>
                <w:color w:val="FFFFFF"/>
                <w:sz w:val="14"/>
                <w:szCs w:val="14"/>
                <w:lang w:eastAsia="ru-RU"/>
              </w:rPr>
              <w:t>0,00</w:t>
            </w:r>
          </w:p>
        </w:tc>
        <w:tc>
          <w:tcPr>
            <w:tcW w:w="431"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r w:rsidRPr="00140671">
              <w:rPr>
                <w:rFonts w:ascii="Times New Roman" w:hAnsi="Times New Roman"/>
                <w:color w:val="FFFFFF"/>
                <w:sz w:val="14"/>
                <w:szCs w:val="14"/>
                <w:lang w:eastAsia="ru-RU"/>
              </w:rPr>
              <w:t>0</w:t>
            </w:r>
          </w:p>
        </w:tc>
        <w:tc>
          <w:tcPr>
            <w:tcW w:w="703"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r w:rsidRPr="00140671">
              <w:rPr>
                <w:rFonts w:ascii="Times New Roman" w:hAnsi="Times New Roman"/>
                <w:color w:val="FFFFFF"/>
                <w:sz w:val="14"/>
                <w:szCs w:val="14"/>
                <w:lang w:eastAsia="ru-RU"/>
              </w:rPr>
              <w:t>0,00</w:t>
            </w:r>
          </w:p>
        </w:tc>
        <w:tc>
          <w:tcPr>
            <w:tcW w:w="1197"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509"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426"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r w:rsidRPr="00140671">
              <w:rPr>
                <w:rFonts w:ascii="Times New Roman" w:hAnsi="Times New Roman"/>
                <w:color w:val="FFFFFF"/>
                <w:sz w:val="14"/>
                <w:szCs w:val="14"/>
                <w:lang w:eastAsia="ru-RU"/>
              </w:rPr>
              <w:t>0</w:t>
            </w:r>
          </w:p>
        </w:tc>
        <w:tc>
          <w:tcPr>
            <w:tcW w:w="604"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r w:rsidRPr="00140671">
              <w:rPr>
                <w:rFonts w:ascii="Times New Roman" w:hAnsi="Times New Roman"/>
                <w:color w:val="FFFFFF"/>
                <w:sz w:val="14"/>
                <w:szCs w:val="14"/>
                <w:lang w:eastAsia="ru-RU"/>
              </w:rPr>
              <w:t>0,00</w:t>
            </w:r>
          </w:p>
        </w:tc>
        <w:tc>
          <w:tcPr>
            <w:tcW w:w="452"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r w:rsidRPr="00140671">
              <w:rPr>
                <w:rFonts w:ascii="Times New Roman" w:hAnsi="Times New Roman"/>
                <w:color w:val="FFFFFF"/>
                <w:sz w:val="14"/>
                <w:szCs w:val="14"/>
                <w:lang w:eastAsia="ru-RU"/>
              </w:rPr>
              <w:t>0</w:t>
            </w:r>
          </w:p>
        </w:tc>
        <w:tc>
          <w:tcPr>
            <w:tcW w:w="671"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r w:rsidRPr="00140671">
              <w:rPr>
                <w:rFonts w:ascii="Times New Roman" w:hAnsi="Times New Roman"/>
                <w:color w:val="FFFFFF"/>
                <w:sz w:val="14"/>
                <w:szCs w:val="14"/>
                <w:lang w:eastAsia="ru-RU"/>
              </w:rPr>
              <w:t>0,00</w:t>
            </w:r>
          </w:p>
        </w:tc>
        <w:tc>
          <w:tcPr>
            <w:tcW w:w="491"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r w:rsidRPr="00140671">
              <w:rPr>
                <w:rFonts w:ascii="Times New Roman" w:hAnsi="Times New Roman"/>
                <w:color w:val="FFFFFF"/>
                <w:sz w:val="14"/>
                <w:szCs w:val="14"/>
                <w:lang w:eastAsia="ru-RU"/>
              </w:rPr>
              <w:t>0</w:t>
            </w:r>
          </w:p>
        </w:tc>
        <w:tc>
          <w:tcPr>
            <w:tcW w:w="611"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r w:rsidRPr="00140671">
              <w:rPr>
                <w:rFonts w:ascii="Times New Roman" w:hAnsi="Times New Roman"/>
                <w:color w:val="FFFFFF"/>
                <w:sz w:val="14"/>
                <w:szCs w:val="14"/>
                <w:lang w:eastAsia="ru-RU"/>
              </w:rPr>
              <w:t>0,00</w:t>
            </w:r>
          </w:p>
        </w:tc>
        <w:tc>
          <w:tcPr>
            <w:tcW w:w="586"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626"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481"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r w:rsidRPr="00140671">
              <w:rPr>
                <w:rFonts w:ascii="Times New Roman" w:hAnsi="Times New Roman"/>
                <w:color w:val="FFFFFF"/>
                <w:sz w:val="14"/>
                <w:szCs w:val="14"/>
                <w:lang w:eastAsia="ru-RU"/>
              </w:rPr>
              <w:t>0,0</w:t>
            </w:r>
          </w:p>
        </w:tc>
        <w:tc>
          <w:tcPr>
            <w:tcW w:w="581"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r w:rsidRPr="00140671">
              <w:rPr>
                <w:rFonts w:ascii="Times New Roman" w:hAnsi="Times New Roman"/>
                <w:color w:val="FFFFFF"/>
                <w:sz w:val="14"/>
                <w:szCs w:val="14"/>
                <w:lang w:eastAsia="ru-RU"/>
              </w:rPr>
              <w:t>0,00</w:t>
            </w:r>
          </w:p>
        </w:tc>
        <w:tc>
          <w:tcPr>
            <w:tcW w:w="850"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нет</w:t>
            </w:r>
          </w:p>
        </w:tc>
      </w:tr>
      <w:tr w:rsidR="002D1E45" w:rsidRPr="00140671" w:rsidTr="00140671">
        <w:trPr>
          <w:trHeight w:val="57"/>
          <w:jc w:val="center"/>
        </w:trPr>
        <w:tc>
          <w:tcPr>
            <w:tcW w:w="3529" w:type="dxa"/>
            <w:noWrap/>
            <w:vAlign w:val="bottom"/>
          </w:tcPr>
          <w:p w:rsidR="002D1E45" w:rsidRPr="00140671" w:rsidRDefault="002D1E45" w:rsidP="00140671">
            <w:pPr>
              <w:spacing w:after="0" w:line="240" w:lineRule="auto"/>
              <w:rPr>
                <w:rFonts w:ascii="Times New Roman" w:hAnsi="Times New Roman"/>
                <w:sz w:val="14"/>
                <w:szCs w:val="14"/>
                <w:lang w:eastAsia="ru-RU"/>
              </w:rPr>
            </w:pPr>
            <w:r w:rsidRPr="00140671">
              <w:rPr>
                <w:rFonts w:ascii="Times New Roman" w:hAnsi="Times New Roman"/>
                <w:sz w:val="14"/>
                <w:szCs w:val="14"/>
                <w:lang w:eastAsia="ru-RU"/>
              </w:rPr>
              <w:t>Куйбышев - Чумаково - Балман</w:t>
            </w:r>
          </w:p>
        </w:tc>
        <w:tc>
          <w:tcPr>
            <w:tcW w:w="565"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87</w:t>
            </w:r>
          </w:p>
        </w:tc>
        <w:tc>
          <w:tcPr>
            <w:tcW w:w="740"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1358,14</w:t>
            </w:r>
          </w:p>
        </w:tc>
        <w:tc>
          <w:tcPr>
            <w:tcW w:w="566"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80</w:t>
            </w:r>
          </w:p>
        </w:tc>
        <w:tc>
          <w:tcPr>
            <w:tcW w:w="827"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1241,64</w:t>
            </w:r>
          </w:p>
        </w:tc>
        <w:tc>
          <w:tcPr>
            <w:tcW w:w="431"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7</w:t>
            </w:r>
          </w:p>
        </w:tc>
        <w:tc>
          <w:tcPr>
            <w:tcW w:w="703"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116,50</w:t>
            </w:r>
          </w:p>
        </w:tc>
        <w:tc>
          <w:tcPr>
            <w:tcW w:w="1197"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509"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426"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1</w:t>
            </w:r>
          </w:p>
        </w:tc>
        <w:tc>
          <w:tcPr>
            <w:tcW w:w="604"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29,00</w:t>
            </w:r>
          </w:p>
        </w:tc>
        <w:tc>
          <w:tcPr>
            <w:tcW w:w="452"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1</w:t>
            </w:r>
          </w:p>
        </w:tc>
        <w:tc>
          <w:tcPr>
            <w:tcW w:w="671"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29,00</w:t>
            </w:r>
          </w:p>
        </w:tc>
        <w:tc>
          <w:tcPr>
            <w:tcW w:w="491"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r w:rsidRPr="00140671">
              <w:rPr>
                <w:rFonts w:ascii="Times New Roman" w:hAnsi="Times New Roman"/>
                <w:color w:val="FFFFFF"/>
                <w:sz w:val="14"/>
                <w:szCs w:val="14"/>
                <w:lang w:eastAsia="ru-RU"/>
              </w:rPr>
              <w:t>0</w:t>
            </w:r>
          </w:p>
        </w:tc>
        <w:tc>
          <w:tcPr>
            <w:tcW w:w="611"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r w:rsidRPr="00140671">
              <w:rPr>
                <w:rFonts w:ascii="Times New Roman" w:hAnsi="Times New Roman"/>
                <w:color w:val="FFFFFF"/>
                <w:sz w:val="14"/>
                <w:szCs w:val="14"/>
                <w:lang w:eastAsia="ru-RU"/>
              </w:rPr>
              <w:t>0,00</w:t>
            </w:r>
          </w:p>
        </w:tc>
        <w:tc>
          <w:tcPr>
            <w:tcW w:w="586"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626"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481"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r w:rsidRPr="00140671">
              <w:rPr>
                <w:rFonts w:ascii="Times New Roman" w:hAnsi="Times New Roman"/>
                <w:color w:val="FFFFFF"/>
                <w:sz w:val="14"/>
                <w:szCs w:val="14"/>
                <w:lang w:eastAsia="ru-RU"/>
              </w:rPr>
              <w:t>0,0</w:t>
            </w:r>
          </w:p>
        </w:tc>
        <w:tc>
          <w:tcPr>
            <w:tcW w:w="581"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r w:rsidRPr="00140671">
              <w:rPr>
                <w:rFonts w:ascii="Times New Roman" w:hAnsi="Times New Roman"/>
                <w:color w:val="FFFFFF"/>
                <w:sz w:val="14"/>
                <w:szCs w:val="14"/>
                <w:lang w:eastAsia="ru-RU"/>
              </w:rPr>
              <w:t>0,00</w:t>
            </w:r>
          </w:p>
        </w:tc>
        <w:tc>
          <w:tcPr>
            <w:tcW w:w="850"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нет</w:t>
            </w:r>
          </w:p>
        </w:tc>
      </w:tr>
      <w:tr w:rsidR="002D1E45" w:rsidRPr="00140671" w:rsidTr="00140671">
        <w:trPr>
          <w:trHeight w:val="57"/>
          <w:jc w:val="center"/>
        </w:trPr>
        <w:tc>
          <w:tcPr>
            <w:tcW w:w="3529" w:type="dxa"/>
            <w:noWrap/>
            <w:vAlign w:val="bottom"/>
          </w:tcPr>
          <w:p w:rsidR="002D1E45" w:rsidRPr="00140671" w:rsidRDefault="002D1E45" w:rsidP="00140671">
            <w:pPr>
              <w:spacing w:after="0" w:line="240" w:lineRule="auto"/>
              <w:rPr>
                <w:rFonts w:ascii="Times New Roman" w:hAnsi="Times New Roman"/>
                <w:sz w:val="14"/>
                <w:szCs w:val="14"/>
                <w:lang w:eastAsia="ru-RU"/>
              </w:rPr>
            </w:pPr>
            <w:r w:rsidRPr="00140671">
              <w:rPr>
                <w:rFonts w:ascii="Times New Roman" w:hAnsi="Times New Roman"/>
                <w:sz w:val="14"/>
                <w:szCs w:val="14"/>
                <w:lang w:eastAsia="ru-RU"/>
              </w:rPr>
              <w:t>Куйбышев - Кондусла - гр.Убинского района</w:t>
            </w:r>
          </w:p>
        </w:tc>
        <w:tc>
          <w:tcPr>
            <w:tcW w:w="565"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19</w:t>
            </w:r>
          </w:p>
        </w:tc>
        <w:tc>
          <w:tcPr>
            <w:tcW w:w="740"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302,30</w:t>
            </w:r>
          </w:p>
        </w:tc>
        <w:tc>
          <w:tcPr>
            <w:tcW w:w="566"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18</w:t>
            </w:r>
          </w:p>
        </w:tc>
        <w:tc>
          <w:tcPr>
            <w:tcW w:w="827"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296,30</w:t>
            </w:r>
          </w:p>
        </w:tc>
        <w:tc>
          <w:tcPr>
            <w:tcW w:w="431"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1</w:t>
            </w:r>
          </w:p>
        </w:tc>
        <w:tc>
          <w:tcPr>
            <w:tcW w:w="703"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6,00</w:t>
            </w:r>
          </w:p>
        </w:tc>
        <w:tc>
          <w:tcPr>
            <w:tcW w:w="1197"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509"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426"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r w:rsidRPr="00140671">
              <w:rPr>
                <w:rFonts w:ascii="Times New Roman" w:hAnsi="Times New Roman"/>
                <w:color w:val="FFFFFF"/>
                <w:sz w:val="14"/>
                <w:szCs w:val="14"/>
                <w:lang w:eastAsia="ru-RU"/>
              </w:rPr>
              <w:t>0</w:t>
            </w:r>
          </w:p>
        </w:tc>
        <w:tc>
          <w:tcPr>
            <w:tcW w:w="604"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r w:rsidRPr="00140671">
              <w:rPr>
                <w:rFonts w:ascii="Times New Roman" w:hAnsi="Times New Roman"/>
                <w:color w:val="FFFFFF"/>
                <w:sz w:val="14"/>
                <w:szCs w:val="14"/>
                <w:lang w:eastAsia="ru-RU"/>
              </w:rPr>
              <w:t>0,00</w:t>
            </w:r>
          </w:p>
        </w:tc>
        <w:tc>
          <w:tcPr>
            <w:tcW w:w="452"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r w:rsidRPr="00140671">
              <w:rPr>
                <w:rFonts w:ascii="Times New Roman" w:hAnsi="Times New Roman"/>
                <w:color w:val="FFFFFF"/>
                <w:sz w:val="14"/>
                <w:szCs w:val="14"/>
                <w:lang w:eastAsia="ru-RU"/>
              </w:rPr>
              <w:t>0</w:t>
            </w:r>
          </w:p>
        </w:tc>
        <w:tc>
          <w:tcPr>
            <w:tcW w:w="671"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r w:rsidRPr="00140671">
              <w:rPr>
                <w:rFonts w:ascii="Times New Roman" w:hAnsi="Times New Roman"/>
                <w:color w:val="FFFFFF"/>
                <w:sz w:val="14"/>
                <w:szCs w:val="14"/>
                <w:lang w:eastAsia="ru-RU"/>
              </w:rPr>
              <w:t>0,00</w:t>
            </w:r>
          </w:p>
        </w:tc>
        <w:tc>
          <w:tcPr>
            <w:tcW w:w="491"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r w:rsidRPr="00140671">
              <w:rPr>
                <w:rFonts w:ascii="Times New Roman" w:hAnsi="Times New Roman"/>
                <w:color w:val="FFFFFF"/>
                <w:sz w:val="14"/>
                <w:szCs w:val="14"/>
                <w:lang w:eastAsia="ru-RU"/>
              </w:rPr>
              <w:t>0</w:t>
            </w:r>
          </w:p>
        </w:tc>
        <w:tc>
          <w:tcPr>
            <w:tcW w:w="611"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r w:rsidRPr="00140671">
              <w:rPr>
                <w:rFonts w:ascii="Times New Roman" w:hAnsi="Times New Roman"/>
                <w:color w:val="FFFFFF"/>
                <w:sz w:val="14"/>
                <w:szCs w:val="14"/>
                <w:lang w:eastAsia="ru-RU"/>
              </w:rPr>
              <w:t>0,00</w:t>
            </w:r>
          </w:p>
        </w:tc>
        <w:tc>
          <w:tcPr>
            <w:tcW w:w="586"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626"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481"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r w:rsidRPr="00140671">
              <w:rPr>
                <w:rFonts w:ascii="Times New Roman" w:hAnsi="Times New Roman"/>
                <w:color w:val="FFFFFF"/>
                <w:sz w:val="14"/>
                <w:szCs w:val="14"/>
                <w:lang w:eastAsia="ru-RU"/>
              </w:rPr>
              <w:t>0,0</w:t>
            </w:r>
          </w:p>
        </w:tc>
        <w:tc>
          <w:tcPr>
            <w:tcW w:w="581"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r w:rsidRPr="00140671">
              <w:rPr>
                <w:rFonts w:ascii="Times New Roman" w:hAnsi="Times New Roman"/>
                <w:color w:val="FFFFFF"/>
                <w:sz w:val="14"/>
                <w:szCs w:val="14"/>
                <w:lang w:eastAsia="ru-RU"/>
              </w:rPr>
              <w:t>0,00</w:t>
            </w:r>
          </w:p>
        </w:tc>
        <w:tc>
          <w:tcPr>
            <w:tcW w:w="850"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нет</w:t>
            </w:r>
          </w:p>
        </w:tc>
      </w:tr>
      <w:tr w:rsidR="002D1E45" w:rsidRPr="00140671" w:rsidTr="00140671">
        <w:trPr>
          <w:trHeight w:val="57"/>
          <w:jc w:val="center"/>
        </w:trPr>
        <w:tc>
          <w:tcPr>
            <w:tcW w:w="3529" w:type="dxa"/>
            <w:noWrap/>
            <w:vAlign w:val="bottom"/>
          </w:tcPr>
          <w:p w:rsidR="002D1E45" w:rsidRPr="00140671" w:rsidRDefault="002D1E45" w:rsidP="00140671">
            <w:pPr>
              <w:spacing w:after="0" w:line="240" w:lineRule="auto"/>
              <w:rPr>
                <w:rFonts w:ascii="Times New Roman" w:hAnsi="Times New Roman"/>
                <w:sz w:val="14"/>
                <w:szCs w:val="14"/>
                <w:lang w:eastAsia="ru-RU"/>
              </w:rPr>
            </w:pPr>
            <w:r w:rsidRPr="00140671">
              <w:rPr>
                <w:rFonts w:ascii="Times New Roman" w:hAnsi="Times New Roman"/>
                <w:sz w:val="14"/>
                <w:szCs w:val="14"/>
                <w:lang w:eastAsia="ru-RU"/>
              </w:rPr>
              <w:t>Куйбышев - Малинино</w:t>
            </w:r>
          </w:p>
        </w:tc>
        <w:tc>
          <w:tcPr>
            <w:tcW w:w="565"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4</w:t>
            </w:r>
          </w:p>
        </w:tc>
        <w:tc>
          <w:tcPr>
            <w:tcW w:w="740"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59,97</w:t>
            </w:r>
          </w:p>
        </w:tc>
        <w:tc>
          <w:tcPr>
            <w:tcW w:w="566"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3</w:t>
            </w:r>
          </w:p>
        </w:tc>
        <w:tc>
          <w:tcPr>
            <w:tcW w:w="827"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35,73</w:t>
            </w:r>
          </w:p>
        </w:tc>
        <w:tc>
          <w:tcPr>
            <w:tcW w:w="431"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1</w:t>
            </w:r>
          </w:p>
        </w:tc>
        <w:tc>
          <w:tcPr>
            <w:tcW w:w="703"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24,24</w:t>
            </w:r>
          </w:p>
        </w:tc>
        <w:tc>
          <w:tcPr>
            <w:tcW w:w="1197"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509"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426"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r w:rsidRPr="00140671">
              <w:rPr>
                <w:rFonts w:ascii="Times New Roman" w:hAnsi="Times New Roman"/>
                <w:color w:val="FFFFFF"/>
                <w:sz w:val="14"/>
                <w:szCs w:val="14"/>
                <w:lang w:eastAsia="ru-RU"/>
              </w:rPr>
              <w:t>0</w:t>
            </w:r>
          </w:p>
        </w:tc>
        <w:tc>
          <w:tcPr>
            <w:tcW w:w="604"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r w:rsidRPr="00140671">
              <w:rPr>
                <w:rFonts w:ascii="Times New Roman" w:hAnsi="Times New Roman"/>
                <w:color w:val="FFFFFF"/>
                <w:sz w:val="14"/>
                <w:szCs w:val="14"/>
                <w:lang w:eastAsia="ru-RU"/>
              </w:rPr>
              <w:t>0,00</w:t>
            </w:r>
          </w:p>
        </w:tc>
        <w:tc>
          <w:tcPr>
            <w:tcW w:w="452"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671"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491"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611"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586"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626"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481"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581" w:type="dxa"/>
            <w:noWrap/>
            <w:vAlign w:val="center"/>
          </w:tcPr>
          <w:p w:rsidR="002D1E45" w:rsidRPr="00140671" w:rsidRDefault="002D1E45" w:rsidP="00140671">
            <w:pPr>
              <w:spacing w:after="0" w:line="240" w:lineRule="auto"/>
              <w:jc w:val="center"/>
              <w:rPr>
                <w:rFonts w:ascii="Times New Roman" w:hAnsi="Times New Roman"/>
                <w:color w:val="FFFFFF"/>
                <w:sz w:val="14"/>
                <w:szCs w:val="14"/>
                <w:lang w:eastAsia="ru-RU"/>
              </w:rPr>
            </w:pPr>
          </w:p>
        </w:tc>
        <w:tc>
          <w:tcPr>
            <w:tcW w:w="850" w:type="dxa"/>
            <w:noWrap/>
            <w:vAlign w:val="center"/>
          </w:tcPr>
          <w:p w:rsidR="002D1E45" w:rsidRPr="00140671" w:rsidRDefault="002D1E45" w:rsidP="00140671">
            <w:pPr>
              <w:spacing w:after="0" w:line="240" w:lineRule="auto"/>
              <w:jc w:val="center"/>
              <w:rPr>
                <w:rFonts w:ascii="Times New Roman" w:hAnsi="Times New Roman"/>
                <w:sz w:val="14"/>
                <w:szCs w:val="14"/>
                <w:lang w:eastAsia="ru-RU"/>
              </w:rPr>
            </w:pPr>
            <w:r w:rsidRPr="00140671">
              <w:rPr>
                <w:rFonts w:ascii="Times New Roman" w:hAnsi="Times New Roman"/>
                <w:sz w:val="14"/>
                <w:szCs w:val="14"/>
                <w:lang w:eastAsia="ru-RU"/>
              </w:rPr>
              <w:t>нет</w:t>
            </w:r>
          </w:p>
        </w:tc>
      </w:tr>
      <w:tr w:rsidR="002D1E45" w:rsidRPr="00140671" w:rsidTr="004663F7">
        <w:trPr>
          <w:trHeight w:val="57"/>
          <w:jc w:val="center"/>
        </w:trPr>
        <w:tc>
          <w:tcPr>
            <w:tcW w:w="3529" w:type="dxa"/>
            <w:noWrap/>
            <w:vAlign w:val="center"/>
          </w:tcPr>
          <w:p w:rsidR="002D1E45" w:rsidRPr="00140671" w:rsidRDefault="002D1E45" w:rsidP="00140671">
            <w:pPr>
              <w:spacing w:after="0" w:line="240" w:lineRule="auto"/>
              <w:rPr>
                <w:rFonts w:ascii="Times New Roman" w:hAnsi="Times New Roman"/>
                <w:b/>
                <w:bCs/>
                <w:sz w:val="14"/>
                <w:szCs w:val="14"/>
                <w:lang w:eastAsia="ru-RU"/>
              </w:rPr>
            </w:pPr>
            <w:r w:rsidRPr="00140671">
              <w:rPr>
                <w:rFonts w:ascii="Times New Roman" w:hAnsi="Times New Roman"/>
                <w:b/>
                <w:bCs/>
                <w:sz w:val="14"/>
                <w:szCs w:val="14"/>
                <w:lang w:eastAsia="ru-RU"/>
              </w:rPr>
              <w:t>Итого автомобильных дорог межмуниципального значения:</w:t>
            </w:r>
          </w:p>
        </w:tc>
        <w:tc>
          <w:tcPr>
            <w:tcW w:w="565" w:type="dxa"/>
            <w:noWrap/>
            <w:vAlign w:val="center"/>
          </w:tcPr>
          <w:p w:rsidR="002D1E45" w:rsidRPr="00140671" w:rsidRDefault="002D1E45" w:rsidP="00140671">
            <w:pPr>
              <w:spacing w:after="0" w:line="240" w:lineRule="auto"/>
              <w:jc w:val="center"/>
              <w:rPr>
                <w:rFonts w:ascii="Times New Roman" w:hAnsi="Times New Roman"/>
                <w:b/>
                <w:bCs/>
                <w:sz w:val="14"/>
                <w:szCs w:val="14"/>
                <w:lang w:eastAsia="ru-RU"/>
              </w:rPr>
            </w:pPr>
            <w:r>
              <w:rPr>
                <w:rFonts w:ascii="Times New Roman" w:hAnsi="Times New Roman"/>
                <w:b/>
                <w:bCs/>
                <w:sz w:val="14"/>
                <w:szCs w:val="14"/>
                <w:lang w:eastAsia="ru-RU"/>
              </w:rPr>
              <w:fldChar w:fldCharType="begin"/>
            </w:r>
            <w:r>
              <w:rPr>
                <w:rFonts w:ascii="Times New Roman" w:hAnsi="Times New Roman"/>
                <w:b/>
                <w:bCs/>
                <w:sz w:val="14"/>
                <w:szCs w:val="14"/>
                <w:lang w:eastAsia="ru-RU"/>
              </w:rPr>
              <w:instrText xml:space="preserve"> =SUM(ABOVE) </w:instrText>
            </w:r>
            <w:r>
              <w:rPr>
                <w:rFonts w:ascii="Times New Roman" w:hAnsi="Times New Roman"/>
                <w:b/>
                <w:bCs/>
                <w:sz w:val="14"/>
                <w:szCs w:val="14"/>
                <w:lang w:eastAsia="ru-RU"/>
              </w:rPr>
              <w:fldChar w:fldCharType="separate"/>
            </w:r>
            <w:r>
              <w:rPr>
                <w:rFonts w:ascii="Times New Roman" w:hAnsi="Times New Roman"/>
                <w:b/>
                <w:bCs/>
                <w:noProof/>
                <w:sz w:val="14"/>
                <w:szCs w:val="14"/>
                <w:lang w:eastAsia="ru-RU"/>
              </w:rPr>
              <w:t>110</w:t>
            </w:r>
            <w:r>
              <w:rPr>
                <w:rFonts w:ascii="Times New Roman" w:hAnsi="Times New Roman"/>
                <w:b/>
                <w:bCs/>
                <w:sz w:val="14"/>
                <w:szCs w:val="14"/>
                <w:lang w:eastAsia="ru-RU"/>
              </w:rPr>
              <w:fldChar w:fldCharType="end"/>
            </w:r>
          </w:p>
        </w:tc>
        <w:tc>
          <w:tcPr>
            <w:tcW w:w="740" w:type="dxa"/>
            <w:noWrap/>
            <w:vAlign w:val="center"/>
          </w:tcPr>
          <w:p w:rsidR="002D1E45" w:rsidRPr="00140671" w:rsidRDefault="002D1E45" w:rsidP="00140671">
            <w:pPr>
              <w:spacing w:after="0" w:line="240" w:lineRule="auto"/>
              <w:jc w:val="center"/>
              <w:rPr>
                <w:rFonts w:ascii="Times New Roman" w:hAnsi="Times New Roman"/>
                <w:b/>
                <w:bCs/>
                <w:sz w:val="14"/>
                <w:szCs w:val="14"/>
                <w:lang w:eastAsia="ru-RU"/>
              </w:rPr>
            </w:pPr>
            <w:r>
              <w:rPr>
                <w:rFonts w:ascii="Times New Roman" w:hAnsi="Times New Roman"/>
                <w:b/>
                <w:bCs/>
                <w:sz w:val="14"/>
                <w:szCs w:val="14"/>
                <w:lang w:eastAsia="ru-RU"/>
              </w:rPr>
              <w:fldChar w:fldCharType="begin"/>
            </w:r>
            <w:r>
              <w:rPr>
                <w:rFonts w:ascii="Times New Roman" w:hAnsi="Times New Roman"/>
                <w:b/>
                <w:bCs/>
                <w:sz w:val="14"/>
                <w:szCs w:val="14"/>
                <w:lang w:eastAsia="ru-RU"/>
              </w:rPr>
              <w:instrText xml:space="preserve"> =SUM(ABOVE) </w:instrText>
            </w:r>
            <w:r>
              <w:rPr>
                <w:rFonts w:ascii="Times New Roman" w:hAnsi="Times New Roman"/>
                <w:b/>
                <w:bCs/>
                <w:sz w:val="14"/>
                <w:szCs w:val="14"/>
                <w:lang w:eastAsia="ru-RU"/>
              </w:rPr>
              <w:fldChar w:fldCharType="separate"/>
            </w:r>
            <w:r>
              <w:rPr>
                <w:rFonts w:ascii="Times New Roman" w:hAnsi="Times New Roman"/>
                <w:b/>
                <w:bCs/>
                <w:noProof/>
                <w:sz w:val="14"/>
                <w:szCs w:val="14"/>
                <w:lang w:eastAsia="ru-RU"/>
              </w:rPr>
              <w:t>1720,41</w:t>
            </w:r>
            <w:r>
              <w:rPr>
                <w:rFonts w:ascii="Times New Roman" w:hAnsi="Times New Roman"/>
                <w:b/>
                <w:bCs/>
                <w:sz w:val="14"/>
                <w:szCs w:val="14"/>
                <w:lang w:eastAsia="ru-RU"/>
              </w:rPr>
              <w:fldChar w:fldCharType="end"/>
            </w:r>
          </w:p>
        </w:tc>
        <w:tc>
          <w:tcPr>
            <w:tcW w:w="566" w:type="dxa"/>
            <w:noWrap/>
            <w:vAlign w:val="center"/>
          </w:tcPr>
          <w:p w:rsidR="002D1E45" w:rsidRPr="00140671" w:rsidRDefault="002D1E45" w:rsidP="00140671">
            <w:pPr>
              <w:spacing w:after="0" w:line="240" w:lineRule="auto"/>
              <w:jc w:val="center"/>
              <w:rPr>
                <w:rFonts w:ascii="Times New Roman" w:hAnsi="Times New Roman"/>
                <w:b/>
                <w:bCs/>
                <w:sz w:val="14"/>
                <w:szCs w:val="14"/>
                <w:lang w:eastAsia="ru-RU"/>
              </w:rPr>
            </w:pPr>
            <w:r>
              <w:rPr>
                <w:rFonts w:ascii="Times New Roman" w:hAnsi="Times New Roman"/>
                <w:b/>
                <w:bCs/>
                <w:sz w:val="14"/>
                <w:szCs w:val="14"/>
                <w:lang w:eastAsia="ru-RU"/>
              </w:rPr>
              <w:fldChar w:fldCharType="begin"/>
            </w:r>
            <w:r>
              <w:rPr>
                <w:rFonts w:ascii="Times New Roman" w:hAnsi="Times New Roman"/>
                <w:b/>
                <w:bCs/>
                <w:sz w:val="14"/>
                <w:szCs w:val="14"/>
                <w:lang w:eastAsia="ru-RU"/>
              </w:rPr>
              <w:instrText xml:space="preserve"> =SUM(ABOVE) </w:instrText>
            </w:r>
            <w:r>
              <w:rPr>
                <w:rFonts w:ascii="Times New Roman" w:hAnsi="Times New Roman"/>
                <w:b/>
                <w:bCs/>
                <w:sz w:val="14"/>
                <w:szCs w:val="14"/>
                <w:lang w:eastAsia="ru-RU"/>
              </w:rPr>
              <w:fldChar w:fldCharType="separate"/>
            </w:r>
            <w:r>
              <w:rPr>
                <w:rFonts w:ascii="Times New Roman" w:hAnsi="Times New Roman"/>
                <w:b/>
                <w:bCs/>
                <w:noProof/>
                <w:sz w:val="14"/>
                <w:szCs w:val="14"/>
                <w:lang w:eastAsia="ru-RU"/>
              </w:rPr>
              <w:t>101</w:t>
            </w:r>
            <w:r>
              <w:rPr>
                <w:rFonts w:ascii="Times New Roman" w:hAnsi="Times New Roman"/>
                <w:b/>
                <w:bCs/>
                <w:sz w:val="14"/>
                <w:szCs w:val="14"/>
                <w:lang w:eastAsia="ru-RU"/>
              </w:rPr>
              <w:fldChar w:fldCharType="end"/>
            </w:r>
          </w:p>
        </w:tc>
        <w:tc>
          <w:tcPr>
            <w:tcW w:w="827" w:type="dxa"/>
            <w:noWrap/>
            <w:vAlign w:val="center"/>
          </w:tcPr>
          <w:p w:rsidR="002D1E45" w:rsidRPr="00140671" w:rsidRDefault="002D1E45" w:rsidP="00140671">
            <w:pPr>
              <w:spacing w:after="0" w:line="240" w:lineRule="auto"/>
              <w:jc w:val="center"/>
              <w:rPr>
                <w:rFonts w:ascii="Times New Roman" w:hAnsi="Times New Roman"/>
                <w:b/>
                <w:bCs/>
                <w:sz w:val="14"/>
                <w:szCs w:val="14"/>
                <w:lang w:eastAsia="ru-RU"/>
              </w:rPr>
            </w:pPr>
            <w:r>
              <w:rPr>
                <w:rFonts w:ascii="Times New Roman" w:hAnsi="Times New Roman"/>
                <w:b/>
                <w:bCs/>
                <w:sz w:val="14"/>
                <w:szCs w:val="14"/>
                <w:lang w:eastAsia="ru-RU"/>
              </w:rPr>
              <w:fldChar w:fldCharType="begin"/>
            </w:r>
            <w:r>
              <w:rPr>
                <w:rFonts w:ascii="Times New Roman" w:hAnsi="Times New Roman"/>
                <w:b/>
                <w:bCs/>
                <w:sz w:val="14"/>
                <w:szCs w:val="14"/>
                <w:lang w:eastAsia="ru-RU"/>
              </w:rPr>
              <w:instrText xml:space="preserve"> =SUM(ABOVE) </w:instrText>
            </w:r>
            <w:r>
              <w:rPr>
                <w:rFonts w:ascii="Times New Roman" w:hAnsi="Times New Roman"/>
                <w:b/>
                <w:bCs/>
                <w:sz w:val="14"/>
                <w:szCs w:val="14"/>
                <w:lang w:eastAsia="ru-RU"/>
              </w:rPr>
              <w:fldChar w:fldCharType="separate"/>
            </w:r>
            <w:r>
              <w:rPr>
                <w:rFonts w:ascii="Times New Roman" w:hAnsi="Times New Roman"/>
                <w:b/>
                <w:bCs/>
                <w:noProof/>
                <w:sz w:val="14"/>
                <w:szCs w:val="14"/>
                <w:lang w:eastAsia="ru-RU"/>
              </w:rPr>
              <w:t>1573,67</w:t>
            </w:r>
            <w:r>
              <w:rPr>
                <w:rFonts w:ascii="Times New Roman" w:hAnsi="Times New Roman"/>
                <w:b/>
                <w:bCs/>
                <w:sz w:val="14"/>
                <w:szCs w:val="14"/>
                <w:lang w:eastAsia="ru-RU"/>
              </w:rPr>
              <w:fldChar w:fldCharType="end"/>
            </w:r>
          </w:p>
        </w:tc>
        <w:tc>
          <w:tcPr>
            <w:tcW w:w="431" w:type="dxa"/>
            <w:noWrap/>
            <w:vAlign w:val="center"/>
          </w:tcPr>
          <w:p w:rsidR="002D1E45" w:rsidRPr="00140671" w:rsidRDefault="002D1E45" w:rsidP="00140671">
            <w:pPr>
              <w:spacing w:after="0" w:line="240" w:lineRule="auto"/>
              <w:jc w:val="center"/>
              <w:rPr>
                <w:rFonts w:ascii="Times New Roman" w:hAnsi="Times New Roman"/>
                <w:b/>
                <w:bCs/>
                <w:sz w:val="14"/>
                <w:szCs w:val="14"/>
                <w:lang w:eastAsia="ru-RU"/>
              </w:rPr>
            </w:pPr>
            <w:r>
              <w:rPr>
                <w:rFonts w:ascii="Times New Roman" w:hAnsi="Times New Roman"/>
                <w:b/>
                <w:bCs/>
                <w:sz w:val="14"/>
                <w:szCs w:val="14"/>
                <w:lang w:eastAsia="ru-RU"/>
              </w:rPr>
              <w:fldChar w:fldCharType="begin"/>
            </w:r>
            <w:r>
              <w:rPr>
                <w:rFonts w:ascii="Times New Roman" w:hAnsi="Times New Roman"/>
                <w:b/>
                <w:bCs/>
                <w:sz w:val="14"/>
                <w:szCs w:val="14"/>
                <w:lang w:eastAsia="ru-RU"/>
              </w:rPr>
              <w:instrText xml:space="preserve"> =SUM(ABOVE) </w:instrText>
            </w:r>
            <w:r>
              <w:rPr>
                <w:rFonts w:ascii="Times New Roman" w:hAnsi="Times New Roman"/>
                <w:b/>
                <w:bCs/>
                <w:sz w:val="14"/>
                <w:szCs w:val="14"/>
                <w:lang w:eastAsia="ru-RU"/>
              </w:rPr>
              <w:fldChar w:fldCharType="separate"/>
            </w:r>
            <w:r>
              <w:rPr>
                <w:rFonts w:ascii="Times New Roman" w:hAnsi="Times New Roman"/>
                <w:b/>
                <w:bCs/>
                <w:noProof/>
                <w:sz w:val="14"/>
                <w:szCs w:val="14"/>
                <w:lang w:eastAsia="ru-RU"/>
              </w:rPr>
              <w:t>9</w:t>
            </w:r>
            <w:r>
              <w:rPr>
                <w:rFonts w:ascii="Times New Roman" w:hAnsi="Times New Roman"/>
                <w:b/>
                <w:bCs/>
                <w:sz w:val="14"/>
                <w:szCs w:val="14"/>
                <w:lang w:eastAsia="ru-RU"/>
              </w:rPr>
              <w:fldChar w:fldCharType="end"/>
            </w:r>
          </w:p>
        </w:tc>
        <w:tc>
          <w:tcPr>
            <w:tcW w:w="703" w:type="dxa"/>
            <w:noWrap/>
            <w:vAlign w:val="center"/>
          </w:tcPr>
          <w:p w:rsidR="002D1E45" w:rsidRPr="00140671" w:rsidRDefault="002D1E45" w:rsidP="00140671">
            <w:pPr>
              <w:spacing w:after="0" w:line="240" w:lineRule="auto"/>
              <w:jc w:val="center"/>
              <w:rPr>
                <w:rFonts w:ascii="Times New Roman" w:hAnsi="Times New Roman"/>
                <w:b/>
                <w:bCs/>
                <w:sz w:val="14"/>
                <w:szCs w:val="14"/>
                <w:lang w:eastAsia="ru-RU"/>
              </w:rPr>
            </w:pPr>
            <w:r>
              <w:rPr>
                <w:rFonts w:ascii="Times New Roman" w:hAnsi="Times New Roman"/>
                <w:b/>
                <w:bCs/>
                <w:sz w:val="14"/>
                <w:szCs w:val="14"/>
                <w:lang w:eastAsia="ru-RU"/>
              </w:rPr>
              <w:fldChar w:fldCharType="begin"/>
            </w:r>
            <w:r>
              <w:rPr>
                <w:rFonts w:ascii="Times New Roman" w:hAnsi="Times New Roman"/>
                <w:b/>
                <w:bCs/>
                <w:sz w:val="14"/>
                <w:szCs w:val="14"/>
                <w:lang w:eastAsia="ru-RU"/>
              </w:rPr>
              <w:instrText xml:space="preserve"> =SUM(ABOVE) </w:instrText>
            </w:r>
            <w:r>
              <w:rPr>
                <w:rFonts w:ascii="Times New Roman" w:hAnsi="Times New Roman"/>
                <w:b/>
                <w:bCs/>
                <w:sz w:val="14"/>
                <w:szCs w:val="14"/>
                <w:lang w:eastAsia="ru-RU"/>
              </w:rPr>
              <w:fldChar w:fldCharType="separate"/>
            </w:r>
            <w:r>
              <w:rPr>
                <w:rFonts w:ascii="Times New Roman" w:hAnsi="Times New Roman"/>
                <w:b/>
                <w:bCs/>
                <w:noProof/>
                <w:sz w:val="14"/>
                <w:szCs w:val="14"/>
                <w:lang w:eastAsia="ru-RU"/>
              </w:rPr>
              <w:t>146,74</w:t>
            </w:r>
            <w:r>
              <w:rPr>
                <w:rFonts w:ascii="Times New Roman" w:hAnsi="Times New Roman"/>
                <w:b/>
                <w:bCs/>
                <w:sz w:val="14"/>
                <w:szCs w:val="14"/>
                <w:lang w:eastAsia="ru-RU"/>
              </w:rPr>
              <w:fldChar w:fldCharType="end"/>
            </w:r>
          </w:p>
        </w:tc>
        <w:tc>
          <w:tcPr>
            <w:tcW w:w="1197" w:type="dxa"/>
            <w:noWrap/>
            <w:vAlign w:val="center"/>
          </w:tcPr>
          <w:p w:rsidR="002D1E45" w:rsidRPr="00140671" w:rsidRDefault="002D1E45" w:rsidP="00140671">
            <w:pPr>
              <w:spacing w:after="0" w:line="240" w:lineRule="auto"/>
              <w:jc w:val="center"/>
              <w:rPr>
                <w:rFonts w:ascii="Times New Roman" w:hAnsi="Times New Roman"/>
                <w:b/>
                <w:bCs/>
                <w:color w:val="FFFFFF"/>
                <w:sz w:val="14"/>
                <w:szCs w:val="14"/>
                <w:lang w:eastAsia="ru-RU"/>
              </w:rPr>
            </w:pPr>
          </w:p>
        </w:tc>
        <w:tc>
          <w:tcPr>
            <w:tcW w:w="509" w:type="dxa"/>
            <w:noWrap/>
            <w:vAlign w:val="center"/>
          </w:tcPr>
          <w:p w:rsidR="002D1E45" w:rsidRPr="00140671" w:rsidRDefault="002D1E45" w:rsidP="00140671">
            <w:pPr>
              <w:spacing w:after="0" w:line="240" w:lineRule="auto"/>
              <w:jc w:val="center"/>
              <w:rPr>
                <w:rFonts w:ascii="Times New Roman" w:hAnsi="Times New Roman"/>
                <w:b/>
                <w:bCs/>
                <w:color w:val="FFFFFF"/>
                <w:sz w:val="14"/>
                <w:szCs w:val="14"/>
                <w:lang w:eastAsia="ru-RU"/>
              </w:rPr>
            </w:pPr>
          </w:p>
        </w:tc>
        <w:tc>
          <w:tcPr>
            <w:tcW w:w="426" w:type="dxa"/>
            <w:noWrap/>
            <w:vAlign w:val="center"/>
          </w:tcPr>
          <w:p w:rsidR="002D1E45" w:rsidRPr="00140671" w:rsidRDefault="002D1E45" w:rsidP="00140671">
            <w:pPr>
              <w:spacing w:after="0" w:line="240" w:lineRule="auto"/>
              <w:jc w:val="center"/>
              <w:rPr>
                <w:rFonts w:ascii="Times New Roman" w:hAnsi="Times New Roman"/>
                <w:b/>
                <w:bCs/>
                <w:sz w:val="14"/>
                <w:szCs w:val="14"/>
                <w:lang w:eastAsia="ru-RU"/>
              </w:rPr>
            </w:pPr>
            <w:r>
              <w:rPr>
                <w:rFonts w:ascii="Times New Roman" w:hAnsi="Times New Roman"/>
                <w:b/>
                <w:bCs/>
                <w:sz w:val="14"/>
                <w:szCs w:val="14"/>
                <w:lang w:eastAsia="ru-RU"/>
              </w:rPr>
              <w:fldChar w:fldCharType="begin"/>
            </w:r>
            <w:r>
              <w:rPr>
                <w:rFonts w:ascii="Times New Roman" w:hAnsi="Times New Roman"/>
                <w:b/>
                <w:bCs/>
                <w:sz w:val="14"/>
                <w:szCs w:val="14"/>
                <w:lang w:eastAsia="ru-RU"/>
              </w:rPr>
              <w:instrText xml:space="preserve"> =SUM(ABOVE) </w:instrText>
            </w:r>
            <w:r>
              <w:rPr>
                <w:rFonts w:ascii="Times New Roman" w:hAnsi="Times New Roman"/>
                <w:b/>
                <w:bCs/>
                <w:sz w:val="14"/>
                <w:szCs w:val="14"/>
                <w:lang w:eastAsia="ru-RU"/>
              </w:rPr>
              <w:fldChar w:fldCharType="separate"/>
            </w:r>
            <w:r>
              <w:rPr>
                <w:rFonts w:ascii="Times New Roman" w:hAnsi="Times New Roman"/>
                <w:b/>
                <w:bCs/>
                <w:noProof/>
                <w:sz w:val="14"/>
                <w:szCs w:val="14"/>
                <w:lang w:eastAsia="ru-RU"/>
              </w:rPr>
              <w:t>1</w:t>
            </w:r>
            <w:r>
              <w:rPr>
                <w:rFonts w:ascii="Times New Roman" w:hAnsi="Times New Roman"/>
                <w:b/>
                <w:bCs/>
                <w:sz w:val="14"/>
                <w:szCs w:val="14"/>
                <w:lang w:eastAsia="ru-RU"/>
              </w:rPr>
              <w:fldChar w:fldCharType="end"/>
            </w:r>
          </w:p>
        </w:tc>
        <w:tc>
          <w:tcPr>
            <w:tcW w:w="604" w:type="dxa"/>
            <w:noWrap/>
            <w:vAlign w:val="center"/>
          </w:tcPr>
          <w:p w:rsidR="002D1E45" w:rsidRPr="00140671" w:rsidRDefault="002D1E45" w:rsidP="00140671">
            <w:pPr>
              <w:spacing w:after="0" w:line="240" w:lineRule="auto"/>
              <w:jc w:val="center"/>
              <w:rPr>
                <w:rFonts w:ascii="Times New Roman" w:hAnsi="Times New Roman"/>
                <w:b/>
                <w:bCs/>
                <w:sz w:val="14"/>
                <w:szCs w:val="14"/>
                <w:lang w:eastAsia="ru-RU"/>
              </w:rPr>
            </w:pPr>
            <w:r>
              <w:rPr>
                <w:rFonts w:ascii="Times New Roman" w:hAnsi="Times New Roman"/>
                <w:b/>
                <w:bCs/>
                <w:sz w:val="14"/>
                <w:szCs w:val="14"/>
                <w:lang w:eastAsia="ru-RU"/>
              </w:rPr>
              <w:fldChar w:fldCharType="begin"/>
            </w:r>
            <w:r>
              <w:rPr>
                <w:rFonts w:ascii="Times New Roman" w:hAnsi="Times New Roman"/>
                <w:b/>
                <w:bCs/>
                <w:sz w:val="14"/>
                <w:szCs w:val="14"/>
                <w:lang w:eastAsia="ru-RU"/>
              </w:rPr>
              <w:instrText xml:space="preserve"> =SUM(ABOVE) </w:instrText>
            </w:r>
            <w:r>
              <w:rPr>
                <w:rFonts w:ascii="Times New Roman" w:hAnsi="Times New Roman"/>
                <w:b/>
                <w:bCs/>
                <w:sz w:val="14"/>
                <w:szCs w:val="14"/>
                <w:lang w:eastAsia="ru-RU"/>
              </w:rPr>
              <w:fldChar w:fldCharType="separate"/>
            </w:r>
            <w:r>
              <w:rPr>
                <w:rFonts w:ascii="Times New Roman" w:hAnsi="Times New Roman"/>
                <w:b/>
                <w:bCs/>
                <w:noProof/>
                <w:sz w:val="14"/>
                <w:szCs w:val="14"/>
                <w:lang w:eastAsia="ru-RU"/>
              </w:rPr>
              <w:t>29</w:t>
            </w:r>
            <w:r>
              <w:rPr>
                <w:rFonts w:ascii="Times New Roman" w:hAnsi="Times New Roman"/>
                <w:b/>
                <w:bCs/>
                <w:sz w:val="14"/>
                <w:szCs w:val="14"/>
                <w:lang w:eastAsia="ru-RU"/>
              </w:rPr>
              <w:fldChar w:fldCharType="end"/>
            </w:r>
          </w:p>
        </w:tc>
        <w:tc>
          <w:tcPr>
            <w:tcW w:w="452" w:type="dxa"/>
            <w:noWrap/>
            <w:vAlign w:val="center"/>
          </w:tcPr>
          <w:p w:rsidR="002D1E45" w:rsidRPr="00140671" w:rsidRDefault="002D1E45" w:rsidP="00140671">
            <w:pPr>
              <w:spacing w:after="0" w:line="240" w:lineRule="auto"/>
              <w:jc w:val="center"/>
              <w:rPr>
                <w:rFonts w:ascii="Times New Roman" w:hAnsi="Times New Roman"/>
                <w:b/>
                <w:bCs/>
                <w:sz w:val="14"/>
                <w:szCs w:val="14"/>
                <w:lang w:eastAsia="ru-RU"/>
              </w:rPr>
            </w:pPr>
            <w:r>
              <w:rPr>
                <w:rFonts w:ascii="Times New Roman" w:hAnsi="Times New Roman"/>
                <w:b/>
                <w:bCs/>
                <w:sz w:val="14"/>
                <w:szCs w:val="14"/>
                <w:lang w:eastAsia="ru-RU"/>
              </w:rPr>
              <w:fldChar w:fldCharType="begin"/>
            </w:r>
            <w:r>
              <w:rPr>
                <w:rFonts w:ascii="Times New Roman" w:hAnsi="Times New Roman"/>
                <w:b/>
                <w:bCs/>
                <w:sz w:val="14"/>
                <w:szCs w:val="14"/>
                <w:lang w:eastAsia="ru-RU"/>
              </w:rPr>
              <w:instrText xml:space="preserve"> =SUM(LEFT) </w:instrText>
            </w:r>
            <w:r>
              <w:rPr>
                <w:rFonts w:ascii="Times New Roman" w:hAnsi="Times New Roman"/>
                <w:b/>
                <w:bCs/>
                <w:sz w:val="14"/>
                <w:szCs w:val="14"/>
                <w:lang w:eastAsia="ru-RU"/>
              </w:rPr>
              <w:fldChar w:fldCharType="separate"/>
            </w:r>
            <w:r>
              <w:rPr>
                <w:rFonts w:ascii="Times New Roman" w:hAnsi="Times New Roman"/>
                <w:b/>
                <w:bCs/>
                <w:noProof/>
                <w:sz w:val="14"/>
                <w:szCs w:val="14"/>
                <w:lang w:eastAsia="ru-RU"/>
              </w:rPr>
              <w:t>30</w:t>
            </w:r>
            <w:r>
              <w:rPr>
                <w:rFonts w:ascii="Times New Roman" w:hAnsi="Times New Roman"/>
                <w:b/>
                <w:bCs/>
                <w:sz w:val="14"/>
                <w:szCs w:val="14"/>
                <w:lang w:eastAsia="ru-RU"/>
              </w:rPr>
              <w:fldChar w:fldCharType="end"/>
            </w:r>
          </w:p>
        </w:tc>
        <w:tc>
          <w:tcPr>
            <w:tcW w:w="671" w:type="dxa"/>
            <w:noWrap/>
            <w:vAlign w:val="center"/>
          </w:tcPr>
          <w:p w:rsidR="002D1E45" w:rsidRPr="00140671" w:rsidRDefault="002D1E45" w:rsidP="00140671">
            <w:pPr>
              <w:spacing w:after="0" w:line="240" w:lineRule="auto"/>
              <w:jc w:val="center"/>
              <w:rPr>
                <w:rFonts w:ascii="Times New Roman" w:hAnsi="Times New Roman"/>
                <w:b/>
                <w:bCs/>
                <w:sz w:val="14"/>
                <w:szCs w:val="14"/>
                <w:lang w:eastAsia="ru-RU"/>
              </w:rPr>
            </w:pPr>
            <w:r>
              <w:rPr>
                <w:rFonts w:ascii="Times New Roman" w:hAnsi="Times New Roman"/>
                <w:b/>
                <w:bCs/>
                <w:sz w:val="14"/>
                <w:szCs w:val="14"/>
                <w:lang w:eastAsia="ru-RU"/>
              </w:rPr>
              <w:fldChar w:fldCharType="begin"/>
            </w:r>
            <w:r>
              <w:rPr>
                <w:rFonts w:ascii="Times New Roman" w:hAnsi="Times New Roman"/>
                <w:b/>
                <w:bCs/>
                <w:sz w:val="14"/>
                <w:szCs w:val="14"/>
                <w:lang w:eastAsia="ru-RU"/>
              </w:rPr>
              <w:instrText xml:space="preserve"> =SUM(LEFT) </w:instrText>
            </w:r>
            <w:r>
              <w:rPr>
                <w:rFonts w:ascii="Times New Roman" w:hAnsi="Times New Roman"/>
                <w:b/>
                <w:bCs/>
                <w:sz w:val="14"/>
                <w:szCs w:val="14"/>
                <w:lang w:eastAsia="ru-RU"/>
              </w:rPr>
              <w:fldChar w:fldCharType="separate"/>
            </w:r>
            <w:r>
              <w:rPr>
                <w:rFonts w:ascii="Times New Roman" w:hAnsi="Times New Roman"/>
                <w:b/>
                <w:bCs/>
                <w:noProof/>
                <w:sz w:val="14"/>
                <w:szCs w:val="14"/>
                <w:lang w:eastAsia="ru-RU"/>
              </w:rPr>
              <w:t>60</w:t>
            </w:r>
            <w:r>
              <w:rPr>
                <w:rFonts w:ascii="Times New Roman" w:hAnsi="Times New Roman"/>
                <w:b/>
                <w:bCs/>
                <w:sz w:val="14"/>
                <w:szCs w:val="14"/>
                <w:lang w:eastAsia="ru-RU"/>
              </w:rPr>
              <w:fldChar w:fldCharType="end"/>
            </w:r>
          </w:p>
        </w:tc>
        <w:tc>
          <w:tcPr>
            <w:tcW w:w="491" w:type="dxa"/>
            <w:noWrap/>
            <w:vAlign w:val="center"/>
          </w:tcPr>
          <w:p w:rsidR="002D1E45" w:rsidRPr="00140671" w:rsidRDefault="002D1E45" w:rsidP="00140671">
            <w:pPr>
              <w:spacing w:after="0" w:line="240" w:lineRule="auto"/>
              <w:jc w:val="center"/>
              <w:rPr>
                <w:rFonts w:ascii="Times New Roman" w:hAnsi="Times New Roman"/>
                <w:b/>
                <w:bCs/>
                <w:sz w:val="14"/>
                <w:szCs w:val="14"/>
                <w:lang w:eastAsia="ru-RU"/>
              </w:rPr>
            </w:pPr>
          </w:p>
        </w:tc>
        <w:tc>
          <w:tcPr>
            <w:tcW w:w="611" w:type="dxa"/>
            <w:noWrap/>
            <w:vAlign w:val="center"/>
          </w:tcPr>
          <w:p w:rsidR="002D1E45" w:rsidRPr="00140671" w:rsidRDefault="002D1E45" w:rsidP="00140671">
            <w:pPr>
              <w:spacing w:after="0" w:line="240" w:lineRule="auto"/>
              <w:jc w:val="center"/>
              <w:rPr>
                <w:rFonts w:ascii="Times New Roman" w:hAnsi="Times New Roman"/>
                <w:b/>
                <w:bCs/>
                <w:sz w:val="14"/>
                <w:szCs w:val="14"/>
                <w:lang w:eastAsia="ru-RU"/>
              </w:rPr>
            </w:pPr>
          </w:p>
        </w:tc>
        <w:tc>
          <w:tcPr>
            <w:tcW w:w="586" w:type="dxa"/>
            <w:noWrap/>
            <w:vAlign w:val="center"/>
          </w:tcPr>
          <w:p w:rsidR="002D1E45" w:rsidRPr="00140671" w:rsidRDefault="002D1E45" w:rsidP="00140671">
            <w:pPr>
              <w:spacing w:after="0" w:line="240" w:lineRule="auto"/>
              <w:jc w:val="center"/>
              <w:rPr>
                <w:rFonts w:ascii="Times New Roman" w:hAnsi="Times New Roman"/>
                <w:b/>
                <w:bCs/>
                <w:color w:val="FFFFFF"/>
                <w:sz w:val="14"/>
                <w:szCs w:val="14"/>
                <w:lang w:eastAsia="ru-RU"/>
              </w:rPr>
            </w:pPr>
            <w:r w:rsidRPr="00140671">
              <w:rPr>
                <w:rFonts w:ascii="Times New Roman" w:hAnsi="Times New Roman"/>
                <w:b/>
                <w:bCs/>
                <w:color w:val="FFFFFF"/>
                <w:sz w:val="14"/>
                <w:szCs w:val="14"/>
                <w:lang w:eastAsia="ru-RU"/>
              </w:rPr>
              <w:t>0</w:t>
            </w:r>
          </w:p>
        </w:tc>
        <w:tc>
          <w:tcPr>
            <w:tcW w:w="626" w:type="dxa"/>
            <w:noWrap/>
            <w:vAlign w:val="center"/>
          </w:tcPr>
          <w:p w:rsidR="002D1E45" w:rsidRPr="00140671" w:rsidRDefault="002D1E45" w:rsidP="00140671">
            <w:pPr>
              <w:spacing w:after="0" w:line="240" w:lineRule="auto"/>
              <w:jc w:val="center"/>
              <w:rPr>
                <w:rFonts w:ascii="Times New Roman" w:hAnsi="Times New Roman"/>
                <w:b/>
                <w:bCs/>
                <w:color w:val="FFFFFF"/>
                <w:sz w:val="14"/>
                <w:szCs w:val="14"/>
                <w:lang w:eastAsia="ru-RU"/>
              </w:rPr>
            </w:pPr>
            <w:r w:rsidRPr="00140671">
              <w:rPr>
                <w:rFonts w:ascii="Times New Roman" w:hAnsi="Times New Roman"/>
                <w:b/>
                <w:bCs/>
                <w:color w:val="FFFFFF"/>
                <w:sz w:val="14"/>
                <w:szCs w:val="14"/>
                <w:lang w:eastAsia="ru-RU"/>
              </w:rPr>
              <w:t>0</w:t>
            </w:r>
          </w:p>
        </w:tc>
        <w:tc>
          <w:tcPr>
            <w:tcW w:w="481" w:type="dxa"/>
            <w:noWrap/>
            <w:vAlign w:val="center"/>
          </w:tcPr>
          <w:p w:rsidR="002D1E45" w:rsidRPr="00140671" w:rsidRDefault="002D1E45" w:rsidP="00140671">
            <w:pPr>
              <w:spacing w:after="0" w:line="240" w:lineRule="auto"/>
              <w:jc w:val="center"/>
              <w:rPr>
                <w:rFonts w:ascii="Times New Roman" w:hAnsi="Times New Roman"/>
                <w:b/>
                <w:bCs/>
                <w:color w:val="FFFFFF"/>
                <w:sz w:val="14"/>
                <w:szCs w:val="14"/>
                <w:lang w:eastAsia="ru-RU"/>
              </w:rPr>
            </w:pPr>
            <w:r w:rsidRPr="00140671">
              <w:rPr>
                <w:rFonts w:ascii="Times New Roman" w:hAnsi="Times New Roman"/>
                <w:b/>
                <w:bCs/>
                <w:color w:val="FFFFFF"/>
                <w:sz w:val="14"/>
                <w:szCs w:val="14"/>
                <w:lang w:eastAsia="ru-RU"/>
              </w:rPr>
              <w:t>0</w:t>
            </w:r>
          </w:p>
        </w:tc>
        <w:tc>
          <w:tcPr>
            <w:tcW w:w="581" w:type="dxa"/>
            <w:noWrap/>
            <w:vAlign w:val="center"/>
          </w:tcPr>
          <w:p w:rsidR="002D1E45" w:rsidRPr="00140671" w:rsidRDefault="002D1E45" w:rsidP="00140671">
            <w:pPr>
              <w:spacing w:after="0" w:line="240" w:lineRule="auto"/>
              <w:jc w:val="center"/>
              <w:rPr>
                <w:rFonts w:ascii="Times New Roman" w:hAnsi="Times New Roman"/>
                <w:b/>
                <w:bCs/>
                <w:color w:val="FFFFFF"/>
                <w:sz w:val="14"/>
                <w:szCs w:val="14"/>
                <w:lang w:eastAsia="ru-RU"/>
              </w:rPr>
            </w:pPr>
            <w:r w:rsidRPr="00140671">
              <w:rPr>
                <w:rFonts w:ascii="Times New Roman" w:hAnsi="Times New Roman"/>
                <w:b/>
                <w:bCs/>
                <w:color w:val="FFFFFF"/>
                <w:sz w:val="14"/>
                <w:szCs w:val="14"/>
                <w:lang w:eastAsia="ru-RU"/>
              </w:rPr>
              <w:t>0,00</w:t>
            </w:r>
          </w:p>
        </w:tc>
        <w:tc>
          <w:tcPr>
            <w:tcW w:w="850" w:type="dxa"/>
            <w:noWrap/>
            <w:vAlign w:val="center"/>
          </w:tcPr>
          <w:p w:rsidR="002D1E45" w:rsidRPr="00140671" w:rsidRDefault="002D1E45" w:rsidP="00140671">
            <w:pPr>
              <w:spacing w:after="0" w:line="240" w:lineRule="auto"/>
              <w:jc w:val="center"/>
              <w:rPr>
                <w:rFonts w:ascii="Times New Roman" w:hAnsi="Times New Roman"/>
                <w:b/>
                <w:bCs/>
                <w:sz w:val="14"/>
                <w:szCs w:val="14"/>
                <w:lang w:eastAsia="ru-RU"/>
              </w:rPr>
            </w:pPr>
            <w:r w:rsidRPr="00140671">
              <w:rPr>
                <w:rFonts w:ascii="Times New Roman" w:hAnsi="Times New Roman"/>
                <w:b/>
                <w:bCs/>
                <w:sz w:val="14"/>
                <w:szCs w:val="14"/>
                <w:lang w:eastAsia="ru-RU"/>
              </w:rPr>
              <w:t>-</w:t>
            </w:r>
          </w:p>
        </w:tc>
      </w:tr>
      <w:tr w:rsidR="002D1E45" w:rsidRPr="00140671" w:rsidTr="00461628">
        <w:trPr>
          <w:trHeight w:val="57"/>
          <w:jc w:val="center"/>
        </w:trPr>
        <w:tc>
          <w:tcPr>
            <w:tcW w:w="3529" w:type="dxa"/>
            <w:noWrap/>
            <w:vAlign w:val="bottom"/>
          </w:tcPr>
          <w:p w:rsidR="002D1E45" w:rsidRPr="00140671" w:rsidRDefault="002D1E45" w:rsidP="004663F7">
            <w:pPr>
              <w:spacing w:after="0" w:line="240" w:lineRule="auto"/>
              <w:rPr>
                <w:rFonts w:ascii="Times New Roman" w:hAnsi="Times New Roman"/>
                <w:b/>
                <w:bCs/>
                <w:sz w:val="14"/>
                <w:szCs w:val="14"/>
                <w:lang w:eastAsia="ru-RU"/>
              </w:rPr>
            </w:pPr>
            <w:r>
              <w:rPr>
                <w:rFonts w:ascii="Times New Roman" w:hAnsi="Times New Roman"/>
                <w:b/>
                <w:bCs/>
                <w:sz w:val="14"/>
                <w:szCs w:val="14"/>
                <w:lang w:eastAsia="ru-RU"/>
              </w:rPr>
              <w:t xml:space="preserve"> </w:t>
            </w:r>
            <w:r w:rsidRPr="00140671">
              <w:rPr>
                <w:rFonts w:ascii="Times New Roman" w:hAnsi="Times New Roman"/>
                <w:b/>
                <w:bCs/>
                <w:sz w:val="14"/>
                <w:szCs w:val="14"/>
                <w:lang w:eastAsia="ru-RU"/>
              </w:rPr>
              <w:t>ИТОГО</w:t>
            </w:r>
          </w:p>
        </w:tc>
        <w:tc>
          <w:tcPr>
            <w:tcW w:w="565" w:type="dxa"/>
            <w:noWrap/>
          </w:tcPr>
          <w:p w:rsidR="002D1E45" w:rsidRPr="00140671" w:rsidRDefault="002D1E45" w:rsidP="004663F7">
            <w:pPr>
              <w:spacing w:after="0" w:line="240" w:lineRule="auto"/>
              <w:jc w:val="center"/>
              <w:rPr>
                <w:rFonts w:ascii="Times New Roman" w:hAnsi="Times New Roman"/>
                <w:b/>
                <w:bCs/>
                <w:noProof/>
                <w:sz w:val="14"/>
                <w:szCs w:val="14"/>
                <w:lang w:eastAsia="ru-RU"/>
              </w:rPr>
            </w:pPr>
            <w:r w:rsidRPr="004663F7">
              <w:rPr>
                <w:rFonts w:ascii="Times New Roman" w:hAnsi="Times New Roman"/>
                <w:b/>
                <w:bCs/>
                <w:noProof/>
                <w:sz w:val="14"/>
                <w:szCs w:val="14"/>
                <w:lang w:eastAsia="ru-RU"/>
              </w:rPr>
              <w:t>192</w:t>
            </w:r>
          </w:p>
        </w:tc>
        <w:tc>
          <w:tcPr>
            <w:tcW w:w="740" w:type="dxa"/>
            <w:noWrap/>
          </w:tcPr>
          <w:p w:rsidR="002D1E45" w:rsidRPr="00140671" w:rsidRDefault="002D1E45" w:rsidP="004663F7">
            <w:pPr>
              <w:spacing w:after="0" w:line="240" w:lineRule="auto"/>
              <w:jc w:val="center"/>
              <w:rPr>
                <w:rFonts w:ascii="Times New Roman" w:hAnsi="Times New Roman"/>
                <w:b/>
                <w:bCs/>
                <w:noProof/>
                <w:sz w:val="14"/>
                <w:szCs w:val="14"/>
                <w:lang w:eastAsia="ru-RU"/>
              </w:rPr>
            </w:pPr>
            <w:r w:rsidRPr="004663F7">
              <w:rPr>
                <w:rFonts w:ascii="Times New Roman" w:hAnsi="Times New Roman"/>
                <w:b/>
                <w:bCs/>
                <w:noProof/>
                <w:sz w:val="14"/>
                <w:szCs w:val="14"/>
                <w:lang w:eastAsia="ru-RU"/>
              </w:rPr>
              <w:t>3022,32</w:t>
            </w:r>
          </w:p>
        </w:tc>
        <w:tc>
          <w:tcPr>
            <w:tcW w:w="566" w:type="dxa"/>
            <w:noWrap/>
          </w:tcPr>
          <w:p w:rsidR="002D1E45" w:rsidRPr="00140671" w:rsidRDefault="002D1E45" w:rsidP="004663F7">
            <w:pPr>
              <w:spacing w:after="0" w:line="240" w:lineRule="auto"/>
              <w:jc w:val="center"/>
              <w:rPr>
                <w:rFonts w:ascii="Times New Roman" w:hAnsi="Times New Roman"/>
                <w:b/>
                <w:bCs/>
                <w:noProof/>
                <w:sz w:val="14"/>
                <w:szCs w:val="14"/>
                <w:lang w:eastAsia="ru-RU"/>
              </w:rPr>
            </w:pPr>
            <w:r w:rsidRPr="004663F7">
              <w:rPr>
                <w:rFonts w:ascii="Times New Roman" w:hAnsi="Times New Roman"/>
                <w:b/>
                <w:bCs/>
                <w:noProof/>
                <w:sz w:val="14"/>
                <w:szCs w:val="14"/>
                <w:lang w:eastAsia="ru-RU"/>
              </w:rPr>
              <w:t>182</w:t>
            </w:r>
          </w:p>
        </w:tc>
        <w:tc>
          <w:tcPr>
            <w:tcW w:w="827" w:type="dxa"/>
            <w:noWrap/>
          </w:tcPr>
          <w:p w:rsidR="002D1E45" w:rsidRPr="00140671" w:rsidRDefault="002D1E45" w:rsidP="004663F7">
            <w:pPr>
              <w:spacing w:after="0" w:line="240" w:lineRule="auto"/>
              <w:jc w:val="center"/>
              <w:rPr>
                <w:rFonts w:ascii="Times New Roman" w:hAnsi="Times New Roman"/>
                <w:b/>
                <w:bCs/>
                <w:noProof/>
                <w:sz w:val="14"/>
                <w:szCs w:val="14"/>
                <w:lang w:eastAsia="ru-RU"/>
              </w:rPr>
            </w:pPr>
            <w:r w:rsidRPr="004663F7">
              <w:rPr>
                <w:rFonts w:ascii="Times New Roman" w:hAnsi="Times New Roman"/>
                <w:b/>
                <w:bCs/>
                <w:noProof/>
                <w:sz w:val="14"/>
                <w:szCs w:val="14"/>
                <w:lang w:eastAsia="ru-RU"/>
              </w:rPr>
              <w:t>2835,67</w:t>
            </w:r>
          </w:p>
        </w:tc>
        <w:tc>
          <w:tcPr>
            <w:tcW w:w="431" w:type="dxa"/>
            <w:noWrap/>
          </w:tcPr>
          <w:p w:rsidR="002D1E45" w:rsidRPr="00140671" w:rsidRDefault="002D1E45" w:rsidP="004663F7">
            <w:pPr>
              <w:spacing w:after="0" w:line="240" w:lineRule="auto"/>
              <w:jc w:val="center"/>
              <w:rPr>
                <w:rFonts w:ascii="Times New Roman" w:hAnsi="Times New Roman"/>
                <w:b/>
                <w:bCs/>
                <w:noProof/>
                <w:sz w:val="14"/>
                <w:szCs w:val="14"/>
                <w:lang w:eastAsia="ru-RU"/>
              </w:rPr>
            </w:pPr>
            <w:r w:rsidRPr="004663F7">
              <w:rPr>
                <w:rFonts w:ascii="Times New Roman" w:hAnsi="Times New Roman"/>
                <w:b/>
                <w:bCs/>
                <w:noProof/>
                <w:sz w:val="14"/>
                <w:szCs w:val="14"/>
                <w:lang w:eastAsia="ru-RU"/>
              </w:rPr>
              <w:t>10</w:t>
            </w:r>
          </w:p>
        </w:tc>
        <w:tc>
          <w:tcPr>
            <w:tcW w:w="703" w:type="dxa"/>
            <w:noWrap/>
          </w:tcPr>
          <w:p w:rsidR="002D1E45" w:rsidRPr="00140671" w:rsidRDefault="002D1E45" w:rsidP="004663F7">
            <w:pPr>
              <w:spacing w:after="0" w:line="240" w:lineRule="auto"/>
              <w:jc w:val="center"/>
              <w:rPr>
                <w:rFonts w:ascii="Times New Roman" w:hAnsi="Times New Roman"/>
                <w:b/>
                <w:bCs/>
                <w:noProof/>
                <w:sz w:val="14"/>
                <w:szCs w:val="14"/>
                <w:lang w:eastAsia="ru-RU"/>
              </w:rPr>
            </w:pPr>
            <w:r w:rsidRPr="004663F7">
              <w:rPr>
                <w:rFonts w:ascii="Times New Roman" w:hAnsi="Times New Roman"/>
                <w:b/>
                <w:bCs/>
                <w:noProof/>
                <w:sz w:val="14"/>
                <w:szCs w:val="14"/>
                <w:lang w:eastAsia="ru-RU"/>
              </w:rPr>
              <w:t>186,65</w:t>
            </w:r>
          </w:p>
        </w:tc>
        <w:tc>
          <w:tcPr>
            <w:tcW w:w="1197" w:type="dxa"/>
            <w:noWrap/>
          </w:tcPr>
          <w:p w:rsidR="002D1E45" w:rsidRPr="00140671" w:rsidRDefault="002D1E45" w:rsidP="004663F7">
            <w:pPr>
              <w:spacing w:after="0" w:line="240" w:lineRule="auto"/>
              <w:jc w:val="center"/>
              <w:rPr>
                <w:rFonts w:ascii="Times New Roman" w:hAnsi="Times New Roman"/>
                <w:b/>
                <w:bCs/>
                <w:noProof/>
                <w:sz w:val="14"/>
                <w:szCs w:val="14"/>
                <w:lang w:eastAsia="ru-RU"/>
              </w:rPr>
            </w:pPr>
            <w:r w:rsidRPr="004663F7">
              <w:rPr>
                <w:rFonts w:ascii="Times New Roman" w:hAnsi="Times New Roman"/>
                <w:b/>
                <w:bCs/>
                <w:noProof/>
                <w:sz w:val="14"/>
                <w:szCs w:val="14"/>
                <w:lang w:eastAsia="ru-RU"/>
              </w:rPr>
              <w:t>0</w:t>
            </w:r>
          </w:p>
        </w:tc>
        <w:tc>
          <w:tcPr>
            <w:tcW w:w="509" w:type="dxa"/>
            <w:noWrap/>
          </w:tcPr>
          <w:p w:rsidR="002D1E45" w:rsidRPr="00140671" w:rsidRDefault="002D1E45" w:rsidP="004663F7">
            <w:pPr>
              <w:spacing w:after="0" w:line="240" w:lineRule="auto"/>
              <w:jc w:val="center"/>
              <w:rPr>
                <w:rFonts w:ascii="Times New Roman" w:hAnsi="Times New Roman"/>
                <w:b/>
                <w:bCs/>
                <w:noProof/>
                <w:sz w:val="14"/>
                <w:szCs w:val="14"/>
                <w:lang w:eastAsia="ru-RU"/>
              </w:rPr>
            </w:pPr>
            <w:r w:rsidRPr="004663F7">
              <w:rPr>
                <w:rFonts w:ascii="Times New Roman" w:hAnsi="Times New Roman"/>
                <w:b/>
                <w:bCs/>
                <w:noProof/>
                <w:sz w:val="14"/>
                <w:szCs w:val="14"/>
                <w:lang w:eastAsia="ru-RU"/>
              </w:rPr>
              <w:t>0</w:t>
            </w:r>
          </w:p>
        </w:tc>
        <w:tc>
          <w:tcPr>
            <w:tcW w:w="426" w:type="dxa"/>
            <w:noWrap/>
          </w:tcPr>
          <w:p w:rsidR="002D1E45" w:rsidRPr="00140671" w:rsidRDefault="002D1E45" w:rsidP="004663F7">
            <w:pPr>
              <w:spacing w:after="0" w:line="240" w:lineRule="auto"/>
              <w:jc w:val="center"/>
              <w:rPr>
                <w:rFonts w:ascii="Times New Roman" w:hAnsi="Times New Roman"/>
                <w:b/>
                <w:bCs/>
                <w:noProof/>
                <w:sz w:val="14"/>
                <w:szCs w:val="14"/>
                <w:lang w:eastAsia="ru-RU"/>
              </w:rPr>
            </w:pPr>
            <w:r w:rsidRPr="004663F7">
              <w:rPr>
                <w:rFonts w:ascii="Times New Roman" w:hAnsi="Times New Roman"/>
                <w:b/>
                <w:bCs/>
                <w:noProof/>
                <w:sz w:val="14"/>
                <w:szCs w:val="14"/>
                <w:lang w:eastAsia="ru-RU"/>
              </w:rPr>
              <w:t>3</w:t>
            </w:r>
          </w:p>
        </w:tc>
        <w:tc>
          <w:tcPr>
            <w:tcW w:w="604" w:type="dxa"/>
            <w:noWrap/>
          </w:tcPr>
          <w:p w:rsidR="002D1E45" w:rsidRPr="00140671" w:rsidRDefault="002D1E45" w:rsidP="004663F7">
            <w:pPr>
              <w:spacing w:after="0" w:line="240" w:lineRule="auto"/>
              <w:jc w:val="center"/>
              <w:rPr>
                <w:rFonts w:ascii="Times New Roman" w:hAnsi="Times New Roman"/>
                <w:b/>
                <w:bCs/>
                <w:noProof/>
                <w:sz w:val="14"/>
                <w:szCs w:val="14"/>
                <w:lang w:eastAsia="ru-RU"/>
              </w:rPr>
            </w:pPr>
            <w:r w:rsidRPr="004663F7">
              <w:rPr>
                <w:rFonts w:ascii="Times New Roman" w:hAnsi="Times New Roman"/>
                <w:b/>
                <w:bCs/>
                <w:noProof/>
                <w:sz w:val="14"/>
                <w:szCs w:val="14"/>
                <w:lang w:eastAsia="ru-RU"/>
              </w:rPr>
              <w:t>108</w:t>
            </w:r>
          </w:p>
        </w:tc>
        <w:tc>
          <w:tcPr>
            <w:tcW w:w="452" w:type="dxa"/>
            <w:noWrap/>
          </w:tcPr>
          <w:p w:rsidR="002D1E45" w:rsidRPr="00140671" w:rsidRDefault="002D1E45" w:rsidP="004663F7">
            <w:pPr>
              <w:spacing w:after="0" w:line="240" w:lineRule="auto"/>
              <w:jc w:val="center"/>
              <w:rPr>
                <w:rFonts w:ascii="Times New Roman" w:hAnsi="Times New Roman"/>
                <w:b/>
                <w:bCs/>
                <w:noProof/>
                <w:sz w:val="14"/>
                <w:szCs w:val="14"/>
                <w:lang w:eastAsia="ru-RU"/>
              </w:rPr>
            </w:pPr>
            <w:r w:rsidRPr="004663F7">
              <w:rPr>
                <w:rFonts w:ascii="Times New Roman" w:hAnsi="Times New Roman"/>
                <w:b/>
                <w:bCs/>
                <w:noProof/>
                <w:sz w:val="14"/>
                <w:szCs w:val="14"/>
                <w:lang w:eastAsia="ru-RU"/>
              </w:rPr>
              <w:t>32</w:t>
            </w:r>
          </w:p>
        </w:tc>
        <w:tc>
          <w:tcPr>
            <w:tcW w:w="671" w:type="dxa"/>
            <w:noWrap/>
          </w:tcPr>
          <w:p w:rsidR="002D1E45" w:rsidRPr="00140671" w:rsidRDefault="002D1E45" w:rsidP="004663F7">
            <w:pPr>
              <w:spacing w:after="0" w:line="240" w:lineRule="auto"/>
              <w:jc w:val="center"/>
              <w:rPr>
                <w:rFonts w:ascii="Times New Roman" w:hAnsi="Times New Roman"/>
                <w:b/>
                <w:bCs/>
                <w:noProof/>
                <w:sz w:val="14"/>
                <w:szCs w:val="14"/>
                <w:lang w:eastAsia="ru-RU"/>
              </w:rPr>
            </w:pPr>
            <w:r w:rsidRPr="004663F7">
              <w:rPr>
                <w:rFonts w:ascii="Times New Roman" w:hAnsi="Times New Roman"/>
                <w:b/>
                <w:bCs/>
                <w:noProof/>
                <w:sz w:val="14"/>
                <w:szCs w:val="14"/>
                <w:lang w:eastAsia="ru-RU"/>
              </w:rPr>
              <w:t>139</w:t>
            </w:r>
          </w:p>
        </w:tc>
        <w:tc>
          <w:tcPr>
            <w:tcW w:w="491" w:type="dxa"/>
            <w:noWrap/>
          </w:tcPr>
          <w:p w:rsidR="002D1E45" w:rsidRPr="00140671" w:rsidRDefault="002D1E45" w:rsidP="004663F7">
            <w:pPr>
              <w:spacing w:after="0" w:line="240" w:lineRule="auto"/>
              <w:jc w:val="center"/>
              <w:rPr>
                <w:rFonts w:ascii="Times New Roman" w:hAnsi="Times New Roman"/>
                <w:b/>
                <w:bCs/>
                <w:noProof/>
                <w:sz w:val="14"/>
                <w:szCs w:val="14"/>
                <w:lang w:eastAsia="ru-RU"/>
              </w:rPr>
            </w:pPr>
            <w:r w:rsidRPr="004663F7">
              <w:rPr>
                <w:rFonts w:ascii="Times New Roman" w:hAnsi="Times New Roman"/>
                <w:b/>
                <w:bCs/>
                <w:noProof/>
                <w:sz w:val="14"/>
                <w:szCs w:val="14"/>
                <w:lang w:eastAsia="ru-RU"/>
              </w:rPr>
              <w:t>0</w:t>
            </w:r>
          </w:p>
        </w:tc>
        <w:tc>
          <w:tcPr>
            <w:tcW w:w="611" w:type="dxa"/>
            <w:noWrap/>
          </w:tcPr>
          <w:p w:rsidR="002D1E45" w:rsidRPr="00140671" w:rsidRDefault="002D1E45" w:rsidP="004663F7">
            <w:pPr>
              <w:spacing w:after="0" w:line="240" w:lineRule="auto"/>
              <w:jc w:val="center"/>
              <w:rPr>
                <w:rFonts w:ascii="Times New Roman" w:hAnsi="Times New Roman"/>
                <w:b/>
                <w:bCs/>
                <w:noProof/>
                <w:sz w:val="14"/>
                <w:szCs w:val="14"/>
                <w:lang w:eastAsia="ru-RU"/>
              </w:rPr>
            </w:pPr>
            <w:r w:rsidRPr="004663F7">
              <w:rPr>
                <w:rFonts w:ascii="Times New Roman" w:hAnsi="Times New Roman"/>
                <w:b/>
                <w:bCs/>
                <w:noProof/>
                <w:sz w:val="14"/>
                <w:szCs w:val="14"/>
                <w:lang w:eastAsia="ru-RU"/>
              </w:rPr>
              <w:t>0</w:t>
            </w:r>
          </w:p>
        </w:tc>
        <w:tc>
          <w:tcPr>
            <w:tcW w:w="586" w:type="dxa"/>
            <w:noWrap/>
          </w:tcPr>
          <w:p w:rsidR="002D1E45" w:rsidRPr="00140671" w:rsidRDefault="002D1E45" w:rsidP="004663F7">
            <w:pPr>
              <w:spacing w:after="0" w:line="240" w:lineRule="auto"/>
              <w:jc w:val="center"/>
              <w:rPr>
                <w:rFonts w:ascii="Times New Roman" w:hAnsi="Times New Roman"/>
                <w:b/>
                <w:bCs/>
                <w:noProof/>
                <w:sz w:val="14"/>
                <w:szCs w:val="14"/>
                <w:lang w:eastAsia="ru-RU"/>
              </w:rPr>
            </w:pPr>
            <w:r w:rsidRPr="004663F7">
              <w:rPr>
                <w:rFonts w:ascii="Times New Roman" w:hAnsi="Times New Roman"/>
                <w:b/>
                <w:bCs/>
                <w:noProof/>
                <w:sz w:val="14"/>
                <w:szCs w:val="14"/>
                <w:lang w:eastAsia="ru-RU"/>
              </w:rPr>
              <w:t>0</w:t>
            </w:r>
          </w:p>
        </w:tc>
        <w:tc>
          <w:tcPr>
            <w:tcW w:w="626" w:type="dxa"/>
            <w:noWrap/>
          </w:tcPr>
          <w:p w:rsidR="002D1E45" w:rsidRPr="00140671" w:rsidRDefault="002D1E45" w:rsidP="004663F7">
            <w:pPr>
              <w:spacing w:after="0" w:line="240" w:lineRule="auto"/>
              <w:jc w:val="center"/>
              <w:rPr>
                <w:rFonts w:ascii="Times New Roman" w:hAnsi="Times New Roman"/>
                <w:b/>
                <w:bCs/>
                <w:noProof/>
                <w:sz w:val="14"/>
                <w:szCs w:val="14"/>
                <w:lang w:eastAsia="ru-RU"/>
              </w:rPr>
            </w:pPr>
            <w:r w:rsidRPr="004663F7">
              <w:rPr>
                <w:rFonts w:ascii="Times New Roman" w:hAnsi="Times New Roman"/>
                <w:b/>
                <w:bCs/>
                <w:noProof/>
                <w:sz w:val="14"/>
                <w:szCs w:val="14"/>
                <w:lang w:eastAsia="ru-RU"/>
              </w:rPr>
              <w:t>0</w:t>
            </w:r>
          </w:p>
        </w:tc>
        <w:tc>
          <w:tcPr>
            <w:tcW w:w="481" w:type="dxa"/>
            <w:noWrap/>
          </w:tcPr>
          <w:p w:rsidR="002D1E45" w:rsidRPr="00140671" w:rsidRDefault="002D1E45" w:rsidP="004663F7">
            <w:pPr>
              <w:spacing w:after="0" w:line="240" w:lineRule="auto"/>
              <w:jc w:val="center"/>
              <w:rPr>
                <w:rFonts w:ascii="Times New Roman" w:hAnsi="Times New Roman"/>
                <w:b/>
                <w:bCs/>
                <w:noProof/>
                <w:sz w:val="14"/>
                <w:szCs w:val="14"/>
                <w:lang w:eastAsia="ru-RU"/>
              </w:rPr>
            </w:pPr>
            <w:r w:rsidRPr="004663F7">
              <w:rPr>
                <w:rFonts w:ascii="Times New Roman" w:hAnsi="Times New Roman"/>
                <w:b/>
                <w:bCs/>
                <w:noProof/>
                <w:sz w:val="14"/>
                <w:szCs w:val="14"/>
                <w:lang w:eastAsia="ru-RU"/>
              </w:rPr>
              <w:t>0</w:t>
            </w:r>
          </w:p>
        </w:tc>
        <w:tc>
          <w:tcPr>
            <w:tcW w:w="581" w:type="dxa"/>
            <w:noWrap/>
          </w:tcPr>
          <w:p w:rsidR="002D1E45" w:rsidRPr="00140671" w:rsidRDefault="002D1E45" w:rsidP="004663F7">
            <w:pPr>
              <w:spacing w:after="0" w:line="240" w:lineRule="auto"/>
              <w:jc w:val="center"/>
              <w:rPr>
                <w:rFonts w:ascii="Times New Roman" w:hAnsi="Times New Roman"/>
                <w:b/>
                <w:bCs/>
                <w:noProof/>
                <w:sz w:val="14"/>
                <w:szCs w:val="14"/>
                <w:lang w:eastAsia="ru-RU"/>
              </w:rPr>
            </w:pPr>
            <w:r w:rsidRPr="004663F7">
              <w:rPr>
                <w:rFonts w:ascii="Times New Roman" w:hAnsi="Times New Roman"/>
                <w:b/>
                <w:bCs/>
                <w:noProof/>
                <w:sz w:val="14"/>
                <w:szCs w:val="14"/>
                <w:lang w:eastAsia="ru-RU"/>
              </w:rPr>
              <w:t>0</w:t>
            </w:r>
          </w:p>
        </w:tc>
        <w:tc>
          <w:tcPr>
            <w:tcW w:w="850" w:type="dxa"/>
            <w:noWrap/>
            <w:vAlign w:val="center"/>
          </w:tcPr>
          <w:p w:rsidR="002D1E45" w:rsidRPr="00140671" w:rsidRDefault="002D1E45" w:rsidP="004663F7">
            <w:pPr>
              <w:spacing w:after="0" w:line="240" w:lineRule="auto"/>
              <w:jc w:val="center"/>
              <w:rPr>
                <w:rFonts w:ascii="Times New Roman" w:hAnsi="Times New Roman"/>
                <w:b/>
                <w:bCs/>
                <w:sz w:val="14"/>
                <w:szCs w:val="14"/>
                <w:lang w:eastAsia="ru-RU"/>
              </w:rPr>
            </w:pPr>
            <w:r w:rsidRPr="00140671">
              <w:rPr>
                <w:rFonts w:ascii="Times New Roman" w:hAnsi="Times New Roman"/>
                <w:b/>
                <w:bCs/>
                <w:sz w:val="14"/>
                <w:szCs w:val="14"/>
                <w:lang w:eastAsia="ru-RU"/>
              </w:rPr>
              <w:t>-</w:t>
            </w:r>
          </w:p>
        </w:tc>
      </w:tr>
    </w:tbl>
    <w:p w:rsidR="002D1E45" w:rsidRDefault="002D1E45" w:rsidP="00B07A34">
      <w:pPr>
        <w:pStyle w:val="BodyText"/>
        <w:ind w:firstLine="709"/>
        <w:rPr>
          <w:szCs w:val="28"/>
        </w:rPr>
        <w:sectPr w:rsidR="002D1E45" w:rsidSect="00B07A34">
          <w:pgSz w:w="16838" w:h="11906" w:orient="landscape"/>
          <w:pgMar w:top="1134" w:right="1134" w:bottom="567" w:left="1134" w:header="709" w:footer="794" w:gutter="0"/>
          <w:cols w:space="708"/>
          <w:titlePg/>
          <w:docGrid w:linePitch="360"/>
        </w:sectPr>
      </w:pPr>
    </w:p>
    <w:p w:rsidR="002D1E45" w:rsidRPr="00BF456D" w:rsidRDefault="002D1E45" w:rsidP="00BF456D">
      <w:pPr>
        <w:spacing w:after="0" w:line="240" w:lineRule="auto"/>
        <w:ind w:firstLine="709"/>
        <w:jc w:val="both"/>
        <w:rPr>
          <w:rFonts w:ascii="Times New Roman" w:hAnsi="Times New Roman"/>
          <w:sz w:val="28"/>
          <w:szCs w:val="28"/>
          <w:lang w:eastAsia="ru-RU"/>
        </w:rPr>
      </w:pPr>
      <w:r w:rsidRPr="00BF456D">
        <w:rPr>
          <w:rFonts w:ascii="Times New Roman" w:hAnsi="Times New Roman"/>
          <w:sz w:val="28"/>
          <w:szCs w:val="28"/>
          <w:lang w:eastAsia="ru-RU"/>
        </w:rPr>
        <w:t xml:space="preserve">Протяженность автомобильных дорог общего пользования, относящихся к собственности </w:t>
      </w:r>
      <w:r>
        <w:rPr>
          <w:rFonts w:ascii="Times New Roman" w:hAnsi="Times New Roman"/>
          <w:sz w:val="28"/>
          <w:szCs w:val="28"/>
          <w:lang w:eastAsia="ru-RU"/>
        </w:rPr>
        <w:t>городского поселения</w:t>
      </w:r>
      <w:r w:rsidRPr="00BF456D">
        <w:rPr>
          <w:rFonts w:ascii="Times New Roman" w:hAnsi="Times New Roman"/>
          <w:sz w:val="28"/>
          <w:szCs w:val="28"/>
          <w:lang w:eastAsia="ru-RU"/>
        </w:rPr>
        <w:t xml:space="preserve">, составляет </w:t>
      </w:r>
      <w:r>
        <w:rPr>
          <w:rFonts w:ascii="Times New Roman" w:hAnsi="Times New Roman"/>
          <w:sz w:val="28"/>
          <w:szCs w:val="28"/>
          <w:lang w:eastAsia="ru-RU"/>
        </w:rPr>
        <w:t>173,8</w:t>
      </w:r>
      <w:r w:rsidRPr="00BF456D">
        <w:rPr>
          <w:rFonts w:ascii="Times New Roman" w:hAnsi="Times New Roman"/>
          <w:sz w:val="28"/>
          <w:szCs w:val="28"/>
          <w:lang w:eastAsia="ru-RU"/>
        </w:rPr>
        <w:t xml:space="preserve"> км.</w:t>
      </w:r>
      <w:r w:rsidRPr="00D94351">
        <w:t xml:space="preserve"> </w:t>
      </w:r>
      <w:r>
        <w:rPr>
          <w:rFonts w:ascii="Times New Roman" w:hAnsi="Times New Roman"/>
          <w:sz w:val="28"/>
          <w:szCs w:val="28"/>
          <w:lang w:eastAsia="ru-RU"/>
        </w:rPr>
        <w:t>В</w:t>
      </w:r>
      <w:r w:rsidRPr="00D94351">
        <w:rPr>
          <w:rFonts w:ascii="Times New Roman" w:hAnsi="Times New Roman"/>
          <w:sz w:val="28"/>
          <w:szCs w:val="28"/>
          <w:lang w:eastAsia="ru-RU"/>
        </w:rPr>
        <w:t xml:space="preserve"> том числе 57,320 км </w:t>
      </w:r>
      <w:r>
        <w:rPr>
          <w:rFonts w:ascii="Times New Roman" w:hAnsi="Times New Roman"/>
          <w:sz w:val="28"/>
          <w:szCs w:val="28"/>
          <w:lang w:eastAsia="ru-RU"/>
        </w:rPr>
        <w:t xml:space="preserve">(33 %) </w:t>
      </w:r>
      <w:r w:rsidRPr="00D94351">
        <w:rPr>
          <w:rFonts w:ascii="Times New Roman" w:hAnsi="Times New Roman"/>
          <w:sz w:val="28"/>
          <w:szCs w:val="28"/>
          <w:lang w:eastAsia="ru-RU"/>
        </w:rPr>
        <w:t xml:space="preserve">с асфальтовым покрытием, 80,014 км </w:t>
      </w:r>
      <w:r>
        <w:rPr>
          <w:rFonts w:ascii="Times New Roman" w:hAnsi="Times New Roman"/>
          <w:sz w:val="28"/>
          <w:szCs w:val="28"/>
          <w:lang w:eastAsia="ru-RU"/>
        </w:rPr>
        <w:t>(</w:t>
      </w:r>
      <w:r w:rsidRPr="00D94351">
        <w:rPr>
          <w:rFonts w:ascii="Times New Roman" w:hAnsi="Times New Roman"/>
          <w:sz w:val="28"/>
          <w:szCs w:val="28"/>
          <w:lang w:eastAsia="ru-RU"/>
        </w:rPr>
        <w:t>46,0</w:t>
      </w:r>
      <w:r>
        <w:rPr>
          <w:rFonts w:ascii="Times New Roman" w:hAnsi="Times New Roman"/>
          <w:sz w:val="28"/>
          <w:szCs w:val="28"/>
          <w:lang w:eastAsia="ru-RU"/>
        </w:rPr>
        <w:t xml:space="preserve"> </w:t>
      </w:r>
      <w:r w:rsidRPr="00D94351">
        <w:rPr>
          <w:rFonts w:ascii="Times New Roman" w:hAnsi="Times New Roman"/>
          <w:sz w:val="28"/>
          <w:szCs w:val="28"/>
          <w:lang w:eastAsia="ru-RU"/>
        </w:rPr>
        <w:t>%</w:t>
      </w:r>
      <w:r>
        <w:rPr>
          <w:rFonts w:ascii="Times New Roman" w:hAnsi="Times New Roman"/>
          <w:sz w:val="28"/>
          <w:szCs w:val="28"/>
          <w:lang w:eastAsia="ru-RU"/>
        </w:rPr>
        <w:t xml:space="preserve">) </w:t>
      </w:r>
      <w:r w:rsidRPr="00D94351">
        <w:rPr>
          <w:rFonts w:ascii="Times New Roman" w:hAnsi="Times New Roman"/>
          <w:sz w:val="28"/>
          <w:szCs w:val="28"/>
          <w:lang w:eastAsia="ru-RU"/>
        </w:rPr>
        <w:t>с гравийным (щебёночным) покрытием</w:t>
      </w:r>
      <w:r>
        <w:rPr>
          <w:rFonts w:ascii="Times New Roman" w:hAnsi="Times New Roman"/>
          <w:sz w:val="28"/>
          <w:szCs w:val="28"/>
          <w:lang w:eastAsia="ru-RU"/>
        </w:rPr>
        <w:t xml:space="preserve"> и</w:t>
      </w:r>
      <w:r w:rsidRPr="00D94351">
        <w:rPr>
          <w:rFonts w:ascii="Times New Roman" w:hAnsi="Times New Roman"/>
          <w:sz w:val="28"/>
          <w:szCs w:val="28"/>
          <w:lang w:eastAsia="ru-RU"/>
        </w:rPr>
        <w:t xml:space="preserve"> 36,497 км </w:t>
      </w:r>
      <w:r>
        <w:rPr>
          <w:rFonts w:ascii="Times New Roman" w:hAnsi="Times New Roman"/>
          <w:sz w:val="28"/>
          <w:szCs w:val="28"/>
          <w:lang w:eastAsia="ru-RU"/>
        </w:rPr>
        <w:t>(</w:t>
      </w:r>
      <w:r w:rsidRPr="00D94351">
        <w:rPr>
          <w:rFonts w:ascii="Times New Roman" w:hAnsi="Times New Roman"/>
          <w:sz w:val="28"/>
          <w:szCs w:val="28"/>
          <w:lang w:eastAsia="ru-RU"/>
        </w:rPr>
        <w:t>21,0</w:t>
      </w:r>
      <w:r>
        <w:rPr>
          <w:rFonts w:ascii="Times New Roman" w:hAnsi="Times New Roman"/>
          <w:sz w:val="28"/>
          <w:szCs w:val="28"/>
          <w:lang w:eastAsia="ru-RU"/>
        </w:rPr>
        <w:t xml:space="preserve"> </w:t>
      </w:r>
      <w:r w:rsidRPr="00D94351">
        <w:rPr>
          <w:rFonts w:ascii="Times New Roman" w:hAnsi="Times New Roman"/>
          <w:sz w:val="28"/>
          <w:szCs w:val="28"/>
          <w:lang w:eastAsia="ru-RU"/>
        </w:rPr>
        <w:t>%</w:t>
      </w:r>
      <w:r>
        <w:rPr>
          <w:rFonts w:ascii="Times New Roman" w:hAnsi="Times New Roman"/>
          <w:sz w:val="28"/>
          <w:szCs w:val="28"/>
          <w:lang w:eastAsia="ru-RU"/>
        </w:rPr>
        <w:t xml:space="preserve">) </w:t>
      </w:r>
      <w:r w:rsidRPr="00D94351">
        <w:rPr>
          <w:rFonts w:ascii="Times New Roman" w:hAnsi="Times New Roman"/>
          <w:sz w:val="28"/>
          <w:szCs w:val="28"/>
          <w:lang w:eastAsia="ru-RU"/>
        </w:rPr>
        <w:t>с грунтовым покрытием.</w:t>
      </w:r>
    </w:p>
    <w:p w:rsidR="002D1E45" w:rsidRPr="00BF456D" w:rsidRDefault="002D1E45" w:rsidP="00BF456D">
      <w:pPr>
        <w:autoSpaceDE w:val="0"/>
        <w:autoSpaceDN w:val="0"/>
        <w:adjustRightInd w:val="0"/>
        <w:spacing w:after="0" w:line="360" w:lineRule="auto"/>
        <w:ind w:firstLine="709"/>
        <w:jc w:val="right"/>
        <w:rPr>
          <w:rFonts w:ascii="Times New Roman" w:hAnsi="Times New Roman"/>
          <w:sz w:val="28"/>
          <w:szCs w:val="24"/>
          <w:lang w:eastAsia="ru-RU"/>
        </w:rPr>
      </w:pPr>
      <w:r w:rsidRPr="00BF456D">
        <w:rPr>
          <w:rFonts w:ascii="Times New Roman" w:hAnsi="Times New Roman"/>
          <w:sz w:val="28"/>
          <w:szCs w:val="24"/>
          <w:lang w:eastAsia="ru-RU"/>
        </w:rPr>
        <w:t xml:space="preserve">Таблица </w:t>
      </w:r>
      <w:r w:rsidRPr="00BF456D">
        <w:rPr>
          <w:rFonts w:ascii="Times New Roman" w:hAnsi="Times New Roman"/>
          <w:sz w:val="28"/>
          <w:szCs w:val="24"/>
        </w:rPr>
        <w:fldChar w:fldCharType="begin"/>
      </w:r>
      <w:r w:rsidRPr="00BF456D">
        <w:rPr>
          <w:rFonts w:ascii="Times New Roman" w:hAnsi="Times New Roman"/>
          <w:sz w:val="28"/>
          <w:szCs w:val="24"/>
        </w:rPr>
        <w:instrText xml:space="preserve"> SEQ Таблица \* ARABIC </w:instrText>
      </w:r>
      <w:r w:rsidRPr="00BF456D">
        <w:rPr>
          <w:rFonts w:ascii="Times New Roman" w:hAnsi="Times New Roman"/>
          <w:sz w:val="28"/>
          <w:szCs w:val="24"/>
        </w:rPr>
        <w:fldChar w:fldCharType="separate"/>
      </w:r>
      <w:r>
        <w:rPr>
          <w:rFonts w:ascii="Times New Roman" w:hAnsi="Times New Roman"/>
          <w:noProof/>
          <w:sz w:val="28"/>
          <w:szCs w:val="24"/>
        </w:rPr>
        <w:t>14</w:t>
      </w:r>
      <w:r w:rsidRPr="00BF456D">
        <w:rPr>
          <w:rFonts w:ascii="Times New Roman" w:hAnsi="Times New Roman"/>
          <w:sz w:val="28"/>
          <w:szCs w:val="24"/>
        </w:rPr>
        <w:fldChar w:fldCharType="end"/>
      </w:r>
    </w:p>
    <w:p w:rsidR="002D1E45" w:rsidRDefault="002D1E45" w:rsidP="00BF456D">
      <w:pPr>
        <w:tabs>
          <w:tab w:val="left" w:pos="1418"/>
        </w:tabs>
        <w:spacing w:line="240" w:lineRule="auto"/>
        <w:jc w:val="center"/>
        <w:rPr>
          <w:rFonts w:ascii="Times New Roman" w:hAnsi="Times New Roman"/>
          <w:sz w:val="28"/>
          <w:szCs w:val="24"/>
          <w:lang w:eastAsia="ru-RU"/>
        </w:rPr>
      </w:pPr>
      <w:r w:rsidRPr="00BF456D">
        <w:rPr>
          <w:rFonts w:ascii="Times New Roman" w:hAnsi="Times New Roman"/>
          <w:sz w:val="28"/>
          <w:szCs w:val="24"/>
          <w:lang w:eastAsia="ru-RU"/>
        </w:rPr>
        <w:t>Перечень автомобильных дорог общего пользования местного значения, в границах муниципального образования</w:t>
      </w:r>
    </w:p>
    <w:tbl>
      <w:tblPr>
        <w:tblW w:w="0" w:type="auto"/>
        <w:jc w:val="center"/>
        <w:tblLayout w:type="fixed"/>
        <w:tblLook w:val="00A0"/>
      </w:tblPr>
      <w:tblGrid>
        <w:gridCol w:w="3823"/>
        <w:gridCol w:w="2126"/>
        <w:gridCol w:w="1374"/>
        <w:gridCol w:w="1902"/>
      </w:tblGrid>
      <w:tr w:rsidR="002D1E45" w:rsidRPr="00BE712C" w:rsidTr="00BE712C">
        <w:trPr>
          <w:trHeight w:val="57"/>
          <w:tblHeader/>
          <w:jc w:val="center"/>
        </w:trPr>
        <w:tc>
          <w:tcPr>
            <w:tcW w:w="3823" w:type="dxa"/>
            <w:tcBorders>
              <w:top w:val="single" w:sz="4" w:space="0" w:color="auto"/>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Наименование дороги</w:t>
            </w:r>
          </w:p>
        </w:tc>
        <w:tc>
          <w:tcPr>
            <w:tcW w:w="2126" w:type="dxa"/>
            <w:tcBorders>
              <w:top w:val="single" w:sz="4" w:space="0" w:color="auto"/>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Тип покрытия</w:t>
            </w:r>
          </w:p>
        </w:tc>
        <w:tc>
          <w:tcPr>
            <w:tcW w:w="1374" w:type="dxa"/>
            <w:tcBorders>
              <w:top w:val="single" w:sz="4" w:space="0" w:color="auto"/>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Категория</w:t>
            </w:r>
          </w:p>
        </w:tc>
        <w:tc>
          <w:tcPr>
            <w:tcW w:w="1902" w:type="dxa"/>
            <w:tcBorders>
              <w:top w:val="single" w:sz="4" w:space="0" w:color="auto"/>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Протяженность</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Агафонова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1,292</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на ФКГГ</w:t>
            </w:r>
            <w:r>
              <w:rPr>
                <w:rFonts w:ascii="Times New Roman" w:hAnsi="Times New Roman"/>
                <w:sz w:val="16"/>
                <w:szCs w:val="16"/>
                <w:lang w:eastAsia="ru-RU"/>
              </w:rPr>
              <w:t xml:space="preserve"> «</w:t>
            </w:r>
            <w:r w:rsidRPr="00BE712C">
              <w:rPr>
                <w:rFonts w:ascii="Times New Roman" w:hAnsi="Times New Roman"/>
                <w:sz w:val="16"/>
                <w:szCs w:val="16"/>
                <w:lang w:eastAsia="ru-RU"/>
              </w:rPr>
              <w:t>Анозит</w:t>
            </w:r>
            <w:r>
              <w:rPr>
                <w:rFonts w:ascii="Times New Roman" w:hAnsi="Times New Roman"/>
                <w:sz w:val="16"/>
                <w:szCs w:val="16"/>
                <w:lang w:eastAsia="ru-RU"/>
              </w:rPr>
              <w:t>»</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3,348</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на Барабинскую ТЭЦ</w:t>
            </w:r>
          </w:p>
        </w:tc>
        <w:tc>
          <w:tcPr>
            <w:tcW w:w="2126" w:type="dxa"/>
            <w:tcBorders>
              <w:top w:val="nil"/>
              <w:left w:val="nil"/>
              <w:bottom w:val="single" w:sz="4" w:space="0" w:color="auto"/>
              <w:right w:val="single" w:sz="4" w:space="0" w:color="auto"/>
            </w:tcBorders>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0,759</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Войкова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1,951</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2,011</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Гуляева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0,960</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Pr>
                <w:rFonts w:ascii="Times New Roman" w:hAnsi="Times New Roman"/>
                <w:sz w:val="16"/>
                <w:szCs w:val="16"/>
                <w:lang w:eastAsia="ru-RU"/>
              </w:rPr>
              <w:t>А</w:t>
            </w:r>
            <w:r w:rsidRPr="00BE712C">
              <w:rPr>
                <w:rFonts w:ascii="Times New Roman" w:hAnsi="Times New Roman"/>
                <w:sz w:val="16"/>
                <w:szCs w:val="16"/>
                <w:lang w:eastAsia="ru-RU"/>
              </w:rPr>
              <w:t>втомобильная дорога по ул. Достоевского</w:t>
            </w:r>
          </w:p>
        </w:tc>
        <w:tc>
          <w:tcPr>
            <w:tcW w:w="2126" w:type="dxa"/>
            <w:tcBorders>
              <w:top w:val="nil"/>
              <w:left w:val="nil"/>
              <w:bottom w:val="single" w:sz="4" w:space="0" w:color="auto"/>
              <w:right w:val="single" w:sz="4" w:space="0" w:color="auto"/>
            </w:tcBorders>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 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1,056</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Ермака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0,624</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Каинская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1,854</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Коммунистическая</w:t>
            </w:r>
          </w:p>
        </w:tc>
        <w:tc>
          <w:tcPr>
            <w:tcW w:w="2126" w:type="dxa"/>
            <w:tcBorders>
              <w:top w:val="nil"/>
              <w:left w:val="nil"/>
              <w:bottom w:val="single" w:sz="4" w:space="0" w:color="auto"/>
              <w:right w:val="single" w:sz="4" w:space="0" w:color="auto"/>
            </w:tcBorders>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 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0,861</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Краскома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1,232</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Куйбышева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0,733</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Куйбышев - Нагорное</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1,785</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Молодёжная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1,125</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Нахимова</w:t>
            </w:r>
          </w:p>
        </w:tc>
        <w:tc>
          <w:tcPr>
            <w:tcW w:w="2126" w:type="dxa"/>
            <w:tcBorders>
              <w:top w:val="nil"/>
              <w:left w:val="nil"/>
              <w:bottom w:val="single" w:sz="4" w:space="0" w:color="auto"/>
              <w:right w:val="single" w:sz="4" w:space="0" w:color="auto"/>
            </w:tcBorders>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 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0,360</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А.</w:t>
            </w:r>
            <w:r>
              <w:rPr>
                <w:rFonts w:ascii="Times New Roman" w:hAnsi="Times New Roman"/>
                <w:sz w:val="16"/>
                <w:szCs w:val="16"/>
                <w:lang w:eastAsia="ru-RU"/>
              </w:rPr>
              <w:t xml:space="preserve"> </w:t>
            </w:r>
            <w:r w:rsidRPr="00BE712C">
              <w:rPr>
                <w:rFonts w:ascii="Times New Roman" w:hAnsi="Times New Roman"/>
                <w:sz w:val="16"/>
                <w:szCs w:val="16"/>
                <w:lang w:eastAsia="ru-RU"/>
              </w:rPr>
              <w:t>Н</w:t>
            </w:r>
            <w:r>
              <w:rPr>
                <w:rFonts w:ascii="Times New Roman" w:hAnsi="Times New Roman"/>
                <w:sz w:val="16"/>
                <w:szCs w:val="16"/>
                <w:lang w:eastAsia="ru-RU"/>
              </w:rPr>
              <w:t>е</w:t>
            </w:r>
            <w:r w:rsidRPr="00BE712C">
              <w:rPr>
                <w:rFonts w:ascii="Times New Roman" w:hAnsi="Times New Roman"/>
                <w:sz w:val="16"/>
                <w:szCs w:val="16"/>
                <w:lang w:eastAsia="ru-RU"/>
              </w:rPr>
              <w:t>вского</w:t>
            </w:r>
          </w:p>
        </w:tc>
        <w:tc>
          <w:tcPr>
            <w:tcW w:w="2126" w:type="dxa"/>
            <w:tcBorders>
              <w:top w:val="nil"/>
              <w:left w:val="nil"/>
              <w:bottom w:val="single" w:sz="4" w:space="0" w:color="auto"/>
              <w:right w:val="single" w:sz="4" w:space="0" w:color="auto"/>
            </w:tcBorders>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 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1,236</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поул. Партизанская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2,102</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ул.</w:t>
            </w:r>
            <w:r>
              <w:rPr>
                <w:rFonts w:ascii="Times New Roman" w:hAnsi="Times New Roman"/>
                <w:sz w:val="16"/>
                <w:szCs w:val="16"/>
                <w:lang w:eastAsia="ru-RU"/>
              </w:rPr>
              <w:t xml:space="preserve"> </w:t>
            </w:r>
            <w:r w:rsidRPr="00BE712C">
              <w:rPr>
                <w:rFonts w:ascii="Times New Roman" w:hAnsi="Times New Roman"/>
                <w:sz w:val="16"/>
                <w:szCs w:val="16"/>
                <w:lang w:eastAsia="ru-RU"/>
              </w:rPr>
              <w:t>Первомайская площадь</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0,443</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Песчанная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0,238</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Светлая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0,440</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Советская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0,700</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Б.Хмельницкого</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0,435</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w:t>
            </w:r>
            <w:r>
              <w:rPr>
                <w:rFonts w:ascii="Times New Roman" w:hAnsi="Times New Roman"/>
                <w:sz w:val="16"/>
                <w:szCs w:val="16"/>
                <w:lang w:eastAsia="ru-RU"/>
              </w:rPr>
              <w:t xml:space="preserve"> </w:t>
            </w:r>
            <w:r w:rsidRPr="00BE712C">
              <w:rPr>
                <w:rFonts w:ascii="Times New Roman" w:hAnsi="Times New Roman"/>
                <w:sz w:val="16"/>
                <w:szCs w:val="16"/>
                <w:lang w:eastAsia="ru-RU"/>
              </w:rPr>
              <w:t>ул.</w:t>
            </w:r>
            <w:r>
              <w:rPr>
                <w:rFonts w:ascii="Times New Roman" w:hAnsi="Times New Roman"/>
                <w:sz w:val="16"/>
                <w:szCs w:val="16"/>
                <w:lang w:eastAsia="ru-RU"/>
              </w:rPr>
              <w:t xml:space="preserve"> </w:t>
            </w:r>
            <w:r w:rsidRPr="00BE712C">
              <w:rPr>
                <w:rFonts w:ascii="Times New Roman" w:hAnsi="Times New Roman"/>
                <w:sz w:val="16"/>
                <w:szCs w:val="16"/>
                <w:lang w:eastAsia="ru-RU"/>
              </w:rPr>
              <w:t>Закраевского</w:t>
            </w:r>
          </w:p>
        </w:tc>
        <w:tc>
          <w:tcPr>
            <w:tcW w:w="2126" w:type="dxa"/>
            <w:tcBorders>
              <w:top w:val="nil"/>
              <w:left w:val="nil"/>
              <w:bottom w:val="single" w:sz="4" w:space="0" w:color="auto"/>
              <w:right w:val="single" w:sz="4" w:space="0" w:color="auto"/>
            </w:tcBorders>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 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1У/У</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1,363</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Звёздная</w:t>
            </w:r>
          </w:p>
        </w:tc>
        <w:tc>
          <w:tcPr>
            <w:tcW w:w="2126" w:type="dxa"/>
            <w:tcBorders>
              <w:top w:val="nil"/>
              <w:left w:val="nil"/>
              <w:bottom w:val="single" w:sz="4" w:space="0" w:color="auto"/>
              <w:right w:val="single" w:sz="4" w:space="0" w:color="auto"/>
            </w:tcBorders>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 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0,629</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Здвинского</w:t>
            </w:r>
          </w:p>
        </w:tc>
        <w:tc>
          <w:tcPr>
            <w:tcW w:w="2126" w:type="dxa"/>
            <w:tcBorders>
              <w:top w:val="nil"/>
              <w:left w:val="nil"/>
              <w:bottom w:val="single" w:sz="4" w:space="0" w:color="auto"/>
              <w:right w:val="single" w:sz="4" w:space="0" w:color="auto"/>
            </w:tcBorders>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 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0,350</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Копейкина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0,302</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О</w:t>
            </w:r>
            <w:r w:rsidRPr="00BE712C">
              <w:rPr>
                <w:rFonts w:ascii="Times New Roman" w:hAnsi="Times New Roman"/>
                <w:sz w:val="16"/>
                <w:szCs w:val="16"/>
                <w:lang w:eastAsia="ru-RU"/>
              </w:rPr>
              <w:t>. Кошевого</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0,420</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Красная</w:t>
            </w:r>
          </w:p>
        </w:tc>
        <w:tc>
          <w:tcPr>
            <w:tcW w:w="2126" w:type="dxa"/>
            <w:tcBorders>
              <w:top w:val="nil"/>
              <w:left w:val="nil"/>
              <w:bottom w:val="single" w:sz="4" w:space="0" w:color="auto"/>
              <w:right w:val="single" w:sz="4" w:space="0" w:color="auto"/>
            </w:tcBorders>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 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1,278</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ул.1 Красноармейская</w:t>
            </w:r>
          </w:p>
        </w:tc>
        <w:tc>
          <w:tcPr>
            <w:tcW w:w="2126" w:type="dxa"/>
            <w:tcBorders>
              <w:top w:val="nil"/>
              <w:left w:val="nil"/>
              <w:bottom w:val="single" w:sz="4" w:space="0" w:color="auto"/>
              <w:right w:val="single" w:sz="4" w:space="0" w:color="auto"/>
            </w:tcBorders>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 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1,535</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Ленина</w:t>
            </w:r>
          </w:p>
        </w:tc>
        <w:tc>
          <w:tcPr>
            <w:tcW w:w="2126" w:type="dxa"/>
            <w:tcBorders>
              <w:top w:val="nil"/>
              <w:left w:val="nil"/>
              <w:bottom w:val="single" w:sz="4" w:space="0" w:color="auto"/>
              <w:right w:val="single" w:sz="4" w:space="0" w:color="auto"/>
            </w:tcBorders>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 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0,970</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Луговая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0,427</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Маяковского</w:t>
            </w:r>
          </w:p>
        </w:tc>
        <w:tc>
          <w:tcPr>
            <w:tcW w:w="2126" w:type="dxa"/>
            <w:tcBorders>
              <w:top w:val="nil"/>
              <w:left w:val="nil"/>
              <w:bottom w:val="single" w:sz="4" w:space="0" w:color="auto"/>
              <w:right w:val="single" w:sz="4" w:space="0" w:color="auto"/>
            </w:tcBorders>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 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1,343</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на Мусульманское кладбище</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0,370</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Новосибирская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0,183</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Успенского</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0,115</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на Ново-Успенское (христианское кладбище)</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0,604</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объездная дорога от ул. Гуляева до трассы Куйбышев - Балман</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6,015</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к памятнику "Жертвам Политических Репрессий”</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0,097</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Папшева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0,342</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Пионерская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0,478</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Пугачёва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1,463</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Свердлова</w:t>
            </w:r>
          </w:p>
        </w:tc>
        <w:tc>
          <w:tcPr>
            <w:tcW w:w="2126" w:type="dxa"/>
            <w:tcBorders>
              <w:top w:val="nil"/>
              <w:left w:val="nil"/>
              <w:bottom w:val="single" w:sz="4" w:space="0" w:color="auto"/>
              <w:right w:val="single" w:sz="4" w:space="0" w:color="auto"/>
            </w:tcBorders>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 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1У/У</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1,135</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Строительная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0,471</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Трудовая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1,239</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Чехова</w:t>
            </w:r>
          </w:p>
        </w:tc>
        <w:tc>
          <w:tcPr>
            <w:tcW w:w="2126" w:type="dxa"/>
            <w:tcBorders>
              <w:top w:val="nil"/>
              <w:left w:val="nil"/>
              <w:bottom w:val="single" w:sz="4" w:space="0" w:color="auto"/>
              <w:right w:val="single" w:sz="4" w:space="0" w:color="auto"/>
            </w:tcBorders>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 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0,277</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Шишкова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0,246</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Энгельса</w:t>
            </w:r>
          </w:p>
        </w:tc>
        <w:tc>
          <w:tcPr>
            <w:tcW w:w="2126" w:type="dxa"/>
            <w:tcBorders>
              <w:top w:val="nil"/>
              <w:left w:val="nil"/>
              <w:bottom w:val="single" w:sz="4" w:space="0" w:color="auto"/>
              <w:right w:val="single" w:sz="4" w:space="0" w:color="auto"/>
            </w:tcBorders>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 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0,895</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Внутри квартальная автомобильная дорога от у. 1 ая Красноармейская до дороги ул. Пугачёва между домами 4,5 кв-ла 1</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0,309</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Внутри квартальная автомобильная дорога к дому № 25 кв-ла 1</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0,175</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Внутри квартальная автомобильная дорога до дома № 12 кв-ла 2</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0,211</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Внутри квартальная автомобильная дорога в кв-ле 3 к домам 2-10</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0,329</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Внутри квартальная автомобильная дорога между кварталами 3 и 5</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0,207</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Внутри квартальная автомобильная дорога внутри квартала № 5</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0,131</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Внутри квартальная автомобильная дорога между кварталами 5 и 7</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0,203</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Внутри квартальная автомобильная дорога от ул. Партизанская до дома № 8 кв-ла 6</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0,559</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Внутри квартальная автомобильная дорога от ул. Гуляева до дома № 3 кв-ла 8</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0,423</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Внутри квартальная автомобильная дорога от дороги по ул. Партизанская до дороги между кварталами 5 и 7</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0,381</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Внутри квартальная автомобильная дорога от ул.Луговая до Первомайского сквера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0,288</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Внутри квартальная автомобильная дорога от ул.Здвинского до дома № 12 кв - ла ])</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0,097</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Внутри квартальная автомобильная дорога от дороги ул. Красная до ул. Луговая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0,155</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Внутриквартальная автомобильная дорога от дома № 20 кв - ла 11 до дороги до дороги ул.</w:t>
            </w:r>
            <w:r>
              <w:rPr>
                <w:rFonts w:ascii="Times New Roman" w:hAnsi="Times New Roman"/>
                <w:sz w:val="16"/>
                <w:szCs w:val="16"/>
                <w:lang w:eastAsia="ru-RU"/>
              </w:rPr>
              <w:t xml:space="preserve"> </w:t>
            </w:r>
            <w:r w:rsidRPr="00BE712C">
              <w:rPr>
                <w:rFonts w:ascii="Times New Roman" w:hAnsi="Times New Roman"/>
                <w:sz w:val="16"/>
                <w:szCs w:val="16"/>
                <w:lang w:eastAsia="ru-RU"/>
              </w:rPr>
              <w:t>Коммунистическая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0,388</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Внутриквартальная автомобильная дорога от дороги по ул.</w:t>
            </w:r>
            <w:r>
              <w:rPr>
                <w:rFonts w:ascii="Times New Roman" w:hAnsi="Times New Roman"/>
                <w:sz w:val="16"/>
                <w:szCs w:val="16"/>
                <w:lang w:eastAsia="ru-RU"/>
              </w:rPr>
              <w:t xml:space="preserve"> </w:t>
            </w:r>
            <w:r w:rsidRPr="00BE712C">
              <w:rPr>
                <w:rFonts w:ascii="Times New Roman" w:hAnsi="Times New Roman"/>
                <w:sz w:val="16"/>
                <w:szCs w:val="16"/>
                <w:lang w:eastAsia="ru-RU"/>
              </w:rPr>
              <w:t>Володарского до дома № 4 кв - ла] 3</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0,402</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Внутриквартальная автомобильная дорога от дороги по ул. 1 Красноармейская до дома № 12 кв - ла 15</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0,060</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Внутриквартальная автомобильная дорога от дороги по ул.</w:t>
            </w:r>
            <w:r>
              <w:rPr>
                <w:rFonts w:ascii="Times New Roman" w:hAnsi="Times New Roman"/>
                <w:sz w:val="16"/>
                <w:szCs w:val="16"/>
                <w:lang w:eastAsia="ru-RU"/>
              </w:rPr>
              <w:t xml:space="preserve"> </w:t>
            </w:r>
            <w:r w:rsidRPr="00BE712C">
              <w:rPr>
                <w:rFonts w:ascii="Times New Roman" w:hAnsi="Times New Roman"/>
                <w:sz w:val="16"/>
                <w:szCs w:val="16"/>
                <w:lang w:eastAsia="ru-RU"/>
              </w:rPr>
              <w:t>Свердлова к дому № 22 кв - ла 15</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0,037</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Внутриквартальная автомобильная дорога от дороги пер.</w:t>
            </w:r>
            <w:r>
              <w:rPr>
                <w:rFonts w:ascii="Times New Roman" w:hAnsi="Times New Roman"/>
                <w:sz w:val="16"/>
                <w:szCs w:val="16"/>
                <w:lang w:eastAsia="ru-RU"/>
              </w:rPr>
              <w:t xml:space="preserve"> </w:t>
            </w:r>
            <w:r w:rsidRPr="00BE712C">
              <w:rPr>
                <w:rFonts w:ascii="Times New Roman" w:hAnsi="Times New Roman"/>
                <w:sz w:val="16"/>
                <w:szCs w:val="16"/>
                <w:lang w:eastAsia="ru-RU"/>
              </w:rPr>
              <w:t>Заводской между домами 1 и 14 пос.</w:t>
            </w:r>
            <w:r>
              <w:rPr>
                <w:rFonts w:ascii="Times New Roman" w:hAnsi="Times New Roman"/>
                <w:sz w:val="16"/>
                <w:szCs w:val="16"/>
                <w:lang w:eastAsia="ru-RU"/>
              </w:rPr>
              <w:t xml:space="preserve"> </w:t>
            </w:r>
            <w:r w:rsidRPr="00BE712C">
              <w:rPr>
                <w:rFonts w:ascii="Times New Roman" w:hAnsi="Times New Roman"/>
                <w:sz w:val="16"/>
                <w:szCs w:val="16"/>
                <w:lang w:eastAsia="ru-RU"/>
              </w:rPr>
              <w:t>энергетик</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0,660</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noWrap/>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Внутриквартальная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0,610</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в м - не Южный от дороги ул. Плановая до дороги ул. Светлая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Внутриквартальная автомобильная дорога пос.</w:t>
            </w:r>
            <w:r>
              <w:rPr>
                <w:rFonts w:ascii="Times New Roman" w:hAnsi="Times New Roman"/>
                <w:sz w:val="16"/>
                <w:szCs w:val="16"/>
                <w:lang w:eastAsia="ru-RU"/>
              </w:rPr>
              <w:t xml:space="preserve"> </w:t>
            </w:r>
            <w:r w:rsidRPr="00BE712C">
              <w:rPr>
                <w:rFonts w:ascii="Times New Roman" w:hAnsi="Times New Roman"/>
                <w:sz w:val="16"/>
                <w:szCs w:val="16"/>
                <w:lang w:eastAsia="ru-RU"/>
              </w:rPr>
              <w:t>Спиртзаводской</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0,505</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Абросимова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0.412</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Артёмьева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0,324</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Белинского</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0.365</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Бородина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0,762</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пер. Бородина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0,228</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Ватутина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0,346</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Весёлая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0,570</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Весенняя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0,230</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Ветка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0,272</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Водостроевская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0,965</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Воинская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0,430</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к памятнику "Воину -освободителю"</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0,350</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Восточная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0,345</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Гагарина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0,624</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Гайдара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0,357</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0,388</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noWrap/>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ул. Гастелло</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Гвардейская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0,795</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Герцена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0,410</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Глинки</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0,370</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 xml:space="preserve">Автомобильная дорога по ул. </w:t>
            </w:r>
            <w:r>
              <w:rPr>
                <w:rFonts w:ascii="Times New Roman" w:hAnsi="Times New Roman"/>
                <w:sz w:val="16"/>
                <w:szCs w:val="16"/>
                <w:lang w:eastAsia="ru-RU"/>
              </w:rPr>
              <w:t xml:space="preserve">М. </w:t>
            </w:r>
            <w:r w:rsidRPr="00BE712C">
              <w:rPr>
                <w:rFonts w:ascii="Times New Roman" w:hAnsi="Times New Roman"/>
                <w:sz w:val="16"/>
                <w:szCs w:val="16"/>
                <w:lang w:eastAsia="ru-RU"/>
              </w:rPr>
              <w:t>Горького</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0,659</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Грибоедова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0,391</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У.</w:t>
            </w:r>
            <w:r>
              <w:rPr>
                <w:rFonts w:ascii="Times New Roman" w:hAnsi="Times New Roman"/>
                <w:sz w:val="16"/>
                <w:szCs w:val="16"/>
                <w:lang w:eastAsia="ru-RU"/>
              </w:rPr>
              <w:t xml:space="preserve"> </w:t>
            </w:r>
            <w:r w:rsidRPr="00BE712C">
              <w:rPr>
                <w:rFonts w:ascii="Times New Roman" w:hAnsi="Times New Roman"/>
                <w:sz w:val="16"/>
                <w:szCs w:val="16"/>
                <w:lang w:eastAsia="ru-RU"/>
              </w:rPr>
              <w:t>Громовой</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0,357</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ул.1-ое Декабря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1,180</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Дзержинского</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0,364</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Державина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0,707</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Дружбы</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0,208</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к домам</w:t>
            </w:r>
            <w:r>
              <w:rPr>
                <w:rFonts w:ascii="Times New Roman" w:hAnsi="Times New Roman"/>
                <w:sz w:val="16"/>
                <w:szCs w:val="16"/>
                <w:lang w:eastAsia="ru-RU"/>
              </w:rPr>
              <w:t xml:space="preserve"> ул.</w:t>
            </w:r>
            <w:r w:rsidRPr="00BE712C">
              <w:rPr>
                <w:rFonts w:ascii="Times New Roman" w:hAnsi="Times New Roman"/>
                <w:sz w:val="16"/>
                <w:szCs w:val="16"/>
                <w:lang w:eastAsia="ru-RU"/>
              </w:rPr>
              <w:t xml:space="preserve"> Володарского</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0,409</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Есенина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0,543</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Жуковского</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1,125</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пер. Заводской</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0,250</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Западная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0,228</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За</w:t>
            </w:r>
            <w:r>
              <w:rPr>
                <w:rFonts w:ascii="Times New Roman" w:hAnsi="Times New Roman"/>
                <w:sz w:val="16"/>
                <w:szCs w:val="16"/>
                <w:lang w:eastAsia="ru-RU"/>
              </w:rPr>
              <w:t>р</w:t>
            </w:r>
            <w:r w:rsidRPr="00BE712C">
              <w:rPr>
                <w:rFonts w:ascii="Times New Roman" w:hAnsi="Times New Roman"/>
                <w:sz w:val="16"/>
                <w:szCs w:val="16"/>
                <w:lang w:eastAsia="ru-RU"/>
              </w:rPr>
              <w:t>ечная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1,041</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Заслонова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0,372</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Зелёная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1,694</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Зимняя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0,192</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Зорге</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0,365</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Интернатская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1,365</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Иванова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0,258</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пер. от ул.Каинская вдоль забора школы № 5</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0,164</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Карбышева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0,342</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Карьерная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0,199</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 xml:space="preserve">Автомобильная дорога вдоль карьера (ООО </w:t>
            </w:r>
            <w:r>
              <w:rPr>
                <w:rFonts w:ascii="Times New Roman" w:hAnsi="Times New Roman"/>
                <w:sz w:val="16"/>
                <w:szCs w:val="16"/>
                <w:lang w:eastAsia="ru-RU"/>
              </w:rPr>
              <w:t>«</w:t>
            </w:r>
            <w:r w:rsidRPr="00BE712C">
              <w:rPr>
                <w:rFonts w:ascii="Times New Roman" w:hAnsi="Times New Roman"/>
                <w:sz w:val="16"/>
                <w:szCs w:val="16"/>
                <w:lang w:eastAsia="ru-RU"/>
              </w:rPr>
              <w:t>Фишмен</w:t>
            </w:r>
            <w:r>
              <w:rPr>
                <w:rFonts w:ascii="Times New Roman" w:hAnsi="Times New Roman"/>
                <w:sz w:val="16"/>
                <w:szCs w:val="16"/>
                <w:lang w:eastAsia="ru-RU"/>
              </w:rPr>
              <w:t>»</w:t>
            </w:r>
            <w:r w:rsidRPr="00BE712C">
              <w:rPr>
                <w:rFonts w:ascii="Times New Roman" w:hAnsi="Times New Roman"/>
                <w:sz w:val="16"/>
                <w:szCs w:val="16"/>
                <w:lang w:eastAsia="ru-RU"/>
              </w:rPr>
              <w:t>)</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0,599</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пер. Красный</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0,421</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Кирова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0,510</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Кирзавод</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0,158</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Д. </w:t>
            </w:r>
            <w:r w:rsidRPr="00BE712C">
              <w:rPr>
                <w:rFonts w:ascii="Times New Roman" w:hAnsi="Times New Roman"/>
                <w:sz w:val="16"/>
                <w:szCs w:val="16"/>
                <w:lang w:eastAsia="ru-RU"/>
              </w:rPr>
              <w:t>Ковальчук</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0,643</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Коммунальная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0,335</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Комсомольская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0,610</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Копьева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0,406</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Короленко</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0,470</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Кооперативная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2,531</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Крылова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0,428</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Космическая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0,457</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пер. Котовского</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0,230</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Котовского</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0,392</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пер. О. Кошевого</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Т</w:t>
            </w:r>
            <w:r w:rsidRPr="00BE712C">
              <w:rPr>
                <w:rFonts w:ascii="Times New Roman" w:hAnsi="Times New Roman"/>
                <w:sz w:val="16"/>
                <w:szCs w:val="16"/>
                <w:vertAlign w:val="superscript"/>
                <w:lang w:eastAsia="ru-RU"/>
              </w:rPr>
              <w:t>-</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0,180</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ул.2-ая Красноармейская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0,460</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Автодорога по ул. Кордон</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0,119</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Красильникова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0,604</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пер.</w:t>
            </w:r>
            <w:r>
              <w:rPr>
                <w:rFonts w:ascii="Times New Roman" w:hAnsi="Times New Roman"/>
                <w:sz w:val="16"/>
                <w:szCs w:val="16"/>
                <w:lang w:eastAsia="ru-RU"/>
              </w:rPr>
              <w:t xml:space="preserve"> </w:t>
            </w:r>
            <w:r w:rsidRPr="00BE712C">
              <w:rPr>
                <w:rFonts w:ascii="Times New Roman" w:hAnsi="Times New Roman"/>
                <w:sz w:val="16"/>
                <w:szCs w:val="16"/>
                <w:lang w:eastAsia="ru-RU"/>
              </w:rPr>
              <w:t>Красильникова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0,518</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Крестьянская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0,168</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Н. Крупской</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0,812</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Кузнечная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0,200</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Куприна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0,596</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В. Курьянова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0,571</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Куту зова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1,033</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Кузнецова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0,406</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 xml:space="preserve">Автомобильная дорога по </w:t>
            </w:r>
            <w:r>
              <w:rPr>
                <w:rFonts w:ascii="Times New Roman" w:hAnsi="Times New Roman"/>
                <w:sz w:val="16"/>
                <w:szCs w:val="16"/>
                <w:lang w:eastAsia="ru-RU"/>
              </w:rPr>
              <w:t>пе</w:t>
            </w:r>
            <w:r w:rsidRPr="00BE712C">
              <w:rPr>
                <w:rFonts w:ascii="Times New Roman" w:hAnsi="Times New Roman"/>
                <w:sz w:val="16"/>
                <w:szCs w:val="16"/>
                <w:lang w:eastAsia="ru-RU"/>
              </w:rPr>
              <w:t>р.</w:t>
            </w:r>
            <w:r>
              <w:rPr>
                <w:rFonts w:ascii="Times New Roman" w:hAnsi="Times New Roman"/>
                <w:sz w:val="16"/>
                <w:szCs w:val="16"/>
                <w:lang w:eastAsia="ru-RU"/>
              </w:rPr>
              <w:t xml:space="preserve"> </w:t>
            </w:r>
            <w:r w:rsidRPr="00BE712C">
              <w:rPr>
                <w:rFonts w:ascii="Times New Roman" w:hAnsi="Times New Roman"/>
                <w:sz w:val="16"/>
                <w:szCs w:val="16"/>
                <w:lang w:eastAsia="ru-RU"/>
              </w:rPr>
              <w:t>Кузн</w:t>
            </w:r>
            <w:r>
              <w:rPr>
                <w:rFonts w:ascii="Times New Roman" w:hAnsi="Times New Roman"/>
                <w:sz w:val="16"/>
                <w:szCs w:val="16"/>
                <w:lang w:eastAsia="ru-RU"/>
              </w:rPr>
              <w:t>е</w:t>
            </w:r>
            <w:r w:rsidRPr="00BE712C">
              <w:rPr>
                <w:rFonts w:ascii="Times New Roman" w:hAnsi="Times New Roman"/>
                <w:sz w:val="16"/>
                <w:szCs w:val="16"/>
                <w:lang w:eastAsia="ru-RU"/>
              </w:rPr>
              <w:t>цова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0,144</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С. Лазо</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1,483</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пер.</w:t>
            </w:r>
            <w:r>
              <w:rPr>
                <w:rFonts w:ascii="Times New Roman" w:hAnsi="Times New Roman"/>
                <w:sz w:val="16"/>
                <w:szCs w:val="16"/>
                <w:lang w:eastAsia="ru-RU"/>
              </w:rPr>
              <w:t xml:space="preserve"> </w:t>
            </w:r>
            <w:r w:rsidRPr="00BE712C">
              <w:rPr>
                <w:rFonts w:ascii="Times New Roman" w:hAnsi="Times New Roman"/>
                <w:sz w:val="16"/>
                <w:szCs w:val="16"/>
                <w:lang w:eastAsia="ru-RU"/>
              </w:rPr>
              <w:t>С.</w:t>
            </w:r>
            <w:r>
              <w:rPr>
                <w:rFonts w:ascii="Times New Roman" w:hAnsi="Times New Roman"/>
                <w:sz w:val="16"/>
                <w:szCs w:val="16"/>
                <w:lang w:eastAsia="ru-RU"/>
              </w:rPr>
              <w:t xml:space="preserve"> </w:t>
            </w:r>
            <w:r w:rsidRPr="00BE712C">
              <w:rPr>
                <w:rFonts w:ascii="Times New Roman" w:hAnsi="Times New Roman"/>
                <w:sz w:val="16"/>
                <w:szCs w:val="16"/>
                <w:lang w:eastAsia="ru-RU"/>
              </w:rPr>
              <w:t>Лазо</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0,344</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Лермонтова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0,529</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Лебяжья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0,921</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Лесоперева</w:t>
            </w:r>
            <w:r>
              <w:rPr>
                <w:rFonts w:ascii="Times New Roman" w:hAnsi="Times New Roman"/>
                <w:sz w:val="16"/>
                <w:szCs w:val="16"/>
                <w:lang w:eastAsia="ru-RU"/>
              </w:rPr>
              <w:t>л</w:t>
            </w:r>
            <w:r w:rsidRPr="00BE712C">
              <w:rPr>
                <w:rFonts w:ascii="Times New Roman" w:hAnsi="Times New Roman"/>
                <w:sz w:val="16"/>
                <w:szCs w:val="16"/>
                <w:lang w:eastAsia="ru-RU"/>
              </w:rPr>
              <w:t>очная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0,220</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К. Либкнехта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0,437</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Лунная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0,654</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Ломоносова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0,587</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Макаренко</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0,616</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Макарова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0,851</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Мартыненко</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0,951</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Матросова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0,436</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Мелиоративная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0,270</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Минина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0,671</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Мичурина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1,037</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Мира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0,231</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П. Морозова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0,159</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Мошнинская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1,363</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пер.</w:t>
            </w:r>
            <w:r>
              <w:rPr>
                <w:rFonts w:ascii="Times New Roman" w:hAnsi="Times New Roman"/>
                <w:sz w:val="16"/>
                <w:szCs w:val="16"/>
                <w:lang w:eastAsia="ru-RU"/>
              </w:rPr>
              <w:t xml:space="preserve"> </w:t>
            </w:r>
            <w:r w:rsidRPr="00BE712C">
              <w:rPr>
                <w:rFonts w:ascii="Times New Roman" w:hAnsi="Times New Roman"/>
                <w:sz w:val="16"/>
                <w:szCs w:val="16"/>
                <w:lang w:eastAsia="ru-RU"/>
              </w:rPr>
              <w:t>Мошнинский</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0,420</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Моховая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0,288</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Мясокомбинатская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0,684</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Набережная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1,206</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Некрасова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0,441</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объездная дорога район ФГУ УФ 91/12</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3,012</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Октябрьская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0,839</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Озёрная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0,635</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Омская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1,488</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Островского</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0,365</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Откормочная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0,834</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Павлова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0,544</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Панфилова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0,401</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Папанина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0,492</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19-го Партсъезда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0,452</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Первомайская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0,355</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Пиотровского</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0,303</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Пожаре кого</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0,801</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Пролетарская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0,481</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Путевая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0,429</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Пушкина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1,894</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Рабочая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0,270</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Радищева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0,322</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С. Разина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0,525</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Раздольная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1,004</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Рачёва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0,088</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Репина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0,542</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Речная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0,551</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Ромашковая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0,475</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подъезд к ул. Ромашковой</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0,368</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Садовая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0,247</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Сарайная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0,450</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Свободы</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0,727</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Сибирская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0,530</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Pr>
                <w:rFonts w:ascii="Times New Roman" w:hAnsi="Times New Roman"/>
                <w:sz w:val="16"/>
                <w:szCs w:val="16"/>
                <w:lang w:eastAsia="ru-RU"/>
              </w:rPr>
              <w:t>А</w:t>
            </w:r>
            <w:r w:rsidRPr="00BE712C">
              <w:rPr>
                <w:rFonts w:ascii="Times New Roman" w:hAnsi="Times New Roman"/>
                <w:sz w:val="16"/>
                <w:szCs w:val="16"/>
                <w:lang w:eastAsia="ru-RU"/>
              </w:rPr>
              <w:t>втомобильная дорога по ул. Смирнова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0,172</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пер. Совхозный</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0,099</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на 48 совхоз</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1,010</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Спартака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0,926</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Степная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0,123</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Суворова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0,576</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Сусанина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0,262</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Семьи Сусловых</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0,906</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Тенистая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0,344</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Л. Толстого</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0,136</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Тургенева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0,262</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Урицкого</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0,269</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к учебному городку</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0,167</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Ушинского</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0,300</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Фадеева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0,606</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Фурманова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0,449</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Б. Фурман</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0,398</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Фрунзе</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0,916</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Хал Турина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0,211</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1,2,3,4 пер. Б. Хмельницкого</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0,303</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 л. Цветочная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0,252</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Чайковского</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1,111</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пер. Чайковского</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0,703</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Чапаева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0,486</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Чаплыгина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0Д48</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Челюскинцев</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0,351</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Черняховского</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0,324</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Чкалова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0,263</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Шевченко</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0,977</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Школьная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0,539</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С. Щедрина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1,161</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Щетинкина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0,692</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Юбилейная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0,339</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Брусничная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1,101</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Береговая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0,326</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Берёзовая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0,234</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Калугина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0,650</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Кленовая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0,351</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Кулагина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0,473</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Лазурная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0,576</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 xml:space="preserve">Автомобильная дорога </w:t>
            </w:r>
            <w:r>
              <w:rPr>
                <w:rFonts w:ascii="Times New Roman" w:hAnsi="Times New Roman"/>
                <w:sz w:val="16"/>
                <w:szCs w:val="16"/>
                <w:lang w:eastAsia="ru-RU"/>
              </w:rPr>
              <w:t>п</w:t>
            </w:r>
            <w:r w:rsidRPr="00BE712C">
              <w:rPr>
                <w:rFonts w:ascii="Times New Roman" w:hAnsi="Times New Roman"/>
                <w:sz w:val="16"/>
                <w:szCs w:val="16"/>
                <w:lang w:eastAsia="ru-RU"/>
              </w:rPr>
              <w:t>о ул. Лесная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0,163</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Лескова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0,606</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Лучистая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0,113</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Народная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0,271</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Новая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0,661</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Новогодняя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0,345</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Олимпийская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0,756</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Осе</w:t>
            </w:r>
            <w:r>
              <w:rPr>
                <w:rFonts w:ascii="Times New Roman" w:hAnsi="Times New Roman"/>
                <w:sz w:val="16"/>
                <w:szCs w:val="16"/>
                <w:lang w:eastAsia="ru-RU"/>
              </w:rPr>
              <w:t>н</w:t>
            </w:r>
            <w:r w:rsidRPr="00BE712C">
              <w:rPr>
                <w:rFonts w:ascii="Times New Roman" w:hAnsi="Times New Roman"/>
                <w:sz w:val="16"/>
                <w:szCs w:val="16"/>
                <w:lang w:eastAsia="ru-RU"/>
              </w:rPr>
              <w:t>няя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0,404</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ул.11обеды</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0,177</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Полевая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0,479</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Радужная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0,674</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пер. Радужный</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0,195</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Ряби новая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0,453</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Северная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0.277</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на скотомогильник</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0,400</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Снежная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0,684</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Совхозная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1,486</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Солнечная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0,477</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Сосновая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0,352</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Спортивная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0,562</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Тихая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0,825</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Тупиковая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0,332</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Усова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0,612</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 л. Цветной проезд</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0.441</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Ясная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0,289</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Зонова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0,267</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Константинова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0,161</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Урюпина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0,584</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Бурматова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0,293</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Ян</w:t>
            </w:r>
            <w:r>
              <w:rPr>
                <w:rFonts w:ascii="Times New Roman" w:hAnsi="Times New Roman"/>
                <w:sz w:val="16"/>
                <w:szCs w:val="16"/>
                <w:lang w:eastAsia="ru-RU"/>
              </w:rPr>
              <w:t>е</w:t>
            </w:r>
            <w:r w:rsidRPr="00BE712C">
              <w:rPr>
                <w:rFonts w:ascii="Times New Roman" w:hAnsi="Times New Roman"/>
                <w:sz w:val="16"/>
                <w:szCs w:val="16"/>
                <w:lang w:eastAsia="ru-RU"/>
              </w:rPr>
              <w:t>нко</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0,910</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Счастливая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0,632</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Рождественская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0,471</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Казынко</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0,572</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Дениса Флека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0,289</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Зырянова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0,474</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Тимирязева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0.221</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Двухреченского</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0,455</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Александра Некрасова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0,471</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Митрохина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0,484</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Проспект Героев</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1,380</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Каинский бульвар</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0,542</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Каштуева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0,518</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Аккашкарова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0,533</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Шушарина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0,467</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Наумова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0,301</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Песчанко</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0,429</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w:t>
            </w:r>
            <w:r>
              <w:rPr>
                <w:rFonts w:ascii="Times New Roman" w:hAnsi="Times New Roman"/>
                <w:sz w:val="16"/>
                <w:szCs w:val="16"/>
                <w:lang w:eastAsia="ru-RU"/>
              </w:rPr>
              <w:t xml:space="preserve"> </w:t>
            </w:r>
            <w:r w:rsidRPr="00BE712C">
              <w:rPr>
                <w:rFonts w:ascii="Times New Roman" w:hAnsi="Times New Roman"/>
                <w:sz w:val="16"/>
                <w:szCs w:val="16"/>
                <w:lang w:eastAsia="ru-RU"/>
              </w:rPr>
              <w:t>Жилинского</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0,497</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Парковая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0,311</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Анатолия Петрова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0,675</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70 лет Победы</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0,427</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Дальняя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0,765</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пер. Красноармейский</w:t>
            </w:r>
          </w:p>
        </w:tc>
        <w:tc>
          <w:tcPr>
            <w:tcW w:w="2126" w:type="dxa"/>
            <w:tcBorders>
              <w:top w:val="nil"/>
              <w:left w:val="nil"/>
              <w:bottom w:val="single" w:sz="4" w:space="0" w:color="auto"/>
              <w:right w:val="single" w:sz="4" w:space="0" w:color="auto"/>
            </w:tcBorders>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0,118</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пер. Красноармейский (2)</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0,120</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пер. Куприна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0,227</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К. Маркса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0,399</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Клубничная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0,630</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Подъездной путь к автодорожному мосту через р. Омь по ул. Володарского (мост №2)</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0,168</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Подъездной путь к автодорожному мосту через р. Омь по ул. Володарского (мост №2)</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0,159</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Автодорога по ул. Плановая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IV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1,763</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пос. Заводской</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0,240</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на территории городского кладбища</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2,304</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Яненко</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0,168</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Рождественская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0,577</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Счастливая</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0,420</w:t>
            </w:r>
          </w:p>
        </w:tc>
      </w:tr>
      <w:tr w:rsidR="002D1E45" w:rsidRPr="00BE712C" w:rsidTr="00BE712C">
        <w:trPr>
          <w:trHeight w:val="57"/>
          <w:jc w:val="center"/>
        </w:trPr>
        <w:tc>
          <w:tcPr>
            <w:tcW w:w="3823" w:type="dxa"/>
            <w:tcBorders>
              <w:top w:val="nil"/>
              <w:left w:val="single" w:sz="4" w:space="0" w:color="auto"/>
              <w:bottom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sz w:val="16"/>
                <w:szCs w:val="16"/>
                <w:lang w:eastAsia="ru-RU"/>
              </w:rPr>
            </w:pPr>
            <w:r w:rsidRPr="00BE712C">
              <w:rPr>
                <w:rFonts w:ascii="Times New Roman" w:hAnsi="Times New Roman"/>
                <w:sz w:val="16"/>
                <w:szCs w:val="16"/>
                <w:lang w:eastAsia="ru-RU"/>
              </w:rPr>
              <w:t>Автомобильная дорога по ул. Казынко</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V</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sz w:val="16"/>
                <w:szCs w:val="16"/>
                <w:lang w:eastAsia="ru-RU"/>
              </w:rPr>
            </w:pPr>
            <w:r w:rsidRPr="00BE712C">
              <w:rPr>
                <w:rFonts w:ascii="Times New Roman" w:hAnsi="Times New Roman"/>
                <w:sz w:val="16"/>
                <w:szCs w:val="16"/>
                <w:lang w:eastAsia="ru-RU"/>
              </w:rPr>
              <w:t>0,346</w:t>
            </w:r>
          </w:p>
        </w:tc>
      </w:tr>
      <w:tr w:rsidR="002D1E45" w:rsidRPr="00BE712C" w:rsidTr="00BE712C">
        <w:trPr>
          <w:trHeight w:val="57"/>
          <w:jc w:val="center"/>
        </w:trPr>
        <w:tc>
          <w:tcPr>
            <w:tcW w:w="3823" w:type="dxa"/>
            <w:vMerge w:val="restart"/>
            <w:tcBorders>
              <w:top w:val="nil"/>
              <w:left w:val="single" w:sz="4" w:space="0" w:color="auto"/>
              <w:right w:val="single" w:sz="4" w:space="0" w:color="auto"/>
            </w:tcBorders>
            <w:vAlign w:val="center"/>
          </w:tcPr>
          <w:p w:rsidR="002D1E45" w:rsidRPr="00BE712C" w:rsidRDefault="002D1E45" w:rsidP="00BE712C">
            <w:pPr>
              <w:spacing w:after="0" w:line="240" w:lineRule="auto"/>
              <w:rPr>
                <w:rFonts w:ascii="Times New Roman" w:hAnsi="Times New Roman"/>
                <w:b/>
                <w:bCs/>
                <w:sz w:val="16"/>
                <w:szCs w:val="16"/>
                <w:lang w:eastAsia="ru-RU"/>
              </w:rPr>
            </w:pPr>
            <w:r w:rsidRPr="00BE712C">
              <w:rPr>
                <w:rFonts w:ascii="Times New Roman" w:hAnsi="Times New Roman"/>
                <w:b/>
                <w:bCs/>
                <w:sz w:val="16"/>
                <w:szCs w:val="16"/>
                <w:lang w:eastAsia="ru-RU"/>
              </w:rPr>
              <w:t>ИТОГО</w:t>
            </w: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b/>
                <w:bCs/>
                <w:sz w:val="16"/>
                <w:szCs w:val="16"/>
                <w:lang w:eastAsia="ru-RU"/>
              </w:rPr>
            </w:pPr>
            <w:r w:rsidRPr="00BE712C">
              <w:rPr>
                <w:rFonts w:ascii="Times New Roman" w:hAnsi="Times New Roman"/>
                <w:b/>
                <w:bCs/>
                <w:sz w:val="16"/>
                <w:szCs w:val="16"/>
                <w:lang w:eastAsia="ru-RU"/>
              </w:rPr>
              <w:t>Асфальтобетон</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b/>
                <w:bCs/>
                <w:color w:val="000000"/>
                <w:sz w:val="16"/>
                <w:szCs w:val="16"/>
                <w:lang w:eastAsia="ru-RU"/>
              </w:rPr>
            </w:pPr>
            <w:r w:rsidRPr="00BE712C">
              <w:rPr>
                <w:rFonts w:ascii="Times New Roman" w:hAnsi="Times New Roman"/>
                <w:b/>
                <w:bCs/>
                <w:sz w:val="16"/>
                <w:szCs w:val="16"/>
                <w:lang w:eastAsia="ru-RU"/>
              </w:rPr>
              <w:t>IV</w:t>
            </w:r>
          </w:p>
        </w:tc>
        <w:tc>
          <w:tcPr>
            <w:tcW w:w="1902" w:type="dxa"/>
            <w:tcBorders>
              <w:top w:val="nil"/>
              <w:left w:val="nil"/>
              <w:bottom w:val="single" w:sz="4" w:space="0" w:color="auto"/>
              <w:right w:val="single" w:sz="4" w:space="0" w:color="auto"/>
            </w:tcBorders>
            <w:noWrap/>
          </w:tcPr>
          <w:p w:rsidR="002D1E45" w:rsidRPr="00BE712C" w:rsidRDefault="002D1E45" w:rsidP="00BE712C">
            <w:pPr>
              <w:spacing w:after="0" w:line="240" w:lineRule="auto"/>
              <w:jc w:val="center"/>
              <w:rPr>
                <w:rFonts w:ascii="Times New Roman" w:hAnsi="Times New Roman"/>
                <w:b/>
                <w:bCs/>
                <w:sz w:val="16"/>
                <w:szCs w:val="16"/>
                <w:lang w:eastAsia="ru-RU"/>
              </w:rPr>
            </w:pPr>
            <w:r w:rsidRPr="00BE712C">
              <w:rPr>
                <w:rFonts w:ascii="Times New Roman" w:hAnsi="Times New Roman"/>
                <w:b/>
                <w:bCs/>
                <w:sz w:val="16"/>
                <w:szCs w:val="16"/>
                <w:lang w:eastAsia="ru-RU"/>
              </w:rPr>
              <w:t>57,320</w:t>
            </w:r>
          </w:p>
        </w:tc>
      </w:tr>
      <w:tr w:rsidR="002D1E45" w:rsidRPr="00BE712C" w:rsidTr="00BE712C">
        <w:trPr>
          <w:trHeight w:val="57"/>
          <w:jc w:val="center"/>
        </w:trPr>
        <w:tc>
          <w:tcPr>
            <w:tcW w:w="3823" w:type="dxa"/>
            <w:vMerge/>
            <w:tcBorders>
              <w:left w:val="single" w:sz="4" w:space="0" w:color="auto"/>
              <w:right w:val="single" w:sz="4" w:space="0" w:color="auto"/>
            </w:tcBorders>
            <w:noWrap/>
            <w:vAlign w:val="center"/>
          </w:tcPr>
          <w:p w:rsidR="002D1E45" w:rsidRPr="00BE712C" w:rsidRDefault="002D1E45" w:rsidP="00BE712C">
            <w:pPr>
              <w:spacing w:after="0" w:line="240" w:lineRule="auto"/>
              <w:rPr>
                <w:rFonts w:ascii="Times New Roman" w:hAnsi="Times New Roman"/>
                <w:b/>
                <w:bCs/>
                <w:color w:val="000000"/>
                <w:sz w:val="16"/>
                <w:szCs w:val="16"/>
                <w:lang w:eastAsia="ru-RU"/>
              </w:rPr>
            </w:pP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b/>
                <w:bCs/>
                <w:sz w:val="16"/>
                <w:szCs w:val="16"/>
                <w:lang w:eastAsia="ru-RU"/>
              </w:rPr>
            </w:pPr>
            <w:r w:rsidRPr="00BE712C">
              <w:rPr>
                <w:rFonts w:ascii="Times New Roman" w:hAnsi="Times New Roman"/>
                <w:b/>
                <w:bCs/>
                <w:sz w:val="16"/>
                <w:szCs w:val="16"/>
                <w:lang w:eastAsia="ru-RU"/>
              </w:rPr>
              <w:t>Щебень</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b/>
                <w:bCs/>
                <w:color w:val="000000"/>
                <w:sz w:val="16"/>
                <w:szCs w:val="16"/>
                <w:lang w:eastAsia="ru-RU"/>
              </w:rPr>
            </w:pPr>
            <w:r w:rsidRPr="00BE712C">
              <w:rPr>
                <w:rFonts w:ascii="Times New Roman" w:hAnsi="Times New Roman"/>
                <w:b/>
                <w:bCs/>
                <w:sz w:val="16"/>
                <w:szCs w:val="16"/>
                <w:lang w:eastAsia="ru-RU"/>
              </w:rPr>
              <w:t>V</w:t>
            </w:r>
          </w:p>
        </w:tc>
        <w:tc>
          <w:tcPr>
            <w:tcW w:w="1902" w:type="dxa"/>
            <w:tcBorders>
              <w:top w:val="nil"/>
              <w:left w:val="nil"/>
              <w:bottom w:val="single" w:sz="4" w:space="0" w:color="auto"/>
              <w:right w:val="single" w:sz="4" w:space="0" w:color="auto"/>
            </w:tcBorders>
            <w:noWrap/>
          </w:tcPr>
          <w:p w:rsidR="002D1E45" w:rsidRPr="00BE712C" w:rsidRDefault="002D1E45" w:rsidP="00BE712C">
            <w:pPr>
              <w:spacing w:after="0" w:line="240" w:lineRule="auto"/>
              <w:jc w:val="center"/>
              <w:rPr>
                <w:rFonts w:ascii="Times New Roman" w:hAnsi="Times New Roman"/>
                <w:b/>
                <w:bCs/>
                <w:sz w:val="16"/>
                <w:szCs w:val="16"/>
                <w:lang w:eastAsia="ru-RU"/>
              </w:rPr>
            </w:pPr>
            <w:r w:rsidRPr="00BE712C">
              <w:rPr>
                <w:rFonts w:ascii="Times New Roman" w:hAnsi="Times New Roman"/>
                <w:b/>
                <w:bCs/>
                <w:sz w:val="16"/>
                <w:szCs w:val="16"/>
                <w:lang w:eastAsia="ru-RU"/>
              </w:rPr>
              <w:t>80,014</w:t>
            </w:r>
          </w:p>
        </w:tc>
      </w:tr>
      <w:tr w:rsidR="002D1E45" w:rsidRPr="00BE712C" w:rsidTr="00BE712C">
        <w:trPr>
          <w:trHeight w:val="57"/>
          <w:jc w:val="center"/>
        </w:trPr>
        <w:tc>
          <w:tcPr>
            <w:tcW w:w="3823" w:type="dxa"/>
            <w:vMerge/>
            <w:tcBorders>
              <w:left w:val="single" w:sz="4" w:space="0" w:color="auto"/>
              <w:bottom w:val="single" w:sz="4" w:space="0" w:color="auto"/>
              <w:right w:val="single" w:sz="4" w:space="0" w:color="auto"/>
            </w:tcBorders>
            <w:noWrap/>
            <w:vAlign w:val="center"/>
          </w:tcPr>
          <w:p w:rsidR="002D1E45" w:rsidRPr="00BE712C" w:rsidRDefault="002D1E45" w:rsidP="00BE712C">
            <w:pPr>
              <w:spacing w:after="0" w:line="240" w:lineRule="auto"/>
              <w:rPr>
                <w:rFonts w:ascii="Times New Roman" w:hAnsi="Times New Roman"/>
                <w:b/>
                <w:bCs/>
                <w:color w:val="000000"/>
                <w:sz w:val="16"/>
                <w:szCs w:val="16"/>
                <w:lang w:eastAsia="ru-RU"/>
              </w:rPr>
            </w:pPr>
          </w:p>
        </w:tc>
        <w:tc>
          <w:tcPr>
            <w:tcW w:w="2126"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b/>
                <w:bCs/>
                <w:sz w:val="16"/>
                <w:szCs w:val="16"/>
                <w:lang w:eastAsia="ru-RU"/>
              </w:rPr>
            </w:pPr>
            <w:r w:rsidRPr="00BE712C">
              <w:rPr>
                <w:rFonts w:ascii="Times New Roman" w:hAnsi="Times New Roman"/>
                <w:b/>
                <w:bCs/>
                <w:sz w:val="16"/>
                <w:szCs w:val="16"/>
                <w:lang w:eastAsia="ru-RU"/>
              </w:rPr>
              <w:t>Грунтовое</w:t>
            </w:r>
          </w:p>
        </w:tc>
        <w:tc>
          <w:tcPr>
            <w:tcW w:w="1374"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b/>
                <w:bCs/>
                <w:color w:val="000000"/>
                <w:sz w:val="16"/>
                <w:szCs w:val="16"/>
                <w:lang w:eastAsia="ru-RU"/>
              </w:rPr>
            </w:pPr>
            <w:r w:rsidRPr="00BE712C">
              <w:rPr>
                <w:rFonts w:ascii="Times New Roman" w:hAnsi="Times New Roman"/>
                <w:b/>
                <w:bCs/>
                <w:sz w:val="16"/>
                <w:szCs w:val="16"/>
                <w:lang w:eastAsia="ru-RU"/>
              </w:rPr>
              <w:t>V</w:t>
            </w:r>
          </w:p>
        </w:tc>
        <w:tc>
          <w:tcPr>
            <w:tcW w:w="1902" w:type="dxa"/>
            <w:tcBorders>
              <w:top w:val="nil"/>
              <w:left w:val="nil"/>
              <w:bottom w:val="single" w:sz="4" w:space="0" w:color="auto"/>
              <w:right w:val="single" w:sz="4" w:space="0" w:color="auto"/>
            </w:tcBorders>
            <w:noWrap/>
          </w:tcPr>
          <w:p w:rsidR="002D1E45" w:rsidRPr="00BE712C" w:rsidRDefault="002D1E45" w:rsidP="00BE712C">
            <w:pPr>
              <w:spacing w:after="0" w:line="240" w:lineRule="auto"/>
              <w:jc w:val="center"/>
              <w:rPr>
                <w:rFonts w:ascii="Times New Roman" w:hAnsi="Times New Roman"/>
                <w:b/>
                <w:bCs/>
                <w:sz w:val="16"/>
                <w:szCs w:val="16"/>
                <w:lang w:eastAsia="ru-RU"/>
              </w:rPr>
            </w:pPr>
            <w:r w:rsidRPr="00BE712C">
              <w:rPr>
                <w:rFonts w:ascii="Times New Roman" w:hAnsi="Times New Roman"/>
                <w:b/>
                <w:bCs/>
                <w:sz w:val="16"/>
                <w:szCs w:val="16"/>
                <w:lang w:eastAsia="ru-RU"/>
              </w:rPr>
              <w:t>36,497</w:t>
            </w:r>
          </w:p>
        </w:tc>
      </w:tr>
      <w:tr w:rsidR="002D1E45" w:rsidRPr="00BE712C" w:rsidTr="00BE712C">
        <w:trPr>
          <w:trHeight w:val="57"/>
          <w:jc w:val="center"/>
        </w:trPr>
        <w:tc>
          <w:tcPr>
            <w:tcW w:w="7323" w:type="dxa"/>
            <w:gridSpan w:val="3"/>
            <w:tcBorders>
              <w:top w:val="nil"/>
              <w:left w:val="single" w:sz="4" w:space="0" w:color="auto"/>
              <w:bottom w:val="single" w:sz="4" w:space="0" w:color="auto"/>
              <w:right w:val="single" w:sz="4" w:space="0" w:color="auto"/>
            </w:tcBorders>
            <w:noWrap/>
            <w:vAlign w:val="center"/>
          </w:tcPr>
          <w:p w:rsidR="002D1E45" w:rsidRPr="00BE712C" w:rsidRDefault="002D1E45" w:rsidP="00BE712C">
            <w:pPr>
              <w:spacing w:after="0" w:line="240" w:lineRule="auto"/>
              <w:rPr>
                <w:rFonts w:ascii="Times New Roman" w:hAnsi="Times New Roman"/>
                <w:b/>
                <w:bCs/>
                <w:color w:val="000000"/>
                <w:sz w:val="16"/>
                <w:szCs w:val="16"/>
                <w:lang w:eastAsia="ru-RU"/>
              </w:rPr>
            </w:pPr>
            <w:r w:rsidRPr="00BE712C">
              <w:rPr>
                <w:rFonts w:ascii="Times New Roman" w:hAnsi="Times New Roman"/>
                <w:b/>
                <w:bCs/>
                <w:color w:val="000000"/>
                <w:sz w:val="16"/>
                <w:szCs w:val="16"/>
                <w:lang w:eastAsia="ru-RU"/>
              </w:rPr>
              <w:t>ВСЕГО</w:t>
            </w:r>
          </w:p>
        </w:tc>
        <w:tc>
          <w:tcPr>
            <w:tcW w:w="1902" w:type="dxa"/>
            <w:tcBorders>
              <w:top w:val="nil"/>
              <w:left w:val="nil"/>
              <w:bottom w:val="single" w:sz="4" w:space="0" w:color="auto"/>
              <w:right w:val="single" w:sz="4" w:space="0" w:color="auto"/>
            </w:tcBorders>
            <w:noWrap/>
            <w:vAlign w:val="center"/>
          </w:tcPr>
          <w:p w:rsidR="002D1E45" w:rsidRPr="00BE712C" w:rsidRDefault="002D1E45" w:rsidP="00BE712C">
            <w:pPr>
              <w:spacing w:after="0" w:line="240" w:lineRule="auto"/>
              <w:jc w:val="center"/>
              <w:rPr>
                <w:rFonts w:ascii="Times New Roman" w:hAnsi="Times New Roman"/>
                <w:b/>
                <w:bCs/>
                <w:color w:val="000000"/>
                <w:sz w:val="16"/>
                <w:szCs w:val="16"/>
                <w:lang w:eastAsia="ru-RU"/>
              </w:rPr>
            </w:pPr>
            <w:r w:rsidRPr="00BE712C">
              <w:rPr>
                <w:rFonts w:ascii="Times New Roman" w:hAnsi="Times New Roman"/>
                <w:b/>
                <w:bCs/>
                <w:color w:val="000000"/>
                <w:sz w:val="16"/>
                <w:szCs w:val="16"/>
                <w:lang w:eastAsia="ru-RU"/>
              </w:rPr>
              <w:t>173,831</w:t>
            </w:r>
          </w:p>
        </w:tc>
      </w:tr>
    </w:tbl>
    <w:p w:rsidR="002D1E45" w:rsidRPr="00BF456D" w:rsidRDefault="002D1E45" w:rsidP="00BF456D">
      <w:pPr>
        <w:tabs>
          <w:tab w:val="left" w:pos="1418"/>
        </w:tabs>
        <w:spacing w:line="240" w:lineRule="auto"/>
        <w:jc w:val="center"/>
        <w:rPr>
          <w:rFonts w:ascii="Times New Roman" w:hAnsi="Times New Roman"/>
          <w:sz w:val="28"/>
          <w:szCs w:val="24"/>
          <w:lang w:eastAsia="ru-RU"/>
        </w:rPr>
      </w:pPr>
    </w:p>
    <w:p w:rsidR="002D1E45" w:rsidRPr="00AB67F3" w:rsidRDefault="002D1E45" w:rsidP="00AB67F3">
      <w:pPr>
        <w:pStyle w:val="BodyText"/>
        <w:ind w:firstLine="709"/>
        <w:rPr>
          <w:bCs/>
          <w:i/>
          <w:szCs w:val="28"/>
          <w:u w:val="single"/>
        </w:rPr>
      </w:pPr>
      <w:r w:rsidRPr="00AB67F3">
        <w:rPr>
          <w:bCs/>
          <w:i/>
          <w:szCs w:val="28"/>
          <w:u w:val="single"/>
        </w:rPr>
        <w:t>Улично-дорожная сет</w:t>
      </w:r>
      <w:r>
        <w:rPr>
          <w:bCs/>
          <w:i/>
          <w:szCs w:val="28"/>
          <w:u w:val="single"/>
        </w:rPr>
        <w:t>ь</w:t>
      </w:r>
    </w:p>
    <w:p w:rsidR="002D1E45" w:rsidRPr="00CA6293" w:rsidRDefault="002D1E45" w:rsidP="003B2A75">
      <w:pPr>
        <w:pStyle w:val="BodyText"/>
        <w:ind w:firstLine="709"/>
        <w:rPr>
          <w:szCs w:val="24"/>
        </w:rPr>
      </w:pPr>
      <w:r w:rsidRPr="00DB4EA6">
        <w:rPr>
          <w:szCs w:val="28"/>
        </w:rPr>
        <w:t xml:space="preserve">Улично-дорожная сеть складывалась в соответствии с характером застройки, которая и ориентировалась на проходящий через </w:t>
      </w:r>
      <w:r>
        <w:rPr>
          <w:szCs w:val="28"/>
        </w:rPr>
        <w:t>город</w:t>
      </w:r>
      <w:r w:rsidRPr="00DB4EA6">
        <w:rPr>
          <w:szCs w:val="28"/>
        </w:rPr>
        <w:t xml:space="preserve"> «</w:t>
      </w:r>
      <w:r>
        <w:rPr>
          <w:szCs w:val="28"/>
        </w:rPr>
        <w:t>Московски</w:t>
      </w:r>
      <w:r w:rsidRPr="00DB4EA6">
        <w:rPr>
          <w:szCs w:val="28"/>
        </w:rPr>
        <w:t>й тракт» и подходящие к нему другие дороги</w:t>
      </w:r>
      <w:r>
        <w:rPr>
          <w:szCs w:val="28"/>
        </w:rPr>
        <w:t xml:space="preserve"> межмуниципального и регионального значения</w:t>
      </w:r>
      <w:r w:rsidRPr="00DB4EA6">
        <w:rPr>
          <w:szCs w:val="28"/>
        </w:rPr>
        <w:t xml:space="preserve">, в увязке с извилистым руслом р. </w:t>
      </w:r>
      <w:r>
        <w:rPr>
          <w:szCs w:val="28"/>
        </w:rPr>
        <w:t>Омь и многочисленными озёрами</w:t>
      </w:r>
      <w:r w:rsidRPr="00DB4EA6">
        <w:rPr>
          <w:szCs w:val="28"/>
        </w:rPr>
        <w:t>. Улицы, в основном, небольшой ширины.</w:t>
      </w:r>
      <w:r>
        <w:rPr>
          <w:szCs w:val="28"/>
        </w:rPr>
        <w:t xml:space="preserve"> </w:t>
      </w:r>
      <w:r w:rsidRPr="00CA6293">
        <w:rPr>
          <w:szCs w:val="24"/>
        </w:rPr>
        <w:t>Населённый пункт сформирован застройкой квартального и усадебного типа с нечётко выраженной прямоугольной структурой улично-дорожной сети.</w:t>
      </w:r>
    </w:p>
    <w:p w:rsidR="002D1E45" w:rsidRPr="00A343F7" w:rsidRDefault="002D1E45" w:rsidP="00AE278A">
      <w:pPr>
        <w:spacing w:after="0" w:line="240" w:lineRule="auto"/>
        <w:ind w:firstLine="709"/>
        <w:jc w:val="both"/>
        <w:rPr>
          <w:rFonts w:ascii="Times New Roman" w:hAnsi="Times New Roman"/>
          <w:bCs/>
          <w:sz w:val="28"/>
          <w:szCs w:val="28"/>
          <w:lang w:eastAsia="ru-RU"/>
        </w:rPr>
      </w:pPr>
      <w:r w:rsidRPr="00CA6293">
        <w:rPr>
          <w:rFonts w:ascii="Times New Roman" w:hAnsi="Times New Roman"/>
          <w:sz w:val="28"/>
          <w:szCs w:val="24"/>
        </w:rPr>
        <w:t xml:space="preserve">Основными транспортными артериями в городе являются главные улицы и основные улицы в жилой застройке. Такими улицами являются: ул. Партизанская, ул. Коммунистическая, ул. Краскома, ул. Войкова, ул. Советская, ул. Каинская, ул. Володарского, ул. Куйбышева, ул. Плановая, ул. Агафонова. </w:t>
      </w:r>
      <w:r>
        <w:rPr>
          <w:rFonts w:ascii="Times New Roman" w:hAnsi="Times New Roman"/>
          <w:sz w:val="28"/>
          <w:szCs w:val="24"/>
        </w:rPr>
        <w:t>у</w:t>
      </w:r>
      <w:r w:rsidRPr="00CA6293">
        <w:rPr>
          <w:rFonts w:ascii="Times New Roman" w:hAnsi="Times New Roman"/>
          <w:sz w:val="28"/>
          <w:szCs w:val="24"/>
        </w:rPr>
        <w:t>л. Закраевского, ул. А. Невского, ул. Пугачёва, ул. Трудовая, ул. Гуляева. Данные улицы обеспечивают связь внутри жилых территорий и с главными улицами по направлениям с интенсивным движением, а также по ним проходят муниципальные маршруты регулярного сообщения в г. Куйбышев.</w:t>
      </w:r>
    </w:p>
    <w:p w:rsidR="002D1E45" w:rsidRPr="00A343F7" w:rsidRDefault="002D1E45" w:rsidP="00A343F7">
      <w:pPr>
        <w:spacing w:after="0" w:line="240" w:lineRule="auto"/>
        <w:ind w:firstLine="709"/>
        <w:jc w:val="both"/>
        <w:rPr>
          <w:rFonts w:ascii="Times New Roman" w:hAnsi="Times New Roman"/>
          <w:bCs/>
          <w:sz w:val="28"/>
          <w:szCs w:val="28"/>
          <w:lang w:eastAsia="ru-RU"/>
        </w:rPr>
      </w:pPr>
      <w:r w:rsidRPr="00A343F7">
        <w:rPr>
          <w:rFonts w:ascii="Times New Roman" w:hAnsi="Times New Roman"/>
          <w:bCs/>
          <w:sz w:val="28"/>
          <w:szCs w:val="28"/>
          <w:lang w:eastAsia="ru-RU"/>
        </w:rPr>
        <w:t>В результате анализа улично-дорожной сети муниципального образования выявлены следующие причины, усложняющие работу транспорта:</w:t>
      </w:r>
    </w:p>
    <w:p w:rsidR="002D1E45" w:rsidRPr="00A343F7"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A343F7">
        <w:rPr>
          <w:rFonts w:ascii="Times New Roman" w:hAnsi="Times New Roman"/>
          <w:sz w:val="28"/>
          <w:szCs w:val="28"/>
        </w:rPr>
        <w:t>неудовлетворительное техническое состояние поселковых улиц и</w:t>
      </w:r>
      <w:r>
        <w:rPr>
          <w:rFonts w:ascii="Times New Roman" w:hAnsi="Times New Roman"/>
          <w:sz w:val="28"/>
          <w:szCs w:val="28"/>
        </w:rPr>
        <w:t> </w:t>
      </w:r>
      <w:r w:rsidRPr="00A343F7">
        <w:rPr>
          <w:rFonts w:ascii="Times New Roman" w:hAnsi="Times New Roman"/>
          <w:sz w:val="28"/>
          <w:szCs w:val="28"/>
        </w:rPr>
        <w:t>дорог;</w:t>
      </w:r>
    </w:p>
    <w:p w:rsidR="002D1E45" w:rsidRPr="00A343F7"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A343F7">
        <w:rPr>
          <w:rFonts w:ascii="Times New Roman" w:hAnsi="Times New Roman"/>
          <w:sz w:val="28"/>
          <w:szCs w:val="28"/>
        </w:rPr>
        <w:t>недостаточность ширины проезжей части (4-6 м);</w:t>
      </w:r>
    </w:p>
    <w:p w:rsidR="002D1E45" w:rsidRPr="00A343F7"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A343F7">
        <w:rPr>
          <w:rFonts w:ascii="Times New Roman" w:hAnsi="Times New Roman"/>
          <w:sz w:val="28"/>
          <w:szCs w:val="28"/>
        </w:rPr>
        <w:t>значительная протяжённость грунтовых дорог;</w:t>
      </w:r>
    </w:p>
    <w:p w:rsidR="002D1E45" w:rsidRPr="00A343F7"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A343F7">
        <w:rPr>
          <w:rFonts w:ascii="Times New Roman" w:hAnsi="Times New Roman"/>
          <w:sz w:val="28"/>
          <w:szCs w:val="28"/>
        </w:rPr>
        <w:t>отсутствие дифференцирования улиц по</w:t>
      </w:r>
      <w:r>
        <w:rPr>
          <w:rFonts w:ascii="Times New Roman" w:hAnsi="Times New Roman"/>
          <w:sz w:val="28"/>
          <w:szCs w:val="28"/>
        </w:rPr>
        <w:t> </w:t>
      </w:r>
      <w:r w:rsidRPr="00A343F7">
        <w:rPr>
          <w:rFonts w:ascii="Times New Roman" w:hAnsi="Times New Roman"/>
          <w:sz w:val="28"/>
          <w:szCs w:val="28"/>
        </w:rPr>
        <w:t>назначению;</w:t>
      </w:r>
    </w:p>
    <w:p w:rsidR="002D1E45" w:rsidRPr="00A343F7"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A343F7">
        <w:rPr>
          <w:rFonts w:ascii="Times New Roman" w:hAnsi="Times New Roman"/>
          <w:sz w:val="28"/>
          <w:szCs w:val="28"/>
        </w:rPr>
        <w:t>отсутствие искусственного освещения;</w:t>
      </w:r>
    </w:p>
    <w:p w:rsidR="002D1E45" w:rsidRPr="00A343F7" w:rsidRDefault="002D1E45" w:rsidP="00852938">
      <w:pPr>
        <w:numPr>
          <w:ilvl w:val="0"/>
          <w:numId w:val="24"/>
        </w:numPr>
        <w:tabs>
          <w:tab w:val="clear" w:pos="1429"/>
          <w:tab w:val="left" w:pos="1134"/>
        </w:tabs>
        <w:spacing w:after="0" w:line="240" w:lineRule="auto"/>
        <w:ind w:left="1134"/>
        <w:jc w:val="both"/>
        <w:rPr>
          <w:rFonts w:ascii="Times New Roman" w:hAnsi="Times New Roman"/>
          <w:bCs/>
          <w:sz w:val="28"/>
          <w:szCs w:val="28"/>
          <w:lang w:eastAsia="ru-RU"/>
        </w:rPr>
      </w:pPr>
      <w:r w:rsidRPr="00A343F7">
        <w:rPr>
          <w:rFonts w:ascii="Times New Roman" w:hAnsi="Times New Roman"/>
          <w:sz w:val="28"/>
          <w:szCs w:val="28"/>
        </w:rPr>
        <w:t>отсут</w:t>
      </w:r>
      <w:r w:rsidRPr="00A343F7">
        <w:rPr>
          <w:rFonts w:ascii="Times New Roman" w:hAnsi="Times New Roman"/>
          <w:bCs/>
          <w:sz w:val="28"/>
          <w:szCs w:val="28"/>
          <w:lang w:eastAsia="ru-RU"/>
        </w:rPr>
        <w:t>ствие тротуаров необходимых для упорядочения движения пешеходов.</w:t>
      </w:r>
    </w:p>
    <w:p w:rsidR="002D1E45" w:rsidRPr="00AB67F3" w:rsidRDefault="002D1E45" w:rsidP="00AB67F3">
      <w:pPr>
        <w:pStyle w:val="BodyText"/>
        <w:ind w:firstLine="709"/>
        <w:rPr>
          <w:bCs/>
          <w:i/>
          <w:szCs w:val="28"/>
          <w:u w:val="single"/>
        </w:rPr>
      </w:pPr>
      <w:r w:rsidRPr="00AB67F3">
        <w:rPr>
          <w:bCs/>
          <w:i/>
          <w:szCs w:val="28"/>
          <w:u w:val="single"/>
        </w:rPr>
        <w:t>Общественный пассажирский транспорт</w:t>
      </w:r>
    </w:p>
    <w:p w:rsidR="002D1E45" w:rsidRPr="00752D85" w:rsidRDefault="002D1E45" w:rsidP="00752D85">
      <w:pPr>
        <w:pStyle w:val="BodyText"/>
        <w:ind w:firstLine="709"/>
        <w:rPr>
          <w:szCs w:val="28"/>
        </w:rPr>
      </w:pPr>
      <w:bookmarkStart w:id="147" w:name="_Ref470593625"/>
      <w:r w:rsidRPr="00752D85">
        <w:rPr>
          <w:szCs w:val="28"/>
        </w:rPr>
        <w:t xml:space="preserve">Транспортный комплекс </w:t>
      </w:r>
      <w:r>
        <w:rPr>
          <w:szCs w:val="28"/>
        </w:rPr>
        <w:t>городского поселения</w:t>
      </w:r>
      <w:r w:rsidRPr="00752D85">
        <w:rPr>
          <w:szCs w:val="28"/>
        </w:rPr>
        <w:t xml:space="preserve"> представлен автомобильным транспортом. Грузовые перевозки осуществляют малые предприятия автомобильного транспорта, для которых перевозка грузов не является основным видом деятельности и частные предприниматели без образования юридического лица. </w:t>
      </w:r>
    </w:p>
    <w:p w:rsidR="002D1E45" w:rsidRPr="00752D85" w:rsidRDefault="002D1E45" w:rsidP="00752D85">
      <w:pPr>
        <w:pStyle w:val="BodyText"/>
        <w:ind w:firstLine="709"/>
        <w:rPr>
          <w:szCs w:val="28"/>
        </w:rPr>
      </w:pPr>
      <w:r w:rsidRPr="00752D85">
        <w:rPr>
          <w:szCs w:val="28"/>
        </w:rPr>
        <w:t xml:space="preserve">Пассажирские связи в районе осуществляются автобусными маршрутами, по дорогам с твёрдым покрытием </w:t>
      </w:r>
      <w:r>
        <w:rPr>
          <w:szCs w:val="28"/>
        </w:rPr>
        <w:t>–</w:t>
      </w:r>
      <w:r w:rsidRPr="00752D85">
        <w:rPr>
          <w:szCs w:val="28"/>
        </w:rPr>
        <w:t xml:space="preserve"> регулярными, а по грунтовым </w:t>
      </w:r>
      <w:r>
        <w:rPr>
          <w:szCs w:val="28"/>
        </w:rPr>
        <w:t>–</w:t>
      </w:r>
      <w:r w:rsidRPr="00752D85">
        <w:rPr>
          <w:szCs w:val="28"/>
        </w:rPr>
        <w:t xml:space="preserve"> часто прекращающиеся в период распутиц.</w:t>
      </w:r>
    </w:p>
    <w:bookmarkEnd w:id="147"/>
    <w:p w:rsidR="002D1E45" w:rsidRPr="00A343F7" w:rsidRDefault="002D1E45" w:rsidP="00C01DB8">
      <w:pPr>
        <w:autoSpaceDE w:val="0"/>
        <w:autoSpaceDN w:val="0"/>
        <w:adjustRightInd w:val="0"/>
        <w:spacing w:after="0" w:line="360" w:lineRule="auto"/>
        <w:ind w:firstLine="709"/>
        <w:jc w:val="right"/>
        <w:rPr>
          <w:rFonts w:ascii="Times New Roman" w:hAnsi="Times New Roman"/>
          <w:sz w:val="28"/>
          <w:szCs w:val="24"/>
          <w:lang w:eastAsia="ru-RU"/>
        </w:rPr>
      </w:pPr>
      <w:r w:rsidRPr="00A343F7">
        <w:rPr>
          <w:rFonts w:ascii="Times New Roman" w:hAnsi="Times New Roman"/>
          <w:sz w:val="28"/>
          <w:szCs w:val="24"/>
          <w:lang w:eastAsia="ru-RU"/>
        </w:rPr>
        <w:t xml:space="preserve">Таблица </w:t>
      </w:r>
      <w:r w:rsidRPr="00A343F7">
        <w:rPr>
          <w:rFonts w:ascii="Times New Roman" w:hAnsi="Times New Roman"/>
          <w:sz w:val="28"/>
          <w:szCs w:val="24"/>
        </w:rPr>
        <w:fldChar w:fldCharType="begin"/>
      </w:r>
      <w:r w:rsidRPr="00A343F7">
        <w:rPr>
          <w:rFonts w:ascii="Times New Roman" w:hAnsi="Times New Roman"/>
          <w:sz w:val="28"/>
          <w:szCs w:val="24"/>
        </w:rPr>
        <w:instrText xml:space="preserve"> SEQ Таблица \* ARABIC </w:instrText>
      </w:r>
      <w:r w:rsidRPr="00A343F7">
        <w:rPr>
          <w:rFonts w:ascii="Times New Roman" w:hAnsi="Times New Roman"/>
          <w:sz w:val="28"/>
          <w:szCs w:val="24"/>
        </w:rPr>
        <w:fldChar w:fldCharType="separate"/>
      </w:r>
      <w:r>
        <w:rPr>
          <w:rFonts w:ascii="Times New Roman" w:hAnsi="Times New Roman"/>
          <w:noProof/>
          <w:sz w:val="28"/>
          <w:szCs w:val="24"/>
        </w:rPr>
        <w:t>15</w:t>
      </w:r>
      <w:r w:rsidRPr="00A343F7">
        <w:rPr>
          <w:rFonts w:ascii="Times New Roman" w:hAnsi="Times New Roman"/>
          <w:sz w:val="28"/>
          <w:szCs w:val="24"/>
        </w:rPr>
        <w:fldChar w:fldCharType="end"/>
      </w:r>
    </w:p>
    <w:p w:rsidR="002D1E45" w:rsidRDefault="002D1E45" w:rsidP="00C01DB8">
      <w:pPr>
        <w:tabs>
          <w:tab w:val="left" w:pos="1418"/>
        </w:tabs>
        <w:spacing w:line="240" w:lineRule="auto"/>
        <w:jc w:val="center"/>
        <w:rPr>
          <w:rFonts w:ascii="Times New Roman" w:hAnsi="Times New Roman"/>
          <w:sz w:val="28"/>
          <w:szCs w:val="24"/>
          <w:lang w:eastAsia="ru-RU"/>
        </w:rPr>
      </w:pPr>
      <w:r>
        <w:rPr>
          <w:rFonts w:ascii="Times New Roman" w:hAnsi="Times New Roman"/>
          <w:sz w:val="28"/>
          <w:szCs w:val="24"/>
          <w:lang w:eastAsia="ru-RU"/>
        </w:rPr>
        <w:t>Перечень основных муниципальных пассажирских маршрутов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231"/>
        <w:gridCol w:w="4435"/>
        <w:gridCol w:w="2267"/>
      </w:tblGrid>
      <w:tr w:rsidR="002D1E45" w:rsidRPr="005324E5" w:rsidTr="005324E5">
        <w:trPr>
          <w:trHeight w:val="30"/>
          <w:jc w:val="center"/>
        </w:trPr>
        <w:tc>
          <w:tcPr>
            <w:tcW w:w="1231" w:type="dxa"/>
            <w:vAlign w:val="center"/>
          </w:tcPr>
          <w:p w:rsidR="002D1E45" w:rsidRPr="005324E5" w:rsidRDefault="002D1E45" w:rsidP="005324E5">
            <w:pPr>
              <w:spacing w:after="0" w:line="240" w:lineRule="auto"/>
              <w:jc w:val="center"/>
              <w:rPr>
                <w:rFonts w:ascii="Times New Roman" w:hAnsi="Times New Roman"/>
                <w:sz w:val="24"/>
                <w:szCs w:val="24"/>
                <w:lang w:eastAsia="ru-RU"/>
              </w:rPr>
            </w:pPr>
            <w:r w:rsidRPr="005324E5">
              <w:rPr>
                <w:rFonts w:ascii="Times New Roman" w:hAnsi="Times New Roman"/>
                <w:sz w:val="24"/>
                <w:szCs w:val="24"/>
                <w:lang w:eastAsia="ru-RU"/>
              </w:rPr>
              <w:t>№ маршрута</w:t>
            </w:r>
          </w:p>
        </w:tc>
        <w:tc>
          <w:tcPr>
            <w:tcW w:w="4435" w:type="dxa"/>
            <w:vAlign w:val="center"/>
          </w:tcPr>
          <w:p w:rsidR="002D1E45" w:rsidRPr="005324E5" w:rsidRDefault="002D1E45" w:rsidP="005324E5">
            <w:pPr>
              <w:spacing w:after="0" w:line="240" w:lineRule="auto"/>
              <w:jc w:val="center"/>
              <w:rPr>
                <w:rFonts w:ascii="Times New Roman" w:hAnsi="Times New Roman"/>
                <w:sz w:val="24"/>
                <w:szCs w:val="24"/>
                <w:lang w:eastAsia="ru-RU"/>
              </w:rPr>
            </w:pPr>
            <w:r w:rsidRPr="005324E5">
              <w:rPr>
                <w:rFonts w:ascii="Times New Roman" w:hAnsi="Times New Roman"/>
                <w:sz w:val="24"/>
                <w:szCs w:val="24"/>
                <w:lang w:eastAsia="ru-RU"/>
              </w:rPr>
              <w:t>Название маршрута</w:t>
            </w:r>
          </w:p>
        </w:tc>
        <w:tc>
          <w:tcPr>
            <w:tcW w:w="2267" w:type="dxa"/>
            <w:vAlign w:val="center"/>
          </w:tcPr>
          <w:p w:rsidR="002D1E45" w:rsidRPr="005324E5" w:rsidRDefault="002D1E45" w:rsidP="005324E5">
            <w:pPr>
              <w:spacing w:after="0" w:line="240" w:lineRule="auto"/>
              <w:jc w:val="center"/>
              <w:rPr>
                <w:rFonts w:ascii="Times New Roman" w:hAnsi="Times New Roman"/>
                <w:sz w:val="24"/>
                <w:szCs w:val="24"/>
                <w:lang w:eastAsia="ru-RU"/>
              </w:rPr>
            </w:pPr>
            <w:r w:rsidRPr="005324E5">
              <w:rPr>
                <w:rFonts w:ascii="Times New Roman" w:hAnsi="Times New Roman"/>
                <w:sz w:val="24"/>
                <w:szCs w:val="24"/>
                <w:lang w:eastAsia="ru-RU"/>
              </w:rPr>
              <w:t>Протяженность маршрута</w:t>
            </w:r>
            <w:r>
              <w:rPr>
                <w:rFonts w:ascii="Times New Roman" w:hAnsi="Times New Roman"/>
                <w:sz w:val="24"/>
                <w:szCs w:val="24"/>
                <w:lang w:eastAsia="ru-RU"/>
              </w:rPr>
              <w:t>, км</w:t>
            </w:r>
          </w:p>
        </w:tc>
      </w:tr>
      <w:tr w:rsidR="002D1E45" w:rsidRPr="005324E5" w:rsidTr="005324E5">
        <w:trPr>
          <w:trHeight w:val="20"/>
          <w:jc w:val="center"/>
        </w:trPr>
        <w:tc>
          <w:tcPr>
            <w:tcW w:w="1231" w:type="dxa"/>
            <w:vAlign w:val="center"/>
          </w:tcPr>
          <w:p w:rsidR="002D1E45" w:rsidRPr="005324E5" w:rsidRDefault="002D1E45" w:rsidP="005324E5">
            <w:pPr>
              <w:spacing w:after="0" w:line="240" w:lineRule="auto"/>
              <w:jc w:val="center"/>
              <w:rPr>
                <w:rFonts w:ascii="Times New Roman" w:hAnsi="Times New Roman"/>
                <w:sz w:val="24"/>
                <w:szCs w:val="24"/>
                <w:lang w:eastAsia="ru-RU"/>
              </w:rPr>
            </w:pPr>
            <w:r w:rsidRPr="005324E5">
              <w:rPr>
                <w:rFonts w:ascii="Times New Roman" w:hAnsi="Times New Roman"/>
                <w:sz w:val="24"/>
                <w:szCs w:val="24"/>
                <w:lang w:eastAsia="ru-RU"/>
              </w:rPr>
              <w:t>1</w:t>
            </w:r>
          </w:p>
        </w:tc>
        <w:tc>
          <w:tcPr>
            <w:tcW w:w="4435" w:type="dxa"/>
          </w:tcPr>
          <w:p w:rsidR="002D1E45" w:rsidRPr="005324E5" w:rsidRDefault="002D1E45" w:rsidP="005324E5">
            <w:pPr>
              <w:spacing w:after="0" w:line="240" w:lineRule="auto"/>
              <w:jc w:val="both"/>
              <w:rPr>
                <w:rFonts w:ascii="Times New Roman" w:hAnsi="Times New Roman"/>
                <w:sz w:val="24"/>
                <w:szCs w:val="24"/>
                <w:lang w:eastAsia="ru-RU"/>
              </w:rPr>
            </w:pPr>
            <w:r w:rsidRPr="005324E5">
              <w:rPr>
                <w:rFonts w:ascii="Times New Roman" w:hAnsi="Times New Roman"/>
                <w:sz w:val="24"/>
                <w:szCs w:val="24"/>
                <w:lang w:eastAsia="ru-RU"/>
              </w:rPr>
              <w:t xml:space="preserve">«Радужная </w:t>
            </w:r>
            <w:r>
              <w:rPr>
                <w:rFonts w:ascii="Times New Roman" w:hAnsi="Times New Roman"/>
                <w:sz w:val="24"/>
                <w:szCs w:val="24"/>
                <w:lang w:eastAsia="ru-RU"/>
              </w:rPr>
              <w:t>–</w:t>
            </w:r>
            <w:r w:rsidRPr="005324E5">
              <w:rPr>
                <w:rFonts w:ascii="Times New Roman" w:hAnsi="Times New Roman"/>
                <w:sz w:val="24"/>
                <w:szCs w:val="24"/>
                <w:lang w:eastAsia="ru-RU"/>
              </w:rPr>
              <w:t xml:space="preserve"> КХЗ»</w:t>
            </w:r>
          </w:p>
        </w:tc>
        <w:tc>
          <w:tcPr>
            <w:tcW w:w="2267" w:type="dxa"/>
            <w:vAlign w:val="center"/>
          </w:tcPr>
          <w:p w:rsidR="002D1E45" w:rsidRPr="005324E5" w:rsidRDefault="002D1E45" w:rsidP="005324E5">
            <w:pPr>
              <w:spacing w:after="0" w:line="240" w:lineRule="auto"/>
              <w:jc w:val="center"/>
              <w:rPr>
                <w:rFonts w:ascii="Times New Roman" w:hAnsi="Times New Roman"/>
                <w:sz w:val="24"/>
                <w:szCs w:val="24"/>
                <w:lang w:eastAsia="ru-RU"/>
              </w:rPr>
            </w:pPr>
            <w:r w:rsidRPr="005324E5">
              <w:rPr>
                <w:rFonts w:ascii="Times New Roman" w:hAnsi="Times New Roman"/>
                <w:sz w:val="24"/>
                <w:szCs w:val="24"/>
                <w:lang w:eastAsia="ru-RU"/>
              </w:rPr>
              <w:t>9,0</w:t>
            </w:r>
          </w:p>
        </w:tc>
      </w:tr>
      <w:tr w:rsidR="002D1E45" w:rsidRPr="005324E5" w:rsidTr="005324E5">
        <w:trPr>
          <w:trHeight w:val="20"/>
          <w:jc w:val="center"/>
        </w:trPr>
        <w:tc>
          <w:tcPr>
            <w:tcW w:w="1231" w:type="dxa"/>
            <w:vAlign w:val="center"/>
          </w:tcPr>
          <w:p w:rsidR="002D1E45" w:rsidRPr="005324E5" w:rsidRDefault="002D1E45" w:rsidP="005324E5">
            <w:pPr>
              <w:spacing w:after="0" w:line="240" w:lineRule="auto"/>
              <w:jc w:val="center"/>
              <w:rPr>
                <w:rFonts w:ascii="Times New Roman" w:hAnsi="Times New Roman"/>
                <w:sz w:val="24"/>
                <w:szCs w:val="24"/>
                <w:lang w:eastAsia="ru-RU"/>
              </w:rPr>
            </w:pPr>
            <w:r w:rsidRPr="005324E5">
              <w:rPr>
                <w:rFonts w:ascii="Times New Roman" w:hAnsi="Times New Roman"/>
                <w:sz w:val="24"/>
                <w:szCs w:val="24"/>
                <w:lang w:eastAsia="ru-RU"/>
              </w:rPr>
              <w:t>1у</w:t>
            </w:r>
          </w:p>
        </w:tc>
        <w:tc>
          <w:tcPr>
            <w:tcW w:w="4435" w:type="dxa"/>
          </w:tcPr>
          <w:p w:rsidR="002D1E45" w:rsidRPr="005324E5" w:rsidRDefault="002D1E45" w:rsidP="005324E5">
            <w:pPr>
              <w:spacing w:after="0" w:line="240" w:lineRule="auto"/>
              <w:jc w:val="both"/>
              <w:rPr>
                <w:rFonts w:ascii="Times New Roman" w:hAnsi="Times New Roman"/>
                <w:sz w:val="24"/>
                <w:szCs w:val="24"/>
                <w:lang w:eastAsia="ru-RU"/>
              </w:rPr>
            </w:pPr>
            <w:r w:rsidRPr="005324E5">
              <w:rPr>
                <w:rFonts w:ascii="Times New Roman" w:hAnsi="Times New Roman"/>
                <w:sz w:val="24"/>
                <w:szCs w:val="24"/>
                <w:lang w:eastAsia="ru-RU"/>
              </w:rPr>
              <w:t xml:space="preserve">«Радужная </w:t>
            </w:r>
            <w:r>
              <w:rPr>
                <w:rFonts w:ascii="Times New Roman" w:hAnsi="Times New Roman"/>
                <w:sz w:val="24"/>
                <w:szCs w:val="24"/>
                <w:lang w:eastAsia="ru-RU"/>
              </w:rPr>
              <w:t>–</w:t>
            </w:r>
            <w:r w:rsidRPr="005324E5">
              <w:rPr>
                <w:rFonts w:ascii="Times New Roman" w:hAnsi="Times New Roman"/>
                <w:sz w:val="24"/>
                <w:szCs w:val="24"/>
                <w:lang w:eastAsia="ru-RU"/>
              </w:rPr>
              <w:t xml:space="preserve"> Горбольница»</w:t>
            </w:r>
          </w:p>
        </w:tc>
        <w:tc>
          <w:tcPr>
            <w:tcW w:w="2267" w:type="dxa"/>
            <w:vAlign w:val="center"/>
          </w:tcPr>
          <w:p w:rsidR="002D1E45" w:rsidRPr="005324E5" w:rsidRDefault="002D1E45" w:rsidP="005324E5">
            <w:pPr>
              <w:spacing w:after="0" w:line="240" w:lineRule="auto"/>
              <w:jc w:val="center"/>
              <w:rPr>
                <w:rFonts w:ascii="Times New Roman" w:hAnsi="Times New Roman"/>
                <w:sz w:val="24"/>
                <w:szCs w:val="24"/>
                <w:lang w:eastAsia="ru-RU"/>
              </w:rPr>
            </w:pPr>
            <w:r w:rsidRPr="005324E5">
              <w:rPr>
                <w:rFonts w:ascii="Times New Roman" w:hAnsi="Times New Roman"/>
                <w:sz w:val="24"/>
                <w:szCs w:val="24"/>
                <w:lang w:eastAsia="ru-RU"/>
              </w:rPr>
              <w:t>5,75</w:t>
            </w:r>
          </w:p>
        </w:tc>
      </w:tr>
      <w:tr w:rsidR="002D1E45" w:rsidRPr="005324E5" w:rsidTr="005324E5">
        <w:trPr>
          <w:trHeight w:val="20"/>
          <w:jc w:val="center"/>
        </w:trPr>
        <w:tc>
          <w:tcPr>
            <w:tcW w:w="1231" w:type="dxa"/>
            <w:vAlign w:val="center"/>
          </w:tcPr>
          <w:p w:rsidR="002D1E45" w:rsidRPr="005324E5" w:rsidRDefault="002D1E45" w:rsidP="005324E5">
            <w:pPr>
              <w:spacing w:after="0" w:line="240" w:lineRule="auto"/>
              <w:jc w:val="center"/>
              <w:rPr>
                <w:rFonts w:ascii="Times New Roman" w:hAnsi="Times New Roman"/>
                <w:sz w:val="24"/>
                <w:szCs w:val="24"/>
                <w:lang w:eastAsia="ru-RU"/>
              </w:rPr>
            </w:pPr>
            <w:r w:rsidRPr="005324E5">
              <w:rPr>
                <w:rFonts w:ascii="Times New Roman" w:hAnsi="Times New Roman"/>
                <w:sz w:val="24"/>
                <w:szCs w:val="24"/>
                <w:lang w:eastAsia="ru-RU"/>
              </w:rPr>
              <w:t>2</w:t>
            </w:r>
          </w:p>
        </w:tc>
        <w:tc>
          <w:tcPr>
            <w:tcW w:w="4435" w:type="dxa"/>
          </w:tcPr>
          <w:p w:rsidR="002D1E45" w:rsidRPr="005324E5" w:rsidRDefault="002D1E45" w:rsidP="005324E5">
            <w:pPr>
              <w:spacing w:after="0" w:line="240" w:lineRule="auto"/>
              <w:jc w:val="both"/>
              <w:rPr>
                <w:rFonts w:ascii="Times New Roman" w:hAnsi="Times New Roman"/>
                <w:sz w:val="24"/>
                <w:szCs w:val="24"/>
                <w:lang w:eastAsia="ru-RU"/>
              </w:rPr>
            </w:pPr>
            <w:r w:rsidRPr="005324E5">
              <w:rPr>
                <w:rFonts w:ascii="Times New Roman" w:hAnsi="Times New Roman"/>
                <w:sz w:val="24"/>
                <w:szCs w:val="24"/>
                <w:lang w:eastAsia="ru-RU"/>
              </w:rPr>
              <w:t xml:space="preserve">«Совхозная </w:t>
            </w:r>
            <w:r>
              <w:rPr>
                <w:rFonts w:ascii="Times New Roman" w:hAnsi="Times New Roman"/>
                <w:sz w:val="24"/>
                <w:szCs w:val="24"/>
                <w:lang w:eastAsia="ru-RU"/>
              </w:rPr>
              <w:t>–</w:t>
            </w:r>
            <w:r w:rsidRPr="005324E5">
              <w:rPr>
                <w:rFonts w:ascii="Times New Roman" w:hAnsi="Times New Roman"/>
                <w:sz w:val="24"/>
                <w:szCs w:val="24"/>
                <w:lang w:eastAsia="ru-RU"/>
              </w:rPr>
              <w:t xml:space="preserve"> КХЗ»</w:t>
            </w:r>
          </w:p>
        </w:tc>
        <w:tc>
          <w:tcPr>
            <w:tcW w:w="2267" w:type="dxa"/>
            <w:vAlign w:val="center"/>
          </w:tcPr>
          <w:p w:rsidR="002D1E45" w:rsidRPr="005324E5" w:rsidRDefault="002D1E45" w:rsidP="005324E5">
            <w:pPr>
              <w:spacing w:after="0" w:line="240" w:lineRule="auto"/>
              <w:jc w:val="center"/>
              <w:rPr>
                <w:rFonts w:ascii="Times New Roman" w:hAnsi="Times New Roman"/>
                <w:sz w:val="24"/>
                <w:szCs w:val="24"/>
                <w:lang w:eastAsia="ru-RU"/>
              </w:rPr>
            </w:pPr>
            <w:r w:rsidRPr="005324E5">
              <w:rPr>
                <w:rFonts w:ascii="Times New Roman" w:hAnsi="Times New Roman"/>
                <w:sz w:val="24"/>
                <w:szCs w:val="24"/>
                <w:lang w:eastAsia="ru-RU"/>
              </w:rPr>
              <w:t>9,0</w:t>
            </w:r>
          </w:p>
        </w:tc>
      </w:tr>
      <w:tr w:rsidR="002D1E45" w:rsidRPr="005324E5" w:rsidTr="005324E5">
        <w:trPr>
          <w:trHeight w:val="20"/>
          <w:jc w:val="center"/>
        </w:trPr>
        <w:tc>
          <w:tcPr>
            <w:tcW w:w="1231" w:type="dxa"/>
            <w:vAlign w:val="center"/>
          </w:tcPr>
          <w:p w:rsidR="002D1E45" w:rsidRPr="005324E5" w:rsidRDefault="002D1E45" w:rsidP="005324E5">
            <w:pPr>
              <w:spacing w:after="0" w:line="240" w:lineRule="auto"/>
              <w:jc w:val="center"/>
              <w:rPr>
                <w:rFonts w:ascii="Times New Roman" w:hAnsi="Times New Roman"/>
                <w:sz w:val="24"/>
                <w:szCs w:val="24"/>
                <w:lang w:eastAsia="ru-RU"/>
              </w:rPr>
            </w:pPr>
            <w:r w:rsidRPr="005324E5">
              <w:rPr>
                <w:rFonts w:ascii="Times New Roman" w:hAnsi="Times New Roman"/>
                <w:sz w:val="24"/>
                <w:szCs w:val="24"/>
                <w:lang w:eastAsia="ru-RU"/>
              </w:rPr>
              <w:t>2у</w:t>
            </w:r>
          </w:p>
        </w:tc>
        <w:tc>
          <w:tcPr>
            <w:tcW w:w="4435" w:type="dxa"/>
          </w:tcPr>
          <w:p w:rsidR="002D1E45" w:rsidRPr="005324E5" w:rsidRDefault="002D1E45" w:rsidP="005324E5">
            <w:pPr>
              <w:spacing w:after="0" w:line="240" w:lineRule="auto"/>
              <w:jc w:val="both"/>
              <w:rPr>
                <w:rFonts w:ascii="Times New Roman" w:hAnsi="Times New Roman"/>
                <w:sz w:val="24"/>
                <w:szCs w:val="24"/>
                <w:lang w:eastAsia="ru-RU"/>
              </w:rPr>
            </w:pPr>
            <w:r w:rsidRPr="005324E5">
              <w:rPr>
                <w:rFonts w:ascii="Times New Roman" w:hAnsi="Times New Roman"/>
                <w:sz w:val="24"/>
                <w:szCs w:val="24"/>
                <w:lang w:eastAsia="ru-RU"/>
              </w:rPr>
              <w:t xml:space="preserve">«Совхозная </w:t>
            </w:r>
            <w:r>
              <w:rPr>
                <w:rFonts w:ascii="Times New Roman" w:hAnsi="Times New Roman"/>
                <w:sz w:val="24"/>
                <w:szCs w:val="24"/>
                <w:lang w:eastAsia="ru-RU"/>
              </w:rPr>
              <w:t>–</w:t>
            </w:r>
            <w:r w:rsidRPr="005324E5">
              <w:rPr>
                <w:rFonts w:ascii="Times New Roman" w:hAnsi="Times New Roman"/>
                <w:sz w:val="24"/>
                <w:szCs w:val="24"/>
                <w:lang w:eastAsia="ru-RU"/>
              </w:rPr>
              <w:t xml:space="preserve"> Горбольница»</w:t>
            </w:r>
          </w:p>
        </w:tc>
        <w:tc>
          <w:tcPr>
            <w:tcW w:w="2267" w:type="dxa"/>
            <w:vAlign w:val="center"/>
          </w:tcPr>
          <w:p w:rsidR="002D1E45" w:rsidRPr="005324E5" w:rsidRDefault="002D1E45" w:rsidP="005324E5">
            <w:pPr>
              <w:spacing w:after="0" w:line="240" w:lineRule="auto"/>
              <w:jc w:val="center"/>
              <w:rPr>
                <w:rFonts w:ascii="Times New Roman" w:hAnsi="Times New Roman"/>
                <w:sz w:val="24"/>
                <w:szCs w:val="24"/>
                <w:lang w:eastAsia="ru-RU"/>
              </w:rPr>
            </w:pPr>
            <w:r w:rsidRPr="005324E5">
              <w:rPr>
                <w:rFonts w:ascii="Times New Roman" w:hAnsi="Times New Roman"/>
                <w:sz w:val="24"/>
                <w:szCs w:val="24"/>
                <w:lang w:eastAsia="ru-RU"/>
              </w:rPr>
              <w:t>5,75</w:t>
            </w:r>
          </w:p>
        </w:tc>
      </w:tr>
      <w:tr w:rsidR="002D1E45" w:rsidRPr="005324E5" w:rsidTr="005324E5">
        <w:trPr>
          <w:trHeight w:val="20"/>
          <w:jc w:val="center"/>
        </w:trPr>
        <w:tc>
          <w:tcPr>
            <w:tcW w:w="1231" w:type="dxa"/>
            <w:vAlign w:val="center"/>
          </w:tcPr>
          <w:p w:rsidR="002D1E45" w:rsidRPr="005324E5" w:rsidRDefault="002D1E45" w:rsidP="005324E5">
            <w:pPr>
              <w:spacing w:after="0" w:line="240" w:lineRule="auto"/>
              <w:jc w:val="center"/>
              <w:rPr>
                <w:rFonts w:ascii="Times New Roman" w:hAnsi="Times New Roman"/>
                <w:sz w:val="24"/>
                <w:szCs w:val="24"/>
                <w:lang w:eastAsia="ru-RU"/>
              </w:rPr>
            </w:pPr>
            <w:r w:rsidRPr="005324E5">
              <w:rPr>
                <w:rFonts w:ascii="Times New Roman" w:hAnsi="Times New Roman"/>
                <w:sz w:val="24"/>
                <w:szCs w:val="24"/>
                <w:lang w:eastAsia="ru-RU"/>
              </w:rPr>
              <w:t>3</w:t>
            </w:r>
          </w:p>
        </w:tc>
        <w:tc>
          <w:tcPr>
            <w:tcW w:w="4435" w:type="dxa"/>
          </w:tcPr>
          <w:p w:rsidR="002D1E45" w:rsidRPr="005324E5" w:rsidRDefault="002D1E45" w:rsidP="005324E5">
            <w:pPr>
              <w:spacing w:after="0" w:line="240" w:lineRule="auto"/>
              <w:jc w:val="both"/>
              <w:rPr>
                <w:rFonts w:ascii="Times New Roman" w:hAnsi="Times New Roman"/>
                <w:sz w:val="24"/>
                <w:szCs w:val="24"/>
                <w:lang w:eastAsia="ru-RU"/>
              </w:rPr>
            </w:pPr>
            <w:r w:rsidRPr="005324E5">
              <w:rPr>
                <w:rFonts w:ascii="Times New Roman" w:hAnsi="Times New Roman"/>
                <w:sz w:val="24"/>
                <w:szCs w:val="24"/>
                <w:lang w:eastAsia="ru-RU"/>
              </w:rPr>
              <w:t xml:space="preserve">«Очистные </w:t>
            </w:r>
            <w:r>
              <w:rPr>
                <w:rFonts w:ascii="Times New Roman" w:hAnsi="Times New Roman"/>
                <w:sz w:val="24"/>
                <w:szCs w:val="24"/>
                <w:lang w:eastAsia="ru-RU"/>
              </w:rPr>
              <w:t>–</w:t>
            </w:r>
            <w:r w:rsidRPr="005324E5">
              <w:rPr>
                <w:rFonts w:ascii="Times New Roman" w:hAnsi="Times New Roman"/>
                <w:sz w:val="24"/>
                <w:szCs w:val="24"/>
                <w:lang w:eastAsia="ru-RU"/>
              </w:rPr>
              <w:t xml:space="preserve"> Горбольница»</w:t>
            </w:r>
          </w:p>
        </w:tc>
        <w:tc>
          <w:tcPr>
            <w:tcW w:w="2267" w:type="dxa"/>
            <w:vAlign w:val="center"/>
          </w:tcPr>
          <w:p w:rsidR="002D1E45" w:rsidRPr="005324E5" w:rsidRDefault="002D1E45" w:rsidP="005324E5">
            <w:pPr>
              <w:spacing w:after="0" w:line="240" w:lineRule="auto"/>
              <w:jc w:val="center"/>
              <w:rPr>
                <w:rFonts w:ascii="Times New Roman" w:hAnsi="Times New Roman"/>
                <w:sz w:val="24"/>
                <w:szCs w:val="24"/>
                <w:lang w:eastAsia="ru-RU"/>
              </w:rPr>
            </w:pPr>
            <w:r w:rsidRPr="005324E5">
              <w:rPr>
                <w:rFonts w:ascii="Times New Roman" w:hAnsi="Times New Roman"/>
                <w:sz w:val="24"/>
                <w:szCs w:val="24"/>
                <w:lang w:eastAsia="ru-RU"/>
              </w:rPr>
              <w:t>6,5</w:t>
            </w:r>
          </w:p>
        </w:tc>
      </w:tr>
      <w:tr w:rsidR="002D1E45" w:rsidRPr="005324E5" w:rsidTr="005324E5">
        <w:trPr>
          <w:trHeight w:val="20"/>
          <w:jc w:val="center"/>
        </w:trPr>
        <w:tc>
          <w:tcPr>
            <w:tcW w:w="1231" w:type="dxa"/>
            <w:vAlign w:val="center"/>
          </w:tcPr>
          <w:p w:rsidR="002D1E45" w:rsidRPr="005324E5" w:rsidRDefault="002D1E45" w:rsidP="005324E5">
            <w:pPr>
              <w:spacing w:after="0" w:line="240" w:lineRule="auto"/>
              <w:jc w:val="center"/>
              <w:rPr>
                <w:rFonts w:ascii="Times New Roman" w:hAnsi="Times New Roman"/>
                <w:sz w:val="24"/>
                <w:szCs w:val="24"/>
                <w:lang w:eastAsia="ru-RU"/>
              </w:rPr>
            </w:pPr>
            <w:r w:rsidRPr="005324E5">
              <w:rPr>
                <w:rFonts w:ascii="Times New Roman" w:hAnsi="Times New Roman"/>
                <w:sz w:val="24"/>
                <w:szCs w:val="24"/>
                <w:lang w:eastAsia="ru-RU"/>
              </w:rPr>
              <w:t>4</w:t>
            </w:r>
          </w:p>
        </w:tc>
        <w:tc>
          <w:tcPr>
            <w:tcW w:w="4435" w:type="dxa"/>
          </w:tcPr>
          <w:p w:rsidR="002D1E45" w:rsidRPr="005324E5" w:rsidRDefault="002D1E45" w:rsidP="005324E5">
            <w:pPr>
              <w:spacing w:after="0" w:line="240" w:lineRule="auto"/>
              <w:jc w:val="both"/>
              <w:rPr>
                <w:rFonts w:ascii="Times New Roman" w:hAnsi="Times New Roman"/>
                <w:sz w:val="24"/>
                <w:szCs w:val="24"/>
                <w:lang w:eastAsia="ru-RU"/>
              </w:rPr>
            </w:pPr>
            <w:r w:rsidRPr="005324E5">
              <w:rPr>
                <w:rFonts w:ascii="Times New Roman" w:hAnsi="Times New Roman"/>
                <w:sz w:val="24"/>
                <w:szCs w:val="24"/>
                <w:lang w:eastAsia="ru-RU"/>
              </w:rPr>
              <w:t xml:space="preserve">«Телецентр </w:t>
            </w:r>
            <w:r>
              <w:rPr>
                <w:rFonts w:ascii="Times New Roman" w:hAnsi="Times New Roman"/>
                <w:sz w:val="24"/>
                <w:szCs w:val="24"/>
                <w:lang w:eastAsia="ru-RU"/>
              </w:rPr>
              <w:t>–</w:t>
            </w:r>
            <w:r w:rsidRPr="005324E5">
              <w:rPr>
                <w:rFonts w:ascii="Times New Roman" w:hAnsi="Times New Roman"/>
                <w:sz w:val="24"/>
                <w:szCs w:val="24"/>
                <w:lang w:eastAsia="ru-RU"/>
              </w:rPr>
              <w:t xml:space="preserve"> КХЗ»</w:t>
            </w:r>
          </w:p>
        </w:tc>
        <w:tc>
          <w:tcPr>
            <w:tcW w:w="2267" w:type="dxa"/>
            <w:vAlign w:val="center"/>
          </w:tcPr>
          <w:p w:rsidR="002D1E45" w:rsidRPr="005324E5" w:rsidRDefault="002D1E45" w:rsidP="005324E5">
            <w:pPr>
              <w:spacing w:after="0" w:line="240" w:lineRule="auto"/>
              <w:jc w:val="center"/>
              <w:rPr>
                <w:rFonts w:ascii="Times New Roman" w:hAnsi="Times New Roman"/>
                <w:sz w:val="24"/>
                <w:szCs w:val="24"/>
                <w:lang w:eastAsia="ru-RU"/>
              </w:rPr>
            </w:pPr>
            <w:r w:rsidRPr="005324E5">
              <w:rPr>
                <w:rFonts w:ascii="Times New Roman" w:hAnsi="Times New Roman"/>
                <w:sz w:val="24"/>
                <w:szCs w:val="24"/>
                <w:lang w:eastAsia="ru-RU"/>
              </w:rPr>
              <w:t>9,0</w:t>
            </w:r>
          </w:p>
        </w:tc>
      </w:tr>
      <w:tr w:rsidR="002D1E45" w:rsidRPr="005324E5" w:rsidTr="005324E5">
        <w:trPr>
          <w:trHeight w:val="20"/>
          <w:jc w:val="center"/>
        </w:trPr>
        <w:tc>
          <w:tcPr>
            <w:tcW w:w="1231" w:type="dxa"/>
            <w:vAlign w:val="center"/>
          </w:tcPr>
          <w:p w:rsidR="002D1E45" w:rsidRPr="005324E5" w:rsidRDefault="002D1E45" w:rsidP="005324E5">
            <w:pPr>
              <w:spacing w:after="0" w:line="240" w:lineRule="auto"/>
              <w:jc w:val="center"/>
              <w:rPr>
                <w:rFonts w:ascii="Times New Roman" w:hAnsi="Times New Roman"/>
                <w:sz w:val="24"/>
                <w:szCs w:val="24"/>
                <w:lang w:eastAsia="ru-RU"/>
              </w:rPr>
            </w:pPr>
            <w:r w:rsidRPr="005324E5">
              <w:rPr>
                <w:rFonts w:ascii="Times New Roman" w:hAnsi="Times New Roman"/>
                <w:sz w:val="24"/>
                <w:szCs w:val="24"/>
                <w:lang w:eastAsia="ru-RU"/>
              </w:rPr>
              <w:t>5</w:t>
            </w:r>
          </w:p>
        </w:tc>
        <w:tc>
          <w:tcPr>
            <w:tcW w:w="4435" w:type="dxa"/>
          </w:tcPr>
          <w:p w:rsidR="002D1E45" w:rsidRPr="005324E5" w:rsidRDefault="002D1E45" w:rsidP="005324E5">
            <w:pPr>
              <w:spacing w:after="0" w:line="240" w:lineRule="auto"/>
              <w:jc w:val="both"/>
              <w:rPr>
                <w:rFonts w:ascii="Times New Roman" w:hAnsi="Times New Roman"/>
                <w:sz w:val="24"/>
                <w:szCs w:val="24"/>
                <w:lang w:eastAsia="ru-RU"/>
              </w:rPr>
            </w:pPr>
            <w:r w:rsidRPr="005324E5">
              <w:rPr>
                <w:rFonts w:ascii="Times New Roman" w:hAnsi="Times New Roman"/>
                <w:sz w:val="24"/>
                <w:szCs w:val="24"/>
                <w:lang w:eastAsia="ru-RU"/>
              </w:rPr>
              <w:t xml:space="preserve">«Центр </w:t>
            </w:r>
            <w:r>
              <w:rPr>
                <w:rFonts w:ascii="Times New Roman" w:hAnsi="Times New Roman"/>
                <w:sz w:val="24"/>
                <w:szCs w:val="24"/>
                <w:lang w:eastAsia="ru-RU"/>
              </w:rPr>
              <w:t>–</w:t>
            </w:r>
            <w:r w:rsidRPr="005324E5">
              <w:rPr>
                <w:rFonts w:ascii="Times New Roman" w:hAnsi="Times New Roman"/>
                <w:sz w:val="24"/>
                <w:szCs w:val="24"/>
                <w:lang w:eastAsia="ru-RU"/>
              </w:rPr>
              <w:t xml:space="preserve"> Нагорное»</w:t>
            </w:r>
          </w:p>
        </w:tc>
        <w:tc>
          <w:tcPr>
            <w:tcW w:w="2267" w:type="dxa"/>
            <w:vAlign w:val="center"/>
          </w:tcPr>
          <w:p w:rsidR="002D1E45" w:rsidRPr="005324E5" w:rsidRDefault="002D1E45" w:rsidP="005324E5">
            <w:pPr>
              <w:spacing w:after="0" w:line="240" w:lineRule="auto"/>
              <w:jc w:val="center"/>
              <w:rPr>
                <w:rFonts w:ascii="Times New Roman" w:hAnsi="Times New Roman"/>
                <w:sz w:val="24"/>
                <w:szCs w:val="24"/>
                <w:lang w:eastAsia="ru-RU"/>
              </w:rPr>
            </w:pPr>
            <w:r w:rsidRPr="005324E5">
              <w:rPr>
                <w:rFonts w:ascii="Times New Roman" w:hAnsi="Times New Roman"/>
                <w:sz w:val="24"/>
                <w:szCs w:val="24"/>
                <w:lang w:eastAsia="ru-RU"/>
              </w:rPr>
              <w:t>5,6</w:t>
            </w:r>
          </w:p>
        </w:tc>
      </w:tr>
      <w:tr w:rsidR="002D1E45" w:rsidRPr="005324E5" w:rsidTr="005324E5">
        <w:trPr>
          <w:trHeight w:val="20"/>
          <w:jc w:val="center"/>
        </w:trPr>
        <w:tc>
          <w:tcPr>
            <w:tcW w:w="1231" w:type="dxa"/>
            <w:vAlign w:val="center"/>
          </w:tcPr>
          <w:p w:rsidR="002D1E45" w:rsidRPr="005324E5" w:rsidRDefault="002D1E45" w:rsidP="005324E5">
            <w:pPr>
              <w:spacing w:after="0" w:line="240" w:lineRule="auto"/>
              <w:jc w:val="center"/>
              <w:rPr>
                <w:rFonts w:ascii="Times New Roman" w:hAnsi="Times New Roman"/>
                <w:sz w:val="24"/>
                <w:szCs w:val="24"/>
                <w:lang w:eastAsia="ru-RU"/>
              </w:rPr>
            </w:pPr>
            <w:r w:rsidRPr="005324E5">
              <w:rPr>
                <w:rFonts w:ascii="Times New Roman" w:hAnsi="Times New Roman"/>
                <w:sz w:val="24"/>
                <w:szCs w:val="24"/>
                <w:lang w:eastAsia="ru-RU"/>
              </w:rPr>
              <w:t>5а</w:t>
            </w:r>
          </w:p>
        </w:tc>
        <w:tc>
          <w:tcPr>
            <w:tcW w:w="4435" w:type="dxa"/>
          </w:tcPr>
          <w:p w:rsidR="002D1E45" w:rsidRPr="005324E5" w:rsidRDefault="002D1E45" w:rsidP="005324E5">
            <w:pPr>
              <w:spacing w:after="0" w:line="240" w:lineRule="auto"/>
              <w:jc w:val="both"/>
              <w:rPr>
                <w:rFonts w:ascii="Times New Roman" w:hAnsi="Times New Roman"/>
                <w:sz w:val="24"/>
                <w:szCs w:val="24"/>
                <w:lang w:eastAsia="ru-RU"/>
              </w:rPr>
            </w:pPr>
            <w:r w:rsidRPr="005324E5">
              <w:rPr>
                <w:rFonts w:ascii="Times New Roman" w:hAnsi="Times New Roman"/>
                <w:sz w:val="24"/>
                <w:szCs w:val="24"/>
                <w:lang w:eastAsia="ru-RU"/>
              </w:rPr>
              <w:t>«Светлая</w:t>
            </w:r>
            <w:r>
              <w:rPr>
                <w:rFonts w:ascii="Times New Roman" w:hAnsi="Times New Roman"/>
                <w:sz w:val="24"/>
                <w:szCs w:val="24"/>
                <w:lang w:eastAsia="ru-RU"/>
              </w:rPr>
              <w:t xml:space="preserve"> –</w:t>
            </w:r>
            <w:r w:rsidRPr="005324E5">
              <w:rPr>
                <w:rFonts w:ascii="Times New Roman" w:hAnsi="Times New Roman"/>
                <w:sz w:val="24"/>
                <w:szCs w:val="24"/>
                <w:lang w:eastAsia="ru-RU"/>
              </w:rPr>
              <w:t xml:space="preserve"> Центр </w:t>
            </w:r>
            <w:r>
              <w:rPr>
                <w:rFonts w:ascii="Times New Roman" w:hAnsi="Times New Roman"/>
                <w:sz w:val="24"/>
                <w:szCs w:val="24"/>
                <w:lang w:eastAsia="ru-RU"/>
              </w:rPr>
              <w:t>–</w:t>
            </w:r>
            <w:r w:rsidRPr="005324E5">
              <w:rPr>
                <w:rFonts w:ascii="Times New Roman" w:hAnsi="Times New Roman"/>
                <w:sz w:val="24"/>
                <w:szCs w:val="24"/>
                <w:lang w:eastAsia="ru-RU"/>
              </w:rPr>
              <w:t xml:space="preserve"> СТО»</w:t>
            </w:r>
          </w:p>
        </w:tc>
        <w:tc>
          <w:tcPr>
            <w:tcW w:w="2267" w:type="dxa"/>
            <w:vAlign w:val="center"/>
          </w:tcPr>
          <w:p w:rsidR="002D1E45" w:rsidRPr="005324E5" w:rsidRDefault="002D1E45" w:rsidP="005324E5">
            <w:pPr>
              <w:spacing w:after="0" w:line="240" w:lineRule="auto"/>
              <w:jc w:val="center"/>
              <w:rPr>
                <w:rFonts w:ascii="Times New Roman" w:hAnsi="Times New Roman"/>
                <w:sz w:val="24"/>
                <w:szCs w:val="24"/>
                <w:lang w:eastAsia="ru-RU"/>
              </w:rPr>
            </w:pPr>
            <w:r w:rsidRPr="005324E5">
              <w:rPr>
                <w:rFonts w:ascii="Times New Roman" w:hAnsi="Times New Roman"/>
                <w:sz w:val="24"/>
                <w:szCs w:val="24"/>
                <w:lang w:eastAsia="ru-RU"/>
              </w:rPr>
              <w:t>3,9</w:t>
            </w:r>
          </w:p>
        </w:tc>
      </w:tr>
      <w:tr w:rsidR="002D1E45" w:rsidRPr="005324E5" w:rsidTr="005324E5">
        <w:trPr>
          <w:trHeight w:val="20"/>
          <w:jc w:val="center"/>
        </w:trPr>
        <w:tc>
          <w:tcPr>
            <w:tcW w:w="1231" w:type="dxa"/>
            <w:vAlign w:val="center"/>
          </w:tcPr>
          <w:p w:rsidR="002D1E45" w:rsidRPr="005324E5" w:rsidRDefault="002D1E45" w:rsidP="005324E5">
            <w:pPr>
              <w:spacing w:after="0" w:line="240" w:lineRule="auto"/>
              <w:jc w:val="center"/>
              <w:rPr>
                <w:rFonts w:ascii="Times New Roman" w:hAnsi="Times New Roman"/>
                <w:sz w:val="24"/>
                <w:szCs w:val="24"/>
                <w:lang w:eastAsia="ru-RU"/>
              </w:rPr>
            </w:pPr>
            <w:r w:rsidRPr="005324E5">
              <w:rPr>
                <w:rFonts w:ascii="Times New Roman" w:hAnsi="Times New Roman"/>
                <w:sz w:val="24"/>
                <w:szCs w:val="24"/>
                <w:lang w:eastAsia="ru-RU"/>
              </w:rPr>
              <w:t>6</w:t>
            </w:r>
          </w:p>
        </w:tc>
        <w:tc>
          <w:tcPr>
            <w:tcW w:w="4435" w:type="dxa"/>
          </w:tcPr>
          <w:p w:rsidR="002D1E45" w:rsidRPr="005324E5" w:rsidRDefault="002D1E45" w:rsidP="005324E5">
            <w:pPr>
              <w:spacing w:after="0" w:line="240" w:lineRule="auto"/>
              <w:jc w:val="both"/>
              <w:rPr>
                <w:rFonts w:ascii="Times New Roman" w:hAnsi="Times New Roman"/>
                <w:sz w:val="24"/>
                <w:szCs w:val="24"/>
                <w:lang w:eastAsia="ru-RU"/>
              </w:rPr>
            </w:pPr>
            <w:r w:rsidRPr="005324E5">
              <w:rPr>
                <w:rFonts w:ascii="Times New Roman" w:hAnsi="Times New Roman"/>
                <w:sz w:val="24"/>
                <w:szCs w:val="24"/>
                <w:lang w:eastAsia="ru-RU"/>
              </w:rPr>
              <w:t xml:space="preserve">«БТЭЦ </w:t>
            </w:r>
            <w:r>
              <w:rPr>
                <w:rFonts w:ascii="Times New Roman" w:hAnsi="Times New Roman"/>
                <w:sz w:val="24"/>
                <w:szCs w:val="24"/>
                <w:lang w:eastAsia="ru-RU"/>
              </w:rPr>
              <w:t>–</w:t>
            </w:r>
            <w:r w:rsidRPr="005324E5">
              <w:rPr>
                <w:rFonts w:ascii="Times New Roman" w:hAnsi="Times New Roman"/>
                <w:sz w:val="24"/>
                <w:szCs w:val="24"/>
                <w:lang w:eastAsia="ru-RU"/>
              </w:rPr>
              <w:t xml:space="preserve"> Кирзавод»</w:t>
            </w:r>
          </w:p>
        </w:tc>
        <w:tc>
          <w:tcPr>
            <w:tcW w:w="2267" w:type="dxa"/>
            <w:vAlign w:val="center"/>
          </w:tcPr>
          <w:p w:rsidR="002D1E45" w:rsidRPr="005324E5" w:rsidRDefault="002D1E45" w:rsidP="005324E5">
            <w:pPr>
              <w:spacing w:after="0" w:line="240" w:lineRule="auto"/>
              <w:jc w:val="center"/>
              <w:rPr>
                <w:rFonts w:ascii="Times New Roman" w:hAnsi="Times New Roman"/>
                <w:sz w:val="24"/>
                <w:szCs w:val="24"/>
                <w:lang w:eastAsia="ru-RU"/>
              </w:rPr>
            </w:pPr>
            <w:r w:rsidRPr="005324E5">
              <w:rPr>
                <w:rFonts w:ascii="Times New Roman" w:hAnsi="Times New Roman"/>
                <w:sz w:val="24"/>
                <w:szCs w:val="24"/>
                <w:lang w:eastAsia="ru-RU"/>
              </w:rPr>
              <w:t>5,0</w:t>
            </w:r>
          </w:p>
        </w:tc>
      </w:tr>
      <w:tr w:rsidR="002D1E45" w:rsidRPr="005324E5" w:rsidTr="005324E5">
        <w:trPr>
          <w:trHeight w:val="20"/>
          <w:jc w:val="center"/>
        </w:trPr>
        <w:tc>
          <w:tcPr>
            <w:tcW w:w="1231" w:type="dxa"/>
            <w:vAlign w:val="center"/>
          </w:tcPr>
          <w:p w:rsidR="002D1E45" w:rsidRPr="005324E5" w:rsidRDefault="002D1E45" w:rsidP="005324E5">
            <w:pPr>
              <w:spacing w:after="0" w:line="240" w:lineRule="auto"/>
              <w:jc w:val="center"/>
              <w:rPr>
                <w:rFonts w:ascii="Times New Roman" w:hAnsi="Times New Roman"/>
                <w:sz w:val="24"/>
                <w:szCs w:val="24"/>
                <w:lang w:eastAsia="ru-RU"/>
              </w:rPr>
            </w:pPr>
            <w:r w:rsidRPr="005324E5">
              <w:rPr>
                <w:rFonts w:ascii="Times New Roman" w:hAnsi="Times New Roman"/>
                <w:sz w:val="24"/>
                <w:szCs w:val="24"/>
                <w:lang w:eastAsia="ru-RU"/>
              </w:rPr>
              <w:t>7</w:t>
            </w:r>
          </w:p>
        </w:tc>
        <w:tc>
          <w:tcPr>
            <w:tcW w:w="4435" w:type="dxa"/>
          </w:tcPr>
          <w:p w:rsidR="002D1E45" w:rsidRPr="005324E5" w:rsidRDefault="002D1E45" w:rsidP="005324E5">
            <w:pPr>
              <w:spacing w:after="0" w:line="240" w:lineRule="auto"/>
              <w:jc w:val="both"/>
              <w:rPr>
                <w:rFonts w:ascii="Times New Roman" w:hAnsi="Times New Roman"/>
                <w:sz w:val="24"/>
                <w:szCs w:val="24"/>
                <w:lang w:eastAsia="ru-RU"/>
              </w:rPr>
            </w:pPr>
            <w:r w:rsidRPr="005324E5">
              <w:rPr>
                <w:rFonts w:ascii="Times New Roman" w:hAnsi="Times New Roman"/>
                <w:sz w:val="24"/>
                <w:szCs w:val="24"/>
                <w:lang w:eastAsia="ru-RU"/>
              </w:rPr>
              <w:t xml:space="preserve">«Энергетик </w:t>
            </w:r>
            <w:r>
              <w:rPr>
                <w:rFonts w:ascii="Times New Roman" w:hAnsi="Times New Roman"/>
                <w:sz w:val="24"/>
                <w:szCs w:val="24"/>
                <w:lang w:eastAsia="ru-RU"/>
              </w:rPr>
              <w:t>–</w:t>
            </w:r>
            <w:r w:rsidRPr="005324E5">
              <w:rPr>
                <w:rFonts w:ascii="Times New Roman" w:hAnsi="Times New Roman"/>
                <w:sz w:val="24"/>
                <w:szCs w:val="24"/>
                <w:lang w:eastAsia="ru-RU"/>
              </w:rPr>
              <w:t xml:space="preserve"> СТО»</w:t>
            </w:r>
          </w:p>
        </w:tc>
        <w:tc>
          <w:tcPr>
            <w:tcW w:w="2267" w:type="dxa"/>
            <w:vAlign w:val="center"/>
          </w:tcPr>
          <w:p w:rsidR="002D1E45" w:rsidRPr="005324E5" w:rsidRDefault="002D1E45" w:rsidP="005324E5">
            <w:pPr>
              <w:spacing w:after="0" w:line="240" w:lineRule="auto"/>
              <w:jc w:val="center"/>
              <w:rPr>
                <w:rFonts w:ascii="Times New Roman" w:hAnsi="Times New Roman"/>
                <w:sz w:val="24"/>
                <w:szCs w:val="24"/>
                <w:lang w:eastAsia="ru-RU"/>
              </w:rPr>
            </w:pPr>
            <w:r w:rsidRPr="005324E5">
              <w:rPr>
                <w:rFonts w:ascii="Times New Roman" w:hAnsi="Times New Roman"/>
                <w:sz w:val="24"/>
                <w:szCs w:val="24"/>
                <w:lang w:eastAsia="ru-RU"/>
              </w:rPr>
              <w:t>4,5</w:t>
            </w:r>
          </w:p>
        </w:tc>
      </w:tr>
      <w:tr w:rsidR="002D1E45" w:rsidRPr="005324E5" w:rsidTr="005324E5">
        <w:trPr>
          <w:trHeight w:val="20"/>
          <w:jc w:val="center"/>
        </w:trPr>
        <w:tc>
          <w:tcPr>
            <w:tcW w:w="1231" w:type="dxa"/>
            <w:vAlign w:val="center"/>
          </w:tcPr>
          <w:p w:rsidR="002D1E45" w:rsidRPr="005324E5" w:rsidRDefault="002D1E45" w:rsidP="005324E5">
            <w:pPr>
              <w:spacing w:after="0" w:line="240" w:lineRule="auto"/>
              <w:jc w:val="center"/>
              <w:rPr>
                <w:rFonts w:ascii="Times New Roman" w:hAnsi="Times New Roman"/>
                <w:sz w:val="24"/>
                <w:szCs w:val="24"/>
                <w:lang w:eastAsia="ru-RU"/>
              </w:rPr>
            </w:pPr>
            <w:r w:rsidRPr="005324E5">
              <w:rPr>
                <w:rFonts w:ascii="Times New Roman" w:hAnsi="Times New Roman"/>
                <w:sz w:val="24"/>
                <w:szCs w:val="24"/>
                <w:lang w:eastAsia="ru-RU"/>
              </w:rPr>
              <w:t>7а</w:t>
            </w:r>
          </w:p>
        </w:tc>
        <w:tc>
          <w:tcPr>
            <w:tcW w:w="4435" w:type="dxa"/>
          </w:tcPr>
          <w:p w:rsidR="002D1E45" w:rsidRPr="005324E5" w:rsidRDefault="002D1E45" w:rsidP="005324E5">
            <w:pPr>
              <w:spacing w:after="0" w:line="240" w:lineRule="auto"/>
              <w:jc w:val="both"/>
              <w:rPr>
                <w:rFonts w:ascii="Times New Roman" w:hAnsi="Times New Roman"/>
                <w:sz w:val="24"/>
                <w:szCs w:val="24"/>
                <w:lang w:eastAsia="ru-RU"/>
              </w:rPr>
            </w:pPr>
            <w:r w:rsidRPr="005324E5">
              <w:rPr>
                <w:rFonts w:ascii="Times New Roman" w:hAnsi="Times New Roman"/>
                <w:sz w:val="24"/>
                <w:szCs w:val="24"/>
                <w:lang w:eastAsia="ru-RU"/>
              </w:rPr>
              <w:t xml:space="preserve">«Энергетик </w:t>
            </w:r>
            <w:r>
              <w:rPr>
                <w:rFonts w:ascii="Times New Roman" w:hAnsi="Times New Roman"/>
                <w:sz w:val="24"/>
                <w:szCs w:val="24"/>
                <w:lang w:eastAsia="ru-RU"/>
              </w:rPr>
              <w:t>–</w:t>
            </w:r>
            <w:r w:rsidRPr="005324E5">
              <w:rPr>
                <w:rFonts w:ascii="Times New Roman" w:hAnsi="Times New Roman"/>
                <w:sz w:val="24"/>
                <w:szCs w:val="24"/>
                <w:lang w:eastAsia="ru-RU"/>
              </w:rPr>
              <w:t xml:space="preserve"> КАОЛВИ»</w:t>
            </w:r>
          </w:p>
        </w:tc>
        <w:tc>
          <w:tcPr>
            <w:tcW w:w="2267" w:type="dxa"/>
            <w:vAlign w:val="center"/>
          </w:tcPr>
          <w:p w:rsidR="002D1E45" w:rsidRPr="005324E5" w:rsidRDefault="002D1E45" w:rsidP="005324E5">
            <w:pPr>
              <w:spacing w:after="0" w:line="240" w:lineRule="auto"/>
              <w:jc w:val="center"/>
              <w:rPr>
                <w:rFonts w:ascii="Times New Roman" w:hAnsi="Times New Roman"/>
                <w:sz w:val="24"/>
                <w:szCs w:val="24"/>
                <w:lang w:eastAsia="ru-RU"/>
              </w:rPr>
            </w:pPr>
            <w:r w:rsidRPr="005324E5">
              <w:rPr>
                <w:rFonts w:ascii="Times New Roman" w:hAnsi="Times New Roman"/>
                <w:sz w:val="24"/>
                <w:szCs w:val="24"/>
                <w:lang w:eastAsia="ru-RU"/>
              </w:rPr>
              <w:t>4,5</w:t>
            </w:r>
          </w:p>
        </w:tc>
      </w:tr>
      <w:tr w:rsidR="002D1E45" w:rsidRPr="005324E5" w:rsidTr="005324E5">
        <w:trPr>
          <w:trHeight w:val="20"/>
          <w:jc w:val="center"/>
        </w:trPr>
        <w:tc>
          <w:tcPr>
            <w:tcW w:w="1231" w:type="dxa"/>
            <w:vAlign w:val="center"/>
          </w:tcPr>
          <w:p w:rsidR="002D1E45" w:rsidRPr="005324E5" w:rsidRDefault="002D1E45" w:rsidP="005324E5">
            <w:pPr>
              <w:spacing w:after="0" w:line="240" w:lineRule="auto"/>
              <w:jc w:val="center"/>
              <w:rPr>
                <w:rFonts w:ascii="Times New Roman" w:hAnsi="Times New Roman"/>
                <w:sz w:val="24"/>
                <w:szCs w:val="24"/>
                <w:lang w:eastAsia="ru-RU"/>
              </w:rPr>
            </w:pPr>
            <w:r w:rsidRPr="005324E5">
              <w:rPr>
                <w:rFonts w:ascii="Times New Roman" w:hAnsi="Times New Roman"/>
                <w:sz w:val="24"/>
                <w:szCs w:val="24"/>
                <w:lang w:eastAsia="ru-RU"/>
              </w:rPr>
              <w:t>172</w:t>
            </w:r>
          </w:p>
        </w:tc>
        <w:tc>
          <w:tcPr>
            <w:tcW w:w="4435" w:type="dxa"/>
          </w:tcPr>
          <w:p w:rsidR="002D1E45" w:rsidRPr="005324E5" w:rsidRDefault="002D1E45" w:rsidP="005324E5">
            <w:pPr>
              <w:spacing w:after="0" w:line="240" w:lineRule="auto"/>
              <w:jc w:val="both"/>
              <w:rPr>
                <w:rFonts w:ascii="Times New Roman" w:hAnsi="Times New Roman"/>
                <w:sz w:val="24"/>
                <w:szCs w:val="24"/>
                <w:lang w:eastAsia="ru-RU"/>
              </w:rPr>
            </w:pPr>
            <w:r w:rsidRPr="005324E5">
              <w:rPr>
                <w:rFonts w:ascii="Times New Roman" w:hAnsi="Times New Roman"/>
                <w:sz w:val="24"/>
                <w:szCs w:val="24"/>
                <w:lang w:eastAsia="ru-RU"/>
              </w:rPr>
              <w:t xml:space="preserve">«Куйбышев </w:t>
            </w:r>
            <w:r>
              <w:rPr>
                <w:rFonts w:ascii="Times New Roman" w:hAnsi="Times New Roman"/>
                <w:sz w:val="24"/>
                <w:szCs w:val="24"/>
                <w:lang w:eastAsia="ru-RU"/>
              </w:rPr>
              <w:t>–</w:t>
            </w:r>
            <w:r w:rsidRPr="005324E5">
              <w:rPr>
                <w:rFonts w:ascii="Times New Roman" w:hAnsi="Times New Roman"/>
                <w:sz w:val="24"/>
                <w:szCs w:val="24"/>
                <w:lang w:eastAsia="ru-RU"/>
              </w:rPr>
              <w:t xml:space="preserve"> Барабинск»</w:t>
            </w:r>
          </w:p>
        </w:tc>
        <w:tc>
          <w:tcPr>
            <w:tcW w:w="2267" w:type="dxa"/>
            <w:vAlign w:val="center"/>
          </w:tcPr>
          <w:p w:rsidR="002D1E45" w:rsidRPr="005324E5" w:rsidRDefault="002D1E45" w:rsidP="005324E5">
            <w:pPr>
              <w:spacing w:after="0" w:line="240" w:lineRule="auto"/>
              <w:jc w:val="center"/>
              <w:rPr>
                <w:rFonts w:ascii="Times New Roman" w:hAnsi="Times New Roman"/>
                <w:sz w:val="24"/>
                <w:szCs w:val="24"/>
                <w:lang w:eastAsia="ru-RU"/>
              </w:rPr>
            </w:pPr>
            <w:r w:rsidRPr="005324E5">
              <w:rPr>
                <w:rFonts w:ascii="Times New Roman" w:hAnsi="Times New Roman"/>
                <w:sz w:val="24"/>
                <w:szCs w:val="24"/>
                <w:lang w:eastAsia="ru-RU"/>
              </w:rPr>
              <w:t>11,0</w:t>
            </w:r>
          </w:p>
        </w:tc>
      </w:tr>
      <w:tr w:rsidR="002D1E45" w:rsidRPr="005324E5" w:rsidTr="005324E5">
        <w:trPr>
          <w:trHeight w:val="20"/>
          <w:jc w:val="center"/>
        </w:trPr>
        <w:tc>
          <w:tcPr>
            <w:tcW w:w="1231" w:type="dxa"/>
            <w:vAlign w:val="center"/>
          </w:tcPr>
          <w:p w:rsidR="002D1E45" w:rsidRPr="005324E5" w:rsidRDefault="002D1E45" w:rsidP="005324E5">
            <w:pPr>
              <w:spacing w:after="0" w:line="240" w:lineRule="auto"/>
              <w:jc w:val="center"/>
              <w:rPr>
                <w:rFonts w:ascii="Times New Roman" w:hAnsi="Times New Roman"/>
                <w:sz w:val="24"/>
                <w:szCs w:val="24"/>
                <w:lang w:eastAsia="ru-RU"/>
              </w:rPr>
            </w:pPr>
            <w:r w:rsidRPr="005324E5">
              <w:rPr>
                <w:rFonts w:ascii="Times New Roman" w:hAnsi="Times New Roman"/>
                <w:sz w:val="24"/>
                <w:szCs w:val="24"/>
                <w:lang w:eastAsia="ru-RU"/>
              </w:rPr>
              <w:t>173</w:t>
            </w:r>
          </w:p>
        </w:tc>
        <w:tc>
          <w:tcPr>
            <w:tcW w:w="4435" w:type="dxa"/>
          </w:tcPr>
          <w:p w:rsidR="002D1E45" w:rsidRPr="005324E5" w:rsidRDefault="002D1E45" w:rsidP="005324E5">
            <w:pPr>
              <w:spacing w:after="0" w:line="240" w:lineRule="auto"/>
              <w:jc w:val="both"/>
              <w:rPr>
                <w:rFonts w:ascii="Times New Roman" w:hAnsi="Times New Roman"/>
                <w:sz w:val="24"/>
                <w:szCs w:val="24"/>
                <w:lang w:eastAsia="ru-RU"/>
              </w:rPr>
            </w:pPr>
            <w:r w:rsidRPr="005324E5">
              <w:rPr>
                <w:rFonts w:ascii="Times New Roman" w:hAnsi="Times New Roman"/>
                <w:sz w:val="24"/>
                <w:szCs w:val="24"/>
                <w:lang w:eastAsia="ru-RU"/>
              </w:rPr>
              <w:t xml:space="preserve">«Куйбышев </w:t>
            </w:r>
            <w:r>
              <w:rPr>
                <w:rFonts w:ascii="Times New Roman" w:hAnsi="Times New Roman"/>
                <w:sz w:val="24"/>
                <w:szCs w:val="24"/>
                <w:lang w:eastAsia="ru-RU"/>
              </w:rPr>
              <w:t>–</w:t>
            </w:r>
            <w:r w:rsidRPr="005324E5">
              <w:rPr>
                <w:rFonts w:ascii="Times New Roman" w:hAnsi="Times New Roman"/>
                <w:sz w:val="24"/>
                <w:szCs w:val="24"/>
                <w:lang w:eastAsia="ru-RU"/>
              </w:rPr>
              <w:t xml:space="preserve"> Абрамово» (ЦРБ)</w:t>
            </w:r>
          </w:p>
        </w:tc>
        <w:tc>
          <w:tcPr>
            <w:tcW w:w="2267" w:type="dxa"/>
            <w:vAlign w:val="center"/>
          </w:tcPr>
          <w:p w:rsidR="002D1E45" w:rsidRPr="005324E5" w:rsidRDefault="002D1E45" w:rsidP="005324E5">
            <w:pPr>
              <w:spacing w:after="0" w:line="240" w:lineRule="auto"/>
              <w:jc w:val="center"/>
              <w:rPr>
                <w:rFonts w:ascii="Times New Roman" w:hAnsi="Times New Roman"/>
                <w:sz w:val="24"/>
                <w:szCs w:val="24"/>
                <w:lang w:eastAsia="ru-RU"/>
              </w:rPr>
            </w:pPr>
            <w:r w:rsidRPr="005324E5">
              <w:rPr>
                <w:rFonts w:ascii="Times New Roman" w:hAnsi="Times New Roman"/>
                <w:sz w:val="24"/>
                <w:szCs w:val="24"/>
                <w:lang w:eastAsia="ru-RU"/>
              </w:rPr>
              <w:t>8,5</w:t>
            </w:r>
            <w:r>
              <w:rPr>
                <w:rFonts w:ascii="Times New Roman" w:hAnsi="Times New Roman"/>
                <w:sz w:val="24"/>
                <w:szCs w:val="24"/>
                <w:lang w:eastAsia="ru-RU"/>
              </w:rPr>
              <w:t xml:space="preserve"> </w:t>
            </w:r>
            <w:r w:rsidRPr="005324E5">
              <w:rPr>
                <w:rFonts w:ascii="Times New Roman" w:hAnsi="Times New Roman"/>
                <w:sz w:val="24"/>
                <w:szCs w:val="24"/>
                <w:lang w:eastAsia="ru-RU"/>
              </w:rPr>
              <w:t>(10)</w:t>
            </w:r>
          </w:p>
        </w:tc>
      </w:tr>
    </w:tbl>
    <w:p w:rsidR="002D1E45" w:rsidRPr="00A343F7" w:rsidRDefault="002D1E45" w:rsidP="00C01DB8">
      <w:pPr>
        <w:tabs>
          <w:tab w:val="left" w:pos="1418"/>
        </w:tabs>
        <w:spacing w:line="240" w:lineRule="auto"/>
        <w:jc w:val="center"/>
        <w:rPr>
          <w:rFonts w:ascii="Times New Roman" w:hAnsi="Times New Roman"/>
          <w:sz w:val="28"/>
          <w:szCs w:val="24"/>
          <w:lang w:eastAsia="ru-RU"/>
        </w:rPr>
      </w:pPr>
    </w:p>
    <w:p w:rsidR="002D1E45" w:rsidRPr="00E955EA" w:rsidRDefault="002D1E45" w:rsidP="00E955EA">
      <w:pPr>
        <w:pStyle w:val="BodyText"/>
        <w:ind w:firstLine="709"/>
        <w:rPr>
          <w:szCs w:val="28"/>
        </w:rPr>
      </w:pPr>
      <w:r w:rsidRPr="00E955EA">
        <w:rPr>
          <w:szCs w:val="28"/>
        </w:rPr>
        <w:t>Перевозка технических грузов (угля, дров) осуществляется частным автотранспортом.</w:t>
      </w:r>
    </w:p>
    <w:p w:rsidR="002D1E45" w:rsidRPr="00931B48" w:rsidRDefault="002D1E45" w:rsidP="00AB67F3">
      <w:pPr>
        <w:pStyle w:val="BodyText"/>
        <w:ind w:firstLine="709"/>
        <w:rPr>
          <w:bCs/>
          <w:i/>
          <w:szCs w:val="28"/>
          <w:u w:val="single"/>
        </w:rPr>
      </w:pPr>
      <w:r w:rsidRPr="00931B48">
        <w:rPr>
          <w:bCs/>
          <w:i/>
          <w:szCs w:val="28"/>
          <w:u w:val="single"/>
        </w:rPr>
        <w:t>Объекты транспортной инфраструктуры</w:t>
      </w:r>
    </w:p>
    <w:p w:rsidR="002D1E45" w:rsidRPr="00C81C54" w:rsidRDefault="002D1E45" w:rsidP="00C81C54">
      <w:pPr>
        <w:pStyle w:val="BodyText"/>
        <w:ind w:firstLine="709"/>
        <w:rPr>
          <w:szCs w:val="28"/>
        </w:rPr>
      </w:pPr>
      <w:r w:rsidRPr="00C81C54">
        <w:rPr>
          <w:szCs w:val="28"/>
        </w:rPr>
        <w:t xml:space="preserve">Индивидуальный транспорт в основном хранится на участках усадеб, а для жителей </w:t>
      </w:r>
      <w:r>
        <w:rPr>
          <w:szCs w:val="28"/>
        </w:rPr>
        <w:t>много</w:t>
      </w:r>
      <w:r w:rsidRPr="00C81C54">
        <w:rPr>
          <w:szCs w:val="28"/>
        </w:rPr>
        <w:t xml:space="preserve">квартирных домов </w:t>
      </w:r>
      <w:r>
        <w:rPr>
          <w:szCs w:val="28"/>
        </w:rPr>
        <w:t>–</w:t>
      </w:r>
      <w:r w:rsidRPr="00C81C54">
        <w:rPr>
          <w:szCs w:val="28"/>
        </w:rPr>
        <w:t xml:space="preserve"> непосредственно во дворах, в боксовых гаражах.</w:t>
      </w:r>
      <w:r>
        <w:rPr>
          <w:szCs w:val="28"/>
        </w:rPr>
        <w:t xml:space="preserve"> </w:t>
      </w:r>
      <w:r w:rsidRPr="00C81C54">
        <w:rPr>
          <w:szCs w:val="28"/>
        </w:rPr>
        <w:t xml:space="preserve">Ведомственный транспорт размещается на участках ведомств. </w:t>
      </w:r>
    </w:p>
    <w:p w:rsidR="002D1E45" w:rsidRPr="00C81C54" w:rsidRDefault="002D1E45" w:rsidP="00C81C54">
      <w:pPr>
        <w:pStyle w:val="BodyText"/>
        <w:ind w:firstLine="709"/>
        <w:rPr>
          <w:szCs w:val="28"/>
        </w:rPr>
      </w:pPr>
      <w:r w:rsidRPr="00C81C54">
        <w:rPr>
          <w:szCs w:val="28"/>
        </w:rPr>
        <w:t xml:space="preserve">Техобслуживание ведомственного транспорта также в основном осуществляется на участках ведомств, легкового индивидуального </w:t>
      </w:r>
      <w:r>
        <w:rPr>
          <w:szCs w:val="28"/>
        </w:rPr>
        <w:t xml:space="preserve">– </w:t>
      </w:r>
      <w:r w:rsidRPr="00C81C54">
        <w:rPr>
          <w:szCs w:val="28"/>
        </w:rPr>
        <w:t>в</w:t>
      </w:r>
      <w:r>
        <w:rPr>
          <w:szCs w:val="28"/>
        </w:rPr>
        <w:t xml:space="preserve"> </w:t>
      </w:r>
      <w:r w:rsidRPr="00C81C54">
        <w:rPr>
          <w:szCs w:val="28"/>
        </w:rPr>
        <w:t>частных мастерских при автохозяйствах и гаражах.</w:t>
      </w:r>
    </w:p>
    <w:p w:rsidR="002D1E45" w:rsidRPr="00C81C54" w:rsidRDefault="002D1E45" w:rsidP="00C81C54">
      <w:pPr>
        <w:pStyle w:val="BodyText"/>
        <w:ind w:firstLine="709"/>
        <w:rPr>
          <w:szCs w:val="28"/>
        </w:rPr>
      </w:pPr>
      <w:r w:rsidRPr="00C81C54">
        <w:rPr>
          <w:szCs w:val="28"/>
        </w:rPr>
        <w:t>Для обслуживания транспортных средств поселения предусмотрены основных объекты транспортной инфраструктуры.</w:t>
      </w:r>
    </w:p>
    <w:p w:rsidR="002D1E45" w:rsidRDefault="002D1E45" w:rsidP="00C81C54">
      <w:pPr>
        <w:pStyle w:val="BodyText"/>
        <w:ind w:firstLine="709"/>
        <w:rPr>
          <w:szCs w:val="28"/>
        </w:rPr>
      </w:pPr>
      <w:r w:rsidRPr="00C81C54">
        <w:rPr>
          <w:szCs w:val="28"/>
        </w:rPr>
        <w:t>Хранение транспортных средств населения предлагается осуществлять на приусадебных участках жилых домов.</w:t>
      </w:r>
    </w:p>
    <w:p w:rsidR="002D1E45" w:rsidRPr="00AB67F3" w:rsidRDefault="002D1E45" w:rsidP="00AB67F3">
      <w:pPr>
        <w:pStyle w:val="BodyText"/>
        <w:ind w:firstLine="709"/>
        <w:rPr>
          <w:szCs w:val="28"/>
        </w:rPr>
      </w:pPr>
      <w:r w:rsidRPr="00AB67F3">
        <w:rPr>
          <w:szCs w:val="28"/>
        </w:rPr>
        <w:t>По состоянию на</w:t>
      </w:r>
      <w:r>
        <w:rPr>
          <w:szCs w:val="28"/>
        </w:rPr>
        <w:t> начало</w:t>
      </w:r>
      <w:r w:rsidRPr="00AB67F3">
        <w:rPr>
          <w:szCs w:val="28"/>
        </w:rPr>
        <w:t xml:space="preserve"> 20</w:t>
      </w:r>
      <w:r>
        <w:rPr>
          <w:szCs w:val="28"/>
        </w:rPr>
        <w:t>20</w:t>
      </w:r>
      <w:r w:rsidRPr="00AB67F3">
        <w:rPr>
          <w:szCs w:val="28"/>
        </w:rPr>
        <w:t xml:space="preserve"> года общая численность населения </w:t>
      </w:r>
      <w:r>
        <w:rPr>
          <w:szCs w:val="28"/>
        </w:rPr>
        <w:t xml:space="preserve">в городе </w:t>
      </w:r>
      <w:r w:rsidRPr="00AB67F3">
        <w:rPr>
          <w:szCs w:val="28"/>
        </w:rPr>
        <w:t>составля</w:t>
      </w:r>
      <w:r>
        <w:rPr>
          <w:szCs w:val="28"/>
        </w:rPr>
        <w:t>ла</w:t>
      </w:r>
      <w:r w:rsidRPr="00AB67F3">
        <w:rPr>
          <w:szCs w:val="28"/>
        </w:rPr>
        <w:t xml:space="preserve"> </w:t>
      </w:r>
      <w:r>
        <w:rPr>
          <w:szCs w:val="28"/>
        </w:rPr>
        <w:t>43536</w:t>
      </w:r>
      <w:r w:rsidRPr="00AB67F3">
        <w:rPr>
          <w:szCs w:val="28"/>
        </w:rPr>
        <w:t xml:space="preserve"> человек и</w:t>
      </w:r>
      <w:r>
        <w:rPr>
          <w:szCs w:val="28"/>
        </w:rPr>
        <w:t> </w:t>
      </w:r>
      <w:r w:rsidRPr="00AB67F3">
        <w:rPr>
          <w:szCs w:val="28"/>
        </w:rPr>
        <w:t xml:space="preserve">уровень обеспеченности населения индивидуальными легковыми автомобилями порядка </w:t>
      </w:r>
      <w:r>
        <w:rPr>
          <w:szCs w:val="28"/>
        </w:rPr>
        <w:t>300</w:t>
      </w:r>
      <w:r w:rsidRPr="00AB67F3">
        <w:rPr>
          <w:szCs w:val="28"/>
        </w:rPr>
        <w:t xml:space="preserve"> единиц на 1000 жителей. Таким образом, общее количество легковых автомобилей на</w:t>
      </w:r>
      <w:r>
        <w:rPr>
          <w:szCs w:val="28"/>
        </w:rPr>
        <w:t> </w:t>
      </w:r>
      <w:r w:rsidRPr="00AB67F3">
        <w:rPr>
          <w:szCs w:val="28"/>
        </w:rPr>
        <w:t xml:space="preserve">территории </w:t>
      </w:r>
      <w:r>
        <w:rPr>
          <w:szCs w:val="28"/>
        </w:rPr>
        <w:t>городского поселения</w:t>
      </w:r>
      <w:r w:rsidRPr="00AB67F3">
        <w:rPr>
          <w:szCs w:val="28"/>
        </w:rPr>
        <w:t xml:space="preserve"> составляет </w:t>
      </w:r>
      <w:r>
        <w:rPr>
          <w:szCs w:val="28"/>
        </w:rPr>
        <w:t>около 13060</w:t>
      </w:r>
      <w:r w:rsidRPr="00AB67F3">
        <w:rPr>
          <w:szCs w:val="28"/>
        </w:rPr>
        <w:t xml:space="preserve"> единиц.</w:t>
      </w:r>
    </w:p>
    <w:p w:rsidR="002D1E45" w:rsidRPr="00AB67F3" w:rsidRDefault="002D1E45" w:rsidP="00765DBC">
      <w:pPr>
        <w:pStyle w:val="BodyText"/>
        <w:ind w:firstLine="709"/>
        <w:rPr>
          <w:szCs w:val="28"/>
        </w:rPr>
      </w:pPr>
      <w:r w:rsidRPr="00AB67F3">
        <w:rPr>
          <w:szCs w:val="28"/>
        </w:rPr>
        <w:t>В соответствии с</w:t>
      </w:r>
      <w:r>
        <w:rPr>
          <w:szCs w:val="28"/>
        </w:rPr>
        <w:t> </w:t>
      </w:r>
      <w:r w:rsidRPr="00C608EB">
        <w:rPr>
          <w:szCs w:val="28"/>
        </w:rPr>
        <w:t>СП 42.13330.2016</w:t>
      </w:r>
      <w:r>
        <w:rPr>
          <w:szCs w:val="28"/>
        </w:rPr>
        <w:t xml:space="preserve"> «</w:t>
      </w:r>
      <w:r w:rsidRPr="00C608EB">
        <w:rPr>
          <w:szCs w:val="28"/>
        </w:rPr>
        <w:t>Градостроительство. Планировка и</w:t>
      </w:r>
      <w:r>
        <w:rPr>
          <w:szCs w:val="28"/>
        </w:rPr>
        <w:t> </w:t>
      </w:r>
      <w:r w:rsidRPr="00C608EB">
        <w:rPr>
          <w:szCs w:val="28"/>
        </w:rPr>
        <w:t>застройка городских и</w:t>
      </w:r>
      <w:r>
        <w:rPr>
          <w:szCs w:val="28"/>
        </w:rPr>
        <w:t> </w:t>
      </w:r>
      <w:r w:rsidRPr="00C608EB">
        <w:rPr>
          <w:szCs w:val="28"/>
        </w:rPr>
        <w:t>сельских</w:t>
      </w:r>
      <w:r>
        <w:rPr>
          <w:szCs w:val="28"/>
        </w:rPr>
        <w:t xml:space="preserve"> </w:t>
      </w:r>
      <w:r w:rsidRPr="00C608EB">
        <w:rPr>
          <w:szCs w:val="28"/>
        </w:rPr>
        <w:t>поселений</w:t>
      </w:r>
      <w:r>
        <w:rPr>
          <w:szCs w:val="28"/>
        </w:rPr>
        <w:t>»</w:t>
      </w:r>
      <w:r w:rsidRPr="00C608EB">
        <w:rPr>
          <w:szCs w:val="28"/>
        </w:rPr>
        <w:t xml:space="preserve"> </w:t>
      </w:r>
      <w:r>
        <w:rPr>
          <w:szCs w:val="28"/>
        </w:rPr>
        <w:t>(а</w:t>
      </w:r>
      <w:r w:rsidRPr="00C608EB">
        <w:rPr>
          <w:szCs w:val="28"/>
        </w:rPr>
        <w:t>ктуализированная</w:t>
      </w:r>
      <w:r>
        <w:rPr>
          <w:szCs w:val="28"/>
        </w:rPr>
        <w:t xml:space="preserve"> </w:t>
      </w:r>
      <w:r w:rsidRPr="00C608EB">
        <w:rPr>
          <w:szCs w:val="28"/>
        </w:rPr>
        <w:t>редакция СНиП 2.07.01-89*</w:t>
      </w:r>
      <w:r>
        <w:rPr>
          <w:szCs w:val="28"/>
        </w:rPr>
        <w:t xml:space="preserve">) </w:t>
      </w:r>
      <w:r w:rsidRPr="00AB67F3">
        <w:rPr>
          <w:szCs w:val="28"/>
        </w:rPr>
        <w:t>минимальный уровень обеспеченности стан</w:t>
      </w:r>
      <w:r>
        <w:rPr>
          <w:szCs w:val="28"/>
        </w:rPr>
        <w:t>циями технического обслуживания</w:t>
      </w:r>
      <w:r w:rsidRPr="00AB67F3">
        <w:rPr>
          <w:szCs w:val="28"/>
        </w:rPr>
        <w:t xml:space="preserve"> – 1 пост на 200 легковых автомобилей.</w:t>
      </w:r>
      <w:r w:rsidRPr="00765DBC">
        <w:t xml:space="preserve"> </w:t>
      </w:r>
      <w:r>
        <w:rPr>
          <w:szCs w:val="28"/>
        </w:rPr>
        <w:t>С</w:t>
      </w:r>
      <w:r w:rsidRPr="00765DBC">
        <w:rPr>
          <w:szCs w:val="28"/>
        </w:rPr>
        <w:t xml:space="preserve">огласно </w:t>
      </w:r>
      <w:r w:rsidRPr="00C608EB">
        <w:rPr>
          <w:szCs w:val="28"/>
        </w:rPr>
        <w:t>СП 42.13330.2016</w:t>
      </w:r>
      <w:r>
        <w:rPr>
          <w:szCs w:val="28"/>
        </w:rPr>
        <w:t xml:space="preserve">, </w:t>
      </w:r>
      <w:r w:rsidRPr="00765DBC">
        <w:rPr>
          <w:szCs w:val="28"/>
        </w:rPr>
        <w:t>потребность в</w:t>
      </w:r>
      <w:r>
        <w:rPr>
          <w:szCs w:val="28"/>
        </w:rPr>
        <w:t> </w:t>
      </w:r>
      <w:r w:rsidRPr="00765DBC">
        <w:rPr>
          <w:szCs w:val="28"/>
        </w:rPr>
        <w:t>АЗС составляет: 1 топливораздаточная колонка на 1200 легковых автомобилей</w:t>
      </w:r>
      <w:r>
        <w:rPr>
          <w:szCs w:val="28"/>
        </w:rPr>
        <w:t>.</w:t>
      </w:r>
      <w:r w:rsidRPr="00765DBC">
        <w:rPr>
          <w:szCs w:val="28"/>
        </w:rPr>
        <w:t xml:space="preserve"> </w:t>
      </w:r>
      <w:r>
        <w:rPr>
          <w:szCs w:val="28"/>
        </w:rPr>
        <w:t>Н</w:t>
      </w:r>
      <w:r w:rsidRPr="00AB67F3">
        <w:rPr>
          <w:szCs w:val="28"/>
        </w:rPr>
        <w:t>а</w:t>
      </w:r>
      <w:r>
        <w:rPr>
          <w:szCs w:val="28"/>
        </w:rPr>
        <w:t> </w:t>
      </w:r>
      <w:r w:rsidRPr="00AB67F3">
        <w:rPr>
          <w:szCs w:val="28"/>
        </w:rPr>
        <w:t>селитебных территориях и</w:t>
      </w:r>
      <w:r>
        <w:rPr>
          <w:szCs w:val="28"/>
        </w:rPr>
        <w:t> </w:t>
      </w:r>
      <w:r w:rsidRPr="00AB67F3">
        <w:rPr>
          <w:szCs w:val="28"/>
        </w:rPr>
        <w:t>на</w:t>
      </w:r>
      <w:r>
        <w:rPr>
          <w:szCs w:val="28"/>
        </w:rPr>
        <w:t> </w:t>
      </w:r>
      <w:r w:rsidRPr="00AB67F3">
        <w:rPr>
          <w:szCs w:val="28"/>
        </w:rPr>
        <w:t>прилегающих к</w:t>
      </w:r>
      <w:r>
        <w:rPr>
          <w:szCs w:val="28"/>
        </w:rPr>
        <w:t> </w:t>
      </w:r>
      <w:r w:rsidRPr="00AB67F3">
        <w:rPr>
          <w:szCs w:val="28"/>
        </w:rPr>
        <w:t>ним производственных территориях следует предусматривать гаражи и</w:t>
      </w:r>
      <w:r>
        <w:rPr>
          <w:szCs w:val="28"/>
        </w:rPr>
        <w:t> </w:t>
      </w:r>
      <w:r w:rsidRPr="00AB67F3">
        <w:rPr>
          <w:szCs w:val="28"/>
        </w:rPr>
        <w:t>открытые стоянки для постоянного хранения не</w:t>
      </w:r>
      <w:r>
        <w:rPr>
          <w:szCs w:val="28"/>
        </w:rPr>
        <w:t> </w:t>
      </w:r>
      <w:r w:rsidRPr="00AB67F3">
        <w:rPr>
          <w:szCs w:val="28"/>
        </w:rPr>
        <w:t>менее 90</w:t>
      </w:r>
      <w:r>
        <w:rPr>
          <w:szCs w:val="28"/>
        </w:rPr>
        <w:t> </w:t>
      </w:r>
      <w:r w:rsidRPr="00AB67F3">
        <w:rPr>
          <w:szCs w:val="28"/>
        </w:rPr>
        <w:t>% расчётного числа индивидуальных легковых автомобилей.</w:t>
      </w:r>
    </w:p>
    <w:p w:rsidR="002D1E45" w:rsidRPr="00AB67F3" w:rsidRDefault="002D1E45" w:rsidP="00AB67F3">
      <w:pPr>
        <w:pStyle w:val="BodyText"/>
        <w:ind w:firstLine="709"/>
        <w:rPr>
          <w:szCs w:val="28"/>
        </w:rPr>
      </w:pPr>
      <w:r w:rsidRPr="00AB67F3">
        <w:rPr>
          <w:szCs w:val="28"/>
        </w:rPr>
        <w:t>Исходя из</w:t>
      </w:r>
      <w:r>
        <w:rPr>
          <w:szCs w:val="28"/>
        </w:rPr>
        <w:t> </w:t>
      </w:r>
      <w:r w:rsidRPr="00AB67F3">
        <w:rPr>
          <w:szCs w:val="28"/>
        </w:rPr>
        <w:t>нормативных требований, общего количества индивидуальных легковых автомобилей и</w:t>
      </w:r>
      <w:r>
        <w:rPr>
          <w:szCs w:val="28"/>
        </w:rPr>
        <w:t> </w:t>
      </w:r>
      <w:r w:rsidRPr="00AB67F3">
        <w:rPr>
          <w:szCs w:val="28"/>
        </w:rPr>
        <w:t>наличия объектов дорожного сервиса видно, что в</w:t>
      </w:r>
      <w:r>
        <w:rPr>
          <w:szCs w:val="28"/>
        </w:rPr>
        <w:t> </w:t>
      </w:r>
      <w:r w:rsidRPr="00AB67F3">
        <w:rPr>
          <w:szCs w:val="28"/>
        </w:rPr>
        <w:t xml:space="preserve">настоящее время </w:t>
      </w:r>
      <w:r>
        <w:rPr>
          <w:szCs w:val="28"/>
        </w:rPr>
        <w:t>в городе</w:t>
      </w:r>
      <w:r w:rsidRPr="00AB67F3">
        <w:rPr>
          <w:szCs w:val="28"/>
        </w:rPr>
        <w:t xml:space="preserve"> </w:t>
      </w:r>
      <w:r>
        <w:rPr>
          <w:szCs w:val="28"/>
        </w:rPr>
        <w:t>должны быть размещены СТО общей мощн</w:t>
      </w:r>
      <w:r w:rsidRPr="00AB67F3">
        <w:rPr>
          <w:szCs w:val="28"/>
        </w:rPr>
        <w:t xml:space="preserve">остью </w:t>
      </w:r>
      <w:r>
        <w:rPr>
          <w:szCs w:val="28"/>
        </w:rPr>
        <w:t>не менее 65</w:t>
      </w:r>
      <w:r w:rsidRPr="00AB67F3">
        <w:rPr>
          <w:szCs w:val="28"/>
        </w:rPr>
        <w:t xml:space="preserve"> пост</w:t>
      </w:r>
      <w:r>
        <w:rPr>
          <w:szCs w:val="28"/>
        </w:rPr>
        <w:t xml:space="preserve">ов и АЗС на 11 </w:t>
      </w:r>
      <w:r w:rsidRPr="00765DBC">
        <w:rPr>
          <w:szCs w:val="28"/>
        </w:rPr>
        <w:t>топливораздаточн</w:t>
      </w:r>
      <w:r>
        <w:rPr>
          <w:szCs w:val="28"/>
        </w:rPr>
        <w:t>ых</w:t>
      </w:r>
      <w:r w:rsidRPr="00765DBC">
        <w:rPr>
          <w:szCs w:val="28"/>
        </w:rPr>
        <w:t xml:space="preserve"> колон</w:t>
      </w:r>
      <w:r>
        <w:rPr>
          <w:szCs w:val="28"/>
        </w:rPr>
        <w:t xml:space="preserve">ок. </w:t>
      </w:r>
    </w:p>
    <w:p w:rsidR="002D1E45" w:rsidRDefault="002D1E45" w:rsidP="00AB67F3">
      <w:pPr>
        <w:pStyle w:val="BodyText"/>
        <w:ind w:firstLine="709"/>
        <w:rPr>
          <w:szCs w:val="28"/>
        </w:rPr>
      </w:pPr>
      <w:r>
        <w:rPr>
          <w:szCs w:val="28"/>
        </w:rPr>
        <w:t xml:space="preserve">При общей численности жителей в многоквартирных домах около 31650 чел., число мест на открытых парковках должно составлять не менее 8550 ед. </w:t>
      </w:r>
    </w:p>
    <w:p w:rsidR="002D1E45" w:rsidRPr="00760BD6" w:rsidRDefault="002D1E45" w:rsidP="00852938">
      <w:pPr>
        <w:pStyle w:val="Heading2"/>
        <w:numPr>
          <w:ilvl w:val="1"/>
          <w:numId w:val="65"/>
        </w:numPr>
        <w:spacing w:before="240"/>
        <w:ind w:left="993" w:hanging="633"/>
        <w:jc w:val="both"/>
        <w:rPr>
          <w:b/>
        </w:rPr>
      </w:pPr>
      <w:bookmarkStart w:id="148" w:name="_Toc84936029"/>
      <w:r w:rsidRPr="00760BD6">
        <w:rPr>
          <w:b/>
        </w:rPr>
        <w:t>Зона рекреационного назначения</w:t>
      </w:r>
      <w:bookmarkEnd w:id="148"/>
    </w:p>
    <w:p w:rsidR="002D1E45" w:rsidRDefault="002D1E45" w:rsidP="00632421">
      <w:pPr>
        <w:spacing w:after="0" w:line="240" w:lineRule="auto"/>
        <w:rPr>
          <w:rFonts w:ascii="Arial" w:hAnsi="Arial" w:cs="Arial"/>
          <w:sz w:val="16"/>
          <w:szCs w:val="16"/>
          <w:lang w:eastAsia="ru-RU"/>
        </w:rPr>
      </w:pPr>
    </w:p>
    <w:p w:rsidR="002D1E45" w:rsidRDefault="002D1E45" w:rsidP="00834EE9">
      <w:pPr>
        <w:spacing w:after="0" w:line="240" w:lineRule="auto"/>
        <w:ind w:firstLine="709"/>
        <w:jc w:val="both"/>
        <w:rPr>
          <w:rFonts w:ascii="Times New Roman" w:hAnsi="Times New Roman"/>
          <w:sz w:val="28"/>
          <w:szCs w:val="28"/>
        </w:rPr>
      </w:pPr>
      <w:r w:rsidRPr="00834EE9">
        <w:rPr>
          <w:rFonts w:ascii="Times New Roman" w:hAnsi="Times New Roman"/>
          <w:sz w:val="28"/>
          <w:szCs w:val="28"/>
        </w:rPr>
        <w:t>Рекреационные зоны включают в</w:t>
      </w:r>
      <w:r>
        <w:rPr>
          <w:rFonts w:ascii="Times New Roman" w:hAnsi="Times New Roman"/>
          <w:sz w:val="28"/>
          <w:szCs w:val="28"/>
        </w:rPr>
        <w:t> </w:t>
      </w:r>
      <w:r w:rsidRPr="00834EE9">
        <w:rPr>
          <w:rFonts w:ascii="Times New Roman" w:hAnsi="Times New Roman"/>
          <w:sz w:val="28"/>
          <w:szCs w:val="28"/>
        </w:rPr>
        <w:t xml:space="preserve">себя территории, занятые лесами, скверами, парками, озёрами, </w:t>
      </w:r>
      <w:r>
        <w:rPr>
          <w:rFonts w:ascii="Times New Roman" w:hAnsi="Times New Roman"/>
          <w:sz w:val="28"/>
          <w:szCs w:val="28"/>
        </w:rPr>
        <w:t xml:space="preserve">реками и протоками, </w:t>
      </w:r>
      <w:r w:rsidRPr="00834EE9">
        <w:rPr>
          <w:rFonts w:ascii="Times New Roman" w:hAnsi="Times New Roman"/>
          <w:sz w:val="28"/>
          <w:szCs w:val="28"/>
        </w:rPr>
        <w:t>водохранилищами, а</w:t>
      </w:r>
      <w:r>
        <w:rPr>
          <w:rFonts w:ascii="Times New Roman" w:hAnsi="Times New Roman"/>
          <w:sz w:val="28"/>
          <w:szCs w:val="28"/>
        </w:rPr>
        <w:t> </w:t>
      </w:r>
      <w:r w:rsidRPr="00834EE9">
        <w:rPr>
          <w:rFonts w:ascii="Times New Roman" w:hAnsi="Times New Roman"/>
          <w:sz w:val="28"/>
          <w:szCs w:val="28"/>
        </w:rPr>
        <w:t>также, иные территории, используемые и</w:t>
      </w:r>
      <w:r>
        <w:rPr>
          <w:rFonts w:ascii="Times New Roman" w:hAnsi="Times New Roman"/>
          <w:sz w:val="28"/>
          <w:szCs w:val="28"/>
        </w:rPr>
        <w:t> </w:t>
      </w:r>
      <w:r w:rsidRPr="00834EE9">
        <w:rPr>
          <w:rFonts w:ascii="Times New Roman" w:hAnsi="Times New Roman"/>
          <w:sz w:val="28"/>
          <w:szCs w:val="28"/>
        </w:rPr>
        <w:t>предназначенные для отдыха, туризма, занятий физической культурой и</w:t>
      </w:r>
      <w:r>
        <w:rPr>
          <w:rFonts w:ascii="Times New Roman" w:hAnsi="Times New Roman"/>
          <w:sz w:val="28"/>
          <w:szCs w:val="28"/>
        </w:rPr>
        <w:t> </w:t>
      </w:r>
      <w:r w:rsidRPr="00834EE9">
        <w:rPr>
          <w:rFonts w:ascii="Times New Roman" w:hAnsi="Times New Roman"/>
          <w:sz w:val="28"/>
          <w:szCs w:val="28"/>
        </w:rPr>
        <w:t>спортом.</w:t>
      </w:r>
    </w:p>
    <w:p w:rsidR="002D1E45" w:rsidRDefault="002D1E45" w:rsidP="00B505A0">
      <w:pPr>
        <w:spacing w:after="0" w:line="240" w:lineRule="auto"/>
        <w:ind w:firstLine="709"/>
        <w:jc w:val="both"/>
        <w:rPr>
          <w:rFonts w:ascii="Times New Roman" w:hAnsi="Times New Roman"/>
          <w:sz w:val="28"/>
          <w:szCs w:val="28"/>
        </w:rPr>
      </w:pPr>
      <w:r w:rsidRPr="00B505A0">
        <w:rPr>
          <w:rFonts w:ascii="Times New Roman" w:hAnsi="Times New Roman"/>
          <w:sz w:val="28"/>
          <w:szCs w:val="28"/>
        </w:rPr>
        <w:t>Наиболее значимым природным</w:t>
      </w:r>
      <w:r>
        <w:rPr>
          <w:rFonts w:ascii="Times New Roman" w:hAnsi="Times New Roman"/>
          <w:sz w:val="28"/>
          <w:szCs w:val="28"/>
        </w:rPr>
        <w:t>и</w:t>
      </w:r>
      <w:r w:rsidRPr="00B505A0">
        <w:rPr>
          <w:rFonts w:ascii="Times New Roman" w:hAnsi="Times New Roman"/>
          <w:sz w:val="28"/>
          <w:szCs w:val="28"/>
        </w:rPr>
        <w:t xml:space="preserve"> объект</w:t>
      </w:r>
      <w:r>
        <w:rPr>
          <w:rFonts w:ascii="Times New Roman" w:hAnsi="Times New Roman"/>
          <w:sz w:val="28"/>
          <w:szCs w:val="28"/>
        </w:rPr>
        <w:t>а</w:t>
      </w:r>
      <w:r w:rsidRPr="00B505A0">
        <w:rPr>
          <w:rFonts w:ascii="Times New Roman" w:hAnsi="Times New Roman"/>
          <w:sz w:val="28"/>
          <w:szCs w:val="28"/>
        </w:rPr>
        <w:t>м</w:t>
      </w:r>
      <w:r>
        <w:rPr>
          <w:rFonts w:ascii="Times New Roman" w:hAnsi="Times New Roman"/>
          <w:sz w:val="28"/>
          <w:szCs w:val="28"/>
        </w:rPr>
        <w:t>и</w:t>
      </w:r>
      <w:r w:rsidRPr="00B505A0">
        <w:rPr>
          <w:rFonts w:ascii="Times New Roman" w:hAnsi="Times New Roman"/>
          <w:sz w:val="28"/>
          <w:szCs w:val="28"/>
        </w:rPr>
        <w:t xml:space="preserve"> явля</w:t>
      </w:r>
      <w:r>
        <w:rPr>
          <w:rFonts w:ascii="Times New Roman" w:hAnsi="Times New Roman"/>
          <w:sz w:val="28"/>
          <w:szCs w:val="28"/>
        </w:rPr>
        <w:t>ю</w:t>
      </w:r>
      <w:r w:rsidRPr="00B505A0">
        <w:rPr>
          <w:rFonts w:ascii="Times New Roman" w:hAnsi="Times New Roman"/>
          <w:sz w:val="28"/>
          <w:szCs w:val="28"/>
        </w:rPr>
        <w:t xml:space="preserve">тся </w:t>
      </w:r>
      <w:r>
        <w:rPr>
          <w:rFonts w:ascii="Times New Roman" w:hAnsi="Times New Roman"/>
          <w:sz w:val="28"/>
          <w:szCs w:val="28"/>
        </w:rPr>
        <w:t>река Омь, озеро Большие Кайлы</w:t>
      </w:r>
      <w:r w:rsidRPr="00B505A0">
        <w:rPr>
          <w:rFonts w:ascii="Times New Roman" w:hAnsi="Times New Roman"/>
          <w:sz w:val="28"/>
          <w:szCs w:val="28"/>
        </w:rPr>
        <w:t>.</w:t>
      </w:r>
    </w:p>
    <w:p w:rsidR="002D1E45" w:rsidRDefault="002D1E45" w:rsidP="003917CB">
      <w:pPr>
        <w:spacing w:after="0" w:line="240" w:lineRule="auto"/>
        <w:ind w:firstLine="709"/>
        <w:jc w:val="both"/>
        <w:rPr>
          <w:rFonts w:ascii="Times New Roman" w:hAnsi="Times New Roman"/>
          <w:sz w:val="28"/>
          <w:szCs w:val="24"/>
          <w:lang w:eastAsia="ru-RU"/>
        </w:rPr>
      </w:pPr>
      <w:r w:rsidRPr="003917CB">
        <w:rPr>
          <w:rFonts w:ascii="Times New Roman" w:hAnsi="Times New Roman"/>
          <w:sz w:val="28"/>
          <w:szCs w:val="28"/>
        </w:rPr>
        <w:t>Также</w:t>
      </w:r>
      <w:r>
        <w:rPr>
          <w:rFonts w:ascii="Times New Roman" w:hAnsi="Times New Roman"/>
          <w:sz w:val="28"/>
          <w:szCs w:val="28"/>
        </w:rPr>
        <w:t xml:space="preserve"> город </w:t>
      </w:r>
      <w:r w:rsidRPr="003917CB">
        <w:rPr>
          <w:rFonts w:ascii="Times New Roman" w:hAnsi="Times New Roman"/>
          <w:sz w:val="28"/>
          <w:szCs w:val="28"/>
        </w:rPr>
        <w:t>имеет богатую историю и уникальные объекты историко-культурного наследия, что создаёт предпосылки для организации познавательного туризма</w:t>
      </w:r>
      <w:r>
        <w:rPr>
          <w:rFonts w:ascii="Times New Roman" w:hAnsi="Times New Roman"/>
          <w:sz w:val="28"/>
          <w:szCs w:val="28"/>
        </w:rPr>
        <w:t xml:space="preserve"> - </w:t>
      </w:r>
      <w:r w:rsidRPr="008F359F">
        <w:rPr>
          <w:rFonts w:ascii="Times New Roman" w:hAnsi="Times New Roman"/>
          <w:sz w:val="28"/>
          <w:szCs w:val="28"/>
        </w:rPr>
        <w:t>самый молодой православный храм из пяти бывших до революции и единственный уцелевший за годы советской власти</w:t>
      </w:r>
      <w:r>
        <w:rPr>
          <w:rFonts w:ascii="Times New Roman" w:hAnsi="Times New Roman"/>
          <w:sz w:val="28"/>
          <w:szCs w:val="28"/>
        </w:rPr>
        <w:t xml:space="preserve">, </w:t>
      </w:r>
      <w:r>
        <w:rPr>
          <w:rFonts w:ascii="Times New Roman" w:hAnsi="Times New Roman"/>
          <w:sz w:val="28"/>
          <w:szCs w:val="24"/>
          <w:lang w:eastAsia="ru-RU"/>
        </w:rPr>
        <w:t>дом-музей, в котором отбывал ссылку В. Куйбышев, купеческие усадьбы и дома. Для организации лечебного туризма имеется санаторий-профилакторий «Омь».</w:t>
      </w:r>
    </w:p>
    <w:p w:rsidR="002D1E45" w:rsidRPr="003917CB" w:rsidRDefault="002D1E45" w:rsidP="003917CB">
      <w:pPr>
        <w:spacing w:after="0" w:line="240" w:lineRule="auto"/>
        <w:ind w:firstLine="709"/>
        <w:jc w:val="both"/>
        <w:rPr>
          <w:rFonts w:ascii="Times New Roman" w:hAnsi="Times New Roman"/>
          <w:sz w:val="28"/>
          <w:szCs w:val="28"/>
        </w:rPr>
      </w:pPr>
      <w:r w:rsidRPr="003917CB">
        <w:rPr>
          <w:rFonts w:ascii="Times New Roman" w:hAnsi="Times New Roman"/>
          <w:sz w:val="28"/>
          <w:szCs w:val="28"/>
        </w:rPr>
        <w:t xml:space="preserve">Кроме того, на территории </w:t>
      </w:r>
      <w:r>
        <w:rPr>
          <w:rFonts w:ascii="Times New Roman" w:hAnsi="Times New Roman"/>
          <w:sz w:val="28"/>
          <w:szCs w:val="28"/>
        </w:rPr>
        <w:t>города Куйбышева</w:t>
      </w:r>
      <w:r w:rsidRPr="003917CB">
        <w:rPr>
          <w:rFonts w:ascii="Times New Roman" w:hAnsi="Times New Roman"/>
          <w:sz w:val="28"/>
          <w:szCs w:val="28"/>
        </w:rPr>
        <w:t xml:space="preserve"> возможно совмещение познавательного туризма с другими видами туризма, такими как охотничье-рыболовный</w:t>
      </w:r>
      <w:r>
        <w:rPr>
          <w:rFonts w:ascii="Times New Roman" w:hAnsi="Times New Roman"/>
          <w:sz w:val="28"/>
          <w:szCs w:val="28"/>
        </w:rPr>
        <w:t>,</w:t>
      </w:r>
      <w:r w:rsidRPr="003917CB">
        <w:t xml:space="preserve"> </w:t>
      </w:r>
      <w:r w:rsidRPr="003917CB">
        <w:rPr>
          <w:rFonts w:ascii="Times New Roman" w:hAnsi="Times New Roman"/>
          <w:sz w:val="28"/>
          <w:szCs w:val="28"/>
        </w:rPr>
        <w:t>паломнический</w:t>
      </w:r>
      <w:r>
        <w:rPr>
          <w:rFonts w:ascii="Times New Roman" w:hAnsi="Times New Roman"/>
          <w:sz w:val="28"/>
          <w:szCs w:val="28"/>
        </w:rPr>
        <w:t xml:space="preserve">, </w:t>
      </w:r>
      <w:r w:rsidRPr="003917CB">
        <w:rPr>
          <w:rFonts w:ascii="Times New Roman" w:hAnsi="Times New Roman"/>
          <w:sz w:val="28"/>
          <w:szCs w:val="28"/>
        </w:rPr>
        <w:t>этнографический.</w:t>
      </w:r>
    </w:p>
    <w:p w:rsidR="002D1E45" w:rsidRPr="00B505A0" w:rsidRDefault="002D1E45" w:rsidP="00B505A0">
      <w:pPr>
        <w:spacing w:after="0" w:line="240" w:lineRule="auto"/>
        <w:ind w:firstLine="709"/>
        <w:jc w:val="both"/>
        <w:rPr>
          <w:rFonts w:ascii="Times New Roman" w:hAnsi="Times New Roman"/>
          <w:sz w:val="28"/>
          <w:szCs w:val="28"/>
        </w:rPr>
      </w:pPr>
      <w:bookmarkStart w:id="149" w:name="_Hlk487020521"/>
      <w:r>
        <w:rPr>
          <w:rFonts w:ascii="Times New Roman" w:hAnsi="Times New Roman"/>
          <w:sz w:val="28"/>
          <w:szCs w:val="28"/>
        </w:rPr>
        <w:t>Н</w:t>
      </w:r>
      <w:r w:rsidRPr="00B505A0">
        <w:rPr>
          <w:rFonts w:ascii="Times New Roman" w:hAnsi="Times New Roman"/>
          <w:sz w:val="28"/>
          <w:szCs w:val="28"/>
        </w:rPr>
        <w:t xml:space="preserve">а территории </w:t>
      </w:r>
      <w:r>
        <w:rPr>
          <w:rFonts w:ascii="Times New Roman" w:hAnsi="Times New Roman"/>
          <w:sz w:val="28"/>
          <w:szCs w:val="28"/>
        </w:rPr>
        <w:t>города</w:t>
      </w:r>
      <w:r w:rsidRPr="00B505A0">
        <w:rPr>
          <w:rFonts w:ascii="Times New Roman" w:hAnsi="Times New Roman"/>
          <w:sz w:val="28"/>
          <w:szCs w:val="28"/>
        </w:rPr>
        <w:t xml:space="preserve"> преобладают насаждения естественного происхождения. Кроме насаждений общего пользования имеются насаждения ограниченного пользования на</w:t>
      </w:r>
      <w:r>
        <w:rPr>
          <w:rFonts w:ascii="Times New Roman" w:hAnsi="Times New Roman"/>
          <w:sz w:val="28"/>
          <w:szCs w:val="28"/>
        </w:rPr>
        <w:t> </w:t>
      </w:r>
      <w:r w:rsidRPr="00B505A0">
        <w:rPr>
          <w:rFonts w:ascii="Times New Roman" w:hAnsi="Times New Roman"/>
          <w:sz w:val="28"/>
          <w:szCs w:val="28"/>
        </w:rPr>
        <w:t>участках детских и</w:t>
      </w:r>
      <w:r>
        <w:rPr>
          <w:rFonts w:ascii="Times New Roman" w:hAnsi="Times New Roman"/>
          <w:sz w:val="28"/>
          <w:szCs w:val="28"/>
        </w:rPr>
        <w:t> </w:t>
      </w:r>
      <w:r w:rsidRPr="00B505A0">
        <w:rPr>
          <w:rFonts w:ascii="Times New Roman" w:hAnsi="Times New Roman"/>
          <w:sz w:val="28"/>
          <w:szCs w:val="28"/>
        </w:rPr>
        <w:t>учебных заведений, культурно-бытовых, административных учреждений и</w:t>
      </w:r>
      <w:r>
        <w:rPr>
          <w:rFonts w:ascii="Times New Roman" w:hAnsi="Times New Roman"/>
          <w:sz w:val="28"/>
          <w:szCs w:val="28"/>
        </w:rPr>
        <w:t> </w:t>
      </w:r>
      <w:r w:rsidRPr="00B505A0">
        <w:rPr>
          <w:rFonts w:ascii="Times New Roman" w:hAnsi="Times New Roman"/>
          <w:sz w:val="28"/>
          <w:szCs w:val="28"/>
        </w:rPr>
        <w:t>предприятий, во</w:t>
      </w:r>
      <w:r>
        <w:rPr>
          <w:rFonts w:ascii="Times New Roman" w:hAnsi="Times New Roman"/>
          <w:sz w:val="28"/>
          <w:szCs w:val="28"/>
        </w:rPr>
        <w:t> </w:t>
      </w:r>
      <w:r w:rsidRPr="00B505A0">
        <w:rPr>
          <w:rFonts w:ascii="Times New Roman" w:hAnsi="Times New Roman"/>
          <w:sz w:val="28"/>
          <w:szCs w:val="28"/>
        </w:rPr>
        <w:t>дворах жилой застройки, насаждения специального назначения на</w:t>
      </w:r>
      <w:r>
        <w:rPr>
          <w:rFonts w:ascii="Times New Roman" w:hAnsi="Times New Roman"/>
          <w:sz w:val="28"/>
          <w:szCs w:val="28"/>
        </w:rPr>
        <w:t> </w:t>
      </w:r>
      <w:r w:rsidRPr="00B505A0">
        <w:rPr>
          <w:rFonts w:ascii="Times New Roman" w:hAnsi="Times New Roman"/>
          <w:sz w:val="28"/>
          <w:szCs w:val="28"/>
        </w:rPr>
        <w:t>улицах и</w:t>
      </w:r>
      <w:r>
        <w:rPr>
          <w:rFonts w:ascii="Times New Roman" w:hAnsi="Times New Roman"/>
          <w:sz w:val="28"/>
          <w:szCs w:val="28"/>
        </w:rPr>
        <w:t> </w:t>
      </w:r>
      <w:r w:rsidRPr="00B505A0">
        <w:rPr>
          <w:rFonts w:ascii="Times New Roman" w:hAnsi="Times New Roman"/>
          <w:sz w:val="28"/>
          <w:szCs w:val="28"/>
        </w:rPr>
        <w:t>дорогах.</w:t>
      </w:r>
    </w:p>
    <w:p w:rsidR="002D1E45" w:rsidRDefault="002D1E45" w:rsidP="00B505A0">
      <w:pPr>
        <w:spacing w:after="0" w:line="240" w:lineRule="auto"/>
        <w:ind w:firstLine="709"/>
        <w:jc w:val="both"/>
        <w:rPr>
          <w:rFonts w:ascii="Times New Roman" w:hAnsi="Times New Roman"/>
          <w:sz w:val="28"/>
          <w:szCs w:val="28"/>
        </w:rPr>
      </w:pPr>
      <w:r w:rsidRPr="00B505A0">
        <w:rPr>
          <w:rFonts w:ascii="Times New Roman" w:hAnsi="Times New Roman"/>
          <w:sz w:val="28"/>
          <w:szCs w:val="28"/>
        </w:rPr>
        <w:t>Посадки на</w:t>
      </w:r>
      <w:r>
        <w:rPr>
          <w:rFonts w:ascii="Times New Roman" w:hAnsi="Times New Roman"/>
          <w:sz w:val="28"/>
          <w:szCs w:val="28"/>
        </w:rPr>
        <w:t> </w:t>
      </w:r>
      <w:r w:rsidRPr="00B505A0">
        <w:rPr>
          <w:rFonts w:ascii="Times New Roman" w:hAnsi="Times New Roman"/>
          <w:sz w:val="28"/>
          <w:szCs w:val="28"/>
        </w:rPr>
        <w:t>дорогах и</w:t>
      </w:r>
      <w:r>
        <w:rPr>
          <w:rFonts w:ascii="Times New Roman" w:hAnsi="Times New Roman"/>
          <w:sz w:val="28"/>
          <w:szCs w:val="28"/>
        </w:rPr>
        <w:t> </w:t>
      </w:r>
      <w:r w:rsidRPr="00B505A0">
        <w:rPr>
          <w:rFonts w:ascii="Times New Roman" w:hAnsi="Times New Roman"/>
          <w:sz w:val="28"/>
          <w:szCs w:val="28"/>
        </w:rPr>
        <w:t>улицах, особенно в</w:t>
      </w:r>
      <w:r>
        <w:rPr>
          <w:rFonts w:ascii="Times New Roman" w:hAnsi="Times New Roman"/>
          <w:sz w:val="28"/>
          <w:szCs w:val="28"/>
        </w:rPr>
        <w:t> </w:t>
      </w:r>
      <w:r w:rsidRPr="00B505A0">
        <w:rPr>
          <w:rFonts w:ascii="Times New Roman" w:hAnsi="Times New Roman"/>
          <w:sz w:val="28"/>
          <w:szCs w:val="28"/>
        </w:rPr>
        <w:t>индивидуальной застройке, как правило, выполнены бессистемно, из</w:t>
      </w:r>
      <w:r>
        <w:rPr>
          <w:rFonts w:ascii="Times New Roman" w:hAnsi="Times New Roman"/>
          <w:sz w:val="28"/>
          <w:szCs w:val="28"/>
        </w:rPr>
        <w:t> </w:t>
      </w:r>
      <w:r w:rsidRPr="00B505A0">
        <w:rPr>
          <w:rFonts w:ascii="Times New Roman" w:hAnsi="Times New Roman"/>
          <w:sz w:val="28"/>
          <w:szCs w:val="28"/>
        </w:rPr>
        <w:t>разновозрастных и</w:t>
      </w:r>
      <w:r>
        <w:rPr>
          <w:rFonts w:ascii="Times New Roman" w:hAnsi="Times New Roman"/>
          <w:sz w:val="28"/>
          <w:szCs w:val="28"/>
        </w:rPr>
        <w:t> </w:t>
      </w:r>
      <w:r w:rsidRPr="00B505A0">
        <w:rPr>
          <w:rFonts w:ascii="Times New Roman" w:hAnsi="Times New Roman"/>
          <w:sz w:val="28"/>
          <w:szCs w:val="28"/>
        </w:rPr>
        <w:t>разнопородных деревьев и</w:t>
      </w:r>
      <w:r>
        <w:rPr>
          <w:rFonts w:ascii="Times New Roman" w:hAnsi="Times New Roman"/>
          <w:sz w:val="28"/>
          <w:szCs w:val="28"/>
        </w:rPr>
        <w:t> </w:t>
      </w:r>
      <w:r w:rsidRPr="00B505A0">
        <w:rPr>
          <w:rFonts w:ascii="Times New Roman" w:hAnsi="Times New Roman"/>
          <w:sz w:val="28"/>
          <w:szCs w:val="28"/>
        </w:rPr>
        <w:t>кустарников, без учёта нормативных требований по</w:t>
      </w:r>
      <w:r>
        <w:rPr>
          <w:rFonts w:ascii="Times New Roman" w:hAnsi="Times New Roman"/>
          <w:sz w:val="28"/>
          <w:szCs w:val="28"/>
        </w:rPr>
        <w:t> </w:t>
      </w:r>
      <w:r w:rsidRPr="00B505A0">
        <w:rPr>
          <w:rFonts w:ascii="Times New Roman" w:hAnsi="Times New Roman"/>
          <w:sz w:val="28"/>
          <w:szCs w:val="28"/>
        </w:rPr>
        <w:t>их</w:t>
      </w:r>
      <w:r>
        <w:rPr>
          <w:rFonts w:ascii="Times New Roman" w:hAnsi="Times New Roman"/>
          <w:sz w:val="28"/>
          <w:szCs w:val="28"/>
        </w:rPr>
        <w:t> </w:t>
      </w:r>
      <w:r w:rsidRPr="00B505A0">
        <w:rPr>
          <w:rFonts w:ascii="Times New Roman" w:hAnsi="Times New Roman"/>
          <w:sz w:val="28"/>
          <w:szCs w:val="28"/>
        </w:rPr>
        <w:t>размещению.</w:t>
      </w:r>
    </w:p>
    <w:p w:rsidR="002D1E45" w:rsidRPr="00D22C30" w:rsidRDefault="002D1E45" w:rsidP="00D22C30">
      <w:pPr>
        <w:spacing w:after="0" w:line="240" w:lineRule="auto"/>
        <w:ind w:firstLine="709"/>
        <w:jc w:val="both"/>
        <w:rPr>
          <w:rFonts w:ascii="Times New Roman" w:hAnsi="Times New Roman"/>
          <w:sz w:val="28"/>
          <w:szCs w:val="28"/>
        </w:rPr>
      </w:pPr>
      <w:r w:rsidRPr="000B1E31">
        <w:rPr>
          <w:rFonts w:ascii="Times New Roman" w:hAnsi="Times New Roman"/>
          <w:sz w:val="28"/>
          <w:szCs w:val="28"/>
        </w:rPr>
        <w:t xml:space="preserve">В настоящее время озеленение </w:t>
      </w:r>
      <w:r>
        <w:rPr>
          <w:rFonts w:ascii="Times New Roman" w:hAnsi="Times New Roman"/>
          <w:sz w:val="28"/>
          <w:szCs w:val="28"/>
        </w:rPr>
        <w:t>г. Куйбышева</w:t>
      </w:r>
      <w:r w:rsidRPr="000B1E31">
        <w:rPr>
          <w:rFonts w:ascii="Times New Roman" w:hAnsi="Times New Roman"/>
          <w:sz w:val="28"/>
          <w:szCs w:val="28"/>
        </w:rPr>
        <w:t xml:space="preserve"> не представляет собой единой системы.</w:t>
      </w:r>
      <w:r>
        <w:rPr>
          <w:rFonts w:ascii="Times New Roman" w:hAnsi="Times New Roman"/>
          <w:sz w:val="28"/>
          <w:szCs w:val="28"/>
        </w:rPr>
        <w:t xml:space="preserve"> </w:t>
      </w:r>
      <w:r w:rsidRPr="000B1E31">
        <w:rPr>
          <w:rFonts w:ascii="Times New Roman" w:hAnsi="Times New Roman"/>
          <w:sz w:val="28"/>
          <w:szCs w:val="28"/>
        </w:rPr>
        <w:t>На селитебной территории встречаются небольшие участки естественных зелёных насаждений.</w:t>
      </w:r>
      <w:r>
        <w:rPr>
          <w:rFonts w:ascii="Times New Roman" w:hAnsi="Times New Roman"/>
          <w:sz w:val="28"/>
          <w:szCs w:val="28"/>
        </w:rPr>
        <w:t xml:space="preserve"> </w:t>
      </w:r>
    </w:p>
    <w:p w:rsidR="002D1E45" w:rsidRPr="00D22C30" w:rsidRDefault="002D1E45" w:rsidP="00D22C30">
      <w:pPr>
        <w:spacing w:after="0" w:line="240" w:lineRule="auto"/>
        <w:ind w:firstLine="709"/>
        <w:jc w:val="both"/>
        <w:rPr>
          <w:rFonts w:ascii="Times New Roman" w:hAnsi="Times New Roman"/>
          <w:sz w:val="28"/>
          <w:szCs w:val="28"/>
        </w:rPr>
      </w:pPr>
      <w:r w:rsidRPr="00D22C30">
        <w:rPr>
          <w:rFonts w:ascii="Times New Roman" w:hAnsi="Times New Roman"/>
          <w:sz w:val="28"/>
          <w:szCs w:val="28"/>
        </w:rPr>
        <w:t>Защитное озеленение в санитарно-защитных зонах некоторых предприятий представляет собой участки естественного леса, специального озеленения санзон нет.</w:t>
      </w:r>
    </w:p>
    <w:p w:rsidR="002D1E45" w:rsidRPr="00D22C30" w:rsidRDefault="002D1E45" w:rsidP="00D22C30">
      <w:pPr>
        <w:spacing w:after="0" w:line="240" w:lineRule="auto"/>
        <w:ind w:firstLine="709"/>
        <w:jc w:val="both"/>
        <w:rPr>
          <w:rFonts w:ascii="Times New Roman" w:hAnsi="Times New Roman"/>
          <w:sz w:val="28"/>
          <w:szCs w:val="28"/>
        </w:rPr>
      </w:pPr>
      <w:r w:rsidRPr="00D22C30">
        <w:rPr>
          <w:rFonts w:ascii="Times New Roman" w:hAnsi="Times New Roman"/>
          <w:sz w:val="28"/>
          <w:szCs w:val="28"/>
        </w:rPr>
        <w:t xml:space="preserve">Долина р. </w:t>
      </w:r>
      <w:r>
        <w:rPr>
          <w:rFonts w:ascii="Times New Roman" w:hAnsi="Times New Roman"/>
          <w:sz w:val="28"/>
          <w:szCs w:val="28"/>
        </w:rPr>
        <w:t>Омь</w:t>
      </w:r>
      <w:r w:rsidRPr="00D22C30">
        <w:rPr>
          <w:rFonts w:ascii="Times New Roman" w:hAnsi="Times New Roman"/>
          <w:sz w:val="28"/>
          <w:szCs w:val="28"/>
        </w:rPr>
        <w:t xml:space="preserve"> на незастроенных участках в границах </w:t>
      </w:r>
      <w:r>
        <w:rPr>
          <w:rFonts w:ascii="Times New Roman" w:hAnsi="Times New Roman"/>
          <w:sz w:val="28"/>
          <w:szCs w:val="28"/>
        </w:rPr>
        <w:t>города</w:t>
      </w:r>
      <w:r w:rsidRPr="00D22C30">
        <w:rPr>
          <w:rFonts w:ascii="Times New Roman" w:hAnsi="Times New Roman"/>
          <w:sz w:val="28"/>
          <w:szCs w:val="28"/>
        </w:rPr>
        <w:t xml:space="preserve"> представляет </w:t>
      </w:r>
      <w:r>
        <w:rPr>
          <w:rFonts w:ascii="Times New Roman" w:hAnsi="Times New Roman"/>
          <w:sz w:val="28"/>
          <w:szCs w:val="28"/>
        </w:rPr>
        <w:t>незалесённые берега</w:t>
      </w:r>
      <w:r w:rsidRPr="00D22C30">
        <w:rPr>
          <w:rFonts w:ascii="Times New Roman" w:hAnsi="Times New Roman"/>
          <w:sz w:val="28"/>
          <w:szCs w:val="28"/>
        </w:rPr>
        <w:t xml:space="preserve"> с </w:t>
      </w:r>
      <w:r>
        <w:rPr>
          <w:rFonts w:ascii="Times New Roman" w:hAnsi="Times New Roman"/>
          <w:sz w:val="28"/>
          <w:szCs w:val="28"/>
        </w:rPr>
        <w:t xml:space="preserve">частично </w:t>
      </w:r>
      <w:r w:rsidRPr="00D22C30">
        <w:rPr>
          <w:rFonts w:ascii="Times New Roman" w:hAnsi="Times New Roman"/>
          <w:sz w:val="28"/>
          <w:szCs w:val="28"/>
        </w:rPr>
        <w:t>заболоченными участками.</w:t>
      </w:r>
    </w:p>
    <w:p w:rsidR="002D1E45" w:rsidRPr="0087007F" w:rsidRDefault="002D1E45" w:rsidP="00852938">
      <w:pPr>
        <w:pStyle w:val="Heading2"/>
        <w:numPr>
          <w:ilvl w:val="1"/>
          <w:numId w:val="65"/>
        </w:numPr>
        <w:spacing w:before="240"/>
        <w:ind w:left="993" w:hanging="633"/>
        <w:jc w:val="both"/>
        <w:rPr>
          <w:b/>
        </w:rPr>
      </w:pPr>
      <w:bookmarkStart w:id="150" w:name="_Toc84936030"/>
      <w:bookmarkEnd w:id="149"/>
      <w:r w:rsidRPr="0087007F">
        <w:rPr>
          <w:b/>
        </w:rPr>
        <w:t>Зона специального назначения</w:t>
      </w:r>
      <w:bookmarkEnd w:id="150"/>
    </w:p>
    <w:p w:rsidR="002D1E45" w:rsidRDefault="002D1E45" w:rsidP="00632421">
      <w:pPr>
        <w:spacing w:after="0" w:line="240" w:lineRule="auto"/>
        <w:rPr>
          <w:rFonts w:ascii="Arial" w:hAnsi="Arial" w:cs="Arial"/>
          <w:sz w:val="16"/>
          <w:szCs w:val="16"/>
          <w:lang w:eastAsia="ru-RU"/>
        </w:rPr>
      </w:pPr>
    </w:p>
    <w:p w:rsidR="002D1E45" w:rsidRDefault="002D1E45" w:rsidP="00093306">
      <w:pPr>
        <w:suppressAutoHyphens/>
        <w:spacing w:after="0" w:line="240" w:lineRule="auto"/>
        <w:ind w:firstLine="709"/>
        <w:jc w:val="both"/>
        <w:rPr>
          <w:rFonts w:ascii="Times New Roman" w:hAnsi="Times New Roman"/>
          <w:sz w:val="28"/>
          <w:szCs w:val="16"/>
          <w:lang w:eastAsia="ar-SA"/>
        </w:rPr>
      </w:pPr>
      <w:r w:rsidRPr="00093306">
        <w:rPr>
          <w:rFonts w:ascii="Times New Roman" w:hAnsi="Times New Roman"/>
          <w:sz w:val="28"/>
          <w:szCs w:val="16"/>
          <w:lang w:eastAsia="ar-SA"/>
        </w:rPr>
        <w:t xml:space="preserve">Зона специального назначения выделяется для размещения кладбищ, </w:t>
      </w:r>
      <w:r>
        <w:rPr>
          <w:rFonts w:ascii="Times New Roman" w:hAnsi="Times New Roman"/>
          <w:sz w:val="28"/>
          <w:szCs w:val="16"/>
          <w:lang w:eastAsia="ar-SA"/>
        </w:rPr>
        <w:t>мест временного хранения и накопления коммунальных</w:t>
      </w:r>
      <w:r w:rsidRPr="00093306">
        <w:rPr>
          <w:rFonts w:ascii="Times New Roman" w:hAnsi="Times New Roman"/>
          <w:sz w:val="28"/>
          <w:szCs w:val="16"/>
          <w:lang w:eastAsia="ar-SA"/>
        </w:rPr>
        <w:t xml:space="preserve"> и</w:t>
      </w:r>
      <w:r>
        <w:rPr>
          <w:rFonts w:ascii="Times New Roman" w:hAnsi="Times New Roman"/>
          <w:sz w:val="28"/>
          <w:szCs w:val="16"/>
          <w:lang w:eastAsia="ar-SA"/>
        </w:rPr>
        <w:t> </w:t>
      </w:r>
      <w:r w:rsidRPr="00093306">
        <w:rPr>
          <w:rFonts w:ascii="Times New Roman" w:hAnsi="Times New Roman"/>
          <w:sz w:val="28"/>
          <w:szCs w:val="16"/>
          <w:lang w:eastAsia="ar-SA"/>
        </w:rPr>
        <w:t>промышленных отходов, скотомогильников, использование которых несовместимо с</w:t>
      </w:r>
      <w:r>
        <w:rPr>
          <w:rFonts w:ascii="Times New Roman" w:hAnsi="Times New Roman"/>
          <w:sz w:val="28"/>
          <w:szCs w:val="16"/>
          <w:lang w:eastAsia="ar-SA"/>
        </w:rPr>
        <w:t> </w:t>
      </w:r>
      <w:r w:rsidRPr="00093306">
        <w:rPr>
          <w:rFonts w:ascii="Times New Roman" w:hAnsi="Times New Roman"/>
          <w:sz w:val="28"/>
          <w:szCs w:val="16"/>
          <w:lang w:eastAsia="ar-SA"/>
        </w:rPr>
        <w:t>использованием других видов территориальных зон населённого пункта.</w:t>
      </w:r>
    </w:p>
    <w:p w:rsidR="002D1E45" w:rsidRDefault="002D1E45" w:rsidP="001830E6">
      <w:pPr>
        <w:spacing w:after="0" w:line="240" w:lineRule="auto"/>
        <w:ind w:firstLine="709"/>
        <w:jc w:val="both"/>
        <w:rPr>
          <w:rFonts w:ascii="Times New Roman" w:hAnsi="Times New Roman"/>
          <w:sz w:val="28"/>
          <w:szCs w:val="28"/>
        </w:rPr>
      </w:pPr>
      <w:r w:rsidRPr="00802EE9">
        <w:rPr>
          <w:rFonts w:ascii="Times New Roman" w:hAnsi="Times New Roman"/>
          <w:sz w:val="28"/>
          <w:szCs w:val="28"/>
        </w:rPr>
        <w:t xml:space="preserve">На территории </w:t>
      </w:r>
      <w:r>
        <w:rPr>
          <w:rFonts w:ascii="Times New Roman" w:hAnsi="Times New Roman"/>
          <w:sz w:val="28"/>
          <w:szCs w:val="28"/>
        </w:rPr>
        <w:t>города Куйбышева</w:t>
      </w:r>
      <w:r w:rsidRPr="00802EE9">
        <w:rPr>
          <w:rFonts w:ascii="Times New Roman" w:hAnsi="Times New Roman"/>
          <w:sz w:val="28"/>
          <w:szCs w:val="28"/>
        </w:rPr>
        <w:t xml:space="preserve"> из</w:t>
      </w:r>
      <w:r>
        <w:rPr>
          <w:rFonts w:ascii="Times New Roman" w:hAnsi="Times New Roman"/>
          <w:sz w:val="28"/>
          <w:szCs w:val="28"/>
        </w:rPr>
        <w:t> </w:t>
      </w:r>
      <w:r w:rsidRPr="00802EE9">
        <w:rPr>
          <w:rFonts w:ascii="Times New Roman" w:hAnsi="Times New Roman"/>
          <w:sz w:val="28"/>
          <w:szCs w:val="28"/>
        </w:rPr>
        <w:t>перечисленных выше объектов име</w:t>
      </w:r>
      <w:r>
        <w:rPr>
          <w:rFonts w:ascii="Times New Roman" w:hAnsi="Times New Roman"/>
          <w:sz w:val="28"/>
          <w:szCs w:val="28"/>
        </w:rPr>
        <w:t>е</w:t>
      </w:r>
      <w:r w:rsidRPr="00802EE9">
        <w:rPr>
          <w:rFonts w:ascii="Times New Roman" w:hAnsi="Times New Roman"/>
          <w:sz w:val="28"/>
          <w:szCs w:val="28"/>
        </w:rPr>
        <w:t>тся кладбищ</w:t>
      </w:r>
      <w:r>
        <w:rPr>
          <w:rFonts w:ascii="Times New Roman" w:hAnsi="Times New Roman"/>
          <w:sz w:val="28"/>
          <w:szCs w:val="28"/>
        </w:rPr>
        <w:t>е,</w:t>
      </w:r>
      <w:r w:rsidRPr="00802EE9">
        <w:rPr>
          <w:rFonts w:ascii="Times New Roman" w:hAnsi="Times New Roman"/>
          <w:sz w:val="28"/>
          <w:szCs w:val="28"/>
        </w:rPr>
        <w:t xml:space="preserve"> </w:t>
      </w:r>
      <w:r>
        <w:rPr>
          <w:rFonts w:ascii="Times New Roman" w:hAnsi="Times New Roman"/>
          <w:sz w:val="28"/>
          <w:szCs w:val="28"/>
        </w:rPr>
        <w:t xml:space="preserve">место размещения ТКО (объект включён в ГРОРО, № </w:t>
      </w:r>
      <w:r w:rsidRPr="00D74EF6">
        <w:rPr>
          <w:rFonts w:ascii="Times New Roman" w:hAnsi="Times New Roman"/>
          <w:sz w:val="28"/>
          <w:szCs w:val="28"/>
        </w:rPr>
        <w:t>54-00027-</w:t>
      </w:r>
      <w:r>
        <w:rPr>
          <w:rFonts w:ascii="Times New Roman" w:hAnsi="Times New Roman"/>
          <w:sz w:val="28"/>
          <w:szCs w:val="28"/>
        </w:rPr>
        <w:t>З</w:t>
      </w:r>
      <w:r w:rsidRPr="00D74EF6">
        <w:rPr>
          <w:rFonts w:ascii="Times New Roman" w:hAnsi="Times New Roman"/>
          <w:sz w:val="28"/>
          <w:szCs w:val="28"/>
        </w:rPr>
        <w:t>-00550-17112017</w:t>
      </w:r>
      <w:r>
        <w:rPr>
          <w:rFonts w:ascii="Times New Roman" w:hAnsi="Times New Roman"/>
          <w:sz w:val="28"/>
          <w:szCs w:val="28"/>
        </w:rPr>
        <w:t>)</w:t>
      </w:r>
      <w:r w:rsidRPr="00802EE9">
        <w:rPr>
          <w:rFonts w:ascii="Times New Roman" w:hAnsi="Times New Roman"/>
          <w:sz w:val="28"/>
          <w:szCs w:val="28"/>
        </w:rPr>
        <w:t>.</w:t>
      </w:r>
      <w:r>
        <w:rPr>
          <w:rFonts w:ascii="Times New Roman" w:hAnsi="Times New Roman"/>
          <w:sz w:val="28"/>
          <w:szCs w:val="28"/>
        </w:rPr>
        <w:t xml:space="preserve"> </w:t>
      </w:r>
      <w:r w:rsidRPr="007247BE">
        <w:rPr>
          <w:rFonts w:ascii="Times New Roman" w:hAnsi="Times New Roman"/>
          <w:sz w:val="28"/>
          <w:szCs w:val="28"/>
        </w:rPr>
        <w:t xml:space="preserve">В соответствии с реестром скотомогильников управления ветеринарии Новосибирской области </w:t>
      </w:r>
      <w:r>
        <w:rPr>
          <w:rFonts w:ascii="Times New Roman" w:hAnsi="Times New Roman"/>
          <w:sz w:val="28"/>
          <w:szCs w:val="28"/>
        </w:rPr>
        <w:t xml:space="preserve">на территории г. Куйбышева </w:t>
      </w:r>
      <w:r w:rsidRPr="007247BE">
        <w:rPr>
          <w:rFonts w:ascii="Times New Roman" w:hAnsi="Times New Roman"/>
          <w:sz w:val="28"/>
          <w:szCs w:val="28"/>
        </w:rPr>
        <w:t>Новосибирской области объект по утилизации и уничтожению биологических отходов располага</w:t>
      </w:r>
      <w:r>
        <w:rPr>
          <w:rFonts w:ascii="Times New Roman" w:hAnsi="Times New Roman"/>
          <w:sz w:val="28"/>
          <w:szCs w:val="28"/>
        </w:rPr>
        <w:t>е</w:t>
      </w:r>
      <w:r w:rsidRPr="007247BE">
        <w:rPr>
          <w:rFonts w:ascii="Times New Roman" w:hAnsi="Times New Roman"/>
          <w:sz w:val="28"/>
          <w:szCs w:val="28"/>
        </w:rPr>
        <w:t>тся по следующим графическим координатам:</w:t>
      </w:r>
      <w:r>
        <w:rPr>
          <w:rFonts w:ascii="Times New Roman" w:hAnsi="Times New Roman"/>
          <w:sz w:val="28"/>
          <w:szCs w:val="28"/>
        </w:rPr>
        <w:t xml:space="preserve"> </w:t>
      </w:r>
      <w:r w:rsidRPr="001830E6">
        <w:rPr>
          <w:rFonts w:ascii="Times New Roman" w:hAnsi="Times New Roman"/>
          <w:sz w:val="28"/>
          <w:szCs w:val="28"/>
        </w:rPr>
        <w:t>55.500823, 78.412911</w:t>
      </w:r>
      <w:r w:rsidRPr="007247BE">
        <w:rPr>
          <w:rFonts w:ascii="Times New Roman" w:hAnsi="Times New Roman"/>
          <w:sz w:val="28"/>
          <w:szCs w:val="28"/>
        </w:rPr>
        <w:t>.</w:t>
      </w:r>
    </w:p>
    <w:p w:rsidR="002D1E45" w:rsidRPr="007247BE" w:rsidRDefault="002D1E45" w:rsidP="007247BE">
      <w:pPr>
        <w:spacing w:after="0" w:line="240" w:lineRule="auto"/>
        <w:ind w:firstLine="709"/>
        <w:jc w:val="both"/>
        <w:rPr>
          <w:rFonts w:ascii="Times New Roman" w:hAnsi="Times New Roman"/>
          <w:sz w:val="28"/>
          <w:szCs w:val="24"/>
          <w:lang w:eastAsia="ru-RU"/>
        </w:rPr>
      </w:pPr>
      <w:r w:rsidRPr="001830E6">
        <w:rPr>
          <w:rFonts w:ascii="Times New Roman" w:hAnsi="Times New Roman"/>
          <w:sz w:val="28"/>
          <w:szCs w:val="24"/>
          <w:lang w:eastAsia="ru-RU"/>
        </w:rPr>
        <w:t xml:space="preserve">Государственный мониторинг качества атмосферного воздуха на территории Новосибирской области проводит ФГБУ «Западно-Сибирское УГМС» (далее </w:t>
      </w:r>
      <w:r>
        <w:rPr>
          <w:rFonts w:ascii="Times New Roman" w:hAnsi="Times New Roman"/>
          <w:sz w:val="28"/>
          <w:szCs w:val="24"/>
          <w:lang w:eastAsia="ru-RU"/>
        </w:rPr>
        <w:t>–</w:t>
      </w:r>
      <w:r w:rsidRPr="001830E6">
        <w:rPr>
          <w:rFonts w:ascii="Times New Roman" w:hAnsi="Times New Roman"/>
          <w:sz w:val="28"/>
          <w:szCs w:val="24"/>
          <w:lang w:eastAsia="ru-RU"/>
        </w:rPr>
        <w:t xml:space="preserve"> УГМС). По данным УГМС стационарные пункты наблюдений за загрязнением атмосферного воздуха на территории муниципального образования отсутствуют.</w:t>
      </w:r>
    </w:p>
    <w:p w:rsidR="002D1E45" w:rsidRPr="001959E3" w:rsidRDefault="002D1E45" w:rsidP="007247BE">
      <w:pPr>
        <w:spacing w:after="0" w:line="240" w:lineRule="auto"/>
        <w:ind w:firstLine="709"/>
        <w:jc w:val="both"/>
        <w:rPr>
          <w:rFonts w:ascii="Times New Roman" w:hAnsi="Times New Roman"/>
          <w:sz w:val="28"/>
          <w:szCs w:val="24"/>
          <w:lang w:eastAsia="ru-RU"/>
        </w:rPr>
      </w:pPr>
      <w:r w:rsidRPr="001959E3">
        <w:rPr>
          <w:rFonts w:ascii="Times New Roman" w:hAnsi="Times New Roman"/>
          <w:sz w:val="28"/>
          <w:szCs w:val="24"/>
          <w:lang w:eastAsia="ru-RU"/>
        </w:rPr>
        <w:t>Источниками образования отходов на</w:t>
      </w:r>
      <w:r>
        <w:rPr>
          <w:rFonts w:ascii="Times New Roman" w:hAnsi="Times New Roman"/>
          <w:sz w:val="28"/>
          <w:szCs w:val="24"/>
          <w:lang w:eastAsia="ru-RU"/>
        </w:rPr>
        <w:t> </w:t>
      </w:r>
      <w:r w:rsidRPr="001959E3">
        <w:rPr>
          <w:rFonts w:ascii="Times New Roman" w:hAnsi="Times New Roman"/>
          <w:sz w:val="28"/>
          <w:szCs w:val="24"/>
          <w:lang w:eastAsia="ru-RU"/>
        </w:rPr>
        <w:t xml:space="preserve">территории </w:t>
      </w:r>
      <w:r>
        <w:rPr>
          <w:rFonts w:ascii="Times New Roman" w:hAnsi="Times New Roman"/>
          <w:sz w:val="28"/>
          <w:szCs w:val="24"/>
          <w:lang w:eastAsia="ru-RU"/>
        </w:rPr>
        <w:t>города</w:t>
      </w:r>
      <w:r w:rsidRPr="001959E3">
        <w:rPr>
          <w:rFonts w:ascii="Times New Roman" w:hAnsi="Times New Roman"/>
          <w:sz w:val="28"/>
          <w:szCs w:val="24"/>
          <w:lang w:eastAsia="ru-RU"/>
        </w:rPr>
        <w:t xml:space="preserve"> являются юридические лица, жилой сектор – многоквартирные и</w:t>
      </w:r>
      <w:r>
        <w:rPr>
          <w:rFonts w:ascii="Times New Roman" w:hAnsi="Times New Roman"/>
          <w:sz w:val="28"/>
          <w:szCs w:val="24"/>
          <w:lang w:eastAsia="ru-RU"/>
        </w:rPr>
        <w:t> </w:t>
      </w:r>
      <w:r w:rsidRPr="001959E3">
        <w:rPr>
          <w:rFonts w:ascii="Times New Roman" w:hAnsi="Times New Roman"/>
          <w:sz w:val="28"/>
          <w:szCs w:val="24"/>
          <w:lang w:eastAsia="ru-RU"/>
        </w:rPr>
        <w:t>индивидуальные жилые дома.</w:t>
      </w:r>
    </w:p>
    <w:p w:rsidR="002D1E45" w:rsidRPr="00304543" w:rsidRDefault="002D1E45" w:rsidP="00304543">
      <w:pPr>
        <w:spacing w:after="0" w:line="240" w:lineRule="auto"/>
        <w:ind w:firstLine="709"/>
        <w:contextualSpacing/>
        <w:jc w:val="both"/>
        <w:rPr>
          <w:rFonts w:ascii="Times New Roman" w:hAnsi="Times New Roman"/>
          <w:sz w:val="28"/>
          <w:szCs w:val="24"/>
          <w:lang w:eastAsia="ru-RU"/>
        </w:rPr>
      </w:pPr>
      <w:r w:rsidRPr="00304543">
        <w:rPr>
          <w:rFonts w:ascii="Times New Roman" w:hAnsi="Times New Roman"/>
          <w:sz w:val="28"/>
          <w:szCs w:val="24"/>
          <w:lang w:eastAsia="ru-RU"/>
        </w:rPr>
        <w:t>С целью обеспечения системы сбора и транспортировани</w:t>
      </w:r>
      <w:r>
        <w:rPr>
          <w:rFonts w:ascii="Times New Roman" w:hAnsi="Times New Roman"/>
          <w:sz w:val="28"/>
          <w:szCs w:val="24"/>
          <w:lang w:eastAsia="ru-RU"/>
        </w:rPr>
        <w:t xml:space="preserve">я </w:t>
      </w:r>
      <w:r w:rsidRPr="00304543">
        <w:rPr>
          <w:rFonts w:ascii="Times New Roman" w:hAnsi="Times New Roman"/>
          <w:sz w:val="28"/>
          <w:szCs w:val="24"/>
          <w:lang w:eastAsia="ru-RU"/>
        </w:rPr>
        <w:t xml:space="preserve">отходов на территории жилой застройки </w:t>
      </w:r>
      <w:r>
        <w:rPr>
          <w:rFonts w:ascii="Times New Roman" w:hAnsi="Times New Roman"/>
          <w:sz w:val="28"/>
          <w:szCs w:val="24"/>
          <w:lang w:eastAsia="ru-RU"/>
        </w:rPr>
        <w:t>г. Куйбышева</w:t>
      </w:r>
      <w:r w:rsidRPr="00304543">
        <w:rPr>
          <w:rFonts w:ascii="Times New Roman" w:hAnsi="Times New Roman"/>
          <w:sz w:val="28"/>
          <w:szCs w:val="24"/>
          <w:lang w:eastAsia="ru-RU"/>
        </w:rPr>
        <w:t xml:space="preserve"> оборудованы </w:t>
      </w:r>
      <w:r w:rsidRPr="0039501D">
        <w:rPr>
          <w:rFonts w:ascii="Times New Roman" w:hAnsi="Times New Roman"/>
          <w:sz w:val="28"/>
          <w:szCs w:val="24"/>
          <w:lang w:eastAsia="ru-RU"/>
        </w:rPr>
        <w:t>мест</w:t>
      </w:r>
      <w:r>
        <w:rPr>
          <w:rFonts w:ascii="Times New Roman" w:hAnsi="Times New Roman"/>
          <w:sz w:val="28"/>
          <w:szCs w:val="24"/>
          <w:lang w:eastAsia="ru-RU"/>
        </w:rPr>
        <w:t>а</w:t>
      </w:r>
      <w:r w:rsidRPr="0039501D">
        <w:rPr>
          <w:rFonts w:ascii="Times New Roman" w:hAnsi="Times New Roman"/>
          <w:sz w:val="28"/>
          <w:szCs w:val="24"/>
          <w:lang w:eastAsia="ru-RU"/>
        </w:rPr>
        <w:t xml:space="preserve"> (площад</w:t>
      </w:r>
      <w:r>
        <w:rPr>
          <w:rFonts w:ascii="Times New Roman" w:hAnsi="Times New Roman"/>
          <w:sz w:val="28"/>
          <w:szCs w:val="24"/>
          <w:lang w:eastAsia="ru-RU"/>
        </w:rPr>
        <w:t>ки</w:t>
      </w:r>
      <w:r w:rsidRPr="0039501D">
        <w:rPr>
          <w:rFonts w:ascii="Times New Roman" w:hAnsi="Times New Roman"/>
          <w:sz w:val="28"/>
          <w:szCs w:val="24"/>
          <w:lang w:eastAsia="ru-RU"/>
        </w:rPr>
        <w:t>) накопления твёрдых коммунальных отходов</w:t>
      </w:r>
      <w:r w:rsidRPr="00304543">
        <w:rPr>
          <w:rFonts w:ascii="Times New Roman" w:hAnsi="Times New Roman"/>
          <w:sz w:val="28"/>
          <w:szCs w:val="24"/>
          <w:lang w:eastAsia="ru-RU"/>
        </w:rPr>
        <w:t xml:space="preserve">, на которых установлены контейнеры. </w:t>
      </w:r>
    </w:p>
    <w:p w:rsidR="002D1E45" w:rsidRPr="00835797" w:rsidRDefault="002D1E45" w:rsidP="00835797">
      <w:pPr>
        <w:spacing w:after="0" w:line="240" w:lineRule="auto"/>
        <w:ind w:firstLine="709"/>
        <w:contextualSpacing/>
        <w:jc w:val="both"/>
        <w:rPr>
          <w:rFonts w:ascii="Times New Roman" w:hAnsi="Times New Roman"/>
          <w:sz w:val="28"/>
          <w:szCs w:val="24"/>
          <w:lang w:eastAsia="ru-RU"/>
        </w:rPr>
      </w:pPr>
      <w:r w:rsidRPr="00835797">
        <w:rPr>
          <w:rFonts w:ascii="Times New Roman" w:hAnsi="Times New Roman"/>
          <w:sz w:val="28"/>
          <w:szCs w:val="24"/>
          <w:lang w:eastAsia="ru-RU"/>
        </w:rPr>
        <w:t xml:space="preserve">Сбор отходов осуществляется в контейнеры и бесконтейнерным способом. Для сбора твёрдых коммунальных отходов в частном секторе используются контейнеры металлические объёмом 0,2 куб. м., в многоквартирных жилых домах объёмом 0,7 куб. м. </w:t>
      </w:r>
      <w:r w:rsidRPr="00DA3637">
        <w:rPr>
          <w:rFonts w:ascii="Times New Roman" w:hAnsi="Times New Roman"/>
          <w:sz w:val="28"/>
          <w:szCs w:val="24"/>
          <w:lang w:eastAsia="ru-RU"/>
        </w:rPr>
        <w:t xml:space="preserve">Предприятия, осуществляющие сбор и транспортирование твёрдых коммунальных отходов на территории г. Куйбышева: </w:t>
      </w:r>
      <w:r w:rsidRPr="006F5710">
        <w:rPr>
          <w:rFonts w:ascii="Times New Roman" w:hAnsi="Times New Roman"/>
          <w:sz w:val="28"/>
          <w:szCs w:val="24"/>
          <w:lang w:eastAsia="ru-RU"/>
        </w:rPr>
        <w:t xml:space="preserve">ООО </w:t>
      </w:r>
      <w:r>
        <w:rPr>
          <w:rFonts w:ascii="Times New Roman" w:hAnsi="Times New Roman"/>
          <w:sz w:val="28"/>
          <w:szCs w:val="24"/>
          <w:lang w:eastAsia="ru-RU"/>
        </w:rPr>
        <w:t>«</w:t>
      </w:r>
      <w:r w:rsidRPr="006F5710">
        <w:rPr>
          <w:rFonts w:ascii="Times New Roman" w:hAnsi="Times New Roman"/>
          <w:sz w:val="28"/>
          <w:szCs w:val="24"/>
          <w:lang w:eastAsia="ru-RU"/>
        </w:rPr>
        <w:t>Айсберг</w:t>
      </w:r>
      <w:r>
        <w:rPr>
          <w:rFonts w:ascii="Times New Roman" w:hAnsi="Times New Roman"/>
          <w:sz w:val="28"/>
          <w:szCs w:val="24"/>
          <w:lang w:eastAsia="ru-RU"/>
        </w:rPr>
        <w:t>» (транспортирование)</w:t>
      </w:r>
      <w:r w:rsidRPr="00DA3637">
        <w:rPr>
          <w:rFonts w:ascii="Times New Roman" w:hAnsi="Times New Roman"/>
          <w:sz w:val="28"/>
          <w:szCs w:val="24"/>
          <w:lang w:eastAsia="ru-RU"/>
        </w:rPr>
        <w:t>.</w:t>
      </w:r>
    </w:p>
    <w:p w:rsidR="002D1E45" w:rsidRPr="008E58ED" w:rsidRDefault="002D1E45" w:rsidP="00A6539A">
      <w:pPr>
        <w:spacing w:after="0" w:line="240" w:lineRule="auto"/>
        <w:ind w:firstLine="709"/>
        <w:contextualSpacing/>
        <w:jc w:val="both"/>
        <w:rPr>
          <w:rFonts w:ascii="Times New Roman" w:hAnsi="Times New Roman"/>
          <w:sz w:val="28"/>
          <w:szCs w:val="24"/>
          <w:lang w:eastAsia="ru-RU"/>
        </w:rPr>
      </w:pPr>
      <w:r w:rsidRPr="008E58ED">
        <w:rPr>
          <w:rFonts w:ascii="Times New Roman" w:hAnsi="Times New Roman"/>
          <w:sz w:val="28"/>
          <w:szCs w:val="24"/>
          <w:lang w:eastAsia="ru-RU"/>
        </w:rPr>
        <w:t>В целях организации и</w:t>
      </w:r>
      <w:r>
        <w:rPr>
          <w:rFonts w:ascii="Times New Roman" w:hAnsi="Times New Roman"/>
          <w:sz w:val="28"/>
          <w:szCs w:val="24"/>
          <w:lang w:eastAsia="ru-RU"/>
        </w:rPr>
        <w:t> </w:t>
      </w:r>
      <w:r w:rsidRPr="008E58ED">
        <w:rPr>
          <w:rFonts w:ascii="Times New Roman" w:hAnsi="Times New Roman"/>
          <w:sz w:val="28"/>
          <w:szCs w:val="24"/>
          <w:lang w:eastAsia="ru-RU"/>
        </w:rPr>
        <w:t>осуществления деятельности по</w:t>
      </w:r>
      <w:r>
        <w:rPr>
          <w:rFonts w:ascii="Times New Roman" w:hAnsi="Times New Roman"/>
          <w:sz w:val="28"/>
          <w:szCs w:val="24"/>
          <w:lang w:eastAsia="ru-RU"/>
        </w:rPr>
        <w:t> </w:t>
      </w:r>
      <w:r w:rsidRPr="008E58ED">
        <w:rPr>
          <w:rFonts w:ascii="Times New Roman" w:hAnsi="Times New Roman"/>
          <w:sz w:val="28"/>
          <w:szCs w:val="24"/>
          <w:lang w:eastAsia="ru-RU"/>
        </w:rPr>
        <w:t>сбору, транспортированию, обработке, утилизации, обезвреживанию, захоронению отходов постановлением Правительства Новосибирской области от 26.09.2016 №</w:t>
      </w:r>
      <w:r>
        <w:rPr>
          <w:rFonts w:ascii="Times New Roman" w:hAnsi="Times New Roman"/>
          <w:sz w:val="28"/>
          <w:szCs w:val="24"/>
          <w:lang w:eastAsia="ru-RU"/>
        </w:rPr>
        <w:t xml:space="preserve"> </w:t>
      </w:r>
      <w:r w:rsidRPr="008E58ED">
        <w:rPr>
          <w:rFonts w:ascii="Times New Roman" w:hAnsi="Times New Roman"/>
          <w:sz w:val="28"/>
          <w:szCs w:val="24"/>
          <w:lang w:eastAsia="ru-RU"/>
        </w:rPr>
        <w:t>292-п утверждена территориальная схема обращения с</w:t>
      </w:r>
      <w:r>
        <w:rPr>
          <w:rFonts w:ascii="Times New Roman" w:hAnsi="Times New Roman"/>
          <w:sz w:val="28"/>
          <w:szCs w:val="24"/>
          <w:lang w:eastAsia="ru-RU"/>
        </w:rPr>
        <w:t> </w:t>
      </w:r>
      <w:r w:rsidRPr="008E58ED">
        <w:rPr>
          <w:rFonts w:ascii="Times New Roman" w:hAnsi="Times New Roman"/>
          <w:sz w:val="28"/>
          <w:szCs w:val="24"/>
          <w:lang w:eastAsia="ru-RU"/>
        </w:rPr>
        <w:t>отходами, в</w:t>
      </w:r>
      <w:r>
        <w:rPr>
          <w:rFonts w:ascii="Times New Roman" w:hAnsi="Times New Roman"/>
          <w:sz w:val="28"/>
          <w:szCs w:val="24"/>
          <w:lang w:eastAsia="ru-RU"/>
        </w:rPr>
        <w:t> </w:t>
      </w:r>
      <w:r w:rsidRPr="008E58ED">
        <w:rPr>
          <w:rFonts w:ascii="Times New Roman" w:hAnsi="Times New Roman"/>
          <w:sz w:val="28"/>
          <w:szCs w:val="24"/>
          <w:lang w:eastAsia="ru-RU"/>
        </w:rPr>
        <w:t>том числе с</w:t>
      </w:r>
      <w:r>
        <w:rPr>
          <w:rFonts w:ascii="Times New Roman" w:hAnsi="Times New Roman"/>
          <w:sz w:val="28"/>
          <w:szCs w:val="24"/>
          <w:lang w:eastAsia="ru-RU"/>
        </w:rPr>
        <w:t> </w:t>
      </w:r>
      <w:r w:rsidRPr="008E58ED">
        <w:rPr>
          <w:rFonts w:ascii="Times New Roman" w:hAnsi="Times New Roman"/>
          <w:sz w:val="28"/>
          <w:szCs w:val="24"/>
          <w:lang w:eastAsia="ru-RU"/>
        </w:rPr>
        <w:t>твёрдыми коммунальными отходами, Новосибирской области (далее – территориальная схема).</w:t>
      </w:r>
    </w:p>
    <w:p w:rsidR="002D1E45" w:rsidRDefault="002D1E45" w:rsidP="00DA3637">
      <w:pPr>
        <w:spacing w:after="0" w:line="240" w:lineRule="auto"/>
        <w:ind w:firstLine="709"/>
        <w:contextualSpacing/>
        <w:jc w:val="both"/>
        <w:rPr>
          <w:rFonts w:ascii="Times New Roman" w:hAnsi="Times New Roman"/>
          <w:sz w:val="28"/>
          <w:szCs w:val="24"/>
          <w:lang w:eastAsia="ru-RU"/>
        </w:rPr>
      </w:pPr>
      <w:r w:rsidRPr="00835797">
        <w:rPr>
          <w:rFonts w:ascii="Times New Roman" w:hAnsi="Times New Roman"/>
          <w:sz w:val="28"/>
          <w:szCs w:val="24"/>
          <w:lang w:eastAsia="ru-RU"/>
        </w:rPr>
        <w:t xml:space="preserve">Твёрдые коммунальные отходы, образующиеся на территории </w:t>
      </w:r>
      <w:r>
        <w:rPr>
          <w:rFonts w:ascii="Times New Roman" w:hAnsi="Times New Roman"/>
          <w:sz w:val="28"/>
          <w:szCs w:val="24"/>
          <w:lang w:eastAsia="ru-RU"/>
        </w:rPr>
        <w:t>города</w:t>
      </w:r>
      <w:r w:rsidRPr="00835797">
        <w:rPr>
          <w:rFonts w:ascii="Times New Roman" w:hAnsi="Times New Roman"/>
          <w:sz w:val="28"/>
          <w:szCs w:val="24"/>
          <w:lang w:eastAsia="ru-RU"/>
        </w:rPr>
        <w:t>, размещаются на объекте размещения отходов</w:t>
      </w:r>
      <w:r>
        <w:rPr>
          <w:rFonts w:ascii="Times New Roman" w:hAnsi="Times New Roman"/>
          <w:sz w:val="28"/>
          <w:szCs w:val="24"/>
          <w:lang w:eastAsia="ru-RU"/>
        </w:rPr>
        <w:t>.</w:t>
      </w:r>
      <w:r w:rsidRPr="00835797">
        <w:rPr>
          <w:rFonts w:ascii="Times New Roman" w:hAnsi="Times New Roman"/>
          <w:sz w:val="28"/>
          <w:szCs w:val="24"/>
          <w:lang w:eastAsia="ru-RU"/>
        </w:rPr>
        <w:t xml:space="preserve"> </w:t>
      </w:r>
      <w:r>
        <w:rPr>
          <w:rFonts w:ascii="Times New Roman" w:hAnsi="Times New Roman"/>
          <w:sz w:val="28"/>
          <w:szCs w:val="24"/>
          <w:lang w:eastAsia="ru-RU"/>
        </w:rPr>
        <w:t xml:space="preserve">Годовая мощность объекта составляет 60 тыс. тонн в год. </w:t>
      </w:r>
      <w:r w:rsidRPr="00DA3637">
        <w:rPr>
          <w:rFonts w:ascii="Times New Roman" w:hAnsi="Times New Roman"/>
          <w:sz w:val="28"/>
          <w:szCs w:val="24"/>
          <w:lang w:eastAsia="ru-RU"/>
        </w:rPr>
        <w:t xml:space="preserve">Организацией, эксплуатирующей объект размещения отходов, является </w:t>
      </w:r>
      <w:r>
        <w:rPr>
          <w:rFonts w:ascii="Times New Roman" w:hAnsi="Times New Roman"/>
          <w:sz w:val="28"/>
          <w:szCs w:val="24"/>
          <w:lang w:eastAsia="ru-RU"/>
        </w:rPr>
        <w:t>ООО «Айсберг</w:t>
      </w:r>
      <w:r w:rsidRPr="00DA3637">
        <w:rPr>
          <w:rFonts w:ascii="Times New Roman" w:hAnsi="Times New Roman"/>
          <w:sz w:val="28"/>
          <w:szCs w:val="24"/>
          <w:lang w:eastAsia="ru-RU"/>
        </w:rPr>
        <w:t>».</w:t>
      </w:r>
      <w:r>
        <w:rPr>
          <w:rFonts w:ascii="Times New Roman" w:hAnsi="Times New Roman"/>
          <w:sz w:val="28"/>
          <w:szCs w:val="24"/>
          <w:lang w:eastAsia="ru-RU"/>
        </w:rPr>
        <w:t xml:space="preserve"> </w:t>
      </w:r>
      <w:r w:rsidRPr="00DA3637">
        <w:rPr>
          <w:rFonts w:ascii="Times New Roman" w:hAnsi="Times New Roman"/>
          <w:sz w:val="28"/>
          <w:szCs w:val="24"/>
          <w:lang w:eastAsia="ru-RU"/>
        </w:rPr>
        <w:t xml:space="preserve">Объект не включён в ГРОРО. </w:t>
      </w:r>
      <w:r>
        <w:rPr>
          <w:rFonts w:ascii="Times New Roman" w:hAnsi="Times New Roman"/>
          <w:sz w:val="28"/>
          <w:szCs w:val="24"/>
          <w:lang w:eastAsia="ru-RU"/>
        </w:rPr>
        <w:t xml:space="preserve">Координаты размещения в соответствии с </w:t>
      </w:r>
      <w:r w:rsidRPr="00A6539A">
        <w:rPr>
          <w:rFonts w:ascii="Times New Roman" w:hAnsi="Times New Roman"/>
          <w:sz w:val="28"/>
          <w:szCs w:val="24"/>
          <w:lang w:eastAsia="ru-RU"/>
        </w:rPr>
        <w:t>территориальн</w:t>
      </w:r>
      <w:r>
        <w:rPr>
          <w:rFonts w:ascii="Times New Roman" w:hAnsi="Times New Roman"/>
          <w:sz w:val="28"/>
          <w:szCs w:val="24"/>
          <w:lang w:eastAsia="ru-RU"/>
        </w:rPr>
        <w:t>ой</w:t>
      </w:r>
      <w:r w:rsidRPr="00A6539A">
        <w:rPr>
          <w:rFonts w:ascii="Times New Roman" w:hAnsi="Times New Roman"/>
          <w:sz w:val="28"/>
          <w:szCs w:val="24"/>
          <w:lang w:eastAsia="ru-RU"/>
        </w:rPr>
        <w:t xml:space="preserve"> схем</w:t>
      </w:r>
      <w:r>
        <w:rPr>
          <w:rFonts w:ascii="Times New Roman" w:hAnsi="Times New Roman"/>
          <w:sz w:val="28"/>
          <w:szCs w:val="24"/>
          <w:lang w:eastAsia="ru-RU"/>
        </w:rPr>
        <w:t xml:space="preserve">ой: </w:t>
      </w:r>
      <w:r w:rsidRPr="00DA3637">
        <w:rPr>
          <w:rFonts w:ascii="Times New Roman" w:hAnsi="Times New Roman"/>
          <w:sz w:val="28"/>
          <w:szCs w:val="24"/>
          <w:lang w:eastAsia="ru-RU"/>
        </w:rPr>
        <w:t>55.506729790902</w:t>
      </w:r>
      <w:r>
        <w:rPr>
          <w:rFonts w:ascii="Times New Roman" w:hAnsi="Times New Roman"/>
          <w:sz w:val="28"/>
          <w:szCs w:val="24"/>
          <w:lang w:eastAsia="ru-RU"/>
        </w:rPr>
        <w:t>,</w:t>
      </w:r>
      <w:r w:rsidRPr="00DA3637">
        <w:rPr>
          <w:rFonts w:ascii="Times New Roman" w:hAnsi="Times New Roman"/>
          <w:sz w:val="28"/>
          <w:szCs w:val="24"/>
          <w:lang w:eastAsia="ru-RU"/>
        </w:rPr>
        <w:t xml:space="preserve"> 78.403756588818</w:t>
      </w:r>
      <w:r>
        <w:rPr>
          <w:rFonts w:ascii="Times New Roman" w:hAnsi="Times New Roman"/>
          <w:sz w:val="28"/>
          <w:szCs w:val="24"/>
          <w:lang w:eastAsia="ru-RU"/>
        </w:rPr>
        <w:t>.</w:t>
      </w:r>
    </w:p>
    <w:p w:rsidR="002D1E45" w:rsidRDefault="002D1E45" w:rsidP="00DA3637">
      <w:pPr>
        <w:spacing w:before="240" w:after="0" w:line="240" w:lineRule="auto"/>
        <w:jc w:val="center"/>
        <w:rPr>
          <w:rFonts w:ascii="Times New Roman" w:hAnsi="Times New Roman"/>
          <w:sz w:val="28"/>
          <w:szCs w:val="24"/>
          <w:lang w:eastAsia="ru-RU"/>
        </w:rPr>
      </w:pPr>
      <w:r w:rsidRPr="00C02575">
        <w:rPr>
          <w:rFonts w:ascii="Times New Roman" w:hAnsi="Times New Roman"/>
          <w:noProof/>
          <w:sz w:val="28"/>
          <w:szCs w:val="24"/>
          <w:lang w:eastAsia="ru-RU"/>
        </w:rPr>
        <w:pict>
          <v:shape id="Рисунок 3" o:spid="_x0000_i1032" type="#_x0000_t75" style="width:337.5pt;height:410.25pt;visibility:visible">
            <v:imagedata r:id="rId18" o:title="" croptop="2246f"/>
          </v:shape>
        </w:pict>
      </w:r>
    </w:p>
    <w:p w:rsidR="002D1E45" w:rsidRDefault="002D1E45" w:rsidP="00DA3637">
      <w:pPr>
        <w:spacing w:before="120" w:after="120" w:line="240" w:lineRule="auto"/>
        <w:jc w:val="center"/>
        <w:rPr>
          <w:rFonts w:ascii="Times New Roman" w:hAnsi="Times New Roman"/>
          <w:sz w:val="28"/>
          <w:szCs w:val="24"/>
          <w:lang w:eastAsia="ru-RU"/>
        </w:rPr>
      </w:pPr>
      <w:r w:rsidRPr="00E0093C">
        <w:rPr>
          <w:rFonts w:ascii="Times New Roman" w:hAnsi="Times New Roman"/>
          <w:sz w:val="28"/>
          <w:szCs w:val="24"/>
          <w:lang w:eastAsia="ru-RU"/>
        </w:rPr>
        <w:t xml:space="preserve">Рисунок </w:t>
      </w:r>
      <w:r w:rsidRPr="00E0093C">
        <w:rPr>
          <w:rFonts w:ascii="Times New Roman" w:hAnsi="Times New Roman"/>
          <w:sz w:val="28"/>
          <w:szCs w:val="24"/>
          <w:lang w:eastAsia="ru-RU"/>
        </w:rPr>
        <w:fldChar w:fldCharType="begin"/>
      </w:r>
      <w:r w:rsidRPr="00E0093C">
        <w:rPr>
          <w:rFonts w:ascii="Times New Roman" w:hAnsi="Times New Roman"/>
          <w:sz w:val="28"/>
          <w:szCs w:val="24"/>
          <w:lang w:eastAsia="ru-RU"/>
        </w:rPr>
        <w:instrText xml:space="preserve"> SEQ Рисунок \* ARABIC </w:instrText>
      </w:r>
      <w:r w:rsidRPr="00E0093C">
        <w:rPr>
          <w:rFonts w:ascii="Times New Roman" w:hAnsi="Times New Roman"/>
          <w:sz w:val="28"/>
          <w:szCs w:val="24"/>
          <w:lang w:eastAsia="ru-RU"/>
        </w:rPr>
        <w:fldChar w:fldCharType="separate"/>
      </w:r>
      <w:r>
        <w:rPr>
          <w:rFonts w:ascii="Times New Roman" w:hAnsi="Times New Roman"/>
          <w:noProof/>
          <w:sz w:val="28"/>
          <w:szCs w:val="24"/>
          <w:lang w:eastAsia="ru-RU"/>
        </w:rPr>
        <w:t>8</w:t>
      </w:r>
      <w:r w:rsidRPr="00E0093C">
        <w:rPr>
          <w:rFonts w:ascii="Times New Roman" w:hAnsi="Times New Roman"/>
          <w:sz w:val="28"/>
          <w:szCs w:val="24"/>
          <w:lang w:eastAsia="ru-RU"/>
        </w:rPr>
        <w:fldChar w:fldCharType="end"/>
      </w:r>
      <w:r w:rsidRPr="00E0093C">
        <w:rPr>
          <w:rFonts w:ascii="Times New Roman" w:hAnsi="Times New Roman"/>
          <w:sz w:val="28"/>
          <w:szCs w:val="24"/>
          <w:lang w:eastAsia="ru-RU"/>
        </w:rPr>
        <w:t xml:space="preserve">. </w:t>
      </w:r>
      <w:r>
        <w:rPr>
          <w:rFonts w:ascii="Times New Roman" w:hAnsi="Times New Roman"/>
          <w:sz w:val="28"/>
          <w:szCs w:val="24"/>
          <w:lang w:eastAsia="ru-RU"/>
        </w:rPr>
        <w:t>Ф</w:t>
      </w:r>
      <w:r w:rsidRPr="00502BB3">
        <w:rPr>
          <w:rFonts w:ascii="Times New Roman" w:hAnsi="Times New Roman"/>
          <w:sz w:val="28"/>
          <w:szCs w:val="24"/>
          <w:lang w:eastAsia="ru-RU"/>
        </w:rPr>
        <w:t>актически сложившаяся схема потоков отходов</w:t>
      </w:r>
      <w:r>
        <w:rPr>
          <w:rFonts w:ascii="Times New Roman" w:hAnsi="Times New Roman"/>
          <w:sz w:val="28"/>
          <w:szCs w:val="24"/>
          <w:lang w:eastAsia="ru-RU"/>
        </w:rPr>
        <w:t xml:space="preserve"> в районе города Куйбышева</w:t>
      </w:r>
      <w:r w:rsidRPr="00E0093C">
        <w:rPr>
          <w:rFonts w:ascii="Times New Roman" w:hAnsi="Times New Roman"/>
          <w:sz w:val="28"/>
          <w:szCs w:val="24"/>
          <w:lang w:eastAsia="ru-RU"/>
        </w:rPr>
        <w:t>.</w:t>
      </w:r>
    </w:p>
    <w:p w:rsidR="002D1E45" w:rsidRPr="00A6539A" w:rsidRDefault="002D1E45" w:rsidP="00DA3637">
      <w:pPr>
        <w:spacing w:after="0" w:line="240" w:lineRule="auto"/>
        <w:ind w:firstLine="709"/>
        <w:contextualSpacing/>
        <w:jc w:val="both"/>
        <w:rPr>
          <w:rFonts w:ascii="Times New Roman" w:hAnsi="Times New Roman"/>
          <w:sz w:val="28"/>
          <w:szCs w:val="24"/>
          <w:lang w:eastAsia="ru-RU"/>
        </w:rPr>
      </w:pPr>
      <w:r w:rsidRPr="00DA3637">
        <w:rPr>
          <w:rFonts w:ascii="Times New Roman" w:hAnsi="Times New Roman"/>
          <w:sz w:val="28"/>
          <w:szCs w:val="24"/>
          <w:lang w:eastAsia="ru-RU"/>
        </w:rPr>
        <w:t>В г. Куйбышеве расположен золоотвал Барабинской ТЭЦ. Эксплуатирующая организация – ОАО «Сибирская энергетическая компания». Объект включён в ГРОРО.</w:t>
      </w:r>
      <w:r>
        <w:rPr>
          <w:rFonts w:ascii="Times New Roman" w:hAnsi="Times New Roman"/>
          <w:sz w:val="28"/>
          <w:szCs w:val="24"/>
          <w:lang w:eastAsia="ru-RU"/>
        </w:rPr>
        <w:t xml:space="preserve"> </w:t>
      </w:r>
    </w:p>
    <w:p w:rsidR="002D1E45" w:rsidRPr="00304543" w:rsidRDefault="002D1E45" w:rsidP="00304543">
      <w:pPr>
        <w:spacing w:after="0" w:line="240" w:lineRule="auto"/>
        <w:ind w:firstLine="709"/>
        <w:contextualSpacing/>
        <w:jc w:val="both"/>
        <w:rPr>
          <w:rFonts w:ascii="Times New Roman" w:hAnsi="Times New Roman"/>
          <w:sz w:val="28"/>
          <w:szCs w:val="24"/>
          <w:lang w:eastAsia="ru-RU"/>
        </w:rPr>
      </w:pPr>
      <w:r w:rsidRPr="00304543">
        <w:rPr>
          <w:rFonts w:ascii="Times New Roman" w:hAnsi="Times New Roman"/>
          <w:sz w:val="28"/>
          <w:szCs w:val="24"/>
          <w:lang w:eastAsia="ru-RU"/>
        </w:rPr>
        <w:t xml:space="preserve">Организация вывоза и утилизации отходов осуществляется в соответствии с заключёнными договорами и графиками </w:t>
      </w:r>
      <w:r>
        <w:rPr>
          <w:rFonts w:ascii="Times New Roman" w:hAnsi="Times New Roman"/>
          <w:sz w:val="28"/>
          <w:szCs w:val="24"/>
          <w:lang w:eastAsia="ru-RU"/>
        </w:rPr>
        <w:t>транспортирования</w:t>
      </w:r>
      <w:r w:rsidRPr="00304543">
        <w:rPr>
          <w:rFonts w:ascii="Times New Roman" w:hAnsi="Times New Roman"/>
          <w:sz w:val="28"/>
          <w:szCs w:val="24"/>
          <w:lang w:eastAsia="ru-RU"/>
        </w:rPr>
        <w:t xml:space="preserve"> Т</w:t>
      </w:r>
      <w:r>
        <w:rPr>
          <w:rFonts w:ascii="Times New Roman" w:hAnsi="Times New Roman"/>
          <w:sz w:val="28"/>
          <w:szCs w:val="24"/>
          <w:lang w:eastAsia="ru-RU"/>
        </w:rPr>
        <w:t>К</w:t>
      </w:r>
      <w:r w:rsidRPr="00304543">
        <w:rPr>
          <w:rFonts w:ascii="Times New Roman" w:hAnsi="Times New Roman"/>
          <w:sz w:val="28"/>
          <w:szCs w:val="24"/>
          <w:lang w:eastAsia="ru-RU"/>
        </w:rPr>
        <w:t xml:space="preserve">О. Так же в соответствии с заключёнными договорами реализуется система взаиморасчётов за оказанные услуги по </w:t>
      </w:r>
      <w:r>
        <w:rPr>
          <w:rFonts w:ascii="Times New Roman" w:hAnsi="Times New Roman"/>
          <w:sz w:val="28"/>
          <w:szCs w:val="24"/>
          <w:lang w:eastAsia="ru-RU"/>
        </w:rPr>
        <w:t>обращению с</w:t>
      </w:r>
      <w:r w:rsidRPr="00304543">
        <w:rPr>
          <w:rFonts w:ascii="Times New Roman" w:hAnsi="Times New Roman"/>
          <w:sz w:val="28"/>
          <w:szCs w:val="24"/>
          <w:lang w:eastAsia="ru-RU"/>
        </w:rPr>
        <w:t xml:space="preserve"> Т</w:t>
      </w:r>
      <w:r>
        <w:rPr>
          <w:rFonts w:ascii="Times New Roman" w:hAnsi="Times New Roman"/>
          <w:sz w:val="28"/>
          <w:szCs w:val="24"/>
          <w:lang w:eastAsia="ru-RU"/>
        </w:rPr>
        <w:t>К</w:t>
      </w:r>
      <w:r w:rsidRPr="00304543">
        <w:rPr>
          <w:rFonts w:ascii="Times New Roman" w:hAnsi="Times New Roman"/>
          <w:sz w:val="28"/>
          <w:szCs w:val="24"/>
          <w:lang w:eastAsia="ru-RU"/>
        </w:rPr>
        <w:t>О.</w:t>
      </w:r>
    </w:p>
    <w:p w:rsidR="002D1E45" w:rsidRPr="008E58ED" w:rsidRDefault="002D1E45" w:rsidP="008E58ED">
      <w:pPr>
        <w:spacing w:after="0" w:line="240" w:lineRule="auto"/>
        <w:ind w:firstLine="709"/>
        <w:contextualSpacing/>
        <w:jc w:val="both"/>
        <w:rPr>
          <w:rFonts w:ascii="Times New Roman" w:hAnsi="Times New Roman"/>
          <w:sz w:val="28"/>
          <w:szCs w:val="24"/>
          <w:lang w:eastAsia="ru-RU"/>
        </w:rPr>
      </w:pPr>
      <w:r w:rsidRPr="008E58ED">
        <w:rPr>
          <w:rFonts w:ascii="Times New Roman" w:hAnsi="Times New Roman"/>
          <w:sz w:val="28"/>
          <w:szCs w:val="24"/>
          <w:lang w:eastAsia="ru-RU"/>
        </w:rPr>
        <w:t>На территории Новосибирской области по</w:t>
      </w:r>
      <w:r>
        <w:rPr>
          <w:rFonts w:ascii="Times New Roman" w:hAnsi="Times New Roman"/>
          <w:sz w:val="28"/>
          <w:szCs w:val="24"/>
          <w:lang w:eastAsia="ru-RU"/>
        </w:rPr>
        <w:t> </w:t>
      </w:r>
      <w:r w:rsidRPr="008E58ED">
        <w:rPr>
          <w:rFonts w:ascii="Times New Roman" w:hAnsi="Times New Roman"/>
          <w:sz w:val="28"/>
          <w:szCs w:val="24"/>
          <w:lang w:eastAsia="ru-RU"/>
        </w:rPr>
        <w:t>результатам проведённого конкурса статус регионального оператора по</w:t>
      </w:r>
      <w:r>
        <w:rPr>
          <w:rFonts w:ascii="Times New Roman" w:hAnsi="Times New Roman"/>
          <w:sz w:val="28"/>
          <w:szCs w:val="24"/>
          <w:lang w:eastAsia="ru-RU"/>
        </w:rPr>
        <w:t> </w:t>
      </w:r>
      <w:r w:rsidRPr="008E58ED">
        <w:rPr>
          <w:rFonts w:ascii="Times New Roman" w:hAnsi="Times New Roman"/>
          <w:sz w:val="28"/>
          <w:szCs w:val="24"/>
          <w:lang w:eastAsia="ru-RU"/>
        </w:rPr>
        <w:t>обращению с</w:t>
      </w:r>
      <w:r>
        <w:rPr>
          <w:rFonts w:ascii="Times New Roman" w:hAnsi="Times New Roman"/>
          <w:sz w:val="28"/>
          <w:szCs w:val="24"/>
          <w:lang w:eastAsia="ru-RU"/>
        </w:rPr>
        <w:t> </w:t>
      </w:r>
      <w:r w:rsidRPr="008E58ED">
        <w:rPr>
          <w:rFonts w:ascii="Times New Roman" w:hAnsi="Times New Roman"/>
          <w:sz w:val="28"/>
          <w:szCs w:val="24"/>
          <w:lang w:eastAsia="ru-RU"/>
        </w:rPr>
        <w:t>ТКО присвоен обществу с</w:t>
      </w:r>
      <w:r>
        <w:rPr>
          <w:rFonts w:ascii="Times New Roman" w:hAnsi="Times New Roman"/>
          <w:sz w:val="28"/>
          <w:szCs w:val="24"/>
          <w:lang w:eastAsia="ru-RU"/>
        </w:rPr>
        <w:t> </w:t>
      </w:r>
      <w:r w:rsidRPr="008E58ED">
        <w:rPr>
          <w:rFonts w:ascii="Times New Roman" w:hAnsi="Times New Roman"/>
          <w:sz w:val="28"/>
          <w:szCs w:val="24"/>
          <w:lang w:eastAsia="ru-RU"/>
        </w:rPr>
        <w:t>ограниченной ответственность «Экология – Новосибирск» (далее – региональный оператор).</w:t>
      </w:r>
      <w:r>
        <w:rPr>
          <w:rFonts w:ascii="Times New Roman" w:hAnsi="Times New Roman"/>
          <w:sz w:val="28"/>
          <w:szCs w:val="24"/>
          <w:lang w:eastAsia="ru-RU"/>
        </w:rPr>
        <w:t xml:space="preserve"> </w:t>
      </w:r>
      <w:r w:rsidRPr="008E58ED">
        <w:rPr>
          <w:rFonts w:ascii="Times New Roman" w:hAnsi="Times New Roman"/>
          <w:sz w:val="28"/>
          <w:szCs w:val="24"/>
          <w:lang w:eastAsia="ru-RU"/>
        </w:rPr>
        <w:t>В соответствии с</w:t>
      </w:r>
      <w:r>
        <w:rPr>
          <w:rFonts w:ascii="Times New Roman" w:hAnsi="Times New Roman"/>
          <w:sz w:val="28"/>
          <w:szCs w:val="24"/>
          <w:lang w:eastAsia="ru-RU"/>
        </w:rPr>
        <w:t> </w:t>
      </w:r>
      <w:r w:rsidRPr="008E58ED">
        <w:rPr>
          <w:rFonts w:ascii="Times New Roman" w:hAnsi="Times New Roman"/>
          <w:sz w:val="28"/>
          <w:szCs w:val="24"/>
          <w:lang w:eastAsia="ru-RU"/>
        </w:rPr>
        <w:t>постановлением Правительства Российской Федерации от 12.11.2016 № 1156 «Об обращении с</w:t>
      </w:r>
      <w:r>
        <w:rPr>
          <w:rFonts w:ascii="Times New Roman" w:hAnsi="Times New Roman"/>
          <w:sz w:val="28"/>
          <w:szCs w:val="24"/>
          <w:lang w:eastAsia="ru-RU"/>
        </w:rPr>
        <w:t> </w:t>
      </w:r>
      <w:r w:rsidRPr="008E58ED">
        <w:rPr>
          <w:rFonts w:ascii="Times New Roman" w:hAnsi="Times New Roman"/>
          <w:sz w:val="28"/>
          <w:szCs w:val="24"/>
          <w:lang w:eastAsia="ru-RU"/>
        </w:rPr>
        <w:t>твёрдыми коммунальными отходами и</w:t>
      </w:r>
      <w:r>
        <w:rPr>
          <w:rFonts w:ascii="Times New Roman" w:hAnsi="Times New Roman"/>
          <w:sz w:val="28"/>
          <w:szCs w:val="24"/>
          <w:lang w:eastAsia="ru-RU"/>
        </w:rPr>
        <w:t> </w:t>
      </w:r>
      <w:r w:rsidRPr="008E58ED">
        <w:rPr>
          <w:rFonts w:ascii="Times New Roman" w:hAnsi="Times New Roman"/>
          <w:sz w:val="28"/>
          <w:szCs w:val="24"/>
          <w:lang w:eastAsia="ru-RU"/>
        </w:rPr>
        <w:t>внесении изменения в</w:t>
      </w:r>
      <w:r>
        <w:rPr>
          <w:rFonts w:ascii="Times New Roman" w:hAnsi="Times New Roman"/>
          <w:sz w:val="28"/>
          <w:szCs w:val="24"/>
          <w:lang w:eastAsia="ru-RU"/>
        </w:rPr>
        <w:t> </w:t>
      </w:r>
      <w:r w:rsidRPr="008E58ED">
        <w:rPr>
          <w:rFonts w:ascii="Times New Roman" w:hAnsi="Times New Roman"/>
          <w:sz w:val="28"/>
          <w:szCs w:val="24"/>
          <w:lang w:eastAsia="ru-RU"/>
        </w:rPr>
        <w:t>постановление Правительства Российской Федерации от 25.08.2008 № 641», региональный оператор осуществляет сбор, транспортирование, обработку, утилизацию, обезвреживание, захоронение ТКО самостоятельно или с</w:t>
      </w:r>
      <w:r>
        <w:rPr>
          <w:rFonts w:ascii="Times New Roman" w:hAnsi="Times New Roman"/>
          <w:sz w:val="28"/>
          <w:szCs w:val="24"/>
          <w:lang w:eastAsia="ru-RU"/>
        </w:rPr>
        <w:t> </w:t>
      </w:r>
      <w:r w:rsidRPr="008E58ED">
        <w:rPr>
          <w:rFonts w:ascii="Times New Roman" w:hAnsi="Times New Roman"/>
          <w:sz w:val="28"/>
          <w:szCs w:val="24"/>
          <w:lang w:eastAsia="ru-RU"/>
        </w:rPr>
        <w:t>привлечением операторов по</w:t>
      </w:r>
      <w:r>
        <w:rPr>
          <w:rFonts w:ascii="Times New Roman" w:hAnsi="Times New Roman"/>
          <w:sz w:val="28"/>
          <w:szCs w:val="24"/>
          <w:lang w:eastAsia="ru-RU"/>
        </w:rPr>
        <w:t> </w:t>
      </w:r>
      <w:r w:rsidRPr="008E58ED">
        <w:rPr>
          <w:rFonts w:ascii="Times New Roman" w:hAnsi="Times New Roman"/>
          <w:sz w:val="28"/>
          <w:szCs w:val="24"/>
          <w:lang w:eastAsia="ru-RU"/>
        </w:rPr>
        <w:t>обращению с</w:t>
      </w:r>
      <w:r>
        <w:rPr>
          <w:rFonts w:ascii="Times New Roman" w:hAnsi="Times New Roman"/>
          <w:sz w:val="28"/>
          <w:szCs w:val="24"/>
          <w:lang w:eastAsia="ru-RU"/>
        </w:rPr>
        <w:t> </w:t>
      </w:r>
      <w:r w:rsidRPr="008E58ED">
        <w:rPr>
          <w:rFonts w:ascii="Times New Roman" w:hAnsi="Times New Roman"/>
          <w:sz w:val="28"/>
          <w:szCs w:val="24"/>
          <w:lang w:eastAsia="ru-RU"/>
        </w:rPr>
        <w:t>ТКО.</w:t>
      </w:r>
    </w:p>
    <w:p w:rsidR="002D1E45" w:rsidRPr="008E58ED" w:rsidRDefault="002D1E45" w:rsidP="008E58ED">
      <w:pPr>
        <w:spacing w:after="0" w:line="240" w:lineRule="auto"/>
        <w:ind w:firstLine="709"/>
        <w:contextualSpacing/>
        <w:jc w:val="both"/>
        <w:rPr>
          <w:rFonts w:ascii="Times New Roman" w:hAnsi="Times New Roman"/>
          <w:sz w:val="28"/>
          <w:szCs w:val="24"/>
          <w:lang w:eastAsia="ru-RU"/>
        </w:rPr>
      </w:pPr>
      <w:r w:rsidRPr="008E58ED">
        <w:rPr>
          <w:rFonts w:ascii="Times New Roman" w:hAnsi="Times New Roman"/>
          <w:sz w:val="28"/>
          <w:szCs w:val="24"/>
          <w:lang w:eastAsia="ru-RU"/>
        </w:rPr>
        <w:t>В соответствии с</w:t>
      </w:r>
      <w:r>
        <w:rPr>
          <w:rFonts w:ascii="Times New Roman" w:hAnsi="Times New Roman"/>
          <w:sz w:val="28"/>
          <w:szCs w:val="24"/>
          <w:lang w:eastAsia="ru-RU"/>
        </w:rPr>
        <w:t> </w:t>
      </w:r>
      <w:r w:rsidRPr="008E58ED">
        <w:rPr>
          <w:rFonts w:ascii="Times New Roman" w:hAnsi="Times New Roman"/>
          <w:sz w:val="28"/>
          <w:szCs w:val="24"/>
          <w:lang w:eastAsia="ru-RU"/>
        </w:rPr>
        <w:t>Федеральным законом от 24.06.1998 № 89-ФЗ «Об отходах производства и</w:t>
      </w:r>
      <w:r>
        <w:rPr>
          <w:rFonts w:ascii="Times New Roman" w:hAnsi="Times New Roman"/>
          <w:sz w:val="28"/>
          <w:szCs w:val="24"/>
          <w:lang w:eastAsia="ru-RU"/>
        </w:rPr>
        <w:t> </w:t>
      </w:r>
      <w:r w:rsidRPr="008E58ED">
        <w:rPr>
          <w:rFonts w:ascii="Times New Roman" w:hAnsi="Times New Roman"/>
          <w:sz w:val="28"/>
          <w:szCs w:val="24"/>
          <w:lang w:eastAsia="ru-RU"/>
        </w:rPr>
        <w:t>потребления» региональный оператор заключает договоры на</w:t>
      </w:r>
      <w:r>
        <w:rPr>
          <w:rFonts w:ascii="Times New Roman" w:hAnsi="Times New Roman"/>
          <w:sz w:val="28"/>
          <w:szCs w:val="24"/>
          <w:lang w:eastAsia="ru-RU"/>
        </w:rPr>
        <w:t> </w:t>
      </w:r>
      <w:r w:rsidRPr="008E58ED">
        <w:rPr>
          <w:rFonts w:ascii="Times New Roman" w:hAnsi="Times New Roman"/>
          <w:sz w:val="28"/>
          <w:szCs w:val="24"/>
          <w:lang w:eastAsia="ru-RU"/>
        </w:rPr>
        <w:t>оказание услуг по</w:t>
      </w:r>
      <w:r>
        <w:rPr>
          <w:rFonts w:ascii="Times New Roman" w:hAnsi="Times New Roman"/>
          <w:sz w:val="28"/>
          <w:szCs w:val="24"/>
          <w:lang w:eastAsia="ru-RU"/>
        </w:rPr>
        <w:t> </w:t>
      </w:r>
      <w:r w:rsidRPr="008E58ED">
        <w:rPr>
          <w:rFonts w:ascii="Times New Roman" w:hAnsi="Times New Roman"/>
          <w:sz w:val="28"/>
          <w:szCs w:val="24"/>
          <w:lang w:eastAsia="ru-RU"/>
        </w:rPr>
        <w:t>обращению с</w:t>
      </w:r>
      <w:r>
        <w:rPr>
          <w:rFonts w:ascii="Times New Roman" w:hAnsi="Times New Roman"/>
          <w:sz w:val="28"/>
          <w:szCs w:val="24"/>
          <w:lang w:eastAsia="ru-RU"/>
        </w:rPr>
        <w:t> </w:t>
      </w:r>
      <w:r w:rsidRPr="008E58ED">
        <w:rPr>
          <w:rFonts w:ascii="Times New Roman" w:hAnsi="Times New Roman"/>
          <w:sz w:val="28"/>
          <w:szCs w:val="24"/>
          <w:lang w:eastAsia="ru-RU"/>
        </w:rPr>
        <w:t>ТКО с</w:t>
      </w:r>
      <w:r>
        <w:rPr>
          <w:rFonts w:ascii="Times New Roman" w:hAnsi="Times New Roman"/>
          <w:sz w:val="28"/>
          <w:szCs w:val="24"/>
          <w:lang w:eastAsia="ru-RU"/>
        </w:rPr>
        <w:t> </w:t>
      </w:r>
      <w:r w:rsidRPr="008E58ED">
        <w:rPr>
          <w:rFonts w:ascii="Times New Roman" w:hAnsi="Times New Roman"/>
          <w:sz w:val="28"/>
          <w:szCs w:val="24"/>
          <w:lang w:eastAsia="ru-RU"/>
        </w:rPr>
        <w:t>собственниками ТКО, если иное не</w:t>
      </w:r>
      <w:r>
        <w:rPr>
          <w:rFonts w:ascii="Times New Roman" w:hAnsi="Times New Roman"/>
          <w:sz w:val="28"/>
          <w:szCs w:val="24"/>
          <w:lang w:eastAsia="ru-RU"/>
        </w:rPr>
        <w:t> </w:t>
      </w:r>
      <w:r w:rsidRPr="008E58ED">
        <w:rPr>
          <w:rFonts w:ascii="Times New Roman" w:hAnsi="Times New Roman"/>
          <w:sz w:val="28"/>
          <w:szCs w:val="24"/>
          <w:lang w:eastAsia="ru-RU"/>
        </w:rPr>
        <w:t>предусмотрено законодательством Российской Федерации. Собственники ТКО обязаны заключить договор на</w:t>
      </w:r>
      <w:r>
        <w:rPr>
          <w:rFonts w:ascii="Times New Roman" w:hAnsi="Times New Roman"/>
          <w:sz w:val="28"/>
          <w:szCs w:val="24"/>
          <w:lang w:eastAsia="ru-RU"/>
        </w:rPr>
        <w:t> </w:t>
      </w:r>
      <w:r w:rsidRPr="008E58ED">
        <w:rPr>
          <w:rFonts w:ascii="Times New Roman" w:hAnsi="Times New Roman"/>
          <w:sz w:val="28"/>
          <w:szCs w:val="24"/>
          <w:lang w:eastAsia="ru-RU"/>
        </w:rPr>
        <w:t>оказание услуг по</w:t>
      </w:r>
      <w:r>
        <w:rPr>
          <w:rFonts w:ascii="Times New Roman" w:hAnsi="Times New Roman"/>
          <w:sz w:val="28"/>
          <w:szCs w:val="24"/>
          <w:lang w:eastAsia="ru-RU"/>
        </w:rPr>
        <w:t> </w:t>
      </w:r>
      <w:r w:rsidRPr="008E58ED">
        <w:rPr>
          <w:rFonts w:ascii="Times New Roman" w:hAnsi="Times New Roman"/>
          <w:sz w:val="28"/>
          <w:szCs w:val="24"/>
          <w:lang w:eastAsia="ru-RU"/>
        </w:rPr>
        <w:t>обращению с</w:t>
      </w:r>
      <w:r>
        <w:rPr>
          <w:rFonts w:ascii="Times New Roman" w:hAnsi="Times New Roman"/>
          <w:sz w:val="28"/>
          <w:szCs w:val="24"/>
          <w:lang w:eastAsia="ru-RU"/>
        </w:rPr>
        <w:t> </w:t>
      </w:r>
      <w:r w:rsidRPr="008E58ED">
        <w:rPr>
          <w:rFonts w:ascii="Times New Roman" w:hAnsi="Times New Roman"/>
          <w:sz w:val="28"/>
          <w:szCs w:val="24"/>
          <w:lang w:eastAsia="ru-RU"/>
        </w:rPr>
        <w:t>ТКО с</w:t>
      </w:r>
      <w:r>
        <w:rPr>
          <w:rFonts w:ascii="Times New Roman" w:hAnsi="Times New Roman"/>
          <w:sz w:val="28"/>
          <w:szCs w:val="24"/>
          <w:lang w:eastAsia="ru-RU"/>
        </w:rPr>
        <w:t> </w:t>
      </w:r>
      <w:r w:rsidRPr="008E58ED">
        <w:rPr>
          <w:rFonts w:ascii="Times New Roman" w:hAnsi="Times New Roman"/>
          <w:sz w:val="28"/>
          <w:szCs w:val="24"/>
          <w:lang w:eastAsia="ru-RU"/>
        </w:rPr>
        <w:t>региональным оператором, в</w:t>
      </w:r>
      <w:r>
        <w:rPr>
          <w:rFonts w:ascii="Times New Roman" w:hAnsi="Times New Roman"/>
          <w:sz w:val="28"/>
          <w:szCs w:val="24"/>
          <w:lang w:eastAsia="ru-RU"/>
        </w:rPr>
        <w:t> </w:t>
      </w:r>
      <w:r w:rsidRPr="008E58ED">
        <w:rPr>
          <w:rFonts w:ascii="Times New Roman" w:hAnsi="Times New Roman"/>
          <w:sz w:val="28"/>
          <w:szCs w:val="24"/>
          <w:lang w:eastAsia="ru-RU"/>
        </w:rPr>
        <w:t>зоне деятельности которого образуются ТКО и</w:t>
      </w:r>
      <w:r>
        <w:rPr>
          <w:rFonts w:ascii="Times New Roman" w:hAnsi="Times New Roman"/>
          <w:sz w:val="28"/>
          <w:szCs w:val="24"/>
          <w:lang w:eastAsia="ru-RU"/>
        </w:rPr>
        <w:t> </w:t>
      </w:r>
      <w:r w:rsidRPr="008E58ED">
        <w:rPr>
          <w:rFonts w:ascii="Times New Roman" w:hAnsi="Times New Roman"/>
          <w:sz w:val="28"/>
          <w:szCs w:val="24"/>
          <w:lang w:eastAsia="ru-RU"/>
        </w:rPr>
        <w:t>находятся места их</w:t>
      </w:r>
      <w:r>
        <w:rPr>
          <w:rFonts w:ascii="Times New Roman" w:hAnsi="Times New Roman"/>
          <w:sz w:val="28"/>
          <w:szCs w:val="24"/>
          <w:lang w:eastAsia="ru-RU"/>
        </w:rPr>
        <w:t> </w:t>
      </w:r>
      <w:r w:rsidRPr="008E58ED">
        <w:rPr>
          <w:rFonts w:ascii="Times New Roman" w:hAnsi="Times New Roman"/>
          <w:sz w:val="28"/>
          <w:szCs w:val="24"/>
          <w:lang w:eastAsia="ru-RU"/>
        </w:rPr>
        <w:t>накопления.</w:t>
      </w:r>
    </w:p>
    <w:p w:rsidR="002D1E45" w:rsidRPr="006053FA" w:rsidRDefault="002D1E45" w:rsidP="006053FA">
      <w:pPr>
        <w:spacing w:after="0" w:line="240" w:lineRule="auto"/>
        <w:ind w:firstLine="709"/>
        <w:contextualSpacing/>
        <w:jc w:val="both"/>
        <w:rPr>
          <w:rFonts w:ascii="Times New Roman" w:hAnsi="Times New Roman"/>
          <w:sz w:val="28"/>
          <w:szCs w:val="24"/>
          <w:lang w:eastAsia="ru-RU"/>
        </w:rPr>
      </w:pPr>
      <w:r w:rsidRPr="006053FA">
        <w:rPr>
          <w:rFonts w:ascii="Times New Roman" w:hAnsi="Times New Roman"/>
          <w:sz w:val="28"/>
          <w:szCs w:val="24"/>
          <w:lang w:eastAsia="ru-RU"/>
        </w:rPr>
        <w:t>Анализируя проблемы системы по</w:t>
      </w:r>
      <w:r>
        <w:rPr>
          <w:rFonts w:ascii="Times New Roman" w:hAnsi="Times New Roman"/>
          <w:sz w:val="28"/>
          <w:szCs w:val="24"/>
          <w:lang w:eastAsia="ru-RU"/>
        </w:rPr>
        <w:t> </w:t>
      </w:r>
      <w:r w:rsidRPr="006053FA">
        <w:rPr>
          <w:rFonts w:ascii="Times New Roman" w:hAnsi="Times New Roman"/>
          <w:sz w:val="28"/>
          <w:szCs w:val="24"/>
          <w:lang w:eastAsia="ru-RU"/>
        </w:rPr>
        <w:t>сбору и</w:t>
      </w:r>
      <w:r>
        <w:rPr>
          <w:rFonts w:ascii="Times New Roman" w:hAnsi="Times New Roman"/>
          <w:sz w:val="28"/>
          <w:szCs w:val="24"/>
          <w:lang w:eastAsia="ru-RU"/>
        </w:rPr>
        <w:t> </w:t>
      </w:r>
      <w:r w:rsidRPr="006053FA">
        <w:rPr>
          <w:rFonts w:ascii="Times New Roman" w:hAnsi="Times New Roman"/>
          <w:sz w:val="28"/>
          <w:szCs w:val="24"/>
          <w:lang w:eastAsia="ru-RU"/>
        </w:rPr>
        <w:t>вывозу Т</w:t>
      </w:r>
      <w:r>
        <w:rPr>
          <w:rFonts w:ascii="Times New Roman" w:hAnsi="Times New Roman"/>
          <w:sz w:val="28"/>
          <w:szCs w:val="24"/>
          <w:lang w:eastAsia="ru-RU"/>
        </w:rPr>
        <w:t>К</w:t>
      </w:r>
      <w:r w:rsidRPr="006053FA">
        <w:rPr>
          <w:rFonts w:ascii="Times New Roman" w:hAnsi="Times New Roman"/>
          <w:sz w:val="28"/>
          <w:szCs w:val="24"/>
          <w:lang w:eastAsia="ru-RU"/>
        </w:rPr>
        <w:t xml:space="preserve">О, необходимо отметить следующее: </w:t>
      </w:r>
    </w:p>
    <w:p w:rsidR="002D1E45" w:rsidRPr="00C878DD"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C878DD">
        <w:rPr>
          <w:rFonts w:ascii="Times New Roman" w:hAnsi="Times New Roman"/>
          <w:sz w:val="28"/>
          <w:szCs w:val="28"/>
        </w:rPr>
        <w:t>рост потребительского спроса населения и</w:t>
      </w:r>
      <w:r>
        <w:rPr>
          <w:rFonts w:ascii="Times New Roman" w:hAnsi="Times New Roman"/>
          <w:sz w:val="28"/>
          <w:szCs w:val="28"/>
        </w:rPr>
        <w:t> </w:t>
      </w:r>
      <w:r w:rsidRPr="00C878DD">
        <w:rPr>
          <w:rFonts w:ascii="Times New Roman" w:hAnsi="Times New Roman"/>
          <w:sz w:val="28"/>
          <w:szCs w:val="28"/>
        </w:rPr>
        <w:t>рост объёмов образования отходов;</w:t>
      </w:r>
    </w:p>
    <w:p w:rsidR="002D1E45" w:rsidRPr="00C878DD"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C878DD">
        <w:rPr>
          <w:rFonts w:ascii="Times New Roman" w:hAnsi="Times New Roman"/>
          <w:sz w:val="28"/>
          <w:szCs w:val="28"/>
        </w:rPr>
        <w:t>возникновение небольших несанкционированных свалок;</w:t>
      </w:r>
    </w:p>
    <w:p w:rsidR="002D1E45" w:rsidRPr="00C878DD"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C878DD">
        <w:rPr>
          <w:rFonts w:ascii="Times New Roman" w:hAnsi="Times New Roman"/>
          <w:sz w:val="28"/>
          <w:szCs w:val="28"/>
        </w:rPr>
        <w:t xml:space="preserve">отсутствие спец. машин для </w:t>
      </w:r>
      <w:r>
        <w:rPr>
          <w:rFonts w:ascii="Times New Roman" w:hAnsi="Times New Roman"/>
          <w:sz w:val="28"/>
          <w:szCs w:val="28"/>
        </w:rPr>
        <w:t>транспортирования</w:t>
      </w:r>
      <w:r w:rsidRPr="00C878DD">
        <w:rPr>
          <w:rFonts w:ascii="Times New Roman" w:hAnsi="Times New Roman"/>
          <w:sz w:val="28"/>
          <w:szCs w:val="28"/>
        </w:rPr>
        <w:t xml:space="preserve"> Т</w:t>
      </w:r>
      <w:r>
        <w:rPr>
          <w:rFonts w:ascii="Times New Roman" w:hAnsi="Times New Roman"/>
          <w:sz w:val="28"/>
          <w:szCs w:val="28"/>
        </w:rPr>
        <w:t>К</w:t>
      </w:r>
      <w:r w:rsidRPr="00C878DD">
        <w:rPr>
          <w:rFonts w:ascii="Times New Roman" w:hAnsi="Times New Roman"/>
          <w:sz w:val="28"/>
          <w:szCs w:val="28"/>
        </w:rPr>
        <w:t>О;</w:t>
      </w:r>
    </w:p>
    <w:p w:rsidR="002D1E45" w:rsidRPr="00C878DD"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C878DD">
        <w:rPr>
          <w:rFonts w:ascii="Times New Roman" w:hAnsi="Times New Roman"/>
          <w:sz w:val="28"/>
          <w:szCs w:val="28"/>
        </w:rPr>
        <w:t>низкая активность населения в</w:t>
      </w:r>
      <w:r>
        <w:rPr>
          <w:rFonts w:ascii="Times New Roman" w:hAnsi="Times New Roman"/>
          <w:sz w:val="28"/>
          <w:szCs w:val="28"/>
        </w:rPr>
        <w:t> </w:t>
      </w:r>
      <w:r w:rsidRPr="00C878DD">
        <w:rPr>
          <w:rFonts w:ascii="Times New Roman" w:hAnsi="Times New Roman"/>
          <w:sz w:val="28"/>
          <w:szCs w:val="28"/>
        </w:rPr>
        <w:t>решении проблемы по</w:t>
      </w:r>
      <w:r>
        <w:rPr>
          <w:rFonts w:ascii="Times New Roman" w:hAnsi="Times New Roman"/>
          <w:sz w:val="28"/>
          <w:szCs w:val="28"/>
        </w:rPr>
        <w:t> </w:t>
      </w:r>
      <w:r w:rsidRPr="00C878DD">
        <w:rPr>
          <w:rFonts w:ascii="Times New Roman" w:hAnsi="Times New Roman"/>
          <w:sz w:val="28"/>
          <w:szCs w:val="28"/>
        </w:rPr>
        <w:t>обращению с</w:t>
      </w:r>
      <w:r>
        <w:rPr>
          <w:rFonts w:ascii="Times New Roman" w:hAnsi="Times New Roman"/>
          <w:sz w:val="28"/>
          <w:szCs w:val="28"/>
        </w:rPr>
        <w:t> </w:t>
      </w:r>
      <w:r w:rsidRPr="00C878DD">
        <w:rPr>
          <w:rFonts w:ascii="Times New Roman" w:hAnsi="Times New Roman"/>
          <w:sz w:val="28"/>
          <w:szCs w:val="28"/>
        </w:rPr>
        <w:t>отходами;</w:t>
      </w:r>
    </w:p>
    <w:p w:rsidR="002D1E45" w:rsidRPr="00C878DD"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C878DD">
        <w:rPr>
          <w:rFonts w:ascii="Times New Roman" w:hAnsi="Times New Roman"/>
          <w:sz w:val="28"/>
          <w:szCs w:val="28"/>
        </w:rPr>
        <w:t>ограниченность средств местного бюджета.</w:t>
      </w:r>
    </w:p>
    <w:p w:rsidR="002D1E45" w:rsidRPr="006053FA" w:rsidRDefault="002D1E45" w:rsidP="006053FA">
      <w:pPr>
        <w:spacing w:after="0" w:line="240" w:lineRule="auto"/>
        <w:ind w:firstLine="709"/>
        <w:contextualSpacing/>
        <w:jc w:val="both"/>
        <w:rPr>
          <w:rFonts w:ascii="Times New Roman" w:hAnsi="Times New Roman"/>
          <w:sz w:val="28"/>
          <w:szCs w:val="24"/>
          <w:lang w:eastAsia="ru-RU"/>
        </w:rPr>
      </w:pPr>
      <w:r w:rsidRPr="006053FA">
        <w:rPr>
          <w:rFonts w:ascii="Times New Roman" w:hAnsi="Times New Roman"/>
          <w:sz w:val="28"/>
          <w:szCs w:val="24"/>
          <w:lang w:eastAsia="ru-RU"/>
        </w:rPr>
        <w:t>В связи с</w:t>
      </w:r>
      <w:r>
        <w:rPr>
          <w:rFonts w:ascii="Times New Roman" w:hAnsi="Times New Roman"/>
          <w:sz w:val="28"/>
          <w:szCs w:val="24"/>
          <w:lang w:eastAsia="ru-RU"/>
        </w:rPr>
        <w:t> </w:t>
      </w:r>
      <w:r w:rsidRPr="006053FA">
        <w:rPr>
          <w:rFonts w:ascii="Times New Roman" w:hAnsi="Times New Roman"/>
          <w:sz w:val="28"/>
          <w:szCs w:val="24"/>
          <w:lang w:eastAsia="ru-RU"/>
        </w:rPr>
        <w:t>вышеуказанным, необходимо рассмотреть и</w:t>
      </w:r>
      <w:r>
        <w:rPr>
          <w:rFonts w:ascii="Times New Roman" w:hAnsi="Times New Roman"/>
          <w:sz w:val="28"/>
          <w:szCs w:val="24"/>
          <w:lang w:eastAsia="ru-RU"/>
        </w:rPr>
        <w:t> </w:t>
      </w:r>
      <w:r w:rsidRPr="006053FA">
        <w:rPr>
          <w:rFonts w:ascii="Times New Roman" w:hAnsi="Times New Roman"/>
          <w:sz w:val="28"/>
          <w:szCs w:val="24"/>
          <w:lang w:eastAsia="ru-RU"/>
        </w:rPr>
        <w:t>реализовать в</w:t>
      </w:r>
      <w:r>
        <w:rPr>
          <w:rFonts w:ascii="Times New Roman" w:hAnsi="Times New Roman"/>
          <w:sz w:val="28"/>
          <w:szCs w:val="24"/>
          <w:lang w:eastAsia="ru-RU"/>
        </w:rPr>
        <w:t> </w:t>
      </w:r>
      <w:r w:rsidRPr="006053FA">
        <w:rPr>
          <w:rFonts w:ascii="Times New Roman" w:hAnsi="Times New Roman"/>
          <w:sz w:val="28"/>
          <w:szCs w:val="24"/>
          <w:lang w:eastAsia="ru-RU"/>
        </w:rPr>
        <w:t>ближайшее время следующие мероприятия:</w:t>
      </w:r>
    </w:p>
    <w:p w:rsidR="002D1E45"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C878DD">
        <w:rPr>
          <w:rFonts w:ascii="Times New Roman" w:hAnsi="Times New Roman"/>
          <w:sz w:val="28"/>
          <w:szCs w:val="28"/>
        </w:rPr>
        <w:t>организовать и</w:t>
      </w:r>
      <w:r>
        <w:rPr>
          <w:rFonts w:ascii="Times New Roman" w:hAnsi="Times New Roman"/>
          <w:sz w:val="28"/>
          <w:szCs w:val="28"/>
        </w:rPr>
        <w:t> </w:t>
      </w:r>
      <w:r w:rsidRPr="00C878DD">
        <w:rPr>
          <w:rFonts w:ascii="Times New Roman" w:hAnsi="Times New Roman"/>
          <w:sz w:val="28"/>
          <w:szCs w:val="28"/>
        </w:rPr>
        <w:t>упорядочить работу по</w:t>
      </w:r>
      <w:r>
        <w:rPr>
          <w:rFonts w:ascii="Times New Roman" w:hAnsi="Times New Roman"/>
          <w:sz w:val="28"/>
          <w:szCs w:val="28"/>
        </w:rPr>
        <w:t> </w:t>
      </w:r>
      <w:r w:rsidRPr="00C878DD">
        <w:rPr>
          <w:rFonts w:ascii="Times New Roman" w:hAnsi="Times New Roman"/>
          <w:sz w:val="28"/>
          <w:szCs w:val="28"/>
        </w:rPr>
        <w:t>сбору и</w:t>
      </w:r>
      <w:r>
        <w:rPr>
          <w:rFonts w:ascii="Times New Roman" w:hAnsi="Times New Roman"/>
          <w:sz w:val="28"/>
          <w:szCs w:val="28"/>
        </w:rPr>
        <w:t> </w:t>
      </w:r>
      <w:r w:rsidRPr="00C878DD">
        <w:rPr>
          <w:rFonts w:ascii="Times New Roman" w:hAnsi="Times New Roman"/>
          <w:sz w:val="28"/>
          <w:szCs w:val="28"/>
        </w:rPr>
        <w:t>вывозу отходов от</w:t>
      </w:r>
      <w:r>
        <w:rPr>
          <w:rFonts w:ascii="Times New Roman" w:hAnsi="Times New Roman"/>
          <w:sz w:val="28"/>
          <w:szCs w:val="28"/>
        </w:rPr>
        <w:t> </w:t>
      </w:r>
      <w:r w:rsidRPr="00C878DD">
        <w:rPr>
          <w:rFonts w:ascii="Times New Roman" w:hAnsi="Times New Roman"/>
          <w:sz w:val="28"/>
          <w:szCs w:val="28"/>
        </w:rPr>
        <w:t>жителей, пользующихся самовывозом;</w:t>
      </w:r>
    </w:p>
    <w:p w:rsidR="002D1E45" w:rsidRPr="00C878DD"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C878DD">
        <w:rPr>
          <w:rFonts w:ascii="Times New Roman" w:hAnsi="Times New Roman"/>
          <w:sz w:val="28"/>
          <w:szCs w:val="28"/>
        </w:rPr>
        <w:t xml:space="preserve">организовать </w:t>
      </w:r>
      <w:r w:rsidRPr="007C7C0D">
        <w:rPr>
          <w:rFonts w:ascii="Times New Roman" w:hAnsi="Times New Roman"/>
          <w:sz w:val="28"/>
          <w:szCs w:val="28"/>
        </w:rPr>
        <w:t>строительство подъездной автодороги к площадке временного накопления твёрдых коммунальных отходов</w:t>
      </w:r>
      <w:r>
        <w:rPr>
          <w:rFonts w:ascii="Times New Roman" w:hAnsi="Times New Roman"/>
          <w:sz w:val="28"/>
          <w:szCs w:val="28"/>
        </w:rPr>
        <w:t>;</w:t>
      </w:r>
    </w:p>
    <w:p w:rsidR="002D1E45" w:rsidRPr="00881FC5"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lang w:eastAsia="ru-RU"/>
        </w:rPr>
      </w:pPr>
      <w:r w:rsidRPr="00C878DD">
        <w:rPr>
          <w:rFonts w:ascii="Times New Roman" w:hAnsi="Times New Roman"/>
          <w:sz w:val="28"/>
          <w:szCs w:val="28"/>
        </w:rPr>
        <w:t>разработать специальные мероприятия по</w:t>
      </w:r>
      <w:r>
        <w:rPr>
          <w:rFonts w:ascii="Times New Roman" w:hAnsi="Times New Roman"/>
          <w:sz w:val="28"/>
          <w:szCs w:val="28"/>
        </w:rPr>
        <w:t> </w:t>
      </w:r>
      <w:r w:rsidRPr="00C878DD">
        <w:rPr>
          <w:rFonts w:ascii="Times New Roman" w:hAnsi="Times New Roman"/>
          <w:sz w:val="28"/>
          <w:szCs w:val="28"/>
        </w:rPr>
        <w:t>содержанию мест размещения отходов на</w:t>
      </w:r>
      <w:r>
        <w:rPr>
          <w:rFonts w:ascii="Times New Roman" w:hAnsi="Times New Roman"/>
          <w:sz w:val="28"/>
          <w:szCs w:val="28"/>
        </w:rPr>
        <w:t> </w:t>
      </w:r>
      <w:r w:rsidRPr="00C878DD">
        <w:rPr>
          <w:rFonts w:ascii="Times New Roman" w:hAnsi="Times New Roman"/>
          <w:sz w:val="28"/>
          <w:szCs w:val="28"/>
        </w:rPr>
        <w:t>должном уровне до</w:t>
      </w:r>
      <w:r>
        <w:rPr>
          <w:rFonts w:ascii="Times New Roman" w:hAnsi="Times New Roman"/>
          <w:sz w:val="28"/>
          <w:szCs w:val="28"/>
        </w:rPr>
        <w:t> </w:t>
      </w:r>
      <w:r w:rsidRPr="00C878DD">
        <w:rPr>
          <w:rFonts w:ascii="Times New Roman" w:hAnsi="Times New Roman"/>
          <w:sz w:val="28"/>
          <w:szCs w:val="28"/>
        </w:rPr>
        <w:t>появления в</w:t>
      </w:r>
      <w:r>
        <w:rPr>
          <w:rFonts w:ascii="Times New Roman" w:hAnsi="Times New Roman"/>
          <w:sz w:val="28"/>
          <w:szCs w:val="28"/>
        </w:rPr>
        <w:t> </w:t>
      </w:r>
      <w:r w:rsidRPr="00C878DD">
        <w:rPr>
          <w:rFonts w:ascii="Times New Roman" w:hAnsi="Times New Roman"/>
          <w:sz w:val="28"/>
          <w:szCs w:val="28"/>
        </w:rPr>
        <w:t>районе полигона по</w:t>
      </w:r>
      <w:r>
        <w:rPr>
          <w:rFonts w:ascii="Times New Roman" w:hAnsi="Times New Roman"/>
          <w:sz w:val="28"/>
          <w:szCs w:val="28"/>
        </w:rPr>
        <w:t> </w:t>
      </w:r>
      <w:r w:rsidRPr="00790AD6">
        <w:rPr>
          <w:rFonts w:ascii="Times New Roman" w:hAnsi="Times New Roman"/>
          <w:sz w:val="28"/>
          <w:szCs w:val="28"/>
        </w:rPr>
        <w:t>обработк</w:t>
      </w:r>
      <w:r>
        <w:rPr>
          <w:rFonts w:ascii="Times New Roman" w:hAnsi="Times New Roman"/>
          <w:sz w:val="28"/>
          <w:szCs w:val="28"/>
        </w:rPr>
        <w:t>е</w:t>
      </w:r>
      <w:r w:rsidRPr="00790AD6">
        <w:rPr>
          <w:rFonts w:ascii="Times New Roman" w:hAnsi="Times New Roman"/>
          <w:sz w:val="28"/>
          <w:szCs w:val="28"/>
        </w:rPr>
        <w:t xml:space="preserve"> </w:t>
      </w:r>
      <w:r w:rsidRPr="00881FC5">
        <w:rPr>
          <w:rFonts w:ascii="Times New Roman" w:hAnsi="Times New Roman"/>
          <w:sz w:val="28"/>
          <w:szCs w:val="28"/>
        </w:rPr>
        <w:t>отходов</w:t>
      </w:r>
      <w:r>
        <w:rPr>
          <w:rFonts w:ascii="Times New Roman" w:hAnsi="Times New Roman"/>
          <w:sz w:val="28"/>
          <w:szCs w:val="28"/>
        </w:rPr>
        <w:t>.</w:t>
      </w:r>
      <w:r w:rsidRPr="00881FC5">
        <w:rPr>
          <w:rFonts w:ascii="Times New Roman" w:hAnsi="Times New Roman"/>
          <w:sz w:val="28"/>
          <w:szCs w:val="28"/>
        </w:rPr>
        <w:t xml:space="preserve"> </w:t>
      </w:r>
    </w:p>
    <w:p w:rsidR="002D1E45" w:rsidRPr="00733801" w:rsidRDefault="002D1E45" w:rsidP="00733801">
      <w:pPr>
        <w:spacing w:after="0" w:line="240" w:lineRule="auto"/>
        <w:ind w:firstLine="709"/>
        <w:jc w:val="both"/>
        <w:rPr>
          <w:rFonts w:ascii="Times New Roman" w:hAnsi="Times New Roman"/>
          <w:sz w:val="28"/>
          <w:szCs w:val="28"/>
        </w:rPr>
      </w:pPr>
      <w:r w:rsidRPr="00733801">
        <w:rPr>
          <w:rFonts w:ascii="Times New Roman" w:hAnsi="Times New Roman"/>
          <w:sz w:val="28"/>
          <w:szCs w:val="28"/>
        </w:rPr>
        <w:t>В области обращения с</w:t>
      </w:r>
      <w:r>
        <w:rPr>
          <w:rFonts w:ascii="Times New Roman" w:hAnsi="Times New Roman"/>
          <w:sz w:val="28"/>
          <w:szCs w:val="28"/>
        </w:rPr>
        <w:t> </w:t>
      </w:r>
      <w:r w:rsidRPr="00733801">
        <w:rPr>
          <w:rFonts w:ascii="Times New Roman" w:hAnsi="Times New Roman"/>
          <w:sz w:val="28"/>
          <w:szCs w:val="28"/>
        </w:rPr>
        <w:t>отходами выявлены следующие недостатки:</w:t>
      </w:r>
    </w:p>
    <w:p w:rsidR="002D1E45" w:rsidRPr="007C3747"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lang w:eastAsia="ru-RU"/>
        </w:rPr>
      </w:pPr>
      <w:r w:rsidRPr="007C3747">
        <w:rPr>
          <w:rFonts w:ascii="Times New Roman" w:hAnsi="Times New Roman"/>
          <w:sz w:val="28"/>
          <w:szCs w:val="28"/>
          <w:lang w:eastAsia="ru-RU"/>
        </w:rPr>
        <w:t>отсутствие организованной системы сбора и</w:t>
      </w:r>
      <w:r>
        <w:rPr>
          <w:rFonts w:ascii="Times New Roman" w:hAnsi="Times New Roman"/>
          <w:sz w:val="28"/>
          <w:szCs w:val="28"/>
          <w:lang w:eastAsia="ru-RU"/>
        </w:rPr>
        <w:t> обработки</w:t>
      </w:r>
      <w:r w:rsidRPr="007C3747">
        <w:rPr>
          <w:rFonts w:ascii="Times New Roman" w:hAnsi="Times New Roman"/>
          <w:sz w:val="28"/>
          <w:szCs w:val="28"/>
          <w:lang w:eastAsia="ru-RU"/>
        </w:rPr>
        <w:t xml:space="preserve"> </w:t>
      </w:r>
      <w:r>
        <w:rPr>
          <w:rFonts w:ascii="Times New Roman" w:hAnsi="Times New Roman"/>
          <w:sz w:val="28"/>
          <w:szCs w:val="28"/>
          <w:lang w:eastAsia="ru-RU"/>
        </w:rPr>
        <w:t xml:space="preserve">отдельных видов отходов (пластик, </w:t>
      </w:r>
      <w:r w:rsidRPr="007C3747">
        <w:rPr>
          <w:rFonts w:ascii="Times New Roman" w:hAnsi="Times New Roman"/>
          <w:sz w:val="28"/>
          <w:szCs w:val="28"/>
          <w:lang w:eastAsia="ru-RU"/>
        </w:rPr>
        <w:t>бумаг</w:t>
      </w:r>
      <w:r>
        <w:rPr>
          <w:rFonts w:ascii="Times New Roman" w:hAnsi="Times New Roman"/>
          <w:sz w:val="28"/>
          <w:szCs w:val="28"/>
          <w:lang w:eastAsia="ru-RU"/>
        </w:rPr>
        <w:t>а</w:t>
      </w:r>
      <w:r w:rsidRPr="007C3747">
        <w:rPr>
          <w:rFonts w:ascii="Times New Roman" w:hAnsi="Times New Roman"/>
          <w:sz w:val="28"/>
          <w:szCs w:val="28"/>
          <w:lang w:eastAsia="ru-RU"/>
        </w:rPr>
        <w:t>, картон, стекл</w:t>
      </w:r>
      <w:r>
        <w:rPr>
          <w:rFonts w:ascii="Times New Roman" w:hAnsi="Times New Roman"/>
          <w:sz w:val="28"/>
          <w:szCs w:val="28"/>
          <w:lang w:eastAsia="ru-RU"/>
        </w:rPr>
        <w:t>о)</w:t>
      </w:r>
      <w:r w:rsidRPr="007C3747">
        <w:rPr>
          <w:rFonts w:ascii="Times New Roman" w:hAnsi="Times New Roman"/>
          <w:sz w:val="28"/>
          <w:szCs w:val="28"/>
          <w:lang w:eastAsia="ru-RU"/>
        </w:rPr>
        <w:t xml:space="preserve"> в</w:t>
      </w:r>
      <w:r>
        <w:rPr>
          <w:rFonts w:ascii="Times New Roman" w:hAnsi="Times New Roman"/>
          <w:sz w:val="28"/>
          <w:szCs w:val="28"/>
          <w:lang w:eastAsia="ru-RU"/>
        </w:rPr>
        <w:t> </w:t>
      </w:r>
      <w:r w:rsidRPr="007C3747">
        <w:rPr>
          <w:rFonts w:ascii="Times New Roman" w:hAnsi="Times New Roman"/>
          <w:sz w:val="28"/>
          <w:szCs w:val="28"/>
          <w:lang w:eastAsia="ru-RU"/>
        </w:rPr>
        <w:t>составе ТКО;</w:t>
      </w:r>
    </w:p>
    <w:p w:rsidR="002D1E45" w:rsidRPr="007C3747"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lang w:eastAsia="ru-RU"/>
        </w:rPr>
      </w:pPr>
      <w:r w:rsidRPr="007C3747">
        <w:rPr>
          <w:rFonts w:ascii="Times New Roman" w:hAnsi="Times New Roman"/>
          <w:sz w:val="28"/>
          <w:szCs w:val="28"/>
          <w:lang w:eastAsia="ru-RU"/>
        </w:rPr>
        <w:t xml:space="preserve">отсутствие </w:t>
      </w:r>
      <w:r>
        <w:rPr>
          <w:rFonts w:ascii="Times New Roman" w:hAnsi="Times New Roman"/>
          <w:sz w:val="28"/>
          <w:szCs w:val="28"/>
          <w:lang w:eastAsia="ru-RU"/>
        </w:rPr>
        <w:t>оборудования по </w:t>
      </w:r>
      <w:r w:rsidRPr="007C3747">
        <w:rPr>
          <w:rFonts w:ascii="Times New Roman" w:hAnsi="Times New Roman"/>
          <w:sz w:val="28"/>
          <w:szCs w:val="28"/>
          <w:lang w:eastAsia="ru-RU"/>
        </w:rPr>
        <w:t>обезвреживани</w:t>
      </w:r>
      <w:r>
        <w:rPr>
          <w:rFonts w:ascii="Times New Roman" w:hAnsi="Times New Roman"/>
          <w:sz w:val="28"/>
          <w:szCs w:val="28"/>
          <w:lang w:eastAsia="ru-RU"/>
        </w:rPr>
        <w:t>ю</w:t>
      </w:r>
      <w:r w:rsidRPr="007C3747">
        <w:rPr>
          <w:rFonts w:ascii="Times New Roman" w:hAnsi="Times New Roman"/>
          <w:sz w:val="28"/>
          <w:szCs w:val="28"/>
          <w:lang w:eastAsia="ru-RU"/>
        </w:rPr>
        <w:t xml:space="preserve"> отходов;</w:t>
      </w:r>
    </w:p>
    <w:p w:rsidR="002D1E45" w:rsidRPr="007C3747"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lang w:eastAsia="ru-RU"/>
        </w:rPr>
      </w:pPr>
      <w:r w:rsidRPr="007C3747">
        <w:rPr>
          <w:rFonts w:ascii="Times New Roman" w:hAnsi="Times New Roman"/>
          <w:sz w:val="28"/>
          <w:szCs w:val="28"/>
          <w:lang w:eastAsia="ru-RU"/>
        </w:rPr>
        <w:t>отсутствие инфраструктуры раздельного сбора отходов;</w:t>
      </w:r>
    </w:p>
    <w:p w:rsidR="002D1E45" w:rsidRPr="007C3747"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lang w:eastAsia="ru-RU"/>
        </w:rPr>
      </w:pPr>
      <w:r w:rsidRPr="007C3747">
        <w:rPr>
          <w:rFonts w:ascii="Times New Roman" w:hAnsi="Times New Roman"/>
          <w:sz w:val="28"/>
          <w:szCs w:val="28"/>
          <w:lang w:eastAsia="ru-RU"/>
        </w:rPr>
        <w:t>отсутствие системы сбора опасных отходов в</w:t>
      </w:r>
      <w:r>
        <w:rPr>
          <w:rFonts w:ascii="Times New Roman" w:hAnsi="Times New Roman"/>
          <w:sz w:val="28"/>
          <w:szCs w:val="28"/>
          <w:lang w:eastAsia="ru-RU"/>
        </w:rPr>
        <w:t> </w:t>
      </w:r>
      <w:r w:rsidRPr="007C3747">
        <w:rPr>
          <w:rFonts w:ascii="Times New Roman" w:hAnsi="Times New Roman"/>
          <w:sz w:val="28"/>
          <w:szCs w:val="28"/>
          <w:lang w:eastAsia="ru-RU"/>
        </w:rPr>
        <w:t xml:space="preserve">составе ТКО (аккумуляторы </w:t>
      </w:r>
      <w:r w:rsidRPr="007C3747">
        <w:rPr>
          <w:rFonts w:ascii="Times New Roman" w:hAnsi="Times New Roman"/>
          <w:sz w:val="28"/>
          <w:szCs w:val="28"/>
          <w:lang w:eastAsia="ru-RU"/>
        </w:rPr>
        <w:br/>
        <w:t>и электрические батарейки, краски и</w:t>
      </w:r>
      <w:r>
        <w:rPr>
          <w:rFonts w:ascii="Times New Roman" w:hAnsi="Times New Roman"/>
          <w:sz w:val="28"/>
          <w:szCs w:val="28"/>
          <w:lang w:eastAsia="ru-RU"/>
        </w:rPr>
        <w:t> </w:t>
      </w:r>
      <w:r w:rsidRPr="007C3747">
        <w:rPr>
          <w:rFonts w:ascii="Times New Roman" w:hAnsi="Times New Roman"/>
          <w:sz w:val="28"/>
          <w:szCs w:val="28"/>
          <w:lang w:eastAsia="ru-RU"/>
        </w:rPr>
        <w:t>растворители, технические масла, просроченные медикаменты, аэрозоли, устаревшие или вышедшие из</w:t>
      </w:r>
      <w:r>
        <w:rPr>
          <w:rFonts w:ascii="Times New Roman" w:hAnsi="Times New Roman"/>
          <w:sz w:val="28"/>
          <w:szCs w:val="28"/>
          <w:lang w:eastAsia="ru-RU"/>
        </w:rPr>
        <w:t> </w:t>
      </w:r>
      <w:r w:rsidRPr="007C3747">
        <w:rPr>
          <w:rFonts w:ascii="Times New Roman" w:hAnsi="Times New Roman"/>
          <w:sz w:val="28"/>
          <w:szCs w:val="28"/>
          <w:lang w:eastAsia="ru-RU"/>
        </w:rPr>
        <w:t>строя электрооборудование</w:t>
      </w:r>
      <w:r>
        <w:rPr>
          <w:rFonts w:ascii="Times New Roman" w:hAnsi="Times New Roman"/>
          <w:sz w:val="28"/>
          <w:szCs w:val="28"/>
          <w:lang w:eastAsia="ru-RU"/>
        </w:rPr>
        <w:t>,</w:t>
      </w:r>
      <w:r w:rsidRPr="007C3747">
        <w:rPr>
          <w:rFonts w:ascii="Times New Roman" w:hAnsi="Times New Roman"/>
          <w:sz w:val="28"/>
          <w:szCs w:val="28"/>
          <w:lang w:eastAsia="ru-RU"/>
        </w:rPr>
        <w:t xml:space="preserve"> электронная техника, ртутьсодержащие медицинские аппараты, люминесцентные лампы и</w:t>
      </w:r>
      <w:r>
        <w:rPr>
          <w:rFonts w:ascii="Times New Roman" w:hAnsi="Times New Roman"/>
          <w:sz w:val="28"/>
          <w:szCs w:val="28"/>
          <w:lang w:eastAsia="ru-RU"/>
        </w:rPr>
        <w:t> </w:t>
      </w:r>
      <w:r w:rsidRPr="007C3747">
        <w:rPr>
          <w:rFonts w:ascii="Times New Roman" w:hAnsi="Times New Roman"/>
          <w:sz w:val="28"/>
          <w:szCs w:val="28"/>
          <w:lang w:eastAsia="ru-RU"/>
        </w:rPr>
        <w:t>др.);</w:t>
      </w:r>
    </w:p>
    <w:p w:rsidR="002D1E45" w:rsidRPr="007C3747"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lang w:eastAsia="ru-RU"/>
        </w:rPr>
      </w:pPr>
      <w:r w:rsidRPr="007C3747">
        <w:rPr>
          <w:rFonts w:ascii="Times New Roman" w:hAnsi="Times New Roman"/>
          <w:sz w:val="28"/>
          <w:szCs w:val="28"/>
          <w:lang w:eastAsia="ru-RU"/>
        </w:rPr>
        <w:t>отсутствие комплексной системы учёта, контроля, регулирования в</w:t>
      </w:r>
      <w:r>
        <w:rPr>
          <w:rFonts w:ascii="Times New Roman" w:hAnsi="Times New Roman"/>
          <w:sz w:val="28"/>
          <w:szCs w:val="28"/>
          <w:lang w:eastAsia="ru-RU"/>
        </w:rPr>
        <w:t> </w:t>
      </w:r>
      <w:r w:rsidRPr="007C3747">
        <w:rPr>
          <w:rFonts w:ascii="Times New Roman" w:hAnsi="Times New Roman"/>
          <w:sz w:val="28"/>
          <w:szCs w:val="28"/>
          <w:lang w:eastAsia="ru-RU"/>
        </w:rPr>
        <w:t>области обращения с</w:t>
      </w:r>
      <w:r>
        <w:rPr>
          <w:rFonts w:ascii="Times New Roman" w:hAnsi="Times New Roman"/>
          <w:sz w:val="28"/>
          <w:szCs w:val="28"/>
          <w:lang w:eastAsia="ru-RU"/>
        </w:rPr>
        <w:t> </w:t>
      </w:r>
      <w:r w:rsidRPr="007C3747">
        <w:rPr>
          <w:rFonts w:ascii="Times New Roman" w:hAnsi="Times New Roman"/>
          <w:sz w:val="28"/>
          <w:szCs w:val="28"/>
          <w:lang w:eastAsia="ru-RU"/>
        </w:rPr>
        <w:t>отходами;</w:t>
      </w:r>
    </w:p>
    <w:p w:rsidR="002D1E45" w:rsidRPr="007C3747"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lang w:eastAsia="ru-RU"/>
        </w:rPr>
      </w:pPr>
      <w:r w:rsidRPr="007C3747">
        <w:rPr>
          <w:rFonts w:ascii="Times New Roman" w:hAnsi="Times New Roman"/>
          <w:sz w:val="28"/>
          <w:szCs w:val="28"/>
          <w:lang w:eastAsia="ru-RU"/>
        </w:rPr>
        <w:t>отсутствие инфраструктуры по</w:t>
      </w:r>
      <w:r>
        <w:rPr>
          <w:rFonts w:ascii="Times New Roman" w:hAnsi="Times New Roman"/>
          <w:sz w:val="28"/>
          <w:szCs w:val="28"/>
          <w:lang w:eastAsia="ru-RU"/>
        </w:rPr>
        <w:t> </w:t>
      </w:r>
      <w:r w:rsidRPr="007C3747">
        <w:rPr>
          <w:rFonts w:ascii="Times New Roman" w:hAnsi="Times New Roman"/>
          <w:sz w:val="28"/>
          <w:szCs w:val="28"/>
          <w:lang w:eastAsia="ru-RU"/>
        </w:rPr>
        <w:t xml:space="preserve">утилизации </w:t>
      </w:r>
      <w:r>
        <w:rPr>
          <w:rFonts w:ascii="Times New Roman" w:hAnsi="Times New Roman"/>
          <w:sz w:val="28"/>
          <w:szCs w:val="28"/>
          <w:lang w:eastAsia="ru-RU"/>
        </w:rPr>
        <w:t xml:space="preserve">и обезвреживанию </w:t>
      </w:r>
      <w:r w:rsidRPr="007C3747">
        <w:rPr>
          <w:rFonts w:ascii="Times New Roman" w:hAnsi="Times New Roman"/>
          <w:sz w:val="28"/>
          <w:szCs w:val="28"/>
          <w:lang w:eastAsia="ru-RU"/>
        </w:rPr>
        <w:t>медицинских отходов, отходов ветеринарии;</w:t>
      </w:r>
    </w:p>
    <w:p w:rsidR="002D1E45" w:rsidRPr="007C3747"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lang w:eastAsia="ru-RU"/>
        </w:rPr>
      </w:pPr>
      <w:r w:rsidRPr="007C3747">
        <w:rPr>
          <w:rFonts w:ascii="Times New Roman" w:hAnsi="Times New Roman"/>
          <w:sz w:val="28"/>
          <w:szCs w:val="28"/>
          <w:lang w:eastAsia="ru-RU"/>
        </w:rPr>
        <w:t>низкий уровень экологической культуры населения</w:t>
      </w:r>
      <w:r>
        <w:rPr>
          <w:rFonts w:ascii="Times New Roman" w:hAnsi="Times New Roman"/>
          <w:sz w:val="28"/>
          <w:szCs w:val="28"/>
          <w:lang w:eastAsia="ru-RU"/>
        </w:rPr>
        <w:t>.</w:t>
      </w:r>
    </w:p>
    <w:p w:rsidR="002D1E45" w:rsidRDefault="002D1E45" w:rsidP="00774D56">
      <w:pPr>
        <w:spacing w:after="0" w:line="240" w:lineRule="auto"/>
        <w:ind w:firstLine="709"/>
        <w:jc w:val="both"/>
        <w:rPr>
          <w:rFonts w:ascii="Times New Roman" w:hAnsi="Times New Roman"/>
          <w:sz w:val="28"/>
          <w:szCs w:val="28"/>
        </w:rPr>
      </w:pPr>
      <w:r w:rsidRPr="00244FD7">
        <w:rPr>
          <w:rFonts w:ascii="Times New Roman" w:hAnsi="Times New Roman"/>
          <w:sz w:val="28"/>
          <w:szCs w:val="28"/>
        </w:rPr>
        <w:t xml:space="preserve">Сбор хозяйственно-бытового мусора </w:t>
      </w:r>
      <w:r>
        <w:rPr>
          <w:rFonts w:ascii="Times New Roman" w:hAnsi="Times New Roman"/>
          <w:sz w:val="28"/>
          <w:szCs w:val="28"/>
        </w:rPr>
        <w:t xml:space="preserve">должен </w:t>
      </w:r>
      <w:r w:rsidRPr="00244FD7">
        <w:rPr>
          <w:rFonts w:ascii="Times New Roman" w:hAnsi="Times New Roman"/>
          <w:sz w:val="28"/>
          <w:szCs w:val="28"/>
        </w:rPr>
        <w:t>вывозится специальным транспортом на</w:t>
      </w:r>
      <w:r>
        <w:rPr>
          <w:rFonts w:ascii="Times New Roman" w:hAnsi="Times New Roman"/>
          <w:sz w:val="28"/>
          <w:szCs w:val="28"/>
        </w:rPr>
        <w:t> </w:t>
      </w:r>
      <w:r w:rsidRPr="00244FD7">
        <w:rPr>
          <w:rFonts w:ascii="Times New Roman" w:hAnsi="Times New Roman"/>
          <w:sz w:val="28"/>
          <w:szCs w:val="28"/>
        </w:rPr>
        <w:t xml:space="preserve">полигон твёрдых </w:t>
      </w:r>
      <w:r>
        <w:rPr>
          <w:rFonts w:ascii="Times New Roman" w:hAnsi="Times New Roman"/>
          <w:sz w:val="28"/>
          <w:szCs w:val="28"/>
        </w:rPr>
        <w:t>коммунальных</w:t>
      </w:r>
      <w:r w:rsidRPr="00244FD7">
        <w:rPr>
          <w:rFonts w:ascii="Times New Roman" w:hAnsi="Times New Roman"/>
          <w:sz w:val="28"/>
          <w:szCs w:val="28"/>
        </w:rPr>
        <w:t xml:space="preserve"> отходов.</w:t>
      </w:r>
      <w:r w:rsidRPr="00FE3508">
        <w:t xml:space="preserve"> </w:t>
      </w:r>
      <w:r w:rsidRPr="00CB2CB7">
        <w:rPr>
          <w:rFonts w:ascii="Times New Roman" w:hAnsi="Times New Roman"/>
          <w:sz w:val="28"/>
          <w:szCs w:val="28"/>
        </w:rPr>
        <w:t>Согласно СанПиН 42</w:t>
      </w:r>
      <w:r>
        <w:rPr>
          <w:rFonts w:ascii="Times New Roman" w:hAnsi="Times New Roman"/>
          <w:sz w:val="28"/>
          <w:szCs w:val="28"/>
        </w:rPr>
        <w:t>.</w:t>
      </w:r>
      <w:r w:rsidRPr="00CB2CB7">
        <w:rPr>
          <w:rFonts w:ascii="Times New Roman" w:hAnsi="Times New Roman"/>
          <w:sz w:val="28"/>
          <w:szCs w:val="28"/>
        </w:rPr>
        <w:t>128</w:t>
      </w:r>
      <w:r>
        <w:rPr>
          <w:rFonts w:ascii="Times New Roman" w:hAnsi="Times New Roman"/>
          <w:sz w:val="28"/>
          <w:szCs w:val="28"/>
        </w:rPr>
        <w:t>.</w:t>
      </w:r>
      <w:r w:rsidRPr="00CB2CB7">
        <w:rPr>
          <w:rFonts w:ascii="Times New Roman" w:hAnsi="Times New Roman"/>
          <w:sz w:val="28"/>
          <w:szCs w:val="28"/>
        </w:rPr>
        <w:t>4690</w:t>
      </w:r>
      <w:r>
        <w:rPr>
          <w:rFonts w:ascii="Times New Roman" w:hAnsi="Times New Roman"/>
          <w:sz w:val="28"/>
          <w:szCs w:val="28"/>
        </w:rPr>
        <w:t>.</w:t>
      </w:r>
      <w:r w:rsidRPr="00CB2CB7">
        <w:rPr>
          <w:rFonts w:ascii="Times New Roman" w:hAnsi="Times New Roman"/>
          <w:sz w:val="28"/>
          <w:szCs w:val="28"/>
        </w:rPr>
        <w:t>88</w:t>
      </w:r>
      <w:r>
        <w:rPr>
          <w:rFonts w:ascii="Times New Roman" w:hAnsi="Times New Roman"/>
          <w:sz w:val="28"/>
          <w:szCs w:val="28"/>
        </w:rPr>
        <w:t xml:space="preserve"> «</w:t>
      </w:r>
      <w:r w:rsidRPr="00CB2CB7">
        <w:rPr>
          <w:rFonts w:ascii="Times New Roman" w:hAnsi="Times New Roman"/>
          <w:sz w:val="28"/>
          <w:szCs w:val="28"/>
        </w:rPr>
        <w:t>Санитарные правила содержания территорий населённых мест</w:t>
      </w:r>
      <w:r>
        <w:rPr>
          <w:rFonts w:ascii="Times New Roman" w:hAnsi="Times New Roman"/>
          <w:sz w:val="28"/>
          <w:szCs w:val="28"/>
        </w:rPr>
        <w:t>», в </w:t>
      </w:r>
      <w:r w:rsidRPr="00FE3508">
        <w:rPr>
          <w:rFonts w:ascii="Times New Roman" w:hAnsi="Times New Roman"/>
          <w:sz w:val="28"/>
          <w:szCs w:val="28"/>
        </w:rPr>
        <w:t>холодное время года (при температуре минус 5 °С и</w:t>
      </w:r>
      <w:r>
        <w:rPr>
          <w:rFonts w:ascii="Times New Roman" w:hAnsi="Times New Roman"/>
          <w:sz w:val="28"/>
          <w:szCs w:val="28"/>
        </w:rPr>
        <w:t> </w:t>
      </w:r>
      <w:r w:rsidRPr="00FE3508">
        <w:rPr>
          <w:rFonts w:ascii="Times New Roman" w:hAnsi="Times New Roman"/>
          <w:sz w:val="28"/>
          <w:szCs w:val="28"/>
        </w:rPr>
        <w:t>ниже) интервал вывоза составляет не</w:t>
      </w:r>
      <w:r>
        <w:rPr>
          <w:rFonts w:ascii="Times New Roman" w:hAnsi="Times New Roman"/>
          <w:sz w:val="28"/>
          <w:szCs w:val="28"/>
        </w:rPr>
        <w:t> </w:t>
      </w:r>
      <w:r w:rsidRPr="00FE3508">
        <w:rPr>
          <w:rFonts w:ascii="Times New Roman" w:hAnsi="Times New Roman"/>
          <w:sz w:val="28"/>
          <w:szCs w:val="28"/>
        </w:rPr>
        <w:t>более трёх суток, в</w:t>
      </w:r>
      <w:r>
        <w:rPr>
          <w:rFonts w:ascii="Times New Roman" w:hAnsi="Times New Roman"/>
          <w:sz w:val="28"/>
          <w:szCs w:val="28"/>
        </w:rPr>
        <w:t> </w:t>
      </w:r>
      <w:r w:rsidRPr="00FE3508">
        <w:rPr>
          <w:rFonts w:ascii="Times New Roman" w:hAnsi="Times New Roman"/>
          <w:sz w:val="28"/>
          <w:szCs w:val="28"/>
        </w:rPr>
        <w:t>тёплое время (при плюсовой температуре свыше +5</w:t>
      </w:r>
      <w:r>
        <w:rPr>
          <w:rFonts w:ascii="Times New Roman" w:hAnsi="Times New Roman"/>
          <w:sz w:val="28"/>
          <w:szCs w:val="28"/>
        </w:rPr>
        <w:t> </w:t>
      </w:r>
      <w:r w:rsidRPr="00FE3508">
        <w:rPr>
          <w:rFonts w:ascii="Times New Roman" w:hAnsi="Times New Roman"/>
          <w:sz w:val="28"/>
          <w:szCs w:val="28"/>
        </w:rPr>
        <w:t xml:space="preserve">°С) </w:t>
      </w:r>
      <w:r>
        <w:rPr>
          <w:rFonts w:ascii="Times New Roman" w:hAnsi="Times New Roman"/>
          <w:sz w:val="28"/>
          <w:szCs w:val="28"/>
        </w:rPr>
        <w:t>–</w:t>
      </w:r>
      <w:r w:rsidRPr="00FE3508">
        <w:rPr>
          <w:rFonts w:ascii="Times New Roman" w:hAnsi="Times New Roman"/>
          <w:sz w:val="28"/>
          <w:szCs w:val="28"/>
        </w:rPr>
        <w:t xml:space="preserve"> не</w:t>
      </w:r>
      <w:r>
        <w:rPr>
          <w:rFonts w:ascii="Times New Roman" w:hAnsi="Times New Roman"/>
          <w:sz w:val="28"/>
          <w:szCs w:val="28"/>
        </w:rPr>
        <w:t> </w:t>
      </w:r>
      <w:r w:rsidRPr="00FE3508">
        <w:rPr>
          <w:rFonts w:ascii="Times New Roman" w:hAnsi="Times New Roman"/>
          <w:sz w:val="28"/>
          <w:szCs w:val="28"/>
        </w:rPr>
        <w:t>более одних суток (ежедневный вывоз).</w:t>
      </w:r>
      <w:r w:rsidRPr="00E22182">
        <w:rPr>
          <w:rFonts w:ascii="Times New Roman" w:hAnsi="Times New Roman"/>
          <w:sz w:val="28"/>
          <w:szCs w:val="28"/>
        </w:rPr>
        <w:t xml:space="preserve"> </w:t>
      </w:r>
    </w:p>
    <w:p w:rsidR="002D1E45" w:rsidRDefault="002D1E45" w:rsidP="00774D56">
      <w:pPr>
        <w:spacing w:after="0" w:line="240" w:lineRule="auto"/>
        <w:ind w:firstLine="709"/>
        <w:jc w:val="both"/>
        <w:rPr>
          <w:rFonts w:ascii="Times New Roman" w:hAnsi="Times New Roman"/>
          <w:sz w:val="28"/>
          <w:szCs w:val="28"/>
        </w:rPr>
      </w:pPr>
      <w:r w:rsidRPr="00FE3508">
        <w:rPr>
          <w:rFonts w:ascii="Times New Roman" w:hAnsi="Times New Roman"/>
          <w:sz w:val="28"/>
          <w:szCs w:val="28"/>
        </w:rPr>
        <w:t>Зимой проводят наиболее трудоёмкие работы: удаление свежевыпавшего и</w:t>
      </w:r>
      <w:r>
        <w:rPr>
          <w:rFonts w:ascii="Times New Roman" w:hAnsi="Times New Roman"/>
          <w:sz w:val="28"/>
          <w:szCs w:val="28"/>
        </w:rPr>
        <w:t> </w:t>
      </w:r>
      <w:r w:rsidRPr="00FE3508">
        <w:rPr>
          <w:rFonts w:ascii="Times New Roman" w:hAnsi="Times New Roman"/>
          <w:sz w:val="28"/>
          <w:szCs w:val="28"/>
        </w:rPr>
        <w:t>уплотнённого снега, борьбу с</w:t>
      </w:r>
      <w:r>
        <w:rPr>
          <w:rFonts w:ascii="Times New Roman" w:hAnsi="Times New Roman"/>
          <w:sz w:val="28"/>
          <w:szCs w:val="28"/>
        </w:rPr>
        <w:t> </w:t>
      </w:r>
      <w:r w:rsidRPr="00FE3508">
        <w:rPr>
          <w:rFonts w:ascii="Times New Roman" w:hAnsi="Times New Roman"/>
          <w:sz w:val="28"/>
          <w:szCs w:val="28"/>
        </w:rPr>
        <w:t>гололёдом, предотвращение снежно-ледяных образований.</w:t>
      </w:r>
      <w:r>
        <w:rPr>
          <w:rFonts w:ascii="Times New Roman" w:hAnsi="Times New Roman"/>
          <w:sz w:val="28"/>
          <w:szCs w:val="28"/>
        </w:rPr>
        <w:t xml:space="preserve"> </w:t>
      </w:r>
      <w:r w:rsidRPr="00FE3508">
        <w:rPr>
          <w:rFonts w:ascii="Times New Roman" w:hAnsi="Times New Roman"/>
          <w:sz w:val="28"/>
          <w:szCs w:val="28"/>
        </w:rPr>
        <w:t xml:space="preserve">Летом </w:t>
      </w:r>
      <w:r>
        <w:rPr>
          <w:rFonts w:ascii="Times New Roman" w:hAnsi="Times New Roman"/>
          <w:sz w:val="28"/>
          <w:szCs w:val="28"/>
        </w:rPr>
        <w:t xml:space="preserve">должны </w:t>
      </w:r>
      <w:r w:rsidRPr="00FE3508">
        <w:rPr>
          <w:rFonts w:ascii="Times New Roman" w:hAnsi="Times New Roman"/>
          <w:sz w:val="28"/>
          <w:szCs w:val="28"/>
        </w:rPr>
        <w:t>выполнят</w:t>
      </w:r>
      <w:r>
        <w:rPr>
          <w:rFonts w:ascii="Times New Roman" w:hAnsi="Times New Roman"/>
          <w:sz w:val="28"/>
          <w:szCs w:val="28"/>
        </w:rPr>
        <w:t>ь</w:t>
      </w:r>
      <w:r w:rsidRPr="00FE3508">
        <w:rPr>
          <w:rFonts w:ascii="Times New Roman" w:hAnsi="Times New Roman"/>
          <w:sz w:val="28"/>
          <w:szCs w:val="28"/>
        </w:rPr>
        <w:t>ся работы, обеспечивающие максимальную чистоту дорог и</w:t>
      </w:r>
      <w:r>
        <w:rPr>
          <w:rFonts w:ascii="Times New Roman" w:hAnsi="Times New Roman"/>
          <w:sz w:val="28"/>
          <w:szCs w:val="28"/>
        </w:rPr>
        <w:t> </w:t>
      </w:r>
      <w:r w:rsidRPr="00FE3508">
        <w:rPr>
          <w:rFonts w:ascii="Times New Roman" w:hAnsi="Times New Roman"/>
          <w:sz w:val="28"/>
          <w:szCs w:val="28"/>
        </w:rPr>
        <w:t xml:space="preserve">приземных слоёв воздуха. </w:t>
      </w:r>
    </w:p>
    <w:p w:rsidR="002D1E45" w:rsidRPr="00FE3508" w:rsidRDefault="002D1E45" w:rsidP="00774D56">
      <w:pPr>
        <w:spacing w:after="0" w:line="240" w:lineRule="auto"/>
        <w:ind w:firstLine="709"/>
        <w:jc w:val="both"/>
        <w:rPr>
          <w:rFonts w:ascii="Times New Roman" w:hAnsi="Times New Roman"/>
          <w:sz w:val="28"/>
          <w:szCs w:val="28"/>
        </w:rPr>
      </w:pPr>
      <w:r>
        <w:rPr>
          <w:rFonts w:ascii="Times New Roman" w:hAnsi="Times New Roman"/>
          <w:sz w:val="28"/>
          <w:szCs w:val="28"/>
        </w:rPr>
        <w:t xml:space="preserve">Снеговые массы преимущественно сгребаются вдоль дорог. В отдельных случаях вывозятся на безопасные участки берега проток, где при повышении температуры плавятся естественным образом. </w:t>
      </w:r>
    </w:p>
    <w:p w:rsidR="002D1E45" w:rsidRPr="00FB2222" w:rsidRDefault="002D1E45" w:rsidP="00FB2222">
      <w:pPr>
        <w:spacing w:after="0" w:line="240" w:lineRule="auto"/>
        <w:ind w:firstLine="709"/>
        <w:jc w:val="both"/>
        <w:rPr>
          <w:rFonts w:ascii="Times New Roman" w:hAnsi="Times New Roman"/>
          <w:sz w:val="28"/>
          <w:szCs w:val="28"/>
        </w:rPr>
      </w:pPr>
      <w:r w:rsidRPr="00FB2222">
        <w:rPr>
          <w:rFonts w:ascii="Times New Roman" w:hAnsi="Times New Roman"/>
          <w:sz w:val="28"/>
          <w:szCs w:val="28"/>
        </w:rPr>
        <w:t>Современное экологическое состояние территории определяется воздействием локальных источников загрязнения на</w:t>
      </w:r>
      <w:r>
        <w:rPr>
          <w:rFonts w:ascii="Times New Roman" w:hAnsi="Times New Roman"/>
          <w:sz w:val="28"/>
          <w:szCs w:val="28"/>
        </w:rPr>
        <w:t> </w:t>
      </w:r>
      <w:r w:rsidRPr="00FB2222">
        <w:rPr>
          <w:rFonts w:ascii="Times New Roman" w:hAnsi="Times New Roman"/>
          <w:sz w:val="28"/>
          <w:szCs w:val="28"/>
        </w:rPr>
        <w:t>компоненты природной среды, трансграничным переносом загрязняющих веществ воздушным путём с</w:t>
      </w:r>
      <w:r>
        <w:rPr>
          <w:rFonts w:ascii="Times New Roman" w:hAnsi="Times New Roman"/>
          <w:sz w:val="28"/>
          <w:szCs w:val="28"/>
        </w:rPr>
        <w:t> </w:t>
      </w:r>
      <w:r w:rsidRPr="00FB2222">
        <w:rPr>
          <w:rFonts w:ascii="Times New Roman" w:hAnsi="Times New Roman"/>
          <w:sz w:val="28"/>
          <w:szCs w:val="28"/>
        </w:rPr>
        <w:t>прилегающих территорий, а</w:t>
      </w:r>
      <w:r>
        <w:rPr>
          <w:rFonts w:ascii="Times New Roman" w:hAnsi="Times New Roman"/>
          <w:sz w:val="28"/>
          <w:szCs w:val="28"/>
        </w:rPr>
        <w:t> </w:t>
      </w:r>
      <w:r w:rsidRPr="00FB2222">
        <w:rPr>
          <w:rFonts w:ascii="Times New Roman" w:hAnsi="Times New Roman"/>
          <w:sz w:val="28"/>
          <w:szCs w:val="28"/>
        </w:rPr>
        <w:t>также от</w:t>
      </w:r>
      <w:r>
        <w:rPr>
          <w:rFonts w:ascii="Times New Roman" w:hAnsi="Times New Roman"/>
          <w:sz w:val="28"/>
          <w:szCs w:val="28"/>
        </w:rPr>
        <w:t> </w:t>
      </w:r>
      <w:r w:rsidRPr="00FB2222">
        <w:rPr>
          <w:rFonts w:ascii="Times New Roman" w:hAnsi="Times New Roman"/>
          <w:sz w:val="28"/>
          <w:szCs w:val="28"/>
        </w:rPr>
        <w:t>климатических особенностей, определяющих условия рассеивания</w:t>
      </w:r>
      <w:r>
        <w:rPr>
          <w:rFonts w:ascii="Times New Roman" w:hAnsi="Times New Roman"/>
          <w:sz w:val="28"/>
          <w:szCs w:val="28"/>
        </w:rPr>
        <w:t xml:space="preserve"> </w:t>
      </w:r>
      <w:r w:rsidRPr="00FB2222">
        <w:rPr>
          <w:rFonts w:ascii="Times New Roman" w:hAnsi="Times New Roman"/>
          <w:sz w:val="28"/>
          <w:szCs w:val="28"/>
        </w:rPr>
        <w:t>и</w:t>
      </w:r>
      <w:r>
        <w:rPr>
          <w:rFonts w:ascii="Times New Roman" w:hAnsi="Times New Roman"/>
          <w:sz w:val="28"/>
          <w:szCs w:val="28"/>
        </w:rPr>
        <w:t> </w:t>
      </w:r>
      <w:r w:rsidRPr="00FB2222">
        <w:rPr>
          <w:rFonts w:ascii="Times New Roman" w:hAnsi="Times New Roman"/>
          <w:sz w:val="28"/>
          <w:szCs w:val="28"/>
        </w:rPr>
        <w:t>вымывания примесей.</w:t>
      </w:r>
    </w:p>
    <w:p w:rsidR="002D1E45" w:rsidRPr="00E6616C" w:rsidRDefault="002D1E45" w:rsidP="00E6616C">
      <w:pPr>
        <w:spacing w:after="0" w:line="240" w:lineRule="auto"/>
        <w:ind w:firstLine="709"/>
        <w:jc w:val="both"/>
        <w:rPr>
          <w:rFonts w:ascii="Times New Roman" w:hAnsi="Times New Roman"/>
          <w:sz w:val="28"/>
          <w:szCs w:val="28"/>
        </w:rPr>
      </w:pPr>
      <w:r w:rsidRPr="00244FD7">
        <w:rPr>
          <w:rFonts w:ascii="Times New Roman" w:hAnsi="Times New Roman"/>
          <w:sz w:val="28"/>
          <w:szCs w:val="28"/>
        </w:rPr>
        <w:t xml:space="preserve">Доля </w:t>
      </w:r>
      <w:r>
        <w:rPr>
          <w:rFonts w:ascii="Times New Roman" w:hAnsi="Times New Roman"/>
          <w:sz w:val="28"/>
          <w:szCs w:val="28"/>
        </w:rPr>
        <w:t>крупногабаритных</w:t>
      </w:r>
      <w:r w:rsidRPr="00244FD7">
        <w:rPr>
          <w:rFonts w:ascii="Times New Roman" w:hAnsi="Times New Roman"/>
          <w:sz w:val="28"/>
          <w:szCs w:val="28"/>
        </w:rPr>
        <w:t xml:space="preserve"> отходов, образующихся в</w:t>
      </w:r>
      <w:r>
        <w:rPr>
          <w:rFonts w:ascii="Times New Roman" w:hAnsi="Times New Roman"/>
          <w:sz w:val="28"/>
          <w:szCs w:val="28"/>
        </w:rPr>
        <w:t> </w:t>
      </w:r>
      <w:r w:rsidRPr="00244FD7">
        <w:rPr>
          <w:rFonts w:ascii="Times New Roman" w:hAnsi="Times New Roman"/>
          <w:sz w:val="28"/>
          <w:szCs w:val="28"/>
        </w:rPr>
        <w:t xml:space="preserve">результате деятельности предприятий, составляет </w:t>
      </w:r>
      <w:r>
        <w:rPr>
          <w:rFonts w:ascii="Times New Roman" w:hAnsi="Times New Roman"/>
          <w:sz w:val="28"/>
          <w:szCs w:val="28"/>
        </w:rPr>
        <w:t xml:space="preserve">5 </w:t>
      </w:r>
      <w:r w:rsidRPr="00244FD7">
        <w:rPr>
          <w:rFonts w:ascii="Times New Roman" w:hAnsi="Times New Roman"/>
          <w:sz w:val="28"/>
          <w:szCs w:val="28"/>
        </w:rPr>
        <w:t>% от</w:t>
      </w:r>
      <w:r>
        <w:rPr>
          <w:rFonts w:ascii="Times New Roman" w:hAnsi="Times New Roman"/>
          <w:sz w:val="28"/>
          <w:szCs w:val="28"/>
        </w:rPr>
        <w:t> </w:t>
      </w:r>
      <w:r w:rsidRPr="00244FD7">
        <w:rPr>
          <w:rFonts w:ascii="Times New Roman" w:hAnsi="Times New Roman"/>
          <w:sz w:val="28"/>
          <w:szCs w:val="28"/>
        </w:rPr>
        <w:t>объёма Т</w:t>
      </w:r>
      <w:r>
        <w:rPr>
          <w:rFonts w:ascii="Times New Roman" w:hAnsi="Times New Roman"/>
          <w:sz w:val="28"/>
          <w:szCs w:val="28"/>
        </w:rPr>
        <w:t>К</w:t>
      </w:r>
      <w:r w:rsidRPr="00244FD7">
        <w:rPr>
          <w:rFonts w:ascii="Times New Roman" w:hAnsi="Times New Roman"/>
          <w:sz w:val="28"/>
          <w:szCs w:val="28"/>
        </w:rPr>
        <w:t xml:space="preserve">О. </w:t>
      </w:r>
      <w:r w:rsidRPr="00E6616C">
        <w:rPr>
          <w:rFonts w:ascii="Times New Roman" w:hAnsi="Times New Roman"/>
          <w:sz w:val="28"/>
          <w:szCs w:val="28"/>
        </w:rPr>
        <w:t>Согласно п. 8.3 «СП 2.1.7.1038-01.2.1.7. Почва, очистка населённых мест, отходы производства и</w:t>
      </w:r>
      <w:r>
        <w:rPr>
          <w:rFonts w:ascii="Times New Roman" w:hAnsi="Times New Roman"/>
          <w:sz w:val="28"/>
          <w:szCs w:val="28"/>
        </w:rPr>
        <w:t> </w:t>
      </w:r>
      <w:r w:rsidRPr="00E6616C">
        <w:rPr>
          <w:rFonts w:ascii="Times New Roman" w:hAnsi="Times New Roman"/>
          <w:sz w:val="28"/>
          <w:szCs w:val="28"/>
        </w:rPr>
        <w:t>потребления, санитарная охрана почвы. Гигиенические требования к</w:t>
      </w:r>
      <w:r>
        <w:rPr>
          <w:rFonts w:ascii="Times New Roman" w:hAnsi="Times New Roman"/>
          <w:sz w:val="28"/>
          <w:szCs w:val="28"/>
        </w:rPr>
        <w:t> </w:t>
      </w:r>
      <w:r w:rsidRPr="00E6616C">
        <w:rPr>
          <w:rFonts w:ascii="Times New Roman" w:hAnsi="Times New Roman"/>
          <w:sz w:val="28"/>
          <w:szCs w:val="28"/>
        </w:rPr>
        <w:t>устройству и</w:t>
      </w:r>
      <w:r>
        <w:rPr>
          <w:rFonts w:ascii="Times New Roman" w:hAnsi="Times New Roman"/>
          <w:sz w:val="28"/>
          <w:szCs w:val="28"/>
        </w:rPr>
        <w:t> </w:t>
      </w:r>
      <w:r w:rsidRPr="00E6616C">
        <w:rPr>
          <w:rFonts w:ascii="Times New Roman" w:hAnsi="Times New Roman"/>
          <w:sz w:val="28"/>
          <w:szCs w:val="28"/>
        </w:rPr>
        <w:t>содержанию полигонов для твёрдых бытовых отходов. Санитарные правила», на</w:t>
      </w:r>
      <w:r>
        <w:rPr>
          <w:rFonts w:ascii="Times New Roman" w:hAnsi="Times New Roman"/>
          <w:sz w:val="28"/>
          <w:szCs w:val="28"/>
        </w:rPr>
        <w:t> </w:t>
      </w:r>
      <w:r w:rsidRPr="00E6616C">
        <w:rPr>
          <w:rFonts w:ascii="Times New Roman" w:hAnsi="Times New Roman"/>
          <w:sz w:val="28"/>
          <w:szCs w:val="28"/>
        </w:rPr>
        <w:t>полигонах ТКО могут приниматься и</w:t>
      </w:r>
      <w:r>
        <w:rPr>
          <w:rFonts w:ascii="Times New Roman" w:hAnsi="Times New Roman"/>
          <w:sz w:val="28"/>
          <w:szCs w:val="28"/>
        </w:rPr>
        <w:t> </w:t>
      </w:r>
      <w:r w:rsidRPr="00E6616C">
        <w:rPr>
          <w:rFonts w:ascii="Times New Roman" w:hAnsi="Times New Roman"/>
          <w:sz w:val="28"/>
          <w:szCs w:val="28"/>
        </w:rPr>
        <w:t>складироваться совместно с</w:t>
      </w:r>
      <w:r>
        <w:rPr>
          <w:rFonts w:ascii="Times New Roman" w:hAnsi="Times New Roman"/>
          <w:sz w:val="28"/>
          <w:szCs w:val="28"/>
        </w:rPr>
        <w:t> </w:t>
      </w:r>
      <w:r w:rsidRPr="00E6616C">
        <w:rPr>
          <w:rFonts w:ascii="Times New Roman" w:hAnsi="Times New Roman"/>
          <w:sz w:val="28"/>
          <w:szCs w:val="28"/>
        </w:rPr>
        <w:t xml:space="preserve">ТКО промышленные отходы </w:t>
      </w:r>
      <w:r w:rsidRPr="00E6616C">
        <w:rPr>
          <w:rFonts w:ascii="Times New Roman" w:hAnsi="Times New Roman"/>
          <w:sz w:val="28"/>
          <w:szCs w:val="28"/>
          <w:lang w:val="en-US"/>
        </w:rPr>
        <w:t>IV</w:t>
      </w:r>
      <w:r>
        <w:rPr>
          <w:rFonts w:ascii="Times New Roman" w:hAnsi="Times New Roman"/>
          <w:sz w:val="28"/>
          <w:szCs w:val="28"/>
        </w:rPr>
        <w:t> </w:t>
      </w:r>
      <w:r w:rsidRPr="00E6616C">
        <w:rPr>
          <w:rFonts w:ascii="Times New Roman" w:hAnsi="Times New Roman"/>
          <w:sz w:val="28"/>
          <w:szCs w:val="28"/>
        </w:rPr>
        <w:t>и</w:t>
      </w:r>
      <w:r>
        <w:rPr>
          <w:rFonts w:ascii="Times New Roman" w:hAnsi="Times New Roman"/>
          <w:sz w:val="28"/>
          <w:szCs w:val="28"/>
        </w:rPr>
        <w:t> </w:t>
      </w:r>
      <w:r w:rsidRPr="00E6616C">
        <w:rPr>
          <w:rFonts w:ascii="Times New Roman" w:hAnsi="Times New Roman"/>
          <w:sz w:val="28"/>
          <w:szCs w:val="28"/>
          <w:lang w:val="en-US"/>
        </w:rPr>
        <w:t>III</w:t>
      </w:r>
      <w:r w:rsidRPr="00E6616C">
        <w:rPr>
          <w:rFonts w:ascii="Times New Roman" w:hAnsi="Times New Roman"/>
          <w:sz w:val="28"/>
          <w:szCs w:val="28"/>
        </w:rPr>
        <w:t xml:space="preserve"> класса опасности в</w:t>
      </w:r>
      <w:r>
        <w:rPr>
          <w:rFonts w:ascii="Times New Roman" w:hAnsi="Times New Roman"/>
          <w:sz w:val="28"/>
          <w:szCs w:val="28"/>
        </w:rPr>
        <w:t> </w:t>
      </w:r>
      <w:r w:rsidRPr="00E6616C">
        <w:rPr>
          <w:rFonts w:ascii="Times New Roman" w:hAnsi="Times New Roman"/>
          <w:sz w:val="28"/>
          <w:szCs w:val="28"/>
        </w:rPr>
        <w:t>ограниченном количестве (не более 30 % от</w:t>
      </w:r>
      <w:r>
        <w:rPr>
          <w:rFonts w:ascii="Times New Roman" w:hAnsi="Times New Roman"/>
          <w:sz w:val="28"/>
          <w:szCs w:val="28"/>
        </w:rPr>
        <w:t> </w:t>
      </w:r>
      <w:r w:rsidRPr="00E6616C">
        <w:rPr>
          <w:rFonts w:ascii="Times New Roman" w:hAnsi="Times New Roman"/>
          <w:sz w:val="28"/>
          <w:szCs w:val="28"/>
        </w:rPr>
        <w:t>массы твёрдых коммунальных отходов).</w:t>
      </w:r>
    </w:p>
    <w:p w:rsidR="002D1E45" w:rsidRDefault="002D1E45" w:rsidP="00774D56">
      <w:pPr>
        <w:spacing w:after="0" w:line="240" w:lineRule="auto"/>
        <w:ind w:firstLine="709"/>
        <w:jc w:val="both"/>
        <w:rPr>
          <w:rFonts w:ascii="Times New Roman" w:hAnsi="Times New Roman"/>
          <w:color w:val="000000"/>
          <w:sz w:val="28"/>
          <w:szCs w:val="28"/>
        </w:rPr>
      </w:pPr>
      <w:r w:rsidRPr="006E33A2">
        <w:rPr>
          <w:rFonts w:ascii="Times New Roman" w:hAnsi="Times New Roman"/>
          <w:color w:val="000000"/>
          <w:sz w:val="28"/>
          <w:szCs w:val="28"/>
        </w:rPr>
        <w:t>Отходы, образующиеся при строительстве, ремонте, реконструкции жилых и</w:t>
      </w:r>
      <w:r>
        <w:rPr>
          <w:rFonts w:ascii="Times New Roman" w:hAnsi="Times New Roman"/>
          <w:color w:val="000000"/>
          <w:sz w:val="28"/>
          <w:szCs w:val="28"/>
        </w:rPr>
        <w:t> </w:t>
      </w:r>
      <w:r w:rsidRPr="006E33A2">
        <w:rPr>
          <w:rFonts w:ascii="Times New Roman" w:hAnsi="Times New Roman"/>
          <w:color w:val="000000"/>
          <w:sz w:val="28"/>
          <w:szCs w:val="28"/>
        </w:rPr>
        <w:t xml:space="preserve">общественных зданий, </w:t>
      </w:r>
      <w:r>
        <w:rPr>
          <w:rFonts w:ascii="Times New Roman" w:hAnsi="Times New Roman"/>
          <w:color w:val="000000"/>
          <w:sz w:val="28"/>
          <w:szCs w:val="28"/>
        </w:rPr>
        <w:t xml:space="preserve">должны </w:t>
      </w:r>
      <w:r w:rsidRPr="006E33A2">
        <w:rPr>
          <w:rFonts w:ascii="Times New Roman" w:hAnsi="Times New Roman"/>
          <w:color w:val="000000"/>
          <w:sz w:val="28"/>
          <w:szCs w:val="28"/>
        </w:rPr>
        <w:t>вывоз</w:t>
      </w:r>
      <w:r>
        <w:rPr>
          <w:rFonts w:ascii="Times New Roman" w:hAnsi="Times New Roman"/>
          <w:color w:val="000000"/>
          <w:sz w:val="28"/>
          <w:szCs w:val="28"/>
        </w:rPr>
        <w:t>иться</w:t>
      </w:r>
      <w:r w:rsidRPr="006E33A2">
        <w:rPr>
          <w:rFonts w:ascii="Times New Roman" w:hAnsi="Times New Roman"/>
          <w:color w:val="000000"/>
          <w:sz w:val="28"/>
          <w:szCs w:val="28"/>
        </w:rPr>
        <w:t xml:space="preserve"> </w:t>
      </w:r>
      <w:r w:rsidRPr="008C0CD1">
        <w:rPr>
          <w:rFonts w:ascii="Times New Roman" w:hAnsi="Times New Roman"/>
          <w:color w:val="000000"/>
          <w:sz w:val="28"/>
          <w:szCs w:val="28"/>
        </w:rPr>
        <w:t>на</w:t>
      </w:r>
      <w:r>
        <w:rPr>
          <w:rFonts w:ascii="Times New Roman" w:hAnsi="Times New Roman"/>
          <w:color w:val="000000"/>
          <w:sz w:val="28"/>
          <w:szCs w:val="28"/>
        </w:rPr>
        <w:t> </w:t>
      </w:r>
      <w:r w:rsidRPr="008C0CD1">
        <w:rPr>
          <w:rFonts w:ascii="Times New Roman" w:hAnsi="Times New Roman"/>
          <w:color w:val="000000"/>
          <w:sz w:val="28"/>
          <w:szCs w:val="28"/>
        </w:rPr>
        <w:t>лицензированные полигоны, имеющие право на</w:t>
      </w:r>
      <w:r>
        <w:rPr>
          <w:rFonts w:ascii="Times New Roman" w:hAnsi="Times New Roman"/>
          <w:color w:val="000000"/>
          <w:sz w:val="28"/>
          <w:szCs w:val="28"/>
        </w:rPr>
        <w:t> </w:t>
      </w:r>
      <w:r w:rsidRPr="008C0CD1">
        <w:rPr>
          <w:rFonts w:ascii="Times New Roman" w:hAnsi="Times New Roman"/>
          <w:color w:val="000000"/>
          <w:sz w:val="28"/>
          <w:szCs w:val="28"/>
        </w:rPr>
        <w:t>обращение с</w:t>
      </w:r>
      <w:r>
        <w:rPr>
          <w:rFonts w:ascii="Times New Roman" w:hAnsi="Times New Roman"/>
          <w:color w:val="000000"/>
          <w:sz w:val="28"/>
          <w:szCs w:val="28"/>
        </w:rPr>
        <w:t> </w:t>
      </w:r>
      <w:r w:rsidRPr="008C0CD1">
        <w:rPr>
          <w:rFonts w:ascii="Times New Roman" w:hAnsi="Times New Roman"/>
          <w:color w:val="000000"/>
          <w:sz w:val="28"/>
          <w:szCs w:val="28"/>
        </w:rPr>
        <w:t>данным видом отходов</w:t>
      </w:r>
      <w:r w:rsidRPr="006E33A2">
        <w:rPr>
          <w:rFonts w:ascii="Times New Roman" w:hAnsi="Times New Roman"/>
          <w:color w:val="000000"/>
          <w:sz w:val="28"/>
          <w:szCs w:val="28"/>
        </w:rPr>
        <w:t>.</w:t>
      </w:r>
    </w:p>
    <w:p w:rsidR="002D1E45" w:rsidRDefault="002D1E45" w:rsidP="0087007F">
      <w:pPr>
        <w:spacing w:after="0" w:line="240" w:lineRule="auto"/>
        <w:ind w:firstLine="709"/>
        <w:jc w:val="both"/>
        <w:rPr>
          <w:rFonts w:ascii="Times New Roman" w:hAnsi="Times New Roman"/>
          <w:sz w:val="28"/>
          <w:szCs w:val="28"/>
        </w:rPr>
      </w:pPr>
      <w:r w:rsidRPr="0087007F">
        <w:rPr>
          <w:rFonts w:ascii="Times New Roman" w:hAnsi="Times New Roman"/>
          <w:sz w:val="28"/>
          <w:szCs w:val="28"/>
        </w:rPr>
        <w:t xml:space="preserve">Экологическая политика администрации </w:t>
      </w:r>
      <w:r>
        <w:rPr>
          <w:rFonts w:ascii="Times New Roman" w:hAnsi="Times New Roman"/>
          <w:sz w:val="28"/>
          <w:szCs w:val="28"/>
        </w:rPr>
        <w:t>Куйбышевского района</w:t>
      </w:r>
      <w:r w:rsidRPr="0087007F">
        <w:rPr>
          <w:rFonts w:ascii="Times New Roman" w:hAnsi="Times New Roman"/>
          <w:sz w:val="28"/>
          <w:szCs w:val="28"/>
        </w:rPr>
        <w:t>, как и</w:t>
      </w:r>
      <w:r>
        <w:rPr>
          <w:rFonts w:ascii="Times New Roman" w:hAnsi="Times New Roman"/>
          <w:sz w:val="28"/>
          <w:szCs w:val="28"/>
        </w:rPr>
        <w:t> </w:t>
      </w:r>
      <w:r w:rsidRPr="0087007F">
        <w:rPr>
          <w:rFonts w:ascii="Times New Roman" w:hAnsi="Times New Roman"/>
          <w:sz w:val="28"/>
          <w:szCs w:val="28"/>
        </w:rPr>
        <w:t>в</w:t>
      </w:r>
      <w:r>
        <w:rPr>
          <w:rFonts w:ascii="Times New Roman" w:hAnsi="Times New Roman"/>
          <w:sz w:val="28"/>
          <w:szCs w:val="28"/>
        </w:rPr>
        <w:t> </w:t>
      </w:r>
      <w:r w:rsidRPr="0087007F">
        <w:rPr>
          <w:rFonts w:ascii="Times New Roman" w:hAnsi="Times New Roman"/>
          <w:sz w:val="28"/>
          <w:szCs w:val="28"/>
        </w:rPr>
        <w:t>предыдущие годы, направлена на</w:t>
      </w:r>
      <w:r>
        <w:rPr>
          <w:rFonts w:ascii="Times New Roman" w:hAnsi="Times New Roman"/>
          <w:sz w:val="28"/>
          <w:szCs w:val="28"/>
        </w:rPr>
        <w:t> </w:t>
      </w:r>
      <w:r w:rsidRPr="0087007F">
        <w:rPr>
          <w:rFonts w:ascii="Times New Roman" w:hAnsi="Times New Roman"/>
          <w:sz w:val="28"/>
          <w:szCs w:val="28"/>
        </w:rPr>
        <w:t>улучшение качества окружающей природной среды, предотвращение деградации природных комплексов и</w:t>
      </w:r>
      <w:r>
        <w:rPr>
          <w:rFonts w:ascii="Times New Roman" w:hAnsi="Times New Roman"/>
          <w:sz w:val="28"/>
          <w:szCs w:val="28"/>
        </w:rPr>
        <w:t> </w:t>
      </w:r>
      <w:r w:rsidRPr="0087007F">
        <w:rPr>
          <w:rFonts w:ascii="Times New Roman" w:hAnsi="Times New Roman"/>
          <w:sz w:val="28"/>
          <w:szCs w:val="28"/>
        </w:rPr>
        <w:t>снижение влияния неблагоприятных экологических факторов на</w:t>
      </w:r>
      <w:r>
        <w:rPr>
          <w:rFonts w:ascii="Times New Roman" w:hAnsi="Times New Roman"/>
          <w:sz w:val="28"/>
          <w:szCs w:val="28"/>
        </w:rPr>
        <w:t> </w:t>
      </w:r>
      <w:r w:rsidRPr="0087007F">
        <w:rPr>
          <w:rFonts w:ascii="Times New Roman" w:hAnsi="Times New Roman"/>
          <w:sz w:val="28"/>
          <w:szCs w:val="28"/>
        </w:rPr>
        <w:t>здоровье населения. Достижение данных целей органами местного самоуправления района решается посредством выполнения задач по</w:t>
      </w:r>
      <w:r>
        <w:rPr>
          <w:rFonts w:ascii="Times New Roman" w:hAnsi="Times New Roman"/>
          <w:sz w:val="28"/>
          <w:szCs w:val="28"/>
        </w:rPr>
        <w:t> </w:t>
      </w:r>
      <w:r w:rsidRPr="0087007F">
        <w:rPr>
          <w:rFonts w:ascii="Times New Roman" w:hAnsi="Times New Roman"/>
          <w:sz w:val="28"/>
          <w:szCs w:val="28"/>
        </w:rPr>
        <w:t xml:space="preserve">недопустимости загрязнения окружающей среды. </w:t>
      </w:r>
    </w:p>
    <w:p w:rsidR="002D1E45" w:rsidRPr="00714BC7" w:rsidRDefault="002D1E45" w:rsidP="00852938">
      <w:pPr>
        <w:pStyle w:val="Heading2"/>
        <w:numPr>
          <w:ilvl w:val="1"/>
          <w:numId w:val="65"/>
        </w:numPr>
        <w:spacing w:before="240"/>
        <w:ind w:left="993" w:hanging="633"/>
        <w:jc w:val="both"/>
        <w:rPr>
          <w:b/>
        </w:rPr>
      </w:pPr>
      <w:bookmarkStart w:id="151" w:name="_Toc475037090"/>
      <w:bookmarkStart w:id="152" w:name="_Toc84936031"/>
      <w:r w:rsidRPr="00714BC7">
        <w:rPr>
          <w:b/>
        </w:rPr>
        <w:t>Зона инженерной инфраструктуры</w:t>
      </w:r>
      <w:bookmarkEnd w:id="151"/>
      <w:bookmarkEnd w:id="152"/>
    </w:p>
    <w:p w:rsidR="002D1E45" w:rsidRPr="005D2741" w:rsidRDefault="002D1E45" w:rsidP="00852938">
      <w:pPr>
        <w:pStyle w:val="Heading3"/>
        <w:numPr>
          <w:ilvl w:val="2"/>
          <w:numId w:val="65"/>
        </w:numPr>
        <w:tabs>
          <w:tab w:val="left" w:pos="1418"/>
        </w:tabs>
        <w:spacing w:before="120"/>
        <w:ind w:left="1418" w:hanging="698"/>
        <w:jc w:val="both"/>
        <w:rPr>
          <w:rFonts w:ascii="Times New Roman" w:hAnsi="Times New Roman"/>
          <w:sz w:val="28"/>
        </w:rPr>
      </w:pPr>
      <w:bookmarkStart w:id="153" w:name="_Toc475037091"/>
      <w:bookmarkStart w:id="154" w:name="_Toc84936032"/>
      <w:r w:rsidRPr="005D2741">
        <w:rPr>
          <w:rFonts w:ascii="Times New Roman" w:hAnsi="Times New Roman"/>
          <w:sz w:val="28"/>
        </w:rPr>
        <w:t>Водоснабжение</w:t>
      </w:r>
      <w:bookmarkEnd w:id="153"/>
      <w:bookmarkEnd w:id="154"/>
    </w:p>
    <w:p w:rsidR="002D1E45" w:rsidRDefault="002D1E45" w:rsidP="003A7901">
      <w:pPr>
        <w:spacing w:after="0" w:line="240" w:lineRule="auto"/>
        <w:ind w:firstLine="709"/>
        <w:jc w:val="both"/>
        <w:rPr>
          <w:rFonts w:ascii="Times New Roman" w:hAnsi="Times New Roman"/>
          <w:sz w:val="28"/>
          <w:szCs w:val="28"/>
        </w:rPr>
      </w:pPr>
    </w:p>
    <w:p w:rsidR="002D1E45" w:rsidRPr="00834ED1" w:rsidRDefault="002D1E45" w:rsidP="00834ED1">
      <w:pPr>
        <w:autoSpaceDE w:val="0"/>
        <w:autoSpaceDN w:val="0"/>
        <w:adjustRightInd w:val="0"/>
        <w:spacing w:after="0" w:line="240" w:lineRule="auto"/>
        <w:ind w:firstLine="709"/>
        <w:jc w:val="both"/>
        <w:rPr>
          <w:rFonts w:ascii="Times New Roman" w:hAnsi="Times New Roman"/>
          <w:sz w:val="28"/>
          <w:szCs w:val="28"/>
        </w:rPr>
      </w:pPr>
      <w:r w:rsidRPr="00834ED1">
        <w:rPr>
          <w:rFonts w:ascii="Times New Roman" w:hAnsi="Times New Roman"/>
          <w:sz w:val="28"/>
          <w:szCs w:val="28"/>
        </w:rPr>
        <w:t>Поверхностный водозабор осуществляется из реки Омь насосно-фильтровальной станцией (НФС).</w:t>
      </w:r>
      <w:r>
        <w:rPr>
          <w:rFonts w:ascii="Times New Roman" w:hAnsi="Times New Roman"/>
          <w:sz w:val="28"/>
          <w:szCs w:val="28"/>
        </w:rPr>
        <w:t xml:space="preserve"> </w:t>
      </w:r>
      <w:r w:rsidRPr="00834ED1">
        <w:rPr>
          <w:rFonts w:ascii="Times New Roman" w:hAnsi="Times New Roman"/>
          <w:sz w:val="28"/>
          <w:szCs w:val="28"/>
        </w:rPr>
        <w:t>Своё начало р. Омь берет из небольшого озера на омском болоте на отметке 131 м (абс.). Место впадения в р. Иртыш находится в г. Омске. Длина реки около 1000 км, площадь бассейна 60000 км</w:t>
      </w:r>
      <w:r w:rsidRPr="00834ED1">
        <w:rPr>
          <w:rFonts w:ascii="Times New Roman" w:hAnsi="Times New Roman"/>
          <w:sz w:val="28"/>
          <w:szCs w:val="28"/>
          <w:vertAlign w:val="superscript"/>
        </w:rPr>
        <w:t>2</w:t>
      </w:r>
      <w:r w:rsidRPr="00834ED1">
        <w:rPr>
          <w:rFonts w:ascii="Times New Roman" w:hAnsi="Times New Roman"/>
          <w:sz w:val="28"/>
          <w:szCs w:val="28"/>
        </w:rPr>
        <w:t xml:space="preserve">, средний уклон 0,0006, а в районе города уклон снижается до 0,000045. В верхнем и среднем течении река сильно извилиста, протекает через ряд длинных и узких озёр. Берега невысокие, покрыты лесом. Ширина русла от 2 до 50 м, глубина около 3,0 м. В 150-170 км от истока р. Омь входит в район Барабинской степи. Здесь она протекает в узкой долине и высоких берегах, местами достигающих 20-30 м высоты. Ширина русла от 40 до 100 м, глубина от 0,4 до 4,0 м. Дно песчано-глинистое, местами илистое. В нижнем течении уклоны очень малы, течение очень медленное. </w:t>
      </w:r>
    </w:p>
    <w:p w:rsidR="002D1E45" w:rsidRPr="00834ED1" w:rsidRDefault="002D1E45" w:rsidP="00834ED1">
      <w:pPr>
        <w:autoSpaceDE w:val="0"/>
        <w:autoSpaceDN w:val="0"/>
        <w:adjustRightInd w:val="0"/>
        <w:spacing w:after="0" w:line="240" w:lineRule="auto"/>
        <w:ind w:firstLine="709"/>
        <w:jc w:val="both"/>
        <w:rPr>
          <w:rFonts w:ascii="Times New Roman" w:hAnsi="Times New Roman"/>
          <w:sz w:val="28"/>
          <w:szCs w:val="28"/>
        </w:rPr>
      </w:pPr>
      <w:r w:rsidRPr="00834ED1">
        <w:rPr>
          <w:rFonts w:ascii="Times New Roman" w:hAnsi="Times New Roman"/>
          <w:sz w:val="28"/>
          <w:szCs w:val="28"/>
        </w:rPr>
        <w:t>Город Куйбышев Новосибирской области расположен на 723 км от устья р. Оми. Площадь бассейна у реки Оми к городу Куйбышев</w:t>
      </w:r>
      <w:r>
        <w:rPr>
          <w:rFonts w:ascii="Times New Roman" w:hAnsi="Times New Roman"/>
          <w:sz w:val="28"/>
          <w:szCs w:val="28"/>
        </w:rPr>
        <w:t>у</w:t>
      </w:r>
      <w:r w:rsidRPr="00834ED1">
        <w:rPr>
          <w:rFonts w:ascii="Times New Roman" w:hAnsi="Times New Roman"/>
          <w:sz w:val="28"/>
          <w:szCs w:val="28"/>
        </w:rPr>
        <w:t xml:space="preserve"> 12900 км</w:t>
      </w:r>
      <w:r w:rsidRPr="00834ED1">
        <w:rPr>
          <w:rFonts w:ascii="Times New Roman" w:hAnsi="Times New Roman"/>
          <w:sz w:val="28"/>
          <w:szCs w:val="28"/>
          <w:vertAlign w:val="superscript"/>
        </w:rPr>
        <w:t>2</w:t>
      </w:r>
      <w:r w:rsidRPr="00834ED1">
        <w:rPr>
          <w:rFonts w:ascii="Times New Roman" w:hAnsi="Times New Roman"/>
          <w:sz w:val="28"/>
          <w:szCs w:val="28"/>
        </w:rPr>
        <w:t>. Ширина реки у г. Куйбышева 25-30 м, глубина около 0,9-1,2 м.</w:t>
      </w:r>
    </w:p>
    <w:p w:rsidR="002D1E45" w:rsidRPr="00834ED1" w:rsidRDefault="002D1E45" w:rsidP="00834ED1">
      <w:pPr>
        <w:autoSpaceDE w:val="0"/>
        <w:autoSpaceDN w:val="0"/>
        <w:adjustRightInd w:val="0"/>
        <w:spacing w:after="0" w:line="240" w:lineRule="auto"/>
        <w:ind w:firstLine="709"/>
        <w:jc w:val="both"/>
        <w:rPr>
          <w:rFonts w:ascii="Times New Roman" w:hAnsi="Times New Roman"/>
          <w:sz w:val="28"/>
          <w:szCs w:val="28"/>
        </w:rPr>
      </w:pPr>
      <w:r w:rsidRPr="00834ED1">
        <w:rPr>
          <w:rFonts w:ascii="Times New Roman" w:hAnsi="Times New Roman"/>
          <w:sz w:val="28"/>
          <w:szCs w:val="28"/>
        </w:rPr>
        <w:t>Подземный водозабор осуществляется артезианскими скважинами в количестве 11 шт. Для централизованного водоснабжения используется воды вернее-меловых и нижнеолигоценовых отложений.</w:t>
      </w:r>
    </w:p>
    <w:p w:rsidR="002D1E45" w:rsidRPr="00834ED1" w:rsidRDefault="002D1E45" w:rsidP="00834ED1">
      <w:pPr>
        <w:autoSpaceDE w:val="0"/>
        <w:autoSpaceDN w:val="0"/>
        <w:adjustRightInd w:val="0"/>
        <w:spacing w:after="0" w:line="240" w:lineRule="auto"/>
        <w:ind w:firstLine="709"/>
        <w:jc w:val="both"/>
        <w:rPr>
          <w:rFonts w:ascii="Times New Roman" w:hAnsi="Times New Roman"/>
          <w:sz w:val="28"/>
          <w:szCs w:val="28"/>
        </w:rPr>
      </w:pPr>
      <w:r w:rsidRPr="00834ED1">
        <w:rPr>
          <w:rFonts w:ascii="Times New Roman" w:hAnsi="Times New Roman"/>
          <w:sz w:val="28"/>
          <w:szCs w:val="28"/>
        </w:rPr>
        <w:t>Питьевая вода после НФС и артезианских скважин по водоводам подаётся в город, где по системам трубопроводов распределяется по кварталам и улицам.</w:t>
      </w:r>
    </w:p>
    <w:p w:rsidR="002D1E45" w:rsidRDefault="002D1E45" w:rsidP="00834ED1">
      <w:pPr>
        <w:autoSpaceDE w:val="0"/>
        <w:autoSpaceDN w:val="0"/>
        <w:adjustRightInd w:val="0"/>
        <w:spacing w:after="0" w:line="240" w:lineRule="auto"/>
        <w:ind w:firstLine="709"/>
        <w:jc w:val="both"/>
        <w:rPr>
          <w:rFonts w:ascii="Times New Roman" w:hAnsi="Times New Roman"/>
          <w:sz w:val="28"/>
          <w:szCs w:val="28"/>
        </w:rPr>
      </w:pPr>
      <w:r w:rsidRPr="00834ED1">
        <w:rPr>
          <w:rFonts w:ascii="Times New Roman" w:hAnsi="Times New Roman"/>
          <w:sz w:val="28"/>
          <w:szCs w:val="28"/>
        </w:rPr>
        <w:t>Обслуживание централизованной системы водоснабжения в городе Куйбышеве осуществляет МУП «Горводоканал», которое имеет на своём балансе насосно-фильтровальную станцию, скважины и водопроводы.</w:t>
      </w:r>
    </w:p>
    <w:p w:rsidR="002D1E45" w:rsidRPr="001959E3" w:rsidRDefault="002D1E45" w:rsidP="00F6263C">
      <w:pPr>
        <w:autoSpaceDE w:val="0"/>
        <w:autoSpaceDN w:val="0"/>
        <w:adjustRightInd w:val="0"/>
        <w:spacing w:after="0" w:line="240" w:lineRule="auto"/>
        <w:ind w:firstLine="709"/>
        <w:jc w:val="right"/>
        <w:rPr>
          <w:rFonts w:ascii="Times New Roman" w:hAnsi="Times New Roman"/>
          <w:sz w:val="28"/>
          <w:szCs w:val="24"/>
          <w:lang w:eastAsia="ru-RU"/>
        </w:rPr>
      </w:pPr>
      <w:r w:rsidRPr="001959E3">
        <w:rPr>
          <w:rFonts w:ascii="Times New Roman" w:hAnsi="Times New Roman"/>
          <w:sz w:val="28"/>
          <w:szCs w:val="24"/>
          <w:lang w:eastAsia="ru-RU"/>
        </w:rPr>
        <w:t xml:space="preserve">Таблица </w:t>
      </w:r>
      <w:r w:rsidRPr="001959E3">
        <w:rPr>
          <w:rFonts w:ascii="Times New Roman" w:hAnsi="Times New Roman"/>
          <w:sz w:val="28"/>
          <w:szCs w:val="24"/>
        </w:rPr>
        <w:fldChar w:fldCharType="begin"/>
      </w:r>
      <w:r w:rsidRPr="001959E3">
        <w:rPr>
          <w:rFonts w:ascii="Times New Roman" w:hAnsi="Times New Roman"/>
          <w:sz w:val="28"/>
          <w:szCs w:val="24"/>
        </w:rPr>
        <w:instrText xml:space="preserve"> SEQ Таблица \* ARABIC </w:instrText>
      </w:r>
      <w:r w:rsidRPr="001959E3">
        <w:rPr>
          <w:rFonts w:ascii="Times New Roman" w:hAnsi="Times New Roman"/>
          <w:sz w:val="28"/>
          <w:szCs w:val="24"/>
        </w:rPr>
        <w:fldChar w:fldCharType="separate"/>
      </w:r>
      <w:r>
        <w:rPr>
          <w:rFonts w:ascii="Times New Roman" w:hAnsi="Times New Roman"/>
          <w:noProof/>
          <w:sz w:val="28"/>
          <w:szCs w:val="24"/>
        </w:rPr>
        <w:t>16</w:t>
      </w:r>
      <w:r w:rsidRPr="001959E3">
        <w:rPr>
          <w:rFonts w:ascii="Times New Roman" w:hAnsi="Times New Roman"/>
          <w:sz w:val="28"/>
          <w:szCs w:val="24"/>
        </w:rPr>
        <w:fldChar w:fldCharType="end"/>
      </w:r>
    </w:p>
    <w:p w:rsidR="002D1E45" w:rsidRDefault="002D1E45" w:rsidP="00F6263C">
      <w:pPr>
        <w:spacing w:after="120" w:line="240" w:lineRule="auto"/>
        <w:jc w:val="center"/>
        <w:rPr>
          <w:rFonts w:ascii="Times New Roman" w:hAnsi="Times New Roman"/>
          <w:sz w:val="28"/>
          <w:szCs w:val="28"/>
          <w:lang w:eastAsia="ru-RU"/>
        </w:rPr>
      </w:pPr>
      <w:r w:rsidRPr="00F6263C">
        <w:rPr>
          <w:rFonts w:ascii="Times New Roman" w:hAnsi="Times New Roman"/>
          <w:sz w:val="28"/>
          <w:szCs w:val="28"/>
          <w:lang w:eastAsia="ru-RU"/>
        </w:rPr>
        <w:t>Характеристика существующей системы водоснабжения</w:t>
      </w:r>
    </w:p>
    <w:tbl>
      <w:tblPr>
        <w:tblW w:w="10087" w:type="dxa"/>
        <w:jc w:val="center"/>
        <w:tblLayout w:type="fixed"/>
        <w:tblCellMar>
          <w:left w:w="0" w:type="dxa"/>
          <w:right w:w="0" w:type="dxa"/>
        </w:tblCellMar>
        <w:tblLook w:val="0000"/>
      </w:tblPr>
      <w:tblGrid>
        <w:gridCol w:w="1530"/>
        <w:gridCol w:w="1867"/>
        <w:gridCol w:w="1701"/>
        <w:gridCol w:w="1539"/>
        <w:gridCol w:w="1722"/>
        <w:gridCol w:w="1728"/>
      </w:tblGrid>
      <w:tr w:rsidR="002D1E45" w:rsidRPr="001F3B40" w:rsidTr="001F3B40">
        <w:trPr>
          <w:trHeight w:val="57"/>
          <w:jc w:val="center"/>
        </w:trPr>
        <w:tc>
          <w:tcPr>
            <w:tcW w:w="1530" w:type="dxa"/>
            <w:tcBorders>
              <w:top w:val="single" w:sz="4" w:space="0" w:color="auto"/>
              <w:left w:val="single" w:sz="4" w:space="0" w:color="auto"/>
              <w:bottom w:val="nil"/>
              <w:right w:val="nil"/>
            </w:tcBorders>
            <w:shd w:val="clear" w:color="auto" w:fill="FFFFFF"/>
            <w:vAlign w:val="center"/>
          </w:tcPr>
          <w:p w:rsidR="002D1E45" w:rsidRPr="001F3B40" w:rsidRDefault="002D1E45" w:rsidP="001F3B40">
            <w:pPr>
              <w:spacing w:after="0" w:line="240" w:lineRule="auto"/>
              <w:ind w:left="28" w:right="28"/>
              <w:jc w:val="center"/>
              <w:rPr>
                <w:rFonts w:ascii="Times New Roman" w:hAnsi="Times New Roman"/>
                <w:sz w:val="24"/>
                <w:szCs w:val="24"/>
                <w:lang w:eastAsia="ru-RU"/>
              </w:rPr>
            </w:pPr>
            <w:r w:rsidRPr="001F3B40">
              <w:rPr>
                <w:rFonts w:ascii="Times New Roman" w:hAnsi="Times New Roman"/>
                <w:color w:val="000000"/>
                <w:sz w:val="24"/>
                <w:szCs w:val="24"/>
                <w:lang w:eastAsia="ru-RU"/>
              </w:rPr>
              <w:t>Населённые</w:t>
            </w:r>
            <w:r>
              <w:rPr>
                <w:rFonts w:ascii="Times New Roman" w:hAnsi="Times New Roman"/>
                <w:color w:val="000000"/>
                <w:sz w:val="24"/>
                <w:szCs w:val="24"/>
                <w:lang w:eastAsia="ru-RU"/>
              </w:rPr>
              <w:t xml:space="preserve"> </w:t>
            </w:r>
            <w:r w:rsidRPr="001F3B40">
              <w:rPr>
                <w:rFonts w:ascii="Times New Roman" w:hAnsi="Times New Roman"/>
                <w:color w:val="000000"/>
                <w:sz w:val="24"/>
                <w:szCs w:val="24"/>
                <w:lang w:eastAsia="ru-RU"/>
              </w:rPr>
              <w:t>пункты</w:t>
            </w:r>
          </w:p>
        </w:tc>
        <w:tc>
          <w:tcPr>
            <w:tcW w:w="1867" w:type="dxa"/>
            <w:tcBorders>
              <w:top w:val="single" w:sz="4" w:space="0" w:color="auto"/>
              <w:left w:val="single" w:sz="4" w:space="0" w:color="auto"/>
              <w:bottom w:val="nil"/>
              <w:right w:val="nil"/>
            </w:tcBorders>
            <w:shd w:val="clear" w:color="auto" w:fill="FFFFFF"/>
            <w:vAlign w:val="center"/>
          </w:tcPr>
          <w:p w:rsidR="002D1E45" w:rsidRPr="001F3B40" w:rsidRDefault="002D1E45" w:rsidP="001F3B40">
            <w:pPr>
              <w:spacing w:after="0" w:line="240" w:lineRule="auto"/>
              <w:ind w:left="28" w:right="28"/>
              <w:jc w:val="center"/>
              <w:rPr>
                <w:rFonts w:ascii="Times New Roman" w:hAnsi="Times New Roman"/>
                <w:sz w:val="24"/>
                <w:szCs w:val="24"/>
                <w:lang w:eastAsia="ru-RU"/>
              </w:rPr>
            </w:pPr>
            <w:r w:rsidRPr="001F3B40">
              <w:rPr>
                <w:rFonts w:ascii="Times New Roman" w:hAnsi="Times New Roman"/>
                <w:color w:val="000000"/>
                <w:sz w:val="24"/>
                <w:szCs w:val="24"/>
                <w:lang w:eastAsia="ru-RU"/>
              </w:rPr>
              <w:t>Количество артезианских скважин, ед.</w:t>
            </w:r>
          </w:p>
        </w:tc>
        <w:tc>
          <w:tcPr>
            <w:tcW w:w="1701" w:type="dxa"/>
            <w:tcBorders>
              <w:top w:val="single" w:sz="4" w:space="0" w:color="auto"/>
              <w:left w:val="single" w:sz="4" w:space="0" w:color="auto"/>
              <w:bottom w:val="nil"/>
              <w:right w:val="nil"/>
            </w:tcBorders>
            <w:shd w:val="clear" w:color="auto" w:fill="FFFFFF"/>
            <w:vAlign w:val="center"/>
          </w:tcPr>
          <w:p w:rsidR="002D1E45" w:rsidRPr="001F3B40" w:rsidRDefault="002D1E45" w:rsidP="001F3B40">
            <w:pPr>
              <w:spacing w:after="0" w:line="240" w:lineRule="auto"/>
              <w:ind w:left="28" w:right="28"/>
              <w:jc w:val="center"/>
              <w:rPr>
                <w:rFonts w:ascii="Times New Roman" w:hAnsi="Times New Roman"/>
                <w:sz w:val="24"/>
                <w:szCs w:val="24"/>
                <w:lang w:eastAsia="ru-RU"/>
              </w:rPr>
            </w:pPr>
            <w:r>
              <w:rPr>
                <w:rFonts w:ascii="Times New Roman" w:hAnsi="Times New Roman"/>
                <w:color w:val="000000"/>
                <w:sz w:val="24"/>
                <w:szCs w:val="24"/>
                <w:lang w:eastAsia="ru-RU"/>
              </w:rPr>
              <w:t>П</w:t>
            </w:r>
            <w:r w:rsidRPr="001F3B40">
              <w:rPr>
                <w:rFonts w:ascii="Times New Roman" w:hAnsi="Times New Roman"/>
                <w:color w:val="000000"/>
                <w:sz w:val="24"/>
                <w:szCs w:val="24"/>
                <w:lang w:eastAsia="ru-RU"/>
              </w:rPr>
              <w:t>роизводитель</w:t>
            </w:r>
            <w:r>
              <w:rPr>
                <w:rFonts w:ascii="Times New Roman" w:hAnsi="Times New Roman"/>
                <w:color w:val="000000"/>
                <w:sz w:val="24"/>
                <w:szCs w:val="24"/>
                <w:lang w:eastAsia="ru-RU"/>
              </w:rPr>
              <w:t>н</w:t>
            </w:r>
            <w:r w:rsidRPr="001F3B40">
              <w:rPr>
                <w:rFonts w:ascii="Times New Roman" w:hAnsi="Times New Roman"/>
                <w:color w:val="000000"/>
                <w:sz w:val="24"/>
                <w:szCs w:val="24"/>
                <w:lang w:eastAsia="ru-RU"/>
              </w:rPr>
              <w:t>ость скважин, м</w:t>
            </w:r>
            <w:r w:rsidRPr="001F3B40">
              <w:rPr>
                <w:rFonts w:ascii="Times New Roman" w:hAnsi="Times New Roman"/>
                <w:color w:val="000000"/>
                <w:sz w:val="24"/>
                <w:szCs w:val="24"/>
                <w:vertAlign w:val="superscript"/>
                <w:lang w:eastAsia="ru-RU"/>
              </w:rPr>
              <w:t>3</w:t>
            </w:r>
            <w:r w:rsidRPr="001F3B40">
              <w:rPr>
                <w:rFonts w:ascii="Times New Roman" w:hAnsi="Times New Roman"/>
                <w:color w:val="000000"/>
                <w:sz w:val="24"/>
                <w:szCs w:val="24"/>
                <w:lang w:eastAsia="ru-RU"/>
              </w:rPr>
              <w:t>/час</w:t>
            </w:r>
          </w:p>
        </w:tc>
        <w:tc>
          <w:tcPr>
            <w:tcW w:w="1539" w:type="dxa"/>
            <w:tcBorders>
              <w:top w:val="single" w:sz="4" w:space="0" w:color="auto"/>
              <w:left w:val="single" w:sz="4" w:space="0" w:color="auto"/>
              <w:bottom w:val="nil"/>
              <w:right w:val="nil"/>
            </w:tcBorders>
            <w:shd w:val="clear" w:color="auto" w:fill="FFFFFF"/>
            <w:vAlign w:val="center"/>
          </w:tcPr>
          <w:p w:rsidR="002D1E45" w:rsidRPr="001F3B40" w:rsidRDefault="002D1E45" w:rsidP="001F3B40">
            <w:pPr>
              <w:spacing w:after="0" w:line="240" w:lineRule="auto"/>
              <w:ind w:left="28" w:right="28"/>
              <w:jc w:val="center"/>
              <w:rPr>
                <w:rFonts w:ascii="Times New Roman" w:hAnsi="Times New Roman"/>
                <w:sz w:val="24"/>
                <w:szCs w:val="24"/>
                <w:lang w:eastAsia="ru-RU"/>
              </w:rPr>
            </w:pPr>
            <w:r w:rsidRPr="001F3B40">
              <w:rPr>
                <w:rFonts w:ascii="Times New Roman" w:hAnsi="Times New Roman"/>
                <w:color w:val="000000"/>
                <w:sz w:val="24"/>
                <w:szCs w:val="24"/>
                <w:lang w:eastAsia="ru-RU"/>
              </w:rPr>
              <w:t>Количество водонапорных башен</w:t>
            </w:r>
          </w:p>
        </w:tc>
        <w:tc>
          <w:tcPr>
            <w:tcW w:w="1722" w:type="dxa"/>
            <w:tcBorders>
              <w:top w:val="single" w:sz="4" w:space="0" w:color="auto"/>
              <w:left w:val="single" w:sz="4" w:space="0" w:color="auto"/>
              <w:bottom w:val="nil"/>
              <w:right w:val="nil"/>
            </w:tcBorders>
            <w:shd w:val="clear" w:color="auto" w:fill="FFFFFF"/>
            <w:vAlign w:val="center"/>
          </w:tcPr>
          <w:p w:rsidR="002D1E45" w:rsidRPr="001F3B40" w:rsidRDefault="002D1E45" w:rsidP="001F3B40">
            <w:pPr>
              <w:spacing w:after="0" w:line="240" w:lineRule="auto"/>
              <w:ind w:left="28" w:right="28"/>
              <w:jc w:val="center"/>
              <w:rPr>
                <w:rFonts w:ascii="Times New Roman" w:hAnsi="Times New Roman"/>
                <w:sz w:val="24"/>
                <w:szCs w:val="24"/>
                <w:lang w:eastAsia="ru-RU"/>
              </w:rPr>
            </w:pPr>
            <w:r w:rsidRPr="001F3B40">
              <w:rPr>
                <w:rFonts w:ascii="Times New Roman" w:hAnsi="Times New Roman"/>
                <w:color w:val="000000"/>
                <w:sz w:val="24"/>
                <w:szCs w:val="24"/>
                <w:lang w:eastAsia="ru-RU"/>
              </w:rPr>
              <w:t>В т.ч. недействующих водонапорных башен, ед.</w:t>
            </w:r>
          </w:p>
        </w:tc>
        <w:tc>
          <w:tcPr>
            <w:tcW w:w="1728" w:type="dxa"/>
            <w:tcBorders>
              <w:top w:val="single" w:sz="4" w:space="0" w:color="auto"/>
              <w:left w:val="single" w:sz="4" w:space="0" w:color="auto"/>
              <w:bottom w:val="nil"/>
              <w:right w:val="single" w:sz="4" w:space="0" w:color="auto"/>
            </w:tcBorders>
            <w:shd w:val="clear" w:color="auto" w:fill="FFFFFF"/>
            <w:vAlign w:val="center"/>
          </w:tcPr>
          <w:p w:rsidR="002D1E45" w:rsidRPr="001F3B40" w:rsidRDefault="002D1E45" w:rsidP="001F3B40">
            <w:pPr>
              <w:spacing w:after="0" w:line="240" w:lineRule="auto"/>
              <w:ind w:left="28" w:right="28"/>
              <w:jc w:val="center"/>
              <w:rPr>
                <w:rFonts w:ascii="Times New Roman" w:hAnsi="Times New Roman"/>
                <w:sz w:val="24"/>
                <w:szCs w:val="24"/>
                <w:lang w:eastAsia="ru-RU"/>
              </w:rPr>
            </w:pPr>
            <w:r w:rsidRPr="001F3B40">
              <w:rPr>
                <w:rFonts w:ascii="Times New Roman" w:hAnsi="Times New Roman"/>
                <w:color w:val="000000"/>
                <w:sz w:val="24"/>
                <w:szCs w:val="24"/>
                <w:lang w:eastAsia="ru-RU"/>
              </w:rPr>
              <w:t>Количество и объ</w:t>
            </w:r>
            <w:r>
              <w:rPr>
                <w:rFonts w:ascii="Times New Roman" w:hAnsi="Times New Roman"/>
                <w:color w:val="000000"/>
                <w:sz w:val="24"/>
                <w:szCs w:val="24"/>
                <w:lang w:eastAsia="ru-RU"/>
              </w:rPr>
              <w:t>ё</w:t>
            </w:r>
            <w:r w:rsidRPr="001F3B40">
              <w:rPr>
                <w:rFonts w:ascii="Times New Roman" w:hAnsi="Times New Roman"/>
                <w:color w:val="000000"/>
                <w:sz w:val="24"/>
                <w:szCs w:val="24"/>
                <w:lang w:eastAsia="ru-RU"/>
              </w:rPr>
              <w:t>м дополнительных ёмкостей, м</w:t>
            </w:r>
          </w:p>
        </w:tc>
      </w:tr>
      <w:tr w:rsidR="002D1E45" w:rsidRPr="001F3B40" w:rsidTr="001F3B40">
        <w:trPr>
          <w:trHeight w:val="57"/>
          <w:jc w:val="center"/>
        </w:trPr>
        <w:tc>
          <w:tcPr>
            <w:tcW w:w="1530" w:type="dxa"/>
            <w:tcBorders>
              <w:top w:val="single" w:sz="4" w:space="0" w:color="auto"/>
              <w:left w:val="single" w:sz="4" w:space="0" w:color="auto"/>
              <w:bottom w:val="single" w:sz="4" w:space="0" w:color="auto"/>
              <w:right w:val="nil"/>
            </w:tcBorders>
            <w:shd w:val="clear" w:color="auto" w:fill="FFFFFF"/>
            <w:vAlign w:val="center"/>
          </w:tcPr>
          <w:p w:rsidR="002D1E45" w:rsidRPr="001F3B40" w:rsidRDefault="002D1E45" w:rsidP="001F3B40">
            <w:pPr>
              <w:spacing w:after="0" w:line="240" w:lineRule="auto"/>
              <w:ind w:left="28" w:right="28"/>
              <w:rPr>
                <w:rFonts w:ascii="Times New Roman" w:hAnsi="Times New Roman"/>
                <w:sz w:val="24"/>
                <w:szCs w:val="24"/>
                <w:lang w:eastAsia="ru-RU"/>
              </w:rPr>
            </w:pPr>
            <w:r w:rsidRPr="001F3B40">
              <w:rPr>
                <w:rFonts w:ascii="Times New Roman" w:hAnsi="Times New Roman"/>
                <w:color w:val="000000"/>
                <w:sz w:val="24"/>
                <w:szCs w:val="24"/>
                <w:lang w:eastAsia="ru-RU"/>
              </w:rPr>
              <w:t>г. Куйбышев</w:t>
            </w:r>
          </w:p>
        </w:tc>
        <w:tc>
          <w:tcPr>
            <w:tcW w:w="1867" w:type="dxa"/>
            <w:tcBorders>
              <w:top w:val="single" w:sz="4" w:space="0" w:color="auto"/>
              <w:left w:val="single" w:sz="4" w:space="0" w:color="auto"/>
              <w:bottom w:val="single" w:sz="4" w:space="0" w:color="auto"/>
              <w:right w:val="nil"/>
            </w:tcBorders>
            <w:shd w:val="clear" w:color="auto" w:fill="FFFFFF"/>
            <w:vAlign w:val="center"/>
          </w:tcPr>
          <w:p w:rsidR="002D1E45" w:rsidRPr="001F3B40" w:rsidRDefault="002D1E45" w:rsidP="001F3B40">
            <w:pPr>
              <w:spacing w:after="0" w:line="240" w:lineRule="auto"/>
              <w:ind w:left="28" w:right="28"/>
              <w:jc w:val="center"/>
              <w:rPr>
                <w:rFonts w:ascii="Times New Roman" w:hAnsi="Times New Roman"/>
                <w:sz w:val="24"/>
                <w:szCs w:val="24"/>
                <w:lang w:eastAsia="ru-RU"/>
              </w:rPr>
            </w:pPr>
            <w:r w:rsidRPr="001F3B40">
              <w:rPr>
                <w:rFonts w:ascii="Times New Roman" w:hAnsi="Times New Roman"/>
                <w:color w:val="000000"/>
                <w:sz w:val="24"/>
                <w:szCs w:val="24"/>
                <w:lang w:eastAsia="ru-RU"/>
              </w:rPr>
              <w:t>12 шт.</w:t>
            </w:r>
            <w:r>
              <w:rPr>
                <w:rFonts w:ascii="Times New Roman" w:hAnsi="Times New Roman"/>
                <w:color w:val="000000"/>
                <w:sz w:val="24"/>
                <w:szCs w:val="24"/>
                <w:lang w:eastAsia="ru-RU"/>
              </w:rPr>
              <w:t xml:space="preserve"> </w:t>
            </w:r>
            <w:r w:rsidRPr="001F3B40">
              <w:rPr>
                <w:rFonts w:ascii="Times New Roman" w:hAnsi="Times New Roman"/>
                <w:color w:val="000000"/>
                <w:sz w:val="24"/>
                <w:szCs w:val="24"/>
                <w:lang w:eastAsia="ru-RU"/>
              </w:rPr>
              <w:t>(5 рабочих)</w:t>
            </w:r>
          </w:p>
        </w:tc>
        <w:tc>
          <w:tcPr>
            <w:tcW w:w="1701" w:type="dxa"/>
            <w:tcBorders>
              <w:top w:val="single" w:sz="4" w:space="0" w:color="auto"/>
              <w:left w:val="single" w:sz="4" w:space="0" w:color="auto"/>
              <w:bottom w:val="single" w:sz="4" w:space="0" w:color="auto"/>
              <w:right w:val="nil"/>
            </w:tcBorders>
            <w:shd w:val="clear" w:color="auto" w:fill="FFFFFF"/>
            <w:vAlign w:val="center"/>
          </w:tcPr>
          <w:p w:rsidR="002D1E45" w:rsidRPr="001F3B40" w:rsidRDefault="002D1E45" w:rsidP="001F3B40">
            <w:pPr>
              <w:spacing w:after="0" w:line="240" w:lineRule="auto"/>
              <w:ind w:left="28" w:right="28"/>
              <w:jc w:val="center"/>
              <w:rPr>
                <w:rFonts w:ascii="Times New Roman" w:hAnsi="Times New Roman"/>
                <w:sz w:val="24"/>
                <w:szCs w:val="24"/>
                <w:lang w:eastAsia="ru-RU"/>
              </w:rPr>
            </w:pPr>
            <w:r w:rsidRPr="001F3B40">
              <w:rPr>
                <w:rFonts w:ascii="Times New Roman" w:hAnsi="Times New Roman"/>
                <w:color w:val="000000"/>
                <w:sz w:val="24"/>
                <w:szCs w:val="24"/>
                <w:lang w:eastAsia="ru-RU"/>
              </w:rPr>
              <w:t>151,10</w:t>
            </w:r>
          </w:p>
        </w:tc>
        <w:tc>
          <w:tcPr>
            <w:tcW w:w="1539" w:type="dxa"/>
            <w:tcBorders>
              <w:top w:val="single" w:sz="4" w:space="0" w:color="auto"/>
              <w:left w:val="single" w:sz="4" w:space="0" w:color="auto"/>
              <w:bottom w:val="single" w:sz="4" w:space="0" w:color="auto"/>
              <w:right w:val="nil"/>
            </w:tcBorders>
            <w:shd w:val="clear" w:color="auto" w:fill="FFFFFF"/>
            <w:vAlign w:val="center"/>
          </w:tcPr>
          <w:p w:rsidR="002D1E45" w:rsidRPr="001F3B40" w:rsidRDefault="002D1E45" w:rsidP="001F3B40">
            <w:pPr>
              <w:spacing w:after="0" w:line="240" w:lineRule="auto"/>
              <w:ind w:left="28" w:right="28"/>
              <w:jc w:val="center"/>
              <w:rPr>
                <w:rFonts w:ascii="Times New Roman" w:hAnsi="Times New Roman"/>
                <w:sz w:val="24"/>
                <w:szCs w:val="24"/>
                <w:lang w:eastAsia="ru-RU"/>
              </w:rPr>
            </w:pPr>
            <w:r w:rsidRPr="001F3B40">
              <w:rPr>
                <w:rFonts w:ascii="Times New Roman" w:hAnsi="Times New Roman"/>
                <w:color w:val="000000"/>
                <w:sz w:val="24"/>
                <w:szCs w:val="24"/>
                <w:lang w:eastAsia="ru-RU"/>
              </w:rPr>
              <w:t>4</w:t>
            </w:r>
          </w:p>
        </w:tc>
        <w:tc>
          <w:tcPr>
            <w:tcW w:w="1722" w:type="dxa"/>
            <w:tcBorders>
              <w:top w:val="single" w:sz="4" w:space="0" w:color="auto"/>
              <w:left w:val="single" w:sz="4" w:space="0" w:color="auto"/>
              <w:bottom w:val="single" w:sz="4" w:space="0" w:color="auto"/>
              <w:right w:val="nil"/>
            </w:tcBorders>
            <w:shd w:val="clear" w:color="auto" w:fill="FFFFFF"/>
            <w:vAlign w:val="center"/>
          </w:tcPr>
          <w:p w:rsidR="002D1E45" w:rsidRPr="001F3B40" w:rsidRDefault="002D1E45" w:rsidP="001F3B40">
            <w:pPr>
              <w:spacing w:after="0" w:line="240" w:lineRule="auto"/>
              <w:ind w:left="28" w:right="28"/>
              <w:jc w:val="center"/>
              <w:rPr>
                <w:rFonts w:ascii="Times New Roman" w:hAnsi="Times New Roman"/>
                <w:sz w:val="24"/>
                <w:szCs w:val="24"/>
                <w:lang w:eastAsia="ru-RU"/>
              </w:rPr>
            </w:pPr>
            <w:r w:rsidRPr="001F3B40">
              <w:rPr>
                <w:rFonts w:ascii="Times New Roman" w:hAnsi="Times New Roman"/>
                <w:color w:val="000000"/>
                <w:sz w:val="24"/>
                <w:szCs w:val="24"/>
                <w:lang w:eastAsia="ru-RU"/>
              </w:rPr>
              <w:t>4</w:t>
            </w:r>
          </w:p>
        </w:tc>
        <w:tc>
          <w:tcPr>
            <w:tcW w:w="1728"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F3B40" w:rsidRDefault="002D1E45" w:rsidP="001F3B40">
            <w:pPr>
              <w:spacing w:after="0" w:line="240" w:lineRule="auto"/>
              <w:ind w:left="28" w:right="28"/>
              <w:jc w:val="center"/>
              <w:rPr>
                <w:rFonts w:ascii="Times New Roman" w:hAnsi="Times New Roman"/>
                <w:sz w:val="24"/>
                <w:szCs w:val="24"/>
                <w:lang w:eastAsia="ru-RU"/>
              </w:rPr>
            </w:pPr>
            <w:r w:rsidRPr="001F3B40">
              <w:rPr>
                <w:rFonts w:ascii="Times New Roman" w:hAnsi="Times New Roman"/>
                <w:color w:val="000000"/>
                <w:sz w:val="24"/>
                <w:szCs w:val="24"/>
                <w:lang w:eastAsia="ru-RU"/>
              </w:rPr>
              <w:t>-</w:t>
            </w:r>
          </w:p>
        </w:tc>
      </w:tr>
    </w:tbl>
    <w:p w:rsidR="002D1E45" w:rsidRPr="00672ADD" w:rsidRDefault="002D1E45" w:rsidP="00F6263C">
      <w:pPr>
        <w:spacing w:after="120" w:line="240" w:lineRule="auto"/>
        <w:jc w:val="center"/>
        <w:rPr>
          <w:rFonts w:ascii="Times New Roman" w:hAnsi="Times New Roman"/>
          <w:sz w:val="28"/>
          <w:szCs w:val="28"/>
          <w:lang w:val="en-US" w:eastAsia="ru-RU"/>
        </w:rPr>
      </w:pPr>
    </w:p>
    <w:p w:rsidR="002D1E45" w:rsidRPr="001F3B40" w:rsidRDefault="002D1E45" w:rsidP="001F3B40">
      <w:pPr>
        <w:spacing w:after="0" w:line="240" w:lineRule="auto"/>
        <w:ind w:firstLine="709"/>
        <w:jc w:val="both"/>
        <w:rPr>
          <w:rFonts w:ascii="Times New Roman" w:hAnsi="Times New Roman"/>
          <w:sz w:val="28"/>
          <w:szCs w:val="28"/>
        </w:rPr>
      </w:pPr>
      <w:r w:rsidRPr="001F3B40">
        <w:rPr>
          <w:rFonts w:ascii="Times New Roman" w:hAnsi="Times New Roman"/>
          <w:sz w:val="28"/>
          <w:szCs w:val="28"/>
        </w:rPr>
        <w:t>Исходная вода</w:t>
      </w:r>
      <w:r>
        <w:rPr>
          <w:rFonts w:ascii="Times New Roman" w:hAnsi="Times New Roman"/>
          <w:sz w:val="28"/>
          <w:szCs w:val="28"/>
        </w:rPr>
        <w:t xml:space="preserve"> </w:t>
      </w:r>
      <w:r w:rsidRPr="001F3B40">
        <w:rPr>
          <w:rFonts w:ascii="Times New Roman" w:hAnsi="Times New Roman"/>
          <w:sz w:val="28"/>
          <w:szCs w:val="28"/>
        </w:rPr>
        <w:t>из р. Омь по самотёчным</w:t>
      </w:r>
      <w:r>
        <w:rPr>
          <w:rFonts w:ascii="Times New Roman" w:hAnsi="Times New Roman"/>
          <w:sz w:val="28"/>
          <w:szCs w:val="28"/>
        </w:rPr>
        <w:t xml:space="preserve"> </w:t>
      </w:r>
      <w:r w:rsidRPr="001F3B40">
        <w:rPr>
          <w:rFonts w:ascii="Times New Roman" w:hAnsi="Times New Roman"/>
          <w:sz w:val="28"/>
          <w:szCs w:val="28"/>
        </w:rPr>
        <w:t xml:space="preserve">стальным трубам (2 трубы </w:t>
      </w:r>
      <w:r>
        <w:rPr>
          <w:rFonts w:ascii="Times New Roman" w:hAnsi="Times New Roman"/>
          <w:sz w:val="28"/>
          <w:szCs w:val="28"/>
        </w:rPr>
        <w:t>Ø</w:t>
      </w:r>
      <w:r w:rsidRPr="001F3B40">
        <w:rPr>
          <w:rFonts w:ascii="Times New Roman" w:hAnsi="Times New Roman"/>
          <w:sz w:val="28"/>
          <w:szCs w:val="28"/>
        </w:rPr>
        <w:t xml:space="preserve">350 мм, глубина заложения 8,6 м, длина – 40 м каждая), поступает в приёмный колодец, который представляет собой ж/бетонное сооружение </w:t>
      </w:r>
      <w:r>
        <w:rPr>
          <w:rFonts w:ascii="Times New Roman" w:hAnsi="Times New Roman"/>
          <w:sz w:val="28"/>
          <w:szCs w:val="28"/>
        </w:rPr>
        <w:t>Ø</w:t>
      </w:r>
      <w:r w:rsidRPr="001F3B40">
        <w:rPr>
          <w:rFonts w:ascii="Times New Roman" w:hAnsi="Times New Roman"/>
          <w:sz w:val="28"/>
          <w:szCs w:val="28"/>
        </w:rPr>
        <w:t>5,3 м и высотой 10м., для предотвращения попадания в приёмный колодец механических примесей и рыбы, на концах самотёчные трубы снабжены металлическими решётками с ячейками 10</w:t>
      </w:r>
      <w:r>
        <w:rPr>
          <w:rFonts w:ascii="Times New Roman" w:hAnsi="Times New Roman"/>
          <w:sz w:val="28"/>
          <w:szCs w:val="28"/>
        </w:rPr>
        <w:t>×</w:t>
      </w:r>
      <w:r w:rsidRPr="001F3B40">
        <w:rPr>
          <w:rFonts w:ascii="Times New Roman" w:hAnsi="Times New Roman"/>
          <w:sz w:val="28"/>
          <w:szCs w:val="28"/>
        </w:rPr>
        <w:t>10 мм. В качестве рыбозащитного устройства раструбы оборудованы стационарными решётками из круглого железа диаметром 5 мм. С ячейками 15</w:t>
      </w:r>
      <w:r>
        <w:rPr>
          <w:rFonts w:ascii="Times New Roman" w:hAnsi="Times New Roman"/>
          <w:sz w:val="28"/>
          <w:szCs w:val="28"/>
        </w:rPr>
        <w:t>×</w:t>
      </w:r>
      <w:r w:rsidRPr="001F3B40">
        <w:rPr>
          <w:rFonts w:ascii="Times New Roman" w:hAnsi="Times New Roman"/>
          <w:sz w:val="28"/>
          <w:szCs w:val="28"/>
        </w:rPr>
        <w:t>15 мм. Каркас водоприёмной камеры выполнен из труб с рёбрами жёсткости через 50мм. и обшит металлической сеткой с ячейкой 2</w:t>
      </w:r>
      <w:r>
        <w:rPr>
          <w:rFonts w:ascii="Times New Roman" w:hAnsi="Times New Roman"/>
          <w:sz w:val="28"/>
          <w:szCs w:val="28"/>
        </w:rPr>
        <w:t xml:space="preserve"> </w:t>
      </w:r>
      <w:r w:rsidRPr="001F3B40">
        <w:rPr>
          <w:rFonts w:ascii="Times New Roman" w:hAnsi="Times New Roman"/>
          <w:sz w:val="28"/>
          <w:szCs w:val="28"/>
        </w:rPr>
        <w:t>мм. Каркас обкладывается камнями и валунами Ø10</w:t>
      </w:r>
      <w:r>
        <w:rPr>
          <w:rFonts w:ascii="Times New Roman" w:hAnsi="Times New Roman"/>
          <w:sz w:val="28"/>
          <w:szCs w:val="28"/>
        </w:rPr>
        <w:t xml:space="preserve"> </w:t>
      </w:r>
      <w:r w:rsidRPr="001F3B40">
        <w:rPr>
          <w:rFonts w:ascii="Times New Roman" w:hAnsi="Times New Roman"/>
          <w:sz w:val="28"/>
          <w:szCs w:val="28"/>
        </w:rPr>
        <w:t>мм.</w:t>
      </w:r>
    </w:p>
    <w:p w:rsidR="002D1E45" w:rsidRDefault="002D1E45" w:rsidP="001F3B40">
      <w:pPr>
        <w:spacing w:after="0" w:line="240" w:lineRule="auto"/>
        <w:ind w:firstLine="709"/>
        <w:jc w:val="both"/>
        <w:rPr>
          <w:rFonts w:ascii="Times New Roman" w:hAnsi="Times New Roman"/>
          <w:sz w:val="28"/>
          <w:szCs w:val="28"/>
        </w:rPr>
      </w:pPr>
      <w:r w:rsidRPr="001F3B40">
        <w:rPr>
          <w:rFonts w:ascii="Times New Roman" w:hAnsi="Times New Roman"/>
          <w:sz w:val="28"/>
          <w:szCs w:val="28"/>
        </w:rPr>
        <w:t xml:space="preserve"> Из приёмного колодца вода поступает по трём стальным коллекторам (2</w:t>
      </w:r>
      <w:r>
        <w:rPr>
          <w:rFonts w:ascii="Times New Roman" w:hAnsi="Times New Roman"/>
          <w:sz w:val="28"/>
          <w:szCs w:val="28"/>
        </w:rPr>
        <w:t xml:space="preserve"> </w:t>
      </w:r>
      <w:r w:rsidRPr="001F3B40">
        <w:rPr>
          <w:rFonts w:ascii="Times New Roman" w:hAnsi="Times New Roman"/>
          <w:sz w:val="28"/>
          <w:szCs w:val="28"/>
        </w:rPr>
        <w:t xml:space="preserve">коллектора </w:t>
      </w:r>
      <w:r>
        <w:rPr>
          <w:rFonts w:ascii="Times New Roman" w:hAnsi="Times New Roman"/>
          <w:sz w:val="28"/>
          <w:szCs w:val="28"/>
        </w:rPr>
        <w:t>Ø</w:t>
      </w:r>
      <w:r w:rsidRPr="001F3B40">
        <w:rPr>
          <w:rFonts w:ascii="Times New Roman" w:hAnsi="Times New Roman"/>
          <w:sz w:val="28"/>
          <w:szCs w:val="28"/>
        </w:rPr>
        <w:t xml:space="preserve">200 мм, один - </w:t>
      </w:r>
      <w:r>
        <w:rPr>
          <w:rFonts w:ascii="Times New Roman" w:hAnsi="Times New Roman"/>
          <w:sz w:val="28"/>
          <w:szCs w:val="28"/>
        </w:rPr>
        <w:t>Ø</w:t>
      </w:r>
      <w:r w:rsidRPr="001F3B40">
        <w:rPr>
          <w:rFonts w:ascii="Times New Roman" w:hAnsi="Times New Roman"/>
          <w:sz w:val="28"/>
          <w:szCs w:val="28"/>
        </w:rPr>
        <w:t>300 мм) в здание насосной станции I-го подъёма. Далее вода насосами I-</w:t>
      </w:r>
      <w:r>
        <w:rPr>
          <w:rFonts w:ascii="Times New Roman" w:hAnsi="Times New Roman"/>
          <w:sz w:val="28"/>
          <w:szCs w:val="28"/>
        </w:rPr>
        <w:t>г</w:t>
      </w:r>
      <w:r w:rsidRPr="001F3B40">
        <w:rPr>
          <w:rFonts w:ascii="Times New Roman" w:hAnsi="Times New Roman"/>
          <w:sz w:val="28"/>
          <w:szCs w:val="28"/>
        </w:rPr>
        <w:t>о подъёма (К 160/30 по 180 м</w:t>
      </w:r>
      <w:r w:rsidRPr="005D7B70">
        <w:rPr>
          <w:rFonts w:ascii="Times New Roman" w:hAnsi="Times New Roman"/>
          <w:sz w:val="28"/>
          <w:szCs w:val="28"/>
          <w:vertAlign w:val="superscript"/>
        </w:rPr>
        <w:t>3</w:t>
      </w:r>
      <w:r w:rsidRPr="001F3B40">
        <w:rPr>
          <w:rFonts w:ascii="Times New Roman" w:hAnsi="Times New Roman"/>
          <w:sz w:val="28"/>
          <w:szCs w:val="28"/>
        </w:rPr>
        <w:t>/час</w:t>
      </w:r>
      <w:r>
        <w:rPr>
          <w:rFonts w:ascii="Times New Roman" w:hAnsi="Times New Roman"/>
          <w:sz w:val="28"/>
          <w:szCs w:val="28"/>
        </w:rPr>
        <w:t xml:space="preserve"> –</w:t>
      </w:r>
      <w:r w:rsidRPr="001F3B40">
        <w:rPr>
          <w:rFonts w:ascii="Times New Roman" w:hAnsi="Times New Roman"/>
          <w:sz w:val="28"/>
          <w:szCs w:val="28"/>
        </w:rPr>
        <w:t xml:space="preserve"> 2 шт., </w:t>
      </w:r>
      <w:r>
        <w:rPr>
          <w:rFonts w:ascii="Times New Roman" w:hAnsi="Times New Roman"/>
          <w:sz w:val="28"/>
          <w:szCs w:val="28"/>
        </w:rPr>
        <w:t>К</w:t>
      </w:r>
      <w:r w:rsidRPr="001F3B40">
        <w:rPr>
          <w:rFonts w:ascii="Times New Roman" w:hAnsi="Times New Roman"/>
          <w:sz w:val="28"/>
          <w:szCs w:val="28"/>
        </w:rPr>
        <w:t xml:space="preserve"> 290/30 на 280 м</w:t>
      </w:r>
      <w:r w:rsidRPr="001F3B40">
        <w:rPr>
          <w:rFonts w:ascii="Times New Roman" w:hAnsi="Times New Roman"/>
          <w:sz w:val="28"/>
          <w:szCs w:val="28"/>
          <w:vertAlign w:val="superscript"/>
        </w:rPr>
        <w:t>3</w:t>
      </w:r>
      <w:r w:rsidRPr="001F3B40">
        <w:rPr>
          <w:rFonts w:ascii="Times New Roman" w:hAnsi="Times New Roman"/>
          <w:sz w:val="28"/>
          <w:szCs w:val="28"/>
        </w:rPr>
        <w:t>/час</w:t>
      </w:r>
      <w:r>
        <w:rPr>
          <w:rFonts w:ascii="Times New Roman" w:hAnsi="Times New Roman"/>
          <w:sz w:val="28"/>
          <w:szCs w:val="28"/>
        </w:rPr>
        <w:t xml:space="preserve"> –</w:t>
      </w:r>
      <w:r w:rsidRPr="001F3B40">
        <w:rPr>
          <w:rFonts w:ascii="Times New Roman" w:hAnsi="Times New Roman"/>
          <w:sz w:val="28"/>
          <w:szCs w:val="28"/>
        </w:rPr>
        <w:t xml:space="preserve"> 1 шт.)</w:t>
      </w:r>
      <w:r>
        <w:rPr>
          <w:rFonts w:ascii="Times New Roman" w:hAnsi="Times New Roman"/>
          <w:sz w:val="28"/>
          <w:szCs w:val="28"/>
        </w:rPr>
        <w:t xml:space="preserve"> </w:t>
      </w:r>
      <w:r w:rsidRPr="001F3B40">
        <w:rPr>
          <w:rFonts w:ascii="Times New Roman" w:hAnsi="Times New Roman"/>
          <w:sz w:val="28"/>
          <w:szCs w:val="28"/>
        </w:rPr>
        <w:t>подаётся в здание НФС (насосно-фильтровальная станция) на фильтрацию, очистку и доведения воды до нормативов хоз. питьевого качества.</w:t>
      </w:r>
      <w:r>
        <w:rPr>
          <w:rFonts w:ascii="Times New Roman" w:hAnsi="Times New Roman"/>
          <w:sz w:val="28"/>
          <w:szCs w:val="28"/>
        </w:rPr>
        <w:t xml:space="preserve"> </w:t>
      </w:r>
      <w:r w:rsidRPr="001F3B40">
        <w:rPr>
          <w:rFonts w:ascii="Times New Roman" w:hAnsi="Times New Roman"/>
          <w:sz w:val="28"/>
          <w:szCs w:val="28"/>
        </w:rPr>
        <w:t xml:space="preserve">После контактных осветлителей вода поступает в РЧВ (резервуары чистой воды </w:t>
      </w:r>
      <w:r>
        <w:rPr>
          <w:rFonts w:ascii="Times New Roman" w:hAnsi="Times New Roman"/>
          <w:sz w:val="28"/>
          <w:szCs w:val="28"/>
        </w:rPr>
        <w:t>–</w:t>
      </w:r>
      <w:r w:rsidRPr="001F3B40">
        <w:rPr>
          <w:rFonts w:ascii="Times New Roman" w:hAnsi="Times New Roman"/>
          <w:sz w:val="28"/>
          <w:szCs w:val="28"/>
        </w:rPr>
        <w:t xml:space="preserve"> 4 шт. по 1000 м</w:t>
      </w:r>
      <w:r w:rsidRPr="001F3B40">
        <w:rPr>
          <w:rFonts w:ascii="Times New Roman" w:hAnsi="Times New Roman"/>
          <w:sz w:val="28"/>
          <w:szCs w:val="28"/>
          <w:vertAlign w:val="superscript"/>
        </w:rPr>
        <w:t>3</w:t>
      </w:r>
      <w:r w:rsidRPr="001F3B40">
        <w:rPr>
          <w:rFonts w:ascii="Times New Roman" w:hAnsi="Times New Roman"/>
          <w:sz w:val="28"/>
          <w:szCs w:val="28"/>
        </w:rPr>
        <w:t>), где она отстаивается. Из резервуаров вода по водоводам поступает к насосам 2-го подъёма (3 насоса Д 320/50 по 320 м</w:t>
      </w:r>
      <w:r w:rsidRPr="001F3B40">
        <w:rPr>
          <w:rFonts w:ascii="Times New Roman" w:hAnsi="Times New Roman"/>
          <w:sz w:val="28"/>
          <w:szCs w:val="28"/>
          <w:vertAlign w:val="superscript"/>
        </w:rPr>
        <w:t>3</w:t>
      </w:r>
      <w:r w:rsidRPr="001F3B40">
        <w:rPr>
          <w:rFonts w:ascii="Times New Roman" w:hAnsi="Times New Roman"/>
          <w:sz w:val="28"/>
          <w:szCs w:val="28"/>
        </w:rPr>
        <w:t xml:space="preserve">/час) и этими насосами очищенная вода по 2-м п/этиленовым водоводам </w:t>
      </w:r>
      <w:r>
        <w:rPr>
          <w:rFonts w:ascii="Times New Roman" w:hAnsi="Times New Roman"/>
          <w:sz w:val="28"/>
          <w:szCs w:val="28"/>
        </w:rPr>
        <w:t>Ø</w:t>
      </w:r>
      <w:r w:rsidRPr="001F3B40">
        <w:rPr>
          <w:rFonts w:ascii="Times New Roman" w:hAnsi="Times New Roman"/>
          <w:sz w:val="28"/>
          <w:szCs w:val="28"/>
        </w:rPr>
        <w:t>300 мм подаётся в сеть города Куйбышева.</w:t>
      </w:r>
    </w:p>
    <w:p w:rsidR="002D1E45" w:rsidRPr="005D7B70" w:rsidRDefault="002D1E45" w:rsidP="005D7B70">
      <w:pPr>
        <w:spacing w:after="0" w:line="240" w:lineRule="auto"/>
        <w:ind w:firstLine="709"/>
        <w:jc w:val="both"/>
        <w:rPr>
          <w:rFonts w:ascii="Times New Roman" w:hAnsi="Times New Roman"/>
          <w:sz w:val="28"/>
          <w:szCs w:val="28"/>
        </w:rPr>
      </w:pPr>
      <w:r w:rsidRPr="005D7B70">
        <w:rPr>
          <w:rFonts w:ascii="Times New Roman" w:hAnsi="Times New Roman"/>
          <w:sz w:val="28"/>
          <w:szCs w:val="28"/>
        </w:rPr>
        <w:t>Существующие в настоящее время водоочистные сооружения эксплуатируются с 1977 года (проектировщик: «Гидрокоммунводоканал «Очистная водопроводная станция для предприятия В-2687,</w:t>
      </w:r>
      <w:r>
        <w:rPr>
          <w:rFonts w:ascii="Times New Roman" w:hAnsi="Times New Roman"/>
          <w:sz w:val="28"/>
          <w:szCs w:val="28"/>
        </w:rPr>
        <w:t xml:space="preserve"> </w:t>
      </w:r>
      <w:r w:rsidRPr="005D7B70">
        <w:rPr>
          <w:rFonts w:ascii="Times New Roman" w:hAnsi="Times New Roman"/>
          <w:sz w:val="28"/>
          <w:szCs w:val="28"/>
        </w:rPr>
        <w:t>октябрь 1968</w:t>
      </w:r>
      <w:r>
        <w:rPr>
          <w:rFonts w:ascii="Times New Roman" w:hAnsi="Times New Roman"/>
          <w:sz w:val="28"/>
          <w:szCs w:val="28"/>
        </w:rPr>
        <w:t xml:space="preserve"> </w:t>
      </w:r>
      <w:r w:rsidRPr="005D7B70">
        <w:rPr>
          <w:rFonts w:ascii="Times New Roman" w:hAnsi="Times New Roman"/>
          <w:sz w:val="28"/>
          <w:szCs w:val="28"/>
        </w:rPr>
        <w:t>г.) с проектной производительностью 9,6 т.м</w:t>
      </w:r>
      <w:r w:rsidRPr="008473E4">
        <w:rPr>
          <w:rFonts w:ascii="Times New Roman" w:hAnsi="Times New Roman"/>
          <w:sz w:val="28"/>
          <w:szCs w:val="28"/>
          <w:vertAlign w:val="superscript"/>
        </w:rPr>
        <w:t>3</w:t>
      </w:r>
      <w:r w:rsidRPr="005D7B70">
        <w:rPr>
          <w:rFonts w:ascii="Times New Roman" w:hAnsi="Times New Roman"/>
          <w:sz w:val="28"/>
          <w:szCs w:val="28"/>
        </w:rPr>
        <w:t xml:space="preserve">/сутки, фактическая производительность станции </w:t>
      </w:r>
      <w:r>
        <w:rPr>
          <w:rFonts w:ascii="Times New Roman" w:hAnsi="Times New Roman"/>
          <w:sz w:val="28"/>
          <w:szCs w:val="28"/>
        </w:rPr>
        <w:t>–</w:t>
      </w:r>
      <w:r w:rsidRPr="005D7B70">
        <w:rPr>
          <w:rFonts w:ascii="Times New Roman" w:hAnsi="Times New Roman"/>
          <w:sz w:val="28"/>
          <w:szCs w:val="28"/>
        </w:rPr>
        <w:t xml:space="preserve"> 7,98 т.м</w:t>
      </w:r>
      <w:r w:rsidRPr="00227A0E">
        <w:rPr>
          <w:rFonts w:ascii="Times New Roman" w:hAnsi="Times New Roman"/>
          <w:sz w:val="28"/>
          <w:szCs w:val="28"/>
          <w:vertAlign w:val="superscript"/>
        </w:rPr>
        <w:t>3</w:t>
      </w:r>
      <w:r w:rsidRPr="005D7B70">
        <w:rPr>
          <w:rFonts w:ascii="Times New Roman" w:hAnsi="Times New Roman"/>
          <w:sz w:val="28"/>
          <w:szCs w:val="28"/>
        </w:rPr>
        <w:t>/сутки.</w:t>
      </w:r>
    </w:p>
    <w:p w:rsidR="002D1E45" w:rsidRDefault="002D1E45" w:rsidP="005D7B70">
      <w:pPr>
        <w:spacing w:after="0" w:line="240" w:lineRule="auto"/>
        <w:ind w:firstLine="709"/>
        <w:jc w:val="both"/>
        <w:rPr>
          <w:rFonts w:ascii="Times New Roman" w:hAnsi="Times New Roman"/>
          <w:sz w:val="28"/>
          <w:szCs w:val="28"/>
        </w:rPr>
      </w:pPr>
      <w:r w:rsidRPr="005D7B70">
        <w:rPr>
          <w:rFonts w:ascii="Times New Roman" w:hAnsi="Times New Roman"/>
          <w:sz w:val="28"/>
          <w:szCs w:val="28"/>
        </w:rPr>
        <w:t xml:space="preserve">Очистка воды из поверхностных источников реки Омь подаётся в здание НФС (насосно-фильтровальная станция) на 1-ю ступень очистки </w:t>
      </w:r>
      <w:r>
        <w:rPr>
          <w:rFonts w:ascii="Times New Roman" w:hAnsi="Times New Roman"/>
          <w:sz w:val="28"/>
          <w:szCs w:val="28"/>
        </w:rPr>
        <w:t>–</w:t>
      </w:r>
      <w:r w:rsidRPr="005D7B70">
        <w:rPr>
          <w:rFonts w:ascii="Times New Roman" w:hAnsi="Times New Roman"/>
          <w:sz w:val="28"/>
          <w:szCs w:val="28"/>
        </w:rPr>
        <w:t xml:space="preserve"> реакторы-осветлители (6 шт., имеют цилиндрический корпус </w:t>
      </w:r>
      <w:r>
        <w:rPr>
          <w:rFonts w:ascii="Times New Roman" w:hAnsi="Times New Roman"/>
          <w:sz w:val="28"/>
          <w:szCs w:val="28"/>
        </w:rPr>
        <w:t>Ø</w:t>
      </w:r>
      <w:r w:rsidRPr="005D7B70">
        <w:rPr>
          <w:rFonts w:ascii="Times New Roman" w:hAnsi="Times New Roman"/>
          <w:sz w:val="28"/>
          <w:szCs w:val="28"/>
        </w:rPr>
        <w:t>2,8 м и высотой 1,6 м, конусное днище высотой 1,5 м. Закружены контактной массой</w:t>
      </w:r>
      <w:r>
        <w:rPr>
          <w:rFonts w:ascii="Times New Roman" w:hAnsi="Times New Roman"/>
          <w:sz w:val="28"/>
          <w:szCs w:val="28"/>
        </w:rPr>
        <w:t xml:space="preserve"> </w:t>
      </w:r>
      <w:r w:rsidRPr="005D7B70">
        <w:rPr>
          <w:rFonts w:ascii="Times New Roman" w:hAnsi="Times New Roman"/>
          <w:sz w:val="28"/>
          <w:szCs w:val="28"/>
        </w:rPr>
        <w:t>- песком горелой породы фракции 0,3-0,5 мм), где производиться первичная очистка воды. Перед реакторами-осветлителями в воду вводят из здания реа</w:t>
      </w:r>
      <w:r>
        <w:rPr>
          <w:rFonts w:ascii="Times New Roman" w:hAnsi="Times New Roman"/>
          <w:sz w:val="28"/>
          <w:szCs w:val="28"/>
        </w:rPr>
        <w:t>г</w:t>
      </w:r>
      <w:r w:rsidRPr="005D7B70">
        <w:rPr>
          <w:rFonts w:ascii="Times New Roman" w:hAnsi="Times New Roman"/>
          <w:sz w:val="28"/>
          <w:szCs w:val="28"/>
        </w:rPr>
        <w:t>ентного хозяйства коагулянт ОХА (оксихлорид алюминия), полиакриламид и из здания хлораторной гипохлорит натрия. Далее вода поступает в вихревой смеситель (вертикальный аппарат с конической нижней частью, ёмкостью 90 м</w:t>
      </w:r>
      <w:r w:rsidRPr="00227A0E">
        <w:rPr>
          <w:rFonts w:ascii="Times New Roman" w:hAnsi="Times New Roman"/>
          <w:sz w:val="28"/>
          <w:szCs w:val="28"/>
          <w:vertAlign w:val="superscript"/>
        </w:rPr>
        <w:t>3</w:t>
      </w:r>
      <w:r w:rsidRPr="005D7B70">
        <w:rPr>
          <w:rFonts w:ascii="Times New Roman" w:hAnsi="Times New Roman"/>
          <w:sz w:val="28"/>
          <w:szCs w:val="28"/>
        </w:rPr>
        <w:t>, в верхней части смесителя есть окна, размером 20</w:t>
      </w:r>
      <w:r>
        <w:rPr>
          <w:rFonts w:ascii="Times New Roman" w:hAnsi="Times New Roman"/>
          <w:sz w:val="28"/>
          <w:szCs w:val="28"/>
        </w:rPr>
        <w:t>×</w:t>
      </w:r>
      <w:r w:rsidRPr="005D7B70">
        <w:rPr>
          <w:rFonts w:ascii="Times New Roman" w:hAnsi="Times New Roman"/>
          <w:sz w:val="28"/>
          <w:szCs w:val="28"/>
        </w:rPr>
        <w:t>100 мм для прохождения воды, объёмом 55,7 м</w:t>
      </w:r>
      <w:r w:rsidRPr="00227A0E">
        <w:rPr>
          <w:rFonts w:ascii="Times New Roman" w:hAnsi="Times New Roman"/>
          <w:sz w:val="28"/>
          <w:szCs w:val="28"/>
          <w:vertAlign w:val="superscript"/>
        </w:rPr>
        <w:t>3</w:t>
      </w:r>
      <w:r w:rsidRPr="005D7B70">
        <w:rPr>
          <w:rFonts w:ascii="Times New Roman" w:hAnsi="Times New Roman"/>
          <w:sz w:val="28"/>
          <w:szCs w:val="28"/>
        </w:rPr>
        <w:t>), где обрабатывается дополнительным ОХА. Вода, проходя через смеситель, распределяется и подаётся на контактные осветлители (5 шт., ж/бетонные прямоугольные в плане резервуары, загружены горелой породой прослоённой с определенным размером частиц, суммарной площадью фильтрования 109,6</w:t>
      </w:r>
      <w:r>
        <w:rPr>
          <w:rFonts w:ascii="Times New Roman" w:hAnsi="Times New Roman"/>
          <w:sz w:val="28"/>
          <w:szCs w:val="28"/>
        </w:rPr>
        <w:t xml:space="preserve"> </w:t>
      </w:r>
      <w:r w:rsidRPr="005D7B70">
        <w:rPr>
          <w:rFonts w:ascii="Times New Roman" w:hAnsi="Times New Roman"/>
          <w:sz w:val="28"/>
          <w:szCs w:val="28"/>
        </w:rPr>
        <w:t>м</w:t>
      </w:r>
      <w:r w:rsidRPr="00227A0E">
        <w:rPr>
          <w:rFonts w:ascii="Times New Roman" w:hAnsi="Times New Roman"/>
          <w:sz w:val="28"/>
          <w:szCs w:val="28"/>
          <w:vertAlign w:val="superscript"/>
        </w:rPr>
        <w:t>3</w:t>
      </w:r>
      <w:r w:rsidRPr="005D7B70">
        <w:rPr>
          <w:rFonts w:ascii="Times New Roman" w:hAnsi="Times New Roman"/>
          <w:sz w:val="28"/>
          <w:szCs w:val="28"/>
        </w:rPr>
        <w:t>). Проходя через контактные осветлители, вода очищается и фильтруется.</w:t>
      </w:r>
    </w:p>
    <w:p w:rsidR="002D1E45" w:rsidRPr="001959E3" w:rsidRDefault="002D1E45" w:rsidP="00DE0FA7">
      <w:pPr>
        <w:autoSpaceDE w:val="0"/>
        <w:autoSpaceDN w:val="0"/>
        <w:adjustRightInd w:val="0"/>
        <w:spacing w:after="0" w:line="240" w:lineRule="auto"/>
        <w:ind w:firstLine="709"/>
        <w:jc w:val="right"/>
        <w:rPr>
          <w:rFonts w:ascii="Times New Roman" w:hAnsi="Times New Roman"/>
          <w:sz w:val="28"/>
          <w:szCs w:val="24"/>
          <w:lang w:eastAsia="ru-RU"/>
        </w:rPr>
      </w:pPr>
      <w:r w:rsidRPr="001959E3">
        <w:rPr>
          <w:rFonts w:ascii="Times New Roman" w:hAnsi="Times New Roman"/>
          <w:sz w:val="28"/>
          <w:szCs w:val="24"/>
          <w:lang w:eastAsia="ru-RU"/>
        </w:rPr>
        <w:t xml:space="preserve">Таблица </w:t>
      </w:r>
      <w:r w:rsidRPr="001959E3">
        <w:rPr>
          <w:rFonts w:ascii="Times New Roman" w:hAnsi="Times New Roman"/>
          <w:sz w:val="28"/>
          <w:szCs w:val="24"/>
        </w:rPr>
        <w:fldChar w:fldCharType="begin"/>
      </w:r>
      <w:r w:rsidRPr="001959E3">
        <w:rPr>
          <w:rFonts w:ascii="Times New Roman" w:hAnsi="Times New Roman"/>
          <w:sz w:val="28"/>
          <w:szCs w:val="24"/>
        </w:rPr>
        <w:instrText xml:space="preserve"> SEQ Таблица \* ARABIC </w:instrText>
      </w:r>
      <w:r w:rsidRPr="001959E3">
        <w:rPr>
          <w:rFonts w:ascii="Times New Roman" w:hAnsi="Times New Roman"/>
          <w:sz w:val="28"/>
          <w:szCs w:val="24"/>
        </w:rPr>
        <w:fldChar w:fldCharType="separate"/>
      </w:r>
      <w:r>
        <w:rPr>
          <w:rFonts w:ascii="Times New Roman" w:hAnsi="Times New Roman"/>
          <w:noProof/>
          <w:sz w:val="28"/>
          <w:szCs w:val="24"/>
        </w:rPr>
        <w:t>17</w:t>
      </w:r>
      <w:r w:rsidRPr="001959E3">
        <w:rPr>
          <w:rFonts w:ascii="Times New Roman" w:hAnsi="Times New Roman"/>
          <w:sz w:val="28"/>
          <w:szCs w:val="24"/>
        </w:rPr>
        <w:fldChar w:fldCharType="end"/>
      </w:r>
    </w:p>
    <w:p w:rsidR="002D1E45" w:rsidRPr="00927DB4" w:rsidRDefault="002D1E45" w:rsidP="00DE0FA7">
      <w:pPr>
        <w:spacing w:after="120" w:line="240" w:lineRule="auto"/>
        <w:jc w:val="center"/>
        <w:rPr>
          <w:rFonts w:ascii="Times New Roman" w:hAnsi="Times New Roman"/>
          <w:sz w:val="28"/>
          <w:szCs w:val="28"/>
          <w:lang w:eastAsia="ru-RU"/>
        </w:rPr>
      </w:pPr>
      <w:r w:rsidRPr="00F6263C">
        <w:rPr>
          <w:rFonts w:ascii="Times New Roman" w:hAnsi="Times New Roman"/>
          <w:sz w:val="28"/>
          <w:szCs w:val="28"/>
          <w:lang w:eastAsia="ru-RU"/>
        </w:rPr>
        <w:t>Характеристика существующей системы водоснабжения</w:t>
      </w:r>
      <w:r>
        <w:rPr>
          <w:rFonts w:ascii="Times New Roman" w:hAnsi="Times New Roman"/>
          <w:sz w:val="28"/>
          <w:szCs w:val="28"/>
          <w:lang w:eastAsia="ru-RU"/>
        </w:rPr>
        <w:t>, тыс. м</w:t>
      </w:r>
      <w:r>
        <w:rPr>
          <w:rFonts w:ascii="Times New Roman" w:hAnsi="Times New Roman"/>
          <w:sz w:val="28"/>
          <w:szCs w:val="28"/>
          <w:vertAlign w:val="superscript"/>
          <w:lang w:eastAsia="ru-RU"/>
        </w:rPr>
        <w:t>3</w:t>
      </w:r>
    </w:p>
    <w:tbl>
      <w:tblPr>
        <w:tblW w:w="10346" w:type="dxa"/>
        <w:jc w:val="center"/>
        <w:tblLayout w:type="fixed"/>
        <w:tblCellMar>
          <w:left w:w="0" w:type="dxa"/>
          <w:right w:w="0" w:type="dxa"/>
        </w:tblCellMar>
        <w:tblLook w:val="0000"/>
      </w:tblPr>
      <w:tblGrid>
        <w:gridCol w:w="1555"/>
        <w:gridCol w:w="1150"/>
        <w:gridCol w:w="1397"/>
        <w:gridCol w:w="1246"/>
        <w:gridCol w:w="1246"/>
        <w:gridCol w:w="1250"/>
        <w:gridCol w:w="1250"/>
        <w:gridCol w:w="1252"/>
      </w:tblGrid>
      <w:tr w:rsidR="002D1E45" w:rsidRPr="0070545F" w:rsidTr="0070545F">
        <w:trPr>
          <w:trHeight w:val="62"/>
          <w:jc w:val="center"/>
        </w:trPr>
        <w:tc>
          <w:tcPr>
            <w:tcW w:w="1555" w:type="dxa"/>
            <w:vMerge w:val="restart"/>
            <w:tcBorders>
              <w:top w:val="single" w:sz="4" w:space="0" w:color="auto"/>
              <w:left w:val="single" w:sz="4" w:space="0" w:color="auto"/>
              <w:bottom w:val="nil"/>
              <w:right w:val="nil"/>
            </w:tcBorders>
            <w:shd w:val="clear" w:color="auto" w:fill="FFFFFF"/>
            <w:vAlign w:val="center"/>
          </w:tcPr>
          <w:p w:rsidR="002D1E45" w:rsidRPr="0070545F" w:rsidRDefault="002D1E45" w:rsidP="0070545F">
            <w:pPr>
              <w:spacing w:after="0" w:line="240" w:lineRule="auto"/>
              <w:ind w:left="28" w:right="28"/>
              <w:jc w:val="center"/>
              <w:rPr>
                <w:rFonts w:ascii="Times New Roman" w:hAnsi="Times New Roman"/>
                <w:sz w:val="24"/>
                <w:szCs w:val="24"/>
                <w:lang w:eastAsia="ru-RU"/>
              </w:rPr>
            </w:pPr>
            <w:r w:rsidRPr="0070545F">
              <w:rPr>
                <w:rFonts w:ascii="Times New Roman" w:hAnsi="Times New Roman"/>
                <w:color w:val="000000"/>
                <w:sz w:val="24"/>
                <w:szCs w:val="24"/>
                <w:lang w:eastAsia="ru-RU"/>
              </w:rPr>
              <w:t>Населённый пункт</w:t>
            </w:r>
          </w:p>
        </w:tc>
        <w:tc>
          <w:tcPr>
            <w:tcW w:w="1150" w:type="dxa"/>
            <w:vMerge w:val="restart"/>
            <w:tcBorders>
              <w:top w:val="single" w:sz="4" w:space="0" w:color="auto"/>
              <w:left w:val="single" w:sz="4" w:space="0" w:color="auto"/>
              <w:bottom w:val="nil"/>
              <w:right w:val="nil"/>
            </w:tcBorders>
            <w:shd w:val="clear" w:color="auto" w:fill="FFFFFF"/>
            <w:vAlign w:val="center"/>
          </w:tcPr>
          <w:p w:rsidR="002D1E45" w:rsidRPr="0070545F" w:rsidRDefault="002D1E45" w:rsidP="0070545F">
            <w:pPr>
              <w:spacing w:after="0" w:line="240" w:lineRule="auto"/>
              <w:ind w:left="28" w:right="28"/>
              <w:jc w:val="center"/>
              <w:rPr>
                <w:rFonts w:ascii="Times New Roman" w:hAnsi="Times New Roman"/>
                <w:sz w:val="24"/>
                <w:szCs w:val="24"/>
                <w:lang w:eastAsia="ru-RU"/>
              </w:rPr>
            </w:pPr>
            <w:r>
              <w:rPr>
                <w:rFonts w:ascii="Times New Roman" w:hAnsi="Times New Roman"/>
                <w:color w:val="000000"/>
                <w:sz w:val="24"/>
                <w:szCs w:val="24"/>
                <w:lang w:eastAsia="ru-RU"/>
              </w:rPr>
              <w:t>Поднято</w:t>
            </w:r>
            <w:r w:rsidRPr="0070545F">
              <w:rPr>
                <w:rFonts w:ascii="Times New Roman" w:hAnsi="Times New Roman"/>
                <w:color w:val="000000"/>
                <w:sz w:val="24"/>
                <w:szCs w:val="24"/>
                <w:lang w:eastAsia="ru-RU"/>
              </w:rPr>
              <w:t xml:space="preserve"> воды</w:t>
            </w:r>
          </w:p>
        </w:tc>
        <w:tc>
          <w:tcPr>
            <w:tcW w:w="1397" w:type="dxa"/>
            <w:vMerge w:val="restart"/>
            <w:tcBorders>
              <w:top w:val="single" w:sz="4" w:space="0" w:color="auto"/>
              <w:left w:val="single" w:sz="4" w:space="0" w:color="auto"/>
              <w:bottom w:val="nil"/>
              <w:right w:val="nil"/>
            </w:tcBorders>
            <w:shd w:val="clear" w:color="auto" w:fill="FFFFFF"/>
            <w:vAlign w:val="center"/>
          </w:tcPr>
          <w:p w:rsidR="002D1E45" w:rsidRPr="0070545F" w:rsidRDefault="002D1E45" w:rsidP="0070545F">
            <w:pPr>
              <w:spacing w:after="0" w:line="240" w:lineRule="auto"/>
              <w:ind w:left="28" w:right="28"/>
              <w:jc w:val="center"/>
              <w:rPr>
                <w:rFonts w:ascii="Times New Roman" w:hAnsi="Times New Roman"/>
                <w:sz w:val="24"/>
                <w:szCs w:val="24"/>
                <w:lang w:eastAsia="ru-RU"/>
              </w:rPr>
            </w:pPr>
            <w:r w:rsidRPr="0070545F">
              <w:rPr>
                <w:rFonts w:ascii="Times New Roman" w:hAnsi="Times New Roman"/>
                <w:color w:val="000000"/>
                <w:sz w:val="24"/>
                <w:szCs w:val="24"/>
                <w:lang w:eastAsia="ru-RU"/>
              </w:rPr>
              <w:t>Расход воды на собственные нужды</w:t>
            </w:r>
          </w:p>
        </w:tc>
        <w:tc>
          <w:tcPr>
            <w:tcW w:w="1246" w:type="dxa"/>
            <w:vMerge w:val="restart"/>
            <w:tcBorders>
              <w:top w:val="single" w:sz="4" w:space="0" w:color="auto"/>
              <w:left w:val="single" w:sz="4" w:space="0" w:color="auto"/>
              <w:bottom w:val="nil"/>
              <w:right w:val="nil"/>
            </w:tcBorders>
            <w:shd w:val="clear" w:color="auto" w:fill="FFFFFF"/>
            <w:vAlign w:val="center"/>
          </w:tcPr>
          <w:p w:rsidR="002D1E45" w:rsidRPr="0070545F" w:rsidRDefault="002D1E45" w:rsidP="0070545F">
            <w:pPr>
              <w:spacing w:after="0" w:line="240" w:lineRule="auto"/>
              <w:ind w:left="28" w:right="28"/>
              <w:jc w:val="center"/>
              <w:rPr>
                <w:rFonts w:ascii="Times New Roman" w:hAnsi="Times New Roman"/>
                <w:sz w:val="24"/>
                <w:szCs w:val="24"/>
                <w:lang w:eastAsia="ru-RU"/>
              </w:rPr>
            </w:pPr>
            <w:r w:rsidRPr="0070545F">
              <w:rPr>
                <w:rFonts w:ascii="Times New Roman" w:hAnsi="Times New Roman"/>
                <w:color w:val="000000"/>
                <w:sz w:val="24"/>
                <w:szCs w:val="24"/>
                <w:lang w:eastAsia="ru-RU"/>
              </w:rPr>
              <w:t>Подано воды в сеть</w:t>
            </w:r>
          </w:p>
        </w:tc>
        <w:tc>
          <w:tcPr>
            <w:tcW w:w="1246" w:type="dxa"/>
            <w:vMerge w:val="restart"/>
            <w:tcBorders>
              <w:top w:val="single" w:sz="4" w:space="0" w:color="auto"/>
              <w:left w:val="single" w:sz="4" w:space="0" w:color="auto"/>
              <w:bottom w:val="nil"/>
              <w:right w:val="nil"/>
            </w:tcBorders>
            <w:shd w:val="clear" w:color="auto" w:fill="FFFFFF"/>
            <w:vAlign w:val="center"/>
          </w:tcPr>
          <w:p w:rsidR="002D1E45" w:rsidRPr="0070545F" w:rsidRDefault="002D1E45" w:rsidP="0070545F">
            <w:pPr>
              <w:spacing w:after="0" w:line="240" w:lineRule="auto"/>
              <w:ind w:left="28" w:right="28"/>
              <w:jc w:val="center"/>
              <w:rPr>
                <w:rFonts w:ascii="Times New Roman" w:hAnsi="Times New Roman"/>
                <w:sz w:val="24"/>
                <w:szCs w:val="24"/>
                <w:lang w:eastAsia="ru-RU"/>
              </w:rPr>
            </w:pPr>
            <w:r w:rsidRPr="0070545F">
              <w:rPr>
                <w:rFonts w:ascii="Times New Roman" w:hAnsi="Times New Roman"/>
                <w:color w:val="000000"/>
                <w:sz w:val="24"/>
                <w:szCs w:val="24"/>
                <w:lang w:eastAsia="ru-RU"/>
              </w:rPr>
              <w:t>Потери воды</w:t>
            </w:r>
          </w:p>
        </w:tc>
        <w:tc>
          <w:tcPr>
            <w:tcW w:w="3752" w:type="dxa"/>
            <w:gridSpan w:val="3"/>
            <w:tcBorders>
              <w:top w:val="single" w:sz="4" w:space="0" w:color="auto"/>
              <w:left w:val="single" w:sz="4" w:space="0" w:color="auto"/>
              <w:bottom w:val="nil"/>
              <w:right w:val="single" w:sz="4" w:space="0" w:color="auto"/>
            </w:tcBorders>
            <w:shd w:val="clear" w:color="auto" w:fill="FFFFFF"/>
            <w:vAlign w:val="center"/>
          </w:tcPr>
          <w:p w:rsidR="002D1E45" w:rsidRPr="0070545F" w:rsidRDefault="002D1E45" w:rsidP="0070545F">
            <w:pPr>
              <w:spacing w:after="0" w:line="240" w:lineRule="auto"/>
              <w:ind w:left="28" w:right="28"/>
              <w:jc w:val="center"/>
              <w:rPr>
                <w:rFonts w:ascii="Times New Roman" w:hAnsi="Times New Roman"/>
                <w:sz w:val="24"/>
                <w:szCs w:val="24"/>
                <w:lang w:eastAsia="ru-RU"/>
              </w:rPr>
            </w:pPr>
            <w:r w:rsidRPr="0070545F">
              <w:rPr>
                <w:rFonts w:ascii="Times New Roman" w:hAnsi="Times New Roman"/>
                <w:color w:val="000000"/>
                <w:sz w:val="24"/>
                <w:szCs w:val="24"/>
                <w:lang w:eastAsia="ru-RU"/>
              </w:rPr>
              <w:t>Отпущено воды потребителям</w:t>
            </w:r>
          </w:p>
        </w:tc>
      </w:tr>
      <w:tr w:rsidR="002D1E45" w:rsidRPr="0070545F" w:rsidTr="0070545F">
        <w:trPr>
          <w:trHeight w:val="62"/>
          <w:jc w:val="center"/>
        </w:trPr>
        <w:tc>
          <w:tcPr>
            <w:tcW w:w="1555" w:type="dxa"/>
            <w:vMerge/>
            <w:tcBorders>
              <w:top w:val="nil"/>
              <w:left w:val="single" w:sz="4" w:space="0" w:color="auto"/>
              <w:bottom w:val="nil"/>
              <w:right w:val="nil"/>
            </w:tcBorders>
            <w:shd w:val="clear" w:color="auto" w:fill="FFFFFF"/>
            <w:vAlign w:val="center"/>
          </w:tcPr>
          <w:p w:rsidR="002D1E45" w:rsidRPr="0070545F" w:rsidRDefault="002D1E45" w:rsidP="0070545F">
            <w:pPr>
              <w:spacing w:after="0" w:line="240" w:lineRule="auto"/>
              <w:ind w:left="28" w:right="28"/>
              <w:jc w:val="center"/>
              <w:rPr>
                <w:rFonts w:ascii="Times New Roman" w:hAnsi="Times New Roman"/>
                <w:sz w:val="24"/>
                <w:szCs w:val="24"/>
                <w:lang w:eastAsia="ru-RU"/>
              </w:rPr>
            </w:pPr>
          </w:p>
        </w:tc>
        <w:tc>
          <w:tcPr>
            <w:tcW w:w="1150" w:type="dxa"/>
            <w:vMerge/>
            <w:tcBorders>
              <w:top w:val="nil"/>
              <w:left w:val="single" w:sz="4" w:space="0" w:color="auto"/>
              <w:bottom w:val="nil"/>
              <w:right w:val="nil"/>
            </w:tcBorders>
            <w:shd w:val="clear" w:color="auto" w:fill="FFFFFF"/>
            <w:vAlign w:val="center"/>
          </w:tcPr>
          <w:p w:rsidR="002D1E45" w:rsidRPr="0070545F" w:rsidRDefault="002D1E45" w:rsidP="0070545F">
            <w:pPr>
              <w:spacing w:after="0" w:line="240" w:lineRule="auto"/>
              <w:ind w:left="28" w:right="28"/>
              <w:jc w:val="center"/>
              <w:rPr>
                <w:rFonts w:ascii="Times New Roman" w:hAnsi="Times New Roman"/>
                <w:sz w:val="24"/>
                <w:szCs w:val="24"/>
                <w:lang w:eastAsia="ru-RU"/>
              </w:rPr>
            </w:pPr>
          </w:p>
        </w:tc>
        <w:tc>
          <w:tcPr>
            <w:tcW w:w="1397" w:type="dxa"/>
            <w:vMerge/>
            <w:tcBorders>
              <w:top w:val="nil"/>
              <w:left w:val="single" w:sz="4" w:space="0" w:color="auto"/>
              <w:bottom w:val="nil"/>
              <w:right w:val="nil"/>
            </w:tcBorders>
            <w:shd w:val="clear" w:color="auto" w:fill="FFFFFF"/>
            <w:vAlign w:val="center"/>
          </w:tcPr>
          <w:p w:rsidR="002D1E45" w:rsidRPr="0070545F" w:rsidRDefault="002D1E45" w:rsidP="0070545F">
            <w:pPr>
              <w:spacing w:after="0" w:line="240" w:lineRule="auto"/>
              <w:ind w:left="28" w:right="28"/>
              <w:jc w:val="center"/>
              <w:rPr>
                <w:rFonts w:ascii="Times New Roman" w:hAnsi="Times New Roman"/>
                <w:sz w:val="24"/>
                <w:szCs w:val="24"/>
                <w:lang w:eastAsia="ru-RU"/>
              </w:rPr>
            </w:pPr>
          </w:p>
        </w:tc>
        <w:tc>
          <w:tcPr>
            <w:tcW w:w="1246" w:type="dxa"/>
            <w:vMerge/>
            <w:tcBorders>
              <w:top w:val="nil"/>
              <w:left w:val="single" w:sz="4" w:space="0" w:color="auto"/>
              <w:bottom w:val="nil"/>
              <w:right w:val="nil"/>
            </w:tcBorders>
            <w:shd w:val="clear" w:color="auto" w:fill="FFFFFF"/>
            <w:vAlign w:val="center"/>
          </w:tcPr>
          <w:p w:rsidR="002D1E45" w:rsidRPr="0070545F" w:rsidRDefault="002D1E45" w:rsidP="0070545F">
            <w:pPr>
              <w:spacing w:after="0" w:line="240" w:lineRule="auto"/>
              <w:ind w:left="28" w:right="28"/>
              <w:jc w:val="center"/>
              <w:rPr>
                <w:rFonts w:ascii="Times New Roman" w:hAnsi="Times New Roman"/>
                <w:sz w:val="24"/>
                <w:szCs w:val="24"/>
                <w:lang w:eastAsia="ru-RU"/>
              </w:rPr>
            </w:pPr>
          </w:p>
        </w:tc>
        <w:tc>
          <w:tcPr>
            <w:tcW w:w="1246" w:type="dxa"/>
            <w:vMerge/>
            <w:tcBorders>
              <w:top w:val="nil"/>
              <w:left w:val="single" w:sz="4" w:space="0" w:color="auto"/>
              <w:bottom w:val="nil"/>
              <w:right w:val="nil"/>
            </w:tcBorders>
            <w:shd w:val="clear" w:color="auto" w:fill="FFFFFF"/>
            <w:vAlign w:val="center"/>
          </w:tcPr>
          <w:p w:rsidR="002D1E45" w:rsidRPr="0070545F" w:rsidRDefault="002D1E45" w:rsidP="0070545F">
            <w:pPr>
              <w:spacing w:after="0" w:line="240" w:lineRule="auto"/>
              <w:ind w:left="28" w:right="28"/>
              <w:jc w:val="center"/>
              <w:rPr>
                <w:rFonts w:ascii="Times New Roman" w:hAnsi="Times New Roman"/>
                <w:sz w:val="24"/>
                <w:szCs w:val="24"/>
                <w:lang w:eastAsia="ru-RU"/>
              </w:rPr>
            </w:pPr>
          </w:p>
        </w:tc>
        <w:tc>
          <w:tcPr>
            <w:tcW w:w="1250" w:type="dxa"/>
            <w:tcBorders>
              <w:top w:val="single" w:sz="4" w:space="0" w:color="auto"/>
              <w:left w:val="single" w:sz="4" w:space="0" w:color="auto"/>
              <w:bottom w:val="nil"/>
              <w:right w:val="nil"/>
            </w:tcBorders>
            <w:shd w:val="clear" w:color="auto" w:fill="FFFFFF"/>
            <w:vAlign w:val="center"/>
          </w:tcPr>
          <w:p w:rsidR="002D1E45" w:rsidRPr="0070545F" w:rsidRDefault="002D1E45" w:rsidP="0070545F">
            <w:pPr>
              <w:spacing w:after="0" w:line="240" w:lineRule="auto"/>
              <w:ind w:left="28" w:right="28"/>
              <w:jc w:val="center"/>
              <w:rPr>
                <w:rFonts w:ascii="Times New Roman" w:hAnsi="Times New Roman"/>
                <w:sz w:val="24"/>
                <w:szCs w:val="24"/>
                <w:lang w:eastAsia="ru-RU"/>
              </w:rPr>
            </w:pPr>
            <w:r w:rsidRPr="0070545F">
              <w:rPr>
                <w:rFonts w:ascii="Times New Roman" w:hAnsi="Times New Roman"/>
                <w:color w:val="000000"/>
                <w:sz w:val="24"/>
                <w:szCs w:val="24"/>
                <w:lang w:eastAsia="ru-RU"/>
              </w:rPr>
              <w:t>Всего</w:t>
            </w:r>
          </w:p>
        </w:tc>
        <w:tc>
          <w:tcPr>
            <w:tcW w:w="1250" w:type="dxa"/>
            <w:tcBorders>
              <w:top w:val="single" w:sz="4" w:space="0" w:color="auto"/>
              <w:left w:val="single" w:sz="4" w:space="0" w:color="auto"/>
              <w:bottom w:val="nil"/>
              <w:right w:val="nil"/>
            </w:tcBorders>
            <w:shd w:val="clear" w:color="auto" w:fill="FFFFFF"/>
            <w:vAlign w:val="center"/>
          </w:tcPr>
          <w:p w:rsidR="002D1E45" w:rsidRPr="0070545F" w:rsidRDefault="002D1E45" w:rsidP="0070545F">
            <w:pPr>
              <w:spacing w:after="0" w:line="240" w:lineRule="auto"/>
              <w:ind w:left="28" w:right="28"/>
              <w:jc w:val="center"/>
              <w:rPr>
                <w:rFonts w:ascii="Times New Roman" w:hAnsi="Times New Roman"/>
                <w:sz w:val="24"/>
                <w:szCs w:val="24"/>
                <w:lang w:eastAsia="ru-RU"/>
              </w:rPr>
            </w:pPr>
            <w:r w:rsidRPr="0070545F">
              <w:rPr>
                <w:rFonts w:ascii="Times New Roman" w:hAnsi="Times New Roman"/>
                <w:color w:val="000000"/>
                <w:sz w:val="24"/>
                <w:szCs w:val="24"/>
                <w:lang w:eastAsia="ru-RU"/>
              </w:rPr>
              <w:t>Население</w:t>
            </w:r>
          </w:p>
        </w:tc>
        <w:tc>
          <w:tcPr>
            <w:tcW w:w="1252" w:type="dxa"/>
            <w:tcBorders>
              <w:top w:val="single" w:sz="4" w:space="0" w:color="auto"/>
              <w:left w:val="single" w:sz="4" w:space="0" w:color="auto"/>
              <w:bottom w:val="nil"/>
              <w:right w:val="single" w:sz="4" w:space="0" w:color="auto"/>
            </w:tcBorders>
            <w:shd w:val="clear" w:color="auto" w:fill="FFFFFF"/>
            <w:vAlign w:val="center"/>
          </w:tcPr>
          <w:p w:rsidR="002D1E45" w:rsidRPr="0070545F" w:rsidRDefault="002D1E45" w:rsidP="0070545F">
            <w:pPr>
              <w:spacing w:after="0" w:line="240" w:lineRule="auto"/>
              <w:ind w:left="28" w:right="28"/>
              <w:jc w:val="center"/>
              <w:rPr>
                <w:rFonts w:ascii="Times New Roman" w:hAnsi="Times New Roman"/>
                <w:sz w:val="24"/>
                <w:szCs w:val="24"/>
                <w:lang w:eastAsia="ru-RU"/>
              </w:rPr>
            </w:pPr>
            <w:r w:rsidRPr="0070545F">
              <w:rPr>
                <w:rFonts w:ascii="Times New Roman" w:hAnsi="Times New Roman"/>
                <w:color w:val="000000"/>
                <w:sz w:val="24"/>
                <w:szCs w:val="24"/>
                <w:lang w:eastAsia="ru-RU"/>
              </w:rPr>
              <w:t>Прочие</w:t>
            </w:r>
          </w:p>
        </w:tc>
      </w:tr>
      <w:tr w:rsidR="002D1E45" w:rsidRPr="0070545F" w:rsidTr="0070545F">
        <w:trPr>
          <w:trHeight w:val="62"/>
          <w:jc w:val="center"/>
        </w:trPr>
        <w:tc>
          <w:tcPr>
            <w:tcW w:w="1555" w:type="dxa"/>
            <w:tcBorders>
              <w:top w:val="single" w:sz="4" w:space="0" w:color="auto"/>
              <w:left w:val="single" w:sz="4" w:space="0" w:color="auto"/>
              <w:bottom w:val="single" w:sz="4" w:space="0" w:color="auto"/>
              <w:right w:val="nil"/>
            </w:tcBorders>
            <w:shd w:val="clear" w:color="auto" w:fill="FFFFFF"/>
            <w:vAlign w:val="center"/>
          </w:tcPr>
          <w:p w:rsidR="002D1E45" w:rsidRPr="0070545F" w:rsidRDefault="002D1E45" w:rsidP="0070545F">
            <w:pPr>
              <w:spacing w:after="0" w:line="240" w:lineRule="auto"/>
              <w:ind w:left="28" w:right="28"/>
              <w:rPr>
                <w:rFonts w:ascii="Times New Roman" w:hAnsi="Times New Roman"/>
                <w:sz w:val="24"/>
                <w:szCs w:val="24"/>
                <w:lang w:eastAsia="ru-RU"/>
              </w:rPr>
            </w:pPr>
            <w:r w:rsidRPr="0070545F">
              <w:rPr>
                <w:rFonts w:ascii="Times New Roman" w:hAnsi="Times New Roman"/>
                <w:color w:val="000000"/>
                <w:sz w:val="24"/>
                <w:szCs w:val="24"/>
                <w:lang w:eastAsia="ru-RU"/>
              </w:rPr>
              <w:t xml:space="preserve">г. </w:t>
            </w:r>
            <w:r>
              <w:rPr>
                <w:rFonts w:ascii="Times New Roman" w:hAnsi="Times New Roman"/>
                <w:color w:val="000000"/>
                <w:sz w:val="24"/>
                <w:szCs w:val="24"/>
                <w:lang w:eastAsia="ru-RU"/>
              </w:rPr>
              <w:t>К</w:t>
            </w:r>
            <w:r w:rsidRPr="0070545F">
              <w:rPr>
                <w:rFonts w:ascii="Times New Roman" w:hAnsi="Times New Roman"/>
                <w:color w:val="000000"/>
                <w:sz w:val="24"/>
                <w:szCs w:val="24"/>
                <w:lang w:eastAsia="ru-RU"/>
              </w:rPr>
              <w:t>уйбышев</w:t>
            </w:r>
          </w:p>
        </w:tc>
        <w:tc>
          <w:tcPr>
            <w:tcW w:w="1150" w:type="dxa"/>
            <w:tcBorders>
              <w:top w:val="single" w:sz="4" w:space="0" w:color="auto"/>
              <w:left w:val="single" w:sz="4" w:space="0" w:color="auto"/>
              <w:bottom w:val="single" w:sz="4" w:space="0" w:color="auto"/>
              <w:right w:val="nil"/>
            </w:tcBorders>
            <w:shd w:val="clear" w:color="auto" w:fill="FFFFFF"/>
            <w:vAlign w:val="center"/>
          </w:tcPr>
          <w:p w:rsidR="002D1E45" w:rsidRPr="0070545F" w:rsidRDefault="002D1E45" w:rsidP="0070545F">
            <w:pPr>
              <w:spacing w:after="0" w:line="240" w:lineRule="auto"/>
              <w:ind w:left="28" w:right="28"/>
              <w:jc w:val="center"/>
              <w:rPr>
                <w:rFonts w:ascii="Times New Roman" w:hAnsi="Times New Roman"/>
                <w:sz w:val="24"/>
                <w:szCs w:val="24"/>
                <w:lang w:eastAsia="ru-RU"/>
              </w:rPr>
            </w:pPr>
            <w:r w:rsidRPr="0070545F">
              <w:rPr>
                <w:rFonts w:ascii="Times New Roman" w:hAnsi="Times New Roman"/>
                <w:color w:val="000000"/>
                <w:sz w:val="24"/>
                <w:szCs w:val="24"/>
                <w:lang w:eastAsia="ru-RU"/>
              </w:rPr>
              <w:t>2022,83</w:t>
            </w:r>
          </w:p>
        </w:tc>
        <w:tc>
          <w:tcPr>
            <w:tcW w:w="1397" w:type="dxa"/>
            <w:tcBorders>
              <w:top w:val="single" w:sz="4" w:space="0" w:color="auto"/>
              <w:left w:val="single" w:sz="4" w:space="0" w:color="auto"/>
              <w:bottom w:val="single" w:sz="4" w:space="0" w:color="auto"/>
              <w:right w:val="nil"/>
            </w:tcBorders>
            <w:shd w:val="clear" w:color="auto" w:fill="FFFFFF"/>
            <w:vAlign w:val="center"/>
          </w:tcPr>
          <w:p w:rsidR="002D1E45" w:rsidRPr="0070545F" w:rsidRDefault="002D1E45" w:rsidP="0070545F">
            <w:pPr>
              <w:spacing w:after="0" w:line="240" w:lineRule="auto"/>
              <w:ind w:left="28" w:right="28"/>
              <w:jc w:val="center"/>
              <w:rPr>
                <w:rFonts w:ascii="Times New Roman" w:hAnsi="Times New Roman"/>
                <w:sz w:val="24"/>
                <w:szCs w:val="24"/>
                <w:lang w:eastAsia="ru-RU"/>
              </w:rPr>
            </w:pPr>
            <w:r w:rsidRPr="0070545F">
              <w:rPr>
                <w:rFonts w:ascii="Times New Roman" w:hAnsi="Times New Roman"/>
                <w:color w:val="000000"/>
                <w:sz w:val="24"/>
                <w:szCs w:val="24"/>
                <w:lang w:eastAsia="ru-RU"/>
              </w:rPr>
              <w:t>426,0</w:t>
            </w:r>
          </w:p>
        </w:tc>
        <w:tc>
          <w:tcPr>
            <w:tcW w:w="1246" w:type="dxa"/>
            <w:tcBorders>
              <w:top w:val="single" w:sz="4" w:space="0" w:color="auto"/>
              <w:left w:val="single" w:sz="4" w:space="0" w:color="auto"/>
              <w:bottom w:val="single" w:sz="4" w:space="0" w:color="auto"/>
              <w:right w:val="nil"/>
            </w:tcBorders>
            <w:shd w:val="clear" w:color="auto" w:fill="FFFFFF"/>
            <w:vAlign w:val="center"/>
          </w:tcPr>
          <w:p w:rsidR="002D1E45" w:rsidRPr="0070545F" w:rsidRDefault="002D1E45" w:rsidP="0070545F">
            <w:pPr>
              <w:spacing w:after="0" w:line="240" w:lineRule="auto"/>
              <w:ind w:left="28" w:right="28"/>
              <w:jc w:val="center"/>
              <w:rPr>
                <w:rFonts w:ascii="Times New Roman" w:hAnsi="Times New Roman"/>
                <w:sz w:val="24"/>
                <w:szCs w:val="24"/>
                <w:lang w:eastAsia="ru-RU"/>
              </w:rPr>
            </w:pPr>
            <w:r w:rsidRPr="0070545F">
              <w:rPr>
                <w:rFonts w:ascii="Times New Roman" w:hAnsi="Times New Roman"/>
                <w:color w:val="000000"/>
                <w:sz w:val="24"/>
                <w:szCs w:val="24"/>
                <w:lang w:eastAsia="ru-RU"/>
              </w:rPr>
              <w:t>1596,83</w:t>
            </w:r>
          </w:p>
        </w:tc>
        <w:tc>
          <w:tcPr>
            <w:tcW w:w="1246" w:type="dxa"/>
            <w:tcBorders>
              <w:top w:val="single" w:sz="4" w:space="0" w:color="auto"/>
              <w:left w:val="single" w:sz="4" w:space="0" w:color="auto"/>
              <w:bottom w:val="single" w:sz="4" w:space="0" w:color="auto"/>
              <w:right w:val="nil"/>
            </w:tcBorders>
            <w:shd w:val="clear" w:color="auto" w:fill="FFFFFF"/>
            <w:vAlign w:val="center"/>
          </w:tcPr>
          <w:p w:rsidR="002D1E45" w:rsidRPr="0070545F" w:rsidRDefault="002D1E45" w:rsidP="0070545F">
            <w:pPr>
              <w:spacing w:after="0" w:line="240" w:lineRule="auto"/>
              <w:ind w:left="28" w:right="28"/>
              <w:jc w:val="center"/>
              <w:rPr>
                <w:rFonts w:ascii="Times New Roman" w:hAnsi="Times New Roman"/>
                <w:sz w:val="24"/>
                <w:szCs w:val="24"/>
                <w:lang w:eastAsia="ru-RU"/>
              </w:rPr>
            </w:pPr>
            <w:r w:rsidRPr="0070545F">
              <w:rPr>
                <w:rFonts w:ascii="Times New Roman" w:hAnsi="Times New Roman"/>
                <w:color w:val="000000"/>
                <w:sz w:val="24"/>
                <w:szCs w:val="24"/>
                <w:lang w:eastAsia="ru-RU"/>
              </w:rPr>
              <w:t>97,06</w:t>
            </w:r>
          </w:p>
        </w:tc>
        <w:tc>
          <w:tcPr>
            <w:tcW w:w="1250" w:type="dxa"/>
            <w:tcBorders>
              <w:top w:val="single" w:sz="4" w:space="0" w:color="auto"/>
              <w:left w:val="single" w:sz="4" w:space="0" w:color="auto"/>
              <w:bottom w:val="single" w:sz="4" w:space="0" w:color="auto"/>
              <w:right w:val="nil"/>
            </w:tcBorders>
            <w:shd w:val="clear" w:color="auto" w:fill="FFFFFF"/>
            <w:vAlign w:val="center"/>
          </w:tcPr>
          <w:p w:rsidR="002D1E45" w:rsidRPr="0070545F" w:rsidRDefault="002D1E45" w:rsidP="0070545F">
            <w:pPr>
              <w:spacing w:after="0" w:line="240" w:lineRule="auto"/>
              <w:ind w:left="28" w:right="28"/>
              <w:jc w:val="center"/>
              <w:rPr>
                <w:rFonts w:ascii="Times New Roman" w:hAnsi="Times New Roman"/>
                <w:sz w:val="24"/>
                <w:szCs w:val="24"/>
                <w:lang w:eastAsia="ru-RU"/>
              </w:rPr>
            </w:pPr>
            <w:r w:rsidRPr="0070545F">
              <w:rPr>
                <w:rFonts w:ascii="Times New Roman" w:hAnsi="Times New Roman"/>
                <w:color w:val="000000"/>
                <w:sz w:val="24"/>
                <w:szCs w:val="24"/>
                <w:lang w:eastAsia="ru-RU"/>
              </w:rPr>
              <w:t>1499,77</w:t>
            </w:r>
          </w:p>
        </w:tc>
        <w:tc>
          <w:tcPr>
            <w:tcW w:w="1250" w:type="dxa"/>
            <w:tcBorders>
              <w:top w:val="single" w:sz="4" w:space="0" w:color="auto"/>
              <w:left w:val="single" w:sz="4" w:space="0" w:color="auto"/>
              <w:bottom w:val="single" w:sz="4" w:space="0" w:color="auto"/>
              <w:right w:val="nil"/>
            </w:tcBorders>
            <w:shd w:val="clear" w:color="auto" w:fill="FFFFFF"/>
            <w:vAlign w:val="center"/>
          </w:tcPr>
          <w:p w:rsidR="002D1E45" w:rsidRPr="0070545F" w:rsidRDefault="002D1E45" w:rsidP="0070545F">
            <w:pPr>
              <w:spacing w:after="0" w:line="240" w:lineRule="auto"/>
              <w:ind w:left="28" w:right="28"/>
              <w:jc w:val="center"/>
              <w:rPr>
                <w:rFonts w:ascii="Times New Roman" w:hAnsi="Times New Roman"/>
                <w:sz w:val="24"/>
                <w:szCs w:val="24"/>
                <w:lang w:eastAsia="ru-RU"/>
              </w:rPr>
            </w:pPr>
            <w:r w:rsidRPr="0070545F">
              <w:rPr>
                <w:rFonts w:ascii="Times New Roman" w:hAnsi="Times New Roman"/>
                <w:color w:val="000000"/>
                <w:sz w:val="24"/>
                <w:szCs w:val="24"/>
                <w:lang w:eastAsia="ru-RU"/>
              </w:rPr>
              <w:t>1280,84</w:t>
            </w:r>
          </w:p>
        </w:tc>
        <w:tc>
          <w:tcPr>
            <w:tcW w:w="1252"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70545F" w:rsidRDefault="002D1E45" w:rsidP="0070545F">
            <w:pPr>
              <w:spacing w:after="0" w:line="240" w:lineRule="auto"/>
              <w:ind w:left="28" w:right="28"/>
              <w:jc w:val="center"/>
              <w:rPr>
                <w:rFonts w:ascii="Times New Roman" w:hAnsi="Times New Roman"/>
                <w:sz w:val="24"/>
                <w:szCs w:val="24"/>
                <w:lang w:eastAsia="ru-RU"/>
              </w:rPr>
            </w:pPr>
            <w:r w:rsidRPr="0070545F">
              <w:rPr>
                <w:rFonts w:ascii="Times New Roman" w:hAnsi="Times New Roman"/>
                <w:color w:val="000000"/>
                <w:sz w:val="24"/>
                <w:szCs w:val="24"/>
                <w:lang w:eastAsia="ru-RU"/>
              </w:rPr>
              <w:t>218,93</w:t>
            </w:r>
          </w:p>
        </w:tc>
      </w:tr>
    </w:tbl>
    <w:p w:rsidR="002D1E45" w:rsidRDefault="002D1E45" w:rsidP="00DE0FA7">
      <w:pPr>
        <w:spacing w:after="120" w:line="240" w:lineRule="auto"/>
        <w:jc w:val="center"/>
        <w:rPr>
          <w:rFonts w:ascii="Times New Roman" w:hAnsi="Times New Roman"/>
          <w:sz w:val="28"/>
          <w:szCs w:val="28"/>
          <w:lang w:eastAsia="ru-RU"/>
        </w:rPr>
      </w:pPr>
    </w:p>
    <w:p w:rsidR="002D1E45" w:rsidRDefault="002D1E45" w:rsidP="008473E4">
      <w:pPr>
        <w:spacing w:after="0" w:line="240" w:lineRule="auto"/>
        <w:ind w:firstLine="709"/>
        <w:jc w:val="both"/>
        <w:rPr>
          <w:rFonts w:ascii="Times New Roman" w:hAnsi="Times New Roman"/>
          <w:sz w:val="28"/>
          <w:szCs w:val="28"/>
        </w:rPr>
      </w:pPr>
      <w:r w:rsidRPr="008473E4">
        <w:rPr>
          <w:rFonts w:ascii="Times New Roman" w:hAnsi="Times New Roman"/>
          <w:sz w:val="28"/>
          <w:szCs w:val="28"/>
        </w:rPr>
        <w:t xml:space="preserve">Протяженность водопроводных сетей составляет </w:t>
      </w:r>
      <w:r>
        <w:rPr>
          <w:rFonts w:ascii="Times New Roman" w:hAnsi="Times New Roman"/>
          <w:sz w:val="28"/>
          <w:szCs w:val="28"/>
        </w:rPr>
        <w:t>– 92,92</w:t>
      </w:r>
      <w:r w:rsidRPr="008473E4">
        <w:rPr>
          <w:rFonts w:ascii="Times New Roman" w:hAnsi="Times New Roman"/>
          <w:sz w:val="28"/>
          <w:szCs w:val="28"/>
        </w:rPr>
        <w:t xml:space="preserve"> км из них </w:t>
      </w:r>
      <w:r>
        <w:rPr>
          <w:rFonts w:ascii="Times New Roman" w:hAnsi="Times New Roman"/>
          <w:sz w:val="28"/>
          <w:szCs w:val="28"/>
        </w:rPr>
        <w:t>46,09 км (49,6 %)</w:t>
      </w:r>
      <w:r w:rsidRPr="008473E4">
        <w:rPr>
          <w:rFonts w:ascii="Times New Roman" w:hAnsi="Times New Roman"/>
          <w:sz w:val="28"/>
          <w:szCs w:val="28"/>
        </w:rPr>
        <w:t xml:space="preserve"> признаны ветхими и нуждаются в замене.</w:t>
      </w:r>
    </w:p>
    <w:p w:rsidR="002D1E45" w:rsidRPr="008473E4" w:rsidRDefault="002D1E45" w:rsidP="008473E4">
      <w:pPr>
        <w:spacing w:after="0" w:line="240" w:lineRule="auto"/>
        <w:ind w:firstLine="709"/>
        <w:jc w:val="both"/>
        <w:rPr>
          <w:rFonts w:ascii="Times New Roman" w:hAnsi="Times New Roman"/>
          <w:sz w:val="28"/>
          <w:szCs w:val="28"/>
        </w:rPr>
      </w:pPr>
      <w:r w:rsidRPr="008473E4">
        <w:rPr>
          <w:rFonts w:ascii="Times New Roman" w:hAnsi="Times New Roman"/>
          <w:sz w:val="28"/>
          <w:szCs w:val="28"/>
        </w:rPr>
        <w:t>Для хозяйственно-питьевого водоснабжения использованы стальные, чугунные и полиэтиленовые трубы. Сети оборудованы колодцами с запорной арматурой, колонками</w:t>
      </w:r>
      <w:r>
        <w:rPr>
          <w:rFonts w:ascii="Times New Roman" w:hAnsi="Times New Roman"/>
          <w:sz w:val="28"/>
          <w:szCs w:val="28"/>
        </w:rPr>
        <w:t xml:space="preserve"> – </w:t>
      </w:r>
      <w:r w:rsidRPr="008473E4">
        <w:rPr>
          <w:rFonts w:ascii="Times New Roman" w:hAnsi="Times New Roman"/>
          <w:sz w:val="28"/>
          <w:szCs w:val="28"/>
        </w:rPr>
        <w:t>285 шт</w:t>
      </w:r>
      <w:r>
        <w:rPr>
          <w:rFonts w:ascii="Times New Roman" w:hAnsi="Times New Roman"/>
          <w:sz w:val="28"/>
          <w:szCs w:val="28"/>
        </w:rPr>
        <w:t>.</w:t>
      </w:r>
      <w:r w:rsidRPr="008473E4">
        <w:rPr>
          <w:rFonts w:ascii="Times New Roman" w:hAnsi="Times New Roman"/>
          <w:sz w:val="28"/>
          <w:szCs w:val="28"/>
        </w:rPr>
        <w:t xml:space="preserve"> и пожарными гидрантами – для нужд пожаротушения.</w:t>
      </w:r>
    </w:p>
    <w:p w:rsidR="002D1E45" w:rsidRPr="00ED4170" w:rsidRDefault="002D1E45" w:rsidP="00ED4170">
      <w:pPr>
        <w:spacing w:after="0" w:line="240" w:lineRule="auto"/>
        <w:ind w:firstLine="709"/>
        <w:jc w:val="both"/>
        <w:rPr>
          <w:rFonts w:ascii="Times New Roman" w:hAnsi="Times New Roman"/>
          <w:sz w:val="28"/>
          <w:szCs w:val="28"/>
        </w:rPr>
      </w:pPr>
      <w:r w:rsidRPr="00ED4170">
        <w:rPr>
          <w:rFonts w:ascii="Times New Roman" w:hAnsi="Times New Roman"/>
          <w:sz w:val="28"/>
          <w:szCs w:val="28"/>
        </w:rPr>
        <w:t xml:space="preserve">В системе водоснабжения </w:t>
      </w:r>
      <w:r>
        <w:rPr>
          <w:rFonts w:ascii="Times New Roman" w:hAnsi="Times New Roman"/>
          <w:sz w:val="28"/>
          <w:szCs w:val="28"/>
        </w:rPr>
        <w:t>г. Куйбышева</w:t>
      </w:r>
      <w:r w:rsidRPr="00ED4170">
        <w:rPr>
          <w:rFonts w:ascii="Times New Roman" w:hAnsi="Times New Roman"/>
          <w:sz w:val="28"/>
          <w:szCs w:val="28"/>
        </w:rPr>
        <w:t xml:space="preserve"> существуют следующие проблемы:</w:t>
      </w:r>
    </w:p>
    <w:p w:rsidR="002D1E45" w:rsidRPr="00DA7BA4"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lang w:eastAsia="ru-RU"/>
        </w:rPr>
      </w:pPr>
      <w:r>
        <w:rPr>
          <w:rFonts w:ascii="Times New Roman" w:hAnsi="Times New Roman"/>
          <w:sz w:val="28"/>
          <w:szCs w:val="28"/>
          <w:lang w:eastAsia="ru-RU"/>
        </w:rPr>
        <w:t>и</w:t>
      </w:r>
      <w:r w:rsidRPr="00DA7BA4">
        <w:rPr>
          <w:rFonts w:ascii="Times New Roman" w:hAnsi="Times New Roman"/>
          <w:sz w:val="28"/>
          <w:szCs w:val="28"/>
          <w:lang w:eastAsia="ru-RU"/>
        </w:rPr>
        <w:t xml:space="preserve">знос линейных объектов системы водоснабжения составляет </w:t>
      </w:r>
      <w:r>
        <w:rPr>
          <w:rFonts w:ascii="Times New Roman" w:hAnsi="Times New Roman"/>
          <w:sz w:val="28"/>
          <w:szCs w:val="28"/>
          <w:lang w:eastAsia="ru-RU"/>
        </w:rPr>
        <w:t>49,6</w:t>
      </w:r>
      <w:r w:rsidRPr="00DA7BA4">
        <w:rPr>
          <w:rFonts w:ascii="Times New Roman" w:hAnsi="Times New Roman"/>
          <w:sz w:val="28"/>
          <w:szCs w:val="28"/>
          <w:lang w:eastAsia="ru-RU"/>
        </w:rPr>
        <w:t xml:space="preserve"> %;</w:t>
      </w:r>
    </w:p>
    <w:p w:rsidR="002D1E45" w:rsidRPr="00DA7BA4"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lang w:eastAsia="ru-RU"/>
        </w:rPr>
      </w:pPr>
      <w:r>
        <w:rPr>
          <w:rFonts w:ascii="Times New Roman" w:hAnsi="Times New Roman"/>
          <w:sz w:val="28"/>
          <w:szCs w:val="28"/>
          <w:lang w:eastAsia="ru-RU"/>
        </w:rPr>
        <w:t>к</w:t>
      </w:r>
      <w:r w:rsidRPr="00DA7BA4">
        <w:rPr>
          <w:rFonts w:ascii="Times New Roman" w:hAnsi="Times New Roman"/>
          <w:sz w:val="28"/>
          <w:szCs w:val="28"/>
          <w:lang w:eastAsia="ru-RU"/>
        </w:rPr>
        <w:t xml:space="preserve"> централизованной системе водоснабжения подключено </w:t>
      </w:r>
      <w:r>
        <w:rPr>
          <w:rFonts w:ascii="Times New Roman" w:hAnsi="Times New Roman"/>
          <w:sz w:val="28"/>
          <w:szCs w:val="28"/>
          <w:lang w:eastAsia="ru-RU"/>
        </w:rPr>
        <w:t>55</w:t>
      </w:r>
      <w:r w:rsidRPr="00DA7BA4">
        <w:rPr>
          <w:rFonts w:ascii="Times New Roman" w:hAnsi="Times New Roman"/>
          <w:sz w:val="28"/>
          <w:szCs w:val="28"/>
          <w:lang w:eastAsia="ru-RU"/>
        </w:rPr>
        <w:t xml:space="preserve"> % </w:t>
      </w:r>
      <w:r>
        <w:rPr>
          <w:rFonts w:ascii="Times New Roman" w:hAnsi="Times New Roman"/>
          <w:sz w:val="28"/>
          <w:szCs w:val="28"/>
          <w:lang w:eastAsia="ru-RU"/>
        </w:rPr>
        <w:t>жилого фонда</w:t>
      </w:r>
      <w:r w:rsidRPr="00DA7BA4">
        <w:rPr>
          <w:rFonts w:ascii="Times New Roman" w:hAnsi="Times New Roman"/>
          <w:sz w:val="28"/>
          <w:szCs w:val="28"/>
          <w:lang w:eastAsia="ru-RU"/>
        </w:rPr>
        <w:t>;</w:t>
      </w:r>
    </w:p>
    <w:p w:rsidR="002D1E45" w:rsidRPr="00DA7BA4"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lang w:eastAsia="ru-RU"/>
        </w:rPr>
      </w:pPr>
      <w:r>
        <w:rPr>
          <w:rFonts w:ascii="Times New Roman" w:hAnsi="Times New Roman"/>
          <w:sz w:val="28"/>
          <w:szCs w:val="28"/>
          <w:lang w:eastAsia="ru-RU"/>
        </w:rPr>
        <w:t>основное оборудование, включая ВОС</w:t>
      </w:r>
      <w:r w:rsidRPr="00DA7BA4">
        <w:rPr>
          <w:rFonts w:ascii="Times New Roman" w:hAnsi="Times New Roman"/>
          <w:sz w:val="28"/>
          <w:szCs w:val="28"/>
          <w:lang w:eastAsia="ru-RU"/>
        </w:rPr>
        <w:t xml:space="preserve"> находятся в эксплуатации с 1970-</w:t>
      </w:r>
      <w:r>
        <w:rPr>
          <w:rFonts w:ascii="Times New Roman" w:hAnsi="Times New Roman"/>
          <w:sz w:val="28"/>
          <w:szCs w:val="28"/>
          <w:lang w:eastAsia="ru-RU"/>
        </w:rPr>
        <w:t xml:space="preserve"> годов</w:t>
      </w:r>
      <w:r w:rsidRPr="00DA7BA4">
        <w:rPr>
          <w:rFonts w:ascii="Times New Roman" w:hAnsi="Times New Roman"/>
          <w:sz w:val="28"/>
          <w:szCs w:val="28"/>
          <w:lang w:eastAsia="ru-RU"/>
        </w:rPr>
        <w:t>. Большая часть установленного насосно-силового оборудования израсходовало свой ресурс;</w:t>
      </w:r>
    </w:p>
    <w:p w:rsidR="002D1E45" w:rsidRPr="00DA7BA4"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lang w:eastAsia="ru-RU"/>
        </w:rPr>
      </w:pPr>
      <w:r>
        <w:rPr>
          <w:rFonts w:ascii="Times New Roman" w:hAnsi="Times New Roman"/>
          <w:sz w:val="28"/>
          <w:szCs w:val="28"/>
          <w:lang w:eastAsia="ru-RU"/>
        </w:rPr>
        <w:t>у</w:t>
      </w:r>
      <w:r w:rsidRPr="00DA7BA4">
        <w:rPr>
          <w:rFonts w:ascii="Times New Roman" w:hAnsi="Times New Roman"/>
          <w:sz w:val="28"/>
          <w:szCs w:val="28"/>
          <w:lang w:eastAsia="ru-RU"/>
        </w:rPr>
        <w:t xml:space="preserve">течки и неучтённые расходы составляют </w:t>
      </w:r>
      <w:r>
        <w:rPr>
          <w:rFonts w:ascii="Times New Roman" w:hAnsi="Times New Roman"/>
          <w:sz w:val="28"/>
          <w:szCs w:val="28"/>
          <w:lang w:eastAsia="ru-RU"/>
        </w:rPr>
        <w:t xml:space="preserve">6 </w:t>
      </w:r>
      <w:r w:rsidRPr="00DA7BA4">
        <w:rPr>
          <w:rFonts w:ascii="Times New Roman" w:hAnsi="Times New Roman"/>
          <w:sz w:val="28"/>
          <w:szCs w:val="28"/>
          <w:lang w:eastAsia="ru-RU"/>
        </w:rPr>
        <w:t>%;</w:t>
      </w:r>
    </w:p>
    <w:p w:rsidR="002D1E45"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lang w:eastAsia="ru-RU"/>
        </w:rPr>
      </w:pPr>
      <w:r>
        <w:rPr>
          <w:rFonts w:ascii="Times New Roman" w:hAnsi="Times New Roman"/>
          <w:sz w:val="28"/>
          <w:szCs w:val="28"/>
          <w:lang w:eastAsia="ru-RU"/>
        </w:rPr>
        <w:t>к</w:t>
      </w:r>
      <w:r w:rsidRPr="00DA7BA4">
        <w:rPr>
          <w:rFonts w:ascii="Times New Roman" w:hAnsi="Times New Roman"/>
          <w:sz w:val="28"/>
          <w:szCs w:val="28"/>
          <w:lang w:eastAsia="ru-RU"/>
        </w:rPr>
        <w:t>ачество воды, подаваемой в систему водоснабжения, не соответствует СанПиН 2.1.4.1074-01.</w:t>
      </w:r>
    </w:p>
    <w:p w:rsidR="002D1E45" w:rsidRPr="00DA7BA4" w:rsidRDefault="002D1E45" w:rsidP="00B102A5">
      <w:pPr>
        <w:tabs>
          <w:tab w:val="left" w:pos="1134"/>
        </w:tabs>
        <w:spacing w:after="0" w:line="240" w:lineRule="auto"/>
        <w:ind w:left="1134"/>
        <w:jc w:val="both"/>
        <w:rPr>
          <w:rFonts w:ascii="Times New Roman" w:hAnsi="Times New Roman"/>
          <w:sz w:val="28"/>
          <w:szCs w:val="28"/>
          <w:lang w:eastAsia="ru-RU"/>
        </w:rPr>
      </w:pPr>
    </w:p>
    <w:p w:rsidR="002D1E45" w:rsidRPr="005845BE" w:rsidRDefault="002D1E45" w:rsidP="00852938">
      <w:pPr>
        <w:pStyle w:val="Heading3"/>
        <w:numPr>
          <w:ilvl w:val="2"/>
          <w:numId w:val="65"/>
        </w:numPr>
        <w:tabs>
          <w:tab w:val="left" w:pos="1418"/>
        </w:tabs>
        <w:spacing w:before="120"/>
        <w:ind w:left="1418" w:hanging="698"/>
        <w:jc w:val="both"/>
        <w:rPr>
          <w:rFonts w:ascii="Times New Roman" w:hAnsi="Times New Roman"/>
          <w:sz w:val="28"/>
        </w:rPr>
      </w:pPr>
      <w:bookmarkStart w:id="155" w:name="_Toc475037092"/>
      <w:bookmarkStart w:id="156" w:name="_Toc84936033"/>
      <w:r w:rsidRPr="005845BE">
        <w:rPr>
          <w:rFonts w:ascii="Times New Roman" w:hAnsi="Times New Roman"/>
          <w:sz w:val="28"/>
        </w:rPr>
        <w:t>Водоотведение</w:t>
      </w:r>
      <w:bookmarkEnd w:id="155"/>
      <w:bookmarkEnd w:id="156"/>
    </w:p>
    <w:p w:rsidR="002D1E45" w:rsidRDefault="002D1E45" w:rsidP="003A7901">
      <w:pPr>
        <w:spacing w:after="0" w:line="240" w:lineRule="auto"/>
        <w:ind w:firstLine="709"/>
        <w:contextualSpacing/>
        <w:jc w:val="both"/>
        <w:rPr>
          <w:rFonts w:ascii="Times New Roman" w:hAnsi="Times New Roman"/>
          <w:sz w:val="28"/>
          <w:szCs w:val="28"/>
        </w:rPr>
      </w:pPr>
    </w:p>
    <w:p w:rsidR="002D1E45" w:rsidRPr="00F2119F" w:rsidRDefault="002D1E45" w:rsidP="00C94FDA">
      <w:pPr>
        <w:spacing w:after="0" w:line="240" w:lineRule="auto"/>
        <w:ind w:firstLine="709"/>
        <w:contextualSpacing/>
        <w:jc w:val="both"/>
        <w:rPr>
          <w:rFonts w:ascii="Times New Roman" w:hAnsi="Times New Roman"/>
          <w:sz w:val="28"/>
          <w:szCs w:val="28"/>
        </w:rPr>
      </w:pPr>
      <w:r>
        <w:rPr>
          <w:rFonts w:ascii="Times New Roman" w:hAnsi="Times New Roman"/>
          <w:sz w:val="28"/>
          <w:szCs w:val="28"/>
        </w:rPr>
        <w:t>Федеральный закон от 07.12.</w:t>
      </w:r>
      <w:r w:rsidRPr="00F2119F">
        <w:rPr>
          <w:rFonts w:ascii="Times New Roman" w:hAnsi="Times New Roman"/>
          <w:sz w:val="28"/>
          <w:szCs w:val="28"/>
        </w:rPr>
        <w:t>2011</w:t>
      </w:r>
      <w:r>
        <w:rPr>
          <w:rFonts w:ascii="Times New Roman" w:hAnsi="Times New Roman"/>
          <w:sz w:val="28"/>
          <w:szCs w:val="28"/>
        </w:rPr>
        <w:t xml:space="preserve"> </w:t>
      </w:r>
      <w:r w:rsidRPr="00F2119F">
        <w:rPr>
          <w:rFonts w:ascii="Times New Roman" w:hAnsi="Times New Roman"/>
          <w:sz w:val="28"/>
          <w:szCs w:val="28"/>
        </w:rPr>
        <w:t>№</w:t>
      </w:r>
      <w:r>
        <w:rPr>
          <w:rFonts w:ascii="Times New Roman" w:hAnsi="Times New Roman"/>
          <w:sz w:val="28"/>
          <w:szCs w:val="28"/>
        </w:rPr>
        <w:t xml:space="preserve"> </w:t>
      </w:r>
      <w:r w:rsidRPr="00F2119F">
        <w:rPr>
          <w:rFonts w:ascii="Times New Roman" w:hAnsi="Times New Roman"/>
          <w:sz w:val="28"/>
          <w:szCs w:val="28"/>
        </w:rPr>
        <w:t>416-ФЗ «О водоснабжении и</w:t>
      </w:r>
      <w:r>
        <w:rPr>
          <w:rFonts w:ascii="Times New Roman" w:hAnsi="Times New Roman"/>
          <w:sz w:val="28"/>
          <w:szCs w:val="28"/>
        </w:rPr>
        <w:t> </w:t>
      </w:r>
      <w:r w:rsidRPr="00F2119F">
        <w:rPr>
          <w:rFonts w:ascii="Times New Roman" w:hAnsi="Times New Roman"/>
          <w:sz w:val="28"/>
          <w:szCs w:val="28"/>
        </w:rPr>
        <w:t>водоотведении» даёт определение понятию</w:t>
      </w:r>
      <w:r>
        <w:rPr>
          <w:rFonts w:ascii="Times New Roman" w:hAnsi="Times New Roman"/>
          <w:sz w:val="28"/>
          <w:szCs w:val="28"/>
        </w:rPr>
        <w:t xml:space="preserve"> </w:t>
      </w:r>
      <w:r w:rsidRPr="00F2119F">
        <w:rPr>
          <w:rFonts w:ascii="Times New Roman" w:hAnsi="Times New Roman"/>
          <w:sz w:val="28"/>
          <w:szCs w:val="28"/>
        </w:rPr>
        <w:t>«водоотведение» как приём, транспортировка и</w:t>
      </w:r>
      <w:r>
        <w:rPr>
          <w:rFonts w:ascii="Times New Roman" w:hAnsi="Times New Roman"/>
          <w:sz w:val="28"/>
          <w:szCs w:val="28"/>
        </w:rPr>
        <w:t> </w:t>
      </w:r>
      <w:r w:rsidRPr="00F2119F">
        <w:rPr>
          <w:rFonts w:ascii="Times New Roman" w:hAnsi="Times New Roman"/>
          <w:sz w:val="28"/>
          <w:szCs w:val="28"/>
        </w:rPr>
        <w:t>очистка сточных вод с</w:t>
      </w:r>
      <w:r>
        <w:rPr>
          <w:rFonts w:ascii="Times New Roman" w:hAnsi="Times New Roman"/>
          <w:sz w:val="28"/>
          <w:szCs w:val="28"/>
        </w:rPr>
        <w:t> </w:t>
      </w:r>
      <w:r w:rsidRPr="00F2119F">
        <w:rPr>
          <w:rFonts w:ascii="Times New Roman" w:hAnsi="Times New Roman"/>
          <w:sz w:val="28"/>
          <w:szCs w:val="28"/>
        </w:rPr>
        <w:t>использованием централизованной системы водоотведения.</w:t>
      </w:r>
    </w:p>
    <w:p w:rsidR="002D1E45" w:rsidRPr="00021808" w:rsidRDefault="002D1E45" w:rsidP="00021808">
      <w:pPr>
        <w:spacing w:after="0" w:line="240" w:lineRule="auto"/>
        <w:ind w:firstLine="709"/>
        <w:contextualSpacing/>
        <w:jc w:val="both"/>
        <w:rPr>
          <w:rFonts w:ascii="Times New Roman" w:hAnsi="Times New Roman"/>
          <w:sz w:val="28"/>
          <w:szCs w:val="28"/>
        </w:rPr>
      </w:pPr>
      <w:r w:rsidRPr="00021808">
        <w:rPr>
          <w:rFonts w:ascii="Times New Roman" w:hAnsi="Times New Roman"/>
          <w:sz w:val="28"/>
          <w:szCs w:val="28"/>
        </w:rPr>
        <w:t>Сточные воды от населения, бюджетных и промышленных предприятий города Куйбышева поступают в канализационный коллектор МУП «Геострой».</w:t>
      </w:r>
    </w:p>
    <w:p w:rsidR="002D1E45" w:rsidRDefault="002D1E45" w:rsidP="00021808">
      <w:pPr>
        <w:spacing w:after="0" w:line="240" w:lineRule="auto"/>
        <w:ind w:firstLine="709"/>
        <w:contextualSpacing/>
        <w:jc w:val="both"/>
        <w:rPr>
          <w:rFonts w:ascii="Times New Roman" w:hAnsi="Times New Roman"/>
          <w:sz w:val="28"/>
          <w:szCs w:val="28"/>
        </w:rPr>
      </w:pPr>
      <w:r w:rsidRPr="00021808">
        <w:rPr>
          <w:rFonts w:ascii="Times New Roman" w:hAnsi="Times New Roman"/>
          <w:sz w:val="28"/>
          <w:szCs w:val="28"/>
        </w:rPr>
        <w:t>Из коллектора сточные воды направляются в приёмный резервуар ГНС (главной насосной станции), где на решётках сточные воды проходят механическую очистку от крупных примесей. От ГНС сточные воды, очищенные от крупных механических примесей, насосами (СМ 250-200-400/6 по 530 м</w:t>
      </w:r>
      <w:r w:rsidRPr="00021808">
        <w:rPr>
          <w:rFonts w:ascii="Times New Roman" w:hAnsi="Times New Roman"/>
          <w:sz w:val="28"/>
          <w:szCs w:val="28"/>
          <w:vertAlign w:val="superscript"/>
        </w:rPr>
        <w:t>3</w:t>
      </w:r>
      <w:r w:rsidRPr="00021808">
        <w:rPr>
          <w:rFonts w:ascii="Times New Roman" w:hAnsi="Times New Roman"/>
          <w:sz w:val="28"/>
          <w:szCs w:val="28"/>
        </w:rPr>
        <w:t>/час – 3</w:t>
      </w:r>
      <w:r>
        <w:rPr>
          <w:rFonts w:ascii="Times New Roman" w:hAnsi="Times New Roman"/>
          <w:sz w:val="28"/>
          <w:szCs w:val="28"/>
        </w:rPr>
        <w:t xml:space="preserve"> </w:t>
      </w:r>
      <w:r w:rsidRPr="00021808">
        <w:rPr>
          <w:rFonts w:ascii="Times New Roman" w:hAnsi="Times New Roman"/>
          <w:sz w:val="28"/>
          <w:szCs w:val="28"/>
        </w:rPr>
        <w:t>шт., Иртыш ПФ 2.150/315,340 по 450 м</w:t>
      </w:r>
      <w:r w:rsidRPr="00021808">
        <w:rPr>
          <w:rFonts w:ascii="Times New Roman" w:hAnsi="Times New Roman"/>
          <w:sz w:val="28"/>
          <w:szCs w:val="28"/>
          <w:vertAlign w:val="superscript"/>
        </w:rPr>
        <w:t>3</w:t>
      </w:r>
      <w:r w:rsidRPr="00021808">
        <w:rPr>
          <w:rFonts w:ascii="Times New Roman" w:hAnsi="Times New Roman"/>
          <w:sz w:val="28"/>
          <w:szCs w:val="28"/>
        </w:rPr>
        <w:t xml:space="preserve">/час – 2 шт.) подаются по напорным коллекторам (стальные </w:t>
      </w:r>
      <w:r>
        <w:rPr>
          <w:rFonts w:ascii="Times New Roman" w:hAnsi="Times New Roman"/>
          <w:sz w:val="28"/>
          <w:szCs w:val="28"/>
        </w:rPr>
        <w:t>Ø</w:t>
      </w:r>
      <w:r w:rsidRPr="00021808">
        <w:rPr>
          <w:rFonts w:ascii="Times New Roman" w:hAnsi="Times New Roman"/>
          <w:sz w:val="28"/>
          <w:szCs w:val="28"/>
        </w:rPr>
        <w:t>600 мм, 2 трубы по 2335 м каждая, глубина заложения труб от 1,5 до 4,0 м)</w:t>
      </w:r>
      <w:r>
        <w:rPr>
          <w:rFonts w:ascii="Times New Roman" w:hAnsi="Times New Roman"/>
          <w:sz w:val="28"/>
          <w:szCs w:val="28"/>
        </w:rPr>
        <w:t xml:space="preserve"> </w:t>
      </w:r>
      <w:r w:rsidRPr="00021808">
        <w:rPr>
          <w:rFonts w:ascii="Times New Roman" w:hAnsi="Times New Roman"/>
          <w:sz w:val="28"/>
          <w:szCs w:val="28"/>
        </w:rPr>
        <w:t>на БОС (биологические очистные сооружения, эксплуатируются с 1964</w:t>
      </w:r>
      <w:r>
        <w:rPr>
          <w:rFonts w:ascii="Times New Roman" w:hAnsi="Times New Roman"/>
          <w:sz w:val="28"/>
          <w:szCs w:val="28"/>
        </w:rPr>
        <w:t xml:space="preserve"> </w:t>
      </w:r>
      <w:r w:rsidRPr="00021808">
        <w:rPr>
          <w:rFonts w:ascii="Times New Roman" w:hAnsi="Times New Roman"/>
          <w:sz w:val="28"/>
          <w:szCs w:val="28"/>
        </w:rPr>
        <w:t xml:space="preserve">г., проектная мощность </w:t>
      </w:r>
      <w:r>
        <w:rPr>
          <w:rFonts w:ascii="Times New Roman" w:hAnsi="Times New Roman"/>
          <w:sz w:val="28"/>
          <w:szCs w:val="28"/>
        </w:rPr>
        <w:t>–</w:t>
      </w:r>
      <w:r w:rsidRPr="00021808">
        <w:rPr>
          <w:rFonts w:ascii="Times New Roman" w:hAnsi="Times New Roman"/>
          <w:sz w:val="28"/>
          <w:szCs w:val="28"/>
        </w:rPr>
        <w:t xml:space="preserve"> 9855 т.м</w:t>
      </w:r>
      <w:r w:rsidRPr="00C8545B">
        <w:rPr>
          <w:rFonts w:ascii="Times New Roman" w:hAnsi="Times New Roman"/>
          <w:sz w:val="28"/>
          <w:szCs w:val="28"/>
          <w:vertAlign w:val="superscript"/>
        </w:rPr>
        <w:t>3</w:t>
      </w:r>
      <w:r w:rsidRPr="00021808">
        <w:rPr>
          <w:rFonts w:ascii="Times New Roman" w:hAnsi="Times New Roman"/>
          <w:sz w:val="28"/>
          <w:szCs w:val="28"/>
        </w:rPr>
        <w:t>/год, средняя фактическая мощность за 5 лет – 4173,7 т.м</w:t>
      </w:r>
      <w:r w:rsidRPr="00C8545B">
        <w:rPr>
          <w:rFonts w:ascii="Times New Roman" w:hAnsi="Times New Roman"/>
          <w:sz w:val="28"/>
          <w:szCs w:val="28"/>
          <w:vertAlign w:val="superscript"/>
        </w:rPr>
        <w:t>3</w:t>
      </w:r>
      <w:r w:rsidRPr="00021808">
        <w:rPr>
          <w:rFonts w:ascii="Times New Roman" w:hAnsi="Times New Roman"/>
          <w:sz w:val="28"/>
          <w:szCs w:val="28"/>
        </w:rPr>
        <w:t>/год)</w:t>
      </w:r>
      <w:r>
        <w:rPr>
          <w:rFonts w:ascii="Times New Roman" w:hAnsi="Times New Roman"/>
          <w:sz w:val="28"/>
          <w:szCs w:val="28"/>
        </w:rPr>
        <w:t xml:space="preserve"> </w:t>
      </w:r>
      <w:r w:rsidRPr="00021808">
        <w:rPr>
          <w:rFonts w:ascii="Times New Roman" w:hAnsi="Times New Roman"/>
          <w:sz w:val="28"/>
          <w:szCs w:val="28"/>
        </w:rPr>
        <w:t>в напорогаситель</w:t>
      </w:r>
      <w:r>
        <w:rPr>
          <w:rFonts w:ascii="Times New Roman" w:hAnsi="Times New Roman"/>
          <w:sz w:val="28"/>
          <w:szCs w:val="28"/>
        </w:rPr>
        <w:t xml:space="preserve"> </w:t>
      </w:r>
      <w:r w:rsidRPr="00021808">
        <w:rPr>
          <w:rFonts w:ascii="Times New Roman" w:hAnsi="Times New Roman"/>
          <w:sz w:val="28"/>
          <w:szCs w:val="28"/>
        </w:rPr>
        <w:t>и далее самотёком поступают на песколовки (2 шт. двухсекционные, подземные ж/б сооружения, горизонтальные с круговым движением воды, производительностью</w:t>
      </w:r>
      <w:r>
        <w:rPr>
          <w:rFonts w:ascii="Times New Roman" w:hAnsi="Times New Roman"/>
          <w:sz w:val="28"/>
          <w:szCs w:val="28"/>
        </w:rPr>
        <w:t xml:space="preserve"> </w:t>
      </w:r>
      <w:r w:rsidRPr="00021808">
        <w:rPr>
          <w:rFonts w:ascii="Times New Roman" w:hAnsi="Times New Roman"/>
          <w:sz w:val="28"/>
          <w:szCs w:val="28"/>
        </w:rPr>
        <w:t>200 л/с), где задерживаются тяжёлые примеси песок, глина,</w:t>
      </w:r>
      <w:r>
        <w:rPr>
          <w:rFonts w:ascii="Times New Roman" w:hAnsi="Times New Roman"/>
          <w:sz w:val="28"/>
          <w:szCs w:val="28"/>
        </w:rPr>
        <w:t xml:space="preserve"> </w:t>
      </w:r>
      <w:r w:rsidRPr="00021808">
        <w:rPr>
          <w:rFonts w:ascii="Times New Roman" w:hAnsi="Times New Roman"/>
          <w:sz w:val="28"/>
          <w:szCs w:val="28"/>
        </w:rPr>
        <w:t>шлак. Далее сточные воды самотёком поступают на первичные отстойники (9 штук, подземные ж/б резервуары вертикальные, производительностью 44 л/с, объёмом</w:t>
      </w:r>
      <w:r>
        <w:rPr>
          <w:rFonts w:ascii="Times New Roman" w:hAnsi="Times New Roman"/>
          <w:sz w:val="28"/>
          <w:szCs w:val="28"/>
        </w:rPr>
        <w:t xml:space="preserve"> </w:t>
      </w:r>
      <w:r w:rsidRPr="00021808">
        <w:rPr>
          <w:rFonts w:ascii="Times New Roman" w:hAnsi="Times New Roman"/>
          <w:sz w:val="28"/>
          <w:szCs w:val="28"/>
        </w:rPr>
        <w:t>260 м</w:t>
      </w:r>
      <w:r w:rsidRPr="00021808">
        <w:rPr>
          <w:rFonts w:ascii="Times New Roman" w:hAnsi="Times New Roman"/>
          <w:sz w:val="28"/>
          <w:szCs w:val="28"/>
          <w:vertAlign w:val="superscript"/>
        </w:rPr>
        <w:t>3</w:t>
      </w:r>
      <w:r w:rsidRPr="00021808">
        <w:rPr>
          <w:rFonts w:ascii="Times New Roman" w:hAnsi="Times New Roman"/>
          <w:sz w:val="28"/>
          <w:szCs w:val="28"/>
        </w:rPr>
        <w:t xml:space="preserve"> каждый, продолжительность отстаивания 2-2,5 час</w:t>
      </w:r>
      <w:r>
        <w:rPr>
          <w:rFonts w:ascii="Times New Roman" w:hAnsi="Times New Roman"/>
          <w:sz w:val="28"/>
          <w:szCs w:val="28"/>
        </w:rPr>
        <w:t>а</w:t>
      </w:r>
      <w:r w:rsidRPr="00021808">
        <w:rPr>
          <w:rFonts w:ascii="Times New Roman" w:hAnsi="Times New Roman"/>
          <w:sz w:val="28"/>
          <w:szCs w:val="28"/>
        </w:rPr>
        <w:t>). В первичных отстойниках образуется сырой ил, т.е. выпавшие на дно грубо дисперсные примеси сточных вод, после первичных отстойников содержание взвешенных веществ в сточной воде не должны превышать 150 мг/г. Сточные</w:t>
      </w:r>
      <w:r>
        <w:rPr>
          <w:rFonts w:ascii="Times New Roman" w:hAnsi="Times New Roman"/>
          <w:sz w:val="28"/>
          <w:szCs w:val="28"/>
        </w:rPr>
        <w:t xml:space="preserve"> </w:t>
      </w:r>
      <w:r w:rsidRPr="00021808">
        <w:rPr>
          <w:rFonts w:ascii="Times New Roman" w:hAnsi="Times New Roman"/>
          <w:sz w:val="28"/>
          <w:szCs w:val="28"/>
        </w:rPr>
        <w:t>воды из первичных отстойников самотёком по трубопроводам</w:t>
      </w:r>
      <w:r>
        <w:rPr>
          <w:rFonts w:ascii="Times New Roman" w:hAnsi="Times New Roman"/>
          <w:sz w:val="28"/>
          <w:szCs w:val="28"/>
        </w:rPr>
        <w:t xml:space="preserve"> </w:t>
      </w:r>
      <w:r w:rsidRPr="00021808">
        <w:rPr>
          <w:rFonts w:ascii="Times New Roman" w:hAnsi="Times New Roman"/>
          <w:sz w:val="28"/>
          <w:szCs w:val="28"/>
        </w:rPr>
        <w:t xml:space="preserve">через распределительные камеры подаются на биологическую очистку в коридорные аэротенки и аэротенки-осветлители (коридорные аэротенки </w:t>
      </w:r>
      <w:r>
        <w:rPr>
          <w:rFonts w:ascii="Times New Roman" w:hAnsi="Times New Roman"/>
          <w:sz w:val="28"/>
          <w:szCs w:val="28"/>
        </w:rPr>
        <w:t>–</w:t>
      </w:r>
      <w:r w:rsidRPr="00021808">
        <w:rPr>
          <w:rFonts w:ascii="Times New Roman" w:hAnsi="Times New Roman"/>
          <w:sz w:val="28"/>
          <w:szCs w:val="28"/>
        </w:rPr>
        <w:t xml:space="preserve"> 4 штуки, длина</w:t>
      </w:r>
      <w:r>
        <w:rPr>
          <w:rFonts w:ascii="Times New Roman" w:hAnsi="Times New Roman"/>
          <w:sz w:val="28"/>
          <w:szCs w:val="28"/>
        </w:rPr>
        <w:t xml:space="preserve"> </w:t>
      </w:r>
      <w:r w:rsidRPr="00021808">
        <w:rPr>
          <w:rFonts w:ascii="Times New Roman" w:hAnsi="Times New Roman"/>
          <w:sz w:val="28"/>
          <w:szCs w:val="28"/>
        </w:rPr>
        <w:t>каждого коридора аэротенка –75 м, высота рабочей –</w:t>
      </w:r>
      <w:r>
        <w:rPr>
          <w:rFonts w:ascii="Times New Roman" w:hAnsi="Times New Roman"/>
          <w:sz w:val="28"/>
          <w:szCs w:val="28"/>
        </w:rPr>
        <w:t xml:space="preserve"> </w:t>
      </w:r>
      <w:r w:rsidRPr="00021808">
        <w:rPr>
          <w:rFonts w:ascii="Times New Roman" w:hAnsi="Times New Roman"/>
          <w:sz w:val="28"/>
          <w:szCs w:val="28"/>
        </w:rPr>
        <w:t>3 м. Объем каждого аэротенка</w:t>
      </w:r>
      <w:r>
        <w:rPr>
          <w:rFonts w:ascii="Times New Roman" w:hAnsi="Times New Roman"/>
          <w:sz w:val="28"/>
          <w:szCs w:val="28"/>
        </w:rPr>
        <w:t xml:space="preserve"> </w:t>
      </w:r>
      <w:r w:rsidRPr="00021808">
        <w:rPr>
          <w:rFonts w:ascii="Times New Roman" w:hAnsi="Times New Roman"/>
          <w:sz w:val="28"/>
          <w:szCs w:val="28"/>
        </w:rPr>
        <w:t>3400 м</w:t>
      </w:r>
      <w:r w:rsidRPr="00021808">
        <w:rPr>
          <w:rFonts w:ascii="Times New Roman" w:hAnsi="Times New Roman"/>
          <w:sz w:val="28"/>
          <w:szCs w:val="28"/>
          <w:vertAlign w:val="superscript"/>
        </w:rPr>
        <w:t>3</w:t>
      </w:r>
      <w:r w:rsidRPr="00021808">
        <w:rPr>
          <w:rFonts w:ascii="Times New Roman" w:hAnsi="Times New Roman"/>
          <w:sz w:val="28"/>
          <w:szCs w:val="28"/>
        </w:rPr>
        <w:t xml:space="preserve">, аэротенки-осветлители </w:t>
      </w:r>
      <w:r>
        <w:rPr>
          <w:rFonts w:ascii="Times New Roman" w:hAnsi="Times New Roman"/>
          <w:sz w:val="28"/>
          <w:szCs w:val="28"/>
        </w:rPr>
        <w:t>–</w:t>
      </w:r>
      <w:r w:rsidRPr="00021808">
        <w:rPr>
          <w:rFonts w:ascii="Times New Roman" w:hAnsi="Times New Roman"/>
          <w:sz w:val="28"/>
          <w:szCs w:val="28"/>
        </w:rPr>
        <w:t xml:space="preserve"> 2 шт., объем каждого аэротенка</w:t>
      </w:r>
      <w:r>
        <w:rPr>
          <w:rFonts w:ascii="Times New Roman" w:hAnsi="Times New Roman"/>
          <w:sz w:val="28"/>
          <w:szCs w:val="28"/>
        </w:rPr>
        <w:t xml:space="preserve"> </w:t>
      </w:r>
      <w:r w:rsidRPr="00021808">
        <w:rPr>
          <w:rFonts w:ascii="Times New Roman" w:hAnsi="Times New Roman"/>
          <w:sz w:val="28"/>
          <w:szCs w:val="28"/>
        </w:rPr>
        <w:t>3700 м</w:t>
      </w:r>
      <w:r w:rsidRPr="00021808">
        <w:rPr>
          <w:rFonts w:ascii="Times New Roman" w:hAnsi="Times New Roman"/>
          <w:sz w:val="28"/>
          <w:szCs w:val="28"/>
          <w:vertAlign w:val="superscript"/>
        </w:rPr>
        <w:t>3</w:t>
      </w:r>
      <w:r w:rsidRPr="00021808">
        <w:rPr>
          <w:rFonts w:ascii="Times New Roman" w:hAnsi="Times New Roman"/>
          <w:sz w:val="28"/>
          <w:szCs w:val="28"/>
        </w:rPr>
        <w:t>). В аэротенках происходит очистка сточные воды от растворенных в ней примесей путём процесса окисления и восстановления активным илом. Активный ил представляет собой скопление бактерий и простейших микроорганизмов. После биологической очистки сточные воды поступают во вторичные отстойники (9 шт., подземные ж/б сооружения, производительностью 44 л/с, объем 226 м</w:t>
      </w:r>
      <w:r w:rsidRPr="00021808">
        <w:rPr>
          <w:rFonts w:ascii="Times New Roman" w:hAnsi="Times New Roman"/>
          <w:sz w:val="28"/>
          <w:szCs w:val="28"/>
          <w:vertAlign w:val="superscript"/>
        </w:rPr>
        <w:t>3</w:t>
      </w:r>
      <w:r w:rsidRPr="00021808">
        <w:rPr>
          <w:rFonts w:ascii="Times New Roman" w:hAnsi="Times New Roman"/>
          <w:sz w:val="28"/>
          <w:szCs w:val="28"/>
        </w:rPr>
        <w:t xml:space="preserve"> каждый, продолжительность отстаивания 1-1,2 часа). Вторичные отстойники задерживают из биологически очищенных сточных вод выносимый из аэротенков активный ил. Из вторичных отстойников сточная вода поступает в распредчаши, куда подаётся хлорная вода из хлораторной. Смешенная с хлорной водой сточная вода поступает в контактные резервуары (9 шт., подземные ж/б сооружения, производительностью 44 л/с, объёмом 226 м</w:t>
      </w:r>
      <w:r w:rsidRPr="00021808">
        <w:rPr>
          <w:rFonts w:ascii="Times New Roman" w:hAnsi="Times New Roman"/>
          <w:sz w:val="28"/>
          <w:szCs w:val="28"/>
          <w:vertAlign w:val="superscript"/>
        </w:rPr>
        <w:t>3</w:t>
      </w:r>
      <w:r w:rsidRPr="00021808">
        <w:rPr>
          <w:rFonts w:ascii="Times New Roman" w:hAnsi="Times New Roman"/>
          <w:sz w:val="28"/>
          <w:szCs w:val="28"/>
        </w:rPr>
        <w:t xml:space="preserve"> каждый). В контактных резервуарах происходит контакт сточной воды с хлорной водой для е</w:t>
      </w:r>
      <w:r>
        <w:rPr>
          <w:rFonts w:ascii="Times New Roman" w:hAnsi="Times New Roman"/>
          <w:sz w:val="28"/>
          <w:szCs w:val="28"/>
        </w:rPr>
        <w:t>ё</w:t>
      </w:r>
      <w:r w:rsidRPr="00021808">
        <w:rPr>
          <w:rFonts w:ascii="Times New Roman" w:hAnsi="Times New Roman"/>
          <w:sz w:val="28"/>
          <w:szCs w:val="28"/>
        </w:rPr>
        <w:t xml:space="preserve"> дезинфекции. Кроме того, в них задерживаются взвешенные вещества - отмирающий активный ил. Сточная вода после дезинфекции поступает полоткам в колодец, из него самотёком направляется в приёмный резервуар насосной станции № 2 и далее насосами (6НФ по 360 м</w:t>
      </w:r>
      <w:r w:rsidRPr="00E62570">
        <w:rPr>
          <w:rFonts w:ascii="Times New Roman" w:hAnsi="Times New Roman"/>
          <w:sz w:val="28"/>
          <w:szCs w:val="28"/>
          <w:vertAlign w:val="superscript"/>
        </w:rPr>
        <w:t>3</w:t>
      </w:r>
      <w:r w:rsidRPr="00021808">
        <w:rPr>
          <w:rFonts w:ascii="Times New Roman" w:hAnsi="Times New Roman"/>
          <w:sz w:val="28"/>
          <w:szCs w:val="28"/>
        </w:rPr>
        <w:t>/час – 1 шт., СМ 250-200-400/6 по 530 м</w:t>
      </w:r>
      <w:r w:rsidRPr="00021808">
        <w:rPr>
          <w:rFonts w:ascii="Times New Roman" w:hAnsi="Times New Roman"/>
          <w:sz w:val="28"/>
          <w:szCs w:val="28"/>
          <w:vertAlign w:val="superscript"/>
        </w:rPr>
        <w:t>3</w:t>
      </w:r>
      <w:r w:rsidRPr="00021808">
        <w:rPr>
          <w:rFonts w:ascii="Times New Roman" w:hAnsi="Times New Roman"/>
          <w:sz w:val="28"/>
          <w:szCs w:val="28"/>
        </w:rPr>
        <w:t xml:space="preserve">/час – 1 шт., 10Ф-12 по 1030 м3/час – 1 шт.) по напорному коллектору (чугунный </w:t>
      </w:r>
      <w:r>
        <w:rPr>
          <w:rFonts w:ascii="Times New Roman" w:hAnsi="Times New Roman"/>
          <w:sz w:val="28"/>
          <w:szCs w:val="28"/>
        </w:rPr>
        <w:t>Ø</w:t>
      </w:r>
      <w:r w:rsidRPr="00021808">
        <w:rPr>
          <w:rFonts w:ascii="Times New Roman" w:hAnsi="Times New Roman"/>
          <w:sz w:val="28"/>
          <w:szCs w:val="28"/>
        </w:rPr>
        <w:t>400 мм, 2 трубы по 2728 м каждая, глубина заложения труб</w:t>
      </w:r>
      <w:r>
        <w:rPr>
          <w:rFonts w:ascii="Times New Roman" w:hAnsi="Times New Roman"/>
          <w:sz w:val="28"/>
          <w:szCs w:val="28"/>
        </w:rPr>
        <w:t xml:space="preserve"> </w:t>
      </w:r>
      <w:r w:rsidRPr="00021808">
        <w:rPr>
          <w:rFonts w:ascii="Times New Roman" w:hAnsi="Times New Roman"/>
          <w:sz w:val="28"/>
          <w:szCs w:val="28"/>
        </w:rPr>
        <w:t xml:space="preserve">от 3,00 до 3,11 м) сточная вода поступает в КГН (камера гашения напора) и далее по самотёчному коллектору (ж/бетонный </w:t>
      </w:r>
      <w:r>
        <w:rPr>
          <w:rFonts w:ascii="Times New Roman" w:hAnsi="Times New Roman"/>
          <w:sz w:val="28"/>
          <w:szCs w:val="28"/>
        </w:rPr>
        <w:t>Ø</w:t>
      </w:r>
      <w:r w:rsidRPr="00021808">
        <w:rPr>
          <w:rFonts w:ascii="Times New Roman" w:hAnsi="Times New Roman"/>
          <w:sz w:val="28"/>
          <w:szCs w:val="28"/>
        </w:rPr>
        <w:t>800 мм, 1 труба – длиной 38 м, глубина заложения 3,0 м)</w:t>
      </w:r>
      <w:r>
        <w:rPr>
          <w:rFonts w:ascii="Times New Roman" w:hAnsi="Times New Roman"/>
          <w:sz w:val="28"/>
          <w:szCs w:val="28"/>
        </w:rPr>
        <w:t xml:space="preserve"> </w:t>
      </w:r>
      <w:r w:rsidRPr="00021808">
        <w:rPr>
          <w:rFonts w:ascii="Times New Roman" w:hAnsi="Times New Roman"/>
          <w:sz w:val="28"/>
          <w:szCs w:val="28"/>
        </w:rPr>
        <w:t>через оголовок (ж/бетонный, поверхность оголовка, соприкасающаяся с грунтом, покрыта горячим битумом в два слоя, участок берега перед оголовком до береговой линии вымощен камнем с проливкой цементно-песчаным раствором. По бокам оголовка устроены ж/бетонные конусы из щебня и бетона. Расстояние от оголовка до береговой линии – 9</w:t>
      </w:r>
      <w:r>
        <w:rPr>
          <w:rFonts w:ascii="Times New Roman" w:hAnsi="Times New Roman"/>
          <w:sz w:val="28"/>
          <w:szCs w:val="28"/>
        </w:rPr>
        <w:t xml:space="preserve"> </w:t>
      </w:r>
      <w:r w:rsidRPr="00021808">
        <w:rPr>
          <w:rFonts w:ascii="Times New Roman" w:hAnsi="Times New Roman"/>
          <w:sz w:val="28"/>
          <w:szCs w:val="28"/>
        </w:rPr>
        <w:t>м) в оз. Б.</w:t>
      </w:r>
      <w:r>
        <w:rPr>
          <w:rFonts w:ascii="Times New Roman" w:hAnsi="Times New Roman"/>
          <w:sz w:val="28"/>
          <w:szCs w:val="28"/>
        </w:rPr>
        <w:t xml:space="preserve"> </w:t>
      </w:r>
      <w:r w:rsidRPr="00021808">
        <w:rPr>
          <w:rFonts w:ascii="Times New Roman" w:hAnsi="Times New Roman"/>
          <w:sz w:val="28"/>
          <w:szCs w:val="28"/>
        </w:rPr>
        <w:t>Кайлы (длина озера 3 км, наибольшая ширина 1,36</w:t>
      </w:r>
      <w:r>
        <w:rPr>
          <w:rFonts w:ascii="Times New Roman" w:hAnsi="Times New Roman"/>
          <w:sz w:val="28"/>
          <w:szCs w:val="28"/>
        </w:rPr>
        <w:t xml:space="preserve"> </w:t>
      </w:r>
      <w:r w:rsidRPr="00021808">
        <w:rPr>
          <w:rFonts w:ascii="Times New Roman" w:hAnsi="Times New Roman"/>
          <w:sz w:val="28"/>
          <w:szCs w:val="28"/>
        </w:rPr>
        <w:t>км, площадь зеркала при горизонте 109,45 составляет 3,08 км</w:t>
      </w:r>
      <w:r w:rsidRPr="00E62570">
        <w:rPr>
          <w:rFonts w:ascii="Times New Roman" w:hAnsi="Times New Roman"/>
          <w:sz w:val="28"/>
          <w:szCs w:val="28"/>
          <w:vertAlign w:val="superscript"/>
        </w:rPr>
        <w:t>2</w:t>
      </w:r>
      <w:r w:rsidRPr="00021808">
        <w:rPr>
          <w:rFonts w:ascii="Times New Roman" w:hAnsi="Times New Roman"/>
          <w:sz w:val="28"/>
          <w:szCs w:val="28"/>
        </w:rPr>
        <w:t>, объ</w:t>
      </w:r>
      <w:r>
        <w:rPr>
          <w:rFonts w:ascii="Times New Roman" w:hAnsi="Times New Roman"/>
          <w:sz w:val="28"/>
          <w:szCs w:val="28"/>
        </w:rPr>
        <w:t>ё</w:t>
      </w:r>
      <w:r w:rsidRPr="00021808">
        <w:rPr>
          <w:rFonts w:ascii="Times New Roman" w:hAnsi="Times New Roman"/>
          <w:sz w:val="28"/>
          <w:szCs w:val="28"/>
        </w:rPr>
        <w:t>м озера 2200000 м</w:t>
      </w:r>
      <w:r w:rsidRPr="00021808">
        <w:rPr>
          <w:rFonts w:ascii="Times New Roman" w:hAnsi="Times New Roman"/>
          <w:sz w:val="28"/>
          <w:szCs w:val="28"/>
          <w:vertAlign w:val="superscript"/>
        </w:rPr>
        <w:t>3</w:t>
      </w:r>
      <w:r w:rsidRPr="00021808">
        <w:rPr>
          <w:rFonts w:ascii="Times New Roman" w:hAnsi="Times New Roman"/>
          <w:sz w:val="28"/>
          <w:szCs w:val="28"/>
        </w:rPr>
        <w:t>). Озеро Б.</w:t>
      </w:r>
      <w:r>
        <w:rPr>
          <w:rFonts w:ascii="Times New Roman" w:hAnsi="Times New Roman"/>
          <w:sz w:val="28"/>
          <w:szCs w:val="28"/>
        </w:rPr>
        <w:t xml:space="preserve"> </w:t>
      </w:r>
      <w:r w:rsidRPr="00021808">
        <w:rPr>
          <w:rFonts w:ascii="Times New Roman" w:hAnsi="Times New Roman"/>
          <w:sz w:val="28"/>
          <w:szCs w:val="28"/>
        </w:rPr>
        <w:t>Кайлы используется как пруд</w:t>
      </w:r>
      <w:r>
        <w:rPr>
          <w:rFonts w:ascii="Times New Roman" w:hAnsi="Times New Roman"/>
          <w:sz w:val="28"/>
          <w:szCs w:val="28"/>
        </w:rPr>
        <w:t>-</w:t>
      </w:r>
      <w:r w:rsidRPr="00021808">
        <w:rPr>
          <w:rFonts w:ascii="Times New Roman" w:hAnsi="Times New Roman"/>
          <w:sz w:val="28"/>
          <w:szCs w:val="28"/>
        </w:rPr>
        <w:t>накопитель очищенной сточной воды. Сброс воды с Биологических очистных сооружений в оз. Б. Кайлы</w:t>
      </w:r>
      <w:r>
        <w:rPr>
          <w:rFonts w:ascii="Times New Roman" w:hAnsi="Times New Roman"/>
          <w:sz w:val="28"/>
          <w:szCs w:val="28"/>
        </w:rPr>
        <w:t xml:space="preserve"> </w:t>
      </w:r>
      <w:r w:rsidRPr="00021808">
        <w:rPr>
          <w:rFonts w:ascii="Times New Roman" w:hAnsi="Times New Roman"/>
          <w:sz w:val="28"/>
          <w:szCs w:val="28"/>
        </w:rPr>
        <w:t>производится непрерывно в течение года. Вода из озера для питьевых и культурно – бытовых целей не используется. Вокруг озера проходит охранная зона шириной 100 м. Сброс очищенной воды из озера Б. Кайлы производится в паводковый период в течении 2-3 месяцев через канал (ширина – 13</w:t>
      </w:r>
      <w:r>
        <w:rPr>
          <w:rFonts w:ascii="Times New Roman" w:hAnsi="Times New Roman"/>
          <w:sz w:val="28"/>
          <w:szCs w:val="28"/>
        </w:rPr>
        <w:t xml:space="preserve"> </w:t>
      </w:r>
      <w:r w:rsidRPr="00021808">
        <w:rPr>
          <w:rFonts w:ascii="Times New Roman" w:hAnsi="Times New Roman"/>
          <w:sz w:val="28"/>
          <w:szCs w:val="28"/>
        </w:rPr>
        <w:t>м, глубина – 2,2 м) промышленно-ливневой канализации ОАО «СИБЭКО» в реку Омь. На выпуске сточной воды из оз. Б.</w:t>
      </w:r>
      <w:r>
        <w:rPr>
          <w:rFonts w:ascii="Times New Roman" w:hAnsi="Times New Roman"/>
          <w:sz w:val="28"/>
          <w:szCs w:val="28"/>
        </w:rPr>
        <w:t xml:space="preserve"> </w:t>
      </w:r>
      <w:r w:rsidRPr="00021808">
        <w:rPr>
          <w:rFonts w:ascii="Times New Roman" w:hAnsi="Times New Roman"/>
          <w:sz w:val="28"/>
          <w:szCs w:val="28"/>
        </w:rPr>
        <w:t xml:space="preserve">Кайлы установлено три затвора </w:t>
      </w:r>
      <w:r>
        <w:rPr>
          <w:rFonts w:ascii="Times New Roman" w:hAnsi="Times New Roman"/>
          <w:sz w:val="28"/>
          <w:szCs w:val="28"/>
        </w:rPr>
        <w:t>Ø</w:t>
      </w:r>
      <w:r w:rsidRPr="00021808">
        <w:rPr>
          <w:rFonts w:ascii="Times New Roman" w:hAnsi="Times New Roman"/>
          <w:sz w:val="28"/>
          <w:szCs w:val="28"/>
        </w:rPr>
        <w:t>800</w:t>
      </w:r>
      <w:r>
        <w:rPr>
          <w:rFonts w:ascii="Times New Roman" w:hAnsi="Times New Roman"/>
          <w:sz w:val="28"/>
          <w:szCs w:val="28"/>
        </w:rPr>
        <w:t xml:space="preserve"> </w:t>
      </w:r>
      <w:r w:rsidRPr="00021808">
        <w:rPr>
          <w:rFonts w:ascii="Times New Roman" w:hAnsi="Times New Roman"/>
          <w:sz w:val="28"/>
          <w:szCs w:val="28"/>
        </w:rPr>
        <w:t xml:space="preserve">мм, от затворов до канала вода поступает по трём стальным трубам </w:t>
      </w:r>
      <w:r>
        <w:rPr>
          <w:rFonts w:ascii="Times New Roman" w:hAnsi="Times New Roman"/>
          <w:sz w:val="28"/>
          <w:szCs w:val="28"/>
        </w:rPr>
        <w:t>Ø</w:t>
      </w:r>
      <w:r w:rsidRPr="00021808">
        <w:rPr>
          <w:rFonts w:ascii="Times New Roman" w:hAnsi="Times New Roman"/>
          <w:sz w:val="28"/>
          <w:szCs w:val="28"/>
        </w:rPr>
        <w:t>800</w:t>
      </w:r>
      <w:r>
        <w:rPr>
          <w:rFonts w:ascii="Times New Roman" w:hAnsi="Times New Roman"/>
          <w:sz w:val="28"/>
          <w:szCs w:val="28"/>
        </w:rPr>
        <w:t xml:space="preserve"> </w:t>
      </w:r>
      <w:r w:rsidRPr="00021808">
        <w:rPr>
          <w:rFonts w:ascii="Times New Roman" w:hAnsi="Times New Roman"/>
          <w:sz w:val="28"/>
          <w:szCs w:val="28"/>
        </w:rPr>
        <w:t xml:space="preserve">мм протяжённостью 388 м каждая, глубина </w:t>
      </w:r>
      <w:r>
        <w:rPr>
          <w:rFonts w:ascii="Times New Roman" w:hAnsi="Times New Roman"/>
          <w:sz w:val="28"/>
          <w:szCs w:val="28"/>
        </w:rPr>
        <w:t>–</w:t>
      </w:r>
      <w:r w:rsidRPr="00021808">
        <w:rPr>
          <w:rFonts w:ascii="Times New Roman" w:hAnsi="Times New Roman"/>
          <w:sz w:val="28"/>
          <w:szCs w:val="28"/>
        </w:rPr>
        <w:t xml:space="preserve"> 2</w:t>
      </w:r>
      <w:r>
        <w:rPr>
          <w:rFonts w:ascii="Times New Roman" w:hAnsi="Times New Roman"/>
          <w:sz w:val="28"/>
          <w:szCs w:val="28"/>
        </w:rPr>
        <w:t xml:space="preserve"> </w:t>
      </w:r>
      <w:r w:rsidRPr="00021808">
        <w:rPr>
          <w:rFonts w:ascii="Times New Roman" w:hAnsi="Times New Roman"/>
          <w:sz w:val="28"/>
          <w:szCs w:val="28"/>
        </w:rPr>
        <w:t>м. Расстояние от места выпуска сточных вод из оз. Б.</w:t>
      </w:r>
      <w:r>
        <w:rPr>
          <w:rFonts w:ascii="Times New Roman" w:hAnsi="Times New Roman"/>
          <w:sz w:val="28"/>
          <w:szCs w:val="28"/>
        </w:rPr>
        <w:t xml:space="preserve"> </w:t>
      </w:r>
      <w:r w:rsidRPr="00021808">
        <w:rPr>
          <w:rFonts w:ascii="Times New Roman" w:hAnsi="Times New Roman"/>
          <w:sz w:val="28"/>
          <w:szCs w:val="28"/>
        </w:rPr>
        <w:t>Кайлы в канал промышленно-ливневой канализации до впадения в р. Омь – 5,6 км.</w:t>
      </w:r>
    </w:p>
    <w:p w:rsidR="002D1E45" w:rsidRPr="00DF4BE1" w:rsidRDefault="002D1E45" w:rsidP="00DF4BE1">
      <w:pPr>
        <w:spacing w:after="0" w:line="240" w:lineRule="auto"/>
        <w:ind w:firstLine="709"/>
        <w:contextualSpacing/>
        <w:jc w:val="both"/>
        <w:rPr>
          <w:rFonts w:ascii="Times New Roman" w:hAnsi="Times New Roman"/>
          <w:sz w:val="28"/>
          <w:szCs w:val="28"/>
          <w:lang w:eastAsia="ru-RU"/>
        </w:rPr>
      </w:pPr>
      <w:r w:rsidRPr="00DF4BE1">
        <w:rPr>
          <w:rFonts w:ascii="Times New Roman" w:hAnsi="Times New Roman"/>
          <w:sz w:val="28"/>
          <w:szCs w:val="28"/>
          <w:lang w:eastAsia="ru-RU"/>
        </w:rPr>
        <w:t>Осадок с очистных сооружений идёт на иловые площадки</w:t>
      </w:r>
      <w:r>
        <w:rPr>
          <w:rFonts w:ascii="Times New Roman" w:hAnsi="Times New Roman"/>
          <w:sz w:val="28"/>
          <w:szCs w:val="28"/>
          <w:lang w:eastAsia="ru-RU"/>
        </w:rPr>
        <w:t xml:space="preserve"> </w:t>
      </w:r>
      <w:r w:rsidRPr="00DF4BE1">
        <w:rPr>
          <w:rFonts w:ascii="Times New Roman" w:hAnsi="Times New Roman"/>
          <w:sz w:val="28"/>
          <w:szCs w:val="28"/>
          <w:lang w:eastAsia="ru-RU"/>
        </w:rPr>
        <w:t>(10 карт общей площадью 22000 м</w:t>
      </w:r>
      <w:r w:rsidRPr="00DF4BE1">
        <w:rPr>
          <w:rFonts w:ascii="Times New Roman" w:hAnsi="Times New Roman"/>
          <w:sz w:val="28"/>
          <w:szCs w:val="28"/>
          <w:vertAlign w:val="superscript"/>
          <w:lang w:eastAsia="ru-RU"/>
        </w:rPr>
        <w:t>2</w:t>
      </w:r>
      <w:r w:rsidRPr="00DF4BE1">
        <w:rPr>
          <w:rFonts w:ascii="Times New Roman" w:hAnsi="Times New Roman"/>
          <w:sz w:val="28"/>
          <w:szCs w:val="28"/>
          <w:lang w:eastAsia="ru-RU"/>
        </w:rPr>
        <w:t>, каждая иловая площадка обвалована глиной высотой 1,5 м, шириной 1,5 м).</w:t>
      </w:r>
    </w:p>
    <w:p w:rsidR="002D1E45" w:rsidRDefault="002D1E45" w:rsidP="00DF4BE1">
      <w:pPr>
        <w:spacing w:after="0" w:line="240" w:lineRule="auto"/>
        <w:ind w:firstLine="709"/>
        <w:contextualSpacing/>
        <w:jc w:val="both"/>
        <w:rPr>
          <w:rFonts w:ascii="Times New Roman" w:hAnsi="Times New Roman"/>
          <w:sz w:val="28"/>
          <w:szCs w:val="28"/>
          <w:lang w:eastAsia="ru-RU"/>
        </w:rPr>
      </w:pPr>
      <w:r w:rsidRPr="00DF4BE1">
        <w:rPr>
          <w:rFonts w:ascii="Times New Roman" w:hAnsi="Times New Roman"/>
          <w:sz w:val="28"/>
          <w:szCs w:val="28"/>
          <w:lang w:eastAsia="ru-RU"/>
        </w:rPr>
        <w:t>На</w:t>
      </w:r>
      <w:r>
        <w:rPr>
          <w:rFonts w:ascii="Times New Roman" w:hAnsi="Times New Roman"/>
          <w:sz w:val="28"/>
          <w:szCs w:val="28"/>
          <w:lang w:eastAsia="ru-RU"/>
        </w:rPr>
        <w:t xml:space="preserve"> </w:t>
      </w:r>
      <w:r w:rsidRPr="00DF4BE1">
        <w:rPr>
          <w:rFonts w:ascii="Times New Roman" w:hAnsi="Times New Roman"/>
          <w:sz w:val="28"/>
          <w:szCs w:val="28"/>
          <w:lang w:eastAsia="ru-RU"/>
        </w:rPr>
        <w:t>иловых площадках происходит уплотнение осадка, испарение воды с поверхности осадка и фильтрация воды через слой осадка. Подсушенный осадок выв</w:t>
      </w:r>
      <w:r>
        <w:rPr>
          <w:rFonts w:ascii="Times New Roman" w:hAnsi="Times New Roman"/>
          <w:sz w:val="28"/>
          <w:szCs w:val="28"/>
          <w:lang w:eastAsia="ru-RU"/>
        </w:rPr>
        <w:t>о</w:t>
      </w:r>
      <w:r w:rsidRPr="00DF4BE1">
        <w:rPr>
          <w:rFonts w:ascii="Times New Roman" w:hAnsi="Times New Roman"/>
          <w:sz w:val="28"/>
          <w:szCs w:val="28"/>
          <w:lang w:eastAsia="ru-RU"/>
        </w:rPr>
        <w:t>зится автотранспортом на специально отведённое место.</w:t>
      </w:r>
    </w:p>
    <w:p w:rsidR="002D1E45" w:rsidRDefault="002D1E45" w:rsidP="00DF4BE1">
      <w:pPr>
        <w:spacing w:after="0" w:line="240" w:lineRule="auto"/>
        <w:ind w:firstLine="709"/>
        <w:contextualSpacing/>
        <w:jc w:val="both"/>
        <w:rPr>
          <w:rFonts w:ascii="Times New Roman" w:hAnsi="Times New Roman"/>
          <w:sz w:val="28"/>
          <w:szCs w:val="28"/>
          <w:lang w:eastAsia="ru-RU"/>
        </w:rPr>
      </w:pPr>
      <w:r w:rsidRPr="00DE3F61">
        <w:rPr>
          <w:rFonts w:ascii="Times New Roman" w:hAnsi="Times New Roman"/>
          <w:sz w:val="28"/>
          <w:szCs w:val="28"/>
          <w:lang w:eastAsia="ru-RU"/>
        </w:rPr>
        <w:t>Канализационные сети прокладывались в различные периоды с 1961 года. Про-дюжинность канализационных сетей 62,3 км, материал труб</w:t>
      </w:r>
      <w:r>
        <w:rPr>
          <w:rFonts w:ascii="Times New Roman" w:hAnsi="Times New Roman"/>
          <w:sz w:val="28"/>
          <w:szCs w:val="28"/>
          <w:lang w:eastAsia="ru-RU"/>
        </w:rPr>
        <w:t xml:space="preserve"> –</w:t>
      </w:r>
      <w:r w:rsidRPr="00DE3F61">
        <w:rPr>
          <w:rFonts w:ascii="Times New Roman" w:hAnsi="Times New Roman"/>
          <w:sz w:val="28"/>
          <w:szCs w:val="28"/>
          <w:lang w:eastAsia="ru-RU"/>
        </w:rPr>
        <w:t xml:space="preserve"> чугун, железобетон, керамика </w:t>
      </w:r>
      <w:r>
        <w:rPr>
          <w:rFonts w:ascii="Times New Roman" w:hAnsi="Times New Roman"/>
          <w:sz w:val="28"/>
          <w:szCs w:val="28"/>
        </w:rPr>
        <w:t>Ø</w:t>
      </w:r>
      <w:r w:rsidRPr="00DE3F61">
        <w:rPr>
          <w:rFonts w:ascii="Times New Roman" w:hAnsi="Times New Roman"/>
          <w:sz w:val="28"/>
          <w:szCs w:val="28"/>
          <w:lang w:eastAsia="ru-RU"/>
        </w:rPr>
        <w:t>150-600 мм. На канализационных сетях имеется 9 насосных станций;</w:t>
      </w:r>
      <w:r>
        <w:rPr>
          <w:rFonts w:ascii="Times New Roman" w:hAnsi="Times New Roman"/>
          <w:sz w:val="28"/>
          <w:szCs w:val="28"/>
          <w:lang w:eastAsia="ru-RU"/>
        </w:rPr>
        <w:t xml:space="preserve"> </w:t>
      </w:r>
      <w:r w:rsidRPr="00DE3F61">
        <w:rPr>
          <w:rFonts w:ascii="Times New Roman" w:hAnsi="Times New Roman"/>
          <w:sz w:val="28"/>
          <w:szCs w:val="28"/>
          <w:lang w:eastAsia="ru-RU"/>
        </w:rPr>
        <w:t>канализационные колодцы и камеры. Техническое состояние канализационных сетей</w:t>
      </w:r>
      <w:r>
        <w:rPr>
          <w:rFonts w:ascii="Times New Roman" w:hAnsi="Times New Roman"/>
          <w:sz w:val="28"/>
          <w:szCs w:val="28"/>
          <w:lang w:eastAsia="ru-RU"/>
        </w:rPr>
        <w:t xml:space="preserve"> – </w:t>
      </w:r>
      <w:r w:rsidRPr="00DE3F61">
        <w:rPr>
          <w:rFonts w:ascii="Times New Roman" w:hAnsi="Times New Roman"/>
          <w:sz w:val="28"/>
          <w:szCs w:val="28"/>
          <w:lang w:eastAsia="ru-RU"/>
        </w:rPr>
        <w:t>20 % всех труб со 100 % износом.</w:t>
      </w:r>
    </w:p>
    <w:p w:rsidR="002D1E45" w:rsidRPr="001959E3" w:rsidRDefault="002D1E45" w:rsidP="00015475">
      <w:pPr>
        <w:autoSpaceDE w:val="0"/>
        <w:autoSpaceDN w:val="0"/>
        <w:adjustRightInd w:val="0"/>
        <w:spacing w:after="0" w:line="240" w:lineRule="auto"/>
        <w:ind w:firstLine="709"/>
        <w:jc w:val="right"/>
        <w:rPr>
          <w:rFonts w:ascii="Times New Roman" w:hAnsi="Times New Roman"/>
          <w:sz w:val="28"/>
          <w:szCs w:val="24"/>
          <w:lang w:eastAsia="ru-RU"/>
        </w:rPr>
      </w:pPr>
      <w:r w:rsidRPr="001959E3">
        <w:rPr>
          <w:rFonts w:ascii="Times New Roman" w:hAnsi="Times New Roman"/>
          <w:sz w:val="28"/>
          <w:szCs w:val="24"/>
          <w:lang w:eastAsia="ru-RU"/>
        </w:rPr>
        <w:t xml:space="preserve">Таблица </w:t>
      </w:r>
      <w:r w:rsidRPr="001959E3">
        <w:rPr>
          <w:rFonts w:ascii="Times New Roman" w:hAnsi="Times New Roman"/>
          <w:sz w:val="28"/>
          <w:szCs w:val="24"/>
        </w:rPr>
        <w:fldChar w:fldCharType="begin"/>
      </w:r>
      <w:r w:rsidRPr="001959E3">
        <w:rPr>
          <w:rFonts w:ascii="Times New Roman" w:hAnsi="Times New Roman"/>
          <w:sz w:val="28"/>
          <w:szCs w:val="24"/>
        </w:rPr>
        <w:instrText xml:space="preserve"> SEQ Таблица \* ARABIC </w:instrText>
      </w:r>
      <w:r w:rsidRPr="001959E3">
        <w:rPr>
          <w:rFonts w:ascii="Times New Roman" w:hAnsi="Times New Roman"/>
          <w:sz w:val="28"/>
          <w:szCs w:val="24"/>
        </w:rPr>
        <w:fldChar w:fldCharType="separate"/>
      </w:r>
      <w:r>
        <w:rPr>
          <w:rFonts w:ascii="Times New Roman" w:hAnsi="Times New Roman"/>
          <w:noProof/>
          <w:sz w:val="28"/>
          <w:szCs w:val="24"/>
        </w:rPr>
        <w:t>18</w:t>
      </w:r>
      <w:r w:rsidRPr="001959E3">
        <w:rPr>
          <w:rFonts w:ascii="Times New Roman" w:hAnsi="Times New Roman"/>
          <w:sz w:val="28"/>
          <w:szCs w:val="24"/>
        </w:rPr>
        <w:fldChar w:fldCharType="end"/>
      </w:r>
    </w:p>
    <w:p w:rsidR="002D1E45" w:rsidRDefault="002D1E45" w:rsidP="00015475">
      <w:pPr>
        <w:spacing w:after="120" w:line="240" w:lineRule="auto"/>
        <w:jc w:val="center"/>
        <w:rPr>
          <w:rFonts w:ascii="Times New Roman" w:hAnsi="Times New Roman"/>
          <w:sz w:val="28"/>
          <w:szCs w:val="28"/>
          <w:lang w:eastAsia="ru-RU"/>
        </w:rPr>
      </w:pPr>
      <w:r w:rsidRPr="00015475">
        <w:rPr>
          <w:rFonts w:ascii="Times New Roman" w:hAnsi="Times New Roman"/>
          <w:sz w:val="28"/>
          <w:szCs w:val="28"/>
          <w:lang w:eastAsia="ru-RU"/>
        </w:rPr>
        <w:t>Обеспеченность специальной техникой предприяти</w:t>
      </w:r>
      <w:r>
        <w:rPr>
          <w:rFonts w:ascii="Times New Roman" w:hAnsi="Times New Roman"/>
          <w:sz w:val="28"/>
          <w:szCs w:val="28"/>
          <w:lang w:eastAsia="ru-RU"/>
        </w:rPr>
        <w:t>я</w:t>
      </w:r>
      <w:r w:rsidRPr="00015475">
        <w:rPr>
          <w:rFonts w:ascii="Times New Roman" w:hAnsi="Times New Roman"/>
          <w:sz w:val="28"/>
          <w:szCs w:val="28"/>
          <w:lang w:eastAsia="ru-RU"/>
        </w:rPr>
        <w:t xml:space="preserve"> ЖКХ</w:t>
      </w:r>
    </w:p>
    <w:tbl>
      <w:tblPr>
        <w:tblW w:w="0" w:type="auto"/>
        <w:jc w:val="center"/>
        <w:tblLayout w:type="fixed"/>
        <w:tblCellMar>
          <w:left w:w="0" w:type="dxa"/>
          <w:right w:w="0" w:type="dxa"/>
        </w:tblCellMar>
        <w:tblLook w:val="0000"/>
      </w:tblPr>
      <w:tblGrid>
        <w:gridCol w:w="2526"/>
        <w:gridCol w:w="2508"/>
        <w:gridCol w:w="2555"/>
        <w:gridCol w:w="2606"/>
      </w:tblGrid>
      <w:tr w:rsidR="002D1E45" w:rsidRPr="00015475" w:rsidTr="00015475">
        <w:trPr>
          <w:trHeight w:val="57"/>
          <w:jc w:val="center"/>
        </w:trPr>
        <w:tc>
          <w:tcPr>
            <w:tcW w:w="2526" w:type="dxa"/>
            <w:tcBorders>
              <w:top w:val="single" w:sz="4" w:space="0" w:color="auto"/>
              <w:left w:val="single" w:sz="4" w:space="0" w:color="auto"/>
              <w:bottom w:val="nil"/>
              <w:right w:val="nil"/>
            </w:tcBorders>
            <w:shd w:val="clear" w:color="auto" w:fill="FFFFFF"/>
            <w:vAlign w:val="center"/>
          </w:tcPr>
          <w:p w:rsidR="002D1E45" w:rsidRPr="00015475" w:rsidRDefault="002D1E45" w:rsidP="00015475">
            <w:pPr>
              <w:spacing w:after="0" w:line="240" w:lineRule="auto"/>
              <w:ind w:left="28" w:right="28"/>
              <w:jc w:val="center"/>
              <w:rPr>
                <w:rFonts w:ascii="Times New Roman" w:hAnsi="Times New Roman"/>
                <w:sz w:val="24"/>
                <w:szCs w:val="24"/>
                <w:lang w:eastAsia="ru-RU"/>
              </w:rPr>
            </w:pPr>
            <w:r w:rsidRPr="00015475">
              <w:rPr>
                <w:rFonts w:ascii="Times New Roman" w:hAnsi="Times New Roman"/>
                <w:color w:val="000000"/>
                <w:sz w:val="24"/>
                <w:szCs w:val="24"/>
                <w:lang w:eastAsia="ru-RU"/>
              </w:rPr>
              <w:t>Муниципальное образование</w:t>
            </w:r>
          </w:p>
        </w:tc>
        <w:tc>
          <w:tcPr>
            <w:tcW w:w="2508" w:type="dxa"/>
            <w:tcBorders>
              <w:top w:val="single" w:sz="4" w:space="0" w:color="auto"/>
              <w:left w:val="single" w:sz="4" w:space="0" w:color="auto"/>
              <w:bottom w:val="nil"/>
              <w:right w:val="nil"/>
            </w:tcBorders>
            <w:shd w:val="clear" w:color="auto" w:fill="FFFFFF"/>
            <w:vAlign w:val="center"/>
          </w:tcPr>
          <w:p w:rsidR="002D1E45" w:rsidRPr="00015475" w:rsidRDefault="002D1E45" w:rsidP="00015475">
            <w:pPr>
              <w:spacing w:after="0" w:line="240" w:lineRule="auto"/>
              <w:ind w:left="28" w:right="28"/>
              <w:jc w:val="center"/>
              <w:rPr>
                <w:rFonts w:ascii="Times New Roman" w:hAnsi="Times New Roman"/>
                <w:sz w:val="24"/>
                <w:szCs w:val="24"/>
                <w:lang w:eastAsia="ru-RU"/>
              </w:rPr>
            </w:pPr>
            <w:r w:rsidRPr="00015475">
              <w:rPr>
                <w:rFonts w:ascii="Times New Roman" w:hAnsi="Times New Roman"/>
                <w:color w:val="000000"/>
                <w:sz w:val="24"/>
                <w:szCs w:val="24"/>
                <w:lang w:eastAsia="ru-RU"/>
              </w:rPr>
              <w:t>Предприятие</w:t>
            </w:r>
            <w:r>
              <w:rPr>
                <w:rFonts w:ascii="Times New Roman" w:hAnsi="Times New Roman"/>
                <w:color w:val="000000"/>
                <w:sz w:val="24"/>
                <w:szCs w:val="24"/>
                <w:lang w:eastAsia="ru-RU"/>
              </w:rPr>
              <w:t xml:space="preserve"> </w:t>
            </w:r>
            <w:r w:rsidRPr="00015475">
              <w:rPr>
                <w:rFonts w:ascii="Times New Roman" w:hAnsi="Times New Roman"/>
                <w:color w:val="000000"/>
                <w:sz w:val="24"/>
                <w:szCs w:val="24"/>
                <w:lang w:eastAsia="ru-RU"/>
              </w:rPr>
              <w:t>ЖКХ</w:t>
            </w:r>
          </w:p>
        </w:tc>
        <w:tc>
          <w:tcPr>
            <w:tcW w:w="2555" w:type="dxa"/>
            <w:tcBorders>
              <w:top w:val="single" w:sz="4" w:space="0" w:color="auto"/>
              <w:left w:val="single" w:sz="4" w:space="0" w:color="auto"/>
              <w:bottom w:val="nil"/>
              <w:right w:val="nil"/>
            </w:tcBorders>
            <w:shd w:val="clear" w:color="auto" w:fill="FFFFFF"/>
            <w:vAlign w:val="center"/>
          </w:tcPr>
          <w:p w:rsidR="002D1E45" w:rsidRPr="00015475" w:rsidRDefault="002D1E45" w:rsidP="00015475">
            <w:pPr>
              <w:spacing w:after="0" w:line="240" w:lineRule="auto"/>
              <w:ind w:left="28" w:right="28"/>
              <w:jc w:val="center"/>
              <w:rPr>
                <w:rFonts w:ascii="Times New Roman" w:hAnsi="Times New Roman"/>
                <w:sz w:val="24"/>
                <w:szCs w:val="24"/>
                <w:lang w:eastAsia="ru-RU"/>
              </w:rPr>
            </w:pPr>
            <w:r w:rsidRPr="00015475">
              <w:rPr>
                <w:rFonts w:ascii="Times New Roman" w:hAnsi="Times New Roman"/>
                <w:color w:val="000000"/>
                <w:sz w:val="24"/>
                <w:szCs w:val="24"/>
                <w:lang w:eastAsia="ru-RU"/>
              </w:rPr>
              <w:t>Ассенизационная машина</w:t>
            </w:r>
          </w:p>
        </w:tc>
        <w:tc>
          <w:tcPr>
            <w:tcW w:w="2606" w:type="dxa"/>
            <w:tcBorders>
              <w:top w:val="single" w:sz="4" w:space="0" w:color="auto"/>
              <w:left w:val="single" w:sz="4" w:space="0" w:color="auto"/>
              <w:bottom w:val="nil"/>
              <w:right w:val="single" w:sz="4" w:space="0" w:color="auto"/>
            </w:tcBorders>
            <w:shd w:val="clear" w:color="auto" w:fill="FFFFFF"/>
            <w:vAlign w:val="center"/>
          </w:tcPr>
          <w:p w:rsidR="002D1E45" w:rsidRPr="00015475" w:rsidRDefault="002D1E45" w:rsidP="00015475">
            <w:pPr>
              <w:spacing w:after="0" w:line="240" w:lineRule="auto"/>
              <w:ind w:left="28" w:right="28"/>
              <w:jc w:val="center"/>
              <w:rPr>
                <w:rFonts w:ascii="Times New Roman" w:hAnsi="Times New Roman"/>
                <w:sz w:val="24"/>
                <w:szCs w:val="24"/>
                <w:lang w:eastAsia="ru-RU"/>
              </w:rPr>
            </w:pPr>
            <w:r w:rsidRPr="00015475">
              <w:rPr>
                <w:rFonts w:ascii="Times New Roman" w:hAnsi="Times New Roman"/>
                <w:color w:val="000000"/>
                <w:sz w:val="24"/>
                <w:szCs w:val="24"/>
                <w:lang w:eastAsia="ru-RU"/>
              </w:rPr>
              <w:t>Прочая техника</w:t>
            </w:r>
          </w:p>
        </w:tc>
      </w:tr>
      <w:tr w:rsidR="002D1E45" w:rsidRPr="00015475" w:rsidTr="00015475">
        <w:trPr>
          <w:trHeight w:val="57"/>
          <w:jc w:val="center"/>
        </w:trPr>
        <w:tc>
          <w:tcPr>
            <w:tcW w:w="2526" w:type="dxa"/>
            <w:vMerge w:val="restart"/>
            <w:tcBorders>
              <w:top w:val="single" w:sz="4" w:space="0" w:color="auto"/>
              <w:left w:val="single" w:sz="4" w:space="0" w:color="auto"/>
              <w:bottom w:val="nil"/>
              <w:right w:val="nil"/>
            </w:tcBorders>
            <w:shd w:val="clear" w:color="auto" w:fill="FFFFFF"/>
            <w:vAlign w:val="center"/>
          </w:tcPr>
          <w:p w:rsidR="002D1E45" w:rsidRPr="00015475" w:rsidRDefault="002D1E45" w:rsidP="00015475">
            <w:pPr>
              <w:spacing w:after="0" w:line="240" w:lineRule="auto"/>
              <w:ind w:left="28" w:right="28"/>
              <w:rPr>
                <w:rFonts w:ascii="Times New Roman" w:hAnsi="Times New Roman"/>
                <w:sz w:val="24"/>
                <w:szCs w:val="24"/>
                <w:lang w:eastAsia="ru-RU"/>
              </w:rPr>
            </w:pPr>
            <w:r w:rsidRPr="00015475">
              <w:rPr>
                <w:rFonts w:ascii="Times New Roman" w:hAnsi="Times New Roman"/>
                <w:color w:val="000000"/>
                <w:sz w:val="24"/>
                <w:szCs w:val="24"/>
                <w:lang w:eastAsia="ru-RU"/>
              </w:rPr>
              <w:t>г.</w:t>
            </w:r>
            <w:r>
              <w:rPr>
                <w:rFonts w:ascii="Times New Roman" w:hAnsi="Times New Roman"/>
                <w:color w:val="000000"/>
                <w:sz w:val="24"/>
                <w:szCs w:val="24"/>
                <w:lang w:eastAsia="ru-RU"/>
              </w:rPr>
              <w:t xml:space="preserve"> </w:t>
            </w:r>
            <w:r w:rsidRPr="00015475">
              <w:rPr>
                <w:rFonts w:ascii="Times New Roman" w:hAnsi="Times New Roman"/>
                <w:color w:val="000000"/>
                <w:sz w:val="24"/>
                <w:szCs w:val="24"/>
                <w:lang w:eastAsia="ru-RU"/>
              </w:rPr>
              <w:t>Куйбышев</w:t>
            </w:r>
          </w:p>
        </w:tc>
        <w:tc>
          <w:tcPr>
            <w:tcW w:w="2508" w:type="dxa"/>
            <w:vMerge w:val="restart"/>
            <w:tcBorders>
              <w:top w:val="single" w:sz="4" w:space="0" w:color="auto"/>
              <w:left w:val="single" w:sz="4" w:space="0" w:color="auto"/>
              <w:bottom w:val="nil"/>
              <w:right w:val="nil"/>
            </w:tcBorders>
            <w:shd w:val="clear" w:color="auto" w:fill="FFFFFF"/>
            <w:vAlign w:val="center"/>
          </w:tcPr>
          <w:p w:rsidR="002D1E45" w:rsidRPr="00015475" w:rsidRDefault="002D1E45" w:rsidP="00015475">
            <w:pPr>
              <w:spacing w:after="0" w:line="240" w:lineRule="auto"/>
              <w:ind w:left="28" w:right="28"/>
              <w:rPr>
                <w:rFonts w:ascii="Times New Roman" w:hAnsi="Times New Roman"/>
                <w:sz w:val="24"/>
                <w:szCs w:val="24"/>
                <w:lang w:eastAsia="ru-RU"/>
              </w:rPr>
            </w:pPr>
            <w:r w:rsidRPr="00015475">
              <w:rPr>
                <w:rFonts w:ascii="Times New Roman" w:hAnsi="Times New Roman"/>
                <w:color w:val="000000"/>
                <w:sz w:val="24"/>
                <w:szCs w:val="24"/>
                <w:lang w:eastAsia="ru-RU"/>
              </w:rPr>
              <w:t>МУП «Геострой»</w:t>
            </w:r>
          </w:p>
        </w:tc>
        <w:tc>
          <w:tcPr>
            <w:tcW w:w="2555" w:type="dxa"/>
            <w:tcBorders>
              <w:top w:val="single" w:sz="4" w:space="0" w:color="auto"/>
              <w:left w:val="single" w:sz="4" w:space="0" w:color="auto"/>
              <w:bottom w:val="nil"/>
              <w:right w:val="nil"/>
            </w:tcBorders>
            <w:shd w:val="clear" w:color="auto" w:fill="FFFFFF"/>
            <w:vAlign w:val="bottom"/>
          </w:tcPr>
          <w:p w:rsidR="002D1E45" w:rsidRPr="00015475" w:rsidRDefault="002D1E45" w:rsidP="00015475">
            <w:pPr>
              <w:spacing w:after="0" w:line="240" w:lineRule="auto"/>
              <w:ind w:left="28" w:right="28"/>
              <w:rPr>
                <w:rFonts w:ascii="Times New Roman" w:hAnsi="Times New Roman"/>
                <w:sz w:val="24"/>
                <w:szCs w:val="24"/>
                <w:lang w:eastAsia="ru-RU"/>
              </w:rPr>
            </w:pPr>
            <w:r w:rsidRPr="00015475">
              <w:rPr>
                <w:rFonts w:ascii="Times New Roman" w:hAnsi="Times New Roman"/>
                <w:color w:val="000000"/>
                <w:sz w:val="24"/>
                <w:szCs w:val="24"/>
                <w:lang w:eastAsia="ru-RU"/>
              </w:rPr>
              <w:t>Илосос КО-510 (ЗИЛ-433362)</w:t>
            </w:r>
          </w:p>
        </w:tc>
        <w:tc>
          <w:tcPr>
            <w:tcW w:w="2606" w:type="dxa"/>
            <w:tcBorders>
              <w:top w:val="single" w:sz="4" w:space="0" w:color="auto"/>
              <w:left w:val="single" w:sz="4" w:space="0" w:color="auto"/>
              <w:bottom w:val="nil"/>
              <w:right w:val="single" w:sz="4" w:space="0" w:color="auto"/>
            </w:tcBorders>
            <w:shd w:val="clear" w:color="auto" w:fill="FFFFFF"/>
            <w:vAlign w:val="bottom"/>
          </w:tcPr>
          <w:p w:rsidR="002D1E45" w:rsidRPr="00015475" w:rsidRDefault="002D1E45" w:rsidP="00015475">
            <w:pPr>
              <w:spacing w:after="0" w:line="240" w:lineRule="auto"/>
              <w:ind w:left="28" w:right="28"/>
              <w:rPr>
                <w:rFonts w:ascii="Times New Roman" w:hAnsi="Times New Roman"/>
                <w:sz w:val="24"/>
                <w:szCs w:val="24"/>
                <w:lang w:eastAsia="ru-RU"/>
              </w:rPr>
            </w:pPr>
            <w:r w:rsidRPr="00015475">
              <w:rPr>
                <w:rFonts w:ascii="Times New Roman" w:hAnsi="Times New Roman"/>
                <w:color w:val="000000"/>
                <w:sz w:val="24"/>
                <w:szCs w:val="24"/>
                <w:lang w:eastAsia="ru-RU"/>
              </w:rPr>
              <w:t>Машина Семар</w:t>
            </w:r>
            <w:r>
              <w:rPr>
                <w:rFonts w:ascii="Times New Roman" w:hAnsi="Times New Roman"/>
                <w:color w:val="000000"/>
                <w:sz w:val="24"/>
                <w:szCs w:val="24"/>
                <w:lang w:eastAsia="ru-RU"/>
              </w:rPr>
              <w:t>-</w:t>
            </w:r>
            <w:r w:rsidRPr="00015475">
              <w:rPr>
                <w:rFonts w:ascii="Times New Roman" w:hAnsi="Times New Roman"/>
                <w:color w:val="000000"/>
                <w:sz w:val="24"/>
                <w:szCs w:val="24"/>
                <w:lang w:eastAsia="ru-RU"/>
              </w:rPr>
              <w:t>2934 (Г</w:t>
            </w:r>
            <w:r>
              <w:rPr>
                <w:rFonts w:ascii="Times New Roman" w:hAnsi="Times New Roman"/>
                <w:color w:val="000000"/>
                <w:sz w:val="24"/>
                <w:szCs w:val="24"/>
                <w:lang w:eastAsia="ru-RU"/>
              </w:rPr>
              <w:t>А</w:t>
            </w:r>
            <w:r w:rsidRPr="00015475">
              <w:rPr>
                <w:rFonts w:ascii="Times New Roman" w:hAnsi="Times New Roman"/>
                <w:color w:val="000000"/>
                <w:sz w:val="24"/>
                <w:szCs w:val="24"/>
                <w:lang w:eastAsia="ru-RU"/>
              </w:rPr>
              <w:t>Зель)</w:t>
            </w:r>
          </w:p>
        </w:tc>
      </w:tr>
      <w:tr w:rsidR="002D1E45" w:rsidRPr="00015475" w:rsidTr="00015475">
        <w:trPr>
          <w:trHeight w:val="57"/>
          <w:jc w:val="center"/>
        </w:trPr>
        <w:tc>
          <w:tcPr>
            <w:tcW w:w="2526" w:type="dxa"/>
            <w:vMerge/>
            <w:tcBorders>
              <w:top w:val="nil"/>
              <w:left w:val="single" w:sz="4" w:space="0" w:color="auto"/>
              <w:bottom w:val="nil"/>
              <w:right w:val="nil"/>
            </w:tcBorders>
            <w:shd w:val="clear" w:color="auto" w:fill="FFFFFF"/>
            <w:vAlign w:val="center"/>
          </w:tcPr>
          <w:p w:rsidR="002D1E45" w:rsidRPr="00015475" w:rsidRDefault="002D1E45" w:rsidP="00015475">
            <w:pPr>
              <w:spacing w:after="0" w:line="240" w:lineRule="auto"/>
              <w:ind w:left="28" w:right="28"/>
              <w:rPr>
                <w:rFonts w:ascii="Times New Roman" w:hAnsi="Times New Roman"/>
                <w:sz w:val="24"/>
                <w:szCs w:val="24"/>
                <w:lang w:eastAsia="ru-RU"/>
              </w:rPr>
            </w:pPr>
          </w:p>
        </w:tc>
        <w:tc>
          <w:tcPr>
            <w:tcW w:w="2508" w:type="dxa"/>
            <w:vMerge/>
            <w:tcBorders>
              <w:top w:val="nil"/>
              <w:left w:val="single" w:sz="4" w:space="0" w:color="auto"/>
              <w:bottom w:val="nil"/>
              <w:right w:val="nil"/>
            </w:tcBorders>
            <w:shd w:val="clear" w:color="auto" w:fill="FFFFFF"/>
            <w:vAlign w:val="center"/>
          </w:tcPr>
          <w:p w:rsidR="002D1E45" w:rsidRPr="00015475" w:rsidRDefault="002D1E45" w:rsidP="00015475">
            <w:pPr>
              <w:spacing w:after="0" w:line="240" w:lineRule="auto"/>
              <w:ind w:left="28" w:right="28"/>
              <w:rPr>
                <w:rFonts w:ascii="Times New Roman" w:hAnsi="Times New Roman"/>
                <w:sz w:val="24"/>
                <w:szCs w:val="24"/>
                <w:lang w:eastAsia="ru-RU"/>
              </w:rPr>
            </w:pPr>
          </w:p>
        </w:tc>
        <w:tc>
          <w:tcPr>
            <w:tcW w:w="2555" w:type="dxa"/>
            <w:tcBorders>
              <w:top w:val="single" w:sz="4" w:space="0" w:color="auto"/>
              <w:left w:val="single" w:sz="4" w:space="0" w:color="auto"/>
              <w:bottom w:val="nil"/>
              <w:right w:val="nil"/>
            </w:tcBorders>
            <w:shd w:val="clear" w:color="auto" w:fill="FFFFFF"/>
            <w:vAlign w:val="bottom"/>
          </w:tcPr>
          <w:p w:rsidR="002D1E45" w:rsidRPr="00015475" w:rsidRDefault="002D1E45" w:rsidP="00015475">
            <w:pPr>
              <w:spacing w:after="0" w:line="240" w:lineRule="auto"/>
              <w:ind w:left="28" w:right="28"/>
              <w:rPr>
                <w:rFonts w:ascii="Times New Roman" w:hAnsi="Times New Roman"/>
                <w:sz w:val="24"/>
                <w:szCs w:val="24"/>
                <w:lang w:eastAsia="ru-RU"/>
              </w:rPr>
            </w:pPr>
            <w:r w:rsidRPr="00015475">
              <w:rPr>
                <w:rFonts w:ascii="Times New Roman" w:hAnsi="Times New Roman"/>
                <w:color w:val="000000"/>
                <w:sz w:val="24"/>
                <w:szCs w:val="24"/>
                <w:lang w:eastAsia="ru-RU"/>
              </w:rPr>
              <w:t>Машина Вакуумная КО-529-11 (на шасси МАЗ-457043)</w:t>
            </w:r>
          </w:p>
        </w:tc>
        <w:tc>
          <w:tcPr>
            <w:tcW w:w="2606" w:type="dxa"/>
            <w:tcBorders>
              <w:top w:val="single" w:sz="4" w:space="0" w:color="auto"/>
              <w:left w:val="single" w:sz="4" w:space="0" w:color="auto"/>
              <w:bottom w:val="nil"/>
              <w:right w:val="single" w:sz="4" w:space="0" w:color="auto"/>
            </w:tcBorders>
            <w:shd w:val="clear" w:color="auto" w:fill="FFFFFF"/>
          </w:tcPr>
          <w:p w:rsidR="002D1E45" w:rsidRPr="00015475" w:rsidRDefault="002D1E45" w:rsidP="00015475">
            <w:pPr>
              <w:spacing w:after="0" w:line="240" w:lineRule="auto"/>
              <w:ind w:left="28" w:right="28"/>
              <w:rPr>
                <w:rFonts w:ascii="Times New Roman" w:hAnsi="Times New Roman"/>
                <w:sz w:val="24"/>
                <w:szCs w:val="24"/>
                <w:lang w:eastAsia="ru-RU"/>
              </w:rPr>
            </w:pPr>
            <w:r w:rsidRPr="00015475">
              <w:rPr>
                <w:rFonts w:ascii="Times New Roman" w:hAnsi="Times New Roman"/>
                <w:color w:val="000000"/>
                <w:sz w:val="24"/>
                <w:szCs w:val="24"/>
                <w:lang w:eastAsia="ru-RU"/>
              </w:rPr>
              <w:t>Трактор МТЗ-80</w:t>
            </w:r>
          </w:p>
        </w:tc>
      </w:tr>
      <w:tr w:rsidR="002D1E45" w:rsidRPr="00015475" w:rsidTr="00015475">
        <w:trPr>
          <w:trHeight w:val="57"/>
          <w:jc w:val="center"/>
        </w:trPr>
        <w:tc>
          <w:tcPr>
            <w:tcW w:w="2526" w:type="dxa"/>
            <w:vMerge/>
            <w:tcBorders>
              <w:top w:val="nil"/>
              <w:left w:val="single" w:sz="4" w:space="0" w:color="auto"/>
              <w:bottom w:val="nil"/>
              <w:right w:val="nil"/>
            </w:tcBorders>
            <w:shd w:val="clear" w:color="auto" w:fill="FFFFFF"/>
            <w:vAlign w:val="center"/>
          </w:tcPr>
          <w:p w:rsidR="002D1E45" w:rsidRPr="00015475" w:rsidRDefault="002D1E45" w:rsidP="00015475">
            <w:pPr>
              <w:spacing w:after="0" w:line="240" w:lineRule="auto"/>
              <w:ind w:left="28" w:right="28"/>
              <w:rPr>
                <w:rFonts w:ascii="Times New Roman" w:hAnsi="Times New Roman"/>
                <w:sz w:val="24"/>
                <w:szCs w:val="24"/>
                <w:lang w:eastAsia="ru-RU"/>
              </w:rPr>
            </w:pPr>
          </w:p>
        </w:tc>
        <w:tc>
          <w:tcPr>
            <w:tcW w:w="2508" w:type="dxa"/>
            <w:vMerge/>
            <w:tcBorders>
              <w:top w:val="nil"/>
              <w:left w:val="single" w:sz="4" w:space="0" w:color="auto"/>
              <w:bottom w:val="nil"/>
              <w:right w:val="nil"/>
            </w:tcBorders>
            <w:shd w:val="clear" w:color="auto" w:fill="FFFFFF"/>
            <w:vAlign w:val="center"/>
          </w:tcPr>
          <w:p w:rsidR="002D1E45" w:rsidRPr="00015475" w:rsidRDefault="002D1E45" w:rsidP="00015475">
            <w:pPr>
              <w:spacing w:after="0" w:line="240" w:lineRule="auto"/>
              <w:ind w:left="28" w:right="28"/>
              <w:rPr>
                <w:rFonts w:ascii="Times New Roman" w:hAnsi="Times New Roman"/>
                <w:sz w:val="24"/>
                <w:szCs w:val="24"/>
                <w:lang w:eastAsia="ru-RU"/>
              </w:rPr>
            </w:pPr>
          </w:p>
        </w:tc>
        <w:tc>
          <w:tcPr>
            <w:tcW w:w="2555" w:type="dxa"/>
            <w:tcBorders>
              <w:top w:val="single" w:sz="4" w:space="0" w:color="auto"/>
              <w:left w:val="single" w:sz="4" w:space="0" w:color="auto"/>
              <w:bottom w:val="nil"/>
              <w:right w:val="nil"/>
            </w:tcBorders>
            <w:shd w:val="clear" w:color="auto" w:fill="FFFFFF"/>
            <w:vAlign w:val="bottom"/>
          </w:tcPr>
          <w:p w:rsidR="002D1E45" w:rsidRPr="00015475" w:rsidRDefault="002D1E45" w:rsidP="00015475">
            <w:pPr>
              <w:spacing w:after="0" w:line="240" w:lineRule="auto"/>
              <w:ind w:left="28" w:right="28"/>
              <w:rPr>
                <w:rFonts w:ascii="Times New Roman" w:hAnsi="Times New Roman"/>
                <w:sz w:val="24"/>
                <w:szCs w:val="24"/>
                <w:lang w:eastAsia="ru-RU"/>
              </w:rPr>
            </w:pPr>
            <w:r w:rsidRPr="00015475">
              <w:rPr>
                <w:rFonts w:ascii="Times New Roman" w:hAnsi="Times New Roman"/>
                <w:color w:val="000000"/>
                <w:sz w:val="24"/>
                <w:szCs w:val="24"/>
                <w:lang w:eastAsia="ru-RU"/>
              </w:rPr>
              <w:t xml:space="preserve">Машина вакуумная </w:t>
            </w:r>
            <w:r w:rsidRPr="00015475">
              <w:rPr>
                <w:rFonts w:ascii="Times New Roman" w:hAnsi="Times New Roman"/>
                <w:color w:val="000000"/>
                <w:sz w:val="24"/>
                <w:szCs w:val="24"/>
                <w:lang w:val="en-US"/>
              </w:rPr>
              <w:t>KO</w:t>
            </w:r>
            <w:r w:rsidRPr="00015475">
              <w:rPr>
                <w:rFonts w:ascii="Times New Roman" w:hAnsi="Times New Roman"/>
                <w:color w:val="000000"/>
                <w:sz w:val="24"/>
                <w:szCs w:val="24"/>
              </w:rPr>
              <w:t xml:space="preserve">- </w:t>
            </w:r>
            <w:r w:rsidRPr="00015475">
              <w:rPr>
                <w:rFonts w:ascii="Times New Roman" w:hAnsi="Times New Roman"/>
                <w:color w:val="000000"/>
                <w:sz w:val="24"/>
                <w:szCs w:val="24"/>
                <w:lang w:val="en-US"/>
              </w:rPr>
              <w:t>SOSA</w:t>
            </w:r>
            <w:r w:rsidRPr="00015475">
              <w:rPr>
                <w:rFonts w:ascii="Times New Roman" w:hAnsi="Times New Roman"/>
                <w:color w:val="000000"/>
                <w:sz w:val="24"/>
                <w:szCs w:val="24"/>
              </w:rPr>
              <w:t xml:space="preserve"> </w:t>
            </w:r>
            <w:r w:rsidRPr="00015475">
              <w:rPr>
                <w:rFonts w:ascii="Times New Roman" w:hAnsi="Times New Roman"/>
                <w:color w:val="000000"/>
                <w:sz w:val="24"/>
                <w:szCs w:val="24"/>
                <w:lang w:eastAsia="ru-RU"/>
              </w:rPr>
              <w:t>(КАМАЗ)</w:t>
            </w:r>
          </w:p>
        </w:tc>
        <w:tc>
          <w:tcPr>
            <w:tcW w:w="2606" w:type="dxa"/>
            <w:tcBorders>
              <w:top w:val="single" w:sz="4" w:space="0" w:color="auto"/>
              <w:left w:val="single" w:sz="4" w:space="0" w:color="auto"/>
              <w:bottom w:val="nil"/>
              <w:right w:val="single" w:sz="4" w:space="0" w:color="auto"/>
            </w:tcBorders>
            <w:shd w:val="clear" w:color="auto" w:fill="FFFFFF"/>
            <w:vAlign w:val="bottom"/>
          </w:tcPr>
          <w:p w:rsidR="002D1E45" w:rsidRPr="00015475" w:rsidRDefault="002D1E45" w:rsidP="00015475">
            <w:pPr>
              <w:spacing w:after="0" w:line="240" w:lineRule="auto"/>
              <w:ind w:left="28" w:right="28"/>
              <w:rPr>
                <w:rFonts w:ascii="Times New Roman" w:hAnsi="Times New Roman"/>
                <w:sz w:val="24"/>
                <w:szCs w:val="24"/>
                <w:lang w:eastAsia="ru-RU"/>
              </w:rPr>
            </w:pPr>
            <w:r w:rsidRPr="00015475">
              <w:rPr>
                <w:rFonts w:ascii="Times New Roman" w:hAnsi="Times New Roman"/>
                <w:color w:val="000000"/>
                <w:sz w:val="24"/>
                <w:szCs w:val="24"/>
                <w:lang w:eastAsia="ru-RU"/>
              </w:rPr>
              <w:t>УАЗ Патриот (модель № 40900К63151505)</w:t>
            </w:r>
          </w:p>
        </w:tc>
      </w:tr>
      <w:tr w:rsidR="002D1E45" w:rsidRPr="00015475" w:rsidTr="00015475">
        <w:trPr>
          <w:trHeight w:val="57"/>
          <w:jc w:val="center"/>
        </w:trPr>
        <w:tc>
          <w:tcPr>
            <w:tcW w:w="2526" w:type="dxa"/>
            <w:vMerge/>
            <w:tcBorders>
              <w:top w:val="nil"/>
              <w:left w:val="single" w:sz="4" w:space="0" w:color="auto"/>
              <w:bottom w:val="nil"/>
              <w:right w:val="nil"/>
            </w:tcBorders>
            <w:shd w:val="clear" w:color="auto" w:fill="FFFFFF"/>
            <w:vAlign w:val="center"/>
          </w:tcPr>
          <w:p w:rsidR="002D1E45" w:rsidRPr="00015475" w:rsidRDefault="002D1E45" w:rsidP="00015475">
            <w:pPr>
              <w:spacing w:after="0" w:line="240" w:lineRule="auto"/>
              <w:ind w:left="28" w:right="28"/>
              <w:rPr>
                <w:rFonts w:ascii="Times New Roman" w:hAnsi="Times New Roman"/>
                <w:sz w:val="24"/>
                <w:szCs w:val="24"/>
                <w:lang w:eastAsia="ru-RU"/>
              </w:rPr>
            </w:pPr>
          </w:p>
        </w:tc>
        <w:tc>
          <w:tcPr>
            <w:tcW w:w="2508" w:type="dxa"/>
            <w:vMerge/>
            <w:tcBorders>
              <w:top w:val="nil"/>
              <w:left w:val="single" w:sz="4" w:space="0" w:color="auto"/>
              <w:bottom w:val="nil"/>
              <w:right w:val="nil"/>
            </w:tcBorders>
            <w:shd w:val="clear" w:color="auto" w:fill="FFFFFF"/>
            <w:vAlign w:val="center"/>
          </w:tcPr>
          <w:p w:rsidR="002D1E45" w:rsidRPr="00015475" w:rsidRDefault="002D1E45" w:rsidP="00015475">
            <w:pPr>
              <w:spacing w:after="0" w:line="240" w:lineRule="auto"/>
              <w:ind w:left="28" w:right="28"/>
              <w:rPr>
                <w:rFonts w:ascii="Times New Roman" w:hAnsi="Times New Roman"/>
                <w:sz w:val="24"/>
                <w:szCs w:val="24"/>
                <w:lang w:eastAsia="ru-RU"/>
              </w:rPr>
            </w:pPr>
          </w:p>
        </w:tc>
        <w:tc>
          <w:tcPr>
            <w:tcW w:w="2555" w:type="dxa"/>
            <w:tcBorders>
              <w:top w:val="single" w:sz="4" w:space="0" w:color="auto"/>
              <w:left w:val="single" w:sz="4" w:space="0" w:color="auto"/>
              <w:bottom w:val="nil"/>
              <w:right w:val="nil"/>
            </w:tcBorders>
            <w:shd w:val="clear" w:color="auto" w:fill="FFFFFF"/>
          </w:tcPr>
          <w:p w:rsidR="002D1E45" w:rsidRPr="00015475" w:rsidRDefault="002D1E45" w:rsidP="00015475">
            <w:pPr>
              <w:spacing w:after="0" w:line="240" w:lineRule="auto"/>
              <w:ind w:left="28" w:right="28"/>
              <w:rPr>
                <w:rFonts w:ascii="Times New Roman" w:hAnsi="Times New Roman"/>
                <w:sz w:val="24"/>
                <w:szCs w:val="24"/>
                <w:lang w:eastAsia="ru-RU"/>
              </w:rPr>
            </w:pPr>
          </w:p>
        </w:tc>
        <w:tc>
          <w:tcPr>
            <w:tcW w:w="2606" w:type="dxa"/>
            <w:tcBorders>
              <w:top w:val="single" w:sz="4" w:space="0" w:color="auto"/>
              <w:left w:val="single" w:sz="4" w:space="0" w:color="auto"/>
              <w:bottom w:val="nil"/>
              <w:right w:val="single" w:sz="4" w:space="0" w:color="auto"/>
            </w:tcBorders>
            <w:shd w:val="clear" w:color="auto" w:fill="FFFFFF"/>
          </w:tcPr>
          <w:p w:rsidR="002D1E45" w:rsidRPr="00015475" w:rsidRDefault="002D1E45" w:rsidP="00015475">
            <w:pPr>
              <w:spacing w:after="0" w:line="240" w:lineRule="auto"/>
              <w:ind w:left="28" w:right="28"/>
              <w:rPr>
                <w:rFonts w:ascii="Times New Roman" w:hAnsi="Times New Roman"/>
                <w:sz w:val="24"/>
                <w:szCs w:val="24"/>
                <w:lang w:eastAsia="ru-RU"/>
              </w:rPr>
            </w:pPr>
            <w:r w:rsidRPr="00015475">
              <w:rPr>
                <w:rFonts w:ascii="Times New Roman" w:hAnsi="Times New Roman"/>
                <w:color w:val="000000"/>
                <w:sz w:val="24"/>
                <w:szCs w:val="24"/>
                <w:lang w:eastAsia="ru-RU"/>
              </w:rPr>
              <w:t>УАЗ-22069404 санитарный фургон</w:t>
            </w:r>
          </w:p>
        </w:tc>
      </w:tr>
      <w:tr w:rsidR="002D1E45" w:rsidRPr="00015475" w:rsidTr="00015475">
        <w:trPr>
          <w:trHeight w:val="57"/>
          <w:jc w:val="center"/>
        </w:trPr>
        <w:tc>
          <w:tcPr>
            <w:tcW w:w="2526" w:type="dxa"/>
            <w:vMerge/>
            <w:tcBorders>
              <w:top w:val="nil"/>
              <w:left w:val="single" w:sz="4" w:space="0" w:color="auto"/>
              <w:bottom w:val="single" w:sz="4" w:space="0" w:color="auto"/>
              <w:right w:val="nil"/>
            </w:tcBorders>
            <w:shd w:val="clear" w:color="auto" w:fill="FFFFFF"/>
            <w:vAlign w:val="center"/>
          </w:tcPr>
          <w:p w:rsidR="002D1E45" w:rsidRPr="00015475" w:rsidRDefault="002D1E45" w:rsidP="00015475">
            <w:pPr>
              <w:spacing w:after="0" w:line="240" w:lineRule="auto"/>
              <w:ind w:left="28" w:right="28"/>
              <w:rPr>
                <w:rFonts w:ascii="Times New Roman" w:hAnsi="Times New Roman"/>
                <w:sz w:val="24"/>
                <w:szCs w:val="24"/>
                <w:lang w:eastAsia="ru-RU"/>
              </w:rPr>
            </w:pPr>
          </w:p>
        </w:tc>
        <w:tc>
          <w:tcPr>
            <w:tcW w:w="2508" w:type="dxa"/>
            <w:vMerge/>
            <w:tcBorders>
              <w:top w:val="nil"/>
              <w:left w:val="single" w:sz="4" w:space="0" w:color="auto"/>
              <w:bottom w:val="single" w:sz="4" w:space="0" w:color="auto"/>
              <w:right w:val="nil"/>
            </w:tcBorders>
            <w:shd w:val="clear" w:color="auto" w:fill="FFFFFF"/>
            <w:vAlign w:val="center"/>
          </w:tcPr>
          <w:p w:rsidR="002D1E45" w:rsidRPr="00015475" w:rsidRDefault="002D1E45" w:rsidP="00015475">
            <w:pPr>
              <w:spacing w:after="0" w:line="240" w:lineRule="auto"/>
              <w:ind w:left="28" w:right="28"/>
              <w:rPr>
                <w:rFonts w:ascii="Times New Roman" w:hAnsi="Times New Roman"/>
                <w:sz w:val="24"/>
                <w:szCs w:val="24"/>
                <w:lang w:eastAsia="ru-RU"/>
              </w:rPr>
            </w:pPr>
          </w:p>
        </w:tc>
        <w:tc>
          <w:tcPr>
            <w:tcW w:w="2555" w:type="dxa"/>
            <w:tcBorders>
              <w:top w:val="single" w:sz="4" w:space="0" w:color="auto"/>
              <w:left w:val="single" w:sz="4" w:space="0" w:color="auto"/>
              <w:bottom w:val="single" w:sz="4" w:space="0" w:color="auto"/>
              <w:right w:val="nil"/>
            </w:tcBorders>
            <w:shd w:val="clear" w:color="auto" w:fill="FFFFFF"/>
          </w:tcPr>
          <w:p w:rsidR="002D1E45" w:rsidRPr="00015475" w:rsidRDefault="002D1E45" w:rsidP="00015475">
            <w:pPr>
              <w:spacing w:after="0" w:line="240" w:lineRule="auto"/>
              <w:ind w:left="28" w:right="28"/>
              <w:rPr>
                <w:rFonts w:ascii="Times New Roman" w:hAnsi="Times New Roman"/>
                <w:sz w:val="24"/>
                <w:szCs w:val="24"/>
                <w:lang w:eastAsia="ru-RU"/>
              </w:rPr>
            </w:pPr>
          </w:p>
        </w:tc>
        <w:tc>
          <w:tcPr>
            <w:tcW w:w="2606" w:type="dxa"/>
            <w:tcBorders>
              <w:top w:val="single" w:sz="4" w:space="0" w:color="auto"/>
              <w:left w:val="single" w:sz="4" w:space="0" w:color="auto"/>
              <w:bottom w:val="single" w:sz="4" w:space="0" w:color="auto"/>
              <w:right w:val="single" w:sz="4" w:space="0" w:color="auto"/>
            </w:tcBorders>
            <w:shd w:val="clear" w:color="auto" w:fill="FFFFFF"/>
            <w:vAlign w:val="bottom"/>
          </w:tcPr>
          <w:p w:rsidR="002D1E45" w:rsidRPr="00015475" w:rsidRDefault="002D1E45" w:rsidP="00015475">
            <w:pPr>
              <w:spacing w:after="0" w:line="240" w:lineRule="auto"/>
              <w:ind w:left="28" w:right="28"/>
              <w:rPr>
                <w:rFonts w:ascii="Times New Roman" w:hAnsi="Times New Roman"/>
                <w:sz w:val="24"/>
                <w:szCs w:val="24"/>
                <w:lang w:eastAsia="ru-RU"/>
              </w:rPr>
            </w:pPr>
            <w:r w:rsidRPr="00015475">
              <w:rPr>
                <w:rFonts w:ascii="Times New Roman" w:hAnsi="Times New Roman"/>
                <w:color w:val="000000"/>
                <w:sz w:val="24"/>
                <w:szCs w:val="24"/>
                <w:lang w:eastAsia="ru-RU"/>
              </w:rPr>
              <w:t>Камаз-5511 (самосвал)</w:t>
            </w:r>
          </w:p>
        </w:tc>
      </w:tr>
    </w:tbl>
    <w:p w:rsidR="002D1E45" w:rsidRDefault="002D1E45" w:rsidP="00570605">
      <w:pPr>
        <w:spacing w:after="120" w:line="240" w:lineRule="auto"/>
        <w:jc w:val="center"/>
        <w:rPr>
          <w:rFonts w:ascii="Times New Roman" w:hAnsi="Times New Roman"/>
          <w:sz w:val="28"/>
          <w:szCs w:val="24"/>
          <w:lang w:eastAsia="ru-RU"/>
        </w:rPr>
      </w:pPr>
    </w:p>
    <w:p w:rsidR="002D1E45" w:rsidRPr="005D1643" w:rsidRDefault="002D1E45" w:rsidP="00852938">
      <w:pPr>
        <w:pStyle w:val="Heading3"/>
        <w:numPr>
          <w:ilvl w:val="2"/>
          <w:numId w:val="65"/>
        </w:numPr>
        <w:tabs>
          <w:tab w:val="left" w:pos="1418"/>
        </w:tabs>
        <w:spacing w:before="120"/>
        <w:ind w:left="1418" w:hanging="698"/>
        <w:jc w:val="both"/>
        <w:rPr>
          <w:rFonts w:ascii="Times New Roman" w:hAnsi="Times New Roman"/>
          <w:sz w:val="28"/>
        </w:rPr>
      </w:pPr>
      <w:bookmarkStart w:id="157" w:name="_Toc475037093"/>
      <w:bookmarkStart w:id="158" w:name="_Toc84936034"/>
      <w:r w:rsidRPr="005D1643">
        <w:rPr>
          <w:rFonts w:ascii="Times New Roman" w:hAnsi="Times New Roman"/>
          <w:sz w:val="28"/>
        </w:rPr>
        <w:t>Теплоснабжение</w:t>
      </w:r>
      <w:bookmarkEnd w:id="157"/>
      <w:bookmarkEnd w:id="158"/>
    </w:p>
    <w:p w:rsidR="002D1E45" w:rsidRDefault="002D1E45" w:rsidP="003A7901">
      <w:pPr>
        <w:spacing w:after="0" w:line="240" w:lineRule="auto"/>
        <w:ind w:firstLine="709"/>
        <w:jc w:val="both"/>
        <w:rPr>
          <w:rFonts w:ascii="Times New Roman" w:hAnsi="Times New Roman"/>
          <w:sz w:val="28"/>
          <w:szCs w:val="28"/>
        </w:rPr>
      </w:pPr>
    </w:p>
    <w:p w:rsidR="002D1E45" w:rsidRDefault="002D1E45" w:rsidP="00015475">
      <w:pPr>
        <w:spacing w:after="0" w:line="240" w:lineRule="auto"/>
        <w:ind w:firstLine="709"/>
        <w:contextualSpacing/>
        <w:jc w:val="both"/>
        <w:rPr>
          <w:rFonts w:ascii="Times New Roman" w:hAnsi="Times New Roman"/>
          <w:sz w:val="28"/>
          <w:szCs w:val="24"/>
          <w:lang w:eastAsia="ru-RU"/>
        </w:rPr>
      </w:pPr>
      <w:r w:rsidRPr="00015475">
        <w:rPr>
          <w:rFonts w:ascii="Times New Roman" w:hAnsi="Times New Roman"/>
          <w:sz w:val="28"/>
          <w:szCs w:val="24"/>
          <w:lang w:eastAsia="ru-RU"/>
        </w:rPr>
        <w:t>В настоящее время на территории города Куйбышева Куйбышевского муниципального</w:t>
      </w:r>
      <w:r>
        <w:rPr>
          <w:rFonts w:ascii="Times New Roman" w:hAnsi="Times New Roman"/>
          <w:sz w:val="28"/>
          <w:szCs w:val="24"/>
          <w:lang w:eastAsia="ru-RU"/>
        </w:rPr>
        <w:t xml:space="preserve"> р</w:t>
      </w:r>
      <w:r w:rsidRPr="00015475">
        <w:rPr>
          <w:rFonts w:ascii="Times New Roman" w:hAnsi="Times New Roman"/>
          <w:sz w:val="28"/>
          <w:szCs w:val="24"/>
          <w:lang w:eastAsia="ru-RU"/>
        </w:rPr>
        <w:t>айона Новосибирской области теплоснабжение города осуществляется станцией ТЭЦ и 13-ю</w:t>
      </w:r>
      <w:r>
        <w:rPr>
          <w:rFonts w:ascii="Times New Roman" w:hAnsi="Times New Roman"/>
          <w:sz w:val="28"/>
          <w:szCs w:val="24"/>
          <w:lang w:eastAsia="ru-RU"/>
        </w:rPr>
        <w:t xml:space="preserve"> </w:t>
      </w:r>
      <w:r w:rsidRPr="00015475">
        <w:rPr>
          <w:rFonts w:ascii="Times New Roman" w:hAnsi="Times New Roman"/>
          <w:sz w:val="28"/>
          <w:szCs w:val="24"/>
          <w:lang w:eastAsia="ru-RU"/>
        </w:rPr>
        <w:t>малыми котельными</w:t>
      </w:r>
      <w:r>
        <w:rPr>
          <w:rFonts w:ascii="Times New Roman" w:hAnsi="Times New Roman"/>
          <w:sz w:val="28"/>
          <w:szCs w:val="24"/>
          <w:lang w:eastAsia="ru-RU"/>
        </w:rPr>
        <w:t xml:space="preserve">. </w:t>
      </w:r>
      <w:r w:rsidRPr="00015475">
        <w:rPr>
          <w:rFonts w:ascii="Times New Roman" w:hAnsi="Times New Roman"/>
          <w:sz w:val="28"/>
          <w:szCs w:val="24"/>
          <w:lang w:eastAsia="ru-RU"/>
        </w:rPr>
        <w:t>Из них 9</w:t>
      </w:r>
      <w:r>
        <w:rPr>
          <w:rFonts w:ascii="Times New Roman" w:hAnsi="Times New Roman"/>
          <w:sz w:val="28"/>
          <w:szCs w:val="24"/>
          <w:lang w:eastAsia="ru-RU"/>
        </w:rPr>
        <w:t xml:space="preserve"> </w:t>
      </w:r>
      <w:r w:rsidRPr="00015475">
        <w:rPr>
          <w:rFonts w:ascii="Times New Roman" w:hAnsi="Times New Roman"/>
          <w:sz w:val="28"/>
          <w:szCs w:val="24"/>
          <w:lang w:eastAsia="ru-RU"/>
        </w:rPr>
        <w:t xml:space="preserve">автономные и 4 </w:t>
      </w:r>
      <w:r>
        <w:rPr>
          <w:rFonts w:ascii="Times New Roman" w:hAnsi="Times New Roman"/>
          <w:sz w:val="28"/>
          <w:szCs w:val="24"/>
          <w:lang w:eastAsia="ru-RU"/>
        </w:rPr>
        <w:t>–</w:t>
      </w:r>
      <w:r w:rsidRPr="00015475">
        <w:rPr>
          <w:rFonts w:ascii="Times New Roman" w:hAnsi="Times New Roman"/>
          <w:sz w:val="28"/>
          <w:szCs w:val="24"/>
          <w:lang w:eastAsia="ru-RU"/>
        </w:rPr>
        <w:t xml:space="preserve"> производственные. Пять котельных имеют</w:t>
      </w:r>
      <w:r>
        <w:rPr>
          <w:rFonts w:ascii="Times New Roman" w:hAnsi="Times New Roman"/>
          <w:sz w:val="28"/>
          <w:szCs w:val="24"/>
          <w:lang w:eastAsia="ru-RU"/>
        </w:rPr>
        <w:t xml:space="preserve"> </w:t>
      </w:r>
      <w:r w:rsidRPr="00015475">
        <w:rPr>
          <w:rFonts w:ascii="Times New Roman" w:hAnsi="Times New Roman"/>
          <w:sz w:val="28"/>
          <w:szCs w:val="24"/>
          <w:lang w:eastAsia="ru-RU"/>
        </w:rPr>
        <w:t>максимальный процент износа. Котельная Звёздная передана в эксплуатацию с 2003 г., котельная</w:t>
      </w:r>
      <w:r>
        <w:rPr>
          <w:rFonts w:ascii="Times New Roman" w:hAnsi="Times New Roman"/>
          <w:sz w:val="28"/>
          <w:szCs w:val="24"/>
          <w:lang w:eastAsia="ru-RU"/>
        </w:rPr>
        <w:t xml:space="preserve"> </w:t>
      </w:r>
      <w:r w:rsidRPr="00015475">
        <w:rPr>
          <w:rFonts w:ascii="Times New Roman" w:hAnsi="Times New Roman"/>
          <w:sz w:val="28"/>
          <w:szCs w:val="24"/>
          <w:lang w:eastAsia="ru-RU"/>
        </w:rPr>
        <w:t xml:space="preserve">Тополёк </w:t>
      </w:r>
      <w:r>
        <w:rPr>
          <w:rFonts w:ascii="Times New Roman" w:hAnsi="Times New Roman"/>
          <w:sz w:val="28"/>
          <w:szCs w:val="24"/>
          <w:lang w:eastAsia="ru-RU"/>
        </w:rPr>
        <w:t>–</w:t>
      </w:r>
      <w:r w:rsidRPr="00015475">
        <w:rPr>
          <w:rFonts w:ascii="Times New Roman" w:hAnsi="Times New Roman"/>
          <w:sz w:val="28"/>
          <w:szCs w:val="24"/>
          <w:lang w:eastAsia="ru-RU"/>
        </w:rPr>
        <w:t xml:space="preserve"> с 2005</w:t>
      </w:r>
      <w:r>
        <w:rPr>
          <w:rFonts w:ascii="Times New Roman" w:hAnsi="Times New Roman"/>
          <w:sz w:val="28"/>
          <w:szCs w:val="24"/>
          <w:lang w:eastAsia="ru-RU"/>
        </w:rPr>
        <w:t xml:space="preserve"> </w:t>
      </w:r>
      <w:r w:rsidRPr="00015475">
        <w:rPr>
          <w:rFonts w:ascii="Times New Roman" w:hAnsi="Times New Roman"/>
          <w:sz w:val="28"/>
          <w:szCs w:val="24"/>
          <w:lang w:eastAsia="ru-RU"/>
        </w:rPr>
        <w:t xml:space="preserve">г. г., котельная Лыжная база </w:t>
      </w:r>
      <w:r>
        <w:rPr>
          <w:rFonts w:ascii="Times New Roman" w:hAnsi="Times New Roman"/>
          <w:sz w:val="28"/>
          <w:szCs w:val="24"/>
          <w:lang w:eastAsia="ru-RU"/>
        </w:rPr>
        <w:t>–</w:t>
      </w:r>
      <w:r w:rsidRPr="00015475">
        <w:rPr>
          <w:rFonts w:ascii="Times New Roman" w:hAnsi="Times New Roman"/>
          <w:sz w:val="28"/>
          <w:szCs w:val="24"/>
          <w:lang w:eastAsia="ru-RU"/>
        </w:rPr>
        <w:t xml:space="preserve"> с</w:t>
      </w:r>
      <w:r>
        <w:rPr>
          <w:rFonts w:ascii="Times New Roman" w:hAnsi="Times New Roman"/>
          <w:sz w:val="28"/>
          <w:szCs w:val="24"/>
          <w:lang w:eastAsia="ru-RU"/>
        </w:rPr>
        <w:t xml:space="preserve"> </w:t>
      </w:r>
      <w:r w:rsidRPr="00015475">
        <w:rPr>
          <w:rFonts w:ascii="Times New Roman" w:hAnsi="Times New Roman"/>
          <w:sz w:val="28"/>
          <w:szCs w:val="24"/>
          <w:lang w:eastAsia="ru-RU"/>
        </w:rPr>
        <w:t>2005 г., оборудование и здание имеют износ</w:t>
      </w:r>
      <w:r>
        <w:rPr>
          <w:rFonts w:ascii="Times New Roman" w:hAnsi="Times New Roman"/>
          <w:sz w:val="28"/>
          <w:szCs w:val="24"/>
          <w:lang w:eastAsia="ru-RU"/>
        </w:rPr>
        <w:t xml:space="preserve"> </w:t>
      </w:r>
      <w:r w:rsidRPr="00015475">
        <w:rPr>
          <w:rFonts w:ascii="Times New Roman" w:hAnsi="Times New Roman"/>
          <w:sz w:val="28"/>
          <w:szCs w:val="24"/>
          <w:lang w:eastAsia="ru-RU"/>
        </w:rPr>
        <w:t>более 58</w:t>
      </w:r>
      <w:r>
        <w:rPr>
          <w:rFonts w:ascii="Times New Roman" w:hAnsi="Times New Roman"/>
          <w:sz w:val="28"/>
          <w:szCs w:val="24"/>
          <w:lang w:eastAsia="ru-RU"/>
        </w:rPr>
        <w:t> </w:t>
      </w:r>
      <w:r w:rsidRPr="00015475">
        <w:rPr>
          <w:rFonts w:ascii="Times New Roman" w:hAnsi="Times New Roman"/>
          <w:sz w:val="28"/>
          <w:szCs w:val="24"/>
          <w:lang w:eastAsia="ru-RU"/>
        </w:rPr>
        <w:t>%, требуется замена оборудования, капитальный ремонт зданий. Протяженность</w:t>
      </w:r>
      <w:r>
        <w:rPr>
          <w:rFonts w:ascii="Times New Roman" w:hAnsi="Times New Roman"/>
          <w:sz w:val="28"/>
          <w:szCs w:val="24"/>
          <w:lang w:eastAsia="ru-RU"/>
        </w:rPr>
        <w:t xml:space="preserve"> </w:t>
      </w:r>
      <w:r w:rsidRPr="00015475">
        <w:rPr>
          <w:rFonts w:ascii="Times New Roman" w:hAnsi="Times New Roman"/>
          <w:sz w:val="28"/>
          <w:szCs w:val="24"/>
          <w:lang w:eastAsia="ru-RU"/>
        </w:rPr>
        <w:t>тепловых сетей</w:t>
      </w:r>
      <w:r>
        <w:rPr>
          <w:rFonts w:ascii="Times New Roman" w:hAnsi="Times New Roman"/>
          <w:sz w:val="28"/>
          <w:szCs w:val="24"/>
          <w:lang w:eastAsia="ru-RU"/>
        </w:rPr>
        <w:t xml:space="preserve"> –</w:t>
      </w:r>
      <w:r w:rsidRPr="00015475">
        <w:rPr>
          <w:rFonts w:ascii="Times New Roman" w:hAnsi="Times New Roman"/>
          <w:sz w:val="28"/>
          <w:szCs w:val="24"/>
          <w:lang w:eastAsia="ru-RU"/>
        </w:rPr>
        <w:t xml:space="preserve"> 60,113 км в двухтрубном исполнении, процент износа составляет 62</w:t>
      </w:r>
      <w:r>
        <w:rPr>
          <w:rFonts w:ascii="Times New Roman" w:hAnsi="Times New Roman"/>
          <w:sz w:val="28"/>
          <w:szCs w:val="24"/>
          <w:lang w:eastAsia="ru-RU"/>
        </w:rPr>
        <w:t> </w:t>
      </w:r>
      <w:r w:rsidRPr="00015475">
        <w:rPr>
          <w:rFonts w:ascii="Times New Roman" w:hAnsi="Times New Roman"/>
          <w:sz w:val="28"/>
          <w:szCs w:val="24"/>
          <w:lang w:eastAsia="ru-RU"/>
        </w:rPr>
        <w:t>%. Часть</w:t>
      </w:r>
      <w:r>
        <w:rPr>
          <w:rFonts w:ascii="Times New Roman" w:hAnsi="Times New Roman"/>
          <w:sz w:val="28"/>
          <w:szCs w:val="24"/>
          <w:lang w:eastAsia="ru-RU"/>
        </w:rPr>
        <w:t xml:space="preserve"> </w:t>
      </w:r>
      <w:r w:rsidRPr="00015475">
        <w:rPr>
          <w:rFonts w:ascii="Times New Roman" w:hAnsi="Times New Roman"/>
          <w:sz w:val="28"/>
          <w:szCs w:val="24"/>
          <w:lang w:eastAsia="ru-RU"/>
        </w:rPr>
        <w:t>стальных труб теплоснабжения уложены без лотков, что увеличивает потери тепла при</w:t>
      </w:r>
      <w:r>
        <w:rPr>
          <w:rFonts w:ascii="Times New Roman" w:hAnsi="Times New Roman"/>
          <w:sz w:val="28"/>
          <w:szCs w:val="24"/>
          <w:lang w:eastAsia="ru-RU"/>
        </w:rPr>
        <w:t xml:space="preserve"> </w:t>
      </w:r>
      <w:r w:rsidRPr="00015475">
        <w:rPr>
          <w:rFonts w:ascii="Times New Roman" w:hAnsi="Times New Roman"/>
          <w:sz w:val="28"/>
          <w:szCs w:val="24"/>
          <w:lang w:eastAsia="ru-RU"/>
        </w:rPr>
        <w:t>транспортировке к потребителям, необходима замена с устройством изоляции труб</w:t>
      </w:r>
      <w:r>
        <w:rPr>
          <w:rFonts w:ascii="Times New Roman" w:hAnsi="Times New Roman"/>
          <w:sz w:val="28"/>
          <w:szCs w:val="24"/>
          <w:lang w:eastAsia="ru-RU"/>
        </w:rPr>
        <w:t xml:space="preserve"> </w:t>
      </w:r>
      <w:r w:rsidRPr="00015475">
        <w:rPr>
          <w:rFonts w:ascii="Times New Roman" w:hAnsi="Times New Roman"/>
          <w:sz w:val="28"/>
          <w:szCs w:val="24"/>
          <w:lang w:eastAsia="ru-RU"/>
        </w:rPr>
        <w:t>современными теплоизоляционными материалами, что снизит потери теплоносителя. Также</w:t>
      </w:r>
      <w:r>
        <w:rPr>
          <w:rFonts w:ascii="Times New Roman" w:hAnsi="Times New Roman"/>
          <w:sz w:val="28"/>
          <w:szCs w:val="24"/>
          <w:lang w:eastAsia="ru-RU"/>
        </w:rPr>
        <w:t xml:space="preserve"> </w:t>
      </w:r>
      <w:r w:rsidRPr="00015475">
        <w:rPr>
          <w:rFonts w:ascii="Times New Roman" w:hAnsi="Times New Roman"/>
          <w:sz w:val="28"/>
          <w:szCs w:val="24"/>
          <w:lang w:eastAsia="ru-RU"/>
        </w:rPr>
        <w:t>требуется замена оборудования по вышеперечисленным котельным, что увеличит теплоотдачу от</w:t>
      </w:r>
      <w:r>
        <w:rPr>
          <w:rFonts w:ascii="Times New Roman" w:hAnsi="Times New Roman"/>
          <w:sz w:val="28"/>
          <w:szCs w:val="24"/>
          <w:lang w:eastAsia="ru-RU"/>
        </w:rPr>
        <w:t xml:space="preserve"> </w:t>
      </w:r>
      <w:r w:rsidRPr="00015475">
        <w:rPr>
          <w:rFonts w:ascii="Times New Roman" w:hAnsi="Times New Roman"/>
          <w:sz w:val="28"/>
          <w:szCs w:val="24"/>
          <w:lang w:eastAsia="ru-RU"/>
        </w:rPr>
        <w:t xml:space="preserve">котлов к потребителям, уменьшит затраты твёрдого топлива на производство 1 Гкал, </w:t>
      </w:r>
      <w:r>
        <w:rPr>
          <w:rFonts w:ascii="Times New Roman" w:hAnsi="Times New Roman"/>
          <w:sz w:val="28"/>
          <w:szCs w:val="24"/>
          <w:lang w:eastAsia="ru-RU"/>
        </w:rPr>
        <w:t>с</w:t>
      </w:r>
      <w:r w:rsidRPr="00015475">
        <w:rPr>
          <w:rFonts w:ascii="Times New Roman" w:hAnsi="Times New Roman"/>
          <w:sz w:val="28"/>
          <w:szCs w:val="24"/>
          <w:lang w:eastAsia="ru-RU"/>
        </w:rPr>
        <w:t>ледовательно и себестоимость. Для более точного учёта и контроля выработанной и отпущенной</w:t>
      </w:r>
      <w:r>
        <w:rPr>
          <w:rFonts w:ascii="Times New Roman" w:hAnsi="Times New Roman"/>
          <w:sz w:val="28"/>
          <w:szCs w:val="24"/>
          <w:lang w:eastAsia="ru-RU"/>
        </w:rPr>
        <w:t xml:space="preserve"> </w:t>
      </w:r>
      <w:r w:rsidRPr="00015475">
        <w:rPr>
          <w:rFonts w:ascii="Times New Roman" w:hAnsi="Times New Roman"/>
          <w:sz w:val="28"/>
          <w:szCs w:val="24"/>
          <w:lang w:eastAsia="ru-RU"/>
        </w:rPr>
        <w:t>тепловой энергии потребителям требуется установка приборов учёта.</w:t>
      </w:r>
    </w:p>
    <w:p w:rsidR="002D1E45" w:rsidRPr="001959E3" w:rsidRDefault="002D1E45" w:rsidP="00F6263C">
      <w:pPr>
        <w:autoSpaceDE w:val="0"/>
        <w:autoSpaceDN w:val="0"/>
        <w:adjustRightInd w:val="0"/>
        <w:spacing w:after="0" w:line="240" w:lineRule="auto"/>
        <w:ind w:firstLine="709"/>
        <w:jc w:val="right"/>
        <w:rPr>
          <w:rFonts w:ascii="Times New Roman" w:hAnsi="Times New Roman"/>
          <w:sz w:val="28"/>
          <w:szCs w:val="24"/>
          <w:lang w:eastAsia="ru-RU"/>
        </w:rPr>
      </w:pPr>
      <w:r w:rsidRPr="001959E3">
        <w:rPr>
          <w:rFonts w:ascii="Times New Roman" w:hAnsi="Times New Roman"/>
          <w:sz w:val="28"/>
          <w:szCs w:val="24"/>
          <w:lang w:eastAsia="ru-RU"/>
        </w:rPr>
        <w:t xml:space="preserve">Таблица </w:t>
      </w:r>
      <w:bookmarkStart w:id="159" w:name="Tbl_Kotel"/>
      <w:r w:rsidRPr="001959E3">
        <w:rPr>
          <w:rFonts w:ascii="Times New Roman" w:hAnsi="Times New Roman"/>
          <w:sz w:val="28"/>
          <w:szCs w:val="24"/>
        </w:rPr>
        <w:fldChar w:fldCharType="begin"/>
      </w:r>
      <w:r w:rsidRPr="001959E3">
        <w:rPr>
          <w:rFonts w:ascii="Times New Roman" w:hAnsi="Times New Roman"/>
          <w:sz w:val="28"/>
          <w:szCs w:val="24"/>
        </w:rPr>
        <w:instrText xml:space="preserve"> SEQ Таблица \* ARABIC </w:instrText>
      </w:r>
      <w:r w:rsidRPr="001959E3">
        <w:rPr>
          <w:rFonts w:ascii="Times New Roman" w:hAnsi="Times New Roman"/>
          <w:sz w:val="28"/>
          <w:szCs w:val="24"/>
        </w:rPr>
        <w:fldChar w:fldCharType="separate"/>
      </w:r>
      <w:r>
        <w:rPr>
          <w:rFonts w:ascii="Times New Roman" w:hAnsi="Times New Roman"/>
          <w:noProof/>
          <w:sz w:val="28"/>
          <w:szCs w:val="24"/>
        </w:rPr>
        <w:t>19</w:t>
      </w:r>
      <w:r w:rsidRPr="001959E3">
        <w:rPr>
          <w:rFonts w:ascii="Times New Roman" w:hAnsi="Times New Roman"/>
          <w:sz w:val="28"/>
          <w:szCs w:val="24"/>
        </w:rPr>
        <w:fldChar w:fldCharType="end"/>
      </w:r>
      <w:bookmarkEnd w:id="159"/>
    </w:p>
    <w:p w:rsidR="002D1E45" w:rsidRDefault="002D1E45" w:rsidP="006E1E8E">
      <w:pPr>
        <w:spacing w:after="120" w:line="240" w:lineRule="auto"/>
        <w:jc w:val="center"/>
        <w:rPr>
          <w:rFonts w:ascii="Times New Roman" w:hAnsi="Times New Roman"/>
          <w:sz w:val="28"/>
          <w:szCs w:val="28"/>
          <w:lang w:eastAsia="ru-RU"/>
        </w:rPr>
      </w:pPr>
      <w:r w:rsidRPr="0073718A">
        <w:rPr>
          <w:rFonts w:ascii="Times New Roman" w:hAnsi="Times New Roman"/>
          <w:sz w:val="28"/>
          <w:szCs w:val="28"/>
          <w:lang w:eastAsia="ru-RU"/>
        </w:rPr>
        <w:t xml:space="preserve">Основные производственные показатели </w:t>
      </w:r>
      <w:r>
        <w:rPr>
          <w:rFonts w:ascii="Times New Roman" w:hAnsi="Times New Roman"/>
          <w:sz w:val="28"/>
          <w:szCs w:val="28"/>
          <w:lang w:eastAsia="ru-RU"/>
        </w:rPr>
        <w:t xml:space="preserve">системы теплоснабжения </w:t>
      </w:r>
      <w:r w:rsidRPr="00486243">
        <w:rPr>
          <w:rFonts w:ascii="Times New Roman" w:hAnsi="Times New Roman"/>
          <w:sz w:val="28"/>
          <w:szCs w:val="28"/>
          <w:lang w:eastAsia="ru-RU"/>
        </w:rPr>
        <w:t xml:space="preserve">ООО </w:t>
      </w:r>
      <w:r>
        <w:rPr>
          <w:rFonts w:ascii="Times New Roman" w:hAnsi="Times New Roman"/>
          <w:sz w:val="28"/>
          <w:szCs w:val="28"/>
          <w:lang w:eastAsia="ru-RU"/>
        </w:rPr>
        <w:t>«</w:t>
      </w:r>
      <w:r w:rsidRPr="00486243">
        <w:rPr>
          <w:rFonts w:ascii="Times New Roman" w:hAnsi="Times New Roman"/>
          <w:sz w:val="28"/>
          <w:szCs w:val="28"/>
          <w:lang w:eastAsia="ru-RU"/>
        </w:rPr>
        <w:t>Энергетик»</w:t>
      </w:r>
    </w:p>
    <w:tbl>
      <w:tblPr>
        <w:tblW w:w="10409" w:type="dxa"/>
        <w:tblLayout w:type="fixed"/>
        <w:tblCellMar>
          <w:left w:w="0" w:type="dxa"/>
          <w:right w:w="0" w:type="dxa"/>
        </w:tblCellMar>
        <w:tblLook w:val="0000"/>
      </w:tblPr>
      <w:tblGrid>
        <w:gridCol w:w="2089"/>
        <w:gridCol w:w="1308"/>
        <w:gridCol w:w="1985"/>
        <w:gridCol w:w="1263"/>
        <w:gridCol w:w="1120"/>
        <w:gridCol w:w="1161"/>
        <w:gridCol w:w="1483"/>
      </w:tblGrid>
      <w:tr w:rsidR="002D1E45" w:rsidRPr="00486243" w:rsidTr="00B102A5">
        <w:trPr>
          <w:trHeight w:val="57"/>
        </w:trPr>
        <w:tc>
          <w:tcPr>
            <w:tcW w:w="2089" w:type="dxa"/>
            <w:tcBorders>
              <w:top w:val="single" w:sz="4" w:space="0" w:color="auto"/>
              <w:left w:val="single" w:sz="4" w:space="0" w:color="auto"/>
              <w:bottom w:val="nil"/>
              <w:right w:val="nil"/>
            </w:tcBorders>
            <w:shd w:val="clear" w:color="auto" w:fill="FFFFFF"/>
            <w:vAlign w:val="center"/>
          </w:tcPr>
          <w:p w:rsidR="002D1E45" w:rsidRPr="00486243" w:rsidRDefault="002D1E45" w:rsidP="00486243">
            <w:pPr>
              <w:spacing w:after="0" w:line="240" w:lineRule="auto"/>
              <w:jc w:val="center"/>
              <w:rPr>
                <w:rFonts w:ascii="Times New Roman" w:hAnsi="Times New Roman"/>
                <w:sz w:val="24"/>
                <w:szCs w:val="24"/>
                <w:lang w:eastAsia="ru-RU"/>
              </w:rPr>
            </w:pPr>
            <w:r w:rsidRPr="00486243">
              <w:rPr>
                <w:rFonts w:ascii="Times New Roman" w:hAnsi="Times New Roman"/>
                <w:color w:val="000000"/>
                <w:sz w:val="24"/>
                <w:szCs w:val="24"/>
                <w:lang w:eastAsia="ru-RU"/>
              </w:rPr>
              <w:t>Населённый пункт</w:t>
            </w:r>
          </w:p>
        </w:tc>
        <w:tc>
          <w:tcPr>
            <w:tcW w:w="1308" w:type="dxa"/>
            <w:tcBorders>
              <w:top w:val="single" w:sz="4" w:space="0" w:color="auto"/>
              <w:left w:val="single" w:sz="4" w:space="0" w:color="auto"/>
              <w:bottom w:val="nil"/>
              <w:right w:val="nil"/>
            </w:tcBorders>
            <w:shd w:val="clear" w:color="auto" w:fill="FFFFFF"/>
            <w:vAlign w:val="center"/>
          </w:tcPr>
          <w:p w:rsidR="002D1E45" w:rsidRPr="00486243" w:rsidRDefault="002D1E45" w:rsidP="00486243">
            <w:pPr>
              <w:spacing w:after="0" w:line="240" w:lineRule="auto"/>
              <w:jc w:val="center"/>
              <w:rPr>
                <w:rFonts w:ascii="Times New Roman" w:hAnsi="Times New Roman"/>
                <w:sz w:val="24"/>
                <w:szCs w:val="24"/>
                <w:lang w:eastAsia="ru-RU"/>
              </w:rPr>
            </w:pPr>
            <w:r w:rsidRPr="00486243">
              <w:rPr>
                <w:rFonts w:ascii="Times New Roman" w:hAnsi="Times New Roman"/>
                <w:color w:val="000000"/>
                <w:sz w:val="24"/>
                <w:szCs w:val="24"/>
                <w:lang w:eastAsia="ru-RU"/>
              </w:rPr>
              <w:t>Число источников теплоснабжения, ед.</w:t>
            </w:r>
          </w:p>
        </w:tc>
        <w:tc>
          <w:tcPr>
            <w:tcW w:w="1985" w:type="dxa"/>
            <w:tcBorders>
              <w:top w:val="single" w:sz="4" w:space="0" w:color="auto"/>
              <w:left w:val="single" w:sz="4" w:space="0" w:color="auto"/>
              <w:bottom w:val="nil"/>
              <w:right w:val="nil"/>
            </w:tcBorders>
            <w:shd w:val="clear" w:color="auto" w:fill="FFFFFF"/>
            <w:vAlign w:val="center"/>
          </w:tcPr>
          <w:p w:rsidR="002D1E45" w:rsidRPr="00486243" w:rsidRDefault="002D1E45" w:rsidP="00486243">
            <w:pPr>
              <w:spacing w:after="0" w:line="240" w:lineRule="auto"/>
              <w:jc w:val="center"/>
              <w:rPr>
                <w:rFonts w:ascii="Times New Roman" w:hAnsi="Times New Roman"/>
                <w:sz w:val="24"/>
                <w:szCs w:val="24"/>
                <w:lang w:eastAsia="ru-RU"/>
              </w:rPr>
            </w:pPr>
            <w:r w:rsidRPr="00486243">
              <w:rPr>
                <w:rFonts w:ascii="Times New Roman" w:hAnsi="Times New Roman"/>
                <w:color w:val="000000"/>
                <w:sz w:val="24"/>
                <w:szCs w:val="24"/>
                <w:lang w:eastAsia="ru-RU"/>
              </w:rPr>
              <w:t>Мощность централизо</w:t>
            </w:r>
            <w:r w:rsidRPr="00486243">
              <w:rPr>
                <w:rFonts w:ascii="Times New Roman" w:hAnsi="Times New Roman"/>
                <w:color w:val="000000"/>
                <w:sz w:val="24"/>
                <w:szCs w:val="24"/>
                <w:lang w:eastAsia="ru-RU"/>
              </w:rPr>
              <w:softHyphen/>
              <w:t>ванных источников теплоснабже</w:t>
            </w:r>
            <w:r w:rsidRPr="00486243">
              <w:rPr>
                <w:rFonts w:ascii="Times New Roman" w:hAnsi="Times New Roman"/>
                <w:color w:val="000000"/>
                <w:sz w:val="24"/>
                <w:szCs w:val="24"/>
                <w:lang w:eastAsia="ru-RU"/>
              </w:rPr>
              <w:softHyphen/>
              <w:t>ния, Гкал</w:t>
            </w:r>
          </w:p>
        </w:tc>
        <w:tc>
          <w:tcPr>
            <w:tcW w:w="1263" w:type="dxa"/>
            <w:tcBorders>
              <w:top w:val="single" w:sz="4" w:space="0" w:color="auto"/>
              <w:left w:val="single" w:sz="4" w:space="0" w:color="auto"/>
              <w:bottom w:val="nil"/>
              <w:right w:val="nil"/>
            </w:tcBorders>
            <w:shd w:val="clear" w:color="auto" w:fill="FFFFFF"/>
            <w:vAlign w:val="center"/>
          </w:tcPr>
          <w:p w:rsidR="002D1E45" w:rsidRPr="00486243" w:rsidRDefault="002D1E45" w:rsidP="00486243">
            <w:pPr>
              <w:spacing w:after="0" w:line="240" w:lineRule="auto"/>
              <w:jc w:val="center"/>
              <w:rPr>
                <w:rFonts w:ascii="Times New Roman" w:hAnsi="Times New Roman"/>
                <w:sz w:val="24"/>
                <w:szCs w:val="24"/>
                <w:lang w:eastAsia="ru-RU"/>
              </w:rPr>
            </w:pPr>
            <w:r w:rsidRPr="00486243">
              <w:rPr>
                <w:rFonts w:ascii="Times New Roman" w:hAnsi="Times New Roman"/>
                <w:color w:val="000000"/>
                <w:sz w:val="24"/>
                <w:szCs w:val="24"/>
                <w:lang w:eastAsia="ru-RU"/>
              </w:rPr>
              <w:t>Отпущено тепловой энергии за год, всего. Гкал</w:t>
            </w:r>
          </w:p>
        </w:tc>
        <w:tc>
          <w:tcPr>
            <w:tcW w:w="1120" w:type="dxa"/>
            <w:tcBorders>
              <w:top w:val="single" w:sz="4" w:space="0" w:color="auto"/>
              <w:left w:val="single" w:sz="4" w:space="0" w:color="auto"/>
              <w:bottom w:val="nil"/>
              <w:right w:val="nil"/>
            </w:tcBorders>
            <w:shd w:val="clear" w:color="auto" w:fill="FFFFFF"/>
            <w:vAlign w:val="center"/>
          </w:tcPr>
          <w:p w:rsidR="002D1E45" w:rsidRPr="00486243" w:rsidRDefault="002D1E45" w:rsidP="00486243">
            <w:pPr>
              <w:spacing w:after="0" w:line="240" w:lineRule="auto"/>
              <w:jc w:val="center"/>
              <w:rPr>
                <w:rFonts w:ascii="Times New Roman" w:hAnsi="Times New Roman"/>
                <w:sz w:val="24"/>
                <w:szCs w:val="24"/>
                <w:lang w:eastAsia="ru-RU"/>
              </w:rPr>
            </w:pPr>
            <w:r w:rsidRPr="00486243">
              <w:rPr>
                <w:rFonts w:ascii="Times New Roman" w:hAnsi="Times New Roman"/>
                <w:color w:val="000000"/>
                <w:sz w:val="24"/>
                <w:szCs w:val="24"/>
                <w:lang w:eastAsia="ru-RU"/>
              </w:rPr>
              <w:t>Протяженность</w:t>
            </w:r>
          </w:p>
          <w:p w:rsidR="002D1E45" w:rsidRPr="00486243" w:rsidRDefault="002D1E45" w:rsidP="00486243">
            <w:pPr>
              <w:spacing w:after="0" w:line="240" w:lineRule="auto"/>
              <w:jc w:val="center"/>
              <w:rPr>
                <w:rFonts w:ascii="Times New Roman" w:hAnsi="Times New Roman"/>
                <w:sz w:val="24"/>
                <w:szCs w:val="24"/>
                <w:lang w:eastAsia="ru-RU"/>
              </w:rPr>
            </w:pPr>
            <w:r w:rsidRPr="00486243">
              <w:rPr>
                <w:rFonts w:ascii="Times New Roman" w:hAnsi="Times New Roman"/>
                <w:color w:val="000000"/>
                <w:sz w:val="24"/>
                <w:szCs w:val="24"/>
                <w:lang w:eastAsia="ru-RU"/>
              </w:rPr>
              <w:t>тепловых</w:t>
            </w:r>
          </w:p>
          <w:p w:rsidR="002D1E45" w:rsidRPr="00486243" w:rsidRDefault="002D1E45" w:rsidP="00486243">
            <w:pPr>
              <w:spacing w:after="0" w:line="240" w:lineRule="auto"/>
              <w:jc w:val="center"/>
              <w:rPr>
                <w:rFonts w:ascii="Times New Roman" w:hAnsi="Times New Roman"/>
                <w:sz w:val="24"/>
                <w:szCs w:val="24"/>
                <w:lang w:eastAsia="ru-RU"/>
              </w:rPr>
            </w:pPr>
            <w:r w:rsidRPr="00486243">
              <w:rPr>
                <w:rFonts w:ascii="Times New Roman" w:hAnsi="Times New Roman"/>
                <w:color w:val="000000"/>
                <w:sz w:val="24"/>
                <w:szCs w:val="24"/>
                <w:lang w:eastAsia="ru-RU"/>
              </w:rPr>
              <w:t>сетей, км</w:t>
            </w:r>
          </w:p>
        </w:tc>
        <w:tc>
          <w:tcPr>
            <w:tcW w:w="1161" w:type="dxa"/>
            <w:tcBorders>
              <w:top w:val="single" w:sz="4" w:space="0" w:color="auto"/>
              <w:left w:val="single" w:sz="4" w:space="0" w:color="auto"/>
              <w:bottom w:val="nil"/>
              <w:right w:val="nil"/>
            </w:tcBorders>
            <w:shd w:val="clear" w:color="auto" w:fill="FFFFFF"/>
            <w:vAlign w:val="center"/>
          </w:tcPr>
          <w:p w:rsidR="002D1E45" w:rsidRPr="00486243" w:rsidRDefault="002D1E45" w:rsidP="00486243">
            <w:pPr>
              <w:spacing w:after="0" w:line="240" w:lineRule="auto"/>
              <w:jc w:val="center"/>
              <w:rPr>
                <w:rFonts w:ascii="Times New Roman" w:hAnsi="Times New Roman"/>
                <w:sz w:val="24"/>
                <w:szCs w:val="24"/>
                <w:lang w:eastAsia="ru-RU"/>
              </w:rPr>
            </w:pPr>
            <w:r w:rsidRPr="00486243">
              <w:rPr>
                <w:rFonts w:ascii="Times New Roman" w:hAnsi="Times New Roman"/>
                <w:color w:val="000000"/>
                <w:sz w:val="24"/>
                <w:szCs w:val="24"/>
                <w:lang w:eastAsia="ru-RU"/>
              </w:rPr>
              <w:t>В том числе нуждаю</w:t>
            </w:r>
            <w:r w:rsidRPr="00486243">
              <w:rPr>
                <w:rFonts w:ascii="Times New Roman" w:hAnsi="Times New Roman"/>
                <w:color w:val="000000"/>
                <w:sz w:val="24"/>
                <w:szCs w:val="24"/>
                <w:lang w:eastAsia="ru-RU"/>
              </w:rPr>
              <w:softHyphen/>
              <w:t>щихся в замене, км</w:t>
            </w:r>
          </w:p>
        </w:tc>
        <w:tc>
          <w:tcPr>
            <w:tcW w:w="1483" w:type="dxa"/>
            <w:tcBorders>
              <w:top w:val="single" w:sz="4" w:space="0" w:color="auto"/>
              <w:left w:val="single" w:sz="4" w:space="0" w:color="auto"/>
              <w:bottom w:val="nil"/>
              <w:right w:val="single" w:sz="4" w:space="0" w:color="auto"/>
            </w:tcBorders>
            <w:shd w:val="clear" w:color="auto" w:fill="FFFFFF"/>
            <w:vAlign w:val="center"/>
          </w:tcPr>
          <w:p w:rsidR="002D1E45" w:rsidRPr="00486243" w:rsidRDefault="002D1E45" w:rsidP="00486243">
            <w:pPr>
              <w:spacing w:after="0" w:line="240" w:lineRule="auto"/>
              <w:jc w:val="center"/>
              <w:rPr>
                <w:rFonts w:ascii="Times New Roman" w:hAnsi="Times New Roman"/>
                <w:sz w:val="24"/>
                <w:szCs w:val="24"/>
                <w:lang w:eastAsia="ru-RU"/>
              </w:rPr>
            </w:pPr>
            <w:r w:rsidRPr="00486243">
              <w:rPr>
                <w:rFonts w:ascii="Times New Roman" w:hAnsi="Times New Roman"/>
                <w:color w:val="000000"/>
                <w:sz w:val="24"/>
                <w:szCs w:val="24"/>
                <w:lang w:eastAsia="ru-RU"/>
              </w:rPr>
              <w:t>Доля тепловых сетей, нуждающихся в замене, %</w:t>
            </w:r>
          </w:p>
        </w:tc>
      </w:tr>
      <w:tr w:rsidR="002D1E45" w:rsidRPr="00486243" w:rsidTr="00B102A5">
        <w:trPr>
          <w:trHeight w:val="57"/>
        </w:trPr>
        <w:tc>
          <w:tcPr>
            <w:tcW w:w="2089" w:type="dxa"/>
            <w:tcBorders>
              <w:top w:val="single" w:sz="4" w:space="0" w:color="auto"/>
              <w:left w:val="single" w:sz="4" w:space="0" w:color="auto"/>
              <w:bottom w:val="single" w:sz="4" w:space="0" w:color="auto"/>
              <w:right w:val="nil"/>
            </w:tcBorders>
            <w:shd w:val="clear" w:color="auto" w:fill="FFFFFF"/>
            <w:vAlign w:val="center"/>
          </w:tcPr>
          <w:p w:rsidR="002D1E45" w:rsidRPr="00486243" w:rsidRDefault="002D1E45" w:rsidP="00486243">
            <w:pPr>
              <w:spacing w:after="0" w:line="240" w:lineRule="auto"/>
              <w:ind w:right="106"/>
              <w:rPr>
                <w:rFonts w:ascii="Times New Roman" w:hAnsi="Times New Roman"/>
                <w:sz w:val="24"/>
                <w:szCs w:val="24"/>
                <w:lang w:eastAsia="ru-RU"/>
              </w:rPr>
            </w:pPr>
            <w:r w:rsidRPr="00486243">
              <w:rPr>
                <w:rFonts w:ascii="Times New Roman" w:hAnsi="Times New Roman"/>
                <w:color w:val="000000"/>
                <w:sz w:val="24"/>
                <w:szCs w:val="24"/>
                <w:lang w:eastAsia="ru-RU"/>
              </w:rPr>
              <w:t>г. Куйбышев</w:t>
            </w:r>
          </w:p>
        </w:tc>
        <w:tc>
          <w:tcPr>
            <w:tcW w:w="1308" w:type="dxa"/>
            <w:tcBorders>
              <w:top w:val="single" w:sz="4" w:space="0" w:color="auto"/>
              <w:left w:val="single" w:sz="4" w:space="0" w:color="auto"/>
              <w:bottom w:val="single" w:sz="4" w:space="0" w:color="auto"/>
              <w:right w:val="nil"/>
            </w:tcBorders>
            <w:shd w:val="clear" w:color="auto" w:fill="FFFFFF"/>
            <w:vAlign w:val="center"/>
          </w:tcPr>
          <w:p w:rsidR="002D1E45" w:rsidRPr="00486243" w:rsidRDefault="002D1E45" w:rsidP="00486243">
            <w:pPr>
              <w:spacing w:after="0" w:line="240" w:lineRule="auto"/>
              <w:jc w:val="center"/>
              <w:rPr>
                <w:rFonts w:ascii="Times New Roman" w:hAnsi="Times New Roman"/>
                <w:sz w:val="24"/>
                <w:szCs w:val="24"/>
                <w:lang w:eastAsia="ru-RU"/>
              </w:rPr>
            </w:pPr>
            <w:r w:rsidRPr="00486243">
              <w:rPr>
                <w:rFonts w:ascii="Times New Roman" w:hAnsi="Times New Roman"/>
                <w:color w:val="000000"/>
                <w:sz w:val="24"/>
                <w:szCs w:val="24"/>
                <w:lang w:eastAsia="ru-RU"/>
              </w:rPr>
              <w:t>7</w:t>
            </w:r>
          </w:p>
        </w:tc>
        <w:tc>
          <w:tcPr>
            <w:tcW w:w="1985" w:type="dxa"/>
            <w:tcBorders>
              <w:top w:val="single" w:sz="4" w:space="0" w:color="auto"/>
              <w:left w:val="single" w:sz="4" w:space="0" w:color="auto"/>
              <w:bottom w:val="single" w:sz="4" w:space="0" w:color="auto"/>
              <w:right w:val="nil"/>
            </w:tcBorders>
            <w:shd w:val="clear" w:color="auto" w:fill="FFFFFF"/>
            <w:vAlign w:val="center"/>
          </w:tcPr>
          <w:p w:rsidR="002D1E45" w:rsidRPr="00486243" w:rsidRDefault="002D1E45" w:rsidP="00486243">
            <w:pPr>
              <w:spacing w:after="0" w:line="240" w:lineRule="auto"/>
              <w:jc w:val="center"/>
              <w:rPr>
                <w:rFonts w:ascii="Times New Roman" w:hAnsi="Times New Roman"/>
                <w:sz w:val="24"/>
                <w:szCs w:val="24"/>
                <w:lang w:eastAsia="ru-RU"/>
              </w:rPr>
            </w:pPr>
            <w:r w:rsidRPr="00486243">
              <w:rPr>
                <w:rFonts w:ascii="Times New Roman" w:hAnsi="Times New Roman"/>
                <w:color w:val="000000"/>
                <w:sz w:val="24"/>
                <w:szCs w:val="24"/>
                <w:lang w:eastAsia="ru-RU"/>
              </w:rPr>
              <w:t>9</w:t>
            </w:r>
            <w:r>
              <w:rPr>
                <w:rFonts w:ascii="Times New Roman" w:hAnsi="Times New Roman"/>
                <w:color w:val="000000"/>
                <w:sz w:val="24"/>
                <w:szCs w:val="24"/>
                <w:lang w:eastAsia="ru-RU"/>
              </w:rPr>
              <w:t>,</w:t>
            </w:r>
            <w:r w:rsidRPr="00486243">
              <w:rPr>
                <w:rFonts w:ascii="Times New Roman" w:hAnsi="Times New Roman"/>
                <w:color w:val="000000"/>
                <w:sz w:val="24"/>
                <w:szCs w:val="24"/>
                <w:lang w:eastAsia="ru-RU"/>
              </w:rPr>
              <w:t>05</w:t>
            </w:r>
          </w:p>
        </w:tc>
        <w:tc>
          <w:tcPr>
            <w:tcW w:w="1263" w:type="dxa"/>
            <w:tcBorders>
              <w:top w:val="single" w:sz="4" w:space="0" w:color="auto"/>
              <w:left w:val="single" w:sz="4" w:space="0" w:color="auto"/>
              <w:bottom w:val="single" w:sz="4" w:space="0" w:color="auto"/>
              <w:right w:val="nil"/>
            </w:tcBorders>
            <w:shd w:val="clear" w:color="auto" w:fill="FFFFFF"/>
            <w:vAlign w:val="center"/>
          </w:tcPr>
          <w:p w:rsidR="002D1E45" w:rsidRPr="00486243" w:rsidRDefault="002D1E45" w:rsidP="00486243">
            <w:pPr>
              <w:tabs>
                <w:tab w:val="left" w:leader="hyphen" w:pos="1872"/>
                <w:tab w:val="left" w:leader="hyphen" w:pos="2118"/>
                <w:tab w:val="left" w:leader="hyphen" w:pos="2490"/>
              </w:tabs>
              <w:spacing w:after="0" w:line="240" w:lineRule="auto"/>
              <w:jc w:val="center"/>
              <w:rPr>
                <w:rFonts w:ascii="Times New Roman" w:hAnsi="Times New Roman"/>
                <w:sz w:val="24"/>
                <w:szCs w:val="24"/>
                <w:lang w:eastAsia="ru-RU"/>
              </w:rPr>
            </w:pPr>
            <w:r w:rsidRPr="00486243">
              <w:rPr>
                <w:rFonts w:ascii="Times New Roman" w:hAnsi="Times New Roman"/>
                <w:color w:val="000000"/>
                <w:sz w:val="24"/>
                <w:szCs w:val="24"/>
                <w:lang w:eastAsia="ru-RU"/>
              </w:rPr>
              <w:t>7</w:t>
            </w:r>
            <w:r>
              <w:rPr>
                <w:rFonts w:ascii="Times New Roman" w:hAnsi="Times New Roman"/>
                <w:color w:val="000000"/>
                <w:sz w:val="24"/>
                <w:szCs w:val="24"/>
                <w:lang w:eastAsia="ru-RU"/>
              </w:rPr>
              <w:t xml:space="preserve"> </w:t>
            </w:r>
            <w:r w:rsidRPr="00486243">
              <w:rPr>
                <w:rFonts w:ascii="Times New Roman" w:hAnsi="Times New Roman"/>
                <w:color w:val="000000"/>
                <w:sz w:val="24"/>
                <w:szCs w:val="24"/>
                <w:lang w:eastAsia="ru-RU"/>
              </w:rPr>
              <w:t>186,4363</w:t>
            </w:r>
          </w:p>
        </w:tc>
        <w:tc>
          <w:tcPr>
            <w:tcW w:w="1120" w:type="dxa"/>
            <w:tcBorders>
              <w:top w:val="single" w:sz="4" w:space="0" w:color="auto"/>
              <w:left w:val="single" w:sz="4" w:space="0" w:color="auto"/>
              <w:bottom w:val="single" w:sz="4" w:space="0" w:color="auto"/>
              <w:right w:val="nil"/>
            </w:tcBorders>
            <w:shd w:val="clear" w:color="auto" w:fill="FFFFFF"/>
            <w:vAlign w:val="center"/>
          </w:tcPr>
          <w:p w:rsidR="002D1E45" w:rsidRPr="00486243" w:rsidRDefault="002D1E45" w:rsidP="00486243">
            <w:pPr>
              <w:spacing w:after="0" w:line="240" w:lineRule="auto"/>
              <w:jc w:val="center"/>
              <w:rPr>
                <w:rFonts w:ascii="Times New Roman" w:hAnsi="Times New Roman"/>
                <w:sz w:val="24"/>
                <w:szCs w:val="24"/>
                <w:lang w:eastAsia="ru-RU"/>
              </w:rPr>
            </w:pPr>
            <w:r w:rsidRPr="00486243">
              <w:rPr>
                <w:rFonts w:ascii="Times New Roman" w:hAnsi="Times New Roman"/>
                <w:color w:val="000000"/>
                <w:sz w:val="24"/>
                <w:szCs w:val="24"/>
                <w:lang w:eastAsia="ru-RU"/>
              </w:rPr>
              <w:t>2</w:t>
            </w:r>
            <w:r>
              <w:rPr>
                <w:rFonts w:ascii="Times New Roman" w:hAnsi="Times New Roman"/>
                <w:color w:val="000000"/>
                <w:sz w:val="24"/>
                <w:szCs w:val="24"/>
                <w:lang w:eastAsia="ru-RU"/>
              </w:rPr>
              <w:t>,</w:t>
            </w:r>
            <w:r w:rsidRPr="00486243">
              <w:rPr>
                <w:rFonts w:ascii="Times New Roman" w:hAnsi="Times New Roman"/>
                <w:color w:val="000000"/>
                <w:sz w:val="24"/>
                <w:szCs w:val="24"/>
                <w:lang w:eastAsia="ru-RU"/>
              </w:rPr>
              <w:t>48</w:t>
            </w:r>
          </w:p>
        </w:tc>
        <w:tc>
          <w:tcPr>
            <w:tcW w:w="1161" w:type="dxa"/>
            <w:tcBorders>
              <w:top w:val="single" w:sz="4" w:space="0" w:color="auto"/>
              <w:left w:val="single" w:sz="4" w:space="0" w:color="auto"/>
              <w:bottom w:val="single" w:sz="4" w:space="0" w:color="auto"/>
              <w:right w:val="nil"/>
            </w:tcBorders>
            <w:shd w:val="clear" w:color="auto" w:fill="FFFFFF"/>
            <w:vAlign w:val="center"/>
          </w:tcPr>
          <w:p w:rsidR="002D1E45" w:rsidRPr="00486243" w:rsidRDefault="002D1E45" w:rsidP="00486243">
            <w:pPr>
              <w:spacing w:after="0" w:line="240" w:lineRule="auto"/>
              <w:jc w:val="center"/>
              <w:rPr>
                <w:rFonts w:ascii="Times New Roman" w:hAnsi="Times New Roman"/>
                <w:sz w:val="24"/>
                <w:szCs w:val="24"/>
                <w:lang w:eastAsia="ru-RU"/>
              </w:rPr>
            </w:pPr>
            <w:r w:rsidRPr="00486243">
              <w:rPr>
                <w:rFonts w:ascii="Times New Roman" w:hAnsi="Times New Roman"/>
                <w:color w:val="000000"/>
                <w:sz w:val="24"/>
                <w:szCs w:val="24"/>
                <w:lang w:eastAsia="ru-RU"/>
              </w:rPr>
              <w:t>1,23</w:t>
            </w:r>
          </w:p>
        </w:tc>
        <w:tc>
          <w:tcPr>
            <w:tcW w:w="1483"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486243" w:rsidRDefault="002D1E45" w:rsidP="00486243">
            <w:pPr>
              <w:spacing w:after="0" w:line="240" w:lineRule="auto"/>
              <w:jc w:val="center"/>
              <w:rPr>
                <w:rFonts w:ascii="Times New Roman" w:hAnsi="Times New Roman"/>
                <w:sz w:val="24"/>
                <w:szCs w:val="24"/>
                <w:lang w:eastAsia="ru-RU"/>
              </w:rPr>
            </w:pPr>
            <w:r w:rsidRPr="00486243">
              <w:rPr>
                <w:rFonts w:ascii="Times New Roman" w:hAnsi="Times New Roman"/>
                <w:color w:val="000000"/>
                <w:sz w:val="24"/>
                <w:szCs w:val="24"/>
                <w:lang w:eastAsia="ru-RU"/>
              </w:rPr>
              <w:t>49,4</w:t>
            </w:r>
          </w:p>
        </w:tc>
      </w:tr>
    </w:tbl>
    <w:p w:rsidR="002D1E45" w:rsidRPr="001959E3" w:rsidRDefault="002D1E45" w:rsidP="00486243">
      <w:pPr>
        <w:autoSpaceDE w:val="0"/>
        <w:autoSpaceDN w:val="0"/>
        <w:adjustRightInd w:val="0"/>
        <w:spacing w:after="0" w:line="240" w:lineRule="auto"/>
        <w:ind w:firstLine="709"/>
        <w:jc w:val="right"/>
        <w:rPr>
          <w:rFonts w:ascii="Times New Roman" w:hAnsi="Times New Roman"/>
          <w:sz w:val="28"/>
          <w:szCs w:val="24"/>
          <w:lang w:eastAsia="ru-RU"/>
        </w:rPr>
      </w:pPr>
      <w:r w:rsidRPr="001959E3">
        <w:rPr>
          <w:rFonts w:ascii="Times New Roman" w:hAnsi="Times New Roman"/>
          <w:sz w:val="28"/>
          <w:szCs w:val="24"/>
          <w:lang w:eastAsia="ru-RU"/>
        </w:rPr>
        <w:t xml:space="preserve">Таблица </w:t>
      </w:r>
      <w:r w:rsidRPr="001959E3">
        <w:rPr>
          <w:rFonts w:ascii="Times New Roman" w:hAnsi="Times New Roman"/>
          <w:sz w:val="28"/>
          <w:szCs w:val="24"/>
        </w:rPr>
        <w:fldChar w:fldCharType="begin"/>
      </w:r>
      <w:r w:rsidRPr="001959E3">
        <w:rPr>
          <w:rFonts w:ascii="Times New Roman" w:hAnsi="Times New Roman"/>
          <w:sz w:val="28"/>
          <w:szCs w:val="24"/>
        </w:rPr>
        <w:instrText xml:space="preserve"> SEQ Таблица \* ARABIC </w:instrText>
      </w:r>
      <w:r w:rsidRPr="001959E3">
        <w:rPr>
          <w:rFonts w:ascii="Times New Roman" w:hAnsi="Times New Roman"/>
          <w:sz w:val="28"/>
          <w:szCs w:val="24"/>
        </w:rPr>
        <w:fldChar w:fldCharType="separate"/>
      </w:r>
      <w:r>
        <w:rPr>
          <w:rFonts w:ascii="Times New Roman" w:hAnsi="Times New Roman"/>
          <w:noProof/>
          <w:sz w:val="28"/>
          <w:szCs w:val="24"/>
        </w:rPr>
        <w:t>20</w:t>
      </w:r>
      <w:r w:rsidRPr="001959E3">
        <w:rPr>
          <w:rFonts w:ascii="Times New Roman" w:hAnsi="Times New Roman"/>
          <w:sz w:val="28"/>
          <w:szCs w:val="24"/>
        </w:rPr>
        <w:fldChar w:fldCharType="end"/>
      </w:r>
    </w:p>
    <w:p w:rsidR="002D1E45" w:rsidRDefault="002D1E45" w:rsidP="00486243">
      <w:pPr>
        <w:spacing w:after="120" w:line="240" w:lineRule="auto"/>
        <w:jc w:val="center"/>
        <w:rPr>
          <w:rFonts w:ascii="Times New Roman" w:hAnsi="Times New Roman"/>
          <w:sz w:val="28"/>
          <w:szCs w:val="28"/>
          <w:lang w:eastAsia="ru-RU"/>
        </w:rPr>
      </w:pPr>
      <w:r w:rsidRPr="0073718A">
        <w:rPr>
          <w:rFonts w:ascii="Times New Roman" w:hAnsi="Times New Roman"/>
          <w:sz w:val="28"/>
          <w:szCs w:val="28"/>
          <w:lang w:eastAsia="ru-RU"/>
        </w:rPr>
        <w:t xml:space="preserve">Основные производственные показатели </w:t>
      </w:r>
      <w:r>
        <w:rPr>
          <w:rFonts w:ascii="Times New Roman" w:hAnsi="Times New Roman"/>
          <w:sz w:val="28"/>
          <w:szCs w:val="28"/>
          <w:lang w:eastAsia="ru-RU"/>
        </w:rPr>
        <w:t xml:space="preserve">системы теплоснабжения </w:t>
      </w:r>
      <w:r w:rsidRPr="00486243">
        <w:rPr>
          <w:rFonts w:ascii="Times New Roman" w:hAnsi="Times New Roman"/>
          <w:sz w:val="28"/>
          <w:szCs w:val="28"/>
          <w:lang w:eastAsia="ru-RU"/>
        </w:rPr>
        <w:t>ТЭЦ АО «СИБЭКО»</w:t>
      </w:r>
    </w:p>
    <w:tbl>
      <w:tblPr>
        <w:tblW w:w="0" w:type="auto"/>
        <w:jc w:val="center"/>
        <w:tblLayout w:type="fixed"/>
        <w:tblCellMar>
          <w:left w:w="0" w:type="dxa"/>
          <w:right w:w="0" w:type="dxa"/>
        </w:tblCellMar>
        <w:tblLook w:val="0000"/>
      </w:tblPr>
      <w:tblGrid>
        <w:gridCol w:w="2201"/>
        <w:gridCol w:w="1291"/>
        <w:gridCol w:w="1448"/>
        <w:gridCol w:w="1444"/>
        <w:gridCol w:w="1250"/>
        <w:gridCol w:w="1189"/>
        <w:gridCol w:w="1372"/>
      </w:tblGrid>
      <w:tr w:rsidR="002D1E45" w:rsidRPr="00486243" w:rsidTr="00486243">
        <w:trPr>
          <w:trHeight w:val="57"/>
          <w:jc w:val="center"/>
        </w:trPr>
        <w:tc>
          <w:tcPr>
            <w:tcW w:w="2201" w:type="dxa"/>
            <w:tcBorders>
              <w:top w:val="single" w:sz="4" w:space="0" w:color="auto"/>
              <w:left w:val="single" w:sz="4" w:space="0" w:color="auto"/>
              <w:bottom w:val="nil"/>
              <w:right w:val="nil"/>
            </w:tcBorders>
            <w:shd w:val="clear" w:color="auto" w:fill="FFFFFF"/>
            <w:vAlign w:val="center"/>
          </w:tcPr>
          <w:p w:rsidR="002D1E45" w:rsidRPr="00486243" w:rsidRDefault="002D1E45" w:rsidP="00486243">
            <w:pPr>
              <w:spacing w:after="0" w:line="240" w:lineRule="auto"/>
              <w:jc w:val="center"/>
              <w:rPr>
                <w:rFonts w:ascii="Times New Roman" w:hAnsi="Times New Roman"/>
                <w:sz w:val="24"/>
                <w:szCs w:val="24"/>
                <w:lang w:eastAsia="ru-RU"/>
              </w:rPr>
            </w:pPr>
            <w:r w:rsidRPr="00486243">
              <w:rPr>
                <w:rFonts w:ascii="Times New Roman" w:hAnsi="Times New Roman"/>
                <w:color w:val="000000"/>
                <w:sz w:val="24"/>
                <w:szCs w:val="24"/>
                <w:lang w:eastAsia="ru-RU"/>
              </w:rPr>
              <w:t>Населённый пункт</w:t>
            </w:r>
          </w:p>
        </w:tc>
        <w:tc>
          <w:tcPr>
            <w:tcW w:w="1291" w:type="dxa"/>
            <w:tcBorders>
              <w:top w:val="single" w:sz="4" w:space="0" w:color="auto"/>
              <w:left w:val="single" w:sz="4" w:space="0" w:color="auto"/>
              <w:bottom w:val="nil"/>
              <w:right w:val="nil"/>
            </w:tcBorders>
            <w:shd w:val="clear" w:color="auto" w:fill="FFFFFF"/>
            <w:vAlign w:val="center"/>
          </w:tcPr>
          <w:p w:rsidR="002D1E45" w:rsidRPr="00486243" w:rsidRDefault="002D1E45" w:rsidP="00486243">
            <w:pPr>
              <w:spacing w:after="0" w:line="240" w:lineRule="auto"/>
              <w:jc w:val="center"/>
              <w:rPr>
                <w:rFonts w:ascii="Times New Roman" w:hAnsi="Times New Roman"/>
                <w:sz w:val="24"/>
                <w:szCs w:val="24"/>
                <w:lang w:eastAsia="ru-RU"/>
              </w:rPr>
            </w:pPr>
            <w:r w:rsidRPr="00486243">
              <w:rPr>
                <w:rFonts w:ascii="Times New Roman" w:hAnsi="Times New Roman"/>
                <w:color w:val="000000"/>
                <w:sz w:val="24"/>
                <w:szCs w:val="24"/>
                <w:lang w:eastAsia="ru-RU"/>
              </w:rPr>
              <w:t>Число источ</w:t>
            </w:r>
            <w:r w:rsidRPr="00486243">
              <w:rPr>
                <w:rFonts w:ascii="Times New Roman" w:hAnsi="Times New Roman"/>
                <w:color w:val="000000"/>
                <w:sz w:val="24"/>
                <w:szCs w:val="24"/>
                <w:lang w:eastAsia="ru-RU"/>
              </w:rPr>
              <w:softHyphen/>
              <w:t>ников тепло</w:t>
            </w:r>
            <w:r w:rsidRPr="00486243">
              <w:rPr>
                <w:rFonts w:ascii="Times New Roman" w:hAnsi="Times New Roman"/>
                <w:color w:val="000000"/>
                <w:sz w:val="24"/>
                <w:szCs w:val="24"/>
                <w:lang w:eastAsia="ru-RU"/>
              </w:rPr>
              <w:softHyphen/>
              <w:t xml:space="preserve">снабжения, </w:t>
            </w:r>
            <w:r>
              <w:rPr>
                <w:rFonts w:ascii="Times New Roman" w:hAnsi="Times New Roman"/>
                <w:color w:val="000000"/>
                <w:sz w:val="24"/>
                <w:szCs w:val="24"/>
                <w:lang w:eastAsia="ru-RU"/>
              </w:rPr>
              <w:t>ед</w:t>
            </w:r>
            <w:r w:rsidRPr="00486243">
              <w:rPr>
                <w:rFonts w:ascii="Times New Roman" w:hAnsi="Times New Roman"/>
                <w:color w:val="000000"/>
                <w:sz w:val="24"/>
                <w:szCs w:val="24"/>
                <w:lang w:eastAsia="ru-RU"/>
              </w:rPr>
              <w:t>.</w:t>
            </w:r>
          </w:p>
        </w:tc>
        <w:tc>
          <w:tcPr>
            <w:tcW w:w="1448" w:type="dxa"/>
            <w:tcBorders>
              <w:top w:val="single" w:sz="4" w:space="0" w:color="auto"/>
              <w:left w:val="single" w:sz="4" w:space="0" w:color="auto"/>
              <w:bottom w:val="nil"/>
              <w:right w:val="nil"/>
            </w:tcBorders>
            <w:shd w:val="clear" w:color="auto" w:fill="FFFFFF"/>
            <w:vAlign w:val="center"/>
          </w:tcPr>
          <w:p w:rsidR="002D1E45" w:rsidRPr="00486243" w:rsidRDefault="002D1E45" w:rsidP="00486243">
            <w:pPr>
              <w:spacing w:after="0" w:line="240" w:lineRule="auto"/>
              <w:jc w:val="center"/>
              <w:rPr>
                <w:rFonts w:ascii="Times New Roman" w:hAnsi="Times New Roman"/>
                <w:sz w:val="24"/>
                <w:szCs w:val="24"/>
                <w:lang w:eastAsia="ru-RU"/>
              </w:rPr>
            </w:pPr>
            <w:r w:rsidRPr="00486243">
              <w:rPr>
                <w:rFonts w:ascii="Times New Roman" w:hAnsi="Times New Roman"/>
                <w:color w:val="000000"/>
                <w:sz w:val="24"/>
                <w:szCs w:val="24"/>
                <w:lang w:eastAsia="ru-RU"/>
              </w:rPr>
              <w:t>Мощность централизо</w:t>
            </w:r>
            <w:r w:rsidRPr="00486243">
              <w:rPr>
                <w:rFonts w:ascii="Times New Roman" w:hAnsi="Times New Roman"/>
                <w:color w:val="000000"/>
                <w:sz w:val="24"/>
                <w:szCs w:val="24"/>
                <w:lang w:eastAsia="ru-RU"/>
              </w:rPr>
              <w:softHyphen/>
              <w:t xml:space="preserve">ванных </w:t>
            </w:r>
            <w:r>
              <w:rPr>
                <w:rFonts w:ascii="Times New Roman" w:hAnsi="Times New Roman"/>
                <w:color w:val="000000"/>
                <w:sz w:val="24"/>
                <w:szCs w:val="24"/>
                <w:lang w:eastAsia="ru-RU"/>
              </w:rPr>
              <w:t>источников</w:t>
            </w:r>
            <w:r w:rsidRPr="00486243">
              <w:rPr>
                <w:rFonts w:ascii="Times New Roman" w:hAnsi="Times New Roman"/>
                <w:color w:val="000000"/>
                <w:sz w:val="24"/>
                <w:szCs w:val="24"/>
                <w:lang w:eastAsia="ru-RU"/>
              </w:rPr>
              <w:t xml:space="preserve"> теплоснабже</w:t>
            </w:r>
            <w:r w:rsidRPr="00486243">
              <w:rPr>
                <w:rFonts w:ascii="Times New Roman" w:hAnsi="Times New Roman"/>
                <w:color w:val="000000"/>
                <w:sz w:val="24"/>
                <w:szCs w:val="24"/>
                <w:lang w:eastAsia="ru-RU"/>
              </w:rPr>
              <w:softHyphen/>
              <w:t>нии. Гкал</w:t>
            </w:r>
          </w:p>
        </w:tc>
        <w:tc>
          <w:tcPr>
            <w:tcW w:w="1444" w:type="dxa"/>
            <w:tcBorders>
              <w:top w:val="single" w:sz="4" w:space="0" w:color="auto"/>
              <w:left w:val="single" w:sz="4" w:space="0" w:color="auto"/>
              <w:bottom w:val="nil"/>
              <w:right w:val="nil"/>
            </w:tcBorders>
            <w:shd w:val="clear" w:color="auto" w:fill="FFFFFF"/>
            <w:vAlign w:val="center"/>
          </w:tcPr>
          <w:p w:rsidR="002D1E45" w:rsidRPr="00486243" w:rsidRDefault="002D1E45" w:rsidP="00486243">
            <w:pPr>
              <w:spacing w:after="0" w:line="240" w:lineRule="auto"/>
              <w:jc w:val="center"/>
              <w:rPr>
                <w:rFonts w:ascii="Times New Roman" w:hAnsi="Times New Roman"/>
                <w:sz w:val="24"/>
                <w:szCs w:val="24"/>
                <w:lang w:eastAsia="ru-RU"/>
              </w:rPr>
            </w:pPr>
            <w:r w:rsidRPr="00486243">
              <w:rPr>
                <w:rFonts w:ascii="Times New Roman" w:hAnsi="Times New Roman"/>
                <w:color w:val="000000"/>
                <w:sz w:val="24"/>
                <w:szCs w:val="24"/>
                <w:lang w:eastAsia="ru-RU"/>
              </w:rPr>
              <w:t>О</w:t>
            </w:r>
            <w:r>
              <w:rPr>
                <w:rFonts w:ascii="Times New Roman" w:hAnsi="Times New Roman"/>
                <w:color w:val="000000"/>
                <w:sz w:val="24"/>
                <w:szCs w:val="24"/>
                <w:lang w:eastAsia="ru-RU"/>
              </w:rPr>
              <w:t>тп</w:t>
            </w:r>
            <w:r w:rsidRPr="00486243">
              <w:rPr>
                <w:rFonts w:ascii="Times New Roman" w:hAnsi="Times New Roman"/>
                <w:color w:val="000000"/>
                <w:sz w:val="24"/>
                <w:szCs w:val="24"/>
                <w:lang w:eastAsia="ru-RU"/>
              </w:rPr>
              <w:t>у</w:t>
            </w:r>
            <w:r>
              <w:rPr>
                <w:rFonts w:ascii="Times New Roman" w:hAnsi="Times New Roman"/>
                <w:color w:val="000000"/>
                <w:sz w:val="24"/>
                <w:szCs w:val="24"/>
                <w:lang w:eastAsia="ru-RU"/>
              </w:rPr>
              <w:t>щ</w:t>
            </w:r>
            <w:r w:rsidRPr="00486243">
              <w:rPr>
                <w:rFonts w:ascii="Times New Roman" w:hAnsi="Times New Roman"/>
                <w:color w:val="000000"/>
                <w:sz w:val="24"/>
                <w:szCs w:val="24"/>
                <w:lang w:eastAsia="ru-RU"/>
              </w:rPr>
              <w:t>ено тепловой энергии га год, всего, Гкал</w:t>
            </w:r>
          </w:p>
        </w:tc>
        <w:tc>
          <w:tcPr>
            <w:tcW w:w="1250" w:type="dxa"/>
            <w:tcBorders>
              <w:top w:val="single" w:sz="4" w:space="0" w:color="auto"/>
              <w:left w:val="single" w:sz="4" w:space="0" w:color="auto"/>
              <w:bottom w:val="nil"/>
              <w:right w:val="nil"/>
            </w:tcBorders>
            <w:shd w:val="clear" w:color="auto" w:fill="FFFFFF"/>
            <w:vAlign w:val="center"/>
          </w:tcPr>
          <w:p w:rsidR="002D1E45" w:rsidRPr="00486243" w:rsidRDefault="002D1E45" w:rsidP="00486243">
            <w:pPr>
              <w:spacing w:after="0" w:line="240" w:lineRule="auto"/>
              <w:jc w:val="center"/>
              <w:rPr>
                <w:rFonts w:ascii="Times New Roman" w:hAnsi="Times New Roman"/>
                <w:sz w:val="24"/>
                <w:szCs w:val="24"/>
                <w:lang w:eastAsia="ru-RU"/>
              </w:rPr>
            </w:pPr>
            <w:r w:rsidRPr="00486243">
              <w:rPr>
                <w:rFonts w:ascii="Times New Roman" w:hAnsi="Times New Roman"/>
                <w:color w:val="000000"/>
                <w:sz w:val="24"/>
                <w:szCs w:val="24"/>
                <w:lang w:eastAsia="ru-RU"/>
              </w:rPr>
              <w:t>Протяжен</w:t>
            </w:r>
            <w:r w:rsidRPr="00486243">
              <w:rPr>
                <w:rFonts w:ascii="Times New Roman" w:hAnsi="Times New Roman"/>
                <w:color w:val="000000"/>
                <w:sz w:val="24"/>
                <w:szCs w:val="24"/>
                <w:lang w:eastAsia="ru-RU"/>
              </w:rPr>
              <w:softHyphen/>
              <w:t>ность тепло</w:t>
            </w:r>
            <w:r w:rsidRPr="00486243">
              <w:rPr>
                <w:rFonts w:ascii="Times New Roman" w:hAnsi="Times New Roman"/>
                <w:color w:val="000000"/>
                <w:sz w:val="24"/>
                <w:szCs w:val="24"/>
                <w:lang w:eastAsia="ru-RU"/>
              </w:rPr>
              <w:softHyphen/>
              <w:t>вых сетей, км</w:t>
            </w:r>
          </w:p>
        </w:tc>
        <w:tc>
          <w:tcPr>
            <w:tcW w:w="1189" w:type="dxa"/>
            <w:tcBorders>
              <w:top w:val="single" w:sz="4" w:space="0" w:color="auto"/>
              <w:left w:val="single" w:sz="4" w:space="0" w:color="auto"/>
              <w:bottom w:val="nil"/>
              <w:right w:val="nil"/>
            </w:tcBorders>
            <w:shd w:val="clear" w:color="auto" w:fill="FFFFFF"/>
            <w:vAlign w:val="center"/>
          </w:tcPr>
          <w:p w:rsidR="002D1E45" w:rsidRPr="00486243" w:rsidRDefault="002D1E45" w:rsidP="00486243">
            <w:pPr>
              <w:spacing w:after="0" w:line="240" w:lineRule="auto"/>
              <w:jc w:val="center"/>
              <w:rPr>
                <w:rFonts w:ascii="Times New Roman" w:hAnsi="Times New Roman"/>
                <w:sz w:val="24"/>
                <w:szCs w:val="24"/>
                <w:lang w:eastAsia="ru-RU"/>
              </w:rPr>
            </w:pPr>
            <w:r w:rsidRPr="00486243">
              <w:rPr>
                <w:rFonts w:ascii="Times New Roman" w:hAnsi="Times New Roman"/>
                <w:color w:val="000000"/>
                <w:sz w:val="24"/>
                <w:szCs w:val="24"/>
                <w:lang w:eastAsia="ru-RU"/>
              </w:rPr>
              <w:t>В том числе нуждаю</w:t>
            </w:r>
            <w:r w:rsidRPr="00486243">
              <w:rPr>
                <w:rFonts w:ascii="Times New Roman" w:hAnsi="Times New Roman"/>
                <w:color w:val="000000"/>
                <w:sz w:val="24"/>
                <w:szCs w:val="24"/>
                <w:lang w:eastAsia="ru-RU"/>
              </w:rPr>
              <w:softHyphen/>
              <w:t xml:space="preserve">щихся </w:t>
            </w:r>
            <w:r w:rsidRPr="00486243">
              <w:rPr>
                <w:rFonts w:ascii="Times New Roman" w:hAnsi="Times New Roman"/>
                <w:smallCaps/>
                <w:color w:val="000000"/>
                <w:sz w:val="24"/>
                <w:szCs w:val="24"/>
                <w:lang w:eastAsia="ru-RU"/>
              </w:rPr>
              <w:t>й</w:t>
            </w:r>
            <w:r w:rsidRPr="00486243">
              <w:rPr>
                <w:rFonts w:ascii="Times New Roman" w:hAnsi="Times New Roman"/>
                <w:color w:val="000000"/>
                <w:sz w:val="24"/>
                <w:szCs w:val="24"/>
                <w:lang w:eastAsia="ru-RU"/>
              </w:rPr>
              <w:t xml:space="preserve"> за</w:t>
            </w:r>
            <w:r w:rsidRPr="00486243">
              <w:rPr>
                <w:rFonts w:ascii="Times New Roman" w:hAnsi="Times New Roman"/>
                <w:color w:val="000000"/>
                <w:sz w:val="24"/>
                <w:szCs w:val="24"/>
                <w:lang w:eastAsia="ru-RU"/>
              </w:rPr>
              <w:softHyphen/>
              <w:t>мене</w:t>
            </w:r>
            <w:r>
              <w:rPr>
                <w:rFonts w:ascii="Times New Roman" w:hAnsi="Times New Roman"/>
                <w:color w:val="000000"/>
                <w:sz w:val="24"/>
                <w:szCs w:val="24"/>
                <w:lang w:eastAsia="ru-RU"/>
              </w:rPr>
              <w:t xml:space="preserve">, </w:t>
            </w:r>
            <w:r w:rsidRPr="00486243">
              <w:rPr>
                <w:rFonts w:ascii="Times New Roman" w:hAnsi="Times New Roman"/>
                <w:color w:val="000000"/>
                <w:sz w:val="24"/>
                <w:szCs w:val="24"/>
                <w:lang w:eastAsia="ru-RU"/>
              </w:rPr>
              <w:t>км</w:t>
            </w:r>
          </w:p>
        </w:tc>
        <w:tc>
          <w:tcPr>
            <w:tcW w:w="1372" w:type="dxa"/>
            <w:tcBorders>
              <w:top w:val="single" w:sz="4" w:space="0" w:color="auto"/>
              <w:left w:val="single" w:sz="4" w:space="0" w:color="auto"/>
              <w:bottom w:val="nil"/>
              <w:right w:val="single" w:sz="4" w:space="0" w:color="auto"/>
            </w:tcBorders>
            <w:shd w:val="clear" w:color="auto" w:fill="FFFFFF"/>
            <w:vAlign w:val="center"/>
          </w:tcPr>
          <w:p w:rsidR="002D1E45" w:rsidRPr="00486243" w:rsidRDefault="002D1E45" w:rsidP="00486243">
            <w:pPr>
              <w:spacing w:after="0" w:line="240" w:lineRule="auto"/>
              <w:jc w:val="center"/>
              <w:rPr>
                <w:rFonts w:ascii="Times New Roman" w:hAnsi="Times New Roman"/>
                <w:sz w:val="24"/>
                <w:szCs w:val="24"/>
                <w:lang w:eastAsia="ru-RU"/>
              </w:rPr>
            </w:pPr>
            <w:r w:rsidRPr="00486243">
              <w:rPr>
                <w:rFonts w:ascii="Times New Roman" w:hAnsi="Times New Roman"/>
                <w:color w:val="000000"/>
                <w:sz w:val="24"/>
                <w:szCs w:val="24"/>
                <w:lang w:eastAsia="ru-RU"/>
              </w:rPr>
              <w:t>Доля тепловых сетей, нуждаю</w:t>
            </w:r>
            <w:r w:rsidRPr="00486243">
              <w:rPr>
                <w:rFonts w:ascii="Times New Roman" w:hAnsi="Times New Roman"/>
                <w:color w:val="000000"/>
                <w:sz w:val="24"/>
                <w:szCs w:val="24"/>
                <w:lang w:eastAsia="ru-RU"/>
              </w:rPr>
              <w:softHyphen/>
              <w:t>щихся в за</w:t>
            </w:r>
            <w:r w:rsidRPr="00486243">
              <w:rPr>
                <w:rFonts w:ascii="Times New Roman" w:hAnsi="Times New Roman"/>
                <w:color w:val="000000"/>
                <w:sz w:val="24"/>
                <w:szCs w:val="24"/>
                <w:lang w:eastAsia="ru-RU"/>
              </w:rPr>
              <w:softHyphen/>
              <w:t>мене, %</w:t>
            </w:r>
          </w:p>
        </w:tc>
      </w:tr>
      <w:tr w:rsidR="002D1E45" w:rsidRPr="00486243" w:rsidTr="00486243">
        <w:trPr>
          <w:trHeight w:val="57"/>
          <w:jc w:val="center"/>
        </w:trPr>
        <w:tc>
          <w:tcPr>
            <w:tcW w:w="2201" w:type="dxa"/>
            <w:tcBorders>
              <w:top w:val="single" w:sz="4" w:space="0" w:color="auto"/>
              <w:left w:val="single" w:sz="4" w:space="0" w:color="auto"/>
              <w:bottom w:val="single" w:sz="4" w:space="0" w:color="auto"/>
              <w:right w:val="nil"/>
            </w:tcBorders>
            <w:shd w:val="clear" w:color="auto" w:fill="FFFFFF"/>
          </w:tcPr>
          <w:p w:rsidR="002D1E45" w:rsidRPr="00486243" w:rsidRDefault="002D1E45" w:rsidP="00486243">
            <w:pPr>
              <w:spacing w:after="0" w:line="240" w:lineRule="auto"/>
              <w:rPr>
                <w:rFonts w:ascii="Times New Roman" w:hAnsi="Times New Roman"/>
                <w:sz w:val="24"/>
                <w:szCs w:val="24"/>
                <w:lang w:eastAsia="ru-RU"/>
              </w:rPr>
            </w:pPr>
            <w:r w:rsidRPr="00486243">
              <w:rPr>
                <w:rFonts w:ascii="Times New Roman" w:hAnsi="Times New Roman"/>
                <w:color w:val="000000"/>
                <w:sz w:val="24"/>
                <w:szCs w:val="24"/>
                <w:lang w:eastAsia="ru-RU"/>
              </w:rPr>
              <w:t>г. Куйбышев</w:t>
            </w:r>
          </w:p>
        </w:tc>
        <w:tc>
          <w:tcPr>
            <w:tcW w:w="1291" w:type="dxa"/>
            <w:tcBorders>
              <w:top w:val="single" w:sz="4" w:space="0" w:color="auto"/>
              <w:left w:val="single" w:sz="4" w:space="0" w:color="auto"/>
              <w:bottom w:val="single" w:sz="4" w:space="0" w:color="auto"/>
              <w:right w:val="nil"/>
            </w:tcBorders>
            <w:shd w:val="clear" w:color="auto" w:fill="FFFFFF"/>
            <w:vAlign w:val="center"/>
          </w:tcPr>
          <w:p w:rsidR="002D1E45" w:rsidRPr="00486243" w:rsidRDefault="002D1E45" w:rsidP="00486243">
            <w:pPr>
              <w:spacing w:after="0" w:line="240" w:lineRule="auto"/>
              <w:jc w:val="center"/>
              <w:rPr>
                <w:rFonts w:ascii="Times New Roman" w:hAnsi="Times New Roman"/>
                <w:sz w:val="24"/>
                <w:szCs w:val="24"/>
                <w:lang w:eastAsia="ru-RU"/>
              </w:rPr>
            </w:pPr>
            <w:r w:rsidRPr="00486243">
              <w:rPr>
                <w:rFonts w:ascii="Times New Roman" w:hAnsi="Times New Roman"/>
                <w:color w:val="000000"/>
                <w:sz w:val="24"/>
                <w:szCs w:val="24"/>
                <w:lang w:eastAsia="ru-RU"/>
              </w:rPr>
              <w:t>1</w:t>
            </w:r>
          </w:p>
        </w:tc>
        <w:tc>
          <w:tcPr>
            <w:tcW w:w="1448" w:type="dxa"/>
            <w:tcBorders>
              <w:top w:val="single" w:sz="4" w:space="0" w:color="auto"/>
              <w:left w:val="single" w:sz="4" w:space="0" w:color="auto"/>
              <w:bottom w:val="single" w:sz="4" w:space="0" w:color="auto"/>
              <w:right w:val="nil"/>
            </w:tcBorders>
            <w:shd w:val="clear" w:color="auto" w:fill="FFFFFF"/>
            <w:vAlign w:val="center"/>
          </w:tcPr>
          <w:p w:rsidR="002D1E45" w:rsidRPr="00486243" w:rsidRDefault="002D1E45" w:rsidP="00486243">
            <w:pPr>
              <w:spacing w:after="0" w:line="240" w:lineRule="auto"/>
              <w:jc w:val="center"/>
              <w:rPr>
                <w:rFonts w:ascii="Times New Roman" w:hAnsi="Times New Roman"/>
                <w:sz w:val="24"/>
                <w:szCs w:val="24"/>
                <w:lang w:eastAsia="ru-RU"/>
              </w:rPr>
            </w:pPr>
            <w:r w:rsidRPr="00486243">
              <w:rPr>
                <w:rFonts w:ascii="Times New Roman" w:hAnsi="Times New Roman"/>
                <w:color w:val="000000"/>
                <w:sz w:val="24"/>
                <w:szCs w:val="24"/>
                <w:lang w:eastAsia="ru-RU"/>
              </w:rPr>
              <w:t>293</w:t>
            </w:r>
          </w:p>
        </w:tc>
        <w:tc>
          <w:tcPr>
            <w:tcW w:w="1444" w:type="dxa"/>
            <w:tcBorders>
              <w:top w:val="single" w:sz="4" w:space="0" w:color="auto"/>
              <w:left w:val="single" w:sz="4" w:space="0" w:color="auto"/>
              <w:bottom w:val="single" w:sz="4" w:space="0" w:color="auto"/>
              <w:right w:val="nil"/>
            </w:tcBorders>
            <w:shd w:val="clear" w:color="auto" w:fill="FFFFFF"/>
            <w:vAlign w:val="center"/>
          </w:tcPr>
          <w:p w:rsidR="002D1E45" w:rsidRPr="00486243" w:rsidRDefault="002D1E45" w:rsidP="00486243">
            <w:pPr>
              <w:spacing w:after="0" w:line="240" w:lineRule="auto"/>
              <w:jc w:val="center"/>
              <w:rPr>
                <w:rFonts w:ascii="Times New Roman" w:hAnsi="Times New Roman"/>
                <w:sz w:val="24"/>
                <w:szCs w:val="24"/>
                <w:lang w:eastAsia="ru-RU"/>
              </w:rPr>
            </w:pPr>
            <w:r w:rsidRPr="00486243">
              <w:rPr>
                <w:rFonts w:ascii="Times New Roman" w:hAnsi="Times New Roman"/>
                <w:color w:val="000000"/>
                <w:sz w:val="24"/>
                <w:szCs w:val="24"/>
                <w:lang w:eastAsia="ru-RU"/>
              </w:rPr>
              <w:t>345</w:t>
            </w:r>
            <w:r>
              <w:rPr>
                <w:rFonts w:ascii="Times New Roman" w:hAnsi="Times New Roman"/>
                <w:color w:val="000000"/>
                <w:sz w:val="24"/>
                <w:szCs w:val="24"/>
                <w:lang w:eastAsia="ru-RU"/>
              </w:rPr>
              <w:t> </w:t>
            </w:r>
            <w:r w:rsidRPr="00486243">
              <w:rPr>
                <w:rFonts w:ascii="Times New Roman" w:hAnsi="Times New Roman"/>
                <w:color w:val="000000"/>
                <w:sz w:val="24"/>
                <w:szCs w:val="24"/>
                <w:lang w:eastAsia="ru-RU"/>
              </w:rPr>
              <w:t>571</w:t>
            </w:r>
            <w:r>
              <w:rPr>
                <w:rFonts w:ascii="Times New Roman" w:hAnsi="Times New Roman"/>
                <w:color w:val="000000"/>
                <w:sz w:val="24"/>
                <w:szCs w:val="24"/>
                <w:lang w:eastAsia="ru-RU"/>
              </w:rPr>
              <w:t>,</w:t>
            </w:r>
            <w:r w:rsidRPr="00486243">
              <w:rPr>
                <w:rFonts w:ascii="Times New Roman" w:hAnsi="Times New Roman"/>
                <w:color w:val="000000"/>
                <w:sz w:val="24"/>
                <w:szCs w:val="24"/>
                <w:lang w:eastAsia="ru-RU"/>
              </w:rPr>
              <w:t>96</w:t>
            </w:r>
          </w:p>
        </w:tc>
        <w:tc>
          <w:tcPr>
            <w:tcW w:w="1250" w:type="dxa"/>
            <w:tcBorders>
              <w:top w:val="single" w:sz="4" w:space="0" w:color="auto"/>
              <w:left w:val="single" w:sz="4" w:space="0" w:color="auto"/>
              <w:bottom w:val="single" w:sz="4" w:space="0" w:color="auto"/>
              <w:right w:val="nil"/>
            </w:tcBorders>
            <w:shd w:val="clear" w:color="auto" w:fill="FFFFFF"/>
            <w:vAlign w:val="center"/>
          </w:tcPr>
          <w:p w:rsidR="002D1E45" w:rsidRPr="00486243" w:rsidRDefault="002D1E45" w:rsidP="00486243">
            <w:pPr>
              <w:spacing w:after="0" w:line="240" w:lineRule="auto"/>
              <w:jc w:val="center"/>
              <w:rPr>
                <w:rFonts w:ascii="Times New Roman" w:hAnsi="Times New Roman"/>
                <w:sz w:val="24"/>
                <w:szCs w:val="24"/>
                <w:lang w:eastAsia="ru-RU"/>
              </w:rPr>
            </w:pPr>
            <w:r w:rsidRPr="00486243">
              <w:rPr>
                <w:rFonts w:ascii="Times New Roman" w:hAnsi="Times New Roman"/>
                <w:color w:val="000000"/>
                <w:sz w:val="24"/>
                <w:szCs w:val="24"/>
                <w:lang w:eastAsia="ru-RU"/>
              </w:rPr>
              <w:t>121</w:t>
            </w:r>
            <w:r>
              <w:rPr>
                <w:rFonts w:ascii="Times New Roman" w:hAnsi="Times New Roman"/>
                <w:color w:val="000000"/>
                <w:sz w:val="24"/>
                <w:szCs w:val="24"/>
                <w:lang w:eastAsia="ru-RU"/>
              </w:rPr>
              <w:t>,</w:t>
            </w:r>
            <w:r w:rsidRPr="00486243">
              <w:rPr>
                <w:rFonts w:ascii="Times New Roman" w:hAnsi="Times New Roman"/>
                <w:color w:val="000000"/>
                <w:sz w:val="24"/>
                <w:szCs w:val="24"/>
                <w:lang w:eastAsia="ru-RU"/>
              </w:rPr>
              <w:t>822</w:t>
            </w:r>
          </w:p>
        </w:tc>
        <w:tc>
          <w:tcPr>
            <w:tcW w:w="1189" w:type="dxa"/>
            <w:tcBorders>
              <w:top w:val="single" w:sz="4" w:space="0" w:color="auto"/>
              <w:left w:val="single" w:sz="4" w:space="0" w:color="auto"/>
              <w:bottom w:val="single" w:sz="4" w:space="0" w:color="auto"/>
              <w:right w:val="nil"/>
            </w:tcBorders>
            <w:shd w:val="clear" w:color="auto" w:fill="FFFFFF"/>
            <w:vAlign w:val="center"/>
          </w:tcPr>
          <w:p w:rsidR="002D1E45" w:rsidRPr="00486243" w:rsidRDefault="002D1E45" w:rsidP="00486243">
            <w:pPr>
              <w:spacing w:after="0" w:line="240" w:lineRule="auto"/>
              <w:jc w:val="center"/>
              <w:rPr>
                <w:rFonts w:ascii="Times New Roman" w:hAnsi="Times New Roman"/>
                <w:sz w:val="24"/>
                <w:szCs w:val="24"/>
                <w:lang w:eastAsia="ru-RU"/>
              </w:rPr>
            </w:pPr>
            <w:r w:rsidRPr="00486243">
              <w:rPr>
                <w:rFonts w:ascii="Times New Roman" w:hAnsi="Times New Roman"/>
                <w:color w:val="000000"/>
                <w:sz w:val="24"/>
                <w:szCs w:val="24"/>
                <w:lang w:eastAsia="ru-RU"/>
              </w:rPr>
              <w:t>92</w:t>
            </w:r>
            <w:r>
              <w:rPr>
                <w:rFonts w:ascii="Times New Roman" w:hAnsi="Times New Roman"/>
                <w:color w:val="000000"/>
                <w:sz w:val="24"/>
                <w:szCs w:val="24"/>
                <w:lang w:eastAsia="ru-RU"/>
              </w:rPr>
              <w:t>,</w:t>
            </w:r>
            <w:r w:rsidRPr="00486243">
              <w:rPr>
                <w:rFonts w:ascii="Times New Roman" w:hAnsi="Times New Roman"/>
                <w:color w:val="000000"/>
                <w:sz w:val="24"/>
                <w:szCs w:val="24"/>
                <w:lang w:eastAsia="ru-RU"/>
              </w:rPr>
              <w:t>133</w:t>
            </w:r>
          </w:p>
        </w:tc>
        <w:tc>
          <w:tcPr>
            <w:tcW w:w="1372"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486243" w:rsidRDefault="002D1E45" w:rsidP="00486243">
            <w:pPr>
              <w:spacing w:after="0" w:line="240" w:lineRule="auto"/>
              <w:jc w:val="center"/>
              <w:rPr>
                <w:rFonts w:ascii="Times New Roman" w:hAnsi="Times New Roman"/>
                <w:sz w:val="24"/>
                <w:szCs w:val="24"/>
                <w:lang w:eastAsia="ru-RU"/>
              </w:rPr>
            </w:pPr>
            <w:r w:rsidRPr="00486243">
              <w:rPr>
                <w:rFonts w:ascii="Times New Roman" w:hAnsi="Times New Roman"/>
                <w:color w:val="000000"/>
                <w:sz w:val="24"/>
                <w:szCs w:val="24"/>
                <w:lang w:eastAsia="ru-RU"/>
              </w:rPr>
              <w:t>75</w:t>
            </w:r>
          </w:p>
        </w:tc>
      </w:tr>
    </w:tbl>
    <w:p w:rsidR="002D1E45" w:rsidRDefault="002D1E45" w:rsidP="00486243">
      <w:pPr>
        <w:spacing w:after="120" w:line="240" w:lineRule="auto"/>
        <w:jc w:val="center"/>
        <w:rPr>
          <w:rFonts w:ascii="Times New Roman" w:hAnsi="Times New Roman"/>
          <w:sz w:val="28"/>
          <w:szCs w:val="28"/>
          <w:lang w:eastAsia="ru-RU"/>
        </w:rPr>
      </w:pPr>
    </w:p>
    <w:p w:rsidR="002D1E45" w:rsidRDefault="002D1E45" w:rsidP="00B274BB">
      <w:pPr>
        <w:spacing w:after="0" w:line="240" w:lineRule="auto"/>
        <w:ind w:firstLine="709"/>
        <w:contextualSpacing/>
        <w:jc w:val="both"/>
        <w:rPr>
          <w:rFonts w:ascii="Times New Roman" w:hAnsi="Times New Roman"/>
          <w:sz w:val="28"/>
          <w:szCs w:val="24"/>
          <w:lang w:eastAsia="ru-RU"/>
        </w:rPr>
      </w:pPr>
      <w:r w:rsidRPr="00B274BB">
        <w:rPr>
          <w:rFonts w:ascii="Times New Roman" w:hAnsi="Times New Roman"/>
          <w:sz w:val="28"/>
          <w:szCs w:val="24"/>
          <w:lang w:eastAsia="ru-RU"/>
        </w:rPr>
        <w:t>В малоэтажной жилой застройке, не</w:t>
      </w:r>
      <w:r>
        <w:rPr>
          <w:rFonts w:ascii="Times New Roman" w:hAnsi="Times New Roman"/>
          <w:sz w:val="28"/>
          <w:szCs w:val="24"/>
          <w:lang w:eastAsia="ru-RU"/>
        </w:rPr>
        <w:t> </w:t>
      </w:r>
      <w:r w:rsidRPr="00B274BB">
        <w:rPr>
          <w:rFonts w:ascii="Times New Roman" w:hAnsi="Times New Roman"/>
          <w:sz w:val="28"/>
          <w:szCs w:val="24"/>
          <w:lang w:eastAsia="ru-RU"/>
        </w:rPr>
        <w:t>подключённой к</w:t>
      </w:r>
      <w:r>
        <w:rPr>
          <w:rFonts w:ascii="Times New Roman" w:hAnsi="Times New Roman"/>
          <w:sz w:val="28"/>
          <w:szCs w:val="24"/>
          <w:lang w:eastAsia="ru-RU"/>
        </w:rPr>
        <w:t> </w:t>
      </w:r>
      <w:r w:rsidRPr="00B274BB">
        <w:rPr>
          <w:rFonts w:ascii="Times New Roman" w:hAnsi="Times New Roman"/>
          <w:sz w:val="28"/>
          <w:szCs w:val="24"/>
          <w:lang w:eastAsia="ru-RU"/>
        </w:rPr>
        <w:t>системе централизованного</w:t>
      </w:r>
      <w:r>
        <w:rPr>
          <w:rFonts w:ascii="Times New Roman" w:hAnsi="Times New Roman"/>
          <w:sz w:val="28"/>
          <w:szCs w:val="24"/>
          <w:lang w:eastAsia="ru-RU"/>
        </w:rPr>
        <w:t xml:space="preserve"> </w:t>
      </w:r>
      <w:r w:rsidRPr="00B274BB">
        <w:rPr>
          <w:rFonts w:ascii="Times New Roman" w:hAnsi="Times New Roman"/>
          <w:sz w:val="28"/>
          <w:szCs w:val="24"/>
          <w:lang w:eastAsia="ru-RU"/>
        </w:rPr>
        <w:t>теплоснабжения, применяются индивидуальные источники тепловой энергии, работающие на</w:t>
      </w:r>
      <w:r>
        <w:rPr>
          <w:rFonts w:ascii="Times New Roman" w:hAnsi="Times New Roman"/>
          <w:sz w:val="28"/>
          <w:szCs w:val="24"/>
          <w:lang w:eastAsia="ru-RU"/>
        </w:rPr>
        <w:t> </w:t>
      </w:r>
      <w:r w:rsidRPr="00B274BB">
        <w:rPr>
          <w:rFonts w:ascii="Times New Roman" w:hAnsi="Times New Roman"/>
          <w:sz w:val="28"/>
          <w:szCs w:val="24"/>
          <w:lang w:eastAsia="ru-RU"/>
        </w:rPr>
        <w:t>твёрдом топливе: дрова, уголь.</w:t>
      </w:r>
    </w:p>
    <w:p w:rsidR="002D1E45" w:rsidRPr="007C4074" w:rsidRDefault="002D1E45" w:rsidP="007C4074">
      <w:pPr>
        <w:spacing w:after="0" w:line="240" w:lineRule="auto"/>
        <w:ind w:firstLine="709"/>
        <w:contextualSpacing/>
        <w:jc w:val="both"/>
        <w:rPr>
          <w:rFonts w:ascii="Times New Roman" w:hAnsi="Times New Roman"/>
          <w:sz w:val="28"/>
          <w:szCs w:val="24"/>
          <w:lang w:eastAsia="ru-RU"/>
        </w:rPr>
      </w:pPr>
      <w:r w:rsidRPr="007C4074">
        <w:rPr>
          <w:rFonts w:ascii="Times New Roman" w:hAnsi="Times New Roman"/>
          <w:sz w:val="28"/>
          <w:szCs w:val="24"/>
          <w:lang w:eastAsia="ru-RU"/>
        </w:rPr>
        <w:t xml:space="preserve">В результате анализа существующего положения системы централизованного теплоснабжения </w:t>
      </w:r>
      <w:r>
        <w:rPr>
          <w:rFonts w:ascii="Times New Roman" w:hAnsi="Times New Roman"/>
          <w:sz w:val="28"/>
          <w:szCs w:val="24"/>
          <w:lang w:eastAsia="ru-RU"/>
        </w:rPr>
        <w:t xml:space="preserve">г. Куйбышева </w:t>
      </w:r>
      <w:r w:rsidRPr="007C4074">
        <w:rPr>
          <w:rFonts w:ascii="Times New Roman" w:hAnsi="Times New Roman"/>
          <w:sz w:val="28"/>
          <w:szCs w:val="24"/>
          <w:lang w:eastAsia="ru-RU"/>
        </w:rPr>
        <w:t>выявлены следующие технические и технологические проблемы:</w:t>
      </w:r>
    </w:p>
    <w:p w:rsidR="002D1E45" w:rsidRPr="00565367" w:rsidRDefault="002D1E45" w:rsidP="00D05D06">
      <w:pPr>
        <w:pStyle w:val="ListParagraph"/>
        <w:numPr>
          <w:ilvl w:val="1"/>
          <w:numId w:val="79"/>
        </w:numPr>
        <w:spacing w:after="0" w:line="240" w:lineRule="auto"/>
        <w:jc w:val="both"/>
        <w:rPr>
          <w:rFonts w:ascii="Times New Roman" w:hAnsi="Times New Roman"/>
          <w:sz w:val="28"/>
          <w:szCs w:val="24"/>
          <w:lang w:eastAsia="ru-RU"/>
        </w:rPr>
      </w:pPr>
      <w:r w:rsidRPr="00565367">
        <w:rPr>
          <w:rFonts w:ascii="Times New Roman" w:hAnsi="Times New Roman"/>
          <w:sz w:val="28"/>
          <w:szCs w:val="24"/>
          <w:lang w:eastAsia="ru-RU"/>
        </w:rPr>
        <w:t>Высокий износ теплотрасс и, как следствие, потери теплоносителя.</w:t>
      </w:r>
    </w:p>
    <w:p w:rsidR="002D1E45" w:rsidRPr="00565367" w:rsidRDefault="002D1E45" w:rsidP="00D05D06">
      <w:pPr>
        <w:pStyle w:val="ListParagraph"/>
        <w:numPr>
          <w:ilvl w:val="1"/>
          <w:numId w:val="79"/>
        </w:numPr>
        <w:spacing w:after="0" w:line="240" w:lineRule="auto"/>
        <w:jc w:val="both"/>
        <w:rPr>
          <w:rFonts w:ascii="Times New Roman" w:hAnsi="Times New Roman"/>
          <w:sz w:val="28"/>
          <w:szCs w:val="24"/>
          <w:lang w:eastAsia="ru-RU"/>
        </w:rPr>
      </w:pPr>
      <w:r w:rsidRPr="00565367">
        <w:rPr>
          <w:rFonts w:ascii="Times New Roman" w:hAnsi="Times New Roman"/>
          <w:sz w:val="28"/>
          <w:szCs w:val="24"/>
          <w:lang w:eastAsia="ru-RU"/>
        </w:rPr>
        <w:t>Низкий КПД котлов</w:t>
      </w:r>
      <w:r>
        <w:rPr>
          <w:rFonts w:ascii="Times New Roman" w:hAnsi="Times New Roman"/>
          <w:sz w:val="28"/>
          <w:szCs w:val="24"/>
          <w:lang w:eastAsia="ru-RU"/>
        </w:rPr>
        <w:t xml:space="preserve"> и, </w:t>
      </w:r>
      <w:r w:rsidRPr="00565367">
        <w:rPr>
          <w:rFonts w:ascii="Times New Roman" w:hAnsi="Times New Roman"/>
          <w:sz w:val="28"/>
          <w:szCs w:val="24"/>
          <w:lang w:eastAsia="ru-RU"/>
        </w:rPr>
        <w:t>как следствие</w:t>
      </w:r>
      <w:r>
        <w:rPr>
          <w:rFonts w:ascii="Times New Roman" w:hAnsi="Times New Roman"/>
          <w:sz w:val="28"/>
          <w:szCs w:val="24"/>
          <w:lang w:eastAsia="ru-RU"/>
        </w:rPr>
        <w:t>,</w:t>
      </w:r>
      <w:r w:rsidRPr="00565367">
        <w:rPr>
          <w:rFonts w:ascii="Times New Roman" w:hAnsi="Times New Roman"/>
          <w:sz w:val="28"/>
          <w:szCs w:val="24"/>
          <w:lang w:eastAsia="ru-RU"/>
        </w:rPr>
        <w:t xml:space="preserve"> перерасход </w:t>
      </w:r>
      <w:r>
        <w:rPr>
          <w:rFonts w:ascii="Times New Roman" w:hAnsi="Times New Roman"/>
          <w:sz w:val="28"/>
          <w:szCs w:val="24"/>
          <w:lang w:eastAsia="ru-RU"/>
        </w:rPr>
        <w:t>топлива</w:t>
      </w:r>
      <w:r w:rsidRPr="00565367">
        <w:rPr>
          <w:rFonts w:ascii="Times New Roman" w:hAnsi="Times New Roman"/>
          <w:sz w:val="28"/>
          <w:szCs w:val="24"/>
          <w:lang w:eastAsia="ru-RU"/>
        </w:rPr>
        <w:t>.</w:t>
      </w:r>
    </w:p>
    <w:p w:rsidR="002D1E45" w:rsidRDefault="002D1E45" w:rsidP="00D05D06">
      <w:pPr>
        <w:pStyle w:val="ListParagraph"/>
        <w:numPr>
          <w:ilvl w:val="1"/>
          <w:numId w:val="79"/>
        </w:numPr>
        <w:spacing w:after="0" w:line="240" w:lineRule="auto"/>
        <w:jc w:val="both"/>
        <w:rPr>
          <w:rFonts w:ascii="Times New Roman" w:hAnsi="Times New Roman"/>
          <w:sz w:val="28"/>
          <w:szCs w:val="24"/>
          <w:lang w:eastAsia="ru-RU"/>
        </w:rPr>
      </w:pPr>
      <w:r w:rsidRPr="00565367">
        <w:rPr>
          <w:rFonts w:ascii="Times New Roman" w:hAnsi="Times New Roman"/>
          <w:sz w:val="28"/>
          <w:szCs w:val="24"/>
          <w:lang w:eastAsia="ru-RU"/>
        </w:rPr>
        <w:t>Высокие затраты на транспортировку теплоносителя.</w:t>
      </w:r>
    </w:p>
    <w:p w:rsidR="002D1E45" w:rsidRDefault="002D1E45" w:rsidP="003A7901">
      <w:pPr>
        <w:spacing w:after="0" w:line="240" w:lineRule="auto"/>
        <w:rPr>
          <w:rFonts w:ascii="Arial" w:hAnsi="Arial" w:cs="Arial"/>
          <w:sz w:val="16"/>
          <w:szCs w:val="16"/>
          <w:lang w:eastAsia="ru-RU"/>
        </w:rPr>
      </w:pPr>
    </w:p>
    <w:p w:rsidR="002D1E45" w:rsidRPr="00042F4A" w:rsidRDefault="002D1E45" w:rsidP="00852938">
      <w:pPr>
        <w:pStyle w:val="Heading3"/>
        <w:numPr>
          <w:ilvl w:val="2"/>
          <w:numId w:val="65"/>
        </w:numPr>
        <w:tabs>
          <w:tab w:val="left" w:pos="1418"/>
        </w:tabs>
        <w:spacing w:before="120"/>
        <w:ind w:left="1418" w:hanging="698"/>
        <w:jc w:val="both"/>
        <w:rPr>
          <w:rFonts w:ascii="Times New Roman" w:hAnsi="Times New Roman"/>
          <w:sz w:val="28"/>
        </w:rPr>
      </w:pPr>
      <w:bookmarkStart w:id="160" w:name="_Toc475037094"/>
      <w:bookmarkStart w:id="161" w:name="_Toc84936035"/>
      <w:r w:rsidRPr="00042F4A">
        <w:rPr>
          <w:rFonts w:ascii="Times New Roman" w:hAnsi="Times New Roman"/>
          <w:sz w:val="28"/>
        </w:rPr>
        <w:t>Газоснабжение</w:t>
      </w:r>
      <w:bookmarkEnd w:id="160"/>
      <w:bookmarkEnd w:id="161"/>
    </w:p>
    <w:p w:rsidR="002D1E45" w:rsidRPr="003A7901" w:rsidRDefault="002D1E45" w:rsidP="003A7901">
      <w:pPr>
        <w:spacing w:after="0" w:line="240" w:lineRule="auto"/>
        <w:ind w:firstLine="709"/>
        <w:jc w:val="both"/>
        <w:rPr>
          <w:rFonts w:ascii="Times New Roman" w:hAnsi="Times New Roman"/>
          <w:sz w:val="28"/>
          <w:szCs w:val="28"/>
        </w:rPr>
      </w:pPr>
    </w:p>
    <w:p w:rsidR="002D1E45" w:rsidRPr="00D71CEF" w:rsidRDefault="002D1E45" w:rsidP="00D71CEF">
      <w:pPr>
        <w:spacing w:after="0" w:line="240" w:lineRule="auto"/>
        <w:ind w:firstLine="709"/>
        <w:jc w:val="both"/>
        <w:rPr>
          <w:rFonts w:ascii="Times New Roman" w:hAnsi="Times New Roman"/>
          <w:sz w:val="28"/>
          <w:szCs w:val="24"/>
          <w:lang w:eastAsia="ru-RU"/>
        </w:rPr>
      </w:pPr>
      <w:r w:rsidRPr="00D71CEF">
        <w:rPr>
          <w:rFonts w:ascii="Times New Roman" w:hAnsi="Times New Roman"/>
          <w:sz w:val="28"/>
          <w:szCs w:val="24"/>
          <w:lang w:eastAsia="ru-RU"/>
        </w:rPr>
        <w:t>За источник газоснабжения принят газ магистрального газопровода Уренгой – Омск</w:t>
      </w:r>
      <w:r>
        <w:rPr>
          <w:rFonts w:ascii="Times New Roman" w:hAnsi="Times New Roman"/>
          <w:sz w:val="28"/>
          <w:szCs w:val="24"/>
          <w:lang w:eastAsia="ru-RU"/>
        </w:rPr>
        <w:t xml:space="preserve"> – </w:t>
      </w:r>
      <w:r w:rsidRPr="00D71CEF">
        <w:rPr>
          <w:rFonts w:ascii="Times New Roman" w:hAnsi="Times New Roman"/>
          <w:sz w:val="28"/>
          <w:szCs w:val="24"/>
          <w:lang w:eastAsia="ru-RU"/>
        </w:rPr>
        <w:t>Новосибирск, поступающий в город через ГРС №</w:t>
      </w:r>
      <w:r>
        <w:rPr>
          <w:rFonts w:ascii="Times New Roman" w:hAnsi="Times New Roman"/>
          <w:sz w:val="28"/>
          <w:szCs w:val="24"/>
          <w:lang w:eastAsia="ru-RU"/>
        </w:rPr>
        <w:t xml:space="preserve"> </w:t>
      </w:r>
      <w:r w:rsidRPr="00D71CEF">
        <w:rPr>
          <w:rFonts w:ascii="Times New Roman" w:hAnsi="Times New Roman"/>
          <w:sz w:val="28"/>
          <w:szCs w:val="24"/>
          <w:lang w:eastAsia="ru-RU"/>
        </w:rPr>
        <w:t>1, расположенную в южной части города на расстоянии 10 км.</w:t>
      </w:r>
    </w:p>
    <w:p w:rsidR="002D1E45" w:rsidRPr="00D71CEF" w:rsidRDefault="002D1E45" w:rsidP="00D71CEF">
      <w:pPr>
        <w:spacing w:after="0" w:line="240" w:lineRule="auto"/>
        <w:ind w:firstLine="709"/>
        <w:jc w:val="both"/>
        <w:rPr>
          <w:rFonts w:ascii="Times New Roman" w:hAnsi="Times New Roman"/>
          <w:sz w:val="28"/>
          <w:szCs w:val="24"/>
          <w:lang w:eastAsia="ru-RU"/>
        </w:rPr>
      </w:pPr>
      <w:r w:rsidRPr="00D71CEF">
        <w:rPr>
          <w:rFonts w:ascii="Times New Roman" w:hAnsi="Times New Roman"/>
          <w:sz w:val="28"/>
          <w:szCs w:val="24"/>
          <w:lang w:eastAsia="ru-RU"/>
        </w:rPr>
        <w:t xml:space="preserve">Система газопроводов предусматривает снабжение природным газом всех потребителей и ГРП. </w:t>
      </w:r>
    </w:p>
    <w:p w:rsidR="002D1E45" w:rsidRPr="00D71CEF" w:rsidRDefault="002D1E45" w:rsidP="00D71CEF">
      <w:pPr>
        <w:spacing w:after="0" w:line="240" w:lineRule="auto"/>
        <w:ind w:firstLine="709"/>
        <w:jc w:val="both"/>
        <w:rPr>
          <w:rFonts w:ascii="Times New Roman" w:hAnsi="Times New Roman"/>
          <w:sz w:val="28"/>
          <w:szCs w:val="24"/>
          <w:lang w:eastAsia="ru-RU"/>
        </w:rPr>
      </w:pPr>
      <w:r w:rsidRPr="00D71CEF">
        <w:rPr>
          <w:rFonts w:ascii="Times New Roman" w:hAnsi="Times New Roman"/>
          <w:sz w:val="28"/>
          <w:szCs w:val="24"/>
          <w:lang w:eastAsia="ru-RU"/>
        </w:rPr>
        <w:t>Система газоснабжения города двухступенчатая</w:t>
      </w:r>
      <w:r>
        <w:rPr>
          <w:rFonts w:ascii="Times New Roman" w:hAnsi="Times New Roman"/>
          <w:sz w:val="28"/>
          <w:szCs w:val="24"/>
          <w:lang w:eastAsia="ru-RU"/>
        </w:rPr>
        <w:t xml:space="preserve"> –</w:t>
      </w:r>
      <w:r w:rsidRPr="00D71CEF">
        <w:rPr>
          <w:rFonts w:ascii="Times New Roman" w:hAnsi="Times New Roman"/>
          <w:sz w:val="28"/>
          <w:szCs w:val="24"/>
          <w:lang w:eastAsia="ru-RU"/>
        </w:rPr>
        <w:t xml:space="preserve"> газопроводами высокого давления (Р 6 кгс/см</w:t>
      </w:r>
      <w:r w:rsidRPr="007E76D6">
        <w:rPr>
          <w:rFonts w:ascii="Times New Roman" w:hAnsi="Times New Roman"/>
          <w:sz w:val="28"/>
          <w:szCs w:val="24"/>
          <w:vertAlign w:val="superscript"/>
          <w:lang w:eastAsia="ru-RU"/>
        </w:rPr>
        <w:t>2</w:t>
      </w:r>
      <w:r w:rsidRPr="00D71CEF">
        <w:rPr>
          <w:rFonts w:ascii="Times New Roman" w:hAnsi="Times New Roman"/>
          <w:sz w:val="28"/>
          <w:szCs w:val="24"/>
          <w:lang w:eastAsia="ru-RU"/>
        </w:rPr>
        <w:t>) и низкого давления (Р&lt;300 мм вод.ст.).</w:t>
      </w:r>
    </w:p>
    <w:p w:rsidR="002D1E45" w:rsidRDefault="002D1E45" w:rsidP="00D71CEF">
      <w:pPr>
        <w:spacing w:after="0" w:line="240" w:lineRule="auto"/>
        <w:ind w:firstLine="709"/>
        <w:jc w:val="both"/>
        <w:rPr>
          <w:rFonts w:ascii="Times New Roman" w:hAnsi="Times New Roman"/>
          <w:sz w:val="28"/>
          <w:szCs w:val="24"/>
          <w:lang w:eastAsia="ru-RU"/>
        </w:rPr>
      </w:pPr>
      <w:r w:rsidRPr="00D71CEF">
        <w:rPr>
          <w:rFonts w:ascii="Times New Roman" w:hAnsi="Times New Roman"/>
          <w:sz w:val="28"/>
          <w:szCs w:val="24"/>
          <w:lang w:eastAsia="ru-RU"/>
        </w:rPr>
        <w:t>Схема газопроводов высокого давления принята тупиковая, низкого давления – тупиковая и кольцевая.</w:t>
      </w:r>
    </w:p>
    <w:p w:rsidR="002D1E45" w:rsidRPr="007E76D6" w:rsidRDefault="002D1E45" w:rsidP="007E76D6">
      <w:pPr>
        <w:spacing w:after="0" w:line="240" w:lineRule="auto"/>
        <w:ind w:firstLine="709"/>
        <w:jc w:val="both"/>
        <w:rPr>
          <w:rFonts w:ascii="Times New Roman" w:hAnsi="Times New Roman"/>
          <w:sz w:val="28"/>
          <w:szCs w:val="28"/>
        </w:rPr>
      </w:pPr>
      <w:r w:rsidRPr="007E76D6">
        <w:rPr>
          <w:rFonts w:ascii="Times New Roman" w:hAnsi="Times New Roman"/>
          <w:sz w:val="28"/>
          <w:szCs w:val="28"/>
        </w:rPr>
        <w:t>Схемой газоснабжения г.</w:t>
      </w:r>
      <w:r>
        <w:rPr>
          <w:rFonts w:ascii="Times New Roman" w:hAnsi="Times New Roman"/>
          <w:sz w:val="28"/>
          <w:szCs w:val="28"/>
        </w:rPr>
        <w:t xml:space="preserve"> </w:t>
      </w:r>
      <w:r w:rsidRPr="007E76D6">
        <w:rPr>
          <w:rFonts w:ascii="Times New Roman" w:hAnsi="Times New Roman"/>
          <w:sz w:val="28"/>
          <w:szCs w:val="28"/>
        </w:rPr>
        <w:t xml:space="preserve">Куйбышева предусмотрено использование природного газа: </w:t>
      </w:r>
    </w:p>
    <w:p w:rsidR="002D1E45" w:rsidRPr="007E76D6"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lang w:eastAsia="ru-RU"/>
        </w:rPr>
      </w:pPr>
      <w:r w:rsidRPr="007E76D6">
        <w:rPr>
          <w:rFonts w:ascii="Times New Roman" w:hAnsi="Times New Roman"/>
          <w:sz w:val="28"/>
          <w:szCs w:val="28"/>
          <w:lang w:eastAsia="ru-RU"/>
        </w:rPr>
        <w:t>на приготовление пищи, горячее водоснабжение и отопление частного сектора, не попадающего под снос (номера микрорайонов частного сектора на плане и численность населения определены архитектурой г. Куйбышева);</w:t>
      </w:r>
    </w:p>
    <w:p w:rsidR="002D1E45" w:rsidRPr="007E76D6"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lang w:eastAsia="ru-RU"/>
        </w:rPr>
      </w:pPr>
      <w:r w:rsidRPr="007E76D6">
        <w:rPr>
          <w:rFonts w:ascii="Times New Roman" w:hAnsi="Times New Roman"/>
          <w:sz w:val="28"/>
          <w:szCs w:val="28"/>
          <w:lang w:eastAsia="ru-RU"/>
        </w:rPr>
        <w:t>на приготовление пищи в жилых домах, в которых используется сжиженный газ.</w:t>
      </w:r>
    </w:p>
    <w:p w:rsidR="002D1E45" w:rsidRPr="007E76D6" w:rsidRDefault="002D1E45" w:rsidP="007E76D6">
      <w:pPr>
        <w:spacing w:after="0" w:line="240" w:lineRule="auto"/>
        <w:ind w:firstLine="709"/>
        <w:jc w:val="both"/>
        <w:rPr>
          <w:rFonts w:ascii="Times New Roman" w:hAnsi="Times New Roman"/>
          <w:sz w:val="28"/>
          <w:szCs w:val="28"/>
        </w:rPr>
      </w:pPr>
      <w:r w:rsidRPr="007E76D6">
        <w:rPr>
          <w:rFonts w:ascii="Times New Roman" w:hAnsi="Times New Roman"/>
          <w:sz w:val="28"/>
          <w:szCs w:val="28"/>
        </w:rPr>
        <w:t>Охват населения газоснабжением составляет 81,3</w:t>
      </w:r>
      <w:r>
        <w:rPr>
          <w:rFonts w:ascii="Times New Roman" w:hAnsi="Times New Roman"/>
          <w:sz w:val="28"/>
          <w:szCs w:val="28"/>
        </w:rPr>
        <w:t xml:space="preserve"> </w:t>
      </w:r>
      <w:r w:rsidRPr="007E76D6">
        <w:rPr>
          <w:rFonts w:ascii="Times New Roman" w:hAnsi="Times New Roman"/>
          <w:sz w:val="28"/>
          <w:szCs w:val="28"/>
        </w:rPr>
        <w:t>% от общей численности по городу</w:t>
      </w:r>
      <w:r>
        <w:rPr>
          <w:rFonts w:ascii="Times New Roman" w:hAnsi="Times New Roman"/>
          <w:sz w:val="28"/>
          <w:szCs w:val="28"/>
        </w:rPr>
        <w:t>.</w:t>
      </w:r>
    </w:p>
    <w:p w:rsidR="002D1E45" w:rsidRPr="007E76D6" w:rsidRDefault="002D1E45" w:rsidP="007E76D6">
      <w:pPr>
        <w:spacing w:after="0" w:line="240" w:lineRule="auto"/>
        <w:ind w:firstLine="709"/>
        <w:jc w:val="both"/>
        <w:rPr>
          <w:rFonts w:ascii="Times New Roman" w:hAnsi="Times New Roman"/>
          <w:sz w:val="28"/>
          <w:szCs w:val="28"/>
        </w:rPr>
      </w:pPr>
      <w:r w:rsidRPr="007E76D6">
        <w:rPr>
          <w:rFonts w:ascii="Times New Roman" w:hAnsi="Times New Roman"/>
          <w:sz w:val="28"/>
          <w:szCs w:val="28"/>
        </w:rPr>
        <w:t>Годовые расходы газа на индивидуально-бытовые нужды населения определены в соответствии с принятыми расчётными показателями и с удельными нормами расхода газа.</w:t>
      </w:r>
    </w:p>
    <w:p w:rsidR="002D1E45" w:rsidRPr="007E76D6" w:rsidRDefault="002D1E45" w:rsidP="007E76D6">
      <w:pPr>
        <w:spacing w:after="0" w:line="240" w:lineRule="auto"/>
        <w:ind w:firstLine="709"/>
        <w:jc w:val="both"/>
        <w:rPr>
          <w:rFonts w:ascii="Times New Roman" w:hAnsi="Times New Roman"/>
          <w:sz w:val="28"/>
          <w:szCs w:val="28"/>
        </w:rPr>
      </w:pPr>
      <w:r w:rsidRPr="007E76D6">
        <w:rPr>
          <w:rFonts w:ascii="Times New Roman" w:hAnsi="Times New Roman"/>
          <w:sz w:val="28"/>
          <w:szCs w:val="28"/>
        </w:rPr>
        <w:t>Годовые расходы газа на отопление частного сектора определены из максимально-часового расхода газа и продолжительности отопительного периода.</w:t>
      </w:r>
    </w:p>
    <w:p w:rsidR="002D1E45" w:rsidRPr="007E76D6" w:rsidRDefault="002D1E45" w:rsidP="007E76D6">
      <w:pPr>
        <w:spacing w:after="0" w:line="240" w:lineRule="auto"/>
        <w:ind w:firstLine="709"/>
        <w:jc w:val="both"/>
        <w:rPr>
          <w:rFonts w:ascii="Times New Roman" w:hAnsi="Times New Roman"/>
          <w:sz w:val="28"/>
          <w:szCs w:val="28"/>
        </w:rPr>
      </w:pPr>
      <w:r w:rsidRPr="007E76D6">
        <w:rPr>
          <w:rFonts w:ascii="Times New Roman" w:hAnsi="Times New Roman"/>
          <w:sz w:val="28"/>
          <w:szCs w:val="28"/>
        </w:rPr>
        <w:t>Годовые расходы газа на коммунально-бытовые потребители, отопительные котельные, промышленные и сельскохозяйственные предприятия определены по приложению к техническому заданию.</w:t>
      </w:r>
    </w:p>
    <w:p w:rsidR="002D1E45" w:rsidRPr="007E76D6" w:rsidRDefault="002D1E45" w:rsidP="007E76D6">
      <w:pPr>
        <w:spacing w:after="0" w:line="240" w:lineRule="auto"/>
        <w:ind w:firstLine="709"/>
        <w:jc w:val="both"/>
        <w:rPr>
          <w:rFonts w:ascii="Times New Roman" w:hAnsi="Times New Roman"/>
          <w:sz w:val="28"/>
          <w:szCs w:val="28"/>
        </w:rPr>
      </w:pPr>
      <w:r w:rsidRPr="007E76D6">
        <w:rPr>
          <w:rFonts w:ascii="Times New Roman" w:hAnsi="Times New Roman"/>
          <w:sz w:val="28"/>
          <w:szCs w:val="28"/>
        </w:rPr>
        <w:t>Расчётной величиной для определения диаметров газопроводов яв</w:t>
      </w:r>
      <w:r>
        <w:rPr>
          <w:rFonts w:ascii="Times New Roman" w:hAnsi="Times New Roman"/>
          <w:sz w:val="28"/>
          <w:szCs w:val="28"/>
        </w:rPr>
        <w:t>л</w:t>
      </w:r>
      <w:r w:rsidRPr="007E76D6">
        <w:rPr>
          <w:rFonts w:ascii="Times New Roman" w:hAnsi="Times New Roman"/>
          <w:sz w:val="28"/>
          <w:szCs w:val="28"/>
        </w:rPr>
        <w:t>яются максимально-часовые расходы газа, определяемые из годового расхода и числа часов использования максимума по каждой категории потребителей отдельно. По группе индивидуально-бытовых потребителей газа число часов использования максимума принято в зависимости от численности газоснабжаемого населения.</w:t>
      </w:r>
    </w:p>
    <w:p w:rsidR="002D1E45" w:rsidRDefault="002D1E45" w:rsidP="007E76D6">
      <w:pPr>
        <w:spacing w:after="0" w:line="240" w:lineRule="auto"/>
        <w:ind w:firstLine="709"/>
        <w:jc w:val="both"/>
        <w:rPr>
          <w:rFonts w:ascii="Times New Roman" w:hAnsi="Times New Roman"/>
          <w:sz w:val="28"/>
          <w:szCs w:val="28"/>
        </w:rPr>
      </w:pPr>
      <w:r w:rsidRPr="007E76D6">
        <w:rPr>
          <w:rFonts w:ascii="Times New Roman" w:hAnsi="Times New Roman"/>
          <w:sz w:val="28"/>
          <w:szCs w:val="28"/>
        </w:rPr>
        <w:t>Максимально-часовые расходы газа на отопление частного сектора города определены из величины отапливаемой площади и укрупнённого показателя максимально-часового расхода тепла на отопление жилых зданий.</w:t>
      </w:r>
    </w:p>
    <w:p w:rsidR="002D1E45" w:rsidRPr="007E76D6" w:rsidRDefault="002D1E45" w:rsidP="007E76D6">
      <w:pPr>
        <w:spacing w:after="0" w:line="240" w:lineRule="auto"/>
        <w:ind w:firstLine="709"/>
        <w:jc w:val="both"/>
        <w:rPr>
          <w:rFonts w:ascii="Times New Roman" w:hAnsi="Times New Roman"/>
          <w:sz w:val="28"/>
          <w:szCs w:val="28"/>
        </w:rPr>
      </w:pPr>
      <w:r w:rsidRPr="007E76D6">
        <w:rPr>
          <w:rFonts w:ascii="Times New Roman" w:hAnsi="Times New Roman"/>
          <w:sz w:val="28"/>
          <w:szCs w:val="28"/>
        </w:rPr>
        <w:t>Результаты расчётов годовых и максимально-часовых расходов газа по городу по всем категориям потребителей приведены в таблице</w:t>
      </w:r>
      <w:r>
        <w:rPr>
          <w:rFonts w:ascii="Times New Roman" w:hAnsi="Times New Roman"/>
          <w:sz w:val="28"/>
          <w:szCs w:val="28"/>
        </w:rPr>
        <w:t>.</w:t>
      </w:r>
    </w:p>
    <w:p w:rsidR="002D1E45" w:rsidRPr="00B358AC" w:rsidRDefault="002D1E45" w:rsidP="007E76D6">
      <w:pPr>
        <w:autoSpaceDE w:val="0"/>
        <w:autoSpaceDN w:val="0"/>
        <w:adjustRightInd w:val="0"/>
        <w:spacing w:after="0" w:line="240" w:lineRule="auto"/>
        <w:ind w:firstLine="709"/>
        <w:jc w:val="right"/>
        <w:rPr>
          <w:rFonts w:ascii="Times New Roman" w:hAnsi="Times New Roman"/>
          <w:sz w:val="28"/>
          <w:szCs w:val="24"/>
          <w:lang w:eastAsia="ru-RU"/>
        </w:rPr>
      </w:pPr>
      <w:r w:rsidRPr="00B358AC">
        <w:rPr>
          <w:rFonts w:ascii="Times New Roman" w:hAnsi="Times New Roman"/>
          <w:sz w:val="28"/>
          <w:szCs w:val="24"/>
          <w:lang w:eastAsia="ru-RU"/>
        </w:rPr>
        <w:t xml:space="preserve">Таблица </w:t>
      </w:r>
      <w:r w:rsidRPr="00B358AC">
        <w:rPr>
          <w:rFonts w:ascii="Times New Roman" w:hAnsi="Times New Roman"/>
          <w:sz w:val="28"/>
          <w:szCs w:val="24"/>
          <w:lang w:eastAsia="ru-RU"/>
        </w:rPr>
        <w:fldChar w:fldCharType="begin"/>
      </w:r>
      <w:r w:rsidRPr="00B358AC">
        <w:rPr>
          <w:rFonts w:ascii="Times New Roman" w:hAnsi="Times New Roman"/>
          <w:sz w:val="28"/>
          <w:szCs w:val="24"/>
          <w:lang w:eastAsia="ru-RU"/>
        </w:rPr>
        <w:instrText xml:space="preserve"> SEQ Таблица \* ARABIC </w:instrText>
      </w:r>
      <w:r w:rsidRPr="00B358AC">
        <w:rPr>
          <w:rFonts w:ascii="Times New Roman" w:hAnsi="Times New Roman"/>
          <w:sz w:val="28"/>
          <w:szCs w:val="24"/>
          <w:lang w:eastAsia="ru-RU"/>
        </w:rPr>
        <w:fldChar w:fldCharType="separate"/>
      </w:r>
      <w:r>
        <w:rPr>
          <w:rFonts w:ascii="Times New Roman" w:hAnsi="Times New Roman"/>
          <w:noProof/>
          <w:sz w:val="28"/>
          <w:szCs w:val="24"/>
          <w:lang w:eastAsia="ru-RU"/>
        </w:rPr>
        <w:t>21</w:t>
      </w:r>
      <w:r w:rsidRPr="00B358AC">
        <w:rPr>
          <w:rFonts w:ascii="Times New Roman" w:hAnsi="Times New Roman"/>
          <w:sz w:val="28"/>
          <w:szCs w:val="24"/>
          <w:lang w:eastAsia="ru-RU"/>
        </w:rPr>
        <w:fldChar w:fldCharType="end"/>
      </w:r>
    </w:p>
    <w:p w:rsidR="002D1E45" w:rsidRDefault="002D1E45" w:rsidP="007E76D6">
      <w:pPr>
        <w:spacing w:after="120" w:line="240" w:lineRule="auto"/>
        <w:jc w:val="center"/>
        <w:rPr>
          <w:rFonts w:ascii="Times New Roman" w:hAnsi="Times New Roman"/>
          <w:sz w:val="28"/>
          <w:szCs w:val="24"/>
          <w:lang w:eastAsia="ru-RU"/>
        </w:rPr>
      </w:pPr>
      <w:r w:rsidRPr="007E76D6">
        <w:rPr>
          <w:rFonts w:ascii="Times New Roman" w:hAnsi="Times New Roman"/>
          <w:sz w:val="28"/>
          <w:szCs w:val="24"/>
          <w:lang w:eastAsia="ru-RU"/>
        </w:rPr>
        <w:t>Результаты расчётов годовых и максимально-часовых расходов газа</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62"/>
        <w:gridCol w:w="851"/>
        <w:gridCol w:w="709"/>
        <w:gridCol w:w="850"/>
        <w:gridCol w:w="709"/>
        <w:gridCol w:w="992"/>
        <w:gridCol w:w="908"/>
        <w:gridCol w:w="935"/>
        <w:gridCol w:w="930"/>
        <w:gridCol w:w="1006"/>
        <w:gridCol w:w="757"/>
        <w:gridCol w:w="1134"/>
      </w:tblGrid>
      <w:tr w:rsidR="002D1E45" w:rsidTr="007A0493">
        <w:trPr>
          <w:trHeight w:val="57"/>
          <w:jc w:val="center"/>
        </w:trPr>
        <w:tc>
          <w:tcPr>
            <w:tcW w:w="562" w:type="dxa"/>
            <w:vMerge w:val="restart"/>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п/п</w:t>
            </w:r>
          </w:p>
        </w:tc>
        <w:tc>
          <w:tcPr>
            <w:tcW w:w="851" w:type="dxa"/>
            <w:vMerge w:val="restart"/>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 микро-</w:t>
            </w:r>
          </w:p>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района</w:t>
            </w:r>
          </w:p>
        </w:tc>
        <w:tc>
          <w:tcPr>
            <w:tcW w:w="2268" w:type="dxa"/>
            <w:gridSpan w:val="3"/>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Количество газоснабжаемого населения</w:t>
            </w:r>
          </w:p>
        </w:tc>
        <w:tc>
          <w:tcPr>
            <w:tcW w:w="2835" w:type="dxa"/>
            <w:gridSpan w:val="3"/>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Расход газа годовой, тыс. м</w:t>
            </w:r>
            <w:r w:rsidRPr="00400086">
              <w:rPr>
                <w:rFonts w:ascii="Times New Roman" w:hAnsi="Times New Roman"/>
                <w:sz w:val="20"/>
                <w:vertAlign w:val="superscript"/>
              </w:rPr>
              <w:t>3</w:t>
            </w:r>
          </w:p>
        </w:tc>
        <w:tc>
          <w:tcPr>
            <w:tcW w:w="2693" w:type="dxa"/>
            <w:gridSpan w:val="3"/>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Расход газа максимально-часовой, м</w:t>
            </w:r>
            <w:r w:rsidRPr="00400086">
              <w:rPr>
                <w:rFonts w:ascii="Times New Roman" w:hAnsi="Times New Roman"/>
                <w:sz w:val="20"/>
                <w:vertAlign w:val="superscript"/>
              </w:rPr>
              <w:t>3</w:t>
            </w:r>
            <w:r w:rsidRPr="00400086">
              <w:rPr>
                <w:rFonts w:ascii="Times New Roman" w:hAnsi="Times New Roman"/>
                <w:sz w:val="20"/>
              </w:rPr>
              <w:t>/час</w:t>
            </w:r>
          </w:p>
        </w:tc>
        <w:tc>
          <w:tcPr>
            <w:tcW w:w="1134"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№ГРП, №РУ</w:t>
            </w:r>
          </w:p>
        </w:tc>
      </w:tr>
      <w:tr w:rsidR="002D1E45" w:rsidTr="007A0493">
        <w:trPr>
          <w:trHeight w:val="57"/>
          <w:jc w:val="center"/>
        </w:trPr>
        <w:tc>
          <w:tcPr>
            <w:tcW w:w="562" w:type="dxa"/>
            <w:vMerge/>
            <w:tcBorders>
              <w:top w:val="single" w:sz="4" w:space="0" w:color="000000"/>
              <w:left w:val="single" w:sz="4" w:space="0" w:color="000000"/>
              <w:bottom w:val="single" w:sz="4" w:space="0" w:color="000000"/>
              <w:right w:val="single" w:sz="4" w:space="0" w:color="000000"/>
            </w:tcBorders>
            <w:vAlign w:val="center"/>
          </w:tcPr>
          <w:p w:rsidR="002D1E45" w:rsidRPr="007A0493" w:rsidRDefault="002D1E45" w:rsidP="007A0493">
            <w:pPr>
              <w:spacing w:after="0" w:line="240" w:lineRule="auto"/>
              <w:rPr>
                <w:rFonts w:ascii="Times New Roman" w:hAnsi="Times New Roman"/>
                <w:sz w:val="20"/>
                <w:szCs w:val="20"/>
              </w:rPr>
            </w:pPr>
          </w:p>
        </w:tc>
        <w:tc>
          <w:tcPr>
            <w:tcW w:w="851" w:type="dxa"/>
            <w:vMerge/>
            <w:tcBorders>
              <w:top w:val="single" w:sz="4" w:space="0" w:color="000000"/>
              <w:left w:val="single" w:sz="4" w:space="0" w:color="000000"/>
              <w:bottom w:val="single" w:sz="4" w:space="0" w:color="000000"/>
              <w:right w:val="single" w:sz="4" w:space="0" w:color="000000"/>
            </w:tcBorders>
            <w:vAlign w:val="center"/>
          </w:tcPr>
          <w:p w:rsidR="002D1E45" w:rsidRPr="007A0493" w:rsidRDefault="002D1E45" w:rsidP="007A0493">
            <w:pPr>
              <w:spacing w:after="0" w:line="240" w:lineRule="auto"/>
              <w:rPr>
                <w:rFonts w:ascii="Times New Roman" w:hAnsi="Times New Roman"/>
                <w:sz w:val="20"/>
                <w:szCs w:val="20"/>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Мало этаж</w:t>
            </w:r>
          </w:p>
        </w:tc>
        <w:tc>
          <w:tcPr>
            <w:tcW w:w="850"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Многоэтаж.</w:t>
            </w:r>
          </w:p>
        </w:tc>
        <w:tc>
          <w:tcPr>
            <w:tcW w:w="709"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итого</w:t>
            </w:r>
          </w:p>
        </w:tc>
        <w:tc>
          <w:tcPr>
            <w:tcW w:w="992"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малоэтаж</w:t>
            </w:r>
          </w:p>
        </w:tc>
        <w:tc>
          <w:tcPr>
            <w:tcW w:w="908"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многоэтаж</w:t>
            </w:r>
          </w:p>
        </w:tc>
        <w:tc>
          <w:tcPr>
            <w:tcW w:w="935"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итого</w:t>
            </w:r>
          </w:p>
        </w:tc>
        <w:tc>
          <w:tcPr>
            <w:tcW w:w="930"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малоэтаж</w:t>
            </w:r>
          </w:p>
        </w:tc>
        <w:tc>
          <w:tcPr>
            <w:tcW w:w="1006"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многоэтаж</w:t>
            </w:r>
          </w:p>
        </w:tc>
        <w:tc>
          <w:tcPr>
            <w:tcW w:w="757"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итого</w:t>
            </w:r>
          </w:p>
        </w:tc>
        <w:tc>
          <w:tcPr>
            <w:tcW w:w="1134" w:type="dxa"/>
            <w:tcBorders>
              <w:top w:val="single" w:sz="4" w:space="0" w:color="000000"/>
              <w:left w:val="single" w:sz="4" w:space="0" w:color="000000"/>
              <w:bottom w:val="single" w:sz="4" w:space="0" w:color="000000"/>
              <w:right w:val="single" w:sz="4" w:space="0" w:color="000000"/>
            </w:tcBorders>
            <w:vAlign w:val="center"/>
          </w:tcPr>
          <w:p w:rsidR="002D1E45" w:rsidRPr="007A0493" w:rsidRDefault="002D1E45" w:rsidP="007A0493">
            <w:pPr>
              <w:spacing w:after="0" w:line="240" w:lineRule="auto"/>
              <w:rPr>
                <w:rFonts w:ascii="Times New Roman" w:hAnsi="Times New Roman"/>
                <w:sz w:val="20"/>
                <w:szCs w:val="20"/>
              </w:rPr>
            </w:pPr>
          </w:p>
        </w:tc>
      </w:tr>
      <w:tr w:rsidR="002D1E45" w:rsidTr="007A0493">
        <w:trPr>
          <w:trHeight w:val="57"/>
          <w:jc w:val="center"/>
        </w:trPr>
        <w:tc>
          <w:tcPr>
            <w:tcW w:w="562"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1</w:t>
            </w:r>
          </w:p>
        </w:tc>
        <w:tc>
          <w:tcPr>
            <w:tcW w:w="851"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1-1</w:t>
            </w:r>
          </w:p>
        </w:tc>
        <w:tc>
          <w:tcPr>
            <w:tcW w:w="709"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259</w:t>
            </w:r>
          </w:p>
        </w:tc>
        <w:tc>
          <w:tcPr>
            <w:tcW w:w="850"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w:t>
            </w:r>
          </w:p>
        </w:tc>
        <w:tc>
          <w:tcPr>
            <w:tcW w:w="709"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259</w:t>
            </w:r>
          </w:p>
        </w:tc>
        <w:tc>
          <w:tcPr>
            <w:tcW w:w="992"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465,75</w:t>
            </w:r>
          </w:p>
        </w:tc>
        <w:tc>
          <w:tcPr>
            <w:tcW w:w="908"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w:t>
            </w:r>
          </w:p>
        </w:tc>
        <w:tc>
          <w:tcPr>
            <w:tcW w:w="935"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465,75</w:t>
            </w:r>
          </w:p>
        </w:tc>
        <w:tc>
          <w:tcPr>
            <w:tcW w:w="930"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185</w:t>
            </w:r>
          </w:p>
        </w:tc>
        <w:tc>
          <w:tcPr>
            <w:tcW w:w="1006"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w:t>
            </w:r>
          </w:p>
        </w:tc>
        <w:tc>
          <w:tcPr>
            <w:tcW w:w="757"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185</w:t>
            </w:r>
          </w:p>
        </w:tc>
        <w:tc>
          <w:tcPr>
            <w:tcW w:w="1134"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1</w:t>
            </w:r>
          </w:p>
        </w:tc>
      </w:tr>
      <w:tr w:rsidR="002D1E45" w:rsidTr="007A0493">
        <w:trPr>
          <w:trHeight w:val="57"/>
          <w:jc w:val="center"/>
        </w:trPr>
        <w:tc>
          <w:tcPr>
            <w:tcW w:w="562"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2</w:t>
            </w:r>
          </w:p>
        </w:tc>
        <w:tc>
          <w:tcPr>
            <w:tcW w:w="851"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1-2</w:t>
            </w:r>
          </w:p>
        </w:tc>
        <w:tc>
          <w:tcPr>
            <w:tcW w:w="709"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399</w:t>
            </w:r>
          </w:p>
        </w:tc>
        <w:tc>
          <w:tcPr>
            <w:tcW w:w="850"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w:t>
            </w:r>
          </w:p>
        </w:tc>
        <w:tc>
          <w:tcPr>
            <w:tcW w:w="709"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399</w:t>
            </w:r>
          </w:p>
        </w:tc>
        <w:tc>
          <w:tcPr>
            <w:tcW w:w="992"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724,80</w:t>
            </w:r>
          </w:p>
        </w:tc>
        <w:tc>
          <w:tcPr>
            <w:tcW w:w="908"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w:t>
            </w:r>
          </w:p>
        </w:tc>
        <w:tc>
          <w:tcPr>
            <w:tcW w:w="935"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724,80</w:t>
            </w:r>
          </w:p>
        </w:tc>
        <w:tc>
          <w:tcPr>
            <w:tcW w:w="930"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288</w:t>
            </w:r>
          </w:p>
        </w:tc>
        <w:tc>
          <w:tcPr>
            <w:tcW w:w="1006"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w:t>
            </w:r>
          </w:p>
        </w:tc>
        <w:tc>
          <w:tcPr>
            <w:tcW w:w="757"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288</w:t>
            </w:r>
          </w:p>
        </w:tc>
        <w:tc>
          <w:tcPr>
            <w:tcW w:w="1134"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2</w:t>
            </w:r>
          </w:p>
        </w:tc>
      </w:tr>
      <w:tr w:rsidR="002D1E45" w:rsidTr="007A0493">
        <w:trPr>
          <w:trHeight w:val="57"/>
          <w:jc w:val="center"/>
        </w:trPr>
        <w:tc>
          <w:tcPr>
            <w:tcW w:w="562"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3</w:t>
            </w:r>
          </w:p>
        </w:tc>
        <w:tc>
          <w:tcPr>
            <w:tcW w:w="851"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1-3</w:t>
            </w:r>
          </w:p>
        </w:tc>
        <w:tc>
          <w:tcPr>
            <w:tcW w:w="709"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1129</w:t>
            </w:r>
          </w:p>
        </w:tc>
        <w:tc>
          <w:tcPr>
            <w:tcW w:w="850"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2099</w:t>
            </w:r>
          </w:p>
        </w:tc>
        <w:tc>
          <w:tcPr>
            <w:tcW w:w="709"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3228</w:t>
            </w:r>
          </w:p>
        </w:tc>
        <w:tc>
          <w:tcPr>
            <w:tcW w:w="992"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2098,85</w:t>
            </w:r>
          </w:p>
        </w:tc>
        <w:tc>
          <w:tcPr>
            <w:tcW w:w="908"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856,00</w:t>
            </w:r>
          </w:p>
        </w:tc>
        <w:tc>
          <w:tcPr>
            <w:tcW w:w="935"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2954,85</w:t>
            </w:r>
          </w:p>
        </w:tc>
        <w:tc>
          <w:tcPr>
            <w:tcW w:w="930"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817</w:t>
            </w:r>
          </w:p>
        </w:tc>
        <w:tc>
          <w:tcPr>
            <w:tcW w:w="1006"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428</w:t>
            </w:r>
          </w:p>
        </w:tc>
        <w:tc>
          <w:tcPr>
            <w:tcW w:w="757"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1245</w:t>
            </w:r>
          </w:p>
        </w:tc>
        <w:tc>
          <w:tcPr>
            <w:tcW w:w="1134"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3,4, РУ7,8,10</w:t>
            </w:r>
          </w:p>
        </w:tc>
      </w:tr>
      <w:tr w:rsidR="002D1E45" w:rsidTr="007A0493">
        <w:trPr>
          <w:trHeight w:val="57"/>
          <w:jc w:val="center"/>
        </w:trPr>
        <w:tc>
          <w:tcPr>
            <w:tcW w:w="562"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4</w:t>
            </w:r>
          </w:p>
        </w:tc>
        <w:tc>
          <w:tcPr>
            <w:tcW w:w="851"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1-4</w:t>
            </w:r>
          </w:p>
        </w:tc>
        <w:tc>
          <w:tcPr>
            <w:tcW w:w="709"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w:t>
            </w:r>
          </w:p>
        </w:tc>
        <w:tc>
          <w:tcPr>
            <w:tcW w:w="850"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2853</w:t>
            </w:r>
          </w:p>
        </w:tc>
        <w:tc>
          <w:tcPr>
            <w:tcW w:w="709"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2853</w:t>
            </w:r>
          </w:p>
        </w:tc>
        <w:tc>
          <w:tcPr>
            <w:tcW w:w="992"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w:t>
            </w:r>
          </w:p>
        </w:tc>
        <w:tc>
          <w:tcPr>
            <w:tcW w:w="908"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1334,55</w:t>
            </w:r>
          </w:p>
        </w:tc>
        <w:tc>
          <w:tcPr>
            <w:tcW w:w="935"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1334,55</w:t>
            </w:r>
          </w:p>
        </w:tc>
        <w:tc>
          <w:tcPr>
            <w:tcW w:w="930"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w:t>
            </w:r>
          </w:p>
        </w:tc>
        <w:tc>
          <w:tcPr>
            <w:tcW w:w="1006"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651</w:t>
            </w:r>
          </w:p>
        </w:tc>
        <w:tc>
          <w:tcPr>
            <w:tcW w:w="757"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651</w:t>
            </w:r>
          </w:p>
        </w:tc>
        <w:tc>
          <w:tcPr>
            <w:tcW w:w="1134"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РУ5,6</w:t>
            </w:r>
          </w:p>
        </w:tc>
      </w:tr>
      <w:tr w:rsidR="002D1E45" w:rsidTr="007A0493">
        <w:trPr>
          <w:trHeight w:val="57"/>
          <w:jc w:val="center"/>
        </w:trPr>
        <w:tc>
          <w:tcPr>
            <w:tcW w:w="562"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5</w:t>
            </w:r>
          </w:p>
        </w:tc>
        <w:tc>
          <w:tcPr>
            <w:tcW w:w="851"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1-5</w:t>
            </w:r>
          </w:p>
        </w:tc>
        <w:tc>
          <w:tcPr>
            <w:tcW w:w="709"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1625</w:t>
            </w:r>
          </w:p>
        </w:tc>
        <w:tc>
          <w:tcPr>
            <w:tcW w:w="850"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w:t>
            </w:r>
          </w:p>
        </w:tc>
        <w:tc>
          <w:tcPr>
            <w:tcW w:w="709"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1625</w:t>
            </w:r>
          </w:p>
        </w:tc>
        <w:tc>
          <w:tcPr>
            <w:tcW w:w="992"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2996,48</w:t>
            </w:r>
          </w:p>
        </w:tc>
        <w:tc>
          <w:tcPr>
            <w:tcW w:w="908"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w:t>
            </w:r>
          </w:p>
        </w:tc>
        <w:tc>
          <w:tcPr>
            <w:tcW w:w="935"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2996,48</w:t>
            </w:r>
          </w:p>
        </w:tc>
        <w:tc>
          <w:tcPr>
            <w:tcW w:w="930"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1167</w:t>
            </w:r>
          </w:p>
        </w:tc>
        <w:tc>
          <w:tcPr>
            <w:tcW w:w="1006"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w:t>
            </w:r>
          </w:p>
        </w:tc>
        <w:tc>
          <w:tcPr>
            <w:tcW w:w="757"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1167</w:t>
            </w:r>
          </w:p>
        </w:tc>
        <w:tc>
          <w:tcPr>
            <w:tcW w:w="1134"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5,6</w:t>
            </w:r>
          </w:p>
        </w:tc>
      </w:tr>
      <w:tr w:rsidR="002D1E45" w:rsidTr="007A0493">
        <w:trPr>
          <w:trHeight w:val="57"/>
          <w:jc w:val="center"/>
        </w:trPr>
        <w:tc>
          <w:tcPr>
            <w:tcW w:w="562"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6</w:t>
            </w:r>
          </w:p>
        </w:tc>
        <w:tc>
          <w:tcPr>
            <w:tcW w:w="851"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1-6</w:t>
            </w:r>
          </w:p>
        </w:tc>
        <w:tc>
          <w:tcPr>
            <w:tcW w:w="709"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1826</w:t>
            </w:r>
          </w:p>
        </w:tc>
        <w:tc>
          <w:tcPr>
            <w:tcW w:w="850"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w:t>
            </w:r>
          </w:p>
        </w:tc>
        <w:tc>
          <w:tcPr>
            <w:tcW w:w="709"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1826</w:t>
            </w:r>
          </w:p>
        </w:tc>
        <w:tc>
          <w:tcPr>
            <w:tcW w:w="992"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3371,93</w:t>
            </w:r>
          </w:p>
        </w:tc>
        <w:tc>
          <w:tcPr>
            <w:tcW w:w="908"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w:t>
            </w:r>
          </w:p>
        </w:tc>
        <w:tc>
          <w:tcPr>
            <w:tcW w:w="935"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3371,93</w:t>
            </w:r>
          </w:p>
        </w:tc>
        <w:tc>
          <w:tcPr>
            <w:tcW w:w="930"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1313</w:t>
            </w:r>
          </w:p>
        </w:tc>
        <w:tc>
          <w:tcPr>
            <w:tcW w:w="1006"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w:t>
            </w:r>
          </w:p>
        </w:tc>
        <w:tc>
          <w:tcPr>
            <w:tcW w:w="757"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1313</w:t>
            </w:r>
          </w:p>
        </w:tc>
        <w:tc>
          <w:tcPr>
            <w:tcW w:w="1134" w:type="dxa"/>
            <w:tcBorders>
              <w:top w:val="single" w:sz="4" w:space="0" w:color="000000"/>
              <w:left w:val="single" w:sz="4" w:space="0" w:color="000000"/>
              <w:bottom w:val="single" w:sz="4" w:space="0" w:color="000000"/>
              <w:right w:val="single" w:sz="4" w:space="0" w:color="000000"/>
            </w:tcBorders>
            <w:vAlign w:val="center"/>
          </w:tcPr>
          <w:p w:rsidR="002D1E45" w:rsidRPr="00400086" w:rsidRDefault="002D1E45" w:rsidP="007A0493">
            <w:pPr>
              <w:pStyle w:val="ListParagraph"/>
              <w:spacing w:after="0" w:line="240" w:lineRule="auto"/>
              <w:ind w:left="0"/>
              <w:jc w:val="center"/>
              <w:rPr>
                <w:rFonts w:ascii="Times New Roman" w:hAnsi="Times New Roman"/>
                <w:sz w:val="20"/>
              </w:rPr>
            </w:pPr>
            <w:r w:rsidRPr="00400086">
              <w:rPr>
                <w:rFonts w:ascii="Times New Roman" w:hAnsi="Times New Roman"/>
                <w:sz w:val="20"/>
              </w:rPr>
              <w:t>7,8,9</w:t>
            </w:r>
          </w:p>
        </w:tc>
      </w:tr>
    </w:tbl>
    <w:p w:rsidR="002D1E45" w:rsidRDefault="002D1E45" w:rsidP="00911733">
      <w:pPr>
        <w:spacing w:after="0" w:line="240" w:lineRule="auto"/>
        <w:ind w:firstLine="709"/>
        <w:jc w:val="both"/>
        <w:rPr>
          <w:rFonts w:ascii="Times New Roman" w:hAnsi="Times New Roman"/>
          <w:sz w:val="28"/>
          <w:szCs w:val="28"/>
        </w:rPr>
      </w:pPr>
    </w:p>
    <w:p w:rsidR="002D1E45" w:rsidRPr="00FD375E" w:rsidRDefault="002D1E45" w:rsidP="00852938">
      <w:pPr>
        <w:pStyle w:val="Heading3"/>
        <w:numPr>
          <w:ilvl w:val="2"/>
          <w:numId w:val="65"/>
        </w:numPr>
        <w:tabs>
          <w:tab w:val="left" w:pos="1418"/>
        </w:tabs>
        <w:spacing w:before="120"/>
        <w:ind w:left="1418" w:hanging="698"/>
        <w:jc w:val="both"/>
        <w:rPr>
          <w:rFonts w:ascii="Times New Roman" w:hAnsi="Times New Roman"/>
          <w:sz w:val="28"/>
        </w:rPr>
      </w:pPr>
      <w:bookmarkStart w:id="162" w:name="_Toc475037095"/>
      <w:bookmarkStart w:id="163" w:name="_Toc84936036"/>
      <w:r w:rsidRPr="00FD375E">
        <w:rPr>
          <w:rFonts w:ascii="Times New Roman" w:hAnsi="Times New Roman"/>
          <w:sz w:val="28"/>
        </w:rPr>
        <w:t>Электроснабжение</w:t>
      </w:r>
      <w:bookmarkEnd w:id="162"/>
      <w:bookmarkEnd w:id="163"/>
    </w:p>
    <w:p w:rsidR="002D1E45" w:rsidRDefault="002D1E45" w:rsidP="003A7901">
      <w:pPr>
        <w:spacing w:after="0" w:line="240" w:lineRule="auto"/>
        <w:ind w:firstLine="709"/>
        <w:jc w:val="both"/>
        <w:rPr>
          <w:rFonts w:ascii="Times New Roman" w:hAnsi="Times New Roman"/>
          <w:sz w:val="28"/>
          <w:szCs w:val="28"/>
        </w:rPr>
      </w:pPr>
    </w:p>
    <w:p w:rsidR="002D1E45" w:rsidRPr="002C51F4" w:rsidRDefault="002D1E45" w:rsidP="002C51F4">
      <w:pPr>
        <w:spacing w:after="0" w:line="240" w:lineRule="auto"/>
        <w:ind w:firstLine="709"/>
        <w:jc w:val="both"/>
        <w:rPr>
          <w:rFonts w:ascii="Times New Roman" w:hAnsi="Times New Roman"/>
          <w:sz w:val="28"/>
          <w:szCs w:val="28"/>
        </w:rPr>
      </w:pPr>
      <w:r w:rsidRPr="00B05F50">
        <w:rPr>
          <w:rFonts w:ascii="Times New Roman" w:hAnsi="Times New Roman"/>
          <w:sz w:val="28"/>
          <w:szCs w:val="28"/>
        </w:rPr>
        <w:t xml:space="preserve">Электроснабжение </w:t>
      </w:r>
      <w:r>
        <w:rPr>
          <w:rFonts w:ascii="Times New Roman" w:hAnsi="Times New Roman"/>
          <w:sz w:val="28"/>
          <w:szCs w:val="28"/>
        </w:rPr>
        <w:t>города</w:t>
      </w:r>
      <w:r w:rsidRPr="00B05F50">
        <w:rPr>
          <w:rFonts w:ascii="Times New Roman" w:hAnsi="Times New Roman"/>
          <w:sz w:val="28"/>
          <w:szCs w:val="28"/>
        </w:rPr>
        <w:t xml:space="preserve"> осуществляется организациями ОАО «СИБЭКО», ОАО «Новосибирскэнергосбыт» ОАО «РЭС». </w:t>
      </w:r>
      <w:r w:rsidRPr="002C51F4">
        <w:rPr>
          <w:rFonts w:ascii="Times New Roman" w:hAnsi="Times New Roman"/>
          <w:sz w:val="28"/>
          <w:szCs w:val="28"/>
        </w:rPr>
        <w:t>Территория данного муниципального образования находится в зоне действия следующих центров питания:</w:t>
      </w:r>
    </w:p>
    <w:p w:rsidR="002D1E45" w:rsidRPr="002C51F4"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lang w:eastAsia="ru-RU"/>
        </w:rPr>
      </w:pPr>
      <w:r w:rsidRPr="002C51F4">
        <w:rPr>
          <w:rFonts w:ascii="Times New Roman" w:hAnsi="Times New Roman"/>
          <w:sz w:val="28"/>
          <w:szCs w:val="28"/>
          <w:lang w:eastAsia="ru-RU"/>
        </w:rPr>
        <w:t>Барабинская ТЭЦ;</w:t>
      </w:r>
    </w:p>
    <w:p w:rsidR="002D1E45" w:rsidRPr="002C51F4"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lang w:eastAsia="ru-RU"/>
        </w:rPr>
      </w:pPr>
      <w:r w:rsidRPr="002C51F4">
        <w:rPr>
          <w:rFonts w:ascii="Times New Roman" w:hAnsi="Times New Roman"/>
          <w:sz w:val="28"/>
          <w:szCs w:val="28"/>
          <w:lang w:eastAsia="ru-RU"/>
        </w:rPr>
        <w:t>ПС 500 кВ Барабинская;</w:t>
      </w:r>
    </w:p>
    <w:p w:rsidR="002D1E45" w:rsidRPr="002C51F4"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lang w:eastAsia="ru-RU"/>
        </w:rPr>
      </w:pPr>
      <w:r w:rsidRPr="002C51F4">
        <w:rPr>
          <w:rFonts w:ascii="Times New Roman" w:hAnsi="Times New Roman"/>
          <w:sz w:val="28"/>
          <w:szCs w:val="28"/>
          <w:lang w:eastAsia="ru-RU"/>
        </w:rPr>
        <w:t>ПС 110/35/10 кВ Оленёнок с трансформаторами мощностью 2</w:t>
      </w:r>
      <w:r>
        <w:rPr>
          <w:rFonts w:ascii="Times New Roman" w:hAnsi="Times New Roman"/>
          <w:sz w:val="28"/>
          <w:szCs w:val="28"/>
          <w:lang w:eastAsia="ru-RU"/>
        </w:rPr>
        <w:t>×</w:t>
      </w:r>
      <w:r w:rsidRPr="002C51F4">
        <w:rPr>
          <w:rFonts w:ascii="Times New Roman" w:hAnsi="Times New Roman"/>
          <w:sz w:val="28"/>
          <w:szCs w:val="28"/>
          <w:lang w:eastAsia="ru-RU"/>
        </w:rPr>
        <w:t>10 MBA. Объем свободной для технологического присоединения мощности на 01.10.2020 составляет 2,27 МВт;</w:t>
      </w:r>
    </w:p>
    <w:p w:rsidR="002D1E45" w:rsidRPr="002C51F4"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lang w:eastAsia="ru-RU"/>
        </w:rPr>
      </w:pPr>
      <w:r w:rsidRPr="002C51F4">
        <w:rPr>
          <w:rFonts w:ascii="Times New Roman" w:hAnsi="Times New Roman"/>
          <w:sz w:val="28"/>
          <w:szCs w:val="28"/>
          <w:lang w:eastAsia="ru-RU"/>
        </w:rPr>
        <w:t>ПС 110/10 кВ Куйбыщевская с трансформаторами мощностью 2</w:t>
      </w:r>
      <w:r>
        <w:rPr>
          <w:rFonts w:ascii="Times New Roman" w:hAnsi="Times New Roman"/>
          <w:sz w:val="28"/>
          <w:szCs w:val="28"/>
          <w:lang w:eastAsia="ru-RU"/>
        </w:rPr>
        <w:t>×</w:t>
      </w:r>
      <w:r w:rsidRPr="002C51F4">
        <w:rPr>
          <w:rFonts w:ascii="Times New Roman" w:hAnsi="Times New Roman"/>
          <w:sz w:val="28"/>
          <w:szCs w:val="28"/>
          <w:lang w:eastAsia="ru-RU"/>
        </w:rPr>
        <w:t>25 MBA. Объ</w:t>
      </w:r>
      <w:r>
        <w:rPr>
          <w:rFonts w:ascii="Times New Roman" w:hAnsi="Times New Roman"/>
          <w:sz w:val="28"/>
          <w:szCs w:val="28"/>
          <w:lang w:eastAsia="ru-RU"/>
        </w:rPr>
        <w:t>ё</w:t>
      </w:r>
      <w:r w:rsidRPr="002C51F4">
        <w:rPr>
          <w:rFonts w:ascii="Times New Roman" w:hAnsi="Times New Roman"/>
          <w:sz w:val="28"/>
          <w:szCs w:val="28"/>
          <w:lang w:eastAsia="ru-RU"/>
        </w:rPr>
        <w:t>м свободной для технологического присоединения мощности на 01.10.2020 составляет 1,26 МВт.</w:t>
      </w:r>
    </w:p>
    <w:p w:rsidR="002D1E45" w:rsidRDefault="002D1E45" w:rsidP="002C51F4">
      <w:pPr>
        <w:spacing w:after="0" w:line="240" w:lineRule="auto"/>
        <w:ind w:firstLine="709"/>
        <w:jc w:val="both"/>
        <w:rPr>
          <w:rFonts w:ascii="Times New Roman" w:hAnsi="Times New Roman"/>
          <w:sz w:val="28"/>
          <w:szCs w:val="28"/>
        </w:rPr>
      </w:pPr>
      <w:r w:rsidRPr="00886926">
        <w:rPr>
          <w:rFonts w:ascii="Times New Roman" w:hAnsi="Times New Roman"/>
          <w:sz w:val="28"/>
          <w:szCs w:val="28"/>
        </w:rPr>
        <w:t xml:space="preserve">Основное топливо Барабинской ГРЭС </w:t>
      </w:r>
      <w:r>
        <w:rPr>
          <w:rFonts w:ascii="Times New Roman" w:hAnsi="Times New Roman"/>
          <w:sz w:val="28"/>
          <w:szCs w:val="28"/>
        </w:rPr>
        <w:t xml:space="preserve">– </w:t>
      </w:r>
      <w:r w:rsidRPr="00886926">
        <w:rPr>
          <w:rFonts w:ascii="Times New Roman" w:hAnsi="Times New Roman"/>
          <w:sz w:val="28"/>
          <w:szCs w:val="28"/>
        </w:rPr>
        <w:t>уголь. Электрическая мощность 114 МВт. Работает в режиме ТЭЦ. Барабинская ГРЭС обеспечивает электроэнергией города: Куйбышев, Барабинск, Омск, а также большой участок Западно-Сибирской железной дороги. В декабре 2003 года на Барабинской ГРЭС установлена новая турбина 30 МВт, а в 2006 году на станции была произведена замена автотрансформатора мощностью 220 МВт.</w:t>
      </w:r>
    </w:p>
    <w:p w:rsidR="002D1E45" w:rsidRPr="002C51F4" w:rsidRDefault="002D1E45" w:rsidP="002C51F4">
      <w:pPr>
        <w:spacing w:after="0" w:line="240" w:lineRule="auto"/>
        <w:ind w:firstLine="709"/>
        <w:jc w:val="both"/>
        <w:rPr>
          <w:rFonts w:ascii="Times New Roman" w:hAnsi="Times New Roman"/>
          <w:sz w:val="28"/>
          <w:szCs w:val="28"/>
        </w:rPr>
      </w:pPr>
      <w:r w:rsidRPr="002C51F4">
        <w:rPr>
          <w:rFonts w:ascii="Times New Roman" w:hAnsi="Times New Roman"/>
          <w:sz w:val="28"/>
          <w:szCs w:val="28"/>
        </w:rPr>
        <w:t>Территорию г. Куйбышев пересекают трассы;</w:t>
      </w:r>
    </w:p>
    <w:p w:rsidR="002D1E45" w:rsidRPr="002C51F4"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lang w:eastAsia="ru-RU"/>
        </w:rPr>
      </w:pPr>
      <w:r w:rsidRPr="002C51F4">
        <w:rPr>
          <w:rFonts w:ascii="Times New Roman" w:hAnsi="Times New Roman"/>
          <w:sz w:val="28"/>
          <w:szCs w:val="28"/>
          <w:lang w:eastAsia="ru-RU"/>
        </w:rPr>
        <w:t>ВЛ 500 кВ Заря – Барабинская;</w:t>
      </w:r>
    </w:p>
    <w:p w:rsidR="002D1E45" w:rsidRPr="002C51F4"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lang w:eastAsia="ru-RU"/>
        </w:rPr>
      </w:pPr>
      <w:r w:rsidRPr="002C51F4">
        <w:rPr>
          <w:rFonts w:ascii="Times New Roman" w:hAnsi="Times New Roman"/>
          <w:sz w:val="28"/>
          <w:szCs w:val="28"/>
          <w:lang w:eastAsia="ru-RU"/>
        </w:rPr>
        <w:t>ВЛ 500 кВ Таврическая – Барабинская;</w:t>
      </w:r>
    </w:p>
    <w:p w:rsidR="002D1E45" w:rsidRPr="002C51F4"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lang w:eastAsia="ru-RU"/>
        </w:rPr>
      </w:pPr>
      <w:r w:rsidRPr="002C51F4">
        <w:rPr>
          <w:rFonts w:ascii="Times New Roman" w:hAnsi="Times New Roman"/>
          <w:sz w:val="28"/>
          <w:szCs w:val="28"/>
          <w:lang w:eastAsia="ru-RU"/>
        </w:rPr>
        <w:t>ВЛ 220 кВ Барабинская – Чулымская (244)</w:t>
      </w:r>
      <w:r>
        <w:rPr>
          <w:rFonts w:ascii="Times New Roman" w:hAnsi="Times New Roman"/>
          <w:sz w:val="28"/>
          <w:szCs w:val="28"/>
          <w:lang w:eastAsia="ru-RU"/>
        </w:rPr>
        <w:t>;</w:t>
      </w:r>
    </w:p>
    <w:p w:rsidR="002D1E45" w:rsidRPr="002C51F4"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lang w:eastAsia="ru-RU"/>
        </w:rPr>
      </w:pPr>
      <w:r w:rsidRPr="002C51F4">
        <w:rPr>
          <w:rFonts w:ascii="Times New Roman" w:hAnsi="Times New Roman"/>
          <w:sz w:val="28"/>
          <w:szCs w:val="28"/>
          <w:lang w:eastAsia="ru-RU"/>
        </w:rPr>
        <w:t>ВЛ 220 кВ Барабинская ТЭЦ – Чулымская (243)</w:t>
      </w:r>
      <w:r>
        <w:rPr>
          <w:rFonts w:ascii="Times New Roman" w:hAnsi="Times New Roman"/>
          <w:sz w:val="28"/>
          <w:szCs w:val="28"/>
          <w:lang w:eastAsia="ru-RU"/>
        </w:rPr>
        <w:t>;</w:t>
      </w:r>
    </w:p>
    <w:p w:rsidR="002D1E45" w:rsidRPr="002C51F4"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lang w:eastAsia="ru-RU"/>
        </w:rPr>
      </w:pPr>
      <w:r w:rsidRPr="002C51F4">
        <w:rPr>
          <w:rFonts w:ascii="Times New Roman" w:hAnsi="Times New Roman"/>
          <w:sz w:val="28"/>
          <w:szCs w:val="28"/>
          <w:lang w:eastAsia="ru-RU"/>
        </w:rPr>
        <w:t>ВЛ 220 кВ Татарская - Барабинская (245)</w:t>
      </w:r>
      <w:r>
        <w:rPr>
          <w:rFonts w:ascii="Times New Roman" w:hAnsi="Times New Roman"/>
          <w:sz w:val="28"/>
          <w:szCs w:val="28"/>
          <w:lang w:eastAsia="ru-RU"/>
        </w:rPr>
        <w:t>;</w:t>
      </w:r>
    </w:p>
    <w:p w:rsidR="002D1E45" w:rsidRPr="002C51F4"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lang w:eastAsia="ru-RU"/>
        </w:rPr>
      </w:pPr>
      <w:r w:rsidRPr="002C51F4">
        <w:rPr>
          <w:rFonts w:ascii="Times New Roman" w:hAnsi="Times New Roman"/>
          <w:sz w:val="28"/>
          <w:szCs w:val="28"/>
          <w:lang w:eastAsia="ru-RU"/>
        </w:rPr>
        <w:t>ВЛ 220 кВ Барабинская ТЭЦ – Барабинская (248)</w:t>
      </w:r>
      <w:r>
        <w:rPr>
          <w:rFonts w:ascii="Times New Roman" w:hAnsi="Times New Roman"/>
          <w:sz w:val="28"/>
          <w:szCs w:val="28"/>
          <w:lang w:eastAsia="ru-RU"/>
        </w:rPr>
        <w:t>;</w:t>
      </w:r>
    </w:p>
    <w:p w:rsidR="002D1E45" w:rsidRPr="002C51F4"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lang w:eastAsia="ru-RU"/>
        </w:rPr>
      </w:pPr>
      <w:r w:rsidRPr="002C51F4">
        <w:rPr>
          <w:rFonts w:ascii="Times New Roman" w:hAnsi="Times New Roman"/>
          <w:sz w:val="28"/>
          <w:szCs w:val="28"/>
          <w:lang w:eastAsia="ru-RU"/>
        </w:rPr>
        <w:t>ВЛ 110 кВ Барабинская ТЭЦ – Барабушка с отпайками (3-9 Барабинская</w:t>
      </w:r>
    </w:p>
    <w:p w:rsidR="002D1E45" w:rsidRPr="002C51F4"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lang w:eastAsia="ru-RU"/>
        </w:rPr>
      </w:pPr>
      <w:r w:rsidRPr="002C51F4">
        <w:rPr>
          <w:rFonts w:ascii="Times New Roman" w:hAnsi="Times New Roman"/>
          <w:sz w:val="28"/>
          <w:szCs w:val="28"/>
          <w:lang w:eastAsia="ru-RU"/>
        </w:rPr>
        <w:t>ТЭЦ Барабушка)</w:t>
      </w:r>
      <w:r>
        <w:rPr>
          <w:rFonts w:ascii="Times New Roman" w:hAnsi="Times New Roman"/>
          <w:sz w:val="28"/>
          <w:szCs w:val="28"/>
          <w:lang w:eastAsia="ru-RU"/>
        </w:rPr>
        <w:t>;</w:t>
      </w:r>
    </w:p>
    <w:p w:rsidR="002D1E45" w:rsidRPr="002C51F4"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lang w:eastAsia="ru-RU"/>
        </w:rPr>
      </w:pPr>
      <w:r w:rsidRPr="002C51F4">
        <w:rPr>
          <w:rFonts w:ascii="Times New Roman" w:hAnsi="Times New Roman"/>
          <w:sz w:val="28"/>
          <w:szCs w:val="28"/>
          <w:lang w:eastAsia="ru-RU"/>
        </w:rPr>
        <w:t>ВЛ 110 кВ Барабинская ТЭЦ – Кирзинская с отпайками (3-10 Барабинская ТЭЦ – Кирзинская)</w:t>
      </w:r>
      <w:r>
        <w:rPr>
          <w:rFonts w:ascii="Times New Roman" w:hAnsi="Times New Roman"/>
          <w:sz w:val="28"/>
          <w:szCs w:val="28"/>
          <w:lang w:eastAsia="ru-RU"/>
        </w:rPr>
        <w:t>;</w:t>
      </w:r>
    </w:p>
    <w:p w:rsidR="002D1E45" w:rsidRPr="002C51F4"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lang w:eastAsia="ru-RU"/>
        </w:rPr>
      </w:pPr>
      <w:r w:rsidRPr="002C51F4">
        <w:rPr>
          <w:rFonts w:ascii="Times New Roman" w:hAnsi="Times New Roman"/>
          <w:sz w:val="28"/>
          <w:szCs w:val="28"/>
          <w:lang w:eastAsia="ru-RU"/>
        </w:rPr>
        <w:t>ВЛ 110 кВ Барабинская ТЭЦ – Кожурла с отпайками (3-7 Барабинская ТЭЦ</w:t>
      </w:r>
    </w:p>
    <w:p w:rsidR="002D1E45" w:rsidRPr="002C51F4"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lang w:eastAsia="ru-RU"/>
        </w:rPr>
      </w:pPr>
      <w:r w:rsidRPr="002C51F4">
        <w:rPr>
          <w:rFonts w:ascii="Times New Roman" w:hAnsi="Times New Roman"/>
          <w:sz w:val="28"/>
          <w:szCs w:val="28"/>
          <w:lang w:eastAsia="ru-RU"/>
        </w:rPr>
        <w:t>Кожурла)</w:t>
      </w:r>
      <w:r>
        <w:rPr>
          <w:rFonts w:ascii="Times New Roman" w:hAnsi="Times New Roman"/>
          <w:sz w:val="28"/>
          <w:szCs w:val="28"/>
          <w:lang w:eastAsia="ru-RU"/>
        </w:rPr>
        <w:t>;</w:t>
      </w:r>
    </w:p>
    <w:p w:rsidR="002D1E45" w:rsidRPr="002C51F4"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lang w:eastAsia="ru-RU"/>
        </w:rPr>
      </w:pPr>
      <w:r w:rsidRPr="002C51F4">
        <w:rPr>
          <w:rFonts w:ascii="Times New Roman" w:hAnsi="Times New Roman"/>
          <w:sz w:val="28"/>
          <w:szCs w:val="28"/>
          <w:lang w:eastAsia="ru-RU"/>
        </w:rPr>
        <w:t>ВЛ 110 кВ Барабинская ТЭЦ – Клубничная с отпайками (3-8 Барабинская ТЭЦ – Клубничная)</w:t>
      </w:r>
      <w:r>
        <w:rPr>
          <w:rFonts w:ascii="Times New Roman" w:hAnsi="Times New Roman"/>
          <w:sz w:val="28"/>
          <w:szCs w:val="28"/>
          <w:lang w:eastAsia="ru-RU"/>
        </w:rPr>
        <w:t>;</w:t>
      </w:r>
    </w:p>
    <w:p w:rsidR="002D1E45" w:rsidRPr="002C51F4"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lang w:eastAsia="ru-RU"/>
        </w:rPr>
      </w:pPr>
      <w:r w:rsidRPr="002C51F4">
        <w:rPr>
          <w:rFonts w:ascii="Times New Roman" w:hAnsi="Times New Roman"/>
          <w:sz w:val="28"/>
          <w:szCs w:val="28"/>
          <w:lang w:eastAsia="ru-RU"/>
        </w:rPr>
        <w:t>ВЛ 110 кВ Барабинская ТЭЦ – Здвинская с отпайками (3-36)</w:t>
      </w:r>
      <w:r>
        <w:rPr>
          <w:rFonts w:ascii="Times New Roman" w:hAnsi="Times New Roman"/>
          <w:sz w:val="28"/>
          <w:szCs w:val="28"/>
          <w:lang w:eastAsia="ru-RU"/>
        </w:rPr>
        <w:t>;</w:t>
      </w:r>
    </w:p>
    <w:p w:rsidR="002D1E45" w:rsidRPr="002C51F4"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lang w:eastAsia="ru-RU"/>
        </w:rPr>
      </w:pPr>
      <w:r w:rsidRPr="002C51F4">
        <w:rPr>
          <w:rFonts w:ascii="Times New Roman" w:hAnsi="Times New Roman"/>
          <w:sz w:val="28"/>
          <w:szCs w:val="28"/>
          <w:lang w:eastAsia="ru-RU"/>
        </w:rPr>
        <w:t>ВЛ 110 кВ Барабинская ТЭЦ – Здвинская с отпайками (3-35)</w:t>
      </w:r>
      <w:r>
        <w:rPr>
          <w:rFonts w:ascii="Times New Roman" w:hAnsi="Times New Roman"/>
          <w:sz w:val="28"/>
          <w:szCs w:val="28"/>
          <w:lang w:eastAsia="ru-RU"/>
        </w:rPr>
        <w:t>;</w:t>
      </w:r>
    </w:p>
    <w:p w:rsidR="002D1E45" w:rsidRPr="002C51F4"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lang w:eastAsia="ru-RU"/>
        </w:rPr>
      </w:pPr>
      <w:r w:rsidRPr="002C51F4">
        <w:rPr>
          <w:rFonts w:ascii="Times New Roman" w:hAnsi="Times New Roman"/>
          <w:sz w:val="28"/>
          <w:szCs w:val="28"/>
          <w:lang w:eastAsia="ru-RU"/>
        </w:rPr>
        <w:t>ВЛ 110 кВ БТЭЦ – Сергино (3-39)</w:t>
      </w:r>
      <w:r>
        <w:rPr>
          <w:rFonts w:ascii="Times New Roman" w:hAnsi="Times New Roman"/>
          <w:sz w:val="28"/>
          <w:szCs w:val="28"/>
          <w:lang w:eastAsia="ru-RU"/>
        </w:rPr>
        <w:t>;</w:t>
      </w:r>
    </w:p>
    <w:p w:rsidR="002D1E45" w:rsidRPr="002C51F4"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lang w:eastAsia="ru-RU"/>
        </w:rPr>
      </w:pPr>
      <w:r w:rsidRPr="002C51F4">
        <w:rPr>
          <w:rFonts w:ascii="Times New Roman" w:hAnsi="Times New Roman"/>
          <w:sz w:val="28"/>
          <w:szCs w:val="28"/>
          <w:lang w:eastAsia="ru-RU"/>
        </w:rPr>
        <w:t>ВЛ 110 кВ Барабинская ТЭЦ – Чумаково с отпайкой на ПС Оленёнок (3-80)</w:t>
      </w:r>
      <w:r>
        <w:rPr>
          <w:rFonts w:ascii="Times New Roman" w:hAnsi="Times New Roman"/>
          <w:sz w:val="28"/>
          <w:szCs w:val="28"/>
          <w:lang w:eastAsia="ru-RU"/>
        </w:rPr>
        <w:t>;</w:t>
      </w:r>
    </w:p>
    <w:p w:rsidR="002D1E45" w:rsidRPr="002C51F4"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lang w:eastAsia="ru-RU"/>
        </w:rPr>
      </w:pPr>
      <w:r w:rsidRPr="002C51F4">
        <w:rPr>
          <w:rFonts w:ascii="Times New Roman" w:hAnsi="Times New Roman"/>
          <w:sz w:val="28"/>
          <w:szCs w:val="28"/>
          <w:lang w:eastAsia="ru-RU"/>
        </w:rPr>
        <w:t>ВЛ 110 кВ Барабинская ТЭЦ – Чумаково с отпайкой на ПС Оленёнок (3-81)</w:t>
      </w:r>
      <w:r>
        <w:rPr>
          <w:rFonts w:ascii="Times New Roman" w:hAnsi="Times New Roman"/>
          <w:sz w:val="28"/>
          <w:szCs w:val="28"/>
          <w:lang w:eastAsia="ru-RU"/>
        </w:rPr>
        <w:t>;</w:t>
      </w:r>
    </w:p>
    <w:p w:rsidR="002D1E45" w:rsidRPr="002C51F4"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lang w:eastAsia="ru-RU"/>
        </w:rPr>
      </w:pPr>
      <w:r w:rsidRPr="002C51F4">
        <w:rPr>
          <w:rFonts w:ascii="Times New Roman" w:hAnsi="Times New Roman"/>
          <w:sz w:val="28"/>
          <w:szCs w:val="28"/>
          <w:lang w:eastAsia="ru-RU"/>
        </w:rPr>
        <w:t>ВЛ 110 кВ БТЭЦ-ГПП-1, ГПП-2 (ГЗ-1)</w:t>
      </w:r>
      <w:r>
        <w:rPr>
          <w:rFonts w:ascii="Times New Roman" w:hAnsi="Times New Roman"/>
          <w:sz w:val="28"/>
          <w:szCs w:val="28"/>
          <w:lang w:eastAsia="ru-RU"/>
        </w:rPr>
        <w:t>;</w:t>
      </w:r>
    </w:p>
    <w:p w:rsidR="002D1E45" w:rsidRPr="002C51F4"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lang w:eastAsia="ru-RU"/>
        </w:rPr>
      </w:pPr>
      <w:r w:rsidRPr="002C51F4">
        <w:rPr>
          <w:rFonts w:ascii="Times New Roman" w:hAnsi="Times New Roman"/>
          <w:sz w:val="28"/>
          <w:szCs w:val="28"/>
          <w:lang w:eastAsia="ru-RU"/>
        </w:rPr>
        <w:t>ВЛ 110 кВ БТЭЦ-ГПП-1, ГПП-2 (ГЗ-2)</w:t>
      </w:r>
      <w:r>
        <w:rPr>
          <w:rFonts w:ascii="Times New Roman" w:hAnsi="Times New Roman"/>
          <w:sz w:val="28"/>
          <w:szCs w:val="28"/>
          <w:lang w:eastAsia="ru-RU"/>
        </w:rPr>
        <w:t>;</w:t>
      </w:r>
    </w:p>
    <w:p w:rsidR="002D1E45" w:rsidRPr="002C51F4"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lang w:eastAsia="ru-RU"/>
        </w:rPr>
      </w:pPr>
      <w:r w:rsidRPr="002C51F4">
        <w:rPr>
          <w:rFonts w:ascii="Times New Roman" w:hAnsi="Times New Roman"/>
          <w:sz w:val="28"/>
          <w:szCs w:val="28"/>
          <w:lang w:eastAsia="ru-RU"/>
        </w:rPr>
        <w:t>ВЛ 35 кВ 35-43 Оленёнок – Отрадное</w:t>
      </w:r>
      <w:r>
        <w:rPr>
          <w:rFonts w:ascii="Times New Roman" w:hAnsi="Times New Roman"/>
          <w:sz w:val="28"/>
          <w:szCs w:val="28"/>
          <w:lang w:eastAsia="ru-RU"/>
        </w:rPr>
        <w:t>;</w:t>
      </w:r>
    </w:p>
    <w:p w:rsidR="002D1E45" w:rsidRPr="002C51F4"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lang w:eastAsia="ru-RU"/>
        </w:rPr>
      </w:pPr>
      <w:r w:rsidRPr="002C51F4">
        <w:rPr>
          <w:rFonts w:ascii="Times New Roman" w:hAnsi="Times New Roman"/>
          <w:sz w:val="28"/>
          <w:szCs w:val="28"/>
          <w:lang w:eastAsia="ru-RU"/>
        </w:rPr>
        <w:t>ВЛ 35 кВ 35-44 Оленёнок – Верх</w:t>
      </w:r>
      <w:r>
        <w:rPr>
          <w:rFonts w:ascii="Times New Roman" w:hAnsi="Times New Roman"/>
          <w:sz w:val="28"/>
          <w:szCs w:val="28"/>
          <w:lang w:eastAsia="ru-RU"/>
        </w:rPr>
        <w:t>-</w:t>
      </w:r>
      <w:r w:rsidRPr="002C51F4">
        <w:rPr>
          <w:rFonts w:ascii="Times New Roman" w:hAnsi="Times New Roman"/>
          <w:sz w:val="28"/>
          <w:szCs w:val="28"/>
          <w:lang w:eastAsia="ru-RU"/>
        </w:rPr>
        <w:t>Ича</w:t>
      </w:r>
      <w:r>
        <w:rPr>
          <w:rFonts w:ascii="Times New Roman" w:hAnsi="Times New Roman"/>
          <w:sz w:val="28"/>
          <w:szCs w:val="28"/>
          <w:lang w:eastAsia="ru-RU"/>
        </w:rPr>
        <w:t>;</w:t>
      </w:r>
    </w:p>
    <w:p w:rsidR="002D1E45" w:rsidRPr="002C51F4"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lang w:eastAsia="ru-RU"/>
        </w:rPr>
      </w:pPr>
      <w:r w:rsidRPr="002C51F4">
        <w:rPr>
          <w:rFonts w:ascii="Times New Roman" w:hAnsi="Times New Roman"/>
          <w:sz w:val="28"/>
          <w:szCs w:val="28"/>
          <w:lang w:eastAsia="ru-RU"/>
        </w:rPr>
        <w:t>ВЛ-35 кВ 35-174 Оленёнок – Булатово.</w:t>
      </w:r>
    </w:p>
    <w:p w:rsidR="002D1E45" w:rsidRDefault="002D1E45" w:rsidP="002C51F4">
      <w:pPr>
        <w:spacing w:after="0" w:line="240" w:lineRule="auto"/>
        <w:ind w:firstLine="709"/>
        <w:jc w:val="both"/>
        <w:rPr>
          <w:rFonts w:ascii="Times New Roman" w:hAnsi="Times New Roman"/>
          <w:sz w:val="28"/>
          <w:szCs w:val="28"/>
        </w:rPr>
      </w:pPr>
      <w:r w:rsidRPr="002C51F4">
        <w:rPr>
          <w:rFonts w:ascii="Times New Roman" w:hAnsi="Times New Roman"/>
          <w:sz w:val="28"/>
          <w:szCs w:val="28"/>
        </w:rPr>
        <w:t xml:space="preserve">Электроснабжение потребителей г. Куйбышев выполняется по воздушной сети 0,4 кВ от трансформаторных подстанций 10/0,4 кВ (далее ТП-10/0,4 кВ). Питание ТП-10/0,4 кВ осуществляется по радиальным линиям электропередачи 10 кВ (далее ЛЭП-10 кВ) от распределительных пунктов 10 кВ РП-1, РП-2, РП-3. Электрические сети 10-0,4 кВ в г. Куйбышев принадлежат муниципалитету. </w:t>
      </w:r>
    </w:p>
    <w:p w:rsidR="002D1E45" w:rsidRPr="0065368B" w:rsidRDefault="002D1E45" w:rsidP="00D80E47">
      <w:pPr>
        <w:spacing w:after="0" w:line="240" w:lineRule="auto"/>
        <w:ind w:firstLine="709"/>
        <w:jc w:val="both"/>
        <w:rPr>
          <w:rFonts w:ascii="Times New Roman" w:hAnsi="Times New Roman"/>
          <w:sz w:val="28"/>
          <w:szCs w:val="28"/>
        </w:rPr>
      </w:pPr>
      <w:r w:rsidRPr="0065368B">
        <w:rPr>
          <w:rFonts w:ascii="Times New Roman" w:hAnsi="Times New Roman"/>
          <w:sz w:val="28"/>
          <w:szCs w:val="28"/>
        </w:rPr>
        <w:t xml:space="preserve">Более </w:t>
      </w:r>
      <w:r>
        <w:rPr>
          <w:rFonts w:ascii="Times New Roman" w:hAnsi="Times New Roman"/>
          <w:sz w:val="28"/>
          <w:szCs w:val="28"/>
        </w:rPr>
        <w:t>50 %</w:t>
      </w:r>
      <w:r w:rsidRPr="0065368B">
        <w:rPr>
          <w:rFonts w:ascii="Times New Roman" w:hAnsi="Times New Roman"/>
          <w:sz w:val="28"/>
          <w:szCs w:val="28"/>
        </w:rPr>
        <w:t xml:space="preserve"> электрических сетей требуют капитального ремонта. Основными причинами возникновения ветхого состояния электрических сетей в </w:t>
      </w:r>
      <w:r>
        <w:rPr>
          <w:rFonts w:ascii="Times New Roman" w:hAnsi="Times New Roman"/>
          <w:sz w:val="28"/>
          <w:szCs w:val="24"/>
          <w:lang w:eastAsia="ru-RU"/>
        </w:rPr>
        <w:t xml:space="preserve">городе </w:t>
      </w:r>
      <w:r w:rsidRPr="0065368B">
        <w:rPr>
          <w:rFonts w:ascii="Times New Roman" w:hAnsi="Times New Roman"/>
          <w:sz w:val="28"/>
          <w:szCs w:val="28"/>
        </w:rPr>
        <w:t>являются:</w:t>
      </w:r>
    </w:p>
    <w:p w:rsidR="002D1E45" w:rsidRPr="0065368B"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lang w:eastAsia="ru-RU"/>
        </w:rPr>
      </w:pPr>
      <w:r w:rsidRPr="0065368B">
        <w:rPr>
          <w:rFonts w:ascii="Times New Roman" w:hAnsi="Times New Roman"/>
          <w:sz w:val="28"/>
          <w:szCs w:val="28"/>
          <w:lang w:eastAsia="ru-RU"/>
        </w:rPr>
        <w:t>естественное старение электрических сетей первых массовых серий;</w:t>
      </w:r>
    </w:p>
    <w:p w:rsidR="002D1E45" w:rsidRPr="0065368B"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lang w:eastAsia="ru-RU"/>
        </w:rPr>
      </w:pPr>
      <w:r w:rsidRPr="0065368B">
        <w:rPr>
          <w:rFonts w:ascii="Times New Roman" w:hAnsi="Times New Roman"/>
          <w:sz w:val="28"/>
          <w:szCs w:val="28"/>
          <w:lang w:eastAsia="ru-RU"/>
        </w:rPr>
        <w:t>сдача в эксплуатацию электрических сетей, возведённых с нарушением строительных норм и правил;</w:t>
      </w:r>
    </w:p>
    <w:p w:rsidR="002D1E45" w:rsidRPr="0065368B"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lang w:eastAsia="ru-RU"/>
        </w:rPr>
      </w:pPr>
      <w:r w:rsidRPr="0065368B">
        <w:rPr>
          <w:rFonts w:ascii="Times New Roman" w:hAnsi="Times New Roman"/>
          <w:sz w:val="28"/>
          <w:szCs w:val="28"/>
          <w:lang w:eastAsia="ru-RU"/>
        </w:rPr>
        <w:t>недостаточность средств на капитальный ремонт и текущее содержание;</w:t>
      </w:r>
    </w:p>
    <w:p w:rsidR="002D1E45" w:rsidRPr="0065368B"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lang w:eastAsia="ru-RU"/>
        </w:rPr>
      </w:pPr>
      <w:r w:rsidRPr="0065368B">
        <w:rPr>
          <w:rFonts w:ascii="Times New Roman" w:hAnsi="Times New Roman"/>
          <w:sz w:val="28"/>
          <w:szCs w:val="28"/>
          <w:lang w:eastAsia="ru-RU"/>
        </w:rPr>
        <w:t>нарушение правил эксплуатации объектов, непринятие оперативных мер по устранению многочисленных неполадок;</w:t>
      </w:r>
    </w:p>
    <w:p w:rsidR="002D1E45" w:rsidRDefault="002D1E45" w:rsidP="0065368B">
      <w:pPr>
        <w:spacing w:after="0" w:line="240" w:lineRule="auto"/>
        <w:ind w:firstLine="709"/>
        <w:jc w:val="both"/>
        <w:rPr>
          <w:rFonts w:ascii="Times New Roman" w:hAnsi="Times New Roman"/>
          <w:sz w:val="28"/>
          <w:szCs w:val="28"/>
        </w:rPr>
      </w:pPr>
      <w:r w:rsidRPr="0065368B">
        <w:rPr>
          <w:rFonts w:ascii="Times New Roman" w:hAnsi="Times New Roman"/>
          <w:sz w:val="28"/>
          <w:szCs w:val="28"/>
        </w:rPr>
        <w:t>Объектами, подлежащими капитальному ремонту, являются: трансформаторы, реконструкция ВЛ-0,4 кВ, замена провода, устройство линии уличного освещения, строительство КТП, распределение нагрузок для улучшения напряжения строительство ВЛ-10 кВ.</w:t>
      </w:r>
    </w:p>
    <w:p w:rsidR="002D1E45" w:rsidRPr="007234D9" w:rsidRDefault="002D1E45" w:rsidP="007234D9">
      <w:pPr>
        <w:spacing w:after="0" w:line="240" w:lineRule="auto"/>
        <w:ind w:firstLine="709"/>
        <w:jc w:val="both"/>
        <w:rPr>
          <w:rFonts w:ascii="Times New Roman" w:hAnsi="Times New Roman"/>
          <w:sz w:val="28"/>
          <w:szCs w:val="28"/>
        </w:rPr>
      </w:pPr>
    </w:p>
    <w:p w:rsidR="002D1E45" w:rsidRPr="003A7901" w:rsidRDefault="002D1E45" w:rsidP="003A7901">
      <w:pPr>
        <w:spacing w:after="0" w:line="240" w:lineRule="auto"/>
        <w:rPr>
          <w:rFonts w:ascii="Arial" w:hAnsi="Arial" w:cs="Arial"/>
          <w:sz w:val="16"/>
          <w:szCs w:val="16"/>
          <w:lang w:eastAsia="ru-RU"/>
        </w:rPr>
      </w:pPr>
    </w:p>
    <w:p w:rsidR="002D1E45" w:rsidRPr="005C6C39" w:rsidRDefault="002D1E45" w:rsidP="00852938">
      <w:pPr>
        <w:pStyle w:val="Heading3"/>
        <w:numPr>
          <w:ilvl w:val="2"/>
          <w:numId w:val="65"/>
        </w:numPr>
        <w:tabs>
          <w:tab w:val="left" w:pos="1418"/>
        </w:tabs>
        <w:spacing w:before="120"/>
        <w:ind w:left="1418" w:hanging="698"/>
        <w:jc w:val="both"/>
        <w:rPr>
          <w:rFonts w:ascii="Times New Roman" w:hAnsi="Times New Roman"/>
          <w:sz w:val="28"/>
        </w:rPr>
      </w:pPr>
      <w:bookmarkStart w:id="164" w:name="_Toc475037096"/>
      <w:bookmarkStart w:id="165" w:name="_Toc84936037"/>
      <w:r w:rsidRPr="005C6C39">
        <w:rPr>
          <w:rFonts w:ascii="Times New Roman" w:hAnsi="Times New Roman"/>
          <w:sz w:val="28"/>
        </w:rPr>
        <w:t>Связь</w:t>
      </w:r>
      <w:bookmarkEnd w:id="164"/>
      <w:bookmarkEnd w:id="165"/>
      <w:r w:rsidRPr="005C6C39">
        <w:rPr>
          <w:rFonts w:ascii="Times New Roman" w:hAnsi="Times New Roman"/>
          <w:sz w:val="28"/>
        </w:rPr>
        <w:tab/>
      </w:r>
    </w:p>
    <w:p w:rsidR="002D1E45" w:rsidRDefault="002D1E45" w:rsidP="003A7901">
      <w:pPr>
        <w:spacing w:after="0" w:line="240" w:lineRule="auto"/>
        <w:ind w:firstLine="709"/>
        <w:jc w:val="both"/>
        <w:rPr>
          <w:rFonts w:ascii="Times New Roman" w:hAnsi="Times New Roman"/>
          <w:sz w:val="28"/>
          <w:szCs w:val="28"/>
        </w:rPr>
      </w:pPr>
    </w:p>
    <w:p w:rsidR="002D1E45" w:rsidRPr="00B358AC" w:rsidRDefault="002D1E45" w:rsidP="00047C17">
      <w:pPr>
        <w:autoSpaceDE w:val="0"/>
        <w:autoSpaceDN w:val="0"/>
        <w:adjustRightInd w:val="0"/>
        <w:spacing w:after="0" w:line="240" w:lineRule="auto"/>
        <w:ind w:firstLine="709"/>
        <w:jc w:val="both"/>
        <w:rPr>
          <w:rFonts w:ascii="Times New Roman" w:hAnsi="Times New Roman"/>
          <w:sz w:val="28"/>
          <w:szCs w:val="28"/>
          <w:lang w:eastAsia="ru-RU"/>
        </w:rPr>
      </w:pPr>
      <w:r w:rsidRPr="00B358AC">
        <w:rPr>
          <w:rFonts w:ascii="Times New Roman" w:hAnsi="Times New Roman"/>
          <w:sz w:val="28"/>
          <w:szCs w:val="28"/>
          <w:lang w:eastAsia="ru-RU"/>
        </w:rPr>
        <w:t>Основным поставщиком услуг электросвязи в</w:t>
      </w:r>
      <w:r>
        <w:rPr>
          <w:rFonts w:ascii="Times New Roman" w:hAnsi="Times New Roman"/>
          <w:sz w:val="28"/>
          <w:szCs w:val="28"/>
          <w:lang w:eastAsia="ru-RU"/>
        </w:rPr>
        <w:t> городе</w:t>
      </w:r>
      <w:r w:rsidRPr="00B358AC">
        <w:rPr>
          <w:rFonts w:ascii="Times New Roman" w:hAnsi="Times New Roman"/>
          <w:sz w:val="28"/>
          <w:szCs w:val="28"/>
          <w:lang w:eastAsia="ru-RU"/>
        </w:rPr>
        <w:t xml:space="preserve"> является ПАО «Ростелеком» (</w:t>
      </w:r>
      <w:r>
        <w:rPr>
          <w:rFonts w:ascii="Times New Roman" w:hAnsi="Times New Roman"/>
          <w:sz w:val="28"/>
          <w:szCs w:val="28"/>
          <w:lang w:eastAsia="ru-RU"/>
        </w:rPr>
        <w:t>Татарский</w:t>
      </w:r>
      <w:r w:rsidRPr="00B358AC">
        <w:rPr>
          <w:rFonts w:ascii="Times New Roman" w:hAnsi="Times New Roman"/>
          <w:sz w:val="28"/>
          <w:szCs w:val="28"/>
          <w:lang w:eastAsia="ru-RU"/>
        </w:rPr>
        <w:t xml:space="preserve"> ЦТ).</w:t>
      </w:r>
      <w:r w:rsidRPr="00095C3B">
        <w:t xml:space="preserve"> </w:t>
      </w:r>
      <w:r>
        <w:rPr>
          <w:rFonts w:ascii="Times New Roman" w:hAnsi="Times New Roman"/>
          <w:sz w:val="28"/>
          <w:szCs w:val="28"/>
          <w:lang w:eastAsia="ru-RU"/>
        </w:rPr>
        <w:t>У</w:t>
      </w:r>
      <w:r w:rsidRPr="00B358AC">
        <w:rPr>
          <w:rFonts w:ascii="Times New Roman" w:hAnsi="Times New Roman"/>
          <w:sz w:val="28"/>
          <w:szCs w:val="28"/>
          <w:lang w:eastAsia="ru-RU"/>
        </w:rPr>
        <w:t>становлены таксофоны, дополнительно проложены кабельные линии связи, расширяются новые виды телефонных услуг.</w:t>
      </w:r>
    </w:p>
    <w:p w:rsidR="002D1E45" w:rsidRPr="00B358AC" w:rsidRDefault="002D1E45" w:rsidP="00712131">
      <w:pPr>
        <w:spacing w:after="0" w:line="240" w:lineRule="auto"/>
        <w:ind w:firstLine="709"/>
        <w:jc w:val="both"/>
        <w:rPr>
          <w:rFonts w:ascii="Times New Roman" w:hAnsi="Times New Roman"/>
          <w:sz w:val="28"/>
          <w:szCs w:val="24"/>
          <w:lang w:eastAsia="ru-RU"/>
        </w:rPr>
      </w:pPr>
      <w:r>
        <w:rPr>
          <w:rFonts w:ascii="Times New Roman" w:hAnsi="Times New Roman"/>
          <w:sz w:val="28"/>
          <w:szCs w:val="28"/>
          <w:lang w:eastAsia="ru-RU"/>
        </w:rPr>
        <w:t>Системой общедоступного пользования является сотовая связь. В городе Куйбышеве в целом присутствуют 6 операторов сотовой связи: ПАО «ВымпелКом» (торговая марка «Билайн»), ПАО «МТС» (торговая марка МТС), ПАО «МегаФон» (торговая марка «Мегафон»), ПАО «Теле2» (торговая марка «Теле2»), ООО «Скартел» (торговая марка «Yota») и Ростелеком, которые обслуживают большую часть населения.</w:t>
      </w:r>
      <w:r w:rsidRPr="00B358AC">
        <w:rPr>
          <w:rFonts w:ascii="Times New Roman" w:hAnsi="Times New Roman"/>
          <w:sz w:val="28"/>
          <w:szCs w:val="24"/>
          <w:lang w:eastAsia="ru-RU"/>
        </w:rPr>
        <w:t xml:space="preserve"> </w:t>
      </w:r>
    </w:p>
    <w:p w:rsidR="002D1E45" w:rsidRDefault="002D1E45" w:rsidP="00B358AC">
      <w:pPr>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Территория города</w:t>
      </w:r>
      <w:r w:rsidRPr="00B358AC">
        <w:rPr>
          <w:rFonts w:ascii="Times New Roman" w:hAnsi="Times New Roman"/>
          <w:sz w:val="28"/>
          <w:szCs w:val="28"/>
          <w:lang w:eastAsia="ru-RU"/>
        </w:rPr>
        <w:t xml:space="preserve"> охвачен</w:t>
      </w:r>
      <w:r>
        <w:rPr>
          <w:rFonts w:ascii="Times New Roman" w:hAnsi="Times New Roman"/>
          <w:sz w:val="28"/>
          <w:szCs w:val="28"/>
          <w:lang w:eastAsia="ru-RU"/>
        </w:rPr>
        <w:t>а</w:t>
      </w:r>
      <w:r w:rsidRPr="00B358AC">
        <w:rPr>
          <w:rFonts w:ascii="Times New Roman" w:hAnsi="Times New Roman"/>
          <w:sz w:val="28"/>
          <w:szCs w:val="28"/>
          <w:lang w:eastAsia="ru-RU"/>
        </w:rPr>
        <w:t xml:space="preserve"> вещанием федеральных и</w:t>
      </w:r>
      <w:r>
        <w:rPr>
          <w:rFonts w:ascii="Times New Roman" w:hAnsi="Times New Roman"/>
          <w:sz w:val="28"/>
          <w:szCs w:val="28"/>
          <w:lang w:eastAsia="ru-RU"/>
        </w:rPr>
        <w:t> </w:t>
      </w:r>
      <w:r w:rsidRPr="00B358AC">
        <w:rPr>
          <w:rFonts w:ascii="Times New Roman" w:hAnsi="Times New Roman"/>
          <w:sz w:val="28"/>
          <w:szCs w:val="28"/>
          <w:lang w:eastAsia="ru-RU"/>
        </w:rPr>
        <w:t>региональных телекомпаний.</w:t>
      </w:r>
    </w:p>
    <w:p w:rsidR="002D1E45" w:rsidRDefault="002D1E45" w:rsidP="00B358AC">
      <w:pPr>
        <w:spacing w:after="0" w:line="240" w:lineRule="auto"/>
        <w:ind w:firstLine="709"/>
        <w:jc w:val="both"/>
        <w:rPr>
          <w:rFonts w:ascii="Times New Roman" w:hAnsi="Times New Roman"/>
          <w:sz w:val="28"/>
          <w:szCs w:val="28"/>
          <w:lang w:eastAsia="ru-RU"/>
        </w:rPr>
      </w:pPr>
      <w:r w:rsidRPr="00B358AC">
        <w:rPr>
          <w:rFonts w:ascii="Times New Roman" w:hAnsi="Times New Roman"/>
          <w:sz w:val="28"/>
          <w:szCs w:val="28"/>
          <w:lang w:eastAsia="ru-RU"/>
        </w:rPr>
        <w:t>Отмечается рост числа пользователей услугами Интернет. Современные технологии российских операторов обеспечили широкий набор предоставляемых услуг: электронная почта, доступ к</w:t>
      </w:r>
      <w:r>
        <w:rPr>
          <w:rFonts w:ascii="Times New Roman" w:hAnsi="Times New Roman"/>
          <w:sz w:val="28"/>
          <w:szCs w:val="28"/>
          <w:lang w:eastAsia="ru-RU"/>
        </w:rPr>
        <w:t> </w:t>
      </w:r>
      <w:r w:rsidRPr="00B358AC">
        <w:rPr>
          <w:rFonts w:ascii="Times New Roman" w:hAnsi="Times New Roman"/>
          <w:sz w:val="28"/>
          <w:szCs w:val="28"/>
          <w:lang w:eastAsia="ru-RU"/>
        </w:rPr>
        <w:t>электронным ресурсам отечественных и</w:t>
      </w:r>
      <w:r>
        <w:rPr>
          <w:rFonts w:ascii="Times New Roman" w:hAnsi="Times New Roman"/>
          <w:sz w:val="28"/>
          <w:szCs w:val="28"/>
          <w:lang w:eastAsia="ru-RU"/>
        </w:rPr>
        <w:t> </w:t>
      </w:r>
      <w:r w:rsidRPr="00B358AC">
        <w:rPr>
          <w:rFonts w:ascii="Times New Roman" w:hAnsi="Times New Roman"/>
          <w:sz w:val="28"/>
          <w:szCs w:val="28"/>
          <w:lang w:eastAsia="ru-RU"/>
        </w:rPr>
        <w:t>зарубежных баз данных, передача факсимильных и</w:t>
      </w:r>
      <w:r>
        <w:rPr>
          <w:rFonts w:ascii="Times New Roman" w:hAnsi="Times New Roman"/>
          <w:sz w:val="28"/>
          <w:szCs w:val="28"/>
          <w:lang w:eastAsia="ru-RU"/>
        </w:rPr>
        <w:t> </w:t>
      </w:r>
      <w:r w:rsidRPr="00B358AC">
        <w:rPr>
          <w:rFonts w:ascii="Times New Roman" w:hAnsi="Times New Roman"/>
          <w:sz w:val="28"/>
          <w:szCs w:val="28"/>
          <w:lang w:eastAsia="ru-RU"/>
        </w:rPr>
        <w:t>голосовых сообщений, телеконференции, аудио- и</w:t>
      </w:r>
      <w:r>
        <w:rPr>
          <w:rFonts w:ascii="Times New Roman" w:hAnsi="Times New Roman"/>
          <w:sz w:val="28"/>
          <w:szCs w:val="28"/>
          <w:lang w:eastAsia="ru-RU"/>
        </w:rPr>
        <w:t> </w:t>
      </w:r>
      <w:r w:rsidRPr="00B358AC">
        <w:rPr>
          <w:rFonts w:ascii="Times New Roman" w:hAnsi="Times New Roman"/>
          <w:sz w:val="28"/>
          <w:szCs w:val="28"/>
          <w:lang w:eastAsia="ru-RU"/>
        </w:rPr>
        <w:t>видеосвязь. К</w:t>
      </w:r>
      <w:r>
        <w:rPr>
          <w:rFonts w:ascii="Times New Roman" w:hAnsi="Times New Roman"/>
          <w:sz w:val="28"/>
          <w:szCs w:val="28"/>
          <w:lang w:eastAsia="ru-RU"/>
        </w:rPr>
        <w:t> </w:t>
      </w:r>
      <w:r w:rsidRPr="00B358AC">
        <w:rPr>
          <w:rFonts w:ascii="Times New Roman" w:hAnsi="Times New Roman"/>
          <w:sz w:val="28"/>
          <w:szCs w:val="28"/>
          <w:lang w:eastAsia="ru-RU"/>
        </w:rPr>
        <w:t xml:space="preserve">сети Интернет подключены все образовательные учреждения </w:t>
      </w:r>
      <w:r>
        <w:rPr>
          <w:rFonts w:ascii="Times New Roman" w:hAnsi="Times New Roman"/>
          <w:sz w:val="28"/>
          <w:szCs w:val="28"/>
          <w:lang w:eastAsia="ru-RU"/>
        </w:rPr>
        <w:t>города</w:t>
      </w:r>
      <w:r w:rsidRPr="00B358AC">
        <w:rPr>
          <w:rFonts w:ascii="Times New Roman" w:hAnsi="Times New Roman"/>
          <w:sz w:val="28"/>
          <w:szCs w:val="28"/>
          <w:lang w:eastAsia="ru-RU"/>
        </w:rPr>
        <w:t>.</w:t>
      </w:r>
    </w:p>
    <w:p w:rsidR="002D1E45" w:rsidRPr="00B358AC" w:rsidRDefault="002D1E45" w:rsidP="00B358AC">
      <w:pPr>
        <w:autoSpaceDE w:val="0"/>
        <w:autoSpaceDN w:val="0"/>
        <w:adjustRightInd w:val="0"/>
        <w:spacing w:after="0" w:line="240" w:lineRule="auto"/>
        <w:ind w:firstLine="709"/>
        <w:jc w:val="right"/>
        <w:rPr>
          <w:rFonts w:ascii="Times New Roman" w:hAnsi="Times New Roman"/>
          <w:sz w:val="28"/>
          <w:szCs w:val="24"/>
          <w:lang w:eastAsia="ru-RU"/>
        </w:rPr>
      </w:pPr>
      <w:r w:rsidRPr="00B358AC">
        <w:rPr>
          <w:rFonts w:ascii="Times New Roman" w:hAnsi="Times New Roman"/>
          <w:sz w:val="28"/>
          <w:szCs w:val="24"/>
          <w:lang w:eastAsia="ru-RU"/>
        </w:rPr>
        <w:t xml:space="preserve">Таблица </w:t>
      </w:r>
      <w:r w:rsidRPr="00B358AC">
        <w:rPr>
          <w:rFonts w:ascii="Times New Roman" w:hAnsi="Times New Roman"/>
          <w:sz w:val="28"/>
          <w:szCs w:val="24"/>
          <w:lang w:eastAsia="ru-RU"/>
        </w:rPr>
        <w:fldChar w:fldCharType="begin"/>
      </w:r>
      <w:r w:rsidRPr="00B358AC">
        <w:rPr>
          <w:rFonts w:ascii="Times New Roman" w:hAnsi="Times New Roman"/>
          <w:sz w:val="28"/>
          <w:szCs w:val="24"/>
          <w:lang w:eastAsia="ru-RU"/>
        </w:rPr>
        <w:instrText xml:space="preserve"> SEQ Таблица \* ARABIC </w:instrText>
      </w:r>
      <w:r w:rsidRPr="00B358AC">
        <w:rPr>
          <w:rFonts w:ascii="Times New Roman" w:hAnsi="Times New Roman"/>
          <w:sz w:val="28"/>
          <w:szCs w:val="24"/>
          <w:lang w:eastAsia="ru-RU"/>
        </w:rPr>
        <w:fldChar w:fldCharType="separate"/>
      </w:r>
      <w:r>
        <w:rPr>
          <w:rFonts w:ascii="Times New Roman" w:hAnsi="Times New Roman"/>
          <w:noProof/>
          <w:sz w:val="28"/>
          <w:szCs w:val="24"/>
          <w:lang w:eastAsia="ru-RU"/>
        </w:rPr>
        <w:t>22</w:t>
      </w:r>
      <w:r w:rsidRPr="00B358AC">
        <w:rPr>
          <w:rFonts w:ascii="Times New Roman" w:hAnsi="Times New Roman"/>
          <w:sz w:val="28"/>
          <w:szCs w:val="24"/>
          <w:lang w:eastAsia="ru-RU"/>
        </w:rPr>
        <w:fldChar w:fldCharType="end"/>
      </w:r>
    </w:p>
    <w:p w:rsidR="002D1E45" w:rsidRPr="00B358AC" w:rsidRDefault="002D1E45" w:rsidP="00B358AC">
      <w:pPr>
        <w:spacing w:after="120" w:line="240" w:lineRule="auto"/>
        <w:jc w:val="center"/>
        <w:rPr>
          <w:rFonts w:ascii="Times New Roman" w:hAnsi="Times New Roman"/>
          <w:sz w:val="28"/>
          <w:szCs w:val="24"/>
          <w:lang w:eastAsia="ru-RU"/>
        </w:rPr>
      </w:pPr>
      <w:r w:rsidRPr="00B358AC">
        <w:rPr>
          <w:rFonts w:ascii="Times New Roman" w:hAnsi="Times New Roman"/>
          <w:sz w:val="28"/>
          <w:szCs w:val="24"/>
          <w:lang w:eastAsia="ru-RU"/>
        </w:rPr>
        <w:t>Обеспеченность телефонной связью на</w:t>
      </w:r>
      <w:r>
        <w:rPr>
          <w:rFonts w:ascii="Times New Roman" w:hAnsi="Times New Roman"/>
          <w:sz w:val="28"/>
          <w:szCs w:val="24"/>
          <w:lang w:eastAsia="ru-RU"/>
        </w:rPr>
        <w:t> </w:t>
      </w:r>
      <w:r w:rsidRPr="00B358AC">
        <w:rPr>
          <w:rFonts w:ascii="Times New Roman" w:hAnsi="Times New Roman"/>
          <w:sz w:val="28"/>
          <w:szCs w:val="24"/>
          <w:lang w:eastAsia="ru-RU"/>
        </w:rPr>
        <w:t xml:space="preserve">территории </w:t>
      </w:r>
      <w:r>
        <w:rPr>
          <w:rFonts w:ascii="Times New Roman" w:hAnsi="Times New Roman"/>
          <w:sz w:val="28"/>
          <w:szCs w:val="24"/>
          <w:lang w:eastAsia="ru-RU"/>
        </w:rPr>
        <w:t>г. Куйбышева</w:t>
      </w:r>
    </w:p>
    <w:tbl>
      <w:tblPr>
        <w:tblW w:w="0" w:type="auto"/>
        <w:tblLayout w:type="fixed"/>
        <w:tblCellMar>
          <w:left w:w="0" w:type="dxa"/>
          <w:right w:w="0" w:type="dxa"/>
        </w:tblCellMar>
        <w:tblLook w:val="0000"/>
      </w:tblPr>
      <w:tblGrid>
        <w:gridCol w:w="2540"/>
        <w:gridCol w:w="2539"/>
        <w:gridCol w:w="2557"/>
        <w:gridCol w:w="2559"/>
      </w:tblGrid>
      <w:tr w:rsidR="002D1E45" w:rsidRPr="00712131" w:rsidTr="00712131">
        <w:trPr>
          <w:trHeight w:val="57"/>
        </w:trPr>
        <w:tc>
          <w:tcPr>
            <w:tcW w:w="2540" w:type="dxa"/>
            <w:tcBorders>
              <w:top w:val="single" w:sz="4" w:space="0" w:color="auto"/>
              <w:left w:val="single" w:sz="4" w:space="0" w:color="auto"/>
              <w:bottom w:val="nil"/>
              <w:right w:val="nil"/>
            </w:tcBorders>
            <w:shd w:val="clear" w:color="auto" w:fill="FFFFFF"/>
            <w:vAlign w:val="center"/>
          </w:tcPr>
          <w:p w:rsidR="002D1E45" w:rsidRPr="00712131" w:rsidRDefault="002D1E45" w:rsidP="00712131">
            <w:pPr>
              <w:spacing w:after="0" w:line="240" w:lineRule="auto"/>
              <w:jc w:val="center"/>
              <w:rPr>
                <w:rFonts w:ascii="Times New Roman" w:hAnsi="Times New Roman"/>
                <w:sz w:val="24"/>
                <w:szCs w:val="24"/>
                <w:lang w:eastAsia="ru-RU"/>
              </w:rPr>
            </w:pPr>
            <w:r w:rsidRPr="00712131">
              <w:rPr>
                <w:rFonts w:ascii="Times New Roman" w:hAnsi="Times New Roman"/>
                <w:color w:val="000000"/>
                <w:sz w:val="24"/>
                <w:szCs w:val="24"/>
                <w:lang w:eastAsia="ru-RU"/>
              </w:rPr>
              <w:t>Наименование населённого пункта</w:t>
            </w:r>
          </w:p>
        </w:tc>
        <w:tc>
          <w:tcPr>
            <w:tcW w:w="2539" w:type="dxa"/>
            <w:tcBorders>
              <w:top w:val="single" w:sz="4" w:space="0" w:color="auto"/>
              <w:left w:val="single" w:sz="4" w:space="0" w:color="auto"/>
              <w:bottom w:val="nil"/>
              <w:right w:val="nil"/>
            </w:tcBorders>
            <w:shd w:val="clear" w:color="auto" w:fill="FFFFFF"/>
            <w:vAlign w:val="center"/>
          </w:tcPr>
          <w:p w:rsidR="002D1E45" w:rsidRPr="00712131" w:rsidRDefault="002D1E45" w:rsidP="00712131">
            <w:pPr>
              <w:spacing w:after="0" w:line="240" w:lineRule="auto"/>
              <w:jc w:val="center"/>
              <w:rPr>
                <w:rFonts w:ascii="Times New Roman" w:hAnsi="Times New Roman"/>
                <w:sz w:val="24"/>
                <w:szCs w:val="24"/>
                <w:lang w:eastAsia="ru-RU"/>
              </w:rPr>
            </w:pPr>
            <w:r w:rsidRPr="00712131">
              <w:rPr>
                <w:rFonts w:ascii="Times New Roman" w:hAnsi="Times New Roman"/>
                <w:color w:val="000000"/>
                <w:sz w:val="24"/>
                <w:szCs w:val="24"/>
                <w:lang w:eastAsia="ru-RU"/>
              </w:rPr>
              <w:t>Смонтированная номерная телефонная ёмкость (шт.)</w:t>
            </w:r>
          </w:p>
        </w:tc>
        <w:tc>
          <w:tcPr>
            <w:tcW w:w="2557" w:type="dxa"/>
            <w:tcBorders>
              <w:top w:val="single" w:sz="4" w:space="0" w:color="auto"/>
              <w:left w:val="single" w:sz="4" w:space="0" w:color="auto"/>
              <w:bottom w:val="nil"/>
              <w:right w:val="nil"/>
            </w:tcBorders>
            <w:shd w:val="clear" w:color="auto" w:fill="FFFFFF"/>
            <w:vAlign w:val="center"/>
          </w:tcPr>
          <w:p w:rsidR="002D1E45" w:rsidRPr="00712131" w:rsidRDefault="002D1E45" w:rsidP="00712131">
            <w:pPr>
              <w:spacing w:after="0" w:line="240" w:lineRule="auto"/>
              <w:jc w:val="center"/>
              <w:rPr>
                <w:rFonts w:ascii="Times New Roman" w:hAnsi="Times New Roman"/>
                <w:sz w:val="24"/>
                <w:szCs w:val="24"/>
                <w:lang w:eastAsia="ru-RU"/>
              </w:rPr>
            </w:pPr>
            <w:r w:rsidRPr="00712131">
              <w:rPr>
                <w:rFonts w:ascii="Times New Roman" w:hAnsi="Times New Roman"/>
                <w:color w:val="000000"/>
                <w:sz w:val="24"/>
                <w:szCs w:val="24"/>
                <w:lang w:eastAsia="ru-RU"/>
              </w:rPr>
              <w:t>Количество установленных телефонов у населения (шт.) на 100 человек</w:t>
            </w:r>
          </w:p>
        </w:tc>
        <w:tc>
          <w:tcPr>
            <w:tcW w:w="2559" w:type="dxa"/>
            <w:tcBorders>
              <w:top w:val="single" w:sz="4" w:space="0" w:color="auto"/>
              <w:left w:val="single" w:sz="4" w:space="0" w:color="auto"/>
              <w:bottom w:val="nil"/>
              <w:right w:val="single" w:sz="4" w:space="0" w:color="auto"/>
            </w:tcBorders>
            <w:shd w:val="clear" w:color="auto" w:fill="FFFFFF"/>
            <w:vAlign w:val="center"/>
          </w:tcPr>
          <w:p w:rsidR="002D1E45" w:rsidRPr="00712131" w:rsidRDefault="002D1E45" w:rsidP="00712131">
            <w:pPr>
              <w:spacing w:after="0" w:line="240" w:lineRule="auto"/>
              <w:jc w:val="center"/>
              <w:rPr>
                <w:rFonts w:ascii="Times New Roman" w:hAnsi="Times New Roman"/>
                <w:sz w:val="24"/>
                <w:szCs w:val="24"/>
                <w:lang w:eastAsia="ru-RU"/>
              </w:rPr>
            </w:pPr>
            <w:r w:rsidRPr="00712131">
              <w:rPr>
                <w:rFonts w:ascii="Times New Roman" w:hAnsi="Times New Roman"/>
                <w:color w:val="000000"/>
                <w:sz w:val="24"/>
                <w:szCs w:val="24"/>
                <w:lang w:eastAsia="ru-RU"/>
              </w:rPr>
              <w:t>Количество</w:t>
            </w:r>
          </w:p>
          <w:p w:rsidR="002D1E45" w:rsidRPr="00712131" w:rsidRDefault="002D1E45" w:rsidP="00712131">
            <w:pPr>
              <w:spacing w:after="0" w:line="240" w:lineRule="auto"/>
              <w:ind w:firstLine="360"/>
              <w:jc w:val="center"/>
              <w:rPr>
                <w:rFonts w:ascii="Times New Roman" w:hAnsi="Times New Roman"/>
                <w:sz w:val="24"/>
                <w:szCs w:val="24"/>
                <w:lang w:eastAsia="ru-RU"/>
              </w:rPr>
            </w:pPr>
            <w:r w:rsidRPr="00712131">
              <w:rPr>
                <w:rFonts w:ascii="Times New Roman" w:hAnsi="Times New Roman"/>
                <w:color w:val="000000"/>
                <w:sz w:val="24"/>
                <w:szCs w:val="24"/>
                <w:lang w:eastAsia="ru-RU"/>
              </w:rPr>
              <w:t>таксофонов</w:t>
            </w:r>
          </w:p>
          <w:p w:rsidR="002D1E45" w:rsidRPr="00712131" w:rsidRDefault="002D1E45" w:rsidP="00712131">
            <w:pPr>
              <w:spacing w:after="0" w:line="240" w:lineRule="auto"/>
              <w:jc w:val="center"/>
              <w:rPr>
                <w:rFonts w:ascii="Times New Roman" w:hAnsi="Times New Roman"/>
                <w:sz w:val="24"/>
                <w:szCs w:val="24"/>
                <w:lang w:eastAsia="ru-RU"/>
              </w:rPr>
            </w:pPr>
            <w:r w:rsidRPr="00712131">
              <w:rPr>
                <w:rFonts w:ascii="Times New Roman" w:hAnsi="Times New Roman"/>
                <w:color w:val="000000"/>
                <w:sz w:val="24"/>
                <w:szCs w:val="24"/>
                <w:lang w:eastAsia="ru-RU"/>
              </w:rPr>
              <w:t>(</w:t>
            </w:r>
            <w:r>
              <w:rPr>
                <w:rFonts w:ascii="Times New Roman" w:hAnsi="Times New Roman"/>
                <w:color w:val="000000"/>
                <w:sz w:val="24"/>
                <w:szCs w:val="24"/>
                <w:lang w:eastAsia="ru-RU"/>
              </w:rPr>
              <w:t>шт</w:t>
            </w:r>
            <w:r w:rsidRPr="00712131">
              <w:rPr>
                <w:rFonts w:ascii="Times New Roman" w:hAnsi="Times New Roman"/>
                <w:color w:val="000000"/>
                <w:sz w:val="24"/>
                <w:szCs w:val="24"/>
                <w:lang w:eastAsia="ru-RU"/>
              </w:rPr>
              <w:t>.)</w:t>
            </w:r>
          </w:p>
        </w:tc>
      </w:tr>
      <w:tr w:rsidR="002D1E45" w:rsidRPr="00712131" w:rsidTr="00712131">
        <w:trPr>
          <w:trHeight w:val="57"/>
        </w:trPr>
        <w:tc>
          <w:tcPr>
            <w:tcW w:w="2540" w:type="dxa"/>
            <w:tcBorders>
              <w:top w:val="single" w:sz="4" w:space="0" w:color="auto"/>
              <w:left w:val="single" w:sz="4" w:space="0" w:color="auto"/>
              <w:bottom w:val="single" w:sz="4" w:space="0" w:color="auto"/>
              <w:right w:val="nil"/>
            </w:tcBorders>
            <w:shd w:val="clear" w:color="auto" w:fill="FFFFFF"/>
            <w:vAlign w:val="bottom"/>
          </w:tcPr>
          <w:p w:rsidR="002D1E45" w:rsidRPr="00712131" w:rsidRDefault="002D1E45" w:rsidP="00712131">
            <w:pPr>
              <w:spacing w:after="0" w:line="240" w:lineRule="auto"/>
              <w:rPr>
                <w:rFonts w:ascii="Times New Roman" w:hAnsi="Times New Roman"/>
                <w:sz w:val="24"/>
                <w:szCs w:val="24"/>
                <w:lang w:eastAsia="ru-RU"/>
              </w:rPr>
            </w:pPr>
            <w:r w:rsidRPr="00712131">
              <w:rPr>
                <w:rFonts w:ascii="Times New Roman" w:hAnsi="Times New Roman"/>
                <w:color w:val="000000"/>
                <w:sz w:val="24"/>
                <w:szCs w:val="24"/>
                <w:lang w:eastAsia="ru-RU"/>
              </w:rPr>
              <w:t>Город Куйбышев</w:t>
            </w:r>
          </w:p>
        </w:tc>
        <w:tc>
          <w:tcPr>
            <w:tcW w:w="2539" w:type="dxa"/>
            <w:tcBorders>
              <w:top w:val="single" w:sz="4" w:space="0" w:color="auto"/>
              <w:left w:val="single" w:sz="4" w:space="0" w:color="auto"/>
              <w:bottom w:val="single" w:sz="4" w:space="0" w:color="auto"/>
              <w:right w:val="nil"/>
            </w:tcBorders>
            <w:shd w:val="clear" w:color="auto" w:fill="FFFFFF"/>
            <w:vAlign w:val="center"/>
          </w:tcPr>
          <w:p w:rsidR="002D1E45" w:rsidRPr="00712131" w:rsidRDefault="002D1E45" w:rsidP="00712131">
            <w:pPr>
              <w:spacing w:after="0" w:line="240" w:lineRule="auto"/>
              <w:jc w:val="center"/>
              <w:rPr>
                <w:rFonts w:ascii="Times New Roman" w:hAnsi="Times New Roman"/>
                <w:sz w:val="24"/>
                <w:szCs w:val="24"/>
                <w:lang w:eastAsia="ru-RU"/>
              </w:rPr>
            </w:pPr>
            <w:r w:rsidRPr="00712131">
              <w:rPr>
                <w:rFonts w:ascii="Times New Roman" w:hAnsi="Times New Roman"/>
                <w:color w:val="000000"/>
                <w:sz w:val="24"/>
                <w:szCs w:val="24"/>
                <w:lang w:eastAsia="ru-RU"/>
              </w:rPr>
              <w:t>9524</w:t>
            </w:r>
          </w:p>
        </w:tc>
        <w:tc>
          <w:tcPr>
            <w:tcW w:w="2557" w:type="dxa"/>
            <w:tcBorders>
              <w:top w:val="single" w:sz="4" w:space="0" w:color="auto"/>
              <w:left w:val="single" w:sz="4" w:space="0" w:color="auto"/>
              <w:bottom w:val="single" w:sz="4" w:space="0" w:color="auto"/>
              <w:right w:val="nil"/>
            </w:tcBorders>
            <w:shd w:val="clear" w:color="auto" w:fill="FFFFFF"/>
            <w:vAlign w:val="center"/>
          </w:tcPr>
          <w:p w:rsidR="002D1E45" w:rsidRPr="00712131" w:rsidRDefault="002D1E45" w:rsidP="00712131">
            <w:pPr>
              <w:spacing w:after="0" w:line="240" w:lineRule="auto"/>
              <w:jc w:val="center"/>
              <w:rPr>
                <w:rFonts w:ascii="Times New Roman" w:hAnsi="Times New Roman"/>
                <w:sz w:val="24"/>
                <w:szCs w:val="24"/>
                <w:lang w:eastAsia="ru-RU"/>
              </w:rPr>
            </w:pPr>
            <w:r w:rsidRPr="00712131">
              <w:rPr>
                <w:rFonts w:ascii="Times New Roman" w:hAnsi="Times New Roman"/>
                <w:color w:val="000000"/>
                <w:sz w:val="24"/>
                <w:szCs w:val="24"/>
                <w:lang w:eastAsia="ru-RU"/>
              </w:rPr>
              <w:t>13</w:t>
            </w:r>
          </w:p>
        </w:tc>
        <w:tc>
          <w:tcPr>
            <w:tcW w:w="2559"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712131" w:rsidRDefault="002D1E45" w:rsidP="00712131">
            <w:pPr>
              <w:spacing w:after="0" w:line="240" w:lineRule="auto"/>
              <w:jc w:val="center"/>
              <w:rPr>
                <w:rFonts w:ascii="Times New Roman" w:hAnsi="Times New Roman"/>
                <w:sz w:val="24"/>
                <w:szCs w:val="24"/>
                <w:lang w:eastAsia="ru-RU"/>
              </w:rPr>
            </w:pPr>
            <w:r w:rsidRPr="00712131">
              <w:rPr>
                <w:rFonts w:ascii="Times New Roman" w:hAnsi="Times New Roman"/>
                <w:color w:val="000000"/>
                <w:sz w:val="24"/>
                <w:szCs w:val="24"/>
                <w:lang w:eastAsia="ru-RU"/>
              </w:rPr>
              <w:t>5</w:t>
            </w:r>
          </w:p>
        </w:tc>
      </w:tr>
    </w:tbl>
    <w:p w:rsidR="002D1E45" w:rsidRPr="00B358AC" w:rsidRDefault="002D1E45" w:rsidP="00B358AC">
      <w:pPr>
        <w:spacing w:after="120" w:line="240" w:lineRule="auto"/>
        <w:jc w:val="center"/>
        <w:rPr>
          <w:rFonts w:ascii="Times New Roman" w:hAnsi="Times New Roman"/>
          <w:sz w:val="28"/>
          <w:szCs w:val="24"/>
          <w:lang w:eastAsia="ru-RU"/>
        </w:rPr>
      </w:pPr>
    </w:p>
    <w:p w:rsidR="002D1E45" w:rsidRPr="00B358AC" w:rsidRDefault="002D1E45" w:rsidP="00B358AC">
      <w:pPr>
        <w:autoSpaceDE w:val="0"/>
        <w:autoSpaceDN w:val="0"/>
        <w:adjustRightInd w:val="0"/>
        <w:spacing w:after="0" w:line="240" w:lineRule="auto"/>
        <w:ind w:firstLine="709"/>
        <w:jc w:val="both"/>
        <w:rPr>
          <w:rFonts w:ascii="Times New Roman" w:hAnsi="Times New Roman"/>
          <w:sz w:val="28"/>
          <w:szCs w:val="28"/>
          <w:lang w:eastAsia="ru-RU"/>
        </w:rPr>
      </w:pPr>
      <w:r w:rsidRPr="00B358AC">
        <w:rPr>
          <w:rFonts w:ascii="Times New Roman" w:hAnsi="Times New Roman"/>
          <w:sz w:val="28"/>
          <w:szCs w:val="28"/>
          <w:lang w:eastAsia="ru-RU"/>
        </w:rPr>
        <w:t>Услуги почтовой связи в</w:t>
      </w:r>
      <w:r>
        <w:rPr>
          <w:rFonts w:ascii="Times New Roman" w:hAnsi="Times New Roman"/>
          <w:sz w:val="28"/>
          <w:szCs w:val="28"/>
          <w:lang w:eastAsia="ru-RU"/>
        </w:rPr>
        <w:t> городе</w:t>
      </w:r>
      <w:r w:rsidRPr="00B358AC">
        <w:rPr>
          <w:rFonts w:ascii="Times New Roman" w:hAnsi="Times New Roman"/>
          <w:sz w:val="28"/>
          <w:szCs w:val="28"/>
          <w:lang w:eastAsia="ru-RU"/>
        </w:rPr>
        <w:t xml:space="preserve"> предоставляет </w:t>
      </w:r>
      <w:r>
        <w:rPr>
          <w:rFonts w:ascii="Times New Roman" w:hAnsi="Times New Roman"/>
          <w:sz w:val="28"/>
          <w:szCs w:val="28"/>
          <w:lang w:eastAsia="ru-RU"/>
        </w:rPr>
        <w:t>Куйбышевский</w:t>
      </w:r>
      <w:r w:rsidRPr="00B358AC">
        <w:rPr>
          <w:rFonts w:ascii="Times New Roman" w:hAnsi="Times New Roman"/>
          <w:sz w:val="28"/>
          <w:szCs w:val="28"/>
          <w:lang w:eastAsia="ru-RU"/>
        </w:rPr>
        <w:t xml:space="preserve"> Почтамт </w:t>
      </w:r>
      <w:r>
        <w:rPr>
          <w:rFonts w:ascii="Times New Roman" w:hAnsi="Times New Roman"/>
          <w:sz w:val="28"/>
          <w:szCs w:val="28"/>
          <w:lang w:eastAsia="ru-RU"/>
        </w:rPr>
        <w:t>–</w:t>
      </w:r>
      <w:r w:rsidRPr="00B358AC">
        <w:rPr>
          <w:rFonts w:ascii="Times New Roman" w:hAnsi="Times New Roman"/>
          <w:sz w:val="28"/>
          <w:szCs w:val="28"/>
          <w:lang w:eastAsia="ru-RU"/>
        </w:rPr>
        <w:t xml:space="preserve"> обособленное структурное подразделение управления федеральной почтовой связи Новосибирской области – филиала </w:t>
      </w:r>
      <w:r>
        <w:rPr>
          <w:rFonts w:ascii="Times New Roman" w:hAnsi="Times New Roman"/>
          <w:sz w:val="28"/>
          <w:szCs w:val="28"/>
          <w:lang w:eastAsia="ru-RU"/>
        </w:rPr>
        <w:t>АО</w:t>
      </w:r>
      <w:r w:rsidRPr="00B358AC">
        <w:rPr>
          <w:rFonts w:ascii="Times New Roman" w:hAnsi="Times New Roman"/>
          <w:sz w:val="28"/>
          <w:szCs w:val="28"/>
          <w:lang w:eastAsia="ru-RU"/>
        </w:rPr>
        <w:t xml:space="preserve"> «Почта России». На</w:t>
      </w:r>
      <w:r>
        <w:rPr>
          <w:rFonts w:ascii="Times New Roman" w:hAnsi="Times New Roman"/>
          <w:sz w:val="28"/>
          <w:szCs w:val="28"/>
          <w:lang w:eastAsia="ru-RU"/>
        </w:rPr>
        <w:t> </w:t>
      </w:r>
      <w:r w:rsidRPr="00B358AC">
        <w:rPr>
          <w:rFonts w:ascii="Times New Roman" w:hAnsi="Times New Roman"/>
          <w:sz w:val="28"/>
          <w:szCs w:val="28"/>
          <w:lang w:eastAsia="ru-RU"/>
        </w:rPr>
        <w:t xml:space="preserve">территории </w:t>
      </w:r>
      <w:r>
        <w:rPr>
          <w:rFonts w:ascii="Times New Roman" w:hAnsi="Times New Roman"/>
          <w:sz w:val="28"/>
          <w:szCs w:val="28"/>
          <w:lang w:eastAsia="ru-RU"/>
        </w:rPr>
        <w:t>города</w:t>
      </w:r>
      <w:r w:rsidRPr="00B358AC">
        <w:rPr>
          <w:rFonts w:ascii="Times New Roman" w:hAnsi="Times New Roman"/>
          <w:sz w:val="28"/>
          <w:szCs w:val="28"/>
          <w:lang w:eastAsia="ru-RU"/>
        </w:rPr>
        <w:t xml:space="preserve"> работа</w:t>
      </w:r>
      <w:r>
        <w:rPr>
          <w:rFonts w:ascii="Times New Roman" w:hAnsi="Times New Roman"/>
          <w:sz w:val="28"/>
          <w:szCs w:val="28"/>
          <w:lang w:eastAsia="ru-RU"/>
        </w:rPr>
        <w:t>ю</w:t>
      </w:r>
      <w:r w:rsidRPr="00B358AC">
        <w:rPr>
          <w:rFonts w:ascii="Times New Roman" w:hAnsi="Times New Roman"/>
          <w:sz w:val="28"/>
          <w:szCs w:val="28"/>
          <w:lang w:eastAsia="ru-RU"/>
        </w:rPr>
        <w:t xml:space="preserve">т </w:t>
      </w:r>
      <w:r>
        <w:rPr>
          <w:rFonts w:ascii="Times New Roman" w:hAnsi="Times New Roman"/>
          <w:sz w:val="28"/>
          <w:szCs w:val="28"/>
          <w:lang w:eastAsia="ru-RU"/>
        </w:rPr>
        <w:t>8</w:t>
      </w:r>
      <w:r w:rsidRPr="00B358AC">
        <w:rPr>
          <w:rFonts w:ascii="Times New Roman" w:hAnsi="Times New Roman"/>
          <w:sz w:val="28"/>
          <w:szCs w:val="28"/>
          <w:lang w:eastAsia="ru-RU"/>
        </w:rPr>
        <w:t xml:space="preserve"> отделени</w:t>
      </w:r>
      <w:r>
        <w:rPr>
          <w:rFonts w:ascii="Times New Roman" w:hAnsi="Times New Roman"/>
          <w:sz w:val="28"/>
          <w:szCs w:val="28"/>
          <w:lang w:eastAsia="ru-RU"/>
        </w:rPr>
        <w:t>й</w:t>
      </w:r>
      <w:r w:rsidRPr="00B358AC">
        <w:rPr>
          <w:rFonts w:ascii="Times New Roman" w:hAnsi="Times New Roman"/>
          <w:sz w:val="28"/>
          <w:szCs w:val="28"/>
          <w:lang w:eastAsia="ru-RU"/>
        </w:rPr>
        <w:t xml:space="preserve">. </w:t>
      </w:r>
    </w:p>
    <w:p w:rsidR="002D1E45" w:rsidRDefault="002D1E45" w:rsidP="00B358AC">
      <w:pPr>
        <w:autoSpaceDE w:val="0"/>
        <w:autoSpaceDN w:val="0"/>
        <w:adjustRightInd w:val="0"/>
        <w:spacing w:after="0" w:line="240" w:lineRule="auto"/>
        <w:ind w:firstLine="709"/>
        <w:jc w:val="right"/>
        <w:rPr>
          <w:rFonts w:ascii="Times New Roman" w:hAnsi="Times New Roman"/>
          <w:sz w:val="28"/>
          <w:szCs w:val="28"/>
          <w:lang w:eastAsia="ru-RU"/>
        </w:rPr>
      </w:pPr>
    </w:p>
    <w:p w:rsidR="002D1E45" w:rsidRDefault="002D1E45" w:rsidP="00B358AC">
      <w:pPr>
        <w:autoSpaceDE w:val="0"/>
        <w:autoSpaceDN w:val="0"/>
        <w:adjustRightInd w:val="0"/>
        <w:spacing w:after="0" w:line="240" w:lineRule="auto"/>
        <w:ind w:firstLine="709"/>
        <w:jc w:val="right"/>
        <w:rPr>
          <w:rFonts w:ascii="Times New Roman" w:hAnsi="Times New Roman"/>
          <w:sz w:val="28"/>
          <w:szCs w:val="28"/>
          <w:lang w:eastAsia="ru-RU"/>
        </w:rPr>
      </w:pPr>
    </w:p>
    <w:p w:rsidR="002D1E45" w:rsidRPr="00B358AC" w:rsidRDefault="002D1E45" w:rsidP="00B358AC">
      <w:pPr>
        <w:autoSpaceDE w:val="0"/>
        <w:autoSpaceDN w:val="0"/>
        <w:adjustRightInd w:val="0"/>
        <w:spacing w:after="0" w:line="240" w:lineRule="auto"/>
        <w:ind w:firstLine="709"/>
        <w:jc w:val="right"/>
        <w:rPr>
          <w:rFonts w:ascii="Times New Roman" w:hAnsi="Times New Roman"/>
          <w:sz w:val="28"/>
          <w:szCs w:val="28"/>
          <w:lang w:eastAsia="ru-RU"/>
        </w:rPr>
      </w:pPr>
      <w:r w:rsidRPr="00B358AC">
        <w:rPr>
          <w:rFonts w:ascii="Times New Roman" w:hAnsi="Times New Roman"/>
          <w:sz w:val="28"/>
          <w:szCs w:val="28"/>
          <w:lang w:eastAsia="ru-RU"/>
        </w:rPr>
        <w:t xml:space="preserve">Таблица </w:t>
      </w:r>
      <w:r w:rsidRPr="00B358AC">
        <w:rPr>
          <w:rFonts w:ascii="Times New Roman" w:hAnsi="Times New Roman"/>
          <w:sz w:val="28"/>
          <w:szCs w:val="28"/>
          <w:lang w:eastAsia="ru-RU"/>
        </w:rPr>
        <w:fldChar w:fldCharType="begin"/>
      </w:r>
      <w:r w:rsidRPr="00B358AC">
        <w:rPr>
          <w:rFonts w:ascii="Times New Roman" w:hAnsi="Times New Roman"/>
          <w:sz w:val="28"/>
          <w:szCs w:val="28"/>
          <w:lang w:eastAsia="ru-RU"/>
        </w:rPr>
        <w:instrText xml:space="preserve"> SEQ Таблица \* ARABIC </w:instrText>
      </w:r>
      <w:r w:rsidRPr="00B358AC">
        <w:rPr>
          <w:rFonts w:ascii="Times New Roman" w:hAnsi="Times New Roman"/>
          <w:sz w:val="28"/>
          <w:szCs w:val="28"/>
          <w:lang w:eastAsia="ru-RU"/>
        </w:rPr>
        <w:fldChar w:fldCharType="separate"/>
      </w:r>
      <w:r>
        <w:rPr>
          <w:rFonts w:ascii="Times New Roman" w:hAnsi="Times New Roman"/>
          <w:noProof/>
          <w:sz w:val="28"/>
          <w:szCs w:val="28"/>
          <w:lang w:eastAsia="ru-RU"/>
        </w:rPr>
        <w:t>23</w:t>
      </w:r>
      <w:r w:rsidRPr="00B358AC">
        <w:rPr>
          <w:rFonts w:ascii="Times New Roman" w:hAnsi="Times New Roman"/>
          <w:sz w:val="28"/>
          <w:szCs w:val="28"/>
          <w:lang w:eastAsia="ru-RU"/>
        </w:rPr>
        <w:fldChar w:fldCharType="end"/>
      </w:r>
    </w:p>
    <w:p w:rsidR="002D1E45" w:rsidRPr="00B358AC" w:rsidRDefault="002D1E45" w:rsidP="00B358AC">
      <w:pPr>
        <w:spacing w:after="120" w:line="240" w:lineRule="auto"/>
        <w:jc w:val="center"/>
        <w:rPr>
          <w:rFonts w:ascii="Times New Roman" w:hAnsi="Times New Roman"/>
          <w:sz w:val="28"/>
          <w:szCs w:val="28"/>
          <w:lang w:eastAsia="ru-RU"/>
        </w:rPr>
      </w:pPr>
      <w:r w:rsidRPr="00B358AC">
        <w:rPr>
          <w:rFonts w:ascii="Times New Roman" w:hAnsi="Times New Roman"/>
          <w:sz w:val="28"/>
          <w:szCs w:val="28"/>
          <w:lang w:eastAsia="ru-RU"/>
        </w:rPr>
        <w:t>Почтовые отделения на</w:t>
      </w:r>
      <w:r>
        <w:rPr>
          <w:rFonts w:ascii="Times New Roman" w:hAnsi="Times New Roman"/>
          <w:sz w:val="28"/>
          <w:szCs w:val="28"/>
          <w:lang w:eastAsia="ru-RU"/>
        </w:rPr>
        <w:t> </w:t>
      </w:r>
      <w:r w:rsidRPr="00B358AC">
        <w:rPr>
          <w:rFonts w:ascii="Times New Roman" w:hAnsi="Times New Roman"/>
          <w:sz w:val="28"/>
          <w:szCs w:val="28"/>
          <w:lang w:eastAsia="ru-RU"/>
        </w:rPr>
        <w:t xml:space="preserve">территории </w:t>
      </w:r>
      <w:r>
        <w:rPr>
          <w:rFonts w:ascii="Times New Roman" w:hAnsi="Times New Roman"/>
          <w:sz w:val="28"/>
          <w:szCs w:val="28"/>
          <w:lang w:eastAsia="ru-RU"/>
        </w:rPr>
        <w:t>г. Куйбышева</w:t>
      </w:r>
    </w:p>
    <w:tbl>
      <w:tblPr>
        <w:tblW w:w="42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39"/>
        <w:gridCol w:w="1142"/>
        <w:gridCol w:w="4300"/>
        <w:gridCol w:w="979"/>
        <w:gridCol w:w="1877"/>
      </w:tblGrid>
      <w:tr w:rsidR="002D1E45" w:rsidRPr="00B358AC" w:rsidTr="00B358AC">
        <w:trPr>
          <w:trHeight w:val="283"/>
          <w:tblHeader/>
          <w:jc w:val="center"/>
        </w:trPr>
        <w:tc>
          <w:tcPr>
            <w:tcW w:w="357" w:type="pct"/>
            <w:vAlign w:val="center"/>
          </w:tcPr>
          <w:p w:rsidR="002D1E45" w:rsidRPr="00B358AC" w:rsidRDefault="002D1E45" w:rsidP="00B358AC">
            <w:pPr>
              <w:spacing w:after="0" w:line="240" w:lineRule="auto"/>
              <w:jc w:val="center"/>
              <w:rPr>
                <w:rFonts w:ascii="Times New Roman" w:hAnsi="Times New Roman"/>
                <w:sz w:val="24"/>
                <w:szCs w:val="24"/>
                <w:lang w:eastAsia="ru-RU"/>
              </w:rPr>
            </w:pPr>
            <w:bookmarkStart w:id="166" w:name="_Hlk489541307"/>
            <w:r w:rsidRPr="00B358AC">
              <w:rPr>
                <w:rFonts w:ascii="Times New Roman" w:hAnsi="Times New Roman"/>
                <w:sz w:val="24"/>
                <w:szCs w:val="24"/>
                <w:lang w:eastAsia="ru-RU"/>
              </w:rPr>
              <w:t>№</w:t>
            </w:r>
            <w:r w:rsidRPr="00B358AC">
              <w:rPr>
                <w:rFonts w:ascii="Times New Roman" w:hAnsi="Times New Roman"/>
                <w:sz w:val="24"/>
                <w:szCs w:val="24"/>
                <w:lang w:eastAsia="ru-RU"/>
              </w:rPr>
              <w:br/>
              <w:t>п/п</w:t>
            </w:r>
          </w:p>
        </w:tc>
        <w:tc>
          <w:tcPr>
            <w:tcW w:w="639" w:type="pct"/>
            <w:vAlign w:val="center"/>
          </w:tcPr>
          <w:p w:rsidR="002D1E45" w:rsidRPr="00B358AC" w:rsidRDefault="002D1E45" w:rsidP="00B358AC">
            <w:pPr>
              <w:spacing w:after="0" w:line="240" w:lineRule="auto"/>
              <w:jc w:val="center"/>
              <w:rPr>
                <w:rFonts w:ascii="Times New Roman" w:hAnsi="Times New Roman"/>
                <w:sz w:val="24"/>
                <w:szCs w:val="24"/>
                <w:lang w:eastAsia="ru-RU"/>
              </w:rPr>
            </w:pPr>
            <w:r w:rsidRPr="00B358AC">
              <w:rPr>
                <w:rFonts w:ascii="Times New Roman" w:hAnsi="Times New Roman"/>
                <w:sz w:val="24"/>
                <w:szCs w:val="24"/>
                <w:lang w:eastAsia="ru-RU"/>
              </w:rPr>
              <w:t>Индекс</w:t>
            </w:r>
          </w:p>
        </w:tc>
        <w:tc>
          <w:tcPr>
            <w:tcW w:w="2406" w:type="pct"/>
            <w:vAlign w:val="center"/>
          </w:tcPr>
          <w:p w:rsidR="002D1E45" w:rsidRPr="00B358AC" w:rsidRDefault="002D1E45" w:rsidP="00B358AC">
            <w:pPr>
              <w:spacing w:after="0" w:line="240" w:lineRule="auto"/>
              <w:jc w:val="center"/>
              <w:rPr>
                <w:rFonts w:ascii="Times New Roman" w:hAnsi="Times New Roman"/>
                <w:sz w:val="24"/>
                <w:szCs w:val="24"/>
                <w:lang w:eastAsia="ru-RU"/>
              </w:rPr>
            </w:pPr>
            <w:r w:rsidRPr="00B358AC">
              <w:rPr>
                <w:rFonts w:ascii="Times New Roman" w:hAnsi="Times New Roman"/>
                <w:sz w:val="24"/>
                <w:szCs w:val="24"/>
                <w:lang w:eastAsia="ru-RU"/>
              </w:rPr>
              <w:t xml:space="preserve">Адрес </w:t>
            </w:r>
          </w:p>
        </w:tc>
        <w:tc>
          <w:tcPr>
            <w:tcW w:w="548" w:type="pct"/>
            <w:vAlign w:val="center"/>
          </w:tcPr>
          <w:p w:rsidR="002D1E45" w:rsidRPr="00B358AC" w:rsidRDefault="002D1E45" w:rsidP="00B358AC">
            <w:pPr>
              <w:spacing w:after="0" w:line="240" w:lineRule="auto"/>
              <w:jc w:val="center"/>
              <w:rPr>
                <w:rFonts w:ascii="Times New Roman" w:hAnsi="Times New Roman"/>
                <w:sz w:val="24"/>
                <w:szCs w:val="24"/>
                <w:lang w:eastAsia="ru-RU"/>
              </w:rPr>
            </w:pPr>
            <w:r w:rsidRPr="00B358AC">
              <w:rPr>
                <w:rFonts w:ascii="Times New Roman" w:hAnsi="Times New Roman"/>
                <w:sz w:val="24"/>
                <w:szCs w:val="24"/>
                <w:lang w:eastAsia="ru-RU"/>
              </w:rPr>
              <w:t>Класс</w:t>
            </w:r>
          </w:p>
        </w:tc>
        <w:tc>
          <w:tcPr>
            <w:tcW w:w="1050" w:type="pct"/>
            <w:vAlign w:val="center"/>
          </w:tcPr>
          <w:p w:rsidR="002D1E45" w:rsidRPr="00B358AC" w:rsidRDefault="002D1E45" w:rsidP="00B358AC">
            <w:pPr>
              <w:spacing w:after="0" w:line="240" w:lineRule="auto"/>
              <w:jc w:val="center"/>
              <w:rPr>
                <w:rFonts w:ascii="Times New Roman" w:hAnsi="Times New Roman"/>
                <w:sz w:val="24"/>
                <w:szCs w:val="24"/>
                <w:lang w:eastAsia="ru-RU"/>
              </w:rPr>
            </w:pPr>
            <w:r w:rsidRPr="00B358AC">
              <w:rPr>
                <w:rFonts w:ascii="Times New Roman" w:hAnsi="Times New Roman"/>
                <w:sz w:val="24"/>
                <w:szCs w:val="24"/>
                <w:lang w:eastAsia="ru-RU"/>
              </w:rPr>
              <w:t>Телефон, код (</w:t>
            </w:r>
            <w:r w:rsidRPr="00712131">
              <w:rPr>
                <w:rFonts w:ascii="Times New Roman" w:hAnsi="Times New Roman"/>
                <w:sz w:val="24"/>
                <w:szCs w:val="24"/>
                <w:lang w:eastAsia="ru-RU"/>
              </w:rPr>
              <w:t>383-62</w:t>
            </w:r>
            <w:r w:rsidRPr="00B358AC">
              <w:rPr>
                <w:rFonts w:ascii="Times New Roman" w:hAnsi="Times New Roman"/>
                <w:sz w:val="24"/>
                <w:szCs w:val="24"/>
                <w:lang w:eastAsia="ru-RU"/>
              </w:rPr>
              <w:t>)</w:t>
            </w:r>
          </w:p>
        </w:tc>
      </w:tr>
      <w:tr w:rsidR="002D1E45" w:rsidRPr="00B358AC" w:rsidTr="00712131">
        <w:trPr>
          <w:trHeight w:val="283"/>
          <w:jc w:val="center"/>
        </w:trPr>
        <w:tc>
          <w:tcPr>
            <w:tcW w:w="357" w:type="pct"/>
            <w:vAlign w:val="center"/>
          </w:tcPr>
          <w:p w:rsidR="002D1E45" w:rsidRPr="00B358AC" w:rsidRDefault="002D1E45" w:rsidP="00852938">
            <w:pPr>
              <w:numPr>
                <w:ilvl w:val="0"/>
                <w:numId w:val="69"/>
              </w:numPr>
              <w:spacing w:after="0" w:line="240" w:lineRule="auto"/>
              <w:ind w:left="0" w:right="113" w:firstLine="0"/>
              <w:contextualSpacing/>
              <w:jc w:val="center"/>
              <w:rPr>
                <w:rFonts w:ascii="Times New Roman" w:hAnsi="Times New Roman"/>
                <w:sz w:val="24"/>
                <w:szCs w:val="24"/>
                <w:lang w:eastAsia="ru-RU"/>
              </w:rPr>
            </w:pPr>
          </w:p>
        </w:tc>
        <w:tc>
          <w:tcPr>
            <w:tcW w:w="639" w:type="pct"/>
            <w:vAlign w:val="center"/>
          </w:tcPr>
          <w:p w:rsidR="002D1E45" w:rsidRPr="00B358AC" w:rsidRDefault="002D1E45" w:rsidP="00B358AC">
            <w:pPr>
              <w:spacing w:after="0" w:line="240" w:lineRule="auto"/>
              <w:jc w:val="center"/>
              <w:rPr>
                <w:rFonts w:ascii="Times New Roman" w:hAnsi="Times New Roman"/>
                <w:color w:val="000000"/>
                <w:sz w:val="24"/>
                <w:szCs w:val="24"/>
                <w:lang w:eastAsia="ru-RU"/>
              </w:rPr>
            </w:pPr>
            <w:r w:rsidRPr="00712131">
              <w:rPr>
                <w:rFonts w:ascii="Times New Roman" w:hAnsi="Times New Roman"/>
                <w:color w:val="000000"/>
                <w:sz w:val="24"/>
                <w:szCs w:val="24"/>
                <w:lang w:eastAsia="ru-RU"/>
              </w:rPr>
              <w:t>632381</w:t>
            </w:r>
          </w:p>
        </w:tc>
        <w:tc>
          <w:tcPr>
            <w:tcW w:w="2406" w:type="pct"/>
            <w:vAlign w:val="center"/>
          </w:tcPr>
          <w:p w:rsidR="002D1E45" w:rsidRPr="00B358AC" w:rsidRDefault="002D1E45" w:rsidP="00B358AC">
            <w:pPr>
              <w:spacing w:after="0" w:line="240" w:lineRule="auto"/>
              <w:jc w:val="both"/>
              <w:rPr>
                <w:rFonts w:ascii="Times New Roman" w:hAnsi="Times New Roman"/>
                <w:color w:val="000000"/>
                <w:sz w:val="24"/>
                <w:szCs w:val="24"/>
                <w:lang w:eastAsia="ru-RU"/>
              </w:rPr>
            </w:pPr>
            <w:r w:rsidRPr="00712131">
              <w:rPr>
                <w:rFonts w:ascii="Times New Roman" w:hAnsi="Times New Roman"/>
                <w:color w:val="000000"/>
                <w:sz w:val="24"/>
                <w:szCs w:val="24"/>
                <w:lang w:eastAsia="ru-RU"/>
              </w:rPr>
              <w:t>ул. Ермака, 28, г. Куйбышев</w:t>
            </w:r>
          </w:p>
        </w:tc>
        <w:tc>
          <w:tcPr>
            <w:tcW w:w="548" w:type="pct"/>
            <w:vAlign w:val="center"/>
          </w:tcPr>
          <w:p w:rsidR="002D1E45" w:rsidRPr="00B358AC" w:rsidRDefault="002D1E45" w:rsidP="00B358AC">
            <w:pPr>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3</w:t>
            </w:r>
          </w:p>
        </w:tc>
        <w:tc>
          <w:tcPr>
            <w:tcW w:w="1050" w:type="pct"/>
            <w:vAlign w:val="center"/>
          </w:tcPr>
          <w:p w:rsidR="002D1E45" w:rsidRPr="00B358AC" w:rsidRDefault="002D1E45" w:rsidP="00B358AC">
            <w:pPr>
              <w:spacing w:after="0" w:line="240" w:lineRule="auto"/>
              <w:jc w:val="center"/>
              <w:rPr>
                <w:rFonts w:ascii="Times New Roman" w:hAnsi="Times New Roman"/>
                <w:color w:val="000000"/>
                <w:sz w:val="24"/>
                <w:szCs w:val="24"/>
                <w:lang w:eastAsia="ru-RU"/>
              </w:rPr>
            </w:pPr>
            <w:r w:rsidRPr="00712131">
              <w:rPr>
                <w:rFonts w:ascii="Times New Roman" w:hAnsi="Times New Roman"/>
                <w:color w:val="000000"/>
                <w:sz w:val="24"/>
                <w:szCs w:val="24"/>
                <w:lang w:eastAsia="ru-RU"/>
              </w:rPr>
              <w:t>2-28-44</w:t>
            </w:r>
          </w:p>
        </w:tc>
      </w:tr>
      <w:tr w:rsidR="002D1E45" w:rsidRPr="00B358AC" w:rsidTr="00712131">
        <w:trPr>
          <w:trHeight w:val="283"/>
          <w:jc w:val="center"/>
        </w:trPr>
        <w:tc>
          <w:tcPr>
            <w:tcW w:w="357" w:type="pct"/>
            <w:vAlign w:val="center"/>
          </w:tcPr>
          <w:p w:rsidR="002D1E45" w:rsidRPr="00B358AC" w:rsidRDefault="002D1E45" w:rsidP="00852938">
            <w:pPr>
              <w:numPr>
                <w:ilvl w:val="0"/>
                <w:numId w:val="69"/>
              </w:numPr>
              <w:spacing w:after="0" w:line="240" w:lineRule="auto"/>
              <w:ind w:left="0" w:right="113" w:firstLine="0"/>
              <w:contextualSpacing/>
              <w:jc w:val="center"/>
              <w:rPr>
                <w:rFonts w:ascii="Times New Roman" w:hAnsi="Times New Roman"/>
                <w:sz w:val="24"/>
                <w:szCs w:val="24"/>
                <w:lang w:eastAsia="ru-RU"/>
              </w:rPr>
            </w:pPr>
          </w:p>
        </w:tc>
        <w:tc>
          <w:tcPr>
            <w:tcW w:w="639" w:type="pct"/>
            <w:vAlign w:val="center"/>
          </w:tcPr>
          <w:p w:rsidR="002D1E45" w:rsidRPr="00A00F23" w:rsidRDefault="002D1E45" w:rsidP="001702D1">
            <w:pPr>
              <w:spacing w:after="0" w:line="240" w:lineRule="auto"/>
              <w:jc w:val="center"/>
              <w:rPr>
                <w:rFonts w:ascii="Times New Roman" w:hAnsi="Times New Roman"/>
                <w:color w:val="000000"/>
                <w:sz w:val="24"/>
                <w:szCs w:val="24"/>
                <w:lang w:eastAsia="ru-RU"/>
              </w:rPr>
            </w:pPr>
            <w:r w:rsidRPr="00712131">
              <w:rPr>
                <w:rFonts w:ascii="Times New Roman" w:hAnsi="Times New Roman"/>
                <w:color w:val="000000"/>
                <w:sz w:val="24"/>
                <w:szCs w:val="24"/>
                <w:lang w:eastAsia="ru-RU"/>
              </w:rPr>
              <w:t>632382</w:t>
            </w:r>
          </w:p>
        </w:tc>
        <w:tc>
          <w:tcPr>
            <w:tcW w:w="2406" w:type="pct"/>
            <w:vAlign w:val="center"/>
          </w:tcPr>
          <w:p w:rsidR="002D1E45" w:rsidRPr="00A00F23" w:rsidRDefault="002D1E45" w:rsidP="001702D1">
            <w:pPr>
              <w:spacing w:after="0" w:line="240" w:lineRule="auto"/>
              <w:jc w:val="both"/>
              <w:rPr>
                <w:rFonts w:ascii="Times New Roman" w:hAnsi="Times New Roman"/>
                <w:color w:val="000000"/>
                <w:sz w:val="24"/>
                <w:szCs w:val="24"/>
                <w:lang w:eastAsia="ru-RU"/>
              </w:rPr>
            </w:pPr>
            <w:r w:rsidRPr="00712131">
              <w:rPr>
                <w:rFonts w:ascii="Times New Roman" w:hAnsi="Times New Roman"/>
                <w:color w:val="000000"/>
                <w:sz w:val="24"/>
                <w:szCs w:val="24"/>
                <w:lang w:eastAsia="ru-RU"/>
              </w:rPr>
              <w:t>Квартал 11, 9, г. Куйбышев</w:t>
            </w:r>
          </w:p>
        </w:tc>
        <w:tc>
          <w:tcPr>
            <w:tcW w:w="548" w:type="pct"/>
            <w:vAlign w:val="center"/>
          </w:tcPr>
          <w:p w:rsidR="002D1E45" w:rsidRPr="00B358AC" w:rsidRDefault="002D1E45" w:rsidP="001702D1">
            <w:pPr>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3</w:t>
            </w:r>
          </w:p>
        </w:tc>
        <w:tc>
          <w:tcPr>
            <w:tcW w:w="1050" w:type="pct"/>
            <w:vAlign w:val="center"/>
          </w:tcPr>
          <w:p w:rsidR="002D1E45" w:rsidRPr="00A00F23" w:rsidRDefault="002D1E45" w:rsidP="001702D1">
            <w:pPr>
              <w:spacing w:after="0" w:line="240" w:lineRule="auto"/>
              <w:jc w:val="center"/>
              <w:rPr>
                <w:rFonts w:ascii="Times New Roman" w:hAnsi="Times New Roman"/>
                <w:color w:val="000000"/>
                <w:sz w:val="24"/>
                <w:szCs w:val="24"/>
                <w:lang w:eastAsia="ru-RU"/>
              </w:rPr>
            </w:pPr>
            <w:r w:rsidRPr="001702D1">
              <w:rPr>
                <w:rFonts w:ascii="Times New Roman" w:hAnsi="Times New Roman"/>
                <w:color w:val="000000"/>
                <w:sz w:val="24"/>
                <w:szCs w:val="24"/>
                <w:lang w:eastAsia="ru-RU"/>
              </w:rPr>
              <w:t>2-36-54</w:t>
            </w:r>
          </w:p>
        </w:tc>
      </w:tr>
      <w:tr w:rsidR="002D1E45" w:rsidRPr="00B358AC" w:rsidTr="00712131">
        <w:trPr>
          <w:trHeight w:val="283"/>
          <w:jc w:val="center"/>
        </w:trPr>
        <w:tc>
          <w:tcPr>
            <w:tcW w:w="357" w:type="pct"/>
            <w:vAlign w:val="center"/>
          </w:tcPr>
          <w:p w:rsidR="002D1E45" w:rsidRPr="00B358AC" w:rsidRDefault="002D1E45" w:rsidP="00852938">
            <w:pPr>
              <w:numPr>
                <w:ilvl w:val="0"/>
                <w:numId w:val="69"/>
              </w:numPr>
              <w:spacing w:after="0" w:line="240" w:lineRule="auto"/>
              <w:ind w:left="0" w:right="113" w:firstLine="0"/>
              <w:contextualSpacing/>
              <w:jc w:val="center"/>
              <w:rPr>
                <w:rFonts w:ascii="Times New Roman" w:hAnsi="Times New Roman"/>
                <w:sz w:val="24"/>
                <w:szCs w:val="24"/>
                <w:lang w:eastAsia="ru-RU"/>
              </w:rPr>
            </w:pPr>
          </w:p>
        </w:tc>
        <w:tc>
          <w:tcPr>
            <w:tcW w:w="639" w:type="pct"/>
            <w:vAlign w:val="center"/>
          </w:tcPr>
          <w:p w:rsidR="002D1E45" w:rsidRPr="00A00F23" w:rsidRDefault="002D1E45" w:rsidP="001702D1">
            <w:pPr>
              <w:spacing w:after="0" w:line="240" w:lineRule="auto"/>
              <w:jc w:val="center"/>
              <w:rPr>
                <w:rFonts w:ascii="Times New Roman" w:hAnsi="Times New Roman"/>
                <w:color w:val="000000"/>
                <w:sz w:val="24"/>
                <w:szCs w:val="24"/>
                <w:lang w:eastAsia="ru-RU"/>
              </w:rPr>
            </w:pPr>
            <w:r w:rsidRPr="001702D1">
              <w:rPr>
                <w:rFonts w:ascii="Times New Roman" w:hAnsi="Times New Roman"/>
                <w:color w:val="000000"/>
                <w:sz w:val="24"/>
                <w:szCs w:val="24"/>
                <w:lang w:eastAsia="ru-RU"/>
              </w:rPr>
              <w:t>632383</w:t>
            </w:r>
          </w:p>
        </w:tc>
        <w:tc>
          <w:tcPr>
            <w:tcW w:w="2406" w:type="pct"/>
            <w:vAlign w:val="center"/>
          </w:tcPr>
          <w:p w:rsidR="002D1E45" w:rsidRPr="00A00F23" w:rsidRDefault="002D1E45" w:rsidP="001702D1">
            <w:pPr>
              <w:spacing w:after="0" w:line="240" w:lineRule="auto"/>
              <w:jc w:val="both"/>
              <w:rPr>
                <w:rFonts w:ascii="Times New Roman" w:hAnsi="Times New Roman"/>
                <w:color w:val="000000"/>
                <w:sz w:val="24"/>
                <w:szCs w:val="24"/>
                <w:lang w:eastAsia="ru-RU"/>
              </w:rPr>
            </w:pPr>
            <w:r w:rsidRPr="001702D1">
              <w:rPr>
                <w:rFonts w:ascii="Times New Roman" w:hAnsi="Times New Roman"/>
                <w:color w:val="000000"/>
                <w:sz w:val="24"/>
                <w:szCs w:val="24"/>
                <w:lang w:eastAsia="ru-RU"/>
              </w:rPr>
              <w:t>Квартал, 1, г. Куйбышев</w:t>
            </w:r>
          </w:p>
        </w:tc>
        <w:tc>
          <w:tcPr>
            <w:tcW w:w="548" w:type="pct"/>
            <w:vAlign w:val="center"/>
          </w:tcPr>
          <w:p w:rsidR="002D1E45" w:rsidRPr="00B358AC" w:rsidRDefault="002D1E45" w:rsidP="001702D1">
            <w:pPr>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3</w:t>
            </w:r>
          </w:p>
        </w:tc>
        <w:tc>
          <w:tcPr>
            <w:tcW w:w="1050" w:type="pct"/>
            <w:vAlign w:val="center"/>
          </w:tcPr>
          <w:p w:rsidR="002D1E45" w:rsidRPr="00A00F23" w:rsidRDefault="002D1E45" w:rsidP="001702D1">
            <w:pPr>
              <w:spacing w:after="0" w:line="240" w:lineRule="auto"/>
              <w:jc w:val="center"/>
              <w:rPr>
                <w:rFonts w:ascii="Times New Roman" w:hAnsi="Times New Roman"/>
                <w:color w:val="000000"/>
                <w:sz w:val="24"/>
                <w:szCs w:val="24"/>
                <w:lang w:eastAsia="ru-RU"/>
              </w:rPr>
            </w:pPr>
            <w:r w:rsidRPr="001702D1">
              <w:rPr>
                <w:rFonts w:ascii="Times New Roman" w:hAnsi="Times New Roman"/>
                <w:color w:val="000000"/>
                <w:sz w:val="24"/>
                <w:szCs w:val="24"/>
                <w:lang w:eastAsia="ru-RU"/>
              </w:rPr>
              <w:t>6-44-66</w:t>
            </w:r>
          </w:p>
        </w:tc>
      </w:tr>
      <w:tr w:rsidR="002D1E45" w:rsidRPr="00B358AC" w:rsidTr="00712131">
        <w:trPr>
          <w:trHeight w:val="283"/>
          <w:jc w:val="center"/>
        </w:trPr>
        <w:tc>
          <w:tcPr>
            <w:tcW w:w="357" w:type="pct"/>
            <w:vAlign w:val="center"/>
          </w:tcPr>
          <w:p w:rsidR="002D1E45" w:rsidRPr="00B358AC" w:rsidRDefault="002D1E45" w:rsidP="00852938">
            <w:pPr>
              <w:numPr>
                <w:ilvl w:val="0"/>
                <w:numId w:val="69"/>
              </w:numPr>
              <w:spacing w:after="0" w:line="240" w:lineRule="auto"/>
              <w:ind w:left="0" w:right="113" w:firstLine="0"/>
              <w:contextualSpacing/>
              <w:jc w:val="center"/>
              <w:rPr>
                <w:rFonts w:ascii="Times New Roman" w:hAnsi="Times New Roman"/>
                <w:sz w:val="24"/>
                <w:szCs w:val="24"/>
                <w:lang w:eastAsia="ru-RU"/>
              </w:rPr>
            </w:pPr>
          </w:p>
        </w:tc>
        <w:tc>
          <w:tcPr>
            <w:tcW w:w="639" w:type="pct"/>
            <w:vAlign w:val="center"/>
          </w:tcPr>
          <w:p w:rsidR="002D1E45" w:rsidRPr="00A00F23" w:rsidRDefault="002D1E45" w:rsidP="001702D1">
            <w:pPr>
              <w:spacing w:after="0" w:line="240" w:lineRule="auto"/>
              <w:jc w:val="center"/>
              <w:rPr>
                <w:rFonts w:ascii="Times New Roman" w:hAnsi="Times New Roman"/>
                <w:color w:val="000000"/>
                <w:sz w:val="24"/>
                <w:szCs w:val="24"/>
                <w:lang w:eastAsia="ru-RU"/>
              </w:rPr>
            </w:pPr>
            <w:r w:rsidRPr="001702D1">
              <w:rPr>
                <w:rFonts w:ascii="Times New Roman" w:hAnsi="Times New Roman"/>
                <w:color w:val="000000"/>
                <w:sz w:val="24"/>
                <w:szCs w:val="24"/>
                <w:lang w:eastAsia="ru-RU"/>
              </w:rPr>
              <w:t>632384</w:t>
            </w:r>
          </w:p>
        </w:tc>
        <w:tc>
          <w:tcPr>
            <w:tcW w:w="2406" w:type="pct"/>
            <w:vAlign w:val="center"/>
          </w:tcPr>
          <w:p w:rsidR="002D1E45" w:rsidRPr="00A00F23" w:rsidRDefault="002D1E45" w:rsidP="001702D1">
            <w:pPr>
              <w:spacing w:after="0" w:line="240" w:lineRule="auto"/>
              <w:jc w:val="both"/>
              <w:rPr>
                <w:rFonts w:ascii="Times New Roman" w:hAnsi="Times New Roman"/>
                <w:color w:val="000000"/>
                <w:sz w:val="24"/>
                <w:szCs w:val="24"/>
                <w:lang w:eastAsia="ru-RU"/>
              </w:rPr>
            </w:pPr>
            <w:r w:rsidRPr="001702D1">
              <w:rPr>
                <w:rFonts w:ascii="Times New Roman" w:hAnsi="Times New Roman"/>
                <w:color w:val="000000"/>
                <w:sz w:val="24"/>
                <w:szCs w:val="24"/>
                <w:lang w:eastAsia="ru-RU"/>
              </w:rPr>
              <w:t>ул. Учебный городок, 2, г. Куйбышев</w:t>
            </w:r>
          </w:p>
        </w:tc>
        <w:tc>
          <w:tcPr>
            <w:tcW w:w="548" w:type="pct"/>
            <w:vAlign w:val="center"/>
          </w:tcPr>
          <w:p w:rsidR="002D1E45" w:rsidRPr="00B358AC" w:rsidRDefault="002D1E45" w:rsidP="001702D1">
            <w:pPr>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3</w:t>
            </w:r>
          </w:p>
        </w:tc>
        <w:tc>
          <w:tcPr>
            <w:tcW w:w="1050" w:type="pct"/>
            <w:vAlign w:val="center"/>
          </w:tcPr>
          <w:p w:rsidR="002D1E45" w:rsidRPr="00A00F23" w:rsidRDefault="002D1E45" w:rsidP="001702D1">
            <w:pPr>
              <w:spacing w:after="0" w:line="240" w:lineRule="auto"/>
              <w:jc w:val="center"/>
              <w:rPr>
                <w:rFonts w:ascii="Times New Roman" w:hAnsi="Times New Roman"/>
                <w:color w:val="000000"/>
                <w:sz w:val="24"/>
                <w:szCs w:val="24"/>
                <w:lang w:eastAsia="ru-RU"/>
              </w:rPr>
            </w:pPr>
            <w:r w:rsidRPr="001702D1">
              <w:rPr>
                <w:rFonts w:ascii="Times New Roman" w:hAnsi="Times New Roman"/>
                <w:color w:val="000000"/>
                <w:sz w:val="24"/>
                <w:szCs w:val="24"/>
                <w:lang w:eastAsia="ru-RU"/>
              </w:rPr>
              <w:t>2-37-72</w:t>
            </w:r>
          </w:p>
        </w:tc>
      </w:tr>
      <w:tr w:rsidR="002D1E45" w:rsidRPr="00B358AC" w:rsidTr="00712131">
        <w:trPr>
          <w:trHeight w:val="283"/>
          <w:jc w:val="center"/>
        </w:trPr>
        <w:tc>
          <w:tcPr>
            <w:tcW w:w="357" w:type="pct"/>
            <w:vAlign w:val="center"/>
          </w:tcPr>
          <w:p w:rsidR="002D1E45" w:rsidRPr="00B358AC" w:rsidRDefault="002D1E45" w:rsidP="00852938">
            <w:pPr>
              <w:numPr>
                <w:ilvl w:val="0"/>
                <w:numId w:val="69"/>
              </w:numPr>
              <w:spacing w:after="0" w:line="240" w:lineRule="auto"/>
              <w:ind w:left="0" w:right="113" w:firstLine="0"/>
              <w:contextualSpacing/>
              <w:jc w:val="center"/>
              <w:rPr>
                <w:rFonts w:ascii="Times New Roman" w:hAnsi="Times New Roman"/>
                <w:sz w:val="24"/>
                <w:szCs w:val="24"/>
                <w:lang w:eastAsia="ru-RU"/>
              </w:rPr>
            </w:pPr>
          </w:p>
        </w:tc>
        <w:tc>
          <w:tcPr>
            <w:tcW w:w="639" w:type="pct"/>
            <w:vAlign w:val="center"/>
          </w:tcPr>
          <w:p w:rsidR="002D1E45" w:rsidRPr="00A00F23" w:rsidRDefault="002D1E45" w:rsidP="001702D1">
            <w:pPr>
              <w:spacing w:after="0" w:line="240" w:lineRule="auto"/>
              <w:jc w:val="center"/>
              <w:rPr>
                <w:rFonts w:ascii="Times New Roman" w:hAnsi="Times New Roman"/>
                <w:color w:val="000000"/>
                <w:sz w:val="24"/>
                <w:szCs w:val="24"/>
                <w:lang w:eastAsia="ru-RU"/>
              </w:rPr>
            </w:pPr>
            <w:r w:rsidRPr="001702D1">
              <w:rPr>
                <w:rFonts w:ascii="Times New Roman" w:hAnsi="Times New Roman"/>
                <w:color w:val="000000"/>
                <w:sz w:val="24"/>
                <w:szCs w:val="24"/>
                <w:lang w:eastAsia="ru-RU"/>
              </w:rPr>
              <w:t>632385</w:t>
            </w:r>
          </w:p>
        </w:tc>
        <w:tc>
          <w:tcPr>
            <w:tcW w:w="2406" w:type="pct"/>
            <w:vAlign w:val="center"/>
          </w:tcPr>
          <w:p w:rsidR="002D1E45" w:rsidRPr="00A00F23" w:rsidRDefault="002D1E45" w:rsidP="001702D1">
            <w:pPr>
              <w:spacing w:after="0" w:line="240" w:lineRule="auto"/>
              <w:jc w:val="both"/>
              <w:rPr>
                <w:rFonts w:ascii="Times New Roman" w:hAnsi="Times New Roman"/>
                <w:color w:val="000000"/>
                <w:sz w:val="24"/>
                <w:szCs w:val="24"/>
                <w:lang w:eastAsia="ru-RU"/>
              </w:rPr>
            </w:pPr>
            <w:r w:rsidRPr="001702D1">
              <w:rPr>
                <w:rFonts w:ascii="Times New Roman" w:hAnsi="Times New Roman"/>
                <w:color w:val="000000"/>
                <w:sz w:val="24"/>
                <w:szCs w:val="24"/>
                <w:lang w:eastAsia="ru-RU"/>
              </w:rPr>
              <w:t>Квартал 8, 11, г. Куйбышев</w:t>
            </w:r>
          </w:p>
        </w:tc>
        <w:tc>
          <w:tcPr>
            <w:tcW w:w="548" w:type="pct"/>
            <w:vAlign w:val="center"/>
          </w:tcPr>
          <w:p w:rsidR="002D1E45" w:rsidRPr="00B358AC" w:rsidRDefault="002D1E45" w:rsidP="001702D1">
            <w:pPr>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3</w:t>
            </w:r>
          </w:p>
        </w:tc>
        <w:tc>
          <w:tcPr>
            <w:tcW w:w="1050" w:type="pct"/>
            <w:vAlign w:val="center"/>
          </w:tcPr>
          <w:p w:rsidR="002D1E45" w:rsidRPr="00A00F23" w:rsidRDefault="002D1E45" w:rsidP="001702D1">
            <w:pPr>
              <w:spacing w:after="0" w:line="240" w:lineRule="auto"/>
              <w:jc w:val="center"/>
              <w:rPr>
                <w:rFonts w:ascii="Times New Roman" w:hAnsi="Times New Roman"/>
                <w:color w:val="000000"/>
                <w:sz w:val="24"/>
                <w:szCs w:val="24"/>
                <w:lang w:eastAsia="ru-RU"/>
              </w:rPr>
            </w:pPr>
            <w:r w:rsidRPr="001702D1">
              <w:rPr>
                <w:rFonts w:ascii="Times New Roman" w:hAnsi="Times New Roman"/>
                <w:color w:val="000000"/>
                <w:sz w:val="24"/>
                <w:szCs w:val="24"/>
                <w:lang w:eastAsia="ru-RU"/>
              </w:rPr>
              <w:t>6-27-03</w:t>
            </w:r>
          </w:p>
        </w:tc>
      </w:tr>
      <w:tr w:rsidR="002D1E45" w:rsidRPr="00B358AC" w:rsidTr="00712131">
        <w:trPr>
          <w:trHeight w:val="283"/>
          <w:jc w:val="center"/>
        </w:trPr>
        <w:tc>
          <w:tcPr>
            <w:tcW w:w="357" w:type="pct"/>
            <w:vAlign w:val="center"/>
          </w:tcPr>
          <w:p w:rsidR="002D1E45" w:rsidRPr="00B358AC" w:rsidRDefault="002D1E45" w:rsidP="00852938">
            <w:pPr>
              <w:numPr>
                <w:ilvl w:val="0"/>
                <w:numId w:val="69"/>
              </w:numPr>
              <w:spacing w:after="0" w:line="240" w:lineRule="auto"/>
              <w:ind w:left="0" w:right="113" w:firstLine="0"/>
              <w:contextualSpacing/>
              <w:jc w:val="center"/>
              <w:rPr>
                <w:rFonts w:ascii="Times New Roman" w:hAnsi="Times New Roman"/>
                <w:sz w:val="24"/>
                <w:szCs w:val="24"/>
                <w:lang w:eastAsia="ru-RU"/>
              </w:rPr>
            </w:pPr>
          </w:p>
        </w:tc>
        <w:tc>
          <w:tcPr>
            <w:tcW w:w="639" w:type="pct"/>
            <w:vAlign w:val="center"/>
          </w:tcPr>
          <w:p w:rsidR="002D1E45" w:rsidRPr="00A00F23" w:rsidRDefault="002D1E45" w:rsidP="001702D1">
            <w:pPr>
              <w:spacing w:after="0" w:line="240" w:lineRule="auto"/>
              <w:jc w:val="center"/>
              <w:rPr>
                <w:rFonts w:ascii="Times New Roman" w:hAnsi="Times New Roman"/>
                <w:color w:val="000000"/>
                <w:sz w:val="24"/>
                <w:szCs w:val="24"/>
                <w:lang w:eastAsia="ru-RU"/>
              </w:rPr>
            </w:pPr>
            <w:r w:rsidRPr="001702D1">
              <w:rPr>
                <w:rFonts w:ascii="Times New Roman" w:hAnsi="Times New Roman"/>
                <w:color w:val="000000"/>
                <w:sz w:val="24"/>
                <w:szCs w:val="24"/>
                <w:lang w:eastAsia="ru-RU"/>
              </w:rPr>
              <w:t>632386</w:t>
            </w:r>
          </w:p>
        </w:tc>
        <w:tc>
          <w:tcPr>
            <w:tcW w:w="2406" w:type="pct"/>
            <w:vAlign w:val="center"/>
          </w:tcPr>
          <w:p w:rsidR="002D1E45" w:rsidRPr="00A00F23" w:rsidRDefault="002D1E45" w:rsidP="001702D1">
            <w:pPr>
              <w:spacing w:after="0" w:line="240" w:lineRule="auto"/>
              <w:jc w:val="both"/>
              <w:rPr>
                <w:rFonts w:ascii="Times New Roman" w:hAnsi="Times New Roman"/>
                <w:color w:val="000000"/>
                <w:sz w:val="24"/>
                <w:szCs w:val="24"/>
                <w:lang w:eastAsia="ru-RU"/>
              </w:rPr>
            </w:pPr>
            <w:r w:rsidRPr="001702D1">
              <w:rPr>
                <w:rFonts w:ascii="Times New Roman" w:hAnsi="Times New Roman"/>
                <w:color w:val="000000"/>
                <w:sz w:val="24"/>
                <w:szCs w:val="24"/>
                <w:lang w:eastAsia="ru-RU"/>
              </w:rPr>
              <w:t>ул. Кооперативная, 45, г. Куйбышев</w:t>
            </w:r>
          </w:p>
        </w:tc>
        <w:tc>
          <w:tcPr>
            <w:tcW w:w="548" w:type="pct"/>
            <w:vAlign w:val="center"/>
          </w:tcPr>
          <w:p w:rsidR="002D1E45" w:rsidRPr="00B358AC" w:rsidRDefault="002D1E45" w:rsidP="001702D1">
            <w:pPr>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3</w:t>
            </w:r>
          </w:p>
        </w:tc>
        <w:tc>
          <w:tcPr>
            <w:tcW w:w="1050" w:type="pct"/>
            <w:vAlign w:val="center"/>
          </w:tcPr>
          <w:p w:rsidR="002D1E45" w:rsidRPr="00A00F23" w:rsidRDefault="002D1E45" w:rsidP="001702D1">
            <w:pPr>
              <w:spacing w:after="0" w:line="240" w:lineRule="auto"/>
              <w:jc w:val="center"/>
              <w:rPr>
                <w:rFonts w:ascii="Times New Roman" w:hAnsi="Times New Roman"/>
                <w:color w:val="000000"/>
                <w:sz w:val="24"/>
                <w:szCs w:val="24"/>
                <w:lang w:eastAsia="ru-RU"/>
              </w:rPr>
            </w:pPr>
            <w:r w:rsidRPr="001702D1">
              <w:rPr>
                <w:rFonts w:ascii="Times New Roman" w:hAnsi="Times New Roman"/>
                <w:color w:val="000000"/>
                <w:sz w:val="24"/>
                <w:szCs w:val="24"/>
                <w:lang w:eastAsia="ru-RU"/>
              </w:rPr>
              <w:t>2-46-79</w:t>
            </w:r>
          </w:p>
        </w:tc>
      </w:tr>
      <w:tr w:rsidR="002D1E45" w:rsidRPr="00B358AC" w:rsidTr="00712131">
        <w:trPr>
          <w:trHeight w:val="283"/>
          <w:jc w:val="center"/>
        </w:trPr>
        <w:tc>
          <w:tcPr>
            <w:tcW w:w="357" w:type="pct"/>
            <w:vAlign w:val="center"/>
          </w:tcPr>
          <w:p w:rsidR="002D1E45" w:rsidRPr="00B358AC" w:rsidRDefault="002D1E45" w:rsidP="00852938">
            <w:pPr>
              <w:numPr>
                <w:ilvl w:val="0"/>
                <w:numId w:val="69"/>
              </w:numPr>
              <w:spacing w:after="0" w:line="240" w:lineRule="auto"/>
              <w:ind w:left="0" w:right="113" w:firstLine="0"/>
              <w:contextualSpacing/>
              <w:jc w:val="center"/>
              <w:rPr>
                <w:rFonts w:ascii="Times New Roman" w:hAnsi="Times New Roman"/>
                <w:sz w:val="24"/>
                <w:szCs w:val="24"/>
                <w:lang w:eastAsia="ru-RU"/>
              </w:rPr>
            </w:pPr>
          </w:p>
        </w:tc>
        <w:tc>
          <w:tcPr>
            <w:tcW w:w="639" w:type="pct"/>
            <w:vAlign w:val="center"/>
          </w:tcPr>
          <w:p w:rsidR="002D1E45" w:rsidRPr="00A00F23" w:rsidRDefault="002D1E45" w:rsidP="001702D1">
            <w:pPr>
              <w:spacing w:after="0" w:line="240" w:lineRule="auto"/>
              <w:jc w:val="center"/>
              <w:rPr>
                <w:rFonts w:ascii="Times New Roman" w:hAnsi="Times New Roman"/>
                <w:color w:val="000000"/>
                <w:sz w:val="24"/>
                <w:szCs w:val="24"/>
                <w:lang w:eastAsia="ru-RU"/>
              </w:rPr>
            </w:pPr>
            <w:r w:rsidRPr="001702D1">
              <w:rPr>
                <w:rFonts w:ascii="Times New Roman" w:hAnsi="Times New Roman"/>
                <w:color w:val="000000"/>
                <w:sz w:val="24"/>
                <w:szCs w:val="24"/>
                <w:lang w:eastAsia="ru-RU"/>
              </w:rPr>
              <w:t>632387</w:t>
            </w:r>
          </w:p>
        </w:tc>
        <w:tc>
          <w:tcPr>
            <w:tcW w:w="2406" w:type="pct"/>
            <w:vAlign w:val="center"/>
          </w:tcPr>
          <w:p w:rsidR="002D1E45" w:rsidRPr="00A00F23" w:rsidRDefault="002D1E45" w:rsidP="001702D1">
            <w:pPr>
              <w:spacing w:after="0" w:line="240" w:lineRule="auto"/>
              <w:jc w:val="both"/>
              <w:rPr>
                <w:rFonts w:ascii="Times New Roman" w:hAnsi="Times New Roman"/>
                <w:color w:val="000000"/>
                <w:sz w:val="24"/>
                <w:szCs w:val="24"/>
                <w:lang w:eastAsia="ru-RU"/>
              </w:rPr>
            </w:pPr>
            <w:r w:rsidRPr="001702D1">
              <w:rPr>
                <w:rFonts w:ascii="Times New Roman" w:hAnsi="Times New Roman"/>
                <w:color w:val="000000"/>
                <w:sz w:val="24"/>
                <w:szCs w:val="24"/>
                <w:lang w:eastAsia="ru-RU"/>
              </w:rPr>
              <w:t>ул. Куйбышева, 19, г. Куйбышев</w:t>
            </w:r>
          </w:p>
        </w:tc>
        <w:tc>
          <w:tcPr>
            <w:tcW w:w="548" w:type="pct"/>
            <w:vAlign w:val="center"/>
          </w:tcPr>
          <w:p w:rsidR="002D1E45" w:rsidRPr="00B358AC" w:rsidRDefault="002D1E45" w:rsidP="001702D1">
            <w:pPr>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3</w:t>
            </w:r>
          </w:p>
        </w:tc>
        <w:tc>
          <w:tcPr>
            <w:tcW w:w="1050" w:type="pct"/>
            <w:vAlign w:val="center"/>
          </w:tcPr>
          <w:p w:rsidR="002D1E45" w:rsidRPr="00A00F23" w:rsidRDefault="002D1E45" w:rsidP="001702D1">
            <w:pPr>
              <w:spacing w:after="0" w:line="240" w:lineRule="auto"/>
              <w:jc w:val="center"/>
              <w:rPr>
                <w:rFonts w:ascii="Times New Roman" w:hAnsi="Times New Roman"/>
                <w:color w:val="000000"/>
                <w:sz w:val="24"/>
                <w:szCs w:val="24"/>
                <w:lang w:eastAsia="ru-RU"/>
              </w:rPr>
            </w:pPr>
            <w:r w:rsidRPr="001702D1">
              <w:rPr>
                <w:rFonts w:ascii="Times New Roman" w:hAnsi="Times New Roman"/>
                <w:color w:val="000000"/>
                <w:sz w:val="24"/>
                <w:szCs w:val="24"/>
                <w:lang w:eastAsia="ru-RU"/>
              </w:rPr>
              <w:t>5-10-84</w:t>
            </w:r>
          </w:p>
        </w:tc>
      </w:tr>
      <w:tr w:rsidR="002D1E45" w:rsidRPr="00B358AC" w:rsidTr="00712131">
        <w:trPr>
          <w:trHeight w:val="283"/>
          <w:jc w:val="center"/>
        </w:trPr>
        <w:tc>
          <w:tcPr>
            <w:tcW w:w="357" w:type="pct"/>
            <w:vAlign w:val="center"/>
          </w:tcPr>
          <w:p w:rsidR="002D1E45" w:rsidRPr="00B358AC" w:rsidRDefault="002D1E45" w:rsidP="00852938">
            <w:pPr>
              <w:numPr>
                <w:ilvl w:val="0"/>
                <w:numId w:val="69"/>
              </w:numPr>
              <w:spacing w:after="0" w:line="240" w:lineRule="auto"/>
              <w:ind w:left="0" w:right="113" w:firstLine="0"/>
              <w:contextualSpacing/>
              <w:jc w:val="center"/>
              <w:rPr>
                <w:rFonts w:ascii="Times New Roman" w:hAnsi="Times New Roman"/>
                <w:sz w:val="24"/>
                <w:szCs w:val="24"/>
                <w:lang w:eastAsia="ru-RU"/>
              </w:rPr>
            </w:pPr>
          </w:p>
        </w:tc>
        <w:tc>
          <w:tcPr>
            <w:tcW w:w="639" w:type="pct"/>
            <w:vAlign w:val="center"/>
          </w:tcPr>
          <w:p w:rsidR="002D1E45" w:rsidRPr="00A00F23" w:rsidRDefault="002D1E45" w:rsidP="001702D1">
            <w:pPr>
              <w:spacing w:after="0" w:line="240" w:lineRule="auto"/>
              <w:jc w:val="center"/>
              <w:rPr>
                <w:rFonts w:ascii="Times New Roman" w:hAnsi="Times New Roman"/>
                <w:color w:val="000000"/>
                <w:sz w:val="24"/>
                <w:szCs w:val="24"/>
                <w:lang w:eastAsia="ru-RU"/>
              </w:rPr>
            </w:pPr>
            <w:r w:rsidRPr="001702D1">
              <w:rPr>
                <w:rFonts w:ascii="Times New Roman" w:hAnsi="Times New Roman"/>
                <w:color w:val="000000"/>
                <w:sz w:val="24"/>
                <w:szCs w:val="24"/>
                <w:lang w:eastAsia="ru-RU"/>
              </w:rPr>
              <w:t>632380</w:t>
            </w:r>
          </w:p>
        </w:tc>
        <w:tc>
          <w:tcPr>
            <w:tcW w:w="2406" w:type="pct"/>
            <w:vAlign w:val="center"/>
          </w:tcPr>
          <w:p w:rsidR="002D1E45" w:rsidRPr="00A00F23" w:rsidRDefault="002D1E45" w:rsidP="001702D1">
            <w:pPr>
              <w:spacing w:after="0" w:line="240" w:lineRule="auto"/>
              <w:jc w:val="both"/>
              <w:rPr>
                <w:rFonts w:ascii="Times New Roman" w:hAnsi="Times New Roman"/>
                <w:color w:val="000000"/>
                <w:sz w:val="24"/>
                <w:szCs w:val="24"/>
                <w:lang w:eastAsia="ru-RU"/>
              </w:rPr>
            </w:pPr>
            <w:r w:rsidRPr="001702D1">
              <w:rPr>
                <w:rFonts w:ascii="Times New Roman" w:hAnsi="Times New Roman"/>
                <w:color w:val="000000"/>
                <w:sz w:val="24"/>
                <w:szCs w:val="24"/>
                <w:lang w:eastAsia="ru-RU"/>
              </w:rPr>
              <w:t>Почтамт</w:t>
            </w:r>
          </w:p>
        </w:tc>
        <w:tc>
          <w:tcPr>
            <w:tcW w:w="548" w:type="pct"/>
            <w:vAlign w:val="center"/>
          </w:tcPr>
          <w:p w:rsidR="002D1E45" w:rsidRPr="00B358AC" w:rsidRDefault="002D1E45" w:rsidP="001702D1">
            <w:pPr>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3</w:t>
            </w:r>
          </w:p>
        </w:tc>
        <w:tc>
          <w:tcPr>
            <w:tcW w:w="1050" w:type="pct"/>
            <w:vAlign w:val="center"/>
          </w:tcPr>
          <w:p w:rsidR="002D1E45" w:rsidRPr="00A00F23" w:rsidRDefault="002D1E45" w:rsidP="001702D1">
            <w:pPr>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w:t>
            </w:r>
          </w:p>
        </w:tc>
      </w:tr>
      <w:bookmarkEnd w:id="166"/>
    </w:tbl>
    <w:p w:rsidR="002D1E45" w:rsidRPr="00B358AC" w:rsidRDefault="002D1E45" w:rsidP="00B358AC">
      <w:pPr>
        <w:spacing w:after="0" w:line="240" w:lineRule="auto"/>
        <w:ind w:firstLine="567"/>
        <w:jc w:val="both"/>
        <w:rPr>
          <w:rFonts w:ascii="Times New Roman" w:hAnsi="Times New Roman"/>
          <w:sz w:val="28"/>
          <w:szCs w:val="28"/>
          <w:lang w:eastAsia="ru-RU"/>
        </w:rPr>
      </w:pPr>
    </w:p>
    <w:p w:rsidR="002D1E45" w:rsidRPr="00E01C55" w:rsidRDefault="002D1E45" w:rsidP="00E01C55">
      <w:pPr>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Территория</w:t>
      </w:r>
      <w:r w:rsidRPr="00E01C55">
        <w:rPr>
          <w:rFonts w:ascii="Times New Roman" w:hAnsi="Times New Roman"/>
          <w:sz w:val="28"/>
          <w:szCs w:val="28"/>
          <w:lang w:eastAsia="ru-RU"/>
        </w:rPr>
        <w:t xml:space="preserve"> имеет достаточный уровень развития базовой технологической инфраструктуры, необходимой для функционирования почти всех ресурсов информационных технологий:</w:t>
      </w:r>
    </w:p>
    <w:p w:rsidR="002D1E45" w:rsidRPr="00E01C55" w:rsidRDefault="002D1E45" w:rsidP="00E01C55">
      <w:pPr>
        <w:numPr>
          <w:ilvl w:val="0"/>
          <w:numId w:val="24"/>
        </w:numPr>
        <w:spacing w:after="0" w:line="240" w:lineRule="auto"/>
        <w:jc w:val="both"/>
        <w:rPr>
          <w:rFonts w:ascii="Times New Roman" w:hAnsi="Times New Roman"/>
          <w:sz w:val="28"/>
          <w:szCs w:val="28"/>
          <w:lang w:eastAsia="ru-RU"/>
        </w:rPr>
      </w:pPr>
      <w:r w:rsidRPr="00E01C55">
        <w:rPr>
          <w:rFonts w:ascii="Times New Roman" w:hAnsi="Times New Roman"/>
          <w:sz w:val="28"/>
          <w:szCs w:val="28"/>
          <w:lang w:eastAsia="ru-RU"/>
        </w:rPr>
        <w:t>для организации информационного обмена в</w:t>
      </w:r>
      <w:r>
        <w:rPr>
          <w:rFonts w:ascii="Times New Roman" w:hAnsi="Times New Roman"/>
          <w:sz w:val="28"/>
          <w:szCs w:val="28"/>
          <w:lang w:eastAsia="ru-RU"/>
        </w:rPr>
        <w:t> </w:t>
      </w:r>
      <w:r w:rsidRPr="00E01C55">
        <w:rPr>
          <w:rFonts w:ascii="Times New Roman" w:hAnsi="Times New Roman"/>
          <w:sz w:val="28"/>
          <w:szCs w:val="28"/>
          <w:lang w:eastAsia="ru-RU"/>
        </w:rPr>
        <w:t>социально значимых государственных информационных системах (в сфере здравоохранения, образования, социального обслуживания, обеспечения безопасности жизнедеятельности, предоставления государственных и</w:t>
      </w:r>
      <w:r>
        <w:rPr>
          <w:rFonts w:ascii="Times New Roman" w:hAnsi="Times New Roman"/>
          <w:sz w:val="28"/>
          <w:szCs w:val="28"/>
          <w:lang w:eastAsia="ru-RU"/>
        </w:rPr>
        <w:t> </w:t>
      </w:r>
      <w:r w:rsidRPr="00E01C55">
        <w:rPr>
          <w:rFonts w:ascii="Times New Roman" w:hAnsi="Times New Roman"/>
          <w:sz w:val="28"/>
          <w:szCs w:val="28"/>
          <w:lang w:eastAsia="ru-RU"/>
        </w:rPr>
        <w:t>муниципальных услуг в</w:t>
      </w:r>
      <w:r>
        <w:rPr>
          <w:rFonts w:ascii="Times New Roman" w:hAnsi="Times New Roman"/>
          <w:sz w:val="28"/>
          <w:szCs w:val="28"/>
          <w:lang w:eastAsia="ru-RU"/>
        </w:rPr>
        <w:t> </w:t>
      </w:r>
      <w:r w:rsidRPr="00E01C55">
        <w:rPr>
          <w:rFonts w:ascii="Times New Roman" w:hAnsi="Times New Roman"/>
          <w:sz w:val="28"/>
          <w:szCs w:val="28"/>
          <w:lang w:eastAsia="ru-RU"/>
        </w:rPr>
        <w:t>электронном виде) район соединён с</w:t>
      </w:r>
      <w:r>
        <w:rPr>
          <w:rFonts w:ascii="Times New Roman" w:hAnsi="Times New Roman"/>
          <w:sz w:val="28"/>
          <w:szCs w:val="28"/>
          <w:lang w:eastAsia="ru-RU"/>
        </w:rPr>
        <w:t> </w:t>
      </w:r>
      <w:r w:rsidRPr="00E01C55">
        <w:rPr>
          <w:rFonts w:ascii="Times New Roman" w:hAnsi="Times New Roman"/>
          <w:sz w:val="28"/>
          <w:szCs w:val="28"/>
          <w:lang w:eastAsia="ru-RU"/>
        </w:rPr>
        <w:t>региональной государственной инфокоммуникационной сетью передачи данных;</w:t>
      </w:r>
    </w:p>
    <w:p w:rsidR="002D1E45" w:rsidRPr="00E01C55" w:rsidRDefault="002D1E45" w:rsidP="00E01C55">
      <w:pPr>
        <w:numPr>
          <w:ilvl w:val="0"/>
          <w:numId w:val="24"/>
        </w:numPr>
        <w:spacing w:after="0" w:line="240" w:lineRule="auto"/>
        <w:jc w:val="both"/>
        <w:rPr>
          <w:rFonts w:ascii="Times New Roman" w:hAnsi="Times New Roman"/>
          <w:sz w:val="28"/>
          <w:szCs w:val="28"/>
          <w:lang w:eastAsia="ru-RU"/>
        </w:rPr>
      </w:pPr>
      <w:r w:rsidRPr="00E01C55">
        <w:rPr>
          <w:rFonts w:ascii="Times New Roman" w:hAnsi="Times New Roman"/>
          <w:sz w:val="28"/>
          <w:szCs w:val="28"/>
          <w:lang w:eastAsia="ru-RU"/>
        </w:rPr>
        <w:t>функционирует государственная информационная система «Система 112»;</w:t>
      </w:r>
    </w:p>
    <w:p w:rsidR="002D1E45" w:rsidRPr="00E01C55" w:rsidRDefault="002D1E45" w:rsidP="00E01C55">
      <w:pPr>
        <w:numPr>
          <w:ilvl w:val="0"/>
          <w:numId w:val="24"/>
        </w:numPr>
        <w:spacing w:after="0" w:line="240" w:lineRule="auto"/>
        <w:jc w:val="both"/>
        <w:rPr>
          <w:rFonts w:ascii="Times New Roman" w:hAnsi="Times New Roman"/>
          <w:sz w:val="28"/>
          <w:szCs w:val="28"/>
          <w:lang w:eastAsia="ru-RU"/>
        </w:rPr>
      </w:pPr>
      <w:r w:rsidRPr="00E01C55">
        <w:rPr>
          <w:rFonts w:ascii="Times New Roman" w:hAnsi="Times New Roman"/>
          <w:sz w:val="28"/>
          <w:szCs w:val="28"/>
          <w:lang w:eastAsia="ru-RU"/>
        </w:rPr>
        <w:t xml:space="preserve">функционирует защищённая сеть Правительства Новосибирской области, обеспечивающая информационную безопасность работы органов местного самоуправления </w:t>
      </w:r>
      <w:r>
        <w:rPr>
          <w:rFonts w:ascii="Times New Roman" w:hAnsi="Times New Roman"/>
          <w:sz w:val="28"/>
          <w:szCs w:val="28"/>
          <w:lang w:eastAsia="ru-RU"/>
        </w:rPr>
        <w:t>Куйбышевского</w:t>
      </w:r>
      <w:r w:rsidRPr="00E01C55">
        <w:rPr>
          <w:rFonts w:ascii="Times New Roman" w:hAnsi="Times New Roman"/>
          <w:sz w:val="28"/>
          <w:szCs w:val="28"/>
          <w:lang w:eastAsia="ru-RU"/>
        </w:rPr>
        <w:t xml:space="preserve"> района, подведомственных учреждений;</w:t>
      </w:r>
    </w:p>
    <w:p w:rsidR="002D1E45" w:rsidRPr="00E01C55" w:rsidRDefault="002D1E45" w:rsidP="00E01C55">
      <w:pPr>
        <w:numPr>
          <w:ilvl w:val="0"/>
          <w:numId w:val="24"/>
        </w:numPr>
        <w:spacing w:after="0" w:line="240" w:lineRule="auto"/>
        <w:jc w:val="both"/>
        <w:rPr>
          <w:rFonts w:ascii="Times New Roman" w:hAnsi="Times New Roman"/>
          <w:sz w:val="28"/>
          <w:szCs w:val="28"/>
          <w:lang w:eastAsia="ru-RU"/>
        </w:rPr>
      </w:pPr>
      <w:r w:rsidRPr="00E01C55">
        <w:rPr>
          <w:rFonts w:ascii="Times New Roman" w:hAnsi="Times New Roman"/>
          <w:sz w:val="28"/>
          <w:szCs w:val="28"/>
          <w:lang w:eastAsia="ru-RU"/>
        </w:rPr>
        <w:t>внедрены новые технологии приёма цифрового эфирного телевидения;</w:t>
      </w:r>
    </w:p>
    <w:p w:rsidR="002D1E45" w:rsidRPr="00622DDC" w:rsidRDefault="002D1E45" w:rsidP="00622DDC">
      <w:pPr>
        <w:spacing w:after="0" w:line="240" w:lineRule="auto"/>
        <w:ind w:firstLine="709"/>
        <w:jc w:val="both"/>
        <w:rPr>
          <w:rFonts w:ascii="Times New Roman" w:hAnsi="Times New Roman"/>
          <w:sz w:val="28"/>
          <w:szCs w:val="28"/>
          <w:lang w:eastAsia="ru-RU"/>
        </w:rPr>
      </w:pPr>
      <w:r w:rsidRPr="00622DDC">
        <w:rPr>
          <w:rFonts w:ascii="Times New Roman" w:hAnsi="Times New Roman"/>
          <w:sz w:val="28"/>
          <w:szCs w:val="28"/>
          <w:lang w:eastAsia="ru-RU"/>
        </w:rPr>
        <w:t>Анализ перечня услуг связи, предоставляемых населению, показал, что в</w:t>
      </w:r>
      <w:r>
        <w:rPr>
          <w:rFonts w:ascii="Times New Roman" w:hAnsi="Times New Roman"/>
          <w:sz w:val="28"/>
          <w:szCs w:val="28"/>
          <w:lang w:eastAsia="ru-RU"/>
        </w:rPr>
        <w:t> </w:t>
      </w:r>
      <w:r w:rsidRPr="00622DDC">
        <w:rPr>
          <w:rFonts w:ascii="Times New Roman" w:hAnsi="Times New Roman"/>
          <w:sz w:val="28"/>
          <w:szCs w:val="28"/>
          <w:lang w:eastAsia="ru-RU"/>
        </w:rPr>
        <w:t xml:space="preserve">целом системы телекоммуникаций </w:t>
      </w:r>
      <w:r>
        <w:rPr>
          <w:rFonts w:ascii="Times New Roman" w:hAnsi="Times New Roman"/>
          <w:sz w:val="28"/>
          <w:szCs w:val="28"/>
          <w:lang w:eastAsia="ru-RU"/>
        </w:rPr>
        <w:t>города</w:t>
      </w:r>
      <w:r w:rsidRPr="00622DDC">
        <w:rPr>
          <w:rFonts w:ascii="Times New Roman" w:hAnsi="Times New Roman"/>
          <w:sz w:val="28"/>
          <w:szCs w:val="28"/>
          <w:lang w:eastAsia="ru-RU"/>
        </w:rPr>
        <w:t xml:space="preserve"> обеспечивают необходимый уровень обслуживания. Однако по</w:t>
      </w:r>
      <w:r>
        <w:rPr>
          <w:rFonts w:ascii="Times New Roman" w:hAnsi="Times New Roman"/>
          <w:sz w:val="28"/>
          <w:szCs w:val="28"/>
          <w:lang w:eastAsia="ru-RU"/>
        </w:rPr>
        <w:t> </w:t>
      </w:r>
      <w:r w:rsidRPr="00622DDC">
        <w:rPr>
          <w:rFonts w:ascii="Times New Roman" w:hAnsi="Times New Roman"/>
          <w:sz w:val="28"/>
          <w:szCs w:val="28"/>
          <w:lang w:eastAsia="ru-RU"/>
        </w:rPr>
        <w:t>отдельным направлениям существуют потенциальные возможности увеличения объёма и</w:t>
      </w:r>
      <w:r>
        <w:rPr>
          <w:rFonts w:ascii="Times New Roman" w:hAnsi="Times New Roman"/>
          <w:sz w:val="28"/>
          <w:szCs w:val="28"/>
          <w:lang w:eastAsia="ru-RU"/>
        </w:rPr>
        <w:t> </w:t>
      </w:r>
      <w:r w:rsidRPr="00622DDC">
        <w:rPr>
          <w:rFonts w:ascii="Times New Roman" w:hAnsi="Times New Roman"/>
          <w:sz w:val="28"/>
          <w:szCs w:val="28"/>
          <w:lang w:eastAsia="ru-RU"/>
        </w:rPr>
        <w:t>улучшения качества предоставления услуг связи, внедрения более современных форм информационных коммуникаций.</w:t>
      </w:r>
    </w:p>
    <w:p w:rsidR="002D1E45" w:rsidRDefault="002D1E45" w:rsidP="00FB49C9">
      <w:pPr>
        <w:spacing w:after="0" w:line="240" w:lineRule="auto"/>
        <w:rPr>
          <w:rFonts w:ascii="Arial" w:hAnsi="Arial" w:cs="Arial"/>
          <w:sz w:val="16"/>
          <w:szCs w:val="16"/>
          <w:lang w:eastAsia="ru-RU"/>
        </w:rPr>
      </w:pPr>
    </w:p>
    <w:p w:rsidR="002D1E45" w:rsidRPr="000D0E34" w:rsidRDefault="002D1E45" w:rsidP="00D05D06">
      <w:pPr>
        <w:pStyle w:val="Heading1"/>
        <w:numPr>
          <w:ilvl w:val="0"/>
          <w:numId w:val="65"/>
        </w:numPr>
        <w:spacing w:after="240" w:line="240" w:lineRule="auto"/>
        <w:rPr>
          <w:b/>
          <w:sz w:val="32"/>
        </w:rPr>
      </w:pPr>
      <w:bookmarkStart w:id="167" w:name="_Toc84936038"/>
      <w:r w:rsidRPr="000D0E34">
        <w:rPr>
          <w:b/>
          <w:sz w:val="32"/>
        </w:rPr>
        <w:t>Зоны с особыми условиями использования территорий</w:t>
      </w:r>
      <w:bookmarkEnd w:id="167"/>
    </w:p>
    <w:p w:rsidR="002D1E45" w:rsidRDefault="002D1E45" w:rsidP="00A024CC">
      <w:pPr>
        <w:spacing w:after="0" w:line="240" w:lineRule="auto"/>
        <w:ind w:firstLine="709"/>
        <w:contextualSpacing/>
        <w:jc w:val="both"/>
        <w:rPr>
          <w:rFonts w:ascii="Times New Roman" w:hAnsi="Times New Roman"/>
          <w:sz w:val="28"/>
          <w:szCs w:val="24"/>
        </w:rPr>
      </w:pPr>
      <w:r w:rsidRPr="00A024CC">
        <w:rPr>
          <w:rFonts w:ascii="Times New Roman" w:hAnsi="Times New Roman"/>
          <w:sz w:val="28"/>
          <w:szCs w:val="24"/>
        </w:rPr>
        <w:t>Зоны с</w:t>
      </w:r>
      <w:r>
        <w:rPr>
          <w:rFonts w:ascii="Times New Roman" w:hAnsi="Times New Roman"/>
          <w:sz w:val="28"/>
          <w:szCs w:val="24"/>
        </w:rPr>
        <w:t> </w:t>
      </w:r>
      <w:r w:rsidRPr="00A024CC">
        <w:rPr>
          <w:rFonts w:ascii="Times New Roman" w:hAnsi="Times New Roman"/>
          <w:sz w:val="28"/>
          <w:szCs w:val="24"/>
        </w:rPr>
        <w:t>особыми условиями использования территории – охранные, санитарно-защитные зоны, зоны охраны объектов культурного наследия (памятников истории и</w:t>
      </w:r>
      <w:r>
        <w:rPr>
          <w:rFonts w:ascii="Times New Roman" w:hAnsi="Times New Roman"/>
          <w:sz w:val="28"/>
          <w:szCs w:val="24"/>
        </w:rPr>
        <w:t> </w:t>
      </w:r>
      <w:r w:rsidRPr="00A024CC">
        <w:rPr>
          <w:rFonts w:ascii="Times New Roman" w:hAnsi="Times New Roman"/>
          <w:sz w:val="28"/>
          <w:szCs w:val="24"/>
        </w:rPr>
        <w:t>культуры), водоохранные зоны, зоны охраны источников питьевого водоснабжения, зоны охраняемых объектов, иные зоны, устанавливаемые в</w:t>
      </w:r>
      <w:r>
        <w:rPr>
          <w:rFonts w:ascii="Times New Roman" w:hAnsi="Times New Roman"/>
          <w:sz w:val="28"/>
          <w:szCs w:val="24"/>
        </w:rPr>
        <w:t> </w:t>
      </w:r>
      <w:r w:rsidRPr="00A024CC">
        <w:rPr>
          <w:rFonts w:ascii="Times New Roman" w:hAnsi="Times New Roman"/>
          <w:sz w:val="28"/>
          <w:szCs w:val="24"/>
        </w:rPr>
        <w:t>соответствии с</w:t>
      </w:r>
      <w:r>
        <w:rPr>
          <w:rFonts w:ascii="Times New Roman" w:hAnsi="Times New Roman"/>
          <w:sz w:val="28"/>
          <w:szCs w:val="24"/>
        </w:rPr>
        <w:t> </w:t>
      </w:r>
      <w:r w:rsidRPr="00A024CC">
        <w:rPr>
          <w:rFonts w:ascii="Times New Roman" w:hAnsi="Times New Roman"/>
          <w:sz w:val="28"/>
          <w:szCs w:val="24"/>
        </w:rPr>
        <w:t xml:space="preserve">законодательством Российской Федерации </w:t>
      </w:r>
      <w:r>
        <w:rPr>
          <w:rFonts w:ascii="Times New Roman" w:hAnsi="Times New Roman"/>
          <w:sz w:val="28"/>
          <w:szCs w:val="24"/>
        </w:rPr>
        <w:t>–</w:t>
      </w:r>
      <w:r w:rsidRPr="00A024CC">
        <w:rPr>
          <w:rFonts w:ascii="Times New Roman" w:hAnsi="Times New Roman"/>
          <w:sz w:val="28"/>
          <w:szCs w:val="24"/>
        </w:rPr>
        <w:t xml:space="preserve"> ст. 1 Градостроительного кодекса Российской Федерации от 29.12.2004 № 190-ФЗ.</w:t>
      </w:r>
    </w:p>
    <w:p w:rsidR="002D1E45" w:rsidRPr="00A024CC" w:rsidRDefault="002D1E45" w:rsidP="00A024CC">
      <w:pPr>
        <w:spacing w:after="0" w:line="240" w:lineRule="auto"/>
        <w:ind w:firstLine="709"/>
        <w:contextualSpacing/>
        <w:jc w:val="both"/>
        <w:rPr>
          <w:rFonts w:ascii="Times New Roman" w:hAnsi="Times New Roman"/>
          <w:sz w:val="28"/>
          <w:szCs w:val="24"/>
        </w:rPr>
      </w:pPr>
    </w:p>
    <w:p w:rsidR="002D1E45" w:rsidRPr="002572DE" w:rsidRDefault="002D1E45" w:rsidP="00852938">
      <w:pPr>
        <w:pStyle w:val="Heading2"/>
        <w:numPr>
          <w:ilvl w:val="1"/>
          <w:numId w:val="65"/>
        </w:numPr>
        <w:spacing w:before="240"/>
        <w:ind w:left="993" w:hanging="633"/>
        <w:jc w:val="both"/>
        <w:rPr>
          <w:b/>
        </w:rPr>
      </w:pPr>
      <w:bookmarkStart w:id="168" w:name="_Toc84936039"/>
      <w:r w:rsidRPr="002572DE">
        <w:rPr>
          <w:b/>
        </w:rPr>
        <w:t>Зоны охраны объектов культурного наследия</w:t>
      </w:r>
      <w:bookmarkEnd w:id="168"/>
      <w:r w:rsidRPr="002572DE">
        <w:rPr>
          <w:b/>
        </w:rPr>
        <w:tab/>
      </w:r>
    </w:p>
    <w:p w:rsidR="002D1E45" w:rsidRDefault="002D1E45" w:rsidP="00FE1BF0">
      <w:pPr>
        <w:spacing w:after="0" w:line="240" w:lineRule="auto"/>
        <w:rPr>
          <w:rFonts w:ascii="Arial" w:hAnsi="Arial" w:cs="Arial"/>
          <w:sz w:val="16"/>
          <w:szCs w:val="16"/>
          <w:lang w:eastAsia="ru-RU"/>
        </w:rPr>
      </w:pPr>
    </w:p>
    <w:p w:rsidR="002D1E45" w:rsidRPr="000D0E34" w:rsidRDefault="002D1E45" w:rsidP="000D0E34">
      <w:pPr>
        <w:spacing w:after="0" w:line="240" w:lineRule="auto"/>
        <w:ind w:firstLine="709"/>
        <w:contextualSpacing/>
        <w:jc w:val="both"/>
        <w:rPr>
          <w:rFonts w:ascii="Times New Roman" w:hAnsi="Times New Roman"/>
          <w:sz w:val="28"/>
          <w:szCs w:val="24"/>
        </w:rPr>
      </w:pPr>
      <w:r w:rsidRPr="000D0E34">
        <w:rPr>
          <w:rFonts w:ascii="Times New Roman" w:hAnsi="Times New Roman"/>
          <w:sz w:val="28"/>
          <w:szCs w:val="24"/>
        </w:rPr>
        <w:t>Согласно Федеральному закону от 25.05.2002 № 73-ФЗ «Об объектах культурного наследия (памятниках истории и культуры) народов Российской Федерации», в целях обеспечения сохранности объекта культурного наследия в его исторической среде на сопряжённой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w:t>
      </w:r>
    </w:p>
    <w:p w:rsidR="002D1E45" w:rsidRPr="000D0E34" w:rsidRDefault="002D1E45" w:rsidP="000D0E34">
      <w:pPr>
        <w:spacing w:after="0" w:line="240" w:lineRule="auto"/>
        <w:ind w:firstLine="709"/>
        <w:contextualSpacing/>
        <w:jc w:val="both"/>
        <w:rPr>
          <w:rFonts w:ascii="Times New Roman" w:hAnsi="Times New Roman"/>
          <w:sz w:val="28"/>
          <w:szCs w:val="24"/>
        </w:rPr>
      </w:pPr>
      <w:r w:rsidRPr="000D0E34">
        <w:rPr>
          <w:rFonts w:ascii="Times New Roman" w:hAnsi="Times New Roman"/>
          <w:sz w:val="28"/>
          <w:szCs w:val="24"/>
        </w:rPr>
        <w:t xml:space="preserve">Необходимый состав зон охраны объекта культурного наследия определяется </w:t>
      </w:r>
      <w:r w:rsidRPr="000D0E34">
        <w:rPr>
          <w:rFonts w:ascii="Times New Roman" w:hAnsi="Times New Roman"/>
          <w:i/>
          <w:sz w:val="28"/>
          <w:szCs w:val="24"/>
          <w:u w:val="single"/>
        </w:rPr>
        <w:t>проектом зон охраны объекта культурного наследия</w:t>
      </w:r>
      <w:r w:rsidRPr="000D0E34">
        <w:rPr>
          <w:rFonts w:ascii="Times New Roman" w:hAnsi="Times New Roman"/>
          <w:sz w:val="28"/>
          <w:szCs w:val="24"/>
        </w:rPr>
        <w:t>.</w:t>
      </w:r>
    </w:p>
    <w:p w:rsidR="002D1E45" w:rsidRPr="000D0E34" w:rsidRDefault="002D1E45" w:rsidP="000D0E34">
      <w:pPr>
        <w:spacing w:after="0" w:line="240" w:lineRule="auto"/>
        <w:ind w:firstLine="709"/>
        <w:contextualSpacing/>
        <w:jc w:val="both"/>
        <w:rPr>
          <w:rFonts w:ascii="Times New Roman" w:hAnsi="Times New Roman"/>
          <w:sz w:val="28"/>
          <w:szCs w:val="24"/>
        </w:rPr>
      </w:pPr>
      <w:r w:rsidRPr="000D0E34">
        <w:rPr>
          <w:rFonts w:ascii="Times New Roman" w:hAnsi="Times New Roman"/>
          <w:i/>
          <w:sz w:val="28"/>
          <w:szCs w:val="24"/>
          <w:u w:val="single"/>
        </w:rPr>
        <w:t>Охранная зона</w:t>
      </w:r>
      <w:r w:rsidRPr="000D0E34">
        <w:rPr>
          <w:rFonts w:ascii="Times New Roman" w:hAnsi="Times New Roman"/>
          <w:sz w:val="28"/>
          <w:szCs w:val="24"/>
        </w:rPr>
        <w:t xml:space="preserve">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rsidR="002D1E45" w:rsidRPr="000D0E34" w:rsidRDefault="002D1E45" w:rsidP="000D0E34">
      <w:pPr>
        <w:spacing w:after="0" w:line="240" w:lineRule="auto"/>
        <w:ind w:firstLine="709"/>
        <w:contextualSpacing/>
        <w:jc w:val="both"/>
        <w:rPr>
          <w:rFonts w:ascii="Times New Roman" w:hAnsi="Times New Roman"/>
          <w:sz w:val="28"/>
          <w:szCs w:val="24"/>
        </w:rPr>
      </w:pPr>
      <w:r w:rsidRPr="000D0E34">
        <w:rPr>
          <w:rFonts w:ascii="Times New Roman" w:hAnsi="Times New Roman"/>
          <w:i/>
          <w:sz w:val="28"/>
          <w:szCs w:val="24"/>
          <w:u w:val="single"/>
        </w:rPr>
        <w:t>Зона регулирования застройки и хозяйственной деятельности</w:t>
      </w:r>
      <w:r w:rsidRPr="000D0E34">
        <w:rPr>
          <w:rFonts w:ascii="Times New Roman" w:hAnsi="Times New Roman"/>
          <w:sz w:val="28"/>
          <w:szCs w:val="24"/>
        </w:rPr>
        <w:t xml:space="preserve"> – 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p>
    <w:p w:rsidR="002D1E45" w:rsidRPr="000D0E34" w:rsidRDefault="002D1E45" w:rsidP="000D0E34">
      <w:pPr>
        <w:spacing w:after="0" w:line="240" w:lineRule="auto"/>
        <w:ind w:firstLine="709"/>
        <w:contextualSpacing/>
        <w:jc w:val="both"/>
        <w:rPr>
          <w:rFonts w:ascii="Times New Roman" w:hAnsi="Times New Roman"/>
          <w:sz w:val="28"/>
          <w:szCs w:val="24"/>
        </w:rPr>
      </w:pPr>
      <w:r w:rsidRPr="000D0E34">
        <w:rPr>
          <w:rFonts w:ascii="Times New Roman" w:hAnsi="Times New Roman"/>
          <w:i/>
          <w:sz w:val="28"/>
          <w:szCs w:val="24"/>
          <w:u w:val="single"/>
        </w:rPr>
        <w:t>Зона охраняемого природного ландшафта</w:t>
      </w:r>
      <w:r w:rsidRPr="000D0E34">
        <w:rPr>
          <w:rFonts w:ascii="Times New Roman" w:hAnsi="Times New Roman"/>
          <w:i/>
          <w:sz w:val="28"/>
          <w:szCs w:val="24"/>
        </w:rPr>
        <w:t xml:space="preserve"> </w:t>
      </w:r>
      <w:r w:rsidRPr="000D0E34">
        <w:rPr>
          <w:rFonts w:ascii="Times New Roman" w:hAnsi="Times New Roman"/>
          <w:sz w:val="28"/>
          <w:szCs w:val="24"/>
        </w:rPr>
        <w:t>– территория, в пределах которой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водоёмы, леса и открытые пространства, связанные композиционно с объектами культурного наследия.</w:t>
      </w:r>
    </w:p>
    <w:p w:rsidR="002D1E45" w:rsidRPr="000D0E34" w:rsidRDefault="002D1E45" w:rsidP="000D0E34">
      <w:pPr>
        <w:spacing w:after="0" w:line="240" w:lineRule="auto"/>
        <w:ind w:firstLine="709"/>
        <w:contextualSpacing/>
        <w:jc w:val="both"/>
        <w:rPr>
          <w:rFonts w:ascii="Times New Roman" w:hAnsi="Times New Roman"/>
          <w:sz w:val="28"/>
          <w:szCs w:val="24"/>
        </w:rPr>
      </w:pPr>
      <w:r w:rsidRPr="000D0E34">
        <w:rPr>
          <w:rFonts w:ascii="Times New Roman" w:hAnsi="Times New Roman"/>
          <w:sz w:val="28"/>
          <w:szCs w:val="24"/>
        </w:rPr>
        <w:t>Границы зон охраны объекта культурного наследия (за исключением границ зон охраны особо ценных объектов культурного наследия народов Российской Федерации, и объектов культурного наследия, включённых в Список всемирного наследия), режимы использования земель и градостроительные регламенты в границах данных зон утверждаются на основании проекта зон охраны объекта культурного наследия в отношении объектов культурного наследия федерального значения – органом государственной власти субъекта Российской Федерации по согласованию с федеральным органом охраны объектов культурного наследия, а в отношении объектов культурного наследия регионального значения и объектов культурного наследия местного (муниципального) значения – в порядке, установленном законами субъектов Российской Федерации.</w:t>
      </w:r>
    </w:p>
    <w:p w:rsidR="002D1E45" w:rsidRPr="000D0E34" w:rsidRDefault="002D1E45" w:rsidP="000D0E34">
      <w:pPr>
        <w:spacing w:after="0" w:line="240" w:lineRule="auto"/>
        <w:ind w:firstLine="709"/>
        <w:contextualSpacing/>
        <w:jc w:val="both"/>
        <w:rPr>
          <w:rFonts w:ascii="Times New Roman" w:hAnsi="Times New Roman"/>
          <w:sz w:val="28"/>
          <w:szCs w:val="24"/>
        </w:rPr>
      </w:pPr>
      <w:r w:rsidRPr="000D0E34">
        <w:rPr>
          <w:rFonts w:ascii="Times New Roman" w:hAnsi="Times New Roman"/>
          <w:sz w:val="28"/>
          <w:szCs w:val="24"/>
        </w:rPr>
        <w:t>Порядок разработки проектов зон охраны объекта культурного наследия, требования к режиму использования земель и градостроительным регламентам в границах данных зон устанавливаются Правительством Российской Федерации.</w:t>
      </w:r>
    </w:p>
    <w:p w:rsidR="002D1E45" w:rsidRPr="000D0E34" w:rsidRDefault="002D1E45" w:rsidP="000D0E34">
      <w:pPr>
        <w:spacing w:after="0" w:line="240" w:lineRule="auto"/>
        <w:ind w:firstLine="709"/>
        <w:contextualSpacing/>
        <w:jc w:val="both"/>
        <w:rPr>
          <w:rFonts w:ascii="Times New Roman" w:hAnsi="Times New Roman"/>
          <w:sz w:val="28"/>
          <w:szCs w:val="24"/>
        </w:rPr>
      </w:pPr>
      <w:r w:rsidRPr="000D0E34">
        <w:rPr>
          <w:rFonts w:ascii="Times New Roman" w:hAnsi="Times New Roman"/>
          <w:sz w:val="28"/>
          <w:szCs w:val="24"/>
        </w:rPr>
        <w:t>На объект культурного наследия, включённый в реестр, собственнику данного объекта соответствующим органом охраны объектов культурного наследия выдаётся паспорт объекта культурного наследия. В указанный паспорт вносятся сведения, составляющие предмет охраны данного объекта культурного наследия, и иные сведения, содержащиеся в реестре.</w:t>
      </w:r>
    </w:p>
    <w:p w:rsidR="002D1E45" w:rsidRPr="000D0E34" w:rsidRDefault="002D1E45" w:rsidP="000D0E34">
      <w:pPr>
        <w:spacing w:after="0" w:line="240" w:lineRule="auto"/>
        <w:ind w:firstLine="709"/>
        <w:contextualSpacing/>
        <w:jc w:val="both"/>
        <w:rPr>
          <w:rFonts w:ascii="Times New Roman" w:hAnsi="Times New Roman"/>
          <w:sz w:val="28"/>
          <w:szCs w:val="24"/>
        </w:rPr>
      </w:pPr>
      <w:r w:rsidRPr="000D0E34">
        <w:rPr>
          <w:rFonts w:ascii="Times New Roman" w:hAnsi="Times New Roman"/>
          <w:sz w:val="28"/>
          <w:szCs w:val="24"/>
        </w:rPr>
        <w:t>Форма паспорта объекта культурного наследия утверждается уполномоченным Правительством Российской Федерации федеральным органом исполнительной власти (Федеральный закон от 23.07.2008 № 160-ФЗ «О внесении изменений в отдельные законодательные акты РФ в связи с совершенствованием осуществления полномочий правительства Российской Федерации»).</w:t>
      </w:r>
    </w:p>
    <w:p w:rsidR="002D1E45" w:rsidRPr="000D0E34" w:rsidRDefault="002D1E45" w:rsidP="000D0E34">
      <w:pPr>
        <w:spacing w:after="0" w:line="240" w:lineRule="auto"/>
        <w:ind w:firstLine="709"/>
        <w:contextualSpacing/>
        <w:jc w:val="both"/>
        <w:rPr>
          <w:rFonts w:ascii="Times New Roman" w:hAnsi="Times New Roman"/>
          <w:sz w:val="28"/>
          <w:szCs w:val="24"/>
        </w:rPr>
      </w:pPr>
      <w:r w:rsidRPr="000D0E34">
        <w:rPr>
          <w:rFonts w:ascii="Times New Roman" w:hAnsi="Times New Roman"/>
          <w:sz w:val="28"/>
          <w:szCs w:val="24"/>
        </w:rPr>
        <w:t>Объекты культурного наследия подлежат государственной охране в целях предотвращения их повреждения, разрушения или уничтожения, изменения облика и интерьера, нарушения установленного порядка их использования, перемещения и предотвращения других действий, который могут причинить вред объектам культурного наследия, а также в целях их защиты от неблагоприятного воздействия окружающей среды и от иных негативных воздействий.</w:t>
      </w:r>
    </w:p>
    <w:p w:rsidR="002D1E45" w:rsidRPr="000D0E34" w:rsidRDefault="002D1E45" w:rsidP="000D0E34">
      <w:pPr>
        <w:spacing w:after="0" w:line="240" w:lineRule="auto"/>
        <w:ind w:firstLine="709"/>
        <w:contextualSpacing/>
        <w:jc w:val="both"/>
        <w:rPr>
          <w:rFonts w:ascii="Times New Roman" w:hAnsi="Times New Roman"/>
          <w:sz w:val="28"/>
          <w:szCs w:val="24"/>
        </w:rPr>
      </w:pPr>
      <w:r w:rsidRPr="000D0E34">
        <w:rPr>
          <w:rFonts w:ascii="Times New Roman" w:hAnsi="Times New Roman"/>
          <w:sz w:val="28"/>
          <w:szCs w:val="24"/>
        </w:rPr>
        <w:t>На основании проекта зон охраны объекта культурного наследия регионального значения или проекта зон охраны объекта культурного наследия местного (муниципального) значения и положительного заключения государственной историко-культурной экспертизы границы зон охраны соответствующего объекта культурного наследия, режимы использования земель и градостроительные регламенты в границах данных зон утверждаются в порядке, установленном законом субъекта Российской Федерации, на территории которого расположен данный объект культурного наследия.</w:t>
      </w:r>
    </w:p>
    <w:p w:rsidR="002D1E45" w:rsidRPr="000D0E34" w:rsidRDefault="002D1E45" w:rsidP="000D0E34">
      <w:pPr>
        <w:spacing w:after="0" w:line="240" w:lineRule="auto"/>
        <w:ind w:firstLine="709"/>
        <w:contextualSpacing/>
        <w:jc w:val="both"/>
        <w:rPr>
          <w:rFonts w:ascii="Times New Roman" w:hAnsi="Times New Roman"/>
          <w:sz w:val="28"/>
          <w:szCs w:val="24"/>
        </w:rPr>
      </w:pPr>
      <w:r w:rsidRPr="000D0E34">
        <w:rPr>
          <w:rFonts w:ascii="Times New Roman" w:hAnsi="Times New Roman"/>
          <w:sz w:val="28"/>
          <w:szCs w:val="24"/>
        </w:rPr>
        <w:t>Ограничения (обременения) прав на земельные участки, возникающие на основании решения об установлении зон охраны объекта культурного наследия, подлежат государственной регистрации.</w:t>
      </w:r>
    </w:p>
    <w:p w:rsidR="002D1E45" w:rsidRPr="000D0E34" w:rsidRDefault="002D1E45" w:rsidP="000D0E34">
      <w:pPr>
        <w:spacing w:after="0" w:line="240" w:lineRule="auto"/>
        <w:ind w:firstLine="709"/>
        <w:contextualSpacing/>
        <w:jc w:val="both"/>
        <w:rPr>
          <w:rFonts w:ascii="Times New Roman" w:hAnsi="Times New Roman"/>
          <w:sz w:val="28"/>
          <w:szCs w:val="24"/>
        </w:rPr>
      </w:pPr>
      <w:r w:rsidRPr="000D0E34">
        <w:rPr>
          <w:rFonts w:ascii="Times New Roman" w:hAnsi="Times New Roman"/>
          <w:sz w:val="28"/>
          <w:szCs w:val="24"/>
        </w:rPr>
        <w:t>Согласно СП 42.13330.2016 «Градостроительство. Планировка и застройка городских и сельских поселений. Актуализированная редакция СНиП 2.07.01-89*»,</w:t>
      </w:r>
      <w:r w:rsidRPr="000D0E34">
        <w:rPr>
          <w:rFonts w:ascii="Times New Roman" w:hAnsi="Times New Roman"/>
          <w:i/>
          <w:sz w:val="28"/>
          <w:szCs w:val="24"/>
        </w:rPr>
        <w:t xml:space="preserve"> </w:t>
      </w:r>
      <w:r w:rsidRPr="000D0E34">
        <w:rPr>
          <w:rFonts w:ascii="Times New Roman" w:hAnsi="Times New Roman"/>
          <w:sz w:val="28"/>
          <w:szCs w:val="24"/>
        </w:rPr>
        <w:t>расстояния от памятников истории и культуры до транспортных и инженерных коммуникаций следует принимать не менее:</w:t>
      </w:r>
    </w:p>
    <w:p w:rsidR="002D1E45" w:rsidRPr="000D0E34" w:rsidRDefault="002D1E45" w:rsidP="00852938">
      <w:pPr>
        <w:numPr>
          <w:ilvl w:val="0"/>
          <w:numId w:val="24"/>
        </w:numPr>
        <w:tabs>
          <w:tab w:val="clear" w:pos="1429"/>
          <w:tab w:val="num" w:pos="797"/>
          <w:tab w:val="num" w:pos="1068"/>
        </w:tabs>
        <w:spacing w:after="0" w:line="240" w:lineRule="auto"/>
        <w:contextualSpacing/>
        <w:jc w:val="both"/>
        <w:rPr>
          <w:rFonts w:ascii="Times New Roman" w:hAnsi="Times New Roman"/>
          <w:sz w:val="28"/>
          <w:szCs w:val="24"/>
        </w:rPr>
      </w:pPr>
      <w:r w:rsidRPr="000D0E34">
        <w:rPr>
          <w:rFonts w:ascii="Times New Roman" w:hAnsi="Times New Roman"/>
          <w:sz w:val="28"/>
          <w:szCs w:val="24"/>
        </w:rPr>
        <w:t>100 м в условиях сложного рельефа;</w:t>
      </w:r>
    </w:p>
    <w:p w:rsidR="002D1E45" w:rsidRPr="000D0E34" w:rsidRDefault="002D1E45" w:rsidP="00852938">
      <w:pPr>
        <w:numPr>
          <w:ilvl w:val="0"/>
          <w:numId w:val="24"/>
        </w:numPr>
        <w:tabs>
          <w:tab w:val="clear" w:pos="1429"/>
          <w:tab w:val="num" w:pos="797"/>
          <w:tab w:val="num" w:pos="1068"/>
        </w:tabs>
        <w:spacing w:after="0" w:line="240" w:lineRule="auto"/>
        <w:contextualSpacing/>
        <w:jc w:val="both"/>
        <w:rPr>
          <w:rFonts w:ascii="Times New Roman" w:hAnsi="Times New Roman"/>
          <w:sz w:val="28"/>
          <w:szCs w:val="24"/>
        </w:rPr>
      </w:pPr>
      <w:r w:rsidRPr="000D0E34">
        <w:rPr>
          <w:rFonts w:ascii="Times New Roman" w:hAnsi="Times New Roman"/>
          <w:sz w:val="28"/>
          <w:szCs w:val="24"/>
        </w:rPr>
        <w:t>50 м на плоском рельефе;</w:t>
      </w:r>
    </w:p>
    <w:p w:rsidR="002D1E45" w:rsidRPr="000D0E34" w:rsidRDefault="002D1E45" w:rsidP="00852938">
      <w:pPr>
        <w:numPr>
          <w:ilvl w:val="0"/>
          <w:numId w:val="24"/>
        </w:numPr>
        <w:tabs>
          <w:tab w:val="clear" w:pos="1429"/>
          <w:tab w:val="num" w:pos="797"/>
          <w:tab w:val="num" w:pos="1068"/>
        </w:tabs>
        <w:spacing w:after="0" w:line="240" w:lineRule="auto"/>
        <w:contextualSpacing/>
        <w:jc w:val="both"/>
        <w:rPr>
          <w:rFonts w:ascii="Times New Roman" w:hAnsi="Times New Roman"/>
          <w:sz w:val="28"/>
          <w:szCs w:val="24"/>
        </w:rPr>
      </w:pPr>
      <w:r w:rsidRPr="000D0E34">
        <w:rPr>
          <w:rFonts w:ascii="Times New Roman" w:hAnsi="Times New Roman"/>
          <w:sz w:val="28"/>
          <w:szCs w:val="24"/>
        </w:rPr>
        <w:t>15 м до сетей водопровода, канализации и теплоснабжения (кроме</w:t>
      </w:r>
    </w:p>
    <w:p w:rsidR="002D1E45" w:rsidRPr="000D0E34" w:rsidRDefault="002D1E45" w:rsidP="00852938">
      <w:pPr>
        <w:numPr>
          <w:ilvl w:val="0"/>
          <w:numId w:val="24"/>
        </w:numPr>
        <w:tabs>
          <w:tab w:val="clear" w:pos="1429"/>
          <w:tab w:val="num" w:pos="797"/>
          <w:tab w:val="num" w:pos="1068"/>
        </w:tabs>
        <w:spacing w:after="0" w:line="240" w:lineRule="auto"/>
        <w:contextualSpacing/>
        <w:jc w:val="both"/>
        <w:rPr>
          <w:rFonts w:ascii="Times New Roman" w:hAnsi="Times New Roman"/>
          <w:sz w:val="28"/>
          <w:szCs w:val="24"/>
        </w:rPr>
      </w:pPr>
      <w:r w:rsidRPr="000D0E34">
        <w:rPr>
          <w:rFonts w:ascii="Times New Roman" w:hAnsi="Times New Roman"/>
          <w:sz w:val="28"/>
          <w:szCs w:val="24"/>
        </w:rPr>
        <w:t>разводящих);</w:t>
      </w:r>
    </w:p>
    <w:p w:rsidR="002D1E45" w:rsidRPr="000D0E34" w:rsidRDefault="002D1E45" w:rsidP="00852938">
      <w:pPr>
        <w:numPr>
          <w:ilvl w:val="0"/>
          <w:numId w:val="24"/>
        </w:numPr>
        <w:tabs>
          <w:tab w:val="clear" w:pos="1429"/>
          <w:tab w:val="num" w:pos="797"/>
          <w:tab w:val="num" w:pos="1068"/>
        </w:tabs>
        <w:spacing w:after="0" w:line="240" w:lineRule="auto"/>
        <w:contextualSpacing/>
        <w:jc w:val="both"/>
        <w:rPr>
          <w:rFonts w:ascii="Times New Roman" w:hAnsi="Times New Roman"/>
          <w:sz w:val="28"/>
          <w:szCs w:val="24"/>
        </w:rPr>
      </w:pPr>
      <w:r w:rsidRPr="000D0E34">
        <w:rPr>
          <w:rFonts w:ascii="Times New Roman" w:hAnsi="Times New Roman"/>
          <w:sz w:val="28"/>
          <w:szCs w:val="24"/>
        </w:rPr>
        <w:t>5 м до других подземных инженерных сетей.</w:t>
      </w:r>
    </w:p>
    <w:p w:rsidR="002D1E45" w:rsidRDefault="002D1E45" w:rsidP="000D0E34">
      <w:pPr>
        <w:spacing w:after="0" w:line="240" w:lineRule="auto"/>
        <w:ind w:firstLine="709"/>
        <w:contextualSpacing/>
        <w:jc w:val="both"/>
        <w:rPr>
          <w:rFonts w:ascii="Times New Roman" w:hAnsi="Times New Roman"/>
          <w:sz w:val="28"/>
          <w:szCs w:val="24"/>
        </w:rPr>
      </w:pPr>
      <w:r w:rsidRPr="000D0E34">
        <w:rPr>
          <w:rFonts w:ascii="Times New Roman" w:hAnsi="Times New Roman"/>
          <w:sz w:val="28"/>
          <w:szCs w:val="24"/>
        </w:rPr>
        <w:t>В условиях реконструкции указанные расстояния до инженерных сетей допускается сокращать, но принимать не менее: 5 м до водонесущих сетей; 2 м – неводонесущих. При этом необходимо обеспечивать проведение специальных технических мероприятий при производстве строительных работ.</w:t>
      </w:r>
    </w:p>
    <w:p w:rsidR="002D1E45" w:rsidRDefault="002D1E45" w:rsidP="00FE1BF0">
      <w:pPr>
        <w:spacing w:after="0" w:line="240" w:lineRule="auto"/>
        <w:rPr>
          <w:rFonts w:ascii="Arial" w:hAnsi="Arial" w:cs="Arial"/>
          <w:sz w:val="16"/>
          <w:szCs w:val="16"/>
          <w:lang w:eastAsia="ru-RU"/>
        </w:rPr>
      </w:pPr>
    </w:p>
    <w:p w:rsidR="002D1E45" w:rsidRPr="00AD1BF3" w:rsidRDefault="002D1E45" w:rsidP="00852938">
      <w:pPr>
        <w:pStyle w:val="Heading2"/>
        <w:numPr>
          <w:ilvl w:val="1"/>
          <w:numId w:val="65"/>
        </w:numPr>
        <w:spacing w:before="240"/>
        <w:ind w:left="993" w:hanging="633"/>
        <w:jc w:val="both"/>
        <w:rPr>
          <w:b/>
        </w:rPr>
      </w:pPr>
      <w:bookmarkStart w:id="169" w:name="_Toc84936040"/>
      <w:r w:rsidRPr="00AD1BF3">
        <w:rPr>
          <w:b/>
        </w:rPr>
        <w:t>Санитарно-защитные и</w:t>
      </w:r>
      <w:r>
        <w:rPr>
          <w:b/>
        </w:rPr>
        <w:t> </w:t>
      </w:r>
      <w:r w:rsidRPr="00AD1BF3">
        <w:rPr>
          <w:b/>
        </w:rPr>
        <w:t>охранные зоны</w:t>
      </w:r>
      <w:bookmarkEnd w:id="169"/>
    </w:p>
    <w:p w:rsidR="002D1E45" w:rsidRDefault="002D1E45" w:rsidP="00FE1BF0">
      <w:pPr>
        <w:spacing w:after="0" w:line="240" w:lineRule="auto"/>
        <w:rPr>
          <w:rFonts w:ascii="Arial" w:hAnsi="Arial" w:cs="Arial"/>
          <w:sz w:val="16"/>
          <w:szCs w:val="16"/>
          <w:lang w:eastAsia="ru-RU"/>
        </w:rPr>
      </w:pPr>
    </w:p>
    <w:p w:rsidR="002D1E45" w:rsidRPr="00AD1BF3" w:rsidRDefault="002D1E45" w:rsidP="00FE1BF0">
      <w:pPr>
        <w:spacing w:after="0" w:line="240" w:lineRule="auto"/>
        <w:ind w:firstLine="709"/>
        <w:contextualSpacing/>
        <w:jc w:val="both"/>
        <w:rPr>
          <w:rFonts w:ascii="Times New Roman" w:hAnsi="Times New Roman"/>
          <w:sz w:val="28"/>
          <w:szCs w:val="24"/>
        </w:rPr>
      </w:pPr>
      <w:r w:rsidRPr="00AD1BF3">
        <w:rPr>
          <w:rFonts w:ascii="Times New Roman" w:hAnsi="Times New Roman"/>
          <w:i/>
          <w:sz w:val="28"/>
          <w:szCs w:val="24"/>
          <w:u w:val="single"/>
        </w:rPr>
        <w:t>Санитарно-защитные зоны</w:t>
      </w:r>
      <w:r w:rsidRPr="00AD1BF3">
        <w:rPr>
          <w:rFonts w:ascii="Times New Roman" w:hAnsi="Times New Roman"/>
          <w:sz w:val="28"/>
          <w:szCs w:val="24"/>
        </w:rPr>
        <w:t xml:space="preserve"> (СЗЗ) определяются в</w:t>
      </w:r>
      <w:r>
        <w:rPr>
          <w:rFonts w:ascii="Times New Roman" w:hAnsi="Times New Roman"/>
          <w:sz w:val="28"/>
          <w:szCs w:val="24"/>
        </w:rPr>
        <w:t> </w:t>
      </w:r>
      <w:r w:rsidRPr="00AD1BF3">
        <w:rPr>
          <w:rFonts w:ascii="Times New Roman" w:hAnsi="Times New Roman"/>
          <w:sz w:val="28"/>
          <w:szCs w:val="24"/>
        </w:rPr>
        <w:t>соответствии с</w:t>
      </w:r>
      <w:r>
        <w:rPr>
          <w:rFonts w:ascii="Times New Roman" w:hAnsi="Times New Roman"/>
          <w:sz w:val="28"/>
          <w:szCs w:val="24"/>
        </w:rPr>
        <w:t> </w:t>
      </w:r>
      <w:r w:rsidRPr="00AD1BF3">
        <w:rPr>
          <w:rFonts w:ascii="Times New Roman" w:hAnsi="Times New Roman"/>
          <w:sz w:val="28"/>
          <w:szCs w:val="24"/>
        </w:rPr>
        <w:t>СанПиНом 2.2.1/2.1.1.1200-03 «Санитарно-защитные зоны и</w:t>
      </w:r>
      <w:r>
        <w:rPr>
          <w:rFonts w:ascii="Times New Roman" w:hAnsi="Times New Roman"/>
          <w:sz w:val="28"/>
          <w:szCs w:val="24"/>
        </w:rPr>
        <w:t> </w:t>
      </w:r>
      <w:r w:rsidRPr="00AD1BF3">
        <w:rPr>
          <w:rFonts w:ascii="Times New Roman" w:hAnsi="Times New Roman"/>
          <w:sz w:val="28"/>
          <w:szCs w:val="24"/>
        </w:rPr>
        <w:t>санитарная классификация предприят</w:t>
      </w:r>
      <w:r>
        <w:rPr>
          <w:rFonts w:ascii="Times New Roman" w:hAnsi="Times New Roman"/>
          <w:sz w:val="28"/>
          <w:szCs w:val="24"/>
        </w:rPr>
        <w:t>ий, сооружений и иных объектов»</w:t>
      </w:r>
      <w:r w:rsidRPr="00AD1BF3">
        <w:rPr>
          <w:rFonts w:ascii="Times New Roman" w:hAnsi="Times New Roman"/>
          <w:sz w:val="28"/>
          <w:szCs w:val="24"/>
        </w:rPr>
        <w:t>.</w:t>
      </w:r>
    </w:p>
    <w:p w:rsidR="002D1E45" w:rsidRPr="00AD1BF3" w:rsidRDefault="002D1E45" w:rsidP="00FE1BF0">
      <w:pPr>
        <w:spacing w:after="0" w:line="240" w:lineRule="auto"/>
        <w:ind w:firstLine="709"/>
        <w:contextualSpacing/>
        <w:jc w:val="both"/>
        <w:rPr>
          <w:rFonts w:ascii="Times New Roman" w:hAnsi="Times New Roman"/>
          <w:sz w:val="28"/>
          <w:szCs w:val="24"/>
        </w:rPr>
      </w:pPr>
      <w:r w:rsidRPr="00AD1BF3">
        <w:rPr>
          <w:rFonts w:ascii="Times New Roman" w:hAnsi="Times New Roman"/>
          <w:sz w:val="28"/>
          <w:szCs w:val="24"/>
        </w:rPr>
        <w:t>Организации, промышленные объекты и</w:t>
      </w:r>
      <w:r>
        <w:rPr>
          <w:rFonts w:ascii="Times New Roman" w:hAnsi="Times New Roman"/>
          <w:sz w:val="28"/>
          <w:szCs w:val="24"/>
        </w:rPr>
        <w:t> </w:t>
      </w:r>
      <w:r w:rsidRPr="00AD1BF3">
        <w:rPr>
          <w:rFonts w:ascii="Times New Roman" w:hAnsi="Times New Roman"/>
          <w:sz w:val="28"/>
          <w:szCs w:val="24"/>
        </w:rPr>
        <w:t>производства, группы промышленных объектов и</w:t>
      </w:r>
      <w:r>
        <w:rPr>
          <w:rFonts w:ascii="Times New Roman" w:hAnsi="Times New Roman"/>
          <w:sz w:val="28"/>
          <w:szCs w:val="24"/>
        </w:rPr>
        <w:t> </w:t>
      </w:r>
      <w:r w:rsidRPr="00AD1BF3">
        <w:rPr>
          <w:rFonts w:ascii="Times New Roman" w:hAnsi="Times New Roman"/>
          <w:sz w:val="28"/>
          <w:szCs w:val="24"/>
        </w:rPr>
        <w:t>сооружения, являющиеся источниками воздействия на</w:t>
      </w:r>
      <w:r>
        <w:rPr>
          <w:rFonts w:ascii="Times New Roman" w:hAnsi="Times New Roman"/>
          <w:sz w:val="28"/>
          <w:szCs w:val="24"/>
        </w:rPr>
        <w:t> </w:t>
      </w:r>
      <w:r w:rsidRPr="00AD1BF3">
        <w:rPr>
          <w:rFonts w:ascii="Times New Roman" w:hAnsi="Times New Roman"/>
          <w:sz w:val="28"/>
          <w:szCs w:val="24"/>
        </w:rPr>
        <w:t>среду обитания и</w:t>
      </w:r>
      <w:r>
        <w:rPr>
          <w:rFonts w:ascii="Times New Roman" w:hAnsi="Times New Roman"/>
          <w:sz w:val="28"/>
          <w:szCs w:val="24"/>
        </w:rPr>
        <w:t> </w:t>
      </w:r>
      <w:r w:rsidRPr="00AD1BF3">
        <w:rPr>
          <w:rFonts w:ascii="Times New Roman" w:hAnsi="Times New Roman"/>
          <w:sz w:val="28"/>
          <w:szCs w:val="24"/>
        </w:rPr>
        <w:t>здоровье человека, необходимо отделять санитарно-защитными зонами от</w:t>
      </w:r>
      <w:r>
        <w:rPr>
          <w:rFonts w:ascii="Times New Roman" w:hAnsi="Times New Roman"/>
          <w:sz w:val="28"/>
          <w:szCs w:val="24"/>
        </w:rPr>
        <w:t> </w:t>
      </w:r>
      <w:r w:rsidRPr="00AD1BF3">
        <w:rPr>
          <w:rFonts w:ascii="Times New Roman" w:hAnsi="Times New Roman"/>
          <w:sz w:val="28"/>
          <w:szCs w:val="24"/>
        </w:rPr>
        <w:t>территории жилой застройки, ландшафтно-рекреационных зон, зон отдыха, территорий курортов, санаториев, домов отдыха, стационарных лечебно-профилактических учреждений, территорий садоводческих товариществ и</w:t>
      </w:r>
      <w:r>
        <w:rPr>
          <w:rFonts w:ascii="Times New Roman" w:hAnsi="Times New Roman"/>
          <w:sz w:val="28"/>
          <w:szCs w:val="24"/>
        </w:rPr>
        <w:t> </w:t>
      </w:r>
      <w:r w:rsidRPr="00AD1BF3">
        <w:rPr>
          <w:rFonts w:ascii="Times New Roman" w:hAnsi="Times New Roman"/>
          <w:sz w:val="28"/>
          <w:szCs w:val="24"/>
        </w:rPr>
        <w:t>коттеджной застройки, коллективных или индивидуальных дачных и</w:t>
      </w:r>
      <w:r>
        <w:rPr>
          <w:rFonts w:ascii="Times New Roman" w:hAnsi="Times New Roman"/>
          <w:sz w:val="28"/>
          <w:szCs w:val="24"/>
        </w:rPr>
        <w:t> </w:t>
      </w:r>
      <w:r w:rsidRPr="00AD1BF3">
        <w:rPr>
          <w:rFonts w:ascii="Times New Roman" w:hAnsi="Times New Roman"/>
          <w:sz w:val="28"/>
          <w:szCs w:val="24"/>
        </w:rPr>
        <w:t>садово-огородных участков.</w:t>
      </w:r>
    </w:p>
    <w:p w:rsidR="002D1E45" w:rsidRDefault="002D1E45" w:rsidP="00FE1BF0">
      <w:pPr>
        <w:spacing w:after="0" w:line="240" w:lineRule="auto"/>
        <w:ind w:firstLine="709"/>
        <w:contextualSpacing/>
        <w:jc w:val="both"/>
        <w:rPr>
          <w:rFonts w:ascii="Times New Roman" w:hAnsi="Times New Roman"/>
          <w:sz w:val="28"/>
          <w:szCs w:val="24"/>
        </w:rPr>
      </w:pPr>
      <w:r w:rsidRPr="00AD1BF3">
        <w:rPr>
          <w:rFonts w:ascii="Times New Roman" w:hAnsi="Times New Roman"/>
          <w:sz w:val="28"/>
          <w:szCs w:val="24"/>
        </w:rPr>
        <w:t>По своему функциональному значению СЗЗ является защитным барьером, обеспечивающим уровень безопасности населения при эксплуатации объекта в</w:t>
      </w:r>
      <w:r>
        <w:rPr>
          <w:rFonts w:ascii="Times New Roman" w:hAnsi="Times New Roman"/>
          <w:sz w:val="28"/>
          <w:szCs w:val="24"/>
        </w:rPr>
        <w:t> </w:t>
      </w:r>
      <w:r w:rsidRPr="00AD1BF3">
        <w:rPr>
          <w:rFonts w:ascii="Times New Roman" w:hAnsi="Times New Roman"/>
          <w:sz w:val="28"/>
          <w:szCs w:val="24"/>
        </w:rPr>
        <w:t>штатном режиме.</w:t>
      </w:r>
    </w:p>
    <w:p w:rsidR="002D1E45" w:rsidRPr="00AD1BF3" w:rsidRDefault="002D1E45" w:rsidP="00FE1BF0">
      <w:pPr>
        <w:spacing w:after="0" w:line="240" w:lineRule="auto"/>
        <w:ind w:firstLine="709"/>
        <w:contextualSpacing/>
        <w:jc w:val="both"/>
        <w:rPr>
          <w:rFonts w:ascii="Times New Roman" w:hAnsi="Times New Roman"/>
          <w:sz w:val="28"/>
          <w:szCs w:val="24"/>
        </w:rPr>
      </w:pPr>
      <w:r w:rsidRPr="00AD1BF3">
        <w:rPr>
          <w:rFonts w:ascii="Times New Roman" w:hAnsi="Times New Roman"/>
          <w:sz w:val="28"/>
          <w:szCs w:val="24"/>
        </w:rPr>
        <w:t>В новой редакции СанПиН 2.2.1/2.1.1.1200-03 «Санитарно-защитные зоны и</w:t>
      </w:r>
      <w:r>
        <w:rPr>
          <w:rFonts w:ascii="Times New Roman" w:hAnsi="Times New Roman"/>
          <w:sz w:val="28"/>
          <w:szCs w:val="24"/>
        </w:rPr>
        <w:t> </w:t>
      </w:r>
      <w:r w:rsidRPr="00AD1BF3">
        <w:rPr>
          <w:rFonts w:ascii="Times New Roman" w:hAnsi="Times New Roman"/>
          <w:sz w:val="28"/>
          <w:szCs w:val="24"/>
        </w:rPr>
        <w:t>санитарная классификация предприятий, сооружений и</w:t>
      </w:r>
      <w:r>
        <w:rPr>
          <w:rFonts w:ascii="Times New Roman" w:hAnsi="Times New Roman"/>
          <w:sz w:val="28"/>
          <w:szCs w:val="24"/>
        </w:rPr>
        <w:t> </w:t>
      </w:r>
      <w:r w:rsidRPr="00AD1BF3">
        <w:rPr>
          <w:rFonts w:ascii="Times New Roman" w:hAnsi="Times New Roman"/>
          <w:sz w:val="28"/>
          <w:szCs w:val="24"/>
        </w:rPr>
        <w:t>иных объектов, вступившими в</w:t>
      </w:r>
      <w:r>
        <w:rPr>
          <w:rFonts w:ascii="Times New Roman" w:hAnsi="Times New Roman"/>
          <w:sz w:val="28"/>
          <w:szCs w:val="24"/>
        </w:rPr>
        <w:t> </w:t>
      </w:r>
      <w:r w:rsidRPr="00AD1BF3">
        <w:rPr>
          <w:rFonts w:ascii="Times New Roman" w:hAnsi="Times New Roman"/>
          <w:sz w:val="28"/>
          <w:szCs w:val="24"/>
        </w:rPr>
        <w:t>силу</w:t>
      </w:r>
      <w:r>
        <w:rPr>
          <w:rFonts w:ascii="Times New Roman" w:hAnsi="Times New Roman"/>
          <w:sz w:val="28"/>
          <w:szCs w:val="24"/>
        </w:rPr>
        <w:t xml:space="preserve"> </w:t>
      </w:r>
      <w:r w:rsidRPr="00AD1BF3">
        <w:rPr>
          <w:rFonts w:ascii="Times New Roman" w:hAnsi="Times New Roman"/>
          <w:sz w:val="28"/>
          <w:szCs w:val="24"/>
        </w:rPr>
        <w:t>01.03.2008</w:t>
      </w:r>
      <w:r>
        <w:rPr>
          <w:rFonts w:ascii="Times New Roman" w:hAnsi="Times New Roman"/>
          <w:sz w:val="28"/>
          <w:szCs w:val="24"/>
        </w:rPr>
        <w:t>,</w:t>
      </w:r>
      <w:r w:rsidRPr="00AD1BF3">
        <w:rPr>
          <w:rFonts w:ascii="Times New Roman" w:hAnsi="Times New Roman"/>
          <w:sz w:val="28"/>
          <w:szCs w:val="24"/>
        </w:rPr>
        <w:t xml:space="preserve"> вводится поэтапное определение границы санитарно-защитной зоны (СЗЗ) – от</w:t>
      </w:r>
      <w:r>
        <w:rPr>
          <w:rFonts w:ascii="Times New Roman" w:hAnsi="Times New Roman"/>
          <w:sz w:val="28"/>
          <w:szCs w:val="24"/>
        </w:rPr>
        <w:t> </w:t>
      </w:r>
      <w:r w:rsidRPr="00AD1BF3">
        <w:rPr>
          <w:rFonts w:ascii="Times New Roman" w:hAnsi="Times New Roman"/>
          <w:sz w:val="28"/>
          <w:szCs w:val="24"/>
        </w:rPr>
        <w:t>ориентировочной (ранее нормативной, устанавливаемой в</w:t>
      </w:r>
      <w:r>
        <w:rPr>
          <w:rFonts w:ascii="Times New Roman" w:hAnsi="Times New Roman"/>
          <w:sz w:val="28"/>
          <w:szCs w:val="24"/>
        </w:rPr>
        <w:t> </w:t>
      </w:r>
      <w:r w:rsidRPr="00AD1BF3">
        <w:rPr>
          <w:rFonts w:ascii="Times New Roman" w:hAnsi="Times New Roman"/>
          <w:sz w:val="28"/>
          <w:szCs w:val="24"/>
        </w:rPr>
        <w:t>соответствии с</w:t>
      </w:r>
      <w:r>
        <w:rPr>
          <w:rFonts w:ascii="Times New Roman" w:hAnsi="Times New Roman"/>
          <w:sz w:val="28"/>
          <w:szCs w:val="24"/>
        </w:rPr>
        <w:t> </w:t>
      </w:r>
      <w:r w:rsidRPr="00AD1BF3">
        <w:rPr>
          <w:rFonts w:ascii="Times New Roman" w:hAnsi="Times New Roman"/>
          <w:sz w:val="28"/>
          <w:szCs w:val="24"/>
        </w:rPr>
        <w:t>классификатором), через расчётную (предварительную), к</w:t>
      </w:r>
      <w:r>
        <w:rPr>
          <w:rFonts w:ascii="Times New Roman" w:hAnsi="Times New Roman"/>
          <w:sz w:val="28"/>
          <w:szCs w:val="24"/>
        </w:rPr>
        <w:t> </w:t>
      </w:r>
      <w:r w:rsidRPr="00AD1BF3">
        <w:rPr>
          <w:rFonts w:ascii="Times New Roman" w:hAnsi="Times New Roman"/>
          <w:sz w:val="28"/>
          <w:szCs w:val="24"/>
        </w:rPr>
        <w:t>установленной (окончательной), т.е. обоснованной проектом санитарно-защитной зоны с</w:t>
      </w:r>
      <w:r>
        <w:rPr>
          <w:rFonts w:ascii="Times New Roman" w:hAnsi="Times New Roman"/>
          <w:sz w:val="28"/>
          <w:szCs w:val="24"/>
        </w:rPr>
        <w:t> </w:t>
      </w:r>
      <w:r w:rsidRPr="00AD1BF3">
        <w:rPr>
          <w:rFonts w:ascii="Times New Roman" w:hAnsi="Times New Roman"/>
          <w:sz w:val="28"/>
          <w:szCs w:val="24"/>
        </w:rPr>
        <w:t>расчётами ожидаемого загрязнения атмосферного воздуха (с учётом фона) и</w:t>
      </w:r>
      <w:r>
        <w:rPr>
          <w:rFonts w:ascii="Times New Roman" w:hAnsi="Times New Roman"/>
          <w:sz w:val="28"/>
          <w:szCs w:val="24"/>
        </w:rPr>
        <w:t> </w:t>
      </w:r>
      <w:r w:rsidRPr="00AD1BF3">
        <w:rPr>
          <w:rFonts w:ascii="Times New Roman" w:hAnsi="Times New Roman"/>
          <w:sz w:val="28"/>
          <w:szCs w:val="24"/>
        </w:rPr>
        <w:t>уровней физического воздействия на</w:t>
      </w:r>
      <w:r>
        <w:rPr>
          <w:rFonts w:ascii="Times New Roman" w:hAnsi="Times New Roman"/>
          <w:sz w:val="28"/>
          <w:szCs w:val="24"/>
        </w:rPr>
        <w:t> </w:t>
      </w:r>
      <w:r w:rsidRPr="00AD1BF3">
        <w:rPr>
          <w:rFonts w:ascii="Times New Roman" w:hAnsi="Times New Roman"/>
          <w:sz w:val="28"/>
          <w:szCs w:val="24"/>
        </w:rPr>
        <w:t>атмосферный воздух и</w:t>
      </w:r>
      <w:r>
        <w:rPr>
          <w:rFonts w:ascii="Times New Roman" w:hAnsi="Times New Roman"/>
          <w:sz w:val="28"/>
          <w:szCs w:val="24"/>
        </w:rPr>
        <w:t> </w:t>
      </w:r>
      <w:r w:rsidRPr="00AD1BF3">
        <w:rPr>
          <w:rFonts w:ascii="Times New Roman" w:hAnsi="Times New Roman"/>
          <w:sz w:val="28"/>
          <w:szCs w:val="24"/>
        </w:rPr>
        <w:t>подтверждённой результатами натурных исследований.</w:t>
      </w:r>
    </w:p>
    <w:p w:rsidR="002D1E45" w:rsidRPr="00AD1BF3" w:rsidRDefault="002D1E45" w:rsidP="00FE1BF0">
      <w:pPr>
        <w:spacing w:after="0" w:line="240" w:lineRule="auto"/>
        <w:ind w:firstLine="709"/>
        <w:contextualSpacing/>
        <w:jc w:val="both"/>
        <w:rPr>
          <w:rFonts w:ascii="Times New Roman" w:hAnsi="Times New Roman"/>
          <w:sz w:val="28"/>
          <w:szCs w:val="24"/>
        </w:rPr>
      </w:pPr>
      <w:r w:rsidRPr="00AD1BF3">
        <w:rPr>
          <w:rFonts w:ascii="Times New Roman" w:hAnsi="Times New Roman"/>
          <w:sz w:val="28"/>
          <w:szCs w:val="24"/>
        </w:rPr>
        <w:t>Границы СЗЗ устанавливаются от</w:t>
      </w:r>
      <w:r>
        <w:rPr>
          <w:rFonts w:ascii="Times New Roman" w:hAnsi="Times New Roman"/>
          <w:sz w:val="28"/>
          <w:szCs w:val="24"/>
        </w:rPr>
        <w:t> </w:t>
      </w:r>
      <w:r w:rsidRPr="00AD1BF3">
        <w:rPr>
          <w:rFonts w:ascii="Times New Roman" w:hAnsi="Times New Roman"/>
          <w:sz w:val="28"/>
          <w:szCs w:val="24"/>
        </w:rPr>
        <w:t>источников химического, биологического и/или физического воздействия, либо от</w:t>
      </w:r>
      <w:r>
        <w:rPr>
          <w:rFonts w:ascii="Times New Roman" w:hAnsi="Times New Roman"/>
          <w:sz w:val="28"/>
          <w:szCs w:val="24"/>
        </w:rPr>
        <w:t> </w:t>
      </w:r>
      <w:r w:rsidRPr="00AD1BF3">
        <w:rPr>
          <w:rFonts w:ascii="Times New Roman" w:hAnsi="Times New Roman"/>
          <w:sz w:val="28"/>
          <w:szCs w:val="24"/>
        </w:rPr>
        <w:t>границы промышленной площадки до</w:t>
      </w:r>
      <w:r>
        <w:rPr>
          <w:rFonts w:ascii="Times New Roman" w:hAnsi="Times New Roman"/>
          <w:sz w:val="28"/>
          <w:szCs w:val="24"/>
        </w:rPr>
        <w:t> </w:t>
      </w:r>
      <w:r w:rsidRPr="00AD1BF3">
        <w:rPr>
          <w:rFonts w:ascii="Times New Roman" w:hAnsi="Times New Roman"/>
          <w:sz w:val="28"/>
          <w:szCs w:val="24"/>
        </w:rPr>
        <w:t>е</w:t>
      </w:r>
      <w:r>
        <w:rPr>
          <w:rFonts w:ascii="Times New Roman" w:hAnsi="Times New Roman"/>
          <w:sz w:val="28"/>
          <w:szCs w:val="24"/>
        </w:rPr>
        <w:t>ё</w:t>
      </w:r>
      <w:r w:rsidRPr="00AD1BF3">
        <w:rPr>
          <w:rFonts w:ascii="Times New Roman" w:hAnsi="Times New Roman"/>
          <w:sz w:val="28"/>
          <w:szCs w:val="24"/>
        </w:rPr>
        <w:t xml:space="preserve"> внешней границы в</w:t>
      </w:r>
      <w:r>
        <w:rPr>
          <w:rFonts w:ascii="Times New Roman" w:hAnsi="Times New Roman"/>
          <w:sz w:val="28"/>
          <w:szCs w:val="24"/>
        </w:rPr>
        <w:t> </w:t>
      </w:r>
      <w:r w:rsidRPr="00AD1BF3">
        <w:rPr>
          <w:rFonts w:ascii="Times New Roman" w:hAnsi="Times New Roman"/>
          <w:sz w:val="28"/>
          <w:szCs w:val="24"/>
        </w:rPr>
        <w:t>заданном направлении.</w:t>
      </w:r>
      <w:r>
        <w:rPr>
          <w:rFonts w:ascii="Times New Roman" w:hAnsi="Times New Roman"/>
          <w:sz w:val="28"/>
          <w:szCs w:val="24"/>
        </w:rPr>
        <w:t xml:space="preserve"> </w:t>
      </w:r>
    </w:p>
    <w:p w:rsidR="002D1E45" w:rsidRDefault="002D1E45" w:rsidP="00FE1BF0">
      <w:pPr>
        <w:spacing w:after="0" w:line="240" w:lineRule="auto"/>
        <w:ind w:firstLine="709"/>
        <w:contextualSpacing/>
        <w:jc w:val="both"/>
        <w:rPr>
          <w:rFonts w:ascii="Times New Roman" w:hAnsi="Times New Roman"/>
          <w:sz w:val="28"/>
          <w:szCs w:val="24"/>
        </w:rPr>
      </w:pPr>
      <w:r w:rsidRPr="00AD1BF3">
        <w:rPr>
          <w:rFonts w:ascii="Times New Roman" w:hAnsi="Times New Roman"/>
          <w:sz w:val="28"/>
          <w:szCs w:val="24"/>
        </w:rPr>
        <w:t>Санитарно-защитная зона или какая-либо е</w:t>
      </w:r>
      <w:r>
        <w:rPr>
          <w:rFonts w:ascii="Times New Roman" w:hAnsi="Times New Roman"/>
          <w:sz w:val="28"/>
          <w:szCs w:val="24"/>
        </w:rPr>
        <w:t>ё</w:t>
      </w:r>
      <w:r w:rsidRPr="00AD1BF3">
        <w:rPr>
          <w:rFonts w:ascii="Times New Roman" w:hAnsi="Times New Roman"/>
          <w:sz w:val="28"/>
          <w:szCs w:val="24"/>
        </w:rPr>
        <w:t xml:space="preserve"> часть не</w:t>
      </w:r>
      <w:r>
        <w:rPr>
          <w:rFonts w:ascii="Times New Roman" w:hAnsi="Times New Roman"/>
          <w:sz w:val="28"/>
          <w:szCs w:val="24"/>
        </w:rPr>
        <w:t> </w:t>
      </w:r>
      <w:r w:rsidRPr="00AD1BF3">
        <w:rPr>
          <w:rFonts w:ascii="Times New Roman" w:hAnsi="Times New Roman"/>
          <w:sz w:val="28"/>
          <w:szCs w:val="24"/>
        </w:rPr>
        <w:t>может рассматриваться как резервная территория объекта и</w:t>
      </w:r>
      <w:r>
        <w:rPr>
          <w:rFonts w:ascii="Times New Roman" w:hAnsi="Times New Roman"/>
          <w:sz w:val="28"/>
          <w:szCs w:val="24"/>
        </w:rPr>
        <w:t> </w:t>
      </w:r>
      <w:r w:rsidRPr="00AD1BF3">
        <w:rPr>
          <w:rFonts w:ascii="Times New Roman" w:hAnsi="Times New Roman"/>
          <w:sz w:val="28"/>
          <w:szCs w:val="24"/>
        </w:rPr>
        <w:t>использоваться для расширения промышленной или жилой территории без соответствующей обоснованной корректировки границ СЗЗ.</w:t>
      </w:r>
      <w:r>
        <w:rPr>
          <w:rFonts w:ascii="Times New Roman" w:hAnsi="Times New Roman"/>
          <w:sz w:val="28"/>
          <w:szCs w:val="24"/>
        </w:rPr>
        <w:t xml:space="preserve"> </w:t>
      </w:r>
      <w:r w:rsidRPr="00AD1BF3">
        <w:rPr>
          <w:rFonts w:ascii="Times New Roman" w:hAnsi="Times New Roman"/>
          <w:sz w:val="28"/>
          <w:szCs w:val="24"/>
        </w:rPr>
        <w:t>Санитарно-защитная зона должна быть максимально озеленена.</w:t>
      </w:r>
    </w:p>
    <w:p w:rsidR="002D1E45" w:rsidRDefault="002D1E45" w:rsidP="00572B81">
      <w:pPr>
        <w:spacing w:after="0" w:line="240" w:lineRule="auto"/>
        <w:ind w:firstLine="709"/>
        <w:jc w:val="both"/>
        <w:rPr>
          <w:rFonts w:ascii="Times New Roman" w:hAnsi="Times New Roman"/>
          <w:sz w:val="28"/>
          <w:szCs w:val="28"/>
        </w:rPr>
      </w:pPr>
      <w:r w:rsidRPr="00DD7BC2">
        <w:rPr>
          <w:rFonts w:ascii="Times New Roman" w:hAnsi="Times New Roman"/>
          <w:sz w:val="28"/>
          <w:szCs w:val="28"/>
        </w:rPr>
        <w:t>Для точного установления санитарно-защитных зон котельных необходимо определение расчётной концентрации в</w:t>
      </w:r>
      <w:r>
        <w:rPr>
          <w:rFonts w:ascii="Times New Roman" w:hAnsi="Times New Roman"/>
          <w:sz w:val="28"/>
          <w:szCs w:val="28"/>
        </w:rPr>
        <w:t> </w:t>
      </w:r>
      <w:r w:rsidRPr="00DD7BC2">
        <w:rPr>
          <w:rFonts w:ascii="Times New Roman" w:hAnsi="Times New Roman"/>
          <w:sz w:val="28"/>
          <w:szCs w:val="28"/>
        </w:rPr>
        <w:t>приземном слое воздуха и</w:t>
      </w:r>
      <w:r>
        <w:rPr>
          <w:rFonts w:ascii="Times New Roman" w:hAnsi="Times New Roman"/>
          <w:sz w:val="28"/>
          <w:szCs w:val="28"/>
        </w:rPr>
        <w:t> </w:t>
      </w:r>
      <w:r w:rsidRPr="00DD7BC2">
        <w:rPr>
          <w:rFonts w:ascii="Times New Roman" w:hAnsi="Times New Roman"/>
          <w:sz w:val="28"/>
          <w:szCs w:val="28"/>
        </w:rPr>
        <w:t>по</w:t>
      </w:r>
      <w:r>
        <w:rPr>
          <w:rFonts w:ascii="Times New Roman" w:hAnsi="Times New Roman"/>
          <w:sz w:val="28"/>
          <w:szCs w:val="28"/>
        </w:rPr>
        <w:t> </w:t>
      </w:r>
      <w:r w:rsidRPr="00DD7BC2">
        <w:rPr>
          <w:rFonts w:ascii="Times New Roman" w:hAnsi="Times New Roman"/>
          <w:sz w:val="28"/>
          <w:szCs w:val="28"/>
        </w:rPr>
        <w:t>вертикали в</w:t>
      </w:r>
      <w:r>
        <w:rPr>
          <w:rFonts w:ascii="Times New Roman" w:hAnsi="Times New Roman"/>
          <w:sz w:val="28"/>
          <w:szCs w:val="28"/>
        </w:rPr>
        <w:t> </w:t>
      </w:r>
      <w:r w:rsidRPr="00DD7BC2">
        <w:rPr>
          <w:rFonts w:ascii="Times New Roman" w:hAnsi="Times New Roman"/>
          <w:sz w:val="28"/>
          <w:szCs w:val="28"/>
        </w:rPr>
        <w:t>зоне максимального загрязнения атмосферного воздуха от</w:t>
      </w:r>
      <w:r>
        <w:rPr>
          <w:rFonts w:ascii="Times New Roman" w:hAnsi="Times New Roman"/>
          <w:sz w:val="28"/>
          <w:szCs w:val="28"/>
        </w:rPr>
        <w:t> </w:t>
      </w:r>
      <w:r w:rsidRPr="00DD7BC2">
        <w:rPr>
          <w:rFonts w:ascii="Times New Roman" w:hAnsi="Times New Roman"/>
          <w:sz w:val="28"/>
          <w:szCs w:val="28"/>
        </w:rPr>
        <w:t>котельной (10-40 высот трубы котельной), а</w:t>
      </w:r>
      <w:r>
        <w:rPr>
          <w:rFonts w:ascii="Times New Roman" w:hAnsi="Times New Roman"/>
          <w:sz w:val="28"/>
          <w:szCs w:val="28"/>
        </w:rPr>
        <w:t> </w:t>
      </w:r>
      <w:r w:rsidRPr="00DD7BC2">
        <w:rPr>
          <w:rFonts w:ascii="Times New Roman" w:hAnsi="Times New Roman"/>
          <w:sz w:val="28"/>
          <w:szCs w:val="28"/>
        </w:rPr>
        <w:t>также акустических расчётов.</w:t>
      </w:r>
    </w:p>
    <w:p w:rsidR="002D1E45" w:rsidRDefault="002D1E45" w:rsidP="00572B81">
      <w:pPr>
        <w:spacing w:after="0" w:line="240" w:lineRule="auto"/>
        <w:ind w:firstLine="709"/>
        <w:jc w:val="both"/>
        <w:rPr>
          <w:rFonts w:ascii="Times New Roman" w:hAnsi="Times New Roman"/>
          <w:sz w:val="28"/>
          <w:szCs w:val="28"/>
        </w:rPr>
      </w:pPr>
      <w:r w:rsidRPr="00485D6D">
        <w:rPr>
          <w:rFonts w:ascii="Times New Roman" w:hAnsi="Times New Roman"/>
          <w:sz w:val="28"/>
          <w:szCs w:val="28"/>
        </w:rPr>
        <w:t>Согласно СанПиН 2.2.1/2.1.1.1200-03</w:t>
      </w:r>
      <w:r>
        <w:rPr>
          <w:rFonts w:ascii="Times New Roman" w:hAnsi="Times New Roman"/>
          <w:sz w:val="28"/>
          <w:szCs w:val="28"/>
        </w:rPr>
        <w:t>,</w:t>
      </w:r>
      <w:r w:rsidRPr="00485D6D">
        <w:rPr>
          <w:rFonts w:ascii="Times New Roman" w:hAnsi="Times New Roman"/>
          <w:i/>
          <w:sz w:val="28"/>
          <w:szCs w:val="28"/>
        </w:rPr>
        <w:t xml:space="preserve"> </w:t>
      </w:r>
      <w:r w:rsidRPr="00485D6D">
        <w:rPr>
          <w:rFonts w:ascii="Times New Roman" w:hAnsi="Times New Roman"/>
          <w:sz w:val="28"/>
          <w:szCs w:val="28"/>
        </w:rPr>
        <w:t>в</w:t>
      </w:r>
      <w:r>
        <w:rPr>
          <w:rFonts w:ascii="Times New Roman" w:hAnsi="Times New Roman"/>
          <w:i/>
          <w:sz w:val="28"/>
          <w:szCs w:val="28"/>
        </w:rPr>
        <w:t> </w:t>
      </w:r>
      <w:r w:rsidRPr="00485D6D">
        <w:rPr>
          <w:rFonts w:ascii="Times New Roman" w:hAnsi="Times New Roman"/>
          <w:sz w:val="28"/>
          <w:szCs w:val="28"/>
        </w:rPr>
        <w:t>целях защиты населения от</w:t>
      </w:r>
      <w:r>
        <w:rPr>
          <w:rFonts w:ascii="Times New Roman" w:hAnsi="Times New Roman"/>
          <w:sz w:val="28"/>
          <w:szCs w:val="28"/>
        </w:rPr>
        <w:t> </w:t>
      </w:r>
      <w:r w:rsidRPr="00485D6D">
        <w:rPr>
          <w:rFonts w:ascii="Times New Roman" w:hAnsi="Times New Roman"/>
          <w:sz w:val="28"/>
          <w:szCs w:val="28"/>
        </w:rPr>
        <w:t>воздействия электрического поля, создаваемого воздушными линиями электропередачи, устанавливаются санитарные разрывы вдоль трассы высоковольтной линии (ВЛ), за</w:t>
      </w:r>
      <w:r>
        <w:rPr>
          <w:rFonts w:ascii="Times New Roman" w:hAnsi="Times New Roman"/>
          <w:sz w:val="28"/>
          <w:szCs w:val="28"/>
        </w:rPr>
        <w:t> </w:t>
      </w:r>
      <w:r w:rsidRPr="00485D6D">
        <w:rPr>
          <w:rFonts w:ascii="Times New Roman" w:hAnsi="Times New Roman"/>
          <w:sz w:val="28"/>
          <w:szCs w:val="28"/>
        </w:rPr>
        <w:t>пределами которых напряжённость электрического поля не</w:t>
      </w:r>
      <w:r>
        <w:rPr>
          <w:rFonts w:ascii="Times New Roman" w:hAnsi="Times New Roman"/>
          <w:sz w:val="28"/>
          <w:szCs w:val="28"/>
        </w:rPr>
        <w:t> </w:t>
      </w:r>
      <w:r w:rsidRPr="00485D6D">
        <w:rPr>
          <w:rFonts w:ascii="Times New Roman" w:hAnsi="Times New Roman"/>
          <w:sz w:val="28"/>
          <w:szCs w:val="28"/>
        </w:rPr>
        <w:t>превышает 1 кВ/м.</w:t>
      </w:r>
      <w:r w:rsidRPr="00485D6D">
        <w:rPr>
          <w:rFonts w:ascii="Times New Roman" w:hAnsi="Times New Roman"/>
          <w:i/>
          <w:sz w:val="28"/>
          <w:szCs w:val="28"/>
        </w:rPr>
        <w:t xml:space="preserve"> </w:t>
      </w:r>
      <w:r w:rsidRPr="00485D6D">
        <w:rPr>
          <w:rFonts w:ascii="Times New Roman" w:hAnsi="Times New Roman"/>
          <w:sz w:val="28"/>
          <w:szCs w:val="28"/>
        </w:rPr>
        <w:t>Для вновь проектируемых ВЛ</w:t>
      </w:r>
      <w:r>
        <w:rPr>
          <w:rFonts w:ascii="Times New Roman" w:hAnsi="Times New Roman"/>
          <w:sz w:val="28"/>
          <w:szCs w:val="28"/>
        </w:rPr>
        <w:t> </w:t>
      </w:r>
      <w:r w:rsidRPr="00485D6D">
        <w:rPr>
          <w:rFonts w:ascii="Times New Roman" w:hAnsi="Times New Roman"/>
          <w:sz w:val="28"/>
          <w:szCs w:val="28"/>
        </w:rPr>
        <w:t>допускается принимать границы санитарных разрывов вдоль трассы ВЛ</w:t>
      </w:r>
      <w:r>
        <w:rPr>
          <w:rFonts w:ascii="Times New Roman" w:hAnsi="Times New Roman"/>
          <w:sz w:val="28"/>
          <w:szCs w:val="28"/>
        </w:rPr>
        <w:t> </w:t>
      </w:r>
      <w:r w:rsidRPr="00485D6D">
        <w:rPr>
          <w:rFonts w:ascii="Times New Roman" w:hAnsi="Times New Roman"/>
          <w:sz w:val="28"/>
          <w:szCs w:val="28"/>
        </w:rPr>
        <w:t>с</w:t>
      </w:r>
      <w:r>
        <w:rPr>
          <w:rFonts w:ascii="Times New Roman" w:hAnsi="Times New Roman"/>
          <w:sz w:val="28"/>
          <w:szCs w:val="28"/>
        </w:rPr>
        <w:t> </w:t>
      </w:r>
      <w:r w:rsidRPr="00485D6D">
        <w:rPr>
          <w:rFonts w:ascii="Times New Roman" w:hAnsi="Times New Roman"/>
          <w:sz w:val="28"/>
          <w:szCs w:val="28"/>
        </w:rPr>
        <w:t>горизонтальным расположением проводов и</w:t>
      </w:r>
      <w:r>
        <w:rPr>
          <w:rFonts w:ascii="Times New Roman" w:hAnsi="Times New Roman"/>
          <w:sz w:val="28"/>
          <w:szCs w:val="28"/>
        </w:rPr>
        <w:t> </w:t>
      </w:r>
      <w:r w:rsidRPr="00485D6D">
        <w:rPr>
          <w:rFonts w:ascii="Times New Roman" w:hAnsi="Times New Roman"/>
          <w:sz w:val="28"/>
          <w:szCs w:val="28"/>
        </w:rPr>
        <w:t>без средств снижения напряжённости электрического поля по</w:t>
      </w:r>
      <w:r>
        <w:rPr>
          <w:rFonts w:ascii="Times New Roman" w:hAnsi="Times New Roman"/>
          <w:sz w:val="28"/>
          <w:szCs w:val="28"/>
        </w:rPr>
        <w:t xml:space="preserve"> </w:t>
      </w:r>
      <w:r w:rsidRPr="00485D6D">
        <w:rPr>
          <w:rFonts w:ascii="Times New Roman" w:hAnsi="Times New Roman"/>
          <w:sz w:val="28"/>
          <w:szCs w:val="28"/>
        </w:rPr>
        <w:t>обе стороны от</w:t>
      </w:r>
      <w:r>
        <w:rPr>
          <w:rFonts w:ascii="Times New Roman" w:hAnsi="Times New Roman"/>
          <w:sz w:val="28"/>
          <w:szCs w:val="28"/>
        </w:rPr>
        <w:t> </w:t>
      </w:r>
      <w:r w:rsidRPr="00485D6D">
        <w:rPr>
          <w:rFonts w:ascii="Times New Roman" w:hAnsi="Times New Roman"/>
          <w:sz w:val="28"/>
          <w:szCs w:val="28"/>
        </w:rPr>
        <w:t>неё от</w:t>
      </w:r>
      <w:r>
        <w:rPr>
          <w:rFonts w:ascii="Times New Roman" w:hAnsi="Times New Roman"/>
          <w:sz w:val="28"/>
          <w:szCs w:val="28"/>
        </w:rPr>
        <w:t> </w:t>
      </w:r>
      <w:r w:rsidRPr="00485D6D">
        <w:rPr>
          <w:rFonts w:ascii="Times New Roman" w:hAnsi="Times New Roman"/>
          <w:sz w:val="28"/>
          <w:szCs w:val="28"/>
        </w:rPr>
        <w:t>проекции на</w:t>
      </w:r>
      <w:r>
        <w:rPr>
          <w:rFonts w:ascii="Times New Roman" w:hAnsi="Times New Roman"/>
          <w:sz w:val="28"/>
          <w:szCs w:val="28"/>
        </w:rPr>
        <w:t> </w:t>
      </w:r>
      <w:r w:rsidRPr="00485D6D">
        <w:rPr>
          <w:rFonts w:ascii="Times New Roman" w:hAnsi="Times New Roman"/>
          <w:sz w:val="28"/>
          <w:szCs w:val="28"/>
        </w:rPr>
        <w:t>землю крайних фазных проводов в</w:t>
      </w:r>
      <w:r>
        <w:rPr>
          <w:rFonts w:ascii="Times New Roman" w:hAnsi="Times New Roman"/>
          <w:sz w:val="28"/>
          <w:szCs w:val="28"/>
        </w:rPr>
        <w:t> </w:t>
      </w:r>
      <w:r w:rsidRPr="00485D6D">
        <w:rPr>
          <w:rFonts w:ascii="Times New Roman" w:hAnsi="Times New Roman"/>
          <w:sz w:val="28"/>
          <w:szCs w:val="28"/>
        </w:rPr>
        <w:t xml:space="preserve">направлении, перпендикулярном ВЛ </w:t>
      </w:r>
      <w:r>
        <w:rPr>
          <w:rFonts w:ascii="Times New Roman" w:hAnsi="Times New Roman"/>
          <w:sz w:val="28"/>
          <w:szCs w:val="28"/>
        </w:rPr>
        <w:t>–</w:t>
      </w:r>
      <w:r w:rsidRPr="00485D6D">
        <w:rPr>
          <w:rFonts w:ascii="Times New Roman" w:hAnsi="Times New Roman"/>
          <w:sz w:val="28"/>
          <w:szCs w:val="28"/>
        </w:rPr>
        <w:t xml:space="preserve"> на</w:t>
      </w:r>
      <w:r>
        <w:rPr>
          <w:rFonts w:ascii="Times New Roman" w:hAnsi="Times New Roman"/>
          <w:sz w:val="28"/>
          <w:szCs w:val="28"/>
        </w:rPr>
        <w:t> </w:t>
      </w:r>
      <w:r w:rsidRPr="00485D6D">
        <w:rPr>
          <w:rFonts w:ascii="Times New Roman" w:hAnsi="Times New Roman"/>
          <w:sz w:val="28"/>
          <w:szCs w:val="28"/>
        </w:rPr>
        <w:t>расстоянии 20</w:t>
      </w:r>
      <w:r>
        <w:rPr>
          <w:rFonts w:ascii="Times New Roman" w:hAnsi="Times New Roman"/>
          <w:sz w:val="28"/>
          <w:szCs w:val="28"/>
        </w:rPr>
        <w:t> </w:t>
      </w:r>
      <w:r w:rsidRPr="00485D6D">
        <w:rPr>
          <w:rFonts w:ascii="Times New Roman" w:hAnsi="Times New Roman"/>
          <w:sz w:val="28"/>
          <w:szCs w:val="28"/>
        </w:rPr>
        <w:t>м</w:t>
      </w:r>
      <w:r>
        <w:rPr>
          <w:rFonts w:ascii="Times New Roman" w:hAnsi="Times New Roman"/>
          <w:sz w:val="28"/>
          <w:szCs w:val="28"/>
        </w:rPr>
        <w:t> </w:t>
      </w:r>
      <w:r w:rsidRPr="00485D6D">
        <w:rPr>
          <w:rFonts w:ascii="Times New Roman" w:hAnsi="Times New Roman"/>
          <w:sz w:val="28"/>
          <w:szCs w:val="28"/>
        </w:rPr>
        <w:t xml:space="preserve">для ВЛ, напряжением до </w:t>
      </w:r>
      <w:r>
        <w:rPr>
          <w:rFonts w:ascii="Times New Roman" w:hAnsi="Times New Roman"/>
          <w:sz w:val="28"/>
          <w:szCs w:val="28"/>
        </w:rPr>
        <w:t>110</w:t>
      </w:r>
      <w:r w:rsidRPr="00485D6D">
        <w:rPr>
          <w:rFonts w:ascii="Times New Roman" w:hAnsi="Times New Roman"/>
          <w:sz w:val="28"/>
          <w:szCs w:val="28"/>
        </w:rPr>
        <w:t xml:space="preserve"> кВ.</w:t>
      </w:r>
    </w:p>
    <w:p w:rsidR="002D1E45" w:rsidRPr="005D4CCB" w:rsidRDefault="002D1E45" w:rsidP="00572B81">
      <w:pPr>
        <w:spacing w:after="0" w:line="240" w:lineRule="auto"/>
        <w:ind w:firstLine="709"/>
        <w:jc w:val="both"/>
        <w:rPr>
          <w:rFonts w:ascii="Times New Roman" w:hAnsi="Times New Roman"/>
          <w:sz w:val="28"/>
          <w:szCs w:val="28"/>
        </w:rPr>
      </w:pPr>
      <w:r w:rsidRPr="005D4CCB">
        <w:rPr>
          <w:rFonts w:ascii="Times New Roman" w:hAnsi="Times New Roman"/>
          <w:sz w:val="28"/>
          <w:szCs w:val="28"/>
        </w:rPr>
        <w:t>Охранные зоны вокруг подстанций устанавливаются в</w:t>
      </w:r>
      <w:r>
        <w:rPr>
          <w:rFonts w:ascii="Times New Roman" w:hAnsi="Times New Roman"/>
          <w:sz w:val="28"/>
          <w:szCs w:val="28"/>
        </w:rPr>
        <w:t> </w:t>
      </w:r>
      <w:r w:rsidRPr="005D4CCB">
        <w:rPr>
          <w:rFonts w:ascii="Times New Roman" w:hAnsi="Times New Roman"/>
          <w:sz w:val="28"/>
          <w:szCs w:val="28"/>
        </w:rPr>
        <w:t>виде части поверхности участка земли и</w:t>
      </w:r>
      <w:r>
        <w:rPr>
          <w:rFonts w:ascii="Times New Roman" w:hAnsi="Times New Roman"/>
          <w:sz w:val="28"/>
          <w:szCs w:val="28"/>
        </w:rPr>
        <w:t xml:space="preserve"> </w:t>
      </w:r>
      <w:r w:rsidRPr="005D4CCB">
        <w:rPr>
          <w:rFonts w:ascii="Times New Roman" w:hAnsi="Times New Roman"/>
          <w:sz w:val="28"/>
          <w:szCs w:val="28"/>
        </w:rPr>
        <w:t>воздушного пространства (на высоту, соответствующую высоте наивысшей точки подстанции), ограниченной вертикальными плоскостями, отстоящими от</w:t>
      </w:r>
      <w:r>
        <w:rPr>
          <w:rFonts w:ascii="Times New Roman" w:hAnsi="Times New Roman"/>
          <w:sz w:val="28"/>
          <w:szCs w:val="28"/>
        </w:rPr>
        <w:t> </w:t>
      </w:r>
      <w:r w:rsidRPr="005D4CCB">
        <w:rPr>
          <w:rFonts w:ascii="Times New Roman" w:hAnsi="Times New Roman"/>
          <w:sz w:val="28"/>
          <w:szCs w:val="28"/>
        </w:rPr>
        <w:t>всех сторон ограждения подстанции по</w:t>
      </w:r>
      <w:r>
        <w:rPr>
          <w:rFonts w:ascii="Times New Roman" w:hAnsi="Times New Roman"/>
          <w:sz w:val="28"/>
          <w:szCs w:val="28"/>
        </w:rPr>
        <w:t> </w:t>
      </w:r>
      <w:r w:rsidRPr="005D4CCB">
        <w:rPr>
          <w:rFonts w:ascii="Times New Roman" w:hAnsi="Times New Roman"/>
          <w:sz w:val="28"/>
          <w:szCs w:val="28"/>
        </w:rPr>
        <w:t>периметру на</w:t>
      </w:r>
      <w:r>
        <w:rPr>
          <w:rFonts w:ascii="Times New Roman" w:hAnsi="Times New Roman"/>
          <w:sz w:val="28"/>
          <w:szCs w:val="28"/>
        </w:rPr>
        <w:t> </w:t>
      </w:r>
      <w:r w:rsidRPr="005D4CCB">
        <w:rPr>
          <w:rFonts w:ascii="Times New Roman" w:hAnsi="Times New Roman"/>
          <w:sz w:val="28"/>
          <w:szCs w:val="28"/>
        </w:rPr>
        <w:t>расстоянии, применительно к</w:t>
      </w:r>
      <w:r>
        <w:rPr>
          <w:rFonts w:ascii="Times New Roman" w:hAnsi="Times New Roman"/>
          <w:sz w:val="28"/>
          <w:szCs w:val="28"/>
        </w:rPr>
        <w:t> </w:t>
      </w:r>
      <w:r w:rsidRPr="005D4CCB">
        <w:rPr>
          <w:rFonts w:ascii="Times New Roman" w:hAnsi="Times New Roman"/>
          <w:sz w:val="28"/>
          <w:szCs w:val="28"/>
        </w:rPr>
        <w:t>высшему классу напряжения подстанции, т.е. 25 м.</w:t>
      </w:r>
    </w:p>
    <w:p w:rsidR="002D1E45" w:rsidRPr="005D4CCB" w:rsidRDefault="002D1E45" w:rsidP="00572B81">
      <w:pPr>
        <w:spacing w:after="0" w:line="240" w:lineRule="auto"/>
        <w:ind w:firstLine="709"/>
        <w:jc w:val="both"/>
        <w:rPr>
          <w:rFonts w:ascii="Times New Roman" w:hAnsi="Times New Roman"/>
          <w:sz w:val="28"/>
          <w:szCs w:val="28"/>
        </w:rPr>
      </w:pPr>
      <w:r w:rsidRPr="005D4CCB">
        <w:rPr>
          <w:rFonts w:ascii="Times New Roman" w:hAnsi="Times New Roman"/>
          <w:sz w:val="28"/>
          <w:szCs w:val="28"/>
        </w:rPr>
        <w:t>Согласно постановлению Правительства Российской Федерации «</w:t>
      </w:r>
      <w:r w:rsidRPr="005D4CCB">
        <w:rPr>
          <w:rFonts w:ascii="Times New Roman" w:hAnsi="Times New Roman"/>
          <w:bCs/>
          <w:sz w:val="28"/>
          <w:szCs w:val="28"/>
        </w:rPr>
        <w:t>О порядке установления охранных зон объектов электросетевого хозяйства и</w:t>
      </w:r>
      <w:r>
        <w:rPr>
          <w:rFonts w:ascii="Times New Roman" w:hAnsi="Times New Roman"/>
          <w:bCs/>
          <w:sz w:val="28"/>
          <w:szCs w:val="28"/>
        </w:rPr>
        <w:t> </w:t>
      </w:r>
      <w:r w:rsidRPr="005D4CCB">
        <w:rPr>
          <w:rFonts w:ascii="Times New Roman" w:hAnsi="Times New Roman"/>
          <w:bCs/>
          <w:sz w:val="28"/>
          <w:szCs w:val="28"/>
        </w:rPr>
        <w:t>особых условий использования земельных участков, расположен</w:t>
      </w:r>
      <w:r>
        <w:rPr>
          <w:rFonts w:ascii="Times New Roman" w:hAnsi="Times New Roman"/>
          <w:bCs/>
          <w:sz w:val="28"/>
          <w:szCs w:val="28"/>
        </w:rPr>
        <w:t>ных в границах таких зон» от 24.02.</w:t>
      </w:r>
      <w:r w:rsidRPr="005D4CCB">
        <w:rPr>
          <w:rFonts w:ascii="Times New Roman" w:hAnsi="Times New Roman"/>
          <w:bCs/>
          <w:sz w:val="28"/>
          <w:szCs w:val="28"/>
        </w:rPr>
        <w:t>2009 № 160,</w:t>
      </w:r>
      <w:r w:rsidRPr="005D4CCB">
        <w:rPr>
          <w:rFonts w:ascii="Times New Roman" w:hAnsi="Times New Roman"/>
          <w:sz w:val="28"/>
          <w:szCs w:val="28"/>
        </w:rPr>
        <w:t xml:space="preserve"> предусмотрены следующие размеры охранных зон от</w:t>
      </w:r>
      <w:r>
        <w:rPr>
          <w:rFonts w:ascii="Times New Roman" w:hAnsi="Times New Roman"/>
          <w:sz w:val="28"/>
          <w:szCs w:val="28"/>
        </w:rPr>
        <w:t xml:space="preserve"> </w:t>
      </w:r>
      <w:r w:rsidRPr="005D4CCB">
        <w:rPr>
          <w:rFonts w:ascii="Times New Roman" w:hAnsi="Times New Roman"/>
          <w:sz w:val="28"/>
          <w:szCs w:val="28"/>
        </w:rPr>
        <w:t>осей воздушных линий электропередачи:</w:t>
      </w:r>
    </w:p>
    <w:p w:rsidR="002D1E45" w:rsidRDefault="002D1E45" w:rsidP="00852938">
      <w:pPr>
        <w:numPr>
          <w:ilvl w:val="0"/>
          <w:numId w:val="24"/>
        </w:numPr>
        <w:tabs>
          <w:tab w:val="num" w:pos="1068"/>
          <w:tab w:val="left" w:pos="1134"/>
        </w:tabs>
        <w:spacing w:after="0" w:line="240" w:lineRule="auto"/>
        <w:jc w:val="both"/>
        <w:rPr>
          <w:rFonts w:ascii="Times New Roman" w:hAnsi="Times New Roman"/>
          <w:sz w:val="28"/>
          <w:szCs w:val="28"/>
        </w:rPr>
      </w:pPr>
      <w:r w:rsidRPr="005D4CCB">
        <w:rPr>
          <w:rFonts w:ascii="Times New Roman" w:hAnsi="Times New Roman"/>
          <w:sz w:val="28"/>
          <w:szCs w:val="28"/>
        </w:rPr>
        <w:t xml:space="preserve">1-20 кВ – 10 м (5 </w:t>
      </w:r>
      <w:r>
        <w:rPr>
          <w:rFonts w:ascii="Times New Roman" w:hAnsi="Times New Roman"/>
          <w:sz w:val="28"/>
          <w:szCs w:val="28"/>
        </w:rPr>
        <w:t>–</w:t>
      </w:r>
      <w:r w:rsidRPr="005D4CCB">
        <w:rPr>
          <w:rFonts w:ascii="Times New Roman" w:hAnsi="Times New Roman"/>
          <w:sz w:val="28"/>
          <w:szCs w:val="28"/>
        </w:rPr>
        <w:t xml:space="preserve"> для линий с</w:t>
      </w:r>
      <w:r>
        <w:rPr>
          <w:rFonts w:ascii="Times New Roman" w:hAnsi="Times New Roman"/>
          <w:sz w:val="28"/>
          <w:szCs w:val="28"/>
        </w:rPr>
        <w:t> </w:t>
      </w:r>
      <w:r w:rsidRPr="005D4CCB">
        <w:rPr>
          <w:rFonts w:ascii="Times New Roman" w:hAnsi="Times New Roman"/>
          <w:sz w:val="28"/>
          <w:szCs w:val="28"/>
        </w:rPr>
        <w:t>самонесущими или изолированными проводами, размещённых</w:t>
      </w:r>
      <w:r>
        <w:rPr>
          <w:rFonts w:ascii="Times New Roman" w:hAnsi="Times New Roman"/>
          <w:sz w:val="28"/>
          <w:szCs w:val="28"/>
        </w:rPr>
        <w:t xml:space="preserve"> в границах населённых пунктов);</w:t>
      </w:r>
    </w:p>
    <w:p w:rsidR="002D1E45" w:rsidRDefault="002D1E45" w:rsidP="00852938">
      <w:pPr>
        <w:numPr>
          <w:ilvl w:val="0"/>
          <w:numId w:val="24"/>
        </w:numPr>
        <w:tabs>
          <w:tab w:val="num" w:pos="1068"/>
          <w:tab w:val="left" w:pos="1134"/>
        </w:tabs>
        <w:spacing w:after="0" w:line="240" w:lineRule="auto"/>
        <w:jc w:val="both"/>
        <w:rPr>
          <w:rFonts w:ascii="Times New Roman" w:hAnsi="Times New Roman"/>
          <w:sz w:val="28"/>
          <w:szCs w:val="28"/>
        </w:rPr>
      </w:pPr>
      <w:r>
        <w:rPr>
          <w:rFonts w:ascii="Times New Roman" w:hAnsi="Times New Roman"/>
          <w:sz w:val="28"/>
          <w:szCs w:val="28"/>
        </w:rPr>
        <w:t>110 кВ – 20 м;</w:t>
      </w:r>
    </w:p>
    <w:p w:rsidR="002D1E45" w:rsidRDefault="002D1E45" w:rsidP="00852938">
      <w:pPr>
        <w:numPr>
          <w:ilvl w:val="0"/>
          <w:numId w:val="24"/>
        </w:numPr>
        <w:tabs>
          <w:tab w:val="num" w:pos="1068"/>
          <w:tab w:val="left" w:pos="1134"/>
        </w:tabs>
        <w:spacing w:after="0" w:line="240" w:lineRule="auto"/>
        <w:jc w:val="both"/>
        <w:rPr>
          <w:rFonts w:ascii="Times New Roman" w:hAnsi="Times New Roman"/>
          <w:sz w:val="28"/>
          <w:szCs w:val="28"/>
        </w:rPr>
      </w:pPr>
      <w:r>
        <w:rPr>
          <w:rFonts w:ascii="Times New Roman" w:hAnsi="Times New Roman"/>
          <w:sz w:val="28"/>
          <w:szCs w:val="28"/>
        </w:rPr>
        <w:t>150, 220 кВ – 25 м;</w:t>
      </w:r>
    </w:p>
    <w:p w:rsidR="002D1E45" w:rsidRDefault="002D1E45" w:rsidP="00852938">
      <w:pPr>
        <w:numPr>
          <w:ilvl w:val="0"/>
          <w:numId w:val="24"/>
        </w:numPr>
        <w:tabs>
          <w:tab w:val="num" w:pos="1068"/>
          <w:tab w:val="left" w:pos="1134"/>
        </w:tabs>
        <w:spacing w:after="0" w:line="240" w:lineRule="auto"/>
        <w:jc w:val="both"/>
        <w:rPr>
          <w:rFonts w:ascii="Times New Roman" w:hAnsi="Times New Roman"/>
          <w:sz w:val="28"/>
          <w:szCs w:val="28"/>
        </w:rPr>
      </w:pPr>
      <w:r w:rsidRPr="005E44FA">
        <w:rPr>
          <w:rFonts w:ascii="Times New Roman" w:hAnsi="Times New Roman"/>
          <w:sz w:val="28"/>
          <w:szCs w:val="28"/>
        </w:rPr>
        <w:t>300, 500, +/- 400</w:t>
      </w:r>
      <w:r>
        <w:rPr>
          <w:rFonts w:ascii="Times New Roman" w:hAnsi="Times New Roman"/>
          <w:sz w:val="28"/>
          <w:szCs w:val="28"/>
        </w:rPr>
        <w:t xml:space="preserve"> – 30 м.</w:t>
      </w:r>
    </w:p>
    <w:p w:rsidR="002D1E45" w:rsidRPr="005D4CCB" w:rsidRDefault="002D1E45" w:rsidP="005E44FA">
      <w:pPr>
        <w:spacing w:after="0" w:line="240" w:lineRule="auto"/>
        <w:ind w:firstLine="709"/>
        <w:jc w:val="both"/>
        <w:rPr>
          <w:rFonts w:ascii="Times New Roman" w:hAnsi="Times New Roman"/>
          <w:sz w:val="28"/>
          <w:szCs w:val="28"/>
        </w:rPr>
      </w:pPr>
      <w:r>
        <w:rPr>
          <w:rFonts w:ascii="Times New Roman" w:hAnsi="Times New Roman"/>
          <w:sz w:val="28"/>
          <w:szCs w:val="28"/>
        </w:rPr>
        <w:t>В</w:t>
      </w:r>
      <w:r w:rsidRPr="005E44FA">
        <w:rPr>
          <w:rFonts w:ascii="Times New Roman" w:hAnsi="Times New Roman"/>
          <w:sz w:val="28"/>
          <w:szCs w:val="28"/>
        </w:rPr>
        <w:t xml:space="preserve">округ подстанций </w:t>
      </w:r>
      <w:r>
        <w:rPr>
          <w:rFonts w:ascii="Times New Roman" w:hAnsi="Times New Roman"/>
          <w:sz w:val="28"/>
          <w:szCs w:val="28"/>
        </w:rPr>
        <w:t>о</w:t>
      </w:r>
      <w:r w:rsidRPr="005E44FA">
        <w:rPr>
          <w:rFonts w:ascii="Times New Roman" w:hAnsi="Times New Roman"/>
          <w:sz w:val="28"/>
          <w:szCs w:val="28"/>
        </w:rPr>
        <w:t>хранные зоны устанавливаются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 указанном</w:t>
      </w:r>
      <w:r>
        <w:rPr>
          <w:rFonts w:ascii="Times New Roman" w:hAnsi="Times New Roman"/>
          <w:sz w:val="28"/>
          <w:szCs w:val="28"/>
        </w:rPr>
        <w:t xml:space="preserve"> в предыдущем абзаце. </w:t>
      </w:r>
    </w:p>
    <w:p w:rsidR="002D1E45" w:rsidRPr="005D4CCB" w:rsidRDefault="002D1E45" w:rsidP="00572B81">
      <w:pPr>
        <w:spacing w:after="0" w:line="240" w:lineRule="auto"/>
        <w:ind w:firstLine="709"/>
        <w:jc w:val="both"/>
        <w:rPr>
          <w:rFonts w:ascii="Times New Roman" w:hAnsi="Times New Roman"/>
          <w:sz w:val="28"/>
          <w:szCs w:val="28"/>
        </w:rPr>
      </w:pPr>
      <w:r w:rsidRPr="005D4CCB">
        <w:rPr>
          <w:rFonts w:ascii="Times New Roman" w:hAnsi="Times New Roman"/>
          <w:sz w:val="28"/>
          <w:szCs w:val="28"/>
        </w:rPr>
        <w:t>В охранных зонах ЛЭП без письменного согласия предприятий, в</w:t>
      </w:r>
      <w:r>
        <w:rPr>
          <w:rFonts w:ascii="Times New Roman" w:hAnsi="Times New Roman"/>
          <w:sz w:val="28"/>
          <w:szCs w:val="28"/>
        </w:rPr>
        <w:t> </w:t>
      </w:r>
      <w:r w:rsidRPr="005D4CCB">
        <w:rPr>
          <w:rFonts w:ascii="Times New Roman" w:hAnsi="Times New Roman"/>
          <w:sz w:val="28"/>
          <w:szCs w:val="28"/>
        </w:rPr>
        <w:t>ведении которых находятся сети, запрещается:</w:t>
      </w:r>
    </w:p>
    <w:p w:rsidR="002D1E45" w:rsidRPr="005D4CCB" w:rsidRDefault="002D1E45" w:rsidP="00852938">
      <w:pPr>
        <w:numPr>
          <w:ilvl w:val="0"/>
          <w:numId w:val="24"/>
        </w:numPr>
        <w:tabs>
          <w:tab w:val="num" w:pos="797"/>
          <w:tab w:val="num" w:pos="1068"/>
          <w:tab w:val="left" w:pos="1134"/>
        </w:tabs>
        <w:spacing w:after="0" w:line="240" w:lineRule="auto"/>
        <w:jc w:val="both"/>
        <w:rPr>
          <w:rFonts w:ascii="Times New Roman" w:hAnsi="Times New Roman"/>
          <w:sz w:val="28"/>
          <w:szCs w:val="28"/>
        </w:rPr>
      </w:pPr>
      <w:r w:rsidRPr="005D4CCB">
        <w:rPr>
          <w:rFonts w:ascii="Times New Roman" w:hAnsi="Times New Roman"/>
          <w:sz w:val="28"/>
          <w:szCs w:val="28"/>
        </w:rPr>
        <w:t>строительство, капитальный ремонт, реконструкция и</w:t>
      </w:r>
      <w:r>
        <w:rPr>
          <w:rFonts w:ascii="Times New Roman" w:hAnsi="Times New Roman"/>
          <w:sz w:val="28"/>
          <w:szCs w:val="28"/>
        </w:rPr>
        <w:t xml:space="preserve"> </w:t>
      </w:r>
      <w:r w:rsidRPr="005D4CCB">
        <w:rPr>
          <w:rFonts w:ascii="Times New Roman" w:hAnsi="Times New Roman"/>
          <w:sz w:val="28"/>
          <w:szCs w:val="28"/>
        </w:rPr>
        <w:t>снос, любых зданий и</w:t>
      </w:r>
      <w:r>
        <w:rPr>
          <w:rFonts w:ascii="Times New Roman" w:hAnsi="Times New Roman"/>
          <w:sz w:val="28"/>
          <w:szCs w:val="28"/>
        </w:rPr>
        <w:t> </w:t>
      </w:r>
      <w:r w:rsidRPr="005D4CCB">
        <w:rPr>
          <w:rFonts w:ascii="Times New Roman" w:hAnsi="Times New Roman"/>
          <w:sz w:val="28"/>
          <w:szCs w:val="28"/>
        </w:rPr>
        <w:t>сооружений;</w:t>
      </w:r>
    </w:p>
    <w:p w:rsidR="002D1E45" w:rsidRPr="005D4CCB" w:rsidRDefault="002D1E45" w:rsidP="00852938">
      <w:pPr>
        <w:numPr>
          <w:ilvl w:val="0"/>
          <w:numId w:val="24"/>
        </w:numPr>
        <w:tabs>
          <w:tab w:val="num" w:pos="797"/>
          <w:tab w:val="num" w:pos="1068"/>
          <w:tab w:val="left" w:pos="1134"/>
        </w:tabs>
        <w:spacing w:after="0" w:line="240" w:lineRule="auto"/>
        <w:jc w:val="both"/>
        <w:rPr>
          <w:rFonts w:ascii="Times New Roman" w:hAnsi="Times New Roman"/>
          <w:sz w:val="28"/>
          <w:szCs w:val="28"/>
        </w:rPr>
      </w:pPr>
      <w:r w:rsidRPr="005D4CCB">
        <w:rPr>
          <w:rFonts w:ascii="Times New Roman" w:hAnsi="Times New Roman"/>
          <w:sz w:val="28"/>
          <w:szCs w:val="28"/>
        </w:rPr>
        <w:t>осуществлять горные, взрывные, мелиоративные работы;</w:t>
      </w:r>
    </w:p>
    <w:p w:rsidR="002D1E45" w:rsidRPr="005D4CCB" w:rsidRDefault="002D1E45" w:rsidP="00852938">
      <w:pPr>
        <w:numPr>
          <w:ilvl w:val="0"/>
          <w:numId w:val="24"/>
        </w:numPr>
        <w:tabs>
          <w:tab w:val="num" w:pos="797"/>
          <w:tab w:val="num" w:pos="1068"/>
          <w:tab w:val="left" w:pos="1134"/>
        </w:tabs>
        <w:spacing w:after="0" w:line="240" w:lineRule="auto"/>
        <w:jc w:val="both"/>
        <w:rPr>
          <w:rFonts w:ascii="Times New Roman" w:hAnsi="Times New Roman"/>
          <w:sz w:val="28"/>
          <w:szCs w:val="28"/>
        </w:rPr>
      </w:pPr>
      <w:r w:rsidRPr="005D4CCB">
        <w:rPr>
          <w:rFonts w:ascii="Times New Roman" w:hAnsi="Times New Roman"/>
          <w:sz w:val="28"/>
          <w:szCs w:val="28"/>
        </w:rPr>
        <w:t>производить посадку и</w:t>
      </w:r>
      <w:r>
        <w:rPr>
          <w:rFonts w:ascii="Times New Roman" w:hAnsi="Times New Roman"/>
          <w:sz w:val="28"/>
          <w:szCs w:val="28"/>
        </w:rPr>
        <w:t xml:space="preserve"> </w:t>
      </w:r>
      <w:r w:rsidRPr="005D4CCB">
        <w:rPr>
          <w:rFonts w:ascii="Times New Roman" w:hAnsi="Times New Roman"/>
          <w:sz w:val="28"/>
          <w:szCs w:val="28"/>
        </w:rPr>
        <w:t xml:space="preserve">вырубку деревьев, располагать полевые станы, коллективные сады, загоны для скота; </w:t>
      </w:r>
    </w:p>
    <w:p w:rsidR="002D1E45" w:rsidRPr="005D4CCB" w:rsidRDefault="002D1E45" w:rsidP="00852938">
      <w:pPr>
        <w:numPr>
          <w:ilvl w:val="0"/>
          <w:numId w:val="24"/>
        </w:numPr>
        <w:tabs>
          <w:tab w:val="num" w:pos="797"/>
          <w:tab w:val="num" w:pos="1068"/>
          <w:tab w:val="left" w:pos="1134"/>
        </w:tabs>
        <w:spacing w:after="0" w:line="240" w:lineRule="auto"/>
        <w:jc w:val="both"/>
        <w:rPr>
          <w:rFonts w:ascii="Times New Roman" w:hAnsi="Times New Roman"/>
          <w:sz w:val="28"/>
          <w:szCs w:val="28"/>
        </w:rPr>
      </w:pPr>
      <w:r w:rsidRPr="005D4CCB">
        <w:rPr>
          <w:rFonts w:ascii="Times New Roman" w:hAnsi="Times New Roman"/>
          <w:sz w:val="28"/>
          <w:szCs w:val="28"/>
        </w:rPr>
        <w:t>размещать хранилища горюче-смазочных материалов, складировать корма, удобрения;</w:t>
      </w:r>
    </w:p>
    <w:p w:rsidR="002D1E45" w:rsidRPr="005D4CCB" w:rsidRDefault="002D1E45" w:rsidP="00852938">
      <w:pPr>
        <w:numPr>
          <w:ilvl w:val="0"/>
          <w:numId w:val="24"/>
        </w:numPr>
        <w:tabs>
          <w:tab w:val="num" w:pos="797"/>
          <w:tab w:val="num" w:pos="1068"/>
          <w:tab w:val="left" w:pos="1134"/>
        </w:tabs>
        <w:spacing w:after="0" w:line="240" w:lineRule="auto"/>
        <w:jc w:val="both"/>
        <w:rPr>
          <w:rFonts w:ascii="Times New Roman" w:hAnsi="Times New Roman"/>
          <w:sz w:val="28"/>
          <w:szCs w:val="28"/>
        </w:rPr>
      </w:pPr>
      <w:r w:rsidRPr="005D4CCB">
        <w:rPr>
          <w:rFonts w:ascii="Times New Roman" w:hAnsi="Times New Roman"/>
          <w:sz w:val="28"/>
          <w:szCs w:val="28"/>
        </w:rPr>
        <w:t>разводить огонь.</w:t>
      </w:r>
    </w:p>
    <w:p w:rsidR="002D1E45" w:rsidRPr="005D4CCB" w:rsidRDefault="002D1E45" w:rsidP="00572B81">
      <w:pPr>
        <w:spacing w:after="0" w:line="240" w:lineRule="auto"/>
        <w:ind w:firstLine="709"/>
        <w:jc w:val="both"/>
        <w:rPr>
          <w:rFonts w:ascii="Times New Roman" w:hAnsi="Times New Roman"/>
          <w:sz w:val="28"/>
          <w:szCs w:val="28"/>
        </w:rPr>
      </w:pPr>
      <w:r w:rsidRPr="005D4CCB">
        <w:rPr>
          <w:rFonts w:ascii="Times New Roman" w:hAnsi="Times New Roman"/>
          <w:sz w:val="28"/>
          <w:szCs w:val="28"/>
        </w:rPr>
        <w:t>На трассах кабельных и</w:t>
      </w:r>
      <w:r>
        <w:rPr>
          <w:rFonts w:ascii="Times New Roman" w:hAnsi="Times New Roman"/>
          <w:sz w:val="28"/>
          <w:szCs w:val="28"/>
        </w:rPr>
        <w:t> </w:t>
      </w:r>
      <w:r w:rsidRPr="005D4CCB">
        <w:rPr>
          <w:rFonts w:ascii="Times New Roman" w:hAnsi="Times New Roman"/>
          <w:sz w:val="28"/>
          <w:szCs w:val="28"/>
        </w:rPr>
        <w:t>воздушных линий связи и</w:t>
      </w:r>
      <w:r>
        <w:rPr>
          <w:rFonts w:ascii="Times New Roman" w:hAnsi="Times New Roman"/>
          <w:sz w:val="28"/>
          <w:szCs w:val="28"/>
        </w:rPr>
        <w:t> </w:t>
      </w:r>
      <w:r w:rsidRPr="005D4CCB">
        <w:rPr>
          <w:rFonts w:ascii="Times New Roman" w:hAnsi="Times New Roman"/>
          <w:sz w:val="28"/>
          <w:szCs w:val="28"/>
        </w:rPr>
        <w:t>линий радиофикации в</w:t>
      </w:r>
      <w:r>
        <w:rPr>
          <w:rFonts w:ascii="Times New Roman" w:hAnsi="Times New Roman"/>
          <w:sz w:val="28"/>
          <w:szCs w:val="28"/>
        </w:rPr>
        <w:t> </w:t>
      </w:r>
      <w:r w:rsidRPr="005D4CCB">
        <w:rPr>
          <w:rFonts w:ascii="Times New Roman" w:hAnsi="Times New Roman"/>
          <w:sz w:val="28"/>
          <w:szCs w:val="28"/>
        </w:rPr>
        <w:t>соответствии с</w:t>
      </w:r>
      <w:r>
        <w:rPr>
          <w:rFonts w:ascii="Times New Roman" w:hAnsi="Times New Roman"/>
          <w:sz w:val="28"/>
          <w:szCs w:val="28"/>
        </w:rPr>
        <w:t xml:space="preserve"> </w:t>
      </w:r>
      <w:r w:rsidRPr="005D4CCB">
        <w:rPr>
          <w:rFonts w:ascii="Times New Roman" w:hAnsi="Times New Roman"/>
          <w:sz w:val="28"/>
          <w:szCs w:val="28"/>
        </w:rPr>
        <w:t>Поста</w:t>
      </w:r>
      <w:r>
        <w:rPr>
          <w:rFonts w:ascii="Times New Roman" w:hAnsi="Times New Roman"/>
          <w:sz w:val="28"/>
          <w:szCs w:val="28"/>
        </w:rPr>
        <w:t>новлением Правительства РФ от 09.06.</w:t>
      </w:r>
      <w:r w:rsidRPr="005D4CCB">
        <w:rPr>
          <w:rFonts w:ascii="Times New Roman" w:hAnsi="Times New Roman"/>
          <w:sz w:val="28"/>
          <w:szCs w:val="28"/>
        </w:rPr>
        <w:t xml:space="preserve">1995 </w:t>
      </w:r>
      <w:r>
        <w:rPr>
          <w:rFonts w:ascii="Times New Roman" w:hAnsi="Times New Roman"/>
          <w:sz w:val="28"/>
          <w:szCs w:val="28"/>
        </w:rPr>
        <w:t>№</w:t>
      </w:r>
      <w:r w:rsidRPr="005D4CCB">
        <w:rPr>
          <w:rFonts w:ascii="Times New Roman" w:hAnsi="Times New Roman"/>
          <w:sz w:val="28"/>
          <w:szCs w:val="28"/>
        </w:rPr>
        <w:t xml:space="preserve"> 578 </w:t>
      </w:r>
      <w:r>
        <w:rPr>
          <w:rFonts w:ascii="Times New Roman" w:hAnsi="Times New Roman"/>
          <w:sz w:val="28"/>
          <w:szCs w:val="28"/>
        </w:rPr>
        <w:t>«</w:t>
      </w:r>
      <w:r w:rsidRPr="005D4CCB">
        <w:rPr>
          <w:rFonts w:ascii="Times New Roman" w:hAnsi="Times New Roman"/>
          <w:sz w:val="28"/>
          <w:szCs w:val="28"/>
        </w:rPr>
        <w:t>Об утверждении Правил охраны линий и</w:t>
      </w:r>
      <w:r>
        <w:rPr>
          <w:rFonts w:ascii="Times New Roman" w:hAnsi="Times New Roman"/>
          <w:sz w:val="28"/>
          <w:szCs w:val="28"/>
        </w:rPr>
        <w:t> </w:t>
      </w:r>
      <w:r w:rsidRPr="005D4CCB">
        <w:rPr>
          <w:rFonts w:ascii="Times New Roman" w:hAnsi="Times New Roman"/>
          <w:sz w:val="28"/>
          <w:szCs w:val="28"/>
        </w:rPr>
        <w:t>сооружений связи Российской Федерации</w:t>
      </w:r>
      <w:r>
        <w:rPr>
          <w:rFonts w:ascii="Times New Roman" w:hAnsi="Times New Roman"/>
          <w:sz w:val="28"/>
          <w:szCs w:val="28"/>
        </w:rPr>
        <w:t>»</w:t>
      </w:r>
      <w:r w:rsidRPr="005D4CCB">
        <w:rPr>
          <w:rFonts w:ascii="Times New Roman" w:hAnsi="Times New Roman"/>
          <w:sz w:val="28"/>
          <w:szCs w:val="28"/>
        </w:rPr>
        <w:t xml:space="preserve"> устанавливаются охранные зоны с</w:t>
      </w:r>
      <w:r>
        <w:rPr>
          <w:rFonts w:ascii="Times New Roman" w:hAnsi="Times New Roman"/>
          <w:sz w:val="28"/>
          <w:szCs w:val="28"/>
        </w:rPr>
        <w:t xml:space="preserve"> </w:t>
      </w:r>
      <w:r w:rsidRPr="005D4CCB">
        <w:rPr>
          <w:rFonts w:ascii="Times New Roman" w:hAnsi="Times New Roman"/>
          <w:sz w:val="28"/>
          <w:szCs w:val="28"/>
        </w:rPr>
        <w:t>особыми условиями использования: для подземных кабельных и</w:t>
      </w:r>
      <w:r>
        <w:rPr>
          <w:rFonts w:ascii="Times New Roman" w:hAnsi="Times New Roman"/>
          <w:sz w:val="28"/>
          <w:szCs w:val="28"/>
        </w:rPr>
        <w:t> </w:t>
      </w:r>
      <w:r w:rsidRPr="005D4CCB">
        <w:rPr>
          <w:rFonts w:ascii="Times New Roman" w:hAnsi="Times New Roman"/>
          <w:sz w:val="28"/>
          <w:szCs w:val="28"/>
        </w:rPr>
        <w:t>для воздушных линий связи и</w:t>
      </w:r>
      <w:r>
        <w:rPr>
          <w:rFonts w:ascii="Times New Roman" w:hAnsi="Times New Roman"/>
          <w:sz w:val="28"/>
          <w:szCs w:val="28"/>
        </w:rPr>
        <w:t> </w:t>
      </w:r>
      <w:r w:rsidRPr="005D4CCB">
        <w:rPr>
          <w:rFonts w:ascii="Times New Roman" w:hAnsi="Times New Roman"/>
          <w:sz w:val="28"/>
          <w:szCs w:val="28"/>
        </w:rPr>
        <w:t>линий радиофикации, расположенных вне населённых пунктов на</w:t>
      </w:r>
      <w:r>
        <w:rPr>
          <w:rFonts w:ascii="Times New Roman" w:hAnsi="Times New Roman"/>
          <w:sz w:val="28"/>
          <w:szCs w:val="28"/>
        </w:rPr>
        <w:t> </w:t>
      </w:r>
      <w:r w:rsidRPr="005D4CCB">
        <w:rPr>
          <w:rFonts w:ascii="Times New Roman" w:hAnsi="Times New Roman"/>
          <w:sz w:val="28"/>
          <w:szCs w:val="28"/>
        </w:rPr>
        <w:t xml:space="preserve">безлесных участках </w:t>
      </w:r>
      <w:r>
        <w:rPr>
          <w:rFonts w:ascii="Times New Roman" w:hAnsi="Times New Roman"/>
          <w:sz w:val="28"/>
          <w:szCs w:val="28"/>
        </w:rPr>
        <w:t>–</w:t>
      </w:r>
      <w:r w:rsidRPr="005D4CCB">
        <w:rPr>
          <w:rFonts w:ascii="Times New Roman" w:hAnsi="Times New Roman"/>
          <w:sz w:val="28"/>
          <w:szCs w:val="28"/>
        </w:rPr>
        <w:t xml:space="preserve"> в</w:t>
      </w:r>
      <w:r>
        <w:rPr>
          <w:rFonts w:ascii="Times New Roman" w:hAnsi="Times New Roman"/>
          <w:sz w:val="28"/>
          <w:szCs w:val="28"/>
        </w:rPr>
        <w:t> </w:t>
      </w:r>
      <w:r w:rsidRPr="005D4CCB">
        <w:rPr>
          <w:rFonts w:ascii="Times New Roman" w:hAnsi="Times New Roman"/>
          <w:sz w:val="28"/>
          <w:szCs w:val="28"/>
        </w:rPr>
        <w:t>виде участков земли вдоль этих линий, определяемых параллельными прямыми, отстоящими от</w:t>
      </w:r>
      <w:r>
        <w:rPr>
          <w:rFonts w:ascii="Times New Roman" w:hAnsi="Times New Roman"/>
          <w:sz w:val="28"/>
          <w:szCs w:val="28"/>
        </w:rPr>
        <w:t> </w:t>
      </w:r>
      <w:r w:rsidRPr="005D4CCB">
        <w:rPr>
          <w:rFonts w:ascii="Times New Roman" w:hAnsi="Times New Roman"/>
          <w:sz w:val="28"/>
          <w:szCs w:val="28"/>
        </w:rPr>
        <w:t>трассы подземного кабеля связи или от</w:t>
      </w:r>
      <w:r>
        <w:rPr>
          <w:rFonts w:ascii="Times New Roman" w:hAnsi="Times New Roman"/>
          <w:sz w:val="28"/>
          <w:szCs w:val="28"/>
        </w:rPr>
        <w:t> </w:t>
      </w:r>
      <w:r w:rsidRPr="005D4CCB">
        <w:rPr>
          <w:rFonts w:ascii="Times New Roman" w:hAnsi="Times New Roman"/>
          <w:sz w:val="28"/>
          <w:szCs w:val="28"/>
        </w:rPr>
        <w:t>крайних проводов воздушных линий связи и</w:t>
      </w:r>
      <w:r>
        <w:rPr>
          <w:rFonts w:ascii="Times New Roman" w:hAnsi="Times New Roman"/>
          <w:sz w:val="28"/>
          <w:szCs w:val="28"/>
        </w:rPr>
        <w:t> </w:t>
      </w:r>
      <w:r w:rsidRPr="005D4CCB">
        <w:rPr>
          <w:rFonts w:ascii="Times New Roman" w:hAnsi="Times New Roman"/>
          <w:sz w:val="28"/>
          <w:szCs w:val="28"/>
        </w:rPr>
        <w:t>линий радиофикации не</w:t>
      </w:r>
      <w:r>
        <w:rPr>
          <w:rFonts w:ascii="Times New Roman" w:hAnsi="Times New Roman"/>
          <w:sz w:val="28"/>
          <w:szCs w:val="28"/>
        </w:rPr>
        <w:t> </w:t>
      </w:r>
      <w:r w:rsidRPr="005D4CCB">
        <w:rPr>
          <w:rFonts w:ascii="Times New Roman" w:hAnsi="Times New Roman"/>
          <w:sz w:val="28"/>
          <w:szCs w:val="28"/>
        </w:rPr>
        <w:t>менее чем на 2 метра с</w:t>
      </w:r>
      <w:r>
        <w:rPr>
          <w:rFonts w:ascii="Times New Roman" w:hAnsi="Times New Roman"/>
          <w:sz w:val="28"/>
          <w:szCs w:val="28"/>
        </w:rPr>
        <w:t> </w:t>
      </w:r>
      <w:r w:rsidRPr="005D4CCB">
        <w:rPr>
          <w:rFonts w:ascii="Times New Roman" w:hAnsi="Times New Roman"/>
          <w:sz w:val="28"/>
          <w:szCs w:val="28"/>
        </w:rPr>
        <w:t>каждой стороны.</w:t>
      </w:r>
    </w:p>
    <w:p w:rsidR="002D1E45" w:rsidRPr="005D4CCB" w:rsidRDefault="002D1E45" w:rsidP="00572B81">
      <w:pPr>
        <w:spacing w:after="0" w:line="240" w:lineRule="auto"/>
        <w:ind w:firstLine="709"/>
        <w:jc w:val="both"/>
        <w:rPr>
          <w:rFonts w:ascii="Times New Roman" w:hAnsi="Times New Roman"/>
          <w:sz w:val="28"/>
          <w:szCs w:val="28"/>
        </w:rPr>
      </w:pPr>
      <w:r w:rsidRPr="005D4CCB">
        <w:rPr>
          <w:rFonts w:ascii="Times New Roman" w:hAnsi="Times New Roman"/>
          <w:sz w:val="28"/>
          <w:szCs w:val="28"/>
        </w:rPr>
        <w:t>В населённых пунктах прохождение трасс подземных кабельных линий связи определяется по</w:t>
      </w:r>
      <w:r>
        <w:rPr>
          <w:rFonts w:ascii="Times New Roman" w:hAnsi="Times New Roman"/>
          <w:sz w:val="28"/>
          <w:szCs w:val="28"/>
        </w:rPr>
        <w:t> </w:t>
      </w:r>
      <w:r w:rsidRPr="005D4CCB">
        <w:rPr>
          <w:rFonts w:ascii="Times New Roman" w:hAnsi="Times New Roman"/>
          <w:sz w:val="28"/>
          <w:szCs w:val="28"/>
        </w:rPr>
        <w:t>табличкам на</w:t>
      </w:r>
      <w:r>
        <w:rPr>
          <w:rFonts w:ascii="Times New Roman" w:hAnsi="Times New Roman"/>
          <w:sz w:val="28"/>
          <w:szCs w:val="28"/>
        </w:rPr>
        <w:t> </w:t>
      </w:r>
      <w:r w:rsidRPr="005D4CCB">
        <w:rPr>
          <w:rFonts w:ascii="Times New Roman" w:hAnsi="Times New Roman"/>
          <w:sz w:val="28"/>
          <w:szCs w:val="28"/>
        </w:rPr>
        <w:t>зданиях, опорах воздушных линий связи, линий электропередач, ограждениях, а</w:t>
      </w:r>
      <w:r>
        <w:rPr>
          <w:rFonts w:ascii="Times New Roman" w:hAnsi="Times New Roman"/>
          <w:sz w:val="28"/>
          <w:szCs w:val="28"/>
        </w:rPr>
        <w:t> </w:t>
      </w:r>
      <w:r w:rsidRPr="005D4CCB">
        <w:rPr>
          <w:rFonts w:ascii="Times New Roman" w:hAnsi="Times New Roman"/>
          <w:sz w:val="28"/>
          <w:szCs w:val="28"/>
        </w:rPr>
        <w:t>также по</w:t>
      </w:r>
      <w:r>
        <w:rPr>
          <w:rFonts w:ascii="Times New Roman" w:hAnsi="Times New Roman"/>
          <w:sz w:val="28"/>
          <w:szCs w:val="28"/>
        </w:rPr>
        <w:t> </w:t>
      </w:r>
      <w:r w:rsidRPr="005D4CCB">
        <w:rPr>
          <w:rFonts w:ascii="Times New Roman" w:hAnsi="Times New Roman"/>
          <w:sz w:val="28"/>
          <w:szCs w:val="28"/>
        </w:rPr>
        <w:t>технической документации. Границы охранных зон на</w:t>
      </w:r>
      <w:r>
        <w:rPr>
          <w:rFonts w:ascii="Times New Roman" w:hAnsi="Times New Roman"/>
          <w:sz w:val="28"/>
          <w:szCs w:val="28"/>
        </w:rPr>
        <w:t> </w:t>
      </w:r>
      <w:r w:rsidRPr="005D4CCB">
        <w:rPr>
          <w:rFonts w:ascii="Times New Roman" w:hAnsi="Times New Roman"/>
          <w:sz w:val="28"/>
          <w:szCs w:val="28"/>
        </w:rPr>
        <w:t>трассах подземных кабельных линий связи определяются владельцами или предприятиями, эксплуатирующими эти линии.</w:t>
      </w:r>
    </w:p>
    <w:p w:rsidR="002D1E45" w:rsidRPr="005D4CCB" w:rsidRDefault="002D1E45" w:rsidP="00572B81">
      <w:pPr>
        <w:spacing w:after="0" w:line="240" w:lineRule="auto"/>
        <w:ind w:firstLine="709"/>
        <w:jc w:val="both"/>
        <w:rPr>
          <w:rFonts w:ascii="Times New Roman" w:hAnsi="Times New Roman"/>
          <w:sz w:val="28"/>
          <w:szCs w:val="28"/>
        </w:rPr>
      </w:pPr>
      <w:r w:rsidRPr="005D4CCB">
        <w:rPr>
          <w:rFonts w:ascii="Times New Roman" w:hAnsi="Times New Roman"/>
          <w:sz w:val="28"/>
          <w:szCs w:val="28"/>
        </w:rPr>
        <w:t>Минимально допустимые расстояния (разрывы) между сооружениями связи и</w:t>
      </w:r>
      <w:r>
        <w:rPr>
          <w:rFonts w:ascii="Times New Roman" w:hAnsi="Times New Roman"/>
          <w:sz w:val="28"/>
          <w:szCs w:val="28"/>
        </w:rPr>
        <w:t> </w:t>
      </w:r>
      <w:r w:rsidRPr="005D4CCB">
        <w:rPr>
          <w:rFonts w:ascii="Times New Roman" w:hAnsi="Times New Roman"/>
          <w:sz w:val="28"/>
          <w:szCs w:val="28"/>
        </w:rPr>
        <w:t>радиофикации и</w:t>
      </w:r>
      <w:r>
        <w:rPr>
          <w:rFonts w:ascii="Times New Roman" w:hAnsi="Times New Roman"/>
          <w:sz w:val="28"/>
          <w:szCs w:val="28"/>
        </w:rPr>
        <w:t> </w:t>
      </w:r>
      <w:r w:rsidRPr="005D4CCB">
        <w:rPr>
          <w:rFonts w:ascii="Times New Roman" w:hAnsi="Times New Roman"/>
          <w:sz w:val="28"/>
          <w:szCs w:val="28"/>
        </w:rPr>
        <w:t>другими сооружениями определяются правилами возведения соответствующих сооружений и</w:t>
      </w:r>
      <w:r>
        <w:rPr>
          <w:rFonts w:ascii="Times New Roman" w:hAnsi="Times New Roman"/>
          <w:sz w:val="28"/>
          <w:szCs w:val="28"/>
        </w:rPr>
        <w:t> </w:t>
      </w:r>
      <w:r w:rsidRPr="005D4CCB">
        <w:rPr>
          <w:rFonts w:ascii="Times New Roman" w:hAnsi="Times New Roman"/>
          <w:sz w:val="28"/>
          <w:szCs w:val="28"/>
        </w:rPr>
        <w:t>не</w:t>
      </w:r>
      <w:r>
        <w:rPr>
          <w:rFonts w:ascii="Times New Roman" w:hAnsi="Times New Roman"/>
          <w:sz w:val="28"/>
          <w:szCs w:val="28"/>
        </w:rPr>
        <w:t> </w:t>
      </w:r>
      <w:r w:rsidRPr="005D4CCB">
        <w:rPr>
          <w:rFonts w:ascii="Times New Roman" w:hAnsi="Times New Roman"/>
          <w:sz w:val="28"/>
          <w:szCs w:val="28"/>
        </w:rPr>
        <w:t>должны допускать механического и</w:t>
      </w:r>
      <w:r>
        <w:rPr>
          <w:rFonts w:ascii="Times New Roman" w:hAnsi="Times New Roman"/>
          <w:sz w:val="28"/>
          <w:szCs w:val="28"/>
        </w:rPr>
        <w:t> </w:t>
      </w:r>
      <w:r w:rsidRPr="005D4CCB">
        <w:rPr>
          <w:rFonts w:ascii="Times New Roman" w:hAnsi="Times New Roman"/>
          <w:sz w:val="28"/>
          <w:szCs w:val="28"/>
        </w:rPr>
        <w:t>электрического воздействия на</w:t>
      </w:r>
      <w:r>
        <w:rPr>
          <w:rFonts w:ascii="Times New Roman" w:hAnsi="Times New Roman"/>
          <w:sz w:val="28"/>
          <w:szCs w:val="28"/>
        </w:rPr>
        <w:t> </w:t>
      </w:r>
      <w:r w:rsidRPr="005D4CCB">
        <w:rPr>
          <w:rFonts w:ascii="Times New Roman" w:hAnsi="Times New Roman"/>
          <w:sz w:val="28"/>
          <w:szCs w:val="28"/>
        </w:rPr>
        <w:t>сооружения связи.</w:t>
      </w:r>
    </w:p>
    <w:p w:rsidR="002D1E45" w:rsidRPr="005D4CCB" w:rsidRDefault="002D1E45" w:rsidP="00572B81">
      <w:pPr>
        <w:spacing w:after="0" w:line="240" w:lineRule="auto"/>
        <w:ind w:firstLine="709"/>
        <w:jc w:val="both"/>
        <w:rPr>
          <w:rFonts w:ascii="Times New Roman" w:hAnsi="Times New Roman"/>
          <w:sz w:val="28"/>
          <w:szCs w:val="28"/>
        </w:rPr>
      </w:pPr>
      <w:r w:rsidRPr="005D4CCB">
        <w:rPr>
          <w:rFonts w:ascii="Times New Roman" w:hAnsi="Times New Roman"/>
          <w:sz w:val="28"/>
          <w:szCs w:val="28"/>
        </w:rPr>
        <w:t>Охранные зоны на</w:t>
      </w:r>
      <w:r>
        <w:rPr>
          <w:rFonts w:ascii="Times New Roman" w:hAnsi="Times New Roman"/>
          <w:sz w:val="28"/>
          <w:szCs w:val="28"/>
        </w:rPr>
        <w:t> </w:t>
      </w:r>
      <w:r w:rsidRPr="005D4CCB">
        <w:rPr>
          <w:rFonts w:ascii="Times New Roman" w:hAnsi="Times New Roman"/>
          <w:sz w:val="28"/>
          <w:szCs w:val="28"/>
        </w:rPr>
        <w:t>трассах кабельных и</w:t>
      </w:r>
      <w:r>
        <w:rPr>
          <w:rFonts w:ascii="Times New Roman" w:hAnsi="Times New Roman"/>
          <w:sz w:val="28"/>
          <w:szCs w:val="28"/>
        </w:rPr>
        <w:t> </w:t>
      </w:r>
      <w:r w:rsidRPr="005D4CCB">
        <w:rPr>
          <w:rFonts w:ascii="Times New Roman" w:hAnsi="Times New Roman"/>
          <w:sz w:val="28"/>
          <w:szCs w:val="28"/>
        </w:rPr>
        <w:t>воздушных линий связи и</w:t>
      </w:r>
      <w:r>
        <w:rPr>
          <w:rFonts w:ascii="Times New Roman" w:hAnsi="Times New Roman"/>
          <w:sz w:val="28"/>
          <w:szCs w:val="28"/>
        </w:rPr>
        <w:t> </w:t>
      </w:r>
      <w:r w:rsidRPr="005D4CCB">
        <w:rPr>
          <w:rFonts w:ascii="Times New Roman" w:hAnsi="Times New Roman"/>
          <w:sz w:val="28"/>
          <w:szCs w:val="28"/>
        </w:rPr>
        <w:t>линий радиофикации в</w:t>
      </w:r>
      <w:r>
        <w:rPr>
          <w:rFonts w:ascii="Times New Roman" w:hAnsi="Times New Roman"/>
          <w:sz w:val="28"/>
          <w:szCs w:val="28"/>
        </w:rPr>
        <w:t> </w:t>
      </w:r>
      <w:r w:rsidRPr="005D4CCB">
        <w:rPr>
          <w:rFonts w:ascii="Times New Roman" w:hAnsi="Times New Roman"/>
          <w:sz w:val="28"/>
          <w:szCs w:val="28"/>
        </w:rPr>
        <w:t>полосе отвода автомобильных и</w:t>
      </w:r>
      <w:r>
        <w:rPr>
          <w:rFonts w:ascii="Times New Roman" w:hAnsi="Times New Roman"/>
          <w:sz w:val="28"/>
          <w:szCs w:val="28"/>
        </w:rPr>
        <w:t> </w:t>
      </w:r>
      <w:r w:rsidRPr="005D4CCB">
        <w:rPr>
          <w:rFonts w:ascii="Times New Roman" w:hAnsi="Times New Roman"/>
          <w:sz w:val="28"/>
          <w:szCs w:val="28"/>
        </w:rPr>
        <w:t>железных дорог могут использоваться предприятиями автомобильного и</w:t>
      </w:r>
      <w:r>
        <w:rPr>
          <w:rFonts w:ascii="Times New Roman" w:hAnsi="Times New Roman"/>
          <w:sz w:val="28"/>
          <w:szCs w:val="28"/>
        </w:rPr>
        <w:t> </w:t>
      </w:r>
      <w:r w:rsidRPr="005D4CCB">
        <w:rPr>
          <w:rFonts w:ascii="Times New Roman" w:hAnsi="Times New Roman"/>
          <w:sz w:val="28"/>
          <w:szCs w:val="28"/>
        </w:rPr>
        <w:t>железнодорожного транспорта для их</w:t>
      </w:r>
      <w:r>
        <w:rPr>
          <w:rFonts w:ascii="Times New Roman" w:hAnsi="Times New Roman"/>
          <w:sz w:val="28"/>
          <w:szCs w:val="28"/>
        </w:rPr>
        <w:t> </w:t>
      </w:r>
      <w:r w:rsidRPr="005D4CCB">
        <w:rPr>
          <w:rFonts w:ascii="Times New Roman" w:hAnsi="Times New Roman"/>
          <w:sz w:val="28"/>
          <w:szCs w:val="28"/>
        </w:rPr>
        <w:t>нужд без согласования с</w:t>
      </w:r>
      <w:r>
        <w:rPr>
          <w:rFonts w:ascii="Times New Roman" w:hAnsi="Times New Roman"/>
          <w:sz w:val="28"/>
          <w:szCs w:val="28"/>
        </w:rPr>
        <w:t> </w:t>
      </w:r>
      <w:r w:rsidRPr="005D4CCB">
        <w:rPr>
          <w:rFonts w:ascii="Times New Roman" w:hAnsi="Times New Roman"/>
          <w:sz w:val="28"/>
          <w:szCs w:val="28"/>
        </w:rPr>
        <w:t>предприятиями, в</w:t>
      </w:r>
      <w:r>
        <w:rPr>
          <w:rFonts w:ascii="Times New Roman" w:hAnsi="Times New Roman"/>
          <w:sz w:val="28"/>
          <w:szCs w:val="28"/>
        </w:rPr>
        <w:t> </w:t>
      </w:r>
      <w:r w:rsidRPr="005D4CCB">
        <w:rPr>
          <w:rFonts w:ascii="Times New Roman" w:hAnsi="Times New Roman"/>
          <w:sz w:val="28"/>
          <w:szCs w:val="28"/>
        </w:rPr>
        <w:t>ведении которых находятся эти линии связи, если это не</w:t>
      </w:r>
      <w:r>
        <w:rPr>
          <w:rFonts w:ascii="Times New Roman" w:hAnsi="Times New Roman"/>
          <w:sz w:val="28"/>
          <w:szCs w:val="28"/>
        </w:rPr>
        <w:t> </w:t>
      </w:r>
      <w:r w:rsidRPr="005D4CCB">
        <w:rPr>
          <w:rFonts w:ascii="Times New Roman" w:hAnsi="Times New Roman"/>
          <w:sz w:val="28"/>
          <w:szCs w:val="28"/>
        </w:rPr>
        <w:t>связано с</w:t>
      </w:r>
      <w:r>
        <w:rPr>
          <w:rFonts w:ascii="Times New Roman" w:hAnsi="Times New Roman"/>
          <w:sz w:val="28"/>
          <w:szCs w:val="28"/>
        </w:rPr>
        <w:t> </w:t>
      </w:r>
      <w:r w:rsidRPr="005D4CCB">
        <w:rPr>
          <w:rFonts w:ascii="Times New Roman" w:hAnsi="Times New Roman"/>
          <w:sz w:val="28"/>
          <w:szCs w:val="28"/>
        </w:rPr>
        <w:t>механическим и</w:t>
      </w:r>
      <w:r>
        <w:rPr>
          <w:rFonts w:ascii="Times New Roman" w:hAnsi="Times New Roman"/>
          <w:sz w:val="28"/>
          <w:szCs w:val="28"/>
        </w:rPr>
        <w:t> </w:t>
      </w:r>
      <w:r w:rsidRPr="005D4CCB">
        <w:rPr>
          <w:rFonts w:ascii="Times New Roman" w:hAnsi="Times New Roman"/>
          <w:sz w:val="28"/>
          <w:szCs w:val="28"/>
        </w:rPr>
        <w:t>электрическим воздействием на</w:t>
      </w:r>
      <w:r>
        <w:rPr>
          <w:rFonts w:ascii="Times New Roman" w:hAnsi="Times New Roman"/>
          <w:sz w:val="28"/>
          <w:szCs w:val="28"/>
        </w:rPr>
        <w:t> </w:t>
      </w:r>
      <w:r w:rsidRPr="005D4CCB">
        <w:rPr>
          <w:rFonts w:ascii="Times New Roman" w:hAnsi="Times New Roman"/>
          <w:sz w:val="28"/>
          <w:szCs w:val="28"/>
        </w:rPr>
        <w:t>сооружения линий связи, при условии обязательного обеспечения сохранности линий связи и</w:t>
      </w:r>
      <w:r>
        <w:rPr>
          <w:rFonts w:ascii="Times New Roman" w:hAnsi="Times New Roman"/>
          <w:sz w:val="28"/>
          <w:szCs w:val="28"/>
        </w:rPr>
        <w:t> </w:t>
      </w:r>
      <w:r w:rsidRPr="005D4CCB">
        <w:rPr>
          <w:rFonts w:ascii="Times New Roman" w:hAnsi="Times New Roman"/>
          <w:sz w:val="28"/>
          <w:szCs w:val="28"/>
        </w:rPr>
        <w:t>линий радиофикации.</w:t>
      </w:r>
    </w:p>
    <w:p w:rsidR="002D1E45" w:rsidRDefault="002D1E45" w:rsidP="00572B81">
      <w:pPr>
        <w:spacing w:after="0" w:line="240" w:lineRule="auto"/>
        <w:ind w:firstLine="709"/>
        <w:jc w:val="both"/>
        <w:rPr>
          <w:rFonts w:ascii="Times New Roman" w:hAnsi="Times New Roman"/>
          <w:sz w:val="28"/>
          <w:szCs w:val="28"/>
        </w:rPr>
      </w:pPr>
      <w:r w:rsidRPr="005D4CCB">
        <w:rPr>
          <w:rFonts w:ascii="Times New Roman" w:hAnsi="Times New Roman"/>
          <w:sz w:val="28"/>
          <w:szCs w:val="28"/>
        </w:rPr>
        <w:t>В случае если трассы действующих кабельных и</w:t>
      </w:r>
      <w:r>
        <w:rPr>
          <w:rFonts w:ascii="Times New Roman" w:hAnsi="Times New Roman"/>
          <w:sz w:val="28"/>
          <w:szCs w:val="28"/>
        </w:rPr>
        <w:t> </w:t>
      </w:r>
      <w:r w:rsidRPr="005D4CCB">
        <w:rPr>
          <w:rFonts w:ascii="Times New Roman" w:hAnsi="Times New Roman"/>
          <w:sz w:val="28"/>
          <w:szCs w:val="28"/>
        </w:rPr>
        <w:t>воздушных линий связи и</w:t>
      </w:r>
      <w:r>
        <w:rPr>
          <w:rFonts w:ascii="Times New Roman" w:hAnsi="Times New Roman"/>
          <w:sz w:val="28"/>
          <w:szCs w:val="28"/>
        </w:rPr>
        <w:t> </w:t>
      </w:r>
      <w:r w:rsidRPr="005D4CCB">
        <w:rPr>
          <w:rFonts w:ascii="Times New Roman" w:hAnsi="Times New Roman"/>
          <w:sz w:val="28"/>
          <w:szCs w:val="28"/>
        </w:rPr>
        <w:t>линий радиофикации проходят по</w:t>
      </w:r>
      <w:r>
        <w:rPr>
          <w:rFonts w:ascii="Times New Roman" w:hAnsi="Times New Roman"/>
          <w:sz w:val="28"/>
          <w:szCs w:val="28"/>
        </w:rPr>
        <w:t> </w:t>
      </w:r>
      <w:r w:rsidRPr="005D4CCB">
        <w:rPr>
          <w:rFonts w:ascii="Times New Roman" w:hAnsi="Times New Roman"/>
          <w:sz w:val="28"/>
          <w:szCs w:val="28"/>
        </w:rPr>
        <w:t>территориям заповедников, лесов первой группы и</w:t>
      </w:r>
      <w:r>
        <w:rPr>
          <w:rFonts w:ascii="Times New Roman" w:hAnsi="Times New Roman"/>
          <w:sz w:val="28"/>
          <w:szCs w:val="28"/>
        </w:rPr>
        <w:t> </w:t>
      </w:r>
      <w:r w:rsidRPr="005D4CCB">
        <w:rPr>
          <w:rFonts w:ascii="Times New Roman" w:hAnsi="Times New Roman"/>
          <w:sz w:val="28"/>
          <w:szCs w:val="28"/>
        </w:rPr>
        <w:t>другим особо охраняемым территориям, допускается создание просек только при отсутствии снижения функционального значения особо охраняемых участков (места кормёжки редких и</w:t>
      </w:r>
      <w:r>
        <w:rPr>
          <w:rFonts w:ascii="Times New Roman" w:hAnsi="Times New Roman"/>
          <w:sz w:val="28"/>
          <w:szCs w:val="28"/>
        </w:rPr>
        <w:t> </w:t>
      </w:r>
      <w:r w:rsidRPr="005D4CCB">
        <w:rPr>
          <w:rFonts w:ascii="Times New Roman" w:hAnsi="Times New Roman"/>
          <w:sz w:val="28"/>
          <w:szCs w:val="28"/>
        </w:rPr>
        <w:t>исчезающих видов животных, нерестилища ценных пород рыб и</w:t>
      </w:r>
      <w:r>
        <w:rPr>
          <w:rFonts w:ascii="Times New Roman" w:hAnsi="Times New Roman"/>
          <w:sz w:val="28"/>
          <w:szCs w:val="28"/>
        </w:rPr>
        <w:t> </w:t>
      </w:r>
      <w:r w:rsidRPr="005D4CCB">
        <w:rPr>
          <w:rFonts w:ascii="Times New Roman" w:hAnsi="Times New Roman"/>
          <w:sz w:val="28"/>
          <w:szCs w:val="28"/>
        </w:rPr>
        <w:t>т.д.).</w:t>
      </w:r>
    </w:p>
    <w:p w:rsidR="002D1E45" w:rsidRPr="00E64A13" w:rsidRDefault="002D1E45" w:rsidP="00E64A13">
      <w:pPr>
        <w:spacing w:after="0" w:line="240" w:lineRule="auto"/>
        <w:ind w:firstLine="709"/>
        <w:jc w:val="both"/>
        <w:rPr>
          <w:rFonts w:ascii="Times New Roman" w:hAnsi="Times New Roman"/>
          <w:i/>
          <w:sz w:val="28"/>
          <w:szCs w:val="28"/>
          <w:u w:val="single"/>
        </w:rPr>
      </w:pPr>
      <w:r w:rsidRPr="00E64A13">
        <w:rPr>
          <w:rFonts w:ascii="Times New Roman" w:hAnsi="Times New Roman"/>
          <w:i/>
          <w:sz w:val="28"/>
          <w:szCs w:val="28"/>
          <w:u w:val="single"/>
        </w:rPr>
        <w:t xml:space="preserve">Автомобильный транспорт </w:t>
      </w:r>
    </w:p>
    <w:p w:rsidR="002D1E45" w:rsidRPr="00E64A13" w:rsidRDefault="002D1E45" w:rsidP="00E64A13">
      <w:pPr>
        <w:spacing w:after="0" w:line="240" w:lineRule="auto"/>
        <w:ind w:firstLine="709"/>
        <w:jc w:val="both"/>
        <w:rPr>
          <w:rFonts w:ascii="Times New Roman" w:hAnsi="Times New Roman"/>
          <w:bCs/>
          <w:sz w:val="28"/>
          <w:szCs w:val="28"/>
        </w:rPr>
      </w:pPr>
      <w:r w:rsidRPr="00E64A13">
        <w:rPr>
          <w:rFonts w:ascii="Times New Roman" w:hAnsi="Times New Roman"/>
          <w:bCs/>
          <w:sz w:val="28"/>
          <w:szCs w:val="28"/>
        </w:rPr>
        <w:t>Перечень автомобильных дорог общего пользования регионального и</w:t>
      </w:r>
      <w:r>
        <w:rPr>
          <w:rFonts w:ascii="Times New Roman" w:hAnsi="Times New Roman"/>
          <w:bCs/>
          <w:sz w:val="28"/>
          <w:szCs w:val="28"/>
        </w:rPr>
        <w:t> </w:t>
      </w:r>
      <w:r w:rsidRPr="00E64A13">
        <w:rPr>
          <w:rFonts w:ascii="Times New Roman" w:hAnsi="Times New Roman"/>
          <w:bCs/>
          <w:sz w:val="28"/>
          <w:szCs w:val="28"/>
        </w:rPr>
        <w:t>межмуниципального значения, относящихся к</w:t>
      </w:r>
      <w:r>
        <w:rPr>
          <w:rFonts w:ascii="Times New Roman" w:hAnsi="Times New Roman"/>
          <w:bCs/>
          <w:sz w:val="28"/>
          <w:szCs w:val="28"/>
        </w:rPr>
        <w:t> </w:t>
      </w:r>
      <w:r w:rsidRPr="00E64A13">
        <w:rPr>
          <w:rFonts w:ascii="Times New Roman" w:hAnsi="Times New Roman"/>
          <w:bCs/>
          <w:sz w:val="28"/>
          <w:szCs w:val="28"/>
        </w:rPr>
        <w:t xml:space="preserve">государственной собственности Новосибирской области, утверждён </w:t>
      </w:r>
      <w:r w:rsidRPr="00EC2D59">
        <w:rPr>
          <w:rFonts w:ascii="Times New Roman" w:hAnsi="Times New Roman"/>
          <w:bCs/>
          <w:sz w:val="28"/>
          <w:szCs w:val="28"/>
        </w:rPr>
        <w:t>приказом министерства транспорта и</w:t>
      </w:r>
      <w:r>
        <w:rPr>
          <w:rFonts w:ascii="Times New Roman" w:hAnsi="Times New Roman"/>
          <w:bCs/>
          <w:sz w:val="28"/>
          <w:szCs w:val="28"/>
        </w:rPr>
        <w:t> </w:t>
      </w:r>
      <w:r w:rsidRPr="00EC2D59">
        <w:rPr>
          <w:rFonts w:ascii="Times New Roman" w:hAnsi="Times New Roman"/>
          <w:bCs/>
          <w:sz w:val="28"/>
          <w:szCs w:val="28"/>
        </w:rPr>
        <w:t xml:space="preserve">дорожного хозяйства Новосибирской области от </w:t>
      </w:r>
      <w:r w:rsidRPr="003A1899">
        <w:rPr>
          <w:rFonts w:ascii="Times New Roman" w:hAnsi="Times New Roman"/>
          <w:bCs/>
          <w:sz w:val="28"/>
          <w:szCs w:val="28"/>
        </w:rPr>
        <w:t>19.02.2020 № 22</w:t>
      </w:r>
      <w:r w:rsidRPr="00E64A13">
        <w:rPr>
          <w:rFonts w:ascii="Times New Roman" w:hAnsi="Times New Roman"/>
          <w:bCs/>
          <w:sz w:val="28"/>
          <w:szCs w:val="28"/>
        </w:rPr>
        <w:t>.</w:t>
      </w:r>
    </w:p>
    <w:p w:rsidR="002D1E45" w:rsidRPr="00E64A13" w:rsidRDefault="002D1E45" w:rsidP="00E64A13">
      <w:pPr>
        <w:spacing w:after="0" w:line="240" w:lineRule="auto"/>
        <w:ind w:firstLine="709"/>
        <w:jc w:val="both"/>
        <w:rPr>
          <w:rFonts w:ascii="Times New Roman" w:hAnsi="Times New Roman"/>
          <w:sz w:val="28"/>
          <w:szCs w:val="28"/>
        </w:rPr>
      </w:pPr>
      <w:r w:rsidRPr="00E64A13">
        <w:rPr>
          <w:rFonts w:ascii="Times New Roman" w:hAnsi="Times New Roman"/>
          <w:sz w:val="28"/>
          <w:szCs w:val="28"/>
        </w:rPr>
        <w:t>Территории в</w:t>
      </w:r>
      <w:r>
        <w:rPr>
          <w:rFonts w:ascii="Times New Roman" w:hAnsi="Times New Roman"/>
          <w:sz w:val="28"/>
          <w:szCs w:val="28"/>
        </w:rPr>
        <w:t> </w:t>
      </w:r>
      <w:r w:rsidRPr="00E64A13">
        <w:rPr>
          <w:rFonts w:ascii="Times New Roman" w:hAnsi="Times New Roman"/>
          <w:sz w:val="28"/>
          <w:szCs w:val="28"/>
        </w:rPr>
        <w:t>границах отвода сооружений и</w:t>
      </w:r>
      <w:r>
        <w:rPr>
          <w:rFonts w:ascii="Times New Roman" w:hAnsi="Times New Roman"/>
          <w:sz w:val="28"/>
          <w:szCs w:val="28"/>
        </w:rPr>
        <w:t> </w:t>
      </w:r>
      <w:r w:rsidRPr="00E64A13">
        <w:rPr>
          <w:rFonts w:ascii="Times New Roman" w:hAnsi="Times New Roman"/>
          <w:sz w:val="28"/>
          <w:szCs w:val="28"/>
        </w:rPr>
        <w:t>коммуникаций транспорта и</w:t>
      </w:r>
      <w:r>
        <w:rPr>
          <w:rFonts w:ascii="Times New Roman" w:hAnsi="Times New Roman"/>
          <w:sz w:val="28"/>
          <w:szCs w:val="28"/>
        </w:rPr>
        <w:t> </w:t>
      </w:r>
      <w:r w:rsidRPr="00E64A13">
        <w:rPr>
          <w:rFonts w:ascii="Times New Roman" w:hAnsi="Times New Roman"/>
          <w:sz w:val="28"/>
          <w:szCs w:val="28"/>
        </w:rPr>
        <w:t>их</w:t>
      </w:r>
      <w:r>
        <w:rPr>
          <w:rFonts w:ascii="Times New Roman" w:hAnsi="Times New Roman"/>
          <w:sz w:val="28"/>
          <w:szCs w:val="28"/>
        </w:rPr>
        <w:t> </w:t>
      </w:r>
      <w:r w:rsidRPr="00E64A13">
        <w:rPr>
          <w:rFonts w:ascii="Times New Roman" w:hAnsi="Times New Roman"/>
          <w:sz w:val="28"/>
          <w:szCs w:val="28"/>
        </w:rPr>
        <w:t>санитарно-защитных зон подлежат благоустройству с</w:t>
      </w:r>
      <w:r>
        <w:rPr>
          <w:rFonts w:ascii="Times New Roman" w:hAnsi="Times New Roman"/>
          <w:sz w:val="28"/>
          <w:szCs w:val="28"/>
        </w:rPr>
        <w:t> </w:t>
      </w:r>
      <w:r w:rsidRPr="00E64A13">
        <w:rPr>
          <w:rFonts w:ascii="Times New Roman" w:hAnsi="Times New Roman"/>
          <w:sz w:val="28"/>
          <w:szCs w:val="28"/>
        </w:rPr>
        <w:t>учётом технических и</w:t>
      </w:r>
      <w:r>
        <w:rPr>
          <w:rFonts w:ascii="Times New Roman" w:hAnsi="Times New Roman"/>
          <w:sz w:val="28"/>
          <w:szCs w:val="28"/>
        </w:rPr>
        <w:t> </w:t>
      </w:r>
      <w:r w:rsidRPr="00E64A13">
        <w:rPr>
          <w:rFonts w:ascii="Times New Roman" w:hAnsi="Times New Roman"/>
          <w:sz w:val="28"/>
          <w:szCs w:val="28"/>
        </w:rPr>
        <w:t>эксплуатационных характеристик таких сооружений и</w:t>
      </w:r>
      <w:r>
        <w:rPr>
          <w:rFonts w:ascii="Times New Roman" w:hAnsi="Times New Roman"/>
          <w:sz w:val="28"/>
          <w:szCs w:val="28"/>
        </w:rPr>
        <w:t> </w:t>
      </w:r>
      <w:r w:rsidRPr="00E64A13">
        <w:rPr>
          <w:rFonts w:ascii="Times New Roman" w:hAnsi="Times New Roman"/>
          <w:sz w:val="28"/>
          <w:szCs w:val="28"/>
        </w:rPr>
        <w:t>коммуникаций.</w:t>
      </w:r>
    </w:p>
    <w:p w:rsidR="002D1E45" w:rsidRPr="00E64A13" w:rsidRDefault="002D1E45" w:rsidP="00E64A13">
      <w:pPr>
        <w:spacing w:after="0" w:line="240" w:lineRule="auto"/>
        <w:ind w:firstLine="709"/>
        <w:jc w:val="both"/>
        <w:rPr>
          <w:rFonts w:ascii="Times New Roman" w:hAnsi="Times New Roman"/>
          <w:sz w:val="28"/>
          <w:szCs w:val="28"/>
        </w:rPr>
      </w:pPr>
      <w:r w:rsidRPr="00E64A13">
        <w:rPr>
          <w:rFonts w:ascii="Times New Roman" w:hAnsi="Times New Roman"/>
          <w:sz w:val="28"/>
          <w:szCs w:val="28"/>
        </w:rPr>
        <w:t>Для защиты жилой застройки от</w:t>
      </w:r>
      <w:r>
        <w:rPr>
          <w:rFonts w:ascii="Times New Roman" w:hAnsi="Times New Roman"/>
          <w:sz w:val="28"/>
          <w:szCs w:val="28"/>
        </w:rPr>
        <w:t> </w:t>
      </w:r>
      <w:r w:rsidRPr="00E64A13">
        <w:rPr>
          <w:rFonts w:ascii="Times New Roman" w:hAnsi="Times New Roman"/>
          <w:sz w:val="28"/>
          <w:szCs w:val="28"/>
        </w:rPr>
        <w:t>шума и</w:t>
      </w:r>
      <w:r>
        <w:rPr>
          <w:rFonts w:ascii="Times New Roman" w:hAnsi="Times New Roman"/>
          <w:sz w:val="28"/>
          <w:szCs w:val="28"/>
        </w:rPr>
        <w:t> </w:t>
      </w:r>
      <w:r w:rsidRPr="00E64A13">
        <w:rPr>
          <w:rFonts w:ascii="Times New Roman" w:hAnsi="Times New Roman"/>
          <w:sz w:val="28"/>
          <w:szCs w:val="28"/>
        </w:rPr>
        <w:t>выхлопных газов автомобилей следует предусматривать вдоль дороги полосу зелёных насаждений шириной не</w:t>
      </w:r>
      <w:r>
        <w:rPr>
          <w:rFonts w:ascii="Times New Roman" w:hAnsi="Times New Roman"/>
          <w:sz w:val="28"/>
          <w:szCs w:val="28"/>
        </w:rPr>
        <w:t> </w:t>
      </w:r>
      <w:r w:rsidRPr="00E64A13">
        <w:rPr>
          <w:rFonts w:ascii="Times New Roman" w:hAnsi="Times New Roman"/>
          <w:sz w:val="28"/>
          <w:szCs w:val="28"/>
        </w:rPr>
        <w:t>менее 10 м.</w:t>
      </w:r>
    </w:p>
    <w:p w:rsidR="002D1E45" w:rsidRDefault="002D1E45" w:rsidP="00E64A13">
      <w:pPr>
        <w:spacing w:after="0" w:line="240" w:lineRule="auto"/>
        <w:ind w:firstLine="709"/>
        <w:jc w:val="both"/>
        <w:rPr>
          <w:rFonts w:ascii="Times New Roman" w:hAnsi="Times New Roman"/>
          <w:sz w:val="28"/>
          <w:szCs w:val="28"/>
        </w:rPr>
      </w:pPr>
      <w:r w:rsidRPr="00E64A13">
        <w:rPr>
          <w:rFonts w:ascii="Times New Roman" w:hAnsi="Times New Roman"/>
          <w:sz w:val="28"/>
          <w:szCs w:val="28"/>
        </w:rPr>
        <w:t>Согласно Федерального закона от 08.11.2007 № 257-ФЗ «Об автомобильных дорогах и</w:t>
      </w:r>
      <w:r>
        <w:rPr>
          <w:rFonts w:ascii="Times New Roman" w:hAnsi="Times New Roman"/>
          <w:sz w:val="28"/>
          <w:szCs w:val="28"/>
        </w:rPr>
        <w:t> </w:t>
      </w:r>
      <w:r w:rsidRPr="00E64A13">
        <w:rPr>
          <w:rFonts w:ascii="Times New Roman" w:hAnsi="Times New Roman"/>
          <w:sz w:val="28"/>
          <w:szCs w:val="28"/>
        </w:rPr>
        <w:t>о</w:t>
      </w:r>
      <w:r>
        <w:rPr>
          <w:rFonts w:ascii="Times New Roman" w:hAnsi="Times New Roman"/>
          <w:sz w:val="28"/>
          <w:szCs w:val="28"/>
        </w:rPr>
        <w:t> </w:t>
      </w:r>
      <w:r w:rsidRPr="00E64A13">
        <w:rPr>
          <w:rFonts w:ascii="Times New Roman" w:hAnsi="Times New Roman"/>
          <w:sz w:val="28"/>
          <w:szCs w:val="28"/>
        </w:rPr>
        <w:t>дорожной деятельности в</w:t>
      </w:r>
      <w:r>
        <w:rPr>
          <w:rFonts w:ascii="Times New Roman" w:hAnsi="Times New Roman"/>
          <w:sz w:val="28"/>
          <w:szCs w:val="28"/>
        </w:rPr>
        <w:t> </w:t>
      </w:r>
      <w:r w:rsidRPr="00E64A13">
        <w:rPr>
          <w:rFonts w:ascii="Times New Roman" w:hAnsi="Times New Roman"/>
          <w:sz w:val="28"/>
          <w:szCs w:val="28"/>
        </w:rPr>
        <w:t>Российской Федерации и</w:t>
      </w:r>
      <w:r>
        <w:rPr>
          <w:rFonts w:ascii="Times New Roman" w:hAnsi="Times New Roman"/>
          <w:sz w:val="28"/>
          <w:szCs w:val="28"/>
        </w:rPr>
        <w:t> </w:t>
      </w:r>
      <w:r w:rsidRPr="00E64A13">
        <w:rPr>
          <w:rFonts w:ascii="Times New Roman" w:hAnsi="Times New Roman"/>
          <w:sz w:val="28"/>
          <w:szCs w:val="28"/>
        </w:rPr>
        <w:t>о</w:t>
      </w:r>
      <w:r>
        <w:rPr>
          <w:rFonts w:ascii="Times New Roman" w:hAnsi="Times New Roman"/>
          <w:sz w:val="28"/>
          <w:szCs w:val="28"/>
        </w:rPr>
        <w:t> </w:t>
      </w:r>
      <w:r w:rsidRPr="00E64A13">
        <w:rPr>
          <w:rFonts w:ascii="Times New Roman" w:hAnsi="Times New Roman"/>
          <w:sz w:val="28"/>
          <w:szCs w:val="28"/>
        </w:rPr>
        <w:t>внесении изменений в</w:t>
      </w:r>
      <w:r>
        <w:rPr>
          <w:rFonts w:ascii="Times New Roman" w:hAnsi="Times New Roman"/>
          <w:sz w:val="28"/>
          <w:szCs w:val="28"/>
        </w:rPr>
        <w:t> </w:t>
      </w:r>
      <w:r w:rsidRPr="00E64A13">
        <w:rPr>
          <w:rFonts w:ascii="Times New Roman" w:hAnsi="Times New Roman"/>
          <w:sz w:val="28"/>
          <w:szCs w:val="28"/>
        </w:rPr>
        <w:t>отдельные законодательные акты Российской Федерации», в</w:t>
      </w:r>
      <w:r>
        <w:rPr>
          <w:rFonts w:ascii="Times New Roman" w:hAnsi="Times New Roman"/>
          <w:sz w:val="28"/>
          <w:szCs w:val="28"/>
        </w:rPr>
        <w:t> </w:t>
      </w:r>
      <w:r w:rsidRPr="00E64A13">
        <w:rPr>
          <w:rFonts w:ascii="Times New Roman" w:hAnsi="Times New Roman"/>
          <w:sz w:val="28"/>
          <w:szCs w:val="28"/>
        </w:rPr>
        <w:t>зависимости от</w:t>
      </w:r>
      <w:r>
        <w:rPr>
          <w:rFonts w:ascii="Times New Roman" w:hAnsi="Times New Roman"/>
          <w:sz w:val="28"/>
          <w:szCs w:val="28"/>
        </w:rPr>
        <w:t> </w:t>
      </w:r>
      <w:r w:rsidRPr="00E64A13">
        <w:rPr>
          <w:rFonts w:ascii="Times New Roman" w:hAnsi="Times New Roman"/>
          <w:sz w:val="28"/>
          <w:szCs w:val="28"/>
        </w:rPr>
        <w:t>класса и (или) категории автомобильных дорог с</w:t>
      </w:r>
      <w:r>
        <w:rPr>
          <w:rFonts w:ascii="Times New Roman" w:hAnsi="Times New Roman"/>
          <w:sz w:val="28"/>
          <w:szCs w:val="28"/>
        </w:rPr>
        <w:t> </w:t>
      </w:r>
      <w:r w:rsidRPr="00E64A13">
        <w:rPr>
          <w:rFonts w:ascii="Times New Roman" w:hAnsi="Times New Roman"/>
          <w:sz w:val="28"/>
          <w:szCs w:val="28"/>
        </w:rPr>
        <w:t>учётом перспектив их</w:t>
      </w:r>
      <w:r>
        <w:rPr>
          <w:rFonts w:ascii="Times New Roman" w:hAnsi="Times New Roman"/>
          <w:sz w:val="28"/>
          <w:szCs w:val="28"/>
        </w:rPr>
        <w:t> </w:t>
      </w:r>
      <w:r w:rsidRPr="00E64A13">
        <w:rPr>
          <w:rFonts w:ascii="Times New Roman" w:hAnsi="Times New Roman"/>
          <w:sz w:val="28"/>
          <w:szCs w:val="28"/>
        </w:rPr>
        <w:t>развития ширина каждой придорожной полосы устанавливается в</w:t>
      </w:r>
      <w:r>
        <w:rPr>
          <w:rFonts w:ascii="Times New Roman" w:hAnsi="Times New Roman"/>
          <w:sz w:val="28"/>
          <w:szCs w:val="28"/>
        </w:rPr>
        <w:t> </w:t>
      </w:r>
      <w:r w:rsidRPr="00E64A13">
        <w:rPr>
          <w:rFonts w:ascii="Times New Roman" w:hAnsi="Times New Roman"/>
          <w:sz w:val="28"/>
          <w:szCs w:val="28"/>
        </w:rPr>
        <w:t>размере:</w:t>
      </w:r>
    </w:p>
    <w:p w:rsidR="002D1E45" w:rsidRPr="00E64A13" w:rsidRDefault="002D1E45" w:rsidP="00D05D06">
      <w:pPr>
        <w:numPr>
          <w:ilvl w:val="0"/>
          <w:numId w:val="70"/>
        </w:numPr>
        <w:spacing w:after="0" w:line="240" w:lineRule="auto"/>
        <w:contextualSpacing/>
        <w:jc w:val="both"/>
        <w:rPr>
          <w:rFonts w:ascii="Times New Roman" w:hAnsi="Times New Roman"/>
          <w:sz w:val="28"/>
          <w:szCs w:val="28"/>
        </w:rPr>
      </w:pPr>
      <w:r>
        <w:rPr>
          <w:rFonts w:ascii="Times New Roman" w:hAnsi="Times New Roman"/>
          <w:sz w:val="28"/>
          <w:szCs w:val="28"/>
        </w:rPr>
        <w:t>75</w:t>
      </w:r>
      <w:r w:rsidRPr="00E64A13">
        <w:rPr>
          <w:rFonts w:ascii="Times New Roman" w:hAnsi="Times New Roman"/>
          <w:sz w:val="28"/>
          <w:szCs w:val="28"/>
        </w:rPr>
        <w:t xml:space="preserve"> метров </w:t>
      </w:r>
      <w:r>
        <w:rPr>
          <w:rFonts w:ascii="Times New Roman" w:hAnsi="Times New Roman"/>
          <w:sz w:val="28"/>
          <w:szCs w:val="28"/>
        </w:rPr>
        <w:t>–</w:t>
      </w:r>
      <w:r w:rsidRPr="00E64A13">
        <w:rPr>
          <w:rFonts w:ascii="Times New Roman" w:hAnsi="Times New Roman"/>
          <w:sz w:val="28"/>
          <w:szCs w:val="28"/>
        </w:rPr>
        <w:t xml:space="preserve"> </w:t>
      </w:r>
      <w:r w:rsidRPr="003A1899">
        <w:rPr>
          <w:rFonts w:ascii="Times New Roman" w:hAnsi="Times New Roman"/>
          <w:sz w:val="28"/>
          <w:szCs w:val="28"/>
        </w:rPr>
        <w:t>для автомобильных дорог первой и второй категорий</w:t>
      </w:r>
      <w:r w:rsidRPr="00E64A13">
        <w:rPr>
          <w:rFonts w:ascii="Times New Roman" w:hAnsi="Times New Roman"/>
          <w:sz w:val="28"/>
          <w:szCs w:val="28"/>
        </w:rPr>
        <w:t>;</w:t>
      </w:r>
    </w:p>
    <w:p w:rsidR="002D1E45" w:rsidRPr="00E64A13" w:rsidRDefault="002D1E45" w:rsidP="00D05D06">
      <w:pPr>
        <w:numPr>
          <w:ilvl w:val="0"/>
          <w:numId w:val="70"/>
        </w:numPr>
        <w:spacing w:after="0" w:line="240" w:lineRule="auto"/>
        <w:contextualSpacing/>
        <w:jc w:val="both"/>
        <w:rPr>
          <w:rFonts w:ascii="Times New Roman" w:hAnsi="Times New Roman"/>
          <w:sz w:val="28"/>
          <w:szCs w:val="28"/>
        </w:rPr>
      </w:pPr>
      <w:r w:rsidRPr="00E64A13">
        <w:rPr>
          <w:rFonts w:ascii="Times New Roman" w:hAnsi="Times New Roman"/>
          <w:sz w:val="28"/>
          <w:szCs w:val="28"/>
        </w:rPr>
        <w:t xml:space="preserve">50 метров </w:t>
      </w:r>
      <w:r>
        <w:rPr>
          <w:rFonts w:ascii="Times New Roman" w:hAnsi="Times New Roman"/>
          <w:sz w:val="28"/>
          <w:szCs w:val="28"/>
        </w:rPr>
        <w:t>–</w:t>
      </w:r>
      <w:r w:rsidRPr="00E64A13">
        <w:rPr>
          <w:rFonts w:ascii="Times New Roman" w:hAnsi="Times New Roman"/>
          <w:sz w:val="28"/>
          <w:szCs w:val="28"/>
        </w:rPr>
        <w:t xml:space="preserve"> для автомобильных дорог третьей и</w:t>
      </w:r>
      <w:r>
        <w:rPr>
          <w:rFonts w:ascii="Times New Roman" w:hAnsi="Times New Roman"/>
          <w:sz w:val="28"/>
          <w:szCs w:val="28"/>
        </w:rPr>
        <w:t> </w:t>
      </w:r>
      <w:r w:rsidRPr="00E64A13">
        <w:rPr>
          <w:rFonts w:ascii="Times New Roman" w:hAnsi="Times New Roman"/>
          <w:sz w:val="28"/>
          <w:szCs w:val="28"/>
        </w:rPr>
        <w:t>четвертой категорий;</w:t>
      </w:r>
    </w:p>
    <w:p w:rsidR="002D1E45" w:rsidRPr="00E64A13" w:rsidRDefault="002D1E45" w:rsidP="00D05D06">
      <w:pPr>
        <w:numPr>
          <w:ilvl w:val="0"/>
          <w:numId w:val="70"/>
        </w:numPr>
        <w:spacing w:after="0" w:line="240" w:lineRule="auto"/>
        <w:contextualSpacing/>
        <w:jc w:val="both"/>
        <w:rPr>
          <w:rFonts w:ascii="Times New Roman" w:hAnsi="Times New Roman"/>
          <w:sz w:val="28"/>
          <w:szCs w:val="28"/>
        </w:rPr>
      </w:pPr>
      <w:r w:rsidRPr="00E64A13">
        <w:rPr>
          <w:rFonts w:ascii="Times New Roman" w:hAnsi="Times New Roman"/>
          <w:sz w:val="28"/>
          <w:szCs w:val="28"/>
        </w:rPr>
        <w:t xml:space="preserve">25 метров </w:t>
      </w:r>
      <w:r>
        <w:rPr>
          <w:rFonts w:ascii="Times New Roman" w:hAnsi="Times New Roman"/>
          <w:sz w:val="28"/>
          <w:szCs w:val="28"/>
        </w:rPr>
        <w:t>–</w:t>
      </w:r>
      <w:r w:rsidRPr="00E64A13">
        <w:rPr>
          <w:rFonts w:ascii="Times New Roman" w:hAnsi="Times New Roman"/>
          <w:sz w:val="28"/>
          <w:szCs w:val="28"/>
        </w:rPr>
        <w:t xml:space="preserve"> для автомобильных дорог пятой категории;</w:t>
      </w:r>
    </w:p>
    <w:p w:rsidR="002D1E45" w:rsidRPr="00E64A13" w:rsidRDefault="002D1E45" w:rsidP="00E64A13">
      <w:pPr>
        <w:spacing w:after="0" w:line="240" w:lineRule="auto"/>
        <w:ind w:firstLine="709"/>
        <w:jc w:val="both"/>
        <w:rPr>
          <w:rFonts w:ascii="Times New Roman" w:hAnsi="Times New Roman"/>
          <w:i/>
          <w:sz w:val="28"/>
          <w:szCs w:val="28"/>
          <w:u w:val="single"/>
        </w:rPr>
      </w:pPr>
      <w:r w:rsidRPr="00E64A13">
        <w:rPr>
          <w:rFonts w:ascii="Times New Roman" w:hAnsi="Times New Roman"/>
          <w:i/>
          <w:sz w:val="28"/>
          <w:szCs w:val="28"/>
          <w:u w:val="single"/>
        </w:rPr>
        <w:t>Скотомогильники</w:t>
      </w:r>
    </w:p>
    <w:p w:rsidR="002D1E45" w:rsidRPr="00E64A13" w:rsidRDefault="002D1E45" w:rsidP="00E64A13">
      <w:pPr>
        <w:spacing w:after="0" w:line="240" w:lineRule="auto"/>
        <w:ind w:firstLine="709"/>
        <w:jc w:val="both"/>
        <w:rPr>
          <w:rFonts w:ascii="Times New Roman" w:hAnsi="Times New Roman"/>
          <w:sz w:val="28"/>
          <w:szCs w:val="28"/>
        </w:rPr>
      </w:pPr>
      <w:r w:rsidRPr="00E64A13">
        <w:rPr>
          <w:rFonts w:ascii="Times New Roman" w:hAnsi="Times New Roman"/>
          <w:sz w:val="28"/>
          <w:szCs w:val="28"/>
        </w:rPr>
        <w:t>Санитарно-эпидемиологические требования к</w:t>
      </w:r>
      <w:r>
        <w:rPr>
          <w:rFonts w:ascii="Times New Roman" w:hAnsi="Times New Roman"/>
          <w:sz w:val="28"/>
          <w:szCs w:val="28"/>
        </w:rPr>
        <w:t> </w:t>
      </w:r>
      <w:r w:rsidRPr="00E64A13">
        <w:rPr>
          <w:rFonts w:ascii="Times New Roman" w:hAnsi="Times New Roman"/>
          <w:sz w:val="28"/>
          <w:szCs w:val="28"/>
        </w:rPr>
        <w:t>скотомогильникам регламентируются положениями СанПиН 2.2.1/2.1.1.1200-03 «Санитарно-защитные зоны и</w:t>
      </w:r>
      <w:r>
        <w:rPr>
          <w:rFonts w:ascii="Times New Roman" w:hAnsi="Times New Roman"/>
          <w:sz w:val="28"/>
          <w:szCs w:val="28"/>
        </w:rPr>
        <w:t> </w:t>
      </w:r>
      <w:r w:rsidRPr="00E64A13">
        <w:rPr>
          <w:rFonts w:ascii="Times New Roman" w:hAnsi="Times New Roman"/>
          <w:sz w:val="28"/>
          <w:szCs w:val="28"/>
        </w:rPr>
        <w:t>санитарная классификация предприятий, сооружений и</w:t>
      </w:r>
      <w:r>
        <w:rPr>
          <w:rFonts w:ascii="Times New Roman" w:hAnsi="Times New Roman"/>
          <w:sz w:val="28"/>
          <w:szCs w:val="28"/>
        </w:rPr>
        <w:t> </w:t>
      </w:r>
      <w:r w:rsidRPr="00E64A13">
        <w:rPr>
          <w:rFonts w:ascii="Times New Roman" w:hAnsi="Times New Roman"/>
          <w:sz w:val="28"/>
          <w:szCs w:val="28"/>
        </w:rPr>
        <w:t>иных объектов», СП 3.1.7.2629 -10 «Профилактика сибирской язвы».</w:t>
      </w:r>
    </w:p>
    <w:p w:rsidR="002D1E45" w:rsidRPr="00E64A13" w:rsidRDefault="002D1E45" w:rsidP="00E64A13">
      <w:pPr>
        <w:spacing w:after="0" w:line="240" w:lineRule="auto"/>
        <w:ind w:firstLine="709"/>
        <w:jc w:val="both"/>
        <w:rPr>
          <w:rFonts w:ascii="Times New Roman" w:hAnsi="Times New Roman"/>
          <w:sz w:val="28"/>
          <w:szCs w:val="28"/>
        </w:rPr>
      </w:pPr>
      <w:r w:rsidRPr="00E64A13">
        <w:rPr>
          <w:rFonts w:ascii="Times New Roman" w:hAnsi="Times New Roman"/>
          <w:sz w:val="28"/>
          <w:szCs w:val="28"/>
        </w:rPr>
        <w:t>В соответствии с</w:t>
      </w:r>
      <w:r>
        <w:rPr>
          <w:rFonts w:ascii="Times New Roman" w:hAnsi="Times New Roman"/>
          <w:sz w:val="28"/>
          <w:szCs w:val="28"/>
        </w:rPr>
        <w:t> </w:t>
      </w:r>
      <w:r w:rsidRPr="00E64A13">
        <w:rPr>
          <w:rFonts w:ascii="Times New Roman" w:hAnsi="Times New Roman"/>
          <w:sz w:val="28"/>
          <w:szCs w:val="28"/>
        </w:rPr>
        <w:t>требованиями указанных санитарно-эпидемиологических правил и</w:t>
      </w:r>
      <w:r>
        <w:rPr>
          <w:rFonts w:ascii="Times New Roman" w:hAnsi="Times New Roman"/>
          <w:sz w:val="28"/>
          <w:szCs w:val="28"/>
        </w:rPr>
        <w:t> </w:t>
      </w:r>
      <w:r w:rsidRPr="00E64A13">
        <w:rPr>
          <w:rFonts w:ascii="Times New Roman" w:hAnsi="Times New Roman"/>
          <w:sz w:val="28"/>
          <w:szCs w:val="28"/>
        </w:rPr>
        <w:t>нормативов: ориентировочный размер санитарно-защитной зоны (далее – СЗЗ) для скотомогильников с</w:t>
      </w:r>
      <w:r>
        <w:rPr>
          <w:rFonts w:ascii="Times New Roman" w:hAnsi="Times New Roman"/>
          <w:sz w:val="28"/>
          <w:szCs w:val="28"/>
        </w:rPr>
        <w:t> </w:t>
      </w:r>
      <w:r w:rsidRPr="00E64A13">
        <w:rPr>
          <w:rFonts w:ascii="Times New Roman" w:hAnsi="Times New Roman"/>
          <w:sz w:val="28"/>
          <w:szCs w:val="28"/>
        </w:rPr>
        <w:t>захоронениями в</w:t>
      </w:r>
      <w:r>
        <w:rPr>
          <w:rFonts w:ascii="Times New Roman" w:hAnsi="Times New Roman"/>
          <w:sz w:val="28"/>
          <w:szCs w:val="28"/>
        </w:rPr>
        <w:t> </w:t>
      </w:r>
      <w:r w:rsidRPr="00E64A13">
        <w:rPr>
          <w:rFonts w:ascii="Times New Roman" w:hAnsi="Times New Roman"/>
          <w:sz w:val="28"/>
          <w:szCs w:val="28"/>
        </w:rPr>
        <w:t>ямах в</w:t>
      </w:r>
      <w:r>
        <w:rPr>
          <w:rFonts w:ascii="Times New Roman" w:hAnsi="Times New Roman"/>
          <w:sz w:val="28"/>
          <w:szCs w:val="28"/>
        </w:rPr>
        <w:t> </w:t>
      </w:r>
      <w:r w:rsidRPr="00E64A13">
        <w:rPr>
          <w:rFonts w:ascii="Times New Roman" w:hAnsi="Times New Roman"/>
          <w:sz w:val="28"/>
          <w:szCs w:val="28"/>
        </w:rPr>
        <w:t>соответствии с</w:t>
      </w:r>
      <w:r>
        <w:rPr>
          <w:rFonts w:ascii="Times New Roman" w:hAnsi="Times New Roman"/>
          <w:sz w:val="28"/>
          <w:szCs w:val="28"/>
        </w:rPr>
        <w:t> </w:t>
      </w:r>
      <w:r w:rsidRPr="00E64A13">
        <w:rPr>
          <w:rFonts w:ascii="Times New Roman" w:hAnsi="Times New Roman"/>
          <w:sz w:val="28"/>
          <w:szCs w:val="28"/>
        </w:rPr>
        <w:t>разделом 7.1.12, класс I, п.3 СанПиН 2.2.1./2.1.1.1200-03 составляет 1000 м (объект I</w:t>
      </w:r>
      <w:r>
        <w:rPr>
          <w:rFonts w:ascii="Times New Roman" w:hAnsi="Times New Roman"/>
          <w:sz w:val="28"/>
          <w:szCs w:val="28"/>
        </w:rPr>
        <w:t> </w:t>
      </w:r>
      <w:r w:rsidRPr="00E64A13">
        <w:rPr>
          <w:rFonts w:ascii="Times New Roman" w:hAnsi="Times New Roman"/>
          <w:sz w:val="28"/>
          <w:szCs w:val="28"/>
        </w:rPr>
        <w:t>класса опасности). СЗЗ для скотомогильника с</w:t>
      </w:r>
      <w:r>
        <w:rPr>
          <w:rFonts w:ascii="Times New Roman" w:hAnsi="Times New Roman"/>
          <w:sz w:val="28"/>
          <w:szCs w:val="28"/>
        </w:rPr>
        <w:t> </w:t>
      </w:r>
      <w:r w:rsidRPr="00E64A13">
        <w:rPr>
          <w:rFonts w:ascii="Times New Roman" w:hAnsi="Times New Roman"/>
          <w:sz w:val="28"/>
          <w:szCs w:val="28"/>
        </w:rPr>
        <w:t>биологическими камерами – 500 м (</w:t>
      </w:r>
      <w:r w:rsidRPr="00E64A13">
        <w:rPr>
          <w:rFonts w:ascii="Times New Roman" w:hAnsi="Times New Roman"/>
          <w:sz w:val="28"/>
          <w:szCs w:val="28"/>
          <w:lang w:val="en-US"/>
        </w:rPr>
        <w:t>II</w:t>
      </w:r>
      <w:r w:rsidRPr="00E64A13">
        <w:rPr>
          <w:rFonts w:ascii="Times New Roman" w:hAnsi="Times New Roman"/>
          <w:sz w:val="28"/>
          <w:szCs w:val="28"/>
        </w:rPr>
        <w:t xml:space="preserve"> класс).</w:t>
      </w:r>
    </w:p>
    <w:p w:rsidR="002D1E45" w:rsidRPr="00E64A13" w:rsidRDefault="002D1E45" w:rsidP="00E64A13">
      <w:pPr>
        <w:spacing w:after="0" w:line="240" w:lineRule="auto"/>
        <w:ind w:firstLine="709"/>
        <w:jc w:val="both"/>
        <w:rPr>
          <w:rFonts w:ascii="Times New Roman" w:hAnsi="Times New Roman"/>
          <w:sz w:val="28"/>
          <w:szCs w:val="28"/>
        </w:rPr>
      </w:pPr>
      <w:r w:rsidRPr="00E64A13">
        <w:rPr>
          <w:rFonts w:ascii="Times New Roman" w:hAnsi="Times New Roman"/>
          <w:sz w:val="28"/>
          <w:szCs w:val="28"/>
        </w:rPr>
        <w:t>Размер санитарно-защитной зоны от</w:t>
      </w:r>
      <w:r>
        <w:rPr>
          <w:rFonts w:ascii="Times New Roman" w:hAnsi="Times New Roman"/>
          <w:sz w:val="28"/>
          <w:szCs w:val="28"/>
        </w:rPr>
        <w:t> </w:t>
      </w:r>
      <w:r w:rsidRPr="00E64A13">
        <w:rPr>
          <w:rFonts w:ascii="Times New Roman" w:hAnsi="Times New Roman"/>
          <w:sz w:val="28"/>
          <w:szCs w:val="28"/>
        </w:rPr>
        <w:t>скотомогильника (биотермической ямы) до:</w:t>
      </w:r>
    </w:p>
    <w:p w:rsidR="002D1E45" w:rsidRPr="00E64A13" w:rsidRDefault="002D1E45" w:rsidP="00852938">
      <w:pPr>
        <w:numPr>
          <w:ilvl w:val="0"/>
          <w:numId w:val="24"/>
        </w:numPr>
        <w:tabs>
          <w:tab w:val="num" w:pos="1068"/>
        </w:tabs>
        <w:spacing w:after="0" w:line="240" w:lineRule="auto"/>
        <w:jc w:val="both"/>
        <w:rPr>
          <w:rFonts w:ascii="Times New Roman" w:hAnsi="Times New Roman"/>
          <w:sz w:val="28"/>
          <w:szCs w:val="28"/>
        </w:rPr>
      </w:pPr>
      <w:r w:rsidRPr="00E64A13">
        <w:rPr>
          <w:rFonts w:ascii="Times New Roman" w:hAnsi="Times New Roman"/>
          <w:sz w:val="28"/>
          <w:szCs w:val="28"/>
        </w:rPr>
        <w:t>жилых, общественных зданий, животноводческих ферм (комплексов) - 1000 м;</w:t>
      </w:r>
    </w:p>
    <w:p w:rsidR="002D1E45" w:rsidRPr="00E64A13" w:rsidRDefault="002D1E45" w:rsidP="00852938">
      <w:pPr>
        <w:numPr>
          <w:ilvl w:val="0"/>
          <w:numId w:val="24"/>
        </w:numPr>
        <w:tabs>
          <w:tab w:val="num" w:pos="1068"/>
        </w:tabs>
        <w:spacing w:after="0" w:line="240" w:lineRule="auto"/>
        <w:jc w:val="both"/>
        <w:rPr>
          <w:rFonts w:ascii="Times New Roman" w:hAnsi="Times New Roman"/>
          <w:sz w:val="28"/>
          <w:szCs w:val="28"/>
        </w:rPr>
      </w:pPr>
      <w:r w:rsidRPr="00E64A13">
        <w:rPr>
          <w:rFonts w:ascii="Times New Roman" w:hAnsi="Times New Roman"/>
          <w:sz w:val="28"/>
          <w:szCs w:val="28"/>
        </w:rPr>
        <w:t>скотопрогонов и</w:t>
      </w:r>
      <w:r>
        <w:rPr>
          <w:rFonts w:ascii="Times New Roman" w:hAnsi="Times New Roman"/>
          <w:sz w:val="28"/>
          <w:szCs w:val="28"/>
        </w:rPr>
        <w:t> </w:t>
      </w:r>
      <w:r w:rsidRPr="00E64A13">
        <w:rPr>
          <w:rFonts w:ascii="Times New Roman" w:hAnsi="Times New Roman"/>
          <w:sz w:val="28"/>
          <w:szCs w:val="28"/>
        </w:rPr>
        <w:t xml:space="preserve">пастбищ </w:t>
      </w:r>
      <w:r>
        <w:rPr>
          <w:rFonts w:ascii="Times New Roman" w:hAnsi="Times New Roman"/>
          <w:sz w:val="28"/>
          <w:szCs w:val="28"/>
        </w:rPr>
        <w:t>–</w:t>
      </w:r>
      <w:r w:rsidRPr="00E64A13">
        <w:rPr>
          <w:rFonts w:ascii="Times New Roman" w:hAnsi="Times New Roman"/>
          <w:sz w:val="28"/>
          <w:szCs w:val="28"/>
        </w:rPr>
        <w:t xml:space="preserve"> 200 м;</w:t>
      </w:r>
    </w:p>
    <w:p w:rsidR="002D1E45" w:rsidRPr="00E64A13" w:rsidRDefault="002D1E45" w:rsidP="00852938">
      <w:pPr>
        <w:numPr>
          <w:ilvl w:val="0"/>
          <w:numId w:val="24"/>
        </w:numPr>
        <w:tabs>
          <w:tab w:val="num" w:pos="1068"/>
        </w:tabs>
        <w:spacing w:after="0" w:line="240" w:lineRule="auto"/>
        <w:jc w:val="both"/>
        <w:rPr>
          <w:rFonts w:ascii="Times New Roman" w:hAnsi="Times New Roman"/>
          <w:sz w:val="28"/>
          <w:szCs w:val="28"/>
        </w:rPr>
      </w:pPr>
      <w:r w:rsidRPr="00E64A13">
        <w:rPr>
          <w:rFonts w:ascii="Times New Roman" w:hAnsi="Times New Roman"/>
          <w:sz w:val="28"/>
          <w:szCs w:val="28"/>
        </w:rPr>
        <w:t>автомобильных, железных дорог в</w:t>
      </w:r>
      <w:r>
        <w:rPr>
          <w:rFonts w:ascii="Times New Roman" w:hAnsi="Times New Roman"/>
          <w:sz w:val="28"/>
          <w:szCs w:val="28"/>
        </w:rPr>
        <w:t> </w:t>
      </w:r>
      <w:r w:rsidRPr="00E64A13">
        <w:rPr>
          <w:rFonts w:ascii="Times New Roman" w:hAnsi="Times New Roman"/>
          <w:sz w:val="28"/>
          <w:szCs w:val="28"/>
        </w:rPr>
        <w:t>зависимости от</w:t>
      </w:r>
      <w:r>
        <w:rPr>
          <w:rFonts w:ascii="Times New Roman" w:hAnsi="Times New Roman"/>
          <w:sz w:val="28"/>
          <w:szCs w:val="28"/>
        </w:rPr>
        <w:t> </w:t>
      </w:r>
      <w:r w:rsidRPr="00E64A13">
        <w:rPr>
          <w:rFonts w:ascii="Times New Roman" w:hAnsi="Times New Roman"/>
          <w:sz w:val="28"/>
          <w:szCs w:val="28"/>
        </w:rPr>
        <w:t>их</w:t>
      </w:r>
      <w:r>
        <w:rPr>
          <w:rFonts w:ascii="Times New Roman" w:hAnsi="Times New Roman"/>
          <w:sz w:val="28"/>
          <w:szCs w:val="28"/>
        </w:rPr>
        <w:t> </w:t>
      </w:r>
      <w:r w:rsidRPr="00E64A13">
        <w:rPr>
          <w:rFonts w:ascii="Times New Roman" w:hAnsi="Times New Roman"/>
          <w:sz w:val="28"/>
          <w:szCs w:val="28"/>
        </w:rPr>
        <w:t>категории – 50</w:t>
      </w:r>
      <w:r w:rsidRPr="00E64A13">
        <w:rPr>
          <w:rFonts w:ascii="Times New Roman" w:hAnsi="Times New Roman"/>
          <w:sz w:val="28"/>
          <w:szCs w:val="28"/>
        </w:rPr>
        <w:noBreakHyphen/>
        <w:t>300 м.</w:t>
      </w:r>
    </w:p>
    <w:p w:rsidR="002D1E45" w:rsidRPr="00E64A13" w:rsidRDefault="002D1E45" w:rsidP="00E64A13">
      <w:pPr>
        <w:spacing w:after="0" w:line="240" w:lineRule="auto"/>
        <w:ind w:firstLine="709"/>
        <w:jc w:val="both"/>
        <w:rPr>
          <w:rFonts w:ascii="Times New Roman" w:hAnsi="Times New Roman"/>
          <w:sz w:val="28"/>
          <w:szCs w:val="28"/>
        </w:rPr>
      </w:pPr>
      <w:r w:rsidRPr="00E64A13">
        <w:rPr>
          <w:rFonts w:ascii="Times New Roman" w:hAnsi="Times New Roman"/>
          <w:sz w:val="28"/>
          <w:szCs w:val="28"/>
        </w:rPr>
        <w:t>В границах СЗЗ в</w:t>
      </w:r>
      <w:r>
        <w:rPr>
          <w:rFonts w:ascii="Times New Roman" w:hAnsi="Times New Roman"/>
          <w:sz w:val="28"/>
          <w:szCs w:val="28"/>
        </w:rPr>
        <w:t> </w:t>
      </w:r>
      <w:r w:rsidRPr="00E64A13">
        <w:rPr>
          <w:rFonts w:ascii="Times New Roman" w:hAnsi="Times New Roman"/>
          <w:sz w:val="28"/>
          <w:szCs w:val="28"/>
        </w:rPr>
        <w:t>соответствии с</w:t>
      </w:r>
      <w:r>
        <w:rPr>
          <w:rFonts w:ascii="Times New Roman" w:hAnsi="Times New Roman"/>
          <w:sz w:val="28"/>
          <w:szCs w:val="28"/>
        </w:rPr>
        <w:t> </w:t>
      </w:r>
      <w:r w:rsidRPr="00E64A13">
        <w:rPr>
          <w:rFonts w:ascii="Times New Roman" w:hAnsi="Times New Roman"/>
          <w:sz w:val="28"/>
          <w:szCs w:val="28"/>
        </w:rPr>
        <w:t>п.5.1. СанПиН 2.2.1./2.1.1.1200-03 не</w:t>
      </w:r>
      <w:r>
        <w:rPr>
          <w:rFonts w:ascii="Times New Roman" w:hAnsi="Times New Roman"/>
          <w:sz w:val="28"/>
          <w:szCs w:val="28"/>
        </w:rPr>
        <w:t> </w:t>
      </w:r>
      <w:r w:rsidRPr="00E64A13">
        <w:rPr>
          <w:rFonts w:ascii="Times New Roman" w:hAnsi="Times New Roman"/>
          <w:sz w:val="28"/>
          <w:szCs w:val="28"/>
        </w:rPr>
        <w:t>допускается размещать жилую застройку, зоны отдыха, территории садоводческих товариществ, коттеджную застройку, а</w:t>
      </w:r>
      <w:r>
        <w:rPr>
          <w:rFonts w:ascii="Times New Roman" w:hAnsi="Times New Roman"/>
          <w:sz w:val="28"/>
          <w:szCs w:val="28"/>
        </w:rPr>
        <w:t> </w:t>
      </w:r>
      <w:r w:rsidRPr="00E64A13">
        <w:rPr>
          <w:rFonts w:ascii="Times New Roman" w:hAnsi="Times New Roman"/>
          <w:sz w:val="28"/>
          <w:szCs w:val="28"/>
        </w:rPr>
        <w:t>также другие территории с</w:t>
      </w:r>
      <w:r>
        <w:rPr>
          <w:rFonts w:ascii="Times New Roman" w:hAnsi="Times New Roman"/>
          <w:sz w:val="28"/>
          <w:szCs w:val="28"/>
        </w:rPr>
        <w:t> </w:t>
      </w:r>
      <w:r w:rsidRPr="00E64A13">
        <w:rPr>
          <w:rFonts w:ascii="Times New Roman" w:hAnsi="Times New Roman"/>
          <w:sz w:val="28"/>
          <w:szCs w:val="28"/>
        </w:rPr>
        <w:t>нормируемыми показателями качества среды обитания.</w:t>
      </w:r>
    </w:p>
    <w:p w:rsidR="002D1E45" w:rsidRPr="00E64A13" w:rsidRDefault="002D1E45" w:rsidP="00E64A13">
      <w:pPr>
        <w:spacing w:after="0" w:line="240" w:lineRule="auto"/>
        <w:ind w:firstLine="709"/>
        <w:jc w:val="both"/>
        <w:rPr>
          <w:rFonts w:ascii="Times New Roman" w:hAnsi="Times New Roman"/>
          <w:sz w:val="28"/>
          <w:szCs w:val="28"/>
        </w:rPr>
      </w:pPr>
      <w:r w:rsidRPr="00E64A13">
        <w:rPr>
          <w:rFonts w:ascii="Times New Roman" w:hAnsi="Times New Roman"/>
          <w:sz w:val="28"/>
          <w:szCs w:val="28"/>
        </w:rPr>
        <w:t>На территории скотомогильника (биотермической ямы) также запрещается:</w:t>
      </w:r>
    </w:p>
    <w:p w:rsidR="002D1E45" w:rsidRPr="00E64A13" w:rsidRDefault="002D1E45" w:rsidP="00852938">
      <w:pPr>
        <w:numPr>
          <w:ilvl w:val="0"/>
          <w:numId w:val="24"/>
        </w:numPr>
        <w:tabs>
          <w:tab w:val="num" w:pos="1068"/>
        </w:tabs>
        <w:spacing w:after="0" w:line="240" w:lineRule="auto"/>
        <w:jc w:val="both"/>
        <w:rPr>
          <w:rFonts w:ascii="Times New Roman" w:hAnsi="Times New Roman"/>
          <w:sz w:val="28"/>
          <w:szCs w:val="28"/>
        </w:rPr>
      </w:pPr>
      <w:r w:rsidRPr="00E64A13">
        <w:rPr>
          <w:rFonts w:ascii="Times New Roman" w:hAnsi="Times New Roman"/>
          <w:sz w:val="28"/>
          <w:szCs w:val="28"/>
        </w:rPr>
        <w:t>пасти скот, косить траву;</w:t>
      </w:r>
    </w:p>
    <w:p w:rsidR="002D1E45" w:rsidRPr="00E64A13" w:rsidRDefault="002D1E45" w:rsidP="00852938">
      <w:pPr>
        <w:numPr>
          <w:ilvl w:val="0"/>
          <w:numId w:val="24"/>
        </w:numPr>
        <w:tabs>
          <w:tab w:val="num" w:pos="1068"/>
        </w:tabs>
        <w:spacing w:after="0" w:line="240" w:lineRule="auto"/>
        <w:jc w:val="both"/>
        <w:rPr>
          <w:rFonts w:ascii="Times New Roman" w:hAnsi="Times New Roman"/>
          <w:sz w:val="28"/>
          <w:szCs w:val="28"/>
        </w:rPr>
      </w:pPr>
      <w:r w:rsidRPr="00E64A13">
        <w:rPr>
          <w:rFonts w:ascii="Times New Roman" w:hAnsi="Times New Roman"/>
          <w:sz w:val="28"/>
          <w:szCs w:val="28"/>
        </w:rPr>
        <w:t>брать, выносить, вывозить землю и</w:t>
      </w:r>
      <w:r>
        <w:rPr>
          <w:rFonts w:ascii="Times New Roman" w:hAnsi="Times New Roman"/>
          <w:sz w:val="28"/>
          <w:szCs w:val="28"/>
        </w:rPr>
        <w:t> </w:t>
      </w:r>
      <w:r w:rsidRPr="00E64A13">
        <w:rPr>
          <w:rFonts w:ascii="Times New Roman" w:hAnsi="Times New Roman"/>
          <w:sz w:val="28"/>
          <w:szCs w:val="28"/>
        </w:rPr>
        <w:t>гуммированный остаток за</w:t>
      </w:r>
      <w:r>
        <w:rPr>
          <w:rFonts w:ascii="Times New Roman" w:hAnsi="Times New Roman"/>
          <w:sz w:val="28"/>
          <w:szCs w:val="28"/>
        </w:rPr>
        <w:t> </w:t>
      </w:r>
      <w:r w:rsidRPr="00E64A13">
        <w:rPr>
          <w:rFonts w:ascii="Times New Roman" w:hAnsi="Times New Roman"/>
          <w:sz w:val="28"/>
          <w:szCs w:val="28"/>
        </w:rPr>
        <w:t>его пределы.</w:t>
      </w:r>
    </w:p>
    <w:p w:rsidR="002D1E45" w:rsidRPr="00E64A13" w:rsidRDefault="002D1E45" w:rsidP="00E64A13">
      <w:pPr>
        <w:spacing w:after="0" w:line="240" w:lineRule="auto"/>
        <w:ind w:firstLine="709"/>
        <w:jc w:val="both"/>
        <w:rPr>
          <w:rFonts w:ascii="Times New Roman" w:hAnsi="Times New Roman"/>
          <w:sz w:val="28"/>
          <w:szCs w:val="28"/>
        </w:rPr>
      </w:pPr>
      <w:r w:rsidRPr="00E64A13">
        <w:rPr>
          <w:rFonts w:ascii="Times New Roman" w:hAnsi="Times New Roman"/>
          <w:sz w:val="28"/>
          <w:szCs w:val="28"/>
        </w:rPr>
        <w:t>Строительные работы допускается проводить только после дезинфекции территории скотомогильника бромистым метилом или другим препаратом в</w:t>
      </w:r>
      <w:r>
        <w:rPr>
          <w:rFonts w:ascii="Times New Roman" w:hAnsi="Times New Roman"/>
          <w:sz w:val="28"/>
          <w:szCs w:val="28"/>
        </w:rPr>
        <w:t> </w:t>
      </w:r>
      <w:r w:rsidRPr="00E64A13">
        <w:rPr>
          <w:rFonts w:ascii="Times New Roman" w:hAnsi="Times New Roman"/>
          <w:sz w:val="28"/>
          <w:szCs w:val="28"/>
        </w:rPr>
        <w:t>соответствии с</w:t>
      </w:r>
      <w:r>
        <w:rPr>
          <w:rFonts w:ascii="Times New Roman" w:hAnsi="Times New Roman"/>
          <w:sz w:val="28"/>
          <w:szCs w:val="28"/>
        </w:rPr>
        <w:t> </w:t>
      </w:r>
      <w:r w:rsidRPr="00E64A13">
        <w:rPr>
          <w:rFonts w:ascii="Times New Roman" w:hAnsi="Times New Roman"/>
          <w:sz w:val="28"/>
          <w:szCs w:val="28"/>
        </w:rPr>
        <w:t>действующими правилами и</w:t>
      </w:r>
      <w:r>
        <w:rPr>
          <w:rFonts w:ascii="Times New Roman" w:hAnsi="Times New Roman"/>
          <w:sz w:val="28"/>
          <w:szCs w:val="28"/>
        </w:rPr>
        <w:t> </w:t>
      </w:r>
      <w:r w:rsidRPr="00E64A13">
        <w:rPr>
          <w:rFonts w:ascii="Times New Roman" w:hAnsi="Times New Roman"/>
          <w:sz w:val="28"/>
          <w:szCs w:val="28"/>
        </w:rPr>
        <w:t>последующего отрицательного лабораторного анализа проб почвы и</w:t>
      </w:r>
      <w:r>
        <w:rPr>
          <w:rFonts w:ascii="Times New Roman" w:hAnsi="Times New Roman"/>
          <w:sz w:val="28"/>
          <w:szCs w:val="28"/>
        </w:rPr>
        <w:t> </w:t>
      </w:r>
      <w:r w:rsidRPr="00E64A13">
        <w:rPr>
          <w:rFonts w:ascii="Times New Roman" w:hAnsi="Times New Roman"/>
          <w:sz w:val="28"/>
          <w:szCs w:val="28"/>
        </w:rPr>
        <w:t>гуммированного остатка на</w:t>
      </w:r>
      <w:r>
        <w:rPr>
          <w:rFonts w:ascii="Times New Roman" w:hAnsi="Times New Roman"/>
          <w:sz w:val="28"/>
          <w:szCs w:val="28"/>
        </w:rPr>
        <w:t> </w:t>
      </w:r>
      <w:r w:rsidRPr="00E64A13">
        <w:rPr>
          <w:rFonts w:ascii="Times New Roman" w:hAnsi="Times New Roman"/>
          <w:sz w:val="28"/>
          <w:szCs w:val="28"/>
        </w:rPr>
        <w:t>сибирскую язву.</w:t>
      </w:r>
    </w:p>
    <w:p w:rsidR="002D1E45" w:rsidRPr="00E64A13" w:rsidRDefault="002D1E45" w:rsidP="00E64A13">
      <w:pPr>
        <w:spacing w:after="0" w:line="240" w:lineRule="auto"/>
        <w:ind w:firstLine="709"/>
        <w:jc w:val="both"/>
        <w:rPr>
          <w:rFonts w:ascii="Times New Roman" w:hAnsi="Times New Roman"/>
          <w:sz w:val="28"/>
          <w:szCs w:val="28"/>
        </w:rPr>
      </w:pPr>
      <w:r w:rsidRPr="00E64A13">
        <w:rPr>
          <w:rFonts w:ascii="Times New Roman" w:hAnsi="Times New Roman"/>
          <w:sz w:val="28"/>
          <w:szCs w:val="28"/>
        </w:rPr>
        <w:t>В исключительных случаях допускается использование территории скотомогильника для промышленного строительства, если с</w:t>
      </w:r>
      <w:r>
        <w:rPr>
          <w:rFonts w:ascii="Times New Roman" w:hAnsi="Times New Roman"/>
          <w:sz w:val="28"/>
          <w:szCs w:val="28"/>
        </w:rPr>
        <w:t> </w:t>
      </w:r>
      <w:r w:rsidRPr="00E64A13">
        <w:rPr>
          <w:rFonts w:ascii="Times New Roman" w:hAnsi="Times New Roman"/>
          <w:sz w:val="28"/>
          <w:szCs w:val="28"/>
        </w:rPr>
        <w:t>момента последнего захоронения:</w:t>
      </w:r>
    </w:p>
    <w:p w:rsidR="002D1E45" w:rsidRPr="00E64A13" w:rsidRDefault="002D1E45" w:rsidP="00852938">
      <w:pPr>
        <w:numPr>
          <w:ilvl w:val="0"/>
          <w:numId w:val="24"/>
        </w:numPr>
        <w:tabs>
          <w:tab w:val="num" w:pos="1068"/>
        </w:tabs>
        <w:spacing w:after="0" w:line="240" w:lineRule="auto"/>
        <w:jc w:val="both"/>
        <w:rPr>
          <w:rFonts w:ascii="Times New Roman" w:hAnsi="Times New Roman"/>
          <w:sz w:val="28"/>
          <w:szCs w:val="28"/>
        </w:rPr>
      </w:pPr>
      <w:r w:rsidRPr="00E64A13">
        <w:rPr>
          <w:rFonts w:ascii="Times New Roman" w:hAnsi="Times New Roman"/>
          <w:sz w:val="28"/>
          <w:szCs w:val="28"/>
        </w:rPr>
        <w:t xml:space="preserve">в биотермическую яму </w:t>
      </w:r>
      <w:r>
        <w:rPr>
          <w:rFonts w:ascii="Times New Roman" w:hAnsi="Times New Roman"/>
          <w:sz w:val="28"/>
          <w:szCs w:val="28"/>
        </w:rPr>
        <w:t>–</w:t>
      </w:r>
      <w:r w:rsidRPr="00E64A13">
        <w:rPr>
          <w:rFonts w:ascii="Times New Roman" w:hAnsi="Times New Roman"/>
          <w:sz w:val="28"/>
          <w:szCs w:val="28"/>
        </w:rPr>
        <w:t xml:space="preserve"> не</w:t>
      </w:r>
      <w:r>
        <w:rPr>
          <w:rFonts w:ascii="Times New Roman" w:hAnsi="Times New Roman"/>
          <w:sz w:val="28"/>
          <w:szCs w:val="28"/>
        </w:rPr>
        <w:t> </w:t>
      </w:r>
      <w:r w:rsidRPr="00E64A13">
        <w:rPr>
          <w:rFonts w:ascii="Times New Roman" w:hAnsi="Times New Roman"/>
          <w:sz w:val="28"/>
          <w:szCs w:val="28"/>
        </w:rPr>
        <w:t>менее 2 лет;</w:t>
      </w:r>
    </w:p>
    <w:p w:rsidR="002D1E45" w:rsidRPr="00E64A13" w:rsidRDefault="002D1E45" w:rsidP="00852938">
      <w:pPr>
        <w:numPr>
          <w:ilvl w:val="0"/>
          <w:numId w:val="24"/>
        </w:numPr>
        <w:tabs>
          <w:tab w:val="num" w:pos="1068"/>
        </w:tabs>
        <w:spacing w:after="0" w:line="240" w:lineRule="auto"/>
        <w:jc w:val="both"/>
        <w:rPr>
          <w:rFonts w:ascii="Times New Roman" w:hAnsi="Times New Roman"/>
          <w:sz w:val="28"/>
          <w:szCs w:val="28"/>
        </w:rPr>
      </w:pPr>
      <w:r w:rsidRPr="00E64A13">
        <w:rPr>
          <w:rFonts w:ascii="Times New Roman" w:hAnsi="Times New Roman"/>
          <w:sz w:val="28"/>
          <w:szCs w:val="28"/>
        </w:rPr>
        <w:t xml:space="preserve">в земляную яму </w:t>
      </w:r>
      <w:r>
        <w:rPr>
          <w:rFonts w:ascii="Times New Roman" w:hAnsi="Times New Roman"/>
          <w:sz w:val="28"/>
          <w:szCs w:val="28"/>
        </w:rPr>
        <w:t>–</w:t>
      </w:r>
      <w:r w:rsidRPr="00E64A13">
        <w:rPr>
          <w:rFonts w:ascii="Times New Roman" w:hAnsi="Times New Roman"/>
          <w:sz w:val="28"/>
          <w:szCs w:val="28"/>
        </w:rPr>
        <w:t xml:space="preserve"> не</w:t>
      </w:r>
      <w:r>
        <w:rPr>
          <w:rFonts w:ascii="Times New Roman" w:hAnsi="Times New Roman"/>
          <w:sz w:val="28"/>
          <w:szCs w:val="28"/>
        </w:rPr>
        <w:t> </w:t>
      </w:r>
      <w:r w:rsidRPr="00E64A13">
        <w:rPr>
          <w:rFonts w:ascii="Times New Roman" w:hAnsi="Times New Roman"/>
          <w:sz w:val="28"/>
          <w:szCs w:val="28"/>
        </w:rPr>
        <w:t>менее 25 лет.</w:t>
      </w:r>
    </w:p>
    <w:p w:rsidR="002D1E45" w:rsidRPr="00E64A13" w:rsidRDefault="002D1E45" w:rsidP="00E64A13">
      <w:pPr>
        <w:spacing w:after="0" w:line="240" w:lineRule="auto"/>
        <w:ind w:firstLine="709"/>
        <w:jc w:val="both"/>
        <w:rPr>
          <w:rFonts w:ascii="Times New Roman" w:hAnsi="Times New Roman"/>
          <w:sz w:val="28"/>
          <w:szCs w:val="28"/>
        </w:rPr>
      </w:pPr>
      <w:r w:rsidRPr="00E64A13">
        <w:rPr>
          <w:rFonts w:ascii="Times New Roman" w:hAnsi="Times New Roman"/>
          <w:sz w:val="28"/>
          <w:szCs w:val="28"/>
        </w:rPr>
        <w:t>Ответственность за</w:t>
      </w:r>
      <w:r>
        <w:rPr>
          <w:rFonts w:ascii="Times New Roman" w:hAnsi="Times New Roman"/>
          <w:sz w:val="28"/>
          <w:szCs w:val="28"/>
        </w:rPr>
        <w:t> </w:t>
      </w:r>
      <w:r w:rsidRPr="00E64A13">
        <w:rPr>
          <w:rFonts w:ascii="Times New Roman" w:hAnsi="Times New Roman"/>
          <w:sz w:val="28"/>
          <w:szCs w:val="28"/>
        </w:rPr>
        <w:t>устройство, санитарное состояние и</w:t>
      </w:r>
      <w:r>
        <w:rPr>
          <w:rFonts w:ascii="Times New Roman" w:hAnsi="Times New Roman"/>
          <w:sz w:val="28"/>
          <w:szCs w:val="28"/>
        </w:rPr>
        <w:t> </w:t>
      </w:r>
      <w:r w:rsidRPr="00E64A13">
        <w:rPr>
          <w:rFonts w:ascii="Times New Roman" w:hAnsi="Times New Roman"/>
          <w:sz w:val="28"/>
          <w:szCs w:val="28"/>
        </w:rPr>
        <w:t>оборудование скотомогильника (биотермической ямы) возлагается на</w:t>
      </w:r>
      <w:r>
        <w:rPr>
          <w:rFonts w:ascii="Times New Roman" w:hAnsi="Times New Roman"/>
          <w:sz w:val="28"/>
          <w:szCs w:val="28"/>
        </w:rPr>
        <w:t> </w:t>
      </w:r>
      <w:r w:rsidRPr="00E64A13">
        <w:rPr>
          <w:rFonts w:ascii="Times New Roman" w:hAnsi="Times New Roman"/>
          <w:sz w:val="28"/>
          <w:szCs w:val="28"/>
        </w:rPr>
        <w:t>местную администрацию, руководителей организаций, в</w:t>
      </w:r>
      <w:r>
        <w:rPr>
          <w:rFonts w:ascii="Times New Roman" w:hAnsi="Times New Roman"/>
          <w:sz w:val="28"/>
          <w:szCs w:val="28"/>
        </w:rPr>
        <w:t> </w:t>
      </w:r>
      <w:r w:rsidRPr="00E64A13">
        <w:rPr>
          <w:rFonts w:ascii="Times New Roman" w:hAnsi="Times New Roman"/>
          <w:sz w:val="28"/>
          <w:szCs w:val="28"/>
        </w:rPr>
        <w:t>ведении которых находятся эти объекты.</w:t>
      </w:r>
    </w:p>
    <w:p w:rsidR="002D1E45" w:rsidRDefault="002D1E45" w:rsidP="00E64A13">
      <w:pPr>
        <w:spacing w:after="0" w:line="240" w:lineRule="auto"/>
        <w:ind w:firstLine="709"/>
        <w:jc w:val="both"/>
        <w:rPr>
          <w:rFonts w:ascii="Times New Roman" w:hAnsi="Times New Roman"/>
          <w:sz w:val="28"/>
          <w:szCs w:val="28"/>
        </w:rPr>
      </w:pPr>
      <w:r w:rsidRPr="00E64A13">
        <w:rPr>
          <w:rFonts w:ascii="Times New Roman" w:hAnsi="Times New Roman"/>
          <w:sz w:val="28"/>
          <w:szCs w:val="28"/>
        </w:rPr>
        <w:t>Уменьшение размеров и</w:t>
      </w:r>
      <w:r>
        <w:rPr>
          <w:rFonts w:ascii="Times New Roman" w:hAnsi="Times New Roman"/>
          <w:sz w:val="28"/>
          <w:szCs w:val="28"/>
        </w:rPr>
        <w:t> </w:t>
      </w:r>
      <w:r w:rsidRPr="00E64A13">
        <w:rPr>
          <w:rFonts w:ascii="Times New Roman" w:hAnsi="Times New Roman"/>
          <w:sz w:val="28"/>
          <w:szCs w:val="28"/>
        </w:rPr>
        <w:t>установление границ СЗЗ скотомогильников проводится в</w:t>
      </w:r>
      <w:r>
        <w:rPr>
          <w:rFonts w:ascii="Times New Roman" w:hAnsi="Times New Roman"/>
          <w:sz w:val="28"/>
          <w:szCs w:val="28"/>
        </w:rPr>
        <w:t> </w:t>
      </w:r>
      <w:r w:rsidRPr="00E64A13">
        <w:rPr>
          <w:rFonts w:ascii="Times New Roman" w:hAnsi="Times New Roman"/>
          <w:sz w:val="28"/>
          <w:szCs w:val="28"/>
        </w:rPr>
        <w:t>установленном законодательстве порядке. В</w:t>
      </w:r>
      <w:r>
        <w:rPr>
          <w:rFonts w:ascii="Times New Roman" w:hAnsi="Times New Roman"/>
          <w:sz w:val="28"/>
          <w:szCs w:val="28"/>
        </w:rPr>
        <w:t> </w:t>
      </w:r>
      <w:r w:rsidRPr="00E64A13">
        <w:rPr>
          <w:rFonts w:ascii="Times New Roman" w:hAnsi="Times New Roman"/>
          <w:sz w:val="28"/>
          <w:szCs w:val="28"/>
        </w:rPr>
        <w:t>соответствии с</w:t>
      </w:r>
      <w:r>
        <w:rPr>
          <w:rFonts w:ascii="Times New Roman" w:hAnsi="Times New Roman"/>
          <w:sz w:val="28"/>
          <w:szCs w:val="28"/>
        </w:rPr>
        <w:t> </w:t>
      </w:r>
      <w:r w:rsidRPr="00E64A13">
        <w:rPr>
          <w:rFonts w:ascii="Times New Roman" w:hAnsi="Times New Roman"/>
          <w:sz w:val="28"/>
          <w:szCs w:val="28"/>
        </w:rPr>
        <w:t>разделом IV</w:t>
      </w:r>
      <w:r>
        <w:rPr>
          <w:rFonts w:ascii="Times New Roman" w:hAnsi="Times New Roman"/>
          <w:sz w:val="28"/>
          <w:szCs w:val="28"/>
        </w:rPr>
        <w:t> </w:t>
      </w:r>
      <w:r w:rsidRPr="00E64A13">
        <w:rPr>
          <w:rFonts w:ascii="Times New Roman" w:hAnsi="Times New Roman"/>
          <w:sz w:val="28"/>
          <w:szCs w:val="28"/>
        </w:rPr>
        <w:t>СанПиН 2.2.1./2.1.1.1200-03 размеры СЗЗ для объектов I</w:t>
      </w:r>
      <w:r>
        <w:rPr>
          <w:rFonts w:ascii="Times New Roman" w:hAnsi="Times New Roman"/>
          <w:sz w:val="28"/>
          <w:szCs w:val="28"/>
        </w:rPr>
        <w:t> </w:t>
      </w:r>
      <w:r w:rsidRPr="00E64A13">
        <w:rPr>
          <w:rFonts w:ascii="Times New Roman" w:hAnsi="Times New Roman"/>
          <w:sz w:val="28"/>
          <w:szCs w:val="28"/>
        </w:rPr>
        <w:t>и</w:t>
      </w:r>
      <w:r>
        <w:rPr>
          <w:rFonts w:ascii="Times New Roman" w:hAnsi="Times New Roman"/>
          <w:sz w:val="28"/>
          <w:szCs w:val="28"/>
        </w:rPr>
        <w:t> </w:t>
      </w:r>
      <w:r w:rsidRPr="00E64A13">
        <w:rPr>
          <w:rFonts w:ascii="Times New Roman" w:hAnsi="Times New Roman"/>
          <w:sz w:val="28"/>
          <w:szCs w:val="28"/>
        </w:rPr>
        <w:t>II</w:t>
      </w:r>
      <w:r>
        <w:rPr>
          <w:rFonts w:ascii="Times New Roman" w:hAnsi="Times New Roman"/>
          <w:sz w:val="28"/>
          <w:szCs w:val="28"/>
        </w:rPr>
        <w:t> </w:t>
      </w:r>
      <w:r w:rsidRPr="00E64A13">
        <w:rPr>
          <w:rFonts w:ascii="Times New Roman" w:hAnsi="Times New Roman"/>
          <w:sz w:val="28"/>
          <w:szCs w:val="28"/>
        </w:rPr>
        <w:t>класса могут быть установлены постановлением Главного государственного санитарного врача Российской Федерации на</w:t>
      </w:r>
      <w:r>
        <w:rPr>
          <w:rFonts w:ascii="Times New Roman" w:hAnsi="Times New Roman"/>
          <w:sz w:val="28"/>
          <w:szCs w:val="28"/>
        </w:rPr>
        <w:t> </w:t>
      </w:r>
      <w:r w:rsidRPr="00E64A13">
        <w:rPr>
          <w:rFonts w:ascii="Times New Roman" w:hAnsi="Times New Roman"/>
          <w:sz w:val="28"/>
          <w:szCs w:val="28"/>
        </w:rPr>
        <w:t>основаниях, указанных в</w:t>
      </w:r>
      <w:r>
        <w:rPr>
          <w:rFonts w:ascii="Times New Roman" w:hAnsi="Times New Roman"/>
          <w:sz w:val="28"/>
          <w:szCs w:val="28"/>
        </w:rPr>
        <w:t> </w:t>
      </w:r>
      <w:r w:rsidRPr="00E64A13">
        <w:rPr>
          <w:rFonts w:ascii="Times New Roman" w:hAnsi="Times New Roman"/>
          <w:sz w:val="28"/>
          <w:szCs w:val="28"/>
        </w:rPr>
        <w:t>п. 4.2. СанПиН 2.2.1./2.1.1.1200-03.</w:t>
      </w:r>
    </w:p>
    <w:p w:rsidR="002D1E45" w:rsidRDefault="002D1E45" w:rsidP="000D0E34">
      <w:pPr>
        <w:spacing w:after="0" w:line="240" w:lineRule="auto"/>
        <w:ind w:firstLine="709"/>
        <w:jc w:val="both"/>
        <w:rPr>
          <w:rFonts w:ascii="Times New Roman" w:hAnsi="Times New Roman"/>
          <w:sz w:val="28"/>
          <w:szCs w:val="28"/>
        </w:rPr>
      </w:pPr>
      <w:r>
        <w:rPr>
          <w:rFonts w:ascii="Times New Roman" w:hAnsi="Times New Roman"/>
          <w:sz w:val="28"/>
          <w:szCs w:val="28"/>
        </w:rPr>
        <w:t>На территории города Куйбышева имеется один скотомогильник, географические координаты: 55.500823, 78.412911.</w:t>
      </w:r>
    </w:p>
    <w:p w:rsidR="002D1E45" w:rsidRDefault="002D1E45" w:rsidP="00E64A13">
      <w:pPr>
        <w:spacing w:after="0" w:line="240" w:lineRule="auto"/>
        <w:ind w:firstLine="709"/>
        <w:jc w:val="both"/>
        <w:rPr>
          <w:rFonts w:ascii="Times New Roman" w:hAnsi="Times New Roman"/>
          <w:sz w:val="28"/>
          <w:szCs w:val="28"/>
        </w:rPr>
      </w:pPr>
    </w:p>
    <w:p w:rsidR="002D1E45" w:rsidRPr="00332C11" w:rsidRDefault="002D1E45" w:rsidP="00851F11">
      <w:pPr>
        <w:spacing w:after="0" w:line="240" w:lineRule="auto"/>
        <w:ind w:firstLine="709"/>
        <w:jc w:val="both"/>
        <w:rPr>
          <w:rFonts w:ascii="Times New Roman" w:hAnsi="Times New Roman"/>
          <w:i/>
          <w:sz w:val="28"/>
          <w:szCs w:val="28"/>
          <w:u w:val="single"/>
        </w:rPr>
      </w:pPr>
      <w:r w:rsidRPr="00332C11">
        <w:rPr>
          <w:rFonts w:ascii="Times New Roman" w:hAnsi="Times New Roman"/>
          <w:i/>
          <w:sz w:val="28"/>
          <w:szCs w:val="28"/>
          <w:u w:val="single"/>
        </w:rPr>
        <w:t>Стационарные пункты государственной наблюдательной сети</w:t>
      </w:r>
    </w:p>
    <w:p w:rsidR="002D1E45" w:rsidRPr="00332C11" w:rsidRDefault="002D1E45" w:rsidP="00851F11">
      <w:pPr>
        <w:spacing w:after="0" w:line="240" w:lineRule="auto"/>
        <w:ind w:firstLine="709"/>
        <w:jc w:val="both"/>
        <w:rPr>
          <w:rFonts w:ascii="Times New Roman" w:hAnsi="Times New Roman"/>
          <w:sz w:val="28"/>
          <w:szCs w:val="28"/>
        </w:rPr>
      </w:pPr>
      <w:r w:rsidRPr="00332C11">
        <w:rPr>
          <w:rFonts w:ascii="Times New Roman" w:hAnsi="Times New Roman"/>
          <w:sz w:val="28"/>
          <w:szCs w:val="28"/>
        </w:rPr>
        <w:t>Выполнение нижеуказанных работ разрешается на</w:t>
      </w:r>
      <w:r>
        <w:rPr>
          <w:rFonts w:ascii="Times New Roman" w:hAnsi="Times New Roman"/>
          <w:sz w:val="28"/>
          <w:szCs w:val="28"/>
        </w:rPr>
        <w:t> </w:t>
      </w:r>
      <w:r w:rsidRPr="00332C11">
        <w:rPr>
          <w:rFonts w:ascii="Times New Roman" w:hAnsi="Times New Roman"/>
          <w:sz w:val="28"/>
          <w:szCs w:val="28"/>
        </w:rPr>
        <w:t>следующих минимальных расстояниях от</w:t>
      </w:r>
      <w:r>
        <w:rPr>
          <w:rFonts w:ascii="Times New Roman" w:hAnsi="Times New Roman"/>
          <w:sz w:val="28"/>
          <w:szCs w:val="28"/>
        </w:rPr>
        <w:t> </w:t>
      </w:r>
      <w:r w:rsidRPr="00332C11">
        <w:rPr>
          <w:rFonts w:ascii="Times New Roman" w:hAnsi="Times New Roman"/>
          <w:sz w:val="28"/>
          <w:szCs w:val="28"/>
        </w:rPr>
        <w:t>внешней границы земельного участка (метеорологической площадки):</w:t>
      </w:r>
    </w:p>
    <w:p w:rsidR="002D1E45" w:rsidRPr="00332C11" w:rsidRDefault="002D1E45" w:rsidP="00852938">
      <w:pPr>
        <w:numPr>
          <w:ilvl w:val="1"/>
          <w:numId w:val="30"/>
        </w:numPr>
        <w:spacing w:after="0" w:line="240" w:lineRule="auto"/>
        <w:ind w:left="1276"/>
        <w:contextualSpacing/>
        <w:jc w:val="both"/>
        <w:rPr>
          <w:rFonts w:ascii="Times New Roman" w:hAnsi="Times New Roman"/>
          <w:sz w:val="28"/>
          <w:szCs w:val="28"/>
        </w:rPr>
      </w:pPr>
      <w:r w:rsidRPr="00332C11">
        <w:rPr>
          <w:rFonts w:ascii="Times New Roman" w:hAnsi="Times New Roman"/>
          <w:sz w:val="28"/>
          <w:szCs w:val="28"/>
        </w:rPr>
        <w:t>Возведение зданий, сооружений – не</w:t>
      </w:r>
      <w:r>
        <w:rPr>
          <w:rFonts w:ascii="Times New Roman" w:hAnsi="Times New Roman"/>
          <w:sz w:val="28"/>
          <w:szCs w:val="28"/>
        </w:rPr>
        <w:t> </w:t>
      </w:r>
      <w:r w:rsidRPr="00332C11">
        <w:rPr>
          <w:rFonts w:ascii="Times New Roman" w:hAnsi="Times New Roman"/>
          <w:sz w:val="28"/>
          <w:szCs w:val="28"/>
        </w:rPr>
        <w:t>менее 10-кратной высоты одиночных зданий, сооружений и</w:t>
      </w:r>
      <w:r>
        <w:rPr>
          <w:rFonts w:ascii="Times New Roman" w:hAnsi="Times New Roman"/>
          <w:sz w:val="28"/>
          <w:szCs w:val="28"/>
        </w:rPr>
        <w:t> </w:t>
      </w:r>
      <w:r w:rsidRPr="00332C11">
        <w:rPr>
          <w:rFonts w:ascii="Times New Roman" w:hAnsi="Times New Roman"/>
          <w:sz w:val="28"/>
          <w:szCs w:val="28"/>
        </w:rPr>
        <w:t>не</w:t>
      </w:r>
      <w:r>
        <w:rPr>
          <w:rFonts w:ascii="Times New Roman" w:hAnsi="Times New Roman"/>
          <w:sz w:val="28"/>
          <w:szCs w:val="28"/>
        </w:rPr>
        <w:t> </w:t>
      </w:r>
      <w:r w:rsidRPr="00332C11">
        <w:rPr>
          <w:rFonts w:ascii="Times New Roman" w:hAnsi="Times New Roman"/>
          <w:sz w:val="28"/>
          <w:szCs w:val="28"/>
        </w:rPr>
        <w:t>менее 20-кратной высоты зданий, сооружений, образующих непрерывную или практически непрерывную полосу значительной протяжённости вдоль метеорологической площадки;</w:t>
      </w:r>
    </w:p>
    <w:p w:rsidR="002D1E45" w:rsidRPr="00332C11" w:rsidRDefault="002D1E45" w:rsidP="00852938">
      <w:pPr>
        <w:numPr>
          <w:ilvl w:val="1"/>
          <w:numId w:val="30"/>
        </w:numPr>
        <w:spacing w:after="0" w:line="240" w:lineRule="auto"/>
        <w:ind w:left="1276"/>
        <w:contextualSpacing/>
        <w:jc w:val="both"/>
        <w:rPr>
          <w:rFonts w:ascii="Times New Roman" w:hAnsi="Times New Roman"/>
          <w:sz w:val="28"/>
          <w:szCs w:val="28"/>
        </w:rPr>
      </w:pPr>
      <w:r w:rsidRPr="00332C11">
        <w:rPr>
          <w:rFonts w:ascii="Times New Roman" w:hAnsi="Times New Roman"/>
          <w:sz w:val="28"/>
          <w:szCs w:val="28"/>
        </w:rPr>
        <w:t>Высаживание деревьев и</w:t>
      </w:r>
      <w:r>
        <w:rPr>
          <w:rFonts w:ascii="Times New Roman" w:hAnsi="Times New Roman"/>
          <w:sz w:val="28"/>
          <w:szCs w:val="28"/>
        </w:rPr>
        <w:t> </w:t>
      </w:r>
      <w:r w:rsidRPr="00332C11">
        <w:rPr>
          <w:rFonts w:ascii="Times New Roman" w:hAnsi="Times New Roman"/>
          <w:sz w:val="28"/>
          <w:szCs w:val="28"/>
        </w:rPr>
        <w:t>кустарников – не</w:t>
      </w:r>
      <w:r>
        <w:rPr>
          <w:rFonts w:ascii="Times New Roman" w:hAnsi="Times New Roman"/>
          <w:sz w:val="28"/>
          <w:szCs w:val="28"/>
        </w:rPr>
        <w:t> </w:t>
      </w:r>
      <w:r w:rsidRPr="00332C11">
        <w:rPr>
          <w:rFonts w:ascii="Times New Roman" w:hAnsi="Times New Roman"/>
          <w:sz w:val="28"/>
          <w:szCs w:val="28"/>
        </w:rPr>
        <w:t>менее 10-кратной высоты отдельных деревьев, кустарников и</w:t>
      </w:r>
      <w:r>
        <w:rPr>
          <w:rFonts w:ascii="Times New Roman" w:hAnsi="Times New Roman"/>
          <w:sz w:val="28"/>
          <w:szCs w:val="28"/>
        </w:rPr>
        <w:t> </w:t>
      </w:r>
      <w:r w:rsidRPr="00332C11">
        <w:rPr>
          <w:rFonts w:ascii="Times New Roman" w:hAnsi="Times New Roman"/>
          <w:sz w:val="28"/>
          <w:szCs w:val="28"/>
        </w:rPr>
        <w:t>не</w:t>
      </w:r>
      <w:r>
        <w:rPr>
          <w:rFonts w:ascii="Times New Roman" w:hAnsi="Times New Roman"/>
          <w:sz w:val="28"/>
          <w:szCs w:val="28"/>
        </w:rPr>
        <w:t> </w:t>
      </w:r>
      <w:r w:rsidRPr="00332C11">
        <w:rPr>
          <w:rFonts w:ascii="Times New Roman" w:hAnsi="Times New Roman"/>
          <w:sz w:val="28"/>
          <w:szCs w:val="28"/>
        </w:rPr>
        <w:t>менее 20-кратной высоты полос леса значительной протяжённости вдоль метеорической площадки;</w:t>
      </w:r>
    </w:p>
    <w:p w:rsidR="002D1E45" w:rsidRPr="00332C11" w:rsidRDefault="002D1E45" w:rsidP="00852938">
      <w:pPr>
        <w:numPr>
          <w:ilvl w:val="1"/>
          <w:numId w:val="30"/>
        </w:numPr>
        <w:spacing w:after="0" w:line="240" w:lineRule="auto"/>
        <w:ind w:left="1276"/>
        <w:contextualSpacing/>
        <w:jc w:val="both"/>
        <w:rPr>
          <w:rFonts w:ascii="Times New Roman" w:hAnsi="Times New Roman"/>
          <w:sz w:val="28"/>
          <w:szCs w:val="28"/>
        </w:rPr>
      </w:pPr>
      <w:r w:rsidRPr="00332C11">
        <w:rPr>
          <w:rFonts w:ascii="Times New Roman" w:hAnsi="Times New Roman"/>
          <w:sz w:val="28"/>
          <w:szCs w:val="28"/>
        </w:rPr>
        <w:t>Создание небольших искусственных водоёмов и</w:t>
      </w:r>
      <w:r>
        <w:rPr>
          <w:rFonts w:ascii="Times New Roman" w:hAnsi="Times New Roman"/>
          <w:sz w:val="28"/>
          <w:szCs w:val="28"/>
        </w:rPr>
        <w:t> </w:t>
      </w:r>
      <w:r w:rsidRPr="00332C11">
        <w:rPr>
          <w:rFonts w:ascii="Times New Roman" w:hAnsi="Times New Roman"/>
          <w:sz w:val="28"/>
          <w:szCs w:val="28"/>
        </w:rPr>
        <w:t>водотоков, орошение (полив) сельскохозяйственных культур – 60 м;</w:t>
      </w:r>
    </w:p>
    <w:p w:rsidR="002D1E45" w:rsidRPr="00332C11" w:rsidRDefault="002D1E45" w:rsidP="00852938">
      <w:pPr>
        <w:numPr>
          <w:ilvl w:val="1"/>
          <w:numId w:val="30"/>
        </w:numPr>
        <w:spacing w:after="0" w:line="240" w:lineRule="auto"/>
        <w:ind w:left="1276"/>
        <w:contextualSpacing/>
        <w:jc w:val="both"/>
        <w:rPr>
          <w:rFonts w:ascii="Times New Roman" w:hAnsi="Times New Roman"/>
          <w:sz w:val="28"/>
          <w:szCs w:val="28"/>
        </w:rPr>
      </w:pPr>
      <w:r w:rsidRPr="00332C11">
        <w:rPr>
          <w:rFonts w:ascii="Times New Roman" w:hAnsi="Times New Roman"/>
          <w:sz w:val="28"/>
          <w:szCs w:val="28"/>
        </w:rPr>
        <w:t>Прокладка теплотрасс и</w:t>
      </w:r>
      <w:r>
        <w:rPr>
          <w:rFonts w:ascii="Times New Roman" w:hAnsi="Times New Roman"/>
          <w:sz w:val="28"/>
          <w:szCs w:val="28"/>
        </w:rPr>
        <w:t> </w:t>
      </w:r>
      <w:r w:rsidRPr="00332C11">
        <w:rPr>
          <w:rFonts w:ascii="Times New Roman" w:hAnsi="Times New Roman"/>
          <w:sz w:val="28"/>
          <w:szCs w:val="28"/>
        </w:rPr>
        <w:t>других трубопроводов, производство значительной планировки грунта – 100 м;</w:t>
      </w:r>
    </w:p>
    <w:p w:rsidR="002D1E45" w:rsidRPr="00332C11" w:rsidRDefault="002D1E45" w:rsidP="00852938">
      <w:pPr>
        <w:numPr>
          <w:ilvl w:val="1"/>
          <w:numId w:val="30"/>
        </w:numPr>
        <w:spacing w:after="0" w:line="240" w:lineRule="auto"/>
        <w:ind w:left="1276"/>
        <w:contextualSpacing/>
        <w:jc w:val="both"/>
        <w:rPr>
          <w:rFonts w:ascii="Times New Roman" w:hAnsi="Times New Roman"/>
          <w:sz w:val="28"/>
          <w:szCs w:val="28"/>
        </w:rPr>
      </w:pPr>
      <w:r w:rsidRPr="00332C11">
        <w:rPr>
          <w:rFonts w:ascii="Times New Roman" w:hAnsi="Times New Roman"/>
          <w:sz w:val="28"/>
          <w:szCs w:val="28"/>
        </w:rPr>
        <w:t>Устройство стоянок транспорта и</w:t>
      </w:r>
      <w:r>
        <w:rPr>
          <w:rFonts w:ascii="Times New Roman" w:hAnsi="Times New Roman"/>
          <w:sz w:val="28"/>
          <w:szCs w:val="28"/>
        </w:rPr>
        <w:t> </w:t>
      </w:r>
      <w:r w:rsidRPr="00332C11">
        <w:rPr>
          <w:rFonts w:ascii="Times New Roman" w:hAnsi="Times New Roman"/>
          <w:sz w:val="28"/>
          <w:szCs w:val="28"/>
        </w:rPr>
        <w:t>других машин и</w:t>
      </w:r>
      <w:r>
        <w:rPr>
          <w:rFonts w:ascii="Times New Roman" w:hAnsi="Times New Roman"/>
          <w:sz w:val="28"/>
          <w:szCs w:val="28"/>
        </w:rPr>
        <w:t> </w:t>
      </w:r>
      <w:r w:rsidRPr="00332C11">
        <w:rPr>
          <w:rFonts w:ascii="Times New Roman" w:hAnsi="Times New Roman"/>
          <w:sz w:val="28"/>
          <w:szCs w:val="28"/>
        </w:rPr>
        <w:t>механизмов, свалок мусора, слива растворов кислот, солей, щелочей, складирование удобрений и</w:t>
      </w:r>
      <w:r>
        <w:rPr>
          <w:rFonts w:ascii="Times New Roman" w:hAnsi="Times New Roman"/>
          <w:sz w:val="28"/>
          <w:szCs w:val="28"/>
        </w:rPr>
        <w:t> </w:t>
      </w:r>
      <w:r w:rsidRPr="00332C11">
        <w:rPr>
          <w:rFonts w:ascii="Times New Roman" w:hAnsi="Times New Roman"/>
          <w:sz w:val="28"/>
          <w:szCs w:val="28"/>
        </w:rPr>
        <w:t>металлических изделий – 150 м;</w:t>
      </w:r>
    </w:p>
    <w:p w:rsidR="002D1E45" w:rsidRDefault="002D1E45" w:rsidP="00852938">
      <w:pPr>
        <w:numPr>
          <w:ilvl w:val="1"/>
          <w:numId w:val="30"/>
        </w:numPr>
        <w:spacing w:after="0" w:line="240" w:lineRule="auto"/>
        <w:ind w:left="1276"/>
        <w:contextualSpacing/>
        <w:jc w:val="both"/>
        <w:rPr>
          <w:rFonts w:ascii="Times New Roman" w:hAnsi="Times New Roman"/>
          <w:sz w:val="28"/>
          <w:szCs w:val="28"/>
        </w:rPr>
      </w:pPr>
      <w:r w:rsidRPr="00332C11">
        <w:rPr>
          <w:rFonts w:ascii="Times New Roman" w:hAnsi="Times New Roman"/>
          <w:sz w:val="28"/>
          <w:szCs w:val="28"/>
        </w:rPr>
        <w:t>Прокладка и</w:t>
      </w:r>
      <w:r>
        <w:rPr>
          <w:rFonts w:ascii="Times New Roman" w:hAnsi="Times New Roman"/>
          <w:sz w:val="28"/>
          <w:szCs w:val="28"/>
        </w:rPr>
        <w:t> </w:t>
      </w:r>
      <w:r w:rsidRPr="00332C11">
        <w:rPr>
          <w:rFonts w:ascii="Times New Roman" w:hAnsi="Times New Roman"/>
          <w:sz w:val="28"/>
          <w:szCs w:val="28"/>
        </w:rPr>
        <w:t>сооружение железных, автомобильных и</w:t>
      </w:r>
      <w:r>
        <w:rPr>
          <w:rFonts w:ascii="Times New Roman" w:hAnsi="Times New Roman"/>
          <w:sz w:val="28"/>
          <w:szCs w:val="28"/>
        </w:rPr>
        <w:t> </w:t>
      </w:r>
      <w:r w:rsidRPr="00332C11">
        <w:rPr>
          <w:rFonts w:ascii="Times New Roman" w:hAnsi="Times New Roman"/>
          <w:sz w:val="28"/>
          <w:szCs w:val="28"/>
        </w:rPr>
        <w:t>других дорог, контактных линий трамвая, троллейбуса – 200 м.</w:t>
      </w:r>
    </w:p>
    <w:p w:rsidR="002D1E45" w:rsidRPr="006F1669" w:rsidRDefault="002D1E45" w:rsidP="006F1669">
      <w:pPr>
        <w:spacing w:after="0" w:line="240" w:lineRule="auto"/>
        <w:ind w:firstLine="709"/>
        <w:jc w:val="both"/>
        <w:rPr>
          <w:rFonts w:ascii="Times New Roman" w:hAnsi="Times New Roman"/>
          <w:bCs/>
          <w:iCs/>
          <w:sz w:val="28"/>
          <w:szCs w:val="28"/>
        </w:rPr>
      </w:pPr>
      <w:r w:rsidRPr="006F1669">
        <w:rPr>
          <w:rFonts w:ascii="Times New Roman" w:hAnsi="Times New Roman"/>
          <w:bCs/>
          <w:iCs/>
          <w:sz w:val="28"/>
          <w:szCs w:val="28"/>
        </w:rPr>
        <w:t>Перечень нормативных правовых актов, в</w:t>
      </w:r>
      <w:r>
        <w:rPr>
          <w:rFonts w:ascii="Times New Roman" w:hAnsi="Times New Roman"/>
          <w:bCs/>
          <w:iCs/>
          <w:sz w:val="28"/>
          <w:szCs w:val="28"/>
        </w:rPr>
        <w:t> </w:t>
      </w:r>
      <w:r w:rsidRPr="006F1669">
        <w:rPr>
          <w:rFonts w:ascii="Times New Roman" w:hAnsi="Times New Roman"/>
          <w:bCs/>
          <w:iCs/>
          <w:sz w:val="28"/>
          <w:szCs w:val="28"/>
        </w:rPr>
        <w:t>соответствии с</w:t>
      </w:r>
      <w:r>
        <w:rPr>
          <w:rFonts w:ascii="Times New Roman" w:hAnsi="Times New Roman"/>
          <w:bCs/>
          <w:iCs/>
          <w:sz w:val="28"/>
          <w:szCs w:val="28"/>
        </w:rPr>
        <w:t> </w:t>
      </w:r>
      <w:r w:rsidRPr="006F1669">
        <w:rPr>
          <w:rFonts w:ascii="Times New Roman" w:hAnsi="Times New Roman"/>
          <w:bCs/>
          <w:iCs/>
          <w:sz w:val="28"/>
          <w:szCs w:val="28"/>
        </w:rPr>
        <w:t>которыми регламентируются размеры, режимы использования зон с</w:t>
      </w:r>
      <w:r>
        <w:rPr>
          <w:rFonts w:ascii="Times New Roman" w:hAnsi="Times New Roman"/>
          <w:bCs/>
          <w:iCs/>
          <w:sz w:val="28"/>
          <w:szCs w:val="28"/>
        </w:rPr>
        <w:t> </w:t>
      </w:r>
      <w:r w:rsidRPr="006F1669">
        <w:rPr>
          <w:rFonts w:ascii="Times New Roman" w:hAnsi="Times New Roman"/>
          <w:bCs/>
          <w:iCs/>
          <w:sz w:val="28"/>
          <w:szCs w:val="28"/>
        </w:rPr>
        <w:t>особыми условиями использования территорий:</w:t>
      </w:r>
    </w:p>
    <w:p w:rsidR="002D1E45" w:rsidRPr="006F1669" w:rsidRDefault="002D1E45" w:rsidP="00852938">
      <w:pPr>
        <w:numPr>
          <w:ilvl w:val="0"/>
          <w:numId w:val="24"/>
        </w:numPr>
        <w:tabs>
          <w:tab w:val="num" w:pos="797"/>
          <w:tab w:val="num" w:pos="1068"/>
          <w:tab w:val="left" w:pos="1134"/>
        </w:tabs>
        <w:spacing w:after="0" w:line="240" w:lineRule="auto"/>
        <w:jc w:val="both"/>
        <w:rPr>
          <w:rFonts w:ascii="Times New Roman" w:hAnsi="Times New Roman"/>
          <w:sz w:val="28"/>
          <w:szCs w:val="28"/>
        </w:rPr>
      </w:pPr>
      <w:r w:rsidRPr="006F1669">
        <w:rPr>
          <w:rFonts w:ascii="Times New Roman" w:hAnsi="Times New Roman"/>
          <w:sz w:val="28"/>
          <w:szCs w:val="28"/>
        </w:rPr>
        <w:t>Водный кодекс Российской Федерации;</w:t>
      </w:r>
    </w:p>
    <w:p w:rsidR="002D1E45" w:rsidRPr="006F1669" w:rsidRDefault="002D1E45" w:rsidP="00852938">
      <w:pPr>
        <w:numPr>
          <w:ilvl w:val="0"/>
          <w:numId w:val="24"/>
        </w:numPr>
        <w:tabs>
          <w:tab w:val="num" w:pos="797"/>
          <w:tab w:val="num" w:pos="1068"/>
          <w:tab w:val="left" w:pos="1134"/>
        </w:tabs>
        <w:spacing w:after="0" w:line="240" w:lineRule="auto"/>
        <w:jc w:val="both"/>
        <w:rPr>
          <w:rFonts w:ascii="Times New Roman" w:hAnsi="Times New Roman"/>
          <w:sz w:val="28"/>
          <w:szCs w:val="28"/>
        </w:rPr>
      </w:pPr>
      <w:r w:rsidRPr="006F1669">
        <w:rPr>
          <w:rFonts w:ascii="Times New Roman" w:hAnsi="Times New Roman"/>
          <w:sz w:val="28"/>
          <w:szCs w:val="28"/>
        </w:rPr>
        <w:t>Федеральный закон от 08.11.2007 № 257-ФЗ «Об автомобильных дорогах и</w:t>
      </w:r>
      <w:r>
        <w:rPr>
          <w:rFonts w:ascii="Times New Roman" w:hAnsi="Times New Roman"/>
          <w:sz w:val="28"/>
          <w:szCs w:val="28"/>
        </w:rPr>
        <w:t> </w:t>
      </w:r>
      <w:r w:rsidRPr="006F1669">
        <w:rPr>
          <w:rFonts w:ascii="Times New Roman" w:hAnsi="Times New Roman"/>
          <w:sz w:val="28"/>
          <w:szCs w:val="28"/>
        </w:rPr>
        <w:t>о</w:t>
      </w:r>
      <w:r>
        <w:rPr>
          <w:rFonts w:ascii="Times New Roman" w:hAnsi="Times New Roman"/>
          <w:sz w:val="28"/>
          <w:szCs w:val="28"/>
        </w:rPr>
        <w:t> </w:t>
      </w:r>
      <w:r w:rsidRPr="006F1669">
        <w:rPr>
          <w:rFonts w:ascii="Times New Roman" w:hAnsi="Times New Roman"/>
          <w:sz w:val="28"/>
          <w:szCs w:val="28"/>
        </w:rPr>
        <w:t>дорожной деятельности в</w:t>
      </w:r>
      <w:r>
        <w:rPr>
          <w:rFonts w:ascii="Times New Roman" w:hAnsi="Times New Roman"/>
          <w:sz w:val="28"/>
          <w:szCs w:val="28"/>
        </w:rPr>
        <w:t> </w:t>
      </w:r>
      <w:r w:rsidRPr="006F1669">
        <w:rPr>
          <w:rFonts w:ascii="Times New Roman" w:hAnsi="Times New Roman"/>
          <w:sz w:val="28"/>
          <w:szCs w:val="28"/>
        </w:rPr>
        <w:t>Российской Федерации и</w:t>
      </w:r>
      <w:r>
        <w:rPr>
          <w:rFonts w:ascii="Times New Roman" w:hAnsi="Times New Roman"/>
          <w:sz w:val="28"/>
          <w:szCs w:val="28"/>
        </w:rPr>
        <w:t> </w:t>
      </w:r>
      <w:r w:rsidRPr="006F1669">
        <w:rPr>
          <w:rFonts w:ascii="Times New Roman" w:hAnsi="Times New Roman"/>
          <w:sz w:val="28"/>
          <w:szCs w:val="28"/>
        </w:rPr>
        <w:t>о</w:t>
      </w:r>
      <w:r>
        <w:rPr>
          <w:rFonts w:ascii="Times New Roman" w:hAnsi="Times New Roman"/>
          <w:sz w:val="28"/>
          <w:szCs w:val="28"/>
        </w:rPr>
        <w:t> </w:t>
      </w:r>
      <w:r w:rsidRPr="006F1669">
        <w:rPr>
          <w:rFonts w:ascii="Times New Roman" w:hAnsi="Times New Roman"/>
          <w:sz w:val="28"/>
          <w:szCs w:val="28"/>
        </w:rPr>
        <w:t>внесении изменений в</w:t>
      </w:r>
      <w:r>
        <w:rPr>
          <w:rFonts w:ascii="Times New Roman" w:hAnsi="Times New Roman"/>
          <w:sz w:val="28"/>
          <w:szCs w:val="28"/>
        </w:rPr>
        <w:t> </w:t>
      </w:r>
      <w:r w:rsidRPr="006F1669">
        <w:rPr>
          <w:rFonts w:ascii="Times New Roman" w:hAnsi="Times New Roman"/>
          <w:sz w:val="28"/>
          <w:szCs w:val="28"/>
        </w:rPr>
        <w:t>отдельные законодательные акты Российской Федерации»;</w:t>
      </w:r>
    </w:p>
    <w:p w:rsidR="002D1E45" w:rsidRPr="003A1899" w:rsidRDefault="002D1E45" w:rsidP="00852938">
      <w:pPr>
        <w:numPr>
          <w:ilvl w:val="0"/>
          <w:numId w:val="24"/>
        </w:numPr>
        <w:tabs>
          <w:tab w:val="num" w:pos="1068"/>
          <w:tab w:val="left" w:pos="1134"/>
        </w:tabs>
        <w:spacing w:after="0" w:line="240" w:lineRule="auto"/>
        <w:jc w:val="both"/>
        <w:rPr>
          <w:rFonts w:ascii="Times New Roman" w:hAnsi="Times New Roman"/>
          <w:sz w:val="28"/>
          <w:szCs w:val="28"/>
        </w:rPr>
      </w:pPr>
      <w:r w:rsidRPr="003A1899">
        <w:rPr>
          <w:rFonts w:ascii="Times New Roman" w:hAnsi="Times New Roman"/>
          <w:sz w:val="28"/>
          <w:szCs w:val="28"/>
        </w:rPr>
        <w:t>Постановление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2D1E45" w:rsidRPr="003A1899" w:rsidRDefault="002D1E45" w:rsidP="00852938">
      <w:pPr>
        <w:numPr>
          <w:ilvl w:val="0"/>
          <w:numId w:val="24"/>
        </w:numPr>
        <w:tabs>
          <w:tab w:val="num" w:pos="1068"/>
          <w:tab w:val="left" w:pos="1134"/>
        </w:tabs>
        <w:spacing w:after="0" w:line="240" w:lineRule="auto"/>
        <w:jc w:val="both"/>
        <w:rPr>
          <w:rFonts w:ascii="Times New Roman" w:hAnsi="Times New Roman"/>
          <w:sz w:val="28"/>
          <w:szCs w:val="28"/>
        </w:rPr>
      </w:pPr>
      <w:r w:rsidRPr="003A1899">
        <w:rPr>
          <w:rFonts w:ascii="Times New Roman" w:hAnsi="Times New Roman"/>
          <w:sz w:val="28"/>
          <w:szCs w:val="28"/>
        </w:rPr>
        <w:t>Постановление Правительства Российской Федерации от 20.11.2000 № 878 «Об утверждении Правил охраны газораспределительных сетей»;</w:t>
      </w:r>
    </w:p>
    <w:p w:rsidR="002D1E45" w:rsidRPr="003A1899" w:rsidRDefault="002D1E45" w:rsidP="00852938">
      <w:pPr>
        <w:numPr>
          <w:ilvl w:val="0"/>
          <w:numId w:val="24"/>
        </w:numPr>
        <w:tabs>
          <w:tab w:val="num" w:pos="1068"/>
          <w:tab w:val="left" w:pos="1134"/>
        </w:tabs>
        <w:spacing w:after="0" w:line="240" w:lineRule="auto"/>
        <w:jc w:val="both"/>
        <w:rPr>
          <w:rFonts w:ascii="Times New Roman" w:hAnsi="Times New Roman"/>
          <w:sz w:val="28"/>
          <w:szCs w:val="28"/>
        </w:rPr>
      </w:pPr>
      <w:r w:rsidRPr="003A1899">
        <w:rPr>
          <w:rFonts w:ascii="Times New Roman" w:hAnsi="Times New Roman"/>
          <w:sz w:val="28"/>
          <w:szCs w:val="28"/>
        </w:rPr>
        <w:t>Постановление Правительства Российской Федерации от 27.08.1999 № 972 «Об утверждении Положения о создании охранных зон стационарных пунктов наблюдений за состоянием окружающей природной среды, ее загрязнением»;</w:t>
      </w:r>
    </w:p>
    <w:p w:rsidR="002D1E45" w:rsidRPr="003A1899" w:rsidRDefault="002D1E45" w:rsidP="00852938">
      <w:pPr>
        <w:numPr>
          <w:ilvl w:val="0"/>
          <w:numId w:val="24"/>
        </w:numPr>
        <w:tabs>
          <w:tab w:val="num" w:pos="1068"/>
          <w:tab w:val="left" w:pos="1134"/>
        </w:tabs>
        <w:spacing w:after="0" w:line="240" w:lineRule="auto"/>
        <w:jc w:val="both"/>
        <w:rPr>
          <w:rFonts w:ascii="Times New Roman" w:hAnsi="Times New Roman"/>
          <w:sz w:val="28"/>
          <w:szCs w:val="28"/>
        </w:rPr>
      </w:pPr>
      <w:r w:rsidRPr="003A1899">
        <w:rPr>
          <w:rFonts w:ascii="Times New Roman" w:hAnsi="Times New Roman"/>
          <w:sz w:val="28"/>
          <w:szCs w:val="28"/>
        </w:rPr>
        <w:t>Постановление Правительства Российской Федерации от 09.06.1995 № 578 «Об утверждении Правил охраны линий и сооружений связи Российской Федерации»;</w:t>
      </w:r>
    </w:p>
    <w:p w:rsidR="002D1E45" w:rsidRPr="003A1899" w:rsidRDefault="002D1E45" w:rsidP="00852938">
      <w:pPr>
        <w:numPr>
          <w:ilvl w:val="0"/>
          <w:numId w:val="24"/>
        </w:numPr>
        <w:tabs>
          <w:tab w:val="num" w:pos="1068"/>
          <w:tab w:val="left" w:pos="1134"/>
        </w:tabs>
        <w:spacing w:after="0" w:line="240" w:lineRule="auto"/>
        <w:jc w:val="both"/>
        <w:rPr>
          <w:rFonts w:ascii="Times New Roman" w:hAnsi="Times New Roman"/>
          <w:sz w:val="28"/>
          <w:szCs w:val="28"/>
        </w:rPr>
      </w:pPr>
      <w:r w:rsidRPr="003A1899">
        <w:rPr>
          <w:rFonts w:ascii="Times New Roman" w:hAnsi="Times New Roman"/>
          <w:sz w:val="28"/>
          <w:szCs w:val="28"/>
        </w:rPr>
        <w:t>Постановление Госгортехнадзора Российской Федерации от 22.04.1992 № 9 «Правила охраны магистральных трубопроводов»;</w:t>
      </w:r>
    </w:p>
    <w:p w:rsidR="002D1E45" w:rsidRPr="006F1669" w:rsidRDefault="002D1E45" w:rsidP="00852938">
      <w:pPr>
        <w:numPr>
          <w:ilvl w:val="0"/>
          <w:numId w:val="24"/>
        </w:numPr>
        <w:tabs>
          <w:tab w:val="num" w:pos="797"/>
          <w:tab w:val="num" w:pos="1068"/>
          <w:tab w:val="left" w:pos="1134"/>
        </w:tabs>
        <w:spacing w:after="0" w:line="240" w:lineRule="auto"/>
        <w:jc w:val="both"/>
        <w:rPr>
          <w:rFonts w:ascii="Times New Roman" w:hAnsi="Times New Roman"/>
          <w:sz w:val="28"/>
          <w:szCs w:val="28"/>
        </w:rPr>
      </w:pPr>
      <w:r w:rsidRPr="006F1669">
        <w:rPr>
          <w:rFonts w:ascii="Times New Roman" w:hAnsi="Times New Roman"/>
          <w:sz w:val="28"/>
          <w:szCs w:val="28"/>
        </w:rPr>
        <w:t>Правила охраны газораспределительных сетей, утверждённые Постановлением Правительства Российской Федерации от 20.11.2000 № 878;</w:t>
      </w:r>
    </w:p>
    <w:p w:rsidR="002D1E45" w:rsidRDefault="002D1E45" w:rsidP="00852938">
      <w:pPr>
        <w:numPr>
          <w:ilvl w:val="0"/>
          <w:numId w:val="24"/>
        </w:numPr>
        <w:tabs>
          <w:tab w:val="num" w:pos="797"/>
          <w:tab w:val="num" w:pos="1068"/>
          <w:tab w:val="left" w:pos="1134"/>
        </w:tabs>
        <w:spacing w:after="0" w:line="240" w:lineRule="auto"/>
        <w:jc w:val="both"/>
        <w:rPr>
          <w:rFonts w:ascii="Times New Roman" w:hAnsi="Times New Roman"/>
          <w:sz w:val="28"/>
          <w:szCs w:val="28"/>
        </w:rPr>
      </w:pPr>
      <w:r w:rsidRPr="006F1669">
        <w:rPr>
          <w:rFonts w:ascii="Times New Roman" w:hAnsi="Times New Roman"/>
          <w:sz w:val="28"/>
          <w:szCs w:val="28"/>
        </w:rPr>
        <w:t>Правила охраны линий и</w:t>
      </w:r>
      <w:r>
        <w:rPr>
          <w:rFonts w:ascii="Times New Roman" w:hAnsi="Times New Roman"/>
          <w:sz w:val="28"/>
          <w:szCs w:val="28"/>
        </w:rPr>
        <w:t> </w:t>
      </w:r>
      <w:r w:rsidRPr="006F1669">
        <w:rPr>
          <w:rFonts w:ascii="Times New Roman" w:hAnsi="Times New Roman"/>
          <w:sz w:val="28"/>
          <w:szCs w:val="28"/>
        </w:rPr>
        <w:t>сооружений связи Российской Федерации, утверждённые Постановлением Правительства Российско</w:t>
      </w:r>
      <w:r>
        <w:rPr>
          <w:rFonts w:ascii="Times New Roman" w:hAnsi="Times New Roman"/>
          <w:sz w:val="28"/>
          <w:szCs w:val="28"/>
        </w:rPr>
        <w:t>й Федерации от 09.06.1995 № 578;</w:t>
      </w:r>
    </w:p>
    <w:p w:rsidR="002D1E45" w:rsidRPr="006F1669" w:rsidRDefault="002D1E45" w:rsidP="00852938">
      <w:pPr>
        <w:numPr>
          <w:ilvl w:val="0"/>
          <w:numId w:val="24"/>
        </w:numPr>
        <w:tabs>
          <w:tab w:val="num" w:pos="797"/>
          <w:tab w:val="num" w:pos="1068"/>
          <w:tab w:val="left" w:pos="1134"/>
        </w:tabs>
        <w:spacing w:after="0" w:line="240" w:lineRule="auto"/>
        <w:jc w:val="both"/>
        <w:rPr>
          <w:rFonts w:ascii="Times New Roman" w:hAnsi="Times New Roman"/>
          <w:sz w:val="28"/>
          <w:szCs w:val="28"/>
        </w:rPr>
      </w:pPr>
      <w:r w:rsidRPr="006F1669">
        <w:rPr>
          <w:rFonts w:ascii="Times New Roman" w:hAnsi="Times New Roman"/>
          <w:sz w:val="28"/>
          <w:szCs w:val="28"/>
        </w:rPr>
        <w:t>Положение о</w:t>
      </w:r>
      <w:r>
        <w:rPr>
          <w:rFonts w:ascii="Times New Roman" w:hAnsi="Times New Roman"/>
          <w:sz w:val="28"/>
          <w:szCs w:val="28"/>
        </w:rPr>
        <w:t> </w:t>
      </w:r>
      <w:r w:rsidRPr="006F1669">
        <w:rPr>
          <w:rFonts w:ascii="Times New Roman" w:hAnsi="Times New Roman"/>
          <w:sz w:val="28"/>
          <w:szCs w:val="28"/>
        </w:rPr>
        <w:t>создании охранных зон стационарных пунктов наблюдений за</w:t>
      </w:r>
      <w:r>
        <w:rPr>
          <w:rFonts w:ascii="Times New Roman" w:hAnsi="Times New Roman"/>
          <w:sz w:val="28"/>
          <w:szCs w:val="28"/>
        </w:rPr>
        <w:t> </w:t>
      </w:r>
      <w:r w:rsidRPr="006F1669">
        <w:rPr>
          <w:rFonts w:ascii="Times New Roman" w:hAnsi="Times New Roman"/>
          <w:sz w:val="28"/>
          <w:szCs w:val="28"/>
        </w:rPr>
        <w:t>состоянием окружающей среды, е</w:t>
      </w:r>
      <w:r>
        <w:rPr>
          <w:rFonts w:ascii="Times New Roman" w:hAnsi="Times New Roman"/>
          <w:sz w:val="28"/>
          <w:szCs w:val="28"/>
        </w:rPr>
        <w:t>ё</w:t>
      </w:r>
      <w:r w:rsidRPr="006F1669">
        <w:rPr>
          <w:rFonts w:ascii="Times New Roman" w:hAnsi="Times New Roman"/>
          <w:sz w:val="28"/>
          <w:szCs w:val="28"/>
        </w:rPr>
        <w:t xml:space="preserve"> загрязнением, утверждённ</w:t>
      </w:r>
      <w:r>
        <w:rPr>
          <w:rFonts w:ascii="Times New Roman" w:hAnsi="Times New Roman"/>
          <w:sz w:val="28"/>
          <w:szCs w:val="28"/>
        </w:rPr>
        <w:t>ое</w:t>
      </w:r>
      <w:r w:rsidRPr="006F1669">
        <w:rPr>
          <w:rFonts w:ascii="Times New Roman" w:hAnsi="Times New Roman"/>
          <w:sz w:val="28"/>
          <w:szCs w:val="28"/>
        </w:rPr>
        <w:t xml:space="preserve"> </w:t>
      </w:r>
      <w:r>
        <w:rPr>
          <w:rFonts w:ascii="Times New Roman" w:hAnsi="Times New Roman"/>
          <w:sz w:val="28"/>
          <w:szCs w:val="28"/>
        </w:rPr>
        <w:t>П</w:t>
      </w:r>
      <w:r w:rsidRPr="006F1669">
        <w:rPr>
          <w:rFonts w:ascii="Times New Roman" w:hAnsi="Times New Roman"/>
          <w:sz w:val="28"/>
          <w:szCs w:val="28"/>
        </w:rPr>
        <w:t>остановлением Правительства Российской Федерации от 27.08.1999 №</w:t>
      </w:r>
      <w:r>
        <w:rPr>
          <w:rFonts w:ascii="Times New Roman" w:hAnsi="Times New Roman"/>
          <w:sz w:val="28"/>
          <w:szCs w:val="28"/>
        </w:rPr>
        <w:t> </w:t>
      </w:r>
      <w:r w:rsidRPr="006F1669">
        <w:rPr>
          <w:rFonts w:ascii="Times New Roman" w:hAnsi="Times New Roman"/>
          <w:sz w:val="28"/>
          <w:szCs w:val="28"/>
        </w:rPr>
        <w:t>972</w:t>
      </w:r>
      <w:r>
        <w:rPr>
          <w:rFonts w:ascii="Times New Roman" w:hAnsi="Times New Roman"/>
          <w:sz w:val="28"/>
          <w:szCs w:val="28"/>
        </w:rPr>
        <w:t>;</w:t>
      </w:r>
    </w:p>
    <w:p w:rsidR="002D1E45" w:rsidRPr="006F1669" w:rsidRDefault="002D1E45" w:rsidP="00852938">
      <w:pPr>
        <w:numPr>
          <w:ilvl w:val="0"/>
          <w:numId w:val="24"/>
        </w:numPr>
        <w:tabs>
          <w:tab w:val="num" w:pos="797"/>
          <w:tab w:val="num" w:pos="1068"/>
          <w:tab w:val="left" w:pos="1134"/>
        </w:tabs>
        <w:spacing w:after="0" w:line="240" w:lineRule="auto"/>
        <w:jc w:val="both"/>
        <w:rPr>
          <w:rFonts w:ascii="Times New Roman" w:hAnsi="Times New Roman"/>
          <w:sz w:val="28"/>
          <w:szCs w:val="28"/>
        </w:rPr>
      </w:pPr>
      <w:r w:rsidRPr="006F1669">
        <w:rPr>
          <w:rFonts w:ascii="Times New Roman" w:hAnsi="Times New Roman"/>
          <w:sz w:val="28"/>
          <w:szCs w:val="28"/>
        </w:rPr>
        <w:t>Правила охраны магистральных трубопроводов, утверждённые Постановлением Федерального горного и</w:t>
      </w:r>
      <w:r>
        <w:rPr>
          <w:rFonts w:ascii="Times New Roman" w:hAnsi="Times New Roman"/>
          <w:sz w:val="28"/>
          <w:szCs w:val="28"/>
        </w:rPr>
        <w:t> </w:t>
      </w:r>
      <w:r w:rsidRPr="006F1669">
        <w:rPr>
          <w:rFonts w:ascii="Times New Roman" w:hAnsi="Times New Roman"/>
          <w:sz w:val="28"/>
          <w:szCs w:val="28"/>
        </w:rPr>
        <w:t>промышленного надзора России от 22.04.1992 № 9;</w:t>
      </w:r>
    </w:p>
    <w:p w:rsidR="002D1E45" w:rsidRPr="006F1669" w:rsidRDefault="002D1E45" w:rsidP="00852938">
      <w:pPr>
        <w:numPr>
          <w:ilvl w:val="0"/>
          <w:numId w:val="24"/>
        </w:numPr>
        <w:tabs>
          <w:tab w:val="num" w:pos="797"/>
          <w:tab w:val="num" w:pos="1068"/>
          <w:tab w:val="left" w:pos="1134"/>
        </w:tabs>
        <w:spacing w:after="0" w:line="240" w:lineRule="auto"/>
        <w:jc w:val="both"/>
        <w:rPr>
          <w:rFonts w:ascii="Times New Roman" w:hAnsi="Times New Roman"/>
          <w:sz w:val="28"/>
          <w:szCs w:val="28"/>
        </w:rPr>
      </w:pPr>
      <w:r w:rsidRPr="006F1669">
        <w:rPr>
          <w:rFonts w:ascii="Times New Roman" w:hAnsi="Times New Roman"/>
          <w:sz w:val="28"/>
          <w:szCs w:val="28"/>
        </w:rPr>
        <w:t>СанПиН 2.2.1/2.1.1.1200-03 «Санитарно-защитные зоны и</w:t>
      </w:r>
      <w:r>
        <w:rPr>
          <w:rFonts w:ascii="Times New Roman" w:hAnsi="Times New Roman"/>
          <w:sz w:val="28"/>
          <w:szCs w:val="28"/>
        </w:rPr>
        <w:t> </w:t>
      </w:r>
      <w:r w:rsidRPr="006F1669">
        <w:rPr>
          <w:rFonts w:ascii="Times New Roman" w:hAnsi="Times New Roman"/>
          <w:sz w:val="28"/>
          <w:szCs w:val="28"/>
        </w:rPr>
        <w:t>санитарная классификация предприятий, сооружений и</w:t>
      </w:r>
      <w:r>
        <w:rPr>
          <w:rFonts w:ascii="Times New Roman" w:hAnsi="Times New Roman"/>
          <w:sz w:val="28"/>
          <w:szCs w:val="28"/>
        </w:rPr>
        <w:t> </w:t>
      </w:r>
      <w:r w:rsidRPr="006F1669">
        <w:rPr>
          <w:rFonts w:ascii="Times New Roman" w:hAnsi="Times New Roman"/>
          <w:sz w:val="28"/>
          <w:szCs w:val="28"/>
        </w:rPr>
        <w:t>иных объектов»;</w:t>
      </w:r>
    </w:p>
    <w:p w:rsidR="002D1E45" w:rsidRPr="006F1669" w:rsidRDefault="002D1E45" w:rsidP="00852938">
      <w:pPr>
        <w:numPr>
          <w:ilvl w:val="0"/>
          <w:numId w:val="24"/>
        </w:numPr>
        <w:tabs>
          <w:tab w:val="num" w:pos="797"/>
          <w:tab w:val="num" w:pos="1068"/>
          <w:tab w:val="left" w:pos="1134"/>
        </w:tabs>
        <w:spacing w:after="0" w:line="240" w:lineRule="auto"/>
        <w:jc w:val="both"/>
        <w:rPr>
          <w:rFonts w:ascii="Times New Roman" w:hAnsi="Times New Roman"/>
          <w:sz w:val="28"/>
          <w:szCs w:val="28"/>
        </w:rPr>
      </w:pPr>
      <w:r w:rsidRPr="006F1669">
        <w:rPr>
          <w:rFonts w:ascii="Times New Roman" w:hAnsi="Times New Roman"/>
          <w:sz w:val="28"/>
          <w:szCs w:val="28"/>
        </w:rPr>
        <w:t>СанПиН 2.1.4.1110-02 «Зоны санитарной охраны источников водоснабжения и</w:t>
      </w:r>
      <w:r>
        <w:rPr>
          <w:rFonts w:ascii="Times New Roman" w:hAnsi="Times New Roman"/>
          <w:sz w:val="28"/>
          <w:szCs w:val="28"/>
        </w:rPr>
        <w:t> </w:t>
      </w:r>
      <w:r w:rsidRPr="006F1669">
        <w:rPr>
          <w:rFonts w:ascii="Times New Roman" w:hAnsi="Times New Roman"/>
          <w:sz w:val="28"/>
          <w:szCs w:val="28"/>
        </w:rPr>
        <w:t>водопроводов питьевого назначения»;</w:t>
      </w:r>
    </w:p>
    <w:p w:rsidR="002D1E45" w:rsidRPr="006F1669" w:rsidRDefault="002D1E45" w:rsidP="00852938">
      <w:pPr>
        <w:numPr>
          <w:ilvl w:val="0"/>
          <w:numId w:val="24"/>
        </w:numPr>
        <w:tabs>
          <w:tab w:val="num" w:pos="797"/>
          <w:tab w:val="num" w:pos="1068"/>
          <w:tab w:val="left" w:pos="1134"/>
        </w:tabs>
        <w:spacing w:after="0" w:line="240" w:lineRule="auto"/>
        <w:jc w:val="both"/>
        <w:rPr>
          <w:rFonts w:ascii="Times New Roman" w:hAnsi="Times New Roman"/>
          <w:sz w:val="28"/>
          <w:szCs w:val="28"/>
        </w:rPr>
      </w:pPr>
      <w:r w:rsidRPr="006F1669">
        <w:rPr>
          <w:rFonts w:ascii="Times New Roman" w:hAnsi="Times New Roman"/>
          <w:sz w:val="28"/>
          <w:szCs w:val="28"/>
        </w:rPr>
        <w:t>СП 42.13330.201</w:t>
      </w:r>
      <w:r>
        <w:rPr>
          <w:rFonts w:ascii="Times New Roman" w:hAnsi="Times New Roman"/>
          <w:sz w:val="28"/>
          <w:szCs w:val="28"/>
        </w:rPr>
        <w:t>6</w:t>
      </w:r>
      <w:r w:rsidRPr="006F1669">
        <w:rPr>
          <w:rFonts w:ascii="Times New Roman" w:hAnsi="Times New Roman"/>
          <w:sz w:val="28"/>
          <w:szCs w:val="28"/>
        </w:rPr>
        <w:t xml:space="preserve"> «СНиП 2.07.01-89* «Градостроительство. Планировка и</w:t>
      </w:r>
      <w:r>
        <w:rPr>
          <w:rFonts w:ascii="Times New Roman" w:hAnsi="Times New Roman"/>
          <w:sz w:val="28"/>
          <w:szCs w:val="28"/>
        </w:rPr>
        <w:t> </w:t>
      </w:r>
      <w:r w:rsidRPr="006F1669">
        <w:rPr>
          <w:rFonts w:ascii="Times New Roman" w:hAnsi="Times New Roman"/>
          <w:sz w:val="28"/>
          <w:szCs w:val="28"/>
        </w:rPr>
        <w:t>застройка городских и</w:t>
      </w:r>
      <w:r>
        <w:rPr>
          <w:rFonts w:ascii="Times New Roman" w:hAnsi="Times New Roman"/>
          <w:sz w:val="28"/>
          <w:szCs w:val="28"/>
        </w:rPr>
        <w:t> </w:t>
      </w:r>
      <w:r w:rsidRPr="006F1669">
        <w:rPr>
          <w:rFonts w:ascii="Times New Roman" w:hAnsi="Times New Roman"/>
          <w:sz w:val="28"/>
          <w:szCs w:val="28"/>
        </w:rPr>
        <w:t>сельских поселений»;</w:t>
      </w:r>
    </w:p>
    <w:p w:rsidR="002D1E45" w:rsidRDefault="002D1E45" w:rsidP="00852938">
      <w:pPr>
        <w:numPr>
          <w:ilvl w:val="0"/>
          <w:numId w:val="24"/>
        </w:numPr>
        <w:tabs>
          <w:tab w:val="num" w:pos="797"/>
          <w:tab w:val="num" w:pos="1068"/>
          <w:tab w:val="left" w:pos="1134"/>
        </w:tabs>
        <w:spacing w:after="0" w:line="240" w:lineRule="auto"/>
        <w:jc w:val="both"/>
        <w:rPr>
          <w:rFonts w:ascii="Times New Roman" w:hAnsi="Times New Roman"/>
          <w:sz w:val="28"/>
          <w:szCs w:val="28"/>
        </w:rPr>
      </w:pPr>
      <w:r w:rsidRPr="007F5177">
        <w:rPr>
          <w:rFonts w:ascii="Times New Roman" w:hAnsi="Times New Roman"/>
          <w:sz w:val="28"/>
          <w:szCs w:val="28"/>
        </w:rPr>
        <w:t>Местны</w:t>
      </w:r>
      <w:r>
        <w:rPr>
          <w:rFonts w:ascii="Times New Roman" w:hAnsi="Times New Roman"/>
          <w:sz w:val="28"/>
          <w:szCs w:val="28"/>
        </w:rPr>
        <w:t>е</w:t>
      </w:r>
      <w:r w:rsidRPr="007F5177">
        <w:rPr>
          <w:rFonts w:ascii="Times New Roman" w:hAnsi="Times New Roman"/>
          <w:sz w:val="28"/>
          <w:szCs w:val="28"/>
        </w:rPr>
        <w:t xml:space="preserve"> норматив</w:t>
      </w:r>
      <w:r>
        <w:rPr>
          <w:rFonts w:ascii="Times New Roman" w:hAnsi="Times New Roman"/>
          <w:sz w:val="28"/>
          <w:szCs w:val="28"/>
        </w:rPr>
        <w:t>ы</w:t>
      </w:r>
      <w:r w:rsidRPr="007F5177">
        <w:rPr>
          <w:rFonts w:ascii="Times New Roman" w:hAnsi="Times New Roman"/>
          <w:sz w:val="28"/>
          <w:szCs w:val="28"/>
        </w:rPr>
        <w:t xml:space="preserve"> градостроительного проектирования Куйбышевского района Новосибирской области, утверждённы</w:t>
      </w:r>
      <w:r>
        <w:rPr>
          <w:rFonts w:ascii="Times New Roman" w:hAnsi="Times New Roman"/>
          <w:sz w:val="28"/>
          <w:szCs w:val="28"/>
        </w:rPr>
        <w:t>е</w:t>
      </w:r>
      <w:r w:rsidRPr="007F5177">
        <w:rPr>
          <w:rFonts w:ascii="Times New Roman" w:hAnsi="Times New Roman"/>
          <w:sz w:val="28"/>
          <w:szCs w:val="28"/>
        </w:rPr>
        <w:t xml:space="preserve"> </w:t>
      </w:r>
      <w:r>
        <w:rPr>
          <w:rFonts w:ascii="Times New Roman" w:hAnsi="Times New Roman"/>
          <w:sz w:val="28"/>
          <w:szCs w:val="28"/>
        </w:rPr>
        <w:t>р</w:t>
      </w:r>
      <w:r w:rsidRPr="007F5177">
        <w:rPr>
          <w:rFonts w:ascii="Times New Roman" w:hAnsi="Times New Roman"/>
          <w:sz w:val="28"/>
          <w:szCs w:val="28"/>
        </w:rPr>
        <w:t>ешением Совета депутатов Куйбышевского района Новосибирской области от 20.10.2016 № 7</w:t>
      </w:r>
      <w:r>
        <w:rPr>
          <w:rFonts w:ascii="Times New Roman" w:hAnsi="Times New Roman"/>
          <w:sz w:val="28"/>
          <w:szCs w:val="28"/>
        </w:rPr>
        <w:t>;</w:t>
      </w:r>
    </w:p>
    <w:p w:rsidR="002D1E45" w:rsidRDefault="002D1E45" w:rsidP="00852938">
      <w:pPr>
        <w:numPr>
          <w:ilvl w:val="0"/>
          <w:numId w:val="24"/>
        </w:numPr>
        <w:tabs>
          <w:tab w:val="num" w:pos="797"/>
          <w:tab w:val="num" w:pos="1068"/>
          <w:tab w:val="left" w:pos="1134"/>
        </w:tabs>
        <w:spacing w:after="0" w:line="240" w:lineRule="auto"/>
        <w:jc w:val="both"/>
        <w:rPr>
          <w:rFonts w:ascii="Times New Roman" w:hAnsi="Times New Roman"/>
          <w:sz w:val="28"/>
          <w:szCs w:val="28"/>
        </w:rPr>
      </w:pPr>
      <w:r w:rsidRPr="007F5177">
        <w:rPr>
          <w:rFonts w:ascii="Times New Roman" w:hAnsi="Times New Roman"/>
          <w:sz w:val="28"/>
          <w:szCs w:val="28"/>
        </w:rPr>
        <w:t>Местные нормативы градостроительного проектирования города Куйбышева, Куйбышевского района Новосибирской области, утверждённы</w:t>
      </w:r>
      <w:r>
        <w:rPr>
          <w:rFonts w:ascii="Times New Roman" w:hAnsi="Times New Roman"/>
          <w:sz w:val="28"/>
          <w:szCs w:val="28"/>
        </w:rPr>
        <w:t>е</w:t>
      </w:r>
      <w:r w:rsidRPr="007F5177">
        <w:rPr>
          <w:rFonts w:ascii="Times New Roman" w:hAnsi="Times New Roman"/>
          <w:sz w:val="28"/>
          <w:szCs w:val="28"/>
        </w:rPr>
        <w:t xml:space="preserve"> решением Совета депутатов города Куйбышева Куйбышевского района Новосибирской области от 20.02.2017 № 79</w:t>
      </w:r>
      <w:r>
        <w:rPr>
          <w:rFonts w:ascii="Times New Roman" w:hAnsi="Times New Roman"/>
          <w:sz w:val="28"/>
          <w:szCs w:val="28"/>
        </w:rPr>
        <w:t>.</w:t>
      </w:r>
    </w:p>
    <w:p w:rsidR="002D1E45" w:rsidRDefault="002D1E45" w:rsidP="000D0E34">
      <w:pPr>
        <w:spacing w:after="0" w:line="240" w:lineRule="auto"/>
        <w:ind w:firstLine="709"/>
        <w:jc w:val="both"/>
        <w:rPr>
          <w:rFonts w:ascii="Times New Roman" w:hAnsi="Times New Roman"/>
          <w:sz w:val="28"/>
          <w:szCs w:val="28"/>
        </w:rPr>
      </w:pPr>
      <w:r w:rsidRPr="000D0E34">
        <w:rPr>
          <w:rFonts w:ascii="Times New Roman" w:hAnsi="Times New Roman"/>
          <w:sz w:val="28"/>
          <w:szCs w:val="28"/>
        </w:rPr>
        <w:t xml:space="preserve">Государственный мониторинг качества атмосферного воздуха на территории Новосибирской области проводит ФГБУ «Западно-Сибирское УГМС» (далее </w:t>
      </w:r>
      <w:r>
        <w:rPr>
          <w:rFonts w:ascii="Times New Roman" w:hAnsi="Times New Roman"/>
          <w:sz w:val="28"/>
          <w:szCs w:val="28"/>
        </w:rPr>
        <w:t>–</w:t>
      </w:r>
      <w:r w:rsidRPr="000D0E34">
        <w:rPr>
          <w:rFonts w:ascii="Times New Roman" w:hAnsi="Times New Roman"/>
          <w:sz w:val="28"/>
          <w:szCs w:val="28"/>
        </w:rPr>
        <w:t xml:space="preserve"> УГМС). По данным УГМС стационарные пункты наблюдений за загрязнением атмосферного воздуха на территории муниципального образования отсутствуют.</w:t>
      </w:r>
    </w:p>
    <w:p w:rsidR="002D1E45" w:rsidRPr="00332C11" w:rsidRDefault="002D1E45" w:rsidP="006F1669">
      <w:pPr>
        <w:spacing w:after="0" w:line="240" w:lineRule="auto"/>
        <w:contextualSpacing/>
        <w:jc w:val="both"/>
        <w:rPr>
          <w:rFonts w:ascii="Times New Roman" w:hAnsi="Times New Roman"/>
          <w:sz w:val="28"/>
          <w:szCs w:val="28"/>
        </w:rPr>
      </w:pPr>
    </w:p>
    <w:p w:rsidR="002D1E45" w:rsidRPr="003A7901" w:rsidRDefault="002D1E45" w:rsidP="00852938">
      <w:pPr>
        <w:pStyle w:val="Heading2"/>
        <w:numPr>
          <w:ilvl w:val="1"/>
          <w:numId w:val="65"/>
        </w:numPr>
        <w:spacing w:before="240"/>
        <w:ind w:left="993" w:hanging="633"/>
        <w:jc w:val="both"/>
        <w:rPr>
          <w:b/>
        </w:rPr>
      </w:pPr>
      <w:bookmarkStart w:id="170" w:name="_Toc475037104"/>
      <w:bookmarkStart w:id="171" w:name="_Toc84936041"/>
      <w:r w:rsidRPr="003A7901">
        <w:rPr>
          <w:b/>
        </w:rPr>
        <w:t>Территории, подверженные воздействию чрезвычайных ситуаций природного и</w:t>
      </w:r>
      <w:r>
        <w:rPr>
          <w:b/>
        </w:rPr>
        <w:t> </w:t>
      </w:r>
      <w:r w:rsidRPr="003A7901">
        <w:rPr>
          <w:b/>
        </w:rPr>
        <w:t>техногенного характера</w:t>
      </w:r>
      <w:bookmarkEnd w:id="170"/>
      <w:bookmarkEnd w:id="171"/>
    </w:p>
    <w:p w:rsidR="002D1E45" w:rsidRPr="003A7901" w:rsidRDefault="002D1E45" w:rsidP="003A7901">
      <w:pPr>
        <w:spacing w:after="0" w:line="240" w:lineRule="auto"/>
        <w:rPr>
          <w:rFonts w:ascii="Arial" w:hAnsi="Arial" w:cs="Arial"/>
          <w:sz w:val="16"/>
          <w:szCs w:val="16"/>
          <w:lang w:eastAsia="ru-RU"/>
        </w:rPr>
      </w:pPr>
    </w:p>
    <w:p w:rsidR="002D1E45" w:rsidRPr="003A7901" w:rsidRDefault="002D1E45" w:rsidP="003A7901">
      <w:pPr>
        <w:spacing w:after="0" w:line="240" w:lineRule="auto"/>
        <w:ind w:firstLine="709"/>
        <w:jc w:val="both"/>
        <w:rPr>
          <w:rFonts w:ascii="Times New Roman" w:hAnsi="Times New Roman"/>
          <w:sz w:val="28"/>
          <w:szCs w:val="28"/>
        </w:rPr>
      </w:pPr>
      <w:r w:rsidRPr="003A7901">
        <w:rPr>
          <w:rFonts w:ascii="Times New Roman" w:hAnsi="Times New Roman"/>
          <w:sz w:val="28"/>
          <w:szCs w:val="28"/>
        </w:rPr>
        <w:t>К территориям, подверженным воздействию чрезвычайных ситуаций природного характера в</w:t>
      </w:r>
      <w:r>
        <w:rPr>
          <w:rFonts w:ascii="Times New Roman" w:hAnsi="Times New Roman"/>
          <w:sz w:val="28"/>
          <w:szCs w:val="28"/>
        </w:rPr>
        <w:t> </w:t>
      </w:r>
      <w:r w:rsidRPr="003A7901">
        <w:rPr>
          <w:rFonts w:ascii="Times New Roman" w:hAnsi="Times New Roman"/>
          <w:sz w:val="28"/>
          <w:szCs w:val="28"/>
        </w:rPr>
        <w:t xml:space="preserve">границах проектирования, относятся зоны проявления опасных природных процессов. </w:t>
      </w:r>
    </w:p>
    <w:p w:rsidR="002D1E45" w:rsidRPr="003A7901" w:rsidRDefault="002D1E45" w:rsidP="003A7901">
      <w:pPr>
        <w:spacing w:after="0" w:line="240" w:lineRule="auto"/>
        <w:ind w:firstLine="709"/>
        <w:jc w:val="both"/>
        <w:rPr>
          <w:rFonts w:ascii="Times New Roman" w:hAnsi="Times New Roman"/>
          <w:bCs/>
          <w:iCs/>
          <w:sz w:val="28"/>
          <w:szCs w:val="28"/>
        </w:rPr>
      </w:pPr>
      <w:r w:rsidRPr="003A7901">
        <w:rPr>
          <w:rFonts w:ascii="Times New Roman" w:hAnsi="Times New Roman"/>
          <w:bCs/>
          <w:iCs/>
          <w:sz w:val="28"/>
          <w:szCs w:val="28"/>
        </w:rPr>
        <w:t xml:space="preserve">Территории, подверженные воздействию чрезвычайных ситуаций техногенного характера </w:t>
      </w:r>
      <w:r>
        <w:rPr>
          <w:rFonts w:ascii="Times New Roman" w:hAnsi="Times New Roman"/>
          <w:bCs/>
          <w:iCs/>
          <w:sz w:val="28"/>
          <w:szCs w:val="28"/>
        </w:rPr>
        <w:t xml:space="preserve">– </w:t>
      </w:r>
      <w:r w:rsidRPr="003A7901">
        <w:rPr>
          <w:rFonts w:ascii="Times New Roman" w:hAnsi="Times New Roman"/>
          <w:bCs/>
          <w:iCs/>
          <w:sz w:val="28"/>
          <w:szCs w:val="28"/>
        </w:rPr>
        <w:t>это территории, попадающие в</w:t>
      </w:r>
      <w:r>
        <w:rPr>
          <w:rFonts w:ascii="Times New Roman" w:hAnsi="Times New Roman"/>
          <w:bCs/>
          <w:iCs/>
          <w:sz w:val="28"/>
          <w:szCs w:val="28"/>
        </w:rPr>
        <w:t> </w:t>
      </w:r>
      <w:r w:rsidRPr="003A7901">
        <w:rPr>
          <w:rFonts w:ascii="Times New Roman" w:hAnsi="Times New Roman"/>
          <w:bCs/>
          <w:iCs/>
          <w:sz w:val="28"/>
          <w:szCs w:val="28"/>
        </w:rPr>
        <w:t>зону негативного воздействия</w:t>
      </w:r>
      <w:r w:rsidRPr="003A7901">
        <w:rPr>
          <w:rFonts w:ascii="Times New Roman" w:hAnsi="Times New Roman"/>
          <w:sz w:val="28"/>
          <w:szCs w:val="28"/>
        </w:rPr>
        <w:t xml:space="preserve"> </w:t>
      </w:r>
      <w:r w:rsidRPr="003A7901">
        <w:rPr>
          <w:rFonts w:ascii="Times New Roman" w:hAnsi="Times New Roman"/>
          <w:bCs/>
          <w:iCs/>
          <w:sz w:val="28"/>
          <w:szCs w:val="28"/>
        </w:rPr>
        <w:t>при</w:t>
      </w:r>
      <w:r w:rsidRPr="003A7901">
        <w:rPr>
          <w:rFonts w:ascii="Times New Roman" w:hAnsi="Times New Roman"/>
          <w:sz w:val="28"/>
          <w:szCs w:val="28"/>
        </w:rPr>
        <w:t xml:space="preserve"> авариях на</w:t>
      </w:r>
      <w:r>
        <w:rPr>
          <w:rFonts w:ascii="Times New Roman" w:hAnsi="Times New Roman"/>
          <w:sz w:val="28"/>
          <w:szCs w:val="28"/>
        </w:rPr>
        <w:t> </w:t>
      </w:r>
      <w:r w:rsidRPr="003A7901">
        <w:rPr>
          <w:rFonts w:ascii="Times New Roman" w:hAnsi="Times New Roman"/>
          <w:sz w:val="28"/>
          <w:szCs w:val="28"/>
        </w:rPr>
        <w:t>взрывопожароопасных, химически опасных объектах и</w:t>
      </w:r>
      <w:r>
        <w:rPr>
          <w:rFonts w:ascii="Times New Roman" w:hAnsi="Times New Roman"/>
          <w:sz w:val="28"/>
          <w:szCs w:val="28"/>
        </w:rPr>
        <w:t> </w:t>
      </w:r>
      <w:r w:rsidRPr="003A7901">
        <w:rPr>
          <w:rFonts w:ascii="Times New Roman" w:hAnsi="Times New Roman"/>
          <w:sz w:val="28"/>
          <w:szCs w:val="28"/>
        </w:rPr>
        <w:t>транспорте.</w:t>
      </w:r>
    </w:p>
    <w:p w:rsidR="002D1E45" w:rsidRDefault="002D1E45" w:rsidP="003A7901">
      <w:pPr>
        <w:spacing w:after="0" w:line="240" w:lineRule="auto"/>
        <w:ind w:firstLine="709"/>
        <w:jc w:val="both"/>
        <w:rPr>
          <w:rFonts w:ascii="Times New Roman" w:hAnsi="Times New Roman"/>
          <w:sz w:val="28"/>
          <w:szCs w:val="28"/>
        </w:rPr>
      </w:pPr>
    </w:p>
    <w:p w:rsidR="002D1E45" w:rsidRPr="001A1E78" w:rsidRDefault="002D1E45" w:rsidP="00852938">
      <w:pPr>
        <w:pStyle w:val="Heading3"/>
        <w:numPr>
          <w:ilvl w:val="2"/>
          <w:numId w:val="65"/>
        </w:numPr>
        <w:tabs>
          <w:tab w:val="left" w:pos="1418"/>
        </w:tabs>
        <w:spacing w:before="120"/>
        <w:ind w:left="1418" w:hanging="698"/>
        <w:jc w:val="both"/>
        <w:rPr>
          <w:rFonts w:ascii="Times New Roman" w:hAnsi="Times New Roman"/>
          <w:sz w:val="28"/>
        </w:rPr>
      </w:pPr>
      <w:bookmarkStart w:id="172" w:name="_Toc485293555"/>
      <w:bookmarkStart w:id="173" w:name="_Toc84936042"/>
      <w:r w:rsidRPr="001A1E78">
        <w:rPr>
          <w:rFonts w:ascii="Times New Roman" w:hAnsi="Times New Roman"/>
          <w:sz w:val="28"/>
        </w:rPr>
        <w:t>Общая оценка факторов риска чрезвычайных ситуаций природного и</w:t>
      </w:r>
      <w:r>
        <w:rPr>
          <w:rFonts w:ascii="Times New Roman" w:hAnsi="Times New Roman"/>
          <w:sz w:val="28"/>
        </w:rPr>
        <w:t> </w:t>
      </w:r>
      <w:r w:rsidRPr="001A1E78">
        <w:rPr>
          <w:rFonts w:ascii="Times New Roman" w:hAnsi="Times New Roman"/>
          <w:sz w:val="28"/>
        </w:rPr>
        <w:t>техногенного характера</w:t>
      </w:r>
      <w:bookmarkEnd w:id="172"/>
      <w:bookmarkEnd w:id="173"/>
    </w:p>
    <w:p w:rsidR="002D1E45" w:rsidRDefault="002D1E45" w:rsidP="003A7901">
      <w:pPr>
        <w:spacing w:after="0" w:line="240" w:lineRule="auto"/>
        <w:ind w:firstLine="709"/>
        <w:jc w:val="both"/>
        <w:rPr>
          <w:rFonts w:ascii="Times New Roman" w:hAnsi="Times New Roman"/>
          <w:sz w:val="28"/>
          <w:szCs w:val="28"/>
        </w:rPr>
      </w:pPr>
    </w:p>
    <w:p w:rsidR="002D1E45" w:rsidRPr="00BF5FB4" w:rsidRDefault="002D1E45" w:rsidP="00BF5FB4">
      <w:pPr>
        <w:spacing w:after="0" w:line="240" w:lineRule="auto"/>
        <w:ind w:firstLine="709"/>
        <w:jc w:val="both"/>
        <w:rPr>
          <w:rFonts w:ascii="Times New Roman" w:hAnsi="Times New Roman"/>
          <w:sz w:val="28"/>
          <w:szCs w:val="28"/>
          <w:lang w:eastAsia="ru-RU"/>
        </w:rPr>
      </w:pPr>
      <w:r w:rsidRPr="00BF5FB4">
        <w:rPr>
          <w:rFonts w:ascii="Times New Roman" w:hAnsi="Times New Roman"/>
          <w:sz w:val="28"/>
          <w:szCs w:val="28"/>
          <w:lang w:eastAsia="ru-RU"/>
        </w:rPr>
        <w:t>Согласно «Руководства по</w:t>
      </w:r>
      <w:r>
        <w:rPr>
          <w:rFonts w:ascii="Times New Roman" w:hAnsi="Times New Roman"/>
          <w:sz w:val="28"/>
          <w:szCs w:val="28"/>
          <w:lang w:eastAsia="ru-RU"/>
        </w:rPr>
        <w:t> </w:t>
      </w:r>
      <w:r w:rsidRPr="00BF5FB4">
        <w:rPr>
          <w:rFonts w:ascii="Times New Roman" w:hAnsi="Times New Roman"/>
          <w:sz w:val="28"/>
          <w:szCs w:val="28"/>
          <w:lang w:eastAsia="ru-RU"/>
        </w:rPr>
        <w:t>оценке рисков чрезвычайных ситуаций техногенного характера, в</w:t>
      </w:r>
      <w:r>
        <w:rPr>
          <w:rFonts w:ascii="Times New Roman" w:hAnsi="Times New Roman"/>
          <w:sz w:val="28"/>
          <w:szCs w:val="28"/>
          <w:lang w:eastAsia="ru-RU"/>
        </w:rPr>
        <w:t> </w:t>
      </w:r>
      <w:r w:rsidRPr="00BF5FB4">
        <w:rPr>
          <w:rFonts w:ascii="Times New Roman" w:hAnsi="Times New Roman"/>
          <w:sz w:val="28"/>
          <w:szCs w:val="28"/>
          <w:lang w:eastAsia="ru-RU"/>
        </w:rPr>
        <w:t xml:space="preserve">том числе при эксплуатации критически важных объектов Российской Федерации», утверждённого первым заместителем </w:t>
      </w:r>
      <w:r>
        <w:rPr>
          <w:rFonts w:ascii="Times New Roman" w:hAnsi="Times New Roman"/>
          <w:sz w:val="28"/>
          <w:szCs w:val="28"/>
          <w:lang w:eastAsia="ru-RU"/>
        </w:rPr>
        <w:t>м</w:t>
      </w:r>
      <w:r w:rsidRPr="00BF5FB4">
        <w:rPr>
          <w:rFonts w:ascii="Times New Roman" w:hAnsi="Times New Roman"/>
          <w:sz w:val="28"/>
          <w:szCs w:val="28"/>
          <w:lang w:eastAsia="ru-RU"/>
        </w:rPr>
        <w:t>инистра МЧС России 09.01.2008 №1-4-60-9, используются следующие основные понятия:</w:t>
      </w:r>
    </w:p>
    <w:p w:rsidR="002D1E45" w:rsidRPr="00BF5FB4" w:rsidRDefault="002D1E45" w:rsidP="00BF5FB4">
      <w:pPr>
        <w:spacing w:after="0" w:line="240" w:lineRule="auto"/>
        <w:ind w:firstLine="709"/>
        <w:jc w:val="both"/>
        <w:rPr>
          <w:rFonts w:ascii="Times New Roman" w:hAnsi="Times New Roman"/>
          <w:sz w:val="28"/>
          <w:szCs w:val="28"/>
          <w:lang w:eastAsia="ru-RU"/>
        </w:rPr>
      </w:pPr>
      <w:r w:rsidRPr="00BF5FB4">
        <w:rPr>
          <w:rFonts w:ascii="Times New Roman" w:hAnsi="Times New Roman"/>
          <w:i/>
          <w:sz w:val="28"/>
          <w:szCs w:val="28"/>
          <w:lang w:eastAsia="ru-RU"/>
        </w:rPr>
        <w:t>Риск</w:t>
      </w:r>
      <w:r w:rsidRPr="00BF5FB4">
        <w:rPr>
          <w:rFonts w:ascii="Times New Roman" w:hAnsi="Times New Roman"/>
          <w:sz w:val="28"/>
          <w:szCs w:val="28"/>
          <w:lang w:eastAsia="ru-RU"/>
        </w:rPr>
        <w:t xml:space="preserve"> – количественная характеристика меры возможной опасности и</w:t>
      </w:r>
      <w:r>
        <w:rPr>
          <w:rFonts w:ascii="Times New Roman" w:hAnsi="Times New Roman"/>
          <w:sz w:val="28"/>
          <w:szCs w:val="28"/>
          <w:lang w:eastAsia="ru-RU"/>
        </w:rPr>
        <w:t> </w:t>
      </w:r>
      <w:r w:rsidRPr="00BF5FB4">
        <w:rPr>
          <w:rFonts w:ascii="Times New Roman" w:hAnsi="Times New Roman"/>
          <w:sz w:val="28"/>
          <w:szCs w:val="28"/>
          <w:lang w:eastAsia="ru-RU"/>
        </w:rPr>
        <w:t>размера последствий её реализации.</w:t>
      </w:r>
    </w:p>
    <w:p w:rsidR="002D1E45" w:rsidRPr="00BF5FB4" w:rsidRDefault="002D1E45" w:rsidP="00BF5FB4">
      <w:pPr>
        <w:spacing w:after="0" w:line="240" w:lineRule="auto"/>
        <w:ind w:firstLine="709"/>
        <w:jc w:val="both"/>
        <w:rPr>
          <w:rFonts w:ascii="Times New Roman" w:hAnsi="Times New Roman"/>
          <w:sz w:val="28"/>
          <w:szCs w:val="28"/>
          <w:lang w:eastAsia="ru-RU"/>
        </w:rPr>
      </w:pPr>
      <w:r w:rsidRPr="00BF5FB4">
        <w:rPr>
          <w:rFonts w:ascii="Times New Roman" w:hAnsi="Times New Roman"/>
          <w:i/>
          <w:sz w:val="28"/>
          <w:szCs w:val="28"/>
          <w:lang w:eastAsia="ru-RU"/>
        </w:rPr>
        <w:t>Риск чрезвычайной ситуации</w:t>
      </w:r>
      <w:r w:rsidRPr="00BF5FB4">
        <w:rPr>
          <w:rFonts w:ascii="Times New Roman" w:hAnsi="Times New Roman"/>
          <w:sz w:val="28"/>
          <w:szCs w:val="28"/>
          <w:lang w:eastAsia="ru-RU"/>
        </w:rPr>
        <w:t xml:space="preserve"> – потенциальная возможность возникновения чрезвычайной ситуации с</w:t>
      </w:r>
      <w:r>
        <w:rPr>
          <w:rFonts w:ascii="Times New Roman" w:hAnsi="Times New Roman"/>
          <w:sz w:val="28"/>
          <w:szCs w:val="28"/>
          <w:lang w:eastAsia="ru-RU"/>
        </w:rPr>
        <w:t> </w:t>
      </w:r>
      <w:r w:rsidRPr="00BF5FB4">
        <w:rPr>
          <w:rFonts w:ascii="Times New Roman" w:hAnsi="Times New Roman"/>
          <w:sz w:val="28"/>
          <w:szCs w:val="28"/>
          <w:lang w:eastAsia="ru-RU"/>
        </w:rPr>
        <w:t>негативными последствиями, представляющими угрозу жизни, здоровью и</w:t>
      </w:r>
      <w:r>
        <w:rPr>
          <w:rFonts w:ascii="Times New Roman" w:hAnsi="Times New Roman"/>
          <w:sz w:val="28"/>
          <w:szCs w:val="28"/>
          <w:lang w:eastAsia="ru-RU"/>
        </w:rPr>
        <w:t> </w:t>
      </w:r>
      <w:r w:rsidRPr="00BF5FB4">
        <w:rPr>
          <w:rFonts w:ascii="Times New Roman" w:hAnsi="Times New Roman"/>
          <w:sz w:val="28"/>
          <w:szCs w:val="28"/>
          <w:lang w:eastAsia="ru-RU"/>
        </w:rPr>
        <w:t>имуществу населения, объектам экономики и</w:t>
      </w:r>
      <w:r>
        <w:rPr>
          <w:rFonts w:ascii="Times New Roman" w:hAnsi="Times New Roman"/>
          <w:sz w:val="28"/>
          <w:szCs w:val="28"/>
          <w:lang w:eastAsia="ru-RU"/>
        </w:rPr>
        <w:t> </w:t>
      </w:r>
      <w:r w:rsidRPr="00BF5FB4">
        <w:rPr>
          <w:rFonts w:ascii="Times New Roman" w:hAnsi="Times New Roman"/>
          <w:sz w:val="28"/>
          <w:szCs w:val="28"/>
          <w:lang w:eastAsia="ru-RU"/>
        </w:rPr>
        <w:t>окружающей среде.</w:t>
      </w:r>
    </w:p>
    <w:p w:rsidR="002D1E45" w:rsidRPr="00BF5FB4" w:rsidRDefault="002D1E45" w:rsidP="00BF5FB4">
      <w:pPr>
        <w:spacing w:after="0" w:line="240" w:lineRule="auto"/>
        <w:ind w:firstLine="709"/>
        <w:jc w:val="both"/>
        <w:rPr>
          <w:rFonts w:ascii="Times New Roman" w:hAnsi="Times New Roman"/>
          <w:sz w:val="28"/>
          <w:szCs w:val="28"/>
          <w:lang w:eastAsia="ru-RU"/>
        </w:rPr>
      </w:pPr>
      <w:r w:rsidRPr="00BF5FB4">
        <w:rPr>
          <w:rFonts w:ascii="Times New Roman" w:hAnsi="Times New Roman"/>
          <w:i/>
          <w:sz w:val="28"/>
          <w:szCs w:val="28"/>
          <w:lang w:eastAsia="ru-RU"/>
        </w:rPr>
        <w:t>Риск индивидуальный</w:t>
      </w:r>
      <w:r w:rsidRPr="00BF5FB4">
        <w:rPr>
          <w:rFonts w:ascii="Times New Roman" w:hAnsi="Times New Roman"/>
          <w:sz w:val="28"/>
          <w:szCs w:val="28"/>
          <w:lang w:eastAsia="ru-RU"/>
        </w:rPr>
        <w:t xml:space="preserve"> – частота поражения отдельного человека в</w:t>
      </w:r>
      <w:r>
        <w:rPr>
          <w:rFonts w:ascii="Times New Roman" w:hAnsi="Times New Roman"/>
          <w:sz w:val="28"/>
          <w:szCs w:val="28"/>
          <w:lang w:eastAsia="ru-RU"/>
        </w:rPr>
        <w:t> </w:t>
      </w:r>
      <w:r w:rsidRPr="00BF5FB4">
        <w:rPr>
          <w:rFonts w:ascii="Times New Roman" w:hAnsi="Times New Roman"/>
          <w:sz w:val="28"/>
          <w:szCs w:val="28"/>
          <w:lang w:eastAsia="ru-RU"/>
        </w:rPr>
        <w:t>результате воздействия всей совокупности исследуемых факторов опасности в</w:t>
      </w:r>
      <w:r>
        <w:rPr>
          <w:rFonts w:ascii="Times New Roman" w:hAnsi="Times New Roman"/>
          <w:sz w:val="28"/>
          <w:szCs w:val="28"/>
          <w:lang w:eastAsia="ru-RU"/>
        </w:rPr>
        <w:t> </w:t>
      </w:r>
      <w:r w:rsidRPr="00BF5FB4">
        <w:rPr>
          <w:rFonts w:ascii="Times New Roman" w:hAnsi="Times New Roman"/>
          <w:sz w:val="28"/>
          <w:szCs w:val="28"/>
          <w:lang w:eastAsia="ru-RU"/>
        </w:rPr>
        <w:t>рассматриваемой точке пространства.</w:t>
      </w:r>
    </w:p>
    <w:p w:rsidR="002D1E45" w:rsidRPr="00BF5FB4" w:rsidRDefault="002D1E45" w:rsidP="00BF5FB4">
      <w:pPr>
        <w:spacing w:after="0" w:line="240" w:lineRule="auto"/>
        <w:ind w:firstLine="709"/>
        <w:jc w:val="both"/>
        <w:rPr>
          <w:rFonts w:ascii="Times New Roman" w:hAnsi="Times New Roman"/>
          <w:sz w:val="28"/>
          <w:szCs w:val="28"/>
          <w:lang w:eastAsia="ru-RU"/>
        </w:rPr>
      </w:pPr>
      <w:r w:rsidRPr="00BF5FB4">
        <w:rPr>
          <w:rFonts w:ascii="Times New Roman" w:hAnsi="Times New Roman"/>
          <w:i/>
          <w:sz w:val="28"/>
          <w:szCs w:val="28"/>
          <w:lang w:eastAsia="ru-RU"/>
        </w:rPr>
        <w:t>Риск социальный</w:t>
      </w:r>
      <w:r w:rsidRPr="00BF5FB4">
        <w:rPr>
          <w:rFonts w:ascii="Times New Roman" w:hAnsi="Times New Roman"/>
          <w:sz w:val="28"/>
          <w:szCs w:val="28"/>
          <w:lang w:eastAsia="ru-RU"/>
        </w:rPr>
        <w:t xml:space="preserve"> – зависимость между частотой реализации определённых факторов опасностей и</w:t>
      </w:r>
      <w:r>
        <w:rPr>
          <w:rFonts w:ascii="Times New Roman" w:hAnsi="Times New Roman"/>
          <w:sz w:val="28"/>
          <w:szCs w:val="28"/>
          <w:lang w:eastAsia="ru-RU"/>
        </w:rPr>
        <w:t> </w:t>
      </w:r>
      <w:r w:rsidRPr="00BF5FB4">
        <w:rPr>
          <w:rFonts w:ascii="Times New Roman" w:hAnsi="Times New Roman"/>
          <w:sz w:val="28"/>
          <w:szCs w:val="28"/>
          <w:lang w:eastAsia="ru-RU"/>
        </w:rPr>
        <w:t>размером последствий для здоровья людей (числом погибших или пострадавших), так называемые F/N-диаграммы или кривые социального риска.</w:t>
      </w:r>
    </w:p>
    <w:p w:rsidR="002D1E45" w:rsidRPr="00BF5FB4" w:rsidRDefault="002D1E45" w:rsidP="00BF5FB4">
      <w:pPr>
        <w:spacing w:after="0" w:line="240" w:lineRule="auto"/>
        <w:ind w:firstLine="709"/>
        <w:jc w:val="both"/>
        <w:rPr>
          <w:rFonts w:ascii="Times New Roman" w:hAnsi="Times New Roman"/>
          <w:sz w:val="28"/>
          <w:szCs w:val="28"/>
          <w:lang w:eastAsia="ru-RU"/>
        </w:rPr>
      </w:pPr>
      <w:r w:rsidRPr="00BF5FB4">
        <w:rPr>
          <w:rFonts w:ascii="Times New Roman" w:hAnsi="Times New Roman"/>
          <w:i/>
          <w:sz w:val="28"/>
          <w:szCs w:val="28"/>
          <w:lang w:eastAsia="ru-RU"/>
        </w:rPr>
        <w:t>Риск экономический</w:t>
      </w:r>
      <w:r w:rsidRPr="00BF5FB4">
        <w:rPr>
          <w:rFonts w:ascii="Times New Roman" w:hAnsi="Times New Roman"/>
          <w:sz w:val="28"/>
          <w:szCs w:val="28"/>
          <w:lang w:eastAsia="ru-RU"/>
        </w:rPr>
        <w:t xml:space="preserve"> – в</w:t>
      </w:r>
      <w:r>
        <w:rPr>
          <w:rFonts w:ascii="Times New Roman" w:hAnsi="Times New Roman"/>
          <w:sz w:val="28"/>
          <w:szCs w:val="28"/>
          <w:lang w:eastAsia="ru-RU"/>
        </w:rPr>
        <w:t> </w:t>
      </w:r>
      <w:r w:rsidRPr="00BF5FB4">
        <w:rPr>
          <w:rFonts w:ascii="Times New Roman" w:hAnsi="Times New Roman"/>
          <w:sz w:val="28"/>
          <w:szCs w:val="28"/>
          <w:lang w:eastAsia="ru-RU"/>
        </w:rPr>
        <w:t>данном Руководстве понимается зависимость между частотой реализации определённых факторов опасностей и</w:t>
      </w:r>
      <w:r>
        <w:rPr>
          <w:rFonts w:ascii="Times New Roman" w:hAnsi="Times New Roman"/>
          <w:sz w:val="28"/>
          <w:szCs w:val="28"/>
          <w:lang w:eastAsia="ru-RU"/>
        </w:rPr>
        <w:t> </w:t>
      </w:r>
      <w:r w:rsidRPr="00BF5FB4">
        <w:rPr>
          <w:rFonts w:ascii="Times New Roman" w:hAnsi="Times New Roman"/>
          <w:sz w:val="28"/>
          <w:szCs w:val="28"/>
          <w:lang w:eastAsia="ru-RU"/>
        </w:rPr>
        <w:t>размером материального ущерба, так называемые F/G-диаграммы или кривые экономического риска.</w:t>
      </w:r>
    </w:p>
    <w:p w:rsidR="002D1E45" w:rsidRPr="00BF5FB4" w:rsidRDefault="002D1E45" w:rsidP="00BF5FB4">
      <w:pPr>
        <w:spacing w:after="0" w:line="240" w:lineRule="auto"/>
        <w:ind w:firstLine="709"/>
        <w:jc w:val="both"/>
        <w:rPr>
          <w:rFonts w:ascii="Times New Roman" w:hAnsi="Times New Roman"/>
          <w:sz w:val="28"/>
          <w:szCs w:val="28"/>
          <w:lang w:eastAsia="ru-RU"/>
        </w:rPr>
      </w:pPr>
      <w:r w:rsidRPr="00BF5FB4">
        <w:rPr>
          <w:rFonts w:ascii="Times New Roman" w:hAnsi="Times New Roman"/>
          <w:i/>
          <w:sz w:val="28"/>
          <w:szCs w:val="28"/>
          <w:lang w:eastAsia="ru-RU"/>
        </w:rPr>
        <w:t>Риск коллективный</w:t>
      </w:r>
      <w:r w:rsidRPr="00BF5FB4">
        <w:rPr>
          <w:rFonts w:ascii="Times New Roman" w:hAnsi="Times New Roman"/>
          <w:sz w:val="28"/>
          <w:szCs w:val="28"/>
          <w:lang w:eastAsia="ru-RU"/>
        </w:rPr>
        <w:t xml:space="preserve"> – ожидаемое количество погибших или пострадавших в</w:t>
      </w:r>
      <w:r>
        <w:rPr>
          <w:rFonts w:ascii="Times New Roman" w:hAnsi="Times New Roman"/>
          <w:sz w:val="28"/>
          <w:szCs w:val="28"/>
          <w:lang w:eastAsia="ru-RU"/>
        </w:rPr>
        <w:t> </w:t>
      </w:r>
      <w:r w:rsidRPr="00BF5FB4">
        <w:rPr>
          <w:rFonts w:ascii="Times New Roman" w:hAnsi="Times New Roman"/>
          <w:sz w:val="28"/>
          <w:szCs w:val="28"/>
          <w:lang w:eastAsia="ru-RU"/>
        </w:rPr>
        <w:t>результате возможных реализаций факторов опасности за</w:t>
      </w:r>
      <w:r>
        <w:rPr>
          <w:rFonts w:ascii="Times New Roman" w:hAnsi="Times New Roman"/>
          <w:sz w:val="28"/>
          <w:szCs w:val="28"/>
          <w:lang w:eastAsia="ru-RU"/>
        </w:rPr>
        <w:t> </w:t>
      </w:r>
      <w:r w:rsidRPr="00BF5FB4">
        <w:rPr>
          <w:rFonts w:ascii="Times New Roman" w:hAnsi="Times New Roman"/>
          <w:sz w:val="28"/>
          <w:szCs w:val="28"/>
          <w:lang w:eastAsia="ru-RU"/>
        </w:rPr>
        <w:t>определённый период времени.</w:t>
      </w:r>
    </w:p>
    <w:p w:rsidR="002D1E45" w:rsidRPr="00BF5FB4" w:rsidRDefault="002D1E45" w:rsidP="00BF5FB4">
      <w:pPr>
        <w:spacing w:after="0" w:line="240" w:lineRule="auto"/>
        <w:ind w:firstLine="709"/>
        <w:jc w:val="both"/>
        <w:rPr>
          <w:rFonts w:ascii="Times New Roman" w:hAnsi="Times New Roman"/>
          <w:sz w:val="28"/>
          <w:szCs w:val="28"/>
          <w:lang w:eastAsia="ru-RU"/>
        </w:rPr>
      </w:pPr>
      <w:r w:rsidRPr="00BF5FB4">
        <w:rPr>
          <w:rFonts w:ascii="Times New Roman" w:hAnsi="Times New Roman"/>
          <w:i/>
          <w:sz w:val="28"/>
          <w:szCs w:val="28"/>
          <w:lang w:eastAsia="ru-RU"/>
        </w:rPr>
        <w:t>Риск материальный</w:t>
      </w:r>
      <w:r w:rsidRPr="00BF5FB4">
        <w:rPr>
          <w:rFonts w:ascii="Times New Roman" w:hAnsi="Times New Roman"/>
          <w:sz w:val="28"/>
          <w:szCs w:val="28"/>
          <w:lang w:eastAsia="ru-RU"/>
        </w:rPr>
        <w:t xml:space="preserve"> – в</w:t>
      </w:r>
      <w:r>
        <w:rPr>
          <w:rFonts w:ascii="Times New Roman" w:hAnsi="Times New Roman"/>
          <w:sz w:val="28"/>
          <w:szCs w:val="28"/>
          <w:lang w:eastAsia="ru-RU"/>
        </w:rPr>
        <w:t> </w:t>
      </w:r>
      <w:r w:rsidRPr="00BF5FB4">
        <w:rPr>
          <w:rFonts w:ascii="Times New Roman" w:hAnsi="Times New Roman"/>
          <w:sz w:val="28"/>
          <w:szCs w:val="28"/>
          <w:lang w:eastAsia="ru-RU"/>
        </w:rPr>
        <w:t>данном Руководстве понимаются ожидаемые материальные потери в</w:t>
      </w:r>
      <w:r>
        <w:rPr>
          <w:rFonts w:ascii="Times New Roman" w:hAnsi="Times New Roman"/>
          <w:sz w:val="28"/>
          <w:szCs w:val="28"/>
          <w:lang w:eastAsia="ru-RU"/>
        </w:rPr>
        <w:t> </w:t>
      </w:r>
      <w:r w:rsidRPr="00BF5FB4">
        <w:rPr>
          <w:rFonts w:ascii="Times New Roman" w:hAnsi="Times New Roman"/>
          <w:sz w:val="28"/>
          <w:szCs w:val="28"/>
          <w:lang w:eastAsia="ru-RU"/>
        </w:rPr>
        <w:t>результате возможных реализаций факторов опасности за</w:t>
      </w:r>
      <w:r>
        <w:rPr>
          <w:rFonts w:ascii="Times New Roman" w:hAnsi="Times New Roman"/>
          <w:sz w:val="28"/>
          <w:szCs w:val="28"/>
          <w:lang w:eastAsia="ru-RU"/>
        </w:rPr>
        <w:t> </w:t>
      </w:r>
      <w:r w:rsidRPr="00BF5FB4">
        <w:rPr>
          <w:rFonts w:ascii="Times New Roman" w:hAnsi="Times New Roman"/>
          <w:sz w:val="28"/>
          <w:szCs w:val="28"/>
          <w:lang w:eastAsia="ru-RU"/>
        </w:rPr>
        <w:t>определённый период времени.</w:t>
      </w:r>
    </w:p>
    <w:p w:rsidR="002D1E45" w:rsidRPr="00BF5FB4" w:rsidRDefault="002D1E45" w:rsidP="00BF5FB4">
      <w:pPr>
        <w:spacing w:after="0" w:line="240" w:lineRule="auto"/>
        <w:ind w:firstLine="709"/>
        <w:jc w:val="both"/>
        <w:rPr>
          <w:rFonts w:ascii="Times New Roman" w:hAnsi="Times New Roman"/>
          <w:sz w:val="28"/>
          <w:szCs w:val="28"/>
          <w:lang w:eastAsia="ru-RU"/>
        </w:rPr>
      </w:pPr>
      <w:r w:rsidRPr="00BF5FB4">
        <w:rPr>
          <w:rFonts w:ascii="Times New Roman" w:hAnsi="Times New Roman"/>
          <w:i/>
          <w:sz w:val="28"/>
          <w:szCs w:val="28"/>
          <w:lang w:eastAsia="ru-RU"/>
        </w:rPr>
        <w:t>Риск предельно допустимый</w:t>
      </w:r>
      <w:r w:rsidRPr="00BF5FB4">
        <w:rPr>
          <w:rFonts w:ascii="Times New Roman" w:hAnsi="Times New Roman"/>
          <w:sz w:val="28"/>
          <w:szCs w:val="28"/>
          <w:lang w:eastAsia="ru-RU"/>
        </w:rPr>
        <w:t xml:space="preserve"> – нормативный уровень риска, определяющий верхнюю границу допустимого риска.</w:t>
      </w:r>
    </w:p>
    <w:p w:rsidR="002D1E45" w:rsidRPr="00BF5FB4" w:rsidRDefault="002D1E45" w:rsidP="00BF5FB4">
      <w:pPr>
        <w:spacing w:after="0" w:line="240" w:lineRule="auto"/>
        <w:ind w:firstLine="709"/>
        <w:jc w:val="both"/>
        <w:rPr>
          <w:rFonts w:ascii="Times New Roman" w:hAnsi="Times New Roman"/>
          <w:sz w:val="28"/>
          <w:szCs w:val="28"/>
          <w:lang w:eastAsia="ru-RU"/>
        </w:rPr>
      </w:pPr>
      <w:r w:rsidRPr="00BF5FB4">
        <w:rPr>
          <w:rFonts w:ascii="Times New Roman" w:hAnsi="Times New Roman"/>
          <w:i/>
          <w:sz w:val="28"/>
          <w:szCs w:val="28"/>
          <w:lang w:eastAsia="ru-RU"/>
        </w:rPr>
        <w:t>Риск неприемлемый (недопустимый)</w:t>
      </w:r>
      <w:r w:rsidRPr="00BF5FB4">
        <w:rPr>
          <w:rFonts w:ascii="Times New Roman" w:hAnsi="Times New Roman"/>
          <w:sz w:val="28"/>
          <w:szCs w:val="28"/>
          <w:lang w:eastAsia="ru-RU"/>
        </w:rPr>
        <w:t xml:space="preserve"> – риск, уровень которого превышает величину предельно допустимого уровня риска.</w:t>
      </w:r>
    </w:p>
    <w:p w:rsidR="002D1E45" w:rsidRPr="00BF5FB4" w:rsidRDefault="002D1E45" w:rsidP="00BF5FB4">
      <w:pPr>
        <w:spacing w:after="0" w:line="240" w:lineRule="auto"/>
        <w:ind w:firstLine="709"/>
        <w:jc w:val="both"/>
        <w:rPr>
          <w:rFonts w:ascii="Times New Roman" w:hAnsi="Times New Roman"/>
          <w:sz w:val="28"/>
          <w:szCs w:val="28"/>
          <w:lang w:eastAsia="ru-RU"/>
        </w:rPr>
      </w:pPr>
      <w:r w:rsidRPr="00BF5FB4">
        <w:rPr>
          <w:rFonts w:ascii="Times New Roman" w:hAnsi="Times New Roman"/>
          <w:i/>
          <w:sz w:val="28"/>
          <w:szCs w:val="28"/>
          <w:lang w:eastAsia="ru-RU"/>
        </w:rPr>
        <w:t>Риск допустимый</w:t>
      </w:r>
      <w:r w:rsidRPr="00BF5FB4">
        <w:rPr>
          <w:rFonts w:ascii="Times New Roman" w:hAnsi="Times New Roman"/>
          <w:sz w:val="28"/>
          <w:szCs w:val="28"/>
          <w:lang w:eastAsia="ru-RU"/>
        </w:rPr>
        <w:t xml:space="preserve"> – риск, уровень которого ниже величины предельно допустимого уровня риска. Допустимый риск подразделяется на</w:t>
      </w:r>
      <w:r>
        <w:rPr>
          <w:rFonts w:ascii="Times New Roman" w:hAnsi="Times New Roman"/>
          <w:sz w:val="28"/>
          <w:szCs w:val="28"/>
          <w:lang w:eastAsia="ru-RU"/>
        </w:rPr>
        <w:t> </w:t>
      </w:r>
      <w:r w:rsidRPr="00BF5FB4">
        <w:rPr>
          <w:rFonts w:ascii="Times New Roman" w:hAnsi="Times New Roman"/>
          <w:sz w:val="28"/>
          <w:szCs w:val="28"/>
          <w:lang w:eastAsia="ru-RU"/>
        </w:rPr>
        <w:t>три категории: повышенный, условно приемлемый и</w:t>
      </w:r>
      <w:r>
        <w:rPr>
          <w:rFonts w:ascii="Times New Roman" w:hAnsi="Times New Roman"/>
          <w:sz w:val="28"/>
          <w:szCs w:val="28"/>
          <w:lang w:eastAsia="ru-RU"/>
        </w:rPr>
        <w:t> </w:t>
      </w:r>
      <w:r w:rsidRPr="00BF5FB4">
        <w:rPr>
          <w:rFonts w:ascii="Times New Roman" w:hAnsi="Times New Roman"/>
          <w:sz w:val="28"/>
          <w:szCs w:val="28"/>
          <w:lang w:eastAsia="ru-RU"/>
        </w:rPr>
        <w:t>приемлемый риск.</w:t>
      </w:r>
    </w:p>
    <w:p w:rsidR="002D1E45" w:rsidRPr="00BF5FB4" w:rsidRDefault="002D1E45" w:rsidP="00BF5FB4">
      <w:pPr>
        <w:spacing w:after="0" w:line="240" w:lineRule="auto"/>
        <w:ind w:firstLine="709"/>
        <w:jc w:val="both"/>
        <w:rPr>
          <w:rFonts w:ascii="Times New Roman" w:hAnsi="Times New Roman"/>
          <w:sz w:val="28"/>
          <w:szCs w:val="28"/>
          <w:lang w:eastAsia="ru-RU"/>
        </w:rPr>
      </w:pPr>
      <w:r w:rsidRPr="00BF5FB4">
        <w:rPr>
          <w:rFonts w:ascii="Times New Roman" w:hAnsi="Times New Roman"/>
          <w:i/>
          <w:sz w:val="28"/>
          <w:szCs w:val="28"/>
          <w:lang w:eastAsia="ru-RU"/>
        </w:rPr>
        <w:t>Риск повышенный</w:t>
      </w:r>
      <w:r w:rsidRPr="00BF5FB4">
        <w:rPr>
          <w:rFonts w:ascii="Times New Roman" w:hAnsi="Times New Roman"/>
          <w:sz w:val="28"/>
          <w:szCs w:val="28"/>
          <w:lang w:eastAsia="ru-RU"/>
        </w:rPr>
        <w:t xml:space="preserve"> – риск, уровень которого близок к</w:t>
      </w:r>
      <w:r>
        <w:rPr>
          <w:rFonts w:ascii="Times New Roman" w:hAnsi="Times New Roman"/>
          <w:sz w:val="28"/>
          <w:szCs w:val="28"/>
          <w:lang w:eastAsia="ru-RU"/>
        </w:rPr>
        <w:t> </w:t>
      </w:r>
      <w:r w:rsidRPr="00BF5FB4">
        <w:rPr>
          <w:rFonts w:ascii="Times New Roman" w:hAnsi="Times New Roman"/>
          <w:sz w:val="28"/>
          <w:szCs w:val="28"/>
          <w:lang w:eastAsia="ru-RU"/>
        </w:rPr>
        <w:t>предельно допустимому, требуются меры по</w:t>
      </w:r>
      <w:r>
        <w:rPr>
          <w:rFonts w:ascii="Times New Roman" w:hAnsi="Times New Roman"/>
          <w:sz w:val="28"/>
          <w:szCs w:val="28"/>
          <w:lang w:eastAsia="ru-RU"/>
        </w:rPr>
        <w:t> </w:t>
      </w:r>
      <w:r w:rsidRPr="00BF5FB4">
        <w:rPr>
          <w:rFonts w:ascii="Times New Roman" w:hAnsi="Times New Roman"/>
          <w:sz w:val="28"/>
          <w:szCs w:val="28"/>
          <w:lang w:eastAsia="ru-RU"/>
        </w:rPr>
        <w:t>его снижению и</w:t>
      </w:r>
      <w:r>
        <w:rPr>
          <w:rFonts w:ascii="Times New Roman" w:hAnsi="Times New Roman"/>
          <w:sz w:val="28"/>
          <w:szCs w:val="28"/>
          <w:lang w:eastAsia="ru-RU"/>
        </w:rPr>
        <w:t> </w:t>
      </w:r>
      <w:r w:rsidRPr="00BF5FB4">
        <w:rPr>
          <w:rFonts w:ascii="Times New Roman" w:hAnsi="Times New Roman"/>
          <w:sz w:val="28"/>
          <w:szCs w:val="28"/>
          <w:lang w:eastAsia="ru-RU"/>
        </w:rPr>
        <w:t>контролю.</w:t>
      </w:r>
    </w:p>
    <w:p w:rsidR="002D1E45" w:rsidRPr="00BF5FB4" w:rsidRDefault="002D1E45" w:rsidP="00BF5FB4">
      <w:pPr>
        <w:spacing w:after="0" w:line="240" w:lineRule="auto"/>
        <w:ind w:firstLine="709"/>
        <w:jc w:val="both"/>
        <w:rPr>
          <w:rFonts w:ascii="Times New Roman" w:hAnsi="Times New Roman"/>
          <w:sz w:val="28"/>
          <w:szCs w:val="28"/>
          <w:lang w:eastAsia="ru-RU"/>
        </w:rPr>
      </w:pPr>
      <w:r w:rsidRPr="00BF5FB4">
        <w:rPr>
          <w:rFonts w:ascii="Times New Roman" w:hAnsi="Times New Roman"/>
          <w:i/>
          <w:sz w:val="28"/>
          <w:szCs w:val="28"/>
          <w:lang w:eastAsia="ru-RU"/>
        </w:rPr>
        <w:t>Риск условно приемлемый</w:t>
      </w:r>
      <w:r w:rsidRPr="00BF5FB4">
        <w:rPr>
          <w:rFonts w:ascii="Times New Roman" w:hAnsi="Times New Roman"/>
          <w:sz w:val="28"/>
          <w:szCs w:val="28"/>
          <w:lang w:eastAsia="ru-RU"/>
        </w:rPr>
        <w:t xml:space="preserve"> – риск, уровень которого разумно оправдан с</w:t>
      </w:r>
      <w:r>
        <w:rPr>
          <w:rFonts w:ascii="Times New Roman" w:hAnsi="Times New Roman"/>
          <w:sz w:val="28"/>
          <w:szCs w:val="28"/>
          <w:lang w:eastAsia="ru-RU"/>
        </w:rPr>
        <w:t> </w:t>
      </w:r>
      <w:r w:rsidRPr="00BF5FB4">
        <w:rPr>
          <w:rFonts w:ascii="Times New Roman" w:hAnsi="Times New Roman"/>
          <w:sz w:val="28"/>
          <w:szCs w:val="28"/>
          <w:lang w:eastAsia="ru-RU"/>
        </w:rPr>
        <w:t>социальной, экономической и</w:t>
      </w:r>
      <w:r>
        <w:rPr>
          <w:rFonts w:ascii="Times New Roman" w:hAnsi="Times New Roman"/>
          <w:sz w:val="28"/>
          <w:szCs w:val="28"/>
          <w:lang w:eastAsia="ru-RU"/>
        </w:rPr>
        <w:t> </w:t>
      </w:r>
      <w:r w:rsidRPr="00BF5FB4">
        <w:rPr>
          <w:rFonts w:ascii="Times New Roman" w:hAnsi="Times New Roman"/>
          <w:sz w:val="28"/>
          <w:szCs w:val="28"/>
          <w:lang w:eastAsia="ru-RU"/>
        </w:rPr>
        <w:t>экологической точек зрения, но</w:t>
      </w:r>
      <w:r>
        <w:rPr>
          <w:rFonts w:ascii="Times New Roman" w:hAnsi="Times New Roman"/>
          <w:sz w:val="28"/>
          <w:szCs w:val="28"/>
          <w:lang w:eastAsia="ru-RU"/>
        </w:rPr>
        <w:t> </w:t>
      </w:r>
      <w:r w:rsidRPr="00BF5FB4">
        <w:rPr>
          <w:rFonts w:ascii="Times New Roman" w:hAnsi="Times New Roman"/>
          <w:sz w:val="28"/>
          <w:szCs w:val="28"/>
          <w:lang w:eastAsia="ru-RU"/>
        </w:rPr>
        <w:t>рекомендуются меры по</w:t>
      </w:r>
      <w:r>
        <w:rPr>
          <w:rFonts w:ascii="Times New Roman" w:hAnsi="Times New Roman"/>
          <w:sz w:val="28"/>
          <w:szCs w:val="28"/>
          <w:lang w:eastAsia="ru-RU"/>
        </w:rPr>
        <w:t> </w:t>
      </w:r>
      <w:r w:rsidRPr="00BF5FB4">
        <w:rPr>
          <w:rFonts w:ascii="Times New Roman" w:hAnsi="Times New Roman"/>
          <w:sz w:val="28"/>
          <w:szCs w:val="28"/>
          <w:lang w:eastAsia="ru-RU"/>
        </w:rPr>
        <w:t>его дальнейшему снижению и</w:t>
      </w:r>
      <w:r>
        <w:rPr>
          <w:rFonts w:ascii="Times New Roman" w:hAnsi="Times New Roman"/>
          <w:sz w:val="28"/>
          <w:szCs w:val="28"/>
          <w:lang w:eastAsia="ru-RU"/>
        </w:rPr>
        <w:t> </w:t>
      </w:r>
      <w:r w:rsidRPr="00BF5FB4">
        <w:rPr>
          <w:rFonts w:ascii="Times New Roman" w:hAnsi="Times New Roman"/>
          <w:sz w:val="28"/>
          <w:szCs w:val="28"/>
          <w:lang w:eastAsia="ru-RU"/>
        </w:rPr>
        <w:t>контролю.</w:t>
      </w:r>
    </w:p>
    <w:p w:rsidR="002D1E45" w:rsidRPr="00BF5FB4" w:rsidRDefault="002D1E45" w:rsidP="00BF5FB4">
      <w:pPr>
        <w:spacing w:after="0" w:line="240" w:lineRule="auto"/>
        <w:ind w:firstLine="709"/>
        <w:jc w:val="both"/>
        <w:rPr>
          <w:rFonts w:ascii="Times New Roman" w:hAnsi="Times New Roman"/>
          <w:sz w:val="28"/>
          <w:szCs w:val="28"/>
          <w:lang w:eastAsia="ru-RU"/>
        </w:rPr>
      </w:pPr>
      <w:r w:rsidRPr="00BF5FB4">
        <w:rPr>
          <w:rFonts w:ascii="Times New Roman" w:hAnsi="Times New Roman"/>
          <w:i/>
          <w:sz w:val="28"/>
          <w:szCs w:val="28"/>
          <w:lang w:eastAsia="ru-RU"/>
        </w:rPr>
        <w:t>Риск приемлемый</w:t>
      </w:r>
      <w:r w:rsidRPr="00BF5FB4">
        <w:rPr>
          <w:rFonts w:ascii="Times New Roman" w:hAnsi="Times New Roman"/>
          <w:sz w:val="28"/>
          <w:szCs w:val="28"/>
          <w:lang w:eastAsia="ru-RU"/>
        </w:rPr>
        <w:t xml:space="preserve"> – риск, уровень которого, безусловно оправдан с</w:t>
      </w:r>
      <w:r>
        <w:rPr>
          <w:rFonts w:ascii="Times New Roman" w:hAnsi="Times New Roman"/>
          <w:sz w:val="28"/>
          <w:szCs w:val="28"/>
          <w:lang w:eastAsia="ru-RU"/>
        </w:rPr>
        <w:t> </w:t>
      </w:r>
      <w:r w:rsidRPr="00BF5FB4">
        <w:rPr>
          <w:rFonts w:ascii="Times New Roman" w:hAnsi="Times New Roman"/>
          <w:sz w:val="28"/>
          <w:szCs w:val="28"/>
          <w:lang w:eastAsia="ru-RU"/>
        </w:rPr>
        <w:t>социальной, экономической и</w:t>
      </w:r>
      <w:r>
        <w:rPr>
          <w:rFonts w:ascii="Times New Roman" w:hAnsi="Times New Roman"/>
          <w:sz w:val="28"/>
          <w:szCs w:val="28"/>
          <w:lang w:eastAsia="ru-RU"/>
        </w:rPr>
        <w:t> </w:t>
      </w:r>
      <w:r w:rsidRPr="00BF5FB4">
        <w:rPr>
          <w:rFonts w:ascii="Times New Roman" w:hAnsi="Times New Roman"/>
          <w:sz w:val="28"/>
          <w:szCs w:val="28"/>
          <w:lang w:eastAsia="ru-RU"/>
        </w:rPr>
        <w:t>экологической точек зрения или пренебрежимо мал.</w:t>
      </w:r>
    </w:p>
    <w:p w:rsidR="002D1E45" w:rsidRPr="00BF5FB4" w:rsidRDefault="002D1E45" w:rsidP="00BF5FB4">
      <w:pPr>
        <w:spacing w:after="0" w:line="240" w:lineRule="auto"/>
        <w:ind w:firstLine="709"/>
        <w:jc w:val="both"/>
        <w:rPr>
          <w:rFonts w:ascii="Times New Roman" w:hAnsi="Times New Roman"/>
          <w:sz w:val="28"/>
          <w:szCs w:val="28"/>
          <w:lang w:eastAsia="ru-RU"/>
        </w:rPr>
      </w:pPr>
      <w:r w:rsidRPr="00BF5FB4">
        <w:rPr>
          <w:rFonts w:ascii="Times New Roman" w:hAnsi="Times New Roman"/>
          <w:i/>
          <w:sz w:val="28"/>
          <w:szCs w:val="28"/>
          <w:lang w:eastAsia="ru-RU"/>
        </w:rPr>
        <w:t>Опасность</w:t>
      </w:r>
      <w:r w:rsidRPr="00BF5FB4">
        <w:rPr>
          <w:rFonts w:ascii="Times New Roman" w:hAnsi="Times New Roman"/>
          <w:sz w:val="28"/>
          <w:szCs w:val="28"/>
          <w:lang w:eastAsia="ru-RU"/>
        </w:rPr>
        <w:t xml:space="preserve"> – способность причинения какого-либо вреда (ущерба), в</w:t>
      </w:r>
      <w:r>
        <w:rPr>
          <w:rFonts w:ascii="Times New Roman" w:hAnsi="Times New Roman"/>
          <w:sz w:val="28"/>
          <w:szCs w:val="28"/>
          <w:lang w:eastAsia="ru-RU"/>
        </w:rPr>
        <w:t> </w:t>
      </w:r>
      <w:r w:rsidRPr="00BF5FB4">
        <w:rPr>
          <w:rFonts w:ascii="Times New Roman" w:hAnsi="Times New Roman"/>
          <w:sz w:val="28"/>
          <w:szCs w:val="28"/>
          <w:lang w:eastAsia="ru-RU"/>
        </w:rPr>
        <w:t>том числе угроза жизни и</w:t>
      </w:r>
      <w:r>
        <w:rPr>
          <w:rFonts w:ascii="Times New Roman" w:hAnsi="Times New Roman"/>
          <w:sz w:val="28"/>
          <w:szCs w:val="28"/>
          <w:lang w:eastAsia="ru-RU"/>
        </w:rPr>
        <w:t> </w:t>
      </w:r>
      <w:r w:rsidRPr="00BF5FB4">
        <w:rPr>
          <w:rFonts w:ascii="Times New Roman" w:hAnsi="Times New Roman"/>
          <w:sz w:val="28"/>
          <w:szCs w:val="28"/>
          <w:lang w:eastAsia="ru-RU"/>
        </w:rPr>
        <w:t>здоровью человека, его материальным и</w:t>
      </w:r>
      <w:r>
        <w:rPr>
          <w:rFonts w:ascii="Times New Roman" w:hAnsi="Times New Roman"/>
          <w:sz w:val="28"/>
          <w:szCs w:val="28"/>
          <w:lang w:eastAsia="ru-RU"/>
        </w:rPr>
        <w:t> </w:t>
      </w:r>
      <w:r w:rsidRPr="00BF5FB4">
        <w:rPr>
          <w:rFonts w:ascii="Times New Roman" w:hAnsi="Times New Roman"/>
          <w:sz w:val="28"/>
          <w:szCs w:val="28"/>
          <w:lang w:eastAsia="ru-RU"/>
        </w:rPr>
        <w:t>духовным ценностям, окружающей среде.</w:t>
      </w:r>
    </w:p>
    <w:p w:rsidR="002D1E45" w:rsidRPr="00BF5FB4" w:rsidRDefault="002D1E45" w:rsidP="00BF5FB4">
      <w:pPr>
        <w:spacing w:after="0" w:line="240" w:lineRule="auto"/>
        <w:ind w:firstLine="709"/>
        <w:jc w:val="both"/>
        <w:rPr>
          <w:rFonts w:ascii="Times New Roman" w:hAnsi="Times New Roman"/>
          <w:sz w:val="28"/>
          <w:szCs w:val="28"/>
          <w:lang w:eastAsia="ru-RU"/>
        </w:rPr>
      </w:pPr>
      <w:r w:rsidRPr="00BF5FB4">
        <w:rPr>
          <w:rFonts w:ascii="Times New Roman" w:hAnsi="Times New Roman"/>
          <w:i/>
          <w:sz w:val="28"/>
          <w:szCs w:val="28"/>
          <w:lang w:eastAsia="ru-RU"/>
        </w:rPr>
        <w:t>Пострадавшие</w:t>
      </w:r>
      <w:r w:rsidRPr="00BF5FB4">
        <w:rPr>
          <w:rFonts w:ascii="Times New Roman" w:hAnsi="Times New Roman"/>
          <w:sz w:val="28"/>
          <w:szCs w:val="28"/>
          <w:lang w:eastAsia="ru-RU"/>
        </w:rPr>
        <w:t xml:space="preserve"> – количество людей, погибших или получивших в</w:t>
      </w:r>
      <w:r>
        <w:rPr>
          <w:rFonts w:ascii="Times New Roman" w:hAnsi="Times New Roman"/>
          <w:sz w:val="28"/>
          <w:szCs w:val="28"/>
          <w:lang w:eastAsia="ru-RU"/>
        </w:rPr>
        <w:t> </w:t>
      </w:r>
      <w:r w:rsidRPr="00BF5FB4">
        <w:rPr>
          <w:rFonts w:ascii="Times New Roman" w:hAnsi="Times New Roman"/>
          <w:sz w:val="28"/>
          <w:szCs w:val="28"/>
          <w:lang w:eastAsia="ru-RU"/>
        </w:rPr>
        <w:t>результате чрезвычайной ситуации ущерб здоровью.</w:t>
      </w:r>
    </w:p>
    <w:p w:rsidR="002D1E45" w:rsidRPr="00BF5FB4" w:rsidRDefault="002D1E45" w:rsidP="00BF5FB4">
      <w:pPr>
        <w:spacing w:after="0" w:line="240" w:lineRule="auto"/>
        <w:ind w:firstLine="709"/>
        <w:jc w:val="both"/>
        <w:rPr>
          <w:rFonts w:ascii="Times New Roman" w:hAnsi="Times New Roman"/>
          <w:sz w:val="28"/>
          <w:szCs w:val="28"/>
          <w:lang w:eastAsia="ru-RU"/>
        </w:rPr>
      </w:pPr>
      <w:r w:rsidRPr="00BF5FB4">
        <w:rPr>
          <w:rFonts w:ascii="Times New Roman" w:hAnsi="Times New Roman"/>
          <w:i/>
          <w:sz w:val="28"/>
          <w:szCs w:val="28"/>
          <w:lang w:eastAsia="ru-RU"/>
        </w:rPr>
        <w:t>Ущерб</w:t>
      </w:r>
      <w:r w:rsidRPr="00BF5FB4">
        <w:rPr>
          <w:rFonts w:ascii="Times New Roman" w:hAnsi="Times New Roman"/>
          <w:sz w:val="28"/>
          <w:szCs w:val="28"/>
          <w:lang w:eastAsia="ru-RU"/>
        </w:rPr>
        <w:t xml:space="preserve"> – потери некоторого субъекта или группы субъектов части или всех своих ценностей.</w:t>
      </w:r>
    </w:p>
    <w:p w:rsidR="002D1E45" w:rsidRPr="00BF5FB4" w:rsidRDefault="002D1E45" w:rsidP="00BF5FB4">
      <w:pPr>
        <w:spacing w:after="0" w:line="240" w:lineRule="auto"/>
        <w:ind w:firstLine="709"/>
        <w:jc w:val="both"/>
        <w:rPr>
          <w:rFonts w:ascii="Times New Roman" w:hAnsi="Times New Roman"/>
          <w:sz w:val="28"/>
          <w:szCs w:val="28"/>
          <w:lang w:eastAsia="ru-RU"/>
        </w:rPr>
      </w:pPr>
      <w:r w:rsidRPr="00BF5FB4">
        <w:rPr>
          <w:rFonts w:ascii="Times New Roman" w:hAnsi="Times New Roman"/>
          <w:i/>
          <w:sz w:val="28"/>
          <w:szCs w:val="28"/>
          <w:lang w:eastAsia="ru-RU"/>
        </w:rPr>
        <w:t>Ущерб материальный</w:t>
      </w:r>
      <w:r w:rsidRPr="00BF5FB4">
        <w:rPr>
          <w:rFonts w:ascii="Times New Roman" w:hAnsi="Times New Roman"/>
          <w:sz w:val="28"/>
          <w:szCs w:val="28"/>
          <w:lang w:eastAsia="ru-RU"/>
        </w:rPr>
        <w:t xml:space="preserve"> – потери материальных ценностей, собственности или финансовых средств.</w:t>
      </w:r>
    </w:p>
    <w:p w:rsidR="002D1E45" w:rsidRPr="00BF5FB4" w:rsidRDefault="002D1E45" w:rsidP="00BF5FB4">
      <w:pPr>
        <w:spacing w:after="0" w:line="240" w:lineRule="auto"/>
        <w:ind w:firstLine="709"/>
        <w:jc w:val="both"/>
        <w:rPr>
          <w:rFonts w:ascii="Times New Roman" w:hAnsi="Times New Roman"/>
          <w:sz w:val="28"/>
          <w:szCs w:val="28"/>
          <w:lang w:eastAsia="ru-RU"/>
        </w:rPr>
      </w:pPr>
      <w:r w:rsidRPr="00BF5FB4">
        <w:rPr>
          <w:rFonts w:ascii="Times New Roman" w:hAnsi="Times New Roman"/>
          <w:i/>
          <w:sz w:val="28"/>
          <w:szCs w:val="28"/>
          <w:lang w:eastAsia="ru-RU"/>
        </w:rPr>
        <w:t>Ущерб социальный</w:t>
      </w:r>
      <w:r w:rsidRPr="00BF5FB4">
        <w:rPr>
          <w:rFonts w:ascii="Times New Roman" w:hAnsi="Times New Roman"/>
          <w:sz w:val="28"/>
          <w:szCs w:val="28"/>
          <w:lang w:eastAsia="ru-RU"/>
        </w:rPr>
        <w:t xml:space="preserve"> – потери, связанные с</w:t>
      </w:r>
      <w:r>
        <w:rPr>
          <w:rFonts w:ascii="Times New Roman" w:hAnsi="Times New Roman"/>
          <w:sz w:val="28"/>
          <w:szCs w:val="28"/>
          <w:lang w:eastAsia="ru-RU"/>
        </w:rPr>
        <w:t> </w:t>
      </w:r>
      <w:r w:rsidRPr="00BF5FB4">
        <w:rPr>
          <w:rFonts w:ascii="Times New Roman" w:hAnsi="Times New Roman"/>
          <w:sz w:val="28"/>
          <w:szCs w:val="28"/>
          <w:lang w:eastAsia="ru-RU"/>
        </w:rPr>
        <w:t>жизнью, здоровьем и</w:t>
      </w:r>
      <w:r>
        <w:rPr>
          <w:rFonts w:ascii="Times New Roman" w:hAnsi="Times New Roman"/>
          <w:sz w:val="28"/>
          <w:szCs w:val="28"/>
          <w:lang w:eastAsia="ru-RU"/>
        </w:rPr>
        <w:t> </w:t>
      </w:r>
      <w:r w:rsidRPr="00BF5FB4">
        <w:rPr>
          <w:rFonts w:ascii="Times New Roman" w:hAnsi="Times New Roman"/>
          <w:sz w:val="28"/>
          <w:szCs w:val="28"/>
          <w:lang w:eastAsia="ru-RU"/>
        </w:rPr>
        <w:t>духовными ценностями индивидуума, социальных групп и</w:t>
      </w:r>
      <w:r>
        <w:rPr>
          <w:rFonts w:ascii="Times New Roman" w:hAnsi="Times New Roman"/>
          <w:sz w:val="28"/>
          <w:szCs w:val="28"/>
          <w:lang w:eastAsia="ru-RU"/>
        </w:rPr>
        <w:t> </w:t>
      </w:r>
      <w:r w:rsidRPr="00BF5FB4">
        <w:rPr>
          <w:rFonts w:ascii="Times New Roman" w:hAnsi="Times New Roman"/>
          <w:sz w:val="28"/>
          <w:szCs w:val="28"/>
          <w:lang w:eastAsia="ru-RU"/>
        </w:rPr>
        <w:t>общества в</w:t>
      </w:r>
      <w:r>
        <w:rPr>
          <w:rFonts w:ascii="Times New Roman" w:hAnsi="Times New Roman"/>
          <w:sz w:val="28"/>
          <w:szCs w:val="28"/>
          <w:lang w:eastAsia="ru-RU"/>
        </w:rPr>
        <w:t> </w:t>
      </w:r>
      <w:r w:rsidRPr="00BF5FB4">
        <w:rPr>
          <w:rFonts w:ascii="Times New Roman" w:hAnsi="Times New Roman"/>
          <w:sz w:val="28"/>
          <w:szCs w:val="28"/>
          <w:lang w:eastAsia="ru-RU"/>
        </w:rPr>
        <w:t>целом.</w:t>
      </w:r>
    </w:p>
    <w:p w:rsidR="002D1E45" w:rsidRPr="00BF5FB4" w:rsidRDefault="002D1E45" w:rsidP="00BF5FB4">
      <w:pPr>
        <w:spacing w:after="0" w:line="240" w:lineRule="auto"/>
        <w:ind w:firstLine="709"/>
        <w:jc w:val="both"/>
        <w:rPr>
          <w:rFonts w:ascii="Times New Roman" w:hAnsi="Times New Roman"/>
          <w:sz w:val="28"/>
          <w:szCs w:val="28"/>
          <w:lang w:eastAsia="ru-RU"/>
        </w:rPr>
      </w:pPr>
      <w:r w:rsidRPr="00BF5FB4">
        <w:rPr>
          <w:rFonts w:ascii="Times New Roman" w:hAnsi="Times New Roman"/>
          <w:i/>
          <w:sz w:val="28"/>
          <w:szCs w:val="28"/>
          <w:lang w:eastAsia="ru-RU"/>
        </w:rPr>
        <w:t>Ущерб социально-экономический</w:t>
      </w:r>
      <w:r w:rsidRPr="00BF5FB4">
        <w:rPr>
          <w:rFonts w:ascii="Times New Roman" w:hAnsi="Times New Roman"/>
          <w:sz w:val="28"/>
          <w:szCs w:val="28"/>
          <w:lang w:eastAsia="ru-RU"/>
        </w:rPr>
        <w:t xml:space="preserve"> – стоимостное выражение потерь, связанных с</w:t>
      </w:r>
      <w:r>
        <w:rPr>
          <w:rFonts w:ascii="Times New Roman" w:hAnsi="Times New Roman"/>
          <w:sz w:val="28"/>
          <w:szCs w:val="28"/>
          <w:lang w:eastAsia="ru-RU"/>
        </w:rPr>
        <w:t> </w:t>
      </w:r>
      <w:r w:rsidRPr="00BF5FB4">
        <w:rPr>
          <w:rFonts w:ascii="Times New Roman" w:hAnsi="Times New Roman"/>
          <w:sz w:val="28"/>
          <w:szCs w:val="28"/>
          <w:lang w:eastAsia="ru-RU"/>
        </w:rPr>
        <w:t>жизнью, здоровьем и</w:t>
      </w:r>
      <w:r>
        <w:rPr>
          <w:rFonts w:ascii="Times New Roman" w:hAnsi="Times New Roman"/>
          <w:sz w:val="28"/>
          <w:szCs w:val="28"/>
          <w:lang w:eastAsia="ru-RU"/>
        </w:rPr>
        <w:t> </w:t>
      </w:r>
      <w:r w:rsidRPr="00BF5FB4">
        <w:rPr>
          <w:rFonts w:ascii="Times New Roman" w:hAnsi="Times New Roman"/>
          <w:sz w:val="28"/>
          <w:szCs w:val="28"/>
          <w:lang w:eastAsia="ru-RU"/>
        </w:rPr>
        <w:t>духовными ценностями индивидуума, социальных групп и</w:t>
      </w:r>
      <w:r>
        <w:rPr>
          <w:rFonts w:ascii="Times New Roman" w:hAnsi="Times New Roman"/>
          <w:sz w:val="28"/>
          <w:szCs w:val="28"/>
          <w:lang w:eastAsia="ru-RU"/>
        </w:rPr>
        <w:t> </w:t>
      </w:r>
      <w:r w:rsidRPr="00BF5FB4">
        <w:rPr>
          <w:rFonts w:ascii="Times New Roman" w:hAnsi="Times New Roman"/>
          <w:sz w:val="28"/>
          <w:szCs w:val="28"/>
          <w:lang w:eastAsia="ru-RU"/>
        </w:rPr>
        <w:t>общества в</w:t>
      </w:r>
      <w:r>
        <w:rPr>
          <w:rFonts w:ascii="Times New Roman" w:hAnsi="Times New Roman"/>
          <w:sz w:val="28"/>
          <w:szCs w:val="28"/>
          <w:lang w:eastAsia="ru-RU"/>
        </w:rPr>
        <w:t> </w:t>
      </w:r>
      <w:r w:rsidRPr="00BF5FB4">
        <w:rPr>
          <w:rFonts w:ascii="Times New Roman" w:hAnsi="Times New Roman"/>
          <w:sz w:val="28"/>
          <w:szCs w:val="28"/>
          <w:lang w:eastAsia="ru-RU"/>
        </w:rPr>
        <w:t>целом.</w:t>
      </w:r>
    </w:p>
    <w:p w:rsidR="002D1E45" w:rsidRPr="00BF5FB4" w:rsidRDefault="002D1E45" w:rsidP="00BF5FB4">
      <w:pPr>
        <w:spacing w:after="0" w:line="240" w:lineRule="auto"/>
        <w:ind w:firstLine="709"/>
        <w:jc w:val="both"/>
        <w:rPr>
          <w:rFonts w:ascii="Times New Roman" w:hAnsi="Times New Roman"/>
          <w:sz w:val="28"/>
          <w:szCs w:val="28"/>
          <w:lang w:eastAsia="ru-RU"/>
        </w:rPr>
      </w:pPr>
      <w:r w:rsidRPr="00BF5FB4">
        <w:rPr>
          <w:rFonts w:ascii="Times New Roman" w:hAnsi="Times New Roman"/>
          <w:i/>
          <w:sz w:val="28"/>
          <w:szCs w:val="28"/>
          <w:lang w:eastAsia="ru-RU"/>
        </w:rPr>
        <w:t>Ущерб эколого-экономический</w:t>
      </w:r>
      <w:r w:rsidRPr="00BF5FB4">
        <w:rPr>
          <w:rFonts w:ascii="Times New Roman" w:hAnsi="Times New Roman"/>
          <w:sz w:val="28"/>
          <w:szCs w:val="28"/>
          <w:lang w:eastAsia="ru-RU"/>
        </w:rPr>
        <w:t xml:space="preserve"> – сумма затрат на</w:t>
      </w:r>
      <w:r>
        <w:rPr>
          <w:rFonts w:ascii="Times New Roman" w:hAnsi="Times New Roman"/>
          <w:sz w:val="28"/>
          <w:szCs w:val="28"/>
          <w:lang w:eastAsia="ru-RU"/>
        </w:rPr>
        <w:t> </w:t>
      </w:r>
      <w:r w:rsidRPr="00BF5FB4">
        <w:rPr>
          <w:rFonts w:ascii="Times New Roman" w:hAnsi="Times New Roman"/>
          <w:sz w:val="28"/>
          <w:szCs w:val="28"/>
          <w:lang w:eastAsia="ru-RU"/>
        </w:rPr>
        <w:t>ликвидацию последствий чрезвычайной ситуации, восстановление объектов и</w:t>
      </w:r>
      <w:r>
        <w:rPr>
          <w:rFonts w:ascii="Times New Roman" w:hAnsi="Times New Roman"/>
          <w:sz w:val="28"/>
          <w:szCs w:val="28"/>
          <w:lang w:eastAsia="ru-RU"/>
        </w:rPr>
        <w:t> </w:t>
      </w:r>
      <w:r w:rsidRPr="00BF5FB4">
        <w:rPr>
          <w:rFonts w:ascii="Times New Roman" w:hAnsi="Times New Roman"/>
          <w:sz w:val="28"/>
          <w:szCs w:val="28"/>
          <w:lang w:eastAsia="ru-RU"/>
        </w:rPr>
        <w:t>сооружений, расположенных на</w:t>
      </w:r>
      <w:r>
        <w:rPr>
          <w:rFonts w:ascii="Times New Roman" w:hAnsi="Times New Roman"/>
          <w:sz w:val="28"/>
          <w:szCs w:val="28"/>
          <w:lang w:eastAsia="ru-RU"/>
        </w:rPr>
        <w:t> </w:t>
      </w:r>
      <w:r w:rsidRPr="00BF5FB4">
        <w:rPr>
          <w:rFonts w:ascii="Times New Roman" w:hAnsi="Times New Roman"/>
          <w:sz w:val="28"/>
          <w:szCs w:val="28"/>
          <w:lang w:eastAsia="ru-RU"/>
        </w:rPr>
        <w:t>загрязнённой территории, а</w:t>
      </w:r>
      <w:r>
        <w:rPr>
          <w:rFonts w:ascii="Times New Roman" w:hAnsi="Times New Roman"/>
          <w:sz w:val="28"/>
          <w:szCs w:val="28"/>
          <w:lang w:eastAsia="ru-RU"/>
        </w:rPr>
        <w:t> </w:t>
      </w:r>
      <w:r w:rsidRPr="00BF5FB4">
        <w:rPr>
          <w:rFonts w:ascii="Times New Roman" w:hAnsi="Times New Roman"/>
          <w:sz w:val="28"/>
          <w:szCs w:val="28"/>
          <w:lang w:eastAsia="ru-RU"/>
        </w:rPr>
        <w:t>также реабилитацию загрязнённой территории или оплату за</w:t>
      </w:r>
      <w:r>
        <w:rPr>
          <w:rFonts w:ascii="Times New Roman" w:hAnsi="Times New Roman"/>
          <w:sz w:val="28"/>
          <w:szCs w:val="28"/>
          <w:lang w:eastAsia="ru-RU"/>
        </w:rPr>
        <w:t> </w:t>
      </w:r>
      <w:r w:rsidRPr="00BF5FB4">
        <w:rPr>
          <w:rFonts w:ascii="Times New Roman" w:hAnsi="Times New Roman"/>
          <w:sz w:val="28"/>
          <w:szCs w:val="28"/>
          <w:lang w:eastAsia="ru-RU"/>
        </w:rPr>
        <w:t>нанесение вреда окружающей среде от</w:t>
      </w:r>
      <w:r>
        <w:rPr>
          <w:rFonts w:ascii="Times New Roman" w:hAnsi="Times New Roman"/>
          <w:sz w:val="28"/>
          <w:szCs w:val="28"/>
          <w:lang w:eastAsia="ru-RU"/>
        </w:rPr>
        <w:t> </w:t>
      </w:r>
      <w:r w:rsidRPr="00BF5FB4">
        <w:rPr>
          <w:rFonts w:ascii="Times New Roman" w:hAnsi="Times New Roman"/>
          <w:sz w:val="28"/>
          <w:szCs w:val="28"/>
          <w:lang w:eastAsia="ru-RU"/>
        </w:rPr>
        <w:t>загрязнения земель, водных объектов и</w:t>
      </w:r>
      <w:r>
        <w:rPr>
          <w:rFonts w:ascii="Times New Roman" w:hAnsi="Times New Roman"/>
          <w:sz w:val="28"/>
          <w:szCs w:val="28"/>
          <w:lang w:eastAsia="ru-RU"/>
        </w:rPr>
        <w:t> </w:t>
      </w:r>
      <w:r w:rsidRPr="00BF5FB4">
        <w:rPr>
          <w:rFonts w:ascii="Times New Roman" w:hAnsi="Times New Roman"/>
          <w:sz w:val="28"/>
          <w:szCs w:val="28"/>
          <w:lang w:eastAsia="ru-RU"/>
        </w:rPr>
        <w:t>атмосферы.</w:t>
      </w:r>
    </w:p>
    <w:p w:rsidR="002D1E45" w:rsidRPr="00BF5FB4" w:rsidRDefault="002D1E45" w:rsidP="00BF5FB4">
      <w:pPr>
        <w:spacing w:after="0" w:line="240" w:lineRule="auto"/>
        <w:ind w:firstLine="709"/>
        <w:jc w:val="both"/>
        <w:rPr>
          <w:rFonts w:ascii="Times New Roman" w:hAnsi="Times New Roman"/>
          <w:sz w:val="28"/>
          <w:szCs w:val="28"/>
          <w:lang w:eastAsia="ru-RU"/>
        </w:rPr>
      </w:pPr>
      <w:r w:rsidRPr="00BF5FB4">
        <w:rPr>
          <w:rFonts w:ascii="Times New Roman" w:hAnsi="Times New Roman"/>
          <w:sz w:val="28"/>
          <w:szCs w:val="28"/>
          <w:lang w:eastAsia="ru-RU"/>
        </w:rPr>
        <w:t>Оценка риска выполняется с</w:t>
      </w:r>
      <w:r>
        <w:rPr>
          <w:rFonts w:ascii="Times New Roman" w:hAnsi="Times New Roman"/>
          <w:sz w:val="28"/>
          <w:szCs w:val="28"/>
          <w:lang w:eastAsia="ru-RU"/>
        </w:rPr>
        <w:t> </w:t>
      </w:r>
      <w:r w:rsidRPr="00BF5FB4">
        <w:rPr>
          <w:rFonts w:ascii="Times New Roman" w:hAnsi="Times New Roman"/>
          <w:sz w:val="28"/>
          <w:szCs w:val="28"/>
          <w:lang w:eastAsia="ru-RU"/>
        </w:rPr>
        <w:t>учётом погрешностей, присутствующих, как при оценке риска, так и</w:t>
      </w:r>
      <w:r>
        <w:rPr>
          <w:rFonts w:ascii="Times New Roman" w:hAnsi="Times New Roman"/>
          <w:sz w:val="28"/>
          <w:szCs w:val="28"/>
          <w:lang w:eastAsia="ru-RU"/>
        </w:rPr>
        <w:t> </w:t>
      </w:r>
      <w:r w:rsidRPr="00BF5FB4">
        <w:rPr>
          <w:rFonts w:ascii="Times New Roman" w:hAnsi="Times New Roman"/>
          <w:sz w:val="28"/>
          <w:szCs w:val="28"/>
          <w:lang w:eastAsia="ru-RU"/>
        </w:rPr>
        <w:t>при оценке того, что можно считать допустимым.</w:t>
      </w:r>
    </w:p>
    <w:p w:rsidR="002D1E45" w:rsidRPr="00BF5FB4" w:rsidRDefault="002D1E45" w:rsidP="00BF5FB4">
      <w:pPr>
        <w:spacing w:after="0" w:line="240" w:lineRule="auto"/>
        <w:ind w:firstLine="709"/>
        <w:jc w:val="both"/>
        <w:rPr>
          <w:rFonts w:ascii="Times New Roman" w:hAnsi="Times New Roman"/>
          <w:sz w:val="28"/>
          <w:szCs w:val="28"/>
          <w:lang w:eastAsia="ru-RU"/>
        </w:rPr>
      </w:pPr>
      <w:r w:rsidRPr="00BF5FB4">
        <w:rPr>
          <w:rFonts w:ascii="Times New Roman" w:hAnsi="Times New Roman"/>
          <w:sz w:val="28"/>
          <w:szCs w:val="28"/>
          <w:lang w:eastAsia="ru-RU"/>
        </w:rPr>
        <w:t>Таким образом, задача оценки риска заключается в</w:t>
      </w:r>
      <w:r>
        <w:rPr>
          <w:rFonts w:ascii="Times New Roman" w:hAnsi="Times New Roman"/>
          <w:sz w:val="28"/>
          <w:szCs w:val="28"/>
          <w:lang w:eastAsia="ru-RU"/>
        </w:rPr>
        <w:t> </w:t>
      </w:r>
      <w:r w:rsidRPr="00BF5FB4">
        <w:rPr>
          <w:rFonts w:ascii="Times New Roman" w:hAnsi="Times New Roman"/>
          <w:sz w:val="28"/>
          <w:szCs w:val="28"/>
          <w:lang w:eastAsia="ru-RU"/>
        </w:rPr>
        <w:t>решении двух составляющих. Первая ставит целью определить вероятность (частоту) возникновения события, инициирующего возникновение поражающих факторов (источник ЧС).</w:t>
      </w:r>
    </w:p>
    <w:p w:rsidR="002D1E45" w:rsidRPr="00BF5FB4" w:rsidRDefault="002D1E45" w:rsidP="00BF5FB4">
      <w:pPr>
        <w:spacing w:after="0" w:line="240" w:lineRule="auto"/>
        <w:ind w:firstLine="709"/>
        <w:jc w:val="both"/>
        <w:rPr>
          <w:rFonts w:ascii="Times New Roman" w:hAnsi="Times New Roman"/>
          <w:sz w:val="28"/>
          <w:szCs w:val="28"/>
          <w:lang w:eastAsia="ru-RU"/>
        </w:rPr>
      </w:pPr>
      <w:r w:rsidRPr="00BF5FB4">
        <w:rPr>
          <w:rFonts w:ascii="Times New Roman" w:hAnsi="Times New Roman"/>
          <w:sz w:val="28"/>
          <w:szCs w:val="28"/>
          <w:lang w:eastAsia="ru-RU"/>
        </w:rPr>
        <w:t>Вторая составляющая заключается в</w:t>
      </w:r>
      <w:r>
        <w:rPr>
          <w:rFonts w:ascii="Times New Roman" w:hAnsi="Times New Roman"/>
          <w:sz w:val="28"/>
          <w:szCs w:val="28"/>
          <w:lang w:eastAsia="ru-RU"/>
        </w:rPr>
        <w:t> </w:t>
      </w:r>
      <w:r w:rsidRPr="00BF5FB4">
        <w:rPr>
          <w:rFonts w:ascii="Times New Roman" w:hAnsi="Times New Roman"/>
          <w:sz w:val="28"/>
          <w:szCs w:val="28"/>
          <w:lang w:eastAsia="ru-RU"/>
        </w:rPr>
        <w:t>определении вероятности поражения человека при условии формирования заданных поражающих факторов, с</w:t>
      </w:r>
      <w:r>
        <w:rPr>
          <w:rFonts w:ascii="Times New Roman" w:hAnsi="Times New Roman"/>
          <w:sz w:val="28"/>
          <w:szCs w:val="28"/>
          <w:lang w:eastAsia="ru-RU"/>
        </w:rPr>
        <w:t> </w:t>
      </w:r>
      <w:r w:rsidRPr="00BF5FB4">
        <w:rPr>
          <w:rFonts w:ascii="Times New Roman" w:hAnsi="Times New Roman"/>
          <w:sz w:val="28"/>
          <w:szCs w:val="28"/>
          <w:lang w:eastAsia="ru-RU"/>
        </w:rPr>
        <w:t>последующим осуществлением зонирования территории по</w:t>
      </w:r>
      <w:r>
        <w:rPr>
          <w:rFonts w:ascii="Times New Roman" w:hAnsi="Times New Roman"/>
          <w:sz w:val="28"/>
          <w:szCs w:val="28"/>
          <w:lang w:eastAsia="ru-RU"/>
        </w:rPr>
        <w:t> </w:t>
      </w:r>
      <w:r w:rsidRPr="00BF5FB4">
        <w:rPr>
          <w:rFonts w:ascii="Times New Roman" w:hAnsi="Times New Roman"/>
          <w:sz w:val="28"/>
          <w:szCs w:val="28"/>
          <w:lang w:eastAsia="ru-RU"/>
        </w:rPr>
        <w:t>показателю индивидуального риска.</w:t>
      </w:r>
    </w:p>
    <w:p w:rsidR="002D1E45" w:rsidRPr="00BF5FB4" w:rsidRDefault="002D1E45" w:rsidP="00BF5FB4">
      <w:pPr>
        <w:spacing w:after="0" w:line="240" w:lineRule="auto"/>
        <w:ind w:firstLine="709"/>
        <w:jc w:val="both"/>
        <w:rPr>
          <w:rFonts w:ascii="Times New Roman" w:hAnsi="Times New Roman"/>
          <w:sz w:val="28"/>
          <w:szCs w:val="28"/>
          <w:lang w:eastAsia="ru-RU"/>
        </w:rPr>
      </w:pPr>
      <w:r w:rsidRPr="00BF5FB4">
        <w:rPr>
          <w:rFonts w:ascii="Times New Roman" w:hAnsi="Times New Roman"/>
          <w:sz w:val="28"/>
          <w:szCs w:val="28"/>
          <w:lang w:eastAsia="ru-RU"/>
        </w:rPr>
        <w:t>При определении количественных показателей риска, важнейшей задачей является расчёт вероятности формирования источника чрезвычайной ситуации. Правильное определение этого показателя позволит принять адекватные меры по</w:t>
      </w:r>
      <w:r>
        <w:rPr>
          <w:rFonts w:ascii="Times New Roman" w:hAnsi="Times New Roman"/>
          <w:sz w:val="28"/>
          <w:szCs w:val="28"/>
          <w:lang w:eastAsia="ru-RU"/>
        </w:rPr>
        <w:t> </w:t>
      </w:r>
      <w:r w:rsidRPr="00BF5FB4">
        <w:rPr>
          <w:rFonts w:ascii="Times New Roman" w:hAnsi="Times New Roman"/>
          <w:sz w:val="28"/>
          <w:szCs w:val="28"/>
          <w:lang w:eastAsia="ru-RU"/>
        </w:rPr>
        <w:t>защите населения и</w:t>
      </w:r>
      <w:r>
        <w:rPr>
          <w:rFonts w:ascii="Times New Roman" w:hAnsi="Times New Roman"/>
          <w:sz w:val="28"/>
          <w:szCs w:val="28"/>
          <w:lang w:eastAsia="ru-RU"/>
        </w:rPr>
        <w:t> </w:t>
      </w:r>
      <w:r w:rsidRPr="00BF5FB4">
        <w:rPr>
          <w:rFonts w:ascii="Times New Roman" w:hAnsi="Times New Roman"/>
          <w:sz w:val="28"/>
          <w:szCs w:val="28"/>
          <w:lang w:eastAsia="ru-RU"/>
        </w:rPr>
        <w:t>территории. Его завышением по</w:t>
      </w:r>
      <w:r>
        <w:rPr>
          <w:rFonts w:ascii="Times New Roman" w:hAnsi="Times New Roman"/>
          <w:sz w:val="28"/>
          <w:szCs w:val="28"/>
          <w:lang w:eastAsia="ru-RU"/>
        </w:rPr>
        <w:t> </w:t>
      </w:r>
      <w:r w:rsidRPr="00BF5FB4">
        <w:rPr>
          <w:rFonts w:ascii="Times New Roman" w:hAnsi="Times New Roman"/>
          <w:sz w:val="28"/>
          <w:szCs w:val="28"/>
          <w:lang w:eastAsia="ru-RU"/>
        </w:rPr>
        <w:t>отношению к</w:t>
      </w:r>
      <w:r>
        <w:rPr>
          <w:rFonts w:ascii="Times New Roman" w:hAnsi="Times New Roman"/>
          <w:sz w:val="28"/>
          <w:szCs w:val="28"/>
          <w:lang w:eastAsia="ru-RU"/>
        </w:rPr>
        <w:t> </w:t>
      </w:r>
      <w:r w:rsidRPr="00BF5FB4">
        <w:rPr>
          <w:rFonts w:ascii="Times New Roman" w:hAnsi="Times New Roman"/>
          <w:sz w:val="28"/>
          <w:szCs w:val="28"/>
          <w:lang w:eastAsia="ru-RU"/>
        </w:rPr>
        <w:t>реальному значению приводит к</w:t>
      </w:r>
      <w:r>
        <w:rPr>
          <w:rFonts w:ascii="Times New Roman" w:hAnsi="Times New Roman"/>
          <w:sz w:val="28"/>
          <w:szCs w:val="28"/>
          <w:lang w:eastAsia="ru-RU"/>
        </w:rPr>
        <w:t> </w:t>
      </w:r>
      <w:r w:rsidRPr="00BF5FB4">
        <w:rPr>
          <w:rFonts w:ascii="Times New Roman" w:hAnsi="Times New Roman"/>
          <w:sz w:val="28"/>
          <w:szCs w:val="28"/>
          <w:lang w:eastAsia="ru-RU"/>
        </w:rPr>
        <w:t>большим прогнозируемым потерям населения и, как следствие к</w:t>
      </w:r>
      <w:r>
        <w:rPr>
          <w:rFonts w:ascii="Times New Roman" w:hAnsi="Times New Roman"/>
          <w:sz w:val="28"/>
          <w:szCs w:val="28"/>
          <w:lang w:eastAsia="ru-RU"/>
        </w:rPr>
        <w:t> </w:t>
      </w:r>
      <w:r w:rsidRPr="00BF5FB4">
        <w:rPr>
          <w:rFonts w:ascii="Times New Roman" w:hAnsi="Times New Roman"/>
          <w:sz w:val="28"/>
          <w:szCs w:val="28"/>
          <w:lang w:eastAsia="ru-RU"/>
        </w:rPr>
        <w:t>необоснованным мероприятиям по</w:t>
      </w:r>
      <w:r>
        <w:rPr>
          <w:rFonts w:ascii="Times New Roman" w:hAnsi="Times New Roman"/>
          <w:sz w:val="28"/>
          <w:szCs w:val="28"/>
          <w:lang w:eastAsia="ru-RU"/>
        </w:rPr>
        <w:t> </w:t>
      </w:r>
      <w:r w:rsidRPr="00BF5FB4">
        <w:rPr>
          <w:rFonts w:ascii="Times New Roman" w:hAnsi="Times New Roman"/>
          <w:sz w:val="28"/>
          <w:szCs w:val="28"/>
          <w:lang w:eastAsia="ru-RU"/>
        </w:rPr>
        <w:t>предупреждению чрезвычайных ситуаций.</w:t>
      </w:r>
    </w:p>
    <w:p w:rsidR="002D1E45" w:rsidRPr="00BF5FB4" w:rsidRDefault="002D1E45" w:rsidP="00BF5FB4">
      <w:pPr>
        <w:spacing w:after="0" w:line="240" w:lineRule="auto"/>
        <w:ind w:firstLine="709"/>
        <w:jc w:val="both"/>
        <w:rPr>
          <w:rFonts w:ascii="Times New Roman" w:hAnsi="Times New Roman"/>
          <w:sz w:val="28"/>
          <w:szCs w:val="28"/>
          <w:lang w:eastAsia="ru-RU"/>
        </w:rPr>
      </w:pPr>
      <w:r w:rsidRPr="00BF5FB4">
        <w:rPr>
          <w:rFonts w:ascii="Times New Roman" w:hAnsi="Times New Roman"/>
          <w:sz w:val="28"/>
          <w:szCs w:val="28"/>
          <w:lang w:eastAsia="ru-RU"/>
        </w:rPr>
        <w:t>Оценка риска является составной частью управления безопасностью. Оценка риска заключается в</w:t>
      </w:r>
      <w:r>
        <w:rPr>
          <w:rFonts w:ascii="Times New Roman" w:hAnsi="Times New Roman"/>
          <w:sz w:val="28"/>
          <w:szCs w:val="28"/>
          <w:lang w:eastAsia="ru-RU"/>
        </w:rPr>
        <w:t> </w:t>
      </w:r>
      <w:r w:rsidRPr="00BF5FB4">
        <w:rPr>
          <w:rFonts w:ascii="Times New Roman" w:hAnsi="Times New Roman"/>
          <w:sz w:val="28"/>
          <w:szCs w:val="28"/>
          <w:lang w:eastAsia="ru-RU"/>
        </w:rPr>
        <w:t>систематическом использовании всей доступной информации для идентификации опасностей и</w:t>
      </w:r>
      <w:r>
        <w:rPr>
          <w:rFonts w:ascii="Times New Roman" w:hAnsi="Times New Roman"/>
          <w:sz w:val="28"/>
          <w:szCs w:val="28"/>
          <w:lang w:eastAsia="ru-RU"/>
        </w:rPr>
        <w:t> </w:t>
      </w:r>
      <w:r w:rsidRPr="00BF5FB4">
        <w:rPr>
          <w:rFonts w:ascii="Times New Roman" w:hAnsi="Times New Roman"/>
          <w:sz w:val="28"/>
          <w:szCs w:val="28"/>
          <w:lang w:eastAsia="ru-RU"/>
        </w:rPr>
        <w:t>определения риска возможных нежелательных событий.</w:t>
      </w:r>
    </w:p>
    <w:p w:rsidR="002D1E45" w:rsidRPr="00BF5FB4" w:rsidRDefault="002D1E45" w:rsidP="00BF5FB4">
      <w:pPr>
        <w:spacing w:after="0" w:line="240" w:lineRule="auto"/>
        <w:ind w:firstLine="709"/>
        <w:jc w:val="both"/>
        <w:rPr>
          <w:rFonts w:ascii="Times New Roman" w:hAnsi="Times New Roman"/>
          <w:sz w:val="28"/>
          <w:szCs w:val="28"/>
          <w:lang w:eastAsia="ru-RU"/>
        </w:rPr>
      </w:pPr>
      <w:r w:rsidRPr="00BF5FB4">
        <w:rPr>
          <w:rFonts w:ascii="Times New Roman" w:hAnsi="Times New Roman"/>
          <w:sz w:val="28"/>
          <w:szCs w:val="28"/>
          <w:lang w:eastAsia="ru-RU"/>
        </w:rPr>
        <w:t>Основными факторами риска возникновения чрезвычайных ситуаций являются опасности (как имевшие место, так и</w:t>
      </w:r>
      <w:r>
        <w:rPr>
          <w:rFonts w:ascii="Times New Roman" w:hAnsi="Times New Roman"/>
          <w:sz w:val="28"/>
          <w:szCs w:val="28"/>
          <w:lang w:eastAsia="ru-RU"/>
        </w:rPr>
        <w:t> </w:t>
      </w:r>
      <w:r w:rsidRPr="00BF5FB4">
        <w:rPr>
          <w:rFonts w:ascii="Times New Roman" w:hAnsi="Times New Roman"/>
          <w:sz w:val="28"/>
          <w:szCs w:val="28"/>
          <w:lang w:eastAsia="ru-RU"/>
        </w:rPr>
        <w:t>прогнозируемые с</w:t>
      </w:r>
      <w:r>
        <w:rPr>
          <w:rFonts w:ascii="Times New Roman" w:hAnsi="Times New Roman"/>
          <w:sz w:val="28"/>
          <w:szCs w:val="28"/>
          <w:lang w:eastAsia="ru-RU"/>
        </w:rPr>
        <w:t> </w:t>
      </w:r>
      <w:r w:rsidRPr="00BF5FB4">
        <w:rPr>
          <w:rFonts w:ascii="Times New Roman" w:hAnsi="Times New Roman"/>
          <w:sz w:val="28"/>
          <w:szCs w:val="28"/>
          <w:lang w:eastAsia="ru-RU"/>
        </w:rPr>
        <w:t>высокой степенью вероятности), на</w:t>
      </w:r>
      <w:r>
        <w:rPr>
          <w:rFonts w:ascii="Times New Roman" w:hAnsi="Times New Roman"/>
          <w:sz w:val="28"/>
          <w:szCs w:val="28"/>
          <w:lang w:eastAsia="ru-RU"/>
        </w:rPr>
        <w:t> </w:t>
      </w:r>
      <w:r w:rsidRPr="00BF5FB4">
        <w:rPr>
          <w:rFonts w:ascii="Times New Roman" w:hAnsi="Times New Roman"/>
          <w:sz w:val="28"/>
          <w:szCs w:val="28"/>
          <w:lang w:eastAsia="ru-RU"/>
        </w:rPr>
        <w:t xml:space="preserve">территории </w:t>
      </w:r>
      <w:r>
        <w:rPr>
          <w:rFonts w:ascii="Times New Roman" w:hAnsi="Times New Roman"/>
          <w:sz w:val="28"/>
          <w:szCs w:val="28"/>
          <w:lang w:eastAsia="ru-RU"/>
        </w:rPr>
        <w:t>поселения</w:t>
      </w:r>
      <w:r w:rsidRPr="00BF5FB4">
        <w:rPr>
          <w:rFonts w:ascii="Times New Roman" w:hAnsi="Times New Roman"/>
          <w:sz w:val="28"/>
          <w:szCs w:val="28"/>
          <w:lang w:eastAsia="ru-RU"/>
        </w:rPr>
        <w:t xml:space="preserve"> и</w:t>
      </w:r>
      <w:r>
        <w:rPr>
          <w:rFonts w:ascii="Times New Roman" w:hAnsi="Times New Roman"/>
          <w:sz w:val="28"/>
          <w:szCs w:val="28"/>
          <w:lang w:eastAsia="ru-RU"/>
        </w:rPr>
        <w:t> </w:t>
      </w:r>
      <w:r w:rsidRPr="00BF5FB4">
        <w:rPr>
          <w:rFonts w:ascii="Times New Roman" w:hAnsi="Times New Roman"/>
          <w:sz w:val="28"/>
          <w:szCs w:val="28"/>
          <w:lang w:eastAsia="ru-RU"/>
        </w:rPr>
        <w:t>существенно сказывающиеся на</w:t>
      </w:r>
      <w:r>
        <w:rPr>
          <w:rFonts w:ascii="Times New Roman" w:hAnsi="Times New Roman"/>
          <w:sz w:val="28"/>
          <w:szCs w:val="28"/>
          <w:lang w:eastAsia="ru-RU"/>
        </w:rPr>
        <w:t> </w:t>
      </w:r>
      <w:r w:rsidRPr="00BF5FB4">
        <w:rPr>
          <w:rFonts w:ascii="Times New Roman" w:hAnsi="Times New Roman"/>
          <w:sz w:val="28"/>
          <w:szCs w:val="28"/>
          <w:lang w:eastAsia="ru-RU"/>
        </w:rPr>
        <w:t>безопасности населения:</w:t>
      </w:r>
    </w:p>
    <w:p w:rsidR="002D1E45" w:rsidRPr="00BF5FB4" w:rsidRDefault="002D1E45" w:rsidP="00852938">
      <w:pPr>
        <w:numPr>
          <w:ilvl w:val="0"/>
          <w:numId w:val="24"/>
        </w:numPr>
        <w:tabs>
          <w:tab w:val="left" w:pos="1134"/>
        </w:tabs>
        <w:spacing w:after="0" w:line="240" w:lineRule="auto"/>
        <w:ind w:left="1134"/>
        <w:jc w:val="both"/>
        <w:rPr>
          <w:rFonts w:ascii="Times New Roman" w:hAnsi="Times New Roman"/>
          <w:sz w:val="28"/>
          <w:szCs w:val="28"/>
          <w:lang w:eastAsia="ru-RU"/>
        </w:rPr>
      </w:pPr>
      <w:r w:rsidRPr="00BF5FB4">
        <w:rPr>
          <w:rFonts w:ascii="Times New Roman" w:hAnsi="Times New Roman"/>
          <w:sz w:val="28"/>
          <w:szCs w:val="28"/>
          <w:lang w:eastAsia="ru-RU"/>
        </w:rPr>
        <w:t>террористические;</w:t>
      </w:r>
    </w:p>
    <w:p w:rsidR="002D1E45" w:rsidRPr="00BF5FB4" w:rsidRDefault="002D1E45" w:rsidP="00852938">
      <w:pPr>
        <w:numPr>
          <w:ilvl w:val="0"/>
          <w:numId w:val="24"/>
        </w:numPr>
        <w:tabs>
          <w:tab w:val="left" w:pos="1134"/>
        </w:tabs>
        <w:spacing w:after="0" w:line="240" w:lineRule="auto"/>
        <w:ind w:left="1134"/>
        <w:jc w:val="both"/>
        <w:rPr>
          <w:rFonts w:ascii="Times New Roman" w:hAnsi="Times New Roman"/>
          <w:sz w:val="28"/>
          <w:szCs w:val="28"/>
          <w:lang w:eastAsia="ru-RU"/>
        </w:rPr>
      </w:pPr>
      <w:r w:rsidRPr="00BF5FB4">
        <w:rPr>
          <w:rFonts w:ascii="Times New Roman" w:hAnsi="Times New Roman"/>
          <w:sz w:val="28"/>
          <w:szCs w:val="28"/>
          <w:lang w:eastAsia="ru-RU"/>
        </w:rPr>
        <w:t>криминальные;</w:t>
      </w:r>
    </w:p>
    <w:p w:rsidR="002D1E45" w:rsidRPr="00BF5FB4" w:rsidRDefault="002D1E45" w:rsidP="00852938">
      <w:pPr>
        <w:numPr>
          <w:ilvl w:val="0"/>
          <w:numId w:val="24"/>
        </w:numPr>
        <w:tabs>
          <w:tab w:val="left" w:pos="1134"/>
        </w:tabs>
        <w:spacing w:after="0" w:line="240" w:lineRule="auto"/>
        <w:ind w:left="1134"/>
        <w:jc w:val="both"/>
        <w:rPr>
          <w:rFonts w:ascii="Times New Roman" w:hAnsi="Times New Roman"/>
          <w:sz w:val="28"/>
          <w:szCs w:val="28"/>
          <w:lang w:eastAsia="ru-RU"/>
        </w:rPr>
      </w:pPr>
      <w:r w:rsidRPr="00BF5FB4">
        <w:rPr>
          <w:rFonts w:ascii="Times New Roman" w:hAnsi="Times New Roman"/>
          <w:sz w:val="28"/>
          <w:szCs w:val="28"/>
          <w:lang w:eastAsia="ru-RU"/>
        </w:rPr>
        <w:t>коммунально-бытового и</w:t>
      </w:r>
      <w:r>
        <w:rPr>
          <w:rFonts w:ascii="Times New Roman" w:hAnsi="Times New Roman"/>
          <w:sz w:val="28"/>
          <w:szCs w:val="28"/>
          <w:lang w:eastAsia="ru-RU"/>
        </w:rPr>
        <w:t> </w:t>
      </w:r>
      <w:r w:rsidRPr="00BF5FB4">
        <w:rPr>
          <w:rFonts w:ascii="Times New Roman" w:hAnsi="Times New Roman"/>
          <w:sz w:val="28"/>
          <w:szCs w:val="28"/>
          <w:lang w:eastAsia="ru-RU"/>
        </w:rPr>
        <w:t>жилищного характера;</w:t>
      </w:r>
    </w:p>
    <w:p w:rsidR="002D1E45" w:rsidRPr="00BF5FB4" w:rsidRDefault="002D1E45" w:rsidP="00852938">
      <w:pPr>
        <w:numPr>
          <w:ilvl w:val="0"/>
          <w:numId w:val="24"/>
        </w:numPr>
        <w:tabs>
          <w:tab w:val="left" w:pos="1134"/>
        </w:tabs>
        <w:spacing w:after="0" w:line="240" w:lineRule="auto"/>
        <w:ind w:left="1134"/>
        <w:jc w:val="both"/>
        <w:rPr>
          <w:rFonts w:ascii="Times New Roman" w:hAnsi="Times New Roman"/>
          <w:sz w:val="28"/>
          <w:szCs w:val="28"/>
          <w:lang w:eastAsia="ru-RU"/>
        </w:rPr>
      </w:pPr>
      <w:r w:rsidRPr="00BF5FB4">
        <w:rPr>
          <w:rFonts w:ascii="Times New Roman" w:hAnsi="Times New Roman"/>
          <w:sz w:val="28"/>
          <w:szCs w:val="28"/>
          <w:lang w:eastAsia="ru-RU"/>
        </w:rPr>
        <w:t>техногенные;</w:t>
      </w:r>
    </w:p>
    <w:p w:rsidR="002D1E45" w:rsidRPr="00BF5FB4" w:rsidRDefault="002D1E45" w:rsidP="00852938">
      <w:pPr>
        <w:numPr>
          <w:ilvl w:val="0"/>
          <w:numId w:val="24"/>
        </w:numPr>
        <w:tabs>
          <w:tab w:val="left" w:pos="1134"/>
        </w:tabs>
        <w:spacing w:after="0" w:line="240" w:lineRule="auto"/>
        <w:ind w:left="1134"/>
        <w:jc w:val="both"/>
        <w:rPr>
          <w:rFonts w:ascii="Times New Roman" w:hAnsi="Times New Roman"/>
          <w:sz w:val="28"/>
          <w:szCs w:val="28"/>
          <w:lang w:eastAsia="ru-RU"/>
        </w:rPr>
      </w:pPr>
      <w:r w:rsidRPr="00BF5FB4">
        <w:rPr>
          <w:rFonts w:ascii="Times New Roman" w:hAnsi="Times New Roman"/>
          <w:sz w:val="28"/>
          <w:szCs w:val="28"/>
          <w:lang w:eastAsia="ru-RU"/>
        </w:rPr>
        <w:t>военные;</w:t>
      </w:r>
    </w:p>
    <w:p w:rsidR="002D1E45" w:rsidRPr="00BF5FB4" w:rsidRDefault="002D1E45" w:rsidP="00852938">
      <w:pPr>
        <w:numPr>
          <w:ilvl w:val="0"/>
          <w:numId w:val="24"/>
        </w:numPr>
        <w:tabs>
          <w:tab w:val="left" w:pos="1134"/>
        </w:tabs>
        <w:spacing w:after="0" w:line="240" w:lineRule="auto"/>
        <w:ind w:left="1134"/>
        <w:jc w:val="both"/>
        <w:rPr>
          <w:rFonts w:ascii="Times New Roman" w:hAnsi="Times New Roman"/>
          <w:sz w:val="28"/>
          <w:szCs w:val="28"/>
          <w:lang w:eastAsia="ru-RU"/>
        </w:rPr>
      </w:pPr>
      <w:r w:rsidRPr="00BF5FB4">
        <w:rPr>
          <w:rFonts w:ascii="Times New Roman" w:hAnsi="Times New Roman"/>
          <w:sz w:val="28"/>
          <w:szCs w:val="28"/>
          <w:lang w:eastAsia="ru-RU"/>
        </w:rPr>
        <w:t>природные;</w:t>
      </w:r>
    </w:p>
    <w:p w:rsidR="002D1E45" w:rsidRPr="00BF5FB4" w:rsidRDefault="002D1E45" w:rsidP="00852938">
      <w:pPr>
        <w:numPr>
          <w:ilvl w:val="0"/>
          <w:numId w:val="24"/>
        </w:numPr>
        <w:tabs>
          <w:tab w:val="left" w:pos="1134"/>
        </w:tabs>
        <w:spacing w:after="0" w:line="240" w:lineRule="auto"/>
        <w:ind w:left="1134"/>
        <w:jc w:val="both"/>
        <w:rPr>
          <w:rFonts w:ascii="Times New Roman" w:hAnsi="Times New Roman"/>
          <w:sz w:val="28"/>
          <w:szCs w:val="28"/>
          <w:lang w:eastAsia="ru-RU"/>
        </w:rPr>
      </w:pPr>
      <w:r w:rsidRPr="00BF5FB4">
        <w:rPr>
          <w:rFonts w:ascii="Times New Roman" w:hAnsi="Times New Roman"/>
          <w:sz w:val="28"/>
          <w:szCs w:val="28"/>
          <w:lang w:eastAsia="ru-RU"/>
        </w:rPr>
        <w:t>эпидемиологического характера;</w:t>
      </w:r>
    </w:p>
    <w:p w:rsidR="002D1E45" w:rsidRPr="00BF5FB4" w:rsidRDefault="002D1E45" w:rsidP="00852938">
      <w:pPr>
        <w:numPr>
          <w:ilvl w:val="0"/>
          <w:numId w:val="24"/>
        </w:numPr>
        <w:tabs>
          <w:tab w:val="left" w:pos="1134"/>
        </w:tabs>
        <w:spacing w:after="0" w:line="240" w:lineRule="auto"/>
        <w:ind w:left="1134"/>
        <w:jc w:val="both"/>
        <w:rPr>
          <w:rFonts w:ascii="Times New Roman" w:hAnsi="Times New Roman"/>
          <w:sz w:val="28"/>
          <w:szCs w:val="28"/>
          <w:lang w:eastAsia="ru-RU"/>
        </w:rPr>
      </w:pPr>
      <w:r w:rsidRPr="00BF5FB4">
        <w:rPr>
          <w:rFonts w:ascii="Times New Roman" w:hAnsi="Times New Roman"/>
          <w:sz w:val="28"/>
          <w:szCs w:val="28"/>
          <w:lang w:eastAsia="ru-RU"/>
        </w:rPr>
        <w:t>экологические.</w:t>
      </w:r>
    </w:p>
    <w:p w:rsidR="002D1E45" w:rsidRPr="00BF5FB4" w:rsidRDefault="002D1E45" w:rsidP="00BF5FB4">
      <w:pPr>
        <w:spacing w:after="0" w:line="240" w:lineRule="auto"/>
        <w:ind w:firstLine="709"/>
        <w:jc w:val="both"/>
        <w:rPr>
          <w:rFonts w:ascii="Times New Roman" w:hAnsi="Times New Roman"/>
          <w:sz w:val="28"/>
          <w:szCs w:val="28"/>
          <w:lang w:eastAsia="ru-RU"/>
        </w:rPr>
      </w:pPr>
      <w:r w:rsidRPr="00BF5FB4">
        <w:rPr>
          <w:rFonts w:ascii="Times New Roman" w:hAnsi="Times New Roman"/>
          <w:sz w:val="28"/>
          <w:szCs w:val="28"/>
          <w:lang w:eastAsia="ru-RU"/>
        </w:rPr>
        <w:t>Конкретная часть территории в</w:t>
      </w:r>
      <w:r>
        <w:rPr>
          <w:rFonts w:ascii="Times New Roman" w:hAnsi="Times New Roman"/>
          <w:sz w:val="28"/>
          <w:szCs w:val="28"/>
          <w:lang w:eastAsia="ru-RU"/>
        </w:rPr>
        <w:t> </w:t>
      </w:r>
      <w:r w:rsidRPr="00BF5FB4">
        <w:rPr>
          <w:rFonts w:ascii="Times New Roman" w:hAnsi="Times New Roman"/>
          <w:sz w:val="28"/>
          <w:szCs w:val="28"/>
          <w:lang w:eastAsia="ru-RU"/>
        </w:rPr>
        <w:t>зависимости от</w:t>
      </w:r>
      <w:r>
        <w:rPr>
          <w:rFonts w:ascii="Times New Roman" w:hAnsi="Times New Roman"/>
          <w:sz w:val="28"/>
          <w:szCs w:val="28"/>
          <w:lang w:eastAsia="ru-RU"/>
        </w:rPr>
        <w:t> </w:t>
      </w:r>
      <w:r w:rsidRPr="00BF5FB4">
        <w:rPr>
          <w:rFonts w:ascii="Times New Roman" w:hAnsi="Times New Roman"/>
          <w:sz w:val="28"/>
          <w:szCs w:val="28"/>
          <w:lang w:eastAsia="ru-RU"/>
        </w:rPr>
        <w:t>степени риска может быть отнесена к</w:t>
      </w:r>
      <w:r>
        <w:rPr>
          <w:rFonts w:ascii="Times New Roman" w:hAnsi="Times New Roman"/>
          <w:sz w:val="28"/>
          <w:szCs w:val="28"/>
          <w:lang w:eastAsia="ru-RU"/>
        </w:rPr>
        <w:t> </w:t>
      </w:r>
      <w:r w:rsidRPr="00BF5FB4">
        <w:rPr>
          <w:rFonts w:ascii="Times New Roman" w:hAnsi="Times New Roman"/>
          <w:sz w:val="28"/>
          <w:szCs w:val="28"/>
          <w:lang w:eastAsia="ru-RU"/>
        </w:rPr>
        <w:t>одному из 4-х типов зон риска:</w:t>
      </w:r>
    </w:p>
    <w:p w:rsidR="002D1E45" w:rsidRPr="00BF5FB4" w:rsidRDefault="002D1E45" w:rsidP="00852938">
      <w:pPr>
        <w:numPr>
          <w:ilvl w:val="0"/>
          <w:numId w:val="59"/>
        </w:numPr>
        <w:spacing w:after="0" w:line="240" w:lineRule="auto"/>
        <w:ind w:left="1134"/>
        <w:contextualSpacing/>
        <w:jc w:val="both"/>
        <w:rPr>
          <w:rFonts w:ascii="Times New Roman" w:hAnsi="Times New Roman"/>
          <w:sz w:val="28"/>
          <w:szCs w:val="28"/>
          <w:lang w:eastAsia="ru-RU"/>
        </w:rPr>
      </w:pPr>
      <w:r w:rsidRPr="00BF5FB4">
        <w:rPr>
          <w:rFonts w:ascii="Times New Roman" w:hAnsi="Times New Roman"/>
          <w:sz w:val="28"/>
          <w:szCs w:val="28"/>
          <w:lang w:eastAsia="ru-RU"/>
        </w:rPr>
        <w:t>Зона неприемлемого (недопустимого) риска – это территория, на</w:t>
      </w:r>
      <w:r>
        <w:rPr>
          <w:rFonts w:ascii="Times New Roman" w:hAnsi="Times New Roman"/>
          <w:sz w:val="28"/>
          <w:szCs w:val="28"/>
          <w:lang w:eastAsia="ru-RU"/>
        </w:rPr>
        <w:t> </w:t>
      </w:r>
      <w:r w:rsidRPr="00BF5FB4">
        <w:rPr>
          <w:rFonts w:ascii="Times New Roman" w:hAnsi="Times New Roman"/>
          <w:sz w:val="28"/>
          <w:szCs w:val="28"/>
          <w:lang w:eastAsia="ru-RU"/>
        </w:rPr>
        <w:t>которой не</w:t>
      </w:r>
      <w:r>
        <w:rPr>
          <w:rFonts w:ascii="Times New Roman" w:hAnsi="Times New Roman"/>
          <w:sz w:val="28"/>
          <w:szCs w:val="28"/>
          <w:lang w:eastAsia="ru-RU"/>
        </w:rPr>
        <w:t> </w:t>
      </w:r>
      <w:r w:rsidRPr="00BF5FB4">
        <w:rPr>
          <w:rFonts w:ascii="Times New Roman" w:hAnsi="Times New Roman"/>
          <w:sz w:val="28"/>
          <w:szCs w:val="28"/>
          <w:lang w:eastAsia="ru-RU"/>
        </w:rPr>
        <w:t>допускается нахождение людей, за</w:t>
      </w:r>
      <w:r>
        <w:rPr>
          <w:rFonts w:ascii="Times New Roman" w:hAnsi="Times New Roman"/>
          <w:sz w:val="28"/>
          <w:szCs w:val="28"/>
          <w:lang w:eastAsia="ru-RU"/>
        </w:rPr>
        <w:t> </w:t>
      </w:r>
      <w:r w:rsidRPr="00BF5FB4">
        <w:rPr>
          <w:rFonts w:ascii="Times New Roman" w:hAnsi="Times New Roman"/>
          <w:sz w:val="28"/>
          <w:szCs w:val="28"/>
          <w:lang w:eastAsia="ru-RU"/>
        </w:rPr>
        <w:t>исключением лиц, обеспечивающих проведение соответствующего комплекса организационных, социальных и</w:t>
      </w:r>
      <w:r>
        <w:rPr>
          <w:rFonts w:ascii="Times New Roman" w:hAnsi="Times New Roman"/>
          <w:sz w:val="28"/>
          <w:szCs w:val="28"/>
          <w:lang w:eastAsia="ru-RU"/>
        </w:rPr>
        <w:t> </w:t>
      </w:r>
      <w:r w:rsidRPr="00BF5FB4">
        <w:rPr>
          <w:rFonts w:ascii="Times New Roman" w:hAnsi="Times New Roman"/>
          <w:sz w:val="28"/>
          <w:szCs w:val="28"/>
          <w:lang w:eastAsia="ru-RU"/>
        </w:rPr>
        <w:t>технических мероприятий (специальное строительство инженерных сооружений, введение дополнительных систем защиты, контроля, оповещения и</w:t>
      </w:r>
      <w:r>
        <w:rPr>
          <w:rFonts w:ascii="Times New Roman" w:hAnsi="Times New Roman"/>
          <w:sz w:val="28"/>
          <w:szCs w:val="28"/>
          <w:lang w:eastAsia="ru-RU"/>
        </w:rPr>
        <w:t> </w:t>
      </w:r>
      <w:r w:rsidRPr="00BF5FB4">
        <w:rPr>
          <w:rFonts w:ascii="Times New Roman" w:hAnsi="Times New Roman"/>
          <w:sz w:val="28"/>
          <w:szCs w:val="28"/>
          <w:lang w:eastAsia="ru-RU"/>
        </w:rPr>
        <w:t>т.д.), направленного на</w:t>
      </w:r>
      <w:r>
        <w:rPr>
          <w:rFonts w:ascii="Times New Roman" w:hAnsi="Times New Roman"/>
          <w:sz w:val="28"/>
          <w:szCs w:val="28"/>
          <w:lang w:eastAsia="ru-RU"/>
        </w:rPr>
        <w:t> </w:t>
      </w:r>
      <w:r w:rsidRPr="00BF5FB4">
        <w:rPr>
          <w:rFonts w:ascii="Times New Roman" w:hAnsi="Times New Roman"/>
          <w:sz w:val="28"/>
          <w:szCs w:val="28"/>
          <w:lang w:eastAsia="ru-RU"/>
        </w:rPr>
        <w:t>снижение риска до</w:t>
      </w:r>
      <w:r>
        <w:rPr>
          <w:rFonts w:ascii="Times New Roman" w:hAnsi="Times New Roman"/>
          <w:sz w:val="28"/>
          <w:szCs w:val="28"/>
          <w:lang w:eastAsia="ru-RU"/>
        </w:rPr>
        <w:t> </w:t>
      </w:r>
      <w:r w:rsidRPr="00BF5FB4">
        <w:rPr>
          <w:rFonts w:ascii="Times New Roman" w:hAnsi="Times New Roman"/>
          <w:sz w:val="28"/>
          <w:szCs w:val="28"/>
          <w:lang w:eastAsia="ru-RU"/>
        </w:rPr>
        <w:t>допустимого уровня. Новое строительство не</w:t>
      </w:r>
      <w:r>
        <w:rPr>
          <w:rFonts w:ascii="Times New Roman" w:hAnsi="Times New Roman"/>
          <w:sz w:val="28"/>
          <w:szCs w:val="28"/>
          <w:lang w:eastAsia="ru-RU"/>
        </w:rPr>
        <w:t> </w:t>
      </w:r>
      <w:r w:rsidRPr="00BF5FB4">
        <w:rPr>
          <w:rFonts w:ascii="Times New Roman" w:hAnsi="Times New Roman"/>
          <w:sz w:val="28"/>
          <w:szCs w:val="28"/>
          <w:lang w:eastAsia="ru-RU"/>
        </w:rPr>
        <w:t>разрешается независимо от</w:t>
      </w:r>
      <w:r>
        <w:rPr>
          <w:rFonts w:ascii="Times New Roman" w:hAnsi="Times New Roman"/>
          <w:sz w:val="28"/>
          <w:szCs w:val="28"/>
          <w:lang w:eastAsia="ru-RU"/>
        </w:rPr>
        <w:t> </w:t>
      </w:r>
      <w:r w:rsidRPr="00BF5FB4">
        <w:rPr>
          <w:rFonts w:ascii="Times New Roman" w:hAnsi="Times New Roman"/>
          <w:sz w:val="28"/>
          <w:szCs w:val="28"/>
          <w:lang w:eastAsia="ru-RU"/>
        </w:rPr>
        <w:t>возможных экономических и</w:t>
      </w:r>
      <w:r>
        <w:rPr>
          <w:rFonts w:ascii="Times New Roman" w:hAnsi="Times New Roman"/>
          <w:sz w:val="28"/>
          <w:szCs w:val="28"/>
          <w:lang w:eastAsia="ru-RU"/>
        </w:rPr>
        <w:t> </w:t>
      </w:r>
      <w:r w:rsidRPr="00BF5FB4">
        <w:rPr>
          <w:rFonts w:ascii="Times New Roman" w:hAnsi="Times New Roman"/>
          <w:sz w:val="28"/>
          <w:szCs w:val="28"/>
          <w:lang w:eastAsia="ru-RU"/>
        </w:rPr>
        <w:t>социальных преимуществ того или иного вида хозяйственной деятельности, за</w:t>
      </w:r>
      <w:r>
        <w:rPr>
          <w:rFonts w:ascii="Times New Roman" w:hAnsi="Times New Roman"/>
          <w:sz w:val="28"/>
          <w:szCs w:val="28"/>
          <w:lang w:eastAsia="ru-RU"/>
        </w:rPr>
        <w:t> </w:t>
      </w:r>
      <w:r w:rsidRPr="00BF5FB4">
        <w:rPr>
          <w:rFonts w:ascii="Times New Roman" w:hAnsi="Times New Roman"/>
          <w:sz w:val="28"/>
          <w:szCs w:val="28"/>
          <w:lang w:eastAsia="ru-RU"/>
        </w:rPr>
        <w:t>исключением объектов обороны, охраны государственной границы или объектов, осуществляющих функционирование в</w:t>
      </w:r>
      <w:r>
        <w:rPr>
          <w:rFonts w:ascii="Times New Roman" w:hAnsi="Times New Roman"/>
          <w:sz w:val="28"/>
          <w:szCs w:val="28"/>
          <w:lang w:eastAsia="ru-RU"/>
        </w:rPr>
        <w:t> </w:t>
      </w:r>
      <w:r w:rsidRPr="00BF5FB4">
        <w:rPr>
          <w:rFonts w:ascii="Times New Roman" w:hAnsi="Times New Roman"/>
          <w:sz w:val="28"/>
          <w:szCs w:val="28"/>
          <w:lang w:eastAsia="ru-RU"/>
        </w:rPr>
        <w:t>автоматическом режиме. В</w:t>
      </w:r>
      <w:r>
        <w:rPr>
          <w:rFonts w:ascii="Times New Roman" w:hAnsi="Times New Roman"/>
          <w:sz w:val="28"/>
          <w:szCs w:val="28"/>
          <w:lang w:eastAsia="ru-RU"/>
        </w:rPr>
        <w:t> </w:t>
      </w:r>
      <w:r w:rsidRPr="00BF5FB4">
        <w:rPr>
          <w:rFonts w:ascii="Times New Roman" w:hAnsi="Times New Roman"/>
          <w:sz w:val="28"/>
          <w:szCs w:val="28"/>
          <w:lang w:eastAsia="ru-RU"/>
        </w:rPr>
        <w:t>плановом порядке осуществляется переселение людей в</w:t>
      </w:r>
      <w:r>
        <w:rPr>
          <w:rFonts w:ascii="Times New Roman" w:hAnsi="Times New Roman"/>
          <w:sz w:val="28"/>
          <w:szCs w:val="28"/>
          <w:lang w:eastAsia="ru-RU"/>
        </w:rPr>
        <w:t> </w:t>
      </w:r>
      <w:r w:rsidRPr="00BF5FB4">
        <w:rPr>
          <w:rFonts w:ascii="Times New Roman" w:hAnsi="Times New Roman"/>
          <w:sz w:val="28"/>
          <w:szCs w:val="28"/>
          <w:lang w:eastAsia="ru-RU"/>
        </w:rPr>
        <w:t>безопасные районы;</w:t>
      </w:r>
    </w:p>
    <w:p w:rsidR="002D1E45" w:rsidRPr="00BF5FB4" w:rsidRDefault="002D1E45" w:rsidP="00852938">
      <w:pPr>
        <w:numPr>
          <w:ilvl w:val="0"/>
          <w:numId w:val="59"/>
        </w:numPr>
        <w:spacing w:after="0" w:line="240" w:lineRule="auto"/>
        <w:ind w:left="1134"/>
        <w:contextualSpacing/>
        <w:jc w:val="both"/>
        <w:rPr>
          <w:rFonts w:ascii="Times New Roman" w:hAnsi="Times New Roman"/>
          <w:sz w:val="28"/>
          <w:szCs w:val="28"/>
          <w:lang w:eastAsia="ru-RU"/>
        </w:rPr>
      </w:pPr>
      <w:r w:rsidRPr="00BF5FB4">
        <w:rPr>
          <w:rFonts w:ascii="Times New Roman" w:hAnsi="Times New Roman"/>
          <w:sz w:val="28"/>
          <w:szCs w:val="28"/>
          <w:lang w:eastAsia="ru-RU"/>
        </w:rPr>
        <w:t>Зона повышенного риска – это территория, на</w:t>
      </w:r>
      <w:r>
        <w:rPr>
          <w:rFonts w:ascii="Times New Roman" w:hAnsi="Times New Roman"/>
          <w:sz w:val="28"/>
          <w:szCs w:val="28"/>
          <w:lang w:eastAsia="ru-RU"/>
        </w:rPr>
        <w:t> </w:t>
      </w:r>
      <w:r w:rsidRPr="00BF5FB4">
        <w:rPr>
          <w:rFonts w:ascii="Times New Roman" w:hAnsi="Times New Roman"/>
          <w:sz w:val="28"/>
          <w:szCs w:val="28"/>
          <w:lang w:eastAsia="ru-RU"/>
        </w:rPr>
        <w:t>которой допускается временное пребывание ограниченного количества людей, связанных с</w:t>
      </w:r>
      <w:r>
        <w:rPr>
          <w:rFonts w:ascii="Times New Roman" w:hAnsi="Times New Roman"/>
          <w:sz w:val="28"/>
          <w:szCs w:val="28"/>
          <w:lang w:eastAsia="ru-RU"/>
        </w:rPr>
        <w:t> </w:t>
      </w:r>
      <w:r w:rsidRPr="00BF5FB4">
        <w:rPr>
          <w:rFonts w:ascii="Times New Roman" w:hAnsi="Times New Roman"/>
          <w:sz w:val="28"/>
          <w:szCs w:val="28"/>
          <w:lang w:eastAsia="ru-RU"/>
        </w:rPr>
        <w:t>выполнением служебных обязанностей. Новое жилищное и</w:t>
      </w:r>
      <w:r>
        <w:rPr>
          <w:rFonts w:ascii="Times New Roman" w:hAnsi="Times New Roman"/>
          <w:sz w:val="28"/>
          <w:szCs w:val="28"/>
          <w:lang w:eastAsia="ru-RU"/>
        </w:rPr>
        <w:t> </w:t>
      </w:r>
      <w:r w:rsidRPr="00BF5FB4">
        <w:rPr>
          <w:rFonts w:ascii="Times New Roman" w:hAnsi="Times New Roman"/>
          <w:sz w:val="28"/>
          <w:szCs w:val="28"/>
          <w:lang w:eastAsia="ru-RU"/>
        </w:rPr>
        <w:t>промышленное строительство допускается в</w:t>
      </w:r>
      <w:r>
        <w:rPr>
          <w:rFonts w:ascii="Times New Roman" w:hAnsi="Times New Roman"/>
          <w:sz w:val="28"/>
          <w:szCs w:val="28"/>
          <w:lang w:eastAsia="ru-RU"/>
        </w:rPr>
        <w:t> </w:t>
      </w:r>
      <w:r w:rsidRPr="00BF5FB4">
        <w:rPr>
          <w:rFonts w:ascii="Times New Roman" w:hAnsi="Times New Roman"/>
          <w:sz w:val="28"/>
          <w:szCs w:val="28"/>
          <w:lang w:eastAsia="ru-RU"/>
        </w:rPr>
        <w:t>исключительных случаях по</w:t>
      </w:r>
      <w:r>
        <w:rPr>
          <w:rFonts w:ascii="Times New Roman" w:hAnsi="Times New Roman"/>
          <w:sz w:val="28"/>
          <w:szCs w:val="28"/>
          <w:lang w:eastAsia="ru-RU"/>
        </w:rPr>
        <w:t> </w:t>
      </w:r>
      <w:r w:rsidRPr="00BF5FB4">
        <w:rPr>
          <w:rFonts w:ascii="Times New Roman" w:hAnsi="Times New Roman"/>
          <w:sz w:val="28"/>
          <w:szCs w:val="28"/>
          <w:lang w:eastAsia="ru-RU"/>
        </w:rPr>
        <w:t xml:space="preserve">решению Губернатора </w:t>
      </w:r>
      <w:r>
        <w:rPr>
          <w:rFonts w:ascii="Times New Roman" w:hAnsi="Times New Roman"/>
          <w:sz w:val="28"/>
          <w:szCs w:val="28"/>
          <w:lang w:eastAsia="ru-RU"/>
        </w:rPr>
        <w:t>Новосибирской области</w:t>
      </w:r>
      <w:r w:rsidRPr="00BF5FB4">
        <w:rPr>
          <w:rFonts w:ascii="Times New Roman" w:hAnsi="Times New Roman"/>
          <w:sz w:val="28"/>
          <w:szCs w:val="28"/>
          <w:lang w:eastAsia="ru-RU"/>
        </w:rPr>
        <w:t xml:space="preserve"> или федеральных органов исполнительной власти при условии обязательного выполнения комплекса специальных мероприятий по</w:t>
      </w:r>
      <w:r>
        <w:rPr>
          <w:rFonts w:ascii="Times New Roman" w:hAnsi="Times New Roman"/>
          <w:sz w:val="28"/>
          <w:szCs w:val="28"/>
          <w:lang w:eastAsia="ru-RU"/>
        </w:rPr>
        <w:t> </w:t>
      </w:r>
      <w:r w:rsidRPr="00BF5FB4">
        <w:rPr>
          <w:rFonts w:ascii="Times New Roman" w:hAnsi="Times New Roman"/>
          <w:sz w:val="28"/>
          <w:szCs w:val="28"/>
          <w:lang w:eastAsia="ru-RU"/>
        </w:rPr>
        <w:t>снижению риска до</w:t>
      </w:r>
      <w:r>
        <w:rPr>
          <w:rFonts w:ascii="Times New Roman" w:hAnsi="Times New Roman"/>
          <w:sz w:val="28"/>
          <w:szCs w:val="28"/>
          <w:lang w:eastAsia="ru-RU"/>
        </w:rPr>
        <w:t> </w:t>
      </w:r>
      <w:r w:rsidRPr="00BF5FB4">
        <w:rPr>
          <w:rFonts w:ascii="Times New Roman" w:hAnsi="Times New Roman"/>
          <w:sz w:val="28"/>
          <w:szCs w:val="28"/>
          <w:lang w:eastAsia="ru-RU"/>
        </w:rPr>
        <w:t>приемлемого уровня, обязательному контролю риска и</w:t>
      </w:r>
      <w:r>
        <w:rPr>
          <w:rFonts w:ascii="Times New Roman" w:hAnsi="Times New Roman"/>
          <w:sz w:val="28"/>
          <w:szCs w:val="28"/>
          <w:lang w:eastAsia="ru-RU"/>
        </w:rPr>
        <w:t> </w:t>
      </w:r>
      <w:r w:rsidRPr="00BF5FB4">
        <w:rPr>
          <w:rFonts w:ascii="Times New Roman" w:hAnsi="Times New Roman"/>
          <w:sz w:val="28"/>
          <w:szCs w:val="28"/>
          <w:lang w:eastAsia="ru-RU"/>
        </w:rPr>
        <w:t>предупреждению чрезвычайных ситуаций;</w:t>
      </w:r>
    </w:p>
    <w:p w:rsidR="002D1E45" w:rsidRPr="00BF5FB4" w:rsidRDefault="002D1E45" w:rsidP="00852938">
      <w:pPr>
        <w:numPr>
          <w:ilvl w:val="0"/>
          <w:numId w:val="59"/>
        </w:numPr>
        <w:spacing w:after="0" w:line="240" w:lineRule="auto"/>
        <w:ind w:left="1134"/>
        <w:contextualSpacing/>
        <w:jc w:val="both"/>
        <w:rPr>
          <w:rFonts w:ascii="Times New Roman" w:hAnsi="Times New Roman"/>
          <w:sz w:val="28"/>
          <w:szCs w:val="28"/>
          <w:lang w:eastAsia="ru-RU"/>
        </w:rPr>
      </w:pPr>
      <w:r w:rsidRPr="00BF5FB4">
        <w:rPr>
          <w:rFonts w:ascii="Times New Roman" w:hAnsi="Times New Roman"/>
          <w:sz w:val="28"/>
          <w:szCs w:val="28"/>
          <w:lang w:eastAsia="ru-RU"/>
        </w:rPr>
        <w:t>Зона условно приемлемого риска – территория, где допускается строительство и</w:t>
      </w:r>
      <w:r>
        <w:rPr>
          <w:rFonts w:ascii="Times New Roman" w:hAnsi="Times New Roman"/>
          <w:sz w:val="28"/>
          <w:szCs w:val="28"/>
          <w:lang w:eastAsia="ru-RU"/>
        </w:rPr>
        <w:t> </w:t>
      </w:r>
      <w:r w:rsidRPr="00BF5FB4">
        <w:rPr>
          <w:rFonts w:ascii="Times New Roman" w:hAnsi="Times New Roman"/>
          <w:sz w:val="28"/>
          <w:szCs w:val="28"/>
          <w:lang w:eastAsia="ru-RU"/>
        </w:rPr>
        <w:t>размещение новых жилых, социальных и</w:t>
      </w:r>
      <w:r>
        <w:rPr>
          <w:rFonts w:ascii="Times New Roman" w:hAnsi="Times New Roman"/>
          <w:sz w:val="28"/>
          <w:szCs w:val="28"/>
          <w:lang w:eastAsia="ru-RU"/>
        </w:rPr>
        <w:t> </w:t>
      </w:r>
      <w:r w:rsidRPr="00BF5FB4">
        <w:rPr>
          <w:rFonts w:ascii="Times New Roman" w:hAnsi="Times New Roman"/>
          <w:sz w:val="28"/>
          <w:szCs w:val="28"/>
          <w:lang w:eastAsia="ru-RU"/>
        </w:rPr>
        <w:t>промышленных объектов при условии обязательного выполнения комплекса дополнительных мероприятий по</w:t>
      </w:r>
      <w:r>
        <w:rPr>
          <w:rFonts w:ascii="Times New Roman" w:hAnsi="Times New Roman"/>
          <w:sz w:val="28"/>
          <w:szCs w:val="28"/>
          <w:lang w:eastAsia="ru-RU"/>
        </w:rPr>
        <w:t> </w:t>
      </w:r>
      <w:r w:rsidRPr="00BF5FB4">
        <w:rPr>
          <w:rFonts w:ascii="Times New Roman" w:hAnsi="Times New Roman"/>
          <w:sz w:val="28"/>
          <w:szCs w:val="28"/>
          <w:lang w:eastAsia="ru-RU"/>
        </w:rPr>
        <w:t>снижению риска;</w:t>
      </w:r>
    </w:p>
    <w:p w:rsidR="002D1E45" w:rsidRPr="00BF5FB4" w:rsidRDefault="002D1E45" w:rsidP="00852938">
      <w:pPr>
        <w:numPr>
          <w:ilvl w:val="0"/>
          <w:numId w:val="59"/>
        </w:numPr>
        <w:spacing w:after="0" w:line="240" w:lineRule="auto"/>
        <w:ind w:left="1134"/>
        <w:contextualSpacing/>
        <w:jc w:val="both"/>
        <w:rPr>
          <w:rFonts w:ascii="Times New Roman" w:hAnsi="Times New Roman"/>
          <w:sz w:val="28"/>
          <w:szCs w:val="28"/>
          <w:lang w:eastAsia="ru-RU"/>
        </w:rPr>
      </w:pPr>
      <w:r w:rsidRPr="00BF5FB4">
        <w:rPr>
          <w:rFonts w:ascii="Times New Roman" w:hAnsi="Times New Roman"/>
          <w:sz w:val="28"/>
          <w:szCs w:val="28"/>
          <w:lang w:eastAsia="ru-RU"/>
        </w:rPr>
        <w:t>Зона приемлемого риска – территория, на</w:t>
      </w:r>
      <w:r>
        <w:rPr>
          <w:rFonts w:ascii="Times New Roman" w:hAnsi="Times New Roman"/>
          <w:sz w:val="28"/>
          <w:szCs w:val="28"/>
          <w:lang w:eastAsia="ru-RU"/>
        </w:rPr>
        <w:t> </w:t>
      </w:r>
      <w:r w:rsidRPr="00BF5FB4">
        <w:rPr>
          <w:rFonts w:ascii="Times New Roman" w:hAnsi="Times New Roman"/>
          <w:sz w:val="28"/>
          <w:szCs w:val="28"/>
          <w:lang w:eastAsia="ru-RU"/>
        </w:rPr>
        <w:t>которой допускается любое строительство и</w:t>
      </w:r>
      <w:r>
        <w:rPr>
          <w:rFonts w:ascii="Times New Roman" w:hAnsi="Times New Roman"/>
          <w:sz w:val="28"/>
          <w:szCs w:val="28"/>
          <w:lang w:eastAsia="ru-RU"/>
        </w:rPr>
        <w:t> </w:t>
      </w:r>
      <w:r w:rsidRPr="00BF5FB4">
        <w:rPr>
          <w:rFonts w:ascii="Times New Roman" w:hAnsi="Times New Roman"/>
          <w:sz w:val="28"/>
          <w:szCs w:val="28"/>
          <w:lang w:eastAsia="ru-RU"/>
        </w:rPr>
        <w:t>размещение населения.</w:t>
      </w:r>
    </w:p>
    <w:p w:rsidR="002D1E45" w:rsidRPr="00BF5FB4" w:rsidRDefault="002D1E45" w:rsidP="00BF5FB4">
      <w:pPr>
        <w:spacing w:after="0" w:line="240" w:lineRule="auto"/>
        <w:ind w:firstLine="709"/>
        <w:jc w:val="both"/>
        <w:rPr>
          <w:rFonts w:ascii="Times New Roman" w:hAnsi="Times New Roman"/>
          <w:sz w:val="28"/>
          <w:szCs w:val="28"/>
          <w:lang w:eastAsia="ru-RU"/>
        </w:rPr>
      </w:pPr>
      <w:r w:rsidRPr="00BF5FB4">
        <w:rPr>
          <w:rFonts w:ascii="Times New Roman" w:hAnsi="Times New Roman"/>
          <w:sz w:val="28"/>
          <w:szCs w:val="28"/>
          <w:lang w:eastAsia="ru-RU"/>
        </w:rPr>
        <w:t>Решение о</w:t>
      </w:r>
      <w:r>
        <w:rPr>
          <w:rFonts w:ascii="Times New Roman" w:hAnsi="Times New Roman"/>
          <w:sz w:val="28"/>
          <w:szCs w:val="28"/>
          <w:lang w:eastAsia="ru-RU"/>
        </w:rPr>
        <w:t> </w:t>
      </w:r>
      <w:r w:rsidRPr="00BF5FB4">
        <w:rPr>
          <w:rFonts w:ascii="Times New Roman" w:hAnsi="Times New Roman"/>
          <w:sz w:val="28"/>
          <w:szCs w:val="28"/>
          <w:lang w:eastAsia="ru-RU"/>
        </w:rPr>
        <w:t>временных ограничениях на</w:t>
      </w:r>
      <w:r>
        <w:rPr>
          <w:rFonts w:ascii="Times New Roman" w:hAnsi="Times New Roman"/>
          <w:sz w:val="28"/>
          <w:szCs w:val="28"/>
          <w:lang w:eastAsia="ru-RU"/>
        </w:rPr>
        <w:t> </w:t>
      </w:r>
      <w:r w:rsidRPr="00BF5FB4">
        <w:rPr>
          <w:rFonts w:ascii="Times New Roman" w:hAnsi="Times New Roman"/>
          <w:sz w:val="28"/>
          <w:szCs w:val="28"/>
          <w:lang w:eastAsia="ru-RU"/>
        </w:rPr>
        <w:t>проживание и</w:t>
      </w:r>
      <w:r>
        <w:rPr>
          <w:rFonts w:ascii="Times New Roman" w:hAnsi="Times New Roman"/>
          <w:sz w:val="28"/>
          <w:szCs w:val="28"/>
          <w:lang w:eastAsia="ru-RU"/>
        </w:rPr>
        <w:t> </w:t>
      </w:r>
      <w:r w:rsidRPr="00BF5FB4">
        <w:rPr>
          <w:rFonts w:ascii="Times New Roman" w:hAnsi="Times New Roman"/>
          <w:sz w:val="28"/>
          <w:szCs w:val="28"/>
          <w:lang w:eastAsia="ru-RU"/>
        </w:rPr>
        <w:t>хозяйственную деятельность и</w:t>
      </w:r>
      <w:r>
        <w:rPr>
          <w:rFonts w:ascii="Times New Roman" w:hAnsi="Times New Roman"/>
          <w:sz w:val="28"/>
          <w:szCs w:val="28"/>
          <w:lang w:eastAsia="ru-RU"/>
        </w:rPr>
        <w:t> </w:t>
      </w:r>
      <w:r w:rsidRPr="00BF5FB4">
        <w:rPr>
          <w:rFonts w:ascii="Times New Roman" w:hAnsi="Times New Roman"/>
          <w:sz w:val="28"/>
          <w:szCs w:val="28"/>
          <w:lang w:eastAsia="ru-RU"/>
        </w:rPr>
        <w:t>проведении комплекса мероприятий, направленных на</w:t>
      </w:r>
      <w:r>
        <w:rPr>
          <w:rFonts w:ascii="Times New Roman" w:hAnsi="Times New Roman"/>
          <w:sz w:val="28"/>
          <w:szCs w:val="28"/>
          <w:lang w:eastAsia="ru-RU"/>
        </w:rPr>
        <w:t> </w:t>
      </w:r>
      <w:r w:rsidRPr="00BF5FB4">
        <w:rPr>
          <w:rFonts w:ascii="Times New Roman" w:hAnsi="Times New Roman"/>
          <w:sz w:val="28"/>
          <w:szCs w:val="28"/>
          <w:lang w:eastAsia="ru-RU"/>
        </w:rPr>
        <w:t xml:space="preserve">снижение риска, принимается Правительством Российской Федерации или Правительством </w:t>
      </w:r>
      <w:r>
        <w:rPr>
          <w:rFonts w:ascii="Times New Roman" w:hAnsi="Times New Roman"/>
          <w:sz w:val="28"/>
          <w:szCs w:val="28"/>
          <w:lang w:eastAsia="ru-RU"/>
        </w:rPr>
        <w:t>Новосибирской области</w:t>
      </w:r>
      <w:r w:rsidRPr="00BF5FB4">
        <w:rPr>
          <w:rFonts w:ascii="Times New Roman" w:hAnsi="Times New Roman"/>
          <w:sz w:val="28"/>
          <w:szCs w:val="28"/>
          <w:lang w:eastAsia="ru-RU"/>
        </w:rPr>
        <w:t xml:space="preserve"> по</w:t>
      </w:r>
      <w:r>
        <w:rPr>
          <w:rFonts w:ascii="Times New Roman" w:hAnsi="Times New Roman"/>
          <w:sz w:val="28"/>
          <w:szCs w:val="28"/>
          <w:lang w:eastAsia="ru-RU"/>
        </w:rPr>
        <w:t> </w:t>
      </w:r>
      <w:r w:rsidRPr="00BF5FB4">
        <w:rPr>
          <w:rFonts w:ascii="Times New Roman" w:hAnsi="Times New Roman"/>
          <w:sz w:val="28"/>
          <w:szCs w:val="28"/>
          <w:lang w:eastAsia="ru-RU"/>
        </w:rPr>
        <w:t>представлению надзорных органов. При невозможности снижения уровня риска ограничения на</w:t>
      </w:r>
      <w:r>
        <w:rPr>
          <w:rFonts w:ascii="Times New Roman" w:hAnsi="Times New Roman"/>
          <w:sz w:val="28"/>
          <w:szCs w:val="28"/>
          <w:lang w:eastAsia="ru-RU"/>
        </w:rPr>
        <w:t> </w:t>
      </w:r>
      <w:r w:rsidRPr="00BF5FB4">
        <w:rPr>
          <w:rFonts w:ascii="Times New Roman" w:hAnsi="Times New Roman"/>
          <w:sz w:val="28"/>
          <w:szCs w:val="28"/>
          <w:lang w:eastAsia="ru-RU"/>
        </w:rPr>
        <w:t>проживание и</w:t>
      </w:r>
      <w:r>
        <w:rPr>
          <w:rFonts w:ascii="Times New Roman" w:hAnsi="Times New Roman"/>
          <w:sz w:val="28"/>
          <w:szCs w:val="28"/>
          <w:lang w:eastAsia="ru-RU"/>
        </w:rPr>
        <w:t> </w:t>
      </w:r>
      <w:r w:rsidRPr="00BF5FB4">
        <w:rPr>
          <w:rFonts w:ascii="Times New Roman" w:hAnsi="Times New Roman"/>
          <w:sz w:val="28"/>
          <w:szCs w:val="28"/>
          <w:lang w:eastAsia="ru-RU"/>
        </w:rPr>
        <w:t xml:space="preserve">хозяйственную деятельность вводятся Законом Российской Федерации или законом </w:t>
      </w:r>
      <w:r>
        <w:rPr>
          <w:rFonts w:ascii="Times New Roman" w:hAnsi="Times New Roman"/>
          <w:sz w:val="28"/>
          <w:szCs w:val="28"/>
          <w:lang w:eastAsia="ru-RU"/>
        </w:rPr>
        <w:t>Новосибирской области</w:t>
      </w:r>
      <w:r w:rsidRPr="00BF5FB4">
        <w:rPr>
          <w:rFonts w:ascii="Times New Roman" w:hAnsi="Times New Roman"/>
          <w:sz w:val="28"/>
          <w:szCs w:val="28"/>
          <w:lang w:eastAsia="ru-RU"/>
        </w:rPr>
        <w:t>.</w:t>
      </w:r>
    </w:p>
    <w:p w:rsidR="002D1E45" w:rsidRPr="00BF5FB4" w:rsidRDefault="002D1E45" w:rsidP="00BF5FB4">
      <w:pPr>
        <w:spacing w:after="0" w:line="240" w:lineRule="auto"/>
        <w:ind w:firstLine="709"/>
        <w:jc w:val="both"/>
        <w:rPr>
          <w:rFonts w:ascii="Times New Roman" w:hAnsi="Times New Roman"/>
          <w:sz w:val="28"/>
          <w:szCs w:val="28"/>
          <w:lang w:eastAsia="ru-RU"/>
        </w:rPr>
      </w:pPr>
      <w:r w:rsidRPr="00BF5FB4">
        <w:rPr>
          <w:rFonts w:ascii="Times New Roman" w:hAnsi="Times New Roman"/>
          <w:sz w:val="28"/>
          <w:szCs w:val="28"/>
          <w:lang w:eastAsia="ru-RU"/>
        </w:rPr>
        <w:t>Границы зон в</w:t>
      </w:r>
      <w:r>
        <w:rPr>
          <w:rFonts w:ascii="Times New Roman" w:hAnsi="Times New Roman"/>
          <w:sz w:val="28"/>
          <w:szCs w:val="28"/>
          <w:lang w:eastAsia="ru-RU"/>
        </w:rPr>
        <w:t> </w:t>
      </w:r>
      <w:r w:rsidRPr="00BF5FB4">
        <w:rPr>
          <w:rFonts w:ascii="Times New Roman" w:hAnsi="Times New Roman"/>
          <w:sz w:val="28"/>
          <w:szCs w:val="28"/>
          <w:lang w:eastAsia="ru-RU"/>
        </w:rPr>
        <w:t>координатах «частота ЧС – число пострадавших» и «частота ЧС – материальный ущерб» представлены в</w:t>
      </w:r>
      <w:r>
        <w:rPr>
          <w:rFonts w:ascii="Times New Roman" w:hAnsi="Times New Roman"/>
          <w:sz w:val="28"/>
          <w:szCs w:val="28"/>
          <w:lang w:eastAsia="ru-RU"/>
        </w:rPr>
        <w:t> </w:t>
      </w:r>
      <w:r w:rsidRPr="00BF5FB4">
        <w:rPr>
          <w:rFonts w:ascii="Times New Roman" w:hAnsi="Times New Roman"/>
          <w:sz w:val="28"/>
          <w:szCs w:val="28"/>
          <w:lang w:eastAsia="ru-RU"/>
        </w:rPr>
        <w:t xml:space="preserve">таблицах </w:t>
      </w:r>
      <w:r w:rsidRPr="00BF5FB4">
        <w:rPr>
          <w:rFonts w:ascii="Times New Roman" w:hAnsi="Times New Roman"/>
          <w:sz w:val="28"/>
          <w:szCs w:val="28"/>
          <w:lang w:eastAsia="ru-RU"/>
        </w:rPr>
        <w:fldChar w:fldCharType="begin"/>
      </w:r>
      <w:r w:rsidRPr="00BF5FB4">
        <w:rPr>
          <w:rFonts w:ascii="Times New Roman" w:hAnsi="Times New Roman"/>
          <w:sz w:val="28"/>
          <w:szCs w:val="28"/>
          <w:lang w:eastAsia="ru-RU"/>
        </w:rPr>
        <w:instrText xml:space="preserve"> REF Tbl_Risk1 \h </w:instrText>
      </w:r>
      <w:r w:rsidRPr="00BF5FB4">
        <w:rPr>
          <w:rFonts w:ascii="Times New Roman" w:hAnsi="Times New Roman"/>
          <w:sz w:val="28"/>
          <w:szCs w:val="28"/>
          <w:lang w:eastAsia="ru-RU"/>
        </w:rPr>
      </w:r>
      <w:r w:rsidRPr="00BF5FB4">
        <w:rPr>
          <w:rFonts w:ascii="Times New Roman" w:hAnsi="Times New Roman"/>
          <w:sz w:val="28"/>
          <w:szCs w:val="28"/>
          <w:lang w:eastAsia="ru-RU"/>
        </w:rPr>
        <w:fldChar w:fldCharType="separate"/>
      </w:r>
      <w:r>
        <w:rPr>
          <w:rFonts w:ascii="Times New Roman" w:hAnsi="Times New Roman"/>
          <w:noProof/>
          <w:sz w:val="28"/>
          <w:szCs w:val="28"/>
          <w:lang w:eastAsia="ru-RU"/>
        </w:rPr>
        <w:t>24</w:t>
      </w:r>
      <w:r w:rsidRPr="00BF5FB4">
        <w:rPr>
          <w:rFonts w:ascii="Times New Roman" w:hAnsi="Times New Roman"/>
          <w:sz w:val="28"/>
          <w:szCs w:val="28"/>
          <w:lang w:eastAsia="ru-RU"/>
        </w:rPr>
        <w:fldChar w:fldCharType="end"/>
      </w:r>
      <w:r w:rsidRPr="00BF5FB4">
        <w:rPr>
          <w:rFonts w:ascii="Times New Roman" w:hAnsi="Times New Roman"/>
          <w:sz w:val="28"/>
          <w:szCs w:val="28"/>
          <w:lang w:eastAsia="ru-RU"/>
        </w:rPr>
        <w:t>-</w:t>
      </w:r>
      <w:r w:rsidRPr="00BF5FB4">
        <w:rPr>
          <w:rFonts w:ascii="Times New Roman" w:hAnsi="Times New Roman"/>
          <w:sz w:val="28"/>
          <w:szCs w:val="28"/>
          <w:lang w:eastAsia="ru-RU"/>
        </w:rPr>
        <w:fldChar w:fldCharType="begin"/>
      </w:r>
      <w:r w:rsidRPr="00BF5FB4">
        <w:rPr>
          <w:rFonts w:ascii="Times New Roman" w:hAnsi="Times New Roman"/>
          <w:sz w:val="28"/>
          <w:szCs w:val="28"/>
          <w:lang w:eastAsia="ru-RU"/>
        </w:rPr>
        <w:instrText xml:space="preserve"> REF Tbl_Risk2 \h </w:instrText>
      </w:r>
      <w:r w:rsidRPr="00BF5FB4">
        <w:rPr>
          <w:rFonts w:ascii="Times New Roman" w:hAnsi="Times New Roman"/>
          <w:sz w:val="28"/>
          <w:szCs w:val="28"/>
          <w:lang w:eastAsia="ru-RU"/>
        </w:rPr>
      </w:r>
      <w:r w:rsidRPr="00BF5FB4">
        <w:rPr>
          <w:rFonts w:ascii="Times New Roman" w:hAnsi="Times New Roman"/>
          <w:sz w:val="28"/>
          <w:szCs w:val="28"/>
          <w:lang w:eastAsia="ru-RU"/>
        </w:rPr>
        <w:fldChar w:fldCharType="separate"/>
      </w:r>
      <w:r>
        <w:rPr>
          <w:rFonts w:ascii="Times New Roman" w:hAnsi="Times New Roman"/>
          <w:noProof/>
          <w:sz w:val="28"/>
          <w:szCs w:val="28"/>
          <w:lang w:eastAsia="ru-RU"/>
        </w:rPr>
        <w:t>25</w:t>
      </w:r>
      <w:r w:rsidRPr="00BF5FB4">
        <w:rPr>
          <w:rFonts w:ascii="Times New Roman" w:hAnsi="Times New Roman"/>
          <w:sz w:val="28"/>
          <w:szCs w:val="28"/>
          <w:lang w:eastAsia="ru-RU"/>
        </w:rPr>
        <w:fldChar w:fldCharType="end"/>
      </w:r>
      <w:r w:rsidRPr="00BF5FB4">
        <w:rPr>
          <w:rFonts w:ascii="Times New Roman" w:hAnsi="Times New Roman"/>
          <w:sz w:val="28"/>
          <w:szCs w:val="28"/>
          <w:lang w:eastAsia="ru-RU"/>
        </w:rPr>
        <w:t>.</w:t>
      </w:r>
    </w:p>
    <w:p w:rsidR="002D1E45" w:rsidRPr="00BF5FB4" w:rsidRDefault="002D1E45" w:rsidP="00BF5FB4">
      <w:pPr>
        <w:spacing w:after="0" w:line="240" w:lineRule="auto"/>
        <w:jc w:val="right"/>
        <w:rPr>
          <w:rFonts w:ascii="Times New Roman" w:hAnsi="Times New Roman"/>
          <w:sz w:val="28"/>
          <w:szCs w:val="28"/>
          <w:lang w:eastAsia="ru-RU"/>
        </w:rPr>
      </w:pPr>
      <w:r w:rsidRPr="00BF5FB4">
        <w:rPr>
          <w:rFonts w:ascii="Times New Roman" w:hAnsi="Times New Roman"/>
          <w:sz w:val="28"/>
          <w:szCs w:val="28"/>
          <w:lang w:eastAsia="ru-RU"/>
        </w:rPr>
        <w:t xml:space="preserve">Таблица </w:t>
      </w:r>
      <w:bookmarkStart w:id="174" w:name="Tbl_Risk1"/>
      <w:r w:rsidRPr="00BF5FB4">
        <w:rPr>
          <w:rFonts w:ascii="Times New Roman" w:hAnsi="Times New Roman"/>
          <w:sz w:val="28"/>
          <w:szCs w:val="28"/>
          <w:lang w:eastAsia="ru-RU"/>
        </w:rPr>
        <w:fldChar w:fldCharType="begin"/>
      </w:r>
      <w:r w:rsidRPr="00BF5FB4">
        <w:rPr>
          <w:rFonts w:ascii="Times New Roman" w:hAnsi="Times New Roman"/>
          <w:sz w:val="28"/>
          <w:szCs w:val="28"/>
          <w:lang w:eastAsia="ru-RU"/>
        </w:rPr>
        <w:instrText xml:space="preserve"> SEQ Таблица \* ARABIC </w:instrText>
      </w:r>
      <w:r w:rsidRPr="00BF5FB4">
        <w:rPr>
          <w:rFonts w:ascii="Times New Roman" w:hAnsi="Times New Roman"/>
          <w:sz w:val="28"/>
          <w:szCs w:val="28"/>
          <w:lang w:eastAsia="ru-RU"/>
        </w:rPr>
        <w:fldChar w:fldCharType="separate"/>
      </w:r>
      <w:r>
        <w:rPr>
          <w:rFonts w:ascii="Times New Roman" w:hAnsi="Times New Roman"/>
          <w:noProof/>
          <w:sz w:val="28"/>
          <w:szCs w:val="28"/>
          <w:lang w:eastAsia="ru-RU"/>
        </w:rPr>
        <w:t>24</w:t>
      </w:r>
      <w:r w:rsidRPr="00BF5FB4">
        <w:rPr>
          <w:rFonts w:ascii="Times New Roman" w:hAnsi="Times New Roman"/>
          <w:sz w:val="28"/>
          <w:szCs w:val="28"/>
          <w:lang w:eastAsia="ru-RU"/>
        </w:rPr>
        <w:fldChar w:fldCharType="end"/>
      </w:r>
      <w:bookmarkEnd w:id="174"/>
    </w:p>
    <w:p w:rsidR="002D1E45" w:rsidRPr="00BF5FB4" w:rsidRDefault="002D1E45" w:rsidP="00BF5FB4">
      <w:pPr>
        <w:spacing w:after="120" w:line="240" w:lineRule="auto"/>
        <w:jc w:val="center"/>
        <w:rPr>
          <w:rFonts w:ascii="Times New Roman" w:hAnsi="Times New Roman"/>
          <w:sz w:val="28"/>
          <w:szCs w:val="28"/>
          <w:lang w:eastAsia="ru-RU"/>
        </w:rPr>
      </w:pPr>
      <w:r w:rsidRPr="00BF5FB4">
        <w:rPr>
          <w:rFonts w:ascii="Times New Roman" w:hAnsi="Times New Roman"/>
          <w:sz w:val="28"/>
          <w:szCs w:val="28"/>
          <w:lang w:eastAsia="ru-RU"/>
        </w:rPr>
        <w:t>Определение границ зон рисков в</w:t>
      </w:r>
      <w:r>
        <w:rPr>
          <w:rFonts w:ascii="Times New Roman" w:hAnsi="Times New Roman"/>
          <w:sz w:val="28"/>
          <w:szCs w:val="28"/>
          <w:lang w:eastAsia="ru-RU"/>
        </w:rPr>
        <w:t> </w:t>
      </w:r>
      <w:r w:rsidRPr="00BF5FB4">
        <w:rPr>
          <w:rFonts w:ascii="Times New Roman" w:hAnsi="Times New Roman"/>
          <w:sz w:val="28"/>
          <w:szCs w:val="28"/>
          <w:lang w:eastAsia="ru-RU"/>
        </w:rPr>
        <w:t>координатах «частота ЧС – число пострадавших»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914"/>
        <w:gridCol w:w="1914"/>
        <w:gridCol w:w="1914"/>
        <w:gridCol w:w="1914"/>
        <w:gridCol w:w="1915"/>
      </w:tblGrid>
      <w:tr w:rsidR="002D1E45" w:rsidRPr="00BF5FB4" w:rsidTr="007A0493">
        <w:trPr>
          <w:trHeight w:val="227"/>
          <w:tblHeader/>
          <w:jc w:val="center"/>
        </w:trPr>
        <w:tc>
          <w:tcPr>
            <w:tcW w:w="1914" w:type="dxa"/>
            <w:vMerge w:val="restart"/>
            <w:vAlign w:val="center"/>
          </w:tcPr>
          <w:p w:rsidR="002D1E45" w:rsidRPr="007A0493" w:rsidRDefault="002D1E45" w:rsidP="007A0493">
            <w:pPr>
              <w:widowControl w:val="0"/>
              <w:tabs>
                <w:tab w:val="left" w:pos="511"/>
                <w:tab w:val="left" w:pos="8641"/>
              </w:tabs>
              <w:overflowPunct w:val="0"/>
              <w:autoSpaceDE w:val="0"/>
              <w:spacing w:after="0" w:line="240" w:lineRule="auto"/>
              <w:jc w:val="center"/>
              <w:textAlignment w:val="baseline"/>
              <w:rPr>
                <w:rFonts w:ascii="Times New Roman" w:hAnsi="Times New Roman"/>
                <w:sz w:val="24"/>
                <w:szCs w:val="24"/>
                <w:lang w:eastAsia="ar-SA"/>
              </w:rPr>
            </w:pPr>
            <w:r w:rsidRPr="007A0493">
              <w:rPr>
                <w:rFonts w:ascii="Times New Roman" w:hAnsi="Times New Roman"/>
                <w:sz w:val="24"/>
                <w:szCs w:val="24"/>
                <w:lang w:eastAsia="ar-SA"/>
              </w:rPr>
              <w:t>Частота ЧС</w:t>
            </w:r>
          </w:p>
        </w:tc>
        <w:tc>
          <w:tcPr>
            <w:tcW w:w="7657" w:type="dxa"/>
            <w:gridSpan w:val="4"/>
            <w:vAlign w:val="center"/>
          </w:tcPr>
          <w:p w:rsidR="002D1E45" w:rsidRPr="007A0493" w:rsidRDefault="002D1E45" w:rsidP="007A0493">
            <w:pPr>
              <w:widowControl w:val="0"/>
              <w:tabs>
                <w:tab w:val="left" w:pos="511"/>
                <w:tab w:val="left" w:pos="8641"/>
              </w:tabs>
              <w:overflowPunct w:val="0"/>
              <w:autoSpaceDE w:val="0"/>
              <w:spacing w:after="0" w:line="240" w:lineRule="auto"/>
              <w:jc w:val="center"/>
              <w:textAlignment w:val="baseline"/>
              <w:rPr>
                <w:rFonts w:ascii="Times New Roman" w:hAnsi="Times New Roman"/>
                <w:sz w:val="24"/>
                <w:szCs w:val="24"/>
                <w:lang w:eastAsia="ar-SA"/>
              </w:rPr>
            </w:pPr>
            <w:r w:rsidRPr="007A0493">
              <w:rPr>
                <w:rFonts w:ascii="Times New Roman" w:hAnsi="Times New Roman"/>
                <w:sz w:val="24"/>
                <w:szCs w:val="24"/>
                <w:lang w:eastAsia="ar-SA"/>
              </w:rPr>
              <w:t>Число пострадавших, чел.</w:t>
            </w:r>
          </w:p>
        </w:tc>
      </w:tr>
      <w:tr w:rsidR="002D1E45" w:rsidRPr="00BF5FB4" w:rsidTr="007A0493">
        <w:trPr>
          <w:trHeight w:val="227"/>
          <w:tblHeader/>
          <w:jc w:val="center"/>
        </w:trPr>
        <w:tc>
          <w:tcPr>
            <w:tcW w:w="1914" w:type="dxa"/>
            <w:vMerge/>
          </w:tcPr>
          <w:p w:rsidR="002D1E45" w:rsidRPr="007A0493" w:rsidRDefault="002D1E45" w:rsidP="007A0493">
            <w:pPr>
              <w:widowControl w:val="0"/>
              <w:tabs>
                <w:tab w:val="left" w:pos="511"/>
                <w:tab w:val="left" w:pos="8641"/>
              </w:tabs>
              <w:overflowPunct w:val="0"/>
              <w:autoSpaceDE w:val="0"/>
              <w:spacing w:after="0" w:line="240" w:lineRule="auto"/>
              <w:jc w:val="both"/>
              <w:textAlignment w:val="baseline"/>
              <w:rPr>
                <w:rFonts w:ascii="Times New Roman" w:hAnsi="Times New Roman"/>
                <w:sz w:val="24"/>
                <w:szCs w:val="24"/>
                <w:lang w:eastAsia="ar-SA"/>
              </w:rPr>
            </w:pPr>
          </w:p>
        </w:tc>
        <w:tc>
          <w:tcPr>
            <w:tcW w:w="1914" w:type="dxa"/>
            <w:vAlign w:val="center"/>
          </w:tcPr>
          <w:p w:rsidR="002D1E45" w:rsidRPr="007A0493" w:rsidRDefault="002D1E45" w:rsidP="007A0493">
            <w:pPr>
              <w:widowControl w:val="0"/>
              <w:tabs>
                <w:tab w:val="left" w:pos="511"/>
                <w:tab w:val="left" w:pos="8641"/>
              </w:tabs>
              <w:overflowPunct w:val="0"/>
              <w:autoSpaceDE w:val="0"/>
              <w:spacing w:after="0" w:line="240" w:lineRule="auto"/>
              <w:jc w:val="center"/>
              <w:textAlignment w:val="baseline"/>
              <w:rPr>
                <w:rFonts w:ascii="Times New Roman" w:hAnsi="Times New Roman"/>
                <w:sz w:val="24"/>
                <w:szCs w:val="24"/>
                <w:lang w:eastAsia="ar-SA"/>
              </w:rPr>
            </w:pPr>
            <w:r w:rsidRPr="007A0493">
              <w:rPr>
                <w:rFonts w:ascii="Times New Roman" w:hAnsi="Times New Roman"/>
                <w:sz w:val="24"/>
                <w:szCs w:val="24"/>
                <w:lang w:eastAsia="ar-SA"/>
              </w:rPr>
              <w:t>менее 10</w:t>
            </w:r>
          </w:p>
        </w:tc>
        <w:tc>
          <w:tcPr>
            <w:tcW w:w="1914" w:type="dxa"/>
            <w:vAlign w:val="center"/>
          </w:tcPr>
          <w:p w:rsidR="002D1E45" w:rsidRPr="007A0493" w:rsidRDefault="002D1E45" w:rsidP="007A0493">
            <w:pPr>
              <w:widowControl w:val="0"/>
              <w:tabs>
                <w:tab w:val="left" w:pos="511"/>
                <w:tab w:val="left" w:pos="8641"/>
              </w:tabs>
              <w:overflowPunct w:val="0"/>
              <w:autoSpaceDE w:val="0"/>
              <w:spacing w:after="0" w:line="240" w:lineRule="auto"/>
              <w:jc w:val="center"/>
              <w:textAlignment w:val="baseline"/>
              <w:rPr>
                <w:rFonts w:ascii="Times New Roman" w:hAnsi="Times New Roman"/>
                <w:sz w:val="24"/>
                <w:szCs w:val="24"/>
                <w:lang w:eastAsia="ar-SA"/>
              </w:rPr>
            </w:pPr>
            <w:r w:rsidRPr="007A0493">
              <w:rPr>
                <w:rFonts w:ascii="Times New Roman" w:hAnsi="Times New Roman"/>
                <w:sz w:val="24"/>
                <w:szCs w:val="24"/>
                <w:lang w:eastAsia="ar-SA"/>
              </w:rPr>
              <w:t>от 10 до 50</w:t>
            </w:r>
          </w:p>
        </w:tc>
        <w:tc>
          <w:tcPr>
            <w:tcW w:w="1914" w:type="dxa"/>
            <w:vAlign w:val="center"/>
          </w:tcPr>
          <w:p w:rsidR="002D1E45" w:rsidRPr="007A0493" w:rsidRDefault="002D1E45" w:rsidP="007A0493">
            <w:pPr>
              <w:widowControl w:val="0"/>
              <w:tabs>
                <w:tab w:val="left" w:pos="511"/>
                <w:tab w:val="left" w:pos="8641"/>
              </w:tabs>
              <w:overflowPunct w:val="0"/>
              <w:autoSpaceDE w:val="0"/>
              <w:spacing w:after="0" w:line="240" w:lineRule="auto"/>
              <w:jc w:val="center"/>
              <w:textAlignment w:val="baseline"/>
              <w:rPr>
                <w:rFonts w:ascii="Times New Roman" w:hAnsi="Times New Roman"/>
                <w:sz w:val="24"/>
                <w:szCs w:val="24"/>
                <w:lang w:eastAsia="ar-SA"/>
              </w:rPr>
            </w:pPr>
            <w:r w:rsidRPr="007A0493">
              <w:rPr>
                <w:rFonts w:ascii="Times New Roman" w:hAnsi="Times New Roman"/>
                <w:sz w:val="24"/>
                <w:szCs w:val="24"/>
                <w:lang w:eastAsia="ar-SA"/>
              </w:rPr>
              <w:t>от 50 до 500</w:t>
            </w:r>
          </w:p>
        </w:tc>
        <w:tc>
          <w:tcPr>
            <w:tcW w:w="1915" w:type="dxa"/>
            <w:vAlign w:val="center"/>
          </w:tcPr>
          <w:p w:rsidR="002D1E45" w:rsidRPr="007A0493" w:rsidRDefault="002D1E45" w:rsidP="007A0493">
            <w:pPr>
              <w:widowControl w:val="0"/>
              <w:tabs>
                <w:tab w:val="left" w:pos="511"/>
                <w:tab w:val="left" w:pos="8641"/>
              </w:tabs>
              <w:overflowPunct w:val="0"/>
              <w:autoSpaceDE w:val="0"/>
              <w:spacing w:after="0" w:line="240" w:lineRule="auto"/>
              <w:jc w:val="center"/>
              <w:textAlignment w:val="baseline"/>
              <w:rPr>
                <w:rFonts w:ascii="Times New Roman" w:hAnsi="Times New Roman"/>
                <w:sz w:val="24"/>
                <w:szCs w:val="24"/>
                <w:lang w:eastAsia="ar-SA"/>
              </w:rPr>
            </w:pPr>
            <w:r w:rsidRPr="007A0493">
              <w:rPr>
                <w:rFonts w:ascii="Times New Roman" w:hAnsi="Times New Roman"/>
                <w:sz w:val="24"/>
                <w:szCs w:val="24"/>
                <w:lang w:eastAsia="ar-SA"/>
              </w:rPr>
              <w:t>свыше 500</w:t>
            </w:r>
          </w:p>
        </w:tc>
      </w:tr>
      <w:tr w:rsidR="002D1E45" w:rsidRPr="00BF5FB4" w:rsidTr="007A0493">
        <w:trPr>
          <w:trHeight w:val="227"/>
          <w:jc w:val="center"/>
        </w:trPr>
        <w:tc>
          <w:tcPr>
            <w:tcW w:w="1914" w:type="dxa"/>
            <w:vAlign w:val="center"/>
          </w:tcPr>
          <w:p w:rsidR="002D1E45" w:rsidRPr="007A0493" w:rsidRDefault="002D1E45" w:rsidP="007A0493">
            <w:pPr>
              <w:widowControl w:val="0"/>
              <w:tabs>
                <w:tab w:val="left" w:pos="511"/>
                <w:tab w:val="left" w:pos="8641"/>
              </w:tabs>
              <w:overflowPunct w:val="0"/>
              <w:autoSpaceDE w:val="0"/>
              <w:spacing w:after="0" w:line="240" w:lineRule="auto"/>
              <w:jc w:val="right"/>
              <w:textAlignment w:val="baseline"/>
              <w:rPr>
                <w:rFonts w:ascii="Times New Roman" w:hAnsi="Times New Roman"/>
                <w:sz w:val="24"/>
                <w:szCs w:val="24"/>
                <w:lang w:eastAsia="ar-SA"/>
              </w:rPr>
            </w:pPr>
            <w:r w:rsidRPr="007A0493">
              <w:rPr>
                <w:rFonts w:ascii="Times New Roman" w:hAnsi="Times New Roman"/>
                <w:sz w:val="24"/>
                <w:szCs w:val="24"/>
                <w:lang w:eastAsia="ar-SA"/>
              </w:rPr>
              <w:t>более 1</w:t>
            </w:r>
          </w:p>
        </w:tc>
        <w:tc>
          <w:tcPr>
            <w:tcW w:w="7657" w:type="dxa"/>
            <w:gridSpan w:val="4"/>
            <w:tcBorders>
              <w:bottom w:val="nil"/>
            </w:tcBorders>
            <w:shd w:val="clear" w:color="auto" w:fill="1F3864"/>
            <w:vAlign w:val="center"/>
          </w:tcPr>
          <w:p w:rsidR="002D1E45" w:rsidRPr="007A0493" w:rsidRDefault="002D1E45" w:rsidP="007A0493">
            <w:pPr>
              <w:widowControl w:val="0"/>
              <w:tabs>
                <w:tab w:val="left" w:pos="511"/>
                <w:tab w:val="left" w:pos="8641"/>
              </w:tabs>
              <w:overflowPunct w:val="0"/>
              <w:autoSpaceDE w:val="0"/>
              <w:spacing w:after="0" w:line="240" w:lineRule="auto"/>
              <w:jc w:val="center"/>
              <w:textAlignment w:val="baseline"/>
              <w:rPr>
                <w:rFonts w:ascii="Times New Roman" w:hAnsi="Times New Roman"/>
                <w:sz w:val="24"/>
                <w:szCs w:val="24"/>
                <w:lang w:eastAsia="ar-SA"/>
              </w:rPr>
            </w:pPr>
          </w:p>
        </w:tc>
      </w:tr>
      <w:tr w:rsidR="002D1E45" w:rsidRPr="00BF5FB4" w:rsidTr="007A0493">
        <w:trPr>
          <w:trHeight w:val="227"/>
          <w:jc w:val="center"/>
        </w:trPr>
        <w:tc>
          <w:tcPr>
            <w:tcW w:w="1914" w:type="dxa"/>
            <w:vAlign w:val="center"/>
          </w:tcPr>
          <w:p w:rsidR="002D1E45" w:rsidRPr="007A0493" w:rsidRDefault="002D1E45" w:rsidP="007A0493">
            <w:pPr>
              <w:widowControl w:val="0"/>
              <w:tabs>
                <w:tab w:val="left" w:pos="511"/>
                <w:tab w:val="left" w:pos="8641"/>
              </w:tabs>
              <w:overflowPunct w:val="0"/>
              <w:autoSpaceDE w:val="0"/>
              <w:spacing w:after="0" w:line="240" w:lineRule="auto"/>
              <w:jc w:val="right"/>
              <w:textAlignment w:val="baseline"/>
              <w:rPr>
                <w:rFonts w:ascii="Times New Roman" w:hAnsi="Times New Roman"/>
                <w:sz w:val="24"/>
                <w:szCs w:val="24"/>
                <w:vertAlign w:val="superscript"/>
                <w:lang w:eastAsia="ar-SA"/>
              </w:rPr>
            </w:pPr>
            <w:r w:rsidRPr="007A0493">
              <w:rPr>
                <w:rFonts w:ascii="Times New Roman" w:hAnsi="Times New Roman"/>
                <w:sz w:val="24"/>
                <w:szCs w:val="24"/>
                <w:lang w:eastAsia="ar-SA"/>
              </w:rPr>
              <w:t>1-10</w:t>
            </w:r>
            <w:r w:rsidRPr="007A0493">
              <w:rPr>
                <w:rFonts w:ascii="Times New Roman" w:hAnsi="Times New Roman"/>
                <w:sz w:val="24"/>
                <w:szCs w:val="24"/>
                <w:vertAlign w:val="superscript"/>
                <w:lang w:eastAsia="ar-SA"/>
              </w:rPr>
              <w:t>-1</w:t>
            </w:r>
          </w:p>
        </w:tc>
        <w:tc>
          <w:tcPr>
            <w:tcW w:w="1914" w:type="dxa"/>
            <w:vMerge w:val="restart"/>
            <w:tcBorders>
              <w:top w:val="nil"/>
              <w:bottom w:val="nil"/>
              <w:right w:val="nil"/>
            </w:tcBorders>
            <w:shd w:val="clear" w:color="auto" w:fill="2F5496"/>
            <w:vAlign w:val="center"/>
          </w:tcPr>
          <w:p w:rsidR="002D1E45" w:rsidRPr="007A0493" w:rsidRDefault="002D1E45" w:rsidP="007A0493">
            <w:pPr>
              <w:widowControl w:val="0"/>
              <w:tabs>
                <w:tab w:val="left" w:pos="511"/>
                <w:tab w:val="left" w:pos="8641"/>
              </w:tabs>
              <w:overflowPunct w:val="0"/>
              <w:autoSpaceDE w:val="0"/>
              <w:spacing w:after="0" w:line="240" w:lineRule="auto"/>
              <w:jc w:val="center"/>
              <w:textAlignment w:val="baseline"/>
              <w:rPr>
                <w:rFonts w:ascii="Times New Roman" w:hAnsi="Times New Roman"/>
                <w:sz w:val="24"/>
                <w:szCs w:val="24"/>
                <w:lang w:eastAsia="ar-SA"/>
              </w:rPr>
            </w:pPr>
          </w:p>
        </w:tc>
        <w:tc>
          <w:tcPr>
            <w:tcW w:w="5743" w:type="dxa"/>
            <w:gridSpan w:val="3"/>
            <w:tcBorders>
              <w:top w:val="nil"/>
              <w:left w:val="nil"/>
              <w:bottom w:val="nil"/>
              <w:right w:val="nil"/>
            </w:tcBorders>
            <w:shd w:val="clear" w:color="auto" w:fill="1F3864"/>
            <w:vAlign w:val="center"/>
          </w:tcPr>
          <w:p w:rsidR="002D1E45" w:rsidRPr="007A0493" w:rsidRDefault="002D1E45" w:rsidP="007A0493">
            <w:pPr>
              <w:widowControl w:val="0"/>
              <w:tabs>
                <w:tab w:val="left" w:pos="511"/>
                <w:tab w:val="left" w:pos="8641"/>
              </w:tabs>
              <w:overflowPunct w:val="0"/>
              <w:autoSpaceDE w:val="0"/>
              <w:spacing w:after="0" w:line="240" w:lineRule="auto"/>
              <w:jc w:val="center"/>
              <w:textAlignment w:val="baseline"/>
              <w:rPr>
                <w:rFonts w:ascii="Times New Roman" w:hAnsi="Times New Roman"/>
                <w:sz w:val="24"/>
                <w:szCs w:val="24"/>
                <w:lang w:eastAsia="ar-SA"/>
              </w:rPr>
            </w:pPr>
            <w:r w:rsidRPr="007A0493">
              <w:rPr>
                <w:rFonts w:ascii="Times New Roman" w:hAnsi="Times New Roman"/>
                <w:sz w:val="24"/>
                <w:szCs w:val="24"/>
                <w:lang w:eastAsia="ar-SA"/>
              </w:rPr>
              <w:t>Зона недопустимого риска</w:t>
            </w:r>
          </w:p>
        </w:tc>
      </w:tr>
      <w:tr w:rsidR="002D1E45" w:rsidRPr="00BF5FB4" w:rsidTr="007A0493">
        <w:trPr>
          <w:trHeight w:val="227"/>
          <w:jc w:val="center"/>
        </w:trPr>
        <w:tc>
          <w:tcPr>
            <w:tcW w:w="1914" w:type="dxa"/>
            <w:vAlign w:val="center"/>
          </w:tcPr>
          <w:p w:rsidR="002D1E45" w:rsidRPr="007A0493" w:rsidRDefault="002D1E45" w:rsidP="007A0493">
            <w:pPr>
              <w:widowControl w:val="0"/>
              <w:tabs>
                <w:tab w:val="left" w:pos="511"/>
                <w:tab w:val="left" w:pos="8641"/>
              </w:tabs>
              <w:overflowPunct w:val="0"/>
              <w:autoSpaceDE w:val="0"/>
              <w:spacing w:after="0" w:line="240" w:lineRule="auto"/>
              <w:jc w:val="right"/>
              <w:textAlignment w:val="baseline"/>
              <w:rPr>
                <w:rFonts w:ascii="Times New Roman" w:hAnsi="Times New Roman"/>
                <w:sz w:val="24"/>
                <w:szCs w:val="24"/>
                <w:vertAlign w:val="superscript"/>
                <w:lang w:eastAsia="ar-SA"/>
              </w:rPr>
            </w:pPr>
            <w:r w:rsidRPr="007A0493">
              <w:rPr>
                <w:rFonts w:ascii="Times New Roman" w:hAnsi="Times New Roman"/>
                <w:sz w:val="24"/>
                <w:szCs w:val="24"/>
                <w:lang w:eastAsia="ar-SA"/>
              </w:rPr>
              <w:t>10</w:t>
            </w:r>
            <w:r w:rsidRPr="007A0493">
              <w:rPr>
                <w:rFonts w:ascii="Times New Roman" w:hAnsi="Times New Roman"/>
                <w:sz w:val="24"/>
                <w:szCs w:val="24"/>
                <w:vertAlign w:val="superscript"/>
                <w:lang w:eastAsia="ar-SA"/>
              </w:rPr>
              <w:t>-1</w:t>
            </w:r>
            <w:r w:rsidRPr="007A0493">
              <w:rPr>
                <w:rFonts w:ascii="Times New Roman" w:hAnsi="Times New Roman"/>
                <w:sz w:val="24"/>
                <w:szCs w:val="24"/>
                <w:lang w:eastAsia="ar-SA"/>
              </w:rPr>
              <w:t>-10</w:t>
            </w:r>
            <w:r w:rsidRPr="007A0493">
              <w:rPr>
                <w:rFonts w:ascii="Times New Roman" w:hAnsi="Times New Roman"/>
                <w:sz w:val="24"/>
                <w:szCs w:val="24"/>
                <w:vertAlign w:val="superscript"/>
                <w:lang w:eastAsia="ar-SA"/>
              </w:rPr>
              <w:t>-2</w:t>
            </w:r>
          </w:p>
        </w:tc>
        <w:tc>
          <w:tcPr>
            <w:tcW w:w="1914" w:type="dxa"/>
            <w:vMerge/>
            <w:tcBorders>
              <w:top w:val="nil"/>
              <w:bottom w:val="nil"/>
              <w:right w:val="nil"/>
            </w:tcBorders>
            <w:shd w:val="clear" w:color="auto" w:fill="2F5496"/>
            <w:vAlign w:val="center"/>
          </w:tcPr>
          <w:p w:rsidR="002D1E45" w:rsidRPr="007A0493" w:rsidRDefault="002D1E45" w:rsidP="007A0493">
            <w:pPr>
              <w:widowControl w:val="0"/>
              <w:tabs>
                <w:tab w:val="left" w:pos="511"/>
                <w:tab w:val="left" w:pos="8641"/>
              </w:tabs>
              <w:overflowPunct w:val="0"/>
              <w:autoSpaceDE w:val="0"/>
              <w:spacing w:after="0" w:line="240" w:lineRule="auto"/>
              <w:jc w:val="center"/>
              <w:textAlignment w:val="baseline"/>
              <w:rPr>
                <w:rFonts w:ascii="Times New Roman" w:hAnsi="Times New Roman"/>
                <w:sz w:val="24"/>
                <w:szCs w:val="24"/>
                <w:lang w:eastAsia="ar-SA"/>
              </w:rPr>
            </w:pPr>
          </w:p>
        </w:tc>
        <w:tc>
          <w:tcPr>
            <w:tcW w:w="1914" w:type="dxa"/>
            <w:tcBorders>
              <w:top w:val="nil"/>
              <w:left w:val="nil"/>
              <w:bottom w:val="nil"/>
              <w:right w:val="nil"/>
            </w:tcBorders>
            <w:shd w:val="clear" w:color="auto" w:fill="2F5496"/>
            <w:vAlign w:val="center"/>
          </w:tcPr>
          <w:p w:rsidR="002D1E45" w:rsidRPr="007A0493" w:rsidRDefault="002D1E45" w:rsidP="007A0493">
            <w:pPr>
              <w:widowControl w:val="0"/>
              <w:tabs>
                <w:tab w:val="left" w:pos="511"/>
                <w:tab w:val="left" w:pos="8641"/>
              </w:tabs>
              <w:overflowPunct w:val="0"/>
              <w:autoSpaceDE w:val="0"/>
              <w:spacing w:after="0" w:line="240" w:lineRule="auto"/>
              <w:jc w:val="center"/>
              <w:textAlignment w:val="baseline"/>
              <w:rPr>
                <w:rFonts w:ascii="Times New Roman" w:hAnsi="Times New Roman"/>
                <w:sz w:val="24"/>
                <w:szCs w:val="24"/>
                <w:lang w:eastAsia="ar-SA"/>
              </w:rPr>
            </w:pPr>
          </w:p>
        </w:tc>
        <w:tc>
          <w:tcPr>
            <w:tcW w:w="3829" w:type="dxa"/>
            <w:gridSpan w:val="2"/>
            <w:tcBorders>
              <w:top w:val="nil"/>
              <w:left w:val="nil"/>
              <w:bottom w:val="nil"/>
            </w:tcBorders>
            <w:shd w:val="clear" w:color="auto" w:fill="1F3864"/>
            <w:vAlign w:val="center"/>
          </w:tcPr>
          <w:p w:rsidR="002D1E45" w:rsidRPr="007A0493" w:rsidRDefault="002D1E45" w:rsidP="007A0493">
            <w:pPr>
              <w:widowControl w:val="0"/>
              <w:tabs>
                <w:tab w:val="left" w:pos="511"/>
                <w:tab w:val="left" w:pos="8641"/>
              </w:tabs>
              <w:overflowPunct w:val="0"/>
              <w:autoSpaceDE w:val="0"/>
              <w:spacing w:after="0" w:line="240" w:lineRule="auto"/>
              <w:jc w:val="center"/>
              <w:textAlignment w:val="baseline"/>
              <w:rPr>
                <w:rFonts w:ascii="Times New Roman" w:hAnsi="Times New Roman"/>
                <w:sz w:val="24"/>
                <w:szCs w:val="24"/>
                <w:lang w:eastAsia="ar-SA"/>
              </w:rPr>
            </w:pPr>
          </w:p>
        </w:tc>
      </w:tr>
      <w:tr w:rsidR="002D1E45" w:rsidRPr="00BF5FB4" w:rsidTr="007A0493">
        <w:trPr>
          <w:trHeight w:val="227"/>
          <w:jc w:val="center"/>
        </w:trPr>
        <w:tc>
          <w:tcPr>
            <w:tcW w:w="1914" w:type="dxa"/>
            <w:vAlign w:val="center"/>
          </w:tcPr>
          <w:p w:rsidR="002D1E45" w:rsidRPr="007A0493" w:rsidRDefault="002D1E45" w:rsidP="007A0493">
            <w:pPr>
              <w:widowControl w:val="0"/>
              <w:tabs>
                <w:tab w:val="left" w:pos="511"/>
                <w:tab w:val="left" w:pos="8641"/>
              </w:tabs>
              <w:overflowPunct w:val="0"/>
              <w:autoSpaceDE w:val="0"/>
              <w:spacing w:after="0" w:line="240" w:lineRule="auto"/>
              <w:jc w:val="right"/>
              <w:textAlignment w:val="baseline"/>
              <w:rPr>
                <w:rFonts w:ascii="Times New Roman" w:hAnsi="Times New Roman"/>
                <w:sz w:val="24"/>
                <w:szCs w:val="24"/>
                <w:lang w:eastAsia="ar-SA"/>
              </w:rPr>
            </w:pPr>
            <w:r w:rsidRPr="007A0493">
              <w:rPr>
                <w:rFonts w:ascii="Times New Roman" w:hAnsi="Times New Roman"/>
                <w:sz w:val="24"/>
                <w:szCs w:val="24"/>
                <w:lang w:eastAsia="ar-SA"/>
              </w:rPr>
              <w:t>10</w:t>
            </w:r>
            <w:r w:rsidRPr="007A0493">
              <w:rPr>
                <w:rFonts w:ascii="Times New Roman" w:hAnsi="Times New Roman"/>
                <w:sz w:val="24"/>
                <w:szCs w:val="24"/>
                <w:vertAlign w:val="superscript"/>
                <w:lang w:eastAsia="ar-SA"/>
              </w:rPr>
              <w:t>-2</w:t>
            </w:r>
            <w:r w:rsidRPr="007A0493">
              <w:rPr>
                <w:rFonts w:ascii="Times New Roman" w:hAnsi="Times New Roman"/>
                <w:sz w:val="24"/>
                <w:szCs w:val="24"/>
                <w:lang w:eastAsia="ar-SA"/>
              </w:rPr>
              <w:t>-10</w:t>
            </w:r>
            <w:r w:rsidRPr="007A0493">
              <w:rPr>
                <w:rFonts w:ascii="Times New Roman" w:hAnsi="Times New Roman"/>
                <w:sz w:val="24"/>
                <w:szCs w:val="24"/>
                <w:vertAlign w:val="superscript"/>
                <w:lang w:eastAsia="ar-SA"/>
              </w:rPr>
              <w:t>-3</w:t>
            </w:r>
          </w:p>
        </w:tc>
        <w:tc>
          <w:tcPr>
            <w:tcW w:w="1914" w:type="dxa"/>
            <w:vMerge w:val="restart"/>
            <w:tcBorders>
              <w:top w:val="nil"/>
              <w:bottom w:val="nil"/>
              <w:right w:val="nil"/>
            </w:tcBorders>
            <w:shd w:val="clear" w:color="auto" w:fill="8EAADB"/>
            <w:vAlign w:val="center"/>
          </w:tcPr>
          <w:p w:rsidR="002D1E45" w:rsidRPr="007A0493" w:rsidRDefault="002D1E45" w:rsidP="007A0493">
            <w:pPr>
              <w:widowControl w:val="0"/>
              <w:tabs>
                <w:tab w:val="left" w:pos="511"/>
                <w:tab w:val="left" w:pos="8641"/>
              </w:tabs>
              <w:overflowPunct w:val="0"/>
              <w:autoSpaceDE w:val="0"/>
              <w:spacing w:after="0" w:line="240" w:lineRule="auto"/>
              <w:jc w:val="center"/>
              <w:textAlignment w:val="baseline"/>
              <w:rPr>
                <w:rFonts w:ascii="Times New Roman" w:hAnsi="Times New Roman"/>
                <w:sz w:val="24"/>
                <w:szCs w:val="24"/>
                <w:lang w:eastAsia="ar-SA"/>
              </w:rPr>
            </w:pPr>
          </w:p>
        </w:tc>
        <w:tc>
          <w:tcPr>
            <w:tcW w:w="3828" w:type="dxa"/>
            <w:gridSpan w:val="2"/>
            <w:tcBorders>
              <w:top w:val="nil"/>
              <w:left w:val="nil"/>
              <w:bottom w:val="nil"/>
              <w:right w:val="nil"/>
            </w:tcBorders>
            <w:shd w:val="clear" w:color="auto" w:fill="2F5496"/>
            <w:vAlign w:val="center"/>
          </w:tcPr>
          <w:p w:rsidR="002D1E45" w:rsidRPr="007A0493" w:rsidRDefault="002D1E45" w:rsidP="007A0493">
            <w:pPr>
              <w:widowControl w:val="0"/>
              <w:tabs>
                <w:tab w:val="left" w:pos="511"/>
                <w:tab w:val="left" w:pos="8641"/>
              </w:tabs>
              <w:overflowPunct w:val="0"/>
              <w:autoSpaceDE w:val="0"/>
              <w:spacing w:after="0" w:line="240" w:lineRule="auto"/>
              <w:jc w:val="center"/>
              <w:textAlignment w:val="baseline"/>
              <w:rPr>
                <w:rFonts w:ascii="Times New Roman" w:hAnsi="Times New Roman"/>
                <w:color w:val="FFFFFF"/>
                <w:sz w:val="24"/>
                <w:szCs w:val="24"/>
                <w:lang w:eastAsia="ar-SA"/>
              </w:rPr>
            </w:pPr>
            <w:r w:rsidRPr="007A0493">
              <w:rPr>
                <w:rFonts w:ascii="Times New Roman" w:hAnsi="Times New Roman"/>
                <w:color w:val="FFFFFF"/>
                <w:sz w:val="24"/>
                <w:szCs w:val="24"/>
                <w:lang w:eastAsia="ar-SA"/>
              </w:rPr>
              <w:t>Зона повышенного риска</w:t>
            </w:r>
          </w:p>
        </w:tc>
        <w:tc>
          <w:tcPr>
            <w:tcW w:w="1915" w:type="dxa"/>
            <w:tcBorders>
              <w:top w:val="nil"/>
              <w:left w:val="nil"/>
              <w:bottom w:val="nil"/>
            </w:tcBorders>
            <w:shd w:val="clear" w:color="auto" w:fill="1F3864"/>
          </w:tcPr>
          <w:p w:rsidR="002D1E45" w:rsidRPr="007A0493" w:rsidRDefault="002D1E45" w:rsidP="007A0493">
            <w:pPr>
              <w:widowControl w:val="0"/>
              <w:tabs>
                <w:tab w:val="left" w:pos="511"/>
                <w:tab w:val="left" w:pos="8641"/>
              </w:tabs>
              <w:overflowPunct w:val="0"/>
              <w:autoSpaceDE w:val="0"/>
              <w:spacing w:after="0" w:line="240" w:lineRule="auto"/>
              <w:jc w:val="both"/>
              <w:textAlignment w:val="baseline"/>
              <w:rPr>
                <w:rFonts w:ascii="Times New Roman" w:hAnsi="Times New Roman"/>
                <w:sz w:val="24"/>
                <w:szCs w:val="24"/>
                <w:lang w:eastAsia="ar-SA"/>
              </w:rPr>
            </w:pPr>
          </w:p>
        </w:tc>
      </w:tr>
      <w:tr w:rsidR="002D1E45" w:rsidRPr="00BF5FB4" w:rsidTr="007A0493">
        <w:trPr>
          <w:trHeight w:val="227"/>
          <w:jc w:val="center"/>
        </w:trPr>
        <w:tc>
          <w:tcPr>
            <w:tcW w:w="1914" w:type="dxa"/>
            <w:vAlign w:val="center"/>
          </w:tcPr>
          <w:p w:rsidR="002D1E45" w:rsidRPr="007A0493" w:rsidRDefault="002D1E45" w:rsidP="007A0493">
            <w:pPr>
              <w:widowControl w:val="0"/>
              <w:tabs>
                <w:tab w:val="left" w:pos="511"/>
                <w:tab w:val="left" w:pos="8641"/>
              </w:tabs>
              <w:overflowPunct w:val="0"/>
              <w:autoSpaceDE w:val="0"/>
              <w:spacing w:after="0" w:line="240" w:lineRule="auto"/>
              <w:jc w:val="right"/>
              <w:textAlignment w:val="baseline"/>
              <w:rPr>
                <w:rFonts w:ascii="Times New Roman" w:hAnsi="Times New Roman"/>
                <w:sz w:val="24"/>
                <w:szCs w:val="24"/>
                <w:lang w:eastAsia="ar-SA"/>
              </w:rPr>
            </w:pPr>
            <w:r w:rsidRPr="007A0493">
              <w:rPr>
                <w:rFonts w:ascii="Times New Roman" w:hAnsi="Times New Roman"/>
                <w:sz w:val="24"/>
                <w:szCs w:val="24"/>
                <w:lang w:eastAsia="ar-SA"/>
              </w:rPr>
              <w:t>10</w:t>
            </w:r>
            <w:r w:rsidRPr="007A0493">
              <w:rPr>
                <w:rFonts w:ascii="Times New Roman" w:hAnsi="Times New Roman"/>
                <w:sz w:val="24"/>
                <w:szCs w:val="24"/>
                <w:vertAlign w:val="superscript"/>
                <w:lang w:eastAsia="ar-SA"/>
              </w:rPr>
              <w:t>-3</w:t>
            </w:r>
            <w:r w:rsidRPr="007A0493">
              <w:rPr>
                <w:rFonts w:ascii="Times New Roman" w:hAnsi="Times New Roman"/>
                <w:sz w:val="24"/>
                <w:szCs w:val="24"/>
                <w:lang w:eastAsia="ar-SA"/>
              </w:rPr>
              <w:t>-10</w:t>
            </w:r>
            <w:r w:rsidRPr="007A0493">
              <w:rPr>
                <w:rFonts w:ascii="Times New Roman" w:hAnsi="Times New Roman"/>
                <w:sz w:val="24"/>
                <w:szCs w:val="24"/>
                <w:vertAlign w:val="superscript"/>
                <w:lang w:eastAsia="ar-SA"/>
              </w:rPr>
              <w:t>-4</w:t>
            </w:r>
          </w:p>
        </w:tc>
        <w:tc>
          <w:tcPr>
            <w:tcW w:w="1914" w:type="dxa"/>
            <w:vMerge/>
            <w:tcBorders>
              <w:top w:val="nil"/>
              <w:bottom w:val="nil"/>
              <w:right w:val="nil"/>
            </w:tcBorders>
            <w:shd w:val="clear" w:color="auto" w:fill="8EAADB"/>
            <w:vAlign w:val="center"/>
          </w:tcPr>
          <w:p w:rsidR="002D1E45" w:rsidRPr="007A0493" w:rsidRDefault="002D1E45" w:rsidP="007A0493">
            <w:pPr>
              <w:widowControl w:val="0"/>
              <w:tabs>
                <w:tab w:val="left" w:pos="511"/>
                <w:tab w:val="left" w:pos="8641"/>
              </w:tabs>
              <w:overflowPunct w:val="0"/>
              <w:autoSpaceDE w:val="0"/>
              <w:spacing w:after="0" w:line="240" w:lineRule="auto"/>
              <w:jc w:val="center"/>
              <w:textAlignment w:val="baseline"/>
              <w:rPr>
                <w:rFonts w:ascii="Times New Roman" w:hAnsi="Times New Roman"/>
                <w:sz w:val="24"/>
                <w:szCs w:val="24"/>
                <w:lang w:eastAsia="ar-SA"/>
              </w:rPr>
            </w:pPr>
          </w:p>
        </w:tc>
        <w:tc>
          <w:tcPr>
            <w:tcW w:w="1914" w:type="dxa"/>
            <w:tcBorders>
              <w:top w:val="nil"/>
              <w:left w:val="nil"/>
              <w:bottom w:val="nil"/>
              <w:right w:val="nil"/>
            </w:tcBorders>
            <w:shd w:val="clear" w:color="auto" w:fill="8EAADB"/>
            <w:vAlign w:val="center"/>
          </w:tcPr>
          <w:p w:rsidR="002D1E45" w:rsidRPr="007A0493" w:rsidRDefault="002D1E45" w:rsidP="007A0493">
            <w:pPr>
              <w:widowControl w:val="0"/>
              <w:tabs>
                <w:tab w:val="left" w:pos="511"/>
                <w:tab w:val="left" w:pos="8641"/>
              </w:tabs>
              <w:overflowPunct w:val="0"/>
              <w:autoSpaceDE w:val="0"/>
              <w:spacing w:after="0" w:line="240" w:lineRule="auto"/>
              <w:jc w:val="center"/>
              <w:textAlignment w:val="baseline"/>
              <w:rPr>
                <w:rFonts w:ascii="Times New Roman" w:hAnsi="Times New Roman"/>
                <w:sz w:val="24"/>
                <w:szCs w:val="24"/>
                <w:lang w:eastAsia="ar-SA"/>
              </w:rPr>
            </w:pPr>
          </w:p>
        </w:tc>
        <w:tc>
          <w:tcPr>
            <w:tcW w:w="1914" w:type="dxa"/>
            <w:tcBorders>
              <w:top w:val="nil"/>
              <w:left w:val="nil"/>
              <w:bottom w:val="nil"/>
              <w:right w:val="nil"/>
            </w:tcBorders>
            <w:shd w:val="clear" w:color="auto" w:fill="2F5496"/>
            <w:vAlign w:val="center"/>
          </w:tcPr>
          <w:p w:rsidR="002D1E45" w:rsidRPr="007A0493" w:rsidRDefault="002D1E45" w:rsidP="007A0493">
            <w:pPr>
              <w:widowControl w:val="0"/>
              <w:tabs>
                <w:tab w:val="left" w:pos="511"/>
                <w:tab w:val="left" w:pos="8641"/>
              </w:tabs>
              <w:overflowPunct w:val="0"/>
              <w:autoSpaceDE w:val="0"/>
              <w:spacing w:after="0" w:line="240" w:lineRule="auto"/>
              <w:jc w:val="center"/>
              <w:textAlignment w:val="baseline"/>
              <w:rPr>
                <w:rFonts w:ascii="Times New Roman" w:hAnsi="Times New Roman"/>
                <w:sz w:val="24"/>
                <w:szCs w:val="24"/>
                <w:lang w:eastAsia="ar-SA"/>
              </w:rPr>
            </w:pPr>
          </w:p>
        </w:tc>
        <w:tc>
          <w:tcPr>
            <w:tcW w:w="1915" w:type="dxa"/>
            <w:vMerge w:val="restart"/>
            <w:tcBorders>
              <w:top w:val="nil"/>
              <w:left w:val="nil"/>
              <w:bottom w:val="nil"/>
            </w:tcBorders>
            <w:shd w:val="clear" w:color="auto" w:fill="2F5496"/>
          </w:tcPr>
          <w:p w:rsidR="002D1E45" w:rsidRPr="007A0493" w:rsidRDefault="002D1E45" w:rsidP="007A0493">
            <w:pPr>
              <w:widowControl w:val="0"/>
              <w:tabs>
                <w:tab w:val="left" w:pos="511"/>
                <w:tab w:val="left" w:pos="8641"/>
              </w:tabs>
              <w:overflowPunct w:val="0"/>
              <w:autoSpaceDE w:val="0"/>
              <w:spacing w:after="0" w:line="240" w:lineRule="auto"/>
              <w:jc w:val="both"/>
              <w:textAlignment w:val="baseline"/>
              <w:rPr>
                <w:rFonts w:ascii="Times New Roman" w:hAnsi="Times New Roman"/>
                <w:sz w:val="24"/>
                <w:szCs w:val="24"/>
                <w:lang w:eastAsia="ar-SA"/>
              </w:rPr>
            </w:pPr>
          </w:p>
        </w:tc>
      </w:tr>
      <w:tr w:rsidR="002D1E45" w:rsidRPr="00BF5FB4" w:rsidTr="007A0493">
        <w:trPr>
          <w:trHeight w:val="227"/>
          <w:jc w:val="center"/>
        </w:trPr>
        <w:tc>
          <w:tcPr>
            <w:tcW w:w="1914" w:type="dxa"/>
            <w:vAlign w:val="center"/>
          </w:tcPr>
          <w:p w:rsidR="002D1E45" w:rsidRPr="007A0493" w:rsidRDefault="002D1E45" w:rsidP="007A0493">
            <w:pPr>
              <w:widowControl w:val="0"/>
              <w:tabs>
                <w:tab w:val="left" w:pos="511"/>
                <w:tab w:val="left" w:pos="8641"/>
              </w:tabs>
              <w:overflowPunct w:val="0"/>
              <w:autoSpaceDE w:val="0"/>
              <w:spacing w:after="0" w:line="240" w:lineRule="auto"/>
              <w:jc w:val="right"/>
              <w:textAlignment w:val="baseline"/>
              <w:rPr>
                <w:rFonts w:ascii="Times New Roman" w:hAnsi="Times New Roman"/>
                <w:sz w:val="24"/>
                <w:szCs w:val="24"/>
                <w:lang w:eastAsia="ar-SA"/>
              </w:rPr>
            </w:pPr>
            <w:r w:rsidRPr="007A0493">
              <w:rPr>
                <w:rFonts w:ascii="Times New Roman" w:hAnsi="Times New Roman"/>
                <w:sz w:val="24"/>
                <w:szCs w:val="24"/>
                <w:lang w:eastAsia="ar-SA"/>
              </w:rPr>
              <w:t>10</w:t>
            </w:r>
            <w:r w:rsidRPr="007A0493">
              <w:rPr>
                <w:rFonts w:ascii="Times New Roman" w:hAnsi="Times New Roman"/>
                <w:sz w:val="24"/>
                <w:szCs w:val="24"/>
                <w:vertAlign w:val="superscript"/>
                <w:lang w:eastAsia="ar-SA"/>
              </w:rPr>
              <w:t>-4</w:t>
            </w:r>
            <w:r w:rsidRPr="007A0493">
              <w:rPr>
                <w:rFonts w:ascii="Times New Roman" w:hAnsi="Times New Roman"/>
                <w:sz w:val="24"/>
                <w:szCs w:val="24"/>
                <w:lang w:eastAsia="ar-SA"/>
              </w:rPr>
              <w:t>-10</w:t>
            </w:r>
            <w:r w:rsidRPr="007A0493">
              <w:rPr>
                <w:rFonts w:ascii="Times New Roman" w:hAnsi="Times New Roman"/>
                <w:sz w:val="24"/>
                <w:szCs w:val="24"/>
                <w:vertAlign w:val="superscript"/>
                <w:lang w:eastAsia="ar-SA"/>
              </w:rPr>
              <w:t>-5</w:t>
            </w:r>
          </w:p>
        </w:tc>
        <w:tc>
          <w:tcPr>
            <w:tcW w:w="1914" w:type="dxa"/>
            <w:vMerge w:val="restart"/>
            <w:tcBorders>
              <w:top w:val="nil"/>
              <w:bottom w:val="nil"/>
              <w:right w:val="nil"/>
            </w:tcBorders>
            <w:shd w:val="clear" w:color="auto" w:fill="D9E2F3"/>
            <w:vAlign w:val="center"/>
          </w:tcPr>
          <w:p w:rsidR="002D1E45" w:rsidRPr="007A0493" w:rsidRDefault="002D1E45" w:rsidP="007A0493">
            <w:pPr>
              <w:widowControl w:val="0"/>
              <w:tabs>
                <w:tab w:val="left" w:pos="511"/>
                <w:tab w:val="left" w:pos="8641"/>
              </w:tabs>
              <w:overflowPunct w:val="0"/>
              <w:autoSpaceDE w:val="0"/>
              <w:spacing w:after="0" w:line="240" w:lineRule="auto"/>
              <w:jc w:val="center"/>
              <w:textAlignment w:val="baseline"/>
              <w:rPr>
                <w:rFonts w:ascii="Times New Roman" w:hAnsi="Times New Roman"/>
                <w:sz w:val="24"/>
                <w:szCs w:val="24"/>
                <w:lang w:eastAsia="ar-SA"/>
              </w:rPr>
            </w:pPr>
          </w:p>
        </w:tc>
        <w:tc>
          <w:tcPr>
            <w:tcW w:w="3828" w:type="dxa"/>
            <w:gridSpan w:val="2"/>
            <w:tcBorders>
              <w:top w:val="nil"/>
              <w:left w:val="nil"/>
              <w:bottom w:val="nil"/>
              <w:right w:val="nil"/>
            </w:tcBorders>
            <w:shd w:val="clear" w:color="auto" w:fill="8EAADB"/>
            <w:vAlign w:val="center"/>
          </w:tcPr>
          <w:p w:rsidR="002D1E45" w:rsidRPr="007A0493" w:rsidRDefault="002D1E45" w:rsidP="007A0493">
            <w:pPr>
              <w:widowControl w:val="0"/>
              <w:tabs>
                <w:tab w:val="left" w:pos="511"/>
                <w:tab w:val="left" w:pos="8641"/>
              </w:tabs>
              <w:overflowPunct w:val="0"/>
              <w:autoSpaceDE w:val="0"/>
              <w:spacing w:after="0" w:line="240" w:lineRule="auto"/>
              <w:jc w:val="center"/>
              <w:textAlignment w:val="baseline"/>
              <w:rPr>
                <w:rFonts w:ascii="Times New Roman" w:hAnsi="Times New Roman"/>
                <w:sz w:val="24"/>
                <w:szCs w:val="24"/>
                <w:lang w:eastAsia="ar-SA"/>
              </w:rPr>
            </w:pPr>
            <w:r w:rsidRPr="007A0493">
              <w:rPr>
                <w:rFonts w:ascii="Times New Roman" w:hAnsi="Times New Roman"/>
                <w:sz w:val="24"/>
                <w:szCs w:val="24"/>
                <w:lang w:eastAsia="ar-SA"/>
              </w:rPr>
              <w:t>Зона условно-приемлемого риска</w:t>
            </w:r>
          </w:p>
        </w:tc>
        <w:tc>
          <w:tcPr>
            <w:tcW w:w="1915" w:type="dxa"/>
            <w:vMerge/>
            <w:tcBorders>
              <w:top w:val="nil"/>
              <w:left w:val="nil"/>
              <w:bottom w:val="nil"/>
            </w:tcBorders>
            <w:shd w:val="clear" w:color="auto" w:fill="2F5496"/>
          </w:tcPr>
          <w:p w:rsidR="002D1E45" w:rsidRPr="007A0493" w:rsidRDefault="002D1E45" w:rsidP="007A0493">
            <w:pPr>
              <w:widowControl w:val="0"/>
              <w:tabs>
                <w:tab w:val="left" w:pos="511"/>
                <w:tab w:val="left" w:pos="8641"/>
              </w:tabs>
              <w:overflowPunct w:val="0"/>
              <w:autoSpaceDE w:val="0"/>
              <w:spacing w:after="0" w:line="240" w:lineRule="auto"/>
              <w:jc w:val="both"/>
              <w:textAlignment w:val="baseline"/>
              <w:rPr>
                <w:rFonts w:ascii="Times New Roman" w:hAnsi="Times New Roman"/>
                <w:sz w:val="24"/>
                <w:szCs w:val="24"/>
                <w:lang w:eastAsia="ar-SA"/>
              </w:rPr>
            </w:pPr>
          </w:p>
        </w:tc>
      </w:tr>
      <w:tr w:rsidR="002D1E45" w:rsidRPr="00BF5FB4" w:rsidTr="007A0493">
        <w:trPr>
          <w:trHeight w:val="227"/>
          <w:jc w:val="center"/>
        </w:trPr>
        <w:tc>
          <w:tcPr>
            <w:tcW w:w="1914" w:type="dxa"/>
            <w:vAlign w:val="center"/>
          </w:tcPr>
          <w:p w:rsidR="002D1E45" w:rsidRPr="007A0493" w:rsidRDefault="002D1E45" w:rsidP="007A0493">
            <w:pPr>
              <w:widowControl w:val="0"/>
              <w:tabs>
                <w:tab w:val="left" w:pos="511"/>
                <w:tab w:val="left" w:pos="8641"/>
              </w:tabs>
              <w:overflowPunct w:val="0"/>
              <w:autoSpaceDE w:val="0"/>
              <w:spacing w:after="0" w:line="240" w:lineRule="auto"/>
              <w:jc w:val="right"/>
              <w:textAlignment w:val="baseline"/>
              <w:rPr>
                <w:rFonts w:ascii="Times New Roman" w:hAnsi="Times New Roman"/>
                <w:sz w:val="24"/>
                <w:szCs w:val="24"/>
                <w:lang w:eastAsia="ar-SA"/>
              </w:rPr>
            </w:pPr>
            <w:r w:rsidRPr="007A0493">
              <w:rPr>
                <w:rFonts w:ascii="Times New Roman" w:hAnsi="Times New Roman"/>
                <w:sz w:val="24"/>
                <w:szCs w:val="24"/>
                <w:lang w:eastAsia="ar-SA"/>
              </w:rPr>
              <w:t>10</w:t>
            </w:r>
            <w:r w:rsidRPr="007A0493">
              <w:rPr>
                <w:rFonts w:ascii="Times New Roman" w:hAnsi="Times New Roman"/>
                <w:sz w:val="24"/>
                <w:szCs w:val="24"/>
                <w:vertAlign w:val="superscript"/>
                <w:lang w:eastAsia="ar-SA"/>
              </w:rPr>
              <w:t>-5</w:t>
            </w:r>
            <w:r w:rsidRPr="007A0493">
              <w:rPr>
                <w:rFonts w:ascii="Times New Roman" w:hAnsi="Times New Roman"/>
                <w:sz w:val="24"/>
                <w:szCs w:val="24"/>
                <w:lang w:eastAsia="ar-SA"/>
              </w:rPr>
              <w:t>-10</w:t>
            </w:r>
            <w:r w:rsidRPr="007A0493">
              <w:rPr>
                <w:rFonts w:ascii="Times New Roman" w:hAnsi="Times New Roman"/>
                <w:sz w:val="24"/>
                <w:szCs w:val="24"/>
                <w:vertAlign w:val="superscript"/>
                <w:lang w:eastAsia="ar-SA"/>
              </w:rPr>
              <w:t>-6</w:t>
            </w:r>
          </w:p>
        </w:tc>
        <w:tc>
          <w:tcPr>
            <w:tcW w:w="1914" w:type="dxa"/>
            <w:vMerge/>
            <w:tcBorders>
              <w:top w:val="nil"/>
              <w:right w:val="nil"/>
            </w:tcBorders>
            <w:shd w:val="clear" w:color="auto" w:fill="D9E2F3"/>
            <w:vAlign w:val="center"/>
          </w:tcPr>
          <w:p w:rsidR="002D1E45" w:rsidRPr="007A0493" w:rsidRDefault="002D1E45" w:rsidP="007A0493">
            <w:pPr>
              <w:widowControl w:val="0"/>
              <w:tabs>
                <w:tab w:val="left" w:pos="511"/>
                <w:tab w:val="left" w:pos="8641"/>
              </w:tabs>
              <w:overflowPunct w:val="0"/>
              <w:autoSpaceDE w:val="0"/>
              <w:spacing w:after="0" w:line="240" w:lineRule="auto"/>
              <w:jc w:val="center"/>
              <w:textAlignment w:val="baseline"/>
              <w:rPr>
                <w:rFonts w:ascii="Times New Roman" w:hAnsi="Times New Roman"/>
                <w:sz w:val="24"/>
                <w:szCs w:val="24"/>
                <w:lang w:eastAsia="ar-SA"/>
              </w:rPr>
            </w:pPr>
          </w:p>
        </w:tc>
        <w:tc>
          <w:tcPr>
            <w:tcW w:w="1914" w:type="dxa"/>
            <w:tcBorders>
              <w:top w:val="nil"/>
              <w:left w:val="nil"/>
              <w:bottom w:val="nil"/>
              <w:right w:val="nil"/>
            </w:tcBorders>
            <w:shd w:val="clear" w:color="auto" w:fill="D9E2F3"/>
            <w:vAlign w:val="center"/>
          </w:tcPr>
          <w:p w:rsidR="002D1E45" w:rsidRPr="007A0493" w:rsidRDefault="002D1E45" w:rsidP="007A0493">
            <w:pPr>
              <w:widowControl w:val="0"/>
              <w:tabs>
                <w:tab w:val="left" w:pos="511"/>
                <w:tab w:val="left" w:pos="8641"/>
              </w:tabs>
              <w:overflowPunct w:val="0"/>
              <w:autoSpaceDE w:val="0"/>
              <w:spacing w:after="0" w:line="240" w:lineRule="auto"/>
              <w:jc w:val="center"/>
              <w:textAlignment w:val="baseline"/>
              <w:rPr>
                <w:rFonts w:ascii="Times New Roman" w:hAnsi="Times New Roman"/>
                <w:sz w:val="24"/>
                <w:szCs w:val="24"/>
                <w:lang w:eastAsia="ar-SA"/>
              </w:rPr>
            </w:pPr>
          </w:p>
        </w:tc>
        <w:tc>
          <w:tcPr>
            <w:tcW w:w="1914" w:type="dxa"/>
            <w:tcBorders>
              <w:top w:val="nil"/>
              <w:left w:val="nil"/>
              <w:bottom w:val="nil"/>
              <w:right w:val="nil"/>
            </w:tcBorders>
            <w:shd w:val="clear" w:color="auto" w:fill="8EAADB"/>
            <w:vAlign w:val="center"/>
          </w:tcPr>
          <w:p w:rsidR="002D1E45" w:rsidRPr="007A0493" w:rsidRDefault="002D1E45" w:rsidP="007A0493">
            <w:pPr>
              <w:widowControl w:val="0"/>
              <w:tabs>
                <w:tab w:val="left" w:pos="511"/>
                <w:tab w:val="left" w:pos="8641"/>
              </w:tabs>
              <w:overflowPunct w:val="0"/>
              <w:autoSpaceDE w:val="0"/>
              <w:spacing w:after="0" w:line="240" w:lineRule="auto"/>
              <w:jc w:val="center"/>
              <w:textAlignment w:val="baseline"/>
              <w:rPr>
                <w:rFonts w:ascii="Times New Roman" w:hAnsi="Times New Roman"/>
                <w:sz w:val="24"/>
                <w:szCs w:val="24"/>
                <w:lang w:eastAsia="ar-SA"/>
              </w:rPr>
            </w:pPr>
          </w:p>
        </w:tc>
        <w:tc>
          <w:tcPr>
            <w:tcW w:w="1915" w:type="dxa"/>
            <w:vMerge w:val="restart"/>
            <w:tcBorders>
              <w:top w:val="nil"/>
              <w:left w:val="nil"/>
            </w:tcBorders>
            <w:shd w:val="clear" w:color="auto" w:fill="8EAADB"/>
          </w:tcPr>
          <w:p w:rsidR="002D1E45" w:rsidRPr="007A0493" w:rsidRDefault="002D1E45" w:rsidP="007A0493">
            <w:pPr>
              <w:widowControl w:val="0"/>
              <w:tabs>
                <w:tab w:val="left" w:pos="511"/>
                <w:tab w:val="left" w:pos="8641"/>
              </w:tabs>
              <w:overflowPunct w:val="0"/>
              <w:autoSpaceDE w:val="0"/>
              <w:spacing w:after="0" w:line="240" w:lineRule="auto"/>
              <w:jc w:val="both"/>
              <w:textAlignment w:val="baseline"/>
              <w:rPr>
                <w:rFonts w:ascii="Times New Roman" w:hAnsi="Times New Roman"/>
                <w:sz w:val="24"/>
                <w:szCs w:val="24"/>
                <w:lang w:eastAsia="ar-SA"/>
              </w:rPr>
            </w:pPr>
          </w:p>
        </w:tc>
      </w:tr>
      <w:tr w:rsidR="002D1E45" w:rsidRPr="00BF5FB4" w:rsidTr="007A0493">
        <w:trPr>
          <w:trHeight w:val="227"/>
          <w:jc w:val="center"/>
        </w:trPr>
        <w:tc>
          <w:tcPr>
            <w:tcW w:w="1914" w:type="dxa"/>
            <w:vAlign w:val="center"/>
          </w:tcPr>
          <w:p w:rsidR="002D1E45" w:rsidRPr="007A0493" w:rsidRDefault="002D1E45" w:rsidP="007A0493">
            <w:pPr>
              <w:widowControl w:val="0"/>
              <w:tabs>
                <w:tab w:val="left" w:pos="511"/>
                <w:tab w:val="left" w:pos="8641"/>
              </w:tabs>
              <w:overflowPunct w:val="0"/>
              <w:autoSpaceDE w:val="0"/>
              <w:spacing w:after="0" w:line="240" w:lineRule="auto"/>
              <w:jc w:val="right"/>
              <w:textAlignment w:val="baseline"/>
              <w:rPr>
                <w:rFonts w:ascii="Times New Roman" w:hAnsi="Times New Roman"/>
                <w:sz w:val="24"/>
                <w:szCs w:val="24"/>
                <w:lang w:eastAsia="ar-SA"/>
              </w:rPr>
            </w:pPr>
            <w:r w:rsidRPr="007A0493">
              <w:rPr>
                <w:rFonts w:ascii="Times New Roman" w:hAnsi="Times New Roman"/>
                <w:sz w:val="24"/>
                <w:szCs w:val="24"/>
                <w:lang w:eastAsia="ar-SA"/>
              </w:rPr>
              <w:t>менее 10</w:t>
            </w:r>
            <w:r w:rsidRPr="007A0493">
              <w:rPr>
                <w:rFonts w:ascii="Times New Roman" w:hAnsi="Times New Roman"/>
                <w:sz w:val="24"/>
                <w:szCs w:val="24"/>
                <w:vertAlign w:val="superscript"/>
                <w:lang w:eastAsia="ar-SA"/>
              </w:rPr>
              <w:t>-6</w:t>
            </w:r>
          </w:p>
        </w:tc>
        <w:tc>
          <w:tcPr>
            <w:tcW w:w="1914" w:type="dxa"/>
            <w:vMerge/>
            <w:tcBorders>
              <w:right w:val="nil"/>
            </w:tcBorders>
            <w:shd w:val="clear" w:color="auto" w:fill="D9E2F3"/>
            <w:vAlign w:val="center"/>
          </w:tcPr>
          <w:p w:rsidR="002D1E45" w:rsidRPr="007A0493" w:rsidRDefault="002D1E45" w:rsidP="007A0493">
            <w:pPr>
              <w:widowControl w:val="0"/>
              <w:tabs>
                <w:tab w:val="left" w:pos="511"/>
                <w:tab w:val="left" w:pos="8641"/>
              </w:tabs>
              <w:overflowPunct w:val="0"/>
              <w:autoSpaceDE w:val="0"/>
              <w:spacing w:after="0" w:line="240" w:lineRule="auto"/>
              <w:jc w:val="center"/>
              <w:textAlignment w:val="baseline"/>
              <w:rPr>
                <w:rFonts w:ascii="Times New Roman" w:hAnsi="Times New Roman"/>
                <w:sz w:val="24"/>
                <w:szCs w:val="24"/>
                <w:lang w:eastAsia="ar-SA"/>
              </w:rPr>
            </w:pPr>
          </w:p>
        </w:tc>
        <w:tc>
          <w:tcPr>
            <w:tcW w:w="3828" w:type="dxa"/>
            <w:gridSpan w:val="2"/>
            <w:tcBorders>
              <w:top w:val="nil"/>
              <w:left w:val="nil"/>
              <w:right w:val="nil"/>
            </w:tcBorders>
            <w:shd w:val="clear" w:color="auto" w:fill="D9E2F3"/>
            <w:vAlign w:val="center"/>
          </w:tcPr>
          <w:p w:rsidR="002D1E45" w:rsidRPr="007A0493" w:rsidRDefault="002D1E45" w:rsidP="007A0493">
            <w:pPr>
              <w:widowControl w:val="0"/>
              <w:tabs>
                <w:tab w:val="left" w:pos="511"/>
                <w:tab w:val="left" w:pos="8641"/>
              </w:tabs>
              <w:overflowPunct w:val="0"/>
              <w:autoSpaceDE w:val="0"/>
              <w:spacing w:after="0" w:line="240" w:lineRule="auto"/>
              <w:jc w:val="center"/>
              <w:textAlignment w:val="baseline"/>
              <w:rPr>
                <w:rFonts w:ascii="Times New Roman" w:hAnsi="Times New Roman"/>
                <w:sz w:val="24"/>
                <w:szCs w:val="24"/>
                <w:lang w:eastAsia="ar-SA"/>
              </w:rPr>
            </w:pPr>
            <w:r w:rsidRPr="007A0493">
              <w:rPr>
                <w:rFonts w:ascii="Times New Roman" w:hAnsi="Times New Roman"/>
                <w:sz w:val="24"/>
                <w:szCs w:val="24"/>
                <w:lang w:eastAsia="ar-SA"/>
              </w:rPr>
              <w:t>Зона приемлемого риска</w:t>
            </w:r>
          </w:p>
        </w:tc>
        <w:tc>
          <w:tcPr>
            <w:tcW w:w="1915" w:type="dxa"/>
            <w:vMerge/>
            <w:tcBorders>
              <w:left w:val="nil"/>
            </w:tcBorders>
            <w:shd w:val="clear" w:color="auto" w:fill="8EAADB"/>
          </w:tcPr>
          <w:p w:rsidR="002D1E45" w:rsidRPr="007A0493" w:rsidRDefault="002D1E45" w:rsidP="007A0493">
            <w:pPr>
              <w:widowControl w:val="0"/>
              <w:tabs>
                <w:tab w:val="left" w:pos="511"/>
                <w:tab w:val="left" w:pos="8641"/>
              </w:tabs>
              <w:overflowPunct w:val="0"/>
              <w:autoSpaceDE w:val="0"/>
              <w:spacing w:after="0" w:line="240" w:lineRule="auto"/>
              <w:jc w:val="both"/>
              <w:textAlignment w:val="baseline"/>
              <w:rPr>
                <w:rFonts w:ascii="Times New Roman" w:hAnsi="Times New Roman"/>
                <w:sz w:val="24"/>
                <w:szCs w:val="24"/>
                <w:lang w:eastAsia="ar-SA"/>
              </w:rPr>
            </w:pPr>
          </w:p>
        </w:tc>
      </w:tr>
    </w:tbl>
    <w:p w:rsidR="002D1E45" w:rsidRPr="00BF5FB4" w:rsidRDefault="002D1E45" w:rsidP="00BF5FB4">
      <w:pPr>
        <w:spacing w:after="0" w:line="240" w:lineRule="auto"/>
        <w:ind w:firstLine="709"/>
        <w:jc w:val="both"/>
        <w:rPr>
          <w:rFonts w:ascii="Times New Roman" w:hAnsi="Times New Roman"/>
          <w:sz w:val="28"/>
          <w:szCs w:val="28"/>
          <w:lang w:eastAsia="ru-RU"/>
        </w:rPr>
      </w:pPr>
    </w:p>
    <w:p w:rsidR="002D1E45" w:rsidRDefault="002D1E45" w:rsidP="00BF5FB4">
      <w:pPr>
        <w:spacing w:after="0" w:line="240" w:lineRule="auto"/>
        <w:jc w:val="right"/>
        <w:rPr>
          <w:rFonts w:ascii="Times New Roman" w:hAnsi="Times New Roman"/>
          <w:sz w:val="28"/>
          <w:szCs w:val="28"/>
          <w:lang w:eastAsia="ru-RU"/>
        </w:rPr>
      </w:pPr>
    </w:p>
    <w:p w:rsidR="002D1E45" w:rsidRDefault="002D1E45" w:rsidP="00BF5FB4">
      <w:pPr>
        <w:spacing w:after="0" w:line="240" w:lineRule="auto"/>
        <w:jc w:val="right"/>
        <w:rPr>
          <w:rFonts w:ascii="Times New Roman" w:hAnsi="Times New Roman"/>
          <w:sz w:val="28"/>
          <w:szCs w:val="28"/>
          <w:lang w:eastAsia="ru-RU"/>
        </w:rPr>
      </w:pPr>
    </w:p>
    <w:p w:rsidR="002D1E45" w:rsidRDefault="002D1E45" w:rsidP="00BF5FB4">
      <w:pPr>
        <w:spacing w:after="0" w:line="240" w:lineRule="auto"/>
        <w:jc w:val="right"/>
        <w:rPr>
          <w:rFonts w:ascii="Times New Roman" w:hAnsi="Times New Roman"/>
          <w:sz w:val="28"/>
          <w:szCs w:val="28"/>
          <w:lang w:eastAsia="ru-RU"/>
        </w:rPr>
      </w:pPr>
    </w:p>
    <w:p w:rsidR="002D1E45" w:rsidRDefault="002D1E45" w:rsidP="00BF5FB4">
      <w:pPr>
        <w:spacing w:after="0" w:line="240" w:lineRule="auto"/>
        <w:jc w:val="right"/>
        <w:rPr>
          <w:rFonts w:ascii="Times New Roman" w:hAnsi="Times New Roman"/>
          <w:sz w:val="28"/>
          <w:szCs w:val="28"/>
          <w:lang w:eastAsia="ru-RU"/>
        </w:rPr>
      </w:pPr>
    </w:p>
    <w:p w:rsidR="002D1E45" w:rsidRDefault="002D1E45" w:rsidP="00BF5FB4">
      <w:pPr>
        <w:spacing w:after="0" w:line="240" w:lineRule="auto"/>
        <w:jc w:val="right"/>
        <w:rPr>
          <w:rFonts w:ascii="Times New Roman" w:hAnsi="Times New Roman"/>
          <w:sz w:val="28"/>
          <w:szCs w:val="28"/>
          <w:lang w:eastAsia="ru-RU"/>
        </w:rPr>
      </w:pPr>
    </w:p>
    <w:p w:rsidR="002D1E45" w:rsidRPr="00BF5FB4" w:rsidRDefault="002D1E45" w:rsidP="00BF5FB4">
      <w:pPr>
        <w:spacing w:after="0" w:line="240" w:lineRule="auto"/>
        <w:jc w:val="right"/>
        <w:rPr>
          <w:rFonts w:ascii="Times New Roman" w:hAnsi="Times New Roman"/>
          <w:sz w:val="28"/>
          <w:szCs w:val="28"/>
          <w:lang w:eastAsia="ru-RU"/>
        </w:rPr>
      </w:pPr>
      <w:r w:rsidRPr="00BF5FB4">
        <w:rPr>
          <w:rFonts w:ascii="Times New Roman" w:hAnsi="Times New Roman"/>
          <w:sz w:val="28"/>
          <w:szCs w:val="28"/>
          <w:lang w:eastAsia="ru-RU"/>
        </w:rPr>
        <w:t xml:space="preserve">Таблица </w:t>
      </w:r>
      <w:bookmarkStart w:id="175" w:name="Tbl_Risk2"/>
      <w:r w:rsidRPr="00BF5FB4">
        <w:rPr>
          <w:rFonts w:ascii="Times New Roman" w:hAnsi="Times New Roman"/>
          <w:sz w:val="28"/>
          <w:szCs w:val="28"/>
          <w:lang w:eastAsia="ru-RU"/>
        </w:rPr>
        <w:fldChar w:fldCharType="begin"/>
      </w:r>
      <w:r w:rsidRPr="00BF5FB4">
        <w:rPr>
          <w:rFonts w:ascii="Times New Roman" w:hAnsi="Times New Roman"/>
          <w:sz w:val="28"/>
          <w:szCs w:val="28"/>
          <w:lang w:eastAsia="ru-RU"/>
        </w:rPr>
        <w:instrText xml:space="preserve"> SEQ Таблица \* ARABIC </w:instrText>
      </w:r>
      <w:r w:rsidRPr="00BF5FB4">
        <w:rPr>
          <w:rFonts w:ascii="Times New Roman" w:hAnsi="Times New Roman"/>
          <w:sz w:val="28"/>
          <w:szCs w:val="28"/>
          <w:lang w:eastAsia="ru-RU"/>
        </w:rPr>
        <w:fldChar w:fldCharType="separate"/>
      </w:r>
      <w:r>
        <w:rPr>
          <w:rFonts w:ascii="Times New Roman" w:hAnsi="Times New Roman"/>
          <w:noProof/>
          <w:sz w:val="28"/>
          <w:szCs w:val="28"/>
          <w:lang w:eastAsia="ru-RU"/>
        </w:rPr>
        <w:t>25</w:t>
      </w:r>
      <w:r w:rsidRPr="00BF5FB4">
        <w:rPr>
          <w:rFonts w:ascii="Times New Roman" w:hAnsi="Times New Roman"/>
          <w:sz w:val="28"/>
          <w:szCs w:val="28"/>
          <w:lang w:eastAsia="ru-RU"/>
        </w:rPr>
        <w:fldChar w:fldCharType="end"/>
      </w:r>
      <w:bookmarkEnd w:id="175"/>
    </w:p>
    <w:p w:rsidR="002D1E45" w:rsidRPr="00BF5FB4" w:rsidRDefault="002D1E45" w:rsidP="00BF5FB4">
      <w:pPr>
        <w:spacing w:after="120" w:line="240" w:lineRule="auto"/>
        <w:jc w:val="center"/>
        <w:rPr>
          <w:rFonts w:ascii="Times New Roman" w:hAnsi="Times New Roman"/>
          <w:sz w:val="28"/>
          <w:szCs w:val="28"/>
          <w:lang w:eastAsia="ru-RU"/>
        </w:rPr>
      </w:pPr>
      <w:r w:rsidRPr="00BF5FB4">
        <w:rPr>
          <w:rFonts w:ascii="Times New Roman" w:hAnsi="Times New Roman"/>
          <w:sz w:val="28"/>
          <w:szCs w:val="28"/>
          <w:lang w:eastAsia="ru-RU"/>
        </w:rPr>
        <w:t>Определение границ зон рисков в</w:t>
      </w:r>
      <w:r>
        <w:rPr>
          <w:rFonts w:ascii="Times New Roman" w:hAnsi="Times New Roman"/>
          <w:sz w:val="28"/>
          <w:szCs w:val="28"/>
          <w:lang w:eastAsia="ru-RU"/>
        </w:rPr>
        <w:t> </w:t>
      </w:r>
      <w:r w:rsidRPr="00BF5FB4">
        <w:rPr>
          <w:rFonts w:ascii="Times New Roman" w:hAnsi="Times New Roman"/>
          <w:sz w:val="28"/>
          <w:szCs w:val="28"/>
          <w:lang w:eastAsia="ru-RU"/>
        </w:rPr>
        <w:t>координатах «частота ЧС – материальный ущерб»</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914"/>
        <w:gridCol w:w="1914"/>
        <w:gridCol w:w="1914"/>
        <w:gridCol w:w="1914"/>
        <w:gridCol w:w="1915"/>
      </w:tblGrid>
      <w:tr w:rsidR="002D1E45" w:rsidRPr="00BF5FB4" w:rsidTr="007A0493">
        <w:trPr>
          <w:trHeight w:val="227"/>
          <w:tblHeader/>
          <w:jc w:val="center"/>
        </w:trPr>
        <w:tc>
          <w:tcPr>
            <w:tcW w:w="1914" w:type="dxa"/>
            <w:vMerge w:val="restart"/>
            <w:vAlign w:val="center"/>
          </w:tcPr>
          <w:p w:rsidR="002D1E45" w:rsidRPr="007A0493" w:rsidRDefault="002D1E45" w:rsidP="007A0493">
            <w:pPr>
              <w:widowControl w:val="0"/>
              <w:tabs>
                <w:tab w:val="left" w:pos="511"/>
                <w:tab w:val="left" w:pos="8641"/>
              </w:tabs>
              <w:overflowPunct w:val="0"/>
              <w:autoSpaceDE w:val="0"/>
              <w:spacing w:after="0" w:line="240" w:lineRule="auto"/>
              <w:jc w:val="center"/>
              <w:textAlignment w:val="baseline"/>
              <w:rPr>
                <w:rFonts w:ascii="Times New Roman" w:hAnsi="Times New Roman"/>
                <w:sz w:val="24"/>
                <w:szCs w:val="24"/>
                <w:lang w:eastAsia="ar-SA"/>
              </w:rPr>
            </w:pPr>
            <w:r w:rsidRPr="007A0493">
              <w:rPr>
                <w:rFonts w:ascii="Times New Roman" w:hAnsi="Times New Roman"/>
                <w:sz w:val="24"/>
                <w:szCs w:val="24"/>
                <w:lang w:eastAsia="ar-SA"/>
              </w:rPr>
              <w:t>Частота ЧС</w:t>
            </w:r>
          </w:p>
        </w:tc>
        <w:tc>
          <w:tcPr>
            <w:tcW w:w="7657" w:type="dxa"/>
            <w:gridSpan w:val="4"/>
            <w:vAlign w:val="center"/>
          </w:tcPr>
          <w:p w:rsidR="002D1E45" w:rsidRPr="007A0493" w:rsidRDefault="002D1E45" w:rsidP="007A0493">
            <w:pPr>
              <w:widowControl w:val="0"/>
              <w:tabs>
                <w:tab w:val="left" w:pos="511"/>
                <w:tab w:val="left" w:pos="8641"/>
              </w:tabs>
              <w:overflowPunct w:val="0"/>
              <w:autoSpaceDE w:val="0"/>
              <w:spacing w:after="0" w:line="240" w:lineRule="auto"/>
              <w:jc w:val="center"/>
              <w:textAlignment w:val="baseline"/>
              <w:rPr>
                <w:rFonts w:ascii="Times New Roman" w:hAnsi="Times New Roman"/>
                <w:sz w:val="24"/>
                <w:szCs w:val="24"/>
                <w:lang w:eastAsia="ar-SA"/>
              </w:rPr>
            </w:pPr>
            <w:r w:rsidRPr="007A0493">
              <w:rPr>
                <w:rFonts w:ascii="Times New Roman" w:hAnsi="Times New Roman"/>
                <w:sz w:val="24"/>
                <w:szCs w:val="24"/>
                <w:lang w:eastAsia="ar-SA"/>
              </w:rPr>
              <w:t>Число материального ущерба, руб.</w:t>
            </w:r>
          </w:p>
        </w:tc>
      </w:tr>
      <w:tr w:rsidR="002D1E45" w:rsidRPr="00BF5FB4" w:rsidTr="007A0493">
        <w:trPr>
          <w:trHeight w:val="227"/>
          <w:tblHeader/>
          <w:jc w:val="center"/>
        </w:trPr>
        <w:tc>
          <w:tcPr>
            <w:tcW w:w="1914" w:type="dxa"/>
            <w:vMerge/>
          </w:tcPr>
          <w:p w:rsidR="002D1E45" w:rsidRPr="007A0493" w:rsidRDefault="002D1E45" w:rsidP="007A0493">
            <w:pPr>
              <w:widowControl w:val="0"/>
              <w:tabs>
                <w:tab w:val="left" w:pos="511"/>
                <w:tab w:val="left" w:pos="8641"/>
              </w:tabs>
              <w:overflowPunct w:val="0"/>
              <w:autoSpaceDE w:val="0"/>
              <w:spacing w:after="0" w:line="240" w:lineRule="auto"/>
              <w:jc w:val="both"/>
              <w:textAlignment w:val="baseline"/>
              <w:rPr>
                <w:rFonts w:ascii="Times New Roman" w:hAnsi="Times New Roman"/>
                <w:sz w:val="24"/>
                <w:szCs w:val="24"/>
                <w:lang w:eastAsia="ar-SA"/>
              </w:rPr>
            </w:pPr>
          </w:p>
        </w:tc>
        <w:tc>
          <w:tcPr>
            <w:tcW w:w="1914" w:type="dxa"/>
            <w:vAlign w:val="center"/>
          </w:tcPr>
          <w:p w:rsidR="002D1E45" w:rsidRPr="007A0493" w:rsidRDefault="002D1E45" w:rsidP="007A0493">
            <w:pPr>
              <w:widowControl w:val="0"/>
              <w:tabs>
                <w:tab w:val="left" w:pos="511"/>
                <w:tab w:val="left" w:pos="8641"/>
              </w:tabs>
              <w:overflowPunct w:val="0"/>
              <w:autoSpaceDE w:val="0"/>
              <w:spacing w:after="0" w:line="240" w:lineRule="auto"/>
              <w:jc w:val="center"/>
              <w:textAlignment w:val="baseline"/>
              <w:rPr>
                <w:rFonts w:ascii="Times New Roman" w:hAnsi="Times New Roman"/>
                <w:sz w:val="24"/>
                <w:szCs w:val="24"/>
                <w:lang w:eastAsia="ar-SA"/>
              </w:rPr>
            </w:pPr>
            <w:r w:rsidRPr="007A0493">
              <w:rPr>
                <w:rFonts w:ascii="Times New Roman" w:hAnsi="Times New Roman"/>
                <w:sz w:val="24"/>
                <w:szCs w:val="24"/>
                <w:lang w:eastAsia="ar-SA"/>
              </w:rPr>
              <w:t>менее 100 тыс.</w:t>
            </w:r>
          </w:p>
        </w:tc>
        <w:tc>
          <w:tcPr>
            <w:tcW w:w="1914" w:type="dxa"/>
            <w:vAlign w:val="center"/>
          </w:tcPr>
          <w:p w:rsidR="002D1E45" w:rsidRPr="007A0493" w:rsidRDefault="002D1E45" w:rsidP="007A0493">
            <w:pPr>
              <w:widowControl w:val="0"/>
              <w:tabs>
                <w:tab w:val="left" w:pos="511"/>
                <w:tab w:val="left" w:pos="8641"/>
              </w:tabs>
              <w:overflowPunct w:val="0"/>
              <w:autoSpaceDE w:val="0"/>
              <w:spacing w:after="0" w:line="240" w:lineRule="auto"/>
              <w:jc w:val="center"/>
              <w:textAlignment w:val="baseline"/>
              <w:rPr>
                <w:rFonts w:ascii="Times New Roman" w:hAnsi="Times New Roman"/>
                <w:sz w:val="24"/>
                <w:szCs w:val="24"/>
                <w:lang w:eastAsia="ar-SA"/>
              </w:rPr>
            </w:pPr>
            <w:r w:rsidRPr="007A0493">
              <w:rPr>
                <w:rFonts w:ascii="Times New Roman" w:hAnsi="Times New Roman"/>
                <w:sz w:val="24"/>
                <w:szCs w:val="24"/>
                <w:lang w:eastAsia="ar-SA"/>
              </w:rPr>
              <w:t>от 100 тыс. до 50 млн.</w:t>
            </w:r>
          </w:p>
        </w:tc>
        <w:tc>
          <w:tcPr>
            <w:tcW w:w="1914" w:type="dxa"/>
            <w:vAlign w:val="center"/>
          </w:tcPr>
          <w:p w:rsidR="002D1E45" w:rsidRPr="007A0493" w:rsidRDefault="002D1E45" w:rsidP="007A0493">
            <w:pPr>
              <w:widowControl w:val="0"/>
              <w:tabs>
                <w:tab w:val="left" w:pos="511"/>
                <w:tab w:val="left" w:pos="8641"/>
              </w:tabs>
              <w:overflowPunct w:val="0"/>
              <w:autoSpaceDE w:val="0"/>
              <w:spacing w:after="0" w:line="240" w:lineRule="auto"/>
              <w:jc w:val="center"/>
              <w:textAlignment w:val="baseline"/>
              <w:rPr>
                <w:rFonts w:ascii="Times New Roman" w:hAnsi="Times New Roman"/>
                <w:sz w:val="24"/>
                <w:szCs w:val="24"/>
                <w:lang w:eastAsia="ar-SA"/>
              </w:rPr>
            </w:pPr>
            <w:r w:rsidRPr="007A0493">
              <w:rPr>
                <w:rFonts w:ascii="Times New Roman" w:hAnsi="Times New Roman"/>
                <w:sz w:val="24"/>
                <w:szCs w:val="24"/>
                <w:lang w:eastAsia="ar-SA"/>
              </w:rPr>
              <w:t>от 50 млн. до 500 млн.</w:t>
            </w:r>
          </w:p>
        </w:tc>
        <w:tc>
          <w:tcPr>
            <w:tcW w:w="1915" w:type="dxa"/>
            <w:vAlign w:val="center"/>
          </w:tcPr>
          <w:p w:rsidR="002D1E45" w:rsidRPr="007A0493" w:rsidRDefault="002D1E45" w:rsidP="007A0493">
            <w:pPr>
              <w:widowControl w:val="0"/>
              <w:tabs>
                <w:tab w:val="left" w:pos="511"/>
                <w:tab w:val="left" w:pos="8641"/>
              </w:tabs>
              <w:overflowPunct w:val="0"/>
              <w:autoSpaceDE w:val="0"/>
              <w:spacing w:after="0" w:line="240" w:lineRule="auto"/>
              <w:jc w:val="center"/>
              <w:textAlignment w:val="baseline"/>
              <w:rPr>
                <w:rFonts w:ascii="Times New Roman" w:hAnsi="Times New Roman"/>
                <w:sz w:val="24"/>
                <w:szCs w:val="24"/>
                <w:lang w:eastAsia="ar-SA"/>
              </w:rPr>
            </w:pPr>
            <w:r w:rsidRPr="007A0493">
              <w:rPr>
                <w:rFonts w:ascii="Times New Roman" w:hAnsi="Times New Roman"/>
                <w:sz w:val="24"/>
                <w:szCs w:val="24"/>
                <w:lang w:eastAsia="ar-SA"/>
              </w:rPr>
              <w:t>свыше 500 млн.</w:t>
            </w:r>
          </w:p>
        </w:tc>
      </w:tr>
      <w:tr w:rsidR="002D1E45" w:rsidRPr="00BF5FB4" w:rsidTr="007A0493">
        <w:trPr>
          <w:trHeight w:val="227"/>
          <w:jc w:val="center"/>
        </w:trPr>
        <w:tc>
          <w:tcPr>
            <w:tcW w:w="1914" w:type="dxa"/>
            <w:vAlign w:val="center"/>
          </w:tcPr>
          <w:p w:rsidR="002D1E45" w:rsidRPr="007A0493" w:rsidRDefault="002D1E45" w:rsidP="007A0493">
            <w:pPr>
              <w:widowControl w:val="0"/>
              <w:tabs>
                <w:tab w:val="left" w:pos="511"/>
                <w:tab w:val="left" w:pos="8641"/>
              </w:tabs>
              <w:overflowPunct w:val="0"/>
              <w:autoSpaceDE w:val="0"/>
              <w:spacing w:after="0" w:line="240" w:lineRule="auto"/>
              <w:jc w:val="right"/>
              <w:textAlignment w:val="baseline"/>
              <w:rPr>
                <w:rFonts w:ascii="Times New Roman" w:hAnsi="Times New Roman"/>
                <w:sz w:val="24"/>
                <w:szCs w:val="24"/>
                <w:lang w:eastAsia="ar-SA"/>
              </w:rPr>
            </w:pPr>
            <w:r w:rsidRPr="007A0493">
              <w:rPr>
                <w:rFonts w:ascii="Times New Roman" w:hAnsi="Times New Roman"/>
                <w:sz w:val="24"/>
                <w:szCs w:val="24"/>
                <w:lang w:eastAsia="ar-SA"/>
              </w:rPr>
              <w:t>более 1</w:t>
            </w:r>
          </w:p>
        </w:tc>
        <w:tc>
          <w:tcPr>
            <w:tcW w:w="7657" w:type="dxa"/>
            <w:gridSpan w:val="4"/>
            <w:tcBorders>
              <w:bottom w:val="nil"/>
            </w:tcBorders>
            <w:shd w:val="clear" w:color="auto" w:fill="1F3864"/>
            <w:vAlign w:val="center"/>
          </w:tcPr>
          <w:p w:rsidR="002D1E45" w:rsidRPr="007A0493" w:rsidRDefault="002D1E45" w:rsidP="007A0493">
            <w:pPr>
              <w:widowControl w:val="0"/>
              <w:tabs>
                <w:tab w:val="left" w:pos="511"/>
                <w:tab w:val="left" w:pos="8641"/>
              </w:tabs>
              <w:overflowPunct w:val="0"/>
              <w:autoSpaceDE w:val="0"/>
              <w:spacing w:after="0" w:line="240" w:lineRule="auto"/>
              <w:jc w:val="center"/>
              <w:textAlignment w:val="baseline"/>
              <w:rPr>
                <w:rFonts w:ascii="Times New Roman" w:hAnsi="Times New Roman"/>
                <w:sz w:val="24"/>
                <w:szCs w:val="24"/>
                <w:lang w:eastAsia="ar-SA"/>
              </w:rPr>
            </w:pPr>
          </w:p>
        </w:tc>
      </w:tr>
      <w:tr w:rsidR="002D1E45" w:rsidRPr="00BF5FB4" w:rsidTr="007A0493">
        <w:trPr>
          <w:trHeight w:val="227"/>
          <w:jc w:val="center"/>
        </w:trPr>
        <w:tc>
          <w:tcPr>
            <w:tcW w:w="1914" w:type="dxa"/>
            <w:vAlign w:val="center"/>
          </w:tcPr>
          <w:p w:rsidR="002D1E45" w:rsidRPr="007A0493" w:rsidRDefault="002D1E45" w:rsidP="007A0493">
            <w:pPr>
              <w:widowControl w:val="0"/>
              <w:tabs>
                <w:tab w:val="left" w:pos="511"/>
                <w:tab w:val="left" w:pos="8641"/>
              </w:tabs>
              <w:overflowPunct w:val="0"/>
              <w:autoSpaceDE w:val="0"/>
              <w:spacing w:after="0" w:line="240" w:lineRule="auto"/>
              <w:jc w:val="right"/>
              <w:textAlignment w:val="baseline"/>
              <w:rPr>
                <w:rFonts w:ascii="Times New Roman" w:hAnsi="Times New Roman"/>
                <w:sz w:val="24"/>
                <w:szCs w:val="24"/>
                <w:vertAlign w:val="superscript"/>
                <w:lang w:eastAsia="ar-SA"/>
              </w:rPr>
            </w:pPr>
            <w:r w:rsidRPr="007A0493">
              <w:rPr>
                <w:rFonts w:ascii="Times New Roman" w:hAnsi="Times New Roman"/>
                <w:sz w:val="24"/>
                <w:szCs w:val="24"/>
                <w:lang w:eastAsia="ar-SA"/>
              </w:rPr>
              <w:t>1-10</w:t>
            </w:r>
            <w:r w:rsidRPr="007A0493">
              <w:rPr>
                <w:rFonts w:ascii="Times New Roman" w:hAnsi="Times New Roman"/>
                <w:sz w:val="24"/>
                <w:szCs w:val="24"/>
                <w:vertAlign w:val="superscript"/>
                <w:lang w:eastAsia="ar-SA"/>
              </w:rPr>
              <w:t>-1</w:t>
            </w:r>
          </w:p>
        </w:tc>
        <w:tc>
          <w:tcPr>
            <w:tcW w:w="1914" w:type="dxa"/>
            <w:vMerge w:val="restart"/>
            <w:tcBorders>
              <w:top w:val="nil"/>
              <w:bottom w:val="nil"/>
              <w:right w:val="nil"/>
            </w:tcBorders>
            <w:shd w:val="clear" w:color="auto" w:fill="2F5496"/>
            <w:vAlign w:val="center"/>
          </w:tcPr>
          <w:p w:rsidR="002D1E45" w:rsidRPr="007A0493" w:rsidRDefault="002D1E45" w:rsidP="007A0493">
            <w:pPr>
              <w:widowControl w:val="0"/>
              <w:tabs>
                <w:tab w:val="left" w:pos="511"/>
                <w:tab w:val="left" w:pos="8641"/>
              </w:tabs>
              <w:overflowPunct w:val="0"/>
              <w:autoSpaceDE w:val="0"/>
              <w:spacing w:after="0" w:line="240" w:lineRule="auto"/>
              <w:jc w:val="center"/>
              <w:textAlignment w:val="baseline"/>
              <w:rPr>
                <w:rFonts w:ascii="Times New Roman" w:hAnsi="Times New Roman"/>
                <w:sz w:val="24"/>
                <w:szCs w:val="24"/>
                <w:lang w:eastAsia="ar-SA"/>
              </w:rPr>
            </w:pPr>
          </w:p>
        </w:tc>
        <w:tc>
          <w:tcPr>
            <w:tcW w:w="5743" w:type="dxa"/>
            <w:gridSpan w:val="3"/>
            <w:tcBorders>
              <w:top w:val="nil"/>
              <w:left w:val="nil"/>
              <w:bottom w:val="nil"/>
              <w:right w:val="nil"/>
            </w:tcBorders>
            <w:shd w:val="clear" w:color="auto" w:fill="1F3864"/>
            <w:vAlign w:val="center"/>
          </w:tcPr>
          <w:p w:rsidR="002D1E45" w:rsidRPr="007A0493" w:rsidRDefault="002D1E45" w:rsidP="007A0493">
            <w:pPr>
              <w:widowControl w:val="0"/>
              <w:tabs>
                <w:tab w:val="left" w:pos="511"/>
                <w:tab w:val="left" w:pos="8641"/>
              </w:tabs>
              <w:overflowPunct w:val="0"/>
              <w:autoSpaceDE w:val="0"/>
              <w:spacing w:after="0" w:line="240" w:lineRule="auto"/>
              <w:jc w:val="center"/>
              <w:textAlignment w:val="baseline"/>
              <w:rPr>
                <w:rFonts w:ascii="Times New Roman" w:hAnsi="Times New Roman"/>
                <w:sz w:val="24"/>
                <w:szCs w:val="24"/>
                <w:lang w:eastAsia="ar-SA"/>
              </w:rPr>
            </w:pPr>
            <w:r w:rsidRPr="007A0493">
              <w:rPr>
                <w:rFonts w:ascii="Times New Roman" w:hAnsi="Times New Roman"/>
                <w:sz w:val="24"/>
                <w:szCs w:val="24"/>
                <w:lang w:eastAsia="ar-SA"/>
              </w:rPr>
              <w:t>Зона недопустимого риска</w:t>
            </w:r>
          </w:p>
        </w:tc>
      </w:tr>
      <w:tr w:rsidR="002D1E45" w:rsidRPr="00BF5FB4" w:rsidTr="007A0493">
        <w:trPr>
          <w:trHeight w:val="227"/>
          <w:jc w:val="center"/>
        </w:trPr>
        <w:tc>
          <w:tcPr>
            <w:tcW w:w="1914" w:type="dxa"/>
            <w:vAlign w:val="center"/>
          </w:tcPr>
          <w:p w:rsidR="002D1E45" w:rsidRPr="007A0493" w:rsidRDefault="002D1E45" w:rsidP="007A0493">
            <w:pPr>
              <w:widowControl w:val="0"/>
              <w:tabs>
                <w:tab w:val="left" w:pos="511"/>
                <w:tab w:val="left" w:pos="8641"/>
              </w:tabs>
              <w:overflowPunct w:val="0"/>
              <w:autoSpaceDE w:val="0"/>
              <w:spacing w:after="0" w:line="240" w:lineRule="auto"/>
              <w:jc w:val="right"/>
              <w:textAlignment w:val="baseline"/>
              <w:rPr>
                <w:rFonts w:ascii="Times New Roman" w:hAnsi="Times New Roman"/>
                <w:sz w:val="24"/>
                <w:szCs w:val="24"/>
                <w:vertAlign w:val="superscript"/>
                <w:lang w:eastAsia="ar-SA"/>
              </w:rPr>
            </w:pPr>
            <w:r w:rsidRPr="007A0493">
              <w:rPr>
                <w:rFonts w:ascii="Times New Roman" w:hAnsi="Times New Roman"/>
                <w:sz w:val="24"/>
                <w:szCs w:val="24"/>
                <w:lang w:eastAsia="ar-SA"/>
              </w:rPr>
              <w:t>10</w:t>
            </w:r>
            <w:r w:rsidRPr="007A0493">
              <w:rPr>
                <w:rFonts w:ascii="Times New Roman" w:hAnsi="Times New Roman"/>
                <w:sz w:val="24"/>
                <w:szCs w:val="24"/>
                <w:vertAlign w:val="superscript"/>
                <w:lang w:eastAsia="ar-SA"/>
              </w:rPr>
              <w:t>-1</w:t>
            </w:r>
            <w:r w:rsidRPr="007A0493">
              <w:rPr>
                <w:rFonts w:ascii="Times New Roman" w:hAnsi="Times New Roman"/>
                <w:sz w:val="24"/>
                <w:szCs w:val="24"/>
                <w:lang w:eastAsia="ar-SA"/>
              </w:rPr>
              <w:t>-10</w:t>
            </w:r>
            <w:r w:rsidRPr="007A0493">
              <w:rPr>
                <w:rFonts w:ascii="Times New Roman" w:hAnsi="Times New Roman"/>
                <w:sz w:val="24"/>
                <w:szCs w:val="24"/>
                <w:vertAlign w:val="superscript"/>
                <w:lang w:eastAsia="ar-SA"/>
              </w:rPr>
              <w:t>-2</w:t>
            </w:r>
          </w:p>
        </w:tc>
        <w:tc>
          <w:tcPr>
            <w:tcW w:w="1914" w:type="dxa"/>
            <w:vMerge/>
            <w:tcBorders>
              <w:top w:val="nil"/>
              <w:bottom w:val="nil"/>
              <w:right w:val="nil"/>
            </w:tcBorders>
            <w:shd w:val="clear" w:color="auto" w:fill="2F5496"/>
            <w:vAlign w:val="center"/>
          </w:tcPr>
          <w:p w:rsidR="002D1E45" w:rsidRPr="007A0493" w:rsidRDefault="002D1E45" w:rsidP="007A0493">
            <w:pPr>
              <w:widowControl w:val="0"/>
              <w:tabs>
                <w:tab w:val="left" w:pos="511"/>
                <w:tab w:val="left" w:pos="8641"/>
              </w:tabs>
              <w:overflowPunct w:val="0"/>
              <w:autoSpaceDE w:val="0"/>
              <w:spacing w:after="0" w:line="240" w:lineRule="auto"/>
              <w:jc w:val="center"/>
              <w:textAlignment w:val="baseline"/>
              <w:rPr>
                <w:rFonts w:ascii="Times New Roman" w:hAnsi="Times New Roman"/>
                <w:sz w:val="24"/>
                <w:szCs w:val="24"/>
                <w:lang w:eastAsia="ar-SA"/>
              </w:rPr>
            </w:pPr>
          </w:p>
        </w:tc>
        <w:tc>
          <w:tcPr>
            <w:tcW w:w="1914" w:type="dxa"/>
            <w:tcBorders>
              <w:top w:val="nil"/>
              <w:left w:val="nil"/>
              <w:bottom w:val="nil"/>
              <w:right w:val="nil"/>
            </w:tcBorders>
            <w:shd w:val="clear" w:color="auto" w:fill="2F5496"/>
            <w:vAlign w:val="center"/>
          </w:tcPr>
          <w:p w:rsidR="002D1E45" w:rsidRPr="007A0493" w:rsidRDefault="002D1E45" w:rsidP="007A0493">
            <w:pPr>
              <w:widowControl w:val="0"/>
              <w:tabs>
                <w:tab w:val="left" w:pos="511"/>
                <w:tab w:val="left" w:pos="8641"/>
              </w:tabs>
              <w:overflowPunct w:val="0"/>
              <w:autoSpaceDE w:val="0"/>
              <w:spacing w:after="0" w:line="240" w:lineRule="auto"/>
              <w:jc w:val="center"/>
              <w:textAlignment w:val="baseline"/>
              <w:rPr>
                <w:rFonts w:ascii="Times New Roman" w:hAnsi="Times New Roman"/>
                <w:sz w:val="24"/>
                <w:szCs w:val="24"/>
                <w:lang w:eastAsia="ar-SA"/>
              </w:rPr>
            </w:pPr>
          </w:p>
        </w:tc>
        <w:tc>
          <w:tcPr>
            <w:tcW w:w="3829" w:type="dxa"/>
            <w:gridSpan w:val="2"/>
            <w:tcBorders>
              <w:top w:val="nil"/>
              <w:left w:val="nil"/>
              <w:bottom w:val="nil"/>
            </w:tcBorders>
            <w:shd w:val="clear" w:color="auto" w:fill="1F3864"/>
            <w:vAlign w:val="center"/>
          </w:tcPr>
          <w:p w:rsidR="002D1E45" w:rsidRPr="007A0493" w:rsidRDefault="002D1E45" w:rsidP="007A0493">
            <w:pPr>
              <w:widowControl w:val="0"/>
              <w:tabs>
                <w:tab w:val="left" w:pos="511"/>
                <w:tab w:val="left" w:pos="8641"/>
              </w:tabs>
              <w:overflowPunct w:val="0"/>
              <w:autoSpaceDE w:val="0"/>
              <w:spacing w:after="0" w:line="240" w:lineRule="auto"/>
              <w:jc w:val="center"/>
              <w:textAlignment w:val="baseline"/>
              <w:rPr>
                <w:rFonts w:ascii="Times New Roman" w:hAnsi="Times New Roman"/>
                <w:sz w:val="24"/>
                <w:szCs w:val="24"/>
                <w:lang w:eastAsia="ar-SA"/>
              </w:rPr>
            </w:pPr>
          </w:p>
        </w:tc>
      </w:tr>
      <w:tr w:rsidR="002D1E45" w:rsidRPr="00BF5FB4" w:rsidTr="007A0493">
        <w:trPr>
          <w:trHeight w:val="227"/>
          <w:jc w:val="center"/>
        </w:trPr>
        <w:tc>
          <w:tcPr>
            <w:tcW w:w="1914" w:type="dxa"/>
            <w:vAlign w:val="center"/>
          </w:tcPr>
          <w:p w:rsidR="002D1E45" w:rsidRPr="007A0493" w:rsidRDefault="002D1E45" w:rsidP="007A0493">
            <w:pPr>
              <w:widowControl w:val="0"/>
              <w:tabs>
                <w:tab w:val="left" w:pos="511"/>
                <w:tab w:val="left" w:pos="8641"/>
              </w:tabs>
              <w:overflowPunct w:val="0"/>
              <w:autoSpaceDE w:val="0"/>
              <w:spacing w:after="0" w:line="240" w:lineRule="auto"/>
              <w:jc w:val="right"/>
              <w:textAlignment w:val="baseline"/>
              <w:rPr>
                <w:rFonts w:ascii="Times New Roman" w:hAnsi="Times New Roman"/>
                <w:sz w:val="24"/>
                <w:szCs w:val="24"/>
                <w:lang w:eastAsia="ar-SA"/>
              </w:rPr>
            </w:pPr>
            <w:r w:rsidRPr="007A0493">
              <w:rPr>
                <w:rFonts w:ascii="Times New Roman" w:hAnsi="Times New Roman"/>
                <w:sz w:val="24"/>
                <w:szCs w:val="24"/>
                <w:lang w:eastAsia="ar-SA"/>
              </w:rPr>
              <w:t>10</w:t>
            </w:r>
            <w:r w:rsidRPr="007A0493">
              <w:rPr>
                <w:rFonts w:ascii="Times New Roman" w:hAnsi="Times New Roman"/>
                <w:sz w:val="24"/>
                <w:szCs w:val="24"/>
                <w:vertAlign w:val="superscript"/>
                <w:lang w:eastAsia="ar-SA"/>
              </w:rPr>
              <w:t>-2</w:t>
            </w:r>
            <w:r w:rsidRPr="007A0493">
              <w:rPr>
                <w:rFonts w:ascii="Times New Roman" w:hAnsi="Times New Roman"/>
                <w:sz w:val="24"/>
                <w:szCs w:val="24"/>
                <w:lang w:eastAsia="ar-SA"/>
              </w:rPr>
              <w:t>-10</w:t>
            </w:r>
            <w:r w:rsidRPr="007A0493">
              <w:rPr>
                <w:rFonts w:ascii="Times New Roman" w:hAnsi="Times New Roman"/>
                <w:sz w:val="24"/>
                <w:szCs w:val="24"/>
                <w:vertAlign w:val="superscript"/>
                <w:lang w:eastAsia="ar-SA"/>
              </w:rPr>
              <w:t>-3</w:t>
            </w:r>
          </w:p>
        </w:tc>
        <w:tc>
          <w:tcPr>
            <w:tcW w:w="1914" w:type="dxa"/>
            <w:vMerge w:val="restart"/>
            <w:tcBorders>
              <w:top w:val="nil"/>
              <w:bottom w:val="nil"/>
              <w:right w:val="nil"/>
            </w:tcBorders>
            <w:shd w:val="clear" w:color="auto" w:fill="8EAADB"/>
            <w:vAlign w:val="center"/>
          </w:tcPr>
          <w:p w:rsidR="002D1E45" w:rsidRPr="007A0493" w:rsidRDefault="002D1E45" w:rsidP="007A0493">
            <w:pPr>
              <w:widowControl w:val="0"/>
              <w:tabs>
                <w:tab w:val="left" w:pos="511"/>
                <w:tab w:val="left" w:pos="8641"/>
              </w:tabs>
              <w:overflowPunct w:val="0"/>
              <w:autoSpaceDE w:val="0"/>
              <w:spacing w:after="0" w:line="240" w:lineRule="auto"/>
              <w:jc w:val="center"/>
              <w:textAlignment w:val="baseline"/>
              <w:rPr>
                <w:rFonts w:ascii="Times New Roman" w:hAnsi="Times New Roman"/>
                <w:sz w:val="24"/>
                <w:szCs w:val="24"/>
                <w:lang w:eastAsia="ar-SA"/>
              </w:rPr>
            </w:pPr>
          </w:p>
        </w:tc>
        <w:tc>
          <w:tcPr>
            <w:tcW w:w="3828" w:type="dxa"/>
            <w:gridSpan w:val="2"/>
            <w:tcBorders>
              <w:top w:val="nil"/>
              <w:left w:val="nil"/>
              <w:bottom w:val="nil"/>
              <w:right w:val="nil"/>
            </w:tcBorders>
            <w:shd w:val="clear" w:color="auto" w:fill="2F5496"/>
            <w:vAlign w:val="center"/>
          </w:tcPr>
          <w:p w:rsidR="002D1E45" w:rsidRPr="007A0493" w:rsidRDefault="002D1E45" w:rsidP="007A0493">
            <w:pPr>
              <w:widowControl w:val="0"/>
              <w:tabs>
                <w:tab w:val="left" w:pos="511"/>
                <w:tab w:val="left" w:pos="8641"/>
              </w:tabs>
              <w:overflowPunct w:val="0"/>
              <w:autoSpaceDE w:val="0"/>
              <w:spacing w:after="0" w:line="240" w:lineRule="auto"/>
              <w:jc w:val="center"/>
              <w:textAlignment w:val="baseline"/>
              <w:rPr>
                <w:rFonts w:ascii="Times New Roman" w:hAnsi="Times New Roman"/>
                <w:color w:val="FFFFFF"/>
                <w:sz w:val="24"/>
                <w:szCs w:val="24"/>
                <w:lang w:eastAsia="ar-SA"/>
              </w:rPr>
            </w:pPr>
            <w:r w:rsidRPr="007A0493">
              <w:rPr>
                <w:rFonts w:ascii="Times New Roman" w:hAnsi="Times New Roman"/>
                <w:color w:val="FFFFFF"/>
                <w:sz w:val="24"/>
                <w:szCs w:val="24"/>
                <w:lang w:eastAsia="ar-SA"/>
              </w:rPr>
              <w:t>Зона повышенного риска</w:t>
            </w:r>
          </w:p>
        </w:tc>
        <w:tc>
          <w:tcPr>
            <w:tcW w:w="1915" w:type="dxa"/>
            <w:tcBorders>
              <w:top w:val="nil"/>
              <w:left w:val="nil"/>
              <w:bottom w:val="nil"/>
            </w:tcBorders>
            <w:shd w:val="clear" w:color="auto" w:fill="1F3864"/>
          </w:tcPr>
          <w:p w:rsidR="002D1E45" w:rsidRPr="007A0493" w:rsidRDefault="002D1E45" w:rsidP="007A0493">
            <w:pPr>
              <w:widowControl w:val="0"/>
              <w:tabs>
                <w:tab w:val="left" w:pos="511"/>
                <w:tab w:val="left" w:pos="8641"/>
              </w:tabs>
              <w:overflowPunct w:val="0"/>
              <w:autoSpaceDE w:val="0"/>
              <w:spacing w:after="0" w:line="240" w:lineRule="auto"/>
              <w:jc w:val="both"/>
              <w:textAlignment w:val="baseline"/>
              <w:rPr>
                <w:rFonts w:ascii="Times New Roman" w:hAnsi="Times New Roman"/>
                <w:sz w:val="24"/>
                <w:szCs w:val="24"/>
                <w:lang w:eastAsia="ar-SA"/>
              </w:rPr>
            </w:pPr>
          </w:p>
        </w:tc>
      </w:tr>
      <w:tr w:rsidR="002D1E45" w:rsidRPr="00BF5FB4" w:rsidTr="007A0493">
        <w:trPr>
          <w:trHeight w:val="227"/>
          <w:jc w:val="center"/>
        </w:trPr>
        <w:tc>
          <w:tcPr>
            <w:tcW w:w="1914" w:type="dxa"/>
            <w:vAlign w:val="center"/>
          </w:tcPr>
          <w:p w:rsidR="002D1E45" w:rsidRPr="007A0493" w:rsidRDefault="002D1E45" w:rsidP="007A0493">
            <w:pPr>
              <w:widowControl w:val="0"/>
              <w:tabs>
                <w:tab w:val="left" w:pos="511"/>
                <w:tab w:val="left" w:pos="8641"/>
              </w:tabs>
              <w:overflowPunct w:val="0"/>
              <w:autoSpaceDE w:val="0"/>
              <w:spacing w:after="0" w:line="240" w:lineRule="auto"/>
              <w:jc w:val="right"/>
              <w:textAlignment w:val="baseline"/>
              <w:rPr>
                <w:rFonts w:ascii="Times New Roman" w:hAnsi="Times New Roman"/>
                <w:sz w:val="24"/>
                <w:szCs w:val="24"/>
                <w:lang w:eastAsia="ar-SA"/>
              </w:rPr>
            </w:pPr>
            <w:r w:rsidRPr="007A0493">
              <w:rPr>
                <w:rFonts w:ascii="Times New Roman" w:hAnsi="Times New Roman"/>
                <w:sz w:val="24"/>
                <w:szCs w:val="24"/>
                <w:lang w:eastAsia="ar-SA"/>
              </w:rPr>
              <w:t>10</w:t>
            </w:r>
            <w:r w:rsidRPr="007A0493">
              <w:rPr>
                <w:rFonts w:ascii="Times New Roman" w:hAnsi="Times New Roman"/>
                <w:sz w:val="24"/>
                <w:szCs w:val="24"/>
                <w:vertAlign w:val="superscript"/>
                <w:lang w:eastAsia="ar-SA"/>
              </w:rPr>
              <w:t>-3</w:t>
            </w:r>
            <w:r w:rsidRPr="007A0493">
              <w:rPr>
                <w:rFonts w:ascii="Times New Roman" w:hAnsi="Times New Roman"/>
                <w:sz w:val="24"/>
                <w:szCs w:val="24"/>
                <w:lang w:eastAsia="ar-SA"/>
              </w:rPr>
              <w:t>-10</w:t>
            </w:r>
            <w:r w:rsidRPr="007A0493">
              <w:rPr>
                <w:rFonts w:ascii="Times New Roman" w:hAnsi="Times New Roman"/>
                <w:sz w:val="24"/>
                <w:szCs w:val="24"/>
                <w:vertAlign w:val="superscript"/>
                <w:lang w:eastAsia="ar-SA"/>
              </w:rPr>
              <w:t>-4</w:t>
            </w:r>
          </w:p>
        </w:tc>
        <w:tc>
          <w:tcPr>
            <w:tcW w:w="1914" w:type="dxa"/>
            <w:vMerge/>
            <w:tcBorders>
              <w:top w:val="nil"/>
              <w:bottom w:val="nil"/>
              <w:right w:val="nil"/>
            </w:tcBorders>
            <w:shd w:val="clear" w:color="auto" w:fill="8EAADB"/>
            <w:vAlign w:val="center"/>
          </w:tcPr>
          <w:p w:rsidR="002D1E45" w:rsidRPr="007A0493" w:rsidRDefault="002D1E45" w:rsidP="007A0493">
            <w:pPr>
              <w:widowControl w:val="0"/>
              <w:tabs>
                <w:tab w:val="left" w:pos="511"/>
                <w:tab w:val="left" w:pos="8641"/>
              </w:tabs>
              <w:overflowPunct w:val="0"/>
              <w:autoSpaceDE w:val="0"/>
              <w:spacing w:after="0" w:line="240" w:lineRule="auto"/>
              <w:jc w:val="center"/>
              <w:textAlignment w:val="baseline"/>
              <w:rPr>
                <w:rFonts w:ascii="Times New Roman" w:hAnsi="Times New Roman"/>
                <w:sz w:val="24"/>
                <w:szCs w:val="24"/>
                <w:lang w:eastAsia="ar-SA"/>
              </w:rPr>
            </w:pPr>
          </w:p>
        </w:tc>
        <w:tc>
          <w:tcPr>
            <w:tcW w:w="1914" w:type="dxa"/>
            <w:tcBorders>
              <w:top w:val="nil"/>
              <w:left w:val="nil"/>
              <w:bottom w:val="nil"/>
              <w:right w:val="nil"/>
            </w:tcBorders>
            <w:shd w:val="clear" w:color="auto" w:fill="8EAADB"/>
            <w:vAlign w:val="center"/>
          </w:tcPr>
          <w:p w:rsidR="002D1E45" w:rsidRPr="007A0493" w:rsidRDefault="002D1E45" w:rsidP="007A0493">
            <w:pPr>
              <w:widowControl w:val="0"/>
              <w:tabs>
                <w:tab w:val="left" w:pos="511"/>
                <w:tab w:val="left" w:pos="8641"/>
              </w:tabs>
              <w:overflowPunct w:val="0"/>
              <w:autoSpaceDE w:val="0"/>
              <w:spacing w:after="0" w:line="240" w:lineRule="auto"/>
              <w:jc w:val="center"/>
              <w:textAlignment w:val="baseline"/>
              <w:rPr>
                <w:rFonts w:ascii="Times New Roman" w:hAnsi="Times New Roman"/>
                <w:sz w:val="24"/>
                <w:szCs w:val="24"/>
                <w:lang w:eastAsia="ar-SA"/>
              </w:rPr>
            </w:pPr>
          </w:p>
        </w:tc>
        <w:tc>
          <w:tcPr>
            <w:tcW w:w="1914" w:type="dxa"/>
            <w:tcBorders>
              <w:top w:val="nil"/>
              <w:left w:val="nil"/>
              <w:bottom w:val="nil"/>
              <w:right w:val="nil"/>
            </w:tcBorders>
            <w:shd w:val="clear" w:color="auto" w:fill="2F5496"/>
            <w:vAlign w:val="center"/>
          </w:tcPr>
          <w:p w:rsidR="002D1E45" w:rsidRPr="007A0493" w:rsidRDefault="002D1E45" w:rsidP="007A0493">
            <w:pPr>
              <w:widowControl w:val="0"/>
              <w:tabs>
                <w:tab w:val="left" w:pos="511"/>
                <w:tab w:val="left" w:pos="8641"/>
              </w:tabs>
              <w:overflowPunct w:val="0"/>
              <w:autoSpaceDE w:val="0"/>
              <w:spacing w:after="0" w:line="240" w:lineRule="auto"/>
              <w:jc w:val="center"/>
              <w:textAlignment w:val="baseline"/>
              <w:rPr>
                <w:rFonts w:ascii="Times New Roman" w:hAnsi="Times New Roman"/>
                <w:sz w:val="24"/>
                <w:szCs w:val="24"/>
                <w:lang w:eastAsia="ar-SA"/>
              </w:rPr>
            </w:pPr>
          </w:p>
        </w:tc>
        <w:tc>
          <w:tcPr>
            <w:tcW w:w="1915" w:type="dxa"/>
            <w:vMerge w:val="restart"/>
            <w:tcBorders>
              <w:top w:val="nil"/>
              <w:left w:val="nil"/>
              <w:bottom w:val="nil"/>
            </w:tcBorders>
            <w:shd w:val="clear" w:color="auto" w:fill="2F5496"/>
          </w:tcPr>
          <w:p w:rsidR="002D1E45" w:rsidRPr="007A0493" w:rsidRDefault="002D1E45" w:rsidP="007A0493">
            <w:pPr>
              <w:widowControl w:val="0"/>
              <w:tabs>
                <w:tab w:val="left" w:pos="511"/>
                <w:tab w:val="left" w:pos="8641"/>
              </w:tabs>
              <w:overflowPunct w:val="0"/>
              <w:autoSpaceDE w:val="0"/>
              <w:spacing w:after="0" w:line="240" w:lineRule="auto"/>
              <w:jc w:val="both"/>
              <w:textAlignment w:val="baseline"/>
              <w:rPr>
                <w:rFonts w:ascii="Times New Roman" w:hAnsi="Times New Roman"/>
                <w:sz w:val="24"/>
                <w:szCs w:val="24"/>
                <w:lang w:eastAsia="ar-SA"/>
              </w:rPr>
            </w:pPr>
          </w:p>
        </w:tc>
      </w:tr>
      <w:tr w:rsidR="002D1E45" w:rsidRPr="00BF5FB4" w:rsidTr="007A0493">
        <w:trPr>
          <w:trHeight w:val="227"/>
          <w:jc w:val="center"/>
        </w:trPr>
        <w:tc>
          <w:tcPr>
            <w:tcW w:w="1914" w:type="dxa"/>
            <w:vAlign w:val="center"/>
          </w:tcPr>
          <w:p w:rsidR="002D1E45" w:rsidRPr="007A0493" w:rsidRDefault="002D1E45" w:rsidP="007A0493">
            <w:pPr>
              <w:widowControl w:val="0"/>
              <w:tabs>
                <w:tab w:val="left" w:pos="511"/>
                <w:tab w:val="left" w:pos="8641"/>
              </w:tabs>
              <w:overflowPunct w:val="0"/>
              <w:autoSpaceDE w:val="0"/>
              <w:spacing w:after="0" w:line="240" w:lineRule="auto"/>
              <w:jc w:val="right"/>
              <w:textAlignment w:val="baseline"/>
              <w:rPr>
                <w:rFonts w:ascii="Times New Roman" w:hAnsi="Times New Roman"/>
                <w:sz w:val="24"/>
                <w:szCs w:val="24"/>
                <w:lang w:eastAsia="ar-SA"/>
              </w:rPr>
            </w:pPr>
            <w:r w:rsidRPr="007A0493">
              <w:rPr>
                <w:rFonts w:ascii="Times New Roman" w:hAnsi="Times New Roman"/>
                <w:sz w:val="24"/>
                <w:szCs w:val="24"/>
                <w:lang w:eastAsia="ar-SA"/>
              </w:rPr>
              <w:t>10</w:t>
            </w:r>
            <w:r w:rsidRPr="007A0493">
              <w:rPr>
                <w:rFonts w:ascii="Times New Roman" w:hAnsi="Times New Roman"/>
                <w:sz w:val="24"/>
                <w:szCs w:val="24"/>
                <w:vertAlign w:val="superscript"/>
                <w:lang w:eastAsia="ar-SA"/>
              </w:rPr>
              <w:t>-4</w:t>
            </w:r>
            <w:r w:rsidRPr="007A0493">
              <w:rPr>
                <w:rFonts w:ascii="Times New Roman" w:hAnsi="Times New Roman"/>
                <w:sz w:val="24"/>
                <w:szCs w:val="24"/>
                <w:lang w:eastAsia="ar-SA"/>
              </w:rPr>
              <w:t>-10</w:t>
            </w:r>
            <w:r w:rsidRPr="007A0493">
              <w:rPr>
                <w:rFonts w:ascii="Times New Roman" w:hAnsi="Times New Roman"/>
                <w:sz w:val="24"/>
                <w:szCs w:val="24"/>
                <w:vertAlign w:val="superscript"/>
                <w:lang w:eastAsia="ar-SA"/>
              </w:rPr>
              <w:t>-5</w:t>
            </w:r>
          </w:p>
        </w:tc>
        <w:tc>
          <w:tcPr>
            <w:tcW w:w="1914" w:type="dxa"/>
            <w:vMerge w:val="restart"/>
            <w:tcBorders>
              <w:top w:val="nil"/>
              <w:bottom w:val="nil"/>
              <w:right w:val="nil"/>
            </w:tcBorders>
            <w:shd w:val="clear" w:color="auto" w:fill="D9E2F3"/>
            <w:vAlign w:val="center"/>
          </w:tcPr>
          <w:p w:rsidR="002D1E45" w:rsidRPr="007A0493" w:rsidRDefault="002D1E45" w:rsidP="007A0493">
            <w:pPr>
              <w:widowControl w:val="0"/>
              <w:tabs>
                <w:tab w:val="left" w:pos="511"/>
                <w:tab w:val="left" w:pos="8641"/>
              </w:tabs>
              <w:overflowPunct w:val="0"/>
              <w:autoSpaceDE w:val="0"/>
              <w:spacing w:after="0" w:line="240" w:lineRule="auto"/>
              <w:jc w:val="center"/>
              <w:textAlignment w:val="baseline"/>
              <w:rPr>
                <w:rFonts w:ascii="Times New Roman" w:hAnsi="Times New Roman"/>
                <w:sz w:val="24"/>
                <w:szCs w:val="24"/>
                <w:lang w:eastAsia="ar-SA"/>
              </w:rPr>
            </w:pPr>
          </w:p>
        </w:tc>
        <w:tc>
          <w:tcPr>
            <w:tcW w:w="3828" w:type="dxa"/>
            <w:gridSpan w:val="2"/>
            <w:tcBorders>
              <w:top w:val="nil"/>
              <w:left w:val="nil"/>
              <w:bottom w:val="nil"/>
              <w:right w:val="nil"/>
            </w:tcBorders>
            <w:shd w:val="clear" w:color="auto" w:fill="8EAADB"/>
            <w:vAlign w:val="center"/>
          </w:tcPr>
          <w:p w:rsidR="002D1E45" w:rsidRPr="007A0493" w:rsidRDefault="002D1E45" w:rsidP="007A0493">
            <w:pPr>
              <w:widowControl w:val="0"/>
              <w:tabs>
                <w:tab w:val="left" w:pos="511"/>
                <w:tab w:val="left" w:pos="8641"/>
              </w:tabs>
              <w:overflowPunct w:val="0"/>
              <w:autoSpaceDE w:val="0"/>
              <w:spacing w:after="0" w:line="240" w:lineRule="auto"/>
              <w:jc w:val="center"/>
              <w:textAlignment w:val="baseline"/>
              <w:rPr>
                <w:rFonts w:ascii="Times New Roman" w:hAnsi="Times New Roman"/>
                <w:sz w:val="24"/>
                <w:szCs w:val="24"/>
                <w:lang w:eastAsia="ar-SA"/>
              </w:rPr>
            </w:pPr>
            <w:r w:rsidRPr="007A0493">
              <w:rPr>
                <w:rFonts w:ascii="Times New Roman" w:hAnsi="Times New Roman"/>
                <w:sz w:val="24"/>
                <w:szCs w:val="24"/>
                <w:lang w:eastAsia="ar-SA"/>
              </w:rPr>
              <w:t>Зона условно-приемлемого риска</w:t>
            </w:r>
          </w:p>
        </w:tc>
        <w:tc>
          <w:tcPr>
            <w:tcW w:w="1915" w:type="dxa"/>
            <w:vMerge/>
            <w:tcBorders>
              <w:top w:val="nil"/>
              <w:left w:val="nil"/>
              <w:bottom w:val="nil"/>
            </w:tcBorders>
            <w:shd w:val="clear" w:color="auto" w:fill="2F5496"/>
          </w:tcPr>
          <w:p w:rsidR="002D1E45" w:rsidRPr="007A0493" w:rsidRDefault="002D1E45" w:rsidP="007A0493">
            <w:pPr>
              <w:widowControl w:val="0"/>
              <w:tabs>
                <w:tab w:val="left" w:pos="511"/>
                <w:tab w:val="left" w:pos="8641"/>
              </w:tabs>
              <w:overflowPunct w:val="0"/>
              <w:autoSpaceDE w:val="0"/>
              <w:spacing w:after="0" w:line="240" w:lineRule="auto"/>
              <w:jc w:val="both"/>
              <w:textAlignment w:val="baseline"/>
              <w:rPr>
                <w:rFonts w:ascii="Times New Roman" w:hAnsi="Times New Roman"/>
                <w:sz w:val="24"/>
                <w:szCs w:val="24"/>
                <w:lang w:eastAsia="ar-SA"/>
              </w:rPr>
            </w:pPr>
          </w:p>
        </w:tc>
      </w:tr>
      <w:tr w:rsidR="002D1E45" w:rsidRPr="00BF5FB4" w:rsidTr="007A0493">
        <w:trPr>
          <w:trHeight w:val="227"/>
          <w:jc w:val="center"/>
        </w:trPr>
        <w:tc>
          <w:tcPr>
            <w:tcW w:w="1914" w:type="dxa"/>
            <w:vAlign w:val="center"/>
          </w:tcPr>
          <w:p w:rsidR="002D1E45" w:rsidRPr="007A0493" w:rsidRDefault="002D1E45" w:rsidP="007A0493">
            <w:pPr>
              <w:widowControl w:val="0"/>
              <w:tabs>
                <w:tab w:val="left" w:pos="511"/>
                <w:tab w:val="left" w:pos="8641"/>
              </w:tabs>
              <w:overflowPunct w:val="0"/>
              <w:autoSpaceDE w:val="0"/>
              <w:spacing w:after="0" w:line="240" w:lineRule="auto"/>
              <w:jc w:val="right"/>
              <w:textAlignment w:val="baseline"/>
              <w:rPr>
                <w:rFonts w:ascii="Times New Roman" w:hAnsi="Times New Roman"/>
                <w:sz w:val="24"/>
                <w:szCs w:val="24"/>
                <w:lang w:eastAsia="ar-SA"/>
              </w:rPr>
            </w:pPr>
            <w:r w:rsidRPr="007A0493">
              <w:rPr>
                <w:rFonts w:ascii="Times New Roman" w:hAnsi="Times New Roman"/>
                <w:sz w:val="24"/>
                <w:szCs w:val="24"/>
                <w:lang w:eastAsia="ar-SA"/>
              </w:rPr>
              <w:t>10</w:t>
            </w:r>
            <w:r w:rsidRPr="007A0493">
              <w:rPr>
                <w:rFonts w:ascii="Times New Roman" w:hAnsi="Times New Roman"/>
                <w:sz w:val="24"/>
                <w:szCs w:val="24"/>
                <w:vertAlign w:val="superscript"/>
                <w:lang w:eastAsia="ar-SA"/>
              </w:rPr>
              <w:t>-5</w:t>
            </w:r>
            <w:r w:rsidRPr="007A0493">
              <w:rPr>
                <w:rFonts w:ascii="Times New Roman" w:hAnsi="Times New Roman"/>
                <w:sz w:val="24"/>
                <w:szCs w:val="24"/>
                <w:lang w:eastAsia="ar-SA"/>
              </w:rPr>
              <w:t>-10</w:t>
            </w:r>
            <w:r w:rsidRPr="007A0493">
              <w:rPr>
                <w:rFonts w:ascii="Times New Roman" w:hAnsi="Times New Roman"/>
                <w:sz w:val="24"/>
                <w:szCs w:val="24"/>
                <w:vertAlign w:val="superscript"/>
                <w:lang w:eastAsia="ar-SA"/>
              </w:rPr>
              <w:t>-6</w:t>
            </w:r>
          </w:p>
        </w:tc>
        <w:tc>
          <w:tcPr>
            <w:tcW w:w="1914" w:type="dxa"/>
            <w:vMerge/>
            <w:tcBorders>
              <w:top w:val="nil"/>
              <w:right w:val="nil"/>
            </w:tcBorders>
            <w:shd w:val="clear" w:color="auto" w:fill="D9E2F3"/>
            <w:vAlign w:val="center"/>
          </w:tcPr>
          <w:p w:rsidR="002D1E45" w:rsidRPr="007A0493" w:rsidRDefault="002D1E45" w:rsidP="007A0493">
            <w:pPr>
              <w:widowControl w:val="0"/>
              <w:tabs>
                <w:tab w:val="left" w:pos="511"/>
                <w:tab w:val="left" w:pos="8641"/>
              </w:tabs>
              <w:overflowPunct w:val="0"/>
              <w:autoSpaceDE w:val="0"/>
              <w:spacing w:after="0" w:line="240" w:lineRule="auto"/>
              <w:jc w:val="center"/>
              <w:textAlignment w:val="baseline"/>
              <w:rPr>
                <w:rFonts w:ascii="Times New Roman" w:hAnsi="Times New Roman"/>
                <w:sz w:val="24"/>
                <w:szCs w:val="24"/>
                <w:lang w:eastAsia="ar-SA"/>
              </w:rPr>
            </w:pPr>
          </w:p>
        </w:tc>
        <w:tc>
          <w:tcPr>
            <w:tcW w:w="1914" w:type="dxa"/>
            <w:tcBorders>
              <w:top w:val="nil"/>
              <w:left w:val="nil"/>
              <w:bottom w:val="nil"/>
              <w:right w:val="nil"/>
            </w:tcBorders>
            <w:shd w:val="clear" w:color="auto" w:fill="D9E2F3"/>
            <w:vAlign w:val="center"/>
          </w:tcPr>
          <w:p w:rsidR="002D1E45" w:rsidRPr="007A0493" w:rsidRDefault="002D1E45" w:rsidP="007A0493">
            <w:pPr>
              <w:widowControl w:val="0"/>
              <w:tabs>
                <w:tab w:val="left" w:pos="511"/>
                <w:tab w:val="left" w:pos="8641"/>
              </w:tabs>
              <w:overflowPunct w:val="0"/>
              <w:autoSpaceDE w:val="0"/>
              <w:spacing w:after="0" w:line="240" w:lineRule="auto"/>
              <w:jc w:val="center"/>
              <w:textAlignment w:val="baseline"/>
              <w:rPr>
                <w:rFonts w:ascii="Times New Roman" w:hAnsi="Times New Roman"/>
                <w:sz w:val="24"/>
                <w:szCs w:val="24"/>
                <w:lang w:eastAsia="ar-SA"/>
              </w:rPr>
            </w:pPr>
          </w:p>
        </w:tc>
        <w:tc>
          <w:tcPr>
            <w:tcW w:w="1914" w:type="dxa"/>
            <w:tcBorders>
              <w:top w:val="nil"/>
              <w:left w:val="nil"/>
              <w:bottom w:val="nil"/>
              <w:right w:val="nil"/>
            </w:tcBorders>
            <w:shd w:val="clear" w:color="auto" w:fill="8EAADB"/>
            <w:vAlign w:val="center"/>
          </w:tcPr>
          <w:p w:rsidR="002D1E45" w:rsidRPr="007A0493" w:rsidRDefault="002D1E45" w:rsidP="007A0493">
            <w:pPr>
              <w:widowControl w:val="0"/>
              <w:tabs>
                <w:tab w:val="left" w:pos="511"/>
                <w:tab w:val="left" w:pos="8641"/>
              </w:tabs>
              <w:overflowPunct w:val="0"/>
              <w:autoSpaceDE w:val="0"/>
              <w:spacing w:after="0" w:line="240" w:lineRule="auto"/>
              <w:jc w:val="center"/>
              <w:textAlignment w:val="baseline"/>
              <w:rPr>
                <w:rFonts w:ascii="Times New Roman" w:hAnsi="Times New Roman"/>
                <w:sz w:val="24"/>
                <w:szCs w:val="24"/>
                <w:lang w:eastAsia="ar-SA"/>
              </w:rPr>
            </w:pPr>
          </w:p>
        </w:tc>
        <w:tc>
          <w:tcPr>
            <w:tcW w:w="1915" w:type="dxa"/>
            <w:vMerge w:val="restart"/>
            <w:tcBorders>
              <w:top w:val="nil"/>
              <w:left w:val="nil"/>
            </w:tcBorders>
            <w:shd w:val="clear" w:color="auto" w:fill="8EAADB"/>
          </w:tcPr>
          <w:p w:rsidR="002D1E45" w:rsidRPr="007A0493" w:rsidRDefault="002D1E45" w:rsidP="007A0493">
            <w:pPr>
              <w:widowControl w:val="0"/>
              <w:tabs>
                <w:tab w:val="left" w:pos="511"/>
                <w:tab w:val="left" w:pos="8641"/>
              </w:tabs>
              <w:overflowPunct w:val="0"/>
              <w:autoSpaceDE w:val="0"/>
              <w:spacing w:after="0" w:line="240" w:lineRule="auto"/>
              <w:jc w:val="both"/>
              <w:textAlignment w:val="baseline"/>
              <w:rPr>
                <w:rFonts w:ascii="Times New Roman" w:hAnsi="Times New Roman"/>
                <w:sz w:val="24"/>
                <w:szCs w:val="24"/>
                <w:lang w:eastAsia="ar-SA"/>
              </w:rPr>
            </w:pPr>
          </w:p>
        </w:tc>
      </w:tr>
      <w:tr w:rsidR="002D1E45" w:rsidRPr="00BF5FB4" w:rsidTr="007A0493">
        <w:trPr>
          <w:trHeight w:val="227"/>
          <w:jc w:val="center"/>
        </w:trPr>
        <w:tc>
          <w:tcPr>
            <w:tcW w:w="1914" w:type="dxa"/>
            <w:vAlign w:val="center"/>
          </w:tcPr>
          <w:p w:rsidR="002D1E45" w:rsidRPr="007A0493" w:rsidRDefault="002D1E45" w:rsidP="007A0493">
            <w:pPr>
              <w:widowControl w:val="0"/>
              <w:tabs>
                <w:tab w:val="left" w:pos="511"/>
                <w:tab w:val="left" w:pos="8641"/>
              </w:tabs>
              <w:overflowPunct w:val="0"/>
              <w:autoSpaceDE w:val="0"/>
              <w:spacing w:after="0" w:line="240" w:lineRule="auto"/>
              <w:jc w:val="right"/>
              <w:textAlignment w:val="baseline"/>
              <w:rPr>
                <w:rFonts w:ascii="Times New Roman" w:hAnsi="Times New Roman"/>
                <w:sz w:val="24"/>
                <w:szCs w:val="24"/>
                <w:lang w:eastAsia="ar-SA"/>
              </w:rPr>
            </w:pPr>
            <w:r w:rsidRPr="007A0493">
              <w:rPr>
                <w:rFonts w:ascii="Times New Roman" w:hAnsi="Times New Roman"/>
                <w:sz w:val="24"/>
                <w:szCs w:val="24"/>
                <w:lang w:eastAsia="ar-SA"/>
              </w:rPr>
              <w:t>менее 10</w:t>
            </w:r>
            <w:r w:rsidRPr="007A0493">
              <w:rPr>
                <w:rFonts w:ascii="Times New Roman" w:hAnsi="Times New Roman"/>
                <w:sz w:val="24"/>
                <w:szCs w:val="24"/>
                <w:vertAlign w:val="superscript"/>
                <w:lang w:eastAsia="ar-SA"/>
              </w:rPr>
              <w:t>-6</w:t>
            </w:r>
          </w:p>
        </w:tc>
        <w:tc>
          <w:tcPr>
            <w:tcW w:w="1914" w:type="dxa"/>
            <w:vMerge/>
            <w:tcBorders>
              <w:right w:val="nil"/>
            </w:tcBorders>
            <w:shd w:val="clear" w:color="auto" w:fill="D9E2F3"/>
            <w:vAlign w:val="center"/>
          </w:tcPr>
          <w:p w:rsidR="002D1E45" w:rsidRPr="007A0493" w:rsidRDefault="002D1E45" w:rsidP="007A0493">
            <w:pPr>
              <w:widowControl w:val="0"/>
              <w:tabs>
                <w:tab w:val="left" w:pos="511"/>
                <w:tab w:val="left" w:pos="8641"/>
              </w:tabs>
              <w:overflowPunct w:val="0"/>
              <w:autoSpaceDE w:val="0"/>
              <w:spacing w:after="0" w:line="240" w:lineRule="auto"/>
              <w:jc w:val="center"/>
              <w:textAlignment w:val="baseline"/>
              <w:rPr>
                <w:rFonts w:ascii="Times New Roman" w:hAnsi="Times New Roman"/>
                <w:sz w:val="24"/>
                <w:szCs w:val="24"/>
                <w:lang w:eastAsia="ar-SA"/>
              </w:rPr>
            </w:pPr>
          </w:p>
        </w:tc>
        <w:tc>
          <w:tcPr>
            <w:tcW w:w="3828" w:type="dxa"/>
            <w:gridSpan w:val="2"/>
            <w:tcBorders>
              <w:top w:val="nil"/>
              <w:left w:val="nil"/>
              <w:right w:val="nil"/>
            </w:tcBorders>
            <w:shd w:val="clear" w:color="auto" w:fill="D9E2F3"/>
            <w:vAlign w:val="center"/>
          </w:tcPr>
          <w:p w:rsidR="002D1E45" w:rsidRPr="007A0493" w:rsidRDefault="002D1E45" w:rsidP="007A0493">
            <w:pPr>
              <w:widowControl w:val="0"/>
              <w:tabs>
                <w:tab w:val="left" w:pos="511"/>
                <w:tab w:val="left" w:pos="8641"/>
              </w:tabs>
              <w:overflowPunct w:val="0"/>
              <w:autoSpaceDE w:val="0"/>
              <w:spacing w:after="0" w:line="240" w:lineRule="auto"/>
              <w:jc w:val="center"/>
              <w:textAlignment w:val="baseline"/>
              <w:rPr>
                <w:rFonts w:ascii="Times New Roman" w:hAnsi="Times New Roman"/>
                <w:sz w:val="24"/>
                <w:szCs w:val="24"/>
                <w:lang w:eastAsia="ar-SA"/>
              </w:rPr>
            </w:pPr>
            <w:r w:rsidRPr="007A0493">
              <w:rPr>
                <w:rFonts w:ascii="Times New Roman" w:hAnsi="Times New Roman"/>
                <w:sz w:val="24"/>
                <w:szCs w:val="24"/>
                <w:lang w:eastAsia="ar-SA"/>
              </w:rPr>
              <w:t>Зона приемлемого риска</w:t>
            </w:r>
          </w:p>
        </w:tc>
        <w:tc>
          <w:tcPr>
            <w:tcW w:w="1915" w:type="dxa"/>
            <w:vMerge/>
            <w:tcBorders>
              <w:left w:val="nil"/>
            </w:tcBorders>
            <w:shd w:val="clear" w:color="auto" w:fill="8EAADB"/>
          </w:tcPr>
          <w:p w:rsidR="002D1E45" w:rsidRPr="007A0493" w:rsidRDefault="002D1E45" w:rsidP="007A0493">
            <w:pPr>
              <w:widowControl w:val="0"/>
              <w:tabs>
                <w:tab w:val="left" w:pos="511"/>
                <w:tab w:val="left" w:pos="8641"/>
              </w:tabs>
              <w:overflowPunct w:val="0"/>
              <w:autoSpaceDE w:val="0"/>
              <w:spacing w:after="0" w:line="240" w:lineRule="auto"/>
              <w:jc w:val="both"/>
              <w:textAlignment w:val="baseline"/>
              <w:rPr>
                <w:rFonts w:ascii="Times New Roman" w:hAnsi="Times New Roman"/>
                <w:sz w:val="24"/>
                <w:szCs w:val="24"/>
                <w:lang w:eastAsia="ar-SA"/>
              </w:rPr>
            </w:pPr>
          </w:p>
        </w:tc>
      </w:tr>
    </w:tbl>
    <w:p w:rsidR="002D1E45" w:rsidRDefault="002D1E45" w:rsidP="00BF5FB4">
      <w:pPr>
        <w:spacing w:after="0" w:line="240" w:lineRule="auto"/>
        <w:ind w:firstLine="709"/>
        <w:jc w:val="both"/>
        <w:rPr>
          <w:rFonts w:ascii="Times New Roman" w:hAnsi="Times New Roman"/>
          <w:sz w:val="28"/>
          <w:szCs w:val="28"/>
          <w:lang w:eastAsia="ru-RU"/>
        </w:rPr>
      </w:pPr>
    </w:p>
    <w:p w:rsidR="002D1E45" w:rsidRPr="00BF5FB4" w:rsidRDefault="002D1E45" w:rsidP="00BF5FB4">
      <w:pPr>
        <w:spacing w:after="0" w:line="240" w:lineRule="auto"/>
        <w:ind w:firstLine="709"/>
        <w:jc w:val="both"/>
        <w:rPr>
          <w:rFonts w:ascii="Times New Roman" w:hAnsi="Times New Roman"/>
          <w:sz w:val="28"/>
          <w:szCs w:val="28"/>
          <w:lang w:eastAsia="ru-RU"/>
        </w:rPr>
      </w:pPr>
      <w:r w:rsidRPr="00BF5FB4">
        <w:rPr>
          <w:rFonts w:ascii="Times New Roman" w:hAnsi="Times New Roman"/>
          <w:sz w:val="28"/>
          <w:szCs w:val="28"/>
          <w:lang w:eastAsia="ru-RU"/>
        </w:rPr>
        <w:t>Процесс оценки риска чрезвычайной ситуации подразделяется на 5 последовательных этапов:</w:t>
      </w:r>
    </w:p>
    <w:p w:rsidR="002D1E45" w:rsidRPr="00BF5FB4" w:rsidRDefault="002D1E45" w:rsidP="00852938">
      <w:pPr>
        <w:numPr>
          <w:ilvl w:val="0"/>
          <w:numId w:val="24"/>
        </w:numPr>
        <w:tabs>
          <w:tab w:val="left" w:pos="1134"/>
        </w:tabs>
        <w:spacing w:after="0" w:line="240" w:lineRule="auto"/>
        <w:ind w:left="1134"/>
        <w:jc w:val="both"/>
        <w:rPr>
          <w:rFonts w:ascii="Times New Roman" w:hAnsi="Times New Roman"/>
          <w:sz w:val="28"/>
          <w:szCs w:val="28"/>
          <w:lang w:eastAsia="ru-RU"/>
        </w:rPr>
      </w:pPr>
      <w:r w:rsidRPr="00BF5FB4">
        <w:rPr>
          <w:rFonts w:ascii="Times New Roman" w:hAnsi="Times New Roman"/>
          <w:sz w:val="28"/>
          <w:szCs w:val="28"/>
          <w:lang w:eastAsia="ru-RU"/>
        </w:rPr>
        <w:t>идентификация опасности;</w:t>
      </w:r>
    </w:p>
    <w:p w:rsidR="002D1E45" w:rsidRPr="00BF5FB4" w:rsidRDefault="002D1E45" w:rsidP="00852938">
      <w:pPr>
        <w:numPr>
          <w:ilvl w:val="0"/>
          <w:numId w:val="24"/>
        </w:numPr>
        <w:tabs>
          <w:tab w:val="left" w:pos="1134"/>
        </w:tabs>
        <w:spacing w:after="0" w:line="240" w:lineRule="auto"/>
        <w:ind w:left="1134"/>
        <w:jc w:val="both"/>
        <w:rPr>
          <w:rFonts w:ascii="Times New Roman" w:hAnsi="Times New Roman"/>
          <w:sz w:val="28"/>
          <w:szCs w:val="28"/>
          <w:lang w:eastAsia="ru-RU"/>
        </w:rPr>
      </w:pPr>
      <w:r w:rsidRPr="00BF5FB4">
        <w:rPr>
          <w:rFonts w:ascii="Times New Roman" w:hAnsi="Times New Roman"/>
          <w:sz w:val="28"/>
          <w:szCs w:val="28"/>
          <w:lang w:eastAsia="ru-RU"/>
        </w:rPr>
        <w:t xml:space="preserve">построение полей поражающих факторов; </w:t>
      </w:r>
    </w:p>
    <w:p w:rsidR="002D1E45" w:rsidRPr="00BF5FB4" w:rsidRDefault="002D1E45" w:rsidP="00852938">
      <w:pPr>
        <w:numPr>
          <w:ilvl w:val="0"/>
          <w:numId w:val="24"/>
        </w:numPr>
        <w:tabs>
          <w:tab w:val="left" w:pos="1134"/>
        </w:tabs>
        <w:spacing w:after="0" w:line="240" w:lineRule="auto"/>
        <w:ind w:left="1134"/>
        <w:jc w:val="both"/>
        <w:rPr>
          <w:rFonts w:ascii="Times New Roman" w:hAnsi="Times New Roman"/>
          <w:sz w:val="28"/>
          <w:szCs w:val="28"/>
          <w:lang w:eastAsia="ru-RU"/>
        </w:rPr>
      </w:pPr>
      <w:r w:rsidRPr="00BF5FB4">
        <w:rPr>
          <w:rFonts w:ascii="Times New Roman" w:hAnsi="Times New Roman"/>
          <w:sz w:val="28"/>
          <w:szCs w:val="28"/>
          <w:lang w:eastAsia="ru-RU"/>
        </w:rPr>
        <w:t>выбор критериев поражения;</w:t>
      </w:r>
    </w:p>
    <w:p w:rsidR="002D1E45" w:rsidRPr="00BF5FB4" w:rsidRDefault="002D1E45" w:rsidP="00852938">
      <w:pPr>
        <w:numPr>
          <w:ilvl w:val="0"/>
          <w:numId w:val="24"/>
        </w:numPr>
        <w:tabs>
          <w:tab w:val="left" w:pos="1134"/>
        </w:tabs>
        <w:spacing w:after="0" w:line="240" w:lineRule="auto"/>
        <w:ind w:left="1134"/>
        <w:jc w:val="both"/>
        <w:rPr>
          <w:rFonts w:ascii="Times New Roman" w:hAnsi="Times New Roman"/>
          <w:sz w:val="28"/>
          <w:szCs w:val="28"/>
          <w:lang w:eastAsia="ru-RU"/>
        </w:rPr>
      </w:pPr>
      <w:r w:rsidRPr="00BF5FB4">
        <w:rPr>
          <w:rFonts w:ascii="Times New Roman" w:hAnsi="Times New Roman"/>
          <w:sz w:val="28"/>
          <w:szCs w:val="28"/>
          <w:lang w:eastAsia="ru-RU"/>
        </w:rPr>
        <w:t xml:space="preserve">оценка последствий воздействия поражающих факторов; </w:t>
      </w:r>
    </w:p>
    <w:p w:rsidR="002D1E45" w:rsidRPr="00BF5FB4" w:rsidRDefault="002D1E45" w:rsidP="00852938">
      <w:pPr>
        <w:numPr>
          <w:ilvl w:val="0"/>
          <w:numId w:val="24"/>
        </w:numPr>
        <w:tabs>
          <w:tab w:val="left" w:pos="1134"/>
        </w:tabs>
        <w:spacing w:after="0" w:line="240" w:lineRule="auto"/>
        <w:ind w:left="1134"/>
        <w:jc w:val="both"/>
        <w:rPr>
          <w:rFonts w:ascii="Times New Roman" w:hAnsi="Times New Roman"/>
          <w:sz w:val="28"/>
          <w:szCs w:val="28"/>
          <w:lang w:eastAsia="ru-RU"/>
        </w:rPr>
      </w:pPr>
      <w:r w:rsidRPr="00BF5FB4">
        <w:rPr>
          <w:rFonts w:ascii="Times New Roman" w:hAnsi="Times New Roman"/>
          <w:sz w:val="28"/>
          <w:szCs w:val="28"/>
          <w:lang w:eastAsia="ru-RU"/>
        </w:rPr>
        <w:t>расчёт показателей риска.</w:t>
      </w:r>
    </w:p>
    <w:p w:rsidR="002D1E45" w:rsidRPr="00BF5FB4" w:rsidRDefault="002D1E45" w:rsidP="00BF5FB4">
      <w:pPr>
        <w:spacing w:after="0" w:line="240" w:lineRule="auto"/>
        <w:ind w:firstLine="709"/>
        <w:jc w:val="both"/>
        <w:rPr>
          <w:rFonts w:ascii="Times New Roman" w:hAnsi="Times New Roman"/>
          <w:sz w:val="28"/>
          <w:szCs w:val="28"/>
          <w:lang w:eastAsia="ru-RU"/>
        </w:rPr>
      </w:pPr>
      <w:r w:rsidRPr="00BF5FB4">
        <w:rPr>
          <w:rFonts w:ascii="Times New Roman" w:hAnsi="Times New Roman"/>
          <w:sz w:val="28"/>
          <w:szCs w:val="28"/>
          <w:lang w:eastAsia="ru-RU"/>
        </w:rPr>
        <w:t>К числу основных расчётных показателей риска техногенного характера относятся:</w:t>
      </w:r>
    </w:p>
    <w:p w:rsidR="002D1E45" w:rsidRPr="00BF5FB4" w:rsidRDefault="002D1E45" w:rsidP="00852938">
      <w:pPr>
        <w:numPr>
          <w:ilvl w:val="0"/>
          <w:numId w:val="24"/>
        </w:numPr>
        <w:tabs>
          <w:tab w:val="left" w:pos="1134"/>
        </w:tabs>
        <w:spacing w:after="0" w:line="240" w:lineRule="auto"/>
        <w:ind w:left="1134"/>
        <w:jc w:val="both"/>
        <w:rPr>
          <w:rFonts w:ascii="Times New Roman" w:hAnsi="Times New Roman"/>
          <w:sz w:val="28"/>
          <w:szCs w:val="28"/>
          <w:lang w:eastAsia="ru-RU"/>
        </w:rPr>
      </w:pPr>
      <w:r w:rsidRPr="00BF5FB4">
        <w:rPr>
          <w:rFonts w:ascii="Times New Roman" w:hAnsi="Times New Roman"/>
          <w:sz w:val="28"/>
          <w:szCs w:val="28"/>
          <w:lang w:eastAsia="ru-RU"/>
        </w:rPr>
        <w:t>индивидуальный риск;</w:t>
      </w:r>
    </w:p>
    <w:p w:rsidR="002D1E45" w:rsidRPr="00BF5FB4" w:rsidRDefault="002D1E45" w:rsidP="00852938">
      <w:pPr>
        <w:numPr>
          <w:ilvl w:val="0"/>
          <w:numId w:val="24"/>
        </w:numPr>
        <w:tabs>
          <w:tab w:val="left" w:pos="1134"/>
        </w:tabs>
        <w:spacing w:after="0" w:line="240" w:lineRule="auto"/>
        <w:ind w:left="1134"/>
        <w:jc w:val="both"/>
        <w:rPr>
          <w:rFonts w:ascii="Times New Roman" w:hAnsi="Times New Roman"/>
          <w:sz w:val="28"/>
          <w:szCs w:val="28"/>
          <w:lang w:eastAsia="ru-RU"/>
        </w:rPr>
      </w:pPr>
      <w:r w:rsidRPr="00BF5FB4">
        <w:rPr>
          <w:rFonts w:ascii="Times New Roman" w:hAnsi="Times New Roman"/>
          <w:sz w:val="28"/>
          <w:szCs w:val="28"/>
          <w:lang w:eastAsia="ru-RU"/>
        </w:rPr>
        <w:t>коллективный риск;</w:t>
      </w:r>
    </w:p>
    <w:p w:rsidR="002D1E45" w:rsidRPr="00BF5FB4" w:rsidRDefault="002D1E45" w:rsidP="00852938">
      <w:pPr>
        <w:numPr>
          <w:ilvl w:val="0"/>
          <w:numId w:val="24"/>
        </w:numPr>
        <w:tabs>
          <w:tab w:val="left" w:pos="1134"/>
        </w:tabs>
        <w:spacing w:after="0" w:line="240" w:lineRule="auto"/>
        <w:ind w:left="1134"/>
        <w:jc w:val="both"/>
        <w:rPr>
          <w:rFonts w:ascii="Times New Roman" w:hAnsi="Times New Roman"/>
          <w:sz w:val="28"/>
          <w:szCs w:val="28"/>
          <w:lang w:eastAsia="ru-RU"/>
        </w:rPr>
      </w:pPr>
      <w:r w:rsidRPr="00BF5FB4">
        <w:rPr>
          <w:rFonts w:ascii="Times New Roman" w:hAnsi="Times New Roman"/>
          <w:sz w:val="28"/>
          <w:szCs w:val="28"/>
          <w:lang w:eastAsia="ru-RU"/>
        </w:rPr>
        <w:t>социальный риск;</w:t>
      </w:r>
    </w:p>
    <w:p w:rsidR="002D1E45" w:rsidRPr="00BF5FB4" w:rsidRDefault="002D1E45" w:rsidP="00852938">
      <w:pPr>
        <w:numPr>
          <w:ilvl w:val="0"/>
          <w:numId w:val="24"/>
        </w:numPr>
        <w:tabs>
          <w:tab w:val="left" w:pos="1134"/>
        </w:tabs>
        <w:spacing w:after="0" w:line="240" w:lineRule="auto"/>
        <w:ind w:left="1134"/>
        <w:jc w:val="both"/>
        <w:rPr>
          <w:rFonts w:ascii="Times New Roman" w:hAnsi="Times New Roman"/>
          <w:sz w:val="28"/>
          <w:szCs w:val="28"/>
          <w:lang w:eastAsia="ru-RU"/>
        </w:rPr>
      </w:pPr>
      <w:r w:rsidRPr="00BF5FB4">
        <w:rPr>
          <w:rFonts w:ascii="Times New Roman" w:hAnsi="Times New Roman"/>
          <w:sz w:val="28"/>
          <w:szCs w:val="28"/>
          <w:lang w:eastAsia="ru-RU"/>
        </w:rPr>
        <w:t>материальный риск;</w:t>
      </w:r>
    </w:p>
    <w:p w:rsidR="002D1E45" w:rsidRPr="00BF5FB4" w:rsidRDefault="002D1E45" w:rsidP="00852938">
      <w:pPr>
        <w:numPr>
          <w:ilvl w:val="0"/>
          <w:numId w:val="24"/>
        </w:numPr>
        <w:tabs>
          <w:tab w:val="left" w:pos="1134"/>
        </w:tabs>
        <w:spacing w:after="0" w:line="240" w:lineRule="auto"/>
        <w:ind w:left="1134"/>
        <w:jc w:val="both"/>
        <w:rPr>
          <w:rFonts w:ascii="Times New Roman" w:hAnsi="Times New Roman"/>
          <w:sz w:val="28"/>
          <w:szCs w:val="28"/>
          <w:lang w:eastAsia="ru-RU"/>
        </w:rPr>
      </w:pPr>
      <w:r w:rsidRPr="00BF5FB4">
        <w:rPr>
          <w:rFonts w:ascii="Times New Roman" w:hAnsi="Times New Roman"/>
          <w:sz w:val="28"/>
          <w:szCs w:val="28"/>
          <w:lang w:eastAsia="ru-RU"/>
        </w:rPr>
        <w:t>экономический риск.</w:t>
      </w:r>
    </w:p>
    <w:p w:rsidR="002D1E45" w:rsidRPr="00FB75F6" w:rsidRDefault="002D1E45" w:rsidP="00397CB3">
      <w:pPr>
        <w:spacing w:after="0" w:line="240" w:lineRule="auto"/>
        <w:ind w:firstLine="709"/>
        <w:jc w:val="both"/>
        <w:rPr>
          <w:rFonts w:ascii="Times New Roman" w:hAnsi="Times New Roman"/>
          <w:sz w:val="28"/>
          <w:szCs w:val="28"/>
          <w:lang w:eastAsia="ru-RU"/>
        </w:rPr>
      </w:pPr>
      <w:r w:rsidRPr="00397CB3">
        <w:rPr>
          <w:rFonts w:ascii="Times New Roman" w:hAnsi="Times New Roman"/>
          <w:sz w:val="28"/>
          <w:szCs w:val="28"/>
          <w:lang w:eastAsia="ru-RU"/>
        </w:rPr>
        <w:t>Город Куйбышев является муниципальным образованием, отнесённым к 1</w:t>
      </w:r>
      <w:r>
        <w:rPr>
          <w:rFonts w:ascii="Times New Roman" w:hAnsi="Times New Roman"/>
          <w:sz w:val="28"/>
          <w:szCs w:val="28"/>
          <w:lang w:eastAsia="ru-RU"/>
        </w:rPr>
        <w:t xml:space="preserve"> </w:t>
      </w:r>
      <w:r w:rsidRPr="00397CB3">
        <w:rPr>
          <w:rFonts w:ascii="Times New Roman" w:hAnsi="Times New Roman"/>
          <w:sz w:val="28"/>
          <w:szCs w:val="28"/>
          <w:lang w:eastAsia="ru-RU"/>
        </w:rPr>
        <w:t>группе по ГО, на территории города имеются: 1 организация особой важности, 1 организация</w:t>
      </w:r>
      <w:r>
        <w:rPr>
          <w:rFonts w:ascii="Times New Roman" w:hAnsi="Times New Roman"/>
          <w:sz w:val="28"/>
          <w:szCs w:val="28"/>
          <w:lang w:eastAsia="ru-RU"/>
        </w:rPr>
        <w:t xml:space="preserve"> </w:t>
      </w:r>
      <w:r w:rsidRPr="00397CB3">
        <w:rPr>
          <w:rFonts w:ascii="Times New Roman" w:hAnsi="Times New Roman"/>
          <w:sz w:val="28"/>
          <w:szCs w:val="28"/>
          <w:lang w:eastAsia="ru-RU"/>
        </w:rPr>
        <w:t>1 категории и 10 организаций 2 категории.</w:t>
      </w:r>
      <w:r w:rsidRPr="00FB75F6">
        <w:rPr>
          <w:rFonts w:ascii="Times New Roman" w:hAnsi="Times New Roman"/>
          <w:sz w:val="28"/>
          <w:szCs w:val="28"/>
          <w:lang w:eastAsia="ru-RU"/>
        </w:rPr>
        <w:t xml:space="preserve"> Территория </w:t>
      </w:r>
      <w:r>
        <w:rPr>
          <w:rFonts w:ascii="Times New Roman" w:hAnsi="Times New Roman"/>
          <w:sz w:val="28"/>
          <w:szCs w:val="28"/>
          <w:lang w:eastAsia="ru-RU"/>
        </w:rPr>
        <w:t>города</w:t>
      </w:r>
      <w:r w:rsidRPr="00FB75F6">
        <w:rPr>
          <w:rFonts w:ascii="Times New Roman" w:hAnsi="Times New Roman"/>
          <w:sz w:val="28"/>
          <w:szCs w:val="28"/>
          <w:lang w:eastAsia="ru-RU"/>
        </w:rPr>
        <w:t xml:space="preserve"> не принимает население по эвакомероприятиям.</w:t>
      </w:r>
    </w:p>
    <w:p w:rsidR="002D1E45" w:rsidRDefault="002D1E45" w:rsidP="00BF5FB4">
      <w:pPr>
        <w:spacing w:after="0" w:line="240" w:lineRule="auto"/>
        <w:ind w:firstLine="709"/>
        <w:jc w:val="both"/>
        <w:rPr>
          <w:rFonts w:ascii="Times New Roman" w:hAnsi="Times New Roman"/>
          <w:sz w:val="28"/>
          <w:szCs w:val="28"/>
        </w:rPr>
      </w:pPr>
    </w:p>
    <w:p w:rsidR="002D1E45" w:rsidRPr="00B868D1" w:rsidRDefault="002D1E45" w:rsidP="00852938">
      <w:pPr>
        <w:pStyle w:val="Heading3"/>
        <w:numPr>
          <w:ilvl w:val="2"/>
          <w:numId w:val="65"/>
        </w:numPr>
        <w:tabs>
          <w:tab w:val="left" w:pos="1418"/>
        </w:tabs>
        <w:spacing w:before="120"/>
        <w:ind w:left="1418" w:hanging="646"/>
        <w:jc w:val="both"/>
        <w:rPr>
          <w:rFonts w:ascii="Times New Roman" w:hAnsi="Times New Roman"/>
          <w:sz w:val="28"/>
        </w:rPr>
      </w:pPr>
      <w:bookmarkStart w:id="176" w:name="_Toc84936043"/>
      <w:r w:rsidRPr="0078289F">
        <w:rPr>
          <w:rFonts w:ascii="Times New Roman" w:hAnsi="Times New Roman"/>
          <w:sz w:val="28"/>
        </w:rPr>
        <w:t>Перечень возможных источников ЧС</w:t>
      </w:r>
      <w:r>
        <w:rPr>
          <w:rFonts w:ascii="Times New Roman" w:hAnsi="Times New Roman"/>
          <w:sz w:val="28"/>
        </w:rPr>
        <w:t> </w:t>
      </w:r>
      <w:r w:rsidRPr="0078289F">
        <w:rPr>
          <w:rFonts w:ascii="Times New Roman" w:hAnsi="Times New Roman"/>
          <w:sz w:val="28"/>
        </w:rPr>
        <w:t>природного характера, которые могут оказывать воздействие на</w:t>
      </w:r>
      <w:r>
        <w:rPr>
          <w:rFonts w:ascii="Times New Roman" w:hAnsi="Times New Roman"/>
          <w:sz w:val="28"/>
        </w:rPr>
        <w:t> </w:t>
      </w:r>
      <w:r w:rsidRPr="0078289F">
        <w:rPr>
          <w:rFonts w:ascii="Times New Roman" w:hAnsi="Times New Roman"/>
          <w:sz w:val="28"/>
        </w:rPr>
        <w:t>проектируемую территорию</w:t>
      </w:r>
      <w:bookmarkEnd w:id="176"/>
    </w:p>
    <w:p w:rsidR="002D1E45" w:rsidRPr="0078289F" w:rsidRDefault="002D1E45" w:rsidP="003A7901">
      <w:pPr>
        <w:tabs>
          <w:tab w:val="num" w:pos="1068"/>
          <w:tab w:val="left" w:pos="1134"/>
          <w:tab w:val="num" w:pos="1429"/>
        </w:tabs>
        <w:spacing w:after="0" w:line="240" w:lineRule="auto"/>
        <w:ind w:left="1069"/>
        <w:jc w:val="both"/>
        <w:rPr>
          <w:rFonts w:ascii="Times New Roman" w:hAnsi="Times New Roman"/>
          <w:sz w:val="28"/>
          <w:szCs w:val="28"/>
        </w:rPr>
      </w:pPr>
    </w:p>
    <w:p w:rsidR="002D1E45" w:rsidRPr="00991671" w:rsidRDefault="002D1E45" w:rsidP="00991671">
      <w:pPr>
        <w:spacing w:after="0" w:line="240" w:lineRule="auto"/>
        <w:ind w:firstLine="709"/>
        <w:jc w:val="both"/>
        <w:rPr>
          <w:rFonts w:ascii="Times New Roman" w:hAnsi="Times New Roman"/>
          <w:sz w:val="28"/>
          <w:szCs w:val="28"/>
        </w:rPr>
      </w:pPr>
      <w:r w:rsidRPr="00991671">
        <w:rPr>
          <w:rFonts w:ascii="Times New Roman" w:hAnsi="Times New Roman"/>
          <w:sz w:val="28"/>
          <w:szCs w:val="28"/>
        </w:rPr>
        <w:t>К территориям, подверженным воздействию чрезвычайных ситуаций природного характера в</w:t>
      </w:r>
      <w:r>
        <w:rPr>
          <w:rFonts w:ascii="Times New Roman" w:hAnsi="Times New Roman"/>
          <w:sz w:val="28"/>
          <w:szCs w:val="28"/>
        </w:rPr>
        <w:t> </w:t>
      </w:r>
      <w:r w:rsidRPr="00991671">
        <w:rPr>
          <w:rFonts w:ascii="Times New Roman" w:hAnsi="Times New Roman"/>
          <w:sz w:val="28"/>
          <w:szCs w:val="28"/>
        </w:rPr>
        <w:t xml:space="preserve">границах проектирования, относятся зоны проявления опасных природных процессов. </w:t>
      </w:r>
    </w:p>
    <w:p w:rsidR="002D1E45" w:rsidRPr="00991671" w:rsidRDefault="002D1E45" w:rsidP="00991671">
      <w:pPr>
        <w:spacing w:after="0" w:line="240" w:lineRule="auto"/>
        <w:ind w:firstLine="709"/>
        <w:jc w:val="both"/>
        <w:rPr>
          <w:rFonts w:ascii="Times New Roman" w:hAnsi="Times New Roman"/>
          <w:sz w:val="28"/>
          <w:szCs w:val="28"/>
        </w:rPr>
      </w:pPr>
      <w:r w:rsidRPr="00991671">
        <w:rPr>
          <w:rFonts w:ascii="Times New Roman" w:hAnsi="Times New Roman"/>
          <w:sz w:val="28"/>
          <w:szCs w:val="28"/>
        </w:rPr>
        <w:t>На рассматриваемой территории возможны следующие чрезвычайные ситуации.</w:t>
      </w:r>
    </w:p>
    <w:p w:rsidR="002D1E45" w:rsidRDefault="002D1E45" w:rsidP="00991671">
      <w:pPr>
        <w:spacing w:after="0" w:line="240" w:lineRule="auto"/>
        <w:ind w:firstLine="709"/>
        <w:jc w:val="right"/>
        <w:rPr>
          <w:rFonts w:ascii="Times New Roman" w:hAnsi="Times New Roman"/>
          <w:sz w:val="28"/>
          <w:szCs w:val="28"/>
        </w:rPr>
      </w:pPr>
    </w:p>
    <w:p w:rsidR="002D1E45" w:rsidRDefault="002D1E45" w:rsidP="00991671">
      <w:pPr>
        <w:spacing w:after="0" w:line="240" w:lineRule="auto"/>
        <w:ind w:firstLine="709"/>
        <w:jc w:val="right"/>
        <w:rPr>
          <w:rFonts w:ascii="Times New Roman" w:hAnsi="Times New Roman"/>
          <w:sz w:val="28"/>
          <w:szCs w:val="28"/>
        </w:rPr>
      </w:pPr>
    </w:p>
    <w:p w:rsidR="002D1E45" w:rsidRPr="00991671" w:rsidRDefault="002D1E45" w:rsidP="00991671">
      <w:pPr>
        <w:spacing w:after="0" w:line="240" w:lineRule="auto"/>
        <w:ind w:firstLine="709"/>
        <w:jc w:val="right"/>
        <w:rPr>
          <w:rFonts w:ascii="Times New Roman" w:hAnsi="Times New Roman"/>
          <w:sz w:val="28"/>
          <w:szCs w:val="28"/>
        </w:rPr>
      </w:pPr>
      <w:r w:rsidRPr="00991671">
        <w:rPr>
          <w:rFonts w:ascii="Times New Roman" w:hAnsi="Times New Roman"/>
          <w:sz w:val="28"/>
          <w:szCs w:val="28"/>
        </w:rPr>
        <w:t xml:space="preserve">Таблица </w:t>
      </w:r>
      <w:r w:rsidRPr="00991671">
        <w:rPr>
          <w:rFonts w:ascii="Times New Roman" w:hAnsi="Times New Roman"/>
          <w:sz w:val="28"/>
          <w:szCs w:val="28"/>
        </w:rPr>
        <w:fldChar w:fldCharType="begin"/>
      </w:r>
      <w:r w:rsidRPr="00991671">
        <w:rPr>
          <w:rFonts w:ascii="Times New Roman" w:hAnsi="Times New Roman"/>
          <w:sz w:val="28"/>
          <w:szCs w:val="28"/>
        </w:rPr>
        <w:instrText xml:space="preserve"> SEQ Таблица \* ARABIC </w:instrText>
      </w:r>
      <w:r w:rsidRPr="00991671">
        <w:rPr>
          <w:rFonts w:ascii="Times New Roman" w:hAnsi="Times New Roman"/>
          <w:sz w:val="28"/>
          <w:szCs w:val="28"/>
        </w:rPr>
        <w:fldChar w:fldCharType="separate"/>
      </w:r>
      <w:r>
        <w:rPr>
          <w:rFonts w:ascii="Times New Roman" w:hAnsi="Times New Roman"/>
          <w:noProof/>
          <w:sz w:val="28"/>
          <w:szCs w:val="28"/>
        </w:rPr>
        <w:t>26</w:t>
      </w:r>
      <w:r w:rsidRPr="00991671">
        <w:rPr>
          <w:rFonts w:ascii="Times New Roman" w:hAnsi="Times New Roman"/>
          <w:sz w:val="28"/>
          <w:szCs w:val="28"/>
        </w:rPr>
        <w:fldChar w:fldCharType="end"/>
      </w:r>
    </w:p>
    <w:p w:rsidR="002D1E45" w:rsidRDefault="002D1E45" w:rsidP="00C47EAC">
      <w:pPr>
        <w:spacing w:after="120" w:line="240" w:lineRule="auto"/>
        <w:jc w:val="center"/>
        <w:rPr>
          <w:rFonts w:ascii="Times New Roman" w:hAnsi="Times New Roman"/>
          <w:sz w:val="28"/>
          <w:szCs w:val="24"/>
          <w:lang w:eastAsia="ru-RU"/>
        </w:rPr>
      </w:pPr>
      <w:r w:rsidRPr="00991671">
        <w:rPr>
          <w:rFonts w:ascii="Times New Roman" w:hAnsi="Times New Roman"/>
          <w:sz w:val="28"/>
          <w:szCs w:val="24"/>
          <w:lang w:eastAsia="ru-RU"/>
        </w:rPr>
        <w:t>Источники возможных природных чрезвычайных ситуаций в</w:t>
      </w:r>
      <w:r>
        <w:rPr>
          <w:rFonts w:ascii="Times New Roman" w:hAnsi="Times New Roman"/>
          <w:sz w:val="28"/>
          <w:szCs w:val="24"/>
          <w:lang w:eastAsia="ru-RU"/>
        </w:rPr>
        <w:t> </w:t>
      </w:r>
      <w:r w:rsidRPr="00F75746">
        <w:rPr>
          <w:rFonts w:ascii="Times New Roman" w:hAnsi="Times New Roman"/>
          <w:sz w:val="28"/>
          <w:szCs w:val="28"/>
        </w:rPr>
        <w:t>город</w:t>
      </w:r>
      <w:r>
        <w:rPr>
          <w:rFonts w:ascii="Times New Roman" w:hAnsi="Times New Roman"/>
          <w:sz w:val="28"/>
          <w:szCs w:val="28"/>
        </w:rPr>
        <w:t>е</w:t>
      </w:r>
      <w:r w:rsidRPr="00F75746">
        <w:rPr>
          <w:rFonts w:ascii="Times New Roman" w:hAnsi="Times New Roman"/>
          <w:sz w:val="28"/>
          <w:szCs w:val="28"/>
        </w:rPr>
        <w:t xml:space="preserve"> Куйбышев</w:t>
      </w:r>
      <w:r>
        <w:rPr>
          <w:rFonts w:ascii="Times New Roman" w:hAnsi="Times New Roman"/>
          <w:sz w:val="28"/>
          <w:szCs w:val="28"/>
        </w:rPr>
        <w:t>е</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704"/>
        <w:gridCol w:w="2551"/>
        <w:gridCol w:w="2552"/>
        <w:gridCol w:w="3969"/>
      </w:tblGrid>
      <w:tr w:rsidR="002D1E45" w:rsidRPr="0006094F" w:rsidTr="007A0493">
        <w:trPr>
          <w:trHeight w:val="283"/>
          <w:tblHeader/>
          <w:jc w:val="center"/>
        </w:trPr>
        <w:tc>
          <w:tcPr>
            <w:tcW w:w="704" w:type="dxa"/>
            <w:vAlign w:val="center"/>
          </w:tcPr>
          <w:p w:rsidR="002D1E45" w:rsidRPr="007A0493" w:rsidRDefault="002D1E45" w:rsidP="007A0493">
            <w:pPr>
              <w:widowControl w:val="0"/>
              <w:spacing w:after="0" w:line="240" w:lineRule="auto"/>
              <w:ind w:right="37"/>
              <w:jc w:val="center"/>
              <w:rPr>
                <w:rFonts w:ascii="Times New Roman" w:hAnsi="Times New Roman"/>
                <w:sz w:val="24"/>
                <w:szCs w:val="24"/>
              </w:rPr>
            </w:pPr>
            <w:r w:rsidRPr="007A0493">
              <w:rPr>
                <w:rFonts w:ascii="Times New Roman" w:hAnsi="Times New Roman"/>
                <w:sz w:val="24"/>
                <w:szCs w:val="24"/>
              </w:rPr>
              <w:t>№ п/п</w:t>
            </w:r>
          </w:p>
        </w:tc>
        <w:tc>
          <w:tcPr>
            <w:tcW w:w="2551" w:type="dxa"/>
            <w:vAlign w:val="center"/>
          </w:tcPr>
          <w:p w:rsidR="002D1E45" w:rsidRPr="007A0493" w:rsidRDefault="002D1E45" w:rsidP="007A0493">
            <w:pPr>
              <w:widowControl w:val="0"/>
              <w:spacing w:after="0" w:line="240" w:lineRule="auto"/>
              <w:ind w:right="37"/>
              <w:jc w:val="center"/>
              <w:rPr>
                <w:rFonts w:ascii="Times New Roman" w:hAnsi="Times New Roman"/>
                <w:sz w:val="24"/>
                <w:szCs w:val="24"/>
              </w:rPr>
            </w:pPr>
            <w:r w:rsidRPr="007A0493">
              <w:rPr>
                <w:rFonts w:ascii="Times New Roman" w:hAnsi="Times New Roman"/>
                <w:sz w:val="24"/>
                <w:szCs w:val="24"/>
              </w:rPr>
              <w:t>Источник ЧС природного характера</w:t>
            </w:r>
          </w:p>
        </w:tc>
        <w:tc>
          <w:tcPr>
            <w:tcW w:w="2552" w:type="dxa"/>
            <w:vAlign w:val="center"/>
          </w:tcPr>
          <w:p w:rsidR="002D1E45" w:rsidRPr="007A0493" w:rsidRDefault="002D1E45" w:rsidP="007A0493">
            <w:pPr>
              <w:widowControl w:val="0"/>
              <w:spacing w:after="0" w:line="240" w:lineRule="auto"/>
              <w:ind w:right="37"/>
              <w:jc w:val="center"/>
              <w:rPr>
                <w:rFonts w:ascii="Times New Roman" w:hAnsi="Times New Roman"/>
                <w:sz w:val="24"/>
                <w:szCs w:val="24"/>
              </w:rPr>
            </w:pPr>
            <w:r w:rsidRPr="007A0493">
              <w:rPr>
                <w:rFonts w:ascii="Times New Roman" w:hAnsi="Times New Roman"/>
                <w:sz w:val="24"/>
                <w:szCs w:val="24"/>
              </w:rPr>
              <w:t>Наименование поражающего фактора</w:t>
            </w:r>
          </w:p>
        </w:tc>
        <w:tc>
          <w:tcPr>
            <w:tcW w:w="3969" w:type="dxa"/>
            <w:vAlign w:val="center"/>
          </w:tcPr>
          <w:p w:rsidR="002D1E45" w:rsidRPr="007A0493" w:rsidRDefault="002D1E45" w:rsidP="007A0493">
            <w:pPr>
              <w:widowControl w:val="0"/>
              <w:spacing w:after="0" w:line="240" w:lineRule="auto"/>
              <w:ind w:right="37"/>
              <w:jc w:val="center"/>
              <w:rPr>
                <w:rFonts w:ascii="Times New Roman" w:hAnsi="Times New Roman"/>
                <w:sz w:val="24"/>
                <w:szCs w:val="24"/>
              </w:rPr>
            </w:pPr>
            <w:r w:rsidRPr="007A0493">
              <w:rPr>
                <w:rFonts w:ascii="Times New Roman" w:hAnsi="Times New Roman"/>
                <w:sz w:val="24"/>
                <w:szCs w:val="24"/>
              </w:rPr>
              <w:t>Характер действия, проявления поражающего фактора источника ЧС природного характера</w:t>
            </w:r>
          </w:p>
        </w:tc>
      </w:tr>
      <w:tr w:rsidR="002D1E45" w:rsidRPr="0006094F" w:rsidTr="007A0493">
        <w:trPr>
          <w:trHeight w:val="283"/>
          <w:jc w:val="center"/>
        </w:trPr>
        <w:tc>
          <w:tcPr>
            <w:tcW w:w="704" w:type="dxa"/>
            <w:vAlign w:val="center"/>
          </w:tcPr>
          <w:p w:rsidR="002D1E45" w:rsidRPr="007A0493" w:rsidRDefault="002D1E45" w:rsidP="007A0493">
            <w:pPr>
              <w:widowControl w:val="0"/>
              <w:spacing w:after="0" w:line="240" w:lineRule="auto"/>
              <w:ind w:right="37"/>
              <w:jc w:val="center"/>
              <w:rPr>
                <w:rFonts w:ascii="Times New Roman" w:hAnsi="Times New Roman"/>
                <w:sz w:val="24"/>
                <w:szCs w:val="24"/>
              </w:rPr>
            </w:pPr>
            <w:r w:rsidRPr="007A0493">
              <w:rPr>
                <w:rFonts w:ascii="Times New Roman" w:hAnsi="Times New Roman"/>
                <w:sz w:val="24"/>
                <w:szCs w:val="24"/>
              </w:rPr>
              <w:t>1</w:t>
            </w:r>
          </w:p>
        </w:tc>
        <w:tc>
          <w:tcPr>
            <w:tcW w:w="9072" w:type="dxa"/>
            <w:gridSpan w:val="3"/>
            <w:vAlign w:val="center"/>
          </w:tcPr>
          <w:p w:rsidR="002D1E45" w:rsidRPr="007A0493" w:rsidRDefault="002D1E45" w:rsidP="007A0493">
            <w:pPr>
              <w:widowControl w:val="0"/>
              <w:spacing w:after="0" w:line="240" w:lineRule="auto"/>
              <w:ind w:right="37"/>
              <w:rPr>
                <w:rFonts w:ascii="Times New Roman" w:hAnsi="Times New Roman"/>
                <w:sz w:val="24"/>
                <w:szCs w:val="24"/>
              </w:rPr>
            </w:pPr>
            <w:r w:rsidRPr="007A0493">
              <w:rPr>
                <w:rFonts w:ascii="Times New Roman" w:hAnsi="Times New Roman"/>
                <w:sz w:val="24"/>
                <w:szCs w:val="24"/>
              </w:rPr>
              <w:t>Опасные гидрологические явления и процессы</w:t>
            </w:r>
          </w:p>
        </w:tc>
      </w:tr>
      <w:tr w:rsidR="002D1E45" w:rsidRPr="0006094F" w:rsidTr="007A0493">
        <w:trPr>
          <w:trHeight w:val="283"/>
          <w:jc w:val="center"/>
        </w:trPr>
        <w:tc>
          <w:tcPr>
            <w:tcW w:w="704" w:type="dxa"/>
            <w:vAlign w:val="center"/>
          </w:tcPr>
          <w:p w:rsidR="002D1E45" w:rsidRPr="007A0493" w:rsidRDefault="002D1E45" w:rsidP="007A0493">
            <w:pPr>
              <w:widowControl w:val="0"/>
              <w:spacing w:after="0" w:line="240" w:lineRule="auto"/>
              <w:ind w:right="37"/>
              <w:jc w:val="center"/>
              <w:rPr>
                <w:rFonts w:ascii="Times New Roman" w:hAnsi="Times New Roman"/>
                <w:sz w:val="24"/>
                <w:szCs w:val="24"/>
              </w:rPr>
            </w:pPr>
            <w:r w:rsidRPr="007A0493">
              <w:rPr>
                <w:rFonts w:ascii="Times New Roman" w:hAnsi="Times New Roman"/>
                <w:sz w:val="24"/>
                <w:szCs w:val="24"/>
              </w:rPr>
              <w:t>1.1</w:t>
            </w:r>
          </w:p>
        </w:tc>
        <w:tc>
          <w:tcPr>
            <w:tcW w:w="2551" w:type="dxa"/>
            <w:vAlign w:val="center"/>
          </w:tcPr>
          <w:p w:rsidR="002D1E45" w:rsidRPr="007A0493" w:rsidRDefault="002D1E45" w:rsidP="007A0493">
            <w:pPr>
              <w:widowControl w:val="0"/>
              <w:spacing w:after="0" w:line="240" w:lineRule="auto"/>
              <w:ind w:right="37"/>
              <w:rPr>
                <w:rFonts w:ascii="Times New Roman" w:hAnsi="Times New Roman"/>
                <w:sz w:val="24"/>
                <w:szCs w:val="24"/>
              </w:rPr>
            </w:pPr>
            <w:r w:rsidRPr="007A0493">
              <w:rPr>
                <w:rFonts w:ascii="Times New Roman" w:hAnsi="Times New Roman"/>
                <w:sz w:val="24"/>
                <w:szCs w:val="24"/>
              </w:rPr>
              <w:t>Наводнение</w:t>
            </w:r>
          </w:p>
        </w:tc>
        <w:tc>
          <w:tcPr>
            <w:tcW w:w="2552" w:type="dxa"/>
            <w:vAlign w:val="center"/>
          </w:tcPr>
          <w:p w:rsidR="002D1E45" w:rsidRPr="007A0493" w:rsidRDefault="002D1E45" w:rsidP="007A0493">
            <w:pPr>
              <w:widowControl w:val="0"/>
              <w:spacing w:after="0" w:line="240" w:lineRule="auto"/>
              <w:ind w:right="37"/>
              <w:rPr>
                <w:rFonts w:ascii="Times New Roman" w:hAnsi="Times New Roman"/>
                <w:sz w:val="24"/>
                <w:szCs w:val="24"/>
              </w:rPr>
            </w:pPr>
            <w:r w:rsidRPr="007A0493">
              <w:rPr>
                <w:rFonts w:ascii="Times New Roman" w:hAnsi="Times New Roman"/>
                <w:sz w:val="24"/>
                <w:szCs w:val="24"/>
              </w:rPr>
              <w:t>Гидродинамический</w:t>
            </w:r>
          </w:p>
        </w:tc>
        <w:tc>
          <w:tcPr>
            <w:tcW w:w="3969" w:type="dxa"/>
            <w:vAlign w:val="center"/>
          </w:tcPr>
          <w:p w:rsidR="002D1E45" w:rsidRPr="007A0493" w:rsidRDefault="002D1E45" w:rsidP="007A0493">
            <w:pPr>
              <w:widowControl w:val="0"/>
              <w:spacing w:after="0" w:line="240" w:lineRule="auto"/>
              <w:ind w:right="37"/>
              <w:rPr>
                <w:rFonts w:ascii="Times New Roman" w:hAnsi="Times New Roman"/>
                <w:sz w:val="24"/>
                <w:szCs w:val="24"/>
              </w:rPr>
            </w:pPr>
            <w:r w:rsidRPr="007A0493">
              <w:rPr>
                <w:rFonts w:ascii="Times New Roman" w:hAnsi="Times New Roman"/>
                <w:sz w:val="24"/>
                <w:szCs w:val="24"/>
              </w:rPr>
              <w:t>Поток (течение) воды</w:t>
            </w:r>
          </w:p>
        </w:tc>
      </w:tr>
      <w:tr w:rsidR="002D1E45" w:rsidRPr="0006094F" w:rsidTr="007A0493">
        <w:trPr>
          <w:trHeight w:val="283"/>
          <w:jc w:val="center"/>
        </w:trPr>
        <w:tc>
          <w:tcPr>
            <w:tcW w:w="704" w:type="dxa"/>
            <w:vAlign w:val="center"/>
          </w:tcPr>
          <w:p w:rsidR="002D1E45" w:rsidRPr="007A0493" w:rsidRDefault="002D1E45" w:rsidP="007A0493">
            <w:pPr>
              <w:widowControl w:val="0"/>
              <w:spacing w:after="0" w:line="240" w:lineRule="auto"/>
              <w:ind w:right="37"/>
              <w:jc w:val="center"/>
              <w:rPr>
                <w:rFonts w:ascii="Times New Roman" w:hAnsi="Times New Roman"/>
                <w:sz w:val="24"/>
                <w:szCs w:val="24"/>
              </w:rPr>
            </w:pPr>
            <w:r w:rsidRPr="007A0493">
              <w:rPr>
                <w:rFonts w:ascii="Times New Roman" w:hAnsi="Times New Roman"/>
                <w:sz w:val="24"/>
                <w:szCs w:val="24"/>
              </w:rPr>
              <w:t>2</w:t>
            </w:r>
          </w:p>
        </w:tc>
        <w:tc>
          <w:tcPr>
            <w:tcW w:w="9072" w:type="dxa"/>
            <w:gridSpan w:val="3"/>
            <w:vAlign w:val="center"/>
          </w:tcPr>
          <w:p w:rsidR="002D1E45" w:rsidRPr="007A0493" w:rsidRDefault="002D1E45" w:rsidP="007A0493">
            <w:pPr>
              <w:widowControl w:val="0"/>
              <w:spacing w:after="0" w:line="240" w:lineRule="auto"/>
              <w:ind w:right="37"/>
              <w:rPr>
                <w:rFonts w:ascii="Times New Roman" w:hAnsi="Times New Roman"/>
                <w:sz w:val="24"/>
                <w:szCs w:val="24"/>
              </w:rPr>
            </w:pPr>
            <w:r w:rsidRPr="007A0493">
              <w:rPr>
                <w:rFonts w:ascii="Times New Roman" w:hAnsi="Times New Roman"/>
                <w:sz w:val="24"/>
                <w:szCs w:val="24"/>
              </w:rPr>
              <w:t>Опасные метеорологические явления и процессы</w:t>
            </w:r>
          </w:p>
        </w:tc>
      </w:tr>
      <w:tr w:rsidR="002D1E45" w:rsidRPr="0006094F" w:rsidTr="007A0493">
        <w:trPr>
          <w:trHeight w:val="283"/>
          <w:jc w:val="center"/>
        </w:trPr>
        <w:tc>
          <w:tcPr>
            <w:tcW w:w="704" w:type="dxa"/>
            <w:vMerge w:val="restart"/>
            <w:vAlign w:val="center"/>
          </w:tcPr>
          <w:p w:rsidR="002D1E45" w:rsidRPr="007A0493" w:rsidRDefault="002D1E45" w:rsidP="007A0493">
            <w:pPr>
              <w:widowControl w:val="0"/>
              <w:spacing w:after="0" w:line="240" w:lineRule="auto"/>
              <w:ind w:right="37"/>
              <w:jc w:val="center"/>
              <w:rPr>
                <w:rFonts w:ascii="Times New Roman" w:hAnsi="Times New Roman"/>
                <w:sz w:val="24"/>
                <w:szCs w:val="24"/>
              </w:rPr>
            </w:pPr>
            <w:r w:rsidRPr="007A0493">
              <w:rPr>
                <w:rFonts w:ascii="Times New Roman" w:hAnsi="Times New Roman"/>
                <w:sz w:val="24"/>
                <w:szCs w:val="24"/>
              </w:rPr>
              <w:t>2.1</w:t>
            </w:r>
          </w:p>
        </w:tc>
        <w:tc>
          <w:tcPr>
            <w:tcW w:w="2551" w:type="dxa"/>
            <w:vMerge w:val="restart"/>
            <w:vAlign w:val="center"/>
          </w:tcPr>
          <w:p w:rsidR="002D1E45" w:rsidRPr="007A0493" w:rsidRDefault="002D1E45" w:rsidP="007A0493">
            <w:pPr>
              <w:widowControl w:val="0"/>
              <w:spacing w:after="0" w:line="240" w:lineRule="auto"/>
              <w:ind w:right="37"/>
              <w:rPr>
                <w:rFonts w:ascii="Times New Roman" w:hAnsi="Times New Roman"/>
                <w:sz w:val="24"/>
                <w:szCs w:val="24"/>
              </w:rPr>
            </w:pPr>
            <w:r w:rsidRPr="007A0493">
              <w:rPr>
                <w:rFonts w:ascii="Times New Roman" w:hAnsi="Times New Roman"/>
                <w:sz w:val="24"/>
                <w:szCs w:val="24"/>
              </w:rPr>
              <w:t>Сильный ветер (шторм, шквал, ураган)</w:t>
            </w:r>
          </w:p>
        </w:tc>
        <w:tc>
          <w:tcPr>
            <w:tcW w:w="2552" w:type="dxa"/>
            <w:vMerge w:val="restart"/>
            <w:vAlign w:val="center"/>
          </w:tcPr>
          <w:p w:rsidR="002D1E45" w:rsidRPr="007A0493" w:rsidRDefault="002D1E45" w:rsidP="007A0493">
            <w:pPr>
              <w:widowControl w:val="0"/>
              <w:spacing w:after="0" w:line="240" w:lineRule="auto"/>
              <w:ind w:right="37"/>
              <w:rPr>
                <w:rFonts w:ascii="Times New Roman" w:hAnsi="Times New Roman"/>
                <w:sz w:val="24"/>
                <w:szCs w:val="24"/>
              </w:rPr>
            </w:pPr>
            <w:r w:rsidRPr="007A0493">
              <w:rPr>
                <w:rFonts w:ascii="Times New Roman" w:hAnsi="Times New Roman"/>
                <w:sz w:val="24"/>
                <w:szCs w:val="24"/>
              </w:rPr>
              <w:t>Аэродинамический</w:t>
            </w:r>
          </w:p>
        </w:tc>
        <w:tc>
          <w:tcPr>
            <w:tcW w:w="3969" w:type="dxa"/>
            <w:vAlign w:val="center"/>
          </w:tcPr>
          <w:p w:rsidR="002D1E45" w:rsidRPr="007A0493" w:rsidRDefault="002D1E45" w:rsidP="007A0493">
            <w:pPr>
              <w:widowControl w:val="0"/>
              <w:spacing w:after="0" w:line="240" w:lineRule="auto"/>
              <w:ind w:right="37"/>
              <w:rPr>
                <w:rFonts w:ascii="Times New Roman" w:hAnsi="Times New Roman"/>
                <w:sz w:val="24"/>
                <w:szCs w:val="24"/>
              </w:rPr>
            </w:pPr>
            <w:r w:rsidRPr="007A0493">
              <w:rPr>
                <w:rFonts w:ascii="Times New Roman" w:hAnsi="Times New Roman"/>
                <w:sz w:val="24"/>
                <w:szCs w:val="24"/>
              </w:rPr>
              <w:t>Ветровой поток</w:t>
            </w:r>
          </w:p>
        </w:tc>
      </w:tr>
      <w:tr w:rsidR="002D1E45" w:rsidRPr="0006094F" w:rsidTr="007A0493">
        <w:trPr>
          <w:trHeight w:val="283"/>
          <w:jc w:val="center"/>
        </w:trPr>
        <w:tc>
          <w:tcPr>
            <w:tcW w:w="704" w:type="dxa"/>
            <w:vMerge/>
            <w:vAlign w:val="center"/>
          </w:tcPr>
          <w:p w:rsidR="002D1E45" w:rsidRPr="007A0493" w:rsidRDefault="002D1E45" w:rsidP="007A0493">
            <w:pPr>
              <w:widowControl w:val="0"/>
              <w:spacing w:after="0" w:line="240" w:lineRule="auto"/>
              <w:ind w:right="37"/>
              <w:jc w:val="center"/>
              <w:rPr>
                <w:rFonts w:ascii="Times New Roman" w:hAnsi="Times New Roman"/>
                <w:sz w:val="24"/>
                <w:szCs w:val="24"/>
              </w:rPr>
            </w:pPr>
          </w:p>
        </w:tc>
        <w:tc>
          <w:tcPr>
            <w:tcW w:w="2551" w:type="dxa"/>
            <w:vMerge/>
            <w:vAlign w:val="center"/>
          </w:tcPr>
          <w:p w:rsidR="002D1E45" w:rsidRPr="007A0493" w:rsidRDefault="002D1E45" w:rsidP="007A0493">
            <w:pPr>
              <w:widowControl w:val="0"/>
              <w:spacing w:after="0" w:line="240" w:lineRule="auto"/>
              <w:ind w:right="37"/>
              <w:rPr>
                <w:rFonts w:ascii="Times New Roman" w:hAnsi="Times New Roman"/>
                <w:sz w:val="24"/>
                <w:szCs w:val="24"/>
              </w:rPr>
            </w:pPr>
          </w:p>
        </w:tc>
        <w:tc>
          <w:tcPr>
            <w:tcW w:w="2552" w:type="dxa"/>
            <w:vMerge/>
            <w:vAlign w:val="center"/>
          </w:tcPr>
          <w:p w:rsidR="002D1E45" w:rsidRPr="007A0493" w:rsidRDefault="002D1E45" w:rsidP="007A0493">
            <w:pPr>
              <w:widowControl w:val="0"/>
              <w:spacing w:after="0" w:line="240" w:lineRule="auto"/>
              <w:ind w:right="37"/>
              <w:rPr>
                <w:rFonts w:ascii="Times New Roman" w:hAnsi="Times New Roman"/>
                <w:sz w:val="24"/>
                <w:szCs w:val="24"/>
              </w:rPr>
            </w:pPr>
          </w:p>
        </w:tc>
        <w:tc>
          <w:tcPr>
            <w:tcW w:w="3969" w:type="dxa"/>
            <w:vAlign w:val="center"/>
          </w:tcPr>
          <w:p w:rsidR="002D1E45" w:rsidRPr="007A0493" w:rsidRDefault="002D1E45" w:rsidP="007A0493">
            <w:pPr>
              <w:widowControl w:val="0"/>
              <w:spacing w:after="0" w:line="240" w:lineRule="auto"/>
              <w:ind w:right="37"/>
              <w:rPr>
                <w:rFonts w:ascii="Times New Roman" w:hAnsi="Times New Roman"/>
                <w:sz w:val="24"/>
                <w:szCs w:val="24"/>
              </w:rPr>
            </w:pPr>
            <w:r w:rsidRPr="007A0493">
              <w:rPr>
                <w:rFonts w:ascii="Times New Roman" w:hAnsi="Times New Roman"/>
                <w:sz w:val="24"/>
                <w:szCs w:val="24"/>
              </w:rPr>
              <w:t>Ветровая нагрузка</w:t>
            </w:r>
          </w:p>
        </w:tc>
      </w:tr>
      <w:tr w:rsidR="002D1E45" w:rsidRPr="0006094F" w:rsidTr="007A0493">
        <w:trPr>
          <w:trHeight w:val="283"/>
          <w:jc w:val="center"/>
        </w:trPr>
        <w:tc>
          <w:tcPr>
            <w:tcW w:w="704" w:type="dxa"/>
            <w:vMerge/>
            <w:vAlign w:val="center"/>
          </w:tcPr>
          <w:p w:rsidR="002D1E45" w:rsidRPr="007A0493" w:rsidRDefault="002D1E45" w:rsidP="007A0493">
            <w:pPr>
              <w:widowControl w:val="0"/>
              <w:spacing w:after="0" w:line="240" w:lineRule="auto"/>
              <w:ind w:right="37"/>
              <w:jc w:val="center"/>
              <w:rPr>
                <w:rFonts w:ascii="Times New Roman" w:hAnsi="Times New Roman"/>
                <w:sz w:val="24"/>
                <w:szCs w:val="24"/>
              </w:rPr>
            </w:pPr>
          </w:p>
        </w:tc>
        <w:tc>
          <w:tcPr>
            <w:tcW w:w="2551" w:type="dxa"/>
            <w:vMerge/>
            <w:vAlign w:val="center"/>
          </w:tcPr>
          <w:p w:rsidR="002D1E45" w:rsidRPr="007A0493" w:rsidRDefault="002D1E45" w:rsidP="007A0493">
            <w:pPr>
              <w:widowControl w:val="0"/>
              <w:spacing w:after="0" w:line="240" w:lineRule="auto"/>
              <w:ind w:right="37"/>
              <w:rPr>
                <w:rFonts w:ascii="Times New Roman" w:hAnsi="Times New Roman"/>
                <w:sz w:val="24"/>
                <w:szCs w:val="24"/>
              </w:rPr>
            </w:pPr>
          </w:p>
        </w:tc>
        <w:tc>
          <w:tcPr>
            <w:tcW w:w="2552" w:type="dxa"/>
            <w:vMerge/>
            <w:vAlign w:val="center"/>
          </w:tcPr>
          <w:p w:rsidR="002D1E45" w:rsidRPr="007A0493" w:rsidRDefault="002D1E45" w:rsidP="007A0493">
            <w:pPr>
              <w:widowControl w:val="0"/>
              <w:spacing w:after="0" w:line="240" w:lineRule="auto"/>
              <w:ind w:right="37"/>
              <w:rPr>
                <w:rFonts w:ascii="Times New Roman" w:hAnsi="Times New Roman"/>
                <w:sz w:val="24"/>
                <w:szCs w:val="24"/>
              </w:rPr>
            </w:pPr>
          </w:p>
        </w:tc>
        <w:tc>
          <w:tcPr>
            <w:tcW w:w="3969" w:type="dxa"/>
            <w:vAlign w:val="center"/>
          </w:tcPr>
          <w:p w:rsidR="002D1E45" w:rsidRPr="007A0493" w:rsidRDefault="002D1E45" w:rsidP="007A0493">
            <w:pPr>
              <w:widowControl w:val="0"/>
              <w:spacing w:after="0" w:line="240" w:lineRule="auto"/>
              <w:ind w:right="37"/>
              <w:rPr>
                <w:rFonts w:ascii="Times New Roman" w:hAnsi="Times New Roman"/>
                <w:sz w:val="24"/>
                <w:szCs w:val="24"/>
              </w:rPr>
            </w:pPr>
            <w:r w:rsidRPr="007A0493">
              <w:rPr>
                <w:rFonts w:ascii="Times New Roman" w:hAnsi="Times New Roman"/>
                <w:sz w:val="24"/>
                <w:szCs w:val="24"/>
              </w:rPr>
              <w:t>Аэродинамическое давление Вибрация</w:t>
            </w:r>
          </w:p>
        </w:tc>
      </w:tr>
      <w:tr w:rsidR="002D1E45" w:rsidRPr="0006094F" w:rsidTr="007A0493">
        <w:trPr>
          <w:trHeight w:val="283"/>
          <w:jc w:val="center"/>
        </w:trPr>
        <w:tc>
          <w:tcPr>
            <w:tcW w:w="704" w:type="dxa"/>
            <w:vAlign w:val="center"/>
          </w:tcPr>
          <w:p w:rsidR="002D1E45" w:rsidRPr="007A0493" w:rsidRDefault="002D1E45" w:rsidP="007A0493">
            <w:pPr>
              <w:widowControl w:val="0"/>
              <w:spacing w:after="0" w:line="240" w:lineRule="auto"/>
              <w:ind w:right="37"/>
              <w:jc w:val="center"/>
              <w:rPr>
                <w:rFonts w:ascii="Times New Roman" w:hAnsi="Times New Roman"/>
                <w:sz w:val="24"/>
                <w:szCs w:val="24"/>
              </w:rPr>
            </w:pPr>
            <w:r w:rsidRPr="007A0493">
              <w:rPr>
                <w:rFonts w:ascii="Times New Roman" w:hAnsi="Times New Roman"/>
                <w:sz w:val="24"/>
                <w:szCs w:val="24"/>
              </w:rPr>
              <w:t>2.2</w:t>
            </w:r>
          </w:p>
        </w:tc>
        <w:tc>
          <w:tcPr>
            <w:tcW w:w="9072" w:type="dxa"/>
            <w:gridSpan w:val="3"/>
            <w:vAlign w:val="center"/>
          </w:tcPr>
          <w:p w:rsidR="002D1E45" w:rsidRPr="007A0493" w:rsidRDefault="002D1E45" w:rsidP="007A0493">
            <w:pPr>
              <w:widowControl w:val="0"/>
              <w:spacing w:after="0" w:line="240" w:lineRule="auto"/>
              <w:ind w:right="37"/>
              <w:rPr>
                <w:rFonts w:ascii="Times New Roman" w:hAnsi="Times New Roman"/>
                <w:sz w:val="24"/>
                <w:szCs w:val="24"/>
              </w:rPr>
            </w:pPr>
            <w:r w:rsidRPr="007A0493">
              <w:rPr>
                <w:rFonts w:ascii="Times New Roman" w:hAnsi="Times New Roman"/>
                <w:sz w:val="24"/>
                <w:szCs w:val="24"/>
              </w:rPr>
              <w:t>Сильные осадки</w:t>
            </w:r>
          </w:p>
        </w:tc>
      </w:tr>
      <w:tr w:rsidR="002D1E45" w:rsidRPr="0006094F" w:rsidTr="007A0493">
        <w:trPr>
          <w:trHeight w:val="283"/>
          <w:jc w:val="center"/>
        </w:trPr>
        <w:tc>
          <w:tcPr>
            <w:tcW w:w="704" w:type="dxa"/>
            <w:vMerge w:val="restart"/>
            <w:vAlign w:val="center"/>
          </w:tcPr>
          <w:p w:rsidR="002D1E45" w:rsidRPr="007A0493" w:rsidRDefault="002D1E45" w:rsidP="007A0493">
            <w:pPr>
              <w:widowControl w:val="0"/>
              <w:spacing w:after="0" w:line="240" w:lineRule="auto"/>
              <w:ind w:right="37"/>
              <w:jc w:val="center"/>
              <w:rPr>
                <w:rFonts w:ascii="Times New Roman" w:hAnsi="Times New Roman"/>
                <w:sz w:val="24"/>
                <w:szCs w:val="24"/>
              </w:rPr>
            </w:pPr>
            <w:r w:rsidRPr="007A0493">
              <w:rPr>
                <w:rFonts w:ascii="Times New Roman" w:hAnsi="Times New Roman"/>
                <w:sz w:val="24"/>
                <w:szCs w:val="24"/>
              </w:rPr>
              <w:t>2.2.1</w:t>
            </w:r>
          </w:p>
        </w:tc>
        <w:tc>
          <w:tcPr>
            <w:tcW w:w="2551" w:type="dxa"/>
            <w:vMerge w:val="restart"/>
            <w:vAlign w:val="center"/>
          </w:tcPr>
          <w:p w:rsidR="002D1E45" w:rsidRPr="007A0493" w:rsidRDefault="002D1E45" w:rsidP="007A0493">
            <w:pPr>
              <w:widowControl w:val="0"/>
              <w:spacing w:after="0" w:line="240" w:lineRule="auto"/>
              <w:ind w:right="37"/>
              <w:rPr>
                <w:rFonts w:ascii="Times New Roman" w:hAnsi="Times New Roman"/>
                <w:sz w:val="24"/>
                <w:szCs w:val="24"/>
              </w:rPr>
            </w:pPr>
            <w:r w:rsidRPr="007A0493">
              <w:rPr>
                <w:rFonts w:ascii="Times New Roman" w:hAnsi="Times New Roman"/>
                <w:sz w:val="24"/>
                <w:szCs w:val="24"/>
              </w:rPr>
              <w:t>Продолжительный дождь (ливень)</w:t>
            </w:r>
          </w:p>
        </w:tc>
        <w:tc>
          <w:tcPr>
            <w:tcW w:w="2552" w:type="dxa"/>
            <w:vMerge w:val="restart"/>
            <w:vAlign w:val="center"/>
          </w:tcPr>
          <w:p w:rsidR="002D1E45" w:rsidRPr="007A0493" w:rsidRDefault="002D1E45" w:rsidP="007A0493">
            <w:pPr>
              <w:widowControl w:val="0"/>
              <w:spacing w:after="0" w:line="240" w:lineRule="auto"/>
              <w:ind w:right="37"/>
              <w:rPr>
                <w:rFonts w:ascii="Times New Roman" w:hAnsi="Times New Roman"/>
                <w:sz w:val="24"/>
                <w:szCs w:val="24"/>
              </w:rPr>
            </w:pPr>
          </w:p>
        </w:tc>
        <w:tc>
          <w:tcPr>
            <w:tcW w:w="3969" w:type="dxa"/>
            <w:vAlign w:val="center"/>
          </w:tcPr>
          <w:p w:rsidR="002D1E45" w:rsidRPr="007A0493" w:rsidRDefault="002D1E45" w:rsidP="007A0493">
            <w:pPr>
              <w:widowControl w:val="0"/>
              <w:spacing w:after="0" w:line="240" w:lineRule="auto"/>
              <w:ind w:right="37"/>
              <w:rPr>
                <w:rFonts w:ascii="Times New Roman" w:hAnsi="Times New Roman"/>
                <w:sz w:val="24"/>
                <w:szCs w:val="24"/>
              </w:rPr>
            </w:pPr>
            <w:r w:rsidRPr="007A0493">
              <w:rPr>
                <w:rFonts w:ascii="Times New Roman" w:hAnsi="Times New Roman"/>
                <w:sz w:val="24"/>
                <w:szCs w:val="24"/>
              </w:rPr>
              <w:t>Поток (течение) воды</w:t>
            </w:r>
          </w:p>
        </w:tc>
      </w:tr>
      <w:tr w:rsidR="002D1E45" w:rsidRPr="0006094F" w:rsidTr="007A0493">
        <w:trPr>
          <w:trHeight w:val="283"/>
          <w:jc w:val="center"/>
        </w:trPr>
        <w:tc>
          <w:tcPr>
            <w:tcW w:w="704" w:type="dxa"/>
            <w:vMerge/>
            <w:vAlign w:val="center"/>
          </w:tcPr>
          <w:p w:rsidR="002D1E45" w:rsidRPr="007A0493" w:rsidRDefault="002D1E45" w:rsidP="007A0493">
            <w:pPr>
              <w:widowControl w:val="0"/>
              <w:spacing w:after="0" w:line="240" w:lineRule="auto"/>
              <w:ind w:right="37"/>
              <w:jc w:val="center"/>
              <w:rPr>
                <w:rFonts w:ascii="Times New Roman" w:hAnsi="Times New Roman"/>
                <w:sz w:val="24"/>
                <w:szCs w:val="24"/>
              </w:rPr>
            </w:pPr>
          </w:p>
        </w:tc>
        <w:tc>
          <w:tcPr>
            <w:tcW w:w="2551" w:type="dxa"/>
            <w:vMerge/>
            <w:vAlign w:val="center"/>
          </w:tcPr>
          <w:p w:rsidR="002D1E45" w:rsidRPr="007A0493" w:rsidRDefault="002D1E45" w:rsidP="007A0493">
            <w:pPr>
              <w:widowControl w:val="0"/>
              <w:spacing w:after="0" w:line="240" w:lineRule="auto"/>
              <w:ind w:right="37"/>
              <w:rPr>
                <w:rFonts w:ascii="Times New Roman" w:hAnsi="Times New Roman"/>
                <w:sz w:val="24"/>
                <w:szCs w:val="24"/>
              </w:rPr>
            </w:pPr>
          </w:p>
        </w:tc>
        <w:tc>
          <w:tcPr>
            <w:tcW w:w="2552" w:type="dxa"/>
            <w:vMerge/>
            <w:vAlign w:val="center"/>
          </w:tcPr>
          <w:p w:rsidR="002D1E45" w:rsidRPr="007A0493" w:rsidRDefault="002D1E45" w:rsidP="007A0493">
            <w:pPr>
              <w:widowControl w:val="0"/>
              <w:spacing w:after="0" w:line="240" w:lineRule="auto"/>
              <w:ind w:right="37"/>
              <w:rPr>
                <w:rFonts w:ascii="Times New Roman" w:hAnsi="Times New Roman"/>
                <w:sz w:val="24"/>
                <w:szCs w:val="24"/>
              </w:rPr>
            </w:pPr>
          </w:p>
        </w:tc>
        <w:tc>
          <w:tcPr>
            <w:tcW w:w="3969" w:type="dxa"/>
            <w:vAlign w:val="center"/>
          </w:tcPr>
          <w:p w:rsidR="002D1E45" w:rsidRPr="007A0493" w:rsidRDefault="002D1E45" w:rsidP="007A0493">
            <w:pPr>
              <w:widowControl w:val="0"/>
              <w:spacing w:after="0" w:line="240" w:lineRule="auto"/>
              <w:ind w:right="37"/>
              <w:rPr>
                <w:rFonts w:ascii="Times New Roman" w:hAnsi="Times New Roman"/>
                <w:sz w:val="24"/>
                <w:szCs w:val="24"/>
              </w:rPr>
            </w:pPr>
            <w:r w:rsidRPr="007A0493">
              <w:rPr>
                <w:rFonts w:ascii="Times New Roman" w:hAnsi="Times New Roman"/>
                <w:sz w:val="24"/>
                <w:szCs w:val="24"/>
              </w:rPr>
              <w:t>Затопление территории</w:t>
            </w:r>
          </w:p>
        </w:tc>
      </w:tr>
      <w:tr w:rsidR="002D1E45" w:rsidRPr="0006094F" w:rsidTr="007A0493">
        <w:trPr>
          <w:trHeight w:val="283"/>
          <w:jc w:val="center"/>
        </w:trPr>
        <w:tc>
          <w:tcPr>
            <w:tcW w:w="704" w:type="dxa"/>
            <w:vMerge w:val="restart"/>
            <w:vAlign w:val="center"/>
          </w:tcPr>
          <w:p w:rsidR="002D1E45" w:rsidRPr="007A0493" w:rsidRDefault="002D1E45" w:rsidP="007A0493">
            <w:pPr>
              <w:widowControl w:val="0"/>
              <w:spacing w:after="0" w:line="240" w:lineRule="auto"/>
              <w:ind w:right="37"/>
              <w:jc w:val="center"/>
              <w:rPr>
                <w:rFonts w:ascii="Times New Roman" w:hAnsi="Times New Roman"/>
                <w:sz w:val="24"/>
                <w:szCs w:val="24"/>
              </w:rPr>
            </w:pPr>
            <w:r w:rsidRPr="007A0493">
              <w:rPr>
                <w:rFonts w:ascii="Times New Roman" w:hAnsi="Times New Roman"/>
                <w:sz w:val="24"/>
                <w:szCs w:val="24"/>
              </w:rPr>
              <w:t>2.2.2</w:t>
            </w:r>
          </w:p>
        </w:tc>
        <w:tc>
          <w:tcPr>
            <w:tcW w:w="2551" w:type="dxa"/>
            <w:vMerge w:val="restart"/>
            <w:vAlign w:val="center"/>
          </w:tcPr>
          <w:p w:rsidR="002D1E45" w:rsidRPr="007A0493" w:rsidRDefault="002D1E45" w:rsidP="007A0493">
            <w:pPr>
              <w:widowControl w:val="0"/>
              <w:spacing w:after="0" w:line="240" w:lineRule="auto"/>
              <w:ind w:right="37"/>
              <w:rPr>
                <w:rFonts w:ascii="Times New Roman" w:hAnsi="Times New Roman"/>
                <w:sz w:val="24"/>
                <w:szCs w:val="24"/>
              </w:rPr>
            </w:pPr>
            <w:r w:rsidRPr="007A0493">
              <w:rPr>
                <w:rFonts w:ascii="Times New Roman" w:hAnsi="Times New Roman"/>
                <w:sz w:val="24"/>
                <w:szCs w:val="24"/>
              </w:rPr>
              <w:t>Сильный снегопад</w:t>
            </w:r>
          </w:p>
        </w:tc>
        <w:tc>
          <w:tcPr>
            <w:tcW w:w="2552" w:type="dxa"/>
            <w:vMerge w:val="restart"/>
            <w:vAlign w:val="center"/>
          </w:tcPr>
          <w:p w:rsidR="002D1E45" w:rsidRPr="007A0493" w:rsidRDefault="002D1E45" w:rsidP="007A0493">
            <w:pPr>
              <w:widowControl w:val="0"/>
              <w:spacing w:after="0" w:line="240" w:lineRule="auto"/>
              <w:ind w:right="37"/>
              <w:rPr>
                <w:rFonts w:ascii="Times New Roman" w:hAnsi="Times New Roman"/>
                <w:sz w:val="24"/>
                <w:szCs w:val="24"/>
              </w:rPr>
            </w:pPr>
            <w:r w:rsidRPr="007A0493">
              <w:rPr>
                <w:rFonts w:ascii="Times New Roman" w:hAnsi="Times New Roman"/>
                <w:sz w:val="24"/>
                <w:szCs w:val="24"/>
              </w:rPr>
              <w:t>Гидродинамический</w:t>
            </w:r>
          </w:p>
        </w:tc>
        <w:tc>
          <w:tcPr>
            <w:tcW w:w="3969" w:type="dxa"/>
            <w:vAlign w:val="center"/>
          </w:tcPr>
          <w:p w:rsidR="002D1E45" w:rsidRPr="007A0493" w:rsidRDefault="002D1E45" w:rsidP="007A0493">
            <w:pPr>
              <w:widowControl w:val="0"/>
              <w:spacing w:after="0" w:line="240" w:lineRule="auto"/>
              <w:ind w:right="37"/>
              <w:rPr>
                <w:rFonts w:ascii="Times New Roman" w:hAnsi="Times New Roman"/>
                <w:sz w:val="24"/>
                <w:szCs w:val="24"/>
              </w:rPr>
            </w:pPr>
            <w:r w:rsidRPr="007A0493">
              <w:rPr>
                <w:rFonts w:ascii="Times New Roman" w:hAnsi="Times New Roman"/>
                <w:sz w:val="24"/>
                <w:szCs w:val="24"/>
              </w:rPr>
              <w:t>Снеговая нагрузка</w:t>
            </w:r>
          </w:p>
        </w:tc>
      </w:tr>
      <w:tr w:rsidR="002D1E45" w:rsidRPr="0006094F" w:rsidTr="007A0493">
        <w:trPr>
          <w:trHeight w:val="283"/>
          <w:jc w:val="center"/>
        </w:trPr>
        <w:tc>
          <w:tcPr>
            <w:tcW w:w="704" w:type="dxa"/>
            <w:vMerge/>
            <w:vAlign w:val="center"/>
          </w:tcPr>
          <w:p w:rsidR="002D1E45" w:rsidRPr="007A0493" w:rsidRDefault="002D1E45" w:rsidP="007A0493">
            <w:pPr>
              <w:widowControl w:val="0"/>
              <w:spacing w:after="0" w:line="240" w:lineRule="auto"/>
              <w:ind w:right="37"/>
              <w:jc w:val="center"/>
              <w:rPr>
                <w:rFonts w:ascii="Times New Roman" w:hAnsi="Times New Roman"/>
                <w:sz w:val="24"/>
                <w:szCs w:val="24"/>
              </w:rPr>
            </w:pPr>
          </w:p>
        </w:tc>
        <w:tc>
          <w:tcPr>
            <w:tcW w:w="2551" w:type="dxa"/>
            <w:vMerge/>
            <w:vAlign w:val="center"/>
          </w:tcPr>
          <w:p w:rsidR="002D1E45" w:rsidRPr="007A0493" w:rsidRDefault="002D1E45" w:rsidP="007A0493">
            <w:pPr>
              <w:widowControl w:val="0"/>
              <w:spacing w:after="0" w:line="240" w:lineRule="auto"/>
              <w:ind w:right="37"/>
              <w:rPr>
                <w:rFonts w:ascii="Times New Roman" w:hAnsi="Times New Roman"/>
                <w:sz w:val="24"/>
                <w:szCs w:val="24"/>
              </w:rPr>
            </w:pPr>
          </w:p>
        </w:tc>
        <w:tc>
          <w:tcPr>
            <w:tcW w:w="2552" w:type="dxa"/>
            <w:vMerge/>
            <w:vAlign w:val="center"/>
          </w:tcPr>
          <w:p w:rsidR="002D1E45" w:rsidRPr="007A0493" w:rsidRDefault="002D1E45" w:rsidP="007A0493">
            <w:pPr>
              <w:widowControl w:val="0"/>
              <w:spacing w:after="0" w:line="240" w:lineRule="auto"/>
              <w:ind w:right="37"/>
              <w:rPr>
                <w:rFonts w:ascii="Times New Roman" w:hAnsi="Times New Roman"/>
                <w:sz w:val="24"/>
                <w:szCs w:val="24"/>
              </w:rPr>
            </w:pPr>
          </w:p>
        </w:tc>
        <w:tc>
          <w:tcPr>
            <w:tcW w:w="3969" w:type="dxa"/>
            <w:vAlign w:val="center"/>
          </w:tcPr>
          <w:p w:rsidR="002D1E45" w:rsidRPr="007A0493" w:rsidRDefault="002D1E45" w:rsidP="007A0493">
            <w:pPr>
              <w:widowControl w:val="0"/>
              <w:spacing w:after="0" w:line="240" w:lineRule="auto"/>
              <w:ind w:right="37"/>
              <w:rPr>
                <w:rFonts w:ascii="Times New Roman" w:hAnsi="Times New Roman"/>
                <w:sz w:val="24"/>
                <w:szCs w:val="24"/>
              </w:rPr>
            </w:pPr>
            <w:r w:rsidRPr="007A0493">
              <w:rPr>
                <w:rFonts w:ascii="Times New Roman" w:hAnsi="Times New Roman"/>
                <w:sz w:val="24"/>
                <w:szCs w:val="24"/>
              </w:rPr>
              <w:t>Снежные заносы</w:t>
            </w:r>
          </w:p>
        </w:tc>
      </w:tr>
      <w:tr w:rsidR="002D1E45" w:rsidRPr="0006094F" w:rsidTr="007A0493">
        <w:trPr>
          <w:trHeight w:val="283"/>
          <w:jc w:val="center"/>
        </w:trPr>
        <w:tc>
          <w:tcPr>
            <w:tcW w:w="704" w:type="dxa"/>
            <w:vMerge w:val="restart"/>
            <w:vAlign w:val="center"/>
          </w:tcPr>
          <w:p w:rsidR="002D1E45" w:rsidRPr="007A0493" w:rsidRDefault="002D1E45" w:rsidP="007A0493">
            <w:pPr>
              <w:widowControl w:val="0"/>
              <w:spacing w:after="0" w:line="240" w:lineRule="auto"/>
              <w:ind w:right="37"/>
              <w:jc w:val="center"/>
              <w:rPr>
                <w:rFonts w:ascii="Times New Roman" w:hAnsi="Times New Roman"/>
                <w:sz w:val="24"/>
                <w:szCs w:val="24"/>
              </w:rPr>
            </w:pPr>
            <w:r w:rsidRPr="007A0493">
              <w:rPr>
                <w:rFonts w:ascii="Times New Roman" w:hAnsi="Times New Roman"/>
                <w:sz w:val="24"/>
                <w:szCs w:val="24"/>
              </w:rPr>
              <w:t>2.2.3</w:t>
            </w:r>
          </w:p>
        </w:tc>
        <w:tc>
          <w:tcPr>
            <w:tcW w:w="2551" w:type="dxa"/>
            <w:vMerge w:val="restart"/>
            <w:vAlign w:val="center"/>
          </w:tcPr>
          <w:p w:rsidR="002D1E45" w:rsidRPr="007A0493" w:rsidRDefault="002D1E45" w:rsidP="007A0493">
            <w:pPr>
              <w:widowControl w:val="0"/>
              <w:spacing w:after="0" w:line="240" w:lineRule="auto"/>
              <w:ind w:right="37"/>
              <w:rPr>
                <w:rFonts w:ascii="Times New Roman" w:hAnsi="Times New Roman"/>
                <w:sz w:val="24"/>
                <w:szCs w:val="24"/>
              </w:rPr>
            </w:pPr>
            <w:r w:rsidRPr="007A0493">
              <w:rPr>
                <w:rFonts w:ascii="Times New Roman" w:hAnsi="Times New Roman"/>
                <w:sz w:val="24"/>
                <w:szCs w:val="24"/>
              </w:rPr>
              <w:t>Сильная метель</w:t>
            </w:r>
          </w:p>
        </w:tc>
        <w:tc>
          <w:tcPr>
            <w:tcW w:w="2552" w:type="dxa"/>
            <w:vMerge w:val="restart"/>
            <w:vAlign w:val="center"/>
          </w:tcPr>
          <w:p w:rsidR="002D1E45" w:rsidRPr="007A0493" w:rsidRDefault="002D1E45" w:rsidP="007A0493">
            <w:pPr>
              <w:widowControl w:val="0"/>
              <w:spacing w:after="0" w:line="240" w:lineRule="auto"/>
              <w:ind w:right="37"/>
              <w:rPr>
                <w:rFonts w:ascii="Times New Roman" w:hAnsi="Times New Roman"/>
                <w:sz w:val="24"/>
                <w:szCs w:val="24"/>
              </w:rPr>
            </w:pPr>
            <w:r w:rsidRPr="007A0493">
              <w:rPr>
                <w:rFonts w:ascii="Times New Roman" w:hAnsi="Times New Roman"/>
                <w:sz w:val="24"/>
                <w:szCs w:val="24"/>
              </w:rPr>
              <w:t>Гидродинамический</w:t>
            </w:r>
          </w:p>
        </w:tc>
        <w:tc>
          <w:tcPr>
            <w:tcW w:w="3969" w:type="dxa"/>
            <w:vAlign w:val="center"/>
          </w:tcPr>
          <w:p w:rsidR="002D1E45" w:rsidRPr="007A0493" w:rsidRDefault="002D1E45" w:rsidP="007A0493">
            <w:pPr>
              <w:widowControl w:val="0"/>
              <w:spacing w:after="0" w:line="240" w:lineRule="auto"/>
              <w:ind w:right="37"/>
              <w:rPr>
                <w:rFonts w:ascii="Times New Roman" w:hAnsi="Times New Roman"/>
                <w:sz w:val="24"/>
                <w:szCs w:val="24"/>
              </w:rPr>
            </w:pPr>
            <w:r w:rsidRPr="007A0493">
              <w:rPr>
                <w:rFonts w:ascii="Times New Roman" w:hAnsi="Times New Roman"/>
                <w:sz w:val="24"/>
                <w:szCs w:val="24"/>
              </w:rPr>
              <w:t>Снеговая нагрузка</w:t>
            </w:r>
          </w:p>
        </w:tc>
      </w:tr>
      <w:tr w:rsidR="002D1E45" w:rsidRPr="0006094F" w:rsidTr="007A0493">
        <w:trPr>
          <w:trHeight w:val="283"/>
          <w:jc w:val="center"/>
        </w:trPr>
        <w:tc>
          <w:tcPr>
            <w:tcW w:w="704" w:type="dxa"/>
            <w:vMerge/>
            <w:vAlign w:val="center"/>
          </w:tcPr>
          <w:p w:rsidR="002D1E45" w:rsidRPr="007A0493" w:rsidRDefault="002D1E45" w:rsidP="007A0493">
            <w:pPr>
              <w:widowControl w:val="0"/>
              <w:spacing w:after="0" w:line="240" w:lineRule="auto"/>
              <w:ind w:right="37"/>
              <w:jc w:val="center"/>
              <w:rPr>
                <w:rFonts w:ascii="Times New Roman" w:hAnsi="Times New Roman"/>
                <w:sz w:val="24"/>
                <w:szCs w:val="24"/>
              </w:rPr>
            </w:pPr>
          </w:p>
        </w:tc>
        <w:tc>
          <w:tcPr>
            <w:tcW w:w="2551" w:type="dxa"/>
            <w:vMerge/>
            <w:vAlign w:val="center"/>
          </w:tcPr>
          <w:p w:rsidR="002D1E45" w:rsidRPr="007A0493" w:rsidRDefault="002D1E45" w:rsidP="007A0493">
            <w:pPr>
              <w:widowControl w:val="0"/>
              <w:spacing w:after="0" w:line="240" w:lineRule="auto"/>
              <w:ind w:right="37"/>
              <w:rPr>
                <w:rFonts w:ascii="Times New Roman" w:hAnsi="Times New Roman"/>
                <w:sz w:val="24"/>
                <w:szCs w:val="24"/>
              </w:rPr>
            </w:pPr>
          </w:p>
        </w:tc>
        <w:tc>
          <w:tcPr>
            <w:tcW w:w="2552" w:type="dxa"/>
            <w:vMerge/>
            <w:vAlign w:val="center"/>
          </w:tcPr>
          <w:p w:rsidR="002D1E45" w:rsidRPr="007A0493" w:rsidRDefault="002D1E45" w:rsidP="007A0493">
            <w:pPr>
              <w:widowControl w:val="0"/>
              <w:spacing w:after="0" w:line="240" w:lineRule="auto"/>
              <w:ind w:right="37"/>
              <w:rPr>
                <w:rFonts w:ascii="Times New Roman" w:hAnsi="Times New Roman"/>
                <w:sz w:val="24"/>
                <w:szCs w:val="24"/>
              </w:rPr>
            </w:pPr>
          </w:p>
        </w:tc>
        <w:tc>
          <w:tcPr>
            <w:tcW w:w="3969" w:type="dxa"/>
            <w:vAlign w:val="center"/>
          </w:tcPr>
          <w:p w:rsidR="002D1E45" w:rsidRPr="007A0493" w:rsidRDefault="002D1E45" w:rsidP="007A0493">
            <w:pPr>
              <w:widowControl w:val="0"/>
              <w:spacing w:after="0" w:line="240" w:lineRule="auto"/>
              <w:ind w:right="37"/>
              <w:rPr>
                <w:rFonts w:ascii="Times New Roman" w:hAnsi="Times New Roman"/>
                <w:sz w:val="24"/>
                <w:szCs w:val="24"/>
              </w:rPr>
            </w:pPr>
            <w:r w:rsidRPr="007A0493">
              <w:rPr>
                <w:rFonts w:ascii="Times New Roman" w:hAnsi="Times New Roman"/>
                <w:sz w:val="24"/>
                <w:szCs w:val="24"/>
              </w:rPr>
              <w:t>Снежные заносы</w:t>
            </w:r>
          </w:p>
        </w:tc>
      </w:tr>
      <w:tr w:rsidR="002D1E45" w:rsidRPr="0006094F" w:rsidTr="007A0493">
        <w:trPr>
          <w:trHeight w:val="283"/>
          <w:jc w:val="center"/>
        </w:trPr>
        <w:tc>
          <w:tcPr>
            <w:tcW w:w="704" w:type="dxa"/>
            <w:vMerge/>
            <w:vAlign w:val="center"/>
          </w:tcPr>
          <w:p w:rsidR="002D1E45" w:rsidRPr="007A0493" w:rsidRDefault="002D1E45" w:rsidP="007A0493">
            <w:pPr>
              <w:widowControl w:val="0"/>
              <w:spacing w:after="0" w:line="240" w:lineRule="auto"/>
              <w:ind w:right="37"/>
              <w:jc w:val="center"/>
              <w:rPr>
                <w:rFonts w:ascii="Times New Roman" w:hAnsi="Times New Roman"/>
                <w:sz w:val="24"/>
                <w:szCs w:val="24"/>
              </w:rPr>
            </w:pPr>
          </w:p>
        </w:tc>
        <w:tc>
          <w:tcPr>
            <w:tcW w:w="2551" w:type="dxa"/>
            <w:vMerge/>
            <w:vAlign w:val="center"/>
          </w:tcPr>
          <w:p w:rsidR="002D1E45" w:rsidRPr="007A0493" w:rsidRDefault="002D1E45" w:rsidP="007A0493">
            <w:pPr>
              <w:widowControl w:val="0"/>
              <w:spacing w:after="0" w:line="240" w:lineRule="auto"/>
              <w:ind w:right="37"/>
              <w:rPr>
                <w:rFonts w:ascii="Times New Roman" w:hAnsi="Times New Roman"/>
                <w:sz w:val="24"/>
                <w:szCs w:val="24"/>
              </w:rPr>
            </w:pPr>
          </w:p>
        </w:tc>
        <w:tc>
          <w:tcPr>
            <w:tcW w:w="2552" w:type="dxa"/>
            <w:vMerge/>
            <w:vAlign w:val="center"/>
          </w:tcPr>
          <w:p w:rsidR="002D1E45" w:rsidRPr="007A0493" w:rsidRDefault="002D1E45" w:rsidP="007A0493">
            <w:pPr>
              <w:widowControl w:val="0"/>
              <w:spacing w:after="0" w:line="240" w:lineRule="auto"/>
              <w:ind w:right="37"/>
              <w:rPr>
                <w:rFonts w:ascii="Times New Roman" w:hAnsi="Times New Roman"/>
                <w:sz w:val="24"/>
                <w:szCs w:val="24"/>
              </w:rPr>
            </w:pPr>
          </w:p>
        </w:tc>
        <w:tc>
          <w:tcPr>
            <w:tcW w:w="3969" w:type="dxa"/>
            <w:vAlign w:val="center"/>
          </w:tcPr>
          <w:p w:rsidR="002D1E45" w:rsidRPr="007A0493" w:rsidRDefault="002D1E45" w:rsidP="007A0493">
            <w:pPr>
              <w:widowControl w:val="0"/>
              <w:spacing w:after="0" w:line="240" w:lineRule="auto"/>
              <w:ind w:right="37"/>
              <w:rPr>
                <w:rFonts w:ascii="Times New Roman" w:hAnsi="Times New Roman"/>
                <w:sz w:val="24"/>
                <w:szCs w:val="24"/>
              </w:rPr>
            </w:pPr>
            <w:r w:rsidRPr="007A0493">
              <w:rPr>
                <w:rFonts w:ascii="Times New Roman" w:hAnsi="Times New Roman"/>
                <w:sz w:val="24"/>
                <w:szCs w:val="24"/>
              </w:rPr>
              <w:t>Ветровая нагрузка</w:t>
            </w:r>
          </w:p>
        </w:tc>
      </w:tr>
      <w:tr w:rsidR="002D1E45" w:rsidRPr="0006094F" w:rsidTr="007A0493">
        <w:trPr>
          <w:trHeight w:val="283"/>
          <w:jc w:val="center"/>
        </w:trPr>
        <w:tc>
          <w:tcPr>
            <w:tcW w:w="704" w:type="dxa"/>
            <w:vAlign w:val="center"/>
          </w:tcPr>
          <w:p w:rsidR="002D1E45" w:rsidRPr="007A0493" w:rsidRDefault="002D1E45" w:rsidP="007A0493">
            <w:pPr>
              <w:widowControl w:val="0"/>
              <w:spacing w:after="0" w:line="240" w:lineRule="auto"/>
              <w:ind w:right="37"/>
              <w:jc w:val="center"/>
              <w:rPr>
                <w:rFonts w:ascii="Times New Roman" w:hAnsi="Times New Roman"/>
                <w:sz w:val="24"/>
                <w:szCs w:val="24"/>
              </w:rPr>
            </w:pPr>
            <w:r w:rsidRPr="007A0493">
              <w:rPr>
                <w:rFonts w:ascii="Times New Roman" w:hAnsi="Times New Roman"/>
                <w:sz w:val="24"/>
                <w:szCs w:val="24"/>
              </w:rPr>
              <w:t>2.3</w:t>
            </w:r>
          </w:p>
        </w:tc>
        <w:tc>
          <w:tcPr>
            <w:tcW w:w="2551" w:type="dxa"/>
            <w:vAlign w:val="center"/>
          </w:tcPr>
          <w:p w:rsidR="002D1E45" w:rsidRPr="007A0493" w:rsidRDefault="002D1E45" w:rsidP="007A0493">
            <w:pPr>
              <w:widowControl w:val="0"/>
              <w:spacing w:after="0" w:line="240" w:lineRule="auto"/>
              <w:ind w:right="37"/>
              <w:rPr>
                <w:rFonts w:ascii="Times New Roman" w:hAnsi="Times New Roman"/>
                <w:sz w:val="24"/>
                <w:szCs w:val="24"/>
              </w:rPr>
            </w:pPr>
            <w:r w:rsidRPr="007A0493">
              <w:rPr>
                <w:rFonts w:ascii="Times New Roman" w:hAnsi="Times New Roman"/>
                <w:sz w:val="24"/>
                <w:szCs w:val="24"/>
              </w:rPr>
              <w:t>Гололёд</w:t>
            </w:r>
          </w:p>
        </w:tc>
        <w:tc>
          <w:tcPr>
            <w:tcW w:w="2552" w:type="dxa"/>
            <w:vAlign w:val="center"/>
          </w:tcPr>
          <w:p w:rsidR="002D1E45" w:rsidRPr="007A0493" w:rsidRDefault="002D1E45" w:rsidP="007A0493">
            <w:pPr>
              <w:widowControl w:val="0"/>
              <w:spacing w:after="0" w:line="240" w:lineRule="auto"/>
              <w:ind w:right="37"/>
              <w:rPr>
                <w:rFonts w:ascii="Times New Roman" w:hAnsi="Times New Roman"/>
                <w:sz w:val="24"/>
                <w:szCs w:val="24"/>
              </w:rPr>
            </w:pPr>
            <w:r w:rsidRPr="007A0493">
              <w:rPr>
                <w:rFonts w:ascii="Times New Roman" w:hAnsi="Times New Roman"/>
                <w:sz w:val="24"/>
                <w:szCs w:val="24"/>
              </w:rPr>
              <w:t>Гравитационный</w:t>
            </w:r>
          </w:p>
        </w:tc>
        <w:tc>
          <w:tcPr>
            <w:tcW w:w="3969" w:type="dxa"/>
            <w:vAlign w:val="center"/>
          </w:tcPr>
          <w:p w:rsidR="002D1E45" w:rsidRPr="007A0493" w:rsidRDefault="002D1E45" w:rsidP="007A0493">
            <w:pPr>
              <w:widowControl w:val="0"/>
              <w:spacing w:after="0" w:line="240" w:lineRule="auto"/>
              <w:ind w:right="37"/>
              <w:rPr>
                <w:rFonts w:ascii="Times New Roman" w:hAnsi="Times New Roman"/>
                <w:sz w:val="24"/>
                <w:szCs w:val="24"/>
              </w:rPr>
            </w:pPr>
            <w:r w:rsidRPr="007A0493">
              <w:rPr>
                <w:rFonts w:ascii="Times New Roman" w:hAnsi="Times New Roman"/>
                <w:sz w:val="24"/>
                <w:szCs w:val="24"/>
              </w:rPr>
              <w:t>Гололёдная нагрузка</w:t>
            </w:r>
          </w:p>
        </w:tc>
      </w:tr>
      <w:tr w:rsidR="002D1E45" w:rsidRPr="0006094F" w:rsidTr="007A0493">
        <w:trPr>
          <w:trHeight w:val="283"/>
          <w:jc w:val="center"/>
        </w:trPr>
        <w:tc>
          <w:tcPr>
            <w:tcW w:w="704" w:type="dxa"/>
            <w:vAlign w:val="center"/>
          </w:tcPr>
          <w:p w:rsidR="002D1E45" w:rsidRPr="007A0493" w:rsidRDefault="002D1E45" w:rsidP="007A0493">
            <w:pPr>
              <w:widowControl w:val="0"/>
              <w:spacing w:after="0" w:line="240" w:lineRule="auto"/>
              <w:ind w:right="37"/>
              <w:jc w:val="center"/>
              <w:rPr>
                <w:rFonts w:ascii="Times New Roman" w:hAnsi="Times New Roman"/>
                <w:sz w:val="24"/>
                <w:szCs w:val="24"/>
              </w:rPr>
            </w:pPr>
            <w:r w:rsidRPr="007A0493">
              <w:rPr>
                <w:rFonts w:ascii="Times New Roman" w:hAnsi="Times New Roman"/>
                <w:sz w:val="24"/>
                <w:szCs w:val="24"/>
              </w:rPr>
              <w:t>2.3.1</w:t>
            </w:r>
          </w:p>
        </w:tc>
        <w:tc>
          <w:tcPr>
            <w:tcW w:w="2551" w:type="dxa"/>
            <w:vAlign w:val="center"/>
          </w:tcPr>
          <w:p w:rsidR="002D1E45" w:rsidRPr="007A0493" w:rsidRDefault="002D1E45" w:rsidP="007A0493">
            <w:pPr>
              <w:widowControl w:val="0"/>
              <w:spacing w:after="0" w:line="240" w:lineRule="auto"/>
              <w:ind w:right="37"/>
              <w:rPr>
                <w:rFonts w:ascii="Times New Roman" w:hAnsi="Times New Roman"/>
                <w:sz w:val="24"/>
                <w:szCs w:val="24"/>
              </w:rPr>
            </w:pPr>
            <w:r w:rsidRPr="007A0493">
              <w:rPr>
                <w:rFonts w:ascii="Times New Roman" w:hAnsi="Times New Roman"/>
                <w:sz w:val="24"/>
                <w:szCs w:val="24"/>
              </w:rPr>
              <w:t>Град</w:t>
            </w:r>
          </w:p>
        </w:tc>
        <w:tc>
          <w:tcPr>
            <w:tcW w:w="2552" w:type="dxa"/>
            <w:vAlign w:val="center"/>
          </w:tcPr>
          <w:p w:rsidR="002D1E45" w:rsidRPr="007A0493" w:rsidRDefault="002D1E45" w:rsidP="007A0493">
            <w:pPr>
              <w:widowControl w:val="0"/>
              <w:spacing w:after="0" w:line="240" w:lineRule="auto"/>
              <w:ind w:right="37"/>
              <w:rPr>
                <w:rFonts w:ascii="Times New Roman" w:hAnsi="Times New Roman"/>
                <w:sz w:val="24"/>
                <w:szCs w:val="24"/>
              </w:rPr>
            </w:pPr>
            <w:r w:rsidRPr="007A0493">
              <w:rPr>
                <w:rFonts w:ascii="Times New Roman" w:hAnsi="Times New Roman"/>
                <w:sz w:val="24"/>
                <w:szCs w:val="24"/>
              </w:rPr>
              <w:t>Динамический</w:t>
            </w:r>
          </w:p>
        </w:tc>
        <w:tc>
          <w:tcPr>
            <w:tcW w:w="3969" w:type="dxa"/>
            <w:vAlign w:val="center"/>
          </w:tcPr>
          <w:p w:rsidR="002D1E45" w:rsidRPr="007A0493" w:rsidRDefault="002D1E45" w:rsidP="007A0493">
            <w:pPr>
              <w:widowControl w:val="0"/>
              <w:spacing w:after="0" w:line="240" w:lineRule="auto"/>
              <w:ind w:right="37"/>
              <w:rPr>
                <w:rFonts w:ascii="Times New Roman" w:hAnsi="Times New Roman"/>
                <w:sz w:val="24"/>
                <w:szCs w:val="24"/>
              </w:rPr>
            </w:pPr>
            <w:r w:rsidRPr="007A0493">
              <w:rPr>
                <w:rFonts w:ascii="Times New Roman" w:hAnsi="Times New Roman"/>
                <w:sz w:val="24"/>
                <w:szCs w:val="24"/>
              </w:rPr>
              <w:t>Удар</w:t>
            </w:r>
          </w:p>
        </w:tc>
      </w:tr>
      <w:tr w:rsidR="002D1E45" w:rsidRPr="0006094F" w:rsidTr="007A0493">
        <w:trPr>
          <w:trHeight w:val="283"/>
          <w:jc w:val="center"/>
        </w:trPr>
        <w:tc>
          <w:tcPr>
            <w:tcW w:w="704" w:type="dxa"/>
            <w:vAlign w:val="center"/>
          </w:tcPr>
          <w:p w:rsidR="002D1E45" w:rsidRPr="007A0493" w:rsidRDefault="002D1E45" w:rsidP="007A0493">
            <w:pPr>
              <w:widowControl w:val="0"/>
              <w:spacing w:after="0" w:line="240" w:lineRule="auto"/>
              <w:ind w:right="37"/>
              <w:jc w:val="center"/>
              <w:rPr>
                <w:rFonts w:ascii="Times New Roman" w:hAnsi="Times New Roman"/>
                <w:sz w:val="24"/>
                <w:szCs w:val="24"/>
              </w:rPr>
            </w:pPr>
            <w:r w:rsidRPr="007A0493">
              <w:rPr>
                <w:rFonts w:ascii="Times New Roman" w:hAnsi="Times New Roman"/>
                <w:sz w:val="24"/>
                <w:szCs w:val="24"/>
              </w:rPr>
              <w:t>2.3.2</w:t>
            </w:r>
          </w:p>
        </w:tc>
        <w:tc>
          <w:tcPr>
            <w:tcW w:w="2551" w:type="dxa"/>
            <w:vAlign w:val="center"/>
          </w:tcPr>
          <w:p w:rsidR="002D1E45" w:rsidRPr="007A0493" w:rsidRDefault="002D1E45" w:rsidP="007A0493">
            <w:pPr>
              <w:widowControl w:val="0"/>
              <w:spacing w:after="0" w:line="240" w:lineRule="auto"/>
              <w:ind w:right="37"/>
              <w:rPr>
                <w:rFonts w:ascii="Times New Roman" w:hAnsi="Times New Roman"/>
                <w:sz w:val="24"/>
                <w:szCs w:val="24"/>
              </w:rPr>
            </w:pPr>
            <w:r w:rsidRPr="007A0493">
              <w:rPr>
                <w:rFonts w:ascii="Times New Roman" w:hAnsi="Times New Roman"/>
                <w:sz w:val="24"/>
                <w:szCs w:val="24"/>
              </w:rPr>
              <w:t>Туман</w:t>
            </w:r>
          </w:p>
        </w:tc>
        <w:tc>
          <w:tcPr>
            <w:tcW w:w="2552" w:type="dxa"/>
            <w:vAlign w:val="center"/>
          </w:tcPr>
          <w:p w:rsidR="002D1E45" w:rsidRPr="007A0493" w:rsidRDefault="002D1E45" w:rsidP="007A0493">
            <w:pPr>
              <w:widowControl w:val="0"/>
              <w:spacing w:after="0" w:line="240" w:lineRule="auto"/>
              <w:ind w:right="37"/>
              <w:rPr>
                <w:rFonts w:ascii="Times New Roman" w:hAnsi="Times New Roman"/>
                <w:sz w:val="24"/>
                <w:szCs w:val="24"/>
              </w:rPr>
            </w:pPr>
            <w:r w:rsidRPr="007A0493">
              <w:rPr>
                <w:rFonts w:ascii="Times New Roman" w:hAnsi="Times New Roman"/>
                <w:sz w:val="24"/>
                <w:szCs w:val="24"/>
              </w:rPr>
              <w:t>Теплофизический</w:t>
            </w:r>
          </w:p>
        </w:tc>
        <w:tc>
          <w:tcPr>
            <w:tcW w:w="3969" w:type="dxa"/>
            <w:vAlign w:val="center"/>
          </w:tcPr>
          <w:p w:rsidR="002D1E45" w:rsidRPr="007A0493" w:rsidRDefault="002D1E45" w:rsidP="007A0493">
            <w:pPr>
              <w:widowControl w:val="0"/>
              <w:spacing w:after="0" w:line="240" w:lineRule="auto"/>
              <w:ind w:right="37"/>
              <w:rPr>
                <w:rFonts w:ascii="Times New Roman" w:hAnsi="Times New Roman"/>
                <w:sz w:val="24"/>
                <w:szCs w:val="24"/>
              </w:rPr>
            </w:pPr>
            <w:r w:rsidRPr="007A0493">
              <w:rPr>
                <w:rFonts w:ascii="Times New Roman" w:hAnsi="Times New Roman"/>
                <w:sz w:val="24"/>
                <w:szCs w:val="24"/>
              </w:rPr>
              <w:t>Снижение видимости (помутнение воздуха)</w:t>
            </w:r>
          </w:p>
        </w:tc>
      </w:tr>
      <w:tr w:rsidR="002D1E45" w:rsidRPr="0006094F" w:rsidTr="007A0493">
        <w:trPr>
          <w:trHeight w:val="283"/>
          <w:jc w:val="center"/>
        </w:trPr>
        <w:tc>
          <w:tcPr>
            <w:tcW w:w="704" w:type="dxa"/>
            <w:vAlign w:val="center"/>
          </w:tcPr>
          <w:p w:rsidR="002D1E45" w:rsidRPr="007A0493" w:rsidRDefault="002D1E45" w:rsidP="007A0493">
            <w:pPr>
              <w:widowControl w:val="0"/>
              <w:spacing w:after="0" w:line="240" w:lineRule="auto"/>
              <w:ind w:right="37"/>
              <w:jc w:val="center"/>
              <w:rPr>
                <w:rFonts w:ascii="Times New Roman" w:hAnsi="Times New Roman"/>
                <w:sz w:val="24"/>
                <w:szCs w:val="24"/>
              </w:rPr>
            </w:pPr>
            <w:r w:rsidRPr="007A0493">
              <w:rPr>
                <w:rFonts w:ascii="Times New Roman" w:hAnsi="Times New Roman"/>
                <w:sz w:val="24"/>
                <w:szCs w:val="24"/>
              </w:rPr>
              <w:t>2.3.3</w:t>
            </w:r>
          </w:p>
        </w:tc>
        <w:tc>
          <w:tcPr>
            <w:tcW w:w="2551" w:type="dxa"/>
            <w:vAlign w:val="center"/>
          </w:tcPr>
          <w:p w:rsidR="002D1E45" w:rsidRPr="007A0493" w:rsidRDefault="002D1E45" w:rsidP="007A0493">
            <w:pPr>
              <w:widowControl w:val="0"/>
              <w:spacing w:after="0" w:line="240" w:lineRule="auto"/>
              <w:ind w:right="37"/>
              <w:rPr>
                <w:rFonts w:ascii="Times New Roman" w:hAnsi="Times New Roman"/>
                <w:sz w:val="24"/>
                <w:szCs w:val="24"/>
              </w:rPr>
            </w:pPr>
            <w:r w:rsidRPr="007A0493">
              <w:rPr>
                <w:rFonts w:ascii="Times New Roman" w:hAnsi="Times New Roman"/>
                <w:sz w:val="24"/>
                <w:szCs w:val="24"/>
              </w:rPr>
              <w:t>Заморозок</w:t>
            </w:r>
          </w:p>
        </w:tc>
        <w:tc>
          <w:tcPr>
            <w:tcW w:w="2552" w:type="dxa"/>
            <w:vAlign w:val="center"/>
          </w:tcPr>
          <w:p w:rsidR="002D1E45" w:rsidRPr="007A0493" w:rsidRDefault="002D1E45" w:rsidP="007A0493">
            <w:pPr>
              <w:widowControl w:val="0"/>
              <w:spacing w:after="0" w:line="240" w:lineRule="auto"/>
              <w:ind w:right="37"/>
              <w:rPr>
                <w:rFonts w:ascii="Times New Roman" w:hAnsi="Times New Roman"/>
                <w:sz w:val="24"/>
                <w:szCs w:val="24"/>
              </w:rPr>
            </w:pPr>
            <w:r w:rsidRPr="007A0493">
              <w:rPr>
                <w:rFonts w:ascii="Times New Roman" w:hAnsi="Times New Roman"/>
                <w:sz w:val="24"/>
                <w:szCs w:val="24"/>
              </w:rPr>
              <w:t>Тепловой</w:t>
            </w:r>
          </w:p>
        </w:tc>
        <w:tc>
          <w:tcPr>
            <w:tcW w:w="3969" w:type="dxa"/>
            <w:vAlign w:val="center"/>
          </w:tcPr>
          <w:p w:rsidR="002D1E45" w:rsidRPr="007A0493" w:rsidRDefault="002D1E45" w:rsidP="007A0493">
            <w:pPr>
              <w:widowControl w:val="0"/>
              <w:spacing w:after="0" w:line="240" w:lineRule="auto"/>
              <w:ind w:right="37"/>
              <w:rPr>
                <w:rFonts w:ascii="Times New Roman" w:hAnsi="Times New Roman"/>
                <w:sz w:val="24"/>
                <w:szCs w:val="24"/>
              </w:rPr>
            </w:pPr>
            <w:r w:rsidRPr="007A0493">
              <w:rPr>
                <w:rFonts w:ascii="Times New Roman" w:hAnsi="Times New Roman"/>
                <w:sz w:val="24"/>
                <w:szCs w:val="24"/>
              </w:rPr>
              <w:t>Охлаждение почвы, воздуха</w:t>
            </w:r>
          </w:p>
        </w:tc>
      </w:tr>
      <w:tr w:rsidR="002D1E45" w:rsidRPr="0006094F" w:rsidTr="007A0493">
        <w:trPr>
          <w:trHeight w:val="283"/>
          <w:jc w:val="center"/>
        </w:trPr>
        <w:tc>
          <w:tcPr>
            <w:tcW w:w="704" w:type="dxa"/>
            <w:vAlign w:val="center"/>
          </w:tcPr>
          <w:p w:rsidR="002D1E45" w:rsidRPr="007A0493" w:rsidRDefault="002D1E45" w:rsidP="007A0493">
            <w:pPr>
              <w:widowControl w:val="0"/>
              <w:spacing w:after="0" w:line="240" w:lineRule="auto"/>
              <w:ind w:right="37"/>
              <w:jc w:val="center"/>
              <w:rPr>
                <w:rFonts w:ascii="Times New Roman" w:hAnsi="Times New Roman"/>
                <w:sz w:val="24"/>
                <w:szCs w:val="24"/>
              </w:rPr>
            </w:pPr>
            <w:r w:rsidRPr="007A0493">
              <w:rPr>
                <w:rFonts w:ascii="Times New Roman" w:hAnsi="Times New Roman"/>
                <w:sz w:val="24"/>
                <w:szCs w:val="24"/>
              </w:rPr>
              <w:t>2.3.4</w:t>
            </w:r>
          </w:p>
        </w:tc>
        <w:tc>
          <w:tcPr>
            <w:tcW w:w="2551" w:type="dxa"/>
            <w:vAlign w:val="center"/>
          </w:tcPr>
          <w:p w:rsidR="002D1E45" w:rsidRPr="007A0493" w:rsidRDefault="002D1E45" w:rsidP="007A0493">
            <w:pPr>
              <w:widowControl w:val="0"/>
              <w:spacing w:after="0" w:line="240" w:lineRule="auto"/>
              <w:ind w:right="37"/>
              <w:rPr>
                <w:rFonts w:ascii="Times New Roman" w:hAnsi="Times New Roman"/>
                <w:sz w:val="24"/>
                <w:szCs w:val="24"/>
              </w:rPr>
            </w:pPr>
            <w:r w:rsidRPr="007A0493">
              <w:rPr>
                <w:rFonts w:ascii="Times New Roman" w:hAnsi="Times New Roman"/>
                <w:sz w:val="24"/>
                <w:szCs w:val="24"/>
              </w:rPr>
              <w:t>Засуха</w:t>
            </w:r>
          </w:p>
        </w:tc>
        <w:tc>
          <w:tcPr>
            <w:tcW w:w="2552" w:type="dxa"/>
            <w:vAlign w:val="center"/>
          </w:tcPr>
          <w:p w:rsidR="002D1E45" w:rsidRPr="007A0493" w:rsidRDefault="002D1E45" w:rsidP="007A0493">
            <w:pPr>
              <w:widowControl w:val="0"/>
              <w:spacing w:after="0" w:line="240" w:lineRule="auto"/>
              <w:ind w:right="37"/>
              <w:rPr>
                <w:rFonts w:ascii="Times New Roman" w:hAnsi="Times New Roman"/>
                <w:sz w:val="24"/>
                <w:szCs w:val="24"/>
              </w:rPr>
            </w:pPr>
            <w:r w:rsidRPr="007A0493">
              <w:rPr>
                <w:rFonts w:ascii="Times New Roman" w:hAnsi="Times New Roman"/>
                <w:sz w:val="24"/>
                <w:szCs w:val="24"/>
              </w:rPr>
              <w:t>Тепловой</w:t>
            </w:r>
          </w:p>
        </w:tc>
        <w:tc>
          <w:tcPr>
            <w:tcW w:w="3969" w:type="dxa"/>
            <w:vAlign w:val="center"/>
          </w:tcPr>
          <w:p w:rsidR="002D1E45" w:rsidRPr="007A0493" w:rsidRDefault="002D1E45" w:rsidP="007A0493">
            <w:pPr>
              <w:widowControl w:val="0"/>
              <w:spacing w:after="0" w:line="240" w:lineRule="auto"/>
              <w:ind w:right="37"/>
              <w:rPr>
                <w:rFonts w:ascii="Times New Roman" w:hAnsi="Times New Roman"/>
                <w:sz w:val="24"/>
                <w:szCs w:val="24"/>
              </w:rPr>
            </w:pPr>
            <w:r w:rsidRPr="007A0493">
              <w:rPr>
                <w:rFonts w:ascii="Times New Roman" w:hAnsi="Times New Roman"/>
                <w:sz w:val="24"/>
                <w:szCs w:val="24"/>
              </w:rPr>
              <w:t>Нагревание почвы, воздуха</w:t>
            </w:r>
          </w:p>
        </w:tc>
      </w:tr>
      <w:tr w:rsidR="002D1E45" w:rsidRPr="0006094F" w:rsidTr="007A0493">
        <w:trPr>
          <w:trHeight w:val="283"/>
          <w:jc w:val="center"/>
        </w:trPr>
        <w:tc>
          <w:tcPr>
            <w:tcW w:w="704" w:type="dxa"/>
            <w:vAlign w:val="center"/>
          </w:tcPr>
          <w:p w:rsidR="002D1E45" w:rsidRPr="007A0493" w:rsidRDefault="002D1E45" w:rsidP="007A0493">
            <w:pPr>
              <w:widowControl w:val="0"/>
              <w:spacing w:after="0" w:line="240" w:lineRule="auto"/>
              <w:ind w:right="37"/>
              <w:jc w:val="center"/>
              <w:rPr>
                <w:rFonts w:ascii="Times New Roman" w:hAnsi="Times New Roman"/>
                <w:sz w:val="24"/>
                <w:szCs w:val="24"/>
              </w:rPr>
            </w:pPr>
            <w:r w:rsidRPr="007A0493">
              <w:rPr>
                <w:rFonts w:ascii="Times New Roman" w:hAnsi="Times New Roman"/>
                <w:sz w:val="24"/>
                <w:szCs w:val="24"/>
              </w:rPr>
              <w:t>2.3.6</w:t>
            </w:r>
          </w:p>
        </w:tc>
        <w:tc>
          <w:tcPr>
            <w:tcW w:w="2551" w:type="dxa"/>
            <w:vAlign w:val="center"/>
          </w:tcPr>
          <w:p w:rsidR="002D1E45" w:rsidRPr="007A0493" w:rsidRDefault="002D1E45" w:rsidP="007A0493">
            <w:pPr>
              <w:widowControl w:val="0"/>
              <w:spacing w:after="0" w:line="240" w:lineRule="auto"/>
              <w:ind w:right="37"/>
              <w:rPr>
                <w:rFonts w:ascii="Times New Roman" w:hAnsi="Times New Roman"/>
                <w:sz w:val="24"/>
                <w:szCs w:val="24"/>
              </w:rPr>
            </w:pPr>
            <w:r w:rsidRPr="007A0493">
              <w:rPr>
                <w:rFonts w:ascii="Times New Roman" w:hAnsi="Times New Roman"/>
                <w:sz w:val="24"/>
                <w:szCs w:val="24"/>
              </w:rPr>
              <w:t>Гроза</w:t>
            </w:r>
          </w:p>
        </w:tc>
        <w:tc>
          <w:tcPr>
            <w:tcW w:w="2552" w:type="dxa"/>
            <w:vAlign w:val="center"/>
          </w:tcPr>
          <w:p w:rsidR="002D1E45" w:rsidRPr="007A0493" w:rsidRDefault="002D1E45" w:rsidP="007A0493">
            <w:pPr>
              <w:widowControl w:val="0"/>
              <w:spacing w:after="0" w:line="240" w:lineRule="auto"/>
              <w:ind w:right="37"/>
              <w:rPr>
                <w:rFonts w:ascii="Times New Roman" w:hAnsi="Times New Roman"/>
                <w:sz w:val="24"/>
                <w:szCs w:val="24"/>
              </w:rPr>
            </w:pPr>
            <w:r w:rsidRPr="007A0493">
              <w:rPr>
                <w:rFonts w:ascii="Times New Roman" w:hAnsi="Times New Roman"/>
                <w:sz w:val="24"/>
                <w:szCs w:val="24"/>
              </w:rPr>
              <w:t>Электрофизический</w:t>
            </w:r>
          </w:p>
        </w:tc>
        <w:tc>
          <w:tcPr>
            <w:tcW w:w="3969" w:type="dxa"/>
            <w:vAlign w:val="center"/>
          </w:tcPr>
          <w:p w:rsidR="002D1E45" w:rsidRPr="007A0493" w:rsidRDefault="002D1E45" w:rsidP="007A0493">
            <w:pPr>
              <w:widowControl w:val="0"/>
              <w:spacing w:after="0" w:line="240" w:lineRule="auto"/>
              <w:ind w:right="37"/>
              <w:rPr>
                <w:rFonts w:ascii="Times New Roman" w:hAnsi="Times New Roman"/>
                <w:sz w:val="24"/>
                <w:szCs w:val="24"/>
              </w:rPr>
            </w:pPr>
            <w:r w:rsidRPr="007A0493">
              <w:rPr>
                <w:rFonts w:ascii="Times New Roman" w:hAnsi="Times New Roman"/>
                <w:sz w:val="24"/>
                <w:szCs w:val="24"/>
              </w:rPr>
              <w:t>Электрические разряды</w:t>
            </w:r>
          </w:p>
        </w:tc>
      </w:tr>
      <w:tr w:rsidR="002D1E45" w:rsidRPr="0006094F" w:rsidTr="007A0493">
        <w:trPr>
          <w:trHeight w:val="283"/>
          <w:jc w:val="center"/>
        </w:trPr>
        <w:tc>
          <w:tcPr>
            <w:tcW w:w="704" w:type="dxa"/>
            <w:vAlign w:val="center"/>
          </w:tcPr>
          <w:p w:rsidR="002D1E45" w:rsidRPr="007A0493" w:rsidRDefault="002D1E45" w:rsidP="007A0493">
            <w:pPr>
              <w:widowControl w:val="0"/>
              <w:spacing w:after="0" w:line="240" w:lineRule="auto"/>
              <w:ind w:right="37"/>
              <w:jc w:val="center"/>
              <w:rPr>
                <w:rFonts w:ascii="Times New Roman" w:hAnsi="Times New Roman"/>
                <w:sz w:val="24"/>
                <w:szCs w:val="24"/>
              </w:rPr>
            </w:pPr>
            <w:r w:rsidRPr="007A0493">
              <w:rPr>
                <w:rFonts w:ascii="Times New Roman" w:hAnsi="Times New Roman"/>
                <w:sz w:val="24"/>
                <w:szCs w:val="24"/>
              </w:rPr>
              <w:t>3</w:t>
            </w:r>
          </w:p>
        </w:tc>
        <w:tc>
          <w:tcPr>
            <w:tcW w:w="9072" w:type="dxa"/>
            <w:gridSpan w:val="3"/>
            <w:vAlign w:val="center"/>
          </w:tcPr>
          <w:p w:rsidR="002D1E45" w:rsidRPr="007A0493" w:rsidRDefault="002D1E45" w:rsidP="007A0493">
            <w:pPr>
              <w:widowControl w:val="0"/>
              <w:spacing w:after="0" w:line="240" w:lineRule="auto"/>
              <w:ind w:right="37"/>
              <w:rPr>
                <w:rFonts w:ascii="Times New Roman" w:hAnsi="Times New Roman"/>
                <w:sz w:val="24"/>
                <w:szCs w:val="24"/>
              </w:rPr>
            </w:pPr>
            <w:r w:rsidRPr="007A0493">
              <w:rPr>
                <w:rFonts w:ascii="Times New Roman" w:hAnsi="Times New Roman"/>
                <w:sz w:val="24"/>
                <w:szCs w:val="24"/>
              </w:rPr>
              <w:t>Природные пожары</w:t>
            </w:r>
          </w:p>
        </w:tc>
      </w:tr>
      <w:tr w:rsidR="002D1E45" w:rsidRPr="0006094F" w:rsidTr="007A0493">
        <w:trPr>
          <w:trHeight w:val="283"/>
          <w:jc w:val="center"/>
        </w:trPr>
        <w:tc>
          <w:tcPr>
            <w:tcW w:w="704" w:type="dxa"/>
            <w:vMerge w:val="restart"/>
            <w:vAlign w:val="center"/>
          </w:tcPr>
          <w:p w:rsidR="002D1E45" w:rsidRPr="007A0493" w:rsidRDefault="002D1E45" w:rsidP="007A0493">
            <w:pPr>
              <w:widowControl w:val="0"/>
              <w:spacing w:after="0" w:line="240" w:lineRule="auto"/>
              <w:ind w:right="37"/>
              <w:jc w:val="center"/>
              <w:rPr>
                <w:rFonts w:ascii="Times New Roman" w:hAnsi="Times New Roman"/>
                <w:sz w:val="24"/>
                <w:szCs w:val="24"/>
              </w:rPr>
            </w:pPr>
            <w:r w:rsidRPr="007A0493">
              <w:rPr>
                <w:rFonts w:ascii="Times New Roman" w:hAnsi="Times New Roman"/>
                <w:sz w:val="24"/>
                <w:szCs w:val="24"/>
              </w:rPr>
              <w:t>3.1</w:t>
            </w:r>
          </w:p>
        </w:tc>
        <w:tc>
          <w:tcPr>
            <w:tcW w:w="2551" w:type="dxa"/>
            <w:vMerge w:val="restart"/>
            <w:vAlign w:val="center"/>
          </w:tcPr>
          <w:p w:rsidR="002D1E45" w:rsidRPr="007A0493" w:rsidRDefault="002D1E45" w:rsidP="007A0493">
            <w:pPr>
              <w:widowControl w:val="0"/>
              <w:spacing w:after="0" w:line="240" w:lineRule="auto"/>
              <w:ind w:right="37"/>
              <w:rPr>
                <w:rFonts w:ascii="Times New Roman" w:hAnsi="Times New Roman"/>
                <w:sz w:val="24"/>
                <w:szCs w:val="24"/>
              </w:rPr>
            </w:pPr>
            <w:r w:rsidRPr="007A0493">
              <w:rPr>
                <w:rFonts w:ascii="Times New Roman" w:hAnsi="Times New Roman"/>
                <w:sz w:val="24"/>
                <w:szCs w:val="24"/>
              </w:rPr>
              <w:t>Пожар (ландшафтный, степной, лесной)</w:t>
            </w:r>
          </w:p>
        </w:tc>
        <w:tc>
          <w:tcPr>
            <w:tcW w:w="2552" w:type="dxa"/>
            <w:vMerge w:val="restart"/>
            <w:vAlign w:val="center"/>
          </w:tcPr>
          <w:p w:rsidR="002D1E45" w:rsidRPr="007A0493" w:rsidRDefault="002D1E45" w:rsidP="007A0493">
            <w:pPr>
              <w:widowControl w:val="0"/>
              <w:spacing w:after="0" w:line="240" w:lineRule="auto"/>
              <w:ind w:right="37"/>
              <w:rPr>
                <w:rFonts w:ascii="Times New Roman" w:hAnsi="Times New Roman"/>
                <w:sz w:val="24"/>
                <w:szCs w:val="24"/>
              </w:rPr>
            </w:pPr>
            <w:r w:rsidRPr="007A0493">
              <w:rPr>
                <w:rFonts w:ascii="Times New Roman" w:hAnsi="Times New Roman"/>
                <w:sz w:val="24"/>
                <w:szCs w:val="24"/>
              </w:rPr>
              <w:t>Теплофизический</w:t>
            </w:r>
          </w:p>
        </w:tc>
        <w:tc>
          <w:tcPr>
            <w:tcW w:w="3969" w:type="dxa"/>
            <w:vAlign w:val="center"/>
          </w:tcPr>
          <w:p w:rsidR="002D1E45" w:rsidRPr="007A0493" w:rsidRDefault="002D1E45" w:rsidP="007A0493">
            <w:pPr>
              <w:widowControl w:val="0"/>
              <w:spacing w:after="0" w:line="240" w:lineRule="auto"/>
              <w:ind w:right="37"/>
              <w:rPr>
                <w:rFonts w:ascii="Times New Roman" w:hAnsi="Times New Roman"/>
                <w:sz w:val="24"/>
                <w:szCs w:val="24"/>
              </w:rPr>
            </w:pPr>
            <w:r w:rsidRPr="007A0493">
              <w:rPr>
                <w:rFonts w:ascii="Times New Roman" w:hAnsi="Times New Roman"/>
                <w:sz w:val="24"/>
                <w:szCs w:val="24"/>
              </w:rPr>
              <w:t>Пламя</w:t>
            </w:r>
          </w:p>
        </w:tc>
      </w:tr>
      <w:tr w:rsidR="002D1E45" w:rsidRPr="0006094F" w:rsidTr="007A0493">
        <w:trPr>
          <w:trHeight w:val="283"/>
          <w:jc w:val="center"/>
        </w:trPr>
        <w:tc>
          <w:tcPr>
            <w:tcW w:w="704" w:type="dxa"/>
            <w:vMerge/>
            <w:vAlign w:val="center"/>
          </w:tcPr>
          <w:p w:rsidR="002D1E45" w:rsidRPr="007A0493" w:rsidRDefault="002D1E45" w:rsidP="007A0493">
            <w:pPr>
              <w:widowControl w:val="0"/>
              <w:spacing w:after="0" w:line="240" w:lineRule="auto"/>
              <w:ind w:right="37"/>
              <w:jc w:val="center"/>
              <w:rPr>
                <w:rFonts w:ascii="Times New Roman" w:hAnsi="Times New Roman"/>
                <w:sz w:val="24"/>
                <w:szCs w:val="24"/>
              </w:rPr>
            </w:pPr>
          </w:p>
        </w:tc>
        <w:tc>
          <w:tcPr>
            <w:tcW w:w="2551" w:type="dxa"/>
            <w:vMerge/>
            <w:vAlign w:val="center"/>
          </w:tcPr>
          <w:p w:rsidR="002D1E45" w:rsidRPr="007A0493" w:rsidRDefault="002D1E45" w:rsidP="007A0493">
            <w:pPr>
              <w:widowControl w:val="0"/>
              <w:spacing w:after="0" w:line="240" w:lineRule="auto"/>
              <w:ind w:right="37"/>
              <w:rPr>
                <w:rFonts w:ascii="Times New Roman" w:hAnsi="Times New Roman"/>
                <w:sz w:val="24"/>
                <w:szCs w:val="24"/>
              </w:rPr>
            </w:pPr>
          </w:p>
        </w:tc>
        <w:tc>
          <w:tcPr>
            <w:tcW w:w="2552" w:type="dxa"/>
            <w:vMerge/>
            <w:vAlign w:val="center"/>
          </w:tcPr>
          <w:p w:rsidR="002D1E45" w:rsidRPr="007A0493" w:rsidRDefault="002D1E45" w:rsidP="007A0493">
            <w:pPr>
              <w:widowControl w:val="0"/>
              <w:spacing w:after="0" w:line="240" w:lineRule="auto"/>
              <w:ind w:right="37"/>
              <w:rPr>
                <w:rFonts w:ascii="Times New Roman" w:hAnsi="Times New Roman"/>
                <w:sz w:val="24"/>
                <w:szCs w:val="24"/>
              </w:rPr>
            </w:pPr>
          </w:p>
        </w:tc>
        <w:tc>
          <w:tcPr>
            <w:tcW w:w="3969" w:type="dxa"/>
            <w:vAlign w:val="center"/>
          </w:tcPr>
          <w:p w:rsidR="002D1E45" w:rsidRPr="007A0493" w:rsidRDefault="002D1E45" w:rsidP="007A0493">
            <w:pPr>
              <w:widowControl w:val="0"/>
              <w:spacing w:after="0" w:line="240" w:lineRule="auto"/>
              <w:ind w:right="37"/>
              <w:rPr>
                <w:rFonts w:ascii="Times New Roman" w:hAnsi="Times New Roman"/>
                <w:sz w:val="24"/>
                <w:szCs w:val="24"/>
              </w:rPr>
            </w:pPr>
            <w:r w:rsidRPr="007A0493">
              <w:rPr>
                <w:rFonts w:ascii="Times New Roman" w:hAnsi="Times New Roman"/>
                <w:sz w:val="24"/>
                <w:szCs w:val="24"/>
              </w:rPr>
              <w:t>Нагрев тёплым потоком</w:t>
            </w:r>
          </w:p>
        </w:tc>
      </w:tr>
      <w:tr w:rsidR="002D1E45" w:rsidRPr="0006094F" w:rsidTr="007A0493">
        <w:trPr>
          <w:trHeight w:val="283"/>
          <w:jc w:val="center"/>
        </w:trPr>
        <w:tc>
          <w:tcPr>
            <w:tcW w:w="704" w:type="dxa"/>
            <w:vMerge/>
            <w:vAlign w:val="center"/>
          </w:tcPr>
          <w:p w:rsidR="002D1E45" w:rsidRPr="007A0493" w:rsidRDefault="002D1E45" w:rsidP="007A0493">
            <w:pPr>
              <w:widowControl w:val="0"/>
              <w:spacing w:after="0" w:line="240" w:lineRule="auto"/>
              <w:ind w:right="37"/>
              <w:jc w:val="center"/>
              <w:rPr>
                <w:rFonts w:ascii="Times New Roman" w:hAnsi="Times New Roman"/>
                <w:sz w:val="24"/>
                <w:szCs w:val="24"/>
              </w:rPr>
            </w:pPr>
          </w:p>
        </w:tc>
        <w:tc>
          <w:tcPr>
            <w:tcW w:w="2551" w:type="dxa"/>
            <w:vMerge/>
            <w:vAlign w:val="center"/>
          </w:tcPr>
          <w:p w:rsidR="002D1E45" w:rsidRPr="007A0493" w:rsidRDefault="002D1E45" w:rsidP="007A0493">
            <w:pPr>
              <w:widowControl w:val="0"/>
              <w:spacing w:after="0" w:line="240" w:lineRule="auto"/>
              <w:ind w:right="37"/>
              <w:rPr>
                <w:rFonts w:ascii="Times New Roman" w:hAnsi="Times New Roman"/>
                <w:sz w:val="24"/>
                <w:szCs w:val="24"/>
              </w:rPr>
            </w:pPr>
          </w:p>
        </w:tc>
        <w:tc>
          <w:tcPr>
            <w:tcW w:w="2552" w:type="dxa"/>
            <w:vMerge/>
            <w:vAlign w:val="center"/>
          </w:tcPr>
          <w:p w:rsidR="002D1E45" w:rsidRPr="007A0493" w:rsidRDefault="002D1E45" w:rsidP="007A0493">
            <w:pPr>
              <w:widowControl w:val="0"/>
              <w:spacing w:after="0" w:line="240" w:lineRule="auto"/>
              <w:ind w:right="37"/>
              <w:rPr>
                <w:rFonts w:ascii="Times New Roman" w:hAnsi="Times New Roman"/>
                <w:sz w:val="24"/>
                <w:szCs w:val="24"/>
              </w:rPr>
            </w:pPr>
          </w:p>
        </w:tc>
        <w:tc>
          <w:tcPr>
            <w:tcW w:w="3969" w:type="dxa"/>
            <w:vAlign w:val="center"/>
          </w:tcPr>
          <w:p w:rsidR="002D1E45" w:rsidRPr="007A0493" w:rsidRDefault="002D1E45" w:rsidP="007A0493">
            <w:pPr>
              <w:widowControl w:val="0"/>
              <w:spacing w:after="0" w:line="240" w:lineRule="auto"/>
              <w:ind w:right="37"/>
              <w:rPr>
                <w:rFonts w:ascii="Times New Roman" w:hAnsi="Times New Roman"/>
                <w:sz w:val="24"/>
                <w:szCs w:val="24"/>
              </w:rPr>
            </w:pPr>
            <w:r w:rsidRPr="007A0493">
              <w:rPr>
                <w:rFonts w:ascii="Times New Roman" w:hAnsi="Times New Roman"/>
                <w:sz w:val="24"/>
                <w:szCs w:val="24"/>
              </w:rPr>
              <w:t>Тепловой удар</w:t>
            </w:r>
          </w:p>
        </w:tc>
      </w:tr>
      <w:tr w:rsidR="002D1E45" w:rsidRPr="0006094F" w:rsidTr="007A0493">
        <w:trPr>
          <w:trHeight w:val="283"/>
          <w:jc w:val="center"/>
        </w:trPr>
        <w:tc>
          <w:tcPr>
            <w:tcW w:w="704" w:type="dxa"/>
            <w:vMerge/>
            <w:vAlign w:val="center"/>
          </w:tcPr>
          <w:p w:rsidR="002D1E45" w:rsidRPr="007A0493" w:rsidRDefault="002D1E45" w:rsidP="007A0493">
            <w:pPr>
              <w:widowControl w:val="0"/>
              <w:spacing w:after="0" w:line="240" w:lineRule="auto"/>
              <w:ind w:right="37"/>
              <w:jc w:val="center"/>
              <w:rPr>
                <w:rFonts w:ascii="Times New Roman" w:hAnsi="Times New Roman"/>
                <w:sz w:val="24"/>
                <w:szCs w:val="24"/>
              </w:rPr>
            </w:pPr>
          </w:p>
        </w:tc>
        <w:tc>
          <w:tcPr>
            <w:tcW w:w="2551" w:type="dxa"/>
            <w:vMerge/>
            <w:vAlign w:val="center"/>
          </w:tcPr>
          <w:p w:rsidR="002D1E45" w:rsidRPr="007A0493" w:rsidRDefault="002D1E45" w:rsidP="007A0493">
            <w:pPr>
              <w:widowControl w:val="0"/>
              <w:spacing w:after="0" w:line="240" w:lineRule="auto"/>
              <w:ind w:right="37"/>
              <w:rPr>
                <w:rFonts w:ascii="Times New Roman" w:hAnsi="Times New Roman"/>
                <w:sz w:val="24"/>
                <w:szCs w:val="24"/>
              </w:rPr>
            </w:pPr>
          </w:p>
        </w:tc>
        <w:tc>
          <w:tcPr>
            <w:tcW w:w="2552" w:type="dxa"/>
            <w:vMerge w:val="restart"/>
            <w:vAlign w:val="center"/>
          </w:tcPr>
          <w:p w:rsidR="002D1E45" w:rsidRPr="007A0493" w:rsidRDefault="002D1E45" w:rsidP="007A0493">
            <w:pPr>
              <w:widowControl w:val="0"/>
              <w:spacing w:after="0" w:line="240" w:lineRule="auto"/>
              <w:ind w:right="37"/>
              <w:rPr>
                <w:rFonts w:ascii="Times New Roman" w:hAnsi="Times New Roman"/>
                <w:sz w:val="24"/>
                <w:szCs w:val="24"/>
              </w:rPr>
            </w:pPr>
            <w:r w:rsidRPr="007A0493">
              <w:rPr>
                <w:rFonts w:ascii="Times New Roman" w:hAnsi="Times New Roman"/>
                <w:sz w:val="24"/>
                <w:szCs w:val="24"/>
              </w:rPr>
              <w:t>Химический</w:t>
            </w:r>
          </w:p>
        </w:tc>
        <w:tc>
          <w:tcPr>
            <w:tcW w:w="3969" w:type="dxa"/>
            <w:vAlign w:val="center"/>
          </w:tcPr>
          <w:p w:rsidR="002D1E45" w:rsidRPr="007A0493" w:rsidRDefault="002D1E45" w:rsidP="007A0493">
            <w:pPr>
              <w:widowControl w:val="0"/>
              <w:spacing w:after="0" w:line="240" w:lineRule="auto"/>
              <w:ind w:right="37"/>
              <w:rPr>
                <w:rFonts w:ascii="Times New Roman" w:hAnsi="Times New Roman"/>
                <w:sz w:val="24"/>
                <w:szCs w:val="24"/>
              </w:rPr>
            </w:pPr>
            <w:r w:rsidRPr="007A0493">
              <w:rPr>
                <w:rFonts w:ascii="Times New Roman" w:hAnsi="Times New Roman"/>
                <w:sz w:val="24"/>
                <w:szCs w:val="24"/>
              </w:rPr>
              <w:t>Помутнение воздуха</w:t>
            </w:r>
          </w:p>
        </w:tc>
      </w:tr>
      <w:tr w:rsidR="002D1E45" w:rsidRPr="0006094F" w:rsidTr="007A0493">
        <w:trPr>
          <w:trHeight w:val="283"/>
          <w:jc w:val="center"/>
        </w:trPr>
        <w:tc>
          <w:tcPr>
            <w:tcW w:w="704" w:type="dxa"/>
            <w:vMerge/>
            <w:vAlign w:val="center"/>
          </w:tcPr>
          <w:p w:rsidR="002D1E45" w:rsidRPr="007A0493" w:rsidRDefault="002D1E45" w:rsidP="007A0493">
            <w:pPr>
              <w:widowControl w:val="0"/>
              <w:spacing w:after="0" w:line="240" w:lineRule="auto"/>
              <w:ind w:right="37"/>
              <w:jc w:val="center"/>
              <w:rPr>
                <w:rFonts w:ascii="Times New Roman" w:hAnsi="Times New Roman"/>
                <w:sz w:val="24"/>
                <w:szCs w:val="24"/>
              </w:rPr>
            </w:pPr>
          </w:p>
        </w:tc>
        <w:tc>
          <w:tcPr>
            <w:tcW w:w="2551" w:type="dxa"/>
            <w:vMerge/>
            <w:vAlign w:val="center"/>
          </w:tcPr>
          <w:p w:rsidR="002D1E45" w:rsidRPr="007A0493" w:rsidRDefault="002D1E45" w:rsidP="007A0493">
            <w:pPr>
              <w:widowControl w:val="0"/>
              <w:spacing w:after="0" w:line="240" w:lineRule="auto"/>
              <w:ind w:right="37"/>
              <w:rPr>
                <w:rFonts w:ascii="Times New Roman" w:hAnsi="Times New Roman"/>
                <w:sz w:val="24"/>
                <w:szCs w:val="24"/>
              </w:rPr>
            </w:pPr>
          </w:p>
        </w:tc>
        <w:tc>
          <w:tcPr>
            <w:tcW w:w="2552" w:type="dxa"/>
            <w:vMerge/>
            <w:vAlign w:val="center"/>
          </w:tcPr>
          <w:p w:rsidR="002D1E45" w:rsidRPr="007A0493" w:rsidRDefault="002D1E45" w:rsidP="007A0493">
            <w:pPr>
              <w:widowControl w:val="0"/>
              <w:spacing w:after="0" w:line="240" w:lineRule="auto"/>
              <w:ind w:right="37"/>
              <w:rPr>
                <w:rFonts w:ascii="Times New Roman" w:hAnsi="Times New Roman"/>
                <w:sz w:val="24"/>
                <w:szCs w:val="24"/>
              </w:rPr>
            </w:pPr>
          </w:p>
        </w:tc>
        <w:tc>
          <w:tcPr>
            <w:tcW w:w="3969" w:type="dxa"/>
            <w:vAlign w:val="center"/>
          </w:tcPr>
          <w:p w:rsidR="002D1E45" w:rsidRPr="007A0493" w:rsidRDefault="002D1E45" w:rsidP="007A0493">
            <w:pPr>
              <w:widowControl w:val="0"/>
              <w:spacing w:after="0" w:line="240" w:lineRule="auto"/>
              <w:ind w:right="37"/>
              <w:rPr>
                <w:rFonts w:ascii="Times New Roman" w:hAnsi="Times New Roman"/>
                <w:sz w:val="24"/>
                <w:szCs w:val="24"/>
              </w:rPr>
            </w:pPr>
            <w:r w:rsidRPr="007A0493">
              <w:rPr>
                <w:rFonts w:ascii="Times New Roman" w:hAnsi="Times New Roman"/>
                <w:sz w:val="24"/>
                <w:szCs w:val="24"/>
              </w:rPr>
              <w:t>Загрязнение атмосферы, почвы, грунтов, гидросферы</w:t>
            </w:r>
          </w:p>
        </w:tc>
      </w:tr>
      <w:tr w:rsidR="002D1E45" w:rsidRPr="0006094F" w:rsidTr="007A0493">
        <w:trPr>
          <w:trHeight w:val="283"/>
          <w:jc w:val="center"/>
        </w:trPr>
        <w:tc>
          <w:tcPr>
            <w:tcW w:w="704" w:type="dxa"/>
            <w:vMerge/>
            <w:vAlign w:val="center"/>
          </w:tcPr>
          <w:p w:rsidR="002D1E45" w:rsidRPr="007A0493" w:rsidRDefault="002D1E45" w:rsidP="007A0493">
            <w:pPr>
              <w:widowControl w:val="0"/>
              <w:spacing w:after="0" w:line="240" w:lineRule="auto"/>
              <w:ind w:right="37"/>
              <w:jc w:val="center"/>
              <w:rPr>
                <w:rFonts w:ascii="Times New Roman" w:hAnsi="Times New Roman"/>
                <w:sz w:val="24"/>
                <w:szCs w:val="24"/>
              </w:rPr>
            </w:pPr>
          </w:p>
        </w:tc>
        <w:tc>
          <w:tcPr>
            <w:tcW w:w="2551" w:type="dxa"/>
            <w:vMerge/>
            <w:vAlign w:val="center"/>
          </w:tcPr>
          <w:p w:rsidR="002D1E45" w:rsidRPr="007A0493" w:rsidRDefault="002D1E45" w:rsidP="007A0493">
            <w:pPr>
              <w:widowControl w:val="0"/>
              <w:spacing w:after="0" w:line="240" w:lineRule="auto"/>
              <w:ind w:right="37"/>
              <w:rPr>
                <w:rFonts w:ascii="Times New Roman" w:hAnsi="Times New Roman"/>
                <w:sz w:val="24"/>
                <w:szCs w:val="24"/>
              </w:rPr>
            </w:pPr>
          </w:p>
        </w:tc>
        <w:tc>
          <w:tcPr>
            <w:tcW w:w="2552" w:type="dxa"/>
            <w:vMerge/>
            <w:vAlign w:val="center"/>
          </w:tcPr>
          <w:p w:rsidR="002D1E45" w:rsidRPr="007A0493" w:rsidRDefault="002D1E45" w:rsidP="007A0493">
            <w:pPr>
              <w:widowControl w:val="0"/>
              <w:spacing w:after="0" w:line="240" w:lineRule="auto"/>
              <w:ind w:right="37"/>
              <w:rPr>
                <w:rFonts w:ascii="Times New Roman" w:hAnsi="Times New Roman"/>
                <w:sz w:val="24"/>
                <w:szCs w:val="24"/>
              </w:rPr>
            </w:pPr>
          </w:p>
        </w:tc>
        <w:tc>
          <w:tcPr>
            <w:tcW w:w="3969" w:type="dxa"/>
            <w:vAlign w:val="center"/>
          </w:tcPr>
          <w:p w:rsidR="002D1E45" w:rsidRPr="007A0493" w:rsidRDefault="002D1E45" w:rsidP="007A0493">
            <w:pPr>
              <w:widowControl w:val="0"/>
              <w:spacing w:after="0" w:line="240" w:lineRule="auto"/>
              <w:ind w:right="37"/>
              <w:rPr>
                <w:rFonts w:ascii="Times New Roman" w:hAnsi="Times New Roman"/>
                <w:sz w:val="24"/>
                <w:szCs w:val="24"/>
              </w:rPr>
            </w:pPr>
            <w:r w:rsidRPr="007A0493">
              <w:rPr>
                <w:rFonts w:ascii="Times New Roman" w:hAnsi="Times New Roman"/>
                <w:sz w:val="24"/>
                <w:szCs w:val="24"/>
              </w:rPr>
              <w:t>Опасные дымы</w:t>
            </w:r>
          </w:p>
        </w:tc>
      </w:tr>
    </w:tbl>
    <w:p w:rsidR="002D1E45" w:rsidRDefault="002D1E45" w:rsidP="00991671">
      <w:pPr>
        <w:spacing w:after="120" w:line="240" w:lineRule="auto"/>
        <w:jc w:val="center"/>
        <w:rPr>
          <w:rFonts w:ascii="Times New Roman" w:hAnsi="Times New Roman"/>
          <w:sz w:val="28"/>
          <w:szCs w:val="24"/>
          <w:lang w:eastAsia="ru-RU"/>
        </w:rPr>
      </w:pPr>
    </w:p>
    <w:p w:rsidR="002D1E45" w:rsidRPr="0006094F" w:rsidRDefault="002D1E45" w:rsidP="00C47EAC">
      <w:pPr>
        <w:spacing w:after="0" w:line="240" w:lineRule="auto"/>
        <w:ind w:firstLine="709"/>
        <w:jc w:val="both"/>
        <w:rPr>
          <w:rFonts w:ascii="Times New Roman" w:hAnsi="Times New Roman"/>
          <w:sz w:val="28"/>
          <w:szCs w:val="28"/>
        </w:rPr>
      </w:pPr>
      <w:r w:rsidRPr="0006094F">
        <w:rPr>
          <w:rFonts w:ascii="Times New Roman" w:hAnsi="Times New Roman"/>
          <w:sz w:val="28"/>
          <w:szCs w:val="28"/>
        </w:rPr>
        <w:t>Основными природными факторами и</w:t>
      </w:r>
      <w:r>
        <w:rPr>
          <w:rFonts w:ascii="Times New Roman" w:hAnsi="Times New Roman"/>
          <w:sz w:val="28"/>
          <w:szCs w:val="28"/>
        </w:rPr>
        <w:t> </w:t>
      </w:r>
      <w:r w:rsidRPr="0006094F">
        <w:rPr>
          <w:rFonts w:ascii="Times New Roman" w:hAnsi="Times New Roman"/>
          <w:sz w:val="28"/>
          <w:szCs w:val="28"/>
        </w:rPr>
        <w:t>явлениями, влияющими на</w:t>
      </w:r>
      <w:r>
        <w:rPr>
          <w:rFonts w:ascii="Times New Roman" w:hAnsi="Times New Roman"/>
          <w:sz w:val="28"/>
          <w:szCs w:val="28"/>
        </w:rPr>
        <w:t> </w:t>
      </w:r>
      <w:r w:rsidRPr="0006094F">
        <w:rPr>
          <w:rFonts w:ascii="Times New Roman" w:hAnsi="Times New Roman"/>
          <w:sz w:val="28"/>
          <w:szCs w:val="28"/>
        </w:rPr>
        <w:t>жизнедеятельность населения, устойчивое функционирование хозяйствующих субъектов на</w:t>
      </w:r>
      <w:r>
        <w:rPr>
          <w:rFonts w:ascii="Times New Roman" w:hAnsi="Times New Roman"/>
          <w:sz w:val="28"/>
          <w:szCs w:val="28"/>
        </w:rPr>
        <w:t> </w:t>
      </w:r>
      <w:r w:rsidRPr="0006094F">
        <w:rPr>
          <w:rFonts w:ascii="Times New Roman" w:hAnsi="Times New Roman"/>
          <w:sz w:val="28"/>
          <w:szCs w:val="28"/>
        </w:rPr>
        <w:t>территории района являются:</w:t>
      </w:r>
    </w:p>
    <w:p w:rsidR="002D1E45" w:rsidRPr="0006094F" w:rsidRDefault="002D1E45" w:rsidP="00C47EAC">
      <w:pPr>
        <w:numPr>
          <w:ilvl w:val="0"/>
          <w:numId w:val="24"/>
        </w:numPr>
        <w:spacing w:after="0" w:line="240" w:lineRule="auto"/>
        <w:jc w:val="both"/>
        <w:rPr>
          <w:rFonts w:ascii="Times New Roman" w:hAnsi="Times New Roman"/>
          <w:sz w:val="28"/>
          <w:szCs w:val="28"/>
        </w:rPr>
      </w:pPr>
      <w:r w:rsidRPr="0006094F">
        <w:rPr>
          <w:rFonts w:ascii="Times New Roman" w:hAnsi="Times New Roman"/>
          <w:sz w:val="28"/>
          <w:szCs w:val="28"/>
        </w:rPr>
        <w:t>бури, ураганы (до 30 м/сек.);</w:t>
      </w:r>
    </w:p>
    <w:p w:rsidR="002D1E45" w:rsidRPr="0006094F" w:rsidRDefault="002D1E45" w:rsidP="00C47EAC">
      <w:pPr>
        <w:numPr>
          <w:ilvl w:val="0"/>
          <w:numId w:val="24"/>
        </w:numPr>
        <w:spacing w:after="0" w:line="240" w:lineRule="auto"/>
        <w:jc w:val="both"/>
        <w:rPr>
          <w:rFonts w:ascii="Times New Roman" w:hAnsi="Times New Roman"/>
          <w:sz w:val="28"/>
          <w:szCs w:val="28"/>
        </w:rPr>
      </w:pPr>
      <w:r w:rsidRPr="0006094F">
        <w:rPr>
          <w:rFonts w:ascii="Times New Roman" w:hAnsi="Times New Roman"/>
          <w:sz w:val="28"/>
          <w:szCs w:val="28"/>
        </w:rPr>
        <w:t>природные пожары;</w:t>
      </w:r>
    </w:p>
    <w:p w:rsidR="002D1E45" w:rsidRPr="0006094F" w:rsidRDefault="002D1E45" w:rsidP="00C47EAC">
      <w:pPr>
        <w:numPr>
          <w:ilvl w:val="0"/>
          <w:numId w:val="24"/>
        </w:numPr>
        <w:spacing w:after="0" w:line="240" w:lineRule="auto"/>
        <w:jc w:val="both"/>
        <w:rPr>
          <w:rFonts w:ascii="Times New Roman" w:hAnsi="Times New Roman"/>
          <w:sz w:val="28"/>
          <w:szCs w:val="28"/>
        </w:rPr>
      </w:pPr>
      <w:r w:rsidRPr="0006094F">
        <w:rPr>
          <w:rFonts w:ascii="Times New Roman" w:hAnsi="Times New Roman"/>
          <w:sz w:val="28"/>
          <w:szCs w:val="28"/>
        </w:rPr>
        <w:t>подтопления;</w:t>
      </w:r>
    </w:p>
    <w:p w:rsidR="002D1E45" w:rsidRPr="0006094F" w:rsidRDefault="002D1E45" w:rsidP="00C47EAC">
      <w:pPr>
        <w:numPr>
          <w:ilvl w:val="0"/>
          <w:numId w:val="24"/>
        </w:numPr>
        <w:spacing w:after="0" w:line="240" w:lineRule="auto"/>
        <w:jc w:val="both"/>
        <w:rPr>
          <w:rFonts w:ascii="Times New Roman" w:hAnsi="Times New Roman"/>
          <w:sz w:val="28"/>
          <w:szCs w:val="28"/>
        </w:rPr>
      </w:pPr>
      <w:r w:rsidRPr="0006094F">
        <w:rPr>
          <w:rFonts w:ascii="Times New Roman" w:hAnsi="Times New Roman"/>
          <w:sz w:val="28"/>
          <w:szCs w:val="28"/>
        </w:rPr>
        <w:t xml:space="preserve">сильные морозы, снежные заносы; </w:t>
      </w:r>
    </w:p>
    <w:p w:rsidR="002D1E45" w:rsidRPr="0006094F" w:rsidRDefault="002D1E45" w:rsidP="00C47EAC">
      <w:pPr>
        <w:numPr>
          <w:ilvl w:val="0"/>
          <w:numId w:val="24"/>
        </w:numPr>
        <w:spacing w:after="0" w:line="240" w:lineRule="auto"/>
        <w:jc w:val="both"/>
        <w:rPr>
          <w:rFonts w:ascii="Times New Roman" w:hAnsi="Times New Roman"/>
          <w:sz w:val="28"/>
          <w:szCs w:val="28"/>
        </w:rPr>
      </w:pPr>
      <w:r w:rsidRPr="0006094F">
        <w:rPr>
          <w:rFonts w:ascii="Times New Roman" w:hAnsi="Times New Roman"/>
          <w:sz w:val="28"/>
          <w:szCs w:val="28"/>
        </w:rPr>
        <w:t>обильные атмосферные осадки, обледенения и</w:t>
      </w:r>
      <w:r>
        <w:rPr>
          <w:rFonts w:ascii="Times New Roman" w:hAnsi="Times New Roman"/>
          <w:sz w:val="28"/>
          <w:szCs w:val="28"/>
        </w:rPr>
        <w:t> </w:t>
      </w:r>
      <w:r w:rsidRPr="0006094F">
        <w:rPr>
          <w:rFonts w:ascii="Times New Roman" w:hAnsi="Times New Roman"/>
          <w:sz w:val="28"/>
          <w:szCs w:val="28"/>
        </w:rPr>
        <w:t>гололёд.</w:t>
      </w:r>
    </w:p>
    <w:p w:rsidR="002D1E45" w:rsidRPr="0006094F" w:rsidRDefault="002D1E45" w:rsidP="00C47EAC">
      <w:pPr>
        <w:spacing w:after="0" w:line="240" w:lineRule="auto"/>
        <w:ind w:firstLine="709"/>
        <w:jc w:val="both"/>
        <w:rPr>
          <w:rFonts w:ascii="Times New Roman" w:hAnsi="Times New Roman"/>
          <w:sz w:val="28"/>
          <w:szCs w:val="28"/>
        </w:rPr>
      </w:pPr>
      <w:r w:rsidRPr="0006094F">
        <w:rPr>
          <w:rFonts w:ascii="Times New Roman" w:hAnsi="Times New Roman"/>
          <w:sz w:val="28"/>
          <w:szCs w:val="28"/>
        </w:rPr>
        <w:t>Неблагоприятные климатические явления (туман, метели, крупный град, снежные заносы, сильный мороз, ураганный ветер и</w:t>
      </w:r>
      <w:r>
        <w:rPr>
          <w:rFonts w:ascii="Times New Roman" w:hAnsi="Times New Roman"/>
          <w:sz w:val="28"/>
          <w:szCs w:val="28"/>
        </w:rPr>
        <w:t> </w:t>
      </w:r>
      <w:r w:rsidRPr="0006094F">
        <w:rPr>
          <w:rFonts w:ascii="Times New Roman" w:hAnsi="Times New Roman"/>
          <w:sz w:val="28"/>
          <w:szCs w:val="28"/>
        </w:rPr>
        <w:t>другие) возможны на</w:t>
      </w:r>
      <w:r>
        <w:rPr>
          <w:rFonts w:ascii="Times New Roman" w:hAnsi="Times New Roman"/>
          <w:sz w:val="28"/>
          <w:szCs w:val="28"/>
        </w:rPr>
        <w:t> </w:t>
      </w:r>
      <w:r w:rsidRPr="0006094F">
        <w:rPr>
          <w:rFonts w:ascii="Times New Roman" w:hAnsi="Times New Roman"/>
          <w:sz w:val="28"/>
          <w:szCs w:val="28"/>
        </w:rPr>
        <w:t>территории муниципального образования. Они приводят к</w:t>
      </w:r>
      <w:r>
        <w:rPr>
          <w:rFonts w:ascii="Times New Roman" w:hAnsi="Times New Roman"/>
          <w:sz w:val="28"/>
          <w:szCs w:val="28"/>
        </w:rPr>
        <w:t> </w:t>
      </w:r>
      <w:r w:rsidRPr="0006094F">
        <w:rPr>
          <w:rFonts w:ascii="Times New Roman" w:hAnsi="Times New Roman"/>
          <w:sz w:val="28"/>
          <w:szCs w:val="28"/>
        </w:rPr>
        <w:t>нарушению жизнеобеспечения населения, авариям на</w:t>
      </w:r>
      <w:r>
        <w:rPr>
          <w:rFonts w:ascii="Times New Roman" w:hAnsi="Times New Roman"/>
          <w:sz w:val="28"/>
          <w:szCs w:val="28"/>
        </w:rPr>
        <w:t> </w:t>
      </w:r>
      <w:r w:rsidRPr="0006094F">
        <w:rPr>
          <w:rFonts w:ascii="Times New Roman" w:hAnsi="Times New Roman"/>
          <w:sz w:val="28"/>
          <w:szCs w:val="28"/>
        </w:rPr>
        <w:t>коммунальных и</w:t>
      </w:r>
      <w:r>
        <w:rPr>
          <w:rFonts w:ascii="Times New Roman" w:hAnsi="Times New Roman"/>
          <w:sz w:val="28"/>
          <w:szCs w:val="28"/>
        </w:rPr>
        <w:t> </w:t>
      </w:r>
      <w:r w:rsidRPr="0006094F">
        <w:rPr>
          <w:rFonts w:ascii="Times New Roman" w:hAnsi="Times New Roman"/>
          <w:sz w:val="28"/>
          <w:szCs w:val="28"/>
        </w:rPr>
        <w:t>энергетических сетях, нарушению работы транспорта.</w:t>
      </w:r>
    </w:p>
    <w:p w:rsidR="002D1E45" w:rsidRDefault="002D1E45" w:rsidP="00C47EAC">
      <w:pPr>
        <w:spacing w:after="0" w:line="240" w:lineRule="auto"/>
        <w:ind w:firstLine="709"/>
        <w:jc w:val="both"/>
        <w:rPr>
          <w:rFonts w:ascii="Times New Roman" w:hAnsi="Times New Roman"/>
          <w:sz w:val="28"/>
          <w:szCs w:val="28"/>
        </w:rPr>
      </w:pPr>
      <w:r w:rsidRPr="0006094F">
        <w:rPr>
          <w:rFonts w:ascii="Times New Roman" w:hAnsi="Times New Roman"/>
          <w:i/>
          <w:sz w:val="28"/>
          <w:szCs w:val="28"/>
          <w:u w:val="single"/>
        </w:rPr>
        <w:t>Бури, шквалистые и</w:t>
      </w:r>
      <w:r>
        <w:rPr>
          <w:rFonts w:ascii="Times New Roman" w:hAnsi="Times New Roman"/>
          <w:i/>
          <w:sz w:val="28"/>
          <w:szCs w:val="28"/>
          <w:u w:val="single"/>
        </w:rPr>
        <w:t> </w:t>
      </w:r>
      <w:r w:rsidRPr="0006094F">
        <w:rPr>
          <w:rFonts w:ascii="Times New Roman" w:hAnsi="Times New Roman"/>
          <w:i/>
          <w:sz w:val="28"/>
          <w:szCs w:val="28"/>
          <w:u w:val="single"/>
        </w:rPr>
        <w:t>сильные ветры</w:t>
      </w:r>
      <w:r w:rsidRPr="0006094F">
        <w:rPr>
          <w:rFonts w:ascii="Times New Roman" w:hAnsi="Times New Roman"/>
          <w:i/>
          <w:sz w:val="28"/>
          <w:szCs w:val="28"/>
        </w:rPr>
        <w:t>.</w:t>
      </w:r>
      <w:r w:rsidRPr="0006094F">
        <w:rPr>
          <w:rFonts w:ascii="Times New Roman" w:hAnsi="Times New Roman"/>
          <w:sz w:val="28"/>
          <w:szCs w:val="28"/>
        </w:rPr>
        <w:t xml:space="preserve"> Ещё одним возможным опасным природным процессом, оказывающим влияние на</w:t>
      </w:r>
      <w:r>
        <w:rPr>
          <w:rFonts w:ascii="Times New Roman" w:hAnsi="Times New Roman"/>
          <w:sz w:val="28"/>
          <w:szCs w:val="28"/>
        </w:rPr>
        <w:t> </w:t>
      </w:r>
      <w:r w:rsidRPr="0006094F">
        <w:rPr>
          <w:rFonts w:ascii="Times New Roman" w:hAnsi="Times New Roman"/>
          <w:sz w:val="28"/>
          <w:szCs w:val="28"/>
        </w:rPr>
        <w:t>жизнеспособность населения на</w:t>
      </w:r>
      <w:r>
        <w:rPr>
          <w:rFonts w:ascii="Times New Roman" w:hAnsi="Times New Roman"/>
          <w:sz w:val="28"/>
          <w:szCs w:val="28"/>
        </w:rPr>
        <w:t> </w:t>
      </w:r>
      <w:r w:rsidRPr="0006094F">
        <w:rPr>
          <w:rFonts w:ascii="Times New Roman" w:hAnsi="Times New Roman"/>
          <w:sz w:val="28"/>
          <w:szCs w:val="28"/>
        </w:rPr>
        <w:t>территории района, являются бури, шквалистые и</w:t>
      </w:r>
      <w:r>
        <w:rPr>
          <w:rFonts w:ascii="Times New Roman" w:hAnsi="Times New Roman"/>
          <w:sz w:val="28"/>
          <w:szCs w:val="28"/>
        </w:rPr>
        <w:t> </w:t>
      </w:r>
      <w:r w:rsidRPr="0006094F">
        <w:rPr>
          <w:rFonts w:ascii="Times New Roman" w:hAnsi="Times New Roman"/>
          <w:sz w:val="28"/>
          <w:szCs w:val="28"/>
        </w:rPr>
        <w:t>сильные ветры. Буря — это ветер скорость которого меньше скорости урагана, но</w:t>
      </w:r>
      <w:r>
        <w:rPr>
          <w:rFonts w:ascii="Times New Roman" w:hAnsi="Times New Roman"/>
          <w:sz w:val="28"/>
          <w:szCs w:val="28"/>
        </w:rPr>
        <w:t> </w:t>
      </w:r>
      <w:r w:rsidRPr="0006094F">
        <w:rPr>
          <w:rFonts w:ascii="Times New Roman" w:hAnsi="Times New Roman"/>
          <w:sz w:val="28"/>
          <w:szCs w:val="28"/>
        </w:rPr>
        <w:t>довольно велика и</w:t>
      </w:r>
      <w:r>
        <w:rPr>
          <w:rFonts w:ascii="Times New Roman" w:hAnsi="Times New Roman"/>
          <w:sz w:val="28"/>
          <w:szCs w:val="28"/>
        </w:rPr>
        <w:t> </w:t>
      </w:r>
      <w:r w:rsidRPr="0006094F">
        <w:rPr>
          <w:rFonts w:ascii="Times New Roman" w:hAnsi="Times New Roman"/>
          <w:sz w:val="28"/>
          <w:szCs w:val="28"/>
        </w:rPr>
        <w:t>достигает 15-25 м/с. Скорость распространения сильного ветра ещё меньше 13-15 м/с. Ураганный ветер разрушает прочные и</w:t>
      </w:r>
      <w:r>
        <w:rPr>
          <w:rFonts w:ascii="Times New Roman" w:hAnsi="Times New Roman"/>
          <w:sz w:val="28"/>
          <w:szCs w:val="28"/>
        </w:rPr>
        <w:t> </w:t>
      </w:r>
      <w:r w:rsidRPr="0006094F">
        <w:rPr>
          <w:rFonts w:ascii="Times New Roman" w:hAnsi="Times New Roman"/>
          <w:sz w:val="28"/>
          <w:szCs w:val="28"/>
        </w:rPr>
        <w:t>сносит лёгкие строения, опустошает засеянные поля, обрывает провода и</w:t>
      </w:r>
      <w:r>
        <w:rPr>
          <w:rFonts w:ascii="Times New Roman" w:hAnsi="Times New Roman"/>
          <w:sz w:val="28"/>
          <w:szCs w:val="28"/>
        </w:rPr>
        <w:t> </w:t>
      </w:r>
      <w:r w:rsidRPr="0006094F">
        <w:rPr>
          <w:rFonts w:ascii="Times New Roman" w:hAnsi="Times New Roman"/>
          <w:sz w:val="28"/>
          <w:szCs w:val="28"/>
        </w:rPr>
        <w:t>валит столбы линий электропередач и</w:t>
      </w:r>
      <w:r>
        <w:rPr>
          <w:rFonts w:ascii="Times New Roman" w:hAnsi="Times New Roman"/>
          <w:sz w:val="28"/>
          <w:szCs w:val="28"/>
        </w:rPr>
        <w:t> </w:t>
      </w:r>
      <w:r w:rsidRPr="0006094F">
        <w:rPr>
          <w:rFonts w:ascii="Times New Roman" w:hAnsi="Times New Roman"/>
          <w:sz w:val="28"/>
          <w:szCs w:val="28"/>
        </w:rPr>
        <w:t>связи, повреждает транспортные магистрали и</w:t>
      </w:r>
      <w:r>
        <w:rPr>
          <w:rFonts w:ascii="Times New Roman" w:hAnsi="Times New Roman"/>
          <w:sz w:val="28"/>
          <w:szCs w:val="28"/>
        </w:rPr>
        <w:t> </w:t>
      </w:r>
      <w:r w:rsidRPr="0006094F">
        <w:rPr>
          <w:rFonts w:ascii="Times New Roman" w:hAnsi="Times New Roman"/>
          <w:sz w:val="28"/>
          <w:szCs w:val="28"/>
        </w:rPr>
        <w:t>мосты, вызывает аварии на</w:t>
      </w:r>
      <w:r>
        <w:rPr>
          <w:rFonts w:ascii="Times New Roman" w:hAnsi="Times New Roman"/>
          <w:sz w:val="28"/>
          <w:szCs w:val="28"/>
        </w:rPr>
        <w:t> </w:t>
      </w:r>
      <w:r w:rsidRPr="0006094F">
        <w:rPr>
          <w:rFonts w:ascii="Times New Roman" w:hAnsi="Times New Roman"/>
          <w:sz w:val="28"/>
          <w:szCs w:val="28"/>
        </w:rPr>
        <w:t>коммунально-энергетических сетях. Последствия прохождения шквалистых ветров со</w:t>
      </w:r>
      <w:r>
        <w:rPr>
          <w:rFonts w:ascii="Times New Roman" w:hAnsi="Times New Roman"/>
          <w:sz w:val="28"/>
          <w:szCs w:val="28"/>
        </w:rPr>
        <w:t> </w:t>
      </w:r>
      <w:r w:rsidRPr="0006094F">
        <w:rPr>
          <w:rFonts w:ascii="Times New Roman" w:hAnsi="Times New Roman"/>
          <w:sz w:val="28"/>
          <w:szCs w:val="28"/>
        </w:rPr>
        <w:t>скоростью более 15-20 м/с приводит к</w:t>
      </w:r>
      <w:r>
        <w:rPr>
          <w:rFonts w:ascii="Times New Roman" w:hAnsi="Times New Roman"/>
          <w:sz w:val="28"/>
          <w:szCs w:val="28"/>
        </w:rPr>
        <w:t> </w:t>
      </w:r>
      <w:r w:rsidRPr="0006094F">
        <w:rPr>
          <w:rFonts w:ascii="Times New Roman" w:hAnsi="Times New Roman"/>
          <w:sz w:val="28"/>
          <w:szCs w:val="28"/>
        </w:rPr>
        <w:t>обрушению опор и</w:t>
      </w:r>
      <w:r>
        <w:rPr>
          <w:rFonts w:ascii="Times New Roman" w:hAnsi="Times New Roman"/>
          <w:sz w:val="28"/>
          <w:szCs w:val="28"/>
        </w:rPr>
        <w:t> </w:t>
      </w:r>
      <w:r w:rsidRPr="0006094F">
        <w:rPr>
          <w:rFonts w:ascii="Times New Roman" w:hAnsi="Times New Roman"/>
          <w:sz w:val="28"/>
          <w:szCs w:val="28"/>
        </w:rPr>
        <w:t>множественным обрывам проводов ЛЭП, выходу из</w:t>
      </w:r>
      <w:r>
        <w:rPr>
          <w:rFonts w:ascii="Times New Roman" w:hAnsi="Times New Roman"/>
          <w:sz w:val="28"/>
          <w:szCs w:val="28"/>
        </w:rPr>
        <w:t> </w:t>
      </w:r>
      <w:r w:rsidRPr="0006094F">
        <w:rPr>
          <w:rFonts w:ascii="Times New Roman" w:hAnsi="Times New Roman"/>
          <w:sz w:val="28"/>
          <w:szCs w:val="28"/>
        </w:rPr>
        <w:t>строя систем энергоснабжения, линий связи, а</w:t>
      </w:r>
      <w:r>
        <w:rPr>
          <w:rFonts w:ascii="Times New Roman" w:hAnsi="Times New Roman"/>
          <w:sz w:val="28"/>
          <w:szCs w:val="28"/>
        </w:rPr>
        <w:t> </w:t>
      </w:r>
      <w:r w:rsidRPr="0006094F">
        <w:rPr>
          <w:rFonts w:ascii="Times New Roman" w:hAnsi="Times New Roman"/>
          <w:sz w:val="28"/>
          <w:szCs w:val="28"/>
        </w:rPr>
        <w:t>также падению и</w:t>
      </w:r>
      <w:r>
        <w:rPr>
          <w:rFonts w:ascii="Times New Roman" w:hAnsi="Times New Roman"/>
          <w:sz w:val="28"/>
          <w:szCs w:val="28"/>
        </w:rPr>
        <w:t> </w:t>
      </w:r>
      <w:r w:rsidRPr="0006094F">
        <w:rPr>
          <w:rFonts w:ascii="Times New Roman" w:hAnsi="Times New Roman"/>
          <w:sz w:val="28"/>
          <w:szCs w:val="28"/>
        </w:rPr>
        <w:t>завалам деревьев.</w:t>
      </w:r>
    </w:p>
    <w:p w:rsidR="002D1E45" w:rsidRPr="0006094F" w:rsidRDefault="002D1E45" w:rsidP="00C47EAC">
      <w:pPr>
        <w:spacing w:after="0" w:line="240" w:lineRule="auto"/>
        <w:ind w:firstLine="709"/>
        <w:jc w:val="both"/>
        <w:rPr>
          <w:rFonts w:ascii="Times New Roman" w:hAnsi="Times New Roman"/>
          <w:sz w:val="28"/>
          <w:szCs w:val="28"/>
        </w:rPr>
      </w:pPr>
      <w:r w:rsidRPr="0006094F">
        <w:rPr>
          <w:rFonts w:ascii="Times New Roman" w:hAnsi="Times New Roman"/>
          <w:sz w:val="28"/>
          <w:szCs w:val="28"/>
        </w:rPr>
        <w:t>Результатом шквалистых ветров является нарушение функционирования систем жизнеобеспечения населения и</w:t>
      </w:r>
      <w:r>
        <w:rPr>
          <w:rFonts w:ascii="Times New Roman" w:hAnsi="Times New Roman"/>
          <w:sz w:val="28"/>
          <w:szCs w:val="28"/>
        </w:rPr>
        <w:t> </w:t>
      </w:r>
      <w:r w:rsidRPr="0006094F">
        <w:rPr>
          <w:rFonts w:ascii="Times New Roman" w:hAnsi="Times New Roman"/>
          <w:sz w:val="28"/>
          <w:szCs w:val="28"/>
        </w:rPr>
        <w:t>хозяйствующих субъектов на</w:t>
      </w:r>
      <w:r>
        <w:rPr>
          <w:rFonts w:ascii="Times New Roman" w:hAnsi="Times New Roman"/>
          <w:sz w:val="28"/>
          <w:szCs w:val="28"/>
        </w:rPr>
        <w:t> </w:t>
      </w:r>
      <w:r w:rsidRPr="0006094F">
        <w:rPr>
          <w:rFonts w:ascii="Times New Roman" w:hAnsi="Times New Roman"/>
          <w:sz w:val="28"/>
          <w:szCs w:val="28"/>
        </w:rPr>
        <w:t>территории муниципального района, нарушение водоснабжения</w:t>
      </w:r>
    </w:p>
    <w:p w:rsidR="002D1E45" w:rsidRPr="0006094F" w:rsidRDefault="002D1E45" w:rsidP="00C47EAC">
      <w:pPr>
        <w:spacing w:after="0" w:line="240" w:lineRule="auto"/>
        <w:ind w:firstLine="709"/>
        <w:jc w:val="both"/>
        <w:rPr>
          <w:rFonts w:ascii="Times New Roman" w:hAnsi="Times New Roman"/>
          <w:sz w:val="28"/>
          <w:szCs w:val="28"/>
        </w:rPr>
      </w:pPr>
      <w:r w:rsidRPr="00F75746">
        <w:rPr>
          <w:rFonts w:ascii="Times New Roman" w:hAnsi="Times New Roman"/>
          <w:sz w:val="28"/>
          <w:szCs w:val="28"/>
        </w:rPr>
        <w:t>Средняя годовая скорость ветра на территории планирования составляет 2-5 м/с. В среднем</w:t>
      </w:r>
      <w:r w:rsidRPr="00D842D4">
        <w:rPr>
          <w:rFonts w:ascii="Times New Roman" w:hAnsi="Times New Roman"/>
          <w:sz w:val="28"/>
          <w:szCs w:val="28"/>
        </w:rPr>
        <w:t xml:space="preserve"> 25 дней в</w:t>
      </w:r>
      <w:r>
        <w:rPr>
          <w:rFonts w:ascii="Times New Roman" w:hAnsi="Times New Roman"/>
          <w:sz w:val="28"/>
          <w:szCs w:val="28"/>
        </w:rPr>
        <w:t> </w:t>
      </w:r>
      <w:r w:rsidRPr="00D842D4">
        <w:rPr>
          <w:rFonts w:ascii="Times New Roman" w:hAnsi="Times New Roman"/>
          <w:sz w:val="28"/>
          <w:szCs w:val="28"/>
        </w:rPr>
        <w:t>году скорость ветра превышает 15 м/с, а</w:t>
      </w:r>
      <w:r>
        <w:rPr>
          <w:rFonts w:ascii="Times New Roman" w:hAnsi="Times New Roman"/>
          <w:sz w:val="28"/>
          <w:szCs w:val="28"/>
        </w:rPr>
        <w:t> </w:t>
      </w:r>
      <w:r w:rsidRPr="00D842D4">
        <w:rPr>
          <w:rFonts w:ascii="Times New Roman" w:hAnsi="Times New Roman"/>
          <w:sz w:val="28"/>
          <w:szCs w:val="28"/>
        </w:rPr>
        <w:t>в</w:t>
      </w:r>
      <w:r>
        <w:rPr>
          <w:rFonts w:ascii="Times New Roman" w:hAnsi="Times New Roman"/>
          <w:sz w:val="28"/>
          <w:szCs w:val="28"/>
        </w:rPr>
        <w:t> </w:t>
      </w:r>
      <w:r w:rsidRPr="00D842D4">
        <w:rPr>
          <w:rFonts w:ascii="Times New Roman" w:hAnsi="Times New Roman"/>
          <w:sz w:val="28"/>
          <w:szCs w:val="28"/>
        </w:rPr>
        <w:t>отдельные годы число их</w:t>
      </w:r>
      <w:r>
        <w:rPr>
          <w:rFonts w:ascii="Times New Roman" w:hAnsi="Times New Roman"/>
          <w:sz w:val="28"/>
          <w:szCs w:val="28"/>
        </w:rPr>
        <w:t> </w:t>
      </w:r>
      <w:r w:rsidRPr="00D842D4">
        <w:rPr>
          <w:rFonts w:ascii="Times New Roman" w:hAnsi="Times New Roman"/>
          <w:sz w:val="28"/>
          <w:szCs w:val="28"/>
        </w:rPr>
        <w:t>более 70</w:t>
      </w:r>
      <w:r w:rsidRPr="0006094F">
        <w:rPr>
          <w:rFonts w:ascii="Times New Roman" w:hAnsi="Times New Roman"/>
          <w:sz w:val="28"/>
          <w:szCs w:val="28"/>
        </w:rPr>
        <w:t>. Согласно СП 20.13330.2011 «Нагрузки и</w:t>
      </w:r>
      <w:r>
        <w:rPr>
          <w:rFonts w:ascii="Times New Roman" w:hAnsi="Times New Roman"/>
          <w:sz w:val="28"/>
          <w:szCs w:val="28"/>
        </w:rPr>
        <w:t> </w:t>
      </w:r>
      <w:r w:rsidRPr="0006094F">
        <w:rPr>
          <w:rFonts w:ascii="Times New Roman" w:hAnsi="Times New Roman"/>
          <w:sz w:val="28"/>
          <w:szCs w:val="28"/>
        </w:rPr>
        <w:t xml:space="preserve">воздействия. Актуализированная редакция СНиП 2.01.07-85*», территория </w:t>
      </w:r>
      <w:r w:rsidRPr="00F75746">
        <w:rPr>
          <w:rFonts w:ascii="Times New Roman" w:hAnsi="Times New Roman"/>
          <w:sz w:val="28"/>
          <w:szCs w:val="28"/>
        </w:rPr>
        <w:t xml:space="preserve">города Куйбышева </w:t>
      </w:r>
      <w:r w:rsidRPr="0006094F">
        <w:rPr>
          <w:rFonts w:ascii="Times New Roman" w:hAnsi="Times New Roman"/>
          <w:sz w:val="28"/>
          <w:szCs w:val="28"/>
        </w:rPr>
        <w:t>относится к</w:t>
      </w:r>
      <w:r>
        <w:rPr>
          <w:rFonts w:ascii="Times New Roman" w:hAnsi="Times New Roman"/>
          <w:sz w:val="28"/>
          <w:szCs w:val="28"/>
        </w:rPr>
        <w:t> </w:t>
      </w:r>
      <w:r w:rsidRPr="0006094F">
        <w:rPr>
          <w:rFonts w:ascii="Times New Roman" w:hAnsi="Times New Roman"/>
          <w:sz w:val="28"/>
          <w:szCs w:val="28"/>
        </w:rPr>
        <w:t>I</w:t>
      </w:r>
      <w:r>
        <w:rPr>
          <w:rFonts w:ascii="Times New Roman" w:hAnsi="Times New Roman"/>
          <w:sz w:val="28"/>
          <w:szCs w:val="28"/>
        </w:rPr>
        <w:t> </w:t>
      </w:r>
      <w:r w:rsidRPr="0006094F">
        <w:rPr>
          <w:rFonts w:ascii="Times New Roman" w:hAnsi="Times New Roman"/>
          <w:sz w:val="28"/>
          <w:szCs w:val="28"/>
        </w:rPr>
        <w:t>району.</w:t>
      </w:r>
    </w:p>
    <w:p w:rsidR="002D1E45" w:rsidRPr="0006094F" w:rsidRDefault="002D1E45" w:rsidP="00C47EAC">
      <w:pPr>
        <w:spacing w:after="0" w:line="240" w:lineRule="auto"/>
        <w:ind w:firstLine="709"/>
        <w:jc w:val="both"/>
        <w:rPr>
          <w:rFonts w:ascii="Times New Roman" w:hAnsi="Times New Roman"/>
          <w:sz w:val="28"/>
          <w:szCs w:val="28"/>
        </w:rPr>
      </w:pPr>
      <w:r w:rsidRPr="0006094F">
        <w:rPr>
          <w:rFonts w:ascii="Times New Roman" w:hAnsi="Times New Roman"/>
          <w:sz w:val="28"/>
          <w:szCs w:val="28"/>
        </w:rPr>
        <w:t>Сильные ветра в</w:t>
      </w:r>
      <w:r>
        <w:rPr>
          <w:rFonts w:ascii="Times New Roman" w:hAnsi="Times New Roman"/>
          <w:sz w:val="28"/>
          <w:szCs w:val="28"/>
        </w:rPr>
        <w:t> </w:t>
      </w:r>
      <w:r w:rsidRPr="0006094F">
        <w:rPr>
          <w:rFonts w:ascii="Times New Roman" w:hAnsi="Times New Roman"/>
          <w:sz w:val="28"/>
          <w:szCs w:val="28"/>
        </w:rPr>
        <w:t>сочетании с</w:t>
      </w:r>
      <w:r>
        <w:rPr>
          <w:rFonts w:ascii="Times New Roman" w:hAnsi="Times New Roman"/>
          <w:sz w:val="28"/>
          <w:szCs w:val="28"/>
        </w:rPr>
        <w:t> </w:t>
      </w:r>
      <w:r w:rsidRPr="0006094F">
        <w:rPr>
          <w:rFonts w:ascii="Times New Roman" w:hAnsi="Times New Roman"/>
          <w:sz w:val="28"/>
          <w:szCs w:val="28"/>
        </w:rPr>
        <w:t>пыльной бурей обладают большой разрушительной силой, в</w:t>
      </w:r>
      <w:r>
        <w:rPr>
          <w:rFonts w:ascii="Times New Roman" w:hAnsi="Times New Roman"/>
          <w:sz w:val="28"/>
          <w:szCs w:val="28"/>
        </w:rPr>
        <w:t> </w:t>
      </w:r>
      <w:r w:rsidRPr="0006094F">
        <w:rPr>
          <w:rFonts w:ascii="Times New Roman" w:hAnsi="Times New Roman"/>
          <w:sz w:val="28"/>
          <w:szCs w:val="28"/>
        </w:rPr>
        <w:t>результате которой возможно:</w:t>
      </w:r>
    </w:p>
    <w:p w:rsidR="002D1E45" w:rsidRPr="0006094F" w:rsidRDefault="002D1E45" w:rsidP="00C47EAC">
      <w:pPr>
        <w:numPr>
          <w:ilvl w:val="0"/>
          <w:numId w:val="24"/>
        </w:numPr>
        <w:spacing w:after="0" w:line="240" w:lineRule="auto"/>
        <w:jc w:val="both"/>
        <w:rPr>
          <w:rFonts w:ascii="Times New Roman" w:hAnsi="Times New Roman"/>
          <w:sz w:val="28"/>
          <w:szCs w:val="28"/>
        </w:rPr>
      </w:pPr>
      <w:r w:rsidRPr="0006094F">
        <w:rPr>
          <w:rFonts w:ascii="Times New Roman" w:hAnsi="Times New Roman"/>
          <w:sz w:val="28"/>
          <w:szCs w:val="28"/>
        </w:rPr>
        <w:t>разрушение и</w:t>
      </w:r>
      <w:r>
        <w:rPr>
          <w:rFonts w:ascii="Times New Roman" w:hAnsi="Times New Roman"/>
          <w:sz w:val="28"/>
          <w:szCs w:val="28"/>
        </w:rPr>
        <w:t> </w:t>
      </w:r>
      <w:r w:rsidRPr="0006094F">
        <w:rPr>
          <w:rFonts w:ascii="Times New Roman" w:hAnsi="Times New Roman"/>
          <w:sz w:val="28"/>
          <w:szCs w:val="28"/>
        </w:rPr>
        <w:t>повреждение гражданских, сельскохозяйственных и</w:t>
      </w:r>
      <w:r>
        <w:rPr>
          <w:rFonts w:ascii="Times New Roman" w:hAnsi="Times New Roman"/>
          <w:sz w:val="28"/>
          <w:szCs w:val="28"/>
        </w:rPr>
        <w:t> </w:t>
      </w:r>
      <w:r w:rsidRPr="0006094F">
        <w:rPr>
          <w:rFonts w:ascii="Times New Roman" w:hAnsi="Times New Roman"/>
          <w:sz w:val="28"/>
          <w:szCs w:val="28"/>
        </w:rPr>
        <w:t>промышленных сооружений, объектов инфраструктуры;</w:t>
      </w:r>
    </w:p>
    <w:p w:rsidR="002D1E45" w:rsidRPr="0006094F" w:rsidRDefault="002D1E45" w:rsidP="00C47EAC">
      <w:pPr>
        <w:numPr>
          <w:ilvl w:val="0"/>
          <w:numId w:val="24"/>
        </w:numPr>
        <w:spacing w:after="0" w:line="240" w:lineRule="auto"/>
        <w:jc w:val="both"/>
        <w:rPr>
          <w:rFonts w:ascii="Times New Roman" w:hAnsi="Times New Roman"/>
          <w:sz w:val="28"/>
          <w:szCs w:val="28"/>
        </w:rPr>
      </w:pPr>
      <w:r w:rsidRPr="0006094F">
        <w:rPr>
          <w:rFonts w:ascii="Times New Roman" w:hAnsi="Times New Roman"/>
          <w:sz w:val="28"/>
          <w:szCs w:val="28"/>
        </w:rPr>
        <w:t>порыв линий связи и</w:t>
      </w:r>
      <w:r>
        <w:rPr>
          <w:rFonts w:ascii="Times New Roman" w:hAnsi="Times New Roman"/>
          <w:sz w:val="28"/>
          <w:szCs w:val="28"/>
        </w:rPr>
        <w:t> </w:t>
      </w:r>
      <w:r w:rsidRPr="0006094F">
        <w:rPr>
          <w:rFonts w:ascii="Times New Roman" w:hAnsi="Times New Roman"/>
          <w:sz w:val="28"/>
          <w:szCs w:val="28"/>
        </w:rPr>
        <w:t>электропередач;</w:t>
      </w:r>
    </w:p>
    <w:p w:rsidR="002D1E45" w:rsidRPr="0006094F" w:rsidRDefault="002D1E45" w:rsidP="00C47EAC">
      <w:pPr>
        <w:numPr>
          <w:ilvl w:val="0"/>
          <w:numId w:val="24"/>
        </w:numPr>
        <w:spacing w:after="0" w:line="240" w:lineRule="auto"/>
        <w:jc w:val="both"/>
        <w:rPr>
          <w:rFonts w:ascii="Times New Roman" w:hAnsi="Times New Roman"/>
          <w:sz w:val="28"/>
          <w:szCs w:val="28"/>
        </w:rPr>
      </w:pPr>
      <w:r w:rsidRPr="0006094F">
        <w:rPr>
          <w:rFonts w:ascii="Times New Roman" w:hAnsi="Times New Roman"/>
          <w:sz w:val="28"/>
          <w:szCs w:val="28"/>
        </w:rPr>
        <w:t>возникновение массовых пожаров в</w:t>
      </w:r>
      <w:r>
        <w:rPr>
          <w:rFonts w:ascii="Times New Roman" w:hAnsi="Times New Roman"/>
          <w:sz w:val="28"/>
          <w:szCs w:val="28"/>
        </w:rPr>
        <w:t> </w:t>
      </w:r>
      <w:r w:rsidRPr="0006094F">
        <w:rPr>
          <w:rFonts w:ascii="Times New Roman" w:hAnsi="Times New Roman"/>
          <w:sz w:val="28"/>
          <w:szCs w:val="28"/>
        </w:rPr>
        <w:t>населённых пунктах с</w:t>
      </w:r>
      <w:r>
        <w:rPr>
          <w:rFonts w:ascii="Times New Roman" w:hAnsi="Times New Roman"/>
          <w:sz w:val="28"/>
          <w:szCs w:val="28"/>
        </w:rPr>
        <w:t> </w:t>
      </w:r>
      <w:r w:rsidRPr="0006094F">
        <w:rPr>
          <w:rFonts w:ascii="Times New Roman" w:hAnsi="Times New Roman"/>
          <w:sz w:val="28"/>
          <w:szCs w:val="28"/>
        </w:rPr>
        <w:t>плотной деревянной застройкой;</w:t>
      </w:r>
    </w:p>
    <w:p w:rsidR="002D1E45" w:rsidRPr="0006094F" w:rsidRDefault="002D1E45" w:rsidP="00C47EAC">
      <w:pPr>
        <w:numPr>
          <w:ilvl w:val="0"/>
          <w:numId w:val="24"/>
        </w:numPr>
        <w:spacing w:after="0" w:line="240" w:lineRule="auto"/>
        <w:jc w:val="both"/>
        <w:rPr>
          <w:rFonts w:ascii="Times New Roman" w:hAnsi="Times New Roman"/>
          <w:sz w:val="28"/>
          <w:szCs w:val="28"/>
        </w:rPr>
      </w:pPr>
      <w:r w:rsidRPr="0006094F">
        <w:rPr>
          <w:rFonts w:ascii="Times New Roman" w:hAnsi="Times New Roman"/>
          <w:sz w:val="28"/>
          <w:szCs w:val="28"/>
        </w:rPr>
        <w:t>усугубление обстановки в</w:t>
      </w:r>
      <w:r>
        <w:rPr>
          <w:rFonts w:ascii="Times New Roman" w:hAnsi="Times New Roman"/>
          <w:sz w:val="28"/>
          <w:szCs w:val="28"/>
        </w:rPr>
        <w:t> </w:t>
      </w:r>
      <w:r w:rsidRPr="0006094F">
        <w:rPr>
          <w:rFonts w:ascii="Times New Roman" w:hAnsi="Times New Roman"/>
          <w:sz w:val="28"/>
          <w:szCs w:val="28"/>
        </w:rPr>
        <w:t xml:space="preserve">лесопожарный период. </w:t>
      </w:r>
    </w:p>
    <w:p w:rsidR="002D1E45" w:rsidRDefault="002D1E45" w:rsidP="00C47EAC">
      <w:pPr>
        <w:spacing w:after="0" w:line="240" w:lineRule="auto"/>
        <w:ind w:firstLine="709"/>
        <w:jc w:val="both"/>
        <w:rPr>
          <w:rFonts w:ascii="Times New Roman" w:hAnsi="Times New Roman"/>
          <w:sz w:val="28"/>
          <w:szCs w:val="28"/>
        </w:rPr>
      </w:pPr>
      <w:r w:rsidRPr="0006094F">
        <w:rPr>
          <w:rFonts w:ascii="Times New Roman" w:hAnsi="Times New Roman"/>
          <w:sz w:val="28"/>
          <w:szCs w:val="28"/>
        </w:rPr>
        <w:t>Поражающими факторами этих видов опасных природных процессов, в</w:t>
      </w:r>
      <w:r>
        <w:rPr>
          <w:rFonts w:ascii="Times New Roman" w:hAnsi="Times New Roman"/>
          <w:sz w:val="28"/>
          <w:szCs w:val="28"/>
        </w:rPr>
        <w:t> </w:t>
      </w:r>
      <w:r w:rsidRPr="0006094F">
        <w:rPr>
          <w:rFonts w:ascii="Times New Roman" w:hAnsi="Times New Roman"/>
          <w:sz w:val="28"/>
          <w:szCs w:val="28"/>
        </w:rPr>
        <w:t>соответствии с (ГОСТ Р.22.0.06-95) являются: ветровая нагрузка, аэродинамическое давление и</w:t>
      </w:r>
      <w:r>
        <w:rPr>
          <w:rFonts w:ascii="Times New Roman" w:hAnsi="Times New Roman"/>
          <w:sz w:val="28"/>
          <w:szCs w:val="28"/>
        </w:rPr>
        <w:t> </w:t>
      </w:r>
      <w:r w:rsidRPr="0006094F">
        <w:rPr>
          <w:rFonts w:ascii="Times New Roman" w:hAnsi="Times New Roman"/>
          <w:sz w:val="28"/>
          <w:szCs w:val="28"/>
        </w:rPr>
        <w:t>вибрация. На</w:t>
      </w:r>
      <w:r>
        <w:rPr>
          <w:rFonts w:ascii="Times New Roman" w:hAnsi="Times New Roman"/>
          <w:sz w:val="28"/>
          <w:szCs w:val="28"/>
        </w:rPr>
        <w:t> </w:t>
      </w:r>
      <w:r w:rsidRPr="0006094F">
        <w:rPr>
          <w:rFonts w:ascii="Times New Roman" w:hAnsi="Times New Roman"/>
          <w:sz w:val="28"/>
          <w:szCs w:val="28"/>
        </w:rPr>
        <w:t xml:space="preserve">территории </w:t>
      </w:r>
      <w:r w:rsidRPr="00F75746">
        <w:rPr>
          <w:rFonts w:ascii="Times New Roman" w:hAnsi="Times New Roman"/>
          <w:sz w:val="28"/>
          <w:szCs w:val="28"/>
        </w:rPr>
        <w:t>города Куйбышева</w:t>
      </w:r>
      <w:r w:rsidRPr="0006094F">
        <w:rPr>
          <w:rFonts w:ascii="Times New Roman" w:hAnsi="Times New Roman"/>
          <w:sz w:val="28"/>
          <w:szCs w:val="28"/>
        </w:rPr>
        <w:t>, учитывая его инфраструктуру, наиболее существенным фактором будет ветровой поток.</w:t>
      </w:r>
    </w:p>
    <w:p w:rsidR="002D1E45" w:rsidRPr="0006094F" w:rsidRDefault="002D1E45" w:rsidP="00C47EAC">
      <w:pPr>
        <w:spacing w:after="0" w:line="240" w:lineRule="auto"/>
        <w:ind w:firstLine="709"/>
        <w:jc w:val="both"/>
        <w:rPr>
          <w:rFonts w:ascii="Times New Roman" w:hAnsi="Times New Roman"/>
          <w:sz w:val="24"/>
          <w:szCs w:val="24"/>
          <w:lang w:eastAsia="ru-RU"/>
        </w:rPr>
      </w:pPr>
      <w:r w:rsidRPr="0006094F">
        <w:rPr>
          <w:rFonts w:ascii="Times New Roman" w:hAnsi="Times New Roman"/>
          <w:i/>
          <w:sz w:val="28"/>
          <w:szCs w:val="28"/>
          <w:u w:val="single"/>
        </w:rPr>
        <w:t>Природные пожары</w:t>
      </w:r>
      <w:r w:rsidRPr="0006094F">
        <w:rPr>
          <w:rFonts w:ascii="Times New Roman" w:hAnsi="Times New Roman"/>
          <w:i/>
          <w:sz w:val="28"/>
          <w:szCs w:val="28"/>
        </w:rPr>
        <w:t xml:space="preserve">. </w:t>
      </w:r>
      <w:r w:rsidRPr="0006094F">
        <w:rPr>
          <w:rFonts w:ascii="Times New Roman" w:hAnsi="Times New Roman"/>
          <w:sz w:val="28"/>
          <w:szCs w:val="28"/>
        </w:rPr>
        <w:t>К</w:t>
      </w:r>
      <w:r>
        <w:rPr>
          <w:rFonts w:ascii="Times New Roman" w:hAnsi="Times New Roman"/>
          <w:i/>
          <w:sz w:val="28"/>
          <w:szCs w:val="28"/>
        </w:rPr>
        <w:t> </w:t>
      </w:r>
      <w:r w:rsidRPr="0006094F">
        <w:rPr>
          <w:rFonts w:ascii="Times New Roman" w:hAnsi="Times New Roman"/>
          <w:sz w:val="28"/>
          <w:szCs w:val="28"/>
        </w:rPr>
        <w:t>числу возможных опасностей может быть отнесена и</w:t>
      </w:r>
      <w:r>
        <w:rPr>
          <w:rFonts w:ascii="Times New Roman" w:hAnsi="Times New Roman"/>
          <w:sz w:val="28"/>
          <w:szCs w:val="28"/>
        </w:rPr>
        <w:t> </w:t>
      </w:r>
      <w:r w:rsidRPr="0006094F">
        <w:rPr>
          <w:rFonts w:ascii="Times New Roman" w:hAnsi="Times New Roman"/>
          <w:sz w:val="28"/>
          <w:szCs w:val="28"/>
        </w:rPr>
        <w:t>потенциально высокая природная горимость кустарника и</w:t>
      </w:r>
      <w:r>
        <w:rPr>
          <w:rFonts w:ascii="Times New Roman" w:hAnsi="Times New Roman"/>
          <w:sz w:val="28"/>
          <w:szCs w:val="28"/>
        </w:rPr>
        <w:t> </w:t>
      </w:r>
      <w:r w:rsidRPr="0006094F">
        <w:rPr>
          <w:rFonts w:ascii="Times New Roman" w:hAnsi="Times New Roman"/>
          <w:sz w:val="28"/>
          <w:szCs w:val="28"/>
        </w:rPr>
        <w:t>деревьев. Природные пожары – это неконтролируемый процесс горения, стихийно возникающий в</w:t>
      </w:r>
      <w:r>
        <w:rPr>
          <w:rFonts w:ascii="Times New Roman" w:hAnsi="Times New Roman"/>
          <w:sz w:val="28"/>
          <w:szCs w:val="28"/>
        </w:rPr>
        <w:t> </w:t>
      </w:r>
      <w:r w:rsidRPr="0006094F">
        <w:rPr>
          <w:rFonts w:ascii="Times New Roman" w:hAnsi="Times New Roman"/>
          <w:sz w:val="28"/>
          <w:szCs w:val="28"/>
        </w:rPr>
        <w:t>распространяющийся в</w:t>
      </w:r>
      <w:r>
        <w:rPr>
          <w:rFonts w:ascii="Times New Roman" w:hAnsi="Times New Roman"/>
          <w:sz w:val="28"/>
          <w:szCs w:val="28"/>
        </w:rPr>
        <w:t> </w:t>
      </w:r>
      <w:r w:rsidRPr="0006094F">
        <w:rPr>
          <w:rFonts w:ascii="Times New Roman" w:hAnsi="Times New Roman"/>
          <w:sz w:val="28"/>
          <w:szCs w:val="28"/>
        </w:rPr>
        <w:t>природной среде. Лесные пожары разделяют на</w:t>
      </w:r>
      <w:r>
        <w:rPr>
          <w:rFonts w:ascii="Times New Roman" w:hAnsi="Times New Roman"/>
          <w:sz w:val="28"/>
          <w:szCs w:val="28"/>
        </w:rPr>
        <w:t> </w:t>
      </w:r>
      <w:r w:rsidRPr="0006094F">
        <w:rPr>
          <w:rFonts w:ascii="Times New Roman" w:hAnsi="Times New Roman"/>
          <w:sz w:val="28"/>
          <w:szCs w:val="28"/>
        </w:rPr>
        <w:t>верховые и</w:t>
      </w:r>
      <w:r>
        <w:rPr>
          <w:rFonts w:ascii="Times New Roman" w:hAnsi="Times New Roman"/>
          <w:sz w:val="28"/>
          <w:szCs w:val="28"/>
        </w:rPr>
        <w:t> </w:t>
      </w:r>
      <w:r w:rsidRPr="0006094F">
        <w:rPr>
          <w:rFonts w:ascii="Times New Roman" w:hAnsi="Times New Roman"/>
          <w:sz w:val="28"/>
          <w:szCs w:val="28"/>
        </w:rPr>
        <w:t>низовые пожары. Кроме того, классифицируются повальный, ландшафтный, валежный и</w:t>
      </w:r>
      <w:r>
        <w:rPr>
          <w:rFonts w:ascii="Times New Roman" w:hAnsi="Times New Roman"/>
          <w:sz w:val="28"/>
          <w:szCs w:val="28"/>
        </w:rPr>
        <w:t> </w:t>
      </w:r>
      <w:r w:rsidRPr="0006094F">
        <w:rPr>
          <w:rFonts w:ascii="Times New Roman" w:hAnsi="Times New Roman"/>
          <w:sz w:val="28"/>
          <w:szCs w:val="28"/>
        </w:rPr>
        <w:t>торфяной пожары.</w:t>
      </w:r>
      <w:r w:rsidRPr="0006094F">
        <w:rPr>
          <w:rFonts w:ascii="Times New Roman" w:hAnsi="Times New Roman"/>
          <w:sz w:val="24"/>
          <w:szCs w:val="24"/>
          <w:lang w:eastAsia="ru-RU"/>
        </w:rPr>
        <w:t xml:space="preserve"> </w:t>
      </w:r>
    </w:p>
    <w:p w:rsidR="002D1E45" w:rsidRPr="0006094F" w:rsidRDefault="002D1E45" w:rsidP="00C47EAC">
      <w:pPr>
        <w:adjustRightInd w:val="0"/>
        <w:spacing w:after="0" w:line="240" w:lineRule="auto"/>
        <w:ind w:firstLine="709"/>
        <w:jc w:val="both"/>
        <w:rPr>
          <w:rFonts w:ascii="Times New Roman" w:hAnsi="Times New Roman"/>
          <w:sz w:val="28"/>
          <w:szCs w:val="28"/>
          <w:lang w:eastAsia="ru-RU"/>
        </w:rPr>
      </w:pPr>
      <w:r w:rsidRPr="00F13DB9">
        <w:rPr>
          <w:rFonts w:ascii="Times New Roman" w:hAnsi="Times New Roman"/>
          <w:sz w:val="28"/>
          <w:szCs w:val="28"/>
        </w:rPr>
        <w:t xml:space="preserve">Природные пожары, кроме прямого ущерба хозяйству </w:t>
      </w:r>
      <w:r w:rsidRPr="00F75746">
        <w:rPr>
          <w:rFonts w:ascii="Times New Roman" w:hAnsi="Times New Roman"/>
          <w:sz w:val="28"/>
          <w:szCs w:val="28"/>
        </w:rPr>
        <w:t xml:space="preserve">города Куйбышева </w:t>
      </w:r>
      <w:r w:rsidRPr="00F13DB9">
        <w:rPr>
          <w:rFonts w:ascii="Times New Roman" w:hAnsi="Times New Roman"/>
          <w:sz w:val="28"/>
          <w:szCs w:val="28"/>
        </w:rPr>
        <w:t>угрожают и</w:t>
      </w:r>
      <w:r>
        <w:rPr>
          <w:rFonts w:ascii="Times New Roman" w:hAnsi="Times New Roman"/>
          <w:sz w:val="28"/>
          <w:szCs w:val="28"/>
        </w:rPr>
        <w:t> </w:t>
      </w:r>
      <w:r w:rsidRPr="00F13DB9">
        <w:rPr>
          <w:rFonts w:ascii="Times New Roman" w:hAnsi="Times New Roman"/>
          <w:sz w:val="28"/>
          <w:szCs w:val="28"/>
        </w:rPr>
        <w:t>населённ</w:t>
      </w:r>
      <w:r>
        <w:rPr>
          <w:rFonts w:ascii="Times New Roman" w:hAnsi="Times New Roman"/>
          <w:sz w:val="28"/>
          <w:szCs w:val="28"/>
        </w:rPr>
        <w:t>ому</w:t>
      </w:r>
      <w:r w:rsidRPr="00F13DB9">
        <w:rPr>
          <w:rFonts w:ascii="Times New Roman" w:hAnsi="Times New Roman"/>
          <w:sz w:val="28"/>
          <w:szCs w:val="28"/>
        </w:rPr>
        <w:t xml:space="preserve"> пункт</w:t>
      </w:r>
      <w:r>
        <w:rPr>
          <w:rFonts w:ascii="Times New Roman" w:hAnsi="Times New Roman"/>
          <w:sz w:val="28"/>
          <w:szCs w:val="28"/>
        </w:rPr>
        <w:t>у</w:t>
      </w:r>
      <w:r w:rsidRPr="00F13DB9">
        <w:rPr>
          <w:rFonts w:ascii="Times New Roman" w:hAnsi="Times New Roman"/>
          <w:sz w:val="28"/>
          <w:szCs w:val="28"/>
        </w:rPr>
        <w:t xml:space="preserve">. </w:t>
      </w:r>
      <w:r w:rsidRPr="00F13DB9">
        <w:rPr>
          <w:rFonts w:ascii="Times New Roman" w:hAnsi="Times New Roman"/>
          <w:sz w:val="28"/>
          <w:szCs w:val="28"/>
          <w:lang w:eastAsia="ru-RU"/>
        </w:rPr>
        <w:t>При возникновении лесных пожаров</w:t>
      </w:r>
      <w:r w:rsidRPr="0006094F">
        <w:rPr>
          <w:rFonts w:ascii="Times New Roman" w:hAnsi="Times New Roman"/>
          <w:sz w:val="28"/>
          <w:szCs w:val="28"/>
          <w:lang w:eastAsia="ru-RU"/>
        </w:rPr>
        <w:t xml:space="preserve"> создаётся угроза ухудшения экологической обстановки на</w:t>
      </w:r>
      <w:r>
        <w:rPr>
          <w:rFonts w:ascii="Times New Roman" w:hAnsi="Times New Roman"/>
          <w:sz w:val="28"/>
          <w:szCs w:val="28"/>
          <w:lang w:eastAsia="ru-RU"/>
        </w:rPr>
        <w:t> </w:t>
      </w:r>
      <w:r w:rsidRPr="0006094F">
        <w:rPr>
          <w:rFonts w:ascii="Times New Roman" w:hAnsi="Times New Roman"/>
          <w:sz w:val="28"/>
          <w:szCs w:val="28"/>
          <w:lang w:eastAsia="ru-RU"/>
        </w:rPr>
        <w:t xml:space="preserve">территории </w:t>
      </w:r>
      <w:r>
        <w:rPr>
          <w:rFonts w:ascii="Times New Roman" w:hAnsi="Times New Roman"/>
          <w:sz w:val="28"/>
          <w:szCs w:val="28"/>
          <w:lang w:eastAsia="ru-RU"/>
        </w:rPr>
        <w:t xml:space="preserve">села </w:t>
      </w:r>
      <w:r w:rsidRPr="00F75746">
        <w:rPr>
          <w:rFonts w:ascii="Times New Roman" w:hAnsi="Times New Roman"/>
          <w:sz w:val="28"/>
          <w:szCs w:val="28"/>
          <w:lang w:eastAsia="ru-RU"/>
        </w:rPr>
        <w:t>города Куйбышева</w:t>
      </w:r>
      <w:r w:rsidRPr="0006094F">
        <w:rPr>
          <w:rFonts w:ascii="Times New Roman" w:hAnsi="Times New Roman"/>
          <w:sz w:val="28"/>
          <w:szCs w:val="28"/>
          <w:lang w:eastAsia="ru-RU"/>
        </w:rPr>
        <w:t>, уничтожения значительных массивов лесного фонда. В</w:t>
      </w:r>
      <w:r>
        <w:rPr>
          <w:rFonts w:ascii="Times New Roman" w:hAnsi="Times New Roman"/>
          <w:sz w:val="28"/>
          <w:szCs w:val="28"/>
          <w:lang w:eastAsia="ru-RU"/>
        </w:rPr>
        <w:t> </w:t>
      </w:r>
      <w:r w:rsidRPr="0006094F">
        <w:rPr>
          <w:rFonts w:ascii="Times New Roman" w:hAnsi="Times New Roman"/>
          <w:sz w:val="28"/>
          <w:szCs w:val="28"/>
          <w:lang w:eastAsia="ru-RU"/>
        </w:rPr>
        <w:t>зависимости от</w:t>
      </w:r>
      <w:r>
        <w:rPr>
          <w:rFonts w:ascii="Times New Roman" w:hAnsi="Times New Roman"/>
          <w:sz w:val="28"/>
          <w:szCs w:val="28"/>
          <w:lang w:eastAsia="ru-RU"/>
        </w:rPr>
        <w:t> </w:t>
      </w:r>
      <w:r w:rsidRPr="0006094F">
        <w:rPr>
          <w:rFonts w:ascii="Times New Roman" w:hAnsi="Times New Roman"/>
          <w:sz w:val="28"/>
          <w:szCs w:val="28"/>
          <w:lang w:eastAsia="ru-RU"/>
        </w:rPr>
        <w:t>направления ветра возможно значительное задымление территори</w:t>
      </w:r>
      <w:r>
        <w:rPr>
          <w:rFonts w:ascii="Times New Roman" w:hAnsi="Times New Roman"/>
          <w:sz w:val="28"/>
          <w:szCs w:val="28"/>
          <w:lang w:eastAsia="ru-RU"/>
        </w:rPr>
        <w:t>и</w:t>
      </w:r>
      <w:r w:rsidRPr="0006094F">
        <w:rPr>
          <w:rFonts w:ascii="Times New Roman" w:hAnsi="Times New Roman"/>
          <w:sz w:val="28"/>
          <w:szCs w:val="28"/>
          <w:lang w:eastAsia="ru-RU"/>
        </w:rPr>
        <w:t xml:space="preserve"> населённ</w:t>
      </w:r>
      <w:r>
        <w:rPr>
          <w:rFonts w:ascii="Times New Roman" w:hAnsi="Times New Roman"/>
          <w:sz w:val="28"/>
          <w:szCs w:val="28"/>
          <w:lang w:eastAsia="ru-RU"/>
        </w:rPr>
        <w:t>ого</w:t>
      </w:r>
      <w:r w:rsidRPr="0006094F">
        <w:rPr>
          <w:rFonts w:ascii="Times New Roman" w:hAnsi="Times New Roman"/>
          <w:sz w:val="28"/>
          <w:szCs w:val="28"/>
          <w:lang w:eastAsia="ru-RU"/>
        </w:rPr>
        <w:t xml:space="preserve"> пункт</w:t>
      </w:r>
      <w:r>
        <w:rPr>
          <w:rFonts w:ascii="Times New Roman" w:hAnsi="Times New Roman"/>
          <w:sz w:val="28"/>
          <w:szCs w:val="28"/>
          <w:lang w:eastAsia="ru-RU"/>
        </w:rPr>
        <w:t>а</w:t>
      </w:r>
      <w:r w:rsidRPr="0006094F">
        <w:rPr>
          <w:rFonts w:ascii="Times New Roman" w:hAnsi="Times New Roman"/>
          <w:sz w:val="28"/>
          <w:szCs w:val="28"/>
          <w:lang w:eastAsia="ru-RU"/>
        </w:rPr>
        <w:t>.</w:t>
      </w:r>
    </w:p>
    <w:p w:rsidR="002D1E45" w:rsidRDefault="002D1E45" w:rsidP="00C47EAC">
      <w:pPr>
        <w:adjustRightInd w:val="0"/>
        <w:spacing w:after="0" w:line="240" w:lineRule="auto"/>
        <w:ind w:firstLine="709"/>
        <w:jc w:val="both"/>
        <w:rPr>
          <w:rFonts w:ascii="Times New Roman" w:hAnsi="Times New Roman"/>
          <w:sz w:val="28"/>
          <w:szCs w:val="28"/>
          <w:lang w:eastAsia="ru-RU"/>
        </w:rPr>
      </w:pPr>
      <w:r w:rsidRPr="00D53C87">
        <w:rPr>
          <w:rFonts w:ascii="Times New Roman" w:hAnsi="Times New Roman"/>
          <w:sz w:val="28"/>
          <w:szCs w:val="28"/>
          <w:lang w:eastAsia="ru-RU"/>
        </w:rPr>
        <w:t>В связи с многочисленными деревянными строениями на территориях муниципальных образований прогнозируется высокая степень бытовых пожаров. Основные причины: нарушения правил эксплуатации печного отопления, неисправная электропроводка, неосторожное обращения с огнём.</w:t>
      </w:r>
    </w:p>
    <w:p w:rsidR="002D1E45" w:rsidRPr="0006094F" w:rsidRDefault="002D1E45" w:rsidP="00C47EAC">
      <w:pPr>
        <w:adjustRightInd w:val="0"/>
        <w:spacing w:after="0" w:line="240" w:lineRule="auto"/>
        <w:ind w:firstLine="709"/>
        <w:jc w:val="both"/>
        <w:rPr>
          <w:rFonts w:ascii="Times New Roman" w:hAnsi="Times New Roman"/>
          <w:sz w:val="28"/>
          <w:szCs w:val="28"/>
          <w:lang w:eastAsia="ru-RU"/>
        </w:rPr>
      </w:pPr>
      <w:r w:rsidRPr="0006094F">
        <w:rPr>
          <w:rFonts w:ascii="Times New Roman" w:hAnsi="Times New Roman"/>
          <w:sz w:val="28"/>
          <w:szCs w:val="28"/>
          <w:lang w:eastAsia="ru-RU"/>
        </w:rPr>
        <w:t>Массовые пожары в</w:t>
      </w:r>
      <w:r>
        <w:rPr>
          <w:rFonts w:ascii="Times New Roman" w:hAnsi="Times New Roman"/>
          <w:sz w:val="28"/>
          <w:szCs w:val="28"/>
          <w:lang w:eastAsia="ru-RU"/>
        </w:rPr>
        <w:t> </w:t>
      </w:r>
      <w:r w:rsidRPr="0006094F">
        <w:rPr>
          <w:rFonts w:ascii="Times New Roman" w:hAnsi="Times New Roman"/>
          <w:sz w:val="28"/>
          <w:szCs w:val="28"/>
          <w:lang w:eastAsia="ru-RU"/>
        </w:rPr>
        <w:t>лесах могут возникать в</w:t>
      </w:r>
      <w:r>
        <w:rPr>
          <w:rFonts w:ascii="Times New Roman" w:hAnsi="Times New Roman"/>
          <w:sz w:val="28"/>
          <w:szCs w:val="28"/>
          <w:lang w:eastAsia="ru-RU"/>
        </w:rPr>
        <w:t> </w:t>
      </w:r>
      <w:r w:rsidRPr="0006094F">
        <w:rPr>
          <w:rFonts w:ascii="Times New Roman" w:hAnsi="Times New Roman"/>
          <w:sz w:val="28"/>
          <w:szCs w:val="28"/>
          <w:lang w:eastAsia="ru-RU"/>
        </w:rPr>
        <w:t>жаркую и</w:t>
      </w:r>
      <w:r>
        <w:rPr>
          <w:rFonts w:ascii="Times New Roman" w:hAnsi="Times New Roman"/>
          <w:sz w:val="28"/>
          <w:szCs w:val="28"/>
          <w:lang w:eastAsia="ru-RU"/>
        </w:rPr>
        <w:t> </w:t>
      </w:r>
      <w:r w:rsidRPr="0006094F">
        <w:rPr>
          <w:rFonts w:ascii="Times New Roman" w:hAnsi="Times New Roman"/>
          <w:sz w:val="28"/>
          <w:szCs w:val="28"/>
          <w:lang w:eastAsia="ru-RU"/>
        </w:rPr>
        <w:t>засушливую погоду от</w:t>
      </w:r>
      <w:r>
        <w:rPr>
          <w:rFonts w:ascii="Times New Roman" w:hAnsi="Times New Roman"/>
          <w:sz w:val="28"/>
          <w:szCs w:val="28"/>
          <w:lang w:eastAsia="ru-RU"/>
        </w:rPr>
        <w:t> </w:t>
      </w:r>
      <w:r w:rsidRPr="0006094F">
        <w:rPr>
          <w:rFonts w:ascii="Times New Roman" w:hAnsi="Times New Roman"/>
          <w:sz w:val="28"/>
          <w:szCs w:val="28"/>
          <w:lang w:eastAsia="ru-RU"/>
        </w:rPr>
        <w:t>ударов молний, неосторожного обращения с</w:t>
      </w:r>
      <w:r>
        <w:rPr>
          <w:rFonts w:ascii="Times New Roman" w:hAnsi="Times New Roman"/>
          <w:sz w:val="28"/>
          <w:szCs w:val="28"/>
          <w:lang w:eastAsia="ru-RU"/>
        </w:rPr>
        <w:t> </w:t>
      </w:r>
      <w:r w:rsidRPr="0006094F">
        <w:rPr>
          <w:rFonts w:ascii="Times New Roman" w:hAnsi="Times New Roman"/>
          <w:sz w:val="28"/>
          <w:szCs w:val="28"/>
          <w:lang w:eastAsia="ru-RU"/>
        </w:rPr>
        <w:t>огнём, очистки поверхности земли выжигом сухой травы и</w:t>
      </w:r>
      <w:r>
        <w:rPr>
          <w:rFonts w:ascii="Times New Roman" w:hAnsi="Times New Roman"/>
          <w:sz w:val="28"/>
          <w:szCs w:val="28"/>
          <w:lang w:eastAsia="ru-RU"/>
        </w:rPr>
        <w:t> </w:t>
      </w:r>
      <w:r w:rsidRPr="0006094F">
        <w:rPr>
          <w:rFonts w:ascii="Times New Roman" w:hAnsi="Times New Roman"/>
          <w:sz w:val="28"/>
          <w:szCs w:val="28"/>
          <w:lang w:eastAsia="ru-RU"/>
        </w:rPr>
        <w:t xml:space="preserve">других причин. </w:t>
      </w:r>
    </w:p>
    <w:p w:rsidR="002D1E45" w:rsidRPr="0006094F" w:rsidRDefault="002D1E45" w:rsidP="00C47EAC">
      <w:pPr>
        <w:adjustRightInd w:val="0"/>
        <w:spacing w:after="0" w:line="240" w:lineRule="auto"/>
        <w:ind w:firstLine="709"/>
        <w:jc w:val="both"/>
        <w:rPr>
          <w:rFonts w:ascii="Times New Roman" w:hAnsi="Times New Roman"/>
          <w:sz w:val="28"/>
          <w:szCs w:val="28"/>
          <w:lang w:eastAsia="ru-RU"/>
        </w:rPr>
      </w:pPr>
      <w:r w:rsidRPr="0006094F">
        <w:rPr>
          <w:rFonts w:ascii="Times New Roman" w:hAnsi="Times New Roman"/>
          <w:sz w:val="28"/>
          <w:szCs w:val="28"/>
          <w:lang w:eastAsia="ru-RU"/>
        </w:rPr>
        <w:t>Наиболее часто в</w:t>
      </w:r>
      <w:r>
        <w:rPr>
          <w:rFonts w:ascii="Times New Roman" w:hAnsi="Times New Roman"/>
          <w:sz w:val="28"/>
          <w:szCs w:val="28"/>
          <w:lang w:eastAsia="ru-RU"/>
        </w:rPr>
        <w:t> </w:t>
      </w:r>
      <w:r w:rsidRPr="0006094F">
        <w:rPr>
          <w:rFonts w:ascii="Times New Roman" w:hAnsi="Times New Roman"/>
          <w:sz w:val="28"/>
          <w:szCs w:val="28"/>
          <w:lang w:eastAsia="ru-RU"/>
        </w:rPr>
        <w:t>лесных массивах возникают низовые пожары, при которых выгорают лесная подстилка, подрост и</w:t>
      </w:r>
      <w:r>
        <w:rPr>
          <w:rFonts w:ascii="Times New Roman" w:hAnsi="Times New Roman"/>
          <w:sz w:val="28"/>
          <w:szCs w:val="28"/>
          <w:lang w:eastAsia="ru-RU"/>
        </w:rPr>
        <w:t> </w:t>
      </w:r>
      <w:r w:rsidRPr="0006094F">
        <w:rPr>
          <w:rFonts w:ascii="Times New Roman" w:hAnsi="Times New Roman"/>
          <w:sz w:val="28"/>
          <w:szCs w:val="28"/>
          <w:lang w:eastAsia="ru-RU"/>
        </w:rPr>
        <w:t>подлесок, травянисто-кустарничковый покров, валежник, корневища деревьев и</w:t>
      </w:r>
      <w:r>
        <w:rPr>
          <w:rFonts w:ascii="Times New Roman" w:hAnsi="Times New Roman"/>
          <w:sz w:val="28"/>
          <w:szCs w:val="28"/>
          <w:lang w:eastAsia="ru-RU"/>
        </w:rPr>
        <w:t> </w:t>
      </w:r>
      <w:r w:rsidRPr="0006094F">
        <w:rPr>
          <w:rFonts w:ascii="Times New Roman" w:hAnsi="Times New Roman"/>
          <w:sz w:val="28"/>
          <w:szCs w:val="28"/>
          <w:lang w:eastAsia="ru-RU"/>
        </w:rPr>
        <w:t>т.п.</w:t>
      </w:r>
    </w:p>
    <w:p w:rsidR="002D1E45" w:rsidRPr="0006094F" w:rsidRDefault="002D1E45" w:rsidP="00C47EAC">
      <w:pPr>
        <w:adjustRightInd w:val="0"/>
        <w:spacing w:after="0" w:line="240" w:lineRule="auto"/>
        <w:ind w:firstLine="709"/>
        <w:jc w:val="both"/>
        <w:rPr>
          <w:rFonts w:ascii="Times New Roman" w:hAnsi="Times New Roman"/>
          <w:sz w:val="28"/>
          <w:szCs w:val="28"/>
          <w:lang w:eastAsia="ru-RU"/>
        </w:rPr>
      </w:pPr>
      <w:r w:rsidRPr="0006094F">
        <w:rPr>
          <w:rFonts w:ascii="Times New Roman" w:hAnsi="Times New Roman"/>
          <w:sz w:val="28"/>
          <w:szCs w:val="28"/>
          <w:lang w:eastAsia="ru-RU"/>
        </w:rPr>
        <w:t xml:space="preserve"> В</w:t>
      </w:r>
      <w:r>
        <w:rPr>
          <w:rFonts w:ascii="Times New Roman" w:hAnsi="Times New Roman"/>
          <w:sz w:val="28"/>
          <w:szCs w:val="28"/>
          <w:lang w:eastAsia="ru-RU"/>
        </w:rPr>
        <w:t> </w:t>
      </w:r>
      <w:r w:rsidRPr="0006094F">
        <w:rPr>
          <w:rFonts w:ascii="Times New Roman" w:hAnsi="Times New Roman"/>
          <w:sz w:val="28"/>
          <w:szCs w:val="28"/>
          <w:lang w:eastAsia="ru-RU"/>
        </w:rPr>
        <w:t>засушливый период при ветре могут возникать верховые пожары, при которых огонь распространяется также и</w:t>
      </w:r>
      <w:r>
        <w:rPr>
          <w:rFonts w:ascii="Times New Roman" w:hAnsi="Times New Roman"/>
          <w:sz w:val="28"/>
          <w:szCs w:val="28"/>
          <w:lang w:eastAsia="ru-RU"/>
        </w:rPr>
        <w:t> </w:t>
      </w:r>
      <w:r w:rsidRPr="0006094F">
        <w:rPr>
          <w:rFonts w:ascii="Times New Roman" w:hAnsi="Times New Roman"/>
          <w:sz w:val="28"/>
          <w:szCs w:val="28"/>
          <w:lang w:eastAsia="ru-RU"/>
        </w:rPr>
        <w:t>по</w:t>
      </w:r>
      <w:r>
        <w:rPr>
          <w:rFonts w:ascii="Times New Roman" w:hAnsi="Times New Roman"/>
          <w:sz w:val="28"/>
          <w:szCs w:val="28"/>
          <w:lang w:eastAsia="ru-RU"/>
        </w:rPr>
        <w:t> </w:t>
      </w:r>
      <w:r w:rsidRPr="0006094F">
        <w:rPr>
          <w:rFonts w:ascii="Times New Roman" w:hAnsi="Times New Roman"/>
          <w:sz w:val="28"/>
          <w:szCs w:val="28"/>
          <w:lang w:eastAsia="ru-RU"/>
        </w:rPr>
        <w:t xml:space="preserve">кронам деревьев, преимущественно хвойных пород. </w:t>
      </w:r>
    </w:p>
    <w:p w:rsidR="002D1E45" w:rsidRPr="0006094F" w:rsidRDefault="002D1E45" w:rsidP="00C47EAC">
      <w:pPr>
        <w:spacing w:after="0" w:line="240" w:lineRule="auto"/>
        <w:ind w:firstLine="709"/>
        <w:jc w:val="both"/>
        <w:rPr>
          <w:rFonts w:ascii="Times New Roman" w:hAnsi="Times New Roman"/>
          <w:sz w:val="28"/>
          <w:szCs w:val="28"/>
        </w:rPr>
      </w:pPr>
      <w:r w:rsidRPr="0006094F">
        <w:rPr>
          <w:rFonts w:ascii="Times New Roman" w:hAnsi="Times New Roman"/>
          <w:sz w:val="28"/>
          <w:szCs w:val="28"/>
        </w:rPr>
        <w:t>При этом кроме гибели растений и</w:t>
      </w:r>
      <w:r>
        <w:rPr>
          <w:rFonts w:ascii="Times New Roman" w:hAnsi="Times New Roman"/>
          <w:sz w:val="28"/>
          <w:szCs w:val="28"/>
        </w:rPr>
        <w:t> </w:t>
      </w:r>
      <w:r w:rsidRPr="0006094F">
        <w:rPr>
          <w:rFonts w:ascii="Times New Roman" w:hAnsi="Times New Roman"/>
          <w:sz w:val="28"/>
          <w:szCs w:val="28"/>
        </w:rPr>
        <w:t>животных, ослабевают защитные и</w:t>
      </w:r>
      <w:r>
        <w:rPr>
          <w:rFonts w:ascii="Times New Roman" w:hAnsi="Times New Roman"/>
          <w:sz w:val="28"/>
          <w:szCs w:val="28"/>
        </w:rPr>
        <w:t> </w:t>
      </w:r>
      <w:r w:rsidRPr="0006094F">
        <w:rPr>
          <w:rFonts w:ascii="Times New Roman" w:hAnsi="Times New Roman"/>
          <w:sz w:val="28"/>
          <w:szCs w:val="28"/>
        </w:rPr>
        <w:t>водоохранные функции растительности. Пожары могут вызывать нарушение жизнедеятельности объектов экономики и</w:t>
      </w:r>
      <w:r>
        <w:rPr>
          <w:rFonts w:ascii="Times New Roman" w:hAnsi="Times New Roman"/>
          <w:sz w:val="28"/>
          <w:szCs w:val="28"/>
        </w:rPr>
        <w:t> </w:t>
      </w:r>
      <w:r w:rsidRPr="0006094F">
        <w:rPr>
          <w:rFonts w:ascii="Times New Roman" w:hAnsi="Times New Roman"/>
          <w:sz w:val="28"/>
          <w:szCs w:val="28"/>
        </w:rPr>
        <w:t>населённых пунктов в</w:t>
      </w:r>
      <w:r>
        <w:rPr>
          <w:rFonts w:ascii="Times New Roman" w:hAnsi="Times New Roman"/>
          <w:sz w:val="28"/>
          <w:szCs w:val="28"/>
        </w:rPr>
        <w:t> </w:t>
      </w:r>
      <w:r w:rsidRPr="0006094F">
        <w:rPr>
          <w:rFonts w:ascii="Times New Roman" w:hAnsi="Times New Roman"/>
          <w:sz w:val="28"/>
          <w:szCs w:val="28"/>
        </w:rPr>
        <w:t>результате уничтожения огнём и</w:t>
      </w:r>
      <w:r>
        <w:rPr>
          <w:rFonts w:ascii="Times New Roman" w:hAnsi="Times New Roman"/>
          <w:sz w:val="28"/>
          <w:szCs w:val="28"/>
        </w:rPr>
        <w:t> </w:t>
      </w:r>
      <w:r w:rsidRPr="0006094F">
        <w:rPr>
          <w:rFonts w:ascii="Times New Roman" w:hAnsi="Times New Roman"/>
          <w:sz w:val="28"/>
          <w:szCs w:val="28"/>
        </w:rPr>
        <w:t>вывода из</w:t>
      </w:r>
      <w:r>
        <w:rPr>
          <w:rFonts w:ascii="Times New Roman" w:hAnsi="Times New Roman"/>
          <w:sz w:val="28"/>
          <w:szCs w:val="28"/>
        </w:rPr>
        <w:t> </w:t>
      </w:r>
      <w:r w:rsidRPr="0006094F">
        <w:rPr>
          <w:rFonts w:ascii="Times New Roman" w:hAnsi="Times New Roman"/>
          <w:sz w:val="28"/>
          <w:szCs w:val="28"/>
        </w:rPr>
        <w:t>строя транспортных коммуникаций, а</w:t>
      </w:r>
      <w:r>
        <w:rPr>
          <w:rFonts w:ascii="Times New Roman" w:hAnsi="Times New Roman"/>
          <w:sz w:val="28"/>
          <w:szCs w:val="28"/>
        </w:rPr>
        <w:t> </w:t>
      </w:r>
      <w:r w:rsidRPr="0006094F">
        <w:rPr>
          <w:rFonts w:ascii="Times New Roman" w:hAnsi="Times New Roman"/>
          <w:sz w:val="28"/>
          <w:szCs w:val="28"/>
        </w:rPr>
        <w:t xml:space="preserve">также других важных объектов, необходимых для нормального функционирования </w:t>
      </w:r>
      <w:r>
        <w:rPr>
          <w:rFonts w:ascii="Times New Roman" w:hAnsi="Times New Roman"/>
          <w:sz w:val="28"/>
          <w:szCs w:val="28"/>
        </w:rPr>
        <w:t>города</w:t>
      </w:r>
      <w:r w:rsidRPr="0006094F">
        <w:rPr>
          <w:rFonts w:ascii="Times New Roman" w:hAnsi="Times New Roman"/>
          <w:sz w:val="28"/>
          <w:szCs w:val="28"/>
        </w:rPr>
        <w:t>.</w:t>
      </w:r>
    </w:p>
    <w:p w:rsidR="002D1E45" w:rsidRPr="0006094F" w:rsidRDefault="002D1E45" w:rsidP="00C47EAC">
      <w:pPr>
        <w:adjustRightInd w:val="0"/>
        <w:spacing w:after="0" w:line="240" w:lineRule="auto"/>
        <w:ind w:firstLine="709"/>
        <w:jc w:val="both"/>
        <w:rPr>
          <w:rFonts w:ascii="Times New Roman" w:hAnsi="Times New Roman"/>
          <w:snapToGrid w:val="0"/>
          <w:sz w:val="28"/>
          <w:szCs w:val="28"/>
          <w:lang w:eastAsia="ru-RU"/>
        </w:rPr>
      </w:pPr>
      <w:r w:rsidRPr="0006094F">
        <w:rPr>
          <w:rFonts w:ascii="Times New Roman" w:hAnsi="Times New Roman"/>
          <w:sz w:val="28"/>
          <w:szCs w:val="28"/>
        </w:rPr>
        <w:t>Период действия природных пожаров на</w:t>
      </w:r>
      <w:r>
        <w:rPr>
          <w:rFonts w:ascii="Times New Roman" w:hAnsi="Times New Roman"/>
          <w:sz w:val="28"/>
          <w:szCs w:val="28"/>
        </w:rPr>
        <w:t> </w:t>
      </w:r>
      <w:r w:rsidRPr="0006094F">
        <w:rPr>
          <w:rFonts w:ascii="Times New Roman" w:hAnsi="Times New Roman"/>
          <w:sz w:val="28"/>
          <w:szCs w:val="28"/>
        </w:rPr>
        <w:t>территории всей Новосибирской области приходится с</w:t>
      </w:r>
      <w:r>
        <w:rPr>
          <w:rFonts w:ascii="Times New Roman" w:hAnsi="Times New Roman"/>
          <w:sz w:val="28"/>
          <w:szCs w:val="28"/>
        </w:rPr>
        <w:t> </w:t>
      </w:r>
      <w:r w:rsidRPr="0006094F">
        <w:rPr>
          <w:rFonts w:ascii="Times New Roman" w:hAnsi="Times New Roman"/>
          <w:sz w:val="28"/>
          <w:szCs w:val="28"/>
        </w:rPr>
        <w:t>апреля по</w:t>
      </w:r>
      <w:r>
        <w:rPr>
          <w:rFonts w:ascii="Times New Roman" w:hAnsi="Times New Roman"/>
          <w:sz w:val="28"/>
          <w:szCs w:val="28"/>
        </w:rPr>
        <w:t> </w:t>
      </w:r>
      <w:r w:rsidRPr="0006094F">
        <w:rPr>
          <w:rFonts w:ascii="Times New Roman" w:hAnsi="Times New Roman"/>
          <w:sz w:val="28"/>
          <w:szCs w:val="28"/>
        </w:rPr>
        <w:t>октябрь. Пожароопасный сезон в</w:t>
      </w:r>
      <w:r>
        <w:rPr>
          <w:rFonts w:ascii="Times New Roman" w:hAnsi="Times New Roman"/>
          <w:sz w:val="28"/>
          <w:szCs w:val="28"/>
        </w:rPr>
        <w:t> </w:t>
      </w:r>
      <w:r w:rsidRPr="0006094F">
        <w:rPr>
          <w:rFonts w:ascii="Times New Roman" w:hAnsi="Times New Roman"/>
          <w:sz w:val="28"/>
          <w:szCs w:val="28"/>
        </w:rPr>
        <w:t>области длится около 180 дней в</w:t>
      </w:r>
      <w:r>
        <w:rPr>
          <w:rFonts w:ascii="Times New Roman" w:hAnsi="Times New Roman"/>
          <w:sz w:val="28"/>
          <w:szCs w:val="28"/>
        </w:rPr>
        <w:t> </w:t>
      </w:r>
      <w:r w:rsidRPr="0006094F">
        <w:rPr>
          <w:rFonts w:ascii="Times New Roman" w:hAnsi="Times New Roman"/>
          <w:sz w:val="28"/>
          <w:szCs w:val="28"/>
        </w:rPr>
        <w:t>зависимости от</w:t>
      </w:r>
      <w:r>
        <w:rPr>
          <w:rFonts w:ascii="Times New Roman" w:hAnsi="Times New Roman"/>
          <w:sz w:val="28"/>
          <w:szCs w:val="28"/>
        </w:rPr>
        <w:t> </w:t>
      </w:r>
      <w:r w:rsidRPr="0006094F">
        <w:rPr>
          <w:rFonts w:ascii="Times New Roman" w:hAnsi="Times New Roman"/>
          <w:sz w:val="28"/>
          <w:szCs w:val="28"/>
        </w:rPr>
        <w:t>схода и</w:t>
      </w:r>
      <w:r>
        <w:rPr>
          <w:rFonts w:ascii="Times New Roman" w:hAnsi="Times New Roman"/>
          <w:sz w:val="28"/>
          <w:szCs w:val="28"/>
        </w:rPr>
        <w:t> </w:t>
      </w:r>
      <w:r w:rsidRPr="0006094F">
        <w:rPr>
          <w:rFonts w:ascii="Times New Roman" w:hAnsi="Times New Roman"/>
          <w:sz w:val="28"/>
          <w:szCs w:val="28"/>
        </w:rPr>
        <w:t xml:space="preserve">установления снежного покрова. </w:t>
      </w:r>
      <w:r w:rsidRPr="0006094F">
        <w:rPr>
          <w:rFonts w:ascii="Times New Roman" w:hAnsi="Times New Roman"/>
          <w:snapToGrid w:val="0"/>
          <w:sz w:val="28"/>
          <w:szCs w:val="28"/>
          <w:lang w:eastAsia="ru-RU"/>
        </w:rPr>
        <w:t>Первый пик лесных пожаров наблюдается при условии сухой и</w:t>
      </w:r>
      <w:r>
        <w:rPr>
          <w:rFonts w:ascii="Times New Roman" w:hAnsi="Times New Roman"/>
          <w:snapToGrid w:val="0"/>
          <w:sz w:val="28"/>
          <w:szCs w:val="28"/>
          <w:lang w:eastAsia="ru-RU"/>
        </w:rPr>
        <w:t> </w:t>
      </w:r>
      <w:r w:rsidRPr="0006094F">
        <w:rPr>
          <w:rFonts w:ascii="Times New Roman" w:hAnsi="Times New Roman"/>
          <w:snapToGrid w:val="0"/>
          <w:sz w:val="28"/>
          <w:szCs w:val="28"/>
          <w:lang w:eastAsia="ru-RU"/>
        </w:rPr>
        <w:t>тёплой погоды, в</w:t>
      </w:r>
      <w:r>
        <w:rPr>
          <w:rFonts w:ascii="Times New Roman" w:hAnsi="Times New Roman"/>
          <w:snapToGrid w:val="0"/>
          <w:sz w:val="28"/>
          <w:szCs w:val="28"/>
          <w:lang w:eastAsia="ru-RU"/>
        </w:rPr>
        <w:t> </w:t>
      </w:r>
      <w:r w:rsidRPr="0006094F">
        <w:rPr>
          <w:rFonts w:ascii="Times New Roman" w:hAnsi="Times New Roman"/>
          <w:snapToGrid w:val="0"/>
          <w:sz w:val="28"/>
          <w:szCs w:val="28"/>
          <w:lang w:eastAsia="ru-RU"/>
        </w:rPr>
        <w:t>начале мая – начале июня, с</w:t>
      </w:r>
      <w:r>
        <w:rPr>
          <w:rFonts w:ascii="Times New Roman" w:hAnsi="Times New Roman"/>
          <w:snapToGrid w:val="0"/>
          <w:sz w:val="28"/>
          <w:szCs w:val="28"/>
          <w:lang w:eastAsia="ru-RU"/>
        </w:rPr>
        <w:t> </w:t>
      </w:r>
      <w:r w:rsidRPr="0006094F">
        <w:rPr>
          <w:rFonts w:ascii="Times New Roman" w:hAnsi="Times New Roman"/>
          <w:snapToGrid w:val="0"/>
          <w:sz w:val="28"/>
          <w:szCs w:val="28"/>
          <w:lang w:eastAsia="ru-RU"/>
        </w:rPr>
        <w:t>момента схода снежного покрова до</w:t>
      </w:r>
      <w:r>
        <w:rPr>
          <w:rFonts w:ascii="Times New Roman" w:hAnsi="Times New Roman"/>
          <w:snapToGrid w:val="0"/>
          <w:sz w:val="28"/>
          <w:szCs w:val="28"/>
          <w:lang w:eastAsia="ru-RU"/>
        </w:rPr>
        <w:t> </w:t>
      </w:r>
      <w:r w:rsidRPr="0006094F">
        <w:rPr>
          <w:rFonts w:ascii="Times New Roman" w:hAnsi="Times New Roman"/>
          <w:snapToGrid w:val="0"/>
          <w:sz w:val="28"/>
          <w:szCs w:val="28"/>
          <w:lang w:eastAsia="ru-RU"/>
        </w:rPr>
        <w:t>появления молодой вегетирующей зелени. Второй, основной, пик приходится обычно на</w:t>
      </w:r>
      <w:r>
        <w:rPr>
          <w:rFonts w:ascii="Times New Roman" w:hAnsi="Times New Roman"/>
          <w:snapToGrid w:val="0"/>
          <w:sz w:val="28"/>
          <w:szCs w:val="28"/>
          <w:lang w:eastAsia="ru-RU"/>
        </w:rPr>
        <w:t> </w:t>
      </w:r>
      <w:r w:rsidRPr="0006094F">
        <w:rPr>
          <w:rFonts w:ascii="Times New Roman" w:hAnsi="Times New Roman"/>
          <w:snapToGrid w:val="0"/>
          <w:sz w:val="28"/>
          <w:szCs w:val="28"/>
          <w:lang w:eastAsia="ru-RU"/>
        </w:rPr>
        <w:t>июль – начало августа.</w:t>
      </w:r>
    </w:p>
    <w:p w:rsidR="002D1E45" w:rsidRPr="0006094F" w:rsidRDefault="002D1E45" w:rsidP="00C47EAC">
      <w:pPr>
        <w:widowControl w:val="0"/>
        <w:suppressAutoHyphens/>
        <w:spacing w:after="0" w:line="240" w:lineRule="auto"/>
        <w:ind w:firstLine="851"/>
        <w:jc w:val="both"/>
        <w:rPr>
          <w:rFonts w:ascii="Times New Roman" w:hAnsi="Times New Roman"/>
          <w:snapToGrid w:val="0"/>
          <w:sz w:val="28"/>
          <w:szCs w:val="28"/>
          <w:lang w:eastAsia="ru-RU"/>
        </w:rPr>
      </w:pPr>
      <w:r w:rsidRPr="0006094F">
        <w:rPr>
          <w:rFonts w:ascii="Times New Roman" w:hAnsi="Times New Roman"/>
          <w:snapToGrid w:val="0"/>
          <w:sz w:val="28"/>
          <w:szCs w:val="28"/>
          <w:lang w:eastAsia="ru-RU"/>
        </w:rPr>
        <w:t>В сентябре-октябре, как правило, с</w:t>
      </w:r>
      <w:r>
        <w:rPr>
          <w:rFonts w:ascii="Times New Roman" w:hAnsi="Times New Roman"/>
          <w:snapToGrid w:val="0"/>
          <w:sz w:val="28"/>
          <w:szCs w:val="28"/>
          <w:lang w:eastAsia="ru-RU"/>
        </w:rPr>
        <w:t> </w:t>
      </w:r>
      <w:r w:rsidRPr="0006094F">
        <w:rPr>
          <w:rFonts w:ascii="Times New Roman" w:hAnsi="Times New Roman"/>
          <w:snapToGrid w:val="0"/>
          <w:sz w:val="28"/>
          <w:szCs w:val="28"/>
          <w:lang w:eastAsia="ru-RU"/>
        </w:rPr>
        <w:t>началом продолжительных дождей лесные пожары прекращаются. Однако, в</w:t>
      </w:r>
      <w:r>
        <w:rPr>
          <w:rFonts w:ascii="Times New Roman" w:hAnsi="Times New Roman"/>
          <w:snapToGrid w:val="0"/>
          <w:sz w:val="28"/>
          <w:szCs w:val="28"/>
          <w:lang w:eastAsia="ru-RU"/>
        </w:rPr>
        <w:t> </w:t>
      </w:r>
      <w:r w:rsidRPr="0006094F">
        <w:rPr>
          <w:rFonts w:ascii="Times New Roman" w:hAnsi="Times New Roman"/>
          <w:snapToGrid w:val="0"/>
          <w:sz w:val="28"/>
          <w:szCs w:val="28"/>
          <w:lang w:eastAsia="ru-RU"/>
        </w:rPr>
        <w:t>исключительных случаях, при сухой осени, лесные пожары на</w:t>
      </w:r>
      <w:r>
        <w:rPr>
          <w:rFonts w:ascii="Times New Roman" w:hAnsi="Times New Roman"/>
          <w:snapToGrid w:val="0"/>
          <w:sz w:val="28"/>
          <w:szCs w:val="28"/>
          <w:lang w:eastAsia="ru-RU"/>
        </w:rPr>
        <w:t> </w:t>
      </w:r>
      <w:r w:rsidRPr="0006094F">
        <w:rPr>
          <w:rFonts w:ascii="Times New Roman" w:hAnsi="Times New Roman"/>
          <w:snapToGrid w:val="0"/>
          <w:sz w:val="28"/>
          <w:szCs w:val="28"/>
          <w:lang w:eastAsia="ru-RU"/>
        </w:rPr>
        <w:t>территории района могут отмечаться и</w:t>
      </w:r>
      <w:r>
        <w:rPr>
          <w:rFonts w:ascii="Times New Roman" w:hAnsi="Times New Roman"/>
          <w:snapToGrid w:val="0"/>
          <w:sz w:val="28"/>
          <w:szCs w:val="28"/>
          <w:lang w:eastAsia="ru-RU"/>
        </w:rPr>
        <w:t> </w:t>
      </w:r>
      <w:r w:rsidRPr="0006094F">
        <w:rPr>
          <w:rFonts w:ascii="Times New Roman" w:hAnsi="Times New Roman"/>
          <w:snapToGrid w:val="0"/>
          <w:sz w:val="28"/>
          <w:szCs w:val="28"/>
          <w:lang w:eastAsia="ru-RU"/>
        </w:rPr>
        <w:t>в</w:t>
      </w:r>
      <w:r>
        <w:rPr>
          <w:rFonts w:ascii="Times New Roman" w:hAnsi="Times New Roman"/>
          <w:snapToGrid w:val="0"/>
          <w:sz w:val="28"/>
          <w:szCs w:val="28"/>
          <w:lang w:eastAsia="ru-RU"/>
        </w:rPr>
        <w:t> </w:t>
      </w:r>
      <w:r w:rsidRPr="0006094F">
        <w:rPr>
          <w:rFonts w:ascii="Times New Roman" w:hAnsi="Times New Roman"/>
          <w:snapToGrid w:val="0"/>
          <w:sz w:val="28"/>
          <w:szCs w:val="28"/>
          <w:lang w:eastAsia="ru-RU"/>
        </w:rPr>
        <w:t xml:space="preserve">октябре. </w:t>
      </w:r>
    </w:p>
    <w:p w:rsidR="002D1E45" w:rsidRPr="0006094F" w:rsidRDefault="002D1E45" w:rsidP="00C47EAC">
      <w:pPr>
        <w:spacing w:after="0" w:line="240" w:lineRule="auto"/>
        <w:ind w:firstLine="709"/>
        <w:jc w:val="both"/>
        <w:rPr>
          <w:rFonts w:ascii="Times New Roman" w:hAnsi="Times New Roman"/>
          <w:sz w:val="28"/>
          <w:szCs w:val="28"/>
        </w:rPr>
      </w:pPr>
      <w:r w:rsidRPr="0006094F">
        <w:rPr>
          <w:rFonts w:ascii="Times New Roman" w:hAnsi="Times New Roman"/>
          <w:sz w:val="28"/>
          <w:szCs w:val="28"/>
        </w:rPr>
        <w:t>Пирологический пик горимости лесов ожидается в</w:t>
      </w:r>
      <w:r>
        <w:rPr>
          <w:rFonts w:ascii="Times New Roman" w:hAnsi="Times New Roman"/>
          <w:sz w:val="28"/>
          <w:szCs w:val="28"/>
        </w:rPr>
        <w:t> </w:t>
      </w:r>
      <w:r w:rsidRPr="0006094F">
        <w:rPr>
          <w:rFonts w:ascii="Times New Roman" w:hAnsi="Times New Roman"/>
          <w:sz w:val="28"/>
          <w:szCs w:val="28"/>
        </w:rPr>
        <w:t>весенний период, а</w:t>
      </w:r>
      <w:r>
        <w:rPr>
          <w:rFonts w:ascii="Times New Roman" w:hAnsi="Times New Roman"/>
          <w:sz w:val="28"/>
          <w:szCs w:val="28"/>
        </w:rPr>
        <w:t> </w:t>
      </w:r>
      <w:r w:rsidRPr="0006094F">
        <w:rPr>
          <w:rFonts w:ascii="Times New Roman" w:hAnsi="Times New Roman"/>
          <w:sz w:val="28"/>
          <w:szCs w:val="28"/>
        </w:rPr>
        <w:t>именно – в</w:t>
      </w:r>
      <w:r>
        <w:rPr>
          <w:rFonts w:ascii="Times New Roman" w:hAnsi="Times New Roman"/>
          <w:sz w:val="28"/>
          <w:szCs w:val="28"/>
        </w:rPr>
        <w:t> </w:t>
      </w:r>
      <w:r w:rsidRPr="0006094F">
        <w:rPr>
          <w:rFonts w:ascii="Times New Roman" w:hAnsi="Times New Roman"/>
          <w:sz w:val="28"/>
          <w:szCs w:val="28"/>
        </w:rPr>
        <w:t>мае. В</w:t>
      </w:r>
      <w:r>
        <w:rPr>
          <w:rFonts w:ascii="Times New Roman" w:hAnsi="Times New Roman"/>
          <w:sz w:val="28"/>
          <w:szCs w:val="28"/>
        </w:rPr>
        <w:t> </w:t>
      </w:r>
      <w:r w:rsidRPr="0006094F">
        <w:rPr>
          <w:rFonts w:ascii="Times New Roman" w:hAnsi="Times New Roman"/>
          <w:sz w:val="28"/>
          <w:szCs w:val="28"/>
        </w:rPr>
        <w:t>этот период прогнозируется до 80 % всех возникающих пожаров. В</w:t>
      </w:r>
      <w:r>
        <w:rPr>
          <w:rFonts w:ascii="Times New Roman" w:hAnsi="Times New Roman"/>
          <w:sz w:val="28"/>
          <w:szCs w:val="28"/>
        </w:rPr>
        <w:t> </w:t>
      </w:r>
      <w:r w:rsidRPr="0006094F">
        <w:rPr>
          <w:rFonts w:ascii="Times New Roman" w:hAnsi="Times New Roman"/>
          <w:sz w:val="28"/>
          <w:szCs w:val="28"/>
        </w:rPr>
        <w:t>основном – это низовые беглые лесные пожары, развивающиеся по</w:t>
      </w:r>
      <w:r>
        <w:rPr>
          <w:rFonts w:ascii="Times New Roman" w:hAnsi="Times New Roman"/>
          <w:sz w:val="28"/>
          <w:szCs w:val="28"/>
        </w:rPr>
        <w:t> </w:t>
      </w:r>
      <w:r w:rsidRPr="0006094F">
        <w:rPr>
          <w:rFonts w:ascii="Times New Roman" w:hAnsi="Times New Roman"/>
          <w:sz w:val="28"/>
          <w:szCs w:val="28"/>
        </w:rPr>
        <w:t>сухой растительности.</w:t>
      </w:r>
    </w:p>
    <w:p w:rsidR="002D1E45" w:rsidRPr="0006094F" w:rsidRDefault="002D1E45" w:rsidP="00C47EAC">
      <w:pPr>
        <w:spacing w:after="0" w:line="240" w:lineRule="auto"/>
        <w:ind w:firstLine="709"/>
        <w:jc w:val="both"/>
        <w:rPr>
          <w:rFonts w:ascii="Times New Roman" w:hAnsi="Times New Roman"/>
          <w:sz w:val="28"/>
          <w:szCs w:val="28"/>
        </w:rPr>
      </w:pPr>
      <w:r w:rsidRPr="0006094F">
        <w:rPr>
          <w:rFonts w:ascii="Times New Roman" w:hAnsi="Times New Roman"/>
          <w:sz w:val="28"/>
          <w:szCs w:val="28"/>
        </w:rPr>
        <w:t>Основной поражающий фактор пожаров – высокая температура определяет размеры зоны поражения. Тепловое излучение из</w:t>
      </w:r>
      <w:r>
        <w:rPr>
          <w:rFonts w:ascii="Times New Roman" w:hAnsi="Times New Roman"/>
          <w:sz w:val="28"/>
          <w:szCs w:val="28"/>
        </w:rPr>
        <w:t> </w:t>
      </w:r>
      <w:r w:rsidRPr="0006094F">
        <w:rPr>
          <w:rFonts w:ascii="Times New Roman" w:hAnsi="Times New Roman"/>
          <w:sz w:val="28"/>
          <w:szCs w:val="28"/>
        </w:rPr>
        <w:t>этой зоны способно привести к</w:t>
      </w:r>
      <w:r>
        <w:rPr>
          <w:rFonts w:ascii="Times New Roman" w:hAnsi="Times New Roman"/>
          <w:sz w:val="28"/>
          <w:szCs w:val="28"/>
        </w:rPr>
        <w:t> </w:t>
      </w:r>
      <w:r w:rsidRPr="0006094F">
        <w:rPr>
          <w:rFonts w:ascii="Times New Roman" w:hAnsi="Times New Roman"/>
          <w:sz w:val="28"/>
          <w:szCs w:val="28"/>
        </w:rPr>
        <w:t>поражению людей и</w:t>
      </w:r>
      <w:r>
        <w:rPr>
          <w:rFonts w:ascii="Times New Roman" w:hAnsi="Times New Roman"/>
          <w:sz w:val="28"/>
          <w:szCs w:val="28"/>
        </w:rPr>
        <w:t> </w:t>
      </w:r>
      <w:r w:rsidRPr="0006094F">
        <w:rPr>
          <w:rFonts w:ascii="Times New Roman" w:hAnsi="Times New Roman"/>
          <w:sz w:val="28"/>
          <w:szCs w:val="28"/>
        </w:rPr>
        <w:t>сельскохозяйственных животных, возгоранию горючих материалов, линий электропередачи и</w:t>
      </w:r>
      <w:r>
        <w:rPr>
          <w:rFonts w:ascii="Times New Roman" w:hAnsi="Times New Roman"/>
          <w:sz w:val="28"/>
          <w:szCs w:val="28"/>
        </w:rPr>
        <w:t> </w:t>
      </w:r>
      <w:r w:rsidRPr="0006094F">
        <w:rPr>
          <w:rFonts w:ascii="Times New Roman" w:hAnsi="Times New Roman"/>
          <w:sz w:val="28"/>
          <w:szCs w:val="28"/>
        </w:rPr>
        <w:t>связи на</w:t>
      </w:r>
      <w:r>
        <w:rPr>
          <w:rFonts w:ascii="Times New Roman" w:hAnsi="Times New Roman"/>
          <w:sz w:val="28"/>
          <w:szCs w:val="28"/>
        </w:rPr>
        <w:t> </w:t>
      </w:r>
      <w:r w:rsidRPr="0006094F">
        <w:rPr>
          <w:rFonts w:ascii="Times New Roman" w:hAnsi="Times New Roman"/>
          <w:sz w:val="28"/>
          <w:szCs w:val="28"/>
        </w:rPr>
        <w:t>деревянных столбах за</w:t>
      </w:r>
      <w:r>
        <w:rPr>
          <w:rFonts w:ascii="Times New Roman" w:hAnsi="Times New Roman"/>
          <w:sz w:val="28"/>
          <w:szCs w:val="28"/>
        </w:rPr>
        <w:t> </w:t>
      </w:r>
      <w:r w:rsidRPr="0006094F">
        <w:rPr>
          <w:rFonts w:ascii="Times New Roman" w:hAnsi="Times New Roman"/>
          <w:sz w:val="28"/>
          <w:szCs w:val="28"/>
        </w:rPr>
        <w:t>её пределами; задымлению больших территорий; ограничению видимости.</w:t>
      </w:r>
    </w:p>
    <w:p w:rsidR="002D1E45" w:rsidRPr="0006094F" w:rsidRDefault="002D1E45" w:rsidP="00C47EAC">
      <w:pPr>
        <w:spacing w:after="0" w:line="240" w:lineRule="auto"/>
        <w:ind w:firstLine="709"/>
        <w:jc w:val="both"/>
        <w:rPr>
          <w:rFonts w:ascii="Times New Roman" w:hAnsi="Times New Roman"/>
          <w:sz w:val="28"/>
          <w:szCs w:val="28"/>
        </w:rPr>
      </w:pPr>
      <w:r w:rsidRPr="0006094F">
        <w:rPr>
          <w:rFonts w:ascii="Times New Roman" w:hAnsi="Times New Roman"/>
          <w:sz w:val="28"/>
          <w:szCs w:val="28"/>
        </w:rPr>
        <w:t>Основной причиной возникновения лесных (ландшафтных) пожаров является человеческий фактор (в 75 % случаев) в</w:t>
      </w:r>
      <w:r>
        <w:rPr>
          <w:rFonts w:ascii="Times New Roman" w:hAnsi="Times New Roman"/>
          <w:sz w:val="28"/>
          <w:szCs w:val="28"/>
        </w:rPr>
        <w:t> </w:t>
      </w:r>
      <w:r w:rsidRPr="0006094F">
        <w:rPr>
          <w:rFonts w:ascii="Times New Roman" w:hAnsi="Times New Roman"/>
          <w:sz w:val="28"/>
          <w:szCs w:val="28"/>
        </w:rPr>
        <w:t>связи с</w:t>
      </w:r>
      <w:r>
        <w:rPr>
          <w:rFonts w:ascii="Times New Roman" w:hAnsi="Times New Roman"/>
          <w:sz w:val="28"/>
          <w:szCs w:val="28"/>
        </w:rPr>
        <w:t> </w:t>
      </w:r>
      <w:r w:rsidRPr="0006094F">
        <w:rPr>
          <w:rFonts w:ascii="Times New Roman" w:hAnsi="Times New Roman"/>
          <w:sz w:val="28"/>
          <w:szCs w:val="28"/>
        </w:rPr>
        <w:t>массовым посещением населением лесов, а</w:t>
      </w:r>
      <w:r>
        <w:rPr>
          <w:rFonts w:ascii="Times New Roman" w:hAnsi="Times New Roman"/>
          <w:sz w:val="28"/>
          <w:szCs w:val="28"/>
        </w:rPr>
        <w:t> </w:t>
      </w:r>
      <w:r w:rsidRPr="0006094F">
        <w:rPr>
          <w:rFonts w:ascii="Times New Roman" w:hAnsi="Times New Roman"/>
          <w:sz w:val="28"/>
          <w:szCs w:val="28"/>
        </w:rPr>
        <w:t>также проведение неконтролируемых палов травы.</w:t>
      </w:r>
    </w:p>
    <w:p w:rsidR="002D1E45" w:rsidRPr="0006094F" w:rsidRDefault="002D1E45" w:rsidP="00C47EAC">
      <w:pPr>
        <w:adjustRightInd w:val="0"/>
        <w:spacing w:after="0" w:line="240" w:lineRule="auto"/>
        <w:ind w:firstLine="709"/>
        <w:jc w:val="both"/>
        <w:rPr>
          <w:rFonts w:ascii="Times New Roman" w:eastAsia="TimesNewRoman" w:hAnsi="Times New Roman"/>
          <w:sz w:val="28"/>
          <w:szCs w:val="28"/>
          <w:lang w:eastAsia="ru-RU"/>
        </w:rPr>
      </w:pPr>
      <w:r w:rsidRPr="0006094F">
        <w:rPr>
          <w:rFonts w:ascii="Times New Roman" w:eastAsia="TimesNewRoman" w:hAnsi="Times New Roman"/>
          <w:sz w:val="28"/>
          <w:szCs w:val="28"/>
          <w:lang w:eastAsia="ru-RU"/>
        </w:rPr>
        <w:t>В соответствии с</w:t>
      </w:r>
      <w:r>
        <w:rPr>
          <w:rFonts w:ascii="Times New Roman" w:eastAsia="TimesNewRoman" w:hAnsi="Times New Roman"/>
          <w:sz w:val="28"/>
          <w:szCs w:val="28"/>
          <w:lang w:eastAsia="ru-RU"/>
        </w:rPr>
        <w:t> </w:t>
      </w:r>
      <w:r w:rsidRPr="0006094F">
        <w:rPr>
          <w:rFonts w:ascii="Times New Roman" w:eastAsia="TimesNewRoman" w:hAnsi="Times New Roman"/>
          <w:sz w:val="28"/>
          <w:szCs w:val="28"/>
          <w:lang w:eastAsia="ru-RU"/>
        </w:rPr>
        <w:t>действующей методикой оценки горимости лесная территория района характеризуется низким классом пожарной опасности.</w:t>
      </w:r>
    </w:p>
    <w:p w:rsidR="002D1E45" w:rsidRPr="0006094F" w:rsidRDefault="002D1E45" w:rsidP="00C47EAC">
      <w:pPr>
        <w:widowControl w:val="0"/>
        <w:tabs>
          <w:tab w:val="left" w:pos="142"/>
          <w:tab w:val="num" w:pos="709"/>
        </w:tabs>
        <w:suppressAutoHyphens/>
        <w:overflowPunct w:val="0"/>
        <w:autoSpaceDE w:val="0"/>
        <w:autoSpaceDN w:val="0"/>
        <w:adjustRightInd w:val="0"/>
        <w:spacing w:after="0" w:line="240" w:lineRule="auto"/>
        <w:ind w:firstLine="709"/>
        <w:jc w:val="both"/>
        <w:textAlignment w:val="baseline"/>
        <w:rPr>
          <w:rFonts w:ascii="Times New Roman" w:hAnsi="Times New Roman"/>
          <w:snapToGrid w:val="0"/>
          <w:sz w:val="28"/>
          <w:szCs w:val="28"/>
          <w:lang w:eastAsia="ru-RU"/>
        </w:rPr>
      </w:pPr>
      <w:r w:rsidRPr="0006094F">
        <w:rPr>
          <w:rFonts w:ascii="Times New Roman" w:hAnsi="Times New Roman"/>
          <w:snapToGrid w:val="0"/>
          <w:sz w:val="28"/>
          <w:szCs w:val="28"/>
          <w:lang w:eastAsia="ru-RU"/>
        </w:rPr>
        <w:t>Природные пожары относятся к</w:t>
      </w:r>
      <w:r>
        <w:rPr>
          <w:rFonts w:ascii="Times New Roman" w:hAnsi="Times New Roman"/>
          <w:snapToGrid w:val="0"/>
          <w:sz w:val="28"/>
          <w:szCs w:val="28"/>
          <w:lang w:eastAsia="ru-RU"/>
        </w:rPr>
        <w:t> </w:t>
      </w:r>
      <w:r w:rsidRPr="0006094F">
        <w:rPr>
          <w:rFonts w:ascii="Times New Roman" w:hAnsi="Times New Roman"/>
          <w:snapToGrid w:val="0"/>
          <w:sz w:val="28"/>
          <w:szCs w:val="28"/>
          <w:lang w:eastAsia="ru-RU"/>
        </w:rPr>
        <w:t xml:space="preserve">циклическим природным явлениям, характерным для всей территории </w:t>
      </w:r>
      <w:r w:rsidRPr="00F75746">
        <w:rPr>
          <w:rFonts w:ascii="Times New Roman" w:hAnsi="Times New Roman"/>
          <w:snapToGrid w:val="0"/>
          <w:sz w:val="28"/>
          <w:szCs w:val="28"/>
          <w:lang w:eastAsia="ru-RU"/>
        </w:rPr>
        <w:t>Куйбышевского района</w:t>
      </w:r>
      <w:r>
        <w:rPr>
          <w:rFonts w:ascii="Times New Roman" w:hAnsi="Times New Roman"/>
          <w:snapToGrid w:val="0"/>
          <w:sz w:val="28"/>
          <w:szCs w:val="28"/>
          <w:lang w:eastAsia="ru-RU"/>
        </w:rPr>
        <w:t>.</w:t>
      </w:r>
      <w:r w:rsidRPr="00F75746">
        <w:rPr>
          <w:rFonts w:ascii="Times New Roman" w:hAnsi="Times New Roman"/>
          <w:snapToGrid w:val="0"/>
          <w:sz w:val="28"/>
          <w:szCs w:val="28"/>
          <w:lang w:eastAsia="ru-RU"/>
        </w:rPr>
        <w:t xml:space="preserve"> </w:t>
      </w:r>
      <w:r w:rsidRPr="0006094F">
        <w:rPr>
          <w:rFonts w:ascii="Times New Roman" w:hAnsi="Times New Roman"/>
          <w:snapToGrid w:val="0"/>
          <w:sz w:val="28"/>
          <w:szCs w:val="28"/>
          <w:lang w:eastAsia="ru-RU"/>
        </w:rPr>
        <w:t>Анализируя динамику лесных пожаров на</w:t>
      </w:r>
      <w:r>
        <w:rPr>
          <w:rFonts w:ascii="Times New Roman" w:hAnsi="Times New Roman"/>
          <w:snapToGrid w:val="0"/>
          <w:sz w:val="28"/>
          <w:szCs w:val="28"/>
          <w:lang w:eastAsia="ru-RU"/>
        </w:rPr>
        <w:t> </w:t>
      </w:r>
      <w:r w:rsidRPr="0006094F">
        <w:rPr>
          <w:rFonts w:ascii="Times New Roman" w:hAnsi="Times New Roman"/>
          <w:snapToGrid w:val="0"/>
          <w:sz w:val="28"/>
          <w:szCs w:val="28"/>
          <w:lang w:eastAsia="ru-RU"/>
        </w:rPr>
        <w:t>территории Новосибирской области с 2007 года, можно предположить, что в</w:t>
      </w:r>
      <w:r>
        <w:rPr>
          <w:rFonts w:ascii="Times New Roman" w:hAnsi="Times New Roman"/>
          <w:snapToGrid w:val="0"/>
          <w:sz w:val="28"/>
          <w:szCs w:val="28"/>
          <w:lang w:eastAsia="ru-RU"/>
        </w:rPr>
        <w:t> </w:t>
      </w:r>
      <w:r w:rsidRPr="0006094F">
        <w:rPr>
          <w:rFonts w:ascii="Times New Roman" w:hAnsi="Times New Roman"/>
          <w:snapToGrid w:val="0"/>
          <w:sz w:val="28"/>
          <w:szCs w:val="28"/>
          <w:lang w:eastAsia="ru-RU"/>
        </w:rPr>
        <w:t>пожароопасный сезон года возможно возникновение до 250 очагов пожаров по</w:t>
      </w:r>
      <w:r>
        <w:rPr>
          <w:rFonts w:ascii="Times New Roman" w:hAnsi="Times New Roman"/>
          <w:snapToGrid w:val="0"/>
          <w:sz w:val="28"/>
          <w:szCs w:val="28"/>
          <w:lang w:eastAsia="ru-RU"/>
        </w:rPr>
        <w:t> </w:t>
      </w:r>
      <w:r w:rsidRPr="0006094F">
        <w:rPr>
          <w:rFonts w:ascii="Times New Roman" w:hAnsi="Times New Roman"/>
          <w:snapToGrid w:val="0"/>
          <w:sz w:val="28"/>
          <w:szCs w:val="28"/>
          <w:lang w:eastAsia="ru-RU"/>
        </w:rPr>
        <w:t>области в</w:t>
      </w:r>
      <w:r>
        <w:rPr>
          <w:rFonts w:ascii="Times New Roman" w:hAnsi="Times New Roman"/>
          <w:snapToGrid w:val="0"/>
          <w:sz w:val="28"/>
          <w:szCs w:val="28"/>
          <w:lang w:eastAsia="ru-RU"/>
        </w:rPr>
        <w:t> </w:t>
      </w:r>
      <w:r w:rsidRPr="0006094F">
        <w:rPr>
          <w:rFonts w:ascii="Times New Roman" w:hAnsi="Times New Roman"/>
          <w:snapToGrid w:val="0"/>
          <w:sz w:val="28"/>
          <w:szCs w:val="28"/>
          <w:lang w:eastAsia="ru-RU"/>
        </w:rPr>
        <w:t xml:space="preserve">целом. </w:t>
      </w:r>
    </w:p>
    <w:p w:rsidR="002D1E45" w:rsidRPr="0006094F" w:rsidRDefault="002D1E45" w:rsidP="00C47EAC">
      <w:pPr>
        <w:adjustRightInd w:val="0"/>
        <w:spacing w:after="0" w:line="240" w:lineRule="auto"/>
        <w:ind w:firstLine="709"/>
        <w:jc w:val="both"/>
        <w:rPr>
          <w:rFonts w:ascii="Times New Roman" w:hAnsi="Times New Roman"/>
          <w:sz w:val="28"/>
          <w:szCs w:val="28"/>
          <w:lang w:eastAsia="ru-RU"/>
        </w:rPr>
      </w:pPr>
      <w:r w:rsidRPr="0006094F">
        <w:rPr>
          <w:rFonts w:ascii="Times New Roman" w:hAnsi="Times New Roman"/>
          <w:sz w:val="28"/>
          <w:szCs w:val="28"/>
          <w:lang w:eastAsia="ru-RU"/>
        </w:rPr>
        <w:t xml:space="preserve">В зонах возникновения лесных пожаров могут оказаться: </w:t>
      </w:r>
    </w:p>
    <w:p w:rsidR="002D1E45" w:rsidRPr="0006094F" w:rsidRDefault="002D1E45" w:rsidP="00C47EAC">
      <w:pPr>
        <w:numPr>
          <w:ilvl w:val="0"/>
          <w:numId w:val="24"/>
        </w:numPr>
        <w:spacing w:after="0" w:line="240" w:lineRule="auto"/>
        <w:jc w:val="both"/>
        <w:rPr>
          <w:rFonts w:ascii="Times New Roman" w:hAnsi="Times New Roman"/>
          <w:sz w:val="28"/>
          <w:szCs w:val="28"/>
        </w:rPr>
      </w:pPr>
      <w:r w:rsidRPr="0006094F">
        <w:rPr>
          <w:rFonts w:ascii="Times New Roman" w:hAnsi="Times New Roman"/>
          <w:sz w:val="28"/>
          <w:szCs w:val="28"/>
        </w:rPr>
        <w:t>линии электропередач, подающие электроэнергию в</w:t>
      </w:r>
      <w:r>
        <w:rPr>
          <w:rFonts w:ascii="Times New Roman" w:hAnsi="Times New Roman"/>
          <w:sz w:val="28"/>
          <w:szCs w:val="28"/>
        </w:rPr>
        <w:t> </w:t>
      </w:r>
      <w:r w:rsidRPr="0006094F">
        <w:rPr>
          <w:rFonts w:ascii="Times New Roman" w:hAnsi="Times New Roman"/>
          <w:sz w:val="28"/>
          <w:szCs w:val="28"/>
        </w:rPr>
        <w:t>населённые пункты, линии электросвязи;</w:t>
      </w:r>
    </w:p>
    <w:p w:rsidR="002D1E45" w:rsidRPr="0006094F" w:rsidRDefault="002D1E45" w:rsidP="00C47EAC">
      <w:pPr>
        <w:numPr>
          <w:ilvl w:val="0"/>
          <w:numId w:val="24"/>
        </w:numPr>
        <w:spacing w:after="0" w:line="240" w:lineRule="auto"/>
        <w:jc w:val="both"/>
        <w:rPr>
          <w:rFonts w:ascii="Times New Roman" w:hAnsi="Times New Roman"/>
          <w:sz w:val="28"/>
          <w:szCs w:val="28"/>
        </w:rPr>
      </w:pPr>
      <w:r w:rsidRPr="0006094F">
        <w:rPr>
          <w:rFonts w:ascii="Times New Roman" w:hAnsi="Times New Roman"/>
          <w:sz w:val="28"/>
          <w:szCs w:val="28"/>
        </w:rPr>
        <w:t>близко расположенные к</w:t>
      </w:r>
      <w:r>
        <w:rPr>
          <w:rFonts w:ascii="Times New Roman" w:hAnsi="Times New Roman"/>
          <w:sz w:val="28"/>
          <w:szCs w:val="28"/>
        </w:rPr>
        <w:t> </w:t>
      </w:r>
      <w:r w:rsidRPr="0006094F">
        <w:rPr>
          <w:rFonts w:ascii="Times New Roman" w:hAnsi="Times New Roman"/>
          <w:sz w:val="28"/>
          <w:szCs w:val="28"/>
        </w:rPr>
        <w:t>лесному фонду территории населённых пунктов (улицы, жилые дома, прилегающие к</w:t>
      </w:r>
      <w:r>
        <w:rPr>
          <w:rFonts w:ascii="Times New Roman" w:hAnsi="Times New Roman"/>
          <w:sz w:val="28"/>
          <w:szCs w:val="28"/>
        </w:rPr>
        <w:t> </w:t>
      </w:r>
      <w:r w:rsidRPr="0006094F">
        <w:rPr>
          <w:rFonts w:ascii="Times New Roman" w:hAnsi="Times New Roman"/>
          <w:sz w:val="28"/>
          <w:szCs w:val="28"/>
        </w:rPr>
        <w:t>лесным массивам), предприятия лесопромышленного комплекса.</w:t>
      </w:r>
    </w:p>
    <w:p w:rsidR="002D1E45" w:rsidRPr="0006094F" w:rsidRDefault="002D1E45" w:rsidP="00C47EAC">
      <w:pPr>
        <w:spacing w:after="0" w:line="240" w:lineRule="auto"/>
        <w:ind w:firstLine="709"/>
        <w:jc w:val="both"/>
        <w:rPr>
          <w:rFonts w:ascii="Times New Roman" w:hAnsi="Times New Roman"/>
          <w:i/>
          <w:sz w:val="28"/>
          <w:szCs w:val="28"/>
          <w:u w:val="single"/>
        </w:rPr>
      </w:pPr>
    </w:p>
    <w:p w:rsidR="002D1E45" w:rsidRPr="0006094F" w:rsidRDefault="002D1E45" w:rsidP="00C47EAC">
      <w:pPr>
        <w:spacing w:after="0" w:line="240" w:lineRule="auto"/>
        <w:ind w:firstLine="709"/>
        <w:jc w:val="both"/>
        <w:rPr>
          <w:rFonts w:ascii="Times New Roman" w:hAnsi="Times New Roman"/>
          <w:i/>
          <w:sz w:val="28"/>
          <w:szCs w:val="28"/>
          <w:u w:val="single"/>
        </w:rPr>
      </w:pPr>
      <w:r w:rsidRPr="0006094F">
        <w:rPr>
          <w:rFonts w:ascii="Times New Roman" w:hAnsi="Times New Roman"/>
          <w:i/>
          <w:sz w:val="28"/>
          <w:szCs w:val="28"/>
          <w:u w:val="single"/>
        </w:rPr>
        <w:t>Подтопления</w:t>
      </w:r>
    </w:p>
    <w:p w:rsidR="002D1E45" w:rsidRDefault="002D1E45" w:rsidP="00C47EAC">
      <w:pPr>
        <w:spacing w:after="0" w:line="240" w:lineRule="auto"/>
        <w:ind w:firstLine="709"/>
        <w:jc w:val="both"/>
        <w:rPr>
          <w:rFonts w:ascii="Times New Roman" w:hAnsi="Times New Roman"/>
          <w:snapToGrid w:val="0"/>
          <w:sz w:val="28"/>
          <w:szCs w:val="28"/>
          <w:lang w:eastAsia="ru-RU"/>
        </w:rPr>
      </w:pPr>
      <w:r w:rsidRPr="0006094F">
        <w:rPr>
          <w:rFonts w:ascii="Times New Roman" w:hAnsi="Times New Roman"/>
          <w:snapToGrid w:val="0"/>
          <w:sz w:val="28"/>
          <w:szCs w:val="28"/>
          <w:lang w:eastAsia="ru-RU"/>
        </w:rPr>
        <w:t>При высоких дневных температурах, дружном таянии снега, в</w:t>
      </w:r>
      <w:r>
        <w:rPr>
          <w:rFonts w:ascii="Times New Roman" w:hAnsi="Times New Roman"/>
          <w:snapToGrid w:val="0"/>
          <w:sz w:val="28"/>
          <w:szCs w:val="28"/>
          <w:lang w:eastAsia="ru-RU"/>
        </w:rPr>
        <w:t> </w:t>
      </w:r>
      <w:r w:rsidRPr="0006094F">
        <w:rPr>
          <w:rFonts w:ascii="Times New Roman" w:hAnsi="Times New Roman"/>
          <w:snapToGrid w:val="0"/>
          <w:sz w:val="28"/>
          <w:szCs w:val="28"/>
          <w:lang w:eastAsia="ru-RU"/>
        </w:rPr>
        <w:t xml:space="preserve">период с апреля по </w:t>
      </w:r>
      <w:r>
        <w:rPr>
          <w:rFonts w:ascii="Times New Roman" w:hAnsi="Times New Roman"/>
          <w:snapToGrid w:val="0"/>
          <w:sz w:val="28"/>
          <w:szCs w:val="28"/>
          <w:lang w:eastAsia="ru-RU"/>
        </w:rPr>
        <w:t>июнь</w:t>
      </w:r>
      <w:r w:rsidRPr="0006094F">
        <w:rPr>
          <w:rFonts w:ascii="Times New Roman" w:hAnsi="Times New Roman"/>
          <w:snapToGrid w:val="0"/>
          <w:sz w:val="28"/>
          <w:szCs w:val="28"/>
          <w:lang w:eastAsia="ru-RU"/>
        </w:rPr>
        <w:t xml:space="preserve"> возможно подтопление отдельных улиц в</w:t>
      </w:r>
      <w:r>
        <w:rPr>
          <w:rFonts w:ascii="Times New Roman" w:hAnsi="Times New Roman"/>
          <w:snapToGrid w:val="0"/>
          <w:sz w:val="28"/>
          <w:szCs w:val="28"/>
          <w:lang w:eastAsia="ru-RU"/>
        </w:rPr>
        <w:t> городе Куйбышева</w:t>
      </w:r>
      <w:r w:rsidRPr="0006094F">
        <w:rPr>
          <w:rFonts w:ascii="Times New Roman" w:hAnsi="Times New Roman"/>
          <w:snapToGrid w:val="0"/>
          <w:sz w:val="28"/>
          <w:szCs w:val="28"/>
          <w:lang w:eastAsia="ru-RU"/>
        </w:rPr>
        <w:t>.</w:t>
      </w:r>
    </w:p>
    <w:p w:rsidR="002D1E45" w:rsidRPr="0006094F" w:rsidRDefault="002D1E45" w:rsidP="00C47EAC">
      <w:pPr>
        <w:spacing w:after="0" w:line="240" w:lineRule="auto"/>
        <w:ind w:firstLine="709"/>
        <w:jc w:val="both"/>
        <w:rPr>
          <w:rFonts w:ascii="Times New Roman" w:hAnsi="Times New Roman"/>
          <w:snapToGrid w:val="0"/>
          <w:sz w:val="28"/>
          <w:szCs w:val="28"/>
          <w:lang w:eastAsia="ru-RU"/>
        </w:rPr>
      </w:pPr>
      <w:r w:rsidRPr="00FA1DB3">
        <w:rPr>
          <w:rFonts w:ascii="Times New Roman" w:hAnsi="Times New Roman"/>
          <w:snapToGrid w:val="0"/>
          <w:sz w:val="28"/>
          <w:szCs w:val="28"/>
          <w:lang w:eastAsia="ru-RU"/>
        </w:rPr>
        <w:t>Самое большое подтопление в Куйбышеве было зафиксировано в 1941 году, когда вышедшая из берегов река</w:t>
      </w:r>
      <w:r>
        <w:rPr>
          <w:rFonts w:ascii="Times New Roman" w:hAnsi="Times New Roman"/>
          <w:snapToGrid w:val="0"/>
          <w:sz w:val="28"/>
          <w:szCs w:val="28"/>
          <w:lang w:eastAsia="ru-RU"/>
        </w:rPr>
        <w:t xml:space="preserve"> Омь</w:t>
      </w:r>
      <w:r w:rsidRPr="00FA1DB3">
        <w:rPr>
          <w:rFonts w:ascii="Times New Roman" w:hAnsi="Times New Roman"/>
          <w:snapToGrid w:val="0"/>
          <w:sz w:val="28"/>
          <w:szCs w:val="28"/>
          <w:lang w:eastAsia="ru-RU"/>
        </w:rPr>
        <w:t xml:space="preserve"> затопила почти весь город</w:t>
      </w:r>
      <w:r>
        <w:rPr>
          <w:rFonts w:ascii="Times New Roman" w:hAnsi="Times New Roman"/>
          <w:snapToGrid w:val="0"/>
          <w:sz w:val="28"/>
          <w:szCs w:val="28"/>
          <w:lang w:eastAsia="ru-RU"/>
        </w:rPr>
        <w:t>.</w:t>
      </w:r>
    </w:p>
    <w:p w:rsidR="002D1E45" w:rsidRPr="0006094F" w:rsidRDefault="002D1E45" w:rsidP="00C47EAC">
      <w:pPr>
        <w:spacing w:after="0" w:line="240" w:lineRule="auto"/>
        <w:ind w:firstLine="709"/>
        <w:jc w:val="both"/>
        <w:rPr>
          <w:rFonts w:ascii="Times New Roman" w:hAnsi="Times New Roman"/>
          <w:sz w:val="28"/>
          <w:szCs w:val="28"/>
        </w:rPr>
      </w:pPr>
      <w:r w:rsidRPr="0006094F">
        <w:rPr>
          <w:rFonts w:ascii="Times New Roman" w:hAnsi="Times New Roman"/>
          <w:snapToGrid w:val="0"/>
          <w:sz w:val="28"/>
          <w:szCs w:val="28"/>
          <w:lang w:eastAsia="ru-RU"/>
        </w:rPr>
        <w:t>С учётом сложившейся гидрометеорологической обстановки за</w:t>
      </w:r>
      <w:r>
        <w:rPr>
          <w:rFonts w:ascii="Times New Roman" w:hAnsi="Times New Roman"/>
          <w:snapToGrid w:val="0"/>
          <w:sz w:val="28"/>
          <w:szCs w:val="28"/>
          <w:lang w:eastAsia="ru-RU"/>
        </w:rPr>
        <w:t> </w:t>
      </w:r>
      <w:r w:rsidRPr="0006094F">
        <w:rPr>
          <w:rFonts w:ascii="Times New Roman" w:hAnsi="Times New Roman"/>
          <w:snapToGrid w:val="0"/>
          <w:sz w:val="28"/>
          <w:szCs w:val="28"/>
          <w:lang w:eastAsia="ru-RU"/>
        </w:rPr>
        <w:t>предшествующий половодью период (октябрь</w:t>
      </w:r>
      <w:r w:rsidRPr="0006094F">
        <w:rPr>
          <w:rFonts w:ascii="Times New Roman" w:hAnsi="Times New Roman"/>
          <w:snapToGrid w:val="0"/>
          <w:sz w:val="28"/>
          <w:szCs w:val="28"/>
          <w:lang w:eastAsia="ru-RU"/>
        </w:rPr>
        <w:noBreakHyphen/>
        <w:t xml:space="preserve">март) возможны два сценария развития </w:t>
      </w:r>
      <w:r w:rsidRPr="0006094F">
        <w:rPr>
          <w:rFonts w:ascii="Times New Roman" w:hAnsi="Times New Roman"/>
          <w:sz w:val="28"/>
          <w:szCs w:val="28"/>
        </w:rPr>
        <w:t>весеннего половодья:</w:t>
      </w:r>
    </w:p>
    <w:p w:rsidR="002D1E45" w:rsidRPr="0006094F" w:rsidRDefault="002D1E45" w:rsidP="00852938">
      <w:pPr>
        <w:numPr>
          <w:ilvl w:val="0"/>
          <w:numId w:val="81"/>
        </w:numPr>
        <w:spacing w:after="0" w:line="240" w:lineRule="auto"/>
        <w:ind w:left="1134"/>
        <w:jc w:val="both"/>
        <w:rPr>
          <w:rFonts w:ascii="Times New Roman" w:hAnsi="Times New Roman"/>
          <w:sz w:val="28"/>
          <w:szCs w:val="28"/>
        </w:rPr>
      </w:pPr>
      <w:r w:rsidRPr="0006094F">
        <w:rPr>
          <w:rFonts w:ascii="Times New Roman" w:hAnsi="Times New Roman"/>
          <w:sz w:val="28"/>
          <w:szCs w:val="28"/>
        </w:rPr>
        <w:t>Сценарий 1 (благоприятный). При ранней и</w:t>
      </w:r>
      <w:r>
        <w:rPr>
          <w:rFonts w:ascii="Times New Roman" w:hAnsi="Times New Roman"/>
          <w:sz w:val="28"/>
          <w:szCs w:val="28"/>
        </w:rPr>
        <w:t> </w:t>
      </w:r>
      <w:r w:rsidRPr="0006094F">
        <w:rPr>
          <w:rFonts w:ascii="Times New Roman" w:hAnsi="Times New Roman"/>
          <w:sz w:val="28"/>
          <w:szCs w:val="28"/>
        </w:rPr>
        <w:t>затяжной весне и</w:t>
      </w:r>
      <w:r>
        <w:rPr>
          <w:rFonts w:ascii="Times New Roman" w:hAnsi="Times New Roman"/>
          <w:sz w:val="28"/>
          <w:szCs w:val="28"/>
        </w:rPr>
        <w:t> </w:t>
      </w:r>
      <w:r w:rsidRPr="0006094F">
        <w:rPr>
          <w:rFonts w:ascii="Times New Roman" w:hAnsi="Times New Roman"/>
          <w:sz w:val="28"/>
          <w:szCs w:val="28"/>
        </w:rPr>
        <w:t>ожидаемых высших уровнях воды в</w:t>
      </w:r>
      <w:r>
        <w:rPr>
          <w:rFonts w:ascii="Times New Roman" w:hAnsi="Times New Roman"/>
          <w:sz w:val="28"/>
          <w:szCs w:val="28"/>
        </w:rPr>
        <w:t> </w:t>
      </w:r>
      <w:r w:rsidRPr="0006094F">
        <w:rPr>
          <w:rFonts w:ascii="Times New Roman" w:hAnsi="Times New Roman"/>
          <w:sz w:val="28"/>
          <w:szCs w:val="28"/>
        </w:rPr>
        <w:t>пределах среднемноголетних величин развитие событий предполагается по</w:t>
      </w:r>
      <w:r>
        <w:rPr>
          <w:rFonts w:ascii="Times New Roman" w:hAnsi="Times New Roman"/>
          <w:sz w:val="28"/>
          <w:szCs w:val="28"/>
        </w:rPr>
        <w:t> </w:t>
      </w:r>
      <w:r w:rsidRPr="0006094F">
        <w:rPr>
          <w:rFonts w:ascii="Times New Roman" w:hAnsi="Times New Roman"/>
          <w:sz w:val="28"/>
          <w:szCs w:val="28"/>
        </w:rPr>
        <w:t>сценарию благоприятному сценарию – отсутствие предпосылок к</w:t>
      </w:r>
      <w:r>
        <w:rPr>
          <w:rFonts w:ascii="Times New Roman" w:hAnsi="Times New Roman"/>
          <w:sz w:val="28"/>
          <w:szCs w:val="28"/>
        </w:rPr>
        <w:t> </w:t>
      </w:r>
      <w:r w:rsidRPr="0006094F">
        <w:rPr>
          <w:rFonts w:ascii="Times New Roman" w:hAnsi="Times New Roman"/>
          <w:sz w:val="28"/>
          <w:szCs w:val="28"/>
        </w:rPr>
        <w:t>образованию заторов льда и</w:t>
      </w:r>
      <w:r>
        <w:rPr>
          <w:rFonts w:ascii="Times New Roman" w:hAnsi="Times New Roman"/>
          <w:sz w:val="28"/>
          <w:szCs w:val="28"/>
        </w:rPr>
        <w:t> </w:t>
      </w:r>
      <w:r w:rsidRPr="0006094F">
        <w:rPr>
          <w:rFonts w:ascii="Times New Roman" w:hAnsi="Times New Roman"/>
          <w:sz w:val="28"/>
          <w:szCs w:val="28"/>
        </w:rPr>
        <w:t>затоплению населённых пунктов.</w:t>
      </w:r>
    </w:p>
    <w:p w:rsidR="002D1E45" w:rsidRPr="0006094F" w:rsidRDefault="002D1E45" w:rsidP="00852938">
      <w:pPr>
        <w:numPr>
          <w:ilvl w:val="0"/>
          <w:numId w:val="81"/>
        </w:numPr>
        <w:spacing w:after="0" w:line="240" w:lineRule="auto"/>
        <w:ind w:left="1134"/>
        <w:jc w:val="both"/>
        <w:rPr>
          <w:rFonts w:ascii="Times New Roman" w:hAnsi="Times New Roman"/>
          <w:sz w:val="28"/>
          <w:szCs w:val="28"/>
        </w:rPr>
      </w:pPr>
      <w:r w:rsidRPr="0006094F">
        <w:rPr>
          <w:rFonts w:ascii="Times New Roman" w:hAnsi="Times New Roman"/>
          <w:sz w:val="28"/>
          <w:szCs w:val="28"/>
        </w:rPr>
        <w:t>Сценарий 2 (неблагоприятный). При многоснежной зиме, дружном характере весны и</w:t>
      </w:r>
      <w:r>
        <w:rPr>
          <w:rFonts w:ascii="Times New Roman" w:hAnsi="Times New Roman"/>
          <w:sz w:val="28"/>
          <w:szCs w:val="28"/>
        </w:rPr>
        <w:t> </w:t>
      </w:r>
      <w:r w:rsidRPr="0006094F">
        <w:rPr>
          <w:rFonts w:ascii="Times New Roman" w:hAnsi="Times New Roman"/>
          <w:sz w:val="28"/>
          <w:szCs w:val="28"/>
        </w:rPr>
        <w:t>поздним вскрытием рек повышается вероятность образования мощных заторов льда на</w:t>
      </w:r>
      <w:r>
        <w:rPr>
          <w:rFonts w:ascii="Times New Roman" w:hAnsi="Times New Roman"/>
          <w:sz w:val="28"/>
          <w:szCs w:val="28"/>
        </w:rPr>
        <w:t> </w:t>
      </w:r>
      <w:r w:rsidRPr="0006094F">
        <w:rPr>
          <w:rFonts w:ascii="Times New Roman" w:hAnsi="Times New Roman"/>
          <w:sz w:val="28"/>
          <w:szCs w:val="28"/>
        </w:rPr>
        <w:t>рек</w:t>
      </w:r>
      <w:r>
        <w:rPr>
          <w:rFonts w:ascii="Times New Roman" w:hAnsi="Times New Roman"/>
          <w:sz w:val="28"/>
          <w:szCs w:val="28"/>
        </w:rPr>
        <w:t>е</w:t>
      </w:r>
      <w:r w:rsidRPr="0006094F">
        <w:rPr>
          <w:rFonts w:ascii="Times New Roman" w:hAnsi="Times New Roman"/>
          <w:sz w:val="28"/>
          <w:szCs w:val="28"/>
        </w:rPr>
        <w:t xml:space="preserve"> </w:t>
      </w:r>
      <w:r>
        <w:rPr>
          <w:rFonts w:ascii="Times New Roman" w:hAnsi="Times New Roman"/>
          <w:sz w:val="28"/>
          <w:szCs w:val="28"/>
        </w:rPr>
        <w:t>Омь</w:t>
      </w:r>
      <w:r w:rsidRPr="0006094F">
        <w:rPr>
          <w:rFonts w:ascii="Times New Roman" w:hAnsi="Times New Roman"/>
          <w:sz w:val="28"/>
          <w:szCs w:val="28"/>
        </w:rPr>
        <w:t xml:space="preserve">; увеличиваются риски затопления населённых пунктов </w:t>
      </w:r>
      <w:r>
        <w:rPr>
          <w:rFonts w:ascii="Times New Roman" w:hAnsi="Times New Roman"/>
          <w:sz w:val="28"/>
          <w:szCs w:val="28"/>
        </w:rPr>
        <w:t>Куйбышевского района</w:t>
      </w:r>
      <w:r w:rsidRPr="0006094F">
        <w:rPr>
          <w:rFonts w:ascii="Times New Roman" w:hAnsi="Times New Roman"/>
          <w:sz w:val="28"/>
          <w:szCs w:val="28"/>
        </w:rPr>
        <w:t>.</w:t>
      </w:r>
    </w:p>
    <w:p w:rsidR="002D1E45" w:rsidRPr="0006094F" w:rsidRDefault="002D1E45" w:rsidP="00C47EAC">
      <w:pPr>
        <w:spacing w:after="0" w:line="240" w:lineRule="auto"/>
        <w:ind w:firstLine="709"/>
        <w:jc w:val="both"/>
        <w:rPr>
          <w:rFonts w:ascii="Times New Roman" w:hAnsi="Times New Roman"/>
          <w:snapToGrid w:val="0"/>
          <w:sz w:val="28"/>
          <w:szCs w:val="28"/>
          <w:lang w:eastAsia="ru-RU"/>
        </w:rPr>
      </w:pPr>
      <w:r w:rsidRPr="0006094F">
        <w:rPr>
          <w:rFonts w:ascii="Times New Roman" w:hAnsi="Times New Roman"/>
          <w:snapToGrid w:val="0"/>
          <w:sz w:val="28"/>
          <w:szCs w:val="28"/>
          <w:lang w:eastAsia="ru-RU"/>
        </w:rPr>
        <w:t>Исходя из</w:t>
      </w:r>
      <w:r>
        <w:rPr>
          <w:rFonts w:ascii="Times New Roman" w:hAnsi="Times New Roman"/>
          <w:snapToGrid w:val="0"/>
          <w:sz w:val="28"/>
          <w:szCs w:val="28"/>
          <w:lang w:eastAsia="ru-RU"/>
        </w:rPr>
        <w:t> </w:t>
      </w:r>
      <w:r w:rsidRPr="0006094F">
        <w:rPr>
          <w:rFonts w:ascii="Times New Roman" w:hAnsi="Times New Roman"/>
          <w:snapToGrid w:val="0"/>
          <w:sz w:val="28"/>
          <w:szCs w:val="28"/>
          <w:lang w:eastAsia="ru-RU"/>
        </w:rPr>
        <w:t>проведённого анализа, последствий возможной чрезвычайной ситуации прогнозируется муниципальный и</w:t>
      </w:r>
      <w:r>
        <w:rPr>
          <w:rFonts w:ascii="Times New Roman" w:hAnsi="Times New Roman"/>
          <w:snapToGrid w:val="0"/>
          <w:sz w:val="28"/>
          <w:szCs w:val="28"/>
          <w:lang w:eastAsia="ru-RU"/>
        </w:rPr>
        <w:t> </w:t>
      </w:r>
      <w:r w:rsidRPr="0006094F">
        <w:rPr>
          <w:rFonts w:ascii="Times New Roman" w:hAnsi="Times New Roman"/>
          <w:snapToGrid w:val="0"/>
          <w:sz w:val="28"/>
          <w:szCs w:val="28"/>
          <w:lang w:eastAsia="ru-RU"/>
        </w:rPr>
        <w:t>региональный уровень реагирования.</w:t>
      </w:r>
    </w:p>
    <w:p w:rsidR="002D1E45" w:rsidRPr="0006094F" w:rsidRDefault="002D1E45" w:rsidP="00C47EAC">
      <w:pPr>
        <w:spacing w:after="0" w:line="240" w:lineRule="auto"/>
        <w:ind w:firstLine="709"/>
        <w:jc w:val="both"/>
        <w:rPr>
          <w:rFonts w:ascii="Times New Roman" w:hAnsi="Times New Roman"/>
          <w:snapToGrid w:val="0"/>
          <w:sz w:val="28"/>
          <w:szCs w:val="28"/>
          <w:lang w:eastAsia="ru-RU"/>
        </w:rPr>
      </w:pPr>
      <w:r w:rsidRPr="0006094F">
        <w:rPr>
          <w:rFonts w:ascii="Times New Roman" w:hAnsi="Times New Roman"/>
          <w:snapToGrid w:val="0"/>
          <w:sz w:val="28"/>
          <w:szCs w:val="28"/>
          <w:lang w:eastAsia="ru-RU"/>
        </w:rPr>
        <w:t>Очевидно, что смягчение воздействия опасных гидрологических явлений на</w:t>
      </w:r>
      <w:r>
        <w:rPr>
          <w:rFonts w:ascii="Times New Roman" w:hAnsi="Times New Roman"/>
          <w:snapToGrid w:val="0"/>
          <w:sz w:val="28"/>
          <w:szCs w:val="28"/>
          <w:lang w:eastAsia="ru-RU"/>
        </w:rPr>
        <w:t> </w:t>
      </w:r>
      <w:r w:rsidRPr="0006094F">
        <w:rPr>
          <w:rFonts w:ascii="Times New Roman" w:hAnsi="Times New Roman"/>
          <w:snapToGrid w:val="0"/>
          <w:sz w:val="28"/>
          <w:szCs w:val="28"/>
          <w:lang w:eastAsia="ru-RU"/>
        </w:rPr>
        <w:t>население, инфраструктуру и</w:t>
      </w:r>
      <w:r>
        <w:rPr>
          <w:rFonts w:ascii="Times New Roman" w:hAnsi="Times New Roman"/>
          <w:snapToGrid w:val="0"/>
          <w:sz w:val="28"/>
          <w:szCs w:val="28"/>
          <w:lang w:eastAsia="ru-RU"/>
        </w:rPr>
        <w:t> </w:t>
      </w:r>
      <w:r w:rsidRPr="0006094F">
        <w:rPr>
          <w:rFonts w:ascii="Times New Roman" w:hAnsi="Times New Roman"/>
          <w:snapToGrid w:val="0"/>
          <w:sz w:val="28"/>
          <w:szCs w:val="28"/>
          <w:lang w:eastAsia="ru-RU"/>
        </w:rPr>
        <w:t>снижение материальных потерь – вполне реальная и</w:t>
      </w:r>
      <w:r>
        <w:rPr>
          <w:rFonts w:ascii="Times New Roman" w:hAnsi="Times New Roman"/>
          <w:snapToGrid w:val="0"/>
          <w:sz w:val="28"/>
          <w:szCs w:val="28"/>
          <w:lang w:eastAsia="ru-RU"/>
        </w:rPr>
        <w:t> </w:t>
      </w:r>
      <w:r w:rsidRPr="0006094F">
        <w:rPr>
          <w:rFonts w:ascii="Times New Roman" w:hAnsi="Times New Roman"/>
          <w:snapToGrid w:val="0"/>
          <w:sz w:val="28"/>
          <w:szCs w:val="28"/>
          <w:lang w:eastAsia="ru-RU"/>
        </w:rPr>
        <w:t>решаемая задача.</w:t>
      </w:r>
    </w:p>
    <w:p w:rsidR="002D1E45" w:rsidRPr="0006094F" w:rsidRDefault="002D1E45" w:rsidP="00C47EAC">
      <w:pPr>
        <w:spacing w:after="0" w:line="240" w:lineRule="auto"/>
        <w:ind w:firstLine="709"/>
        <w:jc w:val="both"/>
        <w:rPr>
          <w:rFonts w:ascii="Times New Roman" w:hAnsi="Times New Roman"/>
          <w:snapToGrid w:val="0"/>
          <w:sz w:val="28"/>
          <w:szCs w:val="28"/>
          <w:lang w:eastAsia="ru-RU"/>
        </w:rPr>
      </w:pPr>
      <w:r w:rsidRPr="0006094F">
        <w:rPr>
          <w:rFonts w:ascii="Times New Roman" w:hAnsi="Times New Roman"/>
          <w:snapToGrid w:val="0"/>
          <w:sz w:val="28"/>
          <w:szCs w:val="28"/>
          <w:lang w:eastAsia="ru-RU"/>
        </w:rPr>
        <w:t>Предупредительные меры, направленные на</w:t>
      </w:r>
      <w:r>
        <w:rPr>
          <w:rFonts w:ascii="Times New Roman" w:hAnsi="Times New Roman"/>
          <w:snapToGrid w:val="0"/>
          <w:sz w:val="28"/>
          <w:szCs w:val="28"/>
          <w:lang w:eastAsia="ru-RU"/>
        </w:rPr>
        <w:t> </w:t>
      </w:r>
      <w:r w:rsidRPr="0006094F">
        <w:rPr>
          <w:rFonts w:ascii="Times New Roman" w:hAnsi="Times New Roman"/>
          <w:snapToGrid w:val="0"/>
          <w:sz w:val="28"/>
          <w:szCs w:val="28"/>
          <w:lang w:eastAsia="ru-RU"/>
        </w:rPr>
        <w:t>эти цели, могут быть разделены на</w:t>
      </w:r>
      <w:r>
        <w:rPr>
          <w:rFonts w:ascii="Times New Roman" w:hAnsi="Times New Roman"/>
          <w:snapToGrid w:val="0"/>
          <w:sz w:val="28"/>
          <w:szCs w:val="28"/>
          <w:lang w:eastAsia="ru-RU"/>
        </w:rPr>
        <w:t> </w:t>
      </w:r>
      <w:r w:rsidRPr="0006094F">
        <w:rPr>
          <w:rFonts w:ascii="Times New Roman" w:hAnsi="Times New Roman"/>
          <w:snapToGrid w:val="0"/>
          <w:sz w:val="28"/>
          <w:szCs w:val="28"/>
          <w:lang w:eastAsia="ru-RU"/>
        </w:rPr>
        <w:t>три группы:</w:t>
      </w:r>
    </w:p>
    <w:p w:rsidR="002D1E45" w:rsidRPr="0006094F" w:rsidRDefault="002D1E45" w:rsidP="00D05D06">
      <w:pPr>
        <w:numPr>
          <w:ilvl w:val="0"/>
          <w:numId w:val="82"/>
        </w:numPr>
        <w:spacing w:after="0" w:line="240" w:lineRule="auto"/>
        <w:contextualSpacing/>
        <w:jc w:val="both"/>
        <w:rPr>
          <w:rFonts w:ascii="Times New Roman" w:hAnsi="Times New Roman"/>
          <w:sz w:val="28"/>
          <w:szCs w:val="20"/>
          <w:lang w:eastAsia="ru-RU"/>
        </w:rPr>
      </w:pPr>
      <w:r w:rsidRPr="0006094F">
        <w:rPr>
          <w:rFonts w:ascii="Times New Roman" w:hAnsi="Times New Roman"/>
          <w:sz w:val="28"/>
          <w:szCs w:val="20"/>
          <w:lang w:eastAsia="ru-RU"/>
        </w:rPr>
        <w:t>1 группа – меры прогнозно-аналитического характера;</w:t>
      </w:r>
    </w:p>
    <w:p w:rsidR="002D1E45" w:rsidRPr="0006094F" w:rsidRDefault="002D1E45" w:rsidP="00D05D06">
      <w:pPr>
        <w:numPr>
          <w:ilvl w:val="0"/>
          <w:numId w:val="82"/>
        </w:numPr>
        <w:spacing w:after="0" w:line="240" w:lineRule="auto"/>
        <w:contextualSpacing/>
        <w:jc w:val="both"/>
        <w:rPr>
          <w:rFonts w:ascii="Times New Roman" w:hAnsi="Times New Roman"/>
          <w:sz w:val="28"/>
          <w:szCs w:val="20"/>
          <w:lang w:eastAsia="ru-RU"/>
        </w:rPr>
      </w:pPr>
      <w:r w:rsidRPr="0006094F">
        <w:rPr>
          <w:rFonts w:ascii="Times New Roman" w:hAnsi="Times New Roman"/>
          <w:sz w:val="28"/>
          <w:szCs w:val="20"/>
          <w:lang w:eastAsia="ru-RU"/>
        </w:rPr>
        <w:t>2 группа – меры организационно-оперативного характера;</w:t>
      </w:r>
    </w:p>
    <w:p w:rsidR="002D1E45" w:rsidRPr="0006094F" w:rsidRDefault="002D1E45" w:rsidP="00D05D06">
      <w:pPr>
        <w:numPr>
          <w:ilvl w:val="0"/>
          <w:numId w:val="82"/>
        </w:numPr>
        <w:spacing w:after="0" w:line="240" w:lineRule="auto"/>
        <w:contextualSpacing/>
        <w:jc w:val="both"/>
        <w:rPr>
          <w:rFonts w:ascii="Times New Roman" w:hAnsi="Times New Roman"/>
          <w:sz w:val="28"/>
          <w:szCs w:val="20"/>
          <w:lang w:eastAsia="ru-RU"/>
        </w:rPr>
      </w:pPr>
      <w:r w:rsidRPr="0006094F">
        <w:rPr>
          <w:rFonts w:ascii="Times New Roman" w:hAnsi="Times New Roman"/>
          <w:sz w:val="28"/>
          <w:szCs w:val="20"/>
          <w:lang w:eastAsia="ru-RU"/>
        </w:rPr>
        <w:t>3 группа – инженерно-технические и</w:t>
      </w:r>
      <w:r>
        <w:rPr>
          <w:rFonts w:ascii="Times New Roman" w:hAnsi="Times New Roman"/>
          <w:sz w:val="28"/>
          <w:szCs w:val="20"/>
          <w:lang w:eastAsia="ru-RU"/>
        </w:rPr>
        <w:t> </w:t>
      </w:r>
      <w:r w:rsidRPr="0006094F">
        <w:rPr>
          <w:rFonts w:ascii="Times New Roman" w:hAnsi="Times New Roman"/>
          <w:sz w:val="28"/>
          <w:szCs w:val="20"/>
          <w:lang w:eastAsia="ru-RU"/>
        </w:rPr>
        <w:t>другие профилактические мероприятия.</w:t>
      </w:r>
    </w:p>
    <w:p w:rsidR="002D1E45" w:rsidRPr="0006094F" w:rsidRDefault="002D1E45" w:rsidP="00C47EAC">
      <w:pPr>
        <w:spacing w:after="0" w:line="240" w:lineRule="auto"/>
        <w:ind w:firstLine="709"/>
        <w:jc w:val="both"/>
        <w:rPr>
          <w:rFonts w:ascii="Times New Roman" w:hAnsi="Times New Roman"/>
          <w:sz w:val="28"/>
          <w:szCs w:val="20"/>
          <w:lang w:eastAsia="ru-RU"/>
        </w:rPr>
      </w:pPr>
      <w:r w:rsidRPr="0006094F">
        <w:rPr>
          <w:rFonts w:ascii="Times New Roman" w:hAnsi="Times New Roman"/>
          <w:sz w:val="28"/>
          <w:szCs w:val="20"/>
          <w:lang w:eastAsia="ru-RU"/>
        </w:rPr>
        <w:t xml:space="preserve">К мероприятиям 1 группы относятся: </w:t>
      </w:r>
    </w:p>
    <w:p w:rsidR="002D1E45" w:rsidRPr="0006094F" w:rsidRDefault="002D1E45" w:rsidP="00D05D06">
      <w:pPr>
        <w:numPr>
          <w:ilvl w:val="0"/>
          <w:numId w:val="82"/>
        </w:numPr>
        <w:spacing w:after="0" w:line="240" w:lineRule="auto"/>
        <w:contextualSpacing/>
        <w:jc w:val="both"/>
        <w:rPr>
          <w:rFonts w:ascii="Times New Roman" w:hAnsi="Times New Roman"/>
          <w:sz w:val="28"/>
          <w:szCs w:val="20"/>
          <w:lang w:eastAsia="ru-RU"/>
        </w:rPr>
      </w:pPr>
      <w:r w:rsidRPr="0006094F">
        <w:rPr>
          <w:rFonts w:ascii="Times New Roman" w:hAnsi="Times New Roman"/>
          <w:sz w:val="28"/>
          <w:szCs w:val="20"/>
          <w:lang w:eastAsia="ru-RU"/>
        </w:rPr>
        <w:t>гидрологическое прогнозирование видов (типов) и</w:t>
      </w:r>
      <w:r>
        <w:rPr>
          <w:rFonts w:ascii="Times New Roman" w:hAnsi="Times New Roman"/>
          <w:sz w:val="28"/>
          <w:szCs w:val="20"/>
          <w:lang w:eastAsia="ru-RU"/>
        </w:rPr>
        <w:t> </w:t>
      </w:r>
      <w:r w:rsidRPr="0006094F">
        <w:rPr>
          <w:rFonts w:ascii="Times New Roman" w:hAnsi="Times New Roman"/>
          <w:sz w:val="28"/>
          <w:szCs w:val="20"/>
          <w:lang w:eastAsia="ru-RU"/>
        </w:rPr>
        <w:t>масштабов затопления;</w:t>
      </w:r>
    </w:p>
    <w:p w:rsidR="002D1E45" w:rsidRPr="0006094F" w:rsidRDefault="002D1E45" w:rsidP="00D05D06">
      <w:pPr>
        <w:numPr>
          <w:ilvl w:val="0"/>
          <w:numId w:val="82"/>
        </w:numPr>
        <w:spacing w:after="0" w:line="240" w:lineRule="auto"/>
        <w:contextualSpacing/>
        <w:jc w:val="both"/>
        <w:rPr>
          <w:rFonts w:ascii="Times New Roman" w:hAnsi="Times New Roman"/>
          <w:sz w:val="28"/>
          <w:szCs w:val="20"/>
          <w:lang w:eastAsia="ru-RU"/>
        </w:rPr>
      </w:pPr>
      <w:r w:rsidRPr="0006094F">
        <w:rPr>
          <w:rFonts w:ascii="Times New Roman" w:hAnsi="Times New Roman"/>
          <w:sz w:val="28"/>
          <w:szCs w:val="20"/>
          <w:lang w:eastAsia="ru-RU"/>
        </w:rPr>
        <w:t>анализ обстановки, выявление источников и</w:t>
      </w:r>
      <w:r>
        <w:rPr>
          <w:rFonts w:ascii="Times New Roman" w:hAnsi="Times New Roman"/>
          <w:sz w:val="28"/>
          <w:szCs w:val="20"/>
          <w:lang w:eastAsia="ru-RU"/>
        </w:rPr>
        <w:t> </w:t>
      </w:r>
      <w:r w:rsidRPr="0006094F">
        <w:rPr>
          <w:rFonts w:ascii="Times New Roman" w:hAnsi="Times New Roman"/>
          <w:sz w:val="28"/>
          <w:szCs w:val="20"/>
          <w:lang w:eastAsia="ru-RU"/>
        </w:rPr>
        <w:t>возможных сроков затопления;</w:t>
      </w:r>
    </w:p>
    <w:p w:rsidR="002D1E45" w:rsidRPr="0006094F" w:rsidRDefault="002D1E45" w:rsidP="00D05D06">
      <w:pPr>
        <w:numPr>
          <w:ilvl w:val="0"/>
          <w:numId w:val="82"/>
        </w:numPr>
        <w:spacing w:after="0" w:line="240" w:lineRule="auto"/>
        <w:contextualSpacing/>
        <w:jc w:val="both"/>
        <w:rPr>
          <w:rFonts w:ascii="Times New Roman" w:hAnsi="Times New Roman"/>
          <w:sz w:val="28"/>
          <w:szCs w:val="20"/>
          <w:lang w:eastAsia="ru-RU"/>
        </w:rPr>
      </w:pPr>
      <w:r w:rsidRPr="0006094F">
        <w:rPr>
          <w:rFonts w:ascii="Times New Roman" w:hAnsi="Times New Roman"/>
          <w:sz w:val="28"/>
          <w:szCs w:val="20"/>
          <w:lang w:eastAsia="ru-RU"/>
        </w:rPr>
        <w:t>оповещение органов управления и</w:t>
      </w:r>
      <w:r>
        <w:rPr>
          <w:rFonts w:ascii="Times New Roman" w:hAnsi="Times New Roman"/>
          <w:sz w:val="28"/>
          <w:szCs w:val="20"/>
          <w:lang w:eastAsia="ru-RU"/>
        </w:rPr>
        <w:t> </w:t>
      </w:r>
      <w:r w:rsidRPr="0006094F">
        <w:rPr>
          <w:rFonts w:ascii="Times New Roman" w:hAnsi="Times New Roman"/>
          <w:sz w:val="28"/>
          <w:szCs w:val="20"/>
          <w:lang w:eastAsia="ru-RU"/>
        </w:rPr>
        <w:t>населения об</w:t>
      </w:r>
      <w:r>
        <w:rPr>
          <w:rFonts w:ascii="Times New Roman" w:hAnsi="Times New Roman"/>
          <w:sz w:val="28"/>
          <w:szCs w:val="20"/>
          <w:lang w:eastAsia="ru-RU"/>
        </w:rPr>
        <w:t> </w:t>
      </w:r>
      <w:r w:rsidRPr="0006094F">
        <w:rPr>
          <w:rFonts w:ascii="Times New Roman" w:hAnsi="Times New Roman"/>
          <w:sz w:val="28"/>
          <w:szCs w:val="20"/>
          <w:lang w:eastAsia="ru-RU"/>
        </w:rPr>
        <w:t>угрозе затопления.</w:t>
      </w:r>
    </w:p>
    <w:p w:rsidR="002D1E45" w:rsidRPr="0006094F" w:rsidRDefault="002D1E45" w:rsidP="00C47EAC">
      <w:pPr>
        <w:spacing w:after="0" w:line="240" w:lineRule="auto"/>
        <w:ind w:firstLine="709"/>
        <w:jc w:val="both"/>
        <w:rPr>
          <w:rFonts w:ascii="Times New Roman" w:hAnsi="Times New Roman"/>
          <w:sz w:val="28"/>
          <w:szCs w:val="20"/>
          <w:lang w:eastAsia="ru-RU"/>
        </w:rPr>
      </w:pPr>
      <w:r w:rsidRPr="0006094F">
        <w:rPr>
          <w:rFonts w:ascii="Times New Roman" w:hAnsi="Times New Roman"/>
          <w:sz w:val="28"/>
          <w:szCs w:val="20"/>
          <w:lang w:eastAsia="ru-RU"/>
        </w:rPr>
        <w:t xml:space="preserve">К мероприятиям 2 группы относятся: </w:t>
      </w:r>
    </w:p>
    <w:p w:rsidR="002D1E45" w:rsidRPr="0006094F" w:rsidRDefault="002D1E45" w:rsidP="00D05D06">
      <w:pPr>
        <w:numPr>
          <w:ilvl w:val="0"/>
          <w:numId w:val="82"/>
        </w:numPr>
        <w:spacing w:after="0" w:line="240" w:lineRule="auto"/>
        <w:contextualSpacing/>
        <w:jc w:val="both"/>
        <w:rPr>
          <w:rFonts w:ascii="Times New Roman" w:hAnsi="Times New Roman"/>
          <w:sz w:val="28"/>
          <w:szCs w:val="20"/>
          <w:lang w:eastAsia="ru-RU"/>
        </w:rPr>
      </w:pPr>
      <w:r w:rsidRPr="0006094F">
        <w:rPr>
          <w:rFonts w:ascii="Times New Roman" w:hAnsi="Times New Roman"/>
          <w:sz w:val="28"/>
          <w:szCs w:val="20"/>
          <w:lang w:eastAsia="ru-RU"/>
        </w:rPr>
        <w:t>заблаговременная подготовка проектов распорядительных документов для принятия должностными лицами органов исполнительной власти субъектов, органов местного самоуправления, организаций, объектов и</w:t>
      </w:r>
      <w:r>
        <w:rPr>
          <w:rFonts w:ascii="Times New Roman" w:hAnsi="Times New Roman"/>
          <w:sz w:val="28"/>
          <w:szCs w:val="20"/>
          <w:lang w:eastAsia="ru-RU"/>
        </w:rPr>
        <w:t> </w:t>
      </w:r>
      <w:r w:rsidRPr="0006094F">
        <w:rPr>
          <w:rFonts w:ascii="Times New Roman" w:hAnsi="Times New Roman"/>
          <w:sz w:val="28"/>
          <w:szCs w:val="20"/>
          <w:lang w:eastAsia="ru-RU"/>
        </w:rPr>
        <w:t>сил территориальных подсистем РСЧС решений на</w:t>
      </w:r>
      <w:r>
        <w:rPr>
          <w:rFonts w:ascii="Times New Roman" w:hAnsi="Times New Roman"/>
          <w:sz w:val="28"/>
          <w:szCs w:val="20"/>
          <w:lang w:eastAsia="ru-RU"/>
        </w:rPr>
        <w:t> </w:t>
      </w:r>
      <w:r w:rsidRPr="0006094F">
        <w:rPr>
          <w:rFonts w:ascii="Times New Roman" w:hAnsi="Times New Roman"/>
          <w:sz w:val="28"/>
          <w:szCs w:val="20"/>
          <w:lang w:eastAsia="ru-RU"/>
        </w:rPr>
        <w:t>проведение предупредительных мероприятий и</w:t>
      </w:r>
      <w:r>
        <w:rPr>
          <w:rFonts w:ascii="Times New Roman" w:hAnsi="Times New Roman"/>
          <w:sz w:val="28"/>
          <w:szCs w:val="20"/>
          <w:lang w:eastAsia="ru-RU"/>
        </w:rPr>
        <w:t> </w:t>
      </w:r>
      <w:r w:rsidRPr="0006094F">
        <w:rPr>
          <w:rFonts w:ascii="Times New Roman" w:hAnsi="Times New Roman"/>
          <w:sz w:val="28"/>
          <w:szCs w:val="20"/>
          <w:lang w:eastAsia="ru-RU"/>
        </w:rPr>
        <w:t>ликвидацию последствий наводнения (о порядке эвакуации, охране имущества граждан, привлечении населения к</w:t>
      </w:r>
      <w:r>
        <w:rPr>
          <w:rFonts w:ascii="Times New Roman" w:hAnsi="Times New Roman"/>
          <w:sz w:val="28"/>
          <w:szCs w:val="20"/>
          <w:lang w:eastAsia="ru-RU"/>
        </w:rPr>
        <w:t> </w:t>
      </w:r>
      <w:r w:rsidRPr="0006094F">
        <w:rPr>
          <w:rFonts w:ascii="Times New Roman" w:hAnsi="Times New Roman"/>
          <w:sz w:val="28"/>
          <w:szCs w:val="20"/>
          <w:lang w:eastAsia="ru-RU"/>
        </w:rPr>
        <w:t>работам, порядке движения транспорта, санитарно-эпидемических мероприятиях и</w:t>
      </w:r>
      <w:r>
        <w:rPr>
          <w:rFonts w:ascii="Times New Roman" w:hAnsi="Times New Roman"/>
          <w:sz w:val="28"/>
          <w:szCs w:val="20"/>
          <w:lang w:eastAsia="ru-RU"/>
        </w:rPr>
        <w:t> </w:t>
      </w:r>
      <w:r w:rsidRPr="0006094F">
        <w:rPr>
          <w:rFonts w:ascii="Times New Roman" w:hAnsi="Times New Roman"/>
          <w:sz w:val="28"/>
          <w:szCs w:val="20"/>
          <w:lang w:eastAsia="ru-RU"/>
        </w:rPr>
        <w:t>т.д.);</w:t>
      </w:r>
    </w:p>
    <w:p w:rsidR="002D1E45" w:rsidRPr="0006094F" w:rsidRDefault="002D1E45" w:rsidP="00D05D06">
      <w:pPr>
        <w:numPr>
          <w:ilvl w:val="0"/>
          <w:numId w:val="82"/>
        </w:numPr>
        <w:spacing w:after="0" w:line="240" w:lineRule="auto"/>
        <w:contextualSpacing/>
        <w:jc w:val="both"/>
        <w:rPr>
          <w:rFonts w:ascii="Times New Roman" w:hAnsi="Times New Roman"/>
          <w:sz w:val="28"/>
          <w:szCs w:val="20"/>
          <w:lang w:eastAsia="ru-RU"/>
        </w:rPr>
      </w:pPr>
      <w:r w:rsidRPr="0006094F">
        <w:rPr>
          <w:rFonts w:ascii="Times New Roman" w:hAnsi="Times New Roman"/>
          <w:sz w:val="28"/>
          <w:szCs w:val="20"/>
          <w:lang w:eastAsia="ru-RU"/>
        </w:rPr>
        <w:t>планирование конкретных предупредительных инженерно-технических мероприятий, мер защиты и</w:t>
      </w:r>
      <w:r>
        <w:rPr>
          <w:rFonts w:ascii="Times New Roman" w:hAnsi="Times New Roman"/>
          <w:sz w:val="28"/>
          <w:szCs w:val="20"/>
          <w:lang w:eastAsia="ru-RU"/>
        </w:rPr>
        <w:t> </w:t>
      </w:r>
      <w:r w:rsidRPr="0006094F">
        <w:rPr>
          <w:rFonts w:ascii="Times New Roman" w:hAnsi="Times New Roman"/>
          <w:sz w:val="28"/>
          <w:szCs w:val="20"/>
          <w:lang w:eastAsia="ru-RU"/>
        </w:rPr>
        <w:t>других профилактических работ, организация их</w:t>
      </w:r>
      <w:r>
        <w:rPr>
          <w:rFonts w:ascii="Times New Roman" w:hAnsi="Times New Roman"/>
          <w:sz w:val="28"/>
          <w:szCs w:val="20"/>
          <w:lang w:eastAsia="ru-RU"/>
        </w:rPr>
        <w:t> </w:t>
      </w:r>
      <w:r w:rsidRPr="0006094F">
        <w:rPr>
          <w:rFonts w:ascii="Times New Roman" w:hAnsi="Times New Roman"/>
          <w:sz w:val="28"/>
          <w:szCs w:val="20"/>
          <w:lang w:eastAsia="ru-RU"/>
        </w:rPr>
        <w:t>выполнения;</w:t>
      </w:r>
    </w:p>
    <w:p w:rsidR="002D1E45" w:rsidRPr="0006094F" w:rsidRDefault="002D1E45" w:rsidP="00D05D06">
      <w:pPr>
        <w:numPr>
          <w:ilvl w:val="0"/>
          <w:numId w:val="82"/>
        </w:numPr>
        <w:spacing w:after="0" w:line="240" w:lineRule="auto"/>
        <w:contextualSpacing/>
        <w:jc w:val="both"/>
        <w:rPr>
          <w:rFonts w:ascii="Times New Roman" w:hAnsi="Times New Roman"/>
          <w:sz w:val="28"/>
          <w:szCs w:val="20"/>
          <w:lang w:eastAsia="ru-RU"/>
        </w:rPr>
      </w:pPr>
      <w:r w:rsidRPr="0006094F">
        <w:rPr>
          <w:rFonts w:ascii="Times New Roman" w:hAnsi="Times New Roman"/>
          <w:sz w:val="28"/>
          <w:szCs w:val="20"/>
          <w:lang w:eastAsia="ru-RU"/>
        </w:rPr>
        <w:t>уточнение планов в</w:t>
      </w:r>
      <w:r>
        <w:rPr>
          <w:rFonts w:ascii="Times New Roman" w:hAnsi="Times New Roman"/>
          <w:sz w:val="28"/>
          <w:szCs w:val="20"/>
          <w:lang w:eastAsia="ru-RU"/>
        </w:rPr>
        <w:t> </w:t>
      </w:r>
      <w:r w:rsidRPr="0006094F">
        <w:rPr>
          <w:rFonts w:ascii="Times New Roman" w:hAnsi="Times New Roman"/>
          <w:sz w:val="28"/>
          <w:szCs w:val="20"/>
          <w:lang w:eastAsia="ru-RU"/>
        </w:rPr>
        <w:t>части действий органов управления и</w:t>
      </w:r>
      <w:r>
        <w:rPr>
          <w:rFonts w:ascii="Times New Roman" w:hAnsi="Times New Roman"/>
          <w:sz w:val="28"/>
          <w:szCs w:val="20"/>
          <w:lang w:eastAsia="ru-RU"/>
        </w:rPr>
        <w:t> </w:t>
      </w:r>
      <w:r w:rsidRPr="0006094F">
        <w:rPr>
          <w:rFonts w:ascii="Times New Roman" w:hAnsi="Times New Roman"/>
          <w:sz w:val="28"/>
          <w:szCs w:val="20"/>
          <w:lang w:eastAsia="ru-RU"/>
        </w:rPr>
        <w:t>сил при наводнении;</w:t>
      </w:r>
    </w:p>
    <w:p w:rsidR="002D1E45" w:rsidRPr="0006094F" w:rsidRDefault="002D1E45" w:rsidP="00D05D06">
      <w:pPr>
        <w:numPr>
          <w:ilvl w:val="0"/>
          <w:numId w:val="82"/>
        </w:numPr>
        <w:spacing w:after="0" w:line="240" w:lineRule="auto"/>
        <w:contextualSpacing/>
        <w:jc w:val="both"/>
        <w:rPr>
          <w:rFonts w:ascii="Times New Roman" w:hAnsi="Times New Roman"/>
          <w:sz w:val="28"/>
          <w:szCs w:val="20"/>
          <w:lang w:eastAsia="ru-RU"/>
        </w:rPr>
      </w:pPr>
      <w:r w:rsidRPr="0006094F">
        <w:rPr>
          <w:rFonts w:ascii="Times New Roman" w:hAnsi="Times New Roman"/>
          <w:sz w:val="28"/>
          <w:szCs w:val="20"/>
          <w:lang w:eastAsia="ru-RU"/>
        </w:rPr>
        <w:t>постановка задач органам управления, службам и</w:t>
      </w:r>
      <w:r>
        <w:rPr>
          <w:rFonts w:ascii="Times New Roman" w:hAnsi="Times New Roman"/>
          <w:sz w:val="28"/>
          <w:szCs w:val="20"/>
          <w:lang w:eastAsia="ru-RU"/>
        </w:rPr>
        <w:t> </w:t>
      </w:r>
      <w:r w:rsidRPr="0006094F">
        <w:rPr>
          <w:rFonts w:ascii="Times New Roman" w:hAnsi="Times New Roman"/>
          <w:sz w:val="28"/>
          <w:szCs w:val="20"/>
          <w:lang w:eastAsia="ru-RU"/>
        </w:rPr>
        <w:t>силам РСЧС, приведение их, в</w:t>
      </w:r>
      <w:r>
        <w:rPr>
          <w:rFonts w:ascii="Times New Roman" w:hAnsi="Times New Roman"/>
          <w:sz w:val="28"/>
          <w:szCs w:val="20"/>
          <w:lang w:eastAsia="ru-RU"/>
        </w:rPr>
        <w:t> </w:t>
      </w:r>
      <w:r w:rsidRPr="0006094F">
        <w:rPr>
          <w:rFonts w:ascii="Times New Roman" w:hAnsi="Times New Roman"/>
          <w:sz w:val="28"/>
          <w:szCs w:val="20"/>
          <w:lang w:eastAsia="ru-RU"/>
        </w:rPr>
        <w:t>случае необходимости, в</w:t>
      </w:r>
      <w:r>
        <w:rPr>
          <w:rFonts w:ascii="Times New Roman" w:hAnsi="Times New Roman"/>
          <w:sz w:val="28"/>
          <w:szCs w:val="20"/>
          <w:lang w:eastAsia="ru-RU"/>
        </w:rPr>
        <w:t> </w:t>
      </w:r>
      <w:r w:rsidRPr="0006094F">
        <w:rPr>
          <w:rFonts w:ascii="Times New Roman" w:hAnsi="Times New Roman"/>
          <w:sz w:val="28"/>
          <w:szCs w:val="20"/>
          <w:lang w:eastAsia="ru-RU"/>
        </w:rPr>
        <w:t>готовность;</w:t>
      </w:r>
    </w:p>
    <w:p w:rsidR="002D1E45" w:rsidRPr="0006094F" w:rsidRDefault="002D1E45" w:rsidP="00D05D06">
      <w:pPr>
        <w:numPr>
          <w:ilvl w:val="0"/>
          <w:numId w:val="82"/>
        </w:numPr>
        <w:spacing w:after="0" w:line="240" w:lineRule="auto"/>
        <w:contextualSpacing/>
        <w:jc w:val="both"/>
        <w:rPr>
          <w:rFonts w:ascii="Times New Roman" w:hAnsi="Times New Roman"/>
          <w:sz w:val="28"/>
          <w:szCs w:val="20"/>
          <w:lang w:eastAsia="ru-RU"/>
        </w:rPr>
      </w:pPr>
      <w:r w:rsidRPr="0006094F">
        <w:rPr>
          <w:rFonts w:ascii="Times New Roman" w:hAnsi="Times New Roman"/>
          <w:sz w:val="28"/>
          <w:szCs w:val="20"/>
          <w:lang w:eastAsia="ru-RU"/>
        </w:rPr>
        <w:t>уточнение конкретного порядка взаимодействия органов управления РСЧС с</w:t>
      </w:r>
      <w:r>
        <w:rPr>
          <w:rFonts w:ascii="Times New Roman" w:hAnsi="Times New Roman"/>
          <w:sz w:val="28"/>
          <w:szCs w:val="20"/>
          <w:lang w:eastAsia="ru-RU"/>
        </w:rPr>
        <w:t> </w:t>
      </w:r>
      <w:r w:rsidRPr="0006094F">
        <w:rPr>
          <w:rFonts w:ascii="Times New Roman" w:hAnsi="Times New Roman"/>
          <w:sz w:val="28"/>
          <w:szCs w:val="20"/>
          <w:lang w:eastAsia="ru-RU"/>
        </w:rPr>
        <w:t>органами военного командования, отраслями местного хозяйства, предприятиями, учреждениями, общественными организациями и</w:t>
      </w:r>
      <w:r>
        <w:rPr>
          <w:rFonts w:ascii="Times New Roman" w:hAnsi="Times New Roman"/>
          <w:sz w:val="28"/>
          <w:szCs w:val="20"/>
          <w:lang w:eastAsia="ru-RU"/>
        </w:rPr>
        <w:t> </w:t>
      </w:r>
      <w:r w:rsidRPr="0006094F">
        <w:rPr>
          <w:rFonts w:ascii="Times New Roman" w:hAnsi="Times New Roman"/>
          <w:sz w:val="28"/>
          <w:szCs w:val="20"/>
          <w:lang w:eastAsia="ru-RU"/>
        </w:rPr>
        <w:t>средствами массовой информации;</w:t>
      </w:r>
    </w:p>
    <w:p w:rsidR="002D1E45" w:rsidRPr="0006094F" w:rsidRDefault="002D1E45" w:rsidP="00D05D06">
      <w:pPr>
        <w:numPr>
          <w:ilvl w:val="0"/>
          <w:numId w:val="82"/>
        </w:numPr>
        <w:spacing w:after="0" w:line="240" w:lineRule="auto"/>
        <w:contextualSpacing/>
        <w:jc w:val="both"/>
        <w:rPr>
          <w:rFonts w:ascii="Times New Roman" w:hAnsi="Times New Roman"/>
          <w:sz w:val="28"/>
          <w:szCs w:val="20"/>
          <w:lang w:eastAsia="ru-RU"/>
        </w:rPr>
      </w:pPr>
      <w:r w:rsidRPr="0006094F">
        <w:rPr>
          <w:rFonts w:ascii="Times New Roman" w:hAnsi="Times New Roman"/>
          <w:sz w:val="28"/>
          <w:szCs w:val="20"/>
          <w:lang w:eastAsia="ru-RU"/>
        </w:rPr>
        <w:t>проведение проверок готовности сил и</w:t>
      </w:r>
      <w:r>
        <w:rPr>
          <w:rFonts w:ascii="Times New Roman" w:hAnsi="Times New Roman"/>
          <w:sz w:val="28"/>
          <w:szCs w:val="20"/>
          <w:lang w:eastAsia="ru-RU"/>
        </w:rPr>
        <w:t> </w:t>
      </w:r>
      <w:r w:rsidRPr="0006094F">
        <w:rPr>
          <w:rFonts w:ascii="Times New Roman" w:hAnsi="Times New Roman"/>
          <w:sz w:val="28"/>
          <w:szCs w:val="20"/>
          <w:lang w:eastAsia="ru-RU"/>
        </w:rPr>
        <w:t>средств РСЧС;</w:t>
      </w:r>
    </w:p>
    <w:p w:rsidR="002D1E45" w:rsidRPr="0006094F" w:rsidRDefault="002D1E45" w:rsidP="00D05D06">
      <w:pPr>
        <w:numPr>
          <w:ilvl w:val="0"/>
          <w:numId w:val="82"/>
        </w:numPr>
        <w:spacing w:after="0" w:line="240" w:lineRule="auto"/>
        <w:contextualSpacing/>
        <w:jc w:val="both"/>
        <w:rPr>
          <w:rFonts w:ascii="Times New Roman" w:hAnsi="Times New Roman"/>
          <w:sz w:val="28"/>
          <w:szCs w:val="20"/>
          <w:lang w:eastAsia="ru-RU"/>
        </w:rPr>
      </w:pPr>
      <w:r w:rsidRPr="0006094F">
        <w:rPr>
          <w:rFonts w:ascii="Times New Roman" w:hAnsi="Times New Roman"/>
          <w:sz w:val="28"/>
          <w:szCs w:val="20"/>
          <w:lang w:eastAsia="ru-RU"/>
        </w:rPr>
        <w:t>проведение необходимых инструктажей и</w:t>
      </w:r>
      <w:r>
        <w:rPr>
          <w:rFonts w:ascii="Times New Roman" w:hAnsi="Times New Roman"/>
          <w:sz w:val="28"/>
          <w:szCs w:val="20"/>
          <w:lang w:eastAsia="ru-RU"/>
        </w:rPr>
        <w:t> </w:t>
      </w:r>
      <w:r w:rsidRPr="0006094F">
        <w:rPr>
          <w:rFonts w:ascii="Times New Roman" w:hAnsi="Times New Roman"/>
          <w:sz w:val="28"/>
          <w:szCs w:val="20"/>
          <w:lang w:eastAsia="ru-RU"/>
        </w:rPr>
        <w:t>тренировок органов управления и</w:t>
      </w:r>
      <w:r>
        <w:rPr>
          <w:rFonts w:ascii="Times New Roman" w:hAnsi="Times New Roman"/>
          <w:sz w:val="28"/>
          <w:szCs w:val="20"/>
          <w:lang w:eastAsia="ru-RU"/>
        </w:rPr>
        <w:t> </w:t>
      </w:r>
      <w:r w:rsidRPr="0006094F">
        <w:rPr>
          <w:rFonts w:ascii="Times New Roman" w:hAnsi="Times New Roman"/>
          <w:sz w:val="28"/>
          <w:szCs w:val="20"/>
          <w:lang w:eastAsia="ru-RU"/>
        </w:rPr>
        <w:t>аварийно-спасательных формирований РСЧС;</w:t>
      </w:r>
    </w:p>
    <w:p w:rsidR="002D1E45" w:rsidRPr="0006094F" w:rsidRDefault="002D1E45" w:rsidP="00D05D06">
      <w:pPr>
        <w:numPr>
          <w:ilvl w:val="0"/>
          <w:numId w:val="82"/>
        </w:numPr>
        <w:spacing w:after="0" w:line="240" w:lineRule="auto"/>
        <w:contextualSpacing/>
        <w:jc w:val="both"/>
        <w:rPr>
          <w:rFonts w:ascii="Times New Roman" w:hAnsi="Times New Roman"/>
          <w:sz w:val="28"/>
          <w:szCs w:val="20"/>
          <w:lang w:eastAsia="ru-RU"/>
        </w:rPr>
      </w:pPr>
      <w:r w:rsidRPr="0006094F">
        <w:rPr>
          <w:rFonts w:ascii="Times New Roman" w:hAnsi="Times New Roman"/>
          <w:sz w:val="28"/>
          <w:szCs w:val="20"/>
          <w:lang w:eastAsia="ru-RU"/>
        </w:rPr>
        <w:t>подготовка системы связи и</w:t>
      </w:r>
      <w:r>
        <w:rPr>
          <w:rFonts w:ascii="Times New Roman" w:hAnsi="Times New Roman"/>
          <w:sz w:val="28"/>
          <w:szCs w:val="20"/>
          <w:lang w:eastAsia="ru-RU"/>
        </w:rPr>
        <w:t> </w:t>
      </w:r>
      <w:r w:rsidRPr="0006094F">
        <w:rPr>
          <w:rFonts w:ascii="Times New Roman" w:hAnsi="Times New Roman"/>
          <w:sz w:val="28"/>
          <w:szCs w:val="20"/>
          <w:lang w:eastAsia="ru-RU"/>
        </w:rPr>
        <w:t>оповещения, организация взаимодействия с</w:t>
      </w:r>
      <w:r>
        <w:rPr>
          <w:rFonts w:ascii="Times New Roman" w:hAnsi="Times New Roman"/>
          <w:sz w:val="28"/>
          <w:szCs w:val="20"/>
          <w:lang w:eastAsia="ru-RU"/>
        </w:rPr>
        <w:t> </w:t>
      </w:r>
      <w:r w:rsidRPr="0006094F">
        <w:rPr>
          <w:rFonts w:ascii="Times New Roman" w:hAnsi="Times New Roman"/>
          <w:sz w:val="28"/>
          <w:szCs w:val="20"/>
          <w:lang w:eastAsia="ru-RU"/>
        </w:rPr>
        <w:t>ГТРК по</w:t>
      </w:r>
      <w:r>
        <w:rPr>
          <w:rFonts w:ascii="Times New Roman" w:hAnsi="Times New Roman"/>
          <w:sz w:val="28"/>
          <w:szCs w:val="20"/>
          <w:lang w:eastAsia="ru-RU"/>
        </w:rPr>
        <w:t> </w:t>
      </w:r>
      <w:r w:rsidRPr="0006094F">
        <w:rPr>
          <w:rFonts w:ascii="Times New Roman" w:hAnsi="Times New Roman"/>
          <w:sz w:val="28"/>
          <w:szCs w:val="20"/>
          <w:lang w:eastAsia="ru-RU"/>
        </w:rPr>
        <w:t>оповещению населения по</w:t>
      </w:r>
      <w:r>
        <w:rPr>
          <w:rFonts w:ascii="Times New Roman" w:hAnsi="Times New Roman"/>
          <w:sz w:val="28"/>
          <w:szCs w:val="20"/>
          <w:lang w:eastAsia="ru-RU"/>
        </w:rPr>
        <w:t> </w:t>
      </w:r>
      <w:r w:rsidRPr="0006094F">
        <w:rPr>
          <w:rFonts w:ascii="Times New Roman" w:hAnsi="Times New Roman"/>
          <w:sz w:val="28"/>
          <w:szCs w:val="20"/>
          <w:lang w:eastAsia="ru-RU"/>
        </w:rPr>
        <w:t>радио и</w:t>
      </w:r>
      <w:r>
        <w:rPr>
          <w:rFonts w:ascii="Times New Roman" w:hAnsi="Times New Roman"/>
          <w:sz w:val="28"/>
          <w:szCs w:val="20"/>
          <w:lang w:eastAsia="ru-RU"/>
        </w:rPr>
        <w:t> </w:t>
      </w:r>
      <w:r w:rsidRPr="0006094F">
        <w:rPr>
          <w:rFonts w:ascii="Times New Roman" w:hAnsi="Times New Roman"/>
          <w:sz w:val="28"/>
          <w:szCs w:val="20"/>
          <w:lang w:eastAsia="ru-RU"/>
        </w:rPr>
        <w:t>телевидению, разработка текстов сообщений на</w:t>
      </w:r>
      <w:r>
        <w:rPr>
          <w:rFonts w:ascii="Times New Roman" w:hAnsi="Times New Roman"/>
          <w:sz w:val="28"/>
          <w:szCs w:val="20"/>
          <w:lang w:eastAsia="ru-RU"/>
        </w:rPr>
        <w:t> </w:t>
      </w:r>
      <w:r w:rsidRPr="0006094F">
        <w:rPr>
          <w:rFonts w:ascii="Times New Roman" w:hAnsi="Times New Roman"/>
          <w:sz w:val="28"/>
          <w:szCs w:val="20"/>
          <w:lang w:eastAsia="ru-RU"/>
        </w:rPr>
        <w:t>случай наводнения;</w:t>
      </w:r>
    </w:p>
    <w:p w:rsidR="002D1E45" w:rsidRPr="0006094F" w:rsidRDefault="002D1E45" w:rsidP="00D05D06">
      <w:pPr>
        <w:numPr>
          <w:ilvl w:val="0"/>
          <w:numId w:val="82"/>
        </w:numPr>
        <w:spacing w:after="0" w:line="240" w:lineRule="auto"/>
        <w:contextualSpacing/>
        <w:jc w:val="both"/>
        <w:rPr>
          <w:rFonts w:ascii="Times New Roman" w:hAnsi="Times New Roman"/>
          <w:sz w:val="28"/>
          <w:szCs w:val="20"/>
          <w:lang w:eastAsia="ru-RU"/>
        </w:rPr>
      </w:pPr>
      <w:r w:rsidRPr="0006094F">
        <w:rPr>
          <w:rFonts w:ascii="Times New Roman" w:hAnsi="Times New Roman"/>
          <w:sz w:val="28"/>
          <w:szCs w:val="20"/>
          <w:lang w:eastAsia="ru-RU"/>
        </w:rPr>
        <w:t>уточнение наличия выявленных заблаговременно плавсредств, других материально-технических ресурсов, пригодных для использования при осуществлении предупредительных мер и</w:t>
      </w:r>
      <w:r>
        <w:rPr>
          <w:rFonts w:ascii="Times New Roman" w:hAnsi="Times New Roman"/>
          <w:sz w:val="28"/>
          <w:szCs w:val="20"/>
          <w:lang w:eastAsia="ru-RU"/>
        </w:rPr>
        <w:t> </w:t>
      </w:r>
      <w:r w:rsidRPr="0006094F">
        <w:rPr>
          <w:rFonts w:ascii="Times New Roman" w:hAnsi="Times New Roman"/>
          <w:sz w:val="28"/>
          <w:szCs w:val="20"/>
          <w:lang w:eastAsia="ru-RU"/>
        </w:rPr>
        <w:t>проведении аварийно-спасательных и</w:t>
      </w:r>
      <w:r>
        <w:rPr>
          <w:rFonts w:ascii="Times New Roman" w:hAnsi="Times New Roman"/>
          <w:sz w:val="28"/>
          <w:szCs w:val="20"/>
          <w:lang w:eastAsia="ru-RU"/>
        </w:rPr>
        <w:t> </w:t>
      </w:r>
      <w:r w:rsidRPr="0006094F">
        <w:rPr>
          <w:rFonts w:ascii="Times New Roman" w:hAnsi="Times New Roman"/>
          <w:sz w:val="28"/>
          <w:szCs w:val="20"/>
          <w:lang w:eastAsia="ru-RU"/>
        </w:rPr>
        <w:t>других неотложных работ;</w:t>
      </w:r>
    </w:p>
    <w:p w:rsidR="002D1E45" w:rsidRPr="0006094F" w:rsidRDefault="002D1E45" w:rsidP="00D05D06">
      <w:pPr>
        <w:numPr>
          <w:ilvl w:val="0"/>
          <w:numId w:val="82"/>
        </w:numPr>
        <w:spacing w:after="0" w:line="240" w:lineRule="auto"/>
        <w:contextualSpacing/>
        <w:jc w:val="both"/>
        <w:rPr>
          <w:rFonts w:ascii="Times New Roman" w:hAnsi="Times New Roman"/>
          <w:sz w:val="28"/>
          <w:szCs w:val="20"/>
          <w:lang w:eastAsia="ru-RU"/>
        </w:rPr>
      </w:pPr>
      <w:r w:rsidRPr="0006094F">
        <w:rPr>
          <w:rFonts w:ascii="Times New Roman" w:hAnsi="Times New Roman"/>
          <w:sz w:val="28"/>
          <w:szCs w:val="20"/>
          <w:lang w:eastAsia="ru-RU"/>
        </w:rPr>
        <w:t>частичное ограничение или прекращение функционирования предприятий, учебных заведений, других организаций, расположенных в</w:t>
      </w:r>
      <w:r>
        <w:rPr>
          <w:rFonts w:ascii="Times New Roman" w:hAnsi="Times New Roman"/>
          <w:sz w:val="28"/>
          <w:szCs w:val="20"/>
          <w:lang w:eastAsia="ru-RU"/>
        </w:rPr>
        <w:t> </w:t>
      </w:r>
      <w:r w:rsidRPr="0006094F">
        <w:rPr>
          <w:rFonts w:ascii="Times New Roman" w:hAnsi="Times New Roman"/>
          <w:sz w:val="28"/>
          <w:szCs w:val="20"/>
          <w:lang w:eastAsia="ru-RU"/>
        </w:rPr>
        <w:t>зонах возможного затопления;</w:t>
      </w:r>
    </w:p>
    <w:p w:rsidR="002D1E45" w:rsidRPr="0006094F" w:rsidRDefault="002D1E45" w:rsidP="00D05D06">
      <w:pPr>
        <w:numPr>
          <w:ilvl w:val="0"/>
          <w:numId w:val="82"/>
        </w:numPr>
        <w:spacing w:after="0" w:line="240" w:lineRule="auto"/>
        <w:contextualSpacing/>
        <w:jc w:val="both"/>
        <w:rPr>
          <w:rFonts w:ascii="Times New Roman" w:hAnsi="Times New Roman"/>
          <w:sz w:val="28"/>
          <w:szCs w:val="20"/>
          <w:lang w:eastAsia="ru-RU"/>
        </w:rPr>
      </w:pPr>
      <w:r w:rsidRPr="0006094F">
        <w:rPr>
          <w:rFonts w:ascii="Times New Roman" w:hAnsi="Times New Roman"/>
          <w:sz w:val="28"/>
          <w:szCs w:val="20"/>
          <w:lang w:eastAsia="ru-RU"/>
        </w:rPr>
        <w:t>материально-техническое обеспечение предупредительных мероприятий;</w:t>
      </w:r>
    </w:p>
    <w:p w:rsidR="002D1E45" w:rsidRPr="0006094F" w:rsidRDefault="002D1E45" w:rsidP="00D05D06">
      <w:pPr>
        <w:numPr>
          <w:ilvl w:val="0"/>
          <w:numId w:val="82"/>
        </w:numPr>
        <w:spacing w:after="0" w:line="240" w:lineRule="auto"/>
        <w:contextualSpacing/>
        <w:jc w:val="both"/>
        <w:rPr>
          <w:rFonts w:ascii="Times New Roman" w:hAnsi="Times New Roman"/>
          <w:sz w:val="28"/>
          <w:szCs w:val="20"/>
          <w:lang w:eastAsia="ru-RU"/>
        </w:rPr>
      </w:pPr>
      <w:r w:rsidRPr="0006094F">
        <w:rPr>
          <w:rFonts w:ascii="Times New Roman" w:hAnsi="Times New Roman"/>
          <w:sz w:val="28"/>
          <w:szCs w:val="20"/>
          <w:lang w:eastAsia="ru-RU"/>
        </w:rPr>
        <w:t>организационная подготовка к</w:t>
      </w:r>
      <w:r>
        <w:rPr>
          <w:rFonts w:ascii="Times New Roman" w:hAnsi="Times New Roman"/>
          <w:sz w:val="28"/>
          <w:szCs w:val="20"/>
          <w:lang w:eastAsia="ru-RU"/>
        </w:rPr>
        <w:t> </w:t>
      </w:r>
      <w:r w:rsidRPr="0006094F">
        <w:rPr>
          <w:rFonts w:ascii="Times New Roman" w:hAnsi="Times New Roman"/>
          <w:sz w:val="28"/>
          <w:szCs w:val="20"/>
          <w:lang w:eastAsia="ru-RU"/>
        </w:rPr>
        <w:t>использованию материальных резервов на</w:t>
      </w:r>
      <w:r>
        <w:rPr>
          <w:rFonts w:ascii="Times New Roman" w:hAnsi="Times New Roman"/>
          <w:sz w:val="28"/>
          <w:szCs w:val="20"/>
          <w:lang w:eastAsia="ru-RU"/>
        </w:rPr>
        <w:t> </w:t>
      </w:r>
      <w:r w:rsidRPr="0006094F">
        <w:rPr>
          <w:rFonts w:ascii="Times New Roman" w:hAnsi="Times New Roman"/>
          <w:sz w:val="28"/>
          <w:szCs w:val="20"/>
          <w:lang w:eastAsia="ru-RU"/>
        </w:rPr>
        <w:t>случай чрезвычайных ситуаций;</w:t>
      </w:r>
    </w:p>
    <w:p w:rsidR="002D1E45" w:rsidRPr="0006094F" w:rsidRDefault="002D1E45" w:rsidP="00D05D06">
      <w:pPr>
        <w:numPr>
          <w:ilvl w:val="0"/>
          <w:numId w:val="82"/>
        </w:numPr>
        <w:spacing w:after="0" w:line="240" w:lineRule="auto"/>
        <w:contextualSpacing/>
        <w:jc w:val="both"/>
        <w:rPr>
          <w:rFonts w:ascii="Times New Roman" w:hAnsi="Times New Roman"/>
          <w:sz w:val="28"/>
          <w:szCs w:val="20"/>
          <w:lang w:eastAsia="ru-RU"/>
        </w:rPr>
      </w:pPr>
      <w:r w:rsidRPr="0006094F">
        <w:rPr>
          <w:rFonts w:ascii="Times New Roman" w:hAnsi="Times New Roman"/>
          <w:sz w:val="28"/>
          <w:szCs w:val="20"/>
          <w:lang w:eastAsia="ru-RU"/>
        </w:rPr>
        <w:t>информирование граждан о</w:t>
      </w:r>
      <w:r>
        <w:rPr>
          <w:rFonts w:ascii="Times New Roman" w:hAnsi="Times New Roman"/>
          <w:sz w:val="28"/>
          <w:szCs w:val="20"/>
          <w:lang w:eastAsia="ru-RU"/>
        </w:rPr>
        <w:t> </w:t>
      </w:r>
      <w:r w:rsidRPr="0006094F">
        <w:rPr>
          <w:rFonts w:ascii="Times New Roman" w:hAnsi="Times New Roman"/>
          <w:sz w:val="28"/>
          <w:szCs w:val="20"/>
          <w:lang w:eastAsia="ru-RU"/>
        </w:rPr>
        <w:t>прогнозе наводнения и</w:t>
      </w:r>
      <w:r>
        <w:rPr>
          <w:rFonts w:ascii="Times New Roman" w:hAnsi="Times New Roman"/>
          <w:sz w:val="28"/>
          <w:szCs w:val="20"/>
          <w:lang w:eastAsia="ru-RU"/>
        </w:rPr>
        <w:t> </w:t>
      </w:r>
      <w:r w:rsidRPr="0006094F">
        <w:rPr>
          <w:rFonts w:ascii="Times New Roman" w:hAnsi="Times New Roman"/>
          <w:sz w:val="28"/>
          <w:szCs w:val="20"/>
          <w:lang w:eastAsia="ru-RU"/>
        </w:rPr>
        <w:t>проведение разъяснительной работы по</w:t>
      </w:r>
      <w:r>
        <w:rPr>
          <w:rFonts w:ascii="Times New Roman" w:hAnsi="Times New Roman"/>
          <w:sz w:val="28"/>
          <w:szCs w:val="20"/>
          <w:lang w:eastAsia="ru-RU"/>
        </w:rPr>
        <w:t> </w:t>
      </w:r>
      <w:r w:rsidRPr="0006094F">
        <w:rPr>
          <w:rFonts w:ascii="Times New Roman" w:hAnsi="Times New Roman"/>
          <w:sz w:val="28"/>
          <w:szCs w:val="20"/>
          <w:lang w:eastAsia="ru-RU"/>
        </w:rPr>
        <w:t>действиям населения в</w:t>
      </w:r>
      <w:r>
        <w:rPr>
          <w:rFonts w:ascii="Times New Roman" w:hAnsi="Times New Roman"/>
          <w:sz w:val="28"/>
          <w:szCs w:val="20"/>
          <w:lang w:eastAsia="ru-RU"/>
        </w:rPr>
        <w:t> </w:t>
      </w:r>
      <w:r w:rsidRPr="0006094F">
        <w:rPr>
          <w:rFonts w:ascii="Times New Roman" w:hAnsi="Times New Roman"/>
          <w:sz w:val="28"/>
          <w:szCs w:val="20"/>
          <w:lang w:eastAsia="ru-RU"/>
        </w:rPr>
        <w:t>предвидении и</w:t>
      </w:r>
      <w:r>
        <w:rPr>
          <w:rFonts w:ascii="Times New Roman" w:hAnsi="Times New Roman"/>
          <w:sz w:val="28"/>
          <w:szCs w:val="20"/>
          <w:lang w:eastAsia="ru-RU"/>
        </w:rPr>
        <w:t> </w:t>
      </w:r>
      <w:r w:rsidRPr="0006094F">
        <w:rPr>
          <w:rFonts w:ascii="Times New Roman" w:hAnsi="Times New Roman"/>
          <w:sz w:val="28"/>
          <w:szCs w:val="20"/>
          <w:lang w:eastAsia="ru-RU"/>
        </w:rPr>
        <w:t>ходе половодья (паводка).</w:t>
      </w:r>
    </w:p>
    <w:p w:rsidR="002D1E45" w:rsidRPr="0006094F" w:rsidRDefault="002D1E45" w:rsidP="00C47EAC">
      <w:pPr>
        <w:spacing w:after="0" w:line="240" w:lineRule="auto"/>
        <w:ind w:firstLine="709"/>
        <w:jc w:val="both"/>
        <w:rPr>
          <w:rFonts w:ascii="Times New Roman" w:hAnsi="Times New Roman"/>
          <w:sz w:val="28"/>
          <w:szCs w:val="20"/>
          <w:lang w:eastAsia="ru-RU"/>
        </w:rPr>
      </w:pPr>
      <w:r w:rsidRPr="0006094F">
        <w:rPr>
          <w:rFonts w:ascii="Times New Roman" w:hAnsi="Times New Roman"/>
          <w:sz w:val="28"/>
          <w:szCs w:val="20"/>
          <w:lang w:eastAsia="ru-RU"/>
        </w:rPr>
        <w:t>Мероприятия 3 группы базируются в</w:t>
      </w:r>
      <w:r>
        <w:rPr>
          <w:rFonts w:ascii="Times New Roman" w:hAnsi="Times New Roman"/>
          <w:sz w:val="28"/>
          <w:szCs w:val="20"/>
          <w:lang w:eastAsia="ru-RU"/>
        </w:rPr>
        <w:t> </w:t>
      </w:r>
      <w:r w:rsidRPr="0006094F">
        <w:rPr>
          <w:rFonts w:ascii="Times New Roman" w:hAnsi="Times New Roman"/>
          <w:sz w:val="28"/>
          <w:szCs w:val="20"/>
          <w:lang w:eastAsia="ru-RU"/>
        </w:rPr>
        <w:t>основном на</w:t>
      </w:r>
      <w:r>
        <w:rPr>
          <w:rFonts w:ascii="Times New Roman" w:hAnsi="Times New Roman"/>
          <w:sz w:val="28"/>
          <w:szCs w:val="20"/>
          <w:lang w:eastAsia="ru-RU"/>
        </w:rPr>
        <w:t> </w:t>
      </w:r>
      <w:r w:rsidRPr="0006094F">
        <w:rPr>
          <w:rFonts w:ascii="Times New Roman" w:hAnsi="Times New Roman"/>
          <w:sz w:val="28"/>
          <w:szCs w:val="20"/>
          <w:lang w:eastAsia="ru-RU"/>
        </w:rPr>
        <w:t>типовых способах снижения последствий наводнений, к</w:t>
      </w:r>
      <w:r>
        <w:rPr>
          <w:rFonts w:ascii="Times New Roman" w:hAnsi="Times New Roman"/>
          <w:sz w:val="28"/>
          <w:szCs w:val="20"/>
          <w:lang w:eastAsia="ru-RU"/>
        </w:rPr>
        <w:t> </w:t>
      </w:r>
      <w:r w:rsidRPr="0006094F">
        <w:rPr>
          <w:rFonts w:ascii="Times New Roman" w:hAnsi="Times New Roman"/>
          <w:sz w:val="28"/>
          <w:szCs w:val="20"/>
          <w:lang w:eastAsia="ru-RU"/>
        </w:rPr>
        <w:t>которым следует отнести:</w:t>
      </w:r>
    </w:p>
    <w:p w:rsidR="002D1E45" w:rsidRPr="0006094F" w:rsidRDefault="002D1E45" w:rsidP="00D05D06">
      <w:pPr>
        <w:numPr>
          <w:ilvl w:val="0"/>
          <w:numId w:val="82"/>
        </w:numPr>
        <w:spacing w:after="0" w:line="240" w:lineRule="auto"/>
        <w:contextualSpacing/>
        <w:jc w:val="both"/>
        <w:rPr>
          <w:rFonts w:ascii="Times New Roman" w:hAnsi="Times New Roman"/>
          <w:sz w:val="28"/>
          <w:szCs w:val="20"/>
          <w:lang w:eastAsia="ru-RU"/>
        </w:rPr>
      </w:pPr>
      <w:r w:rsidRPr="0006094F">
        <w:rPr>
          <w:rFonts w:ascii="Times New Roman" w:hAnsi="Times New Roman"/>
          <w:sz w:val="28"/>
          <w:szCs w:val="20"/>
          <w:lang w:eastAsia="ru-RU"/>
        </w:rPr>
        <w:t>уменьшение максимального расхода воды в</w:t>
      </w:r>
      <w:r>
        <w:rPr>
          <w:rFonts w:ascii="Times New Roman" w:hAnsi="Times New Roman"/>
          <w:sz w:val="28"/>
          <w:szCs w:val="20"/>
          <w:lang w:eastAsia="ru-RU"/>
        </w:rPr>
        <w:t> </w:t>
      </w:r>
      <w:r w:rsidRPr="0006094F">
        <w:rPr>
          <w:rFonts w:ascii="Times New Roman" w:hAnsi="Times New Roman"/>
          <w:sz w:val="28"/>
          <w:szCs w:val="20"/>
          <w:lang w:eastAsia="ru-RU"/>
        </w:rPr>
        <w:t>реке путём перераспределения стока во</w:t>
      </w:r>
      <w:r>
        <w:rPr>
          <w:rFonts w:ascii="Times New Roman" w:hAnsi="Times New Roman"/>
          <w:sz w:val="28"/>
          <w:szCs w:val="20"/>
          <w:lang w:eastAsia="ru-RU"/>
        </w:rPr>
        <w:t> </w:t>
      </w:r>
      <w:r w:rsidRPr="0006094F">
        <w:rPr>
          <w:rFonts w:ascii="Times New Roman" w:hAnsi="Times New Roman"/>
          <w:sz w:val="28"/>
          <w:szCs w:val="20"/>
          <w:lang w:eastAsia="ru-RU"/>
        </w:rPr>
        <w:t>времени;</w:t>
      </w:r>
    </w:p>
    <w:p w:rsidR="002D1E45" w:rsidRPr="0006094F" w:rsidRDefault="002D1E45" w:rsidP="00D05D06">
      <w:pPr>
        <w:numPr>
          <w:ilvl w:val="0"/>
          <w:numId w:val="82"/>
        </w:numPr>
        <w:spacing w:after="0" w:line="240" w:lineRule="auto"/>
        <w:contextualSpacing/>
        <w:jc w:val="both"/>
        <w:rPr>
          <w:rFonts w:ascii="Times New Roman" w:hAnsi="Times New Roman"/>
          <w:sz w:val="28"/>
          <w:szCs w:val="20"/>
          <w:lang w:eastAsia="ru-RU"/>
        </w:rPr>
      </w:pPr>
      <w:r w:rsidRPr="0006094F">
        <w:rPr>
          <w:rFonts w:ascii="Times New Roman" w:hAnsi="Times New Roman"/>
          <w:sz w:val="28"/>
          <w:szCs w:val="20"/>
          <w:lang w:eastAsia="ru-RU"/>
        </w:rPr>
        <w:t>устройство дамб обвалования;</w:t>
      </w:r>
    </w:p>
    <w:p w:rsidR="002D1E45" w:rsidRPr="0006094F" w:rsidRDefault="002D1E45" w:rsidP="00D05D06">
      <w:pPr>
        <w:numPr>
          <w:ilvl w:val="0"/>
          <w:numId w:val="82"/>
        </w:numPr>
        <w:spacing w:after="0" w:line="240" w:lineRule="auto"/>
        <w:contextualSpacing/>
        <w:jc w:val="both"/>
        <w:rPr>
          <w:rFonts w:ascii="Times New Roman" w:hAnsi="Times New Roman"/>
          <w:sz w:val="28"/>
          <w:szCs w:val="20"/>
          <w:lang w:eastAsia="ru-RU"/>
        </w:rPr>
      </w:pPr>
      <w:r w:rsidRPr="0006094F">
        <w:rPr>
          <w:rFonts w:ascii="Times New Roman" w:hAnsi="Times New Roman"/>
          <w:sz w:val="28"/>
          <w:szCs w:val="20"/>
          <w:lang w:eastAsia="ru-RU"/>
        </w:rPr>
        <w:t>искусственное повышение поверхности территории;</w:t>
      </w:r>
    </w:p>
    <w:p w:rsidR="002D1E45" w:rsidRPr="0006094F" w:rsidRDefault="002D1E45" w:rsidP="00D05D06">
      <w:pPr>
        <w:numPr>
          <w:ilvl w:val="0"/>
          <w:numId w:val="82"/>
        </w:numPr>
        <w:spacing w:after="0" w:line="240" w:lineRule="auto"/>
        <w:contextualSpacing/>
        <w:jc w:val="both"/>
        <w:rPr>
          <w:rFonts w:ascii="Times New Roman" w:hAnsi="Times New Roman"/>
          <w:sz w:val="28"/>
          <w:szCs w:val="20"/>
          <w:lang w:eastAsia="ru-RU"/>
        </w:rPr>
      </w:pPr>
      <w:r w:rsidRPr="0006094F">
        <w:rPr>
          <w:rFonts w:ascii="Times New Roman" w:hAnsi="Times New Roman"/>
          <w:sz w:val="28"/>
          <w:szCs w:val="20"/>
          <w:lang w:eastAsia="ru-RU"/>
        </w:rPr>
        <w:t>спрямление и</w:t>
      </w:r>
      <w:r>
        <w:rPr>
          <w:rFonts w:ascii="Times New Roman" w:hAnsi="Times New Roman"/>
          <w:sz w:val="28"/>
          <w:szCs w:val="20"/>
          <w:lang w:eastAsia="ru-RU"/>
        </w:rPr>
        <w:t> </w:t>
      </w:r>
      <w:r w:rsidRPr="0006094F">
        <w:rPr>
          <w:rFonts w:ascii="Times New Roman" w:hAnsi="Times New Roman"/>
          <w:sz w:val="28"/>
          <w:szCs w:val="20"/>
          <w:lang w:eastAsia="ru-RU"/>
        </w:rPr>
        <w:t>углубление русел, их</w:t>
      </w:r>
      <w:r>
        <w:rPr>
          <w:rFonts w:ascii="Times New Roman" w:hAnsi="Times New Roman"/>
          <w:sz w:val="28"/>
          <w:szCs w:val="20"/>
          <w:lang w:eastAsia="ru-RU"/>
        </w:rPr>
        <w:t> </w:t>
      </w:r>
      <w:r w:rsidRPr="0006094F">
        <w:rPr>
          <w:rFonts w:ascii="Times New Roman" w:hAnsi="Times New Roman"/>
          <w:sz w:val="28"/>
          <w:szCs w:val="20"/>
          <w:lang w:eastAsia="ru-RU"/>
        </w:rPr>
        <w:t>расчистка, заключение в</w:t>
      </w:r>
      <w:r>
        <w:rPr>
          <w:rFonts w:ascii="Times New Roman" w:hAnsi="Times New Roman"/>
          <w:sz w:val="28"/>
          <w:szCs w:val="20"/>
          <w:lang w:eastAsia="ru-RU"/>
        </w:rPr>
        <w:t> </w:t>
      </w:r>
      <w:r w:rsidRPr="0006094F">
        <w:rPr>
          <w:rFonts w:ascii="Times New Roman" w:hAnsi="Times New Roman"/>
          <w:sz w:val="28"/>
          <w:szCs w:val="20"/>
          <w:lang w:eastAsia="ru-RU"/>
        </w:rPr>
        <w:t>коллектор;</w:t>
      </w:r>
    </w:p>
    <w:p w:rsidR="002D1E45" w:rsidRPr="0006094F" w:rsidRDefault="002D1E45" w:rsidP="00D05D06">
      <w:pPr>
        <w:numPr>
          <w:ilvl w:val="0"/>
          <w:numId w:val="82"/>
        </w:numPr>
        <w:spacing w:after="0" w:line="240" w:lineRule="auto"/>
        <w:contextualSpacing/>
        <w:jc w:val="both"/>
        <w:rPr>
          <w:rFonts w:ascii="Times New Roman" w:hAnsi="Times New Roman"/>
          <w:sz w:val="28"/>
          <w:szCs w:val="20"/>
          <w:lang w:eastAsia="ru-RU"/>
        </w:rPr>
      </w:pPr>
      <w:r w:rsidRPr="0006094F">
        <w:rPr>
          <w:rFonts w:ascii="Times New Roman" w:hAnsi="Times New Roman"/>
          <w:sz w:val="28"/>
          <w:szCs w:val="20"/>
          <w:lang w:eastAsia="ru-RU"/>
        </w:rPr>
        <w:t>подсыпка территорий;</w:t>
      </w:r>
    </w:p>
    <w:p w:rsidR="002D1E45" w:rsidRPr="0006094F" w:rsidRDefault="002D1E45" w:rsidP="00D05D06">
      <w:pPr>
        <w:numPr>
          <w:ilvl w:val="0"/>
          <w:numId w:val="82"/>
        </w:numPr>
        <w:spacing w:after="0" w:line="240" w:lineRule="auto"/>
        <w:contextualSpacing/>
        <w:jc w:val="both"/>
        <w:rPr>
          <w:rFonts w:ascii="Times New Roman" w:hAnsi="Times New Roman"/>
          <w:sz w:val="28"/>
          <w:szCs w:val="20"/>
          <w:lang w:eastAsia="ru-RU"/>
        </w:rPr>
      </w:pPr>
      <w:r w:rsidRPr="0006094F">
        <w:rPr>
          <w:rFonts w:ascii="Times New Roman" w:hAnsi="Times New Roman"/>
          <w:sz w:val="28"/>
          <w:szCs w:val="20"/>
          <w:lang w:eastAsia="ru-RU"/>
        </w:rPr>
        <w:t>проведение берегоукрепительных и</w:t>
      </w:r>
      <w:r>
        <w:rPr>
          <w:rFonts w:ascii="Times New Roman" w:hAnsi="Times New Roman"/>
          <w:sz w:val="28"/>
          <w:szCs w:val="20"/>
          <w:lang w:eastAsia="ru-RU"/>
        </w:rPr>
        <w:t> </w:t>
      </w:r>
      <w:r w:rsidRPr="0006094F">
        <w:rPr>
          <w:rFonts w:ascii="Times New Roman" w:hAnsi="Times New Roman"/>
          <w:sz w:val="28"/>
          <w:szCs w:val="20"/>
          <w:lang w:eastAsia="ru-RU"/>
        </w:rPr>
        <w:t>дноуглубительных работ;</w:t>
      </w:r>
    </w:p>
    <w:p w:rsidR="002D1E45" w:rsidRPr="0006094F" w:rsidRDefault="002D1E45" w:rsidP="00D05D06">
      <w:pPr>
        <w:numPr>
          <w:ilvl w:val="0"/>
          <w:numId w:val="82"/>
        </w:numPr>
        <w:spacing w:after="0" w:line="240" w:lineRule="auto"/>
        <w:contextualSpacing/>
        <w:jc w:val="both"/>
        <w:rPr>
          <w:rFonts w:ascii="Times New Roman" w:hAnsi="Times New Roman"/>
          <w:sz w:val="28"/>
          <w:szCs w:val="20"/>
          <w:lang w:eastAsia="ru-RU"/>
        </w:rPr>
      </w:pPr>
      <w:r w:rsidRPr="0006094F">
        <w:rPr>
          <w:rFonts w:ascii="Times New Roman" w:hAnsi="Times New Roman"/>
          <w:sz w:val="28"/>
          <w:szCs w:val="20"/>
          <w:lang w:eastAsia="ru-RU"/>
        </w:rPr>
        <w:t>регулирование русел и</w:t>
      </w:r>
      <w:r>
        <w:rPr>
          <w:rFonts w:ascii="Times New Roman" w:hAnsi="Times New Roman"/>
          <w:sz w:val="28"/>
          <w:szCs w:val="20"/>
          <w:lang w:eastAsia="ru-RU"/>
        </w:rPr>
        <w:t> </w:t>
      </w:r>
      <w:r w:rsidRPr="0006094F">
        <w:rPr>
          <w:rFonts w:ascii="Times New Roman" w:hAnsi="Times New Roman"/>
          <w:sz w:val="28"/>
          <w:szCs w:val="20"/>
          <w:lang w:eastAsia="ru-RU"/>
        </w:rPr>
        <w:t>стока малых рек;</w:t>
      </w:r>
    </w:p>
    <w:p w:rsidR="002D1E45" w:rsidRPr="0006094F" w:rsidRDefault="002D1E45" w:rsidP="00D05D06">
      <w:pPr>
        <w:numPr>
          <w:ilvl w:val="0"/>
          <w:numId w:val="82"/>
        </w:numPr>
        <w:spacing w:after="0" w:line="240" w:lineRule="auto"/>
        <w:contextualSpacing/>
        <w:jc w:val="both"/>
        <w:rPr>
          <w:rFonts w:ascii="Times New Roman" w:hAnsi="Times New Roman"/>
          <w:sz w:val="28"/>
          <w:szCs w:val="20"/>
          <w:lang w:eastAsia="ru-RU"/>
        </w:rPr>
      </w:pPr>
      <w:r w:rsidRPr="0006094F">
        <w:rPr>
          <w:rFonts w:ascii="Times New Roman" w:hAnsi="Times New Roman"/>
          <w:sz w:val="28"/>
          <w:szCs w:val="20"/>
          <w:lang w:eastAsia="ru-RU"/>
        </w:rPr>
        <w:t>регулирование стока и</w:t>
      </w:r>
      <w:r>
        <w:rPr>
          <w:rFonts w:ascii="Times New Roman" w:hAnsi="Times New Roman"/>
          <w:sz w:val="28"/>
          <w:szCs w:val="20"/>
          <w:lang w:eastAsia="ru-RU"/>
        </w:rPr>
        <w:t> </w:t>
      </w:r>
      <w:r w:rsidRPr="0006094F">
        <w:rPr>
          <w:rFonts w:ascii="Times New Roman" w:hAnsi="Times New Roman"/>
          <w:sz w:val="28"/>
          <w:szCs w:val="20"/>
          <w:lang w:eastAsia="ru-RU"/>
        </w:rPr>
        <w:t>отвод поверхностных и</w:t>
      </w:r>
      <w:r>
        <w:rPr>
          <w:rFonts w:ascii="Times New Roman" w:hAnsi="Times New Roman"/>
          <w:sz w:val="28"/>
          <w:szCs w:val="20"/>
          <w:lang w:eastAsia="ru-RU"/>
        </w:rPr>
        <w:t> </w:t>
      </w:r>
      <w:r w:rsidRPr="0006094F">
        <w:rPr>
          <w:rFonts w:ascii="Times New Roman" w:hAnsi="Times New Roman"/>
          <w:sz w:val="28"/>
          <w:szCs w:val="20"/>
          <w:lang w:eastAsia="ru-RU"/>
        </w:rPr>
        <w:t>подземных вод;</w:t>
      </w:r>
    </w:p>
    <w:p w:rsidR="002D1E45" w:rsidRPr="0006094F" w:rsidRDefault="002D1E45" w:rsidP="00D05D06">
      <w:pPr>
        <w:numPr>
          <w:ilvl w:val="0"/>
          <w:numId w:val="82"/>
        </w:numPr>
        <w:spacing w:after="0" w:line="240" w:lineRule="auto"/>
        <w:contextualSpacing/>
        <w:jc w:val="both"/>
        <w:rPr>
          <w:rFonts w:ascii="Times New Roman" w:hAnsi="Times New Roman"/>
          <w:sz w:val="28"/>
          <w:szCs w:val="20"/>
          <w:lang w:eastAsia="ru-RU"/>
        </w:rPr>
      </w:pPr>
      <w:r w:rsidRPr="0006094F">
        <w:rPr>
          <w:rFonts w:ascii="Times New Roman" w:hAnsi="Times New Roman"/>
          <w:sz w:val="28"/>
          <w:szCs w:val="20"/>
          <w:lang w:eastAsia="ru-RU"/>
        </w:rPr>
        <w:t>дренажные системы и</w:t>
      </w:r>
      <w:r>
        <w:rPr>
          <w:rFonts w:ascii="Times New Roman" w:hAnsi="Times New Roman"/>
          <w:sz w:val="28"/>
          <w:szCs w:val="20"/>
          <w:lang w:eastAsia="ru-RU"/>
        </w:rPr>
        <w:t> </w:t>
      </w:r>
      <w:r w:rsidRPr="0006094F">
        <w:rPr>
          <w:rFonts w:ascii="Times New Roman" w:hAnsi="Times New Roman"/>
          <w:sz w:val="28"/>
          <w:szCs w:val="20"/>
          <w:lang w:eastAsia="ru-RU"/>
        </w:rPr>
        <w:t xml:space="preserve">отдельные дренажи; </w:t>
      </w:r>
    </w:p>
    <w:p w:rsidR="002D1E45" w:rsidRPr="0006094F" w:rsidRDefault="002D1E45" w:rsidP="00D05D06">
      <w:pPr>
        <w:numPr>
          <w:ilvl w:val="0"/>
          <w:numId w:val="82"/>
        </w:numPr>
        <w:spacing w:after="0" w:line="240" w:lineRule="auto"/>
        <w:contextualSpacing/>
        <w:jc w:val="both"/>
        <w:rPr>
          <w:rFonts w:ascii="Times New Roman" w:hAnsi="Times New Roman"/>
          <w:sz w:val="28"/>
          <w:szCs w:val="20"/>
          <w:lang w:eastAsia="ru-RU"/>
        </w:rPr>
      </w:pPr>
      <w:r w:rsidRPr="0006094F">
        <w:rPr>
          <w:rFonts w:ascii="Times New Roman" w:hAnsi="Times New Roman"/>
          <w:sz w:val="28"/>
          <w:szCs w:val="20"/>
          <w:lang w:eastAsia="ru-RU"/>
        </w:rPr>
        <w:t>устройство дренажных прорезей для обеспечения связи «верховодки» и</w:t>
      </w:r>
      <w:r>
        <w:rPr>
          <w:rFonts w:ascii="Times New Roman" w:hAnsi="Times New Roman"/>
          <w:sz w:val="28"/>
          <w:szCs w:val="20"/>
          <w:lang w:eastAsia="ru-RU"/>
        </w:rPr>
        <w:t> </w:t>
      </w:r>
      <w:r w:rsidRPr="0006094F">
        <w:rPr>
          <w:rFonts w:ascii="Times New Roman" w:hAnsi="Times New Roman"/>
          <w:sz w:val="28"/>
          <w:szCs w:val="20"/>
          <w:lang w:eastAsia="ru-RU"/>
        </w:rPr>
        <w:t>техногенного горизонта, имеющего хорошие условия разгрузки;</w:t>
      </w:r>
    </w:p>
    <w:p w:rsidR="002D1E45" w:rsidRPr="0006094F" w:rsidRDefault="002D1E45" w:rsidP="00D05D06">
      <w:pPr>
        <w:numPr>
          <w:ilvl w:val="0"/>
          <w:numId w:val="82"/>
        </w:numPr>
        <w:spacing w:after="0" w:line="240" w:lineRule="auto"/>
        <w:contextualSpacing/>
        <w:jc w:val="both"/>
        <w:rPr>
          <w:rFonts w:ascii="Times New Roman" w:hAnsi="Times New Roman"/>
          <w:sz w:val="28"/>
          <w:szCs w:val="20"/>
          <w:lang w:eastAsia="ru-RU"/>
        </w:rPr>
      </w:pPr>
      <w:r w:rsidRPr="0006094F">
        <w:rPr>
          <w:rFonts w:ascii="Times New Roman" w:hAnsi="Times New Roman"/>
          <w:sz w:val="28"/>
          <w:szCs w:val="20"/>
          <w:lang w:eastAsia="ru-RU"/>
        </w:rPr>
        <w:t>применение комбинированного способа профилактических мероприятий (устройств постоянных и</w:t>
      </w:r>
      <w:r>
        <w:rPr>
          <w:rFonts w:ascii="Times New Roman" w:hAnsi="Times New Roman"/>
          <w:sz w:val="28"/>
          <w:szCs w:val="20"/>
          <w:lang w:eastAsia="ru-RU"/>
        </w:rPr>
        <w:t> </w:t>
      </w:r>
      <w:r w:rsidRPr="0006094F">
        <w:rPr>
          <w:rFonts w:ascii="Times New Roman" w:hAnsi="Times New Roman"/>
          <w:sz w:val="28"/>
          <w:szCs w:val="20"/>
          <w:lang w:eastAsia="ru-RU"/>
        </w:rPr>
        <w:t>временных водостоков и</w:t>
      </w:r>
      <w:r>
        <w:rPr>
          <w:rFonts w:ascii="Times New Roman" w:hAnsi="Times New Roman"/>
          <w:sz w:val="28"/>
          <w:szCs w:val="20"/>
          <w:lang w:eastAsia="ru-RU"/>
        </w:rPr>
        <w:t> </w:t>
      </w:r>
      <w:r w:rsidRPr="0006094F">
        <w:rPr>
          <w:rFonts w:ascii="Times New Roman" w:hAnsi="Times New Roman"/>
          <w:sz w:val="28"/>
          <w:szCs w:val="20"/>
          <w:lang w:eastAsia="ru-RU"/>
        </w:rPr>
        <w:t>дорог с</w:t>
      </w:r>
      <w:r>
        <w:rPr>
          <w:rFonts w:ascii="Times New Roman" w:hAnsi="Times New Roman"/>
          <w:sz w:val="28"/>
          <w:szCs w:val="20"/>
          <w:lang w:eastAsia="ru-RU"/>
        </w:rPr>
        <w:t> </w:t>
      </w:r>
      <w:r w:rsidRPr="0006094F">
        <w:rPr>
          <w:rFonts w:ascii="Times New Roman" w:hAnsi="Times New Roman"/>
          <w:sz w:val="28"/>
          <w:szCs w:val="20"/>
          <w:lang w:eastAsia="ru-RU"/>
        </w:rPr>
        <w:t>водотоками и</w:t>
      </w:r>
      <w:r>
        <w:rPr>
          <w:rFonts w:ascii="Times New Roman" w:hAnsi="Times New Roman"/>
          <w:sz w:val="28"/>
          <w:szCs w:val="20"/>
          <w:lang w:eastAsia="ru-RU"/>
        </w:rPr>
        <w:t> </w:t>
      </w:r>
      <w:r w:rsidRPr="0006094F">
        <w:rPr>
          <w:rFonts w:ascii="Times New Roman" w:hAnsi="Times New Roman"/>
          <w:sz w:val="28"/>
          <w:szCs w:val="20"/>
          <w:lang w:eastAsia="ru-RU"/>
        </w:rPr>
        <w:t>т.д.).</w:t>
      </w:r>
    </w:p>
    <w:p w:rsidR="002D1E45" w:rsidRPr="0006094F" w:rsidRDefault="002D1E45" w:rsidP="00C47EAC">
      <w:pPr>
        <w:spacing w:after="0" w:line="240" w:lineRule="auto"/>
        <w:ind w:firstLine="709"/>
        <w:jc w:val="both"/>
        <w:rPr>
          <w:rFonts w:ascii="Times New Roman" w:hAnsi="Times New Roman"/>
          <w:sz w:val="28"/>
          <w:szCs w:val="20"/>
          <w:lang w:eastAsia="ru-RU"/>
        </w:rPr>
      </w:pPr>
      <w:r w:rsidRPr="0006094F">
        <w:rPr>
          <w:rFonts w:ascii="Times New Roman" w:hAnsi="Times New Roman"/>
          <w:sz w:val="28"/>
          <w:szCs w:val="20"/>
          <w:lang w:eastAsia="ru-RU"/>
        </w:rPr>
        <w:t>Часть практических мероприятий, реализующих перечисленные способы, может проводиться только на</w:t>
      </w:r>
      <w:r>
        <w:rPr>
          <w:rFonts w:ascii="Times New Roman" w:hAnsi="Times New Roman"/>
          <w:sz w:val="28"/>
          <w:szCs w:val="20"/>
          <w:lang w:eastAsia="ru-RU"/>
        </w:rPr>
        <w:t> </w:t>
      </w:r>
      <w:r w:rsidRPr="0006094F">
        <w:rPr>
          <w:rFonts w:ascii="Times New Roman" w:hAnsi="Times New Roman"/>
          <w:sz w:val="28"/>
          <w:szCs w:val="20"/>
          <w:lang w:eastAsia="ru-RU"/>
        </w:rPr>
        <w:t>долговременной основе, часть – в</w:t>
      </w:r>
      <w:r>
        <w:rPr>
          <w:rFonts w:ascii="Times New Roman" w:hAnsi="Times New Roman"/>
          <w:sz w:val="28"/>
          <w:szCs w:val="20"/>
          <w:lang w:eastAsia="ru-RU"/>
        </w:rPr>
        <w:t> </w:t>
      </w:r>
      <w:r w:rsidRPr="0006094F">
        <w:rPr>
          <w:rFonts w:ascii="Times New Roman" w:hAnsi="Times New Roman"/>
          <w:sz w:val="28"/>
          <w:szCs w:val="20"/>
          <w:lang w:eastAsia="ru-RU"/>
        </w:rPr>
        <w:t>оперативном порядке в</w:t>
      </w:r>
      <w:r>
        <w:rPr>
          <w:rFonts w:ascii="Times New Roman" w:hAnsi="Times New Roman"/>
          <w:sz w:val="28"/>
          <w:szCs w:val="20"/>
          <w:lang w:eastAsia="ru-RU"/>
        </w:rPr>
        <w:t> </w:t>
      </w:r>
      <w:r w:rsidRPr="0006094F">
        <w:rPr>
          <w:rFonts w:ascii="Times New Roman" w:hAnsi="Times New Roman"/>
          <w:sz w:val="28"/>
          <w:szCs w:val="20"/>
          <w:lang w:eastAsia="ru-RU"/>
        </w:rPr>
        <w:t>предвидении конкретного наводнения, часть – и</w:t>
      </w:r>
      <w:r>
        <w:rPr>
          <w:rFonts w:ascii="Times New Roman" w:hAnsi="Times New Roman"/>
          <w:sz w:val="28"/>
          <w:szCs w:val="20"/>
          <w:lang w:eastAsia="ru-RU"/>
        </w:rPr>
        <w:t> </w:t>
      </w:r>
      <w:r w:rsidRPr="0006094F">
        <w:rPr>
          <w:rFonts w:ascii="Times New Roman" w:hAnsi="Times New Roman"/>
          <w:sz w:val="28"/>
          <w:szCs w:val="20"/>
          <w:lang w:eastAsia="ru-RU"/>
        </w:rPr>
        <w:t>оперативно, и</w:t>
      </w:r>
      <w:r>
        <w:rPr>
          <w:rFonts w:ascii="Times New Roman" w:hAnsi="Times New Roman"/>
          <w:sz w:val="28"/>
          <w:szCs w:val="20"/>
          <w:lang w:eastAsia="ru-RU"/>
        </w:rPr>
        <w:t> </w:t>
      </w:r>
      <w:r w:rsidRPr="0006094F">
        <w:rPr>
          <w:rFonts w:ascii="Times New Roman" w:hAnsi="Times New Roman"/>
          <w:sz w:val="28"/>
          <w:szCs w:val="20"/>
          <w:lang w:eastAsia="ru-RU"/>
        </w:rPr>
        <w:t>долговременно. Кроме мероприятий, соответствующих типовым способам, существует ряд других мер, направленных на</w:t>
      </w:r>
      <w:r>
        <w:rPr>
          <w:rFonts w:ascii="Times New Roman" w:hAnsi="Times New Roman"/>
          <w:sz w:val="28"/>
          <w:szCs w:val="20"/>
          <w:lang w:eastAsia="ru-RU"/>
        </w:rPr>
        <w:t> </w:t>
      </w:r>
      <w:r w:rsidRPr="0006094F">
        <w:rPr>
          <w:rFonts w:ascii="Times New Roman" w:hAnsi="Times New Roman"/>
          <w:sz w:val="28"/>
          <w:szCs w:val="20"/>
          <w:lang w:eastAsia="ru-RU"/>
        </w:rPr>
        <w:t>снижение потерь и</w:t>
      </w:r>
      <w:r>
        <w:rPr>
          <w:rFonts w:ascii="Times New Roman" w:hAnsi="Times New Roman"/>
          <w:sz w:val="28"/>
          <w:szCs w:val="20"/>
          <w:lang w:eastAsia="ru-RU"/>
        </w:rPr>
        <w:t> </w:t>
      </w:r>
      <w:r w:rsidRPr="0006094F">
        <w:rPr>
          <w:rFonts w:ascii="Times New Roman" w:hAnsi="Times New Roman"/>
          <w:sz w:val="28"/>
          <w:szCs w:val="20"/>
          <w:lang w:eastAsia="ru-RU"/>
        </w:rPr>
        <w:t>ущерба от</w:t>
      </w:r>
      <w:r>
        <w:rPr>
          <w:rFonts w:ascii="Times New Roman" w:hAnsi="Times New Roman"/>
          <w:sz w:val="28"/>
          <w:szCs w:val="20"/>
          <w:lang w:eastAsia="ru-RU"/>
        </w:rPr>
        <w:t> </w:t>
      </w:r>
      <w:r w:rsidRPr="0006094F">
        <w:rPr>
          <w:rFonts w:ascii="Times New Roman" w:hAnsi="Times New Roman"/>
          <w:sz w:val="28"/>
          <w:szCs w:val="20"/>
          <w:lang w:eastAsia="ru-RU"/>
        </w:rPr>
        <w:t>наводнений.</w:t>
      </w:r>
    </w:p>
    <w:p w:rsidR="002D1E45" w:rsidRPr="0006094F" w:rsidRDefault="002D1E45" w:rsidP="00C47EAC">
      <w:pPr>
        <w:spacing w:after="0" w:line="240" w:lineRule="auto"/>
        <w:ind w:firstLine="709"/>
        <w:jc w:val="both"/>
        <w:rPr>
          <w:rFonts w:ascii="Times New Roman" w:hAnsi="Times New Roman"/>
          <w:sz w:val="28"/>
          <w:szCs w:val="20"/>
          <w:lang w:eastAsia="ru-RU"/>
        </w:rPr>
      </w:pPr>
      <w:r w:rsidRPr="0006094F">
        <w:rPr>
          <w:rFonts w:ascii="Times New Roman" w:hAnsi="Times New Roman"/>
          <w:sz w:val="28"/>
          <w:szCs w:val="20"/>
          <w:lang w:eastAsia="ru-RU"/>
        </w:rPr>
        <w:t>К общему составу предупредительных мероприятий могут быть отнесены следующие активные и</w:t>
      </w:r>
      <w:r>
        <w:rPr>
          <w:rFonts w:ascii="Times New Roman" w:hAnsi="Times New Roman"/>
          <w:sz w:val="28"/>
          <w:szCs w:val="20"/>
          <w:lang w:eastAsia="ru-RU"/>
        </w:rPr>
        <w:t> </w:t>
      </w:r>
      <w:r w:rsidRPr="0006094F">
        <w:rPr>
          <w:rFonts w:ascii="Times New Roman" w:hAnsi="Times New Roman"/>
          <w:sz w:val="28"/>
          <w:szCs w:val="20"/>
          <w:lang w:eastAsia="ru-RU"/>
        </w:rPr>
        <w:t>пассивные меры:</w:t>
      </w:r>
    </w:p>
    <w:p w:rsidR="002D1E45" w:rsidRPr="0006094F" w:rsidRDefault="002D1E45" w:rsidP="00D05D06">
      <w:pPr>
        <w:numPr>
          <w:ilvl w:val="0"/>
          <w:numId w:val="82"/>
        </w:numPr>
        <w:spacing w:after="0" w:line="240" w:lineRule="auto"/>
        <w:contextualSpacing/>
        <w:jc w:val="both"/>
        <w:rPr>
          <w:rFonts w:ascii="Times New Roman" w:hAnsi="Times New Roman"/>
          <w:sz w:val="28"/>
          <w:szCs w:val="20"/>
          <w:lang w:eastAsia="ru-RU"/>
        </w:rPr>
      </w:pPr>
      <w:r w:rsidRPr="0006094F">
        <w:rPr>
          <w:rFonts w:ascii="Times New Roman" w:hAnsi="Times New Roman"/>
          <w:sz w:val="28"/>
          <w:szCs w:val="20"/>
          <w:lang w:eastAsia="ru-RU"/>
        </w:rPr>
        <w:t>посадка лесозащитных полос в</w:t>
      </w:r>
      <w:r>
        <w:rPr>
          <w:rFonts w:ascii="Times New Roman" w:hAnsi="Times New Roman"/>
          <w:sz w:val="28"/>
          <w:szCs w:val="20"/>
          <w:lang w:eastAsia="ru-RU"/>
        </w:rPr>
        <w:t> </w:t>
      </w:r>
      <w:r w:rsidRPr="0006094F">
        <w:rPr>
          <w:rFonts w:ascii="Times New Roman" w:hAnsi="Times New Roman"/>
          <w:sz w:val="28"/>
          <w:szCs w:val="20"/>
          <w:lang w:eastAsia="ru-RU"/>
        </w:rPr>
        <w:t>бассейнах рек;</w:t>
      </w:r>
    </w:p>
    <w:p w:rsidR="002D1E45" w:rsidRPr="0006094F" w:rsidRDefault="002D1E45" w:rsidP="00D05D06">
      <w:pPr>
        <w:numPr>
          <w:ilvl w:val="0"/>
          <w:numId w:val="82"/>
        </w:numPr>
        <w:spacing w:after="0" w:line="240" w:lineRule="auto"/>
        <w:contextualSpacing/>
        <w:jc w:val="both"/>
        <w:rPr>
          <w:rFonts w:ascii="Times New Roman" w:hAnsi="Times New Roman"/>
          <w:sz w:val="28"/>
          <w:szCs w:val="20"/>
          <w:lang w:eastAsia="ru-RU"/>
        </w:rPr>
      </w:pPr>
      <w:r w:rsidRPr="0006094F">
        <w:rPr>
          <w:rFonts w:ascii="Times New Roman" w:hAnsi="Times New Roman"/>
          <w:sz w:val="28"/>
          <w:szCs w:val="20"/>
          <w:lang w:eastAsia="ru-RU"/>
        </w:rPr>
        <w:t>распашка земли поперёк склонов;</w:t>
      </w:r>
    </w:p>
    <w:p w:rsidR="002D1E45" w:rsidRPr="0006094F" w:rsidRDefault="002D1E45" w:rsidP="00D05D06">
      <w:pPr>
        <w:numPr>
          <w:ilvl w:val="0"/>
          <w:numId w:val="82"/>
        </w:numPr>
        <w:spacing w:after="0" w:line="240" w:lineRule="auto"/>
        <w:contextualSpacing/>
        <w:jc w:val="both"/>
        <w:rPr>
          <w:rFonts w:ascii="Times New Roman" w:hAnsi="Times New Roman"/>
          <w:sz w:val="28"/>
          <w:szCs w:val="20"/>
          <w:lang w:eastAsia="ru-RU"/>
        </w:rPr>
      </w:pPr>
      <w:r w:rsidRPr="0006094F">
        <w:rPr>
          <w:rFonts w:ascii="Times New Roman" w:hAnsi="Times New Roman"/>
          <w:sz w:val="28"/>
          <w:szCs w:val="20"/>
          <w:lang w:eastAsia="ru-RU"/>
        </w:rPr>
        <w:t>сохранение прибрежных водоохранных полос древесной и</w:t>
      </w:r>
      <w:r>
        <w:rPr>
          <w:rFonts w:ascii="Times New Roman" w:hAnsi="Times New Roman"/>
          <w:sz w:val="28"/>
          <w:szCs w:val="20"/>
          <w:lang w:eastAsia="ru-RU"/>
        </w:rPr>
        <w:t> </w:t>
      </w:r>
      <w:r w:rsidRPr="0006094F">
        <w:rPr>
          <w:rFonts w:ascii="Times New Roman" w:hAnsi="Times New Roman"/>
          <w:sz w:val="28"/>
          <w:szCs w:val="20"/>
          <w:lang w:eastAsia="ru-RU"/>
        </w:rPr>
        <w:t>кустарниковой растительности;</w:t>
      </w:r>
    </w:p>
    <w:p w:rsidR="002D1E45" w:rsidRPr="0006094F" w:rsidRDefault="002D1E45" w:rsidP="00D05D06">
      <w:pPr>
        <w:numPr>
          <w:ilvl w:val="0"/>
          <w:numId w:val="82"/>
        </w:numPr>
        <w:spacing w:after="0" w:line="240" w:lineRule="auto"/>
        <w:contextualSpacing/>
        <w:jc w:val="both"/>
        <w:rPr>
          <w:rFonts w:ascii="Times New Roman" w:hAnsi="Times New Roman"/>
          <w:sz w:val="28"/>
          <w:szCs w:val="20"/>
          <w:lang w:eastAsia="ru-RU"/>
        </w:rPr>
      </w:pPr>
      <w:r w:rsidRPr="0006094F">
        <w:rPr>
          <w:rFonts w:ascii="Times New Roman" w:hAnsi="Times New Roman"/>
          <w:sz w:val="28"/>
          <w:szCs w:val="20"/>
          <w:lang w:eastAsia="ru-RU"/>
        </w:rPr>
        <w:t>террасирование склонов;</w:t>
      </w:r>
    </w:p>
    <w:p w:rsidR="002D1E45" w:rsidRPr="0006094F" w:rsidRDefault="002D1E45" w:rsidP="00D05D06">
      <w:pPr>
        <w:numPr>
          <w:ilvl w:val="0"/>
          <w:numId w:val="82"/>
        </w:numPr>
        <w:spacing w:after="0" w:line="240" w:lineRule="auto"/>
        <w:contextualSpacing/>
        <w:jc w:val="both"/>
        <w:rPr>
          <w:rFonts w:ascii="Times New Roman" w:hAnsi="Times New Roman"/>
          <w:sz w:val="28"/>
          <w:szCs w:val="20"/>
          <w:lang w:eastAsia="ru-RU"/>
        </w:rPr>
      </w:pPr>
      <w:r w:rsidRPr="0006094F">
        <w:rPr>
          <w:rFonts w:ascii="Times New Roman" w:hAnsi="Times New Roman"/>
          <w:sz w:val="28"/>
          <w:szCs w:val="20"/>
          <w:lang w:eastAsia="ru-RU"/>
        </w:rPr>
        <w:t>строительство прудов и</w:t>
      </w:r>
      <w:r>
        <w:rPr>
          <w:rFonts w:ascii="Times New Roman" w:hAnsi="Times New Roman"/>
          <w:sz w:val="28"/>
          <w:szCs w:val="20"/>
          <w:lang w:eastAsia="ru-RU"/>
        </w:rPr>
        <w:t> </w:t>
      </w:r>
      <w:r w:rsidRPr="0006094F">
        <w:rPr>
          <w:rFonts w:ascii="Times New Roman" w:hAnsi="Times New Roman"/>
          <w:sz w:val="28"/>
          <w:szCs w:val="20"/>
          <w:lang w:eastAsia="ru-RU"/>
        </w:rPr>
        <w:t>других искусственных водоёмов в</w:t>
      </w:r>
      <w:r>
        <w:rPr>
          <w:rFonts w:ascii="Times New Roman" w:hAnsi="Times New Roman"/>
          <w:sz w:val="28"/>
          <w:szCs w:val="20"/>
          <w:lang w:eastAsia="ru-RU"/>
        </w:rPr>
        <w:t> </w:t>
      </w:r>
      <w:r w:rsidRPr="0006094F">
        <w:rPr>
          <w:rFonts w:ascii="Times New Roman" w:hAnsi="Times New Roman"/>
          <w:sz w:val="28"/>
          <w:szCs w:val="20"/>
          <w:lang w:eastAsia="ru-RU"/>
        </w:rPr>
        <w:t>логах, балках и</w:t>
      </w:r>
      <w:r>
        <w:rPr>
          <w:rFonts w:ascii="Times New Roman" w:hAnsi="Times New Roman"/>
          <w:sz w:val="28"/>
          <w:szCs w:val="20"/>
          <w:lang w:eastAsia="ru-RU"/>
        </w:rPr>
        <w:t> </w:t>
      </w:r>
      <w:r w:rsidRPr="0006094F">
        <w:rPr>
          <w:rFonts w:ascii="Times New Roman" w:hAnsi="Times New Roman"/>
          <w:sz w:val="28"/>
          <w:szCs w:val="20"/>
          <w:lang w:eastAsia="ru-RU"/>
        </w:rPr>
        <w:t>оврагах для перехвата талых и</w:t>
      </w:r>
      <w:r>
        <w:rPr>
          <w:rFonts w:ascii="Times New Roman" w:hAnsi="Times New Roman"/>
          <w:sz w:val="28"/>
          <w:szCs w:val="20"/>
          <w:lang w:eastAsia="ru-RU"/>
        </w:rPr>
        <w:t> </w:t>
      </w:r>
      <w:r w:rsidRPr="0006094F">
        <w:rPr>
          <w:rFonts w:ascii="Times New Roman" w:hAnsi="Times New Roman"/>
          <w:sz w:val="28"/>
          <w:szCs w:val="20"/>
          <w:lang w:eastAsia="ru-RU"/>
        </w:rPr>
        <w:t>дождевых вод;</w:t>
      </w:r>
    </w:p>
    <w:p w:rsidR="002D1E45" w:rsidRPr="0006094F" w:rsidRDefault="002D1E45" w:rsidP="00D05D06">
      <w:pPr>
        <w:numPr>
          <w:ilvl w:val="0"/>
          <w:numId w:val="82"/>
        </w:numPr>
        <w:spacing w:after="0" w:line="240" w:lineRule="auto"/>
        <w:contextualSpacing/>
        <w:jc w:val="both"/>
        <w:rPr>
          <w:rFonts w:ascii="Times New Roman" w:hAnsi="Times New Roman"/>
          <w:sz w:val="28"/>
          <w:szCs w:val="20"/>
          <w:lang w:eastAsia="ru-RU"/>
        </w:rPr>
      </w:pPr>
      <w:r w:rsidRPr="0006094F">
        <w:rPr>
          <w:rFonts w:ascii="Times New Roman" w:hAnsi="Times New Roman"/>
          <w:sz w:val="28"/>
          <w:szCs w:val="20"/>
          <w:lang w:eastAsia="ru-RU"/>
        </w:rPr>
        <w:t>перевод систематически затопляемых пашен в</w:t>
      </w:r>
      <w:r>
        <w:rPr>
          <w:rFonts w:ascii="Times New Roman" w:hAnsi="Times New Roman"/>
          <w:sz w:val="28"/>
          <w:szCs w:val="20"/>
          <w:lang w:eastAsia="ru-RU"/>
        </w:rPr>
        <w:t> </w:t>
      </w:r>
      <w:r w:rsidRPr="0006094F">
        <w:rPr>
          <w:rFonts w:ascii="Times New Roman" w:hAnsi="Times New Roman"/>
          <w:sz w:val="28"/>
          <w:szCs w:val="20"/>
          <w:lang w:eastAsia="ru-RU"/>
        </w:rPr>
        <w:t>луга и</w:t>
      </w:r>
      <w:r>
        <w:rPr>
          <w:rFonts w:ascii="Times New Roman" w:hAnsi="Times New Roman"/>
          <w:sz w:val="28"/>
          <w:szCs w:val="20"/>
          <w:lang w:eastAsia="ru-RU"/>
        </w:rPr>
        <w:t> </w:t>
      </w:r>
      <w:r w:rsidRPr="0006094F">
        <w:rPr>
          <w:rFonts w:ascii="Times New Roman" w:hAnsi="Times New Roman"/>
          <w:sz w:val="28"/>
          <w:szCs w:val="20"/>
          <w:lang w:eastAsia="ru-RU"/>
        </w:rPr>
        <w:t>пастбища;</w:t>
      </w:r>
    </w:p>
    <w:p w:rsidR="002D1E45" w:rsidRPr="0006094F" w:rsidRDefault="002D1E45" w:rsidP="00D05D06">
      <w:pPr>
        <w:numPr>
          <w:ilvl w:val="0"/>
          <w:numId w:val="82"/>
        </w:numPr>
        <w:spacing w:after="0" w:line="240" w:lineRule="auto"/>
        <w:contextualSpacing/>
        <w:jc w:val="both"/>
        <w:rPr>
          <w:rFonts w:ascii="Times New Roman" w:hAnsi="Times New Roman"/>
          <w:sz w:val="28"/>
          <w:szCs w:val="20"/>
          <w:lang w:eastAsia="ru-RU"/>
        </w:rPr>
      </w:pPr>
      <w:r w:rsidRPr="0006094F">
        <w:rPr>
          <w:rFonts w:ascii="Times New Roman" w:hAnsi="Times New Roman"/>
          <w:sz w:val="28"/>
          <w:szCs w:val="20"/>
          <w:lang w:eastAsia="ru-RU"/>
        </w:rPr>
        <w:t>создание запасных летних лагерей для скота и</w:t>
      </w:r>
      <w:r>
        <w:rPr>
          <w:rFonts w:ascii="Times New Roman" w:hAnsi="Times New Roman"/>
          <w:sz w:val="28"/>
          <w:szCs w:val="20"/>
          <w:lang w:eastAsia="ru-RU"/>
        </w:rPr>
        <w:t> </w:t>
      </w:r>
      <w:r w:rsidRPr="0006094F">
        <w:rPr>
          <w:rFonts w:ascii="Times New Roman" w:hAnsi="Times New Roman"/>
          <w:sz w:val="28"/>
          <w:szCs w:val="20"/>
          <w:lang w:eastAsia="ru-RU"/>
        </w:rPr>
        <w:t>мобильных доильных установок;</w:t>
      </w:r>
    </w:p>
    <w:p w:rsidR="002D1E45" w:rsidRPr="0006094F" w:rsidRDefault="002D1E45" w:rsidP="00D05D06">
      <w:pPr>
        <w:numPr>
          <w:ilvl w:val="0"/>
          <w:numId w:val="82"/>
        </w:numPr>
        <w:spacing w:after="0" w:line="240" w:lineRule="auto"/>
        <w:contextualSpacing/>
        <w:jc w:val="both"/>
        <w:rPr>
          <w:rFonts w:ascii="Times New Roman" w:hAnsi="Times New Roman"/>
          <w:sz w:val="28"/>
          <w:szCs w:val="20"/>
          <w:lang w:eastAsia="ru-RU"/>
        </w:rPr>
      </w:pPr>
      <w:r w:rsidRPr="0006094F">
        <w:rPr>
          <w:rFonts w:ascii="Times New Roman" w:hAnsi="Times New Roman"/>
          <w:sz w:val="28"/>
          <w:szCs w:val="20"/>
          <w:lang w:eastAsia="ru-RU"/>
        </w:rPr>
        <w:t>сооружение или ремонт ограждающих дамб, сплошного и</w:t>
      </w:r>
      <w:r>
        <w:rPr>
          <w:rFonts w:ascii="Times New Roman" w:hAnsi="Times New Roman"/>
          <w:sz w:val="28"/>
          <w:szCs w:val="20"/>
          <w:lang w:eastAsia="ru-RU"/>
        </w:rPr>
        <w:t> </w:t>
      </w:r>
      <w:r w:rsidRPr="0006094F">
        <w:rPr>
          <w:rFonts w:ascii="Times New Roman" w:hAnsi="Times New Roman"/>
          <w:sz w:val="28"/>
          <w:szCs w:val="20"/>
          <w:lang w:eastAsia="ru-RU"/>
        </w:rPr>
        <w:t>поучасткового обваловывания;</w:t>
      </w:r>
    </w:p>
    <w:p w:rsidR="002D1E45" w:rsidRPr="0006094F" w:rsidRDefault="002D1E45" w:rsidP="00D05D06">
      <w:pPr>
        <w:numPr>
          <w:ilvl w:val="0"/>
          <w:numId w:val="82"/>
        </w:numPr>
        <w:spacing w:after="0" w:line="240" w:lineRule="auto"/>
        <w:contextualSpacing/>
        <w:jc w:val="both"/>
        <w:rPr>
          <w:rFonts w:ascii="Times New Roman" w:hAnsi="Times New Roman"/>
          <w:sz w:val="28"/>
          <w:szCs w:val="20"/>
          <w:lang w:eastAsia="ru-RU"/>
        </w:rPr>
      </w:pPr>
      <w:r w:rsidRPr="0006094F">
        <w:rPr>
          <w:rFonts w:ascii="Times New Roman" w:hAnsi="Times New Roman"/>
          <w:sz w:val="28"/>
          <w:szCs w:val="20"/>
          <w:lang w:eastAsia="ru-RU"/>
        </w:rPr>
        <w:t>закладка в</w:t>
      </w:r>
      <w:r>
        <w:rPr>
          <w:rFonts w:ascii="Times New Roman" w:hAnsi="Times New Roman"/>
          <w:sz w:val="28"/>
          <w:szCs w:val="20"/>
          <w:lang w:eastAsia="ru-RU"/>
        </w:rPr>
        <w:t> </w:t>
      </w:r>
      <w:r w:rsidRPr="0006094F">
        <w:rPr>
          <w:rFonts w:ascii="Times New Roman" w:hAnsi="Times New Roman"/>
          <w:sz w:val="28"/>
          <w:szCs w:val="20"/>
          <w:lang w:eastAsia="ru-RU"/>
        </w:rPr>
        <w:t>проекты гидроузлов резервных объёмов создаваемых водохранилищ;</w:t>
      </w:r>
    </w:p>
    <w:p w:rsidR="002D1E45" w:rsidRPr="0006094F" w:rsidRDefault="002D1E45" w:rsidP="00D05D06">
      <w:pPr>
        <w:numPr>
          <w:ilvl w:val="0"/>
          <w:numId w:val="82"/>
        </w:numPr>
        <w:spacing w:after="0" w:line="240" w:lineRule="auto"/>
        <w:contextualSpacing/>
        <w:jc w:val="both"/>
        <w:rPr>
          <w:rFonts w:ascii="Times New Roman" w:hAnsi="Times New Roman"/>
          <w:sz w:val="28"/>
          <w:szCs w:val="20"/>
          <w:lang w:eastAsia="ru-RU"/>
        </w:rPr>
      </w:pPr>
      <w:r w:rsidRPr="0006094F">
        <w:rPr>
          <w:rFonts w:ascii="Times New Roman" w:hAnsi="Times New Roman"/>
          <w:sz w:val="28"/>
          <w:szCs w:val="20"/>
          <w:lang w:eastAsia="ru-RU"/>
        </w:rPr>
        <w:t>организация и</w:t>
      </w:r>
      <w:r>
        <w:rPr>
          <w:rFonts w:ascii="Times New Roman" w:hAnsi="Times New Roman"/>
          <w:sz w:val="28"/>
          <w:szCs w:val="20"/>
          <w:lang w:eastAsia="ru-RU"/>
        </w:rPr>
        <w:t> </w:t>
      </w:r>
      <w:r w:rsidRPr="0006094F">
        <w:rPr>
          <w:rFonts w:ascii="Times New Roman" w:hAnsi="Times New Roman"/>
          <w:sz w:val="28"/>
          <w:szCs w:val="20"/>
          <w:lang w:eastAsia="ru-RU"/>
        </w:rPr>
        <w:t>проведение срезки максимума половодья (паводка) за</w:t>
      </w:r>
      <w:r>
        <w:rPr>
          <w:rFonts w:ascii="Times New Roman" w:hAnsi="Times New Roman"/>
          <w:sz w:val="28"/>
          <w:szCs w:val="20"/>
          <w:lang w:eastAsia="ru-RU"/>
        </w:rPr>
        <w:t> </w:t>
      </w:r>
      <w:r w:rsidRPr="0006094F">
        <w:rPr>
          <w:rFonts w:ascii="Times New Roman" w:hAnsi="Times New Roman"/>
          <w:sz w:val="28"/>
          <w:szCs w:val="20"/>
          <w:lang w:eastAsia="ru-RU"/>
        </w:rPr>
        <w:t>счёт частичного сброса воды через напорный гидроузел в</w:t>
      </w:r>
      <w:r>
        <w:rPr>
          <w:rFonts w:ascii="Times New Roman" w:hAnsi="Times New Roman"/>
          <w:sz w:val="28"/>
          <w:szCs w:val="20"/>
          <w:lang w:eastAsia="ru-RU"/>
        </w:rPr>
        <w:t> </w:t>
      </w:r>
      <w:r w:rsidRPr="0006094F">
        <w:rPr>
          <w:rFonts w:ascii="Times New Roman" w:hAnsi="Times New Roman"/>
          <w:sz w:val="28"/>
          <w:szCs w:val="20"/>
          <w:lang w:eastAsia="ru-RU"/>
        </w:rPr>
        <w:t>нижний бьеф и</w:t>
      </w:r>
      <w:r>
        <w:rPr>
          <w:rFonts w:ascii="Times New Roman" w:hAnsi="Times New Roman"/>
          <w:sz w:val="28"/>
          <w:szCs w:val="20"/>
          <w:lang w:eastAsia="ru-RU"/>
        </w:rPr>
        <w:t> </w:t>
      </w:r>
      <w:r w:rsidRPr="0006094F">
        <w:rPr>
          <w:rFonts w:ascii="Times New Roman" w:hAnsi="Times New Roman"/>
          <w:sz w:val="28"/>
          <w:szCs w:val="20"/>
          <w:lang w:eastAsia="ru-RU"/>
        </w:rPr>
        <w:t>одновременного затопления резервной ёмкости водохранилища;</w:t>
      </w:r>
    </w:p>
    <w:p w:rsidR="002D1E45" w:rsidRPr="0006094F" w:rsidRDefault="002D1E45" w:rsidP="00D05D06">
      <w:pPr>
        <w:numPr>
          <w:ilvl w:val="0"/>
          <w:numId w:val="82"/>
        </w:numPr>
        <w:spacing w:after="0" w:line="240" w:lineRule="auto"/>
        <w:contextualSpacing/>
        <w:jc w:val="both"/>
        <w:rPr>
          <w:rFonts w:ascii="Times New Roman" w:hAnsi="Times New Roman"/>
          <w:sz w:val="28"/>
          <w:szCs w:val="20"/>
          <w:lang w:eastAsia="ru-RU"/>
        </w:rPr>
      </w:pPr>
      <w:r w:rsidRPr="0006094F">
        <w:rPr>
          <w:rFonts w:ascii="Times New Roman" w:hAnsi="Times New Roman"/>
          <w:sz w:val="28"/>
          <w:szCs w:val="20"/>
          <w:lang w:eastAsia="ru-RU"/>
        </w:rPr>
        <w:t>проведение, в</w:t>
      </w:r>
      <w:r>
        <w:rPr>
          <w:rFonts w:ascii="Times New Roman" w:hAnsi="Times New Roman"/>
          <w:sz w:val="28"/>
          <w:szCs w:val="20"/>
          <w:lang w:eastAsia="ru-RU"/>
        </w:rPr>
        <w:t> </w:t>
      </w:r>
      <w:r w:rsidRPr="0006094F">
        <w:rPr>
          <w:rFonts w:ascii="Times New Roman" w:hAnsi="Times New Roman"/>
          <w:sz w:val="28"/>
          <w:szCs w:val="20"/>
          <w:lang w:eastAsia="ru-RU"/>
        </w:rPr>
        <w:t>случае необходимости, заблаговременной эвакуации населения, сельскохозяйственных животных, материальных и</w:t>
      </w:r>
      <w:r>
        <w:rPr>
          <w:rFonts w:ascii="Times New Roman" w:hAnsi="Times New Roman"/>
          <w:sz w:val="28"/>
          <w:szCs w:val="20"/>
          <w:lang w:eastAsia="ru-RU"/>
        </w:rPr>
        <w:t> </w:t>
      </w:r>
      <w:r w:rsidRPr="0006094F">
        <w:rPr>
          <w:rFonts w:ascii="Times New Roman" w:hAnsi="Times New Roman"/>
          <w:sz w:val="28"/>
          <w:szCs w:val="20"/>
          <w:lang w:eastAsia="ru-RU"/>
        </w:rPr>
        <w:t>культурных ценностей из</w:t>
      </w:r>
      <w:r>
        <w:rPr>
          <w:rFonts w:ascii="Times New Roman" w:hAnsi="Times New Roman"/>
          <w:sz w:val="28"/>
          <w:szCs w:val="20"/>
          <w:lang w:eastAsia="ru-RU"/>
        </w:rPr>
        <w:t> </w:t>
      </w:r>
      <w:r w:rsidRPr="0006094F">
        <w:rPr>
          <w:rFonts w:ascii="Times New Roman" w:hAnsi="Times New Roman"/>
          <w:sz w:val="28"/>
          <w:szCs w:val="20"/>
          <w:lang w:eastAsia="ru-RU"/>
        </w:rPr>
        <w:t>потенциально затапливаемых зон;</w:t>
      </w:r>
    </w:p>
    <w:p w:rsidR="002D1E45" w:rsidRPr="0006094F" w:rsidRDefault="002D1E45" w:rsidP="00D05D06">
      <w:pPr>
        <w:numPr>
          <w:ilvl w:val="0"/>
          <w:numId w:val="82"/>
        </w:numPr>
        <w:spacing w:after="0" w:line="240" w:lineRule="auto"/>
        <w:contextualSpacing/>
        <w:jc w:val="both"/>
        <w:rPr>
          <w:rFonts w:ascii="Times New Roman" w:hAnsi="Times New Roman"/>
          <w:sz w:val="28"/>
          <w:szCs w:val="20"/>
          <w:lang w:eastAsia="ru-RU"/>
        </w:rPr>
      </w:pPr>
      <w:r w:rsidRPr="0006094F">
        <w:rPr>
          <w:rFonts w:ascii="Times New Roman" w:hAnsi="Times New Roman"/>
          <w:sz w:val="28"/>
          <w:szCs w:val="20"/>
          <w:lang w:eastAsia="ru-RU"/>
        </w:rPr>
        <w:t>оперативное возведение простейших защитных сооружений (дамб) и</w:t>
      </w:r>
      <w:r>
        <w:rPr>
          <w:rFonts w:ascii="Times New Roman" w:hAnsi="Times New Roman"/>
          <w:sz w:val="28"/>
          <w:szCs w:val="20"/>
          <w:lang w:eastAsia="ru-RU"/>
        </w:rPr>
        <w:t> </w:t>
      </w:r>
      <w:r w:rsidRPr="0006094F">
        <w:rPr>
          <w:rFonts w:ascii="Times New Roman" w:hAnsi="Times New Roman"/>
          <w:sz w:val="28"/>
          <w:szCs w:val="20"/>
          <w:lang w:eastAsia="ru-RU"/>
        </w:rPr>
        <w:t>принятие других мер для предохранения от</w:t>
      </w:r>
      <w:r>
        <w:rPr>
          <w:rFonts w:ascii="Times New Roman" w:hAnsi="Times New Roman"/>
          <w:sz w:val="28"/>
          <w:szCs w:val="20"/>
          <w:lang w:eastAsia="ru-RU"/>
        </w:rPr>
        <w:t> </w:t>
      </w:r>
      <w:r w:rsidRPr="0006094F">
        <w:rPr>
          <w:rFonts w:ascii="Times New Roman" w:hAnsi="Times New Roman"/>
          <w:sz w:val="28"/>
          <w:szCs w:val="20"/>
          <w:lang w:eastAsia="ru-RU"/>
        </w:rPr>
        <w:t>затопления незащищённых объектов жизнеобеспечения, потенциально опасных объектов (объектов здравоохранения, энергетики, водоснабжения, теплоснабжения, канализации, очистных, пищевой промышленности, содержащих АХОВ и</w:t>
      </w:r>
      <w:r>
        <w:rPr>
          <w:rFonts w:ascii="Times New Roman" w:hAnsi="Times New Roman"/>
          <w:sz w:val="28"/>
          <w:szCs w:val="20"/>
          <w:lang w:eastAsia="ru-RU"/>
        </w:rPr>
        <w:t> </w:t>
      </w:r>
      <w:r w:rsidRPr="0006094F">
        <w:rPr>
          <w:rFonts w:ascii="Times New Roman" w:hAnsi="Times New Roman"/>
          <w:sz w:val="28"/>
          <w:szCs w:val="20"/>
          <w:lang w:eastAsia="ru-RU"/>
        </w:rPr>
        <w:t>др.), а</w:t>
      </w:r>
      <w:r>
        <w:rPr>
          <w:rFonts w:ascii="Times New Roman" w:hAnsi="Times New Roman"/>
          <w:sz w:val="28"/>
          <w:szCs w:val="20"/>
          <w:lang w:eastAsia="ru-RU"/>
        </w:rPr>
        <w:t> </w:t>
      </w:r>
      <w:r w:rsidRPr="0006094F">
        <w:rPr>
          <w:rFonts w:ascii="Times New Roman" w:hAnsi="Times New Roman"/>
          <w:sz w:val="28"/>
          <w:szCs w:val="20"/>
          <w:lang w:eastAsia="ru-RU"/>
        </w:rPr>
        <w:t>также объектов, имеющих высокую материальную и</w:t>
      </w:r>
      <w:r>
        <w:rPr>
          <w:rFonts w:ascii="Times New Roman" w:hAnsi="Times New Roman"/>
          <w:sz w:val="28"/>
          <w:szCs w:val="20"/>
          <w:lang w:eastAsia="ru-RU"/>
        </w:rPr>
        <w:t> </w:t>
      </w:r>
      <w:r w:rsidRPr="0006094F">
        <w:rPr>
          <w:rFonts w:ascii="Times New Roman" w:hAnsi="Times New Roman"/>
          <w:sz w:val="28"/>
          <w:szCs w:val="20"/>
          <w:lang w:eastAsia="ru-RU"/>
        </w:rPr>
        <w:t>культурную ценность;</w:t>
      </w:r>
    </w:p>
    <w:p w:rsidR="002D1E45" w:rsidRPr="0006094F" w:rsidRDefault="002D1E45" w:rsidP="00D05D06">
      <w:pPr>
        <w:numPr>
          <w:ilvl w:val="0"/>
          <w:numId w:val="82"/>
        </w:numPr>
        <w:spacing w:after="0" w:line="240" w:lineRule="auto"/>
        <w:contextualSpacing/>
        <w:jc w:val="both"/>
        <w:rPr>
          <w:rFonts w:ascii="Times New Roman" w:hAnsi="Times New Roman"/>
          <w:sz w:val="28"/>
          <w:szCs w:val="20"/>
          <w:lang w:eastAsia="ru-RU"/>
        </w:rPr>
      </w:pPr>
      <w:r w:rsidRPr="0006094F">
        <w:rPr>
          <w:rFonts w:ascii="Times New Roman" w:hAnsi="Times New Roman"/>
          <w:sz w:val="28"/>
          <w:szCs w:val="20"/>
          <w:lang w:eastAsia="ru-RU"/>
        </w:rPr>
        <w:t>заблаговременная эвакуация населения, сельскохозяйственных животных, материальных и</w:t>
      </w:r>
      <w:r>
        <w:rPr>
          <w:rFonts w:ascii="Times New Roman" w:hAnsi="Times New Roman"/>
          <w:sz w:val="28"/>
          <w:szCs w:val="20"/>
          <w:lang w:eastAsia="ru-RU"/>
        </w:rPr>
        <w:t> </w:t>
      </w:r>
      <w:r w:rsidRPr="0006094F">
        <w:rPr>
          <w:rFonts w:ascii="Times New Roman" w:hAnsi="Times New Roman"/>
          <w:sz w:val="28"/>
          <w:szCs w:val="20"/>
          <w:lang w:eastAsia="ru-RU"/>
        </w:rPr>
        <w:t>культурных ценностей из</w:t>
      </w:r>
      <w:r>
        <w:rPr>
          <w:rFonts w:ascii="Times New Roman" w:hAnsi="Times New Roman"/>
          <w:sz w:val="28"/>
          <w:szCs w:val="20"/>
          <w:lang w:eastAsia="ru-RU"/>
        </w:rPr>
        <w:t> </w:t>
      </w:r>
      <w:r w:rsidRPr="0006094F">
        <w:rPr>
          <w:rFonts w:ascii="Times New Roman" w:hAnsi="Times New Roman"/>
          <w:sz w:val="28"/>
          <w:szCs w:val="20"/>
          <w:lang w:eastAsia="ru-RU"/>
        </w:rPr>
        <w:t xml:space="preserve">потенциально затапливаемых районов; </w:t>
      </w:r>
    </w:p>
    <w:p w:rsidR="002D1E45" w:rsidRPr="0006094F" w:rsidRDefault="002D1E45" w:rsidP="00D05D06">
      <w:pPr>
        <w:numPr>
          <w:ilvl w:val="0"/>
          <w:numId w:val="82"/>
        </w:numPr>
        <w:spacing w:after="0" w:line="240" w:lineRule="auto"/>
        <w:contextualSpacing/>
        <w:jc w:val="both"/>
        <w:rPr>
          <w:rFonts w:ascii="Times New Roman" w:hAnsi="Times New Roman"/>
          <w:sz w:val="28"/>
          <w:szCs w:val="20"/>
          <w:lang w:eastAsia="ru-RU"/>
        </w:rPr>
      </w:pPr>
      <w:r w:rsidRPr="0006094F">
        <w:rPr>
          <w:rFonts w:ascii="Times New Roman" w:hAnsi="Times New Roman"/>
          <w:sz w:val="28"/>
          <w:szCs w:val="20"/>
          <w:lang w:eastAsia="ru-RU"/>
        </w:rPr>
        <w:t>частичное ограничение или прекращение функционирования предприятий, организаций и</w:t>
      </w:r>
      <w:r>
        <w:rPr>
          <w:rFonts w:ascii="Times New Roman" w:hAnsi="Times New Roman"/>
          <w:sz w:val="28"/>
          <w:szCs w:val="20"/>
          <w:lang w:eastAsia="ru-RU"/>
        </w:rPr>
        <w:t> </w:t>
      </w:r>
      <w:r w:rsidRPr="0006094F">
        <w:rPr>
          <w:rFonts w:ascii="Times New Roman" w:hAnsi="Times New Roman"/>
          <w:sz w:val="28"/>
          <w:szCs w:val="20"/>
          <w:lang w:eastAsia="ru-RU"/>
        </w:rPr>
        <w:t>учреждений, расположенных в</w:t>
      </w:r>
      <w:r>
        <w:rPr>
          <w:rFonts w:ascii="Times New Roman" w:hAnsi="Times New Roman"/>
          <w:sz w:val="28"/>
          <w:szCs w:val="20"/>
          <w:lang w:eastAsia="ru-RU"/>
        </w:rPr>
        <w:t> </w:t>
      </w:r>
      <w:r w:rsidRPr="0006094F">
        <w:rPr>
          <w:rFonts w:ascii="Times New Roman" w:hAnsi="Times New Roman"/>
          <w:sz w:val="28"/>
          <w:szCs w:val="20"/>
          <w:lang w:eastAsia="ru-RU"/>
        </w:rPr>
        <w:t>зонах возможного затопления;</w:t>
      </w:r>
    </w:p>
    <w:p w:rsidR="002D1E45" w:rsidRPr="0006094F" w:rsidRDefault="002D1E45" w:rsidP="00D05D06">
      <w:pPr>
        <w:numPr>
          <w:ilvl w:val="0"/>
          <w:numId w:val="82"/>
        </w:numPr>
        <w:spacing w:after="0" w:line="240" w:lineRule="auto"/>
        <w:contextualSpacing/>
        <w:jc w:val="both"/>
        <w:rPr>
          <w:rFonts w:ascii="Times New Roman" w:hAnsi="Times New Roman"/>
          <w:sz w:val="28"/>
          <w:szCs w:val="20"/>
          <w:lang w:eastAsia="ru-RU"/>
        </w:rPr>
      </w:pPr>
      <w:r w:rsidRPr="0006094F">
        <w:rPr>
          <w:rFonts w:ascii="Times New Roman" w:hAnsi="Times New Roman"/>
          <w:sz w:val="28"/>
          <w:szCs w:val="20"/>
          <w:lang w:eastAsia="ru-RU"/>
        </w:rPr>
        <w:t>санитарная очистка предполагаемых районов затопления;</w:t>
      </w:r>
    </w:p>
    <w:p w:rsidR="002D1E45" w:rsidRPr="0006094F" w:rsidRDefault="002D1E45" w:rsidP="00D05D06">
      <w:pPr>
        <w:numPr>
          <w:ilvl w:val="0"/>
          <w:numId w:val="82"/>
        </w:numPr>
        <w:spacing w:after="0" w:line="240" w:lineRule="auto"/>
        <w:contextualSpacing/>
        <w:jc w:val="both"/>
        <w:rPr>
          <w:rFonts w:ascii="Times New Roman" w:hAnsi="Times New Roman"/>
          <w:sz w:val="28"/>
          <w:szCs w:val="20"/>
          <w:lang w:eastAsia="ru-RU"/>
        </w:rPr>
      </w:pPr>
      <w:r w:rsidRPr="0006094F">
        <w:rPr>
          <w:rFonts w:ascii="Times New Roman" w:hAnsi="Times New Roman"/>
          <w:sz w:val="28"/>
          <w:szCs w:val="20"/>
          <w:lang w:eastAsia="ru-RU"/>
        </w:rPr>
        <w:t>техническая подготовка выявленных заранее плавсредств для использования при аварийно-спасательных и</w:t>
      </w:r>
      <w:r>
        <w:rPr>
          <w:rFonts w:ascii="Times New Roman" w:hAnsi="Times New Roman"/>
          <w:sz w:val="28"/>
          <w:szCs w:val="20"/>
          <w:lang w:eastAsia="ru-RU"/>
        </w:rPr>
        <w:t> </w:t>
      </w:r>
      <w:r w:rsidRPr="0006094F">
        <w:rPr>
          <w:rFonts w:ascii="Times New Roman" w:hAnsi="Times New Roman"/>
          <w:sz w:val="28"/>
          <w:szCs w:val="20"/>
          <w:lang w:eastAsia="ru-RU"/>
        </w:rPr>
        <w:t>других неотложных работах во</w:t>
      </w:r>
      <w:r>
        <w:rPr>
          <w:rFonts w:ascii="Times New Roman" w:hAnsi="Times New Roman"/>
          <w:sz w:val="28"/>
          <w:szCs w:val="20"/>
          <w:lang w:eastAsia="ru-RU"/>
        </w:rPr>
        <w:t> </w:t>
      </w:r>
      <w:r w:rsidRPr="0006094F">
        <w:rPr>
          <w:rFonts w:ascii="Times New Roman" w:hAnsi="Times New Roman"/>
          <w:sz w:val="28"/>
          <w:szCs w:val="20"/>
          <w:lang w:eastAsia="ru-RU"/>
        </w:rPr>
        <w:t>время наводнения;</w:t>
      </w:r>
    </w:p>
    <w:p w:rsidR="002D1E45" w:rsidRPr="0006094F" w:rsidRDefault="002D1E45" w:rsidP="00D05D06">
      <w:pPr>
        <w:numPr>
          <w:ilvl w:val="0"/>
          <w:numId w:val="82"/>
        </w:numPr>
        <w:spacing w:after="0" w:line="240" w:lineRule="auto"/>
        <w:contextualSpacing/>
        <w:jc w:val="both"/>
        <w:rPr>
          <w:rFonts w:ascii="Times New Roman" w:hAnsi="Times New Roman"/>
          <w:sz w:val="28"/>
          <w:szCs w:val="20"/>
          <w:lang w:eastAsia="ru-RU"/>
        </w:rPr>
      </w:pPr>
      <w:r w:rsidRPr="0006094F">
        <w:rPr>
          <w:rFonts w:ascii="Times New Roman" w:hAnsi="Times New Roman"/>
          <w:sz w:val="28"/>
          <w:szCs w:val="20"/>
          <w:lang w:eastAsia="ru-RU"/>
        </w:rPr>
        <w:t>оборудование объездных маршрутов для автотранспорта;</w:t>
      </w:r>
    </w:p>
    <w:p w:rsidR="002D1E45" w:rsidRPr="0006094F" w:rsidRDefault="002D1E45" w:rsidP="00D05D06">
      <w:pPr>
        <w:numPr>
          <w:ilvl w:val="0"/>
          <w:numId w:val="82"/>
        </w:numPr>
        <w:spacing w:after="0" w:line="240" w:lineRule="auto"/>
        <w:contextualSpacing/>
        <w:jc w:val="both"/>
        <w:rPr>
          <w:rFonts w:ascii="Times New Roman" w:hAnsi="Times New Roman"/>
          <w:sz w:val="28"/>
          <w:szCs w:val="20"/>
          <w:lang w:eastAsia="ru-RU"/>
        </w:rPr>
      </w:pPr>
      <w:r w:rsidRPr="0006094F">
        <w:rPr>
          <w:rFonts w:ascii="Times New Roman" w:hAnsi="Times New Roman"/>
          <w:sz w:val="28"/>
          <w:szCs w:val="20"/>
          <w:lang w:eastAsia="ru-RU"/>
        </w:rPr>
        <w:t>очистка дренажных дорожных труб, водостоков;</w:t>
      </w:r>
    </w:p>
    <w:p w:rsidR="002D1E45" w:rsidRPr="0006094F" w:rsidRDefault="002D1E45" w:rsidP="00D05D06">
      <w:pPr>
        <w:numPr>
          <w:ilvl w:val="0"/>
          <w:numId w:val="82"/>
        </w:numPr>
        <w:spacing w:after="0" w:line="240" w:lineRule="auto"/>
        <w:contextualSpacing/>
        <w:jc w:val="both"/>
        <w:rPr>
          <w:rFonts w:ascii="Times New Roman" w:hAnsi="Times New Roman"/>
          <w:sz w:val="28"/>
          <w:szCs w:val="20"/>
          <w:lang w:eastAsia="ru-RU"/>
        </w:rPr>
      </w:pPr>
      <w:r w:rsidRPr="0006094F">
        <w:rPr>
          <w:rFonts w:ascii="Times New Roman" w:hAnsi="Times New Roman"/>
          <w:sz w:val="28"/>
          <w:szCs w:val="20"/>
          <w:lang w:eastAsia="ru-RU"/>
        </w:rPr>
        <w:t>расширенная продажа населению водозащитной одежды и</w:t>
      </w:r>
      <w:r>
        <w:rPr>
          <w:rFonts w:ascii="Times New Roman" w:hAnsi="Times New Roman"/>
          <w:sz w:val="28"/>
          <w:szCs w:val="20"/>
          <w:lang w:eastAsia="ru-RU"/>
        </w:rPr>
        <w:t> </w:t>
      </w:r>
      <w:r w:rsidRPr="0006094F">
        <w:rPr>
          <w:rFonts w:ascii="Times New Roman" w:hAnsi="Times New Roman"/>
          <w:sz w:val="28"/>
          <w:szCs w:val="20"/>
          <w:lang w:eastAsia="ru-RU"/>
        </w:rPr>
        <w:t>обуви и</w:t>
      </w:r>
      <w:r>
        <w:rPr>
          <w:rFonts w:ascii="Times New Roman" w:hAnsi="Times New Roman"/>
          <w:sz w:val="28"/>
          <w:szCs w:val="20"/>
          <w:lang w:eastAsia="ru-RU"/>
        </w:rPr>
        <w:t> </w:t>
      </w:r>
      <w:r w:rsidRPr="0006094F">
        <w:rPr>
          <w:rFonts w:ascii="Times New Roman" w:hAnsi="Times New Roman"/>
          <w:sz w:val="28"/>
          <w:szCs w:val="20"/>
          <w:lang w:eastAsia="ru-RU"/>
        </w:rPr>
        <w:t>др.</w:t>
      </w:r>
    </w:p>
    <w:p w:rsidR="002D1E45" w:rsidRPr="0006094F" w:rsidRDefault="002D1E45" w:rsidP="00C47EAC">
      <w:pPr>
        <w:spacing w:after="0" w:line="240" w:lineRule="auto"/>
        <w:ind w:right="197" w:firstLine="567"/>
        <w:jc w:val="both"/>
        <w:rPr>
          <w:rFonts w:ascii="Times New Roman" w:hAnsi="Times New Roman"/>
          <w:sz w:val="28"/>
          <w:szCs w:val="20"/>
          <w:lang w:eastAsia="ru-RU"/>
        </w:rPr>
      </w:pPr>
      <w:r w:rsidRPr="0006094F">
        <w:rPr>
          <w:rFonts w:ascii="Times New Roman" w:hAnsi="Times New Roman"/>
          <w:sz w:val="28"/>
          <w:szCs w:val="20"/>
          <w:lang w:eastAsia="ru-RU"/>
        </w:rPr>
        <w:t>Подробный перечень основных превентивных пропивопаводковых мероприятий, выполняемых при различных режимах ЧС, представлен в</w:t>
      </w:r>
      <w:r>
        <w:rPr>
          <w:rFonts w:ascii="Times New Roman" w:hAnsi="Times New Roman"/>
          <w:sz w:val="28"/>
          <w:szCs w:val="20"/>
          <w:lang w:eastAsia="ru-RU"/>
        </w:rPr>
        <w:t> </w:t>
      </w:r>
      <w:r w:rsidRPr="0006094F">
        <w:rPr>
          <w:rFonts w:ascii="Times New Roman" w:hAnsi="Times New Roman"/>
          <w:sz w:val="28"/>
          <w:szCs w:val="20"/>
          <w:lang w:eastAsia="ru-RU"/>
        </w:rPr>
        <w:t xml:space="preserve">Приложении (разд. </w:t>
      </w:r>
      <w:r>
        <w:rPr>
          <w:rFonts w:ascii="Times New Roman" w:hAnsi="Times New Roman"/>
          <w:sz w:val="28"/>
          <w:szCs w:val="20"/>
          <w:lang w:eastAsia="ru-RU"/>
        </w:rPr>
        <w:t>10</w:t>
      </w:r>
      <w:r w:rsidRPr="0006094F">
        <w:rPr>
          <w:rFonts w:ascii="Times New Roman" w:hAnsi="Times New Roman"/>
          <w:sz w:val="28"/>
          <w:szCs w:val="20"/>
          <w:lang w:eastAsia="ru-RU"/>
        </w:rPr>
        <w:t>.1).</w:t>
      </w:r>
    </w:p>
    <w:p w:rsidR="002D1E45" w:rsidRPr="0006094F" w:rsidRDefault="002D1E45" w:rsidP="00C47EAC">
      <w:pPr>
        <w:spacing w:after="0" w:line="240" w:lineRule="auto"/>
        <w:ind w:right="197" w:firstLine="567"/>
        <w:jc w:val="both"/>
        <w:rPr>
          <w:rFonts w:ascii="Times New Roman" w:hAnsi="Times New Roman"/>
          <w:sz w:val="28"/>
          <w:szCs w:val="20"/>
          <w:lang w:eastAsia="ru-RU"/>
        </w:rPr>
      </w:pPr>
      <w:r w:rsidRPr="0006094F">
        <w:rPr>
          <w:rFonts w:ascii="Times New Roman" w:hAnsi="Times New Roman"/>
          <w:sz w:val="28"/>
          <w:szCs w:val="20"/>
          <w:lang w:eastAsia="ru-RU"/>
        </w:rPr>
        <w:t>Уменьшению последствий затоплений способствуют посадки лесозащитных полос, распашка земель поперёк склонов (вдоль русел рек), террасирование склонов, создание дренажно-коллекторной сети. В</w:t>
      </w:r>
      <w:r>
        <w:rPr>
          <w:rFonts w:ascii="Times New Roman" w:hAnsi="Times New Roman"/>
          <w:sz w:val="28"/>
          <w:szCs w:val="20"/>
          <w:lang w:eastAsia="ru-RU"/>
        </w:rPr>
        <w:t> </w:t>
      </w:r>
      <w:r w:rsidRPr="0006094F">
        <w:rPr>
          <w:rFonts w:ascii="Times New Roman" w:hAnsi="Times New Roman"/>
          <w:sz w:val="28"/>
          <w:szCs w:val="20"/>
          <w:lang w:eastAsia="ru-RU"/>
        </w:rPr>
        <w:t>результате скоротечных поверхностный сток превращается в</w:t>
      </w:r>
      <w:r>
        <w:rPr>
          <w:rFonts w:ascii="Times New Roman" w:hAnsi="Times New Roman"/>
          <w:sz w:val="28"/>
          <w:szCs w:val="20"/>
          <w:lang w:eastAsia="ru-RU"/>
        </w:rPr>
        <w:t> </w:t>
      </w:r>
      <w:r w:rsidRPr="0006094F">
        <w:rPr>
          <w:rFonts w:ascii="Times New Roman" w:hAnsi="Times New Roman"/>
          <w:sz w:val="28"/>
          <w:szCs w:val="20"/>
          <w:lang w:eastAsia="ru-RU"/>
        </w:rPr>
        <w:t>замедленный подземный. Некоторый эффект даёт строительство малых водоёмов (прудов) на</w:t>
      </w:r>
      <w:r>
        <w:rPr>
          <w:rFonts w:ascii="Times New Roman" w:hAnsi="Times New Roman"/>
          <w:sz w:val="28"/>
          <w:szCs w:val="20"/>
          <w:lang w:eastAsia="ru-RU"/>
        </w:rPr>
        <w:t> </w:t>
      </w:r>
      <w:r w:rsidRPr="0006094F">
        <w:rPr>
          <w:rFonts w:ascii="Times New Roman" w:hAnsi="Times New Roman"/>
          <w:sz w:val="28"/>
          <w:szCs w:val="20"/>
          <w:lang w:eastAsia="ru-RU"/>
        </w:rPr>
        <w:t>малых реках, а</w:t>
      </w:r>
      <w:r>
        <w:rPr>
          <w:rFonts w:ascii="Times New Roman" w:hAnsi="Times New Roman"/>
          <w:sz w:val="28"/>
          <w:szCs w:val="20"/>
          <w:lang w:eastAsia="ru-RU"/>
        </w:rPr>
        <w:t> </w:t>
      </w:r>
      <w:r w:rsidRPr="0006094F">
        <w:rPr>
          <w:rFonts w:ascii="Times New Roman" w:hAnsi="Times New Roman"/>
          <w:sz w:val="28"/>
          <w:szCs w:val="20"/>
          <w:lang w:eastAsia="ru-RU"/>
        </w:rPr>
        <w:t>также запаней, копаней, сифонов и</w:t>
      </w:r>
      <w:r>
        <w:rPr>
          <w:rFonts w:ascii="Times New Roman" w:hAnsi="Times New Roman"/>
          <w:sz w:val="28"/>
          <w:szCs w:val="20"/>
          <w:lang w:eastAsia="ru-RU"/>
        </w:rPr>
        <w:t> </w:t>
      </w:r>
      <w:r w:rsidRPr="0006094F">
        <w:rPr>
          <w:rFonts w:ascii="Times New Roman" w:hAnsi="Times New Roman"/>
          <w:sz w:val="28"/>
          <w:szCs w:val="20"/>
          <w:lang w:eastAsia="ru-RU"/>
        </w:rPr>
        <w:t>других ёмкостей в</w:t>
      </w:r>
      <w:r>
        <w:rPr>
          <w:rFonts w:ascii="Times New Roman" w:hAnsi="Times New Roman"/>
          <w:sz w:val="28"/>
          <w:szCs w:val="20"/>
          <w:lang w:eastAsia="ru-RU"/>
        </w:rPr>
        <w:t> </w:t>
      </w:r>
      <w:r w:rsidRPr="0006094F">
        <w:rPr>
          <w:rFonts w:ascii="Times New Roman" w:hAnsi="Times New Roman"/>
          <w:sz w:val="28"/>
          <w:szCs w:val="20"/>
          <w:lang w:eastAsia="ru-RU"/>
        </w:rPr>
        <w:t>логах, балках и</w:t>
      </w:r>
      <w:r>
        <w:rPr>
          <w:rFonts w:ascii="Times New Roman" w:hAnsi="Times New Roman"/>
          <w:sz w:val="28"/>
          <w:szCs w:val="20"/>
          <w:lang w:eastAsia="ru-RU"/>
        </w:rPr>
        <w:t> </w:t>
      </w:r>
      <w:r w:rsidRPr="0006094F">
        <w:rPr>
          <w:rFonts w:ascii="Times New Roman" w:hAnsi="Times New Roman"/>
          <w:sz w:val="28"/>
          <w:szCs w:val="20"/>
          <w:lang w:eastAsia="ru-RU"/>
        </w:rPr>
        <w:t>оврагах для перехвата талых вод. Широко применяется способ устройства ограждающих дамб. Способ подсыпки застраиваемой территории увеличивает её высоту на 2-3 метра. Наиболее эффективным способом борьбы с</w:t>
      </w:r>
      <w:r>
        <w:rPr>
          <w:rFonts w:ascii="Times New Roman" w:hAnsi="Times New Roman"/>
          <w:sz w:val="28"/>
          <w:szCs w:val="20"/>
          <w:lang w:eastAsia="ru-RU"/>
        </w:rPr>
        <w:t> </w:t>
      </w:r>
      <w:r w:rsidRPr="0006094F">
        <w:rPr>
          <w:rFonts w:ascii="Times New Roman" w:hAnsi="Times New Roman"/>
          <w:sz w:val="28"/>
          <w:szCs w:val="20"/>
          <w:lang w:eastAsia="ru-RU"/>
        </w:rPr>
        <w:t>наводнениями является регулирование стока паводковых вод с</w:t>
      </w:r>
      <w:r>
        <w:rPr>
          <w:rFonts w:ascii="Times New Roman" w:hAnsi="Times New Roman"/>
          <w:sz w:val="28"/>
          <w:szCs w:val="20"/>
          <w:lang w:eastAsia="ru-RU"/>
        </w:rPr>
        <w:t> </w:t>
      </w:r>
      <w:r w:rsidRPr="0006094F">
        <w:rPr>
          <w:rFonts w:ascii="Times New Roman" w:hAnsi="Times New Roman"/>
          <w:sz w:val="28"/>
          <w:szCs w:val="20"/>
          <w:lang w:eastAsia="ru-RU"/>
        </w:rPr>
        <w:t>помощью водохранилищ. При этом задачи борьбы с</w:t>
      </w:r>
      <w:r>
        <w:rPr>
          <w:rFonts w:ascii="Times New Roman" w:hAnsi="Times New Roman"/>
          <w:sz w:val="28"/>
          <w:szCs w:val="20"/>
          <w:lang w:eastAsia="ru-RU"/>
        </w:rPr>
        <w:t> </w:t>
      </w:r>
      <w:r w:rsidRPr="0006094F">
        <w:rPr>
          <w:rFonts w:ascii="Times New Roman" w:hAnsi="Times New Roman"/>
          <w:sz w:val="28"/>
          <w:szCs w:val="20"/>
          <w:lang w:eastAsia="ru-RU"/>
        </w:rPr>
        <w:t>наводнениями решаются в</w:t>
      </w:r>
      <w:r>
        <w:rPr>
          <w:rFonts w:ascii="Times New Roman" w:hAnsi="Times New Roman"/>
          <w:sz w:val="28"/>
          <w:szCs w:val="20"/>
          <w:lang w:eastAsia="ru-RU"/>
        </w:rPr>
        <w:t> </w:t>
      </w:r>
      <w:r w:rsidRPr="0006094F">
        <w:rPr>
          <w:rFonts w:ascii="Times New Roman" w:hAnsi="Times New Roman"/>
          <w:sz w:val="28"/>
          <w:szCs w:val="20"/>
          <w:lang w:eastAsia="ru-RU"/>
        </w:rPr>
        <w:t>комплексе с</w:t>
      </w:r>
      <w:r>
        <w:rPr>
          <w:rFonts w:ascii="Times New Roman" w:hAnsi="Times New Roman"/>
          <w:sz w:val="28"/>
          <w:szCs w:val="20"/>
          <w:lang w:eastAsia="ru-RU"/>
        </w:rPr>
        <w:t> </w:t>
      </w:r>
      <w:r w:rsidRPr="0006094F">
        <w:rPr>
          <w:rFonts w:ascii="Times New Roman" w:hAnsi="Times New Roman"/>
          <w:sz w:val="28"/>
          <w:szCs w:val="20"/>
          <w:lang w:eastAsia="ru-RU"/>
        </w:rPr>
        <w:t>задачами гидроэнергетики, водного транспорта, рыбного хозяйства и</w:t>
      </w:r>
      <w:r>
        <w:rPr>
          <w:rFonts w:ascii="Times New Roman" w:hAnsi="Times New Roman"/>
          <w:sz w:val="28"/>
          <w:szCs w:val="20"/>
          <w:lang w:eastAsia="ru-RU"/>
        </w:rPr>
        <w:t> </w:t>
      </w:r>
      <w:r w:rsidRPr="0006094F">
        <w:rPr>
          <w:rFonts w:ascii="Times New Roman" w:hAnsi="Times New Roman"/>
          <w:sz w:val="28"/>
          <w:szCs w:val="20"/>
          <w:lang w:eastAsia="ru-RU"/>
        </w:rPr>
        <w:t>других отраслей экономики.</w:t>
      </w:r>
    </w:p>
    <w:p w:rsidR="002D1E45" w:rsidRPr="0006094F" w:rsidRDefault="002D1E45" w:rsidP="00C47EAC">
      <w:pPr>
        <w:spacing w:after="0" w:line="240" w:lineRule="auto"/>
        <w:ind w:right="197" w:firstLine="567"/>
        <w:jc w:val="both"/>
        <w:rPr>
          <w:rFonts w:ascii="Times New Roman" w:hAnsi="Times New Roman"/>
          <w:sz w:val="28"/>
          <w:szCs w:val="20"/>
          <w:lang w:eastAsia="ru-RU"/>
        </w:rPr>
      </w:pPr>
      <w:r w:rsidRPr="0006094F">
        <w:rPr>
          <w:rFonts w:ascii="Times New Roman" w:hAnsi="Times New Roman"/>
          <w:sz w:val="28"/>
          <w:szCs w:val="20"/>
          <w:lang w:eastAsia="ru-RU"/>
        </w:rPr>
        <w:t>Накопленный опыт проведения мероприятий по</w:t>
      </w:r>
      <w:r>
        <w:rPr>
          <w:rFonts w:ascii="Times New Roman" w:hAnsi="Times New Roman"/>
          <w:sz w:val="28"/>
          <w:szCs w:val="20"/>
          <w:lang w:eastAsia="ru-RU"/>
        </w:rPr>
        <w:t> </w:t>
      </w:r>
      <w:r w:rsidRPr="0006094F">
        <w:rPr>
          <w:rFonts w:ascii="Times New Roman" w:hAnsi="Times New Roman"/>
          <w:sz w:val="28"/>
          <w:szCs w:val="20"/>
          <w:lang w:eastAsia="ru-RU"/>
        </w:rPr>
        <w:t>уменьшению последствий наводнений свидетельствует, что наименьшие материальные затраты и</w:t>
      </w:r>
      <w:r>
        <w:rPr>
          <w:rFonts w:ascii="Times New Roman" w:hAnsi="Times New Roman"/>
          <w:sz w:val="28"/>
          <w:szCs w:val="20"/>
          <w:lang w:eastAsia="ru-RU"/>
        </w:rPr>
        <w:t> </w:t>
      </w:r>
      <w:r w:rsidRPr="0006094F">
        <w:rPr>
          <w:rFonts w:ascii="Times New Roman" w:hAnsi="Times New Roman"/>
          <w:sz w:val="28"/>
          <w:szCs w:val="20"/>
          <w:lang w:eastAsia="ru-RU"/>
        </w:rPr>
        <w:t>более надёжная защита пойменных территорий от</w:t>
      </w:r>
      <w:r>
        <w:rPr>
          <w:rFonts w:ascii="Times New Roman" w:hAnsi="Times New Roman"/>
          <w:sz w:val="28"/>
          <w:szCs w:val="20"/>
          <w:lang w:eastAsia="ru-RU"/>
        </w:rPr>
        <w:t> </w:t>
      </w:r>
      <w:r w:rsidRPr="0006094F">
        <w:rPr>
          <w:rFonts w:ascii="Times New Roman" w:hAnsi="Times New Roman"/>
          <w:sz w:val="28"/>
          <w:szCs w:val="20"/>
          <w:lang w:eastAsia="ru-RU"/>
        </w:rPr>
        <w:t>затопления достигается лишь при использовании комплексного сочетания активных мер защиты (регулирование водостока и</w:t>
      </w:r>
      <w:r>
        <w:rPr>
          <w:rFonts w:ascii="Times New Roman" w:hAnsi="Times New Roman"/>
          <w:sz w:val="28"/>
          <w:szCs w:val="20"/>
          <w:lang w:eastAsia="ru-RU"/>
        </w:rPr>
        <w:t> </w:t>
      </w:r>
      <w:r w:rsidRPr="0006094F">
        <w:rPr>
          <w:rFonts w:ascii="Times New Roman" w:hAnsi="Times New Roman"/>
          <w:sz w:val="28"/>
          <w:szCs w:val="20"/>
          <w:lang w:eastAsia="ru-RU"/>
        </w:rPr>
        <w:t>др.) с</w:t>
      </w:r>
      <w:r>
        <w:rPr>
          <w:rFonts w:ascii="Times New Roman" w:hAnsi="Times New Roman"/>
          <w:sz w:val="28"/>
          <w:szCs w:val="20"/>
          <w:lang w:eastAsia="ru-RU"/>
        </w:rPr>
        <w:t> </w:t>
      </w:r>
      <w:r w:rsidRPr="0006094F">
        <w:rPr>
          <w:rFonts w:ascii="Times New Roman" w:hAnsi="Times New Roman"/>
          <w:sz w:val="28"/>
          <w:szCs w:val="20"/>
          <w:lang w:eastAsia="ru-RU"/>
        </w:rPr>
        <w:t>пассивными мерами (обвалование, русло углубление и</w:t>
      </w:r>
      <w:r>
        <w:rPr>
          <w:rFonts w:ascii="Times New Roman" w:hAnsi="Times New Roman"/>
          <w:sz w:val="28"/>
          <w:szCs w:val="20"/>
          <w:lang w:eastAsia="ru-RU"/>
        </w:rPr>
        <w:t> </w:t>
      </w:r>
      <w:r w:rsidRPr="0006094F">
        <w:rPr>
          <w:rFonts w:ascii="Times New Roman" w:hAnsi="Times New Roman"/>
          <w:sz w:val="28"/>
          <w:szCs w:val="20"/>
          <w:lang w:eastAsia="ru-RU"/>
        </w:rPr>
        <w:t>т.п.), когда они проводятся оперативно и</w:t>
      </w:r>
      <w:r>
        <w:rPr>
          <w:rFonts w:ascii="Times New Roman" w:hAnsi="Times New Roman"/>
          <w:sz w:val="28"/>
          <w:szCs w:val="20"/>
          <w:lang w:eastAsia="ru-RU"/>
        </w:rPr>
        <w:t> </w:t>
      </w:r>
      <w:r w:rsidRPr="0006094F">
        <w:rPr>
          <w:rFonts w:ascii="Times New Roman" w:hAnsi="Times New Roman"/>
          <w:sz w:val="28"/>
          <w:szCs w:val="20"/>
          <w:lang w:eastAsia="ru-RU"/>
        </w:rPr>
        <w:t>своевременно.</w:t>
      </w:r>
    </w:p>
    <w:p w:rsidR="002D1E45" w:rsidRPr="0006094F" w:rsidRDefault="002D1E45" w:rsidP="00C47EAC">
      <w:pPr>
        <w:spacing w:after="0" w:line="240" w:lineRule="auto"/>
        <w:ind w:firstLine="709"/>
        <w:jc w:val="both"/>
        <w:rPr>
          <w:rFonts w:ascii="Times New Roman" w:hAnsi="Times New Roman"/>
          <w:sz w:val="28"/>
          <w:szCs w:val="28"/>
        </w:rPr>
      </w:pPr>
      <w:r w:rsidRPr="00C21FA4">
        <w:rPr>
          <w:rFonts w:ascii="Times New Roman" w:hAnsi="Times New Roman"/>
          <w:i/>
          <w:sz w:val="28"/>
          <w:szCs w:val="28"/>
          <w:u w:val="single"/>
        </w:rPr>
        <w:t>Сильные морозы,</w:t>
      </w:r>
      <w:r>
        <w:rPr>
          <w:rFonts w:ascii="Times New Roman" w:hAnsi="Times New Roman"/>
          <w:i/>
          <w:sz w:val="28"/>
          <w:szCs w:val="28"/>
          <w:u w:val="single"/>
        </w:rPr>
        <w:t xml:space="preserve"> </w:t>
      </w:r>
      <w:r w:rsidRPr="0006094F">
        <w:rPr>
          <w:rFonts w:ascii="Times New Roman" w:hAnsi="Times New Roman"/>
          <w:i/>
          <w:sz w:val="28"/>
          <w:szCs w:val="28"/>
          <w:u w:val="single"/>
        </w:rPr>
        <w:t>снежные заносы</w:t>
      </w:r>
      <w:r w:rsidRPr="0006094F">
        <w:rPr>
          <w:rFonts w:ascii="Times New Roman" w:hAnsi="Times New Roman"/>
          <w:i/>
          <w:sz w:val="28"/>
          <w:szCs w:val="28"/>
        </w:rPr>
        <w:t xml:space="preserve">. </w:t>
      </w:r>
      <w:r w:rsidRPr="0006094F">
        <w:rPr>
          <w:rFonts w:ascii="Times New Roman" w:hAnsi="Times New Roman"/>
          <w:sz w:val="28"/>
          <w:szCs w:val="28"/>
        </w:rPr>
        <w:t>Зимние температуры воздуха отрицательные и</w:t>
      </w:r>
      <w:r>
        <w:rPr>
          <w:rFonts w:ascii="Times New Roman" w:hAnsi="Times New Roman"/>
          <w:sz w:val="28"/>
          <w:szCs w:val="28"/>
        </w:rPr>
        <w:t> </w:t>
      </w:r>
      <w:r w:rsidRPr="0006094F">
        <w:rPr>
          <w:rFonts w:ascii="Times New Roman" w:hAnsi="Times New Roman"/>
          <w:sz w:val="28"/>
          <w:szCs w:val="28"/>
        </w:rPr>
        <w:t>составляют в</w:t>
      </w:r>
      <w:r>
        <w:rPr>
          <w:rFonts w:ascii="Times New Roman" w:hAnsi="Times New Roman"/>
          <w:sz w:val="28"/>
          <w:szCs w:val="28"/>
        </w:rPr>
        <w:t> </w:t>
      </w:r>
      <w:r w:rsidRPr="0006094F">
        <w:rPr>
          <w:rFonts w:ascii="Times New Roman" w:hAnsi="Times New Roman"/>
          <w:sz w:val="28"/>
          <w:szCs w:val="28"/>
        </w:rPr>
        <w:t xml:space="preserve">январе минус </w:t>
      </w:r>
      <w:r>
        <w:rPr>
          <w:rFonts w:ascii="Times New Roman" w:hAnsi="Times New Roman"/>
          <w:sz w:val="28"/>
          <w:szCs w:val="28"/>
        </w:rPr>
        <w:t>20,7</w:t>
      </w:r>
      <w:r w:rsidRPr="0006094F">
        <w:rPr>
          <w:rFonts w:ascii="Times New Roman" w:hAnsi="Times New Roman"/>
          <w:sz w:val="28"/>
          <w:szCs w:val="28"/>
        </w:rPr>
        <w:t xml:space="preserve"> °С. Самые низкие температуры отмечаются в</w:t>
      </w:r>
      <w:r>
        <w:rPr>
          <w:rFonts w:ascii="Times New Roman" w:hAnsi="Times New Roman"/>
          <w:sz w:val="28"/>
          <w:szCs w:val="28"/>
        </w:rPr>
        <w:t> </w:t>
      </w:r>
      <w:r w:rsidRPr="0006094F">
        <w:rPr>
          <w:rFonts w:ascii="Times New Roman" w:hAnsi="Times New Roman"/>
          <w:sz w:val="28"/>
          <w:szCs w:val="28"/>
        </w:rPr>
        <w:t>декабре, январе и</w:t>
      </w:r>
      <w:r>
        <w:rPr>
          <w:rFonts w:ascii="Times New Roman" w:hAnsi="Times New Roman"/>
          <w:sz w:val="28"/>
          <w:szCs w:val="28"/>
        </w:rPr>
        <w:t> </w:t>
      </w:r>
      <w:r w:rsidRPr="0006094F">
        <w:rPr>
          <w:rFonts w:ascii="Times New Roman" w:hAnsi="Times New Roman"/>
          <w:sz w:val="28"/>
          <w:szCs w:val="28"/>
        </w:rPr>
        <w:t>достигают в</w:t>
      </w:r>
      <w:r>
        <w:rPr>
          <w:rFonts w:ascii="Times New Roman" w:hAnsi="Times New Roman"/>
          <w:sz w:val="28"/>
          <w:szCs w:val="28"/>
        </w:rPr>
        <w:t> </w:t>
      </w:r>
      <w:r w:rsidRPr="0006094F">
        <w:rPr>
          <w:rFonts w:ascii="Times New Roman" w:hAnsi="Times New Roman"/>
          <w:sz w:val="28"/>
          <w:szCs w:val="28"/>
        </w:rPr>
        <w:t>отдельные годы минус 40-</w:t>
      </w:r>
      <w:r>
        <w:rPr>
          <w:rFonts w:ascii="Times New Roman" w:hAnsi="Times New Roman"/>
          <w:sz w:val="28"/>
          <w:szCs w:val="28"/>
        </w:rPr>
        <w:t>45</w:t>
      </w:r>
      <w:r w:rsidRPr="0006094F">
        <w:rPr>
          <w:rFonts w:ascii="Times New Roman" w:hAnsi="Times New Roman"/>
          <w:sz w:val="28"/>
          <w:szCs w:val="28"/>
        </w:rPr>
        <w:t xml:space="preserve"> °С. Низкие температуры могут держаться до 5 дней.</w:t>
      </w:r>
    </w:p>
    <w:p w:rsidR="002D1E45" w:rsidRPr="0006094F" w:rsidRDefault="002D1E45" w:rsidP="00C47EAC">
      <w:pPr>
        <w:spacing w:after="0" w:line="240" w:lineRule="auto"/>
        <w:ind w:firstLine="709"/>
        <w:jc w:val="both"/>
        <w:rPr>
          <w:rFonts w:ascii="Times New Roman" w:hAnsi="Times New Roman"/>
          <w:sz w:val="28"/>
          <w:szCs w:val="28"/>
        </w:rPr>
      </w:pPr>
      <w:r w:rsidRPr="0006094F">
        <w:rPr>
          <w:rFonts w:ascii="Times New Roman" w:hAnsi="Times New Roman"/>
          <w:sz w:val="28"/>
          <w:szCs w:val="28"/>
        </w:rPr>
        <w:t>В результате продолжительных низких температур атмосферного воздуха, возможны нарушения функционирования систем ЖКХ, электроэнергетики, аварийные остановки теплоснабжения, размораживание систем водо- и</w:t>
      </w:r>
      <w:r>
        <w:rPr>
          <w:rFonts w:ascii="Times New Roman" w:hAnsi="Times New Roman"/>
          <w:sz w:val="28"/>
          <w:szCs w:val="28"/>
        </w:rPr>
        <w:t> </w:t>
      </w:r>
      <w:r w:rsidRPr="0006094F">
        <w:rPr>
          <w:rFonts w:ascii="Times New Roman" w:hAnsi="Times New Roman"/>
          <w:sz w:val="28"/>
          <w:szCs w:val="28"/>
        </w:rPr>
        <w:t>теплоснабжения, а</w:t>
      </w:r>
      <w:r>
        <w:rPr>
          <w:rFonts w:ascii="Times New Roman" w:hAnsi="Times New Roman"/>
          <w:sz w:val="28"/>
          <w:szCs w:val="28"/>
        </w:rPr>
        <w:t> </w:t>
      </w:r>
      <w:r w:rsidRPr="0006094F">
        <w:rPr>
          <w:rFonts w:ascii="Times New Roman" w:hAnsi="Times New Roman"/>
          <w:sz w:val="28"/>
          <w:szCs w:val="28"/>
        </w:rPr>
        <w:t>также усугубление обстановки, связанной с</w:t>
      </w:r>
      <w:r>
        <w:rPr>
          <w:rFonts w:ascii="Times New Roman" w:hAnsi="Times New Roman"/>
          <w:sz w:val="28"/>
          <w:szCs w:val="28"/>
        </w:rPr>
        <w:t> </w:t>
      </w:r>
      <w:r w:rsidRPr="0006094F">
        <w:rPr>
          <w:rFonts w:ascii="Times New Roman" w:hAnsi="Times New Roman"/>
          <w:sz w:val="28"/>
          <w:szCs w:val="28"/>
        </w:rPr>
        <w:t>бытовыми пожарами, в</w:t>
      </w:r>
      <w:r>
        <w:rPr>
          <w:rFonts w:ascii="Times New Roman" w:hAnsi="Times New Roman"/>
          <w:sz w:val="28"/>
          <w:szCs w:val="28"/>
        </w:rPr>
        <w:t> </w:t>
      </w:r>
      <w:r w:rsidRPr="0006094F">
        <w:rPr>
          <w:rFonts w:ascii="Times New Roman" w:hAnsi="Times New Roman"/>
          <w:sz w:val="28"/>
          <w:szCs w:val="28"/>
        </w:rPr>
        <w:t>результате большего использования обогревательных приборов. Снежные заносы могут нарушать автомобильное и</w:t>
      </w:r>
      <w:r>
        <w:rPr>
          <w:rFonts w:ascii="Times New Roman" w:hAnsi="Times New Roman"/>
          <w:sz w:val="28"/>
          <w:szCs w:val="28"/>
        </w:rPr>
        <w:t> </w:t>
      </w:r>
      <w:r w:rsidRPr="0006094F">
        <w:rPr>
          <w:rFonts w:ascii="Times New Roman" w:hAnsi="Times New Roman"/>
          <w:sz w:val="28"/>
          <w:szCs w:val="28"/>
        </w:rPr>
        <w:t xml:space="preserve">железнодорожное сообщение, ограничивая нормальное жизнеобеспечение </w:t>
      </w:r>
      <w:r>
        <w:rPr>
          <w:rFonts w:ascii="Times New Roman" w:hAnsi="Times New Roman"/>
          <w:sz w:val="28"/>
          <w:szCs w:val="28"/>
        </w:rPr>
        <w:t>города</w:t>
      </w:r>
      <w:r w:rsidRPr="0006094F">
        <w:rPr>
          <w:rFonts w:ascii="Times New Roman" w:hAnsi="Times New Roman"/>
          <w:sz w:val="28"/>
          <w:szCs w:val="28"/>
        </w:rPr>
        <w:t>.</w:t>
      </w:r>
    </w:p>
    <w:p w:rsidR="002D1E45" w:rsidRDefault="002D1E45" w:rsidP="00C47EAC">
      <w:pPr>
        <w:spacing w:after="0" w:line="240" w:lineRule="auto"/>
        <w:ind w:firstLine="709"/>
        <w:jc w:val="both"/>
        <w:rPr>
          <w:rFonts w:ascii="Times New Roman" w:hAnsi="Times New Roman"/>
          <w:sz w:val="28"/>
          <w:szCs w:val="28"/>
        </w:rPr>
      </w:pPr>
      <w:r w:rsidRPr="00474EC8">
        <w:rPr>
          <w:rFonts w:ascii="Times New Roman" w:hAnsi="Times New Roman"/>
          <w:i/>
          <w:sz w:val="28"/>
          <w:szCs w:val="28"/>
          <w:u w:val="single"/>
        </w:rPr>
        <w:t>Обильные</w:t>
      </w:r>
      <w:r w:rsidRPr="0006094F">
        <w:rPr>
          <w:rFonts w:ascii="Times New Roman" w:hAnsi="Times New Roman"/>
          <w:i/>
          <w:sz w:val="28"/>
          <w:szCs w:val="28"/>
          <w:u w:val="single"/>
        </w:rPr>
        <w:t xml:space="preserve"> атмосферные осадки, обледенения и</w:t>
      </w:r>
      <w:r>
        <w:rPr>
          <w:rFonts w:ascii="Times New Roman" w:hAnsi="Times New Roman"/>
          <w:i/>
          <w:sz w:val="28"/>
          <w:szCs w:val="28"/>
          <w:u w:val="single"/>
        </w:rPr>
        <w:t> </w:t>
      </w:r>
      <w:r w:rsidRPr="0006094F">
        <w:rPr>
          <w:rFonts w:ascii="Times New Roman" w:hAnsi="Times New Roman"/>
          <w:i/>
          <w:sz w:val="28"/>
          <w:szCs w:val="28"/>
          <w:u w:val="single"/>
        </w:rPr>
        <w:t>гололёд</w:t>
      </w:r>
      <w:r w:rsidRPr="0006094F">
        <w:rPr>
          <w:rFonts w:ascii="Times New Roman" w:hAnsi="Times New Roman"/>
          <w:i/>
          <w:sz w:val="28"/>
          <w:szCs w:val="28"/>
        </w:rPr>
        <w:t>.</w:t>
      </w:r>
      <w:r w:rsidRPr="0006094F">
        <w:rPr>
          <w:rFonts w:ascii="Times New Roman" w:hAnsi="Times New Roman"/>
          <w:sz w:val="28"/>
          <w:szCs w:val="28"/>
        </w:rPr>
        <w:t xml:space="preserve"> По</w:t>
      </w:r>
      <w:r>
        <w:rPr>
          <w:rFonts w:ascii="Times New Roman" w:hAnsi="Times New Roman"/>
          <w:sz w:val="28"/>
          <w:szCs w:val="28"/>
        </w:rPr>
        <w:t> </w:t>
      </w:r>
      <w:r w:rsidRPr="0006094F">
        <w:rPr>
          <w:rFonts w:ascii="Times New Roman" w:hAnsi="Times New Roman"/>
          <w:sz w:val="28"/>
          <w:szCs w:val="28"/>
        </w:rPr>
        <w:t>гидролого-климатическому районированию описываемая территория относится к</w:t>
      </w:r>
      <w:r>
        <w:rPr>
          <w:rFonts w:ascii="Times New Roman" w:hAnsi="Times New Roman"/>
          <w:sz w:val="28"/>
          <w:szCs w:val="28"/>
        </w:rPr>
        <w:t> </w:t>
      </w:r>
      <w:r w:rsidRPr="0006094F">
        <w:rPr>
          <w:rFonts w:ascii="Times New Roman" w:hAnsi="Times New Roman"/>
          <w:sz w:val="28"/>
          <w:szCs w:val="28"/>
        </w:rPr>
        <w:t>зоне с</w:t>
      </w:r>
      <w:r>
        <w:rPr>
          <w:rFonts w:ascii="Times New Roman" w:hAnsi="Times New Roman"/>
          <w:sz w:val="28"/>
          <w:szCs w:val="28"/>
        </w:rPr>
        <w:t> </w:t>
      </w:r>
      <w:r w:rsidRPr="0006094F">
        <w:rPr>
          <w:rFonts w:ascii="Times New Roman" w:hAnsi="Times New Roman"/>
          <w:sz w:val="28"/>
          <w:szCs w:val="28"/>
        </w:rPr>
        <w:t xml:space="preserve">избыточным увлажнением. Количество атмосферных осадков – </w:t>
      </w:r>
      <w:r>
        <w:rPr>
          <w:rFonts w:ascii="Times New Roman" w:hAnsi="Times New Roman"/>
          <w:sz w:val="28"/>
          <w:szCs w:val="28"/>
        </w:rPr>
        <w:t xml:space="preserve">365 </w:t>
      </w:r>
      <w:r w:rsidRPr="0006094F">
        <w:rPr>
          <w:rFonts w:ascii="Times New Roman" w:hAnsi="Times New Roman"/>
          <w:sz w:val="28"/>
          <w:szCs w:val="28"/>
        </w:rPr>
        <w:t>мм</w:t>
      </w:r>
      <w:r>
        <w:rPr>
          <w:rFonts w:ascii="Times New Roman" w:hAnsi="Times New Roman"/>
          <w:sz w:val="28"/>
          <w:szCs w:val="28"/>
        </w:rPr>
        <w:t> </w:t>
      </w:r>
      <w:r w:rsidRPr="0006094F">
        <w:rPr>
          <w:rFonts w:ascii="Times New Roman" w:hAnsi="Times New Roman"/>
          <w:sz w:val="28"/>
          <w:szCs w:val="28"/>
        </w:rPr>
        <w:t>в</w:t>
      </w:r>
      <w:r>
        <w:rPr>
          <w:rFonts w:ascii="Times New Roman" w:hAnsi="Times New Roman"/>
          <w:sz w:val="28"/>
          <w:szCs w:val="28"/>
        </w:rPr>
        <w:t> </w:t>
      </w:r>
      <w:r w:rsidRPr="0006094F">
        <w:rPr>
          <w:rFonts w:ascii="Times New Roman" w:hAnsi="Times New Roman"/>
          <w:sz w:val="28"/>
          <w:szCs w:val="28"/>
        </w:rPr>
        <w:t>год. На</w:t>
      </w:r>
      <w:r>
        <w:rPr>
          <w:rFonts w:ascii="Times New Roman" w:hAnsi="Times New Roman"/>
          <w:sz w:val="28"/>
          <w:szCs w:val="28"/>
        </w:rPr>
        <w:t> </w:t>
      </w:r>
      <w:r w:rsidRPr="0006094F">
        <w:rPr>
          <w:rFonts w:ascii="Times New Roman" w:hAnsi="Times New Roman"/>
          <w:sz w:val="28"/>
          <w:szCs w:val="28"/>
        </w:rPr>
        <w:t xml:space="preserve">территории </w:t>
      </w:r>
      <w:r>
        <w:rPr>
          <w:rFonts w:ascii="Times New Roman" w:hAnsi="Times New Roman"/>
          <w:sz w:val="28"/>
          <w:szCs w:val="28"/>
        </w:rPr>
        <w:t>города Куйбышева</w:t>
      </w:r>
      <w:r w:rsidRPr="0006094F">
        <w:rPr>
          <w:rFonts w:ascii="Times New Roman" w:hAnsi="Times New Roman"/>
          <w:sz w:val="28"/>
          <w:szCs w:val="28"/>
        </w:rPr>
        <w:t xml:space="preserve"> возможно выпадение месячной нормы атмосферных осадков (дождей) за</w:t>
      </w:r>
      <w:r>
        <w:rPr>
          <w:rFonts w:ascii="Times New Roman" w:hAnsi="Times New Roman"/>
          <w:sz w:val="28"/>
          <w:szCs w:val="28"/>
        </w:rPr>
        <w:t> </w:t>
      </w:r>
      <w:r w:rsidRPr="0006094F">
        <w:rPr>
          <w:rFonts w:ascii="Times New Roman" w:hAnsi="Times New Roman"/>
          <w:sz w:val="28"/>
          <w:szCs w:val="28"/>
        </w:rPr>
        <w:t>период 3-5 дней, что приводит к</w:t>
      </w:r>
      <w:r>
        <w:rPr>
          <w:rFonts w:ascii="Times New Roman" w:hAnsi="Times New Roman"/>
          <w:sz w:val="28"/>
          <w:szCs w:val="28"/>
        </w:rPr>
        <w:t> </w:t>
      </w:r>
      <w:r w:rsidRPr="0006094F">
        <w:rPr>
          <w:rFonts w:ascii="Times New Roman" w:hAnsi="Times New Roman"/>
          <w:sz w:val="28"/>
          <w:szCs w:val="28"/>
        </w:rPr>
        <w:t>повышению уровня воды в</w:t>
      </w:r>
      <w:r>
        <w:rPr>
          <w:rFonts w:ascii="Times New Roman" w:hAnsi="Times New Roman"/>
          <w:sz w:val="28"/>
          <w:szCs w:val="28"/>
        </w:rPr>
        <w:t> </w:t>
      </w:r>
      <w:r w:rsidRPr="0006094F">
        <w:rPr>
          <w:rFonts w:ascii="Times New Roman" w:hAnsi="Times New Roman"/>
          <w:sz w:val="28"/>
          <w:szCs w:val="28"/>
        </w:rPr>
        <w:t>реках и</w:t>
      </w:r>
      <w:r>
        <w:rPr>
          <w:rFonts w:ascii="Times New Roman" w:hAnsi="Times New Roman"/>
          <w:sz w:val="28"/>
          <w:szCs w:val="28"/>
        </w:rPr>
        <w:t> </w:t>
      </w:r>
      <w:r w:rsidRPr="0006094F">
        <w:rPr>
          <w:rFonts w:ascii="Times New Roman" w:hAnsi="Times New Roman"/>
          <w:sz w:val="28"/>
          <w:szCs w:val="28"/>
        </w:rPr>
        <w:t>подтоплению низменных участков местности. При выпадении атмосферных осадков в</w:t>
      </w:r>
      <w:r>
        <w:rPr>
          <w:rFonts w:ascii="Times New Roman" w:hAnsi="Times New Roman"/>
          <w:sz w:val="28"/>
          <w:szCs w:val="28"/>
        </w:rPr>
        <w:t> </w:t>
      </w:r>
      <w:r w:rsidRPr="0006094F">
        <w:rPr>
          <w:rFonts w:ascii="Times New Roman" w:hAnsi="Times New Roman"/>
          <w:sz w:val="28"/>
          <w:szCs w:val="28"/>
        </w:rPr>
        <w:t>зимнее время года (снега) более 40 см</w:t>
      </w:r>
      <w:r>
        <w:rPr>
          <w:rFonts w:ascii="Times New Roman" w:hAnsi="Times New Roman"/>
          <w:sz w:val="28"/>
          <w:szCs w:val="28"/>
        </w:rPr>
        <w:t> </w:t>
      </w:r>
      <w:r w:rsidRPr="0006094F">
        <w:rPr>
          <w:rFonts w:ascii="Times New Roman" w:hAnsi="Times New Roman"/>
          <w:sz w:val="28"/>
          <w:szCs w:val="28"/>
        </w:rPr>
        <w:t>затрудняется движение по</w:t>
      </w:r>
      <w:r>
        <w:rPr>
          <w:rFonts w:ascii="Times New Roman" w:hAnsi="Times New Roman"/>
          <w:sz w:val="28"/>
          <w:szCs w:val="28"/>
        </w:rPr>
        <w:t> </w:t>
      </w:r>
      <w:r w:rsidRPr="0006094F">
        <w:rPr>
          <w:rFonts w:ascii="Times New Roman" w:hAnsi="Times New Roman"/>
          <w:sz w:val="28"/>
          <w:szCs w:val="28"/>
        </w:rPr>
        <w:t>автомобильным дорогам, происходит и</w:t>
      </w:r>
      <w:r>
        <w:rPr>
          <w:rFonts w:ascii="Times New Roman" w:hAnsi="Times New Roman"/>
          <w:sz w:val="28"/>
          <w:szCs w:val="28"/>
        </w:rPr>
        <w:t>х </w:t>
      </w:r>
      <w:r w:rsidRPr="0006094F">
        <w:rPr>
          <w:rFonts w:ascii="Times New Roman" w:hAnsi="Times New Roman"/>
          <w:sz w:val="28"/>
          <w:szCs w:val="28"/>
        </w:rPr>
        <w:t>временное закрытие.</w:t>
      </w:r>
    </w:p>
    <w:p w:rsidR="002D1E45" w:rsidRPr="0006094F" w:rsidRDefault="002D1E45" w:rsidP="0006094F">
      <w:pPr>
        <w:spacing w:after="0" w:line="240" w:lineRule="auto"/>
        <w:ind w:firstLine="709"/>
        <w:jc w:val="right"/>
        <w:rPr>
          <w:rFonts w:ascii="Times New Roman" w:hAnsi="Times New Roman"/>
          <w:sz w:val="28"/>
          <w:szCs w:val="28"/>
        </w:rPr>
      </w:pPr>
      <w:r w:rsidRPr="0006094F">
        <w:rPr>
          <w:rFonts w:ascii="Times New Roman" w:hAnsi="Times New Roman"/>
          <w:sz w:val="28"/>
          <w:szCs w:val="28"/>
        </w:rPr>
        <w:t xml:space="preserve">Таблица </w:t>
      </w:r>
      <w:r w:rsidRPr="0006094F">
        <w:rPr>
          <w:rFonts w:ascii="Times New Roman" w:hAnsi="Times New Roman"/>
          <w:sz w:val="28"/>
          <w:szCs w:val="28"/>
        </w:rPr>
        <w:fldChar w:fldCharType="begin"/>
      </w:r>
      <w:r w:rsidRPr="0006094F">
        <w:rPr>
          <w:rFonts w:ascii="Times New Roman" w:hAnsi="Times New Roman"/>
          <w:sz w:val="28"/>
          <w:szCs w:val="28"/>
        </w:rPr>
        <w:instrText xml:space="preserve"> SEQ Таблица \* ARABIC </w:instrText>
      </w:r>
      <w:r w:rsidRPr="0006094F">
        <w:rPr>
          <w:rFonts w:ascii="Times New Roman" w:hAnsi="Times New Roman"/>
          <w:sz w:val="28"/>
          <w:szCs w:val="28"/>
        </w:rPr>
        <w:fldChar w:fldCharType="separate"/>
      </w:r>
      <w:r>
        <w:rPr>
          <w:rFonts w:ascii="Times New Roman" w:hAnsi="Times New Roman"/>
          <w:noProof/>
          <w:sz w:val="28"/>
          <w:szCs w:val="28"/>
        </w:rPr>
        <w:t>27</w:t>
      </w:r>
      <w:r w:rsidRPr="0006094F">
        <w:rPr>
          <w:rFonts w:ascii="Times New Roman" w:hAnsi="Times New Roman"/>
          <w:sz w:val="28"/>
          <w:szCs w:val="28"/>
        </w:rPr>
        <w:fldChar w:fldCharType="end"/>
      </w:r>
    </w:p>
    <w:p w:rsidR="002D1E45" w:rsidRPr="0006094F" w:rsidRDefault="002D1E45" w:rsidP="0006094F">
      <w:pPr>
        <w:spacing w:after="120" w:line="240" w:lineRule="auto"/>
        <w:jc w:val="center"/>
        <w:rPr>
          <w:rFonts w:ascii="Times New Roman" w:hAnsi="Times New Roman"/>
          <w:sz w:val="28"/>
          <w:szCs w:val="24"/>
          <w:lang w:eastAsia="ru-RU"/>
        </w:rPr>
      </w:pPr>
      <w:r w:rsidRPr="0006094F">
        <w:rPr>
          <w:rFonts w:ascii="Times New Roman" w:hAnsi="Times New Roman"/>
          <w:sz w:val="28"/>
          <w:szCs w:val="24"/>
          <w:lang w:eastAsia="ru-RU"/>
        </w:rPr>
        <w:t>Оценка защищённости, исходя из</w:t>
      </w:r>
      <w:r>
        <w:rPr>
          <w:rFonts w:ascii="Times New Roman" w:hAnsi="Times New Roman"/>
          <w:sz w:val="28"/>
          <w:szCs w:val="24"/>
          <w:lang w:eastAsia="ru-RU"/>
        </w:rPr>
        <w:t> </w:t>
      </w:r>
      <w:r w:rsidRPr="0006094F">
        <w:rPr>
          <w:rFonts w:ascii="Times New Roman" w:hAnsi="Times New Roman"/>
          <w:sz w:val="28"/>
          <w:szCs w:val="24"/>
          <w:lang w:eastAsia="ru-RU"/>
        </w:rPr>
        <w:t>рисков возникновения ЧС</w:t>
      </w:r>
      <w:r>
        <w:rPr>
          <w:rFonts w:ascii="Times New Roman" w:hAnsi="Times New Roman"/>
          <w:sz w:val="28"/>
          <w:szCs w:val="24"/>
          <w:lang w:eastAsia="ru-RU"/>
        </w:rPr>
        <w:t> </w:t>
      </w:r>
      <w:r w:rsidRPr="0006094F">
        <w:rPr>
          <w:rFonts w:ascii="Times New Roman" w:hAnsi="Times New Roman"/>
          <w:sz w:val="28"/>
          <w:szCs w:val="24"/>
          <w:lang w:eastAsia="ru-RU"/>
        </w:rPr>
        <w:t>природного характера на</w:t>
      </w:r>
      <w:r>
        <w:rPr>
          <w:rFonts w:ascii="Times New Roman" w:hAnsi="Times New Roman"/>
          <w:sz w:val="28"/>
          <w:szCs w:val="24"/>
          <w:lang w:eastAsia="ru-RU"/>
        </w:rPr>
        <w:t> </w:t>
      </w:r>
      <w:r w:rsidRPr="0006094F">
        <w:rPr>
          <w:rFonts w:ascii="Times New Roman" w:hAnsi="Times New Roman"/>
          <w:sz w:val="28"/>
          <w:szCs w:val="24"/>
          <w:lang w:eastAsia="ru-RU"/>
        </w:rPr>
        <w:t xml:space="preserve">территории </w:t>
      </w:r>
      <w:r w:rsidRPr="00C21FA4">
        <w:rPr>
          <w:rFonts w:ascii="Times New Roman" w:hAnsi="Times New Roman"/>
          <w:sz w:val="28"/>
          <w:szCs w:val="28"/>
        </w:rPr>
        <w:t>города Куйбышева</w:t>
      </w: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51"/>
        <w:gridCol w:w="3272"/>
        <w:gridCol w:w="2124"/>
        <w:gridCol w:w="2128"/>
        <w:gridCol w:w="2552"/>
      </w:tblGrid>
      <w:tr w:rsidR="002D1E45" w:rsidRPr="0006094F" w:rsidTr="007A0493">
        <w:trPr>
          <w:trHeight w:val="170"/>
          <w:tblHeader/>
          <w:jc w:val="center"/>
        </w:trPr>
        <w:tc>
          <w:tcPr>
            <w:tcW w:w="551" w:type="dxa"/>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snapToGrid w:val="0"/>
                <w:sz w:val="24"/>
                <w:szCs w:val="24"/>
                <w:lang w:eastAsia="ru-RU"/>
              </w:rPr>
              <w:t>№ п/п</w:t>
            </w:r>
          </w:p>
        </w:tc>
        <w:tc>
          <w:tcPr>
            <w:tcW w:w="3272" w:type="dxa"/>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bCs/>
                <w:color w:val="000000"/>
                <w:kern w:val="24"/>
                <w:sz w:val="24"/>
                <w:szCs w:val="24"/>
                <w:lang w:eastAsia="ru-RU"/>
              </w:rPr>
              <w:t>Наименование риска</w:t>
            </w:r>
          </w:p>
        </w:tc>
        <w:tc>
          <w:tcPr>
            <w:tcW w:w="2124" w:type="dxa"/>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bCs/>
                <w:color w:val="000000"/>
                <w:kern w:val="24"/>
                <w:sz w:val="24"/>
                <w:szCs w:val="24"/>
                <w:lang w:eastAsia="ru-RU"/>
              </w:rPr>
              <w:t>Показатель риска</w:t>
            </w:r>
          </w:p>
        </w:tc>
        <w:tc>
          <w:tcPr>
            <w:tcW w:w="2128" w:type="dxa"/>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bCs/>
                <w:color w:val="000000"/>
                <w:kern w:val="24"/>
                <w:sz w:val="24"/>
                <w:szCs w:val="24"/>
                <w:lang w:eastAsia="ru-RU"/>
              </w:rPr>
              <w:t>Временные показатели риска</w:t>
            </w:r>
          </w:p>
        </w:tc>
        <w:tc>
          <w:tcPr>
            <w:tcW w:w="2552" w:type="dxa"/>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snapToGrid w:val="0"/>
                <w:sz w:val="24"/>
                <w:szCs w:val="24"/>
                <w:lang w:eastAsia="ru-RU"/>
              </w:rPr>
              <w:t>Населённый пункт</w:t>
            </w:r>
          </w:p>
        </w:tc>
      </w:tr>
      <w:tr w:rsidR="002D1E45" w:rsidRPr="0006094F" w:rsidTr="007A0493">
        <w:trPr>
          <w:trHeight w:val="170"/>
          <w:jc w:val="center"/>
        </w:trPr>
        <w:tc>
          <w:tcPr>
            <w:tcW w:w="10627" w:type="dxa"/>
            <w:gridSpan w:val="5"/>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snapToGrid w:val="0"/>
                <w:sz w:val="24"/>
                <w:szCs w:val="24"/>
                <w:lang w:eastAsia="ru-RU"/>
              </w:rPr>
              <w:t xml:space="preserve">Риски возникновения ЧС природного характера </w:t>
            </w:r>
          </w:p>
        </w:tc>
      </w:tr>
      <w:tr w:rsidR="002D1E45" w:rsidRPr="0006094F" w:rsidTr="007A0493">
        <w:trPr>
          <w:trHeight w:val="170"/>
          <w:jc w:val="center"/>
        </w:trPr>
        <w:tc>
          <w:tcPr>
            <w:tcW w:w="551" w:type="dxa"/>
            <w:vAlign w:val="center"/>
          </w:tcPr>
          <w:p w:rsidR="002D1E45" w:rsidRPr="007A0493" w:rsidRDefault="002D1E45" w:rsidP="007A0493">
            <w:pPr>
              <w:numPr>
                <w:ilvl w:val="0"/>
                <w:numId w:val="83"/>
              </w:numPr>
              <w:spacing w:after="0" w:line="240" w:lineRule="auto"/>
              <w:contextualSpacing/>
              <w:jc w:val="center"/>
              <w:rPr>
                <w:snapToGrid w:val="0"/>
                <w:sz w:val="24"/>
                <w:szCs w:val="24"/>
                <w:lang w:eastAsia="ru-RU"/>
              </w:rPr>
            </w:pPr>
          </w:p>
        </w:tc>
        <w:tc>
          <w:tcPr>
            <w:tcW w:w="3272" w:type="dxa"/>
            <w:vAlign w:val="center"/>
          </w:tcPr>
          <w:p w:rsidR="002D1E45" w:rsidRPr="007A0493" w:rsidRDefault="002D1E45" w:rsidP="007A0493">
            <w:pPr>
              <w:spacing w:after="0" w:line="240" w:lineRule="auto"/>
              <w:rPr>
                <w:rFonts w:ascii="Times New Roman" w:hAnsi="Times New Roman"/>
                <w:snapToGrid w:val="0"/>
                <w:sz w:val="24"/>
                <w:szCs w:val="24"/>
                <w:lang w:eastAsia="ru-RU"/>
              </w:rPr>
            </w:pPr>
            <w:r w:rsidRPr="007A0493">
              <w:rPr>
                <w:rFonts w:ascii="Times New Roman" w:hAnsi="Times New Roman"/>
                <w:snapToGrid w:val="0"/>
                <w:sz w:val="24"/>
                <w:szCs w:val="24"/>
                <w:lang w:eastAsia="ru-RU"/>
              </w:rPr>
              <w:t>Риски возникновения геологических опасных явлений</w:t>
            </w:r>
          </w:p>
        </w:tc>
        <w:tc>
          <w:tcPr>
            <w:tcW w:w="4252" w:type="dxa"/>
            <w:gridSpan w:val="2"/>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snapToGrid w:val="0"/>
                <w:sz w:val="24"/>
                <w:szCs w:val="24"/>
                <w:lang w:eastAsia="ru-RU"/>
              </w:rPr>
              <w:t>Риск не характерен</w:t>
            </w:r>
          </w:p>
        </w:tc>
        <w:tc>
          <w:tcPr>
            <w:tcW w:w="2552" w:type="dxa"/>
            <w:vAlign w:val="center"/>
          </w:tcPr>
          <w:p w:rsidR="002D1E45" w:rsidRPr="007A0493" w:rsidRDefault="002D1E45" w:rsidP="007A0493">
            <w:pPr>
              <w:spacing w:after="0" w:line="240" w:lineRule="auto"/>
              <w:jc w:val="center"/>
              <w:rPr>
                <w:rFonts w:ascii="Times New Roman" w:hAnsi="Times New Roman"/>
                <w:sz w:val="24"/>
                <w:szCs w:val="24"/>
                <w:lang w:eastAsia="ru-RU"/>
              </w:rPr>
            </w:pPr>
            <w:r w:rsidRPr="007A0493">
              <w:rPr>
                <w:rFonts w:ascii="Times New Roman" w:hAnsi="Times New Roman"/>
                <w:snapToGrid w:val="0"/>
                <w:sz w:val="24"/>
                <w:szCs w:val="24"/>
                <w:lang w:eastAsia="ru-RU"/>
              </w:rPr>
              <w:t>На всей территории города</w:t>
            </w:r>
          </w:p>
        </w:tc>
      </w:tr>
      <w:tr w:rsidR="002D1E45" w:rsidRPr="0006094F" w:rsidTr="007A0493">
        <w:trPr>
          <w:trHeight w:val="170"/>
          <w:jc w:val="center"/>
        </w:trPr>
        <w:tc>
          <w:tcPr>
            <w:tcW w:w="551" w:type="dxa"/>
            <w:vAlign w:val="center"/>
          </w:tcPr>
          <w:p w:rsidR="002D1E45" w:rsidRPr="007A0493" w:rsidRDefault="002D1E45" w:rsidP="007A0493">
            <w:pPr>
              <w:numPr>
                <w:ilvl w:val="0"/>
                <w:numId w:val="83"/>
              </w:numPr>
              <w:spacing w:after="0" w:line="240" w:lineRule="auto"/>
              <w:contextualSpacing/>
              <w:jc w:val="center"/>
              <w:rPr>
                <w:snapToGrid w:val="0"/>
                <w:sz w:val="24"/>
                <w:szCs w:val="24"/>
                <w:lang w:eastAsia="ru-RU"/>
              </w:rPr>
            </w:pPr>
          </w:p>
        </w:tc>
        <w:tc>
          <w:tcPr>
            <w:tcW w:w="3272" w:type="dxa"/>
            <w:vAlign w:val="center"/>
          </w:tcPr>
          <w:p w:rsidR="002D1E45" w:rsidRPr="007A0493" w:rsidRDefault="002D1E45" w:rsidP="007A0493">
            <w:pPr>
              <w:spacing w:after="0" w:line="240" w:lineRule="auto"/>
              <w:rPr>
                <w:rFonts w:ascii="Times New Roman" w:hAnsi="Times New Roman"/>
                <w:sz w:val="24"/>
                <w:szCs w:val="24"/>
                <w:lang w:eastAsia="ru-RU"/>
              </w:rPr>
            </w:pPr>
            <w:r w:rsidRPr="007A0493">
              <w:rPr>
                <w:rFonts w:ascii="Times New Roman" w:hAnsi="Times New Roman"/>
                <w:snapToGrid w:val="0"/>
                <w:sz w:val="24"/>
                <w:szCs w:val="24"/>
                <w:lang w:eastAsia="ru-RU"/>
              </w:rPr>
              <w:t>Риски возникновения землетрясений</w:t>
            </w:r>
          </w:p>
        </w:tc>
        <w:tc>
          <w:tcPr>
            <w:tcW w:w="4252" w:type="dxa"/>
            <w:gridSpan w:val="2"/>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snapToGrid w:val="0"/>
                <w:sz w:val="24"/>
                <w:szCs w:val="24"/>
                <w:lang w:eastAsia="ru-RU"/>
              </w:rPr>
              <w:t>Риск не характерен</w:t>
            </w:r>
          </w:p>
        </w:tc>
        <w:tc>
          <w:tcPr>
            <w:tcW w:w="2552" w:type="dxa"/>
            <w:vAlign w:val="center"/>
          </w:tcPr>
          <w:p w:rsidR="002D1E45" w:rsidRPr="007A0493" w:rsidRDefault="002D1E45" w:rsidP="007A0493">
            <w:pPr>
              <w:spacing w:after="0" w:line="240" w:lineRule="auto"/>
              <w:jc w:val="center"/>
              <w:rPr>
                <w:rFonts w:ascii="Times New Roman" w:hAnsi="Times New Roman"/>
                <w:sz w:val="24"/>
                <w:szCs w:val="24"/>
                <w:lang w:eastAsia="ru-RU"/>
              </w:rPr>
            </w:pPr>
            <w:r w:rsidRPr="007A0493">
              <w:rPr>
                <w:rFonts w:ascii="Times New Roman" w:hAnsi="Times New Roman"/>
                <w:snapToGrid w:val="0"/>
                <w:sz w:val="24"/>
                <w:szCs w:val="24"/>
                <w:lang w:eastAsia="ru-RU"/>
              </w:rPr>
              <w:t>На всей территории города</w:t>
            </w:r>
          </w:p>
        </w:tc>
      </w:tr>
      <w:tr w:rsidR="002D1E45" w:rsidRPr="0006094F" w:rsidTr="007A0493">
        <w:trPr>
          <w:trHeight w:val="170"/>
          <w:jc w:val="center"/>
        </w:trPr>
        <w:tc>
          <w:tcPr>
            <w:tcW w:w="551" w:type="dxa"/>
            <w:vAlign w:val="center"/>
          </w:tcPr>
          <w:p w:rsidR="002D1E45" w:rsidRPr="007A0493" w:rsidRDefault="002D1E45" w:rsidP="007A0493">
            <w:pPr>
              <w:numPr>
                <w:ilvl w:val="0"/>
                <w:numId w:val="83"/>
              </w:numPr>
              <w:spacing w:after="0" w:line="240" w:lineRule="auto"/>
              <w:contextualSpacing/>
              <w:jc w:val="center"/>
              <w:rPr>
                <w:snapToGrid w:val="0"/>
                <w:sz w:val="24"/>
                <w:szCs w:val="24"/>
                <w:lang w:eastAsia="ru-RU"/>
              </w:rPr>
            </w:pPr>
          </w:p>
        </w:tc>
        <w:tc>
          <w:tcPr>
            <w:tcW w:w="3272" w:type="dxa"/>
            <w:vAlign w:val="center"/>
          </w:tcPr>
          <w:p w:rsidR="002D1E45" w:rsidRPr="007A0493" w:rsidRDefault="002D1E45" w:rsidP="007A0493">
            <w:pPr>
              <w:spacing w:after="0" w:line="240" w:lineRule="auto"/>
              <w:rPr>
                <w:rFonts w:ascii="Times New Roman" w:hAnsi="Times New Roman"/>
                <w:sz w:val="24"/>
                <w:szCs w:val="24"/>
                <w:lang w:eastAsia="ru-RU"/>
              </w:rPr>
            </w:pPr>
            <w:r w:rsidRPr="007A0493">
              <w:rPr>
                <w:rFonts w:ascii="Times New Roman" w:hAnsi="Times New Roman"/>
                <w:snapToGrid w:val="0"/>
                <w:sz w:val="24"/>
                <w:szCs w:val="24"/>
                <w:lang w:eastAsia="ru-RU"/>
              </w:rPr>
              <w:t>Риски возникновения подтоплений (затоплений)</w:t>
            </w:r>
          </w:p>
        </w:tc>
        <w:tc>
          <w:tcPr>
            <w:tcW w:w="2124" w:type="dxa"/>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snapToGrid w:val="0"/>
                <w:sz w:val="24"/>
                <w:szCs w:val="24"/>
                <w:lang w:eastAsia="ru-RU"/>
              </w:rPr>
              <w:t>Приемлемый риск - 10</w:t>
            </w:r>
            <w:r w:rsidRPr="007A0493">
              <w:rPr>
                <w:rFonts w:ascii="Times New Roman" w:hAnsi="Times New Roman"/>
                <w:snapToGrid w:val="0"/>
                <w:sz w:val="24"/>
                <w:szCs w:val="24"/>
                <w:vertAlign w:val="superscript"/>
                <w:lang w:eastAsia="ru-RU"/>
              </w:rPr>
              <w:t>- 4</w:t>
            </w:r>
          </w:p>
        </w:tc>
        <w:tc>
          <w:tcPr>
            <w:tcW w:w="2128" w:type="dxa"/>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snapToGrid w:val="0"/>
                <w:sz w:val="24"/>
                <w:szCs w:val="24"/>
                <w:lang w:eastAsia="ru-RU"/>
              </w:rPr>
              <w:t>май – июль</w:t>
            </w:r>
          </w:p>
        </w:tc>
        <w:tc>
          <w:tcPr>
            <w:tcW w:w="2552" w:type="dxa"/>
            <w:vAlign w:val="center"/>
          </w:tcPr>
          <w:p w:rsidR="002D1E45" w:rsidRPr="007A0493" w:rsidRDefault="002D1E45" w:rsidP="007A0493">
            <w:pPr>
              <w:spacing w:after="0" w:line="240" w:lineRule="auto"/>
              <w:jc w:val="center"/>
              <w:rPr>
                <w:rFonts w:ascii="Times New Roman" w:hAnsi="Times New Roman"/>
                <w:sz w:val="24"/>
                <w:szCs w:val="24"/>
                <w:lang w:eastAsia="ru-RU"/>
              </w:rPr>
            </w:pPr>
            <w:r w:rsidRPr="007A0493">
              <w:rPr>
                <w:rFonts w:ascii="Times New Roman" w:hAnsi="Times New Roman"/>
                <w:snapToGrid w:val="0"/>
                <w:sz w:val="24"/>
                <w:szCs w:val="24"/>
                <w:lang w:eastAsia="ru-RU"/>
              </w:rPr>
              <w:t>На всей территории города</w:t>
            </w:r>
          </w:p>
        </w:tc>
      </w:tr>
      <w:tr w:rsidR="002D1E45" w:rsidRPr="0006094F" w:rsidTr="007A0493">
        <w:trPr>
          <w:trHeight w:val="170"/>
          <w:jc w:val="center"/>
        </w:trPr>
        <w:tc>
          <w:tcPr>
            <w:tcW w:w="551" w:type="dxa"/>
            <w:vAlign w:val="center"/>
          </w:tcPr>
          <w:p w:rsidR="002D1E45" w:rsidRPr="007A0493" w:rsidRDefault="002D1E45" w:rsidP="007A0493">
            <w:pPr>
              <w:numPr>
                <w:ilvl w:val="0"/>
                <w:numId w:val="83"/>
              </w:numPr>
              <w:spacing w:after="0" w:line="240" w:lineRule="auto"/>
              <w:contextualSpacing/>
              <w:jc w:val="center"/>
              <w:rPr>
                <w:snapToGrid w:val="0"/>
                <w:sz w:val="24"/>
                <w:szCs w:val="24"/>
                <w:lang w:eastAsia="ru-RU"/>
              </w:rPr>
            </w:pPr>
          </w:p>
        </w:tc>
        <w:tc>
          <w:tcPr>
            <w:tcW w:w="3272" w:type="dxa"/>
            <w:vAlign w:val="center"/>
          </w:tcPr>
          <w:p w:rsidR="002D1E45" w:rsidRPr="007A0493" w:rsidRDefault="002D1E45" w:rsidP="007A0493">
            <w:pPr>
              <w:spacing w:after="0" w:line="240" w:lineRule="auto"/>
              <w:rPr>
                <w:rFonts w:ascii="Times New Roman" w:hAnsi="Times New Roman"/>
                <w:sz w:val="24"/>
                <w:szCs w:val="24"/>
                <w:lang w:eastAsia="ru-RU"/>
              </w:rPr>
            </w:pPr>
            <w:r w:rsidRPr="007A0493">
              <w:rPr>
                <w:rFonts w:ascii="Times New Roman" w:hAnsi="Times New Roman"/>
                <w:snapToGrid w:val="0"/>
                <w:sz w:val="24"/>
                <w:szCs w:val="24"/>
                <w:lang w:eastAsia="ru-RU"/>
              </w:rPr>
              <w:t>Риски возникновения природных пожаров</w:t>
            </w:r>
          </w:p>
        </w:tc>
        <w:tc>
          <w:tcPr>
            <w:tcW w:w="2124" w:type="dxa"/>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snapToGrid w:val="0"/>
                <w:sz w:val="24"/>
                <w:szCs w:val="24"/>
                <w:lang w:eastAsia="ru-RU"/>
              </w:rPr>
              <w:t>Приемлемый риск - 10</w:t>
            </w:r>
            <w:r w:rsidRPr="007A0493">
              <w:rPr>
                <w:rFonts w:ascii="Times New Roman" w:hAnsi="Times New Roman"/>
                <w:snapToGrid w:val="0"/>
                <w:sz w:val="24"/>
                <w:szCs w:val="24"/>
                <w:vertAlign w:val="superscript"/>
                <w:lang w:eastAsia="ru-RU"/>
              </w:rPr>
              <w:t>- 4</w:t>
            </w:r>
          </w:p>
        </w:tc>
        <w:tc>
          <w:tcPr>
            <w:tcW w:w="2128" w:type="dxa"/>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snapToGrid w:val="0"/>
                <w:sz w:val="24"/>
                <w:szCs w:val="24"/>
                <w:lang w:eastAsia="ru-RU"/>
              </w:rPr>
              <w:t>май – сентябрь</w:t>
            </w:r>
          </w:p>
        </w:tc>
        <w:tc>
          <w:tcPr>
            <w:tcW w:w="2552" w:type="dxa"/>
            <w:vAlign w:val="center"/>
          </w:tcPr>
          <w:p w:rsidR="002D1E45" w:rsidRPr="007A0493" w:rsidRDefault="002D1E45" w:rsidP="007A0493">
            <w:pPr>
              <w:spacing w:after="0" w:line="240" w:lineRule="auto"/>
              <w:jc w:val="center"/>
              <w:rPr>
                <w:rFonts w:ascii="Times New Roman" w:hAnsi="Times New Roman"/>
                <w:sz w:val="24"/>
                <w:szCs w:val="24"/>
                <w:lang w:eastAsia="ru-RU"/>
              </w:rPr>
            </w:pPr>
            <w:r w:rsidRPr="007A0493">
              <w:rPr>
                <w:rFonts w:ascii="Times New Roman" w:hAnsi="Times New Roman"/>
                <w:snapToGrid w:val="0"/>
                <w:sz w:val="24"/>
                <w:szCs w:val="24"/>
                <w:lang w:eastAsia="ru-RU"/>
              </w:rPr>
              <w:t>На всей территории города</w:t>
            </w:r>
          </w:p>
        </w:tc>
      </w:tr>
      <w:tr w:rsidR="002D1E45" w:rsidRPr="0006094F" w:rsidTr="007A0493">
        <w:trPr>
          <w:trHeight w:val="170"/>
          <w:jc w:val="center"/>
        </w:trPr>
        <w:tc>
          <w:tcPr>
            <w:tcW w:w="551" w:type="dxa"/>
            <w:vAlign w:val="center"/>
          </w:tcPr>
          <w:p w:rsidR="002D1E45" w:rsidRPr="007A0493" w:rsidRDefault="002D1E45" w:rsidP="007A0493">
            <w:pPr>
              <w:numPr>
                <w:ilvl w:val="0"/>
                <w:numId w:val="83"/>
              </w:numPr>
              <w:spacing w:after="0" w:line="240" w:lineRule="auto"/>
              <w:contextualSpacing/>
              <w:jc w:val="center"/>
              <w:rPr>
                <w:snapToGrid w:val="0"/>
                <w:sz w:val="24"/>
                <w:szCs w:val="24"/>
                <w:lang w:eastAsia="ru-RU"/>
              </w:rPr>
            </w:pPr>
          </w:p>
        </w:tc>
        <w:tc>
          <w:tcPr>
            <w:tcW w:w="3272" w:type="dxa"/>
            <w:vAlign w:val="center"/>
          </w:tcPr>
          <w:p w:rsidR="002D1E45" w:rsidRPr="007A0493" w:rsidRDefault="002D1E45" w:rsidP="007A0493">
            <w:pPr>
              <w:spacing w:after="0" w:line="240" w:lineRule="auto"/>
              <w:rPr>
                <w:rFonts w:ascii="Times New Roman" w:hAnsi="Times New Roman"/>
                <w:sz w:val="24"/>
                <w:szCs w:val="24"/>
                <w:lang w:eastAsia="ru-RU"/>
              </w:rPr>
            </w:pPr>
            <w:r w:rsidRPr="007A0493">
              <w:rPr>
                <w:rFonts w:ascii="Times New Roman" w:hAnsi="Times New Roman"/>
                <w:snapToGrid w:val="0"/>
                <w:sz w:val="24"/>
                <w:szCs w:val="24"/>
                <w:lang w:eastAsia="ru-RU"/>
              </w:rPr>
              <w:t xml:space="preserve">Риски возникновения засухи </w:t>
            </w:r>
          </w:p>
        </w:tc>
        <w:tc>
          <w:tcPr>
            <w:tcW w:w="2124" w:type="dxa"/>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snapToGrid w:val="0"/>
                <w:sz w:val="24"/>
                <w:szCs w:val="24"/>
                <w:lang w:eastAsia="ru-RU"/>
              </w:rPr>
              <w:t>Приемлемый риск - 10</w:t>
            </w:r>
            <w:r w:rsidRPr="007A0493">
              <w:rPr>
                <w:rFonts w:ascii="Times New Roman" w:hAnsi="Times New Roman"/>
                <w:snapToGrid w:val="0"/>
                <w:sz w:val="24"/>
                <w:szCs w:val="24"/>
                <w:vertAlign w:val="superscript"/>
                <w:lang w:eastAsia="ru-RU"/>
              </w:rPr>
              <w:t>- 4</w:t>
            </w:r>
          </w:p>
        </w:tc>
        <w:tc>
          <w:tcPr>
            <w:tcW w:w="2128" w:type="dxa"/>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snapToGrid w:val="0"/>
                <w:sz w:val="24"/>
                <w:szCs w:val="24"/>
                <w:lang w:eastAsia="ru-RU"/>
              </w:rPr>
              <w:t>июнь – август</w:t>
            </w:r>
          </w:p>
        </w:tc>
        <w:tc>
          <w:tcPr>
            <w:tcW w:w="2552" w:type="dxa"/>
            <w:vAlign w:val="center"/>
          </w:tcPr>
          <w:p w:rsidR="002D1E45" w:rsidRPr="007A0493" w:rsidRDefault="002D1E45" w:rsidP="007A0493">
            <w:pPr>
              <w:spacing w:after="0" w:line="240" w:lineRule="auto"/>
              <w:jc w:val="center"/>
              <w:rPr>
                <w:rFonts w:ascii="Times New Roman" w:hAnsi="Times New Roman"/>
                <w:sz w:val="24"/>
                <w:szCs w:val="24"/>
                <w:lang w:eastAsia="ru-RU"/>
              </w:rPr>
            </w:pPr>
            <w:r w:rsidRPr="007A0493">
              <w:rPr>
                <w:rFonts w:ascii="Times New Roman" w:hAnsi="Times New Roman"/>
                <w:snapToGrid w:val="0"/>
                <w:sz w:val="24"/>
                <w:szCs w:val="24"/>
                <w:lang w:eastAsia="ru-RU"/>
              </w:rPr>
              <w:t>На всей территории города</w:t>
            </w:r>
          </w:p>
        </w:tc>
      </w:tr>
      <w:tr w:rsidR="002D1E45" w:rsidRPr="0006094F" w:rsidTr="007A0493">
        <w:trPr>
          <w:trHeight w:val="170"/>
          <w:jc w:val="center"/>
        </w:trPr>
        <w:tc>
          <w:tcPr>
            <w:tcW w:w="551" w:type="dxa"/>
            <w:vAlign w:val="center"/>
          </w:tcPr>
          <w:p w:rsidR="002D1E45" w:rsidRPr="007A0493" w:rsidRDefault="002D1E45" w:rsidP="007A0493">
            <w:pPr>
              <w:numPr>
                <w:ilvl w:val="0"/>
                <w:numId w:val="83"/>
              </w:numPr>
              <w:spacing w:after="0" w:line="240" w:lineRule="auto"/>
              <w:contextualSpacing/>
              <w:jc w:val="center"/>
              <w:rPr>
                <w:snapToGrid w:val="0"/>
                <w:sz w:val="24"/>
                <w:szCs w:val="24"/>
                <w:lang w:eastAsia="ru-RU"/>
              </w:rPr>
            </w:pPr>
          </w:p>
        </w:tc>
        <w:tc>
          <w:tcPr>
            <w:tcW w:w="3272" w:type="dxa"/>
            <w:vAlign w:val="center"/>
          </w:tcPr>
          <w:p w:rsidR="002D1E45" w:rsidRPr="007A0493" w:rsidRDefault="002D1E45" w:rsidP="007A0493">
            <w:pPr>
              <w:spacing w:after="0" w:line="240" w:lineRule="auto"/>
              <w:rPr>
                <w:rFonts w:ascii="Times New Roman" w:hAnsi="Times New Roman"/>
                <w:sz w:val="24"/>
                <w:szCs w:val="24"/>
                <w:lang w:eastAsia="ru-RU"/>
              </w:rPr>
            </w:pPr>
            <w:r w:rsidRPr="007A0493">
              <w:rPr>
                <w:rFonts w:ascii="Times New Roman" w:hAnsi="Times New Roman"/>
                <w:snapToGrid w:val="0"/>
                <w:sz w:val="24"/>
                <w:szCs w:val="24"/>
                <w:lang w:eastAsia="ru-RU"/>
              </w:rPr>
              <w:t>Риски возникновения опасных метеорологических условий</w:t>
            </w:r>
          </w:p>
        </w:tc>
        <w:tc>
          <w:tcPr>
            <w:tcW w:w="2124" w:type="dxa"/>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snapToGrid w:val="0"/>
                <w:sz w:val="24"/>
                <w:szCs w:val="24"/>
                <w:lang w:eastAsia="ru-RU"/>
              </w:rPr>
              <w:t>Приемлемый риск - 10</w:t>
            </w:r>
            <w:r w:rsidRPr="007A0493">
              <w:rPr>
                <w:rFonts w:ascii="Times New Roman" w:hAnsi="Times New Roman"/>
                <w:snapToGrid w:val="0"/>
                <w:sz w:val="24"/>
                <w:szCs w:val="24"/>
                <w:vertAlign w:val="superscript"/>
                <w:lang w:eastAsia="ru-RU"/>
              </w:rPr>
              <w:t>- 4</w:t>
            </w:r>
          </w:p>
        </w:tc>
        <w:tc>
          <w:tcPr>
            <w:tcW w:w="2128" w:type="dxa"/>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color w:val="000000"/>
                <w:kern w:val="24"/>
                <w:sz w:val="24"/>
                <w:szCs w:val="24"/>
                <w:lang w:eastAsia="ru-RU"/>
              </w:rPr>
              <w:t>январь – декабрь</w:t>
            </w:r>
          </w:p>
        </w:tc>
        <w:tc>
          <w:tcPr>
            <w:tcW w:w="2552" w:type="dxa"/>
            <w:vAlign w:val="center"/>
          </w:tcPr>
          <w:p w:rsidR="002D1E45" w:rsidRPr="007A0493" w:rsidRDefault="002D1E45" w:rsidP="007A0493">
            <w:pPr>
              <w:spacing w:after="0" w:line="240" w:lineRule="auto"/>
              <w:jc w:val="center"/>
              <w:rPr>
                <w:rFonts w:ascii="Times New Roman" w:hAnsi="Times New Roman"/>
                <w:sz w:val="24"/>
                <w:szCs w:val="24"/>
                <w:lang w:eastAsia="ru-RU"/>
              </w:rPr>
            </w:pPr>
            <w:r w:rsidRPr="007A0493">
              <w:rPr>
                <w:rFonts w:ascii="Times New Roman" w:hAnsi="Times New Roman"/>
                <w:snapToGrid w:val="0"/>
                <w:sz w:val="24"/>
                <w:szCs w:val="24"/>
                <w:lang w:eastAsia="ru-RU"/>
              </w:rPr>
              <w:t>На всей территории города</w:t>
            </w:r>
          </w:p>
        </w:tc>
      </w:tr>
    </w:tbl>
    <w:p w:rsidR="002D1E45" w:rsidRPr="00991671" w:rsidRDefault="002D1E45" w:rsidP="00991671">
      <w:pPr>
        <w:spacing w:after="0" w:line="240" w:lineRule="auto"/>
        <w:ind w:firstLine="709"/>
        <w:jc w:val="both"/>
        <w:rPr>
          <w:rFonts w:ascii="Times New Roman" w:hAnsi="Times New Roman"/>
          <w:sz w:val="28"/>
          <w:szCs w:val="28"/>
        </w:rPr>
      </w:pPr>
    </w:p>
    <w:p w:rsidR="002D1E45" w:rsidRPr="007825AC" w:rsidRDefault="002D1E45" w:rsidP="00852938">
      <w:pPr>
        <w:pStyle w:val="Heading3"/>
        <w:numPr>
          <w:ilvl w:val="2"/>
          <w:numId w:val="65"/>
        </w:numPr>
        <w:tabs>
          <w:tab w:val="left" w:pos="1418"/>
        </w:tabs>
        <w:spacing w:before="120"/>
        <w:ind w:left="1418" w:hanging="698"/>
        <w:jc w:val="both"/>
        <w:rPr>
          <w:rFonts w:ascii="Times New Roman" w:hAnsi="Times New Roman"/>
          <w:sz w:val="28"/>
        </w:rPr>
      </w:pPr>
      <w:bookmarkStart w:id="177" w:name="_Toc84936044"/>
      <w:r w:rsidRPr="007825AC">
        <w:rPr>
          <w:rFonts w:ascii="Times New Roman" w:hAnsi="Times New Roman"/>
          <w:sz w:val="28"/>
        </w:rPr>
        <w:t>Перечень источников ЧС</w:t>
      </w:r>
      <w:r>
        <w:rPr>
          <w:rFonts w:ascii="Times New Roman" w:hAnsi="Times New Roman"/>
          <w:sz w:val="28"/>
        </w:rPr>
        <w:t> </w:t>
      </w:r>
      <w:r w:rsidRPr="007825AC">
        <w:rPr>
          <w:rFonts w:ascii="Times New Roman" w:hAnsi="Times New Roman"/>
          <w:sz w:val="28"/>
        </w:rPr>
        <w:t>техногенного характера на</w:t>
      </w:r>
      <w:r>
        <w:rPr>
          <w:rFonts w:ascii="Times New Roman" w:hAnsi="Times New Roman"/>
          <w:sz w:val="28"/>
        </w:rPr>
        <w:t> </w:t>
      </w:r>
      <w:r w:rsidRPr="007825AC">
        <w:rPr>
          <w:rFonts w:ascii="Times New Roman" w:hAnsi="Times New Roman"/>
          <w:sz w:val="28"/>
        </w:rPr>
        <w:t>проектируемой территории, а</w:t>
      </w:r>
      <w:r>
        <w:rPr>
          <w:rFonts w:ascii="Times New Roman" w:hAnsi="Times New Roman"/>
          <w:sz w:val="28"/>
        </w:rPr>
        <w:t> </w:t>
      </w:r>
      <w:r w:rsidRPr="007825AC">
        <w:rPr>
          <w:rFonts w:ascii="Times New Roman" w:hAnsi="Times New Roman"/>
          <w:sz w:val="28"/>
        </w:rPr>
        <w:t>также вблизи указанной территории</w:t>
      </w:r>
      <w:bookmarkEnd w:id="177"/>
    </w:p>
    <w:p w:rsidR="002D1E45" w:rsidRPr="003A7901" w:rsidRDefault="002D1E45" w:rsidP="003A7901">
      <w:pPr>
        <w:spacing w:after="0" w:line="240" w:lineRule="auto"/>
        <w:ind w:firstLine="709"/>
        <w:jc w:val="both"/>
        <w:rPr>
          <w:rFonts w:ascii="Times New Roman" w:hAnsi="Times New Roman"/>
          <w:sz w:val="28"/>
          <w:szCs w:val="28"/>
        </w:rPr>
      </w:pPr>
    </w:p>
    <w:p w:rsidR="002D1E45" w:rsidRPr="001F6325" w:rsidRDefault="002D1E45" w:rsidP="001F6325">
      <w:pPr>
        <w:spacing w:after="0" w:line="240" w:lineRule="auto"/>
        <w:ind w:firstLine="709"/>
        <w:jc w:val="both"/>
        <w:rPr>
          <w:rFonts w:ascii="Times New Roman" w:hAnsi="Times New Roman"/>
          <w:sz w:val="28"/>
          <w:szCs w:val="28"/>
        </w:rPr>
      </w:pPr>
      <w:r w:rsidRPr="001F6325">
        <w:rPr>
          <w:rFonts w:ascii="Times New Roman" w:hAnsi="Times New Roman"/>
          <w:sz w:val="28"/>
          <w:szCs w:val="28"/>
        </w:rPr>
        <w:t>Опасность чрезвычайных ситуаций техногенного характера для населения и</w:t>
      </w:r>
      <w:r>
        <w:rPr>
          <w:rFonts w:ascii="Times New Roman" w:hAnsi="Times New Roman"/>
          <w:sz w:val="28"/>
          <w:szCs w:val="28"/>
        </w:rPr>
        <w:t> </w:t>
      </w:r>
      <w:r w:rsidRPr="001F6325">
        <w:rPr>
          <w:rFonts w:ascii="Times New Roman" w:hAnsi="Times New Roman"/>
          <w:sz w:val="28"/>
          <w:szCs w:val="28"/>
        </w:rPr>
        <w:t xml:space="preserve">территории </w:t>
      </w:r>
      <w:r>
        <w:rPr>
          <w:rFonts w:ascii="Times New Roman" w:hAnsi="Times New Roman"/>
          <w:sz w:val="28"/>
          <w:szCs w:val="28"/>
        </w:rPr>
        <w:t xml:space="preserve">города </w:t>
      </w:r>
      <w:r w:rsidRPr="001F6325">
        <w:rPr>
          <w:rFonts w:ascii="Times New Roman" w:hAnsi="Times New Roman"/>
          <w:sz w:val="28"/>
          <w:szCs w:val="28"/>
        </w:rPr>
        <w:t>может возникнуть в</w:t>
      </w:r>
      <w:r>
        <w:rPr>
          <w:rFonts w:ascii="Times New Roman" w:hAnsi="Times New Roman"/>
          <w:sz w:val="28"/>
          <w:szCs w:val="28"/>
        </w:rPr>
        <w:t> </w:t>
      </w:r>
      <w:r w:rsidRPr="001F6325">
        <w:rPr>
          <w:rFonts w:ascii="Times New Roman" w:hAnsi="Times New Roman"/>
          <w:sz w:val="28"/>
          <w:szCs w:val="28"/>
        </w:rPr>
        <w:t>случае аварии:</w:t>
      </w:r>
    </w:p>
    <w:p w:rsidR="002D1E45" w:rsidRPr="001F6325" w:rsidRDefault="002D1E45" w:rsidP="001F6325">
      <w:pPr>
        <w:numPr>
          <w:ilvl w:val="0"/>
          <w:numId w:val="24"/>
        </w:numPr>
        <w:spacing w:after="0" w:line="240" w:lineRule="auto"/>
        <w:jc w:val="both"/>
        <w:rPr>
          <w:rFonts w:ascii="Times New Roman" w:hAnsi="Times New Roman"/>
          <w:sz w:val="28"/>
          <w:szCs w:val="28"/>
        </w:rPr>
      </w:pPr>
      <w:r w:rsidRPr="001F6325">
        <w:rPr>
          <w:rFonts w:ascii="Times New Roman" w:hAnsi="Times New Roman"/>
          <w:sz w:val="28"/>
          <w:szCs w:val="28"/>
        </w:rPr>
        <w:t>на потенциально опасных объектах, на</w:t>
      </w:r>
      <w:r>
        <w:rPr>
          <w:rFonts w:ascii="Times New Roman" w:hAnsi="Times New Roman"/>
          <w:sz w:val="28"/>
          <w:szCs w:val="28"/>
        </w:rPr>
        <w:t> </w:t>
      </w:r>
      <w:r w:rsidRPr="001F6325">
        <w:rPr>
          <w:rFonts w:ascii="Times New Roman" w:hAnsi="Times New Roman"/>
          <w:sz w:val="28"/>
          <w:szCs w:val="28"/>
        </w:rPr>
        <w:t>которых используются, перерабатываются, хранятся и</w:t>
      </w:r>
      <w:r>
        <w:rPr>
          <w:rFonts w:ascii="Times New Roman" w:hAnsi="Times New Roman"/>
          <w:sz w:val="28"/>
          <w:szCs w:val="28"/>
        </w:rPr>
        <w:t> </w:t>
      </w:r>
      <w:r w:rsidRPr="001F6325">
        <w:rPr>
          <w:rFonts w:ascii="Times New Roman" w:hAnsi="Times New Roman"/>
          <w:sz w:val="28"/>
          <w:szCs w:val="28"/>
        </w:rPr>
        <w:t>транспортируются пожаро- и</w:t>
      </w:r>
      <w:r>
        <w:rPr>
          <w:rFonts w:ascii="Times New Roman" w:hAnsi="Times New Roman"/>
          <w:sz w:val="28"/>
          <w:szCs w:val="28"/>
        </w:rPr>
        <w:t> </w:t>
      </w:r>
      <w:r w:rsidRPr="001F6325">
        <w:rPr>
          <w:rFonts w:ascii="Times New Roman" w:hAnsi="Times New Roman"/>
          <w:sz w:val="28"/>
          <w:szCs w:val="28"/>
        </w:rPr>
        <w:t>взрывоопасные вещества;</w:t>
      </w:r>
    </w:p>
    <w:p w:rsidR="002D1E45" w:rsidRPr="001F6325" w:rsidRDefault="002D1E45" w:rsidP="001F6325">
      <w:pPr>
        <w:numPr>
          <w:ilvl w:val="0"/>
          <w:numId w:val="24"/>
        </w:numPr>
        <w:spacing w:after="0" w:line="240" w:lineRule="auto"/>
        <w:jc w:val="both"/>
        <w:rPr>
          <w:rFonts w:ascii="Times New Roman" w:hAnsi="Times New Roman"/>
          <w:sz w:val="28"/>
          <w:szCs w:val="28"/>
        </w:rPr>
      </w:pPr>
      <w:r w:rsidRPr="001F6325">
        <w:rPr>
          <w:rFonts w:ascii="Times New Roman" w:hAnsi="Times New Roman"/>
          <w:sz w:val="28"/>
          <w:szCs w:val="28"/>
        </w:rPr>
        <w:t>на установках, складах, хранилищах, инженерных сооружениях и</w:t>
      </w:r>
      <w:r>
        <w:rPr>
          <w:rFonts w:ascii="Times New Roman" w:hAnsi="Times New Roman"/>
          <w:sz w:val="28"/>
          <w:szCs w:val="28"/>
        </w:rPr>
        <w:t> </w:t>
      </w:r>
      <w:r w:rsidRPr="001F6325">
        <w:rPr>
          <w:rFonts w:ascii="Times New Roman" w:hAnsi="Times New Roman"/>
          <w:sz w:val="28"/>
          <w:szCs w:val="28"/>
        </w:rPr>
        <w:t>коммуникациях, разрушение (повреждение) которых может привести к</w:t>
      </w:r>
      <w:r>
        <w:rPr>
          <w:rFonts w:ascii="Times New Roman" w:hAnsi="Times New Roman"/>
          <w:sz w:val="28"/>
          <w:szCs w:val="28"/>
        </w:rPr>
        <w:t> </w:t>
      </w:r>
      <w:r w:rsidRPr="001F6325">
        <w:rPr>
          <w:rFonts w:ascii="Times New Roman" w:hAnsi="Times New Roman"/>
          <w:sz w:val="28"/>
          <w:szCs w:val="28"/>
        </w:rPr>
        <w:t>нарушению нормальной жизнедеятельности людей, прекращению обеспечения водой, газом, теплом, электроэнергией, к</w:t>
      </w:r>
      <w:r>
        <w:rPr>
          <w:rFonts w:ascii="Times New Roman" w:hAnsi="Times New Roman"/>
          <w:sz w:val="28"/>
          <w:szCs w:val="28"/>
        </w:rPr>
        <w:t> </w:t>
      </w:r>
      <w:r w:rsidRPr="001F6325">
        <w:rPr>
          <w:rFonts w:ascii="Times New Roman" w:hAnsi="Times New Roman"/>
          <w:sz w:val="28"/>
          <w:szCs w:val="28"/>
        </w:rPr>
        <w:t>затоплению;</w:t>
      </w:r>
    </w:p>
    <w:p w:rsidR="002D1E45" w:rsidRPr="001F6325" w:rsidRDefault="002D1E45" w:rsidP="001F6325">
      <w:pPr>
        <w:numPr>
          <w:ilvl w:val="0"/>
          <w:numId w:val="24"/>
        </w:numPr>
        <w:spacing w:after="0" w:line="240" w:lineRule="auto"/>
        <w:jc w:val="both"/>
        <w:rPr>
          <w:rFonts w:ascii="Times New Roman" w:hAnsi="Times New Roman"/>
          <w:sz w:val="28"/>
          <w:szCs w:val="28"/>
        </w:rPr>
      </w:pPr>
      <w:r w:rsidRPr="001F6325">
        <w:rPr>
          <w:rFonts w:ascii="Times New Roman" w:hAnsi="Times New Roman"/>
          <w:sz w:val="28"/>
          <w:szCs w:val="28"/>
        </w:rPr>
        <w:t>на транспорте: автомобильном, воздушном, водном, трубопроводном.</w:t>
      </w:r>
    </w:p>
    <w:p w:rsidR="002D1E45" w:rsidRPr="00551A6E" w:rsidRDefault="002D1E45" w:rsidP="00551A6E">
      <w:pPr>
        <w:spacing w:after="0" w:line="240" w:lineRule="auto"/>
        <w:ind w:firstLine="709"/>
        <w:jc w:val="both"/>
        <w:rPr>
          <w:rFonts w:ascii="Times New Roman" w:hAnsi="Times New Roman"/>
          <w:sz w:val="28"/>
          <w:szCs w:val="28"/>
        </w:rPr>
      </w:pPr>
      <w:r w:rsidRPr="00551A6E">
        <w:rPr>
          <w:rFonts w:ascii="Times New Roman" w:hAnsi="Times New Roman"/>
          <w:sz w:val="28"/>
          <w:szCs w:val="28"/>
        </w:rPr>
        <w:t xml:space="preserve">На </w:t>
      </w:r>
      <w:r w:rsidRPr="00551A6E">
        <w:rPr>
          <w:rFonts w:ascii="Times New Roman" w:hAnsi="Times New Roman"/>
          <w:sz w:val="28"/>
          <w:szCs w:val="28"/>
          <w:lang w:eastAsia="ru-RU"/>
        </w:rPr>
        <w:t>территории</w:t>
      </w:r>
      <w:r w:rsidRPr="00551A6E">
        <w:rPr>
          <w:rFonts w:ascii="Times New Roman" w:hAnsi="Times New Roman"/>
          <w:sz w:val="28"/>
          <w:szCs w:val="28"/>
        </w:rPr>
        <w:t xml:space="preserve"> города Куйбышева объекты повышенной опасности, относящиеся к пожаровзрывоопасным, отсутствуют.</w:t>
      </w:r>
      <w:r>
        <w:rPr>
          <w:rFonts w:ascii="Times New Roman" w:hAnsi="Times New Roman"/>
          <w:sz w:val="28"/>
          <w:szCs w:val="28"/>
        </w:rPr>
        <w:t xml:space="preserve"> И</w:t>
      </w:r>
      <w:r w:rsidRPr="00551A6E">
        <w:rPr>
          <w:rFonts w:ascii="Times New Roman" w:hAnsi="Times New Roman"/>
          <w:sz w:val="28"/>
          <w:szCs w:val="28"/>
        </w:rPr>
        <w:t xml:space="preserve">меется 1 химически опасный объект </w:t>
      </w:r>
      <w:r>
        <w:rPr>
          <w:rFonts w:ascii="Times New Roman" w:hAnsi="Times New Roman"/>
          <w:sz w:val="28"/>
          <w:szCs w:val="28"/>
        </w:rPr>
        <w:t xml:space="preserve">– </w:t>
      </w:r>
      <w:r w:rsidRPr="00551A6E">
        <w:rPr>
          <w:rFonts w:ascii="Times New Roman" w:hAnsi="Times New Roman"/>
          <w:sz w:val="28"/>
          <w:szCs w:val="28"/>
        </w:rPr>
        <w:t>ФКП</w:t>
      </w:r>
      <w:r>
        <w:rPr>
          <w:rFonts w:ascii="Times New Roman" w:hAnsi="Times New Roman"/>
          <w:sz w:val="28"/>
          <w:szCs w:val="28"/>
        </w:rPr>
        <w:t xml:space="preserve"> </w:t>
      </w:r>
      <w:r w:rsidRPr="00551A6E">
        <w:rPr>
          <w:rFonts w:ascii="Times New Roman" w:hAnsi="Times New Roman"/>
          <w:sz w:val="28"/>
          <w:szCs w:val="28"/>
        </w:rPr>
        <w:t>«Анозит».</w:t>
      </w:r>
    </w:p>
    <w:p w:rsidR="002D1E45" w:rsidRPr="001F6325" w:rsidRDefault="002D1E45" w:rsidP="001F6325">
      <w:pPr>
        <w:spacing w:after="0" w:line="240" w:lineRule="auto"/>
        <w:ind w:firstLine="709"/>
        <w:jc w:val="both"/>
        <w:rPr>
          <w:rFonts w:ascii="Times New Roman" w:hAnsi="Times New Roman"/>
          <w:i/>
          <w:sz w:val="28"/>
          <w:szCs w:val="28"/>
          <w:u w:val="single"/>
        </w:rPr>
      </w:pPr>
    </w:p>
    <w:p w:rsidR="002D1E45" w:rsidRPr="004D071E" w:rsidRDefault="002D1E45" w:rsidP="004D071E">
      <w:pPr>
        <w:spacing w:after="0" w:line="240" w:lineRule="auto"/>
        <w:ind w:firstLine="709"/>
        <w:jc w:val="both"/>
        <w:rPr>
          <w:rFonts w:ascii="Times New Roman" w:hAnsi="Times New Roman"/>
          <w:sz w:val="28"/>
          <w:szCs w:val="28"/>
        </w:rPr>
      </w:pPr>
      <w:r w:rsidRPr="001F6325">
        <w:rPr>
          <w:rFonts w:ascii="Times New Roman" w:hAnsi="Times New Roman"/>
          <w:i/>
          <w:sz w:val="28"/>
          <w:szCs w:val="28"/>
          <w:u w:val="single"/>
        </w:rPr>
        <w:t>Аварии на</w:t>
      </w:r>
      <w:r>
        <w:rPr>
          <w:rFonts w:ascii="Times New Roman" w:hAnsi="Times New Roman"/>
          <w:i/>
          <w:sz w:val="28"/>
          <w:szCs w:val="28"/>
          <w:u w:val="single"/>
        </w:rPr>
        <w:t> </w:t>
      </w:r>
      <w:r w:rsidRPr="001F6325">
        <w:rPr>
          <w:rFonts w:ascii="Times New Roman" w:hAnsi="Times New Roman"/>
          <w:i/>
          <w:sz w:val="28"/>
          <w:szCs w:val="28"/>
          <w:u w:val="single"/>
        </w:rPr>
        <w:t>транспорте</w:t>
      </w:r>
      <w:r w:rsidRPr="001F6325">
        <w:rPr>
          <w:rFonts w:ascii="Times New Roman" w:hAnsi="Times New Roman"/>
          <w:sz w:val="28"/>
          <w:szCs w:val="28"/>
        </w:rPr>
        <w:t xml:space="preserve">. </w:t>
      </w:r>
      <w:r w:rsidRPr="004D071E">
        <w:rPr>
          <w:rFonts w:ascii="Times New Roman" w:hAnsi="Times New Roman"/>
          <w:sz w:val="28"/>
          <w:szCs w:val="28"/>
          <w:lang w:eastAsia="ru-RU"/>
        </w:rPr>
        <w:t xml:space="preserve">Транспорт является источником опасности не только для пассажиров, но и для населения, проживающего в зонах транспортных магистралей, поскольку по ним перевозятся легковоспламеняющиеся, химические, горючие, взрывоопасные и другие вещества. </w:t>
      </w:r>
    </w:p>
    <w:p w:rsidR="002D1E45" w:rsidRPr="001F6325" w:rsidRDefault="002D1E45" w:rsidP="001F6325">
      <w:pPr>
        <w:spacing w:after="0" w:line="240" w:lineRule="auto"/>
        <w:ind w:firstLine="709"/>
        <w:jc w:val="both"/>
        <w:rPr>
          <w:rFonts w:ascii="Times New Roman" w:hAnsi="Times New Roman"/>
          <w:sz w:val="28"/>
          <w:szCs w:val="28"/>
        </w:rPr>
      </w:pPr>
      <w:r w:rsidRPr="001F6325">
        <w:rPr>
          <w:rFonts w:ascii="Times New Roman" w:hAnsi="Times New Roman"/>
          <w:sz w:val="28"/>
          <w:szCs w:val="28"/>
        </w:rPr>
        <w:t>По</w:t>
      </w:r>
      <w:r>
        <w:rPr>
          <w:rFonts w:ascii="Times New Roman" w:hAnsi="Times New Roman"/>
          <w:sz w:val="28"/>
          <w:szCs w:val="28"/>
        </w:rPr>
        <w:t> </w:t>
      </w:r>
      <w:r w:rsidRPr="001F6325">
        <w:rPr>
          <w:rFonts w:ascii="Times New Roman" w:hAnsi="Times New Roman"/>
          <w:sz w:val="28"/>
          <w:szCs w:val="28"/>
        </w:rPr>
        <w:t>состоянию на 01.01.20</w:t>
      </w:r>
      <w:r>
        <w:rPr>
          <w:rFonts w:ascii="Times New Roman" w:hAnsi="Times New Roman"/>
          <w:sz w:val="28"/>
          <w:szCs w:val="28"/>
        </w:rPr>
        <w:t>20, п</w:t>
      </w:r>
      <w:r w:rsidRPr="00433063">
        <w:rPr>
          <w:rFonts w:ascii="Times New Roman" w:hAnsi="Times New Roman"/>
          <w:sz w:val="28"/>
          <w:szCs w:val="28"/>
        </w:rPr>
        <w:t>ротяжённость автомобильных дорог общего пользования, относящихся к собственности поселения, составляет 173,8 км.</w:t>
      </w:r>
    </w:p>
    <w:p w:rsidR="002D1E45" w:rsidRPr="001F6325" w:rsidRDefault="002D1E45" w:rsidP="001F6325">
      <w:pPr>
        <w:spacing w:after="0" w:line="240" w:lineRule="auto"/>
        <w:ind w:firstLine="709"/>
        <w:jc w:val="both"/>
        <w:rPr>
          <w:rFonts w:ascii="Times New Roman" w:hAnsi="Times New Roman"/>
          <w:sz w:val="28"/>
          <w:szCs w:val="28"/>
        </w:rPr>
      </w:pPr>
      <w:r w:rsidRPr="001F6325">
        <w:rPr>
          <w:rFonts w:ascii="Times New Roman" w:hAnsi="Times New Roman"/>
          <w:sz w:val="28"/>
          <w:szCs w:val="28"/>
        </w:rPr>
        <w:t>Основными причинами возникновения аварий на</w:t>
      </w:r>
      <w:r>
        <w:rPr>
          <w:rFonts w:ascii="Times New Roman" w:hAnsi="Times New Roman"/>
          <w:sz w:val="28"/>
          <w:szCs w:val="28"/>
        </w:rPr>
        <w:t> </w:t>
      </w:r>
      <w:r w:rsidRPr="001F6325">
        <w:rPr>
          <w:rFonts w:ascii="Times New Roman" w:hAnsi="Times New Roman"/>
          <w:sz w:val="28"/>
          <w:szCs w:val="28"/>
        </w:rPr>
        <w:t>автомобильном транспорте являются: несоблюдение правил дорожного движения, технические неисправности автотранспортных средств, неудовлетворительное состояние дорожного покрытия, а</w:t>
      </w:r>
      <w:r>
        <w:rPr>
          <w:rFonts w:ascii="Times New Roman" w:hAnsi="Times New Roman"/>
          <w:sz w:val="28"/>
          <w:szCs w:val="28"/>
        </w:rPr>
        <w:t> </w:t>
      </w:r>
      <w:r w:rsidRPr="001F6325">
        <w:rPr>
          <w:rFonts w:ascii="Times New Roman" w:hAnsi="Times New Roman"/>
          <w:sz w:val="28"/>
          <w:szCs w:val="28"/>
        </w:rPr>
        <w:t>также сложные метеоусловия (гололёд, туман, снегопад). Последствиями аварий на</w:t>
      </w:r>
      <w:r>
        <w:rPr>
          <w:rFonts w:ascii="Times New Roman" w:hAnsi="Times New Roman"/>
          <w:sz w:val="28"/>
          <w:szCs w:val="28"/>
        </w:rPr>
        <w:t> </w:t>
      </w:r>
      <w:r w:rsidRPr="001F6325">
        <w:rPr>
          <w:rFonts w:ascii="Times New Roman" w:hAnsi="Times New Roman"/>
          <w:sz w:val="28"/>
          <w:szCs w:val="28"/>
        </w:rPr>
        <w:t>автомобильном транспорте могут быть повреждения автотранспортных средств, получение травм различной степени тяжести, а</w:t>
      </w:r>
      <w:r>
        <w:rPr>
          <w:rFonts w:ascii="Times New Roman" w:hAnsi="Times New Roman"/>
          <w:sz w:val="28"/>
          <w:szCs w:val="28"/>
        </w:rPr>
        <w:t> </w:t>
      </w:r>
      <w:r w:rsidRPr="001F6325">
        <w:rPr>
          <w:rFonts w:ascii="Times New Roman" w:hAnsi="Times New Roman"/>
          <w:sz w:val="28"/>
          <w:szCs w:val="28"/>
        </w:rPr>
        <w:t>также гибель людей.</w:t>
      </w:r>
    </w:p>
    <w:p w:rsidR="002D1E45" w:rsidRPr="004D071E" w:rsidRDefault="002D1E45" w:rsidP="004D071E">
      <w:pPr>
        <w:spacing w:after="0" w:line="240" w:lineRule="auto"/>
        <w:ind w:firstLine="709"/>
        <w:jc w:val="both"/>
        <w:rPr>
          <w:rFonts w:ascii="Times New Roman" w:hAnsi="Times New Roman"/>
          <w:sz w:val="28"/>
          <w:szCs w:val="28"/>
          <w:lang w:eastAsia="ru-RU"/>
        </w:rPr>
      </w:pPr>
      <w:r w:rsidRPr="004D071E">
        <w:rPr>
          <w:rFonts w:ascii="Times New Roman" w:hAnsi="Times New Roman"/>
          <w:sz w:val="28"/>
          <w:szCs w:val="28"/>
          <w:lang w:eastAsia="ru-RU"/>
        </w:rPr>
        <w:t>По автомобильной дороге возможна перевозка ГСМ в автоцистернах – 16300 литров, СУГ в автоцистернах ёмкостью 8, 10, 11, 20 м</w:t>
      </w:r>
      <w:r w:rsidRPr="004D071E">
        <w:rPr>
          <w:rFonts w:ascii="Times New Roman" w:hAnsi="Times New Roman"/>
          <w:sz w:val="28"/>
          <w:szCs w:val="28"/>
          <w:vertAlign w:val="superscript"/>
          <w:lang w:eastAsia="ru-RU"/>
        </w:rPr>
        <w:t>3</w:t>
      </w:r>
      <w:r w:rsidRPr="004D071E">
        <w:rPr>
          <w:rFonts w:ascii="Times New Roman" w:hAnsi="Times New Roman"/>
          <w:sz w:val="28"/>
          <w:szCs w:val="28"/>
          <w:lang w:eastAsia="ru-RU"/>
        </w:rPr>
        <w:t xml:space="preserve"> и другие вещества.</w:t>
      </w:r>
    </w:p>
    <w:p w:rsidR="002D1E45" w:rsidRPr="004D071E" w:rsidRDefault="002D1E45" w:rsidP="004D071E">
      <w:pPr>
        <w:spacing w:after="0" w:line="240" w:lineRule="auto"/>
        <w:ind w:firstLine="709"/>
        <w:jc w:val="both"/>
        <w:rPr>
          <w:rFonts w:ascii="Times New Roman" w:hAnsi="Times New Roman"/>
          <w:sz w:val="28"/>
          <w:szCs w:val="28"/>
          <w:lang w:eastAsia="ru-RU"/>
        </w:rPr>
      </w:pPr>
      <w:r w:rsidRPr="004D071E">
        <w:rPr>
          <w:rFonts w:ascii="Times New Roman" w:hAnsi="Times New Roman"/>
          <w:sz w:val="28"/>
          <w:szCs w:val="28"/>
          <w:lang w:eastAsia="ru-RU"/>
        </w:rPr>
        <w:t>При разливе (выбросе, взрыве) опасных веществ в результате аварии транспортного средства возможно образование зон разрушения (граница зоны средних разрушений при авариях с ГСМ может составить до 63 м, с СУГ может составить до 247 м) и пожаров.</w:t>
      </w:r>
    </w:p>
    <w:p w:rsidR="002D1E45" w:rsidRPr="004D071E" w:rsidRDefault="002D1E45" w:rsidP="004D071E">
      <w:pPr>
        <w:spacing w:after="0" w:line="240" w:lineRule="auto"/>
        <w:ind w:firstLine="709"/>
        <w:jc w:val="both"/>
        <w:rPr>
          <w:rFonts w:ascii="Times New Roman" w:hAnsi="Times New Roman"/>
          <w:sz w:val="28"/>
          <w:szCs w:val="28"/>
          <w:lang w:eastAsia="ru-RU"/>
        </w:rPr>
      </w:pPr>
      <w:r w:rsidRPr="004D071E">
        <w:rPr>
          <w:rFonts w:ascii="Times New Roman" w:hAnsi="Times New Roman"/>
          <w:sz w:val="28"/>
          <w:szCs w:val="28"/>
          <w:lang w:eastAsia="ru-RU"/>
        </w:rPr>
        <w:t>Для рассматриваемого воздействия подготавливаются законы поражения людей. По каждому из типов взрывоопасных объектов готовится информация.</w:t>
      </w:r>
    </w:p>
    <w:p w:rsidR="002D1E45" w:rsidRPr="004D071E" w:rsidRDefault="002D1E45" w:rsidP="004D071E">
      <w:pPr>
        <w:spacing w:after="0" w:line="240" w:lineRule="auto"/>
        <w:ind w:firstLine="709"/>
        <w:jc w:val="both"/>
        <w:rPr>
          <w:rFonts w:ascii="Times New Roman" w:hAnsi="Times New Roman"/>
          <w:sz w:val="28"/>
          <w:szCs w:val="28"/>
          <w:lang w:eastAsia="ru-RU"/>
        </w:rPr>
      </w:pPr>
      <w:r w:rsidRPr="004D071E">
        <w:rPr>
          <w:rFonts w:ascii="Times New Roman" w:hAnsi="Times New Roman"/>
          <w:sz w:val="28"/>
          <w:szCs w:val="28"/>
          <w:lang w:eastAsia="ru-RU"/>
        </w:rPr>
        <w:t xml:space="preserve">Первоочередной задачей защиты населения и рабочего персонала предприятий пожароопасных объектов являются мероприятия по защите от последствий возможных ЧС на пожароопасных объектах: организация системы пожаротушения, а также оповещения соответствующих служб и сигнализации. </w:t>
      </w:r>
    </w:p>
    <w:p w:rsidR="002D1E45" w:rsidRPr="004D071E" w:rsidRDefault="002D1E45" w:rsidP="004D071E">
      <w:pPr>
        <w:spacing w:after="0" w:line="240" w:lineRule="auto"/>
        <w:ind w:firstLine="709"/>
        <w:jc w:val="both"/>
        <w:rPr>
          <w:rFonts w:ascii="Times New Roman" w:hAnsi="Times New Roman"/>
          <w:sz w:val="28"/>
          <w:szCs w:val="28"/>
          <w:lang w:eastAsia="ru-RU"/>
        </w:rPr>
      </w:pPr>
      <w:r w:rsidRPr="004D071E">
        <w:rPr>
          <w:rFonts w:ascii="Times New Roman" w:hAnsi="Times New Roman"/>
          <w:sz w:val="28"/>
          <w:szCs w:val="28"/>
          <w:lang w:eastAsia="ru-RU"/>
        </w:rPr>
        <w:t>Превентивные мероприятия: восстанавливаются и содержатся в исправном состоянии источники противопожарного водоснабжения, в зимнее время расчищаются дороги, подъезды к источникам водоснабжения. В летний период производится выкос травы перед объектами, производится разборка ветхих и заброшенных строений.</w:t>
      </w:r>
    </w:p>
    <w:p w:rsidR="002D1E45" w:rsidRPr="004D071E" w:rsidRDefault="002D1E45" w:rsidP="004D071E">
      <w:pPr>
        <w:spacing w:after="0" w:line="240" w:lineRule="auto"/>
        <w:ind w:firstLine="709"/>
        <w:jc w:val="both"/>
        <w:rPr>
          <w:rFonts w:ascii="Times New Roman" w:hAnsi="Times New Roman"/>
          <w:sz w:val="28"/>
          <w:szCs w:val="28"/>
          <w:lang w:eastAsia="ru-RU"/>
        </w:rPr>
      </w:pPr>
      <w:r w:rsidRPr="004D071E">
        <w:rPr>
          <w:rFonts w:ascii="Times New Roman" w:hAnsi="Times New Roman"/>
          <w:sz w:val="28"/>
          <w:szCs w:val="28"/>
          <w:lang w:eastAsia="ru-RU"/>
        </w:rPr>
        <w:t>Особое внимание уделяется системе предотвращения и ликвидации чрезвычайных ситуаций на предприятиях оборонного комплекса, расположенных на территории города.</w:t>
      </w:r>
    </w:p>
    <w:p w:rsidR="002D1E45" w:rsidRPr="004D071E" w:rsidRDefault="002D1E45" w:rsidP="004D071E">
      <w:pPr>
        <w:spacing w:after="0" w:line="240" w:lineRule="auto"/>
        <w:ind w:firstLine="709"/>
        <w:jc w:val="both"/>
        <w:rPr>
          <w:rFonts w:ascii="Times New Roman" w:hAnsi="Times New Roman"/>
          <w:sz w:val="28"/>
          <w:szCs w:val="28"/>
          <w:lang w:eastAsia="ru-RU"/>
        </w:rPr>
      </w:pPr>
      <w:r w:rsidRPr="004D071E">
        <w:rPr>
          <w:rFonts w:ascii="Times New Roman" w:hAnsi="Times New Roman"/>
          <w:sz w:val="28"/>
          <w:szCs w:val="28"/>
          <w:lang w:eastAsia="ru-RU"/>
        </w:rPr>
        <w:t>В качестве вероятных чрезвычайных ситуаций техногенного характера при авариях на автодороге рассматриваются:</w:t>
      </w:r>
    </w:p>
    <w:p w:rsidR="002D1E45" w:rsidRPr="004D071E" w:rsidRDefault="002D1E45" w:rsidP="00D05D06">
      <w:pPr>
        <w:numPr>
          <w:ilvl w:val="0"/>
          <w:numId w:val="44"/>
        </w:numPr>
        <w:spacing w:after="0" w:line="240" w:lineRule="auto"/>
        <w:jc w:val="both"/>
        <w:rPr>
          <w:rFonts w:ascii="Times New Roman" w:hAnsi="Times New Roman"/>
          <w:sz w:val="28"/>
          <w:szCs w:val="28"/>
          <w:lang w:eastAsia="ru-RU"/>
        </w:rPr>
      </w:pPr>
      <w:r w:rsidRPr="004D071E">
        <w:rPr>
          <w:rFonts w:ascii="Times New Roman" w:hAnsi="Times New Roman"/>
          <w:sz w:val="28"/>
          <w:szCs w:val="28"/>
          <w:lang w:eastAsia="ru-RU"/>
        </w:rPr>
        <w:t>воспламенение (взрыв) паров ЛВЖ (ГЖ) в результате воздействия статического электричества или разгерметизации ёмкости транспортировки;</w:t>
      </w:r>
    </w:p>
    <w:p w:rsidR="002D1E45" w:rsidRPr="004D071E" w:rsidRDefault="002D1E45" w:rsidP="00D05D06">
      <w:pPr>
        <w:numPr>
          <w:ilvl w:val="0"/>
          <w:numId w:val="44"/>
        </w:numPr>
        <w:spacing w:after="0" w:line="240" w:lineRule="auto"/>
        <w:jc w:val="both"/>
        <w:rPr>
          <w:rFonts w:ascii="Times New Roman" w:hAnsi="Times New Roman"/>
          <w:sz w:val="28"/>
          <w:szCs w:val="28"/>
          <w:lang w:eastAsia="ru-RU"/>
        </w:rPr>
      </w:pPr>
      <w:r w:rsidRPr="004D071E">
        <w:rPr>
          <w:rFonts w:ascii="Times New Roman" w:hAnsi="Times New Roman"/>
          <w:sz w:val="28"/>
          <w:szCs w:val="28"/>
          <w:lang w:eastAsia="ru-RU"/>
        </w:rPr>
        <w:t>горение пролива ЛВЖ (ГЖ) при разгерметизации ёмкости транспортировки.</w:t>
      </w:r>
    </w:p>
    <w:p w:rsidR="002D1E45" w:rsidRPr="004D071E" w:rsidRDefault="002D1E45" w:rsidP="004D071E">
      <w:pPr>
        <w:spacing w:after="0" w:line="240" w:lineRule="auto"/>
        <w:ind w:firstLine="709"/>
        <w:jc w:val="both"/>
        <w:rPr>
          <w:rFonts w:ascii="Times New Roman" w:hAnsi="Times New Roman"/>
          <w:sz w:val="28"/>
          <w:szCs w:val="24"/>
          <w:lang w:eastAsia="ru-RU"/>
        </w:rPr>
      </w:pPr>
      <w:r w:rsidRPr="004D071E">
        <w:rPr>
          <w:rFonts w:ascii="Times New Roman" w:hAnsi="Times New Roman"/>
          <w:sz w:val="28"/>
          <w:szCs w:val="24"/>
          <w:lang w:eastAsia="ru-RU"/>
        </w:rPr>
        <w:t xml:space="preserve">Сценарий 1 (С1) – горение пролива: разгерметизация ёмкости транспортировки </w:t>
      </w:r>
      <w:r w:rsidRPr="004D071E">
        <w:rPr>
          <w:rFonts w:ascii="Times New Roman" w:hAnsi="Times New Roman"/>
          <w:sz w:val="28"/>
          <w:szCs w:val="28"/>
          <w:lang w:eastAsia="ru-RU"/>
        </w:rPr>
        <w:sym w:font="Symbol" w:char="F0AE"/>
      </w:r>
      <w:r w:rsidRPr="004D071E">
        <w:rPr>
          <w:rFonts w:ascii="Times New Roman" w:hAnsi="Times New Roman"/>
          <w:sz w:val="28"/>
          <w:szCs w:val="24"/>
          <w:lang w:eastAsia="ru-RU"/>
        </w:rPr>
        <w:t xml:space="preserve"> выброс ЛВЖ (ГЖ) или СУГ </w:t>
      </w:r>
      <w:r w:rsidRPr="004D071E">
        <w:rPr>
          <w:rFonts w:ascii="Times New Roman" w:hAnsi="Times New Roman"/>
          <w:sz w:val="28"/>
          <w:szCs w:val="28"/>
          <w:lang w:eastAsia="ru-RU"/>
        </w:rPr>
        <w:sym w:font="Symbol" w:char="F0AE"/>
      </w:r>
      <w:r w:rsidRPr="004D071E">
        <w:rPr>
          <w:rFonts w:ascii="Times New Roman" w:hAnsi="Times New Roman"/>
          <w:sz w:val="28"/>
          <w:szCs w:val="24"/>
          <w:lang w:eastAsia="ru-RU"/>
        </w:rPr>
        <w:t xml:space="preserve"> возгорание пролива при наличии источника инициирования </w:t>
      </w:r>
      <w:r w:rsidRPr="004D071E">
        <w:rPr>
          <w:rFonts w:ascii="Times New Roman" w:hAnsi="Times New Roman"/>
          <w:sz w:val="28"/>
          <w:szCs w:val="28"/>
          <w:lang w:eastAsia="ru-RU"/>
        </w:rPr>
        <w:sym w:font="Symbol" w:char="F0AE"/>
      </w:r>
      <w:r w:rsidRPr="004D071E">
        <w:rPr>
          <w:rFonts w:ascii="Times New Roman" w:hAnsi="Times New Roman"/>
          <w:sz w:val="28"/>
          <w:szCs w:val="24"/>
          <w:lang w:eastAsia="ru-RU"/>
        </w:rPr>
        <w:t xml:space="preserve"> горение пролива </w:t>
      </w:r>
      <w:r w:rsidRPr="004D071E">
        <w:rPr>
          <w:rFonts w:ascii="Times New Roman" w:hAnsi="Times New Roman"/>
          <w:sz w:val="28"/>
          <w:szCs w:val="28"/>
          <w:lang w:eastAsia="ru-RU"/>
        </w:rPr>
        <w:sym w:font="Symbol" w:char="F0AE"/>
      </w:r>
      <w:r w:rsidRPr="004D071E">
        <w:rPr>
          <w:rFonts w:ascii="Times New Roman" w:hAnsi="Times New Roman"/>
          <w:sz w:val="28"/>
          <w:szCs w:val="24"/>
          <w:lang w:eastAsia="ru-RU"/>
        </w:rPr>
        <w:t xml:space="preserve"> поражение объектов и людей тепловым излучением.</w:t>
      </w:r>
    </w:p>
    <w:p w:rsidR="002D1E45" w:rsidRPr="004D071E" w:rsidRDefault="002D1E45" w:rsidP="004D071E">
      <w:pPr>
        <w:spacing w:after="0" w:line="240" w:lineRule="auto"/>
        <w:ind w:firstLine="709"/>
        <w:jc w:val="both"/>
        <w:rPr>
          <w:rFonts w:ascii="Times New Roman" w:hAnsi="Times New Roman"/>
          <w:sz w:val="28"/>
          <w:szCs w:val="24"/>
          <w:lang w:eastAsia="ru-RU"/>
        </w:rPr>
      </w:pPr>
      <w:r w:rsidRPr="004D071E">
        <w:rPr>
          <w:rFonts w:ascii="Times New Roman" w:hAnsi="Times New Roman"/>
          <w:sz w:val="28"/>
          <w:szCs w:val="24"/>
          <w:lang w:eastAsia="ru-RU"/>
        </w:rPr>
        <w:t xml:space="preserve">Сценарий 2 (С2) – взрыв облака топливно-воздушных смесей (ТВС): разгерметизация ёмкости транспортировки </w:t>
      </w:r>
      <w:r w:rsidRPr="004D071E">
        <w:rPr>
          <w:rFonts w:ascii="Times New Roman" w:hAnsi="Times New Roman"/>
          <w:sz w:val="28"/>
          <w:szCs w:val="28"/>
          <w:lang w:eastAsia="ru-RU"/>
        </w:rPr>
        <w:sym w:font="Symbol" w:char="F0AE"/>
      </w:r>
      <w:r w:rsidRPr="004D071E">
        <w:rPr>
          <w:rFonts w:ascii="Times New Roman" w:hAnsi="Times New Roman"/>
          <w:sz w:val="28"/>
          <w:szCs w:val="24"/>
          <w:lang w:eastAsia="ru-RU"/>
        </w:rPr>
        <w:t xml:space="preserve"> выброс (пролив) ЛВЖ (ГЖ) </w:t>
      </w:r>
      <w:r w:rsidRPr="004D071E">
        <w:rPr>
          <w:rFonts w:ascii="Times New Roman" w:hAnsi="Times New Roman"/>
          <w:sz w:val="28"/>
          <w:szCs w:val="28"/>
          <w:lang w:eastAsia="ru-RU"/>
        </w:rPr>
        <w:sym w:font="Symbol" w:char="F0AE"/>
      </w:r>
      <w:r w:rsidRPr="004D071E">
        <w:rPr>
          <w:rFonts w:ascii="Times New Roman" w:hAnsi="Times New Roman"/>
          <w:sz w:val="28"/>
          <w:szCs w:val="24"/>
          <w:lang w:eastAsia="ru-RU"/>
        </w:rPr>
        <w:t xml:space="preserve"> образование облака ТВС </w:t>
      </w:r>
      <w:r w:rsidRPr="004D071E">
        <w:rPr>
          <w:rFonts w:ascii="Times New Roman" w:hAnsi="Times New Roman"/>
          <w:sz w:val="28"/>
          <w:szCs w:val="28"/>
          <w:lang w:eastAsia="ru-RU"/>
        </w:rPr>
        <w:sym w:font="Symbol" w:char="F0AE"/>
      </w:r>
      <w:r w:rsidRPr="004D071E">
        <w:rPr>
          <w:rFonts w:ascii="Times New Roman" w:hAnsi="Times New Roman"/>
          <w:sz w:val="28"/>
          <w:szCs w:val="24"/>
          <w:lang w:eastAsia="ru-RU"/>
        </w:rPr>
        <w:t xml:space="preserve"> взрыв облака ТВС при наличии источника инициирования </w:t>
      </w:r>
      <w:r w:rsidRPr="004D071E">
        <w:rPr>
          <w:rFonts w:ascii="Times New Roman" w:hAnsi="Times New Roman"/>
          <w:sz w:val="28"/>
          <w:szCs w:val="28"/>
          <w:lang w:eastAsia="ru-RU"/>
        </w:rPr>
        <w:sym w:font="Symbol" w:char="F0AE"/>
      </w:r>
      <w:r w:rsidRPr="004D071E">
        <w:rPr>
          <w:rFonts w:ascii="Times New Roman" w:hAnsi="Times New Roman"/>
          <w:sz w:val="28"/>
          <w:szCs w:val="24"/>
          <w:lang w:eastAsia="ru-RU"/>
        </w:rPr>
        <w:t xml:space="preserve"> поражение объектов и людей воздушной ударной волной.</w:t>
      </w:r>
    </w:p>
    <w:p w:rsidR="002D1E45" w:rsidRPr="004D071E" w:rsidRDefault="002D1E45" w:rsidP="004D071E">
      <w:pPr>
        <w:spacing w:after="0" w:line="240" w:lineRule="auto"/>
        <w:ind w:firstLine="709"/>
        <w:jc w:val="both"/>
        <w:rPr>
          <w:rFonts w:ascii="Times New Roman" w:hAnsi="Times New Roman"/>
          <w:sz w:val="28"/>
          <w:szCs w:val="24"/>
          <w:lang w:eastAsia="ru-RU"/>
        </w:rPr>
      </w:pPr>
      <w:r w:rsidRPr="004D071E">
        <w:rPr>
          <w:rFonts w:ascii="Times New Roman" w:hAnsi="Times New Roman"/>
          <w:sz w:val="28"/>
          <w:szCs w:val="24"/>
          <w:lang w:eastAsia="ru-RU"/>
        </w:rPr>
        <w:t>При расчётах приняты следующие допущения:</w:t>
      </w:r>
    </w:p>
    <w:p w:rsidR="002D1E45" w:rsidRPr="004D071E" w:rsidRDefault="002D1E45" w:rsidP="004D071E">
      <w:pPr>
        <w:spacing w:after="0" w:line="240" w:lineRule="auto"/>
        <w:ind w:firstLine="709"/>
        <w:jc w:val="both"/>
        <w:rPr>
          <w:rFonts w:ascii="Times New Roman" w:hAnsi="Times New Roman"/>
          <w:sz w:val="28"/>
          <w:szCs w:val="24"/>
          <w:lang w:eastAsia="ru-RU"/>
        </w:rPr>
      </w:pPr>
      <w:r w:rsidRPr="004D071E">
        <w:rPr>
          <w:rFonts w:ascii="Times New Roman" w:hAnsi="Times New Roman"/>
          <w:sz w:val="28"/>
          <w:szCs w:val="24"/>
          <w:lang w:eastAsia="ru-RU"/>
        </w:rPr>
        <w:t>I. Разгерметизация ёмкостей транспортировки ЛВЖ (ГЖ)</w:t>
      </w:r>
    </w:p>
    <w:p w:rsidR="002D1E45" w:rsidRPr="004D071E" w:rsidRDefault="002D1E45" w:rsidP="004D071E">
      <w:pPr>
        <w:spacing w:after="0" w:line="240" w:lineRule="auto"/>
        <w:ind w:firstLine="709"/>
        <w:jc w:val="both"/>
        <w:rPr>
          <w:rFonts w:ascii="Times New Roman" w:hAnsi="Times New Roman"/>
          <w:sz w:val="28"/>
          <w:szCs w:val="24"/>
          <w:lang w:eastAsia="ru-RU"/>
        </w:rPr>
      </w:pPr>
      <w:r w:rsidRPr="004D071E">
        <w:rPr>
          <w:rFonts w:ascii="Times New Roman" w:hAnsi="Times New Roman"/>
          <w:sz w:val="28"/>
          <w:szCs w:val="24"/>
          <w:lang w:eastAsia="ru-RU"/>
        </w:rPr>
        <w:t>С1. Пожар пролива – из разрушенной ёмкости вытекает и участвует в горении 100 % опасного вещества. Сброс ЛВЖ (ГЖ) происходит при свободном растекании в сторону железобетонных лотков по обеим сторонам железнодорожных путей или при свободном растекании на проезжей части, ограниченной бордюрным камнем. Толщина слоя пролившейся жидкости принимается равной 0,05 м.</w:t>
      </w:r>
    </w:p>
    <w:p w:rsidR="002D1E45" w:rsidRPr="004D071E" w:rsidRDefault="002D1E45" w:rsidP="004D071E">
      <w:pPr>
        <w:spacing w:after="0" w:line="240" w:lineRule="auto"/>
        <w:ind w:firstLine="709"/>
        <w:jc w:val="both"/>
        <w:rPr>
          <w:rFonts w:ascii="Times New Roman" w:hAnsi="Times New Roman"/>
          <w:sz w:val="28"/>
          <w:szCs w:val="24"/>
          <w:lang w:eastAsia="ru-RU"/>
        </w:rPr>
      </w:pPr>
      <w:r w:rsidRPr="004D071E">
        <w:rPr>
          <w:rFonts w:ascii="Times New Roman" w:hAnsi="Times New Roman"/>
          <w:sz w:val="28"/>
          <w:szCs w:val="24"/>
          <w:lang w:eastAsia="ru-RU"/>
        </w:rPr>
        <w:t>С2. Взрыв ТВС из разрушенной ёмкости вытекает 100 % опасного вещества. В формировании облака ТВС участвует 80 % массы вытекшего нефтепродукта.</w:t>
      </w:r>
    </w:p>
    <w:p w:rsidR="002D1E45" w:rsidRPr="004D071E" w:rsidRDefault="002D1E45" w:rsidP="004D071E">
      <w:pPr>
        <w:spacing w:after="0" w:line="240" w:lineRule="auto"/>
        <w:ind w:firstLine="709"/>
        <w:jc w:val="both"/>
        <w:rPr>
          <w:rFonts w:ascii="Times New Roman" w:hAnsi="Times New Roman"/>
          <w:sz w:val="28"/>
          <w:szCs w:val="24"/>
          <w:lang w:eastAsia="ru-RU"/>
        </w:rPr>
      </w:pPr>
      <w:r w:rsidRPr="004D071E">
        <w:rPr>
          <w:rFonts w:ascii="Times New Roman" w:hAnsi="Times New Roman"/>
          <w:sz w:val="28"/>
          <w:szCs w:val="24"/>
          <w:lang w:eastAsia="ru-RU"/>
        </w:rPr>
        <w:t>Масса опасных веществ, способных участвовать в идентифицированных сценариях аварий, оценивалась на основе анализа технологии и режимных параметров обращения с горючими жидкостями. При этом при расчётах выбирался наиболее неблагоприятный вариант аварии, при котором в аварии участвует наибольшее количество веществ.</w:t>
      </w:r>
    </w:p>
    <w:p w:rsidR="002D1E45" w:rsidRPr="004D071E" w:rsidRDefault="002D1E45" w:rsidP="004D071E">
      <w:pPr>
        <w:spacing w:after="0" w:line="240" w:lineRule="auto"/>
        <w:ind w:firstLine="709"/>
        <w:jc w:val="both"/>
        <w:rPr>
          <w:rFonts w:ascii="Times New Roman" w:hAnsi="Times New Roman"/>
          <w:sz w:val="28"/>
          <w:szCs w:val="24"/>
          <w:lang w:eastAsia="ru-RU"/>
        </w:rPr>
      </w:pPr>
      <w:r w:rsidRPr="004D071E">
        <w:rPr>
          <w:rFonts w:ascii="Times New Roman" w:hAnsi="Times New Roman"/>
          <w:sz w:val="28"/>
          <w:szCs w:val="24"/>
          <w:lang w:eastAsia="ru-RU"/>
        </w:rPr>
        <w:t>При расчётах принимается, что, в соответствии с требованиями действующих нормативных документов, единичная ёмкость транспортировки заполнена опасным веществом на 90 %. Наличие источника воспламенения пролива или облака ТВС принимается как условное.</w:t>
      </w:r>
    </w:p>
    <w:p w:rsidR="002D1E45" w:rsidRPr="004D071E" w:rsidRDefault="002D1E45" w:rsidP="004D071E">
      <w:pPr>
        <w:spacing w:after="0" w:line="240" w:lineRule="auto"/>
        <w:ind w:firstLine="709"/>
        <w:jc w:val="both"/>
        <w:rPr>
          <w:rFonts w:ascii="Times New Roman" w:hAnsi="Times New Roman"/>
          <w:sz w:val="28"/>
          <w:szCs w:val="24"/>
          <w:lang w:eastAsia="ru-RU"/>
        </w:rPr>
      </w:pPr>
      <w:r w:rsidRPr="004D071E">
        <w:rPr>
          <w:rFonts w:ascii="Times New Roman" w:hAnsi="Times New Roman"/>
          <w:sz w:val="28"/>
          <w:szCs w:val="24"/>
          <w:lang w:eastAsia="ru-RU"/>
        </w:rPr>
        <w:t>При рассмотрении варианта аварии, развивающейся с последующим взрывом ТВС пролива нефтепродуктов или сжиженных углеводородных газов из ёмкости транспортировки, тип окружающего пространства при формировании облака ТВС принят как «Слабо загромождённое или свободное пространство».</w:t>
      </w:r>
    </w:p>
    <w:p w:rsidR="002D1E45" w:rsidRPr="004D071E" w:rsidRDefault="002D1E45" w:rsidP="004D071E">
      <w:pPr>
        <w:spacing w:after="0" w:line="240" w:lineRule="auto"/>
        <w:ind w:firstLine="709"/>
        <w:jc w:val="both"/>
        <w:rPr>
          <w:rFonts w:ascii="Times New Roman" w:hAnsi="Times New Roman"/>
          <w:sz w:val="28"/>
          <w:szCs w:val="24"/>
          <w:lang w:eastAsia="ru-RU"/>
        </w:rPr>
      </w:pPr>
      <w:r w:rsidRPr="004D071E">
        <w:rPr>
          <w:rFonts w:ascii="Times New Roman" w:hAnsi="Times New Roman"/>
          <w:sz w:val="28"/>
          <w:szCs w:val="24"/>
          <w:lang w:eastAsia="ru-RU"/>
        </w:rPr>
        <w:t>При определении зон действия поражающих факторов ЧС при аварии на транспортной магистрали принимается, что повреждённая ёмкость транспортировки может находиться на любом участке магистрали.</w:t>
      </w:r>
    </w:p>
    <w:p w:rsidR="002D1E45" w:rsidRPr="004D071E" w:rsidRDefault="002D1E45" w:rsidP="004D071E">
      <w:pPr>
        <w:spacing w:after="0" w:line="240" w:lineRule="auto"/>
        <w:ind w:firstLine="709"/>
        <w:jc w:val="both"/>
        <w:rPr>
          <w:rFonts w:ascii="Times New Roman" w:hAnsi="Times New Roman"/>
          <w:sz w:val="28"/>
          <w:szCs w:val="24"/>
          <w:lang w:eastAsia="ru-RU"/>
        </w:rPr>
      </w:pPr>
      <w:r w:rsidRPr="004D071E">
        <w:rPr>
          <w:rFonts w:ascii="Times New Roman" w:hAnsi="Times New Roman"/>
          <w:sz w:val="28"/>
          <w:szCs w:val="24"/>
          <w:lang w:eastAsia="ru-RU"/>
        </w:rPr>
        <w:t>В качестве основных поражающих факторов ЧС рассматриваются: тепловой поток от пламени «горящего разлития», плотность которого зависит от площади разлития, мощности тепловой эмиссии пламени и избыточное давление во фронте ударной волны взрыва.</w:t>
      </w:r>
    </w:p>
    <w:p w:rsidR="002D1E45" w:rsidRPr="004D071E" w:rsidRDefault="002D1E45" w:rsidP="004D071E">
      <w:pPr>
        <w:autoSpaceDE w:val="0"/>
        <w:autoSpaceDN w:val="0"/>
        <w:adjustRightInd w:val="0"/>
        <w:spacing w:after="0" w:line="360" w:lineRule="auto"/>
        <w:ind w:firstLine="709"/>
        <w:jc w:val="right"/>
        <w:rPr>
          <w:rFonts w:ascii="Times New Roman" w:hAnsi="Times New Roman"/>
          <w:sz w:val="28"/>
          <w:szCs w:val="24"/>
          <w:lang w:eastAsia="ru-RU"/>
        </w:rPr>
      </w:pPr>
      <w:r w:rsidRPr="004D071E">
        <w:rPr>
          <w:rFonts w:ascii="Times New Roman" w:hAnsi="Times New Roman"/>
          <w:sz w:val="28"/>
          <w:szCs w:val="24"/>
          <w:lang w:eastAsia="ru-RU"/>
        </w:rPr>
        <w:t xml:space="preserve">Таблица </w:t>
      </w:r>
      <w:r w:rsidRPr="004D071E">
        <w:rPr>
          <w:rFonts w:ascii="Times New Roman" w:hAnsi="Times New Roman"/>
          <w:sz w:val="28"/>
          <w:szCs w:val="24"/>
          <w:lang w:eastAsia="ru-RU"/>
        </w:rPr>
        <w:fldChar w:fldCharType="begin"/>
      </w:r>
      <w:r w:rsidRPr="004D071E">
        <w:rPr>
          <w:rFonts w:ascii="Times New Roman" w:hAnsi="Times New Roman"/>
          <w:sz w:val="28"/>
          <w:szCs w:val="24"/>
          <w:lang w:eastAsia="ru-RU"/>
        </w:rPr>
        <w:instrText xml:space="preserve"> SEQ Таблица \* ARABIC </w:instrText>
      </w:r>
      <w:r w:rsidRPr="004D071E">
        <w:rPr>
          <w:rFonts w:ascii="Times New Roman" w:hAnsi="Times New Roman"/>
          <w:sz w:val="28"/>
          <w:szCs w:val="24"/>
          <w:lang w:eastAsia="ru-RU"/>
        </w:rPr>
        <w:fldChar w:fldCharType="separate"/>
      </w:r>
      <w:r>
        <w:rPr>
          <w:rFonts w:ascii="Times New Roman" w:hAnsi="Times New Roman"/>
          <w:noProof/>
          <w:sz w:val="28"/>
          <w:szCs w:val="24"/>
          <w:lang w:eastAsia="ru-RU"/>
        </w:rPr>
        <w:t>28</w:t>
      </w:r>
      <w:r w:rsidRPr="004D071E">
        <w:rPr>
          <w:rFonts w:ascii="Times New Roman" w:hAnsi="Times New Roman"/>
          <w:sz w:val="28"/>
          <w:szCs w:val="24"/>
          <w:lang w:eastAsia="ru-RU"/>
        </w:rPr>
        <w:fldChar w:fldCharType="end"/>
      </w:r>
    </w:p>
    <w:p w:rsidR="002D1E45" w:rsidRPr="004D071E" w:rsidRDefault="002D1E45" w:rsidP="004D071E">
      <w:pPr>
        <w:widowControl w:val="0"/>
        <w:spacing w:after="120" w:line="240" w:lineRule="auto"/>
        <w:ind w:right="-57"/>
        <w:jc w:val="center"/>
        <w:rPr>
          <w:rFonts w:ascii="Times New Roman" w:hAnsi="Times New Roman"/>
          <w:color w:val="000000"/>
          <w:sz w:val="28"/>
          <w:szCs w:val="25"/>
          <w:lang w:eastAsia="ru-RU"/>
        </w:rPr>
      </w:pPr>
      <w:r w:rsidRPr="004D071E">
        <w:rPr>
          <w:rFonts w:ascii="Times New Roman" w:hAnsi="Times New Roman"/>
          <w:color w:val="000000"/>
          <w:sz w:val="28"/>
          <w:szCs w:val="25"/>
          <w:lang w:eastAsia="ru-RU"/>
        </w:rPr>
        <w:t>Параметры поражения, принимаемые при оценке обстановки, возникшей в результате аварий, развивающейся со взрывом ТВС</w:t>
      </w:r>
    </w:p>
    <w:p w:rsidR="002D1E45" w:rsidRPr="004D071E" w:rsidRDefault="002D1E45" w:rsidP="004D071E">
      <w:pPr>
        <w:spacing w:after="0" w:line="240" w:lineRule="auto"/>
        <w:rPr>
          <w:rFonts w:ascii="Times New Roman" w:hAnsi="Times New Roman"/>
          <w:vanish/>
          <w:sz w:val="2"/>
          <w:szCs w:val="2"/>
          <w:lang w:eastAsia="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500"/>
        <w:gridCol w:w="1672"/>
      </w:tblGrid>
      <w:tr w:rsidR="002D1E45" w:rsidRPr="004D071E" w:rsidTr="009E36EB">
        <w:trPr>
          <w:tblHeader/>
          <w:jc w:val="center"/>
        </w:trPr>
        <w:tc>
          <w:tcPr>
            <w:tcW w:w="8500" w:type="dxa"/>
            <w:vAlign w:val="center"/>
          </w:tcPr>
          <w:p w:rsidR="002D1E45" w:rsidRPr="004D071E" w:rsidRDefault="002D1E45" w:rsidP="004D071E">
            <w:pPr>
              <w:widowControl w:val="0"/>
              <w:spacing w:after="0" w:line="240" w:lineRule="auto"/>
              <w:jc w:val="center"/>
              <w:rPr>
                <w:rFonts w:ascii="Times New Roman" w:hAnsi="Times New Roman"/>
                <w:color w:val="000000"/>
                <w:sz w:val="24"/>
                <w:szCs w:val="20"/>
                <w:lang w:eastAsia="ru-RU"/>
              </w:rPr>
            </w:pPr>
            <w:r w:rsidRPr="004D071E">
              <w:rPr>
                <w:rFonts w:ascii="Times New Roman" w:hAnsi="Times New Roman"/>
                <w:color w:val="000000"/>
                <w:sz w:val="24"/>
                <w:szCs w:val="20"/>
                <w:lang w:eastAsia="ru-RU"/>
              </w:rPr>
              <w:t>Поражение зданий и сооружений</w:t>
            </w:r>
          </w:p>
        </w:tc>
        <w:tc>
          <w:tcPr>
            <w:tcW w:w="1668" w:type="dxa"/>
            <w:vAlign w:val="center"/>
          </w:tcPr>
          <w:p w:rsidR="002D1E45" w:rsidRPr="004D071E" w:rsidRDefault="002D1E45" w:rsidP="004D071E">
            <w:pPr>
              <w:widowControl w:val="0"/>
              <w:spacing w:after="0" w:line="240" w:lineRule="auto"/>
              <w:jc w:val="center"/>
              <w:rPr>
                <w:rFonts w:ascii="Times New Roman" w:hAnsi="Times New Roman"/>
                <w:color w:val="000000"/>
                <w:sz w:val="24"/>
                <w:szCs w:val="20"/>
                <w:lang w:eastAsia="ru-RU"/>
              </w:rPr>
            </w:pPr>
            <w:r w:rsidRPr="004D071E">
              <w:rPr>
                <w:rFonts w:ascii="Times New Roman" w:hAnsi="Times New Roman"/>
                <w:color w:val="000000"/>
                <w:sz w:val="24"/>
                <w:szCs w:val="20"/>
                <w:lang w:eastAsia="ru-RU"/>
              </w:rPr>
              <w:t>Избыточное давление, кПа</w:t>
            </w:r>
          </w:p>
        </w:tc>
      </w:tr>
      <w:tr w:rsidR="002D1E45" w:rsidRPr="004D071E" w:rsidTr="009E36EB">
        <w:trPr>
          <w:jc w:val="center"/>
        </w:trPr>
        <w:tc>
          <w:tcPr>
            <w:tcW w:w="8500" w:type="dxa"/>
          </w:tcPr>
          <w:p w:rsidR="002D1E45" w:rsidRPr="004D071E" w:rsidRDefault="002D1E45" w:rsidP="004D071E">
            <w:pPr>
              <w:widowControl w:val="0"/>
              <w:spacing w:after="0" w:line="240" w:lineRule="auto"/>
              <w:rPr>
                <w:rFonts w:ascii="Times New Roman" w:hAnsi="Times New Roman"/>
                <w:color w:val="000000"/>
                <w:sz w:val="24"/>
                <w:szCs w:val="20"/>
                <w:lang w:eastAsia="ru-RU"/>
              </w:rPr>
            </w:pPr>
            <w:r w:rsidRPr="004D071E">
              <w:rPr>
                <w:rFonts w:ascii="Times New Roman" w:hAnsi="Times New Roman"/>
                <w:color w:val="000000"/>
                <w:sz w:val="24"/>
                <w:szCs w:val="20"/>
                <w:lang w:eastAsia="ru-RU"/>
              </w:rPr>
              <w:t>Полное разрушение зданий</w:t>
            </w:r>
          </w:p>
        </w:tc>
        <w:tc>
          <w:tcPr>
            <w:tcW w:w="1668" w:type="dxa"/>
          </w:tcPr>
          <w:p w:rsidR="002D1E45" w:rsidRPr="004D071E" w:rsidRDefault="002D1E45" w:rsidP="004D071E">
            <w:pPr>
              <w:widowControl w:val="0"/>
              <w:spacing w:after="0" w:line="240" w:lineRule="auto"/>
              <w:jc w:val="center"/>
              <w:rPr>
                <w:rFonts w:ascii="Times New Roman" w:hAnsi="Times New Roman"/>
                <w:color w:val="000000"/>
                <w:sz w:val="24"/>
                <w:szCs w:val="20"/>
                <w:lang w:eastAsia="ru-RU"/>
              </w:rPr>
            </w:pPr>
            <w:r w:rsidRPr="004D071E">
              <w:rPr>
                <w:rFonts w:ascii="Times New Roman" w:hAnsi="Times New Roman"/>
                <w:color w:val="000000"/>
                <w:sz w:val="24"/>
                <w:szCs w:val="20"/>
                <w:lang w:eastAsia="ru-RU"/>
              </w:rPr>
              <w:t>65,9– 70</w:t>
            </w:r>
          </w:p>
        </w:tc>
      </w:tr>
      <w:tr w:rsidR="002D1E45" w:rsidRPr="004D071E" w:rsidTr="009E36EB">
        <w:trPr>
          <w:jc w:val="center"/>
        </w:trPr>
        <w:tc>
          <w:tcPr>
            <w:tcW w:w="8500" w:type="dxa"/>
          </w:tcPr>
          <w:p w:rsidR="002D1E45" w:rsidRPr="004D071E" w:rsidRDefault="002D1E45" w:rsidP="004D071E">
            <w:pPr>
              <w:widowControl w:val="0"/>
              <w:spacing w:after="0" w:line="240" w:lineRule="auto"/>
              <w:rPr>
                <w:rFonts w:ascii="Times New Roman" w:hAnsi="Times New Roman"/>
                <w:color w:val="000000"/>
                <w:sz w:val="24"/>
                <w:szCs w:val="20"/>
                <w:lang w:eastAsia="ru-RU"/>
              </w:rPr>
            </w:pPr>
            <w:r w:rsidRPr="004D071E">
              <w:rPr>
                <w:rFonts w:ascii="Times New Roman" w:hAnsi="Times New Roman"/>
                <w:color w:val="000000"/>
                <w:sz w:val="24"/>
                <w:szCs w:val="20"/>
                <w:lang w:eastAsia="ru-RU"/>
              </w:rPr>
              <w:t>Тяжёлые (сильные) повреждения, здание подлежит сносу</w:t>
            </w:r>
          </w:p>
        </w:tc>
        <w:tc>
          <w:tcPr>
            <w:tcW w:w="1668" w:type="dxa"/>
          </w:tcPr>
          <w:p w:rsidR="002D1E45" w:rsidRPr="004D071E" w:rsidRDefault="002D1E45" w:rsidP="004D071E">
            <w:pPr>
              <w:widowControl w:val="0"/>
              <w:spacing w:after="0" w:line="240" w:lineRule="auto"/>
              <w:jc w:val="center"/>
              <w:rPr>
                <w:rFonts w:ascii="Times New Roman" w:hAnsi="Times New Roman"/>
                <w:color w:val="000000"/>
                <w:sz w:val="24"/>
                <w:szCs w:val="20"/>
                <w:lang w:eastAsia="ru-RU"/>
              </w:rPr>
            </w:pPr>
            <w:r w:rsidRPr="004D071E">
              <w:rPr>
                <w:rFonts w:ascii="Times New Roman" w:hAnsi="Times New Roman"/>
                <w:color w:val="000000"/>
                <w:sz w:val="24"/>
                <w:szCs w:val="20"/>
                <w:lang w:eastAsia="ru-RU"/>
              </w:rPr>
              <w:t>33</w:t>
            </w:r>
          </w:p>
        </w:tc>
      </w:tr>
      <w:tr w:rsidR="002D1E45" w:rsidRPr="004D071E" w:rsidTr="009E36EB">
        <w:trPr>
          <w:jc w:val="center"/>
        </w:trPr>
        <w:tc>
          <w:tcPr>
            <w:tcW w:w="8500" w:type="dxa"/>
          </w:tcPr>
          <w:p w:rsidR="002D1E45" w:rsidRPr="004D071E" w:rsidRDefault="002D1E45" w:rsidP="004D071E">
            <w:pPr>
              <w:widowControl w:val="0"/>
              <w:spacing w:after="0" w:line="240" w:lineRule="auto"/>
              <w:rPr>
                <w:rFonts w:ascii="Times New Roman" w:hAnsi="Times New Roman"/>
                <w:color w:val="000000"/>
                <w:sz w:val="24"/>
                <w:szCs w:val="20"/>
                <w:lang w:eastAsia="ru-RU"/>
              </w:rPr>
            </w:pPr>
            <w:r w:rsidRPr="004D071E">
              <w:rPr>
                <w:rFonts w:ascii="Times New Roman" w:hAnsi="Times New Roman"/>
                <w:color w:val="000000"/>
                <w:sz w:val="24"/>
                <w:szCs w:val="20"/>
                <w:lang w:eastAsia="ru-RU"/>
              </w:rPr>
              <w:t>Средние повреждения, возможно восстановление здания</w:t>
            </w:r>
          </w:p>
        </w:tc>
        <w:tc>
          <w:tcPr>
            <w:tcW w:w="1668" w:type="dxa"/>
          </w:tcPr>
          <w:p w:rsidR="002D1E45" w:rsidRPr="004D071E" w:rsidRDefault="002D1E45" w:rsidP="004D071E">
            <w:pPr>
              <w:widowControl w:val="0"/>
              <w:spacing w:after="0" w:line="240" w:lineRule="auto"/>
              <w:jc w:val="center"/>
              <w:rPr>
                <w:rFonts w:ascii="Times New Roman" w:hAnsi="Times New Roman"/>
                <w:color w:val="000000"/>
                <w:sz w:val="24"/>
                <w:szCs w:val="20"/>
                <w:lang w:eastAsia="ru-RU"/>
              </w:rPr>
            </w:pPr>
            <w:r w:rsidRPr="004D071E">
              <w:rPr>
                <w:rFonts w:ascii="Times New Roman" w:hAnsi="Times New Roman"/>
                <w:color w:val="000000"/>
                <w:sz w:val="24"/>
                <w:szCs w:val="20"/>
                <w:lang w:eastAsia="ru-RU"/>
              </w:rPr>
              <w:t>25</w:t>
            </w:r>
          </w:p>
        </w:tc>
      </w:tr>
      <w:tr w:rsidR="002D1E45" w:rsidRPr="004D071E" w:rsidTr="009E36EB">
        <w:trPr>
          <w:jc w:val="center"/>
        </w:trPr>
        <w:tc>
          <w:tcPr>
            <w:tcW w:w="8500" w:type="dxa"/>
          </w:tcPr>
          <w:p w:rsidR="002D1E45" w:rsidRPr="004D071E" w:rsidRDefault="002D1E45" w:rsidP="004D071E">
            <w:pPr>
              <w:widowControl w:val="0"/>
              <w:spacing w:after="0" w:line="240" w:lineRule="auto"/>
              <w:rPr>
                <w:rFonts w:ascii="Times New Roman" w:hAnsi="Times New Roman"/>
                <w:color w:val="000000"/>
                <w:sz w:val="24"/>
                <w:szCs w:val="20"/>
                <w:lang w:eastAsia="ru-RU"/>
              </w:rPr>
            </w:pPr>
            <w:r w:rsidRPr="004D071E">
              <w:rPr>
                <w:rFonts w:ascii="Times New Roman" w:hAnsi="Times New Roman"/>
                <w:color w:val="000000"/>
                <w:sz w:val="24"/>
                <w:szCs w:val="20"/>
                <w:lang w:eastAsia="ru-RU"/>
              </w:rPr>
              <w:t>Разбито 90 % остекления, возможны слабые разрушения</w:t>
            </w:r>
          </w:p>
        </w:tc>
        <w:tc>
          <w:tcPr>
            <w:tcW w:w="1668" w:type="dxa"/>
          </w:tcPr>
          <w:p w:rsidR="002D1E45" w:rsidRPr="004D071E" w:rsidRDefault="002D1E45" w:rsidP="004D071E">
            <w:pPr>
              <w:widowControl w:val="0"/>
              <w:spacing w:after="0" w:line="240" w:lineRule="auto"/>
              <w:jc w:val="center"/>
              <w:rPr>
                <w:rFonts w:ascii="Times New Roman" w:hAnsi="Times New Roman"/>
                <w:color w:val="000000"/>
                <w:sz w:val="24"/>
                <w:szCs w:val="20"/>
                <w:lang w:eastAsia="ru-RU"/>
              </w:rPr>
            </w:pPr>
            <w:r w:rsidRPr="004D071E">
              <w:rPr>
                <w:rFonts w:ascii="Times New Roman" w:hAnsi="Times New Roman"/>
                <w:color w:val="000000"/>
                <w:sz w:val="24"/>
                <w:szCs w:val="20"/>
                <w:lang w:eastAsia="ru-RU"/>
              </w:rPr>
              <w:t>4</w:t>
            </w:r>
          </w:p>
        </w:tc>
      </w:tr>
      <w:tr w:rsidR="002D1E45" w:rsidRPr="004D071E" w:rsidTr="009E36EB">
        <w:trPr>
          <w:jc w:val="center"/>
        </w:trPr>
        <w:tc>
          <w:tcPr>
            <w:tcW w:w="8500" w:type="dxa"/>
          </w:tcPr>
          <w:p w:rsidR="002D1E45" w:rsidRPr="004D071E" w:rsidRDefault="002D1E45" w:rsidP="004D071E">
            <w:pPr>
              <w:widowControl w:val="0"/>
              <w:spacing w:after="0" w:line="240" w:lineRule="auto"/>
              <w:rPr>
                <w:rFonts w:ascii="Times New Roman" w:hAnsi="Times New Roman"/>
                <w:color w:val="000000"/>
                <w:sz w:val="24"/>
                <w:szCs w:val="20"/>
                <w:lang w:eastAsia="ru-RU"/>
              </w:rPr>
            </w:pPr>
            <w:r w:rsidRPr="004D071E">
              <w:rPr>
                <w:rFonts w:ascii="Times New Roman" w:hAnsi="Times New Roman"/>
                <w:color w:val="000000"/>
                <w:sz w:val="24"/>
                <w:szCs w:val="20"/>
                <w:lang w:eastAsia="ru-RU"/>
              </w:rPr>
              <w:t>Разбито 50 % остекления</w:t>
            </w:r>
          </w:p>
        </w:tc>
        <w:tc>
          <w:tcPr>
            <w:tcW w:w="1668" w:type="dxa"/>
          </w:tcPr>
          <w:p w:rsidR="002D1E45" w:rsidRPr="004D071E" w:rsidRDefault="002D1E45" w:rsidP="004D071E">
            <w:pPr>
              <w:widowControl w:val="0"/>
              <w:spacing w:after="0" w:line="240" w:lineRule="auto"/>
              <w:jc w:val="center"/>
              <w:rPr>
                <w:rFonts w:ascii="Times New Roman" w:hAnsi="Times New Roman"/>
                <w:color w:val="000000"/>
                <w:sz w:val="24"/>
                <w:szCs w:val="20"/>
                <w:lang w:eastAsia="ru-RU"/>
              </w:rPr>
            </w:pPr>
            <w:r w:rsidRPr="004D071E">
              <w:rPr>
                <w:rFonts w:ascii="Times New Roman" w:hAnsi="Times New Roman"/>
                <w:color w:val="000000"/>
                <w:sz w:val="24"/>
                <w:szCs w:val="20"/>
                <w:lang w:eastAsia="ru-RU"/>
              </w:rPr>
              <w:t>2</w:t>
            </w:r>
          </w:p>
        </w:tc>
      </w:tr>
      <w:tr w:rsidR="002D1E45" w:rsidRPr="004D071E" w:rsidTr="009E36EB">
        <w:trPr>
          <w:jc w:val="center"/>
        </w:trPr>
        <w:tc>
          <w:tcPr>
            <w:tcW w:w="10172" w:type="dxa"/>
            <w:gridSpan w:val="2"/>
          </w:tcPr>
          <w:p w:rsidR="002D1E45" w:rsidRPr="004D071E" w:rsidRDefault="002D1E45" w:rsidP="004D071E">
            <w:pPr>
              <w:widowControl w:val="0"/>
              <w:spacing w:after="0" w:line="240" w:lineRule="auto"/>
              <w:jc w:val="center"/>
              <w:rPr>
                <w:rFonts w:ascii="Times New Roman" w:hAnsi="Times New Roman"/>
                <w:color w:val="000000"/>
                <w:sz w:val="24"/>
                <w:szCs w:val="20"/>
                <w:lang w:eastAsia="ru-RU"/>
              </w:rPr>
            </w:pPr>
            <w:r w:rsidRPr="004D071E">
              <w:rPr>
                <w:rFonts w:ascii="Times New Roman" w:hAnsi="Times New Roman"/>
                <w:color w:val="000000"/>
                <w:sz w:val="24"/>
                <w:szCs w:val="20"/>
                <w:lang w:eastAsia="ru-RU"/>
              </w:rPr>
              <w:t>Поражение людей</w:t>
            </w:r>
          </w:p>
        </w:tc>
      </w:tr>
      <w:tr w:rsidR="002D1E45" w:rsidRPr="004D071E" w:rsidTr="009E36EB">
        <w:trPr>
          <w:jc w:val="center"/>
        </w:trPr>
        <w:tc>
          <w:tcPr>
            <w:tcW w:w="8500" w:type="dxa"/>
          </w:tcPr>
          <w:p w:rsidR="002D1E45" w:rsidRPr="004D071E" w:rsidRDefault="002D1E45" w:rsidP="004D071E">
            <w:pPr>
              <w:widowControl w:val="0"/>
              <w:spacing w:after="0" w:line="240" w:lineRule="auto"/>
              <w:rPr>
                <w:rFonts w:ascii="Times New Roman" w:hAnsi="Times New Roman"/>
                <w:color w:val="000000"/>
                <w:sz w:val="24"/>
                <w:szCs w:val="20"/>
                <w:lang w:eastAsia="ru-RU"/>
              </w:rPr>
            </w:pPr>
            <w:r w:rsidRPr="004D071E">
              <w:rPr>
                <w:rFonts w:ascii="Times New Roman" w:hAnsi="Times New Roman"/>
                <w:color w:val="000000"/>
                <w:sz w:val="24"/>
                <w:szCs w:val="20"/>
                <w:lang w:eastAsia="ru-RU"/>
              </w:rPr>
              <w:t>Смертельное поражение 99 % людей в зданиях и на открытой местности</w:t>
            </w:r>
          </w:p>
        </w:tc>
        <w:tc>
          <w:tcPr>
            <w:tcW w:w="1668" w:type="dxa"/>
            <w:vAlign w:val="center"/>
          </w:tcPr>
          <w:p w:rsidR="002D1E45" w:rsidRPr="004D071E" w:rsidRDefault="002D1E45" w:rsidP="004D071E">
            <w:pPr>
              <w:widowControl w:val="0"/>
              <w:spacing w:after="0" w:line="240" w:lineRule="auto"/>
              <w:jc w:val="center"/>
              <w:rPr>
                <w:rFonts w:ascii="Times New Roman" w:hAnsi="Times New Roman"/>
                <w:color w:val="000000"/>
                <w:sz w:val="24"/>
                <w:szCs w:val="20"/>
                <w:lang w:eastAsia="ru-RU"/>
              </w:rPr>
            </w:pPr>
            <w:r w:rsidRPr="004D071E">
              <w:rPr>
                <w:rFonts w:ascii="Times New Roman" w:hAnsi="Times New Roman"/>
                <w:color w:val="000000"/>
                <w:sz w:val="24"/>
                <w:szCs w:val="20"/>
                <w:lang w:eastAsia="ru-RU"/>
              </w:rPr>
              <w:t>70</w:t>
            </w:r>
          </w:p>
        </w:tc>
      </w:tr>
      <w:tr w:rsidR="002D1E45" w:rsidRPr="004D071E" w:rsidTr="009E36EB">
        <w:trPr>
          <w:jc w:val="center"/>
        </w:trPr>
        <w:tc>
          <w:tcPr>
            <w:tcW w:w="8500" w:type="dxa"/>
          </w:tcPr>
          <w:p w:rsidR="002D1E45" w:rsidRPr="004D071E" w:rsidRDefault="002D1E45" w:rsidP="004D071E">
            <w:pPr>
              <w:widowControl w:val="0"/>
              <w:spacing w:after="0" w:line="240" w:lineRule="auto"/>
              <w:rPr>
                <w:rFonts w:ascii="Times New Roman" w:hAnsi="Times New Roman"/>
                <w:color w:val="000000"/>
                <w:sz w:val="24"/>
                <w:szCs w:val="20"/>
                <w:lang w:eastAsia="ru-RU"/>
              </w:rPr>
            </w:pPr>
            <w:r w:rsidRPr="004D071E">
              <w:rPr>
                <w:rFonts w:ascii="Times New Roman" w:hAnsi="Times New Roman"/>
                <w:color w:val="000000"/>
                <w:sz w:val="24"/>
                <w:szCs w:val="20"/>
                <w:lang w:eastAsia="ru-RU"/>
              </w:rPr>
              <w:t>Гибель или серьёзные поражения тела и барабанных перепонок при воздействии воздушной ударной волны, при обрушении части конструкций зданий или перемещении (отбросе) тела</w:t>
            </w:r>
          </w:p>
        </w:tc>
        <w:tc>
          <w:tcPr>
            <w:tcW w:w="1668" w:type="dxa"/>
            <w:vAlign w:val="center"/>
          </w:tcPr>
          <w:p w:rsidR="002D1E45" w:rsidRPr="004D071E" w:rsidRDefault="002D1E45" w:rsidP="004D071E">
            <w:pPr>
              <w:widowControl w:val="0"/>
              <w:spacing w:after="0" w:line="240" w:lineRule="auto"/>
              <w:jc w:val="center"/>
              <w:rPr>
                <w:rFonts w:ascii="Times New Roman" w:hAnsi="Times New Roman"/>
                <w:color w:val="000000"/>
                <w:sz w:val="24"/>
                <w:szCs w:val="20"/>
                <w:lang w:eastAsia="ru-RU"/>
              </w:rPr>
            </w:pPr>
            <w:r w:rsidRPr="004D071E">
              <w:rPr>
                <w:rFonts w:ascii="Times New Roman" w:hAnsi="Times New Roman"/>
                <w:color w:val="000000"/>
                <w:sz w:val="24"/>
                <w:szCs w:val="20"/>
                <w:lang w:eastAsia="ru-RU"/>
              </w:rPr>
              <w:t>55</w:t>
            </w:r>
          </w:p>
        </w:tc>
      </w:tr>
      <w:tr w:rsidR="002D1E45" w:rsidRPr="004D071E" w:rsidTr="009E36EB">
        <w:trPr>
          <w:jc w:val="center"/>
        </w:trPr>
        <w:tc>
          <w:tcPr>
            <w:tcW w:w="8500" w:type="dxa"/>
          </w:tcPr>
          <w:p w:rsidR="002D1E45" w:rsidRPr="004D071E" w:rsidRDefault="002D1E45" w:rsidP="004D071E">
            <w:pPr>
              <w:widowControl w:val="0"/>
              <w:spacing w:after="0" w:line="240" w:lineRule="auto"/>
              <w:rPr>
                <w:rFonts w:ascii="Times New Roman" w:hAnsi="Times New Roman"/>
                <w:color w:val="000000"/>
                <w:sz w:val="24"/>
                <w:szCs w:val="20"/>
                <w:lang w:eastAsia="ru-RU"/>
              </w:rPr>
            </w:pPr>
            <w:r w:rsidRPr="004D071E">
              <w:rPr>
                <w:rFonts w:ascii="Times New Roman" w:hAnsi="Times New Roman"/>
                <w:color w:val="000000"/>
                <w:sz w:val="24"/>
                <w:szCs w:val="20"/>
                <w:lang w:eastAsia="ru-RU"/>
              </w:rPr>
              <w:t>Серьёзные повреждения с возможным летальным исходом в результате поражения обломками зданий. Имеется 10 % вероятность разрыва барабанных перепонок</w:t>
            </w:r>
          </w:p>
        </w:tc>
        <w:tc>
          <w:tcPr>
            <w:tcW w:w="1668" w:type="dxa"/>
            <w:vAlign w:val="center"/>
          </w:tcPr>
          <w:p w:rsidR="002D1E45" w:rsidRPr="004D071E" w:rsidRDefault="002D1E45" w:rsidP="004D071E">
            <w:pPr>
              <w:widowControl w:val="0"/>
              <w:spacing w:after="0" w:line="240" w:lineRule="auto"/>
              <w:jc w:val="center"/>
              <w:rPr>
                <w:rFonts w:ascii="Times New Roman" w:hAnsi="Times New Roman"/>
                <w:color w:val="000000"/>
                <w:sz w:val="24"/>
                <w:szCs w:val="20"/>
                <w:lang w:eastAsia="ru-RU"/>
              </w:rPr>
            </w:pPr>
            <w:r w:rsidRPr="004D071E">
              <w:rPr>
                <w:rFonts w:ascii="Times New Roman" w:hAnsi="Times New Roman"/>
                <w:color w:val="000000"/>
                <w:sz w:val="24"/>
                <w:szCs w:val="20"/>
                <w:lang w:eastAsia="ru-RU"/>
              </w:rPr>
              <w:t>24</w:t>
            </w:r>
          </w:p>
        </w:tc>
      </w:tr>
      <w:tr w:rsidR="002D1E45" w:rsidRPr="004D071E" w:rsidTr="009E36EB">
        <w:trPr>
          <w:jc w:val="center"/>
        </w:trPr>
        <w:tc>
          <w:tcPr>
            <w:tcW w:w="8500" w:type="dxa"/>
          </w:tcPr>
          <w:p w:rsidR="002D1E45" w:rsidRPr="004D071E" w:rsidRDefault="002D1E45" w:rsidP="004D071E">
            <w:pPr>
              <w:widowControl w:val="0"/>
              <w:spacing w:after="0" w:line="240" w:lineRule="auto"/>
              <w:rPr>
                <w:rFonts w:ascii="Times New Roman" w:hAnsi="Times New Roman"/>
                <w:color w:val="000000"/>
                <w:sz w:val="24"/>
                <w:szCs w:val="20"/>
                <w:lang w:eastAsia="ru-RU"/>
              </w:rPr>
            </w:pPr>
            <w:r w:rsidRPr="004D071E">
              <w:rPr>
                <w:rFonts w:ascii="Times New Roman" w:hAnsi="Times New Roman"/>
                <w:color w:val="000000"/>
                <w:sz w:val="24"/>
                <w:szCs w:val="20"/>
                <w:lang w:eastAsia="ru-RU"/>
              </w:rPr>
              <w:t>Временная потеря слуха или травмы в результате вторичных эффектов воздушной ударной волны (летальный исход и серьёзные повреждения являются маловероятными событием)</w:t>
            </w:r>
          </w:p>
        </w:tc>
        <w:tc>
          <w:tcPr>
            <w:tcW w:w="1668" w:type="dxa"/>
            <w:vAlign w:val="center"/>
          </w:tcPr>
          <w:p w:rsidR="002D1E45" w:rsidRPr="004D071E" w:rsidRDefault="002D1E45" w:rsidP="004D071E">
            <w:pPr>
              <w:widowControl w:val="0"/>
              <w:spacing w:after="0" w:line="240" w:lineRule="auto"/>
              <w:jc w:val="center"/>
              <w:rPr>
                <w:rFonts w:ascii="Times New Roman" w:hAnsi="Times New Roman"/>
                <w:color w:val="000000"/>
                <w:sz w:val="24"/>
                <w:szCs w:val="20"/>
                <w:lang w:eastAsia="ru-RU"/>
              </w:rPr>
            </w:pPr>
            <w:r w:rsidRPr="004D071E">
              <w:rPr>
                <w:rFonts w:ascii="Times New Roman" w:hAnsi="Times New Roman"/>
                <w:color w:val="000000"/>
                <w:sz w:val="24"/>
                <w:szCs w:val="20"/>
                <w:lang w:eastAsia="ru-RU"/>
              </w:rPr>
              <w:t>16</w:t>
            </w:r>
          </w:p>
        </w:tc>
      </w:tr>
      <w:tr w:rsidR="002D1E45" w:rsidRPr="004D071E" w:rsidTr="009E36EB">
        <w:trPr>
          <w:jc w:val="center"/>
        </w:trPr>
        <w:tc>
          <w:tcPr>
            <w:tcW w:w="8500" w:type="dxa"/>
          </w:tcPr>
          <w:p w:rsidR="002D1E45" w:rsidRPr="004D071E" w:rsidRDefault="002D1E45" w:rsidP="004D071E">
            <w:pPr>
              <w:widowControl w:val="0"/>
              <w:spacing w:after="0" w:line="240" w:lineRule="auto"/>
              <w:rPr>
                <w:rFonts w:ascii="Times New Roman" w:hAnsi="Times New Roman"/>
                <w:color w:val="000000"/>
                <w:sz w:val="24"/>
                <w:szCs w:val="20"/>
                <w:lang w:eastAsia="ru-RU"/>
              </w:rPr>
            </w:pPr>
            <w:r w:rsidRPr="004D071E">
              <w:rPr>
                <w:rFonts w:ascii="Times New Roman" w:hAnsi="Times New Roman"/>
                <w:color w:val="000000"/>
                <w:sz w:val="24"/>
                <w:szCs w:val="20"/>
                <w:lang w:eastAsia="ru-RU"/>
              </w:rPr>
              <w:t>Порог поражения людей (высокая вероятность отсутствия летального исхода или серьёзных повреждений). Имеется вероятность травм, связанных с разрушением стёкол и повреждением стен зданий.</w:t>
            </w:r>
          </w:p>
        </w:tc>
        <w:tc>
          <w:tcPr>
            <w:tcW w:w="1668" w:type="dxa"/>
            <w:vAlign w:val="center"/>
          </w:tcPr>
          <w:p w:rsidR="002D1E45" w:rsidRPr="004D071E" w:rsidRDefault="002D1E45" w:rsidP="004D071E">
            <w:pPr>
              <w:widowControl w:val="0"/>
              <w:spacing w:after="0" w:line="240" w:lineRule="auto"/>
              <w:jc w:val="center"/>
              <w:rPr>
                <w:rFonts w:ascii="Times New Roman" w:hAnsi="Times New Roman"/>
                <w:color w:val="000000"/>
                <w:sz w:val="24"/>
                <w:szCs w:val="20"/>
                <w:lang w:eastAsia="ru-RU"/>
              </w:rPr>
            </w:pPr>
            <w:r w:rsidRPr="004D071E">
              <w:rPr>
                <w:rFonts w:ascii="Times New Roman" w:hAnsi="Times New Roman"/>
                <w:color w:val="000000"/>
                <w:sz w:val="24"/>
                <w:szCs w:val="20"/>
                <w:lang w:eastAsia="ru-RU"/>
              </w:rPr>
              <w:t>5</w:t>
            </w:r>
          </w:p>
        </w:tc>
      </w:tr>
    </w:tbl>
    <w:p w:rsidR="002D1E45" w:rsidRPr="004D071E" w:rsidRDefault="002D1E45" w:rsidP="004D071E">
      <w:pPr>
        <w:widowControl w:val="0"/>
        <w:spacing w:after="0" w:line="288" w:lineRule="auto"/>
        <w:ind w:left="142" w:right="-57" w:firstLine="567"/>
        <w:jc w:val="both"/>
        <w:rPr>
          <w:rFonts w:ascii="Times New Roman" w:hAnsi="Times New Roman"/>
          <w:sz w:val="25"/>
          <w:szCs w:val="25"/>
          <w:lang w:eastAsia="ru-RU"/>
        </w:rPr>
      </w:pPr>
    </w:p>
    <w:p w:rsidR="002D1E45" w:rsidRPr="004D071E" w:rsidRDefault="002D1E45" w:rsidP="004D071E">
      <w:pPr>
        <w:spacing w:after="0" w:line="240" w:lineRule="auto"/>
        <w:ind w:firstLine="709"/>
        <w:jc w:val="both"/>
        <w:rPr>
          <w:rFonts w:ascii="Times New Roman" w:hAnsi="Times New Roman"/>
          <w:sz w:val="28"/>
          <w:szCs w:val="24"/>
          <w:lang w:eastAsia="ru-RU"/>
        </w:rPr>
      </w:pPr>
      <w:r w:rsidRPr="004D071E">
        <w:rPr>
          <w:rFonts w:ascii="Times New Roman" w:hAnsi="Times New Roman"/>
          <w:sz w:val="28"/>
          <w:szCs w:val="24"/>
          <w:lang w:eastAsia="ru-RU"/>
        </w:rPr>
        <w:t>Определение поражающих факторов и последствий различных сценариев аварий выполнены по методикам:</w:t>
      </w:r>
    </w:p>
    <w:p w:rsidR="002D1E45" w:rsidRPr="004D071E" w:rsidRDefault="002D1E45" w:rsidP="00852938">
      <w:pPr>
        <w:numPr>
          <w:ilvl w:val="0"/>
          <w:numId w:val="24"/>
        </w:numPr>
        <w:tabs>
          <w:tab w:val="clear" w:pos="1429"/>
          <w:tab w:val="left" w:pos="1134"/>
          <w:tab w:val="num" w:pos="1353"/>
        </w:tabs>
        <w:spacing w:after="0" w:line="240" w:lineRule="auto"/>
        <w:ind w:left="1134"/>
        <w:jc w:val="both"/>
        <w:rPr>
          <w:rFonts w:ascii="Times New Roman" w:hAnsi="Times New Roman"/>
          <w:sz w:val="28"/>
          <w:szCs w:val="28"/>
          <w:lang w:eastAsia="ru-RU"/>
        </w:rPr>
      </w:pPr>
      <w:r w:rsidRPr="004D071E">
        <w:rPr>
          <w:rFonts w:ascii="Times New Roman" w:hAnsi="Times New Roman"/>
          <w:sz w:val="28"/>
          <w:szCs w:val="28"/>
          <w:lang w:eastAsia="ru-RU"/>
        </w:rPr>
        <w:t>«Пожарная безопасность технологических процессов. Общие требования» ГОСТ Р 12.3.047-98;</w:t>
      </w:r>
    </w:p>
    <w:p w:rsidR="002D1E45" w:rsidRPr="004D071E" w:rsidRDefault="002D1E45" w:rsidP="00852938">
      <w:pPr>
        <w:numPr>
          <w:ilvl w:val="0"/>
          <w:numId w:val="24"/>
        </w:numPr>
        <w:tabs>
          <w:tab w:val="clear" w:pos="1429"/>
          <w:tab w:val="left" w:pos="1134"/>
          <w:tab w:val="num" w:pos="1353"/>
        </w:tabs>
        <w:spacing w:after="0" w:line="240" w:lineRule="auto"/>
        <w:ind w:left="1134"/>
        <w:jc w:val="both"/>
        <w:rPr>
          <w:rFonts w:ascii="Times New Roman" w:hAnsi="Times New Roman"/>
          <w:sz w:val="28"/>
          <w:szCs w:val="28"/>
          <w:lang w:eastAsia="ru-RU"/>
        </w:rPr>
      </w:pPr>
      <w:r w:rsidRPr="004D071E">
        <w:rPr>
          <w:rFonts w:ascii="Times New Roman" w:hAnsi="Times New Roman"/>
          <w:sz w:val="28"/>
          <w:szCs w:val="28"/>
          <w:lang w:eastAsia="ru-RU"/>
        </w:rPr>
        <w:t>«Сборник методик по прогнозированию возможных аварий, катастроф и стихийных бедствий», книга 2, МЧС России, 1994 год;</w:t>
      </w:r>
    </w:p>
    <w:p w:rsidR="002D1E45" w:rsidRPr="004D071E" w:rsidRDefault="002D1E45" w:rsidP="00852938">
      <w:pPr>
        <w:numPr>
          <w:ilvl w:val="0"/>
          <w:numId w:val="24"/>
        </w:numPr>
        <w:tabs>
          <w:tab w:val="clear" w:pos="1429"/>
          <w:tab w:val="left" w:pos="1134"/>
          <w:tab w:val="num" w:pos="1353"/>
        </w:tabs>
        <w:spacing w:after="0" w:line="240" w:lineRule="auto"/>
        <w:ind w:left="1134"/>
        <w:jc w:val="both"/>
        <w:rPr>
          <w:rFonts w:ascii="Times New Roman" w:hAnsi="Times New Roman"/>
          <w:sz w:val="28"/>
          <w:szCs w:val="28"/>
          <w:lang w:eastAsia="ru-RU"/>
        </w:rPr>
      </w:pPr>
      <w:r w:rsidRPr="004D071E">
        <w:rPr>
          <w:rFonts w:ascii="Times New Roman" w:hAnsi="Times New Roman"/>
          <w:sz w:val="28"/>
          <w:szCs w:val="28"/>
          <w:lang w:eastAsia="ru-RU"/>
        </w:rPr>
        <w:t>РД 03-409-01 «Методике оценки последствий аварийных взрывов топливно-воздушных смесей».</w:t>
      </w:r>
    </w:p>
    <w:p w:rsidR="002D1E45" w:rsidRPr="004D071E" w:rsidRDefault="002D1E45" w:rsidP="004D071E">
      <w:pPr>
        <w:spacing w:after="0" w:line="240" w:lineRule="auto"/>
        <w:ind w:firstLine="709"/>
        <w:jc w:val="both"/>
        <w:rPr>
          <w:rFonts w:ascii="Times New Roman" w:hAnsi="Times New Roman"/>
          <w:sz w:val="28"/>
          <w:szCs w:val="24"/>
          <w:lang w:eastAsia="ru-RU"/>
        </w:rPr>
      </w:pPr>
      <w:r w:rsidRPr="004D071E">
        <w:rPr>
          <w:rFonts w:ascii="Times New Roman" w:hAnsi="Times New Roman"/>
          <w:sz w:val="28"/>
          <w:szCs w:val="24"/>
          <w:lang w:eastAsia="ru-RU"/>
        </w:rPr>
        <w:t xml:space="preserve">Параметры зон поражения наиболее опасных поражающих факторов ЧС при рассмотренных вариантах аварий приведены в таблицах </w:t>
      </w:r>
      <w:r w:rsidRPr="004D071E">
        <w:rPr>
          <w:rFonts w:ascii="Times New Roman" w:hAnsi="Times New Roman"/>
          <w:sz w:val="28"/>
          <w:szCs w:val="24"/>
          <w:lang w:eastAsia="ru-RU"/>
        </w:rPr>
        <w:fldChar w:fldCharType="begin"/>
      </w:r>
      <w:r w:rsidRPr="004D071E">
        <w:rPr>
          <w:rFonts w:ascii="Times New Roman" w:hAnsi="Times New Roman"/>
          <w:sz w:val="28"/>
          <w:szCs w:val="24"/>
          <w:lang w:eastAsia="ru-RU"/>
        </w:rPr>
        <w:instrText xml:space="preserve"> REF TBl_Zony1 \h </w:instrText>
      </w:r>
      <w:r w:rsidRPr="004D071E">
        <w:rPr>
          <w:rFonts w:ascii="Times New Roman" w:hAnsi="Times New Roman"/>
          <w:sz w:val="28"/>
          <w:szCs w:val="24"/>
          <w:lang w:eastAsia="ru-RU"/>
        </w:rPr>
      </w:r>
      <w:r w:rsidRPr="004D071E">
        <w:rPr>
          <w:rFonts w:ascii="Times New Roman" w:hAnsi="Times New Roman"/>
          <w:sz w:val="28"/>
          <w:szCs w:val="24"/>
          <w:lang w:eastAsia="ru-RU"/>
        </w:rPr>
        <w:fldChar w:fldCharType="separate"/>
      </w:r>
      <w:r>
        <w:rPr>
          <w:rFonts w:ascii="Times New Roman" w:hAnsi="Times New Roman"/>
          <w:noProof/>
          <w:sz w:val="28"/>
          <w:szCs w:val="24"/>
          <w:lang w:eastAsia="ru-RU"/>
        </w:rPr>
        <w:t>29</w:t>
      </w:r>
      <w:r w:rsidRPr="004D071E">
        <w:rPr>
          <w:rFonts w:ascii="Times New Roman" w:hAnsi="Times New Roman"/>
          <w:sz w:val="28"/>
          <w:szCs w:val="24"/>
          <w:lang w:eastAsia="ru-RU"/>
        </w:rPr>
        <w:fldChar w:fldCharType="end"/>
      </w:r>
      <w:r w:rsidRPr="004D071E">
        <w:rPr>
          <w:rFonts w:ascii="Times New Roman" w:hAnsi="Times New Roman"/>
          <w:sz w:val="28"/>
          <w:szCs w:val="24"/>
          <w:lang w:eastAsia="ru-RU"/>
        </w:rPr>
        <w:t>-</w:t>
      </w:r>
      <w:r w:rsidRPr="004D071E">
        <w:rPr>
          <w:rFonts w:ascii="Times New Roman" w:hAnsi="Times New Roman"/>
          <w:sz w:val="28"/>
          <w:szCs w:val="24"/>
          <w:lang w:eastAsia="ru-RU"/>
        </w:rPr>
        <w:fldChar w:fldCharType="begin"/>
      </w:r>
      <w:r w:rsidRPr="004D071E">
        <w:rPr>
          <w:rFonts w:ascii="Times New Roman" w:hAnsi="Times New Roman"/>
          <w:sz w:val="28"/>
          <w:szCs w:val="24"/>
          <w:lang w:eastAsia="ru-RU"/>
        </w:rPr>
        <w:instrText xml:space="preserve"> REF TBl_Zony2 \h </w:instrText>
      </w:r>
      <w:r w:rsidRPr="004D071E">
        <w:rPr>
          <w:rFonts w:ascii="Times New Roman" w:hAnsi="Times New Roman"/>
          <w:sz w:val="28"/>
          <w:szCs w:val="24"/>
          <w:lang w:eastAsia="ru-RU"/>
        </w:rPr>
      </w:r>
      <w:r w:rsidRPr="004D071E">
        <w:rPr>
          <w:rFonts w:ascii="Times New Roman" w:hAnsi="Times New Roman"/>
          <w:sz w:val="28"/>
          <w:szCs w:val="24"/>
          <w:lang w:eastAsia="ru-RU"/>
        </w:rPr>
        <w:fldChar w:fldCharType="separate"/>
      </w:r>
      <w:r>
        <w:rPr>
          <w:rFonts w:ascii="Times New Roman" w:hAnsi="Times New Roman"/>
          <w:noProof/>
          <w:sz w:val="28"/>
          <w:szCs w:val="24"/>
          <w:lang w:eastAsia="ru-RU"/>
        </w:rPr>
        <w:t>31</w:t>
      </w:r>
      <w:r w:rsidRPr="004D071E">
        <w:rPr>
          <w:rFonts w:ascii="Times New Roman" w:hAnsi="Times New Roman"/>
          <w:sz w:val="28"/>
          <w:szCs w:val="24"/>
          <w:lang w:eastAsia="ru-RU"/>
        </w:rPr>
        <w:fldChar w:fldCharType="end"/>
      </w:r>
      <w:r w:rsidRPr="004D071E">
        <w:rPr>
          <w:rFonts w:ascii="Times New Roman" w:hAnsi="Times New Roman"/>
          <w:sz w:val="28"/>
          <w:szCs w:val="24"/>
          <w:lang w:eastAsia="ru-RU"/>
        </w:rPr>
        <w:t>.</w:t>
      </w:r>
    </w:p>
    <w:p w:rsidR="002D1E45" w:rsidRPr="004D071E" w:rsidRDefault="002D1E45" w:rsidP="004D071E">
      <w:pPr>
        <w:autoSpaceDE w:val="0"/>
        <w:autoSpaceDN w:val="0"/>
        <w:adjustRightInd w:val="0"/>
        <w:spacing w:after="0" w:line="240" w:lineRule="auto"/>
        <w:ind w:firstLine="709"/>
        <w:jc w:val="right"/>
        <w:rPr>
          <w:rFonts w:ascii="Times New Roman" w:hAnsi="Times New Roman"/>
          <w:sz w:val="28"/>
          <w:szCs w:val="24"/>
          <w:lang w:eastAsia="ru-RU"/>
        </w:rPr>
      </w:pPr>
      <w:r w:rsidRPr="004D071E">
        <w:rPr>
          <w:rFonts w:ascii="Times New Roman" w:hAnsi="Times New Roman"/>
          <w:sz w:val="28"/>
          <w:szCs w:val="24"/>
          <w:lang w:eastAsia="ru-RU"/>
        </w:rPr>
        <w:t xml:space="preserve">Таблица </w:t>
      </w:r>
      <w:bookmarkStart w:id="178" w:name="TBl_Zony1"/>
      <w:r w:rsidRPr="004D071E">
        <w:rPr>
          <w:rFonts w:ascii="Times New Roman" w:hAnsi="Times New Roman"/>
          <w:sz w:val="28"/>
          <w:szCs w:val="24"/>
          <w:lang w:eastAsia="ru-RU"/>
        </w:rPr>
        <w:fldChar w:fldCharType="begin"/>
      </w:r>
      <w:r w:rsidRPr="004D071E">
        <w:rPr>
          <w:rFonts w:ascii="Times New Roman" w:hAnsi="Times New Roman"/>
          <w:sz w:val="28"/>
          <w:szCs w:val="24"/>
          <w:lang w:eastAsia="ru-RU"/>
        </w:rPr>
        <w:instrText xml:space="preserve"> SEQ Таблица \* ARABIC </w:instrText>
      </w:r>
      <w:r w:rsidRPr="004D071E">
        <w:rPr>
          <w:rFonts w:ascii="Times New Roman" w:hAnsi="Times New Roman"/>
          <w:sz w:val="28"/>
          <w:szCs w:val="24"/>
          <w:lang w:eastAsia="ru-RU"/>
        </w:rPr>
        <w:fldChar w:fldCharType="separate"/>
      </w:r>
      <w:r>
        <w:rPr>
          <w:rFonts w:ascii="Times New Roman" w:hAnsi="Times New Roman"/>
          <w:noProof/>
          <w:sz w:val="28"/>
          <w:szCs w:val="24"/>
          <w:lang w:eastAsia="ru-RU"/>
        </w:rPr>
        <w:t>29</w:t>
      </w:r>
      <w:r w:rsidRPr="004D071E">
        <w:rPr>
          <w:rFonts w:ascii="Times New Roman" w:hAnsi="Times New Roman"/>
          <w:sz w:val="28"/>
          <w:szCs w:val="24"/>
          <w:lang w:eastAsia="ru-RU"/>
        </w:rPr>
        <w:fldChar w:fldCharType="end"/>
      </w:r>
      <w:bookmarkEnd w:id="178"/>
    </w:p>
    <w:p w:rsidR="002D1E45" w:rsidRPr="004D071E" w:rsidRDefault="002D1E45" w:rsidP="004D071E">
      <w:pPr>
        <w:widowControl w:val="0"/>
        <w:spacing w:after="120" w:line="240" w:lineRule="auto"/>
        <w:ind w:right="-1"/>
        <w:jc w:val="center"/>
        <w:rPr>
          <w:rFonts w:ascii="Times New Roman" w:hAnsi="Times New Roman"/>
          <w:sz w:val="28"/>
          <w:szCs w:val="24"/>
          <w:lang w:eastAsia="ru-RU"/>
        </w:rPr>
      </w:pPr>
      <w:r w:rsidRPr="004D071E">
        <w:rPr>
          <w:rFonts w:ascii="Times New Roman" w:hAnsi="Times New Roman"/>
          <w:sz w:val="28"/>
          <w:szCs w:val="24"/>
          <w:lang w:eastAsia="ru-RU"/>
        </w:rPr>
        <w:t>Параметры поражающих факторов при авариях с ЛВЖ (ГЖ) при разгерметизации автомобильной ёмкости транспортировки с пожаром пролива нефтепродуктов (сценарий 1)</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92"/>
        <w:gridCol w:w="709"/>
        <w:gridCol w:w="1348"/>
        <w:gridCol w:w="3330"/>
        <w:gridCol w:w="3402"/>
      </w:tblGrid>
      <w:tr w:rsidR="002D1E45" w:rsidRPr="004D071E" w:rsidTr="001D0C26">
        <w:trPr>
          <w:trHeight w:val="663"/>
          <w:jc w:val="center"/>
        </w:trPr>
        <w:tc>
          <w:tcPr>
            <w:tcW w:w="992" w:type="dxa"/>
            <w:vMerge w:val="restart"/>
            <w:vAlign w:val="center"/>
          </w:tcPr>
          <w:p w:rsidR="002D1E45" w:rsidRPr="004D071E" w:rsidRDefault="002D1E45" w:rsidP="004D071E">
            <w:pPr>
              <w:widowControl w:val="0"/>
              <w:spacing w:after="0" w:line="240" w:lineRule="auto"/>
              <w:ind w:left="-36" w:right="-8"/>
              <w:jc w:val="center"/>
              <w:rPr>
                <w:rFonts w:ascii="Times New Roman" w:hAnsi="Times New Roman"/>
                <w:color w:val="000000"/>
                <w:sz w:val="24"/>
                <w:szCs w:val="24"/>
                <w:lang w:eastAsia="ru-RU"/>
              </w:rPr>
            </w:pPr>
            <w:r w:rsidRPr="004D071E">
              <w:rPr>
                <w:rFonts w:ascii="Times New Roman" w:hAnsi="Times New Roman"/>
                <w:color w:val="000000"/>
                <w:sz w:val="24"/>
                <w:szCs w:val="24"/>
                <w:lang w:eastAsia="ru-RU"/>
              </w:rPr>
              <w:t>Наименование вещества</w:t>
            </w:r>
          </w:p>
        </w:tc>
        <w:tc>
          <w:tcPr>
            <w:tcW w:w="709" w:type="dxa"/>
            <w:vMerge w:val="restart"/>
            <w:vAlign w:val="center"/>
          </w:tcPr>
          <w:p w:rsidR="002D1E45" w:rsidRPr="004D071E" w:rsidRDefault="002D1E45" w:rsidP="004D071E">
            <w:pPr>
              <w:widowControl w:val="0"/>
              <w:spacing w:after="0" w:line="240" w:lineRule="auto"/>
              <w:ind w:left="-36" w:right="-8"/>
              <w:jc w:val="center"/>
              <w:rPr>
                <w:rFonts w:ascii="Times New Roman" w:hAnsi="Times New Roman"/>
                <w:b/>
                <w:color w:val="000000"/>
                <w:sz w:val="24"/>
                <w:szCs w:val="24"/>
                <w:lang w:eastAsia="ru-RU"/>
              </w:rPr>
            </w:pPr>
            <w:r w:rsidRPr="004D071E">
              <w:rPr>
                <w:rFonts w:ascii="Times New Roman" w:hAnsi="Times New Roman"/>
                <w:color w:val="000000"/>
                <w:sz w:val="24"/>
                <w:szCs w:val="24"/>
                <w:lang w:eastAsia="ru-RU"/>
              </w:rPr>
              <w:t>Количество, т</w:t>
            </w:r>
          </w:p>
        </w:tc>
        <w:tc>
          <w:tcPr>
            <w:tcW w:w="1348" w:type="dxa"/>
            <w:vMerge w:val="restart"/>
            <w:vAlign w:val="center"/>
          </w:tcPr>
          <w:p w:rsidR="002D1E45" w:rsidRPr="004D071E" w:rsidRDefault="002D1E45" w:rsidP="004D071E">
            <w:pPr>
              <w:widowControl w:val="0"/>
              <w:spacing w:after="0" w:line="240" w:lineRule="auto"/>
              <w:ind w:left="-36" w:right="-8"/>
              <w:jc w:val="center"/>
              <w:rPr>
                <w:rFonts w:ascii="Times New Roman" w:hAnsi="Times New Roman"/>
                <w:color w:val="000000"/>
                <w:sz w:val="24"/>
                <w:szCs w:val="24"/>
                <w:lang w:eastAsia="ru-RU"/>
              </w:rPr>
            </w:pPr>
            <w:r w:rsidRPr="004D071E">
              <w:rPr>
                <w:rFonts w:ascii="Times New Roman" w:hAnsi="Times New Roman"/>
                <w:color w:val="000000"/>
                <w:sz w:val="24"/>
                <w:szCs w:val="24"/>
                <w:lang w:eastAsia="ru-RU"/>
              </w:rPr>
              <w:t>Площадь пожара (при растекании по магистрали), м</w:t>
            </w:r>
            <w:r w:rsidRPr="004D071E">
              <w:rPr>
                <w:rFonts w:ascii="Times New Roman" w:hAnsi="Times New Roman"/>
                <w:color w:val="000000"/>
                <w:sz w:val="24"/>
                <w:szCs w:val="24"/>
                <w:vertAlign w:val="superscript"/>
                <w:lang w:eastAsia="ru-RU"/>
              </w:rPr>
              <w:t>2</w:t>
            </w:r>
          </w:p>
        </w:tc>
        <w:tc>
          <w:tcPr>
            <w:tcW w:w="6732" w:type="dxa"/>
            <w:gridSpan w:val="2"/>
            <w:vAlign w:val="center"/>
          </w:tcPr>
          <w:p w:rsidR="002D1E45" w:rsidRPr="004D071E" w:rsidRDefault="002D1E45" w:rsidP="004D071E">
            <w:pPr>
              <w:widowControl w:val="0"/>
              <w:spacing w:after="0" w:line="240" w:lineRule="auto"/>
              <w:ind w:left="-36" w:right="-8"/>
              <w:jc w:val="center"/>
              <w:rPr>
                <w:rFonts w:ascii="Times New Roman" w:hAnsi="Times New Roman"/>
                <w:color w:val="000000"/>
                <w:sz w:val="24"/>
                <w:szCs w:val="24"/>
                <w:lang w:eastAsia="ru-RU"/>
              </w:rPr>
            </w:pPr>
            <w:r w:rsidRPr="004D071E">
              <w:rPr>
                <w:rFonts w:ascii="Times New Roman" w:hAnsi="Times New Roman"/>
                <w:color w:val="000000"/>
                <w:sz w:val="24"/>
                <w:szCs w:val="24"/>
                <w:lang w:eastAsia="ru-RU"/>
              </w:rPr>
              <w:t>Радиусы зон поражения людей (м), с учётом образующейся при горении пролива интенсивности теплового излучения (кВт/м</w:t>
            </w:r>
            <w:r w:rsidRPr="004D071E">
              <w:rPr>
                <w:rFonts w:ascii="Times New Roman" w:hAnsi="Times New Roman"/>
                <w:color w:val="000000"/>
                <w:sz w:val="24"/>
                <w:szCs w:val="24"/>
                <w:vertAlign w:val="superscript"/>
                <w:lang w:eastAsia="ru-RU"/>
              </w:rPr>
              <w:t>2</w:t>
            </w:r>
            <w:r w:rsidRPr="004D071E">
              <w:rPr>
                <w:rFonts w:ascii="Times New Roman" w:hAnsi="Times New Roman"/>
                <w:color w:val="000000"/>
                <w:sz w:val="24"/>
                <w:szCs w:val="24"/>
                <w:lang w:eastAsia="ru-RU"/>
              </w:rPr>
              <w:t>)</w:t>
            </w:r>
          </w:p>
        </w:tc>
      </w:tr>
      <w:tr w:rsidR="002D1E45" w:rsidRPr="004D071E" w:rsidTr="001D0C26">
        <w:trPr>
          <w:trHeight w:val="848"/>
          <w:jc w:val="center"/>
        </w:trPr>
        <w:tc>
          <w:tcPr>
            <w:tcW w:w="992" w:type="dxa"/>
            <w:vMerge/>
            <w:vAlign w:val="center"/>
          </w:tcPr>
          <w:p w:rsidR="002D1E45" w:rsidRPr="004D071E" w:rsidRDefault="002D1E45" w:rsidP="004D071E">
            <w:pPr>
              <w:widowControl w:val="0"/>
              <w:spacing w:after="0" w:line="240" w:lineRule="auto"/>
              <w:ind w:left="-36" w:right="-8"/>
              <w:jc w:val="center"/>
              <w:rPr>
                <w:rFonts w:ascii="Times New Roman" w:hAnsi="Times New Roman"/>
                <w:color w:val="000000"/>
                <w:sz w:val="24"/>
                <w:szCs w:val="24"/>
                <w:lang w:eastAsia="ru-RU"/>
              </w:rPr>
            </w:pPr>
          </w:p>
        </w:tc>
        <w:tc>
          <w:tcPr>
            <w:tcW w:w="709" w:type="dxa"/>
            <w:vMerge/>
            <w:vAlign w:val="center"/>
          </w:tcPr>
          <w:p w:rsidR="002D1E45" w:rsidRPr="004D071E" w:rsidRDefault="002D1E45" w:rsidP="004D071E">
            <w:pPr>
              <w:widowControl w:val="0"/>
              <w:spacing w:after="0" w:line="240" w:lineRule="auto"/>
              <w:ind w:left="-36" w:right="-8" w:firstLine="13"/>
              <w:jc w:val="center"/>
              <w:rPr>
                <w:rFonts w:ascii="Times New Roman" w:hAnsi="Times New Roman"/>
                <w:color w:val="000000"/>
                <w:sz w:val="24"/>
                <w:szCs w:val="24"/>
                <w:lang w:eastAsia="ru-RU"/>
              </w:rPr>
            </w:pPr>
          </w:p>
        </w:tc>
        <w:tc>
          <w:tcPr>
            <w:tcW w:w="1348" w:type="dxa"/>
            <w:vMerge/>
            <w:vAlign w:val="center"/>
          </w:tcPr>
          <w:p w:rsidR="002D1E45" w:rsidRPr="004D071E" w:rsidRDefault="002D1E45" w:rsidP="004D071E">
            <w:pPr>
              <w:widowControl w:val="0"/>
              <w:spacing w:after="0" w:line="240" w:lineRule="auto"/>
              <w:ind w:left="-36" w:right="-8"/>
              <w:jc w:val="center"/>
              <w:rPr>
                <w:rFonts w:ascii="Times New Roman" w:hAnsi="Times New Roman"/>
                <w:color w:val="000000"/>
                <w:sz w:val="24"/>
                <w:szCs w:val="24"/>
                <w:lang w:eastAsia="ru-RU"/>
              </w:rPr>
            </w:pPr>
          </w:p>
        </w:tc>
        <w:tc>
          <w:tcPr>
            <w:tcW w:w="3330" w:type="dxa"/>
            <w:vAlign w:val="center"/>
          </w:tcPr>
          <w:p w:rsidR="002D1E45" w:rsidRPr="004D071E" w:rsidRDefault="002D1E45" w:rsidP="004D071E">
            <w:pPr>
              <w:widowControl w:val="0"/>
              <w:spacing w:after="0" w:line="240" w:lineRule="auto"/>
              <w:ind w:left="-36" w:right="-8"/>
              <w:jc w:val="center"/>
              <w:rPr>
                <w:rFonts w:ascii="Times New Roman" w:hAnsi="Times New Roman"/>
                <w:color w:val="000000"/>
                <w:sz w:val="24"/>
                <w:szCs w:val="24"/>
                <w:lang w:eastAsia="ru-RU"/>
              </w:rPr>
            </w:pPr>
            <w:r w:rsidRPr="004D071E">
              <w:rPr>
                <w:rFonts w:ascii="Times New Roman" w:hAnsi="Times New Roman"/>
                <w:color w:val="000000"/>
                <w:sz w:val="24"/>
                <w:szCs w:val="24"/>
                <w:lang w:eastAsia="ru-RU"/>
              </w:rPr>
              <w:t>Ожог 1-й степени через 6–8 с,</w:t>
            </w:r>
          </w:p>
          <w:p w:rsidR="002D1E45" w:rsidRPr="004D071E" w:rsidRDefault="002D1E45" w:rsidP="004D071E">
            <w:pPr>
              <w:widowControl w:val="0"/>
              <w:spacing w:after="0" w:line="240" w:lineRule="auto"/>
              <w:ind w:left="-36" w:right="-8"/>
              <w:jc w:val="center"/>
              <w:rPr>
                <w:rFonts w:ascii="Times New Roman" w:hAnsi="Times New Roman"/>
                <w:color w:val="000000"/>
                <w:sz w:val="24"/>
                <w:szCs w:val="24"/>
                <w:lang w:eastAsia="ru-RU"/>
              </w:rPr>
            </w:pPr>
            <w:r w:rsidRPr="004D071E">
              <w:rPr>
                <w:rFonts w:ascii="Times New Roman" w:hAnsi="Times New Roman"/>
                <w:color w:val="000000"/>
                <w:sz w:val="24"/>
                <w:szCs w:val="24"/>
                <w:lang w:eastAsia="ru-RU"/>
              </w:rPr>
              <w:t>ожог 2-й степени через 12–16 с, при 10,5 кВт/м</w:t>
            </w:r>
            <w:r w:rsidRPr="004D071E">
              <w:rPr>
                <w:rFonts w:ascii="Times New Roman" w:hAnsi="Times New Roman"/>
                <w:color w:val="000000"/>
                <w:sz w:val="24"/>
                <w:szCs w:val="24"/>
                <w:vertAlign w:val="superscript"/>
                <w:lang w:eastAsia="ru-RU"/>
              </w:rPr>
              <w:t>2</w:t>
            </w:r>
            <w:r w:rsidRPr="004D071E">
              <w:rPr>
                <w:rFonts w:ascii="Times New Roman" w:hAnsi="Times New Roman"/>
                <w:color w:val="000000"/>
                <w:sz w:val="24"/>
                <w:szCs w:val="24"/>
                <w:lang w:eastAsia="ru-RU"/>
              </w:rPr>
              <w:t>, м</w:t>
            </w:r>
          </w:p>
        </w:tc>
        <w:tc>
          <w:tcPr>
            <w:tcW w:w="3402" w:type="dxa"/>
            <w:vAlign w:val="center"/>
          </w:tcPr>
          <w:p w:rsidR="002D1E45" w:rsidRPr="004D071E" w:rsidRDefault="002D1E45" w:rsidP="004D071E">
            <w:pPr>
              <w:widowControl w:val="0"/>
              <w:spacing w:after="0" w:line="240" w:lineRule="auto"/>
              <w:ind w:left="-36" w:right="-8"/>
              <w:jc w:val="center"/>
              <w:rPr>
                <w:rFonts w:ascii="Times New Roman" w:hAnsi="Times New Roman"/>
                <w:color w:val="000000"/>
                <w:sz w:val="24"/>
                <w:szCs w:val="24"/>
                <w:lang w:eastAsia="ru-RU"/>
              </w:rPr>
            </w:pPr>
            <w:r w:rsidRPr="004D071E">
              <w:rPr>
                <w:rFonts w:ascii="Times New Roman" w:hAnsi="Times New Roman"/>
                <w:color w:val="000000"/>
                <w:sz w:val="24"/>
                <w:szCs w:val="24"/>
                <w:lang w:eastAsia="ru-RU"/>
              </w:rPr>
              <w:t>Безопасное расстояние для человека в брезентовой одежде, при 4,2 кВт/м</w:t>
            </w:r>
            <w:r w:rsidRPr="004D071E">
              <w:rPr>
                <w:rFonts w:ascii="Times New Roman" w:hAnsi="Times New Roman"/>
                <w:color w:val="000000"/>
                <w:sz w:val="24"/>
                <w:szCs w:val="24"/>
                <w:vertAlign w:val="superscript"/>
                <w:lang w:eastAsia="ru-RU"/>
              </w:rPr>
              <w:t>2</w:t>
            </w:r>
            <w:r w:rsidRPr="004D071E">
              <w:rPr>
                <w:rFonts w:ascii="Times New Roman" w:hAnsi="Times New Roman"/>
                <w:color w:val="000000"/>
                <w:sz w:val="24"/>
                <w:szCs w:val="24"/>
                <w:lang w:eastAsia="ru-RU"/>
              </w:rPr>
              <w:t>, м</w:t>
            </w:r>
          </w:p>
        </w:tc>
      </w:tr>
      <w:tr w:rsidR="002D1E45" w:rsidRPr="004D071E" w:rsidTr="001D0C26">
        <w:trPr>
          <w:trHeight w:val="285"/>
          <w:jc w:val="center"/>
        </w:trPr>
        <w:tc>
          <w:tcPr>
            <w:tcW w:w="992" w:type="dxa"/>
            <w:vAlign w:val="center"/>
          </w:tcPr>
          <w:p w:rsidR="002D1E45" w:rsidRPr="004D071E" w:rsidRDefault="002D1E45" w:rsidP="004D071E">
            <w:pPr>
              <w:widowControl w:val="0"/>
              <w:spacing w:after="0" w:line="240" w:lineRule="auto"/>
              <w:ind w:left="-108"/>
              <w:jc w:val="center"/>
              <w:rPr>
                <w:rFonts w:ascii="Times New Roman" w:hAnsi="Times New Roman"/>
                <w:color w:val="000000"/>
                <w:sz w:val="24"/>
                <w:szCs w:val="24"/>
                <w:lang w:eastAsia="ru-RU"/>
              </w:rPr>
            </w:pPr>
            <w:r w:rsidRPr="004D071E">
              <w:rPr>
                <w:rFonts w:ascii="Times New Roman" w:hAnsi="Times New Roman"/>
                <w:color w:val="000000"/>
                <w:sz w:val="24"/>
                <w:szCs w:val="24"/>
                <w:lang w:eastAsia="ru-RU"/>
              </w:rPr>
              <w:t>Бензин</w:t>
            </w:r>
          </w:p>
        </w:tc>
        <w:tc>
          <w:tcPr>
            <w:tcW w:w="709" w:type="dxa"/>
            <w:vAlign w:val="center"/>
          </w:tcPr>
          <w:p w:rsidR="002D1E45" w:rsidRPr="004D071E" w:rsidRDefault="002D1E45" w:rsidP="004D071E">
            <w:pPr>
              <w:widowControl w:val="0"/>
              <w:spacing w:after="0" w:line="240" w:lineRule="auto"/>
              <w:ind w:left="-108" w:right="-76"/>
              <w:jc w:val="center"/>
              <w:rPr>
                <w:rFonts w:ascii="Times New Roman" w:hAnsi="Times New Roman"/>
                <w:color w:val="000000"/>
                <w:sz w:val="24"/>
                <w:szCs w:val="24"/>
                <w:lang w:eastAsia="ru-RU"/>
              </w:rPr>
            </w:pPr>
            <w:r w:rsidRPr="004D071E">
              <w:rPr>
                <w:rFonts w:ascii="Times New Roman" w:hAnsi="Times New Roman"/>
                <w:color w:val="000000"/>
                <w:sz w:val="24"/>
                <w:szCs w:val="24"/>
                <w:lang w:eastAsia="ru-RU"/>
              </w:rPr>
              <w:t>25</w:t>
            </w:r>
          </w:p>
        </w:tc>
        <w:tc>
          <w:tcPr>
            <w:tcW w:w="1348" w:type="dxa"/>
            <w:vAlign w:val="center"/>
          </w:tcPr>
          <w:p w:rsidR="002D1E45" w:rsidRPr="004D071E" w:rsidRDefault="002D1E45" w:rsidP="004D071E">
            <w:pPr>
              <w:widowControl w:val="0"/>
              <w:spacing w:after="0" w:line="240" w:lineRule="auto"/>
              <w:jc w:val="center"/>
              <w:rPr>
                <w:rFonts w:ascii="Times New Roman" w:hAnsi="Times New Roman"/>
                <w:color w:val="000000"/>
                <w:sz w:val="24"/>
                <w:szCs w:val="24"/>
                <w:lang w:eastAsia="ru-RU"/>
              </w:rPr>
            </w:pPr>
            <w:r w:rsidRPr="004D071E">
              <w:rPr>
                <w:rFonts w:ascii="Times New Roman" w:hAnsi="Times New Roman"/>
                <w:color w:val="000000"/>
                <w:sz w:val="24"/>
                <w:szCs w:val="24"/>
                <w:lang w:eastAsia="ru-RU"/>
              </w:rPr>
              <w:t>640,5</w:t>
            </w:r>
          </w:p>
        </w:tc>
        <w:tc>
          <w:tcPr>
            <w:tcW w:w="3330" w:type="dxa"/>
            <w:vAlign w:val="center"/>
          </w:tcPr>
          <w:p w:rsidR="002D1E45" w:rsidRPr="004D071E" w:rsidRDefault="002D1E45" w:rsidP="004D071E">
            <w:pPr>
              <w:widowControl w:val="0"/>
              <w:spacing w:after="0" w:line="240" w:lineRule="auto"/>
              <w:jc w:val="center"/>
              <w:rPr>
                <w:rFonts w:ascii="Times New Roman" w:hAnsi="Times New Roman"/>
                <w:color w:val="000000"/>
                <w:sz w:val="24"/>
                <w:szCs w:val="24"/>
                <w:highlight w:val="yellow"/>
                <w:lang w:eastAsia="ru-RU"/>
              </w:rPr>
            </w:pPr>
            <w:r w:rsidRPr="004D071E">
              <w:rPr>
                <w:rFonts w:ascii="Times New Roman" w:hAnsi="Times New Roman"/>
                <w:color w:val="000000"/>
                <w:sz w:val="24"/>
                <w:szCs w:val="24"/>
                <w:lang w:eastAsia="ru-RU"/>
              </w:rPr>
              <w:t>17</w:t>
            </w:r>
          </w:p>
        </w:tc>
        <w:tc>
          <w:tcPr>
            <w:tcW w:w="3402" w:type="dxa"/>
            <w:vAlign w:val="center"/>
          </w:tcPr>
          <w:p w:rsidR="002D1E45" w:rsidRPr="004D071E" w:rsidRDefault="002D1E45" w:rsidP="004D071E">
            <w:pPr>
              <w:widowControl w:val="0"/>
              <w:spacing w:after="0" w:line="240" w:lineRule="auto"/>
              <w:jc w:val="center"/>
              <w:rPr>
                <w:rFonts w:ascii="Times New Roman" w:hAnsi="Times New Roman"/>
                <w:color w:val="000000"/>
                <w:sz w:val="24"/>
                <w:szCs w:val="24"/>
                <w:highlight w:val="yellow"/>
                <w:lang w:eastAsia="ru-RU"/>
              </w:rPr>
            </w:pPr>
            <w:r w:rsidRPr="004D071E">
              <w:rPr>
                <w:rFonts w:ascii="Times New Roman" w:hAnsi="Times New Roman"/>
                <w:color w:val="000000"/>
                <w:sz w:val="24"/>
                <w:szCs w:val="24"/>
                <w:lang w:eastAsia="ru-RU"/>
              </w:rPr>
              <w:t>27</w:t>
            </w:r>
          </w:p>
        </w:tc>
      </w:tr>
    </w:tbl>
    <w:p w:rsidR="002D1E45" w:rsidRPr="004D071E" w:rsidRDefault="002D1E45" w:rsidP="004D071E">
      <w:pPr>
        <w:autoSpaceDE w:val="0"/>
        <w:autoSpaceDN w:val="0"/>
        <w:adjustRightInd w:val="0"/>
        <w:spacing w:after="0" w:line="240" w:lineRule="auto"/>
        <w:ind w:firstLine="709"/>
        <w:jc w:val="right"/>
        <w:rPr>
          <w:rFonts w:ascii="Times New Roman" w:hAnsi="Times New Roman"/>
          <w:sz w:val="28"/>
          <w:szCs w:val="24"/>
          <w:lang w:eastAsia="ru-RU"/>
        </w:rPr>
      </w:pPr>
    </w:p>
    <w:p w:rsidR="002D1E45" w:rsidRPr="004D071E" w:rsidRDefault="002D1E45" w:rsidP="004D071E">
      <w:pPr>
        <w:autoSpaceDE w:val="0"/>
        <w:autoSpaceDN w:val="0"/>
        <w:adjustRightInd w:val="0"/>
        <w:spacing w:after="0" w:line="240" w:lineRule="auto"/>
        <w:ind w:firstLine="709"/>
        <w:jc w:val="right"/>
        <w:rPr>
          <w:rFonts w:ascii="Times New Roman" w:hAnsi="Times New Roman"/>
          <w:sz w:val="28"/>
          <w:szCs w:val="24"/>
          <w:lang w:eastAsia="ru-RU"/>
        </w:rPr>
      </w:pPr>
      <w:r w:rsidRPr="004D071E">
        <w:rPr>
          <w:rFonts w:ascii="Times New Roman" w:hAnsi="Times New Roman"/>
          <w:sz w:val="28"/>
          <w:szCs w:val="24"/>
          <w:lang w:eastAsia="ru-RU"/>
        </w:rPr>
        <w:t xml:space="preserve">Таблица </w:t>
      </w:r>
      <w:r w:rsidRPr="004D071E">
        <w:rPr>
          <w:rFonts w:ascii="Times New Roman" w:hAnsi="Times New Roman"/>
          <w:sz w:val="28"/>
          <w:szCs w:val="24"/>
          <w:lang w:eastAsia="ru-RU"/>
        </w:rPr>
        <w:fldChar w:fldCharType="begin"/>
      </w:r>
      <w:r w:rsidRPr="004D071E">
        <w:rPr>
          <w:rFonts w:ascii="Times New Roman" w:hAnsi="Times New Roman"/>
          <w:sz w:val="28"/>
          <w:szCs w:val="24"/>
          <w:lang w:eastAsia="ru-RU"/>
        </w:rPr>
        <w:instrText xml:space="preserve"> SEQ Таблица \* ARABIC </w:instrText>
      </w:r>
      <w:r w:rsidRPr="004D071E">
        <w:rPr>
          <w:rFonts w:ascii="Times New Roman" w:hAnsi="Times New Roman"/>
          <w:sz w:val="28"/>
          <w:szCs w:val="24"/>
          <w:lang w:eastAsia="ru-RU"/>
        </w:rPr>
        <w:fldChar w:fldCharType="separate"/>
      </w:r>
      <w:r>
        <w:rPr>
          <w:rFonts w:ascii="Times New Roman" w:hAnsi="Times New Roman"/>
          <w:noProof/>
          <w:sz w:val="28"/>
          <w:szCs w:val="24"/>
          <w:lang w:eastAsia="ru-RU"/>
        </w:rPr>
        <w:t>30</w:t>
      </w:r>
      <w:r w:rsidRPr="004D071E">
        <w:rPr>
          <w:rFonts w:ascii="Times New Roman" w:hAnsi="Times New Roman"/>
          <w:sz w:val="28"/>
          <w:szCs w:val="24"/>
          <w:lang w:eastAsia="ru-RU"/>
        </w:rPr>
        <w:fldChar w:fldCharType="end"/>
      </w:r>
    </w:p>
    <w:p w:rsidR="002D1E45" w:rsidRPr="004D071E" w:rsidRDefault="002D1E45" w:rsidP="004D071E">
      <w:pPr>
        <w:widowControl w:val="0"/>
        <w:spacing w:after="120" w:line="240" w:lineRule="auto"/>
        <w:ind w:right="-1"/>
        <w:jc w:val="center"/>
        <w:rPr>
          <w:rFonts w:ascii="Times New Roman" w:hAnsi="Times New Roman"/>
          <w:sz w:val="28"/>
          <w:szCs w:val="24"/>
          <w:lang w:eastAsia="ru-RU"/>
        </w:rPr>
      </w:pPr>
      <w:r w:rsidRPr="004D071E">
        <w:rPr>
          <w:rFonts w:ascii="Times New Roman" w:hAnsi="Times New Roman"/>
          <w:sz w:val="28"/>
          <w:szCs w:val="24"/>
          <w:lang w:eastAsia="ru-RU"/>
        </w:rPr>
        <w:t>Предельные параметры для возможного поражения людей при аварии СУГ</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168"/>
        <w:gridCol w:w="2887"/>
        <w:gridCol w:w="3366"/>
      </w:tblGrid>
      <w:tr w:rsidR="002D1E45" w:rsidRPr="004D071E" w:rsidTr="001D0C26">
        <w:trPr>
          <w:trHeight w:val="283"/>
          <w:jc w:val="center"/>
        </w:trPr>
        <w:tc>
          <w:tcPr>
            <w:tcW w:w="20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sz w:val="24"/>
                <w:szCs w:val="20"/>
                <w:lang w:eastAsia="ru-RU"/>
              </w:rPr>
            </w:pPr>
            <w:r w:rsidRPr="004D071E">
              <w:rPr>
                <w:rFonts w:ascii="Times New Roman" w:hAnsi="Times New Roman"/>
                <w:sz w:val="24"/>
                <w:szCs w:val="20"/>
                <w:lang w:eastAsia="ru-RU"/>
              </w:rPr>
              <w:t>Степень травмирования</w:t>
            </w:r>
          </w:p>
        </w:tc>
        <w:tc>
          <w:tcPr>
            <w:tcW w:w="1385"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sz w:val="24"/>
                <w:szCs w:val="20"/>
                <w:lang w:eastAsia="ru-RU"/>
              </w:rPr>
            </w:pPr>
            <w:r w:rsidRPr="004D071E">
              <w:rPr>
                <w:rFonts w:ascii="Times New Roman" w:hAnsi="Times New Roman"/>
                <w:sz w:val="24"/>
                <w:szCs w:val="20"/>
                <w:lang w:eastAsia="ru-RU"/>
              </w:rPr>
              <w:t>Значения интенсивности теплового излучения, кВт/м</w:t>
            </w:r>
            <w:r w:rsidRPr="004D071E">
              <w:rPr>
                <w:rFonts w:ascii="Times New Roman" w:hAnsi="Times New Roman"/>
                <w:sz w:val="24"/>
                <w:szCs w:val="20"/>
                <w:vertAlign w:val="superscript"/>
                <w:lang w:eastAsia="ru-RU"/>
              </w:rPr>
              <w:t>2</w:t>
            </w:r>
          </w:p>
        </w:tc>
        <w:tc>
          <w:tcPr>
            <w:tcW w:w="1615"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sz w:val="24"/>
                <w:szCs w:val="20"/>
                <w:lang w:eastAsia="ru-RU"/>
              </w:rPr>
            </w:pPr>
            <w:r w:rsidRPr="004D071E">
              <w:rPr>
                <w:rFonts w:ascii="Times New Roman" w:hAnsi="Times New Roman"/>
                <w:sz w:val="24"/>
                <w:szCs w:val="20"/>
                <w:lang w:eastAsia="ru-RU"/>
              </w:rPr>
              <w:t>Расстояния от объекта, на которых наблюдаются определённые степени травмирования, м</w:t>
            </w:r>
          </w:p>
        </w:tc>
      </w:tr>
      <w:tr w:rsidR="002D1E45" w:rsidRPr="004D071E" w:rsidTr="001D0C26">
        <w:trPr>
          <w:trHeight w:val="283"/>
          <w:jc w:val="center"/>
        </w:trPr>
        <w:tc>
          <w:tcPr>
            <w:tcW w:w="2000" w:type="pct"/>
            <w:vAlign w:val="center"/>
          </w:tcPr>
          <w:p w:rsidR="002D1E45" w:rsidRPr="004D071E" w:rsidRDefault="002D1E45" w:rsidP="004D071E">
            <w:pPr>
              <w:widowControl w:val="0"/>
              <w:tabs>
                <w:tab w:val="left" w:pos="1230"/>
              </w:tabs>
              <w:spacing w:after="0" w:line="240" w:lineRule="auto"/>
              <w:ind w:firstLine="34"/>
              <w:rPr>
                <w:rFonts w:ascii="Times New Roman" w:hAnsi="Times New Roman"/>
                <w:sz w:val="24"/>
                <w:szCs w:val="20"/>
                <w:lang w:eastAsia="ru-RU"/>
              </w:rPr>
            </w:pPr>
            <w:r w:rsidRPr="004D071E">
              <w:rPr>
                <w:rFonts w:ascii="Times New Roman" w:hAnsi="Times New Roman"/>
                <w:sz w:val="24"/>
                <w:szCs w:val="20"/>
                <w:lang w:eastAsia="ru-RU"/>
              </w:rPr>
              <w:t>Ожоги III степени</w:t>
            </w:r>
          </w:p>
        </w:tc>
        <w:tc>
          <w:tcPr>
            <w:tcW w:w="1385"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sz w:val="24"/>
                <w:szCs w:val="20"/>
                <w:lang w:eastAsia="ru-RU"/>
              </w:rPr>
            </w:pPr>
            <w:r w:rsidRPr="004D071E">
              <w:rPr>
                <w:rFonts w:ascii="Times New Roman" w:hAnsi="Times New Roman"/>
                <w:sz w:val="24"/>
                <w:szCs w:val="20"/>
                <w:lang w:eastAsia="ru-RU"/>
              </w:rPr>
              <w:t>49,0</w:t>
            </w:r>
          </w:p>
        </w:tc>
        <w:tc>
          <w:tcPr>
            <w:tcW w:w="1615"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sz w:val="24"/>
                <w:szCs w:val="20"/>
                <w:lang w:eastAsia="ru-RU"/>
              </w:rPr>
            </w:pPr>
            <w:r w:rsidRPr="004D071E">
              <w:rPr>
                <w:rFonts w:ascii="Times New Roman" w:hAnsi="Times New Roman"/>
                <w:sz w:val="24"/>
                <w:szCs w:val="20"/>
                <w:lang w:eastAsia="ru-RU"/>
              </w:rPr>
              <w:t>38</w:t>
            </w:r>
          </w:p>
        </w:tc>
      </w:tr>
      <w:tr w:rsidR="002D1E45" w:rsidRPr="004D071E" w:rsidTr="001D0C26">
        <w:trPr>
          <w:trHeight w:val="283"/>
          <w:jc w:val="center"/>
        </w:trPr>
        <w:tc>
          <w:tcPr>
            <w:tcW w:w="2000" w:type="pct"/>
            <w:vAlign w:val="center"/>
          </w:tcPr>
          <w:p w:rsidR="002D1E45" w:rsidRPr="004D071E" w:rsidRDefault="002D1E45" w:rsidP="004D071E">
            <w:pPr>
              <w:widowControl w:val="0"/>
              <w:tabs>
                <w:tab w:val="left" w:pos="1230"/>
              </w:tabs>
              <w:spacing w:after="0" w:line="240" w:lineRule="auto"/>
              <w:ind w:firstLine="34"/>
              <w:rPr>
                <w:rFonts w:ascii="Times New Roman" w:hAnsi="Times New Roman"/>
                <w:sz w:val="24"/>
                <w:szCs w:val="20"/>
                <w:lang w:eastAsia="ru-RU"/>
              </w:rPr>
            </w:pPr>
            <w:r w:rsidRPr="004D071E">
              <w:rPr>
                <w:rFonts w:ascii="Times New Roman" w:hAnsi="Times New Roman"/>
                <w:sz w:val="24"/>
                <w:szCs w:val="20"/>
                <w:lang w:eastAsia="ru-RU"/>
              </w:rPr>
              <w:t>Ожоги II степени</w:t>
            </w:r>
          </w:p>
        </w:tc>
        <w:tc>
          <w:tcPr>
            <w:tcW w:w="1385"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sz w:val="24"/>
                <w:szCs w:val="20"/>
                <w:lang w:eastAsia="ru-RU"/>
              </w:rPr>
            </w:pPr>
            <w:r w:rsidRPr="004D071E">
              <w:rPr>
                <w:rFonts w:ascii="Times New Roman" w:hAnsi="Times New Roman"/>
                <w:sz w:val="24"/>
                <w:szCs w:val="20"/>
                <w:lang w:eastAsia="ru-RU"/>
              </w:rPr>
              <w:t>27,4</w:t>
            </w:r>
          </w:p>
        </w:tc>
        <w:tc>
          <w:tcPr>
            <w:tcW w:w="1615"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sz w:val="24"/>
                <w:szCs w:val="20"/>
                <w:lang w:eastAsia="ru-RU"/>
              </w:rPr>
            </w:pPr>
            <w:r w:rsidRPr="004D071E">
              <w:rPr>
                <w:rFonts w:ascii="Times New Roman" w:hAnsi="Times New Roman"/>
                <w:sz w:val="24"/>
                <w:szCs w:val="20"/>
                <w:lang w:eastAsia="ru-RU"/>
              </w:rPr>
              <w:t>55</w:t>
            </w:r>
          </w:p>
        </w:tc>
      </w:tr>
      <w:tr w:rsidR="002D1E45" w:rsidRPr="004D071E" w:rsidTr="001D0C26">
        <w:trPr>
          <w:trHeight w:val="283"/>
          <w:jc w:val="center"/>
        </w:trPr>
        <w:tc>
          <w:tcPr>
            <w:tcW w:w="2000" w:type="pct"/>
            <w:vAlign w:val="center"/>
          </w:tcPr>
          <w:p w:rsidR="002D1E45" w:rsidRPr="004D071E" w:rsidRDefault="002D1E45" w:rsidP="004D071E">
            <w:pPr>
              <w:widowControl w:val="0"/>
              <w:tabs>
                <w:tab w:val="left" w:pos="1230"/>
              </w:tabs>
              <w:spacing w:after="0" w:line="240" w:lineRule="auto"/>
              <w:ind w:firstLine="34"/>
              <w:rPr>
                <w:rFonts w:ascii="Times New Roman" w:hAnsi="Times New Roman"/>
                <w:sz w:val="24"/>
                <w:szCs w:val="20"/>
                <w:lang w:eastAsia="ru-RU"/>
              </w:rPr>
            </w:pPr>
            <w:r w:rsidRPr="004D071E">
              <w:rPr>
                <w:rFonts w:ascii="Times New Roman" w:hAnsi="Times New Roman"/>
                <w:sz w:val="24"/>
                <w:szCs w:val="20"/>
                <w:lang w:eastAsia="ru-RU"/>
              </w:rPr>
              <w:t>Ожоги I степени</w:t>
            </w:r>
          </w:p>
        </w:tc>
        <w:tc>
          <w:tcPr>
            <w:tcW w:w="1385"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sz w:val="24"/>
                <w:szCs w:val="20"/>
                <w:lang w:eastAsia="ru-RU"/>
              </w:rPr>
            </w:pPr>
            <w:r w:rsidRPr="004D071E">
              <w:rPr>
                <w:rFonts w:ascii="Times New Roman" w:hAnsi="Times New Roman"/>
                <w:sz w:val="24"/>
                <w:szCs w:val="20"/>
                <w:lang w:eastAsia="ru-RU"/>
              </w:rPr>
              <w:t>9,6</w:t>
            </w:r>
          </w:p>
        </w:tc>
        <w:tc>
          <w:tcPr>
            <w:tcW w:w="1615"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sz w:val="24"/>
                <w:szCs w:val="20"/>
                <w:lang w:eastAsia="ru-RU"/>
              </w:rPr>
            </w:pPr>
            <w:r w:rsidRPr="004D071E">
              <w:rPr>
                <w:rFonts w:ascii="Times New Roman" w:hAnsi="Times New Roman"/>
                <w:sz w:val="24"/>
                <w:szCs w:val="20"/>
                <w:lang w:eastAsia="ru-RU"/>
              </w:rPr>
              <w:t>92</w:t>
            </w:r>
          </w:p>
        </w:tc>
      </w:tr>
      <w:tr w:rsidR="002D1E45" w:rsidRPr="004D071E" w:rsidTr="001D0C26">
        <w:trPr>
          <w:trHeight w:val="283"/>
          <w:jc w:val="center"/>
        </w:trPr>
        <w:tc>
          <w:tcPr>
            <w:tcW w:w="2000" w:type="pct"/>
            <w:vAlign w:val="center"/>
          </w:tcPr>
          <w:p w:rsidR="002D1E45" w:rsidRPr="004D071E" w:rsidRDefault="002D1E45" w:rsidP="004D071E">
            <w:pPr>
              <w:widowControl w:val="0"/>
              <w:tabs>
                <w:tab w:val="left" w:pos="1230"/>
              </w:tabs>
              <w:spacing w:after="0" w:line="240" w:lineRule="auto"/>
              <w:ind w:firstLine="34"/>
              <w:rPr>
                <w:rFonts w:ascii="Times New Roman" w:hAnsi="Times New Roman"/>
                <w:sz w:val="24"/>
                <w:szCs w:val="20"/>
                <w:lang w:eastAsia="ru-RU"/>
              </w:rPr>
            </w:pPr>
            <w:r w:rsidRPr="004D071E">
              <w:rPr>
                <w:rFonts w:ascii="Times New Roman" w:hAnsi="Times New Roman"/>
                <w:sz w:val="24"/>
                <w:szCs w:val="20"/>
                <w:lang w:eastAsia="ru-RU"/>
              </w:rPr>
              <w:t>Болевой порог (болезненные ощущения на коже и слизистых)</w:t>
            </w:r>
          </w:p>
        </w:tc>
        <w:tc>
          <w:tcPr>
            <w:tcW w:w="1385"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sz w:val="24"/>
                <w:szCs w:val="20"/>
                <w:lang w:eastAsia="ru-RU"/>
              </w:rPr>
            </w:pPr>
            <w:r w:rsidRPr="004D071E">
              <w:rPr>
                <w:rFonts w:ascii="Times New Roman" w:hAnsi="Times New Roman"/>
                <w:sz w:val="24"/>
                <w:szCs w:val="20"/>
                <w:lang w:eastAsia="ru-RU"/>
              </w:rPr>
              <w:t>1,4</w:t>
            </w:r>
          </w:p>
        </w:tc>
        <w:tc>
          <w:tcPr>
            <w:tcW w:w="1615"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sz w:val="24"/>
                <w:szCs w:val="20"/>
                <w:lang w:eastAsia="ru-RU"/>
              </w:rPr>
            </w:pPr>
            <w:r w:rsidRPr="004D071E">
              <w:rPr>
                <w:rFonts w:ascii="Times New Roman" w:hAnsi="Times New Roman"/>
                <w:sz w:val="24"/>
                <w:szCs w:val="20"/>
                <w:lang w:eastAsia="ru-RU"/>
              </w:rPr>
              <w:t>Более 100 м</w:t>
            </w:r>
          </w:p>
        </w:tc>
      </w:tr>
    </w:tbl>
    <w:p w:rsidR="002D1E45" w:rsidRPr="004D071E" w:rsidRDefault="002D1E45" w:rsidP="004D071E">
      <w:pPr>
        <w:autoSpaceDE w:val="0"/>
        <w:autoSpaceDN w:val="0"/>
        <w:adjustRightInd w:val="0"/>
        <w:spacing w:after="0" w:line="240" w:lineRule="auto"/>
        <w:ind w:firstLine="709"/>
        <w:jc w:val="right"/>
        <w:rPr>
          <w:rFonts w:ascii="Times New Roman" w:hAnsi="Times New Roman"/>
          <w:sz w:val="28"/>
          <w:szCs w:val="24"/>
          <w:lang w:eastAsia="ru-RU"/>
        </w:rPr>
      </w:pPr>
    </w:p>
    <w:p w:rsidR="002D1E45" w:rsidRPr="004D071E" w:rsidRDefault="002D1E45" w:rsidP="004D071E">
      <w:pPr>
        <w:autoSpaceDE w:val="0"/>
        <w:autoSpaceDN w:val="0"/>
        <w:adjustRightInd w:val="0"/>
        <w:spacing w:after="0" w:line="240" w:lineRule="auto"/>
        <w:ind w:firstLine="709"/>
        <w:jc w:val="right"/>
        <w:rPr>
          <w:rFonts w:ascii="Times New Roman" w:hAnsi="Times New Roman"/>
          <w:sz w:val="28"/>
          <w:szCs w:val="24"/>
          <w:lang w:eastAsia="ru-RU"/>
        </w:rPr>
      </w:pPr>
      <w:r w:rsidRPr="004D071E">
        <w:rPr>
          <w:rFonts w:ascii="Times New Roman" w:hAnsi="Times New Roman"/>
          <w:sz w:val="28"/>
          <w:szCs w:val="24"/>
          <w:lang w:eastAsia="ru-RU"/>
        </w:rPr>
        <w:t xml:space="preserve">Таблица </w:t>
      </w:r>
      <w:bookmarkStart w:id="179" w:name="TBl_Zony2"/>
      <w:r w:rsidRPr="004D071E">
        <w:rPr>
          <w:rFonts w:ascii="Times New Roman" w:hAnsi="Times New Roman"/>
          <w:sz w:val="28"/>
          <w:szCs w:val="24"/>
          <w:lang w:eastAsia="ru-RU"/>
        </w:rPr>
        <w:fldChar w:fldCharType="begin"/>
      </w:r>
      <w:r w:rsidRPr="004D071E">
        <w:rPr>
          <w:rFonts w:ascii="Times New Roman" w:hAnsi="Times New Roman"/>
          <w:sz w:val="28"/>
          <w:szCs w:val="24"/>
          <w:lang w:eastAsia="ru-RU"/>
        </w:rPr>
        <w:instrText xml:space="preserve"> SEQ Таблица \* ARABIC </w:instrText>
      </w:r>
      <w:r w:rsidRPr="004D071E">
        <w:rPr>
          <w:rFonts w:ascii="Times New Roman" w:hAnsi="Times New Roman"/>
          <w:sz w:val="28"/>
          <w:szCs w:val="24"/>
          <w:lang w:eastAsia="ru-RU"/>
        </w:rPr>
        <w:fldChar w:fldCharType="separate"/>
      </w:r>
      <w:r>
        <w:rPr>
          <w:rFonts w:ascii="Times New Roman" w:hAnsi="Times New Roman"/>
          <w:noProof/>
          <w:sz w:val="28"/>
          <w:szCs w:val="24"/>
          <w:lang w:eastAsia="ru-RU"/>
        </w:rPr>
        <w:t>31</w:t>
      </w:r>
      <w:r w:rsidRPr="004D071E">
        <w:rPr>
          <w:rFonts w:ascii="Times New Roman" w:hAnsi="Times New Roman"/>
          <w:sz w:val="28"/>
          <w:szCs w:val="24"/>
          <w:lang w:eastAsia="ru-RU"/>
        </w:rPr>
        <w:fldChar w:fldCharType="end"/>
      </w:r>
      <w:bookmarkEnd w:id="179"/>
    </w:p>
    <w:p w:rsidR="002D1E45" w:rsidRPr="004D071E" w:rsidRDefault="002D1E45" w:rsidP="004D071E">
      <w:pPr>
        <w:widowControl w:val="0"/>
        <w:spacing w:after="120" w:line="240" w:lineRule="auto"/>
        <w:ind w:right="-1"/>
        <w:jc w:val="center"/>
        <w:rPr>
          <w:rFonts w:ascii="Times New Roman" w:hAnsi="Times New Roman"/>
          <w:sz w:val="28"/>
          <w:szCs w:val="24"/>
          <w:lang w:eastAsia="ru-RU"/>
        </w:rPr>
      </w:pPr>
      <w:r w:rsidRPr="004D071E">
        <w:rPr>
          <w:rFonts w:ascii="Times New Roman" w:hAnsi="Times New Roman"/>
          <w:sz w:val="28"/>
          <w:szCs w:val="24"/>
          <w:lang w:eastAsia="ru-RU"/>
        </w:rPr>
        <w:t>Параметры зон поражения при аварии с взрывом ТВС при разгерметизации автомобильной ёмкости транспортировки с автомобильным бензином (сценарий 2). Масса топлива в облаке 22 500 кг</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009"/>
        <w:gridCol w:w="1854"/>
        <w:gridCol w:w="1508"/>
        <w:gridCol w:w="1712"/>
        <w:gridCol w:w="1502"/>
      </w:tblGrid>
      <w:tr w:rsidR="002D1E45" w:rsidRPr="004D071E" w:rsidTr="001D0C26">
        <w:trPr>
          <w:tblHeader/>
          <w:jc w:val="center"/>
        </w:trPr>
        <w:tc>
          <w:tcPr>
            <w:tcW w:w="3059" w:type="dxa"/>
            <w:vMerge w:val="restart"/>
            <w:vAlign w:val="center"/>
          </w:tcPr>
          <w:p w:rsidR="002D1E45" w:rsidRPr="004D071E" w:rsidRDefault="002D1E45" w:rsidP="004D071E">
            <w:pPr>
              <w:widowControl w:val="0"/>
              <w:spacing w:after="0" w:line="240" w:lineRule="auto"/>
              <w:jc w:val="center"/>
              <w:rPr>
                <w:rFonts w:ascii="Times New Roman" w:hAnsi="Times New Roman"/>
                <w:sz w:val="24"/>
                <w:szCs w:val="20"/>
                <w:lang w:eastAsia="ru-RU"/>
              </w:rPr>
            </w:pPr>
            <w:r w:rsidRPr="004D071E">
              <w:rPr>
                <w:rFonts w:ascii="Times New Roman" w:hAnsi="Times New Roman"/>
                <w:sz w:val="24"/>
                <w:szCs w:val="20"/>
                <w:lang w:eastAsia="ru-RU"/>
              </w:rPr>
              <w:t>Избыточное давление (кПа), поражение зданий/поражение людей на открытой местности</w:t>
            </w:r>
          </w:p>
        </w:tc>
        <w:tc>
          <w:tcPr>
            <w:tcW w:w="3412" w:type="dxa"/>
            <w:gridSpan w:val="2"/>
          </w:tcPr>
          <w:p w:rsidR="002D1E45" w:rsidRPr="004D071E" w:rsidRDefault="002D1E45" w:rsidP="004D071E">
            <w:pPr>
              <w:widowControl w:val="0"/>
              <w:spacing w:after="0" w:line="240" w:lineRule="auto"/>
              <w:jc w:val="center"/>
              <w:rPr>
                <w:rFonts w:ascii="Times New Roman" w:hAnsi="Times New Roman"/>
                <w:sz w:val="24"/>
                <w:szCs w:val="20"/>
                <w:lang w:eastAsia="ru-RU"/>
              </w:rPr>
            </w:pPr>
            <w:r w:rsidRPr="004D071E">
              <w:rPr>
                <w:rFonts w:ascii="Times New Roman" w:hAnsi="Times New Roman"/>
                <w:sz w:val="24"/>
                <w:szCs w:val="20"/>
                <w:lang w:eastAsia="ru-RU"/>
              </w:rPr>
              <w:t>Поражение зданий и сооружений и людей в зданиях и сооружениях</w:t>
            </w:r>
          </w:p>
        </w:tc>
        <w:tc>
          <w:tcPr>
            <w:tcW w:w="3114" w:type="dxa"/>
            <w:gridSpan w:val="2"/>
          </w:tcPr>
          <w:p w:rsidR="002D1E45" w:rsidRPr="004D071E" w:rsidRDefault="002D1E45" w:rsidP="004D071E">
            <w:pPr>
              <w:widowControl w:val="0"/>
              <w:spacing w:after="0" w:line="240" w:lineRule="auto"/>
              <w:jc w:val="center"/>
              <w:rPr>
                <w:rFonts w:ascii="Times New Roman" w:hAnsi="Times New Roman"/>
                <w:sz w:val="24"/>
                <w:szCs w:val="20"/>
                <w:lang w:eastAsia="ru-RU"/>
              </w:rPr>
            </w:pPr>
            <w:r w:rsidRPr="004D071E">
              <w:rPr>
                <w:rFonts w:ascii="Times New Roman" w:hAnsi="Times New Roman"/>
                <w:sz w:val="24"/>
                <w:szCs w:val="20"/>
                <w:lang w:eastAsia="ru-RU"/>
              </w:rPr>
              <w:t>Поражение людей на открытой местности</w:t>
            </w:r>
          </w:p>
        </w:tc>
      </w:tr>
      <w:tr w:rsidR="002D1E45" w:rsidRPr="004D071E" w:rsidTr="001D0C26">
        <w:trPr>
          <w:tblHeader/>
          <w:jc w:val="center"/>
        </w:trPr>
        <w:tc>
          <w:tcPr>
            <w:tcW w:w="3059" w:type="dxa"/>
            <w:vMerge/>
            <w:vAlign w:val="center"/>
          </w:tcPr>
          <w:p w:rsidR="002D1E45" w:rsidRPr="004D071E" w:rsidRDefault="002D1E45" w:rsidP="004D071E">
            <w:pPr>
              <w:widowControl w:val="0"/>
              <w:spacing w:after="0" w:line="240" w:lineRule="auto"/>
              <w:jc w:val="center"/>
              <w:rPr>
                <w:rFonts w:ascii="Times New Roman" w:hAnsi="Times New Roman"/>
                <w:sz w:val="24"/>
                <w:szCs w:val="20"/>
                <w:lang w:eastAsia="ru-RU"/>
              </w:rPr>
            </w:pPr>
          </w:p>
        </w:tc>
        <w:tc>
          <w:tcPr>
            <w:tcW w:w="1904" w:type="dxa"/>
            <w:vAlign w:val="center"/>
          </w:tcPr>
          <w:p w:rsidR="002D1E45" w:rsidRPr="004D071E" w:rsidRDefault="002D1E45" w:rsidP="004D071E">
            <w:pPr>
              <w:widowControl w:val="0"/>
              <w:spacing w:after="0" w:line="240" w:lineRule="auto"/>
              <w:jc w:val="center"/>
              <w:rPr>
                <w:rFonts w:ascii="Times New Roman" w:hAnsi="Times New Roman"/>
                <w:sz w:val="24"/>
                <w:szCs w:val="20"/>
                <w:lang w:eastAsia="ru-RU"/>
              </w:rPr>
            </w:pPr>
            <w:r w:rsidRPr="004D071E">
              <w:rPr>
                <w:rFonts w:ascii="Times New Roman" w:hAnsi="Times New Roman"/>
                <w:sz w:val="24"/>
                <w:szCs w:val="20"/>
                <w:lang w:eastAsia="ru-RU"/>
              </w:rPr>
              <w:t>Радиус зоны, м</w:t>
            </w:r>
          </w:p>
        </w:tc>
        <w:tc>
          <w:tcPr>
            <w:tcW w:w="1508" w:type="dxa"/>
            <w:vAlign w:val="center"/>
          </w:tcPr>
          <w:p w:rsidR="002D1E45" w:rsidRPr="004D071E" w:rsidRDefault="002D1E45" w:rsidP="004D071E">
            <w:pPr>
              <w:widowControl w:val="0"/>
              <w:spacing w:after="0" w:line="240" w:lineRule="auto"/>
              <w:jc w:val="center"/>
              <w:rPr>
                <w:rFonts w:ascii="Times New Roman" w:hAnsi="Times New Roman"/>
                <w:sz w:val="24"/>
                <w:szCs w:val="20"/>
                <w:lang w:eastAsia="ru-RU"/>
              </w:rPr>
            </w:pPr>
            <w:r w:rsidRPr="004D071E">
              <w:rPr>
                <w:rFonts w:ascii="Times New Roman" w:hAnsi="Times New Roman"/>
                <w:sz w:val="24"/>
                <w:szCs w:val="20"/>
                <w:lang w:eastAsia="ru-RU"/>
              </w:rPr>
              <w:t>% поражённых людей</w:t>
            </w:r>
          </w:p>
        </w:tc>
        <w:tc>
          <w:tcPr>
            <w:tcW w:w="1754" w:type="dxa"/>
            <w:vAlign w:val="center"/>
          </w:tcPr>
          <w:p w:rsidR="002D1E45" w:rsidRPr="004D071E" w:rsidRDefault="002D1E45" w:rsidP="004D071E">
            <w:pPr>
              <w:widowControl w:val="0"/>
              <w:spacing w:after="0" w:line="240" w:lineRule="auto"/>
              <w:jc w:val="center"/>
              <w:rPr>
                <w:rFonts w:ascii="Times New Roman" w:hAnsi="Times New Roman"/>
                <w:sz w:val="24"/>
                <w:szCs w:val="20"/>
                <w:lang w:eastAsia="ru-RU"/>
              </w:rPr>
            </w:pPr>
            <w:r w:rsidRPr="004D071E">
              <w:rPr>
                <w:rFonts w:ascii="Times New Roman" w:hAnsi="Times New Roman"/>
                <w:sz w:val="24"/>
                <w:szCs w:val="20"/>
                <w:lang w:eastAsia="ru-RU"/>
              </w:rPr>
              <w:t>Радиус зоны, м</w:t>
            </w:r>
          </w:p>
        </w:tc>
        <w:tc>
          <w:tcPr>
            <w:tcW w:w="1360" w:type="dxa"/>
            <w:vAlign w:val="center"/>
          </w:tcPr>
          <w:p w:rsidR="002D1E45" w:rsidRPr="004D071E" w:rsidRDefault="002D1E45" w:rsidP="004D071E">
            <w:pPr>
              <w:widowControl w:val="0"/>
              <w:spacing w:after="0" w:line="240" w:lineRule="auto"/>
              <w:jc w:val="center"/>
              <w:rPr>
                <w:rFonts w:ascii="Times New Roman" w:hAnsi="Times New Roman"/>
                <w:sz w:val="24"/>
                <w:szCs w:val="20"/>
                <w:lang w:eastAsia="ru-RU"/>
              </w:rPr>
            </w:pPr>
            <w:r w:rsidRPr="004D071E">
              <w:rPr>
                <w:rFonts w:ascii="Times New Roman" w:hAnsi="Times New Roman"/>
                <w:sz w:val="24"/>
                <w:szCs w:val="20"/>
                <w:lang w:eastAsia="ru-RU"/>
              </w:rPr>
              <w:t>% поражённых людей</w:t>
            </w:r>
          </w:p>
        </w:tc>
      </w:tr>
      <w:tr w:rsidR="002D1E45" w:rsidRPr="004D071E" w:rsidTr="001D0C26">
        <w:trPr>
          <w:jc w:val="center"/>
        </w:trPr>
        <w:tc>
          <w:tcPr>
            <w:tcW w:w="3059" w:type="dxa"/>
            <w:vAlign w:val="center"/>
          </w:tcPr>
          <w:p w:rsidR="002D1E45" w:rsidRPr="004D071E" w:rsidRDefault="002D1E45" w:rsidP="004D071E">
            <w:pPr>
              <w:widowControl w:val="0"/>
              <w:spacing w:after="0" w:line="240" w:lineRule="auto"/>
              <w:jc w:val="center"/>
              <w:rPr>
                <w:rFonts w:ascii="Times New Roman" w:hAnsi="Times New Roman"/>
                <w:sz w:val="24"/>
                <w:szCs w:val="20"/>
                <w:lang w:eastAsia="ru-RU"/>
              </w:rPr>
            </w:pPr>
            <w:r w:rsidRPr="004D071E">
              <w:rPr>
                <w:rFonts w:ascii="Times New Roman" w:hAnsi="Times New Roman"/>
                <w:sz w:val="24"/>
                <w:szCs w:val="20"/>
                <w:lang w:eastAsia="ru-RU"/>
              </w:rPr>
              <w:t>65,9/70</w:t>
            </w:r>
          </w:p>
        </w:tc>
        <w:tc>
          <w:tcPr>
            <w:tcW w:w="1904" w:type="dxa"/>
            <w:vAlign w:val="center"/>
          </w:tcPr>
          <w:p w:rsidR="002D1E45" w:rsidRPr="004D071E" w:rsidRDefault="002D1E45" w:rsidP="004D071E">
            <w:pPr>
              <w:widowControl w:val="0"/>
              <w:spacing w:after="0" w:line="240" w:lineRule="auto"/>
              <w:jc w:val="center"/>
              <w:rPr>
                <w:rFonts w:ascii="Times New Roman" w:hAnsi="Times New Roman"/>
                <w:sz w:val="24"/>
                <w:szCs w:val="20"/>
                <w:lang w:eastAsia="ru-RU"/>
              </w:rPr>
            </w:pPr>
            <w:r w:rsidRPr="004D071E">
              <w:rPr>
                <w:rFonts w:ascii="Times New Roman" w:hAnsi="Times New Roman"/>
                <w:sz w:val="24"/>
                <w:szCs w:val="20"/>
                <w:lang w:eastAsia="ru-RU"/>
              </w:rPr>
              <w:t>нет</w:t>
            </w:r>
          </w:p>
        </w:tc>
        <w:tc>
          <w:tcPr>
            <w:tcW w:w="1508" w:type="dxa"/>
          </w:tcPr>
          <w:p w:rsidR="002D1E45" w:rsidRPr="004D071E" w:rsidRDefault="002D1E45" w:rsidP="004D071E">
            <w:pPr>
              <w:widowControl w:val="0"/>
              <w:spacing w:after="0" w:line="240" w:lineRule="auto"/>
              <w:jc w:val="center"/>
              <w:rPr>
                <w:rFonts w:ascii="Times New Roman" w:hAnsi="Times New Roman"/>
                <w:b/>
                <w:sz w:val="24"/>
                <w:szCs w:val="20"/>
                <w:lang w:eastAsia="ru-RU"/>
              </w:rPr>
            </w:pPr>
            <w:r w:rsidRPr="004D071E">
              <w:rPr>
                <w:rFonts w:ascii="Times New Roman" w:hAnsi="Times New Roman"/>
                <w:sz w:val="24"/>
                <w:szCs w:val="20"/>
                <w:lang w:eastAsia="ru-RU"/>
              </w:rPr>
              <w:t>нет</w:t>
            </w:r>
          </w:p>
        </w:tc>
        <w:tc>
          <w:tcPr>
            <w:tcW w:w="1754" w:type="dxa"/>
            <w:vAlign w:val="center"/>
          </w:tcPr>
          <w:p w:rsidR="002D1E45" w:rsidRPr="004D071E" w:rsidRDefault="002D1E45" w:rsidP="004D071E">
            <w:pPr>
              <w:widowControl w:val="0"/>
              <w:spacing w:after="0" w:line="240" w:lineRule="auto"/>
              <w:jc w:val="center"/>
              <w:rPr>
                <w:rFonts w:ascii="Times New Roman" w:hAnsi="Times New Roman"/>
                <w:sz w:val="24"/>
                <w:szCs w:val="20"/>
                <w:lang w:eastAsia="ru-RU"/>
              </w:rPr>
            </w:pPr>
            <w:r w:rsidRPr="004D071E">
              <w:rPr>
                <w:rFonts w:ascii="Times New Roman" w:hAnsi="Times New Roman"/>
                <w:sz w:val="24"/>
                <w:szCs w:val="20"/>
                <w:lang w:eastAsia="ru-RU"/>
              </w:rPr>
              <w:t>нет</w:t>
            </w:r>
          </w:p>
        </w:tc>
        <w:tc>
          <w:tcPr>
            <w:tcW w:w="1360" w:type="dxa"/>
            <w:vAlign w:val="center"/>
          </w:tcPr>
          <w:p w:rsidR="002D1E45" w:rsidRPr="004D071E" w:rsidRDefault="002D1E45" w:rsidP="004D071E">
            <w:pPr>
              <w:widowControl w:val="0"/>
              <w:spacing w:after="0" w:line="240" w:lineRule="auto"/>
              <w:jc w:val="center"/>
              <w:rPr>
                <w:rFonts w:ascii="Times New Roman" w:hAnsi="Times New Roman"/>
                <w:sz w:val="24"/>
                <w:szCs w:val="20"/>
                <w:lang w:eastAsia="ru-RU"/>
              </w:rPr>
            </w:pPr>
            <w:r w:rsidRPr="004D071E">
              <w:rPr>
                <w:rFonts w:ascii="Times New Roman" w:hAnsi="Times New Roman"/>
                <w:sz w:val="24"/>
                <w:szCs w:val="20"/>
                <w:lang w:eastAsia="ru-RU"/>
              </w:rPr>
              <w:t>нет</w:t>
            </w:r>
          </w:p>
        </w:tc>
      </w:tr>
      <w:tr w:rsidR="002D1E45" w:rsidRPr="004D071E" w:rsidTr="001D0C26">
        <w:trPr>
          <w:jc w:val="center"/>
        </w:trPr>
        <w:tc>
          <w:tcPr>
            <w:tcW w:w="3059" w:type="dxa"/>
            <w:vAlign w:val="center"/>
          </w:tcPr>
          <w:p w:rsidR="002D1E45" w:rsidRPr="004D071E" w:rsidRDefault="002D1E45" w:rsidP="004D071E">
            <w:pPr>
              <w:widowControl w:val="0"/>
              <w:spacing w:after="0" w:line="240" w:lineRule="auto"/>
              <w:jc w:val="center"/>
              <w:rPr>
                <w:rFonts w:ascii="Times New Roman" w:hAnsi="Times New Roman"/>
                <w:sz w:val="24"/>
                <w:szCs w:val="20"/>
                <w:lang w:eastAsia="ru-RU"/>
              </w:rPr>
            </w:pPr>
            <w:r w:rsidRPr="004D071E">
              <w:rPr>
                <w:rFonts w:ascii="Times New Roman" w:hAnsi="Times New Roman"/>
                <w:sz w:val="24"/>
                <w:szCs w:val="20"/>
                <w:lang w:eastAsia="ru-RU"/>
              </w:rPr>
              <w:t>33 /55</w:t>
            </w:r>
          </w:p>
        </w:tc>
        <w:tc>
          <w:tcPr>
            <w:tcW w:w="1904" w:type="dxa"/>
            <w:vAlign w:val="center"/>
          </w:tcPr>
          <w:p w:rsidR="002D1E45" w:rsidRPr="004D071E" w:rsidRDefault="002D1E45" w:rsidP="004D071E">
            <w:pPr>
              <w:widowControl w:val="0"/>
              <w:spacing w:after="0" w:line="240" w:lineRule="auto"/>
              <w:jc w:val="center"/>
              <w:rPr>
                <w:rFonts w:ascii="Times New Roman" w:hAnsi="Times New Roman"/>
                <w:sz w:val="24"/>
                <w:szCs w:val="20"/>
                <w:lang w:eastAsia="ru-RU"/>
              </w:rPr>
            </w:pPr>
            <w:r w:rsidRPr="004D071E">
              <w:rPr>
                <w:rFonts w:ascii="Times New Roman" w:hAnsi="Times New Roman"/>
                <w:sz w:val="24"/>
                <w:szCs w:val="20"/>
                <w:lang w:eastAsia="ru-RU"/>
              </w:rPr>
              <w:t>167</w:t>
            </w:r>
          </w:p>
        </w:tc>
        <w:tc>
          <w:tcPr>
            <w:tcW w:w="1508" w:type="dxa"/>
            <w:vAlign w:val="center"/>
          </w:tcPr>
          <w:p w:rsidR="002D1E45" w:rsidRPr="004D071E" w:rsidRDefault="002D1E45" w:rsidP="004D071E">
            <w:pPr>
              <w:widowControl w:val="0"/>
              <w:spacing w:after="0" w:line="240" w:lineRule="auto"/>
              <w:jc w:val="center"/>
              <w:rPr>
                <w:rFonts w:ascii="Times New Roman" w:hAnsi="Times New Roman"/>
                <w:sz w:val="24"/>
                <w:szCs w:val="20"/>
                <w:lang w:eastAsia="ru-RU"/>
              </w:rPr>
            </w:pPr>
            <w:r w:rsidRPr="004D071E">
              <w:rPr>
                <w:rFonts w:ascii="Times New Roman" w:hAnsi="Times New Roman"/>
                <w:sz w:val="24"/>
                <w:szCs w:val="20"/>
                <w:lang w:eastAsia="ru-RU"/>
              </w:rPr>
              <w:t>90</w:t>
            </w:r>
          </w:p>
        </w:tc>
        <w:tc>
          <w:tcPr>
            <w:tcW w:w="1754" w:type="dxa"/>
            <w:vAlign w:val="center"/>
          </w:tcPr>
          <w:p w:rsidR="002D1E45" w:rsidRPr="004D071E" w:rsidRDefault="002D1E45" w:rsidP="004D071E">
            <w:pPr>
              <w:widowControl w:val="0"/>
              <w:spacing w:after="0" w:line="240" w:lineRule="auto"/>
              <w:jc w:val="center"/>
              <w:rPr>
                <w:rFonts w:ascii="Times New Roman" w:hAnsi="Times New Roman"/>
                <w:sz w:val="24"/>
                <w:szCs w:val="20"/>
                <w:lang w:eastAsia="ru-RU"/>
              </w:rPr>
            </w:pPr>
            <w:r w:rsidRPr="004D071E">
              <w:rPr>
                <w:rFonts w:ascii="Times New Roman" w:hAnsi="Times New Roman"/>
                <w:sz w:val="24"/>
                <w:szCs w:val="20"/>
                <w:lang w:eastAsia="ru-RU"/>
              </w:rPr>
              <w:t>нет</w:t>
            </w:r>
          </w:p>
        </w:tc>
        <w:tc>
          <w:tcPr>
            <w:tcW w:w="1360" w:type="dxa"/>
            <w:vAlign w:val="center"/>
          </w:tcPr>
          <w:p w:rsidR="002D1E45" w:rsidRPr="004D071E" w:rsidRDefault="002D1E45" w:rsidP="004D071E">
            <w:pPr>
              <w:widowControl w:val="0"/>
              <w:spacing w:after="0" w:line="240" w:lineRule="auto"/>
              <w:jc w:val="center"/>
              <w:rPr>
                <w:rFonts w:ascii="Times New Roman" w:hAnsi="Times New Roman"/>
                <w:sz w:val="24"/>
                <w:szCs w:val="20"/>
                <w:lang w:eastAsia="ru-RU"/>
              </w:rPr>
            </w:pPr>
            <w:r w:rsidRPr="004D071E">
              <w:rPr>
                <w:rFonts w:ascii="Times New Roman" w:hAnsi="Times New Roman"/>
                <w:sz w:val="24"/>
                <w:szCs w:val="20"/>
                <w:lang w:eastAsia="ru-RU"/>
              </w:rPr>
              <w:t>нет</w:t>
            </w:r>
          </w:p>
        </w:tc>
      </w:tr>
      <w:tr w:rsidR="002D1E45" w:rsidRPr="004D071E" w:rsidTr="001D0C26">
        <w:trPr>
          <w:jc w:val="center"/>
        </w:trPr>
        <w:tc>
          <w:tcPr>
            <w:tcW w:w="3059" w:type="dxa"/>
            <w:vAlign w:val="center"/>
          </w:tcPr>
          <w:p w:rsidR="002D1E45" w:rsidRPr="004D071E" w:rsidRDefault="002D1E45" w:rsidP="004D071E">
            <w:pPr>
              <w:widowControl w:val="0"/>
              <w:spacing w:after="0" w:line="240" w:lineRule="auto"/>
              <w:jc w:val="center"/>
              <w:rPr>
                <w:rFonts w:ascii="Times New Roman" w:hAnsi="Times New Roman"/>
                <w:sz w:val="24"/>
                <w:szCs w:val="20"/>
                <w:lang w:eastAsia="ru-RU"/>
              </w:rPr>
            </w:pPr>
            <w:r w:rsidRPr="004D071E">
              <w:rPr>
                <w:rFonts w:ascii="Times New Roman" w:hAnsi="Times New Roman"/>
                <w:sz w:val="24"/>
                <w:szCs w:val="20"/>
                <w:lang w:eastAsia="ru-RU"/>
              </w:rPr>
              <w:t>25/24</w:t>
            </w:r>
          </w:p>
        </w:tc>
        <w:tc>
          <w:tcPr>
            <w:tcW w:w="1904" w:type="dxa"/>
            <w:vAlign w:val="center"/>
          </w:tcPr>
          <w:p w:rsidR="002D1E45" w:rsidRPr="004D071E" w:rsidRDefault="002D1E45" w:rsidP="004D071E">
            <w:pPr>
              <w:widowControl w:val="0"/>
              <w:spacing w:after="0" w:line="240" w:lineRule="auto"/>
              <w:jc w:val="center"/>
              <w:rPr>
                <w:rFonts w:ascii="Times New Roman" w:hAnsi="Times New Roman"/>
                <w:sz w:val="24"/>
                <w:szCs w:val="20"/>
                <w:lang w:eastAsia="ru-RU"/>
              </w:rPr>
            </w:pPr>
            <w:r w:rsidRPr="004D071E">
              <w:rPr>
                <w:rFonts w:ascii="Times New Roman" w:hAnsi="Times New Roman"/>
                <w:sz w:val="24"/>
                <w:szCs w:val="20"/>
                <w:lang w:eastAsia="ru-RU"/>
              </w:rPr>
              <w:t>247</w:t>
            </w:r>
          </w:p>
        </w:tc>
        <w:tc>
          <w:tcPr>
            <w:tcW w:w="1508" w:type="dxa"/>
            <w:vAlign w:val="center"/>
          </w:tcPr>
          <w:p w:rsidR="002D1E45" w:rsidRPr="004D071E" w:rsidRDefault="002D1E45" w:rsidP="004D071E">
            <w:pPr>
              <w:widowControl w:val="0"/>
              <w:spacing w:after="0" w:line="240" w:lineRule="auto"/>
              <w:jc w:val="center"/>
              <w:rPr>
                <w:rFonts w:ascii="Times New Roman" w:hAnsi="Times New Roman"/>
                <w:sz w:val="24"/>
                <w:szCs w:val="20"/>
                <w:lang w:eastAsia="ru-RU"/>
              </w:rPr>
            </w:pPr>
            <w:r w:rsidRPr="004D071E">
              <w:rPr>
                <w:rFonts w:ascii="Times New Roman" w:hAnsi="Times New Roman"/>
                <w:sz w:val="24"/>
                <w:szCs w:val="20"/>
                <w:lang w:eastAsia="ru-RU"/>
              </w:rPr>
              <w:t>50</w:t>
            </w:r>
          </w:p>
        </w:tc>
        <w:tc>
          <w:tcPr>
            <w:tcW w:w="1754" w:type="dxa"/>
            <w:vAlign w:val="center"/>
          </w:tcPr>
          <w:p w:rsidR="002D1E45" w:rsidRPr="004D071E" w:rsidRDefault="002D1E45" w:rsidP="004D071E">
            <w:pPr>
              <w:widowControl w:val="0"/>
              <w:spacing w:after="0" w:line="240" w:lineRule="auto"/>
              <w:jc w:val="center"/>
              <w:rPr>
                <w:rFonts w:ascii="Times New Roman" w:hAnsi="Times New Roman"/>
                <w:sz w:val="24"/>
                <w:szCs w:val="20"/>
                <w:lang w:eastAsia="ru-RU"/>
              </w:rPr>
            </w:pPr>
            <w:r w:rsidRPr="004D071E">
              <w:rPr>
                <w:rFonts w:ascii="Times New Roman" w:hAnsi="Times New Roman"/>
                <w:sz w:val="24"/>
                <w:szCs w:val="20"/>
                <w:lang w:eastAsia="ru-RU"/>
              </w:rPr>
              <w:t>260</w:t>
            </w:r>
          </w:p>
        </w:tc>
        <w:tc>
          <w:tcPr>
            <w:tcW w:w="1360" w:type="dxa"/>
            <w:vAlign w:val="center"/>
          </w:tcPr>
          <w:p w:rsidR="002D1E45" w:rsidRPr="004D071E" w:rsidRDefault="002D1E45" w:rsidP="004D071E">
            <w:pPr>
              <w:widowControl w:val="0"/>
              <w:spacing w:after="0" w:line="240" w:lineRule="auto"/>
              <w:jc w:val="center"/>
              <w:rPr>
                <w:rFonts w:ascii="Times New Roman" w:hAnsi="Times New Roman"/>
                <w:sz w:val="24"/>
                <w:szCs w:val="20"/>
                <w:lang w:eastAsia="ru-RU"/>
              </w:rPr>
            </w:pPr>
            <w:r w:rsidRPr="004D071E">
              <w:rPr>
                <w:rFonts w:ascii="Times New Roman" w:hAnsi="Times New Roman"/>
                <w:sz w:val="24"/>
                <w:szCs w:val="20"/>
                <w:lang w:eastAsia="ru-RU"/>
              </w:rPr>
              <w:t>50</w:t>
            </w:r>
          </w:p>
        </w:tc>
      </w:tr>
      <w:tr w:rsidR="002D1E45" w:rsidRPr="004D071E" w:rsidTr="001D0C26">
        <w:trPr>
          <w:jc w:val="center"/>
        </w:trPr>
        <w:tc>
          <w:tcPr>
            <w:tcW w:w="3059" w:type="dxa"/>
            <w:vAlign w:val="center"/>
          </w:tcPr>
          <w:p w:rsidR="002D1E45" w:rsidRPr="004D071E" w:rsidRDefault="002D1E45" w:rsidP="004D071E">
            <w:pPr>
              <w:widowControl w:val="0"/>
              <w:spacing w:after="0" w:line="240" w:lineRule="auto"/>
              <w:jc w:val="center"/>
              <w:rPr>
                <w:rFonts w:ascii="Times New Roman" w:hAnsi="Times New Roman"/>
                <w:sz w:val="24"/>
                <w:szCs w:val="20"/>
                <w:lang w:eastAsia="ru-RU"/>
              </w:rPr>
            </w:pPr>
            <w:r w:rsidRPr="004D071E">
              <w:rPr>
                <w:rFonts w:ascii="Times New Roman" w:hAnsi="Times New Roman"/>
                <w:sz w:val="24"/>
                <w:szCs w:val="20"/>
                <w:lang w:eastAsia="ru-RU"/>
              </w:rPr>
              <w:t>4/16</w:t>
            </w:r>
          </w:p>
        </w:tc>
        <w:tc>
          <w:tcPr>
            <w:tcW w:w="1904" w:type="dxa"/>
            <w:vAlign w:val="center"/>
          </w:tcPr>
          <w:p w:rsidR="002D1E45" w:rsidRPr="004D071E" w:rsidRDefault="002D1E45" w:rsidP="004D071E">
            <w:pPr>
              <w:widowControl w:val="0"/>
              <w:spacing w:after="0" w:line="240" w:lineRule="auto"/>
              <w:jc w:val="center"/>
              <w:rPr>
                <w:rFonts w:ascii="Times New Roman" w:hAnsi="Times New Roman"/>
                <w:sz w:val="24"/>
                <w:szCs w:val="20"/>
                <w:lang w:eastAsia="ru-RU"/>
              </w:rPr>
            </w:pPr>
            <w:r w:rsidRPr="004D071E">
              <w:rPr>
                <w:rFonts w:ascii="Times New Roman" w:hAnsi="Times New Roman"/>
                <w:sz w:val="24"/>
                <w:szCs w:val="20"/>
                <w:lang w:eastAsia="ru-RU"/>
              </w:rPr>
              <w:t>1 098</w:t>
            </w:r>
          </w:p>
        </w:tc>
        <w:tc>
          <w:tcPr>
            <w:tcW w:w="1508" w:type="dxa"/>
            <w:vAlign w:val="center"/>
          </w:tcPr>
          <w:p w:rsidR="002D1E45" w:rsidRPr="004D071E" w:rsidRDefault="002D1E45" w:rsidP="004D071E">
            <w:pPr>
              <w:widowControl w:val="0"/>
              <w:spacing w:after="0" w:line="240" w:lineRule="auto"/>
              <w:jc w:val="center"/>
              <w:rPr>
                <w:rFonts w:ascii="Times New Roman" w:hAnsi="Times New Roman"/>
                <w:sz w:val="24"/>
                <w:szCs w:val="20"/>
                <w:lang w:eastAsia="ru-RU"/>
              </w:rPr>
            </w:pPr>
            <w:r w:rsidRPr="004D071E">
              <w:rPr>
                <w:rFonts w:ascii="Times New Roman" w:hAnsi="Times New Roman"/>
                <w:sz w:val="24"/>
                <w:szCs w:val="20"/>
                <w:lang w:eastAsia="ru-RU"/>
              </w:rPr>
              <w:t>10</w:t>
            </w:r>
          </w:p>
        </w:tc>
        <w:tc>
          <w:tcPr>
            <w:tcW w:w="1754" w:type="dxa"/>
            <w:vAlign w:val="center"/>
          </w:tcPr>
          <w:p w:rsidR="002D1E45" w:rsidRPr="004D071E" w:rsidRDefault="002D1E45" w:rsidP="004D071E">
            <w:pPr>
              <w:widowControl w:val="0"/>
              <w:spacing w:after="0" w:line="240" w:lineRule="auto"/>
              <w:jc w:val="center"/>
              <w:rPr>
                <w:rFonts w:ascii="Times New Roman" w:hAnsi="Times New Roman"/>
                <w:sz w:val="24"/>
                <w:szCs w:val="20"/>
                <w:lang w:eastAsia="ru-RU"/>
              </w:rPr>
            </w:pPr>
            <w:r w:rsidRPr="004D071E">
              <w:rPr>
                <w:rFonts w:ascii="Times New Roman" w:hAnsi="Times New Roman"/>
                <w:sz w:val="24"/>
                <w:szCs w:val="20"/>
                <w:lang w:eastAsia="ru-RU"/>
              </w:rPr>
              <w:t>393</w:t>
            </w:r>
          </w:p>
        </w:tc>
        <w:tc>
          <w:tcPr>
            <w:tcW w:w="1360" w:type="dxa"/>
            <w:vAlign w:val="center"/>
          </w:tcPr>
          <w:p w:rsidR="002D1E45" w:rsidRPr="004D071E" w:rsidRDefault="002D1E45" w:rsidP="004D071E">
            <w:pPr>
              <w:widowControl w:val="0"/>
              <w:spacing w:after="0" w:line="240" w:lineRule="auto"/>
              <w:jc w:val="center"/>
              <w:rPr>
                <w:rFonts w:ascii="Times New Roman" w:hAnsi="Times New Roman"/>
                <w:sz w:val="24"/>
                <w:szCs w:val="20"/>
                <w:lang w:eastAsia="ru-RU"/>
              </w:rPr>
            </w:pPr>
            <w:r w:rsidRPr="004D071E">
              <w:rPr>
                <w:rFonts w:ascii="Times New Roman" w:hAnsi="Times New Roman"/>
                <w:sz w:val="24"/>
                <w:szCs w:val="20"/>
                <w:lang w:eastAsia="ru-RU"/>
              </w:rPr>
              <w:t>10</w:t>
            </w:r>
          </w:p>
        </w:tc>
      </w:tr>
      <w:tr w:rsidR="002D1E45" w:rsidRPr="004D071E" w:rsidTr="001D0C26">
        <w:trPr>
          <w:jc w:val="center"/>
        </w:trPr>
        <w:tc>
          <w:tcPr>
            <w:tcW w:w="3059" w:type="dxa"/>
            <w:vAlign w:val="center"/>
          </w:tcPr>
          <w:p w:rsidR="002D1E45" w:rsidRPr="004D071E" w:rsidRDefault="002D1E45" w:rsidP="004D071E">
            <w:pPr>
              <w:widowControl w:val="0"/>
              <w:spacing w:after="0" w:line="240" w:lineRule="auto"/>
              <w:jc w:val="center"/>
              <w:rPr>
                <w:rFonts w:ascii="Times New Roman" w:hAnsi="Times New Roman"/>
                <w:sz w:val="24"/>
                <w:szCs w:val="20"/>
                <w:lang w:eastAsia="ru-RU"/>
              </w:rPr>
            </w:pPr>
            <w:r w:rsidRPr="004D071E">
              <w:rPr>
                <w:rFonts w:ascii="Times New Roman" w:hAnsi="Times New Roman"/>
                <w:sz w:val="24"/>
                <w:szCs w:val="20"/>
                <w:lang w:eastAsia="ru-RU"/>
              </w:rPr>
              <w:t>2/5</w:t>
            </w:r>
          </w:p>
        </w:tc>
        <w:tc>
          <w:tcPr>
            <w:tcW w:w="1904" w:type="dxa"/>
            <w:vAlign w:val="center"/>
          </w:tcPr>
          <w:p w:rsidR="002D1E45" w:rsidRPr="004D071E" w:rsidRDefault="002D1E45" w:rsidP="004D071E">
            <w:pPr>
              <w:widowControl w:val="0"/>
              <w:spacing w:after="0" w:line="240" w:lineRule="auto"/>
              <w:jc w:val="center"/>
              <w:rPr>
                <w:rFonts w:ascii="Times New Roman" w:hAnsi="Times New Roman"/>
                <w:sz w:val="24"/>
                <w:szCs w:val="20"/>
                <w:lang w:eastAsia="ru-RU"/>
              </w:rPr>
            </w:pPr>
            <w:r w:rsidRPr="004D071E">
              <w:rPr>
                <w:rFonts w:ascii="Times New Roman" w:hAnsi="Times New Roman"/>
                <w:sz w:val="24"/>
                <w:szCs w:val="20"/>
                <w:lang w:eastAsia="ru-RU"/>
              </w:rPr>
              <w:t>1 976</w:t>
            </w:r>
          </w:p>
        </w:tc>
        <w:tc>
          <w:tcPr>
            <w:tcW w:w="1508" w:type="dxa"/>
            <w:vAlign w:val="center"/>
          </w:tcPr>
          <w:p w:rsidR="002D1E45" w:rsidRPr="004D071E" w:rsidRDefault="002D1E45" w:rsidP="004D071E">
            <w:pPr>
              <w:widowControl w:val="0"/>
              <w:spacing w:after="0" w:line="240" w:lineRule="auto"/>
              <w:jc w:val="center"/>
              <w:rPr>
                <w:rFonts w:ascii="Times New Roman" w:hAnsi="Times New Roman"/>
                <w:sz w:val="24"/>
                <w:szCs w:val="20"/>
                <w:lang w:eastAsia="ru-RU"/>
              </w:rPr>
            </w:pPr>
            <w:r w:rsidRPr="004D071E">
              <w:rPr>
                <w:rFonts w:ascii="Times New Roman" w:hAnsi="Times New Roman"/>
                <w:sz w:val="24"/>
                <w:szCs w:val="20"/>
                <w:lang w:eastAsia="ru-RU"/>
              </w:rPr>
              <w:t>1</w:t>
            </w:r>
          </w:p>
        </w:tc>
        <w:tc>
          <w:tcPr>
            <w:tcW w:w="1754" w:type="dxa"/>
            <w:vAlign w:val="center"/>
          </w:tcPr>
          <w:p w:rsidR="002D1E45" w:rsidRPr="004D071E" w:rsidRDefault="002D1E45" w:rsidP="004D071E">
            <w:pPr>
              <w:widowControl w:val="0"/>
              <w:spacing w:after="0" w:line="240" w:lineRule="auto"/>
              <w:jc w:val="center"/>
              <w:rPr>
                <w:rFonts w:ascii="Times New Roman" w:hAnsi="Times New Roman"/>
                <w:sz w:val="24"/>
                <w:szCs w:val="20"/>
                <w:lang w:eastAsia="ru-RU"/>
              </w:rPr>
            </w:pPr>
            <w:r w:rsidRPr="004D071E">
              <w:rPr>
                <w:rFonts w:ascii="Times New Roman" w:hAnsi="Times New Roman"/>
                <w:sz w:val="24"/>
                <w:szCs w:val="20"/>
                <w:lang w:eastAsia="ru-RU"/>
              </w:rPr>
              <w:t>918</w:t>
            </w:r>
          </w:p>
        </w:tc>
        <w:tc>
          <w:tcPr>
            <w:tcW w:w="1360" w:type="dxa"/>
            <w:vAlign w:val="center"/>
          </w:tcPr>
          <w:p w:rsidR="002D1E45" w:rsidRPr="004D071E" w:rsidRDefault="002D1E45" w:rsidP="004D071E">
            <w:pPr>
              <w:widowControl w:val="0"/>
              <w:spacing w:after="0" w:line="240" w:lineRule="auto"/>
              <w:jc w:val="center"/>
              <w:rPr>
                <w:rFonts w:ascii="Times New Roman" w:hAnsi="Times New Roman"/>
                <w:sz w:val="24"/>
                <w:szCs w:val="20"/>
                <w:lang w:eastAsia="ru-RU"/>
              </w:rPr>
            </w:pPr>
            <w:r w:rsidRPr="004D071E">
              <w:rPr>
                <w:rFonts w:ascii="Times New Roman" w:hAnsi="Times New Roman"/>
                <w:sz w:val="24"/>
                <w:szCs w:val="20"/>
                <w:lang w:eastAsia="ru-RU"/>
              </w:rPr>
              <w:t>1</w:t>
            </w:r>
          </w:p>
        </w:tc>
      </w:tr>
    </w:tbl>
    <w:p w:rsidR="002D1E45" w:rsidRPr="004D071E" w:rsidRDefault="002D1E45" w:rsidP="004D071E">
      <w:pPr>
        <w:autoSpaceDE w:val="0"/>
        <w:autoSpaceDN w:val="0"/>
        <w:adjustRightInd w:val="0"/>
        <w:spacing w:after="0" w:line="240" w:lineRule="auto"/>
        <w:ind w:firstLine="709"/>
        <w:jc w:val="right"/>
        <w:rPr>
          <w:rFonts w:ascii="Times New Roman" w:hAnsi="Times New Roman"/>
          <w:sz w:val="28"/>
          <w:szCs w:val="24"/>
          <w:lang w:eastAsia="ru-RU"/>
        </w:rPr>
      </w:pPr>
    </w:p>
    <w:p w:rsidR="002D1E45" w:rsidRPr="004D071E" w:rsidRDefault="002D1E45" w:rsidP="004D071E">
      <w:pPr>
        <w:autoSpaceDE w:val="0"/>
        <w:autoSpaceDN w:val="0"/>
        <w:adjustRightInd w:val="0"/>
        <w:spacing w:after="0" w:line="240" w:lineRule="auto"/>
        <w:ind w:firstLine="709"/>
        <w:jc w:val="right"/>
        <w:rPr>
          <w:rFonts w:ascii="Times New Roman" w:hAnsi="Times New Roman"/>
          <w:sz w:val="28"/>
          <w:szCs w:val="24"/>
          <w:lang w:eastAsia="ru-RU"/>
        </w:rPr>
      </w:pPr>
      <w:r w:rsidRPr="004D071E">
        <w:rPr>
          <w:rFonts w:ascii="Times New Roman" w:hAnsi="Times New Roman"/>
          <w:sz w:val="28"/>
          <w:szCs w:val="24"/>
          <w:lang w:eastAsia="ru-RU"/>
        </w:rPr>
        <w:t xml:space="preserve">Таблица </w:t>
      </w:r>
      <w:r w:rsidRPr="004D071E">
        <w:rPr>
          <w:rFonts w:ascii="Times New Roman" w:hAnsi="Times New Roman"/>
          <w:sz w:val="28"/>
          <w:szCs w:val="24"/>
          <w:lang w:eastAsia="ru-RU"/>
        </w:rPr>
        <w:fldChar w:fldCharType="begin"/>
      </w:r>
      <w:r w:rsidRPr="004D071E">
        <w:rPr>
          <w:rFonts w:ascii="Times New Roman" w:hAnsi="Times New Roman"/>
          <w:sz w:val="28"/>
          <w:szCs w:val="24"/>
          <w:lang w:eastAsia="ru-RU"/>
        </w:rPr>
        <w:instrText xml:space="preserve"> SEQ Таблица \* ARABIC </w:instrText>
      </w:r>
      <w:r w:rsidRPr="004D071E">
        <w:rPr>
          <w:rFonts w:ascii="Times New Roman" w:hAnsi="Times New Roman"/>
          <w:sz w:val="28"/>
          <w:szCs w:val="24"/>
          <w:lang w:eastAsia="ru-RU"/>
        </w:rPr>
        <w:fldChar w:fldCharType="separate"/>
      </w:r>
      <w:r>
        <w:rPr>
          <w:rFonts w:ascii="Times New Roman" w:hAnsi="Times New Roman"/>
          <w:noProof/>
          <w:sz w:val="28"/>
          <w:szCs w:val="24"/>
          <w:lang w:eastAsia="ru-RU"/>
        </w:rPr>
        <w:t>32</w:t>
      </w:r>
      <w:r w:rsidRPr="004D071E">
        <w:rPr>
          <w:rFonts w:ascii="Times New Roman" w:hAnsi="Times New Roman"/>
          <w:sz w:val="28"/>
          <w:szCs w:val="24"/>
          <w:lang w:eastAsia="ru-RU"/>
        </w:rPr>
        <w:fldChar w:fldCharType="end"/>
      </w:r>
    </w:p>
    <w:p w:rsidR="002D1E45" w:rsidRPr="004D071E" w:rsidRDefault="002D1E45" w:rsidP="004D071E">
      <w:pPr>
        <w:widowControl w:val="0"/>
        <w:spacing w:after="120" w:line="240" w:lineRule="auto"/>
        <w:ind w:right="-1"/>
        <w:jc w:val="center"/>
        <w:rPr>
          <w:rFonts w:ascii="Times New Roman" w:hAnsi="Times New Roman"/>
          <w:sz w:val="28"/>
          <w:szCs w:val="24"/>
          <w:lang w:eastAsia="ru-RU"/>
        </w:rPr>
      </w:pPr>
      <w:r w:rsidRPr="004D071E">
        <w:rPr>
          <w:rFonts w:ascii="Times New Roman" w:hAnsi="Times New Roman"/>
          <w:sz w:val="28"/>
          <w:szCs w:val="24"/>
          <w:lang w:eastAsia="ru-RU"/>
        </w:rPr>
        <w:t>Характеристики зон поражения при авариях с ГСМ и СУГ</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251"/>
        <w:gridCol w:w="1042"/>
        <w:gridCol w:w="1042"/>
        <w:gridCol w:w="1042"/>
        <w:gridCol w:w="1044"/>
      </w:tblGrid>
      <w:tr w:rsidR="002D1E45" w:rsidRPr="004D071E" w:rsidTr="001D0C26">
        <w:trPr>
          <w:trHeight w:val="143"/>
          <w:tblHeader/>
          <w:jc w:val="center"/>
        </w:trPr>
        <w:tc>
          <w:tcPr>
            <w:tcW w:w="2999" w:type="pct"/>
            <w:vMerge w:val="restar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Параметры</w:t>
            </w:r>
          </w:p>
        </w:tc>
        <w:tc>
          <w:tcPr>
            <w:tcW w:w="1000" w:type="pct"/>
            <w:gridSpan w:val="2"/>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ж/д цистерна</w:t>
            </w:r>
          </w:p>
        </w:tc>
        <w:tc>
          <w:tcPr>
            <w:tcW w:w="1000" w:type="pct"/>
            <w:gridSpan w:val="2"/>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а/д цистерна</w:t>
            </w:r>
          </w:p>
        </w:tc>
      </w:tr>
      <w:tr w:rsidR="002D1E45" w:rsidRPr="004D071E" w:rsidTr="001D0C26">
        <w:trPr>
          <w:trHeight w:val="143"/>
          <w:tblHeader/>
          <w:jc w:val="center"/>
        </w:trPr>
        <w:tc>
          <w:tcPr>
            <w:tcW w:w="2999" w:type="pct"/>
            <w:vMerge/>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ГСМ</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СУГ</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ГСМ</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СУГ</w:t>
            </w:r>
          </w:p>
        </w:tc>
      </w:tr>
      <w:tr w:rsidR="002D1E45" w:rsidRPr="004D071E" w:rsidTr="001D0C26">
        <w:trPr>
          <w:jc w:val="center"/>
        </w:trPr>
        <w:tc>
          <w:tcPr>
            <w:tcW w:w="2999" w:type="pct"/>
            <w:vAlign w:val="center"/>
          </w:tcPr>
          <w:p w:rsidR="002D1E45" w:rsidRPr="004D071E" w:rsidRDefault="002D1E45" w:rsidP="004D071E">
            <w:pPr>
              <w:widowControl w:val="0"/>
              <w:tabs>
                <w:tab w:val="left" w:pos="1230"/>
              </w:tabs>
              <w:spacing w:after="0" w:line="240" w:lineRule="auto"/>
              <w:ind w:firstLine="34"/>
              <w:rPr>
                <w:rFonts w:ascii="Times New Roman" w:hAnsi="Times New Roman"/>
                <w:lang w:eastAsia="ru-RU"/>
              </w:rPr>
            </w:pPr>
            <w:r w:rsidRPr="004D071E">
              <w:rPr>
                <w:rFonts w:ascii="Times New Roman" w:hAnsi="Times New Roman"/>
                <w:lang w:eastAsia="ru-RU"/>
              </w:rPr>
              <w:t>Объем резервуара, м</w:t>
            </w:r>
            <w:r w:rsidRPr="004D071E">
              <w:rPr>
                <w:rFonts w:ascii="Times New Roman" w:hAnsi="Times New Roman"/>
                <w:vertAlign w:val="superscript"/>
                <w:lang w:eastAsia="ru-RU"/>
              </w:rPr>
              <w:t>3</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72</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73</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8</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14,5</w:t>
            </w:r>
          </w:p>
        </w:tc>
      </w:tr>
      <w:tr w:rsidR="002D1E45" w:rsidRPr="004D071E" w:rsidTr="001D0C26">
        <w:trPr>
          <w:jc w:val="center"/>
        </w:trPr>
        <w:tc>
          <w:tcPr>
            <w:tcW w:w="2999" w:type="pct"/>
            <w:vAlign w:val="center"/>
          </w:tcPr>
          <w:p w:rsidR="002D1E45" w:rsidRPr="004D071E" w:rsidRDefault="002D1E45" w:rsidP="004D071E">
            <w:pPr>
              <w:widowControl w:val="0"/>
              <w:tabs>
                <w:tab w:val="left" w:pos="1230"/>
              </w:tabs>
              <w:spacing w:after="0" w:line="240" w:lineRule="auto"/>
              <w:ind w:firstLine="34"/>
              <w:rPr>
                <w:rFonts w:ascii="Times New Roman" w:hAnsi="Times New Roman"/>
                <w:lang w:eastAsia="ru-RU"/>
              </w:rPr>
            </w:pPr>
            <w:r w:rsidRPr="004D071E">
              <w:rPr>
                <w:rFonts w:ascii="Times New Roman" w:hAnsi="Times New Roman"/>
                <w:lang w:eastAsia="ru-RU"/>
              </w:rPr>
              <w:t>Разрушение ёмкости с уровнем заполнения, %</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95</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85</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95</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85</w:t>
            </w:r>
          </w:p>
        </w:tc>
      </w:tr>
      <w:tr w:rsidR="002D1E45" w:rsidRPr="004D071E" w:rsidTr="001D0C26">
        <w:trPr>
          <w:jc w:val="center"/>
        </w:trPr>
        <w:tc>
          <w:tcPr>
            <w:tcW w:w="2999" w:type="pct"/>
            <w:vAlign w:val="center"/>
          </w:tcPr>
          <w:p w:rsidR="002D1E45" w:rsidRPr="004D071E" w:rsidRDefault="002D1E45" w:rsidP="004D071E">
            <w:pPr>
              <w:widowControl w:val="0"/>
              <w:tabs>
                <w:tab w:val="left" w:pos="1230"/>
              </w:tabs>
              <w:spacing w:after="0" w:line="240" w:lineRule="auto"/>
              <w:ind w:firstLine="34"/>
              <w:rPr>
                <w:rFonts w:ascii="Times New Roman" w:hAnsi="Times New Roman"/>
                <w:lang w:eastAsia="ru-RU"/>
              </w:rPr>
            </w:pPr>
            <w:r w:rsidRPr="004D071E">
              <w:rPr>
                <w:rFonts w:ascii="Times New Roman" w:hAnsi="Times New Roman"/>
                <w:lang w:eastAsia="ru-RU"/>
              </w:rPr>
              <w:t>Масса топлива в разлитии, т</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52,67</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48,55</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5,85</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9,64</w:t>
            </w:r>
          </w:p>
        </w:tc>
      </w:tr>
      <w:tr w:rsidR="002D1E45" w:rsidRPr="004D071E" w:rsidTr="001D0C26">
        <w:trPr>
          <w:jc w:val="center"/>
        </w:trPr>
        <w:tc>
          <w:tcPr>
            <w:tcW w:w="2999" w:type="pct"/>
            <w:vAlign w:val="center"/>
          </w:tcPr>
          <w:p w:rsidR="002D1E45" w:rsidRPr="004D071E" w:rsidRDefault="002D1E45" w:rsidP="004D071E">
            <w:pPr>
              <w:widowControl w:val="0"/>
              <w:tabs>
                <w:tab w:val="left" w:pos="1230"/>
              </w:tabs>
              <w:spacing w:after="0" w:line="240" w:lineRule="auto"/>
              <w:ind w:firstLine="34"/>
              <w:rPr>
                <w:rFonts w:ascii="Times New Roman" w:hAnsi="Times New Roman"/>
                <w:lang w:eastAsia="ru-RU"/>
              </w:rPr>
            </w:pPr>
            <w:r w:rsidRPr="004D071E">
              <w:rPr>
                <w:rFonts w:ascii="Times New Roman" w:hAnsi="Times New Roman"/>
                <w:lang w:eastAsia="ru-RU"/>
              </w:rPr>
              <w:t>Эквивалентный радиус разлития, м</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20,9</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21,0</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7</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9,4</w:t>
            </w:r>
          </w:p>
        </w:tc>
      </w:tr>
      <w:tr w:rsidR="002D1E45" w:rsidRPr="004D071E" w:rsidTr="001D0C26">
        <w:trPr>
          <w:jc w:val="center"/>
        </w:trPr>
        <w:tc>
          <w:tcPr>
            <w:tcW w:w="2999" w:type="pct"/>
            <w:vAlign w:val="center"/>
          </w:tcPr>
          <w:p w:rsidR="002D1E45" w:rsidRPr="004D071E" w:rsidRDefault="002D1E45" w:rsidP="004D071E">
            <w:pPr>
              <w:widowControl w:val="0"/>
              <w:tabs>
                <w:tab w:val="left" w:pos="1230"/>
              </w:tabs>
              <w:spacing w:after="0" w:line="240" w:lineRule="auto"/>
              <w:ind w:firstLine="34"/>
              <w:rPr>
                <w:rFonts w:ascii="Times New Roman" w:hAnsi="Times New Roman"/>
                <w:lang w:eastAsia="ru-RU"/>
              </w:rPr>
            </w:pPr>
            <w:r w:rsidRPr="004D071E">
              <w:rPr>
                <w:rFonts w:ascii="Times New Roman" w:hAnsi="Times New Roman"/>
                <w:lang w:eastAsia="ru-RU"/>
              </w:rPr>
              <w:t>Площадь разлития, м</w:t>
            </w:r>
            <w:r w:rsidRPr="004D071E">
              <w:rPr>
                <w:rFonts w:ascii="Times New Roman" w:hAnsi="Times New Roman"/>
                <w:vertAlign w:val="superscript"/>
                <w:lang w:eastAsia="ru-RU"/>
              </w:rPr>
              <w:t>2</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1368</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1387</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152</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275,5</w:t>
            </w:r>
          </w:p>
        </w:tc>
      </w:tr>
      <w:tr w:rsidR="002D1E45" w:rsidRPr="004D071E" w:rsidTr="001D0C26">
        <w:trPr>
          <w:jc w:val="center"/>
        </w:trPr>
        <w:tc>
          <w:tcPr>
            <w:tcW w:w="2999" w:type="pct"/>
            <w:vAlign w:val="center"/>
          </w:tcPr>
          <w:p w:rsidR="002D1E45" w:rsidRPr="004D071E" w:rsidRDefault="002D1E45" w:rsidP="004D071E">
            <w:pPr>
              <w:widowControl w:val="0"/>
              <w:tabs>
                <w:tab w:val="left" w:pos="1230"/>
              </w:tabs>
              <w:spacing w:after="0" w:line="240" w:lineRule="auto"/>
              <w:ind w:firstLine="34"/>
              <w:rPr>
                <w:rFonts w:ascii="Times New Roman" w:hAnsi="Times New Roman"/>
                <w:lang w:eastAsia="ru-RU"/>
              </w:rPr>
            </w:pPr>
            <w:r w:rsidRPr="004D071E">
              <w:rPr>
                <w:rFonts w:ascii="Times New Roman" w:hAnsi="Times New Roman"/>
                <w:lang w:eastAsia="ru-RU"/>
              </w:rPr>
              <w:t>Доля топлива, участвующая в образовании ГВС</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0,02</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0,7</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0,02</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0,7</w:t>
            </w:r>
          </w:p>
        </w:tc>
      </w:tr>
      <w:tr w:rsidR="002D1E45" w:rsidRPr="004D071E" w:rsidTr="001D0C26">
        <w:trPr>
          <w:jc w:val="center"/>
        </w:trPr>
        <w:tc>
          <w:tcPr>
            <w:tcW w:w="2999" w:type="pct"/>
            <w:vAlign w:val="center"/>
          </w:tcPr>
          <w:p w:rsidR="002D1E45" w:rsidRPr="004D071E" w:rsidRDefault="002D1E45" w:rsidP="004D071E">
            <w:pPr>
              <w:widowControl w:val="0"/>
              <w:tabs>
                <w:tab w:val="left" w:pos="1230"/>
              </w:tabs>
              <w:spacing w:after="0" w:line="240" w:lineRule="auto"/>
              <w:ind w:firstLine="34"/>
              <w:rPr>
                <w:rFonts w:ascii="Times New Roman" w:hAnsi="Times New Roman"/>
                <w:lang w:eastAsia="ru-RU"/>
              </w:rPr>
            </w:pPr>
            <w:r w:rsidRPr="004D071E">
              <w:rPr>
                <w:rFonts w:ascii="Times New Roman" w:hAnsi="Times New Roman"/>
                <w:lang w:eastAsia="ru-RU"/>
              </w:rPr>
              <w:t>Масса топлива в ГВС, т</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1,05</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33,98</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0,12</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6,75</w:t>
            </w:r>
          </w:p>
        </w:tc>
      </w:tr>
      <w:tr w:rsidR="002D1E45" w:rsidRPr="004D071E" w:rsidTr="001D0C26">
        <w:trPr>
          <w:jc w:val="center"/>
        </w:trPr>
        <w:tc>
          <w:tcPr>
            <w:tcW w:w="5000" w:type="pct"/>
            <w:gridSpan w:val="5"/>
            <w:vAlign w:val="center"/>
          </w:tcPr>
          <w:p w:rsidR="002D1E45" w:rsidRPr="004D071E" w:rsidRDefault="002D1E45" w:rsidP="004D071E">
            <w:pPr>
              <w:widowControl w:val="0"/>
              <w:tabs>
                <w:tab w:val="left" w:pos="1230"/>
              </w:tabs>
              <w:spacing w:after="0" w:line="240" w:lineRule="auto"/>
              <w:ind w:firstLine="34"/>
              <w:rPr>
                <w:rFonts w:ascii="Times New Roman" w:hAnsi="Times New Roman"/>
                <w:b/>
                <w:i/>
                <w:lang w:eastAsia="ru-RU"/>
              </w:rPr>
            </w:pPr>
            <w:r w:rsidRPr="004D071E">
              <w:rPr>
                <w:rFonts w:ascii="Times New Roman" w:hAnsi="Times New Roman"/>
                <w:b/>
                <w:i/>
                <w:lang w:eastAsia="ru-RU"/>
              </w:rPr>
              <w:t>Зоны воздействия ударной волны на промышленные объекты и людей</w:t>
            </w:r>
          </w:p>
        </w:tc>
      </w:tr>
      <w:tr w:rsidR="002D1E45" w:rsidRPr="004D071E" w:rsidTr="001D0C26">
        <w:trPr>
          <w:jc w:val="center"/>
        </w:trPr>
        <w:tc>
          <w:tcPr>
            <w:tcW w:w="2999" w:type="pct"/>
            <w:vAlign w:val="center"/>
          </w:tcPr>
          <w:p w:rsidR="002D1E45" w:rsidRPr="004D071E" w:rsidRDefault="002D1E45" w:rsidP="004D071E">
            <w:pPr>
              <w:widowControl w:val="0"/>
              <w:tabs>
                <w:tab w:val="left" w:pos="1230"/>
              </w:tabs>
              <w:spacing w:after="0" w:line="240" w:lineRule="auto"/>
              <w:ind w:firstLine="34"/>
              <w:rPr>
                <w:rFonts w:ascii="Times New Roman" w:hAnsi="Times New Roman"/>
                <w:lang w:eastAsia="ru-RU"/>
              </w:rPr>
            </w:pPr>
            <w:r w:rsidRPr="004D071E">
              <w:rPr>
                <w:rFonts w:ascii="Times New Roman" w:hAnsi="Times New Roman"/>
                <w:lang w:eastAsia="ru-RU"/>
              </w:rPr>
              <w:t>Зона полных разрушений, м</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28</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92</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14</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53</w:t>
            </w:r>
          </w:p>
        </w:tc>
      </w:tr>
      <w:tr w:rsidR="002D1E45" w:rsidRPr="004D071E" w:rsidTr="001D0C26">
        <w:trPr>
          <w:jc w:val="center"/>
        </w:trPr>
        <w:tc>
          <w:tcPr>
            <w:tcW w:w="2999" w:type="pct"/>
            <w:vAlign w:val="center"/>
          </w:tcPr>
          <w:p w:rsidR="002D1E45" w:rsidRPr="004D071E" w:rsidRDefault="002D1E45" w:rsidP="004D071E">
            <w:pPr>
              <w:widowControl w:val="0"/>
              <w:tabs>
                <w:tab w:val="left" w:pos="1230"/>
              </w:tabs>
              <w:spacing w:after="0" w:line="240" w:lineRule="auto"/>
              <w:ind w:firstLine="34"/>
              <w:rPr>
                <w:rFonts w:ascii="Times New Roman" w:hAnsi="Times New Roman"/>
                <w:lang w:eastAsia="ru-RU"/>
              </w:rPr>
            </w:pPr>
            <w:r w:rsidRPr="004D071E">
              <w:rPr>
                <w:rFonts w:ascii="Times New Roman" w:hAnsi="Times New Roman"/>
                <w:lang w:eastAsia="ru-RU"/>
              </w:rPr>
              <w:t>Зона сильных разрушений, м</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57</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184</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27</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107</w:t>
            </w:r>
          </w:p>
        </w:tc>
      </w:tr>
      <w:tr w:rsidR="002D1E45" w:rsidRPr="004D071E" w:rsidTr="001D0C26">
        <w:trPr>
          <w:jc w:val="center"/>
        </w:trPr>
        <w:tc>
          <w:tcPr>
            <w:tcW w:w="2999" w:type="pct"/>
            <w:vAlign w:val="center"/>
          </w:tcPr>
          <w:p w:rsidR="002D1E45" w:rsidRPr="004D071E" w:rsidRDefault="002D1E45" w:rsidP="004D071E">
            <w:pPr>
              <w:widowControl w:val="0"/>
              <w:tabs>
                <w:tab w:val="left" w:pos="1230"/>
              </w:tabs>
              <w:spacing w:after="0" w:line="240" w:lineRule="auto"/>
              <w:ind w:firstLine="34"/>
              <w:rPr>
                <w:rFonts w:ascii="Times New Roman" w:hAnsi="Times New Roman"/>
                <w:lang w:eastAsia="ru-RU"/>
              </w:rPr>
            </w:pPr>
            <w:r w:rsidRPr="004D071E">
              <w:rPr>
                <w:rFonts w:ascii="Times New Roman" w:hAnsi="Times New Roman"/>
                <w:lang w:eastAsia="ru-RU"/>
              </w:rPr>
              <w:t>Зона средних разрушений, м</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132</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426</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63</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247</w:t>
            </w:r>
          </w:p>
        </w:tc>
      </w:tr>
      <w:tr w:rsidR="002D1E45" w:rsidRPr="004D071E" w:rsidTr="001D0C26">
        <w:trPr>
          <w:jc w:val="center"/>
        </w:trPr>
        <w:tc>
          <w:tcPr>
            <w:tcW w:w="2999" w:type="pct"/>
            <w:vAlign w:val="center"/>
          </w:tcPr>
          <w:p w:rsidR="002D1E45" w:rsidRPr="004D071E" w:rsidRDefault="002D1E45" w:rsidP="004D071E">
            <w:pPr>
              <w:widowControl w:val="0"/>
              <w:tabs>
                <w:tab w:val="left" w:pos="1230"/>
              </w:tabs>
              <w:spacing w:after="0" w:line="240" w:lineRule="auto"/>
              <w:ind w:firstLine="34"/>
              <w:rPr>
                <w:rFonts w:ascii="Times New Roman" w:hAnsi="Times New Roman"/>
                <w:lang w:eastAsia="ru-RU"/>
              </w:rPr>
            </w:pPr>
            <w:r w:rsidRPr="004D071E">
              <w:rPr>
                <w:rFonts w:ascii="Times New Roman" w:hAnsi="Times New Roman"/>
                <w:lang w:eastAsia="ru-RU"/>
              </w:rPr>
              <w:t>Зона слабых разрушений, м</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326</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1049</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155</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609</w:t>
            </w:r>
          </w:p>
        </w:tc>
      </w:tr>
      <w:tr w:rsidR="002D1E45" w:rsidRPr="004D071E" w:rsidTr="001D0C26">
        <w:trPr>
          <w:jc w:val="center"/>
        </w:trPr>
        <w:tc>
          <w:tcPr>
            <w:tcW w:w="2999" w:type="pct"/>
            <w:vAlign w:val="center"/>
          </w:tcPr>
          <w:p w:rsidR="002D1E45" w:rsidRPr="004D071E" w:rsidRDefault="002D1E45" w:rsidP="004D071E">
            <w:pPr>
              <w:widowControl w:val="0"/>
              <w:tabs>
                <w:tab w:val="left" w:pos="1230"/>
              </w:tabs>
              <w:spacing w:after="0" w:line="240" w:lineRule="auto"/>
              <w:ind w:firstLine="34"/>
              <w:rPr>
                <w:rFonts w:ascii="Times New Roman" w:hAnsi="Times New Roman"/>
                <w:lang w:eastAsia="ru-RU"/>
              </w:rPr>
            </w:pPr>
            <w:r w:rsidRPr="004D071E">
              <w:rPr>
                <w:rFonts w:ascii="Times New Roman" w:hAnsi="Times New Roman"/>
                <w:lang w:eastAsia="ru-RU"/>
              </w:rPr>
              <w:t>Зона расстекления (50%), м</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387</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1246</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185</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723</w:t>
            </w:r>
          </w:p>
        </w:tc>
      </w:tr>
      <w:tr w:rsidR="002D1E45" w:rsidRPr="004D071E" w:rsidTr="001D0C26">
        <w:trPr>
          <w:jc w:val="center"/>
        </w:trPr>
        <w:tc>
          <w:tcPr>
            <w:tcW w:w="2999" w:type="pct"/>
            <w:vAlign w:val="center"/>
          </w:tcPr>
          <w:p w:rsidR="002D1E45" w:rsidRPr="004D071E" w:rsidRDefault="002D1E45" w:rsidP="004D071E">
            <w:pPr>
              <w:widowControl w:val="0"/>
              <w:tabs>
                <w:tab w:val="left" w:pos="1230"/>
              </w:tabs>
              <w:spacing w:after="0" w:line="240" w:lineRule="auto"/>
              <w:ind w:firstLine="34"/>
              <w:rPr>
                <w:rFonts w:ascii="Times New Roman" w:hAnsi="Times New Roman"/>
                <w:lang w:eastAsia="ru-RU"/>
              </w:rPr>
            </w:pPr>
            <w:r w:rsidRPr="004D071E">
              <w:rPr>
                <w:rFonts w:ascii="Times New Roman" w:hAnsi="Times New Roman"/>
                <w:lang w:eastAsia="ru-RU"/>
              </w:rPr>
              <w:t>Порог поражения 99% людей, м</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28</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92</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14</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53</w:t>
            </w:r>
          </w:p>
        </w:tc>
      </w:tr>
      <w:tr w:rsidR="002D1E45" w:rsidRPr="004D071E" w:rsidTr="001D0C26">
        <w:trPr>
          <w:jc w:val="center"/>
        </w:trPr>
        <w:tc>
          <w:tcPr>
            <w:tcW w:w="2999" w:type="pct"/>
            <w:vAlign w:val="center"/>
          </w:tcPr>
          <w:p w:rsidR="002D1E45" w:rsidRPr="004D071E" w:rsidRDefault="002D1E45" w:rsidP="004D071E">
            <w:pPr>
              <w:widowControl w:val="0"/>
              <w:tabs>
                <w:tab w:val="left" w:pos="1230"/>
              </w:tabs>
              <w:spacing w:after="0" w:line="240" w:lineRule="auto"/>
              <w:ind w:firstLine="34"/>
              <w:rPr>
                <w:rFonts w:ascii="Times New Roman" w:hAnsi="Times New Roman"/>
                <w:lang w:eastAsia="ru-RU"/>
              </w:rPr>
            </w:pPr>
            <w:r w:rsidRPr="004D071E">
              <w:rPr>
                <w:rFonts w:ascii="Times New Roman" w:hAnsi="Times New Roman"/>
                <w:lang w:eastAsia="ru-RU"/>
              </w:rPr>
              <w:t>Порог поражения людей (контузия), м</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45</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144</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21</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84</w:t>
            </w:r>
          </w:p>
        </w:tc>
      </w:tr>
      <w:tr w:rsidR="002D1E45" w:rsidRPr="004D071E" w:rsidTr="001D0C26">
        <w:trPr>
          <w:jc w:val="center"/>
        </w:trPr>
        <w:tc>
          <w:tcPr>
            <w:tcW w:w="5000" w:type="pct"/>
            <w:gridSpan w:val="5"/>
            <w:vAlign w:val="center"/>
          </w:tcPr>
          <w:p w:rsidR="002D1E45" w:rsidRPr="004D071E" w:rsidRDefault="002D1E45" w:rsidP="004D071E">
            <w:pPr>
              <w:widowControl w:val="0"/>
              <w:tabs>
                <w:tab w:val="left" w:pos="1230"/>
              </w:tabs>
              <w:spacing w:after="0" w:line="240" w:lineRule="auto"/>
              <w:ind w:firstLine="34"/>
              <w:rPr>
                <w:rFonts w:ascii="Times New Roman" w:hAnsi="Times New Roman"/>
                <w:b/>
                <w:i/>
                <w:lang w:eastAsia="ru-RU"/>
              </w:rPr>
            </w:pPr>
            <w:r w:rsidRPr="004D071E">
              <w:rPr>
                <w:rFonts w:ascii="Times New Roman" w:hAnsi="Times New Roman"/>
                <w:b/>
                <w:i/>
                <w:lang w:eastAsia="ru-RU"/>
              </w:rPr>
              <w:t>Параметры огневого шара (пламени вспышки)</w:t>
            </w:r>
          </w:p>
        </w:tc>
      </w:tr>
      <w:tr w:rsidR="002D1E45" w:rsidRPr="004D071E" w:rsidTr="001D0C26">
        <w:trPr>
          <w:jc w:val="center"/>
        </w:trPr>
        <w:tc>
          <w:tcPr>
            <w:tcW w:w="2999" w:type="pct"/>
            <w:vAlign w:val="center"/>
          </w:tcPr>
          <w:p w:rsidR="002D1E45" w:rsidRPr="004D071E" w:rsidRDefault="002D1E45" w:rsidP="004D071E">
            <w:pPr>
              <w:widowControl w:val="0"/>
              <w:tabs>
                <w:tab w:val="left" w:pos="1230"/>
              </w:tabs>
              <w:spacing w:after="0" w:line="240" w:lineRule="auto"/>
              <w:ind w:firstLine="34"/>
              <w:rPr>
                <w:rFonts w:ascii="Times New Roman" w:hAnsi="Times New Roman"/>
                <w:lang w:eastAsia="ru-RU"/>
              </w:rPr>
            </w:pPr>
            <w:r w:rsidRPr="004D071E">
              <w:rPr>
                <w:rFonts w:ascii="Times New Roman" w:hAnsi="Times New Roman"/>
                <w:lang w:eastAsia="ru-RU"/>
              </w:rPr>
              <w:t>Радиус огневого шара (пламени вспышки) ОШ(ПВ), м</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26</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80,5</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12,7</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47,6</w:t>
            </w:r>
          </w:p>
        </w:tc>
      </w:tr>
      <w:tr w:rsidR="002D1E45" w:rsidRPr="004D071E" w:rsidTr="001D0C26">
        <w:trPr>
          <w:jc w:val="center"/>
        </w:trPr>
        <w:tc>
          <w:tcPr>
            <w:tcW w:w="2999" w:type="pct"/>
            <w:vAlign w:val="center"/>
          </w:tcPr>
          <w:p w:rsidR="002D1E45" w:rsidRPr="004D071E" w:rsidRDefault="002D1E45" w:rsidP="004D071E">
            <w:pPr>
              <w:widowControl w:val="0"/>
              <w:tabs>
                <w:tab w:val="left" w:pos="1230"/>
              </w:tabs>
              <w:spacing w:after="0" w:line="240" w:lineRule="auto"/>
              <w:ind w:firstLine="34"/>
              <w:rPr>
                <w:rFonts w:ascii="Times New Roman" w:hAnsi="Times New Roman"/>
                <w:lang w:eastAsia="ru-RU"/>
              </w:rPr>
            </w:pPr>
            <w:r w:rsidRPr="004D071E">
              <w:rPr>
                <w:rFonts w:ascii="Times New Roman" w:hAnsi="Times New Roman"/>
                <w:lang w:eastAsia="ru-RU"/>
              </w:rPr>
              <w:t>Время существования ОШ(ПВ), с</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5</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11</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2,6</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7</w:t>
            </w:r>
          </w:p>
        </w:tc>
      </w:tr>
      <w:tr w:rsidR="002D1E45" w:rsidRPr="004D071E" w:rsidTr="001D0C26">
        <w:trPr>
          <w:jc w:val="center"/>
        </w:trPr>
        <w:tc>
          <w:tcPr>
            <w:tcW w:w="2999" w:type="pct"/>
            <w:vAlign w:val="center"/>
          </w:tcPr>
          <w:p w:rsidR="002D1E45" w:rsidRPr="004D071E" w:rsidRDefault="002D1E45" w:rsidP="004D071E">
            <w:pPr>
              <w:widowControl w:val="0"/>
              <w:tabs>
                <w:tab w:val="left" w:pos="1230"/>
              </w:tabs>
              <w:spacing w:after="0" w:line="240" w:lineRule="auto"/>
              <w:ind w:firstLine="34"/>
              <w:rPr>
                <w:rFonts w:ascii="Times New Roman" w:hAnsi="Times New Roman"/>
                <w:lang w:eastAsia="ru-RU"/>
              </w:rPr>
            </w:pPr>
            <w:r w:rsidRPr="004D071E">
              <w:rPr>
                <w:rFonts w:ascii="Times New Roman" w:hAnsi="Times New Roman"/>
                <w:lang w:eastAsia="ru-RU"/>
              </w:rPr>
              <w:t>Скорость распространения пламени, м/с</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43</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77</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30</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59</w:t>
            </w:r>
          </w:p>
        </w:tc>
      </w:tr>
      <w:tr w:rsidR="002D1E45" w:rsidRPr="004D071E" w:rsidTr="001D0C26">
        <w:trPr>
          <w:jc w:val="center"/>
        </w:trPr>
        <w:tc>
          <w:tcPr>
            <w:tcW w:w="2999" w:type="pct"/>
            <w:vAlign w:val="center"/>
          </w:tcPr>
          <w:p w:rsidR="002D1E45" w:rsidRPr="004D071E" w:rsidRDefault="002D1E45" w:rsidP="004D071E">
            <w:pPr>
              <w:widowControl w:val="0"/>
              <w:tabs>
                <w:tab w:val="left" w:pos="1230"/>
              </w:tabs>
              <w:spacing w:after="0" w:line="240" w:lineRule="auto"/>
              <w:ind w:firstLine="34"/>
              <w:rPr>
                <w:rFonts w:ascii="Times New Roman" w:hAnsi="Times New Roman"/>
                <w:lang w:eastAsia="ru-RU"/>
              </w:rPr>
            </w:pPr>
            <w:r w:rsidRPr="004D071E">
              <w:rPr>
                <w:rFonts w:ascii="Times New Roman" w:hAnsi="Times New Roman"/>
                <w:lang w:eastAsia="ru-RU"/>
              </w:rPr>
              <w:t>Величина воздействия теплового потока на здания и сооружения на кромке ОШ(ПВ), кВт/м</w:t>
            </w:r>
            <w:r w:rsidRPr="004D071E">
              <w:rPr>
                <w:rFonts w:ascii="Times New Roman" w:hAnsi="Times New Roman"/>
                <w:vertAlign w:val="superscript"/>
                <w:lang w:eastAsia="ru-RU"/>
              </w:rPr>
              <w:t>2</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130</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220</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130</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220</w:t>
            </w:r>
          </w:p>
        </w:tc>
      </w:tr>
      <w:tr w:rsidR="002D1E45" w:rsidRPr="004D071E" w:rsidTr="001D0C26">
        <w:trPr>
          <w:jc w:val="center"/>
        </w:trPr>
        <w:tc>
          <w:tcPr>
            <w:tcW w:w="2999" w:type="pct"/>
            <w:vAlign w:val="center"/>
          </w:tcPr>
          <w:p w:rsidR="002D1E45" w:rsidRPr="004D071E" w:rsidRDefault="002D1E45" w:rsidP="004D071E">
            <w:pPr>
              <w:widowControl w:val="0"/>
              <w:tabs>
                <w:tab w:val="left" w:pos="1230"/>
              </w:tabs>
              <w:spacing w:after="0" w:line="240" w:lineRule="auto"/>
              <w:ind w:firstLine="34"/>
              <w:rPr>
                <w:rFonts w:ascii="Times New Roman" w:hAnsi="Times New Roman"/>
                <w:lang w:eastAsia="ru-RU"/>
              </w:rPr>
            </w:pPr>
            <w:r w:rsidRPr="004D071E">
              <w:rPr>
                <w:rFonts w:ascii="Times New Roman" w:hAnsi="Times New Roman"/>
                <w:lang w:eastAsia="ru-RU"/>
              </w:rPr>
              <w:t>Индекс теплового излучения на кромке ОШ(ПВ)</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2994</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11995</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1691</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7879</w:t>
            </w:r>
          </w:p>
        </w:tc>
      </w:tr>
      <w:tr w:rsidR="002D1E45" w:rsidRPr="004D071E" w:rsidTr="001D0C26">
        <w:trPr>
          <w:trHeight w:val="225"/>
          <w:jc w:val="center"/>
        </w:trPr>
        <w:tc>
          <w:tcPr>
            <w:tcW w:w="2999" w:type="pct"/>
            <w:vAlign w:val="center"/>
          </w:tcPr>
          <w:p w:rsidR="002D1E45" w:rsidRPr="004D071E" w:rsidRDefault="002D1E45" w:rsidP="004D071E">
            <w:pPr>
              <w:widowControl w:val="0"/>
              <w:tabs>
                <w:tab w:val="left" w:pos="1230"/>
              </w:tabs>
              <w:spacing w:after="0" w:line="240" w:lineRule="auto"/>
              <w:ind w:firstLine="34"/>
              <w:rPr>
                <w:rFonts w:ascii="Times New Roman" w:hAnsi="Times New Roman"/>
                <w:lang w:eastAsia="ru-RU"/>
              </w:rPr>
            </w:pPr>
            <w:r w:rsidRPr="004D071E">
              <w:rPr>
                <w:rFonts w:ascii="Times New Roman" w:hAnsi="Times New Roman"/>
                <w:lang w:eastAsia="ru-RU"/>
              </w:rPr>
              <w:t>Доля людей, поражаемых на кромке ОШ(ПВ), %</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0</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3</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0</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0</w:t>
            </w:r>
          </w:p>
        </w:tc>
      </w:tr>
      <w:tr w:rsidR="002D1E45" w:rsidRPr="004D071E" w:rsidTr="001D0C26">
        <w:trPr>
          <w:jc w:val="center"/>
        </w:trPr>
        <w:tc>
          <w:tcPr>
            <w:tcW w:w="5000" w:type="pct"/>
            <w:gridSpan w:val="5"/>
            <w:vAlign w:val="center"/>
          </w:tcPr>
          <w:p w:rsidR="002D1E45" w:rsidRPr="004D071E" w:rsidRDefault="002D1E45" w:rsidP="004D071E">
            <w:pPr>
              <w:widowControl w:val="0"/>
              <w:tabs>
                <w:tab w:val="left" w:pos="1230"/>
              </w:tabs>
              <w:spacing w:after="0" w:line="240" w:lineRule="auto"/>
              <w:ind w:firstLine="34"/>
              <w:rPr>
                <w:rFonts w:ascii="Times New Roman" w:hAnsi="Times New Roman"/>
                <w:b/>
                <w:i/>
                <w:lang w:eastAsia="ru-RU"/>
              </w:rPr>
            </w:pPr>
            <w:r w:rsidRPr="004D071E">
              <w:rPr>
                <w:rFonts w:ascii="Times New Roman" w:hAnsi="Times New Roman"/>
                <w:b/>
                <w:i/>
                <w:lang w:eastAsia="ru-RU"/>
              </w:rPr>
              <w:t>Параметры горения разлития</w:t>
            </w:r>
          </w:p>
        </w:tc>
      </w:tr>
      <w:tr w:rsidR="002D1E45" w:rsidRPr="004D071E" w:rsidTr="001D0C26">
        <w:trPr>
          <w:jc w:val="center"/>
        </w:trPr>
        <w:tc>
          <w:tcPr>
            <w:tcW w:w="2999" w:type="pct"/>
            <w:vAlign w:val="center"/>
          </w:tcPr>
          <w:p w:rsidR="002D1E45" w:rsidRPr="004D071E" w:rsidRDefault="002D1E45" w:rsidP="004D071E">
            <w:pPr>
              <w:widowControl w:val="0"/>
              <w:tabs>
                <w:tab w:val="left" w:pos="1230"/>
              </w:tabs>
              <w:spacing w:after="0" w:line="240" w:lineRule="auto"/>
              <w:ind w:firstLine="34"/>
              <w:rPr>
                <w:rFonts w:ascii="Times New Roman" w:hAnsi="Times New Roman"/>
                <w:lang w:eastAsia="ru-RU"/>
              </w:rPr>
            </w:pPr>
            <w:r w:rsidRPr="004D071E">
              <w:rPr>
                <w:rFonts w:ascii="Times New Roman" w:hAnsi="Times New Roman"/>
                <w:lang w:eastAsia="ru-RU"/>
              </w:rPr>
              <w:t>Ориентировочное время выгорания, минут: секунд</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16:44</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30:21</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16:44</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30:21</w:t>
            </w:r>
          </w:p>
        </w:tc>
      </w:tr>
      <w:tr w:rsidR="002D1E45" w:rsidRPr="004D071E" w:rsidTr="001D0C26">
        <w:trPr>
          <w:jc w:val="center"/>
        </w:trPr>
        <w:tc>
          <w:tcPr>
            <w:tcW w:w="2999" w:type="pct"/>
            <w:vAlign w:val="center"/>
          </w:tcPr>
          <w:p w:rsidR="002D1E45" w:rsidRPr="004D071E" w:rsidRDefault="002D1E45" w:rsidP="004D071E">
            <w:pPr>
              <w:widowControl w:val="0"/>
              <w:tabs>
                <w:tab w:val="left" w:pos="1230"/>
              </w:tabs>
              <w:spacing w:after="0" w:line="240" w:lineRule="auto"/>
              <w:ind w:firstLine="34"/>
              <w:rPr>
                <w:rFonts w:ascii="Times New Roman" w:hAnsi="Times New Roman"/>
                <w:lang w:eastAsia="ru-RU"/>
              </w:rPr>
            </w:pPr>
            <w:r w:rsidRPr="004D071E">
              <w:rPr>
                <w:rFonts w:ascii="Times New Roman" w:hAnsi="Times New Roman"/>
                <w:lang w:eastAsia="ru-RU"/>
              </w:rPr>
              <w:t>Величина воздействия теплового потока на здания, сооружения и людей на кромке разлития, кВт/м</w:t>
            </w:r>
            <w:r w:rsidRPr="004D071E">
              <w:rPr>
                <w:rFonts w:ascii="Times New Roman" w:hAnsi="Times New Roman"/>
                <w:vertAlign w:val="superscript"/>
                <w:lang w:eastAsia="ru-RU"/>
              </w:rPr>
              <w:t>2</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104</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200</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104</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200</w:t>
            </w:r>
          </w:p>
        </w:tc>
      </w:tr>
      <w:tr w:rsidR="002D1E45" w:rsidRPr="004D071E" w:rsidTr="001D0C26">
        <w:trPr>
          <w:jc w:val="center"/>
        </w:trPr>
        <w:tc>
          <w:tcPr>
            <w:tcW w:w="2999" w:type="pct"/>
            <w:vAlign w:val="center"/>
          </w:tcPr>
          <w:p w:rsidR="002D1E45" w:rsidRPr="004D071E" w:rsidRDefault="002D1E45" w:rsidP="004D071E">
            <w:pPr>
              <w:widowControl w:val="0"/>
              <w:tabs>
                <w:tab w:val="left" w:pos="1230"/>
              </w:tabs>
              <w:spacing w:after="0" w:line="240" w:lineRule="auto"/>
              <w:ind w:firstLine="34"/>
              <w:rPr>
                <w:rFonts w:ascii="Times New Roman" w:hAnsi="Times New Roman"/>
                <w:lang w:eastAsia="ru-RU"/>
              </w:rPr>
            </w:pPr>
            <w:r w:rsidRPr="004D071E">
              <w:rPr>
                <w:rFonts w:ascii="Times New Roman" w:hAnsi="Times New Roman"/>
                <w:lang w:eastAsia="ru-RU"/>
              </w:rPr>
              <w:t>Индекс теплового излучения на кромке горящего разлития</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29345</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47650</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29345</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47650</w:t>
            </w:r>
          </w:p>
        </w:tc>
      </w:tr>
      <w:tr w:rsidR="002D1E45" w:rsidRPr="004D071E" w:rsidTr="001D0C26">
        <w:trPr>
          <w:jc w:val="center"/>
        </w:trPr>
        <w:tc>
          <w:tcPr>
            <w:tcW w:w="2999" w:type="pct"/>
            <w:vAlign w:val="center"/>
          </w:tcPr>
          <w:p w:rsidR="002D1E45" w:rsidRPr="004D071E" w:rsidRDefault="002D1E45" w:rsidP="004D071E">
            <w:pPr>
              <w:widowControl w:val="0"/>
              <w:tabs>
                <w:tab w:val="left" w:pos="1230"/>
              </w:tabs>
              <w:spacing w:after="0" w:line="240" w:lineRule="auto"/>
              <w:ind w:firstLine="34"/>
              <w:rPr>
                <w:rFonts w:ascii="Times New Roman" w:hAnsi="Times New Roman"/>
                <w:lang w:eastAsia="ru-RU"/>
              </w:rPr>
            </w:pPr>
            <w:r w:rsidRPr="004D071E">
              <w:rPr>
                <w:rFonts w:ascii="Times New Roman" w:hAnsi="Times New Roman"/>
                <w:lang w:eastAsia="ru-RU"/>
              </w:rPr>
              <w:t>Доля людей, поражаемых на кромке горения разлития, %</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79</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100</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79</w:t>
            </w:r>
          </w:p>
        </w:tc>
        <w:tc>
          <w:tcPr>
            <w:tcW w:w="500" w:type="pct"/>
            <w:vAlign w:val="center"/>
          </w:tcPr>
          <w:p w:rsidR="002D1E45" w:rsidRPr="004D071E" w:rsidRDefault="002D1E45"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100</w:t>
            </w:r>
          </w:p>
        </w:tc>
      </w:tr>
    </w:tbl>
    <w:p w:rsidR="002D1E45" w:rsidRPr="004D071E" w:rsidRDefault="002D1E45" w:rsidP="004D071E">
      <w:pPr>
        <w:spacing w:after="0" w:line="240" w:lineRule="auto"/>
        <w:ind w:firstLine="709"/>
        <w:jc w:val="both"/>
        <w:rPr>
          <w:rFonts w:ascii="Times New Roman" w:hAnsi="Times New Roman"/>
          <w:sz w:val="28"/>
          <w:szCs w:val="24"/>
          <w:lang w:eastAsia="ru-RU"/>
        </w:rPr>
      </w:pPr>
    </w:p>
    <w:p w:rsidR="002D1E45" w:rsidRPr="004D071E" w:rsidRDefault="002D1E45" w:rsidP="004D071E">
      <w:pPr>
        <w:spacing w:after="0" w:line="240" w:lineRule="auto"/>
        <w:ind w:firstLine="709"/>
        <w:jc w:val="both"/>
        <w:rPr>
          <w:rFonts w:ascii="Times New Roman" w:hAnsi="Times New Roman"/>
          <w:sz w:val="28"/>
          <w:szCs w:val="24"/>
          <w:lang w:eastAsia="ru-RU"/>
        </w:rPr>
      </w:pPr>
      <w:r w:rsidRPr="004D071E">
        <w:rPr>
          <w:rFonts w:ascii="Times New Roman" w:hAnsi="Times New Roman"/>
          <w:sz w:val="28"/>
          <w:szCs w:val="24"/>
          <w:lang w:eastAsia="ru-RU"/>
        </w:rPr>
        <w:t>Одним из поражающих факторов при авариях типа BLEVE</w:t>
      </w:r>
      <w:r w:rsidRPr="004D071E">
        <w:rPr>
          <w:rFonts w:ascii="Times New Roman" w:hAnsi="Times New Roman"/>
          <w:sz w:val="28"/>
          <w:szCs w:val="24"/>
          <w:vertAlign w:val="superscript"/>
          <w:lang w:eastAsia="ru-RU"/>
        </w:rPr>
        <w:footnoteReference w:id="4"/>
      </w:r>
      <w:r w:rsidRPr="004D071E">
        <w:rPr>
          <w:rFonts w:ascii="Times New Roman" w:hAnsi="Times New Roman"/>
          <w:sz w:val="28"/>
          <w:szCs w:val="24"/>
          <w:lang w:eastAsia="ru-RU"/>
        </w:rPr>
        <w:t xml:space="preserve"> на резервуарах со сжиженными углеводородными газами является разлёт осколков при разрушении резервуаров.</w:t>
      </w:r>
    </w:p>
    <w:p w:rsidR="002D1E45" w:rsidRPr="004D071E" w:rsidRDefault="002D1E45" w:rsidP="004D071E">
      <w:pPr>
        <w:spacing w:after="0" w:line="240" w:lineRule="auto"/>
        <w:ind w:firstLine="709"/>
        <w:jc w:val="both"/>
        <w:rPr>
          <w:rFonts w:ascii="Times New Roman" w:hAnsi="Times New Roman"/>
          <w:sz w:val="28"/>
          <w:szCs w:val="24"/>
          <w:lang w:eastAsia="ru-RU"/>
        </w:rPr>
      </w:pPr>
      <w:r w:rsidRPr="004D071E">
        <w:rPr>
          <w:rFonts w:ascii="Times New Roman" w:hAnsi="Times New Roman"/>
          <w:sz w:val="28"/>
          <w:szCs w:val="24"/>
          <w:lang w:eastAsia="ru-RU"/>
        </w:rPr>
        <w:t xml:space="preserve">По данным экспертов, анализ статистики по 130 авариям типа BLEVE показывает, что в 89 случаях наблюдали огненный шар с разлётом осколков, в 24 </w:t>
      </w:r>
      <w:r>
        <w:rPr>
          <w:rFonts w:ascii="Times New Roman" w:hAnsi="Times New Roman"/>
          <w:sz w:val="28"/>
          <w:szCs w:val="24"/>
          <w:lang w:eastAsia="ru-RU"/>
        </w:rPr>
        <w:t>–</w:t>
      </w:r>
      <w:r w:rsidRPr="004D071E">
        <w:rPr>
          <w:rFonts w:ascii="Times New Roman" w:hAnsi="Times New Roman"/>
          <w:sz w:val="28"/>
          <w:szCs w:val="24"/>
          <w:lang w:eastAsia="ru-RU"/>
        </w:rPr>
        <w:t xml:space="preserve"> просто огненный шар, а в 17 случаях </w:t>
      </w:r>
      <w:r>
        <w:rPr>
          <w:rFonts w:ascii="Times New Roman" w:hAnsi="Times New Roman"/>
          <w:sz w:val="28"/>
          <w:szCs w:val="24"/>
          <w:lang w:eastAsia="ru-RU"/>
        </w:rPr>
        <w:t>–</w:t>
      </w:r>
      <w:r w:rsidRPr="004D071E">
        <w:rPr>
          <w:rFonts w:ascii="Times New Roman" w:hAnsi="Times New Roman"/>
          <w:sz w:val="28"/>
          <w:szCs w:val="24"/>
          <w:lang w:eastAsia="ru-RU"/>
        </w:rPr>
        <w:t xml:space="preserve"> только разлёт осколков. При этом количество осколков обычно не превышала 3-4 шт., лишь в одном случае произошло разрушение с образованием 7 осколков.</w:t>
      </w:r>
    </w:p>
    <w:p w:rsidR="002D1E45" w:rsidRPr="004D071E" w:rsidRDefault="002D1E45" w:rsidP="004D071E">
      <w:pPr>
        <w:spacing w:after="0" w:line="240" w:lineRule="auto"/>
        <w:ind w:firstLine="709"/>
        <w:jc w:val="both"/>
        <w:rPr>
          <w:rFonts w:ascii="Times New Roman" w:hAnsi="Times New Roman"/>
          <w:sz w:val="28"/>
          <w:szCs w:val="24"/>
          <w:lang w:eastAsia="ru-RU"/>
        </w:rPr>
      </w:pPr>
      <w:r w:rsidRPr="004D071E">
        <w:rPr>
          <w:rFonts w:ascii="Times New Roman" w:hAnsi="Times New Roman"/>
          <w:sz w:val="28"/>
          <w:szCs w:val="24"/>
          <w:lang w:eastAsia="ru-RU"/>
        </w:rPr>
        <w:t xml:space="preserve">Анализ этих данных свидетельствует о том, что в </w:t>
      </w:r>
      <w:r w:rsidRPr="004D071E">
        <w:rPr>
          <w:rFonts w:ascii="Times New Roman" w:hAnsi="Times New Roman"/>
          <w:sz w:val="28"/>
          <w:szCs w:val="28"/>
          <w:lang w:eastAsia="ru-RU"/>
        </w:rPr>
        <w:sym w:font="Symbol" w:char="F07E"/>
      </w:r>
      <w:r w:rsidRPr="004D071E">
        <w:rPr>
          <w:rFonts w:ascii="Times New Roman" w:hAnsi="Times New Roman"/>
          <w:sz w:val="28"/>
          <w:szCs w:val="24"/>
          <w:lang w:eastAsia="ru-RU"/>
        </w:rPr>
        <w:t xml:space="preserve">90 % случаев разлёт осколков происходит на расстояние не более 300 м и, как правило, находится в пределах расстояния опасного для людей термического воздействия от огненного шара. Поэтому при расчёте поражающих факторов при авариях типа BLEVE следует, прежде всего, рассчитывать зоны термического воздействия. </w:t>
      </w:r>
    </w:p>
    <w:p w:rsidR="002D1E45" w:rsidRPr="004D071E" w:rsidRDefault="002D1E45" w:rsidP="004D071E">
      <w:pPr>
        <w:spacing w:after="0" w:line="240" w:lineRule="auto"/>
        <w:ind w:firstLine="709"/>
        <w:jc w:val="both"/>
        <w:rPr>
          <w:rFonts w:ascii="Times New Roman" w:hAnsi="Times New Roman"/>
          <w:sz w:val="28"/>
          <w:szCs w:val="28"/>
        </w:rPr>
      </w:pPr>
      <w:r w:rsidRPr="004D071E">
        <w:rPr>
          <w:rFonts w:ascii="Times New Roman" w:hAnsi="Times New Roman"/>
          <w:sz w:val="28"/>
          <w:szCs w:val="28"/>
        </w:rPr>
        <w:t>Вывод по результатам расчётов:</w:t>
      </w:r>
    </w:p>
    <w:p w:rsidR="002D1E45" w:rsidRPr="004D071E" w:rsidRDefault="002D1E45" w:rsidP="00852938">
      <w:pPr>
        <w:numPr>
          <w:ilvl w:val="0"/>
          <w:numId w:val="24"/>
        </w:numPr>
        <w:tabs>
          <w:tab w:val="clear" w:pos="1429"/>
          <w:tab w:val="num" w:pos="1353"/>
        </w:tabs>
        <w:spacing w:after="0" w:line="240" w:lineRule="auto"/>
        <w:ind w:left="1353"/>
        <w:jc w:val="both"/>
        <w:rPr>
          <w:rFonts w:ascii="Times New Roman" w:hAnsi="Times New Roman"/>
          <w:sz w:val="28"/>
          <w:szCs w:val="28"/>
        </w:rPr>
      </w:pPr>
      <w:r w:rsidRPr="004D071E">
        <w:rPr>
          <w:rFonts w:ascii="Times New Roman" w:hAnsi="Times New Roman"/>
          <w:sz w:val="28"/>
          <w:szCs w:val="28"/>
        </w:rPr>
        <w:t>при рассмотренных сценариях аварий c пожаром пролива ЛВЖ и СУГ при разгерметизации ёмкостей транспортировки на автомагистрали зоны действия наиболее опасных поражающих факторов ЧС не выходят за границы полосы отвода автомагистрали;</w:t>
      </w:r>
    </w:p>
    <w:p w:rsidR="002D1E45" w:rsidRPr="004D071E" w:rsidRDefault="002D1E45" w:rsidP="00852938">
      <w:pPr>
        <w:numPr>
          <w:ilvl w:val="0"/>
          <w:numId w:val="24"/>
        </w:numPr>
        <w:tabs>
          <w:tab w:val="clear" w:pos="1429"/>
          <w:tab w:val="num" w:pos="1353"/>
        </w:tabs>
        <w:spacing w:after="0" w:line="240" w:lineRule="auto"/>
        <w:ind w:left="1353"/>
        <w:jc w:val="both"/>
        <w:rPr>
          <w:rFonts w:ascii="Times New Roman" w:hAnsi="Times New Roman"/>
          <w:sz w:val="28"/>
          <w:szCs w:val="28"/>
        </w:rPr>
      </w:pPr>
      <w:r w:rsidRPr="004D071E">
        <w:rPr>
          <w:rFonts w:ascii="Times New Roman" w:hAnsi="Times New Roman"/>
          <w:sz w:val="28"/>
          <w:szCs w:val="28"/>
        </w:rPr>
        <w:t xml:space="preserve">при рассмотренных сценариях аварий с взрывом ТВС возможно поражение различной степени тяжести людей, зданий, инженерных сооружений и технологического оборудования: </w:t>
      </w:r>
    </w:p>
    <w:p w:rsidR="002D1E45" w:rsidRPr="004D071E" w:rsidRDefault="002D1E45" w:rsidP="00852938">
      <w:pPr>
        <w:numPr>
          <w:ilvl w:val="0"/>
          <w:numId w:val="45"/>
        </w:numPr>
        <w:spacing w:after="0" w:line="240" w:lineRule="auto"/>
        <w:ind w:left="1843"/>
        <w:jc w:val="both"/>
        <w:rPr>
          <w:rFonts w:ascii="Times New Roman" w:hAnsi="Times New Roman"/>
          <w:sz w:val="28"/>
          <w:szCs w:val="28"/>
        </w:rPr>
      </w:pPr>
      <w:r w:rsidRPr="004D071E">
        <w:rPr>
          <w:rFonts w:ascii="Times New Roman" w:hAnsi="Times New Roman"/>
          <w:sz w:val="28"/>
          <w:szCs w:val="28"/>
        </w:rPr>
        <w:t>Возможная частота реализации ЧС – 4,68×10</w:t>
      </w:r>
      <w:r w:rsidRPr="004D071E">
        <w:rPr>
          <w:rFonts w:ascii="Times New Roman" w:hAnsi="Times New Roman"/>
          <w:sz w:val="28"/>
          <w:szCs w:val="28"/>
          <w:vertAlign w:val="superscript"/>
        </w:rPr>
        <w:t>-3</w:t>
      </w:r>
      <w:r w:rsidRPr="004D071E">
        <w:rPr>
          <w:rFonts w:ascii="Times New Roman" w:hAnsi="Times New Roman"/>
          <w:sz w:val="28"/>
          <w:szCs w:val="28"/>
        </w:rPr>
        <w:t xml:space="preserve"> год </w:t>
      </w:r>
      <w:r w:rsidRPr="004D071E">
        <w:rPr>
          <w:rFonts w:ascii="Times New Roman" w:hAnsi="Times New Roman"/>
          <w:sz w:val="28"/>
          <w:szCs w:val="28"/>
          <w:vertAlign w:val="superscript"/>
        </w:rPr>
        <w:t>-1</w:t>
      </w:r>
      <w:r w:rsidRPr="004D071E">
        <w:rPr>
          <w:rFonts w:ascii="Times New Roman" w:hAnsi="Times New Roman"/>
          <w:sz w:val="28"/>
          <w:szCs w:val="28"/>
        </w:rPr>
        <w:t xml:space="preserve">. </w:t>
      </w:r>
    </w:p>
    <w:p w:rsidR="002D1E45" w:rsidRPr="004D071E" w:rsidRDefault="002D1E45" w:rsidP="00852938">
      <w:pPr>
        <w:numPr>
          <w:ilvl w:val="0"/>
          <w:numId w:val="45"/>
        </w:numPr>
        <w:spacing w:after="0" w:line="240" w:lineRule="auto"/>
        <w:ind w:left="1843"/>
        <w:jc w:val="both"/>
        <w:rPr>
          <w:rFonts w:ascii="Times New Roman" w:hAnsi="Times New Roman"/>
          <w:sz w:val="28"/>
          <w:szCs w:val="28"/>
        </w:rPr>
      </w:pPr>
      <w:r w:rsidRPr="004D071E">
        <w:rPr>
          <w:rFonts w:ascii="Times New Roman" w:hAnsi="Times New Roman"/>
          <w:sz w:val="28"/>
          <w:szCs w:val="28"/>
        </w:rPr>
        <w:t>Площадь пожара – 118,8 м</w:t>
      </w:r>
      <w:r w:rsidRPr="004D071E">
        <w:rPr>
          <w:rFonts w:ascii="Times New Roman" w:hAnsi="Times New Roman"/>
          <w:sz w:val="28"/>
          <w:szCs w:val="28"/>
          <w:vertAlign w:val="superscript"/>
        </w:rPr>
        <w:t>2</w:t>
      </w:r>
      <w:r w:rsidRPr="004D071E">
        <w:rPr>
          <w:rFonts w:ascii="Times New Roman" w:hAnsi="Times New Roman"/>
          <w:sz w:val="28"/>
          <w:szCs w:val="28"/>
        </w:rPr>
        <w:t>.</w:t>
      </w:r>
    </w:p>
    <w:p w:rsidR="002D1E45" w:rsidRPr="004D071E" w:rsidRDefault="002D1E45" w:rsidP="00852938">
      <w:pPr>
        <w:numPr>
          <w:ilvl w:val="0"/>
          <w:numId w:val="45"/>
        </w:numPr>
        <w:spacing w:after="0" w:line="240" w:lineRule="auto"/>
        <w:ind w:left="1843"/>
        <w:jc w:val="both"/>
        <w:rPr>
          <w:rFonts w:ascii="Times New Roman" w:hAnsi="Times New Roman"/>
          <w:sz w:val="28"/>
          <w:szCs w:val="28"/>
        </w:rPr>
      </w:pPr>
      <w:r w:rsidRPr="004D071E">
        <w:rPr>
          <w:rFonts w:ascii="Times New Roman" w:hAnsi="Times New Roman"/>
          <w:sz w:val="28"/>
          <w:szCs w:val="28"/>
        </w:rPr>
        <w:t>Граница порога поражения людей на открытой местности – 92 м.</w:t>
      </w:r>
    </w:p>
    <w:p w:rsidR="002D1E45" w:rsidRPr="004D071E" w:rsidRDefault="002D1E45" w:rsidP="00852938">
      <w:pPr>
        <w:numPr>
          <w:ilvl w:val="0"/>
          <w:numId w:val="45"/>
        </w:numPr>
        <w:spacing w:after="0" w:line="240" w:lineRule="auto"/>
        <w:ind w:left="1843"/>
        <w:jc w:val="both"/>
        <w:rPr>
          <w:rFonts w:ascii="Times New Roman" w:hAnsi="Times New Roman"/>
          <w:sz w:val="28"/>
          <w:szCs w:val="28"/>
        </w:rPr>
      </w:pPr>
      <w:r w:rsidRPr="004D071E">
        <w:rPr>
          <w:rFonts w:ascii="Times New Roman" w:hAnsi="Times New Roman"/>
          <w:sz w:val="28"/>
          <w:szCs w:val="28"/>
        </w:rPr>
        <w:t>Радиус полных разрушений зданий – 41,0 м.</w:t>
      </w:r>
    </w:p>
    <w:p w:rsidR="002D1E45" w:rsidRPr="004D071E" w:rsidRDefault="002D1E45" w:rsidP="00852938">
      <w:pPr>
        <w:numPr>
          <w:ilvl w:val="0"/>
          <w:numId w:val="45"/>
        </w:numPr>
        <w:spacing w:after="0" w:line="240" w:lineRule="auto"/>
        <w:ind w:left="1843"/>
        <w:jc w:val="both"/>
        <w:rPr>
          <w:rFonts w:ascii="Times New Roman" w:hAnsi="Times New Roman"/>
          <w:sz w:val="28"/>
          <w:szCs w:val="28"/>
        </w:rPr>
      </w:pPr>
      <w:r w:rsidRPr="004D071E">
        <w:rPr>
          <w:rFonts w:ascii="Times New Roman" w:hAnsi="Times New Roman"/>
          <w:sz w:val="28"/>
          <w:szCs w:val="28"/>
        </w:rPr>
        <w:t>Численность населения, у которого могут быть нарушены условия жизнедеятельности – 5 человек.</w:t>
      </w:r>
    </w:p>
    <w:p w:rsidR="002D1E45" w:rsidRPr="004D071E" w:rsidRDefault="002D1E45" w:rsidP="00852938">
      <w:pPr>
        <w:numPr>
          <w:ilvl w:val="0"/>
          <w:numId w:val="45"/>
        </w:numPr>
        <w:spacing w:after="0" w:line="240" w:lineRule="auto"/>
        <w:ind w:left="1843"/>
        <w:jc w:val="both"/>
        <w:rPr>
          <w:rFonts w:ascii="Times New Roman" w:hAnsi="Times New Roman"/>
          <w:sz w:val="28"/>
          <w:szCs w:val="28"/>
        </w:rPr>
      </w:pPr>
      <w:r w:rsidRPr="004D071E">
        <w:rPr>
          <w:rFonts w:ascii="Times New Roman" w:hAnsi="Times New Roman"/>
          <w:sz w:val="28"/>
          <w:szCs w:val="28"/>
        </w:rPr>
        <w:t>Возможное число погибших – 1 человек, пострадавших – 5 человек.</w:t>
      </w:r>
    </w:p>
    <w:p w:rsidR="002D1E45" w:rsidRPr="004D071E" w:rsidRDefault="002D1E45" w:rsidP="00852938">
      <w:pPr>
        <w:numPr>
          <w:ilvl w:val="0"/>
          <w:numId w:val="24"/>
        </w:numPr>
        <w:tabs>
          <w:tab w:val="clear" w:pos="1429"/>
          <w:tab w:val="num" w:pos="1353"/>
        </w:tabs>
        <w:spacing w:after="0" w:line="240" w:lineRule="auto"/>
        <w:ind w:left="1353"/>
        <w:jc w:val="both"/>
        <w:rPr>
          <w:rFonts w:ascii="Times New Roman" w:hAnsi="Times New Roman"/>
          <w:sz w:val="28"/>
          <w:szCs w:val="28"/>
        </w:rPr>
      </w:pPr>
      <w:r w:rsidRPr="004D071E">
        <w:rPr>
          <w:rFonts w:ascii="Times New Roman" w:hAnsi="Times New Roman"/>
          <w:sz w:val="28"/>
          <w:szCs w:val="28"/>
        </w:rPr>
        <w:t>при сценариях аварий с участием сжиженных углеводородных газов (до 10 м³ сжиженного газа):</w:t>
      </w:r>
    </w:p>
    <w:p w:rsidR="002D1E45" w:rsidRPr="004D071E" w:rsidRDefault="002D1E45" w:rsidP="00852938">
      <w:pPr>
        <w:numPr>
          <w:ilvl w:val="0"/>
          <w:numId w:val="45"/>
        </w:numPr>
        <w:spacing w:after="0" w:line="240" w:lineRule="auto"/>
        <w:ind w:left="1843"/>
        <w:jc w:val="both"/>
        <w:rPr>
          <w:rFonts w:ascii="Times New Roman" w:hAnsi="Times New Roman"/>
          <w:sz w:val="28"/>
          <w:szCs w:val="28"/>
        </w:rPr>
      </w:pPr>
      <w:r w:rsidRPr="004D071E">
        <w:rPr>
          <w:rFonts w:ascii="Times New Roman" w:hAnsi="Times New Roman"/>
          <w:sz w:val="28"/>
          <w:szCs w:val="28"/>
        </w:rPr>
        <w:t>Возможная частота реализации ЧС – 6×10</w:t>
      </w:r>
      <w:r w:rsidRPr="004D071E">
        <w:rPr>
          <w:rFonts w:ascii="Times New Roman" w:hAnsi="Times New Roman"/>
          <w:sz w:val="28"/>
          <w:szCs w:val="28"/>
          <w:vertAlign w:val="superscript"/>
        </w:rPr>
        <w:t>-4</w:t>
      </w:r>
      <w:r w:rsidRPr="004D071E">
        <w:rPr>
          <w:rFonts w:ascii="Times New Roman" w:hAnsi="Times New Roman"/>
          <w:sz w:val="28"/>
          <w:szCs w:val="28"/>
        </w:rPr>
        <w:t xml:space="preserve"> год</w:t>
      </w:r>
      <w:r w:rsidRPr="004D071E">
        <w:rPr>
          <w:rFonts w:ascii="Times New Roman" w:hAnsi="Times New Roman"/>
          <w:sz w:val="28"/>
          <w:szCs w:val="28"/>
          <w:vertAlign w:val="superscript"/>
        </w:rPr>
        <w:t xml:space="preserve"> -1</w:t>
      </w:r>
      <w:r w:rsidRPr="004D071E">
        <w:rPr>
          <w:rFonts w:ascii="Times New Roman" w:hAnsi="Times New Roman"/>
          <w:sz w:val="28"/>
          <w:szCs w:val="28"/>
        </w:rPr>
        <w:t xml:space="preserve">. </w:t>
      </w:r>
    </w:p>
    <w:p w:rsidR="002D1E45" w:rsidRPr="004D071E" w:rsidRDefault="002D1E45" w:rsidP="00852938">
      <w:pPr>
        <w:numPr>
          <w:ilvl w:val="0"/>
          <w:numId w:val="45"/>
        </w:numPr>
        <w:spacing w:after="0" w:line="240" w:lineRule="auto"/>
        <w:ind w:left="1843"/>
        <w:jc w:val="both"/>
        <w:rPr>
          <w:rFonts w:ascii="Times New Roman" w:hAnsi="Times New Roman"/>
          <w:sz w:val="28"/>
          <w:szCs w:val="28"/>
        </w:rPr>
      </w:pPr>
      <w:r w:rsidRPr="004D071E">
        <w:rPr>
          <w:rFonts w:ascii="Times New Roman" w:hAnsi="Times New Roman"/>
          <w:sz w:val="28"/>
          <w:szCs w:val="28"/>
        </w:rPr>
        <w:t>Граница порога поражения людей на открытой местности – 120 м.</w:t>
      </w:r>
    </w:p>
    <w:p w:rsidR="002D1E45" w:rsidRPr="004D071E" w:rsidRDefault="002D1E45" w:rsidP="00852938">
      <w:pPr>
        <w:numPr>
          <w:ilvl w:val="0"/>
          <w:numId w:val="45"/>
        </w:numPr>
        <w:spacing w:after="0" w:line="240" w:lineRule="auto"/>
        <w:ind w:left="1843"/>
        <w:jc w:val="both"/>
        <w:rPr>
          <w:rFonts w:ascii="Times New Roman" w:hAnsi="Times New Roman"/>
          <w:sz w:val="28"/>
          <w:szCs w:val="28"/>
        </w:rPr>
      </w:pPr>
      <w:r w:rsidRPr="004D071E">
        <w:rPr>
          <w:rFonts w:ascii="Times New Roman" w:hAnsi="Times New Roman"/>
          <w:sz w:val="28"/>
          <w:szCs w:val="28"/>
        </w:rPr>
        <w:t>Радиус полных разрушений зданий – 87,0 м.</w:t>
      </w:r>
    </w:p>
    <w:p w:rsidR="002D1E45" w:rsidRPr="004D071E" w:rsidRDefault="002D1E45" w:rsidP="00852938">
      <w:pPr>
        <w:numPr>
          <w:ilvl w:val="0"/>
          <w:numId w:val="45"/>
        </w:numPr>
        <w:spacing w:after="0" w:line="240" w:lineRule="auto"/>
        <w:ind w:left="1843"/>
        <w:jc w:val="both"/>
        <w:rPr>
          <w:rFonts w:ascii="Times New Roman" w:hAnsi="Times New Roman"/>
          <w:sz w:val="28"/>
          <w:szCs w:val="28"/>
        </w:rPr>
      </w:pPr>
      <w:r w:rsidRPr="004D071E">
        <w:rPr>
          <w:rFonts w:ascii="Times New Roman" w:hAnsi="Times New Roman"/>
          <w:sz w:val="28"/>
          <w:szCs w:val="28"/>
        </w:rPr>
        <w:t>Численность населения, у которого могут быть нарушены условия жизнедеятельности – 0 человек.</w:t>
      </w:r>
    </w:p>
    <w:p w:rsidR="002D1E45" w:rsidRPr="004D071E" w:rsidRDefault="002D1E45" w:rsidP="00852938">
      <w:pPr>
        <w:numPr>
          <w:ilvl w:val="0"/>
          <w:numId w:val="45"/>
        </w:numPr>
        <w:spacing w:after="0" w:line="240" w:lineRule="auto"/>
        <w:ind w:left="1843"/>
        <w:jc w:val="both"/>
        <w:rPr>
          <w:rFonts w:ascii="Times New Roman" w:hAnsi="Times New Roman"/>
          <w:sz w:val="28"/>
          <w:szCs w:val="28"/>
        </w:rPr>
      </w:pPr>
      <w:r w:rsidRPr="004D071E">
        <w:rPr>
          <w:rFonts w:ascii="Times New Roman" w:hAnsi="Times New Roman"/>
          <w:sz w:val="28"/>
          <w:szCs w:val="28"/>
        </w:rPr>
        <w:t>Возможное число погибших – 8 человек, пострадавших – 12 человек.</w:t>
      </w:r>
    </w:p>
    <w:p w:rsidR="002D1E45" w:rsidRPr="004D071E" w:rsidRDefault="002D1E45" w:rsidP="004D071E">
      <w:pPr>
        <w:spacing w:after="0" w:line="240" w:lineRule="auto"/>
        <w:ind w:firstLine="709"/>
        <w:jc w:val="both"/>
        <w:rPr>
          <w:rFonts w:ascii="Times New Roman" w:hAnsi="Times New Roman"/>
          <w:i/>
          <w:iCs/>
          <w:sz w:val="28"/>
          <w:szCs w:val="28"/>
          <w:u w:val="single"/>
          <w:lang w:eastAsia="ru-RU"/>
        </w:rPr>
      </w:pPr>
      <w:r w:rsidRPr="004D071E">
        <w:rPr>
          <w:rFonts w:ascii="Times New Roman" w:hAnsi="Times New Roman"/>
          <w:i/>
          <w:iCs/>
          <w:sz w:val="28"/>
          <w:szCs w:val="28"/>
          <w:u w:val="single"/>
          <w:lang w:eastAsia="ru-RU"/>
        </w:rPr>
        <w:t>Перечень превентивных мероприятий при перевозке опасных грузов.</w:t>
      </w:r>
    </w:p>
    <w:p w:rsidR="002D1E45" w:rsidRPr="004D071E" w:rsidRDefault="002D1E45" w:rsidP="00852938">
      <w:pPr>
        <w:numPr>
          <w:ilvl w:val="0"/>
          <w:numId w:val="89"/>
        </w:numPr>
        <w:spacing w:after="0" w:line="240" w:lineRule="auto"/>
        <w:ind w:left="1134" w:hanging="425"/>
        <w:contextualSpacing/>
        <w:jc w:val="both"/>
        <w:rPr>
          <w:rFonts w:ascii="Times New Roman" w:hAnsi="Times New Roman"/>
          <w:sz w:val="28"/>
          <w:szCs w:val="28"/>
          <w:lang w:eastAsia="ru-RU"/>
        </w:rPr>
      </w:pPr>
      <w:r w:rsidRPr="004D071E">
        <w:rPr>
          <w:rFonts w:ascii="Times New Roman" w:hAnsi="Times New Roman"/>
          <w:sz w:val="28"/>
          <w:szCs w:val="28"/>
          <w:lang w:eastAsia="ru-RU"/>
        </w:rPr>
        <w:t>Установление ответственности отправителя и перевозчика за организацию безопасной транспортировки опасных грузов (ОГ). Опасные грузы перевозятся на условиях, указанных грузоотправителем в накладной в соответствии со стандартом и техническими условиями с указанием аварийной карточки. Получение разрешения МПС, МГА и т.д. на перевозку грузов, не указанных в Алфавитном указателе ОГ. Грузоотправитель несёт ответственность за последствия, вызванные неправильным определением условий перевозки груза и за неправильное указание сведений в характеристики груза и аварийной карточке. Грузоотправители обязаны указывать в заявках и развёрнутых планах перевозок особенности перевозок. Правильность оформления перевозочных документов. Выделение сопровождающих перевозок.</w:t>
      </w:r>
    </w:p>
    <w:p w:rsidR="002D1E45" w:rsidRPr="004D071E" w:rsidRDefault="002D1E45" w:rsidP="00852938">
      <w:pPr>
        <w:numPr>
          <w:ilvl w:val="0"/>
          <w:numId w:val="89"/>
        </w:numPr>
        <w:spacing w:after="0" w:line="240" w:lineRule="auto"/>
        <w:ind w:left="1134" w:hanging="425"/>
        <w:contextualSpacing/>
        <w:jc w:val="both"/>
        <w:rPr>
          <w:rFonts w:ascii="Times New Roman" w:hAnsi="Times New Roman"/>
          <w:sz w:val="28"/>
          <w:szCs w:val="28"/>
          <w:lang w:eastAsia="ru-RU"/>
        </w:rPr>
      </w:pPr>
      <w:r w:rsidRPr="004D071E">
        <w:rPr>
          <w:rFonts w:ascii="Times New Roman" w:hAnsi="Times New Roman"/>
          <w:sz w:val="28"/>
          <w:szCs w:val="28"/>
          <w:lang w:eastAsia="ru-RU"/>
        </w:rPr>
        <w:t>Составление характеристики перевозимого ОГ. Указание технического наименования вещества, номера ГОСТа, физико-химических свойств, допустимых воздействиях на груз, влияния на организм человека, описание тары и упаковки, правил обращения с грузом, совместимости с другими грузами, противопожарных мероприятий, мер первой медицинской помощи. Для газов дополнительно: состояние, характеристика, относительная плотность, температура кипения, критическая температура и давление, рабочее давление и норма наполнения баллона. Для жидкостей дополнительно: температура кипения и плавления, температура вспышки, упругость паров и вязкость, взрывоопасные концентрации паров.</w:t>
      </w:r>
    </w:p>
    <w:p w:rsidR="002D1E45" w:rsidRPr="004D071E" w:rsidRDefault="002D1E45" w:rsidP="00852938">
      <w:pPr>
        <w:numPr>
          <w:ilvl w:val="0"/>
          <w:numId w:val="89"/>
        </w:numPr>
        <w:spacing w:after="0" w:line="240" w:lineRule="auto"/>
        <w:ind w:left="1134" w:hanging="425"/>
        <w:contextualSpacing/>
        <w:jc w:val="both"/>
        <w:rPr>
          <w:rFonts w:ascii="Times New Roman" w:hAnsi="Times New Roman"/>
          <w:sz w:val="28"/>
          <w:szCs w:val="28"/>
          <w:lang w:eastAsia="ru-RU"/>
        </w:rPr>
      </w:pPr>
      <w:r w:rsidRPr="004D071E">
        <w:rPr>
          <w:rFonts w:ascii="Times New Roman" w:hAnsi="Times New Roman"/>
          <w:sz w:val="28"/>
          <w:szCs w:val="28"/>
          <w:lang w:eastAsia="ru-RU"/>
        </w:rPr>
        <w:t>Составление заключения на допустимость перевозки. Указывается наименование, формула, основной вид опасности, класс по ГОСТ 19433-88 «Грузы опасные. Классификация и маркировка (с Изменением № 1)», номер по списку ООН, условия перевозки, максимально допустимая масса на одну упаковку, виды тары и упаковки, рекомендуемые средства пожаротушения, средства защиты и первой медицинской помощи. Составляется Министерством, ведомством и направляется грузоотправителю и руководителю пункта отправления.</w:t>
      </w:r>
    </w:p>
    <w:p w:rsidR="002D1E45" w:rsidRPr="004D071E" w:rsidRDefault="002D1E45" w:rsidP="00852938">
      <w:pPr>
        <w:numPr>
          <w:ilvl w:val="0"/>
          <w:numId w:val="89"/>
        </w:numPr>
        <w:spacing w:after="0" w:line="240" w:lineRule="auto"/>
        <w:ind w:left="1134" w:hanging="425"/>
        <w:contextualSpacing/>
        <w:jc w:val="both"/>
        <w:rPr>
          <w:rFonts w:ascii="Times New Roman" w:hAnsi="Times New Roman"/>
          <w:sz w:val="28"/>
          <w:szCs w:val="28"/>
          <w:lang w:eastAsia="ru-RU"/>
        </w:rPr>
      </w:pPr>
      <w:r w:rsidRPr="004D071E">
        <w:rPr>
          <w:rFonts w:ascii="Times New Roman" w:hAnsi="Times New Roman"/>
          <w:sz w:val="28"/>
          <w:szCs w:val="28"/>
          <w:lang w:eastAsia="ru-RU"/>
        </w:rPr>
        <w:t>Прогноз обстановки в случае возникновения ЧС на пути следования ОГ. Изучение характеристик ОГ и данных о маршруте перевозки, близлежащих населённых пунктах, условиях погрузки-выгрузки, времени и сезона перевозки, метеоданных и т.п. Использование ведомственных методик прогнозирования и оценки обстановки, а также методик МЧС. Учет и использование данных прогноза при составлении планов действий в условиях ЧС (для местных органов и органов ГОЧС). Верификация методик.</w:t>
      </w:r>
    </w:p>
    <w:p w:rsidR="002D1E45" w:rsidRPr="004D071E" w:rsidRDefault="002D1E45" w:rsidP="00852938">
      <w:pPr>
        <w:numPr>
          <w:ilvl w:val="0"/>
          <w:numId w:val="89"/>
        </w:numPr>
        <w:spacing w:after="0" w:line="240" w:lineRule="auto"/>
        <w:ind w:left="1134" w:hanging="425"/>
        <w:contextualSpacing/>
        <w:jc w:val="both"/>
        <w:rPr>
          <w:rFonts w:ascii="Times New Roman" w:hAnsi="Times New Roman"/>
          <w:sz w:val="28"/>
          <w:szCs w:val="28"/>
          <w:lang w:eastAsia="ru-RU"/>
        </w:rPr>
      </w:pPr>
      <w:r w:rsidRPr="004D071E">
        <w:rPr>
          <w:rFonts w:ascii="Times New Roman" w:hAnsi="Times New Roman"/>
          <w:sz w:val="28"/>
          <w:szCs w:val="28"/>
          <w:lang w:eastAsia="ru-RU"/>
        </w:rPr>
        <w:t xml:space="preserve">Контроль за перевозкой ОГ, который должен осуществляться в специальных транспортно-упаковочных контейнерах (ТУК), загруженных в специальные транспортные средства. Опасные грузы, отмеченные в Алфавитном указателе знаком «**», перевозятся только в сопровождении представителей грузоотправителя или грузополучателя. Представитель обязан знать служебную инструкцию по сопровождению данного груза, опасные свойства груза, меры оказания первой помощи, меры безопасности в аварийных ситуациях. Проверка соответствия тары и упаковки требованиям ГОСТ и ТУ для данного вида. Нанесение маркировки на тару и упаковку по ГОСТ 14192-96 «Маркировка грузов (с Изменениями № 1, 2, 3)». </w:t>
      </w:r>
    </w:p>
    <w:p w:rsidR="002D1E45" w:rsidRPr="004D071E" w:rsidRDefault="002D1E45" w:rsidP="00852938">
      <w:pPr>
        <w:numPr>
          <w:ilvl w:val="0"/>
          <w:numId w:val="89"/>
        </w:numPr>
        <w:spacing w:after="0" w:line="240" w:lineRule="auto"/>
        <w:ind w:left="1134" w:hanging="425"/>
        <w:contextualSpacing/>
        <w:jc w:val="both"/>
        <w:rPr>
          <w:rFonts w:ascii="Times New Roman" w:hAnsi="Times New Roman"/>
          <w:sz w:val="28"/>
          <w:szCs w:val="28"/>
          <w:lang w:eastAsia="ru-RU"/>
        </w:rPr>
      </w:pPr>
      <w:r w:rsidRPr="004D071E">
        <w:rPr>
          <w:rFonts w:ascii="Times New Roman" w:hAnsi="Times New Roman"/>
          <w:sz w:val="28"/>
          <w:szCs w:val="28"/>
          <w:lang w:eastAsia="ru-RU"/>
        </w:rPr>
        <w:t>Оснащение групп по перевозкам ОГ в соответствии с действующими правилами по перевозке ОГ. Оснащение за счёт грузоотправителя средствами индивидуальной защиты и спецодеждой, аптечками, комплектами инструмента, первичными средствами пожаротушения и дегазации, необходимыми вспомогательными материалами.</w:t>
      </w:r>
    </w:p>
    <w:p w:rsidR="002D1E45" w:rsidRPr="004D071E" w:rsidRDefault="002D1E45" w:rsidP="00852938">
      <w:pPr>
        <w:numPr>
          <w:ilvl w:val="0"/>
          <w:numId w:val="89"/>
        </w:numPr>
        <w:spacing w:after="0" w:line="240" w:lineRule="auto"/>
        <w:ind w:left="1134" w:hanging="425"/>
        <w:contextualSpacing/>
        <w:jc w:val="both"/>
        <w:rPr>
          <w:rFonts w:ascii="Times New Roman" w:hAnsi="Times New Roman"/>
          <w:sz w:val="28"/>
          <w:szCs w:val="28"/>
          <w:lang w:eastAsia="ru-RU"/>
        </w:rPr>
      </w:pPr>
      <w:r w:rsidRPr="004D071E">
        <w:rPr>
          <w:rFonts w:ascii="Times New Roman" w:hAnsi="Times New Roman"/>
          <w:sz w:val="28"/>
          <w:szCs w:val="28"/>
          <w:lang w:eastAsia="ru-RU"/>
        </w:rPr>
        <w:t xml:space="preserve">Организация оповещения по маршруту перевозки местных и других органов власти. Маркировка грузовых мест, тары и упаковок с ОГ по ГОСТ 14192-96. Контроль за движением по маршруту с помощью диспетчерского аппарата службы движения. Своевременный доклад и информирование органов власти и органов ГОЧС о возникших нарушениях регламента перевозок. </w:t>
      </w:r>
    </w:p>
    <w:p w:rsidR="002D1E45" w:rsidRPr="004D071E" w:rsidRDefault="002D1E45" w:rsidP="004D071E">
      <w:pPr>
        <w:spacing w:after="0" w:line="240" w:lineRule="auto"/>
        <w:ind w:firstLine="709"/>
        <w:jc w:val="both"/>
        <w:rPr>
          <w:rFonts w:ascii="Times New Roman" w:hAnsi="Times New Roman"/>
          <w:sz w:val="28"/>
          <w:szCs w:val="28"/>
          <w:lang w:eastAsia="ru-RU"/>
        </w:rPr>
      </w:pPr>
      <w:r w:rsidRPr="004D071E">
        <w:rPr>
          <w:rFonts w:ascii="Times New Roman" w:hAnsi="Times New Roman"/>
          <w:sz w:val="28"/>
          <w:szCs w:val="28"/>
          <w:lang w:eastAsia="ru-RU"/>
        </w:rPr>
        <w:t>Подготовка сил и средств для ликвидации ЧС, обусловленных авариями на маршрутах перевозок спецгрузов. Создание и оснащение мобильных аварийно-восстановительных формирований на транспорте, формирований на узловых станциях и перевалочных пунктах. Там же создание запасов материалов и технических средств для проведения работ по экстренному вводу в строй транспортных коммуникаций, запасов дегазирующих и дезактивирующих средств, средств пожаротушения.</w:t>
      </w:r>
    </w:p>
    <w:p w:rsidR="002D1E45" w:rsidRPr="004D071E" w:rsidRDefault="002D1E45" w:rsidP="004D071E">
      <w:pPr>
        <w:spacing w:after="0" w:line="240" w:lineRule="auto"/>
        <w:ind w:firstLine="709"/>
        <w:jc w:val="both"/>
        <w:rPr>
          <w:rFonts w:ascii="Times New Roman" w:hAnsi="Times New Roman"/>
          <w:sz w:val="28"/>
          <w:szCs w:val="28"/>
          <w:lang w:eastAsia="ru-RU"/>
        </w:rPr>
      </w:pPr>
      <w:r w:rsidRPr="004D071E">
        <w:rPr>
          <w:rFonts w:ascii="Times New Roman" w:hAnsi="Times New Roman"/>
          <w:i/>
          <w:sz w:val="28"/>
          <w:szCs w:val="28"/>
          <w:u w:val="single"/>
          <w:lang w:eastAsia="ru-RU"/>
        </w:rPr>
        <w:t>Разгерметизация ёмкостей с АХОВ</w:t>
      </w:r>
      <w:r w:rsidRPr="004D071E">
        <w:rPr>
          <w:rFonts w:ascii="Times New Roman" w:hAnsi="Times New Roman"/>
          <w:i/>
          <w:sz w:val="28"/>
          <w:szCs w:val="28"/>
          <w:lang w:eastAsia="ru-RU"/>
        </w:rPr>
        <w:t>.</w:t>
      </w:r>
      <w:r w:rsidRPr="004D071E">
        <w:rPr>
          <w:rFonts w:ascii="Times New Roman" w:hAnsi="Times New Roman"/>
          <w:sz w:val="28"/>
          <w:szCs w:val="28"/>
          <w:lang w:eastAsia="ru-RU"/>
        </w:rPr>
        <w:t xml:space="preserve"> К объектам, аварии на которых могут привести к образованию зон ЧС на территории </w:t>
      </w:r>
      <w:r w:rsidRPr="004D071E">
        <w:rPr>
          <w:rFonts w:ascii="Times New Roman" w:hAnsi="Times New Roman"/>
          <w:sz w:val="28"/>
          <w:szCs w:val="28"/>
        </w:rPr>
        <w:t>поселения</w:t>
      </w:r>
      <w:r w:rsidRPr="004D071E">
        <w:rPr>
          <w:rFonts w:ascii="Times New Roman" w:hAnsi="Times New Roman"/>
          <w:sz w:val="28"/>
          <w:szCs w:val="28"/>
          <w:lang w:eastAsia="ru-RU"/>
        </w:rPr>
        <w:t xml:space="preserve">, относятся авто- и железные дороги. </w:t>
      </w:r>
    </w:p>
    <w:p w:rsidR="002D1E45" w:rsidRPr="004D071E" w:rsidRDefault="002D1E45" w:rsidP="004D071E">
      <w:pPr>
        <w:spacing w:after="0" w:line="240" w:lineRule="auto"/>
        <w:ind w:firstLine="709"/>
        <w:jc w:val="both"/>
        <w:rPr>
          <w:rFonts w:ascii="Times New Roman" w:hAnsi="Times New Roman"/>
          <w:sz w:val="28"/>
          <w:szCs w:val="28"/>
          <w:lang w:eastAsia="ru-RU"/>
        </w:rPr>
      </w:pPr>
      <w:r w:rsidRPr="004D071E">
        <w:rPr>
          <w:rFonts w:ascii="Times New Roman" w:hAnsi="Times New Roman"/>
          <w:sz w:val="28"/>
          <w:szCs w:val="28"/>
          <w:lang w:eastAsia="ru-RU"/>
        </w:rPr>
        <w:t>По железной дороге возможна транспортировка аварийно химически опасных веществ (АХОВ) хлор, аммиак в 57 т цистернах и другие вещества.</w:t>
      </w:r>
    </w:p>
    <w:p w:rsidR="002D1E45" w:rsidRPr="004D071E" w:rsidRDefault="002D1E45" w:rsidP="004D071E">
      <w:pPr>
        <w:spacing w:after="0" w:line="240" w:lineRule="auto"/>
        <w:ind w:firstLine="709"/>
        <w:jc w:val="both"/>
        <w:rPr>
          <w:rFonts w:ascii="Times New Roman" w:hAnsi="Times New Roman"/>
          <w:sz w:val="28"/>
          <w:szCs w:val="28"/>
          <w:lang w:eastAsia="ru-RU"/>
        </w:rPr>
      </w:pPr>
      <w:r w:rsidRPr="004D071E">
        <w:rPr>
          <w:rFonts w:ascii="Times New Roman" w:hAnsi="Times New Roman"/>
          <w:sz w:val="28"/>
          <w:szCs w:val="28"/>
          <w:lang w:eastAsia="ru-RU"/>
        </w:rPr>
        <w:t>При разливе (выбросе, взрыве) опасных веществ в результате аварии на ж/д транспорте возможно образование зон химического заражения (радиус зоны возможного заражения может составить по хлору – 5 км, по аммиаку – 4 км).</w:t>
      </w:r>
    </w:p>
    <w:p w:rsidR="002D1E45" w:rsidRPr="004D071E" w:rsidRDefault="002D1E45" w:rsidP="004D071E">
      <w:pPr>
        <w:spacing w:after="0" w:line="240" w:lineRule="auto"/>
        <w:ind w:firstLine="709"/>
        <w:jc w:val="both"/>
        <w:rPr>
          <w:rFonts w:ascii="Times New Roman" w:hAnsi="Times New Roman"/>
          <w:sz w:val="28"/>
          <w:szCs w:val="28"/>
          <w:lang w:eastAsia="ru-RU"/>
        </w:rPr>
      </w:pPr>
      <w:r w:rsidRPr="004D071E">
        <w:rPr>
          <w:rFonts w:ascii="Times New Roman" w:hAnsi="Times New Roman"/>
          <w:sz w:val="28"/>
          <w:szCs w:val="28"/>
          <w:lang w:eastAsia="ru-RU"/>
        </w:rPr>
        <w:t>По автомобильной дороге возможна перевозка аварийно химически опасных веществ (АХОВ), аммиак, хлор, в 6 т контейнерах и другие вещества.</w:t>
      </w:r>
    </w:p>
    <w:p w:rsidR="002D1E45" w:rsidRPr="004D071E" w:rsidRDefault="002D1E45" w:rsidP="004D071E">
      <w:pPr>
        <w:spacing w:after="0" w:line="240" w:lineRule="auto"/>
        <w:ind w:firstLine="709"/>
        <w:jc w:val="both"/>
        <w:rPr>
          <w:rFonts w:ascii="Times New Roman" w:hAnsi="Times New Roman"/>
          <w:sz w:val="28"/>
          <w:szCs w:val="28"/>
          <w:lang w:eastAsia="ru-RU"/>
        </w:rPr>
      </w:pPr>
      <w:r w:rsidRPr="004D071E">
        <w:rPr>
          <w:rFonts w:ascii="Times New Roman" w:hAnsi="Times New Roman"/>
          <w:sz w:val="28"/>
          <w:szCs w:val="28"/>
          <w:lang w:eastAsia="ru-RU"/>
        </w:rPr>
        <w:t>При разливе (выбросе, взрыве) опасных веществ в результате аварии транспортного средства возможно образование зон химического заражения (радиус зоны возможного заражения при авариях с аммиаком может составить до 1,5 км, с хлором до 4 км) и пожаров.</w:t>
      </w:r>
    </w:p>
    <w:p w:rsidR="002D1E45" w:rsidRPr="004D071E" w:rsidRDefault="002D1E45" w:rsidP="004D071E">
      <w:pPr>
        <w:spacing w:after="0" w:line="240" w:lineRule="auto"/>
        <w:ind w:firstLine="709"/>
        <w:jc w:val="both"/>
        <w:rPr>
          <w:rFonts w:ascii="Times New Roman" w:hAnsi="Times New Roman"/>
          <w:sz w:val="28"/>
          <w:szCs w:val="28"/>
          <w:lang w:eastAsia="ru-RU"/>
        </w:rPr>
      </w:pPr>
      <w:r w:rsidRPr="004D071E">
        <w:rPr>
          <w:rFonts w:ascii="Times New Roman" w:hAnsi="Times New Roman"/>
          <w:sz w:val="28"/>
          <w:szCs w:val="28"/>
          <w:lang w:eastAsia="ru-RU"/>
        </w:rPr>
        <w:t>Основными причинами возникновения аварий на автомобильном транспорте являются: несоблюдение правил дорожного движения, технические неисправности автотранспортных средств, неудовлетворительное состояние дорожного покрытия, а также сложные метеоусловия (гололёд, туман, снегопад). Последствиями аварий на автомобильном транспорте могут быть повреждения автотранспортных средств, получение травм различной степени тяжести, а также гибель людей.</w:t>
      </w:r>
    </w:p>
    <w:p w:rsidR="002D1E45" w:rsidRPr="004D071E" w:rsidRDefault="002D1E45" w:rsidP="004D071E">
      <w:pPr>
        <w:spacing w:after="0" w:line="240" w:lineRule="auto"/>
        <w:ind w:firstLine="709"/>
        <w:jc w:val="both"/>
        <w:rPr>
          <w:rFonts w:ascii="Times New Roman" w:hAnsi="Times New Roman"/>
          <w:sz w:val="28"/>
          <w:szCs w:val="28"/>
          <w:lang w:eastAsia="ru-RU"/>
        </w:rPr>
      </w:pPr>
      <w:r w:rsidRPr="004D071E">
        <w:rPr>
          <w:rFonts w:ascii="Times New Roman" w:hAnsi="Times New Roman"/>
          <w:sz w:val="28"/>
          <w:szCs w:val="28"/>
          <w:lang w:eastAsia="ru-RU"/>
        </w:rPr>
        <w:t xml:space="preserve">Наиболее вероятным и опасным являются сценарии, связанные с аварией автоцистерны при нарушении ПДД или неисправности транспортного средства: разлив ядовитых веществ, выделение токсичных газов, отравление токсичными газами. </w:t>
      </w:r>
    </w:p>
    <w:p w:rsidR="002D1E45" w:rsidRPr="004D071E" w:rsidRDefault="002D1E45" w:rsidP="004D071E">
      <w:pPr>
        <w:spacing w:after="0" w:line="240" w:lineRule="auto"/>
        <w:ind w:firstLine="709"/>
        <w:jc w:val="both"/>
        <w:rPr>
          <w:rFonts w:ascii="Times New Roman" w:hAnsi="Times New Roman"/>
          <w:sz w:val="28"/>
          <w:szCs w:val="28"/>
          <w:lang w:eastAsia="ru-RU"/>
        </w:rPr>
      </w:pPr>
      <w:r w:rsidRPr="004D071E">
        <w:rPr>
          <w:rFonts w:ascii="Times New Roman" w:hAnsi="Times New Roman"/>
          <w:bCs/>
          <w:i/>
          <w:sz w:val="28"/>
          <w:szCs w:val="28"/>
          <w:u w:val="single"/>
          <w:lang w:eastAsia="ru-RU"/>
        </w:rPr>
        <w:t>Хлор (</w:t>
      </w:r>
      <w:r w:rsidRPr="004D071E">
        <w:rPr>
          <w:rFonts w:ascii="Times New Roman" w:hAnsi="Times New Roman"/>
          <w:bCs/>
          <w:i/>
          <w:sz w:val="28"/>
          <w:szCs w:val="28"/>
          <w:u w:val="single"/>
          <w:lang w:val="en-US" w:eastAsia="ru-RU"/>
        </w:rPr>
        <w:t>Cl</w:t>
      </w:r>
      <w:r w:rsidRPr="004D071E">
        <w:rPr>
          <w:rFonts w:ascii="Times New Roman" w:hAnsi="Times New Roman"/>
          <w:bCs/>
          <w:i/>
          <w:sz w:val="28"/>
          <w:szCs w:val="28"/>
          <w:u w:val="single"/>
          <w:vertAlign w:val="subscript"/>
          <w:lang w:eastAsia="ru-RU"/>
        </w:rPr>
        <w:t>2</w:t>
      </w:r>
      <w:r w:rsidRPr="004D071E">
        <w:rPr>
          <w:rFonts w:ascii="Times New Roman" w:hAnsi="Times New Roman"/>
          <w:bCs/>
          <w:i/>
          <w:sz w:val="28"/>
          <w:szCs w:val="28"/>
          <w:u w:val="single"/>
          <w:lang w:eastAsia="ru-RU"/>
        </w:rPr>
        <w:t>)</w:t>
      </w:r>
      <w:r w:rsidRPr="004D071E">
        <w:rPr>
          <w:rFonts w:ascii="Times New Roman" w:hAnsi="Times New Roman"/>
          <w:bCs/>
          <w:sz w:val="28"/>
          <w:szCs w:val="28"/>
          <w:lang w:eastAsia="ru-RU"/>
        </w:rPr>
        <w:t xml:space="preserve"> п</w:t>
      </w:r>
      <w:r w:rsidRPr="004D071E">
        <w:rPr>
          <w:rFonts w:ascii="Times New Roman" w:hAnsi="Times New Roman"/>
          <w:sz w:val="28"/>
          <w:szCs w:val="28"/>
          <w:lang w:eastAsia="ru-RU"/>
        </w:rPr>
        <w:t>редставляет собой зеленовато-жёлтый газ с резким раздражающим запахом, состоящий из двухатомных молекул. При обычном давлении он затвердевает при -101 °С и сжижается при -34 °С. Плотность газообразного хлора при нормальных условиях составляет 3,214 кг/м</w:t>
      </w:r>
      <w:r w:rsidRPr="004D071E">
        <w:rPr>
          <w:rFonts w:ascii="Times New Roman" w:hAnsi="Times New Roman"/>
          <w:sz w:val="28"/>
          <w:szCs w:val="28"/>
          <w:vertAlign w:val="superscript"/>
          <w:lang w:eastAsia="ru-RU"/>
        </w:rPr>
        <w:t>3</w:t>
      </w:r>
      <w:r w:rsidRPr="004D071E">
        <w:rPr>
          <w:rFonts w:ascii="Times New Roman" w:hAnsi="Times New Roman"/>
          <w:sz w:val="28"/>
          <w:szCs w:val="28"/>
          <w:lang w:eastAsia="ru-RU"/>
        </w:rPr>
        <w:t>, т.е. он примерно в 2,5 раза тяжелее воздуха и вследствие этого скапливается в низких участках местности, подвалах, колодцах, тоннелях.</w:t>
      </w:r>
    </w:p>
    <w:p w:rsidR="002D1E45" w:rsidRPr="004D071E" w:rsidRDefault="002D1E45" w:rsidP="004D071E">
      <w:pPr>
        <w:spacing w:after="0" w:line="240" w:lineRule="auto"/>
        <w:ind w:firstLine="709"/>
        <w:jc w:val="both"/>
        <w:rPr>
          <w:rFonts w:ascii="Times New Roman" w:hAnsi="Times New Roman"/>
          <w:sz w:val="28"/>
          <w:szCs w:val="28"/>
          <w:lang w:eastAsia="ru-RU"/>
        </w:rPr>
      </w:pPr>
      <w:r w:rsidRPr="004D071E">
        <w:rPr>
          <w:rFonts w:ascii="Times New Roman" w:hAnsi="Times New Roman"/>
          <w:sz w:val="28"/>
          <w:szCs w:val="28"/>
          <w:lang w:eastAsia="ru-RU"/>
        </w:rPr>
        <w:t xml:space="preserve">Хлор растворим в воде: в одном объёме воды растворяется около двух его объёмов. Образующийся желтоватый раствор часто называют хлорной водой. Химическая активность его очень велика - он образует соединения почти со всеми химическими элементами. Основной промышленный метод получения — электролиз концентрированного раствора хлористого натрия. Ежегодное потребление хлора в мире исчисляется десятками миллионов тонн. </w:t>
      </w:r>
    </w:p>
    <w:p w:rsidR="002D1E45" w:rsidRPr="004D071E" w:rsidRDefault="002D1E45" w:rsidP="004D071E">
      <w:pPr>
        <w:spacing w:after="0" w:line="240" w:lineRule="auto"/>
        <w:ind w:firstLine="709"/>
        <w:jc w:val="both"/>
        <w:rPr>
          <w:rFonts w:ascii="Times New Roman" w:hAnsi="Times New Roman"/>
          <w:sz w:val="28"/>
          <w:szCs w:val="28"/>
          <w:lang w:eastAsia="ru-RU"/>
        </w:rPr>
      </w:pPr>
      <w:r w:rsidRPr="004D071E">
        <w:rPr>
          <w:rFonts w:ascii="Times New Roman" w:hAnsi="Times New Roman"/>
          <w:sz w:val="28"/>
          <w:szCs w:val="28"/>
          <w:lang w:eastAsia="ru-RU"/>
        </w:rPr>
        <w:t>Минимально ощутимая концентрация хлора – 2 мг/м</w:t>
      </w:r>
      <w:r w:rsidRPr="004D071E">
        <w:rPr>
          <w:rFonts w:ascii="Times New Roman" w:hAnsi="Times New Roman"/>
          <w:sz w:val="28"/>
          <w:szCs w:val="28"/>
          <w:vertAlign w:val="superscript"/>
          <w:lang w:eastAsia="ru-RU"/>
        </w:rPr>
        <w:t>3</w:t>
      </w:r>
      <w:r w:rsidRPr="004D071E">
        <w:rPr>
          <w:rFonts w:ascii="Times New Roman" w:hAnsi="Times New Roman"/>
          <w:sz w:val="28"/>
          <w:szCs w:val="28"/>
          <w:lang w:eastAsia="ru-RU"/>
        </w:rPr>
        <w:t>. Раздражающее действие возникает при концентрации около 10 мг/м</w:t>
      </w:r>
      <w:r w:rsidRPr="004D071E">
        <w:rPr>
          <w:rFonts w:ascii="Times New Roman" w:hAnsi="Times New Roman"/>
          <w:sz w:val="28"/>
          <w:szCs w:val="28"/>
          <w:vertAlign w:val="superscript"/>
          <w:lang w:eastAsia="ru-RU"/>
        </w:rPr>
        <w:t>3</w:t>
      </w:r>
      <w:r w:rsidRPr="004D071E">
        <w:rPr>
          <w:rFonts w:ascii="Times New Roman" w:hAnsi="Times New Roman"/>
          <w:sz w:val="28"/>
          <w:szCs w:val="28"/>
          <w:lang w:eastAsia="ru-RU"/>
        </w:rPr>
        <w:t>. Воздействие в течение 30</w:t>
      </w:r>
      <w:r w:rsidRPr="004D071E">
        <w:rPr>
          <w:rFonts w:ascii="Times New Roman" w:hAnsi="Times New Roman"/>
          <w:sz w:val="28"/>
          <w:szCs w:val="28"/>
          <w:lang w:eastAsia="ru-RU"/>
        </w:rPr>
        <w:noBreakHyphen/>
        <w:t>60 мин 100</w:t>
      </w:r>
      <w:r w:rsidRPr="004D071E">
        <w:rPr>
          <w:rFonts w:ascii="Times New Roman" w:hAnsi="Times New Roman"/>
          <w:sz w:val="28"/>
          <w:szCs w:val="28"/>
          <w:lang w:eastAsia="ru-RU"/>
        </w:rPr>
        <w:noBreakHyphen/>
        <w:t>200 мг/м</w:t>
      </w:r>
      <w:r w:rsidRPr="004D071E">
        <w:rPr>
          <w:rFonts w:ascii="Times New Roman" w:hAnsi="Times New Roman"/>
          <w:sz w:val="28"/>
          <w:szCs w:val="28"/>
          <w:vertAlign w:val="superscript"/>
          <w:lang w:eastAsia="ru-RU"/>
        </w:rPr>
        <w:t>3</w:t>
      </w:r>
      <w:r w:rsidRPr="004D071E">
        <w:rPr>
          <w:rFonts w:ascii="Times New Roman" w:hAnsi="Times New Roman"/>
          <w:sz w:val="28"/>
          <w:szCs w:val="28"/>
          <w:lang w:eastAsia="ru-RU"/>
        </w:rPr>
        <w:t> хлора опасно для жизни, а более высокие концентрации могут вызвать мгновенную смерть.</w:t>
      </w:r>
    </w:p>
    <w:p w:rsidR="002D1E45" w:rsidRPr="004D071E" w:rsidRDefault="002D1E45" w:rsidP="004D071E">
      <w:pPr>
        <w:spacing w:after="0" w:line="240" w:lineRule="auto"/>
        <w:ind w:firstLine="709"/>
        <w:jc w:val="both"/>
        <w:rPr>
          <w:rFonts w:ascii="Times New Roman" w:hAnsi="Times New Roman"/>
          <w:sz w:val="28"/>
          <w:szCs w:val="28"/>
          <w:lang w:eastAsia="ru-RU"/>
        </w:rPr>
      </w:pPr>
      <w:r w:rsidRPr="004D071E">
        <w:rPr>
          <w:rFonts w:ascii="Times New Roman" w:hAnsi="Times New Roman"/>
          <w:sz w:val="28"/>
          <w:szCs w:val="28"/>
          <w:lang w:eastAsia="ru-RU"/>
        </w:rPr>
        <w:t>Следует помнить, что предельно допустимые концентрации (ПДК) хлора в атмосферном воздухе: среднесуточная – 0,03 мг/м</w:t>
      </w:r>
      <w:r w:rsidRPr="004D071E">
        <w:rPr>
          <w:rFonts w:ascii="Times New Roman" w:hAnsi="Times New Roman"/>
          <w:sz w:val="28"/>
          <w:szCs w:val="28"/>
          <w:vertAlign w:val="superscript"/>
          <w:lang w:eastAsia="ru-RU"/>
        </w:rPr>
        <w:t>3</w:t>
      </w:r>
      <w:r w:rsidRPr="004D071E">
        <w:rPr>
          <w:rFonts w:ascii="Times New Roman" w:hAnsi="Times New Roman"/>
          <w:sz w:val="28"/>
          <w:szCs w:val="28"/>
          <w:lang w:eastAsia="ru-RU"/>
        </w:rPr>
        <w:t>; максимальная разовая – 0,1 мг/м</w:t>
      </w:r>
      <w:r w:rsidRPr="004D071E">
        <w:rPr>
          <w:rFonts w:ascii="Times New Roman" w:hAnsi="Times New Roman"/>
          <w:sz w:val="28"/>
          <w:szCs w:val="28"/>
          <w:vertAlign w:val="superscript"/>
          <w:lang w:eastAsia="ru-RU"/>
        </w:rPr>
        <w:t>3</w:t>
      </w:r>
      <w:r w:rsidRPr="004D071E">
        <w:rPr>
          <w:rFonts w:ascii="Times New Roman" w:hAnsi="Times New Roman"/>
          <w:sz w:val="28"/>
          <w:szCs w:val="28"/>
          <w:lang w:eastAsia="ru-RU"/>
        </w:rPr>
        <w:t>; в рабочем помещении промышленного предприятия – 1 мг/м</w:t>
      </w:r>
      <w:r w:rsidRPr="004D071E">
        <w:rPr>
          <w:rFonts w:ascii="Times New Roman" w:hAnsi="Times New Roman"/>
          <w:sz w:val="28"/>
          <w:szCs w:val="28"/>
          <w:vertAlign w:val="superscript"/>
          <w:lang w:eastAsia="ru-RU"/>
        </w:rPr>
        <w:t>3</w:t>
      </w:r>
      <w:r w:rsidRPr="004D071E">
        <w:rPr>
          <w:rFonts w:ascii="Times New Roman" w:hAnsi="Times New Roman"/>
          <w:sz w:val="28"/>
          <w:szCs w:val="28"/>
          <w:lang w:eastAsia="ru-RU"/>
        </w:rPr>
        <w:t>.</w:t>
      </w:r>
    </w:p>
    <w:p w:rsidR="002D1E45" w:rsidRPr="004D071E" w:rsidRDefault="002D1E45" w:rsidP="004D071E">
      <w:pPr>
        <w:spacing w:after="0" w:line="240" w:lineRule="auto"/>
        <w:ind w:firstLine="709"/>
        <w:jc w:val="both"/>
        <w:rPr>
          <w:rFonts w:ascii="Times New Roman" w:hAnsi="Times New Roman"/>
          <w:sz w:val="28"/>
          <w:szCs w:val="28"/>
          <w:lang w:eastAsia="ru-RU"/>
        </w:rPr>
      </w:pPr>
      <w:r w:rsidRPr="004D071E">
        <w:rPr>
          <w:rFonts w:ascii="Times New Roman" w:hAnsi="Times New Roman"/>
          <w:sz w:val="28"/>
          <w:szCs w:val="28"/>
          <w:lang w:eastAsia="ru-RU"/>
        </w:rPr>
        <w:t>Органы дыхания и глаза защищают от хлора фильтрующие и изолирующие противогазы. С этой целью могут быть использованы фильтрующие противогазы промышленные марки Л (коробка окрашена в коричневый цвет), БКФ и МКФ (защитный), В (жёлтый), П (чёрный), Г (чёрный и жёлтый), а также гражданские ГП-5, ГП-7 и детские.</w:t>
      </w:r>
    </w:p>
    <w:p w:rsidR="002D1E45" w:rsidRPr="004D071E" w:rsidRDefault="002D1E45" w:rsidP="004D071E">
      <w:pPr>
        <w:spacing w:after="0" w:line="240" w:lineRule="auto"/>
        <w:ind w:firstLine="709"/>
        <w:jc w:val="both"/>
        <w:rPr>
          <w:rFonts w:ascii="Times New Roman" w:hAnsi="Times New Roman"/>
          <w:sz w:val="28"/>
          <w:szCs w:val="28"/>
          <w:lang w:eastAsia="ru-RU"/>
        </w:rPr>
      </w:pPr>
      <w:r w:rsidRPr="004D071E">
        <w:rPr>
          <w:rFonts w:ascii="Times New Roman" w:hAnsi="Times New Roman"/>
          <w:sz w:val="28"/>
          <w:szCs w:val="28"/>
          <w:lang w:eastAsia="ru-RU"/>
        </w:rPr>
        <w:t>Максимально допустимая концентрация при применении фильтрующих противогазов – 2500 мг/м</w:t>
      </w:r>
      <w:r w:rsidRPr="004D071E">
        <w:rPr>
          <w:rFonts w:ascii="Times New Roman" w:hAnsi="Times New Roman"/>
          <w:sz w:val="28"/>
          <w:szCs w:val="28"/>
          <w:vertAlign w:val="superscript"/>
          <w:lang w:eastAsia="ru-RU"/>
        </w:rPr>
        <w:t>3</w:t>
      </w:r>
      <w:r w:rsidRPr="004D071E">
        <w:rPr>
          <w:rFonts w:ascii="Times New Roman" w:hAnsi="Times New Roman"/>
          <w:sz w:val="28"/>
          <w:szCs w:val="28"/>
          <w:lang w:eastAsia="ru-RU"/>
        </w:rPr>
        <w:t>. Если она выше, должны использоваться только изолирующие противогазы. При ликвидации аварий на химически опасных объектах, когда концентрация хлора не известна, работы проводят только в изолирующих противогазах (ИП-4, ИП-5). При этом следует пользоваться защитными прорезиненными костюмами, резиновыми сапогами, перчатками. Необходимо помнить, что жидкий хлор разрушает прорезиненную защитную ткань и резиновые детали изолирующего противогаза.</w:t>
      </w:r>
    </w:p>
    <w:p w:rsidR="002D1E45" w:rsidRPr="004D071E" w:rsidRDefault="002D1E45" w:rsidP="004D071E">
      <w:pPr>
        <w:spacing w:after="0" w:line="240" w:lineRule="auto"/>
        <w:ind w:firstLine="709"/>
        <w:jc w:val="both"/>
        <w:rPr>
          <w:rFonts w:ascii="Times New Roman" w:hAnsi="Times New Roman"/>
          <w:sz w:val="28"/>
          <w:szCs w:val="28"/>
          <w:lang w:eastAsia="ru-RU"/>
        </w:rPr>
      </w:pPr>
      <w:r w:rsidRPr="004D071E">
        <w:rPr>
          <w:rFonts w:ascii="Times New Roman" w:hAnsi="Times New Roman"/>
          <w:sz w:val="28"/>
          <w:szCs w:val="28"/>
          <w:lang w:eastAsia="ru-RU"/>
        </w:rPr>
        <w:t>При производственной аварии на химически опасном объекте, утечке хлора при хранении или транспортировке может произойти заражение воздуха в поражающих концентрациях. В этом случае необходимо изолировать опасную зону, удалить из неё всех посторонних и не допускать никого без средств защиты органов дыхания и кожи. Около зоны держаться с наветренной стороны и избегать низких мест.</w:t>
      </w:r>
    </w:p>
    <w:p w:rsidR="002D1E45" w:rsidRPr="004D071E" w:rsidRDefault="002D1E45" w:rsidP="004D071E">
      <w:pPr>
        <w:spacing w:after="0" w:line="240" w:lineRule="auto"/>
        <w:ind w:firstLine="709"/>
        <w:jc w:val="both"/>
        <w:rPr>
          <w:rFonts w:ascii="Times New Roman" w:hAnsi="Times New Roman"/>
          <w:sz w:val="28"/>
          <w:szCs w:val="28"/>
          <w:lang w:eastAsia="ru-RU"/>
        </w:rPr>
      </w:pPr>
      <w:r w:rsidRPr="004D071E">
        <w:rPr>
          <w:rFonts w:ascii="Times New Roman" w:hAnsi="Times New Roman"/>
          <w:sz w:val="28"/>
          <w:szCs w:val="28"/>
          <w:lang w:eastAsia="ru-RU"/>
        </w:rPr>
        <w:t>При утечке или разливе хлора нельзя прикасаться к пролитому веществу. Следует с помощью специалистов удалить течь, если это не вызывает опасности, или перекачать содержимое в исправную ёмкость с соблюдением мер предосторожности.</w:t>
      </w:r>
    </w:p>
    <w:p w:rsidR="002D1E45" w:rsidRPr="004D071E" w:rsidRDefault="002D1E45" w:rsidP="004D071E">
      <w:pPr>
        <w:spacing w:after="0" w:line="240" w:lineRule="auto"/>
        <w:ind w:firstLine="709"/>
        <w:jc w:val="both"/>
        <w:rPr>
          <w:rFonts w:ascii="Times New Roman" w:hAnsi="Times New Roman"/>
          <w:sz w:val="28"/>
          <w:szCs w:val="28"/>
          <w:lang w:eastAsia="ru-RU"/>
        </w:rPr>
      </w:pPr>
      <w:r w:rsidRPr="004D071E">
        <w:rPr>
          <w:rFonts w:ascii="Times New Roman" w:hAnsi="Times New Roman"/>
          <w:sz w:val="28"/>
          <w:szCs w:val="28"/>
          <w:lang w:eastAsia="ru-RU"/>
        </w:rPr>
        <w:t>При интенсивной утечке хлора используют распылённый раствор кальцинированной соды или воду, чтобы осадить газ. Место разлива заливают аммиачной водой, известковым молоком, раствором кальцинированной соды или каустика.</w:t>
      </w:r>
    </w:p>
    <w:p w:rsidR="002D1E45" w:rsidRPr="004D071E" w:rsidRDefault="002D1E45" w:rsidP="004D071E">
      <w:pPr>
        <w:spacing w:after="0" w:line="240" w:lineRule="auto"/>
        <w:ind w:firstLine="709"/>
        <w:jc w:val="both"/>
        <w:rPr>
          <w:rFonts w:ascii="Times New Roman" w:hAnsi="Times New Roman"/>
          <w:sz w:val="28"/>
          <w:szCs w:val="28"/>
          <w:lang w:eastAsia="ru-RU"/>
        </w:rPr>
      </w:pPr>
      <w:r w:rsidRPr="004D071E">
        <w:rPr>
          <w:rFonts w:ascii="Times New Roman" w:hAnsi="Times New Roman"/>
          <w:bCs/>
          <w:i/>
          <w:sz w:val="28"/>
          <w:szCs w:val="28"/>
          <w:u w:val="single"/>
          <w:lang w:eastAsia="ru-RU"/>
        </w:rPr>
        <w:t>Аммиак (</w:t>
      </w:r>
      <w:r w:rsidRPr="004D071E">
        <w:rPr>
          <w:rFonts w:ascii="Times New Roman" w:hAnsi="Times New Roman"/>
          <w:bCs/>
          <w:i/>
          <w:sz w:val="28"/>
          <w:szCs w:val="28"/>
          <w:u w:val="single"/>
          <w:lang w:val="en-US" w:eastAsia="ru-RU"/>
        </w:rPr>
        <w:t>NH</w:t>
      </w:r>
      <w:r w:rsidRPr="004D071E">
        <w:rPr>
          <w:rFonts w:ascii="Times New Roman" w:hAnsi="Times New Roman"/>
          <w:bCs/>
          <w:i/>
          <w:sz w:val="28"/>
          <w:szCs w:val="28"/>
          <w:u w:val="single"/>
          <w:vertAlign w:val="subscript"/>
          <w:lang w:eastAsia="ru-RU"/>
        </w:rPr>
        <w:t>3</w:t>
      </w:r>
      <w:r w:rsidRPr="004D071E">
        <w:rPr>
          <w:rFonts w:ascii="Times New Roman" w:hAnsi="Times New Roman"/>
          <w:bCs/>
          <w:i/>
          <w:sz w:val="28"/>
          <w:szCs w:val="28"/>
          <w:u w:val="single"/>
          <w:lang w:eastAsia="ru-RU"/>
        </w:rPr>
        <w:t>)</w:t>
      </w:r>
      <w:r w:rsidRPr="004D071E">
        <w:rPr>
          <w:rFonts w:ascii="Times New Roman" w:hAnsi="Times New Roman"/>
          <w:sz w:val="28"/>
          <w:szCs w:val="28"/>
          <w:lang w:eastAsia="ru-RU"/>
        </w:rPr>
        <w:t xml:space="preserve"> представляет собой бесцветный газ с характерным резким запахом (нашатырного спирта). При обычном давлении затвердевает при температуре -78</w:t>
      </w:r>
      <w:r w:rsidRPr="004D071E">
        <w:rPr>
          <w:rFonts w:ascii="Times New Roman" w:hAnsi="Times New Roman"/>
          <w:sz w:val="28"/>
          <w:szCs w:val="28"/>
          <w:lang w:val="en-US" w:eastAsia="ru-RU"/>
        </w:rPr>
        <w:t> </w:t>
      </w:r>
      <w:r w:rsidRPr="004D071E">
        <w:rPr>
          <w:rFonts w:ascii="Times New Roman" w:hAnsi="Times New Roman"/>
          <w:sz w:val="28"/>
          <w:szCs w:val="28"/>
          <w:lang w:eastAsia="ru-RU"/>
        </w:rPr>
        <w:t>°С и сжижается при -34 °С. Плотность газообразного аммиака при нормальных условиях составляет примерно 0,6, т.е. он легче воздуха. С воздухом образует взрывоопасные смеси в пределах 15-28 объёмных процентов NH</w:t>
      </w:r>
      <w:r w:rsidRPr="004D071E">
        <w:rPr>
          <w:rFonts w:ascii="Times New Roman" w:hAnsi="Times New Roman"/>
          <w:sz w:val="28"/>
          <w:szCs w:val="28"/>
          <w:vertAlign w:val="subscript"/>
          <w:lang w:eastAsia="ru-RU"/>
        </w:rPr>
        <w:t>3</w:t>
      </w:r>
      <w:r w:rsidRPr="004D071E">
        <w:rPr>
          <w:rFonts w:ascii="Times New Roman" w:hAnsi="Times New Roman"/>
          <w:sz w:val="28"/>
          <w:szCs w:val="28"/>
          <w:lang w:eastAsia="ru-RU"/>
        </w:rPr>
        <w:t>.</w:t>
      </w:r>
    </w:p>
    <w:p w:rsidR="002D1E45" w:rsidRPr="004D071E" w:rsidRDefault="002D1E45" w:rsidP="004D071E">
      <w:pPr>
        <w:spacing w:after="0" w:line="240" w:lineRule="auto"/>
        <w:ind w:firstLine="709"/>
        <w:jc w:val="both"/>
        <w:rPr>
          <w:rFonts w:ascii="Times New Roman" w:hAnsi="Times New Roman"/>
          <w:sz w:val="28"/>
          <w:szCs w:val="28"/>
          <w:lang w:eastAsia="ru-RU"/>
        </w:rPr>
      </w:pPr>
      <w:r w:rsidRPr="004D071E">
        <w:rPr>
          <w:rFonts w:ascii="Times New Roman" w:hAnsi="Times New Roman"/>
          <w:sz w:val="28"/>
          <w:szCs w:val="28"/>
          <w:lang w:eastAsia="ru-RU"/>
        </w:rPr>
        <w:t xml:space="preserve">Растворимость его в воде больше, чем у всех других газов: один объем воды поглощает при 20 °С около 700 объёмов аммиака. </w:t>
      </w:r>
    </w:p>
    <w:p w:rsidR="002D1E45" w:rsidRPr="004D071E" w:rsidRDefault="002D1E45" w:rsidP="004D071E">
      <w:pPr>
        <w:spacing w:after="0" w:line="240" w:lineRule="auto"/>
        <w:ind w:firstLine="709"/>
        <w:jc w:val="both"/>
        <w:rPr>
          <w:rFonts w:ascii="Times New Roman" w:hAnsi="Times New Roman"/>
          <w:sz w:val="28"/>
          <w:szCs w:val="28"/>
          <w:lang w:eastAsia="ru-RU"/>
        </w:rPr>
      </w:pPr>
      <w:r w:rsidRPr="004D071E">
        <w:rPr>
          <w:rFonts w:ascii="Times New Roman" w:hAnsi="Times New Roman"/>
          <w:sz w:val="28"/>
          <w:szCs w:val="28"/>
          <w:lang w:eastAsia="ru-RU"/>
        </w:rPr>
        <w:t>Аммиак перевозится в сжиженном состоянии под давлением, при выходе в атмосферу дымит, заражает водоёмы, когда попадает в них. Предельно допустимые концентрации (ПДК) в воздухе населённых мест: среднесуточная и максимально разовая - 0,2 мг/м</w:t>
      </w:r>
      <w:r w:rsidRPr="004D071E">
        <w:rPr>
          <w:rFonts w:ascii="Times New Roman" w:hAnsi="Times New Roman"/>
          <w:sz w:val="28"/>
          <w:szCs w:val="28"/>
          <w:vertAlign w:val="superscript"/>
          <w:lang w:eastAsia="ru-RU"/>
        </w:rPr>
        <w:t>3</w:t>
      </w:r>
      <w:r w:rsidRPr="004D071E">
        <w:rPr>
          <w:rFonts w:ascii="Times New Roman" w:hAnsi="Times New Roman"/>
          <w:sz w:val="28"/>
          <w:szCs w:val="28"/>
          <w:lang w:eastAsia="ru-RU"/>
        </w:rPr>
        <w:t>; предельно допустимая в рабочем помещении промышленного предприятия - 20 мг/м</w:t>
      </w:r>
      <w:r w:rsidRPr="004D071E">
        <w:rPr>
          <w:rFonts w:ascii="Times New Roman" w:hAnsi="Times New Roman"/>
          <w:sz w:val="28"/>
          <w:szCs w:val="28"/>
          <w:vertAlign w:val="superscript"/>
          <w:lang w:eastAsia="ru-RU"/>
        </w:rPr>
        <w:t>3</w:t>
      </w:r>
      <w:r w:rsidRPr="004D071E">
        <w:rPr>
          <w:rFonts w:ascii="Times New Roman" w:hAnsi="Times New Roman"/>
          <w:sz w:val="28"/>
          <w:szCs w:val="28"/>
          <w:lang w:eastAsia="ru-RU"/>
        </w:rPr>
        <w:t>. Запах ощущается при концентрации 40 мг/м</w:t>
      </w:r>
      <w:r w:rsidRPr="004D071E">
        <w:rPr>
          <w:rFonts w:ascii="Times New Roman" w:hAnsi="Times New Roman"/>
          <w:sz w:val="28"/>
          <w:szCs w:val="28"/>
          <w:vertAlign w:val="superscript"/>
          <w:lang w:eastAsia="ru-RU"/>
        </w:rPr>
        <w:t>3</w:t>
      </w:r>
      <w:r w:rsidRPr="004D071E">
        <w:rPr>
          <w:rFonts w:ascii="Times New Roman" w:hAnsi="Times New Roman"/>
          <w:sz w:val="28"/>
          <w:szCs w:val="28"/>
          <w:lang w:eastAsia="ru-RU"/>
        </w:rPr>
        <w:t>. Если же его содержание в воздухе достигает 500 мг/м</w:t>
      </w:r>
      <w:r w:rsidRPr="004D071E">
        <w:rPr>
          <w:rFonts w:ascii="Times New Roman" w:hAnsi="Times New Roman"/>
          <w:sz w:val="28"/>
          <w:szCs w:val="28"/>
          <w:vertAlign w:val="superscript"/>
          <w:lang w:eastAsia="ru-RU"/>
        </w:rPr>
        <w:t>3</w:t>
      </w:r>
      <w:r w:rsidRPr="004D071E">
        <w:rPr>
          <w:rFonts w:ascii="Times New Roman" w:hAnsi="Times New Roman"/>
          <w:sz w:val="28"/>
          <w:szCs w:val="28"/>
          <w:lang w:eastAsia="ru-RU"/>
        </w:rPr>
        <w:t>, он опасен для вдыхания (возможен смертельный исход).</w:t>
      </w:r>
    </w:p>
    <w:p w:rsidR="002D1E45" w:rsidRPr="004D071E" w:rsidRDefault="002D1E45" w:rsidP="004D071E">
      <w:pPr>
        <w:spacing w:after="0" w:line="240" w:lineRule="auto"/>
        <w:ind w:firstLine="709"/>
        <w:jc w:val="both"/>
        <w:rPr>
          <w:rFonts w:ascii="Times New Roman" w:hAnsi="Times New Roman"/>
          <w:sz w:val="28"/>
          <w:szCs w:val="28"/>
          <w:lang w:eastAsia="ru-RU"/>
        </w:rPr>
      </w:pPr>
      <w:r w:rsidRPr="004D071E">
        <w:rPr>
          <w:rFonts w:ascii="Times New Roman" w:hAnsi="Times New Roman"/>
          <w:sz w:val="28"/>
          <w:szCs w:val="28"/>
          <w:lang w:eastAsia="ru-RU"/>
        </w:rPr>
        <w:t>Вызывает поражение дыхательных путей. Его признаки: насморк, кашель, затруднённое дыхание, удушье, при этом появляется сердцебиение, нарушается частота пульса. Пары сильно раздражают слизистые оболочки и кожные покровы, вызывают жжение, покраснение и зуд кожи, резь в глазах, слезотечение. При соприкосновении жидкого аммиака и его растворов с кожей возникает обморожение, жжение, возможен ожог с пузырями, изъязвления.</w:t>
      </w:r>
    </w:p>
    <w:p w:rsidR="002D1E45" w:rsidRPr="004D071E" w:rsidRDefault="002D1E45" w:rsidP="004D071E">
      <w:pPr>
        <w:spacing w:after="0" w:line="240" w:lineRule="auto"/>
        <w:ind w:firstLine="709"/>
        <w:jc w:val="both"/>
        <w:rPr>
          <w:rFonts w:ascii="Times New Roman" w:hAnsi="Times New Roman"/>
          <w:sz w:val="28"/>
          <w:szCs w:val="28"/>
          <w:lang w:eastAsia="ru-RU"/>
        </w:rPr>
      </w:pPr>
      <w:r w:rsidRPr="004D071E">
        <w:rPr>
          <w:rFonts w:ascii="Times New Roman" w:hAnsi="Times New Roman"/>
          <w:sz w:val="28"/>
          <w:szCs w:val="28"/>
          <w:lang w:eastAsia="ru-RU"/>
        </w:rPr>
        <w:t>Защиту органов дыхания от аммиака обеспечивают фильтрующие промышленные и изолирующие противогазы, газовые респираторы. Могут использоваться промышленные противогазы марки КД (коробка окрашена в серый цвет), К (светло-зелёный) и респираторы РПГ-67-КД, РУ-60М-КД.</w:t>
      </w:r>
    </w:p>
    <w:p w:rsidR="002D1E45" w:rsidRPr="004D071E" w:rsidRDefault="002D1E45" w:rsidP="004D071E">
      <w:pPr>
        <w:spacing w:after="0" w:line="240" w:lineRule="auto"/>
        <w:ind w:firstLine="709"/>
        <w:jc w:val="both"/>
        <w:rPr>
          <w:rFonts w:ascii="Times New Roman" w:hAnsi="Times New Roman"/>
          <w:sz w:val="28"/>
          <w:szCs w:val="28"/>
          <w:lang w:eastAsia="ru-RU"/>
        </w:rPr>
      </w:pPr>
      <w:r w:rsidRPr="004D071E">
        <w:rPr>
          <w:rFonts w:ascii="Times New Roman" w:hAnsi="Times New Roman"/>
          <w:sz w:val="28"/>
          <w:szCs w:val="28"/>
          <w:lang w:eastAsia="ru-RU"/>
        </w:rPr>
        <w:t>Максимально допустимая концентрация при применении фильтрующих промышленных противогазов равна 750 ПДК (15000 мг/м</w:t>
      </w:r>
      <w:r w:rsidRPr="004D071E">
        <w:rPr>
          <w:rFonts w:ascii="Times New Roman" w:hAnsi="Times New Roman"/>
          <w:sz w:val="28"/>
          <w:szCs w:val="28"/>
          <w:vertAlign w:val="superscript"/>
          <w:lang w:eastAsia="ru-RU"/>
        </w:rPr>
        <w:t>3</w:t>
      </w:r>
      <w:r w:rsidRPr="004D071E">
        <w:rPr>
          <w:rFonts w:ascii="Times New Roman" w:hAnsi="Times New Roman"/>
          <w:sz w:val="28"/>
          <w:szCs w:val="28"/>
          <w:lang w:eastAsia="ru-RU"/>
        </w:rPr>
        <w:t>), выше которой должны использоваться только изолирующие противогазы. Для респираторов эта доза равна 15 ПДК. При ликвидации аварий на химически опасных объектах, когда концентрация аммиака неизвестна, работы должны проводиться только в изолирующих противогазах.</w:t>
      </w:r>
    </w:p>
    <w:p w:rsidR="002D1E45" w:rsidRPr="004D071E" w:rsidRDefault="002D1E45" w:rsidP="004D071E">
      <w:pPr>
        <w:spacing w:after="0" w:line="240" w:lineRule="auto"/>
        <w:ind w:firstLine="709"/>
        <w:jc w:val="both"/>
        <w:rPr>
          <w:rFonts w:ascii="Times New Roman" w:hAnsi="Times New Roman"/>
          <w:sz w:val="28"/>
          <w:szCs w:val="28"/>
          <w:lang w:eastAsia="ru-RU"/>
        </w:rPr>
      </w:pPr>
      <w:r w:rsidRPr="004D071E">
        <w:rPr>
          <w:rFonts w:ascii="Times New Roman" w:hAnsi="Times New Roman"/>
          <w:sz w:val="28"/>
          <w:szCs w:val="28"/>
          <w:lang w:eastAsia="ru-RU"/>
        </w:rPr>
        <w:t>Чтобы предупредить попадание аммиака на кожные покровы, следует использовать защитные прорезиненные костюмы, резиновые сапоги и перчатки.</w:t>
      </w:r>
    </w:p>
    <w:p w:rsidR="002D1E45" w:rsidRPr="004D071E" w:rsidRDefault="002D1E45" w:rsidP="004D071E">
      <w:pPr>
        <w:spacing w:after="0" w:line="240" w:lineRule="auto"/>
        <w:ind w:firstLine="709"/>
        <w:jc w:val="both"/>
        <w:rPr>
          <w:rFonts w:ascii="Times New Roman" w:hAnsi="Times New Roman"/>
          <w:sz w:val="28"/>
          <w:szCs w:val="28"/>
          <w:lang w:eastAsia="ru-RU"/>
        </w:rPr>
      </w:pPr>
      <w:r w:rsidRPr="004D071E">
        <w:rPr>
          <w:rFonts w:ascii="Times New Roman" w:hAnsi="Times New Roman"/>
          <w:sz w:val="28"/>
          <w:szCs w:val="28"/>
          <w:lang w:eastAsia="ru-RU"/>
        </w:rPr>
        <w:t>Наличие и концентрацию аммиака в воздухе позволяет определить универсальный газоанализатор УГ-2. Пределы измерений: до 0,03 мг/л — при просасывании воздуха в объёме 250 мл; до 0,3 мг/л — при просасывании 30 мл. Концентрацию NH находят на шкале, где указан объем пропущенного воздуха. Цифра, совпадающая с границей окрашенного в синий цвет столбика порошка, укажет концентрацию аммиака в миллиграммах на литр.</w:t>
      </w:r>
    </w:p>
    <w:p w:rsidR="002D1E45" w:rsidRPr="004D071E" w:rsidRDefault="002D1E45" w:rsidP="004D071E">
      <w:pPr>
        <w:spacing w:after="0" w:line="240" w:lineRule="auto"/>
        <w:ind w:firstLine="709"/>
        <w:jc w:val="both"/>
        <w:rPr>
          <w:rFonts w:ascii="Times New Roman" w:hAnsi="Times New Roman"/>
          <w:sz w:val="28"/>
          <w:szCs w:val="28"/>
          <w:lang w:eastAsia="ru-RU"/>
        </w:rPr>
      </w:pPr>
      <w:r w:rsidRPr="004D071E">
        <w:rPr>
          <w:rFonts w:ascii="Times New Roman" w:hAnsi="Times New Roman"/>
          <w:sz w:val="28"/>
          <w:szCs w:val="28"/>
          <w:lang w:eastAsia="ru-RU"/>
        </w:rPr>
        <w:t>Прогнозирование масштабов зон заражения выполнено в соответствии с «Методикой прогнозирования масштабов возможного химического заражения аварийно химически опасными веществами при авариях на химически опасных объектах и транспорте» (СП 165.1325800.2014 «Инженерно-технические мероприятия по гражданской обороне. Актуализированная редакция СНиП 2.01.51-90»).</w:t>
      </w:r>
    </w:p>
    <w:p w:rsidR="002D1E45" w:rsidRPr="004D071E" w:rsidRDefault="002D1E45" w:rsidP="004D071E">
      <w:pPr>
        <w:spacing w:after="0" w:line="240" w:lineRule="auto"/>
        <w:ind w:firstLine="709"/>
        <w:jc w:val="both"/>
        <w:rPr>
          <w:rFonts w:ascii="Times New Roman" w:hAnsi="Times New Roman"/>
          <w:sz w:val="28"/>
          <w:szCs w:val="28"/>
          <w:lang w:eastAsia="ru-RU"/>
        </w:rPr>
      </w:pPr>
      <w:r w:rsidRPr="004D071E">
        <w:rPr>
          <w:rFonts w:ascii="Times New Roman" w:hAnsi="Times New Roman"/>
          <w:sz w:val="28"/>
          <w:szCs w:val="28"/>
          <w:lang w:eastAsia="ru-RU"/>
        </w:rPr>
        <w:t>В качестве вероятных чрезвычайных ситуаций техногенного характера при авариях на автодороге рассматривается: интоксикация людей при распространении токсического облака АХОВ при разгерметизации ёмкости транспортировки.</w:t>
      </w:r>
    </w:p>
    <w:p w:rsidR="002D1E45" w:rsidRPr="004D071E" w:rsidRDefault="002D1E45" w:rsidP="004D071E">
      <w:pPr>
        <w:spacing w:after="0" w:line="240" w:lineRule="auto"/>
        <w:ind w:firstLine="709"/>
        <w:jc w:val="both"/>
        <w:rPr>
          <w:rFonts w:ascii="Times New Roman" w:hAnsi="Times New Roman"/>
          <w:sz w:val="28"/>
          <w:szCs w:val="24"/>
          <w:lang w:eastAsia="ru-RU"/>
        </w:rPr>
      </w:pPr>
      <w:r w:rsidRPr="004D071E">
        <w:rPr>
          <w:rFonts w:ascii="Times New Roman" w:hAnsi="Times New Roman"/>
          <w:sz w:val="28"/>
          <w:szCs w:val="24"/>
          <w:lang w:eastAsia="ru-RU"/>
        </w:rPr>
        <w:t>Исходные данные для оперативного прогнозирования масштабов возможного химического заражения АХОВ:</w:t>
      </w:r>
    </w:p>
    <w:p w:rsidR="002D1E45" w:rsidRPr="004D071E" w:rsidRDefault="002D1E45" w:rsidP="00852938">
      <w:pPr>
        <w:numPr>
          <w:ilvl w:val="0"/>
          <w:numId w:val="24"/>
        </w:numPr>
        <w:tabs>
          <w:tab w:val="clear" w:pos="1429"/>
          <w:tab w:val="left" w:pos="1134"/>
          <w:tab w:val="num" w:pos="1353"/>
        </w:tabs>
        <w:spacing w:after="0" w:line="240" w:lineRule="auto"/>
        <w:ind w:left="1134"/>
        <w:jc w:val="both"/>
        <w:rPr>
          <w:rFonts w:ascii="Times New Roman" w:hAnsi="Times New Roman"/>
          <w:sz w:val="28"/>
          <w:szCs w:val="28"/>
          <w:lang w:eastAsia="ru-RU"/>
        </w:rPr>
      </w:pPr>
      <w:r w:rsidRPr="004D071E">
        <w:rPr>
          <w:rFonts w:ascii="Times New Roman" w:hAnsi="Times New Roman"/>
          <w:sz w:val="28"/>
          <w:szCs w:val="28"/>
          <w:lang w:eastAsia="ru-RU"/>
        </w:rPr>
        <w:t>общее количество АХОВ на объекте и данные о размещении их запасов в ёмкостях и технологических трубопроводах;</w:t>
      </w:r>
    </w:p>
    <w:p w:rsidR="002D1E45" w:rsidRPr="004D071E" w:rsidRDefault="002D1E45" w:rsidP="00852938">
      <w:pPr>
        <w:numPr>
          <w:ilvl w:val="0"/>
          <w:numId w:val="24"/>
        </w:numPr>
        <w:tabs>
          <w:tab w:val="clear" w:pos="1429"/>
          <w:tab w:val="left" w:pos="1134"/>
          <w:tab w:val="num" w:pos="1353"/>
        </w:tabs>
        <w:spacing w:after="0" w:line="240" w:lineRule="auto"/>
        <w:ind w:left="1134"/>
        <w:jc w:val="both"/>
        <w:rPr>
          <w:rFonts w:ascii="Times New Roman" w:hAnsi="Times New Roman"/>
          <w:sz w:val="28"/>
          <w:szCs w:val="28"/>
          <w:lang w:eastAsia="ru-RU"/>
        </w:rPr>
      </w:pPr>
      <w:r w:rsidRPr="004D071E">
        <w:rPr>
          <w:rFonts w:ascii="Times New Roman" w:hAnsi="Times New Roman"/>
          <w:sz w:val="28"/>
          <w:szCs w:val="28"/>
          <w:lang w:eastAsia="ru-RU"/>
        </w:rPr>
        <w:t>количество АХОВ, выброшенных в атмосферу, и характер их разлива на подстилающей поверхности («свободно», «в поддон» или «в обваловку»);</w:t>
      </w:r>
    </w:p>
    <w:p w:rsidR="002D1E45" w:rsidRPr="004D071E" w:rsidRDefault="002D1E45" w:rsidP="00852938">
      <w:pPr>
        <w:numPr>
          <w:ilvl w:val="0"/>
          <w:numId w:val="24"/>
        </w:numPr>
        <w:tabs>
          <w:tab w:val="clear" w:pos="1429"/>
          <w:tab w:val="left" w:pos="1134"/>
          <w:tab w:val="num" w:pos="1353"/>
        </w:tabs>
        <w:spacing w:after="0" w:line="240" w:lineRule="auto"/>
        <w:ind w:left="1134"/>
        <w:jc w:val="both"/>
        <w:rPr>
          <w:rFonts w:ascii="Times New Roman" w:hAnsi="Times New Roman"/>
          <w:sz w:val="28"/>
          <w:szCs w:val="28"/>
          <w:lang w:eastAsia="ru-RU"/>
        </w:rPr>
      </w:pPr>
      <w:r w:rsidRPr="004D071E">
        <w:rPr>
          <w:rFonts w:ascii="Times New Roman" w:hAnsi="Times New Roman"/>
          <w:sz w:val="28"/>
          <w:szCs w:val="28"/>
          <w:lang w:eastAsia="ru-RU"/>
        </w:rPr>
        <w:t>высота поддона или обваловки складских ёмкостей;</w:t>
      </w:r>
    </w:p>
    <w:p w:rsidR="002D1E45" w:rsidRPr="004D071E" w:rsidRDefault="002D1E45" w:rsidP="00852938">
      <w:pPr>
        <w:numPr>
          <w:ilvl w:val="0"/>
          <w:numId w:val="24"/>
        </w:numPr>
        <w:tabs>
          <w:tab w:val="clear" w:pos="1429"/>
          <w:tab w:val="left" w:pos="1134"/>
          <w:tab w:val="num" w:pos="1353"/>
        </w:tabs>
        <w:spacing w:after="0" w:line="240" w:lineRule="auto"/>
        <w:ind w:left="1134"/>
        <w:jc w:val="both"/>
        <w:rPr>
          <w:rFonts w:ascii="Times New Roman" w:hAnsi="Times New Roman"/>
          <w:sz w:val="28"/>
          <w:szCs w:val="28"/>
          <w:lang w:eastAsia="ru-RU"/>
        </w:rPr>
      </w:pPr>
      <w:r w:rsidRPr="004D071E">
        <w:rPr>
          <w:rFonts w:ascii="Times New Roman" w:hAnsi="Times New Roman"/>
          <w:sz w:val="28"/>
          <w:szCs w:val="28"/>
          <w:lang w:eastAsia="ru-RU"/>
        </w:rPr>
        <w:t xml:space="preserve">метеорологические условия: температура воздуха, скорость ветра на высоте 10 м, степень вертикальной устойчивости атмосферы, определяемая в соответствии с таблицей </w:t>
      </w:r>
      <w:r w:rsidRPr="004D071E">
        <w:rPr>
          <w:rFonts w:ascii="Times New Roman" w:hAnsi="Times New Roman"/>
          <w:sz w:val="28"/>
          <w:szCs w:val="28"/>
          <w:lang w:eastAsia="ru-RU"/>
        </w:rPr>
        <w:fldChar w:fldCharType="begin"/>
      </w:r>
      <w:r w:rsidRPr="004D071E">
        <w:rPr>
          <w:rFonts w:ascii="Times New Roman" w:hAnsi="Times New Roman"/>
          <w:sz w:val="28"/>
          <w:szCs w:val="28"/>
          <w:lang w:eastAsia="ru-RU"/>
        </w:rPr>
        <w:instrText xml:space="preserve"> REF TBl_Zony3 \h </w:instrText>
      </w:r>
      <w:r w:rsidRPr="004D071E">
        <w:rPr>
          <w:rFonts w:ascii="Times New Roman" w:hAnsi="Times New Roman"/>
          <w:sz w:val="28"/>
          <w:szCs w:val="28"/>
          <w:lang w:eastAsia="ru-RU"/>
        </w:rPr>
      </w:r>
      <w:r w:rsidRPr="004D071E">
        <w:rPr>
          <w:rFonts w:ascii="Times New Roman" w:hAnsi="Times New Roman"/>
          <w:sz w:val="28"/>
          <w:szCs w:val="28"/>
          <w:lang w:eastAsia="ru-RU"/>
        </w:rPr>
        <w:fldChar w:fldCharType="separate"/>
      </w:r>
      <w:r>
        <w:rPr>
          <w:rFonts w:ascii="Times New Roman" w:hAnsi="Times New Roman"/>
          <w:noProof/>
          <w:sz w:val="28"/>
          <w:szCs w:val="28"/>
          <w:lang w:eastAsia="ru-RU"/>
        </w:rPr>
        <w:t>34</w:t>
      </w:r>
      <w:r w:rsidRPr="004D071E">
        <w:rPr>
          <w:rFonts w:ascii="Times New Roman" w:hAnsi="Times New Roman"/>
          <w:sz w:val="28"/>
          <w:szCs w:val="28"/>
          <w:lang w:eastAsia="ru-RU"/>
        </w:rPr>
        <w:fldChar w:fldCharType="end"/>
      </w:r>
      <w:r w:rsidRPr="004D071E">
        <w:rPr>
          <w:rFonts w:ascii="Times New Roman" w:hAnsi="Times New Roman"/>
          <w:sz w:val="28"/>
          <w:szCs w:val="28"/>
          <w:lang w:eastAsia="ru-RU"/>
        </w:rPr>
        <w:t>.</w:t>
      </w:r>
    </w:p>
    <w:p w:rsidR="002D1E45" w:rsidRPr="004D071E" w:rsidRDefault="002D1E45" w:rsidP="004D071E">
      <w:pPr>
        <w:spacing w:after="0" w:line="240" w:lineRule="auto"/>
        <w:ind w:left="360"/>
        <w:jc w:val="right"/>
        <w:rPr>
          <w:rFonts w:ascii="Times New Roman" w:hAnsi="Times New Roman"/>
          <w:sz w:val="28"/>
          <w:szCs w:val="28"/>
          <w:lang w:eastAsia="ru-RU"/>
        </w:rPr>
      </w:pPr>
      <w:r w:rsidRPr="004D071E">
        <w:rPr>
          <w:rFonts w:ascii="Times New Roman" w:hAnsi="Times New Roman"/>
          <w:sz w:val="28"/>
          <w:szCs w:val="28"/>
          <w:lang w:eastAsia="ru-RU"/>
        </w:rPr>
        <w:t xml:space="preserve">Таблица </w:t>
      </w:r>
      <w:r w:rsidRPr="004D071E">
        <w:rPr>
          <w:rFonts w:ascii="Times New Roman" w:hAnsi="Times New Roman"/>
          <w:sz w:val="28"/>
          <w:szCs w:val="28"/>
          <w:lang w:eastAsia="ru-RU"/>
        </w:rPr>
        <w:fldChar w:fldCharType="begin"/>
      </w:r>
      <w:r w:rsidRPr="004D071E">
        <w:rPr>
          <w:rFonts w:ascii="Times New Roman" w:hAnsi="Times New Roman"/>
          <w:sz w:val="28"/>
          <w:szCs w:val="28"/>
          <w:lang w:eastAsia="ru-RU"/>
        </w:rPr>
        <w:instrText xml:space="preserve"> SEQ Таблица \* ARABIC </w:instrText>
      </w:r>
      <w:r w:rsidRPr="004D071E">
        <w:rPr>
          <w:rFonts w:ascii="Times New Roman" w:hAnsi="Times New Roman"/>
          <w:sz w:val="28"/>
          <w:szCs w:val="28"/>
          <w:lang w:eastAsia="ru-RU"/>
        </w:rPr>
        <w:fldChar w:fldCharType="separate"/>
      </w:r>
      <w:r>
        <w:rPr>
          <w:rFonts w:ascii="Times New Roman" w:hAnsi="Times New Roman"/>
          <w:noProof/>
          <w:sz w:val="28"/>
          <w:szCs w:val="28"/>
          <w:lang w:eastAsia="ru-RU"/>
        </w:rPr>
        <w:t>33</w:t>
      </w:r>
      <w:r w:rsidRPr="004D071E">
        <w:rPr>
          <w:rFonts w:ascii="Times New Roman" w:hAnsi="Times New Roman"/>
          <w:sz w:val="28"/>
          <w:szCs w:val="28"/>
          <w:lang w:eastAsia="ru-RU"/>
        </w:rPr>
        <w:fldChar w:fldCharType="end"/>
      </w:r>
    </w:p>
    <w:p w:rsidR="002D1E45" w:rsidRPr="004D071E" w:rsidRDefault="002D1E45" w:rsidP="004D071E">
      <w:pPr>
        <w:spacing w:after="120" w:line="240" w:lineRule="auto"/>
        <w:ind w:left="360"/>
        <w:jc w:val="center"/>
        <w:rPr>
          <w:rFonts w:ascii="Times New Roman" w:hAnsi="Times New Roman"/>
          <w:sz w:val="28"/>
          <w:szCs w:val="28"/>
          <w:lang w:eastAsia="ru-RU"/>
        </w:rPr>
      </w:pPr>
      <w:r w:rsidRPr="004D071E">
        <w:rPr>
          <w:rFonts w:ascii="Times New Roman" w:hAnsi="Times New Roman"/>
          <w:sz w:val="28"/>
          <w:szCs w:val="28"/>
          <w:lang w:eastAsia="ru-RU"/>
        </w:rPr>
        <w:t>Исходные данные</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231"/>
        <w:gridCol w:w="3523"/>
      </w:tblGrid>
      <w:tr w:rsidR="002D1E45" w:rsidRPr="004D071E" w:rsidTr="001D0C26">
        <w:tc>
          <w:tcPr>
            <w:tcW w:w="5231" w:type="dxa"/>
          </w:tcPr>
          <w:p w:rsidR="002D1E45" w:rsidRPr="004D071E" w:rsidRDefault="002D1E45" w:rsidP="004D071E">
            <w:pPr>
              <w:spacing w:after="0" w:line="240" w:lineRule="auto"/>
              <w:ind w:left="360"/>
              <w:rPr>
                <w:rFonts w:ascii="Times New Roman" w:hAnsi="Times New Roman"/>
                <w:sz w:val="24"/>
                <w:szCs w:val="28"/>
                <w:lang w:eastAsia="ru-RU"/>
              </w:rPr>
            </w:pPr>
            <w:r w:rsidRPr="004D071E">
              <w:rPr>
                <w:rFonts w:ascii="Times New Roman" w:hAnsi="Times New Roman"/>
                <w:sz w:val="24"/>
                <w:szCs w:val="28"/>
                <w:lang w:eastAsia="ru-RU"/>
              </w:rPr>
              <w:t>Количество участвующего в аварии аммиака на ж/д транспорте</w:t>
            </w:r>
          </w:p>
        </w:tc>
        <w:tc>
          <w:tcPr>
            <w:tcW w:w="3523" w:type="dxa"/>
          </w:tcPr>
          <w:p w:rsidR="002D1E45" w:rsidRPr="004D071E" w:rsidRDefault="002D1E45" w:rsidP="004D071E">
            <w:pPr>
              <w:spacing w:after="0" w:line="240" w:lineRule="auto"/>
              <w:ind w:left="360"/>
              <w:rPr>
                <w:rFonts w:ascii="Times New Roman" w:hAnsi="Times New Roman"/>
                <w:sz w:val="24"/>
                <w:szCs w:val="28"/>
                <w:lang w:eastAsia="ru-RU"/>
              </w:rPr>
            </w:pPr>
            <w:r w:rsidRPr="004D071E">
              <w:rPr>
                <w:rFonts w:ascii="Times New Roman" w:hAnsi="Times New Roman"/>
                <w:sz w:val="24"/>
                <w:szCs w:val="28"/>
                <w:lang w:val="en-US" w:eastAsia="ru-RU"/>
              </w:rPr>
              <w:t>Q</w:t>
            </w:r>
            <w:r w:rsidRPr="004D071E">
              <w:rPr>
                <w:rFonts w:ascii="Times New Roman" w:hAnsi="Times New Roman"/>
                <w:sz w:val="24"/>
                <w:szCs w:val="28"/>
                <w:vertAlign w:val="subscript"/>
                <w:lang w:eastAsia="ru-RU"/>
              </w:rPr>
              <w:t>0</w:t>
            </w:r>
            <w:r w:rsidRPr="004D071E">
              <w:rPr>
                <w:rFonts w:ascii="Times New Roman" w:hAnsi="Times New Roman"/>
                <w:sz w:val="24"/>
                <w:szCs w:val="28"/>
                <w:lang w:eastAsia="ru-RU"/>
              </w:rPr>
              <w:t xml:space="preserve"> = 43,0 т (83 % от объёма цистерны)</w:t>
            </w:r>
          </w:p>
        </w:tc>
      </w:tr>
      <w:tr w:rsidR="002D1E45" w:rsidRPr="004D071E" w:rsidTr="001D0C26">
        <w:tc>
          <w:tcPr>
            <w:tcW w:w="5231" w:type="dxa"/>
          </w:tcPr>
          <w:p w:rsidR="002D1E45" w:rsidRPr="004D071E" w:rsidRDefault="002D1E45" w:rsidP="004D071E">
            <w:pPr>
              <w:spacing w:after="0" w:line="240" w:lineRule="auto"/>
              <w:ind w:left="360"/>
              <w:rPr>
                <w:rFonts w:ascii="Times New Roman" w:hAnsi="Times New Roman"/>
                <w:sz w:val="24"/>
                <w:szCs w:val="28"/>
                <w:lang w:eastAsia="ru-RU"/>
              </w:rPr>
            </w:pPr>
            <w:r w:rsidRPr="004D071E">
              <w:rPr>
                <w:rFonts w:ascii="Times New Roman" w:hAnsi="Times New Roman"/>
                <w:sz w:val="24"/>
                <w:szCs w:val="28"/>
                <w:lang w:eastAsia="ru-RU"/>
              </w:rPr>
              <w:t>Количество участвующего в аварии хлора на ж/д транспорте</w:t>
            </w:r>
          </w:p>
        </w:tc>
        <w:tc>
          <w:tcPr>
            <w:tcW w:w="3523" w:type="dxa"/>
          </w:tcPr>
          <w:p w:rsidR="002D1E45" w:rsidRPr="004D071E" w:rsidRDefault="002D1E45" w:rsidP="004D071E">
            <w:pPr>
              <w:spacing w:after="0" w:line="240" w:lineRule="auto"/>
              <w:ind w:left="360"/>
              <w:rPr>
                <w:rFonts w:ascii="Times New Roman" w:hAnsi="Times New Roman"/>
                <w:sz w:val="24"/>
                <w:szCs w:val="28"/>
                <w:lang w:eastAsia="ru-RU"/>
              </w:rPr>
            </w:pPr>
            <w:r w:rsidRPr="004D071E">
              <w:rPr>
                <w:rFonts w:ascii="Times New Roman" w:hAnsi="Times New Roman"/>
                <w:sz w:val="24"/>
                <w:szCs w:val="28"/>
                <w:lang w:val="en-US" w:eastAsia="ru-RU"/>
              </w:rPr>
              <w:t>Q</w:t>
            </w:r>
            <w:r w:rsidRPr="004D071E">
              <w:rPr>
                <w:rFonts w:ascii="Times New Roman" w:hAnsi="Times New Roman"/>
                <w:sz w:val="24"/>
                <w:szCs w:val="28"/>
                <w:vertAlign w:val="subscript"/>
                <w:lang w:eastAsia="ru-RU"/>
              </w:rPr>
              <w:t>0</w:t>
            </w:r>
            <w:r w:rsidRPr="004D071E">
              <w:rPr>
                <w:rFonts w:ascii="Times New Roman" w:hAnsi="Times New Roman"/>
                <w:sz w:val="24"/>
                <w:szCs w:val="28"/>
                <w:lang w:eastAsia="ru-RU"/>
              </w:rPr>
              <w:t xml:space="preserve"> = 57,5 т (80 % от объёма цистерны)</w:t>
            </w:r>
          </w:p>
        </w:tc>
      </w:tr>
      <w:tr w:rsidR="002D1E45" w:rsidRPr="004D071E" w:rsidTr="001D0C26">
        <w:tc>
          <w:tcPr>
            <w:tcW w:w="5231" w:type="dxa"/>
          </w:tcPr>
          <w:p w:rsidR="002D1E45" w:rsidRPr="004D071E" w:rsidRDefault="002D1E45" w:rsidP="004D071E">
            <w:pPr>
              <w:spacing w:after="0" w:line="240" w:lineRule="auto"/>
              <w:ind w:left="360"/>
              <w:rPr>
                <w:rFonts w:ascii="Times New Roman" w:hAnsi="Times New Roman"/>
                <w:sz w:val="24"/>
                <w:szCs w:val="28"/>
                <w:lang w:eastAsia="ru-RU"/>
              </w:rPr>
            </w:pPr>
            <w:r w:rsidRPr="004D071E">
              <w:rPr>
                <w:rFonts w:ascii="Times New Roman" w:hAnsi="Times New Roman"/>
                <w:sz w:val="24"/>
                <w:szCs w:val="28"/>
                <w:lang w:eastAsia="ru-RU"/>
              </w:rPr>
              <w:t>Плотность аммиака</w:t>
            </w:r>
          </w:p>
        </w:tc>
        <w:tc>
          <w:tcPr>
            <w:tcW w:w="3523" w:type="dxa"/>
          </w:tcPr>
          <w:p w:rsidR="002D1E45" w:rsidRPr="004D071E" w:rsidRDefault="002D1E45" w:rsidP="004D071E">
            <w:pPr>
              <w:spacing w:after="0" w:line="240" w:lineRule="auto"/>
              <w:ind w:left="360"/>
              <w:rPr>
                <w:rFonts w:ascii="Times New Roman" w:hAnsi="Times New Roman"/>
                <w:sz w:val="24"/>
                <w:szCs w:val="28"/>
                <w:lang w:eastAsia="ru-RU"/>
              </w:rPr>
            </w:pPr>
            <w:r w:rsidRPr="004D071E">
              <w:rPr>
                <w:rFonts w:ascii="Times New Roman" w:hAnsi="Times New Roman"/>
                <w:sz w:val="24"/>
                <w:szCs w:val="28"/>
                <w:lang w:val="en-US" w:eastAsia="ru-RU"/>
              </w:rPr>
              <w:t>d = 0,681 т/м</w:t>
            </w:r>
            <w:r w:rsidRPr="004D071E">
              <w:rPr>
                <w:rFonts w:ascii="Times New Roman" w:hAnsi="Times New Roman"/>
                <w:sz w:val="24"/>
                <w:szCs w:val="28"/>
                <w:vertAlign w:val="superscript"/>
                <w:lang w:eastAsia="ru-RU"/>
              </w:rPr>
              <w:t>3</w:t>
            </w:r>
          </w:p>
        </w:tc>
      </w:tr>
      <w:tr w:rsidR="002D1E45" w:rsidRPr="004D071E" w:rsidTr="001D0C26">
        <w:tc>
          <w:tcPr>
            <w:tcW w:w="5231" w:type="dxa"/>
          </w:tcPr>
          <w:p w:rsidR="002D1E45" w:rsidRPr="004D071E" w:rsidRDefault="002D1E45" w:rsidP="004D071E">
            <w:pPr>
              <w:spacing w:after="0" w:line="240" w:lineRule="auto"/>
              <w:ind w:left="360"/>
              <w:rPr>
                <w:rFonts w:ascii="Times New Roman" w:hAnsi="Times New Roman"/>
                <w:sz w:val="24"/>
                <w:szCs w:val="28"/>
                <w:lang w:eastAsia="ru-RU"/>
              </w:rPr>
            </w:pPr>
            <w:r w:rsidRPr="004D071E">
              <w:rPr>
                <w:rFonts w:ascii="Times New Roman" w:hAnsi="Times New Roman"/>
                <w:sz w:val="24"/>
                <w:szCs w:val="28"/>
                <w:lang w:eastAsia="ru-RU"/>
              </w:rPr>
              <w:t>Плотность хлора</w:t>
            </w:r>
          </w:p>
        </w:tc>
        <w:tc>
          <w:tcPr>
            <w:tcW w:w="3523" w:type="dxa"/>
          </w:tcPr>
          <w:p w:rsidR="002D1E45" w:rsidRPr="004D071E" w:rsidRDefault="002D1E45" w:rsidP="004D071E">
            <w:pPr>
              <w:spacing w:after="0" w:line="240" w:lineRule="auto"/>
              <w:ind w:left="360"/>
              <w:rPr>
                <w:rFonts w:ascii="Times New Roman" w:hAnsi="Times New Roman"/>
                <w:sz w:val="24"/>
                <w:szCs w:val="28"/>
                <w:lang w:val="en-US" w:eastAsia="ru-RU"/>
              </w:rPr>
            </w:pPr>
            <w:r w:rsidRPr="004D071E">
              <w:rPr>
                <w:rFonts w:ascii="Times New Roman" w:hAnsi="Times New Roman"/>
                <w:sz w:val="24"/>
                <w:szCs w:val="28"/>
                <w:lang w:val="en-US" w:eastAsia="ru-RU"/>
              </w:rPr>
              <w:t>d = 1,553 т/м</w:t>
            </w:r>
            <w:r w:rsidRPr="004D071E">
              <w:rPr>
                <w:rFonts w:ascii="Times New Roman" w:hAnsi="Times New Roman"/>
                <w:sz w:val="24"/>
                <w:szCs w:val="28"/>
                <w:vertAlign w:val="superscript"/>
                <w:lang w:eastAsia="ru-RU"/>
              </w:rPr>
              <w:t>3</w:t>
            </w:r>
          </w:p>
        </w:tc>
      </w:tr>
      <w:tr w:rsidR="002D1E45" w:rsidRPr="004D071E" w:rsidTr="001D0C26">
        <w:tc>
          <w:tcPr>
            <w:tcW w:w="5231" w:type="dxa"/>
          </w:tcPr>
          <w:p w:rsidR="002D1E45" w:rsidRPr="004D071E" w:rsidRDefault="002D1E45" w:rsidP="004D071E">
            <w:pPr>
              <w:spacing w:after="0" w:line="240" w:lineRule="auto"/>
              <w:ind w:left="360"/>
              <w:rPr>
                <w:rFonts w:ascii="Times New Roman" w:hAnsi="Times New Roman"/>
                <w:sz w:val="24"/>
                <w:szCs w:val="28"/>
                <w:lang w:eastAsia="ru-RU"/>
              </w:rPr>
            </w:pPr>
            <w:r w:rsidRPr="004D071E">
              <w:rPr>
                <w:rFonts w:ascii="Times New Roman" w:hAnsi="Times New Roman"/>
                <w:sz w:val="24"/>
                <w:szCs w:val="28"/>
                <w:lang w:eastAsia="ru-RU"/>
              </w:rPr>
              <w:t>Толщина слоя, участвующего в аварии вещества</w:t>
            </w:r>
          </w:p>
        </w:tc>
        <w:tc>
          <w:tcPr>
            <w:tcW w:w="3523" w:type="dxa"/>
          </w:tcPr>
          <w:p w:rsidR="002D1E45" w:rsidRPr="004D071E" w:rsidRDefault="002D1E45" w:rsidP="004D071E">
            <w:pPr>
              <w:spacing w:after="0" w:line="240" w:lineRule="auto"/>
              <w:ind w:left="360"/>
              <w:rPr>
                <w:rFonts w:ascii="Times New Roman" w:hAnsi="Times New Roman"/>
                <w:sz w:val="24"/>
                <w:szCs w:val="28"/>
                <w:lang w:eastAsia="ru-RU"/>
              </w:rPr>
            </w:pPr>
            <w:r w:rsidRPr="004D071E">
              <w:rPr>
                <w:rFonts w:ascii="Times New Roman" w:hAnsi="Times New Roman"/>
                <w:sz w:val="24"/>
                <w:szCs w:val="28"/>
                <w:lang w:val="en-US" w:eastAsia="ru-RU"/>
              </w:rPr>
              <w:t>h = 0,05 м</w:t>
            </w:r>
          </w:p>
        </w:tc>
      </w:tr>
    </w:tbl>
    <w:p w:rsidR="002D1E45" w:rsidRDefault="002D1E45" w:rsidP="004D071E">
      <w:pPr>
        <w:spacing w:after="0" w:line="240" w:lineRule="auto"/>
        <w:ind w:left="360"/>
        <w:jc w:val="right"/>
        <w:rPr>
          <w:rFonts w:ascii="Times New Roman" w:hAnsi="Times New Roman"/>
          <w:sz w:val="28"/>
          <w:szCs w:val="28"/>
          <w:lang w:eastAsia="ru-RU"/>
        </w:rPr>
      </w:pPr>
    </w:p>
    <w:p w:rsidR="002D1E45" w:rsidRPr="004D071E" w:rsidRDefault="002D1E45" w:rsidP="004D071E">
      <w:pPr>
        <w:spacing w:after="0" w:line="240" w:lineRule="auto"/>
        <w:ind w:left="360"/>
        <w:jc w:val="right"/>
        <w:rPr>
          <w:rFonts w:ascii="Times New Roman" w:hAnsi="Times New Roman"/>
          <w:sz w:val="28"/>
          <w:szCs w:val="28"/>
          <w:lang w:eastAsia="ru-RU"/>
        </w:rPr>
      </w:pPr>
      <w:r w:rsidRPr="004D071E">
        <w:rPr>
          <w:rFonts w:ascii="Times New Roman" w:hAnsi="Times New Roman"/>
          <w:sz w:val="28"/>
          <w:szCs w:val="28"/>
          <w:lang w:eastAsia="ru-RU"/>
        </w:rPr>
        <w:t xml:space="preserve">Таблица </w:t>
      </w:r>
      <w:bookmarkStart w:id="180" w:name="TBl_Zony3"/>
      <w:r w:rsidRPr="004D071E">
        <w:rPr>
          <w:rFonts w:ascii="Times New Roman" w:hAnsi="Times New Roman"/>
          <w:sz w:val="28"/>
          <w:szCs w:val="28"/>
          <w:lang w:eastAsia="ru-RU"/>
        </w:rPr>
        <w:fldChar w:fldCharType="begin"/>
      </w:r>
      <w:r w:rsidRPr="004D071E">
        <w:rPr>
          <w:rFonts w:ascii="Times New Roman" w:hAnsi="Times New Roman"/>
          <w:sz w:val="28"/>
          <w:szCs w:val="28"/>
          <w:lang w:eastAsia="ru-RU"/>
        </w:rPr>
        <w:instrText xml:space="preserve"> SEQ Таблица \* ARABIC </w:instrText>
      </w:r>
      <w:r w:rsidRPr="004D071E">
        <w:rPr>
          <w:rFonts w:ascii="Times New Roman" w:hAnsi="Times New Roman"/>
          <w:sz w:val="28"/>
          <w:szCs w:val="28"/>
          <w:lang w:eastAsia="ru-RU"/>
        </w:rPr>
        <w:fldChar w:fldCharType="separate"/>
      </w:r>
      <w:r>
        <w:rPr>
          <w:rFonts w:ascii="Times New Roman" w:hAnsi="Times New Roman"/>
          <w:noProof/>
          <w:sz w:val="28"/>
          <w:szCs w:val="28"/>
          <w:lang w:eastAsia="ru-RU"/>
        </w:rPr>
        <w:t>34</w:t>
      </w:r>
      <w:r w:rsidRPr="004D071E">
        <w:rPr>
          <w:rFonts w:ascii="Times New Roman" w:hAnsi="Times New Roman"/>
          <w:sz w:val="28"/>
          <w:szCs w:val="28"/>
          <w:lang w:eastAsia="ru-RU"/>
        </w:rPr>
        <w:fldChar w:fldCharType="end"/>
      </w:r>
      <w:bookmarkEnd w:id="180"/>
    </w:p>
    <w:p w:rsidR="002D1E45" w:rsidRPr="004D071E" w:rsidRDefault="002D1E45" w:rsidP="004D071E">
      <w:pPr>
        <w:spacing w:after="120" w:line="240" w:lineRule="auto"/>
        <w:ind w:left="360"/>
        <w:jc w:val="center"/>
        <w:rPr>
          <w:rFonts w:ascii="Times New Roman" w:hAnsi="Times New Roman"/>
          <w:sz w:val="28"/>
          <w:szCs w:val="28"/>
          <w:lang w:eastAsia="ru-RU"/>
        </w:rPr>
      </w:pPr>
      <w:r w:rsidRPr="004D071E">
        <w:rPr>
          <w:rFonts w:ascii="Times New Roman" w:hAnsi="Times New Roman"/>
          <w:sz w:val="28"/>
          <w:szCs w:val="28"/>
          <w:lang w:eastAsia="ru-RU"/>
        </w:rPr>
        <w:t>Степень вертикальной устойчивости атмосферы по прогнозу погоды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979"/>
        <w:gridCol w:w="1150"/>
        <w:gridCol w:w="1154"/>
        <w:gridCol w:w="1150"/>
        <w:gridCol w:w="1154"/>
        <w:gridCol w:w="1150"/>
        <w:gridCol w:w="1154"/>
        <w:gridCol w:w="1150"/>
        <w:gridCol w:w="1154"/>
      </w:tblGrid>
      <w:tr w:rsidR="002D1E45" w:rsidRPr="004D071E" w:rsidTr="004D071E">
        <w:trPr>
          <w:trHeight w:val="283"/>
          <w:jc w:val="center"/>
        </w:trPr>
        <w:tc>
          <w:tcPr>
            <w:tcW w:w="979" w:type="dxa"/>
            <w:vMerge w:val="restart"/>
            <w:tcMar>
              <w:top w:w="0" w:type="dxa"/>
              <w:left w:w="74" w:type="dxa"/>
              <w:bottom w:w="0" w:type="dxa"/>
              <w:right w:w="74" w:type="dxa"/>
            </w:tcMar>
            <w:vAlign w:val="center"/>
          </w:tcPr>
          <w:p w:rsidR="002D1E45" w:rsidRPr="004D071E" w:rsidRDefault="002D1E45" w:rsidP="004D071E">
            <w:pPr>
              <w:spacing w:after="0" w:line="240" w:lineRule="auto"/>
              <w:jc w:val="center"/>
              <w:rPr>
                <w:rFonts w:ascii="Times New Roman" w:hAnsi="Times New Roman"/>
                <w:sz w:val="20"/>
                <w:szCs w:val="20"/>
                <w:lang w:eastAsia="ru-RU"/>
              </w:rPr>
            </w:pPr>
            <w:r w:rsidRPr="004D071E">
              <w:rPr>
                <w:rFonts w:ascii="Times New Roman" w:hAnsi="Times New Roman"/>
                <w:sz w:val="20"/>
                <w:szCs w:val="20"/>
                <w:lang w:eastAsia="ru-RU"/>
              </w:rPr>
              <w:t>Скорость ветра, м/с</w:t>
            </w:r>
          </w:p>
        </w:tc>
        <w:tc>
          <w:tcPr>
            <w:tcW w:w="2304" w:type="dxa"/>
            <w:gridSpan w:val="2"/>
            <w:tcMar>
              <w:top w:w="0" w:type="dxa"/>
              <w:left w:w="74" w:type="dxa"/>
              <w:bottom w:w="0" w:type="dxa"/>
              <w:right w:w="74" w:type="dxa"/>
            </w:tcMar>
            <w:vAlign w:val="center"/>
          </w:tcPr>
          <w:p w:rsidR="002D1E45" w:rsidRPr="004D071E" w:rsidRDefault="002D1E45" w:rsidP="004D071E">
            <w:pPr>
              <w:spacing w:after="0" w:line="240" w:lineRule="auto"/>
              <w:jc w:val="center"/>
              <w:textAlignment w:val="baseline"/>
              <w:rPr>
                <w:rFonts w:ascii="Times New Roman" w:hAnsi="Times New Roman"/>
                <w:sz w:val="20"/>
                <w:szCs w:val="20"/>
                <w:lang w:eastAsia="ru-RU"/>
              </w:rPr>
            </w:pPr>
            <w:r w:rsidRPr="004D071E">
              <w:rPr>
                <w:rFonts w:ascii="Times New Roman" w:hAnsi="Times New Roman"/>
                <w:sz w:val="20"/>
                <w:szCs w:val="20"/>
                <w:lang w:eastAsia="ru-RU"/>
              </w:rPr>
              <w:t>Ночь</w:t>
            </w:r>
          </w:p>
        </w:tc>
        <w:tc>
          <w:tcPr>
            <w:tcW w:w="2304" w:type="dxa"/>
            <w:gridSpan w:val="2"/>
            <w:tcMar>
              <w:top w:w="0" w:type="dxa"/>
              <w:left w:w="74" w:type="dxa"/>
              <w:bottom w:w="0" w:type="dxa"/>
              <w:right w:w="74" w:type="dxa"/>
            </w:tcMar>
            <w:vAlign w:val="center"/>
          </w:tcPr>
          <w:p w:rsidR="002D1E45" w:rsidRPr="004D071E" w:rsidRDefault="002D1E45" w:rsidP="004D071E">
            <w:pPr>
              <w:spacing w:after="0" w:line="240" w:lineRule="auto"/>
              <w:jc w:val="center"/>
              <w:textAlignment w:val="baseline"/>
              <w:rPr>
                <w:rFonts w:ascii="Times New Roman" w:hAnsi="Times New Roman"/>
                <w:sz w:val="20"/>
                <w:szCs w:val="20"/>
                <w:lang w:eastAsia="ru-RU"/>
              </w:rPr>
            </w:pPr>
            <w:r w:rsidRPr="004D071E">
              <w:rPr>
                <w:rFonts w:ascii="Times New Roman" w:hAnsi="Times New Roman"/>
                <w:sz w:val="20"/>
                <w:szCs w:val="20"/>
                <w:lang w:eastAsia="ru-RU"/>
              </w:rPr>
              <w:t>Утро</w:t>
            </w:r>
          </w:p>
        </w:tc>
        <w:tc>
          <w:tcPr>
            <w:tcW w:w="2304" w:type="dxa"/>
            <w:gridSpan w:val="2"/>
            <w:tcMar>
              <w:top w:w="0" w:type="dxa"/>
              <w:left w:w="74" w:type="dxa"/>
              <w:bottom w:w="0" w:type="dxa"/>
              <w:right w:w="74" w:type="dxa"/>
            </w:tcMar>
            <w:vAlign w:val="center"/>
          </w:tcPr>
          <w:p w:rsidR="002D1E45" w:rsidRPr="004D071E" w:rsidRDefault="002D1E45" w:rsidP="004D071E">
            <w:pPr>
              <w:spacing w:after="0" w:line="240" w:lineRule="auto"/>
              <w:jc w:val="center"/>
              <w:textAlignment w:val="baseline"/>
              <w:rPr>
                <w:rFonts w:ascii="Times New Roman" w:hAnsi="Times New Roman"/>
                <w:sz w:val="20"/>
                <w:szCs w:val="20"/>
                <w:lang w:eastAsia="ru-RU"/>
              </w:rPr>
            </w:pPr>
            <w:r w:rsidRPr="004D071E">
              <w:rPr>
                <w:rFonts w:ascii="Times New Roman" w:hAnsi="Times New Roman"/>
                <w:sz w:val="20"/>
                <w:szCs w:val="20"/>
                <w:lang w:eastAsia="ru-RU"/>
              </w:rPr>
              <w:t>День</w:t>
            </w:r>
          </w:p>
        </w:tc>
        <w:tc>
          <w:tcPr>
            <w:tcW w:w="2304" w:type="dxa"/>
            <w:gridSpan w:val="2"/>
            <w:tcMar>
              <w:top w:w="0" w:type="dxa"/>
              <w:left w:w="74" w:type="dxa"/>
              <w:bottom w:w="0" w:type="dxa"/>
              <w:right w:w="74" w:type="dxa"/>
            </w:tcMar>
            <w:vAlign w:val="center"/>
          </w:tcPr>
          <w:p w:rsidR="002D1E45" w:rsidRPr="004D071E" w:rsidRDefault="002D1E45" w:rsidP="004D071E">
            <w:pPr>
              <w:spacing w:after="0" w:line="240" w:lineRule="auto"/>
              <w:jc w:val="center"/>
              <w:textAlignment w:val="baseline"/>
              <w:rPr>
                <w:rFonts w:ascii="Times New Roman" w:hAnsi="Times New Roman"/>
                <w:sz w:val="20"/>
                <w:szCs w:val="20"/>
                <w:lang w:eastAsia="ru-RU"/>
              </w:rPr>
            </w:pPr>
            <w:r w:rsidRPr="004D071E">
              <w:rPr>
                <w:rFonts w:ascii="Times New Roman" w:hAnsi="Times New Roman"/>
                <w:sz w:val="20"/>
                <w:szCs w:val="20"/>
                <w:lang w:eastAsia="ru-RU"/>
              </w:rPr>
              <w:t>Вечер</w:t>
            </w:r>
          </w:p>
        </w:tc>
      </w:tr>
      <w:tr w:rsidR="002D1E45" w:rsidRPr="004D071E" w:rsidTr="004D071E">
        <w:trPr>
          <w:trHeight w:val="283"/>
          <w:jc w:val="center"/>
        </w:trPr>
        <w:tc>
          <w:tcPr>
            <w:tcW w:w="979" w:type="dxa"/>
            <w:vMerge/>
            <w:tcMar>
              <w:top w:w="0" w:type="dxa"/>
              <w:left w:w="74" w:type="dxa"/>
              <w:bottom w:w="0" w:type="dxa"/>
              <w:right w:w="74" w:type="dxa"/>
            </w:tcMar>
            <w:vAlign w:val="center"/>
          </w:tcPr>
          <w:p w:rsidR="002D1E45" w:rsidRPr="004D071E" w:rsidRDefault="002D1E45" w:rsidP="004D071E">
            <w:pPr>
              <w:spacing w:after="0" w:line="240" w:lineRule="auto"/>
              <w:jc w:val="center"/>
              <w:rPr>
                <w:rFonts w:ascii="Times New Roman" w:hAnsi="Times New Roman"/>
                <w:sz w:val="20"/>
                <w:szCs w:val="20"/>
                <w:lang w:eastAsia="ru-RU"/>
              </w:rPr>
            </w:pPr>
          </w:p>
        </w:tc>
        <w:tc>
          <w:tcPr>
            <w:tcW w:w="1150" w:type="dxa"/>
            <w:tcMar>
              <w:top w:w="0" w:type="dxa"/>
              <w:left w:w="74" w:type="dxa"/>
              <w:bottom w:w="0" w:type="dxa"/>
              <w:right w:w="74" w:type="dxa"/>
            </w:tcMar>
            <w:vAlign w:val="center"/>
          </w:tcPr>
          <w:p w:rsidR="002D1E45" w:rsidRPr="004D071E" w:rsidRDefault="002D1E45" w:rsidP="004D071E">
            <w:pPr>
              <w:spacing w:after="0" w:line="240" w:lineRule="auto"/>
              <w:jc w:val="center"/>
              <w:textAlignment w:val="baseline"/>
              <w:rPr>
                <w:rFonts w:ascii="Times New Roman" w:hAnsi="Times New Roman"/>
                <w:sz w:val="20"/>
                <w:szCs w:val="20"/>
                <w:lang w:eastAsia="ru-RU"/>
              </w:rPr>
            </w:pPr>
            <w:r w:rsidRPr="004D071E">
              <w:rPr>
                <w:rFonts w:ascii="Times New Roman" w:hAnsi="Times New Roman"/>
                <w:sz w:val="20"/>
                <w:szCs w:val="20"/>
                <w:lang w:eastAsia="ru-RU"/>
              </w:rPr>
              <w:t>ясно, переменная облачность</w:t>
            </w:r>
          </w:p>
        </w:tc>
        <w:tc>
          <w:tcPr>
            <w:tcW w:w="1154" w:type="dxa"/>
            <w:tcMar>
              <w:top w:w="0" w:type="dxa"/>
              <w:left w:w="74" w:type="dxa"/>
              <w:bottom w:w="0" w:type="dxa"/>
              <w:right w:w="74" w:type="dxa"/>
            </w:tcMar>
            <w:vAlign w:val="center"/>
          </w:tcPr>
          <w:p w:rsidR="002D1E45" w:rsidRPr="004D071E" w:rsidRDefault="002D1E45" w:rsidP="004D071E">
            <w:pPr>
              <w:spacing w:after="0" w:line="240" w:lineRule="auto"/>
              <w:jc w:val="center"/>
              <w:textAlignment w:val="baseline"/>
              <w:rPr>
                <w:rFonts w:ascii="Times New Roman" w:hAnsi="Times New Roman"/>
                <w:sz w:val="20"/>
                <w:szCs w:val="20"/>
                <w:lang w:eastAsia="ru-RU"/>
              </w:rPr>
            </w:pPr>
            <w:r w:rsidRPr="004D071E">
              <w:rPr>
                <w:rFonts w:ascii="Times New Roman" w:hAnsi="Times New Roman"/>
                <w:sz w:val="20"/>
                <w:szCs w:val="20"/>
                <w:lang w:eastAsia="ru-RU"/>
              </w:rPr>
              <w:t>сплошная облачность</w:t>
            </w:r>
          </w:p>
        </w:tc>
        <w:tc>
          <w:tcPr>
            <w:tcW w:w="1150" w:type="dxa"/>
            <w:tcMar>
              <w:top w:w="0" w:type="dxa"/>
              <w:left w:w="74" w:type="dxa"/>
              <w:bottom w:w="0" w:type="dxa"/>
              <w:right w:w="74" w:type="dxa"/>
            </w:tcMar>
            <w:vAlign w:val="center"/>
          </w:tcPr>
          <w:p w:rsidR="002D1E45" w:rsidRPr="004D071E" w:rsidRDefault="002D1E45" w:rsidP="004D071E">
            <w:pPr>
              <w:spacing w:after="0" w:line="240" w:lineRule="auto"/>
              <w:jc w:val="center"/>
              <w:textAlignment w:val="baseline"/>
              <w:rPr>
                <w:rFonts w:ascii="Times New Roman" w:hAnsi="Times New Roman"/>
                <w:sz w:val="20"/>
                <w:szCs w:val="20"/>
                <w:lang w:eastAsia="ru-RU"/>
              </w:rPr>
            </w:pPr>
            <w:r w:rsidRPr="004D071E">
              <w:rPr>
                <w:rFonts w:ascii="Times New Roman" w:hAnsi="Times New Roman"/>
                <w:sz w:val="20"/>
                <w:szCs w:val="20"/>
                <w:lang w:eastAsia="ru-RU"/>
              </w:rPr>
              <w:t>ясно, переменная облачность</w:t>
            </w:r>
          </w:p>
        </w:tc>
        <w:tc>
          <w:tcPr>
            <w:tcW w:w="1154" w:type="dxa"/>
            <w:tcMar>
              <w:top w:w="0" w:type="dxa"/>
              <w:left w:w="74" w:type="dxa"/>
              <w:bottom w:w="0" w:type="dxa"/>
              <w:right w:w="74" w:type="dxa"/>
            </w:tcMar>
            <w:vAlign w:val="center"/>
          </w:tcPr>
          <w:p w:rsidR="002D1E45" w:rsidRPr="004D071E" w:rsidRDefault="002D1E45" w:rsidP="004D071E">
            <w:pPr>
              <w:spacing w:after="0" w:line="240" w:lineRule="auto"/>
              <w:jc w:val="center"/>
              <w:textAlignment w:val="baseline"/>
              <w:rPr>
                <w:rFonts w:ascii="Times New Roman" w:hAnsi="Times New Roman"/>
                <w:sz w:val="20"/>
                <w:szCs w:val="20"/>
                <w:lang w:eastAsia="ru-RU"/>
              </w:rPr>
            </w:pPr>
            <w:r w:rsidRPr="004D071E">
              <w:rPr>
                <w:rFonts w:ascii="Times New Roman" w:hAnsi="Times New Roman"/>
                <w:sz w:val="20"/>
                <w:szCs w:val="20"/>
                <w:lang w:eastAsia="ru-RU"/>
              </w:rPr>
              <w:t>сплошная облачность</w:t>
            </w:r>
          </w:p>
        </w:tc>
        <w:tc>
          <w:tcPr>
            <w:tcW w:w="1150" w:type="dxa"/>
            <w:tcMar>
              <w:top w:w="0" w:type="dxa"/>
              <w:left w:w="74" w:type="dxa"/>
              <w:bottom w:w="0" w:type="dxa"/>
              <w:right w:w="74" w:type="dxa"/>
            </w:tcMar>
            <w:vAlign w:val="center"/>
          </w:tcPr>
          <w:p w:rsidR="002D1E45" w:rsidRPr="004D071E" w:rsidRDefault="002D1E45" w:rsidP="004D071E">
            <w:pPr>
              <w:spacing w:after="0" w:line="240" w:lineRule="auto"/>
              <w:jc w:val="center"/>
              <w:textAlignment w:val="baseline"/>
              <w:rPr>
                <w:rFonts w:ascii="Times New Roman" w:hAnsi="Times New Roman"/>
                <w:sz w:val="20"/>
                <w:szCs w:val="20"/>
                <w:lang w:eastAsia="ru-RU"/>
              </w:rPr>
            </w:pPr>
            <w:r w:rsidRPr="004D071E">
              <w:rPr>
                <w:rFonts w:ascii="Times New Roman" w:hAnsi="Times New Roman"/>
                <w:sz w:val="20"/>
                <w:szCs w:val="20"/>
                <w:lang w:eastAsia="ru-RU"/>
              </w:rPr>
              <w:t>ясно, переменная облачность</w:t>
            </w:r>
          </w:p>
        </w:tc>
        <w:tc>
          <w:tcPr>
            <w:tcW w:w="1154" w:type="dxa"/>
            <w:tcMar>
              <w:top w:w="0" w:type="dxa"/>
              <w:left w:w="74" w:type="dxa"/>
              <w:bottom w:w="0" w:type="dxa"/>
              <w:right w:w="74" w:type="dxa"/>
            </w:tcMar>
            <w:vAlign w:val="center"/>
          </w:tcPr>
          <w:p w:rsidR="002D1E45" w:rsidRPr="004D071E" w:rsidRDefault="002D1E45" w:rsidP="004D071E">
            <w:pPr>
              <w:spacing w:after="0" w:line="240" w:lineRule="auto"/>
              <w:jc w:val="center"/>
              <w:textAlignment w:val="baseline"/>
              <w:rPr>
                <w:rFonts w:ascii="Times New Roman" w:hAnsi="Times New Roman"/>
                <w:sz w:val="20"/>
                <w:szCs w:val="20"/>
                <w:lang w:eastAsia="ru-RU"/>
              </w:rPr>
            </w:pPr>
            <w:r w:rsidRPr="004D071E">
              <w:rPr>
                <w:rFonts w:ascii="Times New Roman" w:hAnsi="Times New Roman"/>
                <w:sz w:val="20"/>
                <w:szCs w:val="20"/>
                <w:lang w:eastAsia="ru-RU"/>
              </w:rPr>
              <w:t>сплошная облачность</w:t>
            </w:r>
          </w:p>
        </w:tc>
        <w:tc>
          <w:tcPr>
            <w:tcW w:w="1150" w:type="dxa"/>
            <w:tcMar>
              <w:top w:w="0" w:type="dxa"/>
              <w:left w:w="74" w:type="dxa"/>
              <w:bottom w:w="0" w:type="dxa"/>
              <w:right w:w="74" w:type="dxa"/>
            </w:tcMar>
            <w:vAlign w:val="center"/>
          </w:tcPr>
          <w:p w:rsidR="002D1E45" w:rsidRPr="004D071E" w:rsidRDefault="002D1E45" w:rsidP="004D071E">
            <w:pPr>
              <w:spacing w:after="0" w:line="240" w:lineRule="auto"/>
              <w:jc w:val="center"/>
              <w:textAlignment w:val="baseline"/>
              <w:rPr>
                <w:rFonts w:ascii="Times New Roman" w:hAnsi="Times New Roman"/>
                <w:sz w:val="20"/>
                <w:szCs w:val="20"/>
                <w:lang w:eastAsia="ru-RU"/>
              </w:rPr>
            </w:pPr>
            <w:r w:rsidRPr="004D071E">
              <w:rPr>
                <w:rFonts w:ascii="Times New Roman" w:hAnsi="Times New Roman"/>
                <w:sz w:val="20"/>
                <w:szCs w:val="20"/>
                <w:lang w:eastAsia="ru-RU"/>
              </w:rPr>
              <w:t>ясно, переменная облачность</w:t>
            </w:r>
          </w:p>
        </w:tc>
        <w:tc>
          <w:tcPr>
            <w:tcW w:w="1154" w:type="dxa"/>
            <w:tcMar>
              <w:top w:w="0" w:type="dxa"/>
              <w:left w:w="74" w:type="dxa"/>
              <w:bottom w:w="0" w:type="dxa"/>
              <w:right w:w="74" w:type="dxa"/>
            </w:tcMar>
            <w:vAlign w:val="center"/>
          </w:tcPr>
          <w:p w:rsidR="002D1E45" w:rsidRPr="004D071E" w:rsidRDefault="002D1E45" w:rsidP="004D071E">
            <w:pPr>
              <w:spacing w:after="0" w:line="240" w:lineRule="auto"/>
              <w:jc w:val="center"/>
              <w:textAlignment w:val="baseline"/>
              <w:rPr>
                <w:rFonts w:ascii="Times New Roman" w:hAnsi="Times New Roman"/>
                <w:sz w:val="20"/>
                <w:szCs w:val="20"/>
                <w:lang w:eastAsia="ru-RU"/>
              </w:rPr>
            </w:pPr>
            <w:r w:rsidRPr="004D071E">
              <w:rPr>
                <w:rFonts w:ascii="Times New Roman" w:hAnsi="Times New Roman"/>
                <w:sz w:val="20"/>
                <w:szCs w:val="20"/>
                <w:lang w:eastAsia="ru-RU"/>
              </w:rPr>
              <w:t>сплошная облачность</w:t>
            </w:r>
          </w:p>
        </w:tc>
      </w:tr>
      <w:tr w:rsidR="002D1E45" w:rsidRPr="004D071E" w:rsidTr="004D071E">
        <w:trPr>
          <w:trHeight w:val="283"/>
          <w:jc w:val="center"/>
        </w:trPr>
        <w:tc>
          <w:tcPr>
            <w:tcW w:w="979" w:type="dxa"/>
            <w:tcMar>
              <w:top w:w="0" w:type="dxa"/>
              <w:left w:w="74" w:type="dxa"/>
              <w:bottom w:w="0" w:type="dxa"/>
              <w:right w:w="74" w:type="dxa"/>
            </w:tcMar>
            <w:vAlign w:val="center"/>
          </w:tcPr>
          <w:p w:rsidR="002D1E45" w:rsidRPr="004D071E" w:rsidRDefault="002D1E45" w:rsidP="004D071E">
            <w:pPr>
              <w:spacing w:after="0" w:line="240" w:lineRule="auto"/>
              <w:jc w:val="center"/>
              <w:textAlignment w:val="baseline"/>
              <w:rPr>
                <w:rFonts w:ascii="Times New Roman" w:hAnsi="Times New Roman"/>
                <w:sz w:val="20"/>
                <w:szCs w:val="20"/>
                <w:lang w:eastAsia="ru-RU"/>
              </w:rPr>
            </w:pPr>
            <w:r w:rsidRPr="004D071E">
              <w:rPr>
                <w:rFonts w:ascii="Times New Roman" w:hAnsi="Times New Roman"/>
                <w:sz w:val="20"/>
                <w:szCs w:val="20"/>
                <w:lang w:val="en-US" w:eastAsia="ru-RU"/>
              </w:rPr>
              <w:t>&lt;</w:t>
            </w:r>
            <w:r w:rsidRPr="004D071E">
              <w:rPr>
                <w:rFonts w:ascii="Times New Roman" w:hAnsi="Times New Roman"/>
                <w:sz w:val="20"/>
                <w:szCs w:val="20"/>
                <w:lang w:eastAsia="ru-RU"/>
              </w:rPr>
              <w:t>2</w:t>
            </w:r>
          </w:p>
        </w:tc>
        <w:tc>
          <w:tcPr>
            <w:tcW w:w="1150" w:type="dxa"/>
            <w:tcMar>
              <w:top w:w="0" w:type="dxa"/>
              <w:left w:w="74" w:type="dxa"/>
              <w:bottom w:w="0" w:type="dxa"/>
              <w:right w:w="74" w:type="dxa"/>
            </w:tcMar>
            <w:vAlign w:val="center"/>
          </w:tcPr>
          <w:p w:rsidR="002D1E45" w:rsidRPr="004D071E" w:rsidRDefault="002D1E45" w:rsidP="004D071E">
            <w:pPr>
              <w:spacing w:after="0" w:line="240" w:lineRule="auto"/>
              <w:jc w:val="center"/>
              <w:textAlignment w:val="baseline"/>
              <w:rPr>
                <w:rFonts w:ascii="Times New Roman" w:hAnsi="Times New Roman"/>
                <w:sz w:val="20"/>
                <w:szCs w:val="20"/>
                <w:lang w:eastAsia="ru-RU"/>
              </w:rPr>
            </w:pPr>
            <w:r w:rsidRPr="004D071E">
              <w:rPr>
                <w:rFonts w:ascii="Times New Roman" w:hAnsi="Times New Roman"/>
                <w:sz w:val="20"/>
                <w:szCs w:val="20"/>
                <w:lang w:eastAsia="ru-RU"/>
              </w:rPr>
              <w:t>ин</w:t>
            </w:r>
          </w:p>
        </w:tc>
        <w:tc>
          <w:tcPr>
            <w:tcW w:w="1154" w:type="dxa"/>
            <w:tcMar>
              <w:top w:w="0" w:type="dxa"/>
              <w:left w:w="74" w:type="dxa"/>
              <w:bottom w:w="0" w:type="dxa"/>
              <w:right w:w="74" w:type="dxa"/>
            </w:tcMar>
            <w:vAlign w:val="center"/>
          </w:tcPr>
          <w:p w:rsidR="002D1E45" w:rsidRPr="004D071E" w:rsidRDefault="002D1E45" w:rsidP="004D071E">
            <w:pPr>
              <w:spacing w:after="0" w:line="240" w:lineRule="auto"/>
              <w:jc w:val="center"/>
              <w:textAlignment w:val="baseline"/>
              <w:rPr>
                <w:rFonts w:ascii="Times New Roman" w:hAnsi="Times New Roman"/>
                <w:sz w:val="20"/>
                <w:szCs w:val="20"/>
                <w:lang w:eastAsia="ru-RU"/>
              </w:rPr>
            </w:pPr>
            <w:r w:rsidRPr="004D071E">
              <w:rPr>
                <w:rFonts w:ascii="Times New Roman" w:hAnsi="Times New Roman"/>
                <w:sz w:val="20"/>
                <w:szCs w:val="20"/>
                <w:lang w:eastAsia="ru-RU"/>
              </w:rPr>
              <w:t>из</w:t>
            </w:r>
          </w:p>
        </w:tc>
        <w:tc>
          <w:tcPr>
            <w:tcW w:w="1150" w:type="dxa"/>
            <w:tcMar>
              <w:top w:w="0" w:type="dxa"/>
              <w:left w:w="74" w:type="dxa"/>
              <w:bottom w:w="0" w:type="dxa"/>
              <w:right w:w="74" w:type="dxa"/>
            </w:tcMar>
            <w:vAlign w:val="center"/>
          </w:tcPr>
          <w:p w:rsidR="002D1E45" w:rsidRPr="004D071E" w:rsidRDefault="002D1E45" w:rsidP="004D071E">
            <w:pPr>
              <w:spacing w:after="0" w:line="240" w:lineRule="auto"/>
              <w:jc w:val="center"/>
              <w:textAlignment w:val="baseline"/>
              <w:rPr>
                <w:rFonts w:ascii="Times New Roman" w:hAnsi="Times New Roman"/>
                <w:sz w:val="20"/>
                <w:szCs w:val="20"/>
                <w:lang w:eastAsia="ru-RU"/>
              </w:rPr>
            </w:pPr>
            <w:r w:rsidRPr="004D071E">
              <w:rPr>
                <w:rFonts w:ascii="Times New Roman" w:hAnsi="Times New Roman"/>
                <w:sz w:val="20"/>
                <w:szCs w:val="20"/>
                <w:lang w:eastAsia="ru-RU"/>
              </w:rPr>
              <w:t>из (ин)</w:t>
            </w:r>
          </w:p>
        </w:tc>
        <w:tc>
          <w:tcPr>
            <w:tcW w:w="1154" w:type="dxa"/>
            <w:tcMar>
              <w:top w:w="0" w:type="dxa"/>
              <w:left w:w="74" w:type="dxa"/>
              <w:bottom w:w="0" w:type="dxa"/>
              <w:right w:w="74" w:type="dxa"/>
            </w:tcMar>
            <w:vAlign w:val="center"/>
          </w:tcPr>
          <w:p w:rsidR="002D1E45" w:rsidRPr="004D071E" w:rsidRDefault="002D1E45" w:rsidP="004D071E">
            <w:pPr>
              <w:spacing w:after="0" w:line="240" w:lineRule="auto"/>
              <w:jc w:val="center"/>
              <w:textAlignment w:val="baseline"/>
              <w:rPr>
                <w:rFonts w:ascii="Times New Roman" w:hAnsi="Times New Roman"/>
                <w:sz w:val="20"/>
                <w:szCs w:val="20"/>
                <w:lang w:eastAsia="ru-RU"/>
              </w:rPr>
            </w:pPr>
            <w:r w:rsidRPr="004D071E">
              <w:rPr>
                <w:rFonts w:ascii="Times New Roman" w:hAnsi="Times New Roman"/>
                <w:sz w:val="20"/>
                <w:szCs w:val="20"/>
                <w:lang w:eastAsia="ru-RU"/>
              </w:rPr>
              <w:t>из</w:t>
            </w:r>
          </w:p>
        </w:tc>
        <w:tc>
          <w:tcPr>
            <w:tcW w:w="1150" w:type="dxa"/>
            <w:tcMar>
              <w:top w:w="0" w:type="dxa"/>
              <w:left w:w="74" w:type="dxa"/>
              <w:bottom w:w="0" w:type="dxa"/>
              <w:right w:w="74" w:type="dxa"/>
            </w:tcMar>
            <w:vAlign w:val="center"/>
          </w:tcPr>
          <w:p w:rsidR="002D1E45" w:rsidRPr="004D071E" w:rsidRDefault="002D1E45" w:rsidP="004D071E">
            <w:pPr>
              <w:spacing w:after="0" w:line="240" w:lineRule="auto"/>
              <w:jc w:val="center"/>
              <w:textAlignment w:val="baseline"/>
              <w:rPr>
                <w:rFonts w:ascii="Times New Roman" w:hAnsi="Times New Roman"/>
                <w:sz w:val="20"/>
                <w:szCs w:val="20"/>
                <w:lang w:eastAsia="ru-RU"/>
              </w:rPr>
            </w:pPr>
            <w:r w:rsidRPr="004D071E">
              <w:rPr>
                <w:rFonts w:ascii="Times New Roman" w:hAnsi="Times New Roman"/>
                <w:sz w:val="20"/>
                <w:szCs w:val="20"/>
                <w:lang w:eastAsia="ru-RU"/>
              </w:rPr>
              <w:t>к (из)</w:t>
            </w:r>
          </w:p>
        </w:tc>
        <w:tc>
          <w:tcPr>
            <w:tcW w:w="1154" w:type="dxa"/>
            <w:tcMar>
              <w:top w:w="0" w:type="dxa"/>
              <w:left w:w="74" w:type="dxa"/>
              <w:bottom w:w="0" w:type="dxa"/>
              <w:right w:w="74" w:type="dxa"/>
            </w:tcMar>
            <w:vAlign w:val="center"/>
          </w:tcPr>
          <w:p w:rsidR="002D1E45" w:rsidRPr="004D071E" w:rsidRDefault="002D1E45" w:rsidP="004D071E">
            <w:pPr>
              <w:spacing w:after="0" w:line="240" w:lineRule="auto"/>
              <w:jc w:val="center"/>
              <w:textAlignment w:val="baseline"/>
              <w:rPr>
                <w:rFonts w:ascii="Times New Roman" w:hAnsi="Times New Roman"/>
                <w:sz w:val="20"/>
                <w:szCs w:val="20"/>
                <w:lang w:eastAsia="ru-RU"/>
              </w:rPr>
            </w:pPr>
            <w:r w:rsidRPr="004D071E">
              <w:rPr>
                <w:rFonts w:ascii="Times New Roman" w:hAnsi="Times New Roman"/>
                <w:sz w:val="20"/>
                <w:szCs w:val="20"/>
                <w:lang w:eastAsia="ru-RU"/>
              </w:rPr>
              <w:t>из</w:t>
            </w:r>
          </w:p>
        </w:tc>
        <w:tc>
          <w:tcPr>
            <w:tcW w:w="1150" w:type="dxa"/>
            <w:tcMar>
              <w:top w:w="0" w:type="dxa"/>
              <w:left w:w="74" w:type="dxa"/>
              <w:bottom w:w="0" w:type="dxa"/>
              <w:right w:w="74" w:type="dxa"/>
            </w:tcMar>
            <w:vAlign w:val="center"/>
          </w:tcPr>
          <w:p w:rsidR="002D1E45" w:rsidRPr="004D071E" w:rsidRDefault="002D1E45" w:rsidP="004D071E">
            <w:pPr>
              <w:spacing w:after="0" w:line="240" w:lineRule="auto"/>
              <w:jc w:val="center"/>
              <w:textAlignment w:val="baseline"/>
              <w:rPr>
                <w:rFonts w:ascii="Times New Roman" w:hAnsi="Times New Roman"/>
                <w:sz w:val="20"/>
                <w:szCs w:val="20"/>
                <w:lang w:eastAsia="ru-RU"/>
              </w:rPr>
            </w:pPr>
            <w:r w:rsidRPr="004D071E">
              <w:rPr>
                <w:rFonts w:ascii="Times New Roman" w:hAnsi="Times New Roman"/>
                <w:sz w:val="20"/>
                <w:szCs w:val="20"/>
                <w:lang w:eastAsia="ru-RU"/>
              </w:rPr>
              <w:t>ин</w:t>
            </w:r>
          </w:p>
        </w:tc>
        <w:tc>
          <w:tcPr>
            <w:tcW w:w="1154" w:type="dxa"/>
            <w:tcMar>
              <w:top w:w="0" w:type="dxa"/>
              <w:left w:w="74" w:type="dxa"/>
              <w:bottom w:w="0" w:type="dxa"/>
              <w:right w:w="74" w:type="dxa"/>
            </w:tcMar>
            <w:vAlign w:val="center"/>
          </w:tcPr>
          <w:p w:rsidR="002D1E45" w:rsidRPr="004D071E" w:rsidRDefault="002D1E45" w:rsidP="004D071E">
            <w:pPr>
              <w:spacing w:after="0" w:line="240" w:lineRule="auto"/>
              <w:jc w:val="center"/>
              <w:textAlignment w:val="baseline"/>
              <w:rPr>
                <w:rFonts w:ascii="Times New Roman" w:hAnsi="Times New Roman"/>
                <w:sz w:val="20"/>
                <w:szCs w:val="20"/>
                <w:lang w:eastAsia="ru-RU"/>
              </w:rPr>
            </w:pPr>
            <w:r w:rsidRPr="004D071E">
              <w:rPr>
                <w:rFonts w:ascii="Times New Roman" w:hAnsi="Times New Roman"/>
                <w:sz w:val="20"/>
                <w:szCs w:val="20"/>
                <w:lang w:eastAsia="ru-RU"/>
              </w:rPr>
              <w:t>из</w:t>
            </w:r>
          </w:p>
        </w:tc>
      </w:tr>
      <w:tr w:rsidR="002D1E45" w:rsidRPr="004D071E" w:rsidTr="004D071E">
        <w:trPr>
          <w:trHeight w:val="283"/>
          <w:jc w:val="center"/>
        </w:trPr>
        <w:tc>
          <w:tcPr>
            <w:tcW w:w="979" w:type="dxa"/>
            <w:tcMar>
              <w:top w:w="0" w:type="dxa"/>
              <w:left w:w="74" w:type="dxa"/>
              <w:bottom w:w="0" w:type="dxa"/>
              <w:right w:w="74" w:type="dxa"/>
            </w:tcMar>
            <w:vAlign w:val="center"/>
          </w:tcPr>
          <w:p w:rsidR="002D1E45" w:rsidRPr="004D071E" w:rsidRDefault="002D1E45" w:rsidP="004D071E">
            <w:pPr>
              <w:spacing w:after="0" w:line="240" w:lineRule="auto"/>
              <w:jc w:val="center"/>
              <w:textAlignment w:val="baseline"/>
              <w:rPr>
                <w:rFonts w:ascii="Times New Roman" w:hAnsi="Times New Roman"/>
                <w:sz w:val="20"/>
                <w:szCs w:val="20"/>
                <w:lang w:eastAsia="ru-RU"/>
              </w:rPr>
            </w:pPr>
            <w:r w:rsidRPr="004D071E">
              <w:rPr>
                <w:rFonts w:ascii="Times New Roman" w:hAnsi="Times New Roman"/>
                <w:sz w:val="20"/>
                <w:szCs w:val="20"/>
                <w:lang w:eastAsia="ru-RU"/>
              </w:rPr>
              <w:t>2-3,9</w:t>
            </w:r>
          </w:p>
        </w:tc>
        <w:tc>
          <w:tcPr>
            <w:tcW w:w="1150" w:type="dxa"/>
            <w:tcMar>
              <w:top w:w="0" w:type="dxa"/>
              <w:left w:w="74" w:type="dxa"/>
              <w:bottom w:w="0" w:type="dxa"/>
              <w:right w:w="74" w:type="dxa"/>
            </w:tcMar>
            <w:vAlign w:val="center"/>
          </w:tcPr>
          <w:p w:rsidR="002D1E45" w:rsidRPr="004D071E" w:rsidRDefault="002D1E45" w:rsidP="004D071E">
            <w:pPr>
              <w:spacing w:after="0" w:line="240" w:lineRule="auto"/>
              <w:jc w:val="center"/>
              <w:textAlignment w:val="baseline"/>
              <w:rPr>
                <w:rFonts w:ascii="Times New Roman" w:hAnsi="Times New Roman"/>
                <w:sz w:val="20"/>
                <w:szCs w:val="20"/>
                <w:lang w:eastAsia="ru-RU"/>
              </w:rPr>
            </w:pPr>
            <w:r w:rsidRPr="004D071E">
              <w:rPr>
                <w:rFonts w:ascii="Times New Roman" w:hAnsi="Times New Roman"/>
                <w:sz w:val="20"/>
                <w:szCs w:val="20"/>
                <w:lang w:eastAsia="ru-RU"/>
              </w:rPr>
              <w:t>ин</w:t>
            </w:r>
          </w:p>
        </w:tc>
        <w:tc>
          <w:tcPr>
            <w:tcW w:w="1154" w:type="dxa"/>
            <w:tcMar>
              <w:top w:w="0" w:type="dxa"/>
              <w:left w:w="74" w:type="dxa"/>
              <w:bottom w:w="0" w:type="dxa"/>
              <w:right w:w="74" w:type="dxa"/>
            </w:tcMar>
            <w:vAlign w:val="center"/>
          </w:tcPr>
          <w:p w:rsidR="002D1E45" w:rsidRPr="004D071E" w:rsidRDefault="002D1E45" w:rsidP="004D071E">
            <w:pPr>
              <w:spacing w:after="0" w:line="240" w:lineRule="auto"/>
              <w:jc w:val="center"/>
              <w:textAlignment w:val="baseline"/>
              <w:rPr>
                <w:rFonts w:ascii="Times New Roman" w:hAnsi="Times New Roman"/>
                <w:sz w:val="20"/>
                <w:szCs w:val="20"/>
                <w:lang w:eastAsia="ru-RU"/>
              </w:rPr>
            </w:pPr>
            <w:r w:rsidRPr="004D071E">
              <w:rPr>
                <w:rFonts w:ascii="Times New Roman" w:hAnsi="Times New Roman"/>
                <w:sz w:val="20"/>
                <w:szCs w:val="20"/>
                <w:lang w:eastAsia="ru-RU"/>
              </w:rPr>
              <w:t>из</w:t>
            </w:r>
          </w:p>
        </w:tc>
        <w:tc>
          <w:tcPr>
            <w:tcW w:w="1150" w:type="dxa"/>
            <w:tcMar>
              <w:top w:w="0" w:type="dxa"/>
              <w:left w:w="74" w:type="dxa"/>
              <w:bottom w:w="0" w:type="dxa"/>
              <w:right w:w="74" w:type="dxa"/>
            </w:tcMar>
            <w:vAlign w:val="center"/>
          </w:tcPr>
          <w:p w:rsidR="002D1E45" w:rsidRPr="004D071E" w:rsidRDefault="002D1E45" w:rsidP="004D071E">
            <w:pPr>
              <w:spacing w:after="0" w:line="240" w:lineRule="auto"/>
              <w:jc w:val="center"/>
              <w:textAlignment w:val="baseline"/>
              <w:rPr>
                <w:rFonts w:ascii="Times New Roman" w:hAnsi="Times New Roman"/>
                <w:sz w:val="20"/>
                <w:szCs w:val="20"/>
                <w:lang w:eastAsia="ru-RU"/>
              </w:rPr>
            </w:pPr>
            <w:r w:rsidRPr="004D071E">
              <w:rPr>
                <w:rFonts w:ascii="Times New Roman" w:hAnsi="Times New Roman"/>
                <w:sz w:val="20"/>
                <w:szCs w:val="20"/>
                <w:lang w:eastAsia="ru-RU"/>
              </w:rPr>
              <w:t>из (ин)</w:t>
            </w:r>
          </w:p>
        </w:tc>
        <w:tc>
          <w:tcPr>
            <w:tcW w:w="1154" w:type="dxa"/>
            <w:tcMar>
              <w:top w:w="0" w:type="dxa"/>
              <w:left w:w="74" w:type="dxa"/>
              <w:bottom w:w="0" w:type="dxa"/>
              <w:right w:w="74" w:type="dxa"/>
            </w:tcMar>
            <w:vAlign w:val="center"/>
          </w:tcPr>
          <w:p w:rsidR="002D1E45" w:rsidRPr="004D071E" w:rsidRDefault="002D1E45" w:rsidP="004D071E">
            <w:pPr>
              <w:spacing w:after="0" w:line="240" w:lineRule="auto"/>
              <w:jc w:val="center"/>
              <w:textAlignment w:val="baseline"/>
              <w:rPr>
                <w:rFonts w:ascii="Times New Roman" w:hAnsi="Times New Roman"/>
                <w:sz w:val="20"/>
                <w:szCs w:val="20"/>
                <w:lang w:eastAsia="ru-RU"/>
              </w:rPr>
            </w:pPr>
            <w:r w:rsidRPr="004D071E">
              <w:rPr>
                <w:rFonts w:ascii="Times New Roman" w:hAnsi="Times New Roman"/>
                <w:sz w:val="20"/>
                <w:szCs w:val="20"/>
                <w:lang w:eastAsia="ru-RU"/>
              </w:rPr>
              <w:t>из</w:t>
            </w:r>
          </w:p>
        </w:tc>
        <w:tc>
          <w:tcPr>
            <w:tcW w:w="1150" w:type="dxa"/>
            <w:tcMar>
              <w:top w:w="0" w:type="dxa"/>
              <w:left w:w="74" w:type="dxa"/>
              <w:bottom w:w="0" w:type="dxa"/>
              <w:right w:w="74" w:type="dxa"/>
            </w:tcMar>
            <w:vAlign w:val="center"/>
          </w:tcPr>
          <w:p w:rsidR="002D1E45" w:rsidRPr="004D071E" w:rsidRDefault="002D1E45" w:rsidP="004D071E">
            <w:pPr>
              <w:spacing w:after="0" w:line="240" w:lineRule="auto"/>
              <w:jc w:val="center"/>
              <w:textAlignment w:val="baseline"/>
              <w:rPr>
                <w:rFonts w:ascii="Times New Roman" w:hAnsi="Times New Roman"/>
                <w:sz w:val="20"/>
                <w:szCs w:val="20"/>
                <w:lang w:eastAsia="ru-RU"/>
              </w:rPr>
            </w:pPr>
            <w:r w:rsidRPr="004D071E">
              <w:rPr>
                <w:rFonts w:ascii="Times New Roman" w:hAnsi="Times New Roman"/>
                <w:sz w:val="20"/>
                <w:szCs w:val="20"/>
                <w:lang w:eastAsia="ru-RU"/>
              </w:rPr>
              <w:t>из</w:t>
            </w:r>
          </w:p>
        </w:tc>
        <w:tc>
          <w:tcPr>
            <w:tcW w:w="1154" w:type="dxa"/>
            <w:tcMar>
              <w:top w:w="0" w:type="dxa"/>
              <w:left w:w="74" w:type="dxa"/>
              <w:bottom w:w="0" w:type="dxa"/>
              <w:right w:w="74" w:type="dxa"/>
            </w:tcMar>
            <w:vAlign w:val="center"/>
          </w:tcPr>
          <w:p w:rsidR="002D1E45" w:rsidRPr="004D071E" w:rsidRDefault="002D1E45" w:rsidP="004D071E">
            <w:pPr>
              <w:spacing w:after="0" w:line="240" w:lineRule="auto"/>
              <w:jc w:val="center"/>
              <w:textAlignment w:val="baseline"/>
              <w:rPr>
                <w:rFonts w:ascii="Times New Roman" w:hAnsi="Times New Roman"/>
                <w:sz w:val="20"/>
                <w:szCs w:val="20"/>
                <w:lang w:eastAsia="ru-RU"/>
              </w:rPr>
            </w:pPr>
            <w:r w:rsidRPr="004D071E">
              <w:rPr>
                <w:rFonts w:ascii="Times New Roman" w:hAnsi="Times New Roman"/>
                <w:sz w:val="20"/>
                <w:szCs w:val="20"/>
                <w:lang w:eastAsia="ru-RU"/>
              </w:rPr>
              <w:t>из</w:t>
            </w:r>
          </w:p>
        </w:tc>
        <w:tc>
          <w:tcPr>
            <w:tcW w:w="1150" w:type="dxa"/>
            <w:tcMar>
              <w:top w:w="0" w:type="dxa"/>
              <w:left w:w="74" w:type="dxa"/>
              <w:bottom w:w="0" w:type="dxa"/>
              <w:right w:w="74" w:type="dxa"/>
            </w:tcMar>
            <w:vAlign w:val="center"/>
          </w:tcPr>
          <w:p w:rsidR="002D1E45" w:rsidRPr="004D071E" w:rsidRDefault="002D1E45" w:rsidP="004D071E">
            <w:pPr>
              <w:spacing w:after="0" w:line="240" w:lineRule="auto"/>
              <w:jc w:val="center"/>
              <w:textAlignment w:val="baseline"/>
              <w:rPr>
                <w:rFonts w:ascii="Times New Roman" w:hAnsi="Times New Roman"/>
                <w:sz w:val="20"/>
                <w:szCs w:val="20"/>
                <w:lang w:eastAsia="ru-RU"/>
              </w:rPr>
            </w:pPr>
            <w:r w:rsidRPr="004D071E">
              <w:rPr>
                <w:rFonts w:ascii="Times New Roman" w:hAnsi="Times New Roman"/>
                <w:sz w:val="20"/>
                <w:szCs w:val="20"/>
                <w:lang w:eastAsia="ru-RU"/>
              </w:rPr>
              <w:t>из (ин)</w:t>
            </w:r>
          </w:p>
        </w:tc>
        <w:tc>
          <w:tcPr>
            <w:tcW w:w="1154" w:type="dxa"/>
            <w:tcMar>
              <w:top w:w="0" w:type="dxa"/>
              <w:left w:w="74" w:type="dxa"/>
              <w:bottom w:w="0" w:type="dxa"/>
              <w:right w:w="74" w:type="dxa"/>
            </w:tcMar>
            <w:vAlign w:val="center"/>
          </w:tcPr>
          <w:p w:rsidR="002D1E45" w:rsidRPr="004D071E" w:rsidRDefault="002D1E45" w:rsidP="004D071E">
            <w:pPr>
              <w:spacing w:after="0" w:line="240" w:lineRule="auto"/>
              <w:jc w:val="center"/>
              <w:textAlignment w:val="baseline"/>
              <w:rPr>
                <w:rFonts w:ascii="Times New Roman" w:hAnsi="Times New Roman"/>
                <w:sz w:val="20"/>
                <w:szCs w:val="20"/>
                <w:lang w:eastAsia="ru-RU"/>
              </w:rPr>
            </w:pPr>
            <w:r w:rsidRPr="004D071E">
              <w:rPr>
                <w:rFonts w:ascii="Times New Roman" w:hAnsi="Times New Roman"/>
                <w:sz w:val="20"/>
                <w:szCs w:val="20"/>
                <w:lang w:eastAsia="ru-RU"/>
              </w:rPr>
              <w:t>из</w:t>
            </w:r>
          </w:p>
        </w:tc>
      </w:tr>
      <w:tr w:rsidR="002D1E45" w:rsidRPr="004D071E" w:rsidTr="004D071E">
        <w:trPr>
          <w:trHeight w:val="283"/>
          <w:jc w:val="center"/>
        </w:trPr>
        <w:tc>
          <w:tcPr>
            <w:tcW w:w="979" w:type="dxa"/>
            <w:tcMar>
              <w:top w:w="0" w:type="dxa"/>
              <w:left w:w="74" w:type="dxa"/>
              <w:bottom w:w="0" w:type="dxa"/>
              <w:right w:w="74" w:type="dxa"/>
            </w:tcMar>
            <w:vAlign w:val="center"/>
          </w:tcPr>
          <w:p w:rsidR="002D1E45" w:rsidRPr="004D071E" w:rsidRDefault="002D1E45" w:rsidP="004D071E">
            <w:pPr>
              <w:spacing w:after="0" w:line="240" w:lineRule="auto"/>
              <w:jc w:val="center"/>
              <w:textAlignment w:val="baseline"/>
              <w:rPr>
                <w:rFonts w:ascii="Times New Roman" w:hAnsi="Times New Roman"/>
                <w:sz w:val="20"/>
                <w:szCs w:val="20"/>
                <w:lang w:eastAsia="ru-RU"/>
              </w:rPr>
            </w:pPr>
            <w:r w:rsidRPr="004D071E">
              <w:rPr>
                <w:rFonts w:ascii="Times New Roman" w:hAnsi="Times New Roman"/>
                <w:sz w:val="20"/>
                <w:szCs w:val="20"/>
                <w:lang w:val="en-US" w:eastAsia="ru-RU"/>
              </w:rPr>
              <w:t>&gt;</w:t>
            </w:r>
            <w:r w:rsidRPr="004D071E">
              <w:rPr>
                <w:rFonts w:ascii="Times New Roman" w:hAnsi="Times New Roman"/>
                <w:sz w:val="20"/>
                <w:szCs w:val="20"/>
                <w:lang w:eastAsia="ru-RU"/>
              </w:rPr>
              <w:t>4</w:t>
            </w:r>
          </w:p>
        </w:tc>
        <w:tc>
          <w:tcPr>
            <w:tcW w:w="1150" w:type="dxa"/>
            <w:tcMar>
              <w:top w:w="0" w:type="dxa"/>
              <w:left w:w="74" w:type="dxa"/>
              <w:bottom w:w="0" w:type="dxa"/>
              <w:right w:w="74" w:type="dxa"/>
            </w:tcMar>
            <w:vAlign w:val="center"/>
          </w:tcPr>
          <w:p w:rsidR="002D1E45" w:rsidRPr="004D071E" w:rsidRDefault="002D1E45" w:rsidP="004D071E">
            <w:pPr>
              <w:spacing w:after="0" w:line="240" w:lineRule="auto"/>
              <w:jc w:val="center"/>
              <w:textAlignment w:val="baseline"/>
              <w:rPr>
                <w:rFonts w:ascii="Times New Roman" w:hAnsi="Times New Roman"/>
                <w:sz w:val="20"/>
                <w:szCs w:val="20"/>
                <w:lang w:eastAsia="ru-RU"/>
              </w:rPr>
            </w:pPr>
            <w:r w:rsidRPr="004D071E">
              <w:rPr>
                <w:rFonts w:ascii="Times New Roman" w:hAnsi="Times New Roman"/>
                <w:sz w:val="20"/>
                <w:szCs w:val="20"/>
                <w:lang w:eastAsia="ru-RU"/>
              </w:rPr>
              <w:t>из</w:t>
            </w:r>
          </w:p>
        </w:tc>
        <w:tc>
          <w:tcPr>
            <w:tcW w:w="1154" w:type="dxa"/>
            <w:tcMar>
              <w:top w:w="0" w:type="dxa"/>
              <w:left w:w="74" w:type="dxa"/>
              <w:bottom w:w="0" w:type="dxa"/>
              <w:right w:w="74" w:type="dxa"/>
            </w:tcMar>
            <w:vAlign w:val="center"/>
          </w:tcPr>
          <w:p w:rsidR="002D1E45" w:rsidRPr="004D071E" w:rsidRDefault="002D1E45" w:rsidP="004D071E">
            <w:pPr>
              <w:spacing w:after="0" w:line="240" w:lineRule="auto"/>
              <w:jc w:val="center"/>
              <w:textAlignment w:val="baseline"/>
              <w:rPr>
                <w:rFonts w:ascii="Times New Roman" w:hAnsi="Times New Roman"/>
                <w:sz w:val="20"/>
                <w:szCs w:val="20"/>
                <w:lang w:eastAsia="ru-RU"/>
              </w:rPr>
            </w:pPr>
            <w:r w:rsidRPr="004D071E">
              <w:rPr>
                <w:rFonts w:ascii="Times New Roman" w:hAnsi="Times New Roman"/>
                <w:sz w:val="20"/>
                <w:szCs w:val="20"/>
                <w:lang w:eastAsia="ru-RU"/>
              </w:rPr>
              <w:t>из</w:t>
            </w:r>
          </w:p>
        </w:tc>
        <w:tc>
          <w:tcPr>
            <w:tcW w:w="1150" w:type="dxa"/>
            <w:tcMar>
              <w:top w:w="0" w:type="dxa"/>
              <w:left w:w="74" w:type="dxa"/>
              <w:bottom w:w="0" w:type="dxa"/>
              <w:right w:w="74" w:type="dxa"/>
            </w:tcMar>
            <w:vAlign w:val="center"/>
          </w:tcPr>
          <w:p w:rsidR="002D1E45" w:rsidRPr="004D071E" w:rsidRDefault="002D1E45" w:rsidP="004D071E">
            <w:pPr>
              <w:spacing w:after="0" w:line="240" w:lineRule="auto"/>
              <w:jc w:val="center"/>
              <w:textAlignment w:val="baseline"/>
              <w:rPr>
                <w:rFonts w:ascii="Times New Roman" w:hAnsi="Times New Roman"/>
                <w:sz w:val="20"/>
                <w:szCs w:val="20"/>
                <w:lang w:eastAsia="ru-RU"/>
              </w:rPr>
            </w:pPr>
            <w:r w:rsidRPr="004D071E">
              <w:rPr>
                <w:rFonts w:ascii="Times New Roman" w:hAnsi="Times New Roman"/>
                <w:sz w:val="20"/>
                <w:szCs w:val="20"/>
                <w:lang w:eastAsia="ru-RU"/>
              </w:rPr>
              <w:t>из</w:t>
            </w:r>
          </w:p>
        </w:tc>
        <w:tc>
          <w:tcPr>
            <w:tcW w:w="1154" w:type="dxa"/>
            <w:tcMar>
              <w:top w:w="0" w:type="dxa"/>
              <w:left w:w="74" w:type="dxa"/>
              <w:bottom w:w="0" w:type="dxa"/>
              <w:right w:w="74" w:type="dxa"/>
            </w:tcMar>
            <w:vAlign w:val="center"/>
          </w:tcPr>
          <w:p w:rsidR="002D1E45" w:rsidRPr="004D071E" w:rsidRDefault="002D1E45" w:rsidP="004D071E">
            <w:pPr>
              <w:spacing w:after="0" w:line="240" w:lineRule="auto"/>
              <w:jc w:val="center"/>
              <w:textAlignment w:val="baseline"/>
              <w:rPr>
                <w:rFonts w:ascii="Times New Roman" w:hAnsi="Times New Roman"/>
                <w:sz w:val="20"/>
                <w:szCs w:val="20"/>
                <w:lang w:eastAsia="ru-RU"/>
              </w:rPr>
            </w:pPr>
            <w:r w:rsidRPr="004D071E">
              <w:rPr>
                <w:rFonts w:ascii="Times New Roman" w:hAnsi="Times New Roman"/>
                <w:sz w:val="20"/>
                <w:szCs w:val="20"/>
                <w:lang w:eastAsia="ru-RU"/>
              </w:rPr>
              <w:t>из</w:t>
            </w:r>
          </w:p>
        </w:tc>
        <w:tc>
          <w:tcPr>
            <w:tcW w:w="1150" w:type="dxa"/>
            <w:tcMar>
              <w:top w:w="0" w:type="dxa"/>
              <w:left w:w="74" w:type="dxa"/>
              <w:bottom w:w="0" w:type="dxa"/>
              <w:right w:w="74" w:type="dxa"/>
            </w:tcMar>
            <w:vAlign w:val="center"/>
          </w:tcPr>
          <w:p w:rsidR="002D1E45" w:rsidRPr="004D071E" w:rsidRDefault="002D1E45" w:rsidP="004D071E">
            <w:pPr>
              <w:spacing w:after="0" w:line="240" w:lineRule="auto"/>
              <w:jc w:val="center"/>
              <w:textAlignment w:val="baseline"/>
              <w:rPr>
                <w:rFonts w:ascii="Times New Roman" w:hAnsi="Times New Roman"/>
                <w:sz w:val="20"/>
                <w:szCs w:val="20"/>
                <w:lang w:eastAsia="ru-RU"/>
              </w:rPr>
            </w:pPr>
            <w:r w:rsidRPr="004D071E">
              <w:rPr>
                <w:rFonts w:ascii="Times New Roman" w:hAnsi="Times New Roman"/>
                <w:sz w:val="20"/>
                <w:szCs w:val="20"/>
                <w:lang w:eastAsia="ru-RU"/>
              </w:rPr>
              <w:t>из</w:t>
            </w:r>
          </w:p>
        </w:tc>
        <w:tc>
          <w:tcPr>
            <w:tcW w:w="1154" w:type="dxa"/>
            <w:tcMar>
              <w:top w:w="0" w:type="dxa"/>
              <w:left w:w="74" w:type="dxa"/>
              <w:bottom w:w="0" w:type="dxa"/>
              <w:right w:w="74" w:type="dxa"/>
            </w:tcMar>
            <w:vAlign w:val="center"/>
          </w:tcPr>
          <w:p w:rsidR="002D1E45" w:rsidRPr="004D071E" w:rsidRDefault="002D1E45" w:rsidP="004D071E">
            <w:pPr>
              <w:spacing w:after="0" w:line="240" w:lineRule="auto"/>
              <w:jc w:val="center"/>
              <w:textAlignment w:val="baseline"/>
              <w:rPr>
                <w:rFonts w:ascii="Times New Roman" w:hAnsi="Times New Roman"/>
                <w:sz w:val="20"/>
                <w:szCs w:val="20"/>
                <w:lang w:eastAsia="ru-RU"/>
              </w:rPr>
            </w:pPr>
            <w:r w:rsidRPr="004D071E">
              <w:rPr>
                <w:rFonts w:ascii="Times New Roman" w:hAnsi="Times New Roman"/>
                <w:sz w:val="20"/>
                <w:szCs w:val="20"/>
                <w:lang w:eastAsia="ru-RU"/>
              </w:rPr>
              <w:t>из</w:t>
            </w:r>
          </w:p>
        </w:tc>
        <w:tc>
          <w:tcPr>
            <w:tcW w:w="1150" w:type="dxa"/>
            <w:tcMar>
              <w:top w:w="0" w:type="dxa"/>
              <w:left w:w="74" w:type="dxa"/>
              <w:bottom w:w="0" w:type="dxa"/>
              <w:right w:w="74" w:type="dxa"/>
            </w:tcMar>
            <w:vAlign w:val="center"/>
          </w:tcPr>
          <w:p w:rsidR="002D1E45" w:rsidRPr="004D071E" w:rsidRDefault="002D1E45" w:rsidP="004D071E">
            <w:pPr>
              <w:spacing w:after="0" w:line="240" w:lineRule="auto"/>
              <w:jc w:val="center"/>
              <w:textAlignment w:val="baseline"/>
              <w:rPr>
                <w:rFonts w:ascii="Times New Roman" w:hAnsi="Times New Roman"/>
                <w:sz w:val="20"/>
                <w:szCs w:val="20"/>
                <w:lang w:eastAsia="ru-RU"/>
              </w:rPr>
            </w:pPr>
            <w:r w:rsidRPr="004D071E">
              <w:rPr>
                <w:rFonts w:ascii="Times New Roman" w:hAnsi="Times New Roman"/>
                <w:sz w:val="20"/>
                <w:szCs w:val="20"/>
                <w:lang w:eastAsia="ru-RU"/>
              </w:rPr>
              <w:t>из</w:t>
            </w:r>
          </w:p>
        </w:tc>
        <w:tc>
          <w:tcPr>
            <w:tcW w:w="1154" w:type="dxa"/>
            <w:tcMar>
              <w:top w:w="0" w:type="dxa"/>
              <w:left w:w="74" w:type="dxa"/>
              <w:bottom w:w="0" w:type="dxa"/>
              <w:right w:w="74" w:type="dxa"/>
            </w:tcMar>
            <w:vAlign w:val="center"/>
          </w:tcPr>
          <w:p w:rsidR="002D1E45" w:rsidRPr="004D071E" w:rsidRDefault="002D1E45" w:rsidP="004D071E">
            <w:pPr>
              <w:spacing w:after="0" w:line="240" w:lineRule="auto"/>
              <w:jc w:val="center"/>
              <w:textAlignment w:val="baseline"/>
              <w:rPr>
                <w:rFonts w:ascii="Times New Roman" w:hAnsi="Times New Roman"/>
                <w:sz w:val="20"/>
                <w:szCs w:val="20"/>
                <w:lang w:eastAsia="ru-RU"/>
              </w:rPr>
            </w:pPr>
            <w:r w:rsidRPr="004D071E">
              <w:rPr>
                <w:rFonts w:ascii="Times New Roman" w:hAnsi="Times New Roman"/>
                <w:sz w:val="20"/>
                <w:szCs w:val="20"/>
                <w:lang w:eastAsia="ru-RU"/>
              </w:rPr>
              <w:t>из</w:t>
            </w:r>
          </w:p>
        </w:tc>
      </w:tr>
      <w:tr w:rsidR="002D1E45" w:rsidRPr="004D071E" w:rsidTr="004D071E">
        <w:trPr>
          <w:cantSplit/>
          <w:trHeight w:val="283"/>
          <w:jc w:val="center"/>
        </w:trPr>
        <w:tc>
          <w:tcPr>
            <w:tcW w:w="10195" w:type="dxa"/>
            <w:gridSpan w:val="9"/>
            <w:tcMar>
              <w:top w:w="0" w:type="dxa"/>
              <w:left w:w="74" w:type="dxa"/>
              <w:bottom w:w="0" w:type="dxa"/>
              <w:right w:w="74" w:type="dxa"/>
            </w:tcMar>
            <w:vAlign w:val="center"/>
          </w:tcPr>
          <w:p w:rsidR="002D1E45" w:rsidRPr="004D071E" w:rsidRDefault="002D1E45" w:rsidP="004D071E">
            <w:pPr>
              <w:spacing w:after="0" w:line="240" w:lineRule="auto"/>
              <w:jc w:val="center"/>
              <w:textAlignment w:val="baseline"/>
              <w:rPr>
                <w:rFonts w:ascii="Times New Roman" w:hAnsi="Times New Roman"/>
                <w:sz w:val="20"/>
                <w:szCs w:val="20"/>
                <w:lang w:eastAsia="ru-RU"/>
              </w:rPr>
            </w:pPr>
            <w:r w:rsidRPr="004D071E">
              <w:rPr>
                <w:rFonts w:ascii="Times New Roman" w:hAnsi="Times New Roman"/>
                <w:sz w:val="20"/>
                <w:szCs w:val="20"/>
                <w:lang w:eastAsia="ru-RU"/>
              </w:rPr>
              <w:t xml:space="preserve">Обозначения: </w:t>
            </w:r>
            <w:r w:rsidRPr="004D071E">
              <w:rPr>
                <w:rFonts w:ascii="Times New Roman" w:hAnsi="Times New Roman"/>
                <w:b/>
                <w:sz w:val="20"/>
                <w:szCs w:val="20"/>
                <w:lang w:eastAsia="ru-RU"/>
              </w:rPr>
              <w:t>ин</w:t>
            </w:r>
            <w:r w:rsidRPr="004D071E">
              <w:rPr>
                <w:rFonts w:ascii="Times New Roman" w:hAnsi="Times New Roman"/>
                <w:sz w:val="20"/>
                <w:szCs w:val="20"/>
                <w:lang w:eastAsia="ru-RU"/>
              </w:rPr>
              <w:t xml:space="preserve"> - инверсия; </w:t>
            </w:r>
            <w:r w:rsidRPr="004D071E">
              <w:rPr>
                <w:rFonts w:ascii="Times New Roman" w:hAnsi="Times New Roman"/>
                <w:b/>
                <w:sz w:val="20"/>
                <w:szCs w:val="20"/>
                <w:lang w:eastAsia="ru-RU"/>
              </w:rPr>
              <w:t>из</w:t>
            </w:r>
            <w:r w:rsidRPr="004D071E">
              <w:rPr>
                <w:rFonts w:ascii="Times New Roman" w:hAnsi="Times New Roman"/>
                <w:sz w:val="20"/>
                <w:szCs w:val="20"/>
                <w:lang w:eastAsia="ru-RU"/>
              </w:rPr>
              <w:t xml:space="preserve"> - изотермия; </w:t>
            </w:r>
            <w:r w:rsidRPr="004D071E">
              <w:rPr>
                <w:rFonts w:ascii="Times New Roman" w:hAnsi="Times New Roman"/>
                <w:b/>
                <w:sz w:val="20"/>
                <w:szCs w:val="20"/>
                <w:lang w:eastAsia="ru-RU"/>
              </w:rPr>
              <w:t>к</w:t>
            </w:r>
            <w:r w:rsidRPr="004D071E">
              <w:rPr>
                <w:rFonts w:ascii="Times New Roman" w:hAnsi="Times New Roman"/>
                <w:sz w:val="20"/>
                <w:szCs w:val="20"/>
                <w:lang w:eastAsia="ru-RU"/>
              </w:rPr>
              <w:t xml:space="preserve"> - конвекция; </w:t>
            </w:r>
            <w:r w:rsidRPr="004D071E">
              <w:rPr>
                <w:rFonts w:ascii="Times New Roman" w:hAnsi="Times New Roman"/>
                <w:b/>
                <w:sz w:val="20"/>
                <w:szCs w:val="20"/>
                <w:lang w:eastAsia="ru-RU"/>
              </w:rPr>
              <w:t>буквы в скобках</w:t>
            </w:r>
            <w:r w:rsidRPr="004D071E">
              <w:rPr>
                <w:rFonts w:ascii="Times New Roman" w:hAnsi="Times New Roman"/>
                <w:sz w:val="20"/>
                <w:szCs w:val="20"/>
                <w:lang w:eastAsia="ru-RU"/>
              </w:rPr>
              <w:t xml:space="preserve"> - при снежном покрове.</w:t>
            </w:r>
            <w:r w:rsidRPr="004D071E">
              <w:rPr>
                <w:rFonts w:ascii="Times New Roman" w:hAnsi="Times New Roman"/>
                <w:sz w:val="20"/>
                <w:szCs w:val="20"/>
                <w:lang w:eastAsia="ru-RU"/>
              </w:rPr>
              <w:br/>
            </w:r>
            <w:r w:rsidRPr="004D071E">
              <w:rPr>
                <w:rFonts w:ascii="Times New Roman" w:hAnsi="Times New Roman"/>
                <w:sz w:val="20"/>
                <w:szCs w:val="20"/>
                <w:lang w:eastAsia="ru-RU"/>
              </w:rPr>
              <w:br/>
              <w:t>Примечания:</w:t>
            </w:r>
            <w:r w:rsidRPr="004D071E">
              <w:rPr>
                <w:rFonts w:ascii="Times New Roman" w:hAnsi="Times New Roman"/>
                <w:sz w:val="20"/>
                <w:szCs w:val="20"/>
                <w:lang w:eastAsia="ru-RU"/>
              </w:rPr>
              <w:br/>
              <w:t>1. Под термином «утро» понимается период времени в течение 2 ч после восхода солнца; под термином «вечер» - в течение 2 ч после захода солнца. Период от восхода до захода солнца за вычетом двух утренних часов - день, а период от захода до восхода солнца за вычетом двух вечерних часов - ночь.</w:t>
            </w:r>
            <w:r w:rsidRPr="004D071E">
              <w:rPr>
                <w:rFonts w:ascii="Times New Roman" w:hAnsi="Times New Roman"/>
                <w:sz w:val="20"/>
                <w:szCs w:val="20"/>
                <w:lang w:eastAsia="ru-RU"/>
              </w:rPr>
              <w:br/>
              <w:t>2. Скорость ветра и степень вертикальной устойчивости атмосферы принимаются в расчётах на момент аварии.</w:t>
            </w:r>
          </w:p>
        </w:tc>
      </w:tr>
    </w:tbl>
    <w:p w:rsidR="002D1E45" w:rsidRPr="004D071E" w:rsidRDefault="002D1E45" w:rsidP="004D071E">
      <w:pPr>
        <w:spacing w:after="0" w:line="240" w:lineRule="auto"/>
        <w:ind w:firstLine="709"/>
        <w:jc w:val="both"/>
        <w:rPr>
          <w:rFonts w:ascii="Times New Roman" w:hAnsi="Times New Roman"/>
          <w:sz w:val="28"/>
          <w:szCs w:val="28"/>
        </w:rPr>
      </w:pPr>
    </w:p>
    <w:p w:rsidR="002D1E45" w:rsidRPr="004D071E" w:rsidRDefault="002D1E45" w:rsidP="004D071E">
      <w:pPr>
        <w:spacing w:after="0" w:line="240" w:lineRule="auto"/>
        <w:ind w:firstLine="709"/>
        <w:jc w:val="both"/>
        <w:rPr>
          <w:rFonts w:ascii="Times New Roman" w:hAnsi="Times New Roman"/>
          <w:sz w:val="28"/>
          <w:szCs w:val="24"/>
          <w:lang w:eastAsia="ru-RU"/>
        </w:rPr>
      </w:pPr>
      <w:r w:rsidRPr="004D071E">
        <w:rPr>
          <w:rFonts w:ascii="Times New Roman" w:hAnsi="Times New Roman"/>
          <w:sz w:val="28"/>
          <w:szCs w:val="24"/>
          <w:lang w:eastAsia="ru-RU"/>
        </w:rPr>
        <w:t>При заблаговременном прогнозировании масштабов возможного химического заражения на случай возможных производственных аварий в качестве исходных данных рекомендуется принимать:</w:t>
      </w:r>
    </w:p>
    <w:p w:rsidR="002D1E45" w:rsidRPr="004D071E" w:rsidRDefault="002D1E45" w:rsidP="00852938">
      <w:pPr>
        <w:numPr>
          <w:ilvl w:val="0"/>
          <w:numId w:val="24"/>
        </w:numPr>
        <w:tabs>
          <w:tab w:val="clear" w:pos="1429"/>
          <w:tab w:val="left" w:pos="1134"/>
          <w:tab w:val="num" w:pos="1353"/>
        </w:tabs>
        <w:spacing w:after="0" w:line="240" w:lineRule="auto"/>
        <w:ind w:left="1134"/>
        <w:jc w:val="both"/>
        <w:rPr>
          <w:rFonts w:ascii="Times New Roman" w:hAnsi="Times New Roman"/>
          <w:sz w:val="28"/>
          <w:szCs w:val="24"/>
          <w:lang w:eastAsia="ru-RU"/>
        </w:rPr>
      </w:pPr>
      <w:r w:rsidRPr="004D071E">
        <w:rPr>
          <w:rFonts w:ascii="Times New Roman" w:hAnsi="Times New Roman"/>
          <w:sz w:val="28"/>
          <w:szCs w:val="24"/>
          <w:lang w:eastAsia="ru-RU"/>
        </w:rPr>
        <w:t>за величину выброса АХОВ (Q</w:t>
      </w:r>
      <w:r w:rsidRPr="004D071E">
        <w:rPr>
          <w:rFonts w:ascii="Times New Roman" w:hAnsi="Times New Roman"/>
          <w:sz w:val="28"/>
          <w:szCs w:val="24"/>
          <w:vertAlign w:val="subscript"/>
          <w:lang w:eastAsia="ru-RU"/>
        </w:rPr>
        <w:t>0</w:t>
      </w:r>
      <w:r w:rsidRPr="004D071E">
        <w:rPr>
          <w:rFonts w:ascii="Times New Roman" w:hAnsi="Times New Roman"/>
          <w:sz w:val="28"/>
          <w:szCs w:val="24"/>
          <w:lang w:eastAsia="ru-RU"/>
        </w:rPr>
        <w:t>) - количество АХОВ в максимальной по объёму единичной ёмкости (технологической, складской, транспортной и др.); для химически опасных объектов, расположенных в сейсмических районах, а также для объектов, отнесённых к категориям по гражданской обороне, в том числе атомных станций, за величину выброса АХОВ следует принимать общий запас АХОВ на объекте;</w:t>
      </w:r>
    </w:p>
    <w:p w:rsidR="002D1E45" w:rsidRPr="004D071E" w:rsidRDefault="002D1E45" w:rsidP="00852938">
      <w:pPr>
        <w:numPr>
          <w:ilvl w:val="0"/>
          <w:numId w:val="24"/>
        </w:numPr>
        <w:tabs>
          <w:tab w:val="clear" w:pos="1429"/>
          <w:tab w:val="left" w:pos="1134"/>
          <w:tab w:val="num" w:pos="1353"/>
        </w:tabs>
        <w:spacing w:after="0" w:line="240" w:lineRule="auto"/>
        <w:ind w:left="1134"/>
        <w:jc w:val="both"/>
        <w:rPr>
          <w:rFonts w:ascii="Times New Roman" w:hAnsi="Times New Roman"/>
          <w:sz w:val="28"/>
          <w:szCs w:val="24"/>
          <w:lang w:eastAsia="ru-RU"/>
        </w:rPr>
      </w:pPr>
      <w:r w:rsidRPr="004D071E">
        <w:rPr>
          <w:rFonts w:ascii="Times New Roman" w:hAnsi="Times New Roman"/>
          <w:sz w:val="28"/>
          <w:szCs w:val="24"/>
          <w:lang w:eastAsia="ru-RU"/>
        </w:rPr>
        <w:t>метеорологические условия - изотермия, скорость ветра - 3 м/с; температура воздуха - 20 °C.</w:t>
      </w:r>
    </w:p>
    <w:p w:rsidR="002D1E45" w:rsidRPr="004D071E" w:rsidRDefault="002D1E45" w:rsidP="004D071E">
      <w:pPr>
        <w:spacing w:after="0" w:line="240" w:lineRule="auto"/>
        <w:ind w:firstLine="709"/>
        <w:jc w:val="both"/>
        <w:rPr>
          <w:rFonts w:ascii="Times New Roman" w:hAnsi="Times New Roman"/>
          <w:sz w:val="28"/>
          <w:szCs w:val="24"/>
          <w:lang w:eastAsia="ru-RU"/>
        </w:rPr>
      </w:pPr>
      <w:r w:rsidRPr="004D071E">
        <w:rPr>
          <w:rFonts w:ascii="Times New Roman" w:hAnsi="Times New Roman"/>
          <w:sz w:val="28"/>
          <w:szCs w:val="24"/>
          <w:lang w:eastAsia="ru-RU"/>
        </w:rPr>
        <w:t>Для оперативного прогнозирования масштабов возможного химического заражения при угрозе или непосредственно после аварии должны принимать конкретные данные о количестве выброшенного (разлившегося) АХОВ, реальные метеоусловия, а также иные исходные данные, которые доступны на момент прогнозирования.</w:t>
      </w:r>
    </w:p>
    <w:p w:rsidR="002D1E45" w:rsidRPr="004D071E" w:rsidRDefault="002D1E45" w:rsidP="004D071E">
      <w:pPr>
        <w:spacing w:after="0" w:line="240" w:lineRule="auto"/>
        <w:ind w:firstLine="709"/>
        <w:jc w:val="both"/>
        <w:rPr>
          <w:rFonts w:ascii="Times New Roman" w:hAnsi="Times New Roman"/>
          <w:sz w:val="28"/>
          <w:szCs w:val="24"/>
          <w:lang w:eastAsia="ru-RU"/>
        </w:rPr>
      </w:pPr>
      <w:r w:rsidRPr="004D071E">
        <w:rPr>
          <w:rFonts w:ascii="Times New Roman" w:hAnsi="Times New Roman"/>
          <w:sz w:val="28"/>
          <w:szCs w:val="24"/>
          <w:lang w:eastAsia="ru-RU"/>
        </w:rPr>
        <w:t>Внешние границы зоны возможного химического заражения АХОВ рассчитывают по пороговой токсодозе при ингаляционном воздействии на организм человека.</w:t>
      </w:r>
    </w:p>
    <w:p w:rsidR="002D1E45" w:rsidRPr="004D071E" w:rsidRDefault="002D1E45" w:rsidP="004D071E">
      <w:pPr>
        <w:spacing w:after="0" w:line="240" w:lineRule="auto"/>
        <w:ind w:firstLine="709"/>
        <w:jc w:val="both"/>
        <w:rPr>
          <w:rFonts w:ascii="Times New Roman" w:hAnsi="Times New Roman"/>
          <w:sz w:val="28"/>
          <w:szCs w:val="24"/>
          <w:lang w:eastAsia="ru-RU"/>
        </w:rPr>
      </w:pPr>
      <w:r w:rsidRPr="004D071E">
        <w:rPr>
          <w:rFonts w:ascii="Times New Roman" w:hAnsi="Times New Roman"/>
          <w:sz w:val="28"/>
          <w:szCs w:val="24"/>
          <w:lang w:eastAsia="ru-RU"/>
        </w:rPr>
        <w:t>Принятые допущения:</w:t>
      </w:r>
    </w:p>
    <w:p w:rsidR="002D1E45" w:rsidRPr="004D071E" w:rsidRDefault="002D1E45" w:rsidP="00852938">
      <w:pPr>
        <w:numPr>
          <w:ilvl w:val="0"/>
          <w:numId w:val="24"/>
        </w:numPr>
        <w:tabs>
          <w:tab w:val="clear" w:pos="1429"/>
          <w:tab w:val="left" w:pos="1134"/>
          <w:tab w:val="num" w:pos="1353"/>
        </w:tabs>
        <w:spacing w:after="0" w:line="240" w:lineRule="auto"/>
        <w:ind w:left="1134"/>
        <w:jc w:val="both"/>
        <w:rPr>
          <w:rFonts w:ascii="Times New Roman" w:hAnsi="Times New Roman"/>
          <w:sz w:val="28"/>
          <w:szCs w:val="24"/>
          <w:lang w:eastAsia="ru-RU"/>
        </w:rPr>
      </w:pPr>
      <w:r w:rsidRPr="004D071E">
        <w:rPr>
          <w:rFonts w:ascii="Times New Roman" w:hAnsi="Times New Roman"/>
          <w:sz w:val="28"/>
          <w:szCs w:val="24"/>
          <w:lang w:eastAsia="ru-RU"/>
        </w:rPr>
        <w:t>ёмкости, содержащие АХОВ, при авариях разрушаются полностью;</w:t>
      </w:r>
    </w:p>
    <w:p w:rsidR="002D1E45" w:rsidRPr="004D071E" w:rsidRDefault="002D1E45" w:rsidP="00852938">
      <w:pPr>
        <w:numPr>
          <w:ilvl w:val="0"/>
          <w:numId w:val="24"/>
        </w:numPr>
        <w:tabs>
          <w:tab w:val="clear" w:pos="1429"/>
          <w:tab w:val="left" w:pos="1134"/>
          <w:tab w:val="num" w:pos="1353"/>
        </w:tabs>
        <w:spacing w:after="0" w:line="240" w:lineRule="auto"/>
        <w:ind w:left="1134"/>
        <w:jc w:val="both"/>
        <w:rPr>
          <w:rFonts w:ascii="Times New Roman" w:hAnsi="Times New Roman"/>
          <w:sz w:val="28"/>
          <w:szCs w:val="24"/>
          <w:lang w:eastAsia="ru-RU"/>
        </w:rPr>
      </w:pPr>
      <w:r w:rsidRPr="004D071E">
        <w:rPr>
          <w:rFonts w:ascii="Times New Roman" w:hAnsi="Times New Roman"/>
          <w:sz w:val="28"/>
          <w:szCs w:val="24"/>
          <w:lang w:eastAsia="ru-RU"/>
        </w:rPr>
        <w:t>толщину слоя жидкости h для АХОВ, разлившихся свободно на подстилающей поверхности, принимают равной 0,05 м по всей площади разлива; для АХОВ, разлившихся в поддон или обваловку, определяют следующим образом:</w:t>
      </w:r>
    </w:p>
    <w:p w:rsidR="002D1E45" w:rsidRPr="004D071E" w:rsidRDefault="002D1E45" w:rsidP="00852938">
      <w:pPr>
        <w:numPr>
          <w:ilvl w:val="0"/>
          <w:numId w:val="45"/>
        </w:numPr>
        <w:spacing w:after="0" w:line="240" w:lineRule="auto"/>
        <w:ind w:left="1701"/>
        <w:jc w:val="both"/>
        <w:rPr>
          <w:rFonts w:ascii="Times New Roman" w:hAnsi="Times New Roman"/>
          <w:sz w:val="28"/>
          <w:szCs w:val="24"/>
          <w:lang w:eastAsia="ru-RU"/>
        </w:rPr>
      </w:pPr>
      <w:r w:rsidRPr="004D071E">
        <w:rPr>
          <w:rFonts w:ascii="Times New Roman" w:hAnsi="Times New Roman"/>
          <w:sz w:val="28"/>
          <w:szCs w:val="24"/>
          <w:lang w:eastAsia="ru-RU"/>
        </w:rPr>
        <w:t xml:space="preserve">при </w:t>
      </w:r>
      <w:r w:rsidRPr="004D071E">
        <w:rPr>
          <w:rFonts w:ascii="Times New Roman" w:hAnsi="Times New Roman"/>
          <w:sz w:val="28"/>
          <w:szCs w:val="28"/>
          <w:lang w:eastAsia="ru-RU"/>
        </w:rPr>
        <w:t>разливах</w:t>
      </w:r>
      <w:r w:rsidRPr="004D071E">
        <w:rPr>
          <w:rFonts w:ascii="Times New Roman" w:hAnsi="Times New Roman"/>
          <w:sz w:val="28"/>
          <w:szCs w:val="24"/>
          <w:lang w:eastAsia="ru-RU"/>
        </w:rPr>
        <w:t xml:space="preserve"> из ёмкостей с самостоятельным поддоном (обваловкой):</w:t>
      </w:r>
    </w:p>
    <w:p w:rsidR="002D1E45" w:rsidRPr="004D071E" w:rsidRDefault="002D1E45" w:rsidP="004D071E">
      <w:pPr>
        <w:spacing w:after="0" w:line="240" w:lineRule="auto"/>
        <w:ind w:firstLine="709"/>
        <w:jc w:val="center"/>
        <w:rPr>
          <w:rFonts w:ascii="Times New Roman" w:hAnsi="Times New Roman"/>
          <w:sz w:val="28"/>
          <w:szCs w:val="24"/>
          <w:lang w:eastAsia="ru-RU"/>
        </w:rPr>
      </w:pPr>
    </w:p>
    <w:p w:rsidR="002D1E45" w:rsidRPr="004D071E" w:rsidRDefault="002D1E45" w:rsidP="004D071E">
      <w:pPr>
        <w:spacing w:after="0" w:line="240" w:lineRule="auto"/>
        <w:jc w:val="center"/>
        <w:rPr>
          <w:rFonts w:ascii="Times New Roman" w:hAnsi="Times New Roman"/>
          <w:sz w:val="28"/>
          <w:szCs w:val="24"/>
          <w:lang w:eastAsia="ru-RU"/>
        </w:rPr>
      </w:pPr>
      <w:r>
        <w:pict>
          <v:shape id="_x0000_i1033" type="#_x0000_t75" style="width:66pt;height:13.5pt" equationxml="&lt;?xml version=&quot;1.0&quot; encoding=&quot;UTF-8&quot; standalone=&quot;yes&quot;?&gt;&#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stylePaneFormatFilter w:val=&quot;3F01&quot;/&gt;&lt;w:defaultTabStop w:val=&quot;709&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55249&quot;/&gt;&lt;wsp:rsid wsp:val=&quot;00000069&quot;/&gt;&lt;wsp:rsid wsp:val=&quot;0000011C&quot;/&gt;&lt;wsp:rsid wsp:val=&quot;00000437&quot;/&gt;&lt;wsp:rsid wsp:val=&quot;00001379&quot;/&gt;&lt;wsp:rsid wsp:val=&quot;0000148E&quot;/&gt;&lt;wsp:rsid wsp:val=&quot;00001718&quot;/&gt;&lt;wsp:rsid wsp:val=&quot;000017EA&quot;/&gt;&lt;wsp:rsid wsp:val=&quot;00001828&quot;/&gt;&lt;wsp:rsid wsp:val=&quot;00001D98&quot;/&gt;&lt;wsp:rsid wsp:val=&quot;0000229E&quot;/&gt;&lt;wsp:rsid wsp:val=&quot;000027D5&quot;/&gt;&lt;wsp:rsid wsp:val=&quot;00002824&quot;/&gt;&lt;wsp:rsid wsp:val=&quot;00002C12&quot;/&gt;&lt;wsp:rsid wsp:val=&quot;00002C43&quot;/&gt;&lt;wsp:rsid wsp:val=&quot;00002D9C&quot;/&gt;&lt;wsp:rsid wsp:val=&quot;00002F36&quot;/&gt;&lt;wsp:rsid wsp:val=&quot;0000302F&quot;/&gt;&lt;wsp:rsid wsp:val=&quot;00003030&quot;/&gt;&lt;wsp:rsid wsp:val=&quot;00003EFF&quot;/&gt;&lt;wsp:rsid wsp:val=&quot;0000414C&quot;/&gt;&lt;wsp:rsid wsp:val=&quot;0000443D&quot;/&gt;&lt;wsp:rsid wsp:val=&quot;000046CC&quot;/&gt;&lt;wsp:rsid wsp:val=&quot;00004716&quot;/&gt;&lt;wsp:rsid wsp:val=&quot;0000486D&quot;/&gt;&lt;wsp:rsid wsp:val=&quot;000049C0&quot;/&gt;&lt;wsp:rsid wsp:val=&quot;00004D19&quot;/&gt;&lt;wsp:rsid wsp:val=&quot;00004FAE&quot;/&gt;&lt;wsp:rsid wsp:val=&quot;00004FFC&quot;/&gt;&lt;wsp:rsid wsp:val=&quot;00005636&quot;/&gt;&lt;wsp:rsid wsp:val=&quot;000056E1&quot;/&gt;&lt;wsp:rsid wsp:val=&quot;00005DAF&quot;/&gt;&lt;wsp:rsid wsp:val=&quot;00005F1A&quot;/&gt;&lt;wsp:rsid wsp:val=&quot;00005FEB&quot;/&gt;&lt;wsp:rsid wsp:val=&quot;00006392&quot;/&gt;&lt;wsp:rsid wsp:val=&quot;000063D0&quot;/&gt;&lt;wsp:rsid wsp:val=&quot;00006AE8&quot;/&gt;&lt;wsp:rsid wsp:val=&quot;00006D6F&quot;/&gt;&lt;wsp:rsid wsp:val=&quot;00007175&quot;/&gt;&lt;wsp:rsid wsp:val=&quot;00007274&quot;/&gt;&lt;wsp:rsid wsp:val=&quot;00007B99&quot;/&gt;&lt;wsp:rsid wsp:val=&quot;000101C0&quot;/&gt;&lt;wsp:rsid wsp:val=&quot;00010212&quot;/&gt;&lt;wsp:rsid wsp:val=&quot;00010264&quot;/&gt;&lt;wsp:rsid wsp:val=&quot;000102BD&quot;/&gt;&lt;wsp:rsid wsp:val=&quot;000102EA&quot;/&gt;&lt;wsp:rsid wsp:val=&quot;00010466&quot;/&gt;&lt;wsp:rsid wsp:val=&quot;00010AB4&quot;/&gt;&lt;wsp:rsid wsp:val=&quot;00010B0B&quot;/&gt;&lt;wsp:rsid wsp:val=&quot;00010C3B&quot;/&gt;&lt;wsp:rsid wsp:val=&quot;00010F91&quot;/&gt;&lt;wsp:rsid wsp:val=&quot;000112EE&quot;/&gt;&lt;wsp:rsid wsp:val=&quot;0001146D&quot;/&gt;&lt;wsp:rsid wsp:val=&quot;00011665&quot;/&gt;&lt;wsp:rsid wsp:val=&quot;00011B64&quot;/&gt;&lt;wsp:rsid wsp:val=&quot;00011CA8&quot;/&gt;&lt;wsp:rsid wsp:val=&quot;00011DE4&quot;/&gt;&lt;wsp:rsid wsp:val=&quot;000124AE&quot;/&gt;&lt;wsp:rsid wsp:val=&quot;000127BC&quot;/&gt;&lt;wsp:rsid wsp:val=&quot;00012A66&quot;/&gt;&lt;wsp:rsid wsp:val=&quot;00012DA8&quot;/&gt;&lt;wsp:rsid wsp:val=&quot;00013A20&quot;/&gt;&lt;wsp:rsid wsp:val=&quot;00013A8A&quot;/&gt;&lt;wsp:rsid wsp:val=&quot;00013CAF&quot;/&gt;&lt;wsp:rsid wsp:val=&quot;00013FBF&quot;/&gt;&lt;wsp:rsid wsp:val=&quot;00014152&quot;/&gt;&lt;wsp:rsid wsp:val=&quot;00014177&quot;/&gt;&lt;wsp:rsid wsp:val=&quot;0001436E&quot;/&gt;&lt;wsp:rsid wsp:val=&quot;00014640&quot;/&gt;&lt;wsp:rsid wsp:val=&quot;000146AB&quot;/&gt;&lt;wsp:rsid wsp:val=&quot;0001483D&quot;/&gt;&lt;wsp:rsid wsp:val=&quot;00014851&quot;/&gt;&lt;wsp:rsid wsp:val=&quot;00014B97&quot;/&gt;&lt;wsp:rsid wsp:val=&quot;00014CA6&quot;/&gt;&lt;wsp:rsid wsp:val=&quot;00015089&quot;/&gt;&lt;wsp:rsid wsp:val=&quot;00015200&quot;/&gt;&lt;wsp:rsid wsp:val=&quot;00015247&quot;/&gt;&lt;wsp:rsid wsp:val=&quot;00015471&quot;/&gt;&lt;wsp:rsid wsp:val=&quot;00015475&quot;/&gt;&lt;wsp:rsid wsp:val=&quot;000156EB&quot;/&gt;&lt;wsp:rsid wsp:val=&quot;00015CFD&quot;/&gt;&lt;wsp:rsid wsp:val=&quot;00015E89&quot;/&gt;&lt;wsp:rsid wsp:val=&quot;000162CA&quot;/&gt;&lt;wsp:rsid wsp:val=&quot;000168D8&quot;/&gt;&lt;wsp:rsid wsp:val=&quot;00016BF0&quot;/&gt;&lt;wsp:rsid wsp:val=&quot;00016DD4&quot;/&gt;&lt;wsp:rsid wsp:val=&quot;00016F5A&quot;/&gt;&lt;wsp:rsid wsp:val=&quot;000171AD&quot;/&gt;&lt;wsp:rsid wsp:val=&quot;0001725E&quot;/&gt;&lt;wsp:rsid wsp:val=&quot;000173C4&quot;/&gt;&lt;wsp:rsid wsp:val=&quot;0001783F&quot;/&gt;&lt;wsp:rsid wsp:val=&quot;00017B5A&quot;/&gt;&lt;wsp:rsid wsp:val=&quot;00017FC8&quot;/&gt;&lt;wsp:rsid wsp:val=&quot;000200B7&quot;/&gt;&lt;wsp:rsid wsp:val=&quot;00020690&quot;/&gt;&lt;wsp:rsid wsp:val=&quot;000207BC&quot;/&gt;&lt;wsp:rsid wsp:val=&quot;00020B70&quot;/&gt;&lt;wsp:rsid wsp:val=&quot;00020CF2&quot;/&gt;&lt;wsp:rsid wsp:val=&quot;00020D15&quot;/&gt;&lt;wsp:rsid wsp:val=&quot;0002146E&quot;/&gt;&lt;wsp:rsid wsp:val=&quot;000216FC&quot;/&gt;&lt;wsp:rsid wsp:val=&quot;00021808&quot;/&gt;&lt;wsp:rsid wsp:val=&quot;00021864&quot;/&gt;&lt;wsp:rsid wsp:val=&quot;000219DD&quot;/&gt;&lt;wsp:rsid wsp:val=&quot;00021A57&quot;/&gt;&lt;wsp:rsid wsp:val=&quot;00021C1B&quot;/&gt;&lt;wsp:rsid wsp:val=&quot;00021C6A&quot;/&gt;&lt;wsp:rsid wsp:val=&quot;0002261A&quot;/&gt;&lt;wsp:rsid wsp:val=&quot;00022689&quot;/&gt;&lt;wsp:rsid wsp:val=&quot;0002275A&quot;/&gt;&lt;wsp:rsid wsp:val=&quot;00022976&quot;/&gt;&lt;wsp:rsid wsp:val=&quot;00022B13&quot;/&gt;&lt;wsp:rsid wsp:val=&quot;00022C89&quot;/&gt;&lt;wsp:rsid wsp:val=&quot;00022ED3&quot;/&gt;&lt;wsp:rsid wsp:val=&quot;0002310D&quot;/&gt;&lt;wsp:rsid wsp:val=&quot;0002325C&quot;/&gt;&lt;wsp:rsid wsp:val=&quot;000233B5&quot;/&gt;&lt;wsp:rsid wsp:val=&quot;000235C8&quot;/&gt;&lt;wsp:rsid wsp:val=&quot;000237E7&quot;/&gt;&lt;wsp:rsid wsp:val=&quot;000238DD&quot;/&gt;&lt;wsp:rsid wsp:val=&quot;00023B4A&quot;/&gt;&lt;wsp:rsid wsp:val=&quot;00023CDA&quot;/&gt;&lt;wsp:rsid wsp:val=&quot;0002413B&quot;/&gt;&lt;wsp:rsid wsp:val=&quot;000244A8&quot;/&gt;&lt;wsp:rsid wsp:val=&quot;0002487C&quot;/&gt;&lt;wsp:rsid wsp:val=&quot;00024D37&quot;/&gt;&lt;wsp:rsid wsp:val=&quot;00024F28&quot;/&gt;&lt;wsp:rsid wsp:val=&quot;000252B6&quot;/&gt;&lt;wsp:rsid wsp:val=&quot;000254CC&quot;/&gt;&lt;wsp:rsid wsp:val=&quot;00025586&quot;/&gt;&lt;wsp:rsid wsp:val=&quot;000260FE&quot;/&gt;&lt;wsp:rsid wsp:val=&quot;00026294&quot;/&gt;&lt;wsp:rsid wsp:val=&quot;00026338&quot;/&gt;&lt;wsp:rsid wsp:val=&quot;000266C8&quot;/&gt;&lt;wsp:rsid wsp:val=&quot;00026ABE&quot;/&gt;&lt;wsp:rsid wsp:val=&quot;00026FF4&quot;/&gt;&lt;wsp:rsid wsp:val=&quot;0002729C&quot;/&gt;&lt;wsp:rsid wsp:val=&quot;000279E6&quot;/&gt;&lt;wsp:rsid wsp:val=&quot;00027B3A&quot;/&gt;&lt;wsp:rsid wsp:val=&quot;00027C41&quot;/&gt;&lt;wsp:rsid wsp:val=&quot;00027F89&quot;/&gt;&lt;wsp:rsid wsp:val=&quot;0003050D&quot;/&gt;&lt;wsp:rsid wsp:val=&quot;00030523&quot;/&gt;&lt;wsp:rsid wsp:val=&quot;00031209&quot;/&gt;&lt;wsp:rsid wsp:val=&quot;00031883&quot;/&gt;&lt;wsp:rsid wsp:val=&quot;00032460&quot;/&gt;&lt;wsp:rsid wsp:val=&quot;0003252F&quot;/&gt;&lt;wsp:rsid wsp:val=&quot;000325E4&quot;/&gt;&lt;wsp:rsid wsp:val=&quot;000329BA&quot;/&gt;&lt;wsp:rsid wsp:val=&quot;00032F20&quot;/&gt;&lt;wsp:rsid wsp:val=&quot;000330C7&quot;/&gt;&lt;wsp:rsid wsp:val=&quot;00033121&quot;/&gt;&lt;wsp:rsid wsp:val=&quot;000332E2&quot;/&gt;&lt;wsp:rsid wsp:val=&quot;00033895&quot;/&gt;&lt;wsp:rsid wsp:val=&quot;00033D2D&quot;/&gt;&lt;wsp:rsid wsp:val=&quot;0003401B&quot;/&gt;&lt;wsp:rsid wsp:val=&quot;000341CE&quot;/&gt;&lt;wsp:rsid wsp:val=&quot;00034258&quot;/&gt;&lt;wsp:rsid wsp:val=&quot;00034677&quot;/&gt;&lt;wsp:rsid wsp:val=&quot;000355D5&quot;/&gt;&lt;wsp:rsid wsp:val=&quot;0003587E&quot;/&gt;&lt;wsp:rsid wsp:val=&quot;000358E5&quot;/&gt;&lt;wsp:rsid wsp:val=&quot;00035FC8&quot;/&gt;&lt;wsp:rsid wsp:val=&quot;00036085&quot;/&gt;&lt;wsp:rsid wsp:val=&quot;0003610F&quot;/&gt;&lt;wsp:rsid wsp:val=&quot;00036574&quot;/&gt;&lt;wsp:rsid wsp:val=&quot;00036A0C&quot;/&gt;&lt;wsp:rsid wsp:val=&quot;0003741C&quot;/&gt;&lt;wsp:rsid wsp:val=&quot;000375A9&quot;/&gt;&lt;wsp:rsid wsp:val=&quot;000375E4&quot;/&gt;&lt;wsp:rsid wsp:val=&quot;00037990&quot;/&gt;&lt;wsp:rsid wsp:val=&quot;000379E2&quot;/&gt;&lt;wsp:rsid wsp:val=&quot;00037A8B&quot;/&gt;&lt;wsp:rsid wsp:val=&quot;00037B44&quot;/&gt;&lt;wsp:rsid wsp:val=&quot;00037D86&quot;/&gt;&lt;wsp:rsid wsp:val=&quot;000401B5&quot;/&gt;&lt;wsp:rsid wsp:val=&quot;00040704&quot;/&gt;&lt;wsp:rsid wsp:val=&quot;00040747&quot;/&gt;&lt;wsp:rsid wsp:val=&quot;00040937&quot;/&gt;&lt;wsp:rsid wsp:val=&quot;00040B84&quot;/&gt;&lt;wsp:rsid wsp:val=&quot;00040C12&quot;/&gt;&lt;wsp:rsid wsp:val=&quot;00040DA1&quot;/&gt;&lt;wsp:rsid wsp:val=&quot;00040F18&quot;/&gt;&lt;wsp:rsid wsp:val=&quot;0004110F&quot;/&gt;&lt;wsp:rsid wsp:val=&quot;000412EB&quot;/&gt;&lt;wsp:rsid wsp:val=&quot;0004138D&quot;/&gt;&lt;wsp:rsid wsp:val=&quot;000413F1&quot;/&gt;&lt;wsp:rsid wsp:val=&quot;000414C0&quot;/&gt;&lt;wsp:rsid wsp:val=&quot;00041E8F&quot;/&gt;&lt;wsp:rsid wsp:val=&quot;00041F06&quot;/&gt;&lt;wsp:rsid wsp:val=&quot;0004255B&quot;/&gt;&lt;wsp:rsid wsp:val=&quot;00042594&quot;/&gt;&lt;wsp:rsid wsp:val=&quot;0004273E&quot;/&gt;&lt;wsp:rsid wsp:val=&quot;00042764&quot;/&gt;&lt;wsp:rsid wsp:val=&quot;00042F4A&quot;/&gt;&lt;wsp:rsid wsp:val=&quot;000430F4&quot;/&gt;&lt;wsp:rsid wsp:val=&quot;00043921&quot;/&gt;&lt;wsp:rsid wsp:val=&quot;00043935&quot;/&gt;&lt;wsp:rsid wsp:val=&quot;00043EB2&quot;/&gt;&lt;wsp:rsid wsp:val=&quot;0004419F&quot;/&gt;&lt;wsp:rsid wsp:val=&quot;00044391&quot;/&gt;&lt;wsp:rsid wsp:val=&quot;0004446E&quot;/&gt;&lt;wsp:rsid wsp:val=&quot;000444B3&quot;/&gt;&lt;wsp:rsid wsp:val=&quot;00044538&quot;/&gt;&lt;wsp:rsid wsp:val=&quot;0004488A&quot;/&gt;&lt;wsp:rsid wsp:val=&quot;000449CE&quot;/&gt;&lt;wsp:rsid wsp:val=&quot;00044A16&quot;/&gt;&lt;wsp:rsid wsp:val=&quot;00044B5C&quot;/&gt;&lt;wsp:rsid wsp:val=&quot;00044D18&quot;/&gt;&lt;wsp:rsid wsp:val=&quot;00044E73&quot;/&gt;&lt;wsp:rsid wsp:val=&quot;00044F28&quot;/&gt;&lt;wsp:rsid wsp:val=&quot;00044FEF&quot;/&gt;&lt;wsp:rsid wsp:val=&quot;00045598&quot;/&gt;&lt;wsp:rsid wsp:val=&quot;00045B35&quot;/&gt;&lt;wsp:rsid wsp:val=&quot;00045E51&quot;/&gt;&lt;wsp:rsid wsp:val=&quot;00046110&quot;/&gt;&lt;wsp:rsid wsp:val=&quot;00046429&quot;/&gt;&lt;wsp:rsid wsp:val=&quot;0004668C&quot;/&gt;&lt;wsp:rsid wsp:val=&quot;000475D4&quot;/&gt;&lt;wsp:rsid wsp:val=&quot;00047C17&quot;/&gt;&lt;wsp:rsid wsp:val=&quot;00047C27&quot;/&gt;&lt;wsp:rsid wsp:val=&quot;00047C59&quot;/&gt;&lt;wsp:rsid wsp:val=&quot;00047F34&quot;/&gt;&lt;wsp:rsid wsp:val=&quot;000504F0&quot;/&gt;&lt;wsp:rsid wsp:val=&quot;00050664&quot;/&gt;&lt;wsp:rsid wsp:val=&quot;00050880&quot;/&gt;&lt;wsp:rsid wsp:val=&quot;00050993&quot;/&gt;&lt;wsp:rsid wsp:val=&quot;00050FD6&quot;/&gt;&lt;wsp:rsid wsp:val=&quot;00051206&quot;/&gt;&lt;wsp:rsid wsp:val=&quot;000515A2&quot;/&gt;&lt;wsp:rsid wsp:val=&quot;00051F54&quot;/&gt;&lt;wsp:rsid wsp:val=&quot;000520A1&quot;/&gt;&lt;wsp:rsid wsp:val=&quot;000525EB&quot;/&gt;&lt;wsp:rsid wsp:val=&quot;0005266E&quot;/&gt;&lt;wsp:rsid wsp:val=&quot;000527E0&quot;/&gt;&lt;wsp:rsid wsp:val=&quot;00052923&quot;/&gt;&lt;wsp:rsid wsp:val=&quot;00052D26&quot;/&gt;&lt;wsp:rsid wsp:val=&quot;00052E31&quot;/&gt;&lt;wsp:rsid wsp:val=&quot;000535A5&quot;/&gt;&lt;wsp:rsid wsp:val=&quot;000536A3&quot;/&gt;&lt;wsp:rsid wsp:val=&quot;00053D10&quot;/&gt;&lt;wsp:rsid wsp:val=&quot;00053F2B&quot;/&gt;&lt;wsp:rsid wsp:val=&quot;00053F37&quot;/&gt;&lt;wsp:rsid wsp:val=&quot;000546C9&quot;/&gt;&lt;wsp:rsid wsp:val=&quot;000547F3&quot;/&gt;&lt;wsp:rsid wsp:val=&quot;000548C7&quot;/&gt;&lt;wsp:rsid wsp:val=&quot;00054E12&quot;/&gt;&lt;wsp:rsid wsp:val=&quot;00054E32&quot;/&gt;&lt;wsp:rsid wsp:val=&quot;000551DD&quot;/&gt;&lt;wsp:rsid wsp:val=&quot;0005551E&quot;/&gt;&lt;wsp:rsid wsp:val=&quot;00055725&quot;/&gt;&lt;wsp:rsid wsp:val=&quot;0005582F&quot;/&gt;&lt;wsp:rsid wsp:val=&quot;000558B6&quot;/&gt;&lt;wsp:rsid wsp:val=&quot;00055A9A&quot;/&gt;&lt;wsp:rsid wsp:val=&quot;00055D45&quot;/&gt;&lt;wsp:rsid wsp:val=&quot;00055E28&quot;/&gt;&lt;wsp:rsid wsp:val=&quot;000563E2&quot;/&gt;&lt;wsp:rsid wsp:val=&quot;0005646A&quot;/&gt;&lt;wsp:rsid wsp:val=&quot;00056820&quot;/&gt;&lt;wsp:rsid wsp:val=&quot;00056C8F&quot;/&gt;&lt;wsp:rsid wsp:val=&quot;000570B4&quot;/&gt;&lt;wsp:rsid wsp:val=&quot;00057287&quot;/&gt;&lt;wsp:rsid wsp:val=&quot;00057450&quot;/&gt;&lt;wsp:rsid wsp:val=&quot;00057FD1&quot;/&gt;&lt;wsp:rsid wsp:val=&quot;000605C6&quot;/&gt;&lt;wsp:rsid wsp:val=&quot;0006094F&quot;/&gt;&lt;wsp:rsid wsp:val=&quot;00060D9A&quot;/&gt;&lt;wsp:rsid wsp:val=&quot;0006114D&quot;/&gt;&lt;wsp:rsid wsp:val=&quot;00061342&quot;/&gt;&lt;wsp:rsid wsp:val=&quot;000616FB&quot;/&gt;&lt;wsp:rsid wsp:val=&quot;00061D4B&quot;/&gt;&lt;wsp:rsid wsp:val=&quot;0006251F&quot;/&gt;&lt;wsp:rsid wsp:val=&quot;00062BCA&quot;/&gt;&lt;wsp:rsid wsp:val=&quot;00063845&quot;/&gt;&lt;wsp:rsid wsp:val=&quot;00063E7D&quot;/&gt;&lt;wsp:rsid wsp:val=&quot;00063F8C&quot;/&gt;&lt;wsp:rsid wsp:val=&quot;00064336&quot;/&gt;&lt;wsp:rsid wsp:val=&quot;000643A2&quot;/&gt;&lt;wsp:rsid wsp:val=&quot;00064B66&quot;/&gt;&lt;wsp:rsid wsp:val=&quot;00064F9D&quot;/&gt;&lt;wsp:rsid wsp:val=&quot;0006561A&quot;/&gt;&lt;wsp:rsid wsp:val=&quot;000659B9&quot;/&gt;&lt;wsp:rsid wsp:val=&quot;00065B48&quot;/&gt;&lt;wsp:rsid wsp:val=&quot;00065F03&quot;/&gt;&lt;wsp:rsid wsp:val=&quot;00066175&quot;/&gt;&lt;wsp:rsid wsp:val=&quot;000661F0&quot;/&gt;&lt;wsp:rsid wsp:val=&quot;00066384&quot;/&gt;&lt;wsp:rsid wsp:val=&quot;00066556&quot;/&gt;&lt;wsp:rsid wsp:val=&quot;00066C9F&quot;/&gt;&lt;wsp:rsid wsp:val=&quot;00066D83&quot;/&gt;&lt;wsp:rsid wsp:val=&quot;00067045&quot;/&gt;&lt;wsp:rsid wsp:val=&quot;00067A40&quot;/&gt;&lt;wsp:rsid wsp:val=&quot;00067AA3&quot;/&gt;&lt;wsp:rsid wsp:val=&quot;00067AB9&quot;/&gt;&lt;wsp:rsid wsp:val=&quot;00070000&quot;/&gt;&lt;wsp:rsid wsp:val=&quot;00070067&quot;/&gt;&lt;wsp:rsid wsp:val=&quot;0007015F&quot;/&gt;&lt;wsp:rsid wsp:val=&quot;000702C2&quot;/&gt;&lt;wsp:rsid wsp:val=&quot;000702C6&quot;/&gt;&lt;wsp:rsid wsp:val=&quot;00070A24&quot;/&gt;&lt;wsp:rsid wsp:val=&quot;00071628&quot;/&gt;&lt;wsp:rsid wsp:val=&quot;0007185F&quot;/&gt;&lt;wsp:rsid wsp:val=&quot;00072553&quot;/&gt;&lt;wsp:rsid wsp:val=&quot;00072E07&quot;/&gt;&lt;wsp:rsid wsp:val=&quot;00073729&quot;/&gt;&lt;wsp:rsid wsp:val=&quot;000739F2&quot;/&gt;&lt;wsp:rsid wsp:val=&quot;00073E02&quot;/&gt;&lt;wsp:rsid wsp:val=&quot;00074052&quot;/&gt;&lt;wsp:rsid wsp:val=&quot;00074807&quot;/&gt;&lt;wsp:rsid wsp:val=&quot;00075396&quot;/&gt;&lt;wsp:rsid wsp:val=&quot;00075542&quot;/&gt;&lt;wsp:rsid wsp:val=&quot;00075821&quot;/&gt;&lt;wsp:rsid wsp:val=&quot;00075BDC&quot;/&gt;&lt;wsp:rsid wsp:val=&quot;00075C12&quot;/&gt;&lt;wsp:rsid wsp:val=&quot;00076244&quot;/&gt;&lt;wsp:rsid wsp:val=&quot;0007658B&quot;/&gt;&lt;wsp:rsid wsp:val=&quot;000765A5&quot;/&gt;&lt;wsp:rsid wsp:val=&quot;000766B1&quot;/&gt;&lt;wsp:rsid wsp:val=&quot;00076AEC&quot;/&gt;&lt;wsp:rsid wsp:val=&quot;00076B85&quot;/&gt;&lt;wsp:rsid wsp:val=&quot;00077223&quot;/&gt;&lt;wsp:rsid wsp:val=&quot;000775BC&quot;/&gt;&lt;wsp:rsid wsp:val=&quot;00077735&quot;/&gt;&lt;wsp:rsid wsp:val=&quot;00077964&quot;/&gt;&lt;wsp:rsid wsp:val=&quot;00077AC7&quot;/&gt;&lt;wsp:rsid wsp:val=&quot;00080093&quot;/&gt;&lt;wsp:rsid wsp:val=&quot;00080B60&quot;/&gt;&lt;wsp:rsid wsp:val=&quot;00080D86&quot;/&gt;&lt;wsp:rsid wsp:val=&quot;0008123C&quot;/&gt;&lt;wsp:rsid wsp:val=&quot;000815B0&quot;/&gt;&lt;wsp:rsid wsp:val=&quot;000822F8&quot;/&gt;&lt;wsp:rsid wsp:val=&quot;0008289C&quot;/&gt;&lt;wsp:rsid wsp:val=&quot;00082ACC&quot;/&gt;&lt;wsp:rsid wsp:val=&quot;00082EC5&quot;/&gt;&lt;wsp:rsid wsp:val=&quot;00083307&quot;/&gt;&lt;wsp:rsid wsp:val=&quot;0008338D&quot;/&gt;&lt;wsp:rsid wsp:val=&quot;00083405&quot;/&gt;&lt;wsp:rsid wsp:val=&quot;00083653&quot;/&gt;&lt;wsp:rsid wsp:val=&quot;00083ADB&quot;/&gt;&lt;wsp:rsid wsp:val=&quot;00083BC4&quot;/&gt;&lt;wsp:rsid wsp:val=&quot;00083C79&quot;/&gt;&lt;wsp:rsid wsp:val=&quot;000845BC&quot;/&gt;&lt;wsp:rsid wsp:val=&quot;00084681&quot;/&gt;&lt;wsp:rsid wsp:val=&quot;000849E2&quot;/&gt;&lt;wsp:rsid wsp:val=&quot;00085033&quot;/&gt;&lt;wsp:rsid wsp:val=&quot;0008530A&quot;/&gt;&lt;wsp:rsid wsp:val=&quot;00085A95&quot;/&gt;&lt;wsp:rsid wsp:val=&quot;00085CFD&quot;/&gt;&lt;wsp:rsid wsp:val=&quot;0008620C&quot;/&gt;&lt;wsp:rsid wsp:val=&quot;00086329&quot;/&gt;&lt;wsp:rsid wsp:val=&quot;0008638E&quot;/&gt;&lt;wsp:rsid wsp:val=&quot;00086444&quot;/&gt;&lt;wsp:rsid wsp:val=&quot;00086BB9&quot;/&gt;&lt;wsp:rsid wsp:val=&quot;00087727&quot;/&gt;&lt;wsp:rsid wsp:val=&quot;000877E2&quot;/&gt;&lt;wsp:rsid wsp:val=&quot;00087AC4&quot;/&gt;&lt;wsp:rsid wsp:val=&quot;00087E23&quot;/&gt;&lt;wsp:rsid wsp:val=&quot;0009014C&quot;/&gt;&lt;wsp:rsid wsp:val=&quot;0009092E&quot;/&gt;&lt;wsp:rsid wsp:val=&quot;00090D88&quot;/&gt;&lt;wsp:rsid wsp:val=&quot;00091590&quot;/&gt;&lt;wsp:rsid wsp:val=&quot;0009167E&quot;/&gt;&lt;wsp:rsid wsp:val=&quot;00091B44&quot;/&gt;&lt;wsp:rsid wsp:val=&quot;00091DDD&quot;/&gt;&lt;wsp:rsid wsp:val=&quot;00092244&quot;/&gt;&lt;wsp:rsid wsp:val=&quot;000922A0&quot;/&gt;&lt;wsp:rsid wsp:val=&quot;0009250A&quot;/&gt;&lt;wsp:rsid wsp:val=&quot;00092832&quot;/&gt;&lt;wsp:rsid wsp:val=&quot;00092880&quot;/&gt;&lt;wsp:rsid wsp:val=&quot;000928B8&quot;/&gt;&lt;wsp:rsid wsp:val=&quot;00092BDB&quot;/&gt;&lt;wsp:rsid wsp:val=&quot;00092D38&quot;/&gt;&lt;wsp:rsid wsp:val=&quot;00092DF8&quot;/&gt;&lt;wsp:rsid wsp:val=&quot;00093306&quot;/&gt;&lt;wsp:rsid wsp:val=&quot;00093658&quot;/&gt;&lt;wsp:rsid wsp:val=&quot;000936D3&quot;/&gt;&lt;wsp:rsid wsp:val=&quot;00093D53&quot;/&gt;&lt;wsp:rsid wsp:val=&quot;00093FD6&quot;/&gt;&lt;wsp:rsid wsp:val=&quot;000943A3&quot;/&gt;&lt;wsp:rsid wsp:val=&quot;0009494C&quot;/&gt;&lt;wsp:rsid wsp:val=&quot;00094EE1&quot;/&gt;&lt;wsp:rsid wsp:val=&quot;00095196&quot;/&gt;&lt;wsp:rsid wsp:val=&quot;00095C3B&quot;/&gt;&lt;wsp:rsid wsp:val=&quot;00096485&quot;/&gt;&lt;wsp:rsid wsp:val=&quot;000964BF&quot;/&gt;&lt;wsp:rsid wsp:val=&quot;00096807&quot;/&gt;&lt;wsp:rsid wsp:val=&quot;00096843&quot;/&gt;&lt;wsp:rsid wsp:val=&quot;000968B5&quot;/&gt;&lt;wsp:rsid wsp:val=&quot;00096B2F&quot;/&gt;&lt;wsp:rsid wsp:val=&quot;00096F78&quot;/&gt;&lt;wsp:rsid wsp:val=&quot;00097521&quot;/&gt;&lt;wsp:rsid wsp:val=&quot;000978B1&quot;/&gt;&lt;wsp:rsid wsp:val=&quot;000A002B&quot;/&gt;&lt;wsp:rsid wsp:val=&quot;000A0434&quot;/&gt;&lt;wsp:rsid wsp:val=&quot;000A04F0&quot;/&gt;&lt;wsp:rsid wsp:val=&quot;000A08A6&quot;/&gt;&lt;wsp:rsid wsp:val=&quot;000A0932&quot;/&gt;&lt;wsp:rsid wsp:val=&quot;000A0A93&quot;/&gt;&lt;wsp:rsid wsp:val=&quot;000A0BB0&quot;/&gt;&lt;wsp:rsid wsp:val=&quot;000A0DA2&quot;/&gt;&lt;wsp:rsid wsp:val=&quot;000A16CC&quot;/&gt;&lt;wsp:rsid wsp:val=&quot;000A1A46&quot;/&gt;&lt;wsp:rsid wsp:val=&quot;000A1B18&quot;/&gt;&lt;wsp:rsid wsp:val=&quot;000A1C8A&quot;/&gt;&lt;wsp:rsid wsp:val=&quot;000A379F&quot;/&gt;&lt;wsp:rsid wsp:val=&quot;000A38E0&quot;/&gt;&lt;wsp:rsid wsp:val=&quot;000A39DE&quot;/&gt;&lt;wsp:rsid wsp:val=&quot;000A3C68&quot;/&gt;&lt;wsp:rsid wsp:val=&quot;000A3F95&quot;/&gt;&lt;wsp:rsid wsp:val=&quot;000A4373&quot;/&gt;&lt;wsp:rsid wsp:val=&quot;000A4670&quot;/&gt;&lt;wsp:rsid wsp:val=&quot;000A477D&quot;/&gt;&lt;wsp:rsid wsp:val=&quot;000A47CF&quot;/&gt;&lt;wsp:rsid wsp:val=&quot;000A4C05&quot;/&gt;&lt;wsp:rsid wsp:val=&quot;000A4D03&quot;/&gt;&lt;wsp:rsid wsp:val=&quot;000A4FB4&quot;/&gt;&lt;wsp:rsid wsp:val=&quot;000A4FF6&quot;/&gt;&lt;wsp:rsid wsp:val=&quot;000A512E&quot;/&gt;&lt;wsp:rsid wsp:val=&quot;000A525A&quot;/&gt;&lt;wsp:rsid wsp:val=&quot;000A52FF&quot;/&gt;&lt;wsp:rsid wsp:val=&quot;000A57A2&quot;/&gt;&lt;wsp:rsid wsp:val=&quot;000A5EA9&quot;/&gt;&lt;wsp:rsid wsp:val=&quot;000A611E&quot;/&gt;&lt;wsp:rsid wsp:val=&quot;000A6372&quot;/&gt;&lt;wsp:rsid wsp:val=&quot;000A68B1&quot;/&gt;&lt;wsp:rsid wsp:val=&quot;000A6AAC&quot;/&gt;&lt;wsp:rsid wsp:val=&quot;000A6BF9&quot;/&gt;&lt;wsp:rsid wsp:val=&quot;000A6E06&quot;/&gt;&lt;wsp:rsid wsp:val=&quot;000A718C&quot;/&gt;&lt;wsp:rsid wsp:val=&quot;000A741A&quot;/&gt;&lt;wsp:rsid wsp:val=&quot;000A7430&quot;/&gt;&lt;wsp:rsid wsp:val=&quot;000A7482&quot;/&gt;&lt;wsp:rsid wsp:val=&quot;000A7895&quot;/&gt;&lt;wsp:rsid wsp:val=&quot;000A7BD7&quot;/&gt;&lt;wsp:rsid wsp:val=&quot;000A7D80&quot;/&gt;&lt;wsp:rsid wsp:val=&quot;000B1142&quot;/&gt;&lt;wsp:rsid wsp:val=&quot;000B1322&quot;/&gt;&lt;wsp:rsid wsp:val=&quot;000B149A&quot;/&gt;&lt;wsp:rsid wsp:val=&quot;000B14DF&quot;/&gt;&lt;wsp:rsid wsp:val=&quot;000B167D&quot;/&gt;&lt;wsp:rsid wsp:val=&quot;000B1B67&quot;/&gt;&lt;wsp:rsid wsp:val=&quot;000B1E31&quot;/&gt;&lt;wsp:rsid wsp:val=&quot;000B221A&quot;/&gt;&lt;wsp:rsid wsp:val=&quot;000B251B&quot;/&gt;&lt;wsp:rsid wsp:val=&quot;000B25C3&quot;/&gt;&lt;wsp:rsid wsp:val=&quot;000B27FD&quot;/&gt;&lt;wsp:rsid wsp:val=&quot;000B286C&quot;/&gt;&lt;wsp:rsid wsp:val=&quot;000B2B47&quot;/&gt;&lt;wsp:rsid wsp:val=&quot;000B2B6B&quot;/&gt;&lt;wsp:rsid wsp:val=&quot;000B2C1A&quot;/&gt;&lt;wsp:rsid wsp:val=&quot;000B2EB4&quot;/&gt;&lt;wsp:rsid wsp:val=&quot;000B3481&quot;/&gt;&lt;wsp:rsid wsp:val=&quot;000B3B79&quot;/&gt;&lt;wsp:rsid wsp:val=&quot;000B4097&quot;/&gt;&lt;wsp:rsid wsp:val=&quot;000B40D5&quot;/&gt;&lt;wsp:rsid wsp:val=&quot;000B439E&quot;/&gt;&lt;wsp:rsid wsp:val=&quot;000B4880&quot;/&gt;&lt;wsp:rsid wsp:val=&quot;000B4C48&quot;/&gt;&lt;wsp:rsid wsp:val=&quot;000B51E8&quot;/&gt;&lt;wsp:rsid wsp:val=&quot;000B5B75&quot;/&gt;&lt;wsp:rsid wsp:val=&quot;000B5B94&quot;/&gt;&lt;wsp:rsid wsp:val=&quot;000B5C9E&quot;/&gt;&lt;wsp:rsid wsp:val=&quot;000B641C&quot;/&gt;&lt;wsp:rsid wsp:val=&quot;000B6424&quot;/&gt;&lt;wsp:rsid wsp:val=&quot;000B6501&quot;/&gt;&lt;wsp:rsid wsp:val=&quot;000B6618&quot;/&gt;&lt;wsp:rsid wsp:val=&quot;000B693A&quot;/&gt;&lt;wsp:rsid wsp:val=&quot;000B69BA&quot;/&gt;&lt;wsp:rsid wsp:val=&quot;000B6EF4&quot;/&gt;&lt;wsp:rsid wsp:val=&quot;000B6F17&quot;/&gt;&lt;wsp:rsid wsp:val=&quot;000B6F8A&quot;/&gt;&lt;wsp:rsid wsp:val=&quot;000B7311&quot;/&gt;&lt;wsp:rsid wsp:val=&quot;000B7768&quot;/&gt;&lt;wsp:rsid wsp:val=&quot;000B79A3&quot;/&gt;&lt;wsp:rsid wsp:val=&quot;000C060E&quot;/&gt;&lt;wsp:rsid wsp:val=&quot;000C0854&quot;/&gt;&lt;wsp:rsid wsp:val=&quot;000C0E5A&quot;/&gt;&lt;wsp:rsid wsp:val=&quot;000C0F02&quot;/&gt;&lt;wsp:rsid wsp:val=&quot;000C134A&quot;/&gt;&lt;wsp:rsid wsp:val=&quot;000C1706&quot;/&gt;&lt;wsp:rsid wsp:val=&quot;000C1C1D&quot;/&gt;&lt;wsp:rsid wsp:val=&quot;000C1CF9&quot;/&gt;&lt;wsp:rsid wsp:val=&quot;000C1E63&quot;/&gt;&lt;wsp:rsid wsp:val=&quot;000C1FAA&quot;/&gt;&lt;wsp:rsid wsp:val=&quot;000C2A69&quot;/&gt;&lt;wsp:rsid wsp:val=&quot;000C313A&quot;/&gt;&lt;wsp:rsid wsp:val=&quot;000C313D&quot;/&gt;&lt;wsp:rsid wsp:val=&quot;000C324D&quot;/&gt;&lt;wsp:rsid wsp:val=&quot;000C3271&quot;/&gt;&lt;wsp:rsid wsp:val=&quot;000C34E4&quot;/&gt;&lt;wsp:rsid wsp:val=&quot;000C3563&quot;/&gt;&lt;wsp:rsid wsp:val=&quot;000C36F0&quot;/&gt;&lt;wsp:rsid wsp:val=&quot;000C3850&quot;/&gt;&lt;wsp:rsid wsp:val=&quot;000C3B1C&quot;/&gt;&lt;wsp:rsid wsp:val=&quot;000C3D26&quot;/&gt;&lt;wsp:rsid wsp:val=&quot;000C3E41&quot;/&gt;&lt;wsp:rsid wsp:val=&quot;000C40E5&quot;/&gt;&lt;wsp:rsid wsp:val=&quot;000C458C&quot;/&gt;&lt;wsp:rsid wsp:val=&quot;000C4D5D&quot;/&gt;&lt;wsp:rsid wsp:val=&quot;000C55A4&quot;/&gt;&lt;wsp:rsid wsp:val=&quot;000C5DF7&quot;/&gt;&lt;wsp:rsid wsp:val=&quot;000C6617&quot;/&gt;&lt;wsp:rsid wsp:val=&quot;000C68A4&quot;/&gt;&lt;wsp:rsid wsp:val=&quot;000C695C&quot;/&gt;&lt;wsp:rsid wsp:val=&quot;000C7051&quot;/&gt;&lt;wsp:rsid wsp:val=&quot;000C75BD&quot;/&gt;&lt;wsp:rsid wsp:val=&quot;000C771E&quot;/&gt;&lt;wsp:rsid wsp:val=&quot;000C7AF7&quot;/&gt;&lt;wsp:rsid wsp:val=&quot;000C7FDE&quot;/&gt;&lt;wsp:rsid wsp:val=&quot;000D024B&quot;/&gt;&lt;wsp:rsid wsp:val=&quot;000D03D3&quot;/&gt;&lt;wsp:rsid wsp:val=&quot;000D04D2&quot;/&gt;&lt;wsp:rsid wsp:val=&quot;000D05CB&quot;/&gt;&lt;wsp:rsid wsp:val=&quot;000D06AA&quot;/&gt;&lt;wsp:rsid wsp:val=&quot;000D0A5E&quot;/&gt;&lt;wsp:rsid wsp:val=&quot;000D0E34&quot;/&gt;&lt;wsp:rsid wsp:val=&quot;000D123D&quot;/&gt;&lt;wsp:rsid wsp:val=&quot;000D12B2&quot;/&gt;&lt;wsp:rsid wsp:val=&quot;000D1489&quot;/&gt;&lt;wsp:rsid wsp:val=&quot;000D1698&quot;/&gt;&lt;wsp:rsid wsp:val=&quot;000D1A50&quot;/&gt;&lt;wsp:rsid wsp:val=&quot;000D1C03&quot;/&gt;&lt;wsp:rsid wsp:val=&quot;000D1D53&quot;/&gt;&lt;wsp:rsid wsp:val=&quot;000D232C&quot;/&gt;&lt;wsp:rsid wsp:val=&quot;000D285E&quot;/&gt;&lt;wsp:rsid wsp:val=&quot;000D28F0&quot;/&gt;&lt;wsp:rsid wsp:val=&quot;000D296A&quot;/&gt;&lt;wsp:rsid wsp:val=&quot;000D2992&quot;/&gt;&lt;wsp:rsid wsp:val=&quot;000D2C72&quot;/&gt;&lt;wsp:rsid wsp:val=&quot;000D31FD&quot;/&gt;&lt;wsp:rsid wsp:val=&quot;000D3378&quot;/&gt;&lt;wsp:rsid wsp:val=&quot;000D35B2&quot;/&gt;&lt;wsp:rsid wsp:val=&quot;000D3671&quot;/&gt;&lt;wsp:rsid wsp:val=&quot;000D409D&quot;/&gt;&lt;wsp:rsid wsp:val=&quot;000D4513&quot;/&gt;&lt;wsp:rsid wsp:val=&quot;000D4CD0&quot;/&gt;&lt;wsp:rsid wsp:val=&quot;000D4D1D&quot;/&gt;&lt;wsp:rsid wsp:val=&quot;000D4DC6&quot;/&gt;&lt;wsp:rsid wsp:val=&quot;000D4F86&quot;/&gt;&lt;wsp:rsid wsp:val=&quot;000D50D1&quot;/&gt;&lt;wsp:rsid wsp:val=&quot;000D54E7&quot;/&gt;&lt;wsp:rsid wsp:val=&quot;000D5542&quot;/&gt;&lt;wsp:rsid wsp:val=&quot;000D569C&quot;/&gt;&lt;wsp:rsid wsp:val=&quot;000D57B5&quot;/&gt;&lt;wsp:rsid wsp:val=&quot;000D580C&quot;/&gt;&lt;wsp:rsid wsp:val=&quot;000D5848&quot;/&gt;&lt;wsp:rsid wsp:val=&quot;000D59E3&quot;/&gt;&lt;wsp:rsid wsp:val=&quot;000D5ACC&quot;/&gt;&lt;wsp:rsid wsp:val=&quot;000D5E6D&quot;/&gt;&lt;wsp:rsid wsp:val=&quot;000D5ED1&quot;/&gt;&lt;wsp:rsid wsp:val=&quot;000D6903&quot;/&gt;&lt;wsp:rsid wsp:val=&quot;000D6F84&quot;/&gt;&lt;wsp:rsid wsp:val=&quot;000D6FE1&quot;/&gt;&lt;wsp:rsid wsp:val=&quot;000D708D&quot;/&gt;&lt;wsp:rsid wsp:val=&quot;000D753B&quot;/&gt;&lt;wsp:rsid wsp:val=&quot;000D7FBD&quot;/&gt;&lt;wsp:rsid wsp:val=&quot;000E00E8&quot;/&gt;&lt;wsp:rsid wsp:val=&quot;000E013F&quot;/&gt;&lt;wsp:rsid wsp:val=&quot;000E08A7&quot;/&gt;&lt;wsp:rsid wsp:val=&quot;000E0D19&quot;/&gt;&lt;wsp:rsid wsp:val=&quot;000E1064&quot;/&gt;&lt;wsp:rsid wsp:val=&quot;000E1137&quot;/&gt;&lt;wsp:rsid wsp:val=&quot;000E1324&quot;/&gt;&lt;wsp:rsid wsp:val=&quot;000E147C&quot;/&gt;&lt;wsp:rsid wsp:val=&quot;000E16EE&quot;/&gt;&lt;wsp:rsid wsp:val=&quot;000E1736&quot;/&gt;&lt;wsp:rsid wsp:val=&quot;000E1B5F&quot;/&gt;&lt;wsp:rsid wsp:val=&quot;000E20CF&quot;/&gt;&lt;wsp:rsid wsp:val=&quot;000E2277&quot;/&gt;&lt;wsp:rsid wsp:val=&quot;000E22A7&quot;/&gt;&lt;wsp:rsid wsp:val=&quot;000E22ED&quot;/&gt;&lt;wsp:rsid wsp:val=&quot;000E25F1&quot;/&gt;&lt;wsp:rsid wsp:val=&quot;000E2A13&quot;/&gt;&lt;wsp:rsid wsp:val=&quot;000E32F7&quot;/&gt;&lt;wsp:rsid wsp:val=&quot;000E381E&quot;/&gt;&lt;wsp:rsid wsp:val=&quot;000E3AEB&quot;/&gt;&lt;wsp:rsid wsp:val=&quot;000E4019&quot;/&gt;&lt;wsp:rsid wsp:val=&quot;000E4421&quot;/&gt;&lt;wsp:rsid wsp:val=&quot;000E4906&quot;/&gt;&lt;wsp:rsid wsp:val=&quot;000E4CA2&quot;/&gt;&lt;wsp:rsid wsp:val=&quot;000E4F6D&quot;/&gt;&lt;wsp:rsid wsp:val=&quot;000E5496&quot;/&gt;&lt;wsp:rsid wsp:val=&quot;000E56AD&quot;/&gt;&lt;wsp:rsid wsp:val=&quot;000E56C5&quot;/&gt;&lt;wsp:rsid wsp:val=&quot;000E5B04&quot;/&gt;&lt;wsp:rsid wsp:val=&quot;000E64B9&quot;/&gt;&lt;wsp:rsid wsp:val=&quot;000E6562&quot;/&gt;&lt;wsp:rsid wsp:val=&quot;000E6586&quot;/&gt;&lt;wsp:rsid wsp:val=&quot;000E72CA&quot;/&gt;&lt;wsp:rsid wsp:val=&quot;000E7460&quot;/&gt;&lt;wsp:rsid wsp:val=&quot;000E785F&quot;/&gt;&lt;wsp:rsid wsp:val=&quot;000F0095&quot;/&gt;&lt;wsp:rsid wsp:val=&quot;000F0866&quot;/&gt;&lt;wsp:rsid wsp:val=&quot;000F08DE&quot;/&gt;&lt;wsp:rsid wsp:val=&quot;000F0AEA&quot;/&gt;&lt;wsp:rsid wsp:val=&quot;000F0B14&quot;/&gt;&lt;wsp:rsid wsp:val=&quot;000F0D9D&quot;/&gt;&lt;wsp:rsid wsp:val=&quot;000F1187&quot;/&gt;&lt;wsp:rsid wsp:val=&quot;000F13C2&quot;/&gt;&lt;wsp:rsid wsp:val=&quot;000F15F2&quot;/&gt;&lt;wsp:rsid wsp:val=&quot;000F1830&quot;/&gt;&lt;wsp:rsid wsp:val=&quot;000F2759&quot;/&gt;&lt;wsp:rsid wsp:val=&quot;000F317F&quot;/&gt;&lt;wsp:rsid wsp:val=&quot;000F337B&quot;/&gt;&lt;wsp:rsid wsp:val=&quot;000F3CC7&quot;/&gt;&lt;wsp:rsid wsp:val=&quot;000F403D&quot;/&gt;&lt;wsp:rsid wsp:val=&quot;000F4287&quot;/&gt;&lt;wsp:rsid wsp:val=&quot;000F4389&quot;/&gt;&lt;wsp:rsid wsp:val=&quot;000F484B&quot;/&gt;&lt;wsp:rsid wsp:val=&quot;000F4FAE&quot;/&gt;&lt;wsp:rsid wsp:val=&quot;000F5591&quot;/&gt;&lt;wsp:rsid wsp:val=&quot;000F57E4&quot;/&gt;&lt;wsp:rsid wsp:val=&quot;000F5C16&quot;/&gt;&lt;wsp:rsid wsp:val=&quot;000F60E6&quot;/&gt;&lt;wsp:rsid wsp:val=&quot;000F6F5B&quot;/&gt;&lt;wsp:rsid wsp:val=&quot;000F743B&quot;/&gt;&lt;wsp:rsid wsp:val=&quot;000F79ED&quot;/&gt;&lt;wsp:rsid wsp:val=&quot;000F7E8F&quot;/&gt;&lt;wsp:rsid wsp:val=&quot;00100565&quot;/&gt;&lt;wsp:rsid wsp:val=&quot;0010079F&quot;/&gt;&lt;wsp:rsid wsp:val=&quot;001007F6&quot;/&gt;&lt;wsp:rsid wsp:val=&quot;0010085A&quot;/&gt;&lt;wsp:rsid wsp:val=&quot;00100B18&quot;/&gt;&lt;wsp:rsid wsp:val=&quot;00100C0C&quot;/&gt;&lt;wsp:rsid wsp:val=&quot;00100FA1&quot;/&gt;&lt;wsp:rsid wsp:val=&quot;00100FA5&quot;/&gt;&lt;wsp:rsid wsp:val=&quot;0010136D&quot;/&gt;&lt;wsp:rsid wsp:val=&quot;001013C0&quot;/&gt;&lt;wsp:rsid wsp:val=&quot;0010153E&quot;/&gt;&lt;wsp:rsid wsp:val=&quot;001017D1&quot;/&gt;&lt;wsp:rsid wsp:val=&quot;00101889&quot;/&gt;&lt;wsp:rsid wsp:val=&quot;00101BF0&quot;/&gt;&lt;wsp:rsid wsp:val=&quot;00102343&quot;/&gt;&lt;wsp:rsid wsp:val=&quot;00102433&quot;/&gt;&lt;wsp:rsid wsp:val=&quot;00102564&quot;/&gt;&lt;wsp:rsid wsp:val=&quot;001028FB&quot;/&gt;&lt;wsp:rsid wsp:val=&quot;0010291C&quot;/&gt;&lt;wsp:rsid wsp:val=&quot;00102B88&quot;/&gt;&lt;wsp:rsid wsp:val=&quot;00102C99&quot;/&gt;&lt;wsp:rsid wsp:val=&quot;00103887&quot;/&gt;&lt;wsp:rsid wsp:val=&quot;00103962&quot;/&gt;&lt;wsp:rsid wsp:val=&quot;00103D38&quot;/&gt;&lt;wsp:rsid wsp:val=&quot;00104722&quot;/&gt;&lt;wsp:rsid wsp:val=&quot;00104A66&quot;/&gt;&lt;wsp:rsid wsp:val=&quot;00104A96&quot;/&gt;&lt;wsp:rsid wsp:val=&quot;00104DF2&quot;/&gt;&lt;wsp:rsid wsp:val=&quot;00104E38&quot;/&gt;&lt;wsp:rsid wsp:val=&quot;00104E39&quot;/&gt;&lt;wsp:rsid wsp:val=&quot;001053AC&quot;/&gt;&lt;wsp:rsid wsp:val=&quot;001055E1&quot;/&gt;&lt;wsp:rsid wsp:val=&quot;001057A1&quot;/&gt;&lt;wsp:rsid wsp:val=&quot;00105C11&quot;/&gt;&lt;wsp:rsid wsp:val=&quot;00105CA0&quot;/&gt;&lt;wsp:rsid wsp:val=&quot;0010630B&quot;/&gt;&lt;wsp:rsid wsp:val=&quot;0010653D&quot;/&gt;&lt;wsp:rsid wsp:val=&quot;0010728C&quot;/&gt;&lt;wsp:rsid wsp:val=&quot;00107807&quot;/&gt;&lt;wsp:rsid wsp:val=&quot;0010780B&quot;/&gt;&lt;wsp:rsid wsp:val=&quot;0010794E&quot;/&gt;&lt;wsp:rsid wsp:val=&quot;00107B11&quot;/&gt;&lt;wsp:rsid wsp:val=&quot;00107B79&quot;/&gt;&lt;wsp:rsid wsp:val=&quot;00107D7C&quot;/&gt;&lt;wsp:rsid wsp:val=&quot;00107DE6&quot;/&gt;&lt;wsp:rsid wsp:val=&quot;00110460&quot;/&gt;&lt;wsp:rsid wsp:val=&quot;00110AD1&quot;/&gt;&lt;wsp:rsid wsp:val=&quot;00110B44&quot;/&gt;&lt;wsp:rsid wsp:val=&quot;00110C30&quot;/&gt;&lt;wsp:rsid wsp:val=&quot;00110DE8&quot;/&gt;&lt;wsp:rsid wsp:val=&quot;00111278&quot;/&gt;&lt;wsp:rsid wsp:val=&quot;00111481&quot;/&gt;&lt;wsp:rsid wsp:val=&quot;00111703&quot;/&gt;&lt;wsp:rsid wsp:val=&quot;001122D9&quot;/&gt;&lt;wsp:rsid wsp:val=&quot;001125E5&quot;/&gt;&lt;wsp:rsid wsp:val=&quot;001125E7&quot;/&gt;&lt;wsp:rsid wsp:val=&quot;0011327A&quot;/&gt;&lt;wsp:rsid wsp:val=&quot;001132D9&quot;/&gt;&lt;wsp:rsid wsp:val=&quot;00113605&quot;/&gt;&lt;wsp:rsid wsp:val=&quot;00113943&quot;/&gt;&lt;wsp:rsid wsp:val=&quot;00113975&quot;/&gt;&lt;wsp:rsid wsp:val=&quot;00113AE1&quot;/&gt;&lt;wsp:rsid wsp:val=&quot;00113D29&quot;/&gt;&lt;wsp:rsid wsp:val=&quot;0011400E&quot;/&gt;&lt;wsp:rsid wsp:val=&quot;0011403F&quot;/&gt;&lt;wsp:rsid wsp:val=&quot;001144DA&quot;/&gt;&lt;wsp:rsid wsp:val=&quot;0011463D&quot;/&gt;&lt;wsp:rsid wsp:val=&quot;001147C3&quot;/&gt;&lt;wsp:rsid wsp:val=&quot;00115092&quot;/&gt;&lt;wsp:rsid wsp:val=&quot;001151F3&quot;/&gt;&lt;wsp:rsid wsp:val=&quot;001151FC&quot;/&gt;&lt;wsp:rsid wsp:val=&quot;00115369&quot;/&gt;&lt;wsp:rsid wsp:val=&quot;00115564&quot;/&gt;&lt;wsp:rsid wsp:val=&quot;00115E0B&quot;/&gt;&lt;wsp:rsid wsp:val=&quot;00115E7A&quot;/&gt;&lt;wsp:rsid wsp:val=&quot;00115FB8&quot;/&gt;&lt;wsp:rsid wsp:val=&quot;001163B4&quot;/&gt;&lt;wsp:rsid wsp:val=&quot;0011652B&quot;/&gt;&lt;wsp:rsid wsp:val=&quot;0011673A&quot;/&gt;&lt;wsp:rsid wsp:val=&quot;001167F3&quot;/&gt;&lt;wsp:rsid wsp:val=&quot;0011681B&quot;/&gt;&lt;wsp:rsid wsp:val=&quot;00116D9F&quot;/&gt;&lt;wsp:rsid wsp:val=&quot;00117135&quot;/&gt;&lt;wsp:rsid wsp:val=&quot;00117DF4&quot;/&gt;&lt;wsp:rsid wsp:val=&quot;00117E44&quot;/&gt;&lt;wsp:rsid wsp:val=&quot;001208F5&quot;/&gt;&lt;wsp:rsid wsp:val=&quot;00120EEF&quot;/&gt;&lt;wsp:rsid wsp:val=&quot;00121126&quot;/&gt;&lt;wsp:rsid wsp:val=&quot;00121370&quot;/&gt;&lt;wsp:rsid wsp:val=&quot;00121427&quot;/&gt;&lt;wsp:rsid wsp:val=&quot;00121B9F&quot;/&gt;&lt;wsp:rsid wsp:val=&quot;001225E5&quot;/&gt;&lt;wsp:rsid wsp:val=&quot;00123406&quot;/&gt;&lt;wsp:rsid wsp:val=&quot;00124033&quot;/&gt;&lt;wsp:rsid wsp:val=&quot;0012413D&quot;/&gt;&lt;wsp:rsid wsp:val=&quot;0012415F&quot;/&gt;&lt;wsp:rsid wsp:val=&quot;0012466D&quot;/&gt;&lt;wsp:rsid wsp:val=&quot;001246E9&quot;/&gt;&lt;wsp:rsid wsp:val=&quot;00124768&quot;/&gt;&lt;wsp:rsid wsp:val=&quot;0012480C&quot;/&gt;&lt;wsp:rsid wsp:val=&quot;00124B97&quot;/&gt;&lt;wsp:rsid wsp:val=&quot;00124D10&quot;/&gt;&lt;wsp:rsid wsp:val=&quot;00124EFA&quot;/&gt;&lt;wsp:rsid wsp:val=&quot;001253F8&quot;/&gt;&lt;wsp:rsid wsp:val=&quot;001256E6&quot;/&gt;&lt;wsp:rsid wsp:val=&quot;00125704&quot;/&gt;&lt;wsp:rsid wsp:val=&quot;00125993&quot;/&gt;&lt;wsp:rsid wsp:val=&quot;00125E3E&quot;/&gt;&lt;wsp:rsid wsp:val=&quot;00125EC8&quot;/&gt;&lt;wsp:rsid wsp:val=&quot;001267F3&quot;/&gt;&lt;wsp:rsid wsp:val=&quot;00126B33&quot;/&gt;&lt;wsp:rsid wsp:val=&quot;00126B66&quot;/&gt;&lt;wsp:rsid wsp:val=&quot;00126C2D&quot;/&gt;&lt;wsp:rsid wsp:val=&quot;001275D2&quot;/&gt;&lt;wsp:rsid wsp:val=&quot;0012786E&quot;/&gt;&lt;wsp:rsid wsp:val=&quot;00127BAB&quot;/&gt;&lt;wsp:rsid wsp:val=&quot;00127E98&quot;/&gt;&lt;wsp:rsid wsp:val=&quot;00127FB2&quot;/&gt;&lt;wsp:rsid wsp:val=&quot;00127FB5&quot;/&gt;&lt;wsp:rsid wsp:val=&quot;00130A74&quot;/&gt;&lt;wsp:rsid wsp:val=&quot;00130C1F&quot;/&gt;&lt;wsp:rsid wsp:val=&quot;00130DF6&quot;/&gt;&lt;wsp:rsid wsp:val=&quot;001312C9&quot;/&gt;&lt;wsp:rsid wsp:val=&quot;001321C2&quot;/&gt;&lt;wsp:rsid wsp:val=&quot;0013228C&quot;/&gt;&lt;wsp:rsid wsp:val=&quot;00132445&quot;/&gt;&lt;wsp:rsid wsp:val=&quot;001324E1&quot;/&gt;&lt;wsp:rsid wsp:val=&quot;00132A51&quot;/&gt;&lt;wsp:rsid wsp:val=&quot;00132F01&quot;/&gt;&lt;wsp:rsid wsp:val=&quot;001331C9&quot;/&gt;&lt;wsp:rsid wsp:val=&quot;00133252&quot;/&gt;&lt;wsp:rsid wsp:val=&quot;0013329B&quot;/&gt;&lt;wsp:rsid wsp:val=&quot;0013382F&quot;/&gt;&lt;wsp:rsid wsp:val=&quot;00133B6E&quot;/&gt;&lt;wsp:rsid wsp:val=&quot;00133C59&quot;/&gt;&lt;wsp:rsid wsp:val=&quot;001340D6&quot;/&gt;&lt;wsp:rsid wsp:val=&quot;0013449E&quot;/&gt;&lt;wsp:rsid wsp:val=&quot;001348A5&quot;/&gt;&lt;wsp:rsid wsp:val=&quot;00134C65&quot;/&gt;&lt;wsp:rsid wsp:val=&quot;00135B13&quot;/&gt;&lt;wsp:rsid wsp:val=&quot;00135BE2&quot;/&gt;&lt;wsp:rsid wsp:val=&quot;00135E40&quot;/&gt;&lt;wsp:rsid wsp:val=&quot;00136038&quot;/&gt;&lt;wsp:rsid wsp:val=&quot;00136172&quot;/&gt;&lt;wsp:rsid wsp:val=&quot;00136726&quot;/&gt;&lt;wsp:rsid wsp:val=&quot;0013675C&quot;/&gt;&lt;wsp:rsid wsp:val=&quot;00136943&quot;/&gt;&lt;wsp:rsid wsp:val=&quot;00136DD5&quot;/&gt;&lt;wsp:rsid wsp:val=&quot;00137CD1&quot;/&gt;&lt;wsp:rsid wsp:val=&quot;00137DDF&quot;/&gt;&lt;wsp:rsid wsp:val=&quot;00140462&quot;/&gt;&lt;wsp:rsid wsp:val=&quot;001405F2&quot;/&gt;&lt;wsp:rsid wsp:val=&quot;00140671&quot;/&gt;&lt;wsp:rsid wsp:val=&quot;00140930&quot;/&gt;&lt;wsp:rsid wsp:val=&quot;00140D73&quot;/&gt;&lt;wsp:rsid wsp:val=&quot;0014116A&quot;/&gt;&lt;wsp:rsid wsp:val=&quot;0014122E&quot;/&gt;&lt;wsp:rsid wsp:val=&quot;001412BE&quot;/&gt;&lt;wsp:rsid wsp:val=&quot;0014148D&quot;/&gt;&lt;wsp:rsid wsp:val=&quot;00141775&quot;/&gt;&lt;wsp:rsid wsp:val=&quot;001419DB&quot;/&gt;&lt;wsp:rsid wsp:val=&quot;00141C07&quot;/&gt;&lt;wsp:rsid wsp:val=&quot;00141C08&quot;/&gt;&lt;wsp:rsid wsp:val=&quot;00141C38&quot;/&gt;&lt;wsp:rsid wsp:val=&quot;00141EB4&quot;/&gt;&lt;wsp:rsid wsp:val=&quot;00141F2E&quot;/&gt;&lt;wsp:rsid wsp:val=&quot;00141FDD&quot;/&gt;&lt;wsp:rsid wsp:val=&quot;0014294F&quot;/&gt;&lt;wsp:rsid wsp:val=&quot;001429CB&quot;/&gt;&lt;wsp:rsid wsp:val=&quot;00142FE8&quot;/&gt;&lt;wsp:rsid wsp:val=&quot;0014322A&quot;/&gt;&lt;wsp:rsid wsp:val=&quot;001436EE&quot;/&gt;&lt;wsp:rsid wsp:val=&quot;00143B0F&quot;/&gt;&lt;wsp:rsid wsp:val=&quot;00143BC4&quot;/&gt;&lt;wsp:rsid wsp:val=&quot;00143C67&quot;/&gt;&lt;wsp:rsid wsp:val=&quot;00143F7F&quot;/&gt;&lt;wsp:rsid wsp:val=&quot;00144047&quot;/&gt;&lt;wsp:rsid wsp:val=&quot;00144059&quot;/&gt;&lt;wsp:rsid wsp:val=&quot;001440E7&quot;/&gt;&lt;wsp:rsid wsp:val=&quot;00144344&quot;/&gt;&lt;wsp:rsid wsp:val=&quot;00144374&quot;/&gt;&lt;wsp:rsid wsp:val=&quot;0014437D&quot;/&gt;&lt;wsp:rsid wsp:val=&quot;0014466E&quot;/&gt;&lt;wsp:rsid wsp:val=&quot;00144673&quot;/&gt;&lt;wsp:rsid wsp:val=&quot;001446D2&quot;/&gt;&lt;wsp:rsid wsp:val=&quot;00144726&quot;/&gt;&lt;wsp:rsid wsp:val=&quot;00144767&quot;/&gt;&lt;wsp:rsid wsp:val=&quot;0014490D&quot;/&gt;&lt;wsp:rsid wsp:val=&quot;00144F35&quot;/&gt;&lt;wsp:rsid wsp:val=&quot;00145331&quot;/&gt;&lt;wsp:rsid wsp:val=&quot;001455DE&quot;/&gt;&lt;wsp:rsid wsp:val=&quot;00145803&quot;/&gt;&lt;wsp:rsid wsp:val=&quot;00145BF2&quot;/&gt;&lt;wsp:rsid wsp:val=&quot;00145C4D&quot;/&gt;&lt;wsp:rsid wsp:val=&quot;00146184&quot;/&gt;&lt;wsp:rsid wsp:val=&quot;00146391&quot;/&gt;&lt;wsp:rsid wsp:val=&quot;00146607&quot;/&gt;&lt;wsp:rsid wsp:val=&quot;0014699F&quot;/&gt;&lt;wsp:rsid wsp:val=&quot;00146A2F&quot;/&gt;&lt;wsp:rsid wsp:val=&quot;00146B05&quot;/&gt;&lt;wsp:rsid wsp:val=&quot;00146C8A&quot;/&gt;&lt;wsp:rsid wsp:val=&quot;00146D55&quot;/&gt;&lt;wsp:rsid wsp:val=&quot;00146F18&quot;/&gt;&lt;wsp:rsid wsp:val=&quot;00147126&quot;/&gt;&lt;wsp:rsid wsp:val=&quot;0014724F&quot;/&gt;&lt;wsp:rsid wsp:val=&quot;00147295&quot;/&gt;&lt;wsp:rsid wsp:val=&quot;00147818&quot;/&gt;&lt;wsp:rsid wsp:val=&quot;00147FEF&quot;/&gt;&lt;wsp:rsid wsp:val=&quot;00150376&quot;/&gt;&lt;wsp:rsid wsp:val=&quot;001503D0&quot;/&gt;&lt;wsp:rsid wsp:val=&quot;00150521&quot;/&gt;&lt;wsp:rsid wsp:val=&quot;00150814&quot;/&gt;&lt;wsp:rsid wsp:val=&quot;0015087D&quot;/&gt;&lt;wsp:rsid wsp:val=&quot;0015097F&quot;/&gt;&lt;wsp:rsid wsp:val=&quot;001509CA&quot;/&gt;&lt;wsp:rsid wsp:val=&quot;00150C1E&quot;/&gt;&lt;wsp:rsid wsp:val=&quot;0015167F&quot;/&gt;&lt;wsp:rsid wsp:val=&quot;00151943&quot;/&gt;&lt;wsp:rsid wsp:val=&quot;00151F94&quot;/&gt;&lt;wsp:rsid wsp:val=&quot;001524FB&quot;/&gt;&lt;wsp:rsid wsp:val=&quot;00152701&quot;/&gt;&lt;wsp:rsid wsp:val=&quot;00152B08&quot;/&gt;&lt;wsp:rsid wsp:val=&quot;00153540&quot;/&gt;&lt;wsp:rsid wsp:val=&quot;00153976&quot;/&gt;&lt;wsp:rsid wsp:val=&quot;00153DAE&quot;/&gt;&lt;wsp:rsid wsp:val=&quot;00153DC2&quot;/&gt;&lt;wsp:rsid wsp:val=&quot;001540BA&quot;/&gt;&lt;wsp:rsid wsp:val=&quot;00154274&quot;/&gt;&lt;wsp:rsid wsp:val=&quot;001543E0&quot;/&gt;&lt;wsp:rsid wsp:val=&quot;00154653&quot;/&gt;&lt;wsp:rsid wsp:val=&quot;00154F6D&quot;/&gt;&lt;wsp:rsid wsp:val=&quot;001556FC&quot;/&gt;&lt;wsp:rsid wsp:val=&quot;0015573A&quot;/&gt;&lt;wsp:rsid wsp:val=&quot;00155EEA&quot;/&gt;&lt;wsp:rsid wsp:val=&quot;00155FD9&quot;/&gt;&lt;wsp:rsid wsp:val=&quot;00156434&quot;/&gt;&lt;wsp:rsid wsp:val=&quot;00156556&quot;/&gt;&lt;wsp:rsid wsp:val=&quot;00156744&quot;/&gt;&lt;wsp:rsid wsp:val=&quot;00157387&quot;/&gt;&lt;wsp:rsid wsp:val=&quot;00157584&quot;/&gt;&lt;wsp:rsid wsp:val=&quot;001575D4&quot;/&gt;&lt;wsp:rsid wsp:val=&quot;001575F8&quot;/&gt;&lt;wsp:rsid wsp:val=&quot;00157648&quot;/&gt;&lt;wsp:rsid wsp:val=&quot;00157866&quot;/&gt;&lt;wsp:rsid wsp:val=&quot;00157980&quot;/&gt;&lt;wsp:rsid wsp:val=&quot;00157E05&quot;/&gt;&lt;wsp:rsid wsp:val=&quot;00160454&quot;/&gt;&lt;wsp:rsid wsp:val=&quot;0016058D&quot;/&gt;&lt;wsp:rsid wsp:val=&quot;001607E5&quot;/&gt;&lt;wsp:rsid wsp:val=&quot;00160980&quot;/&gt;&lt;wsp:rsid wsp:val=&quot;00160AD4&quot;/&gt;&lt;wsp:rsid wsp:val=&quot;00160BC7&quot;/&gt;&lt;wsp:rsid wsp:val=&quot;0016130B&quot;/&gt;&lt;wsp:rsid wsp:val=&quot;00161353&quot;/&gt;&lt;wsp:rsid wsp:val=&quot;00161462&quot;/&gt;&lt;wsp:rsid wsp:val=&quot;00161490&quot;/&gt;&lt;wsp:rsid wsp:val=&quot;0016182B&quot;/&gt;&lt;wsp:rsid wsp:val=&quot;00161DB9&quot;/&gt;&lt;wsp:rsid wsp:val=&quot;00162104&quot;/&gt;&lt;wsp:rsid wsp:val=&quot;00162740&quot;/&gt;&lt;wsp:rsid wsp:val=&quot;001628A9&quot;/&gt;&lt;wsp:rsid wsp:val=&quot;00162E69&quot;/&gt;&lt;wsp:rsid wsp:val=&quot;00163665&quot;/&gt;&lt;wsp:rsid wsp:val=&quot;00163743&quot;/&gt;&lt;wsp:rsid wsp:val=&quot;00163994&quot;/&gt;&lt;wsp:rsid wsp:val=&quot;001639AB&quot;/&gt;&lt;wsp:rsid wsp:val=&quot;001645C3&quot;/&gt;&lt;wsp:rsid wsp:val=&quot;00164650&quot;/&gt;&lt;wsp:rsid wsp:val=&quot;001649E4&quot;/&gt;&lt;wsp:rsid wsp:val=&quot;00164C4E&quot;/&gt;&lt;wsp:rsid wsp:val=&quot;00164FC4&quot;/&gt;&lt;wsp:rsid wsp:val=&quot;001657A1&quot;/&gt;&lt;wsp:rsid wsp:val=&quot;00165961&quot;/&gt;&lt;wsp:rsid wsp:val=&quot;00165B3A&quot;/&gt;&lt;wsp:rsid wsp:val=&quot;001669D3&quot;/&gt;&lt;wsp:rsid wsp:val=&quot;00166F4B&quot;/&gt;&lt;wsp:rsid wsp:val=&quot;00166FBD&quot;/&gt;&lt;wsp:rsid wsp:val=&quot;0016714B&quot;/&gt;&lt;wsp:rsid wsp:val=&quot;001674EC&quot;/&gt;&lt;wsp:rsid wsp:val=&quot;00167577&quot;/&gt;&lt;wsp:rsid wsp:val=&quot;0017016D&quot;/&gt;&lt;wsp:rsid wsp:val=&quot;001701DB&quot;/&gt;&lt;wsp:rsid wsp:val=&quot;001702AB&quot;/&gt;&lt;wsp:rsid wsp:val=&quot;001702D1&quot;/&gt;&lt;wsp:rsid wsp:val=&quot;001711EE&quot;/&gt;&lt;wsp:rsid wsp:val=&quot;001715F7&quot;/&gt;&lt;wsp:rsid wsp:val=&quot;00171C5B&quot;/&gt;&lt;wsp:rsid wsp:val=&quot;00171D1D&quot;/&gt;&lt;wsp:rsid wsp:val=&quot;00171D8A&quot;/&gt;&lt;wsp:rsid wsp:val=&quot;00172378&quot;/&gt;&lt;wsp:rsid wsp:val=&quot;001727E1&quot;/&gt;&lt;wsp:rsid wsp:val=&quot;0017294C&quot;/&gt;&lt;wsp:rsid wsp:val=&quot;00172971&quot;/&gt;&lt;wsp:rsid wsp:val=&quot;00173011&quot;/&gt;&lt;wsp:rsid wsp:val=&quot;0017323B&quot;/&gt;&lt;wsp:rsid wsp:val=&quot;00173241&quot;/&gt;&lt;wsp:rsid wsp:val=&quot;00173670&quot;/&gt;&lt;wsp:rsid wsp:val=&quot;0017389A&quot;/&gt;&lt;wsp:rsid wsp:val=&quot;00173C4A&quot;/&gt;&lt;wsp:rsid wsp:val=&quot;00173ECC&quot;/&gt;&lt;wsp:rsid wsp:val=&quot;00174454&quot;/&gt;&lt;wsp:rsid wsp:val=&quot;001745DE&quot;/&gt;&lt;wsp:rsid wsp:val=&quot;00175009&quot;/&gt;&lt;wsp:rsid wsp:val=&quot;001751C4&quot;/&gt;&lt;wsp:rsid wsp:val=&quot;00175348&quot;/&gt;&lt;wsp:rsid wsp:val=&quot;00175713&quot;/&gt;&lt;wsp:rsid wsp:val=&quot;00175844&quot;/&gt;&lt;wsp:rsid wsp:val=&quot;001762BD&quot;/&gt;&lt;wsp:rsid wsp:val=&quot;001769AA&quot;/&gt;&lt;wsp:rsid wsp:val=&quot;001773E7&quot;/&gt;&lt;wsp:rsid wsp:val=&quot;001774A5&quot;/&gt;&lt;wsp:rsid wsp:val=&quot;00177518&quot;/&gt;&lt;wsp:rsid wsp:val=&quot;001775EF&quot;/&gt;&lt;wsp:rsid wsp:val=&quot;00177C23&quot;/&gt;&lt;wsp:rsid wsp:val=&quot;00177C63&quot;/&gt;&lt;wsp:rsid wsp:val=&quot;00177D8A&quot;/&gt;&lt;wsp:rsid wsp:val=&quot;0018028C&quot;/&gt;&lt;wsp:rsid wsp:val=&quot;0018034A&quot;/&gt;&lt;wsp:rsid wsp:val=&quot;001804DC&quot;/&gt;&lt;wsp:rsid wsp:val=&quot;0018072A&quot;/&gt;&lt;wsp:rsid wsp:val=&quot;00180756&quot;/&gt;&lt;wsp:rsid wsp:val=&quot;001807D6&quot;/&gt;&lt;wsp:rsid wsp:val=&quot;00180838&quot;/&gt;&lt;wsp:rsid wsp:val=&quot;00180AB2&quot;/&gt;&lt;wsp:rsid wsp:val=&quot;00180AC9&quot;/&gt;&lt;wsp:rsid wsp:val=&quot;00180C62&quot;/&gt;&lt;wsp:rsid wsp:val=&quot;00180CB8&quot;/&gt;&lt;wsp:rsid wsp:val=&quot;0018185E&quot;/&gt;&lt;wsp:rsid wsp:val=&quot;00181916&quot;/&gt;&lt;wsp:rsid wsp:val=&quot;001819E1&quot;/&gt;&lt;wsp:rsid wsp:val=&quot;00181AF5&quot;/&gt;&lt;wsp:rsid wsp:val=&quot;00181D86&quot;/&gt;&lt;wsp:rsid wsp:val=&quot;00182435&quot;/&gt;&lt;wsp:rsid wsp:val=&quot;0018270F&quot;/&gt;&lt;wsp:rsid wsp:val=&quot;00182B5D&quot;/&gt;&lt;wsp:rsid wsp:val=&quot;00182C59&quot;/&gt;&lt;wsp:rsid wsp:val=&quot;00182D3D&quot;/&gt;&lt;wsp:rsid wsp:val=&quot;00182DD9&quot;/&gt;&lt;wsp:rsid wsp:val=&quot;001830E6&quot;/&gt;&lt;wsp:rsid wsp:val=&quot;001833EA&quot;/&gt;&lt;wsp:rsid wsp:val=&quot;0018344F&quot;/&gt;&lt;wsp:rsid wsp:val=&quot;00183C87&quot;/&gt;&lt;wsp:rsid wsp:val=&quot;00184DF4&quot;/&gt;&lt;wsp:rsid wsp:val=&quot;00184E1F&quot;/&gt;&lt;wsp:rsid wsp:val=&quot;00184E5F&quot;/&gt;&lt;wsp:rsid wsp:val=&quot;00184EA7&quot;/&gt;&lt;wsp:rsid wsp:val=&quot;00184F02&quot;/&gt;&lt;wsp:rsid wsp:val=&quot;001851CE&quot;/&gt;&lt;wsp:rsid wsp:val=&quot;001859B1&quot;/&gt;&lt;wsp:rsid wsp:val=&quot;0018645F&quot;/&gt;&lt;wsp:rsid wsp:val=&quot;00186981&quot;/&gt;&lt;wsp:rsid wsp:val=&quot;00186F25&quot;/&gt;&lt;wsp:rsid wsp:val=&quot;00187388&quot;/&gt;&lt;wsp:rsid wsp:val=&quot;00187D3C&quot;/&gt;&lt;wsp:rsid wsp:val=&quot;00187E46&quot;/&gt;&lt;wsp:rsid wsp:val=&quot;00190701&quot;/&gt;&lt;wsp:rsid wsp:val=&quot;00190B5D&quot;/&gt;&lt;wsp:rsid wsp:val=&quot;00190C3E&quot;/&gt;&lt;wsp:rsid wsp:val=&quot;00190EBA&quot;/&gt;&lt;wsp:rsid wsp:val=&quot;00191054&quot;/&gt;&lt;wsp:rsid wsp:val=&quot;0019249F&quot;/&gt;&lt;wsp:rsid wsp:val=&quot;00192717&quot;/&gt;&lt;wsp:rsid wsp:val=&quot;00192EA2&quot;/&gt;&lt;wsp:rsid wsp:val=&quot;00193079&quot;/&gt;&lt;wsp:rsid wsp:val=&quot;0019361F&quot;/&gt;&lt;wsp:rsid wsp:val=&quot;0019383D&quot;/&gt;&lt;wsp:rsid wsp:val=&quot;00194523&quot;/&gt;&lt;wsp:rsid wsp:val=&quot;0019482F&quot;/&gt;&lt;wsp:rsid wsp:val=&quot;00194E37&quot;/&gt;&lt;wsp:rsid wsp:val=&quot;00194EE0&quot;/&gt;&lt;wsp:rsid wsp:val=&quot;00195278&quot;/&gt;&lt;wsp:rsid wsp:val=&quot;001952EF&quot;/&gt;&lt;wsp:rsid wsp:val=&quot;0019531D&quot;/&gt;&lt;wsp:rsid wsp:val=&quot;001959E3&quot;/&gt;&lt;wsp:rsid wsp:val=&quot;00195B86&quot;/&gt;&lt;wsp:rsid wsp:val=&quot;00195F8B&quot;/&gt;&lt;wsp:rsid wsp:val=&quot;00196048&quot;/&gt;&lt;wsp:rsid wsp:val=&quot;00196061&quot;/&gt;&lt;wsp:rsid wsp:val=&quot;00196267&quot;/&gt;&lt;wsp:rsid wsp:val=&quot;001962DB&quot;/&gt;&lt;wsp:rsid wsp:val=&quot;001964A3&quot;/&gt;&lt;wsp:rsid wsp:val=&quot;001965B3&quot;/&gt;&lt;wsp:rsid wsp:val=&quot;0019674E&quot;/&gt;&lt;wsp:rsid wsp:val=&quot;0019686A&quot;/&gt;&lt;wsp:rsid wsp:val=&quot;00196903&quot;/&gt;&lt;wsp:rsid wsp:val=&quot;00196CEE&quot;/&gt;&lt;wsp:rsid wsp:val=&quot;00196D2C&quot;/&gt;&lt;wsp:rsid wsp:val=&quot;00196E61&quot;/&gt;&lt;wsp:rsid wsp:val=&quot;0019781F&quot;/&gt;&lt;wsp:rsid wsp:val=&quot;001978D8&quot;/&gt;&lt;wsp:rsid wsp:val=&quot;0019796F&quot;/&gt;&lt;wsp:rsid wsp:val=&quot;00197ACD&quot;/&gt;&lt;wsp:rsid wsp:val=&quot;00197BD5&quot;/&gt;&lt;wsp:rsid wsp:val=&quot;00197C63&quot;/&gt;&lt;wsp:rsid wsp:val=&quot;00197D10&quot;/&gt;&lt;wsp:rsid wsp:val=&quot;001A01F8&quot;/&gt;&lt;wsp:rsid wsp:val=&quot;001A0910&quot;/&gt;&lt;wsp:rsid wsp:val=&quot;001A0D8A&quot;/&gt;&lt;wsp:rsid wsp:val=&quot;001A1081&quot;/&gt;&lt;wsp:rsid wsp:val=&quot;001A137C&quot;/&gt;&lt;wsp:rsid wsp:val=&quot;001A15C6&quot;/&gt;&lt;wsp:rsid wsp:val=&quot;001A1E78&quot;/&gt;&lt;wsp:rsid wsp:val=&quot;001A24C9&quot;/&gt;&lt;wsp:rsid wsp:val=&quot;001A26BE&quot;/&gt;&lt;wsp:rsid wsp:val=&quot;001A2BC3&quot;/&gt;&lt;wsp:rsid wsp:val=&quot;001A3487&quot;/&gt;&lt;wsp:rsid wsp:val=&quot;001A3995&quot;/&gt;&lt;wsp:rsid wsp:val=&quot;001A4906&quot;/&gt;&lt;wsp:rsid wsp:val=&quot;001A4F58&quot;/&gt;&lt;wsp:rsid wsp:val=&quot;001A58EB&quot;/&gt;&lt;wsp:rsid wsp:val=&quot;001A5E4D&quot;/&gt;&lt;wsp:rsid wsp:val=&quot;001A5F78&quot;/&gt;&lt;wsp:rsid wsp:val=&quot;001A62C8&quot;/&gt;&lt;wsp:rsid wsp:val=&quot;001A642D&quot;/&gt;&lt;wsp:rsid wsp:val=&quot;001A65EA&quot;/&gt;&lt;wsp:rsid wsp:val=&quot;001A66B2&quot;/&gt;&lt;wsp:rsid wsp:val=&quot;001A7199&quot;/&gt;&lt;wsp:rsid wsp:val=&quot;001A7307&quot;/&gt;&lt;wsp:rsid wsp:val=&quot;001A786A&quot;/&gt;&lt;wsp:rsid wsp:val=&quot;001A7B4C&quot;/&gt;&lt;wsp:rsid wsp:val=&quot;001A7BCF&quot;/&gt;&lt;wsp:rsid wsp:val=&quot;001A7D02&quot;/&gt;&lt;wsp:rsid wsp:val=&quot;001A7E5E&quot;/&gt;&lt;wsp:rsid wsp:val=&quot;001A7E73&quot;/&gt;&lt;wsp:rsid wsp:val=&quot;001B0343&quot;/&gt;&lt;wsp:rsid wsp:val=&quot;001B0C29&quot;/&gt;&lt;wsp:rsid wsp:val=&quot;001B143F&quot;/&gt;&lt;wsp:rsid wsp:val=&quot;001B177A&quot;/&gt;&lt;wsp:rsid wsp:val=&quot;001B1E97&quot;/&gt;&lt;wsp:rsid wsp:val=&quot;001B1F9B&quot;/&gt;&lt;wsp:rsid wsp:val=&quot;001B2007&quot;/&gt;&lt;wsp:rsid wsp:val=&quot;001B24B5&quot;/&gt;&lt;wsp:rsid wsp:val=&quot;001B2C07&quot;/&gt;&lt;wsp:rsid wsp:val=&quot;001B2C65&quot;/&gt;&lt;wsp:rsid wsp:val=&quot;001B30B6&quot;/&gt;&lt;wsp:rsid wsp:val=&quot;001B3352&quot;/&gt;&lt;wsp:rsid wsp:val=&quot;001B366C&quot;/&gt;&lt;wsp:rsid wsp:val=&quot;001B480D&quot;/&gt;&lt;wsp:rsid wsp:val=&quot;001B50EC&quot;/&gt;&lt;wsp:rsid wsp:val=&quot;001B5245&quot;/&gt;&lt;wsp:rsid wsp:val=&quot;001B5723&quot;/&gt;&lt;wsp:rsid wsp:val=&quot;001B5778&quot;/&gt;&lt;wsp:rsid wsp:val=&quot;001B59EA&quot;/&gt;&lt;wsp:rsid wsp:val=&quot;001B5CF0&quot;/&gt;&lt;wsp:rsid wsp:val=&quot;001B5F1B&quot;/&gt;&lt;wsp:rsid wsp:val=&quot;001B5FC3&quot;/&gt;&lt;wsp:rsid wsp:val=&quot;001B6134&quot;/&gt;&lt;wsp:rsid wsp:val=&quot;001B62BE&quot;/&gt;&lt;wsp:rsid wsp:val=&quot;001B6449&quot;/&gt;&lt;wsp:rsid wsp:val=&quot;001B6589&quot;/&gt;&lt;wsp:rsid wsp:val=&quot;001B6727&quot;/&gt;&lt;wsp:rsid wsp:val=&quot;001B677A&quot;/&gt;&lt;wsp:rsid wsp:val=&quot;001B6841&quot;/&gt;&lt;wsp:rsid wsp:val=&quot;001B6EA0&quot;/&gt;&lt;wsp:rsid wsp:val=&quot;001B7237&quot;/&gt;&lt;wsp:rsid wsp:val=&quot;001B72A0&quot;/&gt;&lt;wsp:rsid wsp:val=&quot;001B72CE&quot;/&gt;&lt;wsp:rsid wsp:val=&quot;001B7314&quot;/&gt;&lt;wsp:rsid wsp:val=&quot;001B7436&quot;/&gt;&lt;wsp:rsid wsp:val=&quot;001B7EC8&quot;/&gt;&lt;wsp:rsid wsp:val=&quot;001C0401&quot;/&gt;&lt;wsp:rsid wsp:val=&quot;001C04E9&quot;/&gt;&lt;wsp:rsid wsp:val=&quot;001C0961&quot;/&gt;&lt;wsp:rsid wsp:val=&quot;001C0976&quot;/&gt;&lt;wsp:rsid wsp:val=&quot;001C09FF&quot;/&gt;&lt;wsp:rsid wsp:val=&quot;001C0A5F&quot;/&gt;&lt;wsp:rsid wsp:val=&quot;001C0AE9&quot;/&gt;&lt;wsp:rsid wsp:val=&quot;001C0B0E&quot;/&gt;&lt;wsp:rsid wsp:val=&quot;001C0C95&quot;/&gt;&lt;wsp:rsid wsp:val=&quot;001C0CD6&quot;/&gt;&lt;wsp:rsid wsp:val=&quot;001C16B9&quot;/&gt;&lt;wsp:rsid wsp:val=&quot;001C187C&quot;/&gt;&lt;wsp:rsid wsp:val=&quot;001C18C0&quot;/&gt;&lt;wsp:rsid wsp:val=&quot;001C1C58&quot;/&gt;&lt;wsp:rsid wsp:val=&quot;001C1CAC&quot;/&gt;&lt;wsp:rsid wsp:val=&quot;001C1CEE&quot;/&gt;&lt;wsp:rsid wsp:val=&quot;001C1D1F&quot;/&gt;&lt;wsp:rsid wsp:val=&quot;001C1D75&quot;/&gt;&lt;wsp:rsid wsp:val=&quot;001C2147&quot;/&gt;&lt;wsp:rsid wsp:val=&quot;001C26C9&quot;/&gt;&lt;wsp:rsid wsp:val=&quot;001C2A51&quot;/&gt;&lt;wsp:rsid wsp:val=&quot;001C2A5E&quot;/&gt;&lt;wsp:rsid wsp:val=&quot;001C2C7F&quot;/&gt;&lt;wsp:rsid wsp:val=&quot;001C2E20&quot;/&gt;&lt;wsp:rsid wsp:val=&quot;001C3050&quot;/&gt;&lt;wsp:rsid wsp:val=&quot;001C30A9&quot;/&gt;&lt;wsp:rsid wsp:val=&quot;001C3959&quot;/&gt;&lt;wsp:rsid wsp:val=&quot;001C3C48&quot;/&gt;&lt;wsp:rsid wsp:val=&quot;001C3C6C&quot;/&gt;&lt;wsp:rsid wsp:val=&quot;001C3F0F&quot;/&gt;&lt;wsp:rsid wsp:val=&quot;001C4AEA&quot;/&gt;&lt;wsp:rsid wsp:val=&quot;001C58BD&quot;/&gt;&lt;wsp:rsid wsp:val=&quot;001C5C69&quot;/&gt;&lt;wsp:rsid wsp:val=&quot;001C5C94&quot;/&gt;&lt;wsp:rsid wsp:val=&quot;001C5CEE&quot;/&gt;&lt;wsp:rsid wsp:val=&quot;001C5D71&quot;/&gt;&lt;wsp:rsid wsp:val=&quot;001C6447&quot;/&gt;&lt;wsp:rsid wsp:val=&quot;001C654D&quot;/&gt;&lt;wsp:rsid wsp:val=&quot;001C6B80&quot;/&gt;&lt;wsp:rsid wsp:val=&quot;001C70D3&quot;/&gt;&lt;wsp:rsid wsp:val=&quot;001C71F9&quot;/&gt;&lt;wsp:rsid wsp:val=&quot;001C7204&quot;/&gt;&lt;wsp:rsid wsp:val=&quot;001C7629&quot;/&gt;&lt;wsp:rsid wsp:val=&quot;001C7A9C&quot;/&gt;&lt;wsp:rsid wsp:val=&quot;001C7CE1&quot;/&gt;&lt;wsp:rsid wsp:val=&quot;001D00B9&quot;/&gt;&lt;wsp:rsid wsp:val=&quot;001D0A1C&quot;/&gt;&lt;wsp:rsid wsp:val=&quot;001D0B9D&quot;/&gt;&lt;wsp:rsid wsp:val=&quot;001D0C26&quot;/&gt;&lt;wsp:rsid wsp:val=&quot;001D0DE5&quot;/&gt;&lt;wsp:rsid wsp:val=&quot;001D10EF&quot;/&gt;&lt;wsp:rsid wsp:val=&quot;001D1184&quot;/&gt;&lt;wsp:rsid wsp:val=&quot;001D1322&quot;/&gt;&lt;wsp:rsid wsp:val=&quot;001D1489&quot;/&gt;&lt;wsp:rsid wsp:val=&quot;001D1803&quot;/&gt;&lt;wsp:rsid wsp:val=&quot;001D196E&quot;/&gt;&lt;wsp:rsid wsp:val=&quot;001D1F57&quot;/&gt;&lt;wsp:rsid wsp:val=&quot;001D2001&quot;/&gt;&lt;wsp:rsid wsp:val=&quot;001D2179&quot;/&gt;&lt;wsp:rsid wsp:val=&quot;001D23B3&quot;/&gt;&lt;wsp:rsid wsp:val=&quot;001D26B4&quot;/&gt;&lt;wsp:rsid wsp:val=&quot;001D26D4&quot;/&gt;&lt;wsp:rsid wsp:val=&quot;001D29DD&quot;/&gt;&lt;wsp:rsid wsp:val=&quot;001D2F24&quot;/&gt;&lt;wsp:rsid wsp:val=&quot;001D34A9&quot;/&gt;&lt;wsp:rsid wsp:val=&quot;001D38F3&quot;/&gt;&lt;wsp:rsid wsp:val=&quot;001D3900&quot;/&gt;&lt;wsp:rsid wsp:val=&quot;001D3B05&quot;/&gt;&lt;wsp:rsid wsp:val=&quot;001D4033&quot;/&gt;&lt;wsp:rsid wsp:val=&quot;001D40B1&quot;/&gt;&lt;wsp:rsid wsp:val=&quot;001D42F8&quot;/&gt;&lt;wsp:rsid wsp:val=&quot;001D45EE&quot;/&gt;&lt;wsp:rsid wsp:val=&quot;001D4B4C&quot;/&gt;&lt;wsp:rsid wsp:val=&quot;001D4BB6&quot;/&gt;&lt;wsp:rsid wsp:val=&quot;001D4C1E&quot;/&gt;&lt;wsp:rsid wsp:val=&quot;001D509C&quot;/&gt;&lt;wsp:rsid wsp:val=&quot;001D526E&quot;/&gt;&lt;wsp:rsid wsp:val=&quot;001D5701&quot;/&gt;&lt;wsp:rsid wsp:val=&quot;001D57C5&quot;/&gt;&lt;wsp:rsid wsp:val=&quot;001D5C93&quot;/&gt;&lt;wsp:rsid wsp:val=&quot;001D5E01&quot;/&gt;&lt;wsp:rsid wsp:val=&quot;001D5E5D&quot;/&gt;&lt;wsp:rsid wsp:val=&quot;001D5EE4&quot;/&gt;&lt;wsp:rsid wsp:val=&quot;001D6949&quot;/&gt;&lt;wsp:rsid wsp:val=&quot;001D73C5&quot;/&gt;&lt;wsp:rsid wsp:val=&quot;001D76F6&quot;/&gt;&lt;wsp:rsid wsp:val=&quot;001D775D&quot;/&gt;&lt;wsp:rsid wsp:val=&quot;001D786C&quot;/&gt;&lt;wsp:rsid wsp:val=&quot;001D7CC4&quot;/&gt;&lt;wsp:rsid wsp:val=&quot;001D7D2F&quot;/&gt;&lt;wsp:rsid wsp:val=&quot;001E0296&quot;/&gt;&lt;wsp:rsid wsp:val=&quot;001E04E8&quot;/&gt;&lt;wsp:rsid wsp:val=&quot;001E07A2&quot;/&gt;&lt;wsp:rsid wsp:val=&quot;001E08FD&quot;/&gt;&lt;wsp:rsid wsp:val=&quot;001E1354&quot;/&gt;&lt;wsp:rsid wsp:val=&quot;001E14B9&quot;/&gt;&lt;wsp:rsid wsp:val=&quot;001E18D9&quot;/&gt;&lt;wsp:rsid wsp:val=&quot;001E1FCF&quot;/&gt;&lt;wsp:rsid wsp:val=&quot;001E20FD&quot;/&gt;&lt;wsp:rsid wsp:val=&quot;001E2267&quot;/&gt;&lt;wsp:rsid wsp:val=&quot;001E2637&quot;/&gt;&lt;wsp:rsid wsp:val=&quot;001E2A20&quot;/&gt;&lt;wsp:rsid wsp:val=&quot;001E2D8A&quot;/&gt;&lt;wsp:rsid wsp:val=&quot;001E2EB0&quot;/&gt;&lt;wsp:rsid wsp:val=&quot;001E300D&quot;/&gt;&lt;wsp:rsid wsp:val=&quot;001E30B2&quot;/&gt;&lt;wsp:rsid wsp:val=&quot;001E373C&quot;/&gt;&lt;wsp:rsid wsp:val=&quot;001E3D7D&quot;/&gt;&lt;wsp:rsid wsp:val=&quot;001E3F78&quot;/&gt;&lt;wsp:rsid wsp:val=&quot;001E4198&quot;/&gt;&lt;wsp:rsid wsp:val=&quot;001E43ED&quot;/&gt;&lt;wsp:rsid wsp:val=&quot;001E4F2E&quot;/&gt;&lt;wsp:rsid wsp:val=&quot;001E5033&quot;/&gt;&lt;wsp:rsid wsp:val=&quot;001E5217&quot;/&gt;&lt;wsp:rsid wsp:val=&quot;001E572B&quot;/&gt;&lt;wsp:rsid wsp:val=&quot;001E5C1C&quot;/&gt;&lt;wsp:rsid wsp:val=&quot;001E5C97&quot;/&gt;&lt;wsp:rsid wsp:val=&quot;001E5EDA&quot;/&gt;&lt;wsp:rsid wsp:val=&quot;001E6651&quot;/&gt;&lt;wsp:rsid wsp:val=&quot;001E69EF&quot;/&gt;&lt;wsp:rsid wsp:val=&quot;001E6D44&quot;/&gt;&lt;wsp:rsid wsp:val=&quot;001E7750&quot;/&gt;&lt;wsp:rsid wsp:val=&quot;001E7880&quot;/&gt;&lt;wsp:rsid wsp:val=&quot;001E7EF3&quot;/&gt;&lt;wsp:rsid wsp:val=&quot;001E7F09&quot;/&gt;&lt;wsp:rsid wsp:val=&quot;001F059E&quot;/&gt;&lt;wsp:rsid wsp:val=&quot;001F087D&quot;/&gt;&lt;wsp:rsid wsp:val=&quot;001F0A2D&quot;/&gt;&lt;wsp:rsid wsp:val=&quot;001F0AF1&quot;/&gt;&lt;wsp:rsid wsp:val=&quot;001F1028&quot;/&gt;&lt;wsp:rsid wsp:val=&quot;001F1230&quot;/&gt;&lt;wsp:rsid wsp:val=&quot;001F1778&quot;/&gt;&lt;wsp:rsid wsp:val=&quot;001F1A47&quot;/&gt;&lt;wsp:rsid wsp:val=&quot;001F1C7D&quot;/&gt;&lt;wsp:rsid wsp:val=&quot;001F1D47&quot;/&gt;&lt;wsp:rsid wsp:val=&quot;001F2564&quot;/&gt;&lt;wsp:rsid wsp:val=&quot;001F2779&quot;/&gt;&lt;wsp:rsid wsp:val=&quot;001F2E44&quot;/&gt;&lt;wsp:rsid wsp:val=&quot;001F3051&quot;/&gt;&lt;wsp:rsid wsp:val=&quot;001F31D9&quot;/&gt;&lt;wsp:rsid wsp:val=&quot;001F342D&quot;/&gt;&lt;wsp:rsid wsp:val=&quot;001F35B9&quot;/&gt;&lt;wsp:rsid wsp:val=&quot;001F395C&quot;/&gt;&lt;wsp:rsid wsp:val=&quot;001F399A&quot;/&gt;&lt;wsp:rsid wsp:val=&quot;001F3B40&quot;/&gt;&lt;wsp:rsid wsp:val=&quot;001F4026&quot;/&gt;&lt;wsp:rsid wsp:val=&quot;001F42A4&quot;/&gt;&lt;wsp:rsid wsp:val=&quot;001F42DD&quot;/&gt;&lt;wsp:rsid wsp:val=&quot;001F44DE&quot;/&gt;&lt;wsp:rsid wsp:val=&quot;001F4A12&quot;/&gt;&lt;wsp:rsid wsp:val=&quot;001F4A64&quot;/&gt;&lt;wsp:rsid wsp:val=&quot;001F4B50&quot;/&gt;&lt;wsp:rsid wsp:val=&quot;001F591D&quot;/&gt;&lt;wsp:rsid wsp:val=&quot;001F5BFE&quot;/&gt;&lt;wsp:rsid wsp:val=&quot;001F5FAF&quot;/&gt;&lt;wsp:rsid wsp:val=&quot;001F6325&quot;/&gt;&lt;wsp:rsid wsp:val=&quot;001F653B&quot;/&gt;&lt;wsp:rsid wsp:val=&quot;001F678F&quot;/&gt;&lt;wsp:rsid wsp:val=&quot;001F69FE&quot;/&gt;&lt;wsp:rsid wsp:val=&quot;001F6A0A&quot;/&gt;&lt;wsp:rsid wsp:val=&quot;001F6C9D&quot;/&gt;&lt;wsp:rsid wsp:val=&quot;001F71DE&quot;/&gt;&lt;wsp:rsid wsp:val=&quot;001F728E&quot;/&gt;&lt;wsp:rsid wsp:val=&quot;001F7335&quot;/&gt;&lt;wsp:rsid wsp:val=&quot;001F746B&quot;/&gt;&lt;wsp:rsid wsp:val=&quot;001F783B&quot;/&gt;&lt;wsp:rsid wsp:val=&quot;002004B5&quot;/&gt;&lt;wsp:rsid wsp:val=&quot;00200A58&quot;/&gt;&lt;wsp:rsid wsp:val=&quot;0020115B&quot;/&gt;&lt;wsp:rsid wsp:val=&quot;0020118E&quot;/&gt;&lt;wsp:rsid wsp:val=&quot;00201390&quot;/&gt;&lt;wsp:rsid wsp:val=&quot;00201AD3&quot;/&gt;&lt;wsp:rsid wsp:val=&quot;00201B4F&quot;/&gt;&lt;wsp:rsid wsp:val=&quot;00202731&quot;/&gt;&lt;wsp:rsid wsp:val=&quot;00202FF3&quot;/&gt;&lt;wsp:rsid wsp:val=&quot;00203214&quot;/&gt;&lt;wsp:rsid wsp:val=&quot;00203669&quot;/&gt;&lt;wsp:rsid wsp:val=&quot;00203884&quot;/&gt;&lt;wsp:rsid wsp:val=&quot;00203A11&quot;/&gt;&lt;wsp:rsid wsp:val=&quot;00203A3D&quot;/&gt;&lt;wsp:rsid wsp:val=&quot;00203E63&quot;/&gt;&lt;wsp:rsid wsp:val=&quot;00203F61&quot;/&gt;&lt;wsp:rsid wsp:val=&quot;002040BA&quot;/&gt;&lt;wsp:rsid wsp:val=&quot;00204234&quot;/&gt;&lt;wsp:rsid wsp:val=&quot;00204CB2&quot;/&gt;&lt;wsp:rsid wsp:val=&quot;00204EB1&quot;/&gt;&lt;wsp:rsid wsp:val=&quot;002052F6&quot;/&gt;&lt;wsp:rsid wsp:val=&quot;00205787&quot;/&gt;&lt;wsp:rsid wsp:val=&quot;00205C1E&quot;/&gt;&lt;wsp:rsid wsp:val=&quot;002062A1&quot;/&gt;&lt;wsp:rsid wsp:val=&quot;002062ED&quot;/&gt;&lt;wsp:rsid wsp:val=&quot;002063F5&quot;/&gt;&lt;wsp:rsid wsp:val=&quot;00206B0F&quot;/&gt;&lt;wsp:rsid wsp:val=&quot;00206F17&quot;/&gt;&lt;wsp:rsid wsp:val=&quot;002070B9&quot;/&gt;&lt;wsp:rsid wsp:val=&quot;00207292&quot;/&gt;&lt;wsp:rsid wsp:val=&quot;00207A76&quot;/&gt;&lt;wsp:rsid wsp:val=&quot;00207E9C&quot;/&gt;&lt;wsp:rsid wsp:val=&quot;002109EC&quot;/&gt;&lt;wsp:rsid wsp:val=&quot;00210ED5&quot;/&gt;&lt;wsp:rsid wsp:val=&quot;0021131D&quot;/&gt;&lt;wsp:rsid wsp:val=&quot;00211415&quot;/&gt;&lt;wsp:rsid wsp:val=&quot;0021154F&quot;/&gt;&lt;wsp:rsid wsp:val=&quot;00211603&quot;/&gt;&lt;wsp:rsid wsp:val=&quot;0021178A&quot;/&gt;&lt;wsp:rsid wsp:val=&quot;00211A9D&quot;/&gt;&lt;wsp:rsid wsp:val=&quot;00211E3A&quot;/&gt;&lt;wsp:rsid wsp:val=&quot;00212629&quot;/&gt;&lt;wsp:rsid wsp:val=&quot;00212D0A&quot;/&gt;&lt;wsp:rsid wsp:val=&quot;0021342F&quot;/&gt;&lt;wsp:rsid wsp:val=&quot;00213716&quot;/&gt;&lt;wsp:rsid wsp:val=&quot;00213AA3&quot;/&gt;&lt;wsp:rsid wsp:val=&quot;00213AE7&quot;/&gt;&lt;wsp:rsid wsp:val=&quot;00213CD1&quot;/&gt;&lt;wsp:rsid wsp:val=&quot;002144B9&quot;/&gt;&lt;wsp:rsid wsp:val=&quot;002145B2&quot;/&gt;&lt;wsp:rsid wsp:val=&quot;002148B7&quot;/&gt;&lt;wsp:rsid wsp:val=&quot;00215153&quot;/&gt;&lt;wsp:rsid wsp:val=&quot;002152B4&quot;/&gt;&lt;wsp:rsid wsp:val=&quot;00215363&quot;/&gt;&lt;wsp:rsid wsp:val=&quot;002155D5&quot;/&gt;&lt;wsp:rsid wsp:val=&quot;002157D0&quot;/&gt;&lt;wsp:rsid wsp:val=&quot;002158BB&quot;/&gt;&lt;wsp:rsid wsp:val=&quot;00215923&quot;/&gt;&lt;wsp:rsid wsp:val=&quot;00215B16&quot;/&gt;&lt;wsp:rsid wsp:val=&quot;00216252&quot;/&gt;&lt;wsp:rsid wsp:val=&quot;00216A42&quot;/&gt;&lt;wsp:rsid wsp:val=&quot;0021762E&quot;/&gt;&lt;wsp:rsid wsp:val=&quot;00217863&quot;/&gt;&lt;wsp:rsid wsp:val=&quot;00217875&quot;/&gt;&lt;wsp:rsid wsp:val=&quot;00217C16&quot;/&gt;&lt;wsp:rsid wsp:val=&quot;00217CDD&quot;/&gt;&lt;wsp:rsid wsp:val=&quot;00217DF4&quot;/&gt;&lt;wsp:rsid wsp:val=&quot;00217FF3&quot;/&gt;&lt;wsp:rsid wsp:val=&quot;002201D1&quot;/&gt;&lt;wsp:rsid wsp:val=&quot;0022087F&quot;/&gt;&lt;wsp:rsid wsp:val=&quot;00220A70&quot;/&gt;&lt;wsp:rsid wsp:val=&quot;00220E2B&quot;/&gt;&lt;wsp:rsid wsp:val=&quot;00220FF9&quot;/&gt;&lt;wsp:rsid wsp:val=&quot;00221C9E&quot;/&gt;&lt;wsp:rsid wsp:val=&quot;00221CE5&quot;/&gt;&lt;wsp:rsid wsp:val=&quot;00222238&quot;/&gt;&lt;wsp:rsid wsp:val=&quot;002223C9&quot;/&gt;&lt;wsp:rsid wsp:val=&quot;00222500&quot;/&gt;&lt;wsp:rsid wsp:val=&quot;002226AA&quot;/&gt;&lt;wsp:rsid wsp:val=&quot;0022270D&quot;/&gt;&lt;wsp:rsid wsp:val=&quot;00222C43&quot;/&gt;&lt;wsp:rsid wsp:val=&quot;00222D7F&quot;/&gt;&lt;wsp:rsid wsp:val=&quot;00222DC8&quot;/&gt;&lt;wsp:rsid wsp:val=&quot;002231EE&quot;/&gt;&lt;wsp:rsid wsp:val=&quot;002233E3&quot;/&gt;&lt;wsp:rsid wsp:val=&quot;002239B7&quot;/&gt;&lt;wsp:rsid wsp:val=&quot;00223A30&quot;/&gt;&lt;wsp:rsid wsp:val=&quot;00223B60&quot;/&gt;&lt;wsp:rsid wsp:val=&quot;00223DE6&quot;/&gt;&lt;wsp:rsid wsp:val=&quot;00223F62&quot;/&gt;&lt;wsp:rsid wsp:val=&quot;00223F9C&quot;/&gt;&lt;wsp:rsid wsp:val=&quot;00223FFC&quot;/&gt;&lt;wsp:rsid wsp:val=&quot;002249B1&quot;/&gt;&lt;wsp:rsid wsp:val=&quot;00224B87&quot;/&gt;&lt;wsp:rsid wsp:val=&quot;002252A4&quot;/&gt;&lt;wsp:rsid wsp:val=&quot;002256D7&quot;/&gt;&lt;wsp:rsid wsp:val=&quot;002256F8&quot;/&gt;&lt;wsp:rsid wsp:val=&quot;0022588E&quot;/&gt;&lt;wsp:rsid wsp:val=&quot;00226142&quot;/&gt;&lt;wsp:rsid wsp:val=&quot;00226165&quot;/&gt;&lt;wsp:rsid wsp:val=&quot;0022658A&quot;/&gt;&lt;wsp:rsid wsp:val=&quot;00226901&quot;/&gt;&lt;wsp:rsid wsp:val=&quot;00226C9A&quot;/&gt;&lt;wsp:rsid wsp:val=&quot;00226CAA&quot;/&gt;&lt;wsp:rsid wsp:val=&quot;00226E16&quot;/&gt;&lt;wsp:rsid wsp:val=&quot;00226F0D&quot;/&gt;&lt;wsp:rsid wsp:val=&quot;00226FCA&quot;/&gt;&lt;wsp:rsid wsp:val=&quot;00227818&quot;/&gt;&lt;wsp:rsid wsp:val=&quot;0022783D&quot;/&gt;&lt;wsp:rsid wsp:val=&quot;00227A0E&quot;/&gt;&lt;wsp:rsid wsp:val=&quot;00227CA3&quot;/&gt;&lt;wsp:rsid wsp:val=&quot;00227CAC&quot;/&gt;&lt;wsp:rsid wsp:val=&quot;00227F09&quot;/&gt;&lt;wsp:rsid wsp:val=&quot;002300C7&quot;/&gt;&lt;wsp:rsid wsp:val=&quot;002300D2&quot;/&gt;&lt;wsp:rsid wsp:val=&quot;00230153&quot;/&gt;&lt;wsp:rsid wsp:val=&quot;00230303&quot;/&gt;&lt;wsp:rsid wsp:val=&quot;00230718&quot;/&gt;&lt;wsp:rsid wsp:val=&quot;00230D26&quot;/&gt;&lt;wsp:rsid wsp:val=&quot;002314F1&quot;/&gt;&lt;wsp:rsid wsp:val=&quot;00231683&quot;/&gt;&lt;wsp:rsid wsp:val=&quot;00231CB7&quot;/&gt;&lt;wsp:rsid wsp:val=&quot;00231EF3&quot;/&gt;&lt;wsp:rsid wsp:val=&quot;0023208D&quot;/&gt;&lt;wsp:rsid wsp:val=&quot;00232266&quot;/&gt;&lt;wsp:rsid wsp:val=&quot;002324A6&quot;/&gt;&lt;wsp:rsid wsp:val=&quot;002325A1&quot;/&gt;&lt;wsp:rsid wsp:val=&quot;00232989&quot;/&gt;&lt;wsp:rsid wsp:val=&quot;00232A0A&quot;/&gt;&lt;wsp:rsid wsp:val=&quot;00232B15&quot;/&gt;&lt;wsp:rsid wsp:val=&quot;00232B66&quot;/&gt;&lt;wsp:rsid wsp:val=&quot;00232E63&quot;/&gt;&lt;wsp:rsid wsp:val=&quot;00233149&quot;/&gt;&lt;wsp:rsid wsp:val=&quot;0023329A&quot;/&gt;&lt;wsp:rsid wsp:val=&quot;002333DE&quot;/&gt;&lt;wsp:rsid wsp:val=&quot;00233477&quot;/&gt;&lt;wsp:rsid wsp:val=&quot;00233F42&quot;/&gt;&lt;wsp:rsid wsp:val=&quot;002348CB&quot;/&gt;&lt;wsp:rsid wsp:val=&quot;002349BD&quot;/&gt;&lt;wsp:rsid wsp:val=&quot;00234A0C&quot;/&gt;&lt;wsp:rsid wsp:val=&quot;0023556F&quot;/&gt;&lt;wsp:rsid wsp:val=&quot;00235ACA&quot;/&gt;&lt;wsp:rsid wsp:val=&quot;00236590&quot;/&gt;&lt;wsp:rsid wsp:val=&quot;00236846&quot;/&gt;&lt;wsp:rsid wsp:val=&quot;00236C23&quot;/&gt;&lt;wsp:rsid wsp:val=&quot;00236C72&quot;/&gt;&lt;wsp:rsid wsp:val=&quot;00236C7C&quot;/&gt;&lt;wsp:rsid wsp:val=&quot;00236D67&quot;/&gt;&lt;wsp:rsid wsp:val=&quot;0023725F&quot;/&gt;&lt;wsp:rsid wsp:val=&quot;00237F39&quot;/&gt;&lt;wsp:rsid wsp:val=&quot;002402F2&quot;/&gt;&lt;wsp:rsid wsp:val=&quot;002413BD&quot;/&gt;&lt;wsp:rsid wsp:val=&quot;00241542&quot;/&gt;&lt;wsp:rsid wsp:val=&quot;0024185C&quot;/&gt;&lt;wsp:rsid wsp:val=&quot;002418E7&quot;/&gt;&lt;wsp:rsid wsp:val=&quot;00241A04&quot;/&gt;&lt;wsp:rsid wsp:val=&quot;00241A62&quot;/&gt;&lt;wsp:rsid wsp:val=&quot;00241B80&quot;/&gt;&lt;wsp:rsid wsp:val=&quot;00241C03&quot;/&gt;&lt;wsp:rsid wsp:val=&quot;00241F45&quot;/&gt;&lt;wsp:rsid wsp:val=&quot;00241F5F&quot;/&gt;&lt;wsp:rsid wsp:val=&quot;0024244A&quot;/&gt;&lt;wsp:rsid wsp:val=&quot;0024265F&quot;/&gt;&lt;wsp:rsid wsp:val=&quot;002426C6&quot;/&gt;&lt;wsp:rsid wsp:val=&quot;002427E0&quot;/&gt;&lt;wsp:rsid wsp:val=&quot;00242B14&quot;/&gt;&lt;wsp:rsid wsp:val=&quot;00242C0C&quot;/&gt;&lt;wsp:rsid wsp:val=&quot;00242E31&quot;/&gt;&lt;wsp:rsid wsp:val=&quot;0024301C&quot;/&gt;&lt;wsp:rsid wsp:val=&quot;0024379A&quot;/&gt;&lt;wsp:rsid wsp:val=&quot;00243812&quot;/&gt;&lt;wsp:rsid wsp:val=&quot;00243ACD&quot;/&gt;&lt;wsp:rsid wsp:val=&quot;00243BBE&quot;/&gt;&lt;wsp:rsid wsp:val=&quot;00243C6C&quot;/&gt;&lt;wsp:rsid wsp:val=&quot;0024489F&quot;/&gt;&lt;wsp:rsid wsp:val=&quot;00244FD7&quot;/&gt;&lt;wsp:rsid wsp:val=&quot;0024598B&quot;/&gt;&lt;wsp:rsid wsp:val=&quot;00245AEB&quot;/&gt;&lt;wsp:rsid wsp:val=&quot;002461EA&quot;/&gt;&lt;wsp:rsid wsp:val=&quot;002462E4&quot;/&gt;&lt;wsp:rsid wsp:val=&quot;002467DF&quot;/&gt;&lt;wsp:rsid wsp:val=&quot;0024687E&quot;/&gt;&lt;wsp:rsid wsp:val=&quot;002470B2&quot;/&gt;&lt;wsp:rsid wsp:val=&quot;00247351&quot;/&gt;&lt;wsp:rsid wsp:val=&quot;0024791D&quot;/&gt;&lt;wsp:rsid wsp:val=&quot;00247ACC&quot;/&gt;&lt;wsp:rsid wsp:val=&quot;00247FB1&quot;/&gt;&lt;wsp:rsid wsp:val=&quot;00250170&quot;/&gt;&lt;wsp:rsid wsp:val=&quot;0025022B&quot;/&gt;&lt;wsp:rsid wsp:val=&quot;00251027&quot;/&gt;&lt;wsp:rsid wsp:val=&quot;002510E4&quot;/&gt;&lt;wsp:rsid wsp:val=&quot;0025119D&quot;/&gt;&lt;wsp:rsid wsp:val=&quot;002512E4&quot;/&gt;&lt;wsp:rsid wsp:val=&quot;0025156F&quot;/&gt;&lt;wsp:rsid wsp:val=&quot;00251989&quot;/&gt;&lt;wsp:rsid wsp:val=&quot;00251B43&quot;/&gt;&lt;wsp:rsid wsp:val=&quot;00251FAE&quot;/&gt;&lt;wsp:rsid wsp:val=&quot;002520F8&quot;/&gt;&lt;wsp:rsid wsp:val=&quot;0025211D&quot;/&gt;&lt;wsp:rsid wsp:val=&quot;002526AA&quot;/&gt;&lt;wsp:rsid wsp:val=&quot;0025346F&quot;/&gt;&lt;wsp:rsid wsp:val=&quot;002535C1&quot;/&gt;&lt;wsp:rsid wsp:val=&quot;002535F2&quot;/&gt;&lt;wsp:rsid wsp:val=&quot;00253A28&quot;/&gt;&lt;wsp:rsid wsp:val=&quot;00253B29&quot;/&gt;&lt;wsp:rsid wsp:val=&quot;002540E7&quot;/&gt;&lt;wsp:rsid wsp:val=&quot;0025414B&quot;/&gt;&lt;wsp:rsid wsp:val=&quot;002543FB&quot;/&gt;&lt;wsp:rsid wsp:val=&quot;00254992&quot;/&gt;&lt;wsp:rsid wsp:val=&quot;00254A31&quot;/&gt;&lt;wsp:rsid wsp:val=&quot;00254B17&quot;/&gt;&lt;wsp:rsid wsp:val=&quot;0025529C&quot;/&gt;&lt;wsp:rsid wsp:val=&quot;0025553E&quot;/&gt;&lt;wsp:rsid wsp:val=&quot;002559DA&quot;/&gt;&lt;wsp:rsid wsp:val=&quot;00255A5F&quot;/&gt;&lt;wsp:rsid wsp:val=&quot;002567B3&quot;/&gt;&lt;wsp:rsid wsp:val=&quot;002567D9&quot;/&gt;&lt;wsp:rsid wsp:val=&quot;00257074&quot;/&gt;&lt;wsp:rsid wsp:val=&quot;0025716B&quot;/&gt;&lt;wsp:rsid wsp:val=&quot;002572DE&quot;/&gt;&lt;wsp:rsid wsp:val=&quot;002574AB&quot;/&gt;&lt;wsp:rsid wsp:val=&quot;00257710&quot;/&gt;&lt;wsp:rsid wsp:val=&quot;00257D51&quot;/&gt;&lt;wsp:rsid wsp:val=&quot;00260D34&quot;/&gt;&lt;wsp:rsid wsp:val=&quot;00260E55&quot;/&gt;&lt;wsp:rsid wsp:val=&quot;002617C9&quot;/&gt;&lt;wsp:rsid wsp:val=&quot;002618C2&quot;/&gt;&lt;wsp:rsid wsp:val=&quot;00261D85&quot;/&gt;&lt;wsp:rsid wsp:val=&quot;00262087&quot;/&gt;&lt;wsp:rsid wsp:val=&quot;0026227B&quot;/&gt;&lt;wsp:rsid wsp:val=&quot;00262456&quot;/&gt;&lt;wsp:rsid wsp:val=&quot;0026246C&quot;/&gt;&lt;wsp:rsid wsp:val=&quot;002624A1&quot;/&gt;&lt;wsp:rsid wsp:val=&quot;002627F3&quot;/&gt;&lt;wsp:rsid wsp:val=&quot;00262BD7&quot;/&gt;&lt;wsp:rsid wsp:val=&quot;00262C4D&quot;/&gt;&lt;wsp:rsid wsp:val=&quot;0026359A&quot;/&gt;&lt;wsp:rsid wsp:val=&quot;002636A2&quot;/&gt;&lt;wsp:rsid wsp:val=&quot;002636E9&quot;/&gt;&lt;wsp:rsid wsp:val=&quot;0026396F&quot;/&gt;&lt;wsp:rsid wsp:val=&quot;00263A8D&quot;/&gt;&lt;wsp:rsid wsp:val=&quot;00263C47&quot;/&gt;&lt;wsp:rsid wsp:val=&quot;00263C9F&quot;/&gt;&lt;wsp:rsid wsp:val=&quot;00263E47&quot;/&gt;&lt;wsp:rsid wsp:val=&quot;00263FB4&quot;/&gt;&lt;wsp:rsid wsp:val=&quot;002640D0&quot;/&gt;&lt;wsp:rsid wsp:val=&quot;002643DA&quot;/&gt;&lt;wsp:rsid wsp:val=&quot;002644E2&quot;/&gt;&lt;wsp:rsid wsp:val=&quot;0026461E&quot;/&gt;&lt;wsp:rsid wsp:val=&quot;00264E91&quot;/&gt;&lt;wsp:rsid wsp:val=&quot;00264F6D&quot;/&gt;&lt;wsp:rsid wsp:val=&quot;002655F6&quot;/&gt;&lt;wsp:rsid wsp:val=&quot;0026560C&quot;/&gt;&lt;wsp:rsid wsp:val=&quot;00265FF0&quot;/&gt;&lt;wsp:rsid wsp:val=&quot;00266E09&quot;/&gt;&lt;wsp:rsid wsp:val=&quot;0026739F&quot;/&gt;&lt;wsp:rsid wsp:val=&quot;00267640&quot;/&gt;&lt;wsp:rsid wsp:val=&quot;00270029&quot;/&gt;&lt;wsp:rsid wsp:val=&quot;0027018D&quot;/&gt;&lt;wsp:rsid wsp:val=&quot;00270611&quot;/&gt;&lt;wsp:rsid wsp:val=&quot;00270697&quot;/&gt;&lt;wsp:rsid wsp:val=&quot;00270755&quot;/&gt;&lt;wsp:rsid wsp:val=&quot;00270B47&quot;/&gt;&lt;wsp:rsid wsp:val=&quot;00270D59&quot;/&gt;&lt;wsp:rsid wsp:val=&quot;00271289&quot;/&gt;&lt;wsp:rsid wsp:val=&quot;0027134C&quot;/&gt;&lt;wsp:rsid wsp:val=&quot;00271593&quot;/&gt;&lt;wsp:rsid wsp:val=&quot;002715A6&quot;/&gt;&lt;wsp:rsid wsp:val=&quot;0027161F&quot;/&gt;&lt;wsp:rsid wsp:val=&quot;00271D4D&quot;/&gt;&lt;wsp:rsid wsp:val=&quot;00271E47&quot;/&gt;&lt;wsp:rsid wsp:val=&quot;0027224A&quot;/&gt;&lt;wsp:rsid wsp:val=&quot;002724EF&quot;/&gt;&lt;wsp:rsid wsp:val=&quot;002724F4&quot;/&gt;&lt;wsp:rsid wsp:val=&quot;00272C48&quot;/&gt;&lt;wsp:rsid wsp:val=&quot;002732D0&quot;/&gt;&lt;wsp:rsid wsp:val=&quot;002736D7&quot;/&gt;&lt;wsp:rsid wsp:val=&quot;0027373B&quot;/&gt;&lt;wsp:rsid wsp:val=&quot;00274050&quot;/&gt;&lt;wsp:rsid wsp:val=&quot;00274196&quot;/&gt;&lt;wsp:rsid wsp:val=&quot;00274205&quot;/&gt;&lt;wsp:rsid wsp:val=&quot;002744A3&quot;/&gt;&lt;wsp:rsid wsp:val=&quot;002744AA&quot;/&gt;&lt;wsp:rsid wsp:val=&quot;002747BF&quot;/&gt;&lt;wsp:rsid wsp:val=&quot;002747D0&quot;/&gt;&lt;wsp:rsid wsp:val=&quot;002748ED&quot;/&gt;&lt;wsp:rsid wsp:val=&quot;00274955&quot;/&gt;&lt;wsp:rsid wsp:val=&quot;0027499C&quot;/&gt;&lt;wsp:rsid wsp:val=&quot;00274A6C&quot;/&gt;&lt;wsp:rsid wsp:val=&quot;00274C83&quot;/&gt;&lt;wsp:rsid wsp:val=&quot;00274CDA&quot;/&gt;&lt;wsp:rsid wsp:val=&quot;0027513F&quot;/&gt;&lt;wsp:rsid wsp:val=&quot;00275142&quot;/&gt;&lt;wsp:rsid wsp:val=&quot;00275637&quot;/&gt;&lt;wsp:rsid wsp:val=&quot;002757D0&quot;/&gt;&lt;wsp:rsid wsp:val=&quot;00275A5D&quot;/&gt;&lt;wsp:rsid wsp:val=&quot;00275AD2&quot;/&gt;&lt;wsp:rsid wsp:val=&quot;0027613B&quot;/&gt;&lt;wsp:rsid wsp:val=&quot;0027644C&quot;/&gt;&lt;wsp:rsid wsp:val=&quot;002765AD&quot;/&gt;&lt;wsp:rsid wsp:val=&quot;002767D0&quot;/&gt;&lt;wsp:rsid wsp:val=&quot;00276D6C&quot;/&gt;&lt;wsp:rsid wsp:val=&quot;00276F23&quot;/&gt;&lt;wsp:rsid wsp:val=&quot;0027716C&quot;/&gt;&lt;wsp:rsid wsp:val=&quot;002779DD&quot;/&gt;&lt;wsp:rsid wsp:val=&quot;00277F07&quot;/&gt;&lt;wsp:rsid wsp:val=&quot;0028013C&quot;/&gt;&lt;wsp:rsid wsp:val=&quot;002803DE&quot;/&gt;&lt;wsp:rsid wsp:val=&quot;002804A3&quot;/&gt;&lt;wsp:rsid wsp:val=&quot;00280893&quot;/&gt;&lt;wsp:rsid wsp:val=&quot;002812C9&quot;/&gt;&lt;wsp:rsid wsp:val=&quot;002814EC&quot;/&gt;&lt;wsp:rsid wsp:val=&quot;0028166F&quot;/&gt;&lt;wsp:rsid wsp:val=&quot;00281860&quot;/&gt;&lt;wsp:rsid wsp:val=&quot;00281952&quot;/&gt;&lt;wsp:rsid wsp:val=&quot;00282A78&quot;/&gt;&lt;wsp:rsid wsp:val=&quot;00282B4B&quot;/&gt;&lt;wsp:rsid wsp:val=&quot;00282BDA&quot;/&gt;&lt;wsp:rsid wsp:val=&quot;00282E4D&quot;/&gt;&lt;wsp:rsid wsp:val=&quot;002832E0&quot;/&gt;&lt;wsp:rsid wsp:val=&quot;002833BB&quot;/&gt;&lt;wsp:rsid wsp:val=&quot;0028346E&quot;/&gt;&lt;wsp:rsid wsp:val=&quot;002835C7&quot;/&gt;&lt;wsp:rsid wsp:val=&quot;00284392&quot;/&gt;&lt;wsp:rsid wsp:val=&quot;00284567&quot;/&gt;&lt;wsp:rsid wsp:val=&quot;00284A7F&quot;/&gt;&lt;wsp:rsid wsp:val=&quot;00284BC4&quot;/&gt;&lt;wsp:rsid wsp:val=&quot;00284C0D&quot;/&gt;&lt;wsp:rsid wsp:val=&quot;00285346&quot;/&gt;&lt;wsp:rsid wsp:val=&quot;0028553F&quot;/&gt;&lt;wsp:rsid wsp:val=&quot;00285701&quot;/&gt;&lt;wsp:rsid wsp:val=&quot;00285A7F&quot;/&gt;&lt;wsp:rsid wsp:val=&quot;00285AF2&quot;/&gt;&lt;wsp:rsid wsp:val=&quot;00285FC0&quot;/&gt;&lt;wsp:rsid wsp:val=&quot;00285FC5&quot;/&gt;&lt;wsp:rsid wsp:val=&quot;0028641F&quot;/&gt;&lt;wsp:rsid wsp:val=&quot;002867AA&quot;/&gt;&lt;wsp:rsid wsp:val=&quot;002869F5&quot;/&gt;&lt;wsp:rsid wsp:val=&quot;00286F24&quot;/&gt;&lt;wsp:rsid wsp:val=&quot;00286F32&quot;/&gt;&lt;wsp:rsid wsp:val=&quot;00287223&quot;/&gt;&lt;wsp:rsid wsp:val=&quot;00287681&quot;/&gt;&lt;wsp:rsid wsp:val=&quot;00287EBD&quot;/&gt;&lt;wsp:rsid wsp:val=&quot;00287F8E&quot;/&gt;&lt;wsp:rsid wsp:val=&quot;0029008F&quot;/&gt;&lt;wsp:rsid wsp:val=&quot;0029079A&quot;/&gt;&lt;wsp:rsid wsp:val=&quot;00290A2D&quot;/&gt;&lt;wsp:rsid wsp:val=&quot;002910F2&quot;/&gt;&lt;wsp:rsid wsp:val=&quot;002911F5&quot;/&gt;&lt;wsp:rsid wsp:val=&quot;00291250&quot;/&gt;&lt;wsp:rsid wsp:val=&quot;0029135F&quot;/&gt;&lt;wsp:rsid wsp:val=&quot;0029196D&quot;/&gt;&lt;wsp:rsid wsp:val=&quot;00291A01&quot;/&gt;&lt;wsp:rsid wsp:val=&quot;00291A62&quot;/&gt;&lt;wsp:rsid wsp:val=&quot;00291F28&quot;/&gt;&lt;wsp:rsid wsp:val=&quot;00292687&quot;/&gt;&lt;wsp:rsid wsp:val=&quot;002929B3&quot;/&gt;&lt;wsp:rsid wsp:val=&quot;00292B75&quot;/&gt;&lt;wsp:rsid wsp:val=&quot;00292E90&quot;/&gt;&lt;wsp:rsid wsp:val=&quot;00292F01&quot;/&gt;&lt;wsp:rsid wsp:val=&quot;0029342F&quot;/&gt;&lt;wsp:rsid wsp:val=&quot;002934B1&quot;/&gt;&lt;wsp:rsid wsp:val=&quot;00293626&quot;/&gt;&lt;wsp:rsid wsp:val=&quot;00293B87&quot;/&gt;&lt;wsp:rsid wsp:val=&quot;00293C9E&quot;/&gt;&lt;wsp:rsid wsp:val=&quot;00293DAA&quot;/&gt;&lt;wsp:rsid wsp:val=&quot;00293E69&quot;/&gt;&lt;wsp:rsid wsp:val=&quot;00294076&quot;/&gt;&lt;wsp:rsid wsp:val=&quot;00294094&quot;/&gt;&lt;wsp:rsid wsp:val=&quot;002942B9&quot;/&gt;&lt;wsp:rsid wsp:val=&quot;002944AD&quot;/&gt;&lt;wsp:rsid wsp:val=&quot;00294D12&quot;/&gt;&lt;wsp:rsid wsp:val=&quot;00295814&quot;/&gt;&lt;wsp:rsid wsp:val=&quot;00295EBF&quot;/&gt;&lt;wsp:rsid wsp:val=&quot;00295FCC&quot;/&gt;&lt;wsp:rsid wsp:val=&quot;00296318&quot;/&gt;&lt;wsp:rsid wsp:val=&quot;002963ED&quot;/&gt;&lt;wsp:rsid wsp:val=&quot;00296B3C&quot;/&gt;&lt;wsp:rsid wsp:val=&quot;002976EF&quot;/&gt;&lt;wsp:rsid wsp:val=&quot;00297F6D&quot;/&gt;&lt;wsp:rsid wsp:val=&quot;002A017C&quot;/&gt;&lt;wsp:rsid wsp:val=&quot;002A043F&quot;/&gt;&lt;wsp:rsid wsp:val=&quot;002A082D&quot;/&gt;&lt;wsp:rsid wsp:val=&quot;002A0AC1&quot;/&gt;&lt;wsp:rsid wsp:val=&quot;002A1683&quot;/&gt;&lt;wsp:rsid wsp:val=&quot;002A18F0&quot;/&gt;&lt;wsp:rsid wsp:val=&quot;002A195B&quot;/&gt;&lt;wsp:rsid wsp:val=&quot;002A1B4D&quot;/&gt;&lt;wsp:rsid wsp:val=&quot;002A1D8E&quot;/&gt;&lt;wsp:rsid wsp:val=&quot;002A226C&quot;/&gt;&lt;wsp:rsid wsp:val=&quot;002A25D6&quot;/&gt;&lt;wsp:rsid wsp:val=&quot;002A287D&quot;/&gt;&lt;wsp:rsid wsp:val=&quot;002A30A8&quot;/&gt;&lt;wsp:rsid wsp:val=&quot;002A325C&quot;/&gt;&lt;wsp:rsid wsp:val=&quot;002A354B&quot;/&gt;&lt;wsp:rsid wsp:val=&quot;002A3C55&quot;/&gt;&lt;wsp:rsid wsp:val=&quot;002A3E93&quot;/&gt;&lt;wsp:rsid wsp:val=&quot;002A40B5&quot;/&gt;&lt;wsp:rsid wsp:val=&quot;002A40BF&quot;/&gt;&lt;wsp:rsid wsp:val=&quot;002A438B&quot;/&gt;&lt;wsp:rsid wsp:val=&quot;002A43DA&quot;/&gt;&lt;wsp:rsid wsp:val=&quot;002A4413&quot;/&gt;&lt;wsp:rsid wsp:val=&quot;002A47C6&quot;/&gt;&lt;wsp:rsid wsp:val=&quot;002A4B45&quot;/&gt;&lt;wsp:rsid wsp:val=&quot;002A4F64&quot;/&gt;&lt;wsp:rsid wsp:val=&quot;002A4FAA&quot;/&gt;&lt;wsp:rsid wsp:val=&quot;002A543C&quot;/&gt;&lt;wsp:rsid wsp:val=&quot;002A5850&quot;/&gt;&lt;wsp:rsid wsp:val=&quot;002A5E2B&quot;/&gt;&lt;wsp:rsid wsp:val=&quot;002A60AB&quot;/&gt;&lt;wsp:rsid wsp:val=&quot;002A62D4&quot;/&gt;&lt;wsp:rsid wsp:val=&quot;002A6559&quot;/&gt;&lt;wsp:rsid wsp:val=&quot;002A72E4&quot;/&gt;&lt;wsp:rsid wsp:val=&quot;002A7464&quot;/&gt;&lt;wsp:rsid wsp:val=&quot;002A753D&quot;/&gt;&lt;wsp:rsid wsp:val=&quot;002A76F0&quot;/&gt;&lt;wsp:rsid wsp:val=&quot;002A78B2&quot;/&gt;&lt;wsp:rsid wsp:val=&quot;002A7969&quot;/&gt;&lt;wsp:rsid wsp:val=&quot;002A7DE4&quot;/&gt;&lt;wsp:rsid wsp:val=&quot;002B07B5&quot;/&gt;&lt;wsp:rsid wsp:val=&quot;002B07D5&quot;/&gt;&lt;wsp:rsid wsp:val=&quot;002B0B06&quot;/&gt;&lt;wsp:rsid wsp:val=&quot;002B0B36&quot;/&gt;&lt;wsp:rsid wsp:val=&quot;002B1469&quot;/&gt;&lt;wsp:rsid wsp:val=&quot;002B21F2&quot;/&gt;&lt;wsp:rsid wsp:val=&quot;002B22FF&quot;/&gt;&lt;wsp:rsid wsp:val=&quot;002B2487&quot;/&gt;&lt;wsp:rsid wsp:val=&quot;002B2750&quot;/&gt;&lt;wsp:rsid wsp:val=&quot;002B2CDA&quot;/&gt;&lt;wsp:rsid wsp:val=&quot;002B3B40&quot;/&gt;&lt;wsp:rsid wsp:val=&quot;002B3B45&quot;/&gt;&lt;wsp:rsid wsp:val=&quot;002B3C6E&quot;/&gt;&lt;wsp:rsid wsp:val=&quot;002B4636&quot;/&gt;&lt;wsp:rsid wsp:val=&quot;002B5679&quot;/&gt;&lt;wsp:rsid wsp:val=&quot;002B589F&quot;/&gt;&lt;wsp:rsid wsp:val=&quot;002B5CDE&quot;/&gt;&lt;wsp:rsid wsp:val=&quot;002B6271&quot;/&gt;&lt;wsp:rsid wsp:val=&quot;002B63AB&quot;/&gt;&lt;wsp:rsid wsp:val=&quot;002B6969&quot;/&gt;&lt;wsp:rsid wsp:val=&quot;002B6B15&quot;/&gt;&lt;wsp:rsid wsp:val=&quot;002B6C6C&quot;/&gt;&lt;wsp:rsid wsp:val=&quot;002B6E38&quot;/&gt;&lt;wsp:rsid wsp:val=&quot;002B7093&quot;/&gt;&lt;wsp:rsid wsp:val=&quot;002C028F&quot;/&gt;&lt;wsp:rsid wsp:val=&quot;002C02EC&quot;/&gt;&lt;wsp:rsid wsp:val=&quot;002C02EF&quot;/&gt;&lt;wsp:rsid wsp:val=&quot;002C0435&quot;/&gt;&lt;wsp:rsid wsp:val=&quot;002C0475&quot;/&gt;&lt;wsp:rsid wsp:val=&quot;002C049C&quot;/&gt;&lt;wsp:rsid wsp:val=&quot;002C06A2&quot;/&gt;&lt;wsp:rsid wsp:val=&quot;002C0797&quot;/&gt;&lt;wsp:rsid wsp:val=&quot;002C09C9&quot;/&gt;&lt;wsp:rsid wsp:val=&quot;002C1425&quot;/&gt;&lt;wsp:rsid wsp:val=&quot;002C196B&quot;/&gt;&lt;wsp:rsid wsp:val=&quot;002C1A16&quot;/&gt;&lt;wsp:rsid wsp:val=&quot;002C1D69&quot;/&gt;&lt;wsp:rsid wsp:val=&quot;002C2023&quot;/&gt;&lt;wsp:rsid wsp:val=&quot;002C2E78&quot;/&gt;&lt;wsp:rsid wsp:val=&quot;002C341B&quot;/&gt;&lt;wsp:rsid wsp:val=&quot;002C36FF&quot;/&gt;&lt;wsp:rsid wsp:val=&quot;002C3863&quot;/&gt;&lt;wsp:rsid wsp:val=&quot;002C38D3&quot;/&gt;&lt;wsp:rsid wsp:val=&quot;002C399A&quot;/&gt;&lt;wsp:rsid wsp:val=&quot;002C3F6E&quot;/&gt;&lt;wsp:rsid wsp:val=&quot;002C40E3&quot;/&gt;&lt;wsp:rsid wsp:val=&quot;002C426B&quot;/&gt;&lt;wsp:rsid wsp:val=&quot;002C4910&quot;/&gt;&lt;wsp:rsid wsp:val=&quot;002C51F4&quot;/&gt;&lt;wsp:rsid wsp:val=&quot;002C52BD&quot;/&gt;&lt;wsp:rsid wsp:val=&quot;002C5465&quot;/&gt;&lt;wsp:rsid wsp:val=&quot;002C580B&quot;/&gt;&lt;wsp:rsid wsp:val=&quot;002C5A9A&quot;/&gt;&lt;wsp:rsid wsp:val=&quot;002C5D82&quot;/&gt;&lt;wsp:rsid wsp:val=&quot;002C5F99&quot;/&gt;&lt;wsp:rsid wsp:val=&quot;002C6221&quot;/&gt;&lt;wsp:rsid wsp:val=&quot;002C6936&quot;/&gt;&lt;wsp:rsid wsp:val=&quot;002C6EF6&quot;/&gt;&lt;wsp:rsid wsp:val=&quot;002C70A1&quot;/&gt;&lt;wsp:rsid wsp:val=&quot;002C70EB&quot;/&gt;&lt;wsp:rsid wsp:val=&quot;002C71BC&quot;/&gt;&lt;wsp:rsid wsp:val=&quot;002C7CB3&quot;/&gt;&lt;wsp:rsid wsp:val=&quot;002D01B6&quot;/&gt;&lt;wsp:rsid wsp:val=&quot;002D051A&quot;/&gt;&lt;wsp:rsid wsp:val=&quot;002D066C&quot;/&gt;&lt;wsp:rsid wsp:val=&quot;002D0BD7&quot;/&gt;&lt;wsp:rsid wsp:val=&quot;002D0D75&quot;/&gt;&lt;wsp:rsid wsp:val=&quot;002D17A6&quot;/&gt;&lt;wsp:rsid wsp:val=&quot;002D1F87&quot;/&gt;&lt;wsp:rsid wsp:val=&quot;002D2373&quot;/&gt;&lt;wsp:rsid wsp:val=&quot;002D26F6&quot;/&gt;&lt;wsp:rsid wsp:val=&quot;002D2A19&quot;/&gt;&lt;wsp:rsid wsp:val=&quot;002D2A84&quot;/&gt;&lt;wsp:rsid wsp:val=&quot;002D30BE&quot;/&gt;&lt;wsp:rsid wsp:val=&quot;002D325A&quot;/&gt;&lt;wsp:rsid wsp:val=&quot;002D3A06&quot;/&gt;&lt;wsp:rsid wsp:val=&quot;002D3E99&quot;/&gt;&lt;wsp:rsid wsp:val=&quot;002D3FAD&quot;/&gt;&lt;wsp:rsid wsp:val=&quot;002D4667&quot;/&gt;&lt;wsp:rsid wsp:val=&quot;002D48AC&quot;/&gt;&lt;wsp:rsid wsp:val=&quot;002D4A83&quot;/&gt;&lt;wsp:rsid wsp:val=&quot;002D4C2A&quot;/&gt;&lt;wsp:rsid wsp:val=&quot;002D5156&quot;/&gt;&lt;wsp:rsid wsp:val=&quot;002D5221&quot;/&gt;&lt;wsp:rsid wsp:val=&quot;002D54B2&quot;/&gt;&lt;wsp:rsid wsp:val=&quot;002D5AD5&quot;/&gt;&lt;wsp:rsid wsp:val=&quot;002D5F75&quot;/&gt;&lt;wsp:rsid wsp:val=&quot;002D60C7&quot;/&gt;&lt;wsp:rsid wsp:val=&quot;002D6528&quot;/&gt;&lt;wsp:rsid wsp:val=&quot;002D655D&quot;/&gt;&lt;wsp:rsid wsp:val=&quot;002D6810&quot;/&gt;&lt;wsp:rsid wsp:val=&quot;002D68CE&quot;/&gt;&lt;wsp:rsid wsp:val=&quot;002D68D1&quot;/&gt;&lt;wsp:rsid wsp:val=&quot;002D68F0&quot;/&gt;&lt;wsp:rsid wsp:val=&quot;002D6938&quot;/&gt;&lt;wsp:rsid wsp:val=&quot;002D6EA4&quot;/&gt;&lt;wsp:rsid wsp:val=&quot;002D6F4C&quot;/&gt;&lt;wsp:rsid wsp:val=&quot;002D712B&quot;/&gt;&lt;wsp:rsid wsp:val=&quot;002D7489&quot;/&gt;&lt;wsp:rsid wsp:val=&quot;002D75E1&quot;/&gt;&lt;wsp:rsid wsp:val=&quot;002D7852&quot;/&gt;&lt;wsp:rsid wsp:val=&quot;002D7876&quot;/&gt;&lt;wsp:rsid wsp:val=&quot;002D7F7C&quot;/&gt;&lt;wsp:rsid wsp:val=&quot;002E00F5&quot;/&gt;&lt;wsp:rsid wsp:val=&quot;002E0245&quot;/&gt;&lt;wsp:rsid wsp:val=&quot;002E09BB&quot;/&gt;&lt;wsp:rsid wsp:val=&quot;002E10DC&quot;/&gt;&lt;wsp:rsid wsp:val=&quot;002E155F&quot;/&gt;&lt;wsp:rsid wsp:val=&quot;002E1B96&quot;/&gt;&lt;wsp:rsid wsp:val=&quot;002E1D4F&quot;/&gt;&lt;wsp:rsid wsp:val=&quot;002E1F15&quot;/&gt;&lt;wsp:rsid wsp:val=&quot;002E1F17&quot;/&gt;&lt;wsp:rsid wsp:val=&quot;002E205D&quot;/&gt;&lt;wsp:rsid wsp:val=&quot;002E22DB&quot;/&gt;&lt;wsp:rsid wsp:val=&quot;002E28BB&quot;/&gt;&lt;wsp:rsid wsp:val=&quot;002E2C03&quot;/&gt;&lt;wsp:rsid wsp:val=&quot;002E2EC0&quot;/&gt;&lt;wsp:rsid wsp:val=&quot;002E3387&quot;/&gt;&lt;wsp:rsid wsp:val=&quot;002E34D6&quot;/&gt;&lt;wsp:rsid wsp:val=&quot;002E3B88&quot;/&gt;&lt;wsp:rsid wsp:val=&quot;002E3D5B&quot;/&gt;&lt;wsp:rsid wsp:val=&quot;002E3DAD&quot;/&gt;&lt;wsp:rsid wsp:val=&quot;002E3ED7&quot;/&gt;&lt;wsp:rsid wsp:val=&quot;002E4583&quot;/&gt;&lt;wsp:rsid wsp:val=&quot;002E4707&quot;/&gt;&lt;wsp:rsid wsp:val=&quot;002E4B35&quot;/&gt;&lt;wsp:rsid wsp:val=&quot;002E542B&quot;/&gt;&lt;wsp:rsid wsp:val=&quot;002E6D9B&quot;/&gt;&lt;wsp:rsid wsp:val=&quot;002E7A1F&quot;/&gt;&lt;wsp:rsid wsp:val=&quot;002E7AE0&quot;/&gt;&lt;wsp:rsid wsp:val=&quot;002E7B93&quot;/&gt;&lt;wsp:rsid wsp:val=&quot;002E7F73&quot;/&gt;&lt;wsp:rsid wsp:val=&quot;002F0117&quot;/&gt;&lt;wsp:rsid wsp:val=&quot;002F033F&quot;/&gt;&lt;wsp:rsid wsp:val=&quot;002F0447&quot;/&gt;&lt;wsp:rsid wsp:val=&quot;002F046F&quot;/&gt;&lt;wsp:rsid wsp:val=&quot;002F0546&quot;/&gt;&lt;wsp:rsid wsp:val=&quot;002F0E28&quot;/&gt;&lt;wsp:rsid wsp:val=&quot;002F0F50&quot;/&gt;&lt;wsp:rsid wsp:val=&quot;002F0FBF&quot;/&gt;&lt;wsp:rsid wsp:val=&quot;002F12A5&quot;/&gt;&lt;wsp:rsid wsp:val=&quot;002F1589&quot;/&gt;&lt;wsp:rsid wsp:val=&quot;002F17EF&quot;/&gt;&lt;wsp:rsid wsp:val=&quot;002F1969&quot;/&gt;&lt;wsp:rsid wsp:val=&quot;002F1FC7&quot;/&gt;&lt;wsp:rsid wsp:val=&quot;002F2886&quot;/&gt;&lt;wsp:rsid wsp:val=&quot;002F309F&quot;/&gt;&lt;wsp:rsid wsp:val=&quot;002F33C7&quot;/&gt;&lt;wsp:rsid wsp:val=&quot;002F3538&quot;/&gt;&lt;wsp:rsid wsp:val=&quot;002F3CF1&quot;/&gt;&lt;wsp:rsid wsp:val=&quot;002F3D37&quot;/&gt;&lt;wsp:rsid wsp:val=&quot;002F42BA&quot;/&gt;&lt;wsp:rsid wsp:val=&quot;002F452B&quot;/&gt;&lt;wsp:rsid wsp:val=&quot;002F4635&quot;/&gt;&lt;wsp:rsid wsp:val=&quot;002F4CC1&quot;/&gt;&lt;wsp:rsid wsp:val=&quot;002F4E53&quot;/&gt;&lt;wsp:rsid wsp:val=&quot;002F4E82&quot;/&gt;&lt;wsp:rsid wsp:val=&quot;002F4FEE&quot;/&gt;&lt;wsp:rsid wsp:val=&quot;002F50B4&quot;/&gt;&lt;wsp:rsid wsp:val=&quot;002F5550&quot;/&gt;&lt;wsp:rsid wsp:val=&quot;002F57FD&quot;/&gt;&lt;wsp:rsid wsp:val=&quot;002F5DB6&quot;/&gt;&lt;wsp:rsid wsp:val=&quot;002F5EEF&quot;/&gt;&lt;wsp:rsid wsp:val=&quot;002F5FFD&quot;/&gt;&lt;wsp:rsid wsp:val=&quot;002F6510&quot;/&gt;&lt;wsp:rsid wsp:val=&quot;002F6A30&quot;/&gt;&lt;wsp:rsid wsp:val=&quot;002F6C71&quot;/&gt;&lt;wsp:rsid wsp:val=&quot;002F762A&quot;/&gt;&lt;wsp:rsid wsp:val=&quot;002F7CDE&quot;/&gt;&lt;wsp:rsid wsp:val=&quot;00300614&quot;/&gt;&lt;wsp:rsid wsp:val=&quot;0030079A&quot;/&gt;&lt;wsp:rsid wsp:val=&quot;00300A4F&quot;/&gt;&lt;wsp:rsid wsp:val=&quot;003011E0&quot;/&gt;&lt;wsp:rsid wsp:val=&quot;00301AB9&quot;/&gt;&lt;wsp:rsid wsp:val=&quot;00301E31&quot;/&gt;&lt;wsp:rsid wsp:val=&quot;003020F0&quot;/&gt;&lt;wsp:rsid wsp:val=&quot;003021E3&quot;/&gt;&lt;wsp:rsid wsp:val=&quot;003021EB&quot;/&gt;&lt;wsp:rsid wsp:val=&quot;0030234F&quot;/&gt;&lt;wsp:rsid wsp:val=&quot;003024F1&quot;/&gt;&lt;wsp:rsid wsp:val=&quot;00302C47&quot;/&gt;&lt;wsp:rsid wsp:val=&quot;00302DE7&quot;/&gt;&lt;wsp:rsid wsp:val=&quot;00302E2C&quot;/&gt;&lt;wsp:rsid wsp:val=&quot;0030381E&quot;/&gt;&lt;wsp:rsid wsp:val=&quot;00303848&quot;/&gt;&lt;wsp:rsid wsp:val=&quot;00303894&quot;/&gt;&lt;wsp:rsid wsp:val=&quot;00303A13&quot;/&gt;&lt;wsp:rsid wsp:val=&quot;00303D41&quot;/&gt;&lt;wsp:rsid wsp:val=&quot;0030400B&quot;/&gt;&lt;wsp:rsid wsp:val=&quot;003040BB&quot;/&gt;&lt;wsp:rsid wsp:val=&quot;003042E2&quot;/&gt;&lt;wsp:rsid wsp:val=&quot;00304465&quot;/&gt;&lt;wsp:rsid wsp:val=&quot;00304543&quot;/&gt;&lt;wsp:rsid wsp:val=&quot;00304659&quot;/&gt;&lt;wsp:rsid wsp:val=&quot;00304816&quot;/&gt;&lt;wsp:rsid wsp:val=&quot;00305216&quot;/&gt;&lt;wsp:rsid wsp:val=&quot;00305929&quot;/&gt;&lt;wsp:rsid wsp:val=&quot;00305A87&quot;/&gt;&lt;wsp:rsid wsp:val=&quot;003064CB&quot;/&gt;&lt;wsp:rsid wsp:val=&quot;00306A6A&quot;/&gt;&lt;wsp:rsid wsp:val=&quot;00306AA7&quot;/&gt;&lt;wsp:rsid wsp:val=&quot;00306CB1&quot;/&gt;&lt;wsp:rsid wsp:val=&quot;00306F51&quot;/&gt;&lt;wsp:rsid wsp:val=&quot;00306F9A&quot;/&gt;&lt;wsp:rsid wsp:val=&quot;00307117&quot;/&gt;&lt;wsp:rsid wsp:val=&quot;00307711&quot;/&gt;&lt;wsp:rsid wsp:val=&quot;003077AC&quot;/&gt;&lt;wsp:rsid wsp:val=&quot;00307B03&quot;/&gt;&lt;wsp:rsid wsp:val=&quot;0031013A&quot;/&gt;&lt;wsp:rsid wsp:val=&quot;0031018C&quot;/&gt;&lt;wsp:rsid wsp:val=&quot;003105B2&quot;/&gt;&lt;wsp:rsid wsp:val=&quot;00310832&quot;/&gt;&lt;wsp:rsid wsp:val=&quot;00310AC6&quot;/&gt;&lt;wsp:rsid wsp:val=&quot;00310E02&quot;/&gt;&lt;wsp:rsid wsp:val=&quot;003111BD&quot;/&gt;&lt;wsp:rsid wsp:val=&quot;00311355&quot;/&gt;&lt;wsp:rsid wsp:val=&quot;003118E0&quot;/&gt;&lt;wsp:rsid wsp:val=&quot;00311967&quot;/&gt;&lt;wsp:rsid wsp:val=&quot;00311BFF&quot;/&gt;&lt;wsp:rsid wsp:val=&quot;0031201D&quot;/&gt;&lt;wsp:rsid wsp:val=&quot;003124A8&quot;/&gt;&lt;wsp:rsid wsp:val=&quot;0031286E&quot;/&gt;&lt;wsp:rsid wsp:val=&quot;00312EEF&quot;/&gt;&lt;wsp:rsid wsp:val=&quot;00312FD4&quot;/&gt;&lt;wsp:rsid wsp:val=&quot;0031302C&quot;/&gt;&lt;wsp:rsid wsp:val=&quot;00313A91&quot;/&gt;&lt;wsp:rsid wsp:val=&quot;00313C73&quot;/&gt;&lt;wsp:rsid wsp:val=&quot;0031435C&quot;/&gt;&lt;wsp:rsid wsp:val=&quot;003144DA&quot;/&gt;&lt;wsp:rsid wsp:val=&quot;00314577&quot;/&gt;&lt;wsp:rsid wsp:val=&quot;003145BA&quot;/&gt;&lt;wsp:rsid wsp:val=&quot;003146B3&quot;/&gt;&lt;wsp:rsid wsp:val=&quot;003148C5&quot;/&gt;&lt;wsp:rsid wsp:val=&quot;003148E8&quot;/&gt;&lt;wsp:rsid wsp:val=&quot;0031494A&quot;/&gt;&lt;wsp:rsid wsp:val=&quot;00314D64&quot;/&gt;&lt;wsp:rsid wsp:val=&quot;003153AB&quot;/&gt;&lt;wsp:rsid wsp:val=&quot;00315C1F&quot;/&gt;&lt;wsp:rsid wsp:val=&quot;00316A8D&quot;/&gt;&lt;wsp:rsid wsp:val=&quot;00316B3D&quot;/&gt;&lt;wsp:rsid wsp:val=&quot;0031710A&quot;/&gt;&lt;wsp:rsid wsp:val=&quot;0031727B&quot;/&gt;&lt;wsp:rsid wsp:val=&quot;003173FE&quot;/&gt;&lt;wsp:rsid wsp:val=&quot;0031743E&quot;/&gt;&lt;wsp:rsid wsp:val=&quot;003175D3&quot;/&gt;&lt;wsp:rsid wsp:val=&quot;003176EF&quot;/&gt;&lt;wsp:rsid wsp:val=&quot;00317939&quot;/&gt;&lt;wsp:rsid wsp:val=&quot;00317951&quot;/&gt;&lt;wsp:rsid wsp:val=&quot;003179E4&quot;/&gt;&lt;wsp:rsid wsp:val=&quot;00317A5B&quot;/&gt;&lt;wsp:rsid wsp:val=&quot;00317B85&quot;/&gt;&lt;wsp:rsid wsp:val=&quot;00317C82&quot;/&gt;&lt;wsp:rsid wsp:val=&quot;00317C8D&quot;/&gt;&lt;wsp:rsid wsp:val=&quot;00320125&quot;/&gt;&lt;wsp:rsid wsp:val=&quot;00320258&quot;/&gt;&lt;wsp:rsid wsp:val=&quot;00320778&quot;/&gt;&lt;wsp:rsid wsp:val=&quot;003208F1&quot;/&gt;&lt;wsp:rsid wsp:val=&quot;00320B46&quot;/&gt;&lt;wsp:rsid wsp:val=&quot;00321345&quot;/&gt;&lt;wsp:rsid wsp:val=&quot;003219C6&quot;/&gt;&lt;wsp:rsid wsp:val=&quot;00321BAA&quot;/&gt;&lt;wsp:rsid wsp:val=&quot;00321FE8&quot;/&gt;&lt;wsp:rsid wsp:val=&quot;003228E7&quot;/&gt;&lt;wsp:rsid wsp:val=&quot;00322C86&quot;/&gt;&lt;wsp:rsid wsp:val=&quot;00322F9C&quot;/&gt;&lt;wsp:rsid wsp:val=&quot;00323064&quot;/&gt;&lt;wsp:rsid wsp:val=&quot;00323789&quot;/&gt;&lt;wsp:rsid wsp:val=&quot;003237CD&quot;/&gt;&lt;wsp:rsid wsp:val=&quot;003239FE&quot;/&gt;&lt;wsp:rsid wsp:val=&quot;00323A36&quot;/&gt;&lt;wsp:rsid wsp:val=&quot;00323C3F&quot;/&gt;&lt;wsp:rsid wsp:val=&quot;00324043&quot;/&gt;&lt;wsp:rsid wsp:val=&quot;003240C6&quot;/&gt;&lt;wsp:rsid wsp:val=&quot;003240DB&quot;/&gt;&lt;wsp:rsid wsp:val=&quot;00324172&quot;/&gt;&lt;wsp:rsid wsp:val=&quot;003243F1&quot;/&gt;&lt;wsp:rsid wsp:val=&quot;00324811&quot;/&gt;&lt;wsp:rsid wsp:val=&quot;00324D96&quot;/&gt;&lt;wsp:rsid wsp:val=&quot;003251F5&quot;/&gt;&lt;wsp:rsid wsp:val=&quot;003251FD&quot;/&gt;&lt;wsp:rsid wsp:val=&quot;003252DE&quot;/&gt;&lt;wsp:rsid wsp:val=&quot;0032561C&quot;/&gt;&lt;wsp:rsid wsp:val=&quot;003256BF&quot;/&gt;&lt;wsp:rsid wsp:val=&quot;0032627E&quot;/&gt;&lt;wsp:rsid wsp:val=&quot;003263D2&quot;/&gt;&lt;wsp:rsid wsp:val=&quot;003265DD&quot;/&gt;&lt;wsp:rsid wsp:val=&quot;00326D3E&quot;/&gt;&lt;wsp:rsid wsp:val=&quot;0032714F&quot;/&gt;&lt;wsp:rsid wsp:val=&quot;0032737B&quot;/&gt;&lt;wsp:rsid wsp:val=&quot;0032755B&quot;/&gt;&lt;wsp:rsid wsp:val=&quot;0032756B&quot;/&gt;&lt;wsp:rsid wsp:val=&quot;003278B6&quot;/&gt;&lt;wsp:rsid wsp:val=&quot;00327A8B&quot;/&gt;&lt;wsp:rsid wsp:val=&quot;00327CA0&quot;/&gt;&lt;wsp:rsid wsp:val=&quot;00327E04&quot;/&gt;&lt;wsp:rsid wsp:val=&quot;00327E52&quot;/&gt;&lt;wsp:rsid wsp:val=&quot;00330024&quot;/&gt;&lt;wsp:rsid wsp:val=&quot;0033034B&quot;/&gt;&lt;wsp:rsid wsp:val=&quot;00330B34&quot;/&gt;&lt;wsp:rsid wsp:val=&quot;00331365&quot;/&gt;&lt;wsp:rsid wsp:val=&quot;003316ED&quot;/&gt;&lt;wsp:rsid wsp:val=&quot;0033175A&quot;/&gt;&lt;wsp:rsid wsp:val=&quot;003318EC&quot;/&gt;&lt;wsp:rsid wsp:val=&quot;00331ACB&quot;/&gt;&lt;wsp:rsid wsp:val=&quot;0033226E&quot;/&gt;&lt;wsp:rsid wsp:val=&quot;003322C0&quot;/&gt;&lt;wsp:rsid wsp:val=&quot;0033245B&quot;/&gt;&lt;wsp:rsid wsp:val=&quot;003327D1&quot;/&gt;&lt;wsp:rsid wsp:val=&quot;00332A9F&quot;/&gt;&lt;wsp:rsid wsp:val=&quot;00332C11&quot;/&gt;&lt;wsp:rsid wsp:val=&quot;0033316B&quot;/&gt;&lt;wsp:rsid wsp:val=&quot;003331E4&quot;/&gt;&lt;wsp:rsid wsp:val=&quot;003332A5&quot;/&gt;&lt;wsp:rsid wsp:val=&quot;003332B4&quot;/&gt;&lt;wsp:rsid wsp:val=&quot;003332C9&quot;/&gt;&lt;wsp:rsid wsp:val=&quot;00333498&quot;/&gt;&lt;wsp:rsid wsp:val=&quot;00333521&quot;/&gt;&lt;wsp:rsid wsp:val=&quot;00333680&quot;/&gt;&lt;wsp:rsid wsp:val=&quot;00333F62&quot;/&gt;&lt;wsp:rsid wsp:val=&quot;003340C4&quot;/&gt;&lt;wsp:rsid wsp:val=&quot;003342C3&quot;/&gt;&lt;wsp:rsid wsp:val=&quot;00334AB7&quot;/&gt;&lt;wsp:rsid wsp:val=&quot;00334DBD&quot;/&gt;&lt;wsp:rsid wsp:val=&quot;00334F85&quot;/&gt;&lt;wsp:rsid wsp:val=&quot;0033524F&quot;/&gt;&lt;wsp:rsid wsp:val=&quot;003354E8&quot;/&gt;&lt;wsp:rsid wsp:val=&quot;00335704&quot;/&gt;&lt;wsp:rsid wsp:val=&quot;00335B8C&quot;/&gt;&lt;wsp:rsid wsp:val=&quot;00335BEC&quot;/&gt;&lt;wsp:rsid wsp:val=&quot;00335C3B&quot;/&gt;&lt;wsp:rsid wsp:val=&quot;00335FEF&quot;/&gt;&lt;wsp:rsid wsp:val=&quot;00336121&quot;/&gt;&lt;wsp:rsid wsp:val=&quot;00336146&quot;/&gt;&lt;wsp:rsid wsp:val=&quot;003369C1&quot;/&gt;&lt;wsp:rsid wsp:val=&quot;00336D68&quot;/&gt;&lt;wsp:rsid wsp:val=&quot;00336D7E&quot;/&gt;&lt;wsp:rsid wsp:val=&quot;00337075&quot;/&gt;&lt;wsp:rsid wsp:val=&quot;0033707C&quot;/&gt;&lt;wsp:rsid wsp:val=&quot;003373A9&quot;/&gt;&lt;wsp:rsid wsp:val=&quot;003373F7&quot;/&gt;&lt;wsp:rsid wsp:val=&quot;003375F2&quot;/&gt;&lt;wsp:rsid wsp:val=&quot;0033764C&quot;/&gt;&lt;wsp:rsid wsp:val=&quot;003379E1&quot;/&gt;&lt;wsp:rsid wsp:val=&quot;0034005A&quot;/&gt;&lt;wsp:rsid wsp:val=&quot;00340105&quot;/&gt;&lt;wsp:rsid wsp:val=&quot;003405F2&quot;/&gt;&lt;wsp:rsid wsp:val=&quot;0034077B&quot;/&gt;&lt;wsp:rsid wsp:val=&quot;00340B3C&quot;/&gt;&lt;wsp:rsid wsp:val=&quot;00340EA3&quot;/&gt;&lt;wsp:rsid wsp:val=&quot;00340EC3&quot;/&gt;&lt;wsp:rsid wsp:val=&quot;00341352&quot;/&gt;&lt;wsp:rsid wsp:val=&quot;0034136D&quot;/&gt;&lt;wsp:rsid wsp:val=&quot;00341648&quot;/&gt;&lt;wsp:rsid wsp:val=&quot;00341871&quot;/&gt;&lt;wsp:rsid wsp:val=&quot;00341BA2&quot;/&gt;&lt;wsp:rsid wsp:val=&quot;0034246D&quot;/&gt;&lt;wsp:rsid wsp:val=&quot;003426DD&quot;/&gt;&lt;wsp:rsid wsp:val=&quot;003429BB&quot;/&gt;&lt;wsp:rsid wsp:val=&quot;00342C6D&quot;/&gt;&lt;wsp:rsid wsp:val=&quot;00342D91&quot;/&gt;&lt;wsp:rsid wsp:val=&quot;0034360D&quot;/&gt;&lt;wsp:rsid wsp:val=&quot;00343823&quot;/&gt;&lt;wsp:rsid wsp:val=&quot;00343AEB&quot;/&gt;&lt;wsp:rsid wsp:val=&quot;00343B37&quot;/&gt;&lt;wsp:rsid wsp:val=&quot;003441AF&quot;/&gt;&lt;wsp:rsid wsp:val=&quot;0034430C&quot;/&gt;&lt;wsp:rsid wsp:val=&quot;0034477E&quot;/&gt;&lt;wsp:rsid wsp:val=&quot;0034499B&quot;/&gt;&lt;wsp:rsid wsp:val=&quot;003449EE&quot;/&gt;&lt;wsp:rsid wsp:val=&quot;00344C86&quot;/&gt;&lt;wsp:rsid wsp:val=&quot;00345346&quot;/&gt;&lt;wsp:rsid wsp:val=&quot;003459A5&quot;/&gt;&lt;wsp:rsid wsp:val=&quot;00345E3E&quot;/&gt;&lt;wsp:rsid wsp:val=&quot;00345E83&quot;/&gt;&lt;wsp:rsid wsp:val=&quot;003461A8&quot;/&gt;&lt;wsp:rsid wsp:val=&quot;003461B5&quot;/&gt;&lt;wsp:rsid wsp:val=&quot;0034647F&quot;/&gt;&lt;wsp:rsid wsp:val=&quot;003465BD&quot;/&gt;&lt;wsp:rsid wsp:val=&quot;003467BA&quot;/&gt;&lt;wsp:rsid wsp:val=&quot;003472CE&quot;/&gt;&lt;wsp:rsid wsp:val=&quot;003474C7&quot;/&gt;&lt;wsp:rsid wsp:val=&quot;00347AEC&quot;/&gt;&lt;wsp:rsid wsp:val=&quot;00350027&quot;/&gt;&lt;wsp:rsid wsp:val=&quot;003501D8&quot;/&gt;&lt;wsp:rsid wsp:val=&quot;003506E8&quot;/&gt;&lt;wsp:rsid wsp:val=&quot;00350808&quot;/&gt;&lt;wsp:rsid wsp:val=&quot;00350B40&quot;/&gt;&lt;wsp:rsid wsp:val=&quot;00350BE1&quot;/&gt;&lt;wsp:rsid wsp:val=&quot;00350C45&quot;/&gt;&lt;wsp:rsid wsp:val=&quot;00350D37&quot;/&gt;&lt;wsp:rsid wsp:val=&quot;003513D0&quot;/&gt;&lt;wsp:rsid wsp:val=&quot;00351544&quot;/&gt;&lt;wsp:rsid wsp:val=&quot;00351D23&quot;/&gt;&lt;wsp:rsid wsp:val=&quot;00352111&quot;/&gt;&lt;wsp:rsid wsp:val=&quot;0035243E&quot;/&gt;&lt;wsp:rsid wsp:val=&quot;003529B5&quot;/&gt;&lt;wsp:rsid wsp:val=&quot;003529C4&quot;/&gt;&lt;wsp:rsid wsp:val=&quot;00352D51&quot;/&gt;&lt;wsp:rsid wsp:val=&quot;0035318B&quot;/&gt;&lt;wsp:rsid wsp:val=&quot;0035377D&quot;/&gt;&lt;wsp:rsid wsp:val=&quot;00353951&quot;/&gt;&lt;wsp:rsid wsp:val=&quot;00353DEF&quot;/&gt;&lt;wsp:rsid wsp:val=&quot;003548CE&quot;/&gt;&lt;wsp:rsid wsp:val=&quot;003550CB&quot;/&gt;&lt;wsp:rsid wsp:val=&quot;0035532F&quot;/&gt;&lt;wsp:rsid wsp:val=&quot;00355506&quot;/&gt;&lt;wsp:rsid wsp:val=&quot;0035582D&quot;/&gt;&lt;wsp:rsid wsp:val=&quot;003558B6&quot;/&gt;&lt;wsp:rsid wsp:val=&quot;0035596F&quot;/&gt;&lt;wsp:rsid wsp:val=&quot;00355B23&quot;/&gt;&lt;wsp:rsid wsp:val=&quot;003564AF&quot;/&gt;&lt;wsp:rsid wsp:val=&quot;003576FD&quot;/&gt;&lt;wsp:rsid wsp:val=&quot;0035786F&quot;/&gt;&lt;wsp:rsid wsp:val=&quot;00357B2B&quot;/&gt;&lt;wsp:rsid wsp:val=&quot;00357BD4&quot;/&gt;&lt;wsp:rsid wsp:val=&quot;0036002A&quot;/&gt;&lt;wsp:rsid wsp:val=&quot;0036041D&quot;/&gt;&lt;wsp:rsid wsp:val=&quot;00360810&quot;/&gt;&lt;wsp:rsid wsp:val=&quot;00360C9D&quot;/&gt;&lt;wsp:rsid wsp:val=&quot;00360FA1&quot;/&gt;&lt;wsp:rsid wsp:val=&quot;003611FD&quot;/&gt;&lt;wsp:rsid wsp:val=&quot;00361663&quot;/&gt;&lt;wsp:rsid wsp:val=&quot;00361B72&quot;/&gt;&lt;wsp:rsid wsp:val=&quot;00361FD5&quot;/&gt;&lt;wsp:rsid wsp:val=&quot;003620B5&quot;/&gt;&lt;wsp:rsid wsp:val=&quot;003620DB&quot;/&gt;&lt;wsp:rsid wsp:val=&quot;003621B7&quot;/&gt;&lt;wsp:rsid wsp:val=&quot;0036259B&quot;/&gt;&lt;wsp:rsid wsp:val=&quot;00362A92&quot;/&gt;&lt;wsp:rsid wsp:val=&quot;00362BC1&quot;/&gt;&lt;wsp:rsid wsp:val=&quot;00362FE2&quot;/&gt;&lt;wsp:rsid wsp:val=&quot;003630BD&quot;/&gt;&lt;wsp:rsid wsp:val=&quot;0036312A&quot;/&gt;&lt;wsp:rsid wsp:val=&quot;00363568&quot;/&gt;&lt;wsp:rsid wsp:val=&quot;003638A2&quot;/&gt;&lt;wsp:rsid wsp:val=&quot;00363E3B&quot;/&gt;&lt;wsp:rsid wsp:val=&quot;00363E47&quot;/&gt;&lt;wsp:rsid wsp:val=&quot;0036416D&quot;/&gt;&lt;wsp:rsid wsp:val=&quot;00364582&quot;/&gt;&lt;wsp:rsid wsp:val=&quot;003645D7&quot;/&gt;&lt;wsp:rsid wsp:val=&quot;00364A82&quot;/&gt;&lt;wsp:rsid wsp:val=&quot;00365286&quot;/&gt;&lt;wsp:rsid wsp:val=&quot;00365C52&quot;/&gt;&lt;wsp:rsid wsp:val=&quot;00365F41&quot;/&gt;&lt;wsp:rsid wsp:val=&quot;00366017&quot;/&gt;&lt;wsp:rsid wsp:val=&quot;00366401&quot;/&gt;&lt;wsp:rsid wsp:val=&quot;00366520&quot;/&gt;&lt;wsp:rsid wsp:val=&quot;003666EE&quot;/&gt;&lt;wsp:rsid wsp:val=&quot;00366833&quot;/&gt;&lt;wsp:rsid wsp:val=&quot;00366FF4&quot;/&gt;&lt;wsp:rsid wsp:val=&quot;0036702E&quot;/&gt;&lt;wsp:rsid wsp:val=&quot;00367099&quot;/&gt;&lt;wsp:rsid wsp:val=&quot;00367116&quot;/&gt;&lt;wsp:rsid wsp:val=&quot;003671C2&quot;/&gt;&lt;wsp:rsid wsp:val=&quot;003673CB&quot;/&gt;&lt;wsp:rsid wsp:val=&quot;00367508&quot;/&gt;&lt;wsp:rsid wsp:val=&quot;00367CAA&quot;/&gt;&lt;wsp:rsid wsp:val=&quot;00370218&quot;/&gt;&lt;wsp:rsid wsp:val=&quot;00370956&quot;/&gt;&lt;wsp:rsid wsp:val=&quot;00370A0F&quot;/&gt;&lt;wsp:rsid wsp:val=&quot;00370D91&quot;/&gt;&lt;wsp:rsid wsp:val=&quot;00371DDF&quot;/&gt;&lt;wsp:rsid wsp:val=&quot;00371E75&quot;/&gt;&lt;wsp:rsid wsp:val=&quot;00372B2C&quot;/&gt;&lt;wsp:rsid wsp:val=&quot;00372B94&quot;/&gt;&lt;wsp:rsid wsp:val=&quot;00372E1F&quot;/&gt;&lt;wsp:rsid wsp:val=&quot;0037305D&quot;/&gt;&lt;wsp:rsid wsp:val=&quot;00373080&quot;/&gt;&lt;wsp:rsid wsp:val=&quot;0037327A&quot;/&gt;&lt;wsp:rsid wsp:val=&quot;003733B9&quot;/&gt;&lt;wsp:rsid wsp:val=&quot;003734EA&quot;/&gt;&lt;wsp:rsid wsp:val=&quot;00373772&quot;/&gt;&lt;wsp:rsid wsp:val=&quot;0037381A&quot;/&gt;&lt;wsp:rsid wsp:val=&quot;00373863&quot;/&gt;&lt;wsp:rsid wsp:val=&quot;0037417F&quot;/&gt;&lt;wsp:rsid wsp:val=&quot;0037434F&quot;/&gt;&lt;wsp:rsid wsp:val=&quot;003744B2&quot;/&gt;&lt;wsp:rsid wsp:val=&quot;00374A1A&quot;/&gt;&lt;wsp:rsid wsp:val=&quot;00374CFC&quot;/&gt;&lt;wsp:rsid wsp:val=&quot;003751DB&quot;/&gt;&lt;wsp:rsid wsp:val=&quot;00375561&quot;/&gt;&lt;wsp:rsid wsp:val=&quot;0037566E&quot;/&gt;&lt;wsp:rsid wsp:val=&quot;0037573E&quot;/&gt;&lt;wsp:rsid wsp:val=&quot;0037587B&quot;/&gt;&lt;wsp:rsid wsp:val=&quot;00375FE1&quot;/&gt;&lt;wsp:rsid wsp:val=&quot;0037620D&quot;/&gt;&lt;wsp:rsid wsp:val=&quot;00376889&quot;/&gt;&lt;wsp:rsid wsp:val=&quot;0037688C&quot;/&gt;&lt;wsp:rsid wsp:val=&quot;0037736A&quot;/&gt;&lt;wsp:rsid wsp:val=&quot;003778DE&quot;/&gt;&lt;wsp:rsid wsp:val=&quot;00377A92&quot;/&gt;&lt;wsp:rsid wsp:val=&quot;00377CAB&quot;/&gt;&lt;wsp:rsid wsp:val=&quot;00377CCF&quot;/&gt;&lt;wsp:rsid wsp:val=&quot;003800B0&quot;/&gt;&lt;wsp:rsid wsp:val=&quot;00380150&quot;/&gt;&lt;wsp:rsid wsp:val=&quot;0038021F&quot;/&gt;&lt;wsp:rsid wsp:val=&quot;00380627&quot;/&gt;&lt;wsp:rsid wsp:val=&quot;00380A43&quot;/&gt;&lt;wsp:rsid wsp:val=&quot;00380BE5&quot;/&gt;&lt;wsp:rsid wsp:val=&quot;00380D61&quot;/&gt;&lt;wsp:rsid wsp:val=&quot;00380E4F&quot;/&gt;&lt;wsp:rsid wsp:val=&quot;00381580&quot;/&gt;&lt;wsp:rsid wsp:val=&quot;003816B6&quot;/&gt;&lt;wsp:rsid wsp:val=&quot;00381735&quot;/&gt;&lt;wsp:rsid wsp:val=&quot;00381A47&quot;/&gt;&lt;wsp:rsid wsp:val=&quot;00381AE0&quot;/&gt;&lt;wsp:rsid wsp:val=&quot;00381F29&quot;/&gt;&lt;wsp:rsid wsp:val=&quot;003822F0&quot;/&gt;&lt;wsp:rsid wsp:val=&quot;0038263F&quot;/&gt;&lt;wsp:rsid wsp:val=&quot;003829FF&quot;/&gt;&lt;wsp:rsid wsp:val=&quot;00382C25&quot;/&gt;&lt;wsp:rsid wsp:val=&quot;00382E60&quot;/&gt;&lt;wsp:rsid wsp:val=&quot;0038324A&quot;/&gt;&lt;wsp:rsid wsp:val=&quot;00383257&quot;/&gt;&lt;wsp:rsid wsp:val=&quot;003835F4&quot;/&gt;&lt;wsp:rsid wsp:val=&quot;00383A82&quot;/&gt;&lt;wsp:rsid wsp:val=&quot;00383B9A&quot;/&gt;&lt;wsp:rsid wsp:val=&quot;0038426B&quot;/&gt;&lt;wsp:rsid wsp:val=&quot;003843D7&quot;/&gt;&lt;wsp:rsid wsp:val=&quot;003849FB&quot;/&gt;&lt;wsp:rsid wsp:val=&quot;00384B3B&quot;/&gt;&lt;wsp:rsid wsp:val=&quot;00385C5F&quot;/&gt;&lt;wsp:rsid wsp:val=&quot;00385DE1&quot;/&gt;&lt;wsp:rsid wsp:val=&quot;00386363&quot;/&gt;&lt;wsp:rsid wsp:val=&quot;003867F0&quot;/&gt;&lt;wsp:rsid wsp:val=&quot;003871D5&quot;/&gt;&lt;wsp:rsid wsp:val=&quot;00387309&quot;/&gt;&lt;wsp:rsid wsp:val=&quot;0038764F&quot;/&gt;&lt;wsp:rsid wsp:val=&quot;00387679&quot;/&gt;&lt;wsp:rsid wsp:val=&quot;003878E4&quot;/&gt;&lt;wsp:rsid wsp:val=&quot;00387CCC&quot;/&gt;&lt;wsp:rsid wsp:val=&quot;00387D94&quot;/&gt;&lt;wsp:rsid wsp:val=&quot;00390021&quot;/&gt;&lt;wsp:rsid wsp:val=&quot;003902EC&quot;/&gt;&lt;wsp:rsid wsp:val=&quot;0039034E&quot;/&gt;&lt;wsp:rsid wsp:val=&quot;0039053A&quot;/&gt;&lt;wsp:rsid wsp:val=&quot;00390919&quot;/&gt;&lt;wsp:rsid wsp:val=&quot;00390925&quot;/&gt;&lt;wsp:rsid wsp:val=&quot;00390A07&quot;/&gt;&lt;wsp:rsid wsp:val=&quot;00390FA8&quot;/&gt;&lt;wsp:rsid wsp:val=&quot;00391369&quot;/&gt;&lt;wsp:rsid wsp:val=&quot;003917CB&quot;/&gt;&lt;wsp:rsid wsp:val=&quot;00391998&quot;/&gt;&lt;wsp:rsid wsp:val=&quot;00391E4D&quot;/&gt;&lt;wsp:rsid wsp:val=&quot;0039240C&quot;/&gt;&lt;wsp:rsid wsp:val=&quot;0039253A&quot;/&gt;&lt;wsp:rsid wsp:val=&quot;0039272C&quot;/&gt;&lt;wsp:rsid wsp:val=&quot;00392801&quot;/&gt;&lt;wsp:rsid wsp:val=&quot;00392907&quot;/&gt;&lt;wsp:rsid wsp:val=&quot;00392AAD&quot;/&gt;&lt;wsp:rsid wsp:val=&quot;003941C6&quot;/&gt;&lt;wsp:rsid wsp:val=&quot;003941CF&quot;/&gt;&lt;wsp:rsid wsp:val=&quot;003943D7&quot;/&gt;&lt;wsp:rsid wsp:val=&quot;00394690&quot;/&gt;&lt;wsp:rsid wsp:val=&quot;0039499C&quot;/&gt;&lt;wsp:rsid wsp:val=&quot;00394B2F&quot;/&gt;&lt;wsp:rsid wsp:val=&quot;00394D37&quot;/&gt;&lt;wsp:rsid wsp:val=&quot;0039501D&quot;/&gt;&lt;wsp:rsid wsp:val=&quot;00395940&quot;/&gt;&lt;wsp:rsid wsp:val=&quot;00395BC4&quot;/&gt;&lt;wsp:rsid wsp:val=&quot;00395E6F&quot;/&gt;&lt;wsp:rsid wsp:val=&quot;0039633C&quot;/&gt;&lt;wsp:rsid wsp:val=&quot;00396746&quot;/&gt;&lt;wsp:rsid wsp:val=&quot;00396CC7&quot;/&gt;&lt;wsp:rsid wsp:val=&quot;00396FF0&quot;/&gt;&lt;wsp:rsid wsp:val=&quot;003976D0&quot;/&gt;&lt;wsp:rsid wsp:val=&quot;0039784D&quot;/&gt;&lt;wsp:rsid wsp:val=&quot;00397969&quot;/&gt;&lt;wsp:rsid wsp:val=&quot;00397A5E&quot;/&gt;&lt;wsp:rsid wsp:val=&quot;00397AAD&quot;/&gt;&lt;wsp:rsid wsp:val=&quot;00397CB3&quot;/&gt;&lt;wsp:rsid wsp:val=&quot;00397FF2&quot;/&gt;&lt;wsp:rsid wsp:val=&quot;003A0398&quot;/&gt;&lt;wsp:rsid wsp:val=&quot;003A047C&quot;/&gt;&lt;wsp:rsid wsp:val=&quot;003A0DB5&quot;/&gt;&lt;wsp:rsid wsp:val=&quot;003A145B&quot;/&gt;&lt;wsp:rsid wsp:val=&quot;003A157A&quot;/&gt;&lt;wsp:rsid wsp:val=&quot;003A176A&quot;/&gt;&lt;wsp:rsid wsp:val=&quot;003A1844&quot;/&gt;&lt;wsp:rsid wsp:val=&quot;003A184C&quot;/&gt;&lt;wsp:rsid wsp:val=&quot;003A1899&quot;/&gt;&lt;wsp:rsid wsp:val=&quot;003A1926&quot;/&gt;&lt;wsp:rsid wsp:val=&quot;003A1C22&quot;/&gt;&lt;wsp:rsid wsp:val=&quot;003A1C65&quot;/&gt;&lt;wsp:rsid wsp:val=&quot;003A1CF9&quot;/&gt;&lt;wsp:rsid wsp:val=&quot;003A26FA&quot;/&gt;&lt;wsp:rsid wsp:val=&quot;003A287A&quot;/&gt;&lt;wsp:rsid wsp:val=&quot;003A29E9&quot;/&gt;&lt;wsp:rsid wsp:val=&quot;003A2A7F&quot;/&gt;&lt;wsp:rsid wsp:val=&quot;003A33E2&quot;/&gt;&lt;wsp:rsid wsp:val=&quot;003A38DD&quot;/&gt;&lt;wsp:rsid wsp:val=&quot;003A3D24&quot;/&gt;&lt;wsp:rsid wsp:val=&quot;003A3D53&quot;/&gt;&lt;wsp:rsid wsp:val=&quot;003A40F3&quot;/&gt;&lt;wsp:rsid wsp:val=&quot;003A436D&quot;/&gt;&lt;wsp:rsid wsp:val=&quot;003A4A59&quot;/&gt;&lt;wsp:rsid wsp:val=&quot;003A4A81&quot;/&gt;&lt;wsp:rsid wsp:val=&quot;003A4FE4&quot;/&gt;&lt;wsp:rsid wsp:val=&quot;003A5190&quot;/&gt;&lt;wsp:rsid wsp:val=&quot;003A528D&quot;/&gt;&lt;wsp:rsid wsp:val=&quot;003A5646&quot;/&gt;&lt;wsp:rsid wsp:val=&quot;003A566F&quot;/&gt;&lt;wsp:rsid wsp:val=&quot;003A5A32&quot;/&gt;&lt;wsp:rsid wsp:val=&quot;003A5E41&quot;/&gt;&lt;wsp:rsid wsp:val=&quot;003A65B1&quot;/&gt;&lt;wsp:rsid wsp:val=&quot;003A673B&quot;/&gt;&lt;wsp:rsid wsp:val=&quot;003A6859&quot;/&gt;&lt;wsp:rsid wsp:val=&quot;003A68E3&quot;/&gt;&lt;wsp:rsid wsp:val=&quot;003A6912&quot;/&gt;&lt;wsp:rsid wsp:val=&quot;003A70B3&quot;/&gt;&lt;wsp:rsid wsp:val=&quot;003A723C&quot;/&gt;&lt;wsp:rsid wsp:val=&quot;003A7262&quot;/&gt;&lt;wsp:rsid wsp:val=&quot;003A7901&quot;/&gt;&lt;wsp:rsid wsp:val=&quot;003A7925&quot;/&gt;&lt;wsp:rsid wsp:val=&quot;003A7CF6&quot;/&gt;&lt;wsp:rsid wsp:val=&quot;003A7FFD&quot;/&gt;&lt;wsp:rsid wsp:val=&quot;003B01AD&quot;/&gt;&lt;wsp:rsid wsp:val=&quot;003B05ED&quot;/&gt;&lt;wsp:rsid wsp:val=&quot;003B0B3D&quot;/&gt;&lt;wsp:rsid wsp:val=&quot;003B0C2D&quot;/&gt;&lt;wsp:rsid wsp:val=&quot;003B0E52&quot;/&gt;&lt;wsp:rsid wsp:val=&quot;003B132D&quot;/&gt;&lt;wsp:rsid wsp:val=&quot;003B17C5&quot;/&gt;&lt;wsp:rsid wsp:val=&quot;003B1B51&quot;/&gt;&lt;wsp:rsid wsp:val=&quot;003B22F7&quot;/&gt;&lt;wsp:rsid wsp:val=&quot;003B2A75&quot;/&gt;&lt;wsp:rsid wsp:val=&quot;003B2CEE&quot;/&gt;&lt;wsp:rsid wsp:val=&quot;003B2D31&quot;/&gt;&lt;wsp:rsid wsp:val=&quot;003B303C&quot;/&gt;&lt;wsp:rsid wsp:val=&quot;003B304A&quot;/&gt;&lt;wsp:rsid wsp:val=&quot;003B3172&quot;/&gt;&lt;wsp:rsid wsp:val=&quot;003B3279&quot;/&gt;&lt;wsp:rsid wsp:val=&quot;003B357E&quot;/&gt;&lt;wsp:rsid wsp:val=&quot;003B3978&quot;/&gt;&lt;wsp:rsid wsp:val=&quot;003B41AB&quot;/&gt;&lt;wsp:rsid wsp:val=&quot;003B41AF&quot;/&gt;&lt;wsp:rsid wsp:val=&quot;003B44F3&quot;/&gt;&lt;wsp:rsid wsp:val=&quot;003B4F57&quot;/&gt;&lt;wsp:rsid wsp:val=&quot;003B5077&quot;/&gt;&lt;wsp:rsid wsp:val=&quot;003B52A8&quot;/&gt;&lt;wsp:rsid wsp:val=&quot;003B52F7&quot;/&gt;&lt;wsp:rsid wsp:val=&quot;003B578C&quot;/&gt;&lt;wsp:rsid wsp:val=&quot;003B5E36&quot;/&gt;&lt;wsp:rsid wsp:val=&quot;003B5F0A&quot;/&gt;&lt;wsp:rsid wsp:val=&quot;003B61CB&quot;/&gt;&lt;wsp:rsid wsp:val=&quot;003B677D&quot;/&gt;&lt;wsp:rsid wsp:val=&quot;003B6C29&quot;/&gt;&lt;wsp:rsid wsp:val=&quot;003B6DC4&quot;/&gt;&lt;wsp:rsid wsp:val=&quot;003B6E68&quot;/&gt;&lt;wsp:rsid wsp:val=&quot;003B7010&quot;/&gt;&lt;wsp:rsid wsp:val=&quot;003B7D7F&quot;/&gt;&lt;wsp:rsid wsp:val=&quot;003B7FB5&quot;/&gt;&lt;wsp:rsid wsp:val=&quot;003C0009&quot;/&gt;&lt;wsp:rsid wsp:val=&quot;003C048B&quot;/&gt;&lt;wsp:rsid wsp:val=&quot;003C04E1&quot;/&gt;&lt;wsp:rsid wsp:val=&quot;003C0AEF&quot;/&gt;&lt;wsp:rsid wsp:val=&quot;003C0CE2&quot;/&gt;&lt;wsp:rsid wsp:val=&quot;003C1700&quot;/&gt;&lt;wsp:rsid wsp:val=&quot;003C1993&quot;/&gt;&lt;wsp:rsid wsp:val=&quot;003C1E3E&quot;/&gt;&lt;wsp:rsid wsp:val=&quot;003C2055&quot;/&gt;&lt;wsp:rsid wsp:val=&quot;003C270C&quot;/&gt;&lt;wsp:rsid wsp:val=&quot;003C29CB&quot;/&gt;&lt;wsp:rsid wsp:val=&quot;003C2BE4&quot;/&gt;&lt;wsp:rsid wsp:val=&quot;003C2D08&quot;/&gt;&lt;wsp:rsid wsp:val=&quot;003C2E68&quot;/&gt;&lt;wsp:rsid wsp:val=&quot;003C2EE3&quot;/&gt;&lt;wsp:rsid wsp:val=&quot;003C317C&quot;/&gt;&lt;wsp:rsid wsp:val=&quot;003C3719&quot;/&gt;&lt;wsp:rsid wsp:val=&quot;003C38EF&quot;/&gt;&lt;wsp:rsid wsp:val=&quot;003C3FD5&quot;/&gt;&lt;wsp:rsid wsp:val=&quot;003C421F&quot;/&gt;&lt;wsp:rsid wsp:val=&quot;003C44DE&quot;/&gt;&lt;wsp:rsid wsp:val=&quot;003C4928&quot;/&gt;&lt;wsp:rsid wsp:val=&quot;003C4A82&quot;/&gt;&lt;wsp:rsid wsp:val=&quot;003C524F&quot;/&gt;&lt;wsp:rsid wsp:val=&quot;003C57DC&quot;/&gt;&lt;wsp:rsid wsp:val=&quot;003C5C6B&quot;/&gt;&lt;wsp:rsid wsp:val=&quot;003C62E6&quot;/&gt;&lt;wsp:rsid wsp:val=&quot;003C6388&quot;/&gt;&lt;wsp:rsid wsp:val=&quot;003C63E0&quot;/&gt;&lt;wsp:rsid wsp:val=&quot;003C6DC2&quot;/&gt;&lt;wsp:rsid wsp:val=&quot;003C712E&quot;/&gt;&lt;wsp:rsid wsp:val=&quot;003C74EB&quot;/&gt;&lt;wsp:rsid wsp:val=&quot;003C776C&quot;/&gt;&lt;wsp:rsid wsp:val=&quot;003C7E38&quot;/&gt;&lt;wsp:rsid wsp:val=&quot;003C7E92&quot;/&gt;&lt;wsp:rsid wsp:val=&quot;003D022D&quot;/&gt;&lt;wsp:rsid wsp:val=&quot;003D0BB2&quot;/&gt;&lt;wsp:rsid wsp:val=&quot;003D0E03&quot;/&gt;&lt;wsp:rsid wsp:val=&quot;003D1172&quot;/&gt;&lt;wsp:rsid wsp:val=&quot;003D14AF&quot;/&gt;&lt;wsp:rsid wsp:val=&quot;003D1738&quot;/&gt;&lt;wsp:rsid wsp:val=&quot;003D1997&quot;/&gt;&lt;wsp:rsid wsp:val=&quot;003D1A47&quot;/&gt;&lt;wsp:rsid wsp:val=&quot;003D20A7&quot;/&gt;&lt;wsp:rsid wsp:val=&quot;003D23EC&quot;/&gt;&lt;wsp:rsid wsp:val=&quot;003D403E&quot;/&gt;&lt;wsp:rsid wsp:val=&quot;003D42D9&quot;/&gt;&lt;wsp:rsid wsp:val=&quot;003D4367&quot;/&gt;&lt;wsp:rsid wsp:val=&quot;003D4767&quot;/&gt;&lt;wsp:rsid wsp:val=&quot;003D48E3&quot;/&gt;&lt;wsp:rsid wsp:val=&quot;003D49D6&quot;/&gt;&lt;wsp:rsid wsp:val=&quot;003D4B23&quot;/&gt;&lt;wsp:rsid wsp:val=&quot;003D4C60&quot;/&gt;&lt;wsp:rsid wsp:val=&quot;003D4D6B&quot;/&gt;&lt;wsp:rsid wsp:val=&quot;003D50EC&quot;/&gt;&lt;wsp:rsid wsp:val=&quot;003D5179&quot;/&gt;&lt;wsp:rsid wsp:val=&quot;003D5451&quot;/&gt;&lt;wsp:rsid wsp:val=&quot;003D5514&quot;/&gt;&lt;wsp:rsid wsp:val=&quot;003D5668&quot;/&gt;&lt;wsp:rsid wsp:val=&quot;003D57A3&quot;/&gt;&lt;wsp:rsid wsp:val=&quot;003D5AD7&quot;/&gt;&lt;wsp:rsid wsp:val=&quot;003D5CDE&quot;/&gt;&lt;wsp:rsid wsp:val=&quot;003D6174&quot;/&gt;&lt;wsp:rsid wsp:val=&quot;003D6413&quot;/&gt;&lt;wsp:rsid wsp:val=&quot;003D6472&quot;/&gt;&lt;wsp:rsid wsp:val=&quot;003D65C0&quot;/&gt;&lt;wsp:rsid wsp:val=&quot;003D661A&quot;/&gt;&lt;wsp:rsid wsp:val=&quot;003D67A1&quot;/&gt;&lt;wsp:rsid wsp:val=&quot;003D6BB6&quot;/&gt;&lt;wsp:rsid wsp:val=&quot;003D6D7D&quot;/&gt;&lt;wsp:rsid wsp:val=&quot;003D6E42&quot;/&gt;&lt;wsp:rsid wsp:val=&quot;003D6E49&quot;/&gt;&lt;wsp:rsid wsp:val=&quot;003D6E59&quot;/&gt;&lt;wsp:rsid wsp:val=&quot;003D711E&quot;/&gt;&lt;wsp:rsid wsp:val=&quot;003D7374&quot;/&gt;&lt;wsp:rsid wsp:val=&quot;003D779F&quot;/&gt;&lt;wsp:rsid wsp:val=&quot;003D794B&quot;/&gt;&lt;wsp:rsid wsp:val=&quot;003D7975&quot;/&gt;&lt;wsp:rsid wsp:val=&quot;003D7EBB&quot;/&gt;&lt;wsp:rsid wsp:val=&quot;003D7F48&quot;/&gt;&lt;wsp:rsid wsp:val=&quot;003D7F9B&quot;/&gt;&lt;wsp:rsid wsp:val=&quot;003D7FC5&quot;/&gt;&lt;wsp:rsid wsp:val=&quot;003E010D&quot;/&gt;&lt;wsp:rsid wsp:val=&quot;003E07BA&quot;/&gt;&lt;wsp:rsid wsp:val=&quot;003E0BF1&quot;/&gt;&lt;wsp:rsid wsp:val=&quot;003E10D2&quot;/&gt;&lt;wsp:rsid wsp:val=&quot;003E1204&quot;/&gt;&lt;wsp:rsid wsp:val=&quot;003E15D2&quot;/&gt;&lt;wsp:rsid wsp:val=&quot;003E1949&quot;/&gt;&lt;wsp:rsid wsp:val=&quot;003E199F&quot;/&gt;&lt;wsp:rsid wsp:val=&quot;003E1BF0&quot;/&gt;&lt;wsp:rsid wsp:val=&quot;003E1F2C&quot;/&gt;&lt;wsp:rsid wsp:val=&quot;003E2283&quot;/&gt;&lt;wsp:rsid wsp:val=&quot;003E23AB&quot;/&gt;&lt;wsp:rsid wsp:val=&quot;003E25C2&quot;/&gt;&lt;wsp:rsid wsp:val=&quot;003E2B7A&quot;/&gt;&lt;wsp:rsid wsp:val=&quot;003E2C82&quot;/&gt;&lt;wsp:rsid wsp:val=&quot;003E343B&quot;/&gt;&lt;wsp:rsid wsp:val=&quot;003E3710&quot;/&gt;&lt;wsp:rsid wsp:val=&quot;003E3805&quot;/&gt;&lt;wsp:rsid wsp:val=&quot;003E3AC0&quot;/&gt;&lt;wsp:rsid wsp:val=&quot;003E413E&quot;/&gt;&lt;wsp:rsid wsp:val=&quot;003E4553&quot;/&gt;&lt;wsp:rsid wsp:val=&quot;003E483E&quot;/&gt;&lt;wsp:rsid wsp:val=&quot;003E4999&quot;/&gt;&lt;wsp:rsid wsp:val=&quot;003E4DB9&quot;/&gt;&lt;wsp:rsid wsp:val=&quot;003E5106&quot;/&gt;&lt;wsp:rsid wsp:val=&quot;003E5452&quot;/&gt;&lt;wsp:rsid wsp:val=&quot;003E5ED4&quot;/&gt;&lt;wsp:rsid wsp:val=&quot;003E5F64&quot;/&gt;&lt;wsp:rsid wsp:val=&quot;003E6036&quot;/&gt;&lt;wsp:rsid wsp:val=&quot;003E60CA&quot;/&gt;&lt;wsp:rsid wsp:val=&quot;003E6739&quot;/&gt;&lt;wsp:rsid wsp:val=&quot;003E6A00&quot;/&gt;&lt;wsp:rsid wsp:val=&quot;003E6D4C&quot;/&gt;&lt;wsp:rsid wsp:val=&quot;003E6DD0&quot;/&gt;&lt;wsp:rsid wsp:val=&quot;003E6EB5&quot;/&gt;&lt;wsp:rsid wsp:val=&quot;003E738E&quot;/&gt;&lt;wsp:rsid wsp:val=&quot;003E7466&quot;/&gt;&lt;wsp:rsid wsp:val=&quot;003E747E&quot;/&gt;&lt;wsp:rsid wsp:val=&quot;003E75D8&quot;/&gt;&lt;wsp:rsid wsp:val=&quot;003E75DD&quot;/&gt;&lt;wsp:rsid wsp:val=&quot;003E7F03&quot;/&gt;&lt;wsp:rsid wsp:val=&quot;003E7F56&quot;/&gt;&lt;wsp:rsid wsp:val=&quot;003F05A1&quot;/&gt;&lt;wsp:rsid wsp:val=&quot;003F072E&quot;/&gt;&lt;wsp:rsid wsp:val=&quot;003F0A77&quot;/&gt;&lt;wsp:rsid wsp:val=&quot;003F0DC0&quot;/&gt;&lt;wsp:rsid wsp:val=&quot;003F0F06&quot;/&gt;&lt;wsp:rsid wsp:val=&quot;003F10C2&quot;/&gt;&lt;wsp:rsid wsp:val=&quot;003F163B&quot;/&gt;&lt;wsp:rsid wsp:val=&quot;003F1962&quot;/&gt;&lt;wsp:rsid wsp:val=&quot;003F1D3F&quot;/&gt;&lt;wsp:rsid wsp:val=&quot;003F27FE&quot;/&gt;&lt;wsp:rsid wsp:val=&quot;003F2CD6&quot;/&gt;&lt;wsp:rsid wsp:val=&quot;003F2D9D&quot;/&gt;&lt;wsp:rsid wsp:val=&quot;003F2F74&quot;/&gt;&lt;wsp:rsid wsp:val=&quot;003F4232&quot;/&gt;&lt;wsp:rsid wsp:val=&quot;003F535C&quot;/&gt;&lt;wsp:rsid wsp:val=&quot;003F5782&quot;/&gt;&lt;wsp:rsid wsp:val=&quot;003F59F3&quot;/&gt;&lt;wsp:rsid wsp:val=&quot;003F5A09&quot;/&gt;&lt;wsp:rsid wsp:val=&quot;003F5A71&quot;/&gt;&lt;wsp:rsid wsp:val=&quot;003F5AB8&quot;/&gt;&lt;wsp:rsid wsp:val=&quot;003F5BCF&quot;/&gt;&lt;wsp:rsid wsp:val=&quot;003F61F2&quot;/&gt;&lt;wsp:rsid wsp:val=&quot;003F6306&quot;/&gt;&lt;wsp:rsid wsp:val=&quot;003F64A7&quot;/&gt;&lt;wsp:rsid wsp:val=&quot;003F651F&quot;/&gt;&lt;wsp:rsid wsp:val=&quot;003F67D5&quot;/&gt;&lt;wsp:rsid wsp:val=&quot;003F6EDE&quot;/&gt;&lt;wsp:rsid wsp:val=&quot;003F72B3&quot;/&gt;&lt;wsp:rsid wsp:val=&quot;003F77BC&quot;/&gt;&lt;wsp:rsid wsp:val=&quot;00400167&quot;/&gt;&lt;wsp:rsid wsp:val=&quot;00400AD1&quot;/&gt;&lt;wsp:rsid wsp:val=&quot;00401163&quot;/&gt;&lt;wsp:rsid wsp:val=&quot;00401171&quot;/&gt;&lt;wsp:rsid wsp:val=&quot;00402199&quot;/&gt;&lt;wsp:rsid wsp:val=&quot;004021F6&quot;/&gt;&lt;wsp:rsid wsp:val=&quot;00402823&quot;/&gt;&lt;wsp:rsid wsp:val=&quot;00402A93&quot;/&gt;&lt;wsp:rsid wsp:val=&quot;004032F0&quot;/&gt;&lt;wsp:rsid wsp:val=&quot;00403AB8&quot;/&gt;&lt;wsp:rsid wsp:val=&quot;00403EC3&quot;/&gt;&lt;wsp:rsid wsp:val=&quot;004041F7&quot;/&gt;&lt;wsp:rsid wsp:val=&quot;00404D42&quot;/&gt;&lt;wsp:rsid wsp:val=&quot;00404E76&quot;/&gt;&lt;wsp:rsid wsp:val=&quot;00405380&quot;/&gt;&lt;wsp:rsid wsp:val=&quot;00405393&quot;/&gt;&lt;wsp:rsid wsp:val=&quot;00405409&quot;/&gt;&lt;wsp:rsid wsp:val=&quot;00405452&quot;/&gt;&lt;wsp:rsid wsp:val=&quot;00405C6D&quot;/&gt;&lt;wsp:rsid wsp:val=&quot;0040601C&quot;/&gt;&lt;wsp:rsid wsp:val=&quot;0040604D&quot;/&gt;&lt;wsp:rsid wsp:val=&quot;0040662E&quot;/&gt;&lt;wsp:rsid wsp:val=&quot;00406706&quot;/&gt;&lt;wsp:rsid wsp:val=&quot;00406B1B&quot;/&gt;&lt;wsp:rsid wsp:val=&quot;00407073&quot;/&gt;&lt;wsp:rsid wsp:val=&quot;00407C7E&quot;/&gt;&lt;wsp:rsid wsp:val=&quot;00407D27&quot;/&gt;&lt;wsp:rsid wsp:val=&quot;004102C5&quot;/&gt;&lt;wsp:rsid wsp:val=&quot;0041080E&quot;/&gt;&lt;wsp:rsid wsp:val=&quot;004108CF&quot;/&gt;&lt;wsp:rsid wsp:val=&quot;004113CF&quot;/&gt;&lt;wsp:rsid wsp:val=&quot;00411874&quot;/&gt;&lt;wsp:rsid wsp:val=&quot;00411C07&quot;/&gt;&lt;wsp:rsid wsp:val=&quot;00411C3A&quot;/&gt;&lt;wsp:rsid wsp:val=&quot;00411D59&quot;/&gt;&lt;wsp:rsid wsp:val=&quot;00411DBF&quot;/&gt;&lt;wsp:rsid wsp:val=&quot;00412120&quot;/&gt;&lt;wsp:rsid wsp:val=&quot;004122B7&quot;/&gt;&lt;wsp:rsid wsp:val=&quot;004125F8&quot;/&gt;&lt;wsp:rsid wsp:val=&quot;004126D8&quot;/&gt;&lt;wsp:rsid wsp:val=&quot;00412732&quot;/&gt;&lt;wsp:rsid wsp:val=&quot;0041287E&quot;/&gt;&lt;wsp:rsid wsp:val=&quot;00412941&quot;/&gt;&lt;wsp:rsid wsp:val=&quot;00412A1C&quot;/&gt;&lt;wsp:rsid wsp:val=&quot;00412A9A&quot;/&gt;&lt;wsp:rsid wsp:val=&quot;00412B05&quot;/&gt;&lt;wsp:rsid wsp:val=&quot;00412E3E&quot;/&gt;&lt;wsp:rsid wsp:val=&quot;0041306D&quot;/&gt;&lt;wsp:rsid wsp:val=&quot;004137A0&quot;/&gt;&lt;wsp:rsid wsp:val=&quot;00413C4F&quot;/&gt;&lt;wsp:rsid wsp:val=&quot;00413DAA&quot;/&gt;&lt;wsp:rsid wsp:val=&quot;00413DB7&quot;/&gt;&lt;wsp:rsid wsp:val=&quot;00414227&quot;/&gt;&lt;wsp:rsid wsp:val=&quot;00415034&quot;/&gt;&lt;wsp:rsid wsp:val=&quot;00415974&quot;/&gt;&lt;wsp:rsid wsp:val=&quot;00415A40&quot;/&gt;&lt;wsp:rsid wsp:val=&quot;00416097&quot;/&gt;&lt;wsp:rsid wsp:val=&quot;00416277&quot;/&gt;&lt;wsp:rsid wsp:val=&quot;00416715&quot;/&gt;&lt;wsp:rsid wsp:val=&quot;00416D6C&quot;/&gt;&lt;wsp:rsid wsp:val=&quot;00416D9B&quot;/&gt;&lt;wsp:rsid wsp:val=&quot;00416E1D&quot;/&gt;&lt;wsp:rsid wsp:val=&quot;004171AC&quot;/&gt;&lt;wsp:rsid wsp:val=&quot;00417426&quot;/&gt;&lt;wsp:rsid wsp:val=&quot;00417963&quot;/&gt;&lt;wsp:rsid wsp:val=&quot;00417F00&quot;/&gt;&lt;wsp:rsid wsp:val=&quot;004201F9&quot;/&gt;&lt;wsp:rsid wsp:val=&quot;00420691&quot;/&gt;&lt;wsp:rsid wsp:val=&quot;00420919&quot;/&gt;&lt;wsp:rsid wsp:val=&quot;004209EA&quot;/&gt;&lt;wsp:rsid wsp:val=&quot;00420C86&quot;/&gt;&lt;wsp:rsid wsp:val=&quot;00420DA8&quot;/&gt;&lt;wsp:rsid wsp:val=&quot;004214D1&quot;/&gt;&lt;wsp:rsid wsp:val=&quot;0042172F&quot;/&gt;&lt;wsp:rsid wsp:val=&quot;00421879&quot;/&gt;&lt;wsp:rsid wsp:val=&quot;004226DD&quot;/&gt;&lt;wsp:rsid wsp:val=&quot;00422703&quot;/&gt;&lt;wsp:rsid wsp:val=&quot;004228DB&quot;/&gt;&lt;wsp:rsid wsp:val=&quot;00422CCB&quot;/&gt;&lt;wsp:rsid wsp:val=&quot;00422F61&quot;/&gt;&lt;wsp:rsid wsp:val=&quot;0042399D&quot;/&gt;&lt;wsp:rsid wsp:val=&quot;00423D45&quot;/&gt;&lt;wsp:rsid wsp:val=&quot;004256B2&quot;/&gt;&lt;wsp:rsid wsp:val=&quot;004258EB&quot;/&gt;&lt;wsp:rsid wsp:val=&quot;00425C65&quot;/&gt;&lt;wsp:rsid wsp:val=&quot;00426242&quot;/&gt;&lt;wsp:rsid wsp:val=&quot;004263DD&quot;/&gt;&lt;wsp:rsid wsp:val=&quot;00426B31&quot;/&gt;&lt;wsp:rsid wsp:val=&quot;00426C16&quot;/&gt;&lt;wsp:rsid wsp:val=&quot;00426C3D&quot;/&gt;&lt;wsp:rsid wsp:val=&quot;00426C91&quot;/&gt;&lt;wsp:rsid wsp:val=&quot;004272E7&quot;/&gt;&lt;wsp:rsid wsp:val=&quot;00427382&quot;/&gt;&lt;wsp:rsid wsp:val=&quot;00427A8E&quot;/&gt;&lt;wsp:rsid wsp:val=&quot;00427CBB&quot;/&gt;&lt;wsp:rsid wsp:val=&quot;00427F05&quot;/&gt;&lt;wsp:rsid wsp:val=&quot;0043005A&quot;/&gt;&lt;wsp:rsid wsp:val=&quot;004302FC&quot;/&gt;&lt;wsp:rsid wsp:val=&quot;004306DF&quot;/&gt;&lt;wsp:rsid wsp:val=&quot;00430728&quot;/&gt;&lt;wsp:rsid wsp:val=&quot;00430D53&quot;/&gt;&lt;wsp:rsid wsp:val=&quot;00431053&quot;/&gt;&lt;wsp:rsid wsp:val=&quot;00431166&quot;/&gt;&lt;wsp:rsid wsp:val=&quot;004312AC&quot;/&gt;&lt;wsp:rsid wsp:val=&quot;0043143D&quot;/&gt;&lt;wsp:rsid wsp:val=&quot;0043160B&quot;/&gt;&lt;wsp:rsid wsp:val=&quot;00431BD6&quot;/&gt;&lt;wsp:rsid wsp:val=&quot;00431D5A&quot;/&gt;&lt;wsp:rsid wsp:val=&quot;00432A0F&quot;/&gt;&lt;wsp:rsid wsp:val=&quot;00432B6D&quot;/&gt;&lt;wsp:rsid wsp:val=&quot;00432BD9&quot;/&gt;&lt;wsp:rsid wsp:val=&quot;00432F24&quot;/&gt;&lt;wsp:rsid wsp:val=&quot;00433063&quot;/&gt;&lt;wsp:rsid wsp:val=&quot;00433294&quot;/&gt;&lt;wsp:rsid wsp:val=&quot;00433353&quot;/&gt;&lt;wsp:rsid wsp:val=&quot;004338D5&quot;/&gt;&lt;wsp:rsid wsp:val=&quot;0043394F&quot;/&gt;&lt;wsp:rsid wsp:val=&quot;0043418B&quot;/&gt;&lt;wsp:rsid wsp:val=&quot;00434456&quot;/&gt;&lt;wsp:rsid wsp:val=&quot;0043487C&quot;/&gt;&lt;wsp:rsid wsp:val=&quot;00434B6B&quot;/&gt;&lt;wsp:rsid wsp:val=&quot;00435106&quot;/&gt;&lt;wsp:rsid wsp:val=&quot;00435446&quot;/&gt;&lt;wsp:rsid wsp:val=&quot;00435560&quot;/&gt;&lt;wsp:rsid wsp:val=&quot;00435CC3&quot;/&gt;&lt;wsp:rsid wsp:val=&quot;00435E1B&quot;/&gt;&lt;wsp:rsid wsp:val=&quot;00436526&quot;/&gt;&lt;wsp:rsid wsp:val=&quot;004368E1&quot;/&gt;&lt;wsp:rsid wsp:val=&quot;0043698F&quot;/&gt;&lt;wsp:rsid wsp:val=&quot;00436AE0&quot;/&gt;&lt;wsp:rsid wsp:val=&quot;00436AEF&quot;/&gt;&lt;wsp:rsid wsp:val=&quot;00436CF7&quot;/&gt;&lt;wsp:rsid wsp:val=&quot;00436E5C&quot;/&gt;&lt;wsp:rsid wsp:val=&quot;004371E9&quot;/&gt;&lt;wsp:rsid wsp:val=&quot;004375B1&quot;/&gt;&lt;wsp:rsid wsp:val=&quot;0043778B&quot;/&gt;&lt;wsp:rsid wsp:val=&quot;00437831&quot;/&gt;&lt;wsp:rsid wsp:val=&quot;00437BF6&quot;/&gt;&lt;wsp:rsid wsp:val=&quot;00437CAC&quot;/&gt;&lt;wsp:rsid wsp:val=&quot;00437E9D&quot;/&gt;&lt;wsp:rsid wsp:val=&quot;00440C3D&quot;/&gt;&lt;wsp:rsid wsp:val=&quot;0044147E&quot;/&gt;&lt;wsp:rsid wsp:val=&quot;004417DE&quot;/&gt;&lt;wsp:rsid wsp:val=&quot;00441A53&quot;/&gt;&lt;wsp:rsid wsp:val=&quot;00441B1C&quot;/&gt;&lt;wsp:rsid wsp:val=&quot;00441BC1&quot;/&gt;&lt;wsp:rsid wsp:val=&quot;00441C6D&quot;/&gt;&lt;wsp:rsid wsp:val=&quot;00441E1C&quot;/&gt;&lt;wsp:rsid wsp:val=&quot;00441EA7&quot;/&gt;&lt;wsp:rsid wsp:val=&quot;004420A8&quot;/&gt;&lt;wsp:rsid wsp:val=&quot;00442B06&quot;/&gt;&lt;wsp:rsid wsp:val=&quot;00442D41&quot;/&gt;&lt;wsp:rsid wsp:val=&quot;00442DBF&quot;/&gt;&lt;wsp:rsid wsp:val=&quot;00442E23&quot;/&gt;&lt;wsp:rsid wsp:val=&quot;00443044&quot;/&gt;&lt;wsp:rsid wsp:val=&quot;00443103&quot;/&gt;&lt;wsp:rsid wsp:val=&quot;00443143&quot;/&gt;&lt;wsp:rsid wsp:val=&quot;00443533&quot;/&gt;&lt;wsp:rsid wsp:val=&quot;004438F7&quot;/&gt;&lt;wsp:rsid wsp:val=&quot;00443985&quot;/&gt;&lt;wsp:rsid wsp:val=&quot;00443C76&quot;/&gt;&lt;wsp:rsid wsp:val=&quot;0044419D&quot;/&gt;&lt;wsp:rsid wsp:val=&quot;0044438A&quot;/&gt;&lt;wsp:rsid wsp:val=&quot;00444562&quot;/&gt;&lt;wsp:rsid wsp:val=&quot;0044478E&quot;/&gt;&lt;wsp:rsid wsp:val=&quot;004447EA&quot;/&gt;&lt;wsp:rsid wsp:val=&quot;0044488E&quot;/&gt;&lt;wsp:rsid wsp:val=&quot;00444C19&quot;/&gt;&lt;wsp:rsid wsp:val=&quot;00444F9D&quot;/&gt;&lt;wsp:rsid wsp:val=&quot;004458CA&quot;/&gt;&lt;wsp:rsid wsp:val=&quot;00445AFA&quot;/&gt;&lt;wsp:rsid wsp:val=&quot;00445D01&quot;/&gt;&lt;wsp:rsid wsp:val=&quot;00445E5F&quot;/&gt;&lt;wsp:rsid wsp:val=&quot;00446157&quot;/&gt;&lt;wsp:rsid wsp:val=&quot;004461A4&quot;/&gt;&lt;wsp:rsid wsp:val=&quot;004461D0&quot;/&gt;&lt;wsp:rsid wsp:val=&quot;004462D2&quot;/&gt;&lt;wsp:rsid wsp:val=&quot;00446374&quot;/&gt;&lt;wsp:rsid wsp:val=&quot;00446489&quot;/&gt;&lt;wsp:rsid wsp:val=&quot;00446537&quot;/&gt;&lt;wsp:rsid wsp:val=&quot;00446605&quot;/&gt;&lt;wsp:rsid wsp:val=&quot;004466CD&quot;/&gt;&lt;wsp:rsid wsp:val=&quot;0044671A&quot;/&gt;&lt;wsp:rsid wsp:val=&quot;00446798&quot;/&gt;&lt;wsp:rsid wsp:val=&quot;00446B30&quot;/&gt;&lt;wsp:rsid wsp:val=&quot;00447387&quot;/&gt;&lt;wsp:rsid wsp:val=&quot;00447397&quot;/&gt;&lt;wsp:rsid wsp:val=&quot;0044789A&quot;/&gt;&lt;wsp:rsid wsp:val=&quot;00447CC2&quot;/&gt;&lt;wsp:rsid wsp:val=&quot;00447FCB&quot;/&gt;&lt;wsp:rsid wsp:val=&quot;0045026C&quot;/&gt;&lt;wsp:rsid wsp:val=&quot;00450663&quot;/&gt;&lt;wsp:rsid wsp:val=&quot;004507D7&quot;/&gt;&lt;wsp:rsid wsp:val=&quot;00450BC6&quot;/&gt;&lt;wsp:rsid wsp:val=&quot;00450DAD&quot;/&gt;&lt;wsp:rsid wsp:val=&quot;00450E01&quot;/&gt;&lt;wsp:rsid wsp:val=&quot;00450FA8&quot;/&gt;&lt;wsp:rsid wsp:val=&quot;00451177&quot;/&gt;&lt;wsp:rsid wsp:val=&quot;0045123E&quot;/&gt;&lt;wsp:rsid wsp:val=&quot;004512ED&quot;/&gt;&lt;wsp:rsid wsp:val=&quot;004518D0&quot;/&gt;&lt;wsp:rsid wsp:val=&quot;00452310&quot;/&gt;&lt;wsp:rsid wsp:val=&quot;0045288A&quot;/&gt;&lt;wsp:rsid wsp:val=&quot;00452ACD&quot;/&gt;&lt;wsp:rsid wsp:val=&quot;00452B84&quot;/&gt;&lt;wsp:rsid wsp:val=&quot;00452C80&quot;/&gt;&lt;wsp:rsid wsp:val=&quot;004531A4&quot;/&gt;&lt;wsp:rsid wsp:val=&quot;00453268&quot;/&gt;&lt;wsp:rsid wsp:val=&quot;00453577&quot;/&gt;&lt;wsp:rsid wsp:val=&quot;00453C5D&quot;/&gt;&lt;wsp:rsid wsp:val=&quot;00454170&quot;/&gt;&lt;wsp:rsid wsp:val=&quot;00454832&quot;/&gt;&lt;wsp:rsid wsp:val=&quot;00454890&quot;/&gt;&lt;wsp:rsid wsp:val=&quot;00454A4D&quot;/&gt;&lt;wsp:rsid wsp:val=&quot;00454F20&quot;/&gt;&lt;wsp:rsid wsp:val=&quot;004553C6&quot;/&gt;&lt;wsp:rsid wsp:val=&quot;00455834&quot;/&gt;&lt;wsp:rsid wsp:val=&quot;00455B45&quot;/&gt;&lt;wsp:rsid wsp:val=&quot;00455B9C&quot;/&gt;&lt;wsp:rsid wsp:val=&quot;00455BB7&quot;/&gt;&lt;wsp:rsid wsp:val=&quot;00456165&quot;/&gt;&lt;wsp:rsid wsp:val=&quot;0045649E&quot;/&gt;&lt;wsp:rsid wsp:val=&quot;004565EB&quot;/&gt;&lt;wsp:rsid wsp:val=&quot;00456861&quot;/&gt;&lt;wsp:rsid wsp:val=&quot;004572A3&quot;/&gt;&lt;wsp:rsid wsp:val=&quot;004576F2&quot;/&gt;&lt;wsp:rsid wsp:val=&quot;004577F9&quot;/&gt;&lt;wsp:rsid wsp:val=&quot;00457CC6&quot;/&gt;&lt;wsp:rsid wsp:val=&quot;00457DE2&quot;/&gt;&lt;wsp:rsid wsp:val=&quot;00457FB3&quot;/&gt;&lt;wsp:rsid wsp:val=&quot;004608B6&quot;/&gt;&lt;wsp:rsid wsp:val=&quot;004608EE&quot;/&gt;&lt;wsp:rsid wsp:val=&quot;0046098B&quot;/&gt;&lt;wsp:rsid wsp:val=&quot;004610D7&quot;/&gt;&lt;wsp:rsid wsp:val=&quot;00461155&quot;/&gt;&lt;wsp:rsid wsp:val=&quot;004615C4&quot;/&gt;&lt;wsp:rsid wsp:val=&quot;00461628&quot;/&gt;&lt;wsp:rsid wsp:val=&quot;00461A79&quot;/&gt;&lt;wsp:rsid wsp:val=&quot;0046245E&quot;/&gt;&lt;wsp:rsid wsp:val=&quot;00462996&quot;/&gt;&lt;wsp:rsid wsp:val=&quot;00462A41&quot;/&gt;&lt;wsp:rsid wsp:val=&quot;00462B20&quot;/&gt;&lt;wsp:rsid wsp:val=&quot;00462BD0&quot;/&gt;&lt;wsp:rsid wsp:val=&quot;00462D04&quot;/&gt;&lt;wsp:rsid wsp:val=&quot;00463017&quot;/&gt;&lt;wsp:rsid wsp:val=&quot;00463593&quot;/&gt;&lt;wsp:rsid wsp:val=&quot;004635B6&quot;/&gt;&lt;wsp:rsid wsp:val=&quot;0046376F&quot;/&gt;&lt;wsp:rsid wsp:val=&quot;00463986&quot;/&gt;&lt;wsp:rsid wsp:val=&quot;00463CF2&quot;/&gt;&lt;wsp:rsid wsp:val=&quot;0046420B&quot;/&gt;&lt;wsp:rsid wsp:val=&quot;00464B26&quot;/&gt;&lt;wsp:rsid wsp:val=&quot;00464CC2&quot;/&gt;&lt;wsp:rsid wsp:val=&quot;00464DAA&quot;/&gt;&lt;wsp:rsid wsp:val=&quot;004655C4&quot;/&gt;&lt;wsp:rsid wsp:val=&quot;004657FF&quot;/&gt;&lt;wsp:rsid wsp:val=&quot;00465892&quot;/&gt;&lt;wsp:rsid wsp:val=&quot;00465895&quot;/&gt;&lt;wsp:rsid wsp:val=&quot;00465A53&quot;/&gt;&lt;wsp:rsid wsp:val=&quot;00465CB2&quot;/&gt;&lt;wsp:rsid wsp:val=&quot;00465D75&quot;/&gt;&lt;wsp:rsid wsp:val=&quot;004661B1&quot;/&gt;&lt;wsp:rsid wsp:val=&quot;004663F7&quot;/&gt;&lt;wsp:rsid wsp:val=&quot;00466D7E&quot;/&gt;&lt;wsp:rsid wsp:val=&quot;004674C1&quot;/&gt;&lt;wsp:rsid wsp:val=&quot;00467852&quot;/&gt;&lt;wsp:rsid wsp:val=&quot;004679FD&quot;/&gt;&lt;wsp:rsid wsp:val=&quot;00470019&quot;/&gt;&lt;wsp:rsid wsp:val=&quot;00470308&quot;/&gt;&lt;wsp:rsid wsp:val=&quot;0047046B&quot;/&gt;&lt;wsp:rsid wsp:val=&quot;00470DB4&quot;/&gt;&lt;wsp:rsid wsp:val=&quot;0047107A&quot;/&gt;&lt;wsp:rsid wsp:val=&quot;004710D3&quot;/&gt;&lt;wsp:rsid wsp:val=&quot;004710DF&quot;/&gt;&lt;wsp:rsid wsp:val=&quot;004714D2&quot;/&gt;&lt;wsp:rsid wsp:val=&quot;00471507&quot;/&gt;&lt;wsp:rsid wsp:val=&quot;00471D6C&quot;/&gt;&lt;wsp:rsid wsp:val=&quot;00471E47&quot;/&gt;&lt;wsp:rsid wsp:val=&quot;00471FC5&quot;/&gt;&lt;wsp:rsid wsp:val=&quot;00472074&quot;/&gt;&lt;wsp:rsid wsp:val=&quot;00472AEE&quot;/&gt;&lt;wsp:rsid wsp:val=&quot;00472B3C&quot;/&gt;&lt;wsp:rsid wsp:val=&quot;00472B9D&quot;/&gt;&lt;wsp:rsid wsp:val=&quot;00472D20&quot;/&gt;&lt;wsp:rsid wsp:val=&quot;004737B3&quot;/&gt;&lt;wsp:rsid wsp:val=&quot;004738E4&quot;/&gt;&lt;wsp:rsid wsp:val=&quot;004738E5&quot;/&gt;&lt;wsp:rsid wsp:val=&quot;00473F1D&quot;/&gt;&lt;wsp:rsid wsp:val=&quot;004740CB&quot;/&gt;&lt;wsp:rsid wsp:val=&quot;004743A8&quot;/&gt;&lt;wsp:rsid wsp:val=&quot;0047459B&quot;/&gt;&lt;wsp:rsid wsp:val=&quot;0047466C&quot;/&gt;&lt;wsp:rsid wsp:val=&quot;00474928&quot;/&gt;&lt;wsp:rsid wsp:val=&quot;0047513F&quot;/&gt;&lt;wsp:rsid wsp:val=&quot;0047556E&quot;/&gt;&lt;wsp:rsid wsp:val=&quot;0047565B&quot;/&gt;&lt;wsp:rsid wsp:val=&quot;004757A8&quot;/&gt;&lt;wsp:rsid wsp:val=&quot;0047598B&quot;/&gt;&lt;wsp:rsid wsp:val=&quot;00475DAC&quot;/&gt;&lt;wsp:rsid wsp:val=&quot;004761DC&quot;/&gt;&lt;wsp:rsid wsp:val=&quot;0047633A&quot;/&gt;&lt;wsp:rsid wsp:val=&quot;0047634B&quot;/&gt;&lt;wsp:rsid wsp:val=&quot;00476428&quot;/&gt;&lt;wsp:rsid wsp:val=&quot;00476588&quot;/&gt;&lt;wsp:rsid wsp:val=&quot;00476831&quot;/&gt;&lt;wsp:rsid wsp:val=&quot;00476EBB&quot;/&gt;&lt;wsp:rsid wsp:val=&quot;0047711B&quot;/&gt;&lt;wsp:rsid wsp:val=&quot;00477336&quot;/&gt;&lt;wsp:rsid wsp:val=&quot;00477AA4&quot;/&gt;&lt;wsp:rsid wsp:val=&quot;00477C62&quot;/&gt;&lt;wsp:rsid wsp:val=&quot;00477E82&quot;/&gt;&lt;wsp:rsid wsp:val=&quot;00477FB2&quot;/&gt;&lt;wsp:rsid wsp:val=&quot;0048004E&quot;/&gt;&lt;wsp:rsid wsp:val=&quot;00480129&quot;/&gt;&lt;wsp:rsid wsp:val=&quot;00480575&quot;/&gt;&lt;wsp:rsid wsp:val=&quot;00480F11&quot;/&gt;&lt;wsp:rsid wsp:val=&quot;00482083&quot;/&gt;&lt;wsp:rsid wsp:val=&quot;004823C1&quot;/&gt;&lt;wsp:rsid wsp:val=&quot;004823D0&quot;/&gt;&lt;wsp:rsid wsp:val=&quot;004825D7&quot;/&gt;&lt;wsp:rsid wsp:val=&quot;004831BB&quot;/&gt;&lt;wsp:rsid wsp:val=&quot;00483290&quot;/&gt;&lt;wsp:rsid wsp:val=&quot;004834B7&quot;/&gt;&lt;wsp:rsid wsp:val=&quot;00483841&quot;/&gt;&lt;wsp:rsid wsp:val=&quot;00483914&quot;/&gt;&lt;wsp:rsid wsp:val=&quot;00483C6F&quot;/&gt;&lt;wsp:rsid wsp:val=&quot;00484263&quot;/&gt;&lt;wsp:rsid wsp:val=&quot;004843B5&quot;/&gt;&lt;wsp:rsid wsp:val=&quot;004844FC&quot;/&gt;&lt;wsp:rsid wsp:val=&quot;00484FDF&quot;/&gt;&lt;wsp:rsid wsp:val=&quot;004854A5&quot;/&gt;&lt;wsp:rsid wsp:val=&quot;004855F1&quot;/&gt;&lt;wsp:rsid wsp:val=&quot;00485A07&quot;/&gt;&lt;wsp:rsid wsp:val=&quot;00485A73&quot;/&gt;&lt;wsp:rsid wsp:val=&quot;00485D62&quot;/&gt;&lt;wsp:rsid wsp:val=&quot;00485D6D&quot;/&gt;&lt;wsp:rsid wsp:val=&quot;00485EDD&quot;/&gt;&lt;wsp:rsid wsp:val=&quot;00486243&quot;/&gt;&lt;wsp:rsid wsp:val=&quot;00486319&quot;/&gt;&lt;wsp:rsid wsp:val=&quot;004864A6&quot;/&gt;&lt;wsp:rsid wsp:val=&quot;004865EE&quot;/&gt;&lt;wsp:rsid wsp:val=&quot;004868A0&quot;/&gt;&lt;wsp:rsid wsp:val=&quot;00486B0E&quot;/&gt;&lt;wsp:rsid wsp:val=&quot;00487952&quot;/&gt;&lt;wsp:rsid wsp:val=&quot;00487F97&quot;/&gt;&lt;wsp:rsid wsp:val=&quot;00490235&quot;/&gt;&lt;wsp:rsid wsp:val=&quot;004904F5&quot;/&gt;&lt;wsp:rsid wsp:val=&quot;00490575&quot;/&gt;&lt;wsp:rsid wsp:val=&quot;0049105E&quot;/&gt;&lt;wsp:rsid wsp:val=&quot;0049114B&quot;/&gt;&lt;wsp:rsid wsp:val=&quot;004913BD&quot;/&gt;&lt;wsp:rsid wsp:val=&quot;00491B51&quot;/&gt;&lt;wsp:rsid wsp:val=&quot;0049254E&quot;/&gt;&lt;wsp:rsid wsp:val=&quot;00492B5E&quot;/&gt;&lt;wsp:rsid wsp:val=&quot;00492B75&quot;/&gt;&lt;wsp:rsid wsp:val=&quot;00492BDE&quot;/&gt;&lt;wsp:rsid wsp:val=&quot;00493194&quot;/&gt;&lt;wsp:rsid wsp:val=&quot;004933E0&quot;/&gt;&lt;wsp:rsid wsp:val=&quot;0049407C&quot;/&gt;&lt;wsp:rsid wsp:val=&quot;004947BD&quot;/&gt;&lt;wsp:rsid wsp:val=&quot;004948E4&quot;/&gt;&lt;wsp:rsid wsp:val=&quot;00494D55&quot;/&gt;&lt;wsp:rsid wsp:val=&quot;004953A7&quot;/&gt;&lt;wsp:rsid wsp:val=&quot;00495729&quot;/&gt;&lt;wsp:rsid wsp:val=&quot;00495C08&quot;/&gt;&lt;wsp:rsid wsp:val=&quot;00495C16&quot;/&gt;&lt;wsp:rsid wsp:val=&quot;00495EDB&quot;/&gt;&lt;wsp:rsid wsp:val=&quot;00495FEA&quot;/&gt;&lt;wsp:rsid wsp:val=&quot;004963FD&quot;/&gt;&lt;wsp:rsid wsp:val=&quot;004975DF&quot;/&gt;&lt;wsp:rsid wsp:val=&quot;004976A3&quot;/&gt;&lt;wsp:rsid wsp:val=&quot;00497F41&quot;/&gt;&lt;wsp:rsid wsp:val=&quot;004A0140&quot;/&gt;&lt;wsp:rsid wsp:val=&quot;004A0471&quot;/&gt;&lt;wsp:rsid wsp:val=&quot;004A09B6&quot;/&gt;&lt;wsp:rsid wsp:val=&quot;004A12A2&quot;/&gt;&lt;wsp:rsid wsp:val=&quot;004A1350&quot;/&gt;&lt;wsp:rsid wsp:val=&quot;004A138A&quot;/&gt;&lt;wsp:rsid wsp:val=&quot;004A1B0F&quot;/&gt;&lt;wsp:rsid wsp:val=&quot;004A1CF9&quot;/&gt;&lt;wsp:rsid wsp:val=&quot;004A1FE1&quot;/&gt;&lt;wsp:rsid wsp:val=&quot;004A2013&quot;/&gt;&lt;wsp:rsid wsp:val=&quot;004A228C&quot;/&gt;&lt;wsp:rsid wsp:val=&quot;004A29C1&quot;/&gt;&lt;wsp:rsid wsp:val=&quot;004A29F7&quot;/&gt;&lt;wsp:rsid wsp:val=&quot;004A2FEB&quot;/&gt;&lt;wsp:rsid wsp:val=&quot;004A3467&quot;/&gt;&lt;wsp:rsid wsp:val=&quot;004A34BC&quot;/&gt;&lt;wsp:rsid wsp:val=&quot;004A4183&quot;/&gt;&lt;wsp:rsid wsp:val=&quot;004A460D&quot;/&gt;&lt;wsp:rsid wsp:val=&quot;004A4913&quot;/&gt;&lt;wsp:rsid wsp:val=&quot;004A4985&quot;/&gt;&lt;wsp:rsid wsp:val=&quot;004A49CD&quot;/&gt;&lt;wsp:rsid wsp:val=&quot;004A4D4D&quot;/&gt;&lt;wsp:rsid wsp:val=&quot;004A526B&quot;/&gt;&lt;wsp:rsid wsp:val=&quot;004A52FC&quot;/&gt;&lt;wsp:rsid wsp:val=&quot;004A535F&quot;/&gt;&lt;wsp:rsid wsp:val=&quot;004A55B8&quot;/&gt;&lt;wsp:rsid wsp:val=&quot;004A5826&quot;/&gt;&lt;wsp:rsid wsp:val=&quot;004A6463&quot;/&gt;&lt;wsp:rsid wsp:val=&quot;004A659B&quot;/&gt;&lt;wsp:rsid wsp:val=&quot;004A65E6&quot;/&gt;&lt;wsp:rsid wsp:val=&quot;004A6695&quot;/&gt;&lt;wsp:rsid wsp:val=&quot;004A671E&quot;/&gt;&lt;wsp:rsid wsp:val=&quot;004A673C&quot;/&gt;&lt;wsp:rsid wsp:val=&quot;004A6C23&quot;/&gt;&lt;wsp:rsid wsp:val=&quot;004A7471&quot;/&gt;&lt;wsp:rsid wsp:val=&quot;004A77E1&quot;/&gt;&lt;wsp:rsid wsp:val=&quot;004A783D&quot;/&gt;&lt;wsp:rsid wsp:val=&quot;004B0247&quot;/&gt;&lt;wsp:rsid wsp:val=&quot;004B064C&quot;/&gt;&lt;wsp:rsid wsp:val=&quot;004B1565&quot;/&gt;&lt;wsp:rsid wsp:val=&quot;004B1868&quot;/&gt;&lt;wsp:rsid wsp:val=&quot;004B1AFA&quot;/&gt;&lt;wsp:rsid wsp:val=&quot;004B204C&quot;/&gt;&lt;wsp:rsid wsp:val=&quot;004B208C&quot;/&gt;&lt;wsp:rsid wsp:val=&quot;004B2265&quot;/&gt;&lt;wsp:rsid wsp:val=&quot;004B2807&quot;/&gt;&lt;wsp:rsid wsp:val=&quot;004B2918&quot;/&gt;&lt;wsp:rsid wsp:val=&quot;004B3418&quot;/&gt;&lt;wsp:rsid wsp:val=&quot;004B3574&quot;/&gt;&lt;wsp:rsid wsp:val=&quot;004B3864&quot;/&gt;&lt;wsp:rsid wsp:val=&quot;004B3D7B&quot;/&gt;&lt;wsp:rsid wsp:val=&quot;004B3DD6&quot;/&gt;&lt;wsp:rsid wsp:val=&quot;004B3FD2&quot;/&gt;&lt;wsp:rsid wsp:val=&quot;004B40A6&quot;/&gt;&lt;wsp:rsid wsp:val=&quot;004B4A4D&quot;/&gt;&lt;wsp:rsid wsp:val=&quot;004B4D89&quot;/&gt;&lt;wsp:rsid wsp:val=&quot;004B4EBD&quot;/&gt;&lt;wsp:rsid wsp:val=&quot;004B54E6&quot;/&gt;&lt;wsp:rsid wsp:val=&quot;004B5828&quot;/&gt;&lt;wsp:rsid wsp:val=&quot;004B5884&quot;/&gt;&lt;wsp:rsid wsp:val=&quot;004B5B64&quot;/&gt;&lt;wsp:rsid wsp:val=&quot;004B5B9E&quot;/&gt;&lt;wsp:rsid wsp:val=&quot;004B5CD7&quot;/&gt;&lt;wsp:rsid wsp:val=&quot;004B5D77&quot;/&gt;&lt;wsp:rsid wsp:val=&quot;004B6016&quot;/&gt;&lt;wsp:rsid wsp:val=&quot;004B635B&quot;/&gt;&lt;wsp:rsid wsp:val=&quot;004B665D&quot;/&gt;&lt;wsp:rsid wsp:val=&quot;004B68B5&quot;/&gt;&lt;wsp:rsid wsp:val=&quot;004B69F9&quot;/&gt;&lt;wsp:rsid wsp:val=&quot;004B6C92&quot;/&gt;&lt;wsp:rsid wsp:val=&quot;004B6FBE&quot;/&gt;&lt;wsp:rsid wsp:val=&quot;004B7820&quot;/&gt;&lt;wsp:rsid wsp:val=&quot;004B7D4C&quot;/&gt;&lt;wsp:rsid wsp:val=&quot;004C01AC&quot;/&gt;&lt;wsp:rsid wsp:val=&quot;004C09A9&quot;/&gt;&lt;wsp:rsid wsp:val=&quot;004C0B00&quot;/&gt;&lt;wsp:rsid wsp:val=&quot;004C18D7&quot;/&gt;&lt;wsp:rsid wsp:val=&quot;004C1BEF&quot;/&gt;&lt;wsp:rsid wsp:val=&quot;004C1CB1&quot;/&gt;&lt;wsp:rsid wsp:val=&quot;004C23AD&quot;/&gt;&lt;wsp:rsid wsp:val=&quot;004C250D&quot;/&gt;&lt;wsp:rsid wsp:val=&quot;004C25C6&quot;/&gt;&lt;wsp:rsid wsp:val=&quot;004C2D23&quot;/&gt;&lt;wsp:rsid wsp:val=&quot;004C2E11&quot;/&gt;&lt;wsp:rsid wsp:val=&quot;004C32C2&quot;/&gt;&lt;wsp:rsid wsp:val=&quot;004C333E&quot;/&gt;&lt;wsp:rsid wsp:val=&quot;004C34B9&quot;/&gt;&lt;wsp:rsid wsp:val=&quot;004C4198&quot;/&gt;&lt;wsp:rsid wsp:val=&quot;004C4728&quot;/&gt;&lt;wsp:rsid wsp:val=&quot;004C4B4F&quot;/&gt;&lt;wsp:rsid wsp:val=&quot;004C4B62&quot;/&gt;&lt;wsp:rsid wsp:val=&quot;004C4C89&quot;/&gt;&lt;wsp:rsid wsp:val=&quot;004C599B&quot;/&gt;&lt;wsp:rsid wsp:val=&quot;004C5EBE&quot;/&gt;&lt;wsp:rsid wsp:val=&quot;004C6382&quot;/&gt;&lt;wsp:rsid wsp:val=&quot;004C63EC&quot;/&gt;&lt;wsp:rsid wsp:val=&quot;004C6C36&quot;/&gt;&lt;wsp:rsid wsp:val=&quot;004C6F21&quot;/&gt;&lt;wsp:rsid wsp:val=&quot;004C71AA&quot;/&gt;&lt;wsp:rsid wsp:val=&quot;004C7984&quot;/&gt;&lt;wsp:rsid wsp:val=&quot;004C7A1E&quot;/&gt;&lt;wsp:rsid wsp:val=&quot;004D03BC&quot;/&gt;&lt;wsp:rsid wsp:val=&quot;004D071E&quot;/&gt;&lt;wsp:rsid wsp:val=&quot;004D0B5C&quot;/&gt;&lt;wsp:rsid wsp:val=&quot;004D0D8C&quot;/&gt;&lt;wsp:rsid wsp:val=&quot;004D0EED&quot;/&gt;&lt;wsp:rsid wsp:val=&quot;004D0F83&quot;/&gt;&lt;wsp:rsid wsp:val=&quot;004D10C5&quot;/&gt;&lt;wsp:rsid wsp:val=&quot;004D1891&quot;/&gt;&lt;wsp:rsid wsp:val=&quot;004D1ABA&quot;/&gt;&lt;wsp:rsid wsp:val=&quot;004D1BF0&quot;/&gt;&lt;wsp:rsid wsp:val=&quot;004D1C79&quot;/&gt;&lt;wsp:rsid wsp:val=&quot;004D21E0&quot;/&gt;&lt;wsp:rsid wsp:val=&quot;004D2573&quot;/&gt;&lt;wsp:rsid wsp:val=&quot;004D25A3&quot;/&gt;&lt;wsp:rsid wsp:val=&quot;004D275D&quot;/&gt;&lt;wsp:rsid wsp:val=&quot;004D2765&quot;/&gt;&lt;wsp:rsid wsp:val=&quot;004D277D&quot;/&gt;&lt;wsp:rsid wsp:val=&quot;004D2F4E&quot;/&gt;&lt;wsp:rsid wsp:val=&quot;004D30BB&quot;/&gt;&lt;wsp:rsid wsp:val=&quot;004D33EA&quot;/&gt;&lt;wsp:rsid wsp:val=&quot;004D39E7&quot;/&gt;&lt;wsp:rsid wsp:val=&quot;004D3E26&quot;/&gt;&lt;wsp:rsid wsp:val=&quot;004D3EE1&quot;/&gt;&lt;wsp:rsid wsp:val=&quot;004D3FC0&quot;/&gt;&lt;wsp:rsid wsp:val=&quot;004D4395&quot;/&gt;&lt;wsp:rsid wsp:val=&quot;004D444D&quot;/&gt;&lt;wsp:rsid wsp:val=&quot;004D47AB&quot;/&gt;&lt;wsp:rsid wsp:val=&quot;004D4AC7&quot;/&gt;&lt;wsp:rsid wsp:val=&quot;004D4D68&quot;/&gt;&lt;wsp:rsid wsp:val=&quot;004D5020&quot;/&gt;&lt;wsp:rsid wsp:val=&quot;004D5071&quot;/&gt;&lt;wsp:rsid wsp:val=&quot;004D5804&quot;/&gt;&lt;wsp:rsid wsp:val=&quot;004D5A8D&quot;/&gt;&lt;wsp:rsid wsp:val=&quot;004D5F5C&quot;/&gt;&lt;wsp:rsid wsp:val=&quot;004D5FD4&quot;/&gt;&lt;wsp:rsid wsp:val=&quot;004D6295&quot;/&gt;&lt;wsp:rsid wsp:val=&quot;004D67A6&quot;/&gt;&lt;wsp:rsid wsp:val=&quot;004D77DE&quot;/&gt;&lt;wsp:rsid wsp:val=&quot;004D77FD&quot;/&gt;&lt;wsp:rsid wsp:val=&quot;004D7C39&quot;/&gt;&lt;wsp:rsid wsp:val=&quot;004D7C90&quot;/&gt;&lt;wsp:rsid wsp:val=&quot;004E0426&quot;/&gt;&lt;wsp:rsid wsp:val=&quot;004E05BD&quot;/&gt;&lt;wsp:rsid wsp:val=&quot;004E083A&quot;/&gt;&lt;wsp:rsid wsp:val=&quot;004E0C40&quot;/&gt;&lt;wsp:rsid wsp:val=&quot;004E0DE8&quot;/&gt;&lt;wsp:rsid wsp:val=&quot;004E0F77&quot;/&gt;&lt;wsp:rsid wsp:val=&quot;004E0FF8&quot;/&gt;&lt;wsp:rsid wsp:val=&quot;004E1812&quot;/&gt;&lt;wsp:rsid wsp:val=&quot;004E23F3&quot;/&gt;&lt;wsp:rsid wsp:val=&quot;004E2C7E&quot;/&gt;&lt;wsp:rsid wsp:val=&quot;004E2D66&quot;/&gt;&lt;wsp:rsid wsp:val=&quot;004E2E3E&quot;/&gt;&lt;wsp:rsid wsp:val=&quot;004E335C&quot;/&gt;&lt;wsp:rsid wsp:val=&quot;004E3A87&quot;/&gt;&lt;wsp:rsid wsp:val=&quot;004E3B92&quot;/&gt;&lt;wsp:rsid wsp:val=&quot;004E3D74&quot;/&gt;&lt;wsp:rsid wsp:val=&quot;004E3DDC&quot;/&gt;&lt;wsp:rsid wsp:val=&quot;004E3E91&quot;/&gt;&lt;wsp:rsid wsp:val=&quot;004E4004&quot;/&gt;&lt;wsp:rsid wsp:val=&quot;004E42DB&quot;/&gt;&lt;wsp:rsid wsp:val=&quot;004E43EC&quot;/&gt;&lt;wsp:rsid wsp:val=&quot;004E499A&quot;/&gt;&lt;wsp:rsid wsp:val=&quot;004E4CBB&quot;/&gt;&lt;wsp:rsid wsp:val=&quot;004E4D99&quot;/&gt;&lt;wsp:rsid wsp:val=&quot;004E53BC&quot;/&gt;&lt;wsp:rsid wsp:val=&quot;004E5962&quot;/&gt;&lt;wsp:rsid wsp:val=&quot;004E599D&quot;/&gt;&lt;wsp:rsid wsp:val=&quot;004E59C9&quot;/&gt;&lt;wsp:rsid wsp:val=&quot;004E5BD3&quot;/&gt;&lt;wsp:rsid wsp:val=&quot;004E5D2E&quot;/&gt;&lt;wsp:rsid wsp:val=&quot;004E6536&quot;/&gt;&lt;wsp:rsid wsp:val=&quot;004E6641&quot;/&gt;&lt;wsp:rsid wsp:val=&quot;004E73C7&quot;/&gt;&lt;wsp:rsid wsp:val=&quot;004E7C33&quot;/&gt;&lt;wsp:rsid wsp:val=&quot;004E7D31&quot;/&gt;&lt;wsp:rsid wsp:val=&quot;004F06A5&quot;/&gt;&lt;wsp:rsid wsp:val=&quot;004F079A&quot;/&gt;&lt;wsp:rsid wsp:val=&quot;004F0CB5&quot;/&gt;&lt;wsp:rsid wsp:val=&quot;004F0D68&quot;/&gt;&lt;wsp:rsid wsp:val=&quot;004F0FA8&quot;/&gt;&lt;wsp:rsid wsp:val=&quot;004F1289&quot;/&gt;&lt;wsp:rsid wsp:val=&quot;004F12F9&quot;/&gt;&lt;wsp:rsid wsp:val=&quot;004F13D4&quot;/&gt;&lt;wsp:rsid wsp:val=&quot;004F1476&quot;/&gt;&lt;wsp:rsid wsp:val=&quot;004F1559&quot;/&gt;&lt;wsp:rsid wsp:val=&quot;004F185C&quot;/&gt;&lt;wsp:rsid wsp:val=&quot;004F1E33&quot;/&gt;&lt;wsp:rsid wsp:val=&quot;004F1F62&quot;/&gt;&lt;wsp:rsid wsp:val=&quot;004F2016&quot;/&gt;&lt;wsp:rsid wsp:val=&quot;004F21E8&quot;/&gt;&lt;wsp:rsid wsp:val=&quot;004F2253&quot;/&gt;&lt;wsp:rsid wsp:val=&quot;004F2456&quot;/&gt;&lt;wsp:rsid wsp:val=&quot;004F2B1A&quot;/&gt;&lt;wsp:rsid wsp:val=&quot;004F2C0A&quot;/&gt;&lt;wsp:rsid wsp:val=&quot;004F2CEB&quot;/&gt;&lt;wsp:rsid wsp:val=&quot;004F2E19&quot;/&gt;&lt;wsp:rsid wsp:val=&quot;004F2F6E&quot;/&gt;&lt;wsp:rsid wsp:val=&quot;004F3332&quot;/&gt;&lt;wsp:rsid wsp:val=&quot;004F35E4&quot;/&gt;&lt;wsp:rsid wsp:val=&quot;004F37F2&quot;/&gt;&lt;wsp:rsid wsp:val=&quot;004F3BD5&quot;/&gt;&lt;wsp:rsid wsp:val=&quot;004F3DF1&quot;/&gt;&lt;wsp:rsid wsp:val=&quot;004F3E04&quot;/&gt;&lt;wsp:rsid wsp:val=&quot;004F3EA2&quot;/&gt;&lt;wsp:rsid wsp:val=&quot;004F4149&quot;/&gt;&lt;wsp:rsid wsp:val=&quot;004F459E&quot;/&gt;&lt;wsp:rsid wsp:val=&quot;004F48F8&quot;/&gt;&lt;wsp:rsid wsp:val=&quot;004F493C&quot;/&gt;&lt;wsp:rsid wsp:val=&quot;004F499C&quot;/&gt;&lt;wsp:rsid wsp:val=&quot;004F49A5&quot;/&gt;&lt;wsp:rsid wsp:val=&quot;004F49BE&quot;/&gt;&lt;wsp:rsid wsp:val=&quot;004F4AD3&quot;/&gt;&lt;wsp:rsid wsp:val=&quot;004F4C62&quot;/&gt;&lt;wsp:rsid wsp:val=&quot;004F4E5C&quot;/&gt;&lt;wsp:rsid wsp:val=&quot;004F4FE3&quot;/&gt;&lt;wsp:rsid wsp:val=&quot;004F50D5&quot;/&gt;&lt;wsp:rsid wsp:val=&quot;004F558C&quot;/&gt;&lt;wsp:rsid wsp:val=&quot;004F570C&quot;/&gt;&lt;wsp:rsid wsp:val=&quot;004F5743&quot;/&gt;&lt;wsp:rsid wsp:val=&quot;004F584B&quot;/&gt;&lt;wsp:rsid wsp:val=&quot;004F5EA8&quot;/&gt;&lt;wsp:rsid wsp:val=&quot;004F5F4E&quot;/&gt;&lt;wsp:rsid wsp:val=&quot;004F610E&quot;/&gt;&lt;wsp:rsid wsp:val=&quot;004F614C&quot;/&gt;&lt;wsp:rsid wsp:val=&quot;004F640C&quot;/&gt;&lt;wsp:rsid wsp:val=&quot;004F648F&quot;/&gt;&lt;wsp:rsid wsp:val=&quot;004F661A&quot;/&gt;&lt;wsp:rsid wsp:val=&quot;004F66B1&quot;/&gt;&lt;wsp:rsid wsp:val=&quot;004F6921&quot;/&gt;&lt;wsp:rsid wsp:val=&quot;004F6A7F&quot;/&gt;&lt;wsp:rsid wsp:val=&quot;004F7E50&quot;/&gt;&lt;wsp:rsid wsp:val=&quot;00500024&quot;/&gt;&lt;wsp:rsid wsp:val=&quot;00500107&quot;/&gt;&lt;wsp:rsid wsp:val=&quot;005009D2&quot;/&gt;&lt;wsp:rsid wsp:val=&quot;00500BD8&quot;/&gt;&lt;wsp:rsid wsp:val=&quot;00501096&quot;/&gt;&lt;wsp:rsid wsp:val=&quot;00501673&quot;/&gt;&lt;wsp:rsid wsp:val=&quot;00501987&quot;/&gt;&lt;wsp:rsid wsp:val=&quot;00501B01&quot;/&gt;&lt;wsp:rsid wsp:val=&quot;00501DCB&quot;/&gt;&lt;wsp:rsid wsp:val=&quot;00502AD0&quot;/&gt;&lt;wsp:rsid wsp:val=&quot;00502BB3&quot;/&gt;&lt;wsp:rsid wsp:val=&quot;00502C3F&quot;/&gt;&lt;wsp:rsid wsp:val=&quot;005035A1&quot;/&gt;&lt;wsp:rsid wsp:val=&quot;00503842&quot;/&gt;&lt;wsp:rsid wsp:val=&quot;005044D5&quot;/&gt;&lt;wsp:rsid wsp:val=&quot;00504A51&quot;/&gt;&lt;wsp:rsid wsp:val=&quot;005051ED&quot;/&gt;&lt;wsp:rsid wsp:val=&quot;00505FBE&quot;/&gt;&lt;wsp:rsid wsp:val=&quot;00506378&quot;/&gt;&lt;wsp:rsid wsp:val=&quot;00506592&quot;/&gt;&lt;wsp:rsid wsp:val=&quot;00506747&quot;/&gt;&lt;wsp:rsid wsp:val=&quot;0050687B&quot;/&gt;&lt;wsp:rsid wsp:val=&quot;005069F5&quot;/&gt;&lt;wsp:rsid wsp:val=&quot;00506FD2&quot;/&gt;&lt;wsp:rsid wsp:val=&quot;00507179&quot;/&gt;&lt;wsp:rsid wsp:val=&quot;005072F6&quot;/&gt;&lt;wsp:rsid wsp:val=&quot;00507381&quot;/&gt;&lt;wsp:rsid wsp:val=&quot;0050773C&quot;/&gt;&lt;wsp:rsid wsp:val=&quot;00507779&quot;/&gt;&lt;wsp:rsid wsp:val=&quot;00507D35&quot;/&gt;&lt;wsp:rsid wsp:val=&quot;00507F4E&quot;/&gt;&lt;wsp:rsid wsp:val=&quot;00507F57&quot;/&gt;&lt;wsp:rsid wsp:val=&quot;00510163&quot;/&gt;&lt;wsp:rsid wsp:val=&quot;00510930&quot;/&gt;&lt;wsp:rsid wsp:val=&quot;00510E58&quot;/&gt;&lt;wsp:rsid wsp:val=&quot;00511235&quot;/&gt;&lt;wsp:rsid wsp:val=&quot;00511361&quot;/&gt;&lt;wsp:rsid wsp:val=&quot;00511736&quot;/&gt;&lt;wsp:rsid wsp:val=&quot;0051182C&quot;/&gt;&lt;wsp:rsid wsp:val=&quot;0051189B&quot;/&gt;&lt;wsp:rsid wsp:val=&quot;00512066&quot;/&gt;&lt;wsp:rsid wsp:val=&quot;005120DF&quot;/&gt;&lt;wsp:rsid wsp:val=&quot;0051292A&quot;/&gt;&lt;wsp:rsid wsp:val=&quot;00513042&quot;/&gt;&lt;wsp:rsid wsp:val=&quot;00513388&quot;/&gt;&lt;wsp:rsid wsp:val=&quot;0051363C&quot;/&gt;&lt;wsp:rsid wsp:val=&quot;0051372D&quot;/&gt;&lt;wsp:rsid wsp:val=&quot;0051374C&quot;/&gt;&lt;wsp:rsid wsp:val=&quot;00513BE8&quot;/&gt;&lt;wsp:rsid wsp:val=&quot;00513C79&quot;/&gt;&lt;wsp:rsid wsp:val=&quot;00513DBA&quot;/&gt;&lt;wsp:rsid wsp:val=&quot;00514228&quot;/&gt;&lt;wsp:rsid wsp:val=&quot;00514E5D&quot;/&gt;&lt;wsp:rsid wsp:val=&quot;005151F6&quot;/&gt;&lt;wsp:rsid wsp:val=&quot;005154BA&quot;/&gt;&lt;wsp:rsid wsp:val=&quot;00515673&quot;/&gt;&lt;wsp:rsid wsp:val=&quot;005158CD&quot;/&gt;&lt;wsp:rsid wsp:val=&quot;00515A5C&quot;/&gt;&lt;wsp:rsid wsp:val=&quot;00516006&quot;/&gt;&lt;wsp:rsid wsp:val=&quot;0051654E&quot;/&gt;&lt;wsp:rsid wsp:val=&quot;00516F54&quot;/&gt;&lt;wsp:rsid wsp:val=&quot;00516FB9&quot;/&gt;&lt;wsp:rsid wsp:val=&quot;00517056&quot;/&gt;&lt;wsp:rsid wsp:val=&quot;0051738D&quot;/&gt;&lt;wsp:rsid wsp:val=&quot;005177AA&quot;/&gt;&lt;wsp:rsid wsp:val=&quot;00517F51&quot;/&gt;&lt;wsp:rsid wsp:val=&quot;00520168&quot;/&gt;&lt;wsp:rsid wsp:val=&quot;00520389&quot;/&gt;&lt;wsp:rsid wsp:val=&quot;005205D4&quot;/&gt;&lt;wsp:rsid wsp:val=&quot;00520884&quot;/&gt;&lt;wsp:rsid wsp:val=&quot;00520F1C&quot;/&gt;&lt;wsp:rsid wsp:val=&quot;005212C4&quot;/&gt;&lt;wsp:rsid wsp:val=&quot;0052132B&quot;/&gt;&lt;wsp:rsid wsp:val=&quot;005217F1&quot;/&gt;&lt;wsp:rsid wsp:val=&quot;00521DC4&quot;/&gt;&lt;wsp:rsid wsp:val=&quot;00521EC4&quot;/&gt;&lt;wsp:rsid wsp:val=&quot;0052253C&quot;/&gt;&lt;wsp:rsid wsp:val=&quot;00522688&quot;/&gt;&lt;wsp:rsid wsp:val=&quot;00522804&quot;/&gt;&lt;wsp:rsid wsp:val=&quot;00522A82&quot;/&gt;&lt;wsp:rsid wsp:val=&quot;00522FB4&quot;/&gt;&lt;wsp:rsid wsp:val=&quot;00523487&quot;/&gt;&lt;wsp:rsid wsp:val=&quot;005238EC&quot;/&gt;&lt;wsp:rsid wsp:val=&quot;00523D71&quot;/&gt;&lt;wsp:rsid wsp:val=&quot;00523DA4&quot;/&gt;&lt;wsp:rsid wsp:val=&quot;00523EED&quot;/&gt;&lt;wsp:rsid wsp:val=&quot;00523FBF&quot;/&gt;&lt;wsp:rsid wsp:val=&quot;0052442B&quot;/&gt;&lt;wsp:rsid wsp:val=&quot;005245AE&quot;/&gt;&lt;wsp:rsid wsp:val=&quot;005245C6&quot;/&gt;&lt;wsp:rsid wsp:val=&quot;0052478D&quot;/&gt;&lt;wsp:rsid wsp:val=&quot;005247D8&quot;/&gt;&lt;wsp:rsid wsp:val=&quot;00524D49&quot;/&gt;&lt;wsp:rsid wsp:val=&quot;005254BF&quot;/&gt;&lt;wsp:rsid wsp:val=&quot;005255AF&quot;/&gt;&lt;wsp:rsid wsp:val=&quot;00525B54&quot;/&gt;&lt;wsp:rsid wsp:val=&quot;00525E90&quot;/&gt;&lt;wsp:rsid wsp:val=&quot;00525FFB&quot;/&gt;&lt;wsp:rsid wsp:val=&quot;005260A9&quot;/&gt;&lt;wsp:rsid wsp:val=&quot;00526109&quot;/&gt;&lt;wsp:rsid wsp:val=&quot;00526E53&quot;/&gt;&lt;wsp:rsid wsp:val=&quot;00526EDD&quot;/&gt;&lt;wsp:rsid wsp:val=&quot;0052703E&quot;/&gt;&lt;wsp:rsid wsp:val=&quot;00527289&quot;/&gt;&lt;wsp:rsid wsp:val=&quot;00527CBA&quot;/&gt;&lt;wsp:rsid wsp:val=&quot;00530412&quot;/&gt;&lt;wsp:rsid wsp:val=&quot;005308A3&quot;/&gt;&lt;wsp:rsid wsp:val=&quot;00530BAD&quot;/&gt;&lt;wsp:rsid wsp:val=&quot;00530D07&quot;/&gt;&lt;wsp:rsid wsp:val=&quot;005314D2&quot;/&gt;&lt;wsp:rsid wsp:val=&quot;00531A24&quot;/&gt;&lt;wsp:rsid wsp:val=&quot;00532160&quot;/&gt;&lt;wsp:rsid wsp:val=&quot;0053238B&quot;/&gt;&lt;wsp:rsid wsp:val=&quot;00532486&quot;/&gt;&lt;wsp:rsid wsp:val=&quot;005324E5&quot;/&gt;&lt;wsp:rsid wsp:val=&quot;005329A8&quot;/&gt;&lt;wsp:rsid wsp:val=&quot;00532B2A&quot;/&gt;&lt;wsp:rsid wsp:val=&quot;00532F0D&quot;/&gt;&lt;wsp:rsid wsp:val=&quot;0053335A&quot;/&gt;&lt;wsp:rsid wsp:val=&quot;005335C8&quot;/&gt;&lt;wsp:rsid wsp:val=&quot;00533850&quot;/&gt;&lt;wsp:rsid wsp:val=&quot;00533D2B&quot;/&gt;&lt;wsp:rsid wsp:val=&quot;00533E8C&quot;/&gt;&lt;wsp:rsid wsp:val=&quot;00533F94&quot;/&gt;&lt;wsp:rsid wsp:val=&quot;0053419B&quot;/&gt;&lt;wsp:rsid wsp:val=&quot;005348E7&quot;/&gt;&lt;wsp:rsid wsp:val=&quot;00534921&quot;/&gt;&lt;wsp:rsid wsp:val=&quot;00535204&quot;/&gt;&lt;wsp:rsid wsp:val=&quot;00535364&quot;/&gt;&lt;wsp:rsid wsp:val=&quot;00535D15&quot;/&gt;&lt;wsp:rsid wsp:val=&quot;00535E04&quot;/&gt;&lt;wsp:rsid wsp:val=&quot;005367F3&quot;/&gt;&lt;wsp:rsid wsp:val=&quot;005369FC&quot;/&gt;&lt;wsp:rsid wsp:val=&quot;00536BEA&quot;/&gt;&lt;wsp:rsid wsp:val=&quot;0053739E&quot;/&gt;&lt;wsp:rsid wsp:val=&quot;00537593&quot;/&gt;&lt;wsp:rsid wsp:val=&quot;005376AC&quot;/&gt;&lt;wsp:rsid wsp:val=&quot;00537A5E&quot;/&gt;&lt;wsp:rsid wsp:val=&quot;005401B7&quot;/&gt;&lt;wsp:rsid wsp:val=&quot;00540586&quot;/&gt;&lt;wsp:rsid wsp:val=&quot;00540626&quot;/&gt;&lt;wsp:rsid wsp:val=&quot;00540BBF&quot;/&gt;&lt;wsp:rsid wsp:val=&quot;00540BE8&quot;/&gt;&lt;wsp:rsid wsp:val=&quot;00540CAE&quot;/&gt;&lt;wsp:rsid wsp:val=&quot;00541043&quot;/&gt;&lt;wsp:rsid wsp:val=&quot;00541503&quot;/&gt;&lt;wsp:rsid wsp:val=&quot;00541761&quot;/&gt;&lt;wsp:rsid wsp:val=&quot;00542050&quot;/&gt;&lt;wsp:rsid wsp:val=&quot;00542548&quot;/&gt;&lt;wsp:rsid wsp:val=&quot;00542876&quot;/&gt;&lt;wsp:rsid wsp:val=&quot;00542B60&quot;/&gt;&lt;wsp:rsid wsp:val=&quot;00542BD8&quot;/&gt;&lt;wsp:rsid wsp:val=&quot;00542D44&quot;/&gt;&lt;wsp:rsid wsp:val=&quot;00542E9C&quot;/&gt;&lt;wsp:rsid wsp:val=&quot;00543459&quot;/&gt;&lt;wsp:rsid wsp:val=&quot;00543D53&quot;/&gt;&lt;wsp:rsid wsp:val=&quot;00544120&quot;/&gt;&lt;wsp:rsid wsp:val=&quot;00544895&quot;/&gt;&lt;wsp:rsid wsp:val=&quot;005449D5&quot;/&gt;&lt;wsp:rsid wsp:val=&quot;00545012&quot;/&gt;&lt;wsp:rsid wsp:val=&quot;005454FC&quot;/&gt;&lt;wsp:rsid wsp:val=&quot;0054566F&quot;/&gt;&lt;wsp:rsid wsp:val=&quot;00545D06&quot;/&gt;&lt;wsp:rsid wsp:val=&quot;005463E8&quot;/&gt;&lt;wsp:rsid wsp:val=&quot;0054694F&quot;/&gt;&lt;wsp:rsid wsp:val=&quot;0054697A&quot;/&gt;&lt;wsp:rsid wsp:val=&quot;00546AFD&quot;/&gt;&lt;wsp:rsid wsp:val=&quot;005470B2&quot;/&gt;&lt;wsp:rsid wsp:val=&quot;005470DB&quot;/&gt;&lt;wsp:rsid wsp:val=&quot;00547106&quot;/&gt;&lt;wsp:rsid wsp:val=&quot;00547118&quot;/&gt;&lt;wsp:rsid wsp:val=&quot;00547431&quot;/&gt;&lt;wsp:rsid wsp:val=&quot;00550205&quot;/&gt;&lt;wsp:rsid wsp:val=&quot;005505DC&quot;/&gt;&lt;wsp:rsid wsp:val=&quot;0055192F&quot;/&gt;&lt;wsp:rsid wsp:val=&quot;00551A6E&quot;/&gt;&lt;wsp:rsid wsp:val=&quot;00551D09&quot;/&gt;&lt;wsp:rsid wsp:val=&quot;00552BB8&quot;/&gt;&lt;wsp:rsid wsp:val=&quot;0055306C&quot;/&gt;&lt;wsp:rsid wsp:val=&quot;00553144&quot;/&gt;&lt;wsp:rsid wsp:val=&quot;0055338B&quot;/&gt;&lt;wsp:rsid wsp:val=&quot;00553604&quot;/&gt;&lt;wsp:rsid wsp:val=&quot;0055385F&quot;/&gt;&lt;wsp:rsid wsp:val=&quot;005538D9&quot;/&gt;&lt;wsp:rsid wsp:val=&quot;00553D3E&quot;/&gt;&lt;wsp:rsid wsp:val=&quot;00553EE3&quot;/&gt;&lt;wsp:rsid wsp:val=&quot;00554580&quot;/&gt;&lt;wsp:rsid wsp:val=&quot;00555624&quot;/&gt;&lt;wsp:rsid wsp:val=&quot;00555778&quot;/&gt;&lt;wsp:rsid wsp:val=&quot;00555EC6&quot;/&gt;&lt;wsp:rsid wsp:val=&quot;00555F65&quot;/&gt;&lt;wsp:rsid wsp:val=&quot;00555F66&quot;/&gt;&lt;wsp:rsid wsp:val=&quot;0055620C&quot;/&gt;&lt;wsp:rsid wsp:val=&quot;005568E2&quot;/&gt;&lt;wsp:rsid wsp:val=&quot;0055690E&quot;/&gt;&lt;wsp:rsid wsp:val=&quot;00556A1F&quot;/&gt;&lt;wsp:rsid wsp:val=&quot;00556F2D&quot;/&gt;&lt;wsp:rsid wsp:val=&quot;00557440&quot;/&gt;&lt;wsp:rsid wsp:val=&quot;0055764E&quot;/&gt;&lt;wsp:rsid wsp:val=&quot;0055768F&quot;/&gt;&lt;wsp:rsid wsp:val=&quot;005576C2&quot;/&gt;&lt;wsp:rsid wsp:val=&quot;00557B28&quot;/&gt;&lt;wsp:rsid wsp:val=&quot;00557C49&quot;/&gt;&lt;wsp:rsid wsp:val=&quot;0056031D&quot;/&gt;&lt;wsp:rsid wsp:val=&quot;00560FA8&quot;/&gt;&lt;wsp:rsid wsp:val=&quot;005613BC&quot;/&gt;&lt;wsp:rsid wsp:val=&quot;005615A8&quot;/&gt;&lt;wsp:rsid wsp:val=&quot;00561679&quot;/&gt;&lt;wsp:rsid wsp:val=&quot;00561A9F&quot;/&gt;&lt;wsp:rsid wsp:val=&quot;00561DED&quot;/&gt;&lt;wsp:rsid wsp:val=&quot;0056207D&quot;/&gt;&lt;wsp:rsid wsp:val=&quot;00562272&quot;/&gt;&lt;wsp:rsid wsp:val=&quot;00562A2D&quot;/&gt;&lt;wsp:rsid wsp:val=&quot;00562DC4&quot;/&gt;&lt;wsp:rsid wsp:val=&quot;005636B1&quot;/&gt;&lt;wsp:rsid wsp:val=&quot;0056395C&quot;/&gt;&lt;wsp:rsid wsp:val=&quot;00565155&quot;/&gt;&lt;wsp:rsid wsp:val=&quot;00565317&quot;/&gt;&lt;wsp:rsid wsp:val=&quot;00565367&quot;/&gt;&lt;wsp:rsid wsp:val=&quot;00566368&quot;/&gt;&lt;wsp:rsid wsp:val=&quot;005672F9&quot;/&gt;&lt;wsp:rsid wsp:val=&quot;00567EE4&quot;/&gt;&lt;wsp:rsid wsp:val=&quot;00570032&quot;/&gt;&lt;wsp:rsid wsp:val=&quot;0057047D&quot;/&gt;&lt;wsp:rsid wsp:val=&quot;0057049E&quot;/&gt;&lt;wsp:rsid wsp:val=&quot;00570564&quot;/&gt;&lt;wsp:rsid wsp:val=&quot;00570605&quot;/&gt;&lt;wsp:rsid wsp:val=&quot;005708EC&quot;/&gt;&lt;wsp:rsid wsp:val=&quot;00570F63&quot;/&gt;&lt;wsp:rsid wsp:val=&quot;00571270&quot;/&gt;&lt;wsp:rsid wsp:val=&quot;005713CC&quot;/&gt;&lt;wsp:rsid wsp:val=&quot;00571754&quot;/&gt;&lt;wsp:rsid wsp:val=&quot;0057188B&quot;/&gt;&lt;wsp:rsid wsp:val=&quot;00571BC6&quot;/&gt;&lt;wsp:rsid wsp:val=&quot;00571D1F&quot;/&gt;&lt;wsp:rsid wsp:val=&quot;00571D7A&quot;/&gt;&lt;wsp:rsid wsp:val=&quot;00571E3F&quot;/&gt;&lt;wsp:rsid wsp:val=&quot;00571E5F&quot;/&gt;&lt;wsp:rsid wsp:val=&quot;00571F49&quot;/&gt;&lt;wsp:rsid wsp:val=&quot;00572056&quot;/&gt;&lt;wsp:rsid wsp:val=&quot;005723B6&quot;/&gt;&lt;wsp:rsid wsp:val=&quot;00572832&quot;/&gt;&lt;wsp:rsid wsp:val=&quot;00572B81&quot;/&gt;&lt;wsp:rsid wsp:val=&quot;00572F15&quot;/&gt;&lt;wsp:rsid wsp:val=&quot;00573188&quot;/&gt;&lt;wsp:rsid wsp:val=&quot;005732BD&quot;/&gt;&lt;wsp:rsid wsp:val=&quot;005732EA&quot;/&gt;&lt;wsp:rsid wsp:val=&quot;00573331&quot;/&gt;&lt;wsp:rsid wsp:val=&quot;005739FB&quot;/&gt;&lt;wsp:rsid wsp:val=&quot;00573B41&quot;/&gt;&lt;wsp:rsid wsp:val=&quot;00573F1A&quot;/&gt;&lt;wsp:rsid wsp:val=&quot;005745F8&quot;/&gt;&lt;wsp:rsid wsp:val=&quot;0057470C&quot;/&gt;&lt;wsp:rsid wsp:val=&quot;00574866&quot;/&gt;&lt;wsp:rsid wsp:val=&quot;00574B0F&quot;/&gt;&lt;wsp:rsid wsp:val=&quot;00574EE5&quot;/&gt;&lt;wsp:rsid wsp:val=&quot;0057658C&quot;/&gt;&lt;wsp:rsid wsp:val=&quot;00576ACB&quot;/&gt;&lt;wsp:rsid wsp:val=&quot;00576BF4&quot;/&gt;&lt;wsp:rsid wsp:val=&quot;00576E03&quot;/&gt;&lt;wsp:rsid wsp:val=&quot;005770F1&quot;/&gt;&lt;wsp:rsid wsp:val=&quot;0057714E&quot;/&gt;&lt;wsp:rsid wsp:val=&quot;00577559&quot;/&gt;&lt;wsp:rsid wsp:val=&quot;00577699&quot;/&gt;&lt;wsp:rsid wsp:val=&quot;00577EBD&quot;/&gt;&lt;wsp:rsid wsp:val=&quot;00577F10&quot;/&gt;&lt;wsp:rsid wsp:val=&quot;00580790&quot;/&gt;&lt;wsp:rsid wsp:val=&quot;00581446&quot;/&gt;&lt;wsp:rsid wsp:val=&quot;00581A52&quot;/&gt;&lt;wsp:rsid wsp:val=&quot;00581B3D&quot;/&gt;&lt;wsp:rsid wsp:val=&quot;00581EC4&quot;/&gt;&lt;wsp:rsid wsp:val=&quot;00582109&quot;/&gt;&lt;wsp:rsid wsp:val=&quot;00582153&quot;/&gt;&lt;wsp:rsid wsp:val=&quot;005824B7&quot;/&gt;&lt;wsp:rsid wsp:val=&quot;00582F4D&quot;/&gt;&lt;wsp:rsid wsp:val=&quot;00582FF3&quot;/&gt;&lt;wsp:rsid wsp:val=&quot;00583296&quot;/&gt;&lt;wsp:rsid wsp:val=&quot;0058336C&quot;/&gt;&lt;wsp:rsid wsp:val=&quot;005839B5&quot;/&gt;&lt;wsp:rsid wsp:val=&quot;005839C0&quot;/&gt;&lt;wsp:rsid wsp:val=&quot;00583C7E&quot;/&gt;&lt;wsp:rsid wsp:val=&quot;005842BF&quot;/&gt;&lt;wsp:rsid wsp:val=&quot;005845BE&quot;/&gt;&lt;wsp:rsid wsp:val=&quot;005847DF&quot;/&gt;&lt;wsp:rsid wsp:val=&quot;00584A10&quot;/&gt;&lt;wsp:rsid wsp:val=&quot;00584EB7&quot;/&gt;&lt;wsp:rsid wsp:val=&quot;0058558C&quot;/&gt;&lt;wsp:rsid wsp:val=&quot;00585592&quot;/&gt;&lt;wsp:rsid wsp:val=&quot;005868A0&quot;/&gt;&lt;wsp:rsid wsp:val=&quot;00586A23&quot;/&gt;&lt;wsp:rsid wsp:val=&quot;0058793B&quot;/&gt;&lt;wsp:rsid wsp:val=&quot;0059029B&quot;/&gt;&lt;wsp:rsid wsp:val=&quot;005902CD&quot;/&gt;&lt;wsp:rsid wsp:val=&quot;00590911&quot;/&gt;&lt;wsp:rsid wsp:val=&quot;00590AE1&quot;/&gt;&lt;wsp:rsid wsp:val=&quot;00590BAF&quot;/&gt;&lt;wsp:rsid wsp:val=&quot;00590BB7&quot;/&gt;&lt;wsp:rsid wsp:val=&quot;00590E01&quot;/&gt;&lt;wsp:rsid wsp:val=&quot;00591205&quot;/&gt;&lt;wsp:rsid wsp:val=&quot;005912F3&quot;/&gt;&lt;wsp:rsid wsp:val=&quot;005916F8&quot;/&gt;&lt;wsp:rsid wsp:val=&quot;005919FD&quot;/&gt;&lt;wsp:rsid wsp:val=&quot;00591DF6&quot;/&gt;&lt;wsp:rsid wsp:val=&quot;00591DFA&quot;/&gt;&lt;wsp:rsid wsp:val=&quot;00591F1A&quot;/&gt;&lt;wsp:rsid wsp:val=&quot;00591F7F&quot;/&gt;&lt;wsp:rsid wsp:val=&quot;00592164&quot;/&gt;&lt;wsp:rsid wsp:val=&quot;00592648&quot;/&gt;&lt;wsp:rsid wsp:val=&quot;005926E1&quot;/&gt;&lt;wsp:rsid wsp:val=&quot;005928D4&quot;/&gt;&lt;wsp:rsid wsp:val=&quot;00592A64&quot;/&gt;&lt;wsp:rsid wsp:val=&quot;00592AF3&quot;/&gt;&lt;wsp:rsid wsp:val=&quot;00592C7B&quot;/&gt;&lt;wsp:rsid wsp:val=&quot;00592DD6&quot;/&gt;&lt;wsp:rsid wsp:val=&quot;00592E26&quot;/&gt;&lt;wsp:rsid wsp:val=&quot;00593031&quot;/&gt;&lt;wsp:rsid wsp:val=&quot;005931B9&quot;/&gt;&lt;wsp:rsid wsp:val=&quot;00593609&quot;/&gt;&lt;wsp:rsid wsp:val=&quot;00593CE8&quot;/&gt;&lt;wsp:rsid wsp:val=&quot;00593CE9&quot;/&gt;&lt;wsp:rsid wsp:val=&quot;00593F69&quot;/&gt;&lt;wsp:rsid wsp:val=&quot;00594110&quot;/&gt;&lt;wsp:rsid wsp:val=&quot;00594273&quot;/&gt;&lt;wsp:rsid wsp:val=&quot;00594372&quot;/&gt;&lt;wsp:rsid wsp:val=&quot;00594667&quot;/&gt;&lt;wsp:rsid wsp:val=&quot;00594EBD&quot;/&gt;&lt;wsp:rsid wsp:val=&quot;00595156&quot;/&gt;&lt;wsp:rsid wsp:val=&quot;00595C16&quot;/&gt;&lt;wsp:rsid wsp:val=&quot;00595D5A&quot;/&gt;&lt;wsp:rsid wsp:val=&quot;005963B3&quot;/&gt;&lt;wsp:rsid wsp:val=&quot;0059688E&quot;/&gt;&lt;wsp:rsid wsp:val=&quot;005969ED&quot;/&gt;&lt;wsp:rsid wsp:val=&quot;00596DF9&quot;/&gt;&lt;wsp:rsid wsp:val=&quot;00596E70&quot;/&gt;&lt;wsp:rsid wsp:val=&quot;00597124&quot;/&gt;&lt;wsp:rsid wsp:val=&quot;0059756C&quot;/&gt;&lt;wsp:rsid wsp:val=&quot;00597690&quot;/&gt;&lt;wsp:rsid wsp:val=&quot;005A0231&quot;/&gt;&lt;wsp:rsid wsp:val=&quot;005A0669&quot;/&gt;&lt;wsp:rsid wsp:val=&quot;005A0966&quot;/&gt;&lt;wsp:rsid wsp:val=&quot;005A0A0D&quot;/&gt;&lt;wsp:rsid wsp:val=&quot;005A14E9&quot;/&gt;&lt;wsp:rsid wsp:val=&quot;005A1829&quot;/&gt;&lt;wsp:rsid wsp:val=&quot;005A18BC&quot;/&gt;&lt;wsp:rsid wsp:val=&quot;005A2506&quot;/&gt;&lt;wsp:rsid wsp:val=&quot;005A2BCA&quot;/&gt;&lt;wsp:rsid wsp:val=&quot;005A2CAD&quot;/&gt;&lt;wsp:rsid wsp:val=&quot;005A3105&quot;/&gt;&lt;wsp:rsid wsp:val=&quot;005A33B6&quot;/&gt;&lt;wsp:rsid wsp:val=&quot;005A3C70&quot;/&gt;&lt;wsp:rsid wsp:val=&quot;005A3F1B&quot;/&gt;&lt;wsp:rsid wsp:val=&quot;005A45C2&quot;/&gt;&lt;wsp:rsid wsp:val=&quot;005A47A2&quot;/&gt;&lt;wsp:rsid wsp:val=&quot;005A52A5&quot;/&gt;&lt;wsp:rsid wsp:val=&quot;005A5316&quot;/&gt;&lt;wsp:rsid wsp:val=&quot;005A5863&quot;/&gt;&lt;wsp:rsid wsp:val=&quot;005A5C8A&quot;/&gt;&lt;wsp:rsid wsp:val=&quot;005A5FB0&quot;/&gt;&lt;wsp:rsid wsp:val=&quot;005A620B&quot;/&gt;&lt;wsp:rsid wsp:val=&quot;005A6239&quot;/&gt;&lt;wsp:rsid wsp:val=&quot;005A6529&quot;/&gt;&lt;wsp:rsid wsp:val=&quot;005A6600&quot;/&gt;&lt;wsp:rsid wsp:val=&quot;005A6A04&quot;/&gt;&lt;wsp:rsid wsp:val=&quot;005A6CA1&quot;/&gt;&lt;wsp:rsid wsp:val=&quot;005A72AC&quot;/&gt;&lt;wsp:rsid wsp:val=&quot;005A750D&quot;/&gt;&lt;wsp:rsid wsp:val=&quot;005A75BA&quot;/&gt;&lt;wsp:rsid wsp:val=&quot;005A7D99&quot;/&gt;&lt;wsp:rsid wsp:val=&quot;005B013C&quot;/&gt;&lt;wsp:rsid wsp:val=&quot;005B04AD&quot;/&gt;&lt;wsp:rsid wsp:val=&quot;005B081D&quot;/&gt;&lt;wsp:rsid wsp:val=&quot;005B0EBE&quot;/&gt;&lt;wsp:rsid wsp:val=&quot;005B1086&quot;/&gt;&lt;wsp:rsid wsp:val=&quot;005B11F7&quot;/&gt;&lt;wsp:rsid wsp:val=&quot;005B131E&quot;/&gt;&lt;wsp:rsid wsp:val=&quot;005B183A&quot;/&gt;&lt;wsp:rsid wsp:val=&quot;005B185B&quot;/&gt;&lt;wsp:rsid wsp:val=&quot;005B1D53&quot;/&gt;&lt;wsp:rsid wsp:val=&quot;005B1F1D&quot;/&gt;&lt;wsp:rsid wsp:val=&quot;005B1FA9&quot;/&gt;&lt;wsp:rsid wsp:val=&quot;005B2143&quot;/&gt;&lt;wsp:rsid wsp:val=&quot;005B2191&quot;/&gt;&lt;wsp:rsid wsp:val=&quot;005B244A&quot;/&gt;&lt;wsp:rsid wsp:val=&quot;005B25ED&quot;/&gt;&lt;wsp:rsid wsp:val=&quot;005B320A&quot;/&gt;&lt;wsp:rsid wsp:val=&quot;005B3214&quot;/&gt;&lt;wsp:rsid wsp:val=&quot;005B3327&quot;/&gt;&lt;wsp:rsid wsp:val=&quot;005B397B&quot;/&gt;&lt;wsp:rsid wsp:val=&quot;005B3BE3&quot;/&gt;&lt;wsp:rsid wsp:val=&quot;005B4122&quot;/&gt;&lt;wsp:rsid wsp:val=&quot;005B413F&quot;/&gt;&lt;wsp:rsid wsp:val=&quot;005B42EB&quot;/&gt;&lt;wsp:rsid wsp:val=&quot;005B44E7&quot;/&gt;&lt;wsp:rsid wsp:val=&quot;005B45F3&quot;/&gt;&lt;wsp:rsid wsp:val=&quot;005B481E&quot;/&gt;&lt;wsp:rsid wsp:val=&quot;005B485C&quot;/&gt;&lt;wsp:rsid wsp:val=&quot;005B4892&quot;/&gt;&lt;wsp:rsid wsp:val=&quot;005B48F6&quot;/&gt;&lt;wsp:rsid wsp:val=&quot;005B4F08&quot;/&gt;&lt;wsp:rsid wsp:val=&quot;005B522C&quot;/&gt;&lt;wsp:rsid wsp:val=&quot;005B5589&quot;/&gt;&lt;wsp:rsid wsp:val=&quot;005B57A2&quot;/&gt;&lt;wsp:rsid wsp:val=&quot;005B5822&quot;/&gt;&lt;wsp:rsid wsp:val=&quot;005B5B8F&quot;/&gt;&lt;wsp:rsid wsp:val=&quot;005B5F9D&quot;/&gt;&lt;wsp:rsid wsp:val=&quot;005B673C&quot;/&gt;&lt;wsp:rsid wsp:val=&quot;005B6A0A&quot;/&gt;&lt;wsp:rsid wsp:val=&quot;005B74C4&quot;/&gt;&lt;wsp:rsid wsp:val=&quot;005B7A4F&quot;/&gt;&lt;wsp:rsid wsp:val=&quot;005B7C91&quot;/&gt;&lt;wsp:rsid wsp:val=&quot;005C02CF&quot;/&gt;&lt;wsp:rsid wsp:val=&quot;005C02DF&quot;/&gt;&lt;wsp:rsid wsp:val=&quot;005C03F6&quot;/&gt;&lt;wsp:rsid wsp:val=&quot;005C06D2&quot;/&gt;&lt;wsp:rsid wsp:val=&quot;005C08AC&quot;/&gt;&lt;wsp:rsid wsp:val=&quot;005C12D7&quot;/&gt;&lt;wsp:rsid wsp:val=&quot;005C19D6&quot;/&gt;&lt;wsp:rsid wsp:val=&quot;005C1C02&quot;/&gt;&lt;wsp:rsid wsp:val=&quot;005C1C1E&quot;/&gt;&lt;wsp:rsid wsp:val=&quot;005C2151&quot;/&gt;&lt;wsp:rsid wsp:val=&quot;005C21EE&quot;/&gt;&lt;wsp:rsid wsp:val=&quot;005C272C&quot;/&gt;&lt;wsp:rsid wsp:val=&quot;005C2C42&quot;/&gt;&lt;wsp:rsid wsp:val=&quot;005C2C5C&quot;/&gt;&lt;wsp:rsid wsp:val=&quot;005C2EEA&quot;/&gt;&lt;wsp:rsid wsp:val=&quot;005C34B1&quot;/&gt;&lt;wsp:rsid wsp:val=&quot;005C395F&quot;/&gt;&lt;wsp:rsid wsp:val=&quot;005C3978&quot;/&gt;&lt;wsp:rsid wsp:val=&quot;005C3E21&quot;/&gt;&lt;wsp:rsid wsp:val=&quot;005C4186&quot;/&gt;&lt;wsp:rsid wsp:val=&quot;005C435E&quot;/&gt;&lt;wsp:rsid wsp:val=&quot;005C44AC&quot;/&gt;&lt;wsp:rsid wsp:val=&quot;005C45C1&quot;/&gt;&lt;wsp:rsid wsp:val=&quot;005C45D9&quot;/&gt;&lt;wsp:rsid wsp:val=&quot;005C4930&quot;/&gt;&lt;wsp:rsid wsp:val=&quot;005C4978&quot;/&gt;&lt;wsp:rsid wsp:val=&quot;005C4A43&quot;/&gt;&lt;wsp:rsid wsp:val=&quot;005C4D7A&quot;/&gt;&lt;wsp:rsid wsp:val=&quot;005C50FB&quot;/&gt;&lt;wsp:rsid wsp:val=&quot;005C5659&quot;/&gt;&lt;wsp:rsid wsp:val=&quot;005C570F&quot;/&gt;&lt;wsp:rsid wsp:val=&quot;005C5BA8&quot;/&gt;&lt;wsp:rsid wsp:val=&quot;005C600D&quot;/&gt;&lt;wsp:rsid wsp:val=&quot;005C668A&quot;/&gt;&lt;wsp:rsid wsp:val=&quot;005C67B2&quot;/&gt;&lt;wsp:rsid wsp:val=&quot;005C6AB3&quot;/&gt;&lt;wsp:rsid wsp:val=&quot;005C6C39&quot;/&gt;&lt;wsp:rsid wsp:val=&quot;005C6D1C&quot;/&gt;&lt;wsp:rsid wsp:val=&quot;005C6F75&quot;/&gt;&lt;wsp:rsid wsp:val=&quot;005C7013&quot;/&gt;&lt;wsp:rsid wsp:val=&quot;005C712C&quot;/&gt;&lt;wsp:rsid wsp:val=&quot;005C773C&quot;/&gt;&lt;wsp:rsid wsp:val=&quot;005C789A&quot;/&gt;&lt;wsp:rsid wsp:val=&quot;005C7F12&quot;/&gt;&lt;wsp:rsid wsp:val=&quot;005C7F96&quot;/&gt;&lt;wsp:rsid wsp:val=&quot;005D00AC&quot;/&gt;&lt;wsp:rsid wsp:val=&quot;005D021A&quot;/&gt;&lt;wsp:rsid wsp:val=&quot;005D0682&quot;/&gt;&lt;wsp:rsid wsp:val=&quot;005D0A5B&quot;/&gt;&lt;wsp:rsid wsp:val=&quot;005D0AC2&quot;/&gt;&lt;wsp:rsid wsp:val=&quot;005D10A8&quot;/&gt;&lt;wsp:rsid wsp:val=&quot;005D11F2&quot;/&gt;&lt;wsp:rsid wsp:val=&quot;005D1643&quot;/&gt;&lt;wsp:rsid wsp:val=&quot;005D188E&quot;/&gt;&lt;wsp:rsid wsp:val=&quot;005D18E3&quot;/&gt;&lt;wsp:rsid wsp:val=&quot;005D1CB5&quot;/&gt;&lt;wsp:rsid wsp:val=&quot;005D22D8&quot;/&gt;&lt;wsp:rsid wsp:val=&quot;005D2741&quot;/&gt;&lt;wsp:rsid wsp:val=&quot;005D288B&quot;/&gt;&lt;wsp:rsid wsp:val=&quot;005D28B1&quot;/&gt;&lt;wsp:rsid wsp:val=&quot;005D291C&quot;/&gt;&lt;wsp:rsid wsp:val=&quot;005D2A30&quot;/&gt;&lt;wsp:rsid wsp:val=&quot;005D2B9F&quot;/&gt;&lt;wsp:rsid wsp:val=&quot;005D2F6C&quot;/&gt;&lt;wsp:rsid wsp:val=&quot;005D3491&quot;/&gt;&lt;wsp:rsid wsp:val=&quot;005D3C06&quot;/&gt;&lt;wsp:rsid wsp:val=&quot;005D3F4B&quot;/&gt;&lt;wsp:rsid wsp:val=&quot;005D41A4&quot;/&gt;&lt;wsp:rsid wsp:val=&quot;005D4AF4&quot;/&gt;&lt;wsp:rsid wsp:val=&quot;005D4B83&quot;/&gt;&lt;wsp:rsid wsp:val=&quot;005D4BAC&quot;/&gt;&lt;wsp:rsid wsp:val=&quot;005D4CCB&quot;/&gt;&lt;wsp:rsid wsp:val=&quot;005D51AD&quot;/&gt;&lt;wsp:rsid wsp:val=&quot;005D5B11&quot;/&gt;&lt;wsp:rsid wsp:val=&quot;005D5E04&quot;/&gt;&lt;wsp:rsid wsp:val=&quot;005D6865&quot;/&gt;&lt;wsp:rsid wsp:val=&quot;005D68DC&quot;/&gt;&lt;wsp:rsid wsp:val=&quot;005D69CD&quot;/&gt;&lt;wsp:rsid wsp:val=&quot;005D6BF7&quot;/&gt;&lt;wsp:rsid wsp:val=&quot;005D6D08&quot;/&gt;&lt;wsp:rsid wsp:val=&quot;005D6F58&quot;/&gt;&lt;wsp:rsid wsp:val=&quot;005D72C6&quot;/&gt;&lt;wsp:rsid wsp:val=&quot;005D7728&quot;/&gt;&lt;wsp:rsid wsp:val=&quot;005D7B70&quot;/&gt;&lt;wsp:rsid wsp:val=&quot;005D7CF2&quot;/&gt;&lt;wsp:rsid wsp:val=&quot;005E02A5&quot;/&gt;&lt;wsp:rsid wsp:val=&quot;005E066D&quot;/&gt;&lt;wsp:rsid wsp:val=&quot;005E07B0&quot;/&gt;&lt;wsp:rsid wsp:val=&quot;005E08D6&quot;/&gt;&lt;wsp:rsid wsp:val=&quot;005E0C87&quot;/&gt;&lt;wsp:rsid wsp:val=&quot;005E0CB6&quot;/&gt;&lt;wsp:rsid wsp:val=&quot;005E0FB5&quot;/&gt;&lt;wsp:rsid wsp:val=&quot;005E11CF&quot;/&gt;&lt;wsp:rsid wsp:val=&quot;005E12AB&quot;/&gt;&lt;wsp:rsid wsp:val=&quot;005E12B1&quot;/&gt;&lt;wsp:rsid wsp:val=&quot;005E1470&quot;/&gt;&lt;wsp:rsid wsp:val=&quot;005E149E&quot;/&gt;&lt;wsp:rsid wsp:val=&quot;005E1ECD&quot;/&gt;&lt;wsp:rsid wsp:val=&quot;005E20B7&quot;/&gt;&lt;wsp:rsid wsp:val=&quot;005E21CD&quot;/&gt;&lt;wsp:rsid wsp:val=&quot;005E29AA&quot;/&gt;&lt;wsp:rsid wsp:val=&quot;005E2A00&quot;/&gt;&lt;wsp:rsid wsp:val=&quot;005E39B2&quot;/&gt;&lt;wsp:rsid wsp:val=&quot;005E3CC1&quot;/&gt;&lt;wsp:rsid wsp:val=&quot;005E3F77&quot;/&gt;&lt;wsp:rsid wsp:val=&quot;005E44FA&quot;/&gt;&lt;wsp:rsid wsp:val=&quot;005E4AD3&quot;/&gt;&lt;wsp:rsid wsp:val=&quot;005E4FC9&quot;/&gt;&lt;wsp:rsid wsp:val=&quot;005E518D&quot;/&gt;&lt;wsp:rsid wsp:val=&quot;005E51FE&quot;/&gt;&lt;wsp:rsid wsp:val=&quot;005E541D&quot;/&gt;&lt;wsp:rsid wsp:val=&quot;005E6026&quot;/&gt;&lt;wsp:rsid wsp:val=&quot;005E6678&quot;/&gt;&lt;wsp:rsid wsp:val=&quot;005E6805&quot;/&gt;&lt;wsp:rsid wsp:val=&quot;005E6B35&quot;/&gt;&lt;wsp:rsid wsp:val=&quot;005E6D87&quot;/&gt;&lt;wsp:rsid wsp:val=&quot;005E718A&quot;/&gt;&lt;wsp:rsid wsp:val=&quot;005E7278&quot;/&gt;&lt;wsp:rsid wsp:val=&quot;005E73B5&quot;/&gt;&lt;wsp:rsid wsp:val=&quot;005E7724&quot;/&gt;&lt;wsp:rsid wsp:val=&quot;005E7753&quot;/&gt;&lt;wsp:rsid wsp:val=&quot;005E780A&quot;/&gt;&lt;wsp:rsid wsp:val=&quot;005E7D5E&quot;/&gt;&lt;wsp:rsid wsp:val=&quot;005E7F26&quot;/&gt;&lt;wsp:rsid wsp:val=&quot;005E7F7D&quot;/&gt;&lt;wsp:rsid wsp:val=&quot;005E7FCC&quot;/&gt;&lt;wsp:rsid wsp:val=&quot;005F0579&quot;/&gt;&lt;wsp:rsid wsp:val=&quot;005F0589&quot;/&gt;&lt;wsp:rsid wsp:val=&quot;005F092D&quot;/&gt;&lt;wsp:rsid wsp:val=&quot;005F09C4&quot;/&gt;&lt;wsp:rsid wsp:val=&quot;005F0A2B&quot;/&gt;&lt;wsp:rsid wsp:val=&quot;005F1406&quot;/&gt;&lt;wsp:rsid wsp:val=&quot;005F1444&quot;/&gt;&lt;wsp:rsid wsp:val=&quot;005F19EB&quot;/&gt;&lt;wsp:rsid wsp:val=&quot;005F1DBA&quot;/&gt;&lt;wsp:rsid wsp:val=&quot;005F21C6&quot;/&gt;&lt;wsp:rsid wsp:val=&quot;005F2240&quot;/&gt;&lt;wsp:rsid wsp:val=&quot;005F2482&quot;/&gt;&lt;wsp:rsid wsp:val=&quot;005F2843&quot;/&gt;&lt;wsp:rsid wsp:val=&quot;005F3A48&quot;/&gt;&lt;wsp:rsid wsp:val=&quot;005F3B32&quot;/&gt;&lt;wsp:rsid wsp:val=&quot;005F3CE2&quot;/&gt;&lt;wsp:rsid wsp:val=&quot;005F4064&quot;/&gt;&lt;wsp:rsid wsp:val=&quot;005F4875&quot;/&gt;&lt;wsp:rsid wsp:val=&quot;005F531B&quot;/&gt;&lt;wsp:rsid wsp:val=&quot;005F5794&quot;/&gt;&lt;wsp:rsid wsp:val=&quot;005F5E3B&quot;/&gt;&lt;wsp:rsid wsp:val=&quot;005F66D2&quot;/&gt;&lt;wsp:rsid wsp:val=&quot;005F6859&quot;/&gt;&lt;wsp:rsid wsp:val=&quot;005F6AC9&quot;/&gt;&lt;wsp:rsid wsp:val=&quot;005F6B62&quot;/&gt;&lt;wsp:rsid wsp:val=&quot;005F714D&quot;/&gt;&lt;wsp:rsid wsp:val=&quot;005F7208&quot;/&gt;&lt;wsp:rsid wsp:val=&quot;005F7655&quot;/&gt;&lt;wsp:rsid wsp:val=&quot;005F78C9&quot;/&gt;&lt;wsp:rsid wsp:val=&quot;005F78DB&quot;/&gt;&lt;wsp:rsid wsp:val=&quot;005F79CA&quot;/&gt;&lt;wsp:rsid wsp:val=&quot;005F7A86&quot;/&gt;&lt;wsp:rsid wsp:val=&quot;005F7CC1&quot;/&gt;&lt;wsp:rsid wsp:val=&quot;00600930&quot;/&gt;&lt;wsp:rsid wsp:val=&quot;00600950&quot;/&gt;&lt;wsp:rsid wsp:val=&quot;00600A18&quot;/&gt;&lt;wsp:rsid wsp:val=&quot;00600BCC&quot;/&gt;&lt;wsp:rsid wsp:val=&quot;006013E0&quot;/&gt;&lt;wsp:rsid wsp:val=&quot;006016CC&quot;/&gt;&lt;wsp:rsid wsp:val=&quot;006017A0&quot;/&gt;&lt;wsp:rsid wsp:val=&quot;00601803&quot;/&gt;&lt;wsp:rsid wsp:val=&quot;00601E47&quot;/&gt;&lt;wsp:rsid wsp:val=&quot;0060215F&quot;/&gt;&lt;wsp:rsid wsp:val=&quot;00602662&quot;/&gt;&lt;wsp:rsid wsp:val=&quot;00602692&quot;/&gt;&lt;wsp:rsid wsp:val=&quot;00602DBF&quot;/&gt;&lt;wsp:rsid wsp:val=&quot;0060343D&quot;/&gt;&lt;wsp:rsid wsp:val=&quot;00603443&quot;/&gt;&lt;wsp:rsid wsp:val=&quot;0060380F&quot;/&gt;&lt;wsp:rsid wsp:val=&quot;00603D72&quot;/&gt;&lt;wsp:rsid wsp:val=&quot;006041F4&quot;/&gt;&lt;wsp:rsid wsp:val=&quot;00604A70&quot;/&gt;&lt;wsp:rsid wsp:val=&quot;00604F77&quot;/&gt;&lt;wsp:rsid wsp:val=&quot;00605312&quot;/&gt;&lt;wsp:rsid wsp:val=&quot;006053FA&quot;/&gt;&lt;wsp:rsid wsp:val=&quot;00605497&quot;/&gt;&lt;wsp:rsid wsp:val=&quot;0060579C&quot;/&gt;&lt;wsp:rsid wsp:val=&quot;0060599D&quot;/&gt;&lt;wsp:rsid wsp:val=&quot;00605AC6&quot;/&gt;&lt;wsp:rsid wsp:val=&quot;00605F21&quot;/&gt;&lt;wsp:rsid wsp:val=&quot;00605FD5&quot;/&gt;&lt;wsp:rsid wsp:val=&quot;00606495&quot;/&gt;&lt;wsp:rsid wsp:val=&quot;0060692A&quot;/&gt;&lt;wsp:rsid wsp:val=&quot;00606C67&quot;/&gt;&lt;wsp:rsid wsp:val=&quot;00606D91&quot;/&gt;&lt;wsp:rsid wsp:val=&quot;00606EE9&quot;/&gt;&lt;wsp:rsid wsp:val=&quot;006071F8&quot;/&gt;&lt;wsp:rsid wsp:val=&quot;0060750E&quot;/&gt;&lt;wsp:rsid wsp:val=&quot;0060760E&quot;/&gt;&lt;wsp:rsid wsp:val=&quot;00607D2A&quot;/&gt;&lt;wsp:rsid wsp:val=&quot;006104A0&quot;/&gt;&lt;wsp:rsid wsp:val=&quot;006104C4&quot;/&gt;&lt;wsp:rsid wsp:val=&quot;00610B4F&quot;/&gt;&lt;wsp:rsid wsp:val=&quot;00610B60&quot;/&gt;&lt;wsp:rsid wsp:val=&quot;00610DED&quot;/&gt;&lt;wsp:rsid wsp:val=&quot;006110B1&quot;/&gt;&lt;wsp:rsid wsp:val=&quot;006117EC&quot;/&gt;&lt;wsp:rsid wsp:val=&quot;006119F6&quot;/&gt;&lt;wsp:rsid wsp:val=&quot;00611AD8&quot;/&gt;&lt;wsp:rsid wsp:val=&quot;00611BE2&quot;/&gt;&lt;wsp:rsid wsp:val=&quot;00611D1C&quot;/&gt;&lt;wsp:rsid wsp:val=&quot;00611FBB&quot;/&gt;&lt;wsp:rsid wsp:val=&quot;0061247F&quot;/&gt;&lt;wsp:rsid wsp:val=&quot;00612698&quot;/&gt;&lt;wsp:rsid wsp:val=&quot;00612D04&quot;/&gt;&lt;wsp:rsid wsp:val=&quot;00612D9D&quot;/&gt;&lt;wsp:rsid wsp:val=&quot;00612F3C&quot;/&gt;&lt;wsp:rsid wsp:val=&quot;00613568&quot;/&gt;&lt;wsp:rsid wsp:val=&quot;00613A58&quot;/&gt;&lt;wsp:rsid wsp:val=&quot;00614164&quot;/&gt;&lt;wsp:rsid wsp:val=&quot;00614DB8&quot;/&gt;&lt;wsp:rsid wsp:val=&quot;0061523E&quot;/&gt;&lt;wsp:rsid wsp:val=&quot;006155C4&quot;/&gt;&lt;wsp:rsid wsp:val=&quot;006157DD&quot;/&gt;&lt;wsp:rsid wsp:val=&quot;00615934&quot;/&gt;&lt;wsp:rsid wsp:val=&quot;0061673B&quot;/&gt;&lt;wsp:rsid wsp:val=&quot;0061748C&quot;/&gt;&lt;wsp:rsid wsp:val=&quot;006175A1&quot;/&gt;&lt;wsp:rsid wsp:val=&quot;00617905&quot;/&gt;&lt;wsp:rsid wsp:val=&quot;0062018E&quot;/&gt;&lt;wsp:rsid wsp:val=&quot;0062025C&quot;/&gt;&lt;wsp:rsid wsp:val=&quot;0062098F&quot;/&gt;&lt;wsp:rsid wsp:val=&quot;006209F6&quot;/&gt;&lt;wsp:rsid wsp:val=&quot;00620B1B&quot;/&gt;&lt;wsp:rsid wsp:val=&quot;0062139E&quot;/&gt;&lt;wsp:rsid wsp:val=&quot;00621405&quot;/&gt;&lt;wsp:rsid wsp:val=&quot;00621469&quot;/&gt;&lt;wsp:rsid wsp:val=&quot;006217A3&quot;/&gt;&lt;wsp:rsid wsp:val=&quot;00621D04&quot;/&gt;&lt;wsp:rsid wsp:val=&quot;00621EF6&quot;/&gt;&lt;wsp:rsid wsp:val=&quot;0062218E&quot;/&gt;&lt;wsp:rsid wsp:val=&quot;006223C5&quot;/&gt;&lt;wsp:rsid wsp:val=&quot;006226D9&quot;/&gt;&lt;wsp:rsid wsp:val=&quot;006227A3&quot;/&gt;&lt;wsp:rsid wsp:val=&quot;00622857&quot;/&gt;&lt;wsp:rsid wsp:val=&quot;00622DDC&quot;/&gt;&lt;wsp:rsid wsp:val=&quot;00622F55&quot;/&gt;&lt;wsp:rsid wsp:val=&quot;0062392F&quot;/&gt;&lt;wsp:rsid wsp:val=&quot;00623AEA&quot;/&gt;&lt;wsp:rsid wsp:val=&quot;00623EF3&quot;/&gt;&lt;wsp:rsid wsp:val=&quot;0062407A&quot;/&gt;&lt;wsp:rsid wsp:val=&quot;006242F0&quot;/&gt;&lt;wsp:rsid wsp:val=&quot;006243EC&quot;/&gt;&lt;wsp:rsid wsp:val=&quot;006245DD&quot;/&gt;&lt;wsp:rsid wsp:val=&quot;00624D61&quot;/&gt;&lt;wsp:rsid wsp:val=&quot;00624FA7&quot;/&gt;&lt;wsp:rsid wsp:val=&quot;0062577F&quot;/&gt;&lt;wsp:rsid wsp:val=&quot;006259EC&quot;/&gt;&lt;wsp:rsid wsp:val=&quot;00625B1E&quot;/&gt;&lt;wsp:rsid wsp:val=&quot;00625CD1&quot;/&gt;&lt;wsp:rsid wsp:val=&quot;0062612E&quot;/&gt;&lt;wsp:rsid wsp:val=&quot;0062615D&quot;/&gt;&lt;wsp:rsid wsp:val=&quot;00626276&quot;/&gt;&lt;wsp:rsid wsp:val=&quot;006264D5&quot;/&gt;&lt;wsp:rsid wsp:val=&quot;0062667D&quot;/&gt;&lt;wsp:rsid wsp:val=&quot;006267E9&quot;/&gt;&lt;wsp:rsid wsp:val=&quot;00626876&quot;/&gt;&lt;wsp:rsid wsp:val=&quot;00626F72&quot;/&gt;&lt;wsp:rsid wsp:val=&quot;00626FE3&quot;/&gt;&lt;wsp:rsid wsp:val=&quot;006270E2&quot;/&gt;&lt;wsp:rsid wsp:val=&quot;0062713D&quot;/&gt;&lt;wsp:rsid wsp:val=&quot;00627332&quot;/&gt;&lt;wsp:rsid wsp:val=&quot;006278BC&quot;/&gt;&lt;wsp:rsid wsp:val=&quot;00627A09&quot;/&gt;&lt;wsp:rsid wsp:val=&quot;00627DE4&quot;/&gt;&lt;wsp:rsid wsp:val=&quot;006300A5&quot;/&gt;&lt;wsp:rsid wsp:val=&quot;0063069B&quot;/&gt;&lt;wsp:rsid wsp:val=&quot;00630CE0&quot;/&gt;&lt;wsp:rsid wsp:val=&quot;00631241&quot;/&gt;&lt;wsp:rsid wsp:val=&quot;00631489&quot;/&gt;&lt;wsp:rsid wsp:val=&quot;00631D68&quot;/&gt;&lt;wsp:rsid wsp:val=&quot;0063235E&quot;/&gt;&lt;wsp:rsid wsp:val=&quot;00632421&quot;/&gt;&lt;wsp:rsid wsp:val=&quot;00632AE3&quot;/&gt;&lt;wsp:rsid wsp:val=&quot;00632D4E&quot;/&gt;&lt;wsp:rsid wsp:val=&quot;0063345C&quot;/&gt;&lt;wsp:rsid wsp:val=&quot;00633EC5&quot;/&gt;&lt;wsp:rsid wsp:val=&quot;00634545&quot;/&gt;&lt;wsp:rsid wsp:val=&quot;00635069&quot;/&gt;&lt;wsp:rsid wsp:val=&quot;006350B5&quot;/&gt;&lt;wsp:rsid wsp:val=&quot;0063528A&quot;/&gt;&lt;wsp:rsid wsp:val=&quot;0063595F&quot;/&gt;&lt;wsp:rsid wsp:val=&quot;0063596B&quot;/&gt;&lt;wsp:rsid wsp:val=&quot;00635AB7&quot;/&gt;&lt;wsp:rsid wsp:val=&quot;00635EFC&quot;/&gt;&lt;wsp:rsid wsp:val=&quot;00635F4D&quot;/&gt;&lt;wsp:rsid wsp:val=&quot;006360FC&quot;/&gt;&lt;wsp:rsid wsp:val=&quot;006363B0&quot;/&gt;&lt;wsp:rsid wsp:val=&quot;0063654F&quot;/&gt;&lt;wsp:rsid wsp:val=&quot;006369F7&quot;/&gt;&lt;wsp:rsid wsp:val=&quot;00636BE0&quot;/&gt;&lt;wsp:rsid wsp:val=&quot;0063749D&quot;/&gt;&lt;wsp:rsid wsp:val=&quot;0063771D&quot;/&gt;&lt;wsp:rsid wsp:val=&quot;0063795F&quot;/&gt;&lt;wsp:rsid wsp:val=&quot;00637F48&quot;/&gt;&lt;wsp:rsid wsp:val=&quot;00640631&quot;/&gt;&lt;wsp:rsid wsp:val=&quot;00640A8C&quot;/&gt;&lt;wsp:rsid wsp:val=&quot;00640D8C&quot;/&gt;&lt;wsp:rsid wsp:val=&quot;00641490&quot;/&gt;&lt;wsp:rsid wsp:val=&quot;0064184F&quot;/&gt;&lt;wsp:rsid wsp:val=&quot;00641B62&quot;/&gt;&lt;wsp:rsid wsp:val=&quot;00641E49&quot;/&gt;&lt;wsp:rsid wsp:val=&quot;006420AF&quot;/&gt;&lt;wsp:rsid wsp:val=&quot;00642223&quot;/&gt;&lt;wsp:rsid wsp:val=&quot;0064262B&quot;/&gt;&lt;wsp:rsid wsp:val=&quot;00642A27&quot;/&gt;&lt;wsp:rsid wsp:val=&quot;00642B8A&quot;/&gt;&lt;wsp:rsid wsp:val=&quot;00642ECC&quot;/&gt;&lt;wsp:rsid wsp:val=&quot;006431C3&quot;/&gt;&lt;wsp:rsid wsp:val=&quot;006431DB&quot;/&gt;&lt;wsp:rsid wsp:val=&quot;00643392&quot;/&gt;&lt;wsp:rsid wsp:val=&quot;00643447&quot;/&gt;&lt;wsp:rsid wsp:val=&quot;00643462&quot;/&gt;&lt;wsp:rsid wsp:val=&quot;006437F1&quot;/&gt;&lt;wsp:rsid wsp:val=&quot;00643E5F&quot;/&gt;&lt;wsp:rsid wsp:val=&quot;00643F90&quot;/&gt;&lt;wsp:rsid wsp:val=&quot;0064437A&quot;/&gt;&lt;wsp:rsid wsp:val=&quot;00644513&quot;/&gt;&lt;wsp:rsid wsp:val=&quot;00644784&quot;/&gt;&lt;wsp:rsid wsp:val=&quot;00644BFD&quot;/&gt;&lt;wsp:rsid wsp:val=&quot;00645728&quot;/&gt;&lt;wsp:rsid wsp:val=&quot;00645C8E&quot;/&gt;&lt;wsp:rsid wsp:val=&quot;00645FC2&quot;/&gt;&lt;wsp:rsid wsp:val=&quot;00646136&quot;/&gt;&lt;wsp:rsid wsp:val=&quot;0064614D&quot;/&gt;&lt;wsp:rsid wsp:val=&quot;00646159&quot;/&gt;&lt;wsp:rsid wsp:val=&quot;00646ADF&quot;/&gt;&lt;wsp:rsid wsp:val=&quot;00646E98&quot;/&gt;&lt;wsp:rsid wsp:val=&quot;006470E8&quot;/&gt;&lt;wsp:rsid wsp:val=&quot;006471AA&quot;/&gt;&lt;wsp:rsid wsp:val=&quot;0064762B&quot;/&gt;&lt;wsp:rsid wsp:val=&quot;006479FB&quot;/&gt;&lt;wsp:rsid wsp:val=&quot;00647F4E&quot;/&gt;&lt;wsp:rsid wsp:val=&quot;00650673&quot;/&gt;&lt;wsp:rsid wsp:val=&quot;006507BF&quot;/&gt;&lt;wsp:rsid wsp:val=&quot;006509FC&quot;/&gt;&lt;wsp:rsid wsp:val=&quot;00650D4F&quot;/&gt;&lt;wsp:rsid wsp:val=&quot;00650E1F&quot;/&gt;&lt;wsp:rsid wsp:val=&quot;00650F51&quot;/&gt;&lt;wsp:rsid wsp:val=&quot;006510CD&quot;/&gt;&lt;wsp:rsid wsp:val=&quot;00651160&quot;/&gt;&lt;wsp:rsid wsp:val=&quot;0065129C&quot;/&gt;&lt;wsp:rsid wsp:val=&quot;0065174F&quot;/&gt;&lt;wsp:rsid wsp:val=&quot;00651803&quot;/&gt;&lt;wsp:rsid wsp:val=&quot;00651979&quot;/&gt;&lt;wsp:rsid wsp:val=&quot;00651A8A&quot;/&gt;&lt;wsp:rsid wsp:val=&quot;00652017&quot;/&gt;&lt;wsp:rsid wsp:val=&quot;0065251B&quot;/&gt;&lt;wsp:rsid wsp:val=&quot;00652ADE&quot;/&gt;&lt;wsp:rsid wsp:val=&quot;0065368B&quot;/&gt;&lt;wsp:rsid wsp:val=&quot;006537C8&quot;/&gt;&lt;wsp:rsid wsp:val=&quot;00653AEB&quot;/&gt;&lt;wsp:rsid wsp:val=&quot;00654161&quot;/&gt;&lt;wsp:rsid wsp:val=&quot;006543DB&quot;/&gt;&lt;wsp:rsid wsp:val=&quot;00654CE5&quot;/&gt;&lt;wsp:rsid wsp:val=&quot;00654D86&quot;/&gt;&lt;wsp:rsid wsp:val=&quot;006551F9&quot;/&gt;&lt;wsp:rsid wsp:val=&quot;0065540E&quot;/&gt;&lt;wsp:rsid wsp:val=&quot;006559B0&quot;/&gt;&lt;wsp:rsid wsp:val=&quot;006561C5&quot;/&gt;&lt;wsp:rsid wsp:val=&quot;0065623A&quot;/&gt;&lt;wsp:rsid wsp:val=&quot;00656A16&quot;/&gt;&lt;wsp:rsid wsp:val=&quot;00656C07&quot;/&gt;&lt;wsp:rsid wsp:val=&quot;00657224&quot;/&gt;&lt;wsp:rsid wsp:val=&quot;00657298&quot;/&gt;&lt;wsp:rsid wsp:val=&quot;00657E13&quot;/&gt;&lt;wsp:rsid wsp:val=&quot;00660129&quot;/&gt;&lt;wsp:rsid wsp:val=&quot;006602A5&quot;/&gt;&lt;wsp:rsid wsp:val=&quot;00660EA0&quot;/&gt;&lt;wsp:rsid wsp:val=&quot;00660EB5&quot;/&gt;&lt;wsp:rsid wsp:val=&quot;00660F1A&quot;/&gt;&lt;wsp:rsid wsp:val=&quot;00661281&quot;/&gt;&lt;wsp:rsid wsp:val=&quot;006614BB&quot;/&gt;&lt;wsp:rsid wsp:val=&quot;00661BAE&quot;/&gt;&lt;wsp:rsid wsp:val=&quot;00661D4C&quot;/&gt;&lt;wsp:rsid wsp:val=&quot;00661F6A&quot;/&gt;&lt;wsp:rsid wsp:val=&quot;00662647&quot;/&gt;&lt;wsp:rsid wsp:val=&quot;006627B8&quot;/&gt;&lt;wsp:rsid wsp:val=&quot;00662857&quot;/&gt;&lt;wsp:rsid wsp:val=&quot;00662971&quot;/&gt;&lt;wsp:rsid wsp:val=&quot;00662B06&quot;/&gt;&lt;wsp:rsid wsp:val=&quot;00662FAB&quot;/&gt;&lt;wsp:rsid wsp:val=&quot;006632F3&quot;/&gt;&lt;wsp:rsid wsp:val=&quot;006638BE&quot;/&gt;&lt;wsp:rsid wsp:val=&quot;00663B1D&quot;/&gt;&lt;wsp:rsid wsp:val=&quot;00663C31&quot;/&gt;&lt;wsp:rsid wsp:val=&quot;00663C78&quot;/&gt;&lt;wsp:rsid wsp:val=&quot;00663F87&quot;/&gt;&lt;wsp:rsid wsp:val=&quot;00663FF8&quot;/&gt;&lt;wsp:rsid wsp:val=&quot;00664239&quot;/&gt;&lt;wsp:rsid wsp:val=&quot;006642D3&quot;/&gt;&lt;wsp:rsid wsp:val=&quot;006648F8&quot;/&gt;&lt;wsp:rsid wsp:val=&quot;00664930&quot;/&gt;&lt;wsp:rsid wsp:val=&quot;00664A22&quot;/&gt;&lt;wsp:rsid wsp:val=&quot;00664AF8&quot;/&gt;&lt;wsp:rsid wsp:val=&quot;00665012&quot;/&gt;&lt;wsp:rsid wsp:val=&quot;006651FC&quot;/&gt;&lt;wsp:rsid wsp:val=&quot;00665343&quot;/&gt;&lt;wsp:rsid wsp:val=&quot;006655AD&quot;/&gt;&lt;wsp:rsid wsp:val=&quot;006659B7&quot;/&gt;&lt;wsp:rsid wsp:val=&quot;00665B99&quot;/&gt;&lt;wsp:rsid wsp:val=&quot;00666106&quot;/&gt;&lt;wsp:rsid wsp:val=&quot;006662AF&quot;/&gt;&lt;wsp:rsid wsp:val=&quot;0066679D&quot;/&gt;&lt;wsp:rsid wsp:val=&quot;00666B4F&quot;/&gt;&lt;wsp:rsid wsp:val=&quot;00666FA8&quot;/&gt;&lt;wsp:rsid wsp:val=&quot;00667403&quot;/&gt;&lt;wsp:rsid wsp:val=&quot;0066746B&quot;/&gt;&lt;wsp:rsid wsp:val=&quot;006676C5&quot;/&gt;&lt;wsp:rsid wsp:val=&quot;00667AA9&quot;/&gt;&lt;wsp:rsid wsp:val=&quot;00670520&quot;/&gt;&lt;wsp:rsid wsp:val=&quot;006706ED&quot;/&gt;&lt;wsp:rsid wsp:val=&quot;00670865&quot;/&gt;&lt;wsp:rsid wsp:val=&quot;006709EE&quot;/&gt;&lt;wsp:rsid wsp:val=&quot;00670FD3&quot;/&gt;&lt;wsp:rsid wsp:val=&quot;006711C3&quot;/&gt;&lt;wsp:rsid wsp:val=&quot;006714A8&quot;/&gt;&lt;wsp:rsid wsp:val=&quot;006715FA&quot;/&gt;&lt;wsp:rsid wsp:val=&quot;006717A7&quot;/&gt;&lt;wsp:rsid wsp:val=&quot;00671BEC&quot;/&gt;&lt;wsp:rsid wsp:val=&quot;00671C9B&quot;/&gt;&lt;wsp:rsid wsp:val=&quot;00671D4A&quot;/&gt;&lt;wsp:rsid wsp:val=&quot;00672310&quot;/&gt;&lt;wsp:rsid wsp:val=&quot;006723C1&quot;/&gt;&lt;wsp:rsid wsp:val=&quot;006726C5&quot;/&gt;&lt;wsp:rsid wsp:val=&quot;006728DA&quot;/&gt;&lt;wsp:rsid wsp:val=&quot;00672995&quot;/&gt;&lt;wsp:rsid wsp:val=&quot;00672ADD&quot;/&gt;&lt;wsp:rsid wsp:val=&quot;00672BA9&quot;/&gt;&lt;wsp:rsid wsp:val=&quot;00672CCB&quot;/&gt;&lt;wsp:rsid wsp:val=&quot;00672CF8&quot;/&gt;&lt;wsp:rsid wsp:val=&quot;00673040&quot;/&gt;&lt;wsp:rsid wsp:val=&quot;00673567&quot;/&gt;&lt;wsp:rsid wsp:val=&quot;00673DF6&quot;/&gt;&lt;wsp:rsid wsp:val=&quot;00673E3B&quot;/&gt;&lt;wsp:rsid wsp:val=&quot;00673EFD&quot;/&gt;&lt;wsp:rsid wsp:val=&quot;006741C6&quot;/&gt;&lt;wsp:rsid wsp:val=&quot;006742EE&quot;/&gt;&lt;wsp:rsid wsp:val=&quot;006746B9&quot;/&gt;&lt;wsp:rsid wsp:val=&quot;006746BC&quot;/&gt;&lt;wsp:rsid wsp:val=&quot;0067497C&quot;/&gt;&lt;wsp:rsid wsp:val=&quot;006749ED&quot;/&gt;&lt;wsp:rsid wsp:val=&quot;0067515D&quot;/&gt;&lt;wsp:rsid wsp:val=&quot;0067517C&quot;/&gt;&lt;wsp:rsid wsp:val=&quot;0067575D&quot;/&gt;&lt;wsp:rsid wsp:val=&quot;00675FE0&quot;/&gt;&lt;wsp:rsid wsp:val=&quot;00676050&quot;/&gt;&lt;wsp:rsid wsp:val=&quot;006763A3&quot;/&gt;&lt;wsp:rsid wsp:val=&quot;00676663&quot;/&gt;&lt;wsp:rsid wsp:val=&quot;006766B7&quot;/&gt;&lt;wsp:rsid wsp:val=&quot;006768A4&quot;/&gt;&lt;wsp:rsid wsp:val=&quot;00676C34&quot;/&gt;&lt;wsp:rsid wsp:val=&quot;00676E60&quot;/&gt;&lt;wsp:rsid wsp:val=&quot;00677122&quot;/&gt;&lt;wsp:rsid wsp:val=&quot;0067743C&quot;/&gt;&lt;wsp:rsid wsp:val=&quot;006779D8&quot;/&gt;&lt;wsp:rsid wsp:val=&quot;00677A34&quot;/&gt;&lt;wsp:rsid wsp:val=&quot;00677B37&quot;/&gt;&lt;wsp:rsid wsp:val=&quot;00677DEB&quot;/&gt;&lt;wsp:rsid wsp:val=&quot;00680488&quot;/&gt;&lt;wsp:rsid wsp:val=&quot;00680574&quot;/&gt;&lt;wsp:rsid wsp:val=&quot;006805C0&quot;/&gt;&lt;wsp:rsid wsp:val=&quot;00680663&quot;/&gt;&lt;wsp:rsid wsp:val=&quot;00680F3C&quot;/&gt;&lt;wsp:rsid wsp:val=&quot;0068127D&quot;/&gt;&lt;wsp:rsid wsp:val=&quot;00681DBF&quot;/&gt;&lt;wsp:rsid wsp:val=&quot;00682184&quot;/&gt;&lt;wsp:rsid wsp:val=&quot;006829F2&quot;/&gt;&lt;wsp:rsid wsp:val=&quot;0068310B&quot;/&gt;&lt;wsp:rsid wsp:val=&quot;00683281&quot;/&gt;&lt;wsp:rsid wsp:val=&quot;0068357D&quot;/&gt;&lt;wsp:rsid wsp:val=&quot;006835C7&quot;/&gt;&lt;wsp:rsid wsp:val=&quot;00683A27&quot;/&gt;&lt;wsp:rsid wsp:val=&quot;00683AB8&quot;/&gt;&lt;wsp:rsid wsp:val=&quot;00684040&quot;/&gt;&lt;wsp:rsid wsp:val=&quot;0068404B&quot;/&gt;&lt;wsp:rsid wsp:val=&quot;0068405C&quot;/&gt;&lt;wsp:rsid wsp:val=&quot;006841EF&quot;/&gt;&lt;wsp:rsid wsp:val=&quot;006843AB&quot;/&gt;&lt;wsp:rsid wsp:val=&quot;0068457A&quot;/&gt;&lt;wsp:rsid wsp:val=&quot;0068460D&quot;/&gt;&lt;wsp:rsid wsp:val=&quot;0068515F&quot;/&gt;&lt;wsp:rsid wsp:val=&quot;00685188&quot;/&gt;&lt;wsp:rsid wsp:val=&quot;006858CE&quot;/&gt;&lt;wsp:rsid wsp:val=&quot;006859F6&quot;/&gt;&lt;wsp:rsid wsp:val=&quot;00685E06&quot;/&gt;&lt;wsp:rsid wsp:val=&quot;00686281&quot;/&gt;&lt;wsp:rsid wsp:val=&quot;006862C0&quot;/&gt;&lt;wsp:rsid wsp:val=&quot;006862CD&quot;/&gt;&lt;wsp:rsid wsp:val=&quot;00686434&quot;/&gt;&lt;wsp:rsid wsp:val=&quot;00686967&quot;/&gt;&lt;wsp:rsid wsp:val=&quot;00686DF4&quot;/&gt;&lt;wsp:rsid wsp:val=&quot;00686EE2&quot;/&gt;&lt;wsp:rsid wsp:val=&quot;006872CF&quot;/&gt;&lt;wsp:rsid wsp:val=&quot;00687A8A&quot;/&gt;&lt;wsp:rsid wsp:val=&quot;00687BB3&quot;/&gt;&lt;wsp:rsid wsp:val=&quot;00687DDA&quot;/&gt;&lt;wsp:rsid wsp:val=&quot;00687F39&quot;/&gt;&lt;wsp:rsid wsp:val=&quot;006903A9&quot;/&gt;&lt;wsp:rsid wsp:val=&quot;00690466&quot;/&gt;&lt;wsp:rsid wsp:val=&quot;00690684&quot;/&gt;&lt;wsp:rsid wsp:val=&quot;00690D12&quot;/&gt;&lt;wsp:rsid wsp:val=&quot;00691069&quot;/&gt;&lt;wsp:rsid wsp:val=&quot;00691498&quot;/&gt;&lt;wsp:rsid wsp:val=&quot;0069193D&quot;/&gt;&lt;wsp:rsid wsp:val=&quot;00691A80&quot;/&gt;&lt;wsp:rsid wsp:val=&quot;00692016&quot;/&gt;&lt;wsp:rsid wsp:val=&quot;006922A3&quot;/&gt;&lt;wsp:rsid wsp:val=&quot;00692E59&quot;/&gt;&lt;wsp:rsid wsp:val=&quot;0069309E&quot;/&gt;&lt;wsp:rsid wsp:val=&quot;006930A2&quot;/&gt;&lt;wsp:rsid wsp:val=&quot;0069351F&quot;/&gt;&lt;wsp:rsid wsp:val=&quot;00693AD5&quot;/&gt;&lt;wsp:rsid wsp:val=&quot;00693C5D&quot;/&gt;&lt;wsp:rsid wsp:val=&quot;00694C29&quot;/&gt;&lt;wsp:rsid wsp:val=&quot;00695015&quot;/&gt;&lt;wsp:rsid wsp:val=&quot;00695334&quot;/&gt;&lt;wsp:rsid wsp:val=&quot;00695491&quot;/&gt;&lt;wsp:rsid wsp:val=&quot;006955E6&quot;/&gt;&lt;wsp:rsid wsp:val=&quot;00695B0C&quot;/&gt;&lt;wsp:rsid wsp:val=&quot;00695F3C&quot;/&gt;&lt;wsp:rsid wsp:val=&quot;0069625B&quot;/&gt;&lt;wsp:rsid wsp:val=&quot;00696525&quot;/&gt;&lt;wsp:rsid wsp:val=&quot;00696657&quot;/&gt;&lt;wsp:rsid wsp:val=&quot;006966BB&quot;/&gt;&lt;wsp:rsid wsp:val=&quot;00696F99&quot;/&gt;&lt;wsp:rsid wsp:val=&quot;00697280&quot;/&gt;&lt;wsp:rsid wsp:val=&quot;00697553&quot;/&gt;&lt;wsp:rsid wsp:val=&quot;00697731&quot;/&gt;&lt;wsp:rsid wsp:val=&quot;00697D69&quot;/&gt;&lt;wsp:rsid wsp:val=&quot;006A07B0&quot;/&gt;&lt;wsp:rsid wsp:val=&quot;006A0B33&quot;/&gt;&lt;wsp:rsid wsp:val=&quot;006A0D22&quot;/&gt;&lt;wsp:rsid wsp:val=&quot;006A0EE8&quot;/&gt;&lt;wsp:rsid wsp:val=&quot;006A10FD&quot;/&gt;&lt;wsp:rsid wsp:val=&quot;006A154A&quot;/&gt;&lt;wsp:rsid wsp:val=&quot;006A183A&quot;/&gt;&lt;wsp:rsid wsp:val=&quot;006A1BD3&quot;/&gt;&lt;wsp:rsid wsp:val=&quot;006A1F30&quot;/&gt;&lt;wsp:rsid wsp:val=&quot;006A1FCF&quot;/&gt;&lt;wsp:rsid wsp:val=&quot;006A24BD&quot;/&gt;&lt;wsp:rsid wsp:val=&quot;006A2538&quot;/&gt;&lt;wsp:rsid wsp:val=&quot;006A275F&quot;/&gt;&lt;wsp:rsid wsp:val=&quot;006A27D9&quot;/&gt;&lt;wsp:rsid wsp:val=&quot;006A2A5E&quot;/&gt;&lt;wsp:rsid wsp:val=&quot;006A2E58&quot;/&gt;&lt;wsp:rsid wsp:val=&quot;006A2E8D&quot;/&gt;&lt;wsp:rsid wsp:val=&quot;006A3080&quot;/&gt;&lt;wsp:rsid wsp:val=&quot;006A30B7&quot;/&gt;&lt;wsp:rsid wsp:val=&quot;006A3443&quot;/&gt;&lt;wsp:rsid wsp:val=&quot;006A350D&quot;/&gt;&lt;wsp:rsid wsp:val=&quot;006A376F&quot;/&gt;&lt;wsp:rsid wsp:val=&quot;006A3796&quot;/&gt;&lt;wsp:rsid wsp:val=&quot;006A37EF&quot;/&gt;&lt;wsp:rsid wsp:val=&quot;006A3D61&quot;/&gt;&lt;wsp:rsid wsp:val=&quot;006A3D77&quot;/&gt;&lt;wsp:rsid wsp:val=&quot;006A4B64&quot;/&gt;&lt;wsp:rsid wsp:val=&quot;006A4D14&quot;/&gt;&lt;wsp:rsid wsp:val=&quot;006A4E62&quot;/&gt;&lt;wsp:rsid wsp:val=&quot;006A4EB8&quot;/&gt;&lt;wsp:rsid wsp:val=&quot;006A4F4B&quot;/&gt;&lt;wsp:rsid wsp:val=&quot;006A5004&quot;/&gt;&lt;wsp:rsid wsp:val=&quot;006A53B7&quot;/&gt;&lt;wsp:rsid wsp:val=&quot;006A53F0&quot;/&gt;&lt;wsp:rsid wsp:val=&quot;006A5469&quot;/&gt;&lt;wsp:rsid wsp:val=&quot;006A58AA&quot;/&gt;&lt;wsp:rsid wsp:val=&quot;006A6045&quot;/&gt;&lt;wsp:rsid wsp:val=&quot;006A60ED&quot;/&gt;&lt;wsp:rsid wsp:val=&quot;006A68A8&quot;/&gt;&lt;wsp:rsid wsp:val=&quot;006A6A47&quot;/&gt;&lt;wsp:rsid wsp:val=&quot;006A6E30&quot;/&gt;&lt;wsp:rsid wsp:val=&quot;006A6FDC&quot;/&gt;&lt;wsp:rsid wsp:val=&quot;006A706A&quot;/&gt;&lt;wsp:rsid wsp:val=&quot;006A70D8&quot;/&gt;&lt;wsp:rsid wsp:val=&quot;006A76ED&quot;/&gt;&lt;wsp:rsid wsp:val=&quot;006A77CF&quot;/&gt;&lt;wsp:rsid wsp:val=&quot;006A7DEC&quot;/&gt;&lt;wsp:rsid wsp:val=&quot;006B02DE&quot;/&gt;&lt;wsp:rsid wsp:val=&quot;006B034F&quot;/&gt;&lt;wsp:rsid wsp:val=&quot;006B038A&quot;/&gt;&lt;wsp:rsid wsp:val=&quot;006B0F8C&quot;/&gt;&lt;wsp:rsid wsp:val=&quot;006B0FC1&quot;/&gt;&lt;wsp:rsid wsp:val=&quot;006B10BC&quot;/&gt;&lt;wsp:rsid wsp:val=&quot;006B13A5&quot;/&gt;&lt;wsp:rsid wsp:val=&quot;006B18F3&quot;/&gt;&lt;wsp:rsid wsp:val=&quot;006B1927&quot;/&gt;&lt;wsp:rsid wsp:val=&quot;006B1FBD&quot;/&gt;&lt;wsp:rsid wsp:val=&quot;006B259B&quot;/&gt;&lt;wsp:rsid wsp:val=&quot;006B2A8B&quot;/&gt;&lt;wsp:rsid wsp:val=&quot;006B2F9E&quot;/&gt;&lt;wsp:rsid wsp:val=&quot;006B322F&quot;/&gt;&lt;wsp:rsid wsp:val=&quot;006B33D4&quot;/&gt;&lt;wsp:rsid wsp:val=&quot;006B373C&quot;/&gt;&lt;wsp:rsid wsp:val=&quot;006B376E&quot;/&gt;&lt;wsp:rsid wsp:val=&quot;006B3792&quot;/&gt;&lt;wsp:rsid wsp:val=&quot;006B40BB&quot;/&gt;&lt;wsp:rsid wsp:val=&quot;006B40EE&quot;/&gt;&lt;wsp:rsid wsp:val=&quot;006B44A3&quot;/&gt;&lt;wsp:rsid wsp:val=&quot;006B474C&quot;/&gt;&lt;wsp:rsid wsp:val=&quot;006B49F4&quot;/&gt;&lt;wsp:rsid wsp:val=&quot;006B4AB7&quot;/&gt;&lt;wsp:rsid wsp:val=&quot;006B5043&quot;/&gt;&lt;wsp:rsid wsp:val=&quot;006B51AE&quot;/&gt;&lt;wsp:rsid wsp:val=&quot;006B530D&quot;/&gt;&lt;wsp:rsid wsp:val=&quot;006B53EE&quot;/&gt;&lt;wsp:rsid wsp:val=&quot;006B54D5&quot;/&gt;&lt;wsp:rsid wsp:val=&quot;006B595C&quot;/&gt;&lt;wsp:rsid wsp:val=&quot;006B5B02&quot;/&gt;&lt;wsp:rsid wsp:val=&quot;006B5B3E&quot;/&gt;&lt;wsp:rsid wsp:val=&quot;006B6138&quot;/&gt;&lt;wsp:rsid wsp:val=&quot;006B660F&quot;/&gt;&lt;wsp:rsid wsp:val=&quot;006B67A5&quot;/&gt;&lt;wsp:rsid wsp:val=&quot;006B69B9&quot;/&gt;&lt;wsp:rsid wsp:val=&quot;006B6A63&quot;/&gt;&lt;wsp:rsid wsp:val=&quot;006B6C85&quot;/&gt;&lt;wsp:rsid wsp:val=&quot;006B6ECE&quot;/&gt;&lt;wsp:rsid wsp:val=&quot;006B6F30&quot;/&gt;&lt;wsp:rsid wsp:val=&quot;006B76FD&quot;/&gt;&lt;wsp:rsid wsp:val=&quot;006B7AD4&quot;/&gt;&lt;wsp:rsid wsp:val=&quot;006C00BF&quot;/&gt;&lt;wsp:rsid wsp:val=&quot;006C0191&quot;/&gt;&lt;wsp:rsid wsp:val=&quot;006C01B1&quot;/&gt;&lt;wsp:rsid wsp:val=&quot;006C05C4&quot;/&gt;&lt;wsp:rsid wsp:val=&quot;006C062C&quot;/&gt;&lt;wsp:rsid wsp:val=&quot;006C0771&quot;/&gt;&lt;wsp:rsid wsp:val=&quot;006C1095&quot;/&gt;&lt;wsp:rsid wsp:val=&quot;006C12C6&quot;/&gt;&lt;wsp:rsid wsp:val=&quot;006C1522&quot;/&gt;&lt;wsp:rsid wsp:val=&quot;006C1ECD&quot;/&gt;&lt;wsp:rsid wsp:val=&quot;006C20A0&quot;/&gt;&lt;wsp:rsid wsp:val=&quot;006C2549&quot;/&gt;&lt;wsp:rsid wsp:val=&quot;006C254F&quot;/&gt;&lt;wsp:rsid wsp:val=&quot;006C2893&quot;/&gt;&lt;wsp:rsid wsp:val=&quot;006C2AA7&quot;/&gt;&lt;wsp:rsid wsp:val=&quot;006C2BEC&quot;/&gt;&lt;wsp:rsid wsp:val=&quot;006C33CE&quot;/&gt;&lt;wsp:rsid wsp:val=&quot;006C357C&quot;/&gt;&lt;wsp:rsid wsp:val=&quot;006C361E&quot;/&gt;&lt;wsp:rsid wsp:val=&quot;006C3ED3&quot;/&gt;&lt;wsp:rsid wsp:val=&quot;006C5141&quot;/&gt;&lt;wsp:rsid wsp:val=&quot;006C5191&quot;/&gt;&lt;wsp:rsid wsp:val=&quot;006C5F7C&quot;/&gt;&lt;wsp:rsid wsp:val=&quot;006C6093&quot;/&gt;&lt;wsp:rsid wsp:val=&quot;006C669D&quot;/&gt;&lt;wsp:rsid wsp:val=&quot;006C6EC7&quot;/&gt;&lt;wsp:rsid wsp:val=&quot;006C77A2&quot;/&gt;&lt;wsp:rsid wsp:val=&quot;006C7ABE&quot;/&gt;&lt;wsp:rsid wsp:val=&quot;006C7C3B&quot;/&gt;&lt;wsp:rsid wsp:val=&quot;006D0013&quot;/&gt;&lt;wsp:rsid wsp:val=&quot;006D081C&quot;/&gt;&lt;wsp:rsid wsp:val=&quot;006D15EF&quot;/&gt;&lt;wsp:rsid wsp:val=&quot;006D1757&quot;/&gt;&lt;wsp:rsid wsp:val=&quot;006D1C73&quot;/&gt;&lt;wsp:rsid wsp:val=&quot;006D1E4A&quot;/&gt;&lt;wsp:rsid wsp:val=&quot;006D209C&quot;/&gt;&lt;wsp:rsid wsp:val=&quot;006D226C&quot;/&gt;&lt;wsp:rsid wsp:val=&quot;006D26AD&quot;/&gt;&lt;wsp:rsid wsp:val=&quot;006D2947&quot;/&gt;&lt;wsp:rsid wsp:val=&quot;006D2A72&quot;/&gt;&lt;wsp:rsid wsp:val=&quot;006D2A7F&quot;/&gt;&lt;wsp:rsid wsp:val=&quot;006D2B78&quot;/&gt;&lt;wsp:rsid wsp:val=&quot;006D2E52&quot;/&gt;&lt;wsp:rsid wsp:val=&quot;006D36E8&quot;/&gt;&lt;wsp:rsid wsp:val=&quot;006D3E7D&quot;/&gt;&lt;wsp:rsid wsp:val=&quot;006D3F95&quot;/&gt;&lt;wsp:rsid wsp:val=&quot;006D410B&quot;/&gt;&lt;wsp:rsid wsp:val=&quot;006D43AB&quot;/&gt;&lt;wsp:rsid wsp:val=&quot;006D4695&quot;/&gt;&lt;wsp:rsid wsp:val=&quot;006D4746&quot;/&gt;&lt;wsp:rsid wsp:val=&quot;006D54A3&quot;/&gt;&lt;wsp:rsid wsp:val=&quot;006D54E8&quot;/&gt;&lt;wsp:rsid wsp:val=&quot;006D636C&quot;/&gt;&lt;wsp:rsid wsp:val=&quot;006D63D7&quot;/&gt;&lt;wsp:rsid wsp:val=&quot;006D685E&quot;/&gt;&lt;wsp:rsid wsp:val=&quot;006D68DB&quot;/&gt;&lt;wsp:rsid wsp:val=&quot;006D6A1E&quot;/&gt;&lt;wsp:rsid wsp:val=&quot;006D6C69&quot;/&gt;&lt;wsp:rsid wsp:val=&quot;006D6D66&quot;/&gt;&lt;wsp:rsid wsp:val=&quot;006D6EB7&quot;/&gt;&lt;wsp:rsid wsp:val=&quot;006D7689&quot;/&gt;&lt;wsp:rsid wsp:val=&quot;006E0634&quot;/&gt;&lt;wsp:rsid wsp:val=&quot;006E086C&quot;/&gt;&lt;wsp:rsid wsp:val=&quot;006E180D&quot;/&gt;&lt;wsp:rsid wsp:val=&quot;006E18EA&quot;/&gt;&lt;wsp:rsid wsp:val=&quot;006E1DFB&quot;/&gt;&lt;wsp:rsid wsp:val=&quot;006E1E8E&quot;/&gt;&lt;wsp:rsid wsp:val=&quot;006E26A7&quot;/&gt;&lt;wsp:rsid wsp:val=&quot;006E2832&quot;/&gt;&lt;wsp:rsid wsp:val=&quot;006E2EA0&quot;/&gt;&lt;wsp:rsid wsp:val=&quot;006E311D&quot;/&gt;&lt;wsp:rsid wsp:val=&quot;006E320C&quot;/&gt;&lt;wsp:rsid wsp:val=&quot;006E3245&quot;/&gt;&lt;wsp:rsid wsp:val=&quot;006E33A2&quot;/&gt;&lt;wsp:rsid wsp:val=&quot;006E35DA&quot;/&gt;&lt;wsp:rsid wsp:val=&quot;006E371D&quot;/&gt;&lt;wsp:rsid wsp:val=&quot;006E39D3&quot;/&gt;&lt;wsp:rsid wsp:val=&quot;006E3A49&quot;/&gt;&lt;wsp:rsid wsp:val=&quot;006E3C78&quot;/&gt;&lt;wsp:rsid wsp:val=&quot;006E41FB&quot;/&gt;&lt;wsp:rsid wsp:val=&quot;006E4295&quot;/&gt;&lt;wsp:rsid wsp:val=&quot;006E439A&quot;/&gt;&lt;wsp:rsid wsp:val=&quot;006E4844&quot;/&gt;&lt;wsp:rsid wsp:val=&quot;006E4B63&quot;/&gt;&lt;wsp:rsid wsp:val=&quot;006E4CD3&quot;/&gt;&lt;wsp:rsid wsp:val=&quot;006E4F57&quot;/&gt;&lt;wsp:rsid wsp:val=&quot;006E521E&quot;/&gt;&lt;wsp:rsid wsp:val=&quot;006E54C7&quot;/&gt;&lt;wsp:rsid wsp:val=&quot;006E58C0&quot;/&gt;&lt;wsp:rsid wsp:val=&quot;006E5A2F&quot;/&gt;&lt;wsp:rsid wsp:val=&quot;006E5A89&quot;/&gt;&lt;wsp:rsid wsp:val=&quot;006E5C7C&quot;/&gt;&lt;wsp:rsid wsp:val=&quot;006E5D25&quot;/&gt;&lt;wsp:rsid wsp:val=&quot;006E5D9B&quot;/&gt;&lt;wsp:rsid wsp:val=&quot;006E6D4F&quot;/&gt;&lt;wsp:rsid wsp:val=&quot;006E6D51&quot;/&gt;&lt;wsp:rsid wsp:val=&quot;006E6E20&quot;/&gt;&lt;wsp:rsid wsp:val=&quot;006E6E2A&quot;/&gt;&lt;wsp:rsid wsp:val=&quot;006E7567&quot;/&gt;&lt;wsp:rsid wsp:val=&quot;006F00AE&quot;/&gt;&lt;wsp:rsid wsp:val=&quot;006F07E7&quot;/&gt;&lt;wsp:rsid wsp:val=&quot;006F07E8&quot;/&gt;&lt;wsp:rsid wsp:val=&quot;006F0B29&quot;/&gt;&lt;wsp:rsid wsp:val=&quot;006F0BB2&quot;/&gt;&lt;wsp:rsid wsp:val=&quot;006F1257&quot;/&gt;&lt;wsp:rsid wsp:val=&quot;006F130F&quot;/&gt;&lt;wsp:rsid wsp:val=&quot;006F1669&quot;/&gt;&lt;wsp:rsid wsp:val=&quot;006F1828&quot;/&gt;&lt;wsp:rsid wsp:val=&quot;006F18DE&quot;/&gt;&lt;wsp:rsid wsp:val=&quot;006F1C57&quot;/&gt;&lt;wsp:rsid wsp:val=&quot;006F1E5F&quot;/&gt;&lt;wsp:rsid wsp:val=&quot;006F2839&quot;/&gt;&lt;wsp:rsid wsp:val=&quot;006F291C&quot;/&gt;&lt;wsp:rsid wsp:val=&quot;006F2D5F&quot;/&gt;&lt;wsp:rsid wsp:val=&quot;006F3637&quot;/&gt;&lt;wsp:rsid wsp:val=&quot;006F4419&quot;/&gt;&lt;wsp:rsid wsp:val=&quot;006F4495&quot;/&gt;&lt;wsp:rsid wsp:val=&quot;006F4E97&quot;/&gt;&lt;wsp:rsid wsp:val=&quot;006F5710&quot;/&gt;&lt;wsp:rsid wsp:val=&quot;006F5796&quot;/&gt;&lt;wsp:rsid wsp:val=&quot;006F5A23&quot;/&gt;&lt;wsp:rsid wsp:val=&quot;006F5D32&quot;/&gt;&lt;wsp:rsid wsp:val=&quot;006F5E6B&quot;/&gt;&lt;wsp:rsid wsp:val=&quot;006F5F7E&quot;/&gt;&lt;wsp:rsid wsp:val=&quot;006F61A7&quot;/&gt;&lt;wsp:rsid wsp:val=&quot;006F66DD&quot;/&gt;&lt;wsp:rsid wsp:val=&quot;006F6F6C&quot;/&gt;&lt;wsp:rsid wsp:val=&quot;006F74DE&quot;/&gt;&lt;wsp:rsid wsp:val=&quot;006F769C&quot;/&gt;&lt;wsp:rsid wsp:val=&quot;006F7778&quot;/&gt;&lt;wsp:rsid wsp:val=&quot;006F7CA7&quot;/&gt;&lt;wsp:rsid wsp:val=&quot;00700907&quot;/&gt;&lt;wsp:rsid wsp:val=&quot;00700C00&quot;/&gt;&lt;wsp:rsid wsp:val=&quot;00700D1A&quot;/&gt;&lt;wsp:rsid wsp:val=&quot;007013F4&quot;/&gt;&lt;wsp:rsid wsp:val=&quot;00701714&quot;/&gt;&lt;wsp:rsid wsp:val=&quot;007017F4&quot;/&gt;&lt;wsp:rsid wsp:val=&quot;00701BD4&quot;/&gt;&lt;wsp:rsid wsp:val=&quot;00701E52&quot;/&gt;&lt;wsp:rsid wsp:val=&quot;007020AC&quot;/&gt;&lt;wsp:rsid wsp:val=&quot;007027F1&quot;/&gt;&lt;wsp:rsid wsp:val=&quot;00702D57&quot;/&gt;&lt;wsp:rsid wsp:val=&quot;00702EDD&quot;/&gt;&lt;wsp:rsid wsp:val=&quot;00703226&quot;/&gt;&lt;wsp:rsid wsp:val=&quot;00703705&quot;/&gt;&lt;wsp:rsid wsp:val=&quot;0070387D&quot;/&gt;&lt;wsp:rsid wsp:val=&quot;00703A1B&quot;/&gt;&lt;wsp:rsid wsp:val=&quot;0070411E&quot;/&gt;&lt;wsp:rsid wsp:val=&quot;007042E0&quot;/&gt;&lt;wsp:rsid wsp:val=&quot;007044B9&quot;/&gt;&lt;wsp:rsid wsp:val=&quot;00704D54&quot;/&gt;&lt;wsp:rsid wsp:val=&quot;00705021&quot;/&gt;&lt;wsp:rsid wsp:val=&quot;007051F7&quot;/&gt;&lt;wsp:rsid wsp:val=&quot;00705341&quot;/&gt;&lt;wsp:rsid wsp:val=&quot;0070545F&quot;/&gt;&lt;wsp:rsid wsp:val=&quot;00705FC5&quot;/&gt;&lt;wsp:rsid wsp:val=&quot;00705FD4&quot;/&gt;&lt;wsp:rsid wsp:val=&quot;0070670F&quot;/&gt;&lt;wsp:rsid wsp:val=&quot;00707129&quot;/&gt;&lt;wsp:rsid wsp:val=&quot;007075A4&quot;/&gt;&lt;wsp:rsid wsp:val=&quot;00707623&quot;/&gt;&lt;wsp:rsid wsp:val=&quot;00707C79&quot;/&gt;&lt;wsp:rsid wsp:val=&quot;00707E25&quot;/&gt;&lt;wsp:rsid wsp:val=&quot;00707F4F&quot;/&gt;&lt;wsp:rsid wsp:val=&quot;00710A6A&quot;/&gt;&lt;wsp:rsid wsp:val=&quot;00710BE7&quot;/&gt;&lt;wsp:rsid wsp:val=&quot;00711A58&quot;/&gt;&lt;wsp:rsid wsp:val=&quot;00711BB1&quot;/&gt;&lt;wsp:rsid wsp:val=&quot;00712131&quot;/&gt;&lt;wsp:rsid wsp:val=&quot;007125C5&quot;/&gt;&lt;wsp:rsid wsp:val=&quot;007126F3&quot;/&gt;&lt;wsp:rsid wsp:val=&quot;00712CF5&quot;/&gt;&lt;wsp:rsid wsp:val=&quot;007133A4&quot;/&gt;&lt;wsp:rsid wsp:val=&quot;00713762&quot;/&gt;&lt;wsp:rsid wsp:val=&quot;00713A6C&quot;/&gt;&lt;wsp:rsid wsp:val=&quot;00714097&quot;/&gt;&lt;wsp:rsid wsp:val=&quot;007144E2&quot;/&gt;&lt;wsp:rsid wsp:val=&quot;007145A0&quot;/&gt;&lt;wsp:rsid wsp:val=&quot;00714960&quot;/&gt;&lt;wsp:rsid wsp:val=&quot;00714B14&quot;/&gt;&lt;wsp:rsid wsp:val=&quot;00714B81&quot;/&gt;&lt;wsp:rsid wsp:val=&quot;00714BC7&quot;/&gt;&lt;wsp:rsid wsp:val=&quot;00714D74&quot;/&gt;&lt;wsp:rsid wsp:val=&quot;007153E9&quot;/&gt;&lt;wsp:rsid wsp:val=&quot;007156FA&quot;/&gt;&lt;wsp:rsid wsp:val=&quot;007159BC&quot;/&gt;&lt;wsp:rsid wsp:val=&quot;007159D5&quot;/&gt;&lt;wsp:rsid wsp:val=&quot;00715DCF&quot;/&gt;&lt;wsp:rsid wsp:val=&quot;00715E2C&quot;/&gt;&lt;wsp:rsid wsp:val=&quot;00715E71&quot;/&gt;&lt;wsp:rsid wsp:val=&quot;00716358&quot;/&gt;&lt;wsp:rsid wsp:val=&quot;00716B47&quot;/&gt;&lt;wsp:rsid wsp:val=&quot;00716E9F&quot;/&gt;&lt;wsp:rsid wsp:val=&quot;007170C2&quot;/&gt;&lt;wsp:rsid wsp:val=&quot;0071733E&quot;/&gt;&lt;wsp:rsid wsp:val=&quot;00717779&quot;/&gt;&lt;wsp:rsid wsp:val=&quot;00717848&quot;/&gt;&lt;wsp:rsid wsp:val=&quot;00717D5F&quot;/&gt;&lt;wsp:rsid wsp:val=&quot;00717EFA&quot;/&gt;&lt;wsp:rsid wsp:val=&quot;00720301&quot;/&gt;&lt;wsp:rsid wsp:val=&quot;0072051C&quot;/&gt;&lt;wsp:rsid wsp:val=&quot;00720AAA&quot;/&gt;&lt;wsp:rsid wsp:val=&quot;00720D20&quot;/&gt;&lt;wsp:rsid wsp:val=&quot;00720E75&quot;/&gt;&lt;wsp:rsid wsp:val=&quot;00720ECB&quot;/&gt;&lt;wsp:rsid wsp:val=&quot;00720F71&quot;/&gt;&lt;wsp:rsid wsp:val=&quot;00721566&quot;/&gt;&lt;wsp:rsid wsp:val=&quot;00721717&quot;/&gt;&lt;wsp:rsid wsp:val=&quot;007218D9&quot;/&gt;&lt;wsp:rsid wsp:val=&quot;00721DC7&quot;/&gt;&lt;wsp:rsid wsp:val=&quot;0072220F&quot;/&gt;&lt;wsp:rsid wsp:val=&quot;00722AB5&quot;/&gt;&lt;wsp:rsid wsp:val=&quot;00722BBE&quot;/&gt;&lt;wsp:rsid wsp:val=&quot;00722C32&quot;/&gt;&lt;wsp:rsid wsp:val=&quot;00722CA8&quot;/&gt;&lt;wsp:rsid wsp:val=&quot;00723034&quot;/&gt;&lt;wsp:rsid wsp:val=&quot;007231FF&quot;/&gt;&lt;wsp:rsid wsp:val=&quot;00723360&quot;/&gt;&lt;wsp:rsid wsp:val=&quot;007234D9&quot;/&gt;&lt;wsp:rsid wsp:val=&quot;00723698&quot;/&gt;&lt;wsp:rsid wsp:val=&quot;00723858&quot;/&gt;&lt;wsp:rsid wsp:val=&quot;00723DB1&quot;/&gt;&lt;wsp:rsid wsp:val=&quot;00724343&quot;/&gt;&lt;wsp:rsid wsp:val=&quot;007247BE&quot;/&gt;&lt;wsp:rsid wsp:val=&quot;007248AD&quot;/&gt;&lt;wsp:rsid wsp:val=&quot;00724F79&quot;/&gt;&lt;wsp:rsid wsp:val=&quot;00725728&quot;/&gt;&lt;wsp:rsid wsp:val=&quot;007258DE&quot;/&gt;&lt;wsp:rsid wsp:val=&quot;00725C8F&quot;/&gt;&lt;wsp:rsid wsp:val=&quot;00725CB7&quot;/&gt;&lt;wsp:rsid wsp:val=&quot;00726540&quot;/&gt;&lt;wsp:rsid wsp:val=&quot;00726643&quot;/&gt;&lt;wsp:rsid wsp:val=&quot;00726775&quot;/&gt;&lt;wsp:rsid wsp:val=&quot;00726832&quot;/&gt;&lt;wsp:rsid wsp:val=&quot;00726C96&quot;/&gt;&lt;wsp:rsid wsp:val=&quot;00726DEE&quot;/&gt;&lt;wsp:rsid wsp:val=&quot;00726F22&quot;/&gt;&lt;wsp:rsid wsp:val=&quot;0072712D&quot;/&gt;&lt;wsp:rsid wsp:val=&quot;007276D4&quot;/&gt;&lt;wsp:rsid wsp:val=&quot;00727975&quot;/&gt;&lt;wsp:rsid wsp:val=&quot;00727D72&quot;/&gt;&lt;wsp:rsid wsp:val=&quot;00727E44&quot;/&gt;&lt;wsp:rsid wsp:val=&quot;0073045A&quot;/&gt;&lt;wsp:rsid wsp:val=&quot;00730487&quot;/&gt;&lt;wsp:rsid wsp:val=&quot;00730527&quot;/&gt;&lt;wsp:rsid wsp:val=&quot;00730CE2&quot;/&gt;&lt;wsp:rsid wsp:val=&quot;00731069&quot;/&gt;&lt;wsp:rsid wsp:val=&quot;0073158E&quot;/&gt;&lt;wsp:rsid wsp:val=&quot;007316AC&quot;/&gt;&lt;wsp:rsid wsp:val=&quot;00731AB7&quot;/&gt;&lt;wsp:rsid wsp:val=&quot;00731DBA&quot;/&gt;&lt;wsp:rsid wsp:val=&quot;00732375&quot;/&gt;&lt;wsp:rsid wsp:val=&quot;00732535&quot;/&gt;&lt;wsp:rsid wsp:val=&quot;007328C7&quot;/&gt;&lt;wsp:rsid wsp:val=&quot;00732A0B&quot;/&gt;&lt;wsp:rsid wsp:val=&quot;00732AA4&quot;/&gt;&lt;wsp:rsid wsp:val=&quot;00732D14&quot;/&gt;&lt;wsp:rsid wsp:val=&quot;00732ED4&quot;/&gt;&lt;wsp:rsid wsp:val=&quot;007333B4&quot;/&gt;&lt;wsp:rsid wsp:val=&quot;0073364D&quot;/&gt;&lt;wsp:rsid wsp:val=&quot;007336CF&quot;/&gt;&lt;wsp:rsid wsp:val=&quot;00733801&quot;/&gt;&lt;wsp:rsid wsp:val=&quot;00733804&quot;/&gt;&lt;wsp:rsid wsp:val=&quot;00733C32&quot;/&gt;&lt;wsp:rsid wsp:val=&quot;00733D0E&quot;/&gt;&lt;wsp:rsid wsp:val=&quot;00734556&quot;/&gt;&lt;wsp:rsid wsp:val=&quot;0073475A&quot;/&gt;&lt;wsp:rsid wsp:val=&quot;0073476E&quot;/&gt;&lt;wsp:rsid wsp:val=&quot;00734850&quot;/&gt;&lt;wsp:rsid wsp:val=&quot;00734ADF&quot;/&gt;&lt;wsp:rsid wsp:val=&quot;00734E89&quot;/&gt;&lt;wsp:rsid wsp:val=&quot;00734F23&quot;/&gt;&lt;wsp:rsid wsp:val=&quot;0073530E&quot;/&gt;&lt;wsp:rsid wsp:val=&quot;00735DB4&quot;/&gt;&lt;wsp:rsid wsp:val=&quot;00735DE3&quot;/&gt;&lt;wsp:rsid wsp:val=&quot;00736038&quot;/&gt;&lt;wsp:rsid wsp:val=&quot;007362F7&quot;/&gt;&lt;wsp:rsid wsp:val=&quot;0073654D&quot;/&gt;&lt;wsp:rsid wsp:val=&quot;007365A5&quot;/&gt;&lt;wsp:rsid wsp:val=&quot;007369BB&quot;/&gt;&lt;wsp:rsid wsp:val=&quot;007369C1&quot;/&gt;&lt;wsp:rsid wsp:val=&quot;007369D0&quot;/&gt;&lt;wsp:rsid wsp:val=&quot;00736A59&quot;/&gt;&lt;wsp:rsid wsp:val=&quot;0073718A&quot;/&gt;&lt;wsp:rsid wsp:val=&quot;007372BD&quot;/&gt;&lt;wsp:rsid wsp:val=&quot;007372F8&quot;/&gt;&lt;wsp:rsid wsp:val=&quot;007375D7&quot;/&gt;&lt;wsp:rsid wsp:val=&quot;007378B2&quot;/&gt;&lt;wsp:rsid wsp:val=&quot;007378FC&quot;/&gt;&lt;wsp:rsid wsp:val=&quot;00737A1C&quot;/&gt;&lt;wsp:rsid wsp:val=&quot;00737D10&quot;/&gt;&lt;wsp:rsid wsp:val=&quot;00737E00&quot;/&gt;&lt;wsp:rsid wsp:val=&quot;0074009A&quot;/&gt;&lt;wsp:rsid wsp:val=&quot;007401BD&quot;/&gt;&lt;wsp:rsid wsp:val=&quot;00740293&quot;/&gt;&lt;wsp:rsid wsp:val=&quot;00740509&quot;/&gt;&lt;wsp:rsid wsp:val=&quot;00740A70&quot;/&gt;&lt;wsp:rsid wsp:val=&quot;00740CF5&quot;/&gt;&lt;wsp:rsid wsp:val=&quot;007410A8&quot;/&gt;&lt;wsp:rsid wsp:val=&quot;0074117D&quot;/&gt;&lt;wsp:rsid wsp:val=&quot;0074170F&quot;/&gt;&lt;wsp:rsid wsp:val=&quot;007423C7&quot;/&gt;&lt;wsp:rsid wsp:val=&quot;00742573&quot;/&gt;&lt;wsp:rsid wsp:val=&quot;00742AE6&quot;/&gt;&lt;wsp:rsid wsp:val=&quot;00742F23&quot;/&gt;&lt;wsp:rsid wsp:val=&quot;00743205&quot;/&gt;&lt;wsp:rsid wsp:val=&quot;007432C3&quot;/&gt;&lt;wsp:rsid wsp:val=&quot;007436C2&quot;/&gt;&lt;wsp:rsid wsp:val=&quot;00743C1C&quot;/&gt;&lt;wsp:rsid wsp:val=&quot;00744224&quot;/&gt;&lt;wsp:rsid wsp:val=&quot;0074458F&quot;/&gt;&lt;wsp:rsid wsp:val=&quot;00744599&quot;/&gt;&lt;wsp:rsid wsp:val=&quot;0074542A&quot;/&gt;&lt;wsp:rsid wsp:val=&quot;007456B3&quot;/&gt;&lt;wsp:rsid wsp:val=&quot;00745A90&quot;/&gt;&lt;wsp:rsid wsp:val=&quot;00745BB5&quot;/&gt;&lt;wsp:rsid wsp:val=&quot;00745C45&quot;/&gt;&lt;wsp:rsid wsp:val=&quot;00745E43&quot;/&gt;&lt;wsp:rsid wsp:val=&quot;00745E84&quot;/&gt;&lt;wsp:rsid wsp:val=&quot;0074606C&quot;/&gt;&lt;wsp:rsid wsp:val=&quot;00746235&quot;/&gt;&lt;wsp:rsid wsp:val=&quot;007462D6&quot;/&gt;&lt;wsp:rsid wsp:val=&quot;0074641C&quot;/&gt;&lt;wsp:rsid wsp:val=&quot;00746441&quot;/&gt;&lt;wsp:rsid wsp:val=&quot;00746896&quot;/&gt;&lt;wsp:rsid wsp:val=&quot;0074697A&quot;/&gt;&lt;wsp:rsid wsp:val=&quot;00746AD9&quot;/&gt;&lt;wsp:rsid wsp:val=&quot;00747900&quot;/&gt;&lt;wsp:rsid wsp:val=&quot;00747BCE&quot;/&gt;&lt;wsp:rsid wsp:val=&quot;00747E96&quot;/&gt;&lt;wsp:rsid wsp:val=&quot;0075014A&quot;/&gt;&lt;wsp:rsid wsp:val=&quot;007508DC&quot;/&gt;&lt;wsp:rsid wsp:val=&quot;0075112E&quot;/&gt;&lt;wsp:rsid wsp:val=&quot;00751224&quot;/&gt;&lt;wsp:rsid wsp:val=&quot;007512C6&quot;/&gt;&lt;wsp:rsid wsp:val=&quot;00751394&quot;/&gt;&lt;wsp:rsid wsp:val=&quot;007513EF&quot;/&gt;&lt;wsp:rsid wsp:val=&quot;00751753&quot;/&gt;&lt;wsp:rsid wsp:val=&quot;00751B06&quot;/&gt;&lt;wsp:rsid wsp:val=&quot;00751C38&quot;/&gt;&lt;wsp:rsid wsp:val=&quot;00752BAE&quot;/&gt;&lt;wsp:rsid wsp:val=&quot;00752D85&quot;/&gt;&lt;wsp:rsid wsp:val=&quot;0075302E&quot;/&gt;&lt;wsp:rsid wsp:val=&quot;007536D0&quot;/&gt;&lt;wsp:rsid wsp:val=&quot;00753B06&quot;/&gt;&lt;wsp:rsid wsp:val=&quot;00753B30&quot;/&gt;&lt;wsp:rsid wsp:val=&quot;00753F1B&quot;/&gt;&lt;wsp:rsid wsp:val=&quot;00754243&quot;/&gt;&lt;wsp:rsid wsp:val=&quot;00754335&quot;/&gt;&lt;wsp:rsid wsp:val=&quot;00754F43&quot;/&gt;&lt;wsp:rsid wsp:val=&quot;00755225&quot;/&gt;&lt;wsp:rsid wsp:val=&quot;007554A3&quot;/&gt;&lt;wsp:rsid wsp:val=&quot;00755B84&quot;/&gt;&lt;wsp:rsid wsp:val=&quot;00755D24&quot;/&gt;&lt;wsp:rsid wsp:val=&quot;00756554&quot;/&gt;&lt;wsp:rsid wsp:val=&quot;00756F92&quot;/&gt;&lt;wsp:rsid wsp:val=&quot;00757024&quot;/&gt;&lt;wsp:rsid wsp:val=&quot;007571C5&quot;/&gt;&lt;wsp:rsid wsp:val=&quot;00757301&quot;/&gt;&lt;wsp:rsid wsp:val=&quot;0075733E&quot;/&gt;&lt;wsp:rsid wsp:val=&quot;00757D6C&quot;/&gt;&lt;wsp:rsid wsp:val=&quot;00757E2A&quot;/&gt;&lt;wsp:rsid wsp:val=&quot;00757E50&quot;/&gt;&lt;wsp:rsid wsp:val=&quot;0076005D&quot;/&gt;&lt;wsp:rsid wsp:val=&quot;00760420&quot;/&gt;&lt;wsp:rsid wsp:val=&quot;00760BD6&quot;/&gt;&lt;wsp:rsid wsp:val=&quot;00760BE7&quot;/&gt;&lt;wsp:rsid wsp:val=&quot;00760CE4&quot;/&gt;&lt;wsp:rsid wsp:val=&quot;00760EDD&quot;/&gt;&lt;wsp:rsid wsp:val=&quot;00761063&quot;/&gt;&lt;wsp:rsid wsp:val=&quot;00761912&quot;/&gt;&lt;wsp:rsid wsp:val=&quot;00761B07&quot;/&gt;&lt;wsp:rsid wsp:val=&quot;00761F1D&quot;/&gt;&lt;wsp:rsid wsp:val=&quot;00761FED&quot;/&gt;&lt;wsp:rsid wsp:val=&quot;0076227B&quot;/&gt;&lt;wsp:rsid wsp:val=&quot;00762318&quot;/&gt;&lt;wsp:rsid wsp:val=&quot;007623C9&quot;/&gt;&lt;wsp:rsid wsp:val=&quot;0076240E&quot;/&gt;&lt;wsp:rsid wsp:val=&quot;00762612&quot;/&gt;&lt;wsp:rsid wsp:val=&quot;00762CA7&quot;/&gt;&lt;wsp:rsid wsp:val=&quot;00762CF6&quot;/&gt;&lt;wsp:rsid wsp:val=&quot;00762ED6&quot;/&gt;&lt;wsp:rsid wsp:val=&quot;00763055&quot;/&gt;&lt;wsp:rsid wsp:val=&quot;00763252&quot;/&gt;&lt;wsp:rsid wsp:val=&quot;00763A2C&quot;/&gt;&lt;wsp:rsid wsp:val=&quot;00763B3C&quot;/&gt;&lt;wsp:rsid wsp:val=&quot;00763BC7&quot;/&gt;&lt;wsp:rsid wsp:val=&quot;00763D97&quot;/&gt;&lt;wsp:rsid wsp:val=&quot;00763F9F&quot;/&gt;&lt;wsp:rsid wsp:val=&quot;0076423F&quot;/&gt;&lt;wsp:rsid wsp:val=&quot;007643C0&quot;/&gt;&lt;wsp:rsid wsp:val=&quot;007643C5&quot;/&gt;&lt;wsp:rsid wsp:val=&quot;007646D3&quot;/&gt;&lt;wsp:rsid wsp:val=&quot;00764701&quot;/&gt;&lt;wsp:rsid wsp:val=&quot;00764862&quot;/&gt;&lt;wsp:rsid wsp:val=&quot;00764A8F&quot;/&gt;&lt;wsp:rsid wsp:val=&quot;00764B34&quot;/&gt;&lt;wsp:rsid wsp:val=&quot;00764C33&quot;/&gt;&lt;wsp:rsid wsp:val=&quot;00764D51&quot;/&gt;&lt;wsp:rsid wsp:val=&quot;00764D91&quot;/&gt;&lt;wsp:rsid wsp:val=&quot;00764DD5&quot;/&gt;&lt;wsp:rsid wsp:val=&quot;00764E3F&quot;/&gt;&lt;wsp:rsid wsp:val=&quot;00764FCE&quot;/&gt;&lt;wsp:rsid wsp:val=&quot;0076556F&quot;/&gt;&lt;wsp:rsid wsp:val=&quot;00765719&quot;/&gt;&lt;wsp:rsid wsp:val=&quot;00765832&quot;/&gt;&lt;wsp:rsid wsp:val=&quot;0076596A&quot;/&gt;&lt;wsp:rsid wsp:val=&quot;00765DBC&quot;/&gt;&lt;wsp:rsid wsp:val=&quot;0076670C&quot;/&gt;&lt;wsp:rsid wsp:val=&quot;00766EFE&quot;/&gt;&lt;wsp:rsid wsp:val=&quot;00767339&quot;/&gt;&lt;wsp:rsid wsp:val=&quot;00767E15&quot;/&gt;&lt;wsp:rsid wsp:val=&quot;00767EF4&quot;/&gt;&lt;wsp:rsid wsp:val=&quot;0077003D&quot;/&gt;&lt;wsp:rsid wsp:val=&quot;007708BC&quot;/&gt;&lt;wsp:rsid wsp:val=&quot;007712D3&quot;/&gt;&lt;wsp:rsid wsp:val=&quot;007713CB&quot;/&gt;&lt;wsp:rsid wsp:val=&quot;0077174E&quot;/&gt;&lt;wsp:rsid wsp:val=&quot;00771AE3&quot;/&gt;&lt;wsp:rsid wsp:val=&quot;00771B46&quot;/&gt;&lt;wsp:rsid wsp:val=&quot;0077205B&quot;/&gt;&lt;wsp:rsid wsp:val=&quot;007722DE&quot;/&gt;&lt;wsp:rsid wsp:val=&quot;00772770&quot;/&gt;&lt;wsp:rsid wsp:val=&quot;00772A5D&quot;/&gt;&lt;wsp:rsid wsp:val=&quot;00772B4D&quot;/&gt;&lt;wsp:rsid wsp:val=&quot;00772EF5&quot;/&gt;&lt;wsp:rsid wsp:val=&quot;0077325B&quot;/&gt;&lt;wsp:rsid wsp:val=&quot;007733FF&quot;/&gt;&lt;wsp:rsid wsp:val=&quot;0077341D&quot;/&gt;&lt;wsp:rsid wsp:val=&quot;007735EF&quot;/&gt;&lt;wsp:rsid wsp:val=&quot;0077368F&quot;/&gt;&lt;wsp:rsid wsp:val=&quot;007736B1&quot;/&gt;&lt;wsp:rsid wsp:val=&quot;007737C1&quot;/&gt;&lt;wsp:rsid wsp:val=&quot;00773CB5&quot;/&gt;&lt;wsp:rsid wsp:val=&quot;00773EE9&quot;/&gt;&lt;wsp:rsid wsp:val=&quot;00773F92&quot;/&gt;&lt;wsp:rsid wsp:val=&quot;00773FB6&quot;/&gt;&lt;wsp:rsid wsp:val=&quot;0077401E&quot;/&gt;&lt;wsp:rsid wsp:val=&quot;00774436&quot;/&gt;&lt;wsp:rsid wsp:val=&quot;00774BC0&quot;/&gt;&lt;wsp:rsid wsp:val=&quot;00774D56&quot;/&gt;&lt;wsp:rsid wsp:val=&quot;007750CC&quot;/&gt;&lt;wsp:rsid wsp:val=&quot;0077534F&quot;/&gt;&lt;wsp:rsid wsp:val=&quot;00775784&quot;/&gt;&lt;wsp:rsid wsp:val=&quot;007758D1&quot;/&gt;&lt;wsp:rsid wsp:val=&quot;00775A32&quot;/&gt;&lt;wsp:rsid wsp:val=&quot;00775AAA&quot;/&gt;&lt;wsp:rsid wsp:val=&quot;00775E17&quot;/&gt;&lt;wsp:rsid wsp:val=&quot;00775FE1&quot;/&gt;&lt;wsp:rsid wsp:val=&quot;00776037&quot;/&gt;&lt;wsp:rsid wsp:val=&quot;00776370&quot;/&gt;&lt;wsp:rsid wsp:val=&quot;007766CF&quot;/&gt;&lt;wsp:rsid wsp:val=&quot;00776D5E&quot;/&gt;&lt;wsp:rsid wsp:val=&quot;00776D66&quot;/&gt;&lt;wsp:rsid wsp:val=&quot;00777421&quot;/&gt;&lt;wsp:rsid wsp:val=&quot;007777D9&quot;/&gt;&lt;wsp:rsid wsp:val=&quot;007777EA&quot;/&gt;&lt;wsp:rsid wsp:val=&quot;007801B0&quot;/&gt;&lt;wsp:rsid wsp:val=&quot;007803DE&quot;/&gt;&lt;wsp:rsid wsp:val=&quot;00780725&quot;/&gt;&lt;wsp:rsid wsp:val=&quot;00780C90&quot;/&gt;&lt;wsp:rsid wsp:val=&quot;00780F45&quot;/&gt;&lt;wsp:rsid wsp:val=&quot;00780F93&quot;/&gt;&lt;wsp:rsid wsp:val=&quot;00781180&quot;/&gt;&lt;wsp:rsid wsp:val=&quot;007812D4&quot;/&gt;&lt;wsp:rsid wsp:val=&quot;0078134A&quot;/&gt;&lt;wsp:rsid wsp:val=&quot;00781E85&quot;/&gt;&lt;wsp:rsid wsp:val=&quot;007822F1&quot;/&gt;&lt;wsp:rsid wsp:val=&quot;007825AC&quot;/&gt;&lt;wsp:rsid wsp:val=&quot;0078282E&quot;/&gt;&lt;wsp:rsid wsp:val=&quot;0078289F&quot;/&gt;&lt;wsp:rsid wsp:val=&quot;00782E11&quot;/&gt;&lt;wsp:rsid wsp:val=&quot;0078331E&quot;/&gt;&lt;wsp:rsid wsp:val=&quot;00783528&quot;/&gt;&lt;wsp:rsid wsp:val=&quot;0078376F&quot;/&gt;&lt;wsp:rsid wsp:val=&quot;007839B8&quot;/&gt;&lt;wsp:rsid wsp:val=&quot;007847FD&quot;/&gt;&lt;wsp:rsid wsp:val=&quot;0078487F&quot;/&gt;&lt;wsp:rsid wsp:val=&quot;00784AAE&quot;/&gt;&lt;wsp:rsid wsp:val=&quot;007850AF&quot;/&gt;&lt;wsp:rsid wsp:val=&quot;0078552C&quot;/&gt;&lt;wsp:rsid wsp:val=&quot;00785862&quot;/&gt;&lt;wsp:rsid wsp:val=&quot;00785AA9&quot;/&gt;&lt;wsp:rsid wsp:val=&quot;00785AD3&quot;/&gt;&lt;wsp:rsid wsp:val=&quot;00785DA7&quot;/&gt;&lt;wsp:rsid wsp:val=&quot;00785F57&quot;/&gt;&lt;wsp:rsid wsp:val=&quot;00786231&quot;/&gt;&lt;wsp:rsid wsp:val=&quot;00786707&quot;/&gt;&lt;wsp:rsid wsp:val=&quot;00786A04&quot;/&gt;&lt;wsp:rsid wsp:val=&quot;00786BB2&quot;/&gt;&lt;wsp:rsid wsp:val=&quot;00787174&quot;/&gt;&lt;wsp:rsid wsp:val=&quot;007872C0&quot;/&gt;&lt;wsp:rsid wsp:val=&quot;00787318&quot;/&gt;&lt;wsp:rsid wsp:val=&quot;00787440&quot;/&gt;&lt;wsp:rsid wsp:val=&quot;00787935&quot;/&gt;&lt;wsp:rsid wsp:val=&quot;00787A5A&quot;/&gt;&lt;wsp:rsid wsp:val=&quot;00787E07&quot;/&gt;&lt;wsp:rsid wsp:val=&quot;007903D7&quot;/&gt;&lt;wsp:rsid wsp:val=&quot;007907DA&quot;/&gt;&lt;wsp:rsid wsp:val=&quot;00790922&quot;/&gt;&lt;wsp:rsid wsp:val=&quot;00790AD6&quot;/&gt;&lt;wsp:rsid wsp:val=&quot;00790B02&quot;/&gt;&lt;wsp:rsid wsp:val=&quot;00790E0B&quot;/&gt;&lt;wsp:rsid wsp:val=&quot;00791069&quot;/&gt;&lt;wsp:rsid wsp:val=&quot;007922A2&quot;/&gt;&lt;wsp:rsid wsp:val=&quot;00792975&quot;/&gt;&lt;wsp:rsid wsp:val=&quot;00792A32&quot;/&gt;&lt;wsp:rsid wsp:val=&quot;00792BE9&quot;/&gt;&lt;wsp:rsid wsp:val=&quot;00792C66&quot;/&gt;&lt;wsp:rsid wsp:val=&quot;00792F7E&quot;/&gt;&lt;wsp:rsid wsp:val=&quot;00792FEE&quot;/&gt;&lt;wsp:rsid wsp:val=&quot;0079373C&quot;/&gt;&lt;wsp:rsid wsp:val=&quot;00793773&quot;/&gt;&lt;wsp:rsid wsp:val=&quot;00793DA9&quot;/&gt;&lt;wsp:rsid wsp:val=&quot;00794559&quot;/&gt;&lt;wsp:rsid wsp:val=&quot;0079487B&quot;/&gt;&lt;wsp:rsid wsp:val=&quot;00794BC0&quot;/&gt;&lt;wsp:rsid wsp:val=&quot;00794BEC&quot;/&gt;&lt;wsp:rsid wsp:val=&quot;00794EF8&quot;/&gt;&lt;wsp:rsid wsp:val=&quot;00795215&quot;/&gt;&lt;wsp:rsid wsp:val=&quot;0079539F&quot;/&gt;&lt;wsp:rsid wsp:val=&quot;00795433&quot;/&gt;&lt;wsp:rsid wsp:val=&quot;0079573F&quot;/&gt;&lt;wsp:rsid wsp:val=&quot;00795EF8&quot;/&gt;&lt;wsp:rsid wsp:val=&quot;0079662D&quot;/&gt;&lt;wsp:rsid wsp:val=&quot;00796954&quot;/&gt;&lt;wsp:rsid wsp:val=&quot;007969A1&quot;/&gt;&lt;wsp:rsid wsp:val=&quot;00797587&quot;/&gt;&lt;wsp:rsid wsp:val=&quot;0079772A&quot;/&gt;&lt;wsp:rsid wsp:val=&quot;007977EE&quot;/&gt;&lt;wsp:rsid wsp:val=&quot;007A03CB&quot;/&gt;&lt;wsp:rsid wsp:val=&quot;007A046B&quot;/&gt;&lt;wsp:rsid wsp:val=&quot;007A0493&quot;/&gt;&lt;wsp:rsid wsp:val=&quot;007A0658&quot;/&gt;&lt;wsp:rsid wsp:val=&quot;007A0677&quot;/&gt;&lt;wsp:rsid wsp:val=&quot;007A19BF&quot;/&gt;&lt;wsp:rsid wsp:val=&quot;007A1CE1&quot;/&gt;&lt;wsp:rsid wsp:val=&quot;007A209B&quot;/&gt;&lt;wsp:rsid wsp:val=&quot;007A24DC&quot;/&gt;&lt;wsp:rsid wsp:val=&quot;007A29D5&quot;/&gt;&lt;wsp:rsid wsp:val=&quot;007A2AFD&quot;/&gt;&lt;wsp:rsid wsp:val=&quot;007A2E34&quot;/&gt;&lt;wsp:rsid wsp:val=&quot;007A2F54&quot;/&gt;&lt;wsp:rsid wsp:val=&quot;007A340D&quot;/&gt;&lt;wsp:rsid wsp:val=&quot;007A3481&quot;/&gt;&lt;wsp:rsid wsp:val=&quot;007A353A&quot;/&gt;&lt;wsp:rsid wsp:val=&quot;007A39E2&quot;/&gt;&lt;wsp:rsid wsp:val=&quot;007A3A60&quot;/&gt;&lt;wsp:rsid wsp:val=&quot;007A3C15&quot;/&gt;&lt;wsp:rsid wsp:val=&quot;007A4178&quot;/&gt;&lt;wsp:rsid wsp:val=&quot;007A435C&quot;/&gt;&lt;wsp:rsid wsp:val=&quot;007A586B&quot;/&gt;&lt;wsp:rsid wsp:val=&quot;007A6453&quot;/&gt;&lt;wsp:rsid wsp:val=&quot;007A677B&quot;/&gt;&lt;wsp:rsid wsp:val=&quot;007A6A0B&quot;/&gt;&lt;wsp:rsid wsp:val=&quot;007A6E31&quot;/&gt;&lt;wsp:rsid wsp:val=&quot;007A6FE8&quot;/&gt;&lt;wsp:rsid wsp:val=&quot;007A72AA&quot;/&gt;&lt;wsp:rsid wsp:val=&quot;007A72EC&quot;/&gt;&lt;wsp:rsid wsp:val=&quot;007A73A7&quot;/&gt;&lt;wsp:rsid wsp:val=&quot;007A7A17&quot;/&gt;&lt;wsp:rsid wsp:val=&quot;007A7B90&quot;/&gt;&lt;wsp:rsid wsp:val=&quot;007B019A&quot;/&gt;&lt;wsp:rsid wsp:val=&quot;007B0610&quot;/&gt;&lt;wsp:rsid wsp:val=&quot;007B07BD&quot;/&gt;&lt;wsp:rsid wsp:val=&quot;007B0814&quot;/&gt;&lt;wsp:rsid wsp:val=&quot;007B0ABE&quot;/&gt;&lt;wsp:rsid wsp:val=&quot;007B16A9&quot;/&gt;&lt;wsp:rsid wsp:val=&quot;007B211A&quot;/&gt;&lt;wsp:rsid wsp:val=&quot;007B2583&quot;/&gt;&lt;wsp:rsid wsp:val=&quot;007B275C&quot;/&gt;&lt;wsp:rsid wsp:val=&quot;007B307E&quot;/&gt;&lt;wsp:rsid wsp:val=&quot;007B33FF&quot;/&gt;&lt;wsp:rsid wsp:val=&quot;007B3610&quot;/&gt;&lt;wsp:rsid wsp:val=&quot;007B38D1&quot;/&gt;&lt;wsp:rsid wsp:val=&quot;007B3B6A&quot;/&gt;&lt;wsp:rsid wsp:val=&quot;007B3BDC&quot;/&gt;&lt;wsp:rsid wsp:val=&quot;007B3F99&quot;/&gt;&lt;wsp:rsid wsp:val=&quot;007B42E4&quot;/&gt;&lt;wsp:rsid wsp:val=&quot;007B50D5&quot;/&gt;&lt;wsp:rsid wsp:val=&quot;007B50D6&quot;/&gt;&lt;wsp:rsid wsp:val=&quot;007B5141&quot;/&gt;&lt;wsp:rsid wsp:val=&quot;007B5358&quot;/&gt;&lt;wsp:rsid wsp:val=&quot;007B54A0&quot;/&gt;&lt;wsp:rsid wsp:val=&quot;007B580B&quot;/&gt;&lt;wsp:rsid wsp:val=&quot;007B5B44&quot;/&gt;&lt;wsp:rsid wsp:val=&quot;007B5E24&quot;/&gt;&lt;wsp:rsid wsp:val=&quot;007B69CA&quot;/&gt;&lt;wsp:rsid wsp:val=&quot;007B6B46&quot;/&gt;&lt;wsp:rsid wsp:val=&quot;007B741A&quot;/&gt;&lt;wsp:rsid wsp:val=&quot;007B771F&quot;/&gt;&lt;wsp:rsid wsp:val=&quot;007B7D7F&quot;/&gt;&lt;wsp:rsid wsp:val=&quot;007B7E7D&quot;/&gt;&lt;wsp:rsid wsp:val=&quot;007B7FCB&quot;/&gt;&lt;wsp:rsid wsp:val=&quot;007C0CFB&quot;/&gt;&lt;wsp:rsid wsp:val=&quot;007C0FF4&quot;/&gt;&lt;wsp:rsid wsp:val=&quot;007C11C8&quot;/&gt;&lt;wsp:rsid wsp:val=&quot;007C1591&quot;/&gt;&lt;wsp:rsid wsp:val=&quot;007C20DB&quot;/&gt;&lt;wsp:rsid wsp:val=&quot;007C23CA&quot;/&gt;&lt;wsp:rsid wsp:val=&quot;007C29E7&quot;/&gt;&lt;wsp:rsid wsp:val=&quot;007C2ECB&quot;/&gt;&lt;wsp:rsid wsp:val=&quot;007C2EEE&quot;/&gt;&lt;wsp:rsid wsp:val=&quot;007C32BA&quot;/&gt;&lt;wsp:rsid wsp:val=&quot;007C3367&quot;/&gt;&lt;wsp:rsid wsp:val=&quot;007C364E&quot;/&gt;&lt;wsp:rsid wsp:val=&quot;007C36B1&quot;/&gt;&lt;wsp:rsid wsp:val=&quot;007C3722&quot;/&gt;&lt;wsp:rsid wsp:val=&quot;007C3747&quot;/&gt;&lt;wsp:rsid wsp:val=&quot;007C38D9&quot;/&gt;&lt;wsp:rsid wsp:val=&quot;007C3DE5&quot;/&gt;&lt;wsp:rsid wsp:val=&quot;007C4074&quot;/&gt;&lt;wsp:rsid wsp:val=&quot;007C4F5A&quot;/&gt;&lt;wsp:rsid wsp:val=&quot;007C50F4&quot;/&gt;&lt;wsp:rsid wsp:val=&quot;007C5200&quot;/&gt;&lt;wsp:rsid wsp:val=&quot;007C5581&quot;/&gt;&lt;wsp:rsid wsp:val=&quot;007C5732&quot;/&gt;&lt;wsp:rsid wsp:val=&quot;007C5A5A&quot;/&gt;&lt;wsp:rsid wsp:val=&quot;007C5DA4&quot;/&gt;&lt;wsp:rsid wsp:val=&quot;007C5DD1&quot;/&gt;&lt;wsp:rsid wsp:val=&quot;007C6326&quot;/&gt;&lt;wsp:rsid wsp:val=&quot;007C684E&quot;/&gt;&lt;wsp:rsid wsp:val=&quot;007C6C41&quot;/&gt;&lt;wsp:rsid wsp:val=&quot;007C72F0&quot;/&gt;&lt;wsp:rsid wsp:val=&quot;007C73BA&quot;/&gt;&lt;wsp:rsid wsp:val=&quot;007C7797&quot;/&gt;&lt;wsp:rsid wsp:val=&quot;007C7A6B&quot;/&gt;&lt;wsp:rsid wsp:val=&quot;007C7C0D&quot;/&gt;&lt;wsp:rsid wsp:val=&quot;007D0152&quot;/&gt;&lt;wsp:rsid wsp:val=&quot;007D0A4F&quot;/&gt;&lt;wsp:rsid wsp:val=&quot;007D0CEE&quot;/&gt;&lt;wsp:rsid wsp:val=&quot;007D0E99&quot;/&gt;&lt;wsp:rsid wsp:val=&quot;007D0EC3&quot;/&gt;&lt;wsp:rsid wsp:val=&quot;007D124F&quot;/&gt;&lt;wsp:rsid wsp:val=&quot;007D12C0&quot;/&gt;&lt;wsp:rsid wsp:val=&quot;007D150B&quot;/&gt;&lt;wsp:rsid wsp:val=&quot;007D1607&quot;/&gt;&lt;wsp:rsid wsp:val=&quot;007D1645&quot;/&gt;&lt;wsp:rsid wsp:val=&quot;007D18E0&quot;/&gt;&lt;wsp:rsid wsp:val=&quot;007D1BC1&quot;/&gt;&lt;wsp:rsid wsp:val=&quot;007D1C66&quot;/&gt;&lt;wsp:rsid wsp:val=&quot;007D1CC7&quot;/&gt;&lt;wsp:rsid wsp:val=&quot;007D1CFA&quot;/&gt;&lt;wsp:rsid wsp:val=&quot;007D1E39&quot;/&gt;&lt;wsp:rsid wsp:val=&quot;007D2240&quot;/&gt;&lt;wsp:rsid wsp:val=&quot;007D22B0&quot;/&gt;&lt;wsp:rsid wsp:val=&quot;007D2504&quot;/&gt;&lt;wsp:rsid wsp:val=&quot;007D279A&quot;/&gt;&lt;wsp:rsid wsp:val=&quot;007D2ABA&quot;/&gt;&lt;wsp:rsid wsp:val=&quot;007D2ADC&quot;/&gt;&lt;wsp:rsid wsp:val=&quot;007D2D26&quot;/&gt;&lt;wsp:rsid wsp:val=&quot;007D2EB8&quot;/&gt;&lt;wsp:rsid wsp:val=&quot;007D2EC6&quot;/&gt;&lt;wsp:rsid wsp:val=&quot;007D3264&quot;/&gt;&lt;wsp:rsid wsp:val=&quot;007D32FF&quot;/&gt;&lt;wsp:rsid wsp:val=&quot;007D375C&quot;/&gt;&lt;wsp:rsid wsp:val=&quot;007D3C9B&quot;/&gt;&lt;wsp:rsid wsp:val=&quot;007D409B&quot;/&gt;&lt;wsp:rsid wsp:val=&quot;007D41AB&quot;/&gt;&lt;wsp:rsid wsp:val=&quot;007D4587&quot;/&gt;&lt;wsp:rsid wsp:val=&quot;007D47CB&quot;/&gt;&lt;wsp:rsid wsp:val=&quot;007D4BC7&quot;/&gt;&lt;wsp:rsid wsp:val=&quot;007D4C39&quot;/&gt;&lt;wsp:rsid wsp:val=&quot;007D4D48&quot;/&gt;&lt;wsp:rsid wsp:val=&quot;007D4DA5&quot;/&gt;&lt;wsp:rsid wsp:val=&quot;007D5948&quot;/&gt;&lt;wsp:rsid wsp:val=&quot;007D5B4C&quot;/&gt;&lt;wsp:rsid wsp:val=&quot;007D5C25&quot;/&gt;&lt;wsp:rsid wsp:val=&quot;007D5D86&quot;/&gt;&lt;wsp:rsid wsp:val=&quot;007D5EA0&quot;/&gt;&lt;wsp:rsid wsp:val=&quot;007D5FDB&quot;/&gt;&lt;wsp:rsid wsp:val=&quot;007D627E&quot;/&gt;&lt;wsp:rsid wsp:val=&quot;007D62FD&quot;/&gt;&lt;wsp:rsid wsp:val=&quot;007D6494&quot;/&gt;&lt;wsp:rsid wsp:val=&quot;007D64A7&quot;/&gt;&lt;wsp:rsid wsp:val=&quot;007D6508&quot;/&gt;&lt;wsp:rsid wsp:val=&quot;007D6C21&quot;/&gt;&lt;wsp:rsid wsp:val=&quot;007D716E&quot;/&gt;&lt;wsp:rsid wsp:val=&quot;007D7ACF&quot;/&gt;&lt;wsp:rsid wsp:val=&quot;007D7BCF&quot;/&gt;&lt;wsp:rsid wsp:val=&quot;007E00E4&quot;/&gt;&lt;wsp:rsid wsp:val=&quot;007E0268&quot;/&gt;&lt;wsp:rsid wsp:val=&quot;007E060E&quot;/&gt;&lt;wsp:rsid wsp:val=&quot;007E087A&quot;/&gt;&lt;wsp:rsid wsp:val=&quot;007E0969&quot;/&gt;&lt;wsp:rsid wsp:val=&quot;007E09FA&quot;/&gt;&lt;wsp:rsid wsp:val=&quot;007E1244&quot;/&gt;&lt;wsp:rsid wsp:val=&quot;007E1A43&quot;/&gt;&lt;wsp:rsid wsp:val=&quot;007E1A52&quot;/&gt;&lt;wsp:rsid wsp:val=&quot;007E1ADE&quot;/&gt;&lt;wsp:rsid wsp:val=&quot;007E1D43&quot;/&gt;&lt;wsp:rsid wsp:val=&quot;007E1D4D&quot;/&gt;&lt;wsp:rsid wsp:val=&quot;007E2123&quot;/&gt;&lt;wsp:rsid wsp:val=&quot;007E241C&quot;/&gt;&lt;wsp:rsid wsp:val=&quot;007E2834&quot;/&gt;&lt;wsp:rsid wsp:val=&quot;007E2BC4&quot;/&gt;&lt;wsp:rsid wsp:val=&quot;007E2DA6&quot;/&gt;&lt;wsp:rsid wsp:val=&quot;007E2FA4&quot;/&gt;&lt;wsp:rsid wsp:val=&quot;007E30B9&quot;/&gt;&lt;wsp:rsid wsp:val=&quot;007E3370&quot;/&gt;&lt;wsp:rsid wsp:val=&quot;007E3593&quot;/&gt;&lt;wsp:rsid wsp:val=&quot;007E3686&quot;/&gt;&lt;wsp:rsid wsp:val=&quot;007E3EA5&quot;/&gt;&lt;wsp:rsid wsp:val=&quot;007E3F11&quot;/&gt;&lt;wsp:rsid wsp:val=&quot;007E3F9E&quot;/&gt;&lt;wsp:rsid wsp:val=&quot;007E47F7&quot;/&gt;&lt;wsp:rsid wsp:val=&quot;007E48E6&quot;/&gt;&lt;wsp:rsid wsp:val=&quot;007E4A75&quot;/&gt;&lt;wsp:rsid wsp:val=&quot;007E4A99&quot;/&gt;&lt;wsp:rsid wsp:val=&quot;007E4C83&quot;/&gt;&lt;wsp:rsid wsp:val=&quot;007E4FF9&quot;/&gt;&lt;wsp:rsid wsp:val=&quot;007E56C3&quot;/&gt;&lt;wsp:rsid wsp:val=&quot;007E5D09&quot;/&gt;&lt;wsp:rsid wsp:val=&quot;007E5D15&quot;/&gt;&lt;wsp:rsid wsp:val=&quot;007E60E4&quot;/&gt;&lt;wsp:rsid wsp:val=&quot;007E61AF&quot;/&gt;&lt;wsp:rsid wsp:val=&quot;007E61DC&quot;/&gt;&lt;wsp:rsid wsp:val=&quot;007E6348&quot;/&gt;&lt;wsp:rsid wsp:val=&quot;007E63EE&quot;/&gt;&lt;wsp:rsid wsp:val=&quot;007E64B8&quot;/&gt;&lt;wsp:rsid wsp:val=&quot;007E6716&quot;/&gt;&lt;wsp:rsid wsp:val=&quot;007E67E9&quot;/&gt;&lt;wsp:rsid wsp:val=&quot;007E6845&quot;/&gt;&lt;wsp:rsid wsp:val=&quot;007E684D&quot;/&gt;&lt;wsp:rsid wsp:val=&quot;007E6ADF&quot;/&gt;&lt;wsp:rsid wsp:val=&quot;007E6AFE&quot;/&gt;&lt;wsp:rsid wsp:val=&quot;007E6EC8&quot;/&gt;&lt;wsp:rsid wsp:val=&quot;007E710C&quot;/&gt;&lt;wsp:rsid wsp:val=&quot;007E72A0&quot;/&gt;&lt;wsp:rsid wsp:val=&quot;007E7602&quot;/&gt;&lt;wsp:rsid wsp:val=&quot;007E769B&quot;/&gt;&lt;wsp:rsid wsp:val=&quot;007E76D6&quot;/&gt;&lt;wsp:rsid wsp:val=&quot;007E775F&quot;/&gt;&lt;wsp:rsid wsp:val=&quot;007E7799&quot;/&gt;&lt;wsp:rsid wsp:val=&quot;007E7C3A&quot;/&gt;&lt;wsp:rsid wsp:val=&quot;007F0137&quot;/&gt;&lt;wsp:rsid wsp:val=&quot;007F0F44&quot;/&gt;&lt;wsp:rsid wsp:val=&quot;007F13C7&quot;/&gt;&lt;wsp:rsid wsp:val=&quot;007F13E5&quot;/&gt;&lt;wsp:rsid wsp:val=&quot;007F1C37&quot;/&gt;&lt;wsp:rsid wsp:val=&quot;007F1C87&quot;/&gt;&lt;wsp:rsid wsp:val=&quot;007F1EB8&quot;/&gt;&lt;wsp:rsid wsp:val=&quot;007F2148&quot;/&gt;&lt;wsp:rsid wsp:val=&quot;007F2178&quot;/&gt;&lt;wsp:rsid wsp:val=&quot;007F2329&quot;/&gt;&lt;wsp:rsid wsp:val=&quot;007F2475&quot;/&gt;&lt;wsp:rsid wsp:val=&quot;007F28FE&quot;/&gt;&lt;wsp:rsid wsp:val=&quot;007F2C05&quot;/&gt;&lt;wsp:rsid wsp:val=&quot;007F2F0B&quot;/&gt;&lt;wsp:rsid wsp:val=&quot;007F3061&quot;/&gt;&lt;wsp:rsid wsp:val=&quot;007F31BC&quot;/&gt;&lt;wsp:rsid wsp:val=&quot;007F34DE&quot;/&gt;&lt;wsp:rsid wsp:val=&quot;007F390A&quot;/&gt;&lt;wsp:rsid wsp:val=&quot;007F4472&quot;/&gt;&lt;wsp:rsid wsp:val=&quot;007F4B96&quot;/&gt;&lt;wsp:rsid wsp:val=&quot;007F4F74&quot;/&gt;&lt;wsp:rsid wsp:val=&quot;007F5177&quot;/&gt;&lt;wsp:rsid wsp:val=&quot;007F60E6&quot;/&gt;&lt;wsp:rsid wsp:val=&quot;007F6270&quot;/&gt;&lt;wsp:rsid wsp:val=&quot;007F6404&quot;/&gt;&lt;wsp:rsid wsp:val=&quot;007F718E&quot;/&gt;&lt;wsp:rsid wsp:val=&quot;007F771F&quot;/&gt;&lt;wsp:rsid wsp:val=&quot;007F7A4C&quot;/&gt;&lt;wsp:rsid wsp:val=&quot;008001D8&quot;/&gt;&lt;wsp:rsid wsp:val=&quot;008006A8&quot;/&gt;&lt;wsp:rsid wsp:val=&quot;00800BB8&quot;/&gt;&lt;wsp:rsid wsp:val=&quot;00800E2C&quot;/&gt;&lt;wsp:rsid wsp:val=&quot;00800F0F&quot;/&gt;&lt;wsp:rsid wsp:val=&quot;00801002&quot;/&gt;&lt;wsp:rsid wsp:val=&quot;00802450&quot;/&gt;&lt;wsp:rsid wsp:val=&quot;008025B5&quot;/&gt;&lt;wsp:rsid wsp:val=&quot;0080274C&quot;/&gt;&lt;wsp:rsid wsp:val=&quot;00802CB7&quot;/&gt;&lt;wsp:rsid wsp:val=&quot;00802CDF&quot;/&gt;&lt;wsp:rsid wsp:val=&quot;00802E4A&quot;/&gt;&lt;wsp:rsid wsp:val=&quot;00802EE9&quot;/&gt;&lt;wsp:rsid wsp:val=&quot;00803A2E&quot;/&gt;&lt;wsp:rsid wsp:val=&quot;00803FF4&quot;/&gt;&lt;wsp:rsid wsp:val=&quot;0080414C&quot;/&gt;&lt;wsp:rsid wsp:val=&quot;008041B4&quot;/&gt;&lt;wsp:rsid wsp:val=&quot;008043C2&quot;/&gt;&lt;wsp:rsid wsp:val=&quot;00804428&quot;/&gt;&lt;wsp:rsid wsp:val=&quot;00804761&quot;/&gt;&lt;wsp:rsid wsp:val=&quot;008047A2&quot;/&gt;&lt;wsp:rsid wsp:val=&quot;00804A49&quot;/&gt;&lt;wsp:rsid wsp:val=&quot;00804C46&quot;/&gt;&lt;wsp:rsid wsp:val=&quot;008050C6&quot;/&gt;&lt;wsp:rsid wsp:val=&quot;0080576A&quot;/&gt;&lt;wsp:rsid wsp:val=&quot;00805848&quot;/&gt;&lt;wsp:rsid wsp:val=&quot;00806065&quot;/&gt;&lt;wsp:rsid wsp:val=&quot;00806A5A&quot;/&gt;&lt;wsp:rsid wsp:val=&quot;008071B3&quot;/&gt;&lt;wsp:rsid wsp:val=&quot;00807212&quot;/&gt;&lt;wsp:rsid wsp:val=&quot;0080760F&quot;/&gt;&lt;wsp:rsid wsp:val=&quot;00807880&quot;/&gt;&lt;wsp:rsid wsp:val=&quot;00807C26&quot;/&gt;&lt;wsp:rsid wsp:val=&quot;00807F63&quot;/&gt;&lt;wsp:rsid wsp:val=&quot;00810315&quot;/&gt;&lt;wsp:rsid wsp:val=&quot;00810398&quot;/&gt;&lt;wsp:rsid wsp:val=&quot;00810414&quot;/&gt;&lt;wsp:rsid wsp:val=&quot;00810708&quot;/&gt;&lt;wsp:rsid wsp:val=&quot;008108F0&quot;/&gt;&lt;wsp:rsid wsp:val=&quot;008109F5&quot;/&gt;&lt;wsp:rsid wsp:val=&quot;00810C6B&quot;/&gt;&lt;wsp:rsid wsp:val=&quot;00811081&quot;/&gt;&lt;wsp:rsid wsp:val=&quot;008110E1&quot;/&gt;&lt;wsp:rsid wsp:val=&quot;00811601&quot;/&gt;&lt;wsp:rsid wsp:val=&quot;00811852&quot;/&gt;&lt;wsp:rsid wsp:val=&quot;00811902&quot;/&gt;&lt;wsp:rsid wsp:val=&quot;00811A43&quot;/&gt;&lt;wsp:rsid wsp:val=&quot;00811FE4&quot;/&gt;&lt;wsp:rsid wsp:val=&quot;00812170&quot;/&gt;&lt;wsp:rsid wsp:val=&quot;0081258B&quot;/&gt;&lt;wsp:rsid wsp:val=&quot;00812BBB&quot;/&gt;&lt;wsp:rsid wsp:val=&quot;00812C46&quot;/&gt;&lt;wsp:rsid wsp:val=&quot;00812CD9&quot;/&gt;&lt;wsp:rsid wsp:val=&quot;008132A5&quot;/&gt;&lt;wsp:rsid wsp:val=&quot;00813330&quot;/&gt;&lt;wsp:rsid wsp:val=&quot;00813361&quot;/&gt;&lt;wsp:rsid wsp:val=&quot;008134AA&quot;/&gt;&lt;wsp:rsid wsp:val=&quot;008137F2&quot;/&gt;&lt;wsp:rsid wsp:val=&quot;00813849&quot;/&gt;&lt;wsp:rsid wsp:val=&quot;00814082&quot;/&gt;&lt;wsp:rsid wsp:val=&quot;0081486F&quot;/&gt;&lt;wsp:rsid wsp:val=&quot;00814B3B&quot;/&gt;&lt;wsp:rsid wsp:val=&quot;00814B61&quot;/&gt;&lt;wsp:rsid wsp:val=&quot;00815174&quot;/&gt;&lt;wsp:rsid wsp:val=&quot;008155F9&quot;/&gt;&lt;wsp:rsid wsp:val=&quot;008159A1&quot;/&gt;&lt;wsp:rsid wsp:val=&quot;00815B37&quot;/&gt;&lt;wsp:rsid wsp:val=&quot;00815EA7&quot;/&gt;&lt;wsp:rsid wsp:val=&quot;00815EBD&quot;/&gt;&lt;wsp:rsid wsp:val=&quot;008162FE&quot;/&gt;&lt;wsp:rsid wsp:val=&quot;00816398&quot;/&gt;&lt;wsp:rsid wsp:val=&quot;0081654E&quot;/&gt;&lt;wsp:rsid wsp:val=&quot;00816C1E&quot;/&gt;&lt;wsp:rsid wsp:val=&quot;00816C46&quot;/&gt;&lt;wsp:rsid wsp:val=&quot;00816D56&quot;/&gt;&lt;wsp:rsid wsp:val=&quot;008171AB&quot;/&gt;&lt;wsp:rsid wsp:val=&quot;008172B0&quot;/&gt;&lt;wsp:rsid wsp:val=&quot;00817387&quot;/&gt;&lt;wsp:rsid wsp:val=&quot;0081797F&quot;/&gt;&lt;wsp:rsid wsp:val=&quot;008200DC&quot;/&gt;&lt;wsp:rsid wsp:val=&quot;008203C2&quot;/&gt;&lt;wsp:rsid wsp:val=&quot;00821293&quot;/&gt;&lt;wsp:rsid wsp:val=&quot;00821807&quot;/&gt;&lt;wsp:rsid wsp:val=&quot;00821895&quot;/&gt;&lt;wsp:rsid wsp:val=&quot;00821A6B&quot;/&gt;&lt;wsp:rsid wsp:val=&quot;00821CE2&quot;/&gt;&lt;wsp:rsid wsp:val=&quot;008220BB&quot;/&gt;&lt;wsp:rsid wsp:val=&quot;00822539&quot;/&gt;&lt;wsp:rsid wsp:val=&quot;008234B3&quot;/&gt;&lt;wsp:rsid wsp:val=&quot;00823566&quot;/&gt;&lt;wsp:rsid wsp:val=&quot;00823B15&quot;/&gt;&lt;wsp:rsid wsp:val=&quot;00824561&quot;/&gt;&lt;wsp:rsid wsp:val=&quot;0082502E&quot;/&gt;&lt;wsp:rsid wsp:val=&quot;008251CA&quot;/&gt;&lt;wsp:rsid wsp:val=&quot;008253C6&quot;/&gt;&lt;wsp:rsid wsp:val=&quot;008253F0&quot;/&gt;&lt;wsp:rsid wsp:val=&quot;008256F2&quot;/&gt;&lt;wsp:rsid wsp:val=&quot;00825F83&quot;/&gt;&lt;wsp:rsid wsp:val=&quot;0082612E&quot;/&gt;&lt;wsp:rsid wsp:val=&quot;008262C5&quot;/&gt;&lt;wsp:rsid wsp:val=&quot;00826510&quot;/&gt;&lt;wsp:rsid wsp:val=&quot;0082706E&quot;/&gt;&lt;wsp:rsid wsp:val=&quot;0082759B&quot;/&gt;&lt;wsp:rsid wsp:val=&quot;00827BCA&quot;/&gt;&lt;wsp:rsid wsp:val=&quot;00827DAD&quot;/&gt;&lt;wsp:rsid wsp:val=&quot;00827F05&quot;/&gt;&lt;wsp:rsid wsp:val=&quot;00827F6D&quot;/&gt;&lt;wsp:rsid wsp:val=&quot;0083080E&quot;/&gt;&lt;wsp:rsid wsp:val=&quot;0083086C&quot;/&gt;&lt;wsp:rsid wsp:val=&quot;00830CF4&quot;/&gt;&lt;wsp:rsid wsp:val=&quot;00830DAF&quot;/&gt;&lt;wsp:rsid wsp:val=&quot;00830F63&quot;/&gt;&lt;wsp:rsid wsp:val=&quot;00830F77&quot;/&gt;&lt;wsp:rsid wsp:val=&quot;008311D9&quot;/&gt;&lt;wsp:rsid wsp:val=&quot;00831486&quot;/&gt;&lt;wsp:rsid wsp:val=&quot;00831AC1&quot;/&gt;&lt;wsp:rsid wsp:val=&quot;00831F2E&quot;/&gt;&lt;wsp:rsid wsp:val=&quot;008325A4&quot;/&gt;&lt;wsp:rsid wsp:val=&quot;00832ADC&quot;/&gt;&lt;wsp:rsid wsp:val=&quot;00832E81&quot;/&gt;&lt;wsp:rsid wsp:val=&quot;00833A63&quot;/&gt;&lt;wsp:rsid wsp:val=&quot;00833BF2&quot;/&gt;&lt;wsp:rsid wsp:val=&quot;00833D11&quot;/&gt;&lt;wsp:rsid wsp:val=&quot;00833D69&quot;/&gt;&lt;wsp:rsid wsp:val=&quot;00833F52&quot;/&gt;&lt;wsp:rsid wsp:val=&quot;00834120&quot;/&gt;&lt;wsp:rsid wsp:val=&quot;00834185&quot;/&gt;&lt;wsp:rsid wsp:val=&quot;00834541&quot;/&gt;&lt;wsp:rsid wsp:val=&quot;00834920&quot;/&gt;&lt;wsp:rsid wsp:val=&quot;008349E6&quot;/&gt;&lt;wsp:rsid wsp:val=&quot;00834C64&quot;/&gt;&lt;wsp:rsid wsp:val=&quot;00834ECA&quot;/&gt;&lt;wsp:rsid wsp:val=&quot;00834ED1&quot;/&gt;&lt;wsp:rsid wsp:val=&quot;00834EE9&quot;/&gt;&lt;wsp:rsid wsp:val=&quot;00835031&quot;/&gt;&lt;wsp:rsid wsp:val=&quot;008354B6&quot;/&gt;&lt;wsp:rsid wsp:val=&quot;00835797&quot;/&gt;&lt;wsp:rsid wsp:val=&quot;00835A24&quot;/&gt;&lt;wsp:rsid wsp:val=&quot;00835B9C&quot;/&gt;&lt;wsp:rsid wsp:val=&quot;00835BEA&quot;/&gt;&lt;wsp:rsid wsp:val=&quot;00835C42&quot;/&gt;&lt;wsp:rsid wsp:val=&quot;00836133&quot;/&gt;&lt;wsp:rsid wsp:val=&quot;0083635A&quot;/&gt;&lt;wsp:rsid wsp:val=&quot;008365CB&quot;/&gt;&lt;wsp:rsid wsp:val=&quot;00836C7C&quot;/&gt;&lt;wsp:rsid wsp:val=&quot;00836DB2&quot;/&gt;&lt;wsp:rsid wsp:val=&quot;00836F53&quot;/&gt;&lt;wsp:rsid wsp:val=&quot;00837197&quot;/&gt;&lt;wsp:rsid wsp:val=&quot;008375F6&quot;/&gt;&lt;wsp:rsid wsp:val=&quot;008377FE&quot;/&gt;&lt;wsp:rsid wsp:val=&quot;00837A1D&quot;/&gt;&lt;wsp:rsid wsp:val=&quot;00837D64&quot;/&gt;&lt;wsp:rsid wsp:val=&quot;00837E77&quot;/&gt;&lt;wsp:rsid wsp:val=&quot;008400EC&quot;/&gt;&lt;wsp:rsid wsp:val=&quot;0084034A&quot;/&gt;&lt;wsp:rsid wsp:val=&quot;00840447&quot;/&gt;&lt;wsp:rsid wsp:val=&quot;0084099B&quot;/&gt;&lt;wsp:rsid wsp:val=&quot;00840F5A&quot;/&gt;&lt;wsp:rsid wsp:val=&quot;00840FC2&quot;/&gt;&lt;wsp:rsid wsp:val=&quot;0084150B&quot;/&gt;&lt;wsp:rsid wsp:val=&quot;0084178A&quot;/&gt;&lt;wsp:rsid wsp:val=&quot;00841F2F&quot;/&gt;&lt;wsp:rsid wsp:val=&quot;00841F32&quot;/&gt;&lt;wsp:rsid wsp:val=&quot;00841FD5&quot;/&gt;&lt;wsp:rsid wsp:val=&quot;0084207E&quot;/&gt;&lt;wsp:rsid wsp:val=&quot;00843913&quot;/&gt;&lt;wsp:rsid wsp:val=&quot;00843B1E&quot;/&gt;&lt;wsp:rsid wsp:val=&quot;00843B27&quot;/&gt;&lt;wsp:rsid wsp:val=&quot;00844103&quot;/&gt;&lt;wsp:rsid wsp:val=&quot;008441EA&quot;/&gt;&lt;wsp:rsid wsp:val=&quot;00844794&quot;/&gt;&lt;wsp:rsid wsp:val=&quot;008447E6&quot;/&gt;&lt;wsp:rsid wsp:val=&quot;0084482C&quot;/&gt;&lt;wsp:rsid wsp:val=&quot;00845048&quot;/&gt;&lt;wsp:rsid wsp:val=&quot;008452FB&quot;/&gt;&lt;wsp:rsid wsp:val=&quot;008457C9&quot;/&gt;&lt;wsp:rsid wsp:val=&quot;00845898&quot;/&gt;&lt;wsp:rsid wsp:val=&quot;00845C8D&quot;/&gt;&lt;wsp:rsid wsp:val=&quot;00845F37&quot;/&gt;&lt;wsp:rsid wsp:val=&quot;0084642F&quot;/&gt;&lt;wsp:rsid wsp:val=&quot;00846458&quot;/&gt;&lt;wsp:rsid wsp:val=&quot;008465F4&quot;/&gt;&lt;wsp:rsid wsp:val=&quot;00846A80&quot;/&gt;&lt;wsp:rsid wsp:val=&quot;00847162&quot;/&gt;&lt;wsp:rsid wsp:val=&quot;008472BD&quot;/&gt;&lt;wsp:rsid wsp:val=&quot;008473E4&quot;/&gt;&lt;wsp:rsid wsp:val=&quot;008477EC&quot;/&gt;&lt;wsp:rsid wsp:val=&quot;008479D2&quot;/&gt;&lt;wsp:rsid wsp:val=&quot;00847D45&quot;/&gt;&lt;wsp:rsid wsp:val=&quot;00847DFB&quot;/&gt;&lt;wsp:rsid wsp:val=&quot;00847E31&quot;/&gt;&lt;wsp:rsid wsp:val=&quot;00850BAB&quot;/&gt;&lt;wsp:rsid wsp:val=&quot;00851693&quot;/&gt;&lt;wsp:rsid wsp:val=&quot;0085176F&quot;/&gt;&lt;wsp:rsid wsp:val=&quot;0085195C&quot;/&gt;&lt;wsp:rsid wsp:val=&quot;00851F11&quot;/&gt;&lt;wsp:rsid wsp:val=&quot;008521E1&quot;/&gt;&lt;wsp:rsid wsp:val=&quot;0085225F&quot;/&gt;&lt;wsp:rsid wsp:val=&quot;00852400&quot;/&gt;&lt;wsp:rsid wsp:val=&quot;00852D44&quot;/&gt;&lt;wsp:rsid wsp:val=&quot;008530EB&quot;/&gt;&lt;wsp:rsid wsp:val=&quot;0085337D&quot;/&gt;&lt;wsp:rsid wsp:val=&quot;008533E2&quot;/&gt;&lt;wsp:rsid wsp:val=&quot;0085363E&quot;/&gt;&lt;wsp:rsid wsp:val=&quot;00853EC8&quot;/&gt;&lt;wsp:rsid wsp:val=&quot;00853EDE&quot;/&gt;&lt;wsp:rsid wsp:val=&quot;0085402E&quot;/&gt;&lt;wsp:rsid wsp:val=&quot;008541BF&quot;/&gt;&lt;wsp:rsid wsp:val=&quot;008545D3&quot;/&gt;&lt;wsp:rsid wsp:val=&quot;00854628&quot;/&gt;&lt;wsp:rsid wsp:val=&quot;008547C4&quot;/&gt;&lt;wsp:rsid wsp:val=&quot;00854A4F&quot;/&gt;&lt;wsp:rsid wsp:val=&quot;00854D45&quot;/&gt;&lt;wsp:rsid wsp:val=&quot;00854F38&quot;/&gt;&lt;wsp:rsid wsp:val=&quot;00855083&quot;/&gt;&lt;wsp:rsid wsp:val=&quot;00855EDE&quot;/&gt;&lt;wsp:rsid wsp:val=&quot;00855F9C&quot;/&gt;&lt;wsp:rsid wsp:val=&quot;00856487&quot;/&gt;&lt;wsp:rsid wsp:val=&quot;0085684E&quot;/&gt;&lt;wsp:rsid wsp:val=&quot;00856EBC&quot;/&gt;&lt;wsp:rsid wsp:val=&quot;00857644&quot;/&gt;&lt;wsp:rsid wsp:val=&quot;00857B5D&quot;/&gt;&lt;wsp:rsid wsp:val=&quot;00857BD4&quot;/&gt;&lt;wsp:rsid wsp:val=&quot;00857C3A&quot;/&gt;&lt;wsp:rsid wsp:val=&quot;00857F77&quot;/&gt;&lt;wsp:rsid wsp:val=&quot;00860617&quot;/&gt;&lt;wsp:rsid wsp:val=&quot;008606ED&quot;/&gt;&lt;wsp:rsid wsp:val=&quot;0086099B&quot;/&gt;&lt;wsp:rsid wsp:val=&quot;00860CB8&quot;/&gt;&lt;wsp:rsid wsp:val=&quot;00860E78&quot;/&gt;&lt;wsp:rsid wsp:val=&quot;00860F42&quot;/&gt;&lt;wsp:rsid wsp:val=&quot;0086129F&quot;/&gt;&lt;wsp:rsid wsp:val=&quot;00861D60&quot;/&gt;&lt;wsp:rsid wsp:val=&quot;0086286D&quot;/&gt;&lt;wsp:rsid wsp:val=&quot;0086299E&quot;/&gt;&lt;wsp:rsid wsp:val=&quot;00862A79&quot;/&gt;&lt;wsp:rsid wsp:val=&quot;00862B26&quot;/&gt;&lt;wsp:rsid wsp:val=&quot;00862DF6&quot;/&gt;&lt;wsp:rsid wsp:val=&quot;0086306A&quot;/&gt;&lt;wsp:rsid wsp:val=&quot;0086392F&quot;/&gt;&lt;wsp:rsid wsp:val=&quot;00863A18&quot;/&gt;&lt;wsp:rsid wsp:val=&quot;00863A9C&quot;/&gt;&lt;wsp:rsid wsp:val=&quot;00863AAB&quot;/&gt;&lt;wsp:rsid wsp:val=&quot;00863B3E&quot;/&gt;&lt;wsp:rsid wsp:val=&quot;00863BCA&quot;/&gt;&lt;wsp:rsid wsp:val=&quot;00863C5D&quot;/&gt;&lt;wsp:rsid wsp:val=&quot;00864B9C&quot;/&gt;&lt;wsp:rsid wsp:val=&quot;00864DD5&quot;/&gt;&lt;wsp:rsid wsp:val=&quot;00864E60&quot;/&gt;&lt;wsp:rsid wsp:val=&quot;008651C2&quot;/&gt;&lt;wsp:rsid wsp:val=&quot;008656B8&quot;/&gt;&lt;wsp:rsid wsp:val=&quot;0086572F&quot;/&gt;&lt;wsp:rsid wsp:val=&quot;00865818&quot;/&gt;&lt;wsp:rsid wsp:val=&quot;0086582D&quot;/&gt;&lt;wsp:rsid wsp:val=&quot;00865D23&quot;/&gt;&lt;wsp:rsid wsp:val=&quot;00866052&quot;/&gt;&lt;wsp:rsid wsp:val=&quot;00866268&quot;/&gt;&lt;wsp:rsid wsp:val=&quot;008668B7&quot;/&gt;&lt;wsp:rsid wsp:val=&quot;00866EEA&quot;/&gt;&lt;wsp:rsid wsp:val=&quot;0086727A&quot;/&gt;&lt;wsp:rsid wsp:val=&quot;00867798&quot;/&gt;&lt;wsp:rsid wsp:val=&quot;008677CD&quot;/&gt;&lt;wsp:rsid wsp:val=&quot;00867A65&quot;/&gt;&lt;wsp:rsid wsp:val=&quot;00867C5A&quot;/&gt;&lt;wsp:rsid wsp:val=&quot;00867CB4&quot;/&gt;&lt;wsp:rsid wsp:val=&quot;00867CC3&quot;/&gt;&lt;wsp:rsid wsp:val=&quot;00867D03&quot;/&gt;&lt;wsp:rsid wsp:val=&quot;00867D35&quot;/&gt;&lt;wsp:rsid wsp:val=&quot;0087007F&quot;/&gt;&lt;wsp:rsid wsp:val=&quot;0087015A&quot;/&gt;&lt;wsp:rsid wsp:val=&quot;00870441&quot;/&gt;&lt;wsp:rsid wsp:val=&quot;008705CF&quot;/&gt;&lt;wsp:rsid wsp:val=&quot;00870F38&quot;/&gt;&lt;wsp:rsid wsp:val=&quot;00871074&quot;/&gt;&lt;wsp:rsid wsp:val=&quot;00871C8C&quot;/&gt;&lt;wsp:rsid wsp:val=&quot;008720CB&quot;/&gt;&lt;wsp:rsid wsp:val=&quot;008726A9&quot;/&gt;&lt;wsp:rsid wsp:val=&quot;00872787&quot;/&gt;&lt;wsp:rsid wsp:val=&quot;008729D0&quot;/&gt;&lt;wsp:rsid wsp:val=&quot;00872C40&quot;/&gt;&lt;wsp:rsid wsp:val=&quot;00872D7F&quot;/&gt;&lt;wsp:rsid wsp:val=&quot;00872DB3&quot;/&gt;&lt;wsp:rsid wsp:val=&quot;008736C3&quot;/&gt;&lt;wsp:rsid wsp:val=&quot;0087390D&quot;/&gt;&lt;wsp:rsid wsp:val=&quot;00873CBA&quot;/&gt;&lt;wsp:rsid wsp:val=&quot;00874008&quot;/&gt;&lt;wsp:rsid wsp:val=&quot;008740A4&quot;/&gt;&lt;wsp:rsid wsp:val=&quot;00874188&quot;/&gt;&lt;wsp:rsid wsp:val=&quot;0087486B&quot;/&gt;&lt;wsp:rsid wsp:val=&quot;00875314&quot;/&gt;&lt;wsp:rsid wsp:val=&quot;0087532C&quot;/&gt;&lt;wsp:rsid wsp:val=&quot;00875357&quot;/&gt;&lt;wsp:rsid wsp:val=&quot;00875535&quot;/&gt;&lt;wsp:rsid wsp:val=&quot;00875647&quot;/&gt;&lt;wsp:rsid wsp:val=&quot;00875C02&quot;/&gt;&lt;wsp:rsid wsp:val=&quot;00875C95&quot;/&gt;&lt;wsp:rsid wsp:val=&quot;0087627E&quot;/&gt;&lt;wsp:rsid wsp:val=&quot;00876323&quot;/&gt;&lt;wsp:rsid wsp:val=&quot;00876E08&quot;/&gt;&lt;wsp:rsid wsp:val=&quot;008771C4&quot;/&gt;&lt;wsp:rsid wsp:val=&quot;008771E1&quot;/&gt;&lt;wsp:rsid wsp:val=&quot;008772EF&quot;/&gt;&lt;wsp:rsid wsp:val=&quot;00877482&quot;/&gt;&lt;wsp:rsid wsp:val=&quot;0087793A&quot;/&gt;&lt;wsp:rsid wsp:val=&quot;00877A42&quot;/&gt;&lt;wsp:rsid wsp:val=&quot;00877CCA&quot;/&gt;&lt;wsp:rsid wsp:val=&quot;00877E26&quot;/&gt;&lt;wsp:rsid wsp:val=&quot;00877F97&quot;/&gt;&lt;wsp:rsid wsp:val=&quot;00880187&quot;/&gt;&lt;wsp:rsid wsp:val=&quot;008807B2&quot;/&gt;&lt;wsp:rsid wsp:val=&quot;00880B0F&quot;/&gt;&lt;wsp:rsid wsp:val=&quot;00880B38&quot;/&gt;&lt;wsp:rsid wsp:val=&quot;008810ED&quot;/&gt;&lt;wsp:rsid wsp:val=&quot;0088155F&quot;/&gt;&lt;wsp:rsid wsp:val=&quot;00881959&quot;/&gt;&lt;wsp:rsid wsp:val=&quot;00881ABE&quot;/&gt;&lt;wsp:rsid wsp:val=&quot;00881C47&quot;/&gt;&lt;wsp:rsid wsp:val=&quot;00881FA6&quot;/&gt;&lt;wsp:rsid wsp:val=&quot;00881FC5&quot;/&gt;&lt;wsp:rsid wsp:val=&quot;008827B5&quot;/&gt;&lt;wsp:rsid wsp:val=&quot;00882E0E&quot;/&gt;&lt;wsp:rsid wsp:val=&quot;00883479&quot;/&gt;&lt;wsp:rsid wsp:val=&quot;00883601&quot;/&gt;&lt;wsp:rsid wsp:val=&quot;00884438&quot;/&gt;&lt;wsp:rsid wsp:val=&quot;008845D2&quot;/&gt;&lt;wsp:rsid wsp:val=&quot;00884689&quot;/&gt;&lt;wsp:rsid wsp:val=&quot;00884986&quot;/&gt;&lt;wsp:rsid wsp:val=&quot;00884E3A&quot;/&gt;&lt;wsp:rsid wsp:val=&quot;00884F66&quot;/&gt;&lt;wsp:rsid wsp:val=&quot;00885945&quot;/&gt;&lt;wsp:rsid wsp:val=&quot;00886031&quot;/&gt;&lt;wsp:rsid wsp:val=&quot;00886287&quot;/&gt;&lt;wsp:rsid wsp:val=&quot;008865EF&quot;/&gt;&lt;wsp:rsid wsp:val=&quot;00886926&quot;/&gt;&lt;wsp:rsid wsp:val=&quot;008869CD&quot;/&gt;&lt;wsp:rsid wsp:val=&quot;00886C82&quot;/&gt;&lt;wsp:rsid wsp:val=&quot;00886CA9&quot;/&gt;&lt;wsp:rsid wsp:val=&quot;00886F3F&quot;/&gt;&lt;wsp:rsid wsp:val=&quot;00887159&quot;/&gt;&lt;wsp:rsid wsp:val=&quot;008871E3&quot;/&gt;&lt;wsp:rsid wsp:val=&quot;0088732A&quot;/&gt;&lt;wsp:rsid wsp:val=&quot;008876C3&quot;/&gt;&lt;wsp:rsid wsp:val=&quot;0088771E&quot;/&gt;&lt;wsp:rsid wsp:val=&quot;00887E0A&quot;/&gt;&lt;wsp:rsid wsp:val=&quot;00887F79&quot;/&gt;&lt;wsp:rsid wsp:val=&quot;00890178&quot;/&gt;&lt;wsp:rsid wsp:val=&quot;0089018B&quot;/&gt;&lt;wsp:rsid wsp:val=&quot;008908F5&quot;/&gt;&lt;wsp:rsid wsp:val=&quot;00890907&quot;/&gt;&lt;wsp:rsid wsp:val=&quot;00890DFA&quot;/&gt;&lt;wsp:rsid wsp:val=&quot;00890F78&quot;/&gt;&lt;wsp:rsid wsp:val=&quot;0089120C&quot;/&gt;&lt;wsp:rsid wsp:val=&quot;008912E6&quot;/&gt;&lt;wsp:rsid wsp:val=&quot;0089138D&quot;/&gt;&lt;wsp:rsid wsp:val=&quot;00891863&quot;/&gt;&lt;wsp:rsid wsp:val=&quot;00891FAF&quot;/&gt;&lt;wsp:rsid wsp:val=&quot;008925B1&quot;/&gt;&lt;wsp:rsid wsp:val=&quot;0089275F&quot;/&gt;&lt;wsp:rsid wsp:val=&quot;00892A3B&quot;/&gt;&lt;wsp:rsid wsp:val=&quot;00892CA5&quot;/&gt;&lt;wsp:rsid wsp:val=&quot;00892E00&quot;/&gt;&lt;wsp:rsid wsp:val=&quot;00892E48&quot;/&gt;&lt;wsp:rsid wsp:val=&quot;00892E84&quot;/&gt;&lt;wsp:rsid wsp:val=&quot;0089333C&quot;/&gt;&lt;wsp:rsid wsp:val=&quot;00893479&quot;/&gt;&lt;wsp:rsid wsp:val=&quot;00893902&quot;/&gt;&lt;wsp:rsid wsp:val=&quot;00893A12&quot;/&gt;&lt;wsp:rsid wsp:val=&quot;00894712&quot;/&gt;&lt;wsp:rsid wsp:val=&quot;00894888&quot;/&gt;&lt;wsp:rsid wsp:val=&quot;008949DC&quot;/&gt;&lt;wsp:rsid wsp:val=&quot;00894D38&quot;/&gt;&lt;wsp:rsid wsp:val=&quot;00894EB0&quot;/&gt;&lt;wsp:rsid wsp:val=&quot;008950DA&quot;/&gt;&lt;wsp:rsid wsp:val=&quot;00895431&quot;/&gt;&lt;wsp:rsid wsp:val=&quot;00896177&quot;/&gt;&lt;wsp:rsid wsp:val=&quot;0089699E&quot;/&gt;&lt;wsp:rsid wsp:val=&quot;00896A7F&quot;/&gt;&lt;wsp:rsid wsp:val=&quot;00897169&quot;/&gt;&lt;wsp:rsid wsp:val=&quot;00897285&quot;/&gt;&lt;wsp:rsid wsp:val=&quot;00897399&quot;/&gt;&lt;wsp:rsid wsp:val=&quot;00897681&quot;/&gt;&lt;wsp:rsid wsp:val=&quot;0089779C&quot;/&gt;&lt;wsp:rsid wsp:val=&quot;00897D80&quot;/&gt;&lt;wsp:rsid wsp:val=&quot;00897DD2&quot;/&gt;&lt;wsp:rsid wsp:val=&quot;008A0385&quot;/&gt;&lt;wsp:rsid wsp:val=&quot;008A0DCD&quot;/&gt;&lt;wsp:rsid wsp:val=&quot;008A0EDE&quot;/&gt;&lt;wsp:rsid wsp:val=&quot;008A0EE8&quot;/&gt;&lt;wsp:rsid wsp:val=&quot;008A1306&quot;/&gt;&lt;wsp:rsid wsp:val=&quot;008A14C4&quot;/&gt;&lt;wsp:rsid wsp:val=&quot;008A20A1&quot;/&gt;&lt;wsp:rsid wsp:val=&quot;008A241C&quot;/&gt;&lt;wsp:rsid wsp:val=&quot;008A247F&quot;/&gt;&lt;wsp:rsid wsp:val=&quot;008A25DF&quot;/&gt;&lt;wsp:rsid wsp:val=&quot;008A2A7F&quot;/&gt;&lt;wsp:rsid wsp:val=&quot;008A2BC2&quot;/&gt;&lt;wsp:rsid wsp:val=&quot;008A2EED&quot;/&gt;&lt;wsp:rsid wsp:val=&quot;008A3B93&quot;/&gt;&lt;wsp:rsid wsp:val=&quot;008A3C64&quot;/&gt;&lt;wsp:rsid wsp:val=&quot;008A3D0B&quot;/&gt;&lt;wsp:rsid wsp:val=&quot;008A3EBD&quot;/&gt;&lt;wsp:rsid wsp:val=&quot;008A3FE9&quot;/&gt;&lt;wsp:rsid wsp:val=&quot;008A4144&quot;/&gt;&lt;wsp:rsid wsp:val=&quot;008A4E20&quot;/&gt;&lt;wsp:rsid wsp:val=&quot;008A4EA3&quot;/&gt;&lt;wsp:rsid wsp:val=&quot;008A5893&quot;/&gt;&lt;wsp:rsid wsp:val=&quot;008A5F7B&quot;/&gt;&lt;wsp:rsid wsp:val=&quot;008A6419&quot;/&gt;&lt;wsp:rsid wsp:val=&quot;008A6E62&quot;/&gt;&lt;wsp:rsid wsp:val=&quot;008A7024&quot;/&gt;&lt;wsp:rsid wsp:val=&quot;008A760B&quot;/&gt;&lt;wsp:rsid wsp:val=&quot;008A7E5B&quot;/&gt;&lt;wsp:rsid wsp:val=&quot;008A7F16&quot;/&gt;&lt;wsp:rsid wsp:val=&quot;008A7FF1&quot;/&gt;&lt;wsp:rsid wsp:val=&quot;008B03B8&quot;/&gt;&lt;wsp:rsid wsp:val=&quot;008B0AEA&quot;/&gt;&lt;wsp:rsid wsp:val=&quot;008B0CE3&quot;/&gt;&lt;wsp:rsid wsp:val=&quot;008B0CFB&quot;/&gt;&lt;wsp:rsid wsp:val=&quot;008B0D74&quot;/&gt;&lt;wsp:rsid wsp:val=&quot;008B1657&quot;/&gt;&lt;wsp:rsid wsp:val=&quot;008B167F&quot;/&gt;&lt;wsp:rsid wsp:val=&quot;008B1B1E&quot;/&gt;&lt;wsp:rsid wsp:val=&quot;008B1C53&quot;/&gt;&lt;wsp:rsid wsp:val=&quot;008B1EDF&quot;/&gt;&lt;wsp:rsid wsp:val=&quot;008B21D4&quot;/&gt;&lt;wsp:rsid wsp:val=&quot;008B22BA&quot;/&gt;&lt;wsp:rsid wsp:val=&quot;008B2A6C&quot;/&gt;&lt;wsp:rsid wsp:val=&quot;008B2C88&quot;/&gt;&lt;wsp:rsid wsp:val=&quot;008B317E&quot;/&gt;&lt;wsp:rsid wsp:val=&quot;008B3BFC&quot;/&gt;&lt;wsp:rsid wsp:val=&quot;008B417A&quot;/&gt;&lt;wsp:rsid wsp:val=&quot;008B47DF&quot;/&gt;&lt;wsp:rsid wsp:val=&quot;008B4ACB&quot;/&gt;&lt;wsp:rsid wsp:val=&quot;008B4BD6&quot;/&gt;&lt;wsp:rsid wsp:val=&quot;008B4C4F&quot;/&gt;&lt;wsp:rsid wsp:val=&quot;008B4CD5&quot;/&gt;&lt;wsp:rsid wsp:val=&quot;008B4D67&quot;/&gt;&lt;wsp:rsid wsp:val=&quot;008B513C&quot;/&gt;&lt;wsp:rsid wsp:val=&quot;008B515C&quot;/&gt;&lt;wsp:rsid wsp:val=&quot;008B544C&quot;/&gt;&lt;wsp:rsid wsp:val=&quot;008B5962&quot;/&gt;&lt;wsp:rsid wsp:val=&quot;008B62D2&quot;/&gt;&lt;wsp:rsid wsp:val=&quot;008B6326&quot;/&gt;&lt;wsp:rsid wsp:val=&quot;008B6513&quot;/&gt;&lt;wsp:rsid wsp:val=&quot;008B6CC7&quot;/&gt;&lt;wsp:rsid wsp:val=&quot;008B7083&quot;/&gt;&lt;wsp:rsid wsp:val=&quot;008B79F6&quot;/&gt;&lt;wsp:rsid wsp:val=&quot;008B7BA6&quot;/&gt;&lt;wsp:rsid wsp:val=&quot;008B7BDD&quot;/&gt;&lt;wsp:rsid wsp:val=&quot;008C004F&quot;/&gt;&lt;wsp:rsid wsp:val=&quot;008C00FA&quot;/&gt;&lt;wsp:rsid wsp:val=&quot;008C031E&quot;/&gt;&lt;wsp:rsid wsp:val=&quot;008C0496&quot;/&gt;&lt;wsp:rsid wsp:val=&quot;008C0725&quot;/&gt;&lt;wsp:rsid wsp:val=&quot;008C09C3&quot;/&gt;&lt;wsp:rsid wsp:val=&quot;008C0A2C&quot;/&gt;&lt;wsp:rsid wsp:val=&quot;008C0CD1&quot;/&gt;&lt;wsp:rsid wsp:val=&quot;008C0FCD&quot;/&gt;&lt;wsp:rsid wsp:val=&quot;008C141C&quot;/&gt;&lt;wsp:rsid wsp:val=&quot;008C178B&quot;/&gt;&lt;wsp:rsid wsp:val=&quot;008C1CEF&quot;/&gt;&lt;wsp:rsid wsp:val=&quot;008C1FB8&quot;/&gt;&lt;wsp:rsid wsp:val=&quot;008C2188&quot;/&gt;&lt;wsp:rsid wsp:val=&quot;008C28FC&quot;/&gt;&lt;wsp:rsid wsp:val=&quot;008C2B53&quot;/&gt;&lt;wsp:rsid wsp:val=&quot;008C2C5D&quot;/&gt;&lt;wsp:rsid wsp:val=&quot;008C2DF1&quot;/&gt;&lt;wsp:rsid wsp:val=&quot;008C2E09&quot;/&gt;&lt;wsp:rsid wsp:val=&quot;008C2E73&quot;/&gt;&lt;wsp:rsid wsp:val=&quot;008C2F26&quot;/&gt;&lt;wsp:rsid wsp:val=&quot;008C304E&quot;/&gt;&lt;wsp:rsid wsp:val=&quot;008C3341&quot;/&gt;&lt;wsp:rsid wsp:val=&quot;008C3B27&quot;/&gt;&lt;wsp:rsid wsp:val=&quot;008C40F4&quot;/&gt;&lt;wsp:rsid wsp:val=&quot;008C4236&quot;/&gt;&lt;wsp:rsid wsp:val=&quot;008C440D&quot;/&gt;&lt;wsp:rsid wsp:val=&quot;008C45EB&quot;/&gt;&lt;wsp:rsid wsp:val=&quot;008C4AA7&quot;/&gt;&lt;wsp:rsid wsp:val=&quot;008C5370&quot;/&gt;&lt;wsp:rsid wsp:val=&quot;008C53E6&quot;/&gt;&lt;wsp:rsid wsp:val=&quot;008C61E8&quot;/&gt;&lt;wsp:rsid wsp:val=&quot;008C65D8&quot;/&gt;&lt;wsp:rsid wsp:val=&quot;008C6723&quot;/&gt;&lt;wsp:rsid wsp:val=&quot;008C69F0&quot;/&gt;&lt;wsp:rsid wsp:val=&quot;008C6F58&quot;/&gt;&lt;wsp:rsid wsp:val=&quot;008C71C6&quot;/&gt;&lt;wsp:rsid wsp:val=&quot;008C7236&quot;/&gt;&lt;wsp:rsid wsp:val=&quot;008C7457&quot;/&gt;&lt;wsp:rsid wsp:val=&quot;008C765C&quot;/&gt;&lt;wsp:rsid wsp:val=&quot;008C7731&quot;/&gt;&lt;wsp:rsid wsp:val=&quot;008C77E4&quot;/&gt;&lt;wsp:rsid wsp:val=&quot;008C7A0B&quot;/&gt;&lt;wsp:rsid wsp:val=&quot;008C7A60&quot;/&gt;&lt;wsp:rsid wsp:val=&quot;008C7B67&quot;/&gt;&lt;wsp:rsid wsp:val=&quot;008C7F15&quot;/&gt;&lt;wsp:rsid wsp:val=&quot;008D09DE&quot;/&gt;&lt;wsp:rsid wsp:val=&quot;008D0F15&quot;/&gt;&lt;wsp:rsid wsp:val=&quot;008D1621&quot;/&gt;&lt;wsp:rsid wsp:val=&quot;008D172B&quot;/&gt;&lt;wsp:rsid wsp:val=&quot;008D1BA5&quot;/&gt;&lt;wsp:rsid wsp:val=&quot;008D2C98&quot;/&gt;&lt;wsp:rsid wsp:val=&quot;008D3458&quot;/&gt;&lt;wsp:rsid wsp:val=&quot;008D345E&quot;/&gt;&lt;wsp:rsid wsp:val=&quot;008D3466&quot;/&gt;&lt;wsp:rsid wsp:val=&quot;008D3B15&quot;/&gt;&lt;wsp:rsid wsp:val=&quot;008D3B7B&quot;/&gt;&lt;wsp:rsid wsp:val=&quot;008D3C87&quot;/&gt;&lt;wsp:rsid wsp:val=&quot;008D4662&quot;/&gt;&lt;wsp:rsid wsp:val=&quot;008D46B1&quot;/&gt;&lt;wsp:rsid wsp:val=&quot;008D5085&quot;/&gt;&lt;wsp:rsid wsp:val=&quot;008D514A&quot;/&gt;&lt;wsp:rsid wsp:val=&quot;008D55C8&quot;/&gt;&lt;wsp:rsid wsp:val=&quot;008D621C&quot;/&gt;&lt;wsp:rsid wsp:val=&quot;008D656C&quot;/&gt;&lt;wsp:rsid wsp:val=&quot;008D6AB6&quot;/&gt;&lt;wsp:rsid wsp:val=&quot;008D6AEA&quot;/&gt;&lt;wsp:rsid wsp:val=&quot;008D6F9D&quot;/&gt;&lt;wsp:rsid wsp:val=&quot;008D72C8&quot;/&gt;&lt;wsp:rsid wsp:val=&quot;008D770F&quot;/&gt;&lt;wsp:rsid wsp:val=&quot;008D7967&quot;/&gt;&lt;wsp:rsid wsp:val=&quot;008D7A0C&quot;/&gt;&lt;wsp:rsid wsp:val=&quot;008D7B18&quot;/&gt;&lt;wsp:rsid wsp:val=&quot;008E0261&quot;/&gt;&lt;wsp:rsid wsp:val=&quot;008E050A&quot;/&gt;&lt;wsp:rsid wsp:val=&quot;008E06ED&quot;/&gt;&lt;wsp:rsid wsp:val=&quot;008E093D&quot;/&gt;&lt;wsp:rsid wsp:val=&quot;008E14EB&quot;/&gt;&lt;wsp:rsid wsp:val=&quot;008E15B8&quot;/&gt;&lt;wsp:rsid wsp:val=&quot;008E1948&quot;/&gt;&lt;wsp:rsid wsp:val=&quot;008E1BEC&quot;/&gt;&lt;wsp:rsid wsp:val=&quot;008E1CB1&quot;/&gt;&lt;wsp:rsid wsp:val=&quot;008E1F08&quot;/&gt;&lt;wsp:rsid wsp:val=&quot;008E2320&quot;/&gt;&lt;wsp:rsid wsp:val=&quot;008E240F&quot;/&gt;&lt;wsp:rsid wsp:val=&quot;008E2575&quot;/&gt;&lt;wsp:rsid wsp:val=&quot;008E2A9B&quot;/&gt;&lt;wsp:rsid wsp:val=&quot;008E2BD1&quot;/&gt;&lt;wsp:rsid wsp:val=&quot;008E3342&quot;/&gt;&lt;wsp:rsid wsp:val=&quot;008E3398&quot;/&gt;&lt;wsp:rsid wsp:val=&quot;008E39F4&quot;/&gt;&lt;wsp:rsid wsp:val=&quot;008E3B1C&quot;/&gt;&lt;wsp:rsid wsp:val=&quot;008E3EB2&quot;/&gt;&lt;wsp:rsid wsp:val=&quot;008E4C43&quot;/&gt;&lt;wsp:rsid wsp:val=&quot;008E52F2&quot;/&gt;&lt;wsp:rsid wsp:val=&quot;008E539B&quot;/&gt;&lt;wsp:rsid wsp:val=&quot;008E5769&quot;/&gt;&lt;wsp:rsid wsp:val=&quot;008E58ED&quot;/&gt;&lt;wsp:rsid wsp:val=&quot;008E5B55&quot;/&gt;&lt;wsp:rsid wsp:val=&quot;008E5BD6&quot;/&gt;&lt;wsp:rsid wsp:val=&quot;008E5F0C&quot;/&gt;&lt;wsp:rsid wsp:val=&quot;008E6158&quot;/&gt;&lt;wsp:rsid wsp:val=&quot;008E62F9&quot;/&gt;&lt;wsp:rsid wsp:val=&quot;008E6605&quot;/&gt;&lt;wsp:rsid wsp:val=&quot;008E673A&quot;/&gt;&lt;wsp:rsid wsp:val=&quot;008E67E1&quot;/&gt;&lt;wsp:rsid wsp:val=&quot;008E6921&quot;/&gt;&lt;wsp:rsid wsp:val=&quot;008E6AEC&quot;/&gt;&lt;wsp:rsid wsp:val=&quot;008E6BFD&quot;/&gt;&lt;wsp:rsid wsp:val=&quot;008E6CBC&quot;/&gt;&lt;wsp:rsid wsp:val=&quot;008E6F19&quot;/&gt;&lt;wsp:rsid wsp:val=&quot;008E79A0&quot;/&gt;&lt;wsp:rsid wsp:val=&quot;008E7DAA&quot;/&gt;&lt;wsp:rsid wsp:val=&quot;008F0505&quot;/&gt;&lt;wsp:rsid wsp:val=&quot;008F0771&quot;/&gt;&lt;wsp:rsid wsp:val=&quot;008F0966&quot;/&gt;&lt;wsp:rsid wsp:val=&quot;008F0E42&quot;/&gt;&lt;wsp:rsid wsp:val=&quot;008F0E74&quot;/&gt;&lt;wsp:rsid wsp:val=&quot;008F1131&quot;/&gt;&lt;wsp:rsid wsp:val=&quot;008F195C&quot;/&gt;&lt;wsp:rsid wsp:val=&quot;008F1A00&quot;/&gt;&lt;wsp:rsid wsp:val=&quot;008F1AD7&quot;/&gt;&lt;wsp:rsid wsp:val=&quot;008F22D5&quot;/&gt;&lt;wsp:rsid wsp:val=&quot;008F23C5&quot;/&gt;&lt;wsp:rsid wsp:val=&quot;008F26C8&quot;/&gt;&lt;wsp:rsid wsp:val=&quot;008F29EB&quot;/&gt;&lt;wsp:rsid wsp:val=&quot;008F2DDD&quot;/&gt;&lt;wsp:rsid wsp:val=&quot;008F30D9&quot;/&gt;&lt;wsp:rsid wsp:val=&quot;008F359F&quot;/&gt;&lt;wsp:rsid wsp:val=&quot;008F37EC&quot;/&gt;&lt;wsp:rsid wsp:val=&quot;008F3CF8&quot;/&gt;&lt;wsp:rsid wsp:val=&quot;008F3D5C&quot;/&gt;&lt;wsp:rsid wsp:val=&quot;008F3F23&quot;/&gt;&lt;wsp:rsid wsp:val=&quot;008F3F37&quot;/&gt;&lt;wsp:rsid wsp:val=&quot;008F46EB&quot;/&gt;&lt;wsp:rsid wsp:val=&quot;008F4BD8&quot;/&gt;&lt;wsp:rsid wsp:val=&quot;008F4D67&quot;/&gt;&lt;wsp:rsid wsp:val=&quot;008F4E9C&quot;/&gt;&lt;wsp:rsid wsp:val=&quot;008F514D&quot;/&gt;&lt;wsp:rsid wsp:val=&quot;008F546D&quot;/&gt;&lt;wsp:rsid wsp:val=&quot;008F5489&quot;/&gt;&lt;wsp:rsid wsp:val=&quot;008F5BE4&quot;/&gt;&lt;wsp:rsid wsp:val=&quot;008F5C1E&quot;/&gt;&lt;wsp:rsid wsp:val=&quot;008F5C8A&quot;/&gt;&lt;wsp:rsid wsp:val=&quot;008F601F&quot;/&gt;&lt;wsp:rsid wsp:val=&quot;008F6099&quot;/&gt;&lt;wsp:rsid wsp:val=&quot;008F618B&quot;/&gt;&lt;wsp:rsid wsp:val=&quot;008F667B&quot;/&gt;&lt;wsp:rsid wsp:val=&quot;008F6C87&quot;/&gt;&lt;wsp:rsid wsp:val=&quot;008F70CD&quot;/&gt;&lt;wsp:rsid wsp:val=&quot;008F7C27&quot;/&gt;&lt;wsp:rsid wsp:val=&quot;00900513&quot;/&gt;&lt;wsp:rsid wsp:val=&quot;00900E61&quot;/&gt;&lt;wsp:rsid wsp:val=&quot;0090117A&quot;/&gt;&lt;wsp:rsid wsp:val=&quot;0090154D&quot;/&gt;&lt;wsp:rsid wsp:val=&quot;00901580&quot;/&gt;&lt;wsp:rsid wsp:val=&quot;0090189D&quot;/&gt;&lt;wsp:rsid wsp:val=&quot;0090293D&quot;/&gt;&lt;wsp:rsid wsp:val=&quot;00902AC5&quot;/&gt;&lt;wsp:rsid wsp:val=&quot;00902C25&quot;/&gt;&lt;wsp:rsid wsp:val=&quot;0090300A&quot;/&gt;&lt;wsp:rsid wsp:val=&quot;00903216&quot;/&gt;&lt;wsp:rsid wsp:val=&quot;00903272&quot;/&gt;&lt;wsp:rsid wsp:val=&quot;00903532&quot;/&gt;&lt;wsp:rsid wsp:val=&quot;00903794&quot;/&gt;&lt;wsp:rsid wsp:val=&quot;00904FBC&quot;/&gt;&lt;wsp:rsid wsp:val=&quot;009055EB&quot;/&gt;&lt;wsp:rsid wsp:val=&quot;00905B69&quot;/&gt;&lt;wsp:rsid wsp:val=&quot;009060A8&quot;/&gt;&lt;wsp:rsid wsp:val=&quot;00906853&quot;/&gt;&lt;wsp:rsid wsp:val=&quot;00906856&quot;/&gt;&lt;wsp:rsid wsp:val=&quot;00906864&quot;/&gt;&lt;wsp:rsid wsp:val=&quot;00906A15&quot;/&gt;&lt;wsp:rsid wsp:val=&quot;00906ABF&quot;/&gt;&lt;wsp:rsid wsp:val=&quot;00906C11&quot;/&gt;&lt;wsp:rsid wsp:val=&quot;009071AE&quot;/&gt;&lt;wsp:rsid wsp:val=&quot;0090749D&quot;/&gt;&lt;wsp:rsid wsp:val=&quot;00907596&quot;/&gt;&lt;wsp:rsid wsp:val=&quot;0090764B&quot;/&gt;&lt;wsp:rsid wsp:val=&quot;009076CB&quot;/&gt;&lt;wsp:rsid wsp:val=&quot;009078AF&quot;/&gt;&lt;wsp:rsid wsp:val=&quot;00907EB1&quot;/&gt;&lt;wsp:rsid wsp:val=&quot;00907EEC&quot;/&gt;&lt;wsp:rsid wsp:val=&quot;009102C4&quot;/&gt;&lt;wsp:rsid wsp:val=&quot;00910BA2&quot;/&gt;&lt;wsp:rsid wsp:val=&quot;00910D04&quot;/&gt;&lt;wsp:rsid wsp:val=&quot;00910F7B&quot;/&gt;&lt;wsp:rsid wsp:val=&quot;009115C8&quot;/&gt;&lt;wsp:rsid wsp:val=&quot;00911733&quot;/&gt;&lt;wsp:rsid wsp:val=&quot;0091179B&quot;/&gt;&lt;wsp:rsid wsp:val=&quot;0091257C&quot;/&gt;&lt;wsp:rsid wsp:val=&quot;0091271F&quot;/&gt;&lt;wsp:rsid wsp:val=&quot;00912CE0&quot;/&gt;&lt;wsp:rsid wsp:val=&quot;00912DD2&quot;/&gt;&lt;wsp:rsid wsp:val=&quot;00912F07&quot;/&gt;&lt;wsp:rsid wsp:val=&quot;00912F87&quot;/&gt;&lt;wsp:rsid wsp:val=&quot;009132AA&quot;/&gt;&lt;wsp:rsid wsp:val=&quot;009135E5&quot;/&gt;&lt;wsp:rsid wsp:val=&quot;00913717&quot;/&gt;&lt;wsp:rsid wsp:val=&quot;00913790&quot;/&gt;&lt;wsp:rsid wsp:val=&quot;00913C7F&quot;/&gt;&lt;wsp:rsid wsp:val=&quot;00913D47&quot;/&gt;&lt;wsp:rsid wsp:val=&quot;00913E9D&quot;/&gt;&lt;wsp:rsid wsp:val=&quot;009143DF&quot;/&gt;&lt;wsp:rsid wsp:val=&quot;00914437&quot;/&gt;&lt;wsp:rsid wsp:val=&quot;009147CE&quot;/&gt;&lt;wsp:rsid wsp:val=&quot;00914AB9&quot;/&gt;&lt;wsp:rsid wsp:val=&quot;00914F69&quot;/&gt;&lt;wsp:rsid wsp:val=&quot;009157B4&quot;/&gt;&lt;wsp:rsid wsp:val=&quot;0091624C&quot;/&gt;&lt;wsp:rsid wsp:val=&quot;00916658&quot;/&gt;&lt;wsp:rsid wsp:val=&quot;00916E5A&quot;/&gt;&lt;wsp:rsid wsp:val=&quot;00917177&quot;/&gt;&lt;wsp:rsid wsp:val=&quot;009175C8&quot;/&gt;&lt;wsp:rsid wsp:val=&quot;00917B3B&quot;/&gt;&lt;wsp:rsid wsp:val=&quot;0092006C&quot;/&gt;&lt;wsp:rsid wsp:val=&quot;00920473&quot;/&gt;&lt;wsp:rsid wsp:val=&quot;0092088B&quot;/&gt;&lt;wsp:rsid wsp:val=&quot;00920AD2&quot;/&gt;&lt;wsp:rsid wsp:val=&quot;00920FA4&quot;/&gt;&lt;wsp:rsid wsp:val=&quot;0092109F&quot;/&gt;&lt;wsp:rsid wsp:val=&quot;00921510&quot;/&gt;&lt;wsp:rsid wsp:val=&quot;0092193B&quot;/&gt;&lt;wsp:rsid wsp:val=&quot;009219D3&quot;/&gt;&lt;wsp:rsid wsp:val=&quot;00921D32&quot;/&gt;&lt;wsp:rsid wsp:val=&quot;0092209F&quot;/&gt;&lt;wsp:rsid wsp:val=&quot;00922279&quot;/&gt;&lt;wsp:rsid wsp:val=&quot;00922548&quot;/&gt;&lt;wsp:rsid wsp:val=&quot;0092254B&quot;/&gt;&lt;wsp:rsid wsp:val=&quot;00922B18&quot;/&gt;&lt;wsp:rsid wsp:val=&quot;00923118&quot;/&gt;&lt;wsp:rsid wsp:val=&quot;009236E3&quot;/&gt;&lt;wsp:rsid wsp:val=&quot;00923A43&quot;/&gt;&lt;wsp:rsid wsp:val=&quot;00923AE0&quot;/&gt;&lt;wsp:rsid wsp:val=&quot;00923BC3&quot;/&gt;&lt;wsp:rsid wsp:val=&quot;00923E43&quot;/&gt;&lt;wsp:rsid wsp:val=&quot;00923F54&quot;/&gt;&lt;wsp:rsid wsp:val=&quot;00924E02&quot;/&gt;&lt;wsp:rsid wsp:val=&quot;00924E30&quot;/&gt;&lt;wsp:rsid wsp:val=&quot;009251D0&quot;/&gt;&lt;wsp:rsid wsp:val=&quot;00925774&quot;/&gt;&lt;wsp:rsid wsp:val=&quot;00925821&quot;/&gt;&lt;wsp:rsid wsp:val=&quot;00925FF3&quot;/&gt;&lt;wsp:rsid wsp:val=&quot;00926802&quot;/&gt;&lt;wsp:rsid wsp:val=&quot;009269F5&quot;/&gt;&lt;wsp:rsid wsp:val=&quot;00927BAA&quot;/&gt;&lt;wsp:rsid wsp:val=&quot;00927CCF&quot;/&gt;&lt;wsp:rsid wsp:val=&quot;00927DB4&quot;/&gt;&lt;wsp:rsid wsp:val=&quot;00927F77&quot;/&gt;&lt;wsp:rsid wsp:val=&quot;00927FEB&quot;/&gt;&lt;wsp:rsid wsp:val=&quot;009304F1&quot;/&gt;&lt;wsp:rsid wsp:val=&quot;00930641&quot;/&gt;&lt;wsp:rsid wsp:val=&quot;0093088D&quot;/&gt;&lt;wsp:rsid wsp:val=&quot;00930C11&quot;/&gt;&lt;wsp:rsid wsp:val=&quot;00930D0B&quot;/&gt;&lt;wsp:rsid wsp:val=&quot;00930DD3&quot;/&gt;&lt;wsp:rsid wsp:val=&quot;009313EC&quot;/&gt;&lt;wsp:rsid wsp:val=&quot;00931554&quot;/&gt;&lt;wsp:rsid wsp:val=&quot;00931B48&quot;/&gt;&lt;wsp:rsid wsp:val=&quot;00931CE2&quot;/&gt;&lt;wsp:rsid wsp:val=&quot;0093200C&quot;/&gt;&lt;wsp:rsid wsp:val=&quot;009325ED&quot;/&gt;&lt;wsp:rsid wsp:val=&quot;0093275E&quot;/&gt;&lt;wsp:rsid wsp:val=&quot;0093287D&quot;/&gt;&lt;wsp:rsid wsp:val=&quot;00932D4D&quot;/&gt;&lt;wsp:rsid wsp:val=&quot;00932DE2&quot;/&gt;&lt;wsp:rsid wsp:val=&quot;00932E21&quot;/&gt;&lt;wsp:rsid wsp:val=&quot;0093355D&quot;/&gt;&lt;wsp:rsid wsp:val=&quot;00933887&quot;/&gt;&lt;wsp:rsid wsp:val=&quot;009339E0&quot;/&gt;&lt;wsp:rsid wsp:val=&quot;00933DB8&quot;/&gt;&lt;wsp:rsid wsp:val=&quot;00933E9F&quot;/&gt;&lt;wsp:rsid wsp:val=&quot;0093457B&quot;/&gt;&lt;wsp:rsid wsp:val=&quot;00934D3B&quot;/&gt;&lt;wsp:rsid wsp:val=&quot;0093523C&quot;/&gt;&lt;wsp:rsid wsp:val=&quot;009352D1&quot;/&gt;&lt;wsp:rsid wsp:val=&quot;00935CC2&quot;/&gt;&lt;wsp:rsid wsp:val=&quot;00935D23&quot;/&gt;&lt;wsp:rsid wsp:val=&quot;0093605F&quot;/&gt;&lt;wsp:rsid wsp:val=&quot;009360C9&quot;/&gt;&lt;wsp:rsid wsp:val=&quot;00936545&quot;/&gt;&lt;wsp:rsid wsp:val=&quot;00936D64&quot;/&gt;&lt;wsp:rsid wsp:val=&quot;00936F3A&quot;/&gt;&lt;wsp:rsid wsp:val=&quot;00936F68&quot;/&gt;&lt;wsp:rsid wsp:val=&quot;00937205&quot;/&gt;&lt;wsp:rsid wsp:val=&quot;0093729E&quot;/&gt;&lt;wsp:rsid wsp:val=&quot;009378CC&quot;/&gt;&lt;wsp:rsid wsp:val=&quot;00937B53&quot;/&gt;&lt;wsp:rsid wsp:val=&quot;00937BA2&quot;/&gt;&lt;wsp:rsid wsp:val=&quot;00940009&quot;/&gt;&lt;wsp:rsid wsp:val=&quot;009403B1&quot;/&gt;&lt;wsp:rsid wsp:val=&quot;00940992&quot;/&gt;&lt;wsp:rsid wsp:val=&quot;00940B40&quot;/&gt;&lt;wsp:rsid wsp:val=&quot;00940B47&quot;/&gt;&lt;wsp:rsid wsp:val=&quot;00940C7A&quot;/&gt;&lt;wsp:rsid wsp:val=&quot;00940E2E&quot;/&gt;&lt;wsp:rsid wsp:val=&quot;00940ECD&quot;/&gt;&lt;wsp:rsid wsp:val=&quot;00941161&quot;/&gt;&lt;wsp:rsid wsp:val=&quot;0094116E&quot;/&gt;&lt;wsp:rsid wsp:val=&quot;00941302&quot;/&gt;&lt;wsp:rsid wsp:val=&quot;0094131C&quot;/&gt;&lt;wsp:rsid wsp:val=&quot;0094136B&quot;/&gt;&lt;wsp:rsid wsp:val=&quot;00941555&quot;/&gt;&lt;wsp:rsid wsp:val=&quot;00941B19&quot;/&gt;&lt;wsp:rsid wsp:val=&quot;009424BE&quot;/&gt;&lt;wsp:rsid wsp:val=&quot;009426FC&quot;/&gt;&lt;wsp:rsid wsp:val=&quot;009428F9&quot;/&gt;&lt;wsp:rsid wsp:val=&quot;00943268&quot;/&gt;&lt;wsp:rsid wsp:val=&quot;00943605&quot;/&gt;&lt;wsp:rsid wsp:val=&quot;00943812&quot;/&gt;&lt;wsp:rsid wsp:val=&quot;00943923&quot;/&gt;&lt;wsp:rsid wsp:val=&quot;00943EB7&quot;/&gt;&lt;wsp:rsid wsp:val=&quot;00943F71&quot;/&gt;&lt;wsp:rsid wsp:val=&quot;00943FBC&quot;/&gt;&lt;wsp:rsid wsp:val=&quot;009452AE&quot;/&gt;&lt;wsp:rsid wsp:val=&quot;00945548&quot;/&gt;&lt;wsp:rsid wsp:val=&quot;00945834&quot;/&gt;&lt;wsp:rsid wsp:val=&quot;009458E4&quot;/&gt;&lt;wsp:rsid wsp:val=&quot;00945A9F&quot;/&gt;&lt;wsp:rsid wsp:val=&quot;00945CDE&quot;/&gt;&lt;wsp:rsid wsp:val=&quot;00945DD4&quot;/&gt;&lt;wsp:rsid wsp:val=&quot;0094626E&quot;/&gt;&lt;wsp:rsid wsp:val=&quot;009463D7&quot;/&gt;&lt;wsp:rsid wsp:val=&quot;00946B1E&quot;/&gt;&lt;wsp:rsid wsp:val=&quot;00946EC2&quot;/&gt;&lt;wsp:rsid wsp:val=&quot;0094764A&quot;/&gt;&lt;wsp:rsid wsp:val=&quot;009479DB&quot;/&gt;&lt;wsp:rsid wsp:val=&quot;0095016A&quot;/&gt;&lt;wsp:rsid wsp:val=&quot;0095038D&quot;/&gt;&lt;wsp:rsid wsp:val=&quot;00951969&quot;/&gt;&lt;wsp:rsid wsp:val=&quot;00951BB1&quot;/&gt;&lt;wsp:rsid wsp:val=&quot;00951ED8&quot;/&gt;&lt;wsp:rsid wsp:val=&quot;009524C6&quot;/&gt;&lt;wsp:rsid wsp:val=&quot;009527FE&quot;/&gt;&lt;wsp:rsid wsp:val=&quot;00952805&quot;/&gt;&lt;wsp:rsid wsp:val=&quot;00952C7D&quot;/&gt;&lt;wsp:rsid wsp:val=&quot;00952ED4&quot;/&gt;&lt;wsp:rsid wsp:val=&quot;00953062&quot;/&gt;&lt;wsp:rsid wsp:val=&quot;00953263&quot;/&gt;&lt;wsp:rsid wsp:val=&quot;00953AFF&quot;/&gt;&lt;wsp:rsid wsp:val=&quot;00953BA1&quot;/&gt;&lt;wsp:rsid wsp:val=&quot;00953E7D&quot;/&gt;&lt;wsp:rsid wsp:val=&quot;00953FA0&quot;/&gt;&lt;wsp:rsid wsp:val=&quot;00954233&quot;/&gt;&lt;wsp:rsid wsp:val=&quot;00954283&quot;/&gt;&lt;wsp:rsid wsp:val=&quot;0095446D&quot;/&gt;&lt;wsp:rsid wsp:val=&quot;0095452A&quot;/&gt;&lt;wsp:rsid wsp:val=&quot;0095460C&quot;/&gt;&lt;wsp:rsid wsp:val=&quot;0095480E&quot;/&gt;&lt;wsp:rsid wsp:val=&quot;00954BAD&quot;/&gt;&lt;wsp:rsid wsp:val=&quot;00954E91&quot;/&gt;&lt;wsp:rsid wsp:val=&quot;009550C2&quot;/&gt;&lt;wsp:rsid wsp:val=&quot;0095533C&quot;/&gt;&lt;wsp:rsid wsp:val=&quot;009557A8&quot;/&gt;&lt;wsp:rsid wsp:val=&quot;00955DE6&quot;/&gt;&lt;wsp:rsid wsp:val=&quot;00955DF3&quot;/&gt;&lt;wsp:rsid wsp:val=&quot;00955DFE&quot;/&gt;&lt;wsp:rsid wsp:val=&quot;00955F0C&quot;/&gt;&lt;wsp:rsid wsp:val=&quot;009560F5&quot;/&gt;&lt;wsp:rsid wsp:val=&quot;00956C7D&quot;/&gt;&lt;wsp:rsid wsp:val=&quot;00956CDB&quot;/&gt;&lt;wsp:rsid wsp:val=&quot;0095730C&quot;/&gt;&lt;wsp:rsid wsp:val=&quot;00957695&quot;/&gt;&lt;wsp:rsid wsp:val=&quot;009576DE&quot;/&gt;&lt;wsp:rsid wsp:val=&quot;00957CC0&quot;/&gt;&lt;wsp:rsid wsp:val=&quot;00957D47&quot;/&gt;&lt;wsp:rsid wsp:val=&quot;00957EC5&quot;/&gt;&lt;wsp:rsid wsp:val=&quot;00960237&quot;/&gt;&lt;wsp:rsid wsp:val=&quot;0096032B&quot;/&gt;&lt;wsp:rsid wsp:val=&quot;009606AB&quot;/&gt;&lt;wsp:rsid wsp:val=&quot;009609B8&quot;/&gt;&lt;wsp:rsid wsp:val=&quot;00960A1B&quot;/&gt;&lt;wsp:rsid wsp:val=&quot;00960A5B&quot;/&gt;&lt;wsp:rsid wsp:val=&quot;00960DD3&quot;/&gt;&lt;wsp:rsid wsp:val=&quot;00960DF8&quot;/&gt;&lt;wsp:rsid wsp:val=&quot;00960F40&quot;/&gt;&lt;wsp:rsid wsp:val=&quot;00960FA4&quot;/&gt;&lt;wsp:rsid wsp:val=&quot;00961315&quot;/&gt;&lt;wsp:rsid wsp:val=&quot;0096148D&quot;/&gt;&lt;wsp:rsid wsp:val=&quot;00962566&quot;/&gt;&lt;wsp:rsid wsp:val=&quot;00962DEC&quot;/&gt;&lt;wsp:rsid wsp:val=&quot;0096305B&quot;/&gt;&lt;wsp:rsid wsp:val=&quot;00963321&quot;/&gt;&lt;wsp:rsid wsp:val=&quot;0096374E&quot;/&gt;&lt;wsp:rsid wsp:val=&quot;0096384C&quot;/&gt;&lt;wsp:rsid wsp:val=&quot;00963990&quot;/&gt;&lt;wsp:rsid wsp:val=&quot;00963F3E&quot;/&gt;&lt;wsp:rsid wsp:val=&quot;00963FB5&quot;/&gt;&lt;wsp:rsid wsp:val=&quot;00964615&quot;/&gt;&lt;wsp:rsid wsp:val=&quot;00964654&quot;/&gt;&lt;wsp:rsid wsp:val=&quot;009648C7&quot;/&gt;&lt;wsp:rsid wsp:val=&quot;00964F94&quot;/&gt;&lt;wsp:rsid wsp:val=&quot;009655CE&quot;/&gt;&lt;wsp:rsid wsp:val=&quot;00965D54&quot;/&gt;&lt;wsp:rsid wsp:val=&quot;009662CE&quot;/&gt;&lt;wsp:rsid wsp:val=&quot;00966480&quot;/&gt;&lt;wsp:rsid wsp:val=&quot;009667B5&quot;/&gt;&lt;wsp:rsid wsp:val=&quot;0096690C&quot;/&gt;&lt;wsp:rsid wsp:val=&quot;00966956&quot;/&gt;&lt;wsp:rsid wsp:val=&quot;00966A9F&quot;/&gt;&lt;wsp:rsid wsp:val=&quot;0096711A&quot;/&gt;&lt;wsp:rsid wsp:val=&quot;00967304&quot;/&gt;&lt;wsp:rsid wsp:val=&quot;00967551&quot;/&gt;&lt;wsp:rsid wsp:val=&quot;009675E9&quot;/&gt;&lt;wsp:rsid wsp:val=&quot;009677A1&quot;/&gt;&lt;wsp:rsid wsp:val=&quot;00970D50&quot;/&gt;&lt;wsp:rsid wsp:val=&quot;00970FEB&quot;/&gt;&lt;wsp:rsid wsp:val=&quot;00971110&quot;/&gt;&lt;wsp:rsid wsp:val=&quot;0097136E&quot;/&gt;&lt;wsp:rsid wsp:val=&quot;009713D0&quot;/&gt;&lt;wsp:rsid wsp:val=&quot;00971927&quot;/&gt;&lt;wsp:rsid wsp:val=&quot;00971969&quot;/&gt;&lt;wsp:rsid wsp:val=&quot;00971BC7&quot;/&gt;&lt;wsp:rsid wsp:val=&quot;00971C05&quot;/&gt;&lt;wsp:rsid wsp:val=&quot;00971CAA&quot;/&gt;&lt;wsp:rsid wsp:val=&quot;00972210&quot;/&gt;&lt;wsp:rsid wsp:val=&quot;0097343E&quot;/&gt;&lt;wsp:rsid wsp:val=&quot;00973AAB&quot;/&gt;&lt;wsp:rsid wsp:val=&quot;00973C00&quot;/&gt;&lt;wsp:rsid wsp:val=&quot;00973D92&quot;/&gt;&lt;wsp:rsid wsp:val=&quot;00973E53&quot;/&gt;&lt;wsp:rsid wsp:val=&quot;00974110&quot;/&gt;&lt;wsp:rsid wsp:val=&quot;009741DD&quot;/&gt;&lt;wsp:rsid wsp:val=&quot;009742E5&quot;/&gt;&lt;wsp:rsid wsp:val=&quot;00974907&quot;/&gt;&lt;wsp:rsid wsp:val=&quot;00974AE7&quot;/&gt;&lt;wsp:rsid wsp:val=&quot;0097550F&quot;/&gt;&lt;wsp:rsid wsp:val=&quot;0097594A&quot;/&gt;&lt;wsp:rsid wsp:val=&quot;009759C3&quot;/&gt;&lt;wsp:rsid wsp:val=&quot;00975A0E&quot;/&gt;&lt;wsp:rsid wsp:val=&quot;00976090&quot;/&gt;&lt;wsp:rsid wsp:val=&quot;0097735E&quot;/&gt;&lt;wsp:rsid wsp:val=&quot;0097784C&quot;/&gt;&lt;wsp:rsid wsp:val=&quot;009778A0&quot;/&gt;&lt;wsp:rsid wsp:val=&quot;00977B6E&quot;/&gt;&lt;wsp:rsid wsp:val=&quot;00977D78&quot;/&gt;&lt;wsp:rsid wsp:val=&quot;009801FA&quot;/&gt;&lt;wsp:rsid wsp:val=&quot;00980377&quot;/&gt;&lt;wsp:rsid wsp:val=&quot;00980390&quot;/&gt;&lt;wsp:rsid wsp:val=&quot;009803F5&quot;/&gt;&lt;wsp:rsid wsp:val=&quot;00980790&quot;/&gt;&lt;wsp:rsid wsp:val=&quot;00980BB9&quot;/&gt;&lt;wsp:rsid wsp:val=&quot;00980E2A&quot;/&gt;&lt;wsp:rsid wsp:val=&quot;00980EC8&quot;/&gt;&lt;wsp:rsid wsp:val=&quot;009815C2&quot;/&gt;&lt;wsp:rsid wsp:val=&quot;0098278D&quot;/&gt;&lt;wsp:rsid wsp:val=&quot;00982AC4&quot;/&gt;&lt;wsp:rsid wsp:val=&quot;0098346C&quot;/&gt;&lt;wsp:rsid wsp:val=&quot;0098353D&quot;/&gt;&lt;wsp:rsid wsp:val=&quot;009835FB&quot;/&gt;&lt;wsp:rsid wsp:val=&quot;00983797&quot;/&gt;&lt;wsp:rsid wsp:val=&quot;00983827&quot;/&gt;&lt;wsp:rsid wsp:val=&quot;0098488D&quot;/&gt;&lt;wsp:rsid wsp:val=&quot;00984A8C&quot;/&gt;&lt;wsp:rsid wsp:val=&quot;00984AAD&quot;/&gt;&lt;wsp:rsid wsp:val=&quot;00984B8B&quot;/&gt;&lt;wsp:rsid wsp:val=&quot;00984D74&quot;/&gt;&lt;wsp:rsid wsp:val=&quot;00984DD8&quot;/&gt;&lt;wsp:rsid wsp:val=&quot;0098508E&quot;/&gt;&lt;wsp:rsid wsp:val=&quot;009852F4&quot;/&gt;&lt;wsp:rsid wsp:val=&quot;009859BF&quot;/&gt;&lt;wsp:rsid wsp:val=&quot;00987163&quot;/&gt;&lt;wsp:rsid wsp:val=&quot;0098754F&quot;/&gt;&lt;wsp:rsid wsp:val=&quot;00987980&quot;/&gt;&lt;wsp:rsid wsp:val=&quot;00987E89&quot;/&gt;&lt;wsp:rsid wsp:val=&quot;00991459&quot;/&gt;&lt;wsp:rsid wsp:val=&quot;00991671&quot;/&gt;&lt;wsp:rsid wsp:val=&quot;00991782&quot;/&gt;&lt;wsp:rsid wsp:val=&quot;009917E3&quot;/&gt;&lt;wsp:rsid wsp:val=&quot;00991A13&quot;/&gt;&lt;wsp:rsid wsp:val=&quot;00991E2A&quot;/&gt;&lt;wsp:rsid wsp:val=&quot;009921AD&quot;/&gt;&lt;wsp:rsid wsp:val=&quot;009921D4&quot;/&gt;&lt;wsp:rsid wsp:val=&quot;0099278A&quot;/&gt;&lt;wsp:rsid wsp:val=&quot;00992869&quot;/&gt;&lt;wsp:rsid wsp:val=&quot;00992C3D&quot;/&gt;&lt;wsp:rsid wsp:val=&quot;00992DE3&quot;/&gt;&lt;wsp:rsid wsp:val=&quot;0099312A&quot;/&gt;&lt;wsp:rsid wsp:val=&quot;00993200&quot;/&gt;&lt;wsp:rsid wsp:val=&quot;00993249&quot;/&gt;&lt;wsp:rsid wsp:val=&quot;00993475&quot;/&gt;&lt;wsp:rsid wsp:val=&quot;00993B49&quot;/&gt;&lt;wsp:rsid wsp:val=&quot;00993BD3&quot;/&gt;&lt;wsp:rsid wsp:val=&quot;00994D3E&quot;/&gt;&lt;wsp:rsid wsp:val=&quot;009955E0&quot;/&gt;&lt;wsp:rsid wsp:val=&quot;00995611&quot;/&gt;&lt;wsp:rsid wsp:val=&quot;009957D0&quot;/&gt;&lt;wsp:rsid wsp:val=&quot;009958F6&quot;/&gt;&lt;wsp:rsid wsp:val=&quot;00995A30&quot;/&gt;&lt;wsp:rsid wsp:val=&quot;00995C78&quot;/&gt;&lt;wsp:rsid wsp:val=&quot;00995D52&quot;/&gt;&lt;wsp:rsid wsp:val=&quot;00995D62&quot;/&gt;&lt;wsp:rsid wsp:val=&quot;00995EED&quot;/&gt;&lt;wsp:rsid wsp:val=&quot;0099609C&quot;/&gt;&lt;wsp:rsid wsp:val=&quot;009967AD&quot;/&gt;&lt;wsp:rsid wsp:val=&quot;00996821&quot;/&gt;&lt;wsp:rsid wsp:val=&quot;009969C4&quot;/&gt;&lt;wsp:rsid wsp:val=&quot;00996C5E&quot;/&gt;&lt;wsp:rsid wsp:val=&quot;00996E57&quot;/&gt;&lt;wsp:rsid wsp:val=&quot;009972EB&quot;/&gt;&lt;wsp:rsid wsp:val=&quot;00997809&quot;/&gt;&lt;wsp:rsid wsp:val=&quot;009A00EF&quot;/&gt;&lt;wsp:rsid wsp:val=&quot;009A031D&quot;/&gt;&lt;wsp:rsid wsp:val=&quot;009A0546&quot;/&gt;&lt;wsp:rsid wsp:val=&quot;009A0691&quot;/&gt;&lt;wsp:rsid wsp:val=&quot;009A0AA4&quot;/&gt;&lt;wsp:rsid wsp:val=&quot;009A1202&quot;/&gt;&lt;wsp:rsid wsp:val=&quot;009A16E8&quot;/&gt;&lt;wsp:rsid wsp:val=&quot;009A170E&quot;/&gt;&lt;wsp:rsid wsp:val=&quot;009A1756&quot;/&gt;&lt;wsp:rsid wsp:val=&quot;009A179F&quot;/&gt;&lt;wsp:rsid wsp:val=&quot;009A1F5C&quot;/&gt;&lt;wsp:rsid wsp:val=&quot;009A215F&quot;/&gt;&lt;wsp:rsid wsp:val=&quot;009A24E6&quot;/&gt;&lt;wsp:rsid wsp:val=&quot;009A24F6&quot;/&gt;&lt;wsp:rsid wsp:val=&quot;009A2528&quot;/&gt;&lt;wsp:rsid wsp:val=&quot;009A261F&quot;/&gt;&lt;wsp:rsid wsp:val=&quot;009A295F&quot;/&gt;&lt;wsp:rsid wsp:val=&quot;009A2EEB&quot;/&gt;&lt;wsp:rsid wsp:val=&quot;009A3A57&quot;/&gt;&lt;wsp:rsid wsp:val=&quot;009A3CCC&quot;/&gt;&lt;wsp:rsid wsp:val=&quot;009A4396&quot;/&gt;&lt;wsp:rsid wsp:val=&quot;009A452F&quot;/&gt;&lt;wsp:rsid wsp:val=&quot;009A46B8&quot;/&gt;&lt;wsp:rsid wsp:val=&quot;009A4725&quot;/&gt;&lt;wsp:rsid wsp:val=&quot;009A4863&quot;/&gt;&lt;wsp:rsid wsp:val=&quot;009A4996&quot;/&gt;&lt;wsp:rsid wsp:val=&quot;009A4BC2&quot;/&gt;&lt;wsp:rsid wsp:val=&quot;009A4F9A&quot;/&gt;&lt;wsp:rsid wsp:val=&quot;009A5039&quot;/&gt;&lt;wsp:rsid wsp:val=&quot;009A519E&quot;/&gt;&lt;wsp:rsid wsp:val=&quot;009A5423&quot;/&gt;&lt;wsp:rsid wsp:val=&quot;009A5468&quot;/&gt;&lt;wsp:rsid wsp:val=&quot;009A57B5&quot;/&gt;&lt;wsp:rsid wsp:val=&quot;009A5B9A&quot;/&gt;&lt;wsp:rsid wsp:val=&quot;009A5E75&quot;/&gt;&lt;wsp:rsid wsp:val=&quot;009A60AE&quot;/&gt;&lt;wsp:rsid wsp:val=&quot;009A616D&quot;/&gt;&lt;wsp:rsid wsp:val=&quot;009A6712&quot;/&gt;&lt;wsp:rsid wsp:val=&quot;009A68F1&quot;/&gt;&lt;wsp:rsid wsp:val=&quot;009A6A5B&quot;/&gt;&lt;wsp:rsid wsp:val=&quot;009A6B39&quot;/&gt;&lt;wsp:rsid wsp:val=&quot;009A6D9B&quot;/&gt;&lt;wsp:rsid wsp:val=&quot;009A7078&quot;/&gt;&lt;wsp:rsid wsp:val=&quot;009A751C&quot;/&gt;&lt;wsp:rsid wsp:val=&quot;009A7768&quot;/&gt;&lt;wsp:rsid wsp:val=&quot;009A778F&quot;/&gt;&lt;wsp:rsid wsp:val=&quot;009A7BB0&quot;/&gt;&lt;wsp:rsid wsp:val=&quot;009A7BFB&quot;/&gt;&lt;wsp:rsid wsp:val=&quot;009A7C9E&quot;/&gt;&lt;wsp:rsid wsp:val=&quot;009B030A&quot;/&gt;&lt;wsp:rsid wsp:val=&quot;009B0BA0&quot;/&gt;&lt;wsp:rsid wsp:val=&quot;009B0D0E&quot;/&gt;&lt;wsp:rsid wsp:val=&quot;009B0D1C&quot;/&gt;&lt;wsp:rsid wsp:val=&quot;009B1D40&quot;/&gt;&lt;wsp:rsid wsp:val=&quot;009B2453&quot;/&gt;&lt;wsp:rsid wsp:val=&quot;009B25C0&quot;/&gt;&lt;wsp:rsid wsp:val=&quot;009B2649&quot;/&gt;&lt;wsp:rsid wsp:val=&quot;009B27CF&quot;/&gt;&lt;wsp:rsid wsp:val=&quot;009B2818&quot;/&gt;&lt;wsp:rsid wsp:val=&quot;009B2A7E&quot;/&gt;&lt;wsp:rsid wsp:val=&quot;009B2AAF&quot;/&gt;&lt;wsp:rsid wsp:val=&quot;009B2AFC&quot;/&gt;&lt;wsp:rsid wsp:val=&quot;009B2B4B&quot;/&gt;&lt;wsp:rsid wsp:val=&quot;009B2DDF&quot;/&gt;&lt;wsp:rsid wsp:val=&quot;009B3261&quot;/&gt;&lt;wsp:rsid wsp:val=&quot;009B3DE1&quot;/&gt;&lt;wsp:rsid wsp:val=&quot;009B4723&quot;/&gt;&lt;wsp:rsid wsp:val=&quot;009B4B92&quot;/&gt;&lt;wsp:rsid wsp:val=&quot;009B54B4&quot;/&gt;&lt;wsp:rsid wsp:val=&quot;009B5A4D&quot;/&gt;&lt;wsp:rsid wsp:val=&quot;009B5BB6&quot;/&gt;&lt;wsp:rsid wsp:val=&quot;009B6CDE&quot;/&gt;&lt;wsp:rsid wsp:val=&quot;009B7120&quot;/&gt;&lt;wsp:rsid wsp:val=&quot;009B79FA&quot;/&gt;&lt;wsp:rsid wsp:val=&quot;009B7A35&quot;/&gt;&lt;wsp:rsid wsp:val=&quot;009B7B82&quot;/&gt;&lt;wsp:rsid wsp:val=&quot;009B7DC2&quot;/&gt;&lt;wsp:rsid wsp:val=&quot;009C053E&quot;/&gt;&lt;wsp:rsid wsp:val=&quot;009C06B6&quot;/&gt;&lt;wsp:rsid wsp:val=&quot;009C08EA&quot;/&gt;&lt;wsp:rsid wsp:val=&quot;009C09FD&quot;/&gt;&lt;wsp:rsid wsp:val=&quot;009C0D5C&quot;/&gt;&lt;wsp:rsid wsp:val=&quot;009C1451&quot;/&gt;&lt;wsp:rsid wsp:val=&quot;009C1F4F&quot;/&gt;&lt;wsp:rsid wsp:val=&quot;009C2072&quot;/&gt;&lt;wsp:rsid wsp:val=&quot;009C23D6&quot;/&gt;&lt;wsp:rsid wsp:val=&quot;009C2722&quot;/&gt;&lt;wsp:rsid wsp:val=&quot;009C2729&quot;/&gt;&lt;wsp:rsid wsp:val=&quot;009C2784&quot;/&gt;&lt;wsp:rsid wsp:val=&quot;009C2AEA&quot;/&gt;&lt;wsp:rsid wsp:val=&quot;009C2C3F&quot;/&gt;&lt;wsp:rsid wsp:val=&quot;009C2FDD&quot;/&gt;&lt;wsp:rsid wsp:val=&quot;009C34F9&quot;/&gt;&lt;wsp:rsid wsp:val=&quot;009C35E7&quot;/&gt;&lt;wsp:rsid wsp:val=&quot;009C36E7&quot;/&gt;&lt;wsp:rsid wsp:val=&quot;009C38E9&quot;/&gt;&lt;wsp:rsid wsp:val=&quot;009C39F3&quot;/&gt;&lt;wsp:rsid wsp:val=&quot;009C3E94&quot;/&gt;&lt;wsp:rsid wsp:val=&quot;009C3FCC&quot;/&gt;&lt;wsp:rsid wsp:val=&quot;009C4BE5&quot;/&gt;&lt;wsp:rsid wsp:val=&quot;009C4ED7&quot;/&gt;&lt;wsp:rsid wsp:val=&quot;009C4F74&quot;/&gt;&lt;wsp:rsid wsp:val=&quot;009C5115&quot;/&gt;&lt;wsp:rsid wsp:val=&quot;009C517E&quot;/&gt;&lt;wsp:rsid wsp:val=&quot;009C542D&quot;/&gt;&lt;wsp:rsid wsp:val=&quot;009C57E9&quot;/&gt;&lt;wsp:rsid wsp:val=&quot;009C5B1C&quot;/&gt;&lt;wsp:rsid wsp:val=&quot;009C5BC1&quot;/&gt;&lt;wsp:rsid wsp:val=&quot;009C6835&quot;/&gt;&lt;wsp:rsid wsp:val=&quot;009C696A&quot;/&gt;&lt;wsp:rsid wsp:val=&quot;009C6BF5&quot;/&gt;&lt;wsp:rsid wsp:val=&quot;009C708E&quot;/&gt;&lt;wsp:rsid wsp:val=&quot;009C715D&quot;/&gt;&lt;wsp:rsid wsp:val=&quot;009C76B8&quot;/&gt;&lt;wsp:rsid wsp:val=&quot;009C7E16&quot;/&gt;&lt;wsp:rsid wsp:val=&quot;009C7E8B&quot;/&gt;&lt;wsp:rsid wsp:val=&quot;009C7F54&quot;/&gt;&lt;wsp:rsid wsp:val=&quot;009C7F9F&quot;/&gt;&lt;wsp:rsid wsp:val=&quot;009D04EE&quot;/&gt;&lt;wsp:rsid wsp:val=&quot;009D07C5&quot;/&gt;&lt;wsp:rsid wsp:val=&quot;009D0A80&quot;/&gt;&lt;wsp:rsid wsp:val=&quot;009D0AA1&quot;/&gt;&lt;wsp:rsid wsp:val=&quot;009D0AF6&quot;/&gt;&lt;wsp:rsid wsp:val=&quot;009D0B58&quot;/&gt;&lt;wsp:rsid wsp:val=&quot;009D0BEB&quot;/&gt;&lt;wsp:rsid wsp:val=&quot;009D11AD&quot;/&gt;&lt;wsp:rsid wsp:val=&quot;009D1479&quot;/&gt;&lt;wsp:rsid wsp:val=&quot;009D15E4&quot;/&gt;&lt;wsp:rsid wsp:val=&quot;009D162D&quot;/&gt;&lt;wsp:rsid wsp:val=&quot;009D17A0&quot;/&gt;&lt;wsp:rsid wsp:val=&quot;009D19F1&quot;/&gt;&lt;wsp:rsid wsp:val=&quot;009D2125&quot;/&gt;&lt;wsp:rsid wsp:val=&quot;009D227E&quot;/&gt;&lt;wsp:rsid wsp:val=&quot;009D23AA&quot;/&gt;&lt;wsp:rsid wsp:val=&quot;009D23C0&quot;/&gt;&lt;wsp:rsid wsp:val=&quot;009D281F&quot;/&gt;&lt;wsp:rsid wsp:val=&quot;009D298A&quot;/&gt;&lt;wsp:rsid wsp:val=&quot;009D29F0&quot;/&gt;&lt;wsp:rsid wsp:val=&quot;009D2B6B&quot;/&gt;&lt;wsp:rsid wsp:val=&quot;009D2BE3&quot;/&gt;&lt;wsp:rsid wsp:val=&quot;009D2E4A&quot;/&gt;&lt;wsp:rsid wsp:val=&quot;009D2EBB&quot;/&gt;&lt;wsp:rsid wsp:val=&quot;009D2FBB&quot;/&gt;&lt;wsp:rsid wsp:val=&quot;009D31E6&quot;/&gt;&lt;wsp:rsid wsp:val=&quot;009D35BB&quot;/&gt;&lt;wsp:rsid wsp:val=&quot;009D3A39&quot;/&gt;&lt;wsp:rsid wsp:val=&quot;009D3AE1&quot;/&gt;&lt;wsp:rsid wsp:val=&quot;009D3AF5&quot;/&gt;&lt;wsp:rsid wsp:val=&quot;009D461A&quot;/&gt;&lt;wsp:rsid wsp:val=&quot;009D56D5&quot;/&gt;&lt;wsp:rsid wsp:val=&quot;009D57B6&quot;/&gt;&lt;wsp:rsid wsp:val=&quot;009D5916&quot;/&gt;&lt;wsp:rsid wsp:val=&quot;009D5D5E&quot;/&gt;&lt;wsp:rsid wsp:val=&quot;009D6099&quot;/&gt;&lt;wsp:rsid wsp:val=&quot;009D61D7&quot;/&gt;&lt;wsp:rsid wsp:val=&quot;009D61E5&quot;/&gt;&lt;wsp:rsid wsp:val=&quot;009D6605&quot;/&gt;&lt;wsp:rsid wsp:val=&quot;009D67EA&quot;/&gt;&lt;wsp:rsid wsp:val=&quot;009D6ABA&quot;/&gt;&lt;wsp:rsid wsp:val=&quot;009D6ABF&quot;/&gt;&lt;wsp:rsid wsp:val=&quot;009D6D5A&quot;/&gt;&lt;wsp:rsid wsp:val=&quot;009D79DB&quot;/&gt;&lt;wsp:rsid wsp:val=&quot;009D7A84&quot;/&gt;&lt;wsp:rsid wsp:val=&quot;009D7AB4&quot;/&gt;&lt;wsp:rsid wsp:val=&quot;009D7D1E&quot;/&gt;&lt;wsp:rsid wsp:val=&quot;009D7FD1&quot;/&gt;&lt;wsp:rsid wsp:val=&quot;009E037F&quot;/&gt;&lt;wsp:rsid wsp:val=&quot;009E07DE&quot;/&gt;&lt;wsp:rsid wsp:val=&quot;009E0BCD&quot;/&gt;&lt;wsp:rsid wsp:val=&quot;009E0BEF&quot;/&gt;&lt;wsp:rsid wsp:val=&quot;009E0DD7&quot;/&gt;&lt;wsp:rsid wsp:val=&quot;009E0F4D&quot;/&gt;&lt;wsp:rsid wsp:val=&quot;009E0FB4&quot;/&gt;&lt;wsp:rsid wsp:val=&quot;009E1086&quot;/&gt;&lt;wsp:rsid wsp:val=&quot;009E1294&quot;/&gt;&lt;wsp:rsid wsp:val=&quot;009E19F8&quot;/&gt;&lt;wsp:rsid wsp:val=&quot;009E1C77&quot;/&gt;&lt;wsp:rsid wsp:val=&quot;009E2DEE&quot;/&gt;&lt;wsp:rsid wsp:val=&quot;009E36EB&quot;/&gt;&lt;wsp:rsid wsp:val=&quot;009E3E4C&quot;/&gt;&lt;wsp:rsid wsp:val=&quot;009E3FFF&quot;/&gt;&lt;wsp:rsid wsp:val=&quot;009E45F4&quot;/&gt;&lt;wsp:rsid wsp:val=&quot;009E4622&quot;/&gt;&lt;wsp:rsid wsp:val=&quot;009E48F5&quot;/&gt;&lt;wsp:rsid wsp:val=&quot;009E5044&quot;/&gt;&lt;wsp:rsid wsp:val=&quot;009E5060&quot;/&gt;&lt;wsp:rsid wsp:val=&quot;009E53F0&quot;/&gt;&lt;wsp:rsid wsp:val=&quot;009E53F2&quot;/&gt;&lt;wsp:rsid wsp:val=&quot;009E5666&quot;/&gt;&lt;wsp:rsid wsp:val=&quot;009E56C1&quot;/&gt;&lt;wsp:rsid wsp:val=&quot;009E591E&quot;/&gt;&lt;wsp:rsid wsp:val=&quot;009E5D87&quot;/&gt;&lt;wsp:rsid wsp:val=&quot;009E5DE0&quot;/&gt;&lt;wsp:rsid wsp:val=&quot;009E68A8&quot;/&gt;&lt;wsp:rsid wsp:val=&quot;009E6988&quot;/&gt;&lt;wsp:rsid wsp:val=&quot;009E6C73&quot;/&gt;&lt;wsp:rsid wsp:val=&quot;009E6CC9&quot;/&gt;&lt;wsp:rsid wsp:val=&quot;009E71EE&quot;/&gt;&lt;wsp:rsid wsp:val=&quot;009E7D27&quot;/&gt;&lt;wsp:rsid wsp:val=&quot;009F0DAA&quot;/&gt;&lt;wsp:rsid wsp:val=&quot;009F0E30&quot;/&gt;&lt;wsp:rsid wsp:val=&quot;009F1B40&quot;/&gt;&lt;wsp:rsid wsp:val=&quot;009F1C8A&quot;/&gt;&lt;wsp:rsid wsp:val=&quot;009F254F&quot;/&gt;&lt;wsp:rsid wsp:val=&quot;009F26F9&quot;/&gt;&lt;wsp:rsid wsp:val=&quot;009F2846&quot;/&gt;&lt;wsp:rsid wsp:val=&quot;009F2AFA&quot;/&gt;&lt;wsp:rsid wsp:val=&quot;009F2D02&quot;/&gt;&lt;wsp:rsid wsp:val=&quot;009F3060&quot;/&gt;&lt;wsp:rsid wsp:val=&quot;009F37DD&quot;/&gt;&lt;wsp:rsid wsp:val=&quot;009F3857&quot;/&gt;&lt;wsp:rsid wsp:val=&quot;009F3960&quot;/&gt;&lt;wsp:rsid wsp:val=&quot;009F3C41&quot;/&gt;&lt;wsp:rsid wsp:val=&quot;009F426A&quot;/&gt;&lt;wsp:rsid wsp:val=&quot;009F4681&quot;/&gt;&lt;wsp:rsid wsp:val=&quot;009F48C5&quot;/&gt;&lt;wsp:rsid wsp:val=&quot;009F4D8C&quot;/&gt;&lt;wsp:rsid wsp:val=&quot;009F4FFF&quot;/&gt;&lt;wsp:rsid wsp:val=&quot;009F519D&quot;/&gt;&lt;wsp:rsid wsp:val=&quot;009F5232&quot;/&gt;&lt;wsp:rsid wsp:val=&quot;009F52A3&quot;/&gt;&lt;wsp:rsid wsp:val=&quot;009F53C7&quot;/&gt;&lt;wsp:rsid wsp:val=&quot;009F56F5&quot;/&gt;&lt;wsp:rsid wsp:val=&quot;009F590B&quot;/&gt;&lt;wsp:rsid wsp:val=&quot;009F5AF6&quot;/&gt;&lt;wsp:rsid wsp:val=&quot;009F5EC0&quot;/&gt;&lt;wsp:rsid wsp:val=&quot;009F6174&quot;/&gt;&lt;wsp:rsid wsp:val=&quot;009F61F3&quot;/&gt;&lt;wsp:rsid wsp:val=&quot;009F6612&quot;/&gt;&lt;wsp:rsid wsp:val=&quot;009F66D0&quot;/&gt;&lt;wsp:rsid wsp:val=&quot;009F6BFF&quot;/&gt;&lt;wsp:rsid wsp:val=&quot;009F6C12&quot;/&gt;&lt;wsp:rsid wsp:val=&quot;009F6C6F&quot;/&gt;&lt;wsp:rsid wsp:val=&quot;009F6D60&quot;/&gt;&lt;wsp:rsid wsp:val=&quot;009F6E91&quot;/&gt;&lt;wsp:rsid wsp:val=&quot;009F7704&quot;/&gt;&lt;wsp:rsid wsp:val=&quot;009F7E7D&quot;/&gt;&lt;wsp:rsid wsp:val=&quot;00A00108&quot;/&gt;&lt;wsp:rsid wsp:val=&quot;00A0029D&quot;/&gt;&lt;wsp:rsid wsp:val=&quot;00A006E2&quot;/&gt;&lt;wsp:rsid wsp:val=&quot;00A006EE&quot;/&gt;&lt;wsp:rsid wsp:val=&quot;00A0074F&quot;/&gt;&lt;wsp:rsid wsp:val=&quot;00A00F23&quot;/&gt;&lt;wsp:rsid wsp:val=&quot;00A013C1&quot;/&gt;&lt;wsp:rsid wsp:val=&quot;00A01BB7&quot;/&gt;&lt;wsp:rsid wsp:val=&quot;00A01BBC&quot;/&gt;&lt;wsp:rsid wsp:val=&quot;00A01C6B&quot;/&gt;&lt;wsp:rsid wsp:val=&quot;00A01CBE&quot;/&gt;&lt;wsp:rsid wsp:val=&quot;00A0234B&quot;/&gt;&lt;wsp:rsid wsp:val=&quot;00A024CC&quot;/&gt;&lt;wsp:rsid wsp:val=&quot;00A02851&quot;/&gt;&lt;wsp:rsid wsp:val=&quot;00A02878&quot;/&gt;&lt;wsp:rsid wsp:val=&quot;00A02CB7&quot;/&gt;&lt;wsp:rsid wsp:val=&quot;00A0335B&quot;/&gt;&lt;wsp:rsid wsp:val=&quot;00A03B79&quot;/&gt;&lt;wsp:rsid wsp:val=&quot;00A03E14&quot;/&gt;&lt;wsp:rsid wsp:val=&quot;00A04440&quot;/&gt;&lt;wsp:rsid wsp:val=&quot;00A04E5B&quot;/&gt;&lt;wsp:rsid wsp:val=&quot;00A04F29&quot;/&gt;&lt;wsp:rsid wsp:val=&quot;00A05038&quot;/&gt;&lt;wsp:rsid wsp:val=&quot;00A0578A&quot;/&gt;&lt;wsp:rsid wsp:val=&quot;00A05925&quot;/&gt;&lt;wsp:rsid wsp:val=&quot;00A05AA3&quot;/&gt;&lt;wsp:rsid wsp:val=&quot;00A05F18&quot;/&gt;&lt;wsp:rsid wsp:val=&quot;00A06349&quot;/&gt;&lt;wsp:rsid wsp:val=&quot;00A06389&quot;/&gt;&lt;wsp:rsid wsp:val=&quot;00A063D6&quot;/&gt;&lt;wsp:rsid wsp:val=&quot;00A06AF7&quot;/&gt;&lt;wsp:rsid wsp:val=&quot;00A06C3B&quot;/&gt;&lt;wsp:rsid wsp:val=&quot;00A0705C&quot;/&gt;&lt;wsp:rsid wsp:val=&quot;00A071F0&quot;/&gt;&lt;wsp:rsid wsp:val=&quot;00A0795B&quot;/&gt;&lt;wsp:rsid wsp:val=&quot;00A07FD5&quot;/&gt;&lt;wsp:rsid wsp:val=&quot;00A10198&quot;/&gt;&lt;wsp:rsid wsp:val=&quot;00A101C2&quot;/&gt;&lt;wsp:rsid wsp:val=&quot;00A10679&quot;/&gt;&lt;wsp:rsid wsp:val=&quot;00A106EB&quot;/&gt;&lt;wsp:rsid wsp:val=&quot;00A109EE&quot;/&gt;&lt;wsp:rsid wsp:val=&quot;00A112E7&quot;/&gt;&lt;wsp:rsid wsp:val=&quot;00A11859&quot;/&gt;&lt;wsp:rsid wsp:val=&quot;00A11F40&quot;/&gt;&lt;wsp:rsid wsp:val=&quot;00A12240&quot;/&gt;&lt;wsp:rsid wsp:val=&quot;00A12640&quot;/&gt;&lt;wsp:rsid wsp:val=&quot;00A128AA&quot;/&gt;&lt;wsp:rsid wsp:val=&quot;00A12C11&quot;/&gt;&lt;wsp:rsid wsp:val=&quot;00A12C12&quot;/&gt;&lt;wsp:rsid wsp:val=&quot;00A12D6A&quot;/&gt;&lt;wsp:rsid wsp:val=&quot;00A12D7C&quot;/&gt;&lt;wsp:rsid wsp:val=&quot;00A1375D&quot;/&gt;&lt;wsp:rsid wsp:val=&quot;00A1385D&quot;/&gt;&lt;wsp:rsid wsp:val=&quot;00A13B28&quot;/&gt;&lt;wsp:rsid wsp:val=&quot;00A13D39&quot;/&gt;&lt;wsp:rsid wsp:val=&quot;00A13F73&quot;/&gt;&lt;wsp:rsid wsp:val=&quot;00A13F82&quot;/&gt;&lt;wsp:rsid wsp:val=&quot;00A13FED&quot;/&gt;&lt;wsp:rsid wsp:val=&quot;00A14252&quot;/&gt;&lt;wsp:rsid wsp:val=&quot;00A148D1&quot;/&gt;&lt;wsp:rsid wsp:val=&quot;00A148FB&quot;/&gt;&lt;wsp:rsid wsp:val=&quot;00A14FE7&quot;/&gt;&lt;wsp:rsid wsp:val=&quot;00A150D5&quot;/&gt;&lt;wsp:rsid wsp:val=&quot;00A15168&quot;/&gt;&lt;wsp:rsid wsp:val=&quot;00A1543F&quot;/&gt;&lt;wsp:rsid wsp:val=&quot;00A15572&quot;/&gt;&lt;wsp:rsid wsp:val=&quot;00A15783&quot;/&gt;&lt;wsp:rsid wsp:val=&quot;00A15C97&quot;/&gt;&lt;wsp:rsid wsp:val=&quot;00A15CBA&quot;/&gt;&lt;wsp:rsid wsp:val=&quot;00A16141&quot;/&gt;&lt;wsp:rsid wsp:val=&quot;00A166D0&quot;/&gt;&lt;wsp:rsid wsp:val=&quot;00A16A35&quot;/&gt;&lt;wsp:rsid wsp:val=&quot;00A1722D&quot;/&gt;&lt;wsp:rsid wsp:val=&quot;00A1763E&quot;/&gt;&lt;wsp:rsid wsp:val=&quot;00A17B2D&quot;/&gt;&lt;wsp:rsid wsp:val=&quot;00A17C35&quot;/&gt;&lt;wsp:rsid wsp:val=&quot;00A17D80&quot;/&gt;&lt;wsp:rsid wsp:val=&quot;00A17DDB&quot;/&gt;&lt;wsp:rsid wsp:val=&quot;00A17E93&quot;/&gt;&lt;wsp:rsid wsp:val=&quot;00A17FD5&quot;/&gt;&lt;wsp:rsid wsp:val=&quot;00A20378&quot;/&gt;&lt;wsp:rsid wsp:val=&quot;00A209EA&quot;/&gt;&lt;wsp:rsid wsp:val=&quot;00A20D10&quot;/&gt;&lt;wsp:rsid wsp:val=&quot;00A20E6C&quot;/&gt;&lt;wsp:rsid wsp:val=&quot;00A20F11&quot;/&gt;&lt;wsp:rsid wsp:val=&quot;00A21ABD&quot;/&gt;&lt;wsp:rsid wsp:val=&quot;00A21BFA&quot;/&gt;&lt;wsp:rsid wsp:val=&quot;00A21CE4&quot;/&gt;&lt;wsp:rsid wsp:val=&quot;00A2207C&quot;/&gt;&lt;wsp:rsid wsp:val=&quot;00A22137&quot;/&gt;&lt;wsp:rsid wsp:val=&quot;00A226FC&quot;/&gt;&lt;wsp:rsid wsp:val=&quot;00A226FF&quot;/&gt;&lt;wsp:rsid wsp:val=&quot;00A2291F&quot;/&gt;&lt;wsp:rsid wsp:val=&quot;00A22E0D&quot;/&gt;&lt;wsp:rsid wsp:val=&quot;00A22F42&quot;/&gt;&lt;wsp:rsid wsp:val=&quot;00A23506&quot;/&gt;&lt;wsp:rsid wsp:val=&quot;00A23648&quot;/&gt;&lt;wsp:rsid wsp:val=&quot;00A23994&quot;/&gt;&lt;wsp:rsid wsp:val=&quot;00A23B5E&quot;/&gt;&lt;wsp:rsid wsp:val=&quot;00A24233&quot;/&gt;&lt;wsp:rsid wsp:val=&quot;00A24248&quot;/&gt;&lt;wsp:rsid wsp:val=&quot;00A24A2D&quot;/&gt;&lt;wsp:rsid wsp:val=&quot;00A252E7&quot;/&gt;&lt;wsp:rsid wsp:val=&quot;00A2593E&quot;/&gt;&lt;wsp:rsid wsp:val=&quot;00A261A7&quot;/&gt;&lt;wsp:rsid wsp:val=&quot;00A262EE&quot;/&gt;&lt;wsp:rsid wsp:val=&quot;00A270A3&quot;/&gt;&lt;wsp:rsid wsp:val=&quot;00A27218&quot;/&gt;&lt;wsp:rsid wsp:val=&quot;00A272C0&quot;/&gt;&lt;wsp:rsid wsp:val=&quot;00A27335&quot;/&gt;&lt;wsp:rsid wsp:val=&quot;00A27758&quot;/&gt;&lt;wsp:rsid wsp:val=&quot;00A27EF4&quot;/&gt;&lt;wsp:rsid wsp:val=&quot;00A27F1E&quot;/&gt;&lt;wsp:rsid wsp:val=&quot;00A30022&quot;/&gt;&lt;wsp:rsid wsp:val=&quot;00A30405&quot;/&gt;&lt;wsp:rsid wsp:val=&quot;00A30473&quot;/&gt;&lt;wsp:rsid wsp:val=&quot;00A304F6&quot;/&gt;&lt;wsp:rsid wsp:val=&quot;00A30940&quot;/&gt;&lt;wsp:rsid wsp:val=&quot;00A30C79&quot;/&gt;&lt;wsp:rsid wsp:val=&quot;00A30CD9&quot;/&gt;&lt;wsp:rsid wsp:val=&quot;00A30D84&quot;/&gt;&lt;wsp:rsid wsp:val=&quot;00A310F8&quot;/&gt;&lt;wsp:rsid wsp:val=&quot;00A31154&quot;/&gt;&lt;wsp:rsid wsp:val=&quot;00A3124A&quot;/&gt;&lt;wsp:rsid wsp:val=&quot;00A31811&quot;/&gt;&lt;wsp:rsid wsp:val=&quot;00A31CD5&quot;/&gt;&lt;wsp:rsid wsp:val=&quot;00A32633&quot;/&gt;&lt;wsp:rsid wsp:val=&quot;00A32EF9&quot;/&gt;&lt;wsp:rsid wsp:val=&quot;00A3384E&quot;/&gt;&lt;wsp:rsid wsp:val=&quot;00A33D51&quot;/&gt;&lt;wsp:rsid wsp:val=&quot;00A33EAA&quot;/&gt;&lt;wsp:rsid wsp:val=&quot;00A34099&quot;/&gt;&lt;wsp:rsid wsp:val=&quot;00A343F7&quot;/&gt;&lt;wsp:rsid wsp:val=&quot;00A34488&quot;/&gt;&lt;wsp:rsid wsp:val=&quot;00A34787&quot;/&gt;&lt;wsp:rsid wsp:val=&quot;00A3483B&quot;/&gt;&lt;wsp:rsid wsp:val=&quot;00A348E8&quot;/&gt;&lt;wsp:rsid wsp:val=&quot;00A34919&quot;/&gt;&lt;wsp:rsid wsp:val=&quot;00A34AB2&quot;/&gt;&lt;wsp:rsid wsp:val=&quot;00A3521D&quot;/&gt;&lt;wsp:rsid wsp:val=&quot;00A352D6&quot;/&gt;&lt;wsp:rsid wsp:val=&quot;00A35655&quot;/&gt;&lt;wsp:rsid wsp:val=&quot;00A35DA5&quot;/&gt;&lt;wsp:rsid wsp:val=&quot;00A3602A&quot;/&gt;&lt;wsp:rsid wsp:val=&quot;00A3612D&quot;/&gt;&lt;wsp:rsid wsp:val=&quot;00A3687D&quot;/&gt;&lt;wsp:rsid wsp:val=&quot;00A36911&quot;/&gt;&lt;wsp:rsid wsp:val=&quot;00A36FC7&quot;/&gt;&lt;wsp:rsid wsp:val=&quot;00A375E3&quot;/&gt;&lt;wsp:rsid wsp:val=&quot;00A37CCC&quot;/&gt;&lt;wsp:rsid wsp:val=&quot;00A37D0D&quot;/&gt;&lt;wsp:rsid wsp:val=&quot;00A40248&quot;/&gt;&lt;wsp:rsid wsp:val=&quot;00A40A2D&quot;/&gt;&lt;wsp:rsid wsp:val=&quot;00A40C6F&quot;/&gt;&lt;wsp:rsid wsp:val=&quot;00A40F5C&quot;/&gt;&lt;wsp:rsid wsp:val=&quot;00A41847&quot;/&gt;&lt;wsp:rsid wsp:val=&quot;00A41B59&quot;/&gt;&lt;wsp:rsid wsp:val=&quot;00A41EEF&quot;/&gt;&lt;wsp:rsid wsp:val=&quot;00A4240B&quot;/&gt;&lt;wsp:rsid wsp:val=&quot;00A4252A&quot;/&gt;&lt;wsp:rsid wsp:val=&quot;00A429A0&quot;/&gt;&lt;wsp:rsid wsp:val=&quot;00A43176&quot;/&gt;&lt;wsp:rsid wsp:val=&quot;00A43177&quot;/&gt;&lt;wsp:rsid wsp:val=&quot;00A43326&quot;/&gt;&lt;wsp:rsid wsp:val=&quot;00A43637&quot;/&gt;&lt;wsp:rsid wsp:val=&quot;00A4383F&quot;/&gt;&lt;wsp:rsid wsp:val=&quot;00A43F6D&quot;/&gt;&lt;wsp:rsid wsp:val=&quot;00A442DB&quot;/&gt;&lt;wsp:rsid wsp:val=&quot;00A44F49&quot;/&gt;&lt;wsp:rsid wsp:val=&quot;00A465D5&quot;/&gt;&lt;wsp:rsid wsp:val=&quot;00A47257&quot;/&gt;&lt;wsp:rsid wsp:val=&quot;00A4729B&quot;/&gt;&lt;wsp:rsid wsp:val=&quot;00A4778F&quot;/&gt;&lt;wsp:rsid wsp:val=&quot;00A47AEC&quot;/&gt;&lt;wsp:rsid wsp:val=&quot;00A47F2C&quot;/&gt;&lt;wsp:rsid wsp:val=&quot;00A50056&quot;/&gt;&lt;wsp:rsid wsp:val=&quot;00A5053E&quot;/&gt;&lt;wsp:rsid wsp:val=&quot;00A50D97&quot;/&gt;&lt;wsp:rsid wsp:val=&quot;00A51313&quot;/&gt;&lt;wsp:rsid wsp:val=&quot;00A513B8&quot;/&gt;&lt;wsp:rsid wsp:val=&quot;00A51795&quot;/&gt;&lt;wsp:rsid wsp:val=&quot;00A51870&quot;/&gt;&lt;wsp:rsid wsp:val=&quot;00A518ED&quot;/&gt;&lt;wsp:rsid wsp:val=&quot;00A51CA5&quot;/&gt;&lt;wsp:rsid wsp:val=&quot;00A51F41&quot;/&gt;&lt;wsp:rsid wsp:val=&quot;00A51F64&quot;/&gt;&lt;wsp:rsid wsp:val=&quot;00A52270&quot;/&gt;&lt;wsp:rsid wsp:val=&quot;00A526BB&quot;/&gt;&lt;wsp:rsid wsp:val=&quot;00A528FE&quot;/&gt;&lt;wsp:rsid wsp:val=&quot;00A52AB8&quot;/&gt;&lt;wsp:rsid wsp:val=&quot;00A52C16&quot;/&gt;&lt;wsp:rsid wsp:val=&quot;00A52FAE&quot;/&gt;&lt;wsp:rsid wsp:val=&quot;00A53478&quot;/&gt;&lt;wsp:rsid wsp:val=&quot;00A537B8&quot;/&gt;&lt;wsp:rsid wsp:val=&quot;00A537CA&quot;/&gt;&lt;wsp:rsid wsp:val=&quot;00A53809&quot;/&gt;&lt;wsp:rsid wsp:val=&quot;00A53D59&quot;/&gt;&lt;wsp:rsid wsp:val=&quot;00A53E21&quot;/&gt;&lt;wsp:rsid wsp:val=&quot;00A54816&quot;/&gt;&lt;wsp:rsid wsp:val=&quot;00A54971&quot;/&gt;&lt;wsp:rsid wsp:val=&quot;00A54E31&quot;/&gt;&lt;wsp:rsid wsp:val=&quot;00A5553C&quot;/&gt;&lt;wsp:rsid wsp:val=&quot;00A55B82&quot;/&gt;&lt;wsp:rsid wsp:val=&quot;00A56042&quot;/&gt;&lt;wsp:rsid wsp:val=&quot;00A5604E&quot;/&gt;&lt;wsp:rsid wsp:val=&quot;00A56484&quot;/&gt;&lt;wsp:rsid wsp:val=&quot;00A56E0B&quot;/&gt;&lt;wsp:rsid wsp:val=&quot;00A575B8&quot;/&gt;&lt;wsp:rsid wsp:val=&quot;00A57746&quot;/&gt;&lt;wsp:rsid wsp:val=&quot;00A57A97&quot;/&gt;&lt;wsp:rsid wsp:val=&quot;00A57D2D&quot;/&gt;&lt;wsp:rsid wsp:val=&quot;00A6006A&quot;/&gt;&lt;wsp:rsid wsp:val=&quot;00A6014E&quot;/&gt;&lt;wsp:rsid wsp:val=&quot;00A604C0&quot;/&gt;&lt;wsp:rsid wsp:val=&quot;00A607AF&quot;/&gt;&lt;wsp:rsid wsp:val=&quot;00A60DD1&quot;/&gt;&lt;wsp:rsid wsp:val=&quot;00A6113E&quot;/&gt;&lt;wsp:rsid wsp:val=&quot;00A6171A&quot;/&gt;&lt;wsp:rsid wsp:val=&quot;00A61798&quot;/&gt;&lt;wsp:rsid wsp:val=&quot;00A6194C&quot;/&gt;&lt;wsp:rsid wsp:val=&quot;00A61983&quot;/&gt;&lt;wsp:rsid wsp:val=&quot;00A61A8E&quot;/&gt;&lt;wsp:rsid wsp:val=&quot;00A61DB3&quot;/&gt;&lt;wsp:rsid wsp:val=&quot;00A61E69&quot;/&gt;&lt;wsp:rsid wsp:val=&quot;00A62020&quot;/&gt;&lt;wsp:rsid wsp:val=&quot;00A626B2&quot;/&gt;&lt;wsp:rsid wsp:val=&quot;00A627DD&quot;/&gt;&lt;wsp:rsid wsp:val=&quot;00A629DA&quot;/&gt;&lt;wsp:rsid wsp:val=&quot;00A6304F&quot;/&gt;&lt;wsp:rsid wsp:val=&quot;00A63AA4&quot;/&gt;&lt;wsp:rsid wsp:val=&quot;00A63B13&quot;/&gt;&lt;wsp:rsid wsp:val=&quot;00A63D49&quot;/&gt;&lt;wsp:rsid wsp:val=&quot;00A64267&quot;/&gt;&lt;wsp:rsid wsp:val=&quot;00A648AE&quot;/&gt;&lt;wsp:rsid wsp:val=&quot;00A64BC5&quot;/&gt;&lt;wsp:rsid wsp:val=&quot;00A64D66&quot;/&gt;&lt;wsp:rsid wsp:val=&quot;00A65203&quot;/&gt;&lt;wsp:rsid wsp:val=&quot;00A65267&quot;/&gt;&lt;wsp:rsid wsp:val=&quot;00A6539A&quot;/&gt;&lt;wsp:rsid wsp:val=&quot;00A65429&quot;/&gt;&lt;wsp:rsid wsp:val=&quot;00A65763&quot;/&gt;&lt;wsp:rsid wsp:val=&quot;00A65CF2&quot;/&gt;&lt;wsp:rsid wsp:val=&quot;00A65FB1&quot;/&gt;&lt;wsp:rsid wsp:val=&quot;00A660DE&quot;/&gt;&lt;wsp:rsid wsp:val=&quot;00A66337&quot;/&gt;&lt;wsp:rsid wsp:val=&quot;00A66855&quot;/&gt;&lt;wsp:rsid wsp:val=&quot;00A66C91&quot;/&gt;&lt;wsp:rsid wsp:val=&quot;00A66D12&quot;/&gt;&lt;wsp:rsid wsp:val=&quot;00A66D7A&quot;/&gt;&lt;wsp:rsid wsp:val=&quot;00A670D6&quot;/&gt;&lt;wsp:rsid wsp:val=&quot;00A6729D&quot;/&gt;&lt;wsp:rsid wsp:val=&quot;00A67394&quot;/&gt;&lt;wsp:rsid wsp:val=&quot;00A677B5&quot;/&gt;&lt;wsp:rsid wsp:val=&quot;00A6790F&quot;/&gt;&lt;wsp:rsid wsp:val=&quot;00A67912&quot;/&gt;&lt;wsp:rsid wsp:val=&quot;00A67DAC&quot;/&gt;&lt;wsp:rsid wsp:val=&quot;00A701FD&quot;/&gt;&lt;wsp:rsid wsp:val=&quot;00A707D4&quot;/&gt;&lt;wsp:rsid wsp:val=&quot;00A70A5B&quot;/&gt;&lt;wsp:rsid wsp:val=&quot;00A70BDE&quot;/&gt;&lt;wsp:rsid wsp:val=&quot;00A70E8D&quot;/&gt;&lt;wsp:rsid wsp:val=&quot;00A70EC1&quot;/&gt;&lt;wsp:rsid wsp:val=&quot;00A70F52&quot;/&gt;&lt;wsp:rsid wsp:val=&quot;00A710F7&quot;/&gt;&lt;wsp:rsid wsp:val=&quot;00A71124&quot;/&gt;&lt;wsp:rsid wsp:val=&quot;00A7121B&quot;/&gt;&lt;wsp:rsid wsp:val=&quot;00A715C6&quot;/&gt;&lt;wsp:rsid wsp:val=&quot;00A715FD&quot;/&gt;&lt;wsp:rsid wsp:val=&quot;00A71A9A&quot;/&gt;&lt;wsp:rsid wsp:val=&quot;00A71FF8&quot;/&gt;&lt;wsp:rsid wsp:val=&quot;00A7266F&quot;/&gt;&lt;wsp:rsid wsp:val=&quot;00A72C11&quot;/&gt;&lt;wsp:rsid wsp:val=&quot;00A72E7A&quot;/&gt;&lt;wsp:rsid wsp:val=&quot;00A7352C&quot;/&gt;&lt;wsp:rsid wsp:val=&quot;00A73841&quot;/&gt;&lt;wsp:rsid wsp:val=&quot;00A73A59&quot;/&gt;&lt;wsp:rsid wsp:val=&quot;00A73D44&quot;/&gt;&lt;wsp:rsid wsp:val=&quot;00A741C8&quot;/&gt;&lt;wsp:rsid wsp:val=&quot;00A74A9A&quot;/&gt;&lt;wsp:rsid wsp:val=&quot;00A74C38&quot;/&gt;&lt;wsp:rsid wsp:val=&quot;00A75314&quot;/&gt;&lt;wsp:rsid wsp:val=&quot;00A7562A&quot;/&gt;&lt;wsp:rsid wsp:val=&quot;00A75D66&quot;/&gt;&lt;wsp:rsid wsp:val=&quot;00A75E31&quot;/&gt;&lt;wsp:rsid wsp:val=&quot;00A75E76&quot;/&gt;&lt;wsp:rsid wsp:val=&quot;00A76326&quot;/&gt;&lt;wsp:rsid wsp:val=&quot;00A765A2&quot;/&gt;&lt;wsp:rsid wsp:val=&quot;00A765C0&quot;/&gt;&lt;wsp:rsid wsp:val=&quot;00A7686C&quot;/&gt;&lt;wsp:rsid wsp:val=&quot;00A76A08&quot;/&gt;&lt;wsp:rsid wsp:val=&quot;00A76A40&quot;/&gt;&lt;wsp:rsid wsp:val=&quot;00A76B2A&quot;/&gt;&lt;wsp:rsid wsp:val=&quot;00A76D07&quot;/&gt;&lt;wsp:rsid wsp:val=&quot;00A76E3C&quot;/&gt;&lt;wsp:rsid wsp:val=&quot;00A7790D&quot;/&gt;&lt;wsp:rsid wsp:val=&quot;00A77B57&quot;/&gt;&lt;wsp:rsid wsp:val=&quot;00A77BFB&quot;/&gt;&lt;wsp:rsid wsp:val=&quot;00A800B3&quot;/&gt;&lt;wsp:rsid wsp:val=&quot;00A80333&quot;/&gt;&lt;wsp:rsid wsp:val=&quot;00A807B7&quot;/&gt;&lt;wsp:rsid wsp:val=&quot;00A80877&quot;/&gt;&lt;wsp:rsid wsp:val=&quot;00A80892&quot;/&gt;&lt;wsp:rsid wsp:val=&quot;00A80A0E&quot;/&gt;&lt;wsp:rsid wsp:val=&quot;00A80A86&quot;/&gt;&lt;wsp:rsid wsp:val=&quot;00A810F9&quot;/&gt;&lt;wsp:rsid wsp:val=&quot;00A8111C&quot;/&gt;&lt;wsp:rsid wsp:val=&quot;00A8170A&quot;/&gt;&lt;wsp:rsid wsp:val=&quot;00A818A4&quot;/&gt;&lt;wsp:rsid wsp:val=&quot;00A81DD7&quot;/&gt;&lt;wsp:rsid wsp:val=&quot;00A820B4&quot;/&gt;&lt;wsp:rsid wsp:val=&quot;00A82346&quot;/&gt;&lt;wsp:rsid wsp:val=&quot;00A82675&quot;/&gt;&lt;wsp:rsid wsp:val=&quot;00A82773&quot;/&gt;&lt;wsp:rsid wsp:val=&quot;00A8277D&quot;/&gt;&lt;wsp:rsid wsp:val=&quot;00A83BFC&quot;/&gt;&lt;wsp:rsid wsp:val=&quot;00A83DD5&quot;/&gt;&lt;wsp:rsid wsp:val=&quot;00A841A8&quot;/&gt;&lt;wsp:rsid wsp:val=&quot;00A8425B&quot;/&gt;&lt;wsp:rsid wsp:val=&quot;00A84D1E&quot;/&gt;&lt;wsp:rsid wsp:val=&quot;00A85234&quot;/&gt;&lt;wsp:rsid wsp:val=&quot;00A853B5&quot;/&gt;&lt;wsp:rsid wsp:val=&quot;00A855A2&quot;/&gt;&lt;wsp:rsid wsp:val=&quot;00A85755&quot;/&gt;&lt;wsp:rsid wsp:val=&quot;00A858ED&quot;/&gt;&lt;wsp:rsid wsp:val=&quot;00A85A20&quot;/&gt;&lt;wsp:rsid wsp:val=&quot;00A85D90&quot;/&gt;&lt;wsp:rsid wsp:val=&quot;00A85E89&quot;/&gt;&lt;wsp:rsid wsp:val=&quot;00A85EB0&quot;/&gt;&lt;wsp:rsid wsp:val=&quot;00A86531&quot;/&gt;&lt;wsp:rsid wsp:val=&quot;00A867EB&quot;/&gt;&lt;wsp:rsid wsp:val=&quot;00A86B33&quot;/&gt;&lt;wsp:rsid wsp:val=&quot;00A86EEB&quot;/&gt;&lt;wsp:rsid wsp:val=&quot;00A87155&quot;/&gt;&lt;wsp:rsid wsp:val=&quot;00A87208&quot;/&gt;&lt;wsp:rsid wsp:val=&quot;00A87724&quot;/&gt;&lt;wsp:rsid wsp:val=&quot;00A87820&quot;/&gt;&lt;wsp:rsid wsp:val=&quot;00A8788D&quot;/&gt;&lt;wsp:rsid wsp:val=&quot;00A878A4&quot;/&gt;&lt;wsp:rsid wsp:val=&quot;00A879D6&quot;/&gt;&lt;wsp:rsid wsp:val=&quot;00A87C29&quot;/&gt;&lt;wsp:rsid wsp:val=&quot;00A87F41&quot;/&gt;&lt;wsp:rsid wsp:val=&quot;00A903DE&quot;/&gt;&lt;wsp:rsid wsp:val=&quot;00A90584&quot;/&gt;&lt;wsp:rsid wsp:val=&quot;00A90A12&quot;/&gt;&lt;wsp:rsid wsp:val=&quot;00A90F31&quot;/&gt;&lt;wsp:rsid wsp:val=&quot;00A912DD&quot;/&gt;&lt;wsp:rsid wsp:val=&quot;00A915D8&quot;/&gt;&lt;wsp:rsid wsp:val=&quot;00A91839&quot;/&gt;&lt;wsp:rsid wsp:val=&quot;00A91B76&quot;/&gt;&lt;wsp:rsid wsp:val=&quot;00A91B9A&quot;/&gt;&lt;wsp:rsid wsp:val=&quot;00A91E08&quot;/&gt;&lt;wsp:rsid wsp:val=&quot;00A92168&quot;/&gt;&lt;wsp:rsid wsp:val=&quot;00A92513&quot;/&gt;&lt;wsp:rsid wsp:val=&quot;00A928DB&quot;/&gt;&lt;wsp:rsid wsp:val=&quot;00A9295F&quot;/&gt;&lt;wsp:rsid wsp:val=&quot;00A92B87&quot;/&gt;&lt;wsp:rsid wsp:val=&quot;00A9315B&quot;/&gt;&lt;wsp:rsid wsp:val=&quot;00A931F2&quot;/&gt;&lt;wsp:rsid wsp:val=&quot;00A93507&quot;/&gt;&lt;wsp:rsid wsp:val=&quot;00A935C3&quot;/&gt;&lt;wsp:rsid wsp:val=&quot;00A93D4E&quot;/&gt;&lt;wsp:rsid wsp:val=&quot;00A93DE5&quot;/&gt;&lt;wsp:rsid wsp:val=&quot;00A93DE8&quot;/&gt;&lt;wsp:rsid wsp:val=&quot;00A93F76&quot;/&gt;&lt;wsp:rsid wsp:val=&quot;00A94491&quot;/&gt;&lt;wsp:rsid wsp:val=&quot;00A9480B&quot;/&gt;&lt;wsp:rsid wsp:val=&quot;00A94810&quot;/&gt;&lt;wsp:rsid wsp:val=&quot;00A951C6&quot;/&gt;&lt;wsp:rsid wsp:val=&quot;00A95BEC&quot;/&gt;&lt;wsp:rsid wsp:val=&quot;00A961BB&quot;/&gt;&lt;wsp:rsid wsp:val=&quot;00A9681E&quot;/&gt;&lt;wsp:rsid wsp:val=&quot;00A96A52&quot;/&gt;&lt;wsp:rsid wsp:val=&quot;00A96A66&quot;/&gt;&lt;wsp:rsid wsp:val=&quot;00A96AE7&quot;/&gt;&lt;wsp:rsid wsp:val=&quot;00A96EA8&quot;/&gt;&lt;wsp:rsid wsp:val=&quot;00A97920&quot;/&gt;&lt;wsp:rsid wsp:val=&quot;00A97D65&quot;/&gt;&lt;wsp:rsid wsp:val=&quot;00A97F1F&quot;/&gt;&lt;wsp:rsid wsp:val=&quot;00AA02FD&quot;/&gt;&lt;wsp:rsid wsp:val=&quot;00AA042C&quot;/&gt;&lt;wsp:rsid wsp:val=&quot;00AA0584&quot;/&gt;&lt;wsp:rsid wsp:val=&quot;00AA069E&quot;/&gt;&lt;wsp:rsid wsp:val=&quot;00AA0A78&quot;/&gt;&lt;wsp:rsid wsp:val=&quot;00AA0C0C&quot;/&gt;&lt;wsp:rsid wsp:val=&quot;00AA0C45&quot;/&gt;&lt;wsp:rsid wsp:val=&quot;00AA1080&quot;/&gt;&lt;wsp:rsid wsp:val=&quot;00AA1CBC&quot;/&gt;&lt;wsp:rsid wsp:val=&quot;00AA23FC&quot;/&gt;&lt;wsp:rsid wsp:val=&quot;00AA2521&quot;/&gt;&lt;wsp:rsid wsp:val=&quot;00AA2F18&quot;/&gt;&lt;wsp:rsid wsp:val=&quot;00AA314E&quot;/&gt;&lt;wsp:rsid wsp:val=&quot;00AA33A4&quot;/&gt;&lt;wsp:rsid wsp:val=&quot;00AA346B&quot;/&gt;&lt;wsp:rsid wsp:val=&quot;00AA3476&quot;/&gt;&lt;wsp:rsid wsp:val=&quot;00AA3937&quot;/&gt;&lt;wsp:rsid wsp:val=&quot;00AA3B2C&quot;/&gt;&lt;wsp:rsid wsp:val=&quot;00AA3C7A&quot;/&gt;&lt;wsp:rsid wsp:val=&quot;00AA3CBE&quot;/&gt;&lt;wsp:rsid wsp:val=&quot;00AA4246&quot;/&gt;&lt;wsp:rsid wsp:val=&quot;00AA4607&quot;/&gt;&lt;wsp:rsid wsp:val=&quot;00AA47E8&quot;/&gt;&lt;wsp:rsid wsp:val=&quot;00AA48A3&quot;/&gt;&lt;wsp:rsid wsp:val=&quot;00AA4924&quot;/&gt;&lt;wsp:rsid wsp:val=&quot;00AA4D99&quot;/&gt;&lt;wsp:rsid wsp:val=&quot;00AA4E2D&quot;/&gt;&lt;wsp:rsid wsp:val=&quot;00AA510B&quot;/&gt;&lt;wsp:rsid wsp:val=&quot;00AA512E&quot;/&gt;&lt;wsp:rsid wsp:val=&quot;00AA51BB&quot;/&gt;&lt;wsp:rsid wsp:val=&quot;00AA52B0&quot;/&gt;&lt;wsp:rsid wsp:val=&quot;00AA54CF&quot;/&gt;&lt;wsp:rsid wsp:val=&quot;00AA55AC&quot;/&gt;&lt;wsp:rsid wsp:val=&quot;00AA55DC&quot;/&gt;&lt;wsp:rsid wsp:val=&quot;00AA5A0A&quot;/&gt;&lt;wsp:rsid wsp:val=&quot;00AA5D36&quot;/&gt;&lt;wsp:rsid wsp:val=&quot;00AA5F33&quot;/&gt;&lt;wsp:rsid wsp:val=&quot;00AA66CE&quot;/&gt;&lt;wsp:rsid wsp:val=&quot;00AA6F5D&quot;/&gt;&lt;wsp:rsid wsp:val=&quot;00AA7915&quot;/&gt;&lt;wsp:rsid wsp:val=&quot;00AB097D&quot;/&gt;&lt;wsp:rsid wsp:val=&quot;00AB0B87&quot;/&gt;&lt;wsp:rsid wsp:val=&quot;00AB0E1C&quot;/&gt;&lt;wsp:rsid wsp:val=&quot;00AB10CD&quot;/&gt;&lt;wsp:rsid wsp:val=&quot;00AB1244&quot;/&gt;&lt;wsp:rsid wsp:val=&quot;00AB1504&quot;/&gt;&lt;wsp:rsid wsp:val=&quot;00AB20B0&quot;/&gt;&lt;wsp:rsid wsp:val=&quot;00AB2119&quot;/&gt;&lt;wsp:rsid wsp:val=&quot;00AB237C&quot;/&gt;&lt;wsp:rsid wsp:val=&quot;00AB269D&quot;/&gt;&lt;wsp:rsid wsp:val=&quot;00AB274E&quot;/&gt;&lt;wsp:rsid wsp:val=&quot;00AB292A&quot;/&gt;&lt;wsp:rsid wsp:val=&quot;00AB2CF5&quot;/&gt;&lt;wsp:rsid wsp:val=&quot;00AB2E72&quot;/&gt;&lt;wsp:rsid wsp:val=&quot;00AB2F00&quot;/&gt;&lt;wsp:rsid wsp:val=&quot;00AB301B&quot;/&gt;&lt;wsp:rsid wsp:val=&quot;00AB308B&quot;/&gt;&lt;wsp:rsid wsp:val=&quot;00AB3408&quot;/&gt;&lt;wsp:rsid wsp:val=&quot;00AB364B&quot;/&gt;&lt;wsp:rsid wsp:val=&quot;00AB389E&quot;/&gt;&lt;wsp:rsid wsp:val=&quot;00AB3D6A&quot;/&gt;&lt;wsp:rsid wsp:val=&quot;00AB42B0&quot;/&gt;&lt;wsp:rsid wsp:val=&quot;00AB47F0&quot;/&gt;&lt;wsp:rsid wsp:val=&quot;00AB4952&quot;/&gt;&lt;wsp:rsid wsp:val=&quot;00AB4C51&quot;/&gt;&lt;wsp:rsid wsp:val=&quot;00AB4C7F&quot;/&gt;&lt;wsp:rsid wsp:val=&quot;00AB4E24&quot;/&gt;&lt;wsp:rsid wsp:val=&quot;00AB4FE3&quot;/&gt;&lt;wsp:rsid wsp:val=&quot;00AB504C&quot;/&gt;&lt;wsp:rsid wsp:val=&quot;00AB51FA&quot;/&gt;&lt;wsp:rsid wsp:val=&quot;00AB5375&quot;/&gt;&lt;wsp:rsid wsp:val=&quot;00AB5404&quot;/&gt;&lt;wsp:rsid wsp:val=&quot;00AB55DD&quot;/&gt;&lt;wsp:rsid wsp:val=&quot;00AB5747&quot;/&gt;&lt;wsp:rsid wsp:val=&quot;00AB5B35&quot;/&gt;&lt;wsp:rsid wsp:val=&quot;00AB5CE5&quot;/&gt;&lt;wsp:rsid wsp:val=&quot;00AB67B5&quot;/&gt;&lt;wsp:rsid wsp:val=&quot;00AB67F3&quot;/&gt;&lt;wsp:rsid wsp:val=&quot;00AB6D48&quot;/&gt;&lt;wsp:rsid wsp:val=&quot;00AB6EC3&quot;/&gt;&lt;wsp:rsid wsp:val=&quot;00AB7C45&quot;/&gt;&lt;wsp:rsid wsp:val=&quot;00AC0763&quot;/&gt;&lt;wsp:rsid wsp:val=&quot;00AC0967&quot;/&gt;&lt;wsp:rsid wsp:val=&quot;00AC0D90&quot;/&gt;&lt;wsp:rsid wsp:val=&quot;00AC1044&quot;/&gt;&lt;wsp:rsid wsp:val=&quot;00AC1366&quot;/&gt;&lt;wsp:rsid wsp:val=&quot;00AC1455&quot;/&gt;&lt;wsp:rsid wsp:val=&quot;00AC18E9&quot;/&gt;&lt;wsp:rsid wsp:val=&quot;00AC19BD&quot;/&gt;&lt;wsp:rsid wsp:val=&quot;00AC2032&quot;/&gt;&lt;wsp:rsid wsp:val=&quot;00AC20DA&quot;/&gt;&lt;wsp:rsid wsp:val=&quot;00AC22D2&quot;/&gt;&lt;wsp:rsid wsp:val=&quot;00AC2495&quot;/&gt;&lt;wsp:rsid wsp:val=&quot;00AC2652&quot;/&gt;&lt;wsp:rsid wsp:val=&quot;00AC2926&quot;/&gt;&lt;wsp:rsid wsp:val=&quot;00AC2B5B&quot;/&gt;&lt;wsp:rsid wsp:val=&quot;00AC308A&quot;/&gt;&lt;wsp:rsid wsp:val=&quot;00AC358E&quot;/&gt;&lt;wsp:rsid wsp:val=&quot;00AC3903&quot;/&gt;&lt;wsp:rsid wsp:val=&quot;00AC4063&quot;/&gt;&lt;wsp:rsid wsp:val=&quot;00AC40EE&quot;/&gt;&lt;wsp:rsid wsp:val=&quot;00AC4234&quot;/&gt;&lt;wsp:rsid wsp:val=&quot;00AC4D26&quot;/&gt;&lt;wsp:rsid wsp:val=&quot;00AC4E76&quot;/&gt;&lt;wsp:rsid wsp:val=&quot;00AC4F73&quot;/&gt;&lt;wsp:rsid wsp:val=&quot;00AC533B&quot;/&gt;&lt;wsp:rsid wsp:val=&quot;00AC56DD&quot;/&gt;&lt;wsp:rsid wsp:val=&quot;00AC5796&quot;/&gt;&lt;wsp:rsid wsp:val=&quot;00AC650B&quot;/&gt;&lt;wsp:rsid wsp:val=&quot;00AC6598&quot;/&gt;&lt;wsp:rsid wsp:val=&quot;00AC68D8&quot;/&gt;&lt;wsp:rsid wsp:val=&quot;00AC699A&quot;/&gt;&lt;wsp:rsid wsp:val=&quot;00AC6C6D&quot;/&gt;&lt;wsp:rsid wsp:val=&quot;00AC6DC2&quot;/&gt;&lt;wsp:rsid wsp:val=&quot;00AC704A&quot;/&gt;&lt;wsp:rsid wsp:val=&quot;00AC73C4&quot;/&gt;&lt;wsp:rsid wsp:val=&quot;00AC77AC&quot;/&gt;&lt;wsp:rsid wsp:val=&quot;00AC7D8E&quot;/&gt;&lt;wsp:rsid wsp:val=&quot;00AD009D&quot;/&gt;&lt;wsp:rsid wsp:val=&quot;00AD034D&quot;/&gt;&lt;wsp:rsid wsp:val=&quot;00AD040A&quot;/&gt;&lt;wsp:rsid wsp:val=&quot;00AD0684&quot;/&gt;&lt;wsp:rsid wsp:val=&quot;00AD0779&quot;/&gt;&lt;wsp:rsid wsp:val=&quot;00AD08EF&quot;/&gt;&lt;wsp:rsid wsp:val=&quot;00AD1039&quot;/&gt;&lt;wsp:rsid wsp:val=&quot;00AD1BF3&quot;/&gt;&lt;wsp:rsid wsp:val=&quot;00AD1E48&quot;/&gt;&lt;wsp:rsid wsp:val=&quot;00AD2171&quot;/&gt;&lt;wsp:rsid wsp:val=&quot;00AD3062&quot;/&gt;&lt;wsp:rsid wsp:val=&quot;00AD3099&quot;/&gt;&lt;wsp:rsid wsp:val=&quot;00AD312C&quot;/&gt;&lt;wsp:rsid wsp:val=&quot;00AD32CE&quot;/&gt;&lt;wsp:rsid wsp:val=&quot;00AD334F&quot;/&gt;&lt;wsp:rsid wsp:val=&quot;00AD3D3D&quot;/&gt;&lt;wsp:rsid wsp:val=&quot;00AD405F&quot;/&gt;&lt;wsp:rsid wsp:val=&quot;00AD40C2&quot;/&gt;&lt;wsp:rsid wsp:val=&quot;00AD4218&quot;/&gt;&lt;wsp:rsid wsp:val=&quot;00AD4487&quot;/&gt;&lt;wsp:rsid wsp:val=&quot;00AD46B1&quot;/&gt;&lt;wsp:rsid wsp:val=&quot;00AD475B&quot;/&gt;&lt;wsp:rsid wsp:val=&quot;00AD4D3C&quot;/&gt;&lt;wsp:rsid wsp:val=&quot;00AD502A&quot;/&gt;&lt;wsp:rsid wsp:val=&quot;00AD56C8&quot;/&gt;&lt;wsp:rsid wsp:val=&quot;00AD5D9A&quot;/&gt;&lt;wsp:rsid wsp:val=&quot;00AD5DF1&quot;/&gt;&lt;wsp:rsid wsp:val=&quot;00AD63F8&quot;/&gt;&lt;wsp:rsid wsp:val=&quot;00AD67A3&quot;/&gt;&lt;wsp:rsid wsp:val=&quot;00AD67D1&quot;/&gt;&lt;wsp:rsid wsp:val=&quot;00AD6D97&quot;/&gt;&lt;wsp:rsid wsp:val=&quot;00AD6F2C&quot;/&gt;&lt;wsp:rsid wsp:val=&quot;00AD74DE&quot;/&gt;&lt;wsp:rsid wsp:val=&quot;00AD75D9&quot;/&gt;&lt;wsp:rsid wsp:val=&quot;00AD767D&quot;/&gt;&lt;wsp:rsid wsp:val=&quot;00AD79C8&quot;/&gt;&lt;wsp:rsid wsp:val=&quot;00AE024C&quot;/&gt;&lt;wsp:rsid wsp:val=&quot;00AE068F&quot;/&gt;&lt;wsp:rsid wsp:val=&quot;00AE0719&quot;/&gt;&lt;wsp:rsid wsp:val=&quot;00AE084B&quot;/&gt;&lt;wsp:rsid wsp:val=&quot;00AE0FEB&quot;/&gt;&lt;wsp:rsid wsp:val=&quot;00AE0FF8&quot;/&gt;&lt;wsp:rsid wsp:val=&quot;00AE1545&quot;/&gt;&lt;wsp:rsid wsp:val=&quot;00AE15DC&quot;/&gt;&lt;wsp:rsid wsp:val=&quot;00AE1955&quot;/&gt;&lt;wsp:rsid wsp:val=&quot;00AE1B40&quot;/&gt;&lt;wsp:rsid wsp:val=&quot;00AE20EA&quot;/&gt;&lt;wsp:rsid wsp:val=&quot;00AE224C&quot;/&gt;&lt;wsp:rsid wsp:val=&quot;00AE278A&quot;/&gt;&lt;wsp:rsid wsp:val=&quot;00AE2AC4&quot;/&gt;&lt;wsp:rsid wsp:val=&quot;00AE32E1&quot;/&gt;&lt;wsp:rsid wsp:val=&quot;00AE3803&quot;/&gt;&lt;wsp:rsid wsp:val=&quot;00AE3814&quot;/&gt;&lt;wsp:rsid wsp:val=&quot;00AE38C8&quot;/&gt;&lt;wsp:rsid wsp:val=&quot;00AE46DB&quot;/&gt;&lt;wsp:rsid wsp:val=&quot;00AE4840&quot;/&gt;&lt;wsp:rsid wsp:val=&quot;00AE5283&quot;/&gt;&lt;wsp:rsid wsp:val=&quot;00AE542C&quot;/&gt;&lt;wsp:rsid wsp:val=&quot;00AE5D98&quot;/&gt;&lt;wsp:rsid wsp:val=&quot;00AE5E12&quot;/&gt;&lt;wsp:rsid wsp:val=&quot;00AE5E2B&quot;/&gt;&lt;wsp:rsid wsp:val=&quot;00AE5EA0&quot;/&gt;&lt;wsp:rsid wsp:val=&quot;00AE69C5&quot;/&gt;&lt;wsp:rsid wsp:val=&quot;00AE6EB1&quot;/&gt;&lt;wsp:rsid wsp:val=&quot;00AE6F8E&quot;/&gt;&lt;wsp:rsid wsp:val=&quot;00AE76BD&quot;/&gt;&lt;wsp:rsid wsp:val=&quot;00AE794E&quot;/&gt;&lt;wsp:rsid wsp:val=&quot;00AE7B87&quot;/&gt;&lt;wsp:rsid wsp:val=&quot;00AF04F5&quot;/&gt;&lt;wsp:rsid wsp:val=&quot;00AF077C&quot;/&gt;&lt;wsp:rsid wsp:val=&quot;00AF078B&quot;/&gt;&lt;wsp:rsid wsp:val=&quot;00AF0C3E&quot;/&gt;&lt;wsp:rsid wsp:val=&quot;00AF14A8&quot;/&gt;&lt;wsp:rsid wsp:val=&quot;00AF1564&quot;/&gt;&lt;wsp:rsid wsp:val=&quot;00AF1B37&quot;/&gt;&lt;wsp:rsid wsp:val=&quot;00AF2287&quot;/&gt;&lt;wsp:rsid wsp:val=&quot;00AF2712&quot;/&gt;&lt;wsp:rsid wsp:val=&quot;00AF2CC9&quot;/&gt;&lt;wsp:rsid wsp:val=&quot;00AF2D3E&quot;/&gt;&lt;wsp:rsid wsp:val=&quot;00AF2F7A&quot;/&gt;&lt;wsp:rsid wsp:val=&quot;00AF2F9D&quot;/&gt;&lt;wsp:rsid wsp:val=&quot;00AF3149&quot;/&gt;&lt;wsp:rsid wsp:val=&quot;00AF3509&quot;/&gt;&lt;wsp:rsid wsp:val=&quot;00AF3529&quot;/&gt;&lt;wsp:rsid wsp:val=&quot;00AF3B58&quot;/&gt;&lt;wsp:rsid wsp:val=&quot;00AF3E49&quot;/&gt;&lt;wsp:rsid wsp:val=&quot;00AF424F&quot;/&gt;&lt;wsp:rsid wsp:val=&quot;00AF4343&quot;/&gt;&lt;wsp:rsid wsp:val=&quot;00AF55AA&quot;/&gt;&lt;wsp:rsid wsp:val=&quot;00AF56AE&quot;/&gt;&lt;wsp:rsid wsp:val=&quot;00AF5852&quot;/&gt;&lt;wsp:rsid wsp:val=&quot;00AF5A03&quot;/&gt;&lt;wsp:rsid wsp:val=&quot;00AF5B3E&quot;/&gt;&lt;wsp:rsid wsp:val=&quot;00AF5FD0&quot;/&gt;&lt;wsp:rsid wsp:val=&quot;00AF6623&quot;/&gt;&lt;wsp:rsid wsp:val=&quot;00AF6C6E&quot;/&gt;&lt;wsp:rsid wsp:val=&quot;00AF6F3F&quot;/&gt;&lt;wsp:rsid wsp:val=&quot;00AF7725&quot;/&gt;&lt;wsp:rsid wsp:val=&quot;00AF7759&quot;/&gt;&lt;wsp:rsid wsp:val=&quot;00B003B5&quot;/&gt;&lt;wsp:rsid wsp:val=&quot;00B00493&quot;/&gt;&lt;wsp:rsid wsp:val=&quot;00B006EA&quot;/&gt;&lt;wsp:rsid wsp:val=&quot;00B00992&quot;/&gt;&lt;wsp:rsid wsp:val=&quot;00B00A3C&quot;/&gt;&lt;wsp:rsid wsp:val=&quot;00B00DA1&quot;/&gt;&lt;wsp:rsid wsp:val=&quot;00B00DA4&quot;/&gt;&lt;wsp:rsid wsp:val=&quot;00B00DC4&quot;/&gt;&lt;wsp:rsid wsp:val=&quot;00B0124C&quot;/&gt;&lt;wsp:rsid wsp:val=&quot;00B01375&quot;/&gt;&lt;wsp:rsid wsp:val=&quot;00B01420&quot;/&gt;&lt;wsp:rsid wsp:val=&quot;00B016D4&quot;/&gt;&lt;wsp:rsid wsp:val=&quot;00B01D43&quot;/&gt;&lt;wsp:rsid wsp:val=&quot;00B01FC6&quot;/&gt;&lt;wsp:rsid wsp:val=&quot;00B02031&quot;/&gt;&lt;wsp:rsid wsp:val=&quot;00B026F6&quot;/&gt;&lt;wsp:rsid wsp:val=&quot;00B02F28&quot;/&gt;&lt;wsp:rsid wsp:val=&quot;00B0318E&quot;/&gt;&lt;wsp:rsid wsp:val=&quot;00B033E0&quot;/&gt;&lt;wsp:rsid wsp:val=&quot;00B03510&quot;/&gt;&lt;wsp:rsid wsp:val=&quot;00B03804&quot;/&gt;&lt;wsp:rsid wsp:val=&quot;00B03DEE&quot;/&gt;&lt;wsp:rsid wsp:val=&quot;00B045D9&quot;/&gt;&lt;wsp:rsid wsp:val=&quot;00B04A0F&quot;/&gt;&lt;wsp:rsid wsp:val=&quot;00B04AE7&quot;/&gt;&lt;wsp:rsid wsp:val=&quot;00B04EEB&quot;/&gt;&lt;wsp:rsid wsp:val=&quot;00B04F2C&quot;/&gt;&lt;wsp:rsid wsp:val=&quot;00B053A9&quot;/&gt;&lt;wsp:rsid wsp:val=&quot;00B05AC4&quot;/&gt;&lt;wsp:rsid wsp:val=&quot;00B05EA9&quot;/&gt;&lt;wsp:rsid wsp:val=&quot;00B05F50&quot;/&gt;&lt;wsp:rsid wsp:val=&quot;00B0603D&quot;/&gt;&lt;wsp:rsid wsp:val=&quot;00B06108&quot;/&gt;&lt;wsp:rsid wsp:val=&quot;00B06342&quot;/&gt;&lt;wsp:rsid wsp:val=&quot;00B063E9&quot;/&gt;&lt;wsp:rsid wsp:val=&quot;00B066FE&quot;/&gt;&lt;wsp:rsid wsp:val=&quot;00B067B6&quot;/&gt;&lt;wsp:rsid wsp:val=&quot;00B069EB&quot;/&gt;&lt;wsp:rsid wsp:val=&quot;00B06D78&quot;/&gt;&lt;wsp:rsid wsp:val=&quot;00B074B7&quot;/&gt;&lt;wsp:rsid wsp:val=&quot;00B07A34&quot;/&gt;&lt;wsp:rsid wsp:val=&quot;00B07A9B&quot;/&gt;&lt;wsp:rsid wsp:val=&quot;00B07C0E&quot;/&gt;&lt;wsp:rsid wsp:val=&quot;00B101E2&quot;/&gt;&lt;wsp:rsid wsp:val=&quot;00B10273&quot;/&gt;&lt;wsp:rsid wsp:val=&quot;00B102A5&quot;/&gt;&lt;wsp:rsid wsp:val=&quot;00B10437&quot;/&gt;&lt;wsp:rsid wsp:val=&quot;00B105C4&quot;/&gt;&lt;wsp:rsid wsp:val=&quot;00B10857&quot;/&gt;&lt;wsp:rsid wsp:val=&quot;00B114AA&quot;/&gt;&lt;wsp:rsid wsp:val=&quot;00B11588&quot;/&gt;&lt;wsp:rsid wsp:val=&quot;00B11AF5&quot;/&gt;&lt;wsp:rsid wsp:val=&quot;00B11C47&quot;/&gt;&lt;wsp:rsid wsp:val=&quot;00B12253&quot;/&gt;&lt;wsp:rsid wsp:val=&quot;00B1237E&quot;/&gt;&lt;wsp:rsid wsp:val=&quot;00B12763&quot;/&gt;&lt;wsp:rsid wsp:val=&quot;00B12A63&quot;/&gt;&lt;wsp:rsid wsp:val=&quot;00B12BF1&quot;/&gt;&lt;wsp:rsid wsp:val=&quot;00B12CB5&quot;/&gt;&lt;wsp:rsid wsp:val=&quot;00B12D76&quot;/&gt;&lt;wsp:rsid wsp:val=&quot;00B12EAC&quot;/&gt;&lt;wsp:rsid wsp:val=&quot;00B13341&quot;/&gt;&lt;wsp:rsid wsp:val=&quot;00B1351D&quot;/&gt;&lt;wsp:rsid wsp:val=&quot;00B13820&quot;/&gt;&lt;wsp:rsid wsp:val=&quot;00B1420F&quot;/&gt;&lt;wsp:rsid wsp:val=&quot;00B14339&quot;/&gt;&lt;wsp:rsid wsp:val=&quot;00B1488F&quot;/&gt;&lt;wsp:rsid wsp:val=&quot;00B1495C&quot;/&gt;&lt;wsp:rsid wsp:val=&quot;00B14964&quot;/&gt;&lt;wsp:rsid wsp:val=&quot;00B14EC4&quot;/&gt;&lt;wsp:rsid wsp:val=&quot;00B14FB8&quot;/&gt;&lt;wsp:rsid wsp:val=&quot;00B150F3&quot;/&gt;&lt;wsp:rsid wsp:val=&quot;00B1542F&quot;/&gt;&lt;wsp:rsid wsp:val=&quot;00B15BB8&quot;/&gt;&lt;wsp:rsid wsp:val=&quot;00B15BD5&quot;/&gt;&lt;wsp:rsid wsp:val=&quot;00B1658C&quot;/&gt;&lt;wsp:rsid wsp:val=&quot;00B165F4&quot;/&gt;&lt;wsp:rsid wsp:val=&quot;00B16B51&quot;/&gt;&lt;wsp:rsid wsp:val=&quot;00B16CE4&quot;/&gt;&lt;wsp:rsid wsp:val=&quot;00B17267&quot;/&gt;&lt;wsp:rsid wsp:val=&quot;00B17A6F&quot;/&gt;&lt;wsp:rsid wsp:val=&quot;00B17A77&quot;/&gt;&lt;wsp:rsid wsp:val=&quot;00B17F34&quot;/&gt;&lt;wsp:rsid wsp:val=&quot;00B2037C&quot;/&gt;&lt;wsp:rsid wsp:val=&quot;00B206CE&quot;/&gt;&lt;wsp:rsid wsp:val=&quot;00B207CE&quot;/&gt;&lt;wsp:rsid wsp:val=&quot;00B207EC&quot;/&gt;&lt;wsp:rsid wsp:val=&quot;00B208ED&quot;/&gt;&lt;wsp:rsid wsp:val=&quot;00B211C4&quot;/&gt;&lt;wsp:rsid wsp:val=&quot;00B21203&quot;/&gt;&lt;wsp:rsid wsp:val=&quot;00B214B2&quot;/&gt;&lt;wsp:rsid wsp:val=&quot;00B215AA&quot;/&gt;&lt;wsp:rsid wsp:val=&quot;00B215BC&quot;/&gt;&lt;wsp:rsid wsp:val=&quot;00B21620&quot;/&gt;&lt;wsp:rsid wsp:val=&quot;00B22E8F&quot;/&gt;&lt;wsp:rsid wsp:val=&quot;00B22F40&quot;/&gt;&lt;wsp:rsid wsp:val=&quot;00B23200&quot;/&gt;&lt;wsp:rsid wsp:val=&quot;00B2379C&quot;/&gt;&lt;wsp:rsid wsp:val=&quot;00B23892&quot;/&gt;&lt;wsp:rsid wsp:val=&quot;00B23D2B&quot;/&gt;&lt;wsp:rsid wsp:val=&quot;00B246A6&quot;/&gt;&lt;wsp:rsid wsp:val=&quot;00B24E41&quot;/&gt;&lt;wsp:rsid wsp:val=&quot;00B24E66&quot;/&gt;&lt;wsp:rsid wsp:val=&quot;00B25027&quot;/&gt;&lt;wsp:rsid wsp:val=&quot;00B2582C&quot;/&gt;&lt;wsp:rsid wsp:val=&quot;00B25907&quot;/&gt;&lt;wsp:rsid wsp:val=&quot;00B264BA&quot;/&gt;&lt;wsp:rsid wsp:val=&quot;00B267C6&quot;/&gt;&lt;wsp:rsid wsp:val=&quot;00B26F46&quot;/&gt;&lt;wsp:rsid wsp:val=&quot;00B270F2&quot;/&gt;&lt;wsp:rsid wsp:val=&quot;00B271B9&quot;/&gt;&lt;wsp:rsid wsp:val=&quot;00B27380&quot;/&gt;&lt;wsp:rsid wsp:val=&quot;00B274BB&quot;/&gt;&lt;wsp:rsid wsp:val=&quot;00B27520&quot;/&gt;&lt;wsp:rsid wsp:val=&quot;00B275DE&quot;/&gt;&lt;wsp:rsid wsp:val=&quot;00B27710&quot;/&gt;&lt;wsp:rsid wsp:val=&quot;00B2772A&quot;/&gt;&lt;wsp:rsid wsp:val=&quot;00B27B90&quot;/&gt;&lt;wsp:rsid wsp:val=&quot;00B27BDA&quot;/&gt;&lt;wsp:rsid wsp:val=&quot;00B302EC&quot;/&gt;&lt;wsp:rsid wsp:val=&quot;00B304C9&quot;/&gt;&lt;wsp:rsid wsp:val=&quot;00B3096D&quot;/&gt;&lt;wsp:rsid wsp:val=&quot;00B30EC9&quot;/&gt;&lt;wsp:rsid wsp:val=&quot;00B31340&quot;/&gt;&lt;wsp:rsid wsp:val=&quot;00B316E7&quot;/&gt;&lt;wsp:rsid wsp:val=&quot;00B31A7D&quot;/&gt;&lt;wsp:rsid wsp:val=&quot;00B31B75&quot;/&gt;&lt;wsp:rsid wsp:val=&quot;00B31F3B&quot;/&gt;&lt;wsp:rsid wsp:val=&quot;00B3255B&quot;/&gt;&lt;wsp:rsid wsp:val=&quot;00B32722&quot;/&gt;&lt;wsp:rsid wsp:val=&quot;00B32901&quot;/&gt;&lt;wsp:rsid wsp:val=&quot;00B32BC4&quot;/&gt;&lt;wsp:rsid wsp:val=&quot;00B32F30&quot;/&gt;&lt;wsp:rsid wsp:val=&quot;00B334E2&quot;/&gt;&lt;wsp:rsid wsp:val=&quot;00B340D8&quot;/&gt;&lt;wsp:rsid wsp:val=&quot;00B34423&quot;/&gt;&lt;wsp:rsid wsp:val=&quot;00B345E1&quot;/&gt;&lt;wsp:rsid wsp:val=&quot;00B34696&quot;/&gt;&lt;wsp:rsid wsp:val=&quot;00B34A3A&quot;/&gt;&lt;wsp:rsid wsp:val=&quot;00B3508E&quot;/&gt;&lt;wsp:rsid wsp:val=&quot;00B35471&quot;/&gt;&lt;wsp:rsid wsp:val=&quot;00B355F7&quot;/&gt;&lt;wsp:rsid wsp:val=&quot;00B355F9&quot;/&gt;&lt;wsp:rsid wsp:val=&quot;00B357FC&quot;/&gt;&lt;wsp:rsid wsp:val=&quot;00B35891&quot;/&gt;&lt;wsp:rsid wsp:val=&quot;00B358AC&quot;/&gt;&lt;wsp:rsid wsp:val=&quot;00B358E9&quot;/&gt;&lt;wsp:rsid wsp:val=&quot;00B35CC2&quot;/&gt;&lt;wsp:rsid wsp:val=&quot;00B36659&quot;/&gt;&lt;wsp:rsid wsp:val=&quot;00B366D3&quot;/&gt;&lt;wsp:rsid wsp:val=&quot;00B3693E&quot;/&gt;&lt;wsp:rsid wsp:val=&quot;00B37158&quot;/&gt;&lt;wsp:rsid wsp:val=&quot;00B373C5&quot;/&gt;&lt;wsp:rsid wsp:val=&quot;00B373F6&quot;/&gt;&lt;wsp:rsid wsp:val=&quot;00B3753C&quot;/&gt;&lt;wsp:rsid wsp:val=&quot;00B37824&quot;/&gt;&lt;wsp:rsid wsp:val=&quot;00B379CB&quot;/&gt;&lt;wsp:rsid wsp:val=&quot;00B37AB0&quot;/&gt;&lt;wsp:rsid wsp:val=&quot;00B37B1C&quot;/&gt;&lt;wsp:rsid wsp:val=&quot;00B37D83&quot;/&gt;&lt;wsp:rsid wsp:val=&quot;00B4003F&quot;/&gt;&lt;wsp:rsid wsp:val=&quot;00B4027C&quot;/&gt;&lt;wsp:rsid wsp:val=&quot;00B405AA&quot;/&gt;&lt;wsp:rsid wsp:val=&quot;00B41129&quot;/&gt;&lt;wsp:rsid wsp:val=&quot;00B41EB7&quot;/&gt;&lt;wsp:rsid wsp:val=&quot;00B420EF&quot;/&gt;&lt;wsp:rsid wsp:val=&quot;00B4230F&quot;/&gt;&lt;wsp:rsid wsp:val=&quot;00B42619&quot;/&gt;&lt;wsp:rsid wsp:val=&quot;00B42645&quot;/&gt;&lt;wsp:rsid wsp:val=&quot;00B4304B&quot;/&gt;&lt;wsp:rsid wsp:val=&quot;00B43378&quot;/&gt;&lt;wsp:rsid wsp:val=&quot;00B4338C&quot;/&gt;&lt;wsp:rsid wsp:val=&quot;00B43BD7&quot;/&gt;&lt;wsp:rsid wsp:val=&quot;00B43C58&quot;/&gt;&lt;wsp:rsid wsp:val=&quot;00B44956&quot;/&gt;&lt;wsp:rsid wsp:val=&quot;00B4527D&quot;/&gt;&lt;wsp:rsid wsp:val=&quot;00B45F5B&quot;/&gt;&lt;wsp:rsid wsp:val=&quot;00B45F5C&quot;/&gt;&lt;wsp:rsid wsp:val=&quot;00B4613C&quot;/&gt;&lt;wsp:rsid wsp:val=&quot;00B464BF&quot;/&gt;&lt;wsp:rsid wsp:val=&quot;00B47705&quot;/&gt;&lt;wsp:rsid wsp:val=&quot;00B47ABD&quot;/&gt;&lt;wsp:rsid wsp:val=&quot;00B47AD1&quot;/&gt;&lt;wsp:rsid wsp:val=&quot;00B47CF4&quot;/&gt;&lt;wsp:rsid wsp:val=&quot;00B47D36&quot;/&gt;&lt;wsp:rsid wsp:val=&quot;00B502BB&quot;/&gt;&lt;wsp:rsid wsp:val=&quot;00B503FD&quot;/&gt;&lt;wsp:rsid wsp:val=&quot;00B50466&quot;/&gt;&lt;wsp:rsid wsp:val=&quot;00B5046F&quot;/&gt;&lt;wsp:rsid wsp:val=&quot;00B505A0&quot;/&gt;&lt;wsp:rsid wsp:val=&quot;00B5084A&quot;/&gt;&lt;wsp:rsid wsp:val=&quot;00B50D60&quot;/&gt;&lt;wsp:rsid wsp:val=&quot;00B5111F&quot;/&gt;&lt;wsp:rsid wsp:val=&quot;00B5185C&quot;/&gt;&lt;wsp:rsid wsp:val=&quot;00B51AB7&quot;/&gt;&lt;wsp:rsid wsp:val=&quot;00B5203B&quot;/&gt;&lt;wsp:rsid wsp:val=&quot;00B52188&quot;/&gt;&lt;wsp:rsid wsp:val=&quot;00B5250E&quot;/&gt;&lt;wsp:rsid wsp:val=&quot;00B5261C&quot;/&gt;&lt;wsp:rsid wsp:val=&quot;00B526AE&quot;/&gt;&lt;wsp:rsid wsp:val=&quot;00B52770&quot;/&gt;&lt;wsp:rsid wsp:val=&quot;00B52A1C&quot;/&gt;&lt;wsp:rsid wsp:val=&quot;00B52A23&quot;/&gt;&lt;wsp:rsid wsp:val=&quot;00B52B05&quot;/&gt;&lt;wsp:rsid wsp:val=&quot;00B52D02&quot;/&gt;&lt;wsp:rsid wsp:val=&quot;00B5318B&quot;/&gt;&lt;wsp:rsid wsp:val=&quot;00B531BC&quot;/&gt;&lt;wsp:rsid wsp:val=&quot;00B53482&quot;/&gt;&lt;wsp:rsid wsp:val=&quot;00B5387F&quot;/&gt;&lt;wsp:rsid wsp:val=&quot;00B5389B&quot;/&gt;&lt;wsp:rsid wsp:val=&quot;00B538F1&quot;/&gt;&lt;wsp:rsid wsp:val=&quot;00B539E7&quot;/&gt;&lt;wsp:rsid wsp:val=&quot;00B53E93&quot;/&gt;&lt;wsp:rsid wsp:val=&quot;00B54064&quot;/&gt;&lt;wsp:rsid wsp:val=&quot;00B54297&quot;/&gt;&lt;wsp:rsid wsp:val=&quot;00B546F4&quot;/&gt;&lt;wsp:rsid wsp:val=&quot;00B54741&quot;/&gt;&lt;wsp:rsid wsp:val=&quot;00B55036&quot;/&gt;&lt;wsp:rsid wsp:val=&quot;00B55249&quot;/&gt;&lt;wsp:rsid wsp:val=&quot;00B5525F&quot;/&gt;&lt;wsp:rsid wsp:val=&quot;00B55663&quot;/&gt;&lt;wsp:rsid wsp:val=&quot;00B55685&quot;/&gt;&lt;wsp:rsid wsp:val=&quot;00B55912&quot;/&gt;&lt;wsp:rsid wsp:val=&quot;00B561D6&quot;/&gt;&lt;wsp:rsid wsp:val=&quot;00B561F7&quot;/&gt;&lt;wsp:rsid wsp:val=&quot;00B5637B&quot;/&gt;&lt;wsp:rsid wsp:val=&quot;00B56DF4&quot;/&gt;&lt;wsp:rsid wsp:val=&quot;00B57213&quot;/&gt;&lt;wsp:rsid wsp:val=&quot;00B573A4&quot;/&gt;&lt;wsp:rsid wsp:val=&quot;00B5750A&quot;/&gt;&lt;wsp:rsid wsp:val=&quot;00B57E4C&quot;/&gt;&lt;wsp:rsid wsp:val=&quot;00B608C4&quot;/&gt;&lt;wsp:rsid wsp:val=&quot;00B609CB&quot;/&gt;&lt;wsp:rsid wsp:val=&quot;00B61A4B&quot;/&gt;&lt;wsp:rsid wsp:val=&quot;00B61D45&quot;/&gt;&lt;wsp:rsid wsp:val=&quot;00B621BD&quot;/&gt;&lt;wsp:rsid wsp:val=&quot;00B622DE&quot;/&gt;&lt;wsp:rsid wsp:val=&quot;00B6234B&quot;/&gt;&lt;wsp:rsid wsp:val=&quot;00B6240A&quot;/&gt;&lt;wsp:rsid wsp:val=&quot;00B6240F&quot;/&gt;&lt;wsp:rsid wsp:val=&quot;00B626C5&quot;/&gt;&lt;wsp:rsid wsp:val=&quot;00B626D5&quot;/&gt;&lt;wsp:rsid wsp:val=&quot;00B62CEE&quot;/&gt;&lt;wsp:rsid wsp:val=&quot;00B63154&quot;/&gt;&lt;wsp:rsid wsp:val=&quot;00B636AA&quot;/&gt;&lt;wsp:rsid wsp:val=&quot;00B642D8&quot;/&gt;&lt;wsp:rsid wsp:val=&quot;00B647B6&quot;/&gt;&lt;wsp:rsid wsp:val=&quot;00B64D1F&quot;/&gt;&lt;wsp:rsid wsp:val=&quot;00B64D40&quot;/&gt;&lt;wsp:rsid wsp:val=&quot;00B6520B&quot;/&gt;&lt;wsp:rsid wsp:val=&quot;00B657C0&quot;/&gt;&lt;wsp:rsid wsp:val=&quot;00B659C5&quot;/&gt;&lt;wsp:rsid wsp:val=&quot;00B66936&quot;/&gt;&lt;wsp:rsid wsp:val=&quot;00B66BE4&quot;/&gt;&lt;wsp:rsid wsp:val=&quot;00B67407&quot;/&gt;&lt;wsp:rsid wsp:val=&quot;00B674C9&quot;/&gt;&lt;wsp:rsid wsp:val=&quot;00B6750B&quot;/&gt;&lt;wsp:rsid wsp:val=&quot;00B67969&quot;/&gt;&lt;wsp:rsid wsp:val=&quot;00B7024E&quot;/&gt;&lt;wsp:rsid wsp:val=&quot;00B70395&quot;/&gt;&lt;wsp:rsid wsp:val=&quot;00B70444&quot;/&gt;&lt;wsp:rsid wsp:val=&quot;00B70C63&quot;/&gt;&lt;wsp:rsid wsp:val=&quot;00B70D4A&quot;/&gt;&lt;wsp:rsid wsp:val=&quot;00B719DC&quot;/&gt;&lt;wsp:rsid wsp:val=&quot;00B71DF4&quot;/&gt;&lt;wsp:rsid wsp:val=&quot;00B71FF8&quot;/&gt;&lt;wsp:rsid wsp:val=&quot;00B7214D&quot;/&gt;&lt;wsp:rsid wsp:val=&quot;00B7237E&quot;/&gt;&lt;wsp:rsid wsp:val=&quot;00B72491&quot;/&gt;&lt;wsp:rsid wsp:val=&quot;00B72997&quot;/&gt;&lt;wsp:rsid wsp:val=&quot;00B72B2D&quot;/&gt;&lt;wsp:rsid wsp:val=&quot;00B73379&quot;/&gt;&lt;wsp:rsid wsp:val=&quot;00B738A1&quot;/&gt;&lt;wsp:rsid wsp:val=&quot;00B73E83&quot;/&gt;&lt;wsp:rsid wsp:val=&quot;00B73F7D&quot;/&gt;&lt;wsp:rsid wsp:val=&quot;00B7404A&quot;/&gt;&lt;wsp:rsid wsp:val=&quot;00B743DB&quot;/&gt;&lt;wsp:rsid wsp:val=&quot;00B74423&quot;/&gt;&lt;wsp:rsid wsp:val=&quot;00B74642&quot;/&gt;&lt;wsp:rsid wsp:val=&quot;00B74D25&quot;/&gt;&lt;wsp:rsid wsp:val=&quot;00B7536C&quot;/&gt;&lt;wsp:rsid wsp:val=&quot;00B7552C&quot;/&gt;&lt;wsp:rsid wsp:val=&quot;00B757CF&quot;/&gt;&lt;wsp:rsid wsp:val=&quot;00B7595E&quot;/&gt;&lt;wsp:rsid wsp:val=&quot;00B75F42&quot;/&gt;&lt;wsp:rsid wsp:val=&quot;00B766BB&quot;/&gt;&lt;wsp:rsid wsp:val=&quot;00B766D1&quot;/&gt;&lt;wsp:rsid wsp:val=&quot;00B769B6&quot;/&gt;&lt;wsp:rsid wsp:val=&quot;00B76C16&quot;/&gt;&lt;wsp:rsid wsp:val=&quot;00B77226&quot;/&gt;&lt;wsp:rsid wsp:val=&quot;00B7723F&quot;/&gt;&lt;wsp:rsid wsp:val=&quot;00B77294&quot;/&gt;&lt;wsp:rsid wsp:val=&quot;00B77450&quot;/&gt;&lt;wsp:rsid wsp:val=&quot;00B776BA&quot;/&gt;&lt;wsp:rsid wsp:val=&quot;00B77C3D&quot;/&gt;&lt;wsp:rsid wsp:val=&quot;00B803FB&quot;/&gt;&lt;wsp:rsid wsp:val=&quot;00B804AA&quot;/&gt;&lt;wsp:rsid wsp:val=&quot;00B8054A&quot;/&gt;&lt;wsp:rsid wsp:val=&quot;00B8064A&quot;/&gt;&lt;wsp:rsid wsp:val=&quot;00B81830&quot;/&gt;&lt;wsp:rsid wsp:val=&quot;00B81AF0&quot;/&gt;&lt;wsp:rsid wsp:val=&quot;00B81B2D&quot;/&gt;&lt;wsp:rsid wsp:val=&quot;00B82189&quot;/&gt;&lt;wsp:rsid wsp:val=&quot;00B82335&quot;/&gt;&lt;wsp:rsid wsp:val=&quot;00B82367&quot;/&gt;&lt;wsp:rsid wsp:val=&quot;00B825BC&quot;/&gt;&lt;wsp:rsid wsp:val=&quot;00B8299B&quot;/&gt;&lt;wsp:rsid wsp:val=&quot;00B82BB6&quot;/&gt;&lt;wsp:rsid wsp:val=&quot;00B830E9&quot;/&gt;&lt;wsp:rsid wsp:val=&quot;00B8316D&quot;/&gt;&lt;wsp:rsid wsp:val=&quot;00B83687&quot;/&gt;&lt;wsp:rsid wsp:val=&quot;00B83B40&quot;/&gt;&lt;wsp:rsid wsp:val=&quot;00B83E28&quot;/&gt;&lt;wsp:rsid wsp:val=&quot;00B8416F&quot;/&gt;&lt;wsp:rsid wsp:val=&quot;00B84482&quot;/&gt;&lt;wsp:rsid wsp:val=&quot;00B845CB&quot;/&gt;&lt;wsp:rsid wsp:val=&quot;00B8472E&quot;/&gt;&lt;wsp:rsid wsp:val=&quot;00B84801&quot;/&gt;&lt;wsp:rsid wsp:val=&quot;00B8506F&quot;/&gt;&lt;wsp:rsid wsp:val=&quot;00B85311&quot;/&gt;&lt;wsp:rsid wsp:val=&quot;00B859FF&quot;/&gt;&lt;wsp:rsid wsp:val=&quot;00B85A40&quot;/&gt;&lt;wsp:rsid wsp:val=&quot;00B85B95&quot;/&gt;&lt;wsp:rsid wsp:val=&quot;00B85DAE&quot;/&gt;&lt;wsp:rsid wsp:val=&quot;00B85DF7&quot;/&gt;&lt;wsp:rsid wsp:val=&quot;00B85FDF&quot;/&gt;&lt;wsp:rsid wsp:val=&quot;00B86233&quot;/&gt;&lt;wsp:rsid wsp:val=&quot;00B868D1&quot;/&gt;&lt;wsp:rsid wsp:val=&quot;00B870B9&quot;/&gt;&lt;wsp:rsid wsp:val=&quot;00B87548&quot;/&gt;&lt;wsp:rsid wsp:val=&quot;00B87808&quot;/&gt;&lt;wsp:rsid wsp:val=&quot;00B87C05&quot;/&gt;&lt;wsp:rsid wsp:val=&quot;00B87FF0&quot;/&gt;&lt;wsp:rsid wsp:val=&quot;00B90186&quot;/&gt;&lt;wsp:rsid wsp:val=&quot;00B90220&quot;/&gt;&lt;wsp:rsid wsp:val=&quot;00B9055C&quot;/&gt;&lt;wsp:rsid wsp:val=&quot;00B90A24&quot;/&gt;&lt;wsp:rsid wsp:val=&quot;00B90AFB&quot;/&gt;&lt;wsp:rsid wsp:val=&quot;00B91017&quot;/&gt;&lt;wsp:rsid wsp:val=&quot;00B91019&quot;/&gt;&lt;wsp:rsid wsp:val=&quot;00B91898&quot;/&gt;&lt;wsp:rsid wsp:val=&quot;00B91D43&quot;/&gt;&lt;wsp:rsid wsp:val=&quot;00B91FFC&quot;/&gt;&lt;wsp:rsid wsp:val=&quot;00B922CF&quot;/&gt;&lt;wsp:rsid wsp:val=&quot;00B9259B&quot;/&gt;&lt;wsp:rsid wsp:val=&quot;00B925A4&quot;/&gt;&lt;wsp:rsid wsp:val=&quot;00B92867&quot;/&gt;&lt;wsp:rsid wsp:val=&quot;00B92C8B&quot;/&gt;&lt;wsp:rsid wsp:val=&quot;00B92CE3&quot;/&gt;&lt;wsp:rsid wsp:val=&quot;00B92EDF&quot;/&gt;&lt;wsp:rsid wsp:val=&quot;00B933ED&quot;/&gt;&lt;wsp:rsid wsp:val=&quot;00B9374D&quot;/&gt;&lt;wsp:rsid wsp:val=&quot;00B939BE&quot;/&gt;&lt;wsp:rsid wsp:val=&quot;00B93A53&quot;/&gt;&lt;wsp:rsid wsp:val=&quot;00B93E91&quot;/&gt;&lt;wsp:rsid wsp:val=&quot;00B94416&quot;/&gt;&lt;wsp:rsid wsp:val=&quot;00B945F6&quot;/&gt;&lt;wsp:rsid wsp:val=&quot;00B9494F&quot;/&gt;&lt;wsp:rsid wsp:val=&quot;00B949CD&quot;/&gt;&lt;wsp:rsid wsp:val=&quot;00B94DD4&quot;/&gt;&lt;wsp:rsid wsp:val=&quot;00B957E1&quot;/&gt;&lt;wsp:rsid wsp:val=&quot;00B95A70&quot;/&gt;&lt;wsp:rsid wsp:val=&quot;00B95F0E&quot;/&gt;&lt;wsp:rsid wsp:val=&quot;00B96800&quot;/&gt;&lt;wsp:rsid wsp:val=&quot;00B96DC9&quot;/&gt;&lt;wsp:rsid wsp:val=&quot;00B96EA0&quot;/&gt;&lt;wsp:rsid wsp:val=&quot;00B972E9&quot;/&gt;&lt;wsp:rsid wsp:val=&quot;00BA00D0&quot;/&gt;&lt;wsp:rsid wsp:val=&quot;00BA0219&quot;/&gt;&lt;wsp:rsid wsp:val=&quot;00BA0229&quot;/&gt;&lt;wsp:rsid wsp:val=&quot;00BA0362&quot;/&gt;&lt;wsp:rsid wsp:val=&quot;00BA0611&quot;/&gt;&lt;wsp:rsid wsp:val=&quot;00BA0A56&quot;/&gt;&lt;wsp:rsid wsp:val=&quot;00BA149A&quot;/&gt;&lt;wsp:rsid wsp:val=&quot;00BA162E&quot;/&gt;&lt;wsp:rsid wsp:val=&quot;00BA178A&quot;/&gt;&lt;wsp:rsid wsp:val=&quot;00BA2D52&quot;/&gt;&lt;wsp:rsid wsp:val=&quot;00BA2D5D&quot;/&gt;&lt;wsp:rsid wsp:val=&quot;00BA3151&quot;/&gt;&lt;wsp:rsid wsp:val=&quot;00BA34EC&quot;/&gt;&lt;wsp:rsid wsp:val=&quot;00BA38D3&quot;/&gt;&lt;wsp:rsid wsp:val=&quot;00BA3DB2&quot;/&gt;&lt;wsp:rsid wsp:val=&quot;00BA3E49&quot;/&gt;&lt;wsp:rsid wsp:val=&quot;00BA43FA&quot;/&gt;&lt;wsp:rsid wsp:val=&quot;00BA4C42&quot;/&gt;&lt;wsp:rsid wsp:val=&quot;00BA4D6A&quot;/&gt;&lt;wsp:rsid wsp:val=&quot;00BA5CA8&quot;/&gt;&lt;wsp:rsid wsp:val=&quot;00BA5DFF&quot;/&gt;&lt;wsp:rsid wsp:val=&quot;00BA5FEF&quot;/&gt;&lt;wsp:rsid wsp:val=&quot;00BA61E1&quot;/&gt;&lt;wsp:rsid wsp:val=&quot;00BA63A1&quot;/&gt;&lt;wsp:rsid wsp:val=&quot;00BA683E&quot;/&gt;&lt;wsp:rsid wsp:val=&quot;00BA68F0&quot;/&gt;&lt;wsp:rsid wsp:val=&quot;00BA6BF0&quot;/&gt;&lt;wsp:rsid wsp:val=&quot;00BA6EF9&quot;/&gt;&lt;wsp:rsid wsp:val=&quot;00BA6FA4&quot;/&gt;&lt;wsp:rsid wsp:val=&quot;00BA7546&quot;/&gt;&lt;wsp:rsid wsp:val=&quot;00BA7725&quot;/&gt;&lt;wsp:rsid wsp:val=&quot;00BA7AD3&quot;/&gt;&lt;wsp:rsid wsp:val=&quot;00BA7FCF&quot;/&gt;&lt;wsp:rsid wsp:val=&quot;00BB022C&quot;/&gt;&lt;wsp:rsid wsp:val=&quot;00BB06E2&quot;/&gt;&lt;wsp:rsid wsp:val=&quot;00BB0DAB&quot;/&gt;&lt;wsp:rsid wsp:val=&quot;00BB167D&quot;/&gt;&lt;wsp:rsid wsp:val=&quot;00BB2025&quot;/&gt;&lt;wsp:rsid wsp:val=&quot;00BB2060&quot;/&gt;&lt;wsp:rsid wsp:val=&quot;00BB20A4&quot;/&gt;&lt;wsp:rsid wsp:val=&quot;00BB2AF6&quot;/&gt;&lt;wsp:rsid wsp:val=&quot;00BB2FFB&quot;/&gt;&lt;wsp:rsid wsp:val=&quot;00BB311C&quot;/&gt;&lt;wsp:rsid wsp:val=&quot;00BB337E&quot;/&gt;&lt;wsp:rsid wsp:val=&quot;00BB34A9&quot;/&gt;&lt;wsp:rsid wsp:val=&quot;00BB350E&quot;/&gt;&lt;wsp:rsid wsp:val=&quot;00BB36C0&quot;/&gt;&lt;wsp:rsid wsp:val=&quot;00BB3A28&quot;/&gt;&lt;wsp:rsid wsp:val=&quot;00BB3B2D&quot;/&gt;&lt;wsp:rsid wsp:val=&quot;00BB409B&quot;/&gt;&lt;wsp:rsid wsp:val=&quot;00BB40BB&quot;/&gt;&lt;wsp:rsid wsp:val=&quot;00BB4189&quot;/&gt;&lt;wsp:rsid wsp:val=&quot;00BB42C2&quot;/&gt;&lt;wsp:rsid wsp:val=&quot;00BB4456&quot;/&gt;&lt;wsp:rsid wsp:val=&quot;00BB44E6&quot;/&gt;&lt;wsp:rsid wsp:val=&quot;00BB4C96&quot;/&gt;&lt;wsp:rsid wsp:val=&quot;00BB4FFB&quot;/&gt;&lt;wsp:rsid wsp:val=&quot;00BB50AC&quot;/&gt;&lt;wsp:rsid wsp:val=&quot;00BB5B79&quot;/&gt;&lt;wsp:rsid wsp:val=&quot;00BB5B9B&quot;/&gt;&lt;wsp:rsid wsp:val=&quot;00BB5C44&quot;/&gt;&lt;wsp:rsid wsp:val=&quot;00BB5F33&quot;/&gt;&lt;wsp:rsid wsp:val=&quot;00BB6048&quot;/&gt;&lt;wsp:rsid wsp:val=&quot;00BB61AC&quot;/&gt;&lt;wsp:rsid wsp:val=&quot;00BB6470&quot;/&gt;&lt;wsp:rsid wsp:val=&quot;00BB6844&quot;/&gt;&lt;wsp:rsid wsp:val=&quot;00BB6956&quot;/&gt;&lt;wsp:rsid wsp:val=&quot;00BB6A39&quot;/&gt;&lt;wsp:rsid wsp:val=&quot;00BB6A44&quot;/&gt;&lt;wsp:rsid wsp:val=&quot;00BB6A93&quot;/&gt;&lt;wsp:rsid wsp:val=&quot;00BB6D27&quot;/&gt;&lt;wsp:rsid wsp:val=&quot;00BB74DB&quot;/&gt;&lt;wsp:rsid wsp:val=&quot;00BB757B&quot;/&gt;&lt;wsp:rsid wsp:val=&quot;00BB77E4&quot;/&gt;&lt;wsp:rsid wsp:val=&quot;00BB782C&quot;/&gt;&lt;wsp:rsid wsp:val=&quot;00BB786D&quot;/&gt;&lt;wsp:rsid wsp:val=&quot;00BB7993&quot;/&gt;&lt;wsp:rsid wsp:val=&quot;00BB7B40&quot;/&gt;&lt;wsp:rsid wsp:val=&quot;00BB7C66&quot;/&gt;&lt;wsp:rsid wsp:val=&quot;00BC0314&quot;/&gt;&lt;wsp:rsid wsp:val=&quot;00BC05B3&quot;/&gt;&lt;wsp:rsid wsp:val=&quot;00BC073A&quot;/&gt;&lt;wsp:rsid wsp:val=&quot;00BC0F9C&quot;/&gt;&lt;wsp:rsid wsp:val=&quot;00BC106A&quot;/&gt;&lt;wsp:rsid wsp:val=&quot;00BC12BA&quot;/&gt;&lt;wsp:rsid wsp:val=&quot;00BC13B7&quot;/&gt;&lt;wsp:rsid wsp:val=&quot;00BC1604&quot;/&gt;&lt;wsp:rsid wsp:val=&quot;00BC1A09&quot;/&gt;&lt;wsp:rsid wsp:val=&quot;00BC1A9E&quot;/&gt;&lt;wsp:rsid wsp:val=&quot;00BC21DC&quot;/&gt;&lt;wsp:rsid wsp:val=&quot;00BC26BD&quot;/&gt;&lt;wsp:rsid wsp:val=&quot;00BC2834&quot;/&gt;&lt;wsp:rsid wsp:val=&quot;00BC2EB8&quot;/&gt;&lt;wsp:rsid wsp:val=&quot;00BC3404&quot;/&gt;&lt;wsp:rsid wsp:val=&quot;00BC34B3&quot;/&gt;&lt;wsp:rsid wsp:val=&quot;00BC37BB&quot;/&gt;&lt;wsp:rsid wsp:val=&quot;00BC37ED&quot;/&gt;&lt;wsp:rsid wsp:val=&quot;00BC3E79&quot;/&gt;&lt;wsp:rsid wsp:val=&quot;00BC3F4F&quot;/&gt;&lt;wsp:rsid wsp:val=&quot;00BC402B&quot;/&gt;&lt;wsp:rsid wsp:val=&quot;00BC40C2&quot;/&gt;&lt;wsp:rsid wsp:val=&quot;00BC4464&quot;/&gt;&lt;wsp:rsid wsp:val=&quot;00BC4A1C&quot;/&gt;&lt;wsp:rsid wsp:val=&quot;00BC4A5E&quot;/&gt;&lt;wsp:rsid wsp:val=&quot;00BC4CDE&quot;/&gt;&lt;wsp:rsid wsp:val=&quot;00BC4F0F&quot;/&gt;&lt;wsp:rsid wsp:val=&quot;00BC4F86&quot;/&gt;&lt;wsp:rsid wsp:val=&quot;00BC5197&quot;/&gt;&lt;wsp:rsid wsp:val=&quot;00BC51DE&quot;/&gt;&lt;wsp:rsid wsp:val=&quot;00BC569F&quot;/&gt;&lt;wsp:rsid wsp:val=&quot;00BC59F6&quot;/&gt;&lt;wsp:rsid wsp:val=&quot;00BC5B02&quot;/&gt;&lt;wsp:rsid wsp:val=&quot;00BC5E6B&quot;/&gt;&lt;wsp:rsid wsp:val=&quot;00BC645D&quot;/&gt;&lt;wsp:rsid wsp:val=&quot;00BC689E&quot;/&gt;&lt;wsp:rsid wsp:val=&quot;00BC6E57&quot;/&gt;&lt;wsp:rsid wsp:val=&quot;00BC6FF0&quot;/&gt;&lt;wsp:rsid wsp:val=&quot;00BC7003&quot;/&gt;&lt;wsp:rsid wsp:val=&quot;00BC72DF&quot;/&gt;&lt;wsp:rsid wsp:val=&quot;00BC7514&quot;/&gt;&lt;wsp:rsid wsp:val=&quot;00BC7A8A&quot;/&gt;&lt;wsp:rsid wsp:val=&quot;00BC7E36&quot;/&gt;&lt;wsp:rsid wsp:val=&quot;00BD0239&quot;/&gt;&lt;wsp:rsid wsp:val=&quot;00BD028C&quot;/&gt;&lt;wsp:rsid wsp:val=&quot;00BD0665&quot;/&gt;&lt;wsp:rsid wsp:val=&quot;00BD07EF&quot;/&gt;&lt;wsp:rsid wsp:val=&quot;00BD07F5&quot;/&gt;&lt;wsp:rsid wsp:val=&quot;00BD0E05&quot;/&gt;&lt;wsp:rsid wsp:val=&quot;00BD0EC3&quot;/&gt;&lt;wsp:rsid wsp:val=&quot;00BD1044&quot;/&gt;&lt;wsp:rsid wsp:val=&quot;00BD1408&quot;/&gt;&lt;wsp:rsid wsp:val=&quot;00BD15C5&quot;/&gt;&lt;wsp:rsid wsp:val=&quot;00BD16AD&quot;/&gt;&lt;wsp:rsid wsp:val=&quot;00BD183E&quot;/&gt;&lt;wsp:rsid wsp:val=&quot;00BD1966&quot;/&gt;&lt;wsp:rsid wsp:val=&quot;00BD19F8&quot;/&gt;&lt;wsp:rsid wsp:val=&quot;00BD21EF&quot;/&gt;&lt;wsp:rsid wsp:val=&quot;00BD2722&quot;/&gt;&lt;wsp:rsid wsp:val=&quot;00BD290B&quot;/&gt;&lt;wsp:rsid wsp:val=&quot;00BD2A30&quot;/&gt;&lt;wsp:rsid wsp:val=&quot;00BD2C67&quot;/&gt;&lt;wsp:rsid wsp:val=&quot;00BD319D&quot;/&gt;&lt;wsp:rsid wsp:val=&quot;00BD3B1A&quot;/&gt;&lt;wsp:rsid wsp:val=&quot;00BD3CC7&quot;/&gt;&lt;wsp:rsid wsp:val=&quot;00BD47CB&quot;/&gt;&lt;wsp:rsid wsp:val=&quot;00BD4986&quot;/&gt;&lt;wsp:rsid wsp:val=&quot;00BD4A06&quot;/&gt;&lt;wsp:rsid wsp:val=&quot;00BD4D4D&quot;/&gt;&lt;wsp:rsid wsp:val=&quot;00BD4F72&quot;/&gt;&lt;wsp:rsid wsp:val=&quot;00BD5117&quot;/&gt;&lt;wsp:rsid wsp:val=&quot;00BD52AB&quot;/&gt;&lt;wsp:rsid wsp:val=&quot;00BD5483&quot;/&gt;&lt;wsp:rsid wsp:val=&quot;00BD5626&quot;/&gt;&lt;wsp:rsid wsp:val=&quot;00BD57FD&quot;/&gt;&lt;wsp:rsid wsp:val=&quot;00BD5E7B&quot;/&gt;&lt;wsp:rsid wsp:val=&quot;00BD67E2&quot;/&gt;&lt;wsp:rsid wsp:val=&quot;00BD6DBD&quot;/&gt;&lt;wsp:rsid wsp:val=&quot;00BD6E04&quot;/&gt;&lt;wsp:rsid wsp:val=&quot;00BD73E0&quot;/&gt;&lt;wsp:rsid wsp:val=&quot;00BD746B&quot;/&gt;&lt;wsp:rsid wsp:val=&quot;00BD7971&quot;/&gt;&lt;wsp:rsid wsp:val=&quot;00BD7A89&quot;/&gt;&lt;wsp:rsid wsp:val=&quot;00BD7AB5&quot;/&gt;&lt;wsp:rsid wsp:val=&quot;00BD7C5B&quot;/&gt;&lt;wsp:rsid wsp:val=&quot;00BD7CEE&quot;/&gt;&lt;wsp:rsid wsp:val=&quot;00BD7D8E&quot;/&gt;&lt;wsp:rsid wsp:val=&quot;00BE0028&quot;/&gt;&lt;wsp:rsid wsp:val=&quot;00BE06B0&quot;/&gt;&lt;wsp:rsid wsp:val=&quot;00BE06D9&quot;/&gt;&lt;wsp:rsid wsp:val=&quot;00BE09AD&quot;/&gt;&lt;wsp:rsid wsp:val=&quot;00BE0B76&quot;/&gt;&lt;wsp:rsid wsp:val=&quot;00BE18A5&quot;/&gt;&lt;wsp:rsid wsp:val=&quot;00BE19E5&quot;/&gt;&lt;wsp:rsid wsp:val=&quot;00BE1DE4&quot;/&gt;&lt;wsp:rsid wsp:val=&quot;00BE1F06&quot;/&gt;&lt;wsp:rsid wsp:val=&quot;00BE1FDE&quot;/&gt;&lt;wsp:rsid wsp:val=&quot;00BE24B8&quot;/&gt;&lt;wsp:rsid wsp:val=&quot;00BE2516&quot;/&gt;&lt;wsp:rsid wsp:val=&quot;00BE2676&quot;/&gt;&lt;wsp:rsid wsp:val=&quot;00BE27F3&quot;/&gt;&lt;wsp:rsid wsp:val=&quot;00BE2B0C&quot;/&gt;&lt;wsp:rsid wsp:val=&quot;00BE2E84&quot;/&gt;&lt;wsp:rsid wsp:val=&quot;00BE2FC2&quot;/&gt;&lt;wsp:rsid wsp:val=&quot;00BE303E&quot;/&gt;&lt;wsp:rsid wsp:val=&quot;00BE333D&quot;/&gt;&lt;wsp:rsid wsp:val=&quot;00BE3465&quot;/&gt;&lt;wsp:rsid wsp:val=&quot;00BE4325&quot;/&gt;&lt;wsp:rsid wsp:val=&quot;00BE52FA&quot;/&gt;&lt;wsp:rsid wsp:val=&quot;00BE5611&quot;/&gt;&lt;wsp:rsid wsp:val=&quot;00BE56AA&quot;/&gt;&lt;wsp:rsid wsp:val=&quot;00BE56CB&quot;/&gt;&lt;wsp:rsid wsp:val=&quot;00BE58B2&quot;/&gt;&lt;wsp:rsid wsp:val=&quot;00BE6197&quot;/&gt;&lt;wsp:rsid wsp:val=&quot;00BE6510&quot;/&gt;&lt;wsp:rsid wsp:val=&quot;00BE6562&quot;/&gt;&lt;wsp:rsid wsp:val=&quot;00BE6B39&quot;/&gt;&lt;wsp:rsid wsp:val=&quot;00BE6C2F&quot;/&gt;&lt;wsp:rsid wsp:val=&quot;00BE6CE0&quot;/&gt;&lt;wsp:rsid wsp:val=&quot;00BE712C&quot;/&gt;&lt;wsp:rsid wsp:val=&quot;00BE75E1&quot;/&gt;&lt;wsp:rsid wsp:val=&quot;00BE76C2&quot;/&gt;&lt;wsp:rsid wsp:val=&quot;00BE785F&quot;/&gt;&lt;wsp:rsid wsp:val=&quot;00BE78BC&quot;/&gt;&lt;wsp:rsid wsp:val=&quot;00BE7C9B&quot;/&gt;&lt;wsp:rsid wsp:val=&quot;00BF00BE&quot;/&gt;&lt;wsp:rsid wsp:val=&quot;00BF018E&quot;/&gt;&lt;wsp:rsid wsp:val=&quot;00BF04F4&quot;/&gt;&lt;wsp:rsid wsp:val=&quot;00BF07C9&quot;/&gt;&lt;wsp:rsid wsp:val=&quot;00BF092E&quot;/&gt;&lt;wsp:rsid wsp:val=&quot;00BF0D10&quot;/&gt;&lt;wsp:rsid wsp:val=&quot;00BF0E67&quot;/&gt;&lt;wsp:rsid wsp:val=&quot;00BF0F6C&quot;/&gt;&lt;wsp:rsid wsp:val=&quot;00BF14A4&quot;/&gt;&lt;wsp:rsid wsp:val=&quot;00BF1503&quot;/&gt;&lt;wsp:rsid wsp:val=&quot;00BF1995&quot;/&gt;&lt;wsp:rsid wsp:val=&quot;00BF20B3&quot;/&gt;&lt;wsp:rsid wsp:val=&quot;00BF2226&quot;/&gt;&lt;wsp:rsid wsp:val=&quot;00BF2A9A&quot;/&gt;&lt;wsp:rsid wsp:val=&quot;00BF3C18&quot;/&gt;&lt;wsp:rsid wsp:val=&quot;00BF4105&quot;/&gt;&lt;wsp:rsid wsp:val=&quot;00BF418D&quot;/&gt;&lt;wsp:rsid wsp:val=&quot;00BF452F&quot;/&gt;&lt;wsp:rsid wsp:val=&quot;00BF456D&quot;/&gt;&lt;wsp:rsid wsp:val=&quot;00BF55FF&quot;/&gt;&lt;wsp:rsid wsp:val=&quot;00BF571A&quot;/&gt;&lt;wsp:rsid wsp:val=&quot;00BF5A3A&quot;/&gt;&lt;wsp:rsid wsp:val=&quot;00BF5B6E&quot;/&gt;&lt;wsp:rsid wsp:val=&quot;00BF5D51&quot;/&gt;&lt;wsp:rsid wsp:val=&quot;00BF5FB4&quot;/&gt;&lt;wsp:rsid wsp:val=&quot;00BF6487&quot;/&gt;&lt;wsp:rsid wsp:val=&quot;00BF6693&quot;/&gt;&lt;wsp:rsid wsp:val=&quot;00BF66D7&quot;/&gt;&lt;wsp:rsid wsp:val=&quot;00BF6AF7&quot;/&gt;&lt;wsp:rsid wsp:val=&quot;00BF6D3E&quot;/&gt;&lt;wsp:rsid wsp:val=&quot;00BF6F1F&quot;/&gt;&lt;wsp:rsid wsp:val=&quot;00BF7145&quot;/&gt;&lt;wsp:rsid wsp:val=&quot;00BF7221&quot;/&gt;&lt;wsp:rsid wsp:val=&quot;00BF7B8D&quot;/&gt;&lt;wsp:rsid wsp:val=&quot;00BF7EAE&quot;/&gt;&lt;wsp:rsid wsp:val=&quot;00C00180&quot;/&gt;&lt;wsp:rsid wsp:val=&quot;00C002A6&quot;/&gt;&lt;wsp:rsid wsp:val=&quot;00C0040F&quot;/&gt;&lt;wsp:rsid wsp:val=&quot;00C00B97&quot;/&gt;&lt;wsp:rsid wsp:val=&quot;00C00ED8&quot;/&gt;&lt;wsp:rsid wsp:val=&quot;00C011B7&quot;/&gt;&lt;wsp:rsid wsp:val=&quot;00C01350&quot;/&gt;&lt;wsp:rsid wsp:val=&quot;00C017BB&quot;/&gt;&lt;wsp:rsid wsp:val=&quot;00C01DB8&quot;/&gt;&lt;wsp:rsid wsp:val=&quot;00C01E51&quot;/&gt;&lt;wsp:rsid wsp:val=&quot;00C01F8C&quot;/&gt;&lt;wsp:rsid wsp:val=&quot;00C0200B&quot;/&gt;&lt;wsp:rsid wsp:val=&quot;00C020FC&quot;/&gt;&lt;wsp:rsid wsp:val=&quot;00C02143&quot;/&gt;&lt;wsp:rsid wsp:val=&quot;00C02566&quot;/&gt;&lt;wsp:rsid wsp:val=&quot;00C02775&quot;/&gt;&lt;wsp:rsid wsp:val=&quot;00C02AB4&quot;/&gt;&lt;wsp:rsid wsp:val=&quot;00C02B6E&quot;/&gt;&lt;wsp:rsid wsp:val=&quot;00C02C7F&quot;/&gt;&lt;wsp:rsid wsp:val=&quot;00C02FC6&quot;/&gt;&lt;wsp:rsid wsp:val=&quot;00C03236&quot;/&gt;&lt;wsp:rsid wsp:val=&quot;00C03A12&quot;/&gt;&lt;wsp:rsid wsp:val=&quot;00C03E02&quot;/&gt;&lt;wsp:rsid wsp:val=&quot;00C03F80&quot;/&gt;&lt;wsp:rsid wsp:val=&quot;00C04424&quot;/&gt;&lt;wsp:rsid wsp:val=&quot;00C0453D&quot;/&gt;&lt;wsp:rsid wsp:val=&quot;00C05095&quot;/&gt;&lt;wsp:rsid wsp:val=&quot;00C05A2D&quot;/&gt;&lt;wsp:rsid wsp:val=&quot;00C05D31&quot;/&gt;&lt;wsp:rsid wsp:val=&quot;00C05E10&quot;/&gt;&lt;wsp:rsid wsp:val=&quot;00C060E2&quot;/&gt;&lt;wsp:rsid wsp:val=&quot;00C06660&quot;/&gt;&lt;wsp:rsid wsp:val=&quot;00C0691F&quot;/&gt;&lt;wsp:rsid wsp:val=&quot;00C06953&quot;/&gt;&lt;wsp:rsid wsp:val=&quot;00C06CC3&quot;/&gt;&lt;wsp:rsid wsp:val=&quot;00C06DF9&quot;/&gt;&lt;wsp:rsid wsp:val=&quot;00C06FB3&quot;/&gt;&lt;wsp:rsid wsp:val=&quot;00C070C3&quot;/&gt;&lt;wsp:rsid wsp:val=&quot;00C078EE&quot;/&gt;&lt;wsp:rsid wsp:val=&quot;00C07BC7&quot;/&gt;&lt;wsp:rsid wsp:val=&quot;00C10240&quot;/&gt;&lt;wsp:rsid wsp:val=&quot;00C102D6&quot;/&gt;&lt;wsp:rsid wsp:val=&quot;00C104EA&quot;/&gt;&lt;wsp:rsid wsp:val=&quot;00C10512&quot;/&gt;&lt;wsp:rsid wsp:val=&quot;00C10BF8&quot;/&gt;&lt;wsp:rsid wsp:val=&quot;00C10D7B&quot;/&gt;&lt;wsp:rsid wsp:val=&quot;00C10F49&quot;/&gt;&lt;wsp:rsid wsp:val=&quot;00C11443&quot;/&gt;&lt;wsp:rsid wsp:val=&quot;00C11555&quot;/&gt;&lt;wsp:rsid wsp:val=&quot;00C1180F&quot;/&gt;&lt;wsp:rsid wsp:val=&quot;00C11BE8&quot;/&gt;&lt;wsp:rsid wsp:val=&quot;00C11EA5&quot;/&gt;&lt;wsp:rsid wsp:val=&quot;00C11F74&quot;/&gt;&lt;wsp:rsid wsp:val=&quot;00C129E9&quot;/&gt;&lt;wsp:rsid wsp:val=&quot;00C12C11&quot;/&gt;&lt;wsp:rsid wsp:val=&quot;00C12C97&quot;/&gt;&lt;wsp:rsid wsp:val=&quot;00C13509&quot;/&gt;&lt;wsp:rsid wsp:val=&quot;00C13555&quot;/&gt;&lt;wsp:rsid wsp:val=&quot;00C135A5&quot;/&gt;&lt;wsp:rsid wsp:val=&quot;00C137B3&quot;/&gt;&lt;wsp:rsid wsp:val=&quot;00C13AE6&quot;/&gt;&lt;wsp:rsid wsp:val=&quot;00C13EEF&quot;/&gt;&lt;wsp:rsid wsp:val=&quot;00C14134&quot;/&gt;&lt;wsp:rsid wsp:val=&quot;00C1486A&quot;/&gt;&lt;wsp:rsid wsp:val=&quot;00C14D0F&quot;/&gt;&lt;wsp:rsid wsp:val=&quot;00C150B0&quot;/&gt;&lt;wsp:rsid wsp:val=&quot;00C152AF&quot;/&gt;&lt;wsp:rsid wsp:val=&quot;00C15325&quot;/&gt;&lt;wsp:rsid wsp:val=&quot;00C15977&quot;/&gt;&lt;wsp:rsid wsp:val=&quot;00C15C67&quot;/&gt;&lt;wsp:rsid wsp:val=&quot;00C15EE9&quot;/&gt;&lt;wsp:rsid wsp:val=&quot;00C15F3E&quot;/&gt;&lt;wsp:rsid wsp:val=&quot;00C162BB&quot;/&gt;&lt;wsp:rsid wsp:val=&quot;00C1648E&quot;/&gt;&lt;wsp:rsid wsp:val=&quot;00C16B62&quot;/&gt;&lt;wsp:rsid wsp:val=&quot;00C16CD0&quot;/&gt;&lt;wsp:rsid wsp:val=&quot;00C16D8C&quot;/&gt;&lt;wsp:rsid wsp:val=&quot;00C1711A&quot;/&gt;&lt;wsp:rsid wsp:val=&quot;00C174BB&quot;/&gt;&lt;wsp:rsid wsp:val=&quot;00C17BF1&quot;/&gt;&lt;wsp:rsid wsp:val=&quot;00C17C09&quot;/&gt;&lt;wsp:rsid wsp:val=&quot;00C20128&quot;/&gt;&lt;wsp:rsid wsp:val=&quot;00C201C6&quot;/&gt;&lt;wsp:rsid wsp:val=&quot;00C20663&quot;/&gt;&lt;wsp:rsid wsp:val=&quot;00C208B3&quot;/&gt;&lt;wsp:rsid wsp:val=&quot;00C20A81&quot;/&gt;&lt;wsp:rsid wsp:val=&quot;00C20C04&quot;/&gt;&lt;wsp:rsid wsp:val=&quot;00C213C5&quot;/&gt;&lt;wsp:rsid wsp:val=&quot;00C2147C&quot;/&gt;&lt;wsp:rsid wsp:val=&quot;00C21867&quot;/&gt;&lt;wsp:rsid wsp:val=&quot;00C21BF0&quot;/&gt;&lt;wsp:rsid wsp:val=&quot;00C21CA2&quot;/&gt;&lt;wsp:rsid wsp:val=&quot;00C21FB6&quot;/&gt;&lt;wsp:rsid wsp:val=&quot;00C220D9&quot;/&gt;&lt;wsp:rsid wsp:val=&quot;00C22109&quot;/&gt;&lt;wsp:rsid wsp:val=&quot;00C22165&quot;/&gt;&lt;wsp:rsid wsp:val=&quot;00C22178&quot;/&gt;&lt;wsp:rsid wsp:val=&quot;00C22628&quot;/&gt;&lt;wsp:rsid wsp:val=&quot;00C22699&quot;/&gt;&lt;wsp:rsid wsp:val=&quot;00C2292E&quot;/&gt;&lt;wsp:rsid wsp:val=&quot;00C22AA2&quot;/&gt;&lt;wsp:rsid wsp:val=&quot;00C22F8E&quot;/&gt;&lt;wsp:rsid wsp:val=&quot;00C23063&quot;/&gt;&lt;wsp:rsid wsp:val=&quot;00C236A3&quot;/&gt;&lt;wsp:rsid wsp:val=&quot;00C236BB&quot;/&gt;&lt;wsp:rsid wsp:val=&quot;00C23703&quot;/&gt;&lt;wsp:rsid wsp:val=&quot;00C239A2&quot;/&gt;&lt;wsp:rsid wsp:val=&quot;00C23EA5&quot;/&gt;&lt;wsp:rsid wsp:val=&quot;00C23EFC&quot;/&gt;&lt;wsp:rsid wsp:val=&quot;00C23F8F&quot;/&gt;&lt;wsp:rsid wsp:val=&quot;00C24301&quot;/&gt;&lt;wsp:rsid wsp:val=&quot;00C244F8&quot;/&gt;&lt;wsp:rsid wsp:val=&quot;00C24626&quot;/&gt;&lt;wsp:rsid wsp:val=&quot;00C24A64&quot;/&gt;&lt;wsp:rsid wsp:val=&quot;00C24E2A&quot;/&gt;&lt;wsp:rsid wsp:val=&quot;00C24E2B&quot;/&gt;&lt;wsp:rsid wsp:val=&quot;00C24F63&quot;/&gt;&lt;wsp:rsid wsp:val=&quot;00C250B1&quot;/&gt;&lt;wsp:rsid wsp:val=&quot;00C2586A&quot;/&gt;&lt;wsp:rsid wsp:val=&quot;00C25936&quot;/&gt;&lt;wsp:rsid wsp:val=&quot;00C25DE7&quot;/&gt;&lt;wsp:rsid wsp:val=&quot;00C260AE&quot;/&gt;&lt;wsp:rsid wsp:val=&quot;00C26418&quot;/&gt;&lt;wsp:rsid wsp:val=&quot;00C267CE&quot;/&gt;&lt;wsp:rsid wsp:val=&quot;00C27C00&quot;/&gt;&lt;wsp:rsid wsp:val=&quot;00C3012D&quot;/&gt;&lt;wsp:rsid wsp:val=&quot;00C309C4&quot;/&gt;&lt;wsp:rsid wsp:val=&quot;00C30C4F&quot;/&gt;&lt;wsp:rsid wsp:val=&quot;00C30FEC&quot;/&gt;&lt;wsp:rsid wsp:val=&quot;00C310A6&quot;/&gt;&lt;wsp:rsid wsp:val=&quot;00C313EB&quot;/&gt;&lt;wsp:rsid wsp:val=&quot;00C31477&quot;/&gt;&lt;wsp:rsid wsp:val=&quot;00C3163C&quot;/&gt;&lt;wsp:rsid wsp:val=&quot;00C3189B&quot;/&gt;&lt;wsp:rsid wsp:val=&quot;00C31991&quot;/&gt;&lt;wsp:rsid wsp:val=&quot;00C31BF9&quot;/&gt;&lt;wsp:rsid wsp:val=&quot;00C31E68&quot;/&gt;&lt;wsp:rsid wsp:val=&quot;00C31E98&quot;/&gt;&lt;wsp:rsid wsp:val=&quot;00C31F06&quot;/&gt;&lt;wsp:rsid wsp:val=&quot;00C3200E&quot;/&gt;&lt;wsp:rsid wsp:val=&quot;00C32227&quot;/&gt;&lt;wsp:rsid wsp:val=&quot;00C32521&quot;/&gt;&lt;wsp:rsid wsp:val=&quot;00C3256D&quot;/&gt;&lt;wsp:rsid wsp:val=&quot;00C326F5&quot;/&gt;&lt;wsp:rsid wsp:val=&quot;00C328C0&quot;/&gt;&lt;wsp:rsid wsp:val=&quot;00C329BB&quot;/&gt;&lt;wsp:rsid wsp:val=&quot;00C32CD7&quot;/&gt;&lt;wsp:rsid wsp:val=&quot;00C32D73&quot;/&gt;&lt;wsp:rsid wsp:val=&quot;00C33480&quot;/&gt;&lt;wsp:rsid wsp:val=&quot;00C3351E&quot;/&gt;&lt;wsp:rsid wsp:val=&quot;00C33ABF&quot;/&gt;&lt;wsp:rsid wsp:val=&quot;00C33F88&quot;/&gt;&lt;wsp:rsid wsp:val=&quot;00C347EB&quot;/&gt;&lt;wsp:rsid wsp:val=&quot;00C34A8A&quot;/&gt;&lt;wsp:rsid wsp:val=&quot;00C34E96&quot;/&gt;&lt;wsp:rsid wsp:val=&quot;00C34F98&quot;/&gt;&lt;wsp:rsid wsp:val=&quot;00C34FE9&quot;/&gt;&lt;wsp:rsid wsp:val=&quot;00C351F0&quot;/&gt;&lt;wsp:rsid wsp:val=&quot;00C3528E&quot;/&gt;&lt;wsp:rsid wsp:val=&quot;00C3546C&quot;/&gt;&lt;wsp:rsid wsp:val=&quot;00C36345&quot;/&gt;&lt;wsp:rsid wsp:val=&quot;00C36660&quot;/&gt;&lt;wsp:rsid wsp:val=&quot;00C36908&quot;/&gt;&lt;wsp:rsid wsp:val=&quot;00C36A6C&quot;/&gt;&lt;wsp:rsid wsp:val=&quot;00C36D0F&quot;/&gt;&lt;wsp:rsid wsp:val=&quot;00C36F38&quot;/&gt;&lt;wsp:rsid wsp:val=&quot;00C36F53&quot;/&gt;&lt;wsp:rsid wsp:val=&quot;00C375DD&quot;/&gt;&lt;wsp:rsid wsp:val=&quot;00C37B8B&quot;/&gt;&lt;wsp:rsid wsp:val=&quot;00C40486&quot;/&gt;&lt;wsp:rsid wsp:val=&quot;00C405F4&quot;/&gt;&lt;wsp:rsid wsp:val=&quot;00C40609&quot;/&gt;&lt;wsp:rsid wsp:val=&quot;00C40777&quot;/&gt;&lt;wsp:rsid wsp:val=&quot;00C408E3&quot;/&gt;&lt;wsp:rsid wsp:val=&quot;00C409E2&quot;/&gt;&lt;wsp:rsid wsp:val=&quot;00C40A4C&quot;/&gt;&lt;wsp:rsid wsp:val=&quot;00C40A63&quot;/&gt;&lt;wsp:rsid wsp:val=&quot;00C40D3E&quot;/&gt;&lt;wsp:rsid wsp:val=&quot;00C40E93&quot;/&gt;&lt;wsp:rsid wsp:val=&quot;00C40F5C&quot;/&gt;&lt;wsp:rsid wsp:val=&quot;00C40F77&quot;/&gt;&lt;wsp:rsid wsp:val=&quot;00C4136B&quot;/&gt;&lt;wsp:rsid wsp:val=&quot;00C413B2&quot;/&gt;&lt;wsp:rsid wsp:val=&quot;00C413CD&quot;/&gt;&lt;wsp:rsid wsp:val=&quot;00C41992&quot;/&gt;&lt;wsp:rsid wsp:val=&quot;00C419F9&quot;/&gt;&lt;wsp:rsid wsp:val=&quot;00C41CC2&quot;/&gt;&lt;wsp:rsid wsp:val=&quot;00C41DFC&quot;/&gt;&lt;wsp:rsid wsp:val=&quot;00C41E87&quot;/&gt;&lt;wsp:rsid wsp:val=&quot;00C41F13&quot;/&gt;&lt;wsp:rsid wsp:val=&quot;00C42424&quot;/&gt;&lt;wsp:rsid wsp:val=&quot;00C43286&quot;/&gt;&lt;wsp:rsid wsp:val=&quot;00C4358D&quot;/&gt;&lt;wsp:rsid wsp:val=&quot;00C4370D&quot;/&gt;&lt;wsp:rsid wsp:val=&quot;00C44058&quot;/&gt;&lt;wsp:rsid wsp:val=&quot;00C4495F&quot;/&gt;&lt;wsp:rsid wsp:val=&quot;00C45325&quot;/&gt;&lt;wsp:rsid wsp:val=&quot;00C453A3&quot;/&gt;&lt;wsp:rsid wsp:val=&quot;00C45ADF&quot;/&gt;&lt;wsp:rsid wsp:val=&quot;00C45CB8&quot;/&gt;&lt;wsp:rsid wsp:val=&quot;00C46336&quot;/&gt;&lt;wsp:rsid wsp:val=&quot;00C4689A&quot;/&gt;&lt;wsp:rsid wsp:val=&quot;00C46E54&quot;/&gt;&lt;wsp:rsid wsp:val=&quot;00C4703A&quot;/&gt;&lt;wsp:rsid wsp:val=&quot;00C474C1&quot;/&gt;&lt;wsp:rsid wsp:val=&quot;00C47EAC&quot;/&gt;&lt;wsp:rsid wsp:val=&quot;00C47FE1&quot;/&gt;&lt;wsp:rsid wsp:val=&quot;00C5008A&quot;/&gt;&lt;wsp:rsid wsp:val=&quot;00C507B2&quot;/&gt;&lt;wsp:rsid wsp:val=&quot;00C50B28&quot;/&gt;&lt;wsp:rsid wsp:val=&quot;00C50B89&quot;/&gt;&lt;wsp:rsid wsp:val=&quot;00C51397&quot;/&gt;&lt;wsp:rsid wsp:val=&quot;00C516C6&quot;/&gt;&lt;wsp:rsid wsp:val=&quot;00C51953&quot;/&gt;&lt;wsp:rsid wsp:val=&quot;00C52043&quot;/&gt;&lt;wsp:rsid wsp:val=&quot;00C5268A&quot;/&gt;&lt;wsp:rsid wsp:val=&quot;00C529CC&quot;/&gt;&lt;wsp:rsid wsp:val=&quot;00C52D26&quot;/&gt;&lt;wsp:rsid wsp:val=&quot;00C53272&quot;/&gt;&lt;wsp:rsid wsp:val=&quot;00C53E29&quot;/&gt;&lt;wsp:rsid wsp:val=&quot;00C53EAE&quot;/&gt;&lt;wsp:rsid wsp:val=&quot;00C53F85&quot;/&gt;&lt;wsp:rsid wsp:val=&quot;00C54548&quot;/&gt;&lt;wsp:rsid wsp:val=&quot;00C549F3&quot;/&gt;&lt;wsp:rsid wsp:val=&quot;00C54CE5&quot;/&gt;&lt;wsp:rsid wsp:val=&quot;00C54D13&quot;/&gt;&lt;wsp:rsid wsp:val=&quot;00C54EF1&quot;/&gt;&lt;wsp:rsid wsp:val=&quot;00C5502B&quot;/&gt;&lt;wsp:rsid wsp:val=&quot;00C551F8&quot;/&gt;&lt;wsp:rsid wsp:val=&quot;00C552FA&quot;/&gt;&lt;wsp:rsid wsp:val=&quot;00C5557C&quot;/&gt;&lt;wsp:rsid wsp:val=&quot;00C55714&quot;/&gt;&lt;wsp:rsid wsp:val=&quot;00C5571A&quot;/&gt;&lt;wsp:rsid wsp:val=&quot;00C55833&quot;/&gt;&lt;wsp:rsid wsp:val=&quot;00C55ABB&quot;/&gt;&lt;wsp:rsid wsp:val=&quot;00C55C94&quot;/&gt;&lt;wsp:rsid wsp:val=&quot;00C560ED&quot;/&gt;&lt;wsp:rsid wsp:val=&quot;00C56423&quot;/&gt;&lt;wsp:rsid wsp:val=&quot;00C56B2B&quot;/&gt;&lt;wsp:rsid wsp:val=&quot;00C56DFA&quot;/&gt;&lt;wsp:rsid wsp:val=&quot;00C5706C&quot;/&gt;&lt;wsp:rsid wsp:val=&quot;00C5748D&quot;/&gt;&lt;wsp:rsid wsp:val=&quot;00C57495&quot;/&gt;&lt;wsp:rsid wsp:val=&quot;00C5764E&quot;/&gt;&lt;wsp:rsid wsp:val=&quot;00C57724&quot;/&gt;&lt;wsp:rsid wsp:val=&quot;00C578BE&quot;/&gt;&lt;wsp:rsid wsp:val=&quot;00C57A7C&quot;/&gt;&lt;wsp:rsid wsp:val=&quot;00C57ABD&quot;/&gt;&lt;wsp:rsid wsp:val=&quot;00C57E0C&quot;/&gt;&lt;wsp:rsid wsp:val=&quot;00C60420&quot;/&gt;&lt;wsp:rsid wsp:val=&quot;00C608EB&quot;/&gt;&lt;wsp:rsid wsp:val=&quot;00C61442&quot;/&gt;&lt;wsp:rsid wsp:val=&quot;00C6148E&quot;/&gt;&lt;wsp:rsid wsp:val=&quot;00C616DC&quot;/&gt;&lt;wsp:rsid wsp:val=&quot;00C61D53&quot;/&gt;&lt;wsp:rsid wsp:val=&quot;00C628B9&quot;/&gt;&lt;wsp:rsid wsp:val=&quot;00C62D5C&quot;/&gt;&lt;wsp:rsid wsp:val=&quot;00C62D63&quot;/&gt;&lt;wsp:rsid wsp:val=&quot;00C62FD1&quot;/&gt;&lt;wsp:rsid wsp:val=&quot;00C63112&quot;/&gt;&lt;wsp:rsid wsp:val=&quot;00C6323C&quot;/&gt;&lt;wsp:rsid wsp:val=&quot;00C632AB&quot;/&gt;&lt;wsp:rsid wsp:val=&quot;00C635E9&quot;/&gt;&lt;wsp:rsid wsp:val=&quot;00C63676&quot;/&gt;&lt;wsp:rsid wsp:val=&quot;00C638AE&quot;/&gt;&lt;wsp:rsid wsp:val=&quot;00C6396D&quot;/&gt;&lt;wsp:rsid wsp:val=&quot;00C63FC5&quot;/&gt;&lt;wsp:rsid wsp:val=&quot;00C64147&quot;/&gt;&lt;wsp:rsid wsp:val=&quot;00C64212&quot;/&gt;&lt;wsp:rsid wsp:val=&quot;00C64557&quot;/&gt;&lt;wsp:rsid wsp:val=&quot;00C648CB&quot;/&gt;&lt;wsp:rsid wsp:val=&quot;00C64B1E&quot;/&gt;&lt;wsp:rsid wsp:val=&quot;00C64B99&quot;/&gt;&lt;wsp:rsid wsp:val=&quot;00C64FFC&quot;/&gt;&lt;wsp:rsid wsp:val=&quot;00C64FFD&quot;/&gt;&lt;wsp:rsid wsp:val=&quot;00C65030&quot;/&gt;&lt;wsp:rsid wsp:val=&quot;00C655D5&quot;/&gt;&lt;wsp:rsid wsp:val=&quot;00C65CFF&quot;/&gt;&lt;wsp:rsid wsp:val=&quot;00C65EEE&quot;/&gt;&lt;wsp:rsid wsp:val=&quot;00C662BB&quot;/&gt;&lt;wsp:rsid wsp:val=&quot;00C66354&quot;/&gt;&lt;wsp:rsid wsp:val=&quot;00C66A8E&quot;/&gt;&lt;wsp:rsid wsp:val=&quot;00C66B4B&quot;/&gt;&lt;wsp:rsid wsp:val=&quot;00C670A3&quot;/&gt;&lt;wsp:rsid wsp:val=&quot;00C670AE&quot;/&gt;&lt;wsp:rsid wsp:val=&quot;00C671DE&quot;/&gt;&lt;wsp:rsid wsp:val=&quot;00C673C5&quot;/&gt;&lt;wsp:rsid wsp:val=&quot;00C67831&quot;/&gt;&lt;wsp:rsid wsp:val=&quot;00C67EA5&quot;/&gt;&lt;wsp:rsid wsp:val=&quot;00C67F6C&quot;/&gt;&lt;wsp:rsid wsp:val=&quot;00C701DC&quot;/&gt;&lt;wsp:rsid wsp:val=&quot;00C70366&quot;/&gt;&lt;wsp:rsid wsp:val=&quot;00C70A2A&quot;/&gt;&lt;wsp:rsid wsp:val=&quot;00C71651&quot;/&gt;&lt;wsp:rsid wsp:val=&quot;00C71716&quot;/&gt;&lt;wsp:rsid wsp:val=&quot;00C71B9C&quot;/&gt;&lt;wsp:rsid wsp:val=&quot;00C71BAB&quot;/&gt;&lt;wsp:rsid wsp:val=&quot;00C71BCA&quot;/&gt;&lt;wsp:rsid wsp:val=&quot;00C71DA3&quot;/&gt;&lt;wsp:rsid wsp:val=&quot;00C71FEF&quot;/&gt;&lt;wsp:rsid wsp:val=&quot;00C723D3&quot;/&gt;&lt;wsp:rsid wsp:val=&quot;00C7245C&quot;/&gt;&lt;wsp:rsid wsp:val=&quot;00C72BF5&quot;/&gt;&lt;wsp:rsid wsp:val=&quot;00C72E28&quot;/&gt;&lt;wsp:rsid wsp:val=&quot;00C72E48&quot;/&gt;&lt;wsp:rsid wsp:val=&quot;00C72F9F&quot;/&gt;&lt;wsp:rsid wsp:val=&quot;00C730B0&quot;/&gt;&lt;wsp:rsid wsp:val=&quot;00C73AB5&quot;/&gt;&lt;wsp:rsid wsp:val=&quot;00C742F4&quot;/&gt;&lt;wsp:rsid wsp:val=&quot;00C74456&quot;/&gt;&lt;wsp:rsid wsp:val=&quot;00C744F9&quot;/&gt;&lt;wsp:rsid wsp:val=&quot;00C74CB4&quot;/&gt;&lt;wsp:rsid wsp:val=&quot;00C7506D&quot;/&gt;&lt;wsp:rsid wsp:val=&quot;00C75070&quot;/&gt;&lt;wsp:rsid wsp:val=&quot;00C7519E&quot;/&gt;&lt;wsp:rsid wsp:val=&quot;00C755A3&quot;/&gt;&lt;wsp:rsid wsp:val=&quot;00C75D11&quot;/&gt;&lt;wsp:rsid wsp:val=&quot;00C75E9E&quot;/&gt;&lt;wsp:rsid wsp:val=&quot;00C76290&quot;/&gt;&lt;wsp:rsid wsp:val=&quot;00C764DC&quot;/&gt;&lt;wsp:rsid wsp:val=&quot;00C76567&quot;/&gt;&lt;wsp:rsid wsp:val=&quot;00C76946&quot;/&gt;&lt;wsp:rsid wsp:val=&quot;00C76B5E&quot;/&gt;&lt;wsp:rsid wsp:val=&quot;00C76D1B&quot;/&gt;&lt;wsp:rsid wsp:val=&quot;00C770A4&quot;/&gt;&lt;wsp:rsid wsp:val=&quot;00C77201&quot;/&gt;&lt;wsp:rsid wsp:val=&quot;00C7749B&quot;/&gt;&lt;wsp:rsid wsp:val=&quot;00C774E8&quot;/&gt;&lt;wsp:rsid wsp:val=&quot;00C77D52&quot;/&gt;&lt;wsp:rsid wsp:val=&quot;00C804F3&quot;/&gt;&lt;wsp:rsid wsp:val=&quot;00C805E2&quot;/&gt;&lt;wsp:rsid wsp:val=&quot;00C806F4&quot;/&gt;&lt;wsp:rsid wsp:val=&quot;00C80E41&quot;/&gt;&lt;wsp:rsid wsp:val=&quot;00C810E4&quot;/&gt;&lt;wsp:rsid wsp:val=&quot;00C8182A&quot;/&gt;&lt;wsp:rsid wsp:val=&quot;00C81C54&quot;/&gt;&lt;wsp:rsid wsp:val=&quot;00C81D9B&quot;/&gt;&lt;wsp:rsid wsp:val=&quot;00C822FD&quot;/&gt;&lt;wsp:rsid wsp:val=&quot;00C82360&quot;/&gt;&lt;wsp:rsid wsp:val=&quot;00C823D2&quot;/&gt;&lt;wsp:rsid wsp:val=&quot;00C825B6&quot;/&gt;&lt;wsp:rsid wsp:val=&quot;00C82D07&quot;/&gt;&lt;wsp:rsid wsp:val=&quot;00C82EE1&quot;/&gt;&lt;wsp:rsid wsp:val=&quot;00C834B5&quot;/&gt;&lt;wsp:rsid wsp:val=&quot;00C836AB&quot;/&gt;&lt;wsp:rsid wsp:val=&quot;00C83829&quot;/&gt;&lt;wsp:rsid wsp:val=&quot;00C83AB1&quot;/&gt;&lt;wsp:rsid wsp:val=&quot;00C83C0B&quot;/&gt;&lt;wsp:rsid wsp:val=&quot;00C84335&quot;/&gt;&lt;wsp:rsid wsp:val=&quot;00C84382&quot;/&gt;&lt;wsp:rsid wsp:val=&quot;00C846D6&quot;/&gt;&lt;wsp:rsid wsp:val=&quot;00C84879&quot;/&gt;&lt;wsp:rsid wsp:val=&quot;00C8490D&quot;/&gt;&lt;wsp:rsid wsp:val=&quot;00C849C3&quot;/&gt;&lt;wsp:rsid wsp:val=&quot;00C84CA9&quot;/&gt;&lt;wsp:rsid wsp:val=&quot;00C84DAA&quot;/&gt;&lt;wsp:rsid wsp:val=&quot;00C85290&quot;/&gt;&lt;wsp:rsid wsp:val=&quot;00C8537C&quot;/&gt;&lt;wsp:rsid wsp:val=&quot;00C8545B&quot;/&gt;&lt;wsp:rsid wsp:val=&quot;00C85463&quot;/&gt;&lt;wsp:rsid wsp:val=&quot;00C86660&quot;/&gt;&lt;wsp:rsid wsp:val=&quot;00C866CF&quot;/&gt;&lt;wsp:rsid wsp:val=&quot;00C86725&quot;/&gt;&lt;wsp:rsid wsp:val=&quot;00C86798&quot;/&gt;&lt;wsp:rsid wsp:val=&quot;00C869FF&quot;/&gt;&lt;wsp:rsid wsp:val=&quot;00C86B66&quot;/&gt;&lt;wsp:rsid wsp:val=&quot;00C8703E&quot;/&gt;&lt;wsp:rsid wsp:val=&quot;00C87047&quot;/&gt;&lt;wsp:rsid wsp:val=&quot;00C871AB&quot;/&gt;&lt;wsp:rsid wsp:val=&quot;00C8759E&quot;/&gt;&lt;wsp:rsid wsp:val=&quot;00C878DD&quot;/&gt;&lt;wsp:rsid wsp:val=&quot;00C87E7C&quot;/&gt;&lt;wsp:rsid wsp:val=&quot;00C901B8&quot;/&gt;&lt;wsp:rsid wsp:val=&quot;00C901D2&quot;/&gt;&lt;wsp:rsid wsp:val=&quot;00C902BC&quot;/&gt;&lt;wsp:rsid wsp:val=&quot;00C903C5&quot;/&gt;&lt;wsp:rsid wsp:val=&quot;00C90E9F&quot;/&gt;&lt;wsp:rsid wsp:val=&quot;00C90F68&quot;/&gt;&lt;wsp:rsid wsp:val=&quot;00C90FAD&quot;/&gt;&lt;wsp:rsid wsp:val=&quot;00C911C4&quot;/&gt;&lt;wsp:rsid wsp:val=&quot;00C91235&quot;/&gt;&lt;wsp:rsid wsp:val=&quot;00C91579&quot;/&gt;&lt;wsp:rsid wsp:val=&quot;00C91B03&quot;/&gt;&lt;wsp:rsid wsp:val=&quot;00C91B1A&quot;/&gt;&lt;wsp:rsid wsp:val=&quot;00C91B69&quot;/&gt;&lt;wsp:rsid wsp:val=&quot;00C91B6B&quot;/&gt;&lt;wsp:rsid wsp:val=&quot;00C91D6B&quot;/&gt;&lt;wsp:rsid wsp:val=&quot;00C92840&quot;/&gt;&lt;wsp:rsid wsp:val=&quot;00C92C3E&quot;/&gt;&lt;wsp:rsid wsp:val=&quot;00C92C8B&quot;/&gt;&lt;wsp:rsid wsp:val=&quot;00C92FE3&quot;/&gt;&lt;wsp:rsid wsp:val=&quot;00C93213&quot;/&gt;&lt;wsp:rsid wsp:val=&quot;00C9359D&quot;/&gt;&lt;wsp:rsid wsp:val=&quot;00C93794&quot;/&gt;&lt;wsp:rsid wsp:val=&quot;00C93AB1&quot;/&gt;&lt;wsp:rsid wsp:val=&quot;00C93C1C&quot;/&gt;&lt;wsp:rsid wsp:val=&quot;00C93C71&quot;/&gt;&lt;wsp:rsid wsp:val=&quot;00C94BF7&quot;/&gt;&lt;wsp:rsid wsp:val=&quot;00C94FDA&quot;/&gt;&lt;wsp:rsid wsp:val=&quot;00C952F2&quot;/&gt;&lt;wsp:rsid wsp:val=&quot;00C95593&quot;/&gt;&lt;wsp:rsid wsp:val=&quot;00C95601&quot;/&gt;&lt;wsp:rsid wsp:val=&quot;00C95761&quot;/&gt;&lt;wsp:rsid wsp:val=&quot;00C95B50&quot;/&gt;&lt;wsp:rsid wsp:val=&quot;00C95B74&quot;/&gt;&lt;wsp:rsid wsp:val=&quot;00C95DA9&quot;/&gt;&lt;wsp:rsid wsp:val=&quot;00C95FCB&quot;/&gt;&lt;wsp:rsid wsp:val=&quot;00C96008&quot;/&gt;&lt;wsp:rsid wsp:val=&quot;00C96072&quot;/&gt;&lt;wsp:rsid wsp:val=&quot;00C96114&quot;/&gt;&lt;wsp:rsid wsp:val=&quot;00C96342&quot;/&gt;&lt;wsp:rsid wsp:val=&quot;00C96488&quot;/&gt;&lt;wsp:rsid wsp:val=&quot;00C965F4&quot;/&gt;&lt;wsp:rsid wsp:val=&quot;00C966E7&quot;/&gt;&lt;wsp:rsid wsp:val=&quot;00C967C3&quot;/&gt;&lt;wsp:rsid wsp:val=&quot;00C967C7&quot;/&gt;&lt;wsp:rsid wsp:val=&quot;00C967D6&quot;/&gt;&lt;wsp:rsid wsp:val=&quot;00C96A2F&quot;/&gt;&lt;wsp:rsid wsp:val=&quot;00C96F4D&quot;/&gt;&lt;wsp:rsid wsp:val=&quot;00C973B5&quot;/&gt;&lt;wsp:rsid wsp:val=&quot;00C97477&quot;/&gt;&lt;wsp:rsid wsp:val=&quot;00C976FC&quot;/&gt;&lt;wsp:rsid wsp:val=&quot;00C977D5&quot;/&gt;&lt;wsp:rsid wsp:val=&quot;00C97877&quot;/&gt;&lt;wsp:rsid wsp:val=&quot;00C978CE&quot;/&gt;&lt;wsp:rsid wsp:val=&quot;00C97AD6&quot;/&gt;&lt;wsp:rsid wsp:val=&quot;00C97AE1&quot;/&gt;&lt;wsp:rsid wsp:val=&quot;00C97DD6&quot;/&gt;&lt;wsp:rsid wsp:val=&quot;00C97F8E&quot;/&gt;&lt;wsp:rsid wsp:val=&quot;00CA0429&quot;/&gt;&lt;wsp:rsid wsp:val=&quot;00CA05C1&quot;/&gt;&lt;wsp:rsid wsp:val=&quot;00CA0D15&quot;/&gt;&lt;wsp:rsid wsp:val=&quot;00CA0E1C&quot;/&gt;&lt;wsp:rsid wsp:val=&quot;00CA11A6&quot;/&gt;&lt;wsp:rsid wsp:val=&quot;00CA1764&quot;/&gt;&lt;wsp:rsid wsp:val=&quot;00CA184C&quot;/&gt;&lt;wsp:rsid wsp:val=&quot;00CA1A12&quot;/&gt;&lt;wsp:rsid wsp:val=&quot;00CA1A44&quot;/&gt;&lt;wsp:rsid wsp:val=&quot;00CA2208&quot;/&gt;&lt;wsp:rsid wsp:val=&quot;00CA2352&quot;/&gt;&lt;wsp:rsid wsp:val=&quot;00CA27D4&quot;/&gt;&lt;wsp:rsid wsp:val=&quot;00CA28E3&quot;/&gt;&lt;wsp:rsid wsp:val=&quot;00CA3429&quot;/&gt;&lt;wsp:rsid wsp:val=&quot;00CA3A9A&quot;/&gt;&lt;wsp:rsid wsp:val=&quot;00CA3C06&quot;/&gt;&lt;wsp:rsid wsp:val=&quot;00CA42DE&quot;/&gt;&lt;wsp:rsid wsp:val=&quot;00CA4D0F&quot;/&gt;&lt;wsp:rsid wsp:val=&quot;00CA5771&quot;/&gt;&lt;wsp:rsid wsp:val=&quot;00CA57F7&quot;/&gt;&lt;wsp:rsid wsp:val=&quot;00CA5873&quot;/&gt;&lt;wsp:rsid wsp:val=&quot;00CA5DDF&quot;/&gt;&lt;wsp:rsid wsp:val=&quot;00CA6218&quot;/&gt;&lt;wsp:rsid wsp:val=&quot;00CA6293&quot;/&gt;&lt;wsp:rsid wsp:val=&quot;00CA6487&quot;/&gt;&lt;wsp:rsid wsp:val=&quot;00CA6560&quot;/&gt;&lt;wsp:rsid wsp:val=&quot;00CA6A93&quot;/&gt;&lt;wsp:rsid wsp:val=&quot;00CA6BAC&quot;/&gt;&lt;wsp:rsid wsp:val=&quot;00CA6C37&quot;/&gt;&lt;wsp:rsid wsp:val=&quot;00CA6C42&quot;/&gt;&lt;wsp:rsid wsp:val=&quot;00CA76DA&quot;/&gt;&lt;wsp:rsid wsp:val=&quot;00CA7A78&quot;/&gt;&lt;wsp:rsid wsp:val=&quot;00CA7CA6&quot;/&gt;&lt;wsp:rsid wsp:val=&quot;00CB0586&quot;/&gt;&lt;wsp:rsid wsp:val=&quot;00CB08AF&quot;/&gt;&lt;wsp:rsid wsp:val=&quot;00CB0DF6&quot;/&gt;&lt;wsp:rsid wsp:val=&quot;00CB13A4&quot;/&gt;&lt;wsp:rsid wsp:val=&quot;00CB15CF&quot;/&gt;&lt;wsp:rsid wsp:val=&quot;00CB1CF7&quot;/&gt;&lt;wsp:rsid wsp:val=&quot;00CB1DF2&quot;/&gt;&lt;wsp:rsid wsp:val=&quot;00CB1FB6&quot;/&gt;&lt;wsp:rsid wsp:val=&quot;00CB2765&quot;/&gt;&lt;wsp:rsid wsp:val=&quot;00CB279B&quot;/&gt;&lt;wsp:rsid wsp:val=&quot;00CB28F7&quot;/&gt;&lt;wsp:rsid wsp:val=&quot;00CB2CB7&quot;/&gt;&lt;wsp:rsid wsp:val=&quot;00CB2DEC&quot;/&gt;&lt;wsp:rsid wsp:val=&quot;00CB3059&quot;/&gt;&lt;wsp:rsid wsp:val=&quot;00CB30E1&quot;/&gt;&lt;wsp:rsid wsp:val=&quot;00CB3228&quot;/&gt;&lt;wsp:rsid wsp:val=&quot;00CB32CE&quot;/&gt;&lt;wsp:rsid wsp:val=&quot;00CB3560&quot;/&gt;&lt;wsp:rsid wsp:val=&quot;00CB3830&quot;/&gt;&lt;wsp:rsid wsp:val=&quot;00CB3B40&quot;/&gt;&lt;wsp:rsid wsp:val=&quot;00CB3C16&quot;/&gt;&lt;wsp:rsid wsp:val=&quot;00CB3DC2&quot;/&gt;&lt;wsp:rsid wsp:val=&quot;00CB3EBC&quot;/&gt;&lt;wsp:rsid wsp:val=&quot;00CB437F&quot;/&gt;&lt;wsp:rsid wsp:val=&quot;00CB4605&quot;/&gt;&lt;wsp:rsid wsp:val=&quot;00CB4A00&quot;/&gt;&lt;wsp:rsid wsp:val=&quot;00CB4B6A&quot;/&gt;&lt;wsp:rsid wsp:val=&quot;00CB4BB0&quot;/&gt;&lt;wsp:rsid wsp:val=&quot;00CB4F1F&quot;/&gt;&lt;wsp:rsid wsp:val=&quot;00CB51BA&quot;/&gt;&lt;wsp:rsid wsp:val=&quot;00CB52C1&quot;/&gt;&lt;wsp:rsid wsp:val=&quot;00CB55C5&quot;/&gt;&lt;wsp:rsid wsp:val=&quot;00CB570F&quot;/&gt;&lt;wsp:rsid wsp:val=&quot;00CB5D3D&quot;/&gt;&lt;wsp:rsid wsp:val=&quot;00CB5E81&quot;/&gt;&lt;wsp:rsid wsp:val=&quot;00CB602C&quot;/&gt;&lt;wsp:rsid wsp:val=&quot;00CB622A&quot;/&gt;&lt;wsp:rsid wsp:val=&quot;00CB624B&quot;/&gt;&lt;wsp:rsid wsp:val=&quot;00CB70DA&quot;/&gt;&lt;wsp:rsid wsp:val=&quot;00CB71E9&quot;/&gt;&lt;wsp:rsid wsp:val=&quot;00CB731A&quot;/&gt;&lt;wsp:rsid wsp:val=&quot;00CB7C20&quot;/&gt;&lt;wsp:rsid wsp:val=&quot;00CB7F49&quot;/&gt;&lt;wsp:rsid wsp:val=&quot;00CC0290&quot;/&gt;&lt;wsp:rsid wsp:val=&quot;00CC02B8&quot;/&gt;&lt;wsp:rsid wsp:val=&quot;00CC0726&quot;/&gt;&lt;wsp:rsid wsp:val=&quot;00CC0ECB&quot;/&gt;&lt;wsp:rsid wsp:val=&quot;00CC0F0E&quot;/&gt;&lt;wsp:rsid wsp:val=&quot;00CC0F11&quot;/&gt;&lt;wsp:rsid wsp:val=&quot;00CC0FD5&quot;/&gt;&lt;wsp:rsid wsp:val=&quot;00CC122D&quot;/&gt;&lt;wsp:rsid wsp:val=&quot;00CC1355&quot;/&gt;&lt;wsp:rsid wsp:val=&quot;00CC19B5&quot;/&gt;&lt;wsp:rsid wsp:val=&quot;00CC1A4D&quot;/&gt;&lt;wsp:rsid wsp:val=&quot;00CC20E3&quot;/&gt;&lt;wsp:rsid wsp:val=&quot;00CC214D&quot;/&gt;&lt;wsp:rsid wsp:val=&quot;00CC2210&quot;/&gt;&lt;wsp:rsid wsp:val=&quot;00CC2929&quot;/&gt;&lt;wsp:rsid wsp:val=&quot;00CC29E8&quot;/&gt;&lt;wsp:rsid wsp:val=&quot;00CC333D&quot;/&gt;&lt;wsp:rsid wsp:val=&quot;00CC3544&quot;/&gt;&lt;wsp:rsid wsp:val=&quot;00CC4220&quot;/&gt;&lt;wsp:rsid wsp:val=&quot;00CC445D&quot;/&gt;&lt;wsp:rsid wsp:val=&quot;00CC478C&quot;/&gt;&lt;wsp:rsid wsp:val=&quot;00CC4B48&quot;/&gt;&lt;wsp:rsid wsp:val=&quot;00CC4CFB&quot;/&gt;&lt;wsp:rsid wsp:val=&quot;00CC4D82&quot;/&gt;&lt;wsp:rsid wsp:val=&quot;00CC4DB5&quot;/&gt;&lt;wsp:rsid wsp:val=&quot;00CC4F1B&quot;/&gt;&lt;wsp:rsid wsp:val=&quot;00CC4F79&quot;/&gt;&lt;wsp:rsid wsp:val=&quot;00CC5049&quot;/&gt;&lt;wsp:rsid wsp:val=&quot;00CC549F&quot;/&gt;&lt;wsp:rsid wsp:val=&quot;00CC54A5&quot;/&gt;&lt;wsp:rsid wsp:val=&quot;00CC54E7&quot;/&gt;&lt;wsp:rsid wsp:val=&quot;00CC576B&quot;/&gt;&lt;wsp:rsid wsp:val=&quot;00CC6555&quot;/&gt;&lt;wsp:rsid wsp:val=&quot;00CC66D5&quot;/&gt;&lt;wsp:rsid wsp:val=&quot;00CC6A0B&quot;/&gt;&lt;wsp:rsid wsp:val=&quot;00CC6B94&quot;/&gt;&lt;wsp:rsid wsp:val=&quot;00CC6D80&quot;/&gt;&lt;wsp:rsid wsp:val=&quot;00CC6F86&quot;/&gt;&lt;wsp:rsid wsp:val=&quot;00CC74EB&quot;/&gt;&lt;wsp:rsid wsp:val=&quot;00CC769F&quot;/&gt;&lt;wsp:rsid wsp:val=&quot;00CC7BE7&quot;/&gt;&lt;wsp:rsid wsp:val=&quot;00CC7DE4&quot;/&gt;&lt;wsp:rsid wsp:val=&quot;00CC7E5A&quot;/&gt;&lt;wsp:rsid wsp:val=&quot;00CC7F47&quot;/&gt;&lt;wsp:rsid wsp:val=&quot;00CD07B5&quot;/&gt;&lt;wsp:rsid wsp:val=&quot;00CD0B3E&quot;/&gt;&lt;wsp:rsid wsp:val=&quot;00CD183A&quot;/&gt;&lt;wsp:rsid wsp:val=&quot;00CD279A&quot;/&gt;&lt;wsp:rsid wsp:val=&quot;00CD2F2A&quot;/&gt;&lt;wsp:rsid wsp:val=&quot;00CD2FDE&quot;/&gt;&lt;wsp:rsid wsp:val=&quot;00CD3649&quot;/&gt;&lt;wsp:rsid wsp:val=&quot;00CD393A&quot;/&gt;&lt;wsp:rsid wsp:val=&quot;00CD397B&quot;/&gt;&lt;wsp:rsid wsp:val=&quot;00CD3BCE&quot;/&gt;&lt;wsp:rsid wsp:val=&quot;00CD41CE&quot;/&gt;&lt;wsp:rsid wsp:val=&quot;00CD4871&quot;/&gt;&lt;wsp:rsid wsp:val=&quot;00CD4925&quot;/&gt;&lt;wsp:rsid wsp:val=&quot;00CD4A65&quot;/&gt;&lt;wsp:rsid wsp:val=&quot;00CD4FF8&quot;/&gt;&lt;wsp:rsid wsp:val=&quot;00CD53EB&quot;/&gt;&lt;wsp:rsid wsp:val=&quot;00CD5422&quot;/&gt;&lt;wsp:rsid wsp:val=&quot;00CD5490&quot;/&gt;&lt;wsp:rsid wsp:val=&quot;00CD587E&quot;/&gt;&lt;wsp:rsid wsp:val=&quot;00CD5931&quot;/&gt;&lt;wsp:rsid wsp:val=&quot;00CD59DC&quot;/&gt;&lt;wsp:rsid wsp:val=&quot;00CD5AF8&quot;/&gt;&lt;wsp:rsid wsp:val=&quot;00CD5AFE&quot;/&gt;&lt;wsp:rsid wsp:val=&quot;00CD5E2C&quot;/&gt;&lt;wsp:rsid wsp:val=&quot;00CD5EE3&quot;/&gt;&lt;wsp:rsid wsp:val=&quot;00CD61B3&quot;/&gt;&lt;wsp:rsid wsp:val=&quot;00CD6401&quot;/&gt;&lt;wsp:rsid wsp:val=&quot;00CD64FF&quot;/&gt;&lt;wsp:rsid wsp:val=&quot;00CD676D&quot;/&gt;&lt;wsp:rsid wsp:val=&quot;00CD68ED&quot;/&gt;&lt;wsp:rsid wsp:val=&quot;00CD69A9&quot;/&gt;&lt;wsp:rsid wsp:val=&quot;00CD69FB&quot;/&gt;&lt;wsp:rsid wsp:val=&quot;00CD6C45&quot;/&gt;&lt;wsp:rsid wsp:val=&quot;00CD717E&quot;/&gt;&lt;wsp:rsid wsp:val=&quot;00CD742C&quot;/&gt;&lt;wsp:rsid wsp:val=&quot;00CD7497&quot;/&gt;&lt;wsp:rsid wsp:val=&quot;00CD74C0&quot;/&gt;&lt;wsp:rsid wsp:val=&quot;00CD781F&quot;/&gt;&lt;wsp:rsid wsp:val=&quot;00CD7969&quot;/&gt;&lt;wsp:rsid wsp:val=&quot;00CD7BFF&quot;/&gt;&lt;wsp:rsid wsp:val=&quot;00CD7F01&quot;/&gt;&lt;wsp:rsid wsp:val=&quot;00CE011C&quot;/&gt;&lt;wsp:rsid wsp:val=&quot;00CE01CE&quot;/&gt;&lt;wsp:rsid wsp:val=&quot;00CE01E6&quot;/&gt;&lt;wsp:rsid wsp:val=&quot;00CE039C&quot;/&gt;&lt;wsp:rsid wsp:val=&quot;00CE040F&quot;/&gt;&lt;wsp:rsid wsp:val=&quot;00CE0773&quot;/&gt;&lt;wsp:rsid wsp:val=&quot;00CE1129&quot;/&gt;&lt;wsp:rsid wsp:val=&quot;00CE1A13&quot;/&gt;&lt;wsp:rsid wsp:val=&quot;00CE1C38&quot;/&gt;&lt;wsp:rsid wsp:val=&quot;00CE2255&quot;/&gt;&lt;wsp:rsid wsp:val=&quot;00CE2939&quot;/&gt;&lt;wsp:rsid wsp:val=&quot;00CE2A86&quot;/&gt;&lt;wsp:rsid wsp:val=&quot;00CE2CEE&quot;/&gt;&lt;wsp:rsid wsp:val=&quot;00CE2D22&quot;/&gt;&lt;wsp:rsid wsp:val=&quot;00CE30F8&quot;/&gt;&lt;wsp:rsid wsp:val=&quot;00CE38BA&quot;/&gt;&lt;wsp:rsid wsp:val=&quot;00CE4326&quot;/&gt;&lt;wsp:rsid wsp:val=&quot;00CE4A88&quot;/&gt;&lt;wsp:rsid wsp:val=&quot;00CE4E60&quot;/&gt;&lt;wsp:rsid wsp:val=&quot;00CE4E88&quot;/&gt;&lt;wsp:rsid wsp:val=&quot;00CE5060&quot;/&gt;&lt;wsp:rsid wsp:val=&quot;00CE5502&quot;/&gt;&lt;wsp:rsid wsp:val=&quot;00CE57B6&quot;/&gt;&lt;wsp:rsid wsp:val=&quot;00CE5B49&quot;/&gt;&lt;wsp:rsid wsp:val=&quot;00CE5B63&quot;/&gt;&lt;wsp:rsid wsp:val=&quot;00CE5FE4&quot;/&gt;&lt;wsp:rsid wsp:val=&quot;00CE6974&quot;/&gt;&lt;wsp:rsid wsp:val=&quot;00CE6F09&quot;/&gt;&lt;wsp:rsid wsp:val=&quot;00CE6F9A&quot;/&gt;&lt;wsp:rsid wsp:val=&quot;00CE739E&quot;/&gt;&lt;wsp:rsid wsp:val=&quot;00CE775D&quot;/&gt;&lt;wsp:rsid wsp:val=&quot;00CF0D65&quot;/&gt;&lt;wsp:rsid wsp:val=&quot;00CF107E&quot;/&gt;&lt;wsp:rsid wsp:val=&quot;00CF117E&quot;/&gt;&lt;wsp:rsid wsp:val=&quot;00CF1B47&quot;/&gt;&lt;wsp:rsid wsp:val=&quot;00CF26A4&quot;/&gt;&lt;wsp:rsid wsp:val=&quot;00CF27DA&quot;/&gt;&lt;wsp:rsid wsp:val=&quot;00CF3872&quot;/&gt;&lt;wsp:rsid wsp:val=&quot;00CF3924&quot;/&gt;&lt;wsp:rsid wsp:val=&quot;00CF3A0F&quot;/&gt;&lt;wsp:rsid wsp:val=&quot;00CF3A21&quot;/&gt;&lt;wsp:rsid wsp:val=&quot;00CF3B70&quot;/&gt;&lt;wsp:rsid wsp:val=&quot;00CF3E6D&quot;/&gt;&lt;wsp:rsid wsp:val=&quot;00CF42E7&quot;/&gt;&lt;wsp:rsid wsp:val=&quot;00CF4459&quot;/&gt;&lt;wsp:rsid wsp:val=&quot;00CF4689&quot;/&gt;&lt;wsp:rsid wsp:val=&quot;00CF4A56&quot;/&gt;&lt;wsp:rsid wsp:val=&quot;00CF4F93&quot;/&gt;&lt;wsp:rsid wsp:val=&quot;00CF50A0&quot;/&gt;&lt;wsp:rsid wsp:val=&quot;00CF56E8&quot;/&gt;&lt;wsp:rsid wsp:val=&quot;00CF58E7&quot;/&gt;&lt;wsp:rsid wsp:val=&quot;00CF592B&quot;/&gt;&lt;wsp:rsid wsp:val=&quot;00CF59F3&quot;/&gt;&lt;wsp:rsid wsp:val=&quot;00CF5C7A&quot;/&gt;&lt;wsp:rsid wsp:val=&quot;00CF5E35&quot;/&gt;&lt;wsp:rsid wsp:val=&quot;00CF5E51&quot;/&gt;&lt;wsp:rsid wsp:val=&quot;00CF623C&quot;/&gt;&lt;wsp:rsid wsp:val=&quot;00CF6AFF&quot;/&gt;&lt;wsp:rsid wsp:val=&quot;00CF7168&quot;/&gt;&lt;wsp:rsid wsp:val=&quot;00CF73B8&quot;/&gt;&lt;wsp:rsid wsp:val=&quot;00CF7415&quot;/&gt;&lt;wsp:rsid wsp:val=&quot;00CF77B3&quot;/&gt;&lt;wsp:rsid wsp:val=&quot;00CF78B2&quot;/&gt;&lt;wsp:rsid wsp:val=&quot;00D00593&quot;/&gt;&lt;wsp:rsid wsp:val=&quot;00D005B9&quot;/&gt;&lt;wsp:rsid wsp:val=&quot;00D0077A&quot;/&gt;&lt;wsp:rsid wsp:val=&quot;00D00D9A&quot;/&gt;&lt;wsp:rsid wsp:val=&quot;00D0113B&quot;/&gt;&lt;wsp:rsid wsp:val=&quot;00D017A9&quot;/&gt;&lt;wsp:rsid wsp:val=&quot;00D01994&quot;/&gt;&lt;wsp:rsid wsp:val=&quot;00D019B9&quot;/&gt;&lt;wsp:rsid wsp:val=&quot;00D01F4F&quot;/&gt;&lt;wsp:rsid wsp:val=&quot;00D01FA5&quot;/&gt;&lt;wsp:rsid wsp:val=&quot;00D02279&quot;/&gt;&lt;wsp:rsid wsp:val=&quot;00D022B8&quot;/&gt;&lt;wsp:rsid wsp:val=&quot;00D0261F&quot;/&gt;&lt;wsp:rsid wsp:val=&quot;00D02F13&quot;/&gt;&lt;wsp:rsid wsp:val=&quot;00D02FE2&quot;/&gt;&lt;wsp:rsid wsp:val=&quot;00D03302&quot;/&gt;&lt;wsp:rsid wsp:val=&quot;00D03309&quot;/&gt;&lt;wsp:rsid wsp:val=&quot;00D03652&quot;/&gt;&lt;wsp:rsid wsp:val=&quot;00D03900&quot;/&gt;&lt;wsp:rsid wsp:val=&quot;00D03D46&quot;/&gt;&lt;wsp:rsid wsp:val=&quot;00D03E43&quot;/&gt;&lt;wsp:rsid wsp:val=&quot;00D04430&quot;/&gt;&lt;wsp:rsid wsp:val=&quot;00D05571&quot;/&gt;&lt;wsp:rsid wsp:val=&quot;00D0571D&quot;/&gt;&lt;wsp:rsid wsp:val=&quot;00D059EF&quot;/&gt;&lt;wsp:rsid wsp:val=&quot;00D05B66&quot;/&gt;&lt;wsp:rsid wsp:val=&quot;00D05D06&quot;/&gt;&lt;wsp:rsid wsp:val=&quot;00D06000&quot;/&gt;&lt;wsp:rsid wsp:val=&quot;00D0649B&quot;/&gt;&lt;wsp:rsid wsp:val=&quot;00D067F3&quot;/&gt;&lt;wsp:rsid wsp:val=&quot;00D07D78&quot;/&gt;&lt;wsp:rsid wsp:val=&quot;00D07E5C&quot;/&gt;&lt;wsp:rsid wsp:val=&quot;00D07F5A&quot;/&gt;&lt;wsp:rsid wsp:val=&quot;00D07FEA&quot;/&gt;&lt;wsp:rsid wsp:val=&quot;00D10C47&quot;/&gt;&lt;wsp:rsid wsp:val=&quot;00D10F61&quot;/&gt;&lt;wsp:rsid wsp:val=&quot;00D11A47&quot;/&gt;&lt;wsp:rsid wsp:val=&quot;00D11BBE&quot;/&gt;&lt;wsp:rsid wsp:val=&quot;00D11BC5&quot;/&gt;&lt;wsp:rsid wsp:val=&quot;00D120A3&quot;/&gt;&lt;wsp:rsid wsp:val=&quot;00D12124&quot;/&gt;&lt;wsp:rsid wsp:val=&quot;00D1215C&quot;/&gt;&lt;wsp:rsid wsp:val=&quot;00D128A4&quot;/&gt;&lt;wsp:rsid wsp:val=&quot;00D12983&quot;/&gt;&lt;wsp:rsid wsp:val=&quot;00D12D49&quot;/&gt;&lt;wsp:rsid wsp:val=&quot;00D12E4E&quot;/&gt;&lt;wsp:rsid wsp:val=&quot;00D12FE3&quot;/&gt;&lt;wsp:rsid wsp:val=&quot;00D130F2&quot;/&gt;&lt;wsp:rsid wsp:val=&quot;00D13DC3&quot;/&gt;&lt;wsp:rsid wsp:val=&quot;00D143DF&quot;/&gt;&lt;wsp:rsid wsp:val=&quot;00D14B32&quot;/&gt;&lt;wsp:rsid wsp:val=&quot;00D14DFF&quot;/&gt;&lt;wsp:rsid wsp:val=&quot;00D14E96&quot;/&gt;&lt;wsp:rsid wsp:val=&quot;00D1567E&quot;/&gt;&lt;wsp:rsid wsp:val=&quot;00D15732&quot;/&gt;&lt;wsp:rsid wsp:val=&quot;00D164B9&quot;/&gt;&lt;wsp:rsid wsp:val=&quot;00D16750&quot;/&gt;&lt;wsp:rsid wsp:val=&quot;00D16BCA&quot;/&gt;&lt;wsp:rsid wsp:val=&quot;00D16DBD&quot;/&gt;&lt;wsp:rsid wsp:val=&quot;00D16F4D&quot;/&gt;&lt;wsp:rsid wsp:val=&quot;00D17157&quot;/&gt;&lt;wsp:rsid wsp:val=&quot;00D173FA&quot;/&gt;&lt;wsp:rsid wsp:val=&quot;00D17940&quot;/&gt;&lt;wsp:rsid wsp:val=&quot;00D17E8C&quot;/&gt;&lt;wsp:rsid wsp:val=&quot;00D200AD&quot;/&gt;&lt;wsp:rsid wsp:val=&quot;00D209D7&quot;/&gt;&lt;wsp:rsid wsp:val=&quot;00D20C20&quot;/&gt;&lt;wsp:rsid wsp:val=&quot;00D217CF&quot;/&gt;&lt;wsp:rsid wsp:val=&quot;00D21CD2&quot;/&gt;&lt;wsp:rsid wsp:val=&quot;00D21CFA&quot;/&gt;&lt;wsp:rsid wsp:val=&quot;00D22113&quot;/&gt;&lt;wsp:rsid wsp:val=&quot;00D221B7&quot;/&gt;&lt;wsp:rsid wsp:val=&quot;00D222C6&quot;/&gt;&lt;wsp:rsid wsp:val=&quot;00D2283C&quot;/&gt;&lt;wsp:rsid wsp:val=&quot;00D22A80&quot;/&gt;&lt;wsp:rsid wsp:val=&quot;00D22C0A&quot;/&gt;&lt;wsp:rsid wsp:val=&quot;00D22C30&quot;/&gt;&lt;wsp:rsid wsp:val=&quot;00D22D4A&quot;/&gt;&lt;wsp:rsid wsp:val=&quot;00D22F3C&quot;/&gt;&lt;wsp:rsid wsp:val=&quot;00D230A4&quot;/&gt;&lt;wsp:rsid wsp:val=&quot;00D230F3&quot;/&gt;&lt;wsp:rsid wsp:val=&quot;00D23122&quot;/&gt;&lt;wsp:rsid wsp:val=&quot;00D232BF&quot;/&gt;&lt;wsp:rsid wsp:val=&quot;00D235CC&quot;/&gt;&lt;wsp:rsid wsp:val=&quot;00D2386E&quot;/&gt;&lt;wsp:rsid wsp:val=&quot;00D23D5B&quot;/&gt;&lt;wsp:rsid wsp:val=&quot;00D241B0&quot;/&gt;&lt;wsp:rsid wsp:val=&quot;00D2453C&quot;/&gt;&lt;wsp:rsid wsp:val=&quot;00D2459F&quot;/&gt;&lt;wsp:rsid wsp:val=&quot;00D24907&quot;/&gt;&lt;wsp:rsid wsp:val=&quot;00D249D2&quot;/&gt;&lt;wsp:rsid wsp:val=&quot;00D24DE7&quot;/&gt;&lt;wsp:rsid wsp:val=&quot;00D2516D&quot;/&gt;&lt;wsp:rsid wsp:val=&quot;00D25873&quot;/&gt;&lt;wsp:rsid wsp:val=&quot;00D25DAF&quot;/&gt;&lt;wsp:rsid wsp:val=&quot;00D26301&quot;/&gt;&lt;wsp:rsid wsp:val=&quot;00D26D39&quot;/&gt;&lt;wsp:rsid wsp:val=&quot;00D27409&quot;/&gt;&lt;wsp:rsid wsp:val=&quot;00D27540&quot;/&gt;&lt;wsp:rsid wsp:val=&quot;00D27769&quot;/&gt;&lt;wsp:rsid wsp:val=&quot;00D279B8&quot;/&gt;&lt;wsp:rsid wsp:val=&quot;00D27F7C&quot;/&gt;&lt;wsp:rsid wsp:val=&quot;00D30128&quot;/&gt;&lt;wsp:rsid wsp:val=&quot;00D30372&quot;/&gt;&lt;wsp:rsid wsp:val=&quot;00D307D2&quot;/&gt;&lt;wsp:rsid wsp:val=&quot;00D30BD5&quot;/&gt;&lt;wsp:rsid wsp:val=&quot;00D30C40&quot;/&gt;&lt;wsp:rsid wsp:val=&quot;00D310FA&quot;/&gt;&lt;wsp:rsid wsp:val=&quot;00D315BB&quot;/&gt;&lt;wsp:rsid wsp:val=&quot;00D31981&quot;/&gt;&lt;wsp:rsid wsp:val=&quot;00D31BA6&quot;/&gt;&lt;wsp:rsid wsp:val=&quot;00D31CFC&quot;/&gt;&lt;wsp:rsid wsp:val=&quot;00D322C2&quot;/&gt;&lt;wsp:rsid wsp:val=&quot;00D32411&quot;/&gt;&lt;wsp:rsid wsp:val=&quot;00D324ED&quot;/&gt;&lt;wsp:rsid wsp:val=&quot;00D33035&quot;/&gt;&lt;wsp:rsid wsp:val=&quot;00D33038&quot;/&gt;&lt;wsp:rsid wsp:val=&quot;00D33275&quot;/&gt;&lt;wsp:rsid wsp:val=&quot;00D33278&quot;/&gt;&lt;wsp:rsid wsp:val=&quot;00D335C3&quot;/&gt;&lt;wsp:rsid wsp:val=&quot;00D3375E&quot;/&gt;&lt;wsp:rsid wsp:val=&quot;00D33852&quot;/&gt;&lt;wsp:rsid wsp:val=&quot;00D33D31&quot;/&gt;&lt;wsp:rsid wsp:val=&quot;00D344A7&quot;/&gt;&lt;wsp:rsid wsp:val=&quot;00D34757&quot;/&gt;&lt;wsp:rsid wsp:val=&quot;00D34B46&quot;/&gt;&lt;wsp:rsid wsp:val=&quot;00D350C4&quot;/&gt;&lt;wsp:rsid wsp:val=&quot;00D3559B&quot;/&gt;&lt;wsp:rsid wsp:val=&quot;00D35E85&quot;/&gt;&lt;wsp:rsid wsp:val=&quot;00D360F1&quot;/&gt;&lt;wsp:rsid wsp:val=&quot;00D36322&quot;/&gt;&lt;wsp:rsid wsp:val=&quot;00D366D9&quot;/&gt;&lt;wsp:rsid wsp:val=&quot;00D36DF2&quot;/&gt;&lt;wsp:rsid wsp:val=&quot;00D37431&quot;/&gt;&lt;wsp:rsid wsp:val=&quot;00D37733&quot;/&gt;&lt;wsp:rsid wsp:val=&quot;00D37A21&quot;/&gt;&lt;wsp:rsid wsp:val=&quot;00D37AAF&quot;/&gt;&lt;wsp:rsid wsp:val=&quot;00D37B37&quot;/&gt;&lt;wsp:rsid wsp:val=&quot;00D37BFA&quot;/&gt;&lt;wsp:rsid wsp:val=&quot;00D37EA6&quot;/&gt;&lt;wsp:rsid wsp:val=&quot;00D40872&quot;/&gt;&lt;wsp:rsid wsp:val=&quot;00D40E7C&quot;/&gt;&lt;wsp:rsid wsp:val=&quot;00D40F27&quot;/&gt;&lt;wsp:rsid wsp:val=&quot;00D41179&quot;/&gt;&lt;wsp:rsid wsp:val=&quot;00D41803&quot;/&gt;&lt;wsp:rsid wsp:val=&quot;00D41A05&quot;/&gt;&lt;wsp:rsid wsp:val=&quot;00D41A3B&quot;/&gt;&lt;wsp:rsid wsp:val=&quot;00D41A7D&quot;/&gt;&lt;wsp:rsid wsp:val=&quot;00D41C03&quot;/&gt;&lt;wsp:rsid wsp:val=&quot;00D42B7C&quot;/&gt;&lt;wsp:rsid wsp:val=&quot;00D43133&quot;/&gt;&lt;wsp:rsid wsp:val=&quot;00D4322E&quot;/&gt;&lt;wsp:rsid wsp:val=&quot;00D43AFC&quot;/&gt;&lt;wsp:rsid wsp:val=&quot;00D43C8E&quot;/&gt;&lt;wsp:rsid wsp:val=&quot;00D43DA5&quot;/&gt;&lt;wsp:rsid wsp:val=&quot;00D44404&quot;/&gt;&lt;wsp:rsid wsp:val=&quot;00D44638&quot;/&gt;&lt;wsp:rsid wsp:val=&quot;00D4497C&quot;/&gt;&lt;wsp:rsid wsp:val=&quot;00D449A0&quot;/&gt;&lt;wsp:rsid wsp:val=&quot;00D44E88&quot;/&gt;&lt;wsp:rsid wsp:val=&quot;00D450A2&quot;/&gt;&lt;wsp:rsid wsp:val=&quot;00D45419&quot;/&gt;&lt;wsp:rsid wsp:val=&quot;00D457BD&quot;/&gt;&lt;wsp:rsid wsp:val=&quot;00D46514&quot;/&gt;&lt;wsp:rsid wsp:val=&quot;00D46798&quot;/&gt;&lt;wsp:rsid wsp:val=&quot;00D46ADF&quot;/&gt;&lt;wsp:rsid wsp:val=&quot;00D46C81&quot;/&gt;&lt;wsp:rsid wsp:val=&quot;00D47673&quot;/&gt;&lt;wsp:rsid wsp:val=&quot;00D47B77&quot;/&gt;&lt;wsp:rsid wsp:val=&quot;00D50034&quot;/&gt;&lt;wsp:rsid wsp:val=&quot;00D503EC&quot;/&gt;&lt;wsp:rsid wsp:val=&quot;00D50F65&quot;/&gt;&lt;wsp:rsid wsp:val=&quot;00D50F81&quot;/&gt;&lt;wsp:rsid wsp:val=&quot;00D51720&quot;/&gt;&lt;wsp:rsid wsp:val=&quot;00D51B2A&quot;/&gt;&lt;wsp:rsid wsp:val=&quot;00D51D4A&quot;/&gt;&lt;wsp:rsid wsp:val=&quot;00D52209&quot;/&gt;&lt;wsp:rsid wsp:val=&quot;00D5234B&quot;/&gt;&lt;wsp:rsid wsp:val=&quot;00D52395&quot;/&gt;&lt;wsp:rsid wsp:val=&quot;00D52581&quot;/&gt;&lt;wsp:rsid wsp:val=&quot;00D52759&quot;/&gt;&lt;wsp:rsid wsp:val=&quot;00D52769&quot;/&gt;&lt;wsp:rsid wsp:val=&quot;00D52807&quot;/&gt;&lt;wsp:rsid wsp:val=&quot;00D52BB3&quot;/&gt;&lt;wsp:rsid wsp:val=&quot;00D52C1D&quot;/&gt;&lt;wsp:rsid wsp:val=&quot;00D53964&quot;/&gt;&lt;wsp:rsid wsp:val=&quot;00D53984&quot;/&gt;&lt;wsp:rsid wsp:val=&quot;00D53BAC&quot;/&gt;&lt;wsp:rsid wsp:val=&quot;00D53BE1&quot;/&gt;&lt;wsp:rsid wsp:val=&quot;00D53C87&quot;/&gt;&lt;wsp:rsid wsp:val=&quot;00D54868&quot;/&gt;&lt;wsp:rsid wsp:val=&quot;00D54C61&quot;/&gt;&lt;wsp:rsid wsp:val=&quot;00D54D1E&quot;/&gt;&lt;wsp:rsid wsp:val=&quot;00D55266&quot;/&gt;&lt;wsp:rsid wsp:val=&quot;00D55283&quot;/&gt;&lt;wsp:rsid wsp:val=&quot;00D5595E&quot;/&gt;&lt;wsp:rsid wsp:val=&quot;00D55BCE&quot;/&gt;&lt;wsp:rsid wsp:val=&quot;00D5613C&quot;/&gt;&lt;wsp:rsid wsp:val=&quot;00D56253&quot;/&gt;&lt;wsp:rsid wsp:val=&quot;00D56498&quot;/&gt;&lt;wsp:rsid wsp:val=&quot;00D567FE&quot;/&gt;&lt;wsp:rsid wsp:val=&quot;00D56CE8&quot;/&gt;&lt;wsp:rsid wsp:val=&quot;00D5731E&quot;/&gt;&lt;wsp:rsid wsp:val=&quot;00D579C3&quot;/&gt;&lt;wsp:rsid wsp:val=&quot;00D57E09&quot;/&gt;&lt;wsp:rsid wsp:val=&quot;00D6016A&quot;/&gt;&lt;wsp:rsid wsp:val=&quot;00D60191&quot;/&gt;&lt;wsp:rsid wsp:val=&quot;00D61005&quot;/&gt;&lt;wsp:rsid wsp:val=&quot;00D61015&quot;/&gt;&lt;wsp:rsid wsp:val=&quot;00D61131&quot;/&gt;&lt;wsp:rsid wsp:val=&quot;00D611BB&quot;/&gt;&lt;wsp:rsid wsp:val=&quot;00D61829&quot;/&gt;&lt;wsp:rsid wsp:val=&quot;00D61A11&quot;/&gt;&lt;wsp:rsid wsp:val=&quot;00D61ADA&quot;/&gt;&lt;wsp:rsid wsp:val=&quot;00D61BEC&quot;/&gt;&lt;wsp:rsid wsp:val=&quot;00D61EBC&quot;/&gt;&lt;wsp:rsid wsp:val=&quot;00D61F64&quot;/&gt;&lt;wsp:rsid wsp:val=&quot;00D620A2&quot;/&gt;&lt;wsp:rsid wsp:val=&quot;00D622CE&quot;/&gt;&lt;wsp:rsid wsp:val=&quot;00D625F9&quot;/&gt;&lt;wsp:rsid wsp:val=&quot;00D626BE&quot;/&gt;&lt;wsp:rsid wsp:val=&quot;00D627CF&quot;/&gt;&lt;wsp:rsid wsp:val=&quot;00D62824&quot;/&gt;&lt;wsp:rsid wsp:val=&quot;00D6298A&quot;/&gt;&lt;wsp:rsid wsp:val=&quot;00D62A18&quot;/&gt;&lt;wsp:rsid wsp:val=&quot;00D62B58&quot;/&gt;&lt;wsp:rsid wsp:val=&quot;00D630C5&quot;/&gt;&lt;wsp:rsid wsp:val=&quot;00D636AD&quot;/&gt;&lt;wsp:rsid wsp:val=&quot;00D63D63&quot;/&gt;&lt;wsp:rsid wsp:val=&quot;00D64252&quot;/&gt;&lt;wsp:rsid wsp:val=&quot;00D64417&quot;/&gt;&lt;wsp:rsid wsp:val=&quot;00D6444A&quot;/&gt;&lt;wsp:rsid wsp:val=&quot;00D644E7&quot;/&gt;&lt;wsp:rsid wsp:val=&quot;00D646C6&quot;/&gt;&lt;wsp:rsid wsp:val=&quot;00D64822&quot;/&gt;&lt;wsp:rsid wsp:val=&quot;00D652FF&quot;/&gt;&lt;wsp:rsid wsp:val=&quot;00D653DB&quot;/&gt;&lt;wsp:rsid wsp:val=&quot;00D654C8&quot;/&gt;&lt;wsp:rsid wsp:val=&quot;00D6567B&quot;/&gt;&lt;wsp:rsid wsp:val=&quot;00D65AA1&quot;/&gt;&lt;wsp:rsid wsp:val=&quot;00D6638B&quot;/&gt;&lt;wsp:rsid wsp:val=&quot;00D66DD9&quot;/&gt;&lt;wsp:rsid wsp:val=&quot;00D66FA6&quot;/&gt;&lt;wsp:rsid wsp:val=&quot;00D671DD&quot;/&gt;&lt;wsp:rsid wsp:val=&quot;00D67240&quot;/&gt;&lt;wsp:rsid wsp:val=&quot;00D678AC&quot;/&gt;&lt;wsp:rsid wsp:val=&quot;00D67A44&quot;/&gt;&lt;wsp:rsid wsp:val=&quot;00D67C73&quot;/&gt;&lt;wsp:rsid wsp:val=&quot;00D7030E&quot;/&gt;&lt;wsp:rsid wsp:val=&quot;00D703A3&quot;/&gt;&lt;wsp:rsid wsp:val=&quot;00D7040C&quot;/&gt;&lt;wsp:rsid wsp:val=&quot;00D705E7&quot;/&gt;&lt;wsp:rsid wsp:val=&quot;00D7074F&quot;/&gt;&lt;wsp:rsid wsp:val=&quot;00D70CD1&quot;/&gt;&lt;wsp:rsid wsp:val=&quot;00D70E7A&quot;/&gt;&lt;wsp:rsid wsp:val=&quot;00D70F4A&quot;/&gt;&lt;wsp:rsid wsp:val=&quot;00D71546&quot;/&gt;&lt;wsp:rsid wsp:val=&quot;00D716E8&quot;/&gt;&lt;wsp:rsid wsp:val=&quot;00D71916&quot;/&gt;&lt;wsp:rsid wsp:val=&quot;00D719E6&quot;/&gt;&lt;wsp:rsid wsp:val=&quot;00D71CEF&quot;/&gt;&lt;wsp:rsid wsp:val=&quot;00D7218F&quot;/&gt;&lt;wsp:rsid wsp:val=&quot;00D72199&quot;/&gt;&lt;wsp:rsid wsp:val=&quot;00D72232&quot;/&gt;&lt;wsp:rsid wsp:val=&quot;00D722CF&quot;/&gt;&lt;wsp:rsid wsp:val=&quot;00D725DB&quot;/&gt;&lt;wsp:rsid wsp:val=&quot;00D72C5F&quot;/&gt;&lt;wsp:rsid wsp:val=&quot;00D72DA4&quot;/&gt;&lt;wsp:rsid wsp:val=&quot;00D732EE&quot;/&gt;&lt;wsp:rsid wsp:val=&quot;00D73338&quot;/&gt;&lt;wsp:rsid wsp:val=&quot;00D73348&quot;/&gt;&lt;wsp:rsid wsp:val=&quot;00D73FD6&quot;/&gt;&lt;wsp:rsid wsp:val=&quot;00D74262&quot;/&gt;&lt;wsp:rsid wsp:val=&quot;00D7433C&quot;/&gt;&lt;wsp:rsid wsp:val=&quot;00D74575&quot;/&gt;&lt;wsp:rsid wsp:val=&quot;00D7465E&quot;/&gt;&lt;wsp:rsid wsp:val=&quot;00D74A56&quot;/&gt;&lt;wsp:rsid wsp:val=&quot;00D74D31&quot;/&gt;&lt;wsp:rsid wsp:val=&quot;00D74D6F&quot;/&gt;&lt;wsp:rsid wsp:val=&quot;00D74EF6&quot;/&gt;&lt;wsp:rsid wsp:val=&quot;00D74F07&quot;/&gt;&lt;wsp:rsid wsp:val=&quot;00D74F9C&quot;/&gt;&lt;wsp:rsid wsp:val=&quot;00D75012&quot;/&gt;&lt;wsp:rsid wsp:val=&quot;00D75773&quot;/&gt;&lt;wsp:rsid wsp:val=&quot;00D760A9&quot;/&gt;&lt;wsp:rsid wsp:val=&quot;00D760CF&quot;/&gt;&lt;wsp:rsid wsp:val=&quot;00D763C6&quot;/&gt;&lt;wsp:rsid wsp:val=&quot;00D76440&quot;/&gt;&lt;wsp:rsid wsp:val=&quot;00D76731&quot;/&gt;&lt;wsp:rsid wsp:val=&quot;00D7695D&quot;/&gt;&lt;wsp:rsid wsp:val=&quot;00D77746&quot;/&gt;&lt;wsp:rsid wsp:val=&quot;00D778C2&quot;/&gt;&lt;wsp:rsid wsp:val=&quot;00D77CA3&quot;/&gt;&lt;wsp:rsid wsp:val=&quot;00D8038B&quot;/&gt;&lt;wsp:rsid wsp:val=&quot;00D803E5&quot;/&gt;&lt;wsp:rsid wsp:val=&quot;00D80BA3&quot;/&gt;&lt;wsp:rsid wsp:val=&quot;00D80E47&quot;/&gt;&lt;wsp:rsid wsp:val=&quot;00D813D1&quot;/&gt;&lt;wsp:rsid wsp:val=&quot;00D81428&quot;/&gt;&lt;wsp:rsid wsp:val=&quot;00D818D9&quot;/&gt;&lt;wsp:rsid wsp:val=&quot;00D81B53&quot;/&gt;&lt;wsp:rsid wsp:val=&quot;00D81D91&quot;/&gt;&lt;wsp:rsid wsp:val=&quot;00D81E8A&quot;/&gt;&lt;wsp:rsid wsp:val=&quot;00D82675&quot;/&gt;&lt;wsp:rsid wsp:val=&quot;00D8270A&quot;/&gt;&lt;wsp:rsid wsp:val=&quot;00D82A8E&quot;/&gt;&lt;wsp:rsid wsp:val=&quot;00D82DF1&quot;/&gt;&lt;wsp:rsid wsp:val=&quot;00D82EF5&quot;/&gt;&lt;wsp:rsid wsp:val=&quot;00D831D9&quot;/&gt;&lt;wsp:rsid wsp:val=&quot;00D83235&quot;/&gt;&lt;wsp:rsid wsp:val=&quot;00D8393F&quot;/&gt;&lt;wsp:rsid wsp:val=&quot;00D840E6&quot;/&gt;&lt;wsp:rsid wsp:val=&quot;00D8429C&quot;/&gt;&lt;wsp:rsid wsp:val=&quot;00D842D4&quot;/&gt;&lt;wsp:rsid wsp:val=&quot;00D84621&quot;/&gt;&lt;wsp:rsid wsp:val=&quot;00D8462B&quot;/&gt;&lt;wsp:rsid wsp:val=&quot;00D84941&quot;/&gt;&lt;wsp:rsid wsp:val=&quot;00D8521F&quot;/&gt;&lt;wsp:rsid wsp:val=&quot;00D85335&quot;/&gt;&lt;wsp:rsid wsp:val=&quot;00D856EC&quot;/&gt;&lt;wsp:rsid wsp:val=&quot;00D8570C&quot;/&gt;&lt;wsp:rsid wsp:val=&quot;00D85824&quot;/&gt;&lt;wsp:rsid wsp:val=&quot;00D85C69&quot;/&gt;&lt;wsp:rsid wsp:val=&quot;00D85C72&quot;/&gt;&lt;wsp:rsid wsp:val=&quot;00D85DEB&quot;/&gt;&lt;wsp:rsid wsp:val=&quot;00D861F0&quot;/&gt;&lt;wsp:rsid wsp:val=&quot;00D86504&quot;/&gt;&lt;wsp:rsid wsp:val=&quot;00D86DFF&quot;/&gt;&lt;wsp:rsid wsp:val=&quot;00D87212&quot;/&gt;&lt;wsp:rsid wsp:val=&quot;00D87551&quot;/&gt;&lt;wsp:rsid wsp:val=&quot;00D87C1E&quot;/&gt;&lt;wsp:rsid wsp:val=&quot;00D90067&quot;/&gt;&lt;wsp:rsid wsp:val=&quot;00D903FC&quot;/&gt;&lt;wsp:rsid wsp:val=&quot;00D903FF&quot;/&gt;&lt;wsp:rsid wsp:val=&quot;00D9066D&quot;/&gt;&lt;wsp:rsid wsp:val=&quot;00D90844&quot;/&gt;&lt;wsp:rsid wsp:val=&quot;00D90C47&quot;/&gt;&lt;wsp:rsid wsp:val=&quot;00D90CDB&quot;/&gt;&lt;wsp:rsid wsp:val=&quot;00D9124E&quot;/&gt;&lt;wsp:rsid wsp:val=&quot;00D917CA&quot;/&gt;&lt;wsp:rsid wsp:val=&quot;00D918CD&quot;/&gt;&lt;wsp:rsid wsp:val=&quot;00D9196C&quot;/&gt;&lt;wsp:rsid wsp:val=&quot;00D91C21&quot;/&gt;&lt;wsp:rsid wsp:val=&quot;00D91EC6&quot;/&gt;&lt;wsp:rsid wsp:val=&quot;00D91F11&quot;/&gt;&lt;wsp:rsid wsp:val=&quot;00D91FF6&quot;/&gt;&lt;wsp:rsid wsp:val=&quot;00D922E8&quot;/&gt;&lt;wsp:rsid wsp:val=&quot;00D92491&quot;/&gt;&lt;wsp:rsid wsp:val=&quot;00D92AE3&quot;/&gt;&lt;wsp:rsid wsp:val=&quot;00D92CE4&quot;/&gt;&lt;wsp:rsid wsp:val=&quot;00D934D4&quot;/&gt;&lt;wsp:rsid wsp:val=&quot;00D935B0&quot;/&gt;&lt;wsp:rsid wsp:val=&quot;00D93895&quot;/&gt;&lt;wsp:rsid wsp:val=&quot;00D93B30&quot;/&gt;&lt;wsp:rsid wsp:val=&quot;00D93EE5&quot;/&gt;&lt;wsp:rsid wsp:val=&quot;00D9400B&quot;/&gt;&lt;wsp:rsid wsp:val=&quot;00D94351&quot;/&gt;&lt;wsp:rsid wsp:val=&quot;00D9436E&quot;/&gt;&lt;wsp:rsid wsp:val=&quot;00D9442C&quot;/&gt;&lt;wsp:rsid wsp:val=&quot;00D94635&quot;/&gt;&lt;wsp:rsid wsp:val=&quot;00D95228&quot;/&gt;&lt;wsp:rsid wsp:val=&quot;00D957C3&quot;/&gt;&lt;wsp:rsid wsp:val=&quot;00D95AF4&quot;/&gt;&lt;wsp:rsid wsp:val=&quot;00D95CB7&quot;/&gt;&lt;wsp:rsid wsp:val=&quot;00D96247&quot;/&gt;&lt;wsp:rsid wsp:val=&quot;00D9632F&quot;/&gt;&lt;wsp:rsid wsp:val=&quot;00D9690E&quot;/&gt;&lt;wsp:rsid wsp:val=&quot;00D97DC7&quot;/&gt;&lt;wsp:rsid wsp:val=&quot;00D97EE3&quot;/&gt;&lt;wsp:rsid wsp:val=&quot;00DA00AE&quot;/&gt;&lt;wsp:rsid wsp:val=&quot;00DA0108&quot;/&gt;&lt;wsp:rsid wsp:val=&quot;00DA01C4&quot;/&gt;&lt;wsp:rsid wsp:val=&quot;00DA0DD0&quot;/&gt;&lt;wsp:rsid wsp:val=&quot;00DA1876&quot;/&gt;&lt;wsp:rsid wsp:val=&quot;00DA1992&quot;/&gt;&lt;wsp:rsid wsp:val=&quot;00DA1A61&quot;/&gt;&lt;wsp:rsid wsp:val=&quot;00DA1BBD&quot;/&gt;&lt;wsp:rsid wsp:val=&quot;00DA27FD&quot;/&gt;&lt;wsp:rsid wsp:val=&quot;00DA281D&quot;/&gt;&lt;wsp:rsid wsp:val=&quot;00DA2B3F&quot;/&gt;&lt;wsp:rsid wsp:val=&quot;00DA2D48&quot;/&gt;&lt;wsp:rsid wsp:val=&quot;00DA31D6&quot;/&gt;&lt;wsp:rsid wsp:val=&quot;00DA32ED&quot;/&gt;&lt;wsp:rsid wsp:val=&quot;00DA355F&quot;/&gt;&lt;wsp:rsid wsp:val=&quot;00DA3637&quot;/&gt;&lt;wsp:rsid wsp:val=&quot;00DA3DE0&quot;/&gt;&lt;wsp:rsid wsp:val=&quot;00DA452D&quot;/&gt;&lt;wsp:rsid wsp:val=&quot;00DA4785&quot;/&gt;&lt;wsp:rsid wsp:val=&quot;00DA47F3&quot;/&gt;&lt;wsp:rsid wsp:val=&quot;00DA48A9&quot;/&gt;&lt;wsp:rsid wsp:val=&quot;00DA4AAB&quot;/&gt;&lt;wsp:rsid wsp:val=&quot;00DA4BE1&quot;/&gt;&lt;wsp:rsid wsp:val=&quot;00DA4C15&quot;/&gt;&lt;wsp:rsid wsp:val=&quot;00DA4CE7&quot;/&gt;&lt;wsp:rsid wsp:val=&quot;00DA4E26&quot;/&gt;&lt;wsp:rsid wsp:val=&quot;00DA4EDE&quot;/&gt;&lt;wsp:rsid wsp:val=&quot;00DA549C&quot;/&gt;&lt;wsp:rsid wsp:val=&quot;00DA54CD&quot;/&gt;&lt;wsp:rsid wsp:val=&quot;00DA571E&quot;/&gt;&lt;wsp:rsid wsp:val=&quot;00DA5943&quot;/&gt;&lt;wsp:rsid wsp:val=&quot;00DA5F1F&quot;/&gt;&lt;wsp:rsid wsp:val=&quot;00DA61F5&quot;/&gt;&lt;wsp:rsid wsp:val=&quot;00DA6232&quot;/&gt;&lt;wsp:rsid wsp:val=&quot;00DA65B2&quot;/&gt;&lt;wsp:rsid wsp:val=&quot;00DA662D&quot;/&gt;&lt;wsp:rsid wsp:val=&quot;00DA6ABD&quot;/&gt;&lt;wsp:rsid wsp:val=&quot;00DA6E57&quot;/&gt;&lt;wsp:rsid wsp:val=&quot;00DA7056&quot;/&gt;&lt;wsp:rsid wsp:val=&quot;00DA7340&quot;/&gt;&lt;wsp:rsid wsp:val=&quot;00DA7BA4&quot;/&gt;&lt;wsp:rsid wsp:val=&quot;00DA7E61&quot;/&gt;&lt;wsp:rsid wsp:val=&quot;00DA7FCB&quot;/&gt;&lt;wsp:rsid wsp:val=&quot;00DB01DB&quot;/&gt;&lt;wsp:rsid wsp:val=&quot;00DB09AB&quot;/&gt;&lt;wsp:rsid wsp:val=&quot;00DB0A6B&quot;/&gt;&lt;wsp:rsid wsp:val=&quot;00DB0C61&quot;/&gt;&lt;wsp:rsid wsp:val=&quot;00DB0FD0&quot;/&gt;&lt;wsp:rsid wsp:val=&quot;00DB111F&quot;/&gt;&lt;wsp:rsid wsp:val=&quot;00DB1156&quot;/&gt;&lt;wsp:rsid wsp:val=&quot;00DB1ADE&quot;/&gt;&lt;wsp:rsid wsp:val=&quot;00DB21F9&quot;/&gt;&lt;wsp:rsid wsp:val=&quot;00DB23E1&quot;/&gt;&lt;wsp:rsid wsp:val=&quot;00DB242E&quot;/&gt;&lt;wsp:rsid wsp:val=&quot;00DB247B&quot;/&gt;&lt;wsp:rsid wsp:val=&quot;00DB2500&quot;/&gt;&lt;wsp:rsid wsp:val=&quot;00DB25F7&quot;/&gt;&lt;wsp:rsid wsp:val=&quot;00DB2745&quot;/&gt;&lt;wsp:rsid wsp:val=&quot;00DB2810&quot;/&gt;&lt;wsp:rsid wsp:val=&quot;00DB296C&quot;/&gt;&lt;wsp:rsid wsp:val=&quot;00DB2979&quot;/&gt;&lt;wsp:rsid wsp:val=&quot;00DB29FA&quot;/&gt;&lt;wsp:rsid wsp:val=&quot;00DB2B88&quot;/&gt;&lt;wsp:rsid wsp:val=&quot;00DB2C50&quot;/&gt;&lt;wsp:rsid wsp:val=&quot;00DB32C4&quot;/&gt;&lt;wsp:rsid wsp:val=&quot;00DB3873&quot;/&gt;&lt;wsp:rsid wsp:val=&quot;00DB38FF&quot;/&gt;&lt;wsp:rsid wsp:val=&quot;00DB3F39&quot;/&gt;&lt;wsp:rsid wsp:val=&quot;00DB3FF4&quot;/&gt;&lt;wsp:rsid wsp:val=&quot;00DB4EA6&quot;/&gt;&lt;wsp:rsid wsp:val=&quot;00DB51A7&quot;/&gt;&lt;wsp:rsid wsp:val=&quot;00DB5222&quot;/&gt;&lt;wsp:rsid wsp:val=&quot;00DB5A41&quot;/&gt;&lt;wsp:rsid wsp:val=&quot;00DB5DD7&quot;/&gt;&lt;wsp:rsid wsp:val=&quot;00DB64EB&quot;/&gt;&lt;wsp:rsid wsp:val=&quot;00DB6A15&quot;/&gt;&lt;wsp:rsid wsp:val=&quot;00DB6C7B&quot;/&gt;&lt;wsp:rsid wsp:val=&quot;00DB71FD&quot;/&gt;&lt;wsp:rsid wsp:val=&quot;00DB756B&quot;/&gt;&lt;wsp:rsid wsp:val=&quot;00DB7684&quot;/&gt;&lt;wsp:rsid wsp:val=&quot;00DB7D5B&quot;/&gt;&lt;wsp:rsid wsp:val=&quot;00DB7F4C&quot;/&gt;&lt;wsp:rsid wsp:val=&quot;00DC037E&quot;/&gt;&lt;wsp:rsid wsp:val=&quot;00DC0828&quot;/&gt;&lt;wsp:rsid wsp:val=&quot;00DC085B&quot;/&gt;&lt;wsp:rsid wsp:val=&quot;00DC08CF&quot;/&gt;&lt;wsp:rsid wsp:val=&quot;00DC0984&quot;/&gt;&lt;wsp:rsid wsp:val=&quot;00DC0EC9&quot;/&gt;&lt;wsp:rsid wsp:val=&quot;00DC0ECC&quot;/&gt;&lt;wsp:rsid wsp:val=&quot;00DC141E&quot;/&gt;&lt;wsp:rsid wsp:val=&quot;00DC15EC&quot;/&gt;&lt;wsp:rsid wsp:val=&quot;00DC1957&quot;/&gt;&lt;wsp:rsid wsp:val=&quot;00DC1CFE&quot;/&gt;&lt;wsp:rsid wsp:val=&quot;00DC21D5&quot;/&gt;&lt;wsp:rsid wsp:val=&quot;00DC27DA&quot;/&gt;&lt;wsp:rsid wsp:val=&quot;00DC2C4C&quot;/&gt;&lt;wsp:rsid wsp:val=&quot;00DC2EE7&quot;/&gt;&lt;wsp:rsid wsp:val=&quot;00DC3280&quot;/&gt;&lt;wsp:rsid wsp:val=&quot;00DC3341&quot;/&gt;&lt;wsp:rsid wsp:val=&quot;00DC339F&quot;/&gt;&lt;wsp:rsid wsp:val=&quot;00DC33AB&quot;/&gt;&lt;wsp:rsid wsp:val=&quot;00DC3481&quot;/&gt;&lt;wsp:rsid wsp:val=&quot;00DC38A8&quot;/&gt;&lt;wsp:rsid wsp:val=&quot;00DC38BC&quot;/&gt;&lt;wsp:rsid wsp:val=&quot;00DC3992&quot;/&gt;&lt;wsp:rsid wsp:val=&quot;00DC3E04&quot;/&gt;&lt;wsp:rsid wsp:val=&quot;00DC402E&quot;/&gt;&lt;wsp:rsid wsp:val=&quot;00DC4284&quot;/&gt;&lt;wsp:rsid wsp:val=&quot;00DC4376&quot;/&gt;&lt;wsp:rsid wsp:val=&quot;00DC50F1&quot;/&gt;&lt;wsp:rsid wsp:val=&quot;00DC520C&quot;/&gt;&lt;wsp:rsid wsp:val=&quot;00DC535D&quot;/&gt;&lt;wsp:rsid wsp:val=&quot;00DC5445&quot;/&gt;&lt;wsp:rsid wsp:val=&quot;00DC562B&quot;/&gt;&lt;wsp:rsid wsp:val=&quot;00DC5FEC&quot;/&gt;&lt;wsp:rsid wsp:val=&quot;00DC6606&quot;/&gt;&lt;wsp:rsid wsp:val=&quot;00DC673D&quot;/&gt;&lt;wsp:rsid wsp:val=&quot;00DC67C7&quot;/&gt;&lt;wsp:rsid wsp:val=&quot;00DC69E6&quot;/&gt;&lt;wsp:rsid wsp:val=&quot;00DC6EDE&quot;/&gt;&lt;wsp:rsid wsp:val=&quot;00DC6F21&quot;/&gt;&lt;wsp:rsid wsp:val=&quot;00DC741A&quot;/&gt;&lt;wsp:rsid wsp:val=&quot;00DC751E&quot;/&gt;&lt;wsp:rsid wsp:val=&quot;00DC7B73&quot;/&gt;&lt;wsp:rsid wsp:val=&quot;00DC7C4E&quot;/&gt;&lt;wsp:rsid wsp:val=&quot;00DC7E15&quot;/&gt;&lt;wsp:rsid wsp:val=&quot;00DC7E27&quot;/&gt;&lt;wsp:rsid wsp:val=&quot;00DD01DC&quot;/&gt;&lt;wsp:rsid wsp:val=&quot;00DD042E&quot;/&gt;&lt;wsp:rsid wsp:val=&quot;00DD0A18&quot;/&gt;&lt;wsp:rsid wsp:val=&quot;00DD0A2F&quot;/&gt;&lt;wsp:rsid wsp:val=&quot;00DD0B4F&quot;/&gt;&lt;wsp:rsid wsp:val=&quot;00DD0C8C&quot;/&gt;&lt;wsp:rsid wsp:val=&quot;00DD109B&quot;/&gt;&lt;wsp:rsid wsp:val=&quot;00DD16ED&quot;/&gt;&lt;wsp:rsid wsp:val=&quot;00DD17BD&quot;/&gt;&lt;wsp:rsid wsp:val=&quot;00DD1B72&quot;/&gt;&lt;wsp:rsid wsp:val=&quot;00DD1D1C&quot;/&gt;&lt;wsp:rsid wsp:val=&quot;00DD237A&quot;/&gt;&lt;wsp:rsid wsp:val=&quot;00DD397C&quot;/&gt;&lt;wsp:rsid wsp:val=&quot;00DD3CEA&quot;/&gt;&lt;wsp:rsid wsp:val=&quot;00DD4838&quot;/&gt;&lt;wsp:rsid wsp:val=&quot;00DD4C81&quot;/&gt;&lt;wsp:rsid wsp:val=&quot;00DD54F2&quot;/&gt;&lt;wsp:rsid wsp:val=&quot;00DD55B0&quot;/&gt;&lt;wsp:rsid wsp:val=&quot;00DD68AB&quot;/&gt;&lt;wsp:rsid wsp:val=&quot;00DD69F4&quot;/&gt;&lt;wsp:rsid wsp:val=&quot;00DD7431&quot;/&gt;&lt;wsp:rsid wsp:val=&quot;00DD760A&quot;/&gt;&lt;wsp:rsid wsp:val=&quot;00DD7A76&quot;/&gt;&lt;wsp:rsid wsp:val=&quot;00DD7BC2&quot;/&gt;&lt;wsp:rsid wsp:val=&quot;00DD7E50&quot;/&gt;&lt;wsp:rsid wsp:val=&quot;00DE032C&quot;/&gt;&lt;wsp:rsid wsp:val=&quot;00DE0474&quot;/&gt;&lt;wsp:rsid wsp:val=&quot;00DE0727&quot;/&gt;&lt;wsp:rsid wsp:val=&quot;00DE0A01&quot;/&gt;&lt;wsp:rsid wsp:val=&quot;00DE0F9E&quot;/&gt;&lt;wsp:rsid wsp:val=&quot;00DE0FA7&quot;/&gt;&lt;wsp:rsid wsp:val=&quot;00DE1511&quot;/&gt;&lt;wsp:rsid wsp:val=&quot;00DE1522&quot;/&gt;&lt;wsp:rsid wsp:val=&quot;00DE1AC8&quot;/&gt;&lt;wsp:rsid wsp:val=&quot;00DE1F3F&quot;/&gt;&lt;wsp:rsid wsp:val=&quot;00DE2077&quot;/&gt;&lt;wsp:rsid wsp:val=&quot;00DE257A&quot;/&gt;&lt;wsp:rsid wsp:val=&quot;00DE287C&quot;/&gt;&lt;wsp:rsid wsp:val=&quot;00DE31E6&quot;/&gt;&lt;wsp:rsid wsp:val=&quot;00DE3718&quot;/&gt;&lt;wsp:rsid wsp:val=&quot;00DE38C1&quot;/&gt;&lt;wsp:rsid wsp:val=&quot;00DE3990&quot;/&gt;&lt;wsp:rsid wsp:val=&quot;00DE3D4C&quot;/&gt;&lt;wsp:rsid wsp:val=&quot;00DE3F61&quot;/&gt;&lt;wsp:rsid wsp:val=&quot;00DE4264&quot;/&gt;&lt;wsp:rsid wsp:val=&quot;00DE473A&quot;/&gt;&lt;wsp:rsid wsp:val=&quot;00DE47DB&quot;/&gt;&lt;wsp:rsid wsp:val=&quot;00DE4B48&quot;/&gt;&lt;wsp:rsid wsp:val=&quot;00DE4BD2&quot;/&gt;&lt;wsp:rsid wsp:val=&quot;00DE4C60&quot;/&gt;&lt;wsp:rsid wsp:val=&quot;00DE4E7A&quot;/&gt;&lt;wsp:rsid wsp:val=&quot;00DE585A&quot;/&gt;&lt;wsp:rsid wsp:val=&quot;00DE6784&quot;/&gt;&lt;wsp:rsid wsp:val=&quot;00DE6861&quot;/&gt;&lt;wsp:rsid wsp:val=&quot;00DE6C98&quot;/&gt;&lt;wsp:rsid wsp:val=&quot;00DE6F68&quot;/&gt;&lt;wsp:rsid wsp:val=&quot;00DE7C17&quot;/&gt;&lt;wsp:rsid wsp:val=&quot;00DE7CE1&quot;/&gt;&lt;wsp:rsid wsp:val=&quot;00DF02B9&quot;/&gt;&lt;wsp:rsid wsp:val=&quot;00DF043D&quot;/&gt;&lt;wsp:rsid wsp:val=&quot;00DF04F9&quot;/&gt;&lt;wsp:rsid wsp:val=&quot;00DF05F2&quot;/&gt;&lt;wsp:rsid wsp:val=&quot;00DF0C83&quot;/&gt;&lt;wsp:rsid wsp:val=&quot;00DF122E&quot;/&gt;&lt;wsp:rsid wsp:val=&quot;00DF1835&quot;/&gt;&lt;wsp:rsid wsp:val=&quot;00DF1838&quot;/&gt;&lt;wsp:rsid wsp:val=&quot;00DF1BB2&quot;/&gt;&lt;wsp:rsid wsp:val=&quot;00DF1CC0&quot;/&gt;&lt;wsp:rsid wsp:val=&quot;00DF2033&quot;/&gt;&lt;wsp:rsid wsp:val=&quot;00DF22C7&quot;/&gt;&lt;wsp:rsid wsp:val=&quot;00DF2408&quot;/&gt;&lt;wsp:rsid wsp:val=&quot;00DF281A&quot;/&gt;&lt;wsp:rsid wsp:val=&quot;00DF2B2A&quot;/&gt;&lt;wsp:rsid wsp:val=&quot;00DF2B65&quot;/&gt;&lt;wsp:rsid wsp:val=&quot;00DF324D&quot;/&gt;&lt;wsp:rsid wsp:val=&quot;00DF34E6&quot;/&gt;&lt;wsp:rsid wsp:val=&quot;00DF3C68&quot;/&gt;&lt;wsp:rsid wsp:val=&quot;00DF4AAE&quot;/&gt;&lt;wsp:rsid wsp:val=&quot;00DF4BE1&quot;/&gt;&lt;wsp:rsid wsp:val=&quot;00DF4DC9&quot;/&gt;&lt;wsp:rsid wsp:val=&quot;00DF4E74&quot;/&gt;&lt;wsp:rsid wsp:val=&quot;00DF54DF&quot;/&gt;&lt;wsp:rsid wsp:val=&quot;00DF55D6&quot;/&gt;&lt;wsp:rsid wsp:val=&quot;00DF5623&quot;/&gt;&lt;wsp:rsid wsp:val=&quot;00DF5F78&quot;/&gt;&lt;wsp:rsid wsp:val=&quot;00DF5FC0&quot;/&gt;&lt;wsp:rsid wsp:val=&quot;00DF6021&quot;/&gt;&lt;wsp:rsid wsp:val=&quot;00DF6457&quot;/&gt;&lt;wsp:rsid wsp:val=&quot;00DF64F5&quot;/&gt;&lt;wsp:rsid wsp:val=&quot;00DF6B13&quot;/&gt;&lt;wsp:rsid wsp:val=&quot;00DF737B&quot;/&gt;&lt;wsp:rsid wsp:val=&quot;00DF7C16&quot;/&gt;&lt;wsp:rsid wsp:val=&quot;00E00185&quot;/&gt;&lt;wsp:rsid wsp:val=&quot;00E0093C&quot;/&gt;&lt;wsp:rsid wsp:val=&quot;00E01018&quot;/&gt;&lt;wsp:rsid wsp:val=&quot;00E01634&quot;/&gt;&lt;wsp:rsid wsp:val=&quot;00E01C55&quot;/&gt;&lt;wsp:rsid wsp:val=&quot;00E01D5B&quot;/&gt;&lt;wsp:rsid wsp:val=&quot;00E01DC2&quot;/&gt;&lt;wsp:rsid wsp:val=&quot;00E021CD&quot;/&gt;&lt;wsp:rsid wsp:val=&quot;00E02227&quot;/&gt;&lt;wsp:rsid wsp:val=&quot;00E027BD&quot;/&gt;&lt;wsp:rsid wsp:val=&quot;00E02C60&quot;/&gt;&lt;wsp:rsid wsp:val=&quot;00E02EF2&quot;/&gt;&lt;wsp:rsid wsp:val=&quot;00E02FCD&quot;/&gt;&lt;wsp:rsid wsp:val=&quot;00E03172&quot;/&gt;&lt;wsp:rsid wsp:val=&quot;00E0321A&quot;/&gt;&lt;wsp:rsid wsp:val=&quot;00E03563&quot;/&gt;&lt;wsp:rsid wsp:val=&quot;00E037E5&quot;/&gt;&lt;wsp:rsid wsp:val=&quot;00E0384A&quot;/&gt;&lt;wsp:rsid wsp:val=&quot;00E0397E&quot;/&gt;&lt;wsp:rsid wsp:val=&quot;00E03CB0&quot;/&gt;&lt;wsp:rsid wsp:val=&quot;00E043AD&quot;/&gt;&lt;wsp:rsid wsp:val=&quot;00E0468B&quot;/&gt;&lt;wsp:rsid wsp:val=&quot;00E04764&quot;/&gt;&lt;wsp:rsid wsp:val=&quot;00E04C8A&quot;/&gt;&lt;wsp:rsid wsp:val=&quot;00E0514D&quot;/&gt;&lt;wsp:rsid wsp:val=&quot;00E0525B&quot;/&gt;&lt;wsp:rsid wsp:val=&quot;00E0547E&quot;/&gt;&lt;wsp:rsid wsp:val=&quot;00E0548D&quot;/&gt;&lt;wsp:rsid wsp:val=&quot;00E0589C&quot;/&gt;&lt;wsp:rsid wsp:val=&quot;00E05B76&quot;/&gt;&lt;wsp:rsid wsp:val=&quot;00E05E36&quot;/&gt;&lt;wsp:rsid wsp:val=&quot;00E06078&quot;/&gt;&lt;wsp:rsid wsp:val=&quot;00E06183&quot;/&gt;&lt;wsp:rsid wsp:val=&quot;00E06199&quot;/&gt;&lt;wsp:rsid wsp:val=&quot;00E064A1&quot;/&gt;&lt;wsp:rsid wsp:val=&quot;00E064D5&quot;/&gt;&lt;wsp:rsid wsp:val=&quot;00E068E7&quot;/&gt;&lt;wsp:rsid wsp:val=&quot;00E06D23&quot;/&gt;&lt;wsp:rsid wsp:val=&quot;00E07323&quot;/&gt;&lt;wsp:rsid wsp:val=&quot;00E07CED&quot;/&gt;&lt;wsp:rsid wsp:val=&quot;00E10057&quot;/&gt;&lt;wsp:rsid wsp:val=&quot;00E1009B&quot;/&gt;&lt;wsp:rsid wsp:val=&quot;00E10270&quot;/&gt;&lt;wsp:rsid wsp:val=&quot;00E10421&quot;/&gt;&lt;wsp:rsid wsp:val=&quot;00E104FF&quot;/&gt;&lt;wsp:rsid wsp:val=&quot;00E10748&quot;/&gt;&lt;wsp:rsid wsp:val=&quot;00E10E90&quot;/&gt;&lt;wsp:rsid wsp:val=&quot;00E10F69&quot;/&gt;&lt;wsp:rsid wsp:val=&quot;00E1107E&quot;/&gt;&lt;wsp:rsid wsp:val=&quot;00E111E0&quot;/&gt;&lt;wsp:rsid wsp:val=&quot;00E11503&quot;/&gt;&lt;wsp:rsid wsp:val=&quot;00E1151C&quot;/&gt;&lt;wsp:rsid wsp:val=&quot;00E11848&quot;/&gt;&lt;wsp:rsid wsp:val=&quot;00E11B3A&quot;/&gt;&lt;wsp:rsid wsp:val=&quot;00E11E52&quot;/&gt;&lt;wsp:rsid wsp:val=&quot;00E11F1C&quot;/&gt;&lt;wsp:rsid wsp:val=&quot;00E123DD&quot;/&gt;&lt;wsp:rsid wsp:val=&quot;00E126D5&quot;/&gt;&lt;wsp:rsid wsp:val=&quot;00E12E70&quot;/&gt;&lt;wsp:rsid wsp:val=&quot;00E1397B&quot;/&gt;&lt;wsp:rsid wsp:val=&quot;00E13F67&quot;/&gt;&lt;wsp:rsid wsp:val=&quot;00E14087&quot;/&gt;&lt;wsp:rsid wsp:val=&quot;00E140B5&quot;/&gt;&lt;wsp:rsid wsp:val=&quot;00E1418D&quot;/&gt;&lt;wsp:rsid wsp:val=&quot;00E1423A&quot;/&gt;&lt;wsp:rsid wsp:val=&quot;00E1461B&quot;/&gt;&lt;wsp:rsid wsp:val=&quot;00E14BC2&quot;/&gt;&lt;wsp:rsid wsp:val=&quot;00E14C96&quot;/&gt;&lt;wsp:rsid wsp:val=&quot;00E1560A&quot;/&gt;&lt;wsp:rsid wsp:val=&quot;00E1567C&quot;/&gt;&lt;wsp:rsid wsp:val=&quot;00E15869&quot;/&gt;&lt;wsp:rsid wsp:val=&quot;00E1609B&quot;/&gt;&lt;wsp:rsid wsp:val=&quot;00E166C2&quot;/&gt;&lt;wsp:rsid wsp:val=&quot;00E1675A&quot;/&gt;&lt;wsp:rsid wsp:val=&quot;00E167F9&quot;/&gt;&lt;wsp:rsid wsp:val=&quot;00E168A2&quot;/&gt;&lt;wsp:rsid wsp:val=&quot;00E16ADA&quot;/&gt;&lt;wsp:rsid wsp:val=&quot;00E16E47&quot;/&gt;&lt;wsp:rsid wsp:val=&quot;00E2023E&quot;/&gt;&lt;wsp:rsid wsp:val=&quot;00E20289&quot;/&gt;&lt;wsp:rsid wsp:val=&quot;00E20441&quot;/&gt;&lt;wsp:rsid wsp:val=&quot;00E204BF&quot;/&gt;&lt;wsp:rsid wsp:val=&quot;00E20548&quot;/&gt;&lt;wsp:rsid wsp:val=&quot;00E20830&quot;/&gt;&lt;wsp:rsid wsp:val=&quot;00E20A15&quot;/&gt;&lt;wsp:rsid wsp:val=&quot;00E20A70&quot;/&gt;&lt;wsp:rsid wsp:val=&quot;00E20B01&quot;/&gt;&lt;wsp:rsid wsp:val=&quot;00E20E29&quot;/&gt;&lt;wsp:rsid wsp:val=&quot;00E212C2&quot;/&gt;&lt;wsp:rsid wsp:val=&quot;00E21687&quot;/&gt;&lt;wsp:rsid wsp:val=&quot;00E21A4E&quot;/&gt;&lt;wsp:rsid wsp:val=&quot;00E21CCC&quot;/&gt;&lt;wsp:rsid wsp:val=&quot;00E21F08&quot;/&gt;&lt;wsp:rsid wsp:val=&quot;00E22182&quot;/&gt;&lt;wsp:rsid wsp:val=&quot;00E221B8&quot;/&gt;&lt;wsp:rsid wsp:val=&quot;00E227E9&quot;/&gt;&lt;wsp:rsid wsp:val=&quot;00E2290E&quot;/&gt;&lt;wsp:rsid wsp:val=&quot;00E22C48&quot;/&gt;&lt;wsp:rsid wsp:val=&quot;00E22F19&quot;/&gt;&lt;wsp:rsid wsp:val=&quot;00E23299&quot;/&gt;&lt;wsp:rsid wsp:val=&quot;00E237B6&quot;/&gt;&lt;wsp:rsid wsp:val=&quot;00E238DE&quot;/&gt;&lt;wsp:rsid wsp:val=&quot;00E23CC0&quot;/&gt;&lt;wsp:rsid wsp:val=&quot;00E24A62&quot;/&gt;&lt;wsp:rsid wsp:val=&quot;00E24B9B&quot;/&gt;&lt;wsp:rsid wsp:val=&quot;00E24BEA&quot;/&gt;&lt;wsp:rsid wsp:val=&quot;00E24E54&quot;/&gt;&lt;wsp:rsid wsp:val=&quot;00E24EDA&quot;/&gt;&lt;wsp:rsid wsp:val=&quot;00E25072&quot;/&gt;&lt;wsp:rsid wsp:val=&quot;00E25593&quot;/&gt;&lt;wsp:rsid wsp:val=&quot;00E25888&quot;/&gt;&lt;wsp:rsid wsp:val=&quot;00E25E6C&quot;/&gt;&lt;wsp:rsid wsp:val=&quot;00E25E82&quot;/&gt;&lt;wsp:rsid wsp:val=&quot;00E25EB6&quot;/&gt;&lt;wsp:rsid wsp:val=&quot;00E25FFA&quot;/&gt;&lt;wsp:rsid wsp:val=&quot;00E26226&quot;/&gt;&lt;wsp:rsid wsp:val=&quot;00E264E6&quot;/&gt;&lt;wsp:rsid wsp:val=&quot;00E26C3F&quot;/&gt;&lt;wsp:rsid wsp:val=&quot;00E2702B&quot;/&gt;&lt;wsp:rsid wsp:val=&quot;00E271D3&quot;/&gt;&lt;wsp:rsid wsp:val=&quot;00E27479&quot;/&gt;&lt;wsp:rsid wsp:val=&quot;00E30596&quot;/&gt;&lt;wsp:rsid wsp:val=&quot;00E306C3&quot;/&gt;&lt;wsp:rsid wsp:val=&quot;00E307C6&quot;/&gt;&lt;wsp:rsid wsp:val=&quot;00E30AFB&quot;/&gt;&lt;wsp:rsid wsp:val=&quot;00E30BAF&quot;/&gt;&lt;wsp:rsid wsp:val=&quot;00E31856&quot;/&gt;&lt;wsp:rsid wsp:val=&quot;00E31C9C&quot;/&gt;&lt;wsp:rsid wsp:val=&quot;00E31F8E&quot;/&gt;&lt;wsp:rsid wsp:val=&quot;00E3221D&quot;/&gt;&lt;wsp:rsid wsp:val=&quot;00E326FD&quot;/&gt;&lt;wsp:rsid wsp:val=&quot;00E32CF9&quot;/&gt;&lt;wsp:rsid wsp:val=&quot;00E32FF4&quot;/&gt;&lt;wsp:rsid wsp:val=&quot;00E33143&quot;/&gt;&lt;wsp:rsid wsp:val=&quot;00E33356&quot;/&gt;&lt;wsp:rsid wsp:val=&quot;00E3397C&quot;/&gt;&lt;wsp:rsid wsp:val=&quot;00E33D42&quot;/&gt;&lt;wsp:rsid wsp:val=&quot;00E343CE&quot;/&gt;&lt;wsp:rsid wsp:val=&quot;00E344DA&quot;/&gt;&lt;wsp:rsid wsp:val=&quot;00E3491A&quot;/&gt;&lt;wsp:rsid wsp:val=&quot;00E349B8&quot;/&gt;&lt;wsp:rsid wsp:val=&quot;00E34CA7&quot;/&gt;&lt;wsp:rsid wsp:val=&quot;00E352F7&quot;/&gt;&lt;wsp:rsid wsp:val=&quot;00E353D9&quot;/&gt;&lt;wsp:rsid wsp:val=&quot;00E35D66&quot;/&gt;&lt;wsp:rsid wsp:val=&quot;00E35E4B&quot;/&gt;&lt;wsp:rsid wsp:val=&quot;00E360FF&quot;/&gt;&lt;wsp:rsid wsp:val=&quot;00E3611C&quot;/&gt;&lt;wsp:rsid wsp:val=&quot;00E36230&quot;/&gt;&lt;wsp:rsid wsp:val=&quot;00E3631E&quot;/&gt;&lt;wsp:rsid wsp:val=&quot;00E368E4&quot;/&gt;&lt;wsp:rsid wsp:val=&quot;00E36976&quot;/&gt;&lt;wsp:rsid wsp:val=&quot;00E36BAA&quot;/&gt;&lt;wsp:rsid wsp:val=&quot;00E36CFB&quot;/&gt;&lt;wsp:rsid wsp:val=&quot;00E36D5C&quot;/&gt;&lt;wsp:rsid wsp:val=&quot;00E3715C&quot;/&gt;&lt;wsp:rsid wsp:val=&quot;00E37189&quot;/&gt;&lt;wsp:rsid wsp:val=&quot;00E371DE&quot;/&gt;&lt;wsp:rsid wsp:val=&quot;00E375F3&quot;/&gt;&lt;wsp:rsid wsp:val=&quot;00E376AB&quot;/&gt;&lt;wsp:rsid wsp:val=&quot;00E379D1&quot;/&gt;&lt;wsp:rsid wsp:val=&quot;00E37EC0&quot;/&gt;&lt;wsp:rsid wsp:val=&quot;00E408A8&quot;/&gt;&lt;wsp:rsid wsp:val=&quot;00E40E8C&quot;/&gt;&lt;wsp:rsid wsp:val=&quot;00E41B1C&quot;/&gt;&lt;wsp:rsid wsp:val=&quot;00E41C61&quot;/&gt;&lt;wsp:rsid wsp:val=&quot;00E41C86&quot;/&gt;&lt;wsp:rsid wsp:val=&quot;00E42244&quot;/&gt;&lt;wsp:rsid wsp:val=&quot;00E4230D&quot;/&gt;&lt;wsp:rsid wsp:val=&quot;00E42425&quot;/&gt;&lt;wsp:rsid wsp:val=&quot;00E4251A&quot;/&gt;&lt;wsp:rsid wsp:val=&quot;00E42B3F&quot;/&gt;&lt;wsp:rsid wsp:val=&quot;00E42F92&quot;/&gt;&lt;wsp:rsid wsp:val=&quot;00E4306E&quot;/&gt;&lt;wsp:rsid wsp:val=&quot;00E43143&quot;/&gt;&lt;wsp:rsid wsp:val=&quot;00E4319B&quot;/&gt;&lt;wsp:rsid wsp:val=&quot;00E431C0&quot;/&gt;&lt;wsp:rsid wsp:val=&quot;00E435DB&quot;/&gt;&lt;wsp:rsid wsp:val=&quot;00E438F3&quot;/&gt;&lt;wsp:rsid wsp:val=&quot;00E43E10&quot;/&gt;&lt;wsp:rsid wsp:val=&quot;00E44403&quot;/&gt;&lt;wsp:rsid wsp:val=&quot;00E4459E&quot;/&gt;&lt;wsp:rsid wsp:val=&quot;00E44B2F&quot;/&gt;&lt;wsp:rsid wsp:val=&quot;00E44BB0&quot;/&gt;&lt;wsp:rsid wsp:val=&quot;00E44BD4&quot;/&gt;&lt;wsp:rsid wsp:val=&quot;00E44E92&quot;/&gt;&lt;wsp:rsid wsp:val=&quot;00E44F03&quot;/&gt;&lt;wsp:rsid wsp:val=&quot;00E4550C&quot;/&gt;&lt;wsp:rsid wsp:val=&quot;00E455FF&quot;/&gt;&lt;wsp:rsid wsp:val=&quot;00E45677&quot;/&gt;&lt;wsp:rsid wsp:val=&quot;00E4598D&quot;/&gt;&lt;wsp:rsid wsp:val=&quot;00E45A35&quot;/&gt;&lt;wsp:rsid wsp:val=&quot;00E45E51&quot;/&gt;&lt;wsp:rsid wsp:val=&quot;00E46055&quot;/&gt;&lt;wsp:rsid wsp:val=&quot;00E46079&quot;/&gt;&lt;wsp:rsid wsp:val=&quot;00E46636&quot;/&gt;&lt;wsp:rsid wsp:val=&quot;00E467B0&quot;/&gt;&lt;wsp:rsid wsp:val=&quot;00E46983&quot;/&gt;&lt;wsp:rsid wsp:val=&quot;00E47160&quot;/&gt;&lt;wsp:rsid wsp:val=&quot;00E47596&quot;/&gt;&lt;wsp:rsid wsp:val=&quot;00E4778B&quot;/&gt;&lt;wsp:rsid wsp:val=&quot;00E47A0A&quot;/&gt;&lt;wsp:rsid wsp:val=&quot;00E5045D&quot;/&gt;&lt;wsp:rsid wsp:val=&quot;00E5056B&quot;/&gt;&lt;wsp:rsid wsp:val=&quot;00E50844&quot;/&gt;&lt;wsp:rsid wsp:val=&quot;00E50CB4&quot;/&gt;&lt;wsp:rsid wsp:val=&quot;00E50F14&quot;/&gt;&lt;wsp:rsid wsp:val=&quot;00E5122B&quot;/&gt;&lt;wsp:rsid wsp:val=&quot;00E5129B&quot;/&gt;&lt;wsp:rsid wsp:val=&quot;00E513EC&quot;/&gt;&lt;wsp:rsid wsp:val=&quot;00E51579&quot;/&gt;&lt;wsp:rsid wsp:val=&quot;00E51952&quot;/&gt;&lt;wsp:rsid wsp:val=&quot;00E51B97&quot;/&gt;&lt;wsp:rsid wsp:val=&quot;00E51E7C&quot;/&gt;&lt;wsp:rsid wsp:val=&quot;00E51FD7&quot;/&gt;&lt;wsp:rsid wsp:val=&quot;00E5213D&quot;/&gt;&lt;wsp:rsid wsp:val=&quot;00E5219B&quot;/&gt;&lt;wsp:rsid wsp:val=&quot;00E521BE&quot;/&gt;&lt;wsp:rsid wsp:val=&quot;00E52552&quot;/&gt;&lt;wsp:rsid wsp:val=&quot;00E52B77&quot;/&gt;&lt;wsp:rsid wsp:val=&quot;00E52F14&quot;/&gt;&lt;wsp:rsid wsp:val=&quot;00E5310C&quot;/&gt;&lt;wsp:rsid wsp:val=&quot;00E53438&quot;/&gt;&lt;wsp:rsid wsp:val=&quot;00E54149&quot;/&gt;&lt;wsp:rsid wsp:val=&quot;00E546C4&quot;/&gt;&lt;wsp:rsid wsp:val=&quot;00E548E2&quot;/&gt;&lt;wsp:rsid wsp:val=&quot;00E54DE3&quot;/&gt;&lt;wsp:rsid wsp:val=&quot;00E54F4D&quot;/&gt;&lt;wsp:rsid wsp:val=&quot;00E55287&quot;/&gt;&lt;wsp:rsid wsp:val=&quot;00E55299&quot;/&gt;&lt;wsp:rsid wsp:val=&quot;00E55714&quot;/&gt;&lt;wsp:rsid wsp:val=&quot;00E55985&quot;/&gt;&lt;wsp:rsid wsp:val=&quot;00E55B0C&quot;/&gt;&lt;wsp:rsid wsp:val=&quot;00E55F2F&quot;/&gt;&lt;wsp:rsid wsp:val=&quot;00E560A8&quot;/&gt;&lt;wsp:rsid wsp:val=&quot;00E56390&quot;/&gt;&lt;wsp:rsid wsp:val=&quot;00E56D0D&quot;/&gt;&lt;wsp:rsid wsp:val=&quot;00E572E9&quot;/&gt;&lt;wsp:rsid wsp:val=&quot;00E574AC&quot;/&gt;&lt;wsp:rsid wsp:val=&quot;00E57956&quot;/&gt;&lt;wsp:rsid wsp:val=&quot;00E57C5D&quot;/&gt;&lt;wsp:rsid wsp:val=&quot;00E6016A&quot;/&gt;&lt;wsp:rsid wsp:val=&quot;00E605E6&quot;/&gt;&lt;wsp:rsid wsp:val=&quot;00E60873&quot;/&gt;&lt;wsp:rsid wsp:val=&quot;00E6090C&quot;/&gt;&lt;wsp:rsid wsp:val=&quot;00E609AB&quot;/&gt;&lt;wsp:rsid wsp:val=&quot;00E60BB3&quot;/&gt;&lt;wsp:rsid wsp:val=&quot;00E6105C&quot;/&gt;&lt;wsp:rsid wsp:val=&quot;00E61077&quot;/&gt;&lt;wsp:rsid wsp:val=&quot;00E6123A&quot;/&gt;&lt;wsp:rsid wsp:val=&quot;00E6126C&quot;/&gt;&lt;wsp:rsid wsp:val=&quot;00E614BD&quot;/&gt;&lt;wsp:rsid wsp:val=&quot;00E61CE1&quot;/&gt;&lt;wsp:rsid wsp:val=&quot;00E61EF0&quot;/&gt;&lt;wsp:rsid wsp:val=&quot;00E61F27&quot;/&gt;&lt;wsp:rsid wsp:val=&quot;00E624E9&quot;/&gt;&lt;wsp:rsid wsp:val=&quot;00E6252C&quot;/&gt;&lt;wsp:rsid wsp:val=&quot;00E62570&quot;/&gt;&lt;wsp:rsid wsp:val=&quot;00E629E2&quot;/&gt;&lt;wsp:rsid wsp:val=&quot;00E63481&quot;/&gt;&lt;wsp:rsid wsp:val=&quot;00E63590&quot;/&gt;&lt;wsp:rsid wsp:val=&quot;00E63907&quot;/&gt;&lt;wsp:rsid wsp:val=&quot;00E63A14&quot;/&gt;&lt;wsp:rsid wsp:val=&quot;00E63A34&quot;/&gt;&lt;wsp:rsid wsp:val=&quot;00E63B2E&quot;/&gt;&lt;wsp:rsid wsp:val=&quot;00E646AD&quot;/&gt;&lt;wsp:rsid wsp:val=&quot;00E6471A&quot;/&gt;&lt;wsp:rsid wsp:val=&quot;00E64A13&quot;/&gt;&lt;wsp:rsid wsp:val=&quot;00E64A84&quot;/&gt;&lt;wsp:rsid wsp:val=&quot;00E64B4F&quot;/&gt;&lt;wsp:rsid wsp:val=&quot;00E64D9B&quot;/&gt;&lt;wsp:rsid wsp:val=&quot;00E64F93&quot;/&gt;&lt;wsp:rsid wsp:val=&quot;00E651D6&quot;/&gt;&lt;wsp:rsid wsp:val=&quot;00E654FC&quot;/&gt;&lt;wsp:rsid wsp:val=&quot;00E65612&quot;/&gt;&lt;wsp:rsid wsp:val=&quot;00E65743&quot;/&gt;&lt;wsp:rsid wsp:val=&quot;00E6581C&quot;/&gt;&lt;wsp:rsid wsp:val=&quot;00E65BBB&quot;/&gt;&lt;wsp:rsid wsp:val=&quot;00E65C3D&quot;/&gt;&lt;wsp:rsid wsp:val=&quot;00E6616C&quot;/&gt;&lt;wsp:rsid wsp:val=&quot;00E6643A&quot;/&gt;&lt;wsp:rsid wsp:val=&quot;00E66695&quot;/&gt;&lt;wsp:rsid wsp:val=&quot;00E66A8E&quot;/&gt;&lt;wsp:rsid wsp:val=&quot;00E66B7D&quot;/&gt;&lt;wsp:rsid wsp:val=&quot;00E66D4C&quot;/&gt;&lt;wsp:rsid wsp:val=&quot;00E66D4D&quot;/&gt;&lt;wsp:rsid wsp:val=&quot;00E66E8A&quot;/&gt;&lt;wsp:rsid wsp:val=&quot;00E6750E&quot;/&gt;&lt;wsp:rsid wsp:val=&quot;00E6759D&quot;/&gt;&lt;wsp:rsid wsp:val=&quot;00E6772B&quot;/&gt;&lt;wsp:rsid wsp:val=&quot;00E678F9&quot;/&gt;&lt;wsp:rsid wsp:val=&quot;00E67B4B&quot;/&gt;&lt;wsp:rsid wsp:val=&quot;00E7000C&quot;/&gt;&lt;wsp:rsid wsp:val=&quot;00E706FA&quot;/&gt;&lt;wsp:rsid wsp:val=&quot;00E707F8&quot;/&gt;&lt;wsp:rsid wsp:val=&quot;00E713E0&quot;/&gt;&lt;wsp:rsid wsp:val=&quot;00E7152F&quot;/&gt;&lt;wsp:rsid wsp:val=&quot;00E71D13&quot;/&gt;&lt;wsp:rsid wsp:val=&quot;00E71EA7&quot;/&gt;&lt;wsp:rsid wsp:val=&quot;00E7208C&quot;/&gt;&lt;wsp:rsid wsp:val=&quot;00E721CE&quot;/&gt;&lt;wsp:rsid wsp:val=&quot;00E7293A&quot;/&gt;&lt;wsp:rsid wsp:val=&quot;00E72DDA&quot;/&gt;&lt;wsp:rsid wsp:val=&quot;00E72F61&quot;/&gt;&lt;wsp:rsid wsp:val=&quot;00E73885&quot;/&gt;&lt;wsp:rsid wsp:val=&quot;00E73CA7&quot;/&gt;&lt;wsp:rsid wsp:val=&quot;00E742D9&quot;/&gt;&lt;wsp:rsid wsp:val=&quot;00E74854&quot;/&gt;&lt;wsp:rsid wsp:val=&quot;00E748FD&quot;/&gt;&lt;wsp:rsid wsp:val=&quot;00E74DF5&quot;/&gt;&lt;wsp:rsid wsp:val=&quot;00E74ECB&quot;/&gt;&lt;wsp:rsid wsp:val=&quot;00E75347&quot;/&gt;&lt;wsp:rsid wsp:val=&quot;00E75766&quot;/&gt;&lt;wsp:rsid wsp:val=&quot;00E75AF9&quot;/&gt;&lt;wsp:rsid wsp:val=&quot;00E75B4C&quot;/&gt;&lt;wsp:rsid wsp:val=&quot;00E75BC5&quot;/&gt;&lt;wsp:rsid wsp:val=&quot;00E75C95&quot;/&gt;&lt;wsp:rsid wsp:val=&quot;00E76086&quot;/&gt;&lt;wsp:rsid wsp:val=&quot;00E763C9&quot;/&gt;&lt;wsp:rsid wsp:val=&quot;00E76AB5&quot;/&gt;&lt;wsp:rsid wsp:val=&quot;00E76BB2&quot;/&gt;&lt;wsp:rsid wsp:val=&quot;00E76E06&quot;/&gt;&lt;wsp:rsid wsp:val=&quot;00E775A5&quot;/&gt;&lt;wsp:rsid wsp:val=&quot;00E77BBA&quot;/&gt;&lt;wsp:rsid wsp:val=&quot;00E77D22&quot;/&gt;&lt;wsp:rsid wsp:val=&quot;00E77F4D&quot;/&gt;&lt;wsp:rsid wsp:val=&quot;00E8009A&quot;/&gt;&lt;wsp:rsid wsp:val=&quot;00E8096C&quot;/&gt;&lt;wsp:rsid wsp:val=&quot;00E814AB&quot;/&gt;&lt;wsp:rsid wsp:val=&quot;00E81E23&quot;/&gt;&lt;wsp:rsid wsp:val=&quot;00E81EE8&quot;/&gt;&lt;wsp:rsid wsp:val=&quot;00E821AE&quot;/&gt;&lt;wsp:rsid wsp:val=&quot;00E82D72&quot;/&gt;&lt;wsp:rsid wsp:val=&quot;00E832EF&quot;/&gt;&lt;wsp:rsid wsp:val=&quot;00E8379A&quot;/&gt;&lt;wsp:rsid wsp:val=&quot;00E83D45&quot;/&gt;&lt;wsp:rsid wsp:val=&quot;00E842A7&quot;/&gt;&lt;wsp:rsid wsp:val=&quot;00E84ACA&quot;/&gt;&lt;wsp:rsid wsp:val=&quot;00E84CA0&quot;/&gt;&lt;wsp:rsid wsp:val=&quot;00E84CA5&quot;/&gt;&lt;wsp:rsid wsp:val=&quot;00E851D6&quot;/&gt;&lt;wsp:rsid wsp:val=&quot;00E85474&quot;/&gt;&lt;wsp:rsid wsp:val=&quot;00E857D7&quot;/&gt;&lt;wsp:rsid wsp:val=&quot;00E85B41&quot;/&gt;&lt;wsp:rsid wsp:val=&quot;00E85F55&quot;/&gt;&lt;wsp:rsid wsp:val=&quot;00E85FC7&quot;/&gt;&lt;wsp:rsid wsp:val=&quot;00E86086&quot;/&gt;&lt;wsp:rsid wsp:val=&quot;00E86E29&quot;/&gt;&lt;wsp:rsid wsp:val=&quot;00E8751B&quot;/&gt;&lt;wsp:rsid wsp:val=&quot;00E87611&quot;/&gt;&lt;wsp:rsid wsp:val=&quot;00E87F79&quot;/&gt;&lt;wsp:rsid wsp:val=&quot;00E904CE&quot;/&gt;&lt;wsp:rsid wsp:val=&quot;00E90538&quot;/&gt;&lt;wsp:rsid wsp:val=&quot;00E90753&quot;/&gt;&lt;wsp:rsid wsp:val=&quot;00E91093&quot;/&gt;&lt;wsp:rsid wsp:val=&quot;00E910EC&quot;/&gt;&lt;wsp:rsid wsp:val=&quot;00E91341&quot;/&gt;&lt;wsp:rsid wsp:val=&quot;00E91899&quot;/&gt;&lt;wsp:rsid wsp:val=&quot;00E9205E&quot;/&gt;&lt;wsp:rsid wsp:val=&quot;00E921A2&quot;/&gt;&lt;wsp:rsid wsp:val=&quot;00E924FF&quot;/&gt;&lt;wsp:rsid wsp:val=&quot;00E932F1&quot;/&gt;&lt;wsp:rsid wsp:val=&quot;00E939CA&quot;/&gt;&lt;wsp:rsid wsp:val=&quot;00E93C91&quot;/&gt;&lt;wsp:rsid wsp:val=&quot;00E93F4B&quot;/&gt;&lt;wsp:rsid wsp:val=&quot;00E941EC&quot;/&gt;&lt;wsp:rsid wsp:val=&quot;00E94910&quot;/&gt;&lt;wsp:rsid wsp:val=&quot;00E94B53&quot;/&gt;&lt;wsp:rsid wsp:val=&quot;00E94DCE&quot;/&gt;&lt;wsp:rsid wsp:val=&quot;00E94DFA&quot;/&gt;&lt;wsp:rsid wsp:val=&quot;00E94E86&quot;/&gt;&lt;wsp:rsid wsp:val=&quot;00E9518C&quot;/&gt;&lt;wsp:rsid wsp:val=&quot;00E951C0&quot;/&gt;&lt;wsp:rsid wsp:val=&quot;00E952A0&quot;/&gt;&lt;wsp:rsid wsp:val=&quot;00E95571&quot;/&gt;&lt;wsp:rsid wsp:val=&quot;00E955EA&quot;/&gt;&lt;wsp:rsid wsp:val=&quot;00E960BD&quot;/&gt;&lt;wsp:rsid wsp:val=&quot;00E964D1&quot;/&gt;&lt;wsp:rsid wsp:val=&quot;00E96552&quot;/&gt;&lt;wsp:rsid wsp:val=&quot;00E96B7A&quot;/&gt;&lt;wsp:rsid wsp:val=&quot;00E96F4E&quot;/&gt;&lt;wsp:rsid wsp:val=&quot;00E97B42&quot;/&gt;&lt;wsp:rsid wsp:val=&quot;00E97EB7&quot;/&gt;&lt;wsp:rsid wsp:val=&quot;00EA008A&quot;/&gt;&lt;wsp:rsid wsp:val=&quot;00EA0622&quot;/&gt;&lt;wsp:rsid wsp:val=&quot;00EA0A20&quot;/&gt;&lt;wsp:rsid wsp:val=&quot;00EA0A62&quot;/&gt;&lt;wsp:rsid wsp:val=&quot;00EA0A7C&quot;/&gt;&lt;wsp:rsid wsp:val=&quot;00EA0C0E&quot;/&gt;&lt;wsp:rsid wsp:val=&quot;00EA0FB2&quot;/&gt;&lt;wsp:rsid wsp:val=&quot;00EA11C8&quot;/&gt;&lt;wsp:rsid wsp:val=&quot;00EA1508&quot;/&gt;&lt;wsp:rsid wsp:val=&quot;00EA16F8&quot;/&gt;&lt;wsp:rsid wsp:val=&quot;00EA1920&quot;/&gt;&lt;wsp:rsid wsp:val=&quot;00EA1B80&quot;/&gt;&lt;wsp:rsid wsp:val=&quot;00EA1CCE&quot;/&gt;&lt;wsp:rsid wsp:val=&quot;00EA1D6D&quot;/&gt;&lt;wsp:rsid wsp:val=&quot;00EA1DB9&quot;/&gt;&lt;wsp:rsid wsp:val=&quot;00EA2EED&quot;/&gt;&lt;wsp:rsid wsp:val=&quot;00EA3084&quot;/&gt;&lt;wsp:rsid wsp:val=&quot;00EA3C9C&quot;/&gt;&lt;wsp:rsid wsp:val=&quot;00EA3EAD&quot;/&gt;&lt;wsp:rsid wsp:val=&quot;00EA3ECD&quot;/&gt;&lt;wsp:rsid wsp:val=&quot;00EA46CB&quot;/&gt;&lt;wsp:rsid wsp:val=&quot;00EA4758&quot;/&gt;&lt;wsp:rsid wsp:val=&quot;00EA47F2&quot;/&gt;&lt;wsp:rsid wsp:val=&quot;00EA4A67&quot;/&gt;&lt;wsp:rsid wsp:val=&quot;00EA4D1B&quot;/&gt;&lt;wsp:rsid wsp:val=&quot;00EA4F72&quot;/&gt;&lt;wsp:rsid wsp:val=&quot;00EA53C1&quot;/&gt;&lt;wsp:rsid wsp:val=&quot;00EA57CD&quot;/&gt;&lt;wsp:rsid wsp:val=&quot;00EA5AB4&quot;/&gt;&lt;wsp:rsid wsp:val=&quot;00EA5B0F&quot;/&gt;&lt;wsp:rsid wsp:val=&quot;00EA6801&quot;/&gt;&lt;wsp:rsid wsp:val=&quot;00EA682A&quot;/&gt;&lt;wsp:rsid wsp:val=&quot;00EA72CD&quot;/&gt;&lt;wsp:rsid wsp:val=&quot;00EA740E&quot;/&gt;&lt;wsp:rsid wsp:val=&quot;00EA7C1D&quot;/&gt;&lt;wsp:rsid wsp:val=&quot;00EA7E2B&quot;/&gt;&lt;wsp:rsid wsp:val=&quot;00EB0220&quot;/&gt;&lt;wsp:rsid wsp:val=&quot;00EB03FF&quot;/&gt;&lt;wsp:rsid wsp:val=&quot;00EB048D&quot;/&gt;&lt;wsp:rsid wsp:val=&quot;00EB051C&quot;/&gt;&lt;wsp:rsid wsp:val=&quot;00EB13F2&quot;/&gt;&lt;wsp:rsid wsp:val=&quot;00EB1444&quot;/&gt;&lt;wsp:rsid wsp:val=&quot;00EB1A6B&quot;/&gt;&lt;wsp:rsid wsp:val=&quot;00EB2F23&quot;/&gt;&lt;wsp:rsid wsp:val=&quot;00EB3208&quot;/&gt;&lt;wsp:rsid wsp:val=&quot;00EB3D15&quot;/&gt;&lt;wsp:rsid wsp:val=&quot;00EB3D97&quot;/&gt;&lt;wsp:rsid wsp:val=&quot;00EB42BA&quot;/&gt;&lt;wsp:rsid wsp:val=&quot;00EB434F&quot;/&gt;&lt;wsp:rsid wsp:val=&quot;00EB43DE&quot;/&gt;&lt;wsp:rsid wsp:val=&quot;00EB46C9&quot;/&gt;&lt;wsp:rsid wsp:val=&quot;00EB55FB&quot;/&gt;&lt;wsp:rsid wsp:val=&quot;00EB5B27&quot;/&gt;&lt;wsp:rsid wsp:val=&quot;00EB5CD1&quot;/&gt;&lt;wsp:rsid wsp:val=&quot;00EB5EE6&quot;/&gt;&lt;wsp:rsid wsp:val=&quot;00EB6FD3&quot;/&gt;&lt;wsp:rsid wsp:val=&quot;00EB7AC5&quot;/&gt;&lt;wsp:rsid wsp:val=&quot;00EC03A0&quot;/&gt;&lt;wsp:rsid wsp:val=&quot;00EC042C&quot;/&gt;&lt;wsp:rsid wsp:val=&quot;00EC05FB&quot;/&gt;&lt;wsp:rsid wsp:val=&quot;00EC09D2&quot;/&gt;&lt;wsp:rsid wsp:val=&quot;00EC0BB0&quot;/&gt;&lt;wsp:rsid wsp:val=&quot;00EC0D7E&quot;/&gt;&lt;wsp:rsid wsp:val=&quot;00EC0F4A&quot;/&gt;&lt;wsp:rsid wsp:val=&quot;00EC166D&quot;/&gt;&lt;wsp:rsid wsp:val=&quot;00EC1C8B&quot;/&gt;&lt;wsp:rsid wsp:val=&quot;00EC2080&quot;/&gt;&lt;wsp:rsid wsp:val=&quot;00EC209C&quot;/&gt;&lt;wsp:rsid wsp:val=&quot;00EC20D6&quot;/&gt;&lt;wsp:rsid wsp:val=&quot;00EC226E&quot;/&gt;&lt;wsp:rsid wsp:val=&quot;00EC2273&quot;/&gt;&lt;wsp:rsid wsp:val=&quot;00EC24D4&quot;/&gt;&lt;wsp:rsid wsp:val=&quot;00EC254D&quot;/&gt;&lt;wsp:rsid wsp:val=&quot;00EC25D1&quot;/&gt;&lt;wsp:rsid wsp:val=&quot;00EC26F3&quot;/&gt;&lt;wsp:rsid wsp:val=&quot;00EC28C1&quot;/&gt;&lt;wsp:rsid wsp:val=&quot;00EC2B08&quot;/&gt;&lt;wsp:rsid wsp:val=&quot;00EC2B9B&quot;/&gt;&lt;wsp:rsid wsp:val=&quot;00EC2D59&quot;/&gt;&lt;wsp:rsid wsp:val=&quot;00EC2FC8&quot;/&gt;&lt;wsp:rsid wsp:val=&quot;00EC2FF7&quot;/&gt;&lt;wsp:rsid wsp:val=&quot;00EC35E1&quot;/&gt;&lt;wsp:rsid wsp:val=&quot;00EC3CA8&quot;/&gt;&lt;wsp:rsid wsp:val=&quot;00EC3CC4&quot;/&gt;&lt;wsp:rsid wsp:val=&quot;00EC3EC4&quot;/&gt;&lt;wsp:rsid wsp:val=&quot;00EC41DD&quot;/&gt;&lt;wsp:rsid wsp:val=&quot;00EC4332&quot;/&gt;&lt;wsp:rsid wsp:val=&quot;00EC43A5&quot;/&gt;&lt;wsp:rsid wsp:val=&quot;00EC43C6&quot;/&gt;&lt;wsp:rsid wsp:val=&quot;00EC453F&quot;/&gt;&lt;wsp:rsid wsp:val=&quot;00EC4945&quot;/&gt;&lt;wsp:rsid wsp:val=&quot;00EC4BB0&quot;/&gt;&lt;wsp:rsid wsp:val=&quot;00EC4C52&quot;/&gt;&lt;wsp:rsid wsp:val=&quot;00EC4D27&quot;/&gt;&lt;wsp:rsid wsp:val=&quot;00EC4F43&quot;/&gt;&lt;wsp:rsid wsp:val=&quot;00EC5044&quot;/&gt;&lt;wsp:rsid wsp:val=&quot;00EC5293&quot;/&gt;&lt;wsp:rsid wsp:val=&quot;00EC52D4&quot;/&gt;&lt;wsp:rsid wsp:val=&quot;00EC53D6&quot;/&gt;&lt;wsp:rsid wsp:val=&quot;00EC5570&quot;/&gt;&lt;wsp:rsid wsp:val=&quot;00EC5578&quot;/&gt;&lt;wsp:rsid wsp:val=&quot;00EC56B2&quot;/&gt;&lt;wsp:rsid wsp:val=&quot;00EC61BB&quot;/&gt;&lt;wsp:rsid wsp:val=&quot;00EC63AA&quot;/&gt;&lt;wsp:rsid wsp:val=&quot;00EC6858&quot;/&gt;&lt;wsp:rsid wsp:val=&quot;00EC7E56&quot;/&gt;&lt;wsp:rsid wsp:val=&quot;00ED047E&quot;/&gt;&lt;wsp:rsid wsp:val=&quot;00ED0561&quot;/&gt;&lt;wsp:rsid wsp:val=&quot;00ED0BA1&quot;/&gt;&lt;wsp:rsid wsp:val=&quot;00ED0BD8&quot;/&gt;&lt;wsp:rsid wsp:val=&quot;00ED1468&quot;/&gt;&lt;wsp:rsid wsp:val=&quot;00ED166F&quot;/&gt;&lt;wsp:rsid wsp:val=&quot;00ED17B3&quot;/&gt;&lt;wsp:rsid wsp:val=&quot;00ED1C2A&quot;/&gt;&lt;wsp:rsid wsp:val=&quot;00ED21DA&quot;/&gt;&lt;wsp:rsid wsp:val=&quot;00ED2269&quot;/&gt;&lt;wsp:rsid wsp:val=&quot;00ED2590&quot;/&gt;&lt;wsp:rsid wsp:val=&quot;00ED2734&quot;/&gt;&lt;wsp:rsid wsp:val=&quot;00ED2921&quot;/&gt;&lt;wsp:rsid wsp:val=&quot;00ED3167&quot;/&gt;&lt;wsp:rsid wsp:val=&quot;00ED35D4&quot;/&gt;&lt;wsp:rsid wsp:val=&quot;00ED3625&quot;/&gt;&lt;wsp:rsid wsp:val=&quot;00ED3641&quot;/&gt;&lt;wsp:rsid wsp:val=&quot;00ED3669&quot;/&gt;&lt;wsp:rsid wsp:val=&quot;00ED3815&quot;/&gt;&lt;wsp:rsid wsp:val=&quot;00ED3855&quot;/&gt;&lt;wsp:rsid wsp:val=&quot;00ED3DD5&quot;/&gt;&lt;wsp:rsid wsp:val=&quot;00ED4170&quot;/&gt;&lt;wsp:rsid wsp:val=&quot;00ED4A85&quot;/&gt;&lt;wsp:rsid wsp:val=&quot;00ED4C0F&quot;/&gt;&lt;wsp:rsid wsp:val=&quot;00ED4DF4&quot;/&gt;&lt;wsp:rsid wsp:val=&quot;00ED51D0&quot;/&gt;&lt;wsp:rsid wsp:val=&quot;00ED52CD&quot;/&gt;&lt;wsp:rsid wsp:val=&quot;00ED6325&quot;/&gt;&lt;wsp:rsid wsp:val=&quot;00ED6DD9&quot;/&gt;&lt;wsp:rsid wsp:val=&quot;00ED6DFA&quot;/&gt;&lt;wsp:rsid wsp:val=&quot;00ED7202&quot;/&gt;&lt;wsp:rsid wsp:val=&quot;00ED7278&quot;/&gt;&lt;wsp:rsid wsp:val=&quot;00ED77C7&quot;/&gt;&lt;wsp:rsid wsp:val=&quot;00ED79A5&quot;/&gt;&lt;wsp:rsid wsp:val=&quot;00ED79B9&quot;/&gt;&lt;wsp:rsid wsp:val=&quot;00ED7CE8&quot;/&gt;&lt;wsp:rsid wsp:val=&quot;00EE0012&quot;/&gt;&lt;wsp:rsid wsp:val=&quot;00EE0289&quot;/&gt;&lt;wsp:rsid wsp:val=&quot;00EE0771&quot;/&gt;&lt;wsp:rsid wsp:val=&quot;00EE0B99&quot;/&gt;&lt;wsp:rsid wsp:val=&quot;00EE1305&quot;/&gt;&lt;wsp:rsid wsp:val=&quot;00EE1534&quot;/&gt;&lt;wsp:rsid wsp:val=&quot;00EE170F&quot;/&gt;&lt;wsp:rsid wsp:val=&quot;00EE22B5&quot;/&gt;&lt;wsp:rsid wsp:val=&quot;00EE2F95&quot;/&gt;&lt;wsp:rsid wsp:val=&quot;00EE42B5&quot;/&gt;&lt;wsp:rsid wsp:val=&quot;00EE4B84&quot;/&gt;&lt;wsp:rsid wsp:val=&quot;00EE5377&quot;/&gt;&lt;wsp:rsid wsp:val=&quot;00EE54C8&quot;/&gt;&lt;wsp:rsid wsp:val=&quot;00EE560E&quot;/&gt;&lt;wsp:rsid wsp:val=&quot;00EE57F7&quot;/&gt;&lt;wsp:rsid wsp:val=&quot;00EE5ADB&quot;/&gt;&lt;wsp:rsid wsp:val=&quot;00EE5B70&quot;/&gt;&lt;wsp:rsid wsp:val=&quot;00EE5CA9&quot;/&gt;&lt;wsp:rsid wsp:val=&quot;00EE5D08&quot;/&gt;&lt;wsp:rsid wsp:val=&quot;00EE5E7A&quot;/&gt;&lt;wsp:rsid wsp:val=&quot;00EE6247&quot;/&gt;&lt;wsp:rsid wsp:val=&quot;00EE66E8&quot;/&gt;&lt;wsp:rsid wsp:val=&quot;00EE6794&quot;/&gt;&lt;wsp:rsid wsp:val=&quot;00EE6F09&quot;/&gt;&lt;wsp:rsid wsp:val=&quot;00EE703F&quot;/&gt;&lt;wsp:rsid wsp:val=&quot;00EE769A&quot;/&gt;&lt;wsp:rsid wsp:val=&quot;00EE7A07&quot;/&gt;&lt;wsp:rsid wsp:val=&quot;00EE7A8A&quot;/&gt;&lt;wsp:rsid wsp:val=&quot;00EE7B58&quot;/&gt;&lt;wsp:rsid wsp:val=&quot;00EE7C58&quot;/&gt;&lt;wsp:rsid wsp:val=&quot;00EE7D33&quot;/&gt;&lt;wsp:rsid wsp:val=&quot;00EF009B&quot;/&gt;&lt;wsp:rsid wsp:val=&quot;00EF05CB&quot;/&gt;&lt;wsp:rsid wsp:val=&quot;00EF0A27&quot;/&gt;&lt;wsp:rsid wsp:val=&quot;00EF0C5F&quot;/&gt;&lt;wsp:rsid wsp:val=&quot;00EF12B0&quot;/&gt;&lt;wsp:rsid wsp:val=&quot;00EF1519&quot;/&gt;&lt;wsp:rsid wsp:val=&quot;00EF1B12&quot;/&gt;&lt;wsp:rsid wsp:val=&quot;00EF22E0&quot;/&gt;&lt;wsp:rsid wsp:val=&quot;00EF2300&quot;/&gt;&lt;wsp:rsid wsp:val=&quot;00EF234D&quot;/&gt;&lt;wsp:rsid wsp:val=&quot;00EF2557&quot;/&gt;&lt;wsp:rsid wsp:val=&quot;00EF2C3F&quot;/&gt;&lt;wsp:rsid wsp:val=&quot;00EF30CB&quot;/&gt;&lt;wsp:rsid wsp:val=&quot;00EF3151&quot;/&gt;&lt;wsp:rsid wsp:val=&quot;00EF3173&quot;/&gt;&lt;wsp:rsid wsp:val=&quot;00EF331D&quot;/&gt;&lt;wsp:rsid wsp:val=&quot;00EF3355&quot;/&gt;&lt;wsp:rsid wsp:val=&quot;00EF3521&quot;/&gt;&lt;wsp:rsid wsp:val=&quot;00EF3AD9&quot;/&gt;&lt;wsp:rsid wsp:val=&quot;00EF3CC0&quot;/&gt;&lt;wsp:rsid wsp:val=&quot;00EF3D69&quot;/&gt;&lt;wsp:rsid wsp:val=&quot;00EF3E7F&quot;/&gt;&lt;wsp:rsid wsp:val=&quot;00EF3EE3&quot;/&gt;&lt;wsp:rsid wsp:val=&quot;00EF40AE&quot;/&gt;&lt;wsp:rsid wsp:val=&quot;00EF4228&quot;/&gt;&lt;wsp:rsid wsp:val=&quot;00EF4415&quot;/&gt;&lt;wsp:rsid wsp:val=&quot;00EF4AD3&quot;/&gt;&lt;wsp:rsid wsp:val=&quot;00EF4C3A&quot;/&gt;&lt;wsp:rsid wsp:val=&quot;00EF5180&quot;/&gt;&lt;wsp:rsid wsp:val=&quot;00EF5299&quot;/&gt;&lt;wsp:rsid wsp:val=&quot;00EF541D&quot;/&gt;&lt;wsp:rsid wsp:val=&quot;00EF5422&quot;/&gt;&lt;wsp:rsid wsp:val=&quot;00EF55FC&quot;/&gt;&lt;wsp:rsid wsp:val=&quot;00EF5804&quot;/&gt;&lt;wsp:rsid wsp:val=&quot;00EF59F0&quot;/&gt;&lt;wsp:rsid wsp:val=&quot;00EF5ECB&quot;/&gt;&lt;wsp:rsid wsp:val=&quot;00EF60E3&quot;/&gt;&lt;wsp:rsid wsp:val=&quot;00EF65E7&quot;/&gt;&lt;wsp:rsid wsp:val=&quot;00EF673E&quot;/&gt;&lt;wsp:rsid wsp:val=&quot;00EF678C&quot;/&gt;&lt;wsp:rsid wsp:val=&quot;00EF6B9A&quot;/&gt;&lt;wsp:rsid wsp:val=&quot;00EF70AF&quot;/&gt;&lt;wsp:rsid wsp:val=&quot;00EF7734&quot;/&gt;&lt;wsp:rsid wsp:val=&quot;00EF7A85&quot;/&gt;&lt;wsp:rsid wsp:val=&quot;00EF7DA7&quot;/&gt;&lt;wsp:rsid wsp:val=&quot;00EF7F6D&quot;/&gt;&lt;wsp:rsid wsp:val=&quot;00F0035F&quot;/&gt;&lt;wsp:rsid wsp:val=&quot;00F004A9&quot;/&gt;&lt;wsp:rsid wsp:val=&quot;00F0088E&quot;/&gt;&lt;wsp:rsid wsp:val=&quot;00F00996&quot;/&gt;&lt;wsp:rsid wsp:val=&quot;00F00F21&quot;/&gt;&lt;wsp:rsid wsp:val=&quot;00F0144B&quot;/&gt;&lt;wsp:rsid wsp:val=&quot;00F01C83&quot;/&gt;&lt;wsp:rsid wsp:val=&quot;00F01DFC&quot;/&gt;&lt;wsp:rsid wsp:val=&quot;00F01FD5&quot;/&gt;&lt;wsp:rsid wsp:val=&quot;00F02358&quot;/&gt;&lt;wsp:rsid wsp:val=&quot;00F02432&quot;/&gt;&lt;wsp:rsid wsp:val=&quot;00F02483&quot;/&gt;&lt;wsp:rsid wsp:val=&quot;00F025F2&quot;/&gt;&lt;wsp:rsid wsp:val=&quot;00F026D8&quot;/&gt;&lt;wsp:rsid wsp:val=&quot;00F02774&quot;/&gt;&lt;wsp:rsid wsp:val=&quot;00F027A9&quot;/&gt;&lt;wsp:rsid wsp:val=&quot;00F0286E&quot;/&gt;&lt;wsp:rsid wsp:val=&quot;00F02B1B&quot;/&gt;&lt;wsp:rsid wsp:val=&quot;00F02DD4&quot;/&gt;&lt;wsp:rsid wsp:val=&quot;00F02DEE&quot;/&gt;&lt;wsp:rsid wsp:val=&quot;00F0359C&quot;/&gt;&lt;wsp:rsid wsp:val=&quot;00F03916&quot;/&gt;&lt;wsp:rsid wsp:val=&quot;00F03B59&quot;/&gt;&lt;wsp:rsid wsp:val=&quot;00F045D3&quot;/&gt;&lt;wsp:rsid wsp:val=&quot;00F049A0&quot;/&gt;&lt;wsp:rsid wsp:val=&quot;00F04A75&quot;/&gt;&lt;wsp:rsid wsp:val=&quot;00F04BDD&quot;/&gt;&lt;wsp:rsid wsp:val=&quot;00F04E08&quot;/&gt;&lt;wsp:rsid wsp:val=&quot;00F054BD&quot;/&gt;&lt;wsp:rsid wsp:val=&quot;00F057FE&quot;/&gt;&lt;wsp:rsid wsp:val=&quot;00F05D3A&quot;/&gt;&lt;wsp:rsid wsp:val=&quot;00F05E2B&quot;/&gt;&lt;wsp:rsid wsp:val=&quot;00F06E64&quot;/&gt;&lt;wsp:rsid wsp:val=&quot;00F0727B&quot;/&gt;&lt;wsp:rsid wsp:val=&quot;00F074A9&quot;/&gt;&lt;wsp:rsid wsp:val=&quot;00F0755B&quot;/&gt;&lt;wsp:rsid wsp:val=&quot;00F07834&quot;/&gt;&lt;wsp:rsid wsp:val=&quot;00F07C3E&quot;/&gt;&lt;wsp:rsid wsp:val=&quot;00F07F57&quot;/&gt;&lt;wsp:rsid wsp:val=&quot;00F10726&quot;/&gt;&lt;wsp:rsid wsp:val=&quot;00F109A9&quot;/&gt;&lt;wsp:rsid wsp:val=&quot;00F11004&quot;/&gt;&lt;wsp:rsid wsp:val=&quot;00F1123F&quot;/&gt;&lt;wsp:rsid wsp:val=&quot;00F11260&quot;/&gt;&lt;wsp:rsid wsp:val=&quot;00F1126B&quot;/&gt;&lt;wsp:rsid wsp:val=&quot;00F11280&quot;/&gt;&lt;wsp:rsid wsp:val=&quot;00F11782&quot;/&gt;&lt;wsp:rsid wsp:val=&quot;00F11AA8&quot;/&gt;&lt;wsp:rsid wsp:val=&quot;00F11F8D&quot;/&gt;&lt;wsp:rsid wsp:val=&quot;00F12000&quot;/&gt;&lt;wsp:rsid wsp:val=&quot;00F1226F&quot;/&gt;&lt;wsp:rsid wsp:val=&quot;00F1245B&quot;/&gt;&lt;wsp:rsid wsp:val=&quot;00F12540&quot;/&gt;&lt;wsp:rsid wsp:val=&quot;00F1290E&quot;/&gt;&lt;wsp:rsid wsp:val=&quot;00F12BF6&quot;/&gt;&lt;wsp:rsid wsp:val=&quot;00F12F98&quot;/&gt;&lt;wsp:rsid wsp:val=&quot;00F13075&quot;/&gt;&lt;wsp:rsid wsp:val=&quot;00F132A2&quot;/&gt;&lt;wsp:rsid wsp:val=&quot;00F134AF&quot;/&gt;&lt;wsp:rsid wsp:val=&quot;00F13608&quot;/&gt;&lt;wsp:rsid wsp:val=&quot;00F13713&quot;/&gt;&lt;wsp:rsid wsp:val=&quot;00F13AB4&quot;/&gt;&lt;wsp:rsid wsp:val=&quot;00F13C47&quot;/&gt;&lt;wsp:rsid wsp:val=&quot;00F13DB9&quot;/&gt;&lt;wsp:rsid wsp:val=&quot;00F1491B&quot;/&gt;&lt;wsp:rsid wsp:val=&quot;00F14BE6&quot;/&gt;&lt;wsp:rsid wsp:val=&quot;00F153D9&quot;/&gt;&lt;wsp:rsid wsp:val=&quot;00F1544B&quot;/&gt;&lt;wsp:rsid wsp:val=&quot;00F15C05&quot;/&gt;&lt;wsp:rsid wsp:val=&quot;00F15C95&quot;/&gt;&lt;wsp:rsid wsp:val=&quot;00F15D94&quot;/&gt;&lt;wsp:rsid wsp:val=&quot;00F162B0&quot;/&gt;&lt;wsp:rsid wsp:val=&quot;00F16509&quot;/&gt;&lt;wsp:rsid wsp:val=&quot;00F165E8&quot;/&gt;&lt;wsp:rsid wsp:val=&quot;00F16982&quot;/&gt;&lt;wsp:rsid wsp:val=&quot;00F16BBE&quot;/&gt;&lt;wsp:rsid wsp:val=&quot;00F16BE5&quot;/&gt;&lt;wsp:rsid wsp:val=&quot;00F16E3B&quot;/&gt;&lt;wsp:rsid wsp:val=&quot;00F16EBC&quot;/&gt;&lt;wsp:rsid wsp:val=&quot;00F171E9&quot;/&gt;&lt;wsp:rsid wsp:val=&quot;00F17511&quot;/&gt;&lt;wsp:rsid wsp:val=&quot;00F17CED&quot;/&gt;&lt;wsp:rsid wsp:val=&quot;00F20399&quot;/&gt;&lt;wsp:rsid wsp:val=&quot;00F20586&quot;/&gt;&lt;wsp:rsid wsp:val=&quot;00F2069C&quot;/&gt;&lt;wsp:rsid wsp:val=&quot;00F20991&quot;/&gt;&lt;wsp:rsid wsp:val=&quot;00F209DC&quot;/&gt;&lt;wsp:rsid wsp:val=&quot;00F20B5D&quot;/&gt;&lt;wsp:rsid wsp:val=&quot;00F2119F&quot;/&gt;&lt;wsp:rsid wsp:val=&quot;00F214C8&quot;/&gt;&lt;wsp:rsid wsp:val=&quot;00F217BB&quot;/&gt;&lt;wsp:rsid wsp:val=&quot;00F21BB3&quot;/&gt;&lt;wsp:rsid wsp:val=&quot;00F220BD&quot;/&gt;&lt;wsp:rsid wsp:val=&quot;00F22245&quot;/&gt;&lt;wsp:rsid wsp:val=&quot;00F22432&quot;/&gt;&lt;wsp:rsid wsp:val=&quot;00F22D42&quot;/&gt;&lt;wsp:rsid wsp:val=&quot;00F22D63&quot;/&gt;&lt;wsp:rsid wsp:val=&quot;00F23926&quot;/&gt;&lt;wsp:rsid wsp:val=&quot;00F23988&quot;/&gt;&lt;wsp:rsid wsp:val=&quot;00F239DB&quot;/&gt;&lt;wsp:rsid wsp:val=&quot;00F248B6&quot;/&gt;&lt;wsp:rsid wsp:val=&quot;00F25BA1&quot;/&gt;&lt;wsp:rsid wsp:val=&quot;00F25F4F&quot;/&gt;&lt;wsp:rsid wsp:val=&quot;00F25F66&quot;/&gt;&lt;wsp:rsid wsp:val=&quot;00F26186&quot;/&gt;&lt;wsp:rsid wsp:val=&quot;00F26946&quot;/&gt;&lt;wsp:rsid wsp:val=&quot;00F2697D&quot;/&gt;&lt;wsp:rsid wsp:val=&quot;00F26E0B&quot;/&gt;&lt;wsp:rsid wsp:val=&quot;00F26FC9&quot;/&gt;&lt;wsp:rsid wsp:val=&quot;00F270EB&quot;/&gt;&lt;wsp:rsid wsp:val=&quot;00F276A7&quot;/&gt;&lt;wsp:rsid wsp:val=&quot;00F27FFC&quot;/&gt;&lt;wsp:rsid wsp:val=&quot;00F306BB&quot;/&gt;&lt;wsp:rsid wsp:val=&quot;00F30864&quot;/&gt;&lt;wsp:rsid wsp:val=&quot;00F30DB2&quot;/&gt;&lt;wsp:rsid wsp:val=&quot;00F30E0A&quot;/&gt;&lt;wsp:rsid wsp:val=&quot;00F30E1F&quot;/&gt;&lt;wsp:rsid wsp:val=&quot;00F30E53&quot;/&gt;&lt;wsp:rsid wsp:val=&quot;00F30ECA&quot;/&gt;&lt;wsp:rsid wsp:val=&quot;00F30F2F&quot;/&gt;&lt;wsp:rsid wsp:val=&quot;00F3114F&quot;/&gt;&lt;wsp:rsid wsp:val=&quot;00F31374&quot;/&gt;&lt;wsp:rsid wsp:val=&quot;00F31531&quot;/&gt;&lt;wsp:rsid wsp:val=&quot;00F315FD&quot;/&gt;&lt;wsp:rsid wsp:val=&quot;00F32CC9&quot;/&gt;&lt;wsp:rsid wsp:val=&quot;00F32D06&quot;/&gt;&lt;wsp:rsid wsp:val=&quot;00F32F61&quot;/&gt;&lt;wsp:rsid wsp:val=&quot;00F3306C&quot;/&gt;&lt;wsp:rsid wsp:val=&quot;00F330A7&quot;/&gt;&lt;wsp:rsid wsp:val=&quot;00F332C8&quot;/&gt;&lt;wsp:rsid wsp:val=&quot;00F334E2&quot;/&gt;&lt;wsp:rsid wsp:val=&quot;00F33D91&quot;/&gt;&lt;wsp:rsid wsp:val=&quot;00F3452C&quot;/&gt;&lt;wsp:rsid wsp:val=&quot;00F34EFB&quot;/&gt;&lt;wsp:rsid wsp:val=&quot;00F34F7B&quot;/&gt;&lt;wsp:rsid wsp:val=&quot;00F3510B&quot;/&gt;&lt;wsp:rsid wsp:val=&quot;00F35798&quot;/&gt;&lt;wsp:rsid wsp:val=&quot;00F36084&quot;/&gt;&lt;wsp:rsid wsp:val=&quot;00F36644&quot;/&gt;&lt;wsp:rsid wsp:val=&quot;00F3720A&quot;/&gt;&lt;wsp:rsid wsp:val=&quot;00F3737B&quot;/&gt;&lt;wsp:rsid wsp:val=&quot;00F3746E&quot;/&gt;&lt;wsp:rsid wsp:val=&quot;00F378D0&quot;/&gt;&lt;wsp:rsid wsp:val=&quot;00F4014F&quot;/&gt;&lt;wsp:rsid wsp:val=&quot;00F40169&quot;/&gt;&lt;wsp:rsid wsp:val=&quot;00F40E08&quot;/&gt;&lt;wsp:rsid wsp:val=&quot;00F40E6C&quot;/&gt;&lt;wsp:rsid wsp:val=&quot;00F41130&quot;/&gt;&lt;wsp:rsid wsp:val=&quot;00F41547&quot;/&gt;&lt;wsp:rsid wsp:val=&quot;00F41755&quot;/&gt;&lt;wsp:rsid wsp:val=&quot;00F41C49&quot;/&gt;&lt;wsp:rsid wsp:val=&quot;00F42189&quot;/&gt;&lt;wsp:rsid wsp:val=&quot;00F4257D&quot;/&gt;&lt;wsp:rsid wsp:val=&quot;00F425C6&quot;/&gt;&lt;wsp:rsid wsp:val=&quot;00F42938&quot;/&gt;&lt;wsp:rsid wsp:val=&quot;00F429A0&quot;/&gt;&lt;wsp:rsid wsp:val=&quot;00F42A33&quot;/&gt;&lt;wsp:rsid wsp:val=&quot;00F42D66&quot;/&gt;&lt;wsp:rsid wsp:val=&quot;00F4309F&quot;/&gt;&lt;wsp:rsid wsp:val=&quot;00F43281&quot;/&gt;&lt;wsp:rsid wsp:val=&quot;00F4349A&quot;/&gt;&lt;wsp:rsid wsp:val=&quot;00F435B7&quot;/&gt;&lt;wsp:rsid wsp:val=&quot;00F43749&quot;/&gt;&lt;wsp:rsid wsp:val=&quot;00F43B29&quot;/&gt;&lt;wsp:rsid wsp:val=&quot;00F44116&quot;/&gt;&lt;wsp:rsid wsp:val=&quot;00F4420F&quot;/&gt;&lt;wsp:rsid wsp:val=&quot;00F44464&quot;/&gt;&lt;wsp:rsid wsp:val=&quot;00F45A2D&quot;/&gt;&lt;wsp:rsid wsp:val=&quot;00F45B5C&quot;/&gt;&lt;wsp:rsid wsp:val=&quot;00F45E2F&quot;/&gt;&lt;wsp:rsid wsp:val=&quot;00F4666B&quot;/&gt;&lt;wsp:rsid wsp:val=&quot;00F468B3&quot;/&gt;&lt;wsp:rsid wsp:val=&quot;00F46947&quot;/&gt;&lt;wsp:rsid wsp:val=&quot;00F46BBC&quot;/&gt;&lt;wsp:rsid wsp:val=&quot;00F47164&quot;/&gt;&lt;wsp:rsid wsp:val=&quot;00F47605&quot;/&gt;&lt;wsp:rsid wsp:val=&quot;00F4791C&quot;/&gt;&lt;wsp:rsid wsp:val=&quot;00F50B49&quot;/&gt;&lt;wsp:rsid wsp:val=&quot;00F50BFE&quot;/&gt;&lt;wsp:rsid wsp:val=&quot;00F50CB7&quot;/&gt;&lt;wsp:rsid wsp:val=&quot;00F50D52&quot;/&gt;&lt;wsp:rsid wsp:val=&quot;00F50E3D&quot;/&gt;&lt;wsp:rsid wsp:val=&quot;00F510DF&quot;/&gt;&lt;wsp:rsid wsp:val=&quot;00F5130C&quot;/&gt;&lt;wsp:rsid wsp:val=&quot;00F515BE&quot;/&gt;&lt;wsp:rsid wsp:val=&quot;00F51774&quot;/&gt;&lt;wsp:rsid wsp:val=&quot;00F51AE6&quot;/&gt;&lt;wsp:rsid wsp:val=&quot;00F51CB1&quot;/&gt;&lt;wsp:rsid wsp:val=&quot;00F51E79&quot;/&gt;&lt;wsp:rsid wsp:val=&quot;00F51FFA&quot;/&gt;&lt;wsp:rsid wsp:val=&quot;00F52361&quot;/&gt;&lt;wsp:rsid wsp:val=&quot;00F524A7&quot;/&gt;&lt;wsp:rsid wsp:val=&quot;00F533D1&quot;/&gt;&lt;wsp:rsid wsp:val=&quot;00F534D4&quot;/&gt;&lt;wsp:rsid wsp:val=&quot;00F53523&quot;/&gt;&lt;wsp:rsid wsp:val=&quot;00F535F4&quot;/&gt;&lt;wsp:rsid wsp:val=&quot;00F53D3A&quot;/&gt;&lt;wsp:rsid wsp:val=&quot;00F53DD9&quot;/&gt;&lt;wsp:rsid wsp:val=&quot;00F54446&quot;/&gt;&lt;wsp:rsid wsp:val=&quot;00F5463A&quot;/&gt;&lt;wsp:rsid wsp:val=&quot;00F549C9&quot;/&gt;&lt;wsp:rsid wsp:val=&quot;00F54D7E&quot;/&gt;&lt;wsp:rsid wsp:val=&quot;00F54EF2&quot;/&gt;&lt;wsp:rsid wsp:val=&quot;00F553A0&quot;/&gt;&lt;wsp:rsid wsp:val=&quot;00F553F3&quot;/&gt;&lt;wsp:rsid wsp:val=&quot;00F55717&quot;/&gt;&lt;wsp:rsid wsp:val=&quot;00F557A0&quot;/&gt;&lt;wsp:rsid wsp:val=&quot;00F55827&quot;/&gt;&lt;wsp:rsid wsp:val=&quot;00F559F1&quot;/&gt;&lt;wsp:rsid wsp:val=&quot;00F55C4B&quot;/&gt;&lt;wsp:rsid wsp:val=&quot;00F56030&quot;/&gt;&lt;wsp:rsid wsp:val=&quot;00F56198&quot;/&gt;&lt;wsp:rsid wsp:val=&quot;00F56346&quot;/&gt;&lt;wsp:rsid wsp:val=&quot;00F56A8D&quot;/&gt;&lt;wsp:rsid wsp:val=&quot;00F56D1D&quot;/&gt;&lt;wsp:rsid wsp:val=&quot;00F56D8D&quot;/&gt;&lt;wsp:rsid wsp:val=&quot;00F56F57&quot;/&gt;&lt;wsp:rsid wsp:val=&quot;00F57A19&quot;/&gt;&lt;wsp:rsid wsp:val=&quot;00F57AD3&quot;/&gt;&lt;wsp:rsid wsp:val=&quot;00F57DBF&quot;/&gt;&lt;wsp:rsid wsp:val=&quot;00F60254&quot;/&gt;&lt;wsp:rsid wsp:val=&quot;00F60780&quot;/&gt;&lt;wsp:rsid wsp:val=&quot;00F610E2&quot;/&gt;&lt;wsp:rsid wsp:val=&quot;00F611C7&quot;/&gt;&lt;wsp:rsid wsp:val=&quot;00F61226&quot;/&gt;&lt;wsp:rsid wsp:val=&quot;00F614D7&quot;/&gt;&lt;wsp:rsid wsp:val=&quot;00F61649&quot;/&gt;&lt;wsp:rsid wsp:val=&quot;00F6170F&quot;/&gt;&lt;wsp:rsid wsp:val=&quot;00F61B5A&quot;/&gt;&lt;wsp:rsid wsp:val=&quot;00F61EF1&quot;/&gt;&lt;wsp:rsid wsp:val=&quot;00F6263C&quot;/&gt;&lt;wsp:rsid wsp:val=&quot;00F62D8E&quot;/&gt;&lt;wsp:rsid wsp:val=&quot;00F6324B&quot;/&gt;&lt;wsp:rsid wsp:val=&quot;00F632CF&quot;/&gt;&lt;wsp:rsid wsp:val=&quot;00F633DF&quot;/&gt;&lt;wsp:rsid wsp:val=&quot;00F635EB&quot;/&gt;&lt;wsp:rsid wsp:val=&quot;00F636D8&quot;/&gt;&lt;wsp:rsid wsp:val=&quot;00F63B09&quot;/&gt;&lt;wsp:rsid wsp:val=&quot;00F63CD5&quot;/&gt;&lt;wsp:rsid wsp:val=&quot;00F63D5A&quot;/&gt;&lt;wsp:rsid wsp:val=&quot;00F63D6F&quot;/&gt;&lt;wsp:rsid wsp:val=&quot;00F63EE9&quot;/&gt;&lt;wsp:rsid wsp:val=&quot;00F64154&quot;/&gt;&lt;wsp:rsid wsp:val=&quot;00F64265&quot;/&gt;&lt;wsp:rsid wsp:val=&quot;00F64337&quot;/&gt;&lt;wsp:rsid wsp:val=&quot;00F64483&quot;/&gt;&lt;wsp:rsid wsp:val=&quot;00F6553F&quot;/&gt;&lt;wsp:rsid wsp:val=&quot;00F6560A&quot;/&gt;&lt;wsp:rsid wsp:val=&quot;00F65768&quot;/&gt;&lt;wsp:rsid wsp:val=&quot;00F65908&quot;/&gt;&lt;wsp:rsid wsp:val=&quot;00F65A7E&quot;/&gt;&lt;wsp:rsid wsp:val=&quot;00F66318&quot;/&gt;&lt;wsp:rsid wsp:val=&quot;00F66610&quot;/&gt;&lt;wsp:rsid wsp:val=&quot;00F66707&quot;/&gt;&lt;wsp:rsid wsp:val=&quot;00F66708&quot;/&gt;&lt;wsp:rsid wsp:val=&quot;00F66F00&quot;/&gt;&lt;wsp:rsid wsp:val=&quot;00F66FAB&quot;/&gt;&lt;wsp:rsid wsp:val=&quot;00F67415&quot;/&gt;&lt;wsp:rsid wsp:val=&quot;00F6753F&quot;/&gt;&lt;wsp:rsid wsp:val=&quot;00F67AC2&quot;/&gt;&lt;wsp:rsid wsp:val=&quot;00F67CB4&quot;/&gt;&lt;wsp:rsid wsp:val=&quot;00F67CEB&quot;/&gt;&lt;wsp:rsid wsp:val=&quot;00F67D22&quot;/&gt;&lt;wsp:rsid wsp:val=&quot;00F67FFB&quot;/&gt;&lt;wsp:rsid wsp:val=&quot;00F70430&quot;/&gt;&lt;wsp:rsid wsp:val=&quot;00F706B8&quot;/&gt;&lt;wsp:rsid wsp:val=&quot;00F7081B&quot;/&gt;&lt;wsp:rsid wsp:val=&quot;00F70F04&quot;/&gt;&lt;wsp:rsid wsp:val=&quot;00F710CE&quot;/&gt;&lt;wsp:rsid wsp:val=&quot;00F71249&quot;/&gt;&lt;wsp:rsid wsp:val=&quot;00F715F9&quot;/&gt;&lt;wsp:rsid wsp:val=&quot;00F71C31&quot;/&gt;&lt;wsp:rsid wsp:val=&quot;00F71D0F&quot;/&gt;&lt;wsp:rsid wsp:val=&quot;00F7207F&quot;/&gt;&lt;wsp:rsid wsp:val=&quot;00F72142&quot;/&gt;&lt;wsp:rsid wsp:val=&quot;00F72156&quot;/&gt;&lt;wsp:rsid wsp:val=&quot;00F72FB8&quot;/&gt;&lt;wsp:rsid wsp:val=&quot;00F73302&quot;/&gt;&lt;wsp:rsid wsp:val=&quot;00F7366E&quot;/&gt;&lt;wsp:rsid wsp:val=&quot;00F738C0&quot;/&gt;&lt;wsp:rsid wsp:val=&quot;00F74BDB&quot;/&gt;&lt;wsp:rsid wsp:val=&quot;00F74DA1&quot;/&gt;&lt;wsp:rsid wsp:val=&quot;00F74FBC&quot;/&gt;&lt;wsp:rsid wsp:val=&quot;00F75343&quot;/&gt;&lt;wsp:rsid wsp:val=&quot;00F75733&quot;/&gt;&lt;wsp:rsid wsp:val=&quot;00F75983&quot;/&gt;&lt;wsp:rsid wsp:val=&quot;00F75995&quot;/&gt;&lt;wsp:rsid wsp:val=&quot;00F75B2C&quot;/&gt;&lt;wsp:rsid wsp:val=&quot;00F75E73&quot;/&gt;&lt;wsp:rsid wsp:val=&quot;00F75F1C&quot;/&gt;&lt;wsp:rsid wsp:val=&quot;00F76507&quot;/&gt;&lt;wsp:rsid wsp:val=&quot;00F76DE0&quot;/&gt;&lt;wsp:rsid wsp:val=&quot;00F772CB&quot;/&gt;&lt;wsp:rsid wsp:val=&quot;00F77526&quot;/&gt;&lt;wsp:rsid wsp:val=&quot;00F77867&quot;/&gt;&lt;wsp:rsid wsp:val=&quot;00F77A01&quot;/&gt;&lt;wsp:rsid wsp:val=&quot;00F77D4D&quot;/&gt;&lt;wsp:rsid wsp:val=&quot;00F80059&quot;/&gt;&lt;wsp:rsid wsp:val=&quot;00F800B6&quot;/&gt;&lt;wsp:rsid wsp:val=&quot;00F8013D&quot;/&gt;&lt;wsp:rsid wsp:val=&quot;00F8064C&quot;/&gt;&lt;wsp:rsid wsp:val=&quot;00F8097E&quot;/&gt;&lt;wsp:rsid wsp:val=&quot;00F80FD7&quot;/&gt;&lt;wsp:rsid wsp:val=&quot;00F815EB&quot;/&gt;&lt;wsp:rsid wsp:val=&quot;00F81FFE&quot;/&gt;&lt;wsp:rsid wsp:val=&quot;00F8227B&quot;/&gt;&lt;wsp:rsid wsp:val=&quot;00F82E2E&quot;/&gt;&lt;wsp:rsid wsp:val=&quot;00F830B3&quot;/&gt;&lt;wsp:rsid wsp:val=&quot;00F831CE&quot;/&gt;&lt;wsp:rsid wsp:val=&quot;00F83617&quot;/&gt;&lt;wsp:rsid wsp:val=&quot;00F83C98&quot;/&gt;&lt;wsp:rsid wsp:val=&quot;00F84063&quot;/&gt;&lt;wsp:rsid wsp:val=&quot;00F84147&quot;/&gt;&lt;wsp:rsid wsp:val=&quot;00F843A5&quot;/&gt;&lt;wsp:rsid wsp:val=&quot;00F84777&quot;/&gt;&lt;wsp:rsid wsp:val=&quot;00F84B77&quot;/&gt;&lt;wsp:rsid wsp:val=&quot;00F8559F&quot;/&gt;&lt;wsp:rsid wsp:val=&quot;00F85738&quot;/&gt;&lt;wsp:rsid wsp:val=&quot;00F859C5&quot;/&gt;&lt;wsp:rsid wsp:val=&quot;00F85D84&quot;/&gt;&lt;wsp:rsid wsp:val=&quot;00F85E7A&quot;/&gt;&lt;wsp:rsid wsp:val=&quot;00F8609A&quot;/&gt;&lt;wsp:rsid wsp:val=&quot;00F86338&quot;/&gt;&lt;wsp:rsid wsp:val=&quot;00F8693C&quot;/&gt;&lt;wsp:rsid wsp:val=&quot;00F86FFC&quot;/&gt;&lt;wsp:rsid wsp:val=&quot;00F871F6&quot;/&gt;&lt;wsp:rsid wsp:val=&quot;00F87838&quot;/&gt;&lt;wsp:rsid wsp:val=&quot;00F87867&quot;/&gt;&lt;wsp:rsid wsp:val=&quot;00F8786C&quot;/&gt;&lt;wsp:rsid wsp:val=&quot;00F900C4&quot;/&gt;&lt;wsp:rsid wsp:val=&quot;00F90109&quot;/&gt;&lt;wsp:rsid wsp:val=&quot;00F90192&quot;/&gt;&lt;wsp:rsid wsp:val=&quot;00F90A4C&quot;/&gt;&lt;wsp:rsid wsp:val=&quot;00F90A62&quot;/&gt;&lt;wsp:rsid wsp:val=&quot;00F90DE3&quot;/&gt;&lt;wsp:rsid wsp:val=&quot;00F91036&quot;/&gt;&lt;wsp:rsid wsp:val=&quot;00F915B0&quot;/&gt;&lt;wsp:rsid wsp:val=&quot;00F91F1B&quot;/&gt;&lt;wsp:rsid wsp:val=&quot;00F92253&quot;/&gt;&lt;wsp:rsid wsp:val=&quot;00F92447&quot;/&gt;&lt;wsp:rsid wsp:val=&quot;00F92CC4&quot;/&gt;&lt;wsp:rsid wsp:val=&quot;00F92DAA&quot;/&gt;&lt;wsp:rsid wsp:val=&quot;00F92EE6&quot;/&gt;&lt;wsp:rsid wsp:val=&quot;00F92FDD&quot;/&gt;&lt;wsp:rsid wsp:val=&quot;00F930C4&quot;/&gt;&lt;wsp:rsid wsp:val=&quot;00F932FB&quot;/&gt;&lt;wsp:rsid wsp:val=&quot;00F934B8&quot;/&gt;&lt;wsp:rsid wsp:val=&quot;00F9371D&quot;/&gt;&lt;wsp:rsid wsp:val=&quot;00F938A4&quot;/&gt;&lt;wsp:rsid wsp:val=&quot;00F93A2B&quot;/&gt;&lt;wsp:rsid wsp:val=&quot;00F93A8D&quot;/&gt;&lt;wsp:rsid wsp:val=&quot;00F93B83&quot;/&gt;&lt;wsp:rsid wsp:val=&quot;00F93D94&quot;/&gt;&lt;wsp:rsid wsp:val=&quot;00F93E13&quot;/&gt;&lt;wsp:rsid wsp:val=&quot;00F94910&quot;/&gt;&lt;wsp:rsid wsp:val=&quot;00F94927&quot;/&gt;&lt;wsp:rsid wsp:val=&quot;00F94B0C&quot;/&gt;&lt;wsp:rsid wsp:val=&quot;00F94C0B&quot;/&gt;&lt;wsp:rsid wsp:val=&quot;00F95AEB&quot;/&gt;&lt;wsp:rsid wsp:val=&quot;00F95EAF&quot;/&gt;&lt;wsp:rsid wsp:val=&quot;00F95EE3&quot;/&gt;&lt;wsp:rsid wsp:val=&quot;00F96327&quot;/&gt;&lt;wsp:rsid wsp:val=&quot;00F96387&quot;/&gt;&lt;wsp:rsid wsp:val=&quot;00F96ABC&quot;/&gt;&lt;wsp:rsid wsp:val=&quot;00F96C7A&quot;/&gt;&lt;wsp:rsid wsp:val=&quot;00F97541&quot;/&gt;&lt;wsp:rsid wsp:val=&quot;00F9773A&quot;/&gt;&lt;wsp:rsid wsp:val=&quot;00F97F36&quot;/&gt;&lt;wsp:rsid wsp:val=&quot;00FA00A0&quot;/&gt;&lt;wsp:rsid wsp:val=&quot;00FA01C0&quot;/&gt;&lt;wsp:rsid wsp:val=&quot;00FA033C&quot;/&gt;&lt;wsp:rsid wsp:val=&quot;00FA04BE&quot;/&gt;&lt;wsp:rsid wsp:val=&quot;00FA05F4&quot;/&gt;&lt;wsp:rsid wsp:val=&quot;00FA0C1B&quot;/&gt;&lt;wsp:rsid wsp:val=&quot;00FA1B8C&quot;/&gt;&lt;wsp:rsid wsp:val=&quot;00FA1BC3&quot;/&gt;&lt;wsp:rsid wsp:val=&quot;00FA1DE7&quot;/&gt;&lt;wsp:rsid wsp:val=&quot;00FA2244&quot;/&gt;&lt;wsp:rsid wsp:val=&quot;00FA2540&quot;/&gt;&lt;wsp:rsid wsp:val=&quot;00FA26BE&quot;/&gt;&lt;wsp:rsid wsp:val=&quot;00FA2818&quot;/&gt;&lt;wsp:rsid wsp:val=&quot;00FA2A08&quot;/&gt;&lt;wsp:rsid wsp:val=&quot;00FA2A8E&quot;/&gt;&lt;wsp:rsid wsp:val=&quot;00FA30F6&quot;/&gt;&lt;wsp:rsid wsp:val=&quot;00FA32BD&quot;/&gt;&lt;wsp:rsid wsp:val=&quot;00FA34AC&quot;/&gt;&lt;wsp:rsid wsp:val=&quot;00FA3BCD&quot;/&gt;&lt;wsp:rsid wsp:val=&quot;00FA3F2B&quot;/&gt;&lt;wsp:rsid wsp:val=&quot;00FA41C1&quot;/&gt;&lt;wsp:rsid wsp:val=&quot;00FA4765&quot;/&gt;&lt;wsp:rsid wsp:val=&quot;00FA49C8&quot;/&gt;&lt;wsp:rsid wsp:val=&quot;00FA4FBA&quot;/&gt;&lt;wsp:rsid wsp:val=&quot;00FA504F&quot;/&gt;&lt;wsp:rsid wsp:val=&quot;00FA5CE8&quot;/&gt;&lt;wsp:rsid wsp:val=&quot;00FA60DF&quot;/&gt;&lt;wsp:rsid wsp:val=&quot;00FA67C6&quot;/&gt;&lt;wsp:rsid wsp:val=&quot;00FA6C93&quot;/&gt;&lt;wsp:rsid wsp:val=&quot;00FA764F&quot;/&gt;&lt;wsp:rsid wsp:val=&quot;00FA7B49&quot;/&gt;&lt;wsp:rsid wsp:val=&quot;00FA7FD0&quot;/&gt;&lt;wsp:rsid wsp:val=&quot;00FB00AE&quot;/&gt;&lt;wsp:rsid wsp:val=&quot;00FB045A&quot;/&gt;&lt;wsp:rsid wsp:val=&quot;00FB05A8&quot;/&gt;&lt;wsp:rsid wsp:val=&quot;00FB06EE&quot;/&gt;&lt;wsp:rsid wsp:val=&quot;00FB0D00&quot;/&gt;&lt;wsp:rsid wsp:val=&quot;00FB0F95&quot;/&gt;&lt;wsp:rsid wsp:val=&quot;00FB12DD&quot;/&gt;&lt;wsp:rsid wsp:val=&quot;00FB1C96&quot;/&gt;&lt;wsp:rsid wsp:val=&quot;00FB2222&quot;/&gt;&lt;wsp:rsid wsp:val=&quot;00FB230F&quot;/&gt;&lt;wsp:rsid wsp:val=&quot;00FB26CE&quot;/&gt;&lt;wsp:rsid wsp:val=&quot;00FB2C27&quot;/&gt;&lt;wsp:rsid wsp:val=&quot;00FB3464&quot;/&gt;&lt;wsp:rsid wsp:val=&quot;00FB36A0&quot;/&gt;&lt;wsp:rsid wsp:val=&quot;00FB378F&quot;/&gt;&lt;wsp:rsid wsp:val=&quot;00FB3CA8&quot;/&gt;&lt;wsp:rsid wsp:val=&quot;00FB3D65&quot;/&gt;&lt;wsp:rsid wsp:val=&quot;00FB4896&quot;/&gt;&lt;wsp:rsid wsp:val=&quot;00FB49C9&quot;/&gt;&lt;wsp:rsid wsp:val=&quot;00FB5479&quot;/&gt;&lt;wsp:rsid wsp:val=&quot;00FB5BE0&quot;/&gt;&lt;wsp:rsid wsp:val=&quot;00FB66DF&quot;/&gt;&lt;wsp:rsid wsp:val=&quot;00FB67FB&quot;/&gt;&lt;wsp:rsid wsp:val=&quot;00FB68B4&quot;/&gt;&lt;wsp:rsid wsp:val=&quot;00FB6D37&quot;/&gt;&lt;wsp:rsid wsp:val=&quot;00FB6FE3&quot;/&gt;&lt;wsp:rsid wsp:val=&quot;00FB7158&quot;/&gt;&lt;wsp:rsid wsp:val=&quot;00FB726C&quot;/&gt;&lt;wsp:rsid wsp:val=&quot;00FB75F6&quot;/&gt;&lt;wsp:rsid wsp:val=&quot;00FC0929&quot;/&gt;&lt;wsp:rsid wsp:val=&quot;00FC0B69&quot;/&gt;&lt;wsp:rsid wsp:val=&quot;00FC0DD7&quot;/&gt;&lt;wsp:rsid wsp:val=&quot;00FC15A1&quot;/&gt;&lt;wsp:rsid wsp:val=&quot;00FC15B6&quot;/&gt;&lt;wsp:rsid wsp:val=&quot;00FC1E7C&quot;/&gt;&lt;wsp:rsid wsp:val=&quot;00FC211A&quot;/&gt;&lt;wsp:rsid wsp:val=&quot;00FC24EE&quot;/&gt;&lt;wsp:rsid wsp:val=&quot;00FC2522&quot;/&gt;&lt;wsp:rsid wsp:val=&quot;00FC2C55&quot;/&gt;&lt;wsp:rsid wsp:val=&quot;00FC312E&quot;/&gt;&lt;wsp:rsid wsp:val=&quot;00FC346A&quot;/&gt;&lt;wsp:rsid wsp:val=&quot;00FC3BE2&quot;/&gt;&lt;wsp:rsid wsp:val=&quot;00FC3F56&quot;/&gt;&lt;wsp:rsid wsp:val=&quot;00FC42D9&quot;/&gt;&lt;wsp:rsid wsp:val=&quot;00FC49F9&quot;/&gt;&lt;wsp:rsid wsp:val=&quot;00FC4F0F&quot;/&gt;&lt;wsp:rsid wsp:val=&quot;00FC4F67&quot;/&gt;&lt;wsp:rsid wsp:val=&quot;00FC509E&quot;/&gt;&lt;wsp:rsid wsp:val=&quot;00FC525E&quot;/&gt;&lt;wsp:rsid wsp:val=&quot;00FC55B4&quot;/&gt;&lt;wsp:rsid wsp:val=&quot;00FC5ADA&quot;/&gt;&lt;wsp:rsid wsp:val=&quot;00FC60AF&quot;/&gt;&lt;wsp:rsid wsp:val=&quot;00FC6224&quot;/&gt;&lt;wsp:rsid wsp:val=&quot;00FC6496&quot;/&gt;&lt;wsp:rsid wsp:val=&quot;00FC6906&quot;/&gt;&lt;wsp:rsid wsp:val=&quot;00FC69CA&quot;/&gt;&lt;wsp:rsid wsp:val=&quot;00FC6B75&quot;/&gt;&lt;wsp:rsid wsp:val=&quot;00FC7632&quot;/&gt;&lt;wsp:rsid wsp:val=&quot;00FC7807&quot;/&gt;&lt;wsp:rsid wsp:val=&quot;00FC7B72&quot;/&gt;&lt;wsp:rsid wsp:val=&quot;00FC7D2A&quot;/&gt;&lt;wsp:rsid wsp:val=&quot;00FC7F6A&quot;/&gt;&lt;wsp:rsid wsp:val=&quot;00FD01AC&quot;/&gt;&lt;wsp:rsid wsp:val=&quot;00FD01BA&quot;/&gt;&lt;wsp:rsid wsp:val=&quot;00FD06A4&quot;/&gt;&lt;wsp:rsid wsp:val=&quot;00FD0897&quot;/&gt;&lt;wsp:rsid wsp:val=&quot;00FD0912&quot;/&gt;&lt;wsp:rsid wsp:val=&quot;00FD10F6&quot;/&gt;&lt;wsp:rsid wsp:val=&quot;00FD12B2&quot;/&gt;&lt;wsp:rsid wsp:val=&quot;00FD12B3&quot;/&gt;&lt;wsp:rsid wsp:val=&quot;00FD1AE0&quot;/&gt;&lt;wsp:rsid wsp:val=&quot;00FD2D3C&quot;/&gt;&lt;wsp:rsid wsp:val=&quot;00FD375E&quot;/&gt;&lt;wsp:rsid wsp:val=&quot;00FD399B&quot;/&gt;&lt;wsp:rsid wsp:val=&quot;00FD3F7E&quot;/&gt;&lt;wsp:rsid wsp:val=&quot;00FD41C0&quot;/&gt;&lt;wsp:rsid wsp:val=&quot;00FD4CF6&quot;/&gt;&lt;wsp:rsid wsp:val=&quot;00FD5455&quot;/&gt;&lt;wsp:rsid wsp:val=&quot;00FD5531&quot;/&gt;&lt;wsp:rsid wsp:val=&quot;00FD584E&quot;/&gt;&lt;wsp:rsid wsp:val=&quot;00FD5AE7&quot;/&gt;&lt;wsp:rsid wsp:val=&quot;00FD5F9D&quot;/&gt;&lt;wsp:rsid wsp:val=&quot;00FD618D&quot;/&gt;&lt;wsp:rsid wsp:val=&quot;00FD66C9&quot;/&gt;&lt;wsp:rsid wsp:val=&quot;00FD6D27&quot;/&gt;&lt;wsp:rsid wsp:val=&quot;00FD6F86&quot;/&gt;&lt;wsp:rsid wsp:val=&quot;00FD75D7&quot;/&gt;&lt;wsp:rsid wsp:val=&quot;00FD762F&quot;/&gt;&lt;wsp:rsid wsp:val=&quot;00FD76A1&quot;/&gt;&lt;wsp:rsid wsp:val=&quot;00FD7D93&quot;/&gt;&lt;wsp:rsid wsp:val=&quot;00FD7DE1&quot;/&gt;&lt;wsp:rsid wsp:val=&quot;00FE029E&quot;/&gt;&lt;wsp:rsid wsp:val=&quot;00FE036B&quot;/&gt;&lt;wsp:rsid wsp:val=&quot;00FE0473&quot;/&gt;&lt;wsp:rsid wsp:val=&quot;00FE051B&quot;/&gt;&lt;wsp:rsid wsp:val=&quot;00FE05F2&quot;/&gt;&lt;wsp:rsid wsp:val=&quot;00FE0609&quot;/&gt;&lt;wsp:rsid wsp:val=&quot;00FE08A0&quot;/&gt;&lt;wsp:rsid wsp:val=&quot;00FE0BA6&quot;/&gt;&lt;wsp:rsid wsp:val=&quot;00FE0C80&quot;/&gt;&lt;wsp:rsid wsp:val=&quot;00FE0EEB&quot;/&gt;&lt;wsp:rsid wsp:val=&quot;00FE1247&quot;/&gt;&lt;wsp:rsid wsp:val=&quot;00FE13FE&quot;/&gt;&lt;wsp:rsid wsp:val=&quot;00FE1543&quot;/&gt;&lt;wsp:rsid wsp:val=&quot;00FE174B&quot;/&gt;&lt;wsp:rsid wsp:val=&quot;00FE1BF0&quot;/&gt;&lt;wsp:rsid wsp:val=&quot;00FE1C12&quot;/&gt;&lt;wsp:rsid wsp:val=&quot;00FE23D2&quot;/&gt;&lt;wsp:rsid wsp:val=&quot;00FE2C75&quot;/&gt;&lt;wsp:rsid wsp:val=&quot;00FE2EA9&quot;/&gt;&lt;wsp:rsid wsp:val=&quot;00FE2F88&quot;/&gt;&lt;wsp:rsid wsp:val=&quot;00FE3205&quot;/&gt;&lt;wsp:rsid wsp:val=&quot;00FE3508&quot;/&gt;&lt;wsp:rsid wsp:val=&quot;00FE4194&quot;/&gt;&lt;wsp:rsid wsp:val=&quot;00FE4C69&quot;/&gt;&lt;wsp:rsid wsp:val=&quot;00FE50F5&quot;/&gt;&lt;wsp:rsid wsp:val=&quot;00FE5A67&quot;/&gt;&lt;wsp:rsid wsp:val=&quot;00FE5B4E&quot;/&gt;&lt;wsp:rsid wsp:val=&quot;00FE5BB6&quot;/&gt;&lt;wsp:rsid wsp:val=&quot;00FE5FE2&quot;/&gt;&lt;wsp:rsid wsp:val=&quot;00FE68AF&quot;/&gt;&lt;wsp:rsid wsp:val=&quot;00FE69FF&quot;/&gt;&lt;wsp:rsid wsp:val=&quot;00FE6B81&quot;/&gt;&lt;wsp:rsid wsp:val=&quot;00FE6F08&quot;/&gt;&lt;wsp:rsid wsp:val=&quot;00FE73DA&quot;/&gt;&lt;wsp:rsid wsp:val=&quot;00FE7461&quot;/&gt;&lt;wsp:rsid wsp:val=&quot;00FE7AE3&quot;/&gt;&lt;wsp:rsid wsp:val=&quot;00FE7B60&quot;/&gt;&lt;wsp:rsid wsp:val=&quot;00FE7DA7&quot;/&gt;&lt;wsp:rsid wsp:val=&quot;00FF008D&quot;/&gt;&lt;wsp:rsid wsp:val=&quot;00FF035A&quot;/&gt;&lt;wsp:rsid wsp:val=&quot;00FF0673&quot;/&gt;&lt;wsp:rsid wsp:val=&quot;00FF0D10&quot;/&gt;&lt;wsp:rsid wsp:val=&quot;00FF0F50&quot;/&gt;&lt;wsp:rsid wsp:val=&quot;00FF1047&quot;/&gt;&lt;wsp:rsid wsp:val=&quot;00FF14A9&quot;/&gt;&lt;wsp:rsid wsp:val=&quot;00FF1544&quot;/&gt;&lt;wsp:rsid wsp:val=&quot;00FF17EF&quot;/&gt;&lt;wsp:rsid wsp:val=&quot;00FF1913&quot;/&gt;&lt;wsp:rsid wsp:val=&quot;00FF1B3F&quot;/&gt;&lt;wsp:rsid wsp:val=&quot;00FF2053&quot;/&gt;&lt;wsp:rsid wsp:val=&quot;00FF21AF&quot;/&gt;&lt;wsp:rsid wsp:val=&quot;00FF23D4&quot;/&gt;&lt;wsp:rsid wsp:val=&quot;00FF2490&quot;/&gt;&lt;wsp:rsid wsp:val=&quot;00FF24C2&quot;/&gt;&lt;wsp:rsid wsp:val=&quot;00FF2651&quot;/&gt;&lt;wsp:rsid wsp:val=&quot;00FF2697&quot;/&gt;&lt;wsp:rsid wsp:val=&quot;00FF26E2&quot;/&gt;&lt;wsp:rsid wsp:val=&quot;00FF2FA3&quot;/&gt;&lt;wsp:rsid wsp:val=&quot;00FF3527&quot;/&gt;&lt;wsp:rsid wsp:val=&quot;00FF3F2D&quot;/&gt;&lt;wsp:rsid wsp:val=&quot;00FF3FDC&quot;/&gt;&lt;wsp:rsid wsp:val=&quot;00FF418C&quot;/&gt;&lt;wsp:rsid wsp:val=&quot;00FF458A&quot;/&gt;&lt;wsp:rsid wsp:val=&quot;00FF4B3E&quot;/&gt;&lt;wsp:rsid wsp:val=&quot;00FF4BC9&quot;/&gt;&lt;wsp:rsid wsp:val=&quot;00FF4BCD&quot;/&gt;&lt;wsp:rsid wsp:val=&quot;00FF4CE9&quot;/&gt;&lt;wsp:rsid wsp:val=&quot;00FF4F95&quot;/&gt;&lt;wsp:rsid wsp:val=&quot;00FF5096&quot;/&gt;&lt;wsp:rsid wsp:val=&quot;00FF529E&quot;/&gt;&lt;wsp:rsid wsp:val=&quot;00FF549F&quot;/&gt;&lt;wsp:rsid wsp:val=&quot;00FF54B7&quot;/&gt;&lt;wsp:rsid wsp:val=&quot;00FF5666&quot;/&gt;&lt;wsp:rsid wsp:val=&quot;00FF56A5&quot;/&gt;&lt;wsp:rsid wsp:val=&quot;00FF5BF6&quot;/&gt;&lt;wsp:rsid wsp:val=&quot;00FF5C6D&quot;/&gt;&lt;wsp:rsid wsp:val=&quot;00FF5C6E&quot;/&gt;&lt;wsp:rsid wsp:val=&quot;00FF633F&quot;/&gt;&lt;wsp:rsid wsp:val=&quot;00FF66CC&quot;/&gt;&lt;wsp:rsid wsp:val=&quot;00FF67D3&quot;/&gt;&lt;wsp:rsid wsp:val=&quot;00FF6B0E&quot;/&gt;&lt;wsp:rsid wsp:val=&quot;00FF6B43&quot;/&gt;&lt;wsp:rsid wsp:val=&quot;00FF6F3F&quot;/&gt;&lt;wsp:rsid wsp:val=&quot;00FF7328&quot;/&gt;&lt;wsp:rsid wsp:val=&quot;00FF7600&quot;/&gt;&lt;wsp:rsid wsp:val=&quot;00FF77A7&quot;/&gt;&lt;wsp:rsid wsp:val=&quot;00FF7B0F&quot;/&gt;&lt;wsp:rsid wsp:val=&quot;00FF7D42&quot;/&gt;&lt;wsp:rsid wsp:val=&quot;00FF7F25&quot;/&gt;&lt;/wsp:rsids&gt;&lt;/w:docPr&gt;&lt;w:body&gt;&lt;w:p wsp:rsidR=&quot;00000000&quot; wsp:rsidRDefault=&quot;00600A18&quot;&gt;&lt;m:oMathPara&gt;&lt;m:oMath&gt;&lt;m:r&gt;&lt;w:rPr&gt;&lt;w:rFonts w:ascii=&quot;Cambria Math&quot; w:fareast=&quot;Times New Roman&quot; w:h-ansi=&quot;Cambria Math&quot;/&gt;&lt;wx:font wx:val=&quot;Cambria Math&quot;/&gt;&lt;w:i/&gt;&lt;w:sz w:val=&quot;28&quot;/&gt;&lt;w:sz-cs w:val=&quot;24&quot;/&gt;&lt;w:lang w:fareast=&quot;RU&quot;/&gt;&lt;/w:rPr&gt;&lt;m:t&gt;h=H-0,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 o:title="" chromakey="white"/>
          </v:shape>
        </w:pict>
      </w:r>
    </w:p>
    <w:p w:rsidR="002D1E45" w:rsidRPr="004D071E" w:rsidRDefault="002D1E45" w:rsidP="004D071E">
      <w:pPr>
        <w:spacing w:after="0" w:line="240" w:lineRule="auto"/>
        <w:jc w:val="center"/>
        <w:rPr>
          <w:rFonts w:ascii="Times New Roman" w:hAnsi="Times New Roman"/>
          <w:sz w:val="28"/>
          <w:szCs w:val="24"/>
          <w:lang w:eastAsia="ru-RU"/>
        </w:rPr>
      </w:pPr>
    </w:p>
    <w:p w:rsidR="002D1E45" w:rsidRPr="004D071E" w:rsidRDefault="002D1E45" w:rsidP="004D071E">
      <w:pPr>
        <w:spacing w:after="0" w:line="240" w:lineRule="auto"/>
        <w:ind w:left="709"/>
        <w:jc w:val="both"/>
        <w:rPr>
          <w:rFonts w:ascii="Times New Roman" w:hAnsi="Times New Roman"/>
          <w:sz w:val="28"/>
          <w:szCs w:val="24"/>
          <w:lang w:eastAsia="ru-RU"/>
        </w:rPr>
      </w:pPr>
      <w:r w:rsidRPr="004D071E">
        <w:rPr>
          <w:rFonts w:ascii="Times New Roman" w:hAnsi="Times New Roman"/>
          <w:sz w:val="28"/>
          <w:szCs w:val="24"/>
          <w:lang w:eastAsia="ru-RU"/>
        </w:rPr>
        <w:t>где H - высота поддона (обваловки), м;</w:t>
      </w:r>
    </w:p>
    <w:p w:rsidR="002D1E45" w:rsidRPr="004D071E" w:rsidRDefault="002D1E45" w:rsidP="00852938">
      <w:pPr>
        <w:numPr>
          <w:ilvl w:val="0"/>
          <w:numId w:val="45"/>
        </w:numPr>
        <w:spacing w:after="0" w:line="240" w:lineRule="auto"/>
        <w:ind w:left="1701"/>
        <w:jc w:val="both"/>
        <w:rPr>
          <w:rFonts w:ascii="Times New Roman" w:hAnsi="Times New Roman"/>
          <w:sz w:val="28"/>
          <w:szCs w:val="24"/>
          <w:lang w:eastAsia="ru-RU"/>
        </w:rPr>
      </w:pPr>
      <w:r w:rsidRPr="004D071E">
        <w:rPr>
          <w:rFonts w:ascii="Times New Roman" w:hAnsi="Times New Roman"/>
          <w:sz w:val="28"/>
          <w:szCs w:val="24"/>
          <w:lang w:eastAsia="ru-RU"/>
        </w:rPr>
        <w:t xml:space="preserve">при </w:t>
      </w:r>
      <w:r w:rsidRPr="004D071E">
        <w:rPr>
          <w:rFonts w:ascii="Times New Roman" w:hAnsi="Times New Roman"/>
          <w:sz w:val="28"/>
          <w:szCs w:val="28"/>
          <w:lang w:eastAsia="ru-RU"/>
        </w:rPr>
        <w:t>разливах</w:t>
      </w:r>
      <w:r w:rsidRPr="004D071E">
        <w:rPr>
          <w:rFonts w:ascii="Times New Roman" w:hAnsi="Times New Roman"/>
          <w:sz w:val="28"/>
          <w:szCs w:val="24"/>
          <w:lang w:eastAsia="ru-RU"/>
        </w:rPr>
        <w:t xml:space="preserve"> из ёмкостей, расположенных группой с общим поддоном (обваловкой):</w:t>
      </w:r>
    </w:p>
    <w:p w:rsidR="002D1E45" w:rsidRPr="004D071E" w:rsidRDefault="002D1E45" w:rsidP="004D071E">
      <w:pPr>
        <w:spacing w:after="0" w:line="240" w:lineRule="auto"/>
        <w:ind w:firstLine="709"/>
        <w:jc w:val="center"/>
        <w:rPr>
          <w:rFonts w:ascii="Times New Roman" w:hAnsi="Times New Roman"/>
          <w:sz w:val="28"/>
          <w:szCs w:val="24"/>
          <w:lang w:eastAsia="ru-RU"/>
        </w:rPr>
      </w:pPr>
      <w:r>
        <w:pict>
          <v:shape id="_x0000_i1034" type="#_x0000_t75" style="width:45.75pt;height:35.25pt" equationxml="&lt;?xml version=&quot;1.0&quot; encoding=&quot;UTF-8&quot; standalone=&quot;yes&quot;?&gt;&#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stylePaneFormatFilter w:val=&quot;3F01&quot;/&gt;&lt;w:defaultTabStop w:val=&quot;709&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55249&quot;/&gt;&lt;wsp:rsid wsp:val=&quot;00000069&quot;/&gt;&lt;wsp:rsid wsp:val=&quot;0000011C&quot;/&gt;&lt;wsp:rsid wsp:val=&quot;00000437&quot;/&gt;&lt;wsp:rsid wsp:val=&quot;00001379&quot;/&gt;&lt;wsp:rsid wsp:val=&quot;0000148E&quot;/&gt;&lt;wsp:rsid wsp:val=&quot;00001718&quot;/&gt;&lt;wsp:rsid wsp:val=&quot;000017EA&quot;/&gt;&lt;wsp:rsid wsp:val=&quot;00001828&quot;/&gt;&lt;wsp:rsid wsp:val=&quot;00001D98&quot;/&gt;&lt;wsp:rsid wsp:val=&quot;0000229E&quot;/&gt;&lt;wsp:rsid wsp:val=&quot;000027D5&quot;/&gt;&lt;wsp:rsid wsp:val=&quot;00002824&quot;/&gt;&lt;wsp:rsid wsp:val=&quot;00002C12&quot;/&gt;&lt;wsp:rsid wsp:val=&quot;00002C43&quot;/&gt;&lt;wsp:rsid wsp:val=&quot;00002D9C&quot;/&gt;&lt;wsp:rsid wsp:val=&quot;00002F36&quot;/&gt;&lt;wsp:rsid wsp:val=&quot;0000302F&quot;/&gt;&lt;wsp:rsid wsp:val=&quot;00003030&quot;/&gt;&lt;wsp:rsid wsp:val=&quot;00003EFF&quot;/&gt;&lt;wsp:rsid wsp:val=&quot;0000414C&quot;/&gt;&lt;wsp:rsid wsp:val=&quot;0000443D&quot;/&gt;&lt;wsp:rsid wsp:val=&quot;000046CC&quot;/&gt;&lt;wsp:rsid wsp:val=&quot;00004716&quot;/&gt;&lt;wsp:rsid wsp:val=&quot;0000486D&quot;/&gt;&lt;wsp:rsid wsp:val=&quot;000049C0&quot;/&gt;&lt;wsp:rsid wsp:val=&quot;00004D19&quot;/&gt;&lt;wsp:rsid wsp:val=&quot;00004FAE&quot;/&gt;&lt;wsp:rsid wsp:val=&quot;00004FFC&quot;/&gt;&lt;wsp:rsid wsp:val=&quot;00005636&quot;/&gt;&lt;wsp:rsid wsp:val=&quot;000056E1&quot;/&gt;&lt;wsp:rsid wsp:val=&quot;00005DAF&quot;/&gt;&lt;wsp:rsid wsp:val=&quot;00005F1A&quot;/&gt;&lt;wsp:rsid wsp:val=&quot;00005FEB&quot;/&gt;&lt;wsp:rsid wsp:val=&quot;00006392&quot;/&gt;&lt;wsp:rsid wsp:val=&quot;000063D0&quot;/&gt;&lt;wsp:rsid wsp:val=&quot;00006AE8&quot;/&gt;&lt;wsp:rsid wsp:val=&quot;00006D6F&quot;/&gt;&lt;wsp:rsid wsp:val=&quot;00007175&quot;/&gt;&lt;wsp:rsid wsp:val=&quot;00007274&quot;/&gt;&lt;wsp:rsid wsp:val=&quot;00007B99&quot;/&gt;&lt;wsp:rsid wsp:val=&quot;000101C0&quot;/&gt;&lt;wsp:rsid wsp:val=&quot;00010212&quot;/&gt;&lt;wsp:rsid wsp:val=&quot;00010264&quot;/&gt;&lt;wsp:rsid wsp:val=&quot;000102BD&quot;/&gt;&lt;wsp:rsid wsp:val=&quot;000102EA&quot;/&gt;&lt;wsp:rsid wsp:val=&quot;00010466&quot;/&gt;&lt;wsp:rsid wsp:val=&quot;00010AB4&quot;/&gt;&lt;wsp:rsid wsp:val=&quot;00010B0B&quot;/&gt;&lt;wsp:rsid wsp:val=&quot;00010C3B&quot;/&gt;&lt;wsp:rsid wsp:val=&quot;00010F91&quot;/&gt;&lt;wsp:rsid wsp:val=&quot;000112EE&quot;/&gt;&lt;wsp:rsid wsp:val=&quot;0001146D&quot;/&gt;&lt;wsp:rsid wsp:val=&quot;00011665&quot;/&gt;&lt;wsp:rsid wsp:val=&quot;00011B64&quot;/&gt;&lt;wsp:rsid wsp:val=&quot;00011CA8&quot;/&gt;&lt;wsp:rsid wsp:val=&quot;00011DE4&quot;/&gt;&lt;wsp:rsid wsp:val=&quot;000124AE&quot;/&gt;&lt;wsp:rsid wsp:val=&quot;000127BC&quot;/&gt;&lt;wsp:rsid wsp:val=&quot;00012A66&quot;/&gt;&lt;wsp:rsid wsp:val=&quot;00012DA8&quot;/&gt;&lt;wsp:rsid wsp:val=&quot;00013A20&quot;/&gt;&lt;wsp:rsid wsp:val=&quot;00013A8A&quot;/&gt;&lt;wsp:rsid wsp:val=&quot;00013CAF&quot;/&gt;&lt;wsp:rsid wsp:val=&quot;00013FBF&quot;/&gt;&lt;wsp:rsid wsp:val=&quot;00014152&quot;/&gt;&lt;wsp:rsid wsp:val=&quot;00014177&quot;/&gt;&lt;wsp:rsid wsp:val=&quot;0001436E&quot;/&gt;&lt;wsp:rsid wsp:val=&quot;00014640&quot;/&gt;&lt;wsp:rsid wsp:val=&quot;000146AB&quot;/&gt;&lt;wsp:rsid wsp:val=&quot;0001483D&quot;/&gt;&lt;wsp:rsid wsp:val=&quot;00014851&quot;/&gt;&lt;wsp:rsid wsp:val=&quot;00014B97&quot;/&gt;&lt;wsp:rsid wsp:val=&quot;00014CA6&quot;/&gt;&lt;wsp:rsid wsp:val=&quot;00015089&quot;/&gt;&lt;wsp:rsid wsp:val=&quot;00015200&quot;/&gt;&lt;wsp:rsid wsp:val=&quot;00015247&quot;/&gt;&lt;wsp:rsid wsp:val=&quot;00015471&quot;/&gt;&lt;wsp:rsid wsp:val=&quot;00015475&quot;/&gt;&lt;wsp:rsid wsp:val=&quot;000156EB&quot;/&gt;&lt;wsp:rsid wsp:val=&quot;00015CFD&quot;/&gt;&lt;wsp:rsid wsp:val=&quot;00015E89&quot;/&gt;&lt;wsp:rsid wsp:val=&quot;000162CA&quot;/&gt;&lt;wsp:rsid wsp:val=&quot;000168D8&quot;/&gt;&lt;wsp:rsid wsp:val=&quot;00016BF0&quot;/&gt;&lt;wsp:rsid wsp:val=&quot;00016DD4&quot;/&gt;&lt;wsp:rsid wsp:val=&quot;00016F5A&quot;/&gt;&lt;wsp:rsid wsp:val=&quot;000171AD&quot;/&gt;&lt;wsp:rsid wsp:val=&quot;0001725E&quot;/&gt;&lt;wsp:rsid wsp:val=&quot;000173C4&quot;/&gt;&lt;wsp:rsid wsp:val=&quot;0001783F&quot;/&gt;&lt;wsp:rsid wsp:val=&quot;00017B5A&quot;/&gt;&lt;wsp:rsid wsp:val=&quot;00017FC8&quot;/&gt;&lt;wsp:rsid wsp:val=&quot;000200B7&quot;/&gt;&lt;wsp:rsid wsp:val=&quot;00020690&quot;/&gt;&lt;wsp:rsid wsp:val=&quot;000207BC&quot;/&gt;&lt;wsp:rsid wsp:val=&quot;00020B70&quot;/&gt;&lt;wsp:rsid wsp:val=&quot;00020CF2&quot;/&gt;&lt;wsp:rsid wsp:val=&quot;00020D15&quot;/&gt;&lt;wsp:rsid wsp:val=&quot;0002146E&quot;/&gt;&lt;wsp:rsid wsp:val=&quot;000216FC&quot;/&gt;&lt;wsp:rsid wsp:val=&quot;00021808&quot;/&gt;&lt;wsp:rsid wsp:val=&quot;00021864&quot;/&gt;&lt;wsp:rsid wsp:val=&quot;000219DD&quot;/&gt;&lt;wsp:rsid wsp:val=&quot;00021A57&quot;/&gt;&lt;wsp:rsid wsp:val=&quot;00021C1B&quot;/&gt;&lt;wsp:rsid wsp:val=&quot;00021C6A&quot;/&gt;&lt;wsp:rsid wsp:val=&quot;0002261A&quot;/&gt;&lt;wsp:rsid wsp:val=&quot;00022689&quot;/&gt;&lt;wsp:rsid wsp:val=&quot;0002275A&quot;/&gt;&lt;wsp:rsid wsp:val=&quot;00022976&quot;/&gt;&lt;wsp:rsid wsp:val=&quot;00022B13&quot;/&gt;&lt;wsp:rsid wsp:val=&quot;00022C89&quot;/&gt;&lt;wsp:rsid wsp:val=&quot;00022ED3&quot;/&gt;&lt;wsp:rsid wsp:val=&quot;0002310D&quot;/&gt;&lt;wsp:rsid wsp:val=&quot;0002325C&quot;/&gt;&lt;wsp:rsid wsp:val=&quot;000233B5&quot;/&gt;&lt;wsp:rsid wsp:val=&quot;000235C8&quot;/&gt;&lt;wsp:rsid wsp:val=&quot;000237E7&quot;/&gt;&lt;wsp:rsid wsp:val=&quot;000238DD&quot;/&gt;&lt;wsp:rsid wsp:val=&quot;00023B4A&quot;/&gt;&lt;wsp:rsid wsp:val=&quot;00023CDA&quot;/&gt;&lt;wsp:rsid wsp:val=&quot;0002413B&quot;/&gt;&lt;wsp:rsid wsp:val=&quot;000244A8&quot;/&gt;&lt;wsp:rsid wsp:val=&quot;0002487C&quot;/&gt;&lt;wsp:rsid wsp:val=&quot;00024D37&quot;/&gt;&lt;wsp:rsid wsp:val=&quot;00024F28&quot;/&gt;&lt;wsp:rsid wsp:val=&quot;000252B6&quot;/&gt;&lt;wsp:rsid wsp:val=&quot;000254CC&quot;/&gt;&lt;wsp:rsid wsp:val=&quot;00025586&quot;/&gt;&lt;wsp:rsid wsp:val=&quot;000260FE&quot;/&gt;&lt;wsp:rsid wsp:val=&quot;00026294&quot;/&gt;&lt;wsp:rsid wsp:val=&quot;00026338&quot;/&gt;&lt;wsp:rsid wsp:val=&quot;000266C8&quot;/&gt;&lt;wsp:rsid wsp:val=&quot;00026ABE&quot;/&gt;&lt;wsp:rsid wsp:val=&quot;00026FF4&quot;/&gt;&lt;wsp:rsid wsp:val=&quot;0002729C&quot;/&gt;&lt;wsp:rsid wsp:val=&quot;000279E6&quot;/&gt;&lt;wsp:rsid wsp:val=&quot;00027B3A&quot;/&gt;&lt;wsp:rsid wsp:val=&quot;00027C41&quot;/&gt;&lt;wsp:rsid wsp:val=&quot;00027F89&quot;/&gt;&lt;wsp:rsid wsp:val=&quot;0003050D&quot;/&gt;&lt;wsp:rsid wsp:val=&quot;00030523&quot;/&gt;&lt;wsp:rsid wsp:val=&quot;00031209&quot;/&gt;&lt;wsp:rsid wsp:val=&quot;00031883&quot;/&gt;&lt;wsp:rsid wsp:val=&quot;00032460&quot;/&gt;&lt;wsp:rsid wsp:val=&quot;0003252F&quot;/&gt;&lt;wsp:rsid wsp:val=&quot;000325E4&quot;/&gt;&lt;wsp:rsid wsp:val=&quot;000329BA&quot;/&gt;&lt;wsp:rsid wsp:val=&quot;00032F20&quot;/&gt;&lt;wsp:rsid wsp:val=&quot;000330C7&quot;/&gt;&lt;wsp:rsid wsp:val=&quot;00033121&quot;/&gt;&lt;wsp:rsid wsp:val=&quot;000332E2&quot;/&gt;&lt;wsp:rsid wsp:val=&quot;00033895&quot;/&gt;&lt;wsp:rsid wsp:val=&quot;00033D2D&quot;/&gt;&lt;wsp:rsid wsp:val=&quot;0003401B&quot;/&gt;&lt;wsp:rsid wsp:val=&quot;000341CE&quot;/&gt;&lt;wsp:rsid wsp:val=&quot;00034258&quot;/&gt;&lt;wsp:rsid wsp:val=&quot;00034677&quot;/&gt;&lt;wsp:rsid wsp:val=&quot;000355D5&quot;/&gt;&lt;wsp:rsid wsp:val=&quot;0003587E&quot;/&gt;&lt;wsp:rsid wsp:val=&quot;000358E5&quot;/&gt;&lt;wsp:rsid wsp:val=&quot;00035FC8&quot;/&gt;&lt;wsp:rsid wsp:val=&quot;00036085&quot;/&gt;&lt;wsp:rsid wsp:val=&quot;0003610F&quot;/&gt;&lt;wsp:rsid wsp:val=&quot;00036574&quot;/&gt;&lt;wsp:rsid wsp:val=&quot;00036A0C&quot;/&gt;&lt;wsp:rsid wsp:val=&quot;0003741C&quot;/&gt;&lt;wsp:rsid wsp:val=&quot;000375A9&quot;/&gt;&lt;wsp:rsid wsp:val=&quot;000375E4&quot;/&gt;&lt;wsp:rsid wsp:val=&quot;00037990&quot;/&gt;&lt;wsp:rsid wsp:val=&quot;000379E2&quot;/&gt;&lt;wsp:rsid wsp:val=&quot;00037A8B&quot;/&gt;&lt;wsp:rsid wsp:val=&quot;00037B44&quot;/&gt;&lt;wsp:rsid wsp:val=&quot;00037D86&quot;/&gt;&lt;wsp:rsid wsp:val=&quot;000401B5&quot;/&gt;&lt;wsp:rsid wsp:val=&quot;00040704&quot;/&gt;&lt;wsp:rsid wsp:val=&quot;00040747&quot;/&gt;&lt;wsp:rsid wsp:val=&quot;00040937&quot;/&gt;&lt;wsp:rsid wsp:val=&quot;00040B84&quot;/&gt;&lt;wsp:rsid wsp:val=&quot;00040C12&quot;/&gt;&lt;wsp:rsid wsp:val=&quot;00040DA1&quot;/&gt;&lt;wsp:rsid wsp:val=&quot;00040F18&quot;/&gt;&lt;wsp:rsid wsp:val=&quot;0004110F&quot;/&gt;&lt;wsp:rsid wsp:val=&quot;000412EB&quot;/&gt;&lt;wsp:rsid wsp:val=&quot;0004138D&quot;/&gt;&lt;wsp:rsid wsp:val=&quot;000413F1&quot;/&gt;&lt;wsp:rsid wsp:val=&quot;000414C0&quot;/&gt;&lt;wsp:rsid wsp:val=&quot;00041E8F&quot;/&gt;&lt;wsp:rsid wsp:val=&quot;00041F06&quot;/&gt;&lt;wsp:rsid wsp:val=&quot;0004255B&quot;/&gt;&lt;wsp:rsid wsp:val=&quot;00042594&quot;/&gt;&lt;wsp:rsid wsp:val=&quot;0004273E&quot;/&gt;&lt;wsp:rsid wsp:val=&quot;00042764&quot;/&gt;&lt;wsp:rsid wsp:val=&quot;00042F4A&quot;/&gt;&lt;wsp:rsid wsp:val=&quot;000430F4&quot;/&gt;&lt;wsp:rsid wsp:val=&quot;00043921&quot;/&gt;&lt;wsp:rsid wsp:val=&quot;00043935&quot;/&gt;&lt;wsp:rsid wsp:val=&quot;00043EB2&quot;/&gt;&lt;wsp:rsid wsp:val=&quot;0004419F&quot;/&gt;&lt;wsp:rsid wsp:val=&quot;00044391&quot;/&gt;&lt;wsp:rsid wsp:val=&quot;0004446E&quot;/&gt;&lt;wsp:rsid wsp:val=&quot;000444B3&quot;/&gt;&lt;wsp:rsid wsp:val=&quot;00044538&quot;/&gt;&lt;wsp:rsid wsp:val=&quot;0004488A&quot;/&gt;&lt;wsp:rsid wsp:val=&quot;000449CE&quot;/&gt;&lt;wsp:rsid wsp:val=&quot;00044A16&quot;/&gt;&lt;wsp:rsid wsp:val=&quot;00044B5C&quot;/&gt;&lt;wsp:rsid wsp:val=&quot;00044D18&quot;/&gt;&lt;wsp:rsid wsp:val=&quot;00044E73&quot;/&gt;&lt;wsp:rsid wsp:val=&quot;00044F28&quot;/&gt;&lt;wsp:rsid wsp:val=&quot;00044FEF&quot;/&gt;&lt;wsp:rsid wsp:val=&quot;00045598&quot;/&gt;&lt;wsp:rsid wsp:val=&quot;00045B35&quot;/&gt;&lt;wsp:rsid wsp:val=&quot;00045E51&quot;/&gt;&lt;wsp:rsid wsp:val=&quot;00046110&quot;/&gt;&lt;wsp:rsid wsp:val=&quot;00046429&quot;/&gt;&lt;wsp:rsid wsp:val=&quot;0004668C&quot;/&gt;&lt;wsp:rsid wsp:val=&quot;000475D4&quot;/&gt;&lt;wsp:rsid wsp:val=&quot;00047C17&quot;/&gt;&lt;wsp:rsid wsp:val=&quot;00047C27&quot;/&gt;&lt;wsp:rsid wsp:val=&quot;00047C59&quot;/&gt;&lt;wsp:rsid wsp:val=&quot;00047F34&quot;/&gt;&lt;wsp:rsid wsp:val=&quot;000504F0&quot;/&gt;&lt;wsp:rsid wsp:val=&quot;00050664&quot;/&gt;&lt;wsp:rsid wsp:val=&quot;00050880&quot;/&gt;&lt;wsp:rsid wsp:val=&quot;00050993&quot;/&gt;&lt;wsp:rsid wsp:val=&quot;00050FD6&quot;/&gt;&lt;wsp:rsid wsp:val=&quot;00051206&quot;/&gt;&lt;wsp:rsid wsp:val=&quot;000515A2&quot;/&gt;&lt;wsp:rsid wsp:val=&quot;00051F54&quot;/&gt;&lt;wsp:rsid wsp:val=&quot;000520A1&quot;/&gt;&lt;wsp:rsid wsp:val=&quot;000525EB&quot;/&gt;&lt;wsp:rsid wsp:val=&quot;0005266E&quot;/&gt;&lt;wsp:rsid wsp:val=&quot;000527E0&quot;/&gt;&lt;wsp:rsid wsp:val=&quot;00052923&quot;/&gt;&lt;wsp:rsid wsp:val=&quot;00052D26&quot;/&gt;&lt;wsp:rsid wsp:val=&quot;00052E31&quot;/&gt;&lt;wsp:rsid wsp:val=&quot;000535A5&quot;/&gt;&lt;wsp:rsid wsp:val=&quot;000536A3&quot;/&gt;&lt;wsp:rsid wsp:val=&quot;00053D10&quot;/&gt;&lt;wsp:rsid wsp:val=&quot;00053F2B&quot;/&gt;&lt;wsp:rsid wsp:val=&quot;00053F37&quot;/&gt;&lt;wsp:rsid wsp:val=&quot;000546C9&quot;/&gt;&lt;wsp:rsid wsp:val=&quot;000547F3&quot;/&gt;&lt;wsp:rsid wsp:val=&quot;000548C7&quot;/&gt;&lt;wsp:rsid wsp:val=&quot;00054E12&quot;/&gt;&lt;wsp:rsid wsp:val=&quot;00054E32&quot;/&gt;&lt;wsp:rsid wsp:val=&quot;000551DD&quot;/&gt;&lt;wsp:rsid wsp:val=&quot;0005551E&quot;/&gt;&lt;wsp:rsid wsp:val=&quot;00055725&quot;/&gt;&lt;wsp:rsid wsp:val=&quot;0005582F&quot;/&gt;&lt;wsp:rsid wsp:val=&quot;000558B6&quot;/&gt;&lt;wsp:rsid wsp:val=&quot;00055A9A&quot;/&gt;&lt;wsp:rsid wsp:val=&quot;00055D45&quot;/&gt;&lt;wsp:rsid wsp:val=&quot;00055E28&quot;/&gt;&lt;wsp:rsid wsp:val=&quot;000563E2&quot;/&gt;&lt;wsp:rsid wsp:val=&quot;0005646A&quot;/&gt;&lt;wsp:rsid wsp:val=&quot;00056820&quot;/&gt;&lt;wsp:rsid wsp:val=&quot;00056C8F&quot;/&gt;&lt;wsp:rsid wsp:val=&quot;000570B4&quot;/&gt;&lt;wsp:rsid wsp:val=&quot;00057287&quot;/&gt;&lt;wsp:rsid wsp:val=&quot;00057450&quot;/&gt;&lt;wsp:rsid wsp:val=&quot;00057FD1&quot;/&gt;&lt;wsp:rsid wsp:val=&quot;000605C6&quot;/&gt;&lt;wsp:rsid wsp:val=&quot;0006094F&quot;/&gt;&lt;wsp:rsid wsp:val=&quot;00060D9A&quot;/&gt;&lt;wsp:rsid wsp:val=&quot;0006114D&quot;/&gt;&lt;wsp:rsid wsp:val=&quot;00061342&quot;/&gt;&lt;wsp:rsid wsp:val=&quot;000616FB&quot;/&gt;&lt;wsp:rsid wsp:val=&quot;00061D4B&quot;/&gt;&lt;wsp:rsid wsp:val=&quot;0006251F&quot;/&gt;&lt;wsp:rsid wsp:val=&quot;00062BCA&quot;/&gt;&lt;wsp:rsid wsp:val=&quot;00063845&quot;/&gt;&lt;wsp:rsid wsp:val=&quot;00063E7D&quot;/&gt;&lt;wsp:rsid wsp:val=&quot;00063F8C&quot;/&gt;&lt;wsp:rsid wsp:val=&quot;00064336&quot;/&gt;&lt;wsp:rsid wsp:val=&quot;000643A2&quot;/&gt;&lt;wsp:rsid wsp:val=&quot;00064B66&quot;/&gt;&lt;wsp:rsid wsp:val=&quot;00064F9D&quot;/&gt;&lt;wsp:rsid wsp:val=&quot;0006561A&quot;/&gt;&lt;wsp:rsid wsp:val=&quot;000659B9&quot;/&gt;&lt;wsp:rsid wsp:val=&quot;00065B48&quot;/&gt;&lt;wsp:rsid wsp:val=&quot;00065F03&quot;/&gt;&lt;wsp:rsid wsp:val=&quot;00066175&quot;/&gt;&lt;wsp:rsid wsp:val=&quot;000661F0&quot;/&gt;&lt;wsp:rsid wsp:val=&quot;00066384&quot;/&gt;&lt;wsp:rsid wsp:val=&quot;00066556&quot;/&gt;&lt;wsp:rsid wsp:val=&quot;00066C9F&quot;/&gt;&lt;wsp:rsid wsp:val=&quot;00066D83&quot;/&gt;&lt;wsp:rsid wsp:val=&quot;00067045&quot;/&gt;&lt;wsp:rsid wsp:val=&quot;00067A40&quot;/&gt;&lt;wsp:rsid wsp:val=&quot;00067AA3&quot;/&gt;&lt;wsp:rsid wsp:val=&quot;00067AB9&quot;/&gt;&lt;wsp:rsid wsp:val=&quot;00070000&quot;/&gt;&lt;wsp:rsid wsp:val=&quot;00070067&quot;/&gt;&lt;wsp:rsid wsp:val=&quot;0007015F&quot;/&gt;&lt;wsp:rsid wsp:val=&quot;000702C2&quot;/&gt;&lt;wsp:rsid wsp:val=&quot;000702C6&quot;/&gt;&lt;wsp:rsid wsp:val=&quot;00070A24&quot;/&gt;&lt;wsp:rsid wsp:val=&quot;00071628&quot;/&gt;&lt;wsp:rsid wsp:val=&quot;0007185F&quot;/&gt;&lt;wsp:rsid wsp:val=&quot;00072553&quot;/&gt;&lt;wsp:rsid wsp:val=&quot;00072E07&quot;/&gt;&lt;wsp:rsid wsp:val=&quot;00073729&quot;/&gt;&lt;wsp:rsid wsp:val=&quot;000739F2&quot;/&gt;&lt;wsp:rsid wsp:val=&quot;00073E02&quot;/&gt;&lt;wsp:rsid wsp:val=&quot;00074052&quot;/&gt;&lt;wsp:rsid wsp:val=&quot;00074807&quot;/&gt;&lt;wsp:rsid wsp:val=&quot;00075396&quot;/&gt;&lt;wsp:rsid wsp:val=&quot;00075542&quot;/&gt;&lt;wsp:rsid wsp:val=&quot;00075821&quot;/&gt;&lt;wsp:rsid wsp:val=&quot;00075BDC&quot;/&gt;&lt;wsp:rsid wsp:val=&quot;00075C12&quot;/&gt;&lt;wsp:rsid wsp:val=&quot;00076244&quot;/&gt;&lt;wsp:rsid wsp:val=&quot;0007658B&quot;/&gt;&lt;wsp:rsid wsp:val=&quot;000765A5&quot;/&gt;&lt;wsp:rsid wsp:val=&quot;000766B1&quot;/&gt;&lt;wsp:rsid wsp:val=&quot;00076AEC&quot;/&gt;&lt;wsp:rsid wsp:val=&quot;00076B85&quot;/&gt;&lt;wsp:rsid wsp:val=&quot;00077223&quot;/&gt;&lt;wsp:rsid wsp:val=&quot;000775BC&quot;/&gt;&lt;wsp:rsid wsp:val=&quot;00077735&quot;/&gt;&lt;wsp:rsid wsp:val=&quot;00077964&quot;/&gt;&lt;wsp:rsid wsp:val=&quot;00077AC7&quot;/&gt;&lt;wsp:rsid wsp:val=&quot;00080093&quot;/&gt;&lt;wsp:rsid wsp:val=&quot;00080B60&quot;/&gt;&lt;wsp:rsid wsp:val=&quot;00080D86&quot;/&gt;&lt;wsp:rsid wsp:val=&quot;0008123C&quot;/&gt;&lt;wsp:rsid wsp:val=&quot;000815B0&quot;/&gt;&lt;wsp:rsid wsp:val=&quot;000822F8&quot;/&gt;&lt;wsp:rsid wsp:val=&quot;0008289C&quot;/&gt;&lt;wsp:rsid wsp:val=&quot;00082ACC&quot;/&gt;&lt;wsp:rsid wsp:val=&quot;00082EC5&quot;/&gt;&lt;wsp:rsid wsp:val=&quot;00083307&quot;/&gt;&lt;wsp:rsid wsp:val=&quot;0008338D&quot;/&gt;&lt;wsp:rsid wsp:val=&quot;00083405&quot;/&gt;&lt;wsp:rsid wsp:val=&quot;00083653&quot;/&gt;&lt;wsp:rsid wsp:val=&quot;00083ADB&quot;/&gt;&lt;wsp:rsid wsp:val=&quot;00083BC4&quot;/&gt;&lt;wsp:rsid wsp:val=&quot;00083C79&quot;/&gt;&lt;wsp:rsid wsp:val=&quot;000845BC&quot;/&gt;&lt;wsp:rsid wsp:val=&quot;00084681&quot;/&gt;&lt;wsp:rsid wsp:val=&quot;000849E2&quot;/&gt;&lt;wsp:rsid wsp:val=&quot;00085033&quot;/&gt;&lt;wsp:rsid wsp:val=&quot;0008530A&quot;/&gt;&lt;wsp:rsid wsp:val=&quot;00085A95&quot;/&gt;&lt;wsp:rsid wsp:val=&quot;00085CFD&quot;/&gt;&lt;wsp:rsid wsp:val=&quot;0008620C&quot;/&gt;&lt;wsp:rsid wsp:val=&quot;00086329&quot;/&gt;&lt;wsp:rsid wsp:val=&quot;0008638E&quot;/&gt;&lt;wsp:rsid wsp:val=&quot;00086444&quot;/&gt;&lt;wsp:rsid wsp:val=&quot;00086BB9&quot;/&gt;&lt;wsp:rsid wsp:val=&quot;00087727&quot;/&gt;&lt;wsp:rsid wsp:val=&quot;000877E2&quot;/&gt;&lt;wsp:rsid wsp:val=&quot;00087AC4&quot;/&gt;&lt;wsp:rsid wsp:val=&quot;00087E23&quot;/&gt;&lt;wsp:rsid wsp:val=&quot;0009014C&quot;/&gt;&lt;wsp:rsid wsp:val=&quot;0009092E&quot;/&gt;&lt;wsp:rsid wsp:val=&quot;00090D88&quot;/&gt;&lt;wsp:rsid wsp:val=&quot;00091590&quot;/&gt;&lt;wsp:rsid wsp:val=&quot;0009167E&quot;/&gt;&lt;wsp:rsid wsp:val=&quot;00091B44&quot;/&gt;&lt;wsp:rsid wsp:val=&quot;00091DDD&quot;/&gt;&lt;wsp:rsid wsp:val=&quot;00092244&quot;/&gt;&lt;wsp:rsid wsp:val=&quot;000922A0&quot;/&gt;&lt;wsp:rsid wsp:val=&quot;0009250A&quot;/&gt;&lt;wsp:rsid wsp:val=&quot;00092832&quot;/&gt;&lt;wsp:rsid wsp:val=&quot;00092880&quot;/&gt;&lt;wsp:rsid wsp:val=&quot;000928B8&quot;/&gt;&lt;wsp:rsid wsp:val=&quot;00092BDB&quot;/&gt;&lt;wsp:rsid wsp:val=&quot;00092D38&quot;/&gt;&lt;wsp:rsid wsp:val=&quot;00092DF8&quot;/&gt;&lt;wsp:rsid wsp:val=&quot;00093306&quot;/&gt;&lt;wsp:rsid wsp:val=&quot;00093658&quot;/&gt;&lt;wsp:rsid wsp:val=&quot;000936D3&quot;/&gt;&lt;wsp:rsid wsp:val=&quot;00093D53&quot;/&gt;&lt;wsp:rsid wsp:val=&quot;00093FD6&quot;/&gt;&lt;wsp:rsid wsp:val=&quot;000943A3&quot;/&gt;&lt;wsp:rsid wsp:val=&quot;0009494C&quot;/&gt;&lt;wsp:rsid wsp:val=&quot;00094EE1&quot;/&gt;&lt;wsp:rsid wsp:val=&quot;00095196&quot;/&gt;&lt;wsp:rsid wsp:val=&quot;00095C3B&quot;/&gt;&lt;wsp:rsid wsp:val=&quot;00096485&quot;/&gt;&lt;wsp:rsid wsp:val=&quot;000964BF&quot;/&gt;&lt;wsp:rsid wsp:val=&quot;00096807&quot;/&gt;&lt;wsp:rsid wsp:val=&quot;00096843&quot;/&gt;&lt;wsp:rsid wsp:val=&quot;000968B5&quot;/&gt;&lt;wsp:rsid wsp:val=&quot;00096B2F&quot;/&gt;&lt;wsp:rsid wsp:val=&quot;00096F78&quot;/&gt;&lt;wsp:rsid wsp:val=&quot;00097521&quot;/&gt;&lt;wsp:rsid wsp:val=&quot;000978B1&quot;/&gt;&lt;wsp:rsid wsp:val=&quot;000A002B&quot;/&gt;&lt;wsp:rsid wsp:val=&quot;000A0434&quot;/&gt;&lt;wsp:rsid wsp:val=&quot;000A04F0&quot;/&gt;&lt;wsp:rsid wsp:val=&quot;000A08A6&quot;/&gt;&lt;wsp:rsid wsp:val=&quot;000A0932&quot;/&gt;&lt;wsp:rsid wsp:val=&quot;000A0A93&quot;/&gt;&lt;wsp:rsid wsp:val=&quot;000A0BB0&quot;/&gt;&lt;wsp:rsid wsp:val=&quot;000A0DA2&quot;/&gt;&lt;wsp:rsid wsp:val=&quot;000A16CC&quot;/&gt;&lt;wsp:rsid wsp:val=&quot;000A1A46&quot;/&gt;&lt;wsp:rsid wsp:val=&quot;000A1B18&quot;/&gt;&lt;wsp:rsid wsp:val=&quot;000A1C8A&quot;/&gt;&lt;wsp:rsid wsp:val=&quot;000A379F&quot;/&gt;&lt;wsp:rsid wsp:val=&quot;000A38E0&quot;/&gt;&lt;wsp:rsid wsp:val=&quot;000A39DE&quot;/&gt;&lt;wsp:rsid wsp:val=&quot;000A3C68&quot;/&gt;&lt;wsp:rsid wsp:val=&quot;000A3F95&quot;/&gt;&lt;wsp:rsid wsp:val=&quot;000A4373&quot;/&gt;&lt;wsp:rsid wsp:val=&quot;000A4670&quot;/&gt;&lt;wsp:rsid wsp:val=&quot;000A477D&quot;/&gt;&lt;wsp:rsid wsp:val=&quot;000A47CF&quot;/&gt;&lt;wsp:rsid wsp:val=&quot;000A4C05&quot;/&gt;&lt;wsp:rsid wsp:val=&quot;000A4D03&quot;/&gt;&lt;wsp:rsid wsp:val=&quot;000A4FB4&quot;/&gt;&lt;wsp:rsid wsp:val=&quot;000A4FF6&quot;/&gt;&lt;wsp:rsid wsp:val=&quot;000A512E&quot;/&gt;&lt;wsp:rsid wsp:val=&quot;000A525A&quot;/&gt;&lt;wsp:rsid wsp:val=&quot;000A52FF&quot;/&gt;&lt;wsp:rsid wsp:val=&quot;000A57A2&quot;/&gt;&lt;wsp:rsid wsp:val=&quot;000A5EA9&quot;/&gt;&lt;wsp:rsid wsp:val=&quot;000A611E&quot;/&gt;&lt;wsp:rsid wsp:val=&quot;000A6372&quot;/&gt;&lt;wsp:rsid wsp:val=&quot;000A68B1&quot;/&gt;&lt;wsp:rsid wsp:val=&quot;000A6AAC&quot;/&gt;&lt;wsp:rsid wsp:val=&quot;000A6BF9&quot;/&gt;&lt;wsp:rsid wsp:val=&quot;000A6E06&quot;/&gt;&lt;wsp:rsid wsp:val=&quot;000A718C&quot;/&gt;&lt;wsp:rsid wsp:val=&quot;000A741A&quot;/&gt;&lt;wsp:rsid wsp:val=&quot;000A7430&quot;/&gt;&lt;wsp:rsid wsp:val=&quot;000A7482&quot;/&gt;&lt;wsp:rsid wsp:val=&quot;000A7895&quot;/&gt;&lt;wsp:rsid wsp:val=&quot;000A7BD7&quot;/&gt;&lt;wsp:rsid wsp:val=&quot;000A7D80&quot;/&gt;&lt;wsp:rsid wsp:val=&quot;000B1142&quot;/&gt;&lt;wsp:rsid wsp:val=&quot;000B1322&quot;/&gt;&lt;wsp:rsid wsp:val=&quot;000B149A&quot;/&gt;&lt;wsp:rsid wsp:val=&quot;000B14DF&quot;/&gt;&lt;wsp:rsid wsp:val=&quot;000B167D&quot;/&gt;&lt;wsp:rsid wsp:val=&quot;000B1B67&quot;/&gt;&lt;wsp:rsid wsp:val=&quot;000B1E31&quot;/&gt;&lt;wsp:rsid wsp:val=&quot;000B221A&quot;/&gt;&lt;wsp:rsid wsp:val=&quot;000B251B&quot;/&gt;&lt;wsp:rsid wsp:val=&quot;000B25C3&quot;/&gt;&lt;wsp:rsid wsp:val=&quot;000B27FD&quot;/&gt;&lt;wsp:rsid wsp:val=&quot;000B286C&quot;/&gt;&lt;wsp:rsid wsp:val=&quot;000B2B47&quot;/&gt;&lt;wsp:rsid wsp:val=&quot;000B2B6B&quot;/&gt;&lt;wsp:rsid wsp:val=&quot;000B2C1A&quot;/&gt;&lt;wsp:rsid wsp:val=&quot;000B2EB4&quot;/&gt;&lt;wsp:rsid wsp:val=&quot;000B3481&quot;/&gt;&lt;wsp:rsid wsp:val=&quot;000B3B79&quot;/&gt;&lt;wsp:rsid wsp:val=&quot;000B4097&quot;/&gt;&lt;wsp:rsid wsp:val=&quot;000B40D5&quot;/&gt;&lt;wsp:rsid wsp:val=&quot;000B439E&quot;/&gt;&lt;wsp:rsid wsp:val=&quot;000B4880&quot;/&gt;&lt;wsp:rsid wsp:val=&quot;000B4C48&quot;/&gt;&lt;wsp:rsid wsp:val=&quot;000B51E8&quot;/&gt;&lt;wsp:rsid wsp:val=&quot;000B5B75&quot;/&gt;&lt;wsp:rsid wsp:val=&quot;000B5B94&quot;/&gt;&lt;wsp:rsid wsp:val=&quot;000B5C9E&quot;/&gt;&lt;wsp:rsid wsp:val=&quot;000B641C&quot;/&gt;&lt;wsp:rsid wsp:val=&quot;000B6424&quot;/&gt;&lt;wsp:rsid wsp:val=&quot;000B6501&quot;/&gt;&lt;wsp:rsid wsp:val=&quot;000B6618&quot;/&gt;&lt;wsp:rsid wsp:val=&quot;000B693A&quot;/&gt;&lt;wsp:rsid wsp:val=&quot;000B69BA&quot;/&gt;&lt;wsp:rsid wsp:val=&quot;000B6EF4&quot;/&gt;&lt;wsp:rsid wsp:val=&quot;000B6F17&quot;/&gt;&lt;wsp:rsid wsp:val=&quot;000B6F8A&quot;/&gt;&lt;wsp:rsid wsp:val=&quot;000B7311&quot;/&gt;&lt;wsp:rsid wsp:val=&quot;000B7768&quot;/&gt;&lt;wsp:rsid wsp:val=&quot;000B79A3&quot;/&gt;&lt;wsp:rsid wsp:val=&quot;000C060E&quot;/&gt;&lt;wsp:rsid wsp:val=&quot;000C0854&quot;/&gt;&lt;wsp:rsid wsp:val=&quot;000C0E5A&quot;/&gt;&lt;wsp:rsid wsp:val=&quot;000C0F02&quot;/&gt;&lt;wsp:rsid wsp:val=&quot;000C134A&quot;/&gt;&lt;wsp:rsid wsp:val=&quot;000C1706&quot;/&gt;&lt;wsp:rsid wsp:val=&quot;000C1C1D&quot;/&gt;&lt;wsp:rsid wsp:val=&quot;000C1CF9&quot;/&gt;&lt;wsp:rsid wsp:val=&quot;000C1E63&quot;/&gt;&lt;wsp:rsid wsp:val=&quot;000C1FAA&quot;/&gt;&lt;wsp:rsid wsp:val=&quot;000C2A69&quot;/&gt;&lt;wsp:rsid wsp:val=&quot;000C313A&quot;/&gt;&lt;wsp:rsid wsp:val=&quot;000C313D&quot;/&gt;&lt;wsp:rsid wsp:val=&quot;000C324D&quot;/&gt;&lt;wsp:rsid wsp:val=&quot;000C3271&quot;/&gt;&lt;wsp:rsid wsp:val=&quot;000C34E4&quot;/&gt;&lt;wsp:rsid wsp:val=&quot;000C3563&quot;/&gt;&lt;wsp:rsid wsp:val=&quot;000C36F0&quot;/&gt;&lt;wsp:rsid wsp:val=&quot;000C3850&quot;/&gt;&lt;wsp:rsid wsp:val=&quot;000C3B1C&quot;/&gt;&lt;wsp:rsid wsp:val=&quot;000C3D26&quot;/&gt;&lt;wsp:rsid wsp:val=&quot;000C3E41&quot;/&gt;&lt;wsp:rsid wsp:val=&quot;000C40E5&quot;/&gt;&lt;wsp:rsid wsp:val=&quot;000C458C&quot;/&gt;&lt;wsp:rsid wsp:val=&quot;000C4D5D&quot;/&gt;&lt;wsp:rsid wsp:val=&quot;000C55A4&quot;/&gt;&lt;wsp:rsid wsp:val=&quot;000C5DF7&quot;/&gt;&lt;wsp:rsid wsp:val=&quot;000C6617&quot;/&gt;&lt;wsp:rsid wsp:val=&quot;000C68A4&quot;/&gt;&lt;wsp:rsid wsp:val=&quot;000C695C&quot;/&gt;&lt;wsp:rsid wsp:val=&quot;000C7051&quot;/&gt;&lt;wsp:rsid wsp:val=&quot;000C75BD&quot;/&gt;&lt;wsp:rsid wsp:val=&quot;000C771E&quot;/&gt;&lt;wsp:rsid wsp:val=&quot;000C7AF7&quot;/&gt;&lt;wsp:rsid wsp:val=&quot;000C7FDE&quot;/&gt;&lt;wsp:rsid wsp:val=&quot;000D024B&quot;/&gt;&lt;wsp:rsid wsp:val=&quot;000D03D3&quot;/&gt;&lt;wsp:rsid wsp:val=&quot;000D04D2&quot;/&gt;&lt;wsp:rsid wsp:val=&quot;000D05CB&quot;/&gt;&lt;wsp:rsid wsp:val=&quot;000D06AA&quot;/&gt;&lt;wsp:rsid wsp:val=&quot;000D0A5E&quot;/&gt;&lt;wsp:rsid wsp:val=&quot;000D0E34&quot;/&gt;&lt;wsp:rsid wsp:val=&quot;000D123D&quot;/&gt;&lt;wsp:rsid wsp:val=&quot;000D12B2&quot;/&gt;&lt;wsp:rsid wsp:val=&quot;000D1489&quot;/&gt;&lt;wsp:rsid wsp:val=&quot;000D1698&quot;/&gt;&lt;wsp:rsid wsp:val=&quot;000D1A50&quot;/&gt;&lt;wsp:rsid wsp:val=&quot;000D1C03&quot;/&gt;&lt;wsp:rsid wsp:val=&quot;000D1D53&quot;/&gt;&lt;wsp:rsid wsp:val=&quot;000D232C&quot;/&gt;&lt;wsp:rsid wsp:val=&quot;000D285E&quot;/&gt;&lt;wsp:rsid wsp:val=&quot;000D28F0&quot;/&gt;&lt;wsp:rsid wsp:val=&quot;000D296A&quot;/&gt;&lt;wsp:rsid wsp:val=&quot;000D2992&quot;/&gt;&lt;wsp:rsid wsp:val=&quot;000D2C72&quot;/&gt;&lt;wsp:rsid wsp:val=&quot;000D31FD&quot;/&gt;&lt;wsp:rsid wsp:val=&quot;000D3378&quot;/&gt;&lt;wsp:rsid wsp:val=&quot;000D35B2&quot;/&gt;&lt;wsp:rsid wsp:val=&quot;000D3671&quot;/&gt;&lt;wsp:rsid wsp:val=&quot;000D409D&quot;/&gt;&lt;wsp:rsid wsp:val=&quot;000D4513&quot;/&gt;&lt;wsp:rsid wsp:val=&quot;000D4CD0&quot;/&gt;&lt;wsp:rsid wsp:val=&quot;000D4D1D&quot;/&gt;&lt;wsp:rsid wsp:val=&quot;000D4DC6&quot;/&gt;&lt;wsp:rsid wsp:val=&quot;000D4F86&quot;/&gt;&lt;wsp:rsid wsp:val=&quot;000D50D1&quot;/&gt;&lt;wsp:rsid wsp:val=&quot;000D54E7&quot;/&gt;&lt;wsp:rsid wsp:val=&quot;000D5542&quot;/&gt;&lt;wsp:rsid wsp:val=&quot;000D569C&quot;/&gt;&lt;wsp:rsid wsp:val=&quot;000D57B5&quot;/&gt;&lt;wsp:rsid wsp:val=&quot;000D580C&quot;/&gt;&lt;wsp:rsid wsp:val=&quot;000D5848&quot;/&gt;&lt;wsp:rsid wsp:val=&quot;000D59E3&quot;/&gt;&lt;wsp:rsid wsp:val=&quot;000D5ACC&quot;/&gt;&lt;wsp:rsid wsp:val=&quot;000D5E6D&quot;/&gt;&lt;wsp:rsid wsp:val=&quot;000D5ED1&quot;/&gt;&lt;wsp:rsid wsp:val=&quot;000D6903&quot;/&gt;&lt;wsp:rsid wsp:val=&quot;000D6F84&quot;/&gt;&lt;wsp:rsid wsp:val=&quot;000D6FE1&quot;/&gt;&lt;wsp:rsid wsp:val=&quot;000D708D&quot;/&gt;&lt;wsp:rsid wsp:val=&quot;000D753B&quot;/&gt;&lt;wsp:rsid wsp:val=&quot;000D7FBD&quot;/&gt;&lt;wsp:rsid wsp:val=&quot;000E00E8&quot;/&gt;&lt;wsp:rsid wsp:val=&quot;000E013F&quot;/&gt;&lt;wsp:rsid wsp:val=&quot;000E08A7&quot;/&gt;&lt;wsp:rsid wsp:val=&quot;000E0D19&quot;/&gt;&lt;wsp:rsid wsp:val=&quot;000E1064&quot;/&gt;&lt;wsp:rsid wsp:val=&quot;000E1137&quot;/&gt;&lt;wsp:rsid wsp:val=&quot;000E1324&quot;/&gt;&lt;wsp:rsid wsp:val=&quot;000E147C&quot;/&gt;&lt;wsp:rsid wsp:val=&quot;000E16EE&quot;/&gt;&lt;wsp:rsid wsp:val=&quot;000E1736&quot;/&gt;&lt;wsp:rsid wsp:val=&quot;000E1B5F&quot;/&gt;&lt;wsp:rsid wsp:val=&quot;000E20CF&quot;/&gt;&lt;wsp:rsid wsp:val=&quot;000E2277&quot;/&gt;&lt;wsp:rsid wsp:val=&quot;000E22A7&quot;/&gt;&lt;wsp:rsid wsp:val=&quot;000E22ED&quot;/&gt;&lt;wsp:rsid wsp:val=&quot;000E25F1&quot;/&gt;&lt;wsp:rsid wsp:val=&quot;000E2A13&quot;/&gt;&lt;wsp:rsid wsp:val=&quot;000E32F7&quot;/&gt;&lt;wsp:rsid wsp:val=&quot;000E381E&quot;/&gt;&lt;wsp:rsid wsp:val=&quot;000E3AEB&quot;/&gt;&lt;wsp:rsid wsp:val=&quot;000E4019&quot;/&gt;&lt;wsp:rsid wsp:val=&quot;000E4421&quot;/&gt;&lt;wsp:rsid wsp:val=&quot;000E4906&quot;/&gt;&lt;wsp:rsid wsp:val=&quot;000E4CA2&quot;/&gt;&lt;wsp:rsid wsp:val=&quot;000E4F6D&quot;/&gt;&lt;wsp:rsid wsp:val=&quot;000E5496&quot;/&gt;&lt;wsp:rsid wsp:val=&quot;000E56AD&quot;/&gt;&lt;wsp:rsid wsp:val=&quot;000E56C5&quot;/&gt;&lt;wsp:rsid wsp:val=&quot;000E5B04&quot;/&gt;&lt;wsp:rsid wsp:val=&quot;000E64B9&quot;/&gt;&lt;wsp:rsid wsp:val=&quot;000E6562&quot;/&gt;&lt;wsp:rsid wsp:val=&quot;000E6586&quot;/&gt;&lt;wsp:rsid wsp:val=&quot;000E72CA&quot;/&gt;&lt;wsp:rsid wsp:val=&quot;000E7460&quot;/&gt;&lt;wsp:rsid wsp:val=&quot;000E785F&quot;/&gt;&lt;wsp:rsid wsp:val=&quot;000F0095&quot;/&gt;&lt;wsp:rsid wsp:val=&quot;000F0866&quot;/&gt;&lt;wsp:rsid wsp:val=&quot;000F08DE&quot;/&gt;&lt;wsp:rsid wsp:val=&quot;000F0AEA&quot;/&gt;&lt;wsp:rsid wsp:val=&quot;000F0B14&quot;/&gt;&lt;wsp:rsid wsp:val=&quot;000F0D9D&quot;/&gt;&lt;wsp:rsid wsp:val=&quot;000F1187&quot;/&gt;&lt;wsp:rsid wsp:val=&quot;000F13C2&quot;/&gt;&lt;wsp:rsid wsp:val=&quot;000F15F2&quot;/&gt;&lt;wsp:rsid wsp:val=&quot;000F1830&quot;/&gt;&lt;wsp:rsid wsp:val=&quot;000F2759&quot;/&gt;&lt;wsp:rsid wsp:val=&quot;000F317F&quot;/&gt;&lt;wsp:rsid wsp:val=&quot;000F337B&quot;/&gt;&lt;wsp:rsid wsp:val=&quot;000F3CC7&quot;/&gt;&lt;wsp:rsid wsp:val=&quot;000F403D&quot;/&gt;&lt;wsp:rsid wsp:val=&quot;000F4287&quot;/&gt;&lt;wsp:rsid wsp:val=&quot;000F4389&quot;/&gt;&lt;wsp:rsid wsp:val=&quot;000F484B&quot;/&gt;&lt;wsp:rsid wsp:val=&quot;000F4FAE&quot;/&gt;&lt;wsp:rsid wsp:val=&quot;000F5591&quot;/&gt;&lt;wsp:rsid wsp:val=&quot;000F57E4&quot;/&gt;&lt;wsp:rsid wsp:val=&quot;000F5C16&quot;/&gt;&lt;wsp:rsid wsp:val=&quot;000F60E6&quot;/&gt;&lt;wsp:rsid wsp:val=&quot;000F6F5B&quot;/&gt;&lt;wsp:rsid wsp:val=&quot;000F743B&quot;/&gt;&lt;wsp:rsid wsp:val=&quot;000F79ED&quot;/&gt;&lt;wsp:rsid wsp:val=&quot;000F7E8F&quot;/&gt;&lt;wsp:rsid wsp:val=&quot;00100565&quot;/&gt;&lt;wsp:rsid wsp:val=&quot;0010079F&quot;/&gt;&lt;wsp:rsid wsp:val=&quot;001007F6&quot;/&gt;&lt;wsp:rsid wsp:val=&quot;0010085A&quot;/&gt;&lt;wsp:rsid wsp:val=&quot;00100B18&quot;/&gt;&lt;wsp:rsid wsp:val=&quot;00100C0C&quot;/&gt;&lt;wsp:rsid wsp:val=&quot;00100FA1&quot;/&gt;&lt;wsp:rsid wsp:val=&quot;00100FA5&quot;/&gt;&lt;wsp:rsid wsp:val=&quot;0010136D&quot;/&gt;&lt;wsp:rsid wsp:val=&quot;001013C0&quot;/&gt;&lt;wsp:rsid wsp:val=&quot;0010153E&quot;/&gt;&lt;wsp:rsid wsp:val=&quot;001017D1&quot;/&gt;&lt;wsp:rsid wsp:val=&quot;00101889&quot;/&gt;&lt;wsp:rsid wsp:val=&quot;00101BF0&quot;/&gt;&lt;wsp:rsid wsp:val=&quot;00102343&quot;/&gt;&lt;wsp:rsid wsp:val=&quot;00102433&quot;/&gt;&lt;wsp:rsid wsp:val=&quot;00102564&quot;/&gt;&lt;wsp:rsid wsp:val=&quot;001028FB&quot;/&gt;&lt;wsp:rsid wsp:val=&quot;0010291C&quot;/&gt;&lt;wsp:rsid wsp:val=&quot;00102B88&quot;/&gt;&lt;wsp:rsid wsp:val=&quot;00102C99&quot;/&gt;&lt;wsp:rsid wsp:val=&quot;00103887&quot;/&gt;&lt;wsp:rsid wsp:val=&quot;00103962&quot;/&gt;&lt;wsp:rsid wsp:val=&quot;00103D38&quot;/&gt;&lt;wsp:rsid wsp:val=&quot;00104722&quot;/&gt;&lt;wsp:rsid wsp:val=&quot;00104A66&quot;/&gt;&lt;wsp:rsid wsp:val=&quot;00104A96&quot;/&gt;&lt;wsp:rsid wsp:val=&quot;00104DF2&quot;/&gt;&lt;wsp:rsid wsp:val=&quot;00104E38&quot;/&gt;&lt;wsp:rsid wsp:val=&quot;00104E39&quot;/&gt;&lt;wsp:rsid wsp:val=&quot;001053AC&quot;/&gt;&lt;wsp:rsid wsp:val=&quot;001055E1&quot;/&gt;&lt;wsp:rsid wsp:val=&quot;001057A1&quot;/&gt;&lt;wsp:rsid wsp:val=&quot;00105C11&quot;/&gt;&lt;wsp:rsid wsp:val=&quot;00105CA0&quot;/&gt;&lt;wsp:rsid wsp:val=&quot;0010630B&quot;/&gt;&lt;wsp:rsid wsp:val=&quot;0010653D&quot;/&gt;&lt;wsp:rsid wsp:val=&quot;0010728C&quot;/&gt;&lt;wsp:rsid wsp:val=&quot;00107807&quot;/&gt;&lt;wsp:rsid wsp:val=&quot;0010780B&quot;/&gt;&lt;wsp:rsid wsp:val=&quot;0010794E&quot;/&gt;&lt;wsp:rsid wsp:val=&quot;00107B11&quot;/&gt;&lt;wsp:rsid wsp:val=&quot;00107B79&quot;/&gt;&lt;wsp:rsid wsp:val=&quot;00107D7C&quot;/&gt;&lt;wsp:rsid wsp:val=&quot;00107DE6&quot;/&gt;&lt;wsp:rsid wsp:val=&quot;00110460&quot;/&gt;&lt;wsp:rsid wsp:val=&quot;00110AD1&quot;/&gt;&lt;wsp:rsid wsp:val=&quot;00110B44&quot;/&gt;&lt;wsp:rsid wsp:val=&quot;00110C30&quot;/&gt;&lt;wsp:rsid wsp:val=&quot;00110DE8&quot;/&gt;&lt;wsp:rsid wsp:val=&quot;00111278&quot;/&gt;&lt;wsp:rsid wsp:val=&quot;00111481&quot;/&gt;&lt;wsp:rsid wsp:val=&quot;00111703&quot;/&gt;&lt;wsp:rsid wsp:val=&quot;001122D9&quot;/&gt;&lt;wsp:rsid wsp:val=&quot;001125E5&quot;/&gt;&lt;wsp:rsid wsp:val=&quot;001125E7&quot;/&gt;&lt;wsp:rsid wsp:val=&quot;0011327A&quot;/&gt;&lt;wsp:rsid wsp:val=&quot;001132D9&quot;/&gt;&lt;wsp:rsid wsp:val=&quot;00113605&quot;/&gt;&lt;wsp:rsid wsp:val=&quot;00113943&quot;/&gt;&lt;wsp:rsid wsp:val=&quot;00113975&quot;/&gt;&lt;wsp:rsid wsp:val=&quot;00113AE1&quot;/&gt;&lt;wsp:rsid wsp:val=&quot;00113D29&quot;/&gt;&lt;wsp:rsid wsp:val=&quot;0011400E&quot;/&gt;&lt;wsp:rsid wsp:val=&quot;0011403F&quot;/&gt;&lt;wsp:rsid wsp:val=&quot;001144DA&quot;/&gt;&lt;wsp:rsid wsp:val=&quot;0011463D&quot;/&gt;&lt;wsp:rsid wsp:val=&quot;001147C3&quot;/&gt;&lt;wsp:rsid wsp:val=&quot;00115092&quot;/&gt;&lt;wsp:rsid wsp:val=&quot;001151F3&quot;/&gt;&lt;wsp:rsid wsp:val=&quot;001151FC&quot;/&gt;&lt;wsp:rsid wsp:val=&quot;00115369&quot;/&gt;&lt;wsp:rsid wsp:val=&quot;00115564&quot;/&gt;&lt;wsp:rsid wsp:val=&quot;00115E0B&quot;/&gt;&lt;wsp:rsid wsp:val=&quot;00115E7A&quot;/&gt;&lt;wsp:rsid wsp:val=&quot;00115FB8&quot;/&gt;&lt;wsp:rsid wsp:val=&quot;001163B4&quot;/&gt;&lt;wsp:rsid wsp:val=&quot;0011652B&quot;/&gt;&lt;wsp:rsid wsp:val=&quot;0011673A&quot;/&gt;&lt;wsp:rsid wsp:val=&quot;001167F3&quot;/&gt;&lt;wsp:rsid wsp:val=&quot;0011681B&quot;/&gt;&lt;wsp:rsid wsp:val=&quot;00116D9F&quot;/&gt;&lt;wsp:rsid wsp:val=&quot;00117135&quot;/&gt;&lt;wsp:rsid wsp:val=&quot;00117DF4&quot;/&gt;&lt;wsp:rsid wsp:val=&quot;00117E44&quot;/&gt;&lt;wsp:rsid wsp:val=&quot;001208F5&quot;/&gt;&lt;wsp:rsid wsp:val=&quot;00120EEF&quot;/&gt;&lt;wsp:rsid wsp:val=&quot;00121126&quot;/&gt;&lt;wsp:rsid wsp:val=&quot;00121370&quot;/&gt;&lt;wsp:rsid wsp:val=&quot;00121427&quot;/&gt;&lt;wsp:rsid wsp:val=&quot;00121B9F&quot;/&gt;&lt;wsp:rsid wsp:val=&quot;001225E5&quot;/&gt;&lt;wsp:rsid wsp:val=&quot;00123406&quot;/&gt;&lt;wsp:rsid wsp:val=&quot;00124033&quot;/&gt;&lt;wsp:rsid wsp:val=&quot;0012413D&quot;/&gt;&lt;wsp:rsid wsp:val=&quot;0012415F&quot;/&gt;&lt;wsp:rsid wsp:val=&quot;0012466D&quot;/&gt;&lt;wsp:rsid wsp:val=&quot;001246E9&quot;/&gt;&lt;wsp:rsid wsp:val=&quot;00124768&quot;/&gt;&lt;wsp:rsid wsp:val=&quot;0012480C&quot;/&gt;&lt;wsp:rsid wsp:val=&quot;00124B97&quot;/&gt;&lt;wsp:rsid wsp:val=&quot;00124D10&quot;/&gt;&lt;wsp:rsid wsp:val=&quot;00124EFA&quot;/&gt;&lt;wsp:rsid wsp:val=&quot;001253F8&quot;/&gt;&lt;wsp:rsid wsp:val=&quot;001256E6&quot;/&gt;&lt;wsp:rsid wsp:val=&quot;00125704&quot;/&gt;&lt;wsp:rsid wsp:val=&quot;00125993&quot;/&gt;&lt;wsp:rsid wsp:val=&quot;00125E3E&quot;/&gt;&lt;wsp:rsid wsp:val=&quot;00125EC8&quot;/&gt;&lt;wsp:rsid wsp:val=&quot;001267F3&quot;/&gt;&lt;wsp:rsid wsp:val=&quot;00126B33&quot;/&gt;&lt;wsp:rsid wsp:val=&quot;00126B66&quot;/&gt;&lt;wsp:rsid wsp:val=&quot;00126C2D&quot;/&gt;&lt;wsp:rsid wsp:val=&quot;001275D2&quot;/&gt;&lt;wsp:rsid wsp:val=&quot;0012786E&quot;/&gt;&lt;wsp:rsid wsp:val=&quot;00127BAB&quot;/&gt;&lt;wsp:rsid wsp:val=&quot;00127E98&quot;/&gt;&lt;wsp:rsid wsp:val=&quot;00127FB2&quot;/&gt;&lt;wsp:rsid wsp:val=&quot;00127FB5&quot;/&gt;&lt;wsp:rsid wsp:val=&quot;00130A74&quot;/&gt;&lt;wsp:rsid wsp:val=&quot;00130C1F&quot;/&gt;&lt;wsp:rsid wsp:val=&quot;00130DF6&quot;/&gt;&lt;wsp:rsid wsp:val=&quot;001312C9&quot;/&gt;&lt;wsp:rsid wsp:val=&quot;001321C2&quot;/&gt;&lt;wsp:rsid wsp:val=&quot;0013228C&quot;/&gt;&lt;wsp:rsid wsp:val=&quot;00132445&quot;/&gt;&lt;wsp:rsid wsp:val=&quot;001324E1&quot;/&gt;&lt;wsp:rsid wsp:val=&quot;00132A51&quot;/&gt;&lt;wsp:rsid wsp:val=&quot;00132F01&quot;/&gt;&lt;wsp:rsid wsp:val=&quot;001331C9&quot;/&gt;&lt;wsp:rsid wsp:val=&quot;00133252&quot;/&gt;&lt;wsp:rsid wsp:val=&quot;0013329B&quot;/&gt;&lt;wsp:rsid wsp:val=&quot;0013382F&quot;/&gt;&lt;wsp:rsid wsp:val=&quot;00133B6E&quot;/&gt;&lt;wsp:rsid wsp:val=&quot;00133C59&quot;/&gt;&lt;wsp:rsid wsp:val=&quot;001340D6&quot;/&gt;&lt;wsp:rsid wsp:val=&quot;0013449E&quot;/&gt;&lt;wsp:rsid wsp:val=&quot;001348A5&quot;/&gt;&lt;wsp:rsid wsp:val=&quot;00134C65&quot;/&gt;&lt;wsp:rsid wsp:val=&quot;00135B13&quot;/&gt;&lt;wsp:rsid wsp:val=&quot;00135BE2&quot;/&gt;&lt;wsp:rsid wsp:val=&quot;00135E40&quot;/&gt;&lt;wsp:rsid wsp:val=&quot;00136038&quot;/&gt;&lt;wsp:rsid wsp:val=&quot;00136172&quot;/&gt;&lt;wsp:rsid wsp:val=&quot;00136726&quot;/&gt;&lt;wsp:rsid wsp:val=&quot;0013675C&quot;/&gt;&lt;wsp:rsid wsp:val=&quot;00136943&quot;/&gt;&lt;wsp:rsid wsp:val=&quot;00136DD5&quot;/&gt;&lt;wsp:rsid wsp:val=&quot;00137CD1&quot;/&gt;&lt;wsp:rsid wsp:val=&quot;00137DDF&quot;/&gt;&lt;wsp:rsid wsp:val=&quot;00140462&quot;/&gt;&lt;wsp:rsid wsp:val=&quot;001405F2&quot;/&gt;&lt;wsp:rsid wsp:val=&quot;00140671&quot;/&gt;&lt;wsp:rsid wsp:val=&quot;00140930&quot;/&gt;&lt;wsp:rsid wsp:val=&quot;00140D73&quot;/&gt;&lt;wsp:rsid wsp:val=&quot;0014116A&quot;/&gt;&lt;wsp:rsid wsp:val=&quot;0014122E&quot;/&gt;&lt;wsp:rsid wsp:val=&quot;001412BE&quot;/&gt;&lt;wsp:rsid wsp:val=&quot;0014148D&quot;/&gt;&lt;wsp:rsid wsp:val=&quot;00141775&quot;/&gt;&lt;wsp:rsid wsp:val=&quot;001419DB&quot;/&gt;&lt;wsp:rsid wsp:val=&quot;00141C07&quot;/&gt;&lt;wsp:rsid wsp:val=&quot;00141C08&quot;/&gt;&lt;wsp:rsid wsp:val=&quot;00141C38&quot;/&gt;&lt;wsp:rsid wsp:val=&quot;00141EB4&quot;/&gt;&lt;wsp:rsid wsp:val=&quot;00141F2E&quot;/&gt;&lt;wsp:rsid wsp:val=&quot;00141FDD&quot;/&gt;&lt;wsp:rsid wsp:val=&quot;0014294F&quot;/&gt;&lt;wsp:rsid wsp:val=&quot;001429CB&quot;/&gt;&lt;wsp:rsid wsp:val=&quot;00142FE8&quot;/&gt;&lt;wsp:rsid wsp:val=&quot;0014322A&quot;/&gt;&lt;wsp:rsid wsp:val=&quot;001436EE&quot;/&gt;&lt;wsp:rsid wsp:val=&quot;00143B0F&quot;/&gt;&lt;wsp:rsid wsp:val=&quot;00143BC4&quot;/&gt;&lt;wsp:rsid wsp:val=&quot;00143C67&quot;/&gt;&lt;wsp:rsid wsp:val=&quot;00143F7F&quot;/&gt;&lt;wsp:rsid wsp:val=&quot;00144047&quot;/&gt;&lt;wsp:rsid wsp:val=&quot;00144059&quot;/&gt;&lt;wsp:rsid wsp:val=&quot;001440E7&quot;/&gt;&lt;wsp:rsid wsp:val=&quot;00144344&quot;/&gt;&lt;wsp:rsid wsp:val=&quot;00144374&quot;/&gt;&lt;wsp:rsid wsp:val=&quot;0014437D&quot;/&gt;&lt;wsp:rsid wsp:val=&quot;0014466E&quot;/&gt;&lt;wsp:rsid wsp:val=&quot;00144673&quot;/&gt;&lt;wsp:rsid wsp:val=&quot;001446D2&quot;/&gt;&lt;wsp:rsid wsp:val=&quot;00144726&quot;/&gt;&lt;wsp:rsid wsp:val=&quot;00144767&quot;/&gt;&lt;wsp:rsid wsp:val=&quot;0014490D&quot;/&gt;&lt;wsp:rsid wsp:val=&quot;00144F35&quot;/&gt;&lt;wsp:rsid wsp:val=&quot;00145331&quot;/&gt;&lt;wsp:rsid wsp:val=&quot;001455DE&quot;/&gt;&lt;wsp:rsid wsp:val=&quot;00145803&quot;/&gt;&lt;wsp:rsid wsp:val=&quot;00145BF2&quot;/&gt;&lt;wsp:rsid wsp:val=&quot;00145C4D&quot;/&gt;&lt;wsp:rsid wsp:val=&quot;00146184&quot;/&gt;&lt;wsp:rsid wsp:val=&quot;00146391&quot;/&gt;&lt;wsp:rsid wsp:val=&quot;00146607&quot;/&gt;&lt;wsp:rsid wsp:val=&quot;0014699F&quot;/&gt;&lt;wsp:rsid wsp:val=&quot;00146A2F&quot;/&gt;&lt;wsp:rsid wsp:val=&quot;00146B05&quot;/&gt;&lt;wsp:rsid wsp:val=&quot;00146C8A&quot;/&gt;&lt;wsp:rsid wsp:val=&quot;00146D55&quot;/&gt;&lt;wsp:rsid wsp:val=&quot;00146F18&quot;/&gt;&lt;wsp:rsid wsp:val=&quot;00147126&quot;/&gt;&lt;wsp:rsid wsp:val=&quot;0014724F&quot;/&gt;&lt;wsp:rsid wsp:val=&quot;00147295&quot;/&gt;&lt;wsp:rsid wsp:val=&quot;00147818&quot;/&gt;&lt;wsp:rsid wsp:val=&quot;00147FEF&quot;/&gt;&lt;wsp:rsid wsp:val=&quot;00150376&quot;/&gt;&lt;wsp:rsid wsp:val=&quot;001503D0&quot;/&gt;&lt;wsp:rsid wsp:val=&quot;00150521&quot;/&gt;&lt;wsp:rsid wsp:val=&quot;00150814&quot;/&gt;&lt;wsp:rsid wsp:val=&quot;0015087D&quot;/&gt;&lt;wsp:rsid wsp:val=&quot;0015097F&quot;/&gt;&lt;wsp:rsid wsp:val=&quot;001509CA&quot;/&gt;&lt;wsp:rsid wsp:val=&quot;00150C1E&quot;/&gt;&lt;wsp:rsid wsp:val=&quot;0015167F&quot;/&gt;&lt;wsp:rsid wsp:val=&quot;00151943&quot;/&gt;&lt;wsp:rsid wsp:val=&quot;00151F94&quot;/&gt;&lt;wsp:rsid wsp:val=&quot;001524FB&quot;/&gt;&lt;wsp:rsid wsp:val=&quot;00152701&quot;/&gt;&lt;wsp:rsid wsp:val=&quot;00152B08&quot;/&gt;&lt;wsp:rsid wsp:val=&quot;00153540&quot;/&gt;&lt;wsp:rsid wsp:val=&quot;00153976&quot;/&gt;&lt;wsp:rsid wsp:val=&quot;00153DAE&quot;/&gt;&lt;wsp:rsid wsp:val=&quot;00153DC2&quot;/&gt;&lt;wsp:rsid wsp:val=&quot;001540BA&quot;/&gt;&lt;wsp:rsid wsp:val=&quot;00154274&quot;/&gt;&lt;wsp:rsid wsp:val=&quot;001543E0&quot;/&gt;&lt;wsp:rsid wsp:val=&quot;00154653&quot;/&gt;&lt;wsp:rsid wsp:val=&quot;00154F6D&quot;/&gt;&lt;wsp:rsid wsp:val=&quot;001556FC&quot;/&gt;&lt;wsp:rsid wsp:val=&quot;0015573A&quot;/&gt;&lt;wsp:rsid wsp:val=&quot;00155EEA&quot;/&gt;&lt;wsp:rsid wsp:val=&quot;00155FD9&quot;/&gt;&lt;wsp:rsid wsp:val=&quot;00156434&quot;/&gt;&lt;wsp:rsid wsp:val=&quot;00156556&quot;/&gt;&lt;wsp:rsid wsp:val=&quot;00156744&quot;/&gt;&lt;wsp:rsid wsp:val=&quot;00157387&quot;/&gt;&lt;wsp:rsid wsp:val=&quot;00157584&quot;/&gt;&lt;wsp:rsid wsp:val=&quot;001575D4&quot;/&gt;&lt;wsp:rsid wsp:val=&quot;001575F8&quot;/&gt;&lt;wsp:rsid wsp:val=&quot;00157648&quot;/&gt;&lt;wsp:rsid wsp:val=&quot;00157866&quot;/&gt;&lt;wsp:rsid wsp:val=&quot;00157980&quot;/&gt;&lt;wsp:rsid wsp:val=&quot;00157E05&quot;/&gt;&lt;wsp:rsid wsp:val=&quot;00160454&quot;/&gt;&lt;wsp:rsid wsp:val=&quot;0016058D&quot;/&gt;&lt;wsp:rsid wsp:val=&quot;001607E5&quot;/&gt;&lt;wsp:rsid wsp:val=&quot;00160980&quot;/&gt;&lt;wsp:rsid wsp:val=&quot;00160AD4&quot;/&gt;&lt;wsp:rsid wsp:val=&quot;00160BC7&quot;/&gt;&lt;wsp:rsid wsp:val=&quot;0016130B&quot;/&gt;&lt;wsp:rsid wsp:val=&quot;00161353&quot;/&gt;&lt;wsp:rsid wsp:val=&quot;00161462&quot;/&gt;&lt;wsp:rsid wsp:val=&quot;00161490&quot;/&gt;&lt;wsp:rsid wsp:val=&quot;0016182B&quot;/&gt;&lt;wsp:rsid wsp:val=&quot;00161DB9&quot;/&gt;&lt;wsp:rsid wsp:val=&quot;00162104&quot;/&gt;&lt;wsp:rsid wsp:val=&quot;00162740&quot;/&gt;&lt;wsp:rsid wsp:val=&quot;001628A9&quot;/&gt;&lt;wsp:rsid wsp:val=&quot;00162E69&quot;/&gt;&lt;wsp:rsid wsp:val=&quot;00163665&quot;/&gt;&lt;wsp:rsid wsp:val=&quot;00163743&quot;/&gt;&lt;wsp:rsid wsp:val=&quot;00163994&quot;/&gt;&lt;wsp:rsid wsp:val=&quot;001639AB&quot;/&gt;&lt;wsp:rsid wsp:val=&quot;001645C3&quot;/&gt;&lt;wsp:rsid wsp:val=&quot;00164650&quot;/&gt;&lt;wsp:rsid wsp:val=&quot;001649E4&quot;/&gt;&lt;wsp:rsid wsp:val=&quot;00164C4E&quot;/&gt;&lt;wsp:rsid wsp:val=&quot;00164FC4&quot;/&gt;&lt;wsp:rsid wsp:val=&quot;001657A1&quot;/&gt;&lt;wsp:rsid wsp:val=&quot;00165961&quot;/&gt;&lt;wsp:rsid wsp:val=&quot;00165B3A&quot;/&gt;&lt;wsp:rsid wsp:val=&quot;001669D3&quot;/&gt;&lt;wsp:rsid wsp:val=&quot;00166F4B&quot;/&gt;&lt;wsp:rsid wsp:val=&quot;00166FBD&quot;/&gt;&lt;wsp:rsid wsp:val=&quot;0016714B&quot;/&gt;&lt;wsp:rsid wsp:val=&quot;001674EC&quot;/&gt;&lt;wsp:rsid wsp:val=&quot;00167577&quot;/&gt;&lt;wsp:rsid wsp:val=&quot;0017016D&quot;/&gt;&lt;wsp:rsid wsp:val=&quot;001701DB&quot;/&gt;&lt;wsp:rsid wsp:val=&quot;001702AB&quot;/&gt;&lt;wsp:rsid wsp:val=&quot;001702D1&quot;/&gt;&lt;wsp:rsid wsp:val=&quot;001711EE&quot;/&gt;&lt;wsp:rsid wsp:val=&quot;001715F7&quot;/&gt;&lt;wsp:rsid wsp:val=&quot;00171C5B&quot;/&gt;&lt;wsp:rsid wsp:val=&quot;00171D1D&quot;/&gt;&lt;wsp:rsid wsp:val=&quot;00171D8A&quot;/&gt;&lt;wsp:rsid wsp:val=&quot;00172378&quot;/&gt;&lt;wsp:rsid wsp:val=&quot;001727E1&quot;/&gt;&lt;wsp:rsid wsp:val=&quot;0017294C&quot;/&gt;&lt;wsp:rsid wsp:val=&quot;00172971&quot;/&gt;&lt;wsp:rsid wsp:val=&quot;00173011&quot;/&gt;&lt;wsp:rsid wsp:val=&quot;0017323B&quot;/&gt;&lt;wsp:rsid wsp:val=&quot;00173241&quot;/&gt;&lt;wsp:rsid wsp:val=&quot;00173670&quot;/&gt;&lt;wsp:rsid wsp:val=&quot;0017389A&quot;/&gt;&lt;wsp:rsid wsp:val=&quot;00173C4A&quot;/&gt;&lt;wsp:rsid wsp:val=&quot;00173ECC&quot;/&gt;&lt;wsp:rsid wsp:val=&quot;00174454&quot;/&gt;&lt;wsp:rsid wsp:val=&quot;001745DE&quot;/&gt;&lt;wsp:rsid wsp:val=&quot;00175009&quot;/&gt;&lt;wsp:rsid wsp:val=&quot;001751C4&quot;/&gt;&lt;wsp:rsid wsp:val=&quot;00175348&quot;/&gt;&lt;wsp:rsid wsp:val=&quot;00175713&quot;/&gt;&lt;wsp:rsid wsp:val=&quot;00175844&quot;/&gt;&lt;wsp:rsid wsp:val=&quot;001762BD&quot;/&gt;&lt;wsp:rsid wsp:val=&quot;001769AA&quot;/&gt;&lt;wsp:rsid wsp:val=&quot;001773E7&quot;/&gt;&lt;wsp:rsid wsp:val=&quot;001774A5&quot;/&gt;&lt;wsp:rsid wsp:val=&quot;00177518&quot;/&gt;&lt;wsp:rsid wsp:val=&quot;001775EF&quot;/&gt;&lt;wsp:rsid wsp:val=&quot;00177C23&quot;/&gt;&lt;wsp:rsid wsp:val=&quot;00177C63&quot;/&gt;&lt;wsp:rsid wsp:val=&quot;00177D8A&quot;/&gt;&lt;wsp:rsid wsp:val=&quot;0018028C&quot;/&gt;&lt;wsp:rsid wsp:val=&quot;0018034A&quot;/&gt;&lt;wsp:rsid wsp:val=&quot;001804DC&quot;/&gt;&lt;wsp:rsid wsp:val=&quot;0018072A&quot;/&gt;&lt;wsp:rsid wsp:val=&quot;00180756&quot;/&gt;&lt;wsp:rsid wsp:val=&quot;001807D6&quot;/&gt;&lt;wsp:rsid wsp:val=&quot;00180838&quot;/&gt;&lt;wsp:rsid wsp:val=&quot;00180AB2&quot;/&gt;&lt;wsp:rsid wsp:val=&quot;00180AC9&quot;/&gt;&lt;wsp:rsid wsp:val=&quot;00180C62&quot;/&gt;&lt;wsp:rsid wsp:val=&quot;00180CB8&quot;/&gt;&lt;wsp:rsid wsp:val=&quot;0018185E&quot;/&gt;&lt;wsp:rsid wsp:val=&quot;00181916&quot;/&gt;&lt;wsp:rsid wsp:val=&quot;001819E1&quot;/&gt;&lt;wsp:rsid wsp:val=&quot;00181AF5&quot;/&gt;&lt;wsp:rsid wsp:val=&quot;00181D86&quot;/&gt;&lt;wsp:rsid wsp:val=&quot;00182435&quot;/&gt;&lt;wsp:rsid wsp:val=&quot;0018270F&quot;/&gt;&lt;wsp:rsid wsp:val=&quot;00182B5D&quot;/&gt;&lt;wsp:rsid wsp:val=&quot;00182C59&quot;/&gt;&lt;wsp:rsid wsp:val=&quot;00182D3D&quot;/&gt;&lt;wsp:rsid wsp:val=&quot;00182DD9&quot;/&gt;&lt;wsp:rsid wsp:val=&quot;001830E6&quot;/&gt;&lt;wsp:rsid wsp:val=&quot;001833EA&quot;/&gt;&lt;wsp:rsid wsp:val=&quot;0018344F&quot;/&gt;&lt;wsp:rsid wsp:val=&quot;00183C87&quot;/&gt;&lt;wsp:rsid wsp:val=&quot;00184DF4&quot;/&gt;&lt;wsp:rsid wsp:val=&quot;00184E1F&quot;/&gt;&lt;wsp:rsid wsp:val=&quot;00184E5F&quot;/&gt;&lt;wsp:rsid wsp:val=&quot;00184EA7&quot;/&gt;&lt;wsp:rsid wsp:val=&quot;00184F02&quot;/&gt;&lt;wsp:rsid wsp:val=&quot;001851CE&quot;/&gt;&lt;wsp:rsid wsp:val=&quot;001859B1&quot;/&gt;&lt;wsp:rsid wsp:val=&quot;0018645F&quot;/&gt;&lt;wsp:rsid wsp:val=&quot;00186981&quot;/&gt;&lt;wsp:rsid wsp:val=&quot;00186F25&quot;/&gt;&lt;wsp:rsid wsp:val=&quot;00187388&quot;/&gt;&lt;wsp:rsid wsp:val=&quot;00187D3C&quot;/&gt;&lt;wsp:rsid wsp:val=&quot;00187E46&quot;/&gt;&lt;wsp:rsid wsp:val=&quot;00190701&quot;/&gt;&lt;wsp:rsid wsp:val=&quot;00190B5D&quot;/&gt;&lt;wsp:rsid wsp:val=&quot;00190C3E&quot;/&gt;&lt;wsp:rsid wsp:val=&quot;00190EBA&quot;/&gt;&lt;wsp:rsid wsp:val=&quot;00191054&quot;/&gt;&lt;wsp:rsid wsp:val=&quot;0019249F&quot;/&gt;&lt;wsp:rsid wsp:val=&quot;00192717&quot;/&gt;&lt;wsp:rsid wsp:val=&quot;00192EA2&quot;/&gt;&lt;wsp:rsid wsp:val=&quot;00193079&quot;/&gt;&lt;wsp:rsid wsp:val=&quot;0019361F&quot;/&gt;&lt;wsp:rsid wsp:val=&quot;0019383D&quot;/&gt;&lt;wsp:rsid wsp:val=&quot;00194523&quot;/&gt;&lt;wsp:rsid wsp:val=&quot;0019482F&quot;/&gt;&lt;wsp:rsid wsp:val=&quot;00194E37&quot;/&gt;&lt;wsp:rsid wsp:val=&quot;00194EE0&quot;/&gt;&lt;wsp:rsid wsp:val=&quot;00195278&quot;/&gt;&lt;wsp:rsid wsp:val=&quot;001952EF&quot;/&gt;&lt;wsp:rsid wsp:val=&quot;0019531D&quot;/&gt;&lt;wsp:rsid wsp:val=&quot;001959E3&quot;/&gt;&lt;wsp:rsid wsp:val=&quot;00195B86&quot;/&gt;&lt;wsp:rsid wsp:val=&quot;00195F8B&quot;/&gt;&lt;wsp:rsid wsp:val=&quot;00196048&quot;/&gt;&lt;wsp:rsid wsp:val=&quot;00196061&quot;/&gt;&lt;wsp:rsid wsp:val=&quot;00196267&quot;/&gt;&lt;wsp:rsid wsp:val=&quot;001962DB&quot;/&gt;&lt;wsp:rsid wsp:val=&quot;001964A3&quot;/&gt;&lt;wsp:rsid wsp:val=&quot;001965B3&quot;/&gt;&lt;wsp:rsid wsp:val=&quot;0019674E&quot;/&gt;&lt;wsp:rsid wsp:val=&quot;0019686A&quot;/&gt;&lt;wsp:rsid wsp:val=&quot;00196903&quot;/&gt;&lt;wsp:rsid wsp:val=&quot;00196CEE&quot;/&gt;&lt;wsp:rsid wsp:val=&quot;00196D2C&quot;/&gt;&lt;wsp:rsid wsp:val=&quot;00196E61&quot;/&gt;&lt;wsp:rsid wsp:val=&quot;0019781F&quot;/&gt;&lt;wsp:rsid wsp:val=&quot;001978D8&quot;/&gt;&lt;wsp:rsid wsp:val=&quot;0019796F&quot;/&gt;&lt;wsp:rsid wsp:val=&quot;00197ACD&quot;/&gt;&lt;wsp:rsid wsp:val=&quot;00197BD5&quot;/&gt;&lt;wsp:rsid wsp:val=&quot;00197C63&quot;/&gt;&lt;wsp:rsid wsp:val=&quot;00197D10&quot;/&gt;&lt;wsp:rsid wsp:val=&quot;001A01F8&quot;/&gt;&lt;wsp:rsid wsp:val=&quot;001A0910&quot;/&gt;&lt;wsp:rsid wsp:val=&quot;001A0D8A&quot;/&gt;&lt;wsp:rsid wsp:val=&quot;001A1081&quot;/&gt;&lt;wsp:rsid wsp:val=&quot;001A137C&quot;/&gt;&lt;wsp:rsid wsp:val=&quot;001A15C6&quot;/&gt;&lt;wsp:rsid wsp:val=&quot;001A1E78&quot;/&gt;&lt;wsp:rsid wsp:val=&quot;001A24C9&quot;/&gt;&lt;wsp:rsid wsp:val=&quot;001A26BE&quot;/&gt;&lt;wsp:rsid wsp:val=&quot;001A2BC3&quot;/&gt;&lt;wsp:rsid wsp:val=&quot;001A3487&quot;/&gt;&lt;wsp:rsid wsp:val=&quot;001A3995&quot;/&gt;&lt;wsp:rsid wsp:val=&quot;001A4906&quot;/&gt;&lt;wsp:rsid wsp:val=&quot;001A4F58&quot;/&gt;&lt;wsp:rsid wsp:val=&quot;001A58EB&quot;/&gt;&lt;wsp:rsid wsp:val=&quot;001A5E4D&quot;/&gt;&lt;wsp:rsid wsp:val=&quot;001A5F78&quot;/&gt;&lt;wsp:rsid wsp:val=&quot;001A62C8&quot;/&gt;&lt;wsp:rsid wsp:val=&quot;001A642D&quot;/&gt;&lt;wsp:rsid wsp:val=&quot;001A65EA&quot;/&gt;&lt;wsp:rsid wsp:val=&quot;001A66B2&quot;/&gt;&lt;wsp:rsid wsp:val=&quot;001A7199&quot;/&gt;&lt;wsp:rsid wsp:val=&quot;001A7307&quot;/&gt;&lt;wsp:rsid wsp:val=&quot;001A786A&quot;/&gt;&lt;wsp:rsid wsp:val=&quot;001A7B4C&quot;/&gt;&lt;wsp:rsid wsp:val=&quot;001A7BCF&quot;/&gt;&lt;wsp:rsid wsp:val=&quot;001A7D02&quot;/&gt;&lt;wsp:rsid wsp:val=&quot;001A7E5E&quot;/&gt;&lt;wsp:rsid wsp:val=&quot;001A7E73&quot;/&gt;&lt;wsp:rsid wsp:val=&quot;001B0343&quot;/&gt;&lt;wsp:rsid wsp:val=&quot;001B0C29&quot;/&gt;&lt;wsp:rsid wsp:val=&quot;001B143F&quot;/&gt;&lt;wsp:rsid wsp:val=&quot;001B177A&quot;/&gt;&lt;wsp:rsid wsp:val=&quot;001B1E97&quot;/&gt;&lt;wsp:rsid wsp:val=&quot;001B1F9B&quot;/&gt;&lt;wsp:rsid wsp:val=&quot;001B2007&quot;/&gt;&lt;wsp:rsid wsp:val=&quot;001B24B5&quot;/&gt;&lt;wsp:rsid wsp:val=&quot;001B2C07&quot;/&gt;&lt;wsp:rsid wsp:val=&quot;001B2C65&quot;/&gt;&lt;wsp:rsid wsp:val=&quot;001B30B6&quot;/&gt;&lt;wsp:rsid wsp:val=&quot;001B3352&quot;/&gt;&lt;wsp:rsid wsp:val=&quot;001B366C&quot;/&gt;&lt;wsp:rsid wsp:val=&quot;001B480D&quot;/&gt;&lt;wsp:rsid wsp:val=&quot;001B50EC&quot;/&gt;&lt;wsp:rsid wsp:val=&quot;001B5245&quot;/&gt;&lt;wsp:rsid wsp:val=&quot;001B5723&quot;/&gt;&lt;wsp:rsid wsp:val=&quot;001B5778&quot;/&gt;&lt;wsp:rsid wsp:val=&quot;001B59EA&quot;/&gt;&lt;wsp:rsid wsp:val=&quot;001B5CF0&quot;/&gt;&lt;wsp:rsid wsp:val=&quot;001B5F1B&quot;/&gt;&lt;wsp:rsid wsp:val=&quot;001B5FC3&quot;/&gt;&lt;wsp:rsid wsp:val=&quot;001B6134&quot;/&gt;&lt;wsp:rsid wsp:val=&quot;001B62BE&quot;/&gt;&lt;wsp:rsid wsp:val=&quot;001B6449&quot;/&gt;&lt;wsp:rsid wsp:val=&quot;001B6589&quot;/&gt;&lt;wsp:rsid wsp:val=&quot;001B6727&quot;/&gt;&lt;wsp:rsid wsp:val=&quot;001B677A&quot;/&gt;&lt;wsp:rsid wsp:val=&quot;001B6841&quot;/&gt;&lt;wsp:rsid wsp:val=&quot;001B6EA0&quot;/&gt;&lt;wsp:rsid wsp:val=&quot;001B7237&quot;/&gt;&lt;wsp:rsid wsp:val=&quot;001B72A0&quot;/&gt;&lt;wsp:rsid wsp:val=&quot;001B72CE&quot;/&gt;&lt;wsp:rsid wsp:val=&quot;001B7314&quot;/&gt;&lt;wsp:rsid wsp:val=&quot;001B7436&quot;/&gt;&lt;wsp:rsid wsp:val=&quot;001B7EC8&quot;/&gt;&lt;wsp:rsid wsp:val=&quot;001C0401&quot;/&gt;&lt;wsp:rsid wsp:val=&quot;001C04E9&quot;/&gt;&lt;wsp:rsid wsp:val=&quot;001C0961&quot;/&gt;&lt;wsp:rsid wsp:val=&quot;001C0976&quot;/&gt;&lt;wsp:rsid wsp:val=&quot;001C09FF&quot;/&gt;&lt;wsp:rsid wsp:val=&quot;001C0A5F&quot;/&gt;&lt;wsp:rsid wsp:val=&quot;001C0AE9&quot;/&gt;&lt;wsp:rsid wsp:val=&quot;001C0B0E&quot;/&gt;&lt;wsp:rsid wsp:val=&quot;001C0C95&quot;/&gt;&lt;wsp:rsid wsp:val=&quot;001C0CD6&quot;/&gt;&lt;wsp:rsid wsp:val=&quot;001C16B9&quot;/&gt;&lt;wsp:rsid wsp:val=&quot;001C187C&quot;/&gt;&lt;wsp:rsid wsp:val=&quot;001C18C0&quot;/&gt;&lt;wsp:rsid wsp:val=&quot;001C1C58&quot;/&gt;&lt;wsp:rsid wsp:val=&quot;001C1CAC&quot;/&gt;&lt;wsp:rsid wsp:val=&quot;001C1CEE&quot;/&gt;&lt;wsp:rsid wsp:val=&quot;001C1D1F&quot;/&gt;&lt;wsp:rsid wsp:val=&quot;001C1D75&quot;/&gt;&lt;wsp:rsid wsp:val=&quot;001C2147&quot;/&gt;&lt;wsp:rsid wsp:val=&quot;001C26C9&quot;/&gt;&lt;wsp:rsid wsp:val=&quot;001C2A51&quot;/&gt;&lt;wsp:rsid wsp:val=&quot;001C2A5E&quot;/&gt;&lt;wsp:rsid wsp:val=&quot;001C2C7F&quot;/&gt;&lt;wsp:rsid wsp:val=&quot;001C2E20&quot;/&gt;&lt;wsp:rsid wsp:val=&quot;001C3050&quot;/&gt;&lt;wsp:rsid wsp:val=&quot;001C30A9&quot;/&gt;&lt;wsp:rsid wsp:val=&quot;001C3959&quot;/&gt;&lt;wsp:rsid wsp:val=&quot;001C3C48&quot;/&gt;&lt;wsp:rsid wsp:val=&quot;001C3C6C&quot;/&gt;&lt;wsp:rsid wsp:val=&quot;001C3F0F&quot;/&gt;&lt;wsp:rsid wsp:val=&quot;001C4AEA&quot;/&gt;&lt;wsp:rsid wsp:val=&quot;001C58BD&quot;/&gt;&lt;wsp:rsid wsp:val=&quot;001C5C69&quot;/&gt;&lt;wsp:rsid wsp:val=&quot;001C5C94&quot;/&gt;&lt;wsp:rsid wsp:val=&quot;001C5CEE&quot;/&gt;&lt;wsp:rsid wsp:val=&quot;001C5D71&quot;/&gt;&lt;wsp:rsid wsp:val=&quot;001C6447&quot;/&gt;&lt;wsp:rsid wsp:val=&quot;001C654D&quot;/&gt;&lt;wsp:rsid wsp:val=&quot;001C6B80&quot;/&gt;&lt;wsp:rsid wsp:val=&quot;001C70D3&quot;/&gt;&lt;wsp:rsid wsp:val=&quot;001C71F9&quot;/&gt;&lt;wsp:rsid wsp:val=&quot;001C7204&quot;/&gt;&lt;wsp:rsid wsp:val=&quot;001C7629&quot;/&gt;&lt;wsp:rsid wsp:val=&quot;001C7A9C&quot;/&gt;&lt;wsp:rsid wsp:val=&quot;001C7CE1&quot;/&gt;&lt;wsp:rsid wsp:val=&quot;001D00B9&quot;/&gt;&lt;wsp:rsid wsp:val=&quot;001D0A1C&quot;/&gt;&lt;wsp:rsid wsp:val=&quot;001D0B9D&quot;/&gt;&lt;wsp:rsid wsp:val=&quot;001D0C26&quot;/&gt;&lt;wsp:rsid wsp:val=&quot;001D0DE5&quot;/&gt;&lt;wsp:rsid wsp:val=&quot;001D10EF&quot;/&gt;&lt;wsp:rsid wsp:val=&quot;001D1184&quot;/&gt;&lt;wsp:rsid wsp:val=&quot;001D1322&quot;/&gt;&lt;wsp:rsid wsp:val=&quot;001D1489&quot;/&gt;&lt;wsp:rsid wsp:val=&quot;001D1803&quot;/&gt;&lt;wsp:rsid wsp:val=&quot;001D196E&quot;/&gt;&lt;wsp:rsid wsp:val=&quot;001D1F57&quot;/&gt;&lt;wsp:rsid wsp:val=&quot;001D2001&quot;/&gt;&lt;wsp:rsid wsp:val=&quot;001D2179&quot;/&gt;&lt;wsp:rsid wsp:val=&quot;001D23B3&quot;/&gt;&lt;wsp:rsid wsp:val=&quot;001D26B4&quot;/&gt;&lt;wsp:rsid wsp:val=&quot;001D26D4&quot;/&gt;&lt;wsp:rsid wsp:val=&quot;001D29DD&quot;/&gt;&lt;wsp:rsid wsp:val=&quot;001D2F24&quot;/&gt;&lt;wsp:rsid wsp:val=&quot;001D34A9&quot;/&gt;&lt;wsp:rsid wsp:val=&quot;001D38F3&quot;/&gt;&lt;wsp:rsid wsp:val=&quot;001D3900&quot;/&gt;&lt;wsp:rsid wsp:val=&quot;001D3B05&quot;/&gt;&lt;wsp:rsid wsp:val=&quot;001D4033&quot;/&gt;&lt;wsp:rsid wsp:val=&quot;001D40B1&quot;/&gt;&lt;wsp:rsid wsp:val=&quot;001D42F8&quot;/&gt;&lt;wsp:rsid wsp:val=&quot;001D45EE&quot;/&gt;&lt;wsp:rsid wsp:val=&quot;001D4B4C&quot;/&gt;&lt;wsp:rsid wsp:val=&quot;001D4BB6&quot;/&gt;&lt;wsp:rsid wsp:val=&quot;001D4C1E&quot;/&gt;&lt;wsp:rsid wsp:val=&quot;001D509C&quot;/&gt;&lt;wsp:rsid wsp:val=&quot;001D526E&quot;/&gt;&lt;wsp:rsid wsp:val=&quot;001D5701&quot;/&gt;&lt;wsp:rsid wsp:val=&quot;001D57C5&quot;/&gt;&lt;wsp:rsid wsp:val=&quot;001D5C93&quot;/&gt;&lt;wsp:rsid wsp:val=&quot;001D5E01&quot;/&gt;&lt;wsp:rsid wsp:val=&quot;001D5E5D&quot;/&gt;&lt;wsp:rsid wsp:val=&quot;001D5EE4&quot;/&gt;&lt;wsp:rsid wsp:val=&quot;001D6949&quot;/&gt;&lt;wsp:rsid wsp:val=&quot;001D73C5&quot;/&gt;&lt;wsp:rsid wsp:val=&quot;001D76F6&quot;/&gt;&lt;wsp:rsid wsp:val=&quot;001D775D&quot;/&gt;&lt;wsp:rsid wsp:val=&quot;001D786C&quot;/&gt;&lt;wsp:rsid wsp:val=&quot;001D7CC4&quot;/&gt;&lt;wsp:rsid wsp:val=&quot;001D7D2F&quot;/&gt;&lt;wsp:rsid wsp:val=&quot;001E0296&quot;/&gt;&lt;wsp:rsid wsp:val=&quot;001E04E8&quot;/&gt;&lt;wsp:rsid wsp:val=&quot;001E07A2&quot;/&gt;&lt;wsp:rsid wsp:val=&quot;001E08FD&quot;/&gt;&lt;wsp:rsid wsp:val=&quot;001E1354&quot;/&gt;&lt;wsp:rsid wsp:val=&quot;001E14B9&quot;/&gt;&lt;wsp:rsid wsp:val=&quot;001E18D9&quot;/&gt;&lt;wsp:rsid wsp:val=&quot;001E1FCF&quot;/&gt;&lt;wsp:rsid wsp:val=&quot;001E20FD&quot;/&gt;&lt;wsp:rsid wsp:val=&quot;001E2267&quot;/&gt;&lt;wsp:rsid wsp:val=&quot;001E2637&quot;/&gt;&lt;wsp:rsid wsp:val=&quot;001E2A20&quot;/&gt;&lt;wsp:rsid wsp:val=&quot;001E2D8A&quot;/&gt;&lt;wsp:rsid wsp:val=&quot;001E2EB0&quot;/&gt;&lt;wsp:rsid wsp:val=&quot;001E300D&quot;/&gt;&lt;wsp:rsid wsp:val=&quot;001E30B2&quot;/&gt;&lt;wsp:rsid wsp:val=&quot;001E373C&quot;/&gt;&lt;wsp:rsid wsp:val=&quot;001E3D7D&quot;/&gt;&lt;wsp:rsid wsp:val=&quot;001E3F78&quot;/&gt;&lt;wsp:rsid wsp:val=&quot;001E4198&quot;/&gt;&lt;wsp:rsid wsp:val=&quot;001E43ED&quot;/&gt;&lt;wsp:rsid wsp:val=&quot;001E4F2E&quot;/&gt;&lt;wsp:rsid wsp:val=&quot;001E5033&quot;/&gt;&lt;wsp:rsid wsp:val=&quot;001E5217&quot;/&gt;&lt;wsp:rsid wsp:val=&quot;001E572B&quot;/&gt;&lt;wsp:rsid wsp:val=&quot;001E5C1C&quot;/&gt;&lt;wsp:rsid wsp:val=&quot;001E5C97&quot;/&gt;&lt;wsp:rsid wsp:val=&quot;001E5EDA&quot;/&gt;&lt;wsp:rsid wsp:val=&quot;001E6651&quot;/&gt;&lt;wsp:rsid wsp:val=&quot;001E69EF&quot;/&gt;&lt;wsp:rsid wsp:val=&quot;001E6D44&quot;/&gt;&lt;wsp:rsid wsp:val=&quot;001E7750&quot;/&gt;&lt;wsp:rsid wsp:val=&quot;001E7880&quot;/&gt;&lt;wsp:rsid wsp:val=&quot;001E7EF3&quot;/&gt;&lt;wsp:rsid wsp:val=&quot;001E7F09&quot;/&gt;&lt;wsp:rsid wsp:val=&quot;001F059E&quot;/&gt;&lt;wsp:rsid wsp:val=&quot;001F087D&quot;/&gt;&lt;wsp:rsid wsp:val=&quot;001F0A2D&quot;/&gt;&lt;wsp:rsid wsp:val=&quot;001F0AF1&quot;/&gt;&lt;wsp:rsid wsp:val=&quot;001F1028&quot;/&gt;&lt;wsp:rsid wsp:val=&quot;001F1230&quot;/&gt;&lt;wsp:rsid wsp:val=&quot;001F1778&quot;/&gt;&lt;wsp:rsid wsp:val=&quot;001F1A47&quot;/&gt;&lt;wsp:rsid wsp:val=&quot;001F1C7D&quot;/&gt;&lt;wsp:rsid wsp:val=&quot;001F1D47&quot;/&gt;&lt;wsp:rsid wsp:val=&quot;001F2564&quot;/&gt;&lt;wsp:rsid wsp:val=&quot;001F2779&quot;/&gt;&lt;wsp:rsid wsp:val=&quot;001F2E44&quot;/&gt;&lt;wsp:rsid wsp:val=&quot;001F3051&quot;/&gt;&lt;wsp:rsid wsp:val=&quot;001F31D9&quot;/&gt;&lt;wsp:rsid wsp:val=&quot;001F342D&quot;/&gt;&lt;wsp:rsid wsp:val=&quot;001F35B9&quot;/&gt;&lt;wsp:rsid wsp:val=&quot;001F395C&quot;/&gt;&lt;wsp:rsid wsp:val=&quot;001F399A&quot;/&gt;&lt;wsp:rsid wsp:val=&quot;001F3B40&quot;/&gt;&lt;wsp:rsid wsp:val=&quot;001F4026&quot;/&gt;&lt;wsp:rsid wsp:val=&quot;001F42A4&quot;/&gt;&lt;wsp:rsid wsp:val=&quot;001F42DD&quot;/&gt;&lt;wsp:rsid wsp:val=&quot;001F44DE&quot;/&gt;&lt;wsp:rsid wsp:val=&quot;001F4A12&quot;/&gt;&lt;wsp:rsid wsp:val=&quot;001F4A64&quot;/&gt;&lt;wsp:rsid wsp:val=&quot;001F4B50&quot;/&gt;&lt;wsp:rsid wsp:val=&quot;001F591D&quot;/&gt;&lt;wsp:rsid wsp:val=&quot;001F5BFE&quot;/&gt;&lt;wsp:rsid wsp:val=&quot;001F5FAF&quot;/&gt;&lt;wsp:rsid wsp:val=&quot;001F6325&quot;/&gt;&lt;wsp:rsid wsp:val=&quot;001F653B&quot;/&gt;&lt;wsp:rsid wsp:val=&quot;001F678F&quot;/&gt;&lt;wsp:rsid wsp:val=&quot;001F69FE&quot;/&gt;&lt;wsp:rsid wsp:val=&quot;001F6A0A&quot;/&gt;&lt;wsp:rsid wsp:val=&quot;001F6C9D&quot;/&gt;&lt;wsp:rsid wsp:val=&quot;001F71DE&quot;/&gt;&lt;wsp:rsid wsp:val=&quot;001F728E&quot;/&gt;&lt;wsp:rsid wsp:val=&quot;001F7335&quot;/&gt;&lt;wsp:rsid wsp:val=&quot;001F746B&quot;/&gt;&lt;wsp:rsid wsp:val=&quot;001F783B&quot;/&gt;&lt;wsp:rsid wsp:val=&quot;002004B5&quot;/&gt;&lt;wsp:rsid wsp:val=&quot;00200A58&quot;/&gt;&lt;wsp:rsid wsp:val=&quot;0020115B&quot;/&gt;&lt;wsp:rsid wsp:val=&quot;0020118E&quot;/&gt;&lt;wsp:rsid wsp:val=&quot;00201390&quot;/&gt;&lt;wsp:rsid wsp:val=&quot;00201AD3&quot;/&gt;&lt;wsp:rsid wsp:val=&quot;00201B4F&quot;/&gt;&lt;wsp:rsid wsp:val=&quot;00202731&quot;/&gt;&lt;wsp:rsid wsp:val=&quot;00202FF3&quot;/&gt;&lt;wsp:rsid wsp:val=&quot;00203214&quot;/&gt;&lt;wsp:rsid wsp:val=&quot;00203669&quot;/&gt;&lt;wsp:rsid wsp:val=&quot;00203884&quot;/&gt;&lt;wsp:rsid wsp:val=&quot;00203A11&quot;/&gt;&lt;wsp:rsid wsp:val=&quot;00203A3D&quot;/&gt;&lt;wsp:rsid wsp:val=&quot;00203E63&quot;/&gt;&lt;wsp:rsid wsp:val=&quot;00203F61&quot;/&gt;&lt;wsp:rsid wsp:val=&quot;002040BA&quot;/&gt;&lt;wsp:rsid wsp:val=&quot;00204234&quot;/&gt;&lt;wsp:rsid wsp:val=&quot;00204CB2&quot;/&gt;&lt;wsp:rsid wsp:val=&quot;00204EB1&quot;/&gt;&lt;wsp:rsid wsp:val=&quot;002052F6&quot;/&gt;&lt;wsp:rsid wsp:val=&quot;00205787&quot;/&gt;&lt;wsp:rsid wsp:val=&quot;00205C1E&quot;/&gt;&lt;wsp:rsid wsp:val=&quot;002062A1&quot;/&gt;&lt;wsp:rsid wsp:val=&quot;002062ED&quot;/&gt;&lt;wsp:rsid wsp:val=&quot;002063F5&quot;/&gt;&lt;wsp:rsid wsp:val=&quot;00206B0F&quot;/&gt;&lt;wsp:rsid wsp:val=&quot;00206F17&quot;/&gt;&lt;wsp:rsid wsp:val=&quot;002070B9&quot;/&gt;&lt;wsp:rsid wsp:val=&quot;00207292&quot;/&gt;&lt;wsp:rsid wsp:val=&quot;00207A76&quot;/&gt;&lt;wsp:rsid wsp:val=&quot;00207E9C&quot;/&gt;&lt;wsp:rsid wsp:val=&quot;002109EC&quot;/&gt;&lt;wsp:rsid wsp:val=&quot;00210ED5&quot;/&gt;&lt;wsp:rsid wsp:val=&quot;0021131D&quot;/&gt;&lt;wsp:rsid wsp:val=&quot;00211415&quot;/&gt;&lt;wsp:rsid wsp:val=&quot;0021154F&quot;/&gt;&lt;wsp:rsid wsp:val=&quot;00211603&quot;/&gt;&lt;wsp:rsid wsp:val=&quot;0021178A&quot;/&gt;&lt;wsp:rsid wsp:val=&quot;00211A9D&quot;/&gt;&lt;wsp:rsid wsp:val=&quot;00211E3A&quot;/&gt;&lt;wsp:rsid wsp:val=&quot;00212629&quot;/&gt;&lt;wsp:rsid wsp:val=&quot;00212D0A&quot;/&gt;&lt;wsp:rsid wsp:val=&quot;0021342F&quot;/&gt;&lt;wsp:rsid wsp:val=&quot;00213716&quot;/&gt;&lt;wsp:rsid wsp:val=&quot;00213AA3&quot;/&gt;&lt;wsp:rsid wsp:val=&quot;00213AE7&quot;/&gt;&lt;wsp:rsid wsp:val=&quot;00213CD1&quot;/&gt;&lt;wsp:rsid wsp:val=&quot;002144B9&quot;/&gt;&lt;wsp:rsid wsp:val=&quot;002145B2&quot;/&gt;&lt;wsp:rsid wsp:val=&quot;002148B7&quot;/&gt;&lt;wsp:rsid wsp:val=&quot;00215153&quot;/&gt;&lt;wsp:rsid wsp:val=&quot;002152B4&quot;/&gt;&lt;wsp:rsid wsp:val=&quot;00215363&quot;/&gt;&lt;wsp:rsid wsp:val=&quot;002155D5&quot;/&gt;&lt;wsp:rsid wsp:val=&quot;002157D0&quot;/&gt;&lt;wsp:rsid wsp:val=&quot;002158BB&quot;/&gt;&lt;wsp:rsid wsp:val=&quot;00215923&quot;/&gt;&lt;wsp:rsid wsp:val=&quot;00215B16&quot;/&gt;&lt;wsp:rsid wsp:val=&quot;00216252&quot;/&gt;&lt;wsp:rsid wsp:val=&quot;00216A42&quot;/&gt;&lt;wsp:rsid wsp:val=&quot;0021762E&quot;/&gt;&lt;wsp:rsid wsp:val=&quot;00217863&quot;/&gt;&lt;wsp:rsid wsp:val=&quot;00217875&quot;/&gt;&lt;wsp:rsid wsp:val=&quot;00217C16&quot;/&gt;&lt;wsp:rsid wsp:val=&quot;00217CDD&quot;/&gt;&lt;wsp:rsid wsp:val=&quot;00217DF4&quot;/&gt;&lt;wsp:rsid wsp:val=&quot;00217FF3&quot;/&gt;&lt;wsp:rsid wsp:val=&quot;002201D1&quot;/&gt;&lt;wsp:rsid wsp:val=&quot;0022087F&quot;/&gt;&lt;wsp:rsid wsp:val=&quot;00220A70&quot;/&gt;&lt;wsp:rsid wsp:val=&quot;00220E2B&quot;/&gt;&lt;wsp:rsid wsp:val=&quot;00220FF9&quot;/&gt;&lt;wsp:rsid wsp:val=&quot;00221C9E&quot;/&gt;&lt;wsp:rsid wsp:val=&quot;00221CE5&quot;/&gt;&lt;wsp:rsid wsp:val=&quot;00222238&quot;/&gt;&lt;wsp:rsid wsp:val=&quot;002223C9&quot;/&gt;&lt;wsp:rsid wsp:val=&quot;00222500&quot;/&gt;&lt;wsp:rsid wsp:val=&quot;002226AA&quot;/&gt;&lt;wsp:rsid wsp:val=&quot;0022270D&quot;/&gt;&lt;wsp:rsid wsp:val=&quot;00222C43&quot;/&gt;&lt;wsp:rsid wsp:val=&quot;00222D7F&quot;/&gt;&lt;wsp:rsid wsp:val=&quot;00222DC8&quot;/&gt;&lt;wsp:rsid wsp:val=&quot;002231EE&quot;/&gt;&lt;wsp:rsid wsp:val=&quot;002233E3&quot;/&gt;&lt;wsp:rsid wsp:val=&quot;002239B7&quot;/&gt;&lt;wsp:rsid wsp:val=&quot;00223A30&quot;/&gt;&lt;wsp:rsid wsp:val=&quot;00223B60&quot;/&gt;&lt;wsp:rsid wsp:val=&quot;00223DE6&quot;/&gt;&lt;wsp:rsid wsp:val=&quot;00223F62&quot;/&gt;&lt;wsp:rsid wsp:val=&quot;00223F9C&quot;/&gt;&lt;wsp:rsid wsp:val=&quot;00223FFC&quot;/&gt;&lt;wsp:rsid wsp:val=&quot;002249B1&quot;/&gt;&lt;wsp:rsid wsp:val=&quot;00224B87&quot;/&gt;&lt;wsp:rsid wsp:val=&quot;002252A4&quot;/&gt;&lt;wsp:rsid wsp:val=&quot;002256D7&quot;/&gt;&lt;wsp:rsid wsp:val=&quot;002256F8&quot;/&gt;&lt;wsp:rsid wsp:val=&quot;0022588E&quot;/&gt;&lt;wsp:rsid wsp:val=&quot;00226142&quot;/&gt;&lt;wsp:rsid wsp:val=&quot;00226165&quot;/&gt;&lt;wsp:rsid wsp:val=&quot;0022658A&quot;/&gt;&lt;wsp:rsid wsp:val=&quot;00226901&quot;/&gt;&lt;wsp:rsid wsp:val=&quot;00226C9A&quot;/&gt;&lt;wsp:rsid wsp:val=&quot;00226CAA&quot;/&gt;&lt;wsp:rsid wsp:val=&quot;00226E16&quot;/&gt;&lt;wsp:rsid wsp:val=&quot;00226F0D&quot;/&gt;&lt;wsp:rsid wsp:val=&quot;00226FCA&quot;/&gt;&lt;wsp:rsid wsp:val=&quot;00227818&quot;/&gt;&lt;wsp:rsid wsp:val=&quot;0022783D&quot;/&gt;&lt;wsp:rsid wsp:val=&quot;00227A0E&quot;/&gt;&lt;wsp:rsid wsp:val=&quot;00227CA3&quot;/&gt;&lt;wsp:rsid wsp:val=&quot;00227CAC&quot;/&gt;&lt;wsp:rsid wsp:val=&quot;00227F09&quot;/&gt;&lt;wsp:rsid wsp:val=&quot;002300C7&quot;/&gt;&lt;wsp:rsid wsp:val=&quot;002300D2&quot;/&gt;&lt;wsp:rsid wsp:val=&quot;00230153&quot;/&gt;&lt;wsp:rsid wsp:val=&quot;00230303&quot;/&gt;&lt;wsp:rsid wsp:val=&quot;00230718&quot;/&gt;&lt;wsp:rsid wsp:val=&quot;00230D26&quot;/&gt;&lt;wsp:rsid wsp:val=&quot;002314F1&quot;/&gt;&lt;wsp:rsid wsp:val=&quot;00231683&quot;/&gt;&lt;wsp:rsid wsp:val=&quot;00231CB7&quot;/&gt;&lt;wsp:rsid wsp:val=&quot;00231EF3&quot;/&gt;&lt;wsp:rsid wsp:val=&quot;0023208D&quot;/&gt;&lt;wsp:rsid wsp:val=&quot;00232266&quot;/&gt;&lt;wsp:rsid wsp:val=&quot;002324A6&quot;/&gt;&lt;wsp:rsid wsp:val=&quot;002325A1&quot;/&gt;&lt;wsp:rsid wsp:val=&quot;00232989&quot;/&gt;&lt;wsp:rsid wsp:val=&quot;00232A0A&quot;/&gt;&lt;wsp:rsid wsp:val=&quot;00232B15&quot;/&gt;&lt;wsp:rsid wsp:val=&quot;00232B66&quot;/&gt;&lt;wsp:rsid wsp:val=&quot;00232E63&quot;/&gt;&lt;wsp:rsid wsp:val=&quot;00233149&quot;/&gt;&lt;wsp:rsid wsp:val=&quot;0023329A&quot;/&gt;&lt;wsp:rsid wsp:val=&quot;002333DE&quot;/&gt;&lt;wsp:rsid wsp:val=&quot;00233477&quot;/&gt;&lt;wsp:rsid wsp:val=&quot;00233F42&quot;/&gt;&lt;wsp:rsid wsp:val=&quot;002348CB&quot;/&gt;&lt;wsp:rsid wsp:val=&quot;002349BD&quot;/&gt;&lt;wsp:rsid wsp:val=&quot;00234A0C&quot;/&gt;&lt;wsp:rsid wsp:val=&quot;0023556F&quot;/&gt;&lt;wsp:rsid wsp:val=&quot;00235ACA&quot;/&gt;&lt;wsp:rsid wsp:val=&quot;00236590&quot;/&gt;&lt;wsp:rsid wsp:val=&quot;00236846&quot;/&gt;&lt;wsp:rsid wsp:val=&quot;00236C23&quot;/&gt;&lt;wsp:rsid wsp:val=&quot;00236C72&quot;/&gt;&lt;wsp:rsid wsp:val=&quot;00236C7C&quot;/&gt;&lt;wsp:rsid wsp:val=&quot;00236D67&quot;/&gt;&lt;wsp:rsid wsp:val=&quot;0023725F&quot;/&gt;&lt;wsp:rsid wsp:val=&quot;00237F39&quot;/&gt;&lt;wsp:rsid wsp:val=&quot;002402F2&quot;/&gt;&lt;wsp:rsid wsp:val=&quot;002413BD&quot;/&gt;&lt;wsp:rsid wsp:val=&quot;00241542&quot;/&gt;&lt;wsp:rsid wsp:val=&quot;0024185C&quot;/&gt;&lt;wsp:rsid wsp:val=&quot;002418E7&quot;/&gt;&lt;wsp:rsid wsp:val=&quot;00241A04&quot;/&gt;&lt;wsp:rsid wsp:val=&quot;00241A62&quot;/&gt;&lt;wsp:rsid wsp:val=&quot;00241B80&quot;/&gt;&lt;wsp:rsid wsp:val=&quot;00241C03&quot;/&gt;&lt;wsp:rsid wsp:val=&quot;00241F45&quot;/&gt;&lt;wsp:rsid wsp:val=&quot;00241F5F&quot;/&gt;&lt;wsp:rsid wsp:val=&quot;0024244A&quot;/&gt;&lt;wsp:rsid wsp:val=&quot;0024265F&quot;/&gt;&lt;wsp:rsid wsp:val=&quot;002426C6&quot;/&gt;&lt;wsp:rsid wsp:val=&quot;002427E0&quot;/&gt;&lt;wsp:rsid wsp:val=&quot;00242B14&quot;/&gt;&lt;wsp:rsid wsp:val=&quot;00242C0C&quot;/&gt;&lt;wsp:rsid wsp:val=&quot;00242E31&quot;/&gt;&lt;wsp:rsid wsp:val=&quot;0024301C&quot;/&gt;&lt;wsp:rsid wsp:val=&quot;0024379A&quot;/&gt;&lt;wsp:rsid wsp:val=&quot;00243812&quot;/&gt;&lt;wsp:rsid wsp:val=&quot;00243ACD&quot;/&gt;&lt;wsp:rsid wsp:val=&quot;00243BBE&quot;/&gt;&lt;wsp:rsid wsp:val=&quot;00243C6C&quot;/&gt;&lt;wsp:rsid wsp:val=&quot;0024489F&quot;/&gt;&lt;wsp:rsid wsp:val=&quot;00244FD7&quot;/&gt;&lt;wsp:rsid wsp:val=&quot;0024598B&quot;/&gt;&lt;wsp:rsid wsp:val=&quot;00245AEB&quot;/&gt;&lt;wsp:rsid wsp:val=&quot;002461EA&quot;/&gt;&lt;wsp:rsid wsp:val=&quot;002462E4&quot;/&gt;&lt;wsp:rsid wsp:val=&quot;002467DF&quot;/&gt;&lt;wsp:rsid wsp:val=&quot;0024687E&quot;/&gt;&lt;wsp:rsid wsp:val=&quot;002470B2&quot;/&gt;&lt;wsp:rsid wsp:val=&quot;00247351&quot;/&gt;&lt;wsp:rsid wsp:val=&quot;0024791D&quot;/&gt;&lt;wsp:rsid wsp:val=&quot;00247ACC&quot;/&gt;&lt;wsp:rsid wsp:val=&quot;00247FB1&quot;/&gt;&lt;wsp:rsid wsp:val=&quot;00250170&quot;/&gt;&lt;wsp:rsid wsp:val=&quot;0025022B&quot;/&gt;&lt;wsp:rsid wsp:val=&quot;00251027&quot;/&gt;&lt;wsp:rsid wsp:val=&quot;002510E4&quot;/&gt;&lt;wsp:rsid wsp:val=&quot;0025119D&quot;/&gt;&lt;wsp:rsid wsp:val=&quot;002512E4&quot;/&gt;&lt;wsp:rsid wsp:val=&quot;0025156F&quot;/&gt;&lt;wsp:rsid wsp:val=&quot;00251989&quot;/&gt;&lt;wsp:rsid wsp:val=&quot;00251B43&quot;/&gt;&lt;wsp:rsid wsp:val=&quot;00251FAE&quot;/&gt;&lt;wsp:rsid wsp:val=&quot;002520F8&quot;/&gt;&lt;wsp:rsid wsp:val=&quot;0025211D&quot;/&gt;&lt;wsp:rsid wsp:val=&quot;002526AA&quot;/&gt;&lt;wsp:rsid wsp:val=&quot;0025346F&quot;/&gt;&lt;wsp:rsid wsp:val=&quot;002535C1&quot;/&gt;&lt;wsp:rsid wsp:val=&quot;002535F2&quot;/&gt;&lt;wsp:rsid wsp:val=&quot;00253A28&quot;/&gt;&lt;wsp:rsid wsp:val=&quot;00253B29&quot;/&gt;&lt;wsp:rsid wsp:val=&quot;002540E7&quot;/&gt;&lt;wsp:rsid wsp:val=&quot;0025414B&quot;/&gt;&lt;wsp:rsid wsp:val=&quot;002543FB&quot;/&gt;&lt;wsp:rsid wsp:val=&quot;00254992&quot;/&gt;&lt;wsp:rsid wsp:val=&quot;00254A31&quot;/&gt;&lt;wsp:rsid wsp:val=&quot;00254B17&quot;/&gt;&lt;wsp:rsid wsp:val=&quot;0025529C&quot;/&gt;&lt;wsp:rsid wsp:val=&quot;0025553E&quot;/&gt;&lt;wsp:rsid wsp:val=&quot;002559DA&quot;/&gt;&lt;wsp:rsid wsp:val=&quot;00255A5F&quot;/&gt;&lt;wsp:rsid wsp:val=&quot;002567B3&quot;/&gt;&lt;wsp:rsid wsp:val=&quot;002567D9&quot;/&gt;&lt;wsp:rsid wsp:val=&quot;00257074&quot;/&gt;&lt;wsp:rsid wsp:val=&quot;0025716B&quot;/&gt;&lt;wsp:rsid wsp:val=&quot;002572DE&quot;/&gt;&lt;wsp:rsid wsp:val=&quot;002574AB&quot;/&gt;&lt;wsp:rsid wsp:val=&quot;00257710&quot;/&gt;&lt;wsp:rsid wsp:val=&quot;00257D51&quot;/&gt;&lt;wsp:rsid wsp:val=&quot;00260D34&quot;/&gt;&lt;wsp:rsid wsp:val=&quot;00260E55&quot;/&gt;&lt;wsp:rsid wsp:val=&quot;002617C9&quot;/&gt;&lt;wsp:rsid wsp:val=&quot;002618C2&quot;/&gt;&lt;wsp:rsid wsp:val=&quot;00261D85&quot;/&gt;&lt;wsp:rsid wsp:val=&quot;00262087&quot;/&gt;&lt;wsp:rsid wsp:val=&quot;0026227B&quot;/&gt;&lt;wsp:rsid wsp:val=&quot;00262456&quot;/&gt;&lt;wsp:rsid wsp:val=&quot;0026246C&quot;/&gt;&lt;wsp:rsid wsp:val=&quot;002624A1&quot;/&gt;&lt;wsp:rsid wsp:val=&quot;002627F3&quot;/&gt;&lt;wsp:rsid wsp:val=&quot;00262BD7&quot;/&gt;&lt;wsp:rsid wsp:val=&quot;00262C4D&quot;/&gt;&lt;wsp:rsid wsp:val=&quot;0026359A&quot;/&gt;&lt;wsp:rsid wsp:val=&quot;002636A2&quot;/&gt;&lt;wsp:rsid wsp:val=&quot;002636E9&quot;/&gt;&lt;wsp:rsid wsp:val=&quot;0026396F&quot;/&gt;&lt;wsp:rsid wsp:val=&quot;00263A8D&quot;/&gt;&lt;wsp:rsid wsp:val=&quot;00263C47&quot;/&gt;&lt;wsp:rsid wsp:val=&quot;00263C9F&quot;/&gt;&lt;wsp:rsid wsp:val=&quot;00263E47&quot;/&gt;&lt;wsp:rsid wsp:val=&quot;00263FB4&quot;/&gt;&lt;wsp:rsid wsp:val=&quot;002640D0&quot;/&gt;&lt;wsp:rsid wsp:val=&quot;002643DA&quot;/&gt;&lt;wsp:rsid wsp:val=&quot;002644E2&quot;/&gt;&lt;wsp:rsid wsp:val=&quot;0026461E&quot;/&gt;&lt;wsp:rsid wsp:val=&quot;00264E91&quot;/&gt;&lt;wsp:rsid wsp:val=&quot;00264F6D&quot;/&gt;&lt;wsp:rsid wsp:val=&quot;002655F6&quot;/&gt;&lt;wsp:rsid wsp:val=&quot;0026560C&quot;/&gt;&lt;wsp:rsid wsp:val=&quot;0026580C&quot;/&gt;&lt;wsp:rsid wsp:val=&quot;00265FF0&quot;/&gt;&lt;wsp:rsid wsp:val=&quot;00266E09&quot;/&gt;&lt;wsp:rsid wsp:val=&quot;0026739F&quot;/&gt;&lt;wsp:rsid wsp:val=&quot;00267640&quot;/&gt;&lt;wsp:rsid wsp:val=&quot;00270029&quot;/&gt;&lt;wsp:rsid wsp:val=&quot;0027018D&quot;/&gt;&lt;wsp:rsid wsp:val=&quot;00270611&quot;/&gt;&lt;wsp:rsid wsp:val=&quot;00270697&quot;/&gt;&lt;wsp:rsid wsp:val=&quot;00270755&quot;/&gt;&lt;wsp:rsid wsp:val=&quot;00270B47&quot;/&gt;&lt;wsp:rsid wsp:val=&quot;00270D59&quot;/&gt;&lt;wsp:rsid wsp:val=&quot;00271289&quot;/&gt;&lt;wsp:rsid wsp:val=&quot;0027134C&quot;/&gt;&lt;wsp:rsid wsp:val=&quot;00271593&quot;/&gt;&lt;wsp:rsid wsp:val=&quot;002715A6&quot;/&gt;&lt;wsp:rsid wsp:val=&quot;0027161F&quot;/&gt;&lt;wsp:rsid wsp:val=&quot;00271D4D&quot;/&gt;&lt;wsp:rsid wsp:val=&quot;00271E47&quot;/&gt;&lt;wsp:rsid wsp:val=&quot;0027224A&quot;/&gt;&lt;wsp:rsid wsp:val=&quot;002724EF&quot;/&gt;&lt;wsp:rsid wsp:val=&quot;002724F4&quot;/&gt;&lt;wsp:rsid wsp:val=&quot;00272C48&quot;/&gt;&lt;wsp:rsid wsp:val=&quot;002732D0&quot;/&gt;&lt;wsp:rsid wsp:val=&quot;002736D7&quot;/&gt;&lt;wsp:rsid wsp:val=&quot;0027373B&quot;/&gt;&lt;wsp:rsid wsp:val=&quot;00274050&quot;/&gt;&lt;wsp:rsid wsp:val=&quot;00274196&quot;/&gt;&lt;wsp:rsid wsp:val=&quot;00274205&quot;/&gt;&lt;wsp:rsid wsp:val=&quot;002744A3&quot;/&gt;&lt;wsp:rsid wsp:val=&quot;002744AA&quot;/&gt;&lt;wsp:rsid wsp:val=&quot;002747BF&quot;/&gt;&lt;wsp:rsid wsp:val=&quot;002747D0&quot;/&gt;&lt;wsp:rsid wsp:val=&quot;002748ED&quot;/&gt;&lt;wsp:rsid wsp:val=&quot;00274955&quot;/&gt;&lt;wsp:rsid wsp:val=&quot;0027499C&quot;/&gt;&lt;wsp:rsid wsp:val=&quot;00274A6C&quot;/&gt;&lt;wsp:rsid wsp:val=&quot;00274C83&quot;/&gt;&lt;wsp:rsid wsp:val=&quot;00274CDA&quot;/&gt;&lt;wsp:rsid wsp:val=&quot;0027513F&quot;/&gt;&lt;wsp:rsid wsp:val=&quot;00275142&quot;/&gt;&lt;wsp:rsid wsp:val=&quot;00275637&quot;/&gt;&lt;wsp:rsid wsp:val=&quot;002757D0&quot;/&gt;&lt;wsp:rsid wsp:val=&quot;00275A5D&quot;/&gt;&lt;wsp:rsid wsp:val=&quot;00275AD2&quot;/&gt;&lt;wsp:rsid wsp:val=&quot;0027613B&quot;/&gt;&lt;wsp:rsid wsp:val=&quot;0027644C&quot;/&gt;&lt;wsp:rsid wsp:val=&quot;002765AD&quot;/&gt;&lt;wsp:rsid wsp:val=&quot;002767D0&quot;/&gt;&lt;wsp:rsid wsp:val=&quot;00276D6C&quot;/&gt;&lt;wsp:rsid wsp:val=&quot;00276F23&quot;/&gt;&lt;wsp:rsid wsp:val=&quot;0027716C&quot;/&gt;&lt;wsp:rsid wsp:val=&quot;002779DD&quot;/&gt;&lt;wsp:rsid wsp:val=&quot;00277F07&quot;/&gt;&lt;wsp:rsid wsp:val=&quot;0028013C&quot;/&gt;&lt;wsp:rsid wsp:val=&quot;002803DE&quot;/&gt;&lt;wsp:rsid wsp:val=&quot;002804A3&quot;/&gt;&lt;wsp:rsid wsp:val=&quot;00280893&quot;/&gt;&lt;wsp:rsid wsp:val=&quot;002812C9&quot;/&gt;&lt;wsp:rsid wsp:val=&quot;002814EC&quot;/&gt;&lt;wsp:rsid wsp:val=&quot;0028166F&quot;/&gt;&lt;wsp:rsid wsp:val=&quot;00281860&quot;/&gt;&lt;wsp:rsid wsp:val=&quot;00281952&quot;/&gt;&lt;wsp:rsid wsp:val=&quot;00282A78&quot;/&gt;&lt;wsp:rsid wsp:val=&quot;00282B4B&quot;/&gt;&lt;wsp:rsid wsp:val=&quot;00282BDA&quot;/&gt;&lt;wsp:rsid wsp:val=&quot;00282E4D&quot;/&gt;&lt;wsp:rsid wsp:val=&quot;002832E0&quot;/&gt;&lt;wsp:rsid wsp:val=&quot;002833BB&quot;/&gt;&lt;wsp:rsid wsp:val=&quot;0028346E&quot;/&gt;&lt;wsp:rsid wsp:val=&quot;002835C7&quot;/&gt;&lt;wsp:rsid wsp:val=&quot;00284392&quot;/&gt;&lt;wsp:rsid wsp:val=&quot;00284567&quot;/&gt;&lt;wsp:rsid wsp:val=&quot;00284A7F&quot;/&gt;&lt;wsp:rsid wsp:val=&quot;00284BC4&quot;/&gt;&lt;wsp:rsid wsp:val=&quot;00284C0D&quot;/&gt;&lt;wsp:rsid wsp:val=&quot;00285346&quot;/&gt;&lt;wsp:rsid wsp:val=&quot;0028553F&quot;/&gt;&lt;wsp:rsid wsp:val=&quot;00285701&quot;/&gt;&lt;wsp:rsid wsp:val=&quot;00285A7F&quot;/&gt;&lt;wsp:rsid wsp:val=&quot;00285AF2&quot;/&gt;&lt;wsp:rsid wsp:val=&quot;00285FC0&quot;/&gt;&lt;wsp:rsid wsp:val=&quot;00285FC5&quot;/&gt;&lt;wsp:rsid wsp:val=&quot;0028641F&quot;/&gt;&lt;wsp:rsid wsp:val=&quot;002867AA&quot;/&gt;&lt;wsp:rsid wsp:val=&quot;002869F5&quot;/&gt;&lt;wsp:rsid wsp:val=&quot;00286F24&quot;/&gt;&lt;wsp:rsid wsp:val=&quot;00286F32&quot;/&gt;&lt;wsp:rsid wsp:val=&quot;00287223&quot;/&gt;&lt;wsp:rsid wsp:val=&quot;00287681&quot;/&gt;&lt;wsp:rsid wsp:val=&quot;00287EBD&quot;/&gt;&lt;wsp:rsid wsp:val=&quot;00287F8E&quot;/&gt;&lt;wsp:rsid wsp:val=&quot;0029008F&quot;/&gt;&lt;wsp:rsid wsp:val=&quot;0029079A&quot;/&gt;&lt;wsp:rsid wsp:val=&quot;00290A2D&quot;/&gt;&lt;wsp:rsid wsp:val=&quot;002910F2&quot;/&gt;&lt;wsp:rsid wsp:val=&quot;002911F5&quot;/&gt;&lt;wsp:rsid wsp:val=&quot;00291250&quot;/&gt;&lt;wsp:rsid wsp:val=&quot;0029135F&quot;/&gt;&lt;wsp:rsid wsp:val=&quot;0029196D&quot;/&gt;&lt;wsp:rsid wsp:val=&quot;00291A01&quot;/&gt;&lt;wsp:rsid wsp:val=&quot;00291A62&quot;/&gt;&lt;wsp:rsid wsp:val=&quot;00291F28&quot;/&gt;&lt;wsp:rsid wsp:val=&quot;00292687&quot;/&gt;&lt;wsp:rsid wsp:val=&quot;002929B3&quot;/&gt;&lt;wsp:rsid wsp:val=&quot;00292B75&quot;/&gt;&lt;wsp:rsid wsp:val=&quot;00292E90&quot;/&gt;&lt;wsp:rsid wsp:val=&quot;00292F01&quot;/&gt;&lt;wsp:rsid wsp:val=&quot;0029342F&quot;/&gt;&lt;wsp:rsid wsp:val=&quot;002934B1&quot;/&gt;&lt;wsp:rsid wsp:val=&quot;00293626&quot;/&gt;&lt;wsp:rsid wsp:val=&quot;00293B87&quot;/&gt;&lt;wsp:rsid wsp:val=&quot;00293C9E&quot;/&gt;&lt;wsp:rsid wsp:val=&quot;00293DAA&quot;/&gt;&lt;wsp:rsid wsp:val=&quot;00293E69&quot;/&gt;&lt;wsp:rsid wsp:val=&quot;00294076&quot;/&gt;&lt;wsp:rsid wsp:val=&quot;00294094&quot;/&gt;&lt;wsp:rsid wsp:val=&quot;002942B9&quot;/&gt;&lt;wsp:rsid wsp:val=&quot;002944AD&quot;/&gt;&lt;wsp:rsid wsp:val=&quot;00294D12&quot;/&gt;&lt;wsp:rsid wsp:val=&quot;00295814&quot;/&gt;&lt;wsp:rsid wsp:val=&quot;00295EBF&quot;/&gt;&lt;wsp:rsid wsp:val=&quot;00295FCC&quot;/&gt;&lt;wsp:rsid wsp:val=&quot;00296318&quot;/&gt;&lt;wsp:rsid wsp:val=&quot;002963ED&quot;/&gt;&lt;wsp:rsid wsp:val=&quot;00296B3C&quot;/&gt;&lt;wsp:rsid wsp:val=&quot;002976EF&quot;/&gt;&lt;wsp:rsid wsp:val=&quot;00297F6D&quot;/&gt;&lt;wsp:rsid wsp:val=&quot;002A017C&quot;/&gt;&lt;wsp:rsid wsp:val=&quot;002A043F&quot;/&gt;&lt;wsp:rsid wsp:val=&quot;002A082D&quot;/&gt;&lt;wsp:rsid wsp:val=&quot;002A0AC1&quot;/&gt;&lt;wsp:rsid wsp:val=&quot;002A1683&quot;/&gt;&lt;wsp:rsid wsp:val=&quot;002A18F0&quot;/&gt;&lt;wsp:rsid wsp:val=&quot;002A195B&quot;/&gt;&lt;wsp:rsid wsp:val=&quot;002A1B4D&quot;/&gt;&lt;wsp:rsid wsp:val=&quot;002A1D8E&quot;/&gt;&lt;wsp:rsid wsp:val=&quot;002A226C&quot;/&gt;&lt;wsp:rsid wsp:val=&quot;002A25D6&quot;/&gt;&lt;wsp:rsid wsp:val=&quot;002A287D&quot;/&gt;&lt;wsp:rsid wsp:val=&quot;002A30A8&quot;/&gt;&lt;wsp:rsid wsp:val=&quot;002A325C&quot;/&gt;&lt;wsp:rsid wsp:val=&quot;002A354B&quot;/&gt;&lt;wsp:rsid wsp:val=&quot;002A3C55&quot;/&gt;&lt;wsp:rsid wsp:val=&quot;002A3E93&quot;/&gt;&lt;wsp:rsid wsp:val=&quot;002A40B5&quot;/&gt;&lt;wsp:rsid wsp:val=&quot;002A40BF&quot;/&gt;&lt;wsp:rsid wsp:val=&quot;002A438B&quot;/&gt;&lt;wsp:rsid wsp:val=&quot;002A43DA&quot;/&gt;&lt;wsp:rsid wsp:val=&quot;002A4413&quot;/&gt;&lt;wsp:rsid wsp:val=&quot;002A47C6&quot;/&gt;&lt;wsp:rsid wsp:val=&quot;002A4B45&quot;/&gt;&lt;wsp:rsid wsp:val=&quot;002A4F64&quot;/&gt;&lt;wsp:rsid wsp:val=&quot;002A4FAA&quot;/&gt;&lt;wsp:rsid wsp:val=&quot;002A543C&quot;/&gt;&lt;wsp:rsid wsp:val=&quot;002A5850&quot;/&gt;&lt;wsp:rsid wsp:val=&quot;002A5E2B&quot;/&gt;&lt;wsp:rsid wsp:val=&quot;002A60AB&quot;/&gt;&lt;wsp:rsid wsp:val=&quot;002A62D4&quot;/&gt;&lt;wsp:rsid wsp:val=&quot;002A6559&quot;/&gt;&lt;wsp:rsid wsp:val=&quot;002A72E4&quot;/&gt;&lt;wsp:rsid wsp:val=&quot;002A7464&quot;/&gt;&lt;wsp:rsid wsp:val=&quot;002A753D&quot;/&gt;&lt;wsp:rsid wsp:val=&quot;002A76F0&quot;/&gt;&lt;wsp:rsid wsp:val=&quot;002A78B2&quot;/&gt;&lt;wsp:rsid wsp:val=&quot;002A7969&quot;/&gt;&lt;wsp:rsid wsp:val=&quot;002A7DE4&quot;/&gt;&lt;wsp:rsid wsp:val=&quot;002B07B5&quot;/&gt;&lt;wsp:rsid wsp:val=&quot;002B07D5&quot;/&gt;&lt;wsp:rsid wsp:val=&quot;002B0B06&quot;/&gt;&lt;wsp:rsid wsp:val=&quot;002B0B36&quot;/&gt;&lt;wsp:rsid wsp:val=&quot;002B1469&quot;/&gt;&lt;wsp:rsid wsp:val=&quot;002B21F2&quot;/&gt;&lt;wsp:rsid wsp:val=&quot;002B22FF&quot;/&gt;&lt;wsp:rsid wsp:val=&quot;002B2487&quot;/&gt;&lt;wsp:rsid wsp:val=&quot;002B2750&quot;/&gt;&lt;wsp:rsid wsp:val=&quot;002B2CDA&quot;/&gt;&lt;wsp:rsid wsp:val=&quot;002B3B40&quot;/&gt;&lt;wsp:rsid wsp:val=&quot;002B3B45&quot;/&gt;&lt;wsp:rsid wsp:val=&quot;002B3C6E&quot;/&gt;&lt;wsp:rsid wsp:val=&quot;002B4636&quot;/&gt;&lt;wsp:rsid wsp:val=&quot;002B5679&quot;/&gt;&lt;wsp:rsid wsp:val=&quot;002B589F&quot;/&gt;&lt;wsp:rsid wsp:val=&quot;002B5CDE&quot;/&gt;&lt;wsp:rsid wsp:val=&quot;002B6271&quot;/&gt;&lt;wsp:rsid wsp:val=&quot;002B63AB&quot;/&gt;&lt;wsp:rsid wsp:val=&quot;002B6969&quot;/&gt;&lt;wsp:rsid wsp:val=&quot;002B6B15&quot;/&gt;&lt;wsp:rsid wsp:val=&quot;002B6C6C&quot;/&gt;&lt;wsp:rsid wsp:val=&quot;002B6E38&quot;/&gt;&lt;wsp:rsid wsp:val=&quot;002B7093&quot;/&gt;&lt;wsp:rsid wsp:val=&quot;002C028F&quot;/&gt;&lt;wsp:rsid wsp:val=&quot;002C02EC&quot;/&gt;&lt;wsp:rsid wsp:val=&quot;002C02EF&quot;/&gt;&lt;wsp:rsid wsp:val=&quot;002C0435&quot;/&gt;&lt;wsp:rsid wsp:val=&quot;002C0475&quot;/&gt;&lt;wsp:rsid wsp:val=&quot;002C049C&quot;/&gt;&lt;wsp:rsid wsp:val=&quot;002C06A2&quot;/&gt;&lt;wsp:rsid wsp:val=&quot;002C0797&quot;/&gt;&lt;wsp:rsid wsp:val=&quot;002C09C9&quot;/&gt;&lt;wsp:rsid wsp:val=&quot;002C1425&quot;/&gt;&lt;wsp:rsid wsp:val=&quot;002C196B&quot;/&gt;&lt;wsp:rsid wsp:val=&quot;002C1A16&quot;/&gt;&lt;wsp:rsid wsp:val=&quot;002C1D69&quot;/&gt;&lt;wsp:rsid wsp:val=&quot;002C2023&quot;/&gt;&lt;wsp:rsid wsp:val=&quot;002C2E78&quot;/&gt;&lt;wsp:rsid wsp:val=&quot;002C341B&quot;/&gt;&lt;wsp:rsid wsp:val=&quot;002C36FF&quot;/&gt;&lt;wsp:rsid wsp:val=&quot;002C3863&quot;/&gt;&lt;wsp:rsid wsp:val=&quot;002C38D3&quot;/&gt;&lt;wsp:rsid wsp:val=&quot;002C399A&quot;/&gt;&lt;wsp:rsid wsp:val=&quot;002C3F6E&quot;/&gt;&lt;wsp:rsid wsp:val=&quot;002C40E3&quot;/&gt;&lt;wsp:rsid wsp:val=&quot;002C426B&quot;/&gt;&lt;wsp:rsid wsp:val=&quot;002C4910&quot;/&gt;&lt;wsp:rsid wsp:val=&quot;002C51F4&quot;/&gt;&lt;wsp:rsid wsp:val=&quot;002C52BD&quot;/&gt;&lt;wsp:rsid wsp:val=&quot;002C5465&quot;/&gt;&lt;wsp:rsid wsp:val=&quot;002C580B&quot;/&gt;&lt;wsp:rsid wsp:val=&quot;002C5A9A&quot;/&gt;&lt;wsp:rsid wsp:val=&quot;002C5D82&quot;/&gt;&lt;wsp:rsid wsp:val=&quot;002C5F99&quot;/&gt;&lt;wsp:rsid wsp:val=&quot;002C6221&quot;/&gt;&lt;wsp:rsid wsp:val=&quot;002C6936&quot;/&gt;&lt;wsp:rsid wsp:val=&quot;002C6EF6&quot;/&gt;&lt;wsp:rsid wsp:val=&quot;002C70A1&quot;/&gt;&lt;wsp:rsid wsp:val=&quot;002C70EB&quot;/&gt;&lt;wsp:rsid wsp:val=&quot;002C71BC&quot;/&gt;&lt;wsp:rsid wsp:val=&quot;002C7CB3&quot;/&gt;&lt;wsp:rsid wsp:val=&quot;002D01B6&quot;/&gt;&lt;wsp:rsid wsp:val=&quot;002D051A&quot;/&gt;&lt;wsp:rsid wsp:val=&quot;002D066C&quot;/&gt;&lt;wsp:rsid wsp:val=&quot;002D0BD7&quot;/&gt;&lt;wsp:rsid wsp:val=&quot;002D0D75&quot;/&gt;&lt;wsp:rsid wsp:val=&quot;002D17A6&quot;/&gt;&lt;wsp:rsid wsp:val=&quot;002D1F87&quot;/&gt;&lt;wsp:rsid wsp:val=&quot;002D2373&quot;/&gt;&lt;wsp:rsid wsp:val=&quot;002D26F6&quot;/&gt;&lt;wsp:rsid wsp:val=&quot;002D2A19&quot;/&gt;&lt;wsp:rsid wsp:val=&quot;002D2A84&quot;/&gt;&lt;wsp:rsid wsp:val=&quot;002D30BE&quot;/&gt;&lt;wsp:rsid wsp:val=&quot;002D325A&quot;/&gt;&lt;wsp:rsid wsp:val=&quot;002D3A06&quot;/&gt;&lt;wsp:rsid wsp:val=&quot;002D3E99&quot;/&gt;&lt;wsp:rsid wsp:val=&quot;002D3FAD&quot;/&gt;&lt;wsp:rsid wsp:val=&quot;002D4667&quot;/&gt;&lt;wsp:rsid wsp:val=&quot;002D48AC&quot;/&gt;&lt;wsp:rsid wsp:val=&quot;002D4A83&quot;/&gt;&lt;wsp:rsid wsp:val=&quot;002D4C2A&quot;/&gt;&lt;wsp:rsid wsp:val=&quot;002D5156&quot;/&gt;&lt;wsp:rsid wsp:val=&quot;002D5221&quot;/&gt;&lt;wsp:rsid wsp:val=&quot;002D54B2&quot;/&gt;&lt;wsp:rsid wsp:val=&quot;002D5AD5&quot;/&gt;&lt;wsp:rsid wsp:val=&quot;002D5F75&quot;/&gt;&lt;wsp:rsid wsp:val=&quot;002D60C7&quot;/&gt;&lt;wsp:rsid wsp:val=&quot;002D6528&quot;/&gt;&lt;wsp:rsid wsp:val=&quot;002D655D&quot;/&gt;&lt;wsp:rsid wsp:val=&quot;002D6810&quot;/&gt;&lt;wsp:rsid wsp:val=&quot;002D68CE&quot;/&gt;&lt;wsp:rsid wsp:val=&quot;002D68D1&quot;/&gt;&lt;wsp:rsid wsp:val=&quot;002D68F0&quot;/&gt;&lt;wsp:rsid wsp:val=&quot;002D6938&quot;/&gt;&lt;wsp:rsid wsp:val=&quot;002D6EA4&quot;/&gt;&lt;wsp:rsid wsp:val=&quot;002D6F4C&quot;/&gt;&lt;wsp:rsid wsp:val=&quot;002D712B&quot;/&gt;&lt;wsp:rsid wsp:val=&quot;002D7489&quot;/&gt;&lt;wsp:rsid wsp:val=&quot;002D75E1&quot;/&gt;&lt;wsp:rsid wsp:val=&quot;002D7852&quot;/&gt;&lt;wsp:rsid wsp:val=&quot;002D7876&quot;/&gt;&lt;wsp:rsid wsp:val=&quot;002D7F7C&quot;/&gt;&lt;wsp:rsid wsp:val=&quot;002E00F5&quot;/&gt;&lt;wsp:rsid wsp:val=&quot;002E0245&quot;/&gt;&lt;wsp:rsid wsp:val=&quot;002E09BB&quot;/&gt;&lt;wsp:rsid wsp:val=&quot;002E10DC&quot;/&gt;&lt;wsp:rsid wsp:val=&quot;002E155F&quot;/&gt;&lt;wsp:rsid wsp:val=&quot;002E1B96&quot;/&gt;&lt;wsp:rsid wsp:val=&quot;002E1D4F&quot;/&gt;&lt;wsp:rsid wsp:val=&quot;002E1F15&quot;/&gt;&lt;wsp:rsid wsp:val=&quot;002E1F17&quot;/&gt;&lt;wsp:rsid wsp:val=&quot;002E205D&quot;/&gt;&lt;wsp:rsid wsp:val=&quot;002E22DB&quot;/&gt;&lt;wsp:rsid wsp:val=&quot;002E28BB&quot;/&gt;&lt;wsp:rsid wsp:val=&quot;002E2C03&quot;/&gt;&lt;wsp:rsid wsp:val=&quot;002E2EC0&quot;/&gt;&lt;wsp:rsid wsp:val=&quot;002E3387&quot;/&gt;&lt;wsp:rsid wsp:val=&quot;002E34D6&quot;/&gt;&lt;wsp:rsid wsp:val=&quot;002E3B88&quot;/&gt;&lt;wsp:rsid wsp:val=&quot;002E3D5B&quot;/&gt;&lt;wsp:rsid wsp:val=&quot;002E3DAD&quot;/&gt;&lt;wsp:rsid wsp:val=&quot;002E3ED7&quot;/&gt;&lt;wsp:rsid wsp:val=&quot;002E4583&quot;/&gt;&lt;wsp:rsid wsp:val=&quot;002E4707&quot;/&gt;&lt;wsp:rsid wsp:val=&quot;002E4B35&quot;/&gt;&lt;wsp:rsid wsp:val=&quot;002E542B&quot;/&gt;&lt;wsp:rsid wsp:val=&quot;002E6D9B&quot;/&gt;&lt;wsp:rsid wsp:val=&quot;002E7A1F&quot;/&gt;&lt;wsp:rsid wsp:val=&quot;002E7AE0&quot;/&gt;&lt;wsp:rsid wsp:val=&quot;002E7B93&quot;/&gt;&lt;wsp:rsid wsp:val=&quot;002E7F73&quot;/&gt;&lt;wsp:rsid wsp:val=&quot;002F0117&quot;/&gt;&lt;wsp:rsid wsp:val=&quot;002F033F&quot;/&gt;&lt;wsp:rsid wsp:val=&quot;002F0447&quot;/&gt;&lt;wsp:rsid wsp:val=&quot;002F046F&quot;/&gt;&lt;wsp:rsid wsp:val=&quot;002F0546&quot;/&gt;&lt;wsp:rsid wsp:val=&quot;002F0E28&quot;/&gt;&lt;wsp:rsid wsp:val=&quot;002F0F50&quot;/&gt;&lt;wsp:rsid wsp:val=&quot;002F0FBF&quot;/&gt;&lt;wsp:rsid wsp:val=&quot;002F12A5&quot;/&gt;&lt;wsp:rsid wsp:val=&quot;002F1589&quot;/&gt;&lt;wsp:rsid wsp:val=&quot;002F17EF&quot;/&gt;&lt;wsp:rsid wsp:val=&quot;002F1969&quot;/&gt;&lt;wsp:rsid wsp:val=&quot;002F1FC7&quot;/&gt;&lt;wsp:rsid wsp:val=&quot;002F2886&quot;/&gt;&lt;wsp:rsid wsp:val=&quot;002F309F&quot;/&gt;&lt;wsp:rsid wsp:val=&quot;002F33C7&quot;/&gt;&lt;wsp:rsid wsp:val=&quot;002F3538&quot;/&gt;&lt;wsp:rsid wsp:val=&quot;002F3CF1&quot;/&gt;&lt;wsp:rsid wsp:val=&quot;002F3D37&quot;/&gt;&lt;wsp:rsid wsp:val=&quot;002F42BA&quot;/&gt;&lt;wsp:rsid wsp:val=&quot;002F452B&quot;/&gt;&lt;wsp:rsid wsp:val=&quot;002F4635&quot;/&gt;&lt;wsp:rsid wsp:val=&quot;002F4CC1&quot;/&gt;&lt;wsp:rsid wsp:val=&quot;002F4E53&quot;/&gt;&lt;wsp:rsid wsp:val=&quot;002F4E82&quot;/&gt;&lt;wsp:rsid wsp:val=&quot;002F4FEE&quot;/&gt;&lt;wsp:rsid wsp:val=&quot;002F50B4&quot;/&gt;&lt;wsp:rsid wsp:val=&quot;002F5550&quot;/&gt;&lt;wsp:rsid wsp:val=&quot;002F57FD&quot;/&gt;&lt;wsp:rsid wsp:val=&quot;002F5DB6&quot;/&gt;&lt;wsp:rsid wsp:val=&quot;002F5EEF&quot;/&gt;&lt;wsp:rsid wsp:val=&quot;002F5FFD&quot;/&gt;&lt;wsp:rsid wsp:val=&quot;002F6510&quot;/&gt;&lt;wsp:rsid wsp:val=&quot;002F6A30&quot;/&gt;&lt;wsp:rsid wsp:val=&quot;002F6C71&quot;/&gt;&lt;wsp:rsid wsp:val=&quot;002F762A&quot;/&gt;&lt;wsp:rsid wsp:val=&quot;002F7CDE&quot;/&gt;&lt;wsp:rsid wsp:val=&quot;00300614&quot;/&gt;&lt;wsp:rsid wsp:val=&quot;0030079A&quot;/&gt;&lt;wsp:rsid wsp:val=&quot;00300A4F&quot;/&gt;&lt;wsp:rsid wsp:val=&quot;003011E0&quot;/&gt;&lt;wsp:rsid wsp:val=&quot;00301AB9&quot;/&gt;&lt;wsp:rsid wsp:val=&quot;00301E31&quot;/&gt;&lt;wsp:rsid wsp:val=&quot;003020F0&quot;/&gt;&lt;wsp:rsid wsp:val=&quot;003021E3&quot;/&gt;&lt;wsp:rsid wsp:val=&quot;003021EB&quot;/&gt;&lt;wsp:rsid wsp:val=&quot;0030234F&quot;/&gt;&lt;wsp:rsid wsp:val=&quot;003024F1&quot;/&gt;&lt;wsp:rsid wsp:val=&quot;00302C47&quot;/&gt;&lt;wsp:rsid wsp:val=&quot;00302DE7&quot;/&gt;&lt;wsp:rsid wsp:val=&quot;00302E2C&quot;/&gt;&lt;wsp:rsid wsp:val=&quot;0030381E&quot;/&gt;&lt;wsp:rsid wsp:val=&quot;00303848&quot;/&gt;&lt;wsp:rsid wsp:val=&quot;00303894&quot;/&gt;&lt;wsp:rsid wsp:val=&quot;00303A13&quot;/&gt;&lt;wsp:rsid wsp:val=&quot;00303D41&quot;/&gt;&lt;wsp:rsid wsp:val=&quot;0030400B&quot;/&gt;&lt;wsp:rsid wsp:val=&quot;003040BB&quot;/&gt;&lt;wsp:rsid wsp:val=&quot;003042E2&quot;/&gt;&lt;wsp:rsid wsp:val=&quot;00304465&quot;/&gt;&lt;wsp:rsid wsp:val=&quot;00304543&quot;/&gt;&lt;wsp:rsid wsp:val=&quot;00304659&quot;/&gt;&lt;wsp:rsid wsp:val=&quot;00304816&quot;/&gt;&lt;wsp:rsid wsp:val=&quot;00305216&quot;/&gt;&lt;wsp:rsid wsp:val=&quot;00305929&quot;/&gt;&lt;wsp:rsid wsp:val=&quot;00305A87&quot;/&gt;&lt;wsp:rsid wsp:val=&quot;003064CB&quot;/&gt;&lt;wsp:rsid wsp:val=&quot;00306A6A&quot;/&gt;&lt;wsp:rsid wsp:val=&quot;00306AA7&quot;/&gt;&lt;wsp:rsid wsp:val=&quot;00306CB1&quot;/&gt;&lt;wsp:rsid wsp:val=&quot;00306F51&quot;/&gt;&lt;wsp:rsid wsp:val=&quot;00306F9A&quot;/&gt;&lt;wsp:rsid wsp:val=&quot;00307117&quot;/&gt;&lt;wsp:rsid wsp:val=&quot;00307711&quot;/&gt;&lt;wsp:rsid wsp:val=&quot;003077AC&quot;/&gt;&lt;wsp:rsid wsp:val=&quot;00307B03&quot;/&gt;&lt;wsp:rsid wsp:val=&quot;0031013A&quot;/&gt;&lt;wsp:rsid wsp:val=&quot;0031018C&quot;/&gt;&lt;wsp:rsid wsp:val=&quot;003105B2&quot;/&gt;&lt;wsp:rsid wsp:val=&quot;00310832&quot;/&gt;&lt;wsp:rsid wsp:val=&quot;00310AC6&quot;/&gt;&lt;wsp:rsid wsp:val=&quot;00310E02&quot;/&gt;&lt;wsp:rsid wsp:val=&quot;003111BD&quot;/&gt;&lt;wsp:rsid wsp:val=&quot;00311355&quot;/&gt;&lt;wsp:rsid wsp:val=&quot;003118E0&quot;/&gt;&lt;wsp:rsid wsp:val=&quot;00311967&quot;/&gt;&lt;wsp:rsid wsp:val=&quot;00311BFF&quot;/&gt;&lt;wsp:rsid wsp:val=&quot;0031201D&quot;/&gt;&lt;wsp:rsid wsp:val=&quot;003124A8&quot;/&gt;&lt;wsp:rsid wsp:val=&quot;0031286E&quot;/&gt;&lt;wsp:rsid wsp:val=&quot;00312EEF&quot;/&gt;&lt;wsp:rsid wsp:val=&quot;00312FD4&quot;/&gt;&lt;wsp:rsid wsp:val=&quot;0031302C&quot;/&gt;&lt;wsp:rsid wsp:val=&quot;00313A91&quot;/&gt;&lt;wsp:rsid wsp:val=&quot;00313C73&quot;/&gt;&lt;wsp:rsid wsp:val=&quot;0031435C&quot;/&gt;&lt;wsp:rsid wsp:val=&quot;003144DA&quot;/&gt;&lt;wsp:rsid wsp:val=&quot;00314577&quot;/&gt;&lt;wsp:rsid wsp:val=&quot;003145BA&quot;/&gt;&lt;wsp:rsid wsp:val=&quot;003146B3&quot;/&gt;&lt;wsp:rsid wsp:val=&quot;003148C5&quot;/&gt;&lt;wsp:rsid wsp:val=&quot;003148E8&quot;/&gt;&lt;wsp:rsid wsp:val=&quot;0031494A&quot;/&gt;&lt;wsp:rsid wsp:val=&quot;00314D64&quot;/&gt;&lt;wsp:rsid wsp:val=&quot;003153AB&quot;/&gt;&lt;wsp:rsid wsp:val=&quot;00315C1F&quot;/&gt;&lt;wsp:rsid wsp:val=&quot;00316A8D&quot;/&gt;&lt;wsp:rsid wsp:val=&quot;00316B3D&quot;/&gt;&lt;wsp:rsid wsp:val=&quot;0031710A&quot;/&gt;&lt;wsp:rsid wsp:val=&quot;0031727B&quot;/&gt;&lt;wsp:rsid wsp:val=&quot;003173FE&quot;/&gt;&lt;wsp:rsid wsp:val=&quot;0031743E&quot;/&gt;&lt;wsp:rsid wsp:val=&quot;003175D3&quot;/&gt;&lt;wsp:rsid wsp:val=&quot;003176EF&quot;/&gt;&lt;wsp:rsid wsp:val=&quot;00317939&quot;/&gt;&lt;wsp:rsid wsp:val=&quot;00317951&quot;/&gt;&lt;wsp:rsid wsp:val=&quot;003179E4&quot;/&gt;&lt;wsp:rsid wsp:val=&quot;00317A5B&quot;/&gt;&lt;wsp:rsid wsp:val=&quot;00317B85&quot;/&gt;&lt;wsp:rsid wsp:val=&quot;00317C82&quot;/&gt;&lt;wsp:rsid wsp:val=&quot;00317C8D&quot;/&gt;&lt;wsp:rsid wsp:val=&quot;00320125&quot;/&gt;&lt;wsp:rsid wsp:val=&quot;00320258&quot;/&gt;&lt;wsp:rsid wsp:val=&quot;00320778&quot;/&gt;&lt;wsp:rsid wsp:val=&quot;003208F1&quot;/&gt;&lt;wsp:rsid wsp:val=&quot;00320B46&quot;/&gt;&lt;wsp:rsid wsp:val=&quot;00321345&quot;/&gt;&lt;wsp:rsid wsp:val=&quot;003219C6&quot;/&gt;&lt;wsp:rsid wsp:val=&quot;00321BAA&quot;/&gt;&lt;wsp:rsid wsp:val=&quot;00321FE8&quot;/&gt;&lt;wsp:rsid wsp:val=&quot;003228E7&quot;/&gt;&lt;wsp:rsid wsp:val=&quot;00322C86&quot;/&gt;&lt;wsp:rsid wsp:val=&quot;00322F9C&quot;/&gt;&lt;wsp:rsid wsp:val=&quot;00323064&quot;/&gt;&lt;wsp:rsid wsp:val=&quot;00323789&quot;/&gt;&lt;wsp:rsid wsp:val=&quot;003237CD&quot;/&gt;&lt;wsp:rsid wsp:val=&quot;003239FE&quot;/&gt;&lt;wsp:rsid wsp:val=&quot;00323A36&quot;/&gt;&lt;wsp:rsid wsp:val=&quot;00323C3F&quot;/&gt;&lt;wsp:rsid wsp:val=&quot;00324043&quot;/&gt;&lt;wsp:rsid wsp:val=&quot;003240C6&quot;/&gt;&lt;wsp:rsid wsp:val=&quot;003240DB&quot;/&gt;&lt;wsp:rsid wsp:val=&quot;00324172&quot;/&gt;&lt;wsp:rsid wsp:val=&quot;003243F1&quot;/&gt;&lt;wsp:rsid wsp:val=&quot;00324811&quot;/&gt;&lt;wsp:rsid wsp:val=&quot;00324D96&quot;/&gt;&lt;wsp:rsid wsp:val=&quot;003251F5&quot;/&gt;&lt;wsp:rsid wsp:val=&quot;003251FD&quot;/&gt;&lt;wsp:rsid wsp:val=&quot;003252DE&quot;/&gt;&lt;wsp:rsid wsp:val=&quot;0032561C&quot;/&gt;&lt;wsp:rsid wsp:val=&quot;003256BF&quot;/&gt;&lt;wsp:rsid wsp:val=&quot;0032627E&quot;/&gt;&lt;wsp:rsid wsp:val=&quot;003263D2&quot;/&gt;&lt;wsp:rsid wsp:val=&quot;003265DD&quot;/&gt;&lt;wsp:rsid wsp:val=&quot;00326D3E&quot;/&gt;&lt;wsp:rsid wsp:val=&quot;0032714F&quot;/&gt;&lt;wsp:rsid wsp:val=&quot;0032737B&quot;/&gt;&lt;wsp:rsid wsp:val=&quot;0032755B&quot;/&gt;&lt;wsp:rsid wsp:val=&quot;0032756B&quot;/&gt;&lt;wsp:rsid wsp:val=&quot;003278B6&quot;/&gt;&lt;wsp:rsid wsp:val=&quot;00327A8B&quot;/&gt;&lt;wsp:rsid wsp:val=&quot;00327CA0&quot;/&gt;&lt;wsp:rsid wsp:val=&quot;00327E04&quot;/&gt;&lt;wsp:rsid wsp:val=&quot;00327E52&quot;/&gt;&lt;wsp:rsid wsp:val=&quot;00330024&quot;/&gt;&lt;wsp:rsid wsp:val=&quot;0033034B&quot;/&gt;&lt;wsp:rsid wsp:val=&quot;00330B34&quot;/&gt;&lt;wsp:rsid wsp:val=&quot;00331365&quot;/&gt;&lt;wsp:rsid wsp:val=&quot;003316ED&quot;/&gt;&lt;wsp:rsid wsp:val=&quot;0033175A&quot;/&gt;&lt;wsp:rsid wsp:val=&quot;003318EC&quot;/&gt;&lt;wsp:rsid wsp:val=&quot;00331ACB&quot;/&gt;&lt;wsp:rsid wsp:val=&quot;0033226E&quot;/&gt;&lt;wsp:rsid wsp:val=&quot;003322C0&quot;/&gt;&lt;wsp:rsid wsp:val=&quot;0033245B&quot;/&gt;&lt;wsp:rsid wsp:val=&quot;003327D1&quot;/&gt;&lt;wsp:rsid wsp:val=&quot;00332A9F&quot;/&gt;&lt;wsp:rsid wsp:val=&quot;00332C11&quot;/&gt;&lt;wsp:rsid wsp:val=&quot;0033316B&quot;/&gt;&lt;wsp:rsid wsp:val=&quot;003331E4&quot;/&gt;&lt;wsp:rsid wsp:val=&quot;003332A5&quot;/&gt;&lt;wsp:rsid wsp:val=&quot;003332B4&quot;/&gt;&lt;wsp:rsid wsp:val=&quot;003332C9&quot;/&gt;&lt;wsp:rsid wsp:val=&quot;00333498&quot;/&gt;&lt;wsp:rsid wsp:val=&quot;00333521&quot;/&gt;&lt;wsp:rsid wsp:val=&quot;00333680&quot;/&gt;&lt;wsp:rsid wsp:val=&quot;00333F62&quot;/&gt;&lt;wsp:rsid wsp:val=&quot;003340C4&quot;/&gt;&lt;wsp:rsid wsp:val=&quot;003342C3&quot;/&gt;&lt;wsp:rsid wsp:val=&quot;00334AB7&quot;/&gt;&lt;wsp:rsid wsp:val=&quot;00334DBD&quot;/&gt;&lt;wsp:rsid wsp:val=&quot;00334F85&quot;/&gt;&lt;wsp:rsid wsp:val=&quot;0033524F&quot;/&gt;&lt;wsp:rsid wsp:val=&quot;003354E8&quot;/&gt;&lt;wsp:rsid wsp:val=&quot;00335704&quot;/&gt;&lt;wsp:rsid wsp:val=&quot;00335B8C&quot;/&gt;&lt;wsp:rsid wsp:val=&quot;00335BEC&quot;/&gt;&lt;wsp:rsid wsp:val=&quot;00335C3B&quot;/&gt;&lt;wsp:rsid wsp:val=&quot;00335FEF&quot;/&gt;&lt;wsp:rsid wsp:val=&quot;00336121&quot;/&gt;&lt;wsp:rsid wsp:val=&quot;00336146&quot;/&gt;&lt;wsp:rsid wsp:val=&quot;003369C1&quot;/&gt;&lt;wsp:rsid wsp:val=&quot;00336D68&quot;/&gt;&lt;wsp:rsid wsp:val=&quot;00336D7E&quot;/&gt;&lt;wsp:rsid wsp:val=&quot;00337075&quot;/&gt;&lt;wsp:rsid wsp:val=&quot;0033707C&quot;/&gt;&lt;wsp:rsid wsp:val=&quot;003373A9&quot;/&gt;&lt;wsp:rsid wsp:val=&quot;003373F7&quot;/&gt;&lt;wsp:rsid wsp:val=&quot;003375F2&quot;/&gt;&lt;wsp:rsid wsp:val=&quot;0033764C&quot;/&gt;&lt;wsp:rsid wsp:val=&quot;003379E1&quot;/&gt;&lt;wsp:rsid wsp:val=&quot;0034005A&quot;/&gt;&lt;wsp:rsid wsp:val=&quot;00340105&quot;/&gt;&lt;wsp:rsid wsp:val=&quot;003405F2&quot;/&gt;&lt;wsp:rsid wsp:val=&quot;0034077B&quot;/&gt;&lt;wsp:rsid wsp:val=&quot;00340B3C&quot;/&gt;&lt;wsp:rsid wsp:val=&quot;00340EA3&quot;/&gt;&lt;wsp:rsid wsp:val=&quot;00340EC3&quot;/&gt;&lt;wsp:rsid wsp:val=&quot;00341352&quot;/&gt;&lt;wsp:rsid wsp:val=&quot;0034136D&quot;/&gt;&lt;wsp:rsid wsp:val=&quot;00341648&quot;/&gt;&lt;wsp:rsid wsp:val=&quot;00341871&quot;/&gt;&lt;wsp:rsid wsp:val=&quot;00341BA2&quot;/&gt;&lt;wsp:rsid wsp:val=&quot;0034246D&quot;/&gt;&lt;wsp:rsid wsp:val=&quot;003426DD&quot;/&gt;&lt;wsp:rsid wsp:val=&quot;003429BB&quot;/&gt;&lt;wsp:rsid wsp:val=&quot;00342C6D&quot;/&gt;&lt;wsp:rsid wsp:val=&quot;00342D91&quot;/&gt;&lt;wsp:rsid wsp:val=&quot;0034360D&quot;/&gt;&lt;wsp:rsid wsp:val=&quot;00343823&quot;/&gt;&lt;wsp:rsid wsp:val=&quot;00343AEB&quot;/&gt;&lt;wsp:rsid wsp:val=&quot;00343B37&quot;/&gt;&lt;wsp:rsid wsp:val=&quot;003441AF&quot;/&gt;&lt;wsp:rsid wsp:val=&quot;0034430C&quot;/&gt;&lt;wsp:rsid wsp:val=&quot;0034477E&quot;/&gt;&lt;wsp:rsid wsp:val=&quot;0034499B&quot;/&gt;&lt;wsp:rsid wsp:val=&quot;003449EE&quot;/&gt;&lt;wsp:rsid wsp:val=&quot;00344C86&quot;/&gt;&lt;wsp:rsid wsp:val=&quot;00345346&quot;/&gt;&lt;wsp:rsid wsp:val=&quot;003459A5&quot;/&gt;&lt;wsp:rsid wsp:val=&quot;00345E3E&quot;/&gt;&lt;wsp:rsid wsp:val=&quot;00345E83&quot;/&gt;&lt;wsp:rsid wsp:val=&quot;003461A8&quot;/&gt;&lt;wsp:rsid wsp:val=&quot;003461B5&quot;/&gt;&lt;wsp:rsid wsp:val=&quot;0034647F&quot;/&gt;&lt;wsp:rsid wsp:val=&quot;003465BD&quot;/&gt;&lt;wsp:rsid wsp:val=&quot;003467BA&quot;/&gt;&lt;wsp:rsid wsp:val=&quot;003472CE&quot;/&gt;&lt;wsp:rsid wsp:val=&quot;003474C7&quot;/&gt;&lt;wsp:rsid wsp:val=&quot;00347AEC&quot;/&gt;&lt;wsp:rsid wsp:val=&quot;00350027&quot;/&gt;&lt;wsp:rsid wsp:val=&quot;003501D8&quot;/&gt;&lt;wsp:rsid wsp:val=&quot;003506E8&quot;/&gt;&lt;wsp:rsid wsp:val=&quot;00350808&quot;/&gt;&lt;wsp:rsid wsp:val=&quot;00350B40&quot;/&gt;&lt;wsp:rsid wsp:val=&quot;00350BE1&quot;/&gt;&lt;wsp:rsid wsp:val=&quot;00350C45&quot;/&gt;&lt;wsp:rsid wsp:val=&quot;00350D37&quot;/&gt;&lt;wsp:rsid wsp:val=&quot;003513D0&quot;/&gt;&lt;wsp:rsid wsp:val=&quot;00351544&quot;/&gt;&lt;wsp:rsid wsp:val=&quot;00351D23&quot;/&gt;&lt;wsp:rsid wsp:val=&quot;00352111&quot;/&gt;&lt;wsp:rsid wsp:val=&quot;0035243E&quot;/&gt;&lt;wsp:rsid wsp:val=&quot;003529B5&quot;/&gt;&lt;wsp:rsid wsp:val=&quot;003529C4&quot;/&gt;&lt;wsp:rsid wsp:val=&quot;00352D51&quot;/&gt;&lt;wsp:rsid wsp:val=&quot;0035318B&quot;/&gt;&lt;wsp:rsid wsp:val=&quot;0035377D&quot;/&gt;&lt;wsp:rsid wsp:val=&quot;00353951&quot;/&gt;&lt;wsp:rsid wsp:val=&quot;00353DEF&quot;/&gt;&lt;wsp:rsid wsp:val=&quot;003548CE&quot;/&gt;&lt;wsp:rsid wsp:val=&quot;003550CB&quot;/&gt;&lt;wsp:rsid wsp:val=&quot;0035532F&quot;/&gt;&lt;wsp:rsid wsp:val=&quot;00355506&quot;/&gt;&lt;wsp:rsid wsp:val=&quot;0035582D&quot;/&gt;&lt;wsp:rsid wsp:val=&quot;003558B6&quot;/&gt;&lt;wsp:rsid wsp:val=&quot;0035596F&quot;/&gt;&lt;wsp:rsid wsp:val=&quot;00355B23&quot;/&gt;&lt;wsp:rsid wsp:val=&quot;003564AF&quot;/&gt;&lt;wsp:rsid wsp:val=&quot;003576FD&quot;/&gt;&lt;wsp:rsid wsp:val=&quot;0035786F&quot;/&gt;&lt;wsp:rsid wsp:val=&quot;00357B2B&quot;/&gt;&lt;wsp:rsid wsp:val=&quot;00357BD4&quot;/&gt;&lt;wsp:rsid wsp:val=&quot;0036002A&quot;/&gt;&lt;wsp:rsid wsp:val=&quot;0036041D&quot;/&gt;&lt;wsp:rsid wsp:val=&quot;00360810&quot;/&gt;&lt;wsp:rsid wsp:val=&quot;00360C9D&quot;/&gt;&lt;wsp:rsid wsp:val=&quot;00360FA1&quot;/&gt;&lt;wsp:rsid wsp:val=&quot;003611FD&quot;/&gt;&lt;wsp:rsid wsp:val=&quot;00361663&quot;/&gt;&lt;wsp:rsid wsp:val=&quot;00361B72&quot;/&gt;&lt;wsp:rsid wsp:val=&quot;00361FD5&quot;/&gt;&lt;wsp:rsid wsp:val=&quot;003620B5&quot;/&gt;&lt;wsp:rsid wsp:val=&quot;003620DB&quot;/&gt;&lt;wsp:rsid wsp:val=&quot;003621B7&quot;/&gt;&lt;wsp:rsid wsp:val=&quot;0036259B&quot;/&gt;&lt;wsp:rsid wsp:val=&quot;00362A92&quot;/&gt;&lt;wsp:rsid wsp:val=&quot;00362BC1&quot;/&gt;&lt;wsp:rsid wsp:val=&quot;00362FE2&quot;/&gt;&lt;wsp:rsid wsp:val=&quot;003630BD&quot;/&gt;&lt;wsp:rsid wsp:val=&quot;0036312A&quot;/&gt;&lt;wsp:rsid wsp:val=&quot;00363568&quot;/&gt;&lt;wsp:rsid wsp:val=&quot;003638A2&quot;/&gt;&lt;wsp:rsid wsp:val=&quot;00363E3B&quot;/&gt;&lt;wsp:rsid wsp:val=&quot;00363E47&quot;/&gt;&lt;wsp:rsid wsp:val=&quot;0036416D&quot;/&gt;&lt;wsp:rsid wsp:val=&quot;00364582&quot;/&gt;&lt;wsp:rsid wsp:val=&quot;003645D7&quot;/&gt;&lt;wsp:rsid wsp:val=&quot;00364A82&quot;/&gt;&lt;wsp:rsid wsp:val=&quot;00365286&quot;/&gt;&lt;wsp:rsid wsp:val=&quot;00365C52&quot;/&gt;&lt;wsp:rsid wsp:val=&quot;00365F41&quot;/&gt;&lt;wsp:rsid wsp:val=&quot;00366017&quot;/&gt;&lt;wsp:rsid wsp:val=&quot;00366401&quot;/&gt;&lt;wsp:rsid wsp:val=&quot;00366520&quot;/&gt;&lt;wsp:rsid wsp:val=&quot;003666EE&quot;/&gt;&lt;wsp:rsid wsp:val=&quot;00366833&quot;/&gt;&lt;wsp:rsid wsp:val=&quot;00366FF4&quot;/&gt;&lt;wsp:rsid wsp:val=&quot;0036702E&quot;/&gt;&lt;wsp:rsid wsp:val=&quot;00367099&quot;/&gt;&lt;wsp:rsid wsp:val=&quot;00367116&quot;/&gt;&lt;wsp:rsid wsp:val=&quot;003671C2&quot;/&gt;&lt;wsp:rsid wsp:val=&quot;003673CB&quot;/&gt;&lt;wsp:rsid wsp:val=&quot;00367508&quot;/&gt;&lt;wsp:rsid wsp:val=&quot;00367CAA&quot;/&gt;&lt;wsp:rsid wsp:val=&quot;00370218&quot;/&gt;&lt;wsp:rsid wsp:val=&quot;00370956&quot;/&gt;&lt;wsp:rsid wsp:val=&quot;00370A0F&quot;/&gt;&lt;wsp:rsid wsp:val=&quot;00370D91&quot;/&gt;&lt;wsp:rsid wsp:val=&quot;00371DDF&quot;/&gt;&lt;wsp:rsid wsp:val=&quot;00371E75&quot;/&gt;&lt;wsp:rsid wsp:val=&quot;00372B2C&quot;/&gt;&lt;wsp:rsid wsp:val=&quot;00372B94&quot;/&gt;&lt;wsp:rsid wsp:val=&quot;00372E1F&quot;/&gt;&lt;wsp:rsid wsp:val=&quot;0037305D&quot;/&gt;&lt;wsp:rsid wsp:val=&quot;00373080&quot;/&gt;&lt;wsp:rsid wsp:val=&quot;0037327A&quot;/&gt;&lt;wsp:rsid wsp:val=&quot;003733B9&quot;/&gt;&lt;wsp:rsid wsp:val=&quot;003734EA&quot;/&gt;&lt;wsp:rsid wsp:val=&quot;00373772&quot;/&gt;&lt;wsp:rsid wsp:val=&quot;0037381A&quot;/&gt;&lt;wsp:rsid wsp:val=&quot;00373863&quot;/&gt;&lt;wsp:rsid wsp:val=&quot;0037417F&quot;/&gt;&lt;wsp:rsid wsp:val=&quot;0037434F&quot;/&gt;&lt;wsp:rsid wsp:val=&quot;003744B2&quot;/&gt;&lt;wsp:rsid wsp:val=&quot;00374A1A&quot;/&gt;&lt;wsp:rsid wsp:val=&quot;00374CFC&quot;/&gt;&lt;wsp:rsid wsp:val=&quot;003751DB&quot;/&gt;&lt;wsp:rsid wsp:val=&quot;00375561&quot;/&gt;&lt;wsp:rsid wsp:val=&quot;0037566E&quot;/&gt;&lt;wsp:rsid wsp:val=&quot;0037573E&quot;/&gt;&lt;wsp:rsid wsp:val=&quot;0037587B&quot;/&gt;&lt;wsp:rsid wsp:val=&quot;00375FE1&quot;/&gt;&lt;wsp:rsid wsp:val=&quot;0037620D&quot;/&gt;&lt;wsp:rsid wsp:val=&quot;00376889&quot;/&gt;&lt;wsp:rsid wsp:val=&quot;0037688C&quot;/&gt;&lt;wsp:rsid wsp:val=&quot;0037736A&quot;/&gt;&lt;wsp:rsid wsp:val=&quot;003778DE&quot;/&gt;&lt;wsp:rsid wsp:val=&quot;00377A92&quot;/&gt;&lt;wsp:rsid wsp:val=&quot;00377CAB&quot;/&gt;&lt;wsp:rsid wsp:val=&quot;00377CCF&quot;/&gt;&lt;wsp:rsid wsp:val=&quot;003800B0&quot;/&gt;&lt;wsp:rsid wsp:val=&quot;00380150&quot;/&gt;&lt;wsp:rsid wsp:val=&quot;0038021F&quot;/&gt;&lt;wsp:rsid wsp:val=&quot;00380627&quot;/&gt;&lt;wsp:rsid wsp:val=&quot;00380A43&quot;/&gt;&lt;wsp:rsid wsp:val=&quot;00380BE5&quot;/&gt;&lt;wsp:rsid wsp:val=&quot;00380D61&quot;/&gt;&lt;wsp:rsid wsp:val=&quot;00380E4F&quot;/&gt;&lt;wsp:rsid wsp:val=&quot;00381580&quot;/&gt;&lt;wsp:rsid wsp:val=&quot;003816B6&quot;/&gt;&lt;wsp:rsid wsp:val=&quot;00381735&quot;/&gt;&lt;wsp:rsid wsp:val=&quot;00381A47&quot;/&gt;&lt;wsp:rsid wsp:val=&quot;00381AE0&quot;/&gt;&lt;wsp:rsid wsp:val=&quot;00381F29&quot;/&gt;&lt;wsp:rsid wsp:val=&quot;003822F0&quot;/&gt;&lt;wsp:rsid wsp:val=&quot;0038263F&quot;/&gt;&lt;wsp:rsid wsp:val=&quot;003829FF&quot;/&gt;&lt;wsp:rsid wsp:val=&quot;00382C25&quot;/&gt;&lt;wsp:rsid wsp:val=&quot;00382E60&quot;/&gt;&lt;wsp:rsid wsp:val=&quot;0038324A&quot;/&gt;&lt;wsp:rsid wsp:val=&quot;00383257&quot;/&gt;&lt;wsp:rsid wsp:val=&quot;003835F4&quot;/&gt;&lt;wsp:rsid wsp:val=&quot;00383A82&quot;/&gt;&lt;wsp:rsid wsp:val=&quot;00383B9A&quot;/&gt;&lt;wsp:rsid wsp:val=&quot;0038426B&quot;/&gt;&lt;wsp:rsid wsp:val=&quot;003843D7&quot;/&gt;&lt;wsp:rsid wsp:val=&quot;003849FB&quot;/&gt;&lt;wsp:rsid wsp:val=&quot;00384B3B&quot;/&gt;&lt;wsp:rsid wsp:val=&quot;00385C5F&quot;/&gt;&lt;wsp:rsid wsp:val=&quot;00385DE1&quot;/&gt;&lt;wsp:rsid wsp:val=&quot;00386363&quot;/&gt;&lt;wsp:rsid wsp:val=&quot;003867F0&quot;/&gt;&lt;wsp:rsid wsp:val=&quot;003871D5&quot;/&gt;&lt;wsp:rsid wsp:val=&quot;00387309&quot;/&gt;&lt;wsp:rsid wsp:val=&quot;0038764F&quot;/&gt;&lt;wsp:rsid wsp:val=&quot;00387679&quot;/&gt;&lt;wsp:rsid wsp:val=&quot;003878E4&quot;/&gt;&lt;wsp:rsid wsp:val=&quot;00387CCC&quot;/&gt;&lt;wsp:rsid wsp:val=&quot;00387D94&quot;/&gt;&lt;wsp:rsid wsp:val=&quot;00390021&quot;/&gt;&lt;wsp:rsid wsp:val=&quot;003902EC&quot;/&gt;&lt;wsp:rsid wsp:val=&quot;0039034E&quot;/&gt;&lt;wsp:rsid wsp:val=&quot;0039053A&quot;/&gt;&lt;wsp:rsid wsp:val=&quot;00390919&quot;/&gt;&lt;wsp:rsid wsp:val=&quot;00390925&quot;/&gt;&lt;wsp:rsid wsp:val=&quot;00390A07&quot;/&gt;&lt;wsp:rsid wsp:val=&quot;00390FA8&quot;/&gt;&lt;wsp:rsid wsp:val=&quot;00391369&quot;/&gt;&lt;wsp:rsid wsp:val=&quot;003917CB&quot;/&gt;&lt;wsp:rsid wsp:val=&quot;00391998&quot;/&gt;&lt;wsp:rsid wsp:val=&quot;00391E4D&quot;/&gt;&lt;wsp:rsid wsp:val=&quot;0039240C&quot;/&gt;&lt;wsp:rsid wsp:val=&quot;0039253A&quot;/&gt;&lt;wsp:rsid wsp:val=&quot;0039272C&quot;/&gt;&lt;wsp:rsid wsp:val=&quot;00392801&quot;/&gt;&lt;wsp:rsid wsp:val=&quot;00392907&quot;/&gt;&lt;wsp:rsid wsp:val=&quot;00392AAD&quot;/&gt;&lt;wsp:rsid wsp:val=&quot;003941C6&quot;/&gt;&lt;wsp:rsid wsp:val=&quot;003941CF&quot;/&gt;&lt;wsp:rsid wsp:val=&quot;003943D7&quot;/&gt;&lt;wsp:rsid wsp:val=&quot;00394690&quot;/&gt;&lt;wsp:rsid wsp:val=&quot;0039499C&quot;/&gt;&lt;wsp:rsid wsp:val=&quot;00394B2F&quot;/&gt;&lt;wsp:rsid wsp:val=&quot;00394D37&quot;/&gt;&lt;wsp:rsid wsp:val=&quot;0039501D&quot;/&gt;&lt;wsp:rsid wsp:val=&quot;00395940&quot;/&gt;&lt;wsp:rsid wsp:val=&quot;00395BC4&quot;/&gt;&lt;wsp:rsid wsp:val=&quot;00395E6F&quot;/&gt;&lt;wsp:rsid wsp:val=&quot;0039633C&quot;/&gt;&lt;wsp:rsid wsp:val=&quot;00396746&quot;/&gt;&lt;wsp:rsid wsp:val=&quot;00396CC7&quot;/&gt;&lt;wsp:rsid wsp:val=&quot;00396FF0&quot;/&gt;&lt;wsp:rsid wsp:val=&quot;003976D0&quot;/&gt;&lt;wsp:rsid wsp:val=&quot;0039784D&quot;/&gt;&lt;wsp:rsid wsp:val=&quot;00397969&quot;/&gt;&lt;wsp:rsid wsp:val=&quot;00397A5E&quot;/&gt;&lt;wsp:rsid wsp:val=&quot;00397AAD&quot;/&gt;&lt;wsp:rsid wsp:val=&quot;00397CB3&quot;/&gt;&lt;wsp:rsid wsp:val=&quot;00397FF2&quot;/&gt;&lt;wsp:rsid wsp:val=&quot;003A0398&quot;/&gt;&lt;wsp:rsid wsp:val=&quot;003A047C&quot;/&gt;&lt;wsp:rsid wsp:val=&quot;003A0DB5&quot;/&gt;&lt;wsp:rsid wsp:val=&quot;003A145B&quot;/&gt;&lt;wsp:rsid wsp:val=&quot;003A157A&quot;/&gt;&lt;wsp:rsid wsp:val=&quot;003A176A&quot;/&gt;&lt;wsp:rsid wsp:val=&quot;003A1844&quot;/&gt;&lt;wsp:rsid wsp:val=&quot;003A184C&quot;/&gt;&lt;wsp:rsid wsp:val=&quot;003A1899&quot;/&gt;&lt;wsp:rsid wsp:val=&quot;003A1926&quot;/&gt;&lt;wsp:rsid wsp:val=&quot;003A1C22&quot;/&gt;&lt;wsp:rsid wsp:val=&quot;003A1C65&quot;/&gt;&lt;wsp:rsid wsp:val=&quot;003A1CF9&quot;/&gt;&lt;wsp:rsid wsp:val=&quot;003A26FA&quot;/&gt;&lt;wsp:rsid wsp:val=&quot;003A287A&quot;/&gt;&lt;wsp:rsid wsp:val=&quot;003A29E9&quot;/&gt;&lt;wsp:rsid wsp:val=&quot;003A2A7F&quot;/&gt;&lt;wsp:rsid wsp:val=&quot;003A33E2&quot;/&gt;&lt;wsp:rsid wsp:val=&quot;003A38DD&quot;/&gt;&lt;wsp:rsid wsp:val=&quot;003A3D24&quot;/&gt;&lt;wsp:rsid wsp:val=&quot;003A3D53&quot;/&gt;&lt;wsp:rsid wsp:val=&quot;003A40F3&quot;/&gt;&lt;wsp:rsid wsp:val=&quot;003A436D&quot;/&gt;&lt;wsp:rsid wsp:val=&quot;003A4A59&quot;/&gt;&lt;wsp:rsid wsp:val=&quot;003A4A81&quot;/&gt;&lt;wsp:rsid wsp:val=&quot;003A4FE4&quot;/&gt;&lt;wsp:rsid wsp:val=&quot;003A5190&quot;/&gt;&lt;wsp:rsid wsp:val=&quot;003A528D&quot;/&gt;&lt;wsp:rsid wsp:val=&quot;003A5646&quot;/&gt;&lt;wsp:rsid wsp:val=&quot;003A566F&quot;/&gt;&lt;wsp:rsid wsp:val=&quot;003A5A32&quot;/&gt;&lt;wsp:rsid wsp:val=&quot;003A5E41&quot;/&gt;&lt;wsp:rsid wsp:val=&quot;003A65B1&quot;/&gt;&lt;wsp:rsid wsp:val=&quot;003A673B&quot;/&gt;&lt;wsp:rsid wsp:val=&quot;003A6859&quot;/&gt;&lt;wsp:rsid wsp:val=&quot;003A68E3&quot;/&gt;&lt;wsp:rsid wsp:val=&quot;003A6912&quot;/&gt;&lt;wsp:rsid wsp:val=&quot;003A70B3&quot;/&gt;&lt;wsp:rsid wsp:val=&quot;003A723C&quot;/&gt;&lt;wsp:rsid wsp:val=&quot;003A7262&quot;/&gt;&lt;wsp:rsid wsp:val=&quot;003A7901&quot;/&gt;&lt;wsp:rsid wsp:val=&quot;003A7925&quot;/&gt;&lt;wsp:rsid wsp:val=&quot;003A7CF6&quot;/&gt;&lt;wsp:rsid wsp:val=&quot;003A7FFD&quot;/&gt;&lt;wsp:rsid wsp:val=&quot;003B01AD&quot;/&gt;&lt;wsp:rsid wsp:val=&quot;003B05ED&quot;/&gt;&lt;wsp:rsid wsp:val=&quot;003B0B3D&quot;/&gt;&lt;wsp:rsid wsp:val=&quot;003B0C2D&quot;/&gt;&lt;wsp:rsid wsp:val=&quot;003B0E52&quot;/&gt;&lt;wsp:rsid wsp:val=&quot;003B132D&quot;/&gt;&lt;wsp:rsid wsp:val=&quot;003B17C5&quot;/&gt;&lt;wsp:rsid wsp:val=&quot;003B1B51&quot;/&gt;&lt;wsp:rsid wsp:val=&quot;003B22F7&quot;/&gt;&lt;wsp:rsid wsp:val=&quot;003B2A75&quot;/&gt;&lt;wsp:rsid wsp:val=&quot;003B2CEE&quot;/&gt;&lt;wsp:rsid wsp:val=&quot;003B2D31&quot;/&gt;&lt;wsp:rsid wsp:val=&quot;003B303C&quot;/&gt;&lt;wsp:rsid wsp:val=&quot;003B304A&quot;/&gt;&lt;wsp:rsid wsp:val=&quot;003B3172&quot;/&gt;&lt;wsp:rsid wsp:val=&quot;003B3279&quot;/&gt;&lt;wsp:rsid wsp:val=&quot;003B357E&quot;/&gt;&lt;wsp:rsid wsp:val=&quot;003B3978&quot;/&gt;&lt;wsp:rsid wsp:val=&quot;003B41AB&quot;/&gt;&lt;wsp:rsid wsp:val=&quot;003B41AF&quot;/&gt;&lt;wsp:rsid wsp:val=&quot;003B44F3&quot;/&gt;&lt;wsp:rsid wsp:val=&quot;003B4F57&quot;/&gt;&lt;wsp:rsid wsp:val=&quot;003B5077&quot;/&gt;&lt;wsp:rsid wsp:val=&quot;003B52A8&quot;/&gt;&lt;wsp:rsid wsp:val=&quot;003B52F7&quot;/&gt;&lt;wsp:rsid wsp:val=&quot;003B578C&quot;/&gt;&lt;wsp:rsid wsp:val=&quot;003B5E36&quot;/&gt;&lt;wsp:rsid wsp:val=&quot;003B5F0A&quot;/&gt;&lt;wsp:rsid wsp:val=&quot;003B61CB&quot;/&gt;&lt;wsp:rsid wsp:val=&quot;003B677D&quot;/&gt;&lt;wsp:rsid wsp:val=&quot;003B6C29&quot;/&gt;&lt;wsp:rsid wsp:val=&quot;003B6DC4&quot;/&gt;&lt;wsp:rsid wsp:val=&quot;003B6E68&quot;/&gt;&lt;wsp:rsid wsp:val=&quot;003B7010&quot;/&gt;&lt;wsp:rsid wsp:val=&quot;003B7D7F&quot;/&gt;&lt;wsp:rsid wsp:val=&quot;003B7FB5&quot;/&gt;&lt;wsp:rsid wsp:val=&quot;003C0009&quot;/&gt;&lt;wsp:rsid wsp:val=&quot;003C048B&quot;/&gt;&lt;wsp:rsid wsp:val=&quot;003C04E1&quot;/&gt;&lt;wsp:rsid wsp:val=&quot;003C0AEF&quot;/&gt;&lt;wsp:rsid wsp:val=&quot;003C0CE2&quot;/&gt;&lt;wsp:rsid wsp:val=&quot;003C1700&quot;/&gt;&lt;wsp:rsid wsp:val=&quot;003C1993&quot;/&gt;&lt;wsp:rsid wsp:val=&quot;003C1E3E&quot;/&gt;&lt;wsp:rsid wsp:val=&quot;003C2055&quot;/&gt;&lt;wsp:rsid wsp:val=&quot;003C270C&quot;/&gt;&lt;wsp:rsid wsp:val=&quot;003C29CB&quot;/&gt;&lt;wsp:rsid wsp:val=&quot;003C2BE4&quot;/&gt;&lt;wsp:rsid wsp:val=&quot;003C2D08&quot;/&gt;&lt;wsp:rsid wsp:val=&quot;003C2E68&quot;/&gt;&lt;wsp:rsid wsp:val=&quot;003C2EE3&quot;/&gt;&lt;wsp:rsid wsp:val=&quot;003C317C&quot;/&gt;&lt;wsp:rsid wsp:val=&quot;003C3719&quot;/&gt;&lt;wsp:rsid wsp:val=&quot;003C38EF&quot;/&gt;&lt;wsp:rsid wsp:val=&quot;003C3FD5&quot;/&gt;&lt;wsp:rsid wsp:val=&quot;003C421F&quot;/&gt;&lt;wsp:rsid wsp:val=&quot;003C44DE&quot;/&gt;&lt;wsp:rsid wsp:val=&quot;003C4928&quot;/&gt;&lt;wsp:rsid wsp:val=&quot;003C4A82&quot;/&gt;&lt;wsp:rsid wsp:val=&quot;003C524F&quot;/&gt;&lt;wsp:rsid wsp:val=&quot;003C57DC&quot;/&gt;&lt;wsp:rsid wsp:val=&quot;003C5C6B&quot;/&gt;&lt;wsp:rsid wsp:val=&quot;003C62E6&quot;/&gt;&lt;wsp:rsid wsp:val=&quot;003C6388&quot;/&gt;&lt;wsp:rsid wsp:val=&quot;003C63E0&quot;/&gt;&lt;wsp:rsid wsp:val=&quot;003C6DC2&quot;/&gt;&lt;wsp:rsid wsp:val=&quot;003C712E&quot;/&gt;&lt;wsp:rsid wsp:val=&quot;003C74EB&quot;/&gt;&lt;wsp:rsid wsp:val=&quot;003C776C&quot;/&gt;&lt;wsp:rsid wsp:val=&quot;003C7E38&quot;/&gt;&lt;wsp:rsid wsp:val=&quot;003C7E92&quot;/&gt;&lt;wsp:rsid wsp:val=&quot;003D022D&quot;/&gt;&lt;wsp:rsid wsp:val=&quot;003D0BB2&quot;/&gt;&lt;wsp:rsid wsp:val=&quot;003D0E03&quot;/&gt;&lt;wsp:rsid wsp:val=&quot;003D1172&quot;/&gt;&lt;wsp:rsid wsp:val=&quot;003D14AF&quot;/&gt;&lt;wsp:rsid wsp:val=&quot;003D1738&quot;/&gt;&lt;wsp:rsid wsp:val=&quot;003D1997&quot;/&gt;&lt;wsp:rsid wsp:val=&quot;003D1A47&quot;/&gt;&lt;wsp:rsid wsp:val=&quot;003D20A7&quot;/&gt;&lt;wsp:rsid wsp:val=&quot;003D23EC&quot;/&gt;&lt;wsp:rsid wsp:val=&quot;003D403E&quot;/&gt;&lt;wsp:rsid wsp:val=&quot;003D42D9&quot;/&gt;&lt;wsp:rsid wsp:val=&quot;003D4367&quot;/&gt;&lt;wsp:rsid wsp:val=&quot;003D4767&quot;/&gt;&lt;wsp:rsid wsp:val=&quot;003D48E3&quot;/&gt;&lt;wsp:rsid wsp:val=&quot;003D49D6&quot;/&gt;&lt;wsp:rsid wsp:val=&quot;003D4B23&quot;/&gt;&lt;wsp:rsid wsp:val=&quot;003D4C60&quot;/&gt;&lt;wsp:rsid wsp:val=&quot;003D4D6B&quot;/&gt;&lt;wsp:rsid wsp:val=&quot;003D50EC&quot;/&gt;&lt;wsp:rsid wsp:val=&quot;003D5179&quot;/&gt;&lt;wsp:rsid wsp:val=&quot;003D5451&quot;/&gt;&lt;wsp:rsid wsp:val=&quot;003D5514&quot;/&gt;&lt;wsp:rsid wsp:val=&quot;003D5668&quot;/&gt;&lt;wsp:rsid wsp:val=&quot;003D57A3&quot;/&gt;&lt;wsp:rsid wsp:val=&quot;003D5AD7&quot;/&gt;&lt;wsp:rsid wsp:val=&quot;003D5CDE&quot;/&gt;&lt;wsp:rsid wsp:val=&quot;003D6174&quot;/&gt;&lt;wsp:rsid wsp:val=&quot;003D6413&quot;/&gt;&lt;wsp:rsid wsp:val=&quot;003D6472&quot;/&gt;&lt;wsp:rsid wsp:val=&quot;003D65C0&quot;/&gt;&lt;wsp:rsid wsp:val=&quot;003D661A&quot;/&gt;&lt;wsp:rsid wsp:val=&quot;003D67A1&quot;/&gt;&lt;wsp:rsid wsp:val=&quot;003D6BB6&quot;/&gt;&lt;wsp:rsid wsp:val=&quot;003D6D7D&quot;/&gt;&lt;wsp:rsid wsp:val=&quot;003D6E42&quot;/&gt;&lt;wsp:rsid wsp:val=&quot;003D6E49&quot;/&gt;&lt;wsp:rsid wsp:val=&quot;003D6E59&quot;/&gt;&lt;wsp:rsid wsp:val=&quot;003D711E&quot;/&gt;&lt;wsp:rsid wsp:val=&quot;003D7374&quot;/&gt;&lt;wsp:rsid wsp:val=&quot;003D779F&quot;/&gt;&lt;wsp:rsid wsp:val=&quot;003D794B&quot;/&gt;&lt;wsp:rsid wsp:val=&quot;003D7975&quot;/&gt;&lt;wsp:rsid wsp:val=&quot;003D7EBB&quot;/&gt;&lt;wsp:rsid wsp:val=&quot;003D7F48&quot;/&gt;&lt;wsp:rsid wsp:val=&quot;003D7F9B&quot;/&gt;&lt;wsp:rsid wsp:val=&quot;003D7FC5&quot;/&gt;&lt;wsp:rsid wsp:val=&quot;003E010D&quot;/&gt;&lt;wsp:rsid wsp:val=&quot;003E07BA&quot;/&gt;&lt;wsp:rsid wsp:val=&quot;003E0BF1&quot;/&gt;&lt;wsp:rsid wsp:val=&quot;003E10D2&quot;/&gt;&lt;wsp:rsid wsp:val=&quot;003E1204&quot;/&gt;&lt;wsp:rsid wsp:val=&quot;003E15D2&quot;/&gt;&lt;wsp:rsid wsp:val=&quot;003E1949&quot;/&gt;&lt;wsp:rsid wsp:val=&quot;003E199F&quot;/&gt;&lt;wsp:rsid wsp:val=&quot;003E1BF0&quot;/&gt;&lt;wsp:rsid wsp:val=&quot;003E1F2C&quot;/&gt;&lt;wsp:rsid wsp:val=&quot;003E2283&quot;/&gt;&lt;wsp:rsid wsp:val=&quot;003E23AB&quot;/&gt;&lt;wsp:rsid wsp:val=&quot;003E25C2&quot;/&gt;&lt;wsp:rsid wsp:val=&quot;003E2B7A&quot;/&gt;&lt;wsp:rsid wsp:val=&quot;003E2C82&quot;/&gt;&lt;wsp:rsid wsp:val=&quot;003E343B&quot;/&gt;&lt;wsp:rsid wsp:val=&quot;003E3710&quot;/&gt;&lt;wsp:rsid wsp:val=&quot;003E3805&quot;/&gt;&lt;wsp:rsid wsp:val=&quot;003E3AC0&quot;/&gt;&lt;wsp:rsid wsp:val=&quot;003E413E&quot;/&gt;&lt;wsp:rsid wsp:val=&quot;003E4553&quot;/&gt;&lt;wsp:rsid wsp:val=&quot;003E483E&quot;/&gt;&lt;wsp:rsid wsp:val=&quot;003E4999&quot;/&gt;&lt;wsp:rsid wsp:val=&quot;003E4DB9&quot;/&gt;&lt;wsp:rsid wsp:val=&quot;003E5106&quot;/&gt;&lt;wsp:rsid wsp:val=&quot;003E5452&quot;/&gt;&lt;wsp:rsid wsp:val=&quot;003E5ED4&quot;/&gt;&lt;wsp:rsid wsp:val=&quot;003E5F64&quot;/&gt;&lt;wsp:rsid wsp:val=&quot;003E6036&quot;/&gt;&lt;wsp:rsid wsp:val=&quot;003E60CA&quot;/&gt;&lt;wsp:rsid wsp:val=&quot;003E6739&quot;/&gt;&lt;wsp:rsid wsp:val=&quot;003E6A00&quot;/&gt;&lt;wsp:rsid wsp:val=&quot;003E6D4C&quot;/&gt;&lt;wsp:rsid wsp:val=&quot;003E6DD0&quot;/&gt;&lt;wsp:rsid wsp:val=&quot;003E6EB5&quot;/&gt;&lt;wsp:rsid wsp:val=&quot;003E738E&quot;/&gt;&lt;wsp:rsid wsp:val=&quot;003E7466&quot;/&gt;&lt;wsp:rsid wsp:val=&quot;003E747E&quot;/&gt;&lt;wsp:rsid wsp:val=&quot;003E75D8&quot;/&gt;&lt;wsp:rsid wsp:val=&quot;003E75DD&quot;/&gt;&lt;wsp:rsid wsp:val=&quot;003E7F03&quot;/&gt;&lt;wsp:rsid wsp:val=&quot;003E7F56&quot;/&gt;&lt;wsp:rsid wsp:val=&quot;003F05A1&quot;/&gt;&lt;wsp:rsid wsp:val=&quot;003F072E&quot;/&gt;&lt;wsp:rsid wsp:val=&quot;003F0A77&quot;/&gt;&lt;wsp:rsid wsp:val=&quot;003F0DC0&quot;/&gt;&lt;wsp:rsid wsp:val=&quot;003F0F06&quot;/&gt;&lt;wsp:rsid wsp:val=&quot;003F10C2&quot;/&gt;&lt;wsp:rsid wsp:val=&quot;003F163B&quot;/&gt;&lt;wsp:rsid wsp:val=&quot;003F1962&quot;/&gt;&lt;wsp:rsid wsp:val=&quot;003F1D3F&quot;/&gt;&lt;wsp:rsid wsp:val=&quot;003F27FE&quot;/&gt;&lt;wsp:rsid wsp:val=&quot;003F2CD6&quot;/&gt;&lt;wsp:rsid wsp:val=&quot;003F2D9D&quot;/&gt;&lt;wsp:rsid wsp:val=&quot;003F2F74&quot;/&gt;&lt;wsp:rsid wsp:val=&quot;003F4232&quot;/&gt;&lt;wsp:rsid wsp:val=&quot;003F535C&quot;/&gt;&lt;wsp:rsid wsp:val=&quot;003F5782&quot;/&gt;&lt;wsp:rsid wsp:val=&quot;003F59F3&quot;/&gt;&lt;wsp:rsid wsp:val=&quot;003F5A09&quot;/&gt;&lt;wsp:rsid wsp:val=&quot;003F5A71&quot;/&gt;&lt;wsp:rsid wsp:val=&quot;003F5AB8&quot;/&gt;&lt;wsp:rsid wsp:val=&quot;003F5BCF&quot;/&gt;&lt;wsp:rsid wsp:val=&quot;003F61F2&quot;/&gt;&lt;wsp:rsid wsp:val=&quot;003F6306&quot;/&gt;&lt;wsp:rsid wsp:val=&quot;003F64A7&quot;/&gt;&lt;wsp:rsid wsp:val=&quot;003F651F&quot;/&gt;&lt;wsp:rsid wsp:val=&quot;003F67D5&quot;/&gt;&lt;wsp:rsid wsp:val=&quot;003F6EDE&quot;/&gt;&lt;wsp:rsid wsp:val=&quot;003F72B3&quot;/&gt;&lt;wsp:rsid wsp:val=&quot;003F77BC&quot;/&gt;&lt;wsp:rsid wsp:val=&quot;00400167&quot;/&gt;&lt;wsp:rsid wsp:val=&quot;00400AD1&quot;/&gt;&lt;wsp:rsid wsp:val=&quot;00401163&quot;/&gt;&lt;wsp:rsid wsp:val=&quot;00401171&quot;/&gt;&lt;wsp:rsid wsp:val=&quot;00402199&quot;/&gt;&lt;wsp:rsid wsp:val=&quot;004021F6&quot;/&gt;&lt;wsp:rsid wsp:val=&quot;00402823&quot;/&gt;&lt;wsp:rsid wsp:val=&quot;00402A93&quot;/&gt;&lt;wsp:rsid wsp:val=&quot;004032F0&quot;/&gt;&lt;wsp:rsid wsp:val=&quot;00403AB8&quot;/&gt;&lt;wsp:rsid wsp:val=&quot;00403EC3&quot;/&gt;&lt;wsp:rsid wsp:val=&quot;004041F7&quot;/&gt;&lt;wsp:rsid wsp:val=&quot;00404D42&quot;/&gt;&lt;wsp:rsid wsp:val=&quot;00404E76&quot;/&gt;&lt;wsp:rsid wsp:val=&quot;00405380&quot;/&gt;&lt;wsp:rsid wsp:val=&quot;00405393&quot;/&gt;&lt;wsp:rsid wsp:val=&quot;00405409&quot;/&gt;&lt;wsp:rsid wsp:val=&quot;00405452&quot;/&gt;&lt;wsp:rsid wsp:val=&quot;00405C6D&quot;/&gt;&lt;wsp:rsid wsp:val=&quot;0040601C&quot;/&gt;&lt;wsp:rsid wsp:val=&quot;0040604D&quot;/&gt;&lt;wsp:rsid wsp:val=&quot;0040662E&quot;/&gt;&lt;wsp:rsid wsp:val=&quot;00406706&quot;/&gt;&lt;wsp:rsid wsp:val=&quot;00406B1B&quot;/&gt;&lt;wsp:rsid wsp:val=&quot;00407073&quot;/&gt;&lt;wsp:rsid wsp:val=&quot;00407C7E&quot;/&gt;&lt;wsp:rsid wsp:val=&quot;00407D27&quot;/&gt;&lt;wsp:rsid wsp:val=&quot;004102C5&quot;/&gt;&lt;wsp:rsid wsp:val=&quot;0041080E&quot;/&gt;&lt;wsp:rsid wsp:val=&quot;004108CF&quot;/&gt;&lt;wsp:rsid wsp:val=&quot;004113CF&quot;/&gt;&lt;wsp:rsid wsp:val=&quot;00411874&quot;/&gt;&lt;wsp:rsid wsp:val=&quot;00411C07&quot;/&gt;&lt;wsp:rsid wsp:val=&quot;00411C3A&quot;/&gt;&lt;wsp:rsid wsp:val=&quot;00411D59&quot;/&gt;&lt;wsp:rsid wsp:val=&quot;00411DBF&quot;/&gt;&lt;wsp:rsid wsp:val=&quot;00412120&quot;/&gt;&lt;wsp:rsid wsp:val=&quot;004122B7&quot;/&gt;&lt;wsp:rsid wsp:val=&quot;004125F8&quot;/&gt;&lt;wsp:rsid wsp:val=&quot;004126D8&quot;/&gt;&lt;wsp:rsid wsp:val=&quot;00412732&quot;/&gt;&lt;wsp:rsid wsp:val=&quot;0041287E&quot;/&gt;&lt;wsp:rsid wsp:val=&quot;00412941&quot;/&gt;&lt;wsp:rsid wsp:val=&quot;00412A1C&quot;/&gt;&lt;wsp:rsid wsp:val=&quot;00412A9A&quot;/&gt;&lt;wsp:rsid wsp:val=&quot;00412B05&quot;/&gt;&lt;wsp:rsid wsp:val=&quot;00412E3E&quot;/&gt;&lt;wsp:rsid wsp:val=&quot;0041306D&quot;/&gt;&lt;wsp:rsid wsp:val=&quot;004137A0&quot;/&gt;&lt;wsp:rsid wsp:val=&quot;00413C4F&quot;/&gt;&lt;wsp:rsid wsp:val=&quot;00413DAA&quot;/&gt;&lt;wsp:rsid wsp:val=&quot;00413DB7&quot;/&gt;&lt;wsp:rsid wsp:val=&quot;00414227&quot;/&gt;&lt;wsp:rsid wsp:val=&quot;00415034&quot;/&gt;&lt;wsp:rsid wsp:val=&quot;00415974&quot;/&gt;&lt;wsp:rsid wsp:val=&quot;00415A40&quot;/&gt;&lt;wsp:rsid wsp:val=&quot;00416097&quot;/&gt;&lt;wsp:rsid wsp:val=&quot;00416277&quot;/&gt;&lt;wsp:rsid wsp:val=&quot;00416715&quot;/&gt;&lt;wsp:rsid wsp:val=&quot;00416D6C&quot;/&gt;&lt;wsp:rsid wsp:val=&quot;00416D9B&quot;/&gt;&lt;wsp:rsid wsp:val=&quot;00416E1D&quot;/&gt;&lt;wsp:rsid wsp:val=&quot;004171AC&quot;/&gt;&lt;wsp:rsid wsp:val=&quot;00417426&quot;/&gt;&lt;wsp:rsid wsp:val=&quot;00417963&quot;/&gt;&lt;wsp:rsid wsp:val=&quot;00417F00&quot;/&gt;&lt;wsp:rsid wsp:val=&quot;004201F9&quot;/&gt;&lt;wsp:rsid wsp:val=&quot;00420691&quot;/&gt;&lt;wsp:rsid wsp:val=&quot;00420919&quot;/&gt;&lt;wsp:rsid wsp:val=&quot;004209EA&quot;/&gt;&lt;wsp:rsid wsp:val=&quot;00420C86&quot;/&gt;&lt;wsp:rsid wsp:val=&quot;00420DA8&quot;/&gt;&lt;wsp:rsid wsp:val=&quot;004214D1&quot;/&gt;&lt;wsp:rsid wsp:val=&quot;0042172F&quot;/&gt;&lt;wsp:rsid wsp:val=&quot;00421879&quot;/&gt;&lt;wsp:rsid wsp:val=&quot;004226DD&quot;/&gt;&lt;wsp:rsid wsp:val=&quot;00422703&quot;/&gt;&lt;wsp:rsid wsp:val=&quot;004228DB&quot;/&gt;&lt;wsp:rsid wsp:val=&quot;00422CCB&quot;/&gt;&lt;wsp:rsid wsp:val=&quot;00422F61&quot;/&gt;&lt;wsp:rsid wsp:val=&quot;0042399D&quot;/&gt;&lt;wsp:rsid wsp:val=&quot;00423D45&quot;/&gt;&lt;wsp:rsid wsp:val=&quot;004256B2&quot;/&gt;&lt;wsp:rsid wsp:val=&quot;004258EB&quot;/&gt;&lt;wsp:rsid wsp:val=&quot;00425C65&quot;/&gt;&lt;wsp:rsid wsp:val=&quot;00426242&quot;/&gt;&lt;wsp:rsid wsp:val=&quot;004263DD&quot;/&gt;&lt;wsp:rsid wsp:val=&quot;00426B31&quot;/&gt;&lt;wsp:rsid wsp:val=&quot;00426C16&quot;/&gt;&lt;wsp:rsid wsp:val=&quot;00426C3D&quot;/&gt;&lt;wsp:rsid wsp:val=&quot;00426C91&quot;/&gt;&lt;wsp:rsid wsp:val=&quot;004272E7&quot;/&gt;&lt;wsp:rsid wsp:val=&quot;00427382&quot;/&gt;&lt;wsp:rsid wsp:val=&quot;00427A8E&quot;/&gt;&lt;wsp:rsid wsp:val=&quot;00427CBB&quot;/&gt;&lt;wsp:rsid wsp:val=&quot;00427F05&quot;/&gt;&lt;wsp:rsid wsp:val=&quot;0043005A&quot;/&gt;&lt;wsp:rsid wsp:val=&quot;004302FC&quot;/&gt;&lt;wsp:rsid wsp:val=&quot;004306DF&quot;/&gt;&lt;wsp:rsid wsp:val=&quot;00430728&quot;/&gt;&lt;wsp:rsid wsp:val=&quot;00430D53&quot;/&gt;&lt;wsp:rsid wsp:val=&quot;00431053&quot;/&gt;&lt;wsp:rsid wsp:val=&quot;00431166&quot;/&gt;&lt;wsp:rsid wsp:val=&quot;004312AC&quot;/&gt;&lt;wsp:rsid wsp:val=&quot;0043143D&quot;/&gt;&lt;wsp:rsid wsp:val=&quot;0043160B&quot;/&gt;&lt;wsp:rsid wsp:val=&quot;00431BD6&quot;/&gt;&lt;wsp:rsid wsp:val=&quot;00431D5A&quot;/&gt;&lt;wsp:rsid wsp:val=&quot;00432A0F&quot;/&gt;&lt;wsp:rsid wsp:val=&quot;00432B6D&quot;/&gt;&lt;wsp:rsid wsp:val=&quot;00432BD9&quot;/&gt;&lt;wsp:rsid wsp:val=&quot;00432F24&quot;/&gt;&lt;wsp:rsid wsp:val=&quot;00433063&quot;/&gt;&lt;wsp:rsid wsp:val=&quot;00433294&quot;/&gt;&lt;wsp:rsid wsp:val=&quot;00433353&quot;/&gt;&lt;wsp:rsid wsp:val=&quot;004338D5&quot;/&gt;&lt;wsp:rsid wsp:val=&quot;0043394F&quot;/&gt;&lt;wsp:rsid wsp:val=&quot;0043418B&quot;/&gt;&lt;wsp:rsid wsp:val=&quot;00434456&quot;/&gt;&lt;wsp:rsid wsp:val=&quot;0043487C&quot;/&gt;&lt;wsp:rsid wsp:val=&quot;00434B6B&quot;/&gt;&lt;wsp:rsid wsp:val=&quot;00435106&quot;/&gt;&lt;wsp:rsid wsp:val=&quot;00435446&quot;/&gt;&lt;wsp:rsid wsp:val=&quot;00435560&quot;/&gt;&lt;wsp:rsid wsp:val=&quot;00435CC3&quot;/&gt;&lt;wsp:rsid wsp:val=&quot;00435E1B&quot;/&gt;&lt;wsp:rsid wsp:val=&quot;00436526&quot;/&gt;&lt;wsp:rsid wsp:val=&quot;004368E1&quot;/&gt;&lt;wsp:rsid wsp:val=&quot;0043698F&quot;/&gt;&lt;wsp:rsid wsp:val=&quot;00436AE0&quot;/&gt;&lt;wsp:rsid wsp:val=&quot;00436AEF&quot;/&gt;&lt;wsp:rsid wsp:val=&quot;00436CF7&quot;/&gt;&lt;wsp:rsid wsp:val=&quot;00436E5C&quot;/&gt;&lt;wsp:rsid wsp:val=&quot;004371E9&quot;/&gt;&lt;wsp:rsid wsp:val=&quot;004375B1&quot;/&gt;&lt;wsp:rsid wsp:val=&quot;0043778B&quot;/&gt;&lt;wsp:rsid wsp:val=&quot;00437831&quot;/&gt;&lt;wsp:rsid wsp:val=&quot;00437BF6&quot;/&gt;&lt;wsp:rsid wsp:val=&quot;00437CAC&quot;/&gt;&lt;wsp:rsid wsp:val=&quot;00437E9D&quot;/&gt;&lt;wsp:rsid wsp:val=&quot;00440C3D&quot;/&gt;&lt;wsp:rsid wsp:val=&quot;0044147E&quot;/&gt;&lt;wsp:rsid wsp:val=&quot;004417DE&quot;/&gt;&lt;wsp:rsid wsp:val=&quot;00441A53&quot;/&gt;&lt;wsp:rsid wsp:val=&quot;00441B1C&quot;/&gt;&lt;wsp:rsid wsp:val=&quot;00441BC1&quot;/&gt;&lt;wsp:rsid wsp:val=&quot;00441C6D&quot;/&gt;&lt;wsp:rsid wsp:val=&quot;00441E1C&quot;/&gt;&lt;wsp:rsid wsp:val=&quot;00441EA7&quot;/&gt;&lt;wsp:rsid wsp:val=&quot;004420A8&quot;/&gt;&lt;wsp:rsid wsp:val=&quot;00442B06&quot;/&gt;&lt;wsp:rsid wsp:val=&quot;00442D41&quot;/&gt;&lt;wsp:rsid wsp:val=&quot;00442DBF&quot;/&gt;&lt;wsp:rsid wsp:val=&quot;00442E23&quot;/&gt;&lt;wsp:rsid wsp:val=&quot;00443044&quot;/&gt;&lt;wsp:rsid wsp:val=&quot;00443103&quot;/&gt;&lt;wsp:rsid wsp:val=&quot;00443143&quot;/&gt;&lt;wsp:rsid wsp:val=&quot;00443533&quot;/&gt;&lt;wsp:rsid wsp:val=&quot;004438F7&quot;/&gt;&lt;wsp:rsid wsp:val=&quot;00443985&quot;/&gt;&lt;wsp:rsid wsp:val=&quot;00443C76&quot;/&gt;&lt;wsp:rsid wsp:val=&quot;0044419D&quot;/&gt;&lt;wsp:rsid wsp:val=&quot;0044438A&quot;/&gt;&lt;wsp:rsid wsp:val=&quot;00444562&quot;/&gt;&lt;wsp:rsid wsp:val=&quot;0044478E&quot;/&gt;&lt;wsp:rsid wsp:val=&quot;004447EA&quot;/&gt;&lt;wsp:rsid wsp:val=&quot;0044488E&quot;/&gt;&lt;wsp:rsid wsp:val=&quot;00444C19&quot;/&gt;&lt;wsp:rsid wsp:val=&quot;00444F9D&quot;/&gt;&lt;wsp:rsid wsp:val=&quot;004458CA&quot;/&gt;&lt;wsp:rsid wsp:val=&quot;00445AFA&quot;/&gt;&lt;wsp:rsid wsp:val=&quot;00445D01&quot;/&gt;&lt;wsp:rsid wsp:val=&quot;00445E5F&quot;/&gt;&lt;wsp:rsid wsp:val=&quot;00446157&quot;/&gt;&lt;wsp:rsid wsp:val=&quot;004461A4&quot;/&gt;&lt;wsp:rsid wsp:val=&quot;004461D0&quot;/&gt;&lt;wsp:rsid wsp:val=&quot;004462D2&quot;/&gt;&lt;wsp:rsid wsp:val=&quot;00446374&quot;/&gt;&lt;wsp:rsid wsp:val=&quot;00446489&quot;/&gt;&lt;wsp:rsid wsp:val=&quot;00446537&quot;/&gt;&lt;wsp:rsid wsp:val=&quot;00446605&quot;/&gt;&lt;wsp:rsid wsp:val=&quot;004466CD&quot;/&gt;&lt;wsp:rsid wsp:val=&quot;0044671A&quot;/&gt;&lt;wsp:rsid wsp:val=&quot;00446798&quot;/&gt;&lt;wsp:rsid wsp:val=&quot;00446B30&quot;/&gt;&lt;wsp:rsid wsp:val=&quot;00447387&quot;/&gt;&lt;wsp:rsid wsp:val=&quot;00447397&quot;/&gt;&lt;wsp:rsid wsp:val=&quot;0044789A&quot;/&gt;&lt;wsp:rsid wsp:val=&quot;00447CC2&quot;/&gt;&lt;wsp:rsid wsp:val=&quot;00447FCB&quot;/&gt;&lt;wsp:rsid wsp:val=&quot;0045026C&quot;/&gt;&lt;wsp:rsid wsp:val=&quot;00450663&quot;/&gt;&lt;wsp:rsid wsp:val=&quot;004507D7&quot;/&gt;&lt;wsp:rsid wsp:val=&quot;00450BC6&quot;/&gt;&lt;wsp:rsid wsp:val=&quot;00450DAD&quot;/&gt;&lt;wsp:rsid wsp:val=&quot;00450E01&quot;/&gt;&lt;wsp:rsid wsp:val=&quot;00450FA8&quot;/&gt;&lt;wsp:rsid wsp:val=&quot;00451177&quot;/&gt;&lt;wsp:rsid wsp:val=&quot;0045123E&quot;/&gt;&lt;wsp:rsid wsp:val=&quot;004512ED&quot;/&gt;&lt;wsp:rsid wsp:val=&quot;004518D0&quot;/&gt;&lt;wsp:rsid wsp:val=&quot;00452310&quot;/&gt;&lt;wsp:rsid wsp:val=&quot;0045288A&quot;/&gt;&lt;wsp:rsid wsp:val=&quot;00452ACD&quot;/&gt;&lt;wsp:rsid wsp:val=&quot;00452B84&quot;/&gt;&lt;wsp:rsid wsp:val=&quot;00452C80&quot;/&gt;&lt;wsp:rsid wsp:val=&quot;004531A4&quot;/&gt;&lt;wsp:rsid wsp:val=&quot;00453268&quot;/&gt;&lt;wsp:rsid wsp:val=&quot;00453577&quot;/&gt;&lt;wsp:rsid wsp:val=&quot;00453C5D&quot;/&gt;&lt;wsp:rsid wsp:val=&quot;00454170&quot;/&gt;&lt;wsp:rsid wsp:val=&quot;00454832&quot;/&gt;&lt;wsp:rsid wsp:val=&quot;00454890&quot;/&gt;&lt;wsp:rsid wsp:val=&quot;00454A4D&quot;/&gt;&lt;wsp:rsid wsp:val=&quot;00454F20&quot;/&gt;&lt;wsp:rsid wsp:val=&quot;004553C6&quot;/&gt;&lt;wsp:rsid wsp:val=&quot;00455834&quot;/&gt;&lt;wsp:rsid wsp:val=&quot;00455B45&quot;/&gt;&lt;wsp:rsid wsp:val=&quot;00455B9C&quot;/&gt;&lt;wsp:rsid wsp:val=&quot;00455BB7&quot;/&gt;&lt;wsp:rsid wsp:val=&quot;00456165&quot;/&gt;&lt;wsp:rsid wsp:val=&quot;0045649E&quot;/&gt;&lt;wsp:rsid wsp:val=&quot;004565EB&quot;/&gt;&lt;wsp:rsid wsp:val=&quot;00456861&quot;/&gt;&lt;wsp:rsid wsp:val=&quot;004572A3&quot;/&gt;&lt;wsp:rsid wsp:val=&quot;004576F2&quot;/&gt;&lt;wsp:rsid wsp:val=&quot;004577F9&quot;/&gt;&lt;wsp:rsid wsp:val=&quot;00457CC6&quot;/&gt;&lt;wsp:rsid wsp:val=&quot;00457DE2&quot;/&gt;&lt;wsp:rsid wsp:val=&quot;00457FB3&quot;/&gt;&lt;wsp:rsid wsp:val=&quot;004608B6&quot;/&gt;&lt;wsp:rsid wsp:val=&quot;004608EE&quot;/&gt;&lt;wsp:rsid wsp:val=&quot;0046098B&quot;/&gt;&lt;wsp:rsid wsp:val=&quot;004610D7&quot;/&gt;&lt;wsp:rsid wsp:val=&quot;00461155&quot;/&gt;&lt;wsp:rsid wsp:val=&quot;004615C4&quot;/&gt;&lt;wsp:rsid wsp:val=&quot;00461628&quot;/&gt;&lt;wsp:rsid wsp:val=&quot;00461A79&quot;/&gt;&lt;wsp:rsid wsp:val=&quot;0046245E&quot;/&gt;&lt;wsp:rsid wsp:val=&quot;00462996&quot;/&gt;&lt;wsp:rsid wsp:val=&quot;00462A41&quot;/&gt;&lt;wsp:rsid wsp:val=&quot;00462B20&quot;/&gt;&lt;wsp:rsid wsp:val=&quot;00462BD0&quot;/&gt;&lt;wsp:rsid wsp:val=&quot;00462D04&quot;/&gt;&lt;wsp:rsid wsp:val=&quot;00463017&quot;/&gt;&lt;wsp:rsid wsp:val=&quot;00463593&quot;/&gt;&lt;wsp:rsid wsp:val=&quot;004635B6&quot;/&gt;&lt;wsp:rsid wsp:val=&quot;0046376F&quot;/&gt;&lt;wsp:rsid wsp:val=&quot;00463986&quot;/&gt;&lt;wsp:rsid wsp:val=&quot;00463CF2&quot;/&gt;&lt;wsp:rsid wsp:val=&quot;0046420B&quot;/&gt;&lt;wsp:rsid wsp:val=&quot;00464B26&quot;/&gt;&lt;wsp:rsid wsp:val=&quot;00464CC2&quot;/&gt;&lt;wsp:rsid wsp:val=&quot;00464DAA&quot;/&gt;&lt;wsp:rsid wsp:val=&quot;004655C4&quot;/&gt;&lt;wsp:rsid wsp:val=&quot;004657FF&quot;/&gt;&lt;wsp:rsid wsp:val=&quot;00465892&quot;/&gt;&lt;wsp:rsid wsp:val=&quot;00465895&quot;/&gt;&lt;wsp:rsid wsp:val=&quot;00465A53&quot;/&gt;&lt;wsp:rsid wsp:val=&quot;00465CB2&quot;/&gt;&lt;wsp:rsid wsp:val=&quot;00465D75&quot;/&gt;&lt;wsp:rsid wsp:val=&quot;004661B1&quot;/&gt;&lt;wsp:rsid wsp:val=&quot;004663F7&quot;/&gt;&lt;wsp:rsid wsp:val=&quot;00466D7E&quot;/&gt;&lt;wsp:rsid wsp:val=&quot;004674C1&quot;/&gt;&lt;wsp:rsid wsp:val=&quot;00467852&quot;/&gt;&lt;wsp:rsid wsp:val=&quot;004679FD&quot;/&gt;&lt;wsp:rsid wsp:val=&quot;00470019&quot;/&gt;&lt;wsp:rsid wsp:val=&quot;00470308&quot;/&gt;&lt;wsp:rsid wsp:val=&quot;0047046B&quot;/&gt;&lt;wsp:rsid wsp:val=&quot;00470DB4&quot;/&gt;&lt;wsp:rsid wsp:val=&quot;0047107A&quot;/&gt;&lt;wsp:rsid wsp:val=&quot;004710D3&quot;/&gt;&lt;wsp:rsid wsp:val=&quot;004710DF&quot;/&gt;&lt;wsp:rsid wsp:val=&quot;004714D2&quot;/&gt;&lt;wsp:rsid wsp:val=&quot;00471507&quot;/&gt;&lt;wsp:rsid wsp:val=&quot;00471D6C&quot;/&gt;&lt;wsp:rsid wsp:val=&quot;00471E47&quot;/&gt;&lt;wsp:rsid wsp:val=&quot;00471FC5&quot;/&gt;&lt;wsp:rsid wsp:val=&quot;00472074&quot;/&gt;&lt;wsp:rsid wsp:val=&quot;00472AEE&quot;/&gt;&lt;wsp:rsid wsp:val=&quot;00472B3C&quot;/&gt;&lt;wsp:rsid wsp:val=&quot;00472B9D&quot;/&gt;&lt;wsp:rsid wsp:val=&quot;00472D20&quot;/&gt;&lt;wsp:rsid wsp:val=&quot;004737B3&quot;/&gt;&lt;wsp:rsid wsp:val=&quot;004738E4&quot;/&gt;&lt;wsp:rsid wsp:val=&quot;004738E5&quot;/&gt;&lt;wsp:rsid wsp:val=&quot;00473F1D&quot;/&gt;&lt;wsp:rsid wsp:val=&quot;004740CB&quot;/&gt;&lt;wsp:rsid wsp:val=&quot;004743A8&quot;/&gt;&lt;wsp:rsid wsp:val=&quot;0047459B&quot;/&gt;&lt;wsp:rsid wsp:val=&quot;0047466C&quot;/&gt;&lt;wsp:rsid wsp:val=&quot;00474928&quot;/&gt;&lt;wsp:rsid wsp:val=&quot;0047513F&quot;/&gt;&lt;wsp:rsid wsp:val=&quot;0047556E&quot;/&gt;&lt;wsp:rsid wsp:val=&quot;0047565B&quot;/&gt;&lt;wsp:rsid wsp:val=&quot;004757A8&quot;/&gt;&lt;wsp:rsid wsp:val=&quot;0047598B&quot;/&gt;&lt;wsp:rsid wsp:val=&quot;00475DAC&quot;/&gt;&lt;wsp:rsid wsp:val=&quot;004761DC&quot;/&gt;&lt;wsp:rsid wsp:val=&quot;0047633A&quot;/&gt;&lt;wsp:rsid wsp:val=&quot;0047634B&quot;/&gt;&lt;wsp:rsid wsp:val=&quot;00476428&quot;/&gt;&lt;wsp:rsid wsp:val=&quot;00476588&quot;/&gt;&lt;wsp:rsid wsp:val=&quot;00476831&quot;/&gt;&lt;wsp:rsid wsp:val=&quot;00476EBB&quot;/&gt;&lt;wsp:rsid wsp:val=&quot;0047711B&quot;/&gt;&lt;wsp:rsid wsp:val=&quot;00477336&quot;/&gt;&lt;wsp:rsid wsp:val=&quot;00477AA4&quot;/&gt;&lt;wsp:rsid wsp:val=&quot;00477C62&quot;/&gt;&lt;wsp:rsid wsp:val=&quot;00477E82&quot;/&gt;&lt;wsp:rsid wsp:val=&quot;00477FB2&quot;/&gt;&lt;wsp:rsid wsp:val=&quot;0048004E&quot;/&gt;&lt;wsp:rsid wsp:val=&quot;00480129&quot;/&gt;&lt;wsp:rsid wsp:val=&quot;00480575&quot;/&gt;&lt;wsp:rsid wsp:val=&quot;00480F11&quot;/&gt;&lt;wsp:rsid wsp:val=&quot;00482083&quot;/&gt;&lt;wsp:rsid wsp:val=&quot;004823C1&quot;/&gt;&lt;wsp:rsid wsp:val=&quot;004823D0&quot;/&gt;&lt;wsp:rsid wsp:val=&quot;004825D7&quot;/&gt;&lt;wsp:rsid wsp:val=&quot;004831BB&quot;/&gt;&lt;wsp:rsid wsp:val=&quot;00483290&quot;/&gt;&lt;wsp:rsid wsp:val=&quot;004834B7&quot;/&gt;&lt;wsp:rsid wsp:val=&quot;00483841&quot;/&gt;&lt;wsp:rsid wsp:val=&quot;00483914&quot;/&gt;&lt;wsp:rsid wsp:val=&quot;00483C6F&quot;/&gt;&lt;wsp:rsid wsp:val=&quot;00484263&quot;/&gt;&lt;wsp:rsid wsp:val=&quot;004843B5&quot;/&gt;&lt;wsp:rsid wsp:val=&quot;004844FC&quot;/&gt;&lt;wsp:rsid wsp:val=&quot;00484FDF&quot;/&gt;&lt;wsp:rsid wsp:val=&quot;004854A5&quot;/&gt;&lt;wsp:rsid wsp:val=&quot;004855F1&quot;/&gt;&lt;wsp:rsid wsp:val=&quot;00485A07&quot;/&gt;&lt;wsp:rsid wsp:val=&quot;00485A73&quot;/&gt;&lt;wsp:rsid wsp:val=&quot;00485D62&quot;/&gt;&lt;wsp:rsid wsp:val=&quot;00485D6D&quot;/&gt;&lt;wsp:rsid wsp:val=&quot;00485EDD&quot;/&gt;&lt;wsp:rsid wsp:val=&quot;00486243&quot;/&gt;&lt;wsp:rsid wsp:val=&quot;00486319&quot;/&gt;&lt;wsp:rsid wsp:val=&quot;004864A6&quot;/&gt;&lt;wsp:rsid wsp:val=&quot;004865EE&quot;/&gt;&lt;wsp:rsid wsp:val=&quot;004868A0&quot;/&gt;&lt;wsp:rsid wsp:val=&quot;00486B0E&quot;/&gt;&lt;wsp:rsid wsp:val=&quot;00487952&quot;/&gt;&lt;wsp:rsid wsp:val=&quot;00487F97&quot;/&gt;&lt;wsp:rsid wsp:val=&quot;00490235&quot;/&gt;&lt;wsp:rsid wsp:val=&quot;004904F5&quot;/&gt;&lt;wsp:rsid wsp:val=&quot;00490575&quot;/&gt;&lt;wsp:rsid wsp:val=&quot;0049105E&quot;/&gt;&lt;wsp:rsid wsp:val=&quot;0049114B&quot;/&gt;&lt;wsp:rsid wsp:val=&quot;004913BD&quot;/&gt;&lt;wsp:rsid wsp:val=&quot;00491B51&quot;/&gt;&lt;wsp:rsid wsp:val=&quot;0049254E&quot;/&gt;&lt;wsp:rsid wsp:val=&quot;00492B5E&quot;/&gt;&lt;wsp:rsid wsp:val=&quot;00492B75&quot;/&gt;&lt;wsp:rsid wsp:val=&quot;00492BDE&quot;/&gt;&lt;wsp:rsid wsp:val=&quot;00493194&quot;/&gt;&lt;wsp:rsid wsp:val=&quot;004933E0&quot;/&gt;&lt;wsp:rsid wsp:val=&quot;0049407C&quot;/&gt;&lt;wsp:rsid wsp:val=&quot;004947BD&quot;/&gt;&lt;wsp:rsid wsp:val=&quot;004948E4&quot;/&gt;&lt;wsp:rsid wsp:val=&quot;00494D55&quot;/&gt;&lt;wsp:rsid wsp:val=&quot;004953A7&quot;/&gt;&lt;wsp:rsid wsp:val=&quot;00495729&quot;/&gt;&lt;wsp:rsid wsp:val=&quot;00495C08&quot;/&gt;&lt;wsp:rsid wsp:val=&quot;00495C16&quot;/&gt;&lt;wsp:rsid wsp:val=&quot;00495EDB&quot;/&gt;&lt;wsp:rsid wsp:val=&quot;00495FEA&quot;/&gt;&lt;wsp:rsid wsp:val=&quot;004963FD&quot;/&gt;&lt;wsp:rsid wsp:val=&quot;004975DF&quot;/&gt;&lt;wsp:rsid wsp:val=&quot;004976A3&quot;/&gt;&lt;wsp:rsid wsp:val=&quot;00497F41&quot;/&gt;&lt;wsp:rsid wsp:val=&quot;004A0140&quot;/&gt;&lt;wsp:rsid wsp:val=&quot;004A0471&quot;/&gt;&lt;wsp:rsid wsp:val=&quot;004A09B6&quot;/&gt;&lt;wsp:rsid wsp:val=&quot;004A12A2&quot;/&gt;&lt;wsp:rsid wsp:val=&quot;004A1350&quot;/&gt;&lt;wsp:rsid wsp:val=&quot;004A138A&quot;/&gt;&lt;wsp:rsid wsp:val=&quot;004A1B0F&quot;/&gt;&lt;wsp:rsid wsp:val=&quot;004A1CF9&quot;/&gt;&lt;wsp:rsid wsp:val=&quot;004A1FE1&quot;/&gt;&lt;wsp:rsid wsp:val=&quot;004A2013&quot;/&gt;&lt;wsp:rsid wsp:val=&quot;004A228C&quot;/&gt;&lt;wsp:rsid wsp:val=&quot;004A29C1&quot;/&gt;&lt;wsp:rsid wsp:val=&quot;004A29F7&quot;/&gt;&lt;wsp:rsid wsp:val=&quot;004A2FEB&quot;/&gt;&lt;wsp:rsid wsp:val=&quot;004A3467&quot;/&gt;&lt;wsp:rsid wsp:val=&quot;004A34BC&quot;/&gt;&lt;wsp:rsid wsp:val=&quot;004A4183&quot;/&gt;&lt;wsp:rsid wsp:val=&quot;004A460D&quot;/&gt;&lt;wsp:rsid wsp:val=&quot;004A4913&quot;/&gt;&lt;wsp:rsid wsp:val=&quot;004A4985&quot;/&gt;&lt;wsp:rsid wsp:val=&quot;004A49CD&quot;/&gt;&lt;wsp:rsid wsp:val=&quot;004A4D4D&quot;/&gt;&lt;wsp:rsid wsp:val=&quot;004A526B&quot;/&gt;&lt;wsp:rsid wsp:val=&quot;004A52FC&quot;/&gt;&lt;wsp:rsid wsp:val=&quot;004A535F&quot;/&gt;&lt;wsp:rsid wsp:val=&quot;004A55B8&quot;/&gt;&lt;wsp:rsid wsp:val=&quot;004A5826&quot;/&gt;&lt;wsp:rsid wsp:val=&quot;004A6463&quot;/&gt;&lt;wsp:rsid wsp:val=&quot;004A659B&quot;/&gt;&lt;wsp:rsid wsp:val=&quot;004A65E6&quot;/&gt;&lt;wsp:rsid wsp:val=&quot;004A6695&quot;/&gt;&lt;wsp:rsid wsp:val=&quot;004A671E&quot;/&gt;&lt;wsp:rsid wsp:val=&quot;004A673C&quot;/&gt;&lt;wsp:rsid wsp:val=&quot;004A6C23&quot;/&gt;&lt;wsp:rsid wsp:val=&quot;004A7471&quot;/&gt;&lt;wsp:rsid wsp:val=&quot;004A77E1&quot;/&gt;&lt;wsp:rsid wsp:val=&quot;004A783D&quot;/&gt;&lt;wsp:rsid wsp:val=&quot;004B0247&quot;/&gt;&lt;wsp:rsid wsp:val=&quot;004B064C&quot;/&gt;&lt;wsp:rsid wsp:val=&quot;004B1565&quot;/&gt;&lt;wsp:rsid wsp:val=&quot;004B1868&quot;/&gt;&lt;wsp:rsid wsp:val=&quot;004B1AFA&quot;/&gt;&lt;wsp:rsid wsp:val=&quot;004B204C&quot;/&gt;&lt;wsp:rsid wsp:val=&quot;004B208C&quot;/&gt;&lt;wsp:rsid wsp:val=&quot;004B2265&quot;/&gt;&lt;wsp:rsid wsp:val=&quot;004B2807&quot;/&gt;&lt;wsp:rsid wsp:val=&quot;004B2918&quot;/&gt;&lt;wsp:rsid wsp:val=&quot;004B3418&quot;/&gt;&lt;wsp:rsid wsp:val=&quot;004B3574&quot;/&gt;&lt;wsp:rsid wsp:val=&quot;004B3864&quot;/&gt;&lt;wsp:rsid wsp:val=&quot;004B3D7B&quot;/&gt;&lt;wsp:rsid wsp:val=&quot;004B3DD6&quot;/&gt;&lt;wsp:rsid wsp:val=&quot;004B3FD2&quot;/&gt;&lt;wsp:rsid wsp:val=&quot;004B40A6&quot;/&gt;&lt;wsp:rsid wsp:val=&quot;004B4A4D&quot;/&gt;&lt;wsp:rsid wsp:val=&quot;004B4D89&quot;/&gt;&lt;wsp:rsid wsp:val=&quot;004B4EBD&quot;/&gt;&lt;wsp:rsid wsp:val=&quot;004B54E6&quot;/&gt;&lt;wsp:rsid wsp:val=&quot;004B5828&quot;/&gt;&lt;wsp:rsid wsp:val=&quot;004B5884&quot;/&gt;&lt;wsp:rsid wsp:val=&quot;004B5B64&quot;/&gt;&lt;wsp:rsid wsp:val=&quot;004B5B9E&quot;/&gt;&lt;wsp:rsid wsp:val=&quot;004B5CD7&quot;/&gt;&lt;wsp:rsid wsp:val=&quot;004B5D77&quot;/&gt;&lt;wsp:rsid wsp:val=&quot;004B6016&quot;/&gt;&lt;wsp:rsid wsp:val=&quot;004B635B&quot;/&gt;&lt;wsp:rsid wsp:val=&quot;004B665D&quot;/&gt;&lt;wsp:rsid wsp:val=&quot;004B68B5&quot;/&gt;&lt;wsp:rsid wsp:val=&quot;004B69F9&quot;/&gt;&lt;wsp:rsid wsp:val=&quot;004B6C92&quot;/&gt;&lt;wsp:rsid wsp:val=&quot;004B6FBE&quot;/&gt;&lt;wsp:rsid wsp:val=&quot;004B7820&quot;/&gt;&lt;wsp:rsid wsp:val=&quot;004B7D4C&quot;/&gt;&lt;wsp:rsid wsp:val=&quot;004C01AC&quot;/&gt;&lt;wsp:rsid wsp:val=&quot;004C09A9&quot;/&gt;&lt;wsp:rsid wsp:val=&quot;004C0B00&quot;/&gt;&lt;wsp:rsid wsp:val=&quot;004C18D7&quot;/&gt;&lt;wsp:rsid wsp:val=&quot;004C1BEF&quot;/&gt;&lt;wsp:rsid wsp:val=&quot;004C1CB1&quot;/&gt;&lt;wsp:rsid wsp:val=&quot;004C23AD&quot;/&gt;&lt;wsp:rsid wsp:val=&quot;004C250D&quot;/&gt;&lt;wsp:rsid wsp:val=&quot;004C25C6&quot;/&gt;&lt;wsp:rsid wsp:val=&quot;004C2D23&quot;/&gt;&lt;wsp:rsid wsp:val=&quot;004C2E11&quot;/&gt;&lt;wsp:rsid wsp:val=&quot;004C32C2&quot;/&gt;&lt;wsp:rsid wsp:val=&quot;004C333E&quot;/&gt;&lt;wsp:rsid wsp:val=&quot;004C34B9&quot;/&gt;&lt;wsp:rsid wsp:val=&quot;004C4198&quot;/&gt;&lt;wsp:rsid wsp:val=&quot;004C4728&quot;/&gt;&lt;wsp:rsid wsp:val=&quot;004C4B4F&quot;/&gt;&lt;wsp:rsid wsp:val=&quot;004C4B62&quot;/&gt;&lt;wsp:rsid wsp:val=&quot;004C4C89&quot;/&gt;&lt;wsp:rsid wsp:val=&quot;004C599B&quot;/&gt;&lt;wsp:rsid wsp:val=&quot;004C5EBE&quot;/&gt;&lt;wsp:rsid wsp:val=&quot;004C6382&quot;/&gt;&lt;wsp:rsid wsp:val=&quot;004C63EC&quot;/&gt;&lt;wsp:rsid wsp:val=&quot;004C6C36&quot;/&gt;&lt;wsp:rsid wsp:val=&quot;004C6F21&quot;/&gt;&lt;wsp:rsid wsp:val=&quot;004C71AA&quot;/&gt;&lt;wsp:rsid wsp:val=&quot;004C7984&quot;/&gt;&lt;wsp:rsid wsp:val=&quot;004C7A1E&quot;/&gt;&lt;wsp:rsid wsp:val=&quot;004D03BC&quot;/&gt;&lt;wsp:rsid wsp:val=&quot;004D071E&quot;/&gt;&lt;wsp:rsid wsp:val=&quot;004D0B5C&quot;/&gt;&lt;wsp:rsid wsp:val=&quot;004D0D8C&quot;/&gt;&lt;wsp:rsid wsp:val=&quot;004D0EED&quot;/&gt;&lt;wsp:rsid wsp:val=&quot;004D0F83&quot;/&gt;&lt;wsp:rsid wsp:val=&quot;004D10C5&quot;/&gt;&lt;wsp:rsid wsp:val=&quot;004D1891&quot;/&gt;&lt;wsp:rsid wsp:val=&quot;004D1ABA&quot;/&gt;&lt;wsp:rsid wsp:val=&quot;004D1BF0&quot;/&gt;&lt;wsp:rsid wsp:val=&quot;004D1C79&quot;/&gt;&lt;wsp:rsid wsp:val=&quot;004D21E0&quot;/&gt;&lt;wsp:rsid wsp:val=&quot;004D2573&quot;/&gt;&lt;wsp:rsid wsp:val=&quot;004D25A3&quot;/&gt;&lt;wsp:rsid wsp:val=&quot;004D275D&quot;/&gt;&lt;wsp:rsid wsp:val=&quot;004D2765&quot;/&gt;&lt;wsp:rsid wsp:val=&quot;004D277D&quot;/&gt;&lt;wsp:rsid wsp:val=&quot;004D2F4E&quot;/&gt;&lt;wsp:rsid wsp:val=&quot;004D30BB&quot;/&gt;&lt;wsp:rsid wsp:val=&quot;004D33EA&quot;/&gt;&lt;wsp:rsid wsp:val=&quot;004D39E7&quot;/&gt;&lt;wsp:rsid wsp:val=&quot;004D3E26&quot;/&gt;&lt;wsp:rsid wsp:val=&quot;004D3EE1&quot;/&gt;&lt;wsp:rsid wsp:val=&quot;004D3FC0&quot;/&gt;&lt;wsp:rsid wsp:val=&quot;004D4395&quot;/&gt;&lt;wsp:rsid wsp:val=&quot;004D444D&quot;/&gt;&lt;wsp:rsid wsp:val=&quot;004D47AB&quot;/&gt;&lt;wsp:rsid wsp:val=&quot;004D4AC7&quot;/&gt;&lt;wsp:rsid wsp:val=&quot;004D4D68&quot;/&gt;&lt;wsp:rsid wsp:val=&quot;004D5020&quot;/&gt;&lt;wsp:rsid wsp:val=&quot;004D5071&quot;/&gt;&lt;wsp:rsid wsp:val=&quot;004D5804&quot;/&gt;&lt;wsp:rsid wsp:val=&quot;004D5A8D&quot;/&gt;&lt;wsp:rsid wsp:val=&quot;004D5F5C&quot;/&gt;&lt;wsp:rsid wsp:val=&quot;004D5FD4&quot;/&gt;&lt;wsp:rsid wsp:val=&quot;004D6295&quot;/&gt;&lt;wsp:rsid wsp:val=&quot;004D67A6&quot;/&gt;&lt;wsp:rsid wsp:val=&quot;004D77DE&quot;/&gt;&lt;wsp:rsid wsp:val=&quot;004D77FD&quot;/&gt;&lt;wsp:rsid wsp:val=&quot;004D7C39&quot;/&gt;&lt;wsp:rsid wsp:val=&quot;004D7C90&quot;/&gt;&lt;wsp:rsid wsp:val=&quot;004E0426&quot;/&gt;&lt;wsp:rsid wsp:val=&quot;004E05BD&quot;/&gt;&lt;wsp:rsid wsp:val=&quot;004E083A&quot;/&gt;&lt;wsp:rsid wsp:val=&quot;004E0C40&quot;/&gt;&lt;wsp:rsid wsp:val=&quot;004E0DE8&quot;/&gt;&lt;wsp:rsid wsp:val=&quot;004E0F77&quot;/&gt;&lt;wsp:rsid wsp:val=&quot;004E0FF8&quot;/&gt;&lt;wsp:rsid wsp:val=&quot;004E1812&quot;/&gt;&lt;wsp:rsid wsp:val=&quot;004E23F3&quot;/&gt;&lt;wsp:rsid wsp:val=&quot;004E2C7E&quot;/&gt;&lt;wsp:rsid wsp:val=&quot;004E2D66&quot;/&gt;&lt;wsp:rsid wsp:val=&quot;004E2E3E&quot;/&gt;&lt;wsp:rsid wsp:val=&quot;004E335C&quot;/&gt;&lt;wsp:rsid wsp:val=&quot;004E3A87&quot;/&gt;&lt;wsp:rsid wsp:val=&quot;004E3B92&quot;/&gt;&lt;wsp:rsid wsp:val=&quot;004E3D74&quot;/&gt;&lt;wsp:rsid wsp:val=&quot;004E3DDC&quot;/&gt;&lt;wsp:rsid wsp:val=&quot;004E3E91&quot;/&gt;&lt;wsp:rsid wsp:val=&quot;004E4004&quot;/&gt;&lt;wsp:rsid wsp:val=&quot;004E42DB&quot;/&gt;&lt;wsp:rsid wsp:val=&quot;004E43EC&quot;/&gt;&lt;wsp:rsid wsp:val=&quot;004E499A&quot;/&gt;&lt;wsp:rsid wsp:val=&quot;004E4CBB&quot;/&gt;&lt;wsp:rsid wsp:val=&quot;004E4D99&quot;/&gt;&lt;wsp:rsid wsp:val=&quot;004E53BC&quot;/&gt;&lt;wsp:rsid wsp:val=&quot;004E5962&quot;/&gt;&lt;wsp:rsid wsp:val=&quot;004E599D&quot;/&gt;&lt;wsp:rsid wsp:val=&quot;004E59C9&quot;/&gt;&lt;wsp:rsid wsp:val=&quot;004E5BD3&quot;/&gt;&lt;wsp:rsid wsp:val=&quot;004E5D2E&quot;/&gt;&lt;wsp:rsid wsp:val=&quot;004E6536&quot;/&gt;&lt;wsp:rsid wsp:val=&quot;004E6641&quot;/&gt;&lt;wsp:rsid wsp:val=&quot;004E73C7&quot;/&gt;&lt;wsp:rsid wsp:val=&quot;004E7C33&quot;/&gt;&lt;wsp:rsid wsp:val=&quot;004E7D31&quot;/&gt;&lt;wsp:rsid wsp:val=&quot;004F06A5&quot;/&gt;&lt;wsp:rsid wsp:val=&quot;004F079A&quot;/&gt;&lt;wsp:rsid wsp:val=&quot;004F0CB5&quot;/&gt;&lt;wsp:rsid wsp:val=&quot;004F0D68&quot;/&gt;&lt;wsp:rsid wsp:val=&quot;004F0FA8&quot;/&gt;&lt;wsp:rsid wsp:val=&quot;004F1289&quot;/&gt;&lt;wsp:rsid wsp:val=&quot;004F12F9&quot;/&gt;&lt;wsp:rsid wsp:val=&quot;004F13D4&quot;/&gt;&lt;wsp:rsid wsp:val=&quot;004F1476&quot;/&gt;&lt;wsp:rsid wsp:val=&quot;004F1559&quot;/&gt;&lt;wsp:rsid wsp:val=&quot;004F185C&quot;/&gt;&lt;wsp:rsid wsp:val=&quot;004F1E33&quot;/&gt;&lt;wsp:rsid wsp:val=&quot;004F1F62&quot;/&gt;&lt;wsp:rsid wsp:val=&quot;004F2016&quot;/&gt;&lt;wsp:rsid wsp:val=&quot;004F21E8&quot;/&gt;&lt;wsp:rsid wsp:val=&quot;004F2253&quot;/&gt;&lt;wsp:rsid wsp:val=&quot;004F2456&quot;/&gt;&lt;wsp:rsid wsp:val=&quot;004F2B1A&quot;/&gt;&lt;wsp:rsid wsp:val=&quot;004F2C0A&quot;/&gt;&lt;wsp:rsid wsp:val=&quot;004F2CEB&quot;/&gt;&lt;wsp:rsid wsp:val=&quot;004F2E19&quot;/&gt;&lt;wsp:rsid wsp:val=&quot;004F2F6E&quot;/&gt;&lt;wsp:rsid wsp:val=&quot;004F3332&quot;/&gt;&lt;wsp:rsid wsp:val=&quot;004F35E4&quot;/&gt;&lt;wsp:rsid wsp:val=&quot;004F37F2&quot;/&gt;&lt;wsp:rsid wsp:val=&quot;004F3BD5&quot;/&gt;&lt;wsp:rsid wsp:val=&quot;004F3DF1&quot;/&gt;&lt;wsp:rsid wsp:val=&quot;004F3E04&quot;/&gt;&lt;wsp:rsid wsp:val=&quot;004F3EA2&quot;/&gt;&lt;wsp:rsid wsp:val=&quot;004F4149&quot;/&gt;&lt;wsp:rsid wsp:val=&quot;004F459E&quot;/&gt;&lt;wsp:rsid wsp:val=&quot;004F48F8&quot;/&gt;&lt;wsp:rsid wsp:val=&quot;004F493C&quot;/&gt;&lt;wsp:rsid wsp:val=&quot;004F499C&quot;/&gt;&lt;wsp:rsid wsp:val=&quot;004F49A5&quot;/&gt;&lt;wsp:rsid wsp:val=&quot;004F49BE&quot;/&gt;&lt;wsp:rsid wsp:val=&quot;004F4AD3&quot;/&gt;&lt;wsp:rsid wsp:val=&quot;004F4C62&quot;/&gt;&lt;wsp:rsid wsp:val=&quot;004F4E5C&quot;/&gt;&lt;wsp:rsid wsp:val=&quot;004F4FE3&quot;/&gt;&lt;wsp:rsid wsp:val=&quot;004F50D5&quot;/&gt;&lt;wsp:rsid wsp:val=&quot;004F558C&quot;/&gt;&lt;wsp:rsid wsp:val=&quot;004F570C&quot;/&gt;&lt;wsp:rsid wsp:val=&quot;004F5743&quot;/&gt;&lt;wsp:rsid wsp:val=&quot;004F584B&quot;/&gt;&lt;wsp:rsid wsp:val=&quot;004F5EA8&quot;/&gt;&lt;wsp:rsid wsp:val=&quot;004F5F4E&quot;/&gt;&lt;wsp:rsid wsp:val=&quot;004F610E&quot;/&gt;&lt;wsp:rsid wsp:val=&quot;004F614C&quot;/&gt;&lt;wsp:rsid wsp:val=&quot;004F640C&quot;/&gt;&lt;wsp:rsid wsp:val=&quot;004F648F&quot;/&gt;&lt;wsp:rsid wsp:val=&quot;004F661A&quot;/&gt;&lt;wsp:rsid wsp:val=&quot;004F66B1&quot;/&gt;&lt;wsp:rsid wsp:val=&quot;004F6921&quot;/&gt;&lt;wsp:rsid wsp:val=&quot;004F6A7F&quot;/&gt;&lt;wsp:rsid wsp:val=&quot;004F7E50&quot;/&gt;&lt;wsp:rsid wsp:val=&quot;00500024&quot;/&gt;&lt;wsp:rsid wsp:val=&quot;00500107&quot;/&gt;&lt;wsp:rsid wsp:val=&quot;005009D2&quot;/&gt;&lt;wsp:rsid wsp:val=&quot;00500BD8&quot;/&gt;&lt;wsp:rsid wsp:val=&quot;00501096&quot;/&gt;&lt;wsp:rsid wsp:val=&quot;00501673&quot;/&gt;&lt;wsp:rsid wsp:val=&quot;00501987&quot;/&gt;&lt;wsp:rsid wsp:val=&quot;00501B01&quot;/&gt;&lt;wsp:rsid wsp:val=&quot;00501DCB&quot;/&gt;&lt;wsp:rsid wsp:val=&quot;00502AD0&quot;/&gt;&lt;wsp:rsid wsp:val=&quot;00502BB3&quot;/&gt;&lt;wsp:rsid wsp:val=&quot;00502C3F&quot;/&gt;&lt;wsp:rsid wsp:val=&quot;005035A1&quot;/&gt;&lt;wsp:rsid wsp:val=&quot;00503842&quot;/&gt;&lt;wsp:rsid wsp:val=&quot;005044D5&quot;/&gt;&lt;wsp:rsid wsp:val=&quot;00504A51&quot;/&gt;&lt;wsp:rsid wsp:val=&quot;005051ED&quot;/&gt;&lt;wsp:rsid wsp:val=&quot;00505FBE&quot;/&gt;&lt;wsp:rsid wsp:val=&quot;00506378&quot;/&gt;&lt;wsp:rsid wsp:val=&quot;00506592&quot;/&gt;&lt;wsp:rsid wsp:val=&quot;00506747&quot;/&gt;&lt;wsp:rsid wsp:val=&quot;0050687B&quot;/&gt;&lt;wsp:rsid wsp:val=&quot;005069F5&quot;/&gt;&lt;wsp:rsid wsp:val=&quot;00506FD2&quot;/&gt;&lt;wsp:rsid wsp:val=&quot;00507179&quot;/&gt;&lt;wsp:rsid wsp:val=&quot;005072F6&quot;/&gt;&lt;wsp:rsid wsp:val=&quot;00507381&quot;/&gt;&lt;wsp:rsid wsp:val=&quot;0050773C&quot;/&gt;&lt;wsp:rsid wsp:val=&quot;00507779&quot;/&gt;&lt;wsp:rsid wsp:val=&quot;00507D35&quot;/&gt;&lt;wsp:rsid wsp:val=&quot;00507F4E&quot;/&gt;&lt;wsp:rsid wsp:val=&quot;00507F57&quot;/&gt;&lt;wsp:rsid wsp:val=&quot;00510163&quot;/&gt;&lt;wsp:rsid wsp:val=&quot;00510930&quot;/&gt;&lt;wsp:rsid wsp:val=&quot;00510E58&quot;/&gt;&lt;wsp:rsid wsp:val=&quot;00511235&quot;/&gt;&lt;wsp:rsid wsp:val=&quot;00511361&quot;/&gt;&lt;wsp:rsid wsp:val=&quot;00511736&quot;/&gt;&lt;wsp:rsid wsp:val=&quot;0051182C&quot;/&gt;&lt;wsp:rsid wsp:val=&quot;0051189B&quot;/&gt;&lt;wsp:rsid wsp:val=&quot;00512066&quot;/&gt;&lt;wsp:rsid wsp:val=&quot;005120DF&quot;/&gt;&lt;wsp:rsid wsp:val=&quot;0051292A&quot;/&gt;&lt;wsp:rsid wsp:val=&quot;00513042&quot;/&gt;&lt;wsp:rsid wsp:val=&quot;00513388&quot;/&gt;&lt;wsp:rsid wsp:val=&quot;0051363C&quot;/&gt;&lt;wsp:rsid wsp:val=&quot;0051372D&quot;/&gt;&lt;wsp:rsid wsp:val=&quot;0051374C&quot;/&gt;&lt;wsp:rsid wsp:val=&quot;00513BE8&quot;/&gt;&lt;wsp:rsid wsp:val=&quot;00513C79&quot;/&gt;&lt;wsp:rsid wsp:val=&quot;00513DBA&quot;/&gt;&lt;wsp:rsid wsp:val=&quot;00514228&quot;/&gt;&lt;wsp:rsid wsp:val=&quot;00514E5D&quot;/&gt;&lt;wsp:rsid wsp:val=&quot;005151F6&quot;/&gt;&lt;wsp:rsid wsp:val=&quot;005154BA&quot;/&gt;&lt;wsp:rsid wsp:val=&quot;00515673&quot;/&gt;&lt;wsp:rsid wsp:val=&quot;005158CD&quot;/&gt;&lt;wsp:rsid wsp:val=&quot;00515A5C&quot;/&gt;&lt;wsp:rsid wsp:val=&quot;00516006&quot;/&gt;&lt;wsp:rsid wsp:val=&quot;0051654E&quot;/&gt;&lt;wsp:rsid wsp:val=&quot;00516F54&quot;/&gt;&lt;wsp:rsid wsp:val=&quot;00516FB9&quot;/&gt;&lt;wsp:rsid wsp:val=&quot;00517056&quot;/&gt;&lt;wsp:rsid wsp:val=&quot;0051738D&quot;/&gt;&lt;wsp:rsid wsp:val=&quot;005177AA&quot;/&gt;&lt;wsp:rsid wsp:val=&quot;00517F51&quot;/&gt;&lt;wsp:rsid wsp:val=&quot;00520168&quot;/&gt;&lt;wsp:rsid wsp:val=&quot;00520389&quot;/&gt;&lt;wsp:rsid wsp:val=&quot;005205D4&quot;/&gt;&lt;wsp:rsid wsp:val=&quot;00520884&quot;/&gt;&lt;wsp:rsid wsp:val=&quot;00520F1C&quot;/&gt;&lt;wsp:rsid wsp:val=&quot;005212C4&quot;/&gt;&lt;wsp:rsid wsp:val=&quot;0052132B&quot;/&gt;&lt;wsp:rsid wsp:val=&quot;005217F1&quot;/&gt;&lt;wsp:rsid wsp:val=&quot;00521DC4&quot;/&gt;&lt;wsp:rsid wsp:val=&quot;00521EC4&quot;/&gt;&lt;wsp:rsid wsp:val=&quot;0052253C&quot;/&gt;&lt;wsp:rsid wsp:val=&quot;00522688&quot;/&gt;&lt;wsp:rsid wsp:val=&quot;00522804&quot;/&gt;&lt;wsp:rsid wsp:val=&quot;00522A82&quot;/&gt;&lt;wsp:rsid wsp:val=&quot;00522FB4&quot;/&gt;&lt;wsp:rsid wsp:val=&quot;00523487&quot;/&gt;&lt;wsp:rsid wsp:val=&quot;005238EC&quot;/&gt;&lt;wsp:rsid wsp:val=&quot;00523D71&quot;/&gt;&lt;wsp:rsid wsp:val=&quot;00523DA4&quot;/&gt;&lt;wsp:rsid wsp:val=&quot;00523EED&quot;/&gt;&lt;wsp:rsid wsp:val=&quot;00523FBF&quot;/&gt;&lt;wsp:rsid wsp:val=&quot;0052442B&quot;/&gt;&lt;wsp:rsid wsp:val=&quot;005245AE&quot;/&gt;&lt;wsp:rsid wsp:val=&quot;005245C6&quot;/&gt;&lt;wsp:rsid wsp:val=&quot;0052478D&quot;/&gt;&lt;wsp:rsid wsp:val=&quot;005247D8&quot;/&gt;&lt;wsp:rsid wsp:val=&quot;00524D49&quot;/&gt;&lt;wsp:rsid wsp:val=&quot;005254BF&quot;/&gt;&lt;wsp:rsid wsp:val=&quot;005255AF&quot;/&gt;&lt;wsp:rsid wsp:val=&quot;00525B54&quot;/&gt;&lt;wsp:rsid wsp:val=&quot;00525E90&quot;/&gt;&lt;wsp:rsid wsp:val=&quot;00525FFB&quot;/&gt;&lt;wsp:rsid wsp:val=&quot;005260A9&quot;/&gt;&lt;wsp:rsid wsp:val=&quot;00526109&quot;/&gt;&lt;wsp:rsid wsp:val=&quot;00526E53&quot;/&gt;&lt;wsp:rsid wsp:val=&quot;00526EDD&quot;/&gt;&lt;wsp:rsid wsp:val=&quot;0052703E&quot;/&gt;&lt;wsp:rsid wsp:val=&quot;00527289&quot;/&gt;&lt;wsp:rsid wsp:val=&quot;00527CBA&quot;/&gt;&lt;wsp:rsid wsp:val=&quot;00530412&quot;/&gt;&lt;wsp:rsid wsp:val=&quot;005308A3&quot;/&gt;&lt;wsp:rsid wsp:val=&quot;00530BAD&quot;/&gt;&lt;wsp:rsid wsp:val=&quot;00530D07&quot;/&gt;&lt;wsp:rsid wsp:val=&quot;005314D2&quot;/&gt;&lt;wsp:rsid wsp:val=&quot;00531A24&quot;/&gt;&lt;wsp:rsid wsp:val=&quot;00532160&quot;/&gt;&lt;wsp:rsid wsp:val=&quot;0053238B&quot;/&gt;&lt;wsp:rsid wsp:val=&quot;00532486&quot;/&gt;&lt;wsp:rsid wsp:val=&quot;005324E5&quot;/&gt;&lt;wsp:rsid wsp:val=&quot;005329A8&quot;/&gt;&lt;wsp:rsid wsp:val=&quot;00532B2A&quot;/&gt;&lt;wsp:rsid wsp:val=&quot;00532F0D&quot;/&gt;&lt;wsp:rsid wsp:val=&quot;0053335A&quot;/&gt;&lt;wsp:rsid wsp:val=&quot;005335C8&quot;/&gt;&lt;wsp:rsid wsp:val=&quot;00533850&quot;/&gt;&lt;wsp:rsid wsp:val=&quot;00533D2B&quot;/&gt;&lt;wsp:rsid wsp:val=&quot;00533E8C&quot;/&gt;&lt;wsp:rsid wsp:val=&quot;00533F94&quot;/&gt;&lt;wsp:rsid wsp:val=&quot;0053419B&quot;/&gt;&lt;wsp:rsid wsp:val=&quot;005348E7&quot;/&gt;&lt;wsp:rsid wsp:val=&quot;00534921&quot;/&gt;&lt;wsp:rsid wsp:val=&quot;00535204&quot;/&gt;&lt;wsp:rsid wsp:val=&quot;00535364&quot;/&gt;&lt;wsp:rsid wsp:val=&quot;00535D15&quot;/&gt;&lt;wsp:rsid wsp:val=&quot;00535E04&quot;/&gt;&lt;wsp:rsid wsp:val=&quot;005367F3&quot;/&gt;&lt;wsp:rsid wsp:val=&quot;005369FC&quot;/&gt;&lt;wsp:rsid wsp:val=&quot;00536BEA&quot;/&gt;&lt;wsp:rsid wsp:val=&quot;0053739E&quot;/&gt;&lt;wsp:rsid wsp:val=&quot;00537593&quot;/&gt;&lt;wsp:rsid wsp:val=&quot;005376AC&quot;/&gt;&lt;wsp:rsid wsp:val=&quot;00537A5E&quot;/&gt;&lt;wsp:rsid wsp:val=&quot;005401B7&quot;/&gt;&lt;wsp:rsid wsp:val=&quot;00540586&quot;/&gt;&lt;wsp:rsid wsp:val=&quot;00540626&quot;/&gt;&lt;wsp:rsid wsp:val=&quot;00540BBF&quot;/&gt;&lt;wsp:rsid wsp:val=&quot;00540BE8&quot;/&gt;&lt;wsp:rsid wsp:val=&quot;00540CAE&quot;/&gt;&lt;wsp:rsid wsp:val=&quot;00541043&quot;/&gt;&lt;wsp:rsid wsp:val=&quot;00541503&quot;/&gt;&lt;wsp:rsid wsp:val=&quot;00541761&quot;/&gt;&lt;wsp:rsid wsp:val=&quot;00542050&quot;/&gt;&lt;wsp:rsid wsp:val=&quot;00542548&quot;/&gt;&lt;wsp:rsid wsp:val=&quot;00542876&quot;/&gt;&lt;wsp:rsid wsp:val=&quot;00542B60&quot;/&gt;&lt;wsp:rsid wsp:val=&quot;00542BD8&quot;/&gt;&lt;wsp:rsid wsp:val=&quot;00542D44&quot;/&gt;&lt;wsp:rsid wsp:val=&quot;00542E9C&quot;/&gt;&lt;wsp:rsid wsp:val=&quot;00543459&quot;/&gt;&lt;wsp:rsid wsp:val=&quot;00543D53&quot;/&gt;&lt;wsp:rsid wsp:val=&quot;00544120&quot;/&gt;&lt;wsp:rsid wsp:val=&quot;00544895&quot;/&gt;&lt;wsp:rsid wsp:val=&quot;005449D5&quot;/&gt;&lt;wsp:rsid wsp:val=&quot;00545012&quot;/&gt;&lt;wsp:rsid wsp:val=&quot;005454FC&quot;/&gt;&lt;wsp:rsid wsp:val=&quot;0054566F&quot;/&gt;&lt;wsp:rsid wsp:val=&quot;00545D06&quot;/&gt;&lt;wsp:rsid wsp:val=&quot;005463E8&quot;/&gt;&lt;wsp:rsid wsp:val=&quot;0054694F&quot;/&gt;&lt;wsp:rsid wsp:val=&quot;0054697A&quot;/&gt;&lt;wsp:rsid wsp:val=&quot;00546AFD&quot;/&gt;&lt;wsp:rsid wsp:val=&quot;005470B2&quot;/&gt;&lt;wsp:rsid wsp:val=&quot;005470DB&quot;/&gt;&lt;wsp:rsid wsp:val=&quot;00547106&quot;/&gt;&lt;wsp:rsid wsp:val=&quot;00547118&quot;/&gt;&lt;wsp:rsid wsp:val=&quot;00547431&quot;/&gt;&lt;wsp:rsid wsp:val=&quot;00550205&quot;/&gt;&lt;wsp:rsid wsp:val=&quot;005505DC&quot;/&gt;&lt;wsp:rsid wsp:val=&quot;0055192F&quot;/&gt;&lt;wsp:rsid wsp:val=&quot;00551A6E&quot;/&gt;&lt;wsp:rsid wsp:val=&quot;00551D09&quot;/&gt;&lt;wsp:rsid wsp:val=&quot;00552BB8&quot;/&gt;&lt;wsp:rsid wsp:val=&quot;0055306C&quot;/&gt;&lt;wsp:rsid wsp:val=&quot;00553144&quot;/&gt;&lt;wsp:rsid wsp:val=&quot;0055338B&quot;/&gt;&lt;wsp:rsid wsp:val=&quot;00553604&quot;/&gt;&lt;wsp:rsid wsp:val=&quot;0055385F&quot;/&gt;&lt;wsp:rsid wsp:val=&quot;005538D9&quot;/&gt;&lt;wsp:rsid wsp:val=&quot;00553D3E&quot;/&gt;&lt;wsp:rsid wsp:val=&quot;00553EE3&quot;/&gt;&lt;wsp:rsid wsp:val=&quot;00554580&quot;/&gt;&lt;wsp:rsid wsp:val=&quot;00555624&quot;/&gt;&lt;wsp:rsid wsp:val=&quot;00555778&quot;/&gt;&lt;wsp:rsid wsp:val=&quot;00555EC6&quot;/&gt;&lt;wsp:rsid wsp:val=&quot;00555F65&quot;/&gt;&lt;wsp:rsid wsp:val=&quot;00555F66&quot;/&gt;&lt;wsp:rsid wsp:val=&quot;0055620C&quot;/&gt;&lt;wsp:rsid wsp:val=&quot;005568E2&quot;/&gt;&lt;wsp:rsid wsp:val=&quot;0055690E&quot;/&gt;&lt;wsp:rsid wsp:val=&quot;00556A1F&quot;/&gt;&lt;wsp:rsid wsp:val=&quot;00556F2D&quot;/&gt;&lt;wsp:rsid wsp:val=&quot;00557440&quot;/&gt;&lt;wsp:rsid wsp:val=&quot;0055764E&quot;/&gt;&lt;wsp:rsid wsp:val=&quot;0055768F&quot;/&gt;&lt;wsp:rsid wsp:val=&quot;005576C2&quot;/&gt;&lt;wsp:rsid wsp:val=&quot;00557B28&quot;/&gt;&lt;wsp:rsid wsp:val=&quot;00557C49&quot;/&gt;&lt;wsp:rsid wsp:val=&quot;0056031D&quot;/&gt;&lt;wsp:rsid wsp:val=&quot;00560FA8&quot;/&gt;&lt;wsp:rsid wsp:val=&quot;005613BC&quot;/&gt;&lt;wsp:rsid wsp:val=&quot;005615A8&quot;/&gt;&lt;wsp:rsid wsp:val=&quot;00561679&quot;/&gt;&lt;wsp:rsid wsp:val=&quot;00561A9F&quot;/&gt;&lt;wsp:rsid wsp:val=&quot;00561DED&quot;/&gt;&lt;wsp:rsid wsp:val=&quot;0056207D&quot;/&gt;&lt;wsp:rsid wsp:val=&quot;00562272&quot;/&gt;&lt;wsp:rsid wsp:val=&quot;00562A2D&quot;/&gt;&lt;wsp:rsid wsp:val=&quot;00562DC4&quot;/&gt;&lt;wsp:rsid wsp:val=&quot;005636B1&quot;/&gt;&lt;wsp:rsid wsp:val=&quot;0056395C&quot;/&gt;&lt;wsp:rsid wsp:val=&quot;00565155&quot;/&gt;&lt;wsp:rsid wsp:val=&quot;00565317&quot;/&gt;&lt;wsp:rsid wsp:val=&quot;00565367&quot;/&gt;&lt;wsp:rsid wsp:val=&quot;00566368&quot;/&gt;&lt;wsp:rsid wsp:val=&quot;005672F9&quot;/&gt;&lt;wsp:rsid wsp:val=&quot;00567EE4&quot;/&gt;&lt;wsp:rsid wsp:val=&quot;00570032&quot;/&gt;&lt;wsp:rsid wsp:val=&quot;0057047D&quot;/&gt;&lt;wsp:rsid wsp:val=&quot;0057049E&quot;/&gt;&lt;wsp:rsid wsp:val=&quot;00570564&quot;/&gt;&lt;wsp:rsid wsp:val=&quot;00570605&quot;/&gt;&lt;wsp:rsid wsp:val=&quot;005708EC&quot;/&gt;&lt;wsp:rsid wsp:val=&quot;00570F63&quot;/&gt;&lt;wsp:rsid wsp:val=&quot;00571270&quot;/&gt;&lt;wsp:rsid wsp:val=&quot;005713CC&quot;/&gt;&lt;wsp:rsid wsp:val=&quot;00571754&quot;/&gt;&lt;wsp:rsid wsp:val=&quot;0057188B&quot;/&gt;&lt;wsp:rsid wsp:val=&quot;00571BC6&quot;/&gt;&lt;wsp:rsid wsp:val=&quot;00571D1F&quot;/&gt;&lt;wsp:rsid wsp:val=&quot;00571D7A&quot;/&gt;&lt;wsp:rsid wsp:val=&quot;00571E3F&quot;/&gt;&lt;wsp:rsid wsp:val=&quot;00571E5F&quot;/&gt;&lt;wsp:rsid wsp:val=&quot;00571F49&quot;/&gt;&lt;wsp:rsid wsp:val=&quot;00572056&quot;/&gt;&lt;wsp:rsid wsp:val=&quot;005723B6&quot;/&gt;&lt;wsp:rsid wsp:val=&quot;00572832&quot;/&gt;&lt;wsp:rsid wsp:val=&quot;00572B81&quot;/&gt;&lt;wsp:rsid wsp:val=&quot;00572F15&quot;/&gt;&lt;wsp:rsid wsp:val=&quot;00573188&quot;/&gt;&lt;wsp:rsid wsp:val=&quot;005732BD&quot;/&gt;&lt;wsp:rsid wsp:val=&quot;005732EA&quot;/&gt;&lt;wsp:rsid wsp:val=&quot;00573331&quot;/&gt;&lt;wsp:rsid wsp:val=&quot;005739FB&quot;/&gt;&lt;wsp:rsid wsp:val=&quot;00573B41&quot;/&gt;&lt;wsp:rsid wsp:val=&quot;00573F1A&quot;/&gt;&lt;wsp:rsid wsp:val=&quot;005745F8&quot;/&gt;&lt;wsp:rsid wsp:val=&quot;0057470C&quot;/&gt;&lt;wsp:rsid wsp:val=&quot;00574866&quot;/&gt;&lt;wsp:rsid wsp:val=&quot;00574B0F&quot;/&gt;&lt;wsp:rsid wsp:val=&quot;00574EE5&quot;/&gt;&lt;wsp:rsid wsp:val=&quot;0057658C&quot;/&gt;&lt;wsp:rsid wsp:val=&quot;00576ACB&quot;/&gt;&lt;wsp:rsid wsp:val=&quot;00576BF4&quot;/&gt;&lt;wsp:rsid wsp:val=&quot;00576E03&quot;/&gt;&lt;wsp:rsid wsp:val=&quot;005770F1&quot;/&gt;&lt;wsp:rsid wsp:val=&quot;0057714E&quot;/&gt;&lt;wsp:rsid wsp:val=&quot;00577559&quot;/&gt;&lt;wsp:rsid wsp:val=&quot;00577699&quot;/&gt;&lt;wsp:rsid wsp:val=&quot;00577EBD&quot;/&gt;&lt;wsp:rsid wsp:val=&quot;00577F10&quot;/&gt;&lt;wsp:rsid wsp:val=&quot;00580790&quot;/&gt;&lt;wsp:rsid wsp:val=&quot;00581446&quot;/&gt;&lt;wsp:rsid wsp:val=&quot;00581A52&quot;/&gt;&lt;wsp:rsid wsp:val=&quot;00581B3D&quot;/&gt;&lt;wsp:rsid wsp:val=&quot;00581EC4&quot;/&gt;&lt;wsp:rsid wsp:val=&quot;00582109&quot;/&gt;&lt;wsp:rsid wsp:val=&quot;00582153&quot;/&gt;&lt;wsp:rsid wsp:val=&quot;005824B7&quot;/&gt;&lt;wsp:rsid wsp:val=&quot;00582F4D&quot;/&gt;&lt;wsp:rsid wsp:val=&quot;00582FF3&quot;/&gt;&lt;wsp:rsid wsp:val=&quot;00583296&quot;/&gt;&lt;wsp:rsid wsp:val=&quot;0058336C&quot;/&gt;&lt;wsp:rsid wsp:val=&quot;005839B5&quot;/&gt;&lt;wsp:rsid wsp:val=&quot;005839C0&quot;/&gt;&lt;wsp:rsid wsp:val=&quot;00583C7E&quot;/&gt;&lt;wsp:rsid wsp:val=&quot;005842BF&quot;/&gt;&lt;wsp:rsid wsp:val=&quot;005845BE&quot;/&gt;&lt;wsp:rsid wsp:val=&quot;005847DF&quot;/&gt;&lt;wsp:rsid wsp:val=&quot;00584A10&quot;/&gt;&lt;wsp:rsid wsp:val=&quot;00584EB7&quot;/&gt;&lt;wsp:rsid wsp:val=&quot;0058558C&quot;/&gt;&lt;wsp:rsid wsp:val=&quot;00585592&quot;/&gt;&lt;wsp:rsid wsp:val=&quot;005868A0&quot;/&gt;&lt;wsp:rsid wsp:val=&quot;00586A23&quot;/&gt;&lt;wsp:rsid wsp:val=&quot;0058793B&quot;/&gt;&lt;wsp:rsid wsp:val=&quot;0059029B&quot;/&gt;&lt;wsp:rsid wsp:val=&quot;005902CD&quot;/&gt;&lt;wsp:rsid wsp:val=&quot;00590911&quot;/&gt;&lt;wsp:rsid wsp:val=&quot;00590AE1&quot;/&gt;&lt;wsp:rsid wsp:val=&quot;00590BAF&quot;/&gt;&lt;wsp:rsid wsp:val=&quot;00590BB7&quot;/&gt;&lt;wsp:rsid wsp:val=&quot;00590E01&quot;/&gt;&lt;wsp:rsid wsp:val=&quot;00591205&quot;/&gt;&lt;wsp:rsid wsp:val=&quot;005912F3&quot;/&gt;&lt;wsp:rsid wsp:val=&quot;005916F8&quot;/&gt;&lt;wsp:rsid wsp:val=&quot;005919FD&quot;/&gt;&lt;wsp:rsid wsp:val=&quot;00591DF6&quot;/&gt;&lt;wsp:rsid wsp:val=&quot;00591DFA&quot;/&gt;&lt;wsp:rsid wsp:val=&quot;00591F1A&quot;/&gt;&lt;wsp:rsid wsp:val=&quot;00591F7F&quot;/&gt;&lt;wsp:rsid wsp:val=&quot;00592164&quot;/&gt;&lt;wsp:rsid wsp:val=&quot;00592648&quot;/&gt;&lt;wsp:rsid wsp:val=&quot;005926E1&quot;/&gt;&lt;wsp:rsid wsp:val=&quot;005928D4&quot;/&gt;&lt;wsp:rsid wsp:val=&quot;00592A64&quot;/&gt;&lt;wsp:rsid wsp:val=&quot;00592AF3&quot;/&gt;&lt;wsp:rsid wsp:val=&quot;00592C7B&quot;/&gt;&lt;wsp:rsid wsp:val=&quot;00592DD6&quot;/&gt;&lt;wsp:rsid wsp:val=&quot;00592E26&quot;/&gt;&lt;wsp:rsid wsp:val=&quot;00593031&quot;/&gt;&lt;wsp:rsid wsp:val=&quot;005931B9&quot;/&gt;&lt;wsp:rsid wsp:val=&quot;00593609&quot;/&gt;&lt;wsp:rsid wsp:val=&quot;00593CE8&quot;/&gt;&lt;wsp:rsid wsp:val=&quot;00593CE9&quot;/&gt;&lt;wsp:rsid wsp:val=&quot;00593F69&quot;/&gt;&lt;wsp:rsid wsp:val=&quot;00594110&quot;/&gt;&lt;wsp:rsid wsp:val=&quot;00594273&quot;/&gt;&lt;wsp:rsid wsp:val=&quot;00594372&quot;/&gt;&lt;wsp:rsid wsp:val=&quot;00594667&quot;/&gt;&lt;wsp:rsid wsp:val=&quot;00594EBD&quot;/&gt;&lt;wsp:rsid wsp:val=&quot;00595156&quot;/&gt;&lt;wsp:rsid wsp:val=&quot;00595C16&quot;/&gt;&lt;wsp:rsid wsp:val=&quot;00595D5A&quot;/&gt;&lt;wsp:rsid wsp:val=&quot;005963B3&quot;/&gt;&lt;wsp:rsid wsp:val=&quot;0059688E&quot;/&gt;&lt;wsp:rsid wsp:val=&quot;005969ED&quot;/&gt;&lt;wsp:rsid wsp:val=&quot;00596DF9&quot;/&gt;&lt;wsp:rsid wsp:val=&quot;00596E70&quot;/&gt;&lt;wsp:rsid wsp:val=&quot;00597124&quot;/&gt;&lt;wsp:rsid wsp:val=&quot;0059756C&quot;/&gt;&lt;wsp:rsid wsp:val=&quot;00597690&quot;/&gt;&lt;wsp:rsid wsp:val=&quot;005A0231&quot;/&gt;&lt;wsp:rsid wsp:val=&quot;005A0669&quot;/&gt;&lt;wsp:rsid wsp:val=&quot;005A0966&quot;/&gt;&lt;wsp:rsid wsp:val=&quot;005A0A0D&quot;/&gt;&lt;wsp:rsid wsp:val=&quot;005A14E9&quot;/&gt;&lt;wsp:rsid wsp:val=&quot;005A1829&quot;/&gt;&lt;wsp:rsid wsp:val=&quot;005A18BC&quot;/&gt;&lt;wsp:rsid wsp:val=&quot;005A2506&quot;/&gt;&lt;wsp:rsid wsp:val=&quot;005A2BCA&quot;/&gt;&lt;wsp:rsid wsp:val=&quot;005A2CAD&quot;/&gt;&lt;wsp:rsid wsp:val=&quot;005A3105&quot;/&gt;&lt;wsp:rsid wsp:val=&quot;005A33B6&quot;/&gt;&lt;wsp:rsid wsp:val=&quot;005A3C70&quot;/&gt;&lt;wsp:rsid wsp:val=&quot;005A3F1B&quot;/&gt;&lt;wsp:rsid wsp:val=&quot;005A45C2&quot;/&gt;&lt;wsp:rsid wsp:val=&quot;005A47A2&quot;/&gt;&lt;wsp:rsid wsp:val=&quot;005A52A5&quot;/&gt;&lt;wsp:rsid wsp:val=&quot;005A5316&quot;/&gt;&lt;wsp:rsid wsp:val=&quot;005A5863&quot;/&gt;&lt;wsp:rsid wsp:val=&quot;005A5C8A&quot;/&gt;&lt;wsp:rsid wsp:val=&quot;005A5FB0&quot;/&gt;&lt;wsp:rsid wsp:val=&quot;005A620B&quot;/&gt;&lt;wsp:rsid wsp:val=&quot;005A6239&quot;/&gt;&lt;wsp:rsid wsp:val=&quot;005A6529&quot;/&gt;&lt;wsp:rsid wsp:val=&quot;005A6600&quot;/&gt;&lt;wsp:rsid wsp:val=&quot;005A6A04&quot;/&gt;&lt;wsp:rsid wsp:val=&quot;005A6CA1&quot;/&gt;&lt;wsp:rsid wsp:val=&quot;005A72AC&quot;/&gt;&lt;wsp:rsid wsp:val=&quot;005A750D&quot;/&gt;&lt;wsp:rsid wsp:val=&quot;005A75BA&quot;/&gt;&lt;wsp:rsid wsp:val=&quot;005A7D99&quot;/&gt;&lt;wsp:rsid wsp:val=&quot;005B013C&quot;/&gt;&lt;wsp:rsid wsp:val=&quot;005B04AD&quot;/&gt;&lt;wsp:rsid wsp:val=&quot;005B081D&quot;/&gt;&lt;wsp:rsid wsp:val=&quot;005B0EBE&quot;/&gt;&lt;wsp:rsid wsp:val=&quot;005B1086&quot;/&gt;&lt;wsp:rsid wsp:val=&quot;005B11F7&quot;/&gt;&lt;wsp:rsid wsp:val=&quot;005B131E&quot;/&gt;&lt;wsp:rsid wsp:val=&quot;005B183A&quot;/&gt;&lt;wsp:rsid wsp:val=&quot;005B185B&quot;/&gt;&lt;wsp:rsid wsp:val=&quot;005B1D53&quot;/&gt;&lt;wsp:rsid wsp:val=&quot;005B1F1D&quot;/&gt;&lt;wsp:rsid wsp:val=&quot;005B1FA9&quot;/&gt;&lt;wsp:rsid wsp:val=&quot;005B2143&quot;/&gt;&lt;wsp:rsid wsp:val=&quot;005B2191&quot;/&gt;&lt;wsp:rsid wsp:val=&quot;005B244A&quot;/&gt;&lt;wsp:rsid wsp:val=&quot;005B25ED&quot;/&gt;&lt;wsp:rsid wsp:val=&quot;005B320A&quot;/&gt;&lt;wsp:rsid wsp:val=&quot;005B3214&quot;/&gt;&lt;wsp:rsid wsp:val=&quot;005B3327&quot;/&gt;&lt;wsp:rsid wsp:val=&quot;005B397B&quot;/&gt;&lt;wsp:rsid wsp:val=&quot;005B3BE3&quot;/&gt;&lt;wsp:rsid wsp:val=&quot;005B4122&quot;/&gt;&lt;wsp:rsid wsp:val=&quot;005B413F&quot;/&gt;&lt;wsp:rsid wsp:val=&quot;005B42EB&quot;/&gt;&lt;wsp:rsid wsp:val=&quot;005B44E7&quot;/&gt;&lt;wsp:rsid wsp:val=&quot;005B45F3&quot;/&gt;&lt;wsp:rsid wsp:val=&quot;005B481E&quot;/&gt;&lt;wsp:rsid wsp:val=&quot;005B485C&quot;/&gt;&lt;wsp:rsid wsp:val=&quot;005B4892&quot;/&gt;&lt;wsp:rsid wsp:val=&quot;005B48F6&quot;/&gt;&lt;wsp:rsid wsp:val=&quot;005B4F08&quot;/&gt;&lt;wsp:rsid wsp:val=&quot;005B522C&quot;/&gt;&lt;wsp:rsid wsp:val=&quot;005B5589&quot;/&gt;&lt;wsp:rsid wsp:val=&quot;005B57A2&quot;/&gt;&lt;wsp:rsid wsp:val=&quot;005B5822&quot;/&gt;&lt;wsp:rsid wsp:val=&quot;005B5B8F&quot;/&gt;&lt;wsp:rsid wsp:val=&quot;005B5F9D&quot;/&gt;&lt;wsp:rsid wsp:val=&quot;005B673C&quot;/&gt;&lt;wsp:rsid wsp:val=&quot;005B6A0A&quot;/&gt;&lt;wsp:rsid wsp:val=&quot;005B74C4&quot;/&gt;&lt;wsp:rsid wsp:val=&quot;005B7A4F&quot;/&gt;&lt;wsp:rsid wsp:val=&quot;005B7C91&quot;/&gt;&lt;wsp:rsid wsp:val=&quot;005C02CF&quot;/&gt;&lt;wsp:rsid wsp:val=&quot;005C02DF&quot;/&gt;&lt;wsp:rsid wsp:val=&quot;005C03F6&quot;/&gt;&lt;wsp:rsid wsp:val=&quot;005C06D2&quot;/&gt;&lt;wsp:rsid wsp:val=&quot;005C08AC&quot;/&gt;&lt;wsp:rsid wsp:val=&quot;005C12D7&quot;/&gt;&lt;wsp:rsid wsp:val=&quot;005C19D6&quot;/&gt;&lt;wsp:rsid wsp:val=&quot;005C1C02&quot;/&gt;&lt;wsp:rsid wsp:val=&quot;005C1C1E&quot;/&gt;&lt;wsp:rsid wsp:val=&quot;005C2151&quot;/&gt;&lt;wsp:rsid wsp:val=&quot;005C21EE&quot;/&gt;&lt;wsp:rsid wsp:val=&quot;005C272C&quot;/&gt;&lt;wsp:rsid wsp:val=&quot;005C2C42&quot;/&gt;&lt;wsp:rsid wsp:val=&quot;005C2C5C&quot;/&gt;&lt;wsp:rsid wsp:val=&quot;005C2EEA&quot;/&gt;&lt;wsp:rsid wsp:val=&quot;005C34B1&quot;/&gt;&lt;wsp:rsid wsp:val=&quot;005C395F&quot;/&gt;&lt;wsp:rsid wsp:val=&quot;005C3978&quot;/&gt;&lt;wsp:rsid wsp:val=&quot;005C3E21&quot;/&gt;&lt;wsp:rsid wsp:val=&quot;005C4186&quot;/&gt;&lt;wsp:rsid wsp:val=&quot;005C435E&quot;/&gt;&lt;wsp:rsid wsp:val=&quot;005C44AC&quot;/&gt;&lt;wsp:rsid wsp:val=&quot;005C45C1&quot;/&gt;&lt;wsp:rsid wsp:val=&quot;005C45D9&quot;/&gt;&lt;wsp:rsid wsp:val=&quot;005C4930&quot;/&gt;&lt;wsp:rsid wsp:val=&quot;005C4978&quot;/&gt;&lt;wsp:rsid wsp:val=&quot;005C4A43&quot;/&gt;&lt;wsp:rsid wsp:val=&quot;005C4D7A&quot;/&gt;&lt;wsp:rsid wsp:val=&quot;005C50FB&quot;/&gt;&lt;wsp:rsid wsp:val=&quot;005C5659&quot;/&gt;&lt;wsp:rsid wsp:val=&quot;005C570F&quot;/&gt;&lt;wsp:rsid wsp:val=&quot;005C5BA8&quot;/&gt;&lt;wsp:rsid wsp:val=&quot;005C600D&quot;/&gt;&lt;wsp:rsid wsp:val=&quot;005C668A&quot;/&gt;&lt;wsp:rsid wsp:val=&quot;005C67B2&quot;/&gt;&lt;wsp:rsid wsp:val=&quot;005C6AB3&quot;/&gt;&lt;wsp:rsid wsp:val=&quot;005C6C39&quot;/&gt;&lt;wsp:rsid wsp:val=&quot;005C6D1C&quot;/&gt;&lt;wsp:rsid wsp:val=&quot;005C6F75&quot;/&gt;&lt;wsp:rsid wsp:val=&quot;005C7013&quot;/&gt;&lt;wsp:rsid wsp:val=&quot;005C712C&quot;/&gt;&lt;wsp:rsid wsp:val=&quot;005C773C&quot;/&gt;&lt;wsp:rsid wsp:val=&quot;005C789A&quot;/&gt;&lt;wsp:rsid wsp:val=&quot;005C7F12&quot;/&gt;&lt;wsp:rsid wsp:val=&quot;005C7F96&quot;/&gt;&lt;wsp:rsid wsp:val=&quot;005D00AC&quot;/&gt;&lt;wsp:rsid wsp:val=&quot;005D021A&quot;/&gt;&lt;wsp:rsid wsp:val=&quot;005D0682&quot;/&gt;&lt;wsp:rsid wsp:val=&quot;005D0A5B&quot;/&gt;&lt;wsp:rsid wsp:val=&quot;005D0AC2&quot;/&gt;&lt;wsp:rsid wsp:val=&quot;005D10A8&quot;/&gt;&lt;wsp:rsid wsp:val=&quot;005D11F2&quot;/&gt;&lt;wsp:rsid wsp:val=&quot;005D1643&quot;/&gt;&lt;wsp:rsid wsp:val=&quot;005D188E&quot;/&gt;&lt;wsp:rsid wsp:val=&quot;005D18E3&quot;/&gt;&lt;wsp:rsid wsp:val=&quot;005D1CB5&quot;/&gt;&lt;wsp:rsid wsp:val=&quot;005D22D8&quot;/&gt;&lt;wsp:rsid wsp:val=&quot;005D2741&quot;/&gt;&lt;wsp:rsid wsp:val=&quot;005D288B&quot;/&gt;&lt;wsp:rsid wsp:val=&quot;005D28B1&quot;/&gt;&lt;wsp:rsid wsp:val=&quot;005D291C&quot;/&gt;&lt;wsp:rsid wsp:val=&quot;005D2A30&quot;/&gt;&lt;wsp:rsid wsp:val=&quot;005D2B9F&quot;/&gt;&lt;wsp:rsid wsp:val=&quot;005D2F6C&quot;/&gt;&lt;wsp:rsid wsp:val=&quot;005D3491&quot;/&gt;&lt;wsp:rsid wsp:val=&quot;005D3C06&quot;/&gt;&lt;wsp:rsid wsp:val=&quot;005D3F4B&quot;/&gt;&lt;wsp:rsid wsp:val=&quot;005D41A4&quot;/&gt;&lt;wsp:rsid wsp:val=&quot;005D4AF4&quot;/&gt;&lt;wsp:rsid wsp:val=&quot;005D4B83&quot;/&gt;&lt;wsp:rsid wsp:val=&quot;005D4BAC&quot;/&gt;&lt;wsp:rsid wsp:val=&quot;005D4CCB&quot;/&gt;&lt;wsp:rsid wsp:val=&quot;005D51AD&quot;/&gt;&lt;wsp:rsid wsp:val=&quot;005D5B11&quot;/&gt;&lt;wsp:rsid wsp:val=&quot;005D5E04&quot;/&gt;&lt;wsp:rsid wsp:val=&quot;005D6865&quot;/&gt;&lt;wsp:rsid wsp:val=&quot;005D68DC&quot;/&gt;&lt;wsp:rsid wsp:val=&quot;005D69CD&quot;/&gt;&lt;wsp:rsid wsp:val=&quot;005D6BF7&quot;/&gt;&lt;wsp:rsid wsp:val=&quot;005D6D08&quot;/&gt;&lt;wsp:rsid wsp:val=&quot;005D6F58&quot;/&gt;&lt;wsp:rsid wsp:val=&quot;005D72C6&quot;/&gt;&lt;wsp:rsid wsp:val=&quot;005D7728&quot;/&gt;&lt;wsp:rsid wsp:val=&quot;005D7B70&quot;/&gt;&lt;wsp:rsid wsp:val=&quot;005D7CF2&quot;/&gt;&lt;wsp:rsid wsp:val=&quot;005E02A5&quot;/&gt;&lt;wsp:rsid wsp:val=&quot;005E066D&quot;/&gt;&lt;wsp:rsid wsp:val=&quot;005E07B0&quot;/&gt;&lt;wsp:rsid wsp:val=&quot;005E08D6&quot;/&gt;&lt;wsp:rsid wsp:val=&quot;005E0C87&quot;/&gt;&lt;wsp:rsid wsp:val=&quot;005E0CB6&quot;/&gt;&lt;wsp:rsid wsp:val=&quot;005E0FB5&quot;/&gt;&lt;wsp:rsid wsp:val=&quot;005E11CF&quot;/&gt;&lt;wsp:rsid wsp:val=&quot;005E12AB&quot;/&gt;&lt;wsp:rsid wsp:val=&quot;005E12B1&quot;/&gt;&lt;wsp:rsid wsp:val=&quot;005E1470&quot;/&gt;&lt;wsp:rsid wsp:val=&quot;005E149E&quot;/&gt;&lt;wsp:rsid wsp:val=&quot;005E1ECD&quot;/&gt;&lt;wsp:rsid wsp:val=&quot;005E20B7&quot;/&gt;&lt;wsp:rsid wsp:val=&quot;005E21CD&quot;/&gt;&lt;wsp:rsid wsp:val=&quot;005E29AA&quot;/&gt;&lt;wsp:rsid wsp:val=&quot;005E2A00&quot;/&gt;&lt;wsp:rsid wsp:val=&quot;005E39B2&quot;/&gt;&lt;wsp:rsid wsp:val=&quot;005E3CC1&quot;/&gt;&lt;wsp:rsid wsp:val=&quot;005E3F77&quot;/&gt;&lt;wsp:rsid wsp:val=&quot;005E44FA&quot;/&gt;&lt;wsp:rsid wsp:val=&quot;005E4AD3&quot;/&gt;&lt;wsp:rsid wsp:val=&quot;005E4FC9&quot;/&gt;&lt;wsp:rsid wsp:val=&quot;005E518D&quot;/&gt;&lt;wsp:rsid wsp:val=&quot;005E51FE&quot;/&gt;&lt;wsp:rsid wsp:val=&quot;005E541D&quot;/&gt;&lt;wsp:rsid wsp:val=&quot;005E6026&quot;/&gt;&lt;wsp:rsid wsp:val=&quot;005E6678&quot;/&gt;&lt;wsp:rsid wsp:val=&quot;005E6805&quot;/&gt;&lt;wsp:rsid wsp:val=&quot;005E6B35&quot;/&gt;&lt;wsp:rsid wsp:val=&quot;005E6D87&quot;/&gt;&lt;wsp:rsid wsp:val=&quot;005E718A&quot;/&gt;&lt;wsp:rsid wsp:val=&quot;005E7278&quot;/&gt;&lt;wsp:rsid wsp:val=&quot;005E73B5&quot;/&gt;&lt;wsp:rsid wsp:val=&quot;005E7724&quot;/&gt;&lt;wsp:rsid wsp:val=&quot;005E7753&quot;/&gt;&lt;wsp:rsid wsp:val=&quot;005E780A&quot;/&gt;&lt;wsp:rsid wsp:val=&quot;005E7D5E&quot;/&gt;&lt;wsp:rsid wsp:val=&quot;005E7F26&quot;/&gt;&lt;wsp:rsid wsp:val=&quot;005E7F7D&quot;/&gt;&lt;wsp:rsid wsp:val=&quot;005E7FCC&quot;/&gt;&lt;wsp:rsid wsp:val=&quot;005F0579&quot;/&gt;&lt;wsp:rsid wsp:val=&quot;005F0589&quot;/&gt;&lt;wsp:rsid wsp:val=&quot;005F092D&quot;/&gt;&lt;wsp:rsid wsp:val=&quot;005F09C4&quot;/&gt;&lt;wsp:rsid wsp:val=&quot;005F0A2B&quot;/&gt;&lt;wsp:rsid wsp:val=&quot;005F1406&quot;/&gt;&lt;wsp:rsid wsp:val=&quot;005F1444&quot;/&gt;&lt;wsp:rsid wsp:val=&quot;005F19EB&quot;/&gt;&lt;wsp:rsid wsp:val=&quot;005F1DBA&quot;/&gt;&lt;wsp:rsid wsp:val=&quot;005F21C6&quot;/&gt;&lt;wsp:rsid wsp:val=&quot;005F2240&quot;/&gt;&lt;wsp:rsid wsp:val=&quot;005F2482&quot;/&gt;&lt;wsp:rsid wsp:val=&quot;005F2843&quot;/&gt;&lt;wsp:rsid wsp:val=&quot;005F3A48&quot;/&gt;&lt;wsp:rsid wsp:val=&quot;005F3B32&quot;/&gt;&lt;wsp:rsid wsp:val=&quot;005F3CE2&quot;/&gt;&lt;wsp:rsid wsp:val=&quot;005F4064&quot;/&gt;&lt;wsp:rsid wsp:val=&quot;005F4875&quot;/&gt;&lt;wsp:rsid wsp:val=&quot;005F531B&quot;/&gt;&lt;wsp:rsid wsp:val=&quot;005F5794&quot;/&gt;&lt;wsp:rsid wsp:val=&quot;005F5E3B&quot;/&gt;&lt;wsp:rsid wsp:val=&quot;005F66D2&quot;/&gt;&lt;wsp:rsid wsp:val=&quot;005F6859&quot;/&gt;&lt;wsp:rsid wsp:val=&quot;005F6AC9&quot;/&gt;&lt;wsp:rsid wsp:val=&quot;005F6B62&quot;/&gt;&lt;wsp:rsid wsp:val=&quot;005F714D&quot;/&gt;&lt;wsp:rsid wsp:val=&quot;005F7208&quot;/&gt;&lt;wsp:rsid wsp:val=&quot;005F7655&quot;/&gt;&lt;wsp:rsid wsp:val=&quot;005F78C9&quot;/&gt;&lt;wsp:rsid wsp:val=&quot;005F78DB&quot;/&gt;&lt;wsp:rsid wsp:val=&quot;005F79CA&quot;/&gt;&lt;wsp:rsid wsp:val=&quot;005F7A86&quot;/&gt;&lt;wsp:rsid wsp:val=&quot;005F7CC1&quot;/&gt;&lt;wsp:rsid wsp:val=&quot;00600930&quot;/&gt;&lt;wsp:rsid wsp:val=&quot;00600950&quot;/&gt;&lt;wsp:rsid wsp:val=&quot;00600BCC&quot;/&gt;&lt;wsp:rsid wsp:val=&quot;006013E0&quot;/&gt;&lt;wsp:rsid wsp:val=&quot;006016CC&quot;/&gt;&lt;wsp:rsid wsp:val=&quot;006017A0&quot;/&gt;&lt;wsp:rsid wsp:val=&quot;00601803&quot;/&gt;&lt;wsp:rsid wsp:val=&quot;00601E47&quot;/&gt;&lt;wsp:rsid wsp:val=&quot;0060215F&quot;/&gt;&lt;wsp:rsid wsp:val=&quot;00602662&quot;/&gt;&lt;wsp:rsid wsp:val=&quot;00602692&quot;/&gt;&lt;wsp:rsid wsp:val=&quot;00602DBF&quot;/&gt;&lt;wsp:rsid wsp:val=&quot;0060343D&quot;/&gt;&lt;wsp:rsid wsp:val=&quot;00603443&quot;/&gt;&lt;wsp:rsid wsp:val=&quot;0060380F&quot;/&gt;&lt;wsp:rsid wsp:val=&quot;00603D72&quot;/&gt;&lt;wsp:rsid wsp:val=&quot;006041F4&quot;/&gt;&lt;wsp:rsid wsp:val=&quot;00604A70&quot;/&gt;&lt;wsp:rsid wsp:val=&quot;00604F77&quot;/&gt;&lt;wsp:rsid wsp:val=&quot;00605312&quot;/&gt;&lt;wsp:rsid wsp:val=&quot;006053FA&quot;/&gt;&lt;wsp:rsid wsp:val=&quot;00605497&quot;/&gt;&lt;wsp:rsid wsp:val=&quot;0060579C&quot;/&gt;&lt;wsp:rsid wsp:val=&quot;0060599D&quot;/&gt;&lt;wsp:rsid wsp:val=&quot;00605AC6&quot;/&gt;&lt;wsp:rsid wsp:val=&quot;00605F21&quot;/&gt;&lt;wsp:rsid wsp:val=&quot;00605FD5&quot;/&gt;&lt;wsp:rsid wsp:val=&quot;00606495&quot;/&gt;&lt;wsp:rsid wsp:val=&quot;0060692A&quot;/&gt;&lt;wsp:rsid wsp:val=&quot;00606C67&quot;/&gt;&lt;wsp:rsid wsp:val=&quot;00606D91&quot;/&gt;&lt;wsp:rsid wsp:val=&quot;00606EE9&quot;/&gt;&lt;wsp:rsid wsp:val=&quot;006071F8&quot;/&gt;&lt;wsp:rsid wsp:val=&quot;0060750E&quot;/&gt;&lt;wsp:rsid wsp:val=&quot;0060760E&quot;/&gt;&lt;wsp:rsid wsp:val=&quot;00607D2A&quot;/&gt;&lt;wsp:rsid wsp:val=&quot;006104A0&quot;/&gt;&lt;wsp:rsid wsp:val=&quot;006104C4&quot;/&gt;&lt;wsp:rsid wsp:val=&quot;00610B4F&quot;/&gt;&lt;wsp:rsid wsp:val=&quot;00610B60&quot;/&gt;&lt;wsp:rsid wsp:val=&quot;00610DED&quot;/&gt;&lt;wsp:rsid wsp:val=&quot;006110B1&quot;/&gt;&lt;wsp:rsid wsp:val=&quot;006117EC&quot;/&gt;&lt;wsp:rsid wsp:val=&quot;006119F6&quot;/&gt;&lt;wsp:rsid wsp:val=&quot;00611AD8&quot;/&gt;&lt;wsp:rsid wsp:val=&quot;00611BE2&quot;/&gt;&lt;wsp:rsid wsp:val=&quot;00611D1C&quot;/&gt;&lt;wsp:rsid wsp:val=&quot;00611FBB&quot;/&gt;&lt;wsp:rsid wsp:val=&quot;0061247F&quot;/&gt;&lt;wsp:rsid wsp:val=&quot;00612698&quot;/&gt;&lt;wsp:rsid wsp:val=&quot;00612D04&quot;/&gt;&lt;wsp:rsid wsp:val=&quot;00612D9D&quot;/&gt;&lt;wsp:rsid wsp:val=&quot;00612F3C&quot;/&gt;&lt;wsp:rsid wsp:val=&quot;00613568&quot;/&gt;&lt;wsp:rsid wsp:val=&quot;00613A58&quot;/&gt;&lt;wsp:rsid wsp:val=&quot;00614164&quot;/&gt;&lt;wsp:rsid wsp:val=&quot;00614DB8&quot;/&gt;&lt;wsp:rsid wsp:val=&quot;0061523E&quot;/&gt;&lt;wsp:rsid wsp:val=&quot;006155C4&quot;/&gt;&lt;wsp:rsid wsp:val=&quot;006157DD&quot;/&gt;&lt;wsp:rsid wsp:val=&quot;00615934&quot;/&gt;&lt;wsp:rsid wsp:val=&quot;0061673B&quot;/&gt;&lt;wsp:rsid wsp:val=&quot;0061748C&quot;/&gt;&lt;wsp:rsid wsp:val=&quot;006175A1&quot;/&gt;&lt;wsp:rsid wsp:val=&quot;00617905&quot;/&gt;&lt;wsp:rsid wsp:val=&quot;0062018E&quot;/&gt;&lt;wsp:rsid wsp:val=&quot;0062025C&quot;/&gt;&lt;wsp:rsid wsp:val=&quot;0062098F&quot;/&gt;&lt;wsp:rsid wsp:val=&quot;006209F6&quot;/&gt;&lt;wsp:rsid wsp:val=&quot;00620B1B&quot;/&gt;&lt;wsp:rsid wsp:val=&quot;0062139E&quot;/&gt;&lt;wsp:rsid wsp:val=&quot;00621405&quot;/&gt;&lt;wsp:rsid wsp:val=&quot;00621469&quot;/&gt;&lt;wsp:rsid wsp:val=&quot;006217A3&quot;/&gt;&lt;wsp:rsid wsp:val=&quot;00621D04&quot;/&gt;&lt;wsp:rsid wsp:val=&quot;00621EF6&quot;/&gt;&lt;wsp:rsid wsp:val=&quot;0062218E&quot;/&gt;&lt;wsp:rsid wsp:val=&quot;006223C5&quot;/&gt;&lt;wsp:rsid wsp:val=&quot;006226D9&quot;/&gt;&lt;wsp:rsid wsp:val=&quot;006227A3&quot;/&gt;&lt;wsp:rsid wsp:val=&quot;00622857&quot;/&gt;&lt;wsp:rsid wsp:val=&quot;00622DDC&quot;/&gt;&lt;wsp:rsid wsp:val=&quot;00622F55&quot;/&gt;&lt;wsp:rsid wsp:val=&quot;0062392F&quot;/&gt;&lt;wsp:rsid wsp:val=&quot;00623AEA&quot;/&gt;&lt;wsp:rsid wsp:val=&quot;00623EF3&quot;/&gt;&lt;wsp:rsid wsp:val=&quot;0062407A&quot;/&gt;&lt;wsp:rsid wsp:val=&quot;006242F0&quot;/&gt;&lt;wsp:rsid wsp:val=&quot;006243EC&quot;/&gt;&lt;wsp:rsid wsp:val=&quot;006245DD&quot;/&gt;&lt;wsp:rsid wsp:val=&quot;00624D61&quot;/&gt;&lt;wsp:rsid wsp:val=&quot;00624FA7&quot;/&gt;&lt;wsp:rsid wsp:val=&quot;0062577F&quot;/&gt;&lt;wsp:rsid wsp:val=&quot;006259EC&quot;/&gt;&lt;wsp:rsid wsp:val=&quot;00625B1E&quot;/&gt;&lt;wsp:rsid wsp:val=&quot;00625CD1&quot;/&gt;&lt;wsp:rsid wsp:val=&quot;0062612E&quot;/&gt;&lt;wsp:rsid wsp:val=&quot;0062615D&quot;/&gt;&lt;wsp:rsid wsp:val=&quot;00626276&quot;/&gt;&lt;wsp:rsid wsp:val=&quot;006264D5&quot;/&gt;&lt;wsp:rsid wsp:val=&quot;0062667D&quot;/&gt;&lt;wsp:rsid wsp:val=&quot;006267E9&quot;/&gt;&lt;wsp:rsid wsp:val=&quot;00626876&quot;/&gt;&lt;wsp:rsid wsp:val=&quot;00626F72&quot;/&gt;&lt;wsp:rsid wsp:val=&quot;00626FE3&quot;/&gt;&lt;wsp:rsid wsp:val=&quot;006270E2&quot;/&gt;&lt;wsp:rsid wsp:val=&quot;0062713D&quot;/&gt;&lt;wsp:rsid wsp:val=&quot;00627332&quot;/&gt;&lt;wsp:rsid wsp:val=&quot;006278BC&quot;/&gt;&lt;wsp:rsid wsp:val=&quot;00627A09&quot;/&gt;&lt;wsp:rsid wsp:val=&quot;00627DE4&quot;/&gt;&lt;wsp:rsid wsp:val=&quot;006300A5&quot;/&gt;&lt;wsp:rsid wsp:val=&quot;0063069B&quot;/&gt;&lt;wsp:rsid wsp:val=&quot;00630CE0&quot;/&gt;&lt;wsp:rsid wsp:val=&quot;00631241&quot;/&gt;&lt;wsp:rsid wsp:val=&quot;00631489&quot;/&gt;&lt;wsp:rsid wsp:val=&quot;00631D68&quot;/&gt;&lt;wsp:rsid wsp:val=&quot;0063235E&quot;/&gt;&lt;wsp:rsid wsp:val=&quot;00632421&quot;/&gt;&lt;wsp:rsid wsp:val=&quot;00632AE3&quot;/&gt;&lt;wsp:rsid wsp:val=&quot;00632D4E&quot;/&gt;&lt;wsp:rsid wsp:val=&quot;0063345C&quot;/&gt;&lt;wsp:rsid wsp:val=&quot;00633EC5&quot;/&gt;&lt;wsp:rsid wsp:val=&quot;00634545&quot;/&gt;&lt;wsp:rsid wsp:val=&quot;00635069&quot;/&gt;&lt;wsp:rsid wsp:val=&quot;006350B5&quot;/&gt;&lt;wsp:rsid wsp:val=&quot;0063528A&quot;/&gt;&lt;wsp:rsid wsp:val=&quot;0063595F&quot;/&gt;&lt;wsp:rsid wsp:val=&quot;0063596B&quot;/&gt;&lt;wsp:rsid wsp:val=&quot;00635AB7&quot;/&gt;&lt;wsp:rsid wsp:val=&quot;00635EFC&quot;/&gt;&lt;wsp:rsid wsp:val=&quot;00635F4D&quot;/&gt;&lt;wsp:rsid wsp:val=&quot;006360FC&quot;/&gt;&lt;wsp:rsid wsp:val=&quot;006363B0&quot;/&gt;&lt;wsp:rsid wsp:val=&quot;0063654F&quot;/&gt;&lt;wsp:rsid wsp:val=&quot;006369F7&quot;/&gt;&lt;wsp:rsid wsp:val=&quot;00636BE0&quot;/&gt;&lt;wsp:rsid wsp:val=&quot;0063749D&quot;/&gt;&lt;wsp:rsid wsp:val=&quot;0063771D&quot;/&gt;&lt;wsp:rsid wsp:val=&quot;0063795F&quot;/&gt;&lt;wsp:rsid wsp:val=&quot;00637F48&quot;/&gt;&lt;wsp:rsid wsp:val=&quot;00640631&quot;/&gt;&lt;wsp:rsid wsp:val=&quot;00640A8C&quot;/&gt;&lt;wsp:rsid wsp:val=&quot;00640D8C&quot;/&gt;&lt;wsp:rsid wsp:val=&quot;00641490&quot;/&gt;&lt;wsp:rsid wsp:val=&quot;0064184F&quot;/&gt;&lt;wsp:rsid wsp:val=&quot;00641B62&quot;/&gt;&lt;wsp:rsid wsp:val=&quot;00641E49&quot;/&gt;&lt;wsp:rsid wsp:val=&quot;006420AF&quot;/&gt;&lt;wsp:rsid wsp:val=&quot;00642223&quot;/&gt;&lt;wsp:rsid wsp:val=&quot;0064262B&quot;/&gt;&lt;wsp:rsid wsp:val=&quot;00642A27&quot;/&gt;&lt;wsp:rsid wsp:val=&quot;00642B8A&quot;/&gt;&lt;wsp:rsid wsp:val=&quot;00642ECC&quot;/&gt;&lt;wsp:rsid wsp:val=&quot;006431C3&quot;/&gt;&lt;wsp:rsid wsp:val=&quot;006431DB&quot;/&gt;&lt;wsp:rsid wsp:val=&quot;00643392&quot;/&gt;&lt;wsp:rsid wsp:val=&quot;00643447&quot;/&gt;&lt;wsp:rsid wsp:val=&quot;00643462&quot;/&gt;&lt;wsp:rsid wsp:val=&quot;006437F1&quot;/&gt;&lt;wsp:rsid wsp:val=&quot;00643E5F&quot;/&gt;&lt;wsp:rsid wsp:val=&quot;00643F90&quot;/&gt;&lt;wsp:rsid wsp:val=&quot;0064437A&quot;/&gt;&lt;wsp:rsid wsp:val=&quot;00644513&quot;/&gt;&lt;wsp:rsid wsp:val=&quot;00644784&quot;/&gt;&lt;wsp:rsid wsp:val=&quot;00644BFD&quot;/&gt;&lt;wsp:rsid wsp:val=&quot;00645728&quot;/&gt;&lt;wsp:rsid wsp:val=&quot;00645C8E&quot;/&gt;&lt;wsp:rsid wsp:val=&quot;00645FC2&quot;/&gt;&lt;wsp:rsid wsp:val=&quot;00646136&quot;/&gt;&lt;wsp:rsid wsp:val=&quot;0064614D&quot;/&gt;&lt;wsp:rsid wsp:val=&quot;00646159&quot;/&gt;&lt;wsp:rsid wsp:val=&quot;00646ADF&quot;/&gt;&lt;wsp:rsid wsp:val=&quot;00646E98&quot;/&gt;&lt;wsp:rsid wsp:val=&quot;006470E8&quot;/&gt;&lt;wsp:rsid wsp:val=&quot;006471AA&quot;/&gt;&lt;wsp:rsid wsp:val=&quot;0064762B&quot;/&gt;&lt;wsp:rsid wsp:val=&quot;006479FB&quot;/&gt;&lt;wsp:rsid wsp:val=&quot;00647F4E&quot;/&gt;&lt;wsp:rsid wsp:val=&quot;00650673&quot;/&gt;&lt;wsp:rsid wsp:val=&quot;006507BF&quot;/&gt;&lt;wsp:rsid wsp:val=&quot;006509FC&quot;/&gt;&lt;wsp:rsid wsp:val=&quot;00650D4F&quot;/&gt;&lt;wsp:rsid wsp:val=&quot;00650E1F&quot;/&gt;&lt;wsp:rsid wsp:val=&quot;00650F51&quot;/&gt;&lt;wsp:rsid wsp:val=&quot;006510CD&quot;/&gt;&lt;wsp:rsid wsp:val=&quot;00651160&quot;/&gt;&lt;wsp:rsid wsp:val=&quot;0065129C&quot;/&gt;&lt;wsp:rsid wsp:val=&quot;0065174F&quot;/&gt;&lt;wsp:rsid wsp:val=&quot;00651803&quot;/&gt;&lt;wsp:rsid wsp:val=&quot;00651979&quot;/&gt;&lt;wsp:rsid wsp:val=&quot;00651A8A&quot;/&gt;&lt;wsp:rsid wsp:val=&quot;00652017&quot;/&gt;&lt;wsp:rsid wsp:val=&quot;0065251B&quot;/&gt;&lt;wsp:rsid wsp:val=&quot;00652ADE&quot;/&gt;&lt;wsp:rsid wsp:val=&quot;0065368B&quot;/&gt;&lt;wsp:rsid wsp:val=&quot;006537C8&quot;/&gt;&lt;wsp:rsid wsp:val=&quot;00653AEB&quot;/&gt;&lt;wsp:rsid wsp:val=&quot;00654161&quot;/&gt;&lt;wsp:rsid wsp:val=&quot;006543DB&quot;/&gt;&lt;wsp:rsid wsp:val=&quot;00654CE5&quot;/&gt;&lt;wsp:rsid wsp:val=&quot;00654D86&quot;/&gt;&lt;wsp:rsid wsp:val=&quot;006551F9&quot;/&gt;&lt;wsp:rsid wsp:val=&quot;0065540E&quot;/&gt;&lt;wsp:rsid wsp:val=&quot;006559B0&quot;/&gt;&lt;wsp:rsid wsp:val=&quot;006561C5&quot;/&gt;&lt;wsp:rsid wsp:val=&quot;0065623A&quot;/&gt;&lt;wsp:rsid wsp:val=&quot;00656A16&quot;/&gt;&lt;wsp:rsid wsp:val=&quot;00656C07&quot;/&gt;&lt;wsp:rsid wsp:val=&quot;00657224&quot;/&gt;&lt;wsp:rsid wsp:val=&quot;00657298&quot;/&gt;&lt;wsp:rsid wsp:val=&quot;00657E13&quot;/&gt;&lt;wsp:rsid wsp:val=&quot;00660129&quot;/&gt;&lt;wsp:rsid wsp:val=&quot;006602A5&quot;/&gt;&lt;wsp:rsid wsp:val=&quot;00660EA0&quot;/&gt;&lt;wsp:rsid wsp:val=&quot;00660EB5&quot;/&gt;&lt;wsp:rsid wsp:val=&quot;00660F1A&quot;/&gt;&lt;wsp:rsid wsp:val=&quot;00661281&quot;/&gt;&lt;wsp:rsid wsp:val=&quot;006614BB&quot;/&gt;&lt;wsp:rsid wsp:val=&quot;00661BAE&quot;/&gt;&lt;wsp:rsid wsp:val=&quot;00661D4C&quot;/&gt;&lt;wsp:rsid wsp:val=&quot;00661F6A&quot;/&gt;&lt;wsp:rsid wsp:val=&quot;00662647&quot;/&gt;&lt;wsp:rsid wsp:val=&quot;006627B8&quot;/&gt;&lt;wsp:rsid wsp:val=&quot;00662857&quot;/&gt;&lt;wsp:rsid wsp:val=&quot;00662971&quot;/&gt;&lt;wsp:rsid wsp:val=&quot;00662B06&quot;/&gt;&lt;wsp:rsid wsp:val=&quot;00662FAB&quot;/&gt;&lt;wsp:rsid wsp:val=&quot;006632F3&quot;/&gt;&lt;wsp:rsid wsp:val=&quot;006638BE&quot;/&gt;&lt;wsp:rsid wsp:val=&quot;00663B1D&quot;/&gt;&lt;wsp:rsid wsp:val=&quot;00663C31&quot;/&gt;&lt;wsp:rsid wsp:val=&quot;00663C78&quot;/&gt;&lt;wsp:rsid wsp:val=&quot;00663F87&quot;/&gt;&lt;wsp:rsid wsp:val=&quot;00663FF8&quot;/&gt;&lt;wsp:rsid wsp:val=&quot;00664239&quot;/&gt;&lt;wsp:rsid wsp:val=&quot;006642D3&quot;/&gt;&lt;wsp:rsid wsp:val=&quot;006648F8&quot;/&gt;&lt;wsp:rsid wsp:val=&quot;00664930&quot;/&gt;&lt;wsp:rsid wsp:val=&quot;00664A22&quot;/&gt;&lt;wsp:rsid wsp:val=&quot;00664AF8&quot;/&gt;&lt;wsp:rsid wsp:val=&quot;00665012&quot;/&gt;&lt;wsp:rsid wsp:val=&quot;006651FC&quot;/&gt;&lt;wsp:rsid wsp:val=&quot;00665343&quot;/&gt;&lt;wsp:rsid wsp:val=&quot;006655AD&quot;/&gt;&lt;wsp:rsid wsp:val=&quot;006659B7&quot;/&gt;&lt;wsp:rsid wsp:val=&quot;00665B99&quot;/&gt;&lt;wsp:rsid wsp:val=&quot;00666106&quot;/&gt;&lt;wsp:rsid wsp:val=&quot;006662AF&quot;/&gt;&lt;wsp:rsid wsp:val=&quot;0066679D&quot;/&gt;&lt;wsp:rsid wsp:val=&quot;00666B4F&quot;/&gt;&lt;wsp:rsid wsp:val=&quot;00666FA8&quot;/&gt;&lt;wsp:rsid wsp:val=&quot;00667403&quot;/&gt;&lt;wsp:rsid wsp:val=&quot;0066746B&quot;/&gt;&lt;wsp:rsid wsp:val=&quot;006676C5&quot;/&gt;&lt;wsp:rsid wsp:val=&quot;00667AA9&quot;/&gt;&lt;wsp:rsid wsp:val=&quot;00670520&quot;/&gt;&lt;wsp:rsid wsp:val=&quot;006706ED&quot;/&gt;&lt;wsp:rsid wsp:val=&quot;00670865&quot;/&gt;&lt;wsp:rsid wsp:val=&quot;006709EE&quot;/&gt;&lt;wsp:rsid wsp:val=&quot;00670FD3&quot;/&gt;&lt;wsp:rsid wsp:val=&quot;006711C3&quot;/&gt;&lt;wsp:rsid wsp:val=&quot;006714A8&quot;/&gt;&lt;wsp:rsid wsp:val=&quot;006715FA&quot;/&gt;&lt;wsp:rsid wsp:val=&quot;006717A7&quot;/&gt;&lt;wsp:rsid wsp:val=&quot;00671BEC&quot;/&gt;&lt;wsp:rsid wsp:val=&quot;00671C9B&quot;/&gt;&lt;wsp:rsid wsp:val=&quot;00671D4A&quot;/&gt;&lt;wsp:rsid wsp:val=&quot;00672310&quot;/&gt;&lt;wsp:rsid wsp:val=&quot;006723C1&quot;/&gt;&lt;wsp:rsid wsp:val=&quot;006726C5&quot;/&gt;&lt;wsp:rsid wsp:val=&quot;006728DA&quot;/&gt;&lt;wsp:rsid wsp:val=&quot;00672995&quot;/&gt;&lt;wsp:rsid wsp:val=&quot;00672ADD&quot;/&gt;&lt;wsp:rsid wsp:val=&quot;00672BA9&quot;/&gt;&lt;wsp:rsid wsp:val=&quot;00672CCB&quot;/&gt;&lt;wsp:rsid wsp:val=&quot;00672CF8&quot;/&gt;&lt;wsp:rsid wsp:val=&quot;00673040&quot;/&gt;&lt;wsp:rsid wsp:val=&quot;00673567&quot;/&gt;&lt;wsp:rsid wsp:val=&quot;00673DF6&quot;/&gt;&lt;wsp:rsid wsp:val=&quot;00673E3B&quot;/&gt;&lt;wsp:rsid wsp:val=&quot;00673EFD&quot;/&gt;&lt;wsp:rsid wsp:val=&quot;006741C6&quot;/&gt;&lt;wsp:rsid wsp:val=&quot;006742EE&quot;/&gt;&lt;wsp:rsid wsp:val=&quot;006746B9&quot;/&gt;&lt;wsp:rsid wsp:val=&quot;006746BC&quot;/&gt;&lt;wsp:rsid wsp:val=&quot;0067497C&quot;/&gt;&lt;wsp:rsid wsp:val=&quot;006749ED&quot;/&gt;&lt;wsp:rsid wsp:val=&quot;0067515D&quot;/&gt;&lt;wsp:rsid wsp:val=&quot;0067517C&quot;/&gt;&lt;wsp:rsid wsp:val=&quot;0067575D&quot;/&gt;&lt;wsp:rsid wsp:val=&quot;00675FE0&quot;/&gt;&lt;wsp:rsid wsp:val=&quot;00676050&quot;/&gt;&lt;wsp:rsid wsp:val=&quot;006763A3&quot;/&gt;&lt;wsp:rsid wsp:val=&quot;00676663&quot;/&gt;&lt;wsp:rsid wsp:val=&quot;006766B7&quot;/&gt;&lt;wsp:rsid wsp:val=&quot;006768A4&quot;/&gt;&lt;wsp:rsid wsp:val=&quot;00676C34&quot;/&gt;&lt;wsp:rsid wsp:val=&quot;00676E60&quot;/&gt;&lt;wsp:rsid wsp:val=&quot;00677122&quot;/&gt;&lt;wsp:rsid wsp:val=&quot;0067743C&quot;/&gt;&lt;wsp:rsid wsp:val=&quot;006779D8&quot;/&gt;&lt;wsp:rsid wsp:val=&quot;00677A34&quot;/&gt;&lt;wsp:rsid wsp:val=&quot;00677B37&quot;/&gt;&lt;wsp:rsid wsp:val=&quot;00677DEB&quot;/&gt;&lt;wsp:rsid wsp:val=&quot;00680488&quot;/&gt;&lt;wsp:rsid wsp:val=&quot;00680574&quot;/&gt;&lt;wsp:rsid wsp:val=&quot;006805C0&quot;/&gt;&lt;wsp:rsid wsp:val=&quot;00680663&quot;/&gt;&lt;wsp:rsid wsp:val=&quot;00680F3C&quot;/&gt;&lt;wsp:rsid wsp:val=&quot;0068127D&quot;/&gt;&lt;wsp:rsid wsp:val=&quot;00681DBF&quot;/&gt;&lt;wsp:rsid wsp:val=&quot;00682184&quot;/&gt;&lt;wsp:rsid wsp:val=&quot;006829F2&quot;/&gt;&lt;wsp:rsid wsp:val=&quot;0068310B&quot;/&gt;&lt;wsp:rsid wsp:val=&quot;00683281&quot;/&gt;&lt;wsp:rsid wsp:val=&quot;0068357D&quot;/&gt;&lt;wsp:rsid wsp:val=&quot;006835C7&quot;/&gt;&lt;wsp:rsid wsp:val=&quot;00683A27&quot;/&gt;&lt;wsp:rsid wsp:val=&quot;00683AB8&quot;/&gt;&lt;wsp:rsid wsp:val=&quot;00684040&quot;/&gt;&lt;wsp:rsid wsp:val=&quot;0068404B&quot;/&gt;&lt;wsp:rsid wsp:val=&quot;0068405C&quot;/&gt;&lt;wsp:rsid wsp:val=&quot;006841EF&quot;/&gt;&lt;wsp:rsid wsp:val=&quot;006843AB&quot;/&gt;&lt;wsp:rsid wsp:val=&quot;0068457A&quot;/&gt;&lt;wsp:rsid wsp:val=&quot;0068460D&quot;/&gt;&lt;wsp:rsid wsp:val=&quot;0068515F&quot;/&gt;&lt;wsp:rsid wsp:val=&quot;00685188&quot;/&gt;&lt;wsp:rsid wsp:val=&quot;006858CE&quot;/&gt;&lt;wsp:rsid wsp:val=&quot;006859F6&quot;/&gt;&lt;wsp:rsid wsp:val=&quot;00685E06&quot;/&gt;&lt;wsp:rsid wsp:val=&quot;00686281&quot;/&gt;&lt;wsp:rsid wsp:val=&quot;006862C0&quot;/&gt;&lt;wsp:rsid wsp:val=&quot;006862CD&quot;/&gt;&lt;wsp:rsid wsp:val=&quot;00686434&quot;/&gt;&lt;wsp:rsid wsp:val=&quot;00686967&quot;/&gt;&lt;wsp:rsid wsp:val=&quot;00686DF4&quot;/&gt;&lt;wsp:rsid wsp:val=&quot;00686EE2&quot;/&gt;&lt;wsp:rsid wsp:val=&quot;006872CF&quot;/&gt;&lt;wsp:rsid wsp:val=&quot;00687A8A&quot;/&gt;&lt;wsp:rsid wsp:val=&quot;00687BB3&quot;/&gt;&lt;wsp:rsid wsp:val=&quot;00687DDA&quot;/&gt;&lt;wsp:rsid wsp:val=&quot;00687F39&quot;/&gt;&lt;wsp:rsid wsp:val=&quot;006903A9&quot;/&gt;&lt;wsp:rsid wsp:val=&quot;00690466&quot;/&gt;&lt;wsp:rsid wsp:val=&quot;00690684&quot;/&gt;&lt;wsp:rsid wsp:val=&quot;00690D12&quot;/&gt;&lt;wsp:rsid wsp:val=&quot;00691069&quot;/&gt;&lt;wsp:rsid wsp:val=&quot;00691498&quot;/&gt;&lt;wsp:rsid wsp:val=&quot;0069193D&quot;/&gt;&lt;wsp:rsid wsp:val=&quot;00691A80&quot;/&gt;&lt;wsp:rsid wsp:val=&quot;00692016&quot;/&gt;&lt;wsp:rsid wsp:val=&quot;006922A3&quot;/&gt;&lt;wsp:rsid wsp:val=&quot;00692E59&quot;/&gt;&lt;wsp:rsid wsp:val=&quot;0069309E&quot;/&gt;&lt;wsp:rsid wsp:val=&quot;006930A2&quot;/&gt;&lt;wsp:rsid wsp:val=&quot;0069351F&quot;/&gt;&lt;wsp:rsid wsp:val=&quot;00693AD5&quot;/&gt;&lt;wsp:rsid wsp:val=&quot;00693C5D&quot;/&gt;&lt;wsp:rsid wsp:val=&quot;00694C29&quot;/&gt;&lt;wsp:rsid wsp:val=&quot;00695015&quot;/&gt;&lt;wsp:rsid wsp:val=&quot;00695334&quot;/&gt;&lt;wsp:rsid wsp:val=&quot;00695491&quot;/&gt;&lt;wsp:rsid wsp:val=&quot;006955E6&quot;/&gt;&lt;wsp:rsid wsp:val=&quot;00695B0C&quot;/&gt;&lt;wsp:rsid wsp:val=&quot;00695F3C&quot;/&gt;&lt;wsp:rsid wsp:val=&quot;0069625B&quot;/&gt;&lt;wsp:rsid wsp:val=&quot;00696525&quot;/&gt;&lt;wsp:rsid wsp:val=&quot;00696657&quot;/&gt;&lt;wsp:rsid wsp:val=&quot;006966BB&quot;/&gt;&lt;wsp:rsid wsp:val=&quot;00696F99&quot;/&gt;&lt;wsp:rsid wsp:val=&quot;00697280&quot;/&gt;&lt;wsp:rsid wsp:val=&quot;00697553&quot;/&gt;&lt;wsp:rsid wsp:val=&quot;00697731&quot;/&gt;&lt;wsp:rsid wsp:val=&quot;00697D69&quot;/&gt;&lt;wsp:rsid wsp:val=&quot;006A07B0&quot;/&gt;&lt;wsp:rsid wsp:val=&quot;006A0B33&quot;/&gt;&lt;wsp:rsid wsp:val=&quot;006A0D22&quot;/&gt;&lt;wsp:rsid wsp:val=&quot;006A0EE8&quot;/&gt;&lt;wsp:rsid wsp:val=&quot;006A10FD&quot;/&gt;&lt;wsp:rsid wsp:val=&quot;006A154A&quot;/&gt;&lt;wsp:rsid wsp:val=&quot;006A183A&quot;/&gt;&lt;wsp:rsid wsp:val=&quot;006A1BD3&quot;/&gt;&lt;wsp:rsid wsp:val=&quot;006A1F30&quot;/&gt;&lt;wsp:rsid wsp:val=&quot;006A1FCF&quot;/&gt;&lt;wsp:rsid wsp:val=&quot;006A24BD&quot;/&gt;&lt;wsp:rsid wsp:val=&quot;006A2538&quot;/&gt;&lt;wsp:rsid wsp:val=&quot;006A275F&quot;/&gt;&lt;wsp:rsid wsp:val=&quot;006A27D9&quot;/&gt;&lt;wsp:rsid wsp:val=&quot;006A2A5E&quot;/&gt;&lt;wsp:rsid wsp:val=&quot;006A2E58&quot;/&gt;&lt;wsp:rsid wsp:val=&quot;006A2E8D&quot;/&gt;&lt;wsp:rsid wsp:val=&quot;006A3080&quot;/&gt;&lt;wsp:rsid wsp:val=&quot;006A30B7&quot;/&gt;&lt;wsp:rsid wsp:val=&quot;006A3443&quot;/&gt;&lt;wsp:rsid wsp:val=&quot;006A350D&quot;/&gt;&lt;wsp:rsid wsp:val=&quot;006A376F&quot;/&gt;&lt;wsp:rsid wsp:val=&quot;006A3796&quot;/&gt;&lt;wsp:rsid wsp:val=&quot;006A37EF&quot;/&gt;&lt;wsp:rsid wsp:val=&quot;006A3D61&quot;/&gt;&lt;wsp:rsid wsp:val=&quot;006A3D77&quot;/&gt;&lt;wsp:rsid wsp:val=&quot;006A4B64&quot;/&gt;&lt;wsp:rsid wsp:val=&quot;006A4D14&quot;/&gt;&lt;wsp:rsid wsp:val=&quot;006A4E62&quot;/&gt;&lt;wsp:rsid wsp:val=&quot;006A4EB8&quot;/&gt;&lt;wsp:rsid wsp:val=&quot;006A4F4B&quot;/&gt;&lt;wsp:rsid wsp:val=&quot;006A5004&quot;/&gt;&lt;wsp:rsid wsp:val=&quot;006A53B7&quot;/&gt;&lt;wsp:rsid wsp:val=&quot;006A53F0&quot;/&gt;&lt;wsp:rsid wsp:val=&quot;006A5469&quot;/&gt;&lt;wsp:rsid wsp:val=&quot;006A58AA&quot;/&gt;&lt;wsp:rsid wsp:val=&quot;006A6045&quot;/&gt;&lt;wsp:rsid wsp:val=&quot;006A60ED&quot;/&gt;&lt;wsp:rsid wsp:val=&quot;006A68A8&quot;/&gt;&lt;wsp:rsid wsp:val=&quot;006A6A47&quot;/&gt;&lt;wsp:rsid wsp:val=&quot;006A6E30&quot;/&gt;&lt;wsp:rsid wsp:val=&quot;006A6FDC&quot;/&gt;&lt;wsp:rsid wsp:val=&quot;006A706A&quot;/&gt;&lt;wsp:rsid wsp:val=&quot;006A70D8&quot;/&gt;&lt;wsp:rsid wsp:val=&quot;006A76ED&quot;/&gt;&lt;wsp:rsid wsp:val=&quot;006A77CF&quot;/&gt;&lt;wsp:rsid wsp:val=&quot;006A7DEC&quot;/&gt;&lt;wsp:rsid wsp:val=&quot;006B02DE&quot;/&gt;&lt;wsp:rsid wsp:val=&quot;006B034F&quot;/&gt;&lt;wsp:rsid wsp:val=&quot;006B038A&quot;/&gt;&lt;wsp:rsid wsp:val=&quot;006B0F8C&quot;/&gt;&lt;wsp:rsid wsp:val=&quot;006B0FC1&quot;/&gt;&lt;wsp:rsid wsp:val=&quot;006B10BC&quot;/&gt;&lt;wsp:rsid wsp:val=&quot;006B13A5&quot;/&gt;&lt;wsp:rsid wsp:val=&quot;006B18F3&quot;/&gt;&lt;wsp:rsid wsp:val=&quot;006B1927&quot;/&gt;&lt;wsp:rsid wsp:val=&quot;006B1FBD&quot;/&gt;&lt;wsp:rsid wsp:val=&quot;006B259B&quot;/&gt;&lt;wsp:rsid wsp:val=&quot;006B2A8B&quot;/&gt;&lt;wsp:rsid wsp:val=&quot;006B2F9E&quot;/&gt;&lt;wsp:rsid wsp:val=&quot;006B322F&quot;/&gt;&lt;wsp:rsid wsp:val=&quot;006B33D4&quot;/&gt;&lt;wsp:rsid wsp:val=&quot;006B373C&quot;/&gt;&lt;wsp:rsid wsp:val=&quot;006B376E&quot;/&gt;&lt;wsp:rsid wsp:val=&quot;006B3792&quot;/&gt;&lt;wsp:rsid wsp:val=&quot;006B40BB&quot;/&gt;&lt;wsp:rsid wsp:val=&quot;006B40EE&quot;/&gt;&lt;wsp:rsid wsp:val=&quot;006B44A3&quot;/&gt;&lt;wsp:rsid wsp:val=&quot;006B474C&quot;/&gt;&lt;wsp:rsid wsp:val=&quot;006B49F4&quot;/&gt;&lt;wsp:rsid wsp:val=&quot;006B4AB7&quot;/&gt;&lt;wsp:rsid wsp:val=&quot;006B5043&quot;/&gt;&lt;wsp:rsid wsp:val=&quot;006B51AE&quot;/&gt;&lt;wsp:rsid wsp:val=&quot;006B530D&quot;/&gt;&lt;wsp:rsid wsp:val=&quot;006B53EE&quot;/&gt;&lt;wsp:rsid wsp:val=&quot;006B54D5&quot;/&gt;&lt;wsp:rsid wsp:val=&quot;006B595C&quot;/&gt;&lt;wsp:rsid wsp:val=&quot;006B5B02&quot;/&gt;&lt;wsp:rsid wsp:val=&quot;006B5B3E&quot;/&gt;&lt;wsp:rsid wsp:val=&quot;006B6138&quot;/&gt;&lt;wsp:rsid wsp:val=&quot;006B660F&quot;/&gt;&lt;wsp:rsid wsp:val=&quot;006B67A5&quot;/&gt;&lt;wsp:rsid wsp:val=&quot;006B69B9&quot;/&gt;&lt;wsp:rsid wsp:val=&quot;006B6A63&quot;/&gt;&lt;wsp:rsid wsp:val=&quot;006B6C85&quot;/&gt;&lt;wsp:rsid wsp:val=&quot;006B6ECE&quot;/&gt;&lt;wsp:rsid wsp:val=&quot;006B6F30&quot;/&gt;&lt;wsp:rsid wsp:val=&quot;006B76FD&quot;/&gt;&lt;wsp:rsid wsp:val=&quot;006B7AD4&quot;/&gt;&lt;wsp:rsid wsp:val=&quot;006C00BF&quot;/&gt;&lt;wsp:rsid wsp:val=&quot;006C0191&quot;/&gt;&lt;wsp:rsid wsp:val=&quot;006C01B1&quot;/&gt;&lt;wsp:rsid wsp:val=&quot;006C05C4&quot;/&gt;&lt;wsp:rsid wsp:val=&quot;006C062C&quot;/&gt;&lt;wsp:rsid wsp:val=&quot;006C0771&quot;/&gt;&lt;wsp:rsid wsp:val=&quot;006C1095&quot;/&gt;&lt;wsp:rsid wsp:val=&quot;006C12C6&quot;/&gt;&lt;wsp:rsid wsp:val=&quot;006C1522&quot;/&gt;&lt;wsp:rsid wsp:val=&quot;006C1ECD&quot;/&gt;&lt;wsp:rsid wsp:val=&quot;006C20A0&quot;/&gt;&lt;wsp:rsid wsp:val=&quot;006C2549&quot;/&gt;&lt;wsp:rsid wsp:val=&quot;006C254F&quot;/&gt;&lt;wsp:rsid wsp:val=&quot;006C2893&quot;/&gt;&lt;wsp:rsid wsp:val=&quot;006C2AA7&quot;/&gt;&lt;wsp:rsid wsp:val=&quot;006C2BEC&quot;/&gt;&lt;wsp:rsid wsp:val=&quot;006C33CE&quot;/&gt;&lt;wsp:rsid wsp:val=&quot;006C357C&quot;/&gt;&lt;wsp:rsid wsp:val=&quot;006C361E&quot;/&gt;&lt;wsp:rsid wsp:val=&quot;006C3ED3&quot;/&gt;&lt;wsp:rsid wsp:val=&quot;006C5141&quot;/&gt;&lt;wsp:rsid wsp:val=&quot;006C5191&quot;/&gt;&lt;wsp:rsid wsp:val=&quot;006C5F7C&quot;/&gt;&lt;wsp:rsid wsp:val=&quot;006C6093&quot;/&gt;&lt;wsp:rsid wsp:val=&quot;006C669D&quot;/&gt;&lt;wsp:rsid wsp:val=&quot;006C6EC7&quot;/&gt;&lt;wsp:rsid wsp:val=&quot;006C77A2&quot;/&gt;&lt;wsp:rsid wsp:val=&quot;006C7ABE&quot;/&gt;&lt;wsp:rsid wsp:val=&quot;006C7C3B&quot;/&gt;&lt;wsp:rsid wsp:val=&quot;006D0013&quot;/&gt;&lt;wsp:rsid wsp:val=&quot;006D081C&quot;/&gt;&lt;wsp:rsid wsp:val=&quot;006D15EF&quot;/&gt;&lt;wsp:rsid wsp:val=&quot;006D1757&quot;/&gt;&lt;wsp:rsid wsp:val=&quot;006D1C73&quot;/&gt;&lt;wsp:rsid wsp:val=&quot;006D1E4A&quot;/&gt;&lt;wsp:rsid wsp:val=&quot;006D209C&quot;/&gt;&lt;wsp:rsid wsp:val=&quot;006D226C&quot;/&gt;&lt;wsp:rsid wsp:val=&quot;006D26AD&quot;/&gt;&lt;wsp:rsid wsp:val=&quot;006D2947&quot;/&gt;&lt;wsp:rsid wsp:val=&quot;006D2A72&quot;/&gt;&lt;wsp:rsid wsp:val=&quot;006D2A7F&quot;/&gt;&lt;wsp:rsid wsp:val=&quot;006D2B78&quot;/&gt;&lt;wsp:rsid wsp:val=&quot;006D2E52&quot;/&gt;&lt;wsp:rsid wsp:val=&quot;006D36E8&quot;/&gt;&lt;wsp:rsid wsp:val=&quot;006D3E7D&quot;/&gt;&lt;wsp:rsid wsp:val=&quot;006D3F95&quot;/&gt;&lt;wsp:rsid wsp:val=&quot;006D410B&quot;/&gt;&lt;wsp:rsid wsp:val=&quot;006D43AB&quot;/&gt;&lt;wsp:rsid wsp:val=&quot;006D4695&quot;/&gt;&lt;wsp:rsid wsp:val=&quot;006D4746&quot;/&gt;&lt;wsp:rsid wsp:val=&quot;006D54A3&quot;/&gt;&lt;wsp:rsid wsp:val=&quot;006D54E8&quot;/&gt;&lt;wsp:rsid wsp:val=&quot;006D636C&quot;/&gt;&lt;wsp:rsid wsp:val=&quot;006D63D7&quot;/&gt;&lt;wsp:rsid wsp:val=&quot;006D685E&quot;/&gt;&lt;wsp:rsid wsp:val=&quot;006D68DB&quot;/&gt;&lt;wsp:rsid wsp:val=&quot;006D6A1E&quot;/&gt;&lt;wsp:rsid wsp:val=&quot;006D6C69&quot;/&gt;&lt;wsp:rsid wsp:val=&quot;006D6D66&quot;/&gt;&lt;wsp:rsid wsp:val=&quot;006D6EB7&quot;/&gt;&lt;wsp:rsid wsp:val=&quot;006D7689&quot;/&gt;&lt;wsp:rsid wsp:val=&quot;006E0634&quot;/&gt;&lt;wsp:rsid wsp:val=&quot;006E086C&quot;/&gt;&lt;wsp:rsid wsp:val=&quot;006E180D&quot;/&gt;&lt;wsp:rsid wsp:val=&quot;006E18EA&quot;/&gt;&lt;wsp:rsid wsp:val=&quot;006E1DFB&quot;/&gt;&lt;wsp:rsid wsp:val=&quot;006E1E8E&quot;/&gt;&lt;wsp:rsid wsp:val=&quot;006E26A7&quot;/&gt;&lt;wsp:rsid wsp:val=&quot;006E2832&quot;/&gt;&lt;wsp:rsid wsp:val=&quot;006E2EA0&quot;/&gt;&lt;wsp:rsid wsp:val=&quot;006E311D&quot;/&gt;&lt;wsp:rsid wsp:val=&quot;006E320C&quot;/&gt;&lt;wsp:rsid wsp:val=&quot;006E3245&quot;/&gt;&lt;wsp:rsid wsp:val=&quot;006E33A2&quot;/&gt;&lt;wsp:rsid wsp:val=&quot;006E35DA&quot;/&gt;&lt;wsp:rsid wsp:val=&quot;006E371D&quot;/&gt;&lt;wsp:rsid wsp:val=&quot;006E39D3&quot;/&gt;&lt;wsp:rsid wsp:val=&quot;006E3A49&quot;/&gt;&lt;wsp:rsid wsp:val=&quot;006E3C78&quot;/&gt;&lt;wsp:rsid wsp:val=&quot;006E41FB&quot;/&gt;&lt;wsp:rsid wsp:val=&quot;006E4295&quot;/&gt;&lt;wsp:rsid wsp:val=&quot;006E439A&quot;/&gt;&lt;wsp:rsid wsp:val=&quot;006E4844&quot;/&gt;&lt;wsp:rsid wsp:val=&quot;006E4B63&quot;/&gt;&lt;wsp:rsid wsp:val=&quot;006E4CD3&quot;/&gt;&lt;wsp:rsid wsp:val=&quot;006E4F57&quot;/&gt;&lt;wsp:rsid wsp:val=&quot;006E521E&quot;/&gt;&lt;wsp:rsid wsp:val=&quot;006E54C7&quot;/&gt;&lt;wsp:rsid wsp:val=&quot;006E58C0&quot;/&gt;&lt;wsp:rsid wsp:val=&quot;006E5A2F&quot;/&gt;&lt;wsp:rsid wsp:val=&quot;006E5A89&quot;/&gt;&lt;wsp:rsid wsp:val=&quot;006E5C7C&quot;/&gt;&lt;wsp:rsid wsp:val=&quot;006E5D25&quot;/&gt;&lt;wsp:rsid wsp:val=&quot;006E5D9B&quot;/&gt;&lt;wsp:rsid wsp:val=&quot;006E6D4F&quot;/&gt;&lt;wsp:rsid wsp:val=&quot;006E6D51&quot;/&gt;&lt;wsp:rsid wsp:val=&quot;006E6E20&quot;/&gt;&lt;wsp:rsid wsp:val=&quot;006E6E2A&quot;/&gt;&lt;wsp:rsid wsp:val=&quot;006E7567&quot;/&gt;&lt;wsp:rsid wsp:val=&quot;006F00AE&quot;/&gt;&lt;wsp:rsid wsp:val=&quot;006F07E7&quot;/&gt;&lt;wsp:rsid wsp:val=&quot;006F07E8&quot;/&gt;&lt;wsp:rsid wsp:val=&quot;006F0B29&quot;/&gt;&lt;wsp:rsid wsp:val=&quot;006F0BB2&quot;/&gt;&lt;wsp:rsid wsp:val=&quot;006F1257&quot;/&gt;&lt;wsp:rsid wsp:val=&quot;006F130F&quot;/&gt;&lt;wsp:rsid wsp:val=&quot;006F1669&quot;/&gt;&lt;wsp:rsid wsp:val=&quot;006F1828&quot;/&gt;&lt;wsp:rsid wsp:val=&quot;006F18DE&quot;/&gt;&lt;wsp:rsid wsp:val=&quot;006F1C57&quot;/&gt;&lt;wsp:rsid wsp:val=&quot;006F1E5F&quot;/&gt;&lt;wsp:rsid wsp:val=&quot;006F2839&quot;/&gt;&lt;wsp:rsid wsp:val=&quot;006F291C&quot;/&gt;&lt;wsp:rsid wsp:val=&quot;006F2D5F&quot;/&gt;&lt;wsp:rsid wsp:val=&quot;006F3637&quot;/&gt;&lt;wsp:rsid wsp:val=&quot;006F4419&quot;/&gt;&lt;wsp:rsid wsp:val=&quot;006F4495&quot;/&gt;&lt;wsp:rsid wsp:val=&quot;006F4E97&quot;/&gt;&lt;wsp:rsid wsp:val=&quot;006F5710&quot;/&gt;&lt;wsp:rsid wsp:val=&quot;006F5796&quot;/&gt;&lt;wsp:rsid wsp:val=&quot;006F5A23&quot;/&gt;&lt;wsp:rsid wsp:val=&quot;006F5D32&quot;/&gt;&lt;wsp:rsid wsp:val=&quot;006F5E6B&quot;/&gt;&lt;wsp:rsid wsp:val=&quot;006F5F7E&quot;/&gt;&lt;wsp:rsid wsp:val=&quot;006F61A7&quot;/&gt;&lt;wsp:rsid wsp:val=&quot;006F66DD&quot;/&gt;&lt;wsp:rsid wsp:val=&quot;006F6F6C&quot;/&gt;&lt;wsp:rsid wsp:val=&quot;006F74DE&quot;/&gt;&lt;wsp:rsid wsp:val=&quot;006F769C&quot;/&gt;&lt;wsp:rsid wsp:val=&quot;006F7778&quot;/&gt;&lt;wsp:rsid wsp:val=&quot;006F7CA7&quot;/&gt;&lt;wsp:rsid wsp:val=&quot;00700907&quot;/&gt;&lt;wsp:rsid wsp:val=&quot;00700C00&quot;/&gt;&lt;wsp:rsid wsp:val=&quot;00700D1A&quot;/&gt;&lt;wsp:rsid wsp:val=&quot;007013F4&quot;/&gt;&lt;wsp:rsid wsp:val=&quot;00701714&quot;/&gt;&lt;wsp:rsid wsp:val=&quot;007017F4&quot;/&gt;&lt;wsp:rsid wsp:val=&quot;00701BD4&quot;/&gt;&lt;wsp:rsid wsp:val=&quot;00701E52&quot;/&gt;&lt;wsp:rsid wsp:val=&quot;007020AC&quot;/&gt;&lt;wsp:rsid wsp:val=&quot;007027F1&quot;/&gt;&lt;wsp:rsid wsp:val=&quot;00702D57&quot;/&gt;&lt;wsp:rsid wsp:val=&quot;00702EDD&quot;/&gt;&lt;wsp:rsid wsp:val=&quot;00703226&quot;/&gt;&lt;wsp:rsid wsp:val=&quot;00703705&quot;/&gt;&lt;wsp:rsid wsp:val=&quot;0070387D&quot;/&gt;&lt;wsp:rsid wsp:val=&quot;00703A1B&quot;/&gt;&lt;wsp:rsid wsp:val=&quot;0070411E&quot;/&gt;&lt;wsp:rsid wsp:val=&quot;007042E0&quot;/&gt;&lt;wsp:rsid wsp:val=&quot;007044B9&quot;/&gt;&lt;wsp:rsid wsp:val=&quot;00704D54&quot;/&gt;&lt;wsp:rsid wsp:val=&quot;00705021&quot;/&gt;&lt;wsp:rsid wsp:val=&quot;007051F7&quot;/&gt;&lt;wsp:rsid wsp:val=&quot;00705341&quot;/&gt;&lt;wsp:rsid wsp:val=&quot;0070545F&quot;/&gt;&lt;wsp:rsid wsp:val=&quot;00705FC5&quot;/&gt;&lt;wsp:rsid wsp:val=&quot;00705FD4&quot;/&gt;&lt;wsp:rsid wsp:val=&quot;0070670F&quot;/&gt;&lt;wsp:rsid wsp:val=&quot;00707129&quot;/&gt;&lt;wsp:rsid wsp:val=&quot;007075A4&quot;/&gt;&lt;wsp:rsid wsp:val=&quot;00707623&quot;/&gt;&lt;wsp:rsid wsp:val=&quot;00707C79&quot;/&gt;&lt;wsp:rsid wsp:val=&quot;00707E25&quot;/&gt;&lt;wsp:rsid wsp:val=&quot;00707F4F&quot;/&gt;&lt;wsp:rsid wsp:val=&quot;00710A6A&quot;/&gt;&lt;wsp:rsid wsp:val=&quot;00710BE7&quot;/&gt;&lt;wsp:rsid wsp:val=&quot;00711A58&quot;/&gt;&lt;wsp:rsid wsp:val=&quot;00711BB1&quot;/&gt;&lt;wsp:rsid wsp:val=&quot;00712131&quot;/&gt;&lt;wsp:rsid wsp:val=&quot;007125C5&quot;/&gt;&lt;wsp:rsid wsp:val=&quot;007126F3&quot;/&gt;&lt;wsp:rsid wsp:val=&quot;00712CF5&quot;/&gt;&lt;wsp:rsid wsp:val=&quot;007133A4&quot;/&gt;&lt;wsp:rsid wsp:val=&quot;00713762&quot;/&gt;&lt;wsp:rsid wsp:val=&quot;00713A6C&quot;/&gt;&lt;wsp:rsid wsp:val=&quot;00714097&quot;/&gt;&lt;wsp:rsid wsp:val=&quot;007144E2&quot;/&gt;&lt;wsp:rsid wsp:val=&quot;007145A0&quot;/&gt;&lt;wsp:rsid wsp:val=&quot;00714960&quot;/&gt;&lt;wsp:rsid wsp:val=&quot;00714B14&quot;/&gt;&lt;wsp:rsid wsp:val=&quot;00714B81&quot;/&gt;&lt;wsp:rsid wsp:val=&quot;00714BC7&quot;/&gt;&lt;wsp:rsid wsp:val=&quot;00714D74&quot;/&gt;&lt;wsp:rsid wsp:val=&quot;007153E9&quot;/&gt;&lt;wsp:rsid wsp:val=&quot;007156FA&quot;/&gt;&lt;wsp:rsid wsp:val=&quot;007159BC&quot;/&gt;&lt;wsp:rsid wsp:val=&quot;007159D5&quot;/&gt;&lt;wsp:rsid wsp:val=&quot;00715DCF&quot;/&gt;&lt;wsp:rsid wsp:val=&quot;00715E2C&quot;/&gt;&lt;wsp:rsid wsp:val=&quot;00715E71&quot;/&gt;&lt;wsp:rsid wsp:val=&quot;00716358&quot;/&gt;&lt;wsp:rsid wsp:val=&quot;00716B47&quot;/&gt;&lt;wsp:rsid wsp:val=&quot;00716E9F&quot;/&gt;&lt;wsp:rsid wsp:val=&quot;007170C2&quot;/&gt;&lt;wsp:rsid wsp:val=&quot;0071733E&quot;/&gt;&lt;wsp:rsid wsp:val=&quot;00717779&quot;/&gt;&lt;wsp:rsid wsp:val=&quot;00717848&quot;/&gt;&lt;wsp:rsid wsp:val=&quot;00717D5F&quot;/&gt;&lt;wsp:rsid wsp:val=&quot;00717EFA&quot;/&gt;&lt;wsp:rsid wsp:val=&quot;00720301&quot;/&gt;&lt;wsp:rsid wsp:val=&quot;0072051C&quot;/&gt;&lt;wsp:rsid wsp:val=&quot;00720AAA&quot;/&gt;&lt;wsp:rsid wsp:val=&quot;00720D20&quot;/&gt;&lt;wsp:rsid wsp:val=&quot;00720E75&quot;/&gt;&lt;wsp:rsid wsp:val=&quot;00720ECB&quot;/&gt;&lt;wsp:rsid wsp:val=&quot;00720F71&quot;/&gt;&lt;wsp:rsid wsp:val=&quot;00721566&quot;/&gt;&lt;wsp:rsid wsp:val=&quot;00721717&quot;/&gt;&lt;wsp:rsid wsp:val=&quot;007218D9&quot;/&gt;&lt;wsp:rsid wsp:val=&quot;00721DC7&quot;/&gt;&lt;wsp:rsid wsp:val=&quot;0072220F&quot;/&gt;&lt;wsp:rsid wsp:val=&quot;00722AB5&quot;/&gt;&lt;wsp:rsid wsp:val=&quot;00722BBE&quot;/&gt;&lt;wsp:rsid wsp:val=&quot;00722C32&quot;/&gt;&lt;wsp:rsid wsp:val=&quot;00722CA8&quot;/&gt;&lt;wsp:rsid wsp:val=&quot;00723034&quot;/&gt;&lt;wsp:rsid wsp:val=&quot;007231FF&quot;/&gt;&lt;wsp:rsid wsp:val=&quot;00723360&quot;/&gt;&lt;wsp:rsid wsp:val=&quot;007234D9&quot;/&gt;&lt;wsp:rsid wsp:val=&quot;00723698&quot;/&gt;&lt;wsp:rsid wsp:val=&quot;00723858&quot;/&gt;&lt;wsp:rsid wsp:val=&quot;00723DB1&quot;/&gt;&lt;wsp:rsid wsp:val=&quot;00724343&quot;/&gt;&lt;wsp:rsid wsp:val=&quot;007247BE&quot;/&gt;&lt;wsp:rsid wsp:val=&quot;007248AD&quot;/&gt;&lt;wsp:rsid wsp:val=&quot;00724F79&quot;/&gt;&lt;wsp:rsid wsp:val=&quot;00725728&quot;/&gt;&lt;wsp:rsid wsp:val=&quot;007258DE&quot;/&gt;&lt;wsp:rsid wsp:val=&quot;00725C8F&quot;/&gt;&lt;wsp:rsid wsp:val=&quot;00725CB7&quot;/&gt;&lt;wsp:rsid wsp:val=&quot;00726540&quot;/&gt;&lt;wsp:rsid wsp:val=&quot;00726643&quot;/&gt;&lt;wsp:rsid wsp:val=&quot;00726775&quot;/&gt;&lt;wsp:rsid wsp:val=&quot;00726832&quot;/&gt;&lt;wsp:rsid wsp:val=&quot;00726C96&quot;/&gt;&lt;wsp:rsid wsp:val=&quot;00726DEE&quot;/&gt;&lt;wsp:rsid wsp:val=&quot;00726F22&quot;/&gt;&lt;wsp:rsid wsp:val=&quot;0072712D&quot;/&gt;&lt;wsp:rsid wsp:val=&quot;007276D4&quot;/&gt;&lt;wsp:rsid wsp:val=&quot;00727975&quot;/&gt;&lt;wsp:rsid wsp:val=&quot;00727D72&quot;/&gt;&lt;wsp:rsid wsp:val=&quot;00727E44&quot;/&gt;&lt;wsp:rsid wsp:val=&quot;0073045A&quot;/&gt;&lt;wsp:rsid wsp:val=&quot;00730487&quot;/&gt;&lt;wsp:rsid wsp:val=&quot;00730527&quot;/&gt;&lt;wsp:rsid wsp:val=&quot;00730CE2&quot;/&gt;&lt;wsp:rsid wsp:val=&quot;00731069&quot;/&gt;&lt;wsp:rsid wsp:val=&quot;0073158E&quot;/&gt;&lt;wsp:rsid wsp:val=&quot;007316AC&quot;/&gt;&lt;wsp:rsid wsp:val=&quot;00731AB7&quot;/&gt;&lt;wsp:rsid wsp:val=&quot;00731DBA&quot;/&gt;&lt;wsp:rsid wsp:val=&quot;00732375&quot;/&gt;&lt;wsp:rsid wsp:val=&quot;00732535&quot;/&gt;&lt;wsp:rsid wsp:val=&quot;007328C7&quot;/&gt;&lt;wsp:rsid wsp:val=&quot;00732A0B&quot;/&gt;&lt;wsp:rsid wsp:val=&quot;00732AA4&quot;/&gt;&lt;wsp:rsid wsp:val=&quot;00732D14&quot;/&gt;&lt;wsp:rsid wsp:val=&quot;00732ED4&quot;/&gt;&lt;wsp:rsid wsp:val=&quot;007333B4&quot;/&gt;&lt;wsp:rsid wsp:val=&quot;0073364D&quot;/&gt;&lt;wsp:rsid wsp:val=&quot;007336CF&quot;/&gt;&lt;wsp:rsid wsp:val=&quot;00733801&quot;/&gt;&lt;wsp:rsid wsp:val=&quot;00733804&quot;/&gt;&lt;wsp:rsid wsp:val=&quot;00733C32&quot;/&gt;&lt;wsp:rsid wsp:val=&quot;00733D0E&quot;/&gt;&lt;wsp:rsid wsp:val=&quot;00734556&quot;/&gt;&lt;wsp:rsid wsp:val=&quot;0073475A&quot;/&gt;&lt;wsp:rsid wsp:val=&quot;0073476E&quot;/&gt;&lt;wsp:rsid wsp:val=&quot;00734850&quot;/&gt;&lt;wsp:rsid wsp:val=&quot;00734ADF&quot;/&gt;&lt;wsp:rsid wsp:val=&quot;00734E89&quot;/&gt;&lt;wsp:rsid wsp:val=&quot;00734F23&quot;/&gt;&lt;wsp:rsid wsp:val=&quot;0073530E&quot;/&gt;&lt;wsp:rsid wsp:val=&quot;00735DB4&quot;/&gt;&lt;wsp:rsid wsp:val=&quot;00735DE3&quot;/&gt;&lt;wsp:rsid wsp:val=&quot;00736038&quot;/&gt;&lt;wsp:rsid wsp:val=&quot;007362F7&quot;/&gt;&lt;wsp:rsid wsp:val=&quot;0073654D&quot;/&gt;&lt;wsp:rsid wsp:val=&quot;007365A5&quot;/&gt;&lt;wsp:rsid wsp:val=&quot;007369BB&quot;/&gt;&lt;wsp:rsid wsp:val=&quot;007369C1&quot;/&gt;&lt;wsp:rsid wsp:val=&quot;007369D0&quot;/&gt;&lt;wsp:rsid wsp:val=&quot;00736A59&quot;/&gt;&lt;wsp:rsid wsp:val=&quot;0073718A&quot;/&gt;&lt;wsp:rsid wsp:val=&quot;007372BD&quot;/&gt;&lt;wsp:rsid wsp:val=&quot;007372F8&quot;/&gt;&lt;wsp:rsid wsp:val=&quot;007375D7&quot;/&gt;&lt;wsp:rsid wsp:val=&quot;007378B2&quot;/&gt;&lt;wsp:rsid wsp:val=&quot;007378FC&quot;/&gt;&lt;wsp:rsid wsp:val=&quot;00737A1C&quot;/&gt;&lt;wsp:rsid wsp:val=&quot;00737D10&quot;/&gt;&lt;wsp:rsid wsp:val=&quot;00737E00&quot;/&gt;&lt;wsp:rsid wsp:val=&quot;0074009A&quot;/&gt;&lt;wsp:rsid wsp:val=&quot;007401BD&quot;/&gt;&lt;wsp:rsid wsp:val=&quot;00740293&quot;/&gt;&lt;wsp:rsid wsp:val=&quot;00740509&quot;/&gt;&lt;wsp:rsid wsp:val=&quot;00740A70&quot;/&gt;&lt;wsp:rsid wsp:val=&quot;00740CF5&quot;/&gt;&lt;wsp:rsid wsp:val=&quot;007410A8&quot;/&gt;&lt;wsp:rsid wsp:val=&quot;0074117D&quot;/&gt;&lt;wsp:rsid wsp:val=&quot;0074170F&quot;/&gt;&lt;wsp:rsid wsp:val=&quot;007423C7&quot;/&gt;&lt;wsp:rsid wsp:val=&quot;00742573&quot;/&gt;&lt;wsp:rsid wsp:val=&quot;00742AE6&quot;/&gt;&lt;wsp:rsid wsp:val=&quot;00742F23&quot;/&gt;&lt;wsp:rsid wsp:val=&quot;00743205&quot;/&gt;&lt;wsp:rsid wsp:val=&quot;007432C3&quot;/&gt;&lt;wsp:rsid wsp:val=&quot;007436C2&quot;/&gt;&lt;wsp:rsid wsp:val=&quot;00743C1C&quot;/&gt;&lt;wsp:rsid wsp:val=&quot;00744224&quot;/&gt;&lt;wsp:rsid wsp:val=&quot;0074458F&quot;/&gt;&lt;wsp:rsid wsp:val=&quot;00744599&quot;/&gt;&lt;wsp:rsid wsp:val=&quot;0074542A&quot;/&gt;&lt;wsp:rsid wsp:val=&quot;007456B3&quot;/&gt;&lt;wsp:rsid wsp:val=&quot;00745A90&quot;/&gt;&lt;wsp:rsid wsp:val=&quot;00745BB5&quot;/&gt;&lt;wsp:rsid wsp:val=&quot;00745C45&quot;/&gt;&lt;wsp:rsid wsp:val=&quot;00745E43&quot;/&gt;&lt;wsp:rsid wsp:val=&quot;00745E84&quot;/&gt;&lt;wsp:rsid wsp:val=&quot;0074606C&quot;/&gt;&lt;wsp:rsid wsp:val=&quot;00746235&quot;/&gt;&lt;wsp:rsid wsp:val=&quot;007462D6&quot;/&gt;&lt;wsp:rsid wsp:val=&quot;0074641C&quot;/&gt;&lt;wsp:rsid wsp:val=&quot;00746441&quot;/&gt;&lt;wsp:rsid wsp:val=&quot;00746896&quot;/&gt;&lt;wsp:rsid wsp:val=&quot;0074697A&quot;/&gt;&lt;wsp:rsid wsp:val=&quot;00746AD9&quot;/&gt;&lt;wsp:rsid wsp:val=&quot;00747900&quot;/&gt;&lt;wsp:rsid wsp:val=&quot;00747BCE&quot;/&gt;&lt;wsp:rsid wsp:val=&quot;00747E96&quot;/&gt;&lt;wsp:rsid wsp:val=&quot;0075014A&quot;/&gt;&lt;wsp:rsid wsp:val=&quot;007508DC&quot;/&gt;&lt;wsp:rsid wsp:val=&quot;0075112E&quot;/&gt;&lt;wsp:rsid wsp:val=&quot;00751224&quot;/&gt;&lt;wsp:rsid wsp:val=&quot;007512C6&quot;/&gt;&lt;wsp:rsid wsp:val=&quot;00751394&quot;/&gt;&lt;wsp:rsid wsp:val=&quot;007513EF&quot;/&gt;&lt;wsp:rsid wsp:val=&quot;00751753&quot;/&gt;&lt;wsp:rsid wsp:val=&quot;00751B06&quot;/&gt;&lt;wsp:rsid wsp:val=&quot;00751C38&quot;/&gt;&lt;wsp:rsid wsp:val=&quot;00752BAE&quot;/&gt;&lt;wsp:rsid wsp:val=&quot;00752D85&quot;/&gt;&lt;wsp:rsid wsp:val=&quot;0075302E&quot;/&gt;&lt;wsp:rsid wsp:val=&quot;007536D0&quot;/&gt;&lt;wsp:rsid wsp:val=&quot;00753B06&quot;/&gt;&lt;wsp:rsid wsp:val=&quot;00753B30&quot;/&gt;&lt;wsp:rsid wsp:val=&quot;00753F1B&quot;/&gt;&lt;wsp:rsid wsp:val=&quot;00754243&quot;/&gt;&lt;wsp:rsid wsp:val=&quot;00754335&quot;/&gt;&lt;wsp:rsid wsp:val=&quot;00754F43&quot;/&gt;&lt;wsp:rsid wsp:val=&quot;00755225&quot;/&gt;&lt;wsp:rsid wsp:val=&quot;007554A3&quot;/&gt;&lt;wsp:rsid wsp:val=&quot;00755B84&quot;/&gt;&lt;wsp:rsid wsp:val=&quot;00755D24&quot;/&gt;&lt;wsp:rsid wsp:val=&quot;00756554&quot;/&gt;&lt;wsp:rsid wsp:val=&quot;00756F92&quot;/&gt;&lt;wsp:rsid wsp:val=&quot;00757024&quot;/&gt;&lt;wsp:rsid wsp:val=&quot;007571C5&quot;/&gt;&lt;wsp:rsid wsp:val=&quot;00757301&quot;/&gt;&lt;wsp:rsid wsp:val=&quot;0075733E&quot;/&gt;&lt;wsp:rsid wsp:val=&quot;00757D6C&quot;/&gt;&lt;wsp:rsid wsp:val=&quot;00757E2A&quot;/&gt;&lt;wsp:rsid wsp:val=&quot;00757E50&quot;/&gt;&lt;wsp:rsid wsp:val=&quot;0076005D&quot;/&gt;&lt;wsp:rsid wsp:val=&quot;00760420&quot;/&gt;&lt;wsp:rsid wsp:val=&quot;00760BD6&quot;/&gt;&lt;wsp:rsid wsp:val=&quot;00760BE7&quot;/&gt;&lt;wsp:rsid wsp:val=&quot;00760CE4&quot;/&gt;&lt;wsp:rsid wsp:val=&quot;00760EDD&quot;/&gt;&lt;wsp:rsid wsp:val=&quot;00761063&quot;/&gt;&lt;wsp:rsid wsp:val=&quot;00761912&quot;/&gt;&lt;wsp:rsid wsp:val=&quot;00761B07&quot;/&gt;&lt;wsp:rsid wsp:val=&quot;00761F1D&quot;/&gt;&lt;wsp:rsid wsp:val=&quot;00761FED&quot;/&gt;&lt;wsp:rsid wsp:val=&quot;0076227B&quot;/&gt;&lt;wsp:rsid wsp:val=&quot;00762318&quot;/&gt;&lt;wsp:rsid wsp:val=&quot;007623C9&quot;/&gt;&lt;wsp:rsid wsp:val=&quot;0076240E&quot;/&gt;&lt;wsp:rsid wsp:val=&quot;00762612&quot;/&gt;&lt;wsp:rsid wsp:val=&quot;00762CA7&quot;/&gt;&lt;wsp:rsid wsp:val=&quot;00762CF6&quot;/&gt;&lt;wsp:rsid wsp:val=&quot;00762ED6&quot;/&gt;&lt;wsp:rsid wsp:val=&quot;00763055&quot;/&gt;&lt;wsp:rsid wsp:val=&quot;00763252&quot;/&gt;&lt;wsp:rsid wsp:val=&quot;00763A2C&quot;/&gt;&lt;wsp:rsid wsp:val=&quot;00763B3C&quot;/&gt;&lt;wsp:rsid wsp:val=&quot;00763BC7&quot;/&gt;&lt;wsp:rsid wsp:val=&quot;00763D97&quot;/&gt;&lt;wsp:rsid wsp:val=&quot;00763F9F&quot;/&gt;&lt;wsp:rsid wsp:val=&quot;0076423F&quot;/&gt;&lt;wsp:rsid wsp:val=&quot;007643C0&quot;/&gt;&lt;wsp:rsid wsp:val=&quot;007643C5&quot;/&gt;&lt;wsp:rsid wsp:val=&quot;007646D3&quot;/&gt;&lt;wsp:rsid wsp:val=&quot;00764701&quot;/&gt;&lt;wsp:rsid wsp:val=&quot;00764862&quot;/&gt;&lt;wsp:rsid wsp:val=&quot;00764A8F&quot;/&gt;&lt;wsp:rsid wsp:val=&quot;00764B34&quot;/&gt;&lt;wsp:rsid wsp:val=&quot;00764C33&quot;/&gt;&lt;wsp:rsid wsp:val=&quot;00764D51&quot;/&gt;&lt;wsp:rsid wsp:val=&quot;00764D91&quot;/&gt;&lt;wsp:rsid wsp:val=&quot;00764DD5&quot;/&gt;&lt;wsp:rsid wsp:val=&quot;00764E3F&quot;/&gt;&lt;wsp:rsid wsp:val=&quot;00764FCE&quot;/&gt;&lt;wsp:rsid wsp:val=&quot;0076556F&quot;/&gt;&lt;wsp:rsid wsp:val=&quot;00765719&quot;/&gt;&lt;wsp:rsid wsp:val=&quot;00765832&quot;/&gt;&lt;wsp:rsid wsp:val=&quot;0076596A&quot;/&gt;&lt;wsp:rsid wsp:val=&quot;00765DBC&quot;/&gt;&lt;wsp:rsid wsp:val=&quot;0076670C&quot;/&gt;&lt;wsp:rsid wsp:val=&quot;00766EFE&quot;/&gt;&lt;wsp:rsid wsp:val=&quot;00767339&quot;/&gt;&lt;wsp:rsid wsp:val=&quot;00767E15&quot;/&gt;&lt;wsp:rsid wsp:val=&quot;00767EF4&quot;/&gt;&lt;wsp:rsid wsp:val=&quot;0077003D&quot;/&gt;&lt;wsp:rsid wsp:val=&quot;007708BC&quot;/&gt;&lt;wsp:rsid wsp:val=&quot;007712D3&quot;/&gt;&lt;wsp:rsid wsp:val=&quot;007713CB&quot;/&gt;&lt;wsp:rsid wsp:val=&quot;0077174E&quot;/&gt;&lt;wsp:rsid wsp:val=&quot;00771AE3&quot;/&gt;&lt;wsp:rsid wsp:val=&quot;00771B46&quot;/&gt;&lt;wsp:rsid wsp:val=&quot;0077205B&quot;/&gt;&lt;wsp:rsid wsp:val=&quot;007722DE&quot;/&gt;&lt;wsp:rsid wsp:val=&quot;00772770&quot;/&gt;&lt;wsp:rsid wsp:val=&quot;00772A5D&quot;/&gt;&lt;wsp:rsid wsp:val=&quot;00772B4D&quot;/&gt;&lt;wsp:rsid wsp:val=&quot;00772EF5&quot;/&gt;&lt;wsp:rsid wsp:val=&quot;0077325B&quot;/&gt;&lt;wsp:rsid wsp:val=&quot;007733FF&quot;/&gt;&lt;wsp:rsid wsp:val=&quot;0077341D&quot;/&gt;&lt;wsp:rsid wsp:val=&quot;007735EF&quot;/&gt;&lt;wsp:rsid wsp:val=&quot;0077368F&quot;/&gt;&lt;wsp:rsid wsp:val=&quot;007736B1&quot;/&gt;&lt;wsp:rsid wsp:val=&quot;007737C1&quot;/&gt;&lt;wsp:rsid wsp:val=&quot;00773CB5&quot;/&gt;&lt;wsp:rsid wsp:val=&quot;00773EE9&quot;/&gt;&lt;wsp:rsid wsp:val=&quot;00773F92&quot;/&gt;&lt;wsp:rsid wsp:val=&quot;00773FB6&quot;/&gt;&lt;wsp:rsid wsp:val=&quot;0077401E&quot;/&gt;&lt;wsp:rsid wsp:val=&quot;00774436&quot;/&gt;&lt;wsp:rsid wsp:val=&quot;00774BC0&quot;/&gt;&lt;wsp:rsid wsp:val=&quot;00774D56&quot;/&gt;&lt;wsp:rsid wsp:val=&quot;007750CC&quot;/&gt;&lt;wsp:rsid wsp:val=&quot;0077534F&quot;/&gt;&lt;wsp:rsid wsp:val=&quot;00775784&quot;/&gt;&lt;wsp:rsid wsp:val=&quot;007758D1&quot;/&gt;&lt;wsp:rsid wsp:val=&quot;00775A32&quot;/&gt;&lt;wsp:rsid wsp:val=&quot;00775AAA&quot;/&gt;&lt;wsp:rsid wsp:val=&quot;00775E17&quot;/&gt;&lt;wsp:rsid wsp:val=&quot;00775FE1&quot;/&gt;&lt;wsp:rsid wsp:val=&quot;00776037&quot;/&gt;&lt;wsp:rsid wsp:val=&quot;00776370&quot;/&gt;&lt;wsp:rsid wsp:val=&quot;007766CF&quot;/&gt;&lt;wsp:rsid wsp:val=&quot;00776D5E&quot;/&gt;&lt;wsp:rsid wsp:val=&quot;00776D66&quot;/&gt;&lt;wsp:rsid wsp:val=&quot;00777421&quot;/&gt;&lt;wsp:rsid wsp:val=&quot;007777D9&quot;/&gt;&lt;wsp:rsid wsp:val=&quot;007777EA&quot;/&gt;&lt;wsp:rsid wsp:val=&quot;007801B0&quot;/&gt;&lt;wsp:rsid wsp:val=&quot;007803DE&quot;/&gt;&lt;wsp:rsid wsp:val=&quot;00780725&quot;/&gt;&lt;wsp:rsid wsp:val=&quot;00780C90&quot;/&gt;&lt;wsp:rsid wsp:val=&quot;00780F45&quot;/&gt;&lt;wsp:rsid wsp:val=&quot;00780F93&quot;/&gt;&lt;wsp:rsid wsp:val=&quot;00781180&quot;/&gt;&lt;wsp:rsid wsp:val=&quot;007812D4&quot;/&gt;&lt;wsp:rsid wsp:val=&quot;0078134A&quot;/&gt;&lt;wsp:rsid wsp:val=&quot;00781E85&quot;/&gt;&lt;wsp:rsid wsp:val=&quot;007822F1&quot;/&gt;&lt;wsp:rsid wsp:val=&quot;007825AC&quot;/&gt;&lt;wsp:rsid wsp:val=&quot;0078282E&quot;/&gt;&lt;wsp:rsid wsp:val=&quot;0078289F&quot;/&gt;&lt;wsp:rsid wsp:val=&quot;00782E11&quot;/&gt;&lt;wsp:rsid wsp:val=&quot;0078331E&quot;/&gt;&lt;wsp:rsid wsp:val=&quot;00783528&quot;/&gt;&lt;wsp:rsid wsp:val=&quot;0078376F&quot;/&gt;&lt;wsp:rsid wsp:val=&quot;007839B8&quot;/&gt;&lt;wsp:rsid wsp:val=&quot;007847FD&quot;/&gt;&lt;wsp:rsid wsp:val=&quot;0078487F&quot;/&gt;&lt;wsp:rsid wsp:val=&quot;00784AAE&quot;/&gt;&lt;wsp:rsid wsp:val=&quot;007850AF&quot;/&gt;&lt;wsp:rsid wsp:val=&quot;0078552C&quot;/&gt;&lt;wsp:rsid wsp:val=&quot;00785862&quot;/&gt;&lt;wsp:rsid wsp:val=&quot;00785AA9&quot;/&gt;&lt;wsp:rsid wsp:val=&quot;00785AD3&quot;/&gt;&lt;wsp:rsid wsp:val=&quot;00785DA7&quot;/&gt;&lt;wsp:rsid wsp:val=&quot;00785F57&quot;/&gt;&lt;wsp:rsid wsp:val=&quot;00786231&quot;/&gt;&lt;wsp:rsid wsp:val=&quot;00786707&quot;/&gt;&lt;wsp:rsid wsp:val=&quot;00786A04&quot;/&gt;&lt;wsp:rsid wsp:val=&quot;00786BB2&quot;/&gt;&lt;wsp:rsid wsp:val=&quot;00787174&quot;/&gt;&lt;wsp:rsid wsp:val=&quot;007872C0&quot;/&gt;&lt;wsp:rsid wsp:val=&quot;00787318&quot;/&gt;&lt;wsp:rsid wsp:val=&quot;00787440&quot;/&gt;&lt;wsp:rsid wsp:val=&quot;00787935&quot;/&gt;&lt;wsp:rsid wsp:val=&quot;00787A5A&quot;/&gt;&lt;wsp:rsid wsp:val=&quot;00787E07&quot;/&gt;&lt;wsp:rsid wsp:val=&quot;007903D7&quot;/&gt;&lt;wsp:rsid wsp:val=&quot;007907DA&quot;/&gt;&lt;wsp:rsid wsp:val=&quot;00790922&quot;/&gt;&lt;wsp:rsid wsp:val=&quot;00790AD6&quot;/&gt;&lt;wsp:rsid wsp:val=&quot;00790B02&quot;/&gt;&lt;wsp:rsid wsp:val=&quot;00790E0B&quot;/&gt;&lt;wsp:rsid wsp:val=&quot;00791069&quot;/&gt;&lt;wsp:rsid wsp:val=&quot;007922A2&quot;/&gt;&lt;wsp:rsid wsp:val=&quot;00792975&quot;/&gt;&lt;wsp:rsid wsp:val=&quot;00792A32&quot;/&gt;&lt;wsp:rsid wsp:val=&quot;00792BE9&quot;/&gt;&lt;wsp:rsid wsp:val=&quot;00792C66&quot;/&gt;&lt;wsp:rsid wsp:val=&quot;00792F7E&quot;/&gt;&lt;wsp:rsid wsp:val=&quot;00792FEE&quot;/&gt;&lt;wsp:rsid wsp:val=&quot;0079373C&quot;/&gt;&lt;wsp:rsid wsp:val=&quot;00793773&quot;/&gt;&lt;wsp:rsid wsp:val=&quot;00793DA9&quot;/&gt;&lt;wsp:rsid wsp:val=&quot;00794559&quot;/&gt;&lt;wsp:rsid wsp:val=&quot;0079487B&quot;/&gt;&lt;wsp:rsid wsp:val=&quot;00794BC0&quot;/&gt;&lt;wsp:rsid wsp:val=&quot;00794BEC&quot;/&gt;&lt;wsp:rsid wsp:val=&quot;00794EF8&quot;/&gt;&lt;wsp:rsid wsp:val=&quot;00795215&quot;/&gt;&lt;wsp:rsid wsp:val=&quot;0079539F&quot;/&gt;&lt;wsp:rsid wsp:val=&quot;00795433&quot;/&gt;&lt;wsp:rsid wsp:val=&quot;0079573F&quot;/&gt;&lt;wsp:rsid wsp:val=&quot;00795EF8&quot;/&gt;&lt;wsp:rsid wsp:val=&quot;0079662D&quot;/&gt;&lt;wsp:rsid wsp:val=&quot;00796954&quot;/&gt;&lt;wsp:rsid wsp:val=&quot;007969A1&quot;/&gt;&lt;wsp:rsid wsp:val=&quot;00797587&quot;/&gt;&lt;wsp:rsid wsp:val=&quot;0079772A&quot;/&gt;&lt;wsp:rsid wsp:val=&quot;007977EE&quot;/&gt;&lt;wsp:rsid wsp:val=&quot;007A03CB&quot;/&gt;&lt;wsp:rsid wsp:val=&quot;007A046B&quot;/&gt;&lt;wsp:rsid wsp:val=&quot;007A0493&quot;/&gt;&lt;wsp:rsid wsp:val=&quot;007A0658&quot;/&gt;&lt;wsp:rsid wsp:val=&quot;007A0677&quot;/&gt;&lt;wsp:rsid wsp:val=&quot;007A19BF&quot;/&gt;&lt;wsp:rsid wsp:val=&quot;007A1CE1&quot;/&gt;&lt;wsp:rsid wsp:val=&quot;007A209B&quot;/&gt;&lt;wsp:rsid wsp:val=&quot;007A24DC&quot;/&gt;&lt;wsp:rsid wsp:val=&quot;007A29D5&quot;/&gt;&lt;wsp:rsid wsp:val=&quot;007A2AFD&quot;/&gt;&lt;wsp:rsid wsp:val=&quot;007A2E34&quot;/&gt;&lt;wsp:rsid wsp:val=&quot;007A2F54&quot;/&gt;&lt;wsp:rsid wsp:val=&quot;007A340D&quot;/&gt;&lt;wsp:rsid wsp:val=&quot;007A3481&quot;/&gt;&lt;wsp:rsid wsp:val=&quot;007A353A&quot;/&gt;&lt;wsp:rsid wsp:val=&quot;007A39E2&quot;/&gt;&lt;wsp:rsid wsp:val=&quot;007A3A60&quot;/&gt;&lt;wsp:rsid wsp:val=&quot;007A3C15&quot;/&gt;&lt;wsp:rsid wsp:val=&quot;007A4178&quot;/&gt;&lt;wsp:rsid wsp:val=&quot;007A435C&quot;/&gt;&lt;wsp:rsid wsp:val=&quot;007A586B&quot;/&gt;&lt;wsp:rsid wsp:val=&quot;007A6453&quot;/&gt;&lt;wsp:rsid wsp:val=&quot;007A677B&quot;/&gt;&lt;wsp:rsid wsp:val=&quot;007A6A0B&quot;/&gt;&lt;wsp:rsid wsp:val=&quot;007A6E31&quot;/&gt;&lt;wsp:rsid wsp:val=&quot;007A6FE8&quot;/&gt;&lt;wsp:rsid wsp:val=&quot;007A72AA&quot;/&gt;&lt;wsp:rsid wsp:val=&quot;007A72EC&quot;/&gt;&lt;wsp:rsid wsp:val=&quot;007A73A7&quot;/&gt;&lt;wsp:rsid wsp:val=&quot;007A7A17&quot;/&gt;&lt;wsp:rsid wsp:val=&quot;007A7B90&quot;/&gt;&lt;wsp:rsid wsp:val=&quot;007B019A&quot;/&gt;&lt;wsp:rsid wsp:val=&quot;007B0610&quot;/&gt;&lt;wsp:rsid wsp:val=&quot;007B07BD&quot;/&gt;&lt;wsp:rsid wsp:val=&quot;007B0814&quot;/&gt;&lt;wsp:rsid wsp:val=&quot;007B0ABE&quot;/&gt;&lt;wsp:rsid wsp:val=&quot;007B16A9&quot;/&gt;&lt;wsp:rsid wsp:val=&quot;007B211A&quot;/&gt;&lt;wsp:rsid wsp:val=&quot;007B2583&quot;/&gt;&lt;wsp:rsid wsp:val=&quot;007B275C&quot;/&gt;&lt;wsp:rsid wsp:val=&quot;007B307E&quot;/&gt;&lt;wsp:rsid wsp:val=&quot;007B33FF&quot;/&gt;&lt;wsp:rsid wsp:val=&quot;007B3610&quot;/&gt;&lt;wsp:rsid wsp:val=&quot;007B38D1&quot;/&gt;&lt;wsp:rsid wsp:val=&quot;007B3B6A&quot;/&gt;&lt;wsp:rsid wsp:val=&quot;007B3BDC&quot;/&gt;&lt;wsp:rsid wsp:val=&quot;007B3F99&quot;/&gt;&lt;wsp:rsid wsp:val=&quot;007B42E4&quot;/&gt;&lt;wsp:rsid wsp:val=&quot;007B50D5&quot;/&gt;&lt;wsp:rsid wsp:val=&quot;007B50D6&quot;/&gt;&lt;wsp:rsid wsp:val=&quot;007B5141&quot;/&gt;&lt;wsp:rsid wsp:val=&quot;007B5358&quot;/&gt;&lt;wsp:rsid wsp:val=&quot;007B54A0&quot;/&gt;&lt;wsp:rsid wsp:val=&quot;007B580B&quot;/&gt;&lt;wsp:rsid wsp:val=&quot;007B5B44&quot;/&gt;&lt;wsp:rsid wsp:val=&quot;007B5E24&quot;/&gt;&lt;wsp:rsid wsp:val=&quot;007B69CA&quot;/&gt;&lt;wsp:rsid wsp:val=&quot;007B6B46&quot;/&gt;&lt;wsp:rsid wsp:val=&quot;007B741A&quot;/&gt;&lt;wsp:rsid wsp:val=&quot;007B771F&quot;/&gt;&lt;wsp:rsid wsp:val=&quot;007B7D7F&quot;/&gt;&lt;wsp:rsid wsp:val=&quot;007B7E7D&quot;/&gt;&lt;wsp:rsid wsp:val=&quot;007B7FCB&quot;/&gt;&lt;wsp:rsid wsp:val=&quot;007C0CFB&quot;/&gt;&lt;wsp:rsid wsp:val=&quot;007C0FF4&quot;/&gt;&lt;wsp:rsid wsp:val=&quot;007C11C8&quot;/&gt;&lt;wsp:rsid wsp:val=&quot;007C1591&quot;/&gt;&lt;wsp:rsid wsp:val=&quot;007C20DB&quot;/&gt;&lt;wsp:rsid wsp:val=&quot;007C23CA&quot;/&gt;&lt;wsp:rsid wsp:val=&quot;007C29E7&quot;/&gt;&lt;wsp:rsid wsp:val=&quot;007C2ECB&quot;/&gt;&lt;wsp:rsid wsp:val=&quot;007C2EEE&quot;/&gt;&lt;wsp:rsid wsp:val=&quot;007C32BA&quot;/&gt;&lt;wsp:rsid wsp:val=&quot;007C3367&quot;/&gt;&lt;wsp:rsid wsp:val=&quot;007C364E&quot;/&gt;&lt;wsp:rsid wsp:val=&quot;007C36B1&quot;/&gt;&lt;wsp:rsid wsp:val=&quot;007C3722&quot;/&gt;&lt;wsp:rsid wsp:val=&quot;007C3747&quot;/&gt;&lt;wsp:rsid wsp:val=&quot;007C38D9&quot;/&gt;&lt;wsp:rsid wsp:val=&quot;007C3DE5&quot;/&gt;&lt;wsp:rsid wsp:val=&quot;007C4074&quot;/&gt;&lt;wsp:rsid wsp:val=&quot;007C4F5A&quot;/&gt;&lt;wsp:rsid wsp:val=&quot;007C50F4&quot;/&gt;&lt;wsp:rsid wsp:val=&quot;007C5200&quot;/&gt;&lt;wsp:rsid wsp:val=&quot;007C5581&quot;/&gt;&lt;wsp:rsid wsp:val=&quot;007C5732&quot;/&gt;&lt;wsp:rsid wsp:val=&quot;007C5A5A&quot;/&gt;&lt;wsp:rsid wsp:val=&quot;007C5DA4&quot;/&gt;&lt;wsp:rsid wsp:val=&quot;007C5DD1&quot;/&gt;&lt;wsp:rsid wsp:val=&quot;007C6326&quot;/&gt;&lt;wsp:rsid wsp:val=&quot;007C684E&quot;/&gt;&lt;wsp:rsid wsp:val=&quot;007C6C41&quot;/&gt;&lt;wsp:rsid wsp:val=&quot;007C72F0&quot;/&gt;&lt;wsp:rsid wsp:val=&quot;007C73BA&quot;/&gt;&lt;wsp:rsid wsp:val=&quot;007C7797&quot;/&gt;&lt;wsp:rsid wsp:val=&quot;007C7A6B&quot;/&gt;&lt;wsp:rsid wsp:val=&quot;007C7C0D&quot;/&gt;&lt;wsp:rsid wsp:val=&quot;007D0152&quot;/&gt;&lt;wsp:rsid wsp:val=&quot;007D0A4F&quot;/&gt;&lt;wsp:rsid wsp:val=&quot;007D0CEE&quot;/&gt;&lt;wsp:rsid wsp:val=&quot;007D0E99&quot;/&gt;&lt;wsp:rsid wsp:val=&quot;007D0EC3&quot;/&gt;&lt;wsp:rsid wsp:val=&quot;007D124F&quot;/&gt;&lt;wsp:rsid wsp:val=&quot;007D12C0&quot;/&gt;&lt;wsp:rsid wsp:val=&quot;007D150B&quot;/&gt;&lt;wsp:rsid wsp:val=&quot;007D1607&quot;/&gt;&lt;wsp:rsid wsp:val=&quot;007D1645&quot;/&gt;&lt;wsp:rsid wsp:val=&quot;007D18E0&quot;/&gt;&lt;wsp:rsid wsp:val=&quot;007D1BC1&quot;/&gt;&lt;wsp:rsid wsp:val=&quot;007D1C66&quot;/&gt;&lt;wsp:rsid wsp:val=&quot;007D1CC7&quot;/&gt;&lt;wsp:rsid wsp:val=&quot;007D1CFA&quot;/&gt;&lt;wsp:rsid wsp:val=&quot;007D1E39&quot;/&gt;&lt;wsp:rsid wsp:val=&quot;007D2240&quot;/&gt;&lt;wsp:rsid wsp:val=&quot;007D22B0&quot;/&gt;&lt;wsp:rsid wsp:val=&quot;007D2504&quot;/&gt;&lt;wsp:rsid wsp:val=&quot;007D279A&quot;/&gt;&lt;wsp:rsid wsp:val=&quot;007D2ABA&quot;/&gt;&lt;wsp:rsid wsp:val=&quot;007D2ADC&quot;/&gt;&lt;wsp:rsid wsp:val=&quot;007D2D26&quot;/&gt;&lt;wsp:rsid wsp:val=&quot;007D2EB8&quot;/&gt;&lt;wsp:rsid wsp:val=&quot;007D2EC6&quot;/&gt;&lt;wsp:rsid wsp:val=&quot;007D3264&quot;/&gt;&lt;wsp:rsid wsp:val=&quot;007D32FF&quot;/&gt;&lt;wsp:rsid wsp:val=&quot;007D375C&quot;/&gt;&lt;wsp:rsid wsp:val=&quot;007D3C9B&quot;/&gt;&lt;wsp:rsid wsp:val=&quot;007D409B&quot;/&gt;&lt;wsp:rsid wsp:val=&quot;007D41AB&quot;/&gt;&lt;wsp:rsid wsp:val=&quot;007D4587&quot;/&gt;&lt;wsp:rsid wsp:val=&quot;007D47CB&quot;/&gt;&lt;wsp:rsid wsp:val=&quot;007D4BC7&quot;/&gt;&lt;wsp:rsid wsp:val=&quot;007D4C39&quot;/&gt;&lt;wsp:rsid wsp:val=&quot;007D4D48&quot;/&gt;&lt;wsp:rsid wsp:val=&quot;007D4DA5&quot;/&gt;&lt;wsp:rsid wsp:val=&quot;007D5948&quot;/&gt;&lt;wsp:rsid wsp:val=&quot;007D5B4C&quot;/&gt;&lt;wsp:rsid wsp:val=&quot;007D5C25&quot;/&gt;&lt;wsp:rsid wsp:val=&quot;007D5D86&quot;/&gt;&lt;wsp:rsid wsp:val=&quot;007D5EA0&quot;/&gt;&lt;wsp:rsid wsp:val=&quot;007D5FDB&quot;/&gt;&lt;wsp:rsid wsp:val=&quot;007D627E&quot;/&gt;&lt;wsp:rsid wsp:val=&quot;007D62FD&quot;/&gt;&lt;wsp:rsid wsp:val=&quot;007D6494&quot;/&gt;&lt;wsp:rsid wsp:val=&quot;007D64A7&quot;/&gt;&lt;wsp:rsid wsp:val=&quot;007D6508&quot;/&gt;&lt;wsp:rsid wsp:val=&quot;007D6C21&quot;/&gt;&lt;wsp:rsid wsp:val=&quot;007D716E&quot;/&gt;&lt;wsp:rsid wsp:val=&quot;007D7ACF&quot;/&gt;&lt;wsp:rsid wsp:val=&quot;007D7BCF&quot;/&gt;&lt;wsp:rsid wsp:val=&quot;007E00E4&quot;/&gt;&lt;wsp:rsid wsp:val=&quot;007E0268&quot;/&gt;&lt;wsp:rsid wsp:val=&quot;007E060E&quot;/&gt;&lt;wsp:rsid wsp:val=&quot;007E087A&quot;/&gt;&lt;wsp:rsid wsp:val=&quot;007E0969&quot;/&gt;&lt;wsp:rsid wsp:val=&quot;007E09FA&quot;/&gt;&lt;wsp:rsid wsp:val=&quot;007E1244&quot;/&gt;&lt;wsp:rsid wsp:val=&quot;007E1A43&quot;/&gt;&lt;wsp:rsid wsp:val=&quot;007E1A52&quot;/&gt;&lt;wsp:rsid wsp:val=&quot;007E1ADE&quot;/&gt;&lt;wsp:rsid wsp:val=&quot;007E1D43&quot;/&gt;&lt;wsp:rsid wsp:val=&quot;007E1D4D&quot;/&gt;&lt;wsp:rsid wsp:val=&quot;007E2123&quot;/&gt;&lt;wsp:rsid wsp:val=&quot;007E241C&quot;/&gt;&lt;wsp:rsid wsp:val=&quot;007E2834&quot;/&gt;&lt;wsp:rsid wsp:val=&quot;007E2BC4&quot;/&gt;&lt;wsp:rsid wsp:val=&quot;007E2DA6&quot;/&gt;&lt;wsp:rsid wsp:val=&quot;007E2FA4&quot;/&gt;&lt;wsp:rsid wsp:val=&quot;007E30B9&quot;/&gt;&lt;wsp:rsid wsp:val=&quot;007E3370&quot;/&gt;&lt;wsp:rsid wsp:val=&quot;007E3593&quot;/&gt;&lt;wsp:rsid wsp:val=&quot;007E3686&quot;/&gt;&lt;wsp:rsid wsp:val=&quot;007E3EA5&quot;/&gt;&lt;wsp:rsid wsp:val=&quot;007E3F11&quot;/&gt;&lt;wsp:rsid wsp:val=&quot;007E3F9E&quot;/&gt;&lt;wsp:rsid wsp:val=&quot;007E47F7&quot;/&gt;&lt;wsp:rsid wsp:val=&quot;007E48E6&quot;/&gt;&lt;wsp:rsid wsp:val=&quot;007E4A75&quot;/&gt;&lt;wsp:rsid wsp:val=&quot;007E4A99&quot;/&gt;&lt;wsp:rsid wsp:val=&quot;007E4C83&quot;/&gt;&lt;wsp:rsid wsp:val=&quot;007E4FF9&quot;/&gt;&lt;wsp:rsid wsp:val=&quot;007E56C3&quot;/&gt;&lt;wsp:rsid wsp:val=&quot;007E5D09&quot;/&gt;&lt;wsp:rsid wsp:val=&quot;007E5D15&quot;/&gt;&lt;wsp:rsid wsp:val=&quot;007E60E4&quot;/&gt;&lt;wsp:rsid wsp:val=&quot;007E61AF&quot;/&gt;&lt;wsp:rsid wsp:val=&quot;007E61DC&quot;/&gt;&lt;wsp:rsid wsp:val=&quot;007E6348&quot;/&gt;&lt;wsp:rsid wsp:val=&quot;007E63EE&quot;/&gt;&lt;wsp:rsid wsp:val=&quot;007E64B8&quot;/&gt;&lt;wsp:rsid wsp:val=&quot;007E6716&quot;/&gt;&lt;wsp:rsid wsp:val=&quot;007E67E9&quot;/&gt;&lt;wsp:rsid wsp:val=&quot;007E6845&quot;/&gt;&lt;wsp:rsid wsp:val=&quot;007E684D&quot;/&gt;&lt;wsp:rsid wsp:val=&quot;007E6ADF&quot;/&gt;&lt;wsp:rsid wsp:val=&quot;007E6AFE&quot;/&gt;&lt;wsp:rsid wsp:val=&quot;007E6EC8&quot;/&gt;&lt;wsp:rsid wsp:val=&quot;007E710C&quot;/&gt;&lt;wsp:rsid wsp:val=&quot;007E72A0&quot;/&gt;&lt;wsp:rsid wsp:val=&quot;007E7602&quot;/&gt;&lt;wsp:rsid wsp:val=&quot;007E769B&quot;/&gt;&lt;wsp:rsid wsp:val=&quot;007E76D6&quot;/&gt;&lt;wsp:rsid wsp:val=&quot;007E775F&quot;/&gt;&lt;wsp:rsid wsp:val=&quot;007E7799&quot;/&gt;&lt;wsp:rsid wsp:val=&quot;007E7C3A&quot;/&gt;&lt;wsp:rsid wsp:val=&quot;007F0137&quot;/&gt;&lt;wsp:rsid wsp:val=&quot;007F0F44&quot;/&gt;&lt;wsp:rsid wsp:val=&quot;007F13C7&quot;/&gt;&lt;wsp:rsid wsp:val=&quot;007F13E5&quot;/&gt;&lt;wsp:rsid wsp:val=&quot;007F1C37&quot;/&gt;&lt;wsp:rsid wsp:val=&quot;007F1C87&quot;/&gt;&lt;wsp:rsid wsp:val=&quot;007F1EB8&quot;/&gt;&lt;wsp:rsid wsp:val=&quot;007F2148&quot;/&gt;&lt;wsp:rsid wsp:val=&quot;007F2178&quot;/&gt;&lt;wsp:rsid wsp:val=&quot;007F2329&quot;/&gt;&lt;wsp:rsid wsp:val=&quot;007F2475&quot;/&gt;&lt;wsp:rsid wsp:val=&quot;007F28FE&quot;/&gt;&lt;wsp:rsid wsp:val=&quot;007F2C05&quot;/&gt;&lt;wsp:rsid wsp:val=&quot;007F2F0B&quot;/&gt;&lt;wsp:rsid wsp:val=&quot;007F3061&quot;/&gt;&lt;wsp:rsid wsp:val=&quot;007F31BC&quot;/&gt;&lt;wsp:rsid wsp:val=&quot;007F34DE&quot;/&gt;&lt;wsp:rsid wsp:val=&quot;007F390A&quot;/&gt;&lt;wsp:rsid wsp:val=&quot;007F4472&quot;/&gt;&lt;wsp:rsid wsp:val=&quot;007F4B96&quot;/&gt;&lt;wsp:rsid wsp:val=&quot;007F4F74&quot;/&gt;&lt;wsp:rsid wsp:val=&quot;007F5177&quot;/&gt;&lt;wsp:rsid wsp:val=&quot;007F60E6&quot;/&gt;&lt;wsp:rsid wsp:val=&quot;007F6270&quot;/&gt;&lt;wsp:rsid wsp:val=&quot;007F6404&quot;/&gt;&lt;wsp:rsid wsp:val=&quot;007F718E&quot;/&gt;&lt;wsp:rsid wsp:val=&quot;007F771F&quot;/&gt;&lt;wsp:rsid wsp:val=&quot;007F7A4C&quot;/&gt;&lt;wsp:rsid wsp:val=&quot;008001D8&quot;/&gt;&lt;wsp:rsid wsp:val=&quot;008006A8&quot;/&gt;&lt;wsp:rsid wsp:val=&quot;00800BB8&quot;/&gt;&lt;wsp:rsid wsp:val=&quot;00800E2C&quot;/&gt;&lt;wsp:rsid wsp:val=&quot;00800F0F&quot;/&gt;&lt;wsp:rsid wsp:val=&quot;00801002&quot;/&gt;&lt;wsp:rsid wsp:val=&quot;00802450&quot;/&gt;&lt;wsp:rsid wsp:val=&quot;008025B5&quot;/&gt;&lt;wsp:rsid wsp:val=&quot;0080274C&quot;/&gt;&lt;wsp:rsid wsp:val=&quot;00802CB7&quot;/&gt;&lt;wsp:rsid wsp:val=&quot;00802CDF&quot;/&gt;&lt;wsp:rsid wsp:val=&quot;00802E4A&quot;/&gt;&lt;wsp:rsid wsp:val=&quot;00802EE9&quot;/&gt;&lt;wsp:rsid wsp:val=&quot;00803A2E&quot;/&gt;&lt;wsp:rsid wsp:val=&quot;00803FF4&quot;/&gt;&lt;wsp:rsid wsp:val=&quot;0080414C&quot;/&gt;&lt;wsp:rsid wsp:val=&quot;008041B4&quot;/&gt;&lt;wsp:rsid wsp:val=&quot;008043C2&quot;/&gt;&lt;wsp:rsid wsp:val=&quot;00804428&quot;/&gt;&lt;wsp:rsid wsp:val=&quot;00804761&quot;/&gt;&lt;wsp:rsid wsp:val=&quot;008047A2&quot;/&gt;&lt;wsp:rsid wsp:val=&quot;00804A49&quot;/&gt;&lt;wsp:rsid wsp:val=&quot;00804C46&quot;/&gt;&lt;wsp:rsid wsp:val=&quot;008050C6&quot;/&gt;&lt;wsp:rsid wsp:val=&quot;0080576A&quot;/&gt;&lt;wsp:rsid wsp:val=&quot;00805848&quot;/&gt;&lt;wsp:rsid wsp:val=&quot;00806065&quot;/&gt;&lt;wsp:rsid wsp:val=&quot;00806A5A&quot;/&gt;&lt;wsp:rsid wsp:val=&quot;008071B3&quot;/&gt;&lt;wsp:rsid wsp:val=&quot;00807212&quot;/&gt;&lt;wsp:rsid wsp:val=&quot;0080760F&quot;/&gt;&lt;wsp:rsid wsp:val=&quot;00807880&quot;/&gt;&lt;wsp:rsid wsp:val=&quot;00807C26&quot;/&gt;&lt;wsp:rsid wsp:val=&quot;00807F63&quot;/&gt;&lt;wsp:rsid wsp:val=&quot;00810315&quot;/&gt;&lt;wsp:rsid wsp:val=&quot;00810398&quot;/&gt;&lt;wsp:rsid wsp:val=&quot;00810414&quot;/&gt;&lt;wsp:rsid wsp:val=&quot;00810708&quot;/&gt;&lt;wsp:rsid wsp:val=&quot;008108F0&quot;/&gt;&lt;wsp:rsid wsp:val=&quot;008109F5&quot;/&gt;&lt;wsp:rsid wsp:val=&quot;00810C6B&quot;/&gt;&lt;wsp:rsid wsp:val=&quot;00811081&quot;/&gt;&lt;wsp:rsid wsp:val=&quot;008110E1&quot;/&gt;&lt;wsp:rsid wsp:val=&quot;00811601&quot;/&gt;&lt;wsp:rsid wsp:val=&quot;00811852&quot;/&gt;&lt;wsp:rsid wsp:val=&quot;00811902&quot;/&gt;&lt;wsp:rsid wsp:val=&quot;00811A43&quot;/&gt;&lt;wsp:rsid wsp:val=&quot;00811FE4&quot;/&gt;&lt;wsp:rsid wsp:val=&quot;00812170&quot;/&gt;&lt;wsp:rsid wsp:val=&quot;0081258B&quot;/&gt;&lt;wsp:rsid wsp:val=&quot;00812BBB&quot;/&gt;&lt;wsp:rsid wsp:val=&quot;00812C46&quot;/&gt;&lt;wsp:rsid wsp:val=&quot;00812CD9&quot;/&gt;&lt;wsp:rsid wsp:val=&quot;008132A5&quot;/&gt;&lt;wsp:rsid wsp:val=&quot;00813330&quot;/&gt;&lt;wsp:rsid wsp:val=&quot;00813361&quot;/&gt;&lt;wsp:rsid wsp:val=&quot;008134AA&quot;/&gt;&lt;wsp:rsid wsp:val=&quot;008137F2&quot;/&gt;&lt;wsp:rsid wsp:val=&quot;00813849&quot;/&gt;&lt;wsp:rsid wsp:val=&quot;00814082&quot;/&gt;&lt;wsp:rsid wsp:val=&quot;0081486F&quot;/&gt;&lt;wsp:rsid wsp:val=&quot;00814B3B&quot;/&gt;&lt;wsp:rsid wsp:val=&quot;00814B61&quot;/&gt;&lt;wsp:rsid wsp:val=&quot;00815174&quot;/&gt;&lt;wsp:rsid wsp:val=&quot;008155F9&quot;/&gt;&lt;wsp:rsid wsp:val=&quot;008159A1&quot;/&gt;&lt;wsp:rsid wsp:val=&quot;00815B37&quot;/&gt;&lt;wsp:rsid wsp:val=&quot;00815EA7&quot;/&gt;&lt;wsp:rsid wsp:val=&quot;00815EBD&quot;/&gt;&lt;wsp:rsid wsp:val=&quot;008162FE&quot;/&gt;&lt;wsp:rsid wsp:val=&quot;00816398&quot;/&gt;&lt;wsp:rsid wsp:val=&quot;0081654E&quot;/&gt;&lt;wsp:rsid wsp:val=&quot;00816C1E&quot;/&gt;&lt;wsp:rsid wsp:val=&quot;00816C46&quot;/&gt;&lt;wsp:rsid wsp:val=&quot;00816D56&quot;/&gt;&lt;wsp:rsid wsp:val=&quot;008171AB&quot;/&gt;&lt;wsp:rsid wsp:val=&quot;008172B0&quot;/&gt;&lt;wsp:rsid wsp:val=&quot;00817387&quot;/&gt;&lt;wsp:rsid wsp:val=&quot;0081797F&quot;/&gt;&lt;wsp:rsid wsp:val=&quot;008200DC&quot;/&gt;&lt;wsp:rsid wsp:val=&quot;008203C2&quot;/&gt;&lt;wsp:rsid wsp:val=&quot;00821293&quot;/&gt;&lt;wsp:rsid wsp:val=&quot;00821807&quot;/&gt;&lt;wsp:rsid wsp:val=&quot;00821895&quot;/&gt;&lt;wsp:rsid wsp:val=&quot;00821A6B&quot;/&gt;&lt;wsp:rsid wsp:val=&quot;00821CE2&quot;/&gt;&lt;wsp:rsid wsp:val=&quot;008220BB&quot;/&gt;&lt;wsp:rsid wsp:val=&quot;00822539&quot;/&gt;&lt;wsp:rsid wsp:val=&quot;008234B3&quot;/&gt;&lt;wsp:rsid wsp:val=&quot;00823566&quot;/&gt;&lt;wsp:rsid wsp:val=&quot;00823B15&quot;/&gt;&lt;wsp:rsid wsp:val=&quot;00824561&quot;/&gt;&lt;wsp:rsid wsp:val=&quot;0082502E&quot;/&gt;&lt;wsp:rsid wsp:val=&quot;008251CA&quot;/&gt;&lt;wsp:rsid wsp:val=&quot;008253C6&quot;/&gt;&lt;wsp:rsid wsp:val=&quot;008253F0&quot;/&gt;&lt;wsp:rsid wsp:val=&quot;008256F2&quot;/&gt;&lt;wsp:rsid wsp:val=&quot;00825F83&quot;/&gt;&lt;wsp:rsid wsp:val=&quot;0082612E&quot;/&gt;&lt;wsp:rsid wsp:val=&quot;008262C5&quot;/&gt;&lt;wsp:rsid wsp:val=&quot;00826510&quot;/&gt;&lt;wsp:rsid wsp:val=&quot;0082706E&quot;/&gt;&lt;wsp:rsid wsp:val=&quot;0082759B&quot;/&gt;&lt;wsp:rsid wsp:val=&quot;00827BCA&quot;/&gt;&lt;wsp:rsid wsp:val=&quot;00827DAD&quot;/&gt;&lt;wsp:rsid wsp:val=&quot;00827F05&quot;/&gt;&lt;wsp:rsid wsp:val=&quot;00827F6D&quot;/&gt;&lt;wsp:rsid wsp:val=&quot;0083080E&quot;/&gt;&lt;wsp:rsid wsp:val=&quot;0083086C&quot;/&gt;&lt;wsp:rsid wsp:val=&quot;00830CF4&quot;/&gt;&lt;wsp:rsid wsp:val=&quot;00830DAF&quot;/&gt;&lt;wsp:rsid wsp:val=&quot;00830F63&quot;/&gt;&lt;wsp:rsid wsp:val=&quot;00830F77&quot;/&gt;&lt;wsp:rsid wsp:val=&quot;008311D9&quot;/&gt;&lt;wsp:rsid wsp:val=&quot;00831486&quot;/&gt;&lt;wsp:rsid wsp:val=&quot;00831AC1&quot;/&gt;&lt;wsp:rsid wsp:val=&quot;00831F2E&quot;/&gt;&lt;wsp:rsid wsp:val=&quot;008325A4&quot;/&gt;&lt;wsp:rsid wsp:val=&quot;00832ADC&quot;/&gt;&lt;wsp:rsid wsp:val=&quot;00832E81&quot;/&gt;&lt;wsp:rsid wsp:val=&quot;00833A63&quot;/&gt;&lt;wsp:rsid wsp:val=&quot;00833BF2&quot;/&gt;&lt;wsp:rsid wsp:val=&quot;00833D11&quot;/&gt;&lt;wsp:rsid wsp:val=&quot;00833D69&quot;/&gt;&lt;wsp:rsid wsp:val=&quot;00833F52&quot;/&gt;&lt;wsp:rsid wsp:val=&quot;00834120&quot;/&gt;&lt;wsp:rsid wsp:val=&quot;00834185&quot;/&gt;&lt;wsp:rsid wsp:val=&quot;00834541&quot;/&gt;&lt;wsp:rsid wsp:val=&quot;00834920&quot;/&gt;&lt;wsp:rsid wsp:val=&quot;008349E6&quot;/&gt;&lt;wsp:rsid wsp:val=&quot;00834C64&quot;/&gt;&lt;wsp:rsid wsp:val=&quot;00834ECA&quot;/&gt;&lt;wsp:rsid wsp:val=&quot;00834ED1&quot;/&gt;&lt;wsp:rsid wsp:val=&quot;00834EE9&quot;/&gt;&lt;wsp:rsid wsp:val=&quot;00835031&quot;/&gt;&lt;wsp:rsid wsp:val=&quot;008354B6&quot;/&gt;&lt;wsp:rsid wsp:val=&quot;00835797&quot;/&gt;&lt;wsp:rsid wsp:val=&quot;00835A24&quot;/&gt;&lt;wsp:rsid wsp:val=&quot;00835B9C&quot;/&gt;&lt;wsp:rsid wsp:val=&quot;00835BEA&quot;/&gt;&lt;wsp:rsid wsp:val=&quot;00835C42&quot;/&gt;&lt;wsp:rsid wsp:val=&quot;00836133&quot;/&gt;&lt;wsp:rsid wsp:val=&quot;0083635A&quot;/&gt;&lt;wsp:rsid wsp:val=&quot;008365CB&quot;/&gt;&lt;wsp:rsid wsp:val=&quot;00836C7C&quot;/&gt;&lt;wsp:rsid wsp:val=&quot;00836DB2&quot;/&gt;&lt;wsp:rsid wsp:val=&quot;00836F53&quot;/&gt;&lt;wsp:rsid wsp:val=&quot;00837197&quot;/&gt;&lt;wsp:rsid wsp:val=&quot;008375F6&quot;/&gt;&lt;wsp:rsid wsp:val=&quot;008377FE&quot;/&gt;&lt;wsp:rsid wsp:val=&quot;00837A1D&quot;/&gt;&lt;wsp:rsid wsp:val=&quot;00837D64&quot;/&gt;&lt;wsp:rsid wsp:val=&quot;00837E77&quot;/&gt;&lt;wsp:rsid wsp:val=&quot;008400EC&quot;/&gt;&lt;wsp:rsid wsp:val=&quot;0084034A&quot;/&gt;&lt;wsp:rsid wsp:val=&quot;00840447&quot;/&gt;&lt;wsp:rsid wsp:val=&quot;0084099B&quot;/&gt;&lt;wsp:rsid wsp:val=&quot;00840F5A&quot;/&gt;&lt;wsp:rsid wsp:val=&quot;00840FC2&quot;/&gt;&lt;wsp:rsid wsp:val=&quot;0084150B&quot;/&gt;&lt;wsp:rsid wsp:val=&quot;0084178A&quot;/&gt;&lt;wsp:rsid wsp:val=&quot;00841F2F&quot;/&gt;&lt;wsp:rsid wsp:val=&quot;00841F32&quot;/&gt;&lt;wsp:rsid wsp:val=&quot;00841FD5&quot;/&gt;&lt;wsp:rsid wsp:val=&quot;0084207E&quot;/&gt;&lt;wsp:rsid wsp:val=&quot;00843913&quot;/&gt;&lt;wsp:rsid wsp:val=&quot;00843B1E&quot;/&gt;&lt;wsp:rsid wsp:val=&quot;00843B27&quot;/&gt;&lt;wsp:rsid wsp:val=&quot;00844103&quot;/&gt;&lt;wsp:rsid wsp:val=&quot;008441EA&quot;/&gt;&lt;wsp:rsid wsp:val=&quot;00844794&quot;/&gt;&lt;wsp:rsid wsp:val=&quot;008447E6&quot;/&gt;&lt;wsp:rsid wsp:val=&quot;0084482C&quot;/&gt;&lt;wsp:rsid wsp:val=&quot;00845048&quot;/&gt;&lt;wsp:rsid wsp:val=&quot;008452FB&quot;/&gt;&lt;wsp:rsid wsp:val=&quot;008457C9&quot;/&gt;&lt;wsp:rsid wsp:val=&quot;00845898&quot;/&gt;&lt;wsp:rsid wsp:val=&quot;00845C8D&quot;/&gt;&lt;wsp:rsid wsp:val=&quot;00845F37&quot;/&gt;&lt;wsp:rsid wsp:val=&quot;0084642F&quot;/&gt;&lt;wsp:rsid wsp:val=&quot;00846458&quot;/&gt;&lt;wsp:rsid wsp:val=&quot;008465F4&quot;/&gt;&lt;wsp:rsid wsp:val=&quot;00846A80&quot;/&gt;&lt;wsp:rsid wsp:val=&quot;00847162&quot;/&gt;&lt;wsp:rsid wsp:val=&quot;008472BD&quot;/&gt;&lt;wsp:rsid wsp:val=&quot;008473E4&quot;/&gt;&lt;wsp:rsid wsp:val=&quot;008477EC&quot;/&gt;&lt;wsp:rsid wsp:val=&quot;008479D2&quot;/&gt;&lt;wsp:rsid wsp:val=&quot;00847D45&quot;/&gt;&lt;wsp:rsid wsp:val=&quot;00847DFB&quot;/&gt;&lt;wsp:rsid wsp:val=&quot;00847E31&quot;/&gt;&lt;wsp:rsid wsp:val=&quot;00850BAB&quot;/&gt;&lt;wsp:rsid wsp:val=&quot;00851693&quot;/&gt;&lt;wsp:rsid wsp:val=&quot;0085176F&quot;/&gt;&lt;wsp:rsid wsp:val=&quot;0085195C&quot;/&gt;&lt;wsp:rsid wsp:val=&quot;00851F11&quot;/&gt;&lt;wsp:rsid wsp:val=&quot;008521E1&quot;/&gt;&lt;wsp:rsid wsp:val=&quot;0085225F&quot;/&gt;&lt;wsp:rsid wsp:val=&quot;00852400&quot;/&gt;&lt;wsp:rsid wsp:val=&quot;00852D44&quot;/&gt;&lt;wsp:rsid wsp:val=&quot;008530EB&quot;/&gt;&lt;wsp:rsid wsp:val=&quot;0085337D&quot;/&gt;&lt;wsp:rsid wsp:val=&quot;008533E2&quot;/&gt;&lt;wsp:rsid wsp:val=&quot;0085363E&quot;/&gt;&lt;wsp:rsid wsp:val=&quot;00853EC8&quot;/&gt;&lt;wsp:rsid wsp:val=&quot;00853EDE&quot;/&gt;&lt;wsp:rsid wsp:val=&quot;0085402E&quot;/&gt;&lt;wsp:rsid wsp:val=&quot;008541BF&quot;/&gt;&lt;wsp:rsid wsp:val=&quot;008545D3&quot;/&gt;&lt;wsp:rsid wsp:val=&quot;00854628&quot;/&gt;&lt;wsp:rsid wsp:val=&quot;008547C4&quot;/&gt;&lt;wsp:rsid wsp:val=&quot;00854A4F&quot;/&gt;&lt;wsp:rsid wsp:val=&quot;00854D45&quot;/&gt;&lt;wsp:rsid wsp:val=&quot;00854F38&quot;/&gt;&lt;wsp:rsid wsp:val=&quot;00855083&quot;/&gt;&lt;wsp:rsid wsp:val=&quot;00855EDE&quot;/&gt;&lt;wsp:rsid wsp:val=&quot;00855F9C&quot;/&gt;&lt;wsp:rsid wsp:val=&quot;00856487&quot;/&gt;&lt;wsp:rsid wsp:val=&quot;0085684E&quot;/&gt;&lt;wsp:rsid wsp:val=&quot;00856EBC&quot;/&gt;&lt;wsp:rsid wsp:val=&quot;00857644&quot;/&gt;&lt;wsp:rsid wsp:val=&quot;00857B5D&quot;/&gt;&lt;wsp:rsid wsp:val=&quot;00857BD4&quot;/&gt;&lt;wsp:rsid wsp:val=&quot;00857C3A&quot;/&gt;&lt;wsp:rsid wsp:val=&quot;00857F77&quot;/&gt;&lt;wsp:rsid wsp:val=&quot;00860617&quot;/&gt;&lt;wsp:rsid wsp:val=&quot;008606ED&quot;/&gt;&lt;wsp:rsid wsp:val=&quot;0086099B&quot;/&gt;&lt;wsp:rsid wsp:val=&quot;00860CB8&quot;/&gt;&lt;wsp:rsid wsp:val=&quot;00860E78&quot;/&gt;&lt;wsp:rsid wsp:val=&quot;00860F42&quot;/&gt;&lt;wsp:rsid wsp:val=&quot;0086129F&quot;/&gt;&lt;wsp:rsid wsp:val=&quot;00861D60&quot;/&gt;&lt;wsp:rsid wsp:val=&quot;0086286D&quot;/&gt;&lt;wsp:rsid wsp:val=&quot;0086299E&quot;/&gt;&lt;wsp:rsid wsp:val=&quot;00862A79&quot;/&gt;&lt;wsp:rsid wsp:val=&quot;00862B26&quot;/&gt;&lt;wsp:rsid wsp:val=&quot;00862DF6&quot;/&gt;&lt;wsp:rsid wsp:val=&quot;0086306A&quot;/&gt;&lt;wsp:rsid wsp:val=&quot;0086392F&quot;/&gt;&lt;wsp:rsid wsp:val=&quot;00863A18&quot;/&gt;&lt;wsp:rsid wsp:val=&quot;00863A9C&quot;/&gt;&lt;wsp:rsid wsp:val=&quot;00863AAB&quot;/&gt;&lt;wsp:rsid wsp:val=&quot;00863B3E&quot;/&gt;&lt;wsp:rsid wsp:val=&quot;00863BCA&quot;/&gt;&lt;wsp:rsid wsp:val=&quot;00863C5D&quot;/&gt;&lt;wsp:rsid wsp:val=&quot;00864B9C&quot;/&gt;&lt;wsp:rsid wsp:val=&quot;00864DD5&quot;/&gt;&lt;wsp:rsid wsp:val=&quot;00864E60&quot;/&gt;&lt;wsp:rsid wsp:val=&quot;008651C2&quot;/&gt;&lt;wsp:rsid wsp:val=&quot;008656B8&quot;/&gt;&lt;wsp:rsid wsp:val=&quot;0086572F&quot;/&gt;&lt;wsp:rsid wsp:val=&quot;00865818&quot;/&gt;&lt;wsp:rsid wsp:val=&quot;0086582D&quot;/&gt;&lt;wsp:rsid wsp:val=&quot;00865D23&quot;/&gt;&lt;wsp:rsid wsp:val=&quot;00866052&quot;/&gt;&lt;wsp:rsid wsp:val=&quot;00866268&quot;/&gt;&lt;wsp:rsid wsp:val=&quot;008668B7&quot;/&gt;&lt;wsp:rsid wsp:val=&quot;00866EEA&quot;/&gt;&lt;wsp:rsid wsp:val=&quot;0086727A&quot;/&gt;&lt;wsp:rsid wsp:val=&quot;00867798&quot;/&gt;&lt;wsp:rsid wsp:val=&quot;008677CD&quot;/&gt;&lt;wsp:rsid wsp:val=&quot;00867A65&quot;/&gt;&lt;wsp:rsid wsp:val=&quot;00867C5A&quot;/&gt;&lt;wsp:rsid wsp:val=&quot;00867CB4&quot;/&gt;&lt;wsp:rsid wsp:val=&quot;00867CC3&quot;/&gt;&lt;wsp:rsid wsp:val=&quot;00867D03&quot;/&gt;&lt;wsp:rsid wsp:val=&quot;00867D35&quot;/&gt;&lt;wsp:rsid wsp:val=&quot;0087007F&quot;/&gt;&lt;wsp:rsid wsp:val=&quot;0087015A&quot;/&gt;&lt;wsp:rsid wsp:val=&quot;00870441&quot;/&gt;&lt;wsp:rsid wsp:val=&quot;008705CF&quot;/&gt;&lt;wsp:rsid wsp:val=&quot;00870F38&quot;/&gt;&lt;wsp:rsid wsp:val=&quot;00871074&quot;/&gt;&lt;wsp:rsid wsp:val=&quot;00871C8C&quot;/&gt;&lt;wsp:rsid wsp:val=&quot;008720CB&quot;/&gt;&lt;wsp:rsid wsp:val=&quot;008726A9&quot;/&gt;&lt;wsp:rsid wsp:val=&quot;00872787&quot;/&gt;&lt;wsp:rsid wsp:val=&quot;008729D0&quot;/&gt;&lt;wsp:rsid wsp:val=&quot;00872C40&quot;/&gt;&lt;wsp:rsid wsp:val=&quot;00872D7F&quot;/&gt;&lt;wsp:rsid wsp:val=&quot;00872DB3&quot;/&gt;&lt;wsp:rsid wsp:val=&quot;008736C3&quot;/&gt;&lt;wsp:rsid wsp:val=&quot;0087390D&quot;/&gt;&lt;wsp:rsid wsp:val=&quot;00873CBA&quot;/&gt;&lt;wsp:rsid wsp:val=&quot;00874008&quot;/&gt;&lt;wsp:rsid wsp:val=&quot;008740A4&quot;/&gt;&lt;wsp:rsid wsp:val=&quot;00874188&quot;/&gt;&lt;wsp:rsid wsp:val=&quot;0087486B&quot;/&gt;&lt;wsp:rsid wsp:val=&quot;00875314&quot;/&gt;&lt;wsp:rsid wsp:val=&quot;0087532C&quot;/&gt;&lt;wsp:rsid wsp:val=&quot;00875357&quot;/&gt;&lt;wsp:rsid wsp:val=&quot;00875535&quot;/&gt;&lt;wsp:rsid wsp:val=&quot;00875647&quot;/&gt;&lt;wsp:rsid wsp:val=&quot;00875C02&quot;/&gt;&lt;wsp:rsid wsp:val=&quot;00875C95&quot;/&gt;&lt;wsp:rsid wsp:val=&quot;0087627E&quot;/&gt;&lt;wsp:rsid wsp:val=&quot;00876323&quot;/&gt;&lt;wsp:rsid wsp:val=&quot;00876E08&quot;/&gt;&lt;wsp:rsid wsp:val=&quot;008771C4&quot;/&gt;&lt;wsp:rsid wsp:val=&quot;008771E1&quot;/&gt;&lt;wsp:rsid wsp:val=&quot;008772EF&quot;/&gt;&lt;wsp:rsid wsp:val=&quot;00877482&quot;/&gt;&lt;wsp:rsid wsp:val=&quot;0087793A&quot;/&gt;&lt;wsp:rsid wsp:val=&quot;00877A42&quot;/&gt;&lt;wsp:rsid wsp:val=&quot;00877CCA&quot;/&gt;&lt;wsp:rsid wsp:val=&quot;00877E26&quot;/&gt;&lt;wsp:rsid wsp:val=&quot;00877F97&quot;/&gt;&lt;wsp:rsid wsp:val=&quot;00880187&quot;/&gt;&lt;wsp:rsid wsp:val=&quot;008807B2&quot;/&gt;&lt;wsp:rsid wsp:val=&quot;00880B0F&quot;/&gt;&lt;wsp:rsid wsp:val=&quot;00880B38&quot;/&gt;&lt;wsp:rsid wsp:val=&quot;008810ED&quot;/&gt;&lt;wsp:rsid wsp:val=&quot;0088155F&quot;/&gt;&lt;wsp:rsid wsp:val=&quot;00881959&quot;/&gt;&lt;wsp:rsid wsp:val=&quot;00881ABE&quot;/&gt;&lt;wsp:rsid wsp:val=&quot;00881C47&quot;/&gt;&lt;wsp:rsid wsp:val=&quot;00881FA6&quot;/&gt;&lt;wsp:rsid wsp:val=&quot;00881FC5&quot;/&gt;&lt;wsp:rsid wsp:val=&quot;008827B5&quot;/&gt;&lt;wsp:rsid wsp:val=&quot;00882E0E&quot;/&gt;&lt;wsp:rsid wsp:val=&quot;00883479&quot;/&gt;&lt;wsp:rsid wsp:val=&quot;00883601&quot;/&gt;&lt;wsp:rsid wsp:val=&quot;00884438&quot;/&gt;&lt;wsp:rsid wsp:val=&quot;008845D2&quot;/&gt;&lt;wsp:rsid wsp:val=&quot;00884689&quot;/&gt;&lt;wsp:rsid wsp:val=&quot;00884986&quot;/&gt;&lt;wsp:rsid wsp:val=&quot;00884E3A&quot;/&gt;&lt;wsp:rsid wsp:val=&quot;00884F66&quot;/&gt;&lt;wsp:rsid wsp:val=&quot;00885945&quot;/&gt;&lt;wsp:rsid wsp:val=&quot;00886031&quot;/&gt;&lt;wsp:rsid wsp:val=&quot;00886287&quot;/&gt;&lt;wsp:rsid wsp:val=&quot;008865EF&quot;/&gt;&lt;wsp:rsid wsp:val=&quot;00886926&quot;/&gt;&lt;wsp:rsid wsp:val=&quot;008869CD&quot;/&gt;&lt;wsp:rsid wsp:val=&quot;00886C82&quot;/&gt;&lt;wsp:rsid wsp:val=&quot;00886CA9&quot;/&gt;&lt;wsp:rsid wsp:val=&quot;00886F3F&quot;/&gt;&lt;wsp:rsid wsp:val=&quot;00887159&quot;/&gt;&lt;wsp:rsid wsp:val=&quot;008871E3&quot;/&gt;&lt;wsp:rsid wsp:val=&quot;0088732A&quot;/&gt;&lt;wsp:rsid wsp:val=&quot;008876C3&quot;/&gt;&lt;wsp:rsid wsp:val=&quot;0088771E&quot;/&gt;&lt;wsp:rsid wsp:val=&quot;00887E0A&quot;/&gt;&lt;wsp:rsid wsp:val=&quot;00887F79&quot;/&gt;&lt;wsp:rsid wsp:val=&quot;00890178&quot;/&gt;&lt;wsp:rsid wsp:val=&quot;0089018B&quot;/&gt;&lt;wsp:rsid wsp:val=&quot;008908F5&quot;/&gt;&lt;wsp:rsid wsp:val=&quot;00890907&quot;/&gt;&lt;wsp:rsid wsp:val=&quot;00890DFA&quot;/&gt;&lt;wsp:rsid wsp:val=&quot;00890F78&quot;/&gt;&lt;wsp:rsid wsp:val=&quot;0089120C&quot;/&gt;&lt;wsp:rsid wsp:val=&quot;008912E6&quot;/&gt;&lt;wsp:rsid wsp:val=&quot;0089138D&quot;/&gt;&lt;wsp:rsid wsp:val=&quot;00891863&quot;/&gt;&lt;wsp:rsid wsp:val=&quot;00891FAF&quot;/&gt;&lt;wsp:rsid wsp:val=&quot;008925B1&quot;/&gt;&lt;wsp:rsid wsp:val=&quot;0089275F&quot;/&gt;&lt;wsp:rsid wsp:val=&quot;00892A3B&quot;/&gt;&lt;wsp:rsid wsp:val=&quot;00892CA5&quot;/&gt;&lt;wsp:rsid wsp:val=&quot;00892E00&quot;/&gt;&lt;wsp:rsid wsp:val=&quot;00892E48&quot;/&gt;&lt;wsp:rsid wsp:val=&quot;00892E84&quot;/&gt;&lt;wsp:rsid wsp:val=&quot;0089333C&quot;/&gt;&lt;wsp:rsid wsp:val=&quot;00893479&quot;/&gt;&lt;wsp:rsid wsp:val=&quot;00893902&quot;/&gt;&lt;wsp:rsid wsp:val=&quot;00893A12&quot;/&gt;&lt;wsp:rsid wsp:val=&quot;00894712&quot;/&gt;&lt;wsp:rsid wsp:val=&quot;00894888&quot;/&gt;&lt;wsp:rsid wsp:val=&quot;008949DC&quot;/&gt;&lt;wsp:rsid wsp:val=&quot;00894D38&quot;/&gt;&lt;wsp:rsid wsp:val=&quot;00894EB0&quot;/&gt;&lt;wsp:rsid wsp:val=&quot;008950DA&quot;/&gt;&lt;wsp:rsid wsp:val=&quot;00895431&quot;/&gt;&lt;wsp:rsid wsp:val=&quot;00896177&quot;/&gt;&lt;wsp:rsid wsp:val=&quot;0089699E&quot;/&gt;&lt;wsp:rsid wsp:val=&quot;00896A7F&quot;/&gt;&lt;wsp:rsid wsp:val=&quot;00897169&quot;/&gt;&lt;wsp:rsid wsp:val=&quot;00897285&quot;/&gt;&lt;wsp:rsid wsp:val=&quot;00897399&quot;/&gt;&lt;wsp:rsid wsp:val=&quot;00897681&quot;/&gt;&lt;wsp:rsid wsp:val=&quot;0089779C&quot;/&gt;&lt;wsp:rsid wsp:val=&quot;00897D80&quot;/&gt;&lt;wsp:rsid wsp:val=&quot;00897DD2&quot;/&gt;&lt;wsp:rsid wsp:val=&quot;008A0385&quot;/&gt;&lt;wsp:rsid wsp:val=&quot;008A0DCD&quot;/&gt;&lt;wsp:rsid wsp:val=&quot;008A0EDE&quot;/&gt;&lt;wsp:rsid wsp:val=&quot;008A0EE8&quot;/&gt;&lt;wsp:rsid wsp:val=&quot;008A1306&quot;/&gt;&lt;wsp:rsid wsp:val=&quot;008A14C4&quot;/&gt;&lt;wsp:rsid wsp:val=&quot;008A20A1&quot;/&gt;&lt;wsp:rsid wsp:val=&quot;008A241C&quot;/&gt;&lt;wsp:rsid wsp:val=&quot;008A247F&quot;/&gt;&lt;wsp:rsid wsp:val=&quot;008A25DF&quot;/&gt;&lt;wsp:rsid wsp:val=&quot;008A2A7F&quot;/&gt;&lt;wsp:rsid wsp:val=&quot;008A2BC2&quot;/&gt;&lt;wsp:rsid wsp:val=&quot;008A2EED&quot;/&gt;&lt;wsp:rsid wsp:val=&quot;008A3B93&quot;/&gt;&lt;wsp:rsid wsp:val=&quot;008A3C64&quot;/&gt;&lt;wsp:rsid wsp:val=&quot;008A3D0B&quot;/&gt;&lt;wsp:rsid wsp:val=&quot;008A3EBD&quot;/&gt;&lt;wsp:rsid wsp:val=&quot;008A3FE9&quot;/&gt;&lt;wsp:rsid wsp:val=&quot;008A4144&quot;/&gt;&lt;wsp:rsid wsp:val=&quot;008A4E20&quot;/&gt;&lt;wsp:rsid wsp:val=&quot;008A4EA3&quot;/&gt;&lt;wsp:rsid wsp:val=&quot;008A5893&quot;/&gt;&lt;wsp:rsid wsp:val=&quot;008A5F7B&quot;/&gt;&lt;wsp:rsid wsp:val=&quot;008A6419&quot;/&gt;&lt;wsp:rsid wsp:val=&quot;008A6E62&quot;/&gt;&lt;wsp:rsid wsp:val=&quot;008A7024&quot;/&gt;&lt;wsp:rsid wsp:val=&quot;008A760B&quot;/&gt;&lt;wsp:rsid wsp:val=&quot;008A7E5B&quot;/&gt;&lt;wsp:rsid wsp:val=&quot;008A7F16&quot;/&gt;&lt;wsp:rsid wsp:val=&quot;008A7FF1&quot;/&gt;&lt;wsp:rsid wsp:val=&quot;008B03B8&quot;/&gt;&lt;wsp:rsid wsp:val=&quot;008B0AEA&quot;/&gt;&lt;wsp:rsid wsp:val=&quot;008B0CE3&quot;/&gt;&lt;wsp:rsid wsp:val=&quot;008B0CFB&quot;/&gt;&lt;wsp:rsid wsp:val=&quot;008B0D74&quot;/&gt;&lt;wsp:rsid wsp:val=&quot;008B1657&quot;/&gt;&lt;wsp:rsid wsp:val=&quot;008B167F&quot;/&gt;&lt;wsp:rsid wsp:val=&quot;008B1B1E&quot;/&gt;&lt;wsp:rsid wsp:val=&quot;008B1C53&quot;/&gt;&lt;wsp:rsid wsp:val=&quot;008B1EDF&quot;/&gt;&lt;wsp:rsid wsp:val=&quot;008B21D4&quot;/&gt;&lt;wsp:rsid wsp:val=&quot;008B22BA&quot;/&gt;&lt;wsp:rsid wsp:val=&quot;008B2A6C&quot;/&gt;&lt;wsp:rsid wsp:val=&quot;008B2C88&quot;/&gt;&lt;wsp:rsid wsp:val=&quot;008B317E&quot;/&gt;&lt;wsp:rsid wsp:val=&quot;008B3BFC&quot;/&gt;&lt;wsp:rsid wsp:val=&quot;008B417A&quot;/&gt;&lt;wsp:rsid wsp:val=&quot;008B47DF&quot;/&gt;&lt;wsp:rsid wsp:val=&quot;008B4ACB&quot;/&gt;&lt;wsp:rsid wsp:val=&quot;008B4BD6&quot;/&gt;&lt;wsp:rsid wsp:val=&quot;008B4C4F&quot;/&gt;&lt;wsp:rsid wsp:val=&quot;008B4CD5&quot;/&gt;&lt;wsp:rsid wsp:val=&quot;008B4D67&quot;/&gt;&lt;wsp:rsid wsp:val=&quot;008B513C&quot;/&gt;&lt;wsp:rsid wsp:val=&quot;008B515C&quot;/&gt;&lt;wsp:rsid wsp:val=&quot;008B544C&quot;/&gt;&lt;wsp:rsid wsp:val=&quot;008B5962&quot;/&gt;&lt;wsp:rsid wsp:val=&quot;008B62D2&quot;/&gt;&lt;wsp:rsid wsp:val=&quot;008B6326&quot;/&gt;&lt;wsp:rsid wsp:val=&quot;008B6513&quot;/&gt;&lt;wsp:rsid wsp:val=&quot;008B6CC7&quot;/&gt;&lt;wsp:rsid wsp:val=&quot;008B7083&quot;/&gt;&lt;wsp:rsid wsp:val=&quot;008B79F6&quot;/&gt;&lt;wsp:rsid wsp:val=&quot;008B7BA6&quot;/&gt;&lt;wsp:rsid wsp:val=&quot;008B7BDD&quot;/&gt;&lt;wsp:rsid wsp:val=&quot;008C004F&quot;/&gt;&lt;wsp:rsid wsp:val=&quot;008C00FA&quot;/&gt;&lt;wsp:rsid wsp:val=&quot;008C031E&quot;/&gt;&lt;wsp:rsid wsp:val=&quot;008C0496&quot;/&gt;&lt;wsp:rsid wsp:val=&quot;008C0725&quot;/&gt;&lt;wsp:rsid wsp:val=&quot;008C09C3&quot;/&gt;&lt;wsp:rsid wsp:val=&quot;008C0A2C&quot;/&gt;&lt;wsp:rsid wsp:val=&quot;008C0CD1&quot;/&gt;&lt;wsp:rsid wsp:val=&quot;008C0FCD&quot;/&gt;&lt;wsp:rsid wsp:val=&quot;008C141C&quot;/&gt;&lt;wsp:rsid wsp:val=&quot;008C178B&quot;/&gt;&lt;wsp:rsid wsp:val=&quot;008C1CEF&quot;/&gt;&lt;wsp:rsid wsp:val=&quot;008C1FB8&quot;/&gt;&lt;wsp:rsid wsp:val=&quot;008C2188&quot;/&gt;&lt;wsp:rsid wsp:val=&quot;008C28FC&quot;/&gt;&lt;wsp:rsid wsp:val=&quot;008C2B53&quot;/&gt;&lt;wsp:rsid wsp:val=&quot;008C2C5D&quot;/&gt;&lt;wsp:rsid wsp:val=&quot;008C2DF1&quot;/&gt;&lt;wsp:rsid wsp:val=&quot;008C2E09&quot;/&gt;&lt;wsp:rsid wsp:val=&quot;008C2E73&quot;/&gt;&lt;wsp:rsid wsp:val=&quot;008C2F26&quot;/&gt;&lt;wsp:rsid wsp:val=&quot;008C304E&quot;/&gt;&lt;wsp:rsid wsp:val=&quot;008C3341&quot;/&gt;&lt;wsp:rsid wsp:val=&quot;008C3B27&quot;/&gt;&lt;wsp:rsid wsp:val=&quot;008C40F4&quot;/&gt;&lt;wsp:rsid wsp:val=&quot;008C4236&quot;/&gt;&lt;wsp:rsid wsp:val=&quot;008C440D&quot;/&gt;&lt;wsp:rsid wsp:val=&quot;008C45EB&quot;/&gt;&lt;wsp:rsid wsp:val=&quot;008C4AA7&quot;/&gt;&lt;wsp:rsid wsp:val=&quot;008C5370&quot;/&gt;&lt;wsp:rsid wsp:val=&quot;008C53E6&quot;/&gt;&lt;wsp:rsid wsp:val=&quot;008C61E8&quot;/&gt;&lt;wsp:rsid wsp:val=&quot;008C65D8&quot;/&gt;&lt;wsp:rsid wsp:val=&quot;008C6723&quot;/&gt;&lt;wsp:rsid wsp:val=&quot;008C69F0&quot;/&gt;&lt;wsp:rsid wsp:val=&quot;008C6F58&quot;/&gt;&lt;wsp:rsid wsp:val=&quot;008C71C6&quot;/&gt;&lt;wsp:rsid wsp:val=&quot;008C7236&quot;/&gt;&lt;wsp:rsid wsp:val=&quot;008C7457&quot;/&gt;&lt;wsp:rsid wsp:val=&quot;008C765C&quot;/&gt;&lt;wsp:rsid wsp:val=&quot;008C7731&quot;/&gt;&lt;wsp:rsid wsp:val=&quot;008C77E4&quot;/&gt;&lt;wsp:rsid wsp:val=&quot;008C7A0B&quot;/&gt;&lt;wsp:rsid wsp:val=&quot;008C7A60&quot;/&gt;&lt;wsp:rsid wsp:val=&quot;008C7B67&quot;/&gt;&lt;wsp:rsid wsp:val=&quot;008C7F15&quot;/&gt;&lt;wsp:rsid wsp:val=&quot;008D09DE&quot;/&gt;&lt;wsp:rsid wsp:val=&quot;008D0F15&quot;/&gt;&lt;wsp:rsid wsp:val=&quot;008D1621&quot;/&gt;&lt;wsp:rsid wsp:val=&quot;008D172B&quot;/&gt;&lt;wsp:rsid wsp:val=&quot;008D1BA5&quot;/&gt;&lt;wsp:rsid wsp:val=&quot;008D2C98&quot;/&gt;&lt;wsp:rsid wsp:val=&quot;008D3458&quot;/&gt;&lt;wsp:rsid wsp:val=&quot;008D345E&quot;/&gt;&lt;wsp:rsid wsp:val=&quot;008D3466&quot;/&gt;&lt;wsp:rsid wsp:val=&quot;008D3B15&quot;/&gt;&lt;wsp:rsid wsp:val=&quot;008D3B7B&quot;/&gt;&lt;wsp:rsid wsp:val=&quot;008D3C87&quot;/&gt;&lt;wsp:rsid wsp:val=&quot;008D4662&quot;/&gt;&lt;wsp:rsid wsp:val=&quot;008D46B1&quot;/&gt;&lt;wsp:rsid wsp:val=&quot;008D5085&quot;/&gt;&lt;wsp:rsid wsp:val=&quot;008D514A&quot;/&gt;&lt;wsp:rsid wsp:val=&quot;008D55C8&quot;/&gt;&lt;wsp:rsid wsp:val=&quot;008D621C&quot;/&gt;&lt;wsp:rsid wsp:val=&quot;008D656C&quot;/&gt;&lt;wsp:rsid wsp:val=&quot;008D6AB6&quot;/&gt;&lt;wsp:rsid wsp:val=&quot;008D6AEA&quot;/&gt;&lt;wsp:rsid wsp:val=&quot;008D6F9D&quot;/&gt;&lt;wsp:rsid wsp:val=&quot;008D72C8&quot;/&gt;&lt;wsp:rsid wsp:val=&quot;008D770F&quot;/&gt;&lt;wsp:rsid wsp:val=&quot;008D7967&quot;/&gt;&lt;wsp:rsid wsp:val=&quot;008D7A0C&quot;/&gt;&lt;wsp:rsid wsp:val=&quot;008D7B18&quot;/&gt;&lt;wsp:rsid wsp:val=&quot;008E0261&quot;/&gt;&lt;wsp:rsid wsp:val=&quot;008E050A&quot;/&gt;&lt;wsp:rsid wsp:val=&quot;008E06ED&quot;/&gt;&lt;wsp:rsid wsp:val=&quot;008E093D&quot;/&gt;&lt;wsp:rsid wsp:val=&quot;008E14EB&quot;/&gt;&lt;wsp:rsid wsp:val=&quot;008E15B8&quot;/&gt;&lt;wsp:rsid wsp:val=&quot;008E1948&quot;/&gt;&lt;wsp:rsid wsp:val=&quot;008E1BEC&quot;/&gt;&lt;wsp:rsid wsp:val=&quot;008E1CB1&quot;/&gt;&lt;wsp:rsid wsp:val=&quot;008E1F08&quot;/&gt;&lt;wsp:rsid wsp:val=&quot;008E2320&quot;/&gt;&lt;wsp:rsid wsp:val=&quot;008E240F&quot;/&gt;&lt;wsp:rsid wsp:val=&quot;008E2575&quot;/&gt;&lt;wsp:rsid wsp:val=&quot;008E2A9B&quot;/&gt;&lt;wsp:rsid wsp:val=&quot;008E2BD1&quot;/&gt;&lt;wsp:rsid wsp:val=&quot;008E3342&quot;/&gt;&lt;wsp:rsid wsp:val=&quot;008E3398&quot;/&gt;&lt;wsp:rsid wsp:val=&quot;008E39F4&quot;/&gt;&lt;wsp:rsid wsp:val=&quot;008E3B1C&quot;/&gt;&lt;wsp:rsid wsp:val=&quot;008E3EB2&quot;/&gt;&lt;wsp:rsid wsp:val=&quot;008E4C43&quot;/&gt;&lt;wsp:rsid wsp:val=&quot;008E52F2&quot;/&gt;&lt;wsp:rsid wsp:val=&quot;008E539B&quot;/&gt;&lt;wsp:rsid wsp:val=&quot;008E5769&quot;/&gt;&lt;wsp:rsid wsp:val=&quot;008E58ED&quot;/&gt;&lt;wsp:rsid wsp:val=&quot;008E5B55&quot;/&gt;&lt;wsp:rsid wsp:val=&quot;008E5BD6&quot;/&gt;&lt;wsp:rsid wsp:val=&quot;008E5F0C&quot;/&gt;&lt;wsp:rsid wsp:val=&quot;008E6158&quot;/&gt;&lt;wsp:rsid wsp:val=&quot;008E62F9&quot;/&gt;&lt;wsp:rsid wsp:val=&quot;008E6605&quot;/&gt;&lt;wsp:rsid wsp:val=&quot;008E673A&quot;/&gt;&lt;wsp:rsid wsp:val=&quot;008E67E1&quot;/&gt;&lt;wsp:rsid wsp:val=&quot;008E6921&quot;/&gt;&lt;wsp:rsid wsp:val=&quot;008E6AEC&quot;/&gt;&lt;wsp:rsid wsp:val=&quot;008E6BFD&quot;/&gt;&lt;wsp:rsid wsp:val=&quot;008E6CBC&quot;/&gt;&lt;wsp:rsid wsp:val=&quot;008E6F19&quot;/&gt;&lt;wsp:rsid wsp:val=&quot;008E79A0&quot;/&gt;&lt;wsp:rsid wsp:val=&quot;008E7DAA&quot;/&gt;&lt;wsp:rsid wsp:val=&quot;008F0505&quot;/&gt;&lt;wsp:rsid wsp:val=&quot;008F0771&quot;/&gt;&lt;wsp:rsid wsp:val=&quot;008F0966&quot;/&gt;&lt;wsp:rsid wsp:val=&quot;008F0E42&quot;/&gt;&lt;wsp:rsid wsp:val=&quot;008F0E74&quot;/&gt;&lt;wsp:rsid wsp:val=&quot;008F1131&quot;/&gt;&lt;wsp:rsid wsp:val=&quot;008F195C&quot;/&gt;&lt;wsp:rsid wsp:val=&quot;008F1A00&quot;/&gt;&lt;wsp:rsid wsp:val=&quot;008F1AD7&quot;/&gt;&lt;wsp:rsid wsp:val=&quot;008F22D5&quot;/&gt;&lt;wsp:rsid wsp:val=&quot;008F23C5&quot;/&gt;&lt;wsp:rsid wsp:val=&quot;008F26C8&quot;/&gt;&lt;wsp:rsid wsp:val=&quot;008F29EB&quot;/&gt;&lt;wsp:rsid wsp:val=&quot;008F2DDD&quot;/&gt;&lt;wsp:rsid wsp:val=&quot;008F30D9&quot;/&gt;&lt;wsp:rsid wsp:val=&quot;008F359F&quot;/&gt;&lt;wsp:rsid wsp:val=&quot;008F37EC&quot;/&gt;&lt;wsp:rsid wsp:val=&quot;008F3CF8&quot;/&gt;&lt;wsp:rsid wsp:val=&quot;008F3D5C&quot;/&gt;&lt;wsp:rsid wsp:val=&quot;008F3F23&quot;/&gt;&lt;wsp:rsid wsp:val=&quot;008F3F37&quot;/&gt;&lt;wsp:rsid wsp:val=&quot;008F46EB&quot;/&gt;&lt;wsp:rsid wsp:val=&quot;008F4BD8&quot;/&gt;&lt;wsp:rsid wsp:val=&quot;008F4D67&quot;/&gt;&lt;wsp:rsid wsp:val=&quot;008F4E9C&quot;/&gt;&lt;wsp:rsid wsp:val=&quot;008F514D&quot;/&gt;&lt;wsp:rsid wsp:val=&quot;008F546D&quot;/&gt;&lt;wsp:rsid wsp:val=&quot;008F5489&quot;/&gt;&lt;wsp:rsid wsp:val=&quot;008F5BE4&quot;/&gt;&lt;wsp:rsid wsp:val=&quot;008F5C1E&quot;/&gt;&lt;wsp:rsid wsp:val=&quot;008F5C8A&quot;/&gt;&lt;wsp:rsid wsp:val=&quot;008F601F&quot;/&gt;&lt;wsp:rsid wsp:val=&quot;008F6099&quot;/&gt;&lt;wsp:rsid wsp:val=&quot;008F618B&quot;/&gt;&lt;wsp:rsid wsp:val=&quot;008F667B&quot;/&gt;&lt;wsp:rsid wsp:val=&quot;008F6C87&quot;/&gt;&lt;wsp:rsid wsp:val=&quot;008F70CD&quot;/&gt;&lt;wsp:rsid wsp:val=&quot;008F7C27&quot;/&gt;&lt;wsp:rsid wsp:val=&quot;00900513&quot;/&gt;&lt;wsp:rsid wsp:val=&quot;00900E61&quot;/&gt;&lt;wsp:rsid wsp:val=&quot;0090117A&quot;/&gt;&lt;wsp:rsid wsp:val=&quot;0090154D&quot;/&gt;&lt;wsp:rsid wsp:val=&quot;00901580&quot;/&gt;&lt;wsp:rsid wsp:val=&quot;0090189D&quot;/&gt;&lt;wsp:rsid wsp:val=&quot;0090293D&quot;/&gt;&lt;wsp:rsid wsp:val=&quot;00902AC5&quot;/&gt;&lt;wsp:rsid wsp:val=&quot;00902C25&quot;/&gt;&lt;wsp:rsid wsp:val=&quot;0090300A&quot;/&gt;&lt;wsp:rsid wsp:val=&quot;00903216&quot;/&gt;&lt;wsp:rsid wsp:val=&quot;00903272&quot;/&gt;&lt;wsp:rsid wsp:val=&quot;00903532&quot;/&gt;&lt;wsp:rsid wsp:val=&quot;00903794&quot;/&gt;&lt;wsp:rsid wsp:val=&quot;00904FBC&quot;/&gt;&lt;wsp:rsid wsp:val=&quot;009055EB&quot;/&gt;&lt;wsp:rsid wsp:val=&quot;00905B69&quot;/&gt;&lt;wsp:rsid wsp:val=&quot;009060A8&quot;/&gt;&lt;wsp:rsid wsp:val=&quot;00906853&quot;/&gt;&lt;wsp:rsid wsp:val=&quot;00906856&quot;/&gt;&lt;wsp:rsid wsp:val=&quot;00906864&quot;/&gt;&lt;wsp:rsid wsp:val=&quot;00906A15&quot;/&gt;&lt;wsp:rsid wsp:val=&quot;00906ABF&quot;/&gt;&lt;wsp:rsid wsp:val=&quot;00906C11&quot;/&gt;&lt;wsp:rsid wsp:val=&quot;009071AE&quot;/&gt;&lt;wsp:rsid wsp:val=&quot;0090749D&quot;/&gt;&lt;wsp:rsid wsp:val=&quot;00907596&quot;/&gt;&lt;wsp:rsid wsp:val=&quot;0090764B&quot;/&gt;&lt;wsp:rsid wsp:val=&quot;009076CB&quot;/&gt;&lt;wsp:rsid wsp:val=&quot;009078AF&quot;/&gt;&lt;wsp:rsid wsp:val=&quot;00907EB1&quot;/&gt;&lt;wsp:rsid wsp:val=&quot;00907EEC&quot;/&gt;&lt;wsp:rsid wsp:val=&quot;009102C4&quot;/&gt;&lt;wsp:rsid wsp:val=&quot;00910BA2&quot;/&gt;&lt;wsp:rsid wsp:val=&quot;00910D04&quot;/&gt;&lt;wsp:rsid wsp:val=&quot;00910F7B&quot;/&gt;&lt;wsp:rsid wsp:val=&quot;009115C8&quot;/&gt;&lt;wsp:rsid wsp:val=&quot;00911733&quot;/&gt;&lt;wsp:rsid wsp:val=&quot;0091179B&quot;/&gt;&lt;wsp:rsid wsp:val=&quot;0091257C&quot;/&gt;&lt;wsp:rsid wsp:val=&quot;0091271F&quot;/&gt;&lt;wsp:rsid wsp:val=&quot;00912CE0&quot;/&gt;&lt;wsp:rsid wsp:val=&quot;00912DD2&quot;/&gt;&lt;wsp:rsid wsp:val=&quot;00912F07&quot;/&gt;&lt;wsp:rsid wsp:val=&quot;00912F87&quot;/&gt;&lt;wsp:rsid wsp:val=&quot;009132AA&quot;/&gt;&lt;wsp:rsid wsp:val=&quot;009135E5&quot;/&gt;&lt;wsp:rsid wsp:val=&quot;00913717&quot;/&gt;&lt;wsp:rsid wsp:val=&quot;00913790&quot;/&gt;&lt;wsp:rsid wsp:val=&quot;00913C7F&quot;/&gt;&lt;wsp:rsid wsp:val=&quot;00913D47&quot;/&gt;&lt;wsp:rsid wsp:val=&quot;00913E9D&quot;/&gt;&lt;wsp:rsid wsp:val=&quot;009143DF&quot;/&gt;&lt;wsp:rsid wsp:val=&quot;00914437&quot;/&gt;&lt;wsp:rsid wsp:val=&quot;009147CE&quot;/&gt;&lt;wsp:rsid wsp:val=&quot;00914AB9&quot;/&gt;&lt;wsp:rsid wsp:val=&quot;00914F69&quot;/&gt;&lt;wsp:rsid wsp:val=&quot;009157B4&quot;/&gt;&lt;wsp:rsid wsp:val=&quot;0091624C&quot;/&gt;&lt;wsp:rsid wsp:val=&quot;00916658&quot;/&gt;&lt;wsp:rsid wsp:val=&quot;00916E5A&quot;/&gt;&lt;wsp:rsid wsp:val=&quot;00917177&quot;/&gt;&lt;wsp:rsid wsp:val=&quot;009175C8&quot;/&gt;&lt;wsp:rsid wsp:val=&quot;00917B3B&quot;/&gt;&lt;wsp:rsid wsp:val=&quot;0092006C&quot;/&gt;&lt;wsp:rsid wsp:val=&quot;00920473&quot;/&gt;&lt;wsp:rsid wsp:val=&quot;0092088B&quot;/&gt;&lt;wsp:rsid wsp:val=&quot;00920AD2&quot;/&gt;&lt;wsp:rsid wsp:val=&quot;00920FA4&quot;/&gt;&lt;wsp:rsid wsp:val=&quot;0092109F&quot;/&gt;&lt;wsp:rsid wsp:val=&quot;00921510&quot;/&gt;&lt;wsp:rsid wsp:val=&quot;0092193B&quot;/&gt;&lt;wsp:rsid wsp:val=&quot;009219D3&quot;/&gt;&lt;wsp:rsid wsp:val=&quot;00921D32&quot;/&gt;&lt;wsp:rsid wsp:val=&quot;0092209F&quot;/&gt;&lt;wsp:rsid wsp:val=&quot;00922279&quot;/&gt;&lt;wsp:rsid wsp:val=&quot;00922548&quot;/&gt;&lt;wsp:rsid wsp:val=&quot;0092254B&quot;/&gt;&lt;wsp:rsid wsp:val=&quot;00922B18&quot;/&gt;&lt;wsp:rsid wsp:val=&quot;00923118&quot;/&gt;&lt;wsp:rsid wsp:val=&quot;009236E3&quot;/&gt;&lt;wsp:rsid wsp:val=&quot;00923A43&quot;/&gt;&lt;wsp:rsid wsp:val=&quot;00923AE0&quot;/&gt;&lt;wsp:rsid wsp:val=&quot;00923BC3&quot;/&gt;&lt;wsp:rsid wsp:val=&quot;00923E43&quot;/&gt;&lt;wsp:rsid wsp:val=&quot;00923F54&quot;/&gt;&lt;wsp:rsid wsp:val=&quot;00924E02&quot;/&gt;&lt;wsp:rsid wsp:val=&quot;00924E30&quot;/&gt;&lt;wsp:rsid wsp:val=&quot;009251D0&quot;/&gt;&lt;wsp:rsid wsp:val=&quot;00925774&quot;/&gt;&lt;wsp:rsid wsp:val=&quot;00925821&quot;/&gt;&lt;wsp:rsid wsp:val=&quot;00925FF3&quot;/&gt;&lt;wsp:rsid wsp:val=&quot;00926802&quot;/&gt;&lt;wsp:rsid wsp:val=&quot;009269F5&quot;/&gt;&lt;wsp:rsid wsp:val=&quot;00927BAA&quot;/&gt;&lt;wsp:rsid wsp:val=&quot;00927CCF&quot;/&gt;&lt;wsp:rsid wsp:val=&quot;00927DB4&quot;/&gt;&lt;wsp:rsid wsp:val=&quot;00927F77&quot;/&gt;&lt;wsp:rsid wsp:val=&quot;00927FEB&quot;/&gt;&lt;wsp:rsid wsp:val=&quot;009304F1&quot;/&gt;&lt;wsp:rsid wsp:val=&quot;00930641&quot;/&gt;&lt;wsp:rsid wsp:val=&quot;0093088D&quot;/&gt;&lt;wsp:rsid wsp:val=&quot;00930C11&quot;/&gt;&lt;wsp:rsid wsp:val=&quot;00930D0B&quot;/&gt;&lt;wsp:rsid wsp:val=&quot;00930DD3&quot;/&gt;&lt;wsp:rsid wsp:val=&quot;009313EC&quot;/&gt;&lt;wsp:rsid wsp:val=&quot;00931554&quot;/&gt;&lt;wsp:rsid wsp:val=&quot;00931B48&quot;/&gt;&lt;wsp:rsid wsp:val=&quot;00931CE2&quot;/&gt;&lt;wsp:rsid wsp:val=&quot;0093200C&quot;/&gt;&lt;wsp:rsid wsp:val=&quot;009325ED&quot;/&gt;&lt;wsp:rsid wsp:val=&quot;0093275E&quot;/&gt;&lt;wsp:rsid wsp:val=&quot;0093287D&quot;/&gt;&lt;wsp:rsid wsp:val=&quot;00932D4D&quot;/&gt;&lt;wsp:rsid wsp:val=&quot;00932DE2&quot;/&gt;&lt;wsp:rsid wsp:val=&quot;00932E21&quot;/&gt;&lt;wsp:rsid wsp:val=&quot;0093355D&quot;/&gt;&lt;wsp:rsid wsp:val=&quot;00933887&quot;/&gt;&lt;wsp:rsid wsp:val=&quot;009339E0&quot;/&gt;&lt;wsp:rsid wsp:val=&quot;00933DB8&quot;/&gt;&lt;wsp:rsid wsp:val=&quot;00933E9F&quot;/&gt;&lt;wsp:rsid wsp:val=&quot;0093457B&quot;/&gt;&lt;wsp:rsid wsp:val=&quot;00934D3B&quot;/&gt;&lt;wsp:rsid wsp:val=&quot;0093523C&quot;/&gt;&lt;wsp:rsid wsp:val=&quot;009352D1&quot;/&gt;&lt;wsp:rsid wsp:val=&quot;00935CC2&quot;/&gt;&lt;wsp:rsid wsp:val=&quot;00935D23&quot;/&gt;&lt;wsp:rsid wsp:val=&quot;0093605F&quot;/&gt;&lt;wsp:rsid wsp:val=&quot;009360C9&quot;/&gt;&lt;wsp:rsid wsp:val=&quot;00936545&quot;/&gt;&lt;wsp:rsid wsp:val=&quot;00936D64&quot;/&gt;&lt;wsp:rsid wsp:val=&quot;00936F3A&quot;/&gt;&lt;wsp:rsid wsp:val=&quot;00936F68&quot;/&gt;&lt;wsp:rsid wsp:val=&quot;00937205&quot;/&gt;&lt;wsp:rsid wsp:val=&quot;0093729E&quot;/&gt;&lt;wsp:rsid wsp:val=&quot;009378CC&quot;/&gt;&lt;wsp:rsid wsp:val=&quot;00937B53&quot;/&gt;&lt;wsp:rsid wsp:val=&quot;00937BA2&quot;/&gt;&lt;wsp:rsid wsp:val=&quot;00940009&quot;/&gt;&lt;wsp:rsid wsp:val=&quot;009403B1&quot;/&gt;&lt;wsp:rsid wsp:val=&quot;00940992&quot;/&gt;&lt;wsp:rsid wsp:val=&quot;00940B40&quot;/&gt;&lt;wsp:rsid wsp:val=&quot;00940B47&quot;/&gt;&lt;wsp:rsid wsp:val=&quot;00940C7A&quot;/&gt;&lt;wsp:rsid wsp:val=&quot;00940E2E&quot;/&gt;&lt;wsp:rsid wsp:val=&quot;00940ECD&quot;/&gt;&lt;wsp:rsid wsp:val=&quot;00941161&quot;/&gt;&lt;wsp:rsid wsp:val=&quot;0094116E&quot;/&gt;&lt;wsp:rsid wsp:val=&quot;00941302&quot;/&gt;&lt;wsp:rsid wsp:val=&quot;0094131C&quot;/&gt;&lt;wsp:rsid wsp:val=&quot;0094136B&quot;/&gt;&lt;wsp:rsid wsp:val=&quot;00941555&quot;/&gt;&lt;wsp:rsid wsp:val=&quot;00941B19&quot;/&gt;&lt;wsp:rsid wsp:val=&quot;009424BE&quot;/&gt;&lt;wsp:rsid wsp:val=&quot;009426FC&quot;/&gt;&lt;wsp:rsid wsp:val=&quot;009428F9&quot;/&gt;&lt;wsp:rsid wsp:val=&quot;00943268&quot;/&gt;&lt;wsp:rsid wsp:val=&quot;00943605&quot;/&gt;&lt;wsp:rsid wsp:val=&quot;00943812&quot;/&gt;&lt;wsp:rsid wsp:val=&quot;00943923&quot;/&gt;&lt;wsp:rsid wsp:val=&quot;00943EB7&quot;/&gt;&lt;wsp:rsid wsp:val=&quot;00943F71&quot;/&gt;&lt;wsp:rsid wsp:val=&quot;00943FBC&quot;/&gt;&lt;wsp:rsid wsp:val=&quot;009452AE&quot;/&gt;&lt;wsp:rsid wsp:val=&quot;00945548&quot;/&gt;&lt;wsp:rsid wsp:val=&quot;00945834&quot;/&gt;&lt;wsp:rsid wsp:val=&quot;009458E4&quot;/&gt;&lt;wsp:rsid wsp:val=&quot;00945A9F&quot;/&gt;&lt;wsp:rsid wsp:val=&quot;00945CDE&quot;/&gt;&lt;wsp:rsid wsp:val=&quot;00945DD4&quot;/&gt;&lt;wsp:rsid wsp:val=&quot;0094626E&quot;/&gt;&lt;wsp:rsid wsp:val=&quot;009463D7&quot;/&gt;&lt;wsp:rsid wsp:val=&quot;00946B1E&quot;/&gt;&lt;wsp:rsid wsp:val=&quot;00946EC2&quot;/&gt;&lt;wsp:rsid wsp:val=&quot;0094764A&quot;/&gt;&lt;wsp:rsid wsp:val=&quot;009479DB&quot;/&gt;&lt;wsp:rsid wsp:val=&quot;0095016A&quot;/&gt;&lt;wsp:rsid wsp:val=&quot;0095038D&quot;/&gt;&lt;wsp:rsid wsp:val=&quot;00951969&quot;/&gt;&lt;wsp:rsid wsp:val=&quot;00951BB1&quot;/&gt;&lt;wsp:rsid wsp:val=&quot;00951ED8&quot;/&gt;&lt;wsp:rsid wsp:val=&quot;009524C6&quot;/&gt;&lt;wsp:rsid wsp:val=&quot;009527FE&quot;/&gt;&lt;wsp:rsid wsp:val=&quot;00952805&quot;/&gt;&lt;wsp:rsid wsp:val=&quot;00952C7D&quot;/&gt;&lt;wsp:rsid wsp:val=&quot;00952ED4&quot;/&gt;&lt;wsp:rsid wsp:val=&quot;00953062&quot;/&gt;&lt;wsp:rsid wsp:val=&quot;00953263&quot;/&gt;&lt;wsp:rsid wsp:val=&quot;00953AFF&quot;/&gt;&lt;wsp:rsid wsp:val=&quot;00953BA1&quot;/&gt;&lt;wsp:rsid wsp:val=&quot;00953E7D&quot;/&gt;&lt;wsp:rsid wsp:val=&quot;00953FA0&quot;/&gt;&lt;wsp:rsid wsp:val=&quot;00954233&quot;/&gt;&lt;wsp:rsid wsp:val=&quot;00954283&quot;/&gt;&lt;wsp:rsid wsp:val=&quot;0095446D&quot;/&gt;&lt;wsp:rsid wsp:val=&quot;0095452A&quot;/&gt;&lt;wsp:rsid wsp:val=&quot;0095460C&quot;/&gt;&lt;wsp:rsid wsp:val=&quot;0095480E&quot;/&gt;&lt;wsp:rsid wsp:val=&quot;00954BAD&quot;/&gt;&lt;wsp:rsid wsp:val=&quot;00954E91&quot;/&gt;&lt;wsp:rsid wsp:val=&quot;009550C2&quot;/&gt;&lt;wsp:rsid wsp:val=&quot;0095533C&quot;/&gt;&lt;wsp:rsid wsp:val=&quot;009557A8&quot;/&gt;&lt;wsp:rsid wsp:val=&quot;00955DE6&quot;/&gt;&lt;wsp:rsid wsp:val=&quot;00955DF3&quot;/&gt;&lt;wsp:rsid wsp:val=&quot;00955DFE&quot;/&gt;&lt;wsp:rsid wsp:val=&quot;00955F0C&quot;/&gt;&lt;wsp:rsid wsp:val=&quot;009560F5&quot;/&gt;&lt;wsp:rsid wsp:val=&quot;00956C7D&quot;/&gt;&lt;wsp:rsid wsp:val=&quot;00956CDB&quot;/&gt;&lt;wsp:rsid wsp:val=&quot;0095730C&quot;/&gt;&lt;wsp:rsid wsp:val=&quot;00957695&quot;/&gt;&lt;wsp:rsid wsp:val=&quot;009576DE&quot;/&gt;&lt;wsp:rsid wsp:val=&quot;00957CC0&quot;/&gt;&lt;wsp:rsid wsp:val=&quot;00957D47&quot;/&gt;&lt;wsp:rsid wsp:val=&quot;00957EC5&quot;/&gt;&lt;wsp:rsid wsp:val=&quot;00960237&quot;/&gt;&lt;wsp:rsid wsp:val=&quot;0096032B&quot;/&gt;&lt;wsp:rsid wsp:val=&quot;009606AB&quot;/&gt;&lt;wsp:rsid wsp:val=&quot;009609B8&quot;/&gt;&lt;wsp:rsid wsp:val=&quot;00960A1B&quot;/&gt;&lt;wsp:rsid wsp:val=&quot;00960A5B&quot;/&gt;&lt;wsp:rsid wsp:val=&quot;00960DD3&quot;/&gt;&lt;wsp:rsid wsp:val=&quot;00960DF8&quot;/&gt;&lt;wsp:rsid wsp:val=&quot;00960F40&quot;/&gt;&lt;wsp:rsid wsp:val=&quot;00960FA4&quot;/&gt;&lt;wsp:rsid wsp:val=&quot;00961315&quot;/&gt;&lt;wsp:rsid wsp:val=&quot;0096148D&quot;/&gt;&lt;wsp:rsid wsp:val=&quot;00962566&quot;/&gt;&lt;wsp:rsid wsp:val=&quot;00962DEC&quot;/&gt;&lt;wsp:rsid wsp:val=&quot;0096305B&quot;/&gt;&lt;wsp:rsid wsp:val=&quot;00963321&quot;/&gt;&lt;wsp:rsid wsp:val=&quot;0096374E&quot;/&gt;&lt;wsp:rsid wsp:val=&quot;0096384C&quot;/&gt;&lt;wsp:rsid wsp:val=&quot;00963990&quot;/&gt;&lt;wsp:rsid wsp:val=&quot;00963F3E&quot;/&gt;&lt;wsp:rsid wsp:val=&quot;00963FB5&quot;/&gt;&lt;wsp:rsid wsp:val=&quot;00964615&quot;/&gt;&lt;wsp:rsid wsp:val=&quot;00964654&quot;/&gt;&lt;wsp:rsid wsp:val=&quot;009648C7&quot;/&gt;&lt;wsp:rsid wsp:val=&quot;00964F94&quot;/&gt;&lt;wsp:rsid wsp:val=&quot;009655CE&quot;/&gt;&lt;wsp:rsid wsp:val=&quot;00965D54&quot;/&gt;&lt;wsp:rsid wsp:val=&quot;009662CE&quot;/&gt;&lt;wsp:rsid wsp:val=&quot;00966480&quot;/&gt;&lt;wsp:rsid wsp:val=&quot;009667B5&quot;/&gt;&lt;wsp:rsid wsp:val=&quot;0096690C&quot;/&gt;&lt;wsp:rsid wsp:val=&quot;00966956&quot;/&gt;&lt;wsp:rsid wsp:val=&quot;00966A9F&quot;/&gt;&lt;wsp:rsid wsp:val=&quot;0096711A&quot;/&gt;&lt;wsp:rsid wsp:val=&quot;00967304&quot;/&gt;&lt;wsp:rsid wsp:val=&quot;00967551&quot;/&gt;&lt;wsp:rsid wsp:val=&quot;009675E9&quot;/&gt;&lt;wsp:rsid wsp:val=&quot;009677A1&quot;/&gt;&lt;wsp:rsid wsp:val=&quot;00970D50&quot;/&gt;&lt;wsp:rsid wsp:val=&quot;00970FEB&quot;/&gt;&lt;wsp:rsid wsp:val=&quot;00971110&quot;/&gt;&lt;wsp:rsid wsp:val=&quot;0097136E&quot;/&gt;&lt;wsp:rsid wsp:val=&quot;009713D0&quot;/&gt;&lt;wsp:rsid wsp:val=&quot;00971927&quot;/&gt;&lt;wsp:rsid wsp:val=&quot;00971969&quot;/&gt;&lt;wsp:rsid wsp:val=&quot;00971BC7&quot;/&gt;&lt;wsp:rsid wsp:val=&quot;00971C05&quot;/&gt;&lt;wsp:rsid wsp:val=&quot;00971CAA&quot;/&gt;&lt;wsp:rsid wsp:val=&quot;00972210&quot;/&gt;&lt;wsp:rsid wsp:val=&quot;0097343E&quot;/&gt;&lt;wsp:rsid wsp:val=&quot;00973AAB&quot;/&gt;&lt;wsp:rsid wsp:val=&quot;00973C00&quot;/&gt;&lt;wsp:rsid wsp:val=&quot;00973D92&quot;/&gt;&lt;wsp:rsid wsp:val=&quot;00973E53&quot;/&gt;&lt;wsp:rsid wsp:val=&quot;00974110&quot;/&gt;&lt;wsp:rsid wsp:val=&quot;009741DD&quot;/&gt;&lt;wsp:rsid wsp:val=&quot;009742E5&quot;/&gt;&lt;wsp:rsid wsp:val=&quot;00974907&quot;/&gt;&lt;wsp:rsid wsp:val=&quot;00974AE7&quot;/&gt;&lt;wsp:rsid wsp:val=&quot;0097550F&quot;/&gt;&lt;wsp:rsid wsp:val=&quot;0097594A&quot;/&gt;&lt;wsp:rsid wsp:val=&quot;009759C3&quot;/&gt;&lt;wsp:rsid wsp:val=&quot;00975A0E&quot;/&gt;&lt;wsp:rsid wsp:val=&quot;00976090&quot;/&gt;&lt;wsp:rsid wsp:val=&quot;0097735E&quot;/&gt;&lt;wsp:rsid wsp:val=&quot;0097784C&quot;/&gt;&lt;wsp:rsid wsp:val=&quot;009778A0&quot;/&gt;&lt;wsp:rsid wsp:val=&quot;00977B6E&quot;/&gt;&lt;wsp:rsid wsp:val=&quot;00977D78&quot;/&gt;&lt;wsp:rsid wsp:val=&quot;009801FA&quot;/&gt;&lt;wsp:rsid wsp:val=&quot;00980377&quot;/&gt;&lt;wsp:rsid wsp:val=&quot;00980390&quot;/&gt;&lt;wsp:rsid wsp:val=&quot;009803F5&quot;/&gt;&lt;wsp:rsid wsp:val=&quot;00980790&quot;/&gt;&lt;wsp:rsid wsp:val=&quot;00980BB9&quot;/&gt;&lt;wsp:rsid wsp:val=&quot;00980E2A&quot;/&gt;&lt;wsp:rsid wsp:val=&quot;00980EC8&quot;/&gt;&lt;wsp:rsid wsp:val=&quot;009815C2&quot;/&gt;&lt;wsp:rsid wsp:val=&quot;0098278D&quot;/&gt;&lt;wsp:rsid wsp:val=&quot;00982AC4&quot;/&gt;&lt;wsp:rsid wsp:val=&quot;0098346C&quot;/&gt;&lt;wsp:rsid wsp:val=&quot;0098353D&quot;/&gt;&lt;wsp:rsid wsp:val=&quot;009835FB&quot;/&gt;&lt;wsp:rsid wsp:val=&quot;00983797&quot;/&gt;&lt;wsp:rsid wsp:val=&quot;00983827&quot;/&gt;&lt;wsp:rsid wsp:val=&quot;0098488D&quot;/&gt;&lt;wsp:rsid wsp:val=&quot;00984A8C&quot;/&gt;&lt;wsp:rsid wsp:val=&quot;00984AAD&quot;/&gt;&lt;wsp:rsid wsp:val=&quot;00984B8B&quot;/&gt;&lt;wsp:rsid wsp:val=&quot;00984D74&quot;/&gt;&lt;wsp:rsid wsp:val=&quot;00984DD8&quot;/&gt;&lt;wsp:rsid wsp:val=&quot;0098508E&quot;/&gt;&lt;wsp:rsid wsp:val=&quot;009852F4&quot;/&gt;&lt;wsp:rsid wsp:val=&quot;009859BF&quot;/&gt;&lt;wsp:rsid wsp:val=&quot;00987163&quot;/&gt;&lt;wsp:rsid wsp:val=&quot;0098754F&quot;/&gt;&lt;wsp:rsid wsp:val=&quot;00987980&quot;/&gt;&lt;wsp:rsid wsp:val=&quot;00987E89&quot;/&gt;&lt;wsp:rsid wsp:val=&quot;00991459&quot;/&gt;&lt;wsp:rsid wsp:val=&quot;00991671&quot;/&gt;&lt;wsp:rsid wsp:val=&quot;00991782&quot;/&gt;&lt;wsp:rsid wsp:val=&quot;009917E3&quot;/&gt;&lt;wsp:rsid wsp:val=&quot;00991A13&quot;/&gt;&lt;wsp:rsid wsp:val=&quot;00991E2A&quot;/&gt;&lt;wsp:rsid wsp:val=&quot;009921AD&quot;/&gt;&lt;wsp:rsid wsp:val=&quot;009921D4&quot;/&gt;&lt;wsp:rsid wsp:val=&quot;0099278A&quot;/&gt;&lt;wsp:rsid wsp:val=&quot;00992869&quot;/&gt;&lt;wsp:rsid wsp:val=&quot;00992C3D&quot;/&gt;&lt;wsp:rsid wsp:val=&quot;00992DE3&quot;/&gt;&lt;wsp:rsid wsp:val=&quot;0099312A&quot;/&gt;&lt;wsp:rsid wsp:val=&quot;00993200&quot;/&gt;&lt;wsp:rsid wsp:val=&quot;00993249&quot;/&gt;&lt;wsp:rsid wsp:val=&quot;00993475&quot;/&gt;&lt;wsp:rsid wsp:val=&quot;00993B49&quot;/&gt;&lt;wsp:rsid wsp:val=&quot;00993BD3&quot;/&gt;&lt;wsp:rsid wsp:val=&quot;00994D3E&quot;/&gt;&lt;wsp:rsid wsp:val=&quot;009955E0&quot;/&gt;&lt;wsp:rsid wsp:val=&quot;00995611&quot;/&gt;&lt;wsp:rsid wsp:val=&quot;009957D0&quot;/&gt;&lt;wsp:rsid wsp:val=&quot;009958F6&quot;/&gt;&lt;wsp:rsid wsp:val=&quot;00995A30&quot;/&gt;&lt;wsp:rsid wsp:val=&quot;00995C78&quot;/&gt;&lt;wsp:rsid wsp:val=&quot;00995D52&quot;/&gt;&lt;wsp:rsid wsp:val=&quot;00995D62&quot;/&gt;&lt;wsp:rsid wsp:val=&quot;00995EED&quot;/&gt;&lt;wsp:rsid wsp:val=&quot;0099609C&quot;/&gt;&lt;wsp:rsid wsp:val=&quot;009967AD&quot;/&gt;&lt;wsp:rsid wsp:val=&quot;00996821&quot;/&gt;&lt;wsp:rsid wsp:val=&quot;009969C4&quot;/&gt;&lt;wsp:rsid wsp:val=&quot;00996C5E&quot;/&gt;&lt;wsp:rsid wsp:val=&quot;00996E57&quot;/&gt;&lt;wsp:rsid wsp:val=&quot;009972EB&quot;/&gt;&lt;wsp:rsid wsp:val=&quot;00997809&quot;/&gt;&lt;wsp:rsid wsp:val=&quot;009A00EF&quot;/&gt;&lt;wsp:rsid wsp:val=&quot;009A031D&quot;/&gt;&lt;wsp:rsid wsp:val=&quot;009A0546&quot;/&gt;&lt;wsp:rsid wsp:val=&quot;009A0691&quot;/&gt;&lt;wsp:rsid wsp:val=&quot;009A0AA4&quot;/&gt;&lt;wsp:rsid wsp:val=&quot;009A1202&quot;/&gt;&lt;wsp:rsid wsp:val=&quot;009A16E8&quot;/&gt;&lt;wsp:rsid wsp:val=&quot;009A170E&quot;/&gt;&lt;wsp:rsid wsp:val=&quot;009A1756&quot;/&gt;&lt;wsp:rsid wsp:val=&quot;009A179F&quot;/&gt;&lt;wsp:rsid wsp:val=&quot;009A1F5C&quot;/&gt;&lt;wsp:rsid wsp:val=&quot;009A215F&quot;/&gt;&lt;wsp:rsid wsp:val=&quot;009A24E6&quot;/&gt;&lt;wsp:rsid wsp:val=&quot;009A24F6&quot;/&gt;&lt;wsp:rsid wsp:val=&quot;009A2528&quot;/&gt;&lt;wsp:rsid wsp:val=&quot;009A261F&quot;/&gt;&lt;wsp:rsid wsp:val=&quot;009A295F&quot;/&gt;&lt;wsp:rsid wsp:val=&quot;009A2EEB&quot;/&gt;&lt;wsp:rsid wsp:val=&quot;009A3A57&quot;/&gt;&lt;wsp:rsid wsp:val=&quot;009A3CCC&quot;/&gt;&lt;wsp:rsid wsp:val=&quot;009A4396&quot;/&gt;&lt;wsp:rsid wsp:val=&quot;009A452F&quot;/&gt;&lt;wsp:rsid wsp:val=&quot;009A46B8&quot;/&gt;&lt;wsp:rsid wsp:val=&quot;009A4725&quot;/&gt;&lt;wsp:rsid wsp:val=&quot;009A4863&quot;/&gt;&lt;wsp:rsid wsp:val=&quot;009A4996&quot;/&gt;&lt;wsp:rsid wsp:val=&quot;009A4BC2&quot;/&gt;&lt;wsp:rsid wsp:val=&quot;009A4F9A&quot;/&gt;&lt;wsp:rsid wsp:val=&quot;009A5039&quot;/&gt;&lt;wsp:rsid wsp:val=&quot;009A519E&quot;/&gt;&lt;wsp:rsid wsp:val=&quot;009A5423&quot;/&gt;&lt;wsp:rsid wsp:val=&quot;009A5468&quot;/&gt;&lt;wsp:rsid wsp:val=&quot;009A57B5&quot;/&gt;&lt;wsp:rsid wsp:val=&quot;009A5B9A&quot;/&gt;&lt;wsp:rsid wsp:val=&quot;009A5E75&quot;/&gt;&lt;wsp:rsid wsp:val=&quot;009A60AE&quot;/&gt;&lt;wsp:rsid wsp:val=&quot;009A616D&quot;/&gt;&lt;wsp:rsid wsp:val=&quot;009A6712&quot;/&gt;&lt;wsp:rsid wsp:val=&quot;009A68F1&quot;/&gt;&lt;wsp:rsid wsp:val=&quot;009A6A5B&quot;/&gt;&lt;wsp:rsid wsp:val=&quot;009A6B39&quot;/&gt;&lt;wsp:rsid wsp:val=&quot;009A6D9B&quot;/&gt;&lt;wsp:rsid wsp:val=&quot;009A7078&quot;/&gt;&lt;wsp:rsid wsp:val=&quot;009A751C&quot;/&gt;&lt;wsp:rsid wsp:val=&quot;009A7768&quot;/&gt;&lt;wsp:rsid wsp:val=&quot;009A778F&quot;/&gt;&lt;wsp:rsid wsp:val=&quot;009A7BB0&quot;/&gt;&lt;wsp:rsid wsp:val=&quot;009A7BFB&quot;/&gt;&lt;wsp:rsid wsp:val=&quot;009A7C9E&quot;/&gt;&lt;wsp:rsid wsp:val=&quot;009B030A&quot;/&gt;&lt;wsp:rsid wsp:val=&quot;009B0BA0&quot;/&gt;&lt;wsp:rsid wsp:val=&quot;009B0D0E&quot;/&gt;&lt;wsp:rsid wsp:val=&quot;009B0D1C&quot;/&gt;&lt;wsp:rsid wsp:val=&quot;009B1D40&quot;/&gt;&lt;wsp:rsid wsp:val=&quot;009B2453&quot;/&gt;&lt;wsp:rsid wsp:val=&quot;009B25C0&quot;/&gt;&lt;wsp:rsid wsp:val=&quot;009B2649&quot;/&gt;&lt;wsp:rsid wsp:val=&quot;009B27CF&quot;/&gt;&lt;wsp:rsid wsp:val=&quot;009B2818&quot;/&gt;&lt;wsp:rsid wsp:val=&quot;009B2A7E&quot;/&gt;&lt;wsp:rsid wsp:val=&quot;009B2AAF&quot;/&gt;&lt;wsp:rsid wsp:val=&quot;009B2AFC&quot;/&gt;&lt;wsp:rsid wsp:val=&quot;009B2B4B&quot;/&gt;&lt;wsp:rsid wsp:val=&quot;009B2DDF&quot;/&gt;&lt;wsp:rsid wsp:val=&quot;009B3261&quot;/&gt;&lt;wsp:rsid wsp:val=&quot;009B3DE1&quot;/&gt;&lt;wsp:rsid wsp:val=&quot;009B4723&quot;/&gt;&lt;wsp:rsid wsp:val=&quot;009B4B92&quot;/&gt;&lt;wsp:rsid wsp:val=&quot;009B54B4&quot;/&gt;&lt;wsp:rsid wsp:val=&quot;009B5A4D&quot;/&gt;&lt;wsp:rsid wsp:val=&quot;009B5BB6&quot;/&gt;&lt;wsp:rsid wsp:val=&quot;009B6CDE&quot;/&gt;&lt;wsp:rsid wsp:val=&quot;009B7120&quot;/&gt;&lt;wsp:rsid wsp:val=&quot;009B79FA&quot;/&gt;&lt;wsp:rsid wsp:val=&quot;009B7A35&quot;/&gt;&lt;wsp:rsid wsp:val=&quot;009B7B82&quot;/&gt;&lt;wsp:rsid wsp:val=&quot;009B7DC2&quot;/&gt;&lt;wsp:rsid wsp:val=&quot;009C053E&quot;/&gt;&lt;wsp:rsid wsp:val=&quot;009C06B6&quot;/&gt;&lt;wsp:rsid wsp:val=&quot;009C08EA&quot;/&gt;&lt;wsp:rsid wsp:val=&quot;009C09FD&quot;/&gt;&lt;wsp:rsid wsp:val=&quot;009C0D5C&quot;/&gt;&lt;wsp:rsid wsp:val=&quot;009C1451&quot;/&gt;&lt;wsp:rsid wsp:val=&quot;009C1F4F&quot;/&gt;&lt;wsp:rsid wsp:val=&quot;009C2072&quot;/&gt;&lt;wsp:rsid wsp:val=&quot;009C23D6&quot;/&gt;&lt;wsp:rsid wsp:val=&quot;009C2722&quot;/&gt;&lt;wsp:rsid wsp:val=&quot;009C2729&quot;/&gt;&lt;wsp:rsid wsp:val=&quot;009C2784&quot;/&gt;&lt;wsp:rsid wsp:val=&quot;009C2AEA&quot;/&gt;&lt;wsp:rsid wsp:val=&quot;009C2C3F&quot;/&gt;&lt;wsp:rsid wsp:val=&quot;009C2FDD&quot;/&gt;&lt;wsp:rsid wsp:val=&quot;009C34F9&quot;/&gt;&lt;wsp:rsid wsp:val=&quot;009C35E7&quot;/&gt;&lt;wsp:rsid wsp:val=&quot;009C36E7&quot;/&gt;&lt;wsp:rsid wsp:val=&quot;009C38E9&quot;/&gt;&lt;wsp:rsid wsp:val=&quot;009C39F3&quot;/&gt;&lt;wsp:rsid wsp:val=&quot;009C3E94&quot;/&gt;&lt;wsp:rsid wsp:val=&quot;009C3FCC&quot;/&gt;&lt;wsp:rsid wsp:val=&quot;009C4BE5&quot;/&gt;&lt;wsp:rsid wsp:val=&quot;009C4ED7&quot;/&gt;&lt;wsp:rsid wsp:val=&quot;009C4F74&quot;/&gt;&lt;wsp:rsid wsp:val=&quot;009C5115&quot;/&gt;&lt;wsp:rsid wsp:val=&quot;009C517E&quot;/&gt;&lt;wsp:rsid wsp:val=&quot;009C542D&quot;/&gt;&lt;wsp:rsid wsp:val=&quot;009C57E9&quot;/&gt;&lt;wsp:rsid wsp:val=&quot;009C5B1C&quot;/&gt;&lt;wsp:rsid wsp:val=&quot;009C5BC1&quot;/&gt;&lt;wsp:rsid wsp:val=&quot;009C6835&quot;/&gt;&lt;wsp:rsid wsp:val=&quot;009C696A&quot;/&gt;&lt;wsp:rsid wsp:val=&quot;009C6BF5&quot;/&gt;&lt;wsp:rsid wsp:val=&quot;009C708E&quot;/&gt;&lt;wsp:rsid wsp:val=&quot;009C715D&quot;/&gt;&lt;wsp:rsid wsp:val=&quot;009C76B8&quot;/&gt;&lt;wsp:rsid wsp:val=&quot;009C7E16&quot;/&gt;&lt;wsp:rsid wsp:val=&quot;009C7E8B&quot;/&gt;&lt;wsp:rsid wsp:val=&quot;009C7F54&quot;/&gt;&lt;wsp:rsid wsp:val=&quot;009C7F9F&quot;/&gt;&lt;wsp:rsid wsp:val=&quot;009D04EE&quot;/&gt;&lt;wsp:rsid wsp:val=&quot;009D07C5&quot;/&gt;&lt;wsp:rsid wsp:val=&quot;009D0A80&quot;/&gt;&lt;wsp:rsid wsp:val=&quot;009D0AA1&quot;/&gt;&lt;wsp:rsid wsp:val=&quot;009D0AF6&quot;/&gt;&lt;wsp:rsid wsp:val=&quot;009D0B58&quot;/&gt;&lt;wsp:rsid wsp:val=&quot;009D0BEB&quot;/&gt;&lt;wsp:rsid wsp:val=&quot;009D11AD&quot;/&gt;&lt;wsp:rsid wsp:val=&quot;009D1479&quot;/&gt;&lt;wsp:rsid wsp:val=&quot;009D15E4&quot;/&gt;&lt;wsp:rsid wsp:val=&quot;009D162D&quot;/&gt;&lt;wsp:rsid wsp:val=&quot;009D17A0&quot;/&gt;&lt;wsp:rsid wsp:val=&quot;009D19F1&quot;/&gt;&lt;wsp:rsid wsp:val=&quot;009D2125&quot;/&gt;&lt;wsp:rsid wsp:val=&quot;009D227E&quot;/&gt;&lt;wsp:rsid wsp:val=&quot;009D23AA&quot;/&gt;&lt;wsp:rsid wsp:val=&quot;009D23C0&quot;/&gt;&lt;wsp:rsid wsp:val=&quot;009D281F&quot;/&gt;&lt;wsp:rsid wsp:val=&quot;009D298A&quot;/&gt;&lt;wsp:rsid wsp:val=&quot;009D29F0&quot;/&gt;&lt;wsp:rsid wsp:val=&quot;009D2B6B&quot;/&gt;&lt;wsp:rsid wsp:val=&quot;009D2BE3&quot;/&gt;&lt;wsp:rsid wsp:val=&quot;009D2E4A&quot;/&gt;&lt;wsp:rsid wsp:val=&quot;009D2EBB&quot;/&gt;&lt;wsp:rsid wsp:val=&quot;009D2FBB&quot;/&gt;&lt;wsp:rsid wsp:val=&quot;009D31E6&quot;/&gt;&lt;wsp:rsid wsp:val=&quot;009D35BB&quot;/&gt;&lt;wsp:rsid wsp:val=&quot;009D3A39&quot;/&gt;&lt;wsp:rsid wsp:val=&quot;009D3AE1&quot;/&gt;&lt;wsp:rsid wsp:val=&quot;009D3AF5&quot;/&gt;&lt;wsp:rsid wsp:val=&quot;009D461A&quot;/&gt;&lt;wsp:rsid wsp:val=&quot;009D56D5&quot;/&gt;&lt;wsp:rsid wsp:val=&quot;009D57B6&quot;/&gt;&lt;wsp:rsid wsp:val=&quot;009D5916&quot;/&gt;&lt;wsp:rsid wsp:val=&quot;009D5D5E&quot;/&gt;&lt;wsp:rsid wsp:val=&quot;009D6099&quot;/&gt;&lt;wsp:rsid wsp:val=&quot;009D61D7&quot;/&gt;&lt;wsp:rsid wsp:val=&quot;009D61E5&quot;/&gt;&lt;wsp:rsid wsp:val=&quot;009D6605&quot;/&gt;&lt;wsp:rsid wsp:val=&quot;009D67EA&quot;/&gt;&lt;wsp:rsid wsp:val=&quot;009D6ABA&quot;/&gt;&lt;wsp:rsid wsp:val=&quot;009D6ABF&quot;/&gt;&lt;wsp:rsid wsp:val=&quot;009D6D5A&quot;/&gt;&lt;wsp:rsid wsp:val=&quot;009D79DB&quot;/&gt;&lt;wsp:rsid wsp:val=&quot;009D7A84&quot;/&gt;&lt;wsp:rsid wsp:val=&quot;009D7AB4&quot;/&gt;&lt;wsp:rsid wsp:val=&quot;009D7D1E&quot;/&gt;&lt;wsp:rsid wsp:val=&quot;009D7FD1&quot;/&gt;&lt;wsp:rsid wsp:val=&quot;009E037F&quot;/&gt;&lt;wsp:rsid wsp:val=&quot;009E07DE&quot;/&gt;&lt;wsp:rsid wsp:val=&quot;009E0BCD&quot;/&gt;&lt;wsp:rsid wsp:val=&quot;009E0BEF&quot;/&gt;&lt;wsp:rsid wsp:val=&quot;009E0DD7&quot;/&gt;&lt;wsp:rsid wsp:val=&quot;009E0F4D&quot;/&gt;&lt;wsp:rsid wsp:val=&quot;009E0FB4&quot;/&gt;&lt;wsp:rsid wsp:val=&quot;009E1086&quot;/&gt;&lt;wsp:rsid wsp:val=&quot;009E1294&quot;/&gt;&lt;wsp:rsid wsp:val=&quot;009E19F8&quot;/&gt;&lt;wsp:rsid wsp:val=&quot;009E1C77&quot;/&gt;&lt;wsp:rsid wsp:val=&quot;009E2DEE&quot;/&gt;&lt;wsp:rsid wsp:val=&quot;009E36EB&quot;/&gt;&lt;wsp:rsid wsp:val=&quot;009E3E4C&quot;/&gt;&lt;wsp:rsid wsp:val=&quot;009E3FFF&quot;/&gt;&lt;wsp:rsid wsp:val=&quot;009E45F4&quot;/&gt;&lt;wsp:rsid wsp:val=&quot;009E4622&quot;/&gt;&lt;wsp:rsid wsp:val=&quot;009E48F5&quot;/&gt;&lt;wsp:rsid wsp:val=&quot;009E5044&quot;/&gt;&lt;wsp:rsid wsp:val=&quot;009E5060&quot;/&gt;&lt;wsp:rsid wsp:val=&quot;009E53F0&quot;/&gt;&lt;wsp:rsid wsp:val=&quot;009E53F2&quot;/&gt;&lt;wsp:rsid wsp:val=&quot;009E5666&quot;/&gt;&lt;wsp:rsid wsp:val=&quot;009E56C1&quot;/&gt;&lt;wsp:rsid wsp:val=&quot;009E591E&quot;/&gt;&lt;wsp:rsid wsp:val=&quot;009E5D87&quot;/&gt;&lt;wsp:rsid wsp:val=&quot;009E5DE0&quot;/&gt;&lt;wsp:rsid wsp:val=&quot;009E68A8&quot;/&gt;&lt;wsp:rsid wsp:val=&quot;009E6988&quot;/&gt;&lt;wsp:rsid wsp:val=&quot;009E6C73&quot;/&gt;&lt;wsp:rsid wsp:val=&quot;009E6CC9&quot;/&gt;&lt;wsp:rsid wsp:val=&quot;009E71EE&quot;/&gt;&lt;wsp:rsid wsp:val=&quot;009E7D27&quot;/&gt;&lt;wsp:rsid wsp:val=&quot;009F0DAA&quot;/&gt;&lt;wsp:rsid wsp:val=&quot;009F0E30&quot;/&gt;&lt;wsp:rsid wsp:val=&quot;009F1B40&quot;/&gt;&lt;wsp:rsid wsp:val=&quot;009F1C8A&quot;/&gt;&lt;wsp:rsid wsp:val=&quot;009F254F&quot;/&gt;&lt;wsp:rsid wsp:val=&quot;009F26F9&quot;/&gt;&lt;wsp:rsid wsp:val=&quot;009F2846&quot;/&gt;&lt;wsp:rsid wsp:val=&quot;009F2AFA&quot;/&gt;&lt;wsp:rsid wsp:val=&quot;009F2D02&quot;/&gt;&lt;wsp:rsid wsp:val=&quot;009F3060&quot;/&gt;&lt;wsp:rsid wsp:val=&quot;009F37DD&quot;/&gt;&lt;wsp:rsid wsp:val=&quot;009F3857&quot;/&gt;&lt;wsp:rsid wsp:val=&quot;009F3960&quot;/&gt;&lt;wsp:rsid wsp:val=&quot;009F3C41&quot;/&gt;&lt;wsp:rsid wsp:val=&quot;009F426A&quot;/&gt;&lt;wsp:rsid wsp:val=&quot;009F4681&quot;/&gt;&lt;wsp:rsid wsp:val=&quot;009F48C5&quot;/&gt;&lt;wsp:rsid wsp:val=&quot;009F4D8C&quot;/&gt;&lt;wsp:rsid wsp:val=&quot;009F4FFF&quot;/&gt;&lt;wsp:rsid wsp:val=&quot;009F519D&quot;/&gt;&lt;wsp:rsid wsp:val=&quot;009F5232&quot;/&gt;&lt;wsp:rsid wsp:val=&quot;009F52A3&quot;/&gt;&lt;wsp:rsid wsp:val=&quot;009F53C7&quot;/&gt;&lt;wsp:rsid wsp:val=&quot;009F56F5&quot;/&gt;&lt;wsp:rsid wsp:val=&quot;009F590B&quot;/&gt;&lt;wsp:rsid wsp:val=&quot;009F5AF6&quot;/&gt;&lt;wsp:rsid wsp:val=&quot;009F5EC0&quot;/&gt;&lt;wsp:rsid wsp:val=&quot;009F6174&quot;/&gt;&lt;wsp:rsid wsp:val=&quot;009F61F3&quot;/&gt;&lt;wsp:rsid wsp:val=&quot;009F6612&quot;/&gt;&lt;wsp:rsid wsp:val=&quot;009F66D0&quot;/&gt;&lt;wsp:rsid wsp:val=&quot;009F6BFF&quot;/&gt;&lt;wsp:rsid wsp:val=&quot;009F6C12&quot;/&gt;&lt;wsp:rsid wsp:val=&quot;009F6C6F&quot;/&gt;&lt;wsp:rsid wsp:val=&quot;009F6D60&quot;/&gt;&lt;wsp:rsid wsp:val=&quot;009F6E91&quot;/&gt;&lt;wsp:rsid wsp:val=&quot;009F7704&quot;/&gt;&lt;wsp:rsid wsp:val=&quot;009F7E7D&quot;/&gt;&lt;wsp:rsid wsp:val=&quot;00A00108&quot;/&gt;&lt;wsp:rsid wsp:val=&quot;00A0029D&quot;/&gt;&lt;wsp:rsid wsp:val=&quot;00A006E2&quot;/&gt;&lt;wsp:rsid wsp:val=&quot;00A006EE&quot;/&gt;&lt;wsp:rsid wsp:val=&quot;00A0074F&quot;/&gt;&lt;wsp:rsid wsp:val=&quot;00A00F23&quot;/&gt;&lt;wsp:rsid wsp:val=&quot;00A013C1&quot;/&gt;&lt;wsp:rsid wsp:val=&quot;00A01BB7&quot;/&gt;&lt;wsp:rsid wsp:val=&quot;00A01BBC&quot;/&gt;&lt;wsp:rsid wsp:val=&quot;00A01C6B&quot;/&gt;&lt;wsp:rsid wsp:val=&quot;00A01CBE&quot;/&gt;&lt;wsp:rsid wsp:val=&quot;00A0234B&quot;/&gt;&lt;wsp:rsid wsp:val=&quot;00A024CC&quot;/&gt;&lt;wsp:rsid wsp:val=&quot;00A02851&quot;/&gt;&lt;wsp:rsid wsp:val=&quot;00A02878&quot;/&gt;&lt;wsp:rsid wsp:val=&quot;00A02CB7&quot;/&gt;&lt;wsp:rsid wsp:val=&quot;00A0335B&quot;/&gt;&lt;wsp:rsid wsp:val=&quot;00A03B79&quot;/&gt;&lt;wsp:rsid wsp:val=&quot;00A03E14&quot;/&gt;&lt;wsp:rsid wsp:val=&quot;00A04440&quot;/&gt;&lt;wsp:rsid wsp:val=&quot;00A04E5B&quot;/&gt;&lt;wsp:rsid wsp:val=&quot;00A04F29&quot;/&gt;&lt;wsp:rsid wsp:val=&quot;00A05038&quot;/&gt;&lt;wsp:rsid wsp:val=&quot;00A0578A&quot;/&gt;&lt;wsp:rsid wsp:val=&quot;00A05925&quot;/&gt;&lt;wsp:rsid wsp:val=&quot;00A05AA3&quot;/&gt;&lt;wsp:rsid wsp:val=&quot;00A05F18&quot;/&gt;&lt;wsp:rsid wsp:val=&quot;00A06349&quot;/&gt;&lt;wsp:rsid wsp:val=&quot;00A06389&quot;/&gt;&lt;wsp:rsid wsp:val=&quot;00A063D6&quot;/&gt;&lt;wsp:rsid wsp:val=&quot;00A06AF7&quot;/&gt;&lt;wsp:rsid wsp:val=&quot;00A06C3B&quot;/&gt;&lt;wsp:rsid wsp:val=&quot;00A0705C&quot;/&gt;&lt;wsp:rsid wsp:val=&quot;00A071F0&quot;/&gt;&lt;wsp:rsid wsp:val=&quot;00A0795B&quot;/&gt;&lt;wsp:rsid wsp:val=&quot;00A07FD5&quot;/&gt;&lt;wsp:rsid wsp:val=&quot;00A10198&quot;/&gt;&lt;wsp:rsid wsp:val=&quot;00A101C2&quot;/&gt;&lt;wsp:rsid wsp:val=&quot;00A10679&quot;/&gt;&lt;wsp:rsid wsp:val=&quot;00A106EB&quot;/&gt;&lt;wsp:rsid wsp:val=&quot;00A109EE&quot;/&gt;&lt;wsp:rsid wsp:val=&quot;00A112E7&quot;/&gt;&lt;wsp:rsid wsp:val=&quot;00A11859&quot;/&gt;&lt;wsp:rsid wsp:val=&quot;00A11F40&quot;/&gt;&lt;wsp:rsid wsp:val=&quot;00A12240&quot;/&gt;&lt;wsp:rsid wsp:val=&quot;00A12640&quot;/&gt;&lt;wsp:rsid wsp:val=&quot;00A128AA&quot;/&gt;&lt;wsp:rsid wsp:val=&quot;00A12C11&quot;/&gt;&lt;wsp:rsid wsp:val=&quot;00A12C12&quot;/&gt;&lt;wsp:rsid wsp:val=&quot;00A12D6A&quot;/&gt;&lt;wsp:rsid wsp:val=&quot;00A12D7C&quot;/&gt;&lt;wsp:rsid wsp:val=&quot;00A1375D&quot;/&gt;&lt;wsp:rsid wsp:val=&quot;00A1385D&quot;/&gt;&lt;wsp:rsid wsp:val=&quot;00A13B28&quot;/&gt;&lt;wsp:rsid wsp:val=&quot;00A13D39&quot;/&gt;&lt;wsp:rsid wsp:val=&quot;00A13F73&quot;/&gt;&lt;wsp:rsid wsp:val=&quot;00A13F82&quot;/&gt;&lt;wsp:rsid wsp:val=&quot;00A13FED&quot;/&gt;&lt;wsp:rsid wsp:val=&quot;00A14252&quot;/&gt;&lt;wsp:rsid wsp:val=&quot;00A148D1&quot;/&gt;&lt;wsp:rsid wsp:val=&quot;00A148FB&quot;/&gt;&lt;wsp:rsid wsp:val=&quot;00A14FE7&quot;/&gt;&lt;wsp:rsid wsp:val=&quot;00A150D5&quot;/&gt;&lt;wsp:rsid wsp:val=&quot;00A15168&quot;/&gt;&lt;wsp:rsid wsp:val=&quot;00A1543F&quot;/&gt;&lt;wsp:rsid wsp:val=&quot;00A15572&quot;/&gt;&lt;wsp:rsid wsp:val=&quot;00A15783&quot;/&gt;&lt;wsp:rsid wsp:val=&quot;00A15C97&quot;/&gt;&lt;wsp:rsid wsp:val=&quot;00A15CBA&quot;/&gt;&lt;wsp:rsid wsp:val=&quot;00A16141&quot;/&gt;&lt;wsp:rsid wsp:val=&quot;00A166D0&quot;/&gt;&lt;wsp:rsid wsp:val=&quot;00A16A35&quot;/&gt;&lt;wsp:rsid wsp:val=&quot;00A1722D&quot;/&gt;&lt;wsp:rsid wsp:val=&quot;00A1763E&quot;/&gt;&lt;wsp:rsid wsp:val=&quot;00A17B2D&quot;/&gt;&lt;wsp:rsid wsp:val=&quot;00A17C35&quot;/&gt;&lt;wsp:rsid wsp:val=&quot;00A17D80&quot;/&gt;&lt;wsp:rsid wsp:val=&quot;00A17DDB&quot;/&gt;&lt;wsp:rsid wsp:val=&quot;00A17E93&quot;/&gt;&lt;wsp:rsid wsp:val=&quot;00A17FD5&quot;/&gt;&lt;wsp:rsid wsp:val=&quot;00A20378&quot;/&gt;&lt;wsp:rsid wsp:val=&quot;00A209EA&quot;/&gt;&lt;wsp:rsid wsp:val=&quot;00A20D10&quot;/&gt;&lt;wsp:rsid wsp:val=&quot;00A20E6C&quot;/&gt;&lt;wsp:rsid wsp:val=&quot;00A20F11&quot;/&gt;&lt;wsp:rsid wsp:val=&quot;00A21ABD&quot;/&gt;&lt;wsp:rsid wsp:val=&quot;00A21BFA&quot;/&gt;&lt;wsp:rsid wsp:val=&quot;00A21CE4&quot;/&gt;&lt;wsp:rsid wsp:val=&quot;00A2207C&quot;/&gt;&lt;wsp:rsid wsp:val=&quot;00A22137&quot;/&gt;&lt;wsp:rsid wsp:val=&quot;00A226FC&quot;/&gt;&lt;wsp:rsid wsp:val=&quot;00A226FF&quot;/&gt;&lt;wsp:rsid wsp:val=&quot;00A2291F&quot;/&gt;&lt;wsp:rsid wsp:val=&quot;00A22E0D&quot;/&gt;&lt;wsp:rsid wsp:val=&quot;00A22F42&quot;/&gt;&lt;wsp:rsid wsp:val=&quot;00A23506&quot;/&gt;&lt;wsp:rsid wsp:val=&quot;00A23648&quot;/&gt;&lt;wsp:rsid wsp:val=&quot;00A23994&quot;/&gt;&lt;wsp:rsid wsp:val=&quot;00A23B5E&quot;/&gt;&lt;wsp:rsid wsp:val=&quot;00A24233&quot;/&gt;&lt;wsp:rsid wsp:val=&quot;00A24248&quot;/&gt;&lt;wsp:rsid wsp:val=&quot;00A24A2D&quot;/&gt;&lt;wsp:rsid wsp:val=&quot;00A252E7&quot;/&gt;&lt;wsp:rsid wsp:val=&quot;00A2593E&quot;/&gt;&lt;wsp:rsid wsp:val=&quot;00A261A7&quot;/&gt;&lt;wsp:rsid wsp:val=&quot;00A262EE&quot;/&gt;&lt;wsp:rsid wsp:val=&quot;00A270A3&quot;/&gt;&lt;wsp:rsid wsp:val=&quot;00A27218&quot;/&gt;&lt;wsp:rsid wsp:val=&quot;00A272C0&quot;/&gt;&lt;wsp:rsid wsp:val=&quot;00A27335&quot;/&gt;&lt;wsp:rsid wsp:val=&quot;00A27758&quot;/&gt;&lt;wsp:rsid wsp:val=&quot;00A27EF4&quot;/&gt;&lt;wsp:rsid wsp:val=&quot;00A27F1E&quot;/&gt;&lt;wsp:rsid wsp:val=&quot;00A30022&quot;/&gt;&lt;wsp:rsid wsp:val=&quot;00A30405&quot;/&gt;&lt;wsp:rsid wsp:val=&quot;00A30473&quot;/&gt;&lt;wsp:rsid wsp:val=&quot;00A304F6&quot;/&gt;&lt;wsp:rsid wsp:val=&quot;00A30940&quot;/&gt;&lt;wsp:rsid wsp:val=&quot;00A30C79&quot;/&gt;&lt;wsp:rsid wsp:val=&quot;00A30CD9&quot;/&gt;&lt;wsp:rsid wsp:val=&quot;00A30D84&quot;/&gt;&lt;wsp:rsid wsp:val=&quot;00A310F8&quot;/&gt;&lt;wsp:rsid wsp:val=&quot;00A31154&quot;/&gt;&lt;wsp:rsid wsp:val=&quot;00A3124A&quot;/&gt;&lt;wsp:rsid wsp:val=&quot;00A31811&quot;/&gt;&lt;wsp:rsid wsp:val=&quot;00A31CD5&quot;/&gt;&lt;wsp:rsid wsp:val=&quot;00A32633&quot;/&gt;&lt;wsp:rsid wsp:val=&quot;00A32EF9&quot;/&gt;&lt;wsp:rsid wsp:val=&quot;00A3384E&quot;/&gt;&lt;wsp:rsid wsp:val=&quot;00A33D51&quot;/&gt;&lt;wsp:rsid wsp:val=&quot;00A33EAA&quot;/&gt;&lt;wsp:rsid wsp:val=&quot;00A34099&quot;/&gt;&lt;wsp:rsid wsp:val=&quot;00A343F7&quot;/&gt;&lt;wsp:rsid wsp:val=&quot;00A34488&quot;/&gt;&lt;wsp:rsid wsp:val=&quot;00A34787&quot;/&gt;&lt;wsp:rsid wsp:val=&quot;00A3483B&quot;/&gt;&lt;wsp:rsid wsp:val=&quot;00A348E8&quot;/&gt;&lt;wsp:rsid wsp:val=&quot;00A34919&quot;/&gt;&lt;wsp:rsid wsp:val=&quot;00A34AB2&quot;/&gt;&lt;wsp:rsid wsp:val=&quot;00A3521D&quot;/&gt;&lt;wsp:rsid wsp:val=&quot;00A352D6&quot;/&gt;&lt;wsp:rsid wsp:val=&quot;00A35655&quot;/&gt;&lt;wsp:rsid wsp:val=&quot;00A35DA5&quot;/&gt;&lt;wsp:rsid wsp:val=&quot;00A3602A&quot;/&gt;&lt;wsp:rsid wsp:val=&quot;00A3612D&quot;/&gt;&lt;wsp:rsid wsp:val=&quot;00A3687D&quot;/&gt;&lt;wsp:rsid wsp:val=&quot;00A36911&quot;/&gt;&lt;wsp:rsid wsp:val=&quot;00A36FC7&quot;/&gt;&lt;wsp:rsid wsp:val=&quot;00A375E3&quot;/&gt;&lt;wsp:rsid wsp:val=&quot;00A37CCC&quot;/&gt;&lt;wsp:rsid wsp:val=&quot;00A37D0D&quot;/&gt;&lt;wsp:rsid wsp:val=&quot;00A40248&quot;/&gt;&lt;wsp:rsid wsp:val=&quot;00A40A2D&quot;/&gt;&lt;wsp:rsid wsp:val=&quot;00A40C6F&quot;/&gt;&lt;wsp:rsid wsp:val=&quot;00A40F5C&quot;/&gt;&lt;wsp:rsid wsp:val=&quot;00A41847&quot;/&gt;&lt;wsp:rsid wsp:val=&quot;00A41B59&quot;/&gt;&lt;wsp:rsid wsp:val=&quot;00A41EEF&quot;/&gt;&lt;wsp:rsid wsp:val=&quot;00A4240B&quot;/&gt;&lt;wsp:rsid wsp:val=&quot;00A4252A&quot;/&gt;&lt;wsp:rsid wsp:val=&quot;00A429A0&quot;/&gt;&lt;wsp:rsid wsp:val=&quot;00A43176&quot;/&gt;&lt;wsp:rsid wsp:val=&quot;00A43177&quot;/&gt;&lt;wsp:rsid wsp:val=&quot;00A43326&quot;/&gt;&lt;wsp:rsid wsp:val=&quot;00A43637&quot;/&gt;&lt;wsp:rsid wsp:val=&quot;00A4383F&quot;/&gt;&lt;wsp:rsid wsp:val=&quot;00A43F6D&quot;/&gt;&lt;wsp:rsid wsp:val=&quot;00A442DB&quot;/&gt;&lt;wsp:rsid wsp:val=&quot;00A44F49&quot;/&gt;&lt;wsp:rsid wsp:val=&quot;00A465D5&quot;/&gt;&lt;wsp:rsid wsp:val=&quot;00A47257&quot;/&gt;&lt;wsp:rsid wsp:val=&quot;00A4729B&quot;/&gt;&lt;wsp:rsid wsp:val=&quot;00A4778F&quot;/&gt;&lt;wsp:rsid wsp:val=&quot;00A47AEC&quot;/&gt;&lt;wsp:rsid wsp:val=&quot;00A47F2C&quot;/&gt;&lt;wsp:rsid wsp:val=&quot;00A50056&quot;/&gt;&lt;wsp:rsid wsp:val=&quot;00A5053E&quot;/&gt;&lt;wsp:rsid wsp:val=&quot;00A50D97&quot;/&gt;&lt;wsp:rsid wsp:val=&quot;00A51313&quot;/&gt;&lt;wsp:rsid wsp:val=&quot;00A513B8&quot;/&gt;&lt;wsp:rsid wsp:val=&quot;00A51795&quot;/&gt;&lt;wsp:rsid wsp:val=&quot;00A51870&quot;/&gt;&lt;wsp:rsid wsp:val=&quot;00A518ED&quot;/&gt;&lt;wsp:rsid wsp:val=&quot;00A51CA5&quot;/&gt;&lt;wsp:rsid wsp:val=&quot;00A51F41&quot;/&gt;&lt;wsp:rsid wsp:val=&quot;00A51F64&quot;/&gt;&lt;wsp:rsid wsp:val=&quot;00A52270&quot;/&gt;&lt;wsp:rsid wsp:val=&quot;00A526BB&quot;/&gt;&lt;wsp:rsid wsp:val=&quot;00A528FE&quot;/&gt;&lt;wsp:rsid wsp:val=&quot;00A52AB8&quot;/&gt;&lt;wsp:rsid wsp:val=&quot;00A52C16&quot;/&gt;&lt;wsp:rsid wsp:val=&quot;00A52FAE&quot;/&gt;&lt;wsp:rsid wsp:val=&quot;00A53478&quot;/&gt;&lt;wsp:rsid wsp:val=&quot;00A537B8&quot;/&gt;&lt;wsp:rsid wsp:val=&quot;00A537CA&quot;/&gt;&lt;wsp:rsid wsp:val=&quot;00A53809&quot;/&gt;&lt;wsp:rsid wsp:val=&quot;00A53D59&quot;/&gt;&lt;wsp:rsid wsp:val=&quot;00A53E21&quot;/&gt;&lt;wsp:rsid wsp:val=&quot;00A54816&quot;/&gt;&lt;wsp:rsid wsp:val=&quot;00A54971&quot;/&gt;&lt;wsp:rsid wsp:val=&quot;00A54E31&quot;/&gt;&lt;wsp:rsid wsp:val=&quot;00A5553C&quot;/&gt;&lt;wsp:rsid wsp:val=&quot;00A55B82&quot;/&gt;&lt;wsp:rsid wsp:val=&quot;00A56042&quot;/&gt;&lt;wsp:rsid wsp:val=&quot;00A5604E&quot;/&gt;&lt;wsp:rsid wsp:val=&quot;00A56484&quot;/&gt;&lt;wsp:rsid wsp:val=&quot;00A56E0B&quot;/&gt;&lt;wsp:rsid wsp:val=&quot;00A575B8&quot;/&gt;&lt;wsp:rsid wsp:val=&quot;00A57746&quot;/&gt;&lt;wsp:rsid wsp:val=&quot;00A57A97&quot;/&gt;&lt;wsp:rsid wsp:val=&quot;00A57D2D&quot;/&gt;&lt;wsp:rsid wsp:val=&quot;00A6006A&quot;/&gt;&lt;wsp:rsid wsp:val=&quot;00A6014E&quot;/&gt;&lt;wsp:rsid wsp:val=&quot;00A604C0&quot;/&gt;&lt;wsp:rsid wsp:val=&quot;00A607AF&quot;/&gt;&lt;wsp:rsid wsp:val=&quot;00A60DD1&quot;/&gt;&lt;wsp:rsid wsp:val=&quot;00A6113E&quot;/&gt;&lt;wsp:rsid wsp:val=&quot;00A6171A&quot;/&gt;&lt;wsp:rsid wsp:val=&quot;00A61798&quot;/&gt;&lt;wsp:rsid wsp:val=&quot;00A6194C&quot;/&gt;&lt;wsp:rsid wsp:val=&quot;00A61983&quot;/&gt;&lt;wsp:rsid wsp:val=&quot;00A61A8E&quot;/&gt;&lt;wsp:rsid wsp:val=&quot;00A61DB3&quot;/&gt;&lt;wsp:rsid wsp:val=&quot;00A61E69&quot;/&gt;&lt;wsp:rsid wsp:val=&quot;00A62020&quot;/&gt;&lt;wsp:rsid wsp:val=&quot;00A626B2&quot;/&gt;&lt;wsp:rsid wsp:val=&quot;00A627DD&quot;/&gt;&lt;wsp:rsid wsp:val=&quot;00A629DA&quot;/&gt;&lt;wsp:rsid wsp:val=&quot;00A6304F&quot;/&gt;&lt;wsp:rsid wsp:val=&quot;00A63AA4&quot;/&gt;&lt;wsp:rsid wsp:val=&quot;00A63B13&quot;/&gt;&lt;wsp:rsid wsp:val=&quot;00A63D49&quot;/&gt;&lt;wsp:rsid wsp:val=&quot;00A64267&quot;/&gt;&lt;wsp:rsid wsp:val=&quot;00A648AE&quot;/&gt;&lt;wsp:rsid wsp:val=&quot;00A64BC5&quot;/&gt;&lt;wsp:rsid wsp:val=&quot;00A64D66&quot;/&gt;&lt;wsp:rsid wsp:val=&quot;00A65203&quot;/&gt;&lt;wsp:rsid wsp:val=&quot;00A65267&quot;/&gt;&lt;wsp:rsid wsp:val=&quot;00A6539A&quot;/&gt;&lt;wsp:rsid wsp:val=&quot;00A65429&quot;/&gt;&lt;wsp:rsid wsp:val=&quot;00A65763&quot;/&gt;&lt;wsp:rsid wsp:val=&quot;00A65CF2&quot;/&gt;&lt;wsp:rsid wsp:val=&quot;00A65FB1&quot;/&gt;&lt;wsp:rsid wsp:val=&quot;00A660DE&quot;/&gt;&lt;wsp:rsid wsp:val=&quot;00A66337&quot;/&gt;&lt;wsp:rsid wsp:val=&quot;00A66855&quot;/&gt;&lt;wsp:rsid wsp:val=&quot;00A66C91&quot;/&gt;&lt;wsp:rsid wsp:val=&quot;00A66D12&quot;/&gt;&lt;wsp:rsid wsp:val=&quot;00A66D7A&quot;/&gt;&lt;wsp:rsid wsp:val=&quot;00A670D6&quot;/&gt;&lt;wsp:rsid wsp:val=&quot;00A6729D&quot;/&gt;&lt;wsp:rsid wsp:val=&quot;00A67394&quot;/&gt;&lt;wsp:rsid wsp:val=&quot;00A677B5&quot;/&gt;&lt;wsp:rsid wsp:val=&quot;00A6790F&quot;/&gt;&lt;wsp:rsid wsp:val=&quot;00A67912&quot;/&gt;&lt;wsp:rsid wsp:val=&quot;00A67DAC&quot;/&gt;&lt;wsp:rsid wsp:val=&quot;00A701FD&quot;/&gt;&lt;wsp:rsid wsp:val=&quot;00A707D4&quot;/&gt;&lt;wsp:rsid wsp:val=&quot;00A70A5B&quot;/&gt;&lt;wsp:rsid wsp:val=&quot;00A70BDE&quot;/&gt;&lt;wsp:rsid wsp:val=&quot;00A70E8D&quot;/&gt;&lt;wsp:rsid wsp:val=&quot;00A70EC1&quot;/&gt;&lt;wsp:rsid wsp:val=&quot;00A70F52&quot;/&gt;&lt;wsp:rsid wsp:val=&quot;00A710F7&quot;/&gt;&lt;wsp:rsid wsp:val=&quot;00A71124&quot;/&gt;&lt;wsp:rsid wsp:val=&quot;00A7121B&quot;/&gt;&lt;wsp:rsid wsp:val=&quot;00A715C6&quot;/&gt;&lt;wsp:rsid wsp:val=&quot;00A715FD&quot;/&gt;&lt;wsp:rsid wsp:val=&quot;00A71A9A&quot;/&gt;&lt;wsp:rsid wsp:val=&quot;00A71FF8&quot;/&gt;&lt;wsp:rsid wsp:val=&quot;00A7266F&quot;/&gt;&lt;wsp:rsid wsp:val=&quot;00A72C11&quot;/&gt;&lt;wsp:rsid wsp:val=&quot;00A72E7A&quot;/&gt;&lt;wsp:rsid wsp:val=&quot;00A7352C&quot;/&gt;&lt;wsp:rsid wsp:val=&quot;00A73841&quot;/&gt;&lt;wsp:rsid wsp:val=&quot;00A73A59&quot;/&gt;&lt;wsp:rsid wsp:val=&quot;00A73D44&quot;/&gt;&lt;wsp:rsid wsp:val=&quot;00A741C8&quot;/&gt;&lt;wsp:rsid wsp:val=&quot;00A74A9A&quot;/&gt;&lt;wsp:rsid wsp:val=&quot;00A74C38&quot;/&gt;&lt;wsp:rsid wsp:val=&quot;00A75314&quot;/&gt;&lt;wsp:rsid wsp:val=&quot;00A7562A&quot;/&gt;&lt;wsp:rsid wsp:val=&quot;00A75D66&quot;/&gt;&lt;wsp:rsid wsp:val=&quot;00A75E31&quot;/&gt;&lt;wsp:rsid wsp:val=&quot;00A75E76&quot;/&gt;&lt;wsp:rsid wsp:val=&quot;00A76326&quot;/&gt;&lt;wsp:rsid wsp:val=&quot;00A765A2&quot;/&gt;&lt;wsp:rsid wsp:val=&quot;00A765C0&quot;/&gt;&lt;wsp:rsid wsp:val=&quot;00A7686C&quot;/&gt;&lt;wsp:rsid wsp:val=&quot;00A76A08&quot;/&gt;&lt;wsp:rsid wsp:val=&quot;00A76A40&quot;/&gt;&lt;wsp:rsid wsp:val=&quot;00A76B2A&quot;/&gt;&lt;wsp:rsid wsp:val=&quot;00A76D07&quot;/&gt;&lt;wsp:rsid wsp:val=&quot;00A76E3C&quot;/&gt;&lt;wsp:rsid wsp:val=&quot;00A7790D&quot;/&gt;&lt;wsp:rsid wsp:val=&quot;00A77B57&quot;/&gt;&lt;wsp:rsid wsp:val=&quot;00A77BFB&quot;/&gt;&lt;wsp:rsid wsp:val=&quot;00A800B3&quot;/&gt;&lt;wsp:rsid wsp:val=&quot;00A80333&quot;/&gt;&lt;wsp:rsid wsp:val=&quot;00A807B7&quot;/&gt;&lt;wsp:rsid wsp:val=&quot;00A80877&quot;/&gt;&lt;wsp:rsid wsp:val=&quot;00A80892&quot;/&gt;&lt;wsp:rsid wsp:val=&quot;00A80A0E&quot;/&gt;&lt;wsp:rsid wsp:val=&quot;00A80A86&quot;/&gt;&lt;wsp:rsid wsp:val=&quot;00A810F9&quot;/&gt;&lt;wsp:rsid wsp:val=&quot;00A8111C&quot;/&gt;&lt;wsp:rsid wsp:val=&quot;00A8170A&quot;/&gt;&lt;wsp:rsid wsp:val=&quot;00A818A4&quot;/&gt;&lt;wsp:rsid wsp:val=&quot;00A81DD7&quot;/&gt;&lt;wsp:rsid wsp:val=&quot;00A820B4&quot;/&gt;&lt;wsp:rsid wsp:val=&quot;00A82346&quot;/&gt;&lt;wsp:rsid wsp:val=&quot;00A82675&quot;/&gt;&lt;wsp:rsid wsp:val=&quot;00A82773&quot;/&gt;&lt;wsp:rsid wsp:val=&quot;00A8277D&quot;/&gt;&lt;wsp:rsid wsp:val=&quot;00A83BFC&quot;/&gt;&lt;wsp:rsid wsp:val=&quot;00A83DD5&quot;/&gt;&lt;wsp:rsid wsp:val=&quot;00A841A8&quot;/&gt;&lt;wsp:rsid wsp:val=&quot;00A8425B&quot;/&gt;&lt;wsp:rsid wsp:val=&quot;00A84D1E&quot;/&gt;&lt;wsp:rsid wsp:val=&quot;00A85234&quot;/&gt;&lt;wsp:rsid wsp:val=&quot;00A853B5&quot;/&gt;&lt;wsp:rsid wsp:val=&quot;00A855A2&quot;/&gt;&lt;wsp:rsid wsp:val=&quot;00A85755&quot;/&gt;&lt;wsp:rsid wsp:val=&quot;00A858ED&quot;/&gt;&lt;wsp:rsid wsp:val=&quot;00A85A20&quot;/&gt;&lt;wsp:rsid wsp:val=&quot;00A85D90&quot;/&gt;&lt;wsp:rsid wsp:val=&quot;00A85E89&quot;/&gt;&lt;wsp:rsid wsp:val=&quot;00A85EB0&quot;/&gt;&lt;wsp:rsid wsp:val=&quot;00A86531&quot;/&gt;&lt;wsp:rsid wsp:val=&quot;00A867EB&quot;/&gt;&lt;wsp:rsid wsp:val=&quot;00A86B33&quot;/&gt;&lt;wsp:rsid wsp:val=&quot;00A86EEB&quot;/&gt;&lt;wsp:rsid wsp:val=&quot;00A87155&quot;/&gt;&lt;wsp:rsid wsp:val=&quot;00A87208&quot;/&gt;&lt;wsp:rsid wsp:val=&quot;00A87724&quot;/&gt;&lt;wsp:rsid wsp:val=&quot;00A87820&quot;/&gt;&lt;wsp:rsid wsp:val=&quot;00A8788D&quot;/&gt;&lt;wsp:rsid wsp:val=&quot;00A878A4&quot;/&gt;&lt;wsp:rsid wsp:val=&quot;00A879D6&quot;/&gt;&lt;wsp:rsid wsp:val=&quot;00A87C29&quot;/&gt;&lt;wsp:rsid wsp:val=&quot;00A87F41&quot;/&gt;&lt;wsp:rsid wsp:val=&quot;00A903DE&quot;/&gt;&lt;wsp:rsid wsp:val=&quot;00A90584&quot;/&gt;&lt;wsp:rsid wsp:val=&quot;00A90A12&quot;/&gt;&lt;wsp:rsid wsp:val=&quot;00A90F31&quot;/&gt;&lt;wsp:rsid wsp:val=&quot;00A912DD&quot;/&gt;&lt;wsp:rsid wsp:val=&quot;00A915D8&quot;/&gt;&lt;wsp:rsid wsp:val=&quot;00A91839&quot;/&gt;&lt;wsp:rsid wsp:val=&quot;00A91B76&quot;/&gt;&lt;wsp:rsid wsp:val=&quot;00A91B9A&quot;/&gt;&lt;wsp:rsid wsp:val=&quot;00A91E08&quot;/&gt;&lt;wsp:rsid wsp:val=&quot;00A92168&quot;/&gt;&lt;wsp:rsid wsp:val=&quot;00A92513&quot;/&gt;&lt;wsp:rsid wsp:val=&quot;00A928DB&quot;/&gt;&lt;wsp:rsid wsp:val=&quot;00A9295F&quot;/&gt;&lt;wsp:rsid wsp:val=&quot;00A92B87&quot;/&gt;&lt;wsp:rsid wsp:val=&quot;00A9315B&quot;/&gt;&lt;wsp:rsid wsp:val=&quot;00A931F2&quot;/&gt;&lt;wsp:rsid wsp:val=&quot;00A93507&quot;/&gt;&lt;wsp:rsid wsp:val=&quot;00A935C3&quot;/&gt;&lt;wsp:rsid wsp:val=&quot;00A93D4E&quot;/&gt;&lt;wsp:rsid wsp:val=&quot;00A93DE5&quot;/&gt;&lt;wsp:rsid wsp:val=&quot;00A93DE8&quot;/&gt;&lt;wsp:rsid wsp:val=&quot;00A93F76&quot;/&gt;&lt;wsp:rsid wsp:val=&quot;00A94491&quot;/&gt;&lt;wsp:rsid wsp:val=&quot;00A9480B&quot;/&gt;&lt;wsp:rsid wsp:val=&quot;00A94810&quot;/&gt;&lt;wsp:rsid wsp:val=&quot;00A951C6&quot;/&gt;&lt;wsp:rsid wsp:val=&quot;00A95BEC&quot;/&gt;&lt;wsp:rsid wsp:val=&quot;00A961BB&quot;/&gt;&lt;wsp:rsid wsp:val=&quot;00A9681E&quot;/&gt;&lt;wsp:rsid wsp:val=&quot;00A96A52&quot;/&gt;&lt;wsp:rsid wsp:val=&quot;00A96A66&quot;/&gt;&lt;wsp:rsid wsp:val=&quot;00A96AE7&quot;/&gt;&lt;wsp:rsid wsp:val=&quot;00A96EA8&quot;/&gt;&lt;wsp:rsid wsp:val=&quot;00A97920&quot;/&gt;&lt;wsp:rsid wsp:val=&quot;00A97D65&quot;/&gt;&lt;wsp:rsid wsp:val=&quot;00A97F1F&quot;/&gt;&lt;wsp:rsid wsp:val=&quot;00AA02FD&quot;/&gt;&lt;wsp:rsid wsp:val=&quot;00AA042C&quot;/&gt;&lt;wsp:rsid wsp:val=&quot;00AA0584&quot;/&gt;&lt;wsp:rsid wsp:val=&quot;00AA069E&quot;/&gt;&lt;wsp:rsid wsp:val=&quot;00AA0A78&quot;/&gt;&lt;wsp:rsid wsp:val=&quot;00AA0C0C&quot;/&gt;&lt;wsp:rsid wsp:val=&quot;00AA0C45&quot;/&gt;&lt;wsp:rsid wsp:val=&quot;00AA1080&quot;/&gt;&lt;wsp:rsid wsp:val=&quot;00AA1CBC&quot;/&gt;&lt;wsp:rsid wsp:val=&quot;00AA23FC&quot;/&gt;&lt;wsp:rsid wsp:val=&quot;00AA2521&quot;/&gt;&lt;wsp:rsid wsp:val=&quot;00AA2F18&quot;/&gt;&lt;wsp:rsid wsp:val=&quot;00AA314E&quot;/&gt;&lt;wsp:rsid wsp:val=&quot;00AA33A4&quot;/&gt;&lt;wsp:rsid wsp:val=&quot;00AA346B&quot;/&gt;&lt;wsp:rsid wsp:val=&quot;00AA3476&quot;/&gt;&lt;wsp:rsid wsp:val=&quot;00AA3937&quot;/&gt;&lt;wsp:rsid wsp:val=&quot;00AA3B2C&quot;/&gt;&lt;wsp:rsid wsp:val=&quot;00AA3C7A&quot;/&gt;&lt;wsp:rsid wsp:val=&quot;00AA3CBE&quot;/&gt;&lt;wsp:rsid wsp:val=&quot;00AA4246&quot;/&gt;&lt;wsp:rsid wsp:val=&quot;00AA4607&quot;/&gt;&lt;wsp:rsid wsp:val=&quot;00AA47E8&quot;/&gt;&lt;wsp:rsid wsp:val=&quot;00AA48A3&quot;/&gt;&lt;wsp:rsid wsp:val=&quot;00AA4924&quot;/&gt;&lt;wsp:rsid wsp:val=&quot;00AA4D99&quot;/&gt;&lt;wsp:rsid wsp:val=&quot;00AA4E2D&quot;/&gt;&lt;wsp:rsid wsp:val=&quot;00AA510B&quot;/&gt;&lt;wsp:rsid wsp:val=&quot;00AA512E&quot;/&gt;&lt;wsp:rsid wsp:val=&quot;00AA51BB&quot;/&gt;&lt;wsp:rsid wsp:val=&quot;00AA52B0&quot;/&gt;&lt;wsp:rsid wsp:val=&quot;00AA54CF&quot;/&gt;&lt;wsp:rsid wsp:val=&quot;00AA55AC&quot;/&gt;&lt;wsp:rsid wsp:val=&quot;00AA55DC&quot;/&gt;&lt;wsp:rsid wsp:val=&quot;00AA5A0A&quot;/&gt;&lt;wsp:rsid wsp:val=&quot;00AA5D36&quot;/&gt;&lt;wsp:rsid wsp:val=&quot;00AA5F33&quot;/&gt;&lt;wsp:rsid wsp:val=&quot;00AA66CE&quot;/&gt;&lt;wsp:rsid wsp:val=&quot;00AA6F5D&quot;/&gt;&lt;wsp:rsid wsp:val=&quot;00AA7915&quot;/&gt;&lt;wsp:rsid wsp:val=&quot;00AB097D&quot;/&gt;&lt;wsp:rsid wsp:val=&quot;00AB0B87&quot;/&gt;&lt;wsp:rsid wsp:val=&quot;00AB0E1C&quot;/&gt;&lt;wsp:rsid wsp:val=&quot;00AB10CD&quot;/&gt;&lt;wsp:rsid wsp:val=&quot;00AB1244&quot;/&gt;&lt;wsp:rsid wsp:val=&quot;00AB1504&quot;/&gt;&lt;wsp:rsid wsp:val=&quot;00AB20B0&quot;/&gt;&lt;wsp:rsid wsp:val=&quot;00AB2119&quot;/&gt;&lt;wsp:rsid wsp:val=&quot;00AB237C&quot;/&gt;&lt;wsp:rsid wsp:val=&quot;00AB269D&quot;/&gt;&lt;wsp:rsid wsp:val=&quot;00AB274E&quot;/&gt;&lt;wsp:rsid wsp:val=&quot;00AB292A&quot;/&gt;&lt;wsp:rsid wsp:val=&quot;00AB2CF5&quot;/&gt;&lt;wsp:rsid wsp:val=&quot;00AB2E72&quot;/&gt;&lt;wsp:rsid wsp:val=&quot;00AB2F00&quot;/&gt;&lt;wsp:rsid wsp:val=&quot;00AB301B&quot;/&gt;&lt;wsp:rsid wsp:val=&quot;00AB308B&quot;/&gt;&lt;wsp:rsid wsp:val=&quot;00AB3408&quot;/&gt;&lt;wsp:rsid wsp:val=&quot;00AB364B&quot;/&gt;&lt;wsp:rsid wsp:val=&quot;00AB389E&quot;/&gt;&lt;wsp:rsid wsp:val=&quot;00AB3D6A&quot;/&gt;&lt;wsp:rsid wsp:val=&quot;00AB42B0&quot;/&gt;&lt;wsp:rsid wsp:val=&quot;00AB47F0&quot;/&gt;&lt;wsp:rsid wsp:val=&quot;00AB4952&quot;/&gt;&lt;wsp:rsid wsp:val=&quot;00AB4C51&quot;/&gt;&lt;wsp:rsid wsp:val=&quot;00AB4C7F&quot;/&gt;&lt;wsp:rsid wsp:val=&quot;00AB4E24&quot;/&gt;&lt;wsp:rsid wsp:val=&quot;00AB4FE3&quot;/&gt;&lt;wsp:rsid wsp:val=&quot;00AB504C&quot;/&gt;&lt;wsp:rsid wsp:val=&quot;00AB51FA&quot;/&gt;&lt;wsp:rsid wsp:val=&quot;00AB5375&quot;/&gt;&lt;wsp:rsid wsp:val=&quot;00AB5404&quot;/&gt;&lt;wsp:rsid wsp:val=&quot;00AB55DD&quot;/&gt;&lt;wsp:rsid wsp:val=&quot;00AB5747&quot;/&gt;&lt;wsp:rsid wsp:val=&quot;00AB5B35&quot;/&gt;&lt;wsp:rsid wsp:val=&quot;00AB5CE5&quot;/&gt;&lt;wsp:rsid wsp:val=&quot;00AB67B5&quot;/&gt;&lt;wsp:rsid wsp:val=&quot;00AB67F3&quot;/&gt;&lt;wsp:rsid wsp:val=&quot;00AB6D48&quot;/&gt;&lt;wsp:rsid wsp:val=&quot;00AB6EC3&quot;/&gt;&lt;wsp:rsid wsp:val=&quot;00AB7C45&quot;/&gt;&lt;wsp:rsid wsp:val=&quot;00AC0763&quot;/&gt;&lt;wsp:rsid wsp:val=&quot;00AC0967&quot;/&gt;&lt;wsp:rsid wsp:val=&quot;00AC0D90&quot;/&gt;&lt;wsp:rsid wsp:val=&quot;00AC1044&quot;/&gt;&lt;wsp:rsid wsp:val=&quot;00AC1366&quot;/&gt;&lt;wsp:rsid wsp:val=&quot;00AC1455&quot;/&gt;&lt;wsp:rsid wsp:val=&quot;00AC18E9&quot;/&gt;&lt;wsp:rsid wsp:val=&quot;00AC19BD&quot;/&gt;&lt;wsp:rsid wsp:val=&quot;00AC2032&quot;/&gt;&lt;wsp:rsid wsp:val=&quot;00AC20DA&quot;/&gt;&lt;wsp:rsid wsp:val=&quot;00AC22D2&quot;/&gt;&lt;wsp:rsid wsp:val=&quot;00AC2495&quot;/&gt;&lt;wsp:rsid wsp:val=&quot;00AC2652&quot;/&gt;&lt;wsp:rsid wsp:val=&quot;00AC2926&quot;/&gt;&lt;wsp:rsid wsp:val=&quot;00AC2B5B&quot;/&gt;&lt;wsp:rsid wsp:val=&quot;00AC308A&quot;/&gt;&lt;wsp:rsid wsp:val=&quot;00AC358E&quot;/&gt;&lt;wsp:rsid wsp:val=&quot;00AC3903&quot;/&gt;&lt;wsp:rsid wsp:val=&quot;00AC4063&quot;/&gt;&lt;wsp:rsid wsp:val=&quot;00AC40EE&quot;/&gt;&lt;wsp:rsid wsp:val=&quot;00AC4234&quot;/&gt;&lt;wsp:rsid wsp:val=&quot;00AC4D26&quot;/&gt;&lt;wsp:rsid wsp:val=&quot;00AC4E76&quot;/&gt;&lt;wsp:rsid wsp:val=&quot;00AC4F73&quot;/&gt;&lt;wsp:rsid wsp:val=&quot;00AC533B&quot;/&gt;&lt;wsp:rsid wsp:val=&quot;00AC56DD&quot;/&gt;&lt;wsp:rsid wsp:val=&quot;00AC5796&quot;/&gt;&lt;wsp:rsid wsp:val=&quot;00AC650B&quot;/&gt;&lt;wsp:rsid wsp:val=&quot;00AC6598&quot;/&gt;&lt;wsp:rsid wsp:val=&quot;00AC68D8&quot;/&gt;&lt;wsp:rsid wsp:val=&quot;00AC699A&quot;/&gt;&lt;wsp:rsid wsp:val=&quot;00AC6C6D&quot;/&gt;&lt;wsp:rsid wsp:val=&quot;00AC6DC2&quot;/&gt;&lt;wsp:rsid wsp:val=&quot;00AC704A&quot;/&gt;&lt;wsp:rsid wsp:val=&quot;00AC73C4&quot;/&gt;&lt;wsp:rsid wsp:val=&quot;00AC77AC&quot;/&gt;&lt;wsp:rsid wsp:val=&quot;00AC7D8E&quot;/&gt;&lt;wsp:rsid wsp:val=&quot;00AD009D&quot;/&gt;&lt;wsp:rsid wsp:val=&quot;00AD034D&quot;/&gt;&lt;wsp:rsid wsp:val=&quot;00AD040A&quot;/&gt;&lt;wsp:rsid wsp:val=&quot;00AD0684&quot;/&gt;&lt;wsp:rsid wsp:val=&quot;00AD0779&quot;/&gt;&lt;wsp:rsid wsp:val=&quot;00AD08EF&quot;/&gt;&lt;wsp:rsid wsp:val=&quot;00AD1039&quot;/&gt;&lt;wsp:rsid wsp:val=&quot;00AD1BF3&quot;/&gt;&lt;wsp:rsid wsp:val=&quot;00AD1E48&quot;/&gt;&lt;wsp:rsid wsp:val=&quot;00AD2171&quot;/&gt;&lt;wsp:rsid wsp:val=&quot;00AD3062&quot;/&gt;&lt;wsp:rsid wsp:val=&quot;00AD3099&quot;/&gt;&lt;wsp:rsid wsp:val=&quot;00AD312C&quot;/&gt;&lt;wsp:rsid wsp:val=&quot;00AD32CE&quot;/&gt;&lt;wsp:rsid wsp:val=&quot;00AD334F&quot;/&gt;&lt;wsp:rsid wsp:val=&quot;00AD3D3D&quot;/&gt;&lt;wsp:rsid wsp:val=&quot;00AD405F&quot;/&gt;&lt;wsp:rsid wsp:val=&quot;00AD40C2&quot;/&gt;&lt;wsp:rsid wsp:val=&quot;00AD4218&quot;/&gt;&lt;wsp:rsid wsp:val=&quot;00AD4487&quot;/&gt;&lt;wsp:rsid wsp:val=&quot;00AD46B1&quot;/&gt;&lt;wsp:rsid wsp:val=&quot;00AD475B&quot;/&gt;&lt;wsp:rsid wsp:val=&quot;00AD4D3C&quot;/&gt;&lt;wsp:rsid wsp:val=&quot;00AD502A&quot;/&gt;&lt;wsp:rsid wsp:val=&quot;00AD56C8&quot;/&gt;&lt;wsp:rsid wsp:val=&quot;00AD5D9A&quot;/&gt;&lt;wsp:rsid wsp:val=&quot;00AD5DF1&quot;/&gt;&lt;wsp:rsid wsp:val=&quot;00AD63F8&quot;/&gt;&lt;wsp:rsid wsp:val=&quot;00AD67A3&quot;/&gt;&lt;wsp:rsid wsp:val=&quot;00AD67D1&quot;/&gt;&lt;wsp:rsid wsp:val=&quot;00AD6D97&quot;/&gt;&lt;wsp:rsid wsp:val=&quot;00AD6F2C&quot;/&gt;&lt;wsp:rsid wsp:val=&quot;00AD74DE&quot;/&gt;&lt;wsp:rsid wsp:val=&quot;00AD75D9&quot;/&gt;&lt;wsp:rsid wsp:val=&quot;00AD767D&quot;/&gt;&lt;wsp:rsid wsp:val=&quot;00AD79C8&quot;/&gt;&lt;wsp:rsid wsp:val=&quot;00AE024C&quot;/&gt;&lt;wsp:rsid wsp:val=&quot;00AE068F&quot;/&gt;&lt;wsp:rsid wsp:val=&quot;00AE0719&quot;/&gt;&lt;wsp:rsid wsp:val=&quot;00AE084B&quot;/&gt;&lt;wsp:rsid wsp:val=&quot;00AE0FEB&quot;/&gt;&lt;wsp:rsid wsp:val=&quot;00AE0FF8&quot;/&gt;&lt;wsp:rsid wsp:val=&quot;00AE1545&quot;/&gt;&lt;wsp:rsid wsp:val=&quot;00AE15DC&quot;/&gt;&lt;wsp:rsid wsp:val=&quot;00AE1955&quot;/&gt;&lt;wsp:rsid wsp:val=&quot;00AE1B40&quot;/&gt;&lt;wsp:rsid wsp:val=&quot;00AE20EA&quot;/&gt;&lt;wsp:rsid wsp:val=&quot;00AE224C&quot;/&gt;&lt;wsp:rsid wsp:val=&quot;00AE278A&quot;/&gt;&lt;wsp:rsid wsp:val=&quot;00AE2AC4&quot;/&gt;&lt;wsp:rsid wsp:val=&quot;00AE32E1&quot;/&gt;&lt;wsp:rsid wsp:val=&quot;00AE3803&quot;/&gt;&lt;wsp:rsid wsp:val=&quot;00AE3814&quot;/&gt;&lt;wsp:rsid wsp:val=&quot;00AE38C8&quot;/&gt;&lt;wsp:rsid wsp:val=&quot;00AE46DB&quot;/&gt;&lt;wsp:rsid wsp:val=&quot;00AE4840&quot;/&gt;&lt;wsp:rsid wsp:val=&quot;00AE5283&quot;/&gt;&lt;wsp:rsid wsp:val=&quot;00AE542C&quot;/&gt;&lt;wsp:rsid wsp:val=&quot;00AE5D98&quot;/&gt;&lt;wsp:rsid wsp:val=&quot;00AE5E12&quot;/&gt;&lt;wsp:rsid wsp:val=&quot;00AE5E2B&quot;/&gt;&lt;wsp:rsid wsp:val=&quot;00AE5EA0&quot;/&gt;&lt;wsp:rsid wsp:val=&quot;00AE69C5&quot;/&gt;&lt;wsp:rsid wsp:val=&quot;00AE6EB1&quot;/&gt;&lt;wsp:rsid wsp:val=&quot;00AE6F8E&quot;/&gt;&lt;wsp:rsid wsp:val=&quot;00AE76BD&quot;/&gt;&lt;wsp:rsid wsp:val=&quot;00AE794E&quot;/&gt;&lt;wsp:rsid wsp:val=&quot;00AE7B87&quot;/&gt;&lt;wsp:rsid wsp:val=&quot;00AF04F5&quot;/&gt;&lt;wsp:rsid wsp:val=&quot;00AF077C&quot;/&gt;&lt;wsp:rsid wsp:val=&quot;00AF078B&quot;/&gt;&lt;wsp:rsid wsp:val=&quot;00AF0C3E&quot;/&gt;&lt;wsp:rsid wsp:val=&quot;00AF14A8&quot;/&gt;&lt;wsp:rsid wsp:val=&quot;00AF1564&quot;/&gt;&lt;wsp:rsid wsp:val=&quot;00AF1B37&quot;/&gt;&lt;wsp:rsid wsp:val=&quot;00AF2287&quot;/&gt;&lt;wsp:rsid wsp:val=&quot;00AF2712&quot;/&gt;&lt;wsp:rsid wsp:val=&quot;00AF2CC9&quot;/&gt;&lt;wsp:rsid wsp:val=&quot;00AF2D3E&quot;/&gt;&lt;wsp:rsid wsp:val=&quot;00AF2F7A&quot;/&gt;&lt;wsp:rsid wsp:val=&quot;00AF2F9D&quot;/&gt;&lt;wsp:rsid wsp:val=&quot;00AF3149&quot;/&gt;&lt;wsp:rsid wsp:val=&quot;00AF3509&quot;/&gt;&lt;wsp:rsid wsp:val=&quot;00AF3529&quot;/&gt;&lt;wsp:rsid wsp:val=&quot;00AF3B58&quot;/&gt;&lt;wsp:rsid wsp:val=&quot;00AF3E49&quot;/&gt;&lt;wsp:rsid wsp:val=&quot;00AF424F&quot;/&gt;&lt;wsp:rsid wsp:val=&quot;00AF4343&quot;/&gt;&lt;wsp:rsid wsp:val=&quot;00AF55AA&quot;/&gt;&lt;wsp:rsid wsp:val=&quot;00AF56AE&quot;/&gt;&lt;wsp:rsid wsp:val=&quot;00AF5852&quot;/&gt;&lt;wsp:rsid wsp:val=&quot;00AF5A03&quot;/&gt;&lt;wsp:rsid wsp:val=&quot;00AF5B3E&quot;/&gt;&lt;wsp:rsid wsp:val=&quot;00AF5FD0&quot;/&gt;&lt;wsp:rsid wsp:val=&quot;00AF6623&quot;/&gt;&lt;wsp:rsid wsp:val=&quot;00AF6C6E&quot;/&gt;&lt;wsp:rsid wsp:val=&quot;00AF6F3F&quot;/&gt;&lt;wsp:rsid wsp:val=&quot;00AF7725&quot;/&gt;&lt;wsp:rsid wsp:val=&quot;00AF7759&quot;/&gt;&lt;wsp:rsid wsp:val=&quot;00B003B5&quot;/&gt;&lt;wsp:rsid wsp:val=&quot;00B00493&quot;/&gt;&lt;wsp:rsid wsp:val=&quot;00B006EA&quot;/&gt;&lt;wsp:rsid wsp:val=&quot;00B00992&quot;/&gt;&lt;wsp:rsid wsp:val=&quot;00B00A3C&quot;/&gt;&lt;wsp:rsid wsp:val=&quot;00B00DA1&quot;/&gt;&lt;wsp:rsid wsp:val=&quot;00B00DA4&quot;/&gt;&lt;wsp:rsid wsp:val=&quot;00B00DC4&quot;/&gt;&lt;wsp:rsid wsp:val=&quot;00B0124C&quot;/&gt;&lt;wsp:rsid wsp:val=&quot;00B01375&quot;/&gt;&lt;wsp:rsid wsp:val=&quot;00B01420&quot;/&gt;&lt;wsp:rsid wsp:val=&quot;00B016D4&quot;/&gt;&lt;wsp:rsid wsp:val=&quot;00B01D43&quot;/&gt;&lt;wsp:rsid wsp:val=&quot;00B01FC6&quot;/&gt;&lt;wsp:rsid wsp:val=&quot;00B02031&quot;/&gt;&lt;wsp:rsid wsp:val=&quot;00B026F6&quot;/&gt;&lt;wsp:rsid wsp:val=&quot;00B02F28&quot;/&gt;&lt;wsp:rsid wsp:val=&quot;00B0318E&quot;/&gt;&lt;wsp:rsid wsp:val=&quot;00B033E0&quot;/&gt;&lt;wsp:rsid wsp:val=&quot;00B03510&quot;/&gt;&lt;wsp:rsid wsp:val=&quot;00B03804&quot;/&gt;&lt;wsp:rsid wsp:val=&quot;00B03DEE&quot;/&gt;&lt;wsp:rsid wsp:val=&quot;00B045D9&quot;/&gt;&lt;wsp:rsid wsp:val=&quot;00B04A0F&quot;/&gt;&lt;wsp:rsid wsp:val=&quot;00B04AE7&quot;/&gt;&lt;wsp:rsid wsp:val=&quot;00B04EEB&quot;/&gt;&lt;wsp:rsid wsp:val=&quot;00B04F2C&quot;/&gt;&lt;wsp:rsid wsp:val=&quot;00B053A9&quot;/&gt;&lt;wsp:rsid wsp:val=&quot;00B05AC4&quot;/&gt;&lt;wsp:rsid wsp:val=&quot;00B05EA9&quot;/&gt;&lt;wsp:rsid wsp:val=&quot;00B05F50&quot;/&gt;&lt;wsp:rsid wsp:val=&quot;00B0603D&quot;/&gt;&lt;wsp:rsid wsp:val=&quot;00B06108&quot;/&gt;&lt;wsp:rsid wsp:val=&quot;00B06342&quot;/&gt;&lt;wsp:rsid wsp:val=&quot;00B063E9&quot;/&gt;&lt;wsp:rsid wsp:val=&quot;00B066FE&quot;/&gt;&lt;wsp:rsid wsp:val=&quot;00B067B6&quot;/&gt;&lt;wsp:rsid wsp:val=&quot;00B069EB&quot;/&gt;&lt;wsp:rsid wsp:val=&quot;00B06D78&quot;/&gt;&lt;wsp:rsid wsp:val=&quot;00B074B7&quot;/&gt;&lt;wsp:rsid wsp:val=&quot;00B07A34&quot;/&gt;&lt;wsp:rsid wsp:val=&quot;00B07A9B&quot;/&gt;&lt;wsp:rsid wsp:val=&quot;00B07C0E&quot;/&gt;&lt;wsp:rsid wsp:val=&quot;00B101E2&quot;/&gt;&lt;wsp:rsid wsp:val=&quot;00B10273&quot;/&gt;&lt;wsp:rsid wsp:val=&quot;00B102A5&quot;/&gt;&lt;wsp:rsid wsp:val=&quot;00B10437&quot;/&gt;&lt;wsp:rsid wsp:val=&quot;00B105C4&quot;/&gt;&lt;wsp:rsid wsp:val=&quot;00B10857&quot;/&gt;&lt;wsp:rsid wsp:val=&quot;00B114AA&quot;/&gt;&lt;wsp:rsid wsp:val=&quot;00B11588&quot;/&gt;&lt;wsp:rsid wsp:val=&quot;00B11AF5&quot;/&gt;&lt;wsp:rsid wsp:val=&quot;00B11C47&quot;/&gt;&lt;wsp:rsid wsp:val=&quot;00B12253&quot;/&gt;&lt;wsp:rsid wsp:val=&quot;00B1237E&quot;/&gt;&lt;wsp:rsid wsp:val=&quot;00B12763&quot;/&gt;&lt;wsp:rsid wsp:val=&quot;00B12A63&quot;/&gt;&lt;wsp:rsid wsp:val=&quot;00B12BF1&quot;/&gt;&lt;wsp:rsid wsp:val=&quot;00B12CB5&quot;/&gt;&lt;wsp:rsid wsp:val=&quot;00B12D76&quot;/&gt;&lt;wsp:rsid wsp:val=&quot;00B12EAC&quot;/&gt;&lt;wsp:rsid wsp:val=&quot;00B13341&quot;/&gt;&lt;wsp:rsid wsp:val=&quot;00B1351D&quot;/&gt;&lt;wsp:rsid wsp:val=&quot;00B13820&quot;/&gt;&lt;wsp:rsid wsp:val=&quot;00B1420F&quot;/&gt;&lt;wsp:rsid wsp:val=&quot;00B14339&quot;/&gt;&lt;wsp:rsid wsp:val=&quot;00B1488F&quot;/&gt;&lt;wsp:rsid wsp:val=&quot;00B1495C&quot;/&gt;&lt;wsp:rsid wsp:val=&quot;00B14964&quot;/&gt;&lt;wsp:rsid wsp:val=&quot;00B14EC4&quot;/&gt;&lt;wsp:rsid wsp:val=&quot;00B14FB8&quot;/&gt;&lt;wsp:rsid wsp:val=&quot;00B150F3&quot;/&gt;&lt;wsp:rsid wsp:val=&quot;00B1542F&quot;/&gt;&lt;wsp:rsid wsp:val=&quot;00B15BB8&quot;/&gt;&lt;wsp:rsid wsp:val=&quot;00B15BD5&quot;/&gt;&lt;wsp:rsid wsp:val=&quot;00B1658C&quot;/&gt;&lt;wsp:rsid wsp:val=&quot;00B165F4&quot;/&gt;&lt;wsp:rsid wsp:val=&quot;00B16B51&quot;/&gt;&lt;wsp:rsid wsp:val=&quot;00B16CE4&quot;/&gt;&lt;wsp:rsid wsp:val=&quot;00B17267&quot;/&gt;&lt;wsp:rsid wsp:val=&quot;00B17A6F&quot;/&gt;&lt;wsp:rsid wsp:val=&quot;00B17A77&quot;/&gt;&lt;wsp:rsid wsp:val=&quot;00B17F34&quot;/&gt;&lt;wsp:rsid wsp:val=&quot;00B2037C&quot;/&gt;&lt;wsp:rsid wsp:val=&quot;00B206CE&quot;/&gt;&lt;wsp:rsid wsp:val=&quot;00B207CE&quot;/&gt;&lt;wsp:rsid wsp:val=&quot;00B207EC&quot;/&gt;&lt;wsp:rsid wsp:val=&quot;00B208ED&quot;/&gt;&lt;wsp:rsid wsp:val=&quot;00B211C4&quot;/&gt;&lt;wsp:rsid wsp:val=&quot;00B21203&quot;/&gt;&lt;wsp:rsid wsp:val=&quot;00B214B2&quot;/&gt;&lt;wsp:rsid wsp:val=&quot;00B215AA&quot;/&gt;&lt;wsp:rsid wsp:val=&quot;00B215BC&quot;/&gt;&lt;wsp:rsid wsp:val=&quot;00B21620&quot;/&gt;&lt;wsp:rsid wsp:val=&quot;00B22E8F&quot;/&gt;&lt;wsp:rsid wsp:val=&quot;00B22F40&quot;/&gt;&lt;wsp:rsid wsp:val=&quot;00B23200&quot;/&gt;&lt;wsp:rsid wsp:val=&quot;00B2379C&quot;/&gt;&lt;wsp:rsid wsp:val=&quot;00B23892&quot;/&gt;&lt;wsp:rsid wsp:val=&quot;00B23D2B&quot;/&gt;&lt;wsp:rsid wsp:val=&quot;00B246A6&quot;/&gt;&lt;wsp:rsid wsp:val=&quot;00B24E41&quot;/&gt;&lt;wsp:rsid wsp:val=&quot;00B24E66&quot;/&gt;&lt;wsp:rsid wsp:val=&quot;00B25027&quot;/&gt;&lt;wsp:rsid wsp:val=&quot;00B2582C&quot;/&gt;&lt;wsp:rsid wsp:val=&quot;00B25907&quot;/&gt;&lt;wsp:rsid wsp:val=&quot;00B264BA&quot;/&gt;&lt;wsp:rsid wsp:val=&quot;00B267C6&quot;/&gt;&lt;wsp:rsid wsp:val=&quot;00B26F46&quot;/&gt;&lt;wsp:rsid wsp:val=&quot;00B270F2&quot;/&gt;&lt;wsp:rsid wsp:val=&quot;00B271B9&quot;/&gt;&lt;wsp:rsid wsp:val=&quot;00B27380&quot;/&gt;&lt;wsp:rsid wsp:val=&quot;00B274BB&quot;/&gt;&lt;wsp:rsid wsp:val=&quot;00B27520&quot;/&gt;&lt;wsp:rsid wsp:val=&quot;00B275DE&quot;/&gt;&lt;wsp:rsid wsp:val=&quot;00B27710&quot;/&gt;&lt;wsp:rsid wsp:val=&quot;00B2772A&quot;/&gt;&lt;wsp:rsid wsp:val=&quot;00B27B90&quot;/&gt;&lt;wsp:rsid wsp:val=&quot;00B27BDA&quot;/&gt;&lt;wsp:rsid wsp:val=&quot;00B302EC&quot;/&gt;&lt;wsp:rsid wsp:val=&quot;00B304C9&quot;/&gt;&lt;wsp:rsid wsp:val=&quot;00B3096D&quot;/&gt;&lt;wsp:rsid wsp:val=&quot;00B30EC9&quot;/&gt;&lt;wsp:rsid wsp:val=&quot;00B31340&quot;/&gt;&lt;wsp:rsid wsp:val=&quot;00B316E7&quot;/&gt;&lt;wsp:rsid wsp:val=&quot;00B31A7D&quot;/&gt;&lt;wsp:rsid wsp:val=&quot;00B31B75&quot;/&gt;&lt;wsp:rsid wsp:val=&quot;00B31F3B&quot;/&gt;&lt;wsp:rsid wsp:val=&quot;00B3255B&quot;/&gt;&lt;wsp:rsid wsp:val=&quot;00B32722&quot;/&gt;&lt;wsp:rsid wsp:val=&quot;00B32901&quot;/&gt;&lt;wsp:rsid wsp:val=&quot;00B32BC4&quot;/&gt;&lt;wsp:rsid wsp:val=&quot;00B32F30&quot;/&gt;&lt;wsp:rsid wsp:val=&quot;00B334E2&quot;/&gt;&lt;wsp:rsid wsp:val=&quot;00B340D8&quot;/&gt;&lt;wsp:rsid wsp:val=&quot;00B34423&quot;/&gt;&lt;wsp:rsid wsp:val=&quot;00B345E1&quot;/&gt;&lt;wsp:rsid wsp:val=&quot;00B34696&quot;/&gt;&lt;wsp:rsid wsp:val=&quot;00B34A3A&quot;/&gt;&lt;wsp:rsid wsp:val=&quot;00B3508E&quot;/&gt;&lt;wsp:rsid wsp:val=&quot;00B35471&quot;/&gt;&lt;wsp:rsid wsp:val=&quot;00B355F7&quot;/&gt;&lt;wsp:rsid wsp:val=&quot;00B355F9&quot;/&gt;&lt;wsp:rsid wsp:val=&quot;00B357FC&quot;/&gt;&lt;wsp:rsid wsp:val=&quot;00B35891&quot;/&gt;&lt;wsp:rsid wsp:val=&quot;00B358AC&quot;/&gt;&lt;wsp:rsid wsp:val=&quot;00B358E9&quot;/&gt;&lt;wsp:rsid wsp:val=&quot;00B35CC2&quot;/&gt;&lt;wsp:rsid wsp:val=&quot;00B36659&quot;/&gt;&lt;wsp:rsid wsp:val=&quot;00B366D3&quot;/&gt;&lt;wsp:rsid wsp:val=&quot;00B3693E&quot;/&gt;&lt;wsp:rsid wsp:val=&quot;00B37158&quot;/&gt;&lt;wsp:rsid wsp:val=&quot;00B373C5&quot;/&gt;&lt;wsp:rsid wsp:val=&quot;00B373F6&quot;/&gt;&lt;wsp:rsid wsp:val=&quot;00B3753C&quot;/&gt;&lt;wsp:rsid wsp:val=&quot;00B37824&quot;/&gt;&lt;wsp:rsid wsp:val=&quot;00B379CB&quot;/&gt;&lt;wsp:rsid wsp:val=&quot;00B37AB0&quot;/&gt;&lt;wsp:rsid wsp:val=&quot;00B37B1C&quot;/&gt;&lt;wsp:rsid wsp:val=&quot;00B37D83&quot;/&gt;&lt;wsp:rsid wsp:val=&quot;00B4003F&quot;/&gt;&lt;wsp:rsid wsp:val=&quot;00B4027C&quot;/&gt;&lt;wsp:rsid wsp:val=&quot;00B405AA&quot;/&gt;&lt;wsp:rsid wsp:val=&quot;00B41129&quot;/&gt;&lt;wsp:rsid wsp:val=&quot;00B41EB7&quot;/&gt;&lt;wsp:rsid wsp:val=&quot;00B420EF&quot;/&gt;&lt;wsp:rsid wsp:val=&quot;00B4230F&quot;/&gt;&lt;wsp:rsid wsp:val=&quot;00B42619&quot;/&gt;&lt;wsp:rsid wsp:val=&quot;00B42645&quot;/&gt;&lt;wsp:rsid wsp:val=&quot;00B4304B&quot;/&gt;&lt;wsp:rsid wsp:val=&quot;00B43378&quot;/&gt;&lt;wsp:rsid wsp:val=&quot;00B4338C&quot;/&gt;&lt;wsp:rsid wsp:val=&quot;00B43BD7&quot;/&gt;&lt;wsp:rsid wsp:val=&quot;00B43C58&quot;/&gt;&lt;wsp:rsid wsp:val=&quot;00B44956&quot;/&gt;&lt;wsp:rsid wsp:val=&quot;00B4527D&quot;/&gt;&lt;wsp:rsid wsp:val=&quot;00B45F5B&quot;/&gt;&lt;wsp:rsid wsp:val=&quot;00B45F5C&quot;/&gt;&lt;wsp:rsid wsp:val=&quot;00B4613C&quot;/&gt;&lt;wsp:rsid wsp:val=&quot;00B464BF&quot;/&gt;&lt;wsp:rsid wsp:val=&quot;00B47705&quot;/&gt;&lt;wsp:rsid wsp:val=&quot;00B47ABD&quot;/&gt;&lt;wsp:rsid wsp:val=&quot;00B47AD1&quot;/&gt;&lt;wsp:rsid wsp:val=&quot;00B47CF4&quot;/&gt;&lt;wsp:rsid wsp:val=&quot;00B47D36&quot;/&gt;&lt;wsp:rsid wsp:val=&quot;00B502BB&quot;/&gt;&lt;wsp:rsid wsp:val=&quot;00B503FD&quot;/&gt;&lt;wsp:rsid wsp:val=&quot;00B50466&quot;/&gt;&lt;wsp:rsid wsp:val=&quot;00B5046F&quot;/&gt;&lt;wsp:rsid wsp:val=&quot;00B505A0&quot;/&gt;&lt;wsp:rsid wsp:val=&quot;00B5084A&quot;/&gt;&lt;wsp:rsid wsp:val=&quot;00B50D60&quot;/&gt;&lt;wsp:rsid wsp:val=&quot;00B5111F&quot;/&gt;&lt;wsp:rsid wsp:val=&quot;00B5185C&quot;/&gt;&lt;wsp:rsid wsp:val=&quot;00B51AB7&quot;/&gt;&lt;wsp:rsid wsp:val=&quot;00B5203B&quot;/&gt;&lt;wsp:rsid wsp:val=&quot;00B52188&quot;/&gt;&lt;wsp:rsid wsp:val=&quot;00B5250E&quot;/&gt;&lt;wsp:rsid wsp:val=&quot;00B5261C&quot;/&gt;&lt;wsp:rsid wsp:val=&quot;00B526AE&quot;/&gt;&lt;wsp:rsid wsp:val=&quot;00B52770&quot;/&gt;&lt;wsp:rsid wsp:val=&quot;00B52A1C&quot;/&gt;&lt;wsp:rsid wsp:val=&quot;00B52A23&quot;/&gt;&lt;wsp:rsid wsp:val=&quot;00B52B05&quot;/&gt;&lt;wsp:rsid wsp:val=&quot;00B52D02&quot;/&gt;&lt;wsp:rsid wsp:val=&quot;00B5318B&quot;/&gt;&lt;wsp:rsid wsp:val=&quot;00B531BC&quot;/&gt;&lt;wsp:rsid wsp:val=&quot;00B53482&quot;/&gt;&lt;wsp:rsid wsp:val=&quot;00B5387F&quot;/&gt;&lt;wsp:rsid wsp:val=&quot;00B5389B&quot;/&gt;&lt;wsp:rsid wsp:val=&quot;00B538F1&quot;/&gt;&lt;wsp:rsid wsp:val=&quot;00B539E7&quot;/&gt;&lt;wsp:rsid wsp:val=&quot;00B53E93&quot;/&gt;&lt;wsp:rsid wsp:val=&quot;00B54064&quot;/&gt;&lt;wsp:rsid wsp:val=&quot;00B54297&quot;/&gt;&lt;wsp:rsid wsp:val=&quot;00B546F4&quot;/&gt;&lt;wsp:rsid wsp:val=&quot;00B54741&quot;/&gt;&lt;wsp:rsid wsp:val=&quot;00B55036&quot;/&gt;&lt;wsp:rsid wsp:val=&quot;00B55249&quot;/&gt;&lt;wsp:rsid wsp:val=&quot;00B5525F&quot;/&gt;&lt;wsp:rsid wsp:val=&quot;00B55663&quot;/&gt;&lt;wsp:rsid wsp:val=&quot;00B55685&quot;/&gt;&lt;wsp:rsid wsp:val=&quot;00B55912&quot;/&gt;&lt;wsp:rsid wsp:val=&quot;00B561D6&quot;/&gt;&lt;wsp:rsid wsp:val=&quot;00B561F7&quot;/&gt;&lt;wsp:rsid wsp:val=&quot;00B5637B&quot;/&gt;&lt;wsp:rsid wsp:val=&quot;00B56DF4&quot;/&gt;&lt;wsp:rsid wsp:val=&quot;00B57213&quot;/&gt;&lt;wsp:rsid wsp:val=&quot;00B573A4&quot;/&gt;&lt;wsp:rsid wsp:val=&quot;00B5750A&quot;/&gt;&lt;wsp:rsid wsp:val=&quot;00B57E4C&quot;/&gt;&lt;wsp:rsid wsp:val=&quot;00B608C4&quot;/&gt;&lt;wsp:rsid wsp:val=&quot;00B609CB&quot;/&gt;&lt;wsp:rsid wsp:val=&quot;00B61A4B&quot;/&gt;&lt;wsp:rsid wsp:val=&quot;00B61D45&quot;/&gt;&lt;wsp:rsid wsp:val=&quot;00B621BD&quot;/&gt;&lt;wsp:rsid wsp:val=&quot;00B622DE&quot;/&gt;&lt;wsp:rsid wsp:val=&quot;00B6234B&quot;/&gt;&lt;wsp:rsid wsp:val=&quot;00B6240A&quot;/&gt;&lt;wsp:rsid wsp:val=&quot;00B6240F&quot;/&gt;&lt;wsp:rsid wsp:val=&quot;00B626C5&quot;/&gt;&lt;wsp:rsid wsp:val=&quot;00B626D5&quot;/&gt;&lt;wsp:rsid wsp:val=&quot;00B62CEE&quot;/&gt;&lt;wsp:rsid wsp:val=&quot;00B63154&quot;/&gt;&lt;wsp:rsid wsp:val=&quot;00B636AA&quot;/&gt;&lt;wsp:rsid wsp:val=&quot;00B642D8&quot;/&gt;&lt;wsp:rsid wsp:val=&quot;00B647B6&quot;/&gt;&lt;wsp:rsid wsp:val=&quot;00B64D1F&quot;/&gt;&lt;wsp:rsid wsp:val=&quot;00B64D40&quot;/&gt;&lt;wsp:rsid wsp:val=&quot;00B6520B&quot;/&gt;&lt;wsp:rsid wsp:val=&quot;00B657C0&quot;/&gt;&lt;wsp:rsid wsp:val=&quot;00B659C5&quot;/&gt;&lt;wsp:rsid wsp:val=&quot;00B66936&quot;/&gt;&lt;wsp:rsid wsp:val=&quot;00B66BE4&quot;/&gt;&lt;wsp:rsid wsp:val=&quot;00B67407&quot;/&gt;&lt;wsp:rsid wsp:val=&quot;00B674C9&quot;/&gt;&lt;wsp:rsid wsp:val=&quot;00B6750B&quot;/&gt;&lt;wsp:rsid wsp:val=&quot;00B67969&quot;/&gt;&lt;wsp:rsid wsp:val=&quot;00B7024E&quot;/&gt;&lt;wsp:rsid wsp:val=&quot;00B70395&quot;/&gt;&lt;wsp:rsid wsp:val=&quot;00B70444&quot;/&gt;&lt;wsp:rsid wsp:val=&quot;00B70C63&quot;/&gt;&lt;wsp:rsid wsp:val=&quot;00B70D4A&quot;/&gt;&lt;wsp:rsid wsp:val=&quot;00B719DC&quot;/&gt;&lt;wsp:rsid wsp:val=&quot;00B71DF4&quot;/&gt;&lt;wsp:rsid wsp:val=&quot;00B71FF8&quot;/&gt;&lt;wsp:rsid wsp:val=&quot;00B7214D&quot;/&gt;&lt;wsp:rsid wsp:val=&quot;00B7237E&quot;/&gt;&lt;wsp:rsid wsp:val=&quot;00B72491&quot;/&gt;&lt;wsp:rsid wsp:val=&quot;00B72997&quot;/&gt;&lt;wsp:rsid wsp:val=&quot;00B72B2D&quot;/&gt;&lt;wsp:rsid wsp:val=&quot;00B73379&quot;/&gt;&lt;wsp:rsid wsp:val=&quot;00B738A1&quot;/&gt;&lt;wsp:rsid wsp:val=&quot;00B73E83&quot;/&gt;&lt;wsp:rsid wsp:val=&quot;00B73F7D&quot;/&gt;&lt;wsp:rsid wsp:val=&quot;00B7404A&quot;/&gt;&lt;wsp:rsid wsp:val=&quot;00B743DB&quot;/&gt;&lt;wsp:rsid wsp:val=&quot;00B74423&quot;/&gt;&lt;wsp:rsid wsp:val=&quot;00B74642&quot;/&gt;&lt;wsp:rsid wsp:val=&quot;00B74D25&quot;/&gt;&lt;wsp:rsid wsp:val=&quot;00B7536C&quot;/&gt;&lt;wsp:rsid wsp:val=&quot;00B7552C&quot;/&gt;&lt;wsp:rsid wsp:val=&quot;00B757CF&quot;/&gt;&lt;wsp:rsid wsp:val=&quot;00B7595E&quot;/&gt;&lt;wsp:rsid wsp:val=&quot;00B75F42&quot;/&gt;&lt;wsp:rsid wsp:val=&quot;00B766BB&quot;/&gt;&lt;wsp:rsid wsp:val=&quot;00B766D1&quot;/&gt;&lt;wsp:rsid wsp:val=&quot;00B769B6&quot;/&gt;&lt;wsp:rsid wsp:val=&quot;00B76C16&quot;/&gt;&lt;wsp:rsid wsp:val=&quot;00B77226&quot;/&gt;&lt;wsp:rsid wsp:val=&quot;00B7723F&quot;/&gt;&lt;wsp:rsid wsp:val=&quot;00B77294&quot;/&gt;&lt;wsp:rsid wsp:val=&quot;00B77450&quot;/&gt;&lt;wsp:rsid wsp:val=&quot;00B776BA&quot;/&gt;&lt;wsp:rsid wsp:val=&quot;00B77C3D&quot;/&gt;&lt;wsp:rsid wsp:val=&quot;00B803FB&quot;/&gt;&lt;wsp:rsid wsp:val=&quot;00B804AA&quot;/&gt;&lt;wsp:rsid wsp:val=&quot;00B8054A&quot;/&gt;&lt;wsp:rsid wsp:val=&quot;00B8064A&quot;/&gt;&lt;wsp:rsid wsp:val=&quot;00B81830&quot;/&gt;&lt;wsp:rsid wsp:val=&quot;00B81AF0&quot;/&gt;&lt;wsp:rsid wsp:val=&quot;00B81B2D&quot;/&gt;&lt;wsp:rsid wsp:val=&quot;00B82189&quot;/&gt;&lt;wsp:rsid wsp:val=&quot;00B82335&quot;/&gt;&lt;wsp:rsid wsp:val=&quot;00B82367&quot;/&gt;&lt;wsp:rsid wsp:val=&quot;00B825BC&quot;/&gt;&lt;wsp:rsid wsp:val=&quot;00B8299B&quot;/&gt;&lt;wsp:rsid wsp:val=&quot;00B82BB6&quot;/&gt;&lt;wsp:rsid wsp:val=&quot;00B830E9&quot;/&gt;&lt;wsp:rsid wsp:val=&quot;00B8316D&quot;/&gt;&lt;wsp:rsid wsp:val=&quot;00B83687&quot;/&gt;&lt;wsp:rsid wsp:val=&quot;00B83B40&quot;/&gt;&lt;wsp:rsid wsp:val=&quot;00B83E28&quot;/&gt;&lt;wsp:rsid wsp:val=&quot;00B8416F&quot;/&gt;&lt;wsp:rsid wsp:val=&quot;00B84482&quot;/&gt;&lt;wsp:rsid wsp:val=&quot;00B845CB&quot;/&gt;&lt;wsp:rsid wsp:val=&quot;00B8472E&quot;/&gt;&lt;wsp:rsid wsp:val=&quot;00B84801&quot;/&gt;&lt;wsp:rsid wsp:val=&quot;00B8506F&quot;/&gt;&lt;wsp:rsid wsp:val=&quot;00B85311&quot;/&gt;&lt;wsp:rsid wsp:val=&quot;00B859FF&quot;/&gt;&lt;wsp:rsid wsp:val=&quot;00B85A40&quot;/&gt;&lt;wsp:rsid wsp:val=&quot;00B85B95&quot;/&gt;&lt;wsp:rsid wsp:val=&quot;00B85DAE&quot;/&gt;&lt;wsp:rsid wsp:val=&quot;00B85DF7&quot;/&gt;&lt;wsp:rsid wsp:val=&quot;00B85FDF&quot;/&gt;&lt;wsp:rsid wsp:val=&quot;00B86233&quot;/&gt;&lt;wsp:rsid wsp:val=&quot;00B868D1&quot;/&gt;&lt;wsp:rsid wsp:val=&quot;00B870B9&quot;/&gt;&lt;wsp:rsid wsp:val=&quot;00B87548&quot;/&gt;&lt;wsp:rsid wsp:val=&quot;00B87808&quot;/&gt;&lt;wsp:rsid wsp:val=&quot;00B87C05&quot;/&gt;&lt;wsp:rsid wsp:val=&quot;00B87FF0&quot;/&gt;&lt;wsp:rsid wsp:val=&quot;00B90186&quot;/&gt;&lt;wsp:rsid wsp:val=&quot;00B90220&quot;/&gt;&lt;wsp:rsid wsp:val=&quot;00B9055C&quot;/&gt;&lt;wsp:rsid wsp:val=&quot;00B90A24&quot;/&gt;&lt;wsp:rsid wsp:val=&quot;00B90AFB&quot;/&gt;&lt;wsp:rsid wsp:val=&quot;00B91017&quot;/&gt;&lt;wsp:rsid wsp:val=&quot;00B91019&quot;/&gt;&lt;wsp:rsid wsp:val=&quot;00B91898&quot;/&gt;&lt;wsp:rsid wsp:val=&quot;00B91D43&quot;/&gt;&lt;wsp:rsid wsp:val=&quot;00B91FFC&quot;/&gt;&lt;wsp:rsid wsp:val=&quot;00B922CF&quot;/&gt;&lt;wsp:rsid wsp:val=&quot;00B9259B&quot;/&gt;&lt;wsp:rsid wsp:val=&quot;00B925A4&quot;/&gt;&lt;wsp:rsid wsp:val=&quot;00B92867&quot;/&gt;&lt;wsp:rsid wsp:val=&quot;00B92C8B&quot;/&gt;&lt;wsp:rsid wsp:val=&quot;00B92CE3&quot;/&gt;&lt;wsp:rsid wsp:val=&quot;00B92EDF&quot;/&gt;&lt;wsp:rsid wsp:val=&quot;00B933ED&quot;/&gt;&lt;wsp:rsid wsp:val=&quot;00B9374D&quot;/&gt;&lt;wsp:rsid wsp:val=&quot;00B939BE&quot;/&gt;&lt;wsp:rsid wsp:val=&quot;00B93A53&quot;/&gt;&lt;wsp:rsid wsp:val=&quot;00B93E91&quot;/&gt;&lt;wsp:rsid wsp:val=&quot;00B94416&quot;/&gt;&lt;wsp:rsid wsp:val=&quot;00B945F6&quot;/&gt;&lt;wsp:rsid wsp:val=&quot;00B9494F&quot;/&gt;&lt;wsp:rsid wsp:val=&quot;00B949CD&quot;/&gt;&lt;wsp:rsid wsp:val=&quot;00B94DD4&quot;/&gt;&lt;wsp:rsid wsp:val=&quot;00B957E1&quot;/&gt;&lt;wsp:rsid wsp:val=&quot;00B95A70&quot;/&gt;&lt;wsp:rsid wsp:val=&quot;00B95F0E&quot;/&gt;&lt;wsp:rsid wsp:val=&quot;00B96800&quot;/&gt;&lt;wsp:rsid wsp:val=&quot;00B96DC9&quot;/&gt;&lt;wsp:rsid wsp:val=&quot;00B96EA0&quot;/&gt;&lt;wsp:rsid wsp:val=&quot;00B972E9&quot;/&gt;&lt;wsp:rsid wsp:val=&quot;00BA00D0&quot;/&gt;&lt;wsp:rsid wsp:val=&quot;00BA0219&quot;/&gt;&lt;wsp:rsid wsp:val=&quot;00BA0229&quot;/&gt;&lt;wsp:rsid wsp:val=&quot;00BA0362&quot;/&gt;&lt;wsp:rsid wsp:val=&quot;00BA0611&quot;/&gt;&lt;wsp:rsid wsp:val=&quot;00BA0A56&quot;/&gt;&lt;wsp:rsid wsp:val=&quot;00BA149A&quot;/&gt;&lt;wsp:rsid wsp:val=&quot;00BA162E&quot;/&gt;&lt;wsp:rsid wsp:val=&quot;00BA178A&quot;/&gt;&lt;wsp:rsid wsp:val=&quot;00BA2D52&quot;/&gt;&lt;wsp:rsid wsp:val=&quot;00BA2D5D&quot;/&gt;&lt;wsp:rsid wsp:val=&quot;00BA3151&quot;/&gt;&lt;wsp:rsid wsp:val=&quot;00BA34EC&quot;/&gt;&lt;wsp:rsid wsp:val=&quot;00BA38D3&quot;/&gt;&lt;wsp:rsid wsp:val=&quot;00BA3DB2&quot;/&gt;&lt;wsp:rsid wsp:val=&quot;00BA3E49&quot;/&gt;&lt;wsp:rsid wsp:val=&quot;00BA43FA&quot;/&gt;&lt;wsp:rsid wsp:val=&quot;00BA4C42&quot;/&gt;&lt;wsp:rsid wsp:val=&quot;00BA4D6A&quot;/&gt;&lt;wsp:rsid wsp:val=&quot;00BA5CA8&quot;/&gt;&lt;wsp:rsid wsp:val=&quot;00BA5DFF&quot;/&gt;&lt;wsp:rsid wsp:val=&quot;00BA5FEF&quot;/&gt;&lt;wsp:rsid wsp:val=&quot;00BA61E1&quot;/&gt;&lt;wsp:rsid wsp:val=&quot;00BA63A1&quot;/&gt;&lt;wsp:rsid wsp:val=&quot;00BA683E&quot;/&gt;&lt;wsp:rsid wsp:val=&quot;00BA68F0&quot;/&gt;&lt;wsp:rsid wsp:val=&quot;00BA6BF0&quot;/&gt;&lt;wsp:rsid wsp:val=&quot;00BA6EF9&quot;/&gt;&lt;wsp:rsid wsp:val=&quot;00BA6FA4&quot;/&gt;&lt;wsp:rsid wsp:val=&quot;00BA7546&quot;/&gt;&lt;wsp:rsid wsp:val=&quot;00BA7725&quot;/&gt;&lt;wsp:rsid wsp:val=&quot;00BA7AD3&quot;/&gt;&lt;wsp:rsid wsp:val=&quot;00BA7FCF&quot;/&gt;&lt;wsp:rsid wsp:val=&quot;00BB022C&quot;/&gt;&lt;wsp:rsid wsp:val=&quot;00BB06E2&quot;/&gt;&lt;wsp:rsid wsp:val=&quot;00BB0DAB&quot;/&gt;&lt;wsp:rsid wsp:val=&quot;00BB167D&quot;/&gt;&lt;wsp:rsid wsp:val=&quot;00BB2025&quot;/&gt;&lt;wsp:rsid wsp:val=&quot;00BB2060&quot;/&gt;&lt;wsp:rsid wsp:val=&quot;00BB20A4&quot;/&gt;&lt;wsp:rsid wsp:val=&quot;00BB2AF6&quot;/&gt;&lt;wsp:rsid wsp:val=&quot;00BB2FFB&quot;/&gt;&lt;wsp:rsid wsp:val=&quot;00BB311C&quot;/&gt;&lt;wsp:rsid wsp:val=&quot;00BB337E&quot;/&gt;&lt;wsp:rsid wsp:val=&quot;00BB34A9&quot;/&gt;&lt;wsp:rsid wsp:val=&quot;00BB350E&quot;/&gt;&lt;wsp:rsid wsp:val=&quot;00BB36C0&quot;/&gt;&lt;wsp:rsid wsp:val=&quot;00BB3A28&quot;/&gt;&lt;wsp:rsid wsp:val=&quot;00BB3B2D&quot;/&gt;&lt;wsp:rsid wsp:val=&quot;00BB409B&quot;/&gt;&lt;wsp:rsid wsp:val=&quot;00BB40BB&quot;/&gt;&lt;wsp:rsid wsp:val=&quot;00BB4189&quot;/&gt;&lt;wsp:rsid wsp:val=&quot;00BB42C2&quot;/&gt;&lt;wsp:rsid wsp:val=&quot;00BB4456&quot;/&gt;&lt;wsp:rsid wsp:val=&quot;00BB44E6&quot;/&gt;&lt;wsp:rsid wsp:val=&quot;00BB4C96&quot;/&gt;&lt;wsp:rsid wsp:val=&quot;00BB4FFB&quot;/&gt;&lt;wsp:rsid wsp:val=&quot;00BB50AC&quot;/&gt;&lt;wsp:rsid wsp:val=&quot;00BB5B79&quot;/&gt;&lt;wsp:rsid wsp:val=&quot;00BB5B9B&quot;/&gt;&lt;wsp:rsid wsp:val=&quot;00BB5C44&quot;/&gt;&lt;wsp:rsid wsp:val=&quot;00BB5F33&quot;/&gt;&lt;wsp:rsid wsp:val=&quot;00BB6048&quot;/&gt;&lt;wsp:rsid wsp:val=&quot;00BB61AC&quot;/&gt;&lt;wsp:rsid wsp:val=&quot;00BB6470&quot;/&gt;&lt;wsp:rsid wsp:val=&quot;00BB6844&quot;/&gt;&lt;wsp:rsid wsp:val=&quot;00BB6956&quot;/&gt;&lt;wsp:rsid wsp:val=&quot;00BB6A39&quot;/&gt;&lt;wsp:rsid wsp:val=&quot;00BB6A44&quot;/&gt;&lt;wsp:rsid wsp:val=&quot;00BB6A93&quot;/&gt;&lt;wsp:rsid wsp:val=&quot;00BB6D27&quot;/&gt;&lt;wsp:rsid wsp:val=&quot;00BB74DB&quot;/&gt;&lt;wsp:rsid wsp:val=&quot;00BB757B&quot;/&gt;&lt;wsp:rsid wsp:val=&quot;00BB77E4&quot;/&gt;&lt;wsp:rsid wsp:val=&quot;00BB782C&quot;/&gt;&lt;wsp:rsid wsp:val=&quot;00BB786D&quot;/&gt;&lt;wsp:rsid wsp:val=&quot;00BB7993&quot;/&gt;&lt;wsp:rsid wsp:val=&quot;00BB7B40&quot;/&gt;&lt;wsp:rsid wsp:val=&quot;00BB7C66&quot;/&gt;&lt;wsp:rsid wsp:val=&quot;00BC0314&quot;/&gt;&lt;wsp:rsid wsp:val=&quot;00BC05B3&quot;/&gt;&lt;wsp:rsid wsp:val=&quot;00BC073A&quot;/&gt;&lt;wsp:rsid wsp:val=&quot;00BC0F9C&quot;/&gt;&lt;wsp:rsid wsp:val=&quot;00BC106A&quot;/&gt;&lt;wsp:rsid wsp:val=&quot;00BC12BA&quot;/&gt;&lt;wsp:rsid wsp:val=&quot;00BC13B7&quot;/&gt;&lt;wsp:rsid wsp:val=&quot;00BC1604&quot;/&gt;&lt;wsp:rsid wsp:val=&quot;00BC1A09&quot;/&gt;&lt;wsp:rsid wsp:val=&quot;00BC1A9E&quot;/&gt;&lt;wsp:rsid wsp:val=&quot;00BC21DC&quot;/&gt;&lt;wsp:rsid wsp:val=&quot;00BC26BD&quot;/&gt;&lt;wsp:rsid wsp:val=&quot;00BC2834&quot;/&gt;&lt;wsp:rsid wsp:val=&quot;00BC2EB8&quot;/&gt;&lt;wsp:rsid wsp:val=&quot;00BC3404&quot;/&gt;&lt;wsp:rsid wsp:val=&quot;00BC34B3&quot;/&gt;&lt;wsp:rsid wsp:val=&quot;00BC37BB&quot;/&gt;&lt;wsp:rsid wsp:val=&quot;00BC37ED&quot;/&gt;&lt;wsp:rsid wsp:val=&quot;00BC3E79&quot;/&gt;&lt;wsp:rsid wsp:val=&quot;00BC3F4F&quot;/&gt;&lt;wsp:rsid wsp:val=&quot;00BC402B&quot;/&gt;&lt;wsp:rsid wsp:val=&quot;00BC40C2&quot;/&gt;&lt;wsp:rsid wsp:val=&quot;00BC4464&quot;/&gt;&lt;wsp:rsid wsp:val=&quot;00BC4A1C&quot;/&gt;&lt;wsp:rsid wsp:val=&quot;00BC4A5E&quot;/&gt;&lt;wsp:rsid wsp:val=&quot;00BC4CDE&quot;/&gt;&lt;wsp:rsid wsp:val=&quot;00BC4F0F&quot;/&gt;&lt;wsp:rsid wsp:val=&quot;00BC4F86&quot;/&gt;&lt;wsp:rsid wsp:val=&quot;00BC5197&quot;/&gt;&lt;wsp:rsid wsp:val=&quot;00BC51DE&quot;/&gt;&lt;wsp:rsid wsp:val=&quot;00BC569F&quot;/&gt;&lt;wsp:rsid wsp:val=&quot;00BC59F6&quot;/&gt;&lt;wsp:rsid wsp:val=&quot;00BC5B02&quot;/&gt;&lt;wsp:rsid wsp:val=&quot;00BC5E6B&quot;/&gt;&lt;wsp:rsid wsp:val=&quot;00BC645D&quot;/&gt;&lt;wsp:rsid wsp:val=&quot;00BC689E&quot;/&gt;&lt;wsp:rsid wsp:val=&quot;00BC6E57&quot;/&gt;&lt;wsp:rsid wsp:val=&quot;00BC6FF0&quot;/&gt;&lt;wsp:rsid wsp:val=&quot;00BC7003&quot;/&gt;&lt;wsp:rsid wsp:val=&quot;00BC72DF&quot;/&gt;&lt;wsp:rsid wsp:val=&quot;00BC7514&quot;/&gt;&lt;wsp:rsid wsp:val=&quot;00BC7A8A&quot;/&gt;&lt;wsp:rsid wsp:val=&quot;00BC7E36&quot;/&gt;&lt;wsp:rsid wsp:val=&quot;00BD0239&quot;/&gt;&lt;wsp:rsid wsp:val=&quot;00BD028C&quot;/&gt;&lt;wsp:rsid wsp:val=&quot;00BD0665&quot;/&gt;&lt;wsp:rsid wsp:val=&quot;00BD07EF&quot;/&gt;&lt;wsp:rsid wsp:val=&quot;00BD07F5&quot;/&gt;&lt;wsp:rsid wsp:val=&quot;00BD0E05&quot;/&gt;&lt;wsp:rsid wsp:val=&quot;00BD0EC3&quot;/&gt;&lt;wsp:rsid wsp:val=&quot;00BD1044&quot;/&gt;&lt;wsp:rsid wsp:val=&quot;00BD1408&quot;/&gt;&lt;wsp:rsid wsp:val=&quot;00BD15C5&quot;/&gt;&lt;wsp:rsid wsp:val=&quot;00BD16AD&quot;/&gt;&lt;wsp:rsid wsp:val=&quot;00BD183E&quot;/&gt;&lt;wsp:rsid wsp:val=&quot;00BD1966&quot;/&gt;&lt;wsp:rsid wsp:val=&quot;00BD19F8&quot;/&gt;&lt;wsp:rsid wsp:val=&quot;00BD21EF&quot;/&gt;&lt;wsp:rsid wsp:val=&quot;00BD2722&quot;/&gt;&lt;wsp:rsid wsp:val=&quot;00BD290B&quot;/&gt;&lt;wsp:rsid wsp:val=&quot;00BD2A30&quot;/&gt;&lt;wsp:rsid wsp:val=&quot;00BD2C67&quot;/&gt;&lt;wsp:rsid wsp:val=&quot;00BD319D&quot;/&gt;&lt;wsp:rsid wsp:val=&quot;00BD3B1A&quot;/&gt;&lt;wsp:rsid wsp:val=&quot;00BD3CC7&quot;/&gt;&lt;wsp:rsid wsp:val=&quot;00BD47CB&quot;/&gt;&lt;wsp:rsid wsp:val=&quot;00BD4986&quot;/&gt;&lt;wsp:rsid wsp:val=&quot;00BD4A06&quot;/&gt;&lt;wsp:rsid wsp:val=&quot;00BD4D4D&quot;/&gt;&lt;wsp:rsid wsp:val=&quot;00BD4F72&quot;/&gt;&lt;wsp:rsid wsp:val=&quot;00BD5117&quot;/&gt;&lt;wsp:rsid wsp:val=&quot;00BD52AB&quot;/&gt;&lt;wsp:rsid wsp:val=&quot;00BD5483&quot;/&gt;&lt;wsp:rsid wsp:val=&quot;00BD5626&quot;/&gt;&lt;wsp:rsid wsp:val=&quot;00BD57FD&quot;/&gt;&lt;wsp:rsid wsp:val=&quot;00BD5E7B&quot;/&gt;&lt;wsp:rsid wsp:val=&quot;00BD67E2&quot;/&gt;&lt;wsp:rsid wsp:val=&quot;00BD6DBD&quot;/&gt;&lt;wsp:rsid wsp:val=&quot;00BD6E04&quot;/&gt;&lt;wsp:rsid wsp:val=&quot;00BD73E0&quot;/&gt;&lt;wsp:rsid wsp:val=&quot;00BD746B&quot;/&gt;&lt;wsp:rsid wsp:val=&quot;00BD7971&quot;/&gt;&lt;wsp:rsid wsp:val=&quot;00BD7A89&quot;/&gt;&lt;wsp:rsid wsp:val=&quot;00BD7AB5&quot;/&gt;&lt;wsp:rsid wsp:val=&quot;00BD7C5B&quot;/&gt;&lt;wsp:rsid wsp:val=&quot;00BD7CEE&quot;/&gt;&lt;wsp:rsid wsp:val=&quot;00BD7D8E&quot;/&gt;&lt;wsp:rsid wsp:val=&quot;00BE0028&quot;/&gt;&lt;wsp:rsid wsp:val=&quot;00BE06B0&quot;/&gt;&lt;wsp:rsid wsp:val=&quot;00BE06D9&quot;/&gt;&lt;wsp:rsid wsp:val=&quot;00BE09AD&quot;/&gt;&lt;wsp:rsid wsp:val=&quot;00BE0B76&quot;/&gt;&lt;wsp:rsid wsp:val=&quot;00BE18A5&quot;/&gt;&lt;wsp:rsid wsp:val=&quot;00BE19E5&quot;/&gt;&lt;wsp:rsid wsp:val=&quot;00BE1DE4&quot;/&gt;&lt;wsp:rsid wsp:val=&quot;00BE1F06&quot;/&gt;&lt;wsp:rsid wsp:val=&quot;00BE1FDE&quot;/&gt;&lt;wsp:rsid wsp:val=&quot;00BE24B8&quot;/&gt;&lt;wsp:rsid wsp:val=&quot;00BE2516&quot;/&gt;&lt;wsp:rsid wsp:val=&quot;00BE2676&quot;/&gt;&lt;wsp:rsid wsp:val=&quot;00BE27F3&quot;/&gt;&lt;wsp:rsid wsp:val=&quot;00BE2B0C&quot;/&gt;&lt;wsp:rsid wsp:val=&quot;00BE2E84&quot;/&gt;&lt;wsp:rsid wsp:val=&quot;00BE2FC2&quot;/&gt;&lt;wsp:rsid wsp:val=&quot;00BE303E&quot;/&gt;&lt;wsp:rsid wsp:val=&quot;00BE333D&quot;/&gt;&lt;wsp:rsid wsp:val=&quot;00BE3465&quot;/&gt;&lt;wsp:rsid wsp:val=&quot;00BE4325&quot;/&gt;&lt;wsp:rsid wsp:val=&quot;00BE52FA&quot;/&gt;&lt;wsp:rsid wsp:val=&quot;00BE5611&quot;/&gt;&lt;wsp:rsid wsp:val=&quot;00BE56AA&quot;/&gt;&lt;wsp:rsid wsp:val=&quot;00BE56CB&quot;/&gt;&lt;wsp:rsid wsp:val=&quot;00BE58B2&quot;/&gt;&lt;wsp:rsid wsp:val=&quot;00BE6197&quot;/&gt;&lt;wsp:rsid wsp:val=&quot;00BE6510&quot;/&gt;&lt;wsp:rsid wsp:val=&quot;00BE6562&quot;/&gt;&lt;wsp:rsid wsp:val=&quot;00BE6B39&quot;/&gt;&lt;wsp:rsid wsp:val=&quot;00BE6C2F&quot;/&gt;&lt;wsp:rsid wsp:val=&quot;00BE6CE0&quot;/&gt;&lt;wsp:rsid wsp:val=&quot;00BE712C&quot;/&gt;&lt;wsp:rsid wsp:val=&quot;00BE75E1&quot;/&gt;&lt;wsp:rsid wsp:val=&quot;00BE76C2&quot;/&gt;&lt;wsp:rsid wsp:val=&quot;00BE785F&quot;/&gt;&lt;wsp:rsid wsp:val=&quot;00BE78BC&quot;/&gt;&lt;wsp:rsid wsp:val=&quot;00BE7C9B&quot;/&gt;&lt;wsp:rsid wsp:val=&quot;00BF00BE&quot;/&gt;&lt;wsp:rsid wsp:val=&quot;00BF018E&quot;/&gt;&lt;wsp:rsid wsp:val=&quot;00BF04F4&quot;/&gt;&lt;wsp:rsid wsp:val=&quot;00BF07C9&quot;/&gt;&lt;wsp:rsid wsp:val=&quot;00BF092E&quot;/&gt;&lt;wsp:rsid wsp:val=&quot;00BF0D10&quot;/&gt;&lt;wsp:rsid wsp:val=&quot;00BF0E67&quot;/&gt;&lt;wsp:rsid wsp:val=&quot;00BF0F6C&quot;/&gt;&lt;wsp:rsid wsp:val=&quot;00BF14A4&quot;/&gt;&lt;wsp:rsid wsp:val=&quot;00BF1503&quot;/&gt;&lt;wsp:rsid wsp:val=&quot;00BF1995&quot;/&gt;&lt;wsp:rsid wsp:val=&quot;00BF20B3&quot;/&gt;&lt;wsp:rsid wsp:val=&quot;00BF2226&quot;/&gt;&lt;wsp:rsid wsp:val=&quot;00BF2A9A&quot;/&gt;&lt;wsp:rsid wsp:val=&quot;00BF3C18&quot;/&gt;&lt;wsp:rsid wsp:val=&quot;00BF4105&quot;/&gt;&lt;wsp:rsid wsp:val=&quot;00BF418D&quot;/&gt;&lt;wsp:rsid wsp:val=&quot;00BF452F&quot;/&gt;&lt;wsp:rsid wsp:val=&quot;00BF456D&quot;/&gt;&lt;wsp:rsid wsp:val=&quot;00BF55FF&quot;/&gt;&lt;wsp:rsid wsp:val=&quot;00BF571A&quot;/&gt;&lt;wsp:rsid wsp:val=&quot;00BF5A3A&quot;/&gt;&lt;wsp:rsid wsp:val=&quot;00BF5B6E&quot;/&gt;&lt;wsp:rsid wsp:val=&quot;00BF5D51&quot;/&gt;&lt;wsp:rsid wsp:val=&quot;00BF5FB4&quot;/&gt;&lt;wsp:rsid wsp:val=&quot;00BF6487&quot;/&gt;&lt;wsp:rsid wsp:val=&quot;00BF6693&quot;/&gt;&lt;wsp:rsid wsp:val=&quot;00BF66D7&quot;/&gt;&lt;wsp:rsid wsp:val=&quot;00BF6AF7&quot;/&gt;&lt;wsp:rsid wsp:val=&quot;00BF6D3E&quot;/&gt;&lt;wsp:rsid wsp:val=&quot;00BF6F1F&quot;/&gt;&lt;wsp:rsid wsp:val=&quot;00BF7145&quot;/&gt;&lt;wsp:rsid wsp:val=&quot;00BF7221&quot;/&gt;&lt;wsp:rsid wsp:val=&quot;00BF7B8D&quot;/&gt;&lt;wsp:rsid wsp:val=&quot;00BF7EAE&quot;/&gt;&lt;wsp:rsid wsp:val=&quot;00C00180&quot;/&gt;&lt;wsp:rsid wsp:val=&quot;00C002A6&quot;/&gt;&lt;wsp:rsid wsp:val=&quot;00C0040F&quot;/&gt;&lt;wsp:rsid wsp:val=&quot;00C00B97&quot;/&gt;&lt;wsp:rsid wsp:val=&quot;00C00ED8&quot;/&gt;&lt;wsp:rsid wsp:val=&quot;00C011B7&quot;/&gt;&lt;wsp:rsid wsp:val=&quot;00C01350&quot;/&gt;&lt;wsp:rsid wsp:val=&quot;00C017BB&quot;/&gt;&lt;wsp:rsid wsp:val=&quot;00C01DB8&quot;/&gt;&lt;wsp:rsid wsp:val=&quot;00C01E51&quot;/&gt;&lt;wsp:rsid wsp:val=&quot;00C01F8C&quot;/&gt;&lt;wsp:rsid wsp:val=&quot;00C0200B&quot;/&gt;&lt;wsp:rsid wsp:val=&quot;00C020FC&quot;/&gt;&lt;wsp:rsid wsp:val=&quot;00C02143&quot;/&gt;&lt;wsp:rsid wsp:val=&quot;00C02566&quot;/&gt;&lt;wsp:rsid wsp:val=&quot;00C02775&quot;/&gt;&lt;wsp:rsid wsp:val=&quot;00C02AB4&quot;/&gt;&lt;wsp:rsid wsp:val=&quot;00C02B6E&quot;/&gt;&lt;wsp:rsid wsp:val=&quot;00C02C7F&quot;/&gt;&lt;wsp:rsid wsp:val=&quot;00C02FC6&quot;/&gt;&lt;wsp:rsid wsp:val=&quot;00C03236&quot;/&gt;&lt;wsp:rsid wsp:val=&quot;00C03A12&quot;/&gt;&lt;wsp:rsid wsp:val=&quot;00C03E02&quot;/&gt;&lt;wsp:rsid wsp:val=&quot;00C03F80&quot;/&gt;&lt;wsp:rsid wsp:val=&quot;00C04424&quot;/&gt;&lt;wsp:rsid wsp:val=&quot;00C0453D&quot;/&gt;&lt;wsp:rsid wsp:val=&quot;00C05095&quot;/&gt;&lt;wsp:rsid wsp:val=&quot;00C05A2D&quot;/&gt;&lt;wsp:rsid wsp:val=&quot;00C05D31&quot;/&gt;&lt;wsp:rsid wsp:val=&quot;00C05E10&quot;/&gt;&lt;wsp:rsid wsp:val=&quot;00C060E2&quot;/&gt;&lt;wsp:rsid wsp:val=&quot;00C06660&quot;/&gt;&lt;wsp:rsid wsp:val=&quot;00C0691F&quot;/&gt;&lt;wsp:rsid wsp:val=&quot;00C06953&quot;/&gt;&lt;wsp:rsid wsp:val=&quot;00C06CC3&quot;/&gt;&lt;wsp:rsid wsp:val=&quot;00C06DF9&quot;/&gt;&lt;wsp:rsid wsp:val=&quot;00C06FB3&quot;/&gt;&lt;wsp:rsid wsp:val=&quot;00C070C3&quot;/&gt;&lt;wsp:rsid wsp:val=&quot;00C078EE&quot;/&gt;&lt;wsp:rsid wsp:val=&quot;00C07BC7&quot;/&gt;&lt;wsp:rsid wsp:val=&quot;00C10240&quot;/&gt;&lt;wsp:rsid wsp:val=&quot;00C102D6&quot;/&gt;&lt;wsp:rsid wsp:val=&quot;00C104EA&quot;/&gt;&lt;wsp:rsid wsp:val=&quot;00C10512&quot;/&gt;&lt;wsp:rsid wsp:val=&quot;00C10BF8&quot;/&gt;&lt;wsp:rsid wsp:val=&quot;00C10D7B&quot;/&gt;&lt;wsp:rsid wsp:val=&quot;00C10F49&quot;/&gt;&lt;wsp:rsid wsp:val=&quot;00C11443&quot;/&gt;&lt;wsp:rsid wsp:val=&quot;00C11555&quot;/&gt;&lt;wsp:rsid wsp:val=&quot;00C1180F&quot;/&gt;&lt;wsp:rsid wsp:val=&quot;00C11BE8&quot;/&gt;&lt;wsp:rsid wsp:val=&quot;00C11EA5&quot;/&gt;&lt;wsp:rsid wsp:val=&quot;00C11F74&quot;/&gt;&lt;wsp:rsid wsp:val=&quot;00C129E9&quot;/&gt;&lt;wsp:rsid wsp:val=&quot;00C12C11&quot;/&gt;&lt;wsp:rsid wsp:val=&quot;00C12C97&quot;/&gt;&lt;wsp:rsid wsp:val=&quot;00C13509&quot;/&gt;&lt;wsp:rsid wsp:val=&quot;00C13555&quot;/&gt;&lt;wsp:rsid wsp:val=&quot;00C135A5&quot;/&gt;&lt;wsp:rsid wsp:val=&quot;00C137B3&quot;/&gt;&lt;wsp:rsid wsp:val=&quot;00C13AE6&quot;/&gt;&lt;wsp:rsid wsp:val=&quot;00C13EEF&quot;/&gt;&lt;wsp:rsid wsp:val=&quot;00C14134&quot;/&gt;&lt;wsp:rsid wsp:val=&quot;00C1486A&quot;/&gt;&lt;wsp:rsid wsp:val=&quot;00C14D0F&quot;/&gt;&lt;wsp:rsid wsp:val=&quot;00C150B0&quot;/&gt;&lt;wsp:rsid wsp:val=&quot;00C152AF&quot;/&gt;&lt;wsp:rsid wsp:val=&quot;00C15325&quot;/&gt;&lt;wsp:rsid wsp:val=&quot;00C15977&quot;/&gt;&lt;wsp:rsid wsp:val=&quot;00C15C67&quot;/&gt;&lt;wsp:rsid wsp:val=&quot;00C15EE9&quot;/&gt;&lt;wsp:rsid wsp:val=&quot;00C15F3E&quot;/&gt;&lt;wsp:rsid wsp:val=&quot;00C162BB&quot;/&gt;&lt;wsp:rsid wsp:val=&quot;00C1648E&quot;/&gt;&lt;wsp:rsid wsp:val=&quot;00C16B62&quot;/&gt;&lt;wsp:rsid wsp:val=&quot;00C16CD0&quot;/&gt;&lt;wsp:rsid wsp:val=&quot;00C16D8C&quot;/&gt;&lt;wsp:rsid wsp:val=&quot;00C1711A&quot;/&gt;&lt;wsp:rsid wsp:val=&quot;00C174BB&quot;/&gt;&lt;wsp:rsid wsp:val=&quot;00C17BF1&quot;/&gt;&lt;wsp:rsid wsp:val=&quot;00C17C09&quot;/&gt;&lt;wsp:rsid wsp:val=&quot;00C20128&quot;/&gt;&lt;wsp:rsid wsp:val=&quot;00C201C6&quot;/&gt;&lt;wsp:rsid wsp:val=&quot;00C20663&quot;/&gt;&lt;wsp:rsid wsp:val=&quot;00C208B3&quot;/&gt;&lt;wsp:rsid wsp:val=&quot;00C20A81&quot;/&gt;&lt;wsp:rsid wsp:val=&quot;00C20C04&quot;/&gt;&lt;wsp:rsid wsp:val=&quot;00C213C5&quot;/&gt;&lt;wsp:rsid wsp:val=&quot;00C2147C&quot;/&gt;&lt;wsp:rsid wsp:val=&quot;00C21867&quot;/&gt;&lt;wsp:rsid wsp:val=&quot;00C21BF0&quot;/&gt;&lt;wsp:rsid wsp:val=&quot;00C21CA2&quot;/&gt;&lt;wsp:rsid wsp:val=&quot;00C21FB6&quot;/&gt;&lt;wsp:rsid wsp:val=&quot;00C220D9&quot;/&gt;&lt;wsp:rsid wsp:val=&quot;00C22109&quot;/&gt;&lt;wsp:rsid wsp:val=&quot;00C22165&quot;/&gt;&lt;wsp:rsid wsp:val=&quot;00C22178&quot;/&gt;&lt;wsp:rsid wsp:val=&quot;00C22628&quot;/&gt;&lt;wsp:rsid wsp:val=&quot;00C22699&quot;/&gt;&lt;wsp:rsid wsp:val=&quot;00C2292E&quot;/&gt;&lt;wsp:rsid wsp:val=&quot;00C22AA2&quot;/&gt;&lt;wsp:rsid wsp:val=&quot;00C22F8E&quot;/&gt;&lt;wsp:rsid wsp:val=&quot;00C23063&quot;/&gt;&lt;wsp:rsid wsp:val=&quot;00C236A3&quot;/&gt;&lt;wsp:rsid wsp:val=&quot;00C236BB&quot;/&gt;&lt;wsp:rsid wsp:val=&quot;00C23703&quot;/&gt;&lt;wsp:rsid wsp:val=&quot;00C239A2&quot;/&gt;&lt;wsp:rsid wsp:val=&quot;00C23EA5&quot;/&gt;&lt;wsp:rsid wsp:val=&quot;00C23EFC&quot;/&gt;&lt;wsp:rsid wsp:val=&quot;00C23F8F&quot;/&gt;&lt;wsp:rsid wsp:val=&quot;00C24301&quot;/&gt;&lt;wsp:rsid wsp:val=&quot;00C244F8&quot;/&gt;&lt;wsp:rsid wsp:val=&quot;00C24626&quot;/&gt;&lt;wsp:rsid wsp:val=&quot;00C24A64&quot;/&gt;&lt;wsp:rsid wsp:val=&quot;00C24E2A&quot;/&gt;&lt;wsp:rsid wsp:val=&quot;00C24E2B&quot;/&gt;&lt;wsp:rsid wsp:val=&quot;00C24F63&quot;/&gt;&lt;wsp:rsid wsp:val=&quot;00C250B1&quot;/&gt;&lt;wsp:rsid wsp:val=&quot;00C2586A&quot;/&gt;&lt;wsp:rsid wsp:val=&quot;00C25936&quot;/&gt;&lt;wsp:rsid wsp:val=&quot;00C25DE7&quot;/&gt;&lt;wsp:rsid wsp:val=&quot;00C260AE&quot;/&gt;&lt;wsp:rsid wsp:val=&quot;00C26418&quot;/&gt;&lt;wsp:rsid wsp:val=&quot;00C267CE&quot;/&gt;&lt;wsp:rsid wsp:val=&quot;00C27C00&quot;/&gt;&lt;wsp:rsid wsp:val=&quot;00C3012D&quot;/&gt;&lt;wsp:rsid wsp:val=&quot;00C309C4&quot;/&gt;&lt;wsp:rsid wsp:val=&quot;00C30C4F&quot;/&gt;&lt;wsp:rsid wsp:val=&quot;00C30FEC&quot;/&gt;&lt;wsp:rsid wsp:val=&quot;00C310A6&quot;/&gt;&lt;wsp:rsid wsp:val=&quot;00C313EB&quot;/&gt;&lt;wsp:rsid wsp:val=&quot;00C31477&quot;/&gt;&lt;wsp:rsid wsp:val=&quot;00C3163C&quot;/&gt;&lt;wsp:rsid wsp:val=&quot;00C3189B&quot;/&gt;&lt;wsp:rsid wsp:val=&quot;00C31991&quot;/&gt;&lt;wsp:rsid wsp:val=&quot;00C31BF9&quot;/&gt;&lt;wsp:rsid wsp:val=&quot;00C31E68&quot;/&gt;&lt;wsp:rsid wsp:val=&quot;00C31E98&quot;/&gt;&lt;wsp:rsid wsp:val=&quot;00C31F06&quot;/&gt;&lt;wsp:rsid wsp:val=&quot;00C3200E&quot;/&gt;&lt;wsp:rsid wsp:val=&quot;00C32227&quot;/&gt;&lt;wsp:rsid wsp:val=&quot;00C32521&quot;/&gt;&lt;wsp:rsid wsp:val=&quot;00C3256D&quot;/&gt;&lt;wsp:rsid wsp:val=&quot;00C326F5&quot;/&gt;&lt;wsp:rsid wsp:val=&quot;00C328C0&quot;/&gt;&lt;wsp:rsid wsp:val=&quot;00C329BB&quot;/&gt;&lt;wsp:rsid wsp:val=&quot;00C32CD7&quot;/&gt;&lt;wsp:rsid wsp:val=&quot;00C32D73&quot;/&gt;&lt;wsp:rsid wsp:val=&quot;00C33480&quot;/&gt;&lt;wsp:rsid wsp:val=&quot;00C3351E&quot;/&gt;&lt;wsp:rsid wsp:val=&quot;00C33ABF&quot;/&gt;&lt;wsp:rsid wsp:val=&quot;00C33F88&quot;/&gt;&lt;wsp:rsid wsp:val=&quot;00C347EB&quot;/&gt;&lt;wsp:rsid wsp:val=&quot;00C34A8A&quot;/&gt;&lt;wsp:rsid wsp:val=&quot;00C34E96&quot;/&gt;&lt;wsp:rsid wsp:val=&quot;00C34F98&quot;/&gt;&lt;wsp:rsid wsp:val=&quot;00C34FE9&quot;/&gt;&lt;wsp:rsid wsp:val=&quot;00C351F0&quot;/&gt;&lt;wsp:rsid wsp:val=&quot;00C3528E&quot;/&gt;&lt;wsp:rsid wsp:val=&quot;00C3546C&quot;/&gt;&lt;wsp:rsid wsp:val=&quot;00C36345&quot;/&gt;&lt;wsp:rsid wsp:val=&quot;00C36660&quot;/&gt;&lt;wsp:rsid wsp:val=&quot;00C36908&quot;/&gt;&lt;wsp:rsid wsp:val=&quot;00C36A6C&quot;/&gt;&lt;wsp:rsid wsp:val=&quot;00C36D0F&quot;/&gt;&lt;wsp:rsid wsp:val=&quot;00C36F38&quot;/&gt;&lt;wsp:rsid wsp:val=&quot;00C36F53&quot;/&gt;&lt;wsp:rsid wsp:val=&quot;00C375DD&quot;/&gt;&lt;wsp:rsid wsp:val=&quot;00C37B8B&quot;/&gt;&lt;wsp:rsid wsp:val=&quot;00C40486&quot;/&gt;&lt;wsp:rsid wsp:val=&quot;00C405F4&quot;/&gt;&lt;wsp:rsid wsp:val=&quot;00C40609&quot;/&gt;&lt;wsp:rsid wsp:val=&quot;00C40777&quot;/&gt;&lt;wsp:rsid wsp:val=&quot;00C408E3&quot;/&gt;&lt;wsp:rsid wsp:val=&quot;00C409E2&quot;/&gt;&lt;wsp:rsid wsp:val=&quot;00C40A4C&quot;/&gt;&lt;wsp:rsid wsp:val=&quot;00C40A63&quot;/&gt;&lt;wsp:rsid wsp:val=&quot;00C40D3E&quot;/&gt;&lt;wsp:rsid wsp:val=&quot;00C40E93&quot;/&gt;&lt;wsp:rsid wsp:val=&quot;00C40F5C&quot;/&gt;&lt;wsp:rsid wsp:val=&quot;00C40F77&quot;/&gt;&lt;wsp:rsid wsp:val=&quot;00C4136B&quot;/&gt;&lt;wsp:rsid wsp:val=&quot;00C413B2&quot;/&gt;&lt;wsp:rsid wsp:val=&quot;00C413CD&quot;/&gt;&lt;wsp:rsid wsp:val=&quot;00C41992&quot;/&gt;&lt;wsp:rsid wsp:val=&quot;00C419F9&quot;/&gt;&lt;wsp:rsid wsp:val=&quot;00C41CC2&quot;/&gt;&lt;wsp:rsid wsp:val=&quot;00C41DFC&quot;/&gt;&lt;wsp:rsid wsp:val=&quot;00C41E87&quot;/&gt;&lt;wsp:rsid wsp:val=&quot;00C41F13&quot;/&gt;&lt;wsp:rsid wsp:val=&quot;00C42424&quot;/&gt;&lt;wsp:rsid wsp:val=&quot;00C43286&quot;/&gt;&lt;wsp:rsid wsp:val=&quot;00C4358D&quot;/&gt;&lt;wsp:rsid wsp:val=&quot;00C4370D&quot;/&gt;&lt;wsp:rsid wsp:val=&quot;00C44058&quot;/&gt;&lt;wsp:rsid wsp:val=&quot;00C4495F&quot;/&gt;&lt;wsp:rsid wsp:val=&quot;00C45325&quot;/&gt;&lt;wsp:rsid wsp:val=&quot;00C453A3&quot;/&gt;&lt;wsp:rsid wsp:val=&quot;00C45ADF&quot;/&gt;&lt;wsp:rsid wsp:val=&quot;00C45CB8&quot;/&gt;&lt;wsp:rsid wsp:val=&quot;00C46336&quot;/&gt;&lt;wsp:rsid wsp:val=&quot;00C4689A&quot;/&gt;&lt;wsp:rsid wsp:val=&quot;00C46E54&quot;/&gt;&lt;wsp:rsid wsp:val=&quot;00C4703A&quot;/&gt;&lt;wsp:rsid wsp:val=&quot;00C474C1&quot;/&gt;&lt;wsp:rsid wsp:val=&quot;00C47EAC&quot;/&gt;&lt;wsp:rsid wsp:val=&quot;00C47FE1&quot;/&gt;&lt;wsp:rsid wsp:val=&quot;00C5008A&quot;/&gt;&lt;wsp:rsid wsp:val=&quot;00C507B2&quot;/&gt;&lt;wsp:rsid wsp:val=&quot;00C50B28&quot;/&gt;&lt;wsp:rsid wsp:val=&quot;00C50B89&quot;/&gt;&lt;wsp:rsid wsp:val=&quot;00C51397&quot;/&gt;&lt;wsp:rsid wsp:val=&quot;00C516C6&quot;/&gt;&lt;wsp:rsid wsp:val=&quot;00C51953&quot;/&gt;&lt;wsp:rsid wsp:val=&quot;00C52043&quot;/&gt;&lt;wsp:rsid wsp:val=&quot;00C5268A&quot;/&gt;&lt;wsp:rsid wsp:val=&quot;00C529CC&quot;/&gt;&lt;wsp:rsid wsp:val=&quot;00C52D26&quot;/&gt;&lt;wsp:rsid wsp:val=&quot;00C53272&quot;/&gt;&lt;wsp:rsid wsp:val=&quot;00C53E29&quot;/&gt;&lt;wsp:rsid wsp:val=&quot;00C53EAE&quot;/&gt;&lt;wsp:rsid wsp:val=&quot;00C53F85&quot;/&gt;&lt;wsp:rsid wsp:val=&quot;00C54548&quot;/&gt;&lt;wsp:rsid wsp:val=&quot;00C549F3&quot;/&gt;&lt;wsp:rsid wsp:val=&quot;00C54CE5&quot;/&gt;&lt;wsp:rsid wsp:val=&quot;00C54D13&quot;/&gt;&lt;wsp:rsid wsp:val=&quot;00C54EF1&quot;/&gt;&lt;wsp:rsid wsp:val=&quot;00C5502B&quot;/&gt;&lt;wsp:rsid wsp:val=&quot;00C551F8&quot;/&gt;&lt;wsp:rsid wsp:val=&quot;00C552FA&quot;/&gt;&lt;wsp:rsid wsp:val=&quot;00C5557C&quot;/&gt;&lt;wsp:rsid wsp:val=&quot;00C55714&quot;/&gt;&lt;wsp:rsid wsp:val=&quot;00C5571A&quot;/&gt;&lt;wsp:rsid wsp:val=&quot;00C55833&quot;/&gt;&lt;wsp:rsid wsp:val=&quot;00C55ABB&quot;/&gt;&lt;wsp:rsid wsp:val=&quot;00C55C94&quot;/&gt;&lt;wsp:rsid wsp:val=&quot;00C560ED&quot;/&gt;&lt;wsp:rsid wsp:val=&quot;00C56423&quot;/&gt;&lt;wsp:rsid wsp:val=&quot;00C56B2B&quot;/&gt;&lt;wsp:rsid wsp:val=&quot;00C56DFA&quot;/&gt;&lt;wsp:rsid wsp:val=&quot;00C5706C&quot;/&gt;&lt;wsp:rsid wsp:val=&quot;00C5748D&quot;/&gt;&lt;wsp:rsid wsp:val=&quot;00C57495&quot;/&gt;&lt;wsp:rsid wsp:val=&quot;00C5764E&quot;/&gt;&lt;wsp:rsid wsp:val=&quot;00C57724&quot;/&gt;&lt;wsp:rsid wsp:val=&quot;00C578BE&quot;/&gt;&lt;wsp:rsid wsp:val=&quot;00C57A7C&quot;/&gt;&lt;wsp:rsid wsp:val=&quot;00C57ABD&quot;/&gt;&lt;wsp:rsid wsp:val=&quot;00C57E0C&quot;/&gt;&lt;wsp:rsid wsp:val=&quot;00C60420&quot;/&gt;&lt;wsp:rsid wsp:val=&quot;00C608EB&quot;/&gt;&lt;wsp:rsid wsp:val=&quot;00C61442&quot;/&gt;&lt;wsp:rsid wsp:val=&quot;00C6148E&quot;/&gt;&lt;wsp:rsid wsp:val=&quot;00C616DC&quot;/&gt;&lt;wsp:rsid wsp:val=&quot;00C61D53&quot;/&gt;&lt;wsp:rsid wsp:val=&quot;00C628B9&quot;/&gt;&lt;wsp:rsid wsp:val=&quot;00C62D5C&quot;/&gt;&lt;wsp:rsid wsp:val=&quot;00C62D63&quot;/&gt;&lt;wsp:rsid wsp:val=&quot;00C62FD1&quot;/&gt;&lt;wsp:rsid wsp:val=&quot;00C63112&quot;/&gt;&lt;wsp:rsid wsp:val=&quot;00C6323C&quot;/&gt;&lt;wsp:rsid wsp:val=&quot;00C632AB&quot;/&gt;&lt;wsp:rsid wsp:val=&quot;00C635E9&quot;/&gt;&lt;wsp:rsid wsp:val=&quot;00C63676&quot;/&gt;&lt;wsp:rsid wsp:val=&quot;00C638AE&quot;/&gt;&lt;wsp:rsid wsp:val=&quot;00C6396D&quot;/&gt;&lt;wsp:rsid wsp:val=&quot;00C63FC5&quot;/&gt;&lt;wsp:rsid wsp:val=&quot;00C64147&quot;/&gt;&lt;wsp:rsid wsp:val=&quot;00C64212&quot;/&gt;&lt;wsp:rsid wsp:val=&quot;00C64557&quot;/&gt;&lt;wsp:rsid wsp:val=&quot;00C648CB&quot;/&gt;&lt;wsp:rsid wsp:val=&quot;00C64B1E&quot;/&gt;&lt;wsp:rsid wsp:val=&quot;00C64B99&quot;/&gt;&lt;wsp:rsid wsp:val=&quot;00C64FFC&quot;/&gt;&lt;wsp:rsid wsp:val=&quot;00C64FFD&quot;/&gt;&lt;wsp:rsid wsp:val=&quot;00C65030&quot;/&gt;&lt;wsp:rsid wsp:val=&quot;00C655D5&quot;/&gt;&lt;wsp:rsid wsp:val=&quot;00C65CFF&quot;/&gt;&lt;wsp:rsid wsp:val=&quot;00C65EEE&quot;/&gt;&lt;wsp:rsid wsp:val=&quot;00C662BB&quot;/&gt;&lt;wsp:rsid wsp:val=&quot;00C66354&quot;/&gt;&lt;wsp:rsid wsp:val=&quot;00C66A8E&quot;/&gt;&lt;wsp:rsid wsp:val=&quot;00C66B4B&quot;/&gt;&lt;wsp:rsid wsp:val=&quot;00C670A3&quot;/&gt;&lt;wsp:rsid wsp:val=&quot;00C670AE&quot;/&gt;&lt;wsp:rsid wsp:val=&quot;00C671DE&quot;/&gt;&lt;wsp:rsid wsp:val=&quot;00C673C5&quot;/&gt;&lt;wsp:rsid wsp:val=&quot;00C67831&quot;/&gt;&lt;wsp:rsid wsp:val=&quot;00C67EA5&quot;/&gt;&lt;wsp:rsid wsp:val=&quot;00C67F6C&quot;/&gt;&lt;wsp:rsid wsp:val=&quot;00C701DC&quot;/&gt;&lt;wsp:rsid wsp:val=&quot;00C70366&quot;/&gt;&lt;wsp:rsid wsp:val=&quot;00C70A2A&quot;/&gt;&lt;wsp:rsid wsp:val=&quot;00C71651&quot;/&gt;&lt;wsp:rsid wsp:val=&quot;00C71716&quot;/&gt;&lt;wsp:rsid wsp:val=&quot;00C71B9C&quot;/&gt;&lt;wsp:rsid wsp:val=&quot;00C71BAB&quot;/&gt;&lt;wsp:rsid wsp:val=&quot;00C71BCA&quot;/&gt;&lt;wsp:rsid wsp:val=&quot;00C71DA3&quot;/&gt;&lt;wsp:rsid wsp:val=&quot;00C71FEF&quot;/&gt;&lt;wsp:rsid wsp:val=&quot;00C723D3&quot;/&gt;&lt;wsp:rsid wsp:val=&quot;00C7245C&quot;/&gt;&lt;wsp:rsid wsp:val=&quot;00C72BF5&quot;/&gt;&lt;wsp:rsid wsp:val=&quot;00C72E28&quot;/&gt;&lt;wsp:rsid wsp:val=&quot;00C72E48&quot;/&gt;&lt;wsp:rsid wsp:val=&quot;00C72F9F&quot;/&gt;&lt;wsp:rsid wsp:val=&quot;00C730B0&quot;/&gt;&lt;wsp:rsid wsp:val=&quot;00C73AB5&quot;/&gt;&lt;wsp:rsid wsp:val=&quot;00C742F4&quot;/&gt;&lt;wsp:rsid wsp:val=&quot;00C74456&quot;/&gt;&lt;wsp:rsid wsp:val=&quot;00C744F9&quot;/&gt;&lt;wsp:rsid wsp:val=&quot;00C74CB4&quot;/&gt;&lt;wsp:rsid wsp:val=&quot;00C7506D&quot;/&gt;&lt;wsp:rsid wsp:val=&quot;00C75070&quot;/&gt;&lt;wsp:rsid wsp:val=&quot;00C7519E&quot;/&gt;&lt;wsp:rsid wsp:val=&quot;00C755A3&quot;/&gt;&lt;wsp:rsid wsp:val=&quot;00C75D11&quot;/&gt;&lt;wsp:rsid wsp:val=&quot;00C75E9E&quot;/&gt;&lt;wsp:rsid wsp:val=&quot;00C76290&quot;/&gt;&lt;wsp:rsid wsp:val=&quot;00C764DC&quot;/&gt;&lt;wsp:rsid wsp:val=&quot;00C76567&quot;/&gt;&lt;wsp:rsid wsp:val=&quot;00C76946&quot;/&gt;&lt;wsp:rsid wsp:val=&quot;00C76B5E&quot;/&gt;&lt;wsp:rsid wsp:val=&quot;00C76D1B&quot;/&gt;&lt;wsp:rsid wsp:val=&quot;00C770A4&quot;/&gt;&lt;wsp:rsid wsp:val=&quot;00C77201&quot;/&gt;&lt;wsp:rsid wsp:val=&quot;00C7749B&quot;/&gt;&lt;wsp:rsid wsp:val=&quot;00C774E8&quot;/&gt;&lt;wsp:rsid wsp:val=&quot;00C77D52&quot;/&gt;&lt;wsp:rsid wsp:val=&quot;00C804F3&quot;/&gt;&lt;wsp:rsid wsp:val=&quot;00C805E2&quot;/&gt;&lt;wsp:rsid wsp:val=&quot;00C806F4&quot;/&gt;&lt;wsp:rsid wsp:val=&quot;00C80E41&quot;/&gt;&lt;wsp:rsid wsp:val=&quot;00C810E4&quot;/&gt;&lt;wsp:rsid wsp:val=&quot;00C8182A&quot;/&gt;&lt;wsp:rsid wsp:val=&quot;00C81C54&quot;/&gt;&lt;wsp:rsid wsp:val=&quot;00C81D9B&quot;/&gt;&lt;wsp:rsid wsp:val=&quot;00C822FD&quot;/&gt;&lt;wsp:rsid wsp:val=&quot;00C82360&quot;/&gt;&lt;wsp:rsid wsp:val=&quot;00C823D2&quot;/&gt;&lt;wsp:rsid wsp:val=&quot;00C825B6&quot;/&gt;&lt;wsp:rsid wsp:val=&quot;00C82D07&quot;/&gt;&lt;wsp:rsid wsp:val=&quot;00C82EE1&quot;/&gt;&lt;wsp:rsid wsp:val=&quot;00C834B5&quot;/&gt;&lt;wsp:rsid wsp:val=&quot;00C836AB&quot;/&gt;&lt;wsp:rsid wsp:val=&quot;00C83829&quot;/&gt;&lt;wsp:rsid wsp:val=&quot;00C83AB1&quot;/&gt;&lt;wsp:rsid wsp:val=&quot;00C83C0B&quot;/&gt;&lt;wsp:rsid wsp:val=&quot;00C84335&quot;/&gt;&lt;wsp:rsid wsp:val=&quot;00C84382&quot;/&gt;&lt;wsp:rsid wsp:val=&quot;00C846D6&quot;/&gt;&lt;wsp:rsid wsp:val=&quot;00C84879&quot;/&gt;&lt;wsp:rsid wsp:val=&quot;00C8490D&quot;/&gt;&lt;wsp:rsid wsp:val=&quot;00C849C3&quot;/&gt;&lt;wsp:rsid wsp:val=&quot;00C84CA9&quot;/&gt;&lt;wsp:rsid wsp:val=&quot;00C84DAA&quot;/&gt;&lt;wsp:rsid wsp:val=&quot;00C85290&quot;/&gt;&lt;wsp:rsid wsp:val=&quot;00C8537C&quot;/&gt;&lt;wsp:rsid wsp:val=&quot;00C8545B&quot;/&gt;&lt;wsp:rsid wsp:val=&quot;00C85463&quot;/&gt;&lt;wsp:rsid wsp:val=&quot;00C86660&quot;/&gt;&lt;wsp:rsid wsp:val=&quot;00C866CF&quot;/&gt;&lt;wsp:rsid wsp:val=&quot;00C86725&quot;/&gt;&lt;wsp:rsid wsp:val=&quot;00C86798&quot;/&gt;&lt;wsp:rsid wsp:val=&quot;00C869FF&quot;/&gt;&lt;wsp:rsid wsp:val=&quot;00C86B66&quot;/&gt;&lt;wsp:rsid wsp:val=&quot;00C8703E&quot;/&gt;&lt;wsp:rsid wsp:val=&quot;00C87047&quot;/&gt;&lt;wsp:rsid wsp:val=&quot;00C871AB&quot;/&gt;&lt;wsp:rsid wsp:val=&quot;00C8759E&quot;/&gt;&lt;wsp:rsid wsp:val=&quot;00C878DD&quot;/&gt;&lt;wsp:rsid wsp:val=&quot;00C87E7C&quot;/&gt;&lt;wsp:rsid wsp:val=&quot;00C901B8&quot;/&gt;&lt;wsp:rsid wsp:val=&quot;00C901D2&quot;/&gt;&lt;wsp:rsid wsp:val=&quot;00C902BC&quot;/&gt;&lt;wsp:rsid wsp:val=&quot;00C903C5&quot;/&gt;&lt;wsp:rsid wsp:val=&quot;00C90E9F&quot;/&gt;&lt;wsp:rsid wsp:val=&quot;00C90F68&quot;/&gt;&lt;wsp:rsid wsp:val=&quot;00C90FAD&quot;/&gt;&lt;wsp:rsid wsp:val=&quot;00C911C4&quot;/&gt;&lt;wsp:rsid wsp:val=&quot;00C91235&quot;/&gt;&lt;wsp:rsid wsp:val=&quot;00C91579&quot;/&gt;&lt;wsp:rsid wsp:val=&quot;00C91B03&quot;/&gt;&lt;wsp:rsid wsp:val=&quot;00C91B1A&quot;/&gt;&lt;wsp:rsid wsp:val=&quot;00C91B69&quot;/&gt;&lt;wsp:rsid wsp:val=&quot;00C91B6B&quot;/&gt;&lt;wsp:rsid wsp:val=&quot;00C91D6B&quot;/&gt;&lt;wsp:rsid wsp:val=&quot;00C92840&quot;/&gt;&lt;wsp:rsid wsp:val=&quot;00C92C3E&quot;/&gt;&lt;wsp:rsid wsp:val=&quot;00C92C8B&quot;/&gt;&lt;wsp:rsid wsp:val=&quot;00C92FE3&quot;/&gt;&lt;wsp:rsid wsp:val=&quot;00C93213&quot;/&gt;&lt;wsp:rsid wsp:val=&quot;00C9359D&quot;/&gt;&lt;wsp:rsid wsp:val=&quot;00C93794&quot;/&gt;&lt;wsp:rsid wsp:val=&quot;00C93AB1&quot;/&gt;&lt;wsp:rsid wsp:val=&quot;00C93C1C&quot;/&gt;&lt;wsp:rsid wsp:val=&quot;00C93C71&quot;/&gt;&lt;wsp:rsid wsp:val=&quot;00C94BF7&quot;/&gt;&lt;wsp:rsid wsp:val=&quot;00C94FDA&quot;/&gt;&lt;wsp:rsid wsp:val=&quot;00C952F2&quot;/&gt;&lt;wsp:rsid wsp:val=&quot;00C95593&quot;/&gt;&lt;wsp:rsid wsp:val=&quot;00C95601&quot;/&gt;&lt;wsp:rsid wsp:val=&quot;00C95761&quot;/&gt;&lt;wsp:rsid wsp:val=&quot;00C95B50&quot;/&gt;&lt;wsp:rsid wsp:val=&quot;00C95B74&quot;/&gt;&lt;wsp:rsid wsp:val=&quot;00C95DA9&quot;/&gt;&lt;wsp:rsid wsp:val=&quot;00C95FCB&quot;/&gt;&lt;wsp:rsid wsp:val=&quot;00C96008&quot;/&gt;&lt;wsp:rsid wsp:val=&quot;00C96072&quot;/&gt;&lt;wsp:rsid wsp:val=&quot;00C96114&quot;/&gt;&lt;wsp:rsid wsp:val=&quot;00C96342&quot;/&gt;&lt;wsp:rsid wsp:val=&quot;00C96488&quot;/&gt;&lt;wsp:rsid wsp:val=&quot;00C965F4&quot;/&gt;&lt;wsp:rsid wsp:val=&quot;00C966E7&quot;/&gt;&lt;wsp:rsid wsp:val=&quot;00C967C3&quot;/&gt;&lt;wsp:rsid wsp:val=&quot;00C967C7&quot;/&gt;&lt;wsp:rsid wsp:val=&quot;00C967D6&quot;/&gt;&lt;wsp:rsid wsp:val=&quot;00C96A2F&quot;/&gt;&lt;wsp:rsid wsp:val=&quot;00C96F4D&quot;/&gt;&lt;wsp:rsid wsp:val=&quot;00C973B5&quot;/&gt;&lt;wsp:rsid wsp:val=&quot;00C97477&quot;/&gt;&lt;wsp:rsid wsp:val=&quot;00C976FC&quot;/&gt;&lt;wsp:rsid wsp:val=&quot;00C977D5&quot;/&gt;&lt;wsp:rsid wsp:val=&quot;00C97877&quot;/&gt;&lt;wsp:rsid wsp:val=&quot;00C978CE&quot;/&gt;&lt;wsp:rsid wsp:val=&quot;00C97AD6&quot;/&gt;&lt;wsp:rsid wsp:val=&quot;00C97AE1&quot;/&gt;&lt;wsp:rsid wsp:val=&quot;00C97DD6&quot;/&gt;&lt;wsp:rsid wsp:val=&quot;00C97F8E&quot;/&gt;&lt;wsp:rsid wsp:val=&quot;00CA0429&quot;/&gt;&lt;wsp:rsid wsp:val=&quot;00CA05C1&quot;/&gt;&lt;wsp:rsid wsp:val=&quot;00CA0D15&quot;/&gt;&lt;wsp:rsid wsp:val=&quot;00CA0E1C&quot;/&gt;&lt;wsp:rsid wsp:val=&quot;00CA11A6&quot;/&gt;&lt;wsp:rsid wsp:val=&quot;00CA1764&quot;/&gt;&lt;wsp:rsid wsp:val=&quot;00CA184C&quot;/&gt;&lt;wsp:rsid wsp:val=&quot;00CA1A12&quot;/&gt;&lt;wsp:rsid wsp:val=&quot;00CA1A44&quot;/&gt;&lt;wsp:rsid wsp:val=&quot;00CA2208&quot;/&gt;&lt;wsp:rsid wsp:val=&quot;00CA2352&quot;/&gt;&lt;wsp:rsid wsp:val=&quot;00CA27D4&quot;/&gt;&lt;wsp:rsid wsp:val=&quot;00CA28E3&quot;/&gt;&lt;wsp:rsid wsp:val=&quot;00CA3429&quot;/&gt;&lt;wsp:rsid wsp:val=&quot;00CA3A9A&quot;/&gt;&lt;wsp:rsid wsp:val=&quot;00CA3C06&quot;/&gt;&lt;wsp:rsid wsp:val=&quot;00CA42DE&quot;/&gt;&lt;wsp:rsid wsp:val=&quot;00CA4D0F&quot;/&gt;&lt;wsp:rsid wsp:val=&quot;00CA5771&quot;/&gt;&lt;wsp:rsid wsp:val=&quot;00CA57F7&quot;/&gt;&lt;wsp:rsid wsp:val=&quot;00CA5873&quot;/&gt;&lt;wsp:rsid wsp:val=&quot;00CA5DDF&quot;/&gt;&lt;wsp:rsid wsp:val=&quot;00CA6218&quot;/&gt;&lt;wsp:rsid wsp:val=&quot;00CA6293&quot;/&gt;&lt;wsp:rsid wsp:val=&quot;00CA6487&quot;/&gt;&lt;wsp:rsid wsp:val=&quot;00CA6560&quot;/&gt;&lt;wsp:rsid wsp:val=&quot;00CA6A93&quot;/&gt;&lt;wsp:rsid wsp:val=&quot;00CA6BAC&quot;/&gt;&lt;wsp:rsid wsp:val=&quot;00CA6C37&quot;/&gt;&lt;wsp:rsid wsp:val=&quot;00CA6C42&quot;/&gt;&lt;wsp:rsid wsp:val=&quot;00CA76DA&quot;/&gt;&lt;wsp:rsid wsp:val=&quot;00CA7A78&quot;/&gt;&lt;wsp:rsid wsp:val=&quot;00CA7CA6&quot;/&gt;&lt;wsp:rsid wsp:val=&quot;00CB0586&quot;/&gt;&lt;wsp:rsid wsp:val=&quot;00CB08AF&quot;/&gt;&lt;wsp:rsid wsp:val=&quot;00CB0DF6&quot;/&gt;&lt;wsp:rsid wsp:val=&quot;00CB13A4&quot;/&gt;&lt;wsp:rsid wsp:val=&quot;00CB15CF&quot;/&gt;&lt;wsp:rsid wsp:val=&quot;00CB1CF7&quot;/&gt;&lt;wsp:rsid wsp:val=&quot;00CB1DF2&quot;/&gt;&lt;wsp:rsid wsp:val=&quot;00CB1FB6&quot;/&gt;&lt;wsp:rsid wsp:val=&quot;00CB2765&quot;/&gt;&lt;wsp:rsid wsp:val=&quot;00CB279B&quot;/&gt;&lt;wsp:rsid wsp:val=&quot;00CB28F7&quot;/&gt;&lt;wsp:rsid wsp:val=&quot;00CB2CB7&quot;/&gt;&lt;wsp:rsid wsp:val=&quot;00CB2DEC&quot;/&gt;&lt;wsp:rsid wsp:val=&quot;00CB3059&quot;/&gt;&lt;wsp:rsid wsp:val=&quot;00CB30E1&quot;/&gt;&lt;wsp:rsid wsp:val=&quot;00CB3228&quot;/&gt;&lt;wsp:rsid wsp:val=&quot;00CB32CE&quot;/&gt;&lt;wsp:rsid wsp:val=&quot;00CB3560&quot;/&gt;&lt;wsp:rsid wsp:val=&quot;00CB3830&quot;/&gt;&lt;wsp:rsid wsp:val=&quot;00CB3B40&quot;/&gt;&lt;wsp:rsid wsp:val=&quot;00CB3C16&quot;/&gt;&lt;wsp:rsid wsp:val=&quot;00CB3DC2&quot;/&gt;&lt;wsp:rsid wsp:val=&quot;00CB3EBC&quot;/&gt;&lt;wsp:rsid wsp:val=&quot;00CB437F&quot;/&gt;&lt;wsp:rsid wsp:val=&quot;00CB4605&quot;/&gt;&lt;wsp:rsid wsp:val=&quot;00CB4A00&quot;/&gt;&lt;wsp:rsid wsp:val=&quot;00CB4B6A&quot;/&gt;&lt;wsp:rsid wsp:val=&quot;00CB4BB0&quot;/&gt;&lt;wsp:rsid wsp:val=&quot;00CB4F1F&quot;/&gt;&lt;wsp:rsid wsp:val=&quot;00CB51BA&quot;/&gt;&lt;wsp:rsid wsp:val=&quot;00CB52C1&quot;/&gt;&lt;wsp:rsid wsp:val=&quot;00CB55C5&quot;/&gt;&lt;wsp:rsid wsp:val=&quot;00CB570F&quot;/&gt;&lt;wsp:rsid wsp:val=&quot;00CB5D3D&quot;/&gt;&lt;wsp:rsid wsp:val=&quot;00CB5E81&quot;/&gt;&lt;wsp:rsid wsp:val=&quot;00CB602C&quot;/&gt;&lt;wsp:rsid wsp:val=&quot;00CB622A&quot;/&gt;&lt;wsp:rsid wsp:val=&quot;00CB624B&quot;/&gt;&lt;wsp:rsid wsp:val=&quot;00CB70DA&quot;/&gt;&lt;wsp:rsid wsp:val=&quot;00CB71E9&quot;/&gt;&lt;wsp:rsid wsp:val=&quot;00CB731A&quot;/&gt;&lt;wsp:rsid wsp:val=&quot;00CB7C20&quot;/&gt;&lt;wsp:rsid wsp:val=&quot;00CB7F49&quot;/&gt;&lt;wsp:rsid wsp:val=&quot;00CC0290&quot;/&gt;&lt;wsp:rsid wsp:val=&quot;00CC02B8&quot;/&gt;&lt;wsp:rsid wsp:val=&quot;00CC0726&quot;/&gt;&lt;wsp:rsid wsp:val=&quot;00CC0ECB&quot;/&gt;&lt;wsp:rsid wsp:val=&quot;00CC0F0E&quot;/&gt;&lt;wsp:rsid wsp:val=&quot;00CC0F11&quot;/&gt;&lt;wsp:rsid wsp:val=&quot;00CC0FD5&quot;/&gt;&lt;wsp:rsid wsp:val=&quot;00CC122D&quot;/&gt;&lt;wsp:rsid wsp:val=&quot;00CC1355&quot;/&gt;&lt;wsp:rsid wsp:val=&quot;00CC19B5&quot;/&gt;&lt;wsp:rsid wsp:val=&quot;00CC1A4D&quot;/&gt;&lt;wsp:rsid wsp:val=&quot;00CC20E3&quot;/&gt;&lt;wsp:rsid wsp:val=&quot;00CC214D&quot;/&gt;&lt;wsp:rsid wsp:val=&quot;00CC2210&quot;/&gt;&lt;wsp:rsid wsp:val=&quot;00CC2929&quot;/&gt;&lt;wsp:rsid wsp:val=&quot;00CC29E8&quot;/&gt;&lt;wsp:rsid wsp:val=&quot;00CC333D&quot;/&gt;&lt;wsp:rsid wsp:val=&quot;00CC3544&quot;/&gt;&lt;wsp:rsid wsp:val=&quot;00CC4220&quot;/&gt;&lt;wsp:rsid wsp:val=&quot;00CC445D&quot;/&gt;&lt;wsp:rsid wsp:val=&quot;00CC478C&quot;/&gt;&lt;wsp:rsid wsp:val=&quot;00CC4B48&quot;/&gt;&lt;wsp:rsid wsp:val=&quot;00CC4CFB&quot;/&gt;&lt;wsp:rsid wsp:val=&quot;00CC4D82&quot;/&gt;&lt;wsp:rsid wsp:val=&quot;00CC4DB5&quot;/&gt;&lt;wsp:rsid wsp:val=&quot;00CC4F1B&quot;/&gt;&lt;wsp:rsid wsp:val=&quot;00CC4F79&quot;/&gt;&lt;wsp:rsid wsp:val=&quot;00CC5049&quot;/&gt;&lt;wsp:rsid wsp:val=&quot;00CC549F&quot;/&gt;&lt;wsp:rsid wsp:val=&quot;00CC54A5&quot;/&gt;&lt;wsp:rsid wsp:val=&quot;00CC54E7&quot;/&gt;&lt;wsp:rsid wsp:val=&quot;00CC576B&quot;/&gt;&lt;wsp:rsid wsp:val=&quot;00CC6555&quot;/&gt;&lt;wsp:rsid wsp:val=&quot;00CC66D5&quot;/&gt;&lt;wsp:rsid wsp:val=&quot;00CC6A0B&quot;/&gt;&lt;wsp:rsid wsp:val=&quot;00CC6B94&quot;/&gt;&lt;wsp:rsid wsp:val=&quot;00CC6D80&quot;/&gt;&lt;wsp:rsid wsp:val=&quot;00CC6F86&quot;/&gt;&lt;wsp:rsid wsp:val=&quot;00CC74EB&quot;/&gt;&lt;wsp:rsid wsp:val=&quot;00CC769F&quot;/&gt;&lt;wsp:rsid wsp:val=&quot;00CC7BE7&quot;/&gt;&lt;wsp:rsid wsp:val=&quot;00CC7DE4&quot;/&gt;&lt;wsp:rsid wsp:val=&quot;00CC7E5A&quot;/&gt;&lt;wsp:rsid wsp:val=&quot;00CC7F47&quot;/&gt;&lt;wsp:rsid wsp:val=&quot;00CD07B5&quot;/&gt;&lt;wsp:rsid wsp:val=&quot;00CD0B3E&quot;/&gt;&lt;wsp:rsid wsp:val=&quot;00CD183A&quot;/&gt;&lt;wsp:rsid wsp:val=&quot;00CD279A&quot;/&gt;&lt;wsp:rsid wsp:val=&quot;00CD2F2A&quot;/&gt;&lt;wsp:rsid wsp:val=&quot;00CD2FDE&quot;/&gt;&lt;wsp:rsid wsp:val=&quot;00CD3649&quot;/&gt;&lt;wsp:rsid wsp:val=&quot;00CD393A&quot;/&gt;&lt;wsp:rsid wsp:val=&quot;00CD397B&quot;/&gt;&lt;wsp:rsid wsp:val=&quot;00CD3BCE&quot;/&gt;&lt;wsp:rsid wsp:val=&quot;00CD41CE&quot;/&gt;&lt;wsp:rsid wsp:val=&quot;00CD4871&quot;/&gt;&lt;wsp:rsid wsp:val=&quot;00CD4925&quot;/&gt;&lt;wsp:rsid wsp:val=&quot;00CD4A65&quot;/&gt;&lt;wsp:rsid wsp:val=&quot;00CD4FF8&quot;/&gt;&lt;wsp:rsid wsp:val=&quot;00CD53EB&quot;/&gt;&lt;wsp:rsid wsp:val=&quot;00CD5422&quot;/&gt;&lt;wsp:rsid wsp:val=&quot;00CD5490&quot;/&gt;&lt;wsp:rsid wsp:val=&quot;00CD587E&quot;/&gt;&lt;wsp:rsid wsp:val=&quot;00CD5931&quot;/&gt;&lt;wsp:rsid wsp:val=&quot;00CD59DC&quot;/&gt;&lt;wsp:rsid wsp:val=&quot;00CD5AF8&quot;/&gt;&lt;wsp:rsid wsp:val=&quot;00CD5AFE&quot;/&gt;&lt;wsp:rsid wsp:val=&quot;00CD5E2C&quot;/&gt;&lt;wsp:rsid wsp:val=&quot;00CD5EE3&quot;/&gt;&lt;wsp:rsid wsp:val=&quot;00CD61B3&quot;/&gt;&lt;wsp:rsid wsp:val=&quot;00CD6401&quot;/&gt;&lt;wsp:rsid wsp:val=&quot;00CD64FF&quot;/&gt;&lt;wsp:rsid wsp:val=&quot;00CD676D&quot;/&gt;&lt;wsp:rsid wsp:val=&quot;00CD68ED&quot;/&gt;&lt;wsp:rsid wsp:val=&quot;00CD69A9&quot;/&gt;&lt;wsp:rsid wsp:val=&quot;00CD69FB&quot;/&gt;&lt;wsp:rsid wsp:val=&quot;00CD6C45&quot;/&gt;&lt;wsp:rsid wsp:val=&quot;00CD717E&quot;/&gt;&lt;wsp:rsid wsp:val=&quot;00CD742C&quot;/&gt;&lt;wsp:rsid wsp:val=&quot;00CD7497&quot;/&gt;&lt;wsp:rsid wsp:val=&quot;00CD74C0&quot;/&gt;&lt;wsp:rsid wsp:val=&quot;00CD781F&quot;/&gt;&lt;wsp:rsid wsp:val=&quot;00CD7969&quot;/&gt;&lt;wsp:rsid wsp:val=&quot;00CD7BFF&quot;/&gt;&lt;wsp:rsid wsp:val=&quot;00CD7F01&quot;/&gt;&lt;wsp:rsid wsp:val=&quot;00CE011C&quot;/&gt;&lt;wsp:rsid wsp:val=&quot;00CE01CE&quot;/&gt;&lt;wsp:rsid wsp:val=&quot;00CE01E6&quot;/&gt;&lt;wsp:rsid wsp:val=&quot;00CE039C&quot;/&gt;&lt;wsp:rsid wsp:val=&quot;00CE040F&quot;/&gt;&lt;wsp:rsid wsp:val=&quot;00CE0773&quot;/&gt;&lt;wsp:rsid wsp:val=&quot;00CE1129&quot;/&gt;&lt;wsp:rsid wsp:val=&quot;00CE1A13&quot;/&gt;&lt;wsp:rsid wsp:val=&quot;00CE1C38&quot;/&gt;&lt;wsp:rsid wsp:val=&quot;00CE2255&quot;/&gt;&lt;wsp:rsid wsp:val=&quot;00CE2939&quot;/&gt;&lt;wsp:rsid wsp:val=&quot;00CE2A86&quot;/&gt;&lt;wsp:rsid wsp:val=&quot;00CE2CEE&quot;/&gt;&lt;wsp:rsid wsp:val=&quot;00CE2D22&quot;/&gt;&lt;wsp:rsid wsp:val=&quot;00CE30F8&quot;/&gt;&lt;wsp:rsid wsp:val=&quot;00CE38BA&quot;/&gt;&lt;wsp:rsid wsp:val=&quot;00CE4326&quot;/&gt;&lt;wsp:rsid wsp:val=&quot;00CE4A88&quot;/&gt;&lt;wsp:rsid wsp:val=&quot;00CE4E60&quot;/&gt;&lt;wsp:rsid wsp:val=&quot;00CE4E88&quot;/&gt;&lt;wsp:rsid wsp:val=&quot;00CE5060&quot;/&gt;&lt;wsp:rsid wsp:val=&quot;00CE5502&quot;/&gt;&lt;wsp:rsid wsp:val=&quot;00CE57B6&quot;/&gt;&lt;wsp:rsid wsp:val=&quot;00CE5B49&quot;/&gt;&lt;wsp:rsid wsp:val=&quot;00CE5B63&quot;/&gt;&lt;wsp:rsid wsp:val=&quot;00CE5FE4&quot;/&gt;&lt;wsp:rsid wsp:val=&quot;00CE6974&quot;/&gt;&lt;wsp:rsid wsp:val=&quot;00CE6F09&quot;/&gt;&lt;wsp:rsid wsp:val=&quot;00CE6F9A&quot;/&gt;&lt;wsp:rsid wsp:val=&quot;00CE739E&quot;/&gt;&lt;wsp:rsid wsp:val=&quot;00CE775D&quot;/&gt;&lt;wsp:rsid wsp:val=&quot;00CF0D65&quot;/&gt;&lt;wsp:rsid wsp:val=&quot;00CF107E&quot;/&gt;&lt;wsp:rsid wsp:val=&quot;00CF117E&quot;/&gt;&lt;wsp:rsid wsp:val=&quot;00CF1B47&quot;/&gt;&lt;wsp:rsid wsp:val=&quot;00CF26A4&quot;/&gt;&lt;wsp:rsid wsp:val=&quot;00CF27DA&quot;/&gt;&lt;wsp:rsid wsp:val=&quot;00CF3872&quot;/&gt;&lt;wsp:rsid wsp:val=&quot;00CF3924&quot;/&gt;&lt;wsp:rsid wsp:val=&quot;00CF3A0F&quot;/&gt;&lt;wsp:rsid wsp:val=&quot;00CF3A21&quot;/&gt;&lt;wsp:rsid wsp:val=&quot;00CF3B70&quot;/&gt;&lt;wsp:rsid wsp:val=&quot;00CF3E6D&quot;/&gt;&lt;wsp:rsid wsp:val=&quot;00CF42E7&quot;/&gt;&lt;wsp:rsid wsp:val=&quot;00CF4459&quot;/&gt;&lt;wsp:rsid wsp:val=&quot;00CF4689&quot;/&gt;&lt;wsp:rsid wsp:val=&quot;00CF4A56&quot;/&gt;&lt;wsp:rsid wsp:val=&quot;00CF4F93&quot;/&gt;&lt;wsp:rsid wsp:val=&quot;00CF50A0&quot;/&gt;&lt;wsp:rsid wsp:val=&quot;00CF56E8&quot;/&gt;&lt;wsp:rsid wsp:val=&quot;00CF58E7&quot;/&gt;&lt;wsp:rsid wsp:val=&quot;00CF592B&quot;/&gt;&lt;wsp:rsid wsp:val=&quot;00CF59F3&quot;/&gt;&lt;wsp:rsid wsp:val=&quot;00CF5C7A&quot;/&gt;&lt;wsp:rsid wsp:val=&quot;00CF5E35&quot;/&gt;&lt;wsp:rsid wsp:val=&quot;00CF5E51&quot;/&gt;&lt;wsp:rsid wsp:val=&quot;00CF623C&quot;/&gt;&lt;wsp:rsid wsp:val=&quot;00CF6AFF&quot;/&gt;&lt;wsp:rsid wsp:val=&quot;00CF7168&quot;/&gt;&lt;wsp:rsid wsp:val=&quot;00CF73B8&quot;/&gt;&lt;wsp:rsid wsp:val=&quot;00CF7415&quot;/&gt;&lt;wsp:rsid wsp:val=&quot;00CF77B3&quot;/&gt;&lt;wsp:rsid wsp:val=&quot;00CF78B2&quot;/&gt;&lt;wsp:rsid wsp:val=&quot;00D00593&quot;/&gt;&lt;wsp:rsid wsp:val=&quot;00D005B9&quot;/&gt;&lt;wsp:rsid wsp:val=&quot;00D0077A&quot;/&gt;&lt;wsp:rsid wsp:val=&quot;00D00D9A&quot;/&gt;&lt;wsp:rsid wsp:val=&quot;00D0113B&quot;/&gt;&lt;wsp:rsid wsp:val=&quot;00D017A9&quot;/&gt;&lt;wsp:rsid wsp:val=&quot;00D01994&quot;/&gt;&lt;wsp:rsid wsp:val=&quot;00D019B9&quot;/&gt;&lt;wsp:rsid wsp:val=&quot;00D01F4F&quot;/&gt;&lt;wsp:rsid wsp:val=&quot;00D01FA5&quot;/&gt;&lt;wsp:rsid wsp:val=&quot;00D02279&quot;/&gt;&lt;wsp:rsid wsp:val=&quot;00D022B8&quot;/&gt;&lt;wsp:rsid wsp:val=&quot;00D0261F&quot;/&gt;&lt;wsp:rsid wsp:val=&quot;00D02F13&quot;/&gt;&lt;wsp:rsid wsp:val=&quot;00D02FE2&quot;/&gt;&lt;wsp:rsid wsp:val=&quot;00D03302&quot;/&gt;&lt;wsp:rsid wsp:val=&quot;00D03309&quot;/&gt;&lt;wsp:rsid wsp:val=&quot;00D03652&quot;/&gt;&lt;wsp:rsid wsp:val=&quot;00D03900&quot;/&gt;&lt;wsp:rsid wsp:val=&quot;00D03D46&quot;/&gt;&lt;wsp:rsid wsp:val=&quot;00D03E43&quot;/&gt;&lt;wsp:rsid wsp:val=&quot;00D04430&quot;/&gt;&lt;wsp:rsid wsp:val=&quot;00D05571&quot;/&gt;&lt;wsp:rsid wsp:val=&quot;00D0571D&quot;/&gt;&lt;wsp:rsid wsp:val=&quot;00D059EF&quot;/&gt;&lt;wsp:rsid wsp:val=&quot;00D05B66&quot;/&gt;&lt;wsp:rsid wsp:val=&quot;00D05D06&quot;/&gt;&lt;wsp:rsid wsp:val=&quot;00D06000&quot;/&gt;&lt;wsp:rsid wsp:val=&quot;00D0649B&quot;/&gt;&lt;wsp:rsid wsp:val=&quot;00D067F3&quot;/&gt;&lt;wsp:rsid wsp:val=&quot;00D07D78&quot;/&gt;&lt;wsp:rsid wsp:val=&quot;00D07E5C&quot;/&gt;&lt;wsp:rsid wsp:val=&quot;00D07F5A&quot;/&gt;&lt;wsp:rsid wsp:val=&quot;00D07FEA&quot;/&gt;&lt;wsp:rsid wsp:val=&quot;00D10C47&quot;/&gt;&lt;wsp:rsid wsp:val=&quot;00D10F61&quot;/&gt;&lt;wsp:rsid wsp:val=&quot;00D11A47&quot;/&gt;&lt;wsp:rsid wsp:val=&quot;00D11BBE&quot;/&gt;&lt;wsp:rsid wsp:val=&quot;00D11BC5&quot;/&gt;&lt;wsp:rsid wsp:val=&quot;00D120A3&quot;/&gt;&lt;wsp:rsid wsp:val=&quot;00D12124&quot;/&gt;&lt;wsp:rsid wsp:val=&quot;00D1215C&quot;/&gt;&lt;wsp:rsid wsp:val=&quot;00D128A4&quot;/&gt;&lt;wsp:rsid wsp:val=&quot;00D12983&quot;/&gt;&lt;wsp:rsid wsp:val=&quot;00D12D49&quot;/&gt;&lt;wsp:rsid wsp:val=&quot;00D12E4E&quot;/&gt;&lt;wsp:rsid wsp:val=&quot;00D12FE3&quot;/&gt;&lt;wsp:rsid wsp:val=&quot;00D130F2&quot;/&gt;&lt;wsp:rsid wsp:val=&quot;00D13DC3&quot;/&gt;&lt;wsp:rsid wsp:val=&quot;00D143DF&quot;/&gt;&lt;wsp:rsid wsp:val=&quot;00D14B32&quot;/&gt;&lt;wsp:rsid wsp:val=&quot;00D14DFF&quot;/&gt;&lt;wsp:rsid wsp:val=&quot;00D14E96&quot;/&gt;&lt;wsp:rsid wsp:val=&quot;00D1567E&quot;/&gt;&lt;wsp:rsid wsp:val=&quot;00D15732&quot;/&gt;&lt;wsp:rsid wsp:val=&quot;00D164B9&quot;/&gt;&lt;wsp:rsid wsp:val=&quot;00D16750&quot;/&gt;&lt;wsp:rsid wsp:val=&quot;00D16BCA&quot;/&gt;&lt;wsp:rsid wsp:val=&quot;00D16DBD&quot;/&gt;&lt;wsp:rsid wsp:val=&quot;00D16F4D&quot;/&gt;&lt;wsp:rsid wsp:val=&quot;00D17157&quot;/&gt;&lt;wsp:rsid wsp:val=&quot;00D173FA&quot;/&gt;&lt;wsp:rsid wsp:val=&quot;00D17940&quot;/&gt;&lt;wsp:rsid wsp:val=&quot;00D17E8C&quot;/&gt;&lt;wsp:rsid wsp:val=&quot;00D200AD&quot;/&gt;&lt;wsp:rsid wsp:val=&quot;00D209D7&quot;/&gt;&lt;wsp:rsid wsp:val=&quot;00D20C20&quot;/&gt;&lt;wsp:rsid wsp:val=&quot;00D217CF&quot;/&gt;&lt;wsp:rsid wsp:val=&quot;00D21CD2&quot;/&gt;&lt;wsp:rsid wsp:val=&quot;00D21CFA&quot;/&gt;&lt;wsp:rsid wsp:val=&quot;00D22113&quot;/&gt;&lt;wsp:rsid wsp:val=&quot;00D221B7&quot;/&gt;&lt;wsp:rsid wsp:val=&quot;00D222C6&quot;/&gt;&lt;wsp:rsid wsp:val=&quot;00D2283C&quot;/&gt;&lt;wsp:rsid wsp:val=&quot;00D22A80&quot;/&gt;&lt;wsp:rsid wsp:val=&quot;00D22C0A&quot;/&gt;&lt;wsp:rsid wsp:val=&quot;00D22C30&quot;/&gt;&lt;wsp:rsid wsp:val=&quot;00D22D4A&quot;/&gt;&lt;wsp:rsid wsp:val=&quot;00D22F3C&quot;/&gt;&lt;wsp:rsid wsp:val=&quot;00D230A4&quot;/&gt;&lt;wsp:rsid wsp:val=&quot;00D230F3&quot;/&gt;&lt;wsp:rsid wsp:val=&quot;00D23122&quot;/&gt;&lt;wsp:rsid wsp:val=&quot;00D232BF&quot;/&gt;&lt;wsp:rsid wsp:val=&quot;00D235CC&quot;/&gt;&lt;wsp:rsid wsp:val=&quot;00D2386E&quot;/&gt;&lt;wsp:rsid wsp:val=&quot;00D23D5B&quot;/&gt;&lt;wsp:rsid wsp:val=&quot;00D241B0&quot;/&gt;&lt;wsp:rsid wsp:val=&quot;00D2453C&quot;/&gt;&lt;wsp:rsid wsp:val=&quot;00D2459F&quot;/&gt;&lt;wsp:rsid wsp:val=&quot;00D24907&quot;/&gt;&lt;wsp:rsid wsp:val=&quot;00D249D2&quot;/&gt;&lt;wsp:rsid wsp:val=&quot;00D24DE7&quot;/&gt;&lt;wsp:rsid wsp:val=&quot;00D2516D&quot;/&gt;&lt;wsp:rsid wsp:val=&quot;00D25873&quot;/&gt;&lt;wsp:rsid wsp:val=&quot;00D25DAF&quot;/&gt;&lt;wsp:rsid wsp:val=&quot;00D26301&quot;/&gt;&lt;wsp:rsid wsp:val=&quot;00D26D39&quot;/&gt;&lt;wsp:rsid wsp:val=&quot;00D27409&quot;/&gt;&lt;wsp:rsid wsp:val=&quot;00D27540&quot;/&gt;&lt;wsp:rsid wsp:val=&quot;00D27769&quot;/&gt;&lt;wsp:rsid wsp:val=&quot;00D279B8&quot;/&gt;&lt;wsp:rsid wsp:val=&quot;00D27F7C&quot;/&gt;&lt;wsp:rsid wsp:val=&quot;00D30128&quot;/&gt;&lt;wsp:rsid wsp:val=&quot;00D30372&quot;/&gt;&lt;wsp:rsid wsp:val=&quot;00D307D2&quot;/&gt;&lt;wsp:rsid wsp:val=&quot;00D30BD5&quot;/&gt;&lt;wsp:rsid wsp:val=&quot;00D30C40&quot;/&gt;&lt;wsp:rsid wsp:val=&quot;00D310FA&quot;/&gt;&lt;wsp:rsid wsp:val=&quot;00D315BB&quot;/&gt;&lt;wsp:rsid wsp:val=&quot;00D31981&quot;/&gt;&lt;wsp:rsid wsp:val=&quot;00D31BA6&quot;/&gt;&lt;wsp:rsid wsp:val=&quot;00D31CFC&quot;/&gt;&lt;wsp:rsid wsp:val=&quot;00D322C2&quot;/&gt;&lt;wsp:rsid wsp:val=&quot;00D32411&quot;/&gt;&lt;wsp:rsid wsp:val=&quot;00D324ED&quot;/&gt;&lt;wsp:rsid wsp:val=&quot;00D33035&quot;/&gt;&lt;wsp:rsid wsp:val=&quot;00D33038&quot;/&gt;&lt;wsp:rsid wsp:val=&quot;00D33275&quot;/&gt;&lt;wsp:rsid wsp:val=&quot;00D33278&quot;/&gt;&lt;wsp:rsid wsp:val=&quot;00D335C3&quot;/&gt;&lt;wsp:rsid wsp:val=&quot;00D3375E&quot;/&gt;&lt;wsp:rsid wsp:val=&quot;00D33852&quot;/&gt;&lt;wsp:rsid wsp:val=&quot;00D33D31&quot;/&gt;&lt;wsp:rsid wsp:val=&quot;00D344A7&quot;/&gt;&lt;wsp:rsid wsp:val=&quot;00D34757&quot;/&gt;&lt;wsp:rsid wsp:val=&quot;00D34B46&quot;/&gt;&lt;wsp:rsid wsp:val=&quot;00D350C4&quot;/&gt;&lt;wsp:rsid wsp:val=&quot;00D3559B&quot;/&gt;&lt;wsp:rsid wsp:val=&quot;00D35E85&quot;/&gt;&lt;wsp:rsid wsp:val=&quot;00D360F1&quot;/&gt;&lt;wsp:rsid wsp:val=&quot;00D36322&quot;/&gt;&lt;wsp:rsid wsp:val=&quot;00D366D9&quot;/&gt;&lt;wsp:rsid wsp:val=&quot;00D36DF2&quot;/&gt;&lt;wsp:rsid wsp:val=&quot;00D37431&quot;/&gt;&lt;wsp:rsid wsp:val=&quot;00D37733&quot;/&gt;&lt;wsp:rsid wsp:val=&quot;00D37A21&quot;/&gt;&lt;wsp:rsid wsp:val=&quot;00D37AAF&quot;/&gt;&lt;wsp:rsid wsp:val=&quot;00D37B37&quot;/&gt;&lt;wsp:rsid wsp:val=&quot;00D37BFA&quot;/&gt;&lt;wsp:rsid wsp:val=&quot;00D37EA6&quot;/&gt;&lt;wsp:rsid wsp:val=&quot;00D40872&quot;/&gt;&lt;wsp:rsid wsp:val=&quot;00D40E7C&quot;/&gt;&lt;wsp:rsid wsp:val=&quot;00D40F27&quot;/&gt;&lt;wsp:rsid wsp:val=&quot;00D41179&quot;/&gt;&lt;wsp:rsid wsp:val=&quot;00D41803&quot;/&gt;&lt;wsp:rsid wsp:val=&quot;00D41A05&quot;/&gt;&lt;wsp:rsid wsp:val=&quot;00D41A3B&quot;/&gt;&lt;wsp:rsid wsp:val=&quot;00D41A7D&quot;/&gt;&lt;wsp:rsid wsp:val=&quot;00D41C03&quot;/&gt;&lt;wsp:rsid wsp:val=&quot;00D42B7C&quot;/&gt;&lt;wsp:rsid wsp:val=&quot;00D43133&quot;/&gt;&lt;wsp:rsid wsp:val=&quot;00D4322E&quot;/&gt;&lt;wsp:rsid wsp:val=&quot;00D43AFC&quot;/&gt;&lt;wsp:rsid wsp:val=&quot;00D43C8E&quot;/&gt;&lt;wsp:rsid wsp:val=&quot;00D43DA5&quot;/&gt;&lt;wsp:rsid wsp:val=&quot;00D44404&quot;/&gt;&lt;wsp:rsid wsp:val=&quot;00D44638&quot;/&gt;&lt;wsp:rsid wsp:val=&quot;00D4497C&quot;/&gt;&lt;wsp:rsid wsp:val=&quot;00D449A0&quot;/&gt;&lt;wsp:rsid wsp:val=&quot;00D44E88&quot;/&gt;&lt;wsp:rsid wsp:val=&quot;00D450A2&quot;/&gt;&lt;wsp:rsid wsp:val=&quot;00D45419&quot;/&gt;&lt;wsp:rsid wsp:val=&quot;00D457BD&quot;/&gt;&lt;wsp:rsid wsp:val=&quot;00D46514&quot;/&gt;&lt;wsp:rsid wsp:val=&quot;00D46798&quot;/&gt;&lt;wsp:rsid wsp:val=&quot;00D46ADF&quot;/&gt;&lt;wsp:rsid wsp:val=&quot;00D46C81&quot;/&gt;&lt;wsp:rsid wsp:val=&quot;00D47673&quot;/&gt;&lt;wsp:rsid wsp:val=&quot;00D47B77&quot;/&gt;&lt;wsp:rsid wsp:val=&quot;00D50034&quot;/&gt;&lt;wsp:rsid wsp:val=&quot;00D503EC&quot;/&gt;&lt;wsp:rsid wsp:val=&quot;00D50F65&quot;/&gt;&lt;wsp:rsid wsp:val=&quot;00D50F81&quot;/&gt;&lt;wsp:rsid wsp:val=&quot;00D51720&quot;/&gt;&lt;wsp:rsid wsp:val=&quot;00D51B2A&quot;/&gt;&lt;wsp:rsid wsp:val=&quot;00D51D4A&quot;/&gt;&lt;wsp:rsid wsp:val=&quot;00D52209&quot;/&gt;&lt;wsp:rsid wsp:val=&quot;00D5234B&quot;/&gt;&lt;wsp:rsid wsp:val=&quot;00D52395&quot;/&gt;&lt;wsp:rsid wsp:val=&quot;00D52581&quot;/&gt;&lt;wsp:rsid wsp:val=&quot;00D52759&quot;/&gt;&lt;wsp:rsid wsp:val=&quot;00D52769&quot;/&gt;&lt;wsp:rsid wsp:val=&quot;00D52807&quot;/&gt;&lt;wsp:rsid wsp:val=&quot;00D52BB3&quot;/&gt;&lt;wsp:rsid wsp:val=&quot;00D52C1D&quot;/&gt;&lt;wsp:rsid wsp:val=&quot;00D53964&quot;/&gt;&lt;wsp:rsid wsp:val=&quot;00D53984&quot;/&gt;&lt;wsp:rsid wsp:val=&quot;00D53BAC&quot;/&gt;&lt;wsp:rsid wsp:val=&quot;00D53BE1&quot;/&gt;&lt;wsp:rsid wsp:val=&quot;00D53C87&quot;/&gt;&lt;wsp:rsid wsp:val=&quot;00D54868&quot;/&gt;&lt;wsp:rsid wsp:val=&quot;00D54C61&quot;/&gt;&lt;wsp:rsid wsp:val=&quot;00D54D1E&quot;/&gt;&lt;wsp:rsid wsp:val=&quot;00D55266&quot;/&gt;&lt;wsp:rsid wsp:val=&quot;00D55283&quot;/&gt;&lt;wsp:rsid wsp:val=&quot;00D5595E&quot;/&gt;&lt;wsp:rsid wsp:val=&quot;00D55BCE&quot;/&gt;&lt;wsp:rsid wsp:val=&quot;00D5613C&quot;/&gt;&lt;wsp:rsid wsp:val=&quot;00D56253&quot;/&gt;&lt;wsp:rsid wsp:val=&quot;00D56498&quot;/&gt;&lt;wsp:rsid wsp:val=&quot;00D567FE&quot;/&gt;&lt;wsp:rsid wsp:val=&quot;00D56CE8&quot;/&gt;&lt;wsp:rsid wsp:val=&quot;00D5731E&quot;/&gt;&lt;wsp:rsid wsp:val=&quot;00D579C3&quot;/&gt;&lt;wsp:rsid wsp:val=&quot;00D57E09&quot;/&gt;&lt;wsp:rsid wsp:val=&quot;00D6016A&quot;/&gt;&lt;wsp:rsid wsp:val=&quot;00D60191&quot;/&gt;&lt;wsp:rsid wsp:val=&quot;00D61005&quot;/&gt;&lt;wsp:rsid wsp:val=&quot;00D61015&quot;/&gt;&lt;wsp:rsid wsp:val=&quot;00D61131&quot;/&gt;&lt;wsp:rsid wsp:val=&quot;00D611BB&quot;/&gt;&lt;wsp:rsid wsp:val=&quot;00D61829&quot;/&gt;&lt;wsp:rsid wsp:val=&quot;00D61A11&quot;/&gt;&lt;wsp:rsid wsp:val=&quot;00D61ADA&quot;/&gt;&lt;wsp:rsid wsp:val=&quot;00D61BEC&quot;/&gt;&lt;wsp:rsid wsp:val=&quot;00D61EBC&quot;/&gt;&lt;wsp:rsid wsp:val=&quot;00D61F64&quot;/&gt;&lt;wsp:rsid wsp:val=&quot;00D620A2&quot;/&gt;&lt;wsp:rsid wsp:val=&quot;00D622CE&quot;/&gt;&lt;wsp:rsid wsp:val=&quot;00D625F9&quot;/&gt;&lt;wsp:rsid wsp:val=&quot;00D626BE&quot;/&gt;&lt;wsp:rsid wsp:val=&quot;00D627CF&quot;/&gt;&lt;wsp:rsid wsp:val=&quot;00D62824&quot;/&gt;&lt;wsp:rsid wsp:val=&quot;00D6298A&quot;/&gt;&lt;wsp:rsid wsp:val=&quot;00D62A18&quot;/&gt;&lt;wsp:rsid wsp:val=&quot;00D62B58&quot;/&gt;&lt;wsp:rsid wsp:val=&quot;00D630C5&quot;/&gt;&lt;wsp:rsid wsp:val=&quot;00D636AD&quot;/&gt;&lt;wsp:rsid wsp:val=&quot;00D63D63&quot;/&gt;&lt;wsp:rsid wsp:val=&quot;00D64252&quot;/&gt;&lt;wsp:rsid wsp:val=&quot;00D64417&quot;/&gt;&lt;wsp:rsid wsp:val=&quot;00D6444A&quot;/&gt;&lt;wsp:rsid wsp:val=&quot;00D644E7&quot;/&gt;&lt;wsp:rsid wsp:val=&quot;00D646C6&quot;/&gt;&lt;wsp:rsid wsp:val=&quot;00D64822&quot;/&gt;&lt;wsp:rsid wsp:val=&quot;00D652FF&quot;/&gt;&lt;wsp:rsid wsp:val=&quot;00D653DB&quot;/&gt;&lt;wsp:rsid wsp:val=&quot;00D654C8&quot;/&gt;&lt;wsp:rsid wsp:val=&quot;00D6567B&quot;/&gt;&lt;wsp:rsid wsp:val=&quot;00D65AA1&quot;/&gt;&lt;wsp:rsid wsp:val=&quot;00D6638B&quot;/&gt;&lt;wsp:rsid wsp:val=&quot;00D66DD9&quot;/&gt;&lt;wsp:rsid wsp:val=&quot;00D66FA6&quot;/&gt;&lt;wsp:rsid wsp:val=&quot;00D671DD&quot;/&gt;&lt;wsp:rsid wsp:val=&quot;00D67240&quot;/&gt;&lt;wsp:rsid wsp:val=&quot;00D678AC&quot;/&gt;&lt;wsp:rsid wsp:val=&quot;00D67A44&quot;/&gt;&lt;wsp:rsid wsp:val=&quot;00D67C73&quot;/&gt;&lt;wsp:rsid wsp:val=&quot;00D7030E&quot;/&gt;&lt;wsp:rsid wsp:val=&quot;00D703A3&quot;/&gt;&lt;wsp:rsid wsp:val=&quot;00D7040C&quot;/&gt;&lt;wsp:rsid wsp:val=&quot;00D705E7&quot;/&gt;&lt;wsp:rsid wsp:val=&quot;00D7074F&quot;/&gt;&lt;wsp:rsid wsp:val=&quot;00D70CD1&quot;/&gt;&lt;wsp:rsid wsp:val=&quot;00D70E7A&quot;/&gt;&lt;wsp:rsid wsp:val=&quot;00D70F4A&quot;/&gt;&lt;wsp:rsid wsp:val=&quot;00D71546&quot;/&gt;&lt;wsp:rsid wsp:val=&quot;00D716E8&quot;/&gt;&lt;wsp:rsid wsp:val=&quot;00D71916&quot;/&gt;&lt;wsp:rsid wsp:val=&quot;00D719E6&quot;/&gt;&lt;wsp:rsid wsp:val=&quot;00D71CEF&quot;/&gt;&lt;wsp:rsid wsp:val=&quot;00D7218F&quot;/&gt;&lt;wsp:rsid wsp:val=&quot;00D72199&quot;/&gt;&lt;wsp:rsid wsp:val=&quot;00D72232&quot;/&gt;&lt;wsp:rsid wsp:val=&quot;00D722CF&quot;/&gt;&lt;wsp:rsid wsp:val=&quot;00D725DB&quot;/&gt;&lt;wsp:rsid wsp:val=&quot;00D72C5F&quot;/&gt;&lt;wsp:rsid wsp:val=&quot;00D72DA4&quot;/&gt;&lt;wsp:rsid wsp:val=&quot;00D732EE&quot;/&gt;&lt;wsp:rsid wsp:val=&quot;00D73338&quot;/&gt;&lt;wsp:rsid wsp:val=&quot;00D73348&quot;/&gt;&lt;wsp:rsid wsp:val=&quot;00D73FD6&quot;/&gt;&lt;wsp:rsid wsp:val=&quot;00D74262&quot;/&gt;&lt;wsp:rsid wsp:val=&quot;00D7433C&quot;/&gt;&lt;wsp:rsid wsp:val=&quot;00D74575&quot;/&gt;&lt;wsp:rsid wsp:val=&quot;00D7465E&quot;/&gt;&lt;wsp:rsid wsp:val=&quot;00D74A56&quot;/&gt;&lt;wsp:rsid wsp:val=&quot;00D74D31&quot;/&gt;&lt;wsp:rsid wsp:val=&quot;00D74D6F&quot;/&gt;&lt;wsp:rsid wsp:val=&quot;00D74EF6&quot;/&gt;&lt;wsp:rsid wsp:val=&quot;00D74F07&quot;/&gt;&lt;wsp:rsid wsp:val=&quot;00D74F9C&quot;/&gt;&lt;wsp:rsid wsp:val=&quot;00D75012&quot;/&gt;&lt;wsp:rsid wsp:val=&quot;00D75773&quot;/&gt;&lt;wsp:rsid wsp:val=&quot;00D760A9&quot;/&gt;&lt;wsp:rsid wsp:val=&quot;00D760CF&quot;/&gt;&lt;wsp:rsid wsp:val=&quot;00D763C6&quot;/&gt;&lt;wsp:rsid wsp:val=&quot;00D76440&quot;/&gt;&lt;wsp:rsid wsp:val=&quot;00D76731&quot;/&gt;&lt;wsp:rsid wsp:val=&quot;00D7695D&quot;/&gt;&lt;wsp:rsid wsp:val=&quot;00D77746&quot;/&gt;&lt;wsp:rsid wsp:val=&quot;00D778C2&quot;/&gt;&lt;wsp:rsid wsp:val=&quot;00D77CA3&quot;/&gt;&lt;wsp:rsid wsp:val=&quot;00D8038B&quot;/&gt;&lt;wsp:rsid wsp:val=&quot;00D803E5&quot;/&gt;&lt;wsp:rsid wsp:val=&quot;00D80BA3&quot;/&gt;&lt;wsp:rsid wsp:val=&quot;00D80E47&quot;/&gt;&lt;wsp:rsid wsp:val=&quot;00D813D1&quot;/&gt;&lt;wsp:rsid wsp:val=&quot;00D81428&quot;/&gt;&lt;wsp:rsid wsp:val=&quot;00D818D9&quot;/&gt;&lt;wsp:rsid wsp:val=&quot;00D81B53&quot;/&gt;&lt;wsp:rsid wsp:val=&quot;00D81D91&quot;/&gt;&lt;wsp:rsid wsp:val=&quot;00D81E8A&quot;/&gt;&lt;wsp:rsid wsp:val=&quot;00D82675&quot;/&gt;&lt;wsp:rsid wsp:val=&quot;00D8270A&quot;/&gt;&lt;wsp:rsid wsp:val=&quot;00D82A8E&quot;/&gt;&lt;wsp:rsid wsp:val=&quot;00D82DF1&quot;/&gt;&lt;wsp:rsid wsp:val=&quot;00D82EF5&quot;/&gt;&lt;wsp:rsid wsp:val=&quot;00D831D9&quot;/&gt;&lt;wsp:rsid wsp:val=&quot;00D83235&quot;/&gt;&lt;wsp:rsid wsp:val=&quot;00D8393F&quot;/&gt;&lt;wsp:rsid wsp:val=&quot;00D840E6&quot;/&gt;&lt;wsp:rsid wsp:val=&quot;00D8429C&quot;/&gt;&lt;wsp:rsid wsp:val=&quot;00D842D4&quot;/&gt;&lt;wsp:rsid wsp:val=&quot;00D84621&quot;/&gt;&lt;wsp:rsid wsp:val=&quot;00D8462B&quot;/&gt;&lt;wsp:rsid wsp:val=&quot;00D84941&quot;/&gt;&lt;wsp:rsid wsp:val=&quot;00D8521F&quot;/&gt;&lt;wsp:rsid wsp:val=&quot;00D85335&quot;/&gt;&lt;wsp:rsid wsp:val=&quot;00D856EC&quot;/&gt;&lt;wsp:rsid wsp:val=&quot;00D8570C&quot;/&gt;&lt;wsp:rsid wsp:val=&quot;00D85824&quot;/&gt;&lt;wsp:rsid wsp:val=&quot;00D85C69&quot;/&gt;&lt;wsp:rsid wsp:val=&quot;00D85C72&quot;/&gt;&lt;wsp:rsid wsp:val=&quot;00D85DEB&quot;/&gt;&lt;wsp:rsid wsp:val=&quot;00D861F0&quot;/&gt;&lt;wsp:rsid wsp:val=&quot;00D86504&quot;/&gt;&lt;wsp:rsid wsp:val=&quot;00D86DFF&quot;/&gt;&lt;wsp:rsid wsp:val=&quot;00D87212&quot;/&gt;&lt;wsp:rsid wsp:val=&quot;00D87551&quot;/&gt;&lt;wsp:rsid wsp:val=&quot;00D87C1E&quot;/&gt;&lt;wsp:rsid wsp:val=&quot;00D90067&quot;/&gt;&lt;wsp:rsid wsp:val=&quot;00D903FC&quot;/&gt;&lt;wsp:rsid wsp:val=&quot;00D903FF&quot;/&gt;&lt;wsp:rsid wsp:val=&quot;00D9066D&quot;/&gt;&lt;wsp:rsid wsp:val=&quot;00D90844&quot;/&gt;&lt;wsp:rsid wsp:val=&quot;00D90C47&quot;/&gt;&lt;wsp:rsid wsp:val=&quot;00D90CDB&quot;/&gt;&lt;wsp:rsid wsp:val=&quot;00D9124E&quot;/&gt;&lt;wsp:rsid wsp:val=&quot;00D917CA&quot;/&gt;&lt;wsp:rsid wsp:val=&quot;00D918CD&quot;/&gt;&lt;wsp:rsid wsp:val=&quot;00D9196C&quot;/&gt;&lt;wsp:rsid wsp:val=&quot;00D91C21&quot;/&gt;&lt;wsp:rsid wsp:val=&quot;00D91EC6&quot;/&gt;&lt;wsp:rsid wsp:val=&quot;00D91F11&quot;/&gt;&lt;wsp:rsid wsp:val=&quot;00D91FF6&quot;/&gt;&lt;wsp:rsid wsp:val=&quot;00D922E8&quot;/&gt;&lt;wsp:rsid wsp:val=&quot;00D92491&quot;/&gt;&lt;wsp:rsid wsp:val=&quot;00D92AE3&quot;/&gt;&lt;wsp:rsid wsp:val=&quot;00D92CE4&quot;/&gt;&lt;wsp:rsid wsp:val=&quot;00D934D4&quot;/&gt;&lt;wsp:rsid wsp:val=&quot;00D935B0&quot;/&gt;&lt;wsp:rsid wsp:val=&quot;00D93895&quot;/&gt;&lt;wsp:rsid wsp:val=&quot;00D93B30&quot;/&gt;&lt;wsp:rsid wsp:val=&quot;00D93EE5&quot;/&gt;&lt;wsp:rsid wsp:val=&quot;00D9400B&quot;/&gt;&lt;wsp:rsid wsp:val=&quot;00D94351&quot;/&gt;&lt;wsp:rsid wsp:val=&quot;00D9436E&quot;/&gt;&lt;wsp:rsid wsp:val=&quot;00D9442C&quot;/&gt;&lt;wsp:rsid wsp:val=&quot;00D94635&quot;/&gt;&lt;wsp:rsid wsp:val=&quot;00D95228&quot;/&gt;&lt;wsp:rsid wsp:val=&quot;00D957C3&quot;/&gt;&lt;wsp:rsid wsp:val=&quot;00D95AF4&quot;/&gt;&lt;wsp:rsid wsp:val=&quot;00D95CB7&quot;/&gt;&lt;wsp:rsid wsp:val=&quot;00D96247&quot;/&gt;&lt;wsp:rsid wsp:val=&quot;00D9632F&quot;/&gt;&lt;wsp:rsid wsp:val=&quot;00D9690E&quot;/&gt;&lt;wsp:rsid wsp:val=&quot;00D97DC7&quot;/&gt;&lt;wsp:rsid wsp:val=&quot;00D97EE3&quot;/&gt;&lt;wsp:rsid wsp:val=&quot;00DA00AE&quot;/&gt;&lt;wsp:rsid wsp:val=&quot;00DA0108&quot;/&gt;&lt;wsp:rsid wsp:val=&quot;00DA01C4&quot;/&gt;&lt;wsp:rsid wsp:val=&quot;00DA0DD0&quot;/&gt;&lt;wsp:rsid wsp:val=&quot;00DA1876&quot;/&gt;&lt;wsp:rsid wsp:val=&quot;00DA1992&quot;/&gt;&lt;wsp:rsid wsp:val=&quot;00DA1A61&quot;/&gt;&lt;wsp:rsid wsp:val=&quot;00DA1BBD&quot;/&gt;&lt;wsp:rsid wsp:val=&quot;00DA27FD&quot;/&gt;&lt;wsp:rsid wsp:val=&quot;00DA281D&quot;/&gt;&lt;wsp:rsid wsp:val=&quot;00DA2B3F&quot;/&gt;&lt;wsp:rsid wsp:val=&quot;00DA2D48&quot;/&gt;&lt;wsp:rsid wsp:val=&quot;00DA31D6&quot;/&gt;&lt;wsp:rsid wsp:val=&quot;00DA32ED&quot;/&gt;&lt;wsp:rsid wsp:val=&quot;00DA355F&quot;/&gt;&lt;wsp:rsid wsp:val=&quot;00DA3637&quot;/&gt;&lt;wsp:rsid wsp:val=&quot;00DA3DE0&quot;/&gt;&lt;wsp:rsid wsp:val=&quot;00DA452D&quot;/&gt;&lt;wsp:rsid wsp:val=&quot;00DA4785&quot;/&gt;&lt;wsp:rsid wsp:val=&quot;00DA47F3&quot;/&gt;&lt;wsp:rsid wsp:val=&quot;00DA48A9&quot;/&gt;&lt;wsp:rsid wsp:val=&quot;00DA4AAB&quot;/&gt;&lt;wsp:rsid wsp:val=&quot;00DA4BE1&quot;/&gt;&lt;wsp:rsid wsp:val=&quot;00DA4C15&quot;/&gt;&lt;wsp:rsid wsp:val=&quot;00DA4CE7&quot;/&gt;&lt;wsp:rsid wsp:val=&quot;00DA4E26&quot;/&gt;&lt;wsp:rsid wsp:val=&quot;00DA4EDE&quot;/&gt;&lt;wsp:rsid wsp:val=&quot;00DA549C&quot;/&gt;&lt;wsp:rsid wsp:val=&quot;00DA54CD&quot;/&gt;&lt;wsp:rsid wsp:val=&quot;00DA571E&quot;/&gt;&lt;wsp:rsid wsp:val=&quot;00DA5943&quot;/&gt;&lt;wsp:rsid wsp:val=&quot;00DA5F1F&quot;/&gt;&lt;wsp:rsid wsp:val=&quot;00DA61F5&quot;/&gt;&lt;wsp:rsid wsp:val=&quot;00DA6232&quot;/&gt;&lt;wsp:rsid wsp:val=&quot;00DA65B2&quot;/&gt;&lt;wsp:rsid wsp:val=&quot;00DA662D&quot;/&gt;&lt;wsp:rsid wsp:val=&quot;00DA6ABD&quot;/&gt;&lt;wsp:rsid wsp:val=&quot;00DA6E57&quot;/&gt;&lt;wsp:rsid wsp:val=&quot;00DA7056&quot;/&gt;&lt;wsp:rsid wsp:val=&quot;00DA7340&quot;/&gt;&lt;wsp:rsid wsp:val=&quot;00DA7BA4&quot;/&gt;&lt;wsp:rsid wsp:val=&quot;00DA7E61&quot;/&gt;&lt;wsp:rsid wsp:val=&quot;00DA7FCB&quot;/&gt;&lt;wsp:rsid wsp:val=&quot;00DB01DB&quot;/&gt;&lt;wsp:rsid wsp:val=&quot;00DB09AB&quot;/&gt;&lt;wsp:rsid wsp:val=&quot;00DB0A6B&quot;/&gt;&lt;wsp:rsid wsp:val=&quot;00DB0C61&quot;/&gt;&lt;wsp:rsid wsp:val=&quot;00DB0FD0&quot;/&gt;&lt;wsp:rsid wsp:val=&quot;00DB111F&quot;/&gt;&lt;wsp:rsid wsp:val=&quot;00DB1156&quot;/&gt;&lt;wsp:rsid wsp:val=&quot;00DB1ADE&quot;/&gt;&lt;wsp:rsid wsp:val=&quot;00DB21F9&quot;/&gt;&lt;wsp:rsid wsp:val=&quot;00DB23E1&quot;/&gt;&lt;wsp:rsid wsp:val=&quot;00DB242E&quot;/&gt;&lt;wsp:rsid wsp:val=&quot;00DB247B&quot;/&gt;&lt;wsp:rsid wsp:val=&quot;00DB2500&quot;/&gt;&lt;wsp:rsid wsp:val=&quot;00DB25F7&quot;/&gt;&lt;wsp:rsid wsp:val=&quot;00DB2745&quot;/&gt;&lt;wsp:rsid wsp:val=&quot;00DB2810&quot;/&gt;&lt;wsp:rsid wsp:val=&quot;00DB296C&quot;/&gt;&lt;wsp:rsid wsp:val=&quot;00DB2979&quot;/&gt;&lt;wsp:rsid wsp:val=&quot;00DB29FA&quot;/&gt;&lt;wsp:rsid wsp:val=&quot;00DB2B88&quot;/&gt;&lt;wsp:rsid wsp:val=&quot;00DB2C50&quot;/&gt;&lt;wsp:rsid wsp:val=&quot;00DB32C4&quot;/&gt;&lt;wsp:rsid wsp:val=&quot;00DB3873&quot;/&gt;&lt;wsp:rsid wsp:val=&quot;00DB38FF&quot;/&gt;&lt;wsp:rsid wsp:val=&quot;00DB3F39&quot;/&gt;&lt;wsp:rsid wsp:val=&quot;00DB3FF4&quot;/&gt;&lt;wsp:rsid wsp:val=&quot;00DB4EA6&quot;/&gt;&lt;wsp:rsid wsp:val=&quot;00DB51A7&quot;/&gt;&lt;wsp:rsid wsp:val=&quot;00DB5222&quot;/&gt;&lt;wsp:rsid wsp:val=&quot;00DB5A41&quot;/&gt;&lt;wsp:rsid wsp:val=&quot;00DB5DD7&quot;/&gt;&lt;wsp:rsid wsp:val=&quot;00DB64EB&quot;/&gt;&lt;wsp:rsid wsp:val=&quot;00DB6A15&quot;/&gt;&lt;wsp:rsid wsp:val=&quot;00DB6C7B&quot;/&gt;&lt;wsp:rsid wsp:val=&quot;00DB71FD&quot;/&gt;&lt;wsp:rsid wsp:val=&quot;00DB756B&quot;/&gt;&lt;wsp:rsid wsp:val=&quot;00DB7684&quot;/&gt;&lt;wsp:rsid wsp:val=&quot;00DB7D5B&quot;/&gt;&lt;wsp:rsid wsp:val=&quot;00DB7F4C&quot;/&gt;&lt;wsp:rsid wsp:val=&quot;00DC037E&quot;/&gt;&lt;wsp:rsid wsp:val=&quot;00DC0828&quot;/&gt;&lt;wsp:rsid wsp:val=&quot;00DC085B&quot;/&gt;&lt;wsp:rsid wsp:val=&quot;00DC08CF&quot;/&gt;&lt;wsp:rsid wsp:val=&quot;00DC0984&quot;/&gt;&lt;wsp:rsid wsp:val=&quot;00DC0EC9&quot;/&gt;&lt;wsp:rsid wsp:val=&quot;00DC0ECC&quot;/&gt;&lt;wsp:rsid wsp:val=&quot;00DC141E&quot;/&gt;&lt;wsp:rsid wsp:val=&quot;00DC15EC&quot;/&gt;&lt;wsp:rsid wsp:val=&quot;00DC1957&quot;/&gt;&lt;wsp:rsid wsp:val=&quot;00DC1CFE&quot;/&gt;&lt;wsp:rsid wsp:val=&quot;00DC21D5&quot;/&gt;&lt;wsp:rsid wsp:val=&quot;00DC27DA&quot;/&gt;&lt;wsp:rsid wsp:val=&quot;00DC2C4C&quot;/&gt;&lt;wsp:rsid wsp:val=&quot;00DC2EE7&quot;/&gt;&lt;wsp:rsid wsp:val=&quot;00DC3280&quot;/&gt;&lt;wsp:rsid wsp:val=&quot;00DC3341&quot;/&gt;&lt;wsp:rsid wsp:val=&quot;00DC339F&quot;/&gt;&lt;wsp:rsid wsp:val=&quot;00DC33AB&quot;/&gt;&lt;wsp:rsid wsp:val=&quot;00DC3481&quot;/&gt;&lt;wsp:rsid wsp:val=&quot;00DC38A8&quot;/&gt;&lt;wsp:rsid wsp:val=&quot;00DC38BC&quot;/&gt;&lt;wsp:rsid wsp:val=&quot;00DC3992&quot;/&gt;&lt;wsp:rsid wsp:val=&quot;00DC3E04&quot;/&gt;&lt;wsp:rsid wsp:val=&quot;00DC402E&quot;/&gt;&lt;wsp:rsid wsp:val=&quot;00DC4284&quot;/&gt;&lt;wsp:rsid wsp:val=&quot;00DC4376&quot;/&gt;&lt;wsp:rsid wsp:val=&quot;00DC50F1&quot;/&gt;&lt;wsp:rsid wsp:val=&quot;00DC520C&quot;/&gt;&lt;wsp:rsid wsp:val=&quot;00DC535D&quot;/&gt;&lt;wsp:rsid wsp:val=&quot;00DC5445&quot;/&gt;&lt;wsp:rsid wsp:val=&quot;00DC562B&quot;/&gt;&lt;wsp:rsid wsp:val=&quot;00DC5FEC&quot;/&gt;&lt;wsp:rsid wsp:val=&quot;00DC6606&quot;/&gt;&lt;wsp:rsid wsp:val=&quot;00DC673D&quot;/&gt;&lt;wsp:rsid wsp:val=&quot;00DC67C7&quot;/&gt;&lt;wsp:rsid wsp:val=&quot;00DC69E6&quot;/&gt;&lt;wsp:rsid wsp:val=&quot;00DC6EDE&quot;/&gt;&lt;wsp:rsid wsp:val=&quot;00DC6F21&quot;/&gt;&lt;wsp:rsid wsp:val=&quot;00DC741A&quot;/&gt;&lt;wsp:rsid wsp:val=&quot;00DC751E&quot;/&gt;&lt;wsp:rsid wsp:val=&quot;00DC7B73&quot;/&gt;&lt;wsp:rsid wsp:val=&quot;00DC7C4E&quot;/&gt;&lt;wsp:rsid wsp:val=&quot;00DC7E15&quot;/&gt;&lt;wsp:rsid wsp:val=&quot;00DC7E27&quot;/&gt;&lt;wsp:rsid wsp:val=&quot;00DD01DC&quot;/&gt;&lt;wsp:rsid wsp:val=&quot;00DD042E&quot;/&gt;&lt;wsp:rsid wsp:val=&quot;00DD0A18&quot;/&gt;&lt;wsp:rsid wsp:val=&quot;00DD0A2F&quot;/&gt;&lt;wsp:rsid wsp:val=&quot;00DD0B4F&quot;/&gt;&lt;wsp:rsid wsp:val=&quot;00DD0C8C&quot;/&gt;&lt;wsp:rsid wsp:val=&quot;00DD109B&quot;/&gt;&lt;wsp:rsid wsp:val=&quot;00DD16ED&quot;/&gt;&lt;wsp:rsid wsp:val=&quot;00DD17BD&quot;/&gt;&lt;wsp:rsid wsp:val=&quot;00DD1B72&quot;/&gt;&lt;wsp:rsid wsp:val=&quot;00DD1D1C&quot;/&gt;&lt;wsp:rsid wsp:val=&quot;00DD237A&quot;/&gt;&lt;wsp:rsid wsp:val=&quot;00DD397C&quot;/&gt;&lt;wsp:rsid wsp:val=&quot;00DD3CEA&quot;/&gt;&lt;wsp:rsid wsp:val=&quot;00DD4838&quot;/&gt;&lt;wsp:rsid wsp:val=&quot;00DD4C81&quot;/&gt;&lt;wsp:rsid wsp:val=&quot;00DD54F2&quot;/&gt;&lt;wsp:rsid wsp:val=&quot;00DD55B0&quot;/&gt;&lt;wsp:rsid wsp:val=&quot;00DD68AB&quot;/&gt;&lt;wsp:rsid wsp:val=&quot;00DD69F4&quot;/&gt;&lt;wsp:rsid wsp:val=&quot;00DD7431&quot;/&gt;&lt;wsp:rsid wsp:val=&quot;00DD760A&quot;/&gt;&lt;wsp:rsid wsp:val=&quot;00DD7A76&quot;/&gt;&lt;wsp:rsid wsp:val=&quot;00DD7BC2&quot;/&gt;&lt;wsp:rsid wsp:val=&quot;00DD7E50&quot;/&gt;&lt;wsp:rsid wsp:val=&quot;00DE032C&quot;/&gt;&lt;wsp:rsid wsp:val=&quot;00DE0474&quot;/&gt;&lt;wsp:rsid wsp:val=&quot;00DE0727&quot;/&gt;&lt;wsp:rsid wsp:val=&quot;00DE0A01&quot;/&gt;&lt;wsp:rsid wsp:val=&quot;00DE0F9E&quot;/&gt;&lt;wsp:rsid wsp:val=&quot;00DE0FA7&quot;/&gt;&lt;wsp:rsid wsp:val=&quot;00DE1511&quot;/&gt;&lt;wsp:rsid wsp:val=&quot;00DE1522&quot;/&gt;&lt;wsp:rsid wsp:val=&quot;00DE1AC8&quot;/&gt;&lt;wsp:rsid wsp:val=&quot;00DE1F3F&quot;/&gt;&lt;wsp:rsid wsp:val=&quot;00DE2077&quot;/&gt;&lt;wsp:rsid wsp:val=&quot;00DE257A&quot;/&gt;&lt;wsp:rsid wsp:val=&quot;00DE287C&quot;/&gt;&lt;wsp:rsid wsp:val=&quot;00DE31E6&quot;/&gt;&lt;wsp:rsid wsp:val=&quot;00DE3718&quot;/&gt;&lt;wsp:rsid wsp:val=&quot;00DE38C1&quot;/&gt;&lt;wsp:rsid wsp:val=&quot;00DE3990&quot;/&gt;&lt;wsp:rsid wsp:val=&quot;00DE3D4C&quot;/&gt;&lt;wsp:rsid wsp:val=&quot;00DE3F61&quot;/&gt;&lt;wsp:rsid wsp:val=&quot;00DE4264&quot;/&gt;&lt;wsp:rsid wsp:val=&quot;00DE473A&quot;/&gt;&lt;wsp:rsid wsp:val=&quot;00DE47DB&quot;/&gt;&lt;wsp:rsid wsp:val=&quot;00DE4B48&quot;/&gt;&lt;wsp:rsid wsp:val=&quot;00DE4BD2&quot;/&gt;&lt;wsp:rsid wsp:val=&quot;00DE4C60&quot;/&gt;&lt;wsp:rsid wsp:val=&quot;00DE4E7A&quot;/&gt;&lt;wsp:rsid wsp:val=&quot;00DE585A&quot;/&gt;&lt;wsp:rsid wsp:val=&quot;00DE6784&quot;/&gt;&lt;wsp:rsid wsp:val=&quot;00DE6861&quot;/&gt;&lt;wsp:rsid wsp:val=&quot;00DE6C98&quot;/&gt;&lt;wsp:rsid wsp:val=&quot;00DE6F68&quot;/&gt;&lt;wsp:rsid wsp:val=&quot;00DE7C17&quot;/&gt;&lt;wsp:rsid wsp:val=&quot;00DE7CE1&quot;/&gt;&lt;wsp:rsid wsp:val=&quot;00DF02B9&quot;/&gt;&lt;wsp:rsid wsp:val=&quot;00DF043D&quot;/&gt;&lt;wsp:rsid wsp:val=&quot;00DF04F9&quot;/&gt;&lt;wsp:rsid wsp:val=&quot;00DF05F2&quot;/&gt;&lt;wsp:rsid wsp:val=&quot;00DF0C83&quot;/&gt;&lt;wsp:rsid wsp:val=&quot;00DF122E&quot;/&gt;&lt;wsp:rsid wsp:val=&quot;00DF1835&quot;/&gt;&lt;wsp:rsid wsp:val=&quot;00DF1838&quot;/&gt;&lt;wsp:rsid wsp:val=&quot;00DF1BB2&quot;/&gt;&lt;wsp:rsid wsp:val=&quot;00DF1CC0&quot;/&gt;&lt;wsp:rsid wsp:val=&quot;00DF2033&quot;/&gt;&lt;wsp:rsid wsp:val=&quot;00DF22C7&quot;/&gt;&lt;wsp:rsid wsp:val=&quot;00DF2408&quot;/&gt;&lt;wsp:rsid wsp:val=&quot;00DF281A&quot;/&gt;&lt;wsp:rsid wsp:val=&quot;00DF2B2A&quot;/&gt;&lt;wsp:rsid wsp:val=&quot;00DF2B65&quot;/&gt;&lt;wsp:rsid wsp:val=&quot;00DF324D&quot;/&gt;&lt;wsp:rsid wsp:val=&quot;00DF34E6&quot;/&gt;&lt;wsp:rsid wsp:val=&quot;00DF3C68&quot;/&gt;&lt;wsp:rsid wsp:val=&quot;00DF4AAE&quot;/&gt;&lt;wsp:rsid wsp:val=&quot;00DF4BE1&quot;/&gt;&lt;wsp:rsid wsp:val=&quot;00DF4DC9&quot;/&gt;&lt;wsp:rsid wsp:val=&quot;00DF4E74&quot;/&gt;&lt;wsp:rsid wsp:val=&quot;00DF54DF&quot;/&gt;&lt;wsp:rsid wsp:val=&quot;00DF55D6&quot;/&gt;&lt;wsp:rsid wsp:val=&quot;00DF5623&quot;/&gt;&lt;wsp:rsid wsp:val=&quot;00DF5F78&quot;/&gt;&lt;wsp:rsid wsp:val=&quot;00DF5FC0&quot;/&gt;&lt;wsp:rsid wsp:val=&quot;00DF6021&quot;/&gt;&lt;wsp:rsid wsp:val=&quot;00DF6457&quot;/&gt;&lt;wsp:rsid wsp:val=&quot;00DF64F5&quot;/&gt;&lt;wsp:rsid wsp:val=&quot;00DF6B13&quot;/&gt;&lt;wsp:rsid wsp:val=&quot;00DF737B&quot;/&gt;&lt;wsp:rsid wsp:val=&quot;00DF7C16&quot;/&gt;&lt;wsp:rsid wsp:val=&quot;00E00185&quot;/&gt;&lt;wsp:rsid wsp:val=&quot;00E0093C&quot;/&gt;&lt;wsp:rsid wsp:val=&quot;00E01018&quot;/&gt;&lt;wsp:rsid wsp:val=&quot;00E01634&quot;/&gt;&lt;wsp:rsid wsp:val=&quot;00E01C55&quot;/&gt;&lt;wsp:rsid wsp:val=&quot;00E01D5B&quot;/&gt;&lt;wsp:rsid wsp:val=&quot;00E01DC2&quot;/&gt;&lt;wsp:rsid wsp:val=&quot;00E021CD&quot;/&gt;&lt;wsp:rsid wsp:val=&quot;00E02227&quot;/&gt;&lt;wsp:rsid wsp:val=&quot;00E027BD&quot;/&gt;&lt;wsp:rsid wsp:val=&quot;00E02C60&quot;/&gt;&lt;wsp:rsid wsp:val=&quot;00E02EF2&quot;/&gt;&lt;wsp:rsid wsp:val=&quot;00E02FCD&quot;/&gt;&lt;wsp:rsid wsp:val=&quot;00E03172&quot;/&gt;&lt;wsp:rsid wsp:val=&quot;00E0321A&quot;/&gt;&lt;wsp:rsid wsp:val=&quot;00E03563&quot;/&gt;&lt;wsp:rsid wsp:val=&quot;00E037E5&quot;/&gt;&lt;wsp:rsid wsp:val=&quot;00E0384A&quot;/&gt;&lt;wsp:rsid wsp:val=&quot;00E0397E&quot;/&gt;&lt;wsp:rsid wsp:val=&quot;00E03CB0&quot;/&gt;&lt;wsp:rsid wsp:val=&quot;00E043AD&quot;/&gt;&lt;wsp:rsid wsp:val=&quot;00E0468B&quot;/&gt;&lt;wsp:rsid wsp:val=&quot;00E04764&quot;/&gt;&lt;wsp:rsid wsp:val=&quot;00E04C8A&quot;/&gt;&lt;wsp:rsid wsp:val=&quot;00E0514D&quot;/&gt;&lt;wsp:rsid wsp:val=&quot;00E0525B&quot;/&gt;&lt;wsp:rsid wsp:val=&quot;00E0547E&quot;/&gt;&lt;wsp:rsid wsp:val=&quot;00E0548D&quot;/&gt;&lt;wsp:rsid wsp:val=&quot;00E0589C&quot;/&gt;&lt;wsp:rsid wsp:val=&quot;00E05B76&quot;/&gt;&lt;wsp:rsid wsp:val=&quot;00E05E36&quot;/&gt;&lt;wsp:rsid wsp:val=&quot;00E06078&quot;/&gt;&lt;wsp:rsid wsp:val=&quot;00E06183&quot;/&gt;&lt;wsp:rsid wsp:val=&quot;00E06199&quot;/&gt;&lt;wsp:rsid wsp:val=&quot;00E064A1&quot;/&gt;&lt;wsp:rsid wsp:val=&quot;00E064D5&quot;/&gt;&lt;wsp:rsid wsp:val=&quot;00E068E7&quot;/&gt;&lt;wsp:rsid wsp:val=&quot;00E06D23&quot;/&gt;&lt;wsp:rsid wsp:val=&quot;00E07323&quot;/&gt;&lt;wsp:rsid wsp:val=&quot;00E07CED&quot;/&gt;&lt;wsp:rsid wsp:val=&quot;00E10057&quot;/&gt;&lt;wsp:rsid wsp:val=&quot;00E1009B&quot;/&gt;&lt;wsp:rsid wsp:val=&quot;00E10270&quot;/&gt;&lt;wsp:rsid wsp:val=&quot;00E10421&quot;/&gt;&lt;wsp:rsid wsp:val=&quot;00E104FF&quot;/&gt;&lt;wsp:rsid wsp:val=&quot;00E10748&quot;/&gt;&lt;wsp:rsid wsp:val=&quot;00E10E90&quot;/&gt;&lt;wsp:rsid wsp:val=&quot;00E10F69&quot;/&gt;&lt;wsp:rsid wsp:val=&quot;00E1107E&quot;/&gt;&lt;wsp:rsid wsp:val=&quot;00E111E0&quot;/&gt;&lt;wsp:rsid wsp:val=&quot;00E11503&quot;/&gt;&lt;wsp:rsid wsp:val=&quot;00E1151C&quot;/&gt;&lt;wsp:rsid wsp:val=&quot;00E11848&quot;/&gt;&lt;wsp:rsid wsp:val=&quot;00E11B3A&quot;/&gt;&lt;wsp:rsid wsp:val=&quot;00E11E52&quot;/&gt;&lt;wsp:rsid wsp:val=&quot;00E11F1C&quot;/&gt;&lt;wsp:rsid wsp:val=&quot;00E123DD&quot;/&gt;&lt;wsp:rsid wsp:val=&quot;00E126D5&quot;/&gt;&lt;wsp:rsid wsp:val=&quot;00E12E70&quot;/&gt;&lt;wsp:rsid wsp:val=&quot;00E1397B&quot;/&gt;&lt;wsp:rsid wsp:val=&quot;00E13F67&quot;/&gt;&lt;wsp:rsid wsp:val=&quot;00E14087&quot;/&gt;&lt;wsp:rsid wsp:val=&quot;00E140B5&quot;/&gt;&lt;wsp:rsid wsp:val=&quot;00E1418D&quot;/&gt;&lt;wsp:rsid wsp:val=&quot;00E1423A&quot;/&gt;&lt;wsp:rsid wsp:val=&quot;00E1461B&quot;/&gt;&lt;wsp:rsid wsp:val=&quot;00E14BC2&quot;/&gt;&lt;wsp:rsid wsp:val=&quot;00E14C96&quot;/&gt;&lt;wsp:rsid wsp:val=&quot;00E1560A&quot;/&gt;&lt;wsp:rsid wsp:val=&quot;00E1567C&quot;/&gt;&lt;wsp:rsid wsp:val=&quot;00E15869&quot;/&gt;&lt;wsp:rsid wsp:val=&quot;00E1609B&quot;/&gt;&lt;wsp:rsid wsp:val=&quot;00E166C2&quot;/&gt;&lt;wsp:rsid wsp:val=&quot;00E1675A&quot;/&gt;&lt;wsp:rsid wsp:val=&quot;00E167F9&quot;/&gt;&lt;wsp:rsid wsp:val=&quot;00E168A2&quot;/&gt;&lt;wsp:rsid wsp:val=&quot;00E16ADA&quot;/&gt;&lt;wsp:rsid wsp:val=&quot;00E16E47&quot;/&gt;&lt;wsp:rsid wsp:val=&quot;00E2023E&quot;/&gt;&lt;wsp:rsid wsp:val=&quot;00E20289&quot;/&gt;&lt;wsp:rsid wsp:val=&quot;00E20441&quot;/&gt;&lt;wsp:rsid wsp:val=&quot;00E204BF&quot;/&gt;&lt;wsp:rsid wsp:val=&quot;00E20548&quot;/&gt;&lt;wsp:rsid wsp:val=&quot;00E20830&quot;/&gt;&lt;wsp:rsid wsp:val=&quot;00E20A15&quot;/&gt;&lt;wsp:rsid wsp:val=&quot;00E20A70&quot;/&gt;&lt;wsp:rsid wsp:val=&quot;00E20B01&quot;/&gt;&lt;wsp:rsid wsp:val=&quot;00E20E29&quot;/&gt;&lt;wsp:rsid wsp:val=&quot;00E212C2&quot;/&gt;&lt;wsp:rsid wsp:val=&quot;00E21687&quot;/&gt;&lt;wsp:rsid wsp:val=&quot;00E21A4E&quot;/&gt;&lt;wsp:rsid wsp:val=&quot;00E21CCC&quot;/&gt;&lt;wsp:rsid wsp:val=&quot;00E21F08&quot;/&gt;&lt;wsp:rsid wsp:val=&quot;00E22182&quot;/&gt;&lt;wsp:rsid wsp:val=&quot;00E221B8&quot;/&gt;&lt;wsp:rsid wsp:val=&quot;00E227E9&quot;/&gt;&lt;wsp:rsid wsp:val=&quot;00E2290E&quot;/&gt;&lt;wsp:rsid wsp:val=&quot;00E22C48&quot;/&gt;&lt;wsp:rsid wsp:val=&quot;00E22F19&quot;/&gt;&lt;wsp:rsid wsp:val=&quot;00E23299&quot;/&gt;&lt;wsp:rsid wsp:val=&quot;00E237B6&quot;/&gt;&lt;wsp:rsid wsp:val=&quot;00E238DE&quot;/&gt;&lt;wsp:rsid wsp:val=&quot;00E23CC0&quot;/&gt;&lt;wsp:rsid wsp:val=&quot;00E24A62&quot;/&gt;&lt;wsp:rsid wsp:val=&quot;00E24B9B&quot;/&gt;&lt;wsp:rsid wsp:val=&quot;00E24BEA&quot;/&gt;&lt;wsp:rsid wsp:val=&quot;00E24E54&quot;/&gt;&lt;wsp:rsid wsp:val=&quot;00E24EDA&quot;/&gt;&lt;wsp:rsid wsp:val=&quot;00E25072&quot;/&gt;&lt;wsp:rsid wsp:val=&quot;00E25593&quot;/&gt;&lt;wsp:rsid wsp:val=&quot;00E25888&quot;/&gt;&lt;wsp:rsid wsp:val=&quot;00E25E6C&quot;/&gt;&lt;wsp:rsid wsp:val=&quot;00E25E82&quot;/&gt;&lt;wsp:rsid wsp:val=&quot;00E25EB6&quot;/&gt;&lt;wsp:rsid wsp:val=&quot;00E25FFA&quot;/&gt;&lt;wsp:rsid wsp:val=&quot;00E26226&quot;/&gt;&lt;wsp:rsid wsp:val=&quot;00E264E6&quot;/&gt;&lt;wsp:rsid wsp:val=&quot;00E26C3F&quot;/&gt;&lt;wsp:rsid wsp:val=&quot;00E2702B&quot;/&gt;&lt;wsp:rsid wsp:val=&quot;00E271D3&quot;/&gt;&lt;wsp:rsid wsp:val=&quot;00E27479&quot;/&gt;&lt;wsp:rsid wsp:val=&quot;00E30596&quot;/&gt;&lt;wsp:rsid wsp:val=&quot;00E306C3&quot;/&gt;&lt;wsp:rsid wsp:val=&quot;00E307C6&quot;/&gt;&lt;wsp:rsid wsp:val=&quot;00E30AFB&quot;/&gt;&lt;wsp:rsid wsp:val=&quot;00E30BAF&quot;/&gt;&lt;wsp:rsid wsp:val=&quot;00E31856&quot;/&gt;&lt;wsp:rsid wsp:val=&quot;00E31C9C&quot;/&gt;&lt;wsp:rsid wsp:val=&quot;00E31F8E&quot;/&gt;&lt;wsp:rsid wsp:val=&quot;00E3221D&quot;/&gt;&lt;wsp:rsid wsp:val=&quot;00E326FD&quot;/&gt;&lt;wsp:rsid wsp:val=&quot;00E32CF9&quot;/&gt;&lt;wsp:rsid wsp:val=&quot;00E32FF4&quot;/&gt;&lt;wsp:rsid wsp:val=&quot;00E33143&quot;/&gt;&lt;wsp:rsid wsp:val=&quot;00E33356&quot;/&gt;&lt;wsp:rsid wsp:val=&quot;00E3397C&quot;/&gt;&lt;wsp:rsid wsp:val=&quot;00E33D42&quot;/&gt;&lt;wsp:rsid wsp:val=&quot;00E343CE&quot;/&gt;&lt;wsp:rsid wsp:val=&quot;00E344DA&quot;/&gt;&lt;wsp:rsid wsp:val=&quot;00E3491A&quot;/&gt;&lt;wsp:rsid wsp:val=&quot;00E349B8&quot;/&gt;&lt;wsp:rsid wsp:val=&quot;00E34CA7&quot;/&gt;&lt;wsp:rsid wsp:val=&quot;00E352F7&quot;/&gt;&lt;wsp:rsid wsp:val=&quot;00E353D9&quot;/&gt;&lt;wsp:rsid wsp:val=&quot;00E35D66&quot;/&gt;&lt;wsp:rsid wsp:val=&quot;00E35E4B&quot;/&gt;&lt;wsp:rsid wsp:val=&quot;00E360FF&quot;/&gt;&lt;wsp:rsid wsp:val=&quot;00E3611C&quot;/&gt;&lt;wsp:rsid wsp:val=&quot;00E36230&quot;/&gt;&lt;wsp:rsid wsp:val=&quot;00E3631E&quot;/&gt;&lt;wsp:rsid wsp:val=&quot;00E368E4&quot;/&gt;&lt;wsp:rsid wsp:val=&quot;00E36976&quot;/&gt;&lt;wsp:rsid wsp:val=&quot;00E36BAA&quot;/&gt;&lt;wsp:rsid wsp:val=&quot;00E36CFB&quot;/&gt;&lt;wsp:rsid wsp:val=&quot;00E36D5C&quot;/&gt;&lt;wsp:rsid wsp:val=&quot;00E3715C&quot;/&gt;&lt;wsp:rsid wsp:val=&quot;00E37189&quot;/&gt;&lt;wsp:rsid wsp:val=&quot;00E371DE&quot;/&gt;&lt;wsp:rsid wsp:val=&quot;00E375F3&quot;/&gt;&lt;wsp:rsid wsp:val=&quot;00E376AB&quot;/&gt;&lt;wsp:rsid wsp:val=&quot;00E379D1&quot;/&gt;&lt;wsp:rsid wsp:val=&quot;00E37EC0&quot;/&gt;&lt;wsp:rsid wsp:val=&quot;00E408A8&quot;/&gt;&lt;wsp:rsid wsp:val=&quot;00E40E8C&quot;/&gt;&lt;wsp:rsid wsp:val=&quot;00E41B1C&quot;/&gt;&lt;wsp:rsid wsp:val=&quot;00E41C61&quot;/&gt;&lt;wsp:rsid wsp:val=&quot;00E41C86&quot;/&gt;&lt;wsp:rsid wsp:val=&quot;00E42244&quot;/&gt;&lt;wsp:rsid wsp:val=&quot;00E4230D&quot;/&gt;&lt;wsp:rsid wsp:val=&quot;00E42425&quot;/&gt;&lt;wsp:rsid wsp:val=&quot;00E4251A&quot;/&gt;&lt;wsp:rsid wsp:val=&quot;00E42B3F&quot;/&gt;&lt;wsp:rsid wsp:val=&quot;00E42F92&quot;/&gt;&lt;wsp:rsid wsp:val=&quot;00E4306E&quot;/&gt;&lt;wsp:rsid wsp:val=&quot;00E43143&quot;/&gt;&lt;wsp:rsid wsp:val=&quot;00E4319B&quot;/&gt;&lt;wsp:rsid wsp:val=&quot;00E431C0&quot;/&gt;&lt;wsp:rsid wsp:val=&quot;00E435DB&quot;/&gt;&lt;wsp:rsid wsp:val=&quot;00E438F3&quot;/&gt;&lt;wsp:rsid wsp:val=&quot;00E43E10&quot;/&gt;&lt;wsp:rsid wsp:val=&quot;00E44403&quot;/&gt;&lt;wsp:rsid wsp:val=&quot;00E4459E&quot;/&gt;&lt;wsp:rsid wsp:val=&quot;00E44B2F&quot;/&gt;&lt;wsp:rsid wsp:val=&quot;00E44BB0&quot;/&gt;&lt;wsp:rsid wsp:val=&quot;00E44BD4&quot;/&gt;&lt;wsp:rsid wsp:val=&quot;00E44E92&quot;/&gt;&lt;wsp:rsid wsp:val=&quot;00E44F03&quot;/&gt;&lt;wsp:rsid wsp:val=&quot;00E4550C&quot;/&gt;&lt;wsp:rsid wsp:val=&quot;00E455FF&quot;/&gt;&lt;wsp:rsid wsp:val=&quot;00E45677&quot;/&gt;&lt;wsp:rsid wsp:val=&quot;00E4598D&quot;/&gt;&lt;wsp:rsid wsp:val=&quot;00E45A35&quot;/&gt;&lt;wsp:rsid wsp:val=&quot;00E45E51&quot;/&gt;&lt;wsp:rsid wsp:val=&quot;00E46055&quot;/&gt;&lt;wsp:rsid wsp:val=&quot;00E46079&quot;/&gt;&lt;wsp:rsid wsp:val=&quot;00E46636&quot;/&gt;&lt;wsp:rsid wsp:val=&quot;00E467B0&quot;/&gt;&lt;wsp:rsid wsp:val=&quot;00E46983&quot;/&gt;&lt;wsp:rsid wsp:val=&quot;00E47160&quot;/&gt;&lt;wsp:rsid wsp:val=&quot;00E47596&quot;/&gt;&lt;wsp:rsid wsp:val=&quot;00E4778B&quot;/&gt;&lt;wsp:rsid wsp:val=&quot;00E47A0A&quot;/&gt;&lt;wsp:rsid wsp:val=&quot;00E5045D&quot;/&gt;&lt;wsp:rsid wsp:val=&quot;00E5056B&quot;/&gt;&lt;wsp:rsid wsp:val=&quot;00E50844&quot;/&gt;&lt;wsp:rsid wsp:val=&quot;00E50CB4&quot;/&gt;&lt;wsp:rsid wsp:val=&quot;00E50F14&quot;/&gt;&lt;wsp:rsid wsp:val=&quot;00E5122B&quot;/&gt;&lt;wsp:rsid wsp:val=&quot;00E5129B&quot;/&gt;&lt;wsp:rsid wsp:val=&quot;00E513EC&quot;/&gt;&lt;wsp:rsid wsp:val=&quot;00E51579&quot;/&gt;&lt;wsp:rsid wsp:val=&quot;00E51952&quot;/&gt;&lt;wsp:rsid wsp:val=&quot;00E51B97&quot;/&gt;&lt;wsp:rsid wsp:val=&quot;00E51E7C&quot;/&gt;&lt;wsp:rsid wsp:val=&quot;00E51FD7&quot;/&gt;&lt;wsp:rsid wsp:val=&quot;00E5213D&quot;/&gt;&lt;wsp:rsid wsp:val=&quot;00E5219B&quot;/&gt;&lt;wsp:rsid wsp:val=&quot;00E521BE&quot;/&gt;&lt;wsp:rsid wsp:val=&quot;00E52552&quot;/&gt;&lt;wsp:rsid wsp:val=&quot;00E52B77&quot;/&gt;&lt;wsp:rsid wsp:val=&quot;00E52F14&quot;/&gt;&lt;wsp:rsid wsp:val=&quot;00E5310C&quot;/&gt;&lt;wsp:rsid wsp:val=&quot;00E53438&quot;/&gt;&lt;wsp:rsid wsp:val=&quot;00E54149&quot;/&gt;&lt;wsp:rsid wsp:val=&quot;00E546C4&quot;/&gt;&lt;wsp:rsid wsp:val=&quot;00E548E2&quot;/&gt;&lt;wsp:rsid wsp:val=&quot;00E54DE3&quot;/&gt;&lt;wsp:rsid wsp:val=&quot;00E54F4D&quot;/&gt;&lt;wsp:rsid wsp:val=&quot;00E55287&quot;/&gt;&lt;wsp:rsid wsp:val=&quot;00E55299&quot;/&gt;&lt;wsp:rsid wsp:val=&quot;00E55714&quot;/&gt;&lt;wsp:rsid wsp:val=&quot;00E55985&quot;/&gt;&lt;wsp:rsid wsp:val=&quot;00E55B0C&quot;/&gt;&lt;wsp:rsid wsp:val=&quot;00E55F2F&quot;/&gt;&lt;wsp:rsid wsp:val=&quot;00E560A8&quot;/&gt;&lt;wsp:rsid wsp:val=&quot;00E56390&quot;/&gt;&lt;wsp:rsid wsp:val=&quot;00E56D0D&quot;/&gt;&lt;wsp:rsid wsp:val=&quot;00E572E9&quot;/&gt;&lt;wsp:rsid wsp:val=&quot;00E574AC&quot;/&gt;&lt;wsp:rsid wsp:val=&quot;00E57956&quot;/&gt;&lt;wsp:rsid wsp:val=&quot;00E57C5D&quot;/&gt;&lt;wsp:rsid wsp:val=&quot;00E6016A&quot;/&gt;&lt;wsp:rsid wsp:val=&quot;00E605E6&quot;/&gt;&lt;wsp:rsid wsp:val=&quot;00E60873&quot;/&gt;&lt;wsp:rsid wsp:val=&quot;00E6090C&quot;/&gt;&lt;wsp:rsid wsp:val=&quot;00E609AB&quot;/&gt;&lt;wsp:rsid wsp:val=&quot;00E60BB3&quot;/&gt;&lt;wsp:rsid wsp:val=&quot;00E6105C&quot;/&gt;&lt;wsp:rsid wsp:val=&quot;00E61077&quot;/&gt;&lt;wsp:rsid wsp:val=&quot;00E6123A&quot;/&gt;&lt;wsp:rsid wsp:val=&quot;00E6126C&quot;/&gt;&lt;wsp:rsid wsp:val=&quot;00E614BD&quot;/&gt;&lt;wsp:rsid wsp:val=&quot;00E61CE1&quot;/&gt;&lt;wsp:rsid wsp:val=&quot;00E61EF0&quot;/&gt;&lt;wsp:rsid wsp:val=&quot;00E61F27&quot;/&gt;&lt;wsp:rsid wsp:val=&quot;00E624E9&quot;/&gt;&lt;wsp:rsid wsp:val=&quot;00E6252C&quot;/&gt;&lt;wsp:rsid wsp:val=&quot;00E62570&quot;/&gt;&lt;wsp:rsid wsp:val=&quot;00E629E2&quot;/&gt;&lt;wsp:rsid wsp:val=&quot;00E63481&quot;/&gt;&lt;wsp:rsid wsp:val=&quot;00E63590&quot;/&gt;&lt;wsp:rsid wsp:val=&quot;00E63907&quot;/&gt;&lt;wsp:rsid wsp:val=&quot;00E63A14&quot;/&gt;&lt;wsp:rsid wsp:val=&quot;00E63A34&quot;/&gt;&lt;wsp:rsid wsp:val=&quot;00E63B2E&quot;/&gt;&lt;wsp:rsid wsp:val=&quot;00E646AD&quot;/&gt;&lt;wsp:rsid wsp:val=&quot;00E6471A&quot;/&gt;&lt;wsp:rsid wsp:val=&quot;00E64A13&quot;/&gt;&lt;wsp:rsid wsp:val=&quot;00E64A84&quot;/&gt;&lt;wsp:rsid wsp:val=&quot;00E64B4F&quot;/&gt;&lt;wsp:rsid wsp:val=&quot;00E64D9B&quot;/&gt;&lt;wsp:rsid wsp:val=&quot;00E64F93&quot;/&gt;&lt;wsp:rsid wsp:val=&quot;00E651D6&quot;/&gt;&lt;wsp:rsid wsp:val=&quot;00E654FC&quot;/&gt;&lt;wsp:rsid wsp:val=&quot;00E65612&quot;/&gt;&lt;wsp:rsid wsp:val=&quot;00E65743&quot;/&gt;&lt;wsp:rsid wsp:val=&quot;00E6581C&quot;/&gt;&lt;wsp:rsid wsp:val=&quot;00E65BBB&quot;/&gt;&lt;wsp:rsid wsp:val=&quot;00E65C3D&quot;/&gt;&lt;wsp:rsid wsp:val=&quot;00E6616C&quot;/&gt;&lt;wsp:rsid wsp:val=&quot;00E6643A&quot;/&gt;&lt;wsp:rsid wsp:val=&quot;00E66695&quot;/&gt;&lt;wsp:rsid wsp:val=&quot;00E66A8E&quot;/&gt;&lt;wsp:rsid wsp:val=&quot;00E66B7D&quot;/&gt;&lt;wsp:rsid wsp:val=&quot;00E66D4C&quot;/&gt;&lt;wsp:rsid wsp:val=&quot;00E66D4D&quot;/&gt;&lt;wsp:rsid wsp:val=&quot;00E66E8A&quot;/&gt;&lt;wsp:rsid wsp:val=&quot;00E6750E&quot;/&gt;&lt;wsp:rsid wsp:val=&quot;00E6759D&quot;/&gt;&lt;wsp:rsid wsp:val=&quot;00E6772B&quot;/&gt;&lt;wsp:rsid wsp:val=&quot;00E678F9&quot;/&gt;&lt;wsp:rsid wsp:val=&quot;00E67B4B&quot;/&gt;&lt;wsp:rsid wsp:val=&quot;00E7000C&quot;/&gt;&lt;wsp:rsid wsp:val=&quot;00E706FA&quot;/&gt;&lt;wsp:rsid wsp:val=&quot;00E707F8&quot;/&gt;&lt;wsp:rsid wsp:val=&quot;00E713E0&quot;/&gt;&lt;wsp:rsid wsp:val=&quot;00E7152F&quot;/&gt;&lt;wsp:rsid wsp:val=&quot;00E71D13&quot;/&gt;&lt;wsp:rsid wsp:val=&quot;00E71EA7&quot;/&gt;&lt;wsp:rsid wsp:val=&quot;00E7208C&quot;/&gt;&lt;wsp:rsid wsp:val=&quot;00E721CE&quot;/&gt;&lt;wsp:rsid wsp:val=&quot;00E7293A&quot;/&gt;&lt;wsp:rsid wsp:val=&quot;00E72DDA&quot;/&gt;&lt;wsp:rsid wsp:val=&quot;00E72F61&quot;/&gt;&lt;wsp:rsid wsp:val=&quot;00E73885&quot;/&gt;&lt;wsp:rsid wsp:val=&quot;00E73CA7&quot;/&gt;&lt;wsp:rsid wsp:val=&quot;00E742D9&quot;/&gt;&lt;wsp:rsid wsp:val=&quot;00E74854&quot;/&gt;&lt;wsp:rsid wsp:val=&quot;00E748FD&quot;/&gt;&lt;wsp:rsid wsp:val=&quot;00E74DF5&quot;/&gt;&lt;wsp:rsid wsp:val=&quot;00E74ECB&quot;/&gt;&lt;wsp:rsid wsp:val=&quot;00E75347&quot;/&gt;&lt;wsp:rsid wsp:val=&quot;00E75766&quot;/&gt;&lt;wsp:rsid wsp:val=&quot;00E75AF9&quot;/&gt;&lt;wsp:rsid wsp:val=&quot;00E75B4C&quot;/&gt;&lt;wsp:rsid wsp:val=&quot;00E75BC5&quot;/&gt;&lt;wsp:rsid wsp:val=&quot;00E75C95&quot;/&gt;&lt;wsp:rsid wsp:val=&quot;00E76086&quot;/&gt;&lt;wsp:rsid wsp:val=&quot;00E763C9&quot;/&gt;&lt;wsp:rsid wsp:val=&quot;00E76AB5&quot;/&gt;&lt;wsp:rsid wsp:val=&quot;00E76BB2&quot;/&gt;&lt;wsp:rsid wsp:val=&quot;00E76E06&quot;/&gt;&lt;wsp:rsid wsp:val=&quot;00E775A5&quot;/&gt;&lt;wsp:rsid wsp:val=&quot;00E77BBA&quot;/&gt;&lt;wsp:rsid wsp:val=&quot;00E77D22&quot;/&gt;&lt;wsp:rsid wsp:val=&quot;00E77F4D&quot;/&gt;&lt;wsp:rsid wsp:val=&quot;00E8009A&quot;/&gt;&lt;wsp:rsid wsp:val=&quot;00E8096C&quot;/&gt;&lt;wsp:rsid wsp:val=&quot;00E814AB&quot;/&gt;&lt;wsp:rsid wsp:val=&quot;00E81E23&quot;/&gt;&lt;wsp:rsid wsp:val=&quot;00E81EE8&quot;/&gt;&lt;wsp:rsid wsp:val=&quot;00E821AE&quot;/&gt;&lt;wsp:rsid wsp:val=&quot;00E82D72&quot;/&gt;&lt;wsp:rsid wsp:val=&quot;00E832EF&quot;/&gt;&lt;wsp:rsid wsp:val=&quot;00E8379A&quot;/&gt;&lt;wsp:rsid wsp:val=&quot;00E83D45&quot;/&gt;&lt;wsp:rsid wsp:val=&quot;00E842A7&quot;/&gt;&lt;wsp:rsid wsp:val=&quot;00E84ACA&quot;/&gt;&lt;wsp:rsid wsp:val=&quot;00E84CA0&quot;/&gt;&lt;wsp:rsid wsp:val=&quot;00E84CA5&quot;/&gt;&lt;wsp:rsid wsp:val=&quot;00E851D6&quot;/&gt;&lt;wsp:rsid wsp:val=&quot;00E85474&quot;/&gt;&lt;wsp:rsid wsp:val=&quot;00E857D7&quot;/&gt;&lt;wsp:rsid wsp:val=&quot;00E85B41&quot;/&gt;&lt;wsp:rsid wsp:val=&quot;00E85F55&quot;/&gt;&lt;wsp:rsid wsp:val=&quot;00E85FC7&quot;/&gt;&lt;wsp:rsid wsp:val=&quot;00E86086&quot;/&gt;&lt;wsp:rsid wsp:val=&quot;00E86E29&quot;/&gt;&lt;wsp:rsid wsp:val=&quot;00E8751B&quot;/&gt;&lt;wsp:rsid wsp:val=&quot;00E87611&quot;/&gt;&lt;wsp:rsid wsp:val=&quot;00E87F79&quot;/&gt;&lt;wsp:rsid wsp:val=&quot;00E904CE&quot;/&gt;&lt;wsp:rsid wsp:val=&quot;00E90538&quot;/&gt;&lt;wsp:rsid wsp:val=&quot;00E90753&quot;/&gt;&lt;wsp:rsid wsp:val=&quot;00E91093&quot;/&gt;&lt;wsp:rsid wsp:val=&quot;00E910EC&quot;/&gt;&lt;wsp:rsid wsp:val=&quot;00E91341&quot;/&gt;&lt;wsp:rsid wsp:val=&quot;00E91899&quot;/&gt;&lt;wsp:rsid wsp:val=&quot;00E9205E&quot;/&gt;&lt;wsp:rsid wsp:val=&quot;00E921A2&quot;/&gt;&lt;wsp:rsid wsp:val=&quot;00E924FF&quot;/&gt;&lt;wsp:rsid wsp:val=&quot;00E932F1&quot;/&gt;&lt;wsp:rsid wsp:val=&quot;00E939CA&quot;/&gt;&lt;wsp:rsid wsp:val=&quot;00E93C91&quot;/&gt;&lt;wsp:rsid wsp:val=&quot;00E93F4B&quot;/&gt;&lt;wsp:rsid wsp:val=&quot;00E941EC&quot;/&gt;&lt;wsp:rsid wsp:val=&quot;00E94910&quot;/&gt;&lt;wsp:rsid wsp:val=&quot;00E94B53&quot;/&gt;&lt;wsp:rsid wsp:val=&quot;00E94DCE&quot;/&gt;&lt;wsp:rsid wsp:val=&quot;00E94DFA&quot;/&gt;&lt;wsp:rsid wsp:val=&quot;00E94E86&quot;/&gt;&lt;wsp:rsid wsp:val=&quot;00E9518C&quot;/&gt;&lt;wsp:rsid wsp:val=&quot;00E951C0&quot;/&gt;&lt;wsp:rsid wsp:val=&quot;00E952A0&quot;/&gt;&lt;wsp:rsid wsp:val=&quot;00E95571&quot;/&gt;&lt;wsp:rsid wsp:val=&quot;00E955EA&quot;/&gt;&lt;wsp:rsid wsp:val=&quot;00E960BD&quot;/&gt;&lt;wsp:rsid wsp:val=&quot;00E964D1&quot;/&gt;&lt;wsp:rsid wsp:val=&quot;00E96552&quot;/&gt;&lt;wsp:rsid wsp:val=&quot;00E96B7A&quot;/&gt;&lt;wsp:rsid wsp:val=&quot;00E96F4E&quot;/&gt;&lt;wsp:rsid wsp:val=&quot;00E97B42&quot;/&gt;&lt;wsp:rsid wsp:val=&quot;00E97EB7&quot;/&gt;&lt;wsp:rsid wsp:val=&quot;00EA008A&quot;/&gt;&lt;wsp:rsid wsp:val=&quot;00EA0622&quot;/&gt;&lt;wsp:rsid wsp:val=&quot;00EA0A20&quot;/&gt;&lt;wsp:rsid wsp:val=&quot;00EA0A62&quot;/&gt;&lt;wsp:rsid wsp:val=&quot;00EA0A7C&quot;/&gt;&lt;wsp:rsid wsp:val=&quot;00EA0C0E&quot;/&gt;&lt;wsp:rsid wsp:val=&quot;00EA0FB2&quot;/&gt;&lt;wsp:rsid wsp:val=&quot;00EA11C8&quot;/&gt;&lt;wsp:rsid wsp:val=&quot;00EA1508&quot;/&gt;&lt;wsp:rsid wsp:val=&quot;00EA16F8&quot;/&gt;&lt;wsp:rsid wsp:val=&quot;00EA1920&quot;/&gt;&lt;wsp:rsid wsp:val=&quot;00EA1B80&quot;/&gt;&lt;wsp:rsid wsp:val=&quot;00EA1CCE&quot;/&gt;&lt;wsp:rsid wsp:val=&quot;00EA1D6D&quot;/&gt;&lt;wsp:rsid wsp:val=&quot;00EA1DB9&quot;/&gt;&lt;wsp:rsid wsp:val=&quot;00EA2EED&quot;/&gt;&lt;wsp:rsid wsp:val=&quot;00EA3084&quot;/&gt;&lt;wsp:rsid wsp:val=&quot;00EA3C9C&quot;/&gt;&lt;wsp:rsid wsp:val=&quot;00EA3EAD&quot;/&gt;&lt;wsp:rsid wsp:val=&quot;00EA3ECD&quot;/&gt;&lt;wsp:rsid wsp:val=&quot;00EA46CB&quot;/&gt;&lt;wsp:rsid wsp:val=&quot;00EA4758&quot;/&gt;&lt;wsp:rsid wsp:val=&quot;00EA47F2&quot;/&gt;&lt;wsp:rsid wsp:val=&quot;00EA4A67&quot;/&gt;&lt;wsp:rsid wsp:val=&quot;00EA4D1B&quot;/&gt;&lt;wsp:rsid wsp:val=&quot;00EA4F72&quot;/&gt;&lt;wsp:rsid wsp:val=&quot;00EA53C1&quot;/&gt;&lt;wsp:rsid wsp:val=&quot;00EA57CD&quot;/&gt;&lt;wsp:rsid wsp:val=&quot;00EA5AB4&quot;/&gt;&lt;wsp:rsid wsp:val=&quot;00EA5B0F&quot;/&gt;&lt;wsp:rsid wsp:val=&quot;00EA6801&quot;/&gt;&lt;wsp:rsid wsp:val=&quot;00EA682A&quot;/&gt;&lt;wsp:rsid wsp:val=&quot;00EA72CD&quot;/&gt;&lt;wsp:rsid wsp:val=&quot;00EA740E&quot;/&gt;&lt;wsp:rsid wsp:val=&quot;00EA7C1D&quot;/&gt;&lt;wsp:rsid wsp:val=&quot;00EA7E2B&quot;/&gt;&lt;wsp:rsid wsp:val=&quot;00EB0220&quot;/&gt;&lt;wsp:rsid wsp:val=&quot;00EB03FF&quot;/&gt;&lt;wsp:rsid wsp:val=&quot;00EB048D&quot;/&gt;&lt;wsp:rsid wsp:val=&quot;00EB051C&quot;/&gt;&lt;wsp:rsid wsp:val=&quot;00EB13F2&quot;/&gt;&lt;wsp:rsid wsp:val=&quot;00EB1444&quot;/&gt;&lt;wsp:rsid wsp:val=&quot;00EB1A6B&quot;/&gt;&lt;wsp:rsid wsp:val=&quot;00EB2F23&quot;/&gt;&lt;wsp:rsid wsp:val=&quot;00EB3208&quot;/&gt;&lt;wsp:rsid wsp:val=&quot;00EB3D15&quot;/&gt;&lt;wsp:rsid wsp:val=&quot;00EB3D97&quot;/&gt;&lt;wsp:rsid wsp:val=&quot;00EB42BA&quot;/&gt;&lt;wsp:rsid wsp:val=&quot;00EB434F&quot;/&gt;&lt;wsp:rsid wsp:val=&quot;00EB43DE&quot;/&gt;&lt;wsp:rsid wsp:val=&quot;00EB46C9&quot;/&gt;&lt;wsp:rsid wsp:val=&quot;00EB55FB&quot;/&gt;&lt;wsp:rsid wsp:val=&quot;00EB5B27&quot;/&gt;&lt;wsp:rsid wsp:val=&quot;00EB5CD1&quot;/&gt;&lt;wsp:rsid wsp:val=&quot;00EB5EE6&quot;/&gt;&lt;wsp:rsid wsp:val=&quot;00EB6FD3&quot;/&gt;&lt;wsp:rsid wsp:val=&quot;00EB7AC5&quot;/&gt;&lt;wsp:rsid wsp:val=&quot;00EC03A0&quot;/&gt;&lt;wsp:rsid wsp:val=&quot;00EC042C&quot;/&gt;&lt;wsp:rsid wsp:val=&quot;00EC05FB&quot;/&gt;&lt;wsp:rsid wsp:val=&quot;00EC09D2&quot;/&gt;&lt;wsp:rsid wsp:val=&quot;00EC0BB0&quot;/&gt;&lt;wsp:rsid wsp:val=&quot;00EC0D7E&quot;/&gt;&lt;wsp:rsid wsp:val=&quot;00EC0F4A&quot;/&gt;&lt;wsp:rsid wsp:val=&quot;00EC166D&quot;/&gt;&lt;wsp:rsid wsp:val=&quot;00EC1C8B&quot;/&gt;&lt;wsp:rsid wsp:val=&quot;00EC2080&quot;/&gt;&lt;wsp:rsid wsp:val=&quot;00EC209C&quot;/&gt;&lt;wsp:rsid wsp:val=&quot;00EC20D6&quot;/&gt;&lt;wsp:rsid wsp:val=&quot;00EC226E&quot;/&gt;&lt;wsp:rsid wsp:val=&quot;00EC2273&quot;/&gt;&lt;wsp:rsid wsp:val=&quot;00EC24D4&quot;/&gt;&lt;wsp:rsid wsp:val=&quot;00EC254D&quot;/&gt;&lt;wsp:rsid wsp:val=&quot;00EC25D1&quot;/&gt;&lt;wsp:rsid wsp:val=&quot;00EC26F3&quot;/&gt;&lt;wsp:rsid wsp:val=&quot;00EC28C1&quot;/&gt;&lt;wsp:rsid wsp:val=&quot;00EC2B08&quot;/&gt;&lt;wsp:rsid wsp:val=&quot;00EC2B9B&quot;/&gt;&lt;wsp:rsid wsp:val=&quot;00EC2D59&quot;/&gt;&lt;wsp:rsid wsp:val=&quot;00EC2FC8&quot;/&gt;&lt;wsp:rsid wsp:val=&quot;00EC2FF7&quot;/&gt;&lt;wsp:rsid wsp:val=&quot;00EC35E1&quot;/&gt;&lt;wsp:rsid wsp:val=&quot;00EC3CA8&quot;/&gt;&lt;wsp:rsid wsp:val=&quot;00EC3CC4&quot;/&gt;&lt;wsp:rsid wsp:val=&quot;00EC3EC4&quot;/&gt;&lt;wsp:rsid wsp:val=&quot;00EC41DD&quot;/&gt;&lt;wsp:rsid wsp:val=&quot;00EC4332&quot;/&gt;&lt;wsp:rsid wsp:val=&quot;00EC43A5&quot;/&gt;&lt;wsp:rsid wsp:val=&quot;00EC43C6&quot;/&gt;&lt;wsp:rsid wsp:val=&quot;00EC453F&quot;/&gt;&lt;wsp:rsid wsp:val=&quot;00EC4945&quot;/&gt;&lt;wsp:rsid wsp:val=&quot;00EC4BB0&quot;/&gt;&lt;wsp:rsid wsp:val=&quot;00EC4C52&quot;/&gt;&lt;wsp:rsid wsp:val=&quot;00EC4D27&quot;/&gt;&lt;wsp:rsid wsp:val=&quot;00EC4F43&quot;/&gt;&lt;wsp:rsid wsp:val=&quot;00EC5044&quot;/&gt;&lt;wsp:rsid wsp:val=&quot;00EC5293&quot;/&gt;&lt;wsp:rsid wsp:val=&quot;00EC52D4&quot;/&gt;&lt;wsp:rsid wsp:val=&quot;00EC53D6&quot;/&gt;&lt;wsp:rsid wsp:val=&quot;00EC5570&quot;/&gt;&lt;wsp:rsid wsp:val=&quot;00EC5578&quot;/&gt;&lt;wsp:rsid wsp:val=&quot;00EC56B2&quot;/&gt;&lt;wsp:rsid wsp:val=&quot;00EC61BB&quot;/&gt;&lt;wsp:rsid wsp:val=&quot;00EC63AA&quot;/&gt;&lt;wsp:rsid wsp:val=&quot;00EC6858&quot;/&gt;&lt;wsp:rsid wsp:val=&quot;00EC7E56&quot;/&gt;&lt;wsp:rsid wsp:val=&quot;00ED047E&quot;/&gt;&lt;wsp:rsid wsp:val=&quot;00ED0561&quot;/&gt;&lt;wsp:rsid wsp:val=&quot;00ED0BA1&quot;/&gt;&lt;wsp:rsid wsp:val=&quot;00ED0BD8&quot;/&gt;&lt;wsp:rsid wsp:val=&quot;00ED1468&quot;/&gt;&lt;wsp:rsid wsp:val=&quot;00ED166F&quot;/&gt;&lt;wsp:rsid wsp:val=&quot;00ED17B3&quot;/&gt;&lt;wsp:rsid wsp:val=&quot;00ED1C2A&quot;/&gt;&lt;wsp:rsid wsp:val=&quot;00ED21DA&quot;/&gt;&lt;wsp:rsid wsp:val=&quot;00ED2269&quot;/&gt;&lt;wsp:rsid wsp:val=&quot;00ED2590&quot;/&gt;&lt;wsp:rsid wsp:val=&quot;00ED2734&quot;/&gt;&lt;wsp:rsid wsp:val=&quot;00ED2921&quot;/&gt;&lt;wsp:rsid wsp:val=&quot;00ED3167&quot;/&gt;&lt;wsp:rsid wsp:val=&quot;00ED35D4&quot;/&gt;&lt;wsp:rsid wsp:val=&quot;00ED3625&quot;/&gt;&lt;wsp:rsid wsp:val=&quot;00ED3641&quot;/&gt;&lt;wsp:rsid wsp:val=&quot;00ED3669&quot;/&gt;&lt;wsp:rsid wsp:val=&quot;00ED3815&quot;/&gt;&lt;wsp:rsid wsp:val=&quot;00ED3855&quot;/&gt;&lt;wsp:rsid wsp:val=&quot;00ED3DD5&quot;/&gt;&lt;wsp:rsid wsp:val=&quot;00ED4170&quot;/&gt;&lt;wsp:rsid wsp:val=&quot;00ED4A85&quot;/&gt;&lt;wsp:rsid wsp:val=&quot;00ED4C0F&quot;/&gt;&lt;wsp:rsid wsp:val=&quot;00ED4DF4&quot;/&gt;&lt;wsp:rsid wsp:val=&quot;00ED51D0&quot;/&gt;&lt;wsp:rsid wsp:val=&quot;00ED52CD&quot;/&gt;&lt;wsp:rsid wsp:val=&quot;00ED6325&quot;/&gt;&lt;wsp:rsid wsp:val=&quot;00ED6DD9&quot;/&gt;&lt;wsp:rsid wsp:val=&quot;00ED6DFA&quot;/&gt;&lt;wsp:rsid wsp:val=&quot;00ED7202&quot;/&gt;&lt;wsp:rsid wsp:val=&quot;00ED7278&quot;/&gt;&lt;wsp:rsid wsp:val=&quot;00ED77C7&quot;/&gt;&lt;wsp:rsid wsp:val=&quot;00ED79A5&quot;/&gt;&lt;wsp:rsid wsp:val=&quot;00ED79B9&quot;/&gt;&lt;wsp:rsid wsp:val=&quot;00ED7CE8&quot;/&gt;&lt;wsp:rsid wsp:val=&quot;00EE0012&quot;/&gt;&lt;wsp:rsid wsp:val=&quot;00EE0289&quot;/&gt;&lt;wsp:rsid wsp:val=&quot;00EE0771&quot;/&gt;&lt;wsp:rsid wsp:val=&quot;00EE0B99&quot;/&gt;&lt;wsp:rsid wsp:val=&quot;00EE1305&quot;/&gt;&lt;wsp:rsid wsp:val=&quot;00EE1534&quot;/&gt;&lt;wsp:rsid wsp:val=&quot;00EE170F&quot;/&gt;&lt;wsp:rsid wsp:val=&quot;00EE22B5&quot;/&gt;&lt;wsp:rsid wsp:val=&quot;00EE2F95&quot;/&gt;&lt;wsp:rsid wsp:val=&quot;00EE42B5&quot;/&gt;&lt;wsp:rsid wsp:val=&quot;00EE4B84&quot;/&gt;&lt;wsp:rsid wsp:val=&quot;00EE5377&quot;/&gt;&lt;wsp:rsid wsp:val=&quot;00EE54C8&quot;/&gt;&lt;wsp:rsid wsp:val=&quot;00EE560E&quot;/&gt;&lt;wsp:rsid wsp:val=&quot;00EE57F7&quot;/&gt;&lt;wsp:rsid wsp:val=&quot;00EE5ADB&quot;/&gt;&lt;wsp:rsid wsp:val=&quot;00EE5B70&quot;/&gt;&lt;wsp:rsid wsp:val=&quot;00EE5CA9&quot;/&gt;&lt;wsp:rsid wsp:val=&quot;00EE5D08&quot;/&gt;&lt;wsp:rsid wsp:val=&quot;00EE5E7A&quot;/&gt;&lt;wsp:rsid wsp:val=&quot;00EE6247&quot;/&gt;&lt;wsp:rsid wsp:val=&quot;00EE66E8&quot;/&gt;&lt;wsp:rsid wsp:val=&quot;00EE6794&quot;/&gt;&lt;wsp:rsid wsp:val=&quot;00EE6F09&quot;/&gt;&lt;wsp:rsid wsp:val=&quot;00EE703F&quot;/&gt;&lt;wsp:rsid wsp:val=&quot;00EE769A&quot;/&gt;&lt;wsp:rsid wsp:val=&quot;00EE7A07&quot;/&gt;&lt;wsp:rsid wsp:val=&quot;00EE7A8A&quot;/&gt;&lt;wsp:rsid wsp:val=&quot;00EE7B58&quot;/&gt;&lt;wsp:rsid wsp:val=&quot;00EE7C58&quot;/&gt;&lt;wsp:rsid wsp:val=&quot;00EE7D33&quot;/&gt;&lt;wsp:rsid wsp:val=&quot;00EF009B&quot;/&gt;&lt;wsp:rsid wsp:val=&quot;00EF05CB&quot;/&gt;&lt;wsp:rsid wsp:val=&quot;00EF0A27&quot;/&gt;&lt;wsp:rsid wsp:val=&quot;00EF0C5F&quot;/&gt;&lt;wsp:rsid wsp:val=&quot;00EF12B0&quot;/&gt;&lt;wsp:rsid wsp:val=&quot;00EF1519&quot;/&gt;&lt;wsp:rsid wsp:val=&quot;00EF1B12&quot;/&gt;&lt;wsp:rsid wsp:val=&quot;00EF22E0&quot;/&gt;&lt;wsp:rsid wsp:val=&quot;00EF2300&quot;/&gt;&lt;wsp:rsid wsp:val=&quot;00EF234D&quot;/&gt;&lt;wsp:rsid wsp:val=&quot;00EF2557&quot;/&gt;&lt;wsp:rsid wsp:val=&quot;00EF2C3F&quot;/&gt;&lt;wsp:rsid wsp:val=&quot;00EF30CB&quot;/&gt;&lt;wsp:rsid wsp:val=&quot;00EF3151&quot;/&gt;&lt;wsp:rsid wsp:val=&quot;00EF3173&quot;/&gt;&lt;wsp:rsid wsp:val=&quot;00EF331D&quot;/&gt;&lt;wsp:rsid wsp:val=&quot;00EF3355&quot;/&gt;&lt;wsp:rsid wsp:val=&quot;00EF3521&quot;/&gt;&lt;wsp:rsid wsp:val=&quot;00EF3AD9&quot;/&gt;&lt;wsp:rsid wsp:val=&quot;00EF3CC0&quot;/&gt;&lt;wsp:rsid wsp:val=&quot;00EF3D69&quot;/&gt;&lt;wsp:rsid wsp:val=&quot;00EF3E7F&quot;/&gt;&lt;wsp:rsid wsp:val=&quot;00EF3EE3&quot;/&gt;&lt;wsp:rsid wsp:val=&quot;00EF40AE&quot;/&gt;&lt;wsp:rsid wsp:val=&quot;00EF4228&quot;/&gt;&lt;wsp:rsid wsp:val=&quot;00EF4415&quot;/&gt;&lt;wsp:rsid wsp:val=&quot;00EF4AD3&quot;/&gt;&lt;wsp:rsid wsp:val=&quot;00EF4C3A&quot;/&gt;&lt;wsp:rsid wsp:val=&quot;00EF5180&quot;/&gt;&lt;wsp:rsid wsp:val=&quot;00EF5299&quot;/&gt;&lt;wsp:rsid wsp:val=&quot;00EF541D&quot;/&gt;&lt;wsp:rsid wsp:val=&quot;00EF5422&quot;/&gt;&lt;wsp:rsid wsp:val=&quot;00EF55FC&quot;/&gt;&lt;wsp:rsid wsp:val=&quot;00EF5804&quot;/&gt;&lt;wsp:rsid wsp:val=&quot;00EF59F0&quot;/&gt;&lt;wsp:rsid wsp:val=&quot;00EF5ECB&quot;/&gt;&lt;wsp:rsid wsp:val=&quot;00EF60E3&quot;/&gt;&lt;wsp:rsid wsp:val=&quot;00EF65E7&quot;/&gt;&lt;wsp:rsid wsp:val=&quot;00EF673E&quot;/&gt;&lt;wsp:rsid wsp:val=&quot;00EF678C&quot;/&gt;&lt;wsp:rsid wsp:val=&quot;00EF6B9A&quot;/&gt;&lt;wsp:rsid wsp:val=&quot;00EF70AF&quot;/&gt;&lt;wsp:rsid wsp:val=&quot;00EF7734&quot;/&gt;&lt;wsp:rsid wsp:val=&quot;00EF7A85&quot;/&gt;&lt;wsp:rsid wsp:val=&quot;00EF7DA7&quot;/&gt;&lt;wsp:rsid wsp:val=&quot;00EF7F6D&quot;/&gt;&lt;wsp:rsid wsp:val=&quot;00F0035F&quot;/&gt;&lt;wsp:rsid wsp:val=&quot;00F004A9&quot;/&gt;&lt;wsp:rsid wsp:val=&quot;00F0088E&quot;/&gt;&lt;wsp:rsid wsp:val=&quot;00F00996&quot;/&gt;&lt;wsp:rsid wsp:val=&quot;00F00F21&quot;/&gt;&lt;wsp:rsid wsp:val=&quot;00F0144B&quot;/&gt;&lt;wsp:rsid wsp:val=&quot;00F01C83&quot;/&gt;&lt;wsp:rsid wsp:val=&quot;00F01DFC&quot;/&gt;&lt;wsp:rsid wsp:val=&quot;00F01FD5&quot;/&gt;&lt;wsp:rsid wsp:val=&quot;00F02358&quot;/&gt;&lt;wsp:rsid wsp:val=&quot;00F02432&quot;/&gt;&lt;wsp:rsid wsp:val=&quot;00F02483&quot;/&gt;&lt;wsp:rsid wsp:val=&quot;00F025F2&quot;/&gt;&lt;wsp:rsid wsp:val=&quot;00F026D8&quot;/&gt;&lt;wsp:rsid wsp:val=&quot;00F02774&quot;/&gt;&lt;wsp:rsid wsp:val=&quot;00F027A9&quot;/&gt;&lt;wsp:rsid wsp:val=&quot;00F0286E&quot;/&gt;&lt;wsp:rsid wsp:val=&quot;00F02B1B&quot;/&gt;&lt;wsp:rsid wsp:val=&quot;00F02DD4&quot;/&gt;&lt;wsp:rsid wsp:val=&quot;00F02DEE&quot;/&gt;&lt;wsp:rsid wsp:val=&quot;00F0359C&quot;/&gt;&lt;wsp:rsid wsp:val=&quot;00F03916&quot;/&gt;&lt;wsp:rsid wsp:val=&quot;00F03B59&quot;/&gt;&lt;wsp:rsid wsp:val=&quot;00F045D3&quot;/&gt;&lt;wsp:rsid wsp:val=&quot;00F049A0&quot;/&gt;&lt;wsp:rsid wsp:val=&quot;00F04A75&quot;/&gt;&lt;wsp:rsid wsp:val=&quot;00F04BDD&quot;/&gt;&lt;wsp:rsid wsp:val=&quot;00F04E08&quot;/&gt;&lt;wsp:rsid wsp:val=&quot;00F054BD&quot;/&gt;&lt;wsp:rsid wsp:val=&quot;00F057FE&quot;/&gt;&lt;wsp:rsid wsp:val=&quot;00F05D3A&quot;/&gt;&lt;wsp:rsid wsp:val=&quot;00F05E2B&quot;/&gt;&lt;wsp:rsid wsp:val=&quot;00F06E64&quot;/&gt;&lt;wsp:rsid wsp:val=&quot;00F0727B&quot;/&gt;&lt;wsp:rsid wsp:val=&quot;00F074A9&quot;/&gt;&lt;wsp:rsid wsp:val=&quot;00F0755B&quot;/&gt;&lt;wsp:rsid wsp:val=&quot;00F07834&quot;/&gt;&lt;wsp:rsid wsp:val=&quot;00F07C3E&quot;/&gt;&lt;wsp:rsid wsp:val=&quot;00F07F57&quot;/&gt;&lt;wsp:rsid wsp:val=&quot;00F10726&quot;/&gt;&lt;wsp:rsid wsp:val=&quot;00F109A9&quot;/&gt;&lt;wsp:rsid wsp:val=&quot;00F11004&quot;/&gt;&lt;wsp:rsid wsp:val=&quot;00F1123F&quot;/&gt;&lt;wsp:rsid wsp:val=&quot;00F11260&quot;/&gt;&lt;wsp:rsid wsp:val=&quot;00F1126B&quot;/&gt;&lt;wsp:rsid wsp:val=&quot;00F11280&quot;/&gt;&lt;wsp:rsid wsp:val=&quot;00F11782&quot;/&gt;&lt;wsp:rsid wsp:val=&quot;00F11AA8&quot;/&gt;&lt;wsp:rsid wsp:val=&quot;00F11F8D&quot;/&gt;&lt;wsp:rsid wsp:val=&quot;00F12000&quot;/&gt;&lt;wsp:rsid wsp:val=&quot;00F1226F&quot;/&gt;&lt;wsp:rsid wsp:val=&quot;00F1245B&quot;/&gt;&lt;wsp:rsid wsp:val=&quot;00F12540&quot;/&gt;&lt;wsp:rsid wsp:val=&quot;00F1290E&quot;/&gt;&lt;wsp:rsid wsp:val=&quot;00F12BF6&quot;/&gt;&lt;wsp:rsid wsp:val=&quot;00F12F98&quot;/&gt;&lt;wsp:rsid wsp:val=&quot;00F13075&quot;/&gt;&lt;wsp:rsid wsp:val=&quot;00F132A2&quot;/&gt;&lt;wsp:rsid wsp:val=&quot;00F134AF&quot;/&gt;&lt;wsp:rsid wsp:val=&quot;00F13608&quot;/&gt;&lt;wsp:rsid wsp:val=&quot;00F13713&quot;/&gt;&lt;wsp:rsid wsp:val=&quot;00F13AB4&quot;/&gt;&lt;wsp:rsid wsp:val=&quot;00F13C47&quot;/&gt;&lt;wsp:rsid wsp:val=&quot;00F13DB9&quot;/&gt;&lt;wsp:rsid wsp:val=&quot;00F1491B&quot;/&gt;&lt;wsp:rsid wsp:val=&quot;00F14BE6&quot;/&gt;&lt;wsp:rsid wsp:val=&quot;00F153D9&quot;/&gt;&lt;wsp:rsid wsp:val=&quot;00F1544B&quot;/&gt;&lt;wsp:rsid wsp:val=&quot;00F15C05&quot;/&gt;&lt;wsp:rsid wsp:val=&quot;00F15C95&quot;/&gt;&lt;wsp:rsid wsp:val=&quot;00F15D94&quot;/&gt;&lt;wsp:rsid wsp:val=&quot;00F162B0&quot;/&gt;&lt;wsp:rsid wsp:val=&quot;00F16509&quot;/&gt;&lt;wsp:rsid wsp:val=&quot;00F165E8&quot;/&gt;&lt;wsp:rsid wsp:val=&quot;00F16982&quot;/&gt;&lt;wsp:rsid wsp:val=&quot;00F16BBE&quot;/&gt;&lt;wsp:rsid wsp:val=&quot;00F16BE5&quot;/&gt;&lt;wsp:rsid wsp:val=&quot;00F16E3B&quot;/&gt;&lt;wsp:rsid wsp:val=&quot;00F16EBC&quot;/&gt;&lt;wsp:rsid wsp:val=&quot;00F171E9&quot;/&gt;&lt;wsp:rsid wsp:val=&quot;00F17511&quot;/&gt;&lt;wsp:rsid wsp:val=&quot;00F17CED&quot;/&gt;&lt;wsp:rsid wsp:val=&quot;00F20399&quot;/&gt;&lt;wsp:rsid wsp:val=&quot;00F20586&quot;/&gt;&lt;wsp:rsid wsp:val=&quot;00F2069C&quot;/&gt;&lt;wsp:rsid wsp:val=&quot;00F20991&quot;/&gt;&lt;wsp:rsid wsp:val=&quot;00F209DC&quot;/&gt;&lt;wsp:rsid wsp:val=&quot;00F20B5D&quot;/&gt;&lt;wsp:rsid wsp:val=&quot;00F2119F&quot;/&gt;&lt;wsp:rsid wsp:val=&quot;00F214C8&quot;/&gt;&lt;wsp:rsid wsp:val=&quot;00F217BB&quot;/&gt;&lt;wsp:rsid wsp:val=&quot;00F21BB3&quot;/&gt;&lt;wsp:rsid wsp:val=&quot;00F220BD&quot;/&gt;&lt;wsp:rsid wsp:val=&quot;00F22245&quot;/&gt;&lt;wsp:rsid wsp:val=&quot;00F22432&quot;/&gt;&lt;wsp:rsid wsp:val=&quot;00F22D42&quot;/&gt;&lt;wsp:rsid wsp:val=&quot;00F22D63&quot;/&gt;&lt;wsp:rsid wsp:val=&quot;00F23926&quot;/&gt;&lt;wsp:rsid wsp:val=&quot;00F23988&quot;/&gt;&lt;wsp:rsid wsp:val=&quot;00F239DB&quot;/&gt;&lt;wsp:rsid wsp:val=&quot;00F248B6&quot;/&gt;&lt;wsp:rsid wsp:val=&quot;00F25BA1&quot;/&gt;&lt;wsp:rsid wsp:val=&quot;00F25F4F&quot;/&gt;&lt;wsp:rsid wsp:val=&quot;00F25F66&quot;/&gt;&lt;wsp:rsid wsp:val=&quot;00F26186&quot;/&gt;&lt;wsp:rsid wsp:val=&quot;00F26946&quot;/&gt;&lt;wsp:rsid wsp:val=&quot;00F2697D&quot;/&gt;&lt;wsp:rsid wsp:val=&quot;00F26E0B&quot;/&gt;&lt;wsp:rsid wsp:val=&quot;00F26FC9&quot;/&gt;&lt;wsp:rsid wsp:val=&quot;00F270EB&quot;/&gt;&lt;wsp:rsid wsp:val=&quot;00F276A7&quot;/&gt;&lt;wsp:rsid wsp:val=&quot;00F27FFC&quot;/&gt;&lt;wsp:rsid wsp:val=&quot;00F306BB&quot;/&gt;&lt;wsp:rsid wsp:val=&quot;00F30864&quot;/&gt;&lt;wsp:rsid wsp:val=&quot;00F30DB2&quot;/&gt;&lt;wsp:rsid wsp:val=&quot;00F30E0A&quot;/&gt;&lt;wsp:rsid wsp:val=&quot;00F30E1F&quot;/&gt;&lt;wsp:rsid wsp:val=&quot;00F30E53&quot;/&gt;&lt;wsp:rsid wsp:val=&quot;00F30ECA&quot;/&gt;&lt;wsp:rsid wsp:val=&quot;00F30F2F&quot;/&gt;&lt;wsp:rsid wsp:val=&quot;00F3114F&quot;/&gt;&lt;wsp:rsid wsp:val=&quot;00F31374&quot;/&gt;&lt;wsp:rsid wsp:val=&quot;00F31531&quot;/&gt;&lt;wsp:rsid wsp:val=&quot;00F315FD&quot;/&gt;&lt;wsp:rsid wsp:val=&quot;00F32CC9&quot;/&gt;&lt;wsp:rsid wsp:val=&quot;00F32D06&quot;/&gt;&lt;wsp:rsid wsp:val=&quot;00F32F61&quot;/&gt;&lt;wsp:rsid wsp:val=&quot;00F3306C&quot;/&gt;&lt;wsp:rsid wsp:val=&quot;00F330A7&quot;/&gt;&lt;wsp:rsid wsp:val=&quot;00F332C8&quot;/&gt;&lt;wsp:rsid wsp:val=&quot;00F334E2&quot;/&gt;&lt;wsp:rsid wsp:val=&quot;00F33D91&quot;/&gt;&lt;wsp:rsid wsp:val=&quot;00F3452C&quot;/&gt;&lt;wsp:rsid wsp:val=&quot;00F34EFB&quot;/&gt;&lt;wsp:rsid wsp:val=&quot;00F34F7B&quot;/&gt;&lt;wsp:rsid wsp:val=&quot;00F3510B&quot;/&gt;&lt;wsp:rsid wsp:val=&quot;00F35798&quot;/&gt;&lt;wsp:rsid wsp:val=&quot;00F36084&quot;/&gt;&lt;wsp:rsid wsp:val=&quot;00F36644&quot;/&gt;&lt;wsp:rsid wsp:val=&quot;00F3720A&quot;/&gt;&lt;wsp:rsid wsp:val=&quot;00F3737B&quot;/&gt;&lt;wsp:rsid wsp:val=&quot;00F3746E&quot;/&gt;&lt;wsp:rsid wsp:val=&quot;00F378D0&quot;/&gt;&lt;wsp:rsid wsp:val=&quot;00F4014F&quot;/&gt;&lt;wsp:rsid wsp:val=&quot;00F40169&quot;/&gt;&lt;wsp:rsid wsp:val=&quot;00F40E08&quot;/&gt;&lt;wsp:rsid wsp:val=&quot;00F40E6C&quot;/&gt;&lt;wsp:rsid wsp:val=&quot;00F41130&quot;/&gt;&lt;wsp:rsid wsp:val=&quot;00F41547&quot;/&gt;&lt;wsp:rsid wsp:val=&quot;00F41755&quot;/&gt;&lt;wsp:rsid wsp:val=&quot;00F41C49&quot;/&gt;&lt;wsp:rsid wsp:val=&quot;00F42189&quot;/&gt;&lt;wsp:rsid wsp:val=&quot;00F4257D&quot;/&gt;&lt;wsp:rsid wsp:val=&quot;00F425C6&quot;/&gt;&lt;wsp:rsid wsp:val=&quot;00F42938&quot;/&gt;&lt;wsp:rsid wsp:val=&quot;00F429A0&quot;/&gt;&lt;wsp:rsid wsp:val=&quot;00F42A33&quot;/&gt;&lt;wsp:rsid wsp:val=&quot;00F42D66&quot;/&gt;&lt;wsp:rsid wsp:val=&quot;00F4309F&quot;/&gt;&lt;wsp:rsid wsp:val=&quot;00F43281&quot;/&gt;&lt;wsp:rsid wsp:val=&quot;00F4349A&quot;/&gt;&lt;wsp:rsid wsp:val=&quot;00F435B7&quot;/&gt;&lt;wsp:rsid wsp:val=&quot;00F43749&quot;/&gt;&lt;wsp:rsid wsp:val=&quot;00F43B29&quot;/&gt;&lt;wsp:rsid wsp:val=&quot;00F44116&quot;/&gt;&lt;wsp:rsid wsp:val=&quot;00F4420F&quot;/&gt;&lt;wsp:rsid wsp:val=&quot;00F44464&quot;/&gt;&lt;wsp:rsid wsp:val=&quot;00F45A2D&quot;/&gt;&lt;wsp:rsid wsp:val=&quot;00F45B5C&quot;/&gt;&lt;wsp:rsid wsp:val=&quot;00F45E2F&quot;/&gt;&lt;wsp:rsid wsp:val=&quot;00F4666B&quot;/&gt;&lt;wsp:rsid wsp:val=&quot;00F468B3&quot;/&gt;&lt;wsp:rsid wsp:val=&quot;00F46947&quot;/&gt;&lt;wsp:rsid wsp:val=&quot;00F46BBC&quot;/&gt;&lt;wsp:rsid wsp:val=&quot;00F47164&quot;/&gt;&lt;wsp:rsid wsp:val=&quot;00F47605&quot;/&gt;&lt;wsp:rsid wsp:val=&quot;00F4791C&quot;/&gt;&lt;wsp:rsid wsp:val=&quot;00F50B49&quot;/&gt;&lt;wsp:rsid wsp:val=&quot;00F50BFE&quot;/&gt;&lt;wsp:rsid wsp:val=&quot;00F50CB7&quot;/&gt;&lt;wsp:rsid wsp:val=&quot;00F50D52&quot;/&gt;&lt;wsp:rsid wsp:val=&quot;00F50E3D&quot;/&gt;&lt;wsp:rsid wsp:val=&quot;00F510DF&quot;/&gt;&lt;wsp:rsid wsp:val=&quot;00F5130C&quot;/&gt;&lt;wsp:rsid wsp:val=&quot;00F515BE&quot;/&gt;&lt;wsp:rsid wsp:val=&quot;00F51774&quot;/&gt;&lt;wsp:rsid wsp:val=&quot;00F51AE6&quot;/&gt;&lt;wsp:rsid wsp:val=&quot;00F51CB1&quot;/&gt;&lt;wsp:rsid wsp:val=&quot;00F51E79&quot;/&gt;&lt;wsp:rsid wsp:val=&quot;00F51FFA&quot;/&gt;&lt;wsp:rsid wsp:val=&quot;00F52361&quot;/&gt;&lt;wsp:rsid wsp:val=&quot;00F524A7&quot;/&gt;&lt;wsp:rsid wsp:val=&quot;00F533D1&quot;/&gt;&lt;wsp:rsid wsp:val=&quot;00F534D4&quot;/&gt;&lt;wsp:rsid wsp:val=&quot;00F53523&quot;/&gt;&lt;wsp:rsid wsp:val=&quot;00F535F4&quot;/&gt;&lt;wsp:rsid wsp:val=&quot;00F53D3A&quot;/&gt;&lt;wsp:rsid wsp:val=&quot;00F53DD9&quot;/&gt;&lt;wsp:rsid wsp:val=&quot;00F54446&quot;/&gt;&lt;wsp:rsid wsp:val=&quot;00F5463A&quot;/&gt;&lt;wsp:rsid wsp:val=&quot;00F549C9&quot;/&gt;&lt;wsp:rsid wsp:val=&quot;00F54D7E&quot;/&gt;&lt;wsp:rsid wsp:val=&quot;00F54EF2&quot;/&gt;&lt;wsp:rsid wsp:val=&quot;00F553A0&quot;/&gt;&lt;wsp:rsid wsp:val=&quot;00F553F3&quot;/&gt;&lt;wsp:rsid wsp:val=&quot;00F55717&quot;/&gt;&lt;wsp:rsid wsp:val=&quot;00F557A0&quot;/&gt;&lt;wsp:rsid wsp:val=&quot;00F55827&quot;/&gt;&lt;wsp:rsid wsp:val=&quot;00F559F1&quot;/&gt;&lt;wsp:rsid wsp:val=&quot;00F55C4B&quot;/&gt;&lt;wsp:rsid wsp:val=&quot;00F56030&quot;/&gt;&lt;wsp:rsid wsp:val=&quot;00F56198&quot;/&gt;&lt;wsp:rsid wsp:val=&quot;00F56346&quot;/&gt;&lt;wsp:rsid wsp:val=&quot;00F56A8D&quot;/&gt;&lt;wsp:rsid wsp:val=&quot;00F56D1D&quot;/&gt;&lt;wsp:rsid wsp:val=&quot;00F56D8D&quot;/&gt;&lt;wsp:rsid wsp:val=&quot;00F56F57&quot;/&gt;&lt;wsp:rsid wsp:val=&quot;00F57A19&quot;/&gt;&lt;wsp:rsid wsp:val=&quot;00F57AD3&quot;/&gt;&lt;wsp:rsid wsp:val=&quot;00F57DBF&quot;/&gt;&lt;wsp:rsid wsp:val=&quot;00F60254&quot;/&gt;&lt;wsp:rsid wsp:val=&quot;00F60780&quot;/&gt;&lt;wsp:rsid wsp:val=&quot;00F610E2&quot;/&gt;&lt;wsp:rsid wsp:val=&quot;00F611C7&quot;/&gt;&lt;wsp:rsid wsp:val=&quot;00F61226&quot;/&gt;&lt;wsp:rsid wsp:val=&quot;00F614D7&quot;/&gt;&lt;wsp:rsid wsp:val=&quot;00F61649&quot;/&gt;&lt;wsp:rsid wsp:val=&quot;00F6170F&quot;/&gt;&lt;wsp:rsid wsp:val=&quot;00F61B5A&quot;/&gt;&lt;wsp:rsid wsp:val=&quot;00F61EF1&quot;/&gt;&lt;wsp:rsid wsp:val=&quot;00F6263C&quot;/&gt;&lt;wsp:rsid wsp:val=&quot;00F62D8E&quot;/&gt;&lt;wsp:rsid wsp:val=&quot;00F6324B&quot;/&gt;&lt;wsp:rsid wsp:val=&quot;00F632CF&quot;/&gt;&lt;wsp:rsid wsp:val=&quot;00F633DF&quot;/&gt;&lt;wsp:rsid wsp:val=&quot;00F635EB&quot;/&gt;&lt;wsp:rsid wsp:val=&quot;00F636D8&quot;/&gt;&lt;wsp:rsid wsp:val=&quot;00F63B09&quot;/&gt;&lt;wsp:rsid wsp:val=&quot;00F63CD5&quot;/&gt;&lt;wsp:rsid wsp:val=&quot;00F63D5A&quot;/&gt;&lt;wsp:rsid wsp:val=&quot;00F63D6F&quot;/&gt;&lt;wsp:rsid wsp:val=&quot;00F63EE9&quot;/&gt;&lt;wsp:rsid wsp:val=&quot;00F64154&quot;/&gt;&lt;wsp:rsid wsp:val=&quot;00F64265&quot;/&gt;&lt;wsp:rsid wsp:val=&quot;00F64337&quot;/&gt;&lt;wsp:rsid wsp:val=&quot;00F64483&quot;/&gt;&lt;wsp:rsid wsp:val=&quot;00F6553F&quot;/&gt;&lt;wsp:rsid wsp:val=&quot;00F6560A&quot;/&gt;&lt;wsp:rsid wsp:val=&quot;00F65768&quot;/&gt;&lt;wsp:rsid wsp:val=&quot;00F65908&quot;/&gt;&lt;wsp:rsid wsp:val=&quot;00F65A7E&quot;/&gt;&lt;wsp:rsid wsp:val=&quot;00F66318&quot;/&gt;&lt;wsp:rsid wsp:val=&quot;00F66610&quot;/&gt;&lt;wsp:rsid wsp:val=&quot;00F66707&quot;/&gt;&lt;wsp:rsid wsp:val=&quot;00F66708&quot;/&gt;&lt;wsp:rsid wsp:val=&quot;00F66F00&quot;/&gt;&lt;wsp:rsid wsp:val=&quot;00F66FAB&quot;/&gt;&lt;wsp:rsid wsp:val=&quot;00F67415&quot;/&gt;&lt;wsp:rsid wsp:val=&quot;00F6753F&quot;/&gt;&lt;wsp:rsid wsp:val=&quot;00F67AC2&quot;/&gt;&lt;wsp:rsid wsp:val=&quot;00F67CB4&quot;/&gt;&lt;wsp:rsid wsp:val=&quot;00F67CEB&quot;/&gt;&lt;wsp:rsid wsp:val=&quot;00F67D22&quot;/&gt;&lt;wsp:rsid wsp:val=&quot;00F67FFB&quot;/&gt;&lt;wsp:rsid wsp:val=&quot;00F70430&quot;/&gt;&lt;wsp:rsid wsp:val=&quot;00F706B8&quot;/&gt;&lt;wsp:rsid wsp:val=&quot;00F7081B&quot;/&gt;&lt;wsp:rsid wsp:val=&quot;00F70F04&quot;/&gt;&lt;wsp:rsid wsp:val=&quot;00F710CE&quot;/&gt;&lt;wsp:rsid wsp:val=&quot;00F71249&quot;/&gt;&lt;wsp:rsid wsp:val=&quot;00F715F9&quot;/&gt;&lt;wsp:rsid wsp:val=&quot;00F71C31&quot;/&gt;&lt;wsp:rsid wsp:val=&quot;00F71D0F&quot;/&gt;&lt;wsp:rsid wsp:val=&quot;00F7207F&quot;/&gt;&lt;wsp:rsid wsp:val=&quot;00F72142&quot;/&gt;&lt;wsp:rsid wsp:val=&quot;00F72156&quot;/&gt;&lt;wsp:rsid wsp:val=&quot;00F72FB8&quot;/&gt;&lt;wsp:rsid wsp:val=&quot;00F73302&quot;/&gt;&lt;wsp:rsid wsp:val=&quot;00F7366E&quot;/&gt;&lt;wsp:rsid wsp:val=&quot;00F738C0&quot;/&gt;&lt;wsp:rsid wsp:val=&quot;00F74BDB&quot;/&gt;&lt;wsp:rsid wsp:val=&quot;00F74DA1&quot;/&gt;&lt;wsp:rsid wsp:val=&quot;00F74FBC&quot;/&gt;&lt;wsp:rsid wsp:val=&quot;00F75343&quot;/&gt;&lt;wsp:rsid wsp:val=&quot;00F75733&quot;/&gt;&lt;wsp:rsid wsp:val=&quot;00F75983&quot;/&gt;&lt;wsp:rsid wsp:val=&quot;00F75995&quot;/&gt;&lt;wsp:rsid wsp:val=&quot;00F75B2C&quot;/&gt;&lt;wsp:rsid wsp:val=&quot;00F75E73&quot;/&gt;&lt;wsp:rsid wsp:val=&quot;00F75F1C&quot;/&gt;&lt;wsp:rsid wsp:val=&quot;00F76507&quot;/&gt;&lt;wsp:rsid wsp:val=&quot;00F76DE0&quot;/&gt;&lt;wsp:rsid wsp:val=&quot;00F772CB&quot;/&gt;&lt;wsp:rsid wsp:val=&quot;00F77526&quot;/&gt;&lt;wsp:rsid wsp:val=&quot;00F77867&quot;/&gt;&lt;wsp:rsid wsp:val=&quot;00F77A01&quot;/&gt;&lt;wsp:rsid wsp:val=&quot;00F77D4D&quot;/&gt;&lt;wsp:rsid wsp:val=&quot;00F80059&quot;/&gt;&lt;wsp:rsid wsp:val=&quot;00F800B6&quot;/&gt;&lt;wsp:rsid wsp:val=&quot;00F8013D&quot;/&gt;&lt;wsp:rsid wsp:val=&quot;00F8064C&quot;/&gt;&lt;wsp:rsid wsp:val=&quot;00F8097E&quot;/&gt;&lt;wsp:rsid wsp:val=&quot;00F80FD7&quot;/&gt;&lt;wsp:rsid wsp:val=&quot;00F815EB&quot;/&gt;&lt;wsp:rsid wsp:val=&quot;00F81FFE&quot;/&gt;&lt;wsp:rsid wsp:val=&quot;00F8227B&quot;/&gt;&lt;wsp:rsid wsp:val=&quot;00F82E2E&quot;/&gt;&lt;wsp:rsid wsp:val=&quot;00F830B3&quot;/&gt;&lt;wsp:rsid wsp:val=&quot;00F831CE&quot;/&gt;&lt;wsp:rsid wsp:val=&quot;00F83617&quot;/&gt;&lt;wsp:rsid wsp:val=&quot;00F83C98&quot;/&gt;&lt;wsp:rsid wsp:val=&quot;00F84063&quot;/&gt;&lt;wsp:rsid wsp:val=&quot;00F84147&quot;/&gt;&lt;wsp:rsid wsp:val=&quot;00F843A5&quot;/&gt;&lt;wsp:rsid wsp:val=&quot;00F84777&quot;/&gt;&lt;wsp:rsid wsp:val=&quot;00F84B77&quot;/&gt;&lt;wsp:rsid wsp:val=&quot;00F8559F&quot;/&gt;&lt;wsp:rsid wsp:val=&quot;00F85738&quot;/&gt;&lt;wsp:rsid wsp:val=&quot;00F859C5&quot;/&gt;&lt;wsp:rsid wsp:val=&quot;00F85D84&quot;/&gt;&lt;wsp:rsid wsp:val=&quot;00F85E7A&quot;/&gt;&lt;wsp:rsid wsp:val=&quot;00F8609A&quot;/&gt;&lt;wsp:rsid wsp:val=&quot;00F86338&quot;/&gt;&lt;wsp:rsid wsp:val=&quot;00F8693C&quot;/&gt;&lt;wsp:rsid wsp:val=&quot;00F86FFC&quot;/&gt;&lt;wsp:rsid wsp:val=&quot;00F871F6&quot;/&gt;&lt;wsp:rsid wsp:val=&quot;00F87838&quot;/&gt;&lt;wsp:rsid wsp:val=&quot;00F87867&quot;/&gt;&lt;wsp:rsid wsp:val=&quot;00F8786C&quot;/&gt;&lt;wsp:rsid wsp:val=&quot;00F900C4&quot;/&gt;&lt;wsp:rsid wsp:val=&quot;00F90109&quot;/&gt;&lt;wsp:rsid wsp:val=&quot;00F90192&quot;/&gt;&lt;wsp:rsid wsp:val=&quot;00F90A4C&quot;/&gt;&lt;wsp:rsid wsp:val=&quot;00F90A62&quot;/&gt;&lt;wsp:rsid wsp:val=&quot;00F90DE3&quot;/&gt;&lt;wsp:rsid wsp:val=&quot;00F91036&quot;/&gt;&lt;wsp:rsid wsp:val=&quot;00F915B0&quot;/&gt;&lt;wsp:rsid wsp:val=&quot;00F91F1B&quot;/&gt;&lt;wsp:rsid wsp:val=&quot;00F92253&quot;/&gt;&lt;wsp:rsid wsp:val=&quot;00F92447&quot;/&gt;&lt;wsp:rsid wsp:val=&quot;00F92CC4&quot;/&gt;&lt;wsp:rsid wsp:val=&quot;00F92DAA&quot;/&gt;&lt;wsp:rsid wsp:val=&quot;00F92EE6&quot;/&gt;&lt;wsp:rsid wsp:val=&quot;00F92FDD&quot;/&gt;&lt;wsp:rsid wsp:val=&quot;00F930C4&quot;/&gt;&lt;wsp:rsid wsp:val=&quot;00F932FB&quot;/&gt;&lt;wsp:rsid wsp:val=&quot;00F934B8&quot;/&gt;&lt;wsp:rsid wsp:val=&quot;00F9371D&quot;/&gt;&lt;wsp:rsid wsp:val=&quot;00F938A4&quot;/&gt;&lt;wsp:rsid wsp:val=&quot;00F93A2B&quot;/&gt;&lt;wsp:rsid wsp:val=&quot;00F93A8D&quot;/&gt;&lt;wsp:rsid wsp:val=&quot;00F93B83&quot;/&gt;&lt;wsp:rsid wsp:val=&quot;00F93D94&quot;/&gt;&lt;wsp:rsid wsp:val=&quot;00F93E13&quot;/&gt;&lt;wsp:rsid wsp:val=&quot;00F94910&quot;/&gt;&lt;wsp:rsid wsp:val=&quot;00F94927&quot;/&gt;&lt;wsp:rsid wsp:val=&quot;00F94B0C&quot;/&gt;&lt;wsp:rsid wsp:val=&quot;00F94C0B&quot;/&gt;&lt;wsp:rsid wsp:val=&quot;00F95AEB&quot;/&gt;&lt;wsp:rsid wsp:val=&quot;00F95EAF&quot;/&gt;&lt;wsp:rsid wsp:val=&quot;00F95EE3&quot;/&gt;&lt;wsp:rsid wsp:val=&quot;00F96327&quot;/&gt;&lt;wsp:rsid wsp:val=&quot;00F96387&quot;/&gt;&lt;wsp:rsid wsp:val=&quot;00F96ABC&quot;/&gt;&lt;wsp:rsid wsp:val=&quot;00F96C7A&quot;/&gt;&lt;wsp:rsid wsp:val=&quot;00F97541&quot;/&gt;&lt;wsp:rsid wsp:val=&quot;00F9773A&quot;/&gt;&lt;wsp:rsid wsp:val=&quot;00F97F36&quot;/&gt;&lt;wsp:rsid wsp:val=&quot;00FA00A0&quot;/&gt;&lt;wsp:rsid wsp:val=&quot;00FA01C0&quot;/&gt;&lt;wsp:rsid wsp:val=&quot;00FA033C&quot;/&gt;&lt;wsp:rsid wsp:val=&quot;00FA04BE&quot;/&gt;&lt;wsp:rsid wsp:val=&quot;00FA05F4&quot;/&gt;&lt;wsp:rsid wsp:val=&quot;00FA0C1B&quot;/&gt;&lt;wsp:rsid wsp:val=&quot;00FA1B8C&quot;/&gt;&lt;wsp:rsid wsp:val=&quot;00FA1BC3&quot;/&gt;&lt;wsp:rsid wsp:val=&quot;00FA1DE7&quot;/&gt;&lt;wsp:rsid wsp:val=&quot;00FA2244&quot;/&gt;&lt;wsp:rsid wsp:val=&quot;00FA2540&quot;/&gt;&lt;wsp:rsid wsp:val=&quot;00FA26BE&quot;/&gt;&lt;wsp:rsid wsp:val=&quot;00FA2818&quot;/&gt;&lt;wsp:rsid wsp:val=&quot;00FA2A08&quot;/&gt;&lt;wsp:rsid wsp:val=&quot;00FA2A8E&quot;/&gt;&lt;wsp:rsid wsp:val=&quot;00FA30F6&quot;/&gt;&lt;wsp:rsid wsp:val=&quot;00FA32BD&quot;/&gt;&lt;wsp:rsid wsp:val=&quot;00FA34AC&quot;/&gt;&lt;wsp:rsid wsp:val=&quot;00FA3BCD&quot;/&gt;&lt;wsp:rsid wsp:val=&quot;00FA3F2B&quot;/&gt;&lt;wsp:rsid wsp:val=&quot;00FA41C1&quot;/&gt;&lt;wsp:rsid wsp:val=&quot;00FA4765&quot;/&gt;&lt;wsp:rsid wsp:val=&quot;00FA49C8&quot;/&gt;&lt;wsp:rsid wsp:val=&quot;00FA4FBA&quot;/&gt;&lt;wsp:rsid wsp:val=&quot;00FA504F&quot;/&gt;&lt;wsp:rsid wsp:val=&quot;00FA5CE8&quot;/&gt;&lt;wsp:rsid wsp:val=&quot;00FA60DF&quot;/&gt;&lt;wsp:rsid wsp:val=&quot;00FA67C6&quot;/&gt;&lt;wsp:rsid wsp:val=&quot;00FA6C93&quot;/&gt;&lt;wsp:rsid wsp:val=&quot;00FA764F&quot;/&gt;&lt;wsp:rsid wsp:val=&quot;00FA7B49&quot;/&gt;&lt;wsp:rsid wsp:val=&quot;00FA7FD0&quot;/&gt;&lt;wsp:rsid wsp:val=&quot;00FB00AE&quot;/&gt;&lt;wsp:rsid wsp:val=&quot;00FB045A&quot;/&gt;&lt;wsp:rsid wsp:val=&quot;00FB05A8&quot;/&gt;&lt;wsp:rsid wsp:val=&quot;00FB06EE&quot;/&gt;&lt;wsp:rsid wsp:val=&quot;00FB0D00&quot;/&gt;&lt;wsp:rsid wsp:val=&quot;00FB0F95&quot;/&gt;&lt;wsp:rsid wsp:val=&quot;00FB12DD&quot;/&gt;&lt;wsp:rsid wsp:val=&quot;00FB1C96&quot;/&gt;&lt;wsp:rsid wsp:val=&quot;00FB2222&quot;/&gt;&lt;wsp:rsid wsp:val=&quot;00FB230F&quot;/&gt;&lt;wsp:rsid wsp:val=&quot;00FB26CE&quot;/&gt;&lt;wsp:rsid wsp:val=&quot;00FB2C27&quot;/&gt;&lt;wsp:rsid wsp:val=&quot;00FB3464&quot;/&gt;&lt;wsp:rsid wsp:val=&quot;00FB36A0&quot;/&gt;&lt;wsp:rsid wsp:val=&quot;00FB378F&quot;/&gt;&lt;wsp:rsid wsp:val=&quot;00FB3CA8&quot;/&gt;&lt;wsp:rsid wsp:val=&quot;00FB3D65&quot;/&gt;&lt;wsp:rsid wsp:val=&quot;00FB4896&quot;/&gt;&lt;wsp:rsid wsp:val=&quot;00FB49C9&quot;/&gt;&lt;wsp:rsid wsp:val=&quot;00FB5479&quot;/&gt;&lt;wsp:rsid wsp:val=&quot;00FB5BE0&quot;/&gt;&lt;wsp:rsid wsp:val=&quot;00FB66DF&quot;/&gt;&lt;wsp:rsid wsp:val=&quot;00FB67FB&quot;/&gt;&lt;wsp:rsid wsp:val=&quot;00FB68B4&quot;/&gt;&lt;wsp:rsid wsp:val=&quot;00FB6D37&quot;/&gt;&lt;wsp:rsid wsp:val=&quot;00FB6FE3&quot;/&gt;&lt;wsp:rsid wsp:val=&quot;00FB7158&quot;/&gt;&lt;wsp:rsid wsp:val=&quot;00FB726C&quot;/&gt;&lt;wsp:rsid wsp:val=&quot;00FB75F6&quot;/&gt;&lt;wsp:rsid wsp:val=&quot;00FC0929&quot;/&gt;&lt;wsp:rsid wsp:val=&quot;00FC0B69&quot;/&gt;&lt;wsp:rsid wsp:val=&quot;00FC0DD7&quot;/&gt;&lt;wsp:rsid wsp:val=&quot;00FC15A1&quot;/&gt;&lt;wsp:rsid wsp:val=&quot;00FC15B6&quot;/&gt;&lt;wsp:rsid wsp:val=&quot;00FC1E7C&quot;/&gt;&lt;wsp:rsid wsp:val=&quot;00FC211A&quot;/&gt;&lt;wsp:rsid wsp:val=&quot;00FC24EE&quot;/&gt;&lt;wsp:rsid wsp:val=&quot;00FC2522&quot;/&gt;&lt;wsp:rsid wsp:val=&quot;00FC2C55&quot;/&gt;&lt;wsp:rsid wsp:val=&quot;00FC312E&quot;/&gt;&lt;wsp:rsid wsp:val=&quot;00FC346A&quot;/&gt;&lt;wsp:rsid wsp:val=&quot;00FC3BE2&quot;/&gt;&lt;wsp:rsid wsp:val=&quot;00FC3F56&quot;/&gt;&lt;wsp:rsid wsp:val=&quot;00FC42D9&quot;/&gt;&lt;wsp:rsid wsp:val=&quot;00FC49F9&quot;/&gt;&lt;wsp:rsid wsp:val=&quot;00FC4F0F&quot;/&gt;&lt;wsp:rsid wsp:val=&quot;00FC4F67&quot;/&gt;&lt;wsp:rsid wsp:val=&quot;00FC509E&quot;/&gt;&lt;wsp:rsid wsp:val=&quot;00FC525E&quot;/&gt;&lt;wsp:rsid wsp:val=&quot;00FC55B4&quot;/&gt;&lt;wsp:rsid wsp:val=&quot;00FC5ADA&quot;/&gt;&lt;wsp:rsid wsp:val=&quot;00FC60AF&quot;/&gt;&lt;wsp:rsid wsp:val=&quot;00FC6224&quot;/&gt;&lt;wsp:rsid wsp:val=&quot;00FC6496&quot;/&gt;&lt;wsp:rsid wsp:val=&quot;00FC6906&quot;/&gt;&lt;wsp:rsid wsp:val=&quot;00FC69CA&quot;/&gt;&lt;wsp:rsid wsp:val=&quot;00FC6B75&quot;/&gt;&lt;wsp:rsid wsp:val=&quot;00FC7632&quot;/&gt;&lt;wsp:rsid wsp:val=&quot;00FC7807&quot;/&gt;&lt;wsp:rsid wsp:val=&quot;00FC7B72&quot;/&gt;&lt;wsp:rsid wsp:val=&quot;00FC7D2A&quot;/&gt;&lt;wsp:rsid wsp:val=&quot;00FC7F6A&quot;/&gt;&lt;wsp:rsid wsp:val=&quot;00FD01AC&quot;/&gt;&lt;wsp:rsid wsp:val=&quot;00FD01BA&quot;/&gt;&lt;wsp:rsid wsp:val=&quot;00FD06A4&quot;/&gt;&lt;wsp:rsid wsp:val=&quot;00FD0897&quot;/&gt;&lt;wsp:rsid wsp:val=&quot;00FD0912&quot;/&gt;&lt;wsp:rsid wsp:val=&quot;00FD10F6&quot;/&gt;&lt;wsp:rsid wsp:val=&quot;00FD12B2&quot;/&gt;&lt;wsp:rsid wsp:val=&quot;00FD12B3&quot;/&gt;&lt;wsp:rsid wsp:val=&quot;00FD1AE0&quot;/&gt;&lt;wsp:rsid wsp:val=&quot;00FD2D3C&quot;/&gt;&lt;wsp:rsid wsp:val=&quot;00FD375E&quot;/&gt;&lt;wsp:rsid wsp:val=&quot;00FD399B&quot;/&gt;&lt;wsp:rsid wsp:val=&quot;00FD3F7E&quot;/&gt;&lt;wsp:rsid wsp:val=&quot;00FD41C0&quot;/&gt;&lt;wsp:rsid wsp:val=&quot;00FD4CF6&quot;/&gt;&lt;wsp:rsid wsp:val=&quot;00FD5455&quot;/&gt;&lt;wsp:rsid wsp:val=&quot;00FD5531&quot;/&gt;&lt;wsp:rsid wsp:val=&quot;00FD584E&quot;/&gt;&lt;wsp:rsid wsp:val=&quot;00FD5AE7&quot;/&gt;&lt;wsp:rsid wsp:val=&quot;00FD5F9D&quot;/&gt;&lt;wsp:rsid wsp:val=&quot;00FD618D&quot;/&gt;&lt;wsp:rsid wsp:val=&quot;00FD66C9&quot;/&gt;&lt;wsp:rsid wsp:val=&quot;00FD6D27&quot;/&gt;&lt;wsp:rsid wsp:val=&quot;00FD6F86&quot;/&gt;&lt;wsp:rsid wsp:val=&quot;00FD75D7&quot;/&gt;&lt;wsp:rsid wsp:val=&quot;00FD762F&quot;/&gt;&lt;wsp:rsid wsp:val=&quot;00FD76A1&quot;/&gt;&lt;wsp:rsid wsp:val=&quot;00FD7D93&quot;/&gt;&lt;wsp:rsid wsp:val=&quot;00FD7DE1&quot;/&gt;&lt;wsp:rsid wsp:val=&quot;00FE029E&quot;/&gt;&lt;wsp:rsid wsp:val=&quot;00FE036B&quot;/&gt;&lt;wsp:rsid wsp:val=&quot;00FE0473&quot;/&gt;&lt;wsp:rsid wsp:val=&quot;00FE051B&quot;/&gt;&lt;wsp:rsid wsp:val=&quot;00FE05F2&quot;/&gt;&lt;wsp:rsid wsp:val=&quot;00FE0609&quot;/&gt;&lt;wsp:rsid wsp:val=&quot;00FE08A0&quot;/&gt;&lt;wsp:rsid wsp:val=&quot;00FE0BA6&quot;/&gt;&lt;wsp:rsid wsp:val=&quot;00FE0C80&quot;/&gt;&lt;wsp:rsid wsp:val=&quot;00FE0EEB&quot;/&gt;&lt;wsp:rsid wsp:val=&quot;00FE1247&quot;/&gt;&lt;wsp:rsid wsp:val=&quot;00FE13FE&quot;/&gt;&lt;wsp:rsid wsp:val=&quot;00FE1543&quot;/&gt;&lt;wsp:rsid wsp:val=&quot;00FE174B&quot;/&gt;&lt;wsp:rsid wsp:val=&quot;00FE1BF0&quot;/&gt;&lt;wsp:rsid wsp:val=&quot;00FE1C12&quot;/&gt;&lt;wsp:rsid wsp:val=&quot;00FE23D2&quot;/&gt;&lt;wsp:rsid wsp:val=&quot;00FE2C75&quot;/&gt;&lt;wsp:rsid wsp:val=&quot;00FE2EA9&quot;/&gt;&lt;wsp:rsid wsp:val=&quot;00FE2F88&quot;/&gt;&lt;wsp:rsid wsp:val=&quot;00FE3205&quot;/&gt;&lt;wsp:rsid wsp:val=&quot;00FE3508&quot;/&gt;&lt;wsp:rsid wsp:val=&quot;00FE4194&quot;/&gt;&lt;wsp:rsid wsp:val=&quot;00FE4C69&quot;/&gt;&lt;wsp:rsid wsp:val=&quot;00FE50F5&quot;/&gt;&lt;wsp:rsid wsp:val=&quot;00FE5A67&quot;/&gt;&lt;wsp:rsid wsp:val=&quot;00FE5B4E&quot;/&gt;&lt;wsp:rsid wsp:val=&quot;00FE5BB6&quot;/&gt;&lt;wsp:rsid wsp:val=&quot;00FE5FE2&quot;/&gt;&lt;wsp:rsid wsp:val=&quot;00FE68AF&quot;/&gt;&lt;wsp:rsid wsp:val=&quot;00FE69FF&quot;/&gt;&lt;wsp:rsid wsp:val=&quot;00FE6B81&quot;/&gt;&lt;wsp:rsid wsp:val=&quot;00FE6F08&quot;/&gt;&lt;wsp:rsid wsp:val=&quot;00FE73DA&quot;/&gt;&lt;wsp:rsid wsp:val=&quot;00FE7461&quot;/&gt;&lt;wsp:rsid wsp:val=&quot;00FE7AE3&quot;/&gt;&lt;wsp:rsid wsp:val=&quot;00FE7B60&quot;/&gt;&lt;wsp:rsid wsp:val=&quot;00FE7DA7&quot;/&gt;&lt;wsp:rsid wsp:val=&quot;00FF008D&quot;/&gt;&lt;wsp:rsid wsp:val=&quot;00FF035A&quot;/&gt;&lt;wsp:rsid wsp:val=&quot;00FF0673&quot;/&gt;&lt;wsp:rsid wsp:val=&quot;00FF0D10&quot;/&gt;&lt;wsp:rsid wsp:val=&quot;00FF0F50&quot;/&gt;&lt;wsp:rsid wsp:val=&quot;00FF1047&quot;/&gt;&lt;wsp:rsid wsp:val=&quot;00FF14A9&quot;/&gt;&lt;wsp:rsid wsp:val=&quot;00FF1544&quot;/&gt;&lt;wsp:rsid wsp:val=&quot;00FF17EF&quot;/&gt;&lt;wsp:rsid wsp:val=&quot;00FF1913&quot;/&gt;&lt;wsp:rsid wsp:val=&quot;00FF1B3F&quot;/&gt;&lt;wsp:rsid wsp:val=&quot;00FF2053&quot;/&gt;&lt;wsp:rsid wsp:val=&quot;00FF21AF&quot;/&gt;&lt;wsp:rsid wsp:val=&quot;00FF23D4&quot;/&gt;&lt;wsp:rsid wsp:val=&quot;00FF2490&quot;/&gt;&lt;wsp:rsid wsp:val=&quot;00FF24C2&quot;/&gt;&lt;wsp:rsid wsp:val=&quot;00FF2651&quot;/&gt;&lt;wsp:rsid wsp:val=&quot;00FF2697&quot;/&gt;&lt;wsp:rsid wsp:val=&quot;00FF26E2&quot;/&gt;&lt;wsp:rsid wsp:val=&quot;00FF2FA3&quot;/&gt;&lt;wsp:rsid wsp:val=&quot;00FF3527&quot;/&gt;&lt;wsp:rsid wsp:val=&quot;00FF3F2D&quot;/&gt;&lt;wsp:rsid wsp:val=&quot;00FF3FDC&quot;/&gt;&lt;wsp:rsid wsp:val=&quot;00FF418C&quot;/&gt;&lt;wsp:rsid wsp:val=&quot;00FF458A&quot;/&gt;&lt;wsp:rsid wsp:val=&quot;00FF4B3E&quot;/&gt;&lt;wsp:rsid wsp:val=&quot;00FF4BC9&quot;/&gt;&lt;wsp:rsid wsp:val=&quot;00FF4BCD&quot;/&gt;&lt;wsp:rsid wsp:val=&quot;00FF4CE9&quot;/&gt;&lt;wsp:rsid wsp:val=&quot;00FF4F95&quot;/&gt;&lt;wsp:rsid wsp:val=&quot;00FF5096&quot;/&gt;&lt;wsp:rsid wsp:val=&quot;00FF529E&quot;/&gt;&lt;wsp:rsid wsp:val=&quot;00FF549F&quot;/&gt;&lt;wsp:rsid wsp:val=&quot;00FF54B7&quot;/&gt;&lt;wsp:rsid wsp:val=&quot;00FF5666&quot;/&gt;&lt;wsp:rsid wsp:val=&quot;00FF56A5&quot;/&gt;&lt;wsp:rsid wsp:val=&quot;00FF5BF6&quot;/&gt;&lt;wsp:rsid wsp:val=&quot;00FF5C6D&quot;/&gt;&lt;wsp:rsid wsp:val=&quot;00FF5C6E&quot;/&gt;&lt;wsp:rsid wsp:val=&quot;00FF633F&quot;/&gt;&lt;wsp:rsid wsp:val=&quot;00FF66CC&quot;/&gt;&lt;wsp:rsid wsp:val=&quot;00FF67D3&quot;/&gt;&lt;wsp:rsid wsp:val=&quot;00FF6B0E&quot;/&gt;&lt;wsp:rsid wsp:val=&quot;00FF6B43&quot;/&gt;&lt;wsp:rsid wsp:val=&quot;00FF6F3F&quot;/&gt;&lt;wsp:rsid wsp:val=&quot;00FF7328&quot;/&gt;&lt;wsp:rsid wsp:val=&quot;00FF7600&quot;/&gt;&lt;wsp:rsid wsp:val=&quot;00FF77A7&quot;/&gt;&lt;wsp:rsid wsp:val=&quot;00FF7B0F&quot;/&gt;&lt;wsp:rsid wsp:val=&quot;00FF7D42&quot;/&gt;&lt;wsp:rsid wsp:val=&quot;00FF7F25&quot;/&gt;&lt;/wsp:rsids&gt;&lt;/w:docPr&gt;&lt;w:body&gt;&lt;w:p wsp:rsidR=&quot;00000000&quot; wsp:rsidRDefault=&quot;0026580C&quot;&gt;&lt;m:oMathPara&gt;&lt;m:oMath&gt;&lt;m:r&gt;&lt;w:rPr&gt;&lt;w:rFonts w:ascii=&quot;Cambria Math&quot; w:fareast=&quot;Times New Roman&quot; w:h-ansi=&quot;Cambria Math&quot;/&gt;&lt;wx:font wx:val=&quot;Cambria Math&quot;/&gt;&lt;w:i/&gt;&lt;w:sz w:val=&quot;28&quot;/&gt;&lt;w:sz-cs w:val=&quot;24&quot;/&gt;&lt;w:lang w:fareast=&quot;RU&quot;/&gt;&lt;/w:rPr&gt;&lt;m:t&gt;h= &lt;/m:t&gt;&lt;/m:r&gt;&lt;m:f&gt;&lt;m:fPr&gt;&lt;m:ctrlPr&gt;&lt;w:rPr&gt;&lt;w:rFonts w:ascii=&quot;Cambria Math&quot; w:fareast=&quot;Times New Roman&quot; w:h-ansi=&quot;Cambria Math&quot;/&gt;&lt;wx:font wx:val=&quot;Cambria Math&quot;/&gt;&lt;w:i/&gt;&lt;w:sz w:val=&quot;28&quot;/&gt;&lt;w:sz-cs w:val=&quot;24&quot;/&gt;&lt;w:lang w:fareast=&quot;RU&quot;/&gt;&lt;/w:rPr&gt;&lt;/m:ctrlPr&gt;&lt;/m:fPr&gt;&lt;m:num&gt;&lt;m:sSub&gt;&lt;m:sSubPr&gt;&lt;m:ctrlPr&gt;&lt;w:rPr&gt;&lt;w:rFonts w:ascii=&quot;Cambria Math&quot; w:fareast=&quot;Times New Roman&quot; w:h-ansi=&quot;Cambria Math&quot;/&gt;&lt;wx:font wx:val=&quot;Cambria Math&quot;/&gt;&lt;w:i/&gt;&lt;w:sz w:val=&quot;28&quot;/&gt;&lt;w:sz-cs w:val=&quot;24&quot;/&gt;&lt;w:lang w:fareast=&quot;RU&quot;/&gt;&lt;/w:rPr&gt;&lt;/m:ctrlPr&gt;&lt;/m:sSubPr&gt;&lt;m:e&gt;&lt;m:r&gt;&lt;w:rPr&gt;&lt;w:rFonts w:ascii=&quot;Cambria Math&quot; w:fareast=&quot;Times New Roman&quot; w:h-ansi=&quot;Cambria Math&quot;/&gt;&lt;wx:font wx:val=&quot;Cambria Math&quot;/&gt;&lt;w:i/&gt;&lt;w:sz w:val=&quot;28&quot;/&gt;&lt;w:sz-cs w:val=&quot;24&quot;/&gt;&lt;w:lang w:fareast=&quot;RU&quot;/&gt;&lt;/w:rPr&gt;&lt;m:t&gt;Q&lt;/m:t&gt;&lt;/m:r&gt;&lt;/m:e&gt;&lt;m:sub&gt;&lt;m:r&gt;&lt;w:rPr&gt;&lt;w:rFonts w:ascii=&quot;Cambria Math&quot; w:fareast=&quot;Times New Roman&quot; w:h-ansi=&quot;Cambria Math&quot;/&gt;&lt;wx:font wx:val=&quot;Cambria Math&quot;/&gt;&lt;w:i/&gt;&lt;w:sz w:val=&quot;28&quot;/&gt;&lt;w:sz-cs w:val=&quot;24&quot;/&gt;&lt;w:lang w:fareast=&quot;RU&quot;/&gt;&lt;/w:rPr&gt;&lt;m:t&gt;0&lt;/m:t&gt;&lt;/m:r&gt;&lt;/m:sub&gt;&lt;/m:sSub&gt;&lt;/m:num&gt;&lt;m:den&gt;&lt;m:sSub&gt;&lt;m:sSubPr&gt;&lt;m:ctrlPr&gt;&lt;w:rPr&gt;&lt;w:rFonts w:ascii=&quot;Cambria Math&quot; w:fareast=&quot;Times New Roman&quot; w:h-ansi=&quot;Cambria Math&quot;/&gt;&lt;wx:font wx:val=&quot;Cambria Math&quot;/&gt;&lt;w:i/&gt;&lt;w:sz w:val=&quot;28&quot;/&gt;&lt;w:sz-cs w:val=&quot;24&quot;/&gt;&lt;w:lang w:fareast=&quot;RU&quot;/&gt;&lt;/w:rPr&gt;&lt;/m:ctrlPr&gt;&lt;/m:sSubPr&gt;&lt;m:e&gt;&lt;m:r&gt;&lt;w:rPr&gt;&lt;w:rFonts w:ascii=&quot;Cambria Math&quot; w:fareast=&quot;Times New Roman&quot; w:h-ansi=&quot;Cambria Math&quot;/&gt;&lt;wx:font wx:val=&quot;Cambria Math&quot;/&gt;&lt;w:i/&gt;&lt;w:sz w:val=&quot;28&quot;/&gt;&lt;w:sz-cs w:val=&quot;24&quot;/&gt;&lt;w:lang w:fareast=&quot;RU&quot;/&gt;&lt;/w:rPr&gt;&lt;m:t&gt;F&lt;/m:t&gt;&lt;/m:r&gt;&lt;/m:e&gt;&lt;m:sub&gt;&lt;m:r&gt;&lt;w:rPr&gt;&lt;w:rFonts w:ascii=&quot;Cambria Math&quot; w:fareast=&quot;Times New Roman&quot; w:h-ansi=&quot;Cambria Math&quot;/&gt;&lt;wx:font wx:val=&quot;Cambria Math&quot;/&gt;&lt;w:i/&gt;&lt;w:sz w:val=&quot;28&quot;/&gt;&lt;w:sz-cs w:val=&quot;24&quot;/&gt;&lt;w:lang w:fareast=&quot;RU&quot;/&gt;&lt;/w:rPr&gt;&lt;m:t&gt;d&lt;/m:t&gt;&lt;/m:r&gt;&lt;/m:sub&gt;&lt;/m:sSub&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 o:title="" chromakey="white"/>
          </v:shape>
        </w:pict>
      </w:r>
    </w:p>
    <w:p w:rsidR="002D1E45" w:rsidRPr="004D071E" w:rsidRDefault="002D1E45" w:rsidP="004D071E">
      <w:pPr>
        <w:spacing w:after="0" w:line="240" w:lineRule="auto"/>
        <w:ind w:firstLine="709"/>
        <w:jc w:val="both"/>
        <w:rPr>
          <w:rFonts w:ascii="Times New Roman" w:hAnsi="Times New Roman"/>
          <w:sz w:val="28"/>
          <w:szCs w:val="24"/>
          <w:lang w:eastAsia="ru-RU"/>
        </w:rPr>
      </w:pPr>
    </w:p>
    <w:p w:rsidR="002D1E45" w:rsidRPr="004D071E" w:rsidRDefault="002D1E45" w:rsidP="004D071E">
      <w:pPr>
        <w:spacing w:after="0" w:line="240" w:lineRule="auto"/>
        <w:ind w:left="709"/>
        <w:jc w:val="both"/>
        <w:rPr>
          <w:rFonts w:ascii="Times New Roman" w:hAnsi="Times New Roman"/>
          <w:sz w:val="28"/>
          <w:szCs w:val="24"/>
          <w:lang w:eastAsia="ru-RU"/>
        </w:rPr>
      </w:pPr>
      <w:r w:rsidRPr="004D071E">
        <w:rPr>
          <w:rFonts w:ascii="Times New Roman" w:hAnsi="Times New Roman"/>
          <w:sz w:val="28"/>
          <w:szCs w:val="24"/>
          <w:lang w:eastAsia="ru-RU"/>
        </w:rPr>
        <w:t>где Q</w:t>
      </w:r>
      <w:r w:rsidRPr="004D071E">
        <w:rPr>
          <w:rFonts w:ascii="Times New Roman" w:hAnsi="Times New Roman"/>
          <w:sz w:val="28"/>
          <w:szCs w:val="24"/>
          <w:vertAlign w:val="subscript"/>
          <w:lang w:eastAsia="ru-RU"/>
        </w:rPr>
        <w:t>0</w:t>
      </w:r>
      <w:r w:rsidRPr="004D071E">
        <w:rPr>
          <w:rFonts w:ascii="Times New Roman" w:hAnsi="Times New Roman"/>
          <w:sz w:val="28"/>
          <w:szCs w:val="24"/>
          <w:lang w:eastAsia="ru-RU"/>
        </w:rPr>
        <w:t xml:space="preserve"> - количество выброшенного (разлившегося) при аварии вещества, т; </w:t>
      </w:r>
    </w:p>
    <w:p w:rsidR="002D1E45" w:rsidRPr="004D071E" w:rsidRDefault="002D1E45" w:rsidP="004D071E">
      <w:pPr>
        <w:spacing w:after="0" w:line="240" w:lineRule="auto"/>
        <w:ind w:left="709"/>
        <w:jc w:val="both"/>
        <w:rPr>
          <w:rFonts w:ascii="Times New Roman" w:hAnsi="Times New Roman"/>
          <w:sz w:val="28"/>
          <w:szCs w:val="24"/>
          <w:lang w:eastAsia="ru-RU"/>
        </w:rPr>
      </w:pPr>
      <w:r w:rsidRPr="004D071E">
        <w:rPr>
          <w:rFonts w:ascii="Times New Roman" w:hAnsi="Times New Roman"/>
          <w:sz w:val="28"/>
          <w:szCs w:val="24"/>
          <w:lang w:eastAsia="ru-RU"/>
        </w:rPr>
        <w:t>d - плотность АХОВ, определяемое по таблице В.3 приложения В СП 165.1325800.2014), т/м</w:t>
      </w:r>
      <w:r w:rsidRPr="004D071E">
        <w:rPr>
          <w:rFonts w:ascii="Times New Roman" w:hAnsi="Times New Roman"/>
          <w:sz w:val="28"/>
          <w:szCs w:val="24"/>
          <w:vertAlign w:val="superscript"/>
          <w:lang w:eastAsia="ru-RU"/>
        </w:rPr>
        <w:t>3</w:t>
      </w:r>
      <w:r w:rsidRPr="004D071E">
        <w:rPr>
          <w:rFonts w:ascii="Times New Roman" w:hAnsi="Times New Roman"/>
          <w:sz w:val="28"/>
          <w:szCs w:val="24"/>
          <w:lang w:eastAsia="ru-RU"/>
        </w:rPr>
        <w:t xml:space="preserve">; </w:t>
      </w:r>
    </w:p>
    <w:p w:rsidR="002D1E45" w:rsidRPr="004D071E" w:rsidRDefault="002D1E45" w:rsidP="004D071E">
      <w:pPr>
        <w:spacing w:after="0" w:line="240" w:lineRule="auto"/>
        <w:ind w:left="709"/>
        <w:jc w:val="both"/>
        <w:rPr>
          <w:rFonts w:ascii="Times New Roman" w:hAnsi="Times New Roman"/>
          <w:sz w:val="28"/>
          <w:szCs w:val="24"/>
          <w:lang w:eastAsia="ru-RU"/>
        </w:rPr>
      </w:pPr>
      <w:r w:rsidRPr="004D071E">
        <w:rPr>
          <w:rFonts w:ascii="Times New Roman" w:hAnsi="Times New Roman"/>
          <w:sz w:val="28"/>
          <w:szCs w:val="24"/>
          <w:lang w:eastAsia="ru-RU"/>
        </w:rPr>
        <w:t>F - реальная площадь разлива в поддон (обваловку), м</w:t>
      </w:r>
      <w:r w:rsidRPr="004D071E">
        <w:rPr>
          <w:rFonts w:ascii="Times New Roman" w:hAnsi="Times New Roman"/>
          <w:sz w:val="28"/>
          <w:szCs w:val="24"/>
          <w:vertAlign w:val="superscript"/>
          <w:lang w:eastAsia="ru-RU"/>
        </w:rPr>
        <w:t>2</w:t>
      </w:r>
      <w:r w:rsidRPr="004D071E">
        <w:rPr>
          <w:rFonts w:ascii="Times New Roman" w:hAnsi="Times New Roman"/>
          <w:sz w:val="28"/>
          <w:szCs w:val="24"/>
          <w:lang w:eastAsia="ru-RU"/>
        </w:rPr>
        <w:t>;</w:t>
      </w:r>
    </w:p>
    <w:p w:rsidR="002D1E45" w:rsidRPr="004D071E" w:rsidRDefault="002D1E45" w:rsidP="004D071E">
      <w:pPr>
        <w:spacing w:after="0" w:line="240" w:lineRule="auto"/>
        <w:ind w:firstLine="709"/>
        <w:jc w:val="both"/>
        <w:rPr>
          <w:rFonts w:ascii="Times New Roman" w:hAnsi="Times New Roman"/>
          <w:sz w:val="28"/>
          <w:szCs w:val="24"/>
          <w:lang w:eastAsia="ru-RU"/>
        </w:rPr>
      </w:pPr>
    </w:p>
    <w:p w:rsidR="002D1E45" w:rsidRPr="004D071E" w:rsidRDefault="002D1E45" w:rsidP="00852938">
      <w:pPr>
        <w:numPr>
          <w:ilvl w:val="0"/>
          <w:numId w:val="24"/>
        </w:numPr>
        <w:tabs>
          <w:tab w:val="clear" w:pos="1429"/>
          <w:tab w:val="left" w:pos="1134"/>
          <w:tab w:val="num" w:pos="1353"/>
        </w:tabs>
        <w:spacing w:after="0" w:line="240" w:lineRule="auto"/>
        <w:ind w:left="1134"/>
        <w:jc w:val="both"/>
        <w:rPr>
          <w:rFonts w:ascii="Times New Roman" w:hAnsi="Times New Roman"/>
          <w:sz w:val="28"/>
          <w:szCs w:val="24"/>
          <w:lang w:eastAsia="ru-RU"/>
        </w:rPr>
      </w:pPr>
      <w:r w:rsidRPr="004D071E">
        <w:rPr>
          <w:rFonts w:ascii="Times New Roman" w:hAnsi="Times New Roman"/>
          <w:sz w:val="28"/>
          <w:szCs w:val="24"/>
          <w:lang w:eastAsia="ru-RU"/>
        </w:rPr>
        <w:t>предельное время пребывания людей в зоне химического заражения и продолжительность сохранения неизменными метеорологических условий (степени вертикальной устойчивости атмосферы, направления и скорости ветра) составляет 4 ч. По истечении указанного времени прогноз обстановки должен уточняться;</w:t>
      </w:r>
    </w:p>
    <w:p w:rsidR="002D1E45" w:rsidRPr="004D071E" w:rsidRDefault="002D1E45" w:rsidP="00852938">
      <w:pPr>
        <w:numPr>
          <w:ilvl w:val="0"/>
          <w:numId w:val="24"/>
        </w:numPr>
        <w:tabs>
          <w:tab w:val="clear" w:pos="1429"/>
          <w:tab w:val="left" w:pos="1134"/>
          <w:tab w:val="num" w:pos="1353"/>
        </w:tabs>
        <w:spacing w:after="0" w:line="240" w:lineRule="auto"/>
        <w:ind w:left="1134"/>
        <w:jc w:val="both"/>
        <w:rPr>
          <w:rFonts w:ascii="Times New Roman" w:hAnsi="Times New Roman"/>
          <w:sz w:val="28"/>
          <w:szCs w:val="24"/>
          <w:lang w:eastAsia="ru-RU"/>
        </w:rPr>
      </w:pPr>
      <w:r w:rsidRPr="004D071E">
        <w:rPr>
          <w:rFonts w:ascii="Times New Roman" w:hAnsi="Times New Roman"/>
          <w:sz w:val="28"/>
          <w:szCs w:val="24"/>
          <w:lang w:eastAsia="ru-RU"/>
        </w:rPr>
        <w:t xml:space="preserve">при авариях на газо- и продуктопроводах значение выброса АХОВ должны принимать равным максимальному количеству АХОВ, содержащемуся в трубопроводе между автоматическими запорными устройствами, например, для аммиакопроводов </w:t>
      </w:r>
      <w:r>
        <w:rPr>
          <w:rFonts w:ascii="Times New Roman" w:hAnsi="Times New Roman"/>
          <w:sz w:val="28"/>
          <w:szCs w:val="24"/>
          <w:lang w:eastAsia="ru-RU"/>
        </w:rPr>
        <w:t>–</w:t>
      </w:r>
      <w:r w:rsidRPr="004D071E">
        <w:rPr>
          <w:rFonts w:ascii="Times New Roman" w:hAnsi="Times New Roman"/>
          <w:sz w:val="28"/>
          <w:szCs w:val="24"/>
          <w:lang w:eastAsia="ru-RU"/>
        </w:rPr>
        <w:t xml:space="preserve"> 275-500 т.</w:t>
      </w:r>
    </w:p>
    <w:p w:rsidR="002D1E45" w:rsidRPr="004D071E" w:rsidRDefault="002D1E45" w:rsidP="004D071E">
      <w:pPr>
        <w:spacing w:after="0" w:line="240" w:lineRule="auto"/>
        <w:ind w:firstLine="709"/>
        <w:jc w:val="both"/>
        <w:rPr>
          <w:rFonts w:ascii="Times New Roman" w:hAnsi="Times New Roman"/>
          <w:sz w:val="28"/>
          <w:szCs w:val="24"/>
          <w:lang w:eastAsia="ru-RU"/>
        </w:rPr>
      </w:pPr>
    </w:p>
    <w:p w:rsidR="002D1E45" w:rsidRPr="004D071E" w:rsidRDefault="002D1E45" w:rsidP="004D071E">
      <w:pPr>
        <w:spacing w:after="0" w:line="240" w:lineRule="auto"/>
        <w:ind w:firstLine="709"/>
        <w:jc w:val="both"/>
        <w:rPr>
          <w:rFonts w:ascii="Times New Roman" w:hAnsi="Times New Roman"/>
          <w:sz w:val="28"/>
          <w:szCs w:val="24"/>
          <w:lang w:eastAsia="ru-RU"/>
        </w:rPr>
      </w:pPr>
      <w:r w:rsidRPr="004D071E">
        <w:rPr>
          <w:rFonts w:ascii="Times New Roman" w:hAnsi="Times New Roman"/>
          <w:sz w:val="28"/>
          <w:szCs w:val="24"/>
          <w:lang w:eastAsia="ru-RU"/>
        </w:rPr>
        <w:t>Количественные характеристики выброса АХОВ для расчёта масштабов заражения определяются по их эквивалентным значениям.</w:t>
      </w:r>
    </w:p>
    <w:p w:rsidR="002D1E45" w:rsidRPr="004D071E" w:rsidRDefault="002D1E45" w:rsidP="004D071E">
      <w:pPr>
        <w:spacing w:after="0" w:line="240" w:lineRule="auto"/>
        <w:ind w:firstLine="709"/>
        <w:jc w:val="both"/>
        <w:rPr>
          <w:rFonts w:ascii="Times New Roman" w:hAnsi="Times New Roman"/>
          <w:sz w:val="28"/>
          <w:szCs w:val="28"/>
        </w:rPr>
      </w:pPr>
      <w:r w:rsidRPr="004D071E">
        <w:rPr>
          <w:rFonts w:ascii="Times New Roman" w:hAnsi="Times New Roman"/>
          <w:sz w:val="28"/>
          <w:szCs w:val="24"/>
          <w:lang w:eastAsia="ru-RU"/>
        </w:rPr>
        <w:t>Эквивалентное количество вещества по первичному облаку (в тоннах) определяется</w:t>
      </w:r>
      <w:r w:rsidRPr="004D071E">
        <w:rPr>
          <w:rFonts w:ascii="Times New Roman" w:hAnsi="Times New Roman"/>
          <w:sz w:val="28"/>
          <w:szCs w:val="28"/>
        </w:rPr>
        <w:t xml:space="preserve"> по формуле:</w:t>
      </w:r>
    </w:p>
    <w:p w:rsidR="002D1E45" w:rsidRPr="004D071E" w:rsidRDefault="002D1E45" w:rsidP="004D071E">
      <w:pPr>
        <w:spacing w:after="0" w:line="240" w:lineRule="auto"/>
        <w:ind w:firstLine="709"/>
        <w:jc w:val="both"/>
        <w:rPr>
          <w:rFonts w:ascii="Times New Roman" w:hAnsi="Times New Roman"/>
          <w:sz w:val="28"/>
          <w:szCs w:val="28"/>
        </w:rPr>
      </w:pPr>
    </w:p>
    <w:p w:rsidR="002D1E45" w:rsidRPr="004D071E" w:rsidRDefault="002D1E45" w:rsidP="004D071E">
      <w:pPr>
        <w:widowControl w:val="0"/>
        <w:tabs>
          <w:tab w:val="left" w:pos="9715"/>
        </w:tabs>
        <w:spacing w:before="121" w:after="0" w:line="240" w:lineRule="auto"/>
        <w:rPr>
          <w:rFonts w:ascii="Times New Roman" w:hAnsi="Times New Roman"/>
          <w:sz w:val="28"/>
        </w:rPr>
      </w:pPr>
      <w:r>
        <w:pict>
          <v:shape id="_x0000_i1035" type="#_x0000_t75" style="width:147pt;height:13.5pt" equationxml="&lt;?xml version=&quot;1.0&quot; encoding=&quot;UTF-8&quot; standalone=&quot;yes&quot;?&gt;&#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stylePaneFormatFilter w:val=&quot;3F01&quot;/&gt;&lt;w:defaultTabStop w:val=&quot;709&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55249&quot;/&gt;&lt;wsp:rsid wsp:val=&quot;00000069&quot;/&gt;&lt;wsp:rsid wsp:val=&quot;0000011C&quot;/&gt;&lt;wsp:rsid wsp:val=&quot;00000437&quot;/&gt;&lt;wsp:rsid wsp:val=&quot;00001379&quot;/&gt;&lt;wsp:rsid wsp:val=&quot;0000148E&quot;/&gt;&lt;wsp:rsid wsp:val=&quot;00001718&quot;/&gt;&lt;wsp:rsid wsp:val=&quot;000017EA&quot;/&gt;&lt;wsp:rsid wsp:val=&quot;00001828&quot;/&gt;&lt;wsp:rsid wsp:val=&quot;00001D98&quot;/&gt;&lt;wsp:rsid wsp:val=&quot;0000229E&quot;/&gt;&lt;wsp:rsid wsp:val=&quot;000027D5&quot;/&gt;&lt;wsp:rsid wsp:val=&quot;00002824&quot;/&gt;&lt;wsp:rsid wsp:val=&quot;00002C12&quot;/&gt;&lt;wsp:rsid wsp:val=&quot;00002C43&quot;/&gt;&lt;wsp:rsid wsp:val=&quot;00002D9C&quot;/&gt;&lt;wsp:rsid wsp:val=&quot;00002F36&quot;/&gt;&lt;wsp:rsid wsp:val=&quot;0000302F&quot;/&gt;&lt;wsp:rsid wsp:val=&quot;00003030&quot;/&gt;&lt;wsp:rsid wsp:val=&quot;00003EFF&quot;/&gt;&lt;wsp:rsid wsp:val=&quot;0000414C&quot;/&gt;&lt;wsp:rsid wsp:val=&quot;0000443D&quot;/&gt;&lt;wsp:rsid wsp:val=&quot;000046CC&quot;/&gt;&lt;wsp:rsid wsp:val=&quot;00004716&quot;/&gt;&lt;wsp:rsid wsp:val=&quot;0000486D&quot;/&gt;&lt;wsp:rsid wsp:val=&quot;000049C0&quot;/&gt;&lt;wsp:rsid wsp:val=&quot;00004D19&quot;/&gt;&lt;wsp:rsid wsp:val=&quot;00004FAE&quot;/&gt;&lt;wsp:rsid wsp:val=&quot;00004FFC&quot;/&gt;&lt;wsp:rsid wsp:val=&quot;00005636&quot;/&gt;&lt;wsp:rsid wsp:val=&quot;000056E1&quot;/&gt;&lt;wsp:rsid wsp:val=&quot;00005DAF&quot;/&gt;&lt;wsp:rsid wsp:val=&quot;00005F1A&quot;/&gt;&lt;wsp:rsid wsp:val=&quot;00005FEB&quot;/&gt;&lt;wsp:rsid wsp:val=&quot;00006392&quot;/&gt;&lt;wsp:rsid wsp:val=&quot;000063D0&quot;/&gt;&lt;wsp:rsid wsp:val=&quot;00006AE8&quot;/&gt;&lt;wsp:rsid wsp:val=&quot;00006D6F&quot;/&gt;&lt;wsp:rsid wsp:val=&quot;00007175&quot;/&gt;&lt;wsp:rsid wsp:val=&quot;00007274&quot;/&gt;&lt;wsp:rsid wsp:val=&quot;00007B99&quot;/&gt;&lt;wsp:rsid wsp:val=&quot;000101C0&quot;/&gt;&lt;wsp:rsid wsp:val=&quot;00010212&quot;/&gt;&lt;wsp:rsid wsp:val=&quot;00010264&quot;/&gt;&lt;wsp:rsid wsp:val=&quot;000102BD&quot;/&gt;&lt;wsp:rsid wsp:val=&quot;000102EA&quot;/&gt;&lt;wsp:rsid wsp:val=&quot;00010466&quot;/&gt;&lt;wsp:rsid wsp:val=&quot;00010AB4&quot;/&gt;&lt;wsp:rsid wsp:val=&quot;00010B0B&quot;/&gt;&lt;wsp:rsid wsp:val=&quot;00010C3B&quot;/&gt;&lt;wsp:rsid wsp:val=&quot;00010F91&quot;/&gt;&lt;wsp:rsid wsp:val=&quot;000112EE&quot;/&gt;&lt;wsp:rsid wsp:val=&quot;0001146D&quot;/&gt;&lt;wsp:rsid wsp:val=&quot;00011665&quot;/&gt;&lt;wsp:rsid wsp:val=&quot;00011B64&quot;/&gt;&lt;wsp:rsid wsp:val=&quot;00011CA8&quot;/&gt;&lt;wsp:rsid wsp:val=&quot;00011DE4&quot;/&gt;&lt;wsp:rsid wsp:val=&quot;000124AE&quot;/&gt;&lt;wsp:rsid wsp:val=&quot;000127BC&quot;/&gt;&lt;wsp:rsid wsp:val=&quot;00012A66&quot;/&gt;&lt;wsp:rsid wsp:val=&quot;00012DA8&quot;/&gt;&lt;wsp:rsid wsp:val=&quot;00013A20&quot;/&gt;&lt;wsp:rsid wsp:val=&quot;00013A8A&quot;/&gt;&lt;wsp:rsid wsp:val=&quot;00013CAF&quot;/&gt;&lt;wsp:rsid wsp:val=&quot;00013FBF&quot;/&gt;&lt;wsp:rsid wsp:val=&quot;00014152&quot;/&gt;&lt;wsp:rsid wsp:val=&quot;00014177&quot;/&gt;&lt;wsp:rsid wsp:val=&quot;0001436E&quot;/&gt;&lt;wsp:rsid wsp:val=&quot;00014640&quot;/&gt;&lt;wsp:rsid wsp:val=&quot;000146AB&quot;/&gt;&lt;wsp:rsid wsp:val=&quot;0001483D&quot;/&gt;&lt;wsp:rsid wsp:val=&quot;00014851&quot;/&gt;&lt;wsp:rsid wsp:val=&quot;00014B97&quot;/&gt;&lt;wsp:rsid wsp:val=&quot;00014CA6&quot;/&gt;&lt;wsp:rsid wsp:val=&quot;00015089&quot;/&gt;&lt;wsp:rsid wsp:val=&quot;00015200&quot;/&gt;&lt;wsp:rsid wsp:val=&quot;00015247&quot;/&gt;&lt;wsp:rsid wsp:val=&quot;00015471&quot;/&gt;&lt;wsp:rsid wsp:val=&quot;00015475&quot;/&gt;&lt;wsp:rsid wsp:val=&quot;000156EB&quot;/&gt;&lt;wsp:rsid wsp:val=&quot;00015CFD&quot;/&gt;&lt;wsp:rsid wsp:val=&quot;00015E89&quot;/&gt;&lt;wsp:rsid wsp:val=&quot;000162CA&quot;/&gt;&lt;wsp:rsid wsp:val=&quot;000168D8&quot;/&gt;&lt;wsp:rsid wsp:val=&quot;00016BF0&quot;/&gt;&lt;wsp:rsid wsp:val=&quot;00016DD4&quot;/&gt;&lt;wsp:rsid wsp:val=&quot;00016F5A&quot;/&gt;&lt;wsp:rsid wsp:val=&quot;000171AD&quot;/&gt;&lt;wsp:rsid wsp:val=&quot;0001725E&quot;/&gt;&lt;wsp:rsid wsp:val=&quot;000173C4&quot;/&gt;&lt;wsp:rsid wsp:val=&quot;0001783F&quot;/&gt;&lt;wsp:rsid wsp:val=&quot;00017B5A&quot;/&gt;&lt;wsp:rsid wsp:val=&quot;00017FC8&quot;/&gt;&lt;wsp:rsid wsp:val=&quot;000200B7&quot;/&gt;&lt;wsp:rsid wsp:val=&quot;00020690&quot;/&gt;&lt;wsp:rsid wsp:val=&quot;000207BC&quot;/&gt;&lt;wsp:rsid wsp:val=&quot;00020B70&quot;/&gt;&lt;wsp:rsid wsp:val=&quot;00020CF2&quot;/&gt;&lt;wsp:rsid wsp:val=&quot;00020D15&quot;/&gt;&lt;wsp:rsid wsp:val=&quot;0002146E&quot;/&gt;&lt;wsp:rsid wsp:val=&quot;000216FC&quot;/&gt;&lt;wsp:rsid wsp:val=&quot;00021808&quot;/&gt;&lt;wsp:rsid wsp:val=&quot;00021864&quot;/&gt;&lt;wsp:rsid wsp:val=&quot;000219DD&quot;/&gt;&lt;wsp:rsid wsp:val=&quot;00021A57&quot;/&gt;&lt;wsp:rsid wsp:val=&quot;00021C1B&quot;/&gt;&lt;wsp:rsid wsp:val=&quot;00021C6A&quot;/&gt;&lt;wsp:rsid wsp:val=&quot;0002261A&quot;/&gt;&lt;wsp:rsid wsp:val=&quot;00022689&quot;/&gt;&lt;wsp:rsid wsp:val=&quot;0002275A&quot;/&gt;&lt;wsp:rsid wsp:val=&quot;00022976&quot;/&gt;&lt;wsp:rsid wsp:val=&quot;00022B13&quot;/&gt;&lt;wsp:rsid wsp:val=&quot;00022C89&quot;/&gt;&lt;wsp:rsid wsp:val=&quot;00022ED3&quot;/&gt;&lt;wsp:rsid wsp:val=&quot;0002310D&quot;/&gt;&lt;wsp:rsid wsp:val=&quot;0002325C&quot;/&gt;&lt;wsp:rsid wsp:val=&quot;000233B5&quot;/&gt;&lt;wsp:rsid wsp:val=&quot;000235C8&quot;/&gt;&lt;wsp:rsid wsp:val=&quot;000237E7&quot;/&gt;&lt;wsp:rsid wsp:val=&quot;000238DD&quot;/&gt;&lt;wsp:rsid wsp:val=&quot;00023B4A&quot;/&gt;&lt;wsp:rsid wsp:val=&quot;00023CDA&quot;/&gt;&lt;wsp:rsid wsp:val=&quot;0002413B&quot;/&gt;&lt;wsp:rsid wsp:val=&quot;000244A8&quot;/&gt;&lt;wsp:rsid wsp:val=&quot;0002487C&quot;/&gt;&lt;wsp:rsid wsp:val=&quot;00024D37&quot;/&gt;&lt;wsp:rsid wsp:val=&quot;00024F28&quot;/&gt;&lt;wsp:rsid wsp:val=&quot;000252B6&quot;/&gt;&lt;wsp:rsid wsp:val=&quot;000254CC&quot;/&gt;&lt;wsp:rsid wsp:val=&quot;00025586&quot;/&gt;&lt;wsp:rsid wsp:val=&quot;000260FE&quot;/&gt;&lt;wsp:rsid wsp:val=&quot;00026294&quot;/&gt;&lt;wsp:rsid wsp:val=&quot;00026338&quot;/&gt;&lt;wsp:rsid wsp:val=&quot;000266C8&quot;/&gt;&lt;wsp:rsid wsp:val=&quot;00026ABE&quot;/&gt;&lt;wsp:rsid wsp:val=&quot;00026FF4&quot;/&gt;&lt;wsp:rsid wsp:val=&quot;0002729C&quot;/&gt;&lt;wsp:rsid wsp:val=&quot;000279E6&quot;/&gt;&lt;wsp:rsid wsp:val=&quot;00027B3A&quot;/&gt;&lt;wsp:rsid wsp:val=&quot;00027C41&quot;/&gt;&lt;wsp:rsid wsp:val=&quot;00027F89&quot;/&gt;&lt;wsp:rsid wsp:val=&quot;0003050D&quot;/&gt;&lt;wsp:rsid wsp:val=&quot;00030523&quot;/&gt;&lt;wsp:rsid wsp:val=&quot;00031209&quot;/&gt;&lt;wsp:rsid wsp:val=&quot;00031883&quot;/&gt;&lt;wsp:rsid wsp:val=&quot;00032460&quot;/&gt;&lt;wsp:rsid wsp:val=&quot;0003252F&quot;/&gt;&lt;wsp:rsid wsp:val=&quot;000325E4&quot;/&gt;&lt;wsp:rsid wsp:val=&quot;000329BA&quot;/&gt;&lt;wsp:rsid wsp:val=&quot;00032F20&quot;/&gt;&lt;wsp:rsid wsp:val=&quot;000330C7&quot;/&gt;&lt;wsp:rsid wsp:val=&quot;00033121&quot;/&gt;&lt;wsp:rsid wsp:val=&quot;000332E2&quot;/&gt;&lt;wsp:rsid wsp:val=&quot;00033895&quot;/&gt;&lt;wsp:rsid wsp:val=&quot;00033D2D&quot;/&gt;&lt;wsp:rsid wsp:val=&quot;0003401B&quot;/&gt;&lt;wsp:rsid wsp:val=&quot;000341CE&quot;/&gt;&lt;wsp:rsid wsp:val=&quot;00034258&quot;/&gt;&lt;wsp:rsid wsp:val=&quot;00034677&quot;/&gt;&lt;wsp:rsid wsp:val=&quot;000355D5&quot;/&gt;&lt;wsp:rsid wsp:val=&quot;0003587E&quot;/&gt;&lt;wsp:rsid wsp:val=&quot;000358E5&quot;/&gt;&lt;wsp:rsid wsp:val=&quot;00035FC8&quot;/&gt;&lt;wsp:rsid wsp:val=&quot;00036085&quot;/&gt;&lt;wsp:rsid wsp:val=&quot;0003610F&quot;/&gt;&lt;wsp:rsid wsp:val=&quot;00036574&quot;/&gt;&lt;wsp:rsid wsp:val=&quot;00036A0C&quot;/&gt;&lt;wsp:rsid wsp:val=&quot;0003741C&quot;/&gt;&lt;wsp:rsid wsp:val=&quot;000375A9&quot;/&gt;&lt;wsp:rsid wsp:val=&quot;000375E4&quot;/&gt;&lt;wsp:rsid wsp:val=&quot;00037990&quot;/&gt;&lt;wsp:rsid wsp:val=&quot;000379E2&quot;/&gt;&lt;wsp:rsid wsp:val=&quot;00037A8B&quot;/&gt;&lt;wsp:rsid wsp:val=&quot;00037B44&quot;/&gt;&lt;wsp:rsid wsp:val=&quot;00037D86&quot;/&gt;&lt;wsp:rsid wsp:val=&quot;000401B5&quot;/&gt;&lt;wsp:rsid wsp:val=&quot;00040704&quot;/&gt;&lt;wsp:rsid wsp:val=&quot;00040747&quot;/&gt;&lt;wsp:rsid wsp:val=&quot;00040937&quot;/&gt;&lt;wsp:rsid wsp:val=&quot;00040B84&quot;/&gt;&lt;wsp:rsid wsp:val=&quot;00040C12&quot;/&gt;&lt;wsp:rsid wsp:val=&quot;00040DA1&quot;/&gt;&lt;wsp:rsid wsp:val=&quot;00040F18&quot;/&gt;&lt;wsp:rsid wsp:val=&quot;0004110F&quot;/&gt;&lt;wsp:rsid wsp:val=&quot;000412EB&quot;/&gt;&lt;wsp:rsid wsp:val=&quot;0004138D&quot;/&gt;&lt;wsp:rsid wsp:val=&quot;000413F1&quot;/&gt;&lt;wsp:rsid wsp:val=&quot;000414C0&quot;/&gt;&lt;wsp:rsid wsp:val=&quot;00041E8F&quot;/&gt;&lt;wsp:rsid wsp:val=&quot;00041F06&quot;/&gt;&lt;wsp:rsid wsp:val=&quot;0004255B&quot;/&gt;&lt;wsp:rsid wsp:val=&quot;00042594&quot;/&gt;&lt;wsp:rsid wsp:val=&quot;0004273E&quot;/&gt;&lt;wsp:rsid wsp:val=&quot;00042764&quot;/&gt;&lt;wsp:rsid wsp:val=&quot;00042F4A&quot;/&gt;&lt;wsp:rsid wsp:val=&quot;000430F4&quot;/&gt;&lt;wsp:rsid wsp:val=&quot;00043921&quot;/&gt;&lt;wsp:rsid wsp:val=&quot;00043935&quot;/&gt;&lt;wsp:rsid wsp:val=&quot;00043EB2&quot;/&gt;&lt;wsp:rsid wsp:val=&quot;0004419F&quot;/&gt;&lt;wsp:rsid wsp:val=&quot;00044391&quot;/&gt;&lt;wsp:rsid wsp:val=&quot;0004446E&quot;/&gt;&lt;wsp:rsid wsp:val=&quot;000444B3&quot;/&gt;&lt;wsp:rsid wsp:val=&quot;00044538&quot;/&gt;&lt;wsp:rsid wsp:val=&quot;0004488A&quot;/&gt;&lt;wsp:rsid wsp:val=&quot;000449CE&quot;/&gt;&lt;wsp:rsid wsp:val=&quot;00044A16&quot;/&gt;&lt;wsp:rsid wsp:val=&quot;00044B5C&quot;/&gt;&lt;wsp:rsid wsp:val=&quot;00044D18&quot;/&gt;&lt;wsp:rsid wsp:val=&quot;00044E73&quot;/&gt;&lt;wsp:rsid wsp:val=&quot;00044F28&quot;/&gt;&lt;wsp:rsid wsp:val=&quot;00044FEF&quot;/&gt;&lt;wsp:rsid wsp:val=&quot;00045598&quot;/&gt;&lt;wsp:rsid wsp:val=&quot;00045B35&quot;/&gt;&lt;wsp:rsid wsp:val=&quot;00045E51&quot;/&gt;&lt;wsp:rsid wsp:val=&quot;00046110&quot;/&gt;&lt;wsp:rsid wsp:val=&quot;00046429&quot;/&gt;&lt;wsp:rsid wsp:val=&quot;0004668C&quot;/&gt;&lt;wsp:rsid wsp:val=&quot;000475D4&quot;/&gt;&lt;wsp:rsid wsp:val=&quot;00047C17&quot;/&gt;&lt;wsp:rsid wsp:val=&quot;00047C27&quot;/&gt;&lt;wsp:rsid wsp:val=&quot;00047C59&quot;/&gt;&lt;wsp:rsid wsp:val=&quot;00047F34&quot;/&gt;&lt;wsp:rsid wsp:val=&quot;000504F0&quot;/&gt;&lt;wsp:rsid wsp:val=&quot;00050664&quot;/&gt;&lt;wsp:rsid wsp:val=&quot;00050880&quot;/&gt;&lt;wsp:rsid wsp:val=&quot;00050993&quot;/&gt;&lt;wsp:rsid wsp:val=&quot;00050FD6&quot;/&gt;&lt;wsp:rsid wsp:val=&quot;00051206&quot;/&gt;&lt;wsp:rsid wsp:val=&quot;000515A2&quot;/&gt;&lt;wsp:rsid wsp:val=&quot;00051F54&quot;/&gt;&lt;wsp:rsid wsp:val=&quot;000520A1&quot;/&gt;&lt;wsp:rsid wsp:val=&quot;000525EB&quot;/&gt;&lt;wsp:rsid wsp:val=&quot;0005266E&quot;/&gt;&lt;wsp:rsid wsp:val=&quot;000527E0&quot;/&gt;&lt;wsp:rsid wsp:val=&quot;00052923&quot;/&gt;&lt;wsp:rsid wsp:val=&quot;00052D26&quot;/&gt;&lt;wsp:rsid wsp:val=&quot;00052E31&quot;/&gt;&lt;wsp:rsid wsp:val=&quot;000535A5&quot;/&gt;&lt;wsp:rsid wsp:val=&quot;000536A3&quot;/&gt;&lt;wsp:rsid wsp:val=&quot;00053D10&quot;/&gt;&lt;wsp:rsid wsp:val=&quot;00053F2B&quot;/&gt;&lt;wsp:rsid wsp:val=&quot;00053F37&quot;/&gt;&lt;wsp:rsid wsp:val=&quot;000546C9&quot;/&gt;&lt;wsp:rsid wsp:val=&quot;000547F3&quot;/&gt;&lt;wsp:rsid wsp:val=&quot;000548C7&quot;/&gt;&lt;wsp:rsid wsp:val=&quot;00054E12&quot;/&gt;&lt;wsp:rsid wsp:val=&quot;00054E32&quot;/&gt;&lt;wsp:rsid wsp:val=&quot;000551DD&quot;/&gt;&lt;wsp:rsid wsp:val=&quot;0005551E&quot;/&gt;&lt;wsp:rsid wsp:val=&quot;00055725&quot;/&gt;&lt;wsp:rsid wsp:val=&quot;0005582F&quot;/&gt;&lt;wsp:rsid wsp:val=&quot;000558B6&quot;/&gt;&lt;wsp:rsid wsp:val=&quot;00055A9A&quot;/&gt;&lt;wsp:rsid wsp:val=&quot;00055D45&quot;/&gt;&lt;wsp:rsid wsp:val=&quot;00055E28&quot;/&gt;&lt;wsp:rsid wsp:val=&quot;000563E2&quot;/&gt;&lt;wsp:rsid wsp:val=&quot;0005646A&quot;/&gt;&lt;wsp:rsid wsp:val=&quot;00056820&quot;/&gt;&lt;wsp:rsid wsp:val=&quot;00056C8F&quot;/&gt;&lt;wsp:rsid wsp:val=&quot;000570B4&quot;/&gt;&lt;wsp:rsid wsp:val=&quot;00057287&quot;/&gt;&lt;wsp:rsid wsp:val=&quot;00057450&quot;/&gt;&lt;wsp:rsid wsp:val=&quot;00057FD1&quot;/&gt;&lt;wsp:rsid wsp:val=&quot;000605C6&quot;/&gt;&lt;wsp:rsid wsp:val=&quot;0006094F&quot;/&gt;&lt;wsp:rsid wsp:val=&quot;00060D9A&quot;/&gt;&lt;wsp:rsid wsp:val=&quot;0006114D&quot;/&gt;&lt;wsp:rsid wsp:val=&quot;00061342&quot;/&gt;&lt;wsp:rsid wsp:val=&quot;000616FB&quot;/&gt;&lt;wsp:rsid wsp:val=&quot;00061D4B&quot;/&gt;&lt;wsp:rsid wsp:val=&quot;0006251F&quot;/&gt;&lt;wsp:rsid wsp:val=&quot;00062BCA&quot;/&gt;&lt;wsp:rsid wsp:val=&quot;00063845&quot;/&gt;&lt;wsp:rsid wsp:val=&quot;00063E7D&quot;/&gt;&lt;wsp:rsid wsp:val=&quot;00063F8C&quot;/&gt;&lt;wsp:rsid wsp:val=&quot;00064336&quot;/&gt;&lt;wsp:rsid wsp:val=&quot;000643A2&quot;/&gt;&lt;wsp:rsid wsp:val=&quot;00064B66&quot;/&gt;&lt;wsp:rsid wsp:val=&quot;00064F9D&quot;/&gt;&lt;wsp:rsid wsp:val=&quot;0006561A&quot;/&gt;&lt;wsp:rsid wsp:val=&quot;000659B9&quot;/&gt;&lt;wsp:rsid wsp:val=&quot;00065B48&quot;/&gt;&lt;wsp:rsid wsp:val=&quot;00065F03&quot;/&gt;&lt;wsp:rsid wsp:val=&quot;00066175&quot;/&gt;&lt;wsp:rsid wsp:val=&quot;000661F0&quot;/&gt;&lt;wsp:rsid wsp:val=&quot;00066384&quot;/&gt;&lt;wsp:rsid wsp:val=&quot;00066556&quot;/&gt;&lt;wsp:rsid wsp:val=&quot;00066C9F&quot;/&gt;&lt;wsp:rsid wsp:val=&quot;00066D83&quot;/&gt;&lt;wsp:rsid wsp:val=&quot;00067045&quot;/&gt;&lt;wsp:rsid wsp:val=&quot;00067A40&quot;/&gt;&lt;wsp:rsid wsp:val=&quot;00067AA3&quot;/&gt;&lt;wsp:rsid wsp:val=&quot;00067AB9&quot;/&gt;&lt;wsp:rsid wsp:val=&quot;00070000&quot;/&gt;&lt;wsp:rsid wsp:val=&quot;00070067&quot;/&gt;&lt;wsp:rsid wsp:val=&quot;0007015F&quot;/&gt;&lt;wsp:rsid wsp:val=&quot;000702C2&quot;/&gt;&lt;wsp:rsid wsp:val=&quot;000702C6&quot;/&gt;&lt;wsp:rsid wsp:val=&quot;00070A24&quot;/&gt;&lt;wsp:rsid wsp:val=&quot;00071628&quot;/&gt;&lt;wsp:rsid wsp:val=&quot;0007185F&quot;/&gt;&lt;wsp:rsid wsp:val=&quot;00072553&quot;/&gt;&lt;wsp:rsid wsp:val=&quot;00072E07&quot;/&gt;&lt;wsp:rsid wsp:val=&quot;00073729&quot;/&gt;&lt;wsp:rsid wsp:val=&quot;000739F2&quot;/&gt;&lt;wsp:rsid wsp:val=&quot;00073E02&quot;/&gt;&lt;wsp:rsid wsp:val=&quot;00074052&quot;/&gt;&lt;wsp:rsid wsp:val=&quot;00074807&quot;/&gt;&lt;wsp:rsid wsp:val=&quot;00075396&quot;/&gt;&lt;wsp:rsid wsp:val=&quot;00075542&quot;/&gt;&lt;wsp:rsid wsp:val=&quot;00075821&quot;/&gt;&lt;wsp:rsid wsp:val=&quot;00075BDC&quot;/&gt;&lt;wsp:rsid wsp:val=&quot;00075C12&quot;/&gt;&lt;wsp:rsid wsp:val=&quot;00076244&quot;/&gt;&lt;wsp:rsid wsp:val=&quot;0007658B&quot;/&gt;&lt;wsp:rsid wsp:val=&quot;000765A5&quot;/&gt;&lt;wsp:rsid wsp:val=&quot;000766B1&quot;/&gt;&lt;wsp:rsid wsp:val=&quot;00076AEC&quot;/&gt;&lt;wsp:rsid wsp:val=&quot;00076B85&quot;/&gt;&lt;wsp:rsid wsp:val=&quot;00077223&quot;/&gt;&lt;wsp:rsid wsp:val=&quot;000775BC&quot;/&gt;&lt;wsp:rsid wsp:val=&quot;00077735&quot;/&gt;&lt;wsp:rsid wsp:val=&quot;00077964&quot;/&gt;&lt;wsp:rsid wsp:val=&quot;00077AC7&quot;/&gt;&lt;wsp:rsid wsp:val=&quot;00080093&quot;/&gt;&lt;wsp:rsid wsp:val=&quot;00080B60&quot;/&gt;&lt;wsp:rsid wsp:val=&quot;00080D86&quot;/&gt;&lt;wsp:rsid wsp:val=&quot;0008123C&quot;/&gt;&lt;wsp:rsid wsp:val=&quot;000815B0&quot;/&gt;&lt;wsp:rsid wsp:val=&quot;000822F8&quot;/&gt;&lt;wsp:rsid wsp:val=&quot;0008289C&quot;/&gt;&lt;wsp:rsid wsp:val=&quot;00082ACC&quot;/&gt;&lt;wsp:rsid wsp:val=&quot;00082EC5&quot;/&gt;&lt;wsp:rsid wsp:val=&quot;00083307&quot;/&gt;&lt;wsp:rsid wsp:val=&quot;0008338D&quot;/&gt;&lt;wsp:rsid wsp:val=&quot;00083405&quot;/&gt;&lt;wsp:rsid wsp:val=&quot;00083653&quot;/&gt;&lt;wsp:rsid wsp:val=&quot;00083ADB&quot;/&gt;&lt;wsp:rsid wsp:val=&quot;00083BC4&quot;/&gt;&lt;wsp:rsid wsp:val=&quot;00083C79&quot;/&gt;&lt;wsp:rsid wsp:val=&quot;000845BC&quot;/&gt;&lt;wsp:rsid wsp:val=&quot;00084681&quot;/&gt;&lt;wsp:rsid wsp:val=&quot;000849E2&quot;/&gt;&lt;wsp:rsid wsp:val=&quot;00085033&quot;/&gt;&lt;wsp:rsid wsp:val=&quot;0008530A&quot;/&gt;&lt;wsp:rsid wsp:val=&quot;00085A95&quot;/&gt;&lt;wsp:rsid wsp:val=&quot;00085CFD&quot;/&gt;&lt;wsp:rsid wsp:val=&quot;0008620C&quot;/&gt;&lt;wsp:rsid wsp:val=&quot;00086329&quot;/&gt;&lt;wsp:rsid wsp:val=&quot;0008638E&quot;/&gt;&lt;wsp:rsid wsp:val=&quot;00086444&quot;/&gt;&lt;wsp:rsid wsp:val=&quot;00086BB9&quot;/&gt;&lt;wsp:rsid wsp:val=&quot;00087727&quot;/&gt;&lt;wsp:rsid wsp:val=&quot;000877E2&quot;/&gt;&lt;wsp:rsid wsp:val=&quot;00087AC4&quot;/&gt;&lt;wsp:rsid wsp:val=&quot;00087E23&quot;/&gt;&lt;wsp:rsid wsp:val=&quot;0009014C&quot;/&gt;&lt;wsp:rsid wsp:val=&quot;0009092E&quot;/&gt;&lt;wsp:rsid wsp:val=&quot;00090D88&quot;/&gt;&lt;wsp:rsid wsp:val=&quot;00091590&quot;/&gt;&lt;wsp:rsid wsp:val=&quot;0009167E&quot;/&gt;&lt;wsp:rsid wsp:val=&quot;00091B44&quot;/&gt;&lt;wsp:rsid wsp:val=&quot;00091DDD&quot;/&gt;&lt;wsp:rsid wsp:val=&quot;00092244&quot;/&gt;&lt;wsp:rsid wsp:val=&quot;000922A0&quot;/&gt;&lt;wsp:rsid wsp:val=&quot;0009250A&quot;/&gt;&lt;wsp:rsid wsp:val=&quot;00092832&quot;/&gt;&lt;wsp:rsid wsp:val=&quot;00092880&quot;/&gt;&lt;wsp:rsid wsp:val=&quot;000928B8&quot;/&gt;&lt;wsp:rsid wsp:val=&quot;00092BDB&quot;/&gt;&lt;wsp:rsid wsp:val=&quot;00092D38&quot;/&gt;&lt;wsp:rsid wsp:val=&quot;00092DF8&quot;/&gt;&lt;wsp:rsid wsp:val=&quot;00093306&quot;/&gt;&lt;wsp:rsid wsp:val=&quot;00093658&quot;/&gt;&lt;wsp:rsid wsp:val=&quot;000936D3&quot;/&gt;&lt;wsp:rsid wsp:val=&quot;00093D53&quot;/&gt;&lt;wsp:rsid wsp:val=&quot;00093FD6&quot;/&gt;&lt;wsp:rsid wsp:val=&quot;000943A3&quot;/&gt;&lt;wsp:rsid wsp:val=&quot;0009494C&quot;/&gt;&lt;wsp:rsid wsp:val=&quot;00094EE1&quot;/&gt;&lt;wsp:rsid wsp:val=&quot;00095196&quot;/&gt;&lt;wsp:rsid wsp:val=&quot;00095C3B&quot;/&gt;&lt;wsp:rsid wsp:val=&quot;00096485&quot;/&gt;&lt;wsp:rsid wsp:val=&quot;000964BF&quot;/&gt;&lt;wsp:rsid wsp:val=&quot;00096807&quot;/&gt;&lt;wsp:rsid wsp:val=&quot;00096843&quot;/&gt;&lt;wsp:rsid wsp:val=&quot;000968B5&quot;/&gt;&lt;wsp:rsid wsp:val=&quot;00096B2F&quot;/&gt;&lt;wsp:rsid wsp:val=&quot;00096F78&quot;/&gt;&lt;wsp:rsid wsp:val=&quot;00097521&quot;/&gt;&lt;wsp:rsid wsp:val=&quot;000978B1&quot;/&gt;&lt;wsp:rsid wsp:val=&quot;000A002B&quot;/&gt;&lt;wsp:rsid wsp:val=&quot;000A0434&quot;/&gt;&lt;wsp:rsid wsp:val=&quot;000A04F0&quot;/&gt;&lt;wsp:rsid wsp:val=&quot;000A08A6&quot;/&gt;&lt;wsp:rsid wsp:val=&quot;000A0932&quot;/&gt;&lt;wsp:rsid wsp:val=&quot;000A0A93&quot;/&gt;&lt;wsp:rsid wsp:val=&quot;000A0BB0&quot;/&gt;&lt;wsp:rsid wsp:val=&quot;000A0DA2&quot;/&gt;&lt;wsp:rsid wsp:val=&quot;000A16CC&quot;/&gt;&lt;wsp:rsid wsp:val=&quot;000A1A46&quot;/&gt;&lt;wsp:rsid wsp:val=&quot;000A1B18&quot;/&gt;&lt;wsp:rsid wsp:val=&quot;000A1C8A&quot;/&gt;&lt;wsp:rsid wsp:val=&quot;000A379F&quot;/&gt;&lt;wsp:rsid wsp:val=&quot;000A38E0&quot;/&gt;&lt;wsp:rsid wsp:val=&quot;000A39DE&quot;/&gt;&lt;wsp:rsid wsp:val=&quot;000A3C68&quot;/&gt;&lt;wsp:rsid wsp:val=&quot;000A3F95&quot;/&gt;&lt;wsp:rsid wsp:val=&quot;000A4373&quot;/&gt;&lt;wsp:rsid wsp:val=&quot;000A4670&quot;/&gt;&lt;wsp:rsid wsp:val=&quot;000A477D&quot;/&gt;&lt;wsp:rsid wsp:val=&quot;000A47CF&quot;/&gt;&lt;wsp:rsid wsp:val=&quot;000A4C05&quot;/&gt;&lt;wsp:rsid wsp:val=&quot;000A4D03&quot;/&gt;&lt;wsp:rsid wsp:val=&quot;000A4FB4&quot;/&gt;&lt;wsp:rsid wsp:val=&quot;000A4FF6&quot;/&gt;&lt;wsp:rsid wsp:val=&quot;000A512E&quot;/&gt;&lt;wsp:rsid wsp:val=&quot;000A525A&quot;/&gt;&lt;wsp:rsid wsp:val=&quot;000A52FF&quot;/&gt;&lt;wsp:rsid wsp:val=&quot;000A57A2&quot;/&gt;&lt;wsp:rsid wsp:val=&quot;000A5EA9&quot;/&gt;&lt;wsp:rsid wsp:val=&quot;000A611E&quot;/&gt;&lt;wsp:rsid wsp:val=&quot;000A6372&quot;/&gt;&lt;wsp:rsid wsp:val=&quot;000A68B1&quot;/&gt;&lt;wsp:rsid wsp:val=&quot;000A6AAC&quot;/&gt;&lt;wsp:rsid wsp:val=&quot;000A6BF9&quot;/&gt;&lt;wsp:rsid wsp:val=&quot;000A6E06&quot;/&gt;&lt;wsp:rsid wsp:val=&quot;000A718C&quot;/&gt;&lt;wsp:rsid wsp:val=&quot;000A741A&quot;/&gt;&lt;wsp:rsid wsp:val=&quot;000A7430&quot;/&gt;&lt;wsp:rsid wsp:val=&quot;000A7482&quot;/&gt;&lt;wsp:rsid wsp:val=&quot;000A7895&quot;/&gt;&lt;wsp:rsid wsp:val=&quot;000A7BD7&quot;/&gt;&lt;wsp:rsid wsp:val=&quot;000A7D80&quot;/&gt;&lt;wsp:rsid wsp:val=&quot;000B1142&quot;/&gt;&lt;wsp:rsid wsp:val=&quot;000B1322&quot;/&gt;&lt;wsp:rsid wsp:val=&quot;000B149A&quot;/&gt;&lt;wsp:rsid wsp:val=&quot;000B14DF&quot;/&gt;&lt;wsp:rsid wsp:val=&quot;000B167D&quot;/&gt;&lt;wsp:rsid wsp:val=&quot;000B1B67&quot;/&gt;&lt;wsp:rsid wsp:val=&quot;000B1E31&quot;/&gt;&lt;wsp:rsid wsp:val=&quot;000B221A&quot;/&gt;&lt;wsp:rsid wsp:val=&quot;000B251B&quot;/&gt;&lt;wsp:rsid wsp:val=&quot;000B25C3&quot;/&gt;&lt;wsp:rsid wsp:val=&quot;000B27FD&quot;/&gt;&lt;wsp:rsid wsp:val=&quot;000B286C&quot;/&gt;&lt;wsp:rsid wsp:val=&quot;000B2B47&quot;/&gt;&lt;wsp:rsid wsp:val=&quot;000B2B6B&quot;/&gt;&lt;wsp:rsid wsp:val=&quot;000B2C1A&quot;/&gt;&lt;wsp:rsid wsp:val=&quot;000B2EB4&quot;/&gt;&lt;wsp:rsid wsp:val=&quot;000B3481&quot;/&gt;&lt;wsp:rsid wsp:val=&quot;000B3B79&quot;/&gt;&lt;wsp:rsid wsp:val=&quot;000B4097&quot;/&gt;&lt;wsp:rsid wsp:val=&quot;000B40D5&quot;/&gt;&lt;wsp:rsid wsp:val=&quot;000B439E&quot;/&gt;&lt;wsp:rsid wsp:val=&quot;000B4880&quot;/&gt;&lt;wsp:rsid wsp:val=&quot;000B4C48&quot;/&gt;&lt;wsp:rsid wsp:val=&quot;000B51E8&quot;/&gt;&lt;wsp:rsid wsp:val=&quot;000B5B75&quot;/&gt;&lt;wsp:rsid wsp:val=&quot;000B5B94&quot;/&gt;&lt;wsp:rsid wsp:val=&quot;000B5C9E&quot;/&gt;&lt;wsp:rsid wsp:val=&quot;000B641C&quot;/&gt;&lt;wsp:rsid wsp:val=&quot;000B6424&quot;/&gt;&lt;wsp:rsid wsp:val=&quot;000B6501&quot;/&gt;&lt;wsp:rsid wsp:val=&quot;000B6618&quot;/&gt;&lt;wsp:rsid wsp:val=&quot;000B693A&quot;/&gt;&lt;wsp:rsid wsp:val=&quot;000B69BA&quot;/&gt;&lt;wsp:rsid wsp:val=&quot;000B6EF4&quot;/&gt;&lt;wsp:rsid wsp:val=&quot;000B6F17&quot;/&gt;&lt;wsp:rsid wsp:val=&quot;000B6F8A&quot;/&gt;&lt;wsp:rsid wsp:val=&quot;000B7311&quot;/&gt;&lt;wsp:rsid wsp:val=&quot;000B7768&quot;/&gt;&lt;wsp:rsid wsp:val=&quot;000B79A3&quot;/&gt;&lt;wsp:rsid wsp:val=&quot;000C060E&quot;/&gt;&lt;wsp:rsid wsp:val=&quot;000C0854&quot;/&gt;&lt;wsp:rsid wsp:val=&quot;000C0E5A&quot;/&gt;&lt;wsp:rsid wsp:val=&quot;000C0F02&quot;/&gt;&lt;wsp:rsid wsp:val=&quot;000C134A&quot;/&gt;&lt;wsp:rsid wsp:val=&quot;000C1706&quot;/&gt;&lt;wsp:rsid wsp:val=&quot;000C1C1D&quot;/&gt;&lt;wsp:rsid wsp:val=&quot;000C1CF9&quot;/&gt;&lt;wsp:rsid wsp:val=&quot;000C1E63&quot;/&gt;&lt;wsp:rsid wsp:val=&quot;000C1FAA&quot;/&gt;&lt;wsp:rsid wsp:val=&quot;000C2A69&quot;/&gt;&lt;wsp:rsid wsp:val=&quot;000C313A&quot;/&gt;&lt;wsp:rsid wsp:val=&quot;000C313D&quot;/&gt;&lt;wsp:rsid wsp:val=&quot;000C324D&quot;/&gt;&lt;wsp:rsid wsp:val=&quot;000C3271&quot;/&gt;&lt;wsp:rsid wsp:val=&quot;000C34E4&quot;/&gt;&lt;wsp:rsid wsp:val=&quot;000C3563&quot;/&gt;&lt;wsp:rsid wsp:val=&quot;000C36F0&quot;/&gt;&lt;wsp:rsid wsp:val=&quot;000C3850&quot;/&gt;&lt;wsp:rsid wsp:val=&quot;000C3B1C&quot;/&gt;&lt;wsp:rsid wsp:val=&quot;000C3D26&quot;/&gt;&lt;wsp:rsid wsp:val=&quot;000C3E41&quot;/&gt;&lt;wsp:rsid wsp:val=&quot;000C40E5&quot;/&gt;&lt;wsp:rsid wsp:val=&quot;000C458C&quot;/&gt;&lt;wsp:rsid wsp:val=&quot;000C4D5D&quot;/&gt;&lt;wsp:rsid wsp:val=&quot;000C55A4&quot;/&gt;&lt;wsp:rsid wsp:val=&quot;000C5DF7&quot;/&gt;&lt;wsp:rsid wsp:val=&quot;000C6617&quot;/&gt;&lt;wsp:rsid wsp:val=&quot;000C68A4&quot;/&gt;&lt;wsp:rsid wsp:val=&quot;000C695C&quot;/&gt;&lt;wsp:rsid wsp:val=&quot;000C7051&quot;/&gt;&lt;wsp:rsid wsp:val=&quot;000C75BD&quot;/&gt;&lt;wsp:rsid wsp:val=&quot;000C771E&quot;/&gt;&lt;wsp:rsid wsp:val=&quot;000C7AF7&quot;/&gt;&lt;wsp:rsid wsp:val=&quot;000C7FDE&quot;/&gt;&lt;wsp:rsid wsp:val=&quot;000D024B&quot;/&gt;&lt;wsp:rsid wsp:val=&quot;000D03D3&quot;/&gt;&lt;wsp:rsid wsp:val=&quot;000D04D2&quot;/&gt;&lt;wsp:rsid wsp:val=&quot;000D05CB&quot;/&gt;&lt;wsp:rsid wsp:val=&quot;000D06AA&quot;/&gt;&lt;wsp:rsid wsp:val=&quot;000D0A5E&quot;/&gt;&lt;wsp:rsid wsp:val=&quot;000D0E34&quot;/&gt;&lt;wsp:rsid wsp:val=&quot;000D123D&quot;/&gt;&lt;wsp:rsid wsp:val=&quot;000D12B2&quot;/&gt;&lt;wsp:rsid wsp:val=&quot;000D1489&quot;/&gt;&lt;wsp:rsid wsp:val=&quot;000D1698&quot;/&gt;&lt;wsp:rsid wsp:val=&quot;000D1A50&quot;/&gt;&lt;wsp:rsid wsp:val=&quot;000D1C03&quot;/&gt;&lt;wsp:rsid wsp:val=&quot;000D1D53&quot;/&gt;&lt;wsp:rsid wsp:val=&quot;000D232C&quot;/&gt;&lt;wsp:rsid wsp:val=&quot;000D285E&quot;/&gt;&lt;wsp:rsid wsp:val=&quot;000D28F0&quot;/&gt;&lt;wsp:rsid wsp:val=&quot;000D296A&quot;/&gt;&lt;wsp:rsid wsp:val=&quot;000D2992&quot;/&gt;&lt;wsp:rsid wsp:val=&quot;000D2C72&quot;/&gt;&lt;wsp:rsid wsp:val=&quot;000D31FD&quot;/&gt;&lt;wsp:rsid wsp:val=&quot;000D3378&quot;/&gt;&lt;wsp:rsid wsp:val=&quot;000D35B2&quot;/&gt;&lt;wsp:rsid wsp:val=&quot;000D3671&quot;/&gt;&lt;wsp:rsid wsp:val=&quot;000D409D&quot;/&gt;&lt;wsp:rsid wsp:val=&quot;000D4513&quot;/&gt;&lt;wsp:rsid wsp:val=&quot;000D4CD0&quot;/&gt;&lt;wsp:rsid wsp:val=&quot;000D4D1D&quot;/&gt;&lt;wsp:rsid wsp:val=&quot;000D4DC6&quot;/&gt;&lt;wsp:rsid wsp:val=&quot;000D4F86&quot;/&gt;&lt;wsp:rsid wsp:val=&quot;000D50D1&quot;/&gt;&lt;wsp:rsid wsp:val=&quot;000D54E7&quot;/&gt;&lt;wsp:rsid wsp:val=&quot;000D5542&quot;/&gt;&lt;wsp:rsid wsp:val=&quot;000D569C&quot;/&gt;&lt;wsp:rsid wsp:val=&quot;000D57B5&quot;/&gt;&lt;wsp:rsid wsp:val=&quot;000D580C&quot;/&gt;&lt;wsp:rsid wsp:val=&quot;000D5848&quot;/&gt;&lt;wsp:rsid wsp:val=&quot;000D59E3&quot;/&gt;&lt;wsp:rsid wsp:val=&quot;000D5ACC&quot;/&gt;&lt;wsp:rsid wsp:val=&quot;000D5E6D&quot;/&gt;&lt;wsp:rsid wsp:val=&quot;000D5ED1&quot;/&gt;&lt;wsp:rsid wsp:val=&quot;000D6903&quot;/&gt;&lt;wsp:rsid wsp:val=&quot;000D6F84&quot;/&gt;&lt;wsp:rsid wsp:val=&quot;000D6FE1&quot;/&gt;&lt;wsp:rsid wsp:val=&quot;000D708D&quot;/&gt;&lt;wsp:rsid wsp:val=&quot;000D753B&quot;/&gt;&lt;wsp:rsid wsp:val=&quot;000D7FBD&quot;/&gt;&lt;wsp:rsid wsp:val=&quot;000E00E8&quot;/&gt;&lt;wsp:rsid wsp:val=&quot;000E013F&quot;/&gt;&lt;wsp:rsid wsp:val=&quot;000E08A7&quot;/&gt;&lt;wsp:rsid wsp:val=&quot;000E0D19&quot;/&gt;&lt;wsp:rsid wsp:val=&quot;000E1064&quot;/&gt;&lt;wsp:rsid wsp:val=&quot;000E1137&quot;/&gt;&lt;wsp:rsid wsp:val=&quot;000E1324&quot;/&gt;&lt;wsp:rsid wsp:val=&quot;000E147C&quot;/&gt;&lt;wsp:rsid wsp:val=&quot;000E16EE&quot;/&gt;&lt;wsp:rsid wsp:val=&quot;000E1736&quot;/&gt;&lt;wsp:rsid wsp:val=&quot;000E1B5F&quot;/&gt;&lt;wsp:rsid wsp:val=&quot;000E20CF&quot;/&gt;&lt;wsp:rsid wsp:val=&quot;000E2277&quot;/&gt;&lt;wsp:rsid wsp:val=&quot;000E22A7&quot;/&gt;&lt;wsp:rsid wsp:val=&quot;000E22ED&quot;/&gt;&lt;wsp:rsid wsp:val=&quot;000E25F1&quot;/&gt;&lt;wsp:rsid wsp:val=&quot;000E2A13&quot;/&gt;&lt;wsp:rsid wsp:val=&quot;000E32F7&quot;/&gt;&lt;wsp:rsid wsp:val=&quot;000E381E&quot;/&gt;&lt;wsp:rsid wsp:val=&quot;000E3AEB&quot;/&gt;&lt;wsp:rsid wsp:val=&quot;000E4019&quot;/&gt;&lt;wsp:rsid wsp:val=&quot;000E4421&quot;/&gt;&lt;wsp:rsid wsp:val=&quot;000E4906&quot;/&gt;&lt;wsp:rsid wsp:val=&quot;000E4CA2&quot;/&gt;&lt;wsp:rsid wsp:val=&quot;000E4F6D&quot;/&gt;&lt;wsp:rsid wsp:val=&quot;000E5496&quot;/&gt;&lt;wsp:rsid wsp:val=&quot;000E56AD&quot;/&gt;&lt;wsp:rsid wsp:val=&quot;000E56C5&quot;/&gt;&lt;wsp:rsid wsp:val=&quot;000E5B04&quot;/&gt;&lt;wsp:rsid wsp:val=&quot;000E64B9&quot;/&gt;&lt;wsp:rsid wsp:val=&quot;000E6562&quot;/&gt;&lt;wsp:rsid wsp:val=&quot;000E6586&quot;/&gt;&lt;wsp:rsid wsp:val=&quot;000E72CA&quot;/&gt;&lt;wsp:rsid wsp:val=&quot;000E7460&quot;/&gt;&lt;wsp:rsid wsp:val=&quot;000E785F&quot;/&gt;&lt;wsp:rsid wsp:val=&quot;000F0095&quot;/&gt;&lt;wsp:rsid wsp:val=&quot;000F0866&quot;/&gt;&lt;wsp:rsid wsp:val=&quot;000F08DE&quot;/&gt;&lt;wsp:rsid wsp:val=&quot;000F0AEA&quot;/&gt;&lt;wsp:rsid wsp:val=&quot;000F0B14&quot;/&gt;&lt;wsp:rsid wsp:val=&quot;000F0D9D&quot;/&gt;&lt;wsp:rsid wsp:val=&quot;000F1187&quot;/&gt;&lt;wsp:rsid wsp:val=&quot;000F13C2&quot;/&gt;&lt;wsp:rsid wsp:val=&quot;000F15F2&quot;/&gt;&lt;wsp:rsid wsp:val=&quot;000F1830&quot;/&gt;&lt;wsp:rsid wsp:val=&quot;000F2759&quot;/&gt;&lt;wsp:rsid wsp:val=&quot;000F317F&quot;/&gt;&lt;wsp:rsid wsp:val=&quot;000F337B&quot;/&gt;&lt;wsp:rsid wsp:val=&quot;000F3CC7&quot;/&gt;&lt;wsp:rsid wsp:val=&quot;000F403D&quot;/&gt;&lt;wsp:rsid wsp:val=&quot;000F4287&quot;/&gt;&lt;wsp:rsid wsp:val=&quot;000F4389&quot;/&gt;&lt;wsp:rsid wsp:val=&quot;000F484B&quot;/&gt;&lt;wsp:rsid wsp:val=&quot;000F4FAE&quot;/&gt;&lt;wsp:rsid wsp:val=&quot;000F5591&quot;/&gt;&lt;wsp:rsid wsp:val=&quot;000F57E4&quot;/&gt;&lt;wsp:rsid wsp:val=&quot;000F5C16&quot;/&gt;&lt;wsp:rsid wsp:val=&quot;000F60E6&quot;/&gt;&lt;wsp:rsid wsp:val=&quot;000F6F5B&quot;/&gt;&lt;wsp:rsid wsp:val=&quot;000F743B&quot;/&gt;&lt;wsp:rsid wsp:val=&quot;000F79ED&quot;/&gt;&lt;wsp:rsid wsp:val=&quot;000F7E8F&quot;/&gt;&lt;wsp:rsid wsp:val=&quot;00100565&quot;/&gt;&lt;wsp:rsid wsp:val=&quot;0010079F&quot;/&gt;&lt;wsp:rsid wsp:val=&quot;001007F6&quot;/&gt;&lt;wsp:rsid wsp:val=&quot;0010085A&quot;/&gt;&lt;wsp:rsid wsp:val=&quot;00100B18&quot;/&gt;&lt;wsp:rsid wsp:val=&quot;00100C0C&quot;/&gt;&lt;wsp:rsid wsp:val=&quot;00100FA1&quot;/&gt;&lt;wsp:rsid wsp:val=&quot;00100FA5&quot;/&gt;&lt;wsp:rsid wsp:val=&quot;0010136D&quot;/&gt;&lt;wsp:rsid wsp:val=&quot;001013C0&quot;/&gt;&lt;wsp:rsid wsp:val=&quot;0010153E&quot;/&gt;&lt;wsp:rsid wsp:val=&quot;001017D1&quot;/&gt;&lt;wsp:rsid wsp:val=&quot;00101889&quot;/&gt;&lt;wsp:rsid wsp:val=&quot;00101BF0&quot;/&gt;&lt;wsp:rsid wsp:val=&quot;00102343&quot;/&gt;&lt;wsp:rsid wsp:val=&quot;00102433&quot;/&gt;&lt;wsp:rsid wsp:val=&quot;00102564&quot;/&gt;&lt;wsp:rsid wsp:val=&quot;001028FB&quot;/&gt;&lt;wsp:rsid wsp:val=&quot;0010291C&quot;/&gt;&lt;wsp:rsid wsp:val=&quot;00102B88&quot;/&gt;&lt;wsp:rsid wsp:val=&quot;00102C99&quot;/&gt;&lt;wsp:rsid wsp:val=&quot;00103887&quot;/&gt;&lt;wsp:rsid wsp:val=&quot;00103962&quot;/&gt;&lt;wsp:rsid wsp:val=&quot;00103D38&quot;/&gt;&lt;wsp:rsid wsp:val=&quot;00104722&quot;/&gt;&lt;wsp:rsid wsp:val=&quot;00104A66&quot;/&gt;&lt;wsp:rsid wsp:val=&quot;00104A96&quot;/&gt;&lt;wsp:rsid wsp:val=&quot;00104DF2&quot;/&gt;&lt;wsp:rsid wsp:val=&quot;00104E38&quot;/&gt;&lt;wsp:rsid wsp:val=&quot;00104E39&quot;/&gt;&lt;wsp:rsid wsp:val=&quot;001053AC&quot;/&gt;&lt;wsp:rsid wsp:val=&quot;001055E1&quot;/&gt;&lt;wsp:rsid wsp:val=&quot;001057A1&quot;/&gt;&lt;wsp:rsid wsp:val=&quot;00105C11&quot;/&gt;&lt;wsp:rsid wsp:val=&quot;00105CA0&quot;/&gt;&lt;wsp:rsid wsp:val=&quot;0010630B&quot;/&gt;&lt;wsp:rsid wsp:val=&quot;0010653D&quot;/&gt;&lt;wsp:rsid wsp:val=&quot;0010728C&quot;/&gt;&lt;wsp:rsid wsp:val=&quot;00107807&quot;/&gt;&lt;wsp:rsid wsp:val=&quot;0010780B&quot;/&gt;&lt;wsp:rsid wsp:val=&quot;0010794E&quot;/&gt;&lt;wsp:rsid wsp:val=&quot;00107B11&quot;/&gt;&lt;wsp:rsid wsp:val=&quot;00107B79&quot;/&gt;&lt;wsp:rsid wsp:val=&quot;00107D7C&quot;/&gt;&lt;wsp:rsid wsp:val=&quot;00107DE6&quot;/&gt;&lt;wsp:rsid wsp:val=&quot;00110460&quot;/&gt;&lt;wsp:rsid wsp:val=&quot;00110AD1&quot;/&gt;&lt;wsp:rsid wsp:val=&quot;00110B44&quot;/&gt;&lt;wsp:rsid wsp:val=&quot;00110C30&quot;/&gt;&lt;wsp:rsid wsp:val=&quot;00110DE8&quot;/&gt;&lt;wsp:rsid wsp:val=&quot;00111278&quot;/&gt;&lt;wsp:rsid wsp:val=&quot;00111481&quot;/&gt;&lt;wsp:rsid wsp:val=&quot;00111703&quot;/&gt;&lt;wsp:rsid wsp:val=&quot;001122D9&quot;/&gt;&lt;wsp:rsid wsp:val=&quot;001125E5&quot;/&gt;&lt;wsp:rsid wsp:val=&quot;001125E7&quot;/&gt;&lt;wsp:rsid wsp:val=&quot;0011327A&quot;/&gt;&lt;wsp:rsid wsp:val=&quot;001132D9&quot;/&gt;&lt;wsp:rsid wsp:val=&quot;00113605&quot;/&gt;&lt;wsp:rsid wsp:val=&quot;00113943&quot;/&gt;&lt;wsp:rsid wsp:val=&quot;00113975&quot;/&gt;&lt;wsp:rsid wsp:val=&quot;00113AE1&quot;/&gt;&lt;wsp:rsid wsp:val=&quot;00113D29&quot;/&gt;&lt;wsp:rsid wsp:val=&quot;0011400E&quot;/&gt;&lt;wsp:rsid wsp:val=&quot;0011403F&quot;/&gt;&lt;wsp:rsid wsp:val=&quot;001144DA&quot;/&gt;&lt;wsp:rsid wsp:val=&quot;0011463D&quot;/&gt;&lt;wsp:rsid wsp:val=&quot;001147C3&quot;/&gt;&lt;wsp:rsid wsp:val=&quot;00115092&quot;/&gt;&lt;wsp:rsid wsp:val=&quot;001151F3&quot;/&gt;&lt;wsp:rsid wsp:val=&quot;001151FC&quot;/&gt;&lt;wsp:rsid wsp:val=&quot;00115369&quot;/&gt;&lt;wsp:rsid wsp:val=&quot;00115564&quot;/&gt;&lt;wsp:rsid wsp:val=&quot;00115E0B&quot;/&gt;&lt;wsp:rsid wsp:val=&quot;00115E7A&quot;/&gt;&lt;wsp:rsid wsp:val=&quot;00115FB8&quot;/&gt;&lt;wsp:rsid wsp:val=&quot;001163B4&quot;/&gt;&lt;wsp:rsid wsp:val=&quot;0011652B&quot;/&gt;&lt;wsp:rsid wsp:val=&quot;0011673A&quot;/&gt;&lt;wsp:rsid wsp:val=&quot;001167F3&quot;/&gt;&lt;wsp:rsid wsp:val=&quot;0011681B&quot;/&gt;&lt;wsp:rsid wsp:val=&quot;00116D9F&quot;/&gt;&lt;wsp:rsid wsp:val=&quot;00117135&quot;/&gt;&lt;wsp:rsid wsp:val=&quot;00117DF4&quot;/&gt;&lt;wsp:rsid wsp:val=&quot;00117E44&quot;/&gt;&lt;wsp:rsid wsp:val=&quot;001208F5&quot;/&gt;&lt;wsp:rsid wsp:val=&quot;00120EEF&quot;/&gt;&lt;wsp:rsid wsp:val=&quot;00121126&quot;/&gt;&lt;wsp:rsid wsp:val=&quot;00121370&quot;/&gt;&lt;wsp:rsid wsp:val=&quot;00121427&quot;/&gt;&lt;wsp:rsid wsp:val=&quot;00121B9F&quot;/&gt;&lt;wsp:rsid wsp:val=&quot;001225E5&quot;/&gt;&lt;wsp:rsid wsp:val=&quot;00123406&quot;/&gt;&lt;wsp:rsid wsp:val=&quot;00124033&quot;/&gt;&lt;wsp:rsid wsp:val=&quot;0012413D&quot;/&gt;&lt;wsp:rsid wsp:val=&quot;0012415F&quot;/&gt;&lt;wsp:rsid wsp:val=&quot;0012466D&quot;/&gt;&lt;wsp:rsid wsp:val=&quot;001246E9&quot;/&gt;&lt;wsp:rsid wsp:val=&quot;00124768&quot;/&gt;&lt;wsp:rsid wsp:val=&quot;0012480C&quot;/&gt;&lt;wsp:rsid wsp:val=&quot;00124B97&quot;/&gt;&lt;wsp:rsid wsp:val=&quot;00124D10&quot;/&gt;&lt;wsp:rsid wsp:val=&quot;00124EFA&quot;/&gt;&lt;wsp:rsid wsp:val=&quot;001253F8&quot;/&gt;&lt;wsp:rsid wsp:val=&quot;001256E6&quot;/&gt;&lt;wsp:rsid wsp:val=&quot;00125704&quot;/&gt;&lt;wsp:rsid wsp:val=&quot;00125993&quot;/&gt;&lt;wsp:rsid wsp:val=&quot;00125E3E&quot;/&gt;&lt;wsp:rsid wsp:val=&quot;00125EC8&quot;/&gt;&lt;wsp:rsid wsp:val=&quot;001267F3&quot;/&gt;&lt;wsp:rsid wsp:val=&quot;00126B33&quot;/&gt;&lt;wsp:rsid wsp:val=&quot;00126B66&quot;/&gt;&lt;wsp:rsid wsp:val=&quot;00126C2D&quot;/&gt;&lt;wsp:rsid wsp:val=&quot;001275D2&quot;/&gt;&lt;wsp:rsid wsp:val=&quot;0012786E&quot;/&gt;&lt;wsp:rsid wsp:val=&quot;00127BAB&quot;/&gt;&lt;wsp:rsid wsp:val=&quot;00127E98&quot;/&gt;&lt;wsp:rsid wsp:val=&quot;00127FB2&quot;/&gt;&lt;wsp:rsid wsp:val=&quot;00127FB5&quot;/&gt;&lt;wsp:rsid wsp:val=&quot;00130A74&quot;/&gt;&lt;wsp:rsid wsp:val=&quot;00130C1F&quot;/&gt;&lt;wsp:rsid wsp:val=&quot;00130DF6&quot;/&gt;&lt;wsp:rsid wsp:val=&quot;001312C9&quot;/&gt;&lt;wsp:rsid wsp:val=&quot;001321C2&quot;/&gt;&lt;wsp:rsid wsp:val=&quot;0013228C&quot;/&gt;&lt;wsp:rsid wsp:val=&quot;00132445&quot;/&gt;&lt;wsp:rsid wsp:val=&quot;001324E1&quot;/&gt;&lt;wsp:rsid wsp:val=&quot;00132A51&quot;/&gt;&lt;wsp:rsid wsp:val=&quot;00132F01&quot;/&gt;&lt;wsp:rsid wsp:val=&quot;001331C9&quot;/&gt;&lt;wsp:rsid wsp:val=&quot;00133252&quot;/&gt;&lt;wsp:rsid wsp:val=&quot;0013329B&quot;/&gt;&lt;wsp:rsid wsp:val=&quot;0013382F&quot;/&gt;&lt;wsp:rsid wsp:val=&quot;00133B6E&quot;/&gt;&lt;wsp:rsid wsp:val=&quot;00133C59&quot;/&gt;&lt;wsp:rsid wsp:val=&quot;001340D6&quot;/&gt;&lt;wsp:rsid wsp:val=&quot;0013449E&quot;/&gt;&lt;wsp:rsid wsp:val=&quot;001348A5&quot;/&gt;&lt;wsp:rsid wsp:val=&quot;00134C65&quot;/&gt;&lt;wsp:rsid wsp:val=&quot;00135B13&quot;/&gt;&lt;wsp:rsid wsp:val=&quot;00135BE2&quot;/&gt;&lt;wsp:rsid wsp:val=&quot;00135E40&quot;/&gt;&lt;wsp:rsid wsp:val=&quot;00136038&quot;/&gt;&lt;wsp:rsid wsp:val=&quot;00136172&quot;/&gt;&lt;wsp:rsid wsp:val=&quot;00136726&quot;/&gt;&lt;wsp:rsid wsp:val=&quot;0013675C&quot;/&gt;&lt;wsp:rsid wsp:val=&quot;00136943&quot;/&gt;&lt;wsp:rsid wsp:val=&quot;00136DD5&quot;/&gt;&lt;wsp:rsid wsp:val=&quot;00137CD1&quot;/&gt;&lt;wsp:rsid wsp:val=&quot;00137DDF&quot;/&gt;&lt;wsp:rsid wsp:val=&quot;00140462&quot;/&gt;&lt;wsp:rsid wsp:val=&quot;001405F2&quot;/&gt;&lt;wsp:rsid wsp:val=&quot;00140671&quot;/&gt;&lt;wsp:rsid wsp:val=&quot;00140930&quot;/&gt;&lt;wsp:rsid wsp:val=&quot;00140D73&quot;/&gt;&lt;wsp:rsid wsp:val=&quot;0014116A&quot;/&gt;&lt;wsp:rsid wsp:val=&quot;0014122E&quot;/&gt;&lt;wsp:rsid wsp:val=&quot;001412BE&quot;/&gt;&lt;wsp:rsid wsp:val=&quot;0014148D&quot;/&gt;&lt;wsp:rsid wsp:val=&quot;00141775&quot;/&gt;&lt;wsp:rsid wsp:val=&quot;001419DB&quot;/&gt;&lt;wsp:rsid wsp:val=&quot;00141C07&quot;/&gt;&lt;wsp:rsid wsp:val=&quot;00141C08&quot;/&gt;&lt;wsp:rsid wsp:val=&quot;00141C38&quot;/&gt;&lt;wsp:rsid wsp:val=&quot;00141EB4&quot;/&gt;&lt;wsp:rsid wsp:val=&quot;00141F2E&quot;/&gt;&lt;wsp:rsid wsp:val=&quot;00141FDD&quot;/&gt;&lt;wsp:rsid wsp:val=&quot;0014294F&quot;/&gt;&lt;wsp:rsid wsp:val=&quot;001429CB&quot;/&gt;&lt;wsp:rsid wsp:val=&quot;00142FE8&quot;/&gt;&lt;wsp:rsid wsp:val=&quot;0014322A&quot;/&gt;&lt;wsp:rsid wsp:val=&quot;001436EE&quot;/&gt;&lt;wsp:rsid wsp:val=&quot;00143B0F&quot;/&gt;&lt;wsp:rsid wsp:val=&quot;00143BC4&quot;/&gt;&lt;wsp:rsid wsp:val=&quot;00143C67&quot;/&gt;&lt;wsp:rsid wsp:val=&quot;00143F7F&quot;/&gt;&lt;wsp:rsid wsp:val=&quot;00144047&quot;/&gt;&lt;wsp:rsid wsp:val=&quot;00144059&quot;/&gt;&lt;wsp:rsid wsp:val=&quot;001440E7&quot;/&gt;&lt;wsp:rsid wsp:val=&quot;00144344&quot;/&gt;&lt;wsp:rsid wsp:val=&quot;00144374&quot;/&gt;&lt;wsp:rsid wsp:val=&quot;0014437D&quot;/&gt;&lt;wsp:rsid wsp:val=&quot;0014466E&quot;/&gt;&lt;wsp:rsid wsp:val=&quot;00144673&quot;/&gt;&lt;wsp:rsid wsp:val=&quot;001446D2&quot;/&gt;&lt;wsp:rsid wsp:val=&quot;00144726&quot;/&gt;&lt;wsp:rsid wsp:val=&quot;00144767&quot;/&gt;&lt;wsp:rsid wsp:val=&quot;0014490D&quot;/&gt;&lt;wsp:rsid wsp:val=&quot;00144F35&quot;/&gt;&lt;wsp:rsid wsp:val=&quot;00145331&quot;/&gt;&lt;wsp:rsid wsp:val=&quot;001455DE&quot;/&gt;&lt;wsp:rsid wsp:val=&quot;00145803&quot;/&gt;&lt;wsp:rsid wsp:val=&quot;00145BF2&quot;/&gt;&lt;wsp:rsid wsp:val=&quot;00145C4D&quot;/&gt;&lt;wsp:rsid wsp:val=&quot;00146184&quot;/&gt;&lt;wsp:rsid wsp:val=&quot;00146391&quot;/&gt;&lt;wsp:rsid wsp:val=&quot;00146607&quot;/&gt;&lt;wsp:rsid wsp:val=&quot;0014699F&quot;/&gt;&lt;wsp:rsid wsp:val=&quot;00146A2F&quot;/&gt;&lt;wsp:rsid wsp:val=&quot;00146B05&quot;/&gt;&lt;wsp:rsid wsp:val=&quot;00146C8A&quot;/&gt;&lt;wsp:rsid wsp:val=&quot;00146D55&quot;/&gt;&lt;wsp:rsid wsp:val=&quot;00146F18&quot;/&gt;&lt;wsp:rsid wsp:val=&quot;00147126&quot;/&gt;&lt;wsp:rsid wsp:val=&quot;0014724F&quot;/&gt;&lt;wsp:rsid wsp:val=&quot;00147295&quot;/&gt;&lt;wsp:rsid wsp:val=&quot;00147818&quot;/&gt;&lt;wsp:rsid wsp:val=&quot;00147FEF&quot;/&gt;&lt;wsp:rsid wsp:val=&quot;00150376&quot;/&gt;&lt;wsp:rsid wsp:val=&quot;001503D0&quot;/&gt;&lt;wsp:rsid wsp:val=&quot;00150521&quot;/&gt;&lt;wsp:rsid wsp:val=&quot;00150814&quot;/&gt;&lt;wsp:rsid wsp:val=&quot;0015087D&quot;/&gt;&lt;wsp:rsid wsp:val=&quot;0015097F&quot;/&gt;&lt;wsp:rsid wsp:val=&quot;001509CA&quot;/&gt;&lt;wsp:rsid wsp:val=&quot;00150C1E&quot;/&gt;&lt;wsp:rsid wsp:val=&quot;0015167F&quot;/&gt;&lt;wsp:rsid wsp:val=&quot;00151943&quot;/&gt;&lt;wsp:rsid wsp:val=&quot;00151F94&quot;/&gt;&lt;wsp:rsid wsp:val=&quot;001524FB&quot;/&gt;&lt;wsp:rsid wsp:val=&quot;00152701&quot;/&gt;&lt;wsp:rsid wsp:val=&quot;00152B08&quot;/&gt;&lt;wsp:rsid wsp:val=&quot;00153540&quot;/&gt;&lt;wsp:rsid wsp:val=&quot;00153976&quot;/&gt;&lt;wsp:rsid wsp:val=&quot;00153DAE&quot;/&gt;&lt;wsp:rsid wsp:val=&quot;00153DC2&quot;/&gt;&lt;wsp:rsid wsp:val=&quot;001540BA&quot;/&gt;&lt;wsp:rsid wsp:val=&quot;00154274&quot;/&gt;&lt;wsp:rsid wsp:val=&quot;001543E0&quot;/&gt;&lt;wsp:rsid wsp:val=&quot;00154653&quot;/&gt;&lt;wsp:rsid wsp:val=&quot;00154F6D&quot;/&gt;&lt;wsp:rsid wsp:val=&quot;001556FC&quot;/&gt;&lt;wsp:rsid wsp:val=&quot;0015573A&quot;/&gt;&lt;wsp:rsid wsp:val=&quot;00155EEA&quot;/&gt;&lt;wsp:rsid wsp:val=&quot;00155FD9&quot;/&gt;&lt;wsp:rsid wsp:val=&quot;00156434&quot;/&gt;&lt;wsp:rsid wsp:val=&quot;00156556&quot;/&gt;&lt;wsp:rsid wsp:val=&quot;00156744&quot;/&gt;&lt;wsp:rsid wsp:val=&quot;00157387&quot;/&gt;&lt;wsp:rsid wsp:val=&quot;00157584&quot;/&gt;&lt;wsp:rsid wsp:val=&quot;001575D4&quot;/&gt;&lt;wsp:rsid wsp:val=&quot;001575F8&quot;/&gt;&lt;wsp:rsid wsp:val=&quot;00157648&quot;/&gt;&lt;wsp:rsid wsp:val=&quot;00157866&quot;/&gt;&lt;wsp:rsid wsp:val=&quot;00157980&quot;/&gt;&lt;wsp:rsid wsp:val=&quot;00157E05&quot;/&gt;&lt;wsp:rsid wsp:val=&quot;00160454&quot;/&gt;&lt;wsp:rsid wsp:val=&quot;0016058D&quot;/&gt;&lt;wsp:rsid wsp:val=&quot;001607E5&quot;/&gt;&lt;wsp:rsid wsp:val=&quot;00160980&quot;/&gt;&lt;wsp:rsid wsp:val=&quot;00160AD4&quot;/&gt;&lt;wsp:rsid wsp:val=&quot;00160BC7&quot;/&gt;&lt;wsp:rsid wsp:val=&quot;0016130B&quot;/&gt;&lt;wsp:rsid wsp:val=&quot;00161353&quot;/&gt;&lt;wsp:rsid wsp:val=&quot;00161462&quot;/&gt;&lt;wsp:rsid wsp:val=&quot;00161490&quot;/&gt;&lt;wsp:rsid wsp:val=&quot;0016182B&quot;/&gt;&lt;wsp:rsid wsp:val=&quot;00161DB9&quot;/&gt;&lt;wsp:rsid wsp:val=&quot;00162104&quot;/&gt;&lt;wsp:rsid wsp:val=&quot;00162740&quot;/&gt;&lt;wsp:rsid wsp:val=&quot;001628A9&quot;/&gt;&lt;wsp:rsid wsp:val=&quot;00162E69&quot;/&gt;&lt;wsp:rsid wsp:val=&quot;00163665&quot;/&gt;&lt;wsp:rsid wsp:val=&quot;00163743&quot;/&gt;&lt;wsp:rsid wsp:val=&quot;00163994&quot;/&gt;&lt;wsp:rsid wsp:val=&quot;001639AB&quot;/&gt;&lt;wsp:rsid wsp:val=&quot;001645C3&quot;/&gt;&lt;wsp:rsid wsp:val=&quot;00164650&quot;/&gt;&lt;wsp:rsid wsp:val=&quot;001649E4&quot;/&gt;&lt;wsp:rsid wsp:val=&quot;00164C4E&quot;/&gt;&lt;wsp:rsid wsp:val=&quot;00164FC4&quot;/&gt;&lt;wsp:rsid wsp:val=&quot;001657A1&quot;/&gt;&lt;wsp:rsid wsp:val=&quot;00165961&quot;/&gt;&lt;wsp:rsid wsp:val=&quot;00165B3A&quot;/&gt;&lt;wsp:rsid wsp:val=&quot;001669D3&quot;/&gt;&lt;wsp:rsid wsp:val=&quot;00166F4B&quot;/&gt;&lt;wsp:rsid wsp:val=&quot;00166FBD&quot;/&gt;&lt;wsp:rsid wsp:val=&quot;0016714B&quot;/&gt;&lt;wsp:rsid wsp:val=&quot;001674EC&quot;/&gt;&lt;wsp:rsid wsp:val=&quot;00167577&quot;/&gt;&lt;wsp:rsid wsp:val=&quot;0017016D&quot;/&gt;&lt;wsp:rsid wsp:val=&quot;001701DB&quot;/&gt;&lt;wsp:rsid wsp:val=&quot;001702AB&quot;/&gt;&lt;wsp:rsid wsp:val=&quot;001702D1&quot;/&gt;&lt;wsp:rsid wsp:val=&quot;001711EE&quot;/&gt;&lt;wsp:rsid wsp:val=&quot;001715F7&quot;/&gt;&lt;wsp:rsid wsp:val=&quot;00171C5B&quot;/&gt;&lt;wsp:rsid wsp:val=&quot;00171D1D&quot;/&gt;&lt;wsp:rsid wsp:val=&quot;00171D8A&quot;/&gt;&lt;wsp:rsid wsp:val=&quot;00172378&quot;/&gt;&lt;wsp:rsid wsp:val=&quot;001727E1&quot;/&gt;&lt;wsp:rsid wsp:val=&quot;0017294C&quot;/&gt;&lt;wsp:rsid wsp:val=&quot;00172971&quot;/&gt;&lt;wsp:rsid wsp:val=&quot;00173011&quot;/&gt;&lt;wsp:rsid wsp:val=&quot;0017323B&quot;/&gt;&lt;wsp:rsid wsp:val=&quot;00173241&quot;/&gt;&lt;wsp:rsid wsp:val=&quot;00173670&quot;/&gt;&lt;wsp:rsid wsp:val=&quot;0017389A&quot;/&gt;&lt;wsp:rsid wsp:val=&quot;00173C4A&quot;/&gt;&lt;wsp:rsid wsp:val=&quot;00173ECC&quot;/&gt;&lt;wsp:rsid wsp:val=&quot;00174454&quot;/&gt;&lt;wsp:rsid wsp:val=&quot;001745DE&quot;/&gt;&lt;wsp:rsid wsp:val=&quot;00175009&quot;/&gt;&lt;wsp:rsid wsp:val=&quot;001751C4&quot;/&gt;&lt;wsp:rsid wsp:val=&quot;00175348&quot;/&gt;&lt;wsp:rsid wsp:val=&quot;00175713&quot;/&gt;&lt;wsp:rsid wsp:val=&quot;00175844&quot;/&gt;&lt;wsp:rsid wsp:val=&quot;001762BD&quot;/&gt;&lt;wsp:rsid wsp:val=&quot;001769AA&quot;/&gt;&lt;wsp:rsid wsp:val=&quot;001773E7&quot;/&gt;&lt;wsp:rsid wsp:val=&quot;001774A5&quot;/&gt;&lt;wsp:rsid wsp:val=&quot;00177518&quot;/&gt;&lt;wsp:rsid wsp:val=&quot;001775EF&quot;/&gt;&lt;wsp:rsid wsp:val=&quot;00177C23&quot;/&gt;&lt;wsp:rsid wsp:val=&quot;00177C63&quot;/&gt;&lt;wsp:rsid wsp:val=&quot;00177D8A&quot;/&gt;&lt;wsp:rsid wsp:val=&quot;0018028C&quot;/&gt;&lt;wsp:rsid wsp:val=&quot;0018034A&quot;/&gt;&lt;wsp:rsid wsp:val=&quot;001804DC&quot;/&gt;&lt;wsp:rsid wsp:val=&quot;0018072A&quot;/&gt;&lt;wsp:rsid wsp:val=&quot;00180756&quot;/&gt;&lt;wsp:rsid wsp:val=&quot;001807D6&quot;/&gt;&lt;wsp:rsid wsp:val=&quot;00180838&quot;/&gt;&lt;wsp:rsid wsp:val=&quot;00180AB2&quot;/&gt;&lt;wsp:rsid wsp:val=&quot;00180AC9&quot;/&gt;&lt;wsp:rsid wsp:val=&quot;00180C62&quot;/&gt;&lt;wsp:rsid wsp:val=&quot;00180CB8&quot;/&gt;&lt;wsp:rsid wsp:val=&quot;0018185E&quot;/&gt;&lt;wsp:rsid wsp:val=&quot;00181916&quot;/&gt;&lt;wsp:rsid wsp:val=&quot;001819E1&quot;/&gt;&lt;wsp:rsid wsp:val=&quot;00181AF5&quot;/&gt;&lt;wsp:rsid wsp:val=&quot;00181D86&quot;/&gt;&lt;wsp:rsid wsp:val=&quot;00182435&quot;/&gt;&lt;wsp:rsid wsp:val=&quot;0018270F&quot;/&gt;&lt;wsp:rsid wsp:val=&quot;00182B5D&quot;/&gt;&lt;wsp:rsid wsp:val=&quot;00182C59&quot;/&gt;&lt;wsp:rsid wsp:val=&quot;00182D3D&quot;/&gt;&lt;wsp:rsid wsp:val=&quot;00182DD9&quot;/&gt;&lt;wsp:rsid wsp:val=&quot;001830E6&quot;/&gt;&lt;wsp:rsid wsp:val=&quot;001833EA&quot;/&gt;&lt;wsp:rsid wsp:val=&quot;0018344F&quot;/&gt;&lt;wsp:rsid wsp:val=&quot;00183C87&quot;/&gt;&lt;wsp:rsid wsp:val=&quot;00184DF4&quot;/&gt;&lt;wsp:rsid wsp:val=&quot;00184E1F&quot;/&gt;&lt;wsp:rsid wsp:val=&quot;00184E5F&quot;/&gt;&lt;wsp:rsid wsp:val=&quot;00184EA7&quot;/&gt;&lt;wsp:rsid wsp:val=&quot;00184F02&quot;/&gt;&lt;wsp:rsid wsp:val=&quot;001851CE&quot;/&gt;&lt;wsp:rsid wsp:val=&quot;001859B1&quot;/&gt;&lt;wsp:rsid wsp:val=&quot;0018645F&quot;/&gt;&lt;wsp:rsid wsp:val=&quot;00186981&quot;/&gt;&lt;wsp:rsid wsp:val=&quot;00186F25&quot;/&gt;&lt;wsp:rsid wsp:val=&quot;00187388&quot;/&gt;&lt;wsp:rsid wsp:val=&quot;00187D3C&quot;/&gt;&lt;wsp:rsid wsp:val=&quot;00187E46&quot;/&gt;&lt;wsp:rsid wsp:val=&quot;00190701&quot;/&gt;&lt;wsp:rsid wsp:val=&quot;00190B5D&quot;/&gt;&lt;wsp:rsid wsp:val=&quot;00190C3E&quot;/&gt;&lt;wsp:rsid wsp:val=&quot;00190EBA&quot;/&gt;&lt;wsp:rsid wsp:val=&quot;00191054&quot;/&gt;&lt;wsp:rsid wsp:val=&quot;0019249F&quot;/&gt;&lt;wsp:rsid wsp:val=&quot;00192717&quot;/&gt;&lt;wsp:rsid wsp:val=&quot;00192EA2&quot;/&gt;&lt;wsp:rsid wsp:val=&quot;00193079&quot;/&gt;&lt;wsp:rsid wsp:val=&quot;0019361F&quot;/&gt;&lt;wsp:rsid wsp:val=&quot;0019383D&quot;/&gt;&lt;wsp:rsid wsp:val=&quot;00194523&quot;/&gt;&lt;wsp:rsid wsp:val=&quot;0019482F&quot;/&gt;&lt;wsp:rsid wsp:val=&quot;00194E37&quot;/&gt;&lt;wsp:rsid wsp:val=&quot;00194EE0&quot;/&gt;&lt;wsp:rsid wsp:val=&quot;00195278&quot;/&gt;&lt;wsp:rsid wsp:val=&quot;001952EF&quot;/&gt;&lt;wsp:rsid wsp:val=&quot;0019531D&quot;/&gt;&lt;wsp:rsid wsp:val=&quot;001959E3&quot;/&gt;&lt;wsp:rsid wsp:val=&quot;00195B86&quot;/&gt;&lt;wsp:rsid wsp:val=&quot;00195F8B&quot;/&gt;&lt;wsp:rsid wsp:val=&quot;00196048&quot;/&gt;&lt;wsp:rsid wsp:val=&quot;00196061&quot;/&gt;&lt;wsp:rsid wsp:val=&quot;00196267&quot;/&gt;&lt;wsp:rsid wsp:val=&quot;001962DB&quot;/&gt;&lt;wsp:rsid wsp:val=&quot;001964A3&quot;/&gt;&lt;wsp:rsid wsp:val=&quot;001965B3&quot;/&gt;&lt;wsp:rsid wsp:val=&quot;0019674E&quot;/&gt;&lt;wsp:rsid wsp:val=&quot;0019686A&quot;/&gt;&lt;wsp:rsid wsp:val=&quot;00196903&quot;/&gt;&lt;wsp:rsid wsp:val=&quot;00196CEE&quot;/&gt;&lt;wsp:rsid wsp:val=&quot;00196D2C&quot;/&gt;&lt;wsp:rsid wsp:val=&quot;00196E61&quot;/&gt;&lt;wsp:rsid wsp:val=&quot;0019781F&quot;/&gt;&lt;wsp:rsid wsp:val=&quot;001978D8&quot;/&gt;&lt;wsp:rsid wsp:val=&quot;0019796F&quot;/&gt;&lt;wsp:rsid wsp:val=&quot;00197ACD&quot;/&gt;&lt;wsp:rsid wsp:val=&quot;00197BD5&quot;/&gt;&lt;wsp:rsid wsp:val=&quot;00197C63&quot;/&gt;&lt;wsp:rsid wsp:val=&quot;00197D10&quot;/&gt;&lt;wsp:rsid wsp:val=&quot;001A01F8&quot;/&gt;&lt;wsp:rsid wsp:val=&quot;001A0910&quot;/&gt;&lt;wsp:rsid wsp:val=&quot;001A0D8A&quot;/&gt;&lt;wsp:rsid wsp:val=&quot;001A1081&quot;/&gt;&lt;wsp:rsid wsp:val=&quot;001A137C&quot;/&gt;&lt;wsp:rsid wsp:val=&quot;001A15C6&quot;/&gt;&lt;wsp:rsid wsp:val=&quot;001A1E78&quot;/&gt;&lt;wsp:rsid wsp:val=&quot;001A24C9&quot;/&gt;&lt;wsp:rsid wsp:val=&quot;001A26BE&quot;/&gt;&lt;wsp:rsid wsp:val=&quot;001A2BC3&quot;/&gt;&lt;wsp:rsid wsp:val=&quot;001A3487&quot;/&gt;&lt;wsp:rsid wsp:val=&quot;001A3995&quot;/&gt;&lt;wsp:rsid wsp:val=&quot;001A4906&quot;/&gt;&lt;wsp:rsid wsp:val=&quot;001A4F58&quot;/&gt;&lt;wsp:rsid wsp:val=&quot;001A58EB&quot;/&gt;&lt;wsp:rsid wsp:val=&quot;001A5E4D&quot;/&gt;&lt;wsp:rsid wsp:val=&quot;001A5F78&quot;/&gt;&lt;wsp:rsid wsp:val=&quot;001A62C8&quot;/&gt;&lt;wsp:rsid wsp:val=&quot;001A642D&quot;/&gt;&lt;wsp:rsid wsp:val=&quot;001A65EA&quot;/&gt;&lt;wsp:rsid wsp:val=&quot;001A66B2&quot;/&gt;&lt;wsp:rsid wsp:val=&quot;001A7199&quot;/&gt;&lt;wsp:rsid wsp:val=&quot;001A7307&quot;/&gt;&lt;wsp:rsid wsp:val=&quot;001A786A&quot;/&gt;&lt;wsp:rsid wsp:val=&quot;001A7B4C&quot;/&gt;&lt;wsp:rsid wsp:val=&quot;001A7BCF&quot;/&gt;&lt;wsp:rsid wsp:val=&quot;001A7D02&quot;/&gt;&lt;wsp:rsid wsp:val=&quot;001A7E5E&quot;/&gt;&lt;wsp:rsid wsp:val=&quot;001A7E73&quot;/&gt;&lt;wsp:rsid wsp:val=&quot;001B0343&quot;/&gt;&lt;wsp:rsid wsp:val=&quot;001B0C29&quot;/&gt;&lt;wsp:rsid wsp:val=&quot;001B143F&quot;/&gt;&lt;wsp:rsid wsp:val=&quot;001B177A&quot;/&gt;&lt;wsp:rsid wsp:val=&quot;001B1E97&quot;/&gt;&lt;wsp:rsid wsp:val=&quot;001B1F9B&quot;/&gt;&lt;wsp:rsid wsp:val=&quot;001B2007&quot;/&gt;&lt;wsp:rsid wsp:val=&quot;001B24B5&quot;/&gt;&lt;wsp:rsid wsp:val=&quot;001B2C07&quot;/&gt;&lt;wsp:rsid wsp:val=&quot;001B2C65&quot;/&gt;&lt;wsp:rsid wsp:val=&quot;001B30B6&quot;/&gt;&lt;wsp:rsid wsp:val=&quot;001B3352&quot;/&gt;&lt;wsp:rsid wsp:val=&quot;001B366C&quot;/&gt;&lt;wsp:rsid wsp:val=&quot;001B480D&quot;/&gt;&lt;wsp:rsid wsp:val=&quot;001B50EC&quot;/&gt;&lt;wsp:rsid wsp:val=&quot;001B5245&quot;/&gt;&lt;wsp:rsid wsp:val=&quot;001B5723&quot;/&gt;&lt;wsp:rsid wsp:val=&quot;001B5778&quot;/&gt;&lt;wsp:rsid wsp:val=&quot;001B59EA&quot;/&gt;&lt;wsp:rsid wsp:val=&quot;001B5CF0&quot;/&gt;&lt;wsp:rsid wsp:val=&quot;001B5F1B&quot;/&gt;&lt;wsp:rsid wsp:val=&quot;001B5FC3&quot;/&gt;&lt;wsp:rsid wsp:val=&quot;001B6134&quot;/&gt;&lt;wsp:rsid wsp:val=&quot;001B62BE&quot;/&gt;&lt;wsp:rsid wsp:val=&quot;001B6449&quot;/&gt;&lt;wsp:rsid wsp:val=&quot;001B6589&quot;/&gt;&lt;wsp:rsid wsp:val=&quot;001B6727&quot;/&gt;&lt;wsp:rsid wsp:val=&quot;001B677A&quot;/&gt;&lt;wsp:rsid wsp:val=&quot;001B6841&quot;/&gt;&lt;wsp:rsid wsp:val=&quot;001B6EA0&quot;/&gt;&lt;wsp:rsid wsp:val=&quot;001B7237&quot;/&gt;&lt;wsp:rsid wsp:val=&quot;001B72A0&quot;/&gt;&lt;wsp:rsid wsp:val=&quot;001B72CE&quot;/&gt;&lt;wsp:rsid wsp:val=&quot;001B7314&quot;/&gt;&lt;wsp:rsid wsp:val=&quot;001B7436&quot;/&gt;&lt;wsp:rsid wsp:val=&quot;001B7EC8&quot;/&gt;&lt;wsp:rsid wsp:val=&quot;001C0401&quot;/&gt;&lt;wsp:rsid wsp:val=&quot;001C04E9&quot;/&gt;&lt;wsp:rsid wsp:val=&quot;001C0961&quot;/&gt;&lt;wsp:rsid wsp:val=&quot;001C0976&quot;/&gt;&lt;wsp:rsid wsp:val=&quot;001C09FF&quot;/&gt;&lt;wsp:rsid wsp:val=&quot;001C0A5F&quot;/&gt;&lt;wsp:rsid wsp:val=&quot;001C0AE9&quot;/&gt;&lt;wsp:rsid wsp:val=&quot;001C0B0E&quot;/&gt;&lt;wsp:rsid wsp:val=&quot;001C0C95&quot;/&gt;&lt;wsp:rsid wsp:val=&quot;001C0CD6&quot;/&gt;&lt;wsp:rsid wsp:val=&quot;001C16B9&quot;/&gt;&lt;wsp:rsid wsp:val=&quot;001C187C&quot;/&gt;&lt;wsp:rsid wsp:val=&quot;001C18C0&quot;/&gt;&lt;wsp:rsid wsp:val=&quot;001C1C58&quot;/&gt;&lt;wsp:rsid wsp:val=&quot;001C1CAC&quot;/&gt;&lt;wsp:rsid wsp:val=&quot;001C1CEE&quot;/&gt;&lt;wsp:rsid wsp:val=&quot;001C1D1F&quot;/&gt;&lt;wsp:rsid wsp:val=&quot;001C1D75&quot;/&gt;&lt;wsp:rsid wsp:val=&quot;001C2147&quot;/&gt;&lt;wsp:rsid wsp:val=&quot;001C26C9&quot;/&gt;&lt;wsp:rsid wsp:val=&quot;001C2A51&quot;/&gt;&lt;wsp:rsid wsp:val=&quot;001C2A5E&quot;/&gt;&lt;wsp:rsid wsp:val=&quot;001C2C7F&quot;/&gt;&lt;wsp:rsid wsp:val=&quot;001C2E20&quot;/&gt;&lt;wsp:rsid wsp:val=&quot;001C3050&quot;/&gt;&lt;wsp:rsid wsp:val=&quot;001C30A9&quot;/&gt;&lt;wsp:rsid wsp:val=&quot;001C3959&quot;/&gt;&lt;wsp:rsid wsp:val=&quot;001C3C48&quot;/&gt;&lt;wsp:rsid wsp:val=&quot;001C3C6C&quot;/&gt;&lt;wsp:rsid wsp:val=&quot;001C3F0F&quot;/&gt;&lt;wsp:rsid wsp:val=&quot;001C4AEA&quot;/&gt;&lt;wsp:rsid wsp:val=&quot;001C58BD&quot;/&gt;&lt;wsp:rsid wsp:val=&quot;001C5C69&quot;/&gt;&lt;wsp:rsid wsp:val=&quot;001C5C94&quot;/&gt;&lt;wsp:rsid wsp:val=&quot;001C5CEE&quot;/&gt;&lt;wsp:rsid wsp:val=&quot;001C5D71&quot;/&gt;&lt;wsp:rsid wsp:val=&quot;001C6447&quot;/&gt;&lt;wsp:rsid wsp:val=&quot;001C654D&quot;/&gt;&lt;wsp:rsid wsp:val=&quot;001C6B80&quot;/&gt;&lt;wsp:rsid wsp:val=&quot;001C70D3&quot;/&gt;&lt;wsp:rsid wsp:val=&quot;001C71F9&quot;/&gt;&lt;wsp:rsid wsp:val=&quot;001C7204&quot;/&gt;&lt;wsp:rsid wsp:val=&quot;001C7629&quot;/&gt;&lt;wsp:rsid wsp:val=&quot;001C7A9C&quot;/&gt;&lt;wsp:rsid wsp:val=&quot;001C7CE1&quot;/&gt;&lt;wsp:rsid wsp:val=&quot;001D00B9&quot;/&gt;&lt;wsp:rsid wsp:val=&quot;001D0A1C&quot;/&gt;&lt;wsp:rsid wsp:val=&quot;001D0B9D&quot;/&gt;&lt;wsp:rsid wsp:val=&quot;001D0C26&quot;/&gt;&lt;wsp:rsid wsp:val=&quot;001D0DE5&quot;/&gt;&lt;wsp:rsid wsp:val=&quot;001D10EF&quot;/&gt;&lt;wsp:rsid wsp:val=&quot;001D1184&quot;/&gt;&lt;wsp:rsid wsp:val=&quot;001D1322&quot;/&gt;&lt;wsp:rsid wsp:val=&quot;001D1489&quot;/&gt;&lt;wsp:rsid wsp:val=&quot;001D1803&quot;/&gt;&lt;wsp:rsid wsp:val=&quot;001D196E&quot;/&gt;&lt;wsp:rsid wsp:val=&quot;001D1F57&quot;/&gt;&lt;wsp:rsid wsp:val=&quot;001D2001&quot;/&gt;&lt;wsp:rsid wsp:val=&quot;001D2179&quot;/&gt;&lt;wsp:rsid wsp:val=&quot;001D23B3&quot;/&gt;&lt;wsp:rsid wsp:val=&quot;001D26B4&quot;/&gt;&lt;wsp:rsid wsp:val=&quot;001D26D4&quot;/&gt;&lt;wsp:rsid wsp:val=&quot;001D29DD&quot;/&gt;&lt;wsp:rsid wsp:val=&quot;001D2F24&quot;/&gt;&lt;wsp:rsid wsp:val=&quot;001D34A9&quot;/&gt;&lt;wsp:rsid wsp:val=&quot;001D38F3&quot;/&gt;&lt;wsp:rsid wsp:val=&quot;001D3900&quot;/&gt;&lt;wsp:rsid wsp:val=&quot;001D3B05&quot;/&gt;&lt;wsp:rsid wsp:val=&quot;001D4033&quot;/&gt;&lt;wsp:rsid wsp:val=&quot;001D40B1&quot;/&gt;&lt;wsp:rsid wsp:val=&quot;001D42F8&quot;/&gt;&lt;wsp:rsid wsp:val=&quot;001D45EE&quot;/&gt;&lt;wsp:rsid wsp:val=&quot;001D4B4C&quot;/&gt;&lt;wsp:rsid wsp:val=&quot;001D4BB6&quot;/&gt;&lt;wsp:rsid wsp:val=&quot;001D4C1E&quot;/&gt;&lt;wsp:rsid wsp:val=&quot;001D509C&quot;/&gt;&lt;wsp:rsid wsp:val=&quot;001D526E&quot;/&gt;&lt;wsp:rsid wsp:val=&quot;001D5701&quot;/&gt;&lt;wsp:rsid wsp:val=&quot;001D57C5&quot;/&gt;&lt;wsp:rsid wsp:val=&quot;001D5C93&quot;/&gt;&lt;wsp:rsid wsp:val=&quot;001D5E01&quot;/&gt;&lt;wsp:rsid wsp:val=&quot;001D5E5D&quot;/&gt;&lt;wsp:rsid wsp:val=&quot;001D5EE4&quot;/&gt;&lt;wsp:rsid wsp:val=&quot;001D6949&quot;/&gt;&lt;wsp:rsid wsp:val=&quot;001D73C5&quot;/&gt;&lt;wsp:rsid wsp:val=&quot;001D76F6&quot;/&gt;&lt;wsp:rsid wsp:val=&quot;001D775D&quot;/&gt;&lt;wsp:rsid wsp:val=&quot;001D786C&quot;/&gt;&lt;wsp:rsid wsp:val=&quot;001D7CC4&quot;/&gt;&lt;wsp:rsid wsp:val=&quot;001D7D2F&quot;/&gt;&lt;wsp:rsid wsp:val=&quot;001E0296&quot;/&gt;&lt;wsp:rsid wsp:val=&quot;001E04E8&quot;/&gt;&lt;wsp:rsid wsp:val=&quot;001E07A2&quot;/&gt;&lt;wsp:rsid wsp:val=&quot;001E08FD&quot;/&gt;&lt;wsp:rsid wsp:val=&quot;001E1354&quot;/&gt;&lt;wsp:rsid wsp:val=&quot;001E14B9&quot;/&gt;&lt;wsp:rsid wsp:val=&quot;001E18D9&quot;/&gt;&lt;wsp:rsid wsp:val=&quot;001E1FCF&quot;/&gt;&lt;wsp:rsid wsp:val=&quot;001E20FD&quot;/&gt;&lt;wsp:rsid wsp:val=&quot;001E2267&quot;/&gt;&lt;wsp:rsid wsp:val=&quot;001E2637&quot;/&gt;&lt;wsp:rsid wsp:val=&quot;001E2A20&quot;/&gt;&lt;wsp:rsid wsp:val=&quot;001E2D8A&quot;/&gt;&lt;wsp:rsid wsp:val=&quot;001E2EB0&quot;/&gt;&lt;wsp:rsid wsp:val=&quot;001E300D&quot;/&gt;&lt;wsp:rsid wsp:val=&quot;001E30B2&quot;/&gt;&lt;wsp:rsid wsp:val=&quot;001E373C&quot;/&gt;&lt;wsp:rsid wsp:val=&quot;001E3D7D&quot;/&gt;&lt;wsp:rsid wsp:val=&quot;001E3F78&quot;/&gt;&lt;wsp:rsid wsp:val=&quot;001E4198&quot;/&gt;&lt;wsp:rsid wsp:val=&quot;001E43ED&quot;/&gt;&lt;wsp:rsid wsp:val=&quot;001E4F2E&quot;/&gt;&lt;wsp:rsid wsp:val=&quot;001E5033&quot;/&gt;&lt;wsp:rsid wsp:val=&quot;001E5217&quot;/&gt;&lt;wsp:rsid wsp:val=&quot;001E572B&quot;/&gt;&lt;wsp:rsid wsp:val=&quot;001E5C1C&quot;/&gt;&lt;wsp:rsid wsp:val=&quot;001E5C97&quot;/&gt;&lt;wsp:rsid wsp:val=&quot;001E5EDA&quot;/&gt;&lt;wsp:rsid wsp:val=&quot;001E6651&quot;/&gt;&lt;wsp:rsid wsp:val=&quot;001E69EF&quot;/&gt;&lt;wsp:rsid wsp:val=&quot;001E6D44&quot;/&gt;&lt;wsp:rsid wsp:val=&quot;001E7750&quot;/&gt;&lt;wsp:rsid wsp:val=&quot;001E7880&quot;/&gt;&lt;wsp:rsid wsp:val=&quot;001E7EF3&quot;/&gt;&lt;wsp:rsid wsp:val=&quot;001E7F09&quot;/&gt;&lt;wsp:rsid wsp:val=&quot;001F059E&quot;/&gt;&lt;wsp:rsid wsp:val=&quot;001F087D&quot;/&gt;&lt;wsp:rsid wsp:val=&quot;001F0A2D&quot;/&gt;&lt;wsp:rsid wsp:val=&quot;001F0AF1&quot;/&gt;&lt;wsp:rsid wsp:val=&quot;001F1028&quot;/&gt;&lt;wsp:rsid wsp:val=&quot;001F1230&quot;/&gt;&lt;wsp:rsid wsp:val=&quot;001F1778&quot;/&gt;&lt;wsp:rsid wsp:val=&quot;001F1A47&quot;/&gt;&lt;wsp:rsid wsp:val=&quot;001F1C7D&quot;/&gt;&lt;wsp:rsid wsp:val=&quot;001F1D47&quot;/&gt;&lt;wsp:rsid wsp:val=&quot;001F2564&quot;/&gt;&lt;wsp:rsid wsp:val=&quot;001F2779&quot;/&gt;&lt;wsp:rsid wsp:val=&quot;001F2E44&quot;/&gt;&lt;wsp:rsid wsp:val=&quot;001F3051&quot;/&gt;&lt;wsp:rsid wsp:val=&quot;001F31D9&quot;/&gt;&lt;wsp:rsid wsp:val=&quot;001F342D&quot;/&gt;&lt;wsp:rsid wsp:val=&quot;001F35B9&quot;/&gt;&lt;wsp:rsid wsp:val=&quot;001F395C&quot;/&gt;&lt;wsp:rsid wsp:val=&quot;001F399A&quot;/&gt;&lt;wsp:rsid wsp:val=&quot;001F3B40&quot;/&gt;&lt;wsp:rsid wsp:val=&quot;001F4026&quot;/&gt;&lt;wsp:rsid wsp:val=&quot;001F42A4&quot;/&gt;&lt;wsp:rsid wsp:val=&quot;001F42DD&quot;/&gt;&lt;wsp:rsid wsp:val=&quot;001F44DE&quot;/&gt;&lt;wsp:rsid wsp:val=&quot;001F4A12&quot;/&gt;&lt;wsp:rsid wsp:val=&quot;001F4A64&quot;/&gt;&lt;wsp:rsid wsp:val=&quot;001F4B50&quot;/&gt;&lt;wsp:rsid wsp:val=&quot;001F591D&quot;/&gt;&lt;wsp:rsid wsp:val=&quot;001F5BFE&quot;/&gt;&lt;wsp:rsid wsp:val=&quot;001F5FAF&quot;/&gt;&lt;wsp:rsid wsp:val=&quot;001F6325&quot;/&gt;&lt;wsp:rsid wsp:val=&quot;001F653B&quot;/&gt;&lt;wsp:rsid wsp:val=&quot;001F678F&quot;/&gt;&lt;wsp:rsid wsp:val=&quot;001F69FE&quot;/&gt;&lt;wsp:rsid wsp:val=&quot;001F6A0A&quot;/&gt;&lt;wsp:rsid wsp:val=&quot;001F6C9D&quot;/&gt;&lt;wsp:rsid wsp:val=&quot;001F71DE&quot;/&gt;&lt;wsp:rsid wsp:val=&quot;001F728E&quot;/&gt;&lt;wsp:rsid wsp:val=&quot;001F7335&quot;/&gt;&lt;wsp:rsid wsp:val=&quot;001F746B&quot;/&gt;&lt;wsp:rsid wsp:val=&quot;001F783B&quot;/&gt;&lt;wsp:rsid wsp:val=&quot;002004B5&quot;/&gt;&lt;wsp:rsid wsp:val=&quot;00200A58&quot;/&gt;&lt;wsp:rsid wsp:val=&quot;0020115B&quot;/&gt;&lt;wsp:rsid wsp:val=&quot;0020118E&quot;/&gt;&lt;wsp:rsid wsp:val=&quot;00201390&quot;/&gt;&lt;wsp:rsid wsp:val=&quot;00201AD3&quot;/&gt;&lt;wsp:rsid wsp:val=&quot;00201B4F&quot;/&gt;&lt;wsp:rsid wsp:val=&quot;00202731&quot;/&gt;&lt;wsp:rsid wsp:val=&quot;00202FF3&quot;/&gt;&lt;wsp:rsid wsp:val=&quot;00203214&quot;/&gt;&lt;wsp:rsid wsp:val=&quot;00203669&quot;/&gt;&lt;wsp:rsid wsp:val=&quot;00203884&quot;/&gt;&lt;wsp:rsid wsp:val=&quot;00203A11&quot;/&gt;&lt;wsp:rsid wsp:val=&quot;00203A3D&quot;/&gt;&lt;wsp:rsid wsp:val=&quot;00203E63&quot;/&gt;&lt;wsp:rsid wsp:val=&quot;00203F61&quot;/&gt;&lt;wsp:rsid wsp:val=&quot;002040BA&quot;/&gt;&lt;wsp:rsid wsp:val=&quot;00204234&quot;/&gt;&lt;wsp:rsid wsp:val=&quot;00204CB2&quot;/&gt;&lt;wsp:rsid wsp:val=&quot;00204EB1&quot;/&gt;&lt;wsp:rsid wsp:val=&quot;002052F6&quot;/&gt;&lt;wsp:rsid wsp:val=&quot;00205787&quot;/&gt;&lt;wsp:rsid wsp:val=&quot;00205C1E&quot;/&gt;&lt;wsp:rsid wsp:val=&quot;002062A1&quot;/&gt;&lt;wsp:rsid wsp:val=&quot;002062ED&quot;/&gt;&lt;wsp:rsid wsp:val=&quot;002063F5&quot;/&gt;&lt;wsp:rsid wsp:val=&quot;00206B0F&quot;/&gt;&lt;wsp:rsid wsp:val=&quot;00206F17&quot;/&gt;&lt;wsp:rsid wsp:val=&quot;002070B9&quot;/&gt;&lt;wsp:rsid wsp:val=&quot;00207292&quot;/&gt;&lt;wsp:rsid wsp:val=&quot;00207A76&quot;/&gt;&lt;wsp:rsid wsp:val=&quot;00207E9C&quot;/&gt;&lt;wsp:rsid wsp:val=&quot;002109EC&quot;/&gt;&lt;wsp:rsid wsp:val=&quot;00210ED5&quot;/&gt;&lt;wsp:rsid wsp:val=&quot;0021131D&quot;/&gt;&lt;wsp:rsid wsp:val=&quot;00211415&quot;/&gt;&lt;wsp:rsid wsp:val=&quot;0021154F&quot;/&gt;&lt;wsp:rsid wsp:val=&quot;00211603&quot;/&gt;&lt;wsp:rsid wsp:val=&quot;0021178A&quot;/&gt;&lt;wsp:rsid wsp:val=&quot;00211A9D&quot;/&gt;&lt;wsp:rsid wsp:val=&quot;00211E3A&quot;/&gt;&lt;wsp:rsid wsp:val=&quot;00212629&quot;/&gt;&lt;wsp:rsid wsp:val=&quot;00212D0A&quot;/&gt;&lt;wsp:rsid wsp:val=&quot;0021342F&quot;/&gt;&lt;wsp:rsid wsp:val=&quot;00213716&quot;/&gt;&lt;wsp:rsid wsp:val=&quot;00213AA3&quot;/&gt;&lt;wsp:rsid wsp:val=&quot;00213AE7&quot;/&gt;&lt;wsp:rsid wsp:val=&quot;00213CD1&quot;/&gt;&lt;wsp:rsid wsp:val=&quot;002144B9&quot;/&gt;&lt;wsp:rsid wsp:val=&quot;002145B2&quot;/&gt;&lt;wsp:rsid wsp:val=&quot;002148B7&quot;/&gt;&lt;wsp:rsid wsp:val=&quot;00215153&quot;/&gt;&lt;wsp:rsid wsp:val=&quot;002152B4&quot;/&gt;&lt;wsp:rsid wsp:val=&quot;00215363&quot;/&gt;&lt;wsp:rsid wsp:val=&quot;002155D5&quot;/&gt;&lt;wsp:rsid wsp:val=&quot;002157D0&quot;/&gt;&lt;wsp:rsid wsp:val=&quot;002158BB&quot;/&gt;&lt;wsp:rsid wsp:val=&quot;00215923&quot;/&gt;&lt;wsp:rsid wsp:val=&quot;00215B16&quot;/&gt;&lt;wsp:rsid wsp:val=&quot;00216252&quot;/&gt;&lt;wsp:rsid wsp:val=&quot;00216A42&quot;/&gt;&lt;wsp:rsid wsp:val=&quot;0021762E&quot;/&gt;&lt;wsp:rsid wsp:val=&quot;00217863&quot;/&gt;&lt;wsp:rsid wsp:val=&quot;00217875&quot;/&gt;&lt;wsp:rsid wsp:val=&quot;00217C16&quot;/&gt;&lt;wsp:rsid wsp:val=&quot;00217CDD&quot;/&gt;&lt;wsp:rsid wsp:val=&quot;00217DF4&quot;/&gt;&lt;wsp:rsid wsp:val=&quot;00217FF3&quot;/&gt;&lt;wsp:rsid wsp:val=&quot;002201D1&quot;/&gt;&lt;wsp:rsid wsp:val=&quot;0022087F&quot;/&gt;&lt;wsp:rsid wsp:val=&quot;00220A70&quot;/&gt;&lt;wsp:rsid wsp:val=&quot;00220E2B&quot;/&gt;&lt;wsp:rsid wsp:val=&quot;00220FF9&quot;/&gt;&lt;wsp:rsid wsp:val=&quot;00221C9E&quot;/&gt;&lt;wsp:rsid wsp:val=&quot;00221CE5&quot;/&gt;&lt;wsp:rsid wsp:val=&quot;00222238&quot;/&gt;&lt;wsp:rsid wsp:val=&quot;002223C9&quot;/&gt;&lt;wsp:rsid wsp:val=&quot;00222500&quot;/&gt;&lt;wsp:rsid wsp:val=&quot;002226AA&quot;/&gt;&lt;wsp:rsid wsp:val=&quot;0022270D&quot;/&gt;&lt;wsp:rsid wsp:val=&quot;00222C43&quot;/&gt;&lt;wsp:rsid wsp:val=&quot;00222D7F&quot;/&gt;&lt;wsp:rsid wsp:val=&quot;00222DC8&quot;/&gt;&lt;wsp:rsid wsp:val=&quot;002231EE&quot;/&gt;&lt;wsp:rsid wsp:val=&quot;002233E3&quot;/&gt;&lt;wsp:rsid wsp:val=&quot;002239B7&quot;/&gt;&lt;wsp:rsid wsp:val=&quot;00223A30&quot;/&gt;&lt;wsp:rsid wsp:val=&quot;00223B60&quot;/&gt;&lt;wsp:rsid wsp:val=&quot;00223DE6&quot;/&gt;&lt;wsp:rsid wsp:val=&quot;00223F62&quot;/&gt;&lt;wsp:rsid wsp:val=&quot;00223F9C&quot;/&gt;&lt;wsp:rsid wsp:val=&quot;00223FFC&quot;/&gt;&lt;wsp:rsid wsp:val=&quot;002249B1&quot;/&gt;&lt;wsp:rsid wsp:val=&quot;00224B87&quot;/&gt;&lt;wsp:rsid wsp:val=&quot;002252A4&quot;/&gt;&lt;wsp:rsid wsp:val=&quot;002256D7&quot;/&gt;&lt;wsp:rsid wsp:val=&quot;002256F8&quot;/&gt;&lt;wsp:rsid wsp:val=&quot;0022588E&quot;/&gt;&lt;wsp:rsid wsp:val=&quot;00226142&quot;/&gt;&lt;wsp:rsid wsp:val=&quot;00226165&quot;/&gt;&lt;wsp:rsid wsp:val=&quot;0022658A&quot;/&gt;&lt;wsp:rsid wsp:val=&quot;00226901&quot;/&gt;&lt;wsp:rsid wsp:val=&quot;00226C9A&quot;/&gt;&lt;wsp:rsid wsp:val=&quot;00226CAA&quot;/&gt;&lt;wsp:rsid wsp:val=&quot;00226E16&quot;/&gt;&lt;wsp:rsid wsp:val=&quot;00226F0D&quot;/&gt;&lt;wsp:rsid wsp:val=&quot;00226FCA&quot;/&gt;&lt;wsp:rsid wsp:val=&quot;00227818&quot;/&gt;&lt;wsp:rsid wsp:val=&quot;0022783D&quot;/&gt;&lt;wsp:rsid wsp:val=&quot;00227A0E&quot;/&gt;&lt;wsp:rsid wsp:val=&quot;00227CA3&quot;/&gt;&lt;wsp:rsid wsp:val=&quot;00227CAC&quot;/&gt;&lt;wsp:rsid wsp:val=&quot;00227F09&quot;/&gt;&lt;wsp:rsid wsp:val=&quot;002300C7&quot;/&gt;&lt;wsp:rsid wsp:val=&quot;002300D2&quot;/&gt;&lt;wsp:rsid wsp:val=&quot;00230153&quot;/&gt;&lt;wsp:rsid wsp:val=&quot;00230303&quot;/&gt;&lt;wsp:rsid wsp:val=&quot;00230718&quot;/&gt;&lt;wsp:rsid wsp:val=&quot;00230D26&quot;/&gt;&lt;wsp:rsid wsp:val=&quot;002314F1&quot;/&gt;&lt;wsp:rsid wsp:val=&quot;00231683&quot;/&gt;&lt;wsp:rsid wsp:val=&quot;00231CB7&quot;/&gt;&lt;wsp:rsid wsp:val=&quot;00231EF3&quot;/&gt;&lt;wsp:rsid wsp:val=&quot;0023208D&quot;/&gt;&lt;wsp:rsid wsp:val=&quot;00232266&quot;/&gt;&lt;wsp:rsid wsp:val=&quot;002324A6&quot;/&gt;&lt;wsp:rsid wsp:val=&quot;002325A1&quot;/&gt;&lt;wsp:rsid wsp:val=&quot;00232989&quot;/&gt;&lt;wsp:rsid wsp:val=&quot;00232A0A&quot;/&gt;&lt;wsp:rsid wsp:val=&quot;00232B15&quot;/&gt;&lt;wsp:rsid wsp:val=&quot;00232B66&quot;/&gt;&lt;wsp:rsid wsp:val=&quot;00232E63&quot;/&gt;&lt;wsp:rsid wsp:val=&quot;00233149&quot;/&gt;&lt;wsp:rsid wsp:val=&quot;0023329A&quot;/&gt;&lt;wsp:rsid wsp:val=&quot;002333DE&quot;/&gt;&lt;wsp:rsid wsp:val=&quot;00233477&quot;/&gt;&lt;wsp:rsid wsp:val=&quot;00233F42&quot;/&gt;&lt;wsp:rsid wsp:val=&quot;002348CB&quot;/&gt;&lt;wsp:rsid wsp:val=&quot;002349BD&quot;/&gt;&lt;wsp:rsid wsp:val=&quot;00234A0C&quot;/&gt;&lt;wsp:rsid wsp:val=&quot;0023556F&quot;/&gt;&lt;wsp:rsid wsp:val=&quot;00235ACA&quot;/&gt;&lt;wsp:rsid wsp:val=&quot;00236590&quot;/&gt;&lt;wsp:rsid wsp:val=&quot;00236846&quot;/&gt;&lt;wsp:rsid wsp:val=&quot;00236C23&quot;/&gt;&lt;wsp:rsid wsp:val=&quot;00236C72&quot;/&gt;&lt;wsp:rsid wsp:val=&quot;00236C7C&quot;/&gt;&lt;wsp:rsid wsp:val=&quot;00236D67&quot;/&gt;&lt;wsp:rsid wsp:val=&quot;0023725F&quot;/&gt;&lt;wsp:rsid wsp:val=&quot;00237F39&quot;/&gt;&lt;wsp:rsid wsp:val=&quot;002402F2&quot;/&gt;&lt;wsp:rsid wsp:val=&quot;002413BD&quot;/&gt;&lt;wsp:rsid wsp:val=&quot;00241542&quot;/&gt;&lt;wsp:rsid wsp:val=&quot;0024185C&quot;/&gt;&lt;wsp:rsid wsp:val=&quot;002418E7&quot;/&gt;&lt;wsp:rsid wsp:val=&quot;00241A04&quot;/&gt;&lt;wsp:rsid wsp:val=&quot;00241A62&quot;/&gt;&lt;wsp:rsid wsp:val=&quot;00241B80&quot;/&gt;&lt;wsp:rsid wsp:val=&quot;00241C03&quot;/&gt;&lt;wsp:rsid wsp:val=&quot;00241F45&quot;/&gt;&lt;wsp:rsid wsp:val=&quot;00241F5F&quot;/&gt;&lt;wsp:rsid wsp:val=&quot;0024244A&quot;/&gt;&lt;wsp:rsid wsp:val=&quot;0024265F&quot;/&gt;&lt;wsp:rsid wsp:val=&quot;002426C6&quot;/&gt;&lt;wsp:rsid wsp:val=&quot;002427E0&quot;/&gt;&lt;wsp:rsid wsp:val=&quot;00242B14&quot;/&gt;&lt;wsp:rsid wsp:val=&quot;00242C0C&quot;/&gt;&lt;wsp:rsid wsp:val=&quot;00242E31&quot;/&gt;&lt;wsp:rsid wsp:val=&quot;0024301C&quot;/&gt;&lt;wsp:rsid wsp:val=&quot;0024379A&quot;/&gt;&lt;wsp:rsid wsp:val=&quot;00243812&quot;/&gt;&lt;wsp:rsid wsp:val=&quot;00243ACD&quot;/&gt;&lt;wsp:rsid wsp:val=&quot;00243BBE&quot;/&gt;&lt;wsp:rsid wsp:val=&quot;00243C6C&quot;/&gt;&lt;wsp:rsid wsp:val=&quot;0024489F&quot;/&gt;&lt;wsp:rsid wsp:val=&quot;00244FD7&quot;/&gt;&lt;wsp:rsid wsp:val=&quot;0024598B&quot;/&gt;&lt;wsp:rsid wsp:val=&quot;00245AEB&quot;/&gt;&lt;wsp:rsid wsp:val=&quot;002461EA&quot;/&gt;&lt;wsp:rsid wsp:val=&quot;002462E4&quot;/&gt;&lt;wsp:rsid wsp:val=&quot;002467DF&quot;/&gt;&lt;wsp:rsid wsp:val=&quot;0024687E&quot;/&gt;&lt;wsp:rsid wsp:val=&quot;002470B2&quot;/&gt;&lt;wsp:rsid wsp:val=&quot;00247351&quot;/&gt;&lt;wsp:rsid wsp:val=&quot;0024791D&quot;/&gt;&lt;wsp:rsid wsp:val=&quot;00247ACC&quot;/&gt;&lt;wsp:rsid wsp:val=&quot;00247FB1&quot;/&gt;&lt;wsp:rsid wsp:val=&quot;00250170&quot;/&gt;&lt;wsp:rsid wsp:val=&quot;0025022B&quot;/&gt;&lt;wsp:rsid wsp:val=&quot;00251027&quot;/&gt;&lt;wsp:rsid wsp:val=&quot;002510E4&quot;/&gt;&lt;wsp:rsid wsp:val=&quot;0025119D&quot;/&gt;&lt;wsp:rsid wsp:val=&quot;002512E4&quot;/&gt;&lt;wsp:rsid wsp:val=&quot;0025156F&quot;/&gt;&lt;wsp:rsid wsp:val=&quot;00251989&quot;/&gt;&lt;wsp:rsid wsp:val=&quot;00251B43&quot;/&gt;&lt;wsp:rsid wsp:val=&quot;00251FAE&quot;/&gt;&lt;wsp:rsid wsp:val=&quot;002520F8&quot;/&gt;&lt;wsp:rsid wsp:val=&quot;0025211D&quot;/&gt;&lt;wsp:rsid wsp:val=&quot;002526AA&quot;/&gt;&lt;wsp:rsid wsp:val=&quot;0025346F&quot;/&gt;&lt;wsp:rsid wsp:val=&quot;002535C1&quot;/&gt;&lt;wsp:rsid wsp:val=&quot;002535F2&quot;/&gt;&lt;wsp:rsid wsp:val=&quot;00253A28&quot;/&gt;&lt;wsp:rsid wsp:val=&quot;00253B29&quot;/&gt;&lt;wsp:rsid wsp:val=&quot;002540E7&quot;/&gt;&lt;wsp:rsid wsp:val=&quot;0025414B&quot;/&gt;&lt;wsp:rsid wsp:val=&quot;002543FB&quot;/&gt;&lt;wsp:rsid wsp:val=&quot;00254992&quot;/&gt;&lt;wsp:rsid wsp:val=&quot;00254A31&quot;/&gt;&lt;wsp:rsid wsp:val=&quot;00254B17&quot;/&gt;&lt;wsp:rsid wsp:val=&quot;0025529C&quot;/&gt;&lt;wsp:rsid wsp:val=&quot;0025553E&quot;/&gt;&lt;wsp:rsid wsp:val=&quot;002559DA&quot;/&gt;&lt;wsp:rsid wsp:val=&quot;00255A5F&quot;/&gt;&lt;wsp:rsid wsp:val=&quot;002567B3&quot;/&gt;&lt;wsp:rsid wsp:val=&quot;002567D9&quot;/&gt;&lt;wsp:rsid wsp:val=&quot;00257074&quot;/&gt;&lt;wsp:rsid wsp:val=&quot;0025716B&quot;/&gt;&lt;wsp:rsid wsp:val=&quot;002572DE&quot;/&gt;&lt;wsp:rsid wsp:val=&quot;002574AB&quot;/&gt;&lt;wsp:rsid wsp:val=&quot;00257710&quot;/&gt;&lt;wsp:rsid wsp:val=&quot;00257D51&quot;/&gt;&lt;wsp:rsid wsp:val=&quot;00260D34&quot;/&gt;&lt;wsp:rsid wsp:val=&quot;00260E55&quot;/&gt;&lt;wsp:rsid wsp:val=&quot;002617C9&quot;/&gt;&lt;wsp:rsid wsp:val=&quot;002618C2&quot;/&gt;&lt;wsp:rsid wsp:val=&quot;00261D85&quot;/&gt;&lt;wsp:rsid wsp:val=&quot;00262087&quot;/&gt;&lt;wsp:rsid wsp:val=&quot;0026227B&quot;/&gt;&lt;wsp:rsid wsp:val=&quot;00262456&quot;/&gt;&lt;wsp:rsid wsp:val=&quot;0026246C&quot;/&gt;&lt;wsp:rsid wsp:val=&quot;002624A1&quot;/&gt;&lt;wsp:rsid wsp:val=&quot;002627F3&quot;/&gt;&lt;wsp:rsid wsp:val=&quot;00262BD7&quot;/&gt;&lt;wsp:rsid wsp:val=&quot;00262C4D&quot;/&gt;&lt;wsp:rsid wsp:val=&quot;0026359A&quot;/&gt;&lt;wsp:rsid wsp:val=&quot;002636A2&quot;/&gt;&lt;wsp:rsid wsp:val=&quot;002636E9&quot;/&gt;&lt;wsp:rsid wsp:val=&quot;0026396F&quot;/&gt;&lt;wsp:rsid wsp:val=&quot;00263A8D&quot;/&gt;&lt;wsp:rsid wsp:val=&quot;00263C47&quot;/&gt;&lt;wsp:rsid wsp:val=&quot;00263C9F&quot;/&gt;&lt;wsp:rsid wsp:val=&quot;00263E47&quot;/&gt;&lt;wsp:rsid wsp:val=&quot;00263FB4&quot;/&gt;&lt;wsp:rsid wsp:val=&quot;002640D0&quot;/&gt;&lt;wsp:rsid wsp:val=&quot;002643DA&quot;/&gt;&lt;wsp:rsid wsp:val=&quot;002644E2&quot;/&gt;&lt;wsp:rsid wsp:val=&quot;0026461E&quot;/&gt;&lt;wsp:rsid wsp:val=&quot;00264E91&quot;/&gt;&lt;wsp:rsid wsp:val=&quot;00264F6D&quot;/&gt;&lt;wsp:rsid wsp:val=&quot;002655F6&quot;/&gt;&lt;wsp:rsid wsp:val=&quot;0026560C&quot;/&gt;&lt;wsp:rsid wsp:val=&quot;00265FF0&quot;/&gt;&lt;wsp:rsid wsp:val=&quot;00266E09&quot;/&gt;&lt;wsp:rsid wsp:val=&quot;0026739F&quot;/&gt;&lt;wsp:rsid wsp:val=&quot;00267640&quot;/&gt;&lt;wsp:rsid wsp:val=&quot;00270029&quot;/&gt;&lt;wsp:rsid wsp:val=&quot;0027018D&quot;/&gt;&lt;wsp:rsid wsp:val=&quot;00270611&quot;/&gt;&lt;wsp:rsid wsp:val=&quot;00270697&quot;/&gt;&lt;wsp:rsid wsp:val=&quot;00270755&quot;/&gt;&lt;wsp:rsid wsp:val=&quot;00270B47&quot;/&gt;&lt;wsp:rsid wsp:val=&quot;00270D59&quot;/&gt;&lt;wsp:rsid wsp:val=&quot;00271289&quot;/&gt;&lt;wsp:rsid wsp:val=&quot;0027134C&quot;/&gt;&lt;wsp:rsid wsp:val=&quot;00271593&quot;/&gt;&lt;wsp:rsid wsp:val=&quot;002715A6&quot;/&gt;&lt;wsp:rsid wsp:val=&quot;0027161F&quot;/&gt;&lt;wsp:rsid wsp:val=&quot;00271D4D&quot;/&gt;&lt;wsp:rsid wsp:val=&quot;00271E47&quot;/&gt;&lt;wsp:rsid wsp:val=&quot;0027224A&quot;/&gt;&lt;wsp:rsid wsp:val=&quot;002724EF&quot;/&gt;&lt;wsp:rsid wsp:val=&quot;002724F4&quot;/&gt;&lt;wsp:rsid wsp:val=&quot;00272C48&quot;/&gt;&lt;wsp:rsid wsp:val=&quot;002732D0&quot;/&gt;&lt;wsp:rsid wsp:val=&quot;002736D7&quot;/&gt;&lt;wsp:rsid wsp:val=&quot;0027373B&quot;/&gt;&lt;wsp:rsid wsp:val=&quot;00274050&quot;/&gt;&lt;wsp:rsid wsp:val=&quot;00274196&quot;/&gt;&lt;wsp:rsid wsp:val=&quot;00274205&quot;/&gt;&lt;wsp:rsid wsp:val=&quot;002744A3&quot;/&gt;&lt;wsp:rsid wsp:val=&quot;002744AA&quot;/&gt;&lt;wsp:rsid wsp:val=&quot;002747BF&quot;/&gt;&lt;wsp:rsid wsp:val=&quot;002747D0&quot;/&gt;&lt;wsp:rsid wsp:val=&quot;002748ED&quot;/&gt;&lt;wsp:rsid wsp:val=&quot;00274955&quot;/&gt;&lt;wsp:rsid wsp:val=&quot;0027499C&quot;/&gt;&lt;wsp:rsid wsp:val=&quot;00274A6C&quot;/&gt;&lt;wsp:rsid wsp:val=&quot;00274C83&quot;/&gt;&lt;wsp:rsid wsp:val=&quot;00274CDA&quot;/&gt;&lt;wsp:rsid wsp:val=&quot;0027513F&quot;/&gt;&lt;wsp:rsid wsp:val=&quot;00275142&quot;/&gt;&lt;wsp:rsid wsp:val=&quot;00275637&quot;/&gt;&lt;wsp:rsid wsp:val=&quot;002757D0&quot;/&gt;&lt;wsp:rsid wsp:val=&quot;00275A5D&quot;/&gt;&lt;wsp:rsid wsp:val=&quot;00275AD2&quot;/&gt;&lt;wsp:rsid wsp:val=&quot;0027613B&quot;/&gt;&lt;wsp:rsid wsp:val=&quot;0027644C&quot;/&gt;&lt;wsp:rsid wsp:val=&quot;002765AD&quot;/&gt;&lt;wsp:rsid wsp:val=&quot;002767D0&quot;/&gt;&lt;wsp:rsid wsp:val=&quot;00276D6C&quot;/&gt;&lt;wsp:rsid wsp:val=&quot;00276F23&quot;/&gt;&lt;wsp:rsid wsp:val=&quot;0027716C&quot;/&gt;&lt;wsp:rsid wsp:val=&quot;002779DD&quot;/&gt;&lt;wsp:rsid wsp:val=&quot;00277F07&quot;/&gt;&lt;wsp:rsid wsp:val=&quot;0028013C&quot;/&gt;&lt;wsp:rsid wsp:val=&quot;002803DE&quot;/&gt;&lt;wsp:rsid wsp:val=&quot;002804A3&quot;/&gt;&lt;wsp:rsid wsp:val=&quot;00280893&quot;/&gt;&lt;wsp:rsid wsp:val=&quot;002812C9&quot;/&gt;&lt;wsp:rsid wsp:val=&quot;002814EC&quot;/&gt;&lt;wsp:rsid wsp:val=&quot;0028166F&quot;/&gt;&lt;wsp:rsid wsp:val=&quot;00281860&quot;/&gt;&lt;wsp:rsid wsp:val=&quot;00281952&quot;/&gt;&lt;wsp:rsid wsp:val=&quot;00282A78&quot;/&gt;&lt;wsp:rsid wsp:val=&quot;00282B4B&quot;/&gt;&lt;wsp:rsid wsp:val=&quot;00282BDA&quot;/&gt;&lt;wsp:rsid wsp:val=&quot;00282E4D&quot;/&gt;&lt;wsp:rsid wsp:val=&quot;002832E0&quot;/&gt;&lt;wsp:rsid wsp:val=&quot;002833BB&quot;/&gt;&lt;wsp:rsid wsp:val=&quot;0028346E&quot;/&gt;&lt;wsp:rsid wsp:val=&quot;002835C7&quot;/&gt;&lt;wsp:rsid wsp:val=&quot;00284392&quot;/&gt;&lt;wsp:rsid wsp:val=&quot;00284567&quot;/&gt;&lt;wsp:rsid wsp:val=&quot;00284A7F&quot;/&gt;&lt;wsp:rsid wsp:val=&quot;00284BC4&quot;/&gt;&lt;wsp:rsid wsp:val=&quot;00284C0D&quot;/&gt;&lt;wsp:rsid wsp:val=&quot;00285346&quot;/&gt;&lt;wsp:rsid wsp:val=&quot;0028553F&quot;/&gt;&lt;wsp:rsid wsp:val=&quot;00285701&quot;/&gt;&lt;wsp:rsid wsp:val=&quot;00285A7F&quot;/&gt;&lt;wsp:rsid wsp:val=&quot;00285AF2&quot;/&gt;&lt;wsp:rsid wsp:val=&quot;00285FC0&quot;/&gt;&lt;wsp:rsid wsp:val=&quot;00285FC5&quot;/&gt;&lt;wsp:rsid wsp:val=&quot;0028641F&quot;/&gt;&lt;wsp:rsid wsp:val=&quot;002867AA&quot;/&gt;&lt;wsp:rsid wsp:val=&quot;002869F5&quot;/&gt;&lt;wsp:rsid wsp:val=&quot;00286F24&quot;/&gt;&lt;wsp:rsid wsp:val=&quot;00286F32&quot;/&gt;&lt;wsp:rsid wsp:val=&quot;00287223&quot;/&gt;&lt;wsp:rsid wsp:val=&quot;00287681&quot;/&gt;&lt;wsp:rsid wsp:val=&quot;00287EBD&quot;/&gt;&lt;wsp:rsid wsp:val=&quot;00287F8E&quot;/&gt;&lt;wsp:rsid wsp:val=&quot;0029008F&quot;/&gt;&lt;wsp:rsid wsp:val=&quot;0029079A&quot;/&gt;&lt;wsp:rsid wsp:val=&quot;00290A2D&quot;/&gt;&lt;wsp:rsid wsp:val=&quot;002910F2&quot;/&gt;&lt;wsp:rsid wsp:val=&quot;002911F5&quot;/&gt;&lt;wsp:rsid wsp:val=&quot;00291250&quot;/&gt;&lt;wsp:rsid wsp:val=&quot;0029135F&quot;/&gt;&lt;wsp:rsid wsp:val=&quot;0029196D&quot;/&gt;&lt;wsp:rsid wsp:val=&quot;00291A01&quot;/&gt;&lt;wsp:rsid wsp:val=&quot;00291A62&quot;/&gt;&lt;wsp:rsid wsp:val=&quot;00291F28&quot;/&gt;&lt;wsp:rsid wsp:val=&quot;00292687&quot;/&gt;&lt;wsp:rsid wsp:val=&quot;002929B3&quot;/&gt;&lt;wsp:rsid wsp:val=&quot;00292B75&quot;/&gt;&lt;wsp:rsid wsp:val=&quot;00292E90&quot;/&gt;&lt;wsp:rsid wsp:val=&quot;00292F01&quot;/&gt;&lt;wsp:rsid wsp:val=&quot;0029342F&quot;/&gt;&lt;wsp:rsid wsp:val=&quot;002934B1&quot;/&gt;&lt;wsp:rsid wsp:val=&quot;00293626&quot;/&gt;&lt;wsp:rsid wsp:val=&quot;00293B87&quot;/&gt;&lt;wsp:rsid wsp:val=&quot;00293C9E&quot;/&gt;&lt;wsp:rsid wsp:val=&quot;00293DAA&quot;/&gt;&lt;wsp:rsid wsp:val=&quot;00293E69&quot;/&gt;&lt;wsp:rsid wsp:val=&quot;00294076&quot;/&gt;&lt;wsp:rsid wsp:val=&quot;00294094&quot;/&gt;&lt;wsp:rsid wsp:val=&quot;002942B9&quot;/&gt;&lt;wsp:rsid wsp:val=&quot;002944AD&quot;/&gt;&lt;wsp:rsid wsp:val=&quot;00294D12&quot;/&gt;&lt;wsp:rsid wsp:val=&quot;00295814&quot;/&gt;&lt;wsp:rsid wsp:val=&quot;00295EBF&quot;/&gt;&lt;wsp:rsid wsp:val=&quot;00295FCC&quot;/&gt;&lt;wsp:rsid wsp:val=&quot;00296318&quot;/&gt;&lt;wsp:rsid wsp:val=&quot;002963ED&quot;/&gt;&lt;wsp:rsid wsp:val=&quot;00296B3C&quot;/&gt;&lt;wsp:rsid wsp:val=&quot;002976EF&quot;/&gt;&lt;wsp:rsid wsp:val=&quot;00297F6D&quot;/&gt;&lt;wsp:rsid wsp:val=&quot;002A017C&quot;/&gt;&lt;wsp:rsid wsp:val=&quot;002A043F&quot;/&gt;&lt;wsp:rsid wsp:val=&quot;002A082D&quot;/&gt;&lt;wsp:rsid wsp:val=&quot;002A0AC1&quot;/&gt;&lt;wsp:rsid wsp:val=&quot;002A1683&quot;/&gt;&lt;wsp:rsid wsp:val=&quot;002A18F0&quot;/&gt;&lt;wsp:rsid wsp:val=&quot;002A195B&quot;/&gt;&lt;wsp:rsid wsp:val=&quot;002A1B4D&quot;/&gt;&lt;wsp:rsid wsp:val=&quot;002A1D8E&quot;/&gt;&lt;wsp:rsid wsp:val=&quot;002A226C&quot;/&gt;&lt;wsp:rsid wsp:val=&quot;002A25D6&quot;/&gt;&lt;wsp:rsid wsp:val=&quot;002A287D&quot;/&gt;&lt;wsp:rsid wsp:val=&quot;002A30A8&quot;/&gt;&lt;wsp:rsid wsp:val=&quot;002A325C&quot;/&gt;&lt;wsp:rsid wsp:val=&quot;002A354B&quot;/&gt;&lt;wsp:rsid wsp:val=&quot;002A3C55&quot;/&gt;&lt;wsp:rsid wsp:val=&quot;002A3E93&quot;/&gt;&lt;wsp:rsid wsp:val=&quot;002A40B5&quot;/&gt;&lt;wsp:rsid wsp:val=&quot;002A40BF&quot;/&gt;&lt;wsp:rsid wsp:val=&quot;002A438B&quot;/&gt;&lt;wsp:rsid wsp:val=&quot;002A43DA&quot;/&gt;&lt;wsp:rsid wsp:val=&quot;002A4413&quot;/&gt;&lt;wsp:rsid wsp:val=&quot;002A47C6&quot;/&gt;&lt;wsp:rsid wsp:val=&quot;002A4B45&quot;/&gt;&lt;wsp:rsid wsp:val=&quot;002A4F64&quot;/&gt;&lt;wsp:rsid wsp:val=&quot;002A4FAA&quot;/&gt;&lt;wsp:rsid wsp:val=&quot;002A543C&quot;/&gt;&lt;wsp:rsid wsp:val=&quot;002A5850&quot;/&gt;&lt;wsp:rsid wsp:val=&quot;002A5E2B&quot;/&gt;&lt;wsp:rsid wsp:val=&quot;002A60AB&quot;/&gt;&lt;wsp:rsid wsp:val=&quot;002A62D4&quot;/&gt;&lt;wsp:rsid wsp:val=&quot;002A6559&quot;/&gt;&lt;wsp:rsid wsp:val=&quot;002A72E4&quot;/&gt;&lt;wsp:rsid wsp:val=&quot;002A7464&quot;/&gt;&lt;wsp:rsid wsp:val=&quot;002A753D&quot;/&gt;&lt;wsp:rsid wsp:val=&quot;002A76F0&quot;/&gt;&lt;wsp:rsid wsp:val=&quot;002A78B2&quot;/&gt;&lt;wsp:rsid wsp:val=&quot;002A7969&quot;/&gt;&lt;wsp:rsid wsp:val=&quot;002A7DE4&quot;/&gt;&lt;wsp:rsid wsp:val=&quot;002B07B5&quot;/&gt;&lt;wsp:rsid wsp:val=&quot;002B07D5&quot;/&gt;&lt;wsp:rsid wsp:val=&quot;002B0B06&quot;/&gt;&lt;wsp:rsid wsp:val=&quot;002B0B36&quot;/&gt;&lt;wsp:rsid wsp:val=&quot;002B1469&quot;/&gt;&lt;wsp:rsid wsp:val=&quot;002B21F2&quot;/&gt;&lt;wsp:rsid wsp:val=&quot;002B22FF&quot;/&gt;&lt;wsp:rsid wsp:val=&quot;002B2487&quot;/&gt;&lt;wsp:rsid wsp:val=&quot;002B2750&quot;/&gt;&lt;wsp:rsid wsp:val=&quot;002B2CDA&quot;/&gt;&lt;wsp:rsid wsp:val=&quot;002B3B40&quot;/&gt;&lt;wsp:rsid wsp:val=&quot;002B3B45&quot;/&gt;&lt;wsp:rsid wsp:val=&quot;002B3C6E&quot;/&gt;&lt;wsp:rsid wsp:val=&quot;002B4636&quot;/&gt;&lt;wsp:rsid wsp:val=&quot;002B5679&quot;/&gt;&lt;wsp:rsid wsp:val=&quot;002B589F&quot;/&gt;&lt;wsp:rsid wsp:val=&quot;002B5CDE&quot;/&gt;&lt;wsp:rsid wsp:val=&quot;002B6271&quot;/&gt;&lt;wsp:rsid wsp:val=&quot;002B63AB&quot;/&gt;&lt;wsp:rsid wsp:val=&quot;002B6969&quot;/&gt;&lt;wsp:rsid wsp:val=&quot;002B6B15&quot;/&gt;&lt;wsp:rsid wsp:val=&quot;002B6C6C&quot;/&gt;&lt;wsp:rsid wsp:val=&quot;002B6E38&quot;/&gt;&lt;wsp:rsid wsp:val=&quot;002B7093&quot;/&gt;&lt;wsp:rsid wsp:val=&quot;002C028F&quot;/&gt;&lt;wsp:rsid wsp:val=&quot;002C02EC&quot;/&gt;&lt;wsp:rsid wsp:val=&quot;002C02EF&quot;/&gt;&lt;wsp:rsid wsp:val=&quot;002C0435&quot;/&gt;&lt;wsp:rsid wsp:val=&quot;002C0475&quot;/&gt;&lt;wsp:rsid wsp:val=&quot;002C049C&quot;/&gt;&lt;wsp:rsid wsp:val=&quot;002C06A2&quot;/&gt;&lt;wsp:rsid wsp:val=&quot;002C0797&quot;/&gt;&lt;wsp:rsid wsp:val=&quot;002C09C9&quot;/&gt;&lt;wsp:rsid wsp:val=&quot;002C1425&quot;/&gt;&lt;wsp:rsid wsp:val=&quot;002C196B&quot;/&gt;&lt;wsp:rsid wsp:val=&quot;002C1A16&quot;/&gt;&lt;wsp:rsid wsp:val=&quot;002C1D69&quot;/&gt;&lt;wsp:rsid wsp:val=&quot;002C2023&quot;/&gt;&lt;wsp:rsid wsp:val=&quot;002C2E78&quot;/&gt;&lt;wsp:rsid wsp:val=&quot;002C341B&quot;/&gt;&lt;wsp:rsid wsp:val=&quot;002C36FF&quot;/&gt;&lt;wsp:rsid wsp:val=&quot;002C3863&quot;/&gt;&lt;wsp:rsid wsp:val=&quot;002C38D3&quot;/&gt;&lt;wsp:rsid wsp:val=&quot;002C399A&quot;/&gt;&lt;wsp:rsid wsp:val=&quot;002C3F6E&quot;/&gt;&lt;wsp:rsid wsp:val=&quot;002C40E3&quot;/&gt;&lt;wsp:rsid wsp:val=&quot;002C426B&quot;/&gt;&lt;wsp:rsid wsp:val=&quot;002C4910&quot;/&gt;&lt;wsp:rsid wsp:val=&quot;002C51F4&quot;/&gt;&lt;wsp:rsid wsp:val=&quot;002C52BD&quot;/&gt;&lt;wsp:rsid wsp:val=&quot;002C5465&quot;/&gt;&lt;wsp:rsid wsp:val=&quot;002C580B&quot;/&gt;&lt;wsp:rsid wsp:val=&quot;002C5A9A&quot;/&gt;&lt;wsp:rsid wsp:val=&quot;002C5D82&quot;/&gt;&lt;wsp:rsid wsp:val=&quot;002C5F99&quot;/&gt;&lt;wsp:rsid wsp:val=&quot;002C6221&quot;/&gt;&lt;wsp:rsid wsp:val=&quot;002C6936&quot;/&gt;&lt;wsp:rsid wsp:val=&quot;002C6EF6&quot;/&gt;&lt;wsp:rsid wsp:val=&quot;002C70A1&quot;/&gt;&lt;wsp:rsid wsp:val=&quot;002C70EB&quot;/&gt;&lt;wsp:rsid wsp:val=&quot;002C71BC&quot;/&gt;&lt;wsp:rsid wsp:val=&quot;002C7CB3&quot;/&gt;&lt;wsp:rsid wsp:val=&quot;002D01B6&quot;/&gt;&lt;wsp:rsid wsp:val=&quot;002D051A&quot;/&gt;&lt;wsp:rsid wsp:val=&quot;002D066C&quot;/&gt;&lt;wsp:rsid wsp:val=&quot;002D0BD7&quot;/&gt;&lt;wsp:rsid wsp:val=&quot;002D0D75&quot;/&gt;&lt;wsp:rsid wsp:val=&quot;002D17A6&quot;/&gt;&lt;wsp:rsid wsp:val=&quot;002D1F87&quot;/&gt;&lt;wsp:rsid wsp:val=&quot;002D2373&quot;/&gt;&lt;wsp:rsid wsp:val=&quot;002D26F6&quot;/&gt;&lt;wsp:rsid wsp:val=&quot;002D2A19&quot;/&gt;&lt;wsp:rsid wsp:val=&quot;002D2A84&quot;/&gt;&lt;wsp:rsid wsp:val=&quot;002D30BE&quot;/&gt;&lt;wsp:rsid wsp:val=&quot;002D325A&quot;/&gt;&lt;wsp:rsid wsp:val=&quot;002D3A06&quot;/&gt;&lt;wsp:rsid wsp:val=&quot;002D3E99&quot;/&gt;&lt;wsp:rsid wsp:val=&quot;002D3FAD&quot;/&gt;&lt;wsp:rsid wsp:val=&quot;002D4667&quot;/&gt;&lt;wsp:rsid wsp:val=&quot;002D48AC&quot;/&gt;&lt;wsp:rsid wsp:val=&quot;002D4A83&quot;/&gt;&lt;wsp:rsid wsp:val=&quot;002D4C2A&quot;/&gt;&lt;wsp:rsid wsp:val=&quot;002D5156&quot;/&gt;&lt;wsp:rsid wsp:val=&quot;002D5221&quot;/&gt;&lt;wsp:rsid wsp:val=&quot;002D54B2&quot;/&gt;&lt;wsp:rsid wsp:val=&quot;002D5AD5&quot;/&gt;&lt;wsp:rsid wsp:val=&quot;002D5F75&quot;/&gt;&lt;wsp:rsid wsp:val=&quot;002D60C7&quot;/&gt;&lt;wsp:rsid wsp:val=&quot;002D6528&quot;/&gt;&lt;wsp:rsid wsp:val=&quot;002D655D&quot;/&gt;&lt;wsp:rsid wsp:val=&quot;002D6810&quot;/&gt;&lt;wsp:rsid wsp:val=&quot;002D68CE&quot;/&gt;&lt;wsp:rsid wsp:val=&quot;002D68D1&quot;/&gt;&lt;wsp:rsid wsp:val=&quot;002D68F0&quot;/&gt;&lt;wsp:rsid wsp:val=&quot;002D6938&quot;/&gt;&lt;wsp:rsid wsp:val=&quot;002D6EA4&quot;/&gt;&lt;wsp:rsid wsp:val=&quot;002D6F4C&quot;/&gt;&lt;wsp:rsid wsp:val=&quot;002D712B&quot;/&gt;&lt;wsp:rsid wsp:val=&quot;002D7489&quot;/&gt;&lt;wsp:rsid wsp:val=&quot;002D75E1&quot;/&gt;&lt;wsp:rsid wsp:val=&quot;002D7852&quot;/&gt;&lt;wsp:rsid wsp:val=&quot;002D7876&quot;/&gt;&lt;wsp:rsid wsp:val=&quot;002D7F7C&quot;/&gt;&lt;wsp:rsid wsp:val=&quot;002E00F5&quot;/&gt;&lt;wsp:rsid wsp:val=&quot;002E0245&quot;/&gt;&lt;wsp:rsid wsp:val=&quot;002E09BB&quot;/&gt;&lt;wsp:rsid wsp:val=&quot;002E10DC&quot;/&gt;&lt;wsp:rsid wsp:val=&quot;002E155F&quot;/&gt;&lt;wsp:rsid wsp:val=&quot;002E1B96&quot;/&gt;&lt;wsp:rsid wsp:val=&quot;002E1D4F&quot;/&gt;&lt;wsp:rsid wsp:val=&quot;002E1F15&quot;/&gt;&lt;wsp:rsid wsp:val=&quot;002E1F17&quot;/&gt;&lt;wsp:rsid wsp:val=&quot;002E205D&quot;/&gt;&lt;wsp:rsid wsp:val=&quot;002E22DB&quot;/&gt;&lt;wsp:rsid wsp:val=&quot;002E28BB&quot;/&gt;&lt;wsp:rsid wsp:val=&quot;002E2C03&quot;/&gt;&lt;wsp:rsid wsp:val=&quot;002E2EC0&quot;/&gt;&lt;wsp:rsid wsp:val=&quot;002E3387&quot;/&gt;&lt;wsp:rsid wsp:val=&quot;002E34D6&quot;/&gt;&lt;wsp:rsid wsp:val=&quot;002E3B88&quot;/&gt;&lt;wsp:rsid wsp:val=&quot;002E3D5B&quot;/&gt;&lt;wsp:rsid wsp:val=&quot;002E3DAD&quot;/&gt;&lt;wsp:rsid wsp:val=&quot;002E3ED7&quot;/&gt;&lt;wsp:rsid wsp:val=&quot;002E4583&quot;/&gt;&lt;wsp:rsid wsp:val=&quot;002E4707&quot;/&gt;&lt;wsp:rsid wsp:val=&quot;002E4B35&quot;/&gt;&lt;wsp:rsid wsp:val=&quot;002E542B&quot;/&gt;&lt;wsp:rsid wsp:val=&quot;002E6D9B&quot;/&gt;&lt;wsp:rsid wsp:val=&quot;002E7A1F&quot;/&gt;&lt;wsp:rsid wsp:val=&quot;002E7AE0&quot;/&gt;&lt;wsp:rsid wsp:val=&quot;002E7B93&quot;/&gt;&lt;wsp:rsid wsp:val=&quot;002E7F73&quot;/&gt;&lt;wsp:rsid wsp:val=&quot;002F0117&quot;/&gt;&lt;wsp:rsid wsp:val=&quot;002F033F&quot;/&gt;&lt;wsp:rsid wsp:val=&quot;002F0447&quot;/&gt;&lt;wsp:rsid wsp:val=&quot;002F046F&quot;/&gt;&lt;wsp:rsid wsp:val=&quot;002F0546&quot;/&gt;&lt;wsp:rsid wsp:val=&quot;002F0E28&quot;/&gt;&lt;wsp:rsid wsp:val=&quot;002F0F50&quot;/&gt;&lt;wsp:rsid wsp:val=&quot;002F0FBF&quot;/&gt;&lt;wsp:rsid wsp:val=&quot;002F12A5&quot;/&gt;&lt;wsp:rsid wsp:val=&quot;002F1589&quot;/&gt;&lt;wsp:rsid wsp:val=&quot;002F17EF&quot;/&gt;&lt;wsp:rsid wsp:val=&quot;002F1969&quot;/&gt;&lt;wsp:rsid wsp:val=&quot;002F1FC7&quot;/&gt;&lt;wsp:rsid wsp:val=&quot;002F2886&quot;/&gt;&lt;wsp:rsid wsp:val=&quot;002F309F&quot;/&gt;&lt;wsp:rsid wsp:val=&quot;002F33C7&quot;/&gt;&lt;wsp:rsid wsp:val=&quot;002F3538&quot;/&gt;&lt;wsp:rsid wsp:val=&quot;002F3CF1&quot;/&gt;&lt;wsp:rsid wsp:val=&quot;002F3D37&quot;/&gt;&lt;wsp:rsid wsp:val=&quot;002F42BA&quot;/&gt;&lt;wsp:rsid wsp:val=&quot;002F452B&quot;/&gt;&lt;wsp:rsid wsp:val=&quot;002F4635&quot;/&gt;&lt;wsp:rsid wsp:val=&quot;002F4CC1&quot;/&gt;&lt;wsp:rsid wsp:val=&quot;002F4E53&quot;/&gt;&lt;wsp:rsid wsp:val=&quot;002F4E82&quot;/&gt;&lt;wsp:rsid wsp:val=&quot;002F4FEE&quot;/&gt;&lt;wsp:rsid wsp:val=&quot;002F50B4&quot;/&gt;&lt;wsp:rsid wsp:val=&quot;002F5550&quot;/&gt;&lt;wsp:rsid wsp:val=&quot;002F57FD&quot;/&gt;&lt;wsp:rsid wsp:val=&quot;002F5DB6&quot;/&gt;&lt;wsp:rsid wsp:val=&quot;002F5EEF&quot;/&gt;&lt;wsp:rsid wsp:val=&quot;002F5FFD&quot;/&gt;&lt;wsp:rsid wsp:val=&quot;002F6510&quot;/&gt;&lt;wsp:rsid wsp:val=&quot;002F6A30&quot;/&gt;&lt;wsp:rsid wsp:val=&quot;002F6C71&quot;/&gt;&lt;wsp:rsid wsp:val=&quot;002F762A&quot;/&gt;&lt;wsp:rsid wsp:val=&quot;002F7CDE&quot;/&gt;&lt;wsp:rsid wsp:val=&quot;00300614&quot;/&gt;&lt;wsp:rsid wsp:val=&quot;0030079A&quot;/&gt;&lt;wsp:rsid wsp:val=&quot;00300A4F&quot;/&gt;&lt;wsp:rsid wsp:val=&quot;003011E0&quot;/&gt;&lt;wsp:rsid wsp:val=&quot;00301AB9&quot;/&gt;&lt;wsp:rsid wsp:val=&quot;00301E31&quot;/&gt;&lt;wsp:rsid wsp:val=&quot;003020F0&quot;/&gt;&lt;wsp:rsid wsp:val=&quot;003021E3&quot;/&gt;&lt;wsp:rsid wsp:val=&quot;003021EB&quot;/&gt;&lt;wsp:rsid wsp:val=&quot;0030234F&quot;/&gt;&lt;wsp:rsid wsp:val=&quot;003024F1&quot;/&gt;&lt;wsp:rsid wsp:val=&quot;00302C47&quot;/&gt;&lt;wsp:rsid wsp:val=&quot;00302DE7&quot;/&gt;&lt;wsp:rsid wsp:val=&quot;00302E2C&quot;/&gt;&lt;wsp:rsid wsp:val=&quot;0030381E&quot;/&gt;&lt;wsp:rsid wsp:val=&quot;00303848&quot;/&gt;&lt;wsp:rsid wsp:val=&quot;00303894&quot;/&gt;&lt;wsp:rsid wsp:val=&quot;00303A13&quot;/&gt;&lt;wsp:rsid wsp:val=&quot;00303D41&quot;/&gt;&lt;wsp:rsid wsp:val=&quot;0030400B&quot;/&gt;&lt;wsp:rsid wsp:val=&quot;003040BB&quot;/&gt;&lt;wsp:rsid wsp:val=&quot;003042E2&quot;/&gt;&lt;wsp:rsid wsp:val=&quot;00304465&quot;/&gt;&lt;wsp:rsid wsp:val=&quot;00304543&quot;/&gt;&lt;wsp:rsid wsp:val=&quot;00304659&quot;/&gt;&lt;wsp:rsid wsp:val=&quot;00304816&quot;/&gt;&lt;wsp:rsid wsp:val=&quot;00305216&quot;/&gt;&lt;wsp:rsid wsp:val=&quot;00305929&quot;/&gt;&lt;wsp:rsid wsp:val=&quot;00305A87&quot;/&gt;&lt;wsp:rsid wsp:val=&quot;003064CB&quot;/&gt;&lt;wsp:rsid wsp:val=&quot;00306A6A&quot;/&gt;&lt;wsp:rsid wsp:val=&quot;00306AA7&quot;/&gt;&lt;wsp:rsid wsp:val=&quot;00306CB1&quot;/&gt;&lt;wsp:rsid wsp:val=&quot;00306F51&quot;/&gt;&lt;wsp:rsid wsp:val=&quot;00306F9A&quot;/&gt;&lt;wsp:rsid wsp:val=&quot;00307117&quot;/&gt;&lt;wsp:rsid wsp:val=&quot;00307711&quot;/&gt;&lt;wsp:rsid wsp:val=&quot;003077AC&quot;/&gt;&lt;wsp:rsid wsp:val=&quot;00307B03&quot;/&gt;&lt;wsp:rsid wsp:val=&quot;0031013A&quot;/&gt;&lt;wsp:rsid wsp:val=&quot;0031018C&quot;/&gt;&lt;wsp:rsid wsp:val=&quot;003105B2&quot;/&gt;&lt;wsp:rsid wsp:val=&quot;00310832&quot;/&gt;&lt;wsp:rsid wsp:val=&quot;00310AC6&quot;/&gt;&lt;wsp:rsid wsp:val=&quot;00310E02&quot;/&gt;&lt;wsp:rsid wsp:val=&quot;003111BD&quot;/&gt;&lt;wsp:rsid wsp:val=&quot;00311355&quot;/&gt;&lt;wsp:rsid wsp:val=&quot;003118E0&quot;/&gt;&lt;wsp:rsid wsp:val=&quot;00311967&quot;/&gt;&lt;wsp:rsid wsp:val=&quot;00311BFF&quot;/&gt;&lt;wsp:rsid wsp:val=&quot;0031201D&quot;/&gt;&lt;wsp:rsid wsp:val=&quot;003124A8&quot;/&gt;&lt;wsp:rsid wsp:val=&quot;0031286E&quot;/&gt;&lt;wsp:rsid wsp:val=&quot;00312EEF&quot;/&gt;&lt;wsp:rsid wsp:val=&quot;00312FD4&quot;/&gt;&lt;wsp:rsid wsp:val=&quot;0031302C&quot;/&gt;&lt;wsp:rsid wsp:val=&quot;00313A91&quot;/&gt;&lt;wsp:rsid wsp:val=&quot;00313C73&quot;/&gt;&lt;wsp:rsid wsp:val=&quot;0031435C&quot;/&gt;&lt;wsp:rsid wsp:val=&quot;003144DA&quot;/&gt;&lt;wsp:rsid wsp:val=&quot;00314577&quot;/&gt;&lt;wsp:rsid wsp:val=&quot;003145BA&quot;/&gt;&lt;wsp:rsid wsp:val=&quot;003146B3&quot;/&gt;&lt;wsp:rsid wsp:val=&quot;003148C5&quot;/&gt;&lt;wsp:rsid wsp:val=&quot;003148E8&quot;/&gt;&lt;wsp:rsid wsp:val=&quot;0031494A&quot;/&gt;&lt;wsp:rsid wsp:val=&quot;00314D64&quot;/&gt;&lt;wsp:rsid wsp:val=&quot;003153AB&quot;/&gt;&lt;wsp:rsid wsp:val=&quot;00315C1F&quot;/&gt;&lt;wsp:rsid wsp:val=&quot;00316A8D&quot;/&gt;&lt;wsp:rsid wsp:val=&quot;00316B3D&quot;/&gt;&lt;wsp:rsid wsp:val=&quot;0031710A&quot;/&gt;&lt;wsp:rsid wsp:val=&quot;0031727B&quot;/&gt;&lt;wsp:rsid wsp:val=&quot;003173FE&quot;/&gt;&lt;wsp:rsid wsp:val=&quot;0031743E&quot;/&gt;&lt;wsp:rsid wsp:val=&quot;003175D3&quot;/&gt;&lt;wsp:rsid wsp:val=&quot;003176EF&quot;/&gt;&lt;wsp:rsid wsp:val=&quot;00317939&quot;/&gt;&lt;wsp:rsid wsp:val=&quot;00317951&quot;/&gt;&lt;wsp:rsid wsp:val=&quot;003179E4&quot;/&gt;&lt;wsp:rsid wsp:val=&quot;00317A5B&quot;/&gt;&lt;wsp:rsid wsp:val=&quot;00317B85&quot;/&gt;&lt;wsp:rsid wsp:val=&quot;00317C82&quot;/&gt;&lt;wsp:rsid wsp:val=&quot;00317C8D&quot;/&gt;&lt;wsp:rsid wsp:val=&quot;00320125&quot;/&gt;&lt;wsp:rsid wsp:val=&quot;00320258&quot;/&gt;&lt;wsp:rsid wsp:val=&quot;00320778&quot;/&gt;&lt;wsp:rsid wsp:val=&quot;003208F1&quot;/&gt;&lt;wsp:rsid wsp:val=&quot;00320B46&quot;/&gt;&lt;wsp:rsid wsp:val=&quot;00321345&quot;/&gt;&lt;wsp:rsid wsp:val=&quot;003219C6&quot;/&gt;&lt;wsp:rsid wsp:val=&quot;00321BAA&quot;/&gt;&lt;wsp:rsid wsp:val=&quot;00321FE8&quot;/&gt;&lt;wsp:rsid wsp:val=&quot;003228E7&quot;/&gt;&lt;wsp:rsid wsp:val=&quot;00322C86&quot;/&gt;&lt;wsp:rsid wsp:val=&quot;00322F9C&quot;/&gt;&lt;wsp:rsid wsp:val=&quot;00323064&quot;/&gt;&lt;wsp:rsid wsp:val=&quot;00323789&quot;/&gt;&lt;wsp:rsid wsp:val=&quot;003237CD&quot;/&gt;&lt;wsp:rsid wsp:val=&quot;003239FE&quot;/&gt;&lt;wsp:rsid wsp:val=&quot;00323A36&quot;/&gt;&lt;wsp:rsid wsp:val=&quot;00323C3F&quot;/&gt;&lt;wsp:rsid wsp:val=&quot;00324043&quot;/&gt;&lt;wsp:rsid wsp:val=&quot;003240C6&quot;/&gt;&lt;wsp:rsid wsp:val=&quot;003240DB&quot;/&gt;&lt;wsp:rsid wsp:val=&quot;00324172&quot;/&gt;&lt;wsp:rsid wsp:val=&quot;003243F1&quot;/&gt;&lt;wsp:rsid wsp:val=&quot;00324811&quot;/&gt;&lt;wsp:rsid wsp:val=&quot;00324D96&quot;/&gt;&lt;wsp:rsid wsp:val=&quot;003251F5&quot;/&gt;&lt;wsp:rsid wsp:val=&quot;003251FD&quot;/&gt;&lt;wsp:rsid wsp:val=&quot;003252DE&quot;/&gt;&lt;wsp:rsid wsp:val=&quot;0032561C&quot;/&gt;&lt;wsp:rsid wsp:val=&quot;003256BF&quot;/&gt;&lt;wsp:rsid wsp:val=&quot;0032627E&quot;/&gt;&lt;wsp:rsid wsp:val=&quot;003263D2&quot;/&gt;&lt;wsp:rsid wsp:val=&quot;003265DD&quot;/&gt;&lt;wsp:rsid wsp:val=&quot;00326D3E&quot;/&gt;&lt;wsp:rsid wsp:val=&quot;0032714F&quot;/&gt;&lt;wsp:rsid wsp:val=&quot;0032737B&quot;/&gt;&lt;wsp:rsid wsp:val=&quot;0032755B&quot;/&gt;&lt;wsp:rsid wsp:val=&quot;0032756B&quot;/&gt;&lt;wsp:rsid wsp:val=&quot;003278B6&quot;/&gt;&lt;wsp:rsid wsp:val=&quot;00327A8B&quot;/&gt;&lt;wsp:rsid wsp:val=&quot;00327CA0&quot;/&gt;&lt;wsp:rsid wsp:val=&quot;00327E04&quot;/&gt;&lt;wsp:rsid wsp:val=&quot;00327E52&quot;/&gt;&lt;wsp:rsid wsp:val=&quot;00330024&quot;/&gt;&lt;wsp:rsid wsp:val=&quot;0033034B&quot;/&gt;&lt;wsp:rsid wsp:val=&quot;00330B34&quot;/&gt;&lt;wsp:rsid wsp:val=&quot;00331365&quot;/&gt;&lt;wsp:rsid wsp:val=&quot;003316ED&quot;/&gt;&lt;wsp:rsid wsp:val=&quot;0033175A&quot;/&gt;&lt;wsp:rsid wsp:val=&quot;003318EC&quot;/&gt;&lt;wsp:rsid wsp:val=&quot;00331ACB&quot;/&gt;&lt;wsp:rsid wsp:val=&quot;0033226E&quot;/&gt;&lt;wsp:rsid wsp:val=&quot;003322C0&quot;/&gt;&lt;wsp:rsid wsp:val=&quot;0033245B&quot;/&gt;&lt;wsp:rsid wsp:val=&quot;003327D1&quot;/&gt;&lt;wsp:rsid wsp:val=&quot;00332A9F&quot;/&gt;&lt;wsp:rsid wsp:val=&quot;00332C11&quot;/&gt;&lt;wsp:rsid wsp:val=&quot;0033316B&quot;/&gt;&lt;wsp:rsid wsp:val=&quot;003331E4&quot;/&gt;&lt;wsp:rsid wsp:val=&quot;003332A5&quot;/&gt;&lt;wsp:rsid wsp:val=&quot;003332B4&quot;/&gt;&lt;wsp:rsid wsp:val=&quot;003332C9&quot;/&gt;&lt;wsp:rsid wsp:val=&quot;00333498&quot;/&gt;&lt;wsp:rsid wsp:val=&quot;00333521&quot;/&gt;&lt;wsp:rsid wsp:val=&quot;00333680&quot;/&gt;&lt;wsp:rsid wsp:val=&quot;00333F62&quot;/&gt;&lt;wsp:rsid wsp:val=&quot;003340C4&quot;/&gt;&lt;wsp:rsid wsp:val=&quot;003342C3&quot;/&gt;&lt;wsp:rsid wsp:val=&quot;00334AB7&quot;/&gt;&lt;wsp:rsid wsp:val=&quot;00334DBD&quot;/&gt;&lt;wsp:rsid wsp:val=&quot;00334F85&quot;/&gt;&lt;wsp:rsid wsp:val=&quot;0033524F&quot;/&gt;&lt;wsp:rsid wsp:val=&quot;003354E8&quot;/&gt;&lt;wsp:rsid wsp:val=&quot;00335704&quot;/&gt;&lt;wsp:rsid wsp:val=&quot;00335B8C&quot;/&gt;&lt;wsp:rsid wsp:val=&quot;00335BEC&quot;/&gt;&lt;wsp:rsid wsp:val=&quot;00335C3B&quot;/&gt;&lt;wsp:rsid wsp:val=&quot;00335FEF&quot;/&gt;&lt;wsp:rsid wsp:val=&quot;00336121&quot;/&gt;&lt;wsp:rsid wsp:val=&quot;00336146&quot;/&gt;&lt;wsp:rsid wsp:val=&quot;003369C1&quot;/&gt;&lt;wsp:rsid wsp:val=&quot;00336D68&quot;/&gt;&lt;wsp:rsid wsp:val=&quot;00336D7E&quot;/&gt;&lt;wsp:rsid wsp:val=&quot;00337075&quot;/&gt;&lt;wsp:rsid wsp:val=&quot;0033707C&quot;/&gt;&lt;wsp:rsid wsp:val=&quot;003373A9&quot;/&gt;&lt;wsp:rsid wsp:val=&quot;003373F7&quot;/&gt;&lt;wsp:rsid wsp:val=&quot;003375F2&quot;/&gt;&lt;wsp:rsid wsp:val=&quot;0033764C&quot;/&gt;&lt;wsp:rsid wsp:val=&quot;003379E1&quot;/&gt;&lt;wsp:rsid wsp:val=&quot;0034005A&quot;/&gt;&lt;wsp:rsid wsp:val=&quot;00340105&quot;/&gt;&lt;wsp:rsid wsp:val=&quot;003405F2&quot;/&gt;&lt;wsp:rsid wsp:val=&quot;0034077B&quot;/&gt;&lt;wsp:rsid wsp:val=&quot;00340B3C&quot;/&gt;&lt;wsp:rsid wsp:val=&quot;00340EA3&quot;/&gt;&lt;wsp:rsid wsp:val=&quot;00340EC3&quot;/&gt;&lt;wsp:rsid wsp:val=&quot;00341352&quot;/&gt;&lt;wsp:rsid wsp:val=&quot;0034136D&quot;/&gt;&lt;wsp:rsid wsp:val=&quot;00341648&quot;/&gt;&lt;wsp:rsid wsp:val=&quot;00341871&quot;/&gt;&lt;wsp:rsid wsp:val=&quot;00341BA2&quot;/&gt;&lt;wsp:rsid wsp:val=&quot;0034246D&quot;/&gt;&lt;wsp:rsid wsp:val=&quot;003426DD&quot;/&gt;&lt;wsp:rsid wsp:val=&quot;003429BB&quot;/&gt;&lt;wsp:rsid wsp:val=&quot;00342C6D&quot;/&gt;&lt;wsp:rsid wsp:val=&quot;00342D91&quot;/&gt;&lt;wsp:rsid wsp:val=&quot;0034360D&quot;/&gt;&lt;wsp:rsid wsp:val=&quot;00343823&quot;/&gt;&lt;wsp:rsid wsp:val=&quot;00343AEB&quot;/&gt;&lt;wsp:rsid wsp:val=&quot;00343B37&quot;/&gt;&lt;wsp:rsid wsp:val=&quot;003441AF&quot;/&gt;&lt;wsp:rsid wsp:val=&quot;0034430C&quot;/&gt;&lt;wsp:rsid wsp:val=&quot;0034477E&quot;/&gt;&lt;wsp:rsid wsp:val=&quot;0034499B&quot;/&gt;&lt;wsp:rsid wsp:val=&quot;003449EE&quot;/&gt;&lt;wsp:rsid wsp:val=&quot;00344C86&quot;/&gt;&lt;wsp:rsid wsp:val=&quot;00345346&quot;/&gt;&lt;wsp:rsid wsp:val=&quot;003459A5&quot;/&gt;&lt;wsp:rsid wsp:val=&quot;00345E3E&quot;/&gt;&lt;wsp:rsid wsp:val=&quot;00345E83&quot;/&gt;&lt;wsp:rsid wsp:val=&quot;003461A8&quot;/&gt;&lt;wsp:rsid wsp:val=&quot;003461B5&quot;/&gt;&lt;wsp:rsid wsp:val=&quot;0034647F&quot;/&gt;&lt;wsp:rsid wsp:val=&quot;003465BD&quot;/&gt;&lt;wsp:rsid wsp:val=&quot;003467BA&quot;/&gt;&lt;wsp:rsid wsp:val=&quot;003472CE&quot;/&gt;&lt;wsp:rsid wsp:val=&quot;003474C7&quot;/&gt;&lt;wsp:rsid wsp:val=&quot;00347AEC&quot;/&gt;&lt;wsp:rsid wsp:val=&quot;00350027&quot;/&gt;&lt;wsp:rsid wsp:val=&quot;003501D8&quot;/&gt;&lt;wsp:rsid wsp:val=&quot;003506E8&quot;/&gt;&lt;wsp:rsid wsp:val=&quot;00350808&quot;/&gt;&lt;wsp:rsid wsp:val=&quot;00350B40&quot;/&gt;&lt;wsp:rsid wsp:val=&quot;00350BE1&quot;/&gt;&lt;wsp:rsid wsp:val=&quot;00350C45&quot;/&gt;&lt;wsp:rsid wsp:val=&quot;00350D37&quot;/&gt;&lt;wsp:rsid wsp:val=&quot;003513D0&quot;/&gt;&lt;wsp:rsid wsp:val=&quot;00351544&quot;/&gt;&lt;wsp:rsid wsp:val=&quot;00351D23&quot;/&gt;&lt;wsp:rsid wsp:val=&quot;00352111&quot;/&gt;&lt;wsp:rsid wsp:val=&quot;0035243E&quot;/&gt;&lt;wsp:rsid wsp:val=&quot;003529B5&quot;/&gt;&lt;wsp:rsid wsp:val=&quot;003529C4&quot;/&gt;&lt;wsp:rsid wsp:val=&quot;00352D51&quot;/&gt;&lt;wsp:rsid wsp:val=&quot;0035318B&quot;/&gt;&lt;wsp:rsid wsp:val=&quot;0035377D&quot;/&gt;&lt;wsp:rsid wsp:val=&quot;00353951&quot;/&gt;&lt;wsp:rsid wsp:val=&quot;00353DEF&quot;/&gt;&lt;wsp:rsid wsp:val=&quot;003548CE&quot;/&gt;&lt;wsp:rsid wsp:val=&quot;003550CB&quot;/&gt;&lt;wsp:rsid wsp:val=&quot;0035532F&quot;/&gt;&lt;wsp:rsid wsp:val=&quot;00355506&quot;/&gt;&lt;wsp:rsid wsp:val=&quot;0035582D&quot;/&gt;&lt;wsp:rsid wsp:val=&quot;003558B6&quot;/&gt;&lt;wsp:rsid wsp:val=&quot;0035596F&quot;/&gt;&lt;wsp:rsid wsp:val=&quot;00355B23&quot;/&gt;&lt;wsp:rsid wsp:val=&quot;003564AF&quot;/&gt;&lt;wsp:rsid wsp:val=&quot;003576FD&quot;/&gt;&lt;wsp:rsid wsp:val=&quot;0035786F&quot;/&gt;&lt;wsp:rsid wsp:val=&quot;00357B2B&quot;/&gt;&lt;wsp:rsid wsp:val=&quot;00357BD4&quot;/&gt;&lt;wsp:rsid wsp:val=&quot;0036002A&quot;/&gt;&lt;wsp:rsid wsp:val=&quot;0036041D&quot;/&gt;&lt;wsp:rsid wsp:val=&quot;00360810&quot;/&gt;&lt;wsp:rsid wsp:val=&quot;00360C9D&quot;/&gt;&lt;wsp:rsid wsp:val=&quot;00360FA1&quot;/&gt;&lt;wsp:rsid wsp:val=&quot;003611FD&quot;/&gt;&lt;wsp:rsid wsp:val=&quot;00361663&quot;/&gt;&lt;wsp:rsid wsp:val=&quot;00361B72&quot;/&gt;&lt;wsp:rsid wsp:val=&quot;00361FD5&quot;/&gt;&lt;wsp:rsid wsp:val=&quot;003620B5&quot;/&gt;&lt;wsp:rsid wsp:val=&quot;003620DB&quot;/&gt;&lt;wsp:rsid wsp:val=&quot;003621B7&quot;/&gt;&lt;wsp:rsid wsp:val=&quot;0036259B&quot;/&gt;&lt;wsp:rsid wsp:val=&quot;00362A92&quot;/&gt;&lt;wsp:rsid wsp:val=&quot;00362BC1&quot;/&gt;&lt;wsp:rsid wsp:val=&quot;00362FE2&quot;/&gt;&lt;wsp:rsid wsp:val=&quot;003630BD&quot;/&gt;&lt;wsp:rsid wsp:val=&quot;0036312A&quot;/&gt;&lt;wsp:rsid wsp:val=&quot;00363568&quot;/&gt;&lt;wsp:rsid wsp:val=&quot;003638A2&quot;/&gt;&lt;wsp:rsid wsp:val=&quot;00363E3B&quot;/&gt;&lt;wsp:rsid wsp:val=&quot;00363E47&quot;/&gt;&lt;wsp:rsid wsp:val=&quot;0036416D&quot;/&gt;&lt;wsp:rsid wsp:val=&quot;00364582&quot;/&gt;&lt;wsp:rsid wsp:val=&quot;003645D7&quot;/&gt;&lt;wsp:rsid wsp:val=&quot;00364A82&quot;/&gt;&lt;wsp:rsid wsp:val=&quot;00365286&quot;/&gt;&lt;wsp:rsid wsp:val=&quot;00365C52&quot;/&gt;&lt;wsp:rsid wsp:val=&quot;00365F41&quot;/&gt;&lt;wsp:rsid wsp:val=&quot;00366017&quot;/&gt;&lt;wsp:rsid wsp:val=&quot;00366401&quot;/&gt;&lt;wsp:rsid wsp:val=&quot;00366520&quot;/&gt;&lt;wsp:rsid wsp:val=&quot;003666EE&quot;/&gt;&lt;wsp:rsid wsp:val=&quot;00366833&quot;/&gt;&lt;wsp:rsid wsp:val=&quot;00366FF4&quot;/&gt;&lt;wsp:rsid wsp:val=&quot;0036702E&quot;/&gt;&lt;wsp:rsid wsp:val=&quot;00367099&quot;/&gt;&lt;wsp:rsid wsp:val=&quot;00367116&quot;/&gt;&lt;wsp:rsid wsp:val=&quot;003671C2&quot;/&gt;&lt;wsp:rsid wsp:val=&quot;003673CB&quot;/&gt;&lt;wsp:rsid wsp:val=&quot;00367508&quot;/&gt;&lt;wsp:rsid wsp:val=&quot;00367CAA&quot;/&gt;&lt;wsp:rsid wsp:val=&quot;00370218&quot;/&gt;&lt;wsp:rsid wsp:val=&quot;00370956&quot;/&gt;&lt;wsp:rsid wsp:val=&quot;00370A0F&quot;/&gt;&lt;wsp:rsid wsp:val=&quot;00370D91&quot;/&gt;&lt;wsp:rsid wsp:val=&quot;00371DDF&quot;/&gt;&lt;wsp:rsid wsp:val=&quot;00371E75&quot;/&gt;&lt;wsp:rsid wsp:val=&quot;00372B2C&quot;/&gt;&lt;wsp:rsid wsp:val=&quot;00372B94&quot;/&gt;&lt;wsp:rsid wsp:val=&quot;00372E1F&quot;/&gt;&lt;wsp:rsid wsp:val=&quot;0037305D&quot;/&gt;&lt;wsp:rsid wsp:val=&quot;00373080&quot;/&gt;&lt;wsp:rsid wsp:val=&quot;0037327A&quot;/&gt;&lt;wsp:rsid wsp:val=&quot;003733B9&quot;/&gt;&lt;wsp:rsid wsp:val=&quot;003734EA&quot;/&gt;&lt;wsp:rsid wsp:val=&quot;00373772&quot;/&gt;&lt;wsp:rsid wsp:val=&quot;0037381A&quot;/&gt;&lt;wsp:rsid wsp:val=&quot;00373863&quot;/&gt;&lt;wsp:rsid wsp:val=&quot;0037417F&quot;/&gt;&lt;wsp:rsid wsp:val=&quot;0037434F&quot;/&gt;&lt;wsp:rsid wsp:val=&quot;003744B2&quot;/&gt;&lt;wsp:rsid wsp:val=&quot;00374A1A&quot;/&gt;&lt;wsp:rsid wsp:val=&quot;00374CFC&quot;/&gt;&lt;wsp:rsid wsp:val=&quot;003751DB&quot;/&gt;&lt;wsp:rsid wsp:val=&quot;00375561&quot;/&gt;&lt;wsp:rsid wsp:val=&quot;0037566E&quot;/&gt;&lt;wsp:rsid wsp:val=&quot;0037573E&quot;/&gt;&lt;wsp:rsid wsp:val=&quot;0037587B&quot;/&gt;&lt;wsp:rsid wsp:val=&quot;00375FE1&quot;/&gt;&lt;wsp:rsid wsp:val=&quot;0037620D&quot;/&gt;&lt;wsp:rsid wsp:val=&quot;00376889&quot;/&gt;&lt;wsp:rsid wsp:val=&quot;0037688C&quot;/&gt;&lt;wsp:rsid wsp:val=&quot;0037736A&quot;/&gt;&lt;wsp:rsid wsp:val=&quot;003778DE&quot;/&gt;&lt;wsp:rsid wsp:val=&quot;00377A92&quot;/&gt;&lt;wsp:rsid wsp:val=&quot;00377CAB&quot;/&gt;&lt;wsp:rsid wsp:val=&quot;00377CCF&quot;/&gt;&lt;wsp:rsid wsp:val=&quot;003800B0&quot;/&gt;&lt;wsp:rsid wsp:val=&quot;00380150&quot;/&gt;&lt;wsp:rsid wsp:val=&quot;0038021F&quot;/&gt;&lt;wsp:rsid wsp:val=&quot;00380627&quot;/&gt;&lt;wsp:rsid wsp:val=&quot;00380A43&quot;/&gt;&lt;wsp:rsid wsp:val=&quot;00380BE5&quot;/&gt;&lt;wsp:rsid wsp:val=&quot;00380D61&quot;/&gt;&lt;wsp:rsid wsp:val=&quot;00380E4F&quot;/&gt;&lt;wsp:rsid wsp:val=&quot;00381580&quot;/&gt;&lt;wsp:rsid wsp:val=&quot;003816B6&quot;/&gt;&lt;wsp:rsid wsp:val=&quot;00381735&quot;/&gt;&lt;wsp:rsid wsp:val=&quot;00381A47&quot;/&gt;&lt;wsp:rsid wsp:val=&quot;00381AE0&quot;/&gt;&lt;wsp:rsid wsp:val=&quot;00381F29&quot;/&gt;&lt;wsp:rsid wsp:val=&quot;003822F0&quot;/&gt;&lt;wsp:rsid wsp:val=&quot;0038263F&quot;/&gt;&lt;wsp:rsid wsp:val=&quot;003829FF&quot;/&gt;&lt;wsp:rsid wsp:val=&quot;00382C25&quot;/&gt;&lt;wsp:rsid wsp:val=&quot;00382E60&quot;/&gt;&lt;wsp:rsid wsp:val=&quot;0038324A&quot;/&gt;&lt;wsp:rsid wsp:val=&quot;00383257&quot;/&gt;&lt;wsp:rsid wsp:val=&quot;003835F4&quot;/&gt;&lt;wsp:rsid wsp:val=&quot;00383A82&quot;/&gt;&lt;wsp:rsid wsp:val=&quot;00383B9A&quot;/&gt;&lt;wsp:rsid wsp:val=&quot;0038426B&quot;/&gt;&lt;wsp:rsid wsp:val=&quot;003843D7&quot;/&gt;&lt;wsp:rsid wsp:val=&quot;003849FB&quot;/&gt;&lt;wsp:rsid wsp:val=&quot;00384B3B&quot;/&gt;&lt;wsp:rsid wsp:val=&quot;00385C5F&quot;/&gt;&lt;wsp:rsid wsp:val=&quot;00385DE1&quot;/&gt;&lt;wsp:rsid wsp:val=&quot;00386363&quot;/&gt;&lt;wsp:rsid wsp:val=&quot;003867F0&quot;/&gt;&lt;wsp:rsid wsp:val=&quot;003871D5&quot;/&gt;&lt;wsp:rsid wsp:val=&quot;00387309&quot;/&gt;&lt;wsp:rsid wsp:val=&quot;0038764F&quot;/&gt;&lt;wsp:rsid wsp:val=&quot;00387679&quot;/&gt;&lt;wsp:rsid wsp:val=&quot;003878E4&quot;/&gt;&lt;wsp:rsid wsp:val=&quot;00387CCC&quot;/&gt;&lt;wsp:rsid wsp:val=&quot;00387D94&quot;/&gt;&lt;wsp:rsid wsp:val=&quot;00390021&quot;/&gt;&lt;wsp:rsid wsp:val=&quot;003902EC&quot;/&gt;&lt;wsp:rsid wsp:val=&quot;0039034E&quot;/&gt;&lt;wsp:rsid wsp:val=&quot;0039053A&quot;/&gt;&lt;wsp:rsid wsp:val=&quot;00390919&quot;/&gt;&lt;wsp:rsid wsp:val=&quot;00390925&quot;/&gt;&lt;wsp:rsid wsp:val=&quot;00390A07&quot;/&gt;&lt;wsp:rsid wsp:val=&quot;00390FA8&quot;/&gt;&lt;wsp:rsid wsp:val=&quot;00391369&quot;/&gt;&lt;wsp:rsid wsp:val=&quot;003917CB&quot;/&gt;&lt;wsp:rsid wsp:val=&quot;00391998&quot;/&gt;&lt;wsp:rsid wsp:val=&quot;00391E4D&quot;/&gt;&lt;wsp:rsid wsp:val=&quot;0039240C&quot;/&gt;&lt;wsp:rsid wsp:val=&quot;0039253A&quot;/&gt;&lt;wsp:rsid wsp:val=&quot;0039272C&quot;/&gt;&lt;wsp:rsid wsp:val=&quot;00392801&quot;/&gt;&lt;wsp:rsid wsp:val=&quot;00392907&quot;/&gt;&lt;wsp:rsid wsp:val=&quot;00392AAD&quot;/&gt;&lt;wsp:rsid wsp:val=&quot;003941C6&quot;/&gt;&lt;wsp:rsid wsp:val=&quot;003941CF&quot;/&gt;&lt;wsp:rsid wsp:val=&quot;003943D7&quot;/&gt;&lt;wsp:rsid wsp:val=&quot;00394690&quot;/&gt;&lt;wsp:rsid wsp:val=&quot;0039499C&quot;/&gt;&lt;wsp:rsid wsp:val=&quot;00394B2F&quot;/&gt;&lt;wsp:rsid wsp:val=&quot;00394D37&quot;/&gt;&lt;wsp:rsid wsp:val=&quot;0039501D&quot;/&gt;&lt;wsp:rsid wsp:val=&quot;00395940&quot;/&gt;&lt;wsp:rsid wsp:val=&quot;00395BC4&quot;/&gt;&lt;wsp:rsid wsp:val=&quot;00395E6F&quot;/&gt;&lt;wsp:rsid wsp:val=&quot;0039633C&quot;/&gt;&lt;wsp:rsid wsp:val=&quot;00396746&quot;/&gt;&lt;wsp:rsid wsp:val=&quot;00396CC7&quot;/&gt;&lt;wsp:rsid wsp:val=&quot;00396FF0&quot;/&gt;&lt;wsp:rsid wsp:val=&quot;003976D0&quot;/&gt;&lt;wsp:rsid wsp:val=&quot;0039784D&quot;/&gt;&lt;wsp:rsid wsp:val=&quot;00397969&quot;/&gt;&lt;wsp:rsid wsp:val=&quot;00397A5E&quot;/&gt;&lt;wsp:rsid wsp:val=&quot;00397AAD&quot;/&gt;&lt;wsp:rsid wsp:val=&quot;00397CB3&quot;/&gt;&lt;wsp:rsid wsp:val=&quot;00397FF2&quot;/&gt;&lt;wsp:rsid wsp:val=&quot;003A0398&quot;/&gt;&lt;wsp:rsid wsp:val=&quot;003A047C&quot;/&gt;&lt;wsp:rsid wsp:val=&quot;003A0DB5&quot;/&gt;&lt;wsp:rsid wsp:val=&quot;003A145B&quot;/&gt;&lt;wsp:rsid wsp:val=&quot;003A157A&quot;/&gt;&lt;wsp:rsid wsp:val=&quot;003A176A&quot;/&gt;&lt;wsp:rsid wsp:val=&quot;003A1844&quot;/&gt;&lt;wsp:rsid wsp:val=&quot;003A184C&quot;/&gt;&lt;wsp:rsid wsp:val=&quot;003A1899&quot;/&gt;&lt;wsp:rsid wsp:val=&quot;003A1926&quot;/&gt;&lt;wsp:rsid wsp:val=&quot;003A1C22&quot;/&gt;&lt;wsp:rsid wsp:val=&quot;003A1C65&quot;/&gt;&lt;wsp:rsid wsp:val=&quot;003A1CF9&quot;/&gt;&lt;wsp:rsid wsp:val=&quot;003A26FA&quot;/&gt;&lt;wsp:rsid wsp:val=&quot;003A287A&quot;/&gt;&lt;wsp:rsid wsp:val=&quot;003A29E9&quot;/&gt;&lt;wsp:rsid wsp:val=&quot;003A2A7F&quot;/&gt;&lt;wsp:rsid wsp:val=&quot;003A33E2&quot;/&gt;&lt;wsp:rsid wsp:val=&quot;003A38DD&quot;/&gt;&lt;wsp:rsid wsp:val=&quot;003A3D24&quot;/&gt;&lt;wsp:rsid wsp:val=&quot;003A3D53&quot;/&gt;&lt;wsp:rsid wsp:val=&quot;003A40F3&quot;/&gt;&lt;wsp:rsid wsp:val=&quot;003A436D&quot;/&gt;&lt;wsp:rsid wsp:val=&quot;003A4A59&quot;/&gt;&lt;wsp:rsid wsp:val=&quot;003A4A81&quot;/&gt;&lt;wsp:rsid wsp:val=&quot;003A4FE4&quot;/&gt;&lt;wsp:rsid wsp:val=&quot;003A5190&quot;/&gt;&lt;wsp:rsid wsp:val=&quot;003A528D&quot;/&gt;&lt;wsp:rsid wsp:val=&quot;003A5646&quot;/&gt;&lt;wsp:rsid wsp:val=&quot;003A566F&quot;/&gt;&lt;wsp:rsid wsp:val=&quot;003A5A32&quot;/&gt;&lt;wsp:rsid wsp:val=&quot;003A5E41&quot;/&gt;&lt;wsp:rsid wsp:val=&quot;003A65B1&quot;/&gt;&lt;wsp:rsid wsp:val=&quot;003A673B&quot;/&gt;&lt;wsp:rsid wsp:val=&quot;003A6859&quot;/&gt;&lt;wsp:rsid wsp:val=&quot;003A68E3&quot;/&gt;&lt;wsp:rsid wsp:val=&quot;003A6912&quot;/&gt;&lt;wsp:rsid wsp:val=&quot;003A70B3&quot;/&gt;&lt;wsp:rsid wsp:val=&quot;003A723C&quot;/&gt;&lt;wsp:rsid wsp:val=&quot;003A7262&quot;/&gt;&lt;wsp:rsid wsp:val=&quot;003A7901&quot;/&gt;&lt;wsp:rsid wsp:val=&quot;003A7925&quot;/&gt;&lt;wsp:rsid wsp:val=&quot;003A7CF6&quot;/&gt;&lt;wsp:rsid wsp:val=&quot;003A7FFD&quot;/&gt;&lt;wsp:rsid wsp:val=&quot;003B01AD&quot;/&gt;&lt;wsp:rsid wsp:val=&quot;003B05ED&quot;/&gt;&lt;wsp:rsid wsp:val=&quot;003B0B3D&quot;/&gt;&lt;wsp:rsid wsp:val=&quot;003B0C2D&quot;/&gt;&lt;wsp:rsid wsp:val=&quot;003B0E52&quot;/&gt;&lt;wsp:rsid wsp:val=&quot;003B132D&quot;/&gt;&lt;wsp:rsid wsp:val=&quot;003B17C5&quot;/&gt;&lt;wsp:rsid wsp:val=&quot;003B1B51&quot;/&gt;&lt;wsp:rsid wsp:val=&quot;003B22F7&quot;/&gt;&lt;wsp:rsid wsp:val=&quot;003B2A75&quot;/&gt;&lt;wsp:rsid wsp:val=&quot;003B2CEE&quot;/&gt;&lt;wsp:rsid wsp:val=&quot;003B2D31&quot;/&gt;&lt;wsp:rsid wsp:val=&quot;003B303C&quot;/&gt;&lt;wsp:rsid wsp:val=&quot;003B304A&quot;/&gt;&lt;wsp:rsid wsp:val=&quot;003B3172&quot;/&gt;&lt;wsp:rsid wsp:val=&quot;003B3279&quot;/&gt;&lt;wsp:rsid wsp:val=&quot;003B357E&quot;/&gt;&lt;wsp:rsid wsp:val=&quot;003B3978&quot;/&gt;&lt;wsp:rsid wsp:val=&quot;003B41AB&quot;/&gt;&lt;wsp:rsid wsp:val=&quot;003B41AF&quot;/&gt;&lt;wsp:rsid wsp:val=&quot;003B44F3&quot;/&gt;&lt;wsp:rsid wsp:val=&quot;003B4F57&quot;/&gt;&lt;wsp:rsid wsp:val=&quot;003B5077&quot;/&gt;&lt;wsp:rsid wsp:val=&quot;003B52A8&quot;/&gt;&lt;wsp:rsid wsp:val=&quot;003B52F7&quot;/&gt;&lt;wsp:rsid wsp:val=&quot;003B578C&quot;/&gt;&lt;wsp:rsid wsp:val=&quot;003B5E36&quot;/&gt;&lt;wsp:rsid wsp:val=&quot;003B5F0A&quot;/&gt;&lt;wsp:rsid wsp:val=&quot;003B61CB&quot;/&gt;&lt;wsp:rsid wsp:val=&quot;003B677D&quot;/&gt;&lt;wsp:rsid wsp:val=&quot;003B6C29&quot;/&gt;&lt;wsp:rsid wsp:val=&quot;003B6DC4&quot;/&gt;&lt;wsp:rsid wsp:val=&quot;003B6E68&quot;/&gt;&lt;wsp:rsid wsp:val=&quot;003B7010&quot;/&gt;&lt;wsp:rsid wsp:val=&quot;003B7D7F&quot;/&gt;&lt;wsp:rsid wsp:val=&quot;003B7FB5&quot;/&gt;&lt;wsp:rsid wsp:val=&quot;003C0009&quot;/&gt;&lt;wsp:rsid wsp:val=&quot;003C048B&quot;/&gt;&lt;wsp:rsid wsp:val=&quot;003C04E1&quot;/&gt;&lt;wsp:rsid wsp:val=&quot;003C0AEF&quot;/&gt;&lt;wsp:rsid wsp:val=&quot;003C0CE2&quot;/&gt;&lt;wsp:rsid wsp:val=&quot;003C1700&quot;/&gt;&lt;wsp:rsid wsp:val=&quot;003C1993&quot;/&gt;&lt;wsp:rsid wsp:val=&quot;003C1E3E&quot;/&gt;&lt;wsp:rsid wsp:val=&quot;003C2055&quot;/&gt;&lt;wsp:rsid wsp:val=&quot;003C270C&quot;/&gt;&lt;wsp:rsid wsp:val=&quot;003C29CB&quot;/&gt;&lt;wsp:rsid wsp:val=&quot;003C2BE4&quot;/&gt;&lt;wsp:rsid wsp:val=&quot;003C2D08&quot;/&gt;&lt;wsp:rsid wsp:val=&quot;003C2E68&quot;/&gt;&lt;wsp:rsid wsp:val=&quot;003C2EE3&quot;/&gt;&lt;wsp:rsid wsp:val=&quot;003C317C&quot;/&gt;&lt;wsp:rsid wsp:val=&quot;003C3719&quot;/&gt;&lt;wsp:rsid wsp:val=&quot;003C38EF&quot;/&gt;&lt;wsp:rsid wsp:val=&quot;003C3FD5&quot;/&gt;&lt;wsp:rsid wsp:val=&quot;003C421F&quot;/&gt;&lt;wsp:rsid wsp:val=&quot;003C44DE&quot;/&gt;&lt;wsp:rsid wsp:val=&quot;003C4928&quot;/&gt;&lt;wsp:rsid wsp:val=&quot;003C4A82&quot;/&gt;&lt;wsp:rsid wsp:val=&quot;003C524F&quot;/&gt;&lt;wsp:rsid wsp:val=&quot;003C57DC&quot;/&gt;&lt;wsp:rsid wsp:val=&quot;003C5C6B&quot;/&gt;&lt;wsp:rsid wsp:val=&quot;003C62E6&quot;/&gt;&lt;wsp:rsid wsp:val=&quot;003C6388&quot;/&gt;&lt;wsp:rsid wsp:val=&quot;003C63E0&quot;/&gt;&lt;wsp:rsid wsp:val=&quot;003C6DC2&quot;/&gt;&lt;wsp:rsid wsp:val=&quot;003C712E&quot;/&gt;&lt;wsp:rsid wsp:val=&quot;003C74EB&quot;/&gt;&lt;wsp:rsid wsp:val=&quot;003C776C&quot;/&gt;&lt;wsp:rsid wsp:val=&quot;003C7E38&quot;/&gt;&lt;wsp:rsid wsp:val=&quot;003C7E92&quot;/&gt;&lt;wsp:rsid wsp:val=&quot;003D022D&quot;/&gt;&lt;wsp:rsid wsp:val=&quot;003D0BB2&quot;/&gt;&lt;wsp:rsid wsp:val=&quot;003D0E03&quot;/&gt;&lt;wsp:rsid wsp:val=&quot;003D1172&quot;/&gt;&lt;wsp:rsid wsp:val=&quot;003D14AF&quot;/&gt;&lt;wsp:rsid wsp:val=&quot;003D1738&quot;/&gt;&lt;wsp:rsid wsp:val=&quot;003D1997&quot;/&gt;&lt;wsp:rsid wsp:val=&quot;003D1A47&quot;/&gt;&lt;wsp:rsid wsp:val=&quot;003D20A7&quot;/&gt;&lt;wsp:rsid wsp:val=&quot;003D23EC&quot;/&gt;&lt;wsp:rsid wsp:val=&quot;003D403E&quot;/&gt;&lt;wsp:rsid wsp:val=&quot;003D42D9&quot;/&gt;&lt;wsp:rsid wsp:val=&quot;003D4367&quot;/&gt;&lt;wsp:rsid wsp:val=&quot;003D4767&quot;/&gt;&lt;wsp:rsid wsp:val=&quot;003D48E3&quot;/&gt;&lt;wsp:rsid wsp:val=&quot;003D49D6&quot;/&gt;&lt;wsp:rsid wsp:val=&quot;003D4B23&quot;/&gt;&lt;wsp:rsid wsp:val=&quot;003D4C60&quot;/&gt;&lt;wsp:rsid wsp:val=&quot;003D4D6B&quot;/&gt;&lt;wsp:rsid wsp:val=&quot;003D50EC&quot;/&gt;&lt;wsp:rsid wsp:val=&quot;003D5179&quot;/&gt;&lt;wsp:rsid wsp:val=&quot;003D5451&quot;/&gt;&lt;wsp:rsid wsp:val=&quot;003D5514&quot;/&gt;&lt;wsp:rsid wsp:val=&quot;003D5668&quot;/&gt;&lt;wsp:rsid wsp:val=&quot;003D57A3&quot;/&gt;&lt;wsp:rsid wsp:val=&quot;003D5AD7&quot;/&gt;&lt;wsp:rsid wsp:val=&quot;003D5CDE&quot;/&gt;&lt;wsp:rsid wsp:val=&quot;003D6174&quot;/&gt;&lt;wsp:rsid wsp:val=&quot;003D6413&quot;/&gt;&lt;wsp:rsid wsp:val=&quot;003D6472&quot;/&gt;&lt;wsp:rsid wsp:val=&quot;003D65C0&quot;/&gt;&lt;wsp:rsid wsp:val=&quot;003D661A&quot;/&gt;&lt;wsp:rsid wsp:val=&quot;003D67A1&quot;/&gt;&lt;wsp:rsid wsp:val=&quot;003D6BB6&quot;/&gt;&lt;wsp:rsid wsp:val=&quot;003D6D7D&quot;/&gt;&lt;wsp:rsid wsp:val=&quot;003D6E42&quot;/&gt;&lt;wsp:rsid wsp:val=&quot;003D6E49&quot;/&gt;&lt;wsp:rsid wsp:val=&quot;003D6E59&quot;/&gt;&lt;wsp:rsid wsp:val=&quot;003D711E&quot;/&gt;&lt;wsp:rsid wsp:val=&quot;003D7374&quot;/&gt;&lt;wsp:rsid wsp:val=&quot;003D779F&quot;/&gt;&lt;wsp:rsid wsp:val=&quot;003D794B&quot;/&gt;&lt;wsp:rsid wsp:val=&quot;003D7975&quot;/&gt;&lt;wsp:rsid wsp:val=&quot;003D7EBB&quot;/&gt;&lt;wsp:rsid wsp:val=&quot;003D7F48&quot;/&gt;&lt;wsp:rsid wsp:val=&quot;003D7F9B&quot;/&gt;&lt;wsp:rsid wsp:val=&quot;003D7FC5&quot;/&gt;&lt;wsp:rsid wsp:val=&quot;003E010D&quot;/&gt;&lt;wsp:rsid wsp:val=&quot;003E07BA&quot;/&gt;&lt;wsp:rsid wsp:val=&quot;003E0BF1&quot;/&gt;&lt;wsp:rsid wsp:val=&quot;003E10D2&quot;/&gt;&lt;wsp:rsid wsp:val=&quot;003E1204&quot;/&gt;&lt;wsp:rsid wsp:val=&quot;003E15D2&quot;/&gt;&lt;wsp:rsid wsp:val=&quot;003E1949&quot;/&gt;&lt;wsp:rsid wsp:val=&quot;003E199F&quot;/&gt;&lt;wsp:rsid wsp:val=&quot;003E1BF0&quot;/&gt;&lt;wsp:rsid wsp:val=&quot;003E1F2C&quot;/&gt;&lt;wsp:rsid wsp:val=&quot;003E2283&quot;/&gt;&lt;wsp:rsid wsp:val=&quot;003E23AB&quot;/&gt;&lt;wsp:rsid wsp:val=&quot;003E25C2&quot;/&gt;&lt;wsp:rsid wsp:val=&quot;003E2B7A&quot;/&gt;&lt;wsp:rsid wsp:val=&quot;003E2C82&quot;/&gt;&lt;wsp:rsid wsp:val=&quot;003E343B&quot;/&gt;&lt;wsp:rsid wsp:val=&quot;003E3710&quot;/&gt;&lt;wsp:rsid wsp:val=&quot;003E3805&quot;/&gt;&lt;wsp:rsid wsp:val=&quot;003E3AC0&quot;/&gt;&lt;wsp:rsid wsp:val=&quot;003E413E&quot;/&gt;&lt;wsp:rsid wsp:val=&quot;003E4553&quot;/&gt;&lt;wsp:rsid wsp:val=&quot;003E483E&quot;/&gt;&lt;wsp:rsid wsp:val=&quot;003E4999&quot;/&gt;&lt;wsp:rsid wsp:val=&quot;003E4DB9&quot;/&gt;&lt;wsp:rsid wsp:val=&quot;003E5106&quot;/&gt;&lt;wsp:rsid wsp:val=&quot;003E5452&quot;/&gt;&lt;wsp:rsid wsp:val=&quot;003E5ED4&quot;/&gt;&lt;wsp:rsid wsp:val=&quot;003E5F64&quot;/&gt;&lt;wsp:rsid wsp:val=&quot;003E6036&quot;/&gt;&lt;wsp:rsid wsp:val=&quot;003E60CA&quot;/&gt;&lt;wsp:rsid wsp:val=&quot;003E6739&quot;/&gt;&lt;wsp:rsid wsp:val=&quot;003E6A00&quot;/&gt;&lt;wsp:rsid wsp:val=&quot;003E6D4C&quot;/&gt;&lt;wsp:rsid wsp:val=&quot;003E6DD0&quot;/&gt;&lt;wsp:rsid wsp:val=&quot;003E6EB5&quot;/&gt;&lt;wsp:rsid wsp:val=&quot;003E738E&quot;/&gt;&lt;wsp:rsid wsp:val=&quot;003E7466&quot;/&gt;&lt;wsp:rsid wsp:val=&quot;003E747E&quot;/&gt;&lt;wsp:rsid wsp:val=&quot;003E75D8&quot;/&gt;&lt;wsp:rsid wsp:val=&quot;003E75DD&quot;/&gt;&lt;wsp:rsid wsp:val=&quot;003E7F03&quot;/&gt;&lt;wsp:rsid wsp:val=&quot;003E7F56&quot;/&gt;&lt;wsp:rsid wsp:val=&quot;003F05A1&quot;/&gt;&lt;wsp:rsid wsp:val=&quot;003F072E&quot;/&gt;&lt;wsp:rsid wsp:val=&quot;003F0A77&quot;/&gt;&lt;wsp:rsid wsp:val=&quot;003F0DC0&quot;/&gt;&lt;wsp:rsid wsp:val=&quot;003F0F06&quot;/&gt;&lt;wsp:rsid wsp:val=&quot;003F10C2&quot;/&gt;&lt;wsp:rsid wsp:val=&quot;003F163B&quot;/&gt;&lt;wsp:rsid wsp:val=&quot;003F1962&quot;/&gt;&lt;wsp:rsid wsp:val=&quot;003F1D3F&quot;/&gt;&lt;wsp:rsid wsp:val=&quot;003F27FE&quot;/&gt;&lt;wsp:rsid wsp:val=&quot;003F2CD6&quot;/&gt;&lt;wsp:rsid wsp:val=&quot;003F2D9D&quot;/&gt;&lt;wsp:rsid wsp:val=&quot;003F2F74&quot;/&gt;&lt;wsp:rsid wsp:val=&quot;003F4232&quot;/&gt;&lt;wsp:rsid wsp:val=&quot;003F535C&quot;/&gt;&lt;wsp:rsid wsp:val=&quot;003F5782&quot;/&gt;&lt;wsp:rsid wsp:val=&quot;003F59F3&quot;/&gt;&lt;wsp:rsid wsp:val=&quot;003F5A09&quot;/&gt;&lt;wsp:rsid wsp:val=&quot;003F5A71&quot;/&gt;&lt;wsp:rsid wsp:val=&quot;003F5AB8&quot;/&gt;&lt;wsp:rsid wsp:val=&quot;003F5BCF&quot;/&gt;&lt;wsp:rsid wsp:val=&quot;003F61F2&quot;/&gt;&lt;wsp:rsid wsp:val=&quot;003F6306&quot;/&gt;&lt;wsp:rsid wsp:val=&quot;003F64A7&quot;/&gt;&lt;wsp:rsid wsp:val=&quot;003F651F&quot;/&gt;&lt;wsp:rsid wsp:val=&quot;003F67D5&quot;/&gt;&lt;wsp:rsid wsp:val=&quot;003F6EDE&quot;/&gt;&lt;wsp:rsid wsp:val=&quot;003F72B3&quot;/&gt;&lt;wsp:rsid wsp:val=&quot;003F77BC&quot;/&gt;&lt;wsp:rsid wsp:val=&quot;00400167&quot;/&gt;&lt;wsp:rsid wsp:val=&quot;00400AD1&quot;/&gt;&lt;wsp:rsid wsp:val=&quot;00401163&quot;/&gt;&lt;wsp:rsid wsp:val=&quot;00401171&quot;/&gt;&lt;wsp:rsid wsp:val=&quot;00402199&quot;/&gt;&lt;wsp:rsid wsp:val=&quot;004021F6&quot;/&gt;&lt;wsp:rsid wsp:val=&quot;00402823&quot;/&gt;&lt;wsp:rsid wsp:val=&quot;00402A93&quot;/&gt;&lt;wsp:rsid wsp:val=&quot;004032F0&quot;/&gt;&lt;wsp:rsid wsp:val=&quot;00403AB8&quot;/&gt;&lt;wsp:rsid wsp:val=&quot;00403EC3&quot;/&gt;&lt;wsp:rsid wsp:val=&quot;004041F7&quot;/&gt;&lt;wsp:rsid wsp:val=&quot;00404D42&quot;/&gt;&lt;wsp:rsid wsp:val=&quot;00404E76&quot;/&gt;&lt;wsp:rsid wsp:val=&quot;00405380&quot;/&gt;&lt;wsp:rsid wsp:val=&quot;00405393&quot;/&gt;&lt;wsp:rsid wsp:val=&quot;00405409&quot;/&gt;&lt;wsp:rsid wsp:val=&quot;00405452&quot;/&gt;&lt;wsp:rsid wsp:val=&quot;00405C6D&quot;/&gt;&lt;wsp:rsid wsp:val=&quot;0040601C&quot;/&gt;&lt;wsp:rsid wsp:val=&quot;0040604D&quot;/&gt;&lt;wsp:rsid wsp:val=&quot;0040662E&quot;/&gt;&lt;wsp:rsid wsp:val=&quot;00406706&quot;/&gt;&lt;wsp:rsid wsp:val=&quot;00406B1B&quot;/&gt;&lt;wsp:rsid wsp:val=&quot;00407073&quot;/&gt;&lt;wsp:rsid wsp:val=&quot;00407C7E&quot;/&gt;&lt;wsp:rsid wsp:val=&quot;00407D27&quot;/&gt;&lt;wsp:rsid wsp:val=&quot;004102C5&quot;/&gt;&lt;wsp:rsid wsp:val=&quot;0041080E&quot;/&gt;&lt;wsp:rsid wsp:val=&quot;004108CF&quot;/&gt;&lt;wsp:rsid wsp:val=&quot;004113CF&quot;/&gt;&lt;wsp:rsid wsp:val=&quot;00411874&quot;/&gt;&lt;wsp:rsid wsp:val=&quot;00411C07&quot;/&gt;&lt;wsp:rsid wsp:val=&quot;00411C3A&quot;/&gt;&lt;wsp:rsid wsp:val=&quot;00411D59&quot;/&gt;&lt;wsp:rsid wsp:val=&quot;00411DBF&quot;/&gt;&lt;wsp:rsid wsp:val=&quot;00412120&quot;/&gt;&lt;wsp:rsid wsp:val=&quot;004122B7&quot;/&gt;&lt;wsp:rsid wsp:val=&quot;004125F8&quot;/&gt;&lt;wsp:rsid wsp:val=&quot;004126D8&quot;/&gt;&lt;wsp:rsid wsp:val=&quot;00412732&quot;/&gt;&lt;wsp:rsid wsp:val=&quot;0041287E&quot;/&gt;&lt;wsp:rsid wsp:val=&quot;00412941&quot;/&gt;&lt;wsp:rsid wsp:val=&quot;00412A1C&quot;/&gt;&lt;wsp:rsid wsp:val=&quot;00412A9A&quot;/&gt;&lt;wsp:rsid wsp:val=&quot;00412B05&quot;/&gt;&lt;wsp:rsid wsp:val=&quot;00412E3E&quot;/&gt;&lt;wsp:rsid wsp:val=&quot;0041306D&quot;/&gt;&lt;wsp:rsid wsp:val=&quot;004137A0&quot;/&gt;&lt;wsp:rsid wsp:val=&quot;00413C4F&quot;/&gt;&lt;wsp:rsid wsp:val=&quot;00413DAA&quot;/&gt;&lt;wsp:rsid wsp:val=&quot;00413DB7&quot;/&gt;&lt;wsp:rsid wsp:val=&quot;00414227&quot;/&gt;&lt;wsp:rsid wsp:val=&quot;00415034&quot;/&gt;&lt;wsp:rsid wsp:val=&quot;00415974&quot;/&gt;&lt;wsp:rsid wsp:val=&quot;00415A40&quot;/&gt;&lt;wsp:rsid wsp:val=&quot;00416097&quot;/&gt;&lt;wsp:rsid wsp:val=&quot;00416277&quot;/&gt;&lt;wsp:rsid wsp:val=&quot;00416715&quot;/&gt;&lt;wsp:rsid wsp:val=&quot;00416D6C&quot;/&gt;&lt;wsp:rsid wsp:val=&quot;00416D9B&quot;/&gt;&lt;wsp:rsid wsp:val=&quot;00416E1D&quot;/&gt;&lt;wsp:rsid wsp:val=&quot;004171AC&quot;/&gt;&lt;wsp:rsid wsp:val=&quot;00417426&quot;/&gt;&lt;wsp:rsid wsp:val=&quot;00417963&quot;/&gt;&lt;wsp:rsid wsp:val=&quot;00417F00&quot;/&gt;&lt;wsp:rsid wsp:val=&quot;004201F9&quot;/&gt;&lt;wsp:rsid wsp:val=&quot;00420691&quot;/&gt;&lt;wsp:rsid wsp:val=&quot;00420919&quot;/&gt;&lt;wsp:rsid wsp:val=&quot;004209EA&quot;/&gt;&lt;wsp:rsid wsp:val=&quot;00420C86&quot;/&gt;&lt;wsp:rsid wsp:val=&quot;00420DA8&quot;/&gt;&lt;wsp:rsid wsp:val=&quot;004214D1&quot;/&gt;&lt;wsp:rsid wsp:val=&quot;0042172F&quot;/&gt;&lt;wsp:rsid wsp:val=&quot;00421879&quot;/&gt;&lt;wsp:rsid wsp:val=&quot;004226DD&quot;/&gt;&lt;wsp:rsid wsp:val=&quot;00422703&quot;/&gt;&lt;wsp:rsid wsp:val=&quot;004228DB&quot;/&gt;&lt;wsp:rsid wsp:val=&quot;00422CCB&quot;/&gt;&lt;wsp:rsid wsp:val=&quot;00422F61&quot;/&gt;&lt;wsp:rsid wsp:val=&quot;0042399D&quot;/&gt;&lt;wsp:rsid wsp:val=&quot;00423D45&quot;/&gt;&lt;wsp:rsid wsp:val=&quot;004256B2&quot;/&gt;&lt;wsp:rsid wsp:val=&quot;004258EB&quot;/&gt;&lt;wsp:rsid wsp:val=&quot;00425C65&quot;/&gt;&lt;wsp:rsid wsp:val=&quot;00426242&quot;/&gt;&lt;wsp:rsid wsp:val=&quot;004263DD&quot;/&gt;&lt;wsp:rsid wsp:val=&quot;00426B31&quot;/&gt;&lt;wsp:rsid wsp:val=&quot;00426C16&quot;/&gt;&lt;wsp:rsid wsp:val=&quot;00426C3D&quot;/&gt;&lt;wsp:rsid wsp:val=&quot;00426C91&quot;/&gt;&lt;wsp:rsid wsp:val=&quot;004272E7&quot;/&gt;&lt;wsp:rsid wsp:val=&quot;00427382&quot;/&gt;&lt;wsp:rsid wsp:val=&quot;00427A8E&quot;/&gt;&lt;wsp:rsid wsp:val=&quot;00427CBB&quot;/&gt;&lt;wsp:rsid wsp:val=&quot;00427F05&quot;/&gt;&lt;wsp:rsid wsp:val=&quot;0043005A&quot;/&gt;&lt;wsp:rsid wsp:val=&quot;004302FC&quot;/&gt;&lt;wsp:rsid wsp:val=&quot;004306DF&quot;/&gt;&lt;wsp:rsid wsp:val=&quot;00430728&quot;/&gt;&lt;wsp:rsid wsp:val=&quot;00430D53&quot;/&gt;&lt;wsp:rsid wsp:val=&quot;00431053&quot;/&gt;&lt;wsp:rsid wsp:val=&quot;00431166&quot;/&gt;&lt;wsp:rsid wsp:val=&quot;004312AC&quot;/&gt;&lt;wsp:rsid wsp:val=&quot;0043143D&quot;/&gt;&lt;wsp:rsid wsp:val=&quot;0043160B&quot;/&gt;&lt;wsp:rsid wsp:val=&quot;00431BD6&quot;/&gt;&lt;wsp:rsid wsp:val=&quot;00431D5A&quot;/&gt;&lt;wsp:rsid wsp:val=&quot;00432A0F&quot;/&gt;&lt;wsp:rsid wsp:val=&quot;00432B6D&quot;/&gt;&lt;wsp:rsid wsp:val=&quot;00432BD9&quot;/&gt;&lt;wsp:rsid wsp:val=&quot;00432F24&quot;/&gt;&lt;wsp:rsid wsp:val=&quot;00433063&quot;/&gt;&lt;wsp:rsid wsp:val=&quot;00433294&quot;/&gt;&lt;wsp:rsid wsp:val=&quot;00433353&quot;/&gt;&lt;wsp:rsid wsp:val=&quot;004338D5&quot;/&gt;&lt;wsp:rsid wsp:val=&quot;0043394F&quot;/&gt;&lt;wsp:rsid wsp:val=&quot;0043418B&quot;/&gt;&lt;wsp:rsid wsp:val=&quot;00434456&quot;/&gt;&lt;wsp:rsid wsp:val=&quot;0043487C&quot;/&gt;&lt;wsp:rsid wsp:val=&quot;00434B6B&quot;/&gt;&lt;wsp:rsid wsp:val=&quot;00435106&quot;/&gt;&lt;wsp:rsid wsp:val=&quot;00435446&quot;/&gt;&lt;wsp:rsid wsp:val=&quot;00435560&quot;/&gt;&lt;wsp:rsid wsp:val=&quot;00435CC3&quot;/&gt;&lt;wsp:rsid wsp:val=&quot;00435E1B&quot;/&gt;&lt;wsp:rsid wsp:val=&quot;00436526&quot;/&gt;&lt;wsp:rsid wsp:val=&quot;004368E1&quot;/&gt;&lt;wsp:rsid wsp:val=&quot;0043698F&quot;/&gt;&lt;wsp:rsid wsp:val=&quot;00436AE0&quot;/&gt;&lt;wsp:rsid wsp:val=&quot;00436AEF&quot;/&gt;&lt;wsp:rsid wsp:val=&quot;00436CF7&quot;/&gt;&lt;wsp:rsid wsp:val=&quot;00436E5C&quot;/&gt;&lt;wsp:rsid wsp:val=&quot;004371E9&quot;/&gt;&lt;wsp:rsid wsp:val=&quot;004375B1&quot;/&gt;&lt;wsp:rsid wsp:val=&quot;0043778B&quot;/&gt;&lt;wsp:rsid wsp:val=&quot;00437831&quot;/&gt;&lt;wsp:rsid wsp:val=&quot;00437BF6&quot;/&gt;&lt;wsp:rsid wsp:val=&quot;00437CAC&quot;/&gt;&lt;wsp:rsid wsp:val=&quot;00437E9D&quot;/&gt;&lt;wsp:rsid wsp:val=&quot;00440C3D&quot;/&gt;&lt;wsp:rsid wsp:val=&quot;0044147E&quot;/&gt;&lt;wsp:rsid wsp:val=&quot;004417DE&quot;/&gt;&lt;wsp:rsid wsp:val=&quot;00441A53&quot;/&gt;&lt;wsp:rsid wsp:val=&quot;00441B1C&quot;/&gt;&lt;wsp:rsid wsp:val=&quot;00441BC1&quot;/&gt;&lt;wsp:rsid wsp:val=&quot;00441C6D&quot;/&gt;&lt;wsp:rsid wsp:val=&quot;00441E1C&quot;/&gt;&lt;wsp:rsid wsp:val=&quot;00441EA7&quot;/&gt;&lt;wsp:rsid wsp:val=&quot;004420A8&quot;/&gt;&lt;wsp:rsid wsp:val=&quot;00442B06&quot;/&gt;&lt;wsp:rsid wsp:val=&quot;00442D41&quot;/&gt;&lt;wsp:rsid wsp:val=&quot;00442DBF&quot;/&gt;&lt;wsp:rsid wsp:val=&quot;00442E23&quot;/&gt;&lt;wsp:rsid wsp:val=&quot;00443044&quot;/&gt;&lt;wsp:rsid wsp:val=&quot;00443103&quot;/&gt;&lt;wsp:rsid wsp:val=&quot;00443143&quot;/&gt;&lt;wsp:rsid wsp:val=&quot;00443533&quot;/&gt;&lt;wsp:rsid wsp:val=&quot;004438F7&quot;/&gt;&lt;wsp:rsid wsp:val=&quot;00443985&quot;/&gt;&lt;wsp:rsid wsp:val=&quot;00443C76&quot;/&gt;&lt;wsp:rsid wsp:val=&quot;0044419D&quot;/&gt;&lt;wsp:rsid wsp:val=&quot;0044438A&quot;/&gt;&lt;wsp:rsid wsp:val=&quot;00444562&quot;/&gt;&lt;wsp:rsid wsp:val=&quot;0044478E&quot;/&gt;&lt;wsp:rsid wsp:val=&quot;004447EA&quot;/&gt;&lt;wsp:rsid wsp:val=&quot;0044488E&quot;/&gt;&lt;wsp:rsid wsp:val=&quot;00444C19&quot;/&gt;&lt;wsp:rsid wsp:val=&quot;00444F9D&quot;/&gt;&lt;wsp:rsid wsp:val=&quot;004458CA&quot;/&gt;&lt;wsp:rsid wsp:val=&quot;00445AFA&quot;/&gt;&lt;wsp:rsid wsp:val=&quot;00445D01&quot;/&gt;&lt;wsp:rsid wsp:val=&quot;00445E5F&quot;/&gt;&lt;wsp:rsid wsp:val=&quot;00446157&quot;/&gt;&lt;wsp:rsid wsp:val=&quot;004461A4&quot;/&gt;&lt;wsp:rsid wsp:val=&quot;004461D0&quot;/&gt;&lt;wsp:rsid wsp:val=&quot;004462D2&quot;/&gt;&lt;wsp:rsid wsp:val=&quot;00446374&quot;/&gt;&lt;wsp:rsid wsp:val=&quot;00446489&quot;/&gt;&lt;wsp:rsid wsp:val=&quot;00446537&quot;/&gt;&lt;wsp:rsid wsp:val=&quot;00446605&quot;/&gt;&lt;wsp:rsid wsp:val=&quot;004466CD&quot;/&gt;&lt;wsp:rsid wsp:val=&quot;0044671A&quot;/&gt;&lt;wsp:rsid wsp:val=&quot;00446798&quot;/&gt;&lt;wsp:rsid wsp:val=&quot;00446B30&quot;/&gt;&lt;wsp:rsid wsp:val=&quot;00447387&quot;/&gt;&lt;wsp:rsid wsp:val=&quot;00447397&quot;/&gt;&lt;wsp:rsid wsp:val=&quot;0044789A&quot;/&gt;&lt;wsp:rsid wsp:val=&quot;00447CC2&quot;/&gt;&lt;wsp:rsid wsp:val=&quot;00447FCB&quot;/&gt;&lt;wsp:rsid wsp:val=&quot;0045026C&quot;/&gt;&lt;wsp:rsid wsp:val=&quot;00450663&quot;/&gt;&lt;wsp:rsid wsp:val=&quot;004507D7&quot;/&gt;&lt;wsp:rsid wsp:val=&quot;00450BC6&quot;/&gt;&lt;wsp:rsid wsp:val=&quot;00450DAD&quot;/&gt;&lt;wsp:rsid wsp:val=&quot;00450E01&quot;/&gt;&lt;wsp:rsid wsp:val=&quot;00450FA8&quot;/&gt;&lt;wsp:rsid wsp:val=&quot;00451177&quot;/&gt;&lt;wsp:rsid wsp:val=&quot;0045123E&quot;/&gt;&lt;wsp:rsid wsp:val=&quot;004512ED&quot;/&gt;&lt;wsp:rsid wsp:val=&quot;004518D0&quot;/&gt;&lt;wsp:rsid wsp:val=&quot;00452310&quot;/&gt;&lt;wsp:rsid wsp:val=&quot;0045288A&quot;/&gt;&lt;wsp:rsid wsp:val=&quot;00452ACD&quot;/&gt;&lt;wsp:rsid wsp:val=&quot;00452B84&quot;/&gt;&lt;wsp:rsid wsp:val=&quot;00452C80&quot;/&gt;&lt;wsp:rsid wsp:val=&quot;004531A4&quot;/&gt;&lt;wsp:rsid wsp:val=&quot;00453268&quot;/&gt;&lt;wsp:rsid wsp:val=&quot;00453577&quot;/&gt;&lt;wsp:rsid wsp:val=&quot;00453C5D&quot;/&gt;&lt;wsp:rsid wsp:val=&quot;00454170&quot;/&gt;&lt;wsp:rsid wsp:val=&quot;00454832&quot;/&gt;&lt;wsp:rsid wsp:val=&quot;00454890&quot;/&gt;&lt;wsp:rsid wsp:val=&quot;00454A4D&quot;/&gt;&lt;wsp:rsid wsp:val=&quot;00454F20&quot;/&gt;&lt;wsp:rsid wsp:val=&quot;004553C6&quot;/&gt;&lt;wsp:rsid wsp:val=&quot;00455834&quot;/&gt;&lt;wsp:rsid wsp:val=&quot;00455B45&quot;/&gt;&lt;wsp:rsid wsp:val=&quot;00455B9C&quot;/&gt;&lt;wsp:rsid wsp:val=&quot;00455BB7&quot;/&gt;&lt;wsp:rsid wsp:val=&quot;00456165&quot;/&gt;&lt;wsp:rsid wsp:val=&quot;0045649E&quot;/&gt;&lt;wsp:rsid wsp:val=&quot;004565EB&quot;/&gt;&lt;wsp:rsid wsp:val=&quot;00456861&quot;/&gt;&lt;wsp:rsid wsp:val=&quot;004572A3&quot;/&gt;&lt;wsp:rsid wsp:val=&quot;004576F2&quot;/&gt;&lt;wsp:rsid wsp:val=&quot;004577F9&quot;/&gt;&lt;wsp:rsid wsp:val=&quot;00457CC6&quot;/&gt;&lt;wsp:rsid wsp:val=&quot;00457DE2&quot;/&gt;&lt;wsp:rsid wsp:val=&quot;00457FB3&quot;/&gt;&lt;wsp:rsid wsp:val=&quot;004608B6&quot;/&gt;&lt;wsp:rsid wsp:val=&quot;004608EE&quot;/&gt;&lt;wsp:rsid wsp:val=&quot;0046098B&quot;/&gt;&lt;wsp:rsid wsp:val=&quot;004610D7&quot;/&gt;&lt;wsp:rsid wsp:val=&quot;00461155&quot;/&gt;&lt;wsp:rsid wsp:val=&quot;004615C4&quot;/&gt;&lt;wsp:rsid wsp:val=&quot;00461628&quot;/&gt;&lt;wsp:rsid wsp:val=&quot;00461A79&quot;/&gt;&lt;wsp:rsid wsp:val=&quot;0046245E&quot;/&gt;&lt;wsp:rsid wsp:val=&quot;00462996&quot;/&gt;&lt;wsp:rsid wsp:val=&quot;00462A41&quot;/&gt;&lt;wsp:rsid wsp:val=&quot;00462B20&quot;/&gt;&lt;wsp:rsid wsp:val=&quot;00462BD0&quot;/&gt;&lt;wsp:rsid wsp:val=&quot;00462D04&quot;/&gt;&lt;wsp:rsid wsp:val=&quot;00463017&quot;/&gt;&lt;wsp:rsid wsp:val=&quot;00463593&quot;/&gt;&lt;wsp:rsid wsp:val=&quot;004635B6&quot;/&gt;&lt;wsp:rsid wsp:val=&quot;0046376F&quot;/&gt;&lt;wsp:rsid wsp:val=&quot;00463986&quot;/&gt;&lt;wsp:rsid wsp:val=&quot;00463CF2&quot;/&gt;&lt;wsp:rsid wsp:val=&quot;0046420B&quot;/&gt;&lt;wsp:rsid wsp:val=&quot;00464B26&quot;/&gt;&lt;wsp:rsid wsp:val=&quot;00464CC2&quot;/&gt;&lt;wsp:rsid wsp:val=&quot;00464DAA&quot;/&gt;&lt;wsp:rsid wsp:val=&quot;004655C4&quot;/&gt;&lt;wsp:rsid wsp:val=&quot;004657FF&quot;/&gt;&lt;wsp:rsid wsp:val=&quot;00465892&quot;/&gt;&lt;wsp:rsid wsp:val=&quot;00465895&quot;/&gt;&lt;wsp:rsid wsp:val=&quot;00465A53&quot;/&gt;&lt;wsp:rsid wsp:val=&quot;00465CB2&quot;/&gt;&lt;wsp:rsid wsp:val=&quot;00465D75&quot;/&gt;&lt;wsp:rsid wsp:val=&quot;004661B1&quot;/&gt;&lt;wsp:rsid wsp:val=&quot;004663F7&quot;/&gt;&lt;wsp:rsid wsp:val=&quot;00466D7E&quot;/&gt;&lt;wsp:rsid wsp:val=&quot;004674C1&quot;/&gt;&lt;wsp:rsid wsp:val=&quot;00467852&quot;/&gt;&lt;wsp:rsid wsp:val=&quot;004679FD&quot;/&gt;&lt;wsp:rsid wsp:val=&quot;00470019&quot;/&gt;&lt;wsp:rsid wsp:val=&quot;00470308&quot;/&gt;&lt;wsp:rsid wsp:val=&quot;0047046B&quot;/&gt;&lt;wsp:rsid wsp:val=&quot;00470DB4&quot;/&gt;&lt;wsp:rsid wsp:val=&quot;0047107A&quot;/&gt;&lt;wsp:rsid wsp:val=&quot;004710D3&quot;/&gt;&lt;wsp:rsid wsp:val=&quot;004710DF&quot;/&gt;&lt;wsp:rsid wsp:val=&quot;004714D2&quot;/&gt;&lt;wsp:rsid wsp:val=&quot;00471507&quot;/&gt;&lt;wsp:rsid wsp:val=&quot;00471D6C&quot;/&gt;&lt;wsp:rsid wsp:val=&quot;00471E47&quot;/&gt;&lt;wsp:rsid wsp:val=&quot;00471FC5&quot;/&gt;&lt;wsp:rsid wsp:val=&quot;00472074&quot;/&gt;&lt;wsp:rsid wsp:val=&quot;00472AEE&quot;/&gt;&lt;wsp:rsid wsp:val=&quot;00472B3C&quot;/&gt;&lt;wsp:rsid wsp:val=&quot;00472B9D&quot;/&gt;&lt;wsp:rsid wsp:val=&quot;00472D20&quot;/&gt;&lt;wsp:rsid wsp:val=&quot;004737B3&quot;/&gt;&lt;wsp:rsid wsp:val=&quot;004738E4&quot;/&gt;&lt;wsp:rsid wsp:val=&quot;004738E5&quot;/&gt;&lt;wsp:rsid wsp:val=&quot;00473F1D&quot;/&gt;&lt;wsp:rsid wsp:val=&quot;004740CB&quot;/&gt;&lt;wsp:rsid wsp:val=&quot;004743A8&quot;/&gt;&lt;wsp:rsid wsp:val=&quot;0047459B&quot;/&gt;&lt;wsp:rsid wsp:val=&quot;0047466C&quot;/&gt;&lt;wsp:rsid wsp:val=&quot;00474928&quot;/&gt;&lt;wsp:rsid wsp:val=&quot;0047513F&quot;/&gt;&lt;wsp:rsid wsp:val=&quot;0047556E&quot;/&gt;&lt;wsp:rsid wsp:val=&quot;0047565B&quot;/&gt;&lt;wsp:rsid wsp:val=&quot;004757A8&quot;/&gt;&lt;wsp:rsid wsp:val=&quot;0047598B&quot;/&gt;&lt;wsp:rsid wsp:val=&quot;00475DAC&quot;/&gt;&lt;wsp:rsid wsp:val=&quot;004761DC&quot;/&gt;&lt;wsp:rsid wsp:val=&quot;0047633A&quot;/&gt;&lt;wsp:rsid wsp:val=&quot;0047634B&quot;/&gt;&lt;wsp:rsid wsp:val=&quot;00476428&quot;/&gt;&lt;wsp:rsid wsp:val=&quot;00476588&quot;/&gt;&lt;wsp:rsid wsp:val=&quot;00476831&quot;/&gt;&lt;wsp:rsid wsp:val=&quot;00476EBB&quot;/&gt;&lt;wsp:rsid wsp:val=&quot;0047711B&quot;/&gt;&lt;wsp:rsid wsp:val=&quot;00477336&quot;/&gt;&lt;wsp:rsid wsp:val=&quot;00477AA4&quot;/&gt;&lt;wsp:rsid wsp:val=&quot;00477C62&quot;/&gt;&lt;wsp:rsid wsp:val=&quot;00477E82&quot;/&gt;&lt;wsp:rsid wsp:val=&quot;00477FB2&quot;/&gt;&lt;wsp:rsid wsp:val=&quot;0048004E&quot;/&gt;&lt;wsp:rsid wsp:val=&quot;00480129&quot;/&gt;&lt;wsp:rsid wsp:val=&quot;00480575&quot;/&gt;&lt;wsp:rsid wsp:val=&quot;00480F11&quot;/&gt;&lt;wsp:rsid wsp:val=&quot;00482083&quot;/&gt;&lt;wsp:rsid wsp:val=&quot;004823C1&quot;/&gt;&lt;wsp:rsid wsp:val=&quot;004823D0&quot;/&gt;&lt;wsp:rsid wsp:val=&quot;004825D7&quot;/&gt;&lt;wsp:rsid wsp:val=&quot;004831BB&quot;/&gt;&lt;wsp:rsid wsp:val=&quot;00483290&quot;/&gt;&lt;wsp:rsid wsp:val=&quot;004834B7&quot;/&gt;&lt;wsp:rsid wsp:val=&quot;00483841&quot;/&gt;&lt;wsp:rsid wsp:val=&quot;00483914&quot;/&gt;&lt;wsp:rsid wsp:val=&quot;00483C6F&quot;/&gt;&lt;wsp:rsid wsp:val=&quot;00484263&quot;/&gt;&lt;wsp:rsid wsp:val=&quot;004843B5&quot;/&gt;&lt;wsp:rsid wsp:val=&quot;004844FC&quot;/&gt;&lt;wsp:rsid wsp:val=&quot;00484FDF&quot;/&gt;&lt;wsp:rsid wsp:val=&quot;004854A5&quot;/&gt;&lt;wsp:rsid wsp:val=&quot;004855F1&quot;/&gt;&lt;wsp:rsid wsp:val=&quot;00485A07&quot;/&gt;&lt;wsp:rsid wsp:val=&quot;00485A73&quot;/&gt;&lt;wsp:rsid wsp:val=&quot;00485D62&quot;/&gt;&lt;wsp:rsid wsp:val=&quot;00485D6D&quot;/&gt;&lt;wsp:rsid wsp:val=&quot;00485EDD&quot;/&gt;&lt;wsp:rsid wsp:val=&quot;00486243&quot;/&gt;&lt;wsp:rsid wsp:val=&quot;00486319&quot;/&gt;&lt;wsp:rsid wsp:val=&quot;004864A6&quot;/&gt;&lt;wsp:rsid wsp:val=&quot;004865EE&quot;/&gt;&lt;wsp:rsid wsp:val=&quot;004868A0&quot;/&gt;&lt;wsp:rsid wsp:val=&quot;00486B0E&quot;/&gt;&lt;wsp:rsid wsp:val=&quot;00487952&quot;/&gt;&lt;wsp:rsid wsp:val=&quot;00487F97&quot;/&gt;&lt;wsp:rsid wsp:val=&quot;00490235&quot;/&gt;&lt;wsp:rsid wsp:val=&quot;004904F5&quot;/&gt;&lt;wsp:rsid wsp:val=&quot;00490575&quot;/&gt;&lt;wsp:rsid wsp:val=&quot;0049105E&quot;/&gt;&lt;wsp:rsid wsp:val=&quot;0049114B&quot;/&gt;&lt;wsp:rsid wsp:val=&quot;004913BD&quot;/&gt;&lt;wsp:rsid wsp:val=&quot;00491B51&quot;/&gt;&lt;wsp:rsid wsp:val=&quot;0049254E&quot;/&gt;&lt;wsp:rsid wsp:val=&quot;00492B5E&quot;/&gt;&lt;wsp:rsid wsp:val=&quot;00492B75&quot;/&gt;&lt;wsp:rsid wsp:val=&quot;00492BDE&quot;/&gt;&lt;wsp:rsid wsp:val=&quot;00493194&quot;/&gt;&lt;wsp:rsid wsp:val=&quot;004933E0&quot;/&gt;&lt;wsp:rsid wsp:val=&quot;0049407C&quot;/&gt;&lt;wsp:rsid wsp:val=&quot;004947BD&quot;/&gt;&lt;wsp:rsid wsp:val=&quot;004948E4&quot;/&gt;&lt;wsp:rsid wsp:val=&quot;00494D55&quot;/&gt;&lt;wsp:rsid wsp:val=&quot;004953A7&quot;/&gt;&lt;wsp:rsid wsp:val=&quot;00495729&quot;/&gt;&lt;wsp:rsid wsp:val=&quot;00495C08&quot;/&gt;&lt;wsp:rsid wsp:val=&quot;00495C16&quot;/&gt;&lt;wsp:rsid wsp:val=&quot;00495EDB&quot;/&gt;&lt;wsp:rsid wsp:val=&quot;00495FEA&quot;/&gt;&lt;wsp:rsid wsp:val=&quot;004963FD&quot;/&gt;&lt;wsp:rsid wsp:val=&quot;004975DF&quot;/&gt;&lt;wsp:rsid wsp:val=&quot;004976A3&quot;/&gt;&lt;wsp:rsid wsp:val=&quot;00497F41&quot;/&gt;&lt;wsp:rsid wsp:val=&quot;004A0140&quot;/&gt;&lt;wsp:rsid wsp:val=&quot;004A0471&quot;/&gt;&lt;wsp:rsid wsp:val=&quot;004A09B6&quot;/&gt;&lt;wsp:rsid wsp:val=&quot;004A12A2&quot;/&gt;&lt;wsp:rsid wsp:val=&quot;004A1350&quot;/&gt;&lt;wsp:rsid wsp:val=&quot;004A138A&quot;/&gt;&lt;wsp:rsid wsp:val=&quot;004A1B0F&quot;/&gt;&lt;wsp:rsid wsp:val=&quot;004A1CF9&quot;/&gt;&lt;wsp:rsid wsp:val=&quot;004A1FE1&quot;/&gt;&lt;wsp:rsid wsp:val=&quot;004A2013&quot;/&gt;&lt;wsp:rsid wsp:val=&quot;004A228C&quot;/&gt;&lt;wsp:rsid wsp:val=&quot;004A29C1&quot;/&gt;&lt;wsp:rsid wsp:val=&quot;004A29F7&quot;/&gt;&lt;wsp:rsid wsp:val=&quot;004A2FEB&quot;/&gt;&lt;wsp:rsid wsp:val=&quot;004A3467&quot;/&gt;&lt;wsp:rsid wsp:val=&quot;004A34BC&quot;/&gt;&lt;wsp:rsid wsp:val=&quot;004A4183&quot;/&gt;&lt;wsp:rsid wsp:val=&quot;004A460D&quot;/&gt;&lt;wsp:rsid wsp:val=&quot;004A4913&quot;/&gt;&lt;wsp:rsid wsp:val=&quot;004A4985&quot;/&gt;&lt;wsp:rsid wsp:val=&quot;004A49CD&quot;/&gt;&lt;wsp:rsid wsp:val=&quot;004A4D4D&quot;/&gt;&lt;wsp:rsid wsp:val=&quot;004A526B&quot;/&gt;&lt;wsp:rsid wsp:val=&quot;004A52FC&quot;/&gt;&lt;wsp:rsid wsp:val=&quot;004A535F&quot;/&gt;&lt;wsp:rsid wsp:val=&quot;004A55B8&quot;/&gt;&lt;wsp:rsid wsp:val=&quot;004A5826&quot;/&gt;&lt;wsp:rsid wsp:val=&quot;004A6463&quot;/&gt;&lt;wsp:rsid wsp:val=&quot;004A659B&quot;/&gt;&lt;wsp:rsid wsp:val=&quot;004A65E6&quot;/&gt;&lt;wsp:rsid wsp:val=&quot;004A6695&quot;/&gt;&lt;wsp:rsid wsp:val=&quot;004A671E&quot;/&gt;&lt;wsp:rsid wsp:val=&quot;004A673C&quot;/&gt;&lt;wsp:rsid wsp:val=&quot;004A6C23&quot;/&gt;&lt;wsp:rsid wsp:val=&quot;004A7471&quot;/&gt;&lt;wsp:rsid wsp:val=&quot;004A77E1&quot;/&gt;&lt;wsp:rsid wsp:val=&quot;004A783D&quot;/&gt;&lt;wsp:rsid wsp:val=&quot;004B0247&quot;/&gt;&lt;wsp:rsid wsp:val=&quot;004B064C&quot;/&gt;&lt;wsp:rsid wsp:val=&quot;004B1565&quot;/&gt;&lt;wsp:rsid wsp:val=&quot;004B1868&quot;/&gt;&lt;wsp:rsid wsp:val=&quot;004B1AFA&quot;/&gt;&lt;wsp:rsid wsp:val=&quot;004B204C&quot;/&gt;&lt;wsp:rsid wsp:val=&quot;004B208C&quot;/&gt;&lt;wsp:rsid wsp:val=&quot;004B2265&quot;/&gt;&lt;wsp:rsid wsp:val=&quot;004B2807&quot;/&gt;&lt;wsp:rsid wsp:val=&quot;004B2918&quot;/&gt;&lt;wsp:rsid wsp:val=&quot;004B3418&quot;/&gt;&lt;wsp:rsid wsp:val=&quot;004B3574&quot;/&gt;&lt;wsp:rsid wsp:val=&quot;004B3864&quot;/&gt;&lt;wsp:rsid wsp:val=&quot;004B3D7B&quot;/&gt;&lt;wsp:rsid wsp:val=&quot;004B3DD6&quot;/&gt;&lt;wsp:rsid wsp:val=&quot;004B3FD2&quot;/&gt;&lt;wsp:rsid wsp:val=&quot;004B40A6&quot;/&gt;&lt;wsp:rsid wsp:val=&quot;004B4A4D&quot;/&gt;&lt;wsp:rsid wsp:val=&quot;004B4D89&quot;/&gt;&lt;wsp:rsid wsp:val=&quot;004B4EBD&quot;/&gt;&lt;wsp:rsid wsp:val=&quot;004B54E6&quot;/&gt;&lt;wsp:rsid wsp:val=&quot;004B5828&quot;/&gt;&lt;wsp:rsid wsp:val=&quot;004B5884&quot;/&gt;&lt;wsp:rsid wsp:val=&quot;004B5B64&quot;/&gt;&lt;wsp:rsid wsp:val=&quot;004B5B9E&quot;/&gt;&lt;wsp:rsid wsp:val=&quot;004B5CD7&quot;/&gt;&lt;wsp:rsid wsp:val=&quot;004B5D77&quot;/&gt;&lt;wsp:rsid wsp:val=&quot;004B6016&quot;/&gt;&lt;wsp:rsid wsp:val=&quot;004B635B&quot;/&gt;&lt;wsp:rsid wsp:val=&quot;004B665D&quot;/&gt;&lt;wsp:rsid wsp:val=&quot;004B68B5&quot;/&gt;&lt;wsp:rsid wsp:val=&quot;004B69F9&quot;/&gt;&lt;wsp:rsid wsp:val=&quot;004B6C92&quot;/&gt;&lt;wsp:rsid wsp:val=&quot;004B6FBE&quot;/&gt;&lt;wsp:rsid wsp:val=&quot;004B7820&quot;/&gt;&lt;wsp:rsid wsp:val=&quot;004B7D4C&quot;/&gt;&lt;wsp:rsid wsp:val=&quot;004C01AC&quot;/&gt;&lt;wsp:rsid wsp:val=&quot;004C09A9&quot;/&gt;&lt;wsp:rsid wsp:val=&quot;004C0B00&quot;/&gt;&lt;wsp:rsid wsp:val=&quot;004C18D7&quot;/&gt;&lt;wsp:rsid wsp:val=&quot;004C1BEF&quot;/&gt;&lt;wsp:rsid wsp:val=&quot;004C1CB1&quot;/&gt;&lt;wsp:rsid wsp:val=&quot;004C23AD&quot;/&gt;&lt;wsp:rsid wsp:val=&quot;004C250D&quot;/&gt;&lt;wsp:rsid wsp:val=&quot;004C25C6&quot;/&gt;&lt;wsp:rsid wsp:val=&quot;004C2D23&quot;/&gt;&lt;wsp:rsid wsp:val=&quot;004C2E11&quot;/&gt;&lt;wsp:rsid wsp:val=&quot;004C32C2&quot;/&gt;&lt;wsp:rsid wsp:val=&quot;004C333E&quot;/&gt;&lt;wsp:rsid wsp:val=&quot;004C34B9&quot;/&gt;&lt;wsp:rsid wsp:val=&quot;004C4198&quot;/&gt;&lt;wsp:rsid wsp:val=&quot;004C4728&quot;/&gt;&lt;wsp:rsid wsp:val=&quot;004C4B4F&quot;/&gt;&lt;wsp:rsid wsp:val=&quot;004C4B62&quot;/&gt;&lt;wsp:rsid wsp:val=&quot;004C4C89&quot;/&gt;&lt;wsp:rsid wsp:val=&quot;004C599B&quot;/&gt;&lt;wsp:rsid wsp:val=&quot;004C5EBE&quot;/&gt;&lt;wsp:rsid wsp:val=&quot;004C6382&quot;/&gt;&lt;wsp:rsid wsp:val=&quot;004C63EC&quot;/&gt;&lt;wsp:rsid wsp:val=&quot;004C6C36&quot;/&gt;&lt;wsp:rsid wsp:val=&quot;004C6F21&quot;/&gt;&lt;wsp:rsid wsp:val=&quot;004C71AA&quot;/&gt;&lt;wsp:rsid wsp:val=&quot;004C7984&quot;/&gt;&lt;wsp:rsid wsp:val=&quot;004C7A1E&quot;/&gt;&lt;wsp:rsid wsp:val=&quot;004D03BC&quot;/&gt;&lt;wsp:rsid wsp:val=&quot;004D071E&quot;/&gt;&lt;wsp:rsid wsp:val=&quot;004D0B5C&quot;/&gt;&lt;wsp:rsid wsp:val=&quot;004D0D8C&quot;/&gt;&lt;wsp:rsid wsp:val=&quot;004D0EED&quot;/&gt;&lt;wsp:rsid wsp:val=&quot;004D0F83&quot;/&gt;&lt;wsp:rsid wsp:val=&quot;004D10C5&quot;/&gt;&lt;wsp:rsid wsp:val=&quot;004D1891&quot;/&gt;&lt;wsp:rsid wsp:val=&quot;004D1ABA&quot;/&gt;&lt;wsp:rsid wsp:val=&quot;004D1BF0&quot;/&gt;&lt;wsp:rsid wsp:val=&quot;004D1C79&quot;/&gt;&lt;wsp:rsid wsp:val=&quot;004D21E0&quot;/&gt;&lt;wsp:rsid wsp:val=&quot;004D2573&quot;/&gt;&lt;wsp:rsid wsp:val=&quot;004D25A3&quot;/&gt;&lt;wsp:rsid wsp:val=&quot;004D275D&quot;/&gt;&lt;wsp:rsid wsp:val=&quot;004D2765&quot;/&gt;&lt;wsp:rsid wsp:val=&quot;004D277D&quot;/&gt;&lt;wsp:rsid wsp:val=&quot;004D2F4E&quot;/&gt;&lt;wsp:rsid wsp:val=&quot;004D30BB&quot;/&gt;&lt;wsp:rsid wsp:val=&quot;004D33EA&quot;/&gt;&lt;wsp:rsid wsp:val=&quot;004D39E7&quot;/&gt;&lt;wsp:rsid wsp:val=&quot;004D3E26&quot;/&gt;&lt;wsp:rsid wsp:val=&quot;004D3EE1&quot;/&gt;&lt;wsp:rsid wsp:val=&quot;004D3FC0&quot;/&gt;&lt;wsp:rsid wsp:val=&quot;004D4395&quot;/&gt;&lt;wsp:rsid wsp:val=&quot;004D444D&quot;/&gt;&lt;wsp:rsid wsp:val=&quot;004D47AB&quot;/&gt;&lt;wsp:rsid wsp:val=&quot;004D4AC7&quot;/&gt;&lt;wsp:rsid wsp:val=&quot;004D4D68&quot;/&gt;&lt;wsp:rsid wsp:val=&quot;004D5020&quot;/&gt;&lt;wsp:rsid wsp:val=&quot;004D5071&quot;/&gt;&lt;wsp:rsid wsp:val=&quot;004D5804&quot;/&gt;&lt;wsp:rsid wsp:val=&quot;004D5A8D&quot;/&gt;&lt;wsp:rsid wsp:val=&quot;004D5F5C&quot;/&gt;&lt;wsp:rsid wsp:val=&quot;004D5FD4&quot;/&gt;&lt;wsp:rsid wsp:val=&quot;004D6295&quot;/&gt;&lt;wsp:rsid wsp:val=&quot;004D67A6&quot;/&gt;&lt;wsp:rsid wsp:val=&quot;004D77DE&quot;/&gt;&lt;wsp:rsid wsp:val=&quot;004D77FD&quot;/&gt;&lt;wsp:rsid wsp:val=&quot;004D7C39&quot;/&gt;&lt;wsp:rsid wsp:val=&quot;004D7C90&quot;/&gt;&lt;wsp:rsid wsp:val=&quot;004E0426&quot;/&gt;&lt;wsp:rsid wsp:val=&quot;004E05BD&quot;/&gt;&lt;wsp:rsid wsp:val=&quot;004E083A&quot;/&gt;&lt;wsp:rsid wsp:val=&quot;004E0C40&quot;/&gt;&lt;wsp:rsid wsp:val=&quot;004E0DE8&quot;/&gt;&lt;wsp:rsid wsp:val=&quot;004E0F77&quot;/&gt;&lt;wsp:rsid wsp:val=&quot;004E0FF8&quot;/&gt;&lt;wsp:rsid wsp:val=&quot;004E1812&quot;/&gt;&lt;wsp:rsid wsp:val=&quot;004E23F3&quot;/&gt;&lt;wsp:rsid wsp:val=&quot;004E2C7E&quot;/&gt;&lt;wsp:rsid wsp:val=&quot;004E2D66&quot;/&gt;&lt;wsp:rsid wsp:val=&quot;004E2E3E&quot;/&gt;&lt;wsp:rsid wsp:val=&quot;004E335C&quot;/&gt;&lt;wsp:rsid wsp:val=&quot;004E3A87&quot;/&gt;&lt;wsp:rsid wsp:val=&quot;004E3B92&quot;/&gt;&lt;wsp:rsid wsp:val=&quot;004E3D74&quot;/&gt;&lt;wsp:rsid wsp:val=&quot;004E3DDC&quot;/&gt;&lt;wsp:rsid wsp:val=&quot;004E3E91&quot;/&gt;&lt;wsp:rsid wsp:val=&quot;004E4004&quot;/&gt;&lt;wsp:rsid wsp:val=&quot;004E42DB&quot;/&gt;&lt;wsp:rsid wsp:val=&quot;004E43EC&quot;/&gt;&lt;wsp:rsid wsp:val=&quot;004E499A&quot;/&gt;&lt;wsp:rsid wsp:val=&quot;004E4CBB&quot;/&gt;&lt;wsp:rsid wsp:val=&quot;004E4D99&quot;/&gt;&lt;wsp:rsid wsp:val=&quot;004E53BC&quot;/&gt;&lt;wsp:rsid wsp:val=&quot;004E5962&quot;/&gt;&lt;wsp:rsid wsp:val=&quot;004E599D&quot;/&gt;&lt;wsp:rsid wsp:val=&quot;004E59C9&quot;/&gt;&lt;wsp:rsid wsp:val=&quot;004E5BD3&quot;/&gt;&lt;wsp:rsid wsp:val=&quot;004E5D2E&quot;/&gt;&lt;wsp:rsid wsp:val=&quot;004E6536&quot;/&gt;&lt;wsp:rsid wsp:val=&quot;004E6641&quot;/&gt;&lt;wsp:rsid wsp:val=&quot;004E73C7&quot;/&gt;&lt;wsp:rsid wsp:val=&quot;004E7C33&quot;/&gt;&lt;wsp:rsid wsp:val=&quot;004E7D31&quot;/&gt;&lt;wsp:rsid wsp:val=&quot;004F06A5&quot;/&gt;&lt;wsp:rsid wsp:val=&quot;004F079A&quot;/&gt;&lt;wsp:rsid wsp:val=&quot;004F0CB5&quot;/&gt;&lt;wsp:rsid wsp:val=&quot;004F0D68&quot;/&gt;&lt;wsp:rsid wsp:val=&quot;004F0FA8&quot;/&gt;&lt;wsp:rsid wsp:val=&quot;004F1289&quot;/&gt;&lt;wsp:rsid wsp:val=&quot;004F12F9&quot;/&gt;&lt;wsp:rsid wsp:val=&quot;004F13D4&quot;/&gt;&lt;wsp:rsid wsp:val=&quot;004F1476&quot;/&gt;&lt;wsp:rsid wsp:val=&quot;004F1559&quot;/&gt;&lt;wsp:rsid wsp:val=&quot;004F185C&quot;/&gt;&lt;wsp:rsid wsp:val=&quot;004F1E33&quot;/&gt;&lt;wsp:rsid wsp:val=&quot;004F1F62&quot;/&gt;&lt;wsp:rsid wsp:val=&quot;004F2016&quot;/&gt;&lt;wsp:rsid wsp:val=&quot;004F21E8&quot;/&gt;&lt;wsp:rsid wsp:val=&quot;004F2253&quot;/&gt;&lt;wsp:rsid wsp:val=&quot;004F2456&quot;/&gt;&lt;wsp:rsid wsp:val=&quot;004F2B1A&quot;/&gt;&lt;wsp:rsid wsp:val=&quot;004F2C0A&quot;/&gt;&lt;wsp:rsid wsp:val=&quot;004F2CEB&quot;/&gt;&lt;wsp:rsid wsp:val=&quot;004F2E19&quot;/&gt;&lt;wsp:rsid wsp:val=&quot;004F2F6E&quot;/&gt;&lt;wsp:rsid wsp:val=&quot;004F3332&quot;/&gt;&lt;wsp:rsid wsp:val=&quot;004F35E4&quot;/&gt;&lt;wsp:rsid wsp:val=&quot;004F37F2&quot;/&gt;&lt;wsp:rsid wsp:val=&quot;004F3BD5&quot;/&gt;&lt;wsp:rsid wsp:val=&quot;004F3DF1&quot;/&gt;&lt;wsp:rsid wsp:val=&quot;004F3E04&quot;/&gt;&lt;wsp:rsid wsp:val=&quot;004F3EA2&quot;/&gt;&lt;wsp:rsid wsp:val=&quot;004F4149&quot;/&gt;&lt;wsp:rsid wsp:val=&quot;004F459E&quot;/&gt;&lt;wsp:rsid wsp:val=&quot;004F48F8&quot;/&gt;&lt;wsp:rsid wsp:val=&quot;004F493C&quot;/&gt;&lt;wsp:rsid wsp:val=&quot;004F499C&quot;/&gt;&lt;wsp:rsid wsp:val=&quot;004F49A5&quot;/&gt;&lt;wsp:rsid wsp:val=&quot;004F49BE&quot;/&gt;&lt;wsp:rsid wsp:val=&quot;004F4AD3&quot;/&gt;&lt;wsp:rsid wsp:val=&quot;004F4C62&quot;/&gt;&lt;wsp:rsid wsp:val=&quot;004F4E5C&quot;/&gt;&lt;wsp:rsid wsp:val=&quot;004F4FE3&quot;/&gt;&lt;wsp:rsid wsp:val=&quot;004F50D5&quot;/&gt;&lt;wsp:rsid wsp:val=&quot;004F558C&quot;/&gt;&lt;wsp:rsid wsp:val=&quot;004F570C&quot;/&gt;&lt;wsp:rsid wsp:val=&quot;004F5743&quot;/&gt;&lt;wsp:rsid wsp:val=&quot;004F584B&quot;/&gt;&lt;wsp:rsid wsp:val=&quot;004F5EA8&quot;/&gt;&lt;wsp:rsid wsp:val=&quot;004F5F4E&quot;/&gt;&lt;wsp:rsid wsp:val=&quot;004F610E&quot;/&gt;&lt;wsp:rsid wsp:val=&quot;004F614C&quot;/&gt;&lt;wsp:rsid wsp:val=&quot;004F640C&quot;/&gt;&lt;wsp:rsid wsp:val=&quot;004F648F&quot;/&gt;&lt;wsp:rsid wsp:val=&quot;004F661A&quot;/&gt;&lt;wsp:rsid wsp:val=&quot;004F66B1&quot;/&gt;&lt;wsp:rsid wsp:val=&quot;004F6921&quot;/&gt;&lt;wsp:rsid wsp:val=&quot;004F6A7F&quot;/&gt;&lt;wsp:rsid wsp:val=&quot;004F7E50&quot;/&gt;&lt;wsp:rsid wsp:val=&quot;00500024&quot;/&gt;&lt;wsp:rsid wsp:val=&quot;00500107&quot;/&gt;&lt;wsp:rsid wsp:val=&quot;005009D2&quot;/&gt;&lt;wsp:rsid wsp:val=&quot;00500BD8&quot;/&gt;&lt;wsp:rsid wsp:val=&quot;00501096&quot;/&gt;&lt;wsp:rsid wsp:val=&quot;00501673&quot;/&gt;&lt;wsp:rsid wsp:val=&quot;00501987&quot;/&gt;&lt;wsp:rsid wsp:val=&quot;00501B01&quot;/&gt;&lt;wsp:rsid wsp:val=&quot;00501DCB&quot;/&gt;&lt;wsp:rsid wsp:val=&quot;00502AD0&quot;/&gt;&lt;wsp:rsid wsp:val=&quot;00502BB3&quot;/&gt;&lt;wsp:rsid wsp:val=&quot;00502C3F&quot;/&gt;&lt;wsp:rsid wsp:val=&quot;005035A1&quot;/&gt;&lt;wsp:rsid wsp:val=&quot;00503842&quot;/&gt;&lt;wsp:rsid wsp:val=&quot;005044D5&quot;/&gt;&lt;wsp:rsid wsp:val=&quot;00504A51&quot;/&gt;&lt;wsp:rsid wsp:val=&quot;005051ED&quot;/&gt;&lt;wsp:rsid wsp:val=&quot;00505FBE&quot;/&gt;&lt;wsp:rsid wsp:val=&quot;00506378&quot;/&gt;&lt;wsp:rsid wsp:val=&quot;00506592&quot;/&gt;&lt;wsp:rsid wsp:val=&quot;00506747&quot;/&gt;&lt;wsp:rsid wsp:val=&quot;0050687B&quot;/&gt;&lt;wsp:rsid wsp:val=&quot;005069F5&quot;/&gt;&lt;wsp:rsid wsp:val=&quot;00506FD2&quot;/&gt;&lt;wsp:rsid wsp:val=&quot;00507179&quot;/&gt;&lt;wsp:rsid wsp:val=&quot;005072F6&quot;/&gt;&lt;wsp:rsid wsp:val=&quot;00507381&quot;/&gt;&lt;wsp:rsid wsp:val=&quot;0050773C&quot;/&gt;&lt;wsp:rsid wsp:val=&quot;00507779&quot;/&gt;&lt;wsp:rsid wsp:val=&quot;00507D35&quot;/&gt;&lt;wsp:rsid wsp:val=&quot;00507F4E&quot;/&gt;&lt;wsp:rsid wsp:val=&quot;00507F57&quot;/&gt;&lt;wsp:rsid wsp:val=&quot;00510163&quot;/&gt;&lt;wsp:rsid wsp:val=&quot;00510930&quot;/&gt;&lt;wsp:rsid wsp:val=&quot;00510E58&quot;/&gt;&lt;wsp:rsid wsp:val=&quot;00511235&quot;/&gt;&lt;wsp:rsid wsp:val=&quot;00511361&quot;/&gt;&lt;wsp:rsid wsp:val=&quot;00511736&quot;/&gt;&lt;wsp:rsid wsp:val=&quot;0051182C&quot;/&gt;&lt;wsp:rsid wsp:val=&quot;0051189B&quot;/&gt;&lt;wsp:rsid wsp:val=&quot;00512066&quot;/&gt;&lt;wsp:rsid wsp:val=&quot;005120DF&quot;/&gt;&lt;wsp:rsid wsp:val=&quot;0051292A&quot;/&gt;&lt;wsp:rsid wsp:val=&quot;00513042&quot;/&gt;&lt;wsp:rsid wsp:val=&quot;00513388&quot;/&gt;&lt;wsp:rsid wsp:val=&quot;0051363C&quot;/&gt;&lt;wsp:rsid wsp:val=&quot;0051372D&quot;/&gt;&lt;wsp:rsid wsp:val=&quot;0051374C&quot;/&gt;&lt;wsp:rsid wsp:val=&quot;00513BE8&quot;/&gt;&lt;wsp:rsid wsp:val=&quot;00513C79&quot;/&gt;&lt;wsp:rsid wsp:val=&quot;00513DBA&quot;/&gt;&lt;wsp:rsid wsp:val=&quot;00514228&quot;/&gt;&lt;wsp:rsid wsp:val=&quot;00514E5D&quot;/&gt;&lt;wsp:rsid wsp:val=&quot;005151F6&quot;/&gt;&lt;wsp:rsid wsp:val=&quot;005154BA&quot;/&gt;&lt;wsp:rsid wsp:val=&quot;00515673&quot;/&gt;&lt;wsp:rsid wsp:val=&quot;005158CD&quot;/&gt;&lt;wsp:rsid wsp:val=&quot;00515A5C&quot;/&gt;&lt;wsp:rsid wsp:val=&quot;00516006&quot;/&gt;&lt;wsp:rsid wsp:val=&quot;0051654E&quot;/&gt;&lt;wsp:rsid wsp:val=&quot;00516F54&quot;/&gt;&lt;wsp:rsid wsp:val=&quot;00516FB9&quot;/&gt;&lt;wsp:rsid wsp:val=&quot;00517056&quot;/&gt;&lt;wsp:rsid wsp:val=&quot;0051738D&quot;/&gt;&lt;wsp:rsid wsp:val=&quot;005177AA&quot;/&gt;&lt;wsp:rsid wsp:val=&quot;00517F51&quot;/&gt;&lt;wsp:rsid wsp:val=&quot;00520168&quot;/&gt;&lt;wsp:rsid wsp:val=&quot;00520389&quot;/&gt;&lt;wsp:rsid wsp:val=&quot;005205D4&quot;/&gt;&lt;wsp:rsid wsp:val=&quot;00520884&quot;/&gt;&lt;wsp:rsid wsp:val=&quot;00520F1C&quot;/&gt;&lt;wsp:rsid wsp:val=&quot;005212C4&quot;/&gt;&lt;wsp:rsid wsp:val=&quot;0052132B&quot;/&gt;&lt;wsp:rsid wsp:val=&quot;005217F1&quot;/&gt;&lt;wsp:rsid wsp:val=&quot;00521DC4&quot;/&gt;&lt;wsp:rsid wsp:val=&quot;00521EC4&quot;/&gt;&lt;wsp:rsid wsp:val=&quot;0052253C&quot;/&gt;&lt;wsp:rsid wsp:val=&quot;00522688&quot;/&gt;&lt;wsp:rsid wsp:val=&quot;00522804&quot;/&gt;&lt;wsp:rsid wsp:val=&quot;00522A82&quot;/&gt;&lt;wsp:rsid wsp:val=&quot;00522FB4&quot;/&gt;&lt;wsp:rsid wsp:val=&quot;00523487&quot;/&gt;&lt;wsp:rsid wsp:val=&quot;005238EC&quot;/&gt;&lt;wsp:rsid wsp:val=&quot;00523D71&quot;/&gt;&lt;wsp:rsid wsp:val=&quot;00523DA4&quot;/&gt;&lt;wsp:rsid wsp:val=&quot;00523EED&quot;/&gt;&lt;wsp:rsid wsp:val=&quot;00523FBF&quot;/&gt;&lt;wsp:rsid wsp:val=&quot;0052442B&quot;/&gt;&lt;wsp:rsid wsp:val=&quot;005245AE&quot;/&gt;&lt;wsp:rsid wsp:val=&quot;005245C6&quot;/&gt;&lt;wsp:rsid wsp:val=&quot;0052478D&quot;/&gt;&lt;wsp:rsid wsp:val=&quot;005247D8&quot;/&gt;&lt;wsp:rsid wsp:val=&quot;00524D49&quot;/&gt;&lt;wsp:rsid wsp:val=&quot;005254BF&quot;/&gt;&lt;wsp:rsid wsp:val=&quot;005255AF&quot;/&gt;&lt;wsp:rsid wsp:val=&quot;00525B54&quot;/&gt;&lt;wsp:rsid wsp:val=&quot;00525E90&quot;/&gt;&lt;wsp:rsid wsp:val=&quot;00525FFB&quot;/&gt;&lt;wsp:rsid wsp:val=&quot;005260A9&quot;/&gt;&lt;wsp:rsid wsp:val=&quot;00526109&quot;/&gt;&lt;wsp:rsid wsp:val=&quot;00526E53&quot;/&gt;&lt;wsp:rsid wsp:val=&quot;00526EDD&quot;/&gt;&lt;wsp:rsid wsp:val=&quot;0052703E&quot;/&gt;&lt;wsp:rsid wsp:val=&quot;00527289&quot;/&gt;&lt;wsp:rsid wsp:val=&quot;00527CBA&quot;/&gt;&lt;wsp:rsid wsp:val=&quot;00530412&quot;/&gt;&lt;wsp:rsid wsp:val=&quot;005308A3&quot;/&gt;&lt;wsp:rsid wsp:val=&quot;00530BAD&quot;/&gt;&lt;wsp:rsid wsp:val=&quot;00530D07&quot;/&gt;&lt;wsp:rsid wsp:val=&quot;005314D2&quot;/&gt;&lt;wsp:rsid wsp:val=&quot;00531A24&quot;/&gt;&lt;wsp:rsid wsp:val=&quot;00532160&quot;/&gt;&lt;wsp:rsid wsp:val=&quot;0053238B&quot;/&gt;&lt;wsp:rsid wsp:val=&quot;00532486&quot;/&gt;&lt;wsp:rsid wsp:val=&quot;005324E5&quot;/&gt;&lt;wsp:rsid wsp:val=&quot;005329A8&quot;/&gt;&lt;wsp:rsid wsp:val=&quot;00532B2A&quot;/&gt;&lt;wsp:rsid wsp:val=&quot;00532F0D&quot;/&gt;&lt;wsp:rsid wsp:val=&quot;0053335A&quot;/&gt;&lt;wsp:rsid wsp:val=&quot;005335C8&quot;/&gt;&lt;wsp:rsid wsp:val=&quot;00533850&quot;/&gt;&lt;wsp:rsid wsp:val=&quot;00533D2B&quot;/&gt;&lt;wsp:rsid wsp:val=&quot;00533E8C&quot;/&gt;&lt;wsp:rsid wsp:val=&quot;00533F94&quot;/&gt;&lt;wsp:rsid wsp:val=&quot;0053419B&quot;/&gt;&lt;wsp:rsid wsp:val=&quot;005348E7&quot;/&gt;&lt;wsp:rsid wsp:val=&quot;00534921&quot;/&gt;&lt;wsp:rsid wsp:val=&quot;00535204&quot;/&gt;&lt;wsp:rsid wsp:val=&quot;00535364&quot;/&gt;&lt;wsp:rsid wsp:val=&quot;00535D15&quot;/&gt;&lt;wsp:rsid wsp:val=&quot;00535E04&quot;/&gt;&lt;wsp:rsid wsp:val=&quot;005367F3&quot;/&gt;&lt;wsp:rsid wsp:val=&quot;005369FC&quot;/&gt;&lt;wsp:rsid wsp:val=&quot;00536BEA&quot;/&gt;&lt;wsp:rsid wsp:val=&quot;0053739E&quot;/&gt;&lt;wsp:rsid wsp:val=&quot;00537593&quot;/&gt;&lt;wsp:rsid wsp:val=&quot;005376AC&quot;/&gt;&lt;wsp:rsid wsp:val=&quot;00537A5E&quot;/&gt;&lt;wsp:rsid wsp:val=&quot;005401B7&quot;/&gt;&lt;wsp:rsid wsp:val=&quot;00540586&quot;/&gt;&lt;wsp:rsid wsp:val=&quot;00540626&quot;/&gt;&lt;wsp:rsid wsp:val=&quot;00540BBF&quot;/&gt;&lt;wsp:rsid wsp:val=&quot;00540BE8&quot;/&gt;&lt;wsp:rsid wsp:val=&quot;00540CAE&quot;/&gt;&lt;wsp:rsid wsp:val=&quot;00541043&quot;/&gt;&lt;wsp:rsid wsp:val=&quot;00541503&quot;/&gt;&lt;wsp:rsid wsp:val=&quot;00541761&quot;/&gt;&lt;wsp:rsid wsp:val=&quot;00542050&quot;/&gt;&lt;wsp:rsid wsp:val=&quot;00542548&quot;/&gt;&lt;wsp:rsid wsp:val=&quot;00542876&quot;/&gt;&lt;wsp:rsid wsp:val=&quot;00542B60&quot;/&gt;&lt;wsp:rsid wsp:val=&quot;00542BD8&quot;/&gt;&lt;wsp:rsid wsp:val=&quot;00542D44&quot;/&gt;&lt;wsp:rsid wsp:val=&quot;00542E9C&quot;/&gt;&lt;wsp:rsid wsp:val=&quot;00543459&quot;/&gt;&lt;wsp:rsid wsp:val=&quot;00543D53&quot;/&gt;&lt;wsp:rsid wsp:val=&quot;00544120&quot;/&gt;&lt;wsp:rsid wsp:val=&quot;00544895&quot;/&gt;&lt;wsp:rsid wsp:val=&quot;005449D5&quot;/&gt;&lt;wsp:rsid wsp:val=&quot;00545012&quot;/&gt;&lt;wsp:rsid wsp:val=&quot;005454FC&quot;/&gt;&lt;wsp:rsid wsp:val=&quot;0054566F&quot;/&gt;&lt;wsp:rsid wsp:val=&quot;00545D06&quot;/&gt;&lt;wsp:rsid wsp:val=&quot;005463E8&quot;/&gt;&lt;wsp:rsid wsp:val=&quot;0054694F&quot;/&gt;&lt;wsp:rsid wsp:val=&quot;0054697A&quot;/&gt;&lt;wsp:rsid wsp:val=&quot;00546AFD&quot;/&gt;&lt;wsp:rsid wsp:val=&quot;005470B2&quot;/&gt;&lt;wsp:rsid wsp:val=&quot;005470DB&quot;/&gt;&lt;wsp:rsid wsp:val=&quot;00547106&quot;/&gt;&lt;wsp:rsid wsp:val=&quot;00547118&quot;/&gt;&lt;wsp:rsid wsp:val=&quot;00547431&quot;/&gt;&lt;wsp:rsid wsp:val=&quot;00550205&quot;/&gt;&lt;wsp:rsid wsp:val=&quot;005505DC&quot;/&gt;&lt;wsp:rsid wsp:val=&quot;0055192F&quot;/&gt;&lt;wsp:rsid wsp:val=&quot;00551A6E&quot;/&gt;&lt;wsp:rsid wsp:val=&quot;00551D09&quot;/&gt;&lt;wsp:rsid wsp:val=&quot;00552BB8&quot;/&gt;&lt;wsp:rsid wsp:val=&quot;0055306C&quot;/&gt;&lt;wsp:rsid wsp:val=&quot;00553144&quot;/&gt;&lt;wsp:rsid wsp:val=&quot;0055338B&quot;/&gt;&lt;wsp:rsid wsp:val=&quot;00553604&quot;/&gt;&lt;wsp:rsid wsp:val=&quot;0055385F&quot;/&gt;&lt;wsp:rsid wsp:val=&quot;005538D9&quot;/&gt;&lt;wsp:rsid wsp:val=&quot;00553D3E&quot;/&gt;&lt;wsp:rsid wsp:val=&quot;00553EE3&quot;/&gt;&lt;wsp:rsid wsp:val=&quot;00554580&quot;/&gt;&lt;wsp:rsid wsp:val=&quot;00555624&quot;/&gt;&lt;wsp:rsid wsp:val=&quot;00555778&quot;/&gt;&lt;wsp:rsid wsp:val=&quot;00555EC6&quot;/&gt;&lt;wsp:rsid wsp:val=&quot;00555F65&quot;/&gt;&lt;wsp:rsid wsp:val=&quot;00555F66&quot;/&gt;&lt;wsp:rsid wsp:val=&quot;0055620C&quot;/&gt;&lt;wsp:rsid wsp:val=&quot;005568E2&quot;/&gt;&lt;wsp:rsid wsp:val=&quot;0055690E&quot;/&gt;&lt;wsp:rsid wsp:val=&quot;00556A1F&quot;/&gt;&lt;wsp:rsid wsp:val=&quot;00556F2D&quot;/&gt;&lt;wsp:rsid wsp:val=&quot;00557440&quot;/&gt;&lt;wsp:rsid wsp:val=&quot;0055764E&quot;/&gt;&lt;wsp:rsid wsp:val=&quot;0055768F&quot;/&gt;&lt;wsp:rsid wsp:val=&quot;005576C2&quot;/&gt;&lt;wsp:rsid wsp:val=&quot;00557B28&quot;/&gt;&lt;wsp:rsid wsp:val=&quot;00557C49&quot;/&gt;&lt;wsp:rsid wsp:val=&quot;0056031D&quot;/&gt;&lt;wsp:rsid wsp:val=&quot;00560FA8&quot;/&gt;&lt;wsp:rsid wsp:val=&quot;005613BC&quot;/&gt;&lt;wsp:rsid wsp:val=&quot;005615A8&quot;/&gt;&lt;wsp:rsid wsp:val=&quot;00561679&quot;/&gt;&lt;wsp:rsid wsp:val=&quot;00561A9F&quot;/&gt;&lt;wsp:rsid wsp:val=&quot;00561DED&quot;/&gt;&lt;wsp:rsid wsp:val=&quot;0056207D&quot;/&gt;&lt;wsp:rsid wsp:val=&quot;00562272&quot;/&gt;&lt;wsp:rsid wsp:val=&quot;00562A2D&quot;/&gt;&lt;wsp:rsid wsp:val=&quot;00562DC4&quot;/&gt;&lt;wsp:rsid wsp:val=&quot;005636B1&quot;/&gt;&lt;wsp:rsid wsp:val=&quot;0056395C&quot;/&gt;&lt;wsp:rsid wsp:val=&quot;00565155&quot;/&gt;&lt;wsp:rsid wsp:val=&quot;00565317&quot;/&gt;&lt;wsp:rsid wsp:val=&quot;00565367&quot;/&gt;&lt;wsp:rsid wsp:val=&quot;00566368&quot;/&gt;&lt;wsp:rsid wsp:val=&quot;005672F9&quot;/&gt;&lt;wsp:rsid wsp:val=&quot;00567EE4&quot;/&gt;&lt;wsp:rsid wsp:val=&quot;00570032&quot;/&gt;&lt;wsp:rsid wsp:val=&quot;0057047D&quot;/&gt;&lt;wsp:rsid wsp:val=&quot;0057049E&quot;/&gt;&lt;wsp:rsid wsp:val=&quot;00570564&quot;/&gt;&lt;wsp:rsid wsp:val=&quot;00570605&quot;/&gt;&lt;wsp:rsid wsp:val=&quot;005708EC&quot;/&gt;&lt;wsp:rsid wsp:val=&quot;00570F63&quot;/&gt;&lt;wsp:rsid wsp:val=&quot;00571270&quot;/&gt;&lt;wsp:rsid wsp:val=&quot;005713CC&quot;/&gt;&lt;wsp:rsid wsp:val=&quot;00571754&quot;/&gt;&lt;wsp:rsid wsp:val=&quot;0057188B&quot;/&gt;&lt;wsp:rsid wsp:val=&quot;00571BC6&quot;/&gt;&lt;wsp:rsid wsp:val=&quot;00571D1F&quot;/&gt;&lt;wsp:rsid wsp:val=&quot;00571D7A&quot;/&gt;&lt;wsp:rsid wsp:val=&quot;00571E3F&quot;/&gt;&lt;wsp:rsid wsp:val=&quot;00571E5F&quot;/&gt;&lt;wsp:rsid wsp:val=&quot;00571F49&quot;/&gt;&lt;wsp:rsid wsp:val=&quot;00572056&quot;/&gt;&lt;wsp:rsid wsp:val=&quot;005723B6&quot;/&gt;&lt;wsp:rsid wsp:val=&quot;00572832&quot;/&gt;&lt;wsp:rsid wsp:val=&quot;00572B81&quot;/&gt;&lt;wsp:rsid wsp:val=&quot;00572F15&quot;/&gt;&lt;wsp:rsid wsp:val=&quot;00573188&quot;/&gt;&lt;wsp:rsid wsp:val=&quot;005732BD&quot;/&gt;&lt;wsp:rsid wsp:val=&quot;005732EA&quot;/&gt;&lt;wsp:rsid wsp:val=&quot;00573331&quot;/&gt;&lt;wsp:rsid wsp:val=&quot;005739FB&quot;/&gt;&lt;wsp:rsid wsp:val=&quot;00573B41&quot;/&gt;&lt;wsp:rsid wsp:val=&quot;00573F1A&quot;/&gt;&lt;wsp:rsid wsp:val=&quot;005745F8&quot;/&gt;&lt;wsp:rsid wsp:val=&quot;0057470C&quot;/&gt;&lt;wsp:rsid wsp:val=&quot;00574866&quot;/&gt;&lt;wsp:rsid wsp:val=&quot;00574B0F&quot;/&gt;&lt;wsp:rsid wsp:val=&quot;00574EE5&quot;/&gt;&lt;wsp:rsid wsp:val=&quot;0057658C&quot;/&gt;&lt;wsp:rsid wsp:val=&quot;00576ACB&quot;/&gt;&lt;wsp:rsid wsp:val=&quot;00576BF4&quot;/&gt;&lt;wsp:rsid wsp:val=&quot;00576E03&quot;/&gt;&lt;wsp:rsid wsp:val=&quot;005770F1&quot;/&gt;&lt;wsp:rsid wsp:val=&quot;0057714E&quot;/&gt;&lt;wsp:rsid wsp:val=&quot;00577559&quot;/&gt;&lt;wsp:rsid wsp:val=&quot;00577699&quot;/&gt;&lt;wsp:rsid wsp:val=&quot;00577EBD&quot;/&gt;&lt;wsp:rsid wsp:val=&quot;00577F10&quot;/&gt;&lt;wsp:rsid wsp:val=&quot;00580790&quot;/&gt;&lt;wsp:rsid wsp:val=&quot;00581446&quot;/&gt;&lt;wsp:rsid wsp:val=&quot;00581A52&quot;/&gt;&lt;wsp:rsid wsp:val=&quot;00581B3D&quot;/&gt;&lt;wsp:rsid wsp:val=&quot;00581EC4&quot;/&gt;&lt;wsp:rsid wsp:val=&quot;00582109&quot;/&gt;&lt;wsp:rsid wsp:val=&quot;00582153&quot;/&gt;&lt;wsp:rsid wsp:val=&quot;005824B7&quot;/&gt;&lt;wsp:rsid wsp:val=&quot;00582F4D&quot;/&gt;&lt;wsp:rsid wsp:val=&quot;00582FF3&quot;/&gt;&lt;wsp:rsid wsp:val=&quot;00583296&quot;/&gt;&lt;wsp:rsid wsp:val=&quot;0058336C&quot;/&gt;&lt;wsp:rsid wsp:val=&quot;005839B5&quot;/&gt;&lt;wsp:rsid wsp:val=&quot;005839C0&quot;/&gt;&lt;wsp:rsid wsp:val=&quot;00583C7E&quot;/&gt;&lt;wsp:rsid wsp:val=&quot;005842BF&quot;/&gt;&lt;wsp:rsid wsp:val=&quot;005845BE&quot;/&gt;&lt;wsp:rsid wsp:val=&quot;005847DF&quot;/&gt;&lt;wsp:rsid wsp:val=&quot;00584A10&quot;/&gt;&lt;wsp:rsid wsp:val=&quot;00584EB7&quot;/&gt;&lt;wsp:rsid wsp:val=&quot;0058558C&quot;/&gt;&lt;wsp:rsid wsp:val=&quot;00585592&quot;/&gt;&lt;wsp:rsid wsp:val=&quot;005868A0&quot;/&gt;&lt;wsp:rsid wsp:val=&quot;00586A23&quot;/&gt;&lt;wsp:rsid wsp:val=&quot;0058793B&quot;/&gt;&lt;wsp:rsid wsp:val=&quot;0059029B&quot;/&gt;&lt;wsp:rsid wsp:val=&quot;005902CD&quot;/&gt;&lt;wsp:rsid wsp:val=&quot;00590911&quot;/&gt;&lt;wsp:rsid wsp:val=&quot;00590AE1&quot;/&gt;&lt;wsp:rsid wsp:val=&quot;00590BAF&quot;/&gt;&lt;wsp:rsid wsp:val=&quot;00590BB7&quot;/&gt;&lt;wsp:rsid wsp:val=&quot;00590E01&quot;/&gt;&lt;wsp:rsid wsp:val=&quot;00591205&quot;/&gt;&lt;wsp:rsid wsp:val=&quot;005912F3&quot;/&gt;&lt;wsp:rsid wsp:val=&quot;005916F8&quot;/&gt;&lt;wsp:rsid wsp:val=&quot;005919FD&quot;/&gt;&lt;wsp:rsid wsp:val=&quot;00591DF6&quot;/&gt;&lt;wsp:rsid wsp:val=&quot;00591DFA&quot;/&gt;&lt;wsp:rsid wsp:val=&quot;00591F1A&quot;/&gt;&lt;wsp:rsid wsp:val=&quot;00591F7F&quot;/&gt;&lt;wsp:rsid wsp:val=&quot;00592164&quot;/&gt;&lt;wsp:rsid wsp:val=&quot;00592648&quot;/&gt;&lt;wsp:rsid wsp:val=&quot;005926E1&quot;/&gt;&lt;wsp:rsid wsp:val=&quot;005928D4&quot;/&gt;&lt;wsp:rsid wsp:val=&quot;00592A64&quot;/&gt;&lt;wsp:rsid wsp:val=&quot;00592AF3&quot;/&gt;&lt;wsp:rsid wsp:val=&quot;00592C7B&quot;/&gt;&lt;wsp:rsid wsp:val=&quot;00592DD6&quot;/&gt;&lt;wsp:rsid wsp:val=&quot;00592E26&quot;/&gt;&lt;wsp:rsid wsp:val=&quot;00593031&quot;/&gt;&lt;wsp:rsid wsp:val=&quot;005931B9&quot;/&gt;&lt;wsp:rsid wsp:val=&quot;00593609&quot;/&gt;&lt;wsp:rsid wsp:val=&quot;00593CE8&quot;/&gt;&lt;wsp:rsid wsp:val=&quot;00593CE9&quot;/&gt;&lt;wsp:rsid wsp:val=&quot;00593F69&quot;/&gt;&lt;wsp:rsid wsp:val=&quot;00594110&quot;/&gt;&lt;wsp:rsid wsp:val=&quot;00594273&quot;/&gt;&lt;wsp:rsid wsp:val=&quot;00594372&quot;/&gt;&lt;wsp:rsid wsp:val=&quot;00594667&quot;/&gt;&lt;wsp:rsid wsp:val=&quot;00594EBD&quot;/&gt;&lt;wsp:rsid wsp:val=&quot;00595156&quot;/&gt;&lt;wsp:rsid wsp:val=&quot;00595C16&quot;/&gt;&lt;wsp:rsid wsp:val=&quot;00595D5A&quot;/&gt;&lt;wsp:rsid wsp:val=&quot;005963B3&quot;/&gt;&lt;wsp:rsid wsp:val=&quot;0059688E&quot;/&gt;&lt;wsp:rsid wsp:val=&quot;005969ED&quot;/&gt;&lt;wsp:rsid wsp:val=&quot;00596DF9&quot;/&gt;&lt;wsp:rsid wsp:val=&quot;00596E70&quot;/&gt;&lt;wsp:rsid wsp:val=&quot;00597124&quot;/&gt;&lt;wsp:rsid wsp:val=&quot;0059756C&quot;/&gt;&lt;wsp:rsid wsp:val=&quot;00597690&quot;/&gt;&lt;wsp:rsid wsp:val=&quot;005A0231&quot;/&gt;&lt;wsp:rsid wsp:val=&quot;005A0669&quot;/&gt;&lt;wsp:rsid wsp:val=&quot;005A0966&quot;/&gt;&lt;wsp:rsid wsp:val=&quot;005A0A0D&quot;/&gt;&lt;wsp:rsid wsp:val=&quot;005A14E9&quot;/&gt;&lt;wsp:rsid wsp:val=&quot;005A1829&quot;/&gt;&lt;wsp:rsid wsp:val=&quot;005A18BC&quot;/&gt;&lt;wsp:rsid wsp:val=&quot;005A2506&quot;/&gt;&lt;wsp:rsid wsp:val=&quot;005A2BCA&quot;/&gt;&lt;wsp:rsid wsp:val=&quot;005A2CAD&quot;/&gt;&lt;wsp:rsid wsp:val=&quot;005A3105&quot;/&gt;&lt;wsp:rsid wsp:val=&quot;005A33B6&quot;/&gt;&lt;wsp:rsid wsp:val=&quot;005A3C70&quot;/&gt;&lt;wsp:rsid wsp:val=&quot;005A3F1B&quot;/&gt;&lt;wsp:rsid wsp:val=&quot;005A45C2&quot;/&gt;&lt;wsp:rsid wsp:val=&quot;005A47A2&quot;/&gt;&lt;wsp:rsid wsp:val=&quot;005A52A5&quot;/&gt;&lt;wsp:rsid wsp:val=&quot;005A5316&quot;/&gt;&lt;wsp:rsid wsp:val=&quot;005A5863&quot;/&gt;&lt;wsp:rsid wsp:val=&quot;005A5C8A&quot;/&gt;&lt;wsp:rsid wsp:val=&quot;005A5FB0&quot;/&gt;&lt;wsp:rsid wsp:val=&quot;005A620B&quot;/&gt;&lt;wsp:rsid wsp:val=&quot;005A6239&quot;/&gt;&lt;wsp:rsid wsp:val=&quot;005A6529&quot;/&gt;&lt;wsp:rsid wsp:val=&quot;005A6600&quot;/&gt;&lt;wsp:rsid wsp:val=&quot;005A6A04&quot;/&gt;&lt;wsp:rsid wsp:val=&quot;005A6CA1&quot;/&gt;&lt;wsp:rsid wsp:val=&quot;005A72AC&quot;/&gt;&lt;wsp:rsid wsp:val=&quot;005A750D&quot;/&gt;&lt;wsp:rsid wsp:val=&quot;005A75BA&quot;/&gt;&lt;wsp:rsid wsp:val=&quot;005A7D99&quot;/&gt;&lt;wsp:rsid wsp:val=&quot;005B013C&quot;/&gt;&lt;wsp:rsid wsp:val=&quot;005B04AD&quot;/&gt;&lt;wsp:rsid wsp:val=&quot;005B081D&quot;/&gt;&lt;wsp:rsid wsp:val=&quot;005B0EBE&quot;/&gt;&lt;wsp:rsid wsp:val=&quot;005B1086&quot;/&gt;&lt;wsp:rsid wsp:val=&quot;005B11F7&quot;/&gt;&lt;wsp:rsid wsp:val=&quot;005B131E&quot;/&gt;&lt;wsp:rsid wsp:val=&quot;005B183A&quot;/&gt;&lt;wsp:rsid wsp:val=&quot;005B185B&quot;/&gt;&lt;wsp:rsid wsp:val=&quot;005B1D53&quot;/&gt;&lt;wsp:rsid wsp:val=&quot;005B1F1D&quot;/&gt;&lt;wsp:rsid wsp:val=&quot;005B1FA9&quot;/&gt;&lt;wsp:rsid wsp:val=&quot;005B2143&quot;/&gt;&lt;wsp:rsid wsp:val=&quot;005B2191&quot;/&gt;&lt;wsp:rsid wsp:val=&quot;005B244A&quot;/&gt;&lt;wsp:rsid wsp:val=&quot;005B25ED&quot;/&gt;&lt;wsp:rsid wsp:val=&quot;005B320A&quot;/&gt;&lt;wsp:rsid wsp:val=&quot;005B3214&quot;/&gt;&lt;wsp:rsid wsp:val=&quot;005B3327&quot;/&gt;&lt;wsp:rsid wsp:val=&quot;005B397B&quot;/&gt;&lt;wsp:rsid wsp:val=&quot;005B3BE3&quot;/&gt;&lt;wsp:rsid wsp:val=&quot;005B4122&quot;/&gt;&lt;wsp:rsid wsp:val=&quot;005B413F&quot;/&gt;&lt;wsp:rsid wsp:val=&quot;005B42EB&quot;/&gt;&lt;wsp:rsid wsp:val=&quot;005B44E7&quot;/&gt;&lt;wsp:rsid wsp:val=&quot;005B45F3&quot;/&gt;&lt;wsp:rsid wsp:val=&quot;005B481E&quot;/&gt;&lt;wsp:rsid wsp:val=&quot;005B485C&quot;/&gt;&lt;wsp:rsid wsp:val=&quot;005B4892&quot;/&gt;&lt;wsp:rsid wsp:val=&quot;005B48F6&quot;/&gt;&lt;wsp:rsid wsp:val=&quot;005B4F08&quot;/&gt;&lt;wsp:rsid wsp:val=&quot;005B522C&quot;/&gt;&lt;wsp:rsid wsp:val=&quot;005B5589&quot;/&gt;&lt;wsp:rsid wsp:val=&quot;005B57A2&quot;/&gt;&lt;wsp:rsid wsp:val=&quot;005B5822&quot;/&gt;&lt;wsp:rsid wsp:val=&quot;005B5B8F&quot;/&gt;&lt;wsp:rsid wsp:val=&quot;005B5F9D&quot;/&gt;&lt;wsp:rsid wsp:val=&quot;005B673C&quot;/&gt;&lt;wsp:rsid wsp:val=&quot;005B6A0A&quot;/&gt;&lt;wsp:rsid wsp:val=&quot;005B74C4&quot;/&gt;&lt;wsp:rsid wsp:val=&quot;005B7A4F&quot;/&gt;&lt;wsp:rsid wsp:val=&quot;005B7C91&quot;/&gt;&lt;wsp:rsid wsp:val=&quot;005C02CF&quot;/&gt;&lt;wsp:rsid wsp:val=&quot;005C02DF&quot;/&gt;&lt;wsp:rsid wsp:val=&quot;005C03F6&quot;/&gt;&lt;wsp:rsid wsp:val=&quot;005C06D2&quot;/&gt;&lt;wsp:rsid wsp:val=&quot;005C08AC&quot;/&gt;&lt;wsp:rsid wsp:val=&quot;005C12D7&quot;/&gt;&lt;wsp:rsid wsp:val=&quot;005C19D6&quot;/&gt;&lt;wsp:rsid wsp:val=&quot;005C1C02&quot;/&gt;&lt;wsp:rsid wsp:val=&quot;005C1C1E&quot;/&gt;&lt;wsp:rsid wsp:val=&quot;005C2151&quot;/&gt;&lt;wsp:rsid wsp:val=&quot;005C21EE&quot;/&gt;&lt;wsp:rsid wsp:val=&quot;005C272C&quot;/&gt;&lt;wsp:rsid wsp:val=&quot;005C2C42&quot;/&gt;&lt;wsp:rsid wsp:val=&quot;005C2C5C&quot;/&gt;&lt;wsp:rsid wsp:val=&quot;005C2EEA&quot;/&gt;&lt;wsp:rsid wsp:val=&quot;005C34B1&quot;/&gt;&lt;wsp:rsid wsp:val=&quot;005C395F&quot;/&gt;&lt;wsp:rsid wsp:val=&quot;005C3978&quot;/&gt;&lt;wsp:rsid wsp:val=&quot;005C3E21&quot;/&gt;&lt;wsp:rsid wsp:val=&quot;005C4186&quot;/&gt;&lt;wsp:rsid wsp:val=&quot;005C435E&quot;/&gt;&lt;wsp:rsid wsp:val=&quot;005C44AC&quot;/&gt;&lt;wsp:rsid wsp:val=&quot;005C45C1&quot;/&gt;&lt;wsp:rsid wsp:val=&quot;005C45D9&quot;/&gt;&lt;wsp:rsid wsp:val=&quot;005C4930&quot;/&gt;&lt;wsp:rsid wsp:val=&quot;005C4978&quot;/&gt;&lt;wsp:rsid wsp:val=&quot;005C4A43&quot;/&gt;&lt;wsp:rsid wsp:val=&quot;005C4D7A&quot;/&gt;&lt;wsp:rsid wsp:val=&quot;005C50FB&quot;/&gt;&lt;wsp:rsid wsp:val=&quot;005C5659&quot;/&gt;&lt;wsp:rsid wsp:val=&quot;005C570F&quot;/&gt;&lt;wsp:rsid wsp:val=&quot;005C5BA8&quot;/&gt;&lt;wsp:rsid wsp:val=&quot;005C600D&quot;/&gt;&lt;wsp:rsid wsp:val=&quot;005C668A&quot;/&gt;&lt;wsp:rsid wsp:val=&quot;005C67B2&quot;/&gt;&lt;wsp:rsid wsp:val=&quot;005C6AB3&quot;/&gt;&lt;wsp:rsid wsp:val=&quot;005C6C39&quot;/&gt;&lt;wsp:rsid wsp:val=&quot;005C6D1C&quot;/&gt;&lt;wsp:rsid wsp:val=&quot;005C6F75&quot;/&gt;&lt;wsp:rsid wsp:val=&quot;005C7013&quot;/&gt;&lt;wsp:rsid wsp:val=&quot;005C712C&quot;/&gt;&lt;wsp:rsid wsp:val=&quot;005C773C&quot;/&gt;&lt;wsp:rsid wsp:val=&quot;005C789A&quot;/&gt;&lt;wsp:rsid wsp:val=&quot;005C7F12&quot;/&gt;&lt;wsp:rsid wsp:val=&quot;005C7F96&quot;/&gt;&lt;wsp:rsid wsp:val=&quot;005D00AC&quot;/&gt;&lt;wsp:rsid wsp:val=&quot;005D021A&quot;/&gt;&lt;wsp:rsid wsp:val=&quot;005D0682&quot;/&gt;&lt;wsp:rsid wsp:val=&quot;005D0A5B&quot;/&gt;&lt;wsp:rsid wsp:val=&quot;005D0AC2&quot;/&gt;&lt;wsp:rsid wsp:val=&quot;005D10A8&quot;/&gt;&lt;wsp:rsid wsp:val=&quot;005D11F2&quot;/&gt;&lt;wsp:rsid wsp:val=&quot;005D1643&quot;/&gt;&lt;wsp:rsid wsp:val=&quot;005D188E&quot;/&gt;&lt;wsp:rsid wsp:val=&quot;005D18E3&quot;/&gt;&lt;wsp:rsid wsp:val=&quot;005D1CB5&quot;/&gt;&lt;wsp:rsid wsp:val=&quot;005D22D8&quot;/&gt;&lt;wsp:rsid wsp:val=&quot;005D2741&quot;/&gt;&lt;wsp:rsid wsp:val=&quot;005D288B&quot;/&gt;&lt;wsp:rsid wsp:val=&quot;005D28B1&quot;/&gt;&lt;wsp:rsid wsp:val=&quot;005D291C&quot;/&gt;&lt;wsp:rsid wsp:val=&quot;005D2A30&quot;/&gt;&lt;wsp:rsid wsp:val=&quot;005D2B9F&quot;/&gt;&lt;wsp:rsid wsp:val=&quot;005D2F6C&quot;/&gt;&lt;wsp:rsid wsp:val=&quot;005D3491&quot;/&gt;&lt;wsp:rsid wsp:val=&quot;005D3C06&quot;/&gt;&lt;wsp:rsid wsp:val=&quot;005D3F4B&quot;/&gt;&lt;wsp:rsid wsp:val=&quot;005D41A4&quot;/&gt;&lt;wsp:rsid wsp:val=&quot;005D4AF4&quot;/&gt;&lt;wsp:rsid wsp:val=&quot;005D4B83&quot;/&gt;&lt;wsp:rsid wsp:val=&quot;005D4BAC&quot;/&gt;&lt;wsp:rsid wsp:val=&quot;005D4CCB&quot;/&gt;&lt;wsp:rsid wsp:val=&quot;005D51AD&quot;/&gt;&lt;wsp:rsid wsp:val=&quot;005D5ADC&quot;/&gt;&lt;wsp:rsid wsp:val=&quot;005D5B11&quot;/&gt;&lt;wsp:rsid wsp:val=&quot;005D5E04&quot;/&gt;&lt;wsp:rsid wsp:val=&quot;005D6865&quot;/&gt;&lt;wsp:rsid wsp:val=&quot;005D68DC&quot;/&gt;&lt;wsp:rsid wsp:val=&quot;005D69CD&quot;/&gt;&lt;wsp:rsid wsp:val=&quot;005D6BF7&quot;/&gt;&lt;wsp:rsid wsp:val=&quot;005D6D08&quot;/&gt;&lt;wsp:rsid wsp:val=&quot;005D6F58&quot;/&gt;&lt;wsp:rsid wsp:val=&quot;005D72C6&quot;/&gt;&lt;wsp:rsid wsp:val=&quot;005D7728&quot;/&gt;&lt;wsp:rsid wsp:val=&quot;005D7B70&quot;/&gt;&lt;wsp:rsid wsp:val=&quot;005D7CF2&quot;/&gt;&lt;wsp:rsid wsp:val=&quot;005E02A5&quot;/&gt;&lt;wsp:rsid wsp:val=&quot;005E066D&quot;/&gt;&lt;wsp:rsid wsp:val=&quot;005E07B0&quot;/&gt;&lt;wsp:rsid wsp:val=&quot;005E08D6&quot;/&gt;&lt;wsp:rsid wsp:val=&quot;005E0C87&quot;/&gt;&lt;wsp:rsid wsp:val=&quot;005E0CB6&quot;/&gt;&lt;wsp:rsid wsp:val=&quot;005E0FB5&quot;/&gt;&lt;wsp:rsid wsp:val=&quot;005E11CF&quot;/&gt;&lt;wsp:rsid wsp:val=&quot;005E12AB&quot;/&gt;&lt;wsp:rsid wsp:val=&quot;005E12B1&quot;/&gt;&lt;wsp:rsid wsp:val=&quot;005E1470&quot;/&gt;&lt;wsp:rsid wsp:val=&quot;005E149E&quot;/&gt;&lt;wsp:rsid wsp:val=&quot;005E1ECD&quot;/&gt;&lt;wsp:rsid wsp:val=&quot;005E20B7&quot;/&gt;&lt;wsp:rsid wsp:val=&quot;005E21CD&quot;/&gt;&lt;wsp:rsid wsp:val=&quot;005E29AA&quot;/&gt;&lt;wsp:rsid wsp:val=&quot;005E2A00&quot;/&gt;&lt;wsp:rsid wsp:val=&quot;005E39B2&quot;/&gt;&lt;wsp:rsid wsp:val=&quot;005E3CC1&quot;/&gt;&lt;wsp:rsid wsp:val=&quot;005E3F77&quot;/&gt;&lt;wsp:rsid wsp:val=&quot;005E44FA&quot;/&gt;&lt;wsp:rsid wsp:val=&quot;005E4AD3&quot;/&gt;&lt;wsp:rsid wsp:val=&quot;005E4FC9&quot;/&gt;&lt;wsp:rsid wsp:val=&quot;005E518D&quot;/&gt;&lt;wsp:rsid wsp:val=&quot;005E51FE&quot;/&gt;&lt;wsp:rsid wsp:val=&quot;005E541D&quot;/&gt;&lt;wsp:rsid wsp:val=&quot;005E6026&quot;/&gt;&lt;wsp:rsid wsp:val=&quot;005E6678&quot;/&gt;&lt;wsp:rsid wsp:val=&quot;005E6805&quot;/&gt;&lt;wsp:rsid wsp:val=&quot;005E6B35&quot;/&gt;&lt;wsp:rsid wsp:val=&quot;005E6D87&quot;/&gt;&lt;wsp:rsid wsp:val=&quot;005E718A&quot;/&gt;&lt;wsp:rsid wsp:val=&quot;005E7278&quot;/&gt;&lt;wsp:rsid wsp:val=&quot;005E73B5&quot;/&gt;&lt;wsp:rsid wsp:val=&quot;005E7724&quot;/&gt;&lt;wsp:rsid wsp:val=&quot;005E7753&quot;/&gt;&lt;wsp:rsid wsp:val=&quot;005E780A&quot;/&gt;&lt;wsp:rsid wsp:val=&quot;005E7D5E&quot;/&gt;&lt;wsp:rsid wsp:val=&quot;005E7F26&quot;/&gt;&lt;wsp:rsid wsp:val=&quot;005E7F7D&quot;/&gt;&lt;wsp:rsid wsp:val=&quot;005E7FCC&quot;/&gt;&lt;wsp:rsid wsp:val=&quot;005F0579&quot;/&gt;&lt;wsp:rsid wsp:val=&quot;005F0589&quot;/&gt;&lt;wsp:rsid wsp:val=&quot;005F092D&quot;/&gt;&lt;wsp:rsid wsp:val=&quot;005F09C4&quot;/&gt;&lt;wsp:rsid wsp:val=&quot;005F0A2B&quot;/&gt;&lt;wsp:rsid wsp:val=&quot;005F1406&quot;/&gt;&lt;wsp:rsid wsp:val=&quot;005F1444&quot;/&gt;&lt;wsp:rsid wsp:val=&quot;005F19EB&quot;/&gt;&lt;wsp:rsid wsp:val=&quot;005F1DBA&quot;/&gt;&lt;wsp:rsid wsp:val=&quot;005F21C6&quot;/&gt;&lt;wsp:rsid wsp:val=&quot;005F2240&quot;/&gt;&lt;wsp:rsid wsp:val=&quot;005F2482&quot;/&gt;&lt;wsp:rsid wsp:val=&quot;005F2843&quot;/&gt;&lt;wsp:rsid wsp:val=&quot;005F3A48&quot;/&gt;&lt;wsp:rsid wsp:val=&quot;005F3B32&quot;/&gt;&lt;wsp:rsid wsp:val=&quot;005F3CE2&quot;/&gt;&lt;wsp:rsid wsp:val=&quot;005F4064&quot;/&gt;&lt;wsp:rsid wsp:val=&quot;005F4875&quot;/&gt;&lt;wsp:rsid wsp:val=&quot;005F531B&quot;/&gt;&lt;wsp:rsid wsp:val=&quot;005F5794&quot;/&gt;&lt;wsp:rsid wsp:val=&quot;005F5E3B&quot;/&gt;&lt;wsp:rsid wsp:val=&quot;005F66D2&quot;/&gt;&lt;wsp:rsid wsp:val=&quot;005F6859&quot;/&gt;&lt;wsp:rsid wsp:val=&quot;005F6AC9&quot;/&gt;&lt;wsp:rsid wsp:val=&quot;005F6B62&quot;/&gt;&lt;wsp:rsid wsp:val=&quot;005F714D&quot;/&gt;&lt;wsp:rsid wsp:val=&quot;005F7208&quot;/&gt;&lt;wsp:rsid wsp:val=&quot;005F7655&quot;/&gt;&lt;wsp:rsid wsp:val=&quot;005F78C9&quot;/&gt;&lt;wsp:rsid wsp:val=&quot;005F78DB&quot;/&gt;&lt;wsp:rsid wsp:val=&quot;005F79CA&quot;/&gt;&lt;wsp:rsid wsp:val=&quot;005F7A86&quot;/&gt;&lt;wsp:rsid wsp:val=&quot;005F7CC1&quot;/&gt;&lt;wsp:rsid wsp:val=&quot;00600930&quot;/&gt;&lt;wsp:rsid wsp:val=&quot;00600950&quot;/&gt;&lt;wsp:rsid wsp:val=&quot;00600BCC&quot;/&gt;&lt;wsp:rsid wsp:val=&quot;006013E0&quot;/&gt;&lt;wsp:rsid wsp:val=&quot;006016CC&quot;/&gt;&lt;wsp:rsid wsp:val=&quot;006017A0&quot;/&gt;&lt;wsp:rsid wsp:val=&quot;00601803&quot;/&gt;&lt;wsp:rsid wsp:val=&quot;00601E47&quot;/&gt;&lt;wsp:rsid wsp:val=&quot;0060215F&quot;/&gt;&lt;wsp:rsid wsp:val=&quot;00602662&quot;/&gt;&lt;wsp:rsid wsp:val=&quot;00602692&quot;/&gt;&lt;wsp:rsid wsp:val=&quot;00602DBF&quot;/&gt;&lt;wsp:rsid wsp:val=&quot;0060343D&quot;/&gt;&lt;wsp:rsid wsp:val=&quot;00603443&quot;/&gt;&lt;wsp:rsid wsp:val=&quot;0060380F&quot;/&gt;&lt;wsp:rsid wsp:val=&quot;00603D72&quot;/&gt;&lt;wsp:rsid wsp:val=&quot;006041F4&quot;/&gt;&lt;wsp:rsid wsp:val=&quot;00604A70&quot;/&gt;&lt;wsp:rsid wsp:val=&quot;00604F77&quot;/&gt;&lt;wsp:rsid wsp:val=&quot;00605312&quot;/&gt;&lt;wsp:rsid wsp:val=&quot;006053FA&quot;/&gt;&lt;wsp:rsid wsp:val=&quot;00605497&quot;/&gt;&lt;wsp:rsid wsp:val=&quot;0060579C&quot;/&gt;&lt;wsp:rsid wsp:val=&quot;0060599D&quot;/&gt;&lt;wsp:rsid wsp:val=&quot;00605AC6&quot;/&gt;&lt;wsp:rsid wsp:val=&quot;00605F21&quot;/&gt;&lt;wsp:rsid wsp:val=&quot;00605FD5&quot;/&gt;&lt;wsp:rsid wsp:val=&quot;00606495&quot;/&gt;&lt;wsp:rsid wsp:val=&quot;0060692A&quot;/&gt;&lt;wsp:rsid wsp:val=&quot;00606C67&quot;/&gt;&lt;wsp:rsid wsp:val=&quot;00606D91&quot;/&gt;&lt;wsp:rsid wsp:val=&quot;00606EE9&quot;/&gt;&lt;wsp:rsid wsp:val=&quot;006071F8&quot;/&gt;&lt;wsp:rsid wsp:val=&quot;0060750E&quot;/&gt;&lt;wsp:rsid wsp:val=&quot;0060760E&quot;/&gt;&lt;wsp:rsid wsp:val=&quot;00607D2A&quot;/&gt;&lt;wsp:rsid wsp:val=&quot;006104A0&quot;/&gt;&lt;wsp:rsid wsp:val=&quot;006104C4&quot;/&gt;&lt;wsp:rsid wsp:val=&quot;00610B4F&quot;/&gt;&lt;wsp:rsid wsp:val=&quot;00610B60&quot;/&gt;&lt;wsp:rsid wsp:val=&quot;00610DED&quot;/&gt;&lt;wsp:rsid wsp:val=&quot;006110B1&quot;/&gt;&lt;wsp:rsid wsp:val=&quot;006117EC&quot;/&gt;&lt;wsp:rsid wsp:val=&quot;006119F6&quot;/&gt;&lt;wsp:rsid wsp:val=&quot;00611AD8&quot;/&gt;&lt;wsp:rsid wsp:val=&quot;00611BE2&quot;/&gt;&lt;wsp:rsid wsp:val=&quot;00611D1C&quot;/&gt;&lt;wsp:rsid wsp:val=&quot;00611FBB&quot;/&gt;&lt;wsp:rsid wsp:val=&quot;0061247F&quot;/&gt;&lt;wsp:rsid wsp:val=&quot;00612698&quot;/&gt;&lt;wsp:rsid wsp:val=&quot;00612D04&quot;/&gt;&lt;wsp:rsid wsp:val=&quot;00612D9D&quot;/&gt;&lt;wsp:rsid wsp:val=&quot;00612F3C&quot;/&gt;&lt;wsp:rsid wsp:val=&quot;00613568&quot;/&gt;&lt;wsp:rsid wsp:val=&quot;00613A58&quot;/&gt;&lt;wsp:rsid wsp:val=&quot;00614164&quot;/&gt;&lt;wsp:rsid wsp:val=&quot;00614DB8&quot;/&gt;&lt;wsp:rsid wsp:val=&quot;0061523E&quot;/&gt;&lt;wsp:rsid wsp:val=&quot;006155C4&quot;/&gt;&lt;wsp:rsid wsp:val=&quot;006157DD&quot;/&gt;&lt;wsp:rsid wsp:val=&quot;00615934&quot;/&gt;&lt;wsp:rsid wsp:val=&quot;0061673B&quot;/&gt;&lt;wsp:rsid wsp:val=&quot;0061748C&quot;/&gt;&lt;wsp:rsid wsp:val=&quot;006175A1&quot;/&gt;&lt;wsp:rsid wsp:val=&quot;00617905&quot;/&gt;&lt;wsp:rsid wsp:val=&quot;0062018E&quot;/&gt;&lt;wsp:rsid wsp:val=&quot;0062025C&quot;/&gt;&lt;wsp:rsid wsp:val=&quot;0062098F&quot;/&gt;&lt;wsp:rsid wsp:val=&quot;006209F6&quot;/&gt;&lt;wsp:rsid wsp:val=&quot;00620B1B&quot;/&gt;&lt;wsp:rsid wsp:val=&quot;0062139E&quot;/&gt;&lt;wsp:rsid wsp:val=&quot;00621405&quot;/&gt;&lt;wsp:rsid wsp:val=&quot;00621469&quot;/&gt;&lt;wsp:rsid wsp:val=&quot;006217A3&quot;/&gt;&lt;wsp:rsid wsp:val=&quot;00621D04&quot;/&gt;&lt;wsp:rsid wsp:val=&quot;00621EF6&quot;/&gt;&lt;wsp:rsid wsp:val=&quot;0062218E&quot;/&gt;&lt;wsp:rsid wsp:val=&quot;006223C5&quot;/&gt;&lt;wsp:rsid wsp:val=&quot;006226D9&quot;/&gt;&lt;wsp:rsid wsp:val=&quot;006227A3&quot;/&gt;&lt;wsp:rsid wsp:val=&quot;00622857&quot;/&gt;&lt;wsp:rsid wsp:val=&quot;00622DDC&quot;/&gt;&lt;wsp:rsid wsp:val=&quot;00622F55&quot;/&gt;&lt;wsp:rsid wsp:val=&quot;0062392F&quot;/&gt;&lt;wsp:rsid wsp:val=&quot;00623AEA&quot;/&gt;&lt;wsp:rsid wsp:val=&quot;00623EF3&quot;/&gt;&lt;wsp:rsid wsp:val=&quot;0062407A&quot;/&gt;&lt;wsp:rsid wsp:val=&quot;006242F0&quot;/&gt;&lt;wsp:rsid wsp:val=&quot;006243EC&quot;/&gt;&lt;wsp:rsid wsp:val=&quot;006245DD&quot;/&gt;&lt;wsp:rsid wsp:val=&quot;00624D61&quot;/&gt;&lt;wsp:rsid wsp:val=&quot;00624FA7&quot;/&gt;&lt;wsp:rsid wsp:val=&quot;0062577F&quot;/&gt;&lt;wsp:rsid wsp:val=&quot;006259EC&quot;/&gt;&lt;wsp:rsid wsp:val=&quot;00625B1E&quot;/&gt;&lt;wsp:rsid wsp:val=&quot;00625CD1&quot;/&gt;&lt;wsp:rsid wsp:val=&quot;0062612E&quot;/&gt;&lt;wsp:rsid wsp:val=&quot;0062615D&quot;/&gt;&lt;wsp:rsid wsp:val=&quot;00626276&quot;/&gt;&lt;wsp:rsid wsp:val=&quot;006264D5&quot;/&gt;&lt;wsp:rsid wsp:val=&quot;0062667D&quot;/&gt;&lt;wsp:rsid wsp:val=&quot;006267E9&quot;/&gt;&lt;wsp:rsid wsp:val=&quot;00626876&quot;/&gt;&lt;wsp:rsid wsp:val=&quot;00626F72&quot;/&gt;&lt;wsp:rsid wsp:val=&quot;00626FE3&quot;/&gt;&lt;wsp:rsid wsp:val=&quot;006270E2&quot;/&gt;&lt;wsp:rsid wsp:val=&quot;0062713D&quot;/&gt;&lt;wsp:rsid wsp:val=&quot;00627332&quot;/&gt;&lt;wsp:rsid wsp:val=&quot;006278BC&quot;/&gt;&lt;wsp:rsid wsp:val=&quot;00627A09&quot;/&gt;&lt;wsp:rsid wsp:val=&quot;00627DE4&quot;/&gt;&lt;wsp:rsid wsp:val=&quot;006300A5&quot;/&gt;&lt;wsp:rsid wsp:val=&quot;0063069B&quot;/&gt;&lt;wsp:rsid wsp:val=&quot;00630CE0&quot;/&gt;&lt;wsp:rsid wsp:val=&quot;00631241&quot;/&gt;&lt;wsp:rsid wsp:val=&quot;00631489&quot;/&gt;&lt;wsp:rsid wsp:val=&quot;00631D68&quot;/&gt;&lt;wsp:rsid wsp:val=&quot;0063235E&quot;/&gt;&lt;wsp:rsid wsp:val=&quot;00632421&quot;/&gt;&lt;wsp:rsid wsp:val=&quot;00632AE3&quot;/&gt;&lt;wsp:rsid wsp:val=&quot;00632D4E&quot;/&gt;&lt;wsp:rsid wsp:val=&quot;0063345C&quot;/&gt;&lt;wsp:rsid wsp:val=&quot;00633EC5&quot;/&gt;&lt;wsp:rsid wsp:val=&quot;00634545&quot;/&gt;&lt;wsp:rsid wsp:val=&quot;00635069&quot;/&gt;&lt;wsp:rsid wsp:val=&quot;006350B5&quot;/&gt;&lt;wsp:rsid wsp:val=&quot;0063528A&quot;/&gt;&lt;wsp:rsid wsp:val=&quot;0063595F&quot;/&gt;&lt;wsp:rsid wsp:val=&quot;0063596B&quot;/&gt;&lt;wsp:rsid wsp:val=&quot;00635AB7&quot;/&gt;&lt;wsp:rsid wsp:val=&quot;00635EFC&quot;/&gt;&lt;wsp:rsid wsp:val=&quot;00635F4D&quot;/&gt;&lt;wsp:rsid wsp:val=&quot;006360FC&quot;/&gt;&lt;wsp:rsid wsp:val=&quot;006363B0&quot;/&gt;&lt;wsp:rsid wsp:val=&quot;0063654F&quot;/&gt;&lt;wsp:rsid wsp:val=&quot;006369F7&quot;/&gt;&lt;wsp:rsid wsp:val=&quot;00636BE0&quot;/&gt;&lt;wsp:rsid wsp:val=&quot;0063749D&quot;/&gt;&lt;wsp:rsid wsp:val=&quot;0063771D&quot;/&gt;&lt;wsp:rsid wsp:val=&quot;0063795F&quot;/&gt;&lt;wsp:rsid wsp:val=&quot;00637F48&quot;/&gt;&lt;wsp:rsid wsp:val=&quot;00640631&quot;/&gt;&lt;wsp:rsid wsp:val=&quot;00640A8C&quot;/&gt;&lt;wsp:rsid wsp:val=&quot;00640D8C&quot;/&gt;&lt;wsp:rsid wsp:val=&quot;00641490&quot;/&gt;&lt;wsp:rsid wsp:val=&quot;0064184F&quot;/&gt;&lt;wsp:rsid wsp:val=&quot;00641B62&quot;/&gt;&lt;wsp:rsid wsp:val=&quot;00641E49&quot;/&gt;&lt;wsp:rsid wsp:val=&quot;006420AF&quot;/&gt;&lt;wsp:rsid wsp:val=&quot;00642223&quot;/&gt;&lt;wsp:rsid wsp:val=&quot;0064262B&quot;/&gt;&lt;wsp:rsid wsp:val=&quot;00642A27&quot;/&gt;&lt;wsp:rsid wsp:val=&quot;00642B8A&quot;/&gt;&lt;wsp:rsid wsp:val=&quot;00642ECC&quot;/&gt;&lt;wsp:rsid wsp:val=&quot;006431C3&quot;/&gt;&lt;wsp:rsid wsp:val=&quot;006431DB&quot;/&gt;&lt;wsp:rsid wsp:val=&quot;00643392&quot;/&gt;&lt;wsp:rsid wsp:val=&quot;00643447&quot;/&gt;&lt;wsp:rsid wsp:val=&quot;00643462&quot;/&gt;&lt;wsp:rsid wsp:val=&quot;006437F1&quot;/&gt;&lt;wsp:rsid wsp:val=&quot;00643E5F&quot;/&gt;&lt;wsp:rsid wsp:val=&quot;00643F90&quot;/&gt;&lt;wsp:rsid wsp:val=&quot;0064437A&quot;/&gt;&lt;wsp:rsid wsp:val=&quot;00644513&quot;/&gt;&lt;wsp:rsid wsp:val=&quot;00644784&quot;/&gt;&lt;wsp:rsid wsp:val=&quot;00644BFD&quot;/&gt;&lt;wsp:rsid wsp:val=&quot;00645728&quot;/&gt;&lt;wsp:rsid wsp:val=&quot;00645C8E&quot;/&gt;&lt;wsp:rsid wsp:val=&quot;00645FC2&quot;/&gt;&lt;wsp:rsid wsp:val=&quot;00646136&quot;/&gt;&lt;wsp:rsid wsp:val=&quot;0064614D&quot;/&gt;&lt;wsp:rsid wsp:val=&quot;00646159&quot;/&gt;&lt;wsp:rsid wsp:val=&quot;00646ADF&quot;/&gt;&lt;wsp:rsid wsp:val=&quot;00646E98&quot;/&gt;&lt;wsp:rsid wsp:val=&quot;006470E8&quot;/&gt;&lt;wsp:rsid wsp:val=&quot;006471AA&quot;/&gt;&lt;wsp:rsid wsp:val=&quot;0064762B&quot;/&gt;&lt;wsp:rsid wsp:val=&quot;006479FB&quot;/&gt;&lt;wsp:rsid wsp:val=&quot;00647F4E&quot;/&gt;&lt;wsp:rsid wsp:val=&quot;00650673&quot;/&gt;&lt;wsp:rsid wsp:val=&quot;006507BF&quot;/&gt;&lt;wsp:rsid wsp:val=&quot;006509FC&quot;/&gt;&lt;wsp:rsid wsp:val=&quot;00650D4F&quot;/&gt;&lt;wsp:rsid wsp:val=&quot;00650E1F&quot;/&gt;&lt;wsp:rsid wsp:val=&quot;00650F51&quot;/&gt;&lt;wsp:rsid wsp:val=&quot;006510CD&quot;/&gt;&lt;wsp:rsid wsp:val=&quot;00651160&quot;/&gt;&lt;wsp:rsid wsp:val=&quot;0065129C&quot;/&gt;&lt;wsp:rsid wsp:val=&quot;0065174F&quot;/&gt;&lt;wsp:rsid wsp:val=&quot;00651803&quot;/&gt;&lt;wsp:rsid wsp:val=&quot;00651979&quot;/&gt;&lt;wsp:rsid wsp:val=&quot;00651A8A&quot;/&gt;&lt;wsp:rsid wsp:val=&quot;00652017&quot;/&gt;&lt;wsp:rsid wsp:val=&quot;0065251B&quot;/&gt;&lt;wsp:rsid wsp:val=&quot;00652ADE&quot;/&gt;&lt;wsp:rsid wsp:val=&quot;0065368B&quot;/&gt;&lt;wsp:rsid wsp:val=&quot;006537C8&quot;/&gt;&lt;wsp:rsid wsp:val=&quot;00653AEB&quot;/&gt;&lt;wsp:rsid wsp:val=&quot;00654161&quot;/&gt;&lt;wsp:rsid wsp:val=&quot;006543DB&quot;/&gt;&lt;wsp:rsid wsp:val=&quot;00654CE5&quot;/&gt;&lt;wsp:rsid wsp:val=&quot;00654D86&quot;/&gt;&lt;wsp:rsid wsp:val=&quot;006551F9&quot;/&gt;&lt;wsp:rsid wsp:val=&quot;0065540E&quot;/&gt;&lt;wsp:rsid wsp:val=&quot;006559B0&quot;/&gt;&lt;wsp:rsid wsp:val=&quot;006561C5&quot;/&gt;&lt;wsp:rsid wsp:val=&quot;0065623A&quot;/&gt;&lt;wsp:rsid wsp:val=&quot;00656A16&quot;/&gt;&lt;wsp:rsid wsp:val=&quot;00656C07&quot;/&gt;&lt;wsp:rsid wsp:val=&quot;00657224&quot;/&gt;&lt;wsp:rsid wsp:val=&quot;00657298&quot;/&gt;&lt;wsp:rsid wsp:val=&quot;00657E13&quot;/&gt;&lt;wsp:rsid wsp:val=&quot;00660129&quot;/&gt;&lt;wsp:rsid wsp:val=&quot;006602A5&quot;/&gt;&lt;wsp:rsid wsp:val=&quot;00660EA0&quot;/&gt;&lt;wsp:rsid wsp:val=&quot;00660EB5&quot;/&gt;&lt;wsp:rsid wsp:val=&quot;00660F1A&quot;/&gt;&lt;wsp:rsid wsp:val=&quot;00661281&quot;/&gt;&lt;wsp:rsid wsp:val=&quot;006614BB&quot;/&gt;&lt;wsp:rsid wsp:val=&quot;00661BAE&quot;/&gt;&lt;wsp:rsid wsp:val=&quot;00661D4C&quot;/&gt;&lt;wsp:rsid wsp:val=&quot;00661F6A&quot;/&gt;&lt;wsp:rsid wsp:val=&quot;00662647&quot;/&gt;&lt;wsp:rsid wsp:val=&quot;006627B8&quot;/&gt;&lt;wsp:rsid wsp:val=&quot;00662857&quot;/&gt;&lt;wsp:rsid wsp:val=&quot;00662971&quot;/&gt;&lt;wsp:rsid wsp:val=&quot;00662B06&quot;/&gt;&lt;wsp:rsid wsp:val=&quot;00662FAB&quot;/&gt;&lt;wsp:rsid wsp:val=&quot;006632F3&quot;/&gt;&lt;wsp:rsid wsp:val=&quot;006638BE&quot;/&gt;&lt;wsp:rsid wsp:val=&quot;00663B1D&quot;/&gt;&lt;wsp:rsid wsp:val=&quot;00663C31&quot;/&gt;&lt;wsp:rsid wsp:val=&quot;00663C78&quot;/&gt;&lt;wsp:rsid wsp:val=&quot;00663F87&quot;/&gt;&lt;wsp:rsid wsp:val=&quot;00663FF8&quot;/&gt;&lt;wsp:rsid wsp:val=&quot;00664239&quot;/&gt;&lt;wsp:rsid wsp:val=&quot;006642D3&quot;/&gt;&lt;wsp:rsid wsp:val=&quot;006648F8&quot;/&gt;&lt;wsp:rsid wsp:val=&quot;00664930&quot;/&gt;&lt;wsp:rsid wsp:val=&quot;00664A22&quot;/&gt;&lt;wsp:rsid wsp:val=&quot;00664AF8&quot;/&gt;&lt;wsp:rsid wsp:val=&quot;00665012&quot;/&gt;&lt;wsp:rsid wsp:val=&quot;006651FC&quot;/&gt;&lt;wsp:rsid wsp:val=&quot;00665343&quot;/&gt;&lt;wsp:rsid wsp:val=&quot;006655AD&quot;/&gt;&lt;wsp:rsid wsp:val=&quot;006659B7&quot;/&gt;&lt;wsp:rsid wsp:val=&quot;00665B99&quot;/&gt;&lt;wsp:rsid wsp:val=&quot;00666106&quot;/&gt;&lt;wsp:rsid wsp:val=&quot;006662AF&quot;/&gt;&lt;wsp:rsid wsp:val=&quot;0066679D&quot;/&gt;&lt;wsp:rsid wsp:val=&quot;00666B4F&quot;/&gt;&lt;wsp:rsid wsp:val=&quot;00666FA8&quot;/&gt;&lt;wsp:rsid wsp:val=&quot;00667403&quot;/&gt;&lt;wsp:rsid wsp:val=&quot;0066746B&quot;/&gt;&lt;wsp:rsid wsp:val=&quot;006676C5&quot;/&gt;&lt;wsp:rsid wsp:val=&quot;00667AA9&quot;/&gt;&lt;wsp:rsid wsp:val=&quot;00670520&quot;/&gt;&lt;wsp:rsid wsp:val=&quot;006706ED&quot;/&gt;&lt;wsp:rsid wsp:val=&quot;00670865&quot;/&gt;&lt;wsp:rsid wsp:val=&quot;006709EE&quot;/&gt;&lt;wsp:rsid wsp:val=&quot;00670FD3&quot;/&gt;&lt;wsp:rsid wsp:val=&quot;006711C3&quot;/&gt;&lt;wsp:rsid wsp:val=&quot;006714A8&quot;/&gt;&lt;wsp:rsid wsp:val=&quot;006715FA&quot;/&gt;&lt;wsp:rsid wsp:val=&quot;006717A7&quot;/&gt;&lt;wsp:rsid wsp:val=&quot;00671BEC&quot;/&gt;&lt;wsp:rsid wsp:val=&quot;00671C9B&quot;/&gt;&lt;wsp:rsid wsp:val=&quot;00671D4A&quot;/&gt;&lt;wsp:rsid wsp:val=&quot;00672310&quot;/&gt;&lt;wsp:rsid wsp:val=&quot;006723C1&quot;/&gt;&lt;wsp:rsid wsp:val=&quot;006726C5&quot;/&gt;&lt;wsp:rsid wsp:val=&quot;006728DA&quot;/&gt;&lt;wsp:rsid wsp:val=&quot;00672995&quot;/&gt;&lt;wsp:rsid wsp:val=&quot;00672ADD&quot;/&gt;&lt;wsp:rsid wsp:val=&quot;00672BA9&quot;/&gt;&lt;wsp:rsid wsp:val=&quot;00672CCB&quot;/&gt;&lt;wsp:rsid wsp:val=&quot;00672CF8&quot;/&gt;&lt;wsp:rsid wsp:val=&quot;00673040&quot;/&gt;&lt;wsp:rsid wsp:val=&quot;00673567&quot;/&gt;&lt;wsp:rsid wsp:val=&quot;00673DF6&quot;/&gt;&lt;wsp:rsid wsp:val=&quot;00673E3B&quot;/&gt;&lt;wsp:rsid wsp:val=&quot;00673EFD&quot;/&gt;&lt;wsp:rsid wsp:val=&quot;006741C6&quot;/&gt;&lt;wsp:rsid wsp:val=&quot;006742EE&quot;/&gt;&lt;wsp:rsid wsp:val=&quot;006746B9&quot;/&gt;&lt;wsp:rsid wsp:val=&quot;006746BC&quot;/&gt;&lt;wsp:rsid wsp:val=&quot;0067497C&quot;/&gt;&lt;wsp:rsid wsp:val=&quot;006749ED&quot;/&gt;&lt;wsp:rsid wsp:val=&quot;0067515D&quot;/&gt;&lt;wsp:rsid wsp:val=&quot;0067517C&quot;/&gt;&lt;wsp:rsid wsp:val=&quot;0067575D&quot;/&gt;&lt;wsp:rsid wsp:val=&quot;00675FE0&quot;/&gt;&lt;wsp:rsid wsp:val=&quot;00676050&quot;/&gt;&lt;wsp:rsid wsp:val=&quot;006763A3&quot;/&gt;&lt;wsp:rsid wsp:val=&quot;00676663&quot;/&gt;&lt;wsp:rsid wsp:val=&quot;006766B7&quot;/&gt;&lt;wsp:rsid wsp:val=&quot;006768A4&quot;/&gt;&lt;wsp:rsid wsp:val=&quot;00676C34&quot;/&gt;&lt;wsp:rsid wsp:val=&quot;00676E60&quot;/&gt;&lt;wsp:rsid wsp:val=&quot;00677122&quot;/&gt;&lt;wsp:rsid wsp:val=&quot;0067743C&quot;/&gt;&lt;wsp:rsid wsp:val=&quot;006779D8&quot;/&gt;&lt;wsp:rsid wsp:val=&quot;00677A34&quot;/&gt;&lt;wsp:rsid wsp:val=&quot;00677B37&quot;/&gt;&lt;wsp:rsid wsp:val=&quot;00677DEB&quot;/&gt;&lt;wsp:rsid wsp:val=&quot;00680488&quot;/&gt;&lt;wsp:rsid wsp:val=&quot;00680574&quot;/&gt;&lt;wsp:rsid wsp:val=&quot;006805C0&quot;/&gt;&lt;wsp:rsid wsp:val=&quot;00680663&quot;/&gt;&lt;wsp:rsid wsp:val=&quot;00680F3C&quot;/&gt;&lt;wsp:rsid wsp:val=&quot;0068127D&quot;/&gt;&lt;wsp:rsid wsp:val=&quot;00681DBF&quot;/&gt;&lt;wsp:rsid wsp:val=&quot;00682184&quot;/&gt;&lt;wsp:rsid wsp:val=&quot;006829F2&quot;/&gt;&lt;wsp:rsid wsp:val=&quot;0068310B&quot;/&gt;&lt;wsp:rsid wsp:val=&quot;00683281&quot;/&gt;&lt;wsp:rsid wsp:val=&quot;0068357D&quot;/&gt;&lt;wsp:rsid wsp:val=&quot;006835C7&quot;/&gt;&lt;wsp:rsid wsp:val=&quot;00683A27&quot;/&gt;&lt;wsp:rsid wsp:val=&quot;00683AB8&quot;/&gt;&lt;wsp:rsid wsp:val=&quot;00684040&quot;/&gt;&lt;wsp:rsid wsp:val=&quot;0068404B&quot;/&gt;&lt;wsp:rsid wsp:val=&quot;0068405C&quot;/&gt;&lt;wsp:rsid wsp:val=&quot;006841EF&quot;/&gt;&lt;wsp:rsid wsp:val=&quot;006843AB&quot;/&gt;&lt;wsp:rsid wsp:val=&quot;0068457A&quot;/&gt;&lt;wsp:rsid wsp:val=&quot;0068460D&quot;/&gt;&lt;wsp:rsid wsp:val=&quot;0068515F&quot;/&gt;&lt;wsp:rsid wsp:val=&quot;00685188&quot;/&gt;&lt;wsp:rsid wsp:val=&quot;006858CE&quot;/&gt;&lt;wsp:rsid wsp:val=&quot;006859F6&quot;/&gt;&lt;wsp:rsid wsp:val=&quot;00685E06&quot;/&gt;&lt;wsp:rsid wsp:val=&quot;00686281&quot;/&gt;&lt;wsp:rsid wsp:val=&quot;006862C0&quot;/&gt;&lt;wsp:rsid wsp:val=&quot;006862CD&quot;/&gt;&lt;wsp:rsid wsp:val=&quot;00686434&quot;/&gt;&lt;wsp:rsid wsp:val=&quot;00686967&quot;/&gt;&lt;wsp:rsid wsp:val=&quot;00686DF4&quot;/&gt;&lt;wsp:rsid wsp:val=&quot;00686EE2&quot;/&gt;&lt;wsp:rsid wsp:val=&quot;006872CF&quot;/&gt;&lt;wsp:rsid wsp:val=&quot;00687A8A&quot;/&gt;&lt;wsp:rsid wsp:val=&quot;00687BB3&quot;/&gt;&lt;wsp:rsid wsp:val=&quot;00687DDA&quot;/&gt;&lt;wsp:rsid wsp:val=&quot;00687F39&quot;/&gt;&lt;wsp:rsid wsp:val=&quot;006903A9&quot;/&gt;&lt;wsp:rsid wsp:val=&quot;00690466&quot;/&gt;&lt;wsp:rsid wsp:val=&quot;00690684&quot;/&gt;&lt;wsp:rsid wsp:val=&quot;00690D12&quot;/&gt;&lt;wsp:rsid wsp:val=&quot;00691069&quot;/&gt;&lt;wsp:rsid wsp:val=&quot;00691498&quot;/&gt;&lt;wsp:rsid wsp:val=&quot;0069193D&quot;/&gt;&lt;wsp:rsid wsp:val=&quot;00691A80&quot;/&gt;&lt;wsp:rsid wsp:val=&quot;00692016&quot;/&gt;&lt;wsp:rsid wsp:val=&quot;006922A3&quot;/&gt;&lt;wsp:rsid wsp:val=&quot;00692E59&quot;/&gt;&lt;wsp:rsid wsp:val=&quot;0069309E&quot;/&gt;&lt;wsp:rsid wsp:val=&quot;006930A2&quot;/&gt;&lt;wsp:rsid wsp:val=&quot;0069351F&quot;/&gt;&lt;wsp:rsid wsp:val=&quot;00693AD5&quot;/&gt;&lt;wsp:rsid wsp:val=&quot;00693C5D&quot;/&gt;&lt;wsp:rsid wsp:val=&quot;00694C29&quot;/&gt;&lt;wsp:rsid wsp:val=&quot;00695015&quot;/&gt;&lt;wsp:rsid wsp:val=&quot;00695334&quot;/&gt;&lt;wsp:rsid wsp:val=&quot;00695491&quot;/&gt;&lt;wsp:rsid wsp:val=&quot;006955E6&quot;/&gt;&lt;wsp:rsid wsp:val=&quot;00695B0C&quot;/&gt;&lt;wsp:rsid wsp:val=&quot;00695F3C&quot;/&gt;&lt;wsp:rsid wsp:val=&quot;0069625B&quot;/&gt;&lt;wsp:rsid wsp:val=&quot;00696525&quot;/&gt;&lt;wsp:rsid wsp:val=&quot;00696657&quot;/&gt;&lt;wsp:rsid wsp:val=&quot;006966BB&quot;/&gt;&lt;wsp:rsid wsp:val=&quot;00696F99&quot;/&gt;&lt;wsp:rsid wsp:val=&quot;00697280&quot;/&gt;&lt;wsp:rsid wsp:val=&quot;00697553&quot;/&gt;&lt;wsp:rsid wsp:val=&quot;00697731&quot;/&gt;&lt;wsp:rsid wsp:val=&quot;00697D69&quot;/&gt;&lt;wsp:rsid wsp:val=&quot;006A07B0&quot;/&gt;&lt;wsp:rsid wsp:val=&quot;006A0B33&quot;/&gt;&lt;wsp:rsid wsp:val=&quot;006A0D22&quot;/&gt;&lt;wsp:rsid wsp:val=&quot;006A0EE8&quot;/&gt;&lt;wsp:rsid wsp:val=&quot;006A10FD&quot;/&gt;&lt;wsp:rsid wsp:val=&quot;006A154A&quot;/&gt;&lt;wsp:rsid wsp:val=&quot;006A183A&quot;/&gt;&lt;wsp:rsid wsp:val=&quot;006A1BD3&quot;/&gt;&lt;wsp:rsid wsp:val=&quot;006A1F30&quot;/&gt;&lt;wsp:rsid wsp:val=&quot;006A1FCF&quot;/&gt;&lt;wsp:rsid wsp:val=&quot;006A24BD&quot;/&gt;&lt;wsp:rsid wsp:val=&quot;006A2538&quot;/&gt;&lt;wsp:rsid wsp:val=&quot;006A275F&quot;/&gt;&lt;wsp:rsid wsp:val=&quot;006A27D9&quot;/&gt;&lt;wsp:rsid wsp:val=&quot;006A2A5E&quot;/&gt;&lt;wsp:rsid wsp:val=&quot;006A2E58&quot;/&gt;&lt;wsp:rsid wsp:val=&quot;006A2E8D&quot;/&gt;&lt;wsp:rsid wsp:val=&quot;006A3080&quot;/&gt;&lt;wsp:rsid wsp:val=&quot;006A30B7&quot;/&gt;&lt;wsp:rsid wsp:val=&quot;006A3443&quot;/&gt;&lt;wsp:rsid wsp:val=&quot;006A350D&quot;/&gt;&lt;wsp:rsid wsp:val=&quot;006A376F&quot;/&gt;&lt;wsp:rsid wsp:val=&quot;006A3796&quot;/&gt;&lt;wsp:rsid wsp:val=&quot;006A37EF&quot;/&gt;&lt;wsp:rsid wsp:val=&quot;006A3D61&quot;/&gt;&lt;wsp:rsid wsp:val=&quot;006A3D77&quot;/&gt;&lt;wsp:rsid wsp:val=&quot;006A4B64&quot;/&gt;&lt;wsp:rsid wsp:val=&quot;006A4D14&quot;/&gt;&lt;wsp:rsid wsp:val=&quot;006A4E62&quot;/&gt;&lt;wsp:rsid wsp:val=&quot;006A4EB8&quot;/&gt;&lt;wsp:rsid wsp:val=&quot;006A4F4B&quot;/&gt;&lt;wsp:rsid wsp:val=&quot;006A5004&quot;/&gt;&lt;wsp:rsid wsp:val=&quot;006A53B7&quot;/&gt;&lt;wsp:rsid wsp:val=&quot;006A53F0&quot;/&gt;&lt;wsp:rsid wsp:val=&quot;006A5469&quot;/&gt;&lt;wsp:rsid wsp:val=&quot;006A58AA&quot;/&gt;&lt;wsp:rsid wsp:val=&quot;006A6045&quot;/&gt;&lt;wsp:rsid wsp:val=&quot;006A60ED&quot;/&gt;&lt;wsp:rsid wsp:val=&quot;006A68A8&quot;/&gt;&lt;wsp:rsid wsp:val=&quot;006A6A47&quot;/&gt;&lt;wsp:rsid wsp:val=&quot;006A6E30&quot;/&gt;&lt;wsp:rsid wsp:val=&quot;006A6FDC&quot;/&gt;&lt;wsp:rsid wsp:val=&quot;006A706A&quot;/&gt;&lt;wsp:rsid wsp:val=&quot;006A70D8&quot;/&gt;&lt;wsp:rsid wsp:val=&quot;006A76ED&quot;/&gt;&lt;wsp:rsid wsp:val=&quot;006A77CF&quot;/&gt;&lt;wsp:rsid wsp:val=&quot;006A7DEC&quot;/&gt;&lt;wsp:rsid wsp:val=&quot;006B02DE&quot;/&gt;&lt;wsp:rsid wsp:val=&quot;006B034F&quot;/&gt;&lt;wsp:rsid wsp:val=&quot;006B038A&quot;/&gt;&lt;wsp:rsid wsp:val=&quot;006B0F8C&quot;/&gt;&lt;wsp:rsid wsp:val=&quot;006B0FC1&quot;/&gt;&lt;wsp:rsid wsp:val=&quot;006B10BC&quot;/&gt;&lt;wsp:rsid wsp:val=&quot;006B13A5&quot;/&gt;&lt;wsp:rsid wsp:val=&quot;006B18F3&quot;/&gt;&lt;wsp:rsid wsp:val=&quot;006B1927&quot;/&gt;&lt;wsp:rsid wsp:val=&quot;006B1FBD&quot;/&gt;&lt;wsp:rsid wsp:val=&quot;006B259B&quot;/&gt;&lt;wsp:rsid wsp:val=&quot;006B2A8B&quot;/&gt;&lt;wsp:rsid wsp:val=&quot;006B2F9E&quot;/&gt;&lt;wsp:rsid wsp:val=&quot;006B322F&quot;/&gt;&lt;wsp:rsid wsp:val=&quot;006B33D4&quot;/&gt;&lt;wsp:rsid wsp:val=&quot;006B373C&quot;/&gt;&lt;wsp:rsid wsp:val=&quot;006B376E&quot;/&gt;&lt;wsp:rsid wsp:val=&quot;006B3792&quot;/&gt;&lt;wsp:rsid wsp:val=&quot;006B40BB&quot;/&gt;&lt;wsp:rsid wsp:val=&quot;006B40EE&quot;/&gt;&lt;wsp:rsid wsp:val=&quot;006B44A3&quot;/&gt;&lt;wsp:rsid wsp:val=&quot;006B474C&quot;/&gt;&lt;wsp:rsid wsp:val=&quot;006B49F4&quot;/&gt;&lt;wsp:rsid wsp:val=&quot;006B4AB7&quot;/&gt;&lt;wsp:rsid wsp:val=&quot;006B5043&quot;/&gt;&lt;wsp:rsid wsp:val=&quot;006B51AE&quot;/&gt;&lt;wsp:rsid wsp:val=&quot;006B530D&quot;/&gt;&lt;wsp:rsid wsp:val=&quot;006B53EE&quot;/&gt;&lt;wsp:rsid wsp:val=&quot;006B54D5&quot;/&gt;&lt;wsp:rsid wsp:val=&quot;006B595C&quot;/&gt;&lt;wsp:rsid wsp:val=&quot;006B5B02&quot;/&gt;&lt;wsp:rsid wsp:val=&quot;006B5B3E&quot;/&gt;&lt;wsp:rsid wsp:val=&quot;006B6138&quot;/&gt;&lt;wsp:rsid wsp:val=&quot;006B660F&quot;/&gt;&lt;wsp:rsid wsp:val=&quot;006B67A5&quot;/&gt;&lt;wsp:rsid wsp:val=&quot;006B69B9&quot;/&gt;&lt;wsp:rsid wsp:val=&quot;006B6A63&quot;/&gt;&lt;wsp:rsid wsp:val=&quot;006B6C85&quot;/&gt;&lt;wsp:rsid wsp:val=&quot;006B6ECE&quot;/&gt;&lt;wsp:rsid wsp:val=&quot;006B6F30&quot;/&gt;&lt;wsp:rsid wsp:val=&quot;006B76FD&quot;/&gt;&lt;wsp:rsid wsp:val=&quot;006B7AD4&quot;/&gt;&lt;wsp:rsid wsp:val=&quot;006C00BF&quot;/&gt;&lt;wsp:rsid wsp:val=&quot;006C0191&quot;/&gt;&lt;wsp:rsid wsp:val=&quot;006C01B1&quot;/&gt;&lt;wsp:rsid wsp:val=&quot;006C05C4&quot;/&gt;&lt;wsp:rsid wsp:val=&quot;006C062C&quot;/&gt;&lt;wsp:rsid wsp:val=&quot;006C0771&quot;/&gt;&lt;wsp:rsid wsp:val=&quot;006C1095&quot;/&gt;&lt;wsp:rsid wsp:val=&quot;006C12C6&quot;/&gt;&lt;wsp:rsid wsp:val=&quot;006C1522&quot;/&gt;&lt;wsp:rsid wsp:val=&quot;006C1ECD&quot;/&gt;&lt;wsp:rsid wsp:val=&quot;006C20A0&quot;/&gt;&lt;wsp:rsid wsp:val=&quot;006C2549&quot;/&gt;&lt;wsp:rsid wsp:val=&quot;006C254F&quot;/&gt;&lt;wsp:rsid wsp:val=&quot;006C2893&quot;/&gt;&lt;wsp:rsid wsp:val=&quot;006C2AA7&quot;/&gt;&lt;wsp:rsid wsp:val=&quot;006C2BEC&quot;/&gt;&lt;wsp:rsid wsp:val=&quot;006C33CE&quot;/&gt;&lt;wsp:rsid wsp:val=&quot;006C357C&quot;/&gt;&lt;wsp:rsid wsp:val=&quot;006C361E&quot;/&gt;&lt;wsp:rsid wsp:val=&quot;006C3ED3&quot;/&gt;&lt;wsp:rsid wsp:val=&quot;006C5141&quot;/&gt;&lt;wsp:rsid wsp:val=&quot;006C5191&quot;/&gt;&lt;wsp:rsid wsp:val=&quot;006C5F7C&quot;/&gt;&lt;wsp:rsid wsp:val=&quot;006C6093&quot;/&gt;&lt;wsp:rsid wsp:val=&quot;006C669D&quot;/&gt;&lt;wsp:rsid wsp:val=&quot;006C6EC7&quot;/&gt;&lt;wsp:rsid wsp:val=&quot;006C77A2&quot;/&gt;&lt;wsp:rsid wsp:val=&quot;006C7ABE&quot;/&gt;&lt;wsp:rsid wsp:val=&quot;006C7C3B&quot;/&gt;&lt;wsp:rsid wsp:val=&quot;006D0013&quot;/&gt;&lt;wsp:rsid wsp:val=&quot;006D081C&quot;/&gt;&lt;wsp:rsid wsp:val=&quot;006D15EF&quot;/&gt;&lt;wsp:rsid wsp:val=&quot;006D1757&quot;/&gt;&lt;wsp:rsid wsp:val=&quot;006D1C73&quot;/&gt;&lt;wsp:rsid wsp:val=&quot;006D1E4A&quot;/&gt;&lt;wsp:rsid wsp:val=&quot;006D209C&quot;/&gt;&lt;wsp:rsid wsp:val=&quot;006D226C&quot;/&gt;&lt;wsp:rsid wsp:val=&quot;006D26AD&quot;/&gt;&lt;wsp:rsid wsp:val=&quot;006D2947&quot;/&gt;&lt;wsp:rsid wsp:val=&quot;006D2A72&quot;/&gt;&lt;wsp:rsid wsp:val=&quot;006D2A7F&quot;/&gt;&lt;wsp:rsid wsp:val=&quot;006D2B78&quot;/&gt;&lt;wsp:rsid wsp:val=&quot;006D2E52&quot;/&gt;&lt;wsp:rsid wsp:val=&quot;006D36E8&quot;/&gt;&lt;wsp:rsid wsp:val=&quot;006D3E7D&quot;/&gt;&lt;wsp:rsid wsp:val=&quot;006D3F95&quot;/&gt;&lt;wsp:rsid wsp:val=&quot;006D410B&quot;/&gt;&lt;wsp:rsid wsp:val=&quot;006D43AB&quot;/&gt;&lt;wsp:rsid wsp:val=&quot;006D4695&quot;/&gt;&lt;wsp:rsid wsp:val=&quot;006D4746&quot;/&gt;&lt;wsp:rsid wsp:val=&quot;006D54A3&quot;/&gt;&lt;wsp:rsid wsp:val=&quot;006D54E8&quot;/&gt;&lt;wsp:rsid wsp:val=&quot;006D636C&quot;/&gt;&lt;wsp:rsid wsp:val=&quot;006D63D7&quot;/&gt;&lt;wsp:rsid wsp:val=&quot;006D685E&quot;/&gt;&lt;wsp:rsid wsp:val=&quot;006D68DB&quot;/&gt;&lt;wsp:rsid wsp:val=&quot;006D6A1E&quot;/&gt;&lt;wsp:rsid wsp:val=&quot;006D6C69&quot;/&gt;&lt;wsp:rsid wsp:val=&quot;006D6D66&quot;/&gt;&lt;wsp:rsid wsp:val=&quot;006D6EB7&quot;/&gt;&lt;wsp:rsid wsp:val=&quot;006D7689&quot;/&gt;&lt;wsp:rsid wsp:val=&quot;006E0634&quot;/&gt;&lt;wsp:rsid wsp:val=&quot;006E086C&quot;/&gt;&lt;wsp:rsid wsp:val=&quot;006E180D&quot;/&gt;&lt;wsp:rsid wsp:val=&quot;006E18EA&quot;/&gt;&lt;wsp:rsid wsp:val=&quot;006E1DFB&quot;/&gt;&lt;wsp:rsid wsp:val=&quot;006E1E8E&quot;/&gt;&lt;wsp:rsid wsp:val=&quot;006E26A7&quot;/&gt;&lt;wsp:rsid wsp:val=&quot;006E2832&quot;/&gt;&lt;wsp:rsid wsp:val=&quot;006E2EA0&quot;/&gt;&lt;wsp:rsid wsp:val=&quot;006E311D&quot;/&gt;&lt;wsp:rsid wsp:val=&quot;006E320C&quot;/&gt;&lt;wsp:rsid wsp:val=&quot;006E3245&quot;/&gt;&lt;wsp:rsid wsp:val=&quot;006E33A2&quot;/&gt;&lt;wsp:rsid wsp:val=&quot;006E35DA&quot;/&gt;&lt;wsp:rsid wsp:val=&quot;006E371D&quot;/&gt;&lt;wsp:rsid wsp:val=&quot;006E39D3&quot;/&gt;&lt;wsp:rsid wsp:val=&quot;006E3A49&quot;/&gt;&lt;wsp:rsid wsp:val=&quot;006E3C78&quot;/&gt;&lt;wsp:rsid wsp:val=&quot;006E41FB&quot;/&gt;&lt;wsp:rsid wsp:val=&quot;006E4295&quot;/&gt;&lt;wsp:rsid wsp:val=&quot;006E439A&quot;/&gt;&lt;wsp:rsid wsp:val=&quot;006E4844&quot;/&gt;&lt;wsp:rsid wsp:val=&quot;006E4B63&quot;/&gt;&lt;wsp:rsid wsp:val=&quot;006E4CD3&quot;/&gt;&lt;wsp:rsid wsp:val=&quot;006E4F57&quot;/&gt;&lt;wsp:rsid wsp:val=&quot;006E521E&quot;/&gt;&lt;wsp:rsid wsp:val=&quot;006E54C7&quot;/&gt;&lt;wsp:rsid wsp:val=&quot;006E58C0&quot;/&gt;&lt;wsp:rsid wsp:val=&quot;006E5A2F&quot;/&gt;&lt;wsp:rsid wsp:val=&quot;006E5A89&quot;/&gt;&lt;wsp:rsid wsp:val=&quot;006E5C7C&quot;/&gt;&lt;wsp:rsid wsp:val=&quot;006E5D25&quot;/&gt;&lt;wsp:rsid wsp:val=&quot;006E5D9B&quot;/&gt;&lt;wsp:rsid wsp:val=&quot;006E6D4F&quot;/&gt;&lt;wsp:rsid wsp:val=&quot;006E6D51&quot;/&gt;&lt;wsp:rsid wsp:val=&quot;006E6E20&quot;/&gt;&lt;wsp:rsid wsp:val=&quot;006E6E2A&quot;/&gt;&lt;wsp:rsid wsp:val=&quot;006E7567&quot;/&gt;&lt;wsp:rsid wsp:val=&quot;006F00AE&quot;/&gt;&lt;wsp:rsid wsp:val=&quot;006F07E7&quot;/&gt;&lt;wsp:rsid wsp:val=&quot;006F07E8&quot;/&gt;&lt;wsp:rsid wsp:val=&quot;006F0B29&quot;/&gt;&lt;wsp:rsid wsp:val=&quot;006F0BB2&quot;/&gt;&lt;wsp:rsid wsp:val=&quot;006F1257&quot;/&gt;&lt;wsp:rsid wsp:val=&quot;006F130F&quot;/&gt;&lt;wsp:rsid wsp:val=&quot;006F1669&quot;/&gt;&lt;wsp:rsid wsp:val=&quot;006F1828&quot;/&gt;&lt;wsp:rsid wsp:val=&quot;006F18DE&quot;/&gt;&lt;wsp:rsid wsp:val=&quot;006F1C57&quot;/&gt;&lt;wsp:rsid wsp:val=&quot;006F1E5F&quot;/&gt;&lt;wsp:rsid wsp:val=&quot;006F2839&quot;/&gt;&lt;wsp:rsid wsp:val=&quot;006F291C&quot;/&gt;&lt;wsp:rsid wsp:val=&quot;006F2D5F&quot;/&gt;&lt;wsp:rsid wsp:val=&quot;006F3637&quot;/&gt;&lt;wsp:rsid wsp:val=&quot;006F4419&quot;/&gt;&lt;wsp:rsid wsp:val=&quot;006F4495&quot;/&gt;&lt;wsp:rsid wsp:val=&quot;006F4E97&quot;/&gt;&lt;wsp:rsid wsp:val=&quot;006F5710&quot;/&gt;&lt;wsp:rsid wsp:val=&quot;006F5796&quot;/&gt;&lt;wsp:rsid wsp:val=&quot;006F5A23&quot;/&gt;&lt;wsp:rsid wsp:val=&quot;006F5D32&quot;/&gt;&lt;wsp:rsid wsp:val=&quot;006F5E6B&quot;/&gt;&lt;wsp:rsid wsp:val=&quot;006F5F7E&quot;/&gt;&lt;wsp:rsid wsp:val=&quot;006F61A7&quot;/&gt;&lt;wsp:rsid wsp:val=&quot;006F66DD&quot;/&gt;&lt;wsp:rsid wsp:val=&quot;006F6F6C&quot;/&gt;&lt;wsp:rsid wsp:val=&quot;006F74DE&quot;/&gt;&lt;wsp:rsid wsp:val=&quot;006F769C&quot;/&gt;&lt;wsp:rsid wsp:val=&quot;006F7778&quot;/&gt;&lt;wsp:rsid wsp:val=&quot;006F7CA7&quot;/&gt;&lt;wsp:rsid wsp:val=&quot;00700907&quot;/&gt;&lt;wsp:rsid wsp:val=&quot;00700C00&quot;/&gt;&lt;wsp:rsid wsp:val=&quot;00700D1A&quot;/&gt;&lt;wsp:rsid wsp:val=&quot;007013F4&quot;/&gt;&lt;wsp:rsid wsp:val=&quot;00701714&quot;/&gt;&lt;wsp:rsid wsp:val=&quot;007017F4&quot;/&gt;&lt;wsp:rsid wsp:val=&quot;00701BD4&quot;/&gt;&lt;wsp:rsid wsp:val=&quot;00701E52&quot;/&gt;&lt;wsp:rsid wsp:val=&quot;007020AC&quot;/&gt;&lt;wsp:rsid wsp:val=&quot;007027F1&quot;/&gt;&lt;wsp:rsid wsp:val=&quot;00702D57&quot;/&gt;&lt;wsp:rsid wsp:val=&quot;00702EDD&quot;/&gt;&lt;wsp:rsid wsp:val=&quot;00703226&quot;/&gt;&lt;wsp:rsid wsp:val=&quot;00703705&quot;/&gt;&lt;wsp:rsid wsp:val=&quot;0070387D&quot;/&gt;&lt;wsp:rsid wsp:val=&quot;00703A1B&quot;/&gt;&lt;wsp:rsid wsp:val=&quot;0070411E&quot;/&gt;&lt;wsp:rsid wsp:val=&quot;007042E0&quot;/&gt;&lt;wsp:rsid wsp:val=&quot;007044B9&quot;/&gt;&lt;wsp:rsid wsp:val=&quot;00704D54&quot;/&gt;&lt;wsp:rsid wsp:val=&quot;00705021&quot;/&gt;&lt;wsp:rsid wsp:val=&quot;007051F7&quot;/&gt;&lt;wsp:rsid wsp:val=&quot;00705341&quot;/&gt;&lt;wsp:rsid wsp:val=&quot;0070545F&quot;/&gt;&lt;wsp:rsid wsp:val=&quot;00705FC5&quot;/&gt;&lt;wsp:rsid wsp:val=&quot;00705FD4&quot;/&gt;&lt;wsp:rsid wsp:val=&quot;0070670F&quot;/&gt;&lt;wsp:rsid wsp:val=&quot;00707129&quot;/&gt;&lt;wsp:rsid wsp:val=&quot;007075A4&quot;/&gt;&lt;wsp:rsid wsp:val=&quot;00707623&quot;/&gt;&lt;wsp:rsid wsp:val=&quot;00707C79&quot;/&gt;&lt;wsp:rsid wsp:val=&quot;00707E25&quot;/&gt;&lt;wsp:rsid wsp:val=&quot;00707F4F&quot;/&gt;&lt;wsp:rsid wsp:val=&quot;00710A6A&quot;/&gt;&lt;wsp:rsid wsp:val=&quot;00710BE7&quot;/&gt;&lt;wsp:rsid wsp:val=&quot;00711A58&quot;/&gt;&lt;wsp:rsid wsp:val=&quot;00711BB1&quot;/&gt;&lt;wsp:rsid wsp:val=&quot;00712131&quot;/&gt;&lt;wsp:rsid wsp:val=&quot;007125C5&quot;/&gt;&lt;wsp:rsid wsp:val=&quot;007126F3&quot;/&gt;&lt;wsp:rsid wsp:val=&quot;00712CF5&quot;/&gt;&lt;wsp:rsid wsp:val=&quot;007133A4&quot;/&gt;&lt;wsp:rsid wsp:val=&quot;00713762&quot;/&gt;&lt;wsp:rsid wsp:val=&quot;00713A6C&quot;/&gt;&lt;wsp:rsid wsp:val=&quot;00714097&quot;/&gt;&lt;wsp:rsid wsp:val=&quot;007144E2&quot;/&gt;&lt;wsp:rsid wsp:val=&quot;007145A0&quot;/&gt;&lt;wsp:rsid wsp:val=&quot;00714960&quot;/&gt;&lt;wsp:rsid wsp:val=&quot;00714B14&quot;/&gt;&lt;wsp:rsid wsp:val=&quot;00714B81&quot;/&gt;&lt;wsp:rsid wsp:val=&quot;00714BC7&quot;/&gt;&lt;wsp:rsid wsp:val=&quot;00714D74&quot;/&gt;&lt;wsp:rsid wsp:val=&quot;007153E9&quot;/&gt;&lt;wsp:rsid wsp:val=&quot;007156FA&quot;/&gt;&lt;wsp:rsid wsp:val=&quot;007159BC&quot;/&gt;&lt;wsp:rsid wsp:val=&quot;007159D5&quot;/&gt;&lt;wsp:rsid wsp:val=&quot;00715DCF&quot;/&gt;&lt;wsp:rsid wsp:val=&quot;00715E2C&quot;/&gt;&lt;wsp:rsid wsp:val=&quot;00715E71&quot;/&gt;&lt;wsp:rsid wsp:val=&quot;00716358&quot;/&gt;&lt;wsp:rsid wsp:val=&quot;00716B47&quot;/&gt;&lt;wsp:rsid wsp:val=&quot;00716E9F&quot;/&gt;&lt;wsp:rsid wsp:val=&quot;007170C2&quot;/&gt;&lt;wsp:rsid wsp:val=&quot;0071733E&quot;/&gt;&lt;wsp:rsid wsp:val=&quot;00717779&quot;/&gt;&lt;wsp:rsid wsp:val=&quot;00717848&quot;/&gt;&lt;wsp:rsid wsp:val=&quot;00717D5F&quot;/&gt;&lt;wsp:rsid wsp:val=&quot;00717EFA&quot;/&gt;&lt;wsp:rsid wsp:val=&quot;00720301&quot;/&gt;&lt;wsp:rsid wsp:val=&quot;0072051C&quot;/&gt;&lt;wsp:rsid wsp:val=&quot;00720AAA&quot;/&gt;&lt;wsp:rsid wsp:val=&quot;00720D20&quot;/&gt;&lt;wsp:rsid wsp:val=&quot;00720E75&quot;/&gt;&lt;wsp:rsid wsp:val=&quot;00720ECB&quot;/&gt;&lt;wsp:rsid wsp:val=&quot;00720F71&quot;/&gt;&lt;wsp:rsid wsp:val=&quot;00721566&quot;/&gt;&lt;wsp:rsid wsp:val=&quot;00721717&quot;/&gt;&lt;wsp:rsid wsp:val=&quot;007218D9&quot;/&gt;&lt;wsp:rsid wsp:val=&quot;00721DC7&quot;/&gt;&lt;wsp:rsid wsp:val=&quot;0072220F&quot;/&gt;&lt;wsp:rsid wsp:val=&quot;00722AB5&quot;/&gt;&lt;wsp:rsid wsp:val=&quot;00722BBE&quot;/&gt;&lt;wsp:rsid wsp:val=&quot;00722C32&quot;/&gt;&lt;wsp:rsid wsp:val=&quot;00722CA8&quot;/&gt;&lt;wsp:rsid wsp:val=&quot;00723034&quot;/&gt;&lt;wsp:rsid wsp:val=&quot;007231FF&quot;/&gt;&lt;wsp:rsid wsp:val=&quot;00723360&quot;/&gt;&lt;wsp:rsid wsp:val=&quot;007234D9&quot;/&gt;&lt;wsp:rsid wsp:val=&quot;00723698&quot;/&gt;&lt;wsp:rsid wsp:val=&quot;00723858&quot;/&gt;&lt;wsp:rsid wsp:val=&quot;00723DB1&quot;/&gt;&lt;wsp:rsid wsp:val=&quot;00724343&quot;/&gt;&lt;wsp:rsid wsp:val=&quot;007247BE&quot;/&gt;&lt;wsp:rsid wsp:val=&quot;007248AD&quot;/&gt;&lt;wsp:rsid wsp:val=&quot;00724F79&quot;/&gt;&lt;wsp:rsid wsp:val=&quot;00725728&quot;/&gt;&lt;wsp:rsid wsp:val=&quot;007258DE&quot;/&gt;&lt;wsp:rsid wsp:val=&quot;00725C8F&quot;/&gt;&lt;wsp:rsid wsp:val=&quot;00725CB7&quot;/&gt;&lt;wsp:rsid wsp:val=&quot;00726540&quot;/&gt;&lt;wsp:rsid wsp:val=&quot;00726643&quot;/&gt;&lt;wsp:rsid wsp:val=&quot;00726775&quot;/&gt;&lt;wsp:rsid wsp:val=&quot;00726832&quot;/&gt;&lt;wsp:rsid wsp:val=&quot;00726C96&quot;/&gt;&lt;wsp:rsid wsp:val=&quot;00726DEE&quot;/&gt;&lt;wsp:rsid wsp:val=&quot;00726F22&quot;/&gt;&lt;wsp:rsid wsp:val=&quot;0072712D&quot;/&gt;&lt;wsp:rsid wsp:val=&quot;007276D4&quot;/&gt;&lt;wsp:rsid wsp:val=&quot;00727975&quot;/&gt;&lt;wsp:rsid wsp:val=&quot;00727D72&quot;/&gt;&lt;wsp:rsid wsp:val=&quot;00727E44&quot;/&gt;&lt;wsp:rsid wsp:val=&quot;0073045A&quot;/&gt;&lt;wsp:rsid wsp:val=&quot;00730487&quot;/&gt;&lt;wsp:rsid wsp:val=&quot;00730527&quot;/&gt;&lt;wsp:rsid wsp:val=&quot;00730CE2&quot;/&gt;&lt;wsp:rsid wsp:val=&quot;00731069&quot;/&gt;&lt;wsp:rsid wsp:val=&quot;0073158E&quot;/&gt;&lt;wsp:rsid wsp:val=&quot;007316AC&quot;/&gt;&lt;wsp:rsid wsp:val=&quot;00731AB7&quot;/&gt;&lt;wsp:rsid wsp:val=&quot;00731DBA&quot;/&gt;&lt;wsp:rsid wsp:val=&quot;00732375&quot;/&gt;&lt;wsp:rsid wsp:val=&quot;00732535&quot;/&gt;&lt;wsp:rsid wsp:val=&quot;007328C7&quot;/&gt;&lt;wsp:rsid wsp:val=&quot;00732A0B&quot;/&gt;&lt;wsp:rsid wsp:val=&quot;00732AA4&quot;/&gt;&lt;wsp:rsid wsp:val=&quot;00732D14&quot;/&gt;&lt;wsp:rsid wsp:val=&quot;00732ED4&quot;/&gt;&lt;wsp:rsid wsp:val=&quot;007333B4&quot;/&gt;&lt;wsp:rsid wsp:val=&quot;0073364D&quot;/&gt;&lt;wsp:rsid wsp:val=&quot;007336CF&quot;/&gt;&lt;wsp:rsid wsp:val=&quot;00733801&quot;/&gt;&lt;wsp:rsid wsp:val=&quot;00733804&quot;/&gt;&lt;wsp:rsid wsp:val=&quot;00733C32&quot;/&gt;&lt;wsp:rsid wsp:val=&quot;00733D0E&quot;/&gt;&lt;wsp:rsid wsp:val=&quot;00734556&quot;/&gt;&lt;wsp:rsid wsp:val=&quot;0073475A&quot;/&gt;&lt;wsp:rsid wsp:val=&quot;0073476E&quot;/&gt;&lt;wsp:rsid wsp:val=&quot;00734850&quot;/&gt;&lt;wsp:rsid wsp:val=&quot;00734ADF&quot;/&gt;&lt;wsp:rsid wsp:val=&quot;00734E89&quot;/&gt;&lt;wsp:rsid wsp:val=&quot;00734F23&quot;/&gt;&lt;wsp:rsid wsp:val=&quot;0073530E&quot;/&gt;&lt;wsp:rsid wsp:val=&quot;00735DB4&quot;/&gt;&lt;wsp:rsid wsp:val=&quot;00735DE3&quot;/&gt;&lt;wsp:rsid wsp:val=&quot;00736038&quot;/&gt;&lt;wsp:rsid wsp:val=&quot;007362F7&quot;/&gt;&lt;wsp:rsid wsp:val=&quot;0073654D&quot;/&gt;&lt;wsp:rsid wsp:val=&quot;007365A5&quot;/&gt;&lt;wsp:rsid wsp:val=&quot;007369BB&quot;/&gt;&lt;wsp:rsid wsp:val=&quot;007369C1&quot;/&gt;&lt;wsp:rsid wsp:val=&quot;007369D0&quot;/&gt;&lt;wsp:rsid wsp:val=&quot;00736A59&quot;/&gt;&lt;wsp:rsid wsp:val=&quot;0073718A&quot;/&gt;&lt;wsp:rsid wsp:val=&quot;007372BD&quot;/&gt;&lt;wsp:rsid wsp:val=&quot;007372F8&quot;/&gt;&lt;wsp:rsid wsp:val=&quot;007375D7&quot;/&gt;&lt;wsp:rsid wsp:val=&quot;007378B2&quot;/&gt;&lt;wsp:rsid wsp:val=&quot;007378FC&quot;/&gt;&lt;wsp:rsid wsp:val=&quot;00737A1C&quot;/&gt;&lt;wsp:rsid wsp:val=&quot;00737D10&quot;/&gt;&lt;wsp:rsid wsp:val=&quot;00737E00&quot;/&gt;&lt;wsp:rsid wsp:val=&quot;0074009A&quot;/&gt;&lt;wsp:rsid wsp:val=&quot;007401BD&quot;/&gt;&lt;wsp:rsid wsp:val=&quot;00740293&quot;/&gt;&lt;wsp:rsid wsp:val=&quot;00740509&quot;/&gt;&lt;wsp:rsid wsp:val=&quot;00740A70&quot;/&gt;&lt;wsp:rsid wsp:val=&quot;00740CF5&quot;/&gt;&lt;wsp:rsid wsp:val=&quot;007410A8&quot;/&gt;&lt;wsp:rsid wsp:val=&quot;0074117D&quot;/&gt;&lt;wsp:rsid wsp:val=&quot;0074170F&quot;/&gt;&lt;wsp:rsid wsp:val=&quot;007423C7&quot;/&gt;&lt;wsp:rsid wsp:val=&quot;00742573&quot;/&gt;&lt;wsp:rsid wsp:val=&quot;00742AE6&quot;/&gt;&lt;wsp:rsid wsp:val=&quot;00742F23&quot;/&gt;&lt;wsp:rsid wsp:val=&quot;00743205&quot;/&gt;&lt;wsp:rsid wsp:val=&quot;007432C3&quot;/&gt;&lt;wsp:rsid wsp:val=&quot;007436C2&quot;/&gt;&lt;wsp:rsid wsp:val=&quot;00743C1C&quot;/&gt;&lt;wsp:rsid wsp:val=&quot;00744224&quot;/&gt;&lt;wsp:rsid wsp:val=&quot;0074458F&quot;/&gt;&lt;wsp:rsid wsp:val=&quot;00744599&quot;/&gt;&lt;wsp:rsid wsp:val=&quot;0074542A&quot;/&gt;&lt;wsp:rsid wsp:val=&quot;007456B3&quot;/&gt;&lt;wsp:rsid wsp:val=&quot;00745A90&quot;/&gt;&lt;wsp:rsid wsp:val=&quot;00745BB5&quot;/&gt;&lt;wsp:rsid wsp:val=&quot;00745C45&quot;/&gt;&lt;wsp:rsid wsp:val=&quot;00745E43&quot;/&gt;&lt;wsp:rsid wsp:val=&quot;00745E84&quot;/&gt;&lt;wsp:rsid wsp:val=&quot;0074606C&quot;/&gt;&lt;wsp:rsid wsp:val=&quot;00746235&quot;/&gt;&lt;wsp:rsid wsp:val=&quot;007462D6&quot;/&gt;&lt;wsp:rsid wsp:val=&quot;0074641C&quot;/&gt;&lt;wsp:rsid wsp:val=&quot;00746441&quot;/&gt;&lt;wsp:rsid wsp:val=&quot;00746896&quot;/&gt;&lt;wsp:rsid wsp:val=&quot;0074697A&quot;/&gt;&lt;wsp:rsid wsp:val=&quot;00746AD9&quot;/&gt;&lt;wsp:rsid wsp:val=&quot;00747900&quot;/&gt;&lt;wsp:rsid wsp:val=&quot;00747BCE&quot;/&gt;&lt;wsp:rsid wsp:val=&quot;00747E96&quot;/&gt;&lt;wsp:rsid wsp:val=&quot;0075014A&quot;/&gt;&lt;wsp:rsid wsp:val=&quot;007508DC&quot;/&gt;&lt;wsp:rsid wsp:val=&quot;0075112E&quot;/&gt;&lt;wsp:rsid wsp:val=&quot;00751224&quot;/&gt;&lt;wsp:rsid wsp:val=&quot;007512C6&quot;/&gt;&lt;wsp:rsid wsp:val=&quot;00751394&quot;/&gt;&lt;wsp:rsid wsp:val=&quot;007513EF&quot;/&gt;&lt;wsp:rsid wsp:val=&quot;00751753&quot;/&gt;&lt;wsp:rsid wsp:val=&quot;00751B06&quot;/&gt;&lt;wsp:rsid wsp:val=&quot;00751C38&quot;/&gt;&lt;wsp:rsid wsp:val=&quot;00752BAE&quot;/&gt;&lt;wsp:rsid wsp:val=&quot;00752D85&quot;/&gt;&lt;wsp:rsid wsp:val=&quot;0075302E&quot;/&gt;&lt;wsp:rsid wsp:val=&quot;007536D0&quot;/&gt;&lt;wsp:rsid wsp:val=&quot;00753B06&quot;/&gt;&lt;wsp:rsid wsp:val=&quot;00753B30&quot;/&gt;&lt;wsp:rsid wsp:val=&quot;00753F1B&quot;/&gt;&lt;wsp:rsid wsp:val=&quot;00754243&quot;/&gt;&lt;wsp:rsid wsp:val=&quot;00754335&quot;/&gt;&lt;wsp:rsid wsp:val=&quot;00754F43&quot;/&gt;&lt;wsp:rsid wsp:val=&quot;00755225&quot;/&gt;&lt;wsp:rsid wsp:val=&quot;007554A3&quot;/&gt;&lt;wsp:rsid wsp:val=&quot;00755B84&quot;/&gt;&lt;wsp:rsid wsp:val=&quot;00755D24&quot;/&gt;&lt;wsp:rsid wsp:val=&quot;00756554&quot;/&gt;&lt;wsp:rsid wsp:val=&quot;00756F92&quot;/&gt;&lt;wsp:rsid wsp:val=&quot;00757024&quot;/&gt;&lt;wsp:rsid wsp:val=&quot;007571C5&quot;/&gt;&lt;wsp:rsid wsp:val=&quot;00757301&quot;/&gt;&lt;wsp:rsid wsp:val=&quot;0075733E&quot;/&gt;&lt;wsp:rsid wsp:val=&quot;00757D6C&quot;/&gt;&lt;wsp:rsid wsp:val=&quot;00757E2A&quot;/&gt;&lt;wsp:rsid wsp:val=&quot;00757E50&quot;/&gt;&lt;wsp:rsid wsp:val=&quot;0076005D&quot;/&gt;&lt;wsp:rsid wsp:val=&quot;00760420&quot;/&gt;&lt;wsp:rsid wsp:val=&quot;00760BD6&quot;/&gt;&lt;wsp:rsid wsp:val=&quot;00760BE7&quot;/&gt;&lt;wsp:rsid wsp:val=&quot;00760CE4&quot;/&gt;&lt;wsp:rsid wsp:val=&quot;00760EDD&quot;/&gt;&lt;wsp:rsid wsp:val=&quot;00761063&quot;/&gt;&lt;wsp:rsid wsp:val=&quot;00761912&quot;/&gt;&lt;wsp:rsid wsp:val=&quot;00761B07&quot;/&gt;&lt;wsp:rsid wsp:val=&quot;00761F1D&quot;/&gt;&lt;wsp:rsid wsp:val=&quot;00761FED&quot;/&gt;&lt;wsp:rsid wsp:val=&quot;0076227B&quot;/&gt;&lt;wsp:rsid wsp:val=&quot;00762318&quot;/&gt;&lt;wsp:rsid wsp:val=&quot;007623C9&quot;/&gt;&lt;wsp:rsid wsp:val=&quot;0076240E&quot;/&gt;&lt;wsp:rsid wsp:val=&quot;00762612&quot;/&gt;&lt;wsp:rsid wsp:val=&quot;00762CA7&quot;/&gt;&lt;wsp:rsid wsp:val=&quot;00762CF6&quot;/&gt;&lt;wsp:rsid wsp:val=&quot;00762ED6&quot;/&gt;&lt;wsp:rsid wsp:val=&quot;00763055&quot;/&gt;&lt;wsp:rsid wsp:val=&quot;00763252&quot;/&gt;&lt;wsp:rsid wsp:val=&quot;00763A2C&quot;/&gt;&lt;wsp:rsid wsp:val=&quot;00763B3C&quot;/&gt;&lt;wsp:rsid wsp:val=&quot;00763BC7&quot;/&gt;&lt;wsp:rsid wsp:val=&quot;00763D97&quot;/&gt;&lt;wsp:rsid wsp:val=&quot;00763F9F&quot;/&gt;&lt;wsp:rsid wsp:val=&quot;0076423F&quot;/&gt;&lt;wsp:rsid wsp:val=&quot;007643C0&quot;/&gt;&lt;wsp:rsid wsp:val=&quot;007643C5&quot;/&gt;&lt;wsp:rsid wsp:val=&quot;007646D3&quot;/&gt;&lt;wsp:rsid wsp:val=&quot;00764701&quot;/&gt;&lt;wsp:rsid wsp:val=&quot;00764862&quot;/&gt;&lt;wsp:rsid wsp:val=&quot;00764A8F&quot;/&gt;&lt;wsp:rsid wsp:val=&quot;00764B34&quot;/&gt;&lt;wsp:rsid wsp:val=&quot;00764C33&quot;/&gt;&lt;wsp:rsid wsp:val=&quot;00764D51&quot;/&gt;&lt;wsp:rsid wsp:val=&quot;00764D91&quot;/&gt;&lt;wsp:rsid wsp:val=&quot;00764DD5&quot;/&gt;&lt;wsp:rsid wsp:val=&quot;00764E3F&quot;/&gt;&lt;wsp:rsid wsp:val=&quot;00764FCE&quot;/&gt;&lt;wsp:rsid wsp:val=&quot;0076556F&quot;/&gt;&lt;wsp:rsid wsp:val=&quot;00765719&quot;/&gt;&lt;wsp:rsid wsp:val=&quot;00765832&quot;/&gt;&lt;wsp:rsid wsp:val=&quot;0076596A&quot;/&gt;&lt;wsp:rsid wsp:val=&quot;00765DBC&quot;/&gt;&lt;wsp:rsid wsp:val=&quot;0076670C&quot;/&gt;&lt;wsp:rsid wsp:val=&quot;00766EFE&quot;/&gt;&lt;wsp:rsid wsp:val=&quot;00767339&quot;/&gt;&lt;wsp:rsid wsp:val=&quot;00767E15&quot;/&gt;&lt;wsp:rsid wsp:val=&quot;00767EF4&quot;/&gt;&lt;wsp:rsid wsp:val=&quot;0077003D&quot;/&gt;&lt;wsp:rsid wsp:val=&quot;007708BC&quot;/&gt;&lt;wsp:rsid wsp:val=&quot;007712D3&quot;/&gt;&lt;wsp:rsid wsp:val=&quot;007713CB&quot;/&gt;&lt;wsp:rsid wsp:val=&quot;0077174E&quot;/&gt;&lt;wsp:rsid wsp:val=&quot;00771AE3&quot;/&gt;&lt;wsp:rsid wsp:val=&quot;00771B46&quot;/&gt;&lt;wsp:rsid wsp:val=&quot;0077205B&quot;/&gt;&lt;wsp:rsid wsp:val=&quot;007722DE&quot;/&gt;&lt;wsp:rsid wsp:val=&quot;00772770&quot;/&gt;&lt;wsp:rsid wsp:val=&quot;00772A5D&quot;/&gt;&lt;wsp:rsid wsp:val=&quot;00772B4D&quot;/&gt;&lt;wsp:rsid wsp:val=&quot;00772EF5&quot;/&gt;&lt;wsp:rsid wsp:val=&quot;0077325B&quot;/&gt;&lt;wsp:rsid wsp:val=&quot;007733FF&quot;/&gt;&lt;wsp:rsid wsp:val=&quot;0077341D&quot;/&gt;&lt;wsp:rsid wsp:val=&quot;007735EF&quot;/&gt;&lt;wsp:rsid wsp:val=&quot;0077368F&quot;/&gt;&lt;wsp:rsid wsp:val=&quot;007736B1&quot;/&gt;&lt;wsp:rsid wsp:val=&quot;007737C1&quot;/&gt;&lt;wsp:rsid wsp:val=&quot;00773CB5&quot;/&gt;&lt;wsp:rsid wsp:val=&quot;00773EE9&quot;/&gt;&lt;wsp:rsid wsp:val=&quot;00773F92&quot;/&gt;&lt;wsp:rsid wsp:val=&quot;00773FB6&quot;/&gt;&lt;wsp:rsid wsp:val=&quot;0077401E&quot;/&gt;&lt;wsp:rsid wsp:val=&quot;00774436&quot;/&gt;&lt;wsp:rsid wsp:val=&quot;00774BC0&quot;/&gt;&lt;wsp:rsid wsp:val=&quot;00774D56&quot;/&gt;&lt;wsp:rsid wsp:val=&quot;007750CC&quot;/&gt;&lt;wsp:rsid wsp:val=&quot;0077534F&quot;/&gt;&lt;wsp:rsid wsp:val=&quot;00775784&quot;/&gt;&lt;wsp:rsid wsp:val=&quot;007758D1&quot;/&gt;&lt;wsp:rsid wsp:val=&quot;00775A32&quot;/&gt;&lt;wsp:rsid wsp:val=&quot;00775AAA&quot;/&gt;&lt;wsp:rsid wsp:val=&quot;00775E17&quot;/&gt;&lt;wsp:rsid wsp:val=&quot;00775FE1&quot;/&gt;&lt;wsp:rsid wsp:val=&quot;00776037&quot;/&gt;&lt;wsp:rsid wsp:val=&quot;00776370&quot;/&gt;&lt;wsp:rsid wsp:val=&quot;007766CF&quot;/&gt;&lt;wsp:rsid wsp:val=&quot;00776D5E&quot;/&gt;&lt;wsp:rsid wsp:val=&quot;00776D66&quot;/&gt;&lt;wsp:rsid wsp:val=&quot;00777421&quot;/&gt;&lt;wsp:rsid wsp:val=&quot;007777D9&quot;/&gt;&lt;wsp:rsid wsp:val=&quot;007777EA&quot;/&gt;&lt;wsp:rsid wsp:val=&quot;007801B0&quot;/&gt;&lt;wsp:rsid wsp:val=&quot;007803DE&quot;/&gt;&lt;wsp:rsid wsp:val=&quot;00780725&quot;/&gt;&lt;wsp:rsid wsp:val=&quot;00780C90&quot;/&gt;&lt;wsp:rsid wsp:val=&quot;00780F45&quot;/&gt;&lt;wsp:rsid wsp:val=&quot;00780F93&quot;/&gt;&lt;wsp:rsid wsp:val=&quot;00781180&quot;/&gt;&lt;wsp:rsid wsp:val=&quot;007812D4&quot;/&gt;&lt;wsp:rsid wsp:val=&quot;0078134A&quot;/&gt;&lt;wsp:rsid wsp:val=&quot;00781E85&quot;/&gt;&lt;wsp:rsid wsp:val=&quot;007822F1&quot;/&gt;&lt;wsp:rsid wsp:val=&quot;007825AC&quot;/&gt;&lt;wsp:rsid wsp:val=&quot;0078282E&quot;/&gt;&lt;wsp:rsid wsp:val=&quot;0078289F&quot;/&gt;&lt;wsp:rsid wsp:val=&quot;00782E11&quot;/&gt;&lt;wsp:rsid wsp:val=&quot;0078331E&quot;/&gt;&lt;wsp:rsid wsp:val=&quot;00783528&quot;/&gt;&lt;wsp:rsid wsp:val=&quot;0078376F&quot;/&gt;&lt;wsp:rsid wsp:val=&quot;007839B8&quot;/&gt;&lt;wsp:rsid wsp:val=&quot;007847FD&quot;/&gt;&lt;wsp:rsid wsp:val=&quot;0078487F&quot;/&gt;&lt;wsp:rsid wsp:val=&quot;00784AAE&quot;/&gt;&lt;wsp:rsid wsp:val=&quot;007850AF&quot;/&gt;&lt;wsp:rsid wsp:val=&quot;0078552C&quot;/&gt;&lt;wsp:rsid wsp:val=&quot;00785862&quot;/&gt;&lt;wsp:rsid wsp:val=&quot;00785AA9&quot;/&gt;&lt;wsp:rsid wsp:val=&quot;00785AD3&quot;/&gt;&lt;wsp:rsid wsp:val=&quot;00785DA7&quot;/&gt;&lt;wsp:rsid wsp:val=&quot;00785F57&quot;/&gt;&lt;wsp:rsid wsp:val=&quot;00786231&quot;/&gt;&lt;wsp:rsid wsp:val=&quot;00786707&quot;/&gt;&lt;wsp:rsid wsp:val=&quot;00786A04&quot;/&gt;&lt;wsp:rsid wsp:val=&quot;00786BB2&quot;/&gt;&lt;wsp:rsid wsp:val=&quot;00787174&quot;/&gt;&lt;wsp:rsid wsp:val=&quot;007872C0&quot;/&gt;&lt;wsp:rsid wsp:val=&quot;00787318&quot;/&gt;&lt;wsp:rsid wsp:val=&quot;00787440&quot;/&gt;&lt;wsp:rsid wsp:val=&quot;00787935&quot;/&gt;&lt;wsp:rsid wsp:val=&quot;00787A5A&quot;/&gt;&lt;wsp:rsid wsp:val=&quot;00787E07&quot;/&gt;&lt;wsp:rsid wsp:val=&quot;007903D7&quot;/&gt;&lt;wsp:rsid wsp:val=&quot;007907DA&quot;/&gt;&lt;wsp:rsid wsp:val=&quot;00790922&quot;/&gt;&lt;wsp:rsid wsp:val=&quot;00790AD6&quot;/&gt;&lt;wsp:rsid wsp:val=&quot;00790B02&quot;/&gt;&lt;wsp:rsid wsp:val=&quot;00790E0B&quot;/&gt;&lt;wsp:rsid wsp:val=&quot;00791069&quot;/&gt;&lt;wsp:rsid wsp:val=&quot;007922A2&quot;/&gt;&lt;wsp:rsid wsp:val=&quot;00792975&quot;/&gt;&lt;wsp:rsid wsp:val=&quot;00792A32&quot;/&gt;&lt;wsp:rsid wsp:val=&quot;00792BE9&quot;/&gt;&lt;wsp:rsid wsp:val=&quot;00792C66&quot;/&gt;&lt;wsp:rsid wsp:val=&quot;00792F7E&quot;/&gt;&lt;wsp:rsid wsp:val=&quot;00792FEE&quot;/&gt;&lt;wsp:rsid wsp:val=&quot;0079373C&quot;/&gt;&lt;wsp:rsid wsp:val=&quot;00793773&quot;/&gt;&lt;wsp:rsid wsp:val=&quot;00793DA9&quot;/&gt;&lt;wsp:rsid wsp:val=&quot;00794559&quot;/&gt;&lt;wsp:rsid wsp:val=&quot;0079487B&quot;/&gt;&lt;wsp:rsid wsp:val=&quot;00794BC0&quot;/&gt;&lt;wsp:rsid wsp:val=&quot;00794BEC&quot;/&gt;&lt;wsp:rsid wsp:val=&quot;00794EF8&quot;/&gt;&lt;wsp:rsid wsp:val=&quot;00795215&quot;/&gt;&lt;wsp:rsid wsp:val=&quot;0079539F&quot;/&gt;&lt;wsp:rsid wsp:val=&quot;00795433&quot;/&gt;&lt;wsp:rsid wsp:val=&quot;0079573F&quot;/&gt;&lt;wsp:rsid wsp:val=&quot;00795EF8&quot;/&gt;&lt;wsp:rsid wsp:val=&quot;0079662D&quot;/&gt;&lt;wsp:rsid wsp:val=&quot;00796954&quot;/&gt;&lt;wsp:rsid wsp:val=&quot;007969A1&quot;/&gt;&lt;wsp:rsid wsp:val=&quot;00797587&quot;/&gt;&lt;wsp:rsid wsp:val=&quot;0079772A&quot;/&gt;&lt;wsp:rsid wsp:val=&quot;007977EE&quot;/&gt;&lt;wsp:rsid wsp:val=&quot;007A03CB&quot;/&gt;&lt;wsp:rsid wsp:val=&quot;007A046B&quot;/&gt;&lt;wsp:rsid wsp:val=&quot;007A0493&quot;/&gt;&lt;wsp:rsid wsp:val=&quot;007A0658&quot;/&gt;&lt;wsp:rsid wsp:val=&quot;007A0677&quot;/&gt;&lt;wsp:rsid wsp:val=&quot;007A19BF&quot;/&gt;&lt;wsp:rsid wsp:val=&quot;007A1CE1&quot;/&gt;&lt;wsp:rsid wsp:val=&quot;007A209B&quot;/&gt;&lt;wsp:rsid wsp:val=&quot;007A24DC&quot;/&gt;&lt;wsp:rsid wsp:val=&quot;007A29D5&quot;/&gt;&lt;wsp:rsid wsp:val=&quot;007A2AFD&quot;/&gt;&lt;wsp:rsid wsp:val=&quot;007A2E34&quot;/&gt;&lt;wsp:rsid wsp:val=&quot;007A2F54&quot;/&gt;&lt;wsp:rsid wsp:val=&quot;007A340D&quot;/&gt;&lt;wsp:rsid wsp:val=&quot;007A3481&quot;/&gt;&lt;wsp:rsid wsp:val=&quot;007A353A&quot;/&gt;&lt;wsp:rsid wsp:val=&quot;007A39E2&quot;/&gt;&lt;wsp:rsid wsp:val=&quot;007A3A60&quot;/&gt;&lt;wsp:rsid wsp:val=&quot;007A3C15&quot;/&gt;&lt;wsp:rsid wsp:val=&quot;007A4178&quot;/&gt;&lt;wsp:rsid wsp:val=&quot;007A435C&quot;/&gt;&lt;wsp:rsid wsp:val=&quot;007A586B&quot;/&gt;&lt;wsp:rsid wsp:val=&quot;007A6453&quot;/&gt;&lt;wsp:rsid wsp:val=&quot;007A677B&quot;/&gt;&lt;wsp:rsid wsp:val=&quot;007A6A0B&quot;/&gt;&lt;wsp:rsid wsp:val=&quot;007A6E31&quot;/&gt;&lt;wsp:rsid wsp:val=&quot;007A6FE8&quot;/&gt;&lt;wsp:rsid wsp:val=&quot;007A72AA&quot;/&gt;&lt;wsp:rsid wsp:val=&quot;007A72EC&quot;/&gt;&lt;wsp:rsid wsp:val=&quot;007A73A7&quot;/&gt;&lt;wsp:rsid wsp:val=&quot;007A7A17&quot;/&gt;&lt;wsp:rsid wsp:val=&quot;007A7B90&quot;/&gt;&lt;wsp:rsid wsp:val=&quot;007B019A&quot;/&gt;&lt;wsp:rsid wsp:val=&quot;007B0610&quot;/&gt;&lt;wsp:rsid wsp:val=&quot;007B07BD&quot;/&gt;&lt;wsp:rsid wsp:val=&quot;007B0814&quot;/&gt;&lt;wsp:rsid wsp:val=&quot;007B0ABE&quot;/&gt;&lt;wsp:rsid wsp:val=&quot;007B16A9&quot;/&gt;&lt;wsp:rsid wsp:val=&quot;007B211A&quot;/&gt;&lt;wsp:rsid wsp:val=&quot;007B2583&quot;/&gt;&lt;wsp:rsid wsp:val=&quot;007B275C&quot;/&gt;&lt;wsp:rsid wsp:val=&quot;007B307E&quot;/&gt;&lt;wsp:rsid wsp:val=&quot;007B33FF&quot;/&gt;&lt;wsp:rsid wsp:val=&quot;007B3610&quot;/&gt;&lt;wsp:rsid wsp:val=&quot;007B38D1&quot;/&gt;&lt;wsp:rsid wsp:val=&quot;007B3B6A&quot;/&gt;&lt;wsp:rsid wsp:val=&quot;007B3BDC&quot;/&gt;&lt;wsp:rsid wsp:val=&quot;007B3F99&quot;/&gt;&lt;wsp:rsid wsp:val=&quot;007B42E4&quot;/&gt;&lt;wsp:rsid wsp:val=&quot;007B50D5&quot;/&gt;&lt;wsp:rsid wsp:val=&quot;007B50D6&quot;/&gt;&lt;wsp:rsid wsp:val=&quot;007B5141&quot;/&gt;&lt;wsp:rsid wsp:val=&quot;007B5358&quot;/&gt;&lt;wsp:rsid wsp:val=&quot;007B54A0&quot;/&gt;&lt;wsp:rsid wsp:val=&quot;007B580B&quot;/&gt;&lt;wsp:rsid wsp:val=&quot;007B5B44&quot;/&gt;&lt;wsp:rsid wsp:val=&quot;007B5E24&quot;/&gt;&lt;wsp:rsid wsp:val=&quot;007B69CA&quot;/&gt;&lt;wsp:rsid wsp:val=&quot;007B6B46&quot;/&gt;&lt;wsp:rsid wsp:val=&quot;007B741A&quot;/&gt;&lt;wsp:rsid wsp:val=&quot;007B771F&quot;/&gt;&lt;wsp:rsid wsp:val=&quot;007B7D7F&quot;/&gt;&lt;wsp:rsid wsp:val=&quot;007B7E7D&quot;/&gt;&lt;wsp:rsid wsp:val=&quot;007B7FCB&quot;/&gt;&lt;wsp:rsid wsp:val=&quot;007C0CFB&quot;/&gt;&lt;wsp:rsid wsp:val=&quot;007C0FF4&quot;/&gt;&lt;wsp:rsid wsp:val=&quot;007C11C8&quot;/&gt;&lt;wsp:rsid wsp:val=&quot;007C1591&quot;/&gt;&lt;wsp:rsid wsp:val=&quot;007C20DB&quot;/&gt;&lt;wsp:rsid wsp:val=&quot;007C23CA&quot;/&gt;&lt;wsp:rsid wsp:val=&quot;007C29E7&quot;/&gt;&lt;wsp:rsid wsp:val=&quot;007C2ECB&quot;/&gt;&lt;wsp:rsid wsp:val=&quot;007C2EEE&quot;/&gt;&lt;wsp:rsid wsp:val=&quot;007C32BA&quot;/&gt;&lt;wsp:rsid wsp:val=&quot;007C3367&quot;/&gt;&lt;wsp:rsid wsp:val=&quot;007C364E&quot;/&gt;&lt;wsp:rsid wsp:val=&quot;007C36B1&quot;/&gt;&lt;wsp:rsid wsp:val=&quot;007C3722&quot;/&gt;&lt;wsp:rsid wsp:val=&quot;007C3747&quot;/&gt;&lt;wsp:rsid wsp:val=&quot;007C38D9&quot;/&gt;&lt;wsp:rsid wsp:val=&quot;007C3DE5&quot;/&gt;&lt;wsp:rsid wsp:val=&quot;007C4074&quot;/&gt;&lt;wsp:rsid wsp:val=&quot;007C4F5A&quot;/&gt;&lt;wsp:rsid wsp:val=&quot;007C50F4&quot;/&gt;&lt;wsp:rsid wsp:val=&quot;007C5200&quot;/&gt;&lt;wsp:rsid wsp:val=&quot;007C5581&quot;/&gt;&lt;wsp:rsid wsp:val=&quot;007C5732&quot;/&gt;&lt;wsp:rsid wsp:val=&quot;007C5A5A&quot;/&gt;&lt;wsp:rsid wsp:val=&quot;007C5DA4&quot;/&gt;&lt;wsp:rsid wsp:val=&quot;007C5DD1&quot;/&gt;&lt;wsp:rsid wsp:val=&quot;007C6326&quot;/&gt;&lt;wsp:rsid wsp:val=&quot;007C684E&quot;/&gt;&lt;wsp:rsid wsp:val=&quot;007C6C41&quot;/&gt;&lt;wsp:rsid wsp:val=&quot;007C72F0&quot;/&gt;&lt;wsp:rsid wsp:val=&quot;007C73BA&quot;/&gt;&lt;wsp:rsid wsp:val=&quot;007C7797&quot;/&gt;&lt;wsp:rsid wsp:val=&quot;007C7A6B&quot;/&gt;&lt;wsp:rsid wsp:val=&quot;007C7C0D&quot;/&gt;&lt;wsp:rsid wsp:val=&quot;007D0152&quot;/&gt;&lt;wsp:rsid wsp:val=&quot;007D0A4F&quot;/&gt;&lt;wsp:rsid wsp:val=&quot;007D0CEE&quot;/&gt;&lt;wsp:rsid wsp:val=&quot;007D0E99&quot;/&gt;&lt;wsp:rsid wsp:val=&quot;007D0EC3&quot;/&gt;&lt;wsp:rsid wsp:val=&quot;007D124F&quot;/&gt;&lt;wsp:rsid wsp:val=&quot;007D12C0&quot;/&gt;&lt;wsp:rsid wsp:val=&quot;007D150B&quot;/&gt;&lt;wsp:rsid wsp:val=&quot;007D1607&quot;/&gt;&lt;wsp:rsid wsp:val=&quot;007D1645&quot;/&gt;&lt;wsp:rsid wsp:val=&quot;007D18E0&quot;/&gt;&lt;wsp:rsid wsp:val=&quot;007D1BC1&quot;/&gt;&lt;wsp:rsid wsp:val=&quot;007D1C66&quot;/&gt;&lt;wsp:rsid wsp:val=&quot;007D1CC7&quot;/&gt;&lt;wsp:rsid wsp:val=&quot;007D1CFA&quot;/&gt;&lt;wsp:rsid wsp:val=&quot;007D1E39&quot;/&gt;&lt;wsp:rsid wsp:val=&quot;007D2240&quot;/&gt;&lt;wsp:rsid wsp:val=&quot;007D22B0&quot;/&gt;&lt;wsp:rsid wsp:val=&quot;007D2504&quot;/&gt;&lt;wsp:rsid wsp:val=&quot;007D279A&quot;/&gt;&lt;wsp:rsid wsp:val=&quot;007D2ABA&quot;/&gt;&lt;wsp:rsid wsp:val=&quot;007D2ADC&quot;/&gt;&lt;wsp:rsid wsp:val=&quot;007D2D26&quot;/&gt;&lt;wsp:rsid wsp:val=&quot;007D2EB8&quot;/&gt;&lt;wsp:rsid wsp:val=&quot;007D2EC6&quot;/&gt;&lt;wsp:rsid wsp:val=&quot;007D3264&quot;/&gt;&lt;wsp:rsid wsp:val=&quot;007D32FF&quot;/&gt;&lt;wsp:rsid wsp:val=&quot;007D375C&quot;/&gt;&lt;wsp:rsid wsp:val=&quot;007D3C9B&quot;/&gt;&lt;wsp:rsid wsp:val=&quot;007D409B&quot;/&gt;&lt;wsp:rsid wsp:val=&quot;007D41AB&quot;/&gt;&lt;wsp:rsid wsp:val=&quot;007D4587&quot;/&gt;&lt;wsp:rsid wsp:val=&quot;007D47CB&quot;/&gt;&lt;wsp:rsid wsp:val=&quot;007D4BC7&quot;/&gt;&lt;wsp:rsid wsp:val=&quot;007D4C39&quot;/&gt;&lt;wsp:rsid wsp:val=&quot;007D4D48&quot;/&gt;&lt;wsp:rsid wsp:val=&quot;007D4DA5&quot;/&gt;&lt;wsp:rsid wsp:val=&quot;007D5948&quot;/&gt;&lt;wsp:rsid wsp:val=&quot;007D5B4C&quot;/&gt;&lt;wsp:rsid wsp:val=&quot;007D5C25&quot;/&gt;&lt;wsp:rsid wsp:val=&quot;007D5D86&quot;/&gt;&lt;wsp:rsid wsp:val=&quot;007D5EA0&quot;/&gt;&lt;wsp:rsid wsp:val=&quot;007D5FDB&quot;/&gt;&lt;wsp:rsid wsp:val=&quot;007D627E&quot;/&gt;&lt;wsp:rsid wsp:val=&quot;007D62FD&quot;/&gt;&lt;wsp:rsid wsp:val=&quot;007D6494&quot;/&gt;&lt;wsp:rsid wsp:val=&quot;007D64A7&quot;/&gt;&lt;wsp:rsid wsp:val=&quot;007D6508&quot;/&gt;&lt;wsp:rsid wsp:val=&quot;007D6C21&quot;/&gt;&lt;wsp:rsid wsp:val=&quot;007D716E&quot;/&gt;&lt;wsp:rsid wsp:val=&quot;007D7ACF&quot;/&gt;&lt;wsp:rsid wsp:val=&quot;007D7BCF&quot;/&gt;&lt;wsp:rsid wsp:val=&quot;007E00E4&quot;/&gt;&lt;wsp:rsid wsp:val=&quot;007E0268&quot;/&gt;&lt;wsp:rsid wsp:val=&quot;007E060E&quot;/&gt;&lt;wsp:rsid wsp:val=&quot;007E087A&quot;/&gt;&lt;wsp:rsid wsp:val=&quot;007E0969&quot;/&gt;&lt;wsp:rsid wsp:val=&quot;007E09FA&quot;/&gt;&lt;wsp:rsid wsp:val=&quot;007E1244&quot;/&gt;&lt;wsp:rsid wsp:val=&quot;007E1A43&quot;/&gt;&lt;wsp:rsid wsp:val=&quot;007E1A52&quot;/&gt;&lt;wsp:rsid wsp:val=&quot;007E1ADE&quot;/&gt;&lt;wsp:rsid wsp:val=&quot;007E1D43&quot;/&gt;&lt;wsp:rsid wsp:val=&quot;007E1D4D&quot;/&gt;&lt;wsp:rsid wsp:val=&quot;007E2123&quot;/&gt;&lt;wsp:rsid wsp:val=&quot;007E241C&quot;/&gt;&lt;wsp:rsid wsp:val=&quot;007E2834&quot;/&gt;&lt;wsp:rsid wsp:val=&quot;007E2BC4&quot;/&gt;&lt;wsp:rsid wsp:val=&quot;007E2DA6&quot;/&gt;&lt;wsp:rsid wsp:val=&quot;007E2FA4&quot;/&gt;&lt;wsp:rsid wsp:val=&quot;007E30B9&quot;/&gt;&lt;wsp:rsid wsp:val=&quot;007E3370&quot;/&gt;&lt;wsp:rsid wsp:val=&quot;007E3593&quot;/&gt;&lt;wsp:rsid wsp:val=&quot;007E3686&quot;/&gt;&lt;wsp:rsid wsp:val=&quot;007E3EA5&quot;/&gt;&lt;wsp:rsid wsp:val=&quot;007E3F11&quot;/&gt;&lt;wsp:rsid wsp:val=&quot;007E3F9E&quot;/&gt;&lt;wsp:rsid wsp:val=&quot;007E47F7&quot;/&gt;&lt;wsp:rsid wsp:val=&quot;007E48E6&quot;/&gt;&lt;wsp:rsid wsp:val=&quot;007E4A75&quot;/&gt;&lt;wsp:rsid wsp:val=&quot;007E4A99&quot;/&gt;&lt;wsp:rsid wsp:val=&quot;007E4C83&quot;/&gt;&lt;wsp:rsid wsp:val=&quot;007E4FF9&quot;/&gt;&lt;wsp:rsid wsp:val=&quot;007E56C3&quot;/&gt;&lt;wsp:rsid wsp:val=&quot;007E5D09&quot;/&gt;&lt;wsp:rsid wsp:val=&quot;007E5D15&quot;/&gt;&lt;wsp:rsid wsp:val=&quot;007E60E4&quot;/&gt;&lt;wsp:rsid wsp:val=&quot;007E61AF&quot;/&gt;&lt;wsp:rsid wsp:val=&quot;007E61DC&quot;/&gt;&lt;wsp:rsid wsp:val=&quot;007E6348&quot;/&gt;&lt;wsp:rsid wsp:val=&quot;007E63EE&quot;/&gt;&lt;wsp:rsid wsp:val=&quot;007E64B8&quot;/&gt;&lt;wsp:rsid wsp:val=&quot;007E6716&quot;/&gt;&lt;wsp:rsid wsp:val=&quot;007E67E9&quot;/&gt;&lt;wsp:rsid wsp:val=&quot;007E6845&quot;/&gt;&lt;wsp:rsid wsp:val=&quot;007E684D&quot;/&gt;&lt;wsp:rsid wsp:val=&quot;007E6ADF&quot;/&gt;&lt;wsp:rsid wsp:val=&quot;007E6AFE&quot;/&gt;&lt;wsp:rsid wsp:val=&quot;007E6EC8&quot;/&gt;&lt;wsp:rsid wsp:val=&quot;007E710C&quot;/&gt;&lt;wsp:rsid wsp:val=&quot;007E72A0&quot;/&gt;&lt;wsp:rsid wsp:val=&quot;007E7602&quot;/&gt;&lt;wsp:rsid wsp:val=&quot;007E769B&quot;/&gt;&lt;wsp:rsid wsp:val=&quot;007E76D6&quot;/&gt;&lt;wsp:rsid wsp:val=&quot;007E775F&quot;/&gt;&lt;wsp:rsid wsp:val=&quot;007E7799&quot;/&gt;&lt;wsp:rsid wsp:val=&quot;007E7C3A&quot;/&gt;&lt;wsp:rsid wsp:val=&quot;007F0137&quot;/&gt;&lt;wsp:rsid wsp:val=&quot;007F0F44&quot;/&gt;&lt;wsp:rsid wsp:val=&quot;007F13C7&quot;/&gt;&lt;wsp:rsid wsp:val=&quot;007F13E5&quot;/&gt;&lt;wsp:rsid wsp:val=&quot;007F1C37&quot;/&gt;&lt;wsp:rsid wsp:val=&quot;007F1C87&quot;/&gt;&lt;wsp:rsid wsp:val=&quot;007F1EB8&quot;/&gt;&lt;wsp:rsid wsp:val=&quot;007F2148&quot;/&gt;&lt;wsp:rsid wsp:val=&quot;007F2178&quot;/&gt;&lt;wsp:rsid wsp:val=&quot;007F2329&quot;/&gt;&lt;wsp:rsid wsp:val=&quot;007F2475&quot;/&gt;&lt;wsp:rsid wsp:val=&quot;007F28FE&quot;/&gt;&lt;wsp:rsid wsp:val=&quot;007F2C05&quot;/&gt;&lt;wsp:rsid wsp:val=&quot;007F2F0B&quot;/&gt;&lt;wsp:rsid wsp:val=&quot;007F3061&quot;/&gt;&lt;wsp:rsid wsp:val=&quot;007F31BC&quot;/&gt;&lt;wsp:rsid wsp:val=&quot;007F34DE&quot;/&gt;&lt;wsp:rsid wsp:val=&quot;007F390A&quot;/&gt;&lt;wsp:rsid wsp:val=&quot;007F4472&quot;/&gt;&lt;wsp:rsid wsp:val=&quot;007F4B96&quot;/&gt;&lt;wsp:rsid wsp:val=&quot;007F4F74&quot;/&gt;&lt;wsp:rsid wsp:val=&quot;007F5177&quot;/&gt;&lt;wsp:rsid wsp:val=&quot;007F60E6&quot;/&gt;&lt;wsp:rsid wsp:val=&quot;007F6270&quot;/&gt;&lt;wsp:rsid wsp:val=&quot;007F6404&quot;/&gt;&lt;wsp:rsid wsp:val=&quot;007F718E&quot;/&gt;&lt;wsp:rsid wsp:val=&quot;007F771F&quot;/&gt;&lt;wsp:rsid wsp:val=&quot;007F7A4C&quot;/&gt;&lt;wsp:rsid wsp:val=&quot;008001D8&quot;/&gt;&lt;wsp:rsid wsp:val=&quot;008006A8&quot;/&gt;&lt;wsp:rsid wsp:val=&quot;00800BB8&quot;/&gt;&lt;wsp:rsid wsp:val=&quot;00800E2C&quot;/&gt;&lt;wsp:rsid wsp:val=&quot;00800F0F&quot;/&gt;&lt;wsp:rsid wsp:val=&quot;00801002&quot;/&gt;&lt;wsp:rsid wsp:val=&quot;00802450&quot;/&gt;&lt;wsp:rsid wsp:val=&quot;008025B5&quot;/&gt;&lt;wsp:rsid wsp:val=&quot;0080274C&quot;/&gt;&lt;wsp:rsid wsp:val=&quot;00802CB7&quot;/&gt;&lt;wsp:rsid wsp:val=&quot;00802CDF&quot;/&gt;&lt;wsp:rsid wsp:val=&quot;00802E4A&quot;/&gt;&lt;wsp:rsid wsp:val=&quot;00802EE9&quot;/&gt;&lt;wsp:rsid wsp:val=&quot;00803A2E&quot;/&gt;&lt;wsp:rsid wsp:val=&quot;00803FF4&quot;/&gt;&lt;wsp:rsid wsp:val=&quot;0080414C&quot;/&gt;&lt;wsp:rsid wsp:val=&quot;008041B4&quot;/&gt;&lt;wsp:rsid wsp:val=&quot;008043C2&quot;/&gt;&lt;wsp:rsid wsp:val=&quot;00804428&quot;/&gt;&lt;wsp:rsid wsp:val=&quot;00804761&quot;/&gt;&lt;wsp:rsid wsp:val=&quot;008047A2&quot;/&gt;&lt;wsp:rsid wsp:val=&quot;00804A49&quot;/&gt;&lt;wsp:rsid wsp:val=&quot;00804C46&quot;/&gt;&lt;wsp:rsid wsp:val=&quot;008050C6&quot;/&gt;&lt;wsp:rsid wsp:val=&quot;0080576A&quot;/&gt;&lt;wsp:rsid wsp:val=&quot;00805848&quot;/&gt;&lt;wsp:rsid wsp:val=&quot;00806065&quot;/&gt;&lt;wsp:rsid wsp:val=&quot;00806A5A&quot;/&gt;&lt;wsp:rsid wsp:val=&quot;008071B3&quot;/&gt;&lt;wsp:rsid wsp:val=&quot;00807212&quot;/&gt;&lt;wsp:rsid wsp:val=&quot;0080760F&quot;/&gt;&lt;wsp:rsid wsp:val=&quot;00807880&quot;/&gt;&lt;wsp:rsid wsp:val=&quot;00807C26&quot;/&gt;&lt;wsp:rsid wsp:val=&quot;00807F63&quot;/&gt;&lt;wsp:rsid wsp:val=&quot;00810315&quot;/&gt;&lt;wsp:rsid wsp:val=&quot;00810398&quot;/&gt;&lt;wsp:rsid wsp:val=&quot;00810414&quot;/&gt;&lt;wsp:rsid wsp:val=&quot;00810708&quot;/&gt;&lt;wsp:rsid wsp:val=&quot;008108F0&quot;/&gt;&lt;wsp:rsid wsp:val=&quot;008109F5&quot;/&gt;&lt;wsp:rsid wsp:val=&quot;00810C6B&quot;/&gt;&lt;wsp:rsid wsp:val=&quot;00811081&quot;/&gt;&lt;wsp:rsid wsp:val=&quot;008110E1&quot;/&gt;&lt;wsp:rsid wsp:val=&quot;00811601&quot;/&gt;&lt;wsp:rsid wsp:val=&quot;00811852&quot;/&gt;&lt;wsp:rsid wsp:val=&quot;00811902&quot;/&gt;&lt;wsp:rsid wsp:val=&quot;00811A43&quot;/&gt;&lt;wsp:rsid wsp:val=&quot;00811FE4&quot;/&gt;&lt;wsp:rsid wsp:val=&quot;00812170&quot;/&gt;&lt;wsp:rsid wsp:val=&quot;0081258B&quot;/&gt;&lt;wsp:rsid wsp:val=&quot;00812BBB&quot;/&gt;&lt;wsp:rsid wsp:val=&quot;00812C46&quot;/&gt;&lt;wsp:rsid wsp:val=&quot;00812CD9&quot;/&gt;&lt;wsp:rsid wsp:val=&quot;008132A5&quot;/&gt;&lt;wsp:rsid wsp:val=&quot;00813330&quot;/&gt;&lt;wsp:rsid wsp:val=&quot;00813361&quot;/&gt;&lt;wsp:rsid wsp:val=&quot;008134AA&quot;/&gt;&lt;wsp:rsid wsp:val=&quot;008137F2&quot;/&gt;&lt;wsp:rsid wsp:val=&quot;00813849&quot;/&gt;&lt;wsp:rsid wsp:val=&quot;00814082&quot;/&gt;&lt;wsp:rsid wsp:val=&quot;0081486F&quot;/&gt;&lt;wsp:rsid wsp:val=&quot;00814B3B&quot;/&gt;&lt;wsp:rsid wsp:val=&quot;00814B61&quot;/&gt;&lt;wsp:rsid wsp:val=&quot;00815174&quot;/&gt;&lt;wsp:rsid wsp:val=&quot;008155F9&quot;/&gt;&lt;wsp:rsid wsp:val=&quot;008159A1&quot;/&gt;&lt;wsp:rsid wsp:val=&quot;00815B37&quot;/&gt;&lt;wsp:rsid wsp:val=&quot;00815EA7&quot;/&gt;&lt;wsp:rsid wsp:val=&quot;00815EBD&quot;/&gt;&lt;wsp:rsid wsp:val=&quot;008162FE&quot;/&gt;&lt;wsp:rsid wsp:val=&quot;00816398&quot;/&gt;&lt;wsp:rsid wsp:val=&quot;0081654E&quot;/&gt;&lt;wsp:rsid wsp:val=&quot;00816C1E&quot;/&gt;&lt;wsp:rsid wsp:val=&quot;00816C46&quot;/&gt;&lt;wsp:rsid wsp:val=&quot;00816D56&quot;/&gt;&lt;wsp:rsid wsp:val=&quot;008171AB&quot;/&gt;&lt;wsp:rsid wsp:val=&quot;008172B0&quot;/&gt;&lt;wsp:rsid wsp:val=&quot;00817387&quot;/&gt;&lt;wsp:rsid wsp:val=&quot;0081797F&quot;/&gt;&lt;wsp:rsid wsp:val=&quot;008200DC&quot;/&gt;&lt;wsp:rsid wsp:val=&quot;008203C2&quot;/&gt;&lt;wsp:rsid wsp:val=&quot;00821293&quot;/&gt;&lt;wsp:rsid wsp:val=&quot;00821807&quot;/&gt;&lt;wsp:rsid wsp:val=&quot;00821895&quot;/&gt;&lt;wsp:rsid wsp:val=&quot;00821A6B&quot;/&gt;&lt;wsp:rsid wsp:val=&quot;00821CE2&quot;/&gt;&lt;wsp:rsid wsp:val=&quot;008220BB&quot;/&gt;&lt;wsp:rsid wsp:val=&quot;00822539&quot;/&gt;&lt;wsp:rsid wsp:val=&quot;008234B3&quot;/&gt;&lt;wsp:rsid wsp:val=&quot;00823566&quot;/&gt;&lt;wsp:rsid wsp:val=&quot;00823B15&quot;/&gt;&lt;wsp:rsid wsp:val=&quot;00824561&quot;/&gt;&lt;wsp:rsid wsp:val=&quot;0082502E&quot;/&gt;&lt;wsp:rsid wsp:val=&quot;008251CA&quot;/&gt;&lt;wsp:rsid wsp:val=&quot;008253C6&quot;/&gt;&lt;wsp:rsid wsp:val=&quot;008253F0&quot;/&gt;&lt;wsp:rsid wsp:val=&quot;008256F2&quot;/&gt;&lt;wsp:rsid wsp:val=&quot;00825F83&quot;/&gt;&lt;wsp:rsid wsp:val=&quot;0082612E&quot;/&gt;&lt;wsp:rsid wsp:val=&quot;008262C5&quot;/&gt;&lt;wsp:rsid wsp:val=&quot;00826510&quot;/&gt;&lt;wsp:rsid wsp:val=&quot;0082706E&quot;/&gt;&lt;wsp:rsid wsp:val=&quot;0082759B&quot;/&gt;&lt;wsp:rsid wsp:val=&quot;00827BCA&quot;/&gt;&lt;wsp:rsid wsp:val=&quot;00827DAD&quot;/&gt;&lt;wsp:rsid wsp:val=&quot;00827F05&quot;/&gt;&lt;wsp:rsid wsp:val=&quot;00827F6D&quot;/&gt;&lt;wsp:rsid wsp:val=&quot;0083080E&quot;/&gt;&lt;wsp:rsid wsp:val=&quot;0083086C&quot;/&gt;&lt;wsp:rsid wsp:val=&quot;00830CF4&quot;/&gt;&lt;wsp:rsid wsp:val=&quot;00830DAF&quot;/&gt;&lt;wsp:rsid wsp:val=&quot;00830F63&quot;/&gt;&lt;wsp:rsid wsp:val=&quot;00830F77&quot;/&gt;&lt;wsp:rsid wsp:val=&quot;008311D9&quot;/&gt;&lt;wsp:rsid wsp:val=&quot;00831486&quot;/&gt;&lt;wsp:rsid wsp:val=&quot;00831AC1&quot;/&gt;&lt;wsp:rsid wsp:val=&quot;00831F2E&quot;/&gt;&lt;wsp:rsid wsp:val=&quot;008325A4&quot;/&gt;&lt;wsp:rsid wsp:val=&quot;00832ADC&quot;/&gt;&lt;wsp:rsid wsp:val=&quot;00832E81&quot;/&gt;&lt;wsp:rsid wsp:val=&quot;00833A63&quot;/&gt;&lt;wsp:rsid wsp:val=&quot;00833BF2&quot;/&gt;&lt;wsp:rsid wsp:val=&quot;00833D11&quot;/&gt;&lt;wsp:rsid wsp:val=&quot;00833D69&quot;/&gt;&lt;wsp:rsid wsp:val=&quot;00833F52&quot;/&gt;&lt;wsp:rsid wsp:val=&quot;00834120&quot;/&gt;&lt;wsp:rsid wsp:val=&quot;00834185&quot;/&gt;&lt;wsp:rsid wsp:val=&quot;00834541&quot;/&gt;&lt;wsp:rsid wsp:val=&quot;00834920&quot;/&gt;&lt;wsp:rsid wsp:val=&quot;008349E6&quot;/&gt;&lt;wsp:rsid wsp:val=&quot;00834C64&quot;/&gt;&lt;wsp:rsid wsp:val=&quot;00834ECA&quot;/&gt;&lt;wsp:rsid wsp:val=&quot;00834ED1&quot;/&gt;&lt;wsp:rsid wsp:val=&quot;00834EE9&quot;/&gt;&lt;wsp:rsid wsp:val=&quot;00835031&quot;/&gt;&lt;wsp:rsid wsp:val=&quot;008354B6&quot;/&gt;&lt;wsp:rsid wsp:val=&quot;00835797&quot;/&gt;&lt;wsp:rsid wsp:val=&quot;00835A24&quot;/&gt;&lt;wsp:rsid wsp:val=&quot;00835B9C&quot;/&gt;&lt;wsp:rsid wsp:val=&quot;00835BEA&quot;/&gt;&lt;wsp:rsid wsp:val=&quot;00835C42&quot;/&gt;&lt;wsp:rsid wsp:val=&quot;00836133&quot;/&gt;&lt;wsp:rsid wsp:val=&quot;0083635A&quot;/&gt;&lt;wsp:rsid wsp:val=&quot;008365CB&quot;/&gt;&lt;wsp:rsid wsp:val=&quot;00836C7C&quot;/&gt;&lt;wsp:rsid wsp:val=&quot;00836DB2&quot;/&gt;&lt;wsp:rsid wsp:val=&quot;00836F53&quot;/&gt;&lt;wsp:rsid wsp:val=&quot;00837197&quot;/&gt;&lt;wsp:rsid wsp:val=&quot;008375F6&quot;/&gt;&lt;wsp:rsid wsp:val=&quot;008377FE&quot;/&gt;&lt;wsp:rsid wsp:val=&quot;00837A1D&quot;/&gt;&lt;wsp:rsid wsp:val=&quot;00837D64&quot;/&gt;&lt;wsp:rsid wsp:val=&quot;00837E77&quot;/&gt;&lt;wsp:rsid wsp:val=&quot;008400EC&quot;/&gt;&lt;wsp:rsid wsp:val=&quot;0084034A&quot;/&gt;&lt;wsp:rsid wsp:val=&quot;00840447&quot;/&gt;&lt;wsp:rsid wsp:val=&quot;0084099B&quot;/&gt;&lt;wsp:rsid wsp:val=&quot;00840F5A&quot;/&gt;&lt;wsp:rsid wsp:val=&quot;00840FC2&quot;/&gt;&lt;wsp:rsid wsp:val=&quot;0084150B&quot;/&gt;&lt;wsp:rsid wsp:val=&quot;0084178A&quot;/&gt;&lt;wsp:rsid wsp:val=&quot;00841F2F&quot;/&gt;&lt;wsp:rsid wsp:val=&quot;00841F32&quot;/&gt;&lt;wsp:rsid wsp:val=&quot;00841FD5&quot;/&gt;&lt;wsp:rsid wsp:val=&quot;0084207E&quot;/&gt;&lt;wsp:rsid wsp:val=&quot;00843913&quot;/&gt;&lt;wsp:rsid wsp:val=&quot;00843B1E&quot;/&gt;&lt;wsp:rsid wsp:val=&quot;00843B27&quot;/&gt;&lt;wsp:rsid wsp:val=&quot;00844103&quot;/&gt;&lt;wsp:rsid wsp:val=&quot;008441EA&quot;/&gt;&lt;wsp:rsid wsp:val=&quot;00844794&quot;/&gt;&lt;wsp:rsid wsp:val=&quot;008447E6&quot;/&gt;&lt;wsp:rsid wsp:val=&quot;0084482C&quot;/&gt;&lt;wsp:rsid wsp:val=&quot;00845048&quot;/&gt;&lt;wsp:rsid wsp:val=&quot;008452FB&quot;/&gt;&lt;wsp:rsid wsp:val=&quot;008457C9&quot;/&gt;&lt;wsp:rsid wsp:val=&quot;00845898&quot;/&gt;&lt;wsp:rsid wsp:val=&quot;00845C8D&quot;/&gt;&lt;wsp:rsid wsp:val=&quot;00845F37&quot;/&gt;&lt;wsp:rsid wsp:val=&quot;0084642F&quot;/&gt;&lt;wsp:rsid wsp:val=&quot;00846458&quot;/&gt;&lt;wsp:rsid wsp:val=&quot;008465F4&quot;/&gt;&lt;wsp:rsid wsp:val=&quot;00846A80&quot;/&gt;&lt;wsp:rsid wsp:val=&quot;00847162&quot;/&gt;&lt;wsp:rsid wsp:val=&quot;008472BD&quot;/&gt;&lt;wsp:rsid wsp:val=&quot;008473E4&quot;/&gt;&lt;wsp:rsid wsp:val=&quot;008477EC&quot;/&gt;&lt;wsp:rsid wsp:val=&quot;008479D2&quot;/&gt;&lt;wsp:rsid wsp:val=&quot;00847D45&quot;/&gt;&lt;wsp:rsid wsp:val=&quot;00847DFB&quot;/&gt;&lt;wsp:rsid wsp:val=&quot;00847E31&quot;/&gt;&lt;wsp:rsid wsp:val=&quot;00850BAB&quot;/&gt;&lt;wsp:rsid wsp:val=&quot;00851693&quot;/&gt;&lt;wsp:rsid wsp:val=&quot;0085176F&quot;/&gt;&lt;wsp:rsid wsp:val=&quot;0085195C&quot;/&gt;&lt;wsp:rsid wsp:val=&quot;00851F11&quot;/&gt;&lt;wsp:rsid wsp:val=&quot;008521E1&quot;/&gt;&lt;wsp:rsid wsp:val=&quot;0085225F&quot;/&gt;&lt;wsp:rsid wsp:val=&quot;00852400&quot;/&gt;&lt;wsp:rsid wsp:val=&quot;00852D44&quot;/&gt;&lt;wsp:rsid wsp:val=&quot;008530EB&quot;/&gt;&lt;wsp:rsid wsp:val=&quot;0085337D&quot;/&gt;&lt;wsp:rsid wsp:val=&quot;008533E2&quot;/&gt;&lt;wsp:rsid wsp:val=&quot;0085363E&quot;/&gt;&lt;wsp:rsid wsp:val=&quot;00853EC8&quot;/&gt;&lt;wsp:rsid wsp:val=&quot;00853EDE&quot;/&gt;&lt;wsp:rsid wsp:val=&quot;0085402E&quot;/&gt;&lt;wsp:rsid wsp:val=&quot;008541BF&quot;/&gt;&lt;wsp:rsid wsp:val=&quot;008545D3&quot;/&gt;&lt;wsp:rsid wsp:val=&quot;00854628&quot;/&gt;&lt;wsp:rsid wsp:val=&quot;008547C4&quot;/&gt;&lt;wsp:rsid wsp:val=&quot;00854A4F&quot;/&gt;&lt;wsp:rsid wsp:val=&quot;00854D45&quot;/&gt;&lt;wsp:rsid wsp:val=&quot;00854F38&quot;/&gt;&lt;wsp:rsid wsp:val=&quot;00855083&quot;/&gt;&lt;wsp:rsid wsp:val=&quot;00855EDE&quot;/&gt;&lt;wsp:rsid wsp:val=&quot;00855F9C&quot;/&gt;&lt;wsp:rsid wsp:val=&quot;00856487&quot;/&gt;&lt;wsp:rsid wsp:val=&quot;0085684E&quot;/&gt;&lt;wsp:rsid wsp:val=&quot;00856EBC&quot;/&gt;&lt;wsp:rsid wsp:val=&quot;00857644&quot;/&gt;&lt;wsp:rsid wsp:val=&quot;00857B5D&quot;/&gt;&lt;wsp:rsid wsp:val=&quot;00857BD4&quot;/&gt;&lt;wsp:rsid wsp:val=&quot;00857C3A&quot;/&gt;&lt;wsp:rsid wsp:val=&quot;00857F77&quot;/&gt;&lt;wsp:rsid wsp:val=&quot;00860617&quot;/&gt;&lt;wsp:rsid wsp:val=&quot;008606ED&quot;/&gt;&lt;wsp:rsid wsp:val=&quot;0086099B&quot;/&gt;&lt;wsp:rsid wsp:val=&quot;00860CB8&quot;/&gt;&lt;wsp:rsid wsp:val=&quot;00860E78&quot;/&gt;&lt;wsp:rsid wsp:val=&quot;00860F42&quot;/&gt;&lt;wsp:rsid wsp:val=&quot;0086129F&quot;/&gt;&lt;wsp:rsid wsp:val=&quot;00861D60&quot;/&gt;&lt;wsp:rsid wsp:val=&quot;0086286D&quot;/&gt;&lt;wsp:rsid wsp:val=&quot;0086299E&quot;/&gt;&lt;wsp:rsid wsp:val=&quot;00862A79&quot;/&gt;&lt;wsp:rsid wsp:val=&quot;00862B26&quot;/&gt;&lt;wsp:rsid wsp:val=&quot;00862DF6&quot;/&gt;&lt;wsp:rsid wsp:val=&quot;0086306A&quot;/&gt;&lt;wsp:rsid wsp:val=&quot;0086392F&quot;/&gt;&lt;wsp:rsid wsp:val=&quot;00863A18&quot;/&gt;&lt;wsp:rsid wsp:val=&quot;00863A9C&quot;/&gt;&lt;wsp:rsid wsp:val=&quot;00863AAB&quot;/&gt;&lt;wsp:rsid wsp:val=&quot;00863B3E&quot;/&gt;&lt;wsp:rsid wsp:val=&quot;00863BCA&quot;/&gt;&lt;wsp:rsid wsp:val=&quot;00863C5D&quot;/&gt;&lt;wsp:rsid wsp:val=&quot;00864B9C&quot;/&gt;&lt;wsp:rsid wsp:val=&quot;00864DD5&quot;/&gt;&lt;wsp:rsid wsp:val=&quot;00864E60&quot;/&gt;&lt;wsp:rsid wsp:val=&quot;008651C2&quot;/&gt;&lt;wsp:rsid wsp:val=&quot;008656B8&quot;/&gt;&lt;wsp:rsid wsp:val=&quot;0086572F&quot;/&gt;&lt;wsp:rsid wsp:val=&quot;00865818&quot;/&gt;&lt;wsp:rsid wsp:val=&quot;0086582D&quot;/&gt;&lt;wsp:rsid wsp:val=&quot;00865D23&quot;/&gt;&lt;wsp:rsid wsp:val=&quot;00866052&quot;/&gt;&lt;wsp:rsid wsp:val=&quot;00866268&quot;/&gt;&lt;wsp:rsid wsp:val=&quot;008668B7&quot;/&gt;&lt;wsp:rsid wsp:val=&quot;00866EEA&quot;/&gt;&lt;wsp:rsid wsp:val=&quot;0086727A&quot;/&gt;&lt;wsp:rsid wsp:val=&quot;00867798&quot;/&gt;&lt;wsp:rsid wsp:val=&quot;008677CD&quot;/&gt;&lt;wsp:rsid wsp:val=&quot;00867A65&quot;/&gt;&lt;wsp:rsid wsp:val=&quot;00867C5A&quot;/&gt;&lt;wsp:rsid wsp:val=&quot;00867CB4&quot;/&gt;&lt;wsp:rsid wsp:val=&quot;00867CC3&quot;/&gt;&lt;wsp:rsid wsp:val=&quot;00867D03&quot;/&gt;&lt;wsp:rsid wsp:val=&quot;00867D35&quot;/&gt;&lt;wsp:rsid wsp:val=&quot;0087007F&quot;/&gt;&lt;wsp:rsid wsp:val=&quot;0087015A&quot;/&gt;&lt;wsp:rsid wsp:val=&quot;00870441&quot;/&gt;&lt;wsp:rsid wsp:val=&quot;008705CF&quot;/&gt;&lt;wsp:rsid wsp:val=&quot;00870F38&quot;/&gt;&lt;wsp:rsid wsp:val=&quot;00871074&quot;/&gt;&lt;wsp:rsid wsp:val=&quot;00871C8C&quot;/&gt;&lt;wsp:rsid wsp:val=&quot;008720CB&quot;/&gt;&lt;wsp:rsid wsp:val=&quot;008726A9&quot;/&gt;&lt;wsp:rsid wsp:val=&quot;00872787&quot;/&gt;&lt;wsp:rsid wsp:val=&quot;008729D0&quot;/&gt;&lt;wsp:rsid wsp:val=&quot;00872C40&quot;/&gt;&lt;wsp:rsid wsp:val=&quot;00872D7F&quot;/&gt;&lt;wsp:rsid wsp:val=&quot;00872DB3&quot;/&gt;&lt;wsp:rsid wsp:val=&quot;008736C3&quot;/&gt;&lt;wsp:rsid wsp:val=&quot;0087390D&quot;/&gt;&lt;wsp:rsid wsp:val=&quot;00873CBA&quot;/&gt;&lt;wsp:rsid wsp:val=&quot;00874008&quot;/&gt;&lt;wsp:rsid wsp:val=&quot;008740A4&quot;/&gt;&lt;wsp:rsid wsp:val=&quot;00874188&quot;/&gt;&lt;wsp:rsid wsp:val=&quot;0087486B&quot;/&gt;&lt;wsp:rsid wsp:val=&quot;00875314&quot;/&gt;&lt;wsp:rsid wsp:val=&quot;0087532C&quot;/&gt;&lt;wsp:rsid wsp:val=&quot;00875357&quot;/&gt;&lt;wsp:rsid wsp:val=&quot;00875535&quot;/&gt;&lt;wsp:rsid wsp:val=&quot;00875647&quot;/&gt;&lt;wsp:rsid wsp:val=&quot;00875C02&quot;/&gt;&lt;wsp:rsid wsp:val=&quot;00875C95&quot;/&gt;&lt;wsp:rsid wsp:val=&quot;0087627E&quot;/&gt;&lt;wsp:rsid wsp:val=&quot;00876323&quot;/&gt;&lt;wsp:rsid wsp:val=&quot;00876E08&quot;/&gt;&lt;wsp:rsid wsp:val=&quot;008771C4&quot;/&gt;&lt;wsp:rsid wsp:val=&quot;008771E1&quot;/&gt;&lt;wsp:rsid wsp:val=&quot;008772EF&quot;/&gt;&lt;wsp:rsid wsp:val=&quot;00877482&quot;/&gt;&lt;wsp:rsid wsp:val=&quot;0087793A&quot;/&gt;&lt;wsp:rsid wsp:val=&quot;00877A42&quot;/&gt;&lt;wsp:rsid wsp:val=&quot;00877CCA&quot;/&gt;&lt;wsp:rsid wsp:val=&quot;00877E26&quot;/&gt;&lt;wsp:rsid wsp:val=&quot;00877F97&quot;/&gt;&lt;wsp:rsid wsp:val=&quot;00880187&quot;/&gt;&lt;wsp:rsid wsp:val=&quot;008807B2&quot;/&gt;&lt;wsp:rsid wsp:val=&quot;00880B0F&quot;/&gt;&lt;wsp:rsid wsp:val=&quot;00880B38&quot;/&gt;&lt;wsp:rsid wsp:val=&quot;008810ED&quot;/&gt;&lt;wsp:rsid wsp:val=&quot;0088155F&quot;/&gt;&lt;wsp:rsid wsp:val=&quot;00881959&quot;/&gt;&lt;wsp:rsid wsp:val=&quot;00881ABE&quot;/&gt;&lt;wsp:rsid wsp:val=&quot;00881C47&quot;/&gt;&lt;wsp:rsid wsp:val=&quot;00881FA6&quot;/&gt;&lt;wsp:rsid wsp:val=&quot;00881FC5&quot;/&gt;&lt;wsp:rsid wsp:val=&quot;008827B5&quot;/&gt;&lt;wsp:rsid wsp:val=&quot;00882E0E&quot;/&gt;&lt;wsp:rsid wsp:val=&quot;00883479&quot;/&gt;&lt;wsp:rsid wsp:val=&quot;00883601&quot;/&gt;&lt;wsp:rsid wsp:val=&quot;00884438&quot;/&gt;&lt;wsp:rsid wsp:val=&quot;008845D2&quot;/&gt;&lt;wsp:rsid wsp:val=&quot;00884689&quot;/&gt;&lt;wsp:rsid wsp:val=&quot;00884986&quot;/&gt;&lt;wsp:rsid wsp:val=&quot;00884E3A&quot;/&gt;&lt;wsp:rsid wsp:val=&quot;00884F66&quot;/&gt;&lt;wsp:rsid wsp:val=&quot;00885945&quot;/&gt;&lt;wsp:rsid wsp:val=&quot;00886031&quot;/&gt;&lt;wsp:rsid wsp:val=&quot;00886287&quot;/&gt;&lt;wsp:rsid wsp:val=&quot;008865EF&quot;/&gt;&lt;wsp:rsid wsp:val=&quot;00886926&quot;/&gt;&lt;wsp:rsid wsp:val=&quot;008869CD&quot;/&gt;&lt;wsp:rsid wsp:val=&quot;00886C82&quot;/&gt;&lt;wsp:rsid wsp:val=&quot;00886CA9&quot;/&gt;&lt;wsp:rsid wsp:val=&quot;00886F3F&quot;/&gt;&lt;wsp:rsid wsp:val=&quot;00887159&quot;/&gt;&lt;wsp:rsid wsp:val=&quot;008871E3&quot;/&gt;&lt;wsp:rsid wsp:val=&quot;0088732A&quot;/&gt;&lt;wsp:rsid wsp:val=&quot;008876C3&quot;/&gt;&lt;wsp:rsid wsp:val=&quot;0088771E&quot;/&gt;&lt;wsp:rsid wsp:val=&quot;00887E0A&quot;/&gt;&lt;wsp:rsid wsp:val=&quot;00887F79&quot;/&gt;&lt;wsp:rsid wsp:val=&quot;00890178&quot;/&gt;&lt;wsp:rsid wsp:val=&quot;0089018B&quot;/&gt;&lt;wsp:rsid wsp:val=&quot;008908F5&quot;/&gt;&lt;wsp:rsid wsp:val=&quot;00890907&quot;/&gt;&lt;wsp:rsid wsp:val=&quot;00890DFA&quot;/&gt;&lt;wsp:rsid wsp:val=&quot;00890F78&quot;/&gt;&lt;wsp:rsid wsp:val=&quot;0089120C&quot;/&gt;&lt;wsp:rsid wsp:val=&quot;008912E6&quot;/&gt;&lt;wsp:rsid wsp:val=&quot;0089138D&quot;/&gt;&lt;wsp:rsid wsp:val=&quot;00891863&quot;/&gt;&lt;wsp:rsid wsp:val=&quot;00891FAF&quot;/&gt;&lt;wsp:rsid wsp:val=&quot;008925B1&quot;/&gt;&lt;wsp:rsid wsp:val=&quot;0089275F&quot;/&gt;&lt;wsp:rsid wsp:val=&quot;00892A3B&quot;/&gt;&lt;wsp:rsid wsp:val=&quot;00892CA5&quot;/&gt;&lt;wsp:rsid wsp:val=&quot;00892E00&quot;/&gt;&lt;wsp:rsid wsp:val=&quot;00892E48&quot;/&gt;&lt;wsp:rsid wsp:val=&quot;00892E84&quot;/&gt;&lt;wsp:rsid wsp:val=&quot;0089333C&quot;/&gt;&lt;wsp:rsid wsp:val=&quot;00893479&quot;/&gt;&lt;wsp:rsid wsp:val=&quot;00893902&quot;/&gt;&lt;wsp:rsid wsp:val=&quot;00893A12&quot;/&gt;&lt;wsp:rsid wsp:val=&quot;00894712&quot;/&gt;&lt;wsp:rsid wsp:val=&quot;00894888&quot;/&gt;&lt;wsp:rsid wsp:val=&quot;008949DC&quot;/&gt;&lt;wsp:rsid wsp:val=&quot;00894D38&quot;/&gt;&lt;wsp:rsid wsp:val=&quot;00894EB0&quot;/&gt;&lt;wsp:rsid wsp:val=&quot;008950DA&quot;/&gt;&lt;wsp:rsid wsp:val=&quot;00895431&quot;/&gt;&lt;wsp:rsid wsp:val=&quot;00896177&quot;/&gt;&lt;wsp:rsid wsp:val=&quot;0089699E&quot;/&gt;&lt;wsp:rsid wsp:val=&quot;00896A7F&quot;/&gt;&lt;wsp:rsid wsp:val=&quot;00897169&quot;/&gt;&lt;wsp:rsid wsp:val=&quot;00897285&quot;/&gt;&lt;wsp:rsid wsp:val=&quot;00897399&quot;/&gt;&lt;wsp:rsid wsp:val=&quot;00897681&quot;/&gt;&lt;wsp:rsid wsp:val=&quot;0089779C&quot;/&gt;&lt;wsp:rsid wsp:val=&quot;00897D80&quot;/&gt;&lt;wsp:rsid wsp:val=&quot;00897DD2&quot;/&gt;&lt;wsp:rsid wsp:val=&quot;008A0385&quot;/&gt;&lt;wsp:rsid wsp:val=&quot;008A0DCD&quot;/&gt;&lt;wsp:rsid wsp:val=&quot;008A0EDE&quot;/&gt;&lt;wsp:rsid wsp:val=&quot;008A0EE8&quot;/&gt;&lt;wsp:rsid wsp:val=&quot;008A1306&quot;/&gt;&lt;wsp:rsid wsp:val=&quot;008A14C4&quot;/&gt;&lt;wsp:rsid wsp:val=&quot;008A20A1&quot;/&gt;&lt;wsp:rsid wsp:val=&quot;008A241C&quot;/&gt;&lt;wsp:rsid wsp:val=&quot;008A247F&quot;/&gt;&lt;wsp:rsid wsp:val=&quot;008A25DF&quot;/&gt;&lt;wsp:rsid wsp:val=&quot;008A2A7F&quot;/&gt;&lt;wsp:rsid wsp:val=&quot;008A2BC2&quot;/&gt;&lt;wsp:rsid wsp:val=&quot;008A2EED&quot;/&gt;&lt;wsp:rsid wsp:val=&quot;008A3B93&quot;/&gt;&lt;wsp:rsid wsp:val=&quot;008A3C64&quot;/&gt;&lt;wsp:rsid wsp:val=&quot;008A3D0B&quot;/&gt;&lt;wsp:rsid wsp:val=&quot;008A3EBD&quot;/&gt;&lt;wsp:rsid wsp:val=&quot;008A3FE9&quot;/&gt;&lt;wsp:rsid wsp:val=&quot;008A4144&quot;/&gt;&lt;wsp:rsid wsp:val=&quot;008A4E20&quot;/&gt;&lt;wsp:rsid wsp:val=&quot;008A4EA3&quot;/&gt;&lt;wsp:rsid wsp:val=&quot;008A5893&quot;/&gt;&lt;wsp:rsid wsp:val=&quot;008A5F7B&quot;/&gt;&lt;wsp:rsid wsp:val=&quot;008A6419&quot;/&gt;&lt;wsp:rsid wsp:val=&quot;008A6E62&quot;/&gt;&lt;wsp:rsid wsp:val=&quot;008A7024&quot;/&gt;&lt;wsp:rsid wsp:val=&quot;008A760B&quot;/&gt;&lt;wsp:rsid wsp:val=&quot;008A7E5B&quot;/&gt;&lt;wsp:rsid wsp:val=&quot;008A7F16&quot;/&gt;&lt;wsp:rsid wsp:val=&quot;008A7FF1&quot;/&gt;&lt;wsp:rsid wsp:val=&quot;008B03B8&quot;/&gt;&lt;wsp:rsid wsp:val=&quot;008B0AEA&quot;/&gt;&lt;wsp:rsid wsp:val=&quot;008B0CE3&quot;/&gt;&lt;wsp:rsid wsp:val=&quot;008B0CFB&quot;/&gt;&lt;wsp:rsid wsp:val=&quot;008B0D74&quot;/&gt;&lt;wsp:rsid wsp:val=&quot;008B1657&quot;/&gt;&lt;wsp:rsid wsp:val=&quot;008B167F&quot;/&gt;&lt;wsp:rsid wsp:val=&quot;008B1B1E&quot;/&gt;&lt;wsp:rsid wsp:val=&quot;008B1C53&quot;/&gt;&lt;wsp:rsid wsp:val=&quot;008B1EDF&quot;/&gt;&lt;wsp:rsid wsp:val=&quot;008B21D4&quot;/&gt;&lt;wsp:rsid wsp:val=&quot;008B22BA&quot;/&gt;&lt;wsp:rsid wsp:val=&quot;008B2A6C&quot;/&gt;&lt;wsp:rsid wsp:val=&quot;008B2C88&quot;/&gt;&lt;wsp:rsid wsp:val=&quot;008B317E&quot;/&gt;&lt;wsp:rsid wsp:val=&quot;008B3BFC&quot;/&gt;&lt;wsp:rsid wsp:val=&quot;008B417A&quot;/&gt;&lt;wsp:rsid wsp:val=&quot;008B47DF&quot;/&gt;&lt;wsp:rsid wsp:val=&quot;008B4ACB&quot;/&gt;&lt;wsp:rsid wsp:val=&quot;008B4BD6&quot;/&gt;&lt;wsp:rsid wsp:val=&quot;008B4C4F&quot;/&gt;&lt;wsp:rsid wsp:val=&quot;008B4CD5&quot;/&gt;&lt;wsp:rsid wsp:val=&quot;008B4D67&quot;/&gt;&lt;wsp:rsid wsp:val=&quot;008B513C&quot;/&gt;&lt;wsp:rsid wsp:val=&quot;008B515C&quot;/&gt;&lt;wsp:rsid wsp:val=&quot;008B544C&quot;/&gt;&lt;wsp:rsid wsp:val=&quot;008B5962&quot;/&gt;&lt;wsp:rsid wsp:val=&quot;008B62D2&quot;/&gt;&lt;wsp:rsid wsp:val=&quot;008B6326&quot;/&gt;&lt;wsp:rsid wsp:val=&quot;008B6513&quot;/&gt;&lt;wsp:rsid wsp:val=&quot;008B6CC7&quot;/&gt;&lt;wsp:rsid wsp:val=&quot;008B7083&quot;/&gt;&lt;wsp:rsid wsp:val=&quot;008B79F6&quot;/&gt;&lt;wsp:rsid wsp:val=&quot;008B7BA6&quot;/&gt;&lt;wsp:rsid wsp:val=&quot;008B7BDD&quot;/&gt;&lt;wsp:rsid wsp:val=&quot;008C004F&quot;/&gt;&lt;wsp:rsid wsp:val=&quot;008C00FA&quot;/&gt;&lt;wsp:rsid wsp:val=&quot;008C031E&quot;/&gt;&lt;wsp:rsid wsp:val=&quot;008C0496&quot;/&gt;&lt;wsp:rsid wsp:val=&quot;008C0725&quot;/&gt;&lt;wsp:rsid wsp:val=&quot;008C09C3&quot;/&gt;&lt;wsp:rsid wsp:val=&quot;008C0A2C&quot;/&gt;&lt;wsp:rsid wsp:val=&quot;008C0CD1&quot;/&gt;&lt;wsp:rsid wsp:val=&quot;008C0FCD&quot;/&gt;&lt;wsp:rsid wsp:val=&quot;008C141C&quot;/&gt;&lt;wsp:rsid wsp:val=&quot;008C178B&quot;/&gt;&lt;wsp:rsid wsp:val=&quot;008C1CEF&quot;/&gt;&lt;wsp:rsid wsp:val=&quot;008C1FB8&quot;/&gt;&lt;wsp:rsid wsp:val=&quot;008C2188&quot;/&gt;&lt;wsp:rsid wsp:val=&quot;008C28FC&quot;/&gt;&lt;wsp:rsid wsp:val=&quot;008C2B53&quot;/&gt;&lt;wsp:rsid wsp:val=&quot;008C2C5D&quot;/&gt;&lt;wsp:rsid wsp:val=&quot;008C2DF1&quot;/&gt;&lt;wsp:rsid wsp:val=&quot;008C2E09&quot;/&gt;&lt;wsp:rsid wsp:val=&quot;008C2E73&quot;/&gt;&lt;wsp:rsid wsp:val=&quot;008C2F26&quot;/&gt;&lt;wsp:rsid wsp:val=&quot;008C304E&quot;/&gt;&lt;wsp:rsid wsp:val=&quot;008C3341&quot;/&gt;&lt;wsp:rsid wsp:val=&quot;008C3B27&quot;/&gt;&lt;wsp:rsid wsp:val=&quot;008C40F4&quot;/&gt;&lt;wsp:rsid wsp:val=&quot;008C4236&quot;/&gt;&lt;wsp:rsid wsp:val=&quot;008C440D&quot;/&gt;&lt;wsp:rsid wsp:val=&quot;008C45EB&quot;/&gt;&lt;wsp:rsid wsp:val=&quot;008C4AA7&quot;/&gt;&lt;wsp:rsid wsp:val=&quot;008C5370&quot;/&gt;&lt;wsp:rsid wsp:val=&quot;008C53E6&quot;/&gt;&lt;wsp:rsid wsp:val=&quot;008C61E8&quot;/&gt;&lt;wsp:rsid wsp:val=&quot;008C65D8&quot;/&gt;&lt;wsp:rsid wsp:val=&quot;008C6723&quot;/&gt;&lt;wsp:rsid wsp:val=&quot;008C69F0&quot;/&gt;&lt;wsp:rsid wsp:val=&quot;008C6F58&quot;/&gt;&lt;wsp:rsid wsp:val=&quot;008C71C6&quot;/&gt;&lt;wsp:rsid wsp:val=&quot;008C7236&quot;/&gt;&lt;wsp:rsid wsp:val=&quot;008C7457&quot;/&gt;&lt;wsp:rsid wsp:val=&quot;008C765C&quot;/&gt;&lt;wsp:rsid wsp:val=&quot;008C7731&quot;/&gt;&lt;wsp:rsid wsp:val=&quot;008C77E4&quot;/&gt;&lt;wsp:rsid wsp:val=&quot;008C7A0B&quot;/&gt;&lt;wsp:rsid wsp:val=&quot;008C7A60&quot;/&gt;&lt;wsp:rsid wsp:val=&quot;008C7B67&quot;/&gt;&lt;wsp:rsid wsp:val=&quot;008C7F15&quot;/&gt;&lt;wsp:rsid wsp:val=&quot;008D09DE&quot;/&gt;&lt;wsp:rsid wsp:val=&quot;008D0F15&quot;/&gt;&lt;wsp:rsid wsp:val=&quot;008D1621&quot;/&gt;&lt;wsp:rsid wsp:val=&quot;008D172B&quot;/&gt;&lt;wsp:rsid wsp:val=&quot;008D1BA5&quot;/&gt;&lt;wsp:rsid wsp:val=&quot;008D2C98&quot;/&gt;&lt;wsp:rsid wsp:val=&quot;008D3458&quot;/&gt;&lt;wsp:rsid wsp:val=&quot;008D345E&quot;/&gt;&lt;wsp:rsid wsp:val=&quot;008D3466&quot;/&gt;&lt;wsp:rsid wsp:val=&quot;008D3B15&quot;/&gt;&lt;wsp:rsid wsp:val=&quot;008D3B7B&quot;/&gt;&lt;wsp:rsid wsp:val=&quot;008D3C87&quot;/&gt;&lt;wsp:rsid wsp:val=&quot;008D4662&quot;/&gt;&lt;wsp:rsid wsp:val=&quot;008D46B1&quot;/&gt;&lt;wsp:rsid wsp:val=&quot;008D5085&quot;/&gt;&lt;wsp:rsid wsp:val=&quot;008D514A&quot;/&gt;&lt;wsp:rsid wsp:val=&quot;008D55C8&quot;/&gt;&lt;wsp:rsid wsp:val=&quot;008D621C&quot;/&gt;&lt;wsp:rsid wsp:val=&quot;008D656C&quot;/&gt;&lt;wsp:rsid wsp:val=&quot;008D6AB6&quot;/&gt;&lt;wsp:rsid wsp:val=&quot;008D6AEA&quot;/&gt;&lt;wsp:rsid wsp:val=&quot;008D6F9D&quot;/&gt;&lt;wsp:rsid wsp:val=&quot;008D72C8&quot;/&gt;&lt;wsp:rsid wsp:val=&quot;008D770F&quot;/&gt;&lt;wsp:rsid wsp:val=&quot;008D7967&quot;/&gt;&lt;wsp:rsid wsp:val=&quot;008D7A0C&quot;/&gt;&lt;wsp:rsid wsp:val=&quot;008D7B18&quot;/&gt;&lt;wsp:rsid wsp:val=&quot;008E0261&quot;/&gt;&lt;wsp:rsid wsp:val=&quot;008E050A&quot;/&gt;&lt;wsp:rsid wsp:val=&quot;008E06ED&quot;/&gt;&lt;wsp:rsid wsp:val=&quot;008E093D&quot;/&gt;&lt;wsp:rsid wsp:val=&quot;008E14EB&quot;/&gt;&lt;wsp:rsid wsp:val=&quot;008E15B8&quot;/&gt;&lt;wsp:rsid wsp:val=&quot;008E1948&quot;/&gt;&lt;wsp:rsid wsp:val=&quot;008E1BEC&quot;/&gt;&lt;wsp:rsid wsp:val=&quot;008E1CB1&quot;/&gt;&lt;wsp:rsid wsp:val=&quot;008E1F08&quot;/&gt;&lt;wsp:rsid wsp:val=&quot;008E2320&quot;/&gt;&lt;wsp:rsid wsp:val=&quot;008E240F&quot;/&gt;&lt;wsp:rsid wsp:val=&quot;008E2575&quot;/&gt;&lt;wsp:rsid wsp:val=&quot;008E2A9B&quot;/&gt;&lt;wsp:rsid wsp:val=&quot;008E2BD1&quot;/&gt;&lt;wsp:rsid wsp:val=&quot;008E3342&quot;/&gt;&lt;wsp:rsid wsp:val=&quot;008E3398&quot;/&gt;&lt;wsp:rsid wsp:val=&quot;008E39F4&quot;/&gt;&lt;wsp:rsid wsp:val=&quot;008E3B1C&quot;/&gt;&lt;wsp:rsid wsp:val=&quot;008E3EB2&quot;/&gt;&lt;wsp:rsid wsp:val=&quot;008E4C43&quot;/&gt;&lt;wsp:rsid wsp:val=&quot;008E52F2&quot;/&gt;&lt;wsp:rsid wsp:val=&quot;008E539B&quot;/&gt;&lt;wsp:rsid wsp:val=&quot;008E5769&quot;/&gt;&lt;wsp:rsid wsp:val=&quot;008E58ED&quot;/&gt;&lt;wsp:rsid wsp:val=&quot;008E5B55&quot;/&gt;&lt;wsp:rsid wsp:val=&quot;008E5BD6&quot;/&gt;&lt;wsp:rsid wsp:val=&quot;008E5F0C&quot;/&gt;&lt;wsp:rsid wsp:val=&quot;008E6158&quot;/&gt;&lt;wsp:rsid wsp:val=&quot;008E62F9&quot;/&gt;&lt;wsp:rsid wsp:val=&quot;008E6605&quot;/&gt;&lt;wsp:rsid wsp:val=&quot;008E673A&quot;/&gt;&lt;wsp:rsid wsp:val=&quot;008E67E1&quot;/&gt;&lt;wsp:rsid wsp:val=&quot;008E6921&quot;/&gt;&lt;wsp:rsid wsp:val=&quot;008E6AEC&quot;/&gt;&lt;wsp:rsid wsp:val=&quot;008E6BFD&quot;/&gt;&lt;wsp:rsid wsp:val=&quot;008E6CBC&quot;/&gt;&lt;wsp:rsid wsp:val=&quot;008E6F19&quot;/&gt;&lt;wsp:rsid wsp:val=&quot;008E79A0&quot;/&gt;&lt;wsp:rsid wsp:val=&quot;008E7DAA&quot;/&gt;&lt;wsp:rsid wsp:val=&quot;008F0505&quot;/&gt;&lt;wsp:rsid wsp:val=&quot;008F0771&quot;/&gt;&lt;wsp:rsid wsp:val=&quot;008F0966&quot;/&gt;&lt;wsp:rsid wsp:val=&quot;008F0E42&quot;/&gt;&lt;wsp:rsid wsp:val=&quot;008F0E74&quot;/&gt;&lt;wsp:rsid wsp:val=&quot;008F1131&quot;/&gt;&lt;wsp:rsid wsp:val=&quot;008F195C&quot;/&gt;&lt;wsp:rsid wsp:val=&quot;008F1A00&quot;/&gt;&lt;wsp:rsid wsp:val=&quot;008F1AD7&quot;/&gt;&lt;wsp:rsid wsp:val=&quot;008F22D5&quot;/&gt;&lt;wsp:rsid wsp:val=&quot;008F23C5&quot;/&gt;&lt;wsp:rsid wsp:val=&quot;008F26C8&quot;/&gt;&lt;wsp:rsid wsp:val=&quot;008F29EB&quot;/&gt;&lt;wsp:rsid wsp:val=&quot;008F2DDD&quot;/&gt;&lt;wsp:rsid wsp:val=&quot;008F30D9&quot;/&gt;&lt;wsp:rsid wsp:val=&quot;008F359F&quot;/&gt;&lt;wsp:rsid wsp:val=&quot;008F37EC&quot;/&gt;&lt;wsp:rsid wsp:val=&quot;008F3CF8&quot;/&gt;&lt;wsp:rsid wsp:val=&quot;008F3D5C&quot;/&gt;&lt;wsp:rsid wsp:val=&quot;008F3F23&quot;/&gt;&lt;wsp:rsid wsp:val=&quot;008F3F37&quot;/&gt;&lt;wsp:rsid wsp:val=&quot;008F46EB&quot;/&gt;&lt;wsp:rsid wsp:val=&quot;008F4BD8&quot;/&gt;&lt;wsp:rsid wsp:val=&quot;008F4D67&quot;/&gt;&lt;wsp:rsid wsp:val=&quot;008F4E9C&quot;/&gt;&lt;wsp:rsid wsp:val=&quot;008F514D&quot;/&gt;&lt;wsp:rsid wsp:val=&quot;008F546D&quot;/&gt;&lt;wsp:rsid wsp:val=&quot;008F5489&quot;/&gt;&lt;wsp:rsid wsp:val=&quot;008F5BE4&quot;/&gt;&lt;wsp:rsid wsp:val=&quot;008F5C1E&quot;/&gt;&lt;wsp:rsid wsp:val=&quot;008F5C8A&quot;/&gt;&lt;wsp:rsid wsp:val=&quot;008F601F&quot;/&gt;&lt;wsp:rsid wsp:val=&quot;008F6099&quot;/&gt;&lt;wsp:rsid wsp:val=&quot;008F618B&quot;/&gt;&lt;wsp:rsid wsp:val=&quot;008F667B&quot;/&gt;&lt;wsp:rsid wsp:val=&quot;008F6C87&quot;/&gt;&lt;wsp:rsid wsp:val=&quot;008F70CD&quot;/&gt;&lt;wsp:rsid wsp:val=&quot;008F7C27&quot;/&gt;&lt;wsp:rsid wsp:val=&quot;00900513&quot;/&gt;&lt;wsp:rsid wsp:val=&quot;00900E61&quot;/&gt;&lt;wsp:rsid wsp:val=&quot;0090117A&quot;/&gt;&lt;wsp:rsid wsp:val=&quot;0090154D&quot;/&gt;&lt;wsp:rsid wsp:val=&quot;00901580&quot;/&gt;&lt;wsp:rsid wsp:val=&quot;0090189D&quot;/&gt;&lt;wsp:rsid wsp:val=&quot;0090293D&quot;/&gt;&lt;wsp:rsid wsp:val=&quot;00902AC5&quot;/&gt;&lt;wsp:rsid wsp:val=&quot;00902C25&quot;/&gt;&lt;wsp:rsid wsp:val=&quot;0090300A&quot;/&gt;&lt;wsp:rsid wsp:val=&quot;00903216&quot;/&gt;&lt;wsp:rsid wsp:val=&quot;00903272&quot;/&gt;&lt;wsp:rsid wsp:val=&quot;00903532&quot;/&gt;&lt;wsp:rsid wsp:val=&quot;00903794&quot;/&gt;&lt;wsp:rsid wsp:val=&quot;00904FBC&quot;/&gt;&lt;wsp:rsid wsp:val=&quot;009055EB&quot;/&gt;&lt;wsp:rsid wsp:val=&quot;00905B69&quot;/&gt;&lt;wsp:rsid wsp:val=&quot;009060A8&quot;/&gt;&lt;wsp:rsid wsp:val=&quot;00906853&quot;/&gt;&lt;wsp:rsid wsp:val=&quot;00906856&quot;/&gt;&lt;wsp:rsid wsp:val=&quot;00906864&quot;/&gt;&lt;wsp:rsid wsp:val=&quot;00906A15&quot;/&gt;&lt;wsp:rsid wsp:val=&quot;00906ABF&quot;/&gt;&lt;wsp:rsid wsp:val=&quot;00906C11&quot;/&gt;&lt;wsp:rsid wsp:val=&quot;009071AE&quot;/&gt;&lt;wsp:rsid wsp:val=&quot;0090749D&quot;/&gt;&lt;wsp:rsid wsp:val=&quot;00907596&quot;/&gt;&lt;wsp:rsid wsp:val=&quot;0090764B&quot;/&gt;&lt;wsp:rsid wsp:val=&quot;009076CB&quot;/&gt;&lt;wsp:rsid wsp:val=&quot;009078AF&quot;/&gt;&lt;wsp:rsid wsp:val=&quot;00907EB1&quot;/&gt;&lt;wsp:rsid wsp:val=&quot;00907EEC&quot;/&gt;&lt;wsp:rsid wsp:val=&quot;009102C4&quot;/&gt;&lt;wsp:rsid wsp:val=&quot;00910BA2&quot;/&gt;&lt;wsp:rsid wsp:val=&quot;00910D04&quot;/&gt;&lt;wsp:rsid wsp:val=&quot;00910F7B&quot;/&gt;&lt;wsp:rsid wsp:val=&quot;009115C8&quot;/&gt;&lt;wsp:rsid wsp:val=&quot;00911733&quot;/&gt;&lt;wsp:rsid wsp:val=&quot;0091179B&quot;/&gt;&lt;wsp:rsid wsp:val=&quot;0091257C&quot;/&gt;&lt;wsp:rsid wsp:val=&quot;0091271F&quot;/&gt;&lt;wsp:rsid wsp:val=&quot;00912CE0&quot;/&gt;&lt;wsp:rsid wsp:val=&quot;00912DD2&quot;/&gt;&lt;wsp:rsid wsp:val=&quot;00912F07&quot;/&gt;&lt;wsp:rsid wsp:val=&quot;00912F87&quot;/&gt;&lt;wsp:rsid wsp:val=&quot;009132AA&quot;/&gt;&lt;wsp:rsid wsp:val=&quot;009135E5&quot;/&gt;&lt;wsp:rsid wsp:val=&quot;00913717&quot;/&gt;&lt;wsp:rsid wsp:val=&quot;00913790&quot;/&gt;&lt;wsp:rsid wsp:val=&quot;00913C7F&quot;/&gt;&lt;wsp:rsid wsp:val=&quot;00913D47&quot;/&gt;&lt;wsp:rsid wsp:val=&quot;00913E9D&quot;/&gt;&lt;wsp:rsid wsp:val=&quot;009143DF&quot;/&gt;&lt;wsp:rsid wsp:val=&quot;00914437&quot;/&gt;&lt;wsp:rsid wsp:val=&quot;009147CE&quot;/&gt;&lt;wsp:rsid wsp:val=&quot;00914AB9&quot;/&gt;&lt;wsp:rsid wsp:val=&quot;00914F69&quot;/&gt;&lt;wsp:rsid wsp:val=&quot;009157B4&quot;/&gt;&lt;wsp:rsid wsp:val=&quot;0091624C&quot;/&gt;&lt;wsp:rsid wsp:val=&quot;00916658&quot;/&gt;&lt;wsp:rsid wsp:val=&quot;00916E5A&quot;/&gt;&lt;wsp:rsid wsp:val=&quot;00917177&quot;/&gt;&lt;wsp:rsid wsp:val=&quot;009175C8&quot;/&gt;&lt;wsp:rsid wsp:val=&quot;00917B3B&quot;/&gt;&lt;wsp:rsid wsp:val=&quot;0092006C&quot;/&gt;&lt;wsp:rsid wsp:val=&quot;00920473&quot;/&gt;&lt;wsp:rsid wsp:val=&quot;0092088B&quot;/&gt;&lt;wsp:rsid wsp:val=&quot;00920AD2&quot;/&gt;&lt;wsp:rsid wsp:val=&quot;00920FA4&quot;/&gt;&lt;wsp:rsid wsp:val=&quot;0092109F&quot;/&gt;&lt;wsp:rsid wsp:val=&quot;00921510&quot;/&gt;&lt;wsp:rsid wsp:val=&quot;0092193B&quot;/&gt;&lt;wsp:rsid wsp:val=&quot;009219D3&quot;/&gt;&lt;wsp:rsid wsp:val=&quot;00921D32&quot;/&gt;&lt;wsp:rsid wsp:val=&quot;0092209F&quot;/&gt;&lt;wsp:rsid wsp:val=&quot;00922279&quot;/&gt;&lt;wsp:rsid wsp:val=&quot;00922548&quot;/&gt;&lt;wsp:rsid wsp:val=&quot;0092254B&quot;/&gt;&lt;wsp:rsid wsp:val=&quot;00922B18&quot;/&gt;&lt;wsp:rsid wsp:val=&quot;00923118&quot;/&gt;&lt;wsp:rsid wsp:val=&quot;009236E3&quot;/&gt;&lt;wsp:rsid wsp:val=&quot;00923A43&quot;/&gt;&lt;wsp:rsid wsp:val=&quot;00923AE0&quot;/&gt;&lt;wsp:rsid wsp:val=&quot;00923BC3&quot;/&gt;&lt;wsp:rsid wsp:val=&quot;00923E43&quot;/&gt;&lt;wsp:rsid wsp:val=&quot;00923F54&quot;/&gt;&lt;wsp:rsid wsp:val=&quot;00924E02&quot;/&gt;&lt;wsp:rsid wsp:val=&quot;00924E30&quot;/&gt;&lt;wsp:rsid wsp:val=&quot;009251D0&quot;/&gt;&lt;wsp:rsid wsp:val=&quot;00925774&quot;/&gt;&lt;wsp:rsid wsp:val=&quot;00925821&quot;/&gt;&lt;wsp:rsid wsp:val=&quot;00925FF3&quot;/&gt;&lt;wsp:rsid wsp:val=&quot;00926802&quot;/&gt;&lt;wsp:rsid wsp:val=&quot;009269F5&quot;/&gt;&lt;wsp:rsid wsp:val=&quot;00927BAA&quot;/&gt;&lt;wsp:rsid wsp:val=&quot;00927CCF&quot;/&gt;&lt;wsp:rsid wsp:val=&quot;00927DB4&quot;/&gt;&lt;wsp:rsid wsp:val=&quot;00927F77&quot;/&gt;&lt;wsp:rsid wsp:val=&quot;00927FEB&quot;/&gt;&lt;wsp:rsid wsp:val=&quot;009304F1&quot;/&gt;&lt;wsp:rsid wsp:val=&quot;00930641&quot;/&gt;&lt;wsp:rsid wsp:val=&quot;0093088D&quot;/&gt;&lt;wsp:rsid wsp:val=&quot;00930C11&quot;/&gt;&lt;wsp:rsid wsp:val=&quot;00930D0B&quot;/&gt;&lt;wsp:rsid wsp:val=&quot;00930DD3&quot;/&gt;&lt;wsp:rsid wsp:val=&quot;009313EC&quot;/&gt;&lt;wsp:rsid wsp:val=&quot;00931554&quot;/&gt;&lt;wsp:rsid wsp:val=&quot;00931B48&quot;/&gt;&lt;wsp:rsid wsp:val=&quot;00931CE2&quot;/&gt;&lt;wsp:rsid wsp:val=&quot;0093200C&quot;/&gt;&lt;wsp:rsid wsp:val=&quot;009325ED&quot;/&gt;&lt;wsp:rsid wsp:val=&quot;0093275E&quot;/&gt;&lt;wsp:rsid wsp:val=&quot;0093287D&quot;/&gt;&lt;wsp:rsid wsp:val=&quot;00932D4D&quot;/&gt;&lt;wsp:rsid wsp:val=&quot;00932DE2&quot;/&gt;&lt;wsp:rsid wsp:val=&quot;00932E21&quot;/&gt;&lt;wsp:rsid wsp:val=&quot;0093355D&quot;/&gt;&lt;wsp:rsid wsp:val=&quot;00933887&quot;/&gt;&lt;wsp:rsid wsp:val=&quot;009339E0&quot;/&gt;&lt;wsp:rsid wsp:val=&quot;00933DB8&quot;/&gt;&lt;wsp:rsid wsp:val=&quot;00933E9F&quot;/&gt;&lt;wsp:rsid wsp:val=&quot;0093457B&quot;/&gt;&lt;wsp:rsid wsp:val=&quot;00934D3B&quot;/&gt;&lt;wsp:rsid wsp:val=&quot;0093523C&quot;/&gt;&lt;wsp:rsid wsp:val=&quot;009352D1&quot;/&gt;&lt;wsp:rsid wsp:val=&quot;00935CC2&quot;/&gt;&lt;wsp:rsid wsp:val=&quot;00935D23&quot;/&gt;&lt;wsp:rsid wsp:val=&quot;0093605F&quot;/&gt;&lt;wsp:rsid wsp:val=&quot;009360C9&quot;/&gt;&lt;wsp:rsid wsp:val=&quot;00936545&quot;/&gt;&lt;wsp:rsid wsp:val=&quot;00936D64&quot;/&gt;&lt;wsp:rsid wsp:val=&quot;00936F3A&quot;/&gt;&lt;wsp:rsid wsp:val=&quot;00936F68&quot;/&gt;&lt;wsp:rsid wsp:val=&quot;00937205&quot;/&gt;&lt;wsp:rsid wsp:val=&quot;0093729E&quot;/&gt;&lt;wsp:rsid wsp:val=&quot;009378CC&quot;/&gt;&lt;wsp:rsid wsp:val=&quot;00937B53&quot;/&gt;&lt;wsp:rsid wsp:val=&quot;00937BA2&quot;/&gt;&lt;wsp:rsid wsp:val=&quot;00940009&quot;/&gt;&lt;wsp:rsid wsp:val=&quot;009403B1&quot;/&gt;&lt;wsp:rsid wsp:val=&quot;00940992&quot;/&gt;&lt;wsp:rsid wsp:val=&quot;00940B40&quot;/&gt;&lt;wsp:rsid wsp:val=&quot;00940B47&quot;/&gt;&lt;wsp:rsid wsp:val=&quot;00940C7A&quot;/&gt;&lt;wsp:rsid wsp:val=&quot;00940E2E&quot;/&gt;&lt;wsp:rsid wsp:val=&quot;00940ECD&quot;/&gt;&lt;wsp:rsid wsp:val=&quot;00941161&quot;/&gt;&lt;wsp:rsid wsp:val=&quot;0094116E&quot;/&gt;&lt;wsp:rsid wsp:val=&quot;00941302&quot;/&gt;&lt;wsp:rsid wsp:val=&quot;0094131C&quot;/&gt;&lt;wsp:rsid wsp:val=&quot;0094136B&quot;/&gt;&lt;wsp:rsid wsp:val=&quot;00941555&quot;/&gt;&lt;wsp:rsid wsp:val=&quot;00941B19&quot;/&gt;&lt;wsp:rsid wsp:val=&quot;009424BE&quot;/&gt;&lt;wsp:rsid wsp:val=&quot;009426FC&quot;/&gt;&lt;wsp:rsid wsp:val=&quot;009428F9&quot;/&gt;&lt;wsp:rsid wsp:val=&quot;00943268&quot;/&gt;&lt;wsp:rsid wsp:val=&quot;00943605&quot;/&gt;&lt;wsp:rsid wsp:val=&quot;00943812&quot;/&gt;&lt;wsp:rsid wsp:val=&quot;00943923&quot;/&gt;&lt;wsp:rsid wsp:val=&quot;00943EB7&quot;/&gt;&lt;wsp:rsid wsp:val=&quot;00943F71&quot;/&gt;&lt;wsp:rsid wsp:val=&quot;00943FBC&quot;/&gt;&lt;wsp:rsid wsp:val=&quot;009452AE&quot;/&gt;&lt;wsp:rsid wsp:val=&quot;00945548&quot;/&gt;&lt;wsp:rsid wsp:val=&quot;00945834&quot;/&gt;&lt;wsp:rsid wsp:val=&quot;009458E4&quot;/&gt;&lt;wsp:rsid wsp:val=&quot;00945A9F&quot;/&gt;&lt;wsp:rsid wsp:val=&quot;00945CDE&quot;/&gt;&lt;wsp:rsid wsp:val=&quot;00945DD4&quot;/&gt;&lt;wsp:rsid wsp:val=&quot;0094626E&quot;/&gt;&lt;wsp:rsid wsp:val=&quot;009463D7&quot;/&gt;&lt;wsp:rsid wsp:val=&quot;00946B1E&quot;/&gt;&lt;wsp:rsid wsp:val=&quot;00946EC2&quot;/&gt;&lt;wsp:rsid wsp:val=&quot;0094764A&quot;/&gt;&lt;wsp:rsid wsp:val=&quot;009479DB&quot;/&gt;&lt;wsp:rsid wsp:val=&quot;0095016A&quot;/&gt;&lt;wsp:rsid wsp:val=&quot;0095038D&quot;/&gt;&lt;wsp:rsid wsp:val=&quot;00951969&quot;/&gt;&lt;wsp:rsid wsp:val=&quot;00951BB1&quot;/&gt;&lt;wsp:rsid wsp:val=&quot;00951ED8&quot;/&gt;&lt;wsp:rsid wsp:val=&quot;009524C6&quot;/&gt;&lt;wsp:rsid wsp:val=&quot;009527FE&quot;/&gt;&lt;wsp:rsid wsp:val=&quot;00952805&quot;/&gt;&lt;wsp:rsid wsp:val=&quot;00952C7D&quot;/&gt;&lt;wsp:rsid wsp:val=&quot;00952ED4&quot;/&gt;&lt;wsp:rsid wsp:val=&quot;00953062&quot;/&gt;&lt;wsp:rsid wsp:val=&quot;00953263&quot;/&gt;&lt;wsp:rsid wsp:val=&quot;00953AFF&quot;/&gt;&lt;wsp:rsid wsp:val=&quot;00953BA1&quot;/&gt;&lt;wsp:rsid wsp:val=&quot;00953E7D&quot;/&gt;&lt;wsp:rsid wsp:val=&quot;00953FA0&quot;/&gt;&lt;wsp:rsid wsp:val=&quot;00954233&quot;/&gt;&lt;wsp:rsid wsp:val=&quot;00954283&quot;/&gt;&lt;wsp:rsid wsp:val=&quot;0095446D&quot;/&gt;&lt;wsp:rsid wsp:val=&quot;0095452A&quot;/&gt;&lt;wsp:rsid wsp:val=&quot;0095460C&quot;/&gt;&lt;wsp:rsid wsp:val=&quot;0095480E&quot;/&gt;&lt;wsp:rsid wsp:val=&quot;00954BAD&quot;/&gt;&lt;wsp:rsid wsp:val=&quot;00954E91&quot;/&gt;&lt;wsp:rsid wsp:val=&quot;009550C2&quot;/&gt;&lt;wsp:rsid wsp:val=&quot;0095533C&quot;/&gt;&lt;wsp:rsid wsp:val=&quot;009557A8&quot;/&gt;&lt;wsp:rsid wsp:val=&quot;00955DE6&quot;/&gt;&lt;wsp:rsid wsp:val=&quot;00955DF3&quot;/&gt;&lt;wsp:rsid wsp:val=&quot;00955DFE&quot;/&gt;&lt;wsp:rsid wsp:val=&quot;00955F0C&quot;/&gt;&lt;wsp:rsid wsp:val=&quot;009560F5&quot;/&gt;&lt;wsp:rsid wsp:val=&quot;00956C7D&quot;/&gt;&lt;wsp:rsid wsp:val=&quot;00956CDB&quot;/&gt;&lt;wsp:rsid wsp:val=&quot;0095730C&quot;/&gt;&lt;wsp:rsid wsp:val=&quot;00957695&quot;/&gt;&lt;wsp:rsid wsp:val=&quot;009576DE&quot;/&gt;&lt;wsp:rsid wsp:val=&quot;00957CC0&quot;/&gt;&lt;wsp:rsid wsp:val=&quot;00957D47&quot;/&gt;&lt;wsp:rsid wsp:val=&quot;00957EC5&quot;/&gt;&lt;wsp:rsid wsp:val=&quot;00960237&quot;/&gt;&lt;wsp:rsid wsp:val=&quot;0096032B&quot;/&gt;&lt;wsp:rsid wsp:val=&quot;009606AB&quot;/&gt;&lt;wsp:rsid wsp:val=&quot;009609B8&quot;/&gt;&lt;wsp:rsid wsp:val=&quot;00960A1B&quot;/&gt;&lt;wsp:rsid wsp:val=&quot;00960A5B&quot;/&gt;&lt;wsp:rsid wsp:val=&quot;00960DD3&quot;/&gt;&lt;wsp:rsid wsp:val=&quot;00960DF8&quot;/&gt;&lt;wsp:rsid wsp:val=&quot;00960F40&quot;/&gt;&lt;wsp:rsid wsp:val=&quot;00960FA4&quot;/&gt;&lt;wsp:rsid wsp:val=&quot;00961315&quot;/&gt;&lt;wsp:rsid wsp:val=&quot;0096148D&quot;/&gt;&lt;wsp:rsid wsp:val=&quot;00962566&quot;/&gt;&lt;wsp:rsid wsp:val=&quot;00962DEC&quot;/&gt;&lt;wsp:rsid wsp:val=&quot;0096305B&quot;/&gt;&lt;wsp:rsid wsp:val=&quot;00963321&quot;/&gt;&lt;wsp:rsid wsp:val=&quot;0096374E&quot;/&gt;&lt;wsp:rsid wsp:val=&quot;0096384C&quot;/&gt;&lt;wsp:rsid wsp:val=&quot;00963990&quot;/&gt;&lt;wsp:rsid wsp:val=&quot;00963F3E&quot;/&gt;&lt;wsp:rsid wsp:val=&quot;00963FB5&quot;/&gt;&lt;wsp:rsid wsp:val=&quot;00964615&quot;/&gt;&lt;wsp:rsid wsp:val=&quot;00964654&quot;/&gt;&lt;wsp:rsid wsp:val=&quot;009648C7&quot;/&gt;&lt;wsp:rsid wsp:val=&quot;00964F94&quot;/&gt;&lt;wsp:rsid wsp:val=&quot;009655CE&quot;/&gt;&lt;wsp:rsid wsp:val=&quot;00965D54&quot;/&gt;&lt;wsp:rsid wsp:val=&quot;009662CE&quot;/&gt;&lt;wsp:rsid wsp:val=&quot;00966480&quot;/&gt;&lt;wsp:rsid wsp:val=&quot;009667B5&quot;/&gt;&lt;wsp:rsid wsp:val=&quot;0096690C&quot;/&gt;&lt;wsp:rsid wsp:val=&quot;00966956&quot;/&gt;&lt;wsp:rsid wsp:val=&quot;00966A9F&quot;/&gt;&lt;wsp:rsid wsp:val=&quot;0096711A&quot;/&gt;&lt;wsp:rsid wsp:val=&quot;00967304&quot;/&gt;&lt;wsp:rsid wsp:val=&quot;00967551&quot;/&gt;&lt;wsp:rsid wsp:val=&quot;009675E9&quot;/&gt;&lt;wsp:rsid wsp:val=&quot;009677A1&quot;/&gt;&lt;wsp:rsid wsp:val=&quot;00970D50&quot;/&gt;&lt;wsp:rsid wsp:val=&quot;00970FEB&quot;/&gt;&lt;wsp:rsid wsp:val=&quot;00971110&quot;/&gt;&lt;wsp:rsid wsp:val=&quot;0097136E&quot;/&gt;&lt;wsp:rsid wsp:val=&quot;009713D0&quot;/&gt;&lt;wsp:rsid wsp:val=&quot;00971927&quot;/&gt;&lt;wsp:rsid wsp:val=&quot;00971969&quot;/&gt;&lt;wsp:rsid wsp:val=&quot;00971BC7&quot;/&gt;&lt;wsp:rsid wsp:val=&quot;00971C05&quot;/&gt;&lt;wsp:rsid wsp:val=&quot;00971CAA&quot;/&gt;&lt;wsp:rsid wsp:val=&quot;00972210&quot;/&gt;&lt;wsp:rsid wsp:val=&quot;0097343E&quot;/&gt;&lt;wsp:rsid wsp:val=&quot;00973AAB&quot;/&gt;&lt;wsp:rsid wsp:val=&quot;00973C00&quot;/&gt;&lt;wsp:rsid wsp:val=&quot;00973D92&quot;/&gt;&lt;wsp:rsid wsp:val=&quot;00973E53&quot;/&gt;&lt;wsp:rsid wsp:val=&quot;00974110&quot;/&gt;&lt;wsp:rsid wsp:val=&quot;009741DD&quot;/&gt;&lt;wsp:rsid wsp:val=&quot;009742E5&quot;/&gt;&lt;wsp:rsid wsp:val=&quot;00974907&quot;/&gt;&lt;wsp:rsid wsp:val=&quot;00974AE7&quot;/&gt;&lt;wsp:rsid wsp:val=&quot;0097550F&quot;/&gt;&lt;wsp:rsid wsp:val=&quot;0097594A&quot;/&gt;&lt;wsp:rsid wsp:val=&quot;009759C3&quot;/&gt;&lt;wsp:rsid wsp:val=&quot;00975A0E&quot;/&gt;&lt;wsp:rsid wsp:val=&quot;00976090&quot;/&gt;&lt;wsp:rsid wsp:val=&quot;0097735E&quot;/&gt;&lt;wsp:rsid wsp:val=&quot;0097784C&quot;/&gt;&lt;wsp:rsid wsp:val=&quot;009778A0&quot;/&gt;&lt;wsp:rsid wsp:val=&quot;00977B6E&quot;/&gt;&lt;wsp:rsid wsp:val=&quot;00977D78&quot;/&gt;&lt;wsp:rsid wsp:val=&quot;009801FA&quot;/&gt;&lt;wsp:rsid wsp:val=&quot;00980377&quot;/&gt;&lt;wsp:rsid wsp:val=&quot;00980390&quot;/&gt;&lt;wsp:rsid wsp:val=&quot;009803F5&quot;/&gt;&lt;wsp:rsid wsp:val=&quot;00980790&quot;/&gt;&lt;wsp:rsid wsp:val=&quot;00980BB9&quot;/&gt;&lt;wsp:rsid wsp:val=&quot;00980E2A&quot;/&gt;&lt;wsp:rsid wsp:val=&quot;00980EC8&quot;/&gt;&lt;wsp:rsid wsp:val=&quot;009815C2&quot;/&gt;&lt;wsp:rsid wsp:val=&quot;0098278D&quot;/&gt;&lt;wsp:rsid wsp:val=&quot;00982AC4&quot;/&gt;&lt;wsp:rsid wsp:val=&quot;0098346C&quot;/&gt;&lt;wsp:rsid wsp:val=&quot;0098353D&quot;/&gt;&lt;wsp:rsid wsp:val=&quot;009835FB&quot;/&gt;&lt;wsp:rsid wsp:val=&quot;00983797&quot;/&gt;&lt;wsp:rsid wsp:val=&quot;00983827&quot;/&gt;&lt;wsp:rsid wsp:val=&quot;0098488D&quot;/&gt;&lt;wsp:rsid wsp:val=&quot;00984A8C&quot;/&gt;&lt;wsp:rsid wsp:val=&quot;00984AAD&quot;/&gt;&lt;wsp:rsid wsp:val=&quot;00984B8B&quot;/&gt;&lt;wsp:rsid wsp:val=&quot;00984D74&quot;/&gt;&lt;wsp:rsid wsp:val=&quot;00984DD8&quot;/&gt;&lt;wsp:rsid wsp:val=&quot;0098508E&quot;/&gt;&lt;wsp:rsid wsp:val=&quot;009852F4&quot;/&gt;&lt;wsp:rsid wsp:val=&quot;009859BF&quot;/&gt;&lt;wsp:rsid wsp:val=&quot;00987163&quot;/&gt;&lt;wsp:rsid wsp:val=&quot;0098754F&quot;/&gt;&lt;wsp:rsid wsp:val=&quot;00987980&quot;/&gt;&lt;wsp:rsid wsp:val=&quot;00987E89&quot;/&gt;&lt;wsp:rsid wsp:val=&quot;00991459&quot;/&gt;&lt;wsp:rsid wsp:val=&quot;00991671&quot;/&gt;&lt;wsp:rsid wsp:val=&quot;00991782&quot;/&gt;&lt;wsp:rsid wsp:val=&quot;009917E3&quot;/&gt;&lt;wsp:rsid wsp:val=&quot;00991A13&quot;/&gt;&lt;wsp:rsid wsp:val=&quot;00991E2A&quot;/&gt;&lt;wsp:rsid wsp:val=&quot;009921AD&quot;/&gt;&lt;wsp:rsid wsp:val=&quot;009921D4&quot;/&gt;&lt;wsp:rsid wsp:val=&quot;0099278A&quot;/&gt;&lt;wsp:rsid wsp:val=&quot;00992869&quot;/&gt;&lt;wsp:rsid wsp:val=&quot;00992C3D&quot;/&gt;&lt;wsp:rsid wsp:val=&quot;00992DE3&quot;/&gt;&lt;wsp:rsid wsp:val=&quot;0099312A&quot;/&gt;&lt;wsp:rsid wsp:val=&quot;00993200&quot;/&gt;&lt;wsp:rsid wsp:val=&quot;00993249&quot;/&gt;&lt;wsp:rsid wsp:val=&quot;00993475&quot;/&gt;&lt;wsp:rsid wsp:val=&quot;00993B49&quot;/&gt;&lt;wsp:rsid wsp:val=&quot;00993BD3&quot;/&gt;&lt;wsp:rsid wsp:val=&quot;00994D3E&quot;/&gt;&lt;wsp:rsid wsp:val=&quot;009955E0&quot;/&gt;&lt;wsp:rsid wsp:val=&quot;00995611&quot;/&gt;&lt;wsp:rsid wsp:val=&quot;009957D0&quot;/&gt;&lt;wsp:rsid wsp:val=&quot;009958F6&quot;/&gt;&lt;wsp:rsid wsp:val=&quot;00995A30&quot;/&gt;&lt;wsp:rsid wsp:val=&quot;00995C78&quot;/&gt;&lt;wsp:rsid wsp:val=&quot;00995D52&quot;/&gt;&lt;wsp:rsid wsp:val=&quot;00995D62&quot;/&gt;&lt;wsp:rsid wsp:val=&quot;00995EED&quot;/&gt;&lt;wsp:rsid wsp:val=&quot;0099609C&quot;/&gt;&lt;wsp:rsid wsp:val=&quot;009967AD&quot;/&gt;&lt;wsp:rsid wsp:val=&quot;00996821&quot;/&gt;&lt;wsp:rsid wsp:val=&quot;009969C4&quot;/&gt;&lt;wsp:rsid wsp:val=&quot;00996C5E&quot;/&gt;&lt;wsp:rsid wsp:val=&quot;00996E57&quot;/&gt;&lt;wsp:rsid wsp:val=&quot;009972EB&quot;/&gt;&lt;wsp:rsid wsp:val=&quot;00997809&quot;/&gt;&lt;wsp:rsid wsp:val=&quot;009A00EF&quot;/&gt;&lt;wsp:rsid wsp:val=&quot;009A031D&quot;/&gt;&lt;wsp:rsid wsp:val=&quot;009A0546&quot;/&gt;&lt;wsp:rsid wsp:val=&quot;009A0691&quot;/&gt;&lt;wsp:rsid wsp:val=&quot;009A0AA4&quot;/&gt;&lt;wsp:rsid wsp:val=&quot;009A1202&quot;/&gt;&lt;wsp:rsid wsp:val=&quot;009A16E8&quot;/&gt;&lt;wsp:rsid wsp:val=&quot;009A170E&quot;/&gt;&lt;wsp:rsid wsp:val=&quot;009A1756&quot;/&gt;&lt;wsp:rsid wsp:val=&quot;009A179F&quot;/&gt;&lt;wsp:rsid wsp:val=&quot;009A1F5C&quot;/&gt;&lt;wsp:rsid wsp:val=&quot;009A215F&quot;/&gt;&lt;wsp:rsid wsp:val=&quot;009A24E6&quot;/&gt;&lt;wsp:rsid wsp:val=&quot;009A24F6&quot;/&gt;&lt;wsp:rsid wsp:val=&quot;009A2528&quot;/&gt;&lt;wsp:rsid wsp:val=&quot;009A261F&quot;/&gt;&lt;wsp:rsid wsp:val=&quot;009A295F&quot;/&gt;&lt;wsp:rsid wsp:val=&quot;009A2EEB&quot;/&gt;&lt;wsp:rsid wsp:val=&quot;009A3A57&quot;/&gt;&lt;wsp:rsid wsp:val=&quot;009A3CCC&quot;/&gt;&lt;wsp:rsid wsp:val=&quot;009A4396&quot;/&gt;&lt;wsp:rsid wsp:val=&quot;009A452F&quot;/&gt;&lt;wsp:rsid wsp:val=&quot;009A46B8&quot;/&gt;&lt;wsp:rsid wsp:val=&quot;009A4725&quot;/&gt;&lt;wsp:rsid wsp:val=&quot;009A4863&quot;/&gt;&lt;wsp:rsid wsp:val=&quot;009A4996&quot;/&gt;&lt;wsp:rsid wsp:val=&quot;009A4BC2&quot;/&gt;&lt;wsp:rsid wsp:val=&quot;009A4F9A&quot;/&gt;&lt;wsp:rsid wsp:val=&quot;009A5039&quot;/&gt;&lt;wsp:rsid wsp:val=&quot;009A519E&quot;/&gt;&lt;wsp:rsid wsp:val=&quot;009A5423&quot;/&gt;&lt;wsp:rsid wsp:val=&quot;009A5468&quot;/&gt;&lt;wsp:rsid wsp:val=&quot;009A57B5&quot;/&gt;&lt;wsp:rsid wsp:val=&quot;009A5B9A&quot;/&gt;&lt;wsp:rsid wsp:val=&quot;009A5E75&quot;/&gt;&lt;wsp:rsid wsp:val=&quot;009A60AE&quot;/&gt;&lt;wsp:rsid wsp:val=&quot;009A616D&quot;/&gt;&lt;wsp:rsid wsp:val=&quot;009A6712&quot;/&gt;&lt;wsp:rsid wsp:val=&quot;009A68F1&quot;/&gt;&lt;wsp:rsid wsp:val=&quot;009A6A5B&quot;/&gt;&lt;wsp:rsid wsp:val=&quot;009A6B39&quot;/&gt;&lt;wsp:rsid wsp:val=&quot;009A6D9B&quot;/&gt;&lt;wsp:rsid wsp:val=&quot;009A7078&quot;/&gt;&lt;wsp:rsid wsp:val=&quot;009A751C&quot;/&gt;&lt;wsp:rsid wsp:val=&quot;009A7768&quot;/&gt;&lt;wsp:rsid wsp:val=&quot;009A778F&quot;/&gt;&lt;wsp:rsid wsp:val=&quot;009A7BB0&quot;/&gt;&lt;wsp:rsid wsp:val=&quot;009A7BFB&quot;/&gt;&lt;wsp:rsid wsp:val=&quot;009A7C9E&quot;/&gt;&lt;wsp:rsid wsp:val=&quot;009B030A&quot;/&gt;&lt;wsp:rsid wsp:val=&quot;009B0BA0&quot;/&gt;&lt;wsp:rsid wsp:val=&quot;009B0D0E&quot;/&gt;&lt;wsp:rsid wsp:val=&quot;009B0D1C&quot;/&gt;&lt;wsp:rsid wsp:val=&quot;009B1D40&quot;/&gt;&lt;wsp:rsid wsp:val=&quot;009B2453&quot;/&gt;&lt;wsp:rsid wsp:val=&quot;009B25C0&quot;/&gt;&lt;wsp:rsid wsp:val=&quot;009B2649&quot;/&gt;&lt;wsp:rsid wsp:val=&quot;009B27CF&quot;/&gt;&lt;wsp:rsid wsp:val=&quot;009B2818&quot;/&gt;&lt;wsp:rsid wsp:val=&quot;009B2A7E&quot;/&gt;&lt;wsp:rsid wsp:val=&quot;009B2AAF&quot;/&gt;&lt;wsp:rsid wsp:val=&quot;009B2AFC&quot;/&gt;&lt;wsp:rsid wsp:val=&quot;009B2B4B&quot;/&gt;&lt;wsp:rsid wsp:val=&quot;009B2DDF&quot;/&gt;&lt;wsp:rsid wsp:val=&quot;009B3261&quot;/&gt;&lt;wsp:rsid wsp:val=&quot;009B3DE1&quot;/&gt;&lt;wsp:rsid wsp:val=&quot;009B4723&quot;/&gt;&lt;wsp:rsid wsp:val=&quot;009B4B92&quot;/&gt;&lt;wsp:rsid wsp:val=&quot;009B54B4&quot;/&gt;&lt;wsp:rsid wsp:val=&quot;009B5A4D&quot;/&gt;&lt;wsp:rsid wsp:val=&quot;009B5BB6&quot;/&gt;&lt;wsp:rsid wsp:val=&quot;009B6CDE&quot;/&gt;&lt;wsp:rsid wsp:val=&quot;009B7120&quot;/&gt;&lt;wsp:rsid wsp:val=&quot;009B79FA&quot;/&gt;&lt;wsp:rsid wsp:val=&quot;009B7A35&quot;/&gt;&lt;wsp:rsid wsp:val=&quot;009B7B82&quot;/&gt;&lt;wsp:rsid wsp:val=&quot;009B7DC2&quot;/&gt;&lt;wsp:rsid wsp:val=&quot;009C053E&quot;/&gt;&lt;wsp:rsid wsp:val=&quot;009C06B6&quot;/&gt;&lt;wsp:rsid wsp:val=&quot;009C08EA&quot;/&gt;&lt;wsp:rsid wsp:val=&quot;009C09FD&quot;/&gt;&lt;wsp:rsid wsp:val=&quot;009C0D5C&quot;/&gt;&lt;wsp:rsid wsp:val=&quot;009C1451&quot;/&gt;&lt;wsp:rsid wsp:val=&quot;009C1F4F&quot;/&gt;&lt;wsp:rsid wsp:val=&quot;009C2072&quot;/&gt;&lt;wsp:rsid wsp:val=&quot;009C23D6&quot;/&gt;&lt;wsp:rsid wsp:val=&quot;009C2722&quot;/&gt;&lt;wsp:rsid wsp:val=&quot;009C2729&quot;/&gt;&lt;wsp:rsid wsp:val=&quot;009C2784&quot;/&gt;&lt;wsp:rsid wsp:val=&quot;009C2AEA&quot;/&gt;&lt;wsp:rsid wsp:val=&quot;009C2C3F&quot;/&gt;&lt;wsp:rsid wsp:val=&quot;009C2FDD&quot;/&gt;&lt;wsp:rsid wsp:val=&quot;009C34F9&quot;/&gt;&lt;wsp:rsid wsp:val=&quot;009C35E7&quot;/&gt;&lt;wsp:rsid wsp:val=&quot;009C36E7&quot;/&gt;&lt;wsp:rsid wsp:val=&quot;009C38E9&quot;/&gt;&lt;wsp:rsid wsp:val=&quot;009C39F3&quot;/&gt;&lt;wsp:rsid wsp:val=&quot;009C3E94&quot;/&gt;&lt;wsp:rsid wsp:val=&quot;009C3FCC&quot;/&gt;&lt;wsp:rsid wsp:val=&quot;009C4BE5&quot;/&gt;&lt;wsp:rsid wsp:val=&quot;009C4ED7&quot;/&gt;&lt;wsp:rsid wsp:val=&quot;009C4F74&quot;/&gt;&lt;wsp:rsid wsp:val=&quot;009C5115&quot;/&gt;&lt;wsp:rsid wsp:val=&quot;009C517E&quot;/&gt;&lt;wsp:rsid wsp:val=&quot;009C542D&quot;/&gt;&lt;wsp:rsid wsp:val=&quot;009C57E9&quot;/&gt;&lt;wsp:rsid wsp:val=&quot;009C5B1C&quot;/&gt;&lt;wsp:rsid wsp:val=&quot;009C5BC1&quot;/&gt;&lt;wsp:rsid wsp:val=&quot;009C6835&quot;/&gt;&lt;wsp:rsid wsp:val=&quot;009C696A&quot;/&gt;&lt;wsp:rsid wsp:val=&quot;009C6BF5&quot;/&gt;&lt;wsp:rsid wsp:val=&quot;009C708E&quot;/&gt;&lt;wsp:rsid wsp:val=&quot;009C715D&quot;/&gt;&lt;wsp:rsid wsp:val=&quot;009C76B8&quot;/&gt;&lt;wsp:rsid wsp:val=&quot;009C7E16&quot;/&gt;&lt;wsp:rsid wsp:val=&quot;009C7E8B&quot;/&gt;&lt;wsp:rsid wsp:val=&quot;009C7F54&quot;/&gt;&lt;wsp:rsid wsp:val=&quot;009C7F9F&quot;/&gt;&lt;wsp:rsid wsp:val=&quot;009D04EE&quot;/&gt;&lt;wsp:rsid wsp:val=&quot;009D07C5&quot;/&gt;&lt;wsp:rsid wsp:val=&quot;009D0A80&quot;/&gt;&lt;wsp:rsid wsp:val=&quot;009D0AA1&quot;/&gt;&lt;wsp:rsid wsp:val=&quot;009D0AF6&quot;/&gt;&lt;wsp:rsid wsp:val=&quot;009D0B58&quot;/&gt;&lt;wsp:rsid wsp:val=&quot;009D0BEB&quot;/&gt;&lt;wsp:rsid wsp:val=&quot;009D11AD&quot;/&gt;&lt;wsp:rsid wsp:val=&quot;009D1479&quot;/&gt;&lt;wsp:rsid wsp:val=&quot;009D15E4&quot;/&gt;&lt;wsp:rsid wsp:val=&quot;009D162D&quot;/&gt;&lt;wsp:rsid wsp:val=&quot;009D17A0&quot;/&gt;&lt;wsp:rsid wsp:val=&quot;009D19F1&quot;/&gt;&lt;wsp:rsid wsp:val=&quot;009D2125&quot;/&gt;&lt;wsp:rsid wsp:val=&quot;009D227E&quot;/&gt;&lt;wsp:rsid wsp:val=&quot;009D23AA&quot;/&gt;&lt;wsp:rsid wsp:val=&quot;009D23C0&quot;/&gt;&lt;wsp:rsid wsp:val=&quot;009D281F&quot;/&gt;&lt;wsp:rsid wsp:val=&quot;009D298A&quot;/&gt;&lt;wsp:rsid wsp:val=&quot;009D29F0&quot;/&gt;&lt;wsp:rsid wsp:val=&quot;009D2B6B&quot;/&gt;&lt;wsp:rsid wsp:val=&quot;009D2BE3&quot;/&gt;&lt;wsp:rsid wsp:val=&quot;009D2E4A&quot;/&gt;&lt;wsp:rsid wsp:val=&quot;009D2EBB&quot;/&gt;&lt;wsp:rsid wsp:val=&quot;009D2FBB&quot;/&gt;&lt;wsp:rsid wsp:val=&quot;009D31E6&quot;/&gt;&lt;wsp:rsid wsp:val=&quot;009D35BB&quot;/&gt;&lt;wsp:rsid wsp:val=&quot;009D3A39&quot;/&gt;&lt;wsp:rsid wsp:val=&quot;009D3AE1&quot;/&gt;&lt;wsp:rsid wsp:val=&quot;009D3AF5&quot;/&gt;&lt;wsp:rsid wsp:val=&quot;009D461A&quot;/&gt;&lt;wsp:rsid wsp:val=&quot;009D56D5&quot;/&gt;&lt;wsp:rsid wsp:val=&quot;009D57B6&quot;/&gt;&lt;wsp:rsid wsp:val=&quot;009D5916&quot;/&gt;&lt;wsp:rsid wsp:val=&quot;009D5D5E&quot;/&gt;&lt;wsp:rsid wsp:val=&quot;009D6099&quot;/&gt;&lt;wsp:rsid wsp:val=&quot;009D61D7&quot;/&gt;&lt;wsp:rsid wsp:val=&quot;009D61E5&quot;/&gt;&lt;wsp:rsid wsp:val=&quot;009D6605&quot;/&gt;&lt;wsp:rsid wsp:val=&quot;009D67EA&quot;/&gt;&lt;wsp:rsid wsp:val=&quot;009D6ABA&quot;/&gt;&lt;wsp:rsid wsp:val=&quot;009D6ABF&quot;/&gt;&lt;wsp:rsid wsp:val=&quot;009D6D5A&quot;/&gt;&lt;wsp:rsid wsp:val=&quot;009D79DB&quot;/&gt;&lt;wsp:rsid wsp:val=&quot;009D7A84&quot;/&gt;&lt;wsp:rsid wsp:val=&quot;009D7AB4&quot;/&gt;&lt;wsp:rsid wsp:val=&quot;009D7D1E&quot;/&gt;&lt;wsp:rsid wsp:val=&quot;009D7FD1&quot;/&gt;&lt;wsp:rsid wsp:val=&quot;009E037F&quot;/&gt;&lt;wsp:rsid wsp:val=&quot;009E07DE&quot;/&gt;&lt;wsp:rsid wsp:val=&quot;009E0BCD&quot;/&gt;&lt;wsp:rsid wsp:val=&quot;009E0BEF&quot;/&gt;&lt;wsp:rsid wsp:val=&quot;009E0DD7&quot;/&gt;&lt;wsp:rsid wsp:val=&quot;009E0F4D&quot;/&gt;&lt;wsp:rsid wsp:val=&quot;009E0FB4&quot;/&gt;&lt;wsp:rsid wsp:val=&quot;009E1086&quot;/&gt;&lt;wsp:rsid wsp:val=&quot;009E1294&quot;/&gt;&lt;wsp:rsid wsp:val=&quot;009E19F8&quot;/&gt;&lt;wsp:rsid wsp:val=&quot;009E1C77&quot;/&gt;&lt;wsp:rsid wsp:val=&quot;009E2DEE&quot;/&gt;&lt;wsp:rsid wsp:val=&quot;009E36EB&quot;/&gt;&lt;wsp:rsid wsp:val=&quot;009E3E4C&quot;/&gt;&lt;wsp:rsid wsp:val=&quot;009E3FFF&quot;/&gt;&lt;wsp:rsid wsp:val=&quot;009E45F4&quot;/&gt;&lt;wsp:rsid wsp:val=&quot;009E4622&quot;/&gt;&lt;wsp:rsid wsp:val=&quot;009E48F5&quot;/&gt;&lt;wsp:rsid wsp:val=&quot;009E5044&quot;/&gt;&lt;wsp:rsid wsp:val=&quot;009E5060&quot;/&gt;&lt;wsp:rsid wsp:val=&quot;009E53F0&quot;/&gt;&lt;wsp:rsid wsp:val=&quot;009E53F2&quot;/&gt;&lt;wsp:rsid wsp:val=&quot;009E5666&quot;/&gt;&lt;wsp:rsid wsp:val=&quot;009E56C1&quot;/&gt;&lt;wsp:rsid wsp:val=&quot;009E591E&quot;/&gt;&lt;wsp:rsid wsp:val=&quot;009E5D87&quot;/&gt;&lt;wsp:rsid wsp:val=&quot;009E5DE0&quot;/&gt;&lt;wsp:rsid wsp:val=&quot;009E68A8&quot;/&gt;&lt;wsp:rsid wsp:val=&quot;009E6988&quot;/&gt;&lt;wsp:rsid wsp:val=&quot;009E6C73&quot;/&gt;&lt;wsp:rsid wsp:val=&quot;009E6CC9&quot;/&gt;&lt;wsp:rsid wsp:val=&quot;009E71EE&quot;/&gt;&lt;wsp:rsid wsp:val=&quot;009E7D27&quot;/&gt;&lt;wsp:rsid wsp:val=&quot;009F0DAA&quot;/&gt;&lt;wsp:rsid wsp:val=&quot;009F0E30&quot;/&gt;&lt;wsp:rsid wsp:val=&quot;009F1B40&quot;/&gt;&lt;wsp:rsid wsp:val=&quot;009F1C8A&quot;/&gt;&lt;wsp:rsid wsp:val=&quot;009F254F&quot;/&gt;&lt;wsp:rsid wsp:val=&quot;009F26F9&quot;/&gt;&lt;wsp:rsid wsp:val=&quot;009F2846&quot;/&gt;&lt;wsp:rsid wsp:val=&quot;009F2AFA&quot;/&gt;&lt;wsp:rsid wsp:val=&quot;009F2D02&quot;/&gt;&lt;wsp:rsid wsp:val=&quot;009F3060&quot;/&gt;&lt;wsp:rsid wsp:val=&quot;009F37DD&quot;/&gt;&lt;wsp:rsid wsp:val=&quot;009F3857&quot;/&gt;&lt;wsp:rsid wsp:val=&quot;009F3960&quot;/&gt;&lt;wsp:rsid wsp:val=&quot;009F3C41&quot;/&gt;&lt;wsp:rsid wsp:val=&quot;009F426A&quot;/&gt;&lt;wsp:rsid wsp:val=&quot;009F4681&quot;/&gt;&lt;wsp:rsid wsp:val=&quot;009F48C5&quot;/&gt;&lt;wsp:rsid wsp:val=&quot;009F4D8C&quot;/&gt;&lt;wsp:rsid wsp:val=&quot;009F4FFF&quot;/&gt;&lt;wsp:rsid wsp:val=&quot;009F519D&quot;/&gt;&lt;wsp:rsid wsp:val=&quot;009F5232&quot;/&gt;&lt;wsp:rsid wsp:val=&quot;009F52A3&quot;/&gt;&lt;wsp:rsid wsp:val=&quot;009F53C7&quot;/&gt;&lt;wsp:rsid wsp:val=&quot;009F56F5&quot;/&gt;&lt;wsp:rsid wsp:val=&quot;009F590B&quot;/&gt;&lt;wsp:rsid wsp:val=&quot;009F5AF6&quot;/&gt;&lt;wsp:rsid wsp:val=&quot;009F5EC0&quot;/&gt;&lt;wsp:rsid wsp:val=&quot;009F6174&quot;/&gt;&lt;wsp:rsid wsp:val=&quot;009F61F3&quot;/&gt;&lt;wsp:rsid wsp:val=&quot;009F6612&quot;/&gt;&lt;wsp:rsid wsp:val=&quot;009F66D0&quot;/&gt;&lt;wsp:rsid wsp:val=&quot;009F6BFF&quot;/&gt;&lt;wsp:rsid wsp:val=&quot;009F6C12&quot;/&gt;&lt;wsp:rsid wsp:val=&quot;009F6C6F&quot;/&gt;&lt;wsp:rsid wsp:val=&quot;009F6D60&quot;/&gt;&lt;wsp:rsid wsp:val=&quot;009F6E91&quot;/&gt;&lt;wsp:rsid wsp:val=&quot;009F7704&quot;/&gt;&lt;wsp:rsid wsp:val=&quot;009F7E7D&quot;/&gt;&lt;wsp:rsid wsp:val=&quot;00A00108&quot;/&gt;&lt;wsp:rsid wsp:val=&quot;00A0029D&quot;/&gt;&lt;wsp:rsid wsp:val=&quot;00A006E2&quot;/&gt;&lt;wsp:rsid wsp:val=&quot;00A006EE&quot;/&gt;&lt;wsp:rsid wsp:val=&quot;00A0074F&quot;/&gt;&lt;wsp:rsid wsp:val=&quot;00A00F23&quot;/&gt;&lt;wsp:rsid wsp:val=&quot;00A013C1&quot;/&gt;&lt;wsp:rsid wsp:val=&quot;00A01BB7&quot;/&gt;&lt;wsp:rsid wsp:val=&quot;00A01BBC&quot;/&gt;&lt;wsp:rsid wsp:val=&quot;00A01C6B&quot;/&gt;&lt;wsp:rsid wsp:val=&quot;00A01CBE&quot;/&gt;&lt;wsp:rsid wsp:val=&quot;00A0234B&quot;/&gt;&lt;wsp:rsid wsp:val=&quot;00A024CC&quot;/&gt;&lt;wsp:rsid wsp:val=&quot;00A02851&quot;/&gt;&lt;wsp:rsid wsp:val=&quot;00A02878&quot;/&gt;&lt;wsp:rsid wsp:val=&quot;00A02CB7&quot;/&gt;&lt;wsp:rsid wsp:val=&quot;00A0335B&quot;/&gt;&lt;wsp:rsid wsp:val=&quot;00A03B79&quot;/&gt;&lt;wsp:rsid wsp:val=&quot;00A03E14&quot;/&gt;&lt;wsp:rsid wsp:val=&quot;00A04440&quot;/&gt;&lt;wsp:rsid wsp:val=&quot;00A04E5B&quot;/&gt;&lt;wsp:rsid wsp:val=&quot;00A04F29&quot;/&gt;&lt;wsp:rsid wsp:val=&quot;00A05038&quot;/&gt;&lt;wsp:rsid wsp:val=&quot;00A0578A&quot;/&gt;&lt;wsp:rsid wsp:val=&quot;00A05925&quot;/&gt;&lt;wsp:rsid wsp:val=&quot;00A05AA3&quot;/&gt;&lt;wsp:rsid wsp:val=&quot;00A05F18&quot;/&gt;&lt;wsp:rsid wsp:val=&quot;00A06349&quot;/&gt;&lt;wsp:rsid wsp:val=&quot;00A06389&quot;/&gt;&lt;wsp:rsid wsp:val=&quot;00A063D6&quot;/&gt;&lt;wsp:rsid wsp:val=&quot;00A06AF7&quot;/&gt;&lt;wsp:rsid wsp:val=&quot;00A06C3B&quot;/&gt;&lt;wsp:rsid wsp:val=&quot;00A0705C&quot;/&gt;&lt;wsp:rsid wsp:val=&quot;00A071F0&quot;/&gt;&lt;wsp:rsid wsp:val=&quot;00A0795B&quot;/&gt;&lt;wsp:rsid wsp:val=&quot;00A07FD5&quot;/&gt;&lt;wsp:rsid wsp:val=&quot;00A10198&quot;/&gt;&lt;wsp:rsid wsp:val=&quot;00A101C2&quot;/&gt;&lt;wsp:rsid wsp:val=&quot;00A10679&quot;/&gt;&lt;wsp:rsid wsp:val=&quot;00A106EB&quot;/&gt;&lt;wsp:rsid wsp:val=&quot;00A109EE&quot;/&gt;&lt;wsp:rsid wsp:val=&quot;00A112E7&quot;/&gt;&lt;wsp:rsid wsp:val=&quot;00A11859&quot;/&gt;&lt;wsp:rsid wsp:val=&quot;00A11F40&quot;/&gt;&lt;wsp:rsid wsp:val=&quot;00A12240&quot;/&gt;&lt;wsp:rsid wsp:val=&quot;00A12640&quot;/&gt;&lt;wsp:rsid wsp:val=&quot;00A128AA&quot;/&gt;&lt;wsp:rsid wsp:val=&quot;00A12C11&quot;/&gt;&lt;wsp:rsid wsp:val=&quot;00A12C12&quot;/&gt;&lt;wsp:rsid wsp:val=&quot;00A12D6A&quot;/&gt;&lt;wsp:rsid wsp:val=&quot;00A12D7C&quot;/&gt;&lt;wsp:rsid wsp:val=&quot;00A1375D&quot;/&gt;&lt;wsp:rsid wsp:val=&quot;00A1385D&quot;/&gt;&lt;wsp:rsid wsp:val=&quot;00A13B28&quot;/&gt;&lt;wsp:rsid wsp:val=&quot;00A13D39&quot;/&gt;&lt;wsp:rsid wsp:val=&quot;00A13F73&quot;/&gt;&lt;wsp:rsid wsp:val=&quot;00A13F82&quot;/&gt;&lt;wsp:rsid wsp:val=&quot;00A13FED&quot;/&gt;&lt;wsp:rsid wsp:val=&quot;00A14252&quot;/&gt;&lt;wsp:rsid wsp:val=&quot;00A148D1&quot;/&gt;&lt;wsp:rsid wsp:val=&quot;00A148FB&quot;/&gt;&lt;wsp:rsid wsp:val=&quot;00A14FE7&quot;/&gt;&lt;wsp:rsid wsp:val=&quot;00A150D5&quot;/&gt;&lt;wsp:rsid wsp:val=&quot;00A15168&quot;/&gt;&lt;wsp:rsid wsp:val=&quot;00A1543F&quot;/&gt;&lt;wsp:rsid wsp:val=&quot;00A15572&quot;/&gt;&lt;wsp:rsid wsp:val=&quot;00A15783&quot;/&gt;&lt;wsp:rsid wsp:val=&quot;00A15C97&quot;/&gt;&lt;wsp:rsid wsp:val=&quot;00A15CBA&quot;/&gt;&lt;wsp:rsid wsp:val=&quot;00A16141&quot;/&gt;&lt;wsp:rsid wsp:val=&quot;00A166D0&quot;/&gt;&lt;wsp:rsid wsp:val=&quot;00A16A35&quot;/&gt;&lt;wsp:rsid wsp:val=&quot;00A1722D&quot;/&gt;&lt;wsp:rsid wsp:val=&quot;00A1763E&quot;/&gt;&lt;wsp:rsid wsp:val=&quot;00A17B2D&quot;/&gt;&lt;wsp:rsid wsp:val=&quot;00A17C35&quot;/&gt;&lt;wsp:rsid wsp:val=&quot;00A17D80&quot;/&gt;&lt;wsp:rsid wsp:val=&quot;00A17DDB&quot;/&gt;&lt;wsp:rsid wsp:val=&quot;00A17E93&quot;/&gt;&lt;wsp:rsid wsp:val=&quot;00A17FD5&quot;/&gt;&lt;wsp:rsid wsp:val=&quot;00A20378&quot;/&gt;&lt;wsp:rsid wsp:val=&quot;00A209EA&quot;/&gt;&lt;wsp:rsid wsp:val=&quot;00A20D10&quot;/&gt;&lt;wsp:rsid wsp:val=&quot;00A20E6C&quot;/&gt;&lt;wsp:rsid wsp:val=&quot;00A20F11&quot;/&gt;&lt;wsp:rsid wsp:val=&quot;00A21ABD&quot;/&gt;&lt;wsp:rsid wsp:val=&quot;00A21BFA&quot;/&gt;&lt;wsp:rsid wsp:val=&quot;00A21CE4&quot;/&gt;&lt;wsp:rsid wsp:val=&quot;00A2207C&quot;/&gt;&lt;wsp:rsid wsp:val=&quot;00A22137&quot;/&gt;&lt;wsp:rsid wsp:val=&quot;00A226FC&quot;/&gt;&lt;wsp:rsid wsp:val=&quot;00A226FF&quot;/&gt;&lt;wsp:rsid wsp:val=&quot;00A2291F&quot;/&gt;&lt;wsp:rsid wsp:val=&quot;00A22E0D&quot;/&gt;&lt;wsp:rsid wsp:val=&quot;00A22F42&quot;/&gt;&lt;wsp:rsid wsp:val=&quot;00A23506&quot;/&gt;&lt;wsp:rsid wsp:val=&quot;00A23648&quot;/&gt;&lt;wsp:rsid wsp:val=&quot;00A23994&quot;/&gt;&lt;wsp:rsid wsp:val=&quot;00A23B5E&quot;/&gt;&lt;wsp:rsid wsp:val=&quot;00A24233&quot;/&gt;&lt;wsp:rsid wsp:val=&quot;00A24248&quot;/&gt;&lt;wsp:rsid wsp:val=&quot;00A24A2D&quot;/&gt;&lt;wsp:rsid wsp:val=&quot;00A252E7&quot;/&gt;&lt;wsp:rsid wsp:val=&quot;00A2593E&quot;/&gt;&lt;wsp:rsid wsp:val=&quot;00A261A7&quot;/&gt;&lt;wsp:rsid wsp:val=&quot;00A262EE&quot;/&gt;&lt;wsp:rsid wsp:val=&quot;00A270A3&quot;/&gt;&lt;wsp:rsid wsp:val=&quot;00A27218&quot;/&gt;&lt;wsp:rsid wsp:val=&quot;00A272C0&quot;/&gt;&lt;wsp:rsid wsp:val=&quot;00A27335&quot;/&gt;&lt;wsp:rsid wsp:val=&quot;00A27758&quot;/&gt;&lt;wsp:rsid wsp:val=&quot;00A27EF4&quot;/&gt;&lt;wsp:rsid wsp:val=&quot;00A27F1E&quot;/&gt;&lt;wsp:rsid wsp:val=&quot;00A30022&quot;/&gt;&lt;wsp:rsid wsp:val=&quot;00A30405&quot;/&gt;&lt;wsp:rsid wsp:val=&quot;00A30473&quot;/&gt;&lt;wsp:rsid wsp:val=&quot;00A304F6&quot;/&gt;&lt;wsp:rsid wsp:val=&quot;00A30940&quot;/&gt;&lt;wsp:rsid wsp:val=&quot;00A30C79&quot;/&gt;&lt;wsp:rsid wsp:val=&quot;00A30CD9&quot;/&gt;&lt;wsp:rsid wsp:val=&quot;00A30D84&quot;/&gt;&lt;wsp:rsid wsp:val=&quot;00A310F8&quot;/&gt;&lt;wsp:rsid wsp:val=&quot;00A31154&quot;/&gt;&lt;wsp:rsid wsp:val=&quot;00A3124A&quot;/&gt;&lt;wsp:rsid wsp:val=&quot;00A31811&quot;/&gt;&lt;wsp:rsid wsp:val=&quot;00A31CD5&quot;/&gt;&lt;wsp:rsid wsp:val=&quot;00A32633&quot;/&gt;&lt;wsp:rsid wsp:val=&quot;00A32EF9&quot;/&gt;&lt;wsp:rsid wsp:val=&quot;00A3384E&quot;/&gt;&lt;wsp:rsid wsp:val=&quot;00A33D51&quot;/&gt;&lt;wsp:rsid wsp:val=&quot;00A33EAA&quot;/&gt;&lt;wsp:rsid wsp:val=&quot;00A34099&quot;/&gt;&lt;wsp:rsid wsp:val=&quot;00A343F7&quot;/&gt;&lt;wsp:rsid wsp:val=&quot;00A34488&quot;/&gt;&lt;wsp:rsid wsp:val=&quot;00A34787&quot;/&gt;&lt;wsp:rsid wsp:val=&quot;00A3483B&quot;/&gt;&lt;wsp:rsid wsp:val=&quot;00A348E8&quot;/&gt;&lt;wsp:rsid wsp:val=&quot;00A34919&quot;/&gt;&lt;wsp:rsid wsp:val=&quot;00A34AB2&quot;/&gt;&lt;wsp:rsid wsp:val=&quot;00A3521D&quot;/&gt;&lt;wsp:rsid wsp:val=&quot;00A352D6&quot;/&gt;&lt;wsp:rsid wsp:val=&quot;00A35655&quot;/&gt;&lt;wsp:rsid wsp:val=&quot;00A35DA5&quot;/&gt;&lt;wsp:rsid wsp:val=&quot;00A3602A&quot;/&gt;&lt;wsp:rsid wsp:val=&quot;00A3612D&quot;/&gt;&lt;wsp:rsid wsp:val=&quot;00A3687D&quot;/&gt;&lt;wsp:rsid wsp:val=&quot;00A36911&quot;/&gt;&lt;wsp:rsid wsp:val=&quot;00A36FC7&quot;/&gt;&lt;wsp:rsid wsp:val=&quot;00A375E3&quot;/&gt;&lt;wsp:rsid wsp:val=&quot;00A37CCC&quot;/&gt;&lt;wsp:rsid wsp:val=&quot;00A37D0D&quot;/&gt;&lt;wsp:rsid wsp:val=&quot;00A40248&quot;/&gt;&lt;wsp:rsid wsp:val=&quot;00A40A2D&quot;/&gt;&lt;wsp:rsid wsp:val=&quot;00A40C6F&quot;/&gt;&lt;wsp:rsid wsp:val=&quot;00A40F5C&quot;/&gt;&lt;wsp:rsid wsp:val=&quot;00A41847&quot;/&gt;&lt;wsp:rsid wsp:val=&quot;00A41B59&quot;/&gt;&lt;wsp:rsid wsp:val=&quot;00A41EEF&quot;/&gt;&lt;wsp:rsid wsp:val=&quot;00A4240B&quot;/&gt;&lt;wsp:rsid wsp:val=&quot;00A4252A&quot;/&gt;&lt;wsp:rsid wsp:val=&quot;00A429A0&quot;/&gt;&lt;wsp:rsid wsp:val=&quot;00A43176&quot;/&gt;&lt;wsp:rsid wsp:val=&quot;00A43177&quot;/&gt;&lt;wsp:rsid wsp:val=&quot;00A43326&quot;/&gt;&lt;wsp:rsid wsp:val=&quot;00A43637&quot;/&gt;&lt;wsp:rsid wsp:val=&quot;00A4383F&quot;/&gt;&lt;wsp:rsid wsp:val=&quot;00A43F6D&quot;/&gt;&lt;wsp:rsid wsp:val=&quot;00A442DB&quot;/&gt;&lt;wsp:rsid wsp:val=&quot;00A44F49&quot;/&gt;&lt;wsp:rsid wsp:val=&quot;00A465D5&quot;/&gt;&lt;wsp:rsid wsp:val=&quot;00A47257&quot;/&gt;&lt;wsp:rsid wsp:val=&quot;00A4729B&quot;/&gt;&lt;wsp:rsid wsp:val=&quot;00A4778F&quot;/&gt;&lt;wsp:rsid wsp:val=&quot;00A47AEC&quot;/&gt;&lt;wsp:rsid wsp:val=&quot;00A47F2C&quot;/&gt;&lt;wsp:rsid wsp:val=&quot;00A50056&quot;/&gt;&lt;wsp:rsid wsp:val=&quot;00A5053E&quot;/&gt;&lt;wsp:rsid wsp:val=&quot;00A50D97&quot;/&gt;&lt;wsp:rsid wsp:val=&quot;00A51313&quot;/&gt;&lt;wsp:rsid wsp:val=&quot;00A513B8&quot;/&gt;&lt;wsp:rsid wsp:val=&quot;00A51795&quot;/&gt;&lt;wsp:rsid wsp:val=&quot;00A51870&quot;/&gt;&lt;wsp:rsid wsp:val=&quot;00A518ED&quot;/&gt;&lt;wsp:rsid wsp:val=&quot;00A51CA5&quot;/&gt;&lt;wsp:rsid wsp:val=&quot;00A51F41&quot;/&gt;&lt;wsp:rsid wsp:val=&quot;00A51F64&quot;/&gt;&lt;wsp:rsid wsp:val=&quot;00A52270&quot;/&gt;&lt;wsp:rsid wsp:val=&quot;00A526BB&quot;/&gt;&lt;wsp:rsid wsp:val=&quot;00A528FE&quot;/&gt;&lt;wsp:rsid wsp:val=&quot;00A52AB8&quot;/&gt;&lt;wsp:rsid wsp:val=&quot;00A52C16&quot;/&gt;&lt;wsp:rsid wsp:val=&quot;00A52FAE&quot;/&gt;&lt;wsp:rsid wsp:val=&quot;00A53478&quot;/&gt;&lt;wsp:rsid wsp:val=&quot;00A537B8&quot;/&gt;&lt;wsp:rsid wsp:val=&quot;00A537CA&quot;/&gt;&lt;wsp:rsid wsp:val=&quot;00A53809&quot;/&gt;&lt;wsp:rsid wsp:val=&quot;00A53D59&quot;/&gt;&lt;wsp:rsid wsp:val=&quot;00A53E21&quot;/&gt;&lt;wsp:rsid wsp:val=&quot;00A54816&quot;/&gt;&lt;wsp:rsid wsp:val=&quot;00A54971&quot;/&gt;&lt;wsp:rsid wsp:val=&quot;00A54E31&quot;/&gt;&lt;wsp:rsid wsp:val=&quot;00A5553C&quot;/&gt;&lt;wsp:rsid wsp:val=&quot;00A55B82&quot;/&gt;&lt;wsp:rsid wsp:val=&quot;00A56042&quot;/&gt;&lt;wsp:rsid wsp:val=&quot;00A5604E&quot;/&gt;&lt;wsp:rsid wsp:val=&quot;00A56484&quot;/&gt;&lt;wsp:rsid wsp:val=&quot;00A56E0B&quot;/&gt;&lt;wsp:rsid wsp:val=&quot;00A575B8&quot;/&gt;&lt;wsp:rsid wsp:val=&quot;00A57746&quot;/&gt;&lt;wsp:rsid wsp:val=&quot;00A57A97&quot;/&gt;&lt;wsp:rsid wsp:val=&quot;00A57D2D&quot;/&gt;&lt;wsp:rsid wsp:val=&quot;00A6006A&quot;/&gt;&lt;wsp:rsid wsp:val=&quot;00A6014E&quot;/&gt;&lt;wsp:rsid wsp:val=&quot;00A604C0&quot;/&gt;&lt;wsp:rsid wsp:val=&quot;00A607AF&quot;/&gt;&lt;wsp:rsid wsp:val=&quot;00A60DD1&quot;/&gt;&lt;wsp:rsid wsp:val=&quot;00A6113E&quot;/&gt;&lt;wsp:rsid wsp:val=&quot;00A6171A&quot;/&gt;&lt;wsp:rsid wsp:val=&quot;00A61798&quot;/&gt;&lt;wsp:rsid wsp:val=&quot;00A6194C&quot;/&gt;&lt;wsp:rsid wsp:val=&quot;00A61983&quot;/&gt;&lt;wsp:rsid wsp:val=&quot;00A61A8E&quot;/&gt;&lt;wsp:rsid wsp:val=&quot;00A61DB3&quot;/&gt;&lt;wsp:rsid wsp:val=&quot;00A61E69&quot;/&gt;&lt;wsp:rsid wsp:val=&quot;00A62020&quot;/&gt;&lt;wsp:rsid wsp:val=&quot;00A626B2&quot;/&gt;&lt;wsp:rsid wsp:val=&quot;00A627DD&quot;/&gt;&lt;wsp:rsid wsp:val=&quot;00A629DA&quot;/&gt;&lt;wsp:rsid wsp:val=&quot;00A6304F&quot;/&gt;&lt;wsp:rsid wsp:val=&quot;00A63AA4&quot;/&gt;&lt;wsp:rsid wsp:val=&quot;00A63B13&quot;/&gt;&lt;wsp:rsid wsp:val=&quot;00A63D49&quot;/&gt;&lt;wsp:rsid wsp:val=&quot;00A64267&quot;/&gt;&lt;wsp:rsid wsp:val=&quot;00A648AE&quot;/&gt;&lt;wsp:rsid wsp:val=&quot;00A64BC5&quot;/&gt;&lt;wsp:rsid wsp:val=&quot;00A64D66&quot;/&gt;&lt;wsp:rsid wsp:val=&quot;00A65203&quot;/&gt;&lt;wsp:rsid wsp:val=&quot;00A65267&quot;/&gt;&lt;wsp:rsid wsp:val=&quot;00A6539A&quot;/&gt;&lt;wsp:rsid wsp:val=&quot;00A65429&quot;/&gt;&lt;wsp:rsid wsp:val=&quot;00A65763&quot;/&gt;&lt;wsp:rsid wsp:val=&quot;00A65CF2&quot;/&gt;&lt;wsp:rsid wsp:val=&quot;00A65FB1&quot;/&gt;&lt;wsp:rsid wsp:val=&quot;00A660DE&quot;/&gt;&lt;wsp:rsid wsp:val=&quot;00A66337&quot;/&gt;&lt;wsp:rsid wsp:val=&quot;00A66855&quot;/&gt;&lt;wsp:rsid wsp:val=&quot;00A66C91&quot;/&gt;&lt;wsp:rsid wsp:val=&quot;00A66D12&quot;/&gt;&lt;wsp:rsid wsp:val=&quot;00A66D7A&quot;/&gt;&lt;wsp:rsid wsp:val=&quot;00A670D6&quot;/&gt;&lt;wsp:rsid wsp:val=&quot;00A6729D&quot;/&gt;&lt;wsp:rsid wsp:val=&quot;00A67394&quot;/&gt;&lt;wsp:rsid wsp:val=&quot;00A677B5&quot;/&gt;&lt;wsp:rsid wsp:val=&quot;00A6790F&quot;/&gt;&lt;wsp:rsid wsp:val=&quot;00A67912&quot;/&gt;&lt;wsp:rsid wsp:val=&quot;00A67DAC&quot;/&gt;&lt;wsp:rsid wsp:val=&quot;00A701FD&quot;/&gt;&lt;wsp:rsid wsp:val=&quot;00A707D4&quot;/&gt;&lt;wsp:rsid wsp:val=&quot;00A70A5B&quot;/&gt;&lt;wsp:rsid wsp:val=&quot;00A70BDE&quot;/&gt;&lt;wsp:rsid wsp:val=&quot;00A70E8D&quot;/&gt;&lt;wsp:rsid wsp:val=&quot;00A70EC1&quot;/&gt;&lt;wsp:rsid wsp:val=&quot;00A70F52&quot;/&gt;&lt;wsp:rsid wsp:val=&quot;00A710F7&quot;/&gt;&lt;wsp:rsid wsp:val=&quot;00A71124&quot;/&gt;&lt;wsp:rsid wsp:val=&quot;00A7121B&quot;/&gt;&lt;wsp:rsid wsp:val=&quot;00A715C6&quot;/&gt;&lt;wsp:rsid wsp:val=&quot;00A715FD&quot;/&gt;&lt;wsp:rsid wsp:val=&quot;00A71A9A&quot;/&gt;&lt;wsp:rsid wsp:val=&quot;00A71FF8&quot;/&gt;&lt;wsp:rsid wsp:val=&quot;00A7266F&quot;/&gt;&lt;wsp:rsid wsp:val=&quot;00A72C11&quot;/&gt;&lt;wsp:rsid wsp:val=&quot;00A72E7A&quot;/&gt;&lt;wsp:rsid wsp:val=&quot;00A7352C&quot;/&gt;&lt;wsp:rsid wsp:val=&quot;00A73841&quot;/&gt;&lt;wsp:rsid wsp:val=&quot;00A73A59&quot;/&gt;&lt;wsp:rsid wsp:val=&quot;00A73D44&quot;/&gt;&lt;wsp:rsid wsp:val=&quot;00A741C8&quot;/&gt;&lt;wsp:rsid wsp:val=&quot;00A74A9A&quot;/&gt;&lt;wsp:rsid wsp:val=&quot;00A74C38&quot;/&gt;&lt;wsp:rsid wsp:val=&quot;00A75314&quot;/&gt;&lt;wsp:rsid wsp:val=&quot;00A7562A&quot;/&gt;&lt;wsp:rsid wsp:val=&quot;00A75D66&quot;/&gt;&lt;wsp:rsid wsp:val=&quot;00A75E31&quot;/&gt;&lt;wsp:rsid wsp:val=&quot;00A75E76&quot;/&gt;&lt;wsp:rsid wsp:val=&quot;00A76326&quot;/&gt;&lt;wsp:rsid wsp:val=&quot;00A765A2&quot;/&gt;&lt;wsp:rsid wsp:val=&quot;00A765C0&quot;/&gt;&lt;wsp:rsid wsp:val=&quot;00A7686C&quot;/&gt;&lt;wsp:rsid wsp:val=&quot;00A76A08&quot;/&gt;&lt;wsp:rsid wsp:val=&quot;00A76A40&quot;/&gt;&lt;wsp:rsid wsp:val=&quot;00A76B2A&quot;/&gt;&lt;wsp:rsid wsp:val=&quot;00A76D07&quot;/&gt;&lt;wsp:rsid wsp:val=&quot;00A76E3C&quot;/&gt;&lt;wsp:rsid wsp:val=&quot;00A7790D&quot;/&gt;&lt;wsp:rsid wsp:val=&quot;00A77B57&quot;/&gt;&lt;wsp:rsid wsp:val=&quot;00A77BFB&quot;/&gt;&lt;wsp:rsid wsp:val=&quot;00A800B3&quot;/&gt;&lt;wsp:rsid wsp:val=&quot;00A80333&quot;/&gt;&lt;wsp:rsid wsp:val=&quot;00A807B7&quot;/&gt;&lt;wsp:rsid wsp:val=&quot;00A80877&quot;/&gt;&lt;wsp:rsid wsp:val=&quot;00A80892&quot;/&gt;&lt;wsp:rsid wsp:val=&quot;00A80A0E&quot;/&gt;&lt;wsp:rsid wsp:val=&quot;00A80A86&quot;/&gt;&lt;wsp:rsid wsp:val=&quot;00A810F9&quot;/&gt;&lt;wsp:rsid wsp:val=&quot;00A8111C&quot;/&gt;&lt;wsp:rsid wsp:val=&quot;00A8170A&quot;/&gt;&lt;wsp:rsid wsp:val=&quot;00A818A4&quot;/&gt;&lt;wsp:rsid wsp:val=&quot;00A81DD7&quot;/&gt;&lt;wsp:rsid wsp:val=&quot;00A820B4&quot;/&gt;&lt;wsp:rsid wsp:val=&quot;00A82346&quot;/&gt;&lt;wsp:rsid wsp:val=&quot;00A82675&quot;/&gt;&lt;wsp:rsid wsp:val=&quot;00A82773&quot;/&gt;&lt;wsp:rsid wsp:val=&quot;00A8277D&quot;/&gt;&lt;wsp:rsid wsp:val=&quot;00A83BFC&quot;/&gt;&lt;wsp:rsid wsp:val=&quot;00A83DD5&quot;/&gt;&lt;wsp:rsid wsp:val=&quot;00A841A8&quot;/&gt;&lt;wsp:rsid wsp:val=&quot;00A8425B&quot;/&gt;&lt;wsp:rsid wsp:val=&quot;00A84D1E&quot;/&gt;&lt;wsp:rsid wsp:val=&quot;00A85234&quot;/&gt;&lt;wsp:rsid wsp:val=&quot;00A853B5&quot;/&gt;&lt;wsp:rsid wsp:val=&quot;00A855A2&quot;/&gt;&lt;wsp:rsid wsp:val=&quot;00A85755&quot;/&gt;&lt;wsp:rsid wsp:val=&quot;00A858ED&quot;/&gt;&lt;wsp:rsid wsp:val=&quot;00A85A20&quot;/&gt;&lt;wsp:rsid wsp:val=&quot;00A85D90&quot;/&gt;&lt;wsp:rsid wsp:val=&quot;00A85E89&quot;/&gt;&lt;wsp:rsid wsp:val=&quot;00A85EB0&quot;/&gt;&lt;wsp:rsid wsp:val=&quot;00A86531&quot;/&gt;&lt;wsp:rsid wsp:val=&quot;00A867EB&quot;/&gt;&lt;wsp:rsid wsp:val=&quot;00A86B33&quot;/&gt;&lt;wsp:rsid wsp:val=&quot;00A86EEB&quot;/&gt;&lt;wsp:rsid wsp:val=&quot;00A87155&quot;/&gt;&lt;wsp:rsid wsp:val=&quot;00A87208&quot;/&gt;&lt;wsp:rsid wsp:val=&quot;00A87724&quot;/&gt;&lt;wsp:rsid wsp:val=&quot;00A87820&quot;/&gt;&lt;wsp:rsid wsp:val=&quot;00A8788D&quot;/&gt;&lt;wsp:rsid wsp:val=&quot;00A878A4&quot;/&gt;&lt;wsp:rsid wsp:val=&quot;00A879D6&quot;/&gt;&lt;wsp:rsid wsp:val=&quot;00A87C29&quot;/&gt;&lt;wsp:rsid wsp:val=&quot;00A87F41&quot;/&gt;&lt;wsp:rsid wsp:val=&quot;00A903DE&quot;/&gt;&lt;wsp:rsid wsp:val=&quot;00A90584&quot;/&gt;&lt;wsp:rsid wsp:val=&quot;00A90A12&quot;/&gt;&lt;wsp:rsid wsp:val=&quot;00A90F31&quot;/&gt;&lt;wsp:rsid wsp:val=&quot;00A912DD&quot;/&gt;&lt;wsp:rsid wsp:val=&quot;00A915D8&quot;/&gt;&lt;wsp:rsid wsp:val=&quot;00A91839&quot;/&gt;&lt;wsp:rsid wsp:val=&quot;00A91B76&quot;/&gt;&lt;wsp:rsid wsp:val=&quot;00A91B9A&quot;/&gt;&lt;wsp:rsid wsp:val=&quot;00A91E08&quot;/&gt;&lt;wsp:rsid wsp:val=&quot;00A92168&quot;/&gt;&lt;wsp:rsid wsp:val=&quot;00A92513&quot;/&gt;&lt;wsp:rsid wsp:val=&quot;00A928DB&quot;/&gt;&lt;wsp:rsid wsp:val=&quot;00A9295F&quot;/&gt;&lt;wsp:rsid wsp:val=&quot;00A92B87&quot;/&gt;&lt;wsp:rsid wsp:val=&quot;00A9315B&quot;/&gt;&lt;wsp:rsid wsp:val=&quot;00A931F2&quot;/&gt;&lt;wsp:rsid wsp:val=&quot;00A93507&quot;/&gt;&lt;wsp:rsid wsp:val=&quot;00A935C3&quot;/&gt;&lt;wsp:rsid wsp:val=&quot;00A93D4E&quot;/&gt;&lt;wsp:rsid wsp:val=&quot;00A93DE5&quot;/&gt;&lt;wsp:rsid wsp:val=&quot;00A93DE8&quot;/&gt;&lt;wsp:rsid wsp:val=&quot;00A93F76&quot;/&gt;&lt;wsp:rsid wsp:val=&quot;00A94491&quot;/&gt;&lt;wsp:rsid wsp:val=&quot;00A9480B&quot;/&gt;&lt;wsp:rsid wsp:val=&quot;00A94810&quot;/&gt;&lt;wsp:rsid wsp:val=&quot;00A951C6&quot;/&gt;&lt;wsp:rsid wsp:val=&quot;00A95BEC&quot;/&gt;&lt;wsp:rsid wsp:val=&quot;00A961BB&quot;/&gt;&lt;wsp:rsid wsp:val=&quot;00A9681E&quot;/&gt;&lt;wsp:rsid wsp:val=&quot;00A96A52&quot;/&gt;&lt;wsp:rsid wsp:val=&quot;00A96A66&quot;/&gt;&lt;wsp:rsid wsp:val=&quot;00A96AE7&quot;/&gt;&lt;wsp:rsid wsp:val=&quot;00A96EA8&quot;/&gt;&lt;wsp:rsid wsp:val=&quot;00A97920&quot;/&gt;&lt;wsp:rsid wsp:val=&quot;00A97D65&quot;/&gt;&lt;wsp:rsid wsp:val=&quot;00A97F1F&quot;/&gt;&lt;wsp:rsid wsp:val=&quot;00AA02FD&quot;/&gt;&lt;wsp:rsid wsp:val=&quot;00AA042C&quot;/&gt;&lt;wsp:rsid wsp:val=&quot;00AA0584&quot;/&gt;&lt;wsp:rsid wsp:val=&quot;00AA069E&quot;/&gt;&lt;wsp:rsid wsp:val=&quot;00AA0A78&quot;/&gt;&lt;wsp:rsid wsp:val=&quot;00AA0C0C&quot;/&gt;&lt;wsp:rsid wsp:val=&quot;00AA0C45&quot;/&gt;&lt;wsp:rsid wsp:val=&quot;00AA1080&quot;/&gt;&lt;wsp:rsid wsp:val=&quot;00AA1CBC&quot;/&gt;&lt;wsp:rsid wsp:val=&quot;00AA23FC&quot;/&gt;&lt;wsp:rsid wsp:val=&quot;00AA2521&quot;/&gt;&lt;wsp:rsid wsp:val=&quot;00AA2F18&quot;/&gt;&lt;wsp:rsid wsp:val=&quot;00AA314E&quot;/&gt;&lt;wsp:rsid wsp:val=&quot;00AA33A4&quot;/&gt;&lt;wsp:rsid wsp:val=&quot;00AA346B&quot;/&gt;&lt;wsp:rsid wsp:val=&quot;00AA3476&quot;/&gt;&lt;wsp:rsid wsp:val=&quot;00AA3937&quot;/&gt;&lt;wsp:rsid wsp:val=&quot;00AA3B2C&quot;/&gt;&lt;wsp:rsid wsp:val=&quot;00AA3C7A&quot;/&gt;&lt;wsp:rsid wsp:val=&quot;00AA3CBE&quot;/&gt;&lt;wsp:rsid wsp:val=&quot;00AA4246&quot;/&gt;&lt;wsp:rsid wsp:val=&quot;00AA4607&quot;/&gt;&lt;wsp:rsid wsp:val=&quot;00AA47E8&quot;/&gt;&lt;wsp:rsid wsp:val=&quot;00AA48A3&quot;/&gt;&lt;wsp:rsid wsp:val=&quot;00AA4924&quot;/&gt;&lt;wsp:rsid wsp:val=&quot;00AA4D99&quot;/&gt;&lt;wsp:rsid wsp:val=&quot;00AA4E2D&quot;/&gt;&lt;wsp:rsid wsp:val=&quot;00AA510B&quot;/&gt;&lt;wsp:rsid wsp:val=&quot;00AA512E&quot;/&gt;&lt;wsp:rsid wsp:val=&quot;00AA51BB&quot;/&gt;&lt;wsp:rsid wsp:val=&quot;00AA52B0&quot;/&gt;&lt;wsp:rsid wsp:val=&quot;00AA54CF&quot;/&gt;&lt;wsp:rsid wsp:val=&quot;00AA55AC&quot;/&gt;&lt;wsp:rsid wsp:val=&quot;00AA55DC&quot;/&gt;&lt;wsp:rsid wsp:val=&quot;00AA5A0A&quot;/&gt;&lt;wsp:rsid wsp:val=&quot;00AA5D36&quot;/&gt;&lt;wsp:rsid wsp:val=&quot;00AA5F33&quot;/&gt;&lt;wsp:rsid wsp:val=&quot;00AA66CE&quot;/&gt;&lt;wsp:rsid wsp:val=&quot;00AA6F5D&quot;/&gt;&lt;wsp:rsid wsp:val=&quot;00AA7915&quot;/&gt;&lt;wsp:rsid wsp:val=&quot;00AB097D&quot;/&gt;&lt;wsp:rsid wsp:val=&quot;00AB0B87&quot;/&gt;&lt;wsp:rsid wsp:val=&quot;00AB0E1C&quot;/&gt;&lt;wsp:rsid wsp:val=&quot;00AB10CD&quot;/&gt;&lt;wsp:rsid wsp:val=&quot;00AB1244&quot;/&gt;&lt;wsp:rsid wsp:val=&quot;00AB1504&quot;/&gt;&lt;wsp:rsid wsp:val=&quot;00AB20B0&quot;/&gt;&lt;wsp:rsid wsp:val=&quot;00AB2119&quot;/&gt;&lt;wsp:rsid wsp:val=&quot;00AB237C&quot;/&gt;&lt;wsp:rsid wsp:val=&quot;00AB269D&quot;/&gt;&lt;wsp:rsid wsp:val=&quot;00AB274E&quot;/&gt;&lt;wsp:rsid wsp:val=&quot;00AB292A&quot;/&gt;&lt;wsp:rsid wsp:val=&quot;00AB2CF5&quot;/&gt;&lt;wsp:rsid wsp:val=&quot;00AB2E72&quot;/&gt;&lt;wsp:rsid wsp:val=&quot;00AB2F00&quot;/&gt;&lt;wsp:rsid wsp:val=&quot;00AB301B&quot;/&gt;&lt;wsp:rsid wsp:val=&quot;00AB308B&quot;/&gt;&lt;wsp:rsid wsp:val=&quot;00AB3408&quot;/&gt;&lt;wsp:rsid wsp:val=&quot;00AB364B&quot;/&gt;&lt;wsp:rsid wsp:val=&quot;00AB389E&quot;/&gt;&lt;wsp:rsid wsp:val=&quot;00AB3D6A&quot;/&gt;&lt;wsp:rsid wsp:val=&quot;00AB42B0&quot;/&gt;&lt;wsp:rsid wsp:val=&quot;00AB47F0&quot;/&gt;&lt;wsp:rsid wsp:val=&quot;00AB4952&quot;/&gt;&lt;wsp:rsid wsp:val=&quot;00AB4C51&quot;/&gt;&lt;wsp:rsid wsp:val=&quot;00AB4C7F&quot;/&gt;&lt;wsp:rsid wsp:val=&quot;00AB4E24&quot;/&gt;&lt;wsp:rsid wsp:val=&quot;00AB4FE3&quot;/&gt;&lt;wsp:rsid wsp:val=&quot;00AB504C&quot;/&gt;&lt;wsp:rsid wsp:val=&quot;00AB51FA&quot;/&gt;&lt;wsp:rsid wsp:val=&quot;00AB5375&quot;/&gt;&lt;wsp:rsid wsp:val=&quot;00AB5404&quot;/&gt;&lt;wsp:rsid wsp:val=&quot;00AB55DD&quot;/&gt;&lt;wsp:rsid wsp:val=&quot;00AB5747&quot;/&gt;&lt;wsp:rsid wsp:val=&quot;00AB5B35&quot;/&gt;&lt;wsp:rsid wsp:val=&quot;00AB5CE5&quot;/&gt;&lt;wsp:rsid wsp:val=&quot;00AB67B5&quot;/&gt;&lt;wsp:rsid wsp:val=&quot;00AB67F3&quot;/&gt;&lt;wsp:rsid wsp:val=&quot;00AB6D48&quot;/&gt;&lt;wsp:rsid wsp:val=&quot;00AB6EC3&quot;/&gt;&lt;wsp:rsid wsp:val=&quot;00AB7C45&quot;/&gt;&lt;wsp:rsid wsp:val=&quot;00AC0763&quot;/&gt;&lt;wsp:rsid wsp:val=&quot;00AC0967&quot;/&gt;&lt;wsp:rsid wsp:val=&quot;00AC0D90&quot;/&gt;&lt;wsp:rsid wsp:val=&quot;00AC1044&quot;/&gt;&lt;wsp:rsid wsp:val=&quot;00AC1366&quot;/&gt;&lt;wsp:rsid wsp:val=&quot;00AC1455&quot;/&gt;&lt;wsp:rsid wsp:val=&quot;00AC18E9&quot;/&gt;&lt;wsp:rsid wsp:val=&quot;00AC19BD&quot;/&gt;&lt;wsp:rsid wsp:val=&quot;00AC2032&quot;/&gt;&lt;wsp:rsid wsp:val=&quot;00AC20DA&quot;/&gt;&lt;wsp:rsid wsp:val=&quot;00AC22D2&quot;/&gt;&lt;wsp:rsid wsp:val=&quot;00AC2495&quot;/&gt;&lt;wsp:rsid wsp:val=&quot;00AC2652&quot;/&gt;&lt;wsp:rsid wsp:val=&quot;00AC2926&quot;/&gt;&lt;wsp:rsid wsp:val=&quot;00AC2B5B&quot;/&gt;&lt;wsp:rsid wsp:val=&quot;00AC308A&quot;/&gt;&lt;wsp:rsid wsp:val=&quot;00AC358E&quot;/&gt;&lt;wsp:rsid wsp:val=&quot;00AC3903&quot;/&gt;&lt;wsp:rsid wsp:val=&quot;00AC4063&quot;/&gt;&lt;wsp:rsid wsp:val=&quot;00AC40EE&quot;/&gt;&lt;wsp:rsid wsp:val=&quot;00AC4234&quot;/&gt;&lt;wsp:rsid wsp:val=&quot;00AC4D26&quot;/&gt;&lt;wsp:rsid wsp:val=&quot;00AC4E76&quot;/&gt;&lt;wsp:rsid wsp:val=&quot;00AC4F73&quot;/&gt;&lt;wsp:rsid wsp:val=&quot;00AC533B&quot;/&gt;&lt;wsp:rsid wsp:val=&quot;00AC56DD&quot;/&gt;&lt;wsp:rsid wsp:val=&quot;00AC5796&quot;/&gt;&lt;wsp:rsid wsp:val=&quot;00AC650B&quot;/&gt;&lt;wsp:rsid wsp:val=&quot;00AC6598&quot;/&gt;&lt;wsp:rsid wsp:val=&quot;00AC68D8&quot;/&gt;&lt;wsp:rsid wsp:val=&quot;00AC699A&quot;/&gt;&lt;wsp:rsid wsp:val=&quot;00AC6C6D&quot;/&gt;&lt;wsp:rsid wsp:val=&quot;00AC6DC2&quot;/&gt;&lt;wsp:rsid wsp:val=&quot;00AC704A&quot;/&gt;&lt;wsp:rsid wsp:val=&quot;00AC73C4&quot;/&gt;&lt;wsp:rsid wsp:val=&quot;00AC77AC&quot;/&gt;&lt;wsp:rsid wsp:val=&quot;00AC7D8E&quot;/&gt;&lt;wsp:rsid wsp:val=&quot;00AD009D&quot;/&gt;&lt;wsp:rsid wsp:val=&quot;00AD034D&quot;/&gt;&lt;wsp:rsid wsp:val=&quot;00AD040A&quot;/&gt;&lt;wsp:rsid wsp:val=&quot;00AD0684&quot;/&gt;&lt;wsp:rsid wsp:val=&quot;00AD0779&quot;/&gt;&lt;wsp:rsid wsp:val=&quot;00AD08EF&quot;/&gt;&lt;wsp:rsid wsp:val=&quot;00AD1039&quot;/&gt;&lt;wsp:rsid wsp:val=&quot;00AD1BF3&quot;/&gt;&lt;wsp:rsid wsp:val=&quot;00AD1E48&quot;/&gt;&lt;wsp:rsid wsp:val=&quot;00AD2171&quot;/&gt;&lt;wsp:rsid wsp:val=&quot;00AD3062&quot;/&gt;&lt;wsp:rsid wsp:val=&quot;00AD3099&quot;/&gt;&lt;wsp:rsid wsp:val=&quot;00AD312C&quot;/&gt;&lt;wsp:rsid wsp:val=&quot;00AD32CE&quot;/&gt;&lt;wsp:rsid wsp:val=&quot;00AD334F&quot;/&gt;&lt;wsp:rsid wsp:val=&quot;00AD3D3D&quot;/&gt;&lt;wsp:rsid wsp:val=&quot;00AD405F&quot;/&gt;&lt;wsp:rsid wsp:val=&quot;00AD40C2&quot;/&gt;&lt;wsp:rsid wsp:val=&quot;00AD4218&quot;/&gt;&lt;wsp:rsid wsp:val=&quot;00AD4487&quot;/&gt;&lt;wsp:rsid wsp:val=&quot;00AD46B1&quot;/&gt;&lt;wsp:rsid wsp:val=&quot;00AD475B&quot;/&gt;&lt;wsp:rsid wsp:val=&quot;00AD4D3C&quot;/&gt;&lt;wsp:rsid wsp:val=&quot;00AD502A&quot;/&gt;&lt;wsp:rsid wsp:val=&quot;00AD56C8&quot;/&gt;&lt;wsp:rsid wsp:val=&quot;00AD5D9A&quot;/&gt;&lt;wsp:rsid wsp:val=&quot;00AD5DF1&quot;/&gt;&lt;wsp:rsid wsp:val=&quot;00AD63F8&quot;/&gt;&lt;wsp:rsid wsp:val=&quot;00AD67A3&quot;/&gt;&lt;wsp:rsid wsp:val=&quot;00AD67D1&quot;/&gt;&lt;wsp:rsid wsp:val=&quot;00AD6D97&quot;/&gt;&lt;wsp:rsid wsp:val=&quot;00AD6F2C&quot;/&gt;&lt;wsp:rsid wsp:val=&quot;00AD74DE&quot;/&gt;&lt;wsp:rsid wsp:val=&quot;00AD75D9&quot;/&gt;&lt;wsp:rsid wsp:val=&quot;00AD767D&quot;/&gt;&lt;wsp:rsid wsp:val=&quot;00AD79C8&quot;/&gt;&lt;wsp:rsid wsp:val=&quot;00AE024C&quot;/&gt;&lt;wsp:rsid wsp:val=&quot;00AE068F&quot;/&gt;&lt;wsp:rsid wsp:val=&quot;00AE0719&quot;/&gt;&lt;wsp:rsid wsp:val=&quot;00AE084B&quot;/&gt;&lt;wsp:rsid wsp:val=&quot;00AE0FEB&quot;/&gt;&lt;wsp:rsid wsp:val=&quot;00AE0FF8&quot;/&gt;&lt;wsp:rsid wsp:val=&quot;00AE1545&quot;/&gt;&lt;wsp:rsid wsp:val=&quot;00AE15DC&quot;/&gt;&lt;wsp:rsid wsp:val=&quot;00AE1955&quot;/&gt;&lt;wsp:rsid wsp:val=&quot;00AE1B40&quot;/&gt;&lt;wsp:rsid wsp:val=&quot;00AE20EA&quot;/&gt;&lt;wsp:rsid wsp:val=&quot;00AE224C&quot;/&gt;&lt;wsp:rsid wsp:val=&quot;00AE278A&quot;/&gt;&lt;wsp:rsid wsp:val=&quot;00AE2AC4&quot;/&gt;&lt;wsp:rsid wsp:val=&quot;00AE32E1&quot;/&gt;&lt;wsp:rsid wsp:val=&quot;00AE3803&quot;/&gt;&lt;wsp:rsid wsp:val=&quot;00AE3814&quot;/&gt;&lt;wsp:rsid wsp:val=&quot;00AE38C8&quot;/&gt;&lt;wsp:rsid wsp:val=&quot;00AE46DB&quot;/&gt;&lt;wsp:rsid wsp:val=&quot;00AE4840&quot;/&gt;&lt;wsp:rsid wsp:val=&quot;00AE5283&quot;/&gt;&lt;wsp:rsid wsp:val=&quot;00AE542C&quot;/&gt;&lt;wsp:rsid wsp:val=&quot;00AE5D98&quot;/&gt;&lt;wsp:rsid wsp:val=&quot;00AE5E12&quot;/&gt;&lt;wsp:rsid wsp:val=&quot;00AE5E2B&quot;/&gt;&lt;wsp:rsid wsp:val=&quot;00AE5EA0&quot;/&gt;&lt;wsp:rsid wsp:val=&quot;00AE69C5&quot;/&gt;&lt;wsp:rsid wsp:val=&quot;00AE6EB1&quot;/&gt;&lt;wsp:rsid wsp:val=&quot;00AE6F8E&quot;/&gt;&lt;wsp:rsid wsp:val=&quot;00AE76BD&quot;/&gt;&lt;wsp:rsid wsp:val=&quot;00AE794E&quot;/&gt;&lt;wsp:rsid wsp:val=&quot;00AE7B87&quot;/&gt;&lt;wsp:rsid wsp:val=&quot;00AF04F5&quot;/&gt;&lt;wsp:rsid wsp:val=&quot;00AF077C&quot;/&gt;&lt;wsp:rsid wsp:val=&quot;00AF078B&quot;/&gt;&lt;wsp:rsid wsp:val=&quot;00AF0C3E&quot;/&gt;&lt;wsp:rsid wsp:val=&quot;00AF14A8&quot;/&gt;&lt;wsp:rsid wsp:val=&quot;00AF1564&quot;/&gt;&lt;wsp:rsid wsp:val=&quot;00AF1B37&quot;/&gt;&lt;wsp:rsid wsp:val=&quot;00AF2287&quot;/&gt;&lt;wsp:rsid wsp:val=&quot;00AF2712&quot;/&gt;&lt;wsp:rsid wsp:val=&quot;00AF2CC9&quot;/&gt;&lt;wsp:rsid wsp:val=&quot;00AF2D3E&quot;/&gt;&lt;wsp:rsid wsp:val=&quot;00AF2F7A&quot;/&gt;&lt;wsp:rsid wsp:val=&quot;00AF2F9D&quot;/&gt;&lt;wsp:rsid wsp:val=&quot;00AF3149&quot;/&gt;&lt;wsp:rsid wsp:val=&quot;00AF3509&quot;/&gt;&lt;wsp:rsid wsp:val=&quot;00AF3529&quot;/&gt;&lt;wsp:rsid wsp:val=&quot;00AF3B58&quot;/&gt;&lt;wsp:rsid wsp:val=&quot;00AF3E49&quot;/&gt;&lt;wsp:rsid wsp:val=&quot;00AF424F&quot;/&gt;&lt;wsp:rsid wsp:val=&quot;00AF4343&quot;/&gt;&lt;wsp:rsid wsp:val=&quot;00AF55AA&quot;/&gt;&lt;wsp:rsid wsp:val=&quot;00AF56AE&quot;/&gt;&lt;wsp:rsid wsp:val=&quot;00AF5852&quot;/&gt;&lt;wsp:rsid wsp:val=&quot;00AF5A03&quot;/&gt;&lt;wsp:rsid wsp:val=&quot;00AF5B3E&quot;/&gt;&lt;wsp:rsid wsp:val=&quot;00AF5FD0&quot;/&gt;&lt;wsp:rsid wsp:val=&quot;00AF6623&quot;/&gt;&lt;wsp:rsid wsp:val=&quot;00AF6C6E&quot;/&gt;&lt;wsp:rsid wsp:val=&quot;00AF6F3F&quot;/&gt;&lt;wsp:rsid wsp:val=&quot;00AF7725&quot;/&gt;&lt;wsp:rsid wsp:val=&quot;00AF7759&quot;/&gt;&lt;wsp:rsid wsp:val=&quot;00B003B5&quot;/&gt;&lt;wsp:rsid wsp:val=&quot;00B00493&quot;/&gt;&lt;wsp:rsid wsp:val=&quot;00B006EA&quot;/&gt;&lt;wsp:rsid wsp:val=&quot;00B00992&quot;/&gt;&lt;wsp:rsid wsp:val=&quot;00B00A3C&quot;/&gt;&lt;wsp:rsid wsp:val=&quot;00B00DA1&quot;/&gt;&lt;wsp:rsid wsp:val=&quot;00B00DA4&quot;/&gt;&lt;wsp:rsid wsp:val=&quot;00B00DC4&quot;/&gt;&lt;wsp:rsid wsp:val=&quot;00B0124C&quot;/&gt;&lt;wsp:rsid wsp:val=&quot;00B01375&quot;/&gt;&lt;wsp:rsid wsp:val=&quot;00B01420&quot;/&gt;&lt;wsp:rsid wsp:val=&quot;00B016D4&quot;/&gt;&lt;wsp:rsid wsp:val=&quot;00B01D43&quot;/&gt;&lt;wsp:rsid wsp:val=&quot;00B01FC6&quot;/&gt;&lt;wsp:rsid wsp:val=&quot;00B02031&quot;/&gt;&lt;wsp:rsid wsp:val=&quot;00B026F6&quot;/&gt;&lt;wsp:rsid wsp:val=&quot;00B02F28&quot;/&gt;&lt;wsp:rsid wsp:val=&quot;00B0318E&quot;/&gt;&lt;wsp:rsid wsp:val=&quot;00B033E0&quot;/&gt;&lt;wsp:rsid wsp:val=&quot;00B03510&quot;/&gt;&lt;wsp:rsid wsp:val=&quot;00B03804&quot;/&gt;&lt;wsp:rsid wsp:val=&quot;00B03DEE&quot;/&gt;&lt;wsp:rsid wsp:val=&quot;00B045D9&quot;/&gt;&lt;wsp:rsid wsp:val=&quot;00B04A0F&quot;/&gt;&lt;wsp:rsid wsp:val=&quot;00B04AE7&quot;/&gt;&lt;wsp:rsid wsp:val=&quot;00B04EEB&quot;/&gt;&lt;wsp:rsid wsp:val=&quot;00B04F2C&quot;/&gt;&lt;wsp:rsid wsp:val=&quot;00B053A9&quot;/&gt;&lt;wsp:rsid wsp:val=&quot;00B05AC4&quot;/&gt;&lt;wsp:rsid wsp:val=&quot;00B05EA9&quot;/&gt;&lt;wsp:rsid wsp:val=&quot;00B05F50&quot;/&gt;&lt;wsp:rsid wsp:val=&quot;00B0603D&quot;/&gt;&lt;wsp:rsid wsp:val=&quot;00B06108&quot;/&gt;&lt;wsp:rsid wsp:val=&quot;00B06342&quot;/&gt;&lt;wsp:rsid wsp:val=&quot;00B063E9&quot;/&gt;&lt;wsp:rsid wsp:val=&quot;00B066FE&quot;/&gt;&lt;wsp:rsid wsp:val=&quot;00B067B6&quot;/&gt;&lt;wsp:rsid wsp:val=&quot;00B069EB&quot;/&gt;&lt;wsp:rsid wsp:val=&quot;00B06D78&quot;/&gt;&lt;wsp:rsid wsp:val=&quot;00B074B7&quot;/&gt;&lt;wsp:rsid wsp:val=&quot;00B07A34&quot;/&gt;&lt;wsp:rsid wsp:val=&quot;00B07A9B&quot;/&gt;&lt;wsp:rsid wsp:val=&quot;00B07C0E&quot;/&gt;&lt;wsp:rsid wsp:val=&quot;00B101E2&quot;/&gt;&lt;wsp:rsid wsp:val=&quot;00B10273&quot;/&gt;&lt;wsp:rsid wsp:val=&quot;00B102A5&quot;/&gt;&lt;wsp:rsid wsp:val=&quot;00B10437&quot;/&gt;&lt;wsp:rsid wsp:val=&quot;00B105C4&quot;/&gt;&lt;wsp:rsid wsp:val=&quot;00B10857&quot;/&gt;&lt;wsp:rsid wsp:val=&quot;00B114AA&quot;/&gt;&lt;wsp:rsid wsp:val=&quot;00B11588&quot;/&gt;&lt;wsp:rsid wsp:val=&quot;00B11AF5&quot;/&gt;&lt;wsp:rsid wsp:val=&quot;00B11C47&quot;/&gt;&lt;wsp:rsid wsp:val=&quot;00B12253&quot;/&gt;&lt;wsp:rsid wsp:val=&quot;00B1237E&quot;/&gt;&lt;wsp:rsid wsp:val=&quot;00B12763&quot;/&gt;&lt;wsp:rsid wsp:val=&quot;00B12A63&quot;/&gt;&lt;wsp:rsid wsp:val=&quot;00B12BF1&quot;/&gt;&lt;wsp:rsid wsp:val=&quot;00B12CB5&quot;/&gt;&lt;wsp:rsid wsp:val=&quot;00B12D76&quot;/&gt;&lt;wsp:rsid wsp:val=&quot;00B12EAC&quot;/&gt;&lt;wsp:rsid wsp:val=&quot;00B13341&quot;/&gt;&lt;wsp:rsid wsp:val=&quot;00B1351D&quot;/&gt;&lt;wsp:rsid wsp:val=&quot;00B13820&quot;/&gt;&lt;wsp:rsid wsp:val=&quot;00B1420F&quot;/&gt;&lt;wsp:rsid wsp:val=&quot;00B14339&quot;/&gt;&lt;wsp:rsid wsp:val=&quot;00B1488F&quot;/&gt;&lt;wsp:rsid wsp:val=&quot;00B1495C&quot;/&gt;&lt;wsp:rsid wsp:val=&quot;00B14964&quot;/&gt;&lt;wsp:rsid wsp:val=&quot;00B14EC4&quot;/&gt;&lt;wsp:rsid wsp:val=&quot;00B14FB8&quot;/&gt;&lt;wsp:rsid wsp:val=&quot;00B150F3&quot;/&gt;&lt;wsp:rsid wsp:val=&quot;00B1542F&quot;/&gt;&lt;wsp:rsid wsp:val=&quot;00B15BB8&quot;/&gt;&lt;wsp:rsid wsp:val=&quot;00B15BD5&quot;/&gt;&lt;wsp:rsid wsp:val=&quot;00B1658C&quot;/&gt;&lt;wsp:rsid wsp:val=&quot;00B165F4&quot;/&gt;&lt;wsp:rsid wsp:val=&quot;00B16B51&quot;/&gt;&lt;wsp:rsid wsp:val=&quot;00B16CE4&quot;/&gt;&lt;wsp:rsid wsp:val=&quot;00B17267&quot;/&gt;&lt;wsp:rsid wsp:val=&quot;00B17A6F&quot;/&gt;&lt;wsp:rsid wsp:val=&quot;00B17A77&quot;/&gt;&lt;wsp:rsid wsp:val=&quot;00B17F34&quot;/&gt;&lt;wsp:rsid wsp:val=&quot;00B2037C&quot;/&gt;&lt;wsp:rsid wsp:val=&quot;00B206CE&quot;/&gt;&lt;wsp:rsid wsp:val=&quot;00B207CE&quot;/&gt;&lt;wsp:rsid wsp:val=&quot;00B207EC&quot;/&gt;&lt;wsp:rsid wsp:val=&quot;00B208ED&quot;/&gt;&lt;wsp:rsid wsp:val=&quot;00B211C4&quot;/&gt;&lt;wsp:rsid wsp:val=&quot;00B21203&quot;/&gt;&lt;wsp:rsid wsp:val=&quot;00B214B2&quot;/&gt;&lt;wsp:rsid wsp:val=&quot;00B215AA&quot;/&gt;&lt;wsp:rsid wsp:val=&quot;00B215BC&quot;/&gt;&lt;wsp:rsid wsp:val=&quot;00B21620&quot;/&gt;&lt;wsp:rsid wsp:val=&quot;00B22E8F&quot;/&gt;&lt;wsp:rsid wsp:val=&quot;00B22F40&quot;/&gt;&lt;wsp:rsid wsp:val=&quot;00B23200&quot;/&gt;&lt;wsp:rsid wsp:val=&quot;00B2379C&quot;/&gt;&lt;wsp:rsid wsp:val=&quot;00B23892&quot;/&gt;&lt;wsp:rsid wsp:val=&quot;00B23D2B&quot;/&gt;&lt;wsp:rsid wsp:val=&quot;00B246A6&quot;/&gt;&lt;wsp:rsid wsp:val=&quot;00B24E41&quot;/&gt;&lt;wsp:rsid wsp:val=&quot;00B24E66&quot;/&gt;&lt;wsp:rsid wsp:val=&quot;00B25027&quot;/&gt;&lt;wsp:rsid wsp:val=&quot;00B2582C&quot;/&gt;&lt;wsp:rsid wsp:val=&quot;00B25907&quot;/&gt;&lt;wsp:rsid wsp:val=&quot;00B264BA&quot;/&gt;&lt;wsp:rsid wsp:val=&quot;00B267C6&quot;/&gt;&lt;wsp:rsid wsp:val=&quot;00B26F46&quot;/&gt;&lt;wsp:rsid wsp:val=&quot;00B270F2&quot;/&gt;&lt;wsp:rsid wsp:val=&quot;00B271B9&quot;/&gt;&lt;wsp:rsid wsp:val=&quot;00B27380&quot;/&gt;&lt;wsp:rsid wsp:val=&quot;00B274BB&quot;/&gt;&lt;wsp:rsid wsp:val=&quot;00B27520&quot;/&gt;&lt;wsp:rsid wsp:val=&quot;00B275DE&quot;/&gt;&lt;wsp:rsid wsp:val=&quot;00B27710&quot;/&gt;&lt;wsp:rsid wsp:val=&quot;00B2772A&quot;/&gt;&lt;wsp:rsid wsp:val=&quot;00B27B90&quot;/&gt;&lt;wsp:rsid wsp:val=&quot;00B27BDA&quot;/&gt;&lt;wsp:rsid wsp:val=&quot;00B302EC&quot;/&gt;&lt;wsp:rsid wsp:val=&quot;00B304C9&quot;/&gt;&lt;wsp:rsid wsp:val=&quot;00B3096D&quot;/&gt;&lt;wsp:rsid wsp:val=&quot;00B30EC9&quot;/&gt;&lt;wsp:rsid wsp:val=&quot;00B31340&quot;/&gt;&lt;wsp:rsid wsp:val=&quot;00B316E7&quot;/&gt;&lt;wsp:rsid wsp:val=&quot;00B31A7D&quot;/&gt;&lt;wsp:rsid wsp:val=&quot;00B31B75&quot;/&gt;&lt;wsp:rsid wsp:val=&quot;00B31F3B&quot;/&gt;&lt;wsp:rsid wsp:val=&quot;00B3255B&quot;/&gt;&lt;wsp:rsid wsp:val=&quot;00B32722&quot;/&gt;&lt;wsp:rsid wsp:val=&quot;00B32901&quot;/&gt;&lt;wsp:rsid wsp:val=&quot;00B32BC4&quot;/&gt;&lt;wsp:rsid wsp:val=&quot;00B32F30&quot;/&gt;&lt;wsp:rsid wsp:val=&quot;00B334E2&quot;/&gt;&lt;wsp:rsid wsp:val=&quot;00B340D8&quot;/&gt;&lt;wsp:rsid wsp:val=&quot;00B34423&quot;/&gt;&lt;wsp:rsid wsp:val=&quot;00B345E1&quot;/&gt;&lt;wsp:rsid wsp:val=&quot;00B34696&quot;/&gt;&lt;wsp:rsid wsp:val=&quot;00B34A3A&quot;/&gt;&lt;wsp:rsid wsp:val=&quot;00B3508E&quot;/&gt;&lt;wsp:rsid wsp:val=&quot;00B35471&quot;/&gt;&lt;wsp:rsid wsp:val=&quot;00B355F7&quot;/&gt;&lt;wsp:rsid wsp:val=&quot;00B355F9&quot;/&gt;&lt;wsp:rsid wsp:val=&quot;00B357FC&quot;/&gt;&lt;wsp:rsid wsp:val=&quot;00B35891&quot;/&gt;&lt;wsp:rsid wsp:val=&quot;00B358AC&quot;/&gt;&lt;wsp:rsid wsp:val=&quot;00B358E9&quot;/&gt;&lt;wsp:rsid wsp:val=&quot;00B35CC2&quot;/&gt;&lt;wsp:rsid wsp:val=&quot;00B36659&quot;/&gt;&lt;wsp:rsid wsp:val=&quot;00B366D3&quot;/&gt;&lt;wsp:rsid wsp:val=&quot;00B3693E&quot;/&gt;&lt;wsp:rsid wsp:val=&quot;00B37158&quot;/&gt;&lt;wsp:rsid wsp:val=&quot;00B373C5&quot;/&gt;&lt;wsp:rsid wsp:val=&quot;00B373F6&quot;/&gt;&lt;wsp:rsid wsp:val=&quot;00B3753C&quot;/&gt;&lt;wsp:rsid wsp:val=&quot;00B37824&quot;/&gt;&lt;wsp:rsid wsp:val=&quot;00B379CB&quot;/&gt;&lt;wsp:rsid wsp:val=&quot;00B37AB0&quot;/&gt;&lt;wsp:rsid wsp:val=&quot;00B37B1C&quot;/&gt;&lt;wsp:rsid wsp:val=&quot;00B37D83&quot;/&gt;&lt;wsp:rsid wsp:val=&quot;00B4003F&quot;/&gt;&lt;wsp:rsid wsp:val=&quot;00B4027C&quot;/&gt;&lt;wsp:rsid wsp:val=&quot;00B405AA&quot;/&gt;&lt;wsp:rsid wsp:val=&quot;00B41129&quot;/&gt;&lt;wsp:rsid wsp:val=&quot;00B41EB7&quot;/&gt;&lt;wsp:rsid wsp:val=&quot;00B420EF&quot;/&gt;&lt;wsp:rsid wsp:val=&quot;00B4230F&quot;/&gt;&lt;wsp:rsid wsp:val=&quot;00B42619&quot;/&gt;&lt;wsp:rsid wsp:val=&quot;00B42645&quot;/&gt;&lt;wsp:rsid wsp:val=&quot;00B4304B&quot;/&gt;&lt;wsp:rsid wsp:val=&quot;00B43378&quot;/&gt;&lt;wsp:rsid wsp:val=&quot;00B4338C&quot;/&gt;&lt;wsp:rsid wsp:val=&quot;00B43BD7&quot;/&gt;&lt;wsp:rsid wsp:val=&quot;00B43C58&quot;/&gt;&lt;wsp:rsid wsp:val=&quot;00B44956&quot;/&gt;&lt;wsp:rsid wsp:val=&quot;00B4527D&quot;/&gt;&lt;wsp:rsid wsp:val=&quot;00B45F5B&quot;/&gt;&lt;wsp:rsid wsp:val=&quot;00B45F5C&quot;/&gt;&lt;wsp:rsid wsp:val=&quot;00B4613C&quot;/&gt;&lt;wsp:rsid wsp:val=&quot;00B464BF&quot;/&gt;&lt;wsp:rsid wsp:val=&quot;00B47705&quot;/&gt;&lt;wsp:rsid wsp:val=&quot;00B47ABD&quot;/&gt;&lt;wsp:rsid wsp:val=&quot;00B47AD1&quot;/&gt;&lt;wsp:rsid wsp:val=&quot;00B47CF4&quot;/&gt;&lt;wsp:rsid wsp:val=&quot;00B47D36&quot;/&gt;&lt;wsp:rsid wsp:val=&quot;00B502BB&quot;/&gt;&lt;wsp:rsid wsp:val=&quot;00B503FD&quot;/&gt;&lt;wsp:rsid wsp:val=&quot;00B50466&quot;/&gt;&lt;wsp:rsid wsp:val=&quot;00B5046F&quot;/&gt;&lt;wsp:rsid wsp:val=&quot;00B505A0&quot;/&gt;&lt;wsp:rsid wsp:val=&quot;00B5084A&quot;/&gt;&lt;wsp:rsid wsp:val=&quot;00B50D60&quot;/&gt;&lt;wsp:rsid wsp:val=&quot;00B5111F&quot;/&gt;&lt;wsp:rsid wsp:val=&quot;00B5185C&quot;/&gt;&lt;wsp:rsid wsp:val=&quot;00B51AB7&quot;/&gt;&lt;wsp:rsid wsp:val=&quot;00B5203B&quot;/&gt;&lt;wsp:rsid wsp:val=&quot;00B52188&quot;/&gt;&lt;wsp:rsid wsp:val=&quot;00B5250E&quot;/&gt;&lt;wsp:rsid wsp:val=&quot;00B5261C&quot;/&gt;&lt;wsp:rsid wsp:val=&quot;00B526AE&quot;/&gt;&lt;wsp:rsid wsp:val=&quot;00B52770&quot;/&gt;&lt;wsp:rsid wsp:val=&quot;00B52A1C&quot;/&gt;&lt;wsp:rsid wsp:val=&quot;00B52A23&quot;/&gt;&lt;wsp:rsid wsp:val=&quot;00B52B05&quot;/&gt;&lt;wsp:rsid wsp:val=&quot;00B52D02&quot;/&gt;&lt;wsp:rsid wsp:val=&quot;00B5318B&quot;/&gt;&lt;wsp:rsid wsp:val=&quot;00B531BC&quot;/&gt;&lt;wsp:rsid wsp:val=&quot;00B53482&quot;/&gt;&lt;wsp:rsid wsp:val=&quot;00B5387F&quot;/&gt;&lt;wsp:rsid wsp:val=&quot;00B5389B&quot;/&gt;&lt;wsp:rsid wsp:val=&quot;00B538F1&quot;/&gt;&lt;wsp:rsid wsp:val=&quot;00B539E7&quot;/&gt;&lt;wsp:rsid wsp:val=&quot;00B53E93&quot;/&gt;&lt;wsp:rsid wsp:val=&quot;00B54064&quot;/&gt;&lt;wsp:rsid wsp:val=&quot;00B54297&quot;/&gt;&lt;wsp:rsid wsp:val=&quot;00B546F4&quot;/&gt;&lt;wsp:rsid wsp:val=&quot;00B54741&quot;/&gt;&lt;wsp:rsid wsp:val=&quot;00B55036&quot;/&gt;&lt;wsp:rsid wsp:val=&quot;00B55249&quot;/&gt;&lt;wsp:rsid wsp:val=&quot;00B5525F&quot;/&gt;&lt;wsp:rsid wsp:val=&quot;00B55663&quot;/&gt;&lt;wsp:rsid wsp:val=&quot;00B55685&quot;/&gt;&lt;wsp:rsid wsp:val=&quot;00B55912&quot;/&gt;&lt;wsp:rsid wsp:val=&quot;00B561D6&quot;/&gt;&lt;wsp:rsid wsp:val=&quot;00B561F7&quot;/&gt;&lt;wsp:rsid wsp:val=&quot;00B5637B&quot;/&gt;&lt;wsp:rsid wsp:val=&quot;00B56DF4&quot;/&gt;&lt;wsp:rsid wsp:val=&quot;00B57213&quot;/&gt;&lt;wsp:rsid wsp:val=&quot;00B573A4&quot;/&gt;&lt;wsp:rsid wsp:val=&quot;00B5750A&quot;/&gt;&lt;wsp:rsid wsp:val=&quot;00B57E4C&quot;/&gt;&lt;wsp:rsid wsp:val=&quot;00B608C4&quot;/&gt;&lt;wsp:rsid wsp:val=&quot;00B609CB&quot;/&gt;&lt;wsp:rsid wsp:val=&quot;00B61A4B&quot;/&gt;&lt;wsp:rsid wsp:val=&quot;00B61D45&quot;/&gt;&lt;wsp:rsid wsp:val=&quot;00B621BD&quot;/&gt;&lt;wsp:rsid wsp:val=&quot;00B622DE&quot;/&gt;&lt;wsp:rsid wsp:val=&quot;00B6234B&quot;/&gt;&lt;wsp:rsid wsp:val=&quot;00B6240A&quot;/&gt;&lt;wsp:rsid wsp:val=&quot;00B6240F&quot;/&gt;&lt;wsp:rsid wsp:val=&quot;00B626C5&quot;/&gt;&lt;wsp:rsid wsp:val=&quot;00B626D5&quot;/&gt;&lt;wsp:rsid wsp:val=&quot;00B62CEE&quot;/&gt;&lt;wsp:rsid wsp:val=&quot;00B63154&quot;/&gt;&lt;wsp:rsid wsp:val=&quot;00B636AA&quot;/&gt;&lt;wsp:rsid wsp:val=&quot;00B642D8&quot;/&gt;&lt;wsp:rsid wsp:val=&quot;00B647B6&quot;/&gt;&lt;wsp:rsid wsp:val=&quot;00B64D1F&quot;/&gt;&lt;wsp:rsid wsp:val=&quot;00B64D40&quot;/&gt;&lt;wsp:rsid wsp:val=&quot;00B6520B&quot;/&gt;&lt;wsp:rsid wsp:val=&quot;00B657C0&quot;/&gt;&lt;wsp:rsid wsp:val=&quot;00B659C5&quot;/&gt;&lt;wsp:rsid wsp:val=&quot;00B66936&quot;/&gt;&lt;wsp:rsid wsp:val=&quot;00B66BE4&quot;/&gt;&lt;wsp:rsid wsp:val=&quot;00B67407&quot;/&gt;&lt;wsp:rsid wsp:val=&quot;00B674C9&quot;/&gt;&lt;wsp:rsid wsp:val=&quot;00B6750B&quot;/&gt;&lt;wsp:rsid wsp:val=&quot;00B67969&quot;/&gt;&lt;wsp:rsid wsp:val=&quot;00B7024E&quot;/&gt;&lt;wsp:rsid wsp:val=&quot;00B70395&quot;/&gt;&lt;wsp:rsid wsp:val=&quot;00B70444&quot;/&gt;&lt;wsp:rsid wsp:val=&quot;00B70C63&quot;/&gt;&lt;wsp:rsid wsp:val=&quot;00B70D4A&quot;/&gt;&lt;wsp:rsid wsp:val=&quot;00B719DC&quot;/&gt;&lt;wsp:rsid wsp:val=&quot;00B71DF4&quot;/&gt;&lt;wsp:rsid wsp:val=&quot;00B71FF8&quot;/&gt;&lt;wsp:rsid wsp:val=&quot;00B7214D&quot;/&gt;&lt;wsp:rsid wsp:val=&quot;00B7237E&quot;/&gt;&lt;wsp:rsid wsp:val=&quot;00B72491&quot;/&gt;&lt;wsp:rsid wsp:val=&quot;00B72997&quot;/&gt;&lt;wsp:rsid wsp:val=&quot;00B72B2D&quot;/&gt;&lt;wsp:rsid wsp:val=&quot;00B73379&quot;/&gt;&lt;wsp:rsid wsp:val=&quot;00B738A1&quot;/&gt;&lt;wsp:rsid wsp:val=&quot;00B73E83&quot;/&gt;&lt;wsp:rsid wsp:val=&quot;00B73F7D&quot;/&gt;&lt;wsp:rsid wsp:val=&quot;00B7404A&quot;/&gt;&lt;wsp:rsid wsp:val=&quot;00B743DB&quot;/&gt;&lt;wsp:rsid wsp:val=&quot;00B74423&quot;/&gt;&lt;wsp:rsid wsp:val=&quot;00B74642&quot;/&gt;&lt;wsp:rsid wsp:val=&quot;00B74D25&quot;/&gt;&lt;wsp:rsid wsp:val=&quot;00B7536C&quot;/&gt;&lt;wsp:rsid wsp:val=&quot;00B7552C&quot;/&gt;&lt;wsp:rsid wsp:val=&quot;00B757CF&quot;/&gt;&lt;wsp:rsid wsp:val=&quot;00B7595E&quot;/&gt;&lt;wsp:rsid wsp:val=&quot;00B75F42&quot;/&gt;&lt;wsp:rsid wsp:val=&quot;00B766BB&quot;/&gt;&lt;wsp:rsid wsp:val=&quot;00B766D1&quot;/&gt;&lt;wsp:rsid wsp:val=&quot;00B769B6&quot;/&gt;&lt;wsp:rsid wsp:val=&quot;00B76C16&quot;/&gt;&lt;wsp:rsid wsp:val=&quot;00B77226&quot;/&gt;&lt;wsp:rsid wsp:val=&quot;00B7723F&quot;/&gt;&lt;wsp:rsid wsp:val=&quot;00B77294&quot;/&gt;&lt;wsp:rsid wsp:val=&quot;00B77450&quot;/&gt;&lt;wsp:rsid wsp:val=&quot;00B776BA&quot;/&gt;&lt;wsp:rsid wsp:val=&quot;00B77C3D&quot;/&gt;&lt;wsp:rsid wsp:val=&quot;00B803FB&quot;/&gt;&lt;wsp:rsid wsp:val=&quot;00B804AA&quot;/&gt;&lt;wsp:rsid wsp:val=&quot;00B8054A&quot;/&gt;&lt;wsp:rsid wsp:val=&quot;00B8064A&quot;/&gt;&lt;wsp:rsid wsp:val=&quot;00B81830&quot;/&gt;&lt;wsp:rsid wsp:val=&quot;00B81AF0&quot;/&gt;&lt;wsp:rsid wsp:val=&quot;00B81B2D&quot;/&gt;&lt;wsp:rsid wsp:val=&quot;00B82189&quot;/&gt;&lt;wsp:rsid wsp:val=&quot;00B82335&quot;/&gt;&lt;wsp:rsid wsp:val=&quot;00B82367&quot;/&gt;&lt;wsp:rsid wsp:val=&quot;00B825BC&quot;/&gt;&lt;wsp:rsid wsp:val=&quot;00B8299B&quot;/&gt;&lt;wsp:rsid wsp:val=&quot;00B82BB6&quot;/&gt;&lt;wsp:rsid wsp:val=&quot;00B830E9&quot;/&gt;&lt;wsp:rsid wsp:val=&quot;00B8316D&quot;/&gt;&lt;wsp:rsid wsp:val=&quot;00B83687&quot;/&gt;&lt;wsp:rsid wsp:val=&quot;00B83B40&quot;/&gt;&lt;wsp:rsid wsp:val=&quot;00B83E28&quot;/&gt;&lt;wsp:rsid wsp:val=&quot;00B8416F&quot;/&gt;&lt;wsp:rsid wsp:val=&quot;00B84482&quot;/&gt;&lt;wsp:rsid wsp:val=&quot;00B845CB&quot;/&gt;&lt;wsp:rsid wsp:val=&quot;00B8472E&quot;/&gt;&lt;wsp:rsid wsp:val=&quot;00B84801&quot;/&gt;&lt;wsp:rsid wsp:val=&quot;00B8506F&quot;/&gt;&lt;wsp:rsid wsp:val=&quot;00B85311&quot;/&gt;&lt;wsp:rsid wsp:val=&quot;00B859FF&quot;/&gt;&lt;wsp:rsid wsp:val=&quot;00B85A40&quot;/&gt;&lt;wsp:rsid wsp:val=&quot;00B85B95&quot;/&gt;&lt;wsp:rsid wsp:val=&quot;00B85DAE&quot;/&gt;&lt;wsp:rsid wsp:val=&quot;00B85DF7&quot;/&gt;&lt;wsp:rsid wsp:val=&quot;00B85FDF&quot;/&gt;&lt;wsp:rsid wsp:val=&quot;00B86233&quot;/&gt;&lt;wsp:rsid wsp:val=&quot;00B868D1&quot;/&gt;&lt;wsp:rsid wsp:val=&quot;00B870B9&quot;/&gt;&lt;wsp:rsid wsp:val=&quot;00B87548&quot;/&gt;&lt;wsp:rsid wsp:val=&quot;00B87808&quot;/&gt;&lt;wsp:rsid wsp:val=&quot;00B87C05&quot;/&gt;&lt;wsp:rsid wsp:val=&quot;00B87FF0&quot;/&gt;&lt;wsp:rsid wsp:val=&quot;00B90186&quot;/&gt;&lt;wsp:rsid wsp:val=&quot;00B90220&quot;/&gt;&lt;wsp:rsid wsp:val=&quot;00B9055C&quot;/&gt;&lt;wsp:rsid wsp:val=&quot;00B90A24&quot;/&gt;&lt;wsp:rsid wsp:val=&quot;00B90AFB&quot;/&gt;&lt;wsp:rsid wsp:val=&quot;00B91017&quot;/&gt;&lt;wsp:rsid wsp:val=&quot;00B91019&quot;/&gt;&lt;wsp:rsid wsp:val=&quot;00B91898&quot;/&gt;&lt;wsp:rsid wsp:val=&quot;00B91D43&quot;/&gt;&lt;wsp:rsid wsp:val=&quot;00B91FFC&quot;/&gt;&lt;wsp:rsid wsp:val=&quot;00B922CF&quot;/&gt;&lt;wsp:rsid wsp:val=&quot;00B9259B&quot;/&gt;&lt;wsp:rsid wsp:val=&quot;00B925A4&quot;/&gt;&lt;wsp:rsid wsp:val=&quot;00B92867&quot;/&gt;&lt;wsp:rsid wsp:val=&quot;00B92C8B&quot;/&gt;&lt;wsp:rsid wsp:val=&quot;00B92CE3&quot;/&gt;&lt;wsp:rsid wsp:val=&quot;00B92EDF&quot;/&gt;&lt;wsp:rsid wsp:val=&quot;00B933ED&quot;/&gt;&lt;wsp:rsid wsp:val=&quot;00B9374D&quot;/&gt;&lt;wsp:rsid wsp:val=&quot;00B939BE&quot;/&gt;&lt;wsp:rsid wsp:val=&quot;00B93A53&quot;/&gt;&lt;wsp:rsid wsp:val=&quot;00B93E91&quot;/&gt;&lt;wsp:rsid wsp:val=&quot;00B94416&quot;/&gt;&lt;wsp:rsid wsp:val=&quot;00B945F6&quot;/&gt;&lt;wsp:rsid wsp:val=&quot;00B9494F&quot;/&gt;&lt;wsp:rsid wsp:val=&quot;00B949CD&quot;/&gt;&lt;wsp:rsid wsp:val=&quot;00B94DD4&quot;/&gt;&lt;wsp:rsid wsp:val=&quot;00B957E1&quot;/&gt;&lt;wsp:rsid wsp:val=&quot;00B95A70&quot;/&gt;&lt;wsp:rsid wsp:val=&quot;00B95F0E&quot;/&gt;&lt;wsp:rsid wsp:val=&quot;00B96800&quot;/&gt;&lt;wsp:rsid wsp:val=&quot;00B96DC9&quot;/&gt;&lt;wsp:rsid wsp:val=&quot;00B96EA0&quot;/&gt;&lt;wsp:rsid wsp:val=&quot;00B972E9&quot;/&gt;&lt;wsp:rsid wsp:val=&quot;00BA00D0&quot;/&gt;&lt;wsp:rsid wsp:val=&quot;00BA0219&quot;/&gt;&lt;wsp:rsid wsp:val=&quot;00BA0229&quot;/&gt;&lt;wsp:rsid wsp:val=&quot;00BA0362&quot;/&gt;&lt;wsp:rsid wsp:val=&quot;00BA0611&quot;/&gt;&lt;wsp:rsid wsp:val=&quot;00BA0A56&quot;/&gt;&lt;wsp:rsid wsp:val=&quot;00BA149A&quot;/&gt;&lt;wsp:rsid wsp:val=&quot;00BA162E&quot;/&gt;&lt;wsp:rsid wsp:val=&quot;00BA178A&quot;/&gt;&lt;wsp:rsid wsp:val=&quot;00BA2D52&quot;/&gt;&lt;wsp:rsid wsp:val=&quot;00BA2D5D&quot;/&gt;&lt;wsp:rsid wsp:val=&quot;00BA3151&quot;/&gt;&lt;wsp:rsid wsp:val=&quot;00BA34EC&quot;/&gt;&lt;wsp:rsid wsp:val=&quot;00BA38D3&quot;/&gt;&lt;wsp:rsid wsp:val=&quot;00BA3DB2&quot;/&gt;&lt;wsp:rsid wsp:val=&quot;00BA3E49&quot;/&gt;&lt;wsp:rsid wsp:val=&quot;00BA43FA&quot;/&gt;&lt;wsp:rsid wsp:val=&quot;00BA4C42&quot;/&gt;&lt;wsp:rsid wsp:val=&quot;00BA4D6A&quot;/&gt;&lt;wsp:rsid wsp:val=&quot;00BA5CA8&quot;/&gt;&lt;wsp:rsid wsp:val=&quot;00BA5DFF&quot;/&gt;&lt;wsp:rsid wsp:val=&quot;00BA5FEF&quot;/&gt;&lt;wsp:rsid wsp:val=&quot;00BA61E1&quot;/&gt;&lt;wsp:rsid wsp:val=&quot;00BA63A1&quot;/&gt;&lt;wsp:rsid wsp:val=&quot;00BA683E&quot;/&gt;&lt;wsp:rsid wsp:val=&quot;00BA68F0&quot;/&gt;&lt;wsp:rsid wsp:val=&quot;00BA6BF0&quot;/&gt;&lt;wsp:rsid wsp:val=&quot;00BA6EF9&quot;/&gt;&lt;wsp:rsid wsp:val=&quot;00BA6FA4&quot;/&gt;&lt;wsp:rsid wsp:val=&quot;00BA7546&quot;/&gt;&lt;wsp:rsid wsp:val=&quot;00BA7725&quot;/&gt;&lt;wsp:rsid wsp:val=&quot;00BA7AD3&quot;/&gt;&lt;wsp:rsid wsp:val=&quot;00BA7FCF&quot;/&gt;&lt;wsp:rsid wsp:val=&quot;00BB022C&quot;/&gt;&lt;wsp:rsid wsp:val=&quot;00BB06E2&quot;/&gt;&lt;wsp:rsid wsp:val=&quot;00BB0DAB&quot;/&gt;&lt;wsp:rsid wsp:val=&quot;00BB167D&quot;/&gt;&lt;wsp:rsid wsp:val=&quot;00BB2025&quot;/&gt;&lt;wsp:rsid wsp:val=&quot;00BB2060&quot;/&gt;&lt;wsp:rsid wsp:val=&quot;00BB20A4&quot;/&gt;&lt;wsp:rsid wsp:val=&quot;00BB2AF6&quot;/&gt;&lt;wsp:rsid wsp:val=&quot;00BB2FFB&quot;/&gt;&lt;wsp:rsid wsp:val=&quot;00BB311C&quot;/&gt;&lt;wsp:rsid wsp:val=&quot;00BB337E&quot;/&gt;&lt;wsp:rsid wsp:val=&quot;00BB34A9&quot;/&gt;&lt;wsp:rsid wsp:val=&quot;00BB350E&quot;/&gt;&lt;wsp:rsid wsp:val=&quot;00BB36C0&quot;/&gt;&lt;wsp:rsid wsp:val=&quot;00BB3A28&quot;/&gt;&lt;wsp:rsid wsp:val=&quot;00BB3B2D&quot;/&gt;&lt;wsp:rsid wsp:val=&quot;00BB409B&quot;/&gt;&lt;wsp:rsid wsp:val=&quot;00BB40BB&quot;/&gt;&lt;wsp:rsid wsp:val=&quot;00BB4189&quot;/&gt;&lt;wsp:rsid wsp:val=&quot;00BB42C2&quot;/&gt;&lt;wsp:rsid wsp:val=&quot;00BB4456&quot;/&gt;&lt;wsp:rsid wsp:val=&quot;00BB44E6&quot;/&gt;&lt;wsp:rsid wsp:val=&quot;00BB4C96&quot;/&gt;&lt;wsp:rsid wsp:val=&quot;00BB4FFB&quot;/&gt;&lt;wsp:rsid wsp:val=&quot;00BB50AC&quot;/&gt;&lt;wsp:rsid wsp:val=&quot;00BB5B79&quot;/&gt;&lt;wsp:rsid wsp:val=&quot;00BB5B9B&quot;/&gt;&lt;wsp:rsid wsp:val=&quot;00BB5C44&quot;/&gt;&lt;wsp:rsid wsp:val=&quot;00BB5F33&quot;/&gt;&lt;wsp:rsid wsp:val=&quot;00BB6048&quot;/&gt;&lt;wsp:rsid wsp:val=&quot;00BB61AC&quot;/&gt;&lt;wsp:rsid wsp:val=&quot;00BB6470&quot;/&gt;&lt;wsp:rsid wsp:val=&quot;00BB6844&quot;/&gt;&lt;wsp:rsid wsp:val=&quot;00BB6956&quot;/&gt;&lt;wsp:rsid wsp:val=&quot;00BB6A39&quot;/&gt;&lt;wsp:rsid wsp:val=&quot;00BB6A44&quot;/&gt;&lt;wsp:rsid wsp:val=&quot;00BB6A93&quot;/&gt;&lt;wsp:rsid wsp:val=&quot;00BB6D27&quot;/&gt;&lt;wsp:rsid wsp:val=&quot;00BB74DB&quot;/&gt;&lt;wsp:rsid wsp:val=&quot;00BB757B&quot;/&gt;&lt;wsp:rsid wsp:val=&quot;00BB77E4&quot;/&gt;&lt;wsp:rsid wsp:val=&quot;00BB782C&quot;/&gt;&lt;wsp:rsid wsp:val=&quot;00BB786D&quot;/&gt;&lt;wsp:rsid wsp:val=&quot;00BB7993&quot;/&gt;&lt;wsp:rsid wsp:val=&quot;00BB7B40&quot;/&gt;&lt;wsp:rsid wsp:val=&quot;00BB7C66&quot;/&gt;&lt;wsp:rsid wsp:val=&quot;00BC0314&quot;/&gt;&lt;wsp:rsid wsp:val=&quot;00BC05B3&quot;/&gt;&lt;wsp:rsid wsp:val=&quot;00BC073A&quot;/&gt;&lt;wsp:rsid wsp:val=&quot;00BC0F9C&quot;/&gt;&lt;wsp:rsid wsp:val=&quot;00BC106A&quot;/&gt;&lt;wsp:rsid wsp:val=&quot;00BC12BA&quot;/&gt;&lt;wsp:rsid wsp:val=&quot;00BC13B7&quot;/&gt;&lt;wsp:rsid wsp:val=&quot;00BC1604&quot;/&gt;&lt;wsp:rsid wsp:val=&quot;00BC1A09&quot;/&gt;&lt;wsp:rsid wsp:val=&quot;00BC1A9E&quot;/&gt;&lt;wsp:rsid wsp:val=&quot;00BC21DC&quot;/&gt;&lt;wsp:rsid wsp:val=&quot;00BC26BD&quot;/&gt;&lt;wsp:rsid wsp:val=&quot;00BC2834&quot;/&gt;&lt;wsp:rsid wsp:val=&quot;00BC2EB8&quot;/&gt;&lt;wsp:rsid wsp:val=&quot;00BC3404&quot;/&gt;&lt;wsp:rsid wsp:val=&quot;00BC34B3&quot;/&gt;&lt;wsp:rsid wsp:val=&quot;00BC37BB&quot;/&gt;&lt;wsp:rsid wsp:val=&quot;00BC37ED&quot;/&gt;&lt;wsp:rsid wsp:val=&quot;00BC3E79&quot;/&gt;&lt;wsp:rsid wsp:val=&quot;00BC3F4F&quot;/&gt;&lt;wsp:rsid wsp:val=&quot;00BC402B&quot;/&gt;&lt;wsp:rsid wsp:val=&quot;00BC40C2&quot;/&gt;&lt;wsp:rsid wsp:val=&quot;00BC4464&quot;/&gt;&lt;wsp:rsid wsp:val=&quot;00BC4A1C&quot;/&gt;&lt;wsp:rsid wsp:val=&quot;00BC4A5E&quot;/&gt;&lt;wsp:rsid wsp:val=&quot;00BC4CDE&quot;/&gt;&lt;wsp:rsid wsp:val=&quot;00BC4F0F&quot;/&gt;&lt;wsp:rsid wsp:val=&quot;00BC4F86&quot;/&gt;&lt;wsp:rsid wsp:val=&quot;00BC5197&quot;/&gt;&lt;wsp:rsid wsp:val=&quot;00BC51DE&quot;/&gt;&lt;wsp:rsid wsp:val=&quot;00BC569F&quot;/&gt;&lt;wsp:rsid wsp:val=&quot;00BC59F6&quot;/&gt;&lt;wsp:rsid wsp:val=&quot;00BC5B02&quot;/&gt;&lt;wsp:rsid wsp:val=&quot;00BC5E6B&quot;/&gt;&lt;wsp:rsid wsp:val=&quot;00BC645D&quot;/&gt;&lt;wsp:rsid wsp:val=&quot;00BC689E&quot;/&gt;&lt;wsp:rsid wsp:val=&quot;00BC6E57&quot;/&gt;&lt;wsp:rsid wsp:val=&quot;00BC6FF0&quot;/&gt;&lt;wsp:rsid wsp:val=&quot;00BC7003&quot;/&gt;&lt;wsp:rsid wsp:val=&quot;00BC72DF&quot;/&gt;&lt;wsp:rsid wsp:val=&quot;00BC7514&quot;/&gt;&lt;wsp:rsid wsp:val=&quot;00BC7A8A&quot;/&gt;&lt;wsp:rsid wsp:val=&quot;00BC7E36&quot;/&gt;&lt;wsp:rsid wsp:val=&quot;00BD0239&quot;/&gt;&lt;wsp:rsid wsp:val=&quot;00BD028C&quot;/&gt;&lt;wsp:rsid wsp:val=&quot;00BD0665&quot;/&gt;&lt;wsp:rsid wsp:val=&quot;00BD07EF&quot;/&gt;&lt;wsp:rsid wsp:val=&quot;00BD07F5&quot;/&gt;&lt;wsp:rsid wsp:val=&quot;00BD0E05&quot;/&gt;&lt;wsp:rsid wsp:val=&quot;00BD0EC3&quot;/&gt;&lt;wsp:rsid wsp:val=&quot;00BD1044&quot;/&gt;&lt;wsp:rsid wsp:val=&quot;00BD1408&quot;/&gt;&lt;wsp:rsid wsp:val=&quot;00BD15C5&quot;/&gt;&lt;wsp:rsid wsp:val=&quot;00BD16AD&quot;/&gt;&lt;wsp:rsid wsp:val=&quot;00BD183E&quot;/&gt;&lt;wsp:rsid wsp:val=&quot;00BD1966&quot;/&gt;&lt;wsp:rsid wsp:val=&quot;00BD19F8&quot;/&gt;&lt;wsp:rsid wsp:val=&quot;00BD21EF&quot;/&gt;&lt;wsp:rsid wsp:val=&quot;00BD2722&quot;/&gt;&lt;wsp:rsid wsp:val=&quot;00BD290B&quot;/&gt;&lt;wsp:rsid wsp:val=&quot;00BD2A30&quot;/&gt;&lt;wsp:rsid wsp:val=&quot;00BD2C67&quot;/&gt;&lt;wsp:rsid wsp:val=&quot;00BD319D&quot;/&gt;&lt;wsp:rsid wsp:val=&quot;00BD3B1A&quot;/&gt;&lt;wsp:rsid wsp:val=&quot;00BD3CC7&quot;/&gt;&lt;wsp:rsid wsp:val=&quot;00BD47CB&quot;/&gt;&lt;wsp:rsid wsp:val=&quot;00BD4986&quot;/&gt;&lt;wsp:rsid wsp:val=&quot;00BD4A06&quot;/&gt;&lt;wsp:rsid wsp:val=&quot;00BD4D4D&quot;/&gt;&lt;wsp:rsid wsp:val=&quot;00BD4F72&quot;/&gt;&lt;wsp:rsid wsp:val=&quot;00BD5117&quot;/&gt;&lt;wsp:rsid wsp:val=&quot;00BD52AB&quot;/&gt;&lt;wsp:rsid wsp:val=&quot;00BD5483&quot;/&gt;&lt;wsp:rsid wsp:val=&quot;00BD5626&quot;/&gt;&lt;wsp:rsid wsp:val=&quot;00BD57FD&quot;/&gt;&lt;wsp:rsid wsp:val=&quot;00BD5E7B&quot;/&gt;&lt;wsp:rsid wsp:val=&quot;00BD67E2&quot;/&gt;&lt;wsp:rsid wsp:val=&quot;00BD6DBD&quot;/&gt;&lt;wsp:rsid wsp:val=&quot;00BD6E04&quot;/&gt;&lt;wsp:rsid wsp:val=&quot;00BD73E0&quot;/&gt;&lt;wsp:rsid wsp:val=&quot;00BD746B&quot;/&gt;&lt;wsp:rsid wsp:val=&quot;00BD7971&quot;/&gt;&lt;wsp:rsid wsp:val=&quot;00BD7A89&quot;/&gt;&lt;wsp:rsid wsp:val=&quot;00BD7AB5&quot;/&gt;&lt;wsp:rsid wsp:val=&quot;00BD7C5B&quot;/&gt;&lt;wsp:rsid wsp:val=&quot;00BD7CEE&quot;/&gt;&lt;wsp:rsid wsp:val=&quot;00BD7D8E&quot;/&gt;&lt;wsp:rsid wsp:val=&quot;00BE0028&quot;/&gt;&lt;wsp:rsid wsp:val=&quot;00BE06B0&quot;/&gt;&lt;wsp:rsid wsp:val=&quot;00BE06D9&quot;/&gt;&lt;wsp:rsid wsp:val=&quot;00BE09AD&quot;/&gt;&lt;wsp:rsid wsp:val=&quot;00BE0B76&quot;/&gt;&lt;wsp:rsid wsp:val=&quot;00BE18A5&quot;/&gt;&lt;wsp:rsid wsp:val=&quot;00BE19E5&quot;/&gt;&lt;wsp:rsid wsp:val=&quot;00BE1DE4&quot;/&gt;&lt;wsp:rsid wsp:val=&quot;00BE1F06&quot;/&gt;&lt;wsp:rsid wsp:val=&quot;00BE1FDE&quot;/&gt;&lt;wsp:rsid wsp:val=&quot;00BE24B8&quot;/&gt;&lt;wsp:rsid wsp:val=&quot;00BE2516&quot;/&gt;&lt;wsp:rsid wsp:val=&quot;00BE2676&quot;/&gt;&lt;wsp:rsid wsp:val=&quot;00BE27F3&quot;/&gt;&lt;wsp:rsid wsp:val=&quot;00BE2B0C&quot;/&gt;&lt;wsp:rsid wsp:val=&quot;00BE2E84&quot;/&gt;&lt;wsp:rsid wsp:val=&quot;00BE2FC2&quot;/&gt;&lt;wsp:rsid wsp:val=&quot;00BE303E&quot;/&gt;&lt;wsp:rsid wsp:val=&quot;00BE333D&quot;/&gt;&lt;wsp:rsid wsp:val=&quot;00BE3465&quot;/&gt;&lt;wsp:rsid wsp:val=&quot;00BE4325&quot;/&gt;&lt;wsp:rsid wsp:val=&quot;00BE52FA&quot;/&gt;&lt;wsp:rsid wsp:val=&quot;00BE5611&quot;/&gt;&lt;wsp:rsid wsp:val=&quot;00BE56AA&quot;/&gt;&lt;wsp:rsid wsp:val=&quot;00BE56CB&quot;/&gt;&lt;wsp:rsid wsp:val=&quot;00BE58B2&quot;/&gt;&lt;wsp:rsid wsp:val=&quot;00BE6197&quot;/&gt;&lt;wsp:rsid wsp:val=&quot;00BE6510&quot;/&gt;&lt;wsp:rsid wsp:val=&quot;00BE6562&quot;/&gt;&lt;wsp:rsid wsp:val=&quot;00BE6B39&quot;/&gt;&lt;wsp:rsid wsp:val=&quot;00BE6C2F&quot;/&gt;&lt;wsp:rsid wsp:val=&quot;00BE6CE0&quot;/&gt;&lt;wsp:rsid wsp:val=&quot;00BE712C&quot;/&gt;&lt;wsp:rsid wsp:val=&quot;00BE75E1&quot;/&gt;&lt;wsp:rsid wsp:val=&quot;00BE76C2&quot;/&gt;&lt;wsp:rsid wsp:val=&quot;00BE785F&quot;/&gt;&lt;wsp:rsid wsp:val=&quot;00BE78BC&quot;/&gt;&lt;wsp:rsid wsp:val=&quot;00BE7C9B&quot;/&gt;&lt;wsp:rsid wsp:val=&quot;00BF00BE&quot;/&gt;&lt;wsp:rsid wsp:val=&quot;00BF018E&quot;/&gt;&lt;wsp:rsid wsp:val=&quot;00BF04F4&quot;/&gt;&lt;wsp:rsid wsp:val=&quot;00BF07C9&quot;/&gt;&lt;wsp:rsid wsp:val=&quot;00BF092E&quot;/&gt;&lt;wsp:rsid wsp:val=&quot;00BF0D10&quot;/&gt;&lt;wsp:rsid wsp:val=&quot;00BF0E67&quot;/&gt;&lt;wsp:rsid wsp:val=&quot;00BF0F6C&quot;/&gt;&lt;wsp:rsid wsp:val=&quot;00BF14A4&quot;/&gt;&lt;wsp:rsid wsp:val=&quot;00BF1503&quot;/&gt;&lt;wsp:rsid wsp:val=&quot;00BF1995&quot;/&gt;&lt;wsp:rsid wsp:val=&quot;00BF20B3&quot;/&gt;&lt;wsp:rsid wsp:val=&quot;00BF2226&quot;/&gt;&lt;wsp:rsid wsp:val=&quot;00BF2A9A&quot;/&gt;&lt;wsp:rsid wsp:val=&quot;00BF3C18&quot;/&gt;&lt;wsp:rsid wsp:val=&quot;00BF4105&quot;/&gt;&lt;wsp:rsid wsp:val=&quot;00BF418D&quot;/&gt;&lt;wsp:rsid wsp:val=&quot;00BF452F&quot;/&gt;&lt;wsp:rsid wsp:val=&quot;00BF456D&quot;/&gt;&lt;wsp:rsid wsp:val=&quot;00BF55FF&quot;/&gt;&lt;wsp:rsid wsp:val=&quot;00BF571A&quot;/&gt;&lt;wsp:rsid wsp:val=&quot;00BF5A3A&quot;/&gt;&lt;wsp:rsid wsp:val=&quot;00BF5B6E&quot;/&gt;&lt;wsp:rsid wsp:val=&quot;00BF5D51&quot;/&gt;&lt;wsp:rsid wsp:val=&quot;00BF5FB4&quot;/&gt;&lt;wsp:rsid wsp:val=&quot;00BF6487&quot;/&gt;&lt;wsp:rsid wsp:val=&quot;00BF6693&quot;/&gt;&lt;wsp:rsid wsp:val=&quot;00BF66D7&quot;/&gt;&lt;wsp:rsid wsp:val=&quot;00BF6AF7&quot;/&gt;&lt;wsp:rsid wsp:val=&quot;00BF6D3E&quot;/&gt;&lt;wsp:rsid wsp:val=&quot;00BF6F1F&quot;/&gt;&lt;wsp:rsid wsp:val=&quot;00BF7145&quot;/&gt;&lt;wsp:rsid wsp:val=&quot;00BF7221&quot;/&gt;&lt;wsp:rsid wsp:val=&quot;00BF7B8D&quot;/&gt;&lt;wsp:rsid wsp:val=&quot;00BF7EAE&quot;/&gt;&lt;wsp:rsid wsp:val=&quot;00C00180&quot;/&gt;&lt;wsp:rsid wsp:val=&quot;00C002A6&quot;/&gt;&lt;wsp:rsid wsp:val=&quot;00C0040F&quot;/&gt;&lt;wsp:rsid wsp:val=&quot;00C00B97&quot;/&gt;&lt;wsp:rsid wsp:val=&quot;00C00ED8&quot;/&gt;&lt;wsp:rsid wsp:val=&quot;00C011B7&quot;/&gt;&lt;wsp:rsid wsp:val=&quot;00C01350&quot;/&gt;&lt;wsp:rsid wsp:val=&quot;00C017BB&quot;/&gt;&lt;wsp:rsid wsp:val=&quot;00C01DB8&quot;/&gt;&lt;wsp:rsid wsp:val=&quot;00C01E51&quot;/&gt;&lt;wsp:rsid wsp:val=&quot;00C01F8C&quot;/&gt;&lt;wsp:rsid wsp:val=&quot;00C0200B&quot;/&gt;&lt;wsp:rsid wsp:val=&quot;00C020FC&quot;/&gt;&lt;wsp:rsid wsp:val=&quot;00C02143&quot;/&gt;&lt;wsp:rsid wsp:val=&quot;00C02566&quot;/&gt;&lt;wsp:rsid wsp:val=&quot;00C02775&quot;/&gt;&lt;wsp:rsid wsp:val=&quot;00C02AB4&quot;/&gt;&lt;wsp:rsid wsp:val=&quot;00C02B6E&quot;/&gt;&lt;wsp:rsid wsp:val=&quot;00C02C7F&quot;/&gt;&lt;wsp:rsid wsp:val=&quot;00C02FC6&quot;/&gt;&lt;wsp:rsid wsp:val=&quot;00C03236&quot;/&gt;&lt;wsp:rsid wsp:val=&quot;00C03A12&quot;/&gt;&lt;wsp:rsid wsp:val=&quot;00C03E02&quot;/&gt;&lt;wsp:rsid wsp:val=&quot;00C03F80&quot;/&gt;&lt;wsp:rsid wsp:val=&quot;00C04424&quot;/&gt;&lt;wsp:rsid wsp:val=&quot;00C0453D&quot;/&gt;&lt;wsp:rsid wsp:val=&quot;00C05095&quot;/&gt;&lt;wsp:rsid wsp:val=&quot;00C05A2D&quot;/&gt;&lt;wsp:rsid wsp:val=&quot;00C05D31&quot;/&gt;&lt;wsp:rsid wsp:val=&quot;00C05E10&quot;/&gt;&lt;wsp:rsid wsp:val=&quot;00C060E2&quot;/&gt;&lt;wsp:rsid wsp:val=&quot;00C06660&quot;/&gt;&lt;wsp:rsid wsp:val=&quot;00C0691F&quot;/&gt;&lt;wsp:rsid wsp:val=&quot;00C06953&quot;/&gt;&lt;wsp:rsid wsp:val=&quot;00C06CC3&quot;/&gt;&lt;wsp:rsid wsp:val=&quot;00C06DF9&quot;/&gt;&lt;wsp:rsid wsp:val=&quot;00C06FB3&quot;/&gt;&lt;wsp:rsid wsp:val=&quot;00C070C3&quot;/&gt;&lt;wsp:rsid wsp:val=&quot;00C078EE&quot;/&gt;&lt;wsp:rsid wsp:val=&quot;00C07BC7&quot;/&gt;&lt;wsp:rsid wsp:val=&quot;00C10240&quot;/&gt;&lt;wsp:rsid wsp:val=&quot;00C102D6&quot;/&gt;&lt;wsp:rsid wsp:val=&quot;00C104EA&quot;/&gt;&lt;wsp:rsid wsp:val=&quot;00C10512&quot;/&gt;&lt;wsp:rsid wsp:val=&quot;00C10BF8&quot;/&gt;&lt;wsp:rsid wsp:val=&quot;00C10D7B&quot;/&gt;&lt;wsp:rsid wsp:val=&quot;00C10F49&quot;/&gt;&lt;wsp:rsid wsp:val=&quot;00C11443&quot;/&gt;&lt;wsp:rsid wsp:val=&quot;00C11555&quot;/&gt;&lt;wsp:rsid wsp:val=&quot;00C1180F&quot;/&gt;&lt;wsp:rsid wsp:val=&quot;00C11BE8&quot;/&gt;&lt;wsp:rsid wsp:val=&quot;00C11EA5&quot;/&gt;&lt;wsp:rsid wsp:val=&quot;00C11F74&quot;/&gt;&lt;wsp:rsid wsp:val=&quot;00C129E9&quot;/&gt;&lt;wsp:rsid wsp:val=&quot;00C12C11&quot;/&gt;&lt;wsp:rsid wsp:val=&quot;00C12C97&quot;/&gt;&lt;wsp:rsid wsp:val=&quot;00C13509&quot;/&gt;&lt;wsp:rsid wsp:val=&quot;00C13555&quot;/&gt;&lt;wsp:rsid wsp:val=&quot;00C135A5&quot;/&gt;&lt;wsp:rsid wsp:val=&quot;00C137B3&quot;/&gt;&lt;wsp:rsid wsp:val=&quot;00C13AE6&quot;/&gt;&lt;wsp:rsid wsp:val=&quot;00C13EEF&quot;/&gt;&lt;wsp:rsid wsp:val=&quot;00C14134&quot;/&gt;&lt;wsp:rsid wsp:val=&quot;00C1486A&quot;/&gt;&lt;wsp:rsid wsp:val=&quot;00C14D0F&quot;/&gt;&lt;wsp:rsid wsp:val=&quot;00C150B0&quot;/&gt;&lt;wsp:rsid wsp:val=&quot;00C152AF&quot;/&gt;&lt;wsp:rsid wsp:val=&quot;00C15325&quot;/&gt;&lt;wsp:rsid wsp:val=&quot;00C15977&quot;/&gt;&lt;wsp:rsid wsp:val=&quot;00C15C67&quot;/&gt;&lt;wsp:rsid wsp:val=&quot;00C15EE9&quot;/&gt;&lt;wsp:rsid wsp:val=&quot;00C15F3E&quot;/&gt;&lt;wsp:rsid wsp:val=&quot;00C162BB&quot;/&gt;&lt;wsp:rsid wsp:val=&quot;00C1648E&quot;/&gt;&lt;wsp:rsid wsp:val=&quot;00C16B62&quot;/&gt;&lt;wsp:rsid wsp:val=&quot;00C16CD0&quot;/&gt;&lt;wsp:rsid wsp:val=&quot;00C16D8C&quot;/&gt;&lt;wsp:rsid wsp:val=&quot;00C1711A&quot;/&gt;&lt;wsp:rsid wsp:val=&quot;00C174BB&quot;/&gt;&lt;wsp:rsid wsp:val=&quot;00C17BF1&quot;/&gt;&lt;wsp:rsid wsp:val=&quot;00C17C09&quot;/&gt;&lt;wsp:rsid wsp:val=&quot;00C20128&quot;/&gt;&lt;wsp:rsid wsp:val=&quot;00C201C6&quot;/&gt;&lt;wsp:rsid wsp:val=&quot;00C20663&quot;/&gt;&lt;wsp:rsid wsp:val=&quot;00C208B3&quot;/&gt;&lt;wsp:rsid wsp:val=&quot;00C20A81&quot;/&gt;&lt;wsp:rsid wsp:val=&quot;00C20C04&quot;/&gt;&lt;wsp:rsid wsp:val=&quot;00C213C5&quot;/&gt;&lt;wsp:rsid wsp:val=&quot;00C2147C&quot;/&gt;&lt;wsp:rsid wsp:val=&quot;00C21867&quot;/&gt;&lt;wsp:rsid wsp:val=&quot;00C21BF0&quot;/&gt;&lt;wsp:rsid wsp:val=&quot;00C21CA2&quot;/&gt;&lt;wsp:rsid wsp:val=&quot;00C21FB6&quot;/&gt;&lt;wsp:rsid wsp:val=&quot;00C220D9&quot;/&gt;&lt;wsp:rsid wsp:val=&quot;00C22109&quot;/&gt;&lt;wsp:rsid wsp:val=&quot;00C22165&quot;/&gt;&lt;wsp:rsid wsp:val=&quot;00C22178&quot;/&gt;&lt;wsp:rsid wsp:val=&quot;00C22628&quot;/&gt;&lt;wsp:rsid wsp:val=&quot;00C22699&quot;/&gt;&lt;wsp:rsid wsp:val=&quot;00C2292E&quot;/&gt;&lt;wsp:rsid wsp:val=&quot;00C22AA2&quot;/&gt;&lt;wsp:rsid wsp:val=&quot;00C22F8E&quot;/&gt;&lt;wsp:rsid wsp:val=&quot;00C23063&quot;/&gt;&lt;wsp:rsid wsp:val=&quot;00C236A3&quot;/&gt;&lt;wsp:rsid wsp:val=&quot;00C236BB&quot;/&gt;&lt;wsp:rsid wsp:val=&quot;00C23703&quot;/&gt;&lt;wsp:rsid wsp:val=&quot;00C239A2&quot;/&gt;&lt;wsp:rsid wsp:val=&quot;00C23EA5&quot;/&gt;&lt;wsp:rsid wsp:val=&quot;00C23EFC&quot;/&gt;&lt;wsp:rsid wsp:val=&quot;00C23F8F&quot;/&gt;&lt;wsp:rsid wsp:val=&quot;00C24301&quot;/&gt;&lt;wsp:rsid wsp:val=&quot;00C244F8&quot;/&gt;&lt;wsp:rsid wsp:val=&quot;00C24626&quot;/&gt;&lt;wsp:rsid wsp:val=&quot;00C24A64&quot;/&gt;&lt;wsp:rsid wsp:val=&quot;00C24E2A&quot;/&gt;&lt;wsp:rsid wsp:val=&quot;00C24E2B&quot;/&gt;&lt;wsp:rsid wsp:val=&quot;00C24F63&quot;/&gt;&lt;wsp:rsid wsp:val=&quot;00C250B1&quot;/&gt;&lt;wsp:rsid wsp:val=&quot;00C2586A&quot;/&gt;&lt;wsp:rsid wsp:val=&quot;00C25936&quot;/&gt;&lt;wsp:rsid wsp:val=&quot;00C25DE7&quot;/&gt;&lt;wsp:rsid wsp:val=&quot;00C260AE&quot;/&gt;&lt;wsp:rsid wsp:val=&quot;00C26418&quot;/&gt;&lt;wsp:rsid wsp:val=&quot;00C267CE&quot;/&gt;&lt;wsp:rsid wsp:val=&quot;00C27C00&quot;/&gt;&lt;wsp:rsid wsp:val=&quot;00C3012D&quot;/&gt;&lt;wsp:rsid wsp:val=&quot;00C309C4&quot;/&gt;&lt;wsp:rsid wsp:val=&quot;00C30C4F&quot;/&gt;&lt;wsp:rsid wsp:val=&quot;00C30FEC&quot;/&gt;&lt;wsp:rsid wsp:val=&quot;00C310A6&quot;/&gt;&lt;wsp:rsid wsp:val=&quot;00C313EB&quot;/&gt;&lt;wsp:rsid wsp:val=&quot;00C31477&quot;/&gt;&lt;wsp:rsid wsp:val=&quot;00C3163C&quot;/&gt;&lt;wsp:rsid wsp:val=&quot;00C3189B&quot;/&gt;&lt;wsp:rsid wsp:val=&quot;00C31991&quot;/&gt;&lt;wsp:rsid wsp:val=&quot;00C31BF9&quot;/&gt;&lt;wsp:rsid wsp:val=&quot;00C31E68&quot;/&gt;&lt;wsp:rsid wsp:val=&quot;00C31E98&quot;/&gt;&lt;wsp:rsid wsp:val=&quot;00C31F06&quot;/&gt;&lt;wsp:rsid wsp:val=&quot;00C3200E&quot;/&gt;&lt;wsp:rsid wsp:val=&quot;00C32227&quot;/&gt;&lt;wsp:rsid wsp:val=&quot;00C32521&quot;/&gt;&lt;wsp:rsid wsp:val=&quot;00C3256D&quot;/&gt;&lt;wsp:rsid wsp:val=&quot;00C326F5&quot;/&gt;&lt;wsp:rsid wsp:val=&quot;00C328C0&quot;/&gt;&lt;wsp:rsid wsp:val=&quot;00C329BB&quot;/&gt;&lt;wsp:rsid wsp:val=&quot;00C32CD7&quot;/&gt;&lt;wsp:rsid wsp:val=&quot;00C32D73&quot;/&gt;&lt;wsp:rsid wsp:val=&quot;00C33480&quot;/&gt;&lt;wsp:rsid wsp:val=&quot;00C3351E&quot;/&gt;&lt;wsp:rsid wsp:val=&quot;00C33ABF&quot;/&gt;&lt;wsp:rsid wsp:val=&quot;00C33F88&quot;/&gt;&lt;wsp:rsid wsp:val=&quot;00C347EB&quot;/&gt;&lt;wsp:rsid wsp:val=&quot;00C34A8A&quot;/&gt;&lt;wsp:rsid wsp:val=&quot;00C34E96&quot;/&gt;&lt;wsp:rsid wsp:val=&quot;00C34F98&quot;/&gt;&lt;wsp:rsid wsp:val=&quot;00C34FE9&quot;/&gt;&lt;wsp:rsid wsp:val=&quot;00C351F0&quot;/&gt;&lt;wsp:rsid wsp:val=&quot;00C3528E&quot;/&gt;&lt;wsp:rsid wsp:val=&quot;00C3546C&quot;/&gt;&lt;wsp:rsid wsp:val=&quot;00C36345&quot;/&gt;&lt;wsp:rsid wsp:val=&quot;00C36660&quot;/&gt;&lt;wsp:rsid wsp:val=&quot;00C36908&quot;/&gt;&lt;wsp:rsid wsp:val=&quot;00C36A6C&quot;/&gt;&lt;wsp:rsid wsp:val=&quot;00C36D0F&quot;/&gt;&lt;wsp:rsid wsp:val=&quot;00C36F38&quot;/&gt;&lt;wsp:rsid wsp:val=&quot;00C36F53&quot;/&gt;&lt;wsp:rsid wsp:val=&quot;00C375DD&quot;/&gt;&lt;wsp:rsid wsp:val=&quot;00C37B8B&quot;/&gt;&lt;wsp:rsid wsp:val=&quot;00C40486&quot;/&gt;&lt;wsp:rsid wsp:val=&quot;00C405F4&quot;/&gt;&lt;wsp:rsid wsp:val=&quot;00C40609&quot;/&gt;&lt;wsp:rsid wsp:val=&quot;00C40777&quot;/&gt;&lt;wsp:rsid wsp:val=&quot;00C408E3&quot;/&gt;&lt;wsp:rsid wsp:val=&quot;00C409E2&quot;/&gt;&lt;wsp:rsid wsp:val=&quot;00C40A4C&quot;/&gt;&lt;wsp:rsid wsp:val=&quot;00C40A63&quot;/&gt;&lt;wsp:rsid wsp:val=&quot;00C40D3E&quot;/&gt;&lt;wsp:rsid wsp:val=&quot;00C40E93&quot;/&gt;&lt;wsp:rsid wsp:val=&quot;00C40F5C&quot;/&gt;&lt;wsp:rsid wsp:val=&quot;00C40F77&quot;/&gt;&lt;wsp:rsid wsp:val=&quot;00C4136B&quot;/&gt;&lt;wsp:rsid wsp:val=&quot;00C413B2&quot;/&gt;&lt;wsp:rsid wsp:val=&quot;00C413CD&quot;/&gt;&lt;wsp:rsid wsp:val=&quot;00C41992&quot;/&gt;&lt;wsp:rsid wsp:val=&quot;00C419F9&quot;/&gt;&lt;wsp:rsid wsp:val=&quot;00C41CC2&quot;/&gt;&lt;wsp:rsid wsp:val=&quot;00C41DFC&quot;/&gt;&lt;wsp:rsid wsp:val=&quot;00C41E87&quot;/&gt;&lt;wsp:rsid wsp:val=&quot;00C41F13&quot;/&gt;&lt;wsp:rsid wsp:val=&quot;00C42424&quot;/&gt;&lt;wsp:rsid wsp:val=&quot;00C43286&quot;/&gt;&lt;wsp:rsid wsp:val=&quot;00C4358D&quot;/&gt;&lt;wsp:rsid wsp:val=&quot;00C4370D&quot;/&gt;&lt;wsp:rsid wsp:val=&quot;00C44058&quot;/&gt;&lt;wsp:rsid wsp:val=&quot;00C4495F&quot;/&gt;&lt;wsp:rsid wsp:val=&quot;00C45325&quot;/&gt;&lt;wsp:rsid wsp:val=&quot;00C453A3&quot;/&gt;&lt;wsp:rsid wsp:val=&quot;00C45ADF&quot;/&gt;&lt;wsp:rsid wsp:val=&quot;00C45CB8&quot;/&gt;&lt;wsp:rsid wsp:val=&quot;00C46336&quot;/&gt;&lt;wsp:rsid wsp:val=&quot;00C4689A&quot;/&gt;&lt;wsp:rsid wsp:val=&quot;00C46E54&quot;/&gt;&lt;wsp:rsid wsp:val=&quot;00C4703A&quot;/&gt;&lt;wsp:rsid wsp:val=&quot;00C474C1&quot;/&gt;&lt;wsp:rsid wsp:val=&quot;00C47EAC&quot;/&gt;&lt;wsp:rsid wsp:val=&quot;00C47FE1&quot;/&gt;&lt;wsp:rsid wsp:val=&quot;00C5008A&quot;/&gt;&lt;wsp:rsid wsp:val=&quot;00C507B2&quot;/&gt;&lt;wsp:rsid wsp:val=&quot;00C50B28&quot;/&gt;&lt;wsp:rsid wsp:val=&quot;00C50B89&quot;/&gt;&lt;wsp:rsid wsp:val=&quot;00C51397&quot;/&gt;&lt;wsp:rsid wsp:val=&quot;00C516C6&quot;/&gt;&lt;wsp:rsid wsp:val=&quot;00C51953&quot;/&gt;&lt;wsp:rsid wsp:val=&quot;00C52043&quot;/&gt;&lt;wsp:rsid wsp:val=&quot;00C5268A&quot;/&gt;&lt;wsp:rsid wsp:val=&quot;00C529CC&quot;/&gt;&lt;wsp:rsid wsp:val=&quot;00C52D26&quot;/&gt;&lt;wsp:rsid wsp:val=&quot;00C53272&quot;/&gt;&lt;wsp:rsid wsp:val=&quot;00C53E29&quot;/&gt;&lt;wsp:rsid wsp:val=&quot;00C53EAE&quot;/&gt;&lt;wsp:rsid wsp:val=&quot;00C53F85&quot;/&gt;&lt;wsp:rsid wsp:val=&quot;00C54548&quot;/&gt;&lt;wsp:rsid wsp:val=&quot;00C549F3&quot;/&gt;&lt;wsp:rsid wsp:val=&quot;00C54CE5&quot;/&gt;&lt;wsp:rsid wsp:val=&quot;00C54D13&quot;/&gt;&lt;wsp:rsid wsp:val=&quot;00C54EF1&quot;/&gt;&lt;wsp:rsid wsp:val=&quot;00C5502B&quot;/&gt;&lt;wsp:rsid wsp:val=&quot;00C551F8&quot;/&gt;&lt;wsp:rsid wsp:val=&quot;00C552FA&quot;/&gt;&lt;wsp:rsid wsp:val=&quot;00C5557C&quot;/&gt;&lt;wsp:rsid wsp:val=&quot;00C55714&quot;/&gt;&lt;wsp:rsid wsp:val=&quot;00C5571A&quot;/&gt;&lt;wsp:rsid wsp:val=&quot;00C55833&quot;/&gt;&lt;wsp:rsid wsp:val=&quot;00C55ABB&quot;/&gt;&lt;wsp:rsid wsp:val=&quot;00C55C94&quot;/&gt;&lt;wsp:rsid wsp:val=&quot;00C560ED&quot;/&gt;&lt;wsp:rsid wsp:val=&quot;00C56423&quot;/&gt;&lt;wsp:rsid wsp:val=&quot;00C56B2B&quot;/&gt;&lt;wsp:rsid wsp:val=&quot;00C56DFA&quot;/&gt;&lt;wsp:rsid wsp:val=&quot;00C5706C&quot;/&gt;&lt;wsp:rsid wsp:val=&quot;00C5748D&quot;/&gt;&lt;wsp:rsid wsp:val=&quot;00C57495&quot;/&gt;&lt;wsp:rsid wsp:val=&quot;00C5764E&quot;/&gt;&lt;wsp:rsid wsp:val=&quot;00C57724&quot;/&gt;&lt;wsp:rsid wsp:val=&quot;00C578BE&quot;/&gt;&lt;wsp:rsid wsp:val=&quot;00C57A7C&quot;/&gt;&lt;wsp:rsid wsp:val=&quot;00C57ABD&quot;/&gt;&lt;wsp:rsid wsp:val=&quot;00C57E0C&quot;/&gt;&lt;wsp:rsid wsp:val=&quot;00C60420&quot;/&gt;&lt;wsp:rsid wsp:val=&quot;00C608EB&quot;/&gt;&lt;wsp:rsid wsp:val=&quot;00C61442&quot;/&gt;&lt;wsp:rsid wsp:val=&quot;00C6148E&quot;/&gt;&lt;wsp:rsid wsp:val=&quot;00C616DC&quot;/&gt;&lt;wsp:rsid wsp:val=&quot;00C61D53&quot;/&gt;&lt;wsp:rsid wsp:val=&quot;00C628B9&quot;/&gt;&lt;wsp:rsid wsp:val=&quot;00C62D5C&quot;/&gt;&lt;wsp:rsid wsp:val=&quot;00C62D63&quot;/&gt;&lt;wsp:rsid wsp:val=&quot;00C62FD1&quot;/&gt;&lt;wsp:rsid wsp:val=&quot;00C63112&quot;/&gt;&lt;wsp:rsid wsp:val=&quot;00C6323C&quot;/&gt;&lt;wsp:rsid wsp:val=&quot;00C632AB&quot;/&gt;&lt;wsp:rsid wsp:val=&quot;00C635E9&quot;/&gt;&lt;wsp:rsid wsp:val=&quot;00C63676&quot;/&gt;&lt;wsp:rsid wsp:val=&quot;00C638AE&quot;/&gt;&lt;wsp:rsid wsp:val=&quot;00C6396D&quot;/&gt;&lt;wsp:rsid wsp:val=&quot;00C63FC5&quot;/&gt;&lt;wsp:rsid wsp:val=&quot;00C64147&quot;/&gt;&lt;wsp:rsid wsp:val=&quot;00C64212&quot;/&gt;&lt;wsp:rsid wsp:val=&quot;00C64557&quot;/&gt;&lt;wsp:rsid wsp:val=&quot;00C648CB&quot;/&gt;&lt;wsp:rsid wsp:val=&quot;00C64B1E&quot;/&gt;&lt;wsp:rsid wsp:val=&quot;00C64B99&quot;/&gt;&lt;wsp:rsid wsp:val=&quot;00C64FFC&quot;/&gt;&lt;wsp:rsid wsp:val=&quot;00C64FFD&quot;/&gt;&lt;wsp:rsid wsp:val=&quot;00C65030&quot;/&gt;&lt;wsp:rsid wsp:val=&quot;00C655D5&quot;/&gt;&lt;wsp:rsid wsp:val=&quot;00C65CFF&quot;/&gt;&lt;wsp:rsid wsp:val=&quot;00C65EEE&quot;/&gt;&lt;wsp:rsid wsp:val=&quot;00C662BB&quot;/&gt;&lt;wsp:rsid wsp:val=&quot;00C66354&quot;/&gt;&lt;wsp:rsid wsp:val=&quot;00C66A8E&quot;/&gt;&lt;wsp:rsid wsp:val=&quot;00C66B4B&quot;/&gt;&lt;wsp:rsid wsp:val=&quot;00C670A3&quot;/&gt;&lt;wsp:rsid wsp:val=&quot;00C670AE&quot;/&gt;&lt;wsp:rsid wsp:val=&quot;00C671DE&quot;/&gt;&lt;wsp:rsid wsp:val=&quot;00C673C5&quot;/&gt;&lt;wsp:rsid wsp:val=&quot;00C67831&quot;/&gt;&lt;wsp:rsid wsp:val=&quot;00C67EA5&quot;/&gt;&lt;wsp:rsid wsp:val=&quot;00C67F6C&quot;/&gt;&lt;wsp:rsid wsp:val=&quot;00C701DC&quot;/&gt;&lt;wsp:rsid wsp:val=&quot;00C70366&quot;/&gt;&lt;wsp:rsid wsp:val=&quot;00C70A2A&quot;/&gt;&lt;wsp:rsid wsp:val=&quot;00C71651&quot;/&gt;&lt;wsp:rsid wsp:val=&quot;00C71716&quot;/&gt;&lt;wsp:rsid wsp:val=&quot;00C71B9C&quot;/&gt;&lt;wsp:rsid wsp:val=&quot;00C71BAB&quot;/&gt;&lt;wsp:rsid wsp:val=&quot;00C71BCA&quot;/&gt;&lt;wsp:rsid wsp:val=&quot;00C71DA3&quot;/&gt;&lt;wsp:rsid wsp:val=&quot;00C71FEF&quot;/&gt;&lt;wsp:rsid wsp:val=&quot;00C723D3&quot;/&gt;&lt;wsp:rsid wsp:val=&quot;00C7245C&quot;/&gt;&lt;wsp:rsid wsp:val=&quot;00C72BF5&quot;/&gt;&lt;wsp:rsid wsp:val=&quot;00C72E28&quot;/&gt;&lt;wsp:rsid wsp:val=&quot;00C72E48&quot;/&gt;&lt;wsp:rsid wsp:val=&quot;00C72F9F&quot;/&gt;&lt;wsp:rsid wsp:val=&quot;00C730B0&quot;/&gt;&lt;wsp:rsid wsp:val=&quot;00C73AB5&quot;/&gt;&lt;wsp:rsid wsp:val=&quot;00C742F4&quot;/&gt;&lt;wsp:rsid wsp:val=&quot;00C74456&quot;/&gt;&lt;wsp:rsid wsp:val=&quot;00C744F9&quot;/&gt;&lt;wsp:rsid wsp:val=&quot;00C74CB4&quot;/&gt;&lt;wsp:rsid wsp:val=&quot;00C7506D&quot;/&gt;&lt;wsp:rsid wsp:val=&quot;00C75070&quot;/&gt;&lt;wsp:rsid wsp:val=&quot;00C7519E&quot;/&gt;&lt;wsp:rsid wsp:val=&quot;00C755A3&quot;/&gt;&lt;wsp:rsid wsp:val=&quot;00C75D11&quot;/&gt;&lt;wsp:rsid wsp:val=&quot;00C75E9E&quot;/&gt;&lt;wsp:rsid wsp:val=&quot;00C76290&quot;/&gt;&lt;wsp:rsid wsp:val=&quot;00C764DC&quot;/&gt;&lt;wsp:rsid wsp:val=&quot;00C76567&quot;/&gt;&lt;wsp:rsid wsp:val=&quot;00C76946&quot;/&gt;&lt;wsp:rsid wsp:val=&quot;00C76B5E&quot;/&gt;&lt;wsp:rsid wsp:val=&quot;00C76D1B&quot;/&gt;&lt;wsp:rsid wsp:val=&quot;00C770A4&quot;/&gt;&lt;wsp:rsid wsp:val=&quot;00C77201&quot;/&gt;&lt;wsp:rsid wsp:val=&quot;00C7749B&quot;/&gt;&lt;wsp:rsid wsp:val=&quot;00C774E8&quot;/&gt;&lt;wsp:rsid wsp:val=&quot;00C77D52&quot;/&gt;&lt;wsp:rsid wsp:val=&quot;00C804F3&quot;/&gt;&lt;wsp:rsid wsp:val=&quot;00C805E2&quot;/&gt;&lt;wsp:rsid wsp:val=&quot;00C806F4&quot;/&gt;&lt;wsp:rsid wsp:val=&quot;00C80E41&quot;/&gt;&lt;wsp:rsid wsp:val=&quot;00C810E4&quot;/&gt;&lt;wsp:rsid wsp:val=&quot;00C8182A&quot;/&gt;&lt;wsp:rsid wsp:val=&quot;00C81C54&quot;/&gt;&lt;wsp:rsid wsp:val=&quot;00C81D9B&quot;/&gt;&lt;wsp:rsid wsp:val=&quot;00C822FD&quot;/&gt;&lt;wsp:rsid wsp:val=&quot;00C82360&quot;/&gt;&lt;wsp:rsid wsp:val=&quot;00C823D2&quot;/&gt;&lt;wsp:rsid wsp:val=&quot;00C825B6&quot;/&gt;&lt;wsp:rsid wsp:val=&quot;00C82D07&quot;/&gt;&lt;wsp:rsid wsp:val=&quot;00C82EE1&quot;/&gt;&lt;wsp:rsid wsp:val=&quot;00C834B5&quot;/&gt;&lt;wsp:rsid wsp:val=&quot;00C836AB&quot;/&gt;&lt;wsp:rsid wsp:val=&quot;00C83829&quot;/&gt;&lt;wsp:rsid wsp:val=&quot;00C83AB1&quot;/&gt;&lt;wsp:rsid wsp:val=&quot;00C83C0B&quot;/&gt;&lt;wsp:rsid wsp:val=&quot;00C84335&quot;/&gt;&lt;wsp:rsid wsp:val=&quot;00C84382&quot;/&gt;&lt;wsp:rsid wsp:val=&quot;00C846D6&quot;/&gt;&lt;wsp:rsid wsp:val=&quot;00C84879&quot;/&gt;&lt;wsp:rsid wsp:val=&quot;00C8490D&quot;/&gt;&lt;wsp:rsid wsp:val=&quot;00C849C3&quot;/&gt;&lt;wsp:rsid wsp:val=&quot;00C84CA9&quot;/&gt;&lt;wsp:rsid wsp:val=&quot;00C84DAA&quot;/&gt;&lt;wsp:rsid wsp:val=&quot;00C85290&quot;/&gt;&lt;wsp:rsid wsp:val=&quot;00C8537C&quot;/&gt;&lt;wsp:rsid wsp:val=&quot;00C8545B&quot;/&gt;&lt;wsp:rsid wsp:val=&quot;00C85463&quot;/&gt;&lt;wsp:rsid wsp:val=&quot;00C86660&quot;/&gt;&lt;wsp:rsid wsp:val=&quot;00C866CF&quot;/&gt;&lt;wsp:rsid wsp:val=&quot;00C86725&quot;/&gt;&lt;wsp:rsid wsp:val=&quot;00C86798&quot;/&gt;&lt;wsp:rsid wsp:val=&quot;00C869FF&quot;/&gt;&lt;wsp:rsid wsp:val=&quot;00C86B66&quot;/&gt;&lt;wsp:rsid wsp:val=&quot;00C8703E&quot;/&gt;&lt;wsp:rsid wsp:val=&quot;00C87047&quot;/&gt;&lt;wsp:rsid wsp:val=&quot;00C871AB&quot;/&gt;&lt;wsp:rsid wsp:val=&quot;00C8759E&quot;/&gt;&lt;wsp:rsid wsp:val=&quot;00C878DD&quot;/&gt;&lt;wsp:rsid wsp:val=&quot;00C87E7C&quot;/&gt;&lt;wsp:rsid wsp:val=&quot;00C901B8&quot;/&gt;&lt;wsp:rsid wsp:val=&quot;00C901D2&quot;/&gt;&lt;wsp:rsid wsp:val=&quot;00C902BC&quot;/&gt;&lt;wsp:rsid wsp:val=&quot;00C903C5&quot;/&gt;&lt;wsp:rsid wsp:val=&quot;00C90E9F&quot;/&gt;&lt;wsp:rsid wsp:val=&quot;00C90F68&quot;/&gt;&lt;wsp:rsid wsp:val=&quot;00C90FAD&quot;/&gt;&lt;wsp:rsid wsp:val=&quot;00C911C4&quot;/&gt;&lt;wsp:rsid wsp:val=&quot;00C91235&quot;/&gt;&lt;wsp:rsid wsp:val=&quot;00C91579&quot;/&gt;&lt;wsp:rsid wsp:val=&quot;00C91B03&quot;/&gt;&lt;wsp:rsid wsp:val=&quot;00C91B1A&quot;/&gt;&lt;wsp:rsid wsp:val=&quot;00C91B69&quot;/&gt;&lt;wsp:rsid wsp:val=&quot;00C91B6B&quot;/&gt;&lt;wsp:rsid wsp:val=&quot;00C91D6B&quot;/&gt;&lt;wsp:rsid wsp:val=&quot;00C92840&quot;/&gt;&lt;wsp:rsid wsp:val=&quot;00C92C3E&quot;/&gt;&lt;wsp:rsid wsp:val=&quot;00C92C8B&quot;/&gt;&lt;wsp:rsid wsp:val=&quot;00C92FE3&quot;/&gt;&lt;wsp:rsid wsp:val=&quot;00C93213&quot;/&gt;&lt;wsp:rsid wsp:val=&quot;00C9359D&quot;/&gt;&lt;wsp:rsid wsp:val=&quot;00C93794&quot;/&gt;&lt;wsp:rsid wsp:val=&quot;00C93AB1&quot;/&gt;&lt;wsp:rsid wsp:val=&quot;00C93C1C&quot;/&gt;&lt;wsp:rsid wsp:val=&quot;00C93C71&quot;/&gt;&lt;wsp:rsid wsp:val=&quot;00C94BF7&quot;/&gt;&lt;wsp:rsid wsp:val=&quot;00C94FDA&quot;/&gt;&lt;wsp:rsid wsp:val=&quot;00C952F2&quot;/&gt;&lt;wsp:rsid wsp:val=&quot;00C95593&quot;/&gt;&lt;wsp:rsid wsp:val=&quot;00C95601&quot;/&gt;&lt;wsp:rsid wsp:val=&quot;00C95761&quot;/&gt;&lt;wsp:rsid wsp:val=&quot;00C95B50&quot;/&gt;&lt;wsp:rsid wsp:val=&quot;00C95B74&quot;/&gt;&lt;wsp:rsid wsp:val=&quot;00C95DA9&quot;/&gt;&lt;wsp:rsid wsp:val=&quot;00C95FCB&quot;/&gt;&lt;wsp:rsid wsp:val=&quot;00C96008&quot;/&gt;&lt;wsp:rsid wsp:val=&quot;00C96072&quot;/&gt;&lt;wsp:rsid wsp:val=&quot;00C96114&quot;/&gt;&lt;wsp:rsid wsp:val=&quot;00C96342&quot;/&gt;&lt;wsp:rsid wsp:val=&quot;00C96488&quot;/&gt;&lt;wsp:rsid wsp:val=&quot;00C965F4&quot;/&gt;&lt;wsp:rsid wsp:val=&quot;00C966E7&quot;/&gt;&lt;wsp:rsid wsp:val=&quot;00C967C3&quot;/&gt;&lt;wsp:rsid wsp:val=&quot;00C967C7&quot;/&gt;&lt;wsp:rsid wsp:val=&quot;00C967D6&quot;/&gt;&lt;wsp:rsid wsp:val=&quot;00C96A2F&quot;/&gt;&lt;wsp:rsid wsp:val=&quot;00C96F4D&quot;/&gt;&lt;wsp:rsid wsp:val=&quot;00C973B5&quot;/&gt;&lt;wsp:rsid wsp:val=&quot;00C97477&quot;/&gt;&lt;wsp:rsid wsp:val=&quot;00C976FC&quot;/&gt;&lt;wsp:rsid wsp:val=&quot;00C977D5&quot;/&gt;&lt;wsp:rsid wsp:val=&quot;00C97877&quot;/&gt;&lt;wsp:rsid wsp:val=&quot;00C978CE&quot;/&gt;&lt;wsp:rsid wsp:val=&quot;00C97AD6&quot;/&gt;&lt;wsp:rsid wsp:val=&quot;00C97AE1&quot;/&gt;&lt;wsp:rsid wsp:val=&quot;00C97DD6&quot;/&gt;&lt;wsp:rsid wsp:val=&quot;00C97F8E&quot;/&gt;&lt;wsp:rsid wsp:val=&quot;00CA0429&quot;/&gt;&lt;wsp:rsid wsp:val=&quot;00CA05C1&quot;/&gt;&lt;wsp:rsid wsp:val=&quot;00CA0D15&quot;/&gt;&lt;wsp:rsid wsp:val=&quot;00CA0E1C&quot;/&gt;&lt;wsp:rsid wsp:val=&quot;00CA11A6&quot;/&gt;&lt;wsp:rsid wsp:val=&quot;00CA1764&quot;/&gt;&lt;wsp:rsid wsp:val=&quot;00CA184C&quot;/&gt;&lt;wsp:rsid wsp:val=&quot;00CA1A12&quot;/&gt;&lt;wsp:rsid wsp:val=&quot;00CA1A44&quot;/&gt;&lt;wsp:rsid wsp:val=&quot;00CA2208&quot;/&gt;&lt;wsp:rsid wsp:val=&quot;00CA2352&quot;/&gt;&lt;wsp:rsid wsp:val=&quot;00CA27D4&quot;/&gt;&lt;wsp:rsid wsp:val=&quot;00CA28E3&quot;/&gt;&lt;wsp:rsid wsp:val=&quot;00CA3429&quot;/&gt;&lt;wsp:rsid wsp:val=&quot;00CA3A9A&quot;/&gt;&lt;wsp:rsid wsp:val=&quot;00CA3C06&quot;/&gt;&lt;wsp:rsid wsp:val=&quot;00CA42DE&quot;/&gt;&lt;wsp:rsid wsp:val=&quot;00CA4D0F&quot;/&gt;&lt;wsp:rsid wsp:val=&quot;00CA5771&quot;/&gt;&lt;wsp:rsid wsp:val=&quot;00CA57F7&quot;/&gt;&lt;wsp:rsid wsp:val=&quot;00CA5873&quot;/&gt;&lt;wsp:rsid wsp:val=&quot;00CA5DDF&quot;/&gt;&lt;wsp:rsid wsp:val=&quot;00CA6218&quot;/&gt;&lt;wsp:rsid wsp:val=&quot;00CA6293&quot;/&gt;&lt;wsp:rsid wsp:val=&quot;00CA6487&quot;/&gt;&lt;wsp:rsid wsp:val=&quot;00CA6560&quot;/&gt;&lt;wsp:rsid wsp:val=&quot;00CA6A93&quot;/&gt;&lt;wsp:rsid wsp:val=&quot;00CA6BAC&quot;/&gt;&lt;wsp:rsid wsp:val=&quot;00CA6C37&quot;/&gt;&lt;wsp:rsid wsp:val=&quot;00CA6C42&quot;/&gt;&lt;wsp:rsid wsp:val=&quot;00CA76DA&quot;/&gt;&lt;wsp:rsid wsp:val=&quot;00CA7A78&quot;/&gt;&lt;wsp:rsid wsp:val=&quot;00CA7CA6&quot;/&gt;&lt;wsp:rsid wsp:val=&quot;00CB0586&quot;/&gt;&lt;wsp:rsid wsp:val=&quot;00CB08AF&quot;/&gt;&lt;wsp:rsid wsp:val=&quot;00CB0DF6&quot;/&gt;&lt;wsp:rsid wsp:val=&quot;00CB13A4&quot;/&gt;&lt;wsp:rsid wsp:val=&quot;00CB15CF&quot;/&gt;&lt;wsp:rsid wsp:val=&quot;00CB1CF7&quot;/&gt;&lt;wsp:rsid wsp:val=&quot;00CB1DF2&quot;/&gt;&lt;wsp:rsid wsp:val=&quot;00CB1FB6&quot;/&gt;&lt;wsp:rsid wsp:val=&quot;00CB2765&quot;/&gt;&lt;wsp:rsid wsp:val=&quot;00CB279B&quot;/&gt;&lt;wsp:rsid wsp:val=&quot;00CB28F7&quot;/&gt;&lt;wsp:rsid wsp:val=&quot;00CB2CB7&quot;/&gt;&lt;wsp:rsid wsp:val=&quot;00CB2DEC&quot;/&gt;&lt;wsp:rsid wsp:val=&quot;00CB3059&quot;/&gt;&lt;wsp:rsid wsp:val=&quot;00CB30E1&quot;/&gt;&lt;wsp:rsid wsp:val=&quot;00CB3228&quot;/&gt;&lt;wsp:rsid wsp:val=&quot;00CB32CE&quot;/&gt;&lt;wsp:rsid wsp:val=&quot;00CB3560&quot;/&gt;&lt;wsp:rsid wsp:val=&quot;00CB3830&quot;/&gt;&lt;wsp:rsid wsp:val=&quot;00CB3B40&quot;/&gt;&lt;wsp:rsid wsp:val=&quot;00CB3C16&quot;/&gt;&lt;wsp:rsid wsp:val=&quot;00CB3DC2&quot;/&gt;&lt;wsp:rsid wsp:val=&quot;00CB3EBC&quot;/&gt;&lt;wsp:rsid wsp:val=&quot;00CB437F&quot;/&gt;&lt;wsp:rsid wsp:val=&quot;00CB4605&quot;/&gt;&lt;wsp:rsid wsp:val=&quot;00CB4A00&quot;/&gt;&lt;wsp:rsid wsp:val=&quot;00CB4B6A&quot;/&gt;&lt;wsp:rsid wsp:val=&quot;00CB4BB0&quot;/&gt;&lt;wsp:rsid wsp:val=&quot;00CB4F1F&quot;/&gt;&lt;wsp:rsid wsp:val=&quot;00CB51BA&quot;/&gt;&lt;wsp:rsid wsp:val=&quot;00CB52C1&quot;/&gt;&lt;wsp:rsid wsp:val=&quot;00CB55C5&quot;/&gt;&lt;wsp:rsid wsp:val=&quot;00CB570F&quot;/&gt;&lt;wsp:rsid wsp:val=&quot;00CB5D3D&quot;/&gt;&lt;wsp:rsid wsp:val=&quot;00CB5E81&quot;/&gt;&lt;wsp:rsid wsp:val=&quot;00CB602C&quot;/&gt;&lt;wsp:rsid wsp:val=&quot;00CB622A&quot;/&gt;&lt;wsp:rsid wsp:val=&quot;00CB624B&quot;/&gt;&lt;wsp:rsid wsp:val=&quot;00CB70DA&quot;/&gt;&lt;wsp:rsid wsp:val=&quot;00CB71E9&quot;/&gt;&lt;wsp:rsid wsp:val=&quot;00CB731A&quot;/&gt;&lt;wsp:rsid wsp:val=&quot;00CB7C20&quot;/&gt;&lt;wsp:rsid wsp:val=&quot;00CB7F49&quot;/&gt;&lt;wsp:rsid wsp:val=&quot;00CC0290&quot;/&gt;&lt;wsp:rsid wsp:val=&quot;00CC02B8&quot;/&gt;&lt;wsp:rsid wsp:val=&quot;00CC0726&quot;/&gt;&lt;wsp:rsid wsp:val=&quot;00CC0ECB&quot;/&gt;&lt;wsp:rsid wsp:val=&quot;00CC0F0E&quot;/&gt;&lt;wsp:rsid wsp:val=&quot;00CC0F11&quot;/&gt;&lt;wsp:rsid wsp:val=&quot;00CC0FD5&quot;/&gt;&lt;wsp:rsid wsp:val=&quot;00CC122D&quot;/&gt;&lt;wsp:rsid wsp:val=&quot;00CC1355&quot;/&gt;&lt;wsp:rsid wsp:val=&quot;00CC19B5&quot;/&gt;&lt;wsp:rsid wsp:val=&quot;00CC1A4D&quot;/&gt;&lt;wsp:rsid wsp:val=&quot;00CC20E3&quot;/&gt;&lt;wsp:rsid wsp:val=&quot;00CC214D&quot;/&gt;&lt;wsp:rsid wsp:val=&quot;00CC2210&quot;/&gt;&lt;wsp:rsid wsp:val=&quot;00CC2929&quot;/&gt;&lt;wsp:rsid wsp:val=&quot;00CC29E8&quot;/&gt;&lt;wsp:rsid wsp:val=&quot;00CC333D&quot;/&gt;&lt;wsp:rsid wsp:val=&quot;00CC3544&quot;/&gt;&lt;wsp:rsid wsp:val=&quot;00CC4220&quot;/&gt;&lt;wsp:rsid wsp:val=&quot;00CC445D&quot;/&gt;&lt;wsp:rsid wsp:val=&quot;00CC478C&quot;/&gt;&lt;wsp:rsid wsp:val=&quot;00CC4B48&quot;/&gt;&lt;wsp:rsid wsp:val=&quot;00CC4CFB&quot;/&gt;&lt;wsp:rsid wsp:val=&quot;00CC4D82&quot;/&gt;&lt;wsp:rsid wsp:val=&quot;00CC4DB5&quot;/&gt;&lt;wsp:rsid wsp:val=&quot;00CC4F1B&quot;/&gt;&lt;wsp:rsid wsp:val=&quot;00CC4F79&quot;/&gt;&lt;wsp:rsid wsp:val=&quot;00CC5049&quot;/&gt;&lt;wsp:rsid wsp:val=&quot;00CC549F&quot;/&gt;&lt;wsp:rsid wsp:val=&quot;00CC54A5&quot;/&gt;&lt;wsp:rsid wsp:val=&quot;00CC54E7&quot;/&gt;&lt;wsp:rsid wsp:val=&quot;00CC576B&quot;/&gt;&lt;wsp:rsid wsp:val=&quot;00CC6555&quot;/&gt;&lt;wsp:rsid wsp:val=&quot;00CC66D5&quot;/&gt;&lt;wsp:rsid wsp:val=&quot;00CC6A0B&quot;/&gt;&lt;wsp:rsid wsp:val=&quot;00CC6B94&quot;/&gt;&lt;wsp:rsid wsp:val=&quot;00CC6D80&quot;/&gt;&lt;wsp:rsid wsp:val=&quot;00CC6F86&quot;/&gt;&lt;wsp:rsid wsp:val=&quot;00CC74EB&quot;/&gt;&lt;wsp:rsid wsp:val=&quot;00CC769F&quot;/&gt;&lt;wsp:rsid wsp:val=&quot;00CC7BE7&quot;/&gt;&lt;wsp:rsid wsp:val=&quot;00CC7DE4&quot;/&gt;&lt;wsp:rsid wsp:val=&quot;00CC7E5A&quot;/&gt;&lt;wsp:rsid wsp:val=&quot;00CC7F47&quot;/&gt;&lt;wsp:rsid wsp:val=&quot;00CD07B5&quot;/&gt;&lt;wsp:rsid wsp:val=&quot;00CD0B3E&quot;/&gt;&lt;wsp:rsid wsp:val=&quot;00CD183A&quot;/&gt;&lt;wsp:rsid wsp:val=&quot;00CD279A&quot;/&gt;&lt;wsp:rsid wsp:val=&quot;00CD2F2A&quot;/&gt;&lt;wsp:rsid wsp:val=&quot;00CD2FDE&quot;/&gt;&lt;wsp:rsid wsp:val=&quot;00CD3649&quot;/&gt;&lt;wsp:rsid wsp:val=&quot;00CD393A&quot;/&gt;&lt;wsp:rsid wsp:val=&quot;00CD397B&quot;/&gt;&lt;wsp:rsid wsp:val=&quot;00CD3BCE&quot;/&gt;&lt;wsp:rsid wsp:val=&quot;00CD41CE&quot;/&gt;&lt;wsp:rsid wsp:val=&quot;00CD4871&quot;/&gt;&lt;wsp:rsid wsp:val=&quot;00CD4925&quot;/&gt;&lt;wsp:rsid wsp:val=&quot;00CD4A65&quot;/&gt;&lt;wsp:rsid wsp:val=&quot;00CD4FF8&quot;/&gt;&lt;wsp:rsid wsp:val=&quot;00CD53EB&quot;/&gt;&lt;wsp:rsid wsp:val=&quot;00CD5422&quot;/&gt;&lt;wsp:rsid wsp:val=&quot;00CD5490&quot;/&gt;&lt;wsp:rsid wsp:val=&quot;00CD587E&quot;/&gt;&lt;wsp:rsid wsp:val=&quot;00CD5931&quot;/&gt;&lt;wsp:rsid wsp:val=&quot;00CD59DC&quot;/&gt;&lt;wsp:rsid wsp:val=&quot;00CD5AF8&quot;/&gt;&lt;wsp:rsid wsp:val=&quot;00CD5AFE&quot;/&gt;&lt;wsp:rsid wsp:val=&quot;00CD5E2C&quot;/&gt;&lt;wsp:rsid wsp:val=&quot;00CD5EE3&quot;/&gt;&lt;wsp:rsid wsp:val=&quot;00CD61B3&quot;/&gt;&lt;wsp:rsid wsp:val=&quot;00CD6401&quot;/&gt;&lt;wsp:rsid wsp:val=&quot;00CD64FF&quot;/&gt;&lt;wsp:rsid wsp:val=&quot;00CD676D&quot;/&gt;&lt;wsp:rsid wsp:val=&quot;00CD68ED&quot;/&gt;&lt;wsp:rsid wsp:val=&quot;00CD69A9&quot;/&gt;&lt;wsp:rsid wsp:val=&quot;00CD69FB&quot;/&gt;&lt;wsp:rsid wsp:val=&quot;00CD6C45&quot;/&gt;&lt;wsp:rsid wsp:val=&quot;00CD717E&quot;/&gt;&lt;wsp:rsid wsp:val=&quot;00CD742C&quot;/&gt;&lt;wsp:rsid wsp:val=&quot;00CD7497&quot;/&gt;&lt;wsp:rsid wsp:val=&quot;00CD74C0&quot;/&gt;&lt;wsp:rsid wsp:val=&quot;00CD781F&quot;/&gt;&lt;wsp:rsid wsp:val=&quot;00CD7969&quot;/&gt;&lt;wsp:rsid wsp:val=&quot;00CD7BFF&quot;/&gt;&lt;wsp:rsid wsp:val=&quot;00CD7F01&quot;/&gt;&lt;wsp:rsid wsp:val=&quot;00CE011C&quot;/&gt;&lt;wsp:rsid wsp:val=&quot;00CE01CE&quot;/&gt;&lt;wsp:rsid wsp:val=&quot;00CE01E6&quot;/&gt;&lt;wsp:rsid wsp:val=&quot;00CE039C&quot;/&gt;&lt;wsp:rsid wsp:val=&quot;00CE040F&quot;/&gt;&lt;wsp:rsid wsp:val=&quot;00CE0773&quot;/&gt;&lt;wsp:rsid wsp:val=&quot;00CE1129&quot;/&gt;&lt;wsp:rsid wsp:val=&quot;00CE1A13&quot;/&gt;&lt;wsp:rsid wsp:val=&quot;00CE1C38&quot;/&gt;&lt;wsp:rsid wsp:val=&quot;00CE2255&quot;/&gt;&lt;wsp:rsid wsp:val=&quot;00CE2939&quot;/&gt;&lt;wsp:rsid wsp:val=&quot;00CE2A86&quot;/&gt;&lt;wsp:rsid wsp:val=&quot;00CE2CEE&quot;/&gt;&lt;wsp:rsid wsp:val=&quot;00CE2D22&quot;/&gt;&lt;wsp:rsid wsp:val=&quot;00CE30F8&quot;/&gt;&lt;wsp:rsid wsp:val=&quot;00CE38BA&quot;/&gt;&lt;wsp:rsid wsp:val=&quot;00CE4326&quot;/&gt;&lt;wsp:rsid wsp:val=&quot;00CE4A88&quot;/&gt;&lt;wsp:rsid wsp:val=&quot;00CE4E60&quot;/&gt;&lt;wsp:rsid wsp:val=&quot;00CE4E88&quot;/&gt;&lt;wsp:rsid wsp:val=&quot;00CE5060&quot;/&gt;&lt;wsp:rsid wsp:val=&quot;00CE5502&quot;/&gt;&lt;wsp:rsid wsp:val=&quot;00CE57B6&quot;/&gt;&lt;wsp:rsid wsp:val=&quot;00CE5B49&quot;/&gt;&lt;wsp:rsid wsp:val=&quot;00CE5B63&quot;/&gt;&lt;wsp:rsid wsp:val=&quot;00CE5FE4&quot;/&gt;&lt;wsp:rsid wsp:val=&quot;00CE6974&quot;/&gt;&lt;wsp:rsid wsp:val=&quot;00CE6F09&quot;/&gt;&lt;wsp:rsid wsp:val=&quot;00CE6F9A&quot;/&gt;&lt;wsp:rsid wsp:val=&quot;00CE739E&quot;/&gt;&lt;wsp:rsid wsp:val=&quot;00CE775D&quot;/&gt;&lt;wsp:rsid wsp:val=&quot;00CF0D65&quot;/&gt;&lt;wsp:rsid wsp:val=&quot;00CF107E&quot;/&gt;&lt;wsp:rsid wsp:val=&quot;00CF117E&quot;/&gt;&lt;wsp:rsid wsp:val=&quot;00CF1B47&quot;/&gt;&lt;wsp:rsid wsp:val=&quot;00CF26A4&quot;/&gt;&lt;wsp:rsid wsp:val=&quot;00CF27DA&quot;/&gt;&lt;wsp:rsid wsp:val=&quot;00CF3872&quot;/&gt;&lt;wsp:rsid wsp:val=&quot;00CF3924&quot;/&gt;&lt;wsp:rsid wsp:val=&quot;00CF3A0F&quot;/&gt;&lt;wsp:rsid wsp:val=&quot;00CF3A21&quot;/&gt;&lt;wsp:rsid wsp:val=&quot;00CF3B70&quot;/&gt;&lt;wsp:rsid wsp:val=&quot;00CF3E6D&quot;/&gt;&lt;wsp:rsid wsp:val=&quot;00CF42E7&quot;/&gt;&lt;wsp:rsid wsp:val=&quot;00CF4459&quot;/&gt;&lt;wsp:rsid wsp:val=&quot;00CF4689&quot;/&gt;&lt;wsp:rsid wsp:val=&quot;00CF4A56&quot;/&gt;&lt;wsp:rsid wsp:val=&quot;00CF4F93&quot;/&gt;&lt;wsp:rsid wsp:val=&quot;00CF50A0&quot;/&gt;&lt;wsp:rsid wsp:val=&quot;00CF56E8&quot;/&gt;&lt;wsp:rsid wsp:val=&quot;00CF58E7&quot;/&gt;&lt;wsp:rsid wsp:val=&quot;00CF592B&quot;/&gt;&lt;wsp:rsid wsp:val=&quot;00CF59F3&quot;/&gt;&lt;wsp:rsid wsp:val=&quot;00CF5C7A&quot;/&gt;&lt;wsp:rsid wsp:val=&quot;00CF5E35&quot;/&gt;&lt;wsp:rsid wsp:val=&quot;00CF5E51&quot;/&gt;&lt;wsp:rsid wsp:val=&quot;00CF623C&quot;/&gt;&lt;wsp:rsid wsp:val=&quot;00CF6AFF&quot;/&gt;&lt;wsp:rsid wsp:val=&quot;00CF7168&quot;/&gt;&lt;wsp:rsid wsp:val=&quot;00CF73B8&quot;/&gt;&lt;wsp:rsid wsp:val=&quot;00CF7415&quot;/&gt;&lt;wsp:rsid wsp:val=&quot;00CF77B3&quot;/&gt;&lt;wsp:rsid wsp:val=&quot;00CF78B2&quot;/&gt;&lt;wsp:rsid wsp:val=&quot;00D00593&quot;/&gt;&lt;wsp:rsid wsp:val=&quot;00D005B9&quot;/&gt;&lt;wsp:rsid wsp:val=&quot;00D0077A&quot;/&gt;&lt;wsp:rsid wsp:val=&quot;00D00D9A&quot;/&gt;&lt;wsp:rsid wsp:val=&quot;00D0113B&quot;/&gt;&lt;wsp:rsid wsp:val=&quot;00D017A9&quot;/&gt;&lt;wsp:rsid wsp:val=&quot;00D01994&quot;/&gt;&lt;wsp:rsid wsp:val=&quot;00D019B9&quot;/&gt;&lt;wsp:rsid wsp:val=&quot;00D01F4F&quot;/&gt;&lt;wsp:rsid wsp:val=&quot;00D01FA5&quot;/&gt;&lt;wsp:rsid wsp:val=&quot;00D02279&quot;/&gt;&lt;wsp:rsid wsp:val=&quot;00D022B8&quot;/&gt;&lt;wsp:rsid wsp:val=&quot;00D0261F&quot;/&gt;&lt;wsp:rsid wsp:val=&quot;00D02F13&quot;/&gt;&lt;wsp:rsid wsp:val=&quot;00D02FE2&quot;/&gt;&lt;wsp:rsid wsp:val=&quot;00D03302&quot;/&gt;&lt;wsp:rsid wsp:val=&quot;00D03309&quot;/&gt;&lt;wsp:rsid wsp:val=&quot;00D03652&quot;/&gt;&lt;wsp:rsid wsp:val=&quot;00D03900&quot;/&gt;&lt;wsp:rsid wsp:val=&quot;00D03D46&quot;/&gt;&lt;wsp:rsid wsp:val=&quot;00D03E43&quot;/&gt;&lt;wsp:rsid wsp:val=&quot;00D04430&quot;/&gt;&lt;wsp:rsid wsp:val=&quot;00D05571&quot;/&gt;&lt;wsp:rsid wsp:val=&quot;00D0571D&quot;/&gt;&lt;wsp:rsid wsp:val=&quot;00D059EF&quot;/&gt;&lt;wsp:rsid wsp:val=&quot;00D05B66&quot;/&gt;&lt;wsp:rsid wsp:val=&quot;00D05D06&quot;/&gt;&lt;wsp:rsid wsp:val=&quot;00D06000&quot;/&gt;&lt;wsp:rsid wsp:val=&quot;00D0649B&quot;/&gt;&lt;wsp:rsid wsp:val=&quot;00D067F3&quot;/&gt;&lt;wsp:rsid wsp:val=&quot;00D07D78&quot;/&gt;&lt;wsp:rsid wsp:val=&quot;00D07E5C&quot;/&gt;&lt;wsp:rsid wsp:val=&quot;00D07F5A&quot;/&gt;&lt;wsp:rsid wsp:val=&quot;00D07FEA&quot;/&gt;&lt;wsp:rsid wsp:val=&quot;00D10C47&quot;/&gt;&lt;wsp:rsid wsp:val=&quot;00D10F61&quot;/&gt;&lt;wsp:rsid wsp:val=&quot;00D11A47&quot;/&gt;&lt;wsp:rsid wsp:val=&quot;00D11BBE&quot;/&gt;&lt;wsp:rsid wsp:val=&quot;00D11BC5&quot;/&gt;&lt;wsp:rsid wsp:val=&quot;00D120A3&quot;/&gt;&lt;wsp:rsid wsp:val=&quot;00D12124&quot;/&gt;&lt;wsp:rsid wsp:val=&quot;00D1215C&quot;/&gt;&lt;wsp:rsid wsp:val=&quot;00D128A4&quot;/&gt;&lt;wsp:rsid wsp:val=&quot;00D12983&quot;/&gt;&lt;wsp:rsid wsp:val=&quot;00D12D49&quot;/&gt;&lt;wsp:rsid wsp:val=&quot;00D12E4E&quot;/&gt;&lt;wsp:rsid wsp:val=&quot;00D12FE3&quot;/&gt;&lt;wsp:rsid wsp:val=&quot;00D130F2&quot;/&gt;&lt;wsp:rsid wsp:val=&quot;00D13DC3&quot;/&gt;&lt;wsp:rsid wsp:val=&quot;00D143DF&quot;/&gt;&lt;wsp:rsid wsp:val=&quot;00D14B32&quot;/&gt;&lt;wsp:rsid wsp:val=&quot;00D14DFF&quot;/&gt;&lt;wsp:rsid wsp:val=&quot;00D14E96&quot;/&gt;&lt;wsp:rsid wsp:val=&quot;00D1567E&quot;/&gt;&lt;wsp:rsid wsp:val=&quot;00D15732&quot;/&gt;&lt;wsp:rsid wsp:val=&quot;00D164B9&quot;/&gt;&lt;wsp:rsid wsp:val=&quot;00D16750&quot;/&gt;&lt;wsp:rsid wsp:val=&quot;00D16BCA&quot;/&gt;&lt;wsp:rsid wsp:val=&quot;00D16DBD&quot;/&gt;&lt;wsp:rsid wsp:val=&quot;00D16F4D&quot;/&gt;&lt;wsp:rsid wsp:val=&quot;00D17157&quot;/&gt;&lt;wsp:rsid wsp:val=&quot;00D173FA&quot;/&gt;&lt;wsp:rsid wsp:val=&quot;00D17940&quot;/&gt;&lt;wsp:rsid wsp:val=&quot;00D17E8C&quot;/&gt;&lt;wsp:rsid wsp:val=&quot;00D200AD&quot;/&gt;&lt;wsp:rsid wsp:val=&quot;00D209D7&quot;/&gt;&lt;wsp:rsid wsp:val=&quot;00D20C20&quot;/&gt;&lt;wsp:rsid wsp:val=&quot;00D217CF&quot;/&gt;&lt;wsp:rsid wsp:val=&quot;00D21CD2&quot;/&gt;&lt;wsp:rsid wsp:val=&quot;00D21CFA&quot;/&gt;&lt;wsp:rsid wsp:val=&quot;00D22113&quot;/&gt;&lt;wsp:rsid wsp:val=&quot;00D221B7&quot;/&gt;&lt;wsp:rsid wsp:val=&quot;00D222C6&quot;/&gt;&lt;wsp:rsid wsp:val=&quot;00D2283C&quot;/&gt;&lt;wsp:rsid wsp:val=&quot;00D22A80&quot;/&gt;&lt;wsp:rsid wsp:val=&quot;00D22C0A&quot;/&gt;&lt;wsp:rsid wsp:val=&quot;00D22C30&quot;/&gt;&lt;wsp:rsid wsp:val=&quot;00D22D4A&quot;/&gt;&lt;wsp:rsid wsp:val=&quot;00D22F3C&quot;/&gt;&lt;wsp:rsid wsp:val=&quot;00D230A4&quot;/&gt;&lt;wsp:rsid wsp:val=&quot;00D230F3&quot;/&gt;&lt;wsp:rsid wsp:val=&quot;00D23122&quot;/&gt;&lt;wsp:rsid wsp:val=&quot;00D232BF&quot;/&gt;&lt;wsp:rsid wsp:val=&quot;00D235CC&quot;/&gt;&lt;wsp:rsid wsp:val=&quot;00D2386E&quot;/&gt;&lt;wsp:rsid wsp:val=&quot;00D23D5B&quot;/&gt;&lt;wsp:rsid wsp:val=&quot;00D241B0&quot;/&gt;&lt;wsp:rsid wsp:val=&quot;00D2453C&quot;/&gt;&lt;wsp:rsid wsp:val=&quot;00D2459F&quot;/&gt;&lt;wsp:rsid wsp:val=&quot;00D24907&quot;/&gt;&lt;wsp:rsid wsp:val=&quot;00D249D2&quot;/&gt;&lt;wsp:rsid wsp:val=&quot;00D24DE7&quot;/&gt;&lt;wsp:rsid wsp:val=&quot;00D2516D&quot;/&gt;&lt;wsp:rsid wsp:val=&quot;00D25873&quot;/&gt;&lt;wsp:rsid wsp:val=&quot;00D25DAF&quot;/&gt;&lt;wsp:rsid wsp:val=&quot;00D26301&quot;/&gt;&lt;wsp:rsid wsp:val=&quot;00D26D39&quot;/&gt;&lt;wsp:rsid wsp:val=&quot;00D27409&quot;/&gt;&lt;wsp:rsid wsp:val=&quot;00D27540&quot;/&gt;&lt;wsp:rsid wsp:val=&quot;00D27769&quot;/&gt;&lt;wsp:rsid wsp:val=&quot;00D279B8&quot;/&gt;&lt;wsp:rsid wsp:val=&quot;00D27F7C&quot;/&gt;&lt;wsp:rsid wsp:val=&quot;00D30128&quot;/&gt;&lt;wsp:rsid wsp:val=&quot;00D30372&quot;/&gt;&lt;wsp:rsid wsp:val=&quot;00D307D2&quot;/&gt;&lt;wsp:rsid wsp:val=&quot;00D30BD5&quot;/&gt;&lt;wsp:rsid wsp:val=&quot;00D30C40&quot;/&gt;&lt;wsp:rsid wsp:val=&quot;00D310FA&quot;/&gt;&lt;wsp:rsid wsp:val=&quot;00D315BB&quot;/&gt;&lt;wsp:rsid wsp:val=&quot;00D31981&quot;/&gt;&lt;wsp:rsid wsp:val=&quot;00D31BA6&quot;/&gt;&lt;wsp:rsid wsp:val=&quot;00D31CFC&quot;/&gt;&lt;wsp:rsid wsp:val=&quot;00D322C2&quot;/&gt;&lt;wsp:rsid wsp:val=&quot;00D32411&quot;/&gt;&lt;wsp:rsid wsp:val=&quot;00D324ED&quot;/&gt;&lt;wsp:rsid wsp:val=&quot;00D33035&quot;/&gt;&lt;wsp:rsid wsp:val=&quot;00D33038&quot;/&gt;&lt;wsp:rsid wsp:val=&quot;00D33275&quot;/&gt;&lt;wsp:rsid wsp:val=&quot;00D33278&quot;/&gt;&lt;wsp:rsid wsp:val=&quot;00D335C3&quot;/&gt;&lt;wsp:rsid wsp:val=&quot;00D3375E&quot;/&gt;&lt;wsp:rsid wsp:val=&quot;00D33852&quot;/&gt;&lt;wsp:rsid wsp:val=&quot;00D33D31&quot;/&gt;&lt;wsp:rsid wsp:val=&quot;00D344A7&quot;/&gt;&lt;wsp:rsid wsp:val=&quot;00D34757&quot;/&gt;&lt;wsp:rsid wsp:val=&quot;00D34B46&quot;/&gt;&lt;wsp:rsid wsp:val=&quot;00D350C4&quot;/&gt;&lt;wsp:rsid wsp:val=&quot;00D3559B&quot;/&gt;&lt;wsp:rsid wsp:val=&quot;00D35E85&quot;/&gt;&lt;wsp:rsid wsp:val=&quot;00D360F1&quot;/&gt;&lt;wsp:rsid wsp:val=&quot;00D36322&quot;/&gt;&lt;wsp:rsid wsp:val=&quot;00D366D9&quot;/&gt;&lt;wsp:rsid wsp:val=&quot;00D36DF2&quot;/&gt;&lt;wsp:rsid wsp:val=&quot;00D37431&quot;/&gt;&lt;wsp:rsid wsp:val=&quot;00D37733&quot;/&gt;&lt;wsp:rsid wsp:val=&quot;00D37A21&quot;/&gt;&lt;wsp:rsid wsp:val=&quot;00D37AAF&quot;/&gt;&lt;wsp:rsid wsp:val=&quot;00D37B37&quot;/&gt;&lt;wsp:rsid wsp:val=&quot;00D37BFA&quot;/&gt;&lt;wsp:rsid wsp:val=&quot;00D37EA6&quot;/&gt;&lt;wsp:rsid wsp:val=&quot;00D40872&quot;/&gt;&lt;wsp:rsid wsp:val=&quot;00D40E7C&quot;/&gt;&lt;wsp:rsid wsp:val=&quot;00D40F27&quot;/&gt;&lt;wsp:rsid wsp:val=&quot;00D41179&quot;/&gt;&lt;wsp:rsid wsp:val=&quot;00D41803&quot;/&gt;&lt;wsp:rsid wsp:val=&quot;00D41A05&quot;/&gt;&lt;wsp:rsid wsp:val=&quot;00D41A3B&quot;/&gt;&lt;wsp:rsid wsp:val=&quot;00D41A7D&quot;/&gt;&lt;wsp:rsid wsp:val=&quot;00D41C03&quot;/&gt;&lt;wsp:rsid wsp:val=&quot;00D42B7C&quot;/&gt;&lt;wsp:rsid wsp:val=&quot;00D43133&quot;/&gt;&lt;wsp:rsid wsp:val=&quot;00D4322E&quot;/&gt;&lt;wsp:rsid wsp:val=&quot;00D43AFC&quot;/&gt;&lt;wsp:rsid wsp:val=&quot;00D43C8E&quot;/&gt;&lt;wsp:rsid wsp:val=&quot;00D43DA5&quot;/&gt;&lt;wsp:rsid wsp:val=&quot;00D44404&quot;/&gt;&lt;wsp:rsid wsp:val=&quot;00D44638&quot;/&gt;&lt;wsp:rsid wsp:val=&quot;00D4497C&quot;/&gt;&lt;wsp:rsid wsp:val=&quot;00D449A0&quot;/&gt;&lt;wsp:rsid wsp:val=&quot;00D44E88&quot;/&gt;&lt;wsp:rsid wsp:val=&quot;00D450A2&quot;/&gt;&lt;wsp:rsid wsp:val=&quot;00D45419&quot;/&gt;&lt;wsp:rsid wsp:val=&quot;00D457BD&quot;/&gt;&lt;wsp:rsid wsp:val=&quot;00D46514&quot;/&gt;&lt;wsp:rsid wsp:val=&quot;00D46798&quot;/&gt;&lt;wsp:rsid wsp:val=&quot;00D46ADF&quot;/&gt;&lt;wsp:rsid wsp:val=&quot;00D46C81&quot;/&gt;&lt;wsp:rsid wsp:val=&quot;00D47673&quot;/&gt;&lt;wsp:rsid wsp:val=&quot;00D47B77&quot;/&gt;&lt;wsp:rsid wsp:val=&quot;00D50034&quot;/&gt;&lt;wsp:rsid wsp:val=&quot;00D503EC&quot;/&gt;&lt;wsp:rsid wsp:val=&quot;00D50F65&quot;/&gt;&lt;wsp:rsid wsp:val=&quot;00D50F81&quot;/&gt;&lt;wsp:rsid wsp:val=&quot;00D51720&quot;/&gt;&lt;wsp:rsid wsp:val=&quot;00D51B2A&quot;/&gt;&lt;wsp:rsid wsp:val=&quot;00D51D4A&quot;/&gt;&lt;wsp:rsid wsp:val=&quot;00D52209&quot;/&gt;&lt;wsp:rsid wsp:val=&quot;00D5234B&quot;/&gt;&lt;wsp:rsid wsp:val=&quot;00D52395&quot;/&gt;&lt;wsp:rsid wsp:val=&quot;00D52581&quot;/&gt;&lt;wsp:rsid wsp:val=&quot;00D52759&quot;/&gt;&lt;wsp:rsid wsp:val=&quot;00D52769&quot;/&gt;&lt;wsp:rsid wsp:val=&quot;00D52807&quot;/&gt;&lt;wsp:rsid wsp:val=&quot;00D52BB3&quot;/&gt;&lt;wsp:rsid wsp:val=&quot;00D52C1D&quot;/&gt;&lt;wsp:rsid wsp:val=&quot;00D53964&quot;/&gt;&lt;wsp:rsid wsp:val=&quot;00D53984&quot;/&gt;&lt;wsp:rsid wsp:val=&quot;00D53BAC&quot;/&gt;&lt;wsp:rsid wsp:val=&quot;00D53BE1&quot;/&gt;&lt;wsp:rsid wsp:val=&quot;00D53C87&quot;/&gt;&lt;wsp:rsid wsp:val=&quot;00D54868&quot;/&gt;&lt;wsp:rsid wsp:val=&quot;00D54C61&quot;/&gt;&lt;wsp:rsid wsp:val=&quot;00D54D1E&quot;/&gt;&lt;wsp:rsid wsp:val=&quot;00D55266&quot;/&gt;&lt;wsp:rsid wsp:val=&quot;00D55283&quot;/&gt;&lt;wsp:rsid wsp:val=&quot;00D5595E&quot;/&gt;&lt;wsp:rsid wsp:val=&quot;00D55BCE&quot;/&gt;&lt;wsp:rsid wsp:val=&quot;00D5613C&quot;/&gt;&lt;wsp:rsid wsp:val=&quot;00D56253&quot;/&gt;&lt;wsp:rsid wsp:val=&quot;00D56498&quot;/&gt;&lt;wsp:rsid wsp:val=&quot;00D567FE&quot;/&gt;&lt;wsp:rsid wsp:val=&quot;00D56CE8&quot;/&gt;&lt;wsp:rsid wsp:val=&quot;00D5731E&quot;/&gt;&lt;wsp:rsid wsp:val=&quot;00D579C3&quot;/&gt;&lt;wsp:rsid wsp:val=&quot;00D57E09&quot;/&gt;&lt;wsp:rsid wsp:val=&quot;00D6016A&quot;/&gt;&lt;wsp:rsid wsp:val=&quot;00D60191&quot;/&gt;&lt;wsp:rsid wsp:val=&quot;00D61005&quot;/&gt;&lt;wsp:rsid wsp:val=&quot;00D61015&quot;/&gt;&lt;wsp:rsid wsp:val=&quot;00D61131&quot;/&gt;&lt;wsp:rsid wsp:val=&quot;00D611BB&quot;/&gt;&lt;wsp:rsid wsp:val=&quot;00D61829&quot;/&gt;&lt;wsp:rsid wsp:val=&quot;00D61A11&quot;/&gt;&lt;wsp:rsid wsp:val=&quot;00D61ADA&quot;/&gt;&lt;wsp:rsid wsp:val=&quot;00D61BEC&quot;/&gt;&lt;wsp:rsid wsp:val=&quot;00D61EBC&quot;/&gt;&lt;wsp:rsid wsp:val=&quot;00D61F64&quot;/&gt;&lt;wsp:rsid wsp:val=&quot;00D620A2&quot;/&gt;&lt;wsp:rsid wsp:val=&quot;00D622CE&quot;/&gt;&lt;wsp:rsid wsp:val=&quot;00D625F9&quot;/&gt;&lt;wsp:rsid wsp:val=&quot;00D626BE&quot;/&gt;&lt;wsp:rsid wsp:val=&quot;00D627CF&quot;/&gt;&lt;wsp:rsid wsp:val=&quot;00D62824&quot;/&gt;&lt;wsp:rsid wsp:val=&quot;00D6298A&quot;/&gt;&lt;wsp:rsid wsp:val=&quot;00D62A18&quot;/&gt;&lt;wsp:rsid wsp:val=&quot;00D62B58&quot;/&gt;&lt;wsp:rsid wsp:val=&quot;00D630C5&quot;/&gt;&lt;wsp:rsid wsp:val=&quot;00D636AD&quot;/&gt;&lt;wsp:rsid wsp:val=&quot;00D63D63&quot;/&gt;&lt;wsp:rsid wsp:val=&quot;00D64252&quot;/&gt;&lt;wsp:rsid wsp:val=&quot;00D64417&quot;/&gt;&lt;wsp:rsid wsp:val=&quot;00D6444A&quot;/&gt;&lt;wsp:rsid wsp:val=&quot;00D644E7&quot;/&gt;&lt;wsp:rsid wsp:val=&quot;00D646C6&quot;/&gt;&lt;wsp:rsid wsp:val=&quot;00D64822&quot;/&gt;&lt;wsp:rsid wsp:val=&quot;00D652FF&quot;/&gt;&lt;wsp:rsid wsp:val=&quot;00D653DB&quot;/&gt;&lt;wsp:rsid wsp:val=&quot;00D654C8&quot;/&gt;&lt;wsp:rsid wsp:val=&quot;00D6567B&quot;/&gt;&lt;wsp:rsid wsp:val=&quot;00D65AA1&quot;/&gt;&lt;wsp:rsid wsp:val=&quot;00D6638B&quot;/&gt;&lt;wsp:rsid wsp:val=&quot;00D66DD9&quot;/&gt;&lt;wsp:rsid wsp:val=&quot;00D66FA6&quot;/&gt;&lt;wsp:rsid wsp:val=&quot;00D671DD&quot;/&gt;&lt;wsp:rsid wsp:val=&quot;00D67240&quot;/&gt;&lt;wsp:rsid wsp:val=&quot;00D678AC&quot;/&gt;&lt;wsp:rsid wsp:val=&quot;00D67A44&quot;/&gt;&lt;wsp:rsid wsp:val=&quot;00D67C73&quot;/&gt;&lt;wsp:rsid wsp:val=&quot;00D7030E&quot;/&gt;&lt;wsp:rsid wsp:val=&quot;00D703A3&quot;/&gt;&lt;wsp:rsid wsp:val=&quot;00D7040C&quot;/&gt;&lt;wsp:rsid wsp:val=&quot;00D705E7&quot;/&gt;&lt;wsp:rsid wsp:val=&quot;00D7074F&quot;/&gt;&lt;wsp:rsid wsp:val=&quot;00D70CD1&quot;/&gt;&lt;wsp:rsid wsp:val=&quot;00D70E7A&quot;/&gt;&lt;wsp:rsid wsp:val=&quot;00D70F4A&quot;/&gt;&lt;wsp:rsid wsp:val=&quot;00D71546&quot;/&gt;&lt;wsp:rsid wsp:val=&quot;00D716E8&quot;/&gt;&lt;wsp:rsid wsp:val=&quot;00D71916&quot;/&gt;&lt;wsp:rsid wsp:val=&quot;00D719E6&quot;/&gt;&lt;wsp:rsid wsp:val=&quot;00D71CEF&quot;/&gt;&lt;wsp:rsid wsp:val=&quot;00D7218F&quot;/&gt;&lt;wsp:rsid wsp:val=&quot;00D72199&quot;/&gt;&lt;wsp:rsid wsp:val=&quot;00D72232&quot;/&gt;&lt;wsp:rsid wsp:val=&quot;00D722CF&quot;/&gt;&lt;wsp:rsid wsp:val=&quot;00D725DB&quot;/&gt;&lt;wsp:rsid wsp:val=&quot;00D72C5F&quot;/&gt;&lt;wsp:rsid wsp:val=&quot;00D72DA4&quot;/&gt;&lt;wsp:rsid wsp:val=&quot;00D732EE&quot;/&gt;&lt;wsp:rsid wsp:val=&quot;00D73338&quot;/&gt;&lt;wsp:rsid wsp:val=&quot;00D73348&quot;/&gt;&lt;wsp:rsid wsp:val=&quot;00D73FD6&quot;/&gt;&lt;wsp:rsid wsp:val=&quot;00D74262&quot;/&gt;&lt;wsp:rsid wsp:val=&quot;00D7433C&quot;/&gt;&lt;wsp:rsid wsp:val=&quot;00D74575&quot;/&gt;&lt;wsp:rsid wsp:val=&quot;00D7465E&quot;/&gt;&lt;wsp:rsid wsp:val=&quot;00D74A56&quot;/&gt;&lt;wsp:rsid wsp:val=&quot;00D74D31&quot;/&gt;&lt;wsp:rsid wsp:val=&quot;00D74D6F&quot;/&gt;&lt;wsp:rsid wsp:val=&quot;00D74EF6&quot;/&gt;&lt;wsp:rsid wsp:val=&quot;00D74F07&quot;/&gt;&lt;wsp:rsid wsp:val=&quot;00D74F9C&quot;/&gt;&lt;wsp:rsid wsp:val=&quot;00D75012&quot;/&gt;&lt;wsp:rsid wsp:val=&quot;00D75773&quot;/&gt;&lt;wsp:rsid wsp:val=&quot;00D760A9&quot;/&gt;&lt;wsp:rsid wsp:val=&quot;00D760CF&quot;/&gt;&lt;wsp:rsid wsp:val=&quot;00D763C6&quot;/&gt;&lt;wsp:rsid wsp:val=&quot;00D76440&quot;/&gt;&lt;wsp:rsid wsp:val=&quot;00D76731&quot;/&gt;&lt;wsp:rsid wsp:val=&quot;00D7695D&quot;/&gt;&lt;wsp:rsid wsp:val=&quot;00D77746&quot;/&gt;&lt;wsp:rsid wsp:val=&quot;00D778C2&quot;/&gt;&lt;wsp:rsid wsp:val=&quot;00D77CA3&quot;/&gt;&lt;wsp:rsid wsp:val=&quot;00D8038B&quot;/&gt;&lt;wsp:rsid wsp:val=&quot;00D803E5&quot;/&gt;&lt;wsp:rsid wsp:val=&quot;00D80BA3&quot;/&gt;&lt;wsp:rsid wsp:val=&quot;00D80E47&quot;/&gt;&lt;wsp:rsid wsp:val=&quot;00D813D1&quot;/&gt;&lt;wsp:rsid wsp:val=&quot;00D81428&quot;/&gt;&lt;wsp:rsid wsp:val=&quot;00D818D9&quot;/&gt;&lt;wsp:rsid wsp:val=&quot;00D81B53&quot;/&gt;&lt;wsp:rsid wsp:val=&quot;00D81D91&quot;/&gt;&lt;wsp:rsid wsp:val=&quot;00D81E8A&quot;/&gt;&lt;wsp:rsid wsp:val=&quot;00D82675&quot;/&gt;&lt;wsp:rsid wsp:val=&quot;00D8270A&quot;/&gt;&lt;wsp:rsid wsp:val=&quot;00D82A8E&quot;/&gt;&lt;wsp:rsid wsp:val=&quot;00D82DF1&quot;/&gt;&lt;wsp:rsid wsp:val=&quot;00D82EF5&quot;/&gt;&lt;wsp:rsid wsp:val=&quot;00D831D9&quot;/&gt;&lt;wsp:rsid wsp:val=&quot;00D83235&quot;/&gt;&lt;wsp:rsid wsp:val=&quot;00D8393F&quot;/&gt;&lt;wsp:rsid wsp:val=&quot;00D840E6&quot;/&gt;&lt;wsp:rsid wsp:val=&quot;00D8429C&quot;/&gt;&lt;wsp:rsid wsp:val=&quot;00D842D4&quot;/&gt;&lt;wsp:rsid wsp:val=&quot;00D84621&quot;/&gt;&lt;wsp:rsid wsp:val=&quot;00D8462B&quot;/&gt;&lt;wsp:rsid wsp:val=&quot;00D84941&quot;/&gt;&lt;wsp:rsid wsp:val=&quot;00D8521F&quot;/&gt;&lt;wsp:rsid wsp:val=&quot;00D85335&quot;/&gt;&lt;wsp:rsid wsp:val=&quot;00D856EC&quot;/&gt;&lt;wsp:rsid wsp:val=&quot;00D8570C&quot;/&gt;&lt;wsp:rsid wsp:val=&quot;00D85824&quot;/&gt;&lt;wsp:rsid wsp:val=&quot;00D85C69&quot;/&gt;&lt;wsp:rsid wsp:val=&quot;00D85C72&quot;/&gt;&lt;wsp:rsid wsp:val=&quot;00D85DEB&quot;/&gt;&lt;wsp:rsid wsp:val=&quot;00D861F0&quot;/&gt;&lt;wsp:rsid wsp:val=&quot;00D86504&quot;/&gt;&lt;wsp:rsid wsp:val=&quot;00D86DFF&quot;/&gt;&lt;wsp:rsid wsp:val=&quot;00D87212&quot;/&gt;&lt;wsp:rsid wsp:val=&quot;00D87551&quot;/&gt;&lt;wsp:rsid wsp:val=&quot;00D87C1E&quot;/&gt;&lt;wsp:rsid wsp:val=&quot;00D90067&quot;/&gt;&lt;wsp:rsid wsp:val=&quot;00D903FC&quot;/&gt;&lt;wsp:rsid wsp:val=&quot;00D903FF&quot;/&gt;&lt;wsp:rsid wsp:val=&quot;00D9066D&quot;/&gt;&lt;wsp:rsid wsp:val=&quot;00D90844&quot;/&gt;&lt;wsp:rsid wsp:val=&quot;00D90C47&quot;/&gt;&lt;wsp:rsid wsp:val=&quot;00D90CDB&quot;/&gt;&lt;wsp:rsid wsp:val=&quot;00D9124E&quot;/&gt;&lt;wsp:rsid wsp:val=&quot;00D917CA&quot;/&gt;&lt;wsp:rsid wsp:val=&quot;00D918CD&quot;/&gt;&lt;wsp:rsid wsp:val=&quot;00D9196C&quot;/&gt;&lt;wsp:rsid wsp:val=&quot;00D91C21&quot;/&gt;&lt;wsp:rsid wsp:val=&quot;00D91EC6&quot;/&gt;&lt;wsp:rsid wsp:val=&quot;00D91F11&quot;/&gt;&lt;wsp:rsid wsp:val=&quot;00D91FF6&quot;/&gt;&lt;wsp:rsid wsp:val=&quot;00D922E8&quot;/&gt;&lt;wsp:rsid wsp:val=&quot;00D92491&quot;/&gt;&lt;wsp:rsid wsp:val=&quot;00D92AE3&quot;/&gt;&lt;wsp:rsid wsp:val=&quot;00D92CE4&quot;/&gt;&lt;wsp:rsid wsp:val=&quot;00D934D4&quot;/&gt;&lt;wsp:rsid wsp:val=&quot;00D935B0&quot;/&gt;&lt;wsp:rsid wsp:val=&quot;00D93895&quot;/&gt;&lt;wsp:rsid wsp:val=&quot;00D93B30&quot;/&gt;&lt;wsp:rsid wsp:val=&quot;00D93EE5&quot;/&gt;&lt;wsp:rsid wsp:val=&quot;00D9400B&quot;/&gt;&lt;wsp:rsid wsp:val=&quot;00D94351&quot;/&gt;&lt;wsp:rsid wsp:val=&quot;00D9436E&quot;/&gt;&lt;wsp:rsid wsp:val=&quot;00D9442C&quot;/&gt;&lt;wsp:rsid wsp:val=&quot;00D94635&quot;/&gt;&lt;wsp:rsid wsp:val=&quot;00D95228&quot;/&gt;&lt;wsp:rsid wsp:val=&quot;00D957C3&quot;/&gt;&lt;wsp:rsid wsp:val=&quot;00D95AF4&quot;/&gt;&lt;wsp:rsid wsp:val=&quot;00D95CB7&quot;/&gt;&lt;wsp:rsid wsp:val=&quot;00D96247&quot;/&gt;&lt;wsp:rsid wsp:val=&quot;00D9632F&quot;/&gt;&lt;wsp:rsid wsp:val=&quot;00D9690E&quot;/&gt;&lt;wsp:rsid wsp:val=&quot;00D97DC7&quot;/&gt;&lt;wsp:rsid wsp:val=&quot;00D97EE3&quot;/&gt;&lt;wsp:rsid wsp:val=&quot;00DA00AE&quot;/&gt;&lt;wsp:rsid wsp:val=&quot;00DA0108&quot;/&gt;&lt;wsp:rsid wsp:val=&quot;00DA01C4&quot;/&gt;&lt;wsp:rsid wsp:val=&quot;00DA0DD0&quot;/&gt;&lt;wsp:rsid wsp:val=&quot;00DA1876&quot;/&gt;&lt;wsp:rsid wsp:val=&quot;00DA1992&quot;/&gt;&lt;wsp:rsid wsp:val=&quot;00DA1A61&quot;/&gt;&lt;wsp:rsid wsp:val=&quot;00DA1BBD&quot;/&gt;&lt;wsp:rsid wsp:val=&quot;00DA27FD&quot;/&gt;&lt;wsp:rsid wsp:val=&quot;00DA281D&quot;/&gt;&lt;wsp:rsid wsp:val=&quot;00DA2B3F&quot;/&gt;&lt;wsp:rsid wsp:val=&quot;00DA2D48&quot;/&gt;&lt;wsp:rsid wsp:val=&quot;00DA31D6&quot;/&gt;&lt;wsp:rsid wsp:val=&quot;00DA32ED&quot;/&gt;&lt;wsp:rsid wsp:val=&quot;00DA355F&quot;/&gt;&lt;wsp:rsid wsp:val=&quot;00DA3637&quot;/&gt;&lt;wsp:rsid wsp:val=&quot;00DA3DE0&quot;/&gt;&lt;wsp:rsid wsp:val=&quot;00DA452D&quot;/&gt;&lt;wsp:rsid wsp:val=&quot;00DA4785&quot;/&gt;&lt;wsp:rsid wsp:val=&quot;00DA47F3&quot;/&gt;&lt;wsp:rsid wsp:val=&quot;00DA48A9&quot;/&gt;&lt;wsp:rsid wsp:val=&quot;00DA4AAB&quot;/&gt;&lt;wsp:rsid wsp:val=&quot;00DA4BE1&quot;/&gt;&lt;wsp:rsid wsp:val=&quot;00DA4C15&quot;/&gt;&lt;wsp:rsid wsp:val=&quot;00DA4CE7&quot;/&gt;&lt;wsp:rsid wsp:val=&quot;00DA4E26&quot;/&gt;&lt;wsp:rsid wsp:val=&quot;00DA4EDE&quot;/&gt;&lt;wsp:rsid wsp:val=&quot;00DA549C&quot;/&gt;&lt;wsp:rsid wsp:val=&quot;00DA54CD&quot;/&gt;&lt;wsp:rsid wsp:val=&quot;00DA571E&quot;/&gt;&lt;wsp:rsid wsp:val=&quot;00DA5943&quot;/&gt;&lt;wsp:rsid wsp:val=&quot;00DA5F1F&quot;/&gt;&lt;wsp:rsid wsp:val=&quot;00DA61F5&quot;/&gt;&lt;wsp:rsid wsp:val=&quot;00DA6232&quot;/&gt;&lt;wsp:rsid wsp:val=&quot;00DA65B2&quot;/&gt;&lt;wsp:rsid wsp:val=&quot;00DA662D&quot;/&gt;&lt;wsp:rsid wsp:val=&quot;00DA6ABD&quot;/&gt;&lt;wsp:rsid wsp:val=&quot;00DA6E57&quot;/&gt;&lt;wsp:rsid wsp:val=&quot;00DA7056&quot;/&gt;&lt;wsp:rsid wsp:val=&quot;00DA7340&quot;/&gt;&lt;wsp:rsid wsp:val=&quot;00DA7BA4&quot;/&gt;&lt;wsp:rsid wsp:val=&quot;00DA7E61&quot;/&gt;&lt;wsp:rsid wsp:val=&quot;00DA7FCB&quot;/&gt;&lt;wsp:rsid wsp:val=&quot;00DB01DB&quot;/&gt;&lt;wsp:rsid wsp:val=&quot;00DB09AB&quot;/&gt;&lt;wsp:rsid wsp:val=&quot;00DB0A6B&quot;/&gt;&lt;wsp:rsid wsp:val=&quot;00DB0C61&quot;/&gt;&lt;wsp:rsid wsp:val=&quot;00DB0FD0&quot;/&gt;&lt;wsp:rsid wsp:val=&quot;00DB111F&quot;/&gt;&lt;wsp:rsid wsp:val=&quot;00DB1156&quot;/&gt;&lt;wsp:rsid wsp:val=&quot;00DB1ADE&quot;/&gt;&lt;wsp:rsid wsp:val=&quot;00DB21F9&quot;/&gt;&lt;wsp:rsid wsp:val=&quot;00DB23E1&quot;/&gt;&lt;wsp:rsid wsp:val=&quot;00DB242E&quot;/&gt;&lt;wsp:rsid wsp:val=&quot;00DB247B&quot;/&gt;&lt;wsp:rsid wsp:val=&quot;00DB2500&quot;/&gt;&lt;wsp:rsid wsp:val=&quot;00DB25F7&quot;/&gt;&lt;wsp:rsid wsp:val=&quot;00DB2745&quot;/&gt;&lt;wsp:rsid wsp:val=&quot;00DB2810&quot;/&gt;&lt;wsp:rsid wsp:val=&quot;00DB296C&quot;/&gt;&lt;wsp:rsid wsp:val=&quot;00DB2979&quot;/&gt;&lt;wsp:rsid wsp:val=&quot;00DB29FA&quot;/&gt;&lt;wsp:rsid wsp:val=&quot;00DB2B88&quot;/&gt;&lt;wsp:rsid wsp:val=&quot;00DB2C50&quot;/&gt;&lt;wsp:rsid wsp:val=&quot;00DB32C4&quot;/&gt;&lt;wsp:rsid wsp:val=&quot;00DB3873&quot;/&gt;&lt;wsp:rsid wsp:val=&quot;00DB38FF&quot;/&gt;&lt;wsp:rsid wsp:val=&quot;00DB3F39&quot;/&gt;&lt;wsp:rsid wsp:val=&quot;00DB3FF4&quot;/&gt;&lt;wsp:rsid wsp:val=&quot;00DB4EA6&quot;/&gt;&lt;wsp:rsid wsp:val=&quot;00DB51A7&quot;/&gt;&lt;wsp:rsid wsp:val=&quot;00DB5222&quot;/&gt;&lt;wsp:rsid wsp:val=&quot;00DB5A41&quot;/&gt;&lt;wsp:rsid wsp:val=&quot;00DB5DD7&quot;/&gt;&lt;wsp:rsid wsp:val=&quot;00DB64EB&quot;/&gt;&lt;wsp:rsid wsp:val=&quot;00DB6A15&quot;/&gt;&lt;wsp:rsid wsp:val=&quot;00DB6C7B&quot;/&gt;&lt;wsp:rsid wsp:val=&quot;00DB71FD&quot;/&gt;&lt;wsp:rsid wsp:val=&quot;00DB756B&quot;/&gt;&lt;wsp:rsid wsp:val=&quot;00DB7684&quot;/&gt;&lt;wsp:rsid wsp:val=&quot;00DB7D5B&quot;/&gt;&lt;wsp:rsid wsp:val=&quot;00DB7F4C&quot;/&gt;&lt;wsp:rsid wsp:val=&quot;00DC037E&quot;/&gt;&lt;wsp:rsid wsp:val=&quot;00DC0828&quot;/&gt;&lt;wsp:rsid wsp:val=&quot;00DC085B&quot;/&gt;&lt;wsp:rsid wsp:val=&quot;00DC08CF&quot;/&gt;&lt;wsp:rsid wsp:val=&quot;00DC0984&quot;/&gt;&lt;wsp:rsid wsp:val=&quot;00DC0EC9&quot;/&gt;&lt;wsp:rsid wsp:val=&quot;00DC0ECC&quot;/&gt;&lt;wsp:rsid wsp:val=&quot;00DC141E&quot;/&gt;&lt;wsp:rsid wsp:val=&quot;00DC15EC&quot;/&gt;&lt;wsp:rsid wsp:val=&quot;00DC1957&quot;/&gt;&lt;wsp:rsid wsp:val=&quot;00DC1CFE&quot;/&gt;&lt;wsp:rsid wsp:val=&quot;00DC21D5&quot;/&gt;&lt;wsp:rsid wsp:val=&quot;00DC27DA&quot;/&gt;&lt;wsp:rsid wsp:val=&quot;00DC2C4C&quot;/&gt;&lt;wsp:rsid wsp:val=&quot;00DC2EE7&quot;/&gt;&lt;wsp:rsid wsp:val=&quot;00DC3280&quot;/&gt;&lt;wsp:rsid wsp:val=&quot;00DC3341&quot;/&gt;&lt;wsp:rsid wsp:val=&quot;00DC339F&quot;/&gt;&lt;wsp:rsid wsp:val=&quot;00DC33AB&quot;/&gt;&lt;wsp:rsid wsp:val=&quot;00DC3481&quot;/&gt;&lt;wsp:rsid wsp:val=&quot;00DC38A8&quot;/&gt;&lt;wsp:rsid wsp:val=&quot;00DC38BC&quot;/&gt;&lt;wsp:rsid wsp:val=&quot;00DC3992&quot;/&gt;&lt;wsp:rsid wsp:val=&quot;00DC3E04&quot;/&gt;&lt;wsp:rsid wsp:val=&quot;00DC402E&quot;/&gt;&lt;wsp:rsid wsp:val=&quot;00DC4284&quot;/&gt;&lt;wsp:rsid wsp:val=&quot;00DC4376&quot;/&gt;&lt;wsp:rsid wsp:val=&quot;00DC50F1&quot;/&gt;&lt;wsp:rsid wsp:val=&quot;00DC520C&quot;/&gt;&lt;wsp:rsid wsp:val=&quot;00DC535D&quot;/&gt;&lt;wsp:rsid wsp:val=&quot;00DC5445&quot;/&gt;&lt;wsp:rsid wsp:val=&quot;00DC562B&quot;/&gt;&lt;wsp:rsid wsp:val=&quot;00DC5FEC&quot;/&gt;&lt;wsp:rsid wsp:val=&quot;00DC6606&quot;/&gt;&lt;wsp:rsid wsp:val=&quot;00DC673D&quot;/&gt;&lt;wsp:rsid wsp:val=&quot;00DC67C7&quot;/&gt;&lt;wsp:rsid wsp:val=&quot;00DC69E6&quot;/&gt;&lt;wsp:rsid wsp:val=&quot;00DC6EDE&quot;/&gt;&lt;wsp:rsid wsp:val=&quot;00DC6F21&quot;/&gt;&lt;wsp:rsid wsp:val=&quot;00DC741A&quot;/&gt;&lt;wsp:rsid wsp:val=&quot;00DC751E&quot;/&gt;&lt;wsp:rsid wsp:val=&quot;00DC7B73&quot;/&gt;&lt;wsp:rsid wsp:val=&quot;00DC7C4E&quot;/&gt;&lt;wsp:rsid wsp:val=&quot;00DC7E15&quot;/&gt;&lt;wsp:rsid wsp:val=&quot;00DC7E27&quot;/&gt;&lt;wsp:rsid wsp:val=&quot;00DD01DC&quot;/&gt;&lt;wsp:rsid wsp:val=&quot;00DD042E&quot;/&gt;&lt;wsp:rsid wsp:val=&quot;00DD0A18&quot;/&gt;&lt;wsp:rsid wsp:val=&quot;00DD0A2F&quot;/&gt;&lt;wsp:rsid wsp:val=&quot;00DD0B4F&quot;/&gt;&lt;wsp:rsid wsp:val=&quot;00DD0C8C&quot;/&gt;&lt;wsp:rsid wsp:val=&quot;00DD109B&quot;/&gt;&lt;wsp:rsid wsp:val=&quot;00DD16ED&quot;/&gt;&lt;wsp:rsid wsp:val=&quot;00DD17BD&quot;/&gt;&lt;wsp:rsid wsp:val=&quot;00DD1B72&quot;/&gt;&lt;wsp:rsid wsp:val=&quot;00DD1D1C&quot;/&gt;&lt;wsp:rsid wsp:val=&quot;00DD237A&quot;/&gt;&lt;wsp:rsid wsp:val=&quot;00DD397C&quot;/&gt;&lt;wsp:rsid wsp:val=&quot;00DD3CEA&quot;/&gt;&lt;wsp:rsid wsp:val=&quot;00DD4838&quot;/&gt;&lt;wsp:rsid wsp:val=&quot;00DD4C81&quot;/&gt;&lt;wsp:rsid wsp:val=&quot;00DD54F2&quot;/&gt;&lt;wsp:rsid wsp:val=&quot;00DD55B0&quot;/&gt;&lt;wsp:rsid wsp:val=&quot;00DD68AB&quot;/&gt;&lt;wsp:rsid wsp:val=&quot;00DD69F4&quot;/&gt;&lt;wsp:rsid wsp:val=&quot;00DD7431&quot;/&gt;&lt;wsp:rsid wsp:val=&quot;00DD760A&quot;/&gt;&lt;wsp:rsid wsp:val=&quot;00DD7A76&quot;/&gt;&lt;wsp:rsid wsp:val=&quot;00DD7BC2&quot;/&gt;&lt;wsp:rsid wsp:val=&quot;00DD7E50&quot;/&gt;&lt;wsp:rsid wsp:val=&quot;00DE032C&quot;/&gt;&lt;wsp:rsid wsp:val=&quot;00DE0474&quot;/&gt;&lt;wsp:rsid wsp:val=&quot;00DE0727&quot;/&gt;&lt;wsp:rsid wsp:val=&quot;00DE0A01&quot;/&gt;&lt;wsp:rsid wsp:val=&quot;00DE0F9E&quot;/&gt;&lt;wsp:rsid wsp:val=&quot;00DE0FA7&quot;/&gt;&lt;wsp:rsid wsp:val=&quot;00DE1511&quot;/&gt;&lt;wsp:rsid wsp:val=&quot;00DE1522&quot;/&gt;&lt;wsp:rsid wsp:val=&quot;00DE1AC8&quot;/&gt;&lt;wsp:rsid wsp:val=&quot;00DE1F3F&quot;/&gt;&lt;wsp:rsid wsp:val=&quot;00DE2077&quot;/&gt;&lt;wsp:rsid wsp:val=&quot;00DE257A&quot;/&gt;&lt;wsp:rsid wsp:val=&quot;00DE287C&quot;/&gt;&lt;wsp:rsid wsp:val=&quot;00DE31E6&quot;/&gt;&lt;wsp:rsid wsp:val=&quot;00DE3718&quot;/&gt;&lt;wsp:rsid wsp:val=&quot;00DE38C1&quot;/&gt;&lt;wsp:rsid wsp:val=&quot;00DE3990&quot;/&gt;&lt;wsp:rsid wsp:val=&quot;00DE3D4C&quot;/&gt;&lt;wsp:rsid wsp:val=&quot;00DE3F61&quot;/&gt;&lt;wsp:rsid wsp:val=&quot;00DE4264&quot;/&gt;&lt;wsp:rsid wsp:val=&quot;00DE473A&quot;/&gt;&lt;wsp:rsid wsp:val=&quot;00DE47DB&quot;/&gt;&lt;wsp:rsid wsp:val=&quot;00DE4B48&quot;/&gt;&lt;wsp:rsid wsp:val=&quot;00DE4BD2&quot;/&gt;&lt;wsp:rsid wsp:val=&quot;00DE4C60&quot;/&gt;&lt;wsp:rsid wsp:val=&quot;00DE4E7A&quot;/&gt;&lt;wsp:rsid wsp:val=&quot;00DE585A&quot;/&gt;&lt;wsp:rsid wsp:val=&quot;00DE6784&quot;/&gt;&lt;wsp:rsid wsp:val=&quot;00DE6861&quot;/&gt;&lt;wsp:rsid wsp:val=&quot;00DE6C98&quot;/&gt;&lt;wsp:rsid wsp:val=&quot;00DE6F68&quot;/&gt;&lt;wsp:rsid wsp:val=&quot;00DE7C17&quot;/&gt;&lt;wsp:rsid wsp:val=&quot;00DE7CE1&quot;/&gt;&lt;wsp:rsid wsp:val=&quot;00DF02B9&quot;/&gt;&lt;wsp:rsid wsp:val=&quot;00DF043D&quot;/&gt;&lt;wsp:rsid wsp:val=&quot;00DF04F9&quot;/&gt;&lt;wsp:rsid wsp:val=&quot;00DF05F2&quot;/&gt;&lt;wsp:rsid wsp:val=&quot;00DF0C83&quot;/&gt;&lt;wsp:rsid wsp:val=&quot;00DF122E&quot;/&gt;&lt;wsp:rsid wsp:val=&quot;00DF1835&quot;/&gt;&lt;wsp:rsid wsp:val=&quot;00DF1838&quot;/&gt;&lt;wsp:rsid wsp:val=&quot;00DF1BB2&quot;/&gt;&lt;wsp:rsid wsp:val=&quot;00DF1CC0&quot;/&gt;&lt;wsp:rsid wsp:val=&quot;00DF2033&quot;/&gt;&lt;wsp:rsid wsp:val=&quot;00DF22C7&quot;/&gt;&lt;wsp:rsid wsp:val=&quot;00DF2408&quot;/&gt;&lt;wsp:rsid wsp:val=&quot;00DF281A&quot;/&gt;&lt;wsp:rsid wsp:val=&quot;00DF2B2A&quot;/&gt;&lt;wsp:rsid wsp:val=&quot;00DF2B65&quot;/&gt;&lt;wsp:rsid wsp:val=&quot;00DF324D&quot;/&gt;&lt;wsp:rsid wsp:val=&quot;00DF34E6&quot;/&gt;&lt;wsp:rsid wsp:val=&quot;00DF3C68&quot;/&gt;&lt;wsp:rsid wsp:val=&quot;00DF4AAE&quot;/&gt;&lt;wsp:rsid wsp:val=&quot;00DF4BE1&quot;/&gt;&lt;wsp:rsid wsp:val=&quot;00DF4DC9&quot;/&gt;&lt;wsp:rsid wsp:val=&quot;00DF4E74&quot;/&gt;&lt;wsp:rsid wsp:val=&quot;00DF54DF&quot;/&gt;&lt;wsp:rsid wsp:val=&quot;00DF55D6&quot;/&gt;&lt;wsp:rsid wsp:val=&quot;00DF5623&quot;/&gt;&lt;wsp:rsid wsp:val=&quot;00DF5F78&quot;/&gt;&lt;wsp:rsid wsp:val=&quot;00DF5FC0&quot;/&gt;&lt;wsp:rsid wsp:val=&quot;00DF6021&quot;/&gt;&lt;wsp:rsid wsp:val=&quot;00DF6457&quot;/&gt;&lt;wsp:rsid wsp:val=&quot;00DF64F5&quot;/&gt;&lt;wsp:rsid wsp:val=&quot;00DF6B13&quot;/&gt;&lt;wsp:rsid wsp:val=&quot;00DF737B&quot;/&gt;&lt;wsp:rsid wsp:val=&quot;00DF7C16&quot;/&gt;&lt;wsp:rsid wsp:val=&quot;00E00185&quot;/&gt;&lt;wsp:rsid wsp:val=&quot;00E0093C&quot;/&gt;&lt;wsp:rsid wsp:val=&quot;00E01018&quot;/&gt;&lt;wsp:rsid wsp:val=&quot;00E01634&quot;/&gt;&lt;wsp:rsid wsp:val=&quot;00E01C55&quot;/&gt;&lt;wsp:rsid wsp:val=&quot;00E01D5B&quot;/&gt;&lt;wsp:rsid wsp:val=&quot;00E01DC2&quot;/&gt;&lt;wsp:rsid wsp:val=&quot;00E021CD&quot;/&gt;&lt;wsp:rsid wsp:val=&quot;00E02227&quot;/&gt;&lt;wsp:rsid wsp:val=&quot;00E027BD&quot;/&gt;&lt;wsp:rsid wsp:val=&quot;00E02C60&quot;/&gt;&lt;wsp:rsid wsp:val=&quot;00E02EF2&quot;/&gt;&lt;wsp:rsid wsp:val=&quot;00E02FCD&quot;/&gt;&lt;wsp:rsid wsp:val=&quot;00E03172&quot;/&gt;&lt;wsp:rsid wsp:val=&quot;00E0321A&quot;/&gt;&lt;wsp:rsid wsp:val=&quot;00E03563&quot;/&gt;&lt;wsp:rsid wsp:val=&quot;00E037E5&quot;/&gt;&lt;wsp:rsid wsp:val=&quot;00E0384A&quot;/&gt;&lt;wsp:rsid wsp:val=&quot;00E0397E&quot;/&gt;&lt;wsp:rsid wsp:val=&quot;00E03CB0&quot;/&gt;&lt;wsp:rsid wsp:val=&quot;00E043AD&quot;/&gt;&lt;wsp:rsid wsp:val=&quot;00E0468B&quot;/&gt;&lt;wsp:rsid wsp:val=&quot;00E04764&quot;/&gt;&lt;wsp:rsid wsp:val=&quot;00E04C8A&quot;/&gt;&lt;wsp:rsid wsp:val=&quot;00E0514D&quot;/&gt;&lt;wsp:rsid wsp:val=&quot;00E0525B&quot;/&gt;&lt;wsp:rsid wsp:val=&quot;00E0547E&quot;/&gt;&lt;wsp:rsid wsp:val=&quot;00E0548D&quot;/&gt;&lt;wsp:rsid wsp:val=&quot;00E0589C&quot;/&gt;&lt;wsp:rsid wsp:val=&quot;00E05B76&quot;/&gt;&lt;wsp:rsid wsp:val=&quot;00E05E36&quot;/&gt;&lt;wsp:rsid wsp:val=&quot;00E06078&quot;/&gt;&lt;wsp:rsid wsp:val=&quot;00E06183&quot;/&gt;&lt;wsp:rsid wsp:val=&quot;00E06199&quot;/&gt;&lt;wsp:rsid wsp:val=&quot;00E064A1&quot;/&gt;&lt;wsp:rsid wsp:val=&quot;00E064D5&quot;/&gt;&lt;wsp:rsid wsp:val=&quot;00E068E7&quot;/&gt;&lt;wsp:rsid wsp:val=&quot;00E06D23&quot;/&gt;&lt;wsp:rsid wsp:val=&quot;00E07323&quot;/&gt;&lt;wsp:rsid wsp:val=&quot;00E07CED&quot;/&gt;&lt;wsp:rsid wsp:val=&quot;00E10057&quot;/&gt;&lt;wsp:rsid wsp:val=&quot;00E1009B&quot;/&gt;&lt;wsp:rsid wsp:val=&quot;00E10270&quot;/&gt;&lt;wsp:rsid wsp:val=&quot;00E10421&quot;/&gt;&lt;wsp:rsid wsp:val=&quot;00E104FF&quot;/&gt;&lt;wsp:rsid wsp:val=&quot;00E10748&quot;/&gt;&lt;wsp:rsid wsp:val=&quot;00E10E90&quot;/&gt;&lt;wsp:rsid wsp:val=&quot;00E10F69&quot;/&gt;&lt;wsp:rsid wsp:val=&quot;00E1107E&quot;/&gt;&lt;wsp:rsid wsp:val=&quot;00E111E0&quot;/&gt;&lt;wsp:rsid wsp:val=&quot;00E11503&quot;/&gt;&lt;wsp:rsid wsp:val=&quot;00E1151C&quot;/&gt;&lt;wsp:rsid wsp:val=&quot;00E11848&quot;/&gt;&lt;wsp:rsid wsp:val=&quot;00E11B3A&quot;/&gt;&lt;wsp:rsid wsp:val=&quot;00E11E52&quot;/&gt;&lt;wsp:rsid wsp:val=&quot;00E11F1C&quot;/&gt;&lt;wsp:rsid wsp:val=&quot;00E123DD&quot;/&gt;&lt;wsp:rsid wsp:val=&quot;00E126D5&quot;/&gt;&lt;wsp:rsid wsp:val=&quot;00E12E70&quot;/&gt;&lt;wsp:rsid wsp:val=&quot;00E1397B&quot;/&gt;&lt;wsp:rsid wsp:val=&quot;00E13F67&quot;/&gt;&lt;wsp:rsid wsp:val=&quot;00E14087&quot;/&gt;&lt;wsp:rsid wsp:val=&quot;00E140B5&quot;/&gt;&lt;wsp:rsid wsp:val=&quot;00E1418D&quot;/&gt;&lt;wsp:rsid wsp:val=&quot;00E1423A&quot;/&gt;&lt;wsp:rsid wsp:val=&quot;00E1461B&quot;/&gt;&lt;wsp:rsid wsp:val=&quot;00E14BC2&quot;/&gt;&lt;wsp:rsid wsp:val=&quot;00E14C96&quot;/&gt;&lt;wsp:rsid wsp:val=&quot;00E1560A&quot;/&gt;&lt;wsp:rsid wsp:val=&quot;00E1567C&quot;/&gt;&lt;wsp:rsid wsp:val=&quot;00E15869&quot;/&gt;&lt;wsp:rsid wsp:val=&quot;00E1609B&quot;/&gt;&lt;wsp:rsid wsp:val=&quot;00E166C2&quot;/&gt;&lt;wsp:rsid wsp:val=&quot;00E1675A&quot;/&gt;&lt;wsp:rsid wsp:val=&quot;00E167F9&quot;/&gt;&lt;wsp:rsid wsp:val=&quot;00E168A2&quot;/&gt;&lt;wsp:rsid wsp:val=&quot;00E16ADA&quot;/&gt;&lt;wsp:rsid wsp:val=&quot;00E16E47&quot;/&gt;&lt;wsp:rsid wsp:val=&quot;00E2023E&quot;/&gt;&lt;wsp:rsid wsp:val=&quot;00E20289&quot;/&gt;&lt;wsp:rsid wsp:val=&quot;00E20441&quot;/&gt;&lt;wsp:rsid wsp:val=&quot;00E204BF&quot;/&gt;&lt;wsp:rsid wsp:val=&quot;00E20548&quot;/&gt;&lt;wsp:rsid wsp:val=&quot;00E20830&quot;/&gt;&lt;wsp:rsid wsp:val=&quot;00E20A15&quot;/&gt;&lt;wsp:rsid wsp:val=&quot;00E20A70&quot;/&gt;&lt;wsp:rsid wsp:val=&quot;00E20B01&quot;/&gt;&lt;wsp:rsid wsp:val=&quot;00E20E29&quot;/&gt;&lt;wsp:rsid wsp:val=&quot;00E212C2&quot;/&gt;&lt;wsp:rsid wsp:val=&quot;00E21687&quot;/&gt;&lt;wsp:rsid wsp:val=&quot;00E21A4E&quot;/&gt;&lt;wsp:rsid wsp:val=&quot;00E21CCC&quot;/&gt;&lt;wsp:rsid wsp:val=&quot;00E21F08&quot;/&gt;&lt;wsp:rsid wsp:val=&quot;00E22182&quot;/&gt;&lt;wsp:rsid wsp:val=&quot;00E221B8&quot;/&gt;&lt;wsp:rsid wsp:val=&quot;00E227E9&quot;/&gt;&lt;wsp:rsid wsp:val=&quot;00E2290E&quot;/&gt;&lt;wsp:rsid wsp:val=&quot;00E22C48&quot;/&gt;&lt;wsp:rsid wsp:val=&quot;00E22F19&quot;/&gt;&lt;wsp:rsid wsp:val=&quot;00E23299&quot;/&gt;&lt;wsp:rsid wsp:val=&quot;00E237B6&quot;/&gt;&lt;wsp:rsid wsp:val=&quot;00E238DE&quot;/&gt;&lt;wsp:rsid wsp:val=&quot;00E23CC0&quot;/&gt;&lt;wsp:rsid wsp:val=&quot;00E24A62&quot;/&gt;&lt;wsp:rsid wsp:val=&quot;00E24B9B&quot;/&gt;&lt;wsp:rsid wsp:val=&quot;00E24BEA&quot;/&gt;&lt;wsp:rsid wsp:val=&quot;00E24E54&quot;/&gt;&lt;wsp:rsid wsp:val=&quot;00E24EDA&quot;/&gt;&lt;wsp:rsid wsp:val=&quot;00E25072&quot;/&gt;&lt;wsp:rsid wsp:val=&quot;00E25593&quot;/&gt;&lt;wsp:rsid wsp:val=&quot;00E25888&quot;/&gt;&lt;wsp:rsid wsp:val=&quot;00E25E6C&quot;/&gt;&lt;wsp:rsid wsp:val=&quot;00E25E82&quot;/&gt;&lt;wsp:rsid wsp:val=&quot;00E25EB6&quot;/&gt;&lt;wsp:rsid wsp:val=&quot;00E25FFA&quot;/&gt;&lt;wsp:rsid wsp:val=&quot;00E26226&quot;/&gt;&lt;wsp:rsid wsp:val=&quot;00E264E6&quot;/&gt;&lt;wsp:rsid wsp:val=&quot;00E26C3F&quot;/&gt;&lt;wsp:rsid wsp:val=&quot;00E2702B&quot;/&gt;&lt;wsp:rsid wsp:val=&quot;00E271D3&quot;/&gt;&lt;wsp:rsid wsp:val=&quot;00E27479&quot;/&gt;&lt;wsp:rsid wsp:val=&quot;00E30596&quot;/&gt;&lt;wsp:rsid wsp:val=&quot;00E306C3&quot;/&gt;&lt;wsp:rsid wsp:val=&quot;00E307C6&quot;/&gt;&lt;wsp:rsid wsp:val=&quot;00E30AFB&quot;/&gt;&lt;wsp:rsid wsp:val=&quot;00E30BAF&quot;/&gt;&lt;wsp:rsid wsp:val=&quot;00E31856&quot;/&gt;&lt;wsp:rsid wsp:val=&quot;00E31C9C&quot;/&gt;&lt;wsp:rsid wsp:val=&quot;00E31F8E&quot;/&gt;&lt;wsp:rsid wsp:val=&quot;00E3221D&quot;/&gt;&lt;wsp:rsid wsp:val=&quot;00E326FD&quot;/&gt;&lt;wsp:rsid wsp:val=&quot;00E32CF9&quot;/&gt;&lt;wsp:rsid wsp:val=&quot;00E32FF4&quot;/&gt;&lt;wsp:rsid wsp:val=&quot;00E33143&quot;/&gt;&lt;wsp:rsid wsp:val=&quot;00E33356&quot;/&gt;&lt;wsp:rsid wsp:val=&quot;00E3397C&quot;/&gt;&lt;wsp:rsid wsp:val=&quot;00E33D42&quot;/&gt;&lt;wsp:rsid wsp:val=&quot;00E343CE&quot;/&gt;&lt;wsp:rsid wsp:val=&quot;00E344DA&quot;/&gt;&lt;wsp:rsid wsp:val=&quot;00E3491A&quot;/&gt;&lt;wsp:rsid wsp:val=&quot;00E349B8&quot;/&gt;&lt;wsp:rsid wsp:val=&quot;00E34CA7&quot;/&gt;&lt;wsp:rsid wsp:val=&quot;00E352F7&quot;/&gt;&lt;wsp:rsid wsp:val=&quot;00E353D9&quot;/&gt;&lt;wsp:rsid wsp:val=&quot;00E35D66&quot;/&gt;&lt;wsp:rsid wsp:val=&quot;00E35E4B&quot;/&gt;&lt;wsp:rsid wsp:val=&quot;00E360FF&quot;/&gt;&lt;wsp:rsid wsp:val=&quot;00E3611C&quot;/&gt;&lt;wsp:rsid wsp:val=&quot;00E36230&quot;/&gt;&lt;wsp:rsid wsp:val=&quot;00E3631E&quot;/&gt;&lt;wsp:rsid wsp:val=&quot;00E368E4&quot;/&gt;&lt;wsp:rsid wsp:val=&quot;00E36976&quot;/&gt;&lt;wsp:rsid wsp:val=&quot;00E36BAA&quot;/&gt;&lt;wsp:rsid wsp:val=&quot;00E36CFB&quot;/&gt;&lt;wsp:rsid wsp:val=&quot;00E36D5C&quot;/&gt;&lt;wsp:rsid wsp:val=&quot;00E3715C&quot;/&gt;&lt;wsp:rsid wsp:val=&quot;00E37189&quot;/&gt;&lt;wsp:rsid wsp:val=&quot;00E371DE&quot;/&gt;&lt;wsp:rsid wsp:val=&quot;00E375F3&quot;/&gt;&lt;wsp:rsid wsp:val=&quot;00E376AB&quot;/&gt;&lt;wsp:rsid wsp:val=&quot;00E379D1&quot;/&gt;&lt;wsp:rsid wsp:val=&quot;00E37EC0&quot;/&gt;&lt;wsp:rsid wsp:val=&quot;00E408A8&quot;/&gt;&lt;wsp:rsid wsp:val=&quot;00E40E8C&quot;/&gt;&lt;wsp:rsid wsp:val=&quot;00E41B1C&quot;/&gt;&lt;wsp:rsid wsp:val=&quot;00E41C61&quot;/&gt;&lt;wsp:rsid wsp:val=&quot;00E41C86&quot;/&gt;&lt;wsp:rsid wsp:val=&quot;00E42244&quot;/&gt;&lt;wsp:rsid wsp:val=&quot;00E4230D&quot;/&gt;&lt;wsp:rsid wsp:val=&quot;00E42425&quot;/&gt;&lt;wsp:rsid wsp:val=&quot;00E4251A&quot;/&gt;&lt;wsp:rsid wsp:val=&quot;00E42B3F&quot;/&gt;&lt;wsp:rsid wsp:val=&quot;00E42F92&quot;/&gt;&lt;wsp:rsid wsp:val=&quot;00E4306E&quot;/&gt;&lt;wsp:rsid wsp:val=&quot;00E43143&quot;/&gt;&lt;wsp:rsid wsp:val=&quot;00E4319B&quot;/&gt;&lt;wsp:rsid wsp:val=&quot;00E431C0&quot;/&gt;&lt;wsp:rsid wsp:val=&quot;00E435DB&quot;/&gt;&lt;wsp:rsid wsp:val=&quot;00E438F3&quot;/&gt;&lt;wsp:rsid wsp:val=&quot;00E43E10&quot;/&gt;&lt;wsp:rsid wsp:val=&quot;00E44403&quot;/&gt;&lt;wsp:rsid wsp:val=&quot;00E4459E&quot;/&gt;&lt;wsp:rsid wsp:val=&quot;00E44B2F&quot;/&gt;&lt;wsp:rsid wsp:val=&quot;00E44BB0&quot;/&gt;&lt;wsp:rsid wsp:val=&quot;00E44BD4&quot;/&gt;&lt;wsp:rsid wsp:val=&quot;00E44E92&quot;/&gt;&lt;wsp:rsid wsp:val=&quot;00E44F03&quot;/&gt;&lt;wsp:rsid wsp:val=&quot;00E4550C&quot;/&gt;&lt;wsp:rsid wsp:val=&quot;00E455FF&quot;/&gt;&lt;wsp:rsid wsp:val=&quot;00E45677&quot;/&gt;&lt;wsp:rsid wsp:val=&quot;00E4598D&quot;/&gt;&lt;wsp:rsid wsp:val=&quot;00E45A35&quot;/&gt;&lt;wsp:rsid wsp:val=&quot;00E45E51&quot;/&gt;&lt;wsp:rsid wsp:val=&quot;00E46055&quot;/&gt;&lt;wsp:rsid wsp:val=&quot;00E46079&quot;/&gt;&lt;wsp:rsid wsp:val=&quot;00E46636&quot;/&gt;&lt;wsp:rsid wsp:val=&quot;00E467B0&quot;/&gt;&lt;wsp:rsid wsp:val=&quot;00E46983&quot;/&gt;&lt;wsp:rsid wsp:val=&quot;00E47160&quot;/&gt;&lt;wsp:rsid wsp:val=&quot;00E47596&quot;/&gt;&lt;wsp:rsid wsp:val=&quot;00E4778B&quot;/&gt;&lt;wsp:rsid wsp:val=&quot;00E47A0A&quot;/&gt;&lt;wsp:rsid wsp:val=&quot;00E5045D&quot;/&gt;&lt;wsp:rsid wsp:val=&quot;00E5056B&quot;/&gt;&lt;wsp:rsid wsp:val=&quot;00E50844&quot;/&gt;&lt;wsp:rsid wsp:val=&quot;00E50CB4&quot;/&gt;&lt;wsp:rsid wsp:val=&quot;00E50F14&quot;/&gt;&lt;wsp:rsid wsp:val=&quot;00E5122B&quot;/&gt;&lt;wsp:rsid wsp:val=&quot;00E5129B&quot;/&gt;&lt;wsp:rsid wsp:val=&quot;00E513EC&quot;/&gt;&lt;wsp:rsid wsp:val=&quot;00E51579&quot;/&gt;&lt;wsp:rsid wsp:val=&quot;00E51952&quot;/&gt;&lt;wsp:rsid wsp:val=&quot;00E51B97&quot;/&gt;&lt;wsp:rsid wsp:val=&quot;00E51E7C&quot;/&gt;&lt;wsp:rsid wsp:val=&quot;00E51FD7&quot;/&gt;&lt;wsp:rsid wsp:val=&quot;00E5213D&quot;/&gt;&lt;wsp:rsid wsp:val=&quot;00E5219B&quot;/&gt;&lt;wsp:rsid wsp:val=&quot;00E521BE&quot;/&gt;&lt;wsp:rsid wsp:val=&quot;00E52552&quot;/&gt;&lt;wsp:rsid wsp:val=&quot;00E52B77&quot;/&gt;&lt;wsp:rsid wsp:val=&quot;00E52F14&quot;/&gt;&lt;wsp:rsid wsp:val=&quot;00E5310C&quot;/&gt;&lt;wsp:rsid wsp:val=&quot;00E53438&quot;/&gt;&lt;wsp:rsid wsp:val=&quot;00E54149&quot;/&gt;&lt;wsp:rsid wsp:val=&quot;00E546C4&quot;/&gt;&lt;wsp:rsid wsp:val=&quot;00E548E2&quot;/&gt;&lt;wsp:rsid wsp:val=&quot;00E54DE3&quot;/&gt;&lt;wsp:rsid wsp:val=&quot;00E54F4D&quot;/&gt;&lt;wsp:rsid wsp:val=&quot;00E55287&quot;/&gt;&lt;wsp:rsid wsp:val=&quot;00E55299&quot;/&gt;&lt;wsp:rsid wsp:val=&quot;00E55714&quot;/&gt;&lt;wsp:rsid wsp:val=&quot;00E55985&quot;/&gt;&lt;wsp:rsid wsp:val=&quot;00E55B0C&quot;/&gt;&lt;wsp:rsid wsp:val=&quot;00E55F2F&quot;/&gt;&lt;wsp:rsid wsp:val=&quot;00E560A8&quot;/&gt;&lt;wsp:rsid wsp:val=&quot;00E56390&quot;/&gt;&lt;wsp:rsid wsp:val=&quot;00E56D0D&quot;/&gt;&lt;wsp:rsid wsp:val=&quot;00E572E9&quot;/&gt;&lt;wsp:rsid wsp:val=&quot;00E574AC&quot;/&gt;&lt;wsp:rsid wsp:val=&quot;00E57956&quot;/&gt;&lt;wsp:rsid wsp:val=&quot;00E57C5D&quot;/&gt;&lt;wsp:rsid wsp:val=&quot;00E6016A&quot;/&gt;&lt;wsp:rsid wsp:val=&quot;00E605E6&quot;/&gt;&lt;wsp:rsid wsp:val=&quot;00E60873&quot;/&gt;&lt;wsp:rsid wsp:val=&quot;00E6090C&quot;/&gt;&lt;wsp:rsid wsp:val=&quot;00E609AB&quot;/&gt;&lt;wsp:rsid wsp:val=&quot;00E60BB3&quot;/&gt;&lt;wsp:rsid wsp:val=&quot;00E6105C&quot;/&gt;&lt;wsp:rsid wsp:val=&quot;00E61077&quot;/&gt;&lt;wsp:rsid wsp:val=&quot;00E6123A&quot;/&gt;&lt;wsp:rsid wsp:val=&quot;00E6126C&quot;/&gt;&lt;wsp:rsid wsp:val=&quot;00E614BD&quot;/&gt;&lt;wsp:rsid wsp:val=&quot;00E61CE1&quot;/&gt;&lt;wsp:rsid wsp:val=&quot;00E61EF0&quot;/&gt;&lt;wsp:rsid wsp:val=&quot;00E61F27&quot;/&gt;&lt;wsp:rsid wsp:val=&quot;00E624E9&quot;/&gt;&lt;wsp:rsid wsp:val=&quot;00E6252C&quot;/&gt;&lt;wsp:rsid wsp:val=&quot;00E62570&quot;/&gt;&lt;wsp:rsid wsp:val=&quot;00E629E2&quot;/&gt;&lt;wsp:rsid wsp:val=&quot;00E63481&quot;/&gt;&lt;wsp:rsid wsp:val=&quot;00E63590&quot;/&gt;&lt;wsp:rsid wsp:val=&quot;00E63907&quot;/&gt;&lt;wsp:rsid wsp:val=&quot;00E63A14&quot;/&gt;&lt;wsp:rsid wsp:val=&quot;00E63A34&quot;/&gt;&lt;wsp:rsid wsp:val=&quot;00E63B2E&quot;/&gt;&lt;wsp:rsid wsp:val=&quot;00E646AD&quot;/&gt;&lt;wsp:rsid wsp:val=&quot;00E6471A&quot;/&gt;&lt;wsp:rsid wsp:val=&quot;00E64A13&quot;/&gt;&lt;wsp:rsid wsp:val=&quot;00E64A84&quot;/&gt;&lt;wsp:rsid wsp:val=&quot;00E64B4F&quot;/&gt;&lt;wsp:rsid wsp:val=&quot;00E64D9B&quot;/&gt;&lt;wsp:rsid wsp:val=&quot;00E64F93&quot;/&gt;&lt;wsp:rsid wsp:val=&quot;00E651D6&quot;/&gt;&lt;wsp:rsid wsp:val=&quot;00E654FC&quot;/&gt;&lt;wsp:rsid wsp:val=&quot;00E65612&quot;/&gt;&lt;wsp:rsid wsp:val=&quot;00E65743&quot;/&gt;&lt;wsp:rsid wsp:val=&quot;00E6581C&quot;/&gt;&lt;wsp:rsid wsp:val=&quot;00E65BBB&quot;/&gt;&lt;wsp:rsid wsp:val=&quot;00E65C3D&quot;/&gt;&lt;wsp:rsid wsp:val=&quot;00E6616C&quot;/&gt;&lt;wsp:rsid wsp:val=&quot;00E6643A&quot;/&gt;&lt;wsp:rsid wsp:val=&quot;00E66695&quot;/&gt;&lt;wsp:rsid wsp:val=&quot;00E66A8E&quot;/&gt;&lt;wsp:rsid wsp:val=&quot;00E66B7D&quot;/&gt;&lt;wsp:rsid wsp:val=&quot;00E66D4C&quot;/&gt;&lt;wsp:rsid wsp:val=&quot;00E66D4D&quot;/&gt;&lt;wsp:rsid wsp:val=&quot;00E66E8A&quot;/&gt;&lt;wsp:rsid wsp:val=&quot;00E6750E&quot;/&gt;&lt;wsp:rsid wsp:val=&quot;00E6759D&quot;/&gt;&lt;wsp:rsid wsp:val=&quot;00E6772B&quot;/&gt;&lt;wsp:rsid wsp:val=&quot;00E678F9&quot;/&gt;&lt;wsp:rsid wsp:val=&quot;00E67B4B&quot;/&gt;&lt;wsp:rsid wsp:val=&quot;00E7000C&quot;/&gt;&lt;wsp:rsid wsp:val=&quot;00E706FA&quot;/&gt;&lt;wsp:rsid wsp:val=&quot;00E707F8&quot;/&gt;&lt;wsp:rsid wsp:val=&quot;00E713E0&quot;/&gt;&lt;wsp:rsid wsp:val=&quot;00E7152F&quot;/&gt;&lt;wsp:rsid wsp:val=&quot;00E71D13&quot;/&gt;&lt;wsp:rsid wsp:val=&quot;00E71EA7&quot;/&gt;&lt;wsp:rsid wsp:val=&quot;00E7208C&quot;/&gt;&lt;wsp:rsid wsp:val=&quot;00E721CE&quot;/&gt;&lt;wsp:rsid wsp:val=&quot;00E7293A&quot;/&gt;&lt;wsp:rsid wsp:val=&quot;00E72DDA&quot;/&gt;&lt;wsp:rsid wsp:val=&quot;00E72F61&quot;/&gt;&lt;wsp:rsid wsp:val=&quot;00E73885&quot;/&gt;&lt;wsp:rsid wsp:val=&quot;00E73CA7&quot;/&gt;&lt;wsp:rsid wsp:val=&quot;00E742D9&quot;/&gt;&lt;wsp:rsid wsp:val=&quot;00E74854&quot;/&gt;&lt;wsp:rsid wsp:val=&quot;00E748FD&quot;/&gt;&lt;wsp:rsid wsp:val=&quot;00E74DF5&quot;/&gt;&lt;wsp:rsid wsp:val=&quot;00E74ECB&quot;/&gt;&lt;wsp:rsid wsp:val=&quot;00E75347&quot;/&gt;&lt;wsp:rsid wsp:val=&quot;00E75766&quot;/&gt;&lt;wsp:rsid wsp:val=&quot;00E75AF9&quot;/&gt;&lt;wsp:rsid wsp:val=&quot;00E75B4C&quot;/&gt;&lt;wsp:rsid wsp:val=&quot;00E75BC5&quot;/&gt;&lt;wsp:rsid wsp:val=&quot;00E75C95&quot;/&gt;&lt;wsp:rsid wsp:val=&quot;00E76086&quot;/&gt;&lt;wsp:rsid wsp:val=&quot;00E763C9&quot;/&gt;&lt;wsp:rsid wsp:val=&quot;00E76AB5&quot;/&gt;&lt;wsp:rsid wsp:val=&quot;00E76BB2&quot;/&gt;&lt;wsp:rsid wsp:val=&quot;00E76E06&quot;/&gt;&lt;wsp:rsid wsp:val=&quot;00E775A5&quot;/&gt;&lt;wsp:rsid wsp:val=&quot;00E77BBA&quot;/&gt;&lt;wsp:rsid wsp:val=&quot;00E77D22&quot;/&gt;&lt;wsp:rsid wsp:val=&quot;00E77F4D&quot;/&gt;&lt;wsp:rsid wsp:val=&quot;00E8009A&quot;/&gt;&lt;wsp:rsid wsp:val=&quot;00E8096C&quot;/&gt;&lt;wsp:rsid wsp:val=&quot;00E814AB&quot;/&gt;&lt;wsp:rsid wsp:val=&quot;00E81E23&quot;/&gt;&lt;wsp:rsid wsp:val=&quot;00E81EE8&quot;/&gt;&lt;wsp:rsid wsp:val=&quot;00E821AE&quot;/&gt;&lt;wsp:rsid wsp:val=&quot;00E82D72&quot;/&gt;&lt;wsp:rsid wsp:val=&quot;00E832EF&quot;/&gt;&lt;wsp:rsid wsp:val=&quot;00E8379A&quot;/&gt;&lt;wsp:rsid wsp:val=&quot;00E83D45&quot;/&gt;&lt;wsp:rsid wsp:val=&quot;00E842A7&quot;/&gt;&lt;wsp:rsid wsp:val=&quot;00E84ACA&quot;/&gt;&lt;wsp:rsid wsp:val=&quot;00E84CA0&quot;/&gt;&lt;wsp:rsid wsp:val=&quot;00E84CA5&quot;/&gt;&lt;wsp:rsid wsp:val=&quot;00E851D6&quot;/&gt;&lt;wsp:rsid wsp:val=&quot;00E85474&quot;/&gt;&lt;wsp:rsid wsp:val=&quot;00E857D7&quot;/&gt;&lt;wsp:rsid wsp:val=&quot;00E85B41&quot;/&gt;&lt;wsp:rsid wsp:val=&quot;00E85F55&quot;/&gt;&lt;wsp:rsid wsp:val=&quot;00E85FC7&quot;/&gt;&lt;wsp:rsid wsp:val=&quot;00E86086&quot;/&gt;&lt;wsp:rsid wsp:val=&quot;00E86E29&quot;/&gt;&lt;wsp:rsid wsp:val=&quot;00E8751B&quot;/&gt;&lt;wsp:rsid wsp:val=&quot;00E87611&quot;/&gt;&lt;wsp:rsid wsp:val=&quot;00E87F79&quot;/&gt;&lt;wsp:rsid wsp:val=&quot;00E904CE&quot;/&gt;&lt;wsp:rsid wsp:val=&quot;00E90538&quot;/&gt;&lt;wsp:rsid wsp:val=&quot;00E90753&quot;/&gt;&lt;wsp:rsid wsp:val=&quot;00E91093&quot;/&gt;&lt;wsp:rsid wsp:val=&quot;00E910EC&quot;/&gt;&lt;wsp:rsid wsp:val=&quot;00E91341&quot;/&gt;&lt;wsp:rsid wsp:val=&quot;00E91899&quot;/&gt;&lt;wsp:rsid wsp:val=&quot;00E9205E&quot;/&gt;&lt;wsp:rsid wsp:val=&quot;00E921A2&quot;/&gt;&lt;wsp:rsid wsp:val=&quot;00E924FF&quot;/&gt;&lt;wsp:rsid wsp:val=&quot;00E932F1&quot;/&gt;&lt;wsp:rsid wsp:val=&quot;00E939CA&quot;/&gt;&lt;wsp:rsid wsp:val=&quot;00E93C91&quot;/&gt;&lt;wsp:rsid wsp:val=&quot;00E93F4B&quot;/&gt;&lt;wsp:rsid wsp:val=&quot;00E941EC&quot;/&gt;&lt;wsp:rsid wsp:val=&quot;00E94910&quot;/&gt;&lt;wsp:rsid wsp:val=&quot;00E94B53&quot;/&gt;&lt;wsp:rsid wsp:val=&quot;00E94DCE&quot;/&gt;&lt;wsp:rsid wsp:val=&quot;00E94DFA&quot;/&gt;&lt;wsp:rsid wsp:val=&quot;00E94E86&quot;/&gt;&lt;wsp:rsid wsp:val=&quot;00E9518C&quot;/&gt;&lt;wsp:rsid wsp:val=&quot;00E951C0&quot;/&gt;&lt;wsp:rsid wsp:val=&quot;00E952A0&quot;/&gt;&lt;wsp:rsid wsp:val=&quot;00E95571&quot;/&gt;&lt;wsp:rsid wsp:val=&quot;00E955EA&quot;/&gt;&lt;wsp:rsid wsp:val=&quot;00E960BD&quot;/&gt;&lt;wsp:rsid wsp:val=&quot;00E964D1&quot;/&gt;&lt;wsp:rsid wsp:val=&quot;00E96552&quot;/&gt;&lt;wsp:rsid wsp:val=&quot;00E96B7A&quot;/&gt;&lt;wsp:rsid wsp:val=&quot;00E96F4E&quot;/&gt;&lt;wsp:rsid wsp:val=&quot;00E97B42&quot;/&gt;&lt;wsp:rsid wsp:val=&quot;00E97EB7&quot;/&gt;&lt;wsp:rsid wsp:val=&quot;00EA008A&quot;/&gt;&lt;wsp:rsid wsp:val=&quot;00EA0622&quot;/&gt;&lt;wsp:rsid wsp:val=&quot;00EA0A20&quot;/&gt;&lt;wsp:rsid wsp:val=&quot;00EA0A62&quot;/&gt;&lt;wsp:rsid wsp:val=&quot;00EA0A7C&quot;/&gt;&lt;wsp:rsid wsp:val=&quot;00EA0C0E&quot;/&gt;&lt;wsp:rsid wsp:val=&quot;00EA0FB2&quot;/&gt;&lt;wsp:rsid wsp:val=&quot;00EA11C8&quot;/&gt;&lt;wsp:rsid wsp:val=&quot;00EA1508&quot;/&gt;&lt;wsp:rsid wsp:val=&quot;00EA16F8&quot;/&gt;&lt;wsp:rsid wsp:val=&quot;00EA1920&quot;/&gt;&lt;wsp:rsid wsp:val=&quot;00EA1B80&quot;/&gt;&lt;wsp:rsid wsp:val=&quot;00EA1CCE&quot;/&gt;&lt;wsp:rsid wsp:val=&quot;00EA1D6D&quot;/&gt;&lt;wsp:rsid wsp:val=&quot;00EA1DB9&quot;/&gt;&lt;wsp:rsid wsp:val=&quot;00EA2EED&quot;/&gt;&lt;wsp:rsid wsp:val=&quot;00EA3084&quot;/&gt;&lt;wsp:rsid wsp:val=&quot;00EA3C9C&quot;/&gt;&lt;wsp:rsid wsp:val=&quot;00EA3EAD&quot;/&gt;&lt;wsp:rsid wsp:val=&quot;00EA3ECD&quot;/&gt;&lt;wsp:rsid wsp:val=&quot;00EA46CB&quot;/&gt;&lt;wsp:rsid wsp:val=&quot;00EA4758&quot;/&gt;&lt;wsp:rsid wsp:val=&quot;00EA47F2&quot;/&gt;&lt;wsp:rsid wsp:val=&quot;00EA4A67&quot;/&gt;&lt;wsp:rsid wsp:val=&quot;00EA4D1B&quot;/&gt;&lt;wsp:rsid wsp:val=&quot;00EA4F72&quot;/&gt;&lt;wsp:rsid wsp:val=&quot;00EA53C1&quot;/&gt;&lt;wsp:rsid wsp:val=&quot;00EA57CD&quot;/&gt;&lt;wsp:rsid wsp:val=&quot;00EA5AB4&quot;/&gt;&lt;wsp:rsid wsp:val=&quot;00EA5B0F&quot;/&gt;&lt;wsp:rsid wsp:val=&quot;00EA6801&quot;/&gt;&lt;wsp:rsid wsp:val=&quot;00EA682A&quot;/&gt;&lt;wsp:rsid wsp:val=&quot;00EA72CD&quot;/&gt;&lt;wsp:rsid wsp:val=&quot;00EA740E&quot;/&gt;&lt;wsp:rsid wsp:val=&quot;00EA7C1D&quot;/&gt;&lt;wsp:rsid wsp:val=&quot;00EA7E2B&quot;/&gt;&lt;wsp:rsid wsp:val=&quot;00EB0220&quot;/&gt;&lt;wsp:rsid wsp:val=&quot;00EB03FF&quot;/&gt;&lt;wsp:rsid wsp:val=&quot;00EB048D&quot;/&gt;&lt;wsp:rsid wsp:val=&quot;00EB051C&quot;/&gt;&lt;wsp:rsid wsp:val=&quot;00EB13F2&quot;/&gt;&lt;wsp:rsid wsp:val=&quot;00EB1444&quot;/&gt;&lt;wsp:rsid wsp:val=&quot;00EB1A6B&quot;/&gt;&lt;wsp:rsid wsp:val=&quot;00EB2F23&quot;/&gt;&lt;wsp:rsid wsp:val=&quot;00EB3208&quot;/&gt;&lt;wsp:rsid wsp:val=&quot;00EB3D15&quot;/&gt;&lt;wsp:rsid wsp:val=&quot;00EB3D97&quot;/&gt;&lt;wsp:rsid wsp:val=&quot;00EB42BA&quot;/&gt;&lt;wsp:rsid wsp:val=&quot;00EB434F&quot;/&gt;&lt;wsp:rsid wsp:val=&quot;00EB43DE&quot;/&gt;&lt;wsp:rsid wsp:val=&quot;00EB46C9&quot;/&gt;&lt;wsp:rsid wsp:val=&quot;00EB55FB&quot;/&gt;&lt;wsp:rsid wsp:val=&quot;00EB5B27&quot;/&gt;&lt;wsp:rsid wsp:val=&quot;00EB5CD1&quot;/&gt;&lt;wsp:rsid wsp:val=&quot;00EB5EE6&quot;/&gt;&lt;wsp:rsid wsp:val=&quot;00EB6FD3&quot;/&gt;&lt;wsp:rsid wsp:val=&quot;00EB7AC5&quot;/&gt;&lt;wsp:rsid wsp:val=&quot;00EC03A0&quot;/&gt;&lt;wsp:rsid wsp:val=&quot;00EC042C&quot;/&gt;&lt;wsp:rsid wsp:val=&quot;00EC05FB&quot;/&gt;&lt;wsp:rsid wsp:val=&quot;00EC09D2&quot;/&gt;&lt;wsp:rsid wsp:val=&quot;00EC0BB0&quot;/&gt;&lt;wsp:rsid wsp:val=&quot;00EC0D7E&quot;/&gt;&lt;wsp:rsid wsp:val=&quot;00EC0F4A&quot;/&gt;&lt;wsp:rsid wsp:val=&quot;00EC166D&quot;/&gt;&lt;wsp:rsid wsp:val=&quot;00EC1C8B&quot;/&gt;&lt;wsp:rsid wsp:val=&quot;00EC2080&quot;/&gt;&lt;wsp:rsid wsp:val=&quot;00EC209C&quot;/&gt;&lt;wsp:rsid wsp:val=&quot;00EC20D6&quot;/&gt;&lt;wsp:rsid wsp:val=&quot;00EC226E&quot;/&gt;&lt;wsp:rsid wsp:val=&quot;00EC2273&quot;/&gt;&lt;wsp:rsid wsp:val=&quot;00EC24D4&quot;/&gt;&lt;wsp:rsid wsp:val=&quot;00EC254D&quot;/&gt;&lt;wsp:rsid wsp:val=&quot;00EC25D1&quot;/&gt;&lt;wsp:rsid wsp:val=&quot;00EC26F3&quot;/&gt;&lt;wsp:rsid wsp:val=&quot;00EC28C1&quot;/&gt;&lt;wsp:rsid wsp:val=&quot;00EC2B08&quot;/&gt;&lt;wsp:rsid wsp:val=&quot;00EC2B9B&quot;/&gt;&lt;wsp:rsid wsp:val=&quot;00EC2D59&quot;/&gt;&lt;wsp:rsid wsp:val=&quot;00EC2FC8&quot;/&gt;&lt;wsp:rsid wsp:val=&quot;00EC2FF7&quot;/&gt;&lt;wsp:rsid wsp:val=&quot;00EC35E1&quot;/&gt;&lt;wsp:rsid wsp:val=&quot;00EC3CA8&quot;/&gt;&lt;wsp:rsid wsp:val=&quot;00EC3CC4&quot;/&gt;&lt;wsp:rsid wsp:val=&quot;00EC3EC4&quot;/&gt;&lt;wsp:rsid wsp:val=&quot;00EC41DD&quot;/&gt;&lt;wsp:rsid wsp:val=&quot;00EC4332&quot;/&gt;&lt;wsp:rsid wsp:val=&quot;00EC43A5&quot;/&gt;&lt;wsp:rsid wsp:val=&quot;00EC43C6&quot;/&gt;&lt;wsp:rsid wsp:val=&quot;00EC453F&quot;/&gt;&lt;wsp:rsid wsp:val=&quot;00EC4945&quot;/&gt;&lt;wsp:rsid wsp:val=&quot;00EC4BB0&quot;/&gt;&lt;wsp:rsid wsp:val=&quot;00EC4C52&quot;/&gt;&lt;wsp:rsid wsp:val=&quot;00EC4D27&quot;/&gt;&lt;wsp:rsid wsp:val=&quot;00EC4F43&quot;/&gt;&lt;wsp:rsid wsp:val=&quot;00EC5044&quot;/&gt;&lt;wsp:rsid wsp:val=&quot;00EC5293&quot;/&gt;&lt;wsp:rsid wsp:val=&quot;00EC52D4&quot;/&gt;&lt;wsp:rsid wsp:val=&quot;00EC53D6&quot;/&gt;&lt;wsp:rsid wsp:val=&quot;00EC5570&quot;/&gt;&lt;wsp:rsid wsp:val=&quot;00EC5578&quot;/&gt;&lt;wsp:rsid wsp:val=&quot;00EC56B2&quot;/&gt;&lt;wsp:rsid wsp:val=&quot;00EC61BB&quot;/&gt;&lt;wsp:rsid wsp:val=&quot;00EC63AA&quot;/&gt;&lt;wsp:rsid wsp:val=&quot;00EC6858&quot;/&gt;&lt;wsp:rsid wsp:val=&quot;00EC7E56&quot;/&gt;&lt;wsp:rsid wsp:val=&quot;00ED047E&quot;/&gt;&lt;wsp:rsid wsp:val=&quot;00ED0561&quot;/&gt;&lt;wsp:rsid wsp:val=&quot;00ED0BA1&quot;/&gt;&lt;wsp:rsid wsp:val=&quot;00ED0BD8&quot;/&gt;&lt;wsp:rsid wsp:val=&quot;00ED1468&quot;/&gt;&lt;wsp:rsid wsp:val=&quot;00ED166F&quot;/&gt;&lt;wsp:rsid wsp:val=&quot;00ED17B3&quot;/&gt;&lt;wsp:rsid wsp:val=&quot;00ED1C2A&quot;/&gt;&lt;wsp:rsid wsp:val=&quot;00ED21DA&quot;/&gt;&lt;wsp:rsid wsp:val=&quot;00ED2269&quot;/&gt;&lt;wsp:rsid wsp:val=&quot;00ED2590&quot;/&gt;&lt;wsp:rsid wsp:val=&quot;00ED2734&quot;/&gt;&lt;wsp:rsid wsp:val=&quot;00ED2921&quot;/&gt;&lt;wsp:rsid wsp:val=&quot;00ED3167&quot;/&gt;&lt;wsp:rsid wsp:val=&quot;00ED35D4&quot;/&gt;&lt;wsp:rsid wsp:val=&quot;00ED3625&quot;/&gt;&lt;wsp:rsid wsp:val=&quot;00ED3641&quot;/&gt;&lt;wsp:rsid wsp:val=&quot;00ED3669&quot;/&gt;&lt;wsp:rsid wsp:val=&quot;00ED3815&quot;/&gt;&lt;wsp:rsid wsp:val=&quot;00ED3855&quot;/&gt;&lt;wsp:rsid wsp:val=&quot;00ED3DD5&quot;/&gt;&lt;wsp:rsid wsp:val=&quot;00ED4170&quot;/&gt;&lt;wsp:rsid wsp:val=&quot;00ED4A85&quot;/&gt;&lt;wsp:rsid wsp:val=&quot;00ED4C0F&quot;/&gt;&lt;wsp:rsid wsp:val=&quot;00ED4DF4&quot;/&gt;&lt;wsp:rsid wsp:val=&quot;00ED51D0&quot;/&gt;&lt;wsp:rsid wsp:val=&quot;00ED52CD&quot;/&gt;&lt;wsp:rsid wsp:val=&quot;00ED6325&quot;/&gt;&lt;wsp:rsid wsp:val=&quot;00ED6DD9&quot;/&gt;&lt;wsp:rsid wsp:val=&quot;00ED6DFA&quot;/&gt;&lt;wsp:rsid wsp:val=&quot;00ED7202&quot;/&gt;&lt;wsp:rsid wsp:val=&quot;00ED7278&quot;/&gt;&lt;wsp:rsid wsp:val=&quot;00ED77C7&quot;/&gt;&lt;wsp:rsid wsp:val=&quot;00ED79A5&quot;/&gt;&lt;wsp:rsid wsp:val=&quot;00ED79B9&quot;/&gt;&lt;wsp:rsid wsp:val=&quot;00ED7CE8&quot;/&gt;&lt;wsp:rsid wsp:val=&quot;00EE0012&quot;/&gt;&lt;wsp:rsid wsp:val=&quot;00EE0289&quot;/&gt;&lt;wsp:rsid wsp:val=&quot;00EE0771&quot;/&gt;&lt;wsp:rsid wsp:val=&quot;00EE0B99&quot;/&gt;&lt;wsp:rsid wsp:val=&quot;00EE1305&quot;/&gt;&lt;wsp:rsid wsp:val=&quot;00EE1534&quot;/&gt;&lt;wsp:rsid wsp:val=&quot;00EE170F&quot;/&gt;&lt;wsp:rsid wsp:val=&quot;00EE22B5&quot;/&gt;&lt;wsp:rsid wsp:val=&quot;00EE2F95&quot;/&gt;&lt;wsp:rsid wsp:val=&quot;00EE42B5&quot;/&gt;&lt;wsp:rsid wsp:val=&quot;00EE4B84&quot;/&gt;&lt;wsp:rsid wsp:val=&quot;00EE5377&quot;/&gt;&lt;wsp:rsid wsp:val=&quot;00EE54C8&quot;/&gt;&lt;wsp:rsid wsp:val=&quot;00EE560E&quot;/&gt;&lt;wsp:rsid wsp:val=&quot;00EE57F7&quot;/&gt;&lt;wsp:rsid wsp:val=&quot;00EE5ADB&quot;/&gt;&lt;wsp:rsid wsp:val=&quot;00EE5B70&quot;/&gt;&lt;wsp:rsid wsp:val=&quot;00EE5CA9&quot;/&gt;&lt;wsp:rsid wsp:val=&quot;00EE5D08&quot;/&gt;&lt;wsp:rsid wsp:val=&quot;00EE5E7A&quot;/&gt;&lt;wsp:rsid wsp:val=&quot;00EE6247&quot;/&gt;&lt;wsp:rsid wsp:val=&quot;00EE66E8&quot;/&gt;&lt;wsp:rsid wsp:val=&quot;00EE6794&quot;/&gt;&lt;wsp:rsid wsp:val=&quot;00EE6F09&quot;/&gt;&lt;wsp:rsid wsp:val=&quot;00EE703F&quot;/&gt;&lt;wsp:rsid wsp:val=&quot;00EE769A&quot;/&gt;&lt;wsp:rsid wsp:val=&quot;00EE7A07&quot;/&gt;&lt;wsp:rsid wsp:val=&quot;00EE7A8A&quot;/&gt;&lt;wsp:rsid wsp:val=&quot;00EE7B58&quot;/&gt;&lt;wsp:rsid wsp:val=&quot;00EE7C58&quot;/&gt;&lt;wsp:rsid wsp:val=&quot;00EE7D33&quot;/&gt;&lt;wsp:rsid wsp:val=&quot;00EF009B&quot;/&gt;&lt;wsp:rsid wsp:val=&quot;00EF05CB&quot;/&gt;&lt;wsp:rsid wsp:val=&quot;00EF0A27&quot;/&gt;&lt;wsp:rsid wsp:val=&quot;00EF0C5F&quot;/&gt;&lt;wsp:rsid wsp:val=&quot;00EF12B0&quot;/&gt;&lt;wsp:rsid wsp:val=&quot;00EF1519&quot;/&gt;&lt;wsp:rsid wsp:val=&quot;00EF1B12&quot;/&gt;&lt;wsp:rsid wsp:val=&quot;00EF22E0&quot;/&gt;&lt;wsp:rsid wsp:val=&quot;00EF2300&quot;/&gt;&lt;wsp:rsid wsp:val=&quot;00EF234D&quot;/&gt;&lt;wsp:rsid wsp:val=&quot;00EF2557&quot;/&gt;&lt;wsp:rsid wsp:val=&quot;00EF2C3F&quot;/&gt;&lt;wsp:rsid wsp:val=&quot;00EF30CB&quot;/&gt;&lt;wsp:rsid wsp:val=&quot;00EF3151&quot;/&gt;&lt;wsp:rsid wsp:val=&quot;00EF3173&quot;/&gt;&lt;wsp:rsid wsp:val=&quot;00EF331D&quot;/&gt;&lt;wsp:rsid wsp:val=&quot;00EF3355&quot;/&gt;&lt;wsp:rsid wsp:val=&quot;00EF3521&quot;/&gt;&lt;wsp:rsid wsp:val=&quot;00EF3AD9&quot;/&gt;&lt;wsp:rsid wsp:val=&quot;00EF3CC0&quot;/&gt;&lt;wsp:rsid wsp:val=&quot;00EF3D69&quot;/&gt;&lt;wsp:rsid wsp:val=&quot;00EF3E7F&quot;/&gt;&lt;wsp:rsid wsp:val=&quot;00EF3EE3&quot;/&gt;&lt;wsp:rsid wsp:val=&quot;00EF40AE&quot;/&gt;&lt;wsp:rsid wsp:val=&quot;00EF4228&quot;/&gt;&lt;wsp:rsid wsp:val=&quot;00EF4415&quot;/&gt;&lt;wsp:rsid wsp:val=&quot;00EF4AD3&quot;/&gt;&lt;wsp:rsid wsp:val=&quot;00EF4C3A&quot;/&gt;&lt;wsp:rsid wsp:val=&quot;00EF5180&quot;/&gt;&lt;wsp:rsid wsp:val=&quot;00EF5299&quot;/&gt;&lt;wsp:rsid wsp:val=&quot;00EF541D&quot;/&gt;&lt;wsp:rsid wsp:val=&quot;00EF5422&quot;/&gt;&lt;wsp:rsid wsp:val=&quot;00EF55FC&quot;/&gt;&lt;wsp:rsid wsp:val=&quot;00EF5804&quot;/&gt;&lt;wsp:rsid wsp:val=&quot;00EF59F0&quot;/&gt;&lt;wsp:rsid wsp:val=&quot;00EF5ECB&quot;/&gt;&lt;wsp:rsid wsp:val=&quot;00EF60E3&quot;/&gt;&lt;wsp:rsid wsp:val=&quot;00EF65E7&quot;/&gt;&lt;wsp:rsid wsp:val=&quot;00EF673E&quot;/&gt;&lt;wsp:rsid wsp:val=&quot;00EF678C&quot;/&gt;&lt;wsp:rsid wsp:val=&quot;00EF6B9A&quot;/&gt;&lt;wsp:rsid wsp:val=&quot;00EF70AF&quot;/&gt;&lt;wsp:rsid wsp:val=&quot;00EF7734&quot;/&gt;&lt;wsp:rsid wsp:val=&quot;00EF7A85&quot;/&gt;&lt;wsp:rsid wsp:val=&quot;00EF7DA7&quot;/&gt;&lt;wsp:rsid wsp:val=&quot;00EF7F6D&quot;/&gt;&lt;wsp:rsid wsp:val=&quot;00F0035F&quot;/&gt;&lt;wsp:rsid wsp:val=&quot;00F004A9&quot;/&gt;&lt;wsp:rsid wsp:val=&quot;00F0088E&quot;/&gt;&lt;wsp:rsid wsp:val=&quot;00F00996&quot;/&gt;&lt;wsp:rsid wsp:val=&quot;00F00F21&quot;/&gt;&lt;wsp:rsid wsp:val=&quot;00F0144B&quot;/&gt;&lt;wsp:rsid wsp:val=&quot;00F01C83&quot;/&gt;&lt;wsp:rsid wsp:val=&quot;00F01DFC&quot;/&gt;&lt;wsp:rsid wsp:val=&quot;00F01FD5&quot;/&gt;&lt;wsp:rsid wsp:val=&quot;00F02358&quot;/&gt;&lt;wsp:rsid wsp:val=&quot;00F02432&quot;/&gt;&lt;wsp:rsid wsp:val=&quot;00F02483&quot;/&gt;&lt;wsp:rsid wsp:val=&quot;00F025F2&quot;/&gt;&lt;wsp:rsid wsp:val=&quot;00F026D8&quot;/&gt;&lt;wsp:rsid wsp:val=&quot;00F02774&quot;/&gt;&lt;wsp:rsid wsp:val=&quot;00F027A9&quot;/&gt;&lt;wsp:rsid wsp:val=&quot;00F0286E&quot;/&gt;&lt;wsp:rsid wsp:val=&quot;00F02B1B&quot;/&gt;&lt;wsp:rsid wsp:val=&quot;00F02DD4&quot;/&gt;&lt;wsp:rsid wsp:val=&quot;00F02DEE&quot;/&gt;&lt;wsp:rsid wsp:val=&quot;00F0359C&quot;/&gt;&lt;wsp:rsid wsp:val=&quot;00F03916&quot;/&gt;&lt;wsp:rsid wsp:val=&quot;00F03B59&quot;/&gt;&lt;wsp:rsid wsp:val=&quot;00F045D3&quot;/&gt;&lt;wsp:rsid wsp:val=&quot;00F049A0&quot;/&gt;&lt;wsp:rsid wsp:val=&quot;00F04A75&quot;/&gt;&lt;wsp:rsid wsp:val=&quot;00F04BDD&quot;/&gt;&lt;wsp:rsid wsp:val=&quot;00F04E08&quot;/&gt;&lt;wsp:rsid wsp:val=&quot;00F054BD&quot;/&gt;&lt;wsp:rsid wsp:val=&quot;00F057FE&quot;/&gt;&lt;wsp:rsid wsp:val=&quot;00F05D3A&quot;/&gt;&lt;wsp:rsid wsp:val=&quot;00F05E2B&quot;/&gt;&lt;wsp:rsid wsp:val=&quot;00F06E64&quot;/&gt;&lt;wsp:rsid wsp:val=&quot;00F0727B&quot;/&gt;&lt;wsp:rsid wsp:val=&quot;00F074A9&quot;/&gt;&lt;wsp:rsid wsp:val=&quot;00F0755B&quot;/&gt;&lt;wsp:rsid wsp:val=&quot;00F07834&quot;/&gt;&lt;wsp:rsid wsp:val=&quot;00F07C3E&quot;/&gt;&lt;wsp:rsid wsp:val=&quot;00F07F57&quot;/&gt;&lt;wsp:rsid wsp:val=&quot;00F10726&quot;/&gt;&lt;wsp:rsid wsp:val=&quot;00F109A9&quot;/&gt;&lt;wsp:rsid wsp:val=&quot;00F11004&quot;/&gt;&lt;wsp:rsid wsp:val=&quot;00F1123F&quot;/&gt;&lt;wsp:rsid wsp:val=&quot;00F11260&quot;/&gt;&lt;wsp:rsid wsp:val=&quot;00F1126B&quot;/&gt;&lt;wsp:rsid wsp:val=&quot;00F11280&quot;/&gt;&lt;wsp:rsid wsp:val=&quot;00F11782&quot;/&gt;&lt;wsp:rsid wsp:val=&quot;00F11AA8&quot;/&gt;&lt;wsp:rsid wsp:val=&quot;00F11F8D&quot;/&gt;&lt;wsp:rsid wsp:val=&quot;00F12000&quot;/&gt;&lt;wsp:rsid wsp:val=&quot;00F1226F&quot;/&gt;&lt;wsp:rsid wsp:val=&quot;00F1245B&quot;/&gt;&lt;wsp:rsid wsp:val=&quot;00F12540&quot;/&gt;&lt;wsp:rsid wsp:val=&quot;00F1290E&quot;/&gt;&lt;wsp:rsid wsp:val=&quot;00F12BF6&quot;/&gt;&lt;wsp:rsid wsp:val=&quot;00F12F98&quot;/&gt;&lt;wsp:rsid wsp:val=&quot;00F13075&quot;/&gt;&lt;wsp:rsid wsp:val=&quot;00F132A2&quot;/&gt;&lt;wsp:rsid wsp:val=&quot;00F134AF&quot;/&gt;&lt;wsp:rsid wsp:val=&quot;00F13608&quot;/&gt;&lt;wsp:rsid wsp:val=&quot;00F13713&quot;/&gt;&lt;wsp:rsid wsp:val=&quot;00F13AB4&quot;/&gt;&lt;wsp:rsid wsp:val=&quot;00F13C47&quot;/&gt;&lt;wsp:rsid wsp:val=&quot;00F13DB9&quot;/&gt;&lt;wsp:rsid wsp:val=&quot;00F1491B&quot;/&gt;&lt;wsp:rsid wsp:val=&quot;00F14BE6&quot;/&gt;&lt;wsp:rsid wsp:val=&quot;00F153D9&quot;/&gt;&lt;wsp:rsid wsp:val=&quot;00F1544B&quot;/&gt;&lt;wsp:rsid wsp:val=&quot;00F15C05&quot;/&gt;&lt;wsp:rsid wsp:val=&quot;00F15C95&quot;/&gt;&lt;wsp:rsid wsp:val=&quot;00F15D94&quot;/&gt;&lt;wsp:rsid wsp:val=&quot;00F162B0&quot;/&gt;&lt;wsp:rsid wsp:val=&quot;00F16509&quot;/&gt;&lt;wsp:rsid wsp:val=&quot;00F165E8&quot;/&gt;&lt;wsp:rsid wsp:val=&quot;00F16982&quot;/&gt;&lt;wsp:rsid wsp:val=&quot;00F16BBE&quot;/&gt;&lt;wsp:rsid wsp:val=&quot;00F16BE5&quot;/&gt;&lt;wsp:rsid wsp:val=&quot;00F16E3B&quot;/&gt;&lt;wsp:rsid wsp:val=&quot;00F16EBC&quot;/&gt;&lt;wsp:rsid wsp:val=&quot;00F171E9&quot;/&gt;&lt;wsp:rsid wsp:val=&quot;00F17511&quot;/&gt;&lt;wsp:rsid wsp:val=&quot;00F17CED&quot;/&gt;&lt;wsp:rsid wsp:val=&quot;00F20399&quot;/&gt;&lt;wsp:rsid wsp:val=&quot;00F20586&quot;/&gt;&lt;wsp:rsid wsp:val=&quot;00F2069C&quot;/&gt;&lt;wsp:rsid wsp:val=&quot;00F20991&quot;/&gt;&lt;wsp:rsid wsp:val=&quot;00F209DC&quot;/&gt;&lt;wsp:rsid wsp:val=&quot;00F20B5D&quot;/&gt;&lt;wsp:rsid wsp:val=&quot;00F2119F&quot;/&gt;&lt;wsp:rsid wsp:val=&quot;00F214C8&quot;/&gt;&lt;wsp:rsid wsp:val=&quot;00F217BB&quot;/&gt;&lt;wsp:rsid wsp:val=&quot;00F21BB3&quot;/&gt;&lt;wsp:rsid wsp:val=&quot;00F220BD&quot;/&gt;&lt;wsp:rsid wsp:val=&quot;00F22245&quot;/&gt;&lt;wsp:rsid wsp:val=&quot;00F22432&quot;/&gt;&lt;wsp:rsid wsp:val=&quot;00F22D42&quot;/&gt;&lt;wsp:rsid wsp:val=&quot;00F22D63&quot;/&gt;&lt;wsp:rsid wsp:val=&quot;00F23926&quot;/&gt;&lt;wsp:rsid wsp:val=&quot;00F23988&quot;/&gt;&lt;wsp:rsid wsp:val=&quot;00F239DB&quot;/&gt;&lt;wsp:rsid wsp:val=&quot;00F248B6&quot;/&gt;&lt;wsp:rsid wsp:val=&quot;00F25BA1&quot;/&gt;&lt;wsp:rsid wsp:val=&quot;00F25F4F&quot;/&gt;&lt;wsp:rsid wsp:val=&quot;00F25F66&quot;/&gt;&lt;wsp:rsid wsp:val=&quot;00F26186&quot;/&gt;&lt;wsp:rsid wsp:val=&quot;00F26946&quot;/&gt;&lt;wsp:rsid wsp:val=&quot;00F2697D&quot;/&gt;&lt;wsp:rsid wsp:val=&quot;00F26E0B&quot;/&gt;&lt;wsp:rsid wsp:val=&quot;00F26FC9&quot;/&gt;&lt;wsp:rsid wsp:val=&quot;00F270EB&quot;/&gt;&lt;wsp:rsid wsp:val=&quot;00F276A7&quot;/&gt;&lt;wsp:rsid wsp:val=&quot;00F27FFC&quot;/&gt;&lt;wsp:rsid wsp:val=&quot;00F306BB&quot;/&gt;&lt;wsp:rsid wsp:val=&quot;00F30864&quot;/&gt;&lt;wsp:rsid wsp:val=&quot;00F30DB2&quot;/&gt;&lt;wsp:rsid wsp:val=&quot;00F30E0A&quot;/&gt;&lt;wsp:rsid wsp:val=&quot;00F30E1F&quot;/&gt;&lt;wsp:rsid wsp:val=&quot;00F30E53&quot;/&gt;&lt;wsp:rsid wsp:val=&quot;00F30ECA&quot;/&gt;&lt;wsp:rsid wsp:val=&quot;00F30F2F&quot;/&gt;&lt;wsp:rsid wsp:val=&quot;00F3114F&quot;/&gt;&lt;wsp:rsid wsp:val=&quot;00F31374&quot;/&gt;&lt;wsp:rsid wsp:val=&quot;00F31531&quot;/&gt;&lt;wsp:rsid wsp:val=&quot;00F315FD&quot;/&gt;&lt;wsp:rsid wsp:val=&quot;00F32CC9&quot;/&gt;&lt;wsp:rsid wsp:val=&quot;00F32D06&quot;/&gt;&lt;wsp:rsid wsp:val=&quot;00F32F61&quot;/&gt;&lt;wsp:rsid wsp:val=&quot;00F3306C&quot;/&gt;&lt;wsp:rsid wsp:val=&quot;00F330A7&quot;/&gt;&lt;wsp:rsid wsp:val=&quot;00F332C8&quot;/&gt;&lt;wsp:rsid wsp:val=&quot;00F334E2&quot;/&gt;&lt;wsp:rsid wsp:val=&quot;00F33D91&quot;/&gt;&lt;wsp:rsid wsp:val=&quot;00F3452C&quot;/&gt;&lt;wsp:rsid wsp:val=&quot;00F34EFB&quot;/&gt;&lt;wsp:rsid wsp:val=&quot;00F34F7B&quot;/&gt;&lt;wsp:rsid wsp:val=&quot;00F3510B&quot;/&gt;&lt;wsp:rsid wsp:val=&quot;00F35798&quot;/&gt;&lt;wsp:rsid wsp:val=&quot;00F36084&quot;/&gt;&lt;wsp:rsid wsp:val=&quot;00F36644&quot;/&gt;&lt;wsp:rsid wsp:val=&quot;00F3720A&quot;/&gt;&lt;wsp:rsid wsp:val=&quot;00F3737B&quot;/&gt;&lt;wsp:rsid wsp:val=&quot;00F3746E&quot;/&gt;&lt;wsp:rsid wsp:val=&quot;00F378D0&quot;/&gt;&lt;wsp:rsid wsp:val=&quot;00F4014F&quot;/&gt;&lt;wsp:rsid wsp:val=&quot;00F40169&quot;/&gt;&lt;wsp:rsid wsp:val=&quot;00F40E08&quot;/&gt;&lt;wsp:rsid wsp:val=&quot;00F40E6C&quot;/&gt;&lt;wsp:rsid wsp:val=&quot;00F41130&quot;/&gt;&lt;wsp:rsid wsp:val=&quot;00F41547&quot;/&gt;&lt;wsp:rsid wsp:val=&quot;00F41755&quot;/&gt;&lt;wsp:rsid wsp:val=&quot;00F41C49&quot;/&gt;&lt;wsp:rsid wsp:val=&quot;00F42189&quot;/&gt;&lt;wsp:rsid wsp:val=&quot;00F4257D&quot;/&gt;&lt;wsp:rsid wsp:val=&quot;00F425C6&quot;/&gt;&lt;wsp:rsid wsp:val=&quot;00F42938&quot;/&gt;&lt;wsp:rsid wsp:val=&quot;00F429A0&quot;/&gt;&lt;wsp:rsid wsp:val=&quot;00F42A33&quot;/&gt;&lt;wsp:rsid wsp:val=&quot;00F42D66&quot;/&gt;&lt;wsp:rsid wsp:val=&quot;00F4309F&quot;/&gt;&lt;wsp:rsid wsp:val=&quot;00F43281&quot;/&gt;&lt;wsp:rsid wsp:val=&quot;00F4349A&quot;/&gt;&lt;wsp:rsid wsp:val=&quot;00F435B7&quot;/&gt;&lt;wsp:rsid wsp:val=&quot;00F43749&quot;/&gt;&lt;wsp:rsid wsp:val=&quot;00F43B29&quot;/&gt;&lt;wsp:rsid wsp:val=&quot;00F44116&quot;/&gt;&lt;wsp:rsid wsp:val=&quot;00F4420F&quot;/&gt;&lt;wsp:rsid wsp:val=&quot;00F44464&quot;/&gt;&lt;wsp:rsid wsp:val=&quot;00F45A2D&quot;/&gt;&lt;wsp:rsid wsp:val=&quot;00F45B5C&quot;/&gt;&lt;wsp:rsid wsp:val=&quot;00F45E2F&quot;/&gt;&lt;wsp:rsid wsp:val=&quot;00F4666B&quot;/&gt;&lt;wsp:rsid wsp:val=&quot;00F468B3&quot;/&gt;&lt;wsp:rsid wsp:val=&quot;00F46947&quot;/&gt;&lt;wsp:rsid wsp:val=&quot;00F46BBC&quot;/&gt;&lt;wsp:rsid wsp:val=&quot;00F47164&quot;/&gt;&lt;wsp:rsid wsp:val=&quot;00F47605&quot;/&gt;&lt;wsp:rsid wsp:val=&quot;00F4791C&quot;/&gt;&lt;wsp:rsid wsp:val=&quot;00F50B49&quot;/&gt;&lt;wsp:rsid wsp:val=&quot;00F50BFE&quot;/&gt;&lt;wsp:rsid wsp:val=&quot;00F50CB7&quot;/&gt;&lt;wsp:rsid wsp:val=&quot;00F50D52&quot;/&gt;&lt;wsp:rsid wsp:val=&quot;00F50E3D&quot;/&gt;&lt;wsp:rsid wsp:val=&quot;00F510DF&quot;/&gt;&lt;wsp:rsid wsp:val=&quot;00F5130C&quot;/&gt;&lt;wsp:rsid wsp:val=&quot;00F515BE&quot;/&gt;&lt;wsp:rsid wsp:val=&quot;00F51774&quot;/&gt;&lt;wsp:rsid wsp:val=&quot;00F51AE6&quot;/&gt;&lt;wsp:rsid wsp:val=&quot;00F51CB1&quot;/&gt;&lt;wsp:rsid wsp:val=&quot;00F51E79&quot;/&gt;&lt;wsp:rsid wsp:val=&quot;00F51FFA&quot;/&gt;&lt;wsp:rsid wsp:val=&quot;00F52361&quot;/&gt;&lt;wsp:rsid wsp:val=&quot;00F524A7&quot;/&gt;&lt;wsp:rsid wsp:val=&quot;00F533D1&quot;/&gt;&lt;wsp:rsid wsp:val=&quot;00F534D4&quot;/&gt;&lt;wsp:rsid wsp:val=&quot;00F53523&quot;/&gt;&lt;wsp:rsid wsp:val=&quot;00F535F4&quot;/&gt;&lt;wsp:rsid wsp:val=&quot;00F53D3A&quot;/&gt;&lt;wsp:rsid wsp:val=&quot;00F53DD9&quot;/&gt;&lt;wsp:rsid wsp:val=&quot;00F54446&quot;/&gt;&lt;wsp:rsid wsp:val=&quot;00F5463A&quot;/&gt;&lt;wsp:rsid wsp:val=&quot;00F549C9&quot;/&gt;&lt;wsp:rsid wsp:val=&quot;00F54D7E&quot;/&gt;&lt;wsp:rsid wsp:val=&quot;00F54EF2&quot;/&gt;&lt;wsp:rsid wsp:val=&quot;00F553A0&quot;/&gt;&lt;wsp:rsid wsp:val=&quot;00F553F3&quot;/&gt;&lt;wsp:rsid wsp:val=&quot;00F55717&quot;/&gt;&lt;wsp:rsid wsp:val=&quot;00F557A0&quot;/&gt;&lt;wsp:rsid wsp:val=&quot;00F55827&quot;/&gt;&lt;wsp:rsid wsp:val=&quot;00F559F1&quot;/&gt;&lt;wsp:rsid wsp:val=&quot;00F55C4B&quot;/&gt;&lt;wsp:rsid wsp:val=&quot;00F56030&quot;/&gt;&lt;wsp:rsid wsp:val=&quot;00F56198&quot;/&gt;&lt;wsp:rsid wsp:val=&quot;00F56346&quot;/&gt;&lt;wsp:rsid wsp:val=&quot;00F56A8D&quot;/&gt;&lt;wsp:rsid wsp:val=&quot;00F56D1D&quot;/&gt;&lt;wsp:rsid wsp:val=&quot;00F56D8D&quot;/&gt;&lt;wsp:rsid wsp:val=&quot;00F56F57&quot;/&gt;&lt;wsp:rsid wsp:val=&quot;00F57A19&quot;/&gt;&lt;wsp:rsid wsp:val=&quot;00F57AD3&quot;/&gt;&lt;wsp:rsid wsp:val=&quot;00F57DBF&quot;/&gt;&lt;wsp:rsid wsp:val=&quot;00F60254&quot;/&gt;&lt;wsp:rsid wsp:val=&quot;00F60780&quot;/&gt;&lt;wsp:rsid wsp:val=&quot;00F610E2&quot;/&gt;&lt;wsp:rsid wsp:val=&quot;00F611C7&quot;/&gt;&lt;wsp:rsid wsp:val=&quot;00F61226&quot;/&gt;&lt;wsp:rsid wsp:val=&quot;00F614D7&quot;/&gt;&lt;wsp:rsid wsp:val=&quot;00F61649&quot;/&gt;&lt;wsp:rsid wsp:val=&quot;00F6170F&quot;/&gt;&lt;wsp:rsid wsp:val=&quot;00F61B5A&quot;/&gt;&lt;wsp:rsid wsp:val=&quot;00F61EF1&quot;/&gt;&lt;wsp:rsid wsp:val=&quot;00F6263C&quot;/&gt;&lt;wsp:rsid wsp:val=&quot;00F62D8E&quot;/&gt;&lt;wsp:rsid wsp:val=&quot;00F6324B&quot;/&gt;&lt;wsp:rsid wsp:val=&quot;00F632CF&quot;/&gt;&lt;wsp:rsid wsp:val=&quot;00F633DF&quot;/&gt;&lt;wsp:rsid wsp:val=&quot;00F635EB&quot;/&gt;&lt;wsp:rsid wsp:val=&quot;00F636D8&quot;/&gt;&lt;wsp:rsid wsp:val=&quot;00F63B09&quot;/&gt;&lt;wsp:rsid wsp:val=&quot;00F63CD5&quot;/&gt;&lt;wsp:rsid wsp:val=&quot;00F63D5A&quot;/&gt;&lt;wsp:rsid wsp:val=&quot;00F63D6F&quot;/&gt;&lt;wsp:rsid wsp:val=&quot;00F63EE9&quot;/&gt;&lt;wsp:rsid wsp:val=&quot;00F64154&quot;/&gt;&lt;wsp:rsid wsp:val=&quot;00F64265&quot;/&gt;&lt;wsp:rsid wsp:val=&quot;00F64337&quot;/&gt;&lt;wsp:rsid wsp:val=&quot;00F64483&quot;/&gt;&lt;wsp:rsid wsp:val=&quot;00F6553F&quot;/&gt;&lt;wsp:rsid wsp:val=&quot;00F6560A&quot;/&gt;&lt;wsp:rsid wsp:val=&quot;00F65768&quot;/&gt;&lt;wsp:rsid wsp:val=&quot;00F65908&quot;/&gt;&lt;wsp:rsid wsp:val=&quot;00F65A7E&quot;/&gt;&lt;wsp:rsid wsp:val=&quot;00F66318&quot;/&gt;&lt;wsp:rsid wsp:val=&quot;00F66610&quot;/&gt;&lt;wsp:rsid wsp:val=&quot;00F66707&quot;/&gt;&lt;wsp:rsid wsp:val=&quot;00F66708&quot;/&gt;&lt;wsp:rsid wsp:val=&quot;00F66F00&quot;/&gt;&lt;wsp:rsid wsp:val=&quot;00F66FAB&quot;/&gt;&lt;wsp:rsid wsp:val=&quot;00F67415&quot;/&gt;&lt;wsp:rsid wsp:val=&quot;00F6753F&quot;/&gt;&lt;wsp:rsid wsp:val=&quot;00F67AC2&quot;/&gt;&lt;wsp:rsid wsp:val=&quot;00F67CB4&quot;/&gt;&lt;wsp:rsid wsp:val=&quot;00F67CEB&quot;/&gt;&lt;wsp:rsid wsp:val=&quot;00F67D22&quot;/&gt;&lt;wsp:rsid wsp:val=&quot;00F67FFB&quot;/&gt;&lt;wsp:rsid wsp:val=&quot;00F70430&quot;/&gt;&lt;wsp:rsid wsp:val=&quot;00F706B8&quot;/&gt;&lt;wsp:rsid wsp:val=&quot;00F7081B&quot;/&gt;&lt;wsp:rsid wsp:val=&quot;00F70F04&quot;/&gt;&lt;wsp:rsid wsp:val=&quot;00F710CE&quot;/&gt;&lt;wsp:rsid wsp:val=&quot;00F71249&quot;/&gt;&lt;wsp:rsid wsp:val=&quot;00F715F9&quot;/&gt;&lt;wsp:rsid wsp:val=&quot;00F71C31&quot;/&gt;&lt;wsp:rsid wsp:val=&quot;00F71D0F&quot;/&gt;&lt;wsp:rsid wsp:val=&quot;00F7207F&quot;/&gt;&lt;wsp:rsid wsp:val=&quot;00F72142&quot;/&gt;&lt;wsp:rsid wsp:val=&quot;00F72156&quot;/&gt;&lt;wsp:rsid wsp:val=&quot;00F72FB8&quot;/&gt;&lt;wsp:rsid wsp:val=&quot;00F73302&quot;/&gt;&lt;wsp:rsid wsp:val=&quot;00F7366E&quot;/&gt;&lt;wsp:rsid wsp:val=&quot;00F738C0&quot;/&gt;&lt;wsp:rsid wsp:val=&quot;00F74BDB&quot;/&gt;&lt;wsp:rsid wsp:val=&quot;00F74DA1&quot;/&gt;&lt;wsp:rsid wsp:val=&quot;00F74FBC&quot;/&gt;&lt;wsp:rsid wsp:val=&quot;00F75343&quot;/&gt;&lt;wsp:rsid wsp:val=&quot;00F75733&quot;/&gt;&lt;wsp:rsid wsp:val=&quot;00F75983&quot;/&gt;&lt;wsp:rsid wsp:val=&quot;00F75995&quot;/&gt;&lt;wsp:rsid wsp:val=&quot;00F75B2C&quot;/&gt;&lt;wsp:rsid wsp:val=&quot;00F75E73&quot;/&gt;&lt;wsp:rsid wsp:val=&quot;00F75F1C&quot;/&gt;&lt;wsp:rsid wsp:val=&quot;00F76507&quot;/&gt;&lt;wsp:rsid wsp:val=&quot;00F76DE0&quot;/&gt;&lt;wsp:rsid wsp:val=&quot;00F772CB&quot;/&gt;&lt;wsp:rsid wsp:val=&quot;00F77526&quot;/&gt;&lt;wsp:rsid wsp:val=&quot;00F77867&quot;/&gt;&lt;wsp:rsid wsp:val=&quot;00F77A01&quot;/&gt;&lt;wsp:rsid wsp:val=&quot;00F77D4D&quot;/&gt;&lt;wsp:rsid wsp:val=&quot;00F80059&quot;/&gt;&lt;wsp:rsid wsp:val=&quot;00F800B6&quot;/&gt;&lt;wsp:rsid wsp:val=&quot;00F8013D&quot;/&gt;&lt;wsp:rsid wsp:val=&quot;00F8064C&quot;/&gt;&lt;wsp:rsid wsp:val=&quot;00F8097E&quot;/&gt;&lt;wsp:rsid wsp:val=&quot;00F80FD7&quot;/&gt;&lt;wsp:rsid wsp:val=&quot;00F815EB&quot;/&gt;&lt;wsp:rsid wsp:val=&quot;00F81FFE&quot;/&gt;&lt;wsp:rsid wsp:val=&quot;00F8227B&quot;/&gt;&lt;wsp:rsid wsp:val=&quot;00F82E2E&quot;/&gt;&lt;wsp:rsid wsp:val=&quot;00F830B3&quot;/&gt;&lt;wsp:rsid wsp:val=&quot;00F831CE&quot;/&gt;&lt;wsp:rsid wsp:val=&quot;00F83617&quot;/&gt;&lt;wsp:rsid wsp:val=&quot;00F83C98&quot;/&gt;&lt;wsp:rsid wsp:val=&quot;00F84063&quot;/&gt;&lt;wsp:rsid wsp:val=&quot;00F84147&quot;/&gt;&lt;wsp:rsid wsp:val=&quot;00F843A5&quot;/&gt;&lt;wsp:rsid wsp:val=&quot;00F84777&quot;/&gt;&lt;wsp:rsid wsp:val=&quot;00F84B77&quot;/&gt;&lt;wsp:rsid wsp:val=&quot;00F8559F&quot;/&gt;&lt;wsp:rsid wsp:val=&quot;00F85738&quot;/&gt;&lt;wsp:rsid wsp:val=&quot;00F859C5&quot;/&gt;&lt;wsp:rsid wsp:val=&quot;00F85D84&quot;/&gt;&lt;wsp:rsid wsp:val=&quot;00F85E7A&quot;/&gt;&lt;wsp:rsid wsp:val=&quot;00F8609A&quot;/&gt;&lt;wsp:rsid wsp:val=&quot;00F86338&quot;/&gt;&lt;wsp:rsid wsp:val=&quot;00F8693C&quot;/&gt;&lt;wsp:rsid wsp:val=&quot;00F86FFC&quot;/&gt;&lt;wsp:rsid wsp:val=&quot;00F871F6&quot;/&gt;&lt;wsp:rsid wsp:val=&quot;00F87838&quot;/&gt;&lt;wsp:rsid wsp:val=&quot;00F87867&quot;/&gt;&lt;wsp:rsid wsp:val=&quot;00F8786C&quot;/&gt;&lt;wsp:rsid wsp:val=&quot;00F900C4&quot;/&gt;&lt;wsp:rsid wsp:val=&quot;00F90109&quot;/&gt;&lt;wsp:rsid wsp:val=&quot;00F90192&quot;/&gt;&lt;wsp:rsid wsp:val=&quot;00F90A4C&quot;/&gt;&lt;wsp:rsid wsp:val=&quot;00F90A62&quot;/&gt;&lt;wsp:rsid wsp:val=&quot;00F90DE3&quot;/&gt;&lt;wsp:rsid wsp:val=&quot;00F91036&quot;/&gt;&lt;wsp:rsid wsp:val=&quot;00F915B0&quot;/&gt;&lt;wsp:rsid wsp:val=&quot;00F91F1B&quot;/&gt;&lt;wsp:rsid wsp:val=&quot;00F92253&quot;/&gt;&lt;wsp:rsid wsp:val=&quot;00F92447&quot;/&gt;&lt;wsp:rsid wsp:val=&quot;00F92CC4&quot;/&gt;&lt;wsp:rsid wsp:val=&quot;00F92DAA&quot;/&gt;&lt;wsp:rsid wsp:val=&quot;00F92EE6&quot;/&gt;&lt;wsp:rsid wsp:val=&quot;00F92FDD&quot;/&gt;&lt;wsp:rsid wsp:val=&quot;00F930C4&quot;/&gt;&lt;wsp:rsid wsp:val=&quot;00F932FB&quot;/&gt;&lt;wsp:rsid wsp:val=&quot;00F934B8&quot;/&gt;&lt;wsp:rsid wsp:val=&quot;00F9371D&quot;/&gt;&lt;wsp:rsid wsp:val=&quot;00F938A4&quot;/&gt;&lt;wsp:rsid wsp:val=&quot;00F93A2B&quot;/&gt;&lt;wsp:rsid wsp:val=&quot;00F93A8D&quot;/&gt;&lt;wsp:rsid wsp:val=&quot;00F93B83&quot;/&gt;&lt;wsp:rsid wsp:val=&quot;00F93D94&quot;/&gt;&lt;wsp:rsid wsp:val=&quot;00F93E13&quot;/&gt;&lt;wsp:rsid wsp:val=&quot;00F94910&quot;/&gt;&lt;wsp:rsid wsp:val=&quot;00F94927&quot;/&gt;&lt;wsp:rsid wsp:val=&quot;00F94B0C&quot;/&gt;&lt;wsp:rsid wsp:val=&quot;00F94C0B&quot;/&gt;&lt;wsp:rsid wsp:val=&quot;00F95AEB&quot;/&gt;&lt;wsp:rsid wsp:val=&quot;00F95EAF&quot;/&gt;&lt;wsp:rsid wsp:val=&quot;00F95EE3&quot;/&gt;&lt;wsp:rsid wsp:val=&quot;00F96327&quot;/&gt;&lt;wsp:rsid wsp:val=&quot;00F96387&quot;/&gt;&lt;wsp:rsid wsp:val=&quot;00F96ABC&quot;/&gt;&lt;wsp:rsid wsp:val=&quot;00F96C7A&quot;/&gt;&lt;wsp:rsid wsp:val=&quot;00F97541&quot;/&gt;&lt;wsp:rsid wsp:val=&quot;00F9773A&quot;/&gt;&lt;wsp:rsid wsp:val=&quot;00F97F36&quot;/&gt;&lt;wsp:rsid wsp:val=&quot;00FA00A0&quot;/&gt;&lt;wsp:rsid wsp:val=&quot;00FA01C0&quot;/&gt;&lt;wsp:rsid wsp:val=&quot;00FA033C&quot;/&gt;&lt;wsp:rsid wsp:val=&quot;00FA04BE&quot;/&gt;&lt;wsp:rsid wsp:val=&quot;00FA05F4&quot;/&gt;&lt;wsp:rsid wsp:val=&quot;00FA0C1B&quot;/&gt;&lt;wsp:rsid wsp:val=&quot;00FA1B8C&quot;/&gt;&lt;wsp:rsid wsp:val=&quot;00FA1BC3&quot;/&gt;&lt;wsp:rsid wsp:val=&quot;00FA1DE7&quot;/&gt;&lt;wsp:rsid wsp:val=&quot;00FA2244&quot;/&gt;&lt;wsp:rsid wsp:val=&quot;00FA2540&quot;/&gt;&lt;wsp:rsid wsp:val=&quot;00FA26BE&quot;/&gt;&lt;wsp:rsid wsp:val=&quot;00FA2818&quot;/&gt;&lt;wsp:rsid wsp:val=&quot;00FA2A08&quot;/&gt;&lt;wsp:rsid wsp:val=&quot;00FA2A8E&quot;/&gt;&lt;wsp:rsid wsp:val=&quot;00FA30F6&quot;/&gt;&lt;wsp:rsid wsp:val=&quot;00FA32BD&quot;/&gt;&lt;wsp:rsid wsp:val=&quot;00FA34AC&quot;/&gt;&lt;wsp:rsid wsp:val=&quot;00FA3BCD&quot;/&gt;&lt;wsp:rsid wsp:val=&quot;00FA3F2B&quot;/&gt;&lt;wsp:rsid wsp:val=&quot;00FA41C1&quot;/&gt;&lt;wsp:rsid wsp:val=&quot;00FA4765&quot;/&gt;&lt;wsp:rsid wsp:val=&quot;00FA49C8&quot;/&gt;&lt;wsp:rsid wsp:val=&quot;00FA4FBA&quot;/&gt;&lt;wsp:rsid wsp:val=&quot;00FA504F&quot;/&gt;&lt;wsp:rsid wsp:val=&quot;00FA5CE8&quot;/&gt;&lt;wsp:rsid wsp:val=&quot;00FA60DF&quot;/&gt;&lt;wsp:rsid wsp:val=&quot;00FA67C6&quot;/&gt;&lt;wsp:rsid wsp:val=&quot;00FA6C93&quot;/&gt;&lt;wsp:rsid wsp:val=&quot;00FA764F&quot;/&gt;&lt;wsp:rsid wsp:val=&quot;00FA7B49&quot;/&gt;&lt;wsp:rsid wsp:val=&quot;00FA7FD0&quot;/&gt;&lt;wsp:rsid wsp:val=&quot;00FB00AE&quot;/&gt;&lt;wsp:rsid wsp:val=&quot;00FB045A&quot;/&gt;&lt;wsp:rsid wsp:val=&quot;00FB05A8&quot;/&gt;&lt;wsp:rsid wsp:val=&quot;00FB06EE&quot;/&gt;&lt;wsp:rsid wsp:val=&quot;00FB0D00&quot;/&gt;&lt;wsp:rsid wsp:val=&quot;00FB0F95&quot;/&gt;&lt;wsp:rsid wsp:val=&quot;00FB12DD&quot;/&gt;&lt;wsp:rsid wsp:val=&quot;00FB1C96&quot;/&gt;&lt;wsp:rsid wsp:val=&quot;00FB2222&quot;/&gt;&lt;wsp:rsid wsp:val=&quot;00FB230F&quot;/&gt;&lt;wsp:rsid wsp:val=&quot;00FB26CE&quot;/&gt;&lt;wsp:rsid wsp:val=&quot;00FB2C27&quot;/&gt;&lt;wsp:rsid wsp:val=&quot;00FB3464&quot;/&gt;&lt;wsp:rsid wsp:val=&quot;00FB36A0&quot;/&gt;&lt;wsp:rsid wsp:val=&quot;00FB378F&quot;/&gt;&lt;wsp:rsid wsp:val=&quot;00FB3CA8&quot;/&gt;&lt;wsp:rsid wsp:val=&quot;00FB3D65&quot;/&gt;&lt;wsp:rsid wsp:val=&quot;00FB4896&quot;/&gt;&lt;wsp:rsid wsp:val=&quot;00FB49C9&quot;/&gt;&lt;wsp:rsid wsp:val=&quot;00FB5479&quot;/&gt;&lt;wsp:rsid wsp:val=&quot;00FB5BE0&quot;/&gt;&lt;wsp:rsid wsp:val=&quot;00FB66DF&quot;/&gt;&lt;wsp:rsid wsp:val=&quot;00FB67FB&quot;/&gt;&lt;wsp:rsid wsp:val=&quot;00FB68B4&quot;/&gt;&lt;wsp:rsid wsp:val=&quot;00FB6D37&quot;/&gt;&lt;wsp:rsid wsp:val=&quot;00FB6FE3&quot;/&gt;&lt;wsp:rsid wsp:val=&quot;00FB7158&quot;/&gt;&lt;wsp:rsid wsp:val=&quot;00FB726C&quot;/&gt;&lt;wsp:rsid wsp:val=&quot;00FB75F6&quot;/&gt;&lt;wsp:rsid wsp:val=&quot;00FC0929&quot;/&gt;&lt;wsp:rsid wsp:val=&quot;00FC0B69&quot;/&gt;&lt;wsp:rsid wsp:val=&quot;00FC0DD7&quot;/&gt;&lt;wsp:rsid wsp:val=&quot;00FC15A1&quot;/&gt;&lt;wsp:rsid wsp:val=&quot;00FC15B6&quot;/&gt;&lt;wsp:rsid wsp:val=&quot;00FC1E7C&quot;/&gt;&lt;wsp:rsid wsp:val=&quot;00FC211A&quot;/&gt;&lt;wsp:rsid wsp:val=&quot;00FC24EE&quot;/&gt;&lt;wsp:rsid wsp:val=&quot;00FC2522&quot;/&gt;&lt;wsp:rsid wsp:val=&quot;00FC2C55&quot;/&gt;&lt;wsp:rsid wsp:val=&quot;00FC312E&quot;/&gt;&lt;wsp:rsid wsp:val=&quot;00FC346A&quot;/&gt;&lt;wsp:rsid wsp:val=&quot;00FC3BE2&quot;/&gt;&lt;wsp:rsid wsp:val=&quot;00FC3F56&quot;/&gt;&lt;wsp:rsid wsp:val=&quot;00FC42D9&quot;/&gt;&lt;wsp:rsid wsp:val=&quot;00FC49F9&quot;/&gt;&lt;wsp:rsid wsp:val=&quot;00FC4F0F&quot;/&gt;&lt;wsp:rsid wsp:val=&quot;00FC4F67&quot;/&gt;&lt;wsp:rsid wsp:val=&quot;00FC509E&quot;/&gt;&lt;wsp:rsid wsp:val=&quot;00FC525E&quot;/&gt;&lt;wsp:rsid wsp:val=&quot;00FC55B4&quot;/&gt;&lt;wsp:rsid wsp:val=&quot;00FC5ADA&quot;/&gt;&lt;wsp:rsid wsp:val=&quot;00FC60AF&quot;/&gt;&lt;wsp:rsid wsp:val=&quot;00FC6224&quot;/&gt;&lt;wsp:rsid wsp:val=&quot;00FC6496&quot;/&gt;&lt;wsp:rsid wsp:val=&quot;00FC6906&quot;/&gt;&lt;wsp:rsid wsp:val=&quot;00FC69CA&quot;/&gt;&lt;wsp:rsid wsp:val=&quot;00FC6B75&quot;/&gt;&lt;wsp:rsid wsp:val=&quot;00FC7632&quot;/&gt;&lt;wsp:rsid wsp:val=&quot;00FC7807&quot;/&gt;&lt;wsp:rsid wsp:val=&quot;00FC7B72&quot;/&gt;&lt;wsp:rsid wsp:val=&quot;00FC7D2A&quot;/&gt;&lt;wsp:rsid wsp:val=&quot;00FC7F6A&quot;/&gt;&lt;wsp:rsid wsp:val=&quot;00FD01AC&quot;/&gt;&lt;wsp:rsid wsp:val=&quot;00FD01BA&quot;/&gt;&lt;wsp:rsid wsp:val=&quot;00FD06A4&quot;/&gt;&lt;wsp:rsid wsp:val=&quot;00FD0897&quot;/&gt;&lt;wsp:rsid wsp:val=&quot;00FD0912&quot;/&gt;&lt;wsp:rsid wsp:val=&quot;00FD10F6&quot;/&gt;&lt;wsp:rsid wsp:val=&quot;00FD12B2&quot;/&gt;&lt;wsp:rsid wsp:val=&quot;00FD12B3&quot;/&gt;&lt;wsp:rsid wsp:val=&quot;00FD1AE0&quot;/&gt;&lt;wsp:rsid wsp:val=&quot;00FD2D3C&quot;/&gt;&lt;wsp:rsid wsp:val=&quot;00FD375E&quot;/&gt;&lt;wsp:rsid wsp:val=&quot;00FD399B&quot;/&gt;&lt;wsp:rsid wsp:val=&quot;00FD3F7E&quot;/&gt;&lt;wsp:rsid wsp:val=&quot;00FD41C0&quot;/&gt;&lt;wsp:rsid wsp:val=&quot;00FD4CF6&quot;/&gt;&lt;wsp:rsid wsp:val=&quot;00FD5455&quot;/&gt;&lt;wsp:rsid wsp:val=&quot;00FD5531&quot;/&gt;&lt;wsp:rsid wsp:val=&quot;00FD584E&quot;/&gt;&lt;wsp:rsid wsp:val=&quot;00FD5AE7&quot;/&gt;&lt;wsp:rsid wsp:val=&quot;00FD5F9D&quot;/&gt;&lt;wsp:rsid wsp:val=&quot;00FD618D&quot;/&gt;&lt;wsp:rsid wsp:val=&quot;00FD66C9&quot;/&gt;&lt;wsp:rsid wsp:val=&quot;00FD6D27&quot;/&gt;&lt;wsp:rsid wsp:val=&quot;00FD6F86&quot;/&gt;&lt;wsp:rsid wsp:val=&quot;00FD75D7&quot;/&gt;&lt;wsp:rsid wsp:val=&quot;00FD762F&quot;/&gt;&lt;wsp:rsid wsp:val=&quot;00FD76A1&quot;/&gt;&lt;wsp:rsid wsp:val=&quot;00FD7D93&quot;/&gt;&lt;wsp:rsid wsp:val=&quot;00FD7DE1&quot;/&gt;&lt;wsp:rsid wsp:val=&quot;00FE029E&quot;/&gt;&lt;wsp:rsid wsp:val=&quot;00FE036B&quot;/&gt;&lt;wsp:rsid wsp:val=&quot;00FE0473&quot;/&gt;&lt;wsp:rsid wsp:val=&quot;00FE051B&quot;/&gt;&lt;wsp:rsid wsp:val=&quot;00FE05F2&quot;/&gt;&lt;wsp:rsid wsp:val=&quot;00FE0609&quot;/&gt;&lt;wsp:rsid wsp:val=&quot;00FE08A0&quot;/&gt;&lt;wsp:rsid wsp:val=&quot;00FE0BA6&quot;/&gt;&lt;wsp:rsid wsp:val=&quot;00FE0C80&quot;/&gt;&lt;wsp:rsid wsp:val=&quot;00FE0EEB&quot;/&gt;&lt;wsp:rsid wsp:val=&quot;00FE1247&quot;/&gt;&lt;wsp:rsid wsp:val=&quot;00FE13FE&quot;/&gt;&lt;wsp:rsid wsp:val=&quot;00FE1543&quot;/&gt;&lt;wsp:rsid wsp:val=&quot;00FE174B&quot;/&gt;&lt;wsp:rsid wsp:val=&quot;00FE1BF0&quot;/&gt;&lt;wsp:rsid wsp:val=&quot;00FE1C12&quot;/&gt;&lt;wsp:rsid wsp:val=&quot;00FE23D2&quot;/&gt;&lt;wsp:rsid wsp:val=&quot;00FE2C75&quot;/&gt;&lt;wsp:rsid wsp:val=&quot;00FE2EA9&quot;/&gt;&lt;wsp:rsid wsp:val=&quot;00FE2F88&quot;/&gt;&lt;wsp:rsid wsp:val=&quot;00FE3205&quot;/&gt;&lt;wsp:rsid wsp:val=&quot;00FE3508&quot;/&gt;&lt;wsp:rsid wsp:val=&quot;00FE4194&quot;/&gt;&lt;wsp:rsid wsp:val=&quot;00FE4C69&quot;/&gt;&lt;wsp:rsid wsp:val=&quot;00FE50F5&quot;/&gt;&lt;wsp:rsid wsp:val=&quot;00FE5A67&quot;/&gt;&lt;wsp:rsid wsp:val=&quot;00FE5B4E&quot;/&gt;&lt;wsp:rsid wsp:val=&quot;00FE5BB6&quot;/&gt;&lt;wsp:rsid wsp:val=&quot;00FE5FE2&quot;/&gt;&lt;wsp:rsid wsp:val=&quot;00FE68AF&quot;/&gt;&lt;wsp:rsid wsp:val=&quot;00FE69FF&quot;/&gt;&lt;wsp:rsid wsp:val=&quot;00FE6B81&quot;/&gt;&lt;wsp:rsid wsp:val=&quot;00FE6F08&quot;/&gt;&lt;wsp:rsid wsp:val=&quot;00FE73DA&quot;/&gt;&lt;wsp:rsid wsp:val=&quot;00FE7461&quot;/&gt;&lt;wsp:rsid wsp:val=&quot;00FE7AE3&quot;/&gt;&lt;wsp:rsid wsp:val=&quot;00FE7B60&quot;/&gt;&lt;wsp:rsid wsp:val=&quot;00FE7DA7&quot;/&gt;&lt;wsp:rsid wsp:val=&quot;00FF008D&quot;/&gt;&lt;wsp:rsid wsp:val=&quot;00FF035A&quot;/&gt;&lt;wsp:rsid wsp:val=&quot;00FF0673&quot;/&gt;&lt;wsp:rsid wsp:val=&quot;00FF0D10&quot;/&gt;&lt;wsp:rsid wsp:val=&quot;00FF0F50&quot;/&gt;&lt;wsp:rsid wsp:val=&quot;00FF1047&quot;/&gt;&lt;wsp:rsid wsp:val=&quot;00FF14A9&quot;/&gt;&lt;wsp:rsid wsp:val=&quot;00FF1544&quot;/&gt;&lt;wsp:rsid wsp:val=&quot;00FF17EF&quot;/&gt;&lt;wsp:rsid wsp:val=&quot;00FF1913&quot;/&gt;&lt;wsp:rsid wsp:val=&quot;00FF1B3F&quot;/&gt;&lt;wsp:rsid wsp:val=&quot;00FF2053&quot;/&gt;&lt;wsp:rsid wsp:val=&quot;00FF21AF&quot;/&gt;&lt;wsp:rsid wsp:val=&quot;00FF23D4&quot;/&gt;&lt;wsp:rsid wsp:val=&quot;00FF2490&quot;/&gt;&lt;wsp:rsid wsp:val=&quot;00FF24C2&quot;/&gt;&lt;wsp:rsid wsp:val=&quot;00FF2651&quot;/&gt;&lt;wsp:rsid wsp:val=&quot;00FF2697&quot;/&gt;&lt;wsp:rsid wsp:val=&quot;00FF26E2&quot;/&gt;&lt;wsp:rsid wsp:val=&quot;00FF2FA3&quot;/&gt;&lt;wsp:rsid wsp:val=&quot;00FF3527&quot;/&gt;&lt;wsp:rsid wsp:val=&quot;00FF3F2D&quot;/&gt;&lt;wsp:rsid wsp:val=&quot;00FF3FDC&quot;/&gt;&lt;wsp:rsid wsp:val=&quot;00FF418C&quot;/&gt;&lt;wsp:rsid wsp:val=&quot;00FF458A&quot;/&gt;&lt;wsp:rsid wsp:val=&quot;00FF4B3E&quot;/&gt;&lt;wsp:rsid wsp:val=&quot;00FF4BC9&quot;/&gt;&lt;wsp:rsid wsp:val=&quot;00FF4BCD&quot;/&gt;&lt;wsp:rsid wsp:val=&quot;00FF4CE9&quot;/&gt;&lt;wsp:rsid wsp:val=&quot;00FF4F95&quot;/&gt;&lt;wsp:rsid wsp:val=&quot;00FF5096&quot;/&gt;&lt;wsp:rsid wsp:val=&quot;00FF529E&quot;/&gt;&lt;wsp:rsid wsp:val=&quot;00FF549F&quot;/&gt;&lt;wsp:rsid wsp:val=&quot;00FF54B7&quot;/&gt;&lt;wsp:rsid wsp:val=&quot;00FF5666&quot;/&gt;&lt;wsp:rsid wsp:val=&quot;00FF56A5&quot;/&gt;&lt;wsp:rsid wsp:val=&quot;00FF5BF6&quot;/&gt;&lt;wsp:rsid wsp:val=&quot;00FF5C6D&quot;/&gt;&lt;wsp:rsid wsp:val=&quot;00FF5C6E&quot;/&gt;&lt;wsp:rsid wsp:val=&quot;00FF633F&quot;/&gt;&lt;wsp:rsid wsp:val=&quot;00FF66CC&quot;/&gt;&lt;wsp:rsid wsp:val=&quot;00FF67D3&quot;/&gt;&lt;wsp:rsid wsp:val=&quot;00FF6B0E&quot;/&gt;&lt;wsp:rsid wsp:val=&quot;00FF6B43&quot;/&gt;&lt;wsp:rsid wsp:val=&quot;00FF6F3F&quot;/&gt;&lt;wsp:rsid wsp:val=&quot;00FF7328&quot;/&gt;&lt;wsp:rsid wsp:val=&quot;00FF7600&quot;/&gt;&lt;wsp:rsid wsp:val=&quot;00FF77A7&quot;/&gt;&lt;wsp:rsid wsp:val=&quot;00FF7B0F&quot;/&gt;&lt;wsp:rsid wsp:val=&quot;00FF7D42&quot;/&gt;&lt;wsp:rsid wsp:val=&quot;00FF7F25&quot;/&gt;&lt;/wsp:rsids&gt;&lt;/w:docPr&gt;&lt;w:body&gt;&lt;w:p wsp:rsidR=&quot;00000000&quot; wsp:rsidRDefault=&quot;005D5ADC&quot;&gt;&lt;m:oMathPara&gt;&lt;m:oMath&gt;&lt;m:sSub&gt;&lt;m:sSubPr&gt;&lt;m:ctrlPr&gt;&lt;w:rPr&gt;&lt;w:rFonts w:ascii=&quot;Cambria Math&quot; w:fareast=&quot;Times New Roman&quot; w:h-ansi=&quot;Cambria Math&quot;/&gt;&lt;wx:font wx:val=&quot;Cambria Math&quot;/&gt;&lt;w:i/&gt;&lt;w:sz w:val=&quot;28&quot;/&gt;&lt;/w:rPr&gt;&lt;/m:ctrlPr&gt;&lt;/m:sSubPr&gt;&lt;m:e&gt;&lt;m:r&gt;&lt;w:rPr&gt;&lt;w:rFonts w:ascii=&quot;Cambria Math&quot; w:fareast=&quot;Times New Roman&quot; w:h-ansi=&quot;Cambria Math&quot;/&gt;&lt;wx:font wx:val=&quot;Cambria Math&quot;/&gt;&lt;w:i/&gt;&lt;w:sz w:val=&quot;28&quot;/&gt;&lt;/w:rPr&gt;&lt;m:t&gt;Q&lt;/m:t&gt;&lt;/m:r&gt;&lt;/m:e&gt;&lt;m:sub&gt;&lt;m:r&gt;&lt;w:rPr&gt;&lt;w:rFonts w:ascii=&quot;Cambria Math&quot; w:fareast=&quot;Times New Roman&quot; w:h-ansi=&quot;Cambria Math&quot;/&gt;&lt;wx:font wx:val=&quot;Cambria Math&quot;/&gt;&lt;w:i/&gt;&lt;w:sz w:val=&quot;28&quot;/&gt;&lt;/w:rPr&gt;&lt;m:t&gt;СЌ1&lt;/m:t&gt;&lt;/m:r&gt;&lt;/m:sub&gt;&lt;/m:sSub&gt;&lt;m:r&gt;&lt;w:rPr&gt;&lt;w:rFonts w:ascii=&quot;Cambria Math&quot; w:fareast=&quot;Times New Roman&quot; w:h-ansi=&quot;Cambria Math&quot;/&gt;&lt;wx:font wx:val=&quot;Cambria Math&quot;/&gt;&lt;w:i/&gt;&lt;w:sz w:val=&quot;28&quot;/&gt;&lt;/w:rPr&gt;&lt;m:t&gt;=&lt;/m:t&gt;&lt;/m:r&gt;&lt;m:sSub&gt;&lt;m:sSubPr&gt;&lt;m:ctrlPr&gt;&lt;w:rPr&gt;&lt;w:rFonts w:ascii=&quot;Cambria Math&quot; w:fareast=&quot;Times New Roman&quot; w:h-ansi=&quot;Cambria Math&quot;/&gt;&lt;wx:font wx:val=&quot;Cambria Math&quot;/&gt;&lt;w:i/&gt;&lt;w:sz w:val=&quot;28&quot;/&gt;&lt;/w:rPr&gt;&lt;/m:ctrlPr&gt;&lt;/m:sSubPr&gt;&lt;m:e&gt;&lt;m:r&gt;&lt;w:rPr&gt;&lt;w:rFonts w:ascii=&quot;Cambria Math&quot; w:fareast=&quot;Times New Roman&quot; w:h-ansi=&quot;Cambria Math&quot;/&gt;&lt;wx:font wx:val=&quot;Cambria Math&quot;/&gt;&lt;w:i/&gt;&lt;w:sz w:val=&quot;28&quot;/&gt;&lt;/w:rPr&gt;&lt;m:t&gt;Рљ&lt;/m:t&gt;&lt;/m:r&gt;&lt;/m:e&gt;&lt;m:sub&gt;&lt;m:r&gt;&lt;w:rPr&gt;&lt;w:rFonts w:ascii=&quot;Cambria Math&quot; w:fareast=&quot;Times New Roman&quot; w:h-ansi=&quot;Cambria Math&quot;/&gt;&lt;wx:font wx:val=&quot;Cambria Math&quot;/&gt;&lt;w:i/&gt;&lt;w:sz w:val=&quot;28&quot;/&gt;&lt;/w:rPr&gt;&lt;m:t&gt;1&lt;/m:t&gt;&lt;/m:r&gt;&lt;/m:sub&gt;&lt;/m:sSub&gt;&lt;m:r&gt;&lt;w:rPr&gt;&lt;w:rFonts w:ascii=&quot;Cambria Math&quot; w:fareast=&quot;Times New Roman&quot; w:h-ansi=&quot;Cambria Math&quot;/&gt;&lt;wx:font wx:val=&quot;Cambria Math&quot;/&gt;&lt;w:i/&gt;&lt;w:sz w:val=&quot;28&quot;/&gt;&lt;/w:rPr&gt;&lt;m:t&gt;Г—&lt;/m:t&gt;&lt;/m:r&gt;&lt;m:sSub&gt;&lt;m:sSubPr&gt;&lt;m:ctrlPr&gt;&lt;w:rPr&gt;&lt;w:rFonts w:ascii=&quot;Cambria Math&quot; w:fareast=&quot;Times New Roman&quot; w:h-ansi=&quot;Cambria Math&quot;/&gt;&lt;wx:font wx:val=&quot;Cambria Math&quot;/&gt;&lt;w:i/&gt;&lt;w:sz w:val=&quot;28&quot;/&gt;&lt;/w:rPr&gt;&lt;/m:ctrlPr&gt;&lt;/m:sSubPr&gt;&lt;m:e&gt;&lt;m:r&gt;&lt;w:rPr&gt;&lt;w:rFonts w:ascii=&quot;Cambria Math&quot; w:fareast=&quot;Times New Roman&quot; w:h-ansi=&quot;Cambria Math&quot;/&gt;&lt;wx:font wx:val=&quot;Cambria Math&quot;/&gt;&lt;w:i/&gt;&lt;w:sz w:val=&quot;28&quot;/&gt;&lt;/w:rPr&gt;&lt;m:t&gt;Рљ&lt;/m:t&gt;&lt;/m:r&gt;&lt;/m:e&gt;&lt;m:sub&gt;&lt;m:r&gt;&lt;w:rPr&gt;&lt;w:rFonts w:ascii=&quot;Cambria Math&quot; w:fareast=&quot;Times New Roman&quot; w:h-ansi=&quot;Cambria Math&quot;/&gt;&lt;wx:font wx:val=&quot;Cambria Math&quot;/&gt;&lt;w:i/&gt;&lt;w:sz w:val=&quot;28&quot;/&gt;&lt;/w:rPr&gt;&lt;m:t&gt;3&lt;/m:t&gt;&lt;/m:r&gt;&lt;/m:sub&gt;&lt;/m:sSub&gt;&lt;m:r&gt;&lt;w:rPr&gt;&lt;w:rFonts w:ascii=&quot;Cambria Math&quot; w:fareast=&quot;Times New Roman&quot; w:h-ansi=&quot;Cambria Math&quot;/&gt;&lt;wx:font wx:val=&quot;Cambria Math&quot;/&gt;&lt;w:i/&gt;&lt;w:sz w:val=&quot;28&quot;/&gt;&lt;/w:rPr&gt;&lt;m:t&gt;Г—&lt;/m:t&gt;&lt;/m:r&gt;&lt;m:sSub&gt;&lt;m:sSubPr&gt;&lt;m:ctrlPr&gt;&lt;w:rPr&gt;&lt;w:rFonts w:ascii=&quot;Cambria Math&quot; w:fareast=&quot;Times New Roman&quot; w:h-ansi=&quot;Cambria Math&quot;/&gt;&lt;wx:font wx:val=&quot;Cambria Math&quot;/&gt;&lt;w:i/&gt;&lt;w:sz w:val=&quot;28&quot;/&gt;&lt;/w:rPr&gt;&lt;/m:ctrlPr&gt;&lt;/m:sSubPr&gt;&lt;m:e&gt;&lt;m:r&gt;&lt;w:rPr&gt;&lt;w:rFonts w:ascii=&quot;Cambria Math&quot; w:fareast=&quot;Times New Roman&quot; w:h-ansi=&quot;Cambria Math&quot;/&gt;&lt;wx:font wx:val=&quot;Cambria Math&quot;/&gt;&lt;w:i/&gt;&lt;w:sz w:val=&quot;28&quot;/&gt;&lt;/w:rPr&gt;&lt;m:t&gt;Рљ&lt;/m:t&gt;&lt;/m:r&gt;&lt;/m:e&gt;&lt;m:sub&gt;&lt;m:r&gt;&lt;w:rPr&gt;&lt;w:rFonts w:ascii=&quot;Cambria Math&quot; w:fareast=&quot;Times New Roman&quot; w:h-ansi=&quot;Cambria Math&quot;/&gt;&lt;wx:font wx:val=&quot;Cambria Math&quot;/&gt;&lt;w:i/&gt;&lt;w:sz w:val=&quot;28&quot;/&gt;&lt;/w:rPr&gt;&lt;m:t&gt;5&lt;/m:t&gt;&lt;/m:r&gt;&lt;/m:sub&gt;&lt;/m:sSub&gt;&lt;m:r&gt;&lt;w:rPr&gt;&lt;w:rFonts w:ascii=&quot;Cambria Math&quot; w:fareast=&quot;Times New Roman&quot; w:h-ansi=&quot;Cambria Math&quot;/&gt;&lt;wx:font wx:val=&quot;Cambria Math&quot;/&gt;&lt;w:i/&gt;&lt;w:sz w:val=&quot;28&quot;/&gt;&lt;/w:rPr&gt;&lt;m:t&gt;Г—&lt;/m:t&gt;&lt;/m:r&gt;&lt;m:sSub&gt;&lt;m:sSubPr&gt;&lt;m:ctrlPr&gt;&lt;w:rPr&gt;&lt;w:rFonts w:ascii=&quot;Cambria Math&quot; w:fareast=&quot;Times New Roman&quot; w:h-ansi=&quot;Cambria Math&quot;/&gt;&lt;wx:font wx:val=&quot;Cambria Math&quot;/&gt;&lt;w:i/&gt;&lt;w:sz w:val=&quot;28&quot;/&gt;&lt;/w:rPr&gt;&lt;/m:ctrlPr&gt;&lt;/m:sSubPr&gt;&lt;m:e&gt;&lt;m:r&gt;&lt;w:rPr&gt;&lt;w:rFonts w:ascii=&quot;Cambria Math&quot; w:fareast=&quot;Times New Roman&quot; w:h-ansi=&quot;Cambria Math&quot;/&gt;&lt;wx:font wx:val=&quot;Cambria Math&quot;/&gt;&lt;w:i/&gt;&lt;w:sz w:val=&quot;28&quot;/&gt;&lt;/w:rPr&gt;&lt;m:t&gt;Рљ&lt;/m:t&gt;&lt;/m:r&gt;&lt;/m:e&gt;&lt;m:sub&gt;&lt;m:r&gt;&lt;w:rPr&gt;&lt;w:rFonts w:ascii=&quot;Cambria Math&quot; w:fareast=&quot;Times New Roman&quot; w:h-ansi=&quot;Cambria Math&quot;/&gt;&lt;wx:font wx:val=&quot;Cambria Math&quot;/&gt;&lt;w:i/&gt;&lt;w:sz w:val=&quot;28&quot;/&gt;&lt;/w:rPr&gt;&lt;m:t&gt;7&lt;/m:t&gt;&lt;/m:r&gt;&lt;/m:sub&gt;&lt;/m:sSub&gt;&lt;m:r&gt;&lt;w:rPr&gt;&lt;w:rFonts w:ascii=&quot;Cambria Math&quot; w:fareast=&quot;Times New Roman&quot; w:h-ansi=&quot;Cambria Math&quot;/&gt;&lt;wx:font wx:val=&quot;Cambria Math&quot;/&gt;&lt;w:i/&gt;&lt;w:sz w:val=&quot;28&quot;/&gt;&lt;/w:rPr&gt;&lt;m:t&gt;Г—&lt;/m:t&gt;&lt;/m:r&gt;&lt;m:sSub&gt;&lt;m:sSubPr&gt;&lt;m:ctrlPr&gt;&lt;w:rPr&gt;&lt;w:rFonts w:ascii=&quot;Cambria Math&quot; w:fareast=&quot;Times New Roman&quot; w:h-ansi=&quot;Cambria Math&quot;/&gt;&lt;wx:font wx:val=&quot;Cambria Math&quot;/&gt;&lt;w:i/&gt;&lt;w:sz w:val=&quot;28&quot;/&gt;&lt;/w:rPr&gt;&lt;/m:ctrlPr&gt;&lt;/m:sSubPr&gt;&lt;m:e&gt;&lt;m:r&gt;&lt;w:rPr&gt;&lt;w:rFonts w:ascii=&quot;Cambria Math&quot; w:fareast=&quot;Times New Roman&quot; w:h-ansi=&quot;Cambria Math&quot;/&gt;&lt;wx:font wx:val=&quot;Cambria Math&quot;/&gt;&lt;w:i/&gt;&lt;w:sz w:val=&quot;28&quot;/&gt;&lt;w:lang w:val=&quot;EN-US&quot;/&gt;&lt;/w:rPr&gt;&lt;m:t&gt;Q&lt;/m:t&gt;&lt;/m:r&gt;&lt;/m:e&gt;&lt;m:sub&gt;&lt;m:r&gt;&lt;w:rPr&gt;&lt;w:rFonts w:ascii=&quot;Cambria Math&quot; w:fareast=&quot;Times New Roman&quot; w:h-ansi=&quot;Cambria Math&quot;/&gt;&lt;wx:font wx:val=&quot;Cambria Math&quot;/&gt;&lt;w:i/&gt;&lt;w:sz w:val=&quot;28&quot;/&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1" o:title="" chromakey="white"/>
          </v:shape>
        </w:pict>
      </w:r>
    </w:p>
    <w:p w:rsidR="002D1E45" w:rsidRPr="004D071E" w:rsidRDefault="002D1E45" w:rsidP="004D071E">
      <w:pPr>
        <w:widowControl w:val="0"/>
        <w:spacing w:after="0" w:line="303" w:lineRule="exact"/>
        <w:ind w:left="709" w:right="95"/>
        <w:rPr>
          <w:rFonts w:ascii="Times New Roman" w:hAnsi="Times New Roman"/>
          <w:sz w:val="28"/>
          <w:szCs w:val="28"/>
        </w:rPr>
      </w:pPr>
    </w:p>
    <w:p w:rsidR="002D1E45" w:rsidRPr="004D071E" w:rsidRDefault="002D1E45" w:rsidP="004D071E">
      <w:pPr>
        <w:widowControl w:val="0"/>
        <w:spacing w:after="0" w:line="303" w:lineRule="exact"/>
        <w:ind w:left="709" w:right="95"/>
        <w:rPr>
          <w:rFonts w:ascii="Times New Roman" w:hAnsi="Times New Roman"/>
          <w:sz w:val="28"/>
          <w:szCs w:val="28"/>
        </w:rPr>
      </w:pPr>
      <w:r w:rsidRPr="004D071E">
        <w:rPr>
          <w:rFonts w:ascii="Times New Roman" w:hAnsi="Times New Roman"/>
          <w:sz w:val="28"/>
          <w:szCs w:val="28"/>
        </w:rPr>
        <w:t>где:</w:t>
      </w:r>
    </w:p>
    <w:p w:rsidR="002D1E45" w:rsidRPr="004D071E" w:rsidRDefault="002D1E45" w:rsidP="004D071E">
      <w:pPr>
        <w:widowControl w:val="0"/>
        <w:spacing w:before="6" w:after="0" w:line="322" w:lineRule="exact"/>
        <w:ind w:left="709"/>
        <w:contextualSpacing/>
        <w:rPr>
          <w:rFonts w:ascii="Times New Roman" w:hAnsi="Times New Roman"/>
          <w:sz w:val="28"/>
          <w:szCs w:val="28"/>
        </w:rPr>
      </w:pPr>
      <w:r w:rsidRPr="004D071E">
        <w:rPr>
          <w:rFonts w:ascii="Times New Roman" w:hAnsi="Times New Roman"/>
          <w:sz w:val="28"/>
          <w:szCs w:val="28"/>
        </w:rPr>
        <w:t>K</w:t>
      </w:r>
      <w:r w:rsidRPr="004D071E">
        <w:rPr>
          <w:rFonts w:ascii="Times New Roman" w:hAnsi="Times New Roman"/>
          <w:position w:val="-3"/>
          <w:sz w:val="18"/>
          <w:szCs w:val="28"/>
        </w:rPr>
        <w:t xml:space="preserve">1 </w:t>
      </w:r>
      <w:r w:rsidRPr="004D071E">
        <w:rPr>
          <w:rFonts w:ascii="Times New Roman" w:hAnsi="Times New Roman"/>
          <w:sz w:val="28"/>
          <w:szCs w:val="28"/>
        </w:rPr>
        <w:t xml:space="preserve">– коэффициент, зависящий от условий хранения АХОВ, – табл. В.2 </w:t>
      </w:r>
      <w:r w:rsidRPr="004D071E">
        <w:rPr>
          <w:rFonts w:ascii="Times New Roman" w:hAnsi="Times New Roman"/>
          <w:sz w:val="28"/>
          <w:szCs w:val="24"/>
          <w:lang w:eastAsia="ru-RU"/>
        </w:rPr>
        <w:t>приложения В СП 165.1325800.2014</w:t>
      </w:r>
      <w:r w:rsidRPr="004D071E">
        <w:rPr>
          <w:rFonts w:ascii="Times New Roman" w:hAnsi="Times New Roman"/>
          <w:sz w:val="28"/>
          <w:szCs w:val="28"/>
        </w:rPr>
        <w:t xml:space="preserve"> (для сжатых газов K</w:t>
      </w:r>
      <w:r w:rsidRPr="004D071E">
        <w:rPr>
          <w:rFonts w:ascii="Times New Roman" w:hAnsi="Times New Roman"/>
          <w:sz w:val="28"/>
          <w:szCs w:val="28"/>
          <w:vertAlign w:val="subscript"/>
        </w:rPr>
        <w:t>1</w:t>
      </w:r>
      <w:r w:rsidRPr="004D071E">
        <w:rPr>
          <w:rFonts w:ascii="Times New Roman" w:hAnsi="Times New Roman"/>
          <w:sz w:val="28"/>
          <w:szCs w:val="28"/>
        </w:rPr>
        <w:t>=1);</w:t>
      </w:r>
    </w:p>
    <w:p w:rsidR="002D1E45" w:rsidRPr="004D071E" w:rsidRDefault="002D1E45" w:rsidP="004D071E">
      <w:pPr>
        <w:keepNext/>
        <w:keepLines/>
        <w:widowControl w:val="0"/>
        <w:spacing w:after="0" w:line="322" w:lineRule="exact"/>
        <w:ind w:left="709"/>
        <w:contextualSpacing/>
        <w:rPr>
          <w:rFonts w:ascii="Times New Roman" w:hAnsi="Times New Roman"/>
          <w:sz w:val="28"/>
          <w:szCs w:val="28"/>
        </w:rPr>
      </w:pPr>
      <w:r w:rsidRPr="004D071E">
        <w:rPr>
          <w:rFonts w:ascii="Times New Roman" w:hAnsi="Times New Roman"/>
          <w:sz w:val="28"/>
          <w:szCs w:val="28"/>
        </w:rPr>
        <w:t>K</w:t>
      </w:r>
      <w:r w:rsidRPr="004D071E">
        <w:rPr>
          <w:rFonts w:ascii="Times New Roman" w:hAnsi="Times New Roman"/>
          <w:position w:val="-3"/>
          <w:sz w:val="18"/>
          <w:szCs w:val="28"/>
        </w:rPr>
        <w:t xml:space="preserve">3 </w:t>
      </w:r>
      <w:r w:rsidRPr="004D071E">
        <w:rPr>
          <w:rFonts w:ascii="Times New Roman" w:hAnsi="Times New Roman"/>
          <w:sz w:val="28"/>
          <w:szCs w:val="28"/>
        </w:rPr>
        <w:t xml:space="preserve">– коэффициент, равный отношению пороговой токсодозы хлора к пороговой токсодозе другого АХОВ (табл. В.3 </w:t>
      </w:r>
      <w:r w:rsidRPr="004D071E">
        <w:rPr>
          <w:rFonts w:ascii="Times New Roman" w:hAnsi="Times New Roman"/>
          <w:sz w:val="28"/>
          <w:szCs w:val="24"/>
          <w:lang w:eastAsia="ru-RU"/>
        </w:rPr>
        <w:t>приложения В СП 165.1325800.2014</w:t>
      </w:r>
      <w:r w:rsidRPr="004D071E">
        <w:rPr>
          <w:rFonts w:ascii="Times New Roman" w:hAnsi="Times New Roman"/>
          <w:sz w:val="28"/>
          <w:szCs w:val="28"/>
        </w:rPr>
        <w:t>);</w:t>
      </w:r>
    </w:p>
    <w:p w:rsidR="002D1E45" w:rsidRPr="004D071E" w:rsidRDefault="002D1E45" w:rsidP="004D071E">
      <w:pPr>
        <w:keepNext/>
        <w:keepLines/>
        <w:widowControl w:val="0"/>
        <w:spacing w:before="72" w:after="0" w:line="232" w:lineRule="auto"/>
        <w:ind w:left="709"/>
        <w:contextualSpacing/>
        <w:jc w:val="both"/>
        <w:rPr>
          <w:rFonts w:ascii="Times New Roman" w:hAnsi="Times New Roman"/>
          <w:sz w:val="28"/>
          <w:szCs w:val="28"/>
        </w:rPr>
      </w:pPr>
      <w:r w:rsidRPr="004D071E">
        <w:rPr>
          <w:rFonts w:ascii="Times New Roman" w:hAnsi="Times New Roman"/>
          <w:sz w:val="28"/>
          <w:szCs w:val="28"/>
        </w:rPr>
        <w:t>K</w:t>
      </w:r>
      <w:r w:rsidRPr="004D071E">
        <w:rPr>
          <w:rFonts w:ascii="Times New Roman" w:hAnsi="Times New Roman"/>
          <w:position w:val="-3"/>
          <w:sz w:val="18"/>
          <w:szCs w:val="28"/>
        </w:rPr>
        <w:t xml:space="preserve">5 </w:t>
      </w:r>
      <w:r w:rsidRPr="004D071E">
        <w:rPr>
          <w:rFonts w:ascii="Times New Roman" w:hAnsi="Times New Roman"/>
          <w:sz w:val="28"/>
          <w:szCs w:val="28"/>
        </w:rPr>
        <w:t>– коэффициент, учитывающий степень вертикальной устойчивости воздуха: принимается равным для инверсии – 1, для изотермии – 0,23, для конвекции – 0,08;</w:t>
      </w:r>
    </w:p>
    <w:p w:rsidR="002D1E45" w:rsidRPr="004D071E" w:rsidRDefault="002D1E45" w:rsidP="004D071E">
      <w:pPr>
        <w:keepNext/>
        <w:keepLines/>
        <w:widowControl w:val="0"/>
        <w:spacing w:before="5" w:after="0" w:line="322" w:lineRule="exact"/>
        <w:ind w:left="709"/>
        <w:contextualSpacing/>
        <w:jc w:val="both"/>
        <w:rPr>
          <w:rFonts w:ascii="Times New Roman" w:hAnsi="Times New Roman"/>
          <w:sz w:val="28"/>
          <w:szCs w:val="28"/>
        </w:rPr>
      </w:pPr>
      <w:r w:rsidRPr="004D071E">
        <w:rPr>
          <w:rFonts w:ascii="Times New Roman" w:hAnsi="Times New Roman"/>
          <w:sz w:val="28"/>
          <w:szCs w:val="28"/>
        </w:rPr>
        <w:t>K</w:t>
      </w:r>
      <w:r w:rsidRPr="004D071E">
        <w:rPr>
          <w:rFonts w:ascii="Times New Roman" w:hAnsi="Times New Roman"/>
          <w:position w:val="-3"/>
          <w:sz w:val="18"/>
          <w:szCs w:val="28"/>
        </w:rPr>
        <w:t xml:space="preserve">7 </w:t>
      </w:r>
      <w:r w:rsidRPr="004D071E">
        <w:rPr>
          <w:rFonts w:ascii="Times New Roman" w:hAnsi="Times New Roman"/>
          <w:sz w:val="28"/>
          <w:szCs w:val="28"/>
        </w:rPr>
        <w:t xml:space="preserve">– коэффициент, учитывающий влияние температуры воздуха, – табл. В.3 </w:t>
      </w:r>
      <w:r w:rsidRPr="004D071E">
        <w:rPr>
          <w:rFonts w:ascii="Times New Roman" w:hAnsi="Times New Roman"/>
          <w:sz w:val="28"/>
          <w:szCs w:val="24"/>
          <w:lang w:eastAsia="ru-RU"/>
        </w:rPr>
        <w:t>приложения В СП 165.1325800.2014</w:t>
      </w:r>
      <w:r w:rsidRPr="004D071E">
        <w:rPr>
          <w:rFonts w:ascii="Times New Roman" w:hAnsi="Times New Roman"/>
          <w:sz w:val="28"/>
          <w:szCs w:val="28"/>
        </w:rPr>
        <w:t xml:space="preserve"> (для сжатых газов K</w:t>
      </w:r>
      <w:r w:rsidRPr="004D071E">
        <w:rPr>
          <w:rFonts w:ascii="Times New Roman" w:hAnsi="Times New Roman"/>
          <w:sz w:val="28"/>
          <w:szCs w:val="28"/>
          <w:vertAlign w:val="subscript"/>
        </w:rPr>
        <w:t>7</w:t>
      </w:r>
      <w:r w:rsidRPr="004D071E">
        <w:rPr>
          <w:rFonts w:ascii="Times New Roman" w:hAnsi="Times New Roman"/>
          <w:sz w:val="28"/>
          <w:szCs w:val="28"/>
        </w:rPr>
        <w:t>=1);</w:t>
      </w:r>
    </w:p>
    <w:p w:rsidR="002D1E45" w:rsidRPr="004D071E" w:rsidRDefault="002D1E45" w:rsidP="004D071E">
      <w:pPr>
        <w:keepNext/>
        <w:keepLines/>
        <w:widowControl w:val="0"/>
        <w:spacing w:after="0" w:line="327" w:lineRule="exact"/>
        <w:ind w:left="709"/>
        <w:contextualSpacing/>
        <w:rPr>
          <w:rFonts w:ascii="Times New Roman" w:hAnsi="Times New Roman"/>
          <w:sz w:val="28"/>
          <w:szCs w:val="28"/>
        </w:rPr>
      </w:pPr>
      <w:r w:rsidRPr="004D071E">
        <w:rPr>
          <w:rFonts w:ascii="Times New Roman" w:hAnsi="Times New Roman"/>
          <w:sz w:val="28"/>
          <w:szCs w:val="28"/>
        </w:rPr>
        <w:t>Q</w:t>
      </w:r>
      <w:r w:rsidRPr="004D071E">
        <w:rPr>
          <w:rFonts w:ascii="Times New Roman" w:hAnsi="Times New Roman"/>
          <w:sz w:val="28"/>
          <w:szCs w:val="28"/>
          <w:vertAlign w:val="subscript"/>
        </w:rPr>
        <w:t xml:space="preserve">0 </w:t>
      </w:r>
      <w:r w:rsidRPr="004D071E">
        <w:rPr>
          <w:rFonts w:ascii="Times New Roman" w:hAnsi="Times New Roman"/>
          <w:sz w:val="28"/>
          <w:szCs w:val="28"/>
        </w:rPr>
        <w:t>– количество выброшенного (разлившегося) при аварии вещества, т.</w:t>
      </w:r>
    </w:p>
    <w:p w:rsidR="002D1E45" w:rsidRPr="004D071E" w:rsidRDefault="002D1E45" w:rsidP="004D071E">
      <w:pPr>
        <w:spacing w:after="0" w:line="240" w:lineRule="auto"/>
        <w:ind w:firstLine="709"/>
        <w:contextualSpacing/>
        <w:jc w:val="both"/>
        <w:rPr>
          <w:rFonts w:ascii="Times New Roman" w:hAnsi="Times New Roman"/>
          <w:sz w:val="28"/>
          <w:szCs w:val="28"/>
        </w:rPr>
      </w:pPr>
      <w:r w:rsidRPr="004D071E">
        <w:rPr>
          <w:rFonts w:ascii="Times New Roman" w:hAnsi="Times New Roman"/>
          <w:sz w:val="28"/>
          <w:szCs w:val="28"/>
        </w:rPr>
        <w:t xml:space="preserve">При </w:t>
      </w:r>
      <w:r w:rsidRPr="004D071E">
        <w:rPr>
          <w:rFonts w:ascii="Times New Roman" w:hAnsi="Times New Roman"/>
          <w:sz w:val="28"/>
          <w:szCs w:val="24"/>
          <w:lang w:eastAsia="ru-RU"/>
        </w:rPr>
        <w:t>авариях</w:t>
      </w:r>
      <w:r w:rsidRPr="004D071E">
        <w:rPr>
          <w:rFonts w:ascii="Times New Roman" w:hAnsi="Times New Roman"/>
          <w:sz w:val="28"/>
          <w:szCs w:val="28"/>
        </w:rPr>
        <w:t xml:space="preserve"> на хранилищах сжатого газа величина Q</w:t>
      </w:r>
      <w:r w:rsidRPr="004D071E">
        <w:rPr>
          <w:rFonts w:ascii="Times New Roman" w:hAnsi="Times New Roman"/>
          <w:sz w:val="28"/>
          <w:szCs w:val="28"/>
          <w:vertAlign w:val="subscript"/>
        </w:rPr>
        <w:t>0</w:t>
      </w:r>
      <w:r w:rsidRPr="004D071E">
        <w:rPr>
          <w:rFonts w:ascii="Times New Roman" w:hAnsi="Times New Roman"/>
          <w:sz w:val="28"/>
          <w:szCs w:val="28"/>
        </w:rPr>
        <w:t xml:space="preserve"> рассчитывается по формуле:</w:t>
      </w:r>
    </w:p>
    <w:p w:rsidR="002D1E45" w:rsidRPr="004D071E" w:rsidRDefault="002D1E45" w:rsidP="004D071E">
      <w:pPr>
        <w:spacing w:after="0" w:line="240" w:lineRule="auto"/>
        <w:jc w:val="center"/>
        <w:rPr>
          <w:rFonts w:ascii="Times New Roman" w:hAnsi="Times New Roman"/>
          <w:i/>
          <w:sz w:val="28"/>
          <w:szCs w:val="28"/>
        </w:rPr>
      </w:pPr>
      <w:r>
        <w:pict>
          <v:shape id="_x0000_i1036" type="#_x0000_t75" style="width:66pt;height:13.5pt" equationxml="&lt;?xml version=&quot;1.0&quot; encoding=&quot;UTF-8&quot; standalone=&quot;yes&quot;?&gt;&#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stylePaneFormatFilter w:val=&quot;3F01&quot;/&gt;&lt;w:defaultTabStop w:val=&quot;709&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55249&quot;/&gt;&lt;wsp:rsid wsp:val=&quot;00000069&quot;/&gt;&lt;wsp:rsid wsp:val=&quot;0000011C&quot;/&gt;&lt;wsp:rsid wsp:val=&quot;00000437&quot;/&gt;&lt;wsp:rsid wsp:val=&quot;00001379&quot;/&gt;&lt;wsp:rsid wsp:val=&quot;0000148E&quot;/&gt;&lt;wsp:rsid wsp:val=&quot;00001718&quot;/&gt;&lt;wsp:rsid wsp:val=&quot;000017EA&quot;/&gt;&lt;wsp:rsid wsp:val=&quot;00001828&quot;/&gt;&lt;wsp:rsid wsp:val=&quot;00001D98&quot;/&gt;&lt;wsp:rsid wsp:val=&quot;0000229E&quot;/&gt;&lt;wsp:rsid wsp:val=&quot;000027D5&quot;/&gt;&lt;wsp:rsid wsp:val=&quot;00002824&quot;/&gt;&lt;wsp:rsid wsp:val=&quot;00002C12&quot;/&gt;&lt;wsp:rsid wsp:val=&quot;00002C43&quot;/&gt;&lt;wsp:rsid wsp:val=&quot;00002D9C&quot;/&gt;&lt;wsp:rsid wsp:val=&quot;00002F36&quot;/&gt;&lt;wsp:rsid wsp:val=&quot;0000302F&quot;/&gt;&lt;wsp:rsid wsp:val=&quot;00003030&quot;/&gt;&lt;wsp:rsid wsp:val=&quot;00003EFF&quot;/&gt;&lt;wsp:rsid wsp:val=&quot;0000414C&quot;/&gt;&lt;wsp:rsid wsp:val=&quot;0000443D&quot;/&gt;&lt;wsp:rsid wsp:val=&quot;000046CC&quot;/&gt;&lt;wsp:rsid wsp:val=&quot;00004716&quot;/&gt;&lt;wsp:rsid wsp:val=&quot;0000486D&quot;/&gt;&lt;wsp:rsid wsp:val=&quot;000049C0&quot;/&gt;&lt;wsp:rsid wsp:val=&quot;00004D19&quot;/&gt;&lt;wsp:rsid wsp:val=&quot;00004FAE&quot;/&gt;&lt;wsp:rsid wsp:val=&quot;00004FFC&quot;/&gt;&lt;wsp:rsid wsp:val=&quot;00005636&quot;/&gt;&lt;wsp:rsid wsp:val=&quot;000056E1&quot;/&gt;&lt;wsp:rsid wsp:val=&quot;00005DAF&quot;/&gt;&lt;wsp:rsid wsp:val=&quot;00005F1A&quot;/&gt;&lt;wsp:rsid wsp:val=&quot;00005FEB&quot;/&gt;&lt;wsp:rsid wsp:val=&quot;00006392&quot;/&gt;&lt;wsp:rsid wsp:val=&quot;000063D0&quot;/&gt;&lt;wsp:rsid wsp:val=&quot;00006AE8&quot;/&gt;&lt;wsp:rsid wsp:val=&quot;00006D6F&quot;/&gt;&lt;wsp:rsid wsp:val=&quot;00007175&quot;/&gt;&lt;wsp:rsid wsp:val=&quot;00007274&quot;/&gt;&lt;wsp:rsid wsp:val=&quot;00007B99&quot;/&gt;&lt;wsp:rsid wsp:val=&quot;000101C0&quot;/&gt;&lt;wsp:rsid wsp:val=&quot;00010212&quot;/&gt;&lt;wsp:rsid wsp:val=&quot;00010264&quot;/&gt;&lt;wsp:rsid wsp:val=&quot;000102BD&quot;/&gt;&lt;wsp:rsid wsp:val=&quot;000102EA&quot;/&gt;&lt;wsp:rsid wsp:val=&quot;00010466&quot;/&gt;&lt;wsp:rsid wsp:val=&quot;00010AB4&quot;/&gt;&lt;wsp:rsid wsp:val=&quot;00010B0B&quot;/&gt;&lt;wsp:rsid wsp:val=&quot;00010C3B&quot;/&gt;&lt;wsp:rsid wsp:val=&quot;00010F91&quot;/&gt;&lt;wsp:rsid wsp:val=&quot;000112EE&quot;/&gt;&lt;wsp:rsid wsp:val=&quot;0001146D&quot;/&gt;&lt;wsp:rsid wsp:val=&quot;00011665&quot;/&gt;&lt;wsp:rsid wsp:val=&quot;00011B64&quot;/&gt;&lt;wsp:rsid wsp:val=&quot;00011CA8&quot;/&gt;&lt;wsp:rsid wsp:val=&quot;00011DE4&quot;/&gt;&lt;wsp:rsid wsp:val=&quot;000124AE&quot;/&gt;&lt;wsp:rsid wsp:val=&quot;000127BC&quot;/&gt;&lt;wsp:rsid wsp:val=&quot;00012A66&quot;/&gt;&lt;wsp:rsid wsp:val=&quot;00012DA8&quot;/&gt;&lt;wsp:rsid wsp:val=&quot;00013A20&quot;/&gt;&lt;wsp:rsid wsp:val=&quot;00013A8A&quot;/&gt;&lt;wsp:rsid wsp:val=&quot;00013CAF&quot;/&gt;&lt;wsp:rsid wsp:val=&quot;00013FBF&quot;/&gt;&lt;wsp:rsid wsp:val=&quot;00014152&quot;/&gt;&lt;wsp:rsid wsp:val=&quot;00014177&quot;/&gt;&lt;wsp:rsid wsp:val=&quot;0001436E&quot;/&gt;&lt;wsp:rsid wsp:val=&quot;00014640&quot;/&gt;&lt;wsp:rsid wsp:val=&quot;000146AB&quot;/&gt;&lt;wsp:rsid wsp:val=&quot;0001483D&quot;/&gt;&lt;wsp:rsid wsp:val=&quot;00014851&quot;/&gt;&lt;wsp:rsid wsp:val=&quot;00014B97&quot;/&gt;&lt;wsp:rsid wsp:val=&quot;00014CA6&quot;/&gt;&lt;wsp:rsid wsp:val=&quot;00015089&quot;/&gt;&lt;wsp:rsid wsp:val=&quot;00015200&quot;/&gt;&lt;wsp:rsid wsp:val=&quot;00015247&quot;/&gt;&lt;wsp:rsid wsp:val=&quot;00015471&quot;/&gt;&lt;wsp:rsid wsp:val=&quot;00015475&quot;/&gt;&lt;wsp:rsid wsp:val=&quot;000156EB&quot;/&gt;&lt;wsp:rsid wsp:val=&quot;00015CFD&quot;/&gt;&lt;wsp:rsid wsp:val=&quot;00015E89&quot;/&gt;&lt;wsp:rsid wsp:val=&quot;000162CA&quot;/&gt;&lt;wsp:rsid wsp:val=&quot;000168D8&quot;/&gt;&lt;wsp:rsid wsp:val=&quot;00016BF0&quot;/&gt;&lt;wsp:rsid wsp:val=&quot;00016DD4&quot;/&gt;&lt;wsp:rsid wsp:val=&quot;00016F5A&quot;/&gt;&lt;wsp:rsid wsp:val=&quot;000171AD&quot;/&gt;&lt;wsp:rsid wsp:val=&quot;0001725E&quot;/&gt;&lt;wsp:rsid wsp:val=&quot;000173C4&quot;/&gt;&lt;wsp:rsid wsp:val=&quot;0001783F&quot;/&gt;&lt;wsp:rsid wsp:val=&quot;00017B5A&quot;/&gt;&lt;wsp:rsid wsp:val=&quot;00017FC8&quot;/&gt;&lt;wsp:rsid wsp:val=&quot;000200B7&quot;/&gt;&lt;wsp:rsid wsp:val=&quot;00020690&quot;/&gt;&lt;wsp:rsid wsp:val=&quot;000207BC&quot;/&gt;&lt;wsp:rsid wsp:val=&quot;00020B70&quot;/&gt;&lt;wsp:rsid wsp:val=&quot;00020CF2&quot;/&gt;&lt;wsp:rsid wsp:val=&quot;00020D15&quot;/&gt;&lt;wsp:rsid wsp:val=&quot;0002146E&quot;/&gt;&lt;wsp:rsid wsp:val=&quot;000216FC&quot;/&gt;&lt;wsp:rsid wsp:val=&quot;00021808&quot;/&gt;&lt;wsp:rsid wsp:val=&quot;00021864&quot;/&gt;&lt;wsp:rsid wsp:val=&quot;000219DD&quot;/&gt;&lt;wsp:rsid wsp:val=&quot;00021A57&quot;/&gt;&lt;wsp:rsid wsp:val=&quot;00021C1B&quot;/&gt;&lt;wsp:rsid wsp:val=&quot;00021C6A&quot;/&gt;&lt;wsp:rsid wsp:val=&quot;0002261A&quot;/&gt;&lt;wsp:rsid wsp:val=&quot;00022689&quot;/&gt;&lt;wsp:rsid wsp:val=&quot;0002275A&quot;/&gt;&lt;wsp:rsid wsp:val=&quot;00022976&quot;/&gt;&lt;wsp:rsid wsp:val=&quot;00022B13&quot;/&gt;&lt;wsp:rsid wsp:val=&quot;00022C89&quot;/&gt;&lt;wsp:rsid wsp:val=&quot;00022ED3&quot;/&gt;&lt;wsp:rsid wsp:val=&quot;0002310D&quot;/&gt;&lt;wsp:rsid wsp:val=&quot;0002325C&quot;/&gt;&lt;wsp:rsid wsp:val=&quot;000233B5&quot;/&gt;&lt;wsp:rsid wsp:val=&quot;000235C8&quot;/&gt;&lt;wsp:rsid wsp:val=&quot;000237E7&quot;/&gt;&lt;wsp:rsid wsp:val=&quot;000238DD&quot;/&gt;&lt;wsp:rsid wsp:val=&quot;00023B4A&quot;/&gt;&lt;wsp:rsid wsp:val=&quot;00023CDA&quot;/&gt;&lt;wsp:rsid wsp:val=&quot;0002413B&quot;/&gt;&lt;wsp:rsid wsp:val=&quot;000244A8&quot;/&gt;&lt;wsp:rsid wsp:val=&quot;0002487C&quot;/&gt;&lt;wsp:rsid wsp:val=&quot;00024D37&quot;/&gt;&lt;wsp:rsid wsp:val=&quot;00024F28&quot;/&gt;&lt;wsp:rsid wsp:val=&quot;000252B6&quot;/&gt;&lt;wsp:rsid wsp:val=&quot;000254CC&quot;/&gt;&lt;wsp:rsid wsp:val=&quot;00025586&quot;/&gt;&lt;wsp:rsid wsp:val=&quot;000260FE&quot;/&gt;&lt;wsp:rsid wsp:val=&quot;00026294&quot;/&gt;&lt;wsp:rsid wsp:val=&quot;00026338&quot;/&gt;&lt;wsp:rsid wsp:val=&quot;000266C8&quot;/&gt;&lt;wsp:rsid wsp:val=&quot;00026ABE&quot;/&gt;&lt;wsp:rsid wsp:val=&quot;00026FF4&quot;/&gt;&lt;wsp:rsid wsp:val=&quot;0002729C&quot;/&gt;&lt;wsp:rsid wsp:val=&quot;000279E6&quot;/&gt;&lt;wsp:rsid wsp:val=&quot;00027B3A&quot;/&gt;&lt;wsp:rsid wsp:val=&quot;00027C41&quot;/&gt;&lt;wsp:rsid wsp:val=&quot;00027F89&quot;/&gt;&lt;wsp:rsid wsp:val=&quot;0003050D&quot;/&gt;&lt;wsp:rsid wsp:val=&quot;00030523&quot;/&gt;&lt;wsp:rsid wsp:val=&quot;00031209&quot;/&gt;&lt;wsp:rsid wsp:val=&quot;00031883&quot;/&gt;&lt;wsp:rsid wsp:val=&quot;00032460&quot;/&gt;&lt;wsp:rsid wsp:val=&quot;0003252F&quot;/&gt;&lt;wsp:rsid wsp:val=&quot;000325E4&quot;/&gt;&lt;wsp:rsid wsp:val=&quot;000329BA&quot;/&gt;&lt;wsp:rsid wsp:val=&quot;00032F20&quot;/&gt;&lt;wsp:rsid wsp:val=&quot;000330C7&quot;/&gt;&lt;wsp:rsid wsp:val=&quot;00033121&quot;/&gt;&lt;wsp:rsid wsp:val=&quot;000332E2&quot;/&gt;&lt;wsp:rsid wsp:val=&quot;00033895&quot;/&gt;&lt;wsp:rsid wsp:val=&quot;00033D2D&quot;/&gt;&lt;wsp:rsid wsp:val=&quot;0003401B&quot;/&gt;&lt;wsp:rsid wsp:val=&quot;000341CE&quot;/&gt;&lt;wsp:rsid wsp:val=&quot;00034258&quot;/&gt;&lt;wsp:rsid wsp:val=&quot;00034677&quot;/&gt;&lt;wsp:rsid wsp:val=&quot;000355D5&quot;/&gt;&lt;wsp:rsid wsp:val=&quot;0003587E&quot;/&gt;&lt;wsp:rsid wsp:val=&quot;000358E5&quot;/&gt;&lt;wsp:rsid wsp:val=&quot;00035FC8&quot;/&gt;&lt;wsp:rsid wsp:val=&quot;00036085&quot;/&gt;&lt;wsp:rsid wsp:val=&quot;0003610F&quot;/&gt;&lt;wsp:rsid wsp:val=&quot;00036574&quot;/&gt;&lt;wsp:rsid wsp:val=&quot;00036A0C&quot;/&gt;&lt;wsp:rsid wsp:val=&quot;0003741C&quot;/&gt;&lt;wsp:rsid wsp:val=&quot;000375A9&quot;/&gt;&lt;wsp:rsid wsp:val=&quot;000375E4&quot;/&gt;&lt;wsp:rsid wsp:val=&quot;00037990&quot;/&gt;&lt;wsp:rsid wsp:val=&quot;000379E2&quot;/&gt;&lt;wsp:rsid wsp:val=&quot;00037A8B&quot;/&gt;&lt;wsp:rsid wsp:val=&quot;00037B44&quot;/&gt;&lt;wsp:rsid wsp:val=&quot;00037D86&quot;/&gt;&lt;wsp:rsid wsp:val=&quot;000401B5&quot;/&gt;&lt;wsp:rsid wsp:val=&quot;00040704&quot;/&gt;&lt;wsp:rsid wsp:val=&quot;00040747&quot;/&gt;&lt;wsp:rsid wsp:val=&quot;00040937&quot;/&gt;&lt;wsp:rsid wsp:val=&quot;00040B84&quot;/&gt;&lt;wsp:rsid wsp:val=&quot;00040C12&quot;/&gt;&lt;wsp:rsid wsp:val=&quot;00040DA1&quot;/&gt;&lt;wsp:rsid wsp:val=&quot;00040F18&quot;/&gt;&lt;wsp:rsid wsp:val=&quot;0004110F&quot;/&gt;&lt;wsp:rsid wsp:val=&quot;000412EB&quot;/&gt;&lt;wsp:rsid wsp:val=&quot;0004138D&quot;/&gt;&lt;wsp:rsid wsp:val=&quot;000413F1&quot;/&gt;&lt;wsp:rsid wsp:val=&quot;000414C0&quot;/&gt;&lt;wsp:rsid wsp:val=&quot;00041E8F&quot;/&gt;&lt;wsp:rsid wsp:val=&quot;00041F06&quot;/&gt;&lt;wsp:rsid wsp:val=&quot;0004255B&quot;/&gt;&lt;wsp:rsid wsp:val=&quot;00042594&quot;/&gt;&lt;wsp:rsid wsp:val=&quot;0004273E&quot;/&gt;&lt;wsp:rsid wsp:val=&quot;00042764&quot;/&gt;&lt;wsp:rsid wsp:val=&quot;00042F4A&quot;/&gt;&lt;wsp:rsid wsp:val=&quot;000430F4&quot;/&gt;&lt;wsp:rsid wsp:val=&quot;00043921&quot;/&gt;&lt;wsp:rsid wsp:val=&quot;00043935&quot;/&gt;&lt;wsp:rsid wsp:val=&quot;00043EB2&quot;/&gt;&lt;wsp:rsid wsp:val=&quot;0004419F&quot;/&gt;&lt;wsp:rsid wsp:val=&quot;00044391&quot;/&gt;&lt;wsp:rsid wsp:val=&quot;0004446E&quot;/&gt;&lt;wsp:rsid wsp:val=&quot;000444B3&quot;/&gt;&lt;wsp:rsid wsp:val=&quot;00044538&quot;/&gt;&lt;wsp:rsid wsp:val=&quot;0004488A&quot;/&gt;&lt;wsp:rsid wsp:val=&quot;000449CE&quot;/&gt;&lt;wsp:rsid wsp:val=&quot;00044A16&quot;/&gt;&lt;wsp:rsid wsp:val=&quot;00044B5C&quot;/&gt;&lt;wsp:rsid wsp:val=&quot;00044D18&quot;/&gt;&lt;wsp:rsid wsp:val=&quot;00044E73&quot;/&gt;&lt;wsp:rsid wsp:val=&quot;00044F28&quot;/&gt;&lt;wsp:rsid wsp:val=&quot;00044FEF&quot;/&gt;&lt;wsp:rsid wsp:val=&quot;00045598&quot;/&gt;&lt;wsp:rsid wsp:val=&quot;00045B35&quot;/&gt;&lt;wsp:rsid wsp:val=&quot;00045E51&quot;/&gt;&lt;wsp:rsid wsp:val=&quot;00046110&quot;/&gt;&lt;wsp:rsid wsp:val=&quot;00046429&quot;/&gt;&lt;wsp:rsid wsp:val=&quot;0004668C&quot;/&gt;&lt;wsp:rsid wsp:val=&quot;000475D4&quot;/&gt;&lt;wsp:rsid wsp:val=&quot;00047C17&quot;/&gt;&lt;wsp:rsid wsp:val=&quot;00047C27&quot;/&gt;&lt;wsp:rsid wsp:val=&quot;00047C59&quot;/&gt;&lt;wsp:rsid wsp:val=&quot;00047F34&quot;/&gt;&lt;wsp:rsid wsp:val=&quot;000504F0&quot;/&gt;&lt;wsp:rsid wsp:val=&quot;00050664&quot;/&gt;&lt;wsp:rsid wsp:val=&quot;00050880&quot;/&gt;&lt;wsp:rsid wsp:val=&quot;00050993&quot;/&gt;&lt;wsp:rsid wsp:val=&quot;00050FD6&quot;/&gt;&lt;wsp:rsid wsp:val=&quot;00051206&quot;/&gt;&lt;wsp:rsid wsp:val=&quot;000515A2&quot;/&gt;&lt;wsp:rsid wsp:val=&quot;00051F54&quot;/&gt;&lt;wsp:rsid wsp:val=&quot;000520A1&quot;/&gt;&lt;wsp:rsid wsp:val=&quot;000525EB&quot;/&gt;&lt;wsp:rsid wsp:val=&quot;0005266E&quot;/&gt;&lt;wsp:rsid wsp:val=&quot;000527E0&quot;/&gt;&lt;wsp:rsid wsp:val=&quot;00052923&quot;/&gt;&lt;wsp:rsid wsp:val=&quot;00052D26&quot;/&gt;&lt;wsp:rsid wsp:val=&quot;00052E31&quot;/&gt;&lt;wsp:rsid wsp:val=&quot;000535A5&quot;/&gt;&lt;wsp:rsid wsp:val=&quot;000536A3&quot;/&gt;&lt;wsp:rsid wsp:val=&quot;00053D10&quot;/&gt;&lt;wsp:rsid wsp:val=&quot;00053F2B&quot;/&gt;&lt;wsp:rsid wsp:val=&quot;00053F37&quot;/&gt;&lt;wsp:rsid wsp:val=&quot;000546C9&quot;/&gt;&lt;wsp:rsid wsp:val=&quot;000547F3&quot;/&gt;&lt;wsp:rsid wsp:val=&quot;000548C7&quot;/&gt;&lt;wsp:rsid wsp:val=&quot;00054E12&quot;/&gt;&lt;wsp:rsid wsp:val=&quot;00054E32&quot;/&gt;&lt;wsp:rsid wsp:val=&quot;000551DD&quot;/&gt;&lt;wsp:rsid wsp:val=&quot;0005551E&quot;/&gt;&lt;wsp:rsid wsp:val=&quot;00055725&quot;/&gt;&lt;wsp:rsid wsp:val=&quot;0005582F&quot;/&gt;&lt;wsp:rsid wsp:val=&quot;000558B6&quot;/&gt;&lt;wsp:rsid wsp:val=&quot;00055A9A&quot;/&gt;&lt;wsp:rsid wsp:val=&quot;00055D45&quot;/&gt;&lt;wsp:rsid wsp:val=&quot;00055E28&quot;/&gt;&lt;wsp:rsid wsp:val=&quot;000563E2&quot;/&gt;&lt;wsp:rsid wsp:val=&quot;0005646A&quot;/&gt;&lt;wsp:rsid wsp:val=&quot;00056820&quot;/&gt;&lt;wsp:rsid wsp:val=&quot;00056C8F&quot;/&gt;&lt;wsp:rsid wsp:val=&quot;000570B4&quot;/&gt;&lt;wsp:rsid wsp:val=&quot;00057287&quot;/&gt;&lt;wsp:rsid wsp:val=&quot;00057450&quot;/&gt;&lt;wsp:rsid wsp:val=&quot;00057FD1&quot;/&gt;&lt;wsp:rsid wsp:val=&quot;000605C6&quot;/&gt;&lt;wsp:rsid wsp:val=&quot;0006094F&quot;/&gt;&lt;wsp:rsid wsp:val=&quot;00060D9A&quot;/&gt;&lt;wsp:rsid wsp:val=&quot;0006114D&quot;/&gt;&lt;wsp:rsid wsp:val=&quot;00061342&quot;/&gt;&lt;wsp:rsid wsp:val=&quot;000616FB&quot;/&gt;&lt;wsp:rsid wsp:val=&quot;00061D4B&quot;/&gt;&lt;wsp:rsid wsp:val=&quot;0006251F&quot;/&gt;&lt;wsp:rsid wsp:val=&quot;00062BCA&quot;/&gt;&lt;wsp:rsid wsp:val=&quot;00063845&quot;/&gt;&lt;wsp:rsid wsp:val=&quot;00063E7D&quot;/&gt;&lt;wsp:rsid wsp:val=&quot;00063F8C&quot;/&gt;&lt;wsp:rsid wsp:val=&quot;00064336&quot;/&gt;&lt;wsp:rsid wsp:val=&quot;000643A2&quot;/&gt;&lt;wsp:rsid wsp:val=&quot;00064B66&quot;/&gt;&lt;wsp:rsid wsp:val=&quot;00064F9D&quot;/&gt;&lt;wsp:rsid wsp:val=&quot;0006561A&quot;/&gt;&lt;wsp:rsid wsp:val=&quot;000659B9&quot;/&gt;&lt;wsp:rsid wsp:val=&quot;00065B48&quot;/&gt;&lt;wsp:rsid wsp:val=&quot;00065F03&quot;/&gt;&lt;wsp:rsid wsp:val=&quot;00066175&quot;/&gt;&lt;wsp:rsid wsp:val=&quot;000661F0&quot;/&gt;&lt;wsp:rsid wsp:val=&quot;00066384&quot;/&gt;&lt;wsp:rsid wsp:val=&quot;00066556&quot;/&gt;&lt;wsp:rsid wsp:val=&quot;00066C9F&quot;/&gt;&lt;wsp:rsid wsp:val=&quot;00066D83&quot;/&gt;&lt;wsp:rsid wsp:val=&quot;00067045&quot;/&gt;&lt;wsp:rsid wsp:val=&quot;00067A40&quot;/&gt;&lt;wsp:rsid wsp:val=&quot;00067AA3&quot;/&gt;&lt;wsp:rsid wsp:val=&quot;00067AB9&quot;/&gt;&lt;wsp:rsid wsp:val=&quot;00070000&quot;/&gt;&lt;wsp:rsid wsp:val=&quot;00070067&quot;/&gt;&lt;wsp:rsid wsp:val=&quot;0007015F&quot;/&gt;&lt;wsp:rsid wsp:val=&quot;000702C2&quot;/&gt;&lt;wsp:rsid wsp:val=&quot;000702C6&quot;/&gt;&lt;wsp:rsid wsp:val=&quot;00070A24&quot;/&gt;&lt;wsp:rsid wsp:val=&quot;00071628&quot;/&gt;&lt;wsp:rsid wsp:val=&quot;0007185F&quot;/&gt;&lt;wsp:rsid wsp:val=&quot;00072553&quot;/&gt;&lt;wsp:rsid wsp:val=&quot;00072E07&quot;/&gt;&lt;wsp:rsid wsp:val=&quot;00073729&quot;/&gt;&lt;wsp:rsid wsp:val=&quot;000739F2&quot;/&gt;&lt;wsp:rsid wsp:val=&quot;00073E02&quot;/&gt;&lt;wsp:rsid wsp:val=&quot;00074052&quot;/&gt;&lt;wsp:rsid wsp:val=&quot;00074807&quot;/&gt;&lt;wsp:rsid wsp:val=&quot;00075396&quot;/&gt;&lt;wsp:rsid wsp:val=&quot;00075542&quot;/&gt;&lt;wsp:rsid wsp:val=&quot;00075821&quot;/&gt;&lt;wsp:rsid wsp:val=&quot;00075BDC&quot;/&gt;&lt;wsp:rsid wsp:val=&quot;00075C12&quot;/&gt;&lt;wsp:rsid wsp:val=&quot;00076244&quot;/&gt;&lt;wsp:rsid wsp:val=&quot;0007658B&quot;/&gt;&lt;wsp:rsid wsp:val=&quot;000765A5&quot;/&gt;&lt;wsp:rsid wsp:val=&quot;000766B1&quot;/&gt;&lt;wsp:rsid wsp:val=&quot;00076AEC&quot;/&gt;&lt;wsp:rsid wsp:val=&quot;00076B85&quot;/&gt;&lt;wsp:rsid wsp:val=&quot;00077223&quot;/&gt;&lt;wsp:rsid wsp:val=&quot;000775BC&quot;/&gt;&lt;wsp:rsid wsp:val=&quot;00077735&quot;/&gt;&lt;wsp:rsid wsp:val=&quot;00077964&quot;/&gt;&lt;wsp:rsid wsp:val=&quot;00077AC7&quot;/&gt;&lt;wsp:rsid wsp:val=&quot;00080093&quot;/&gt;&lt;wsp:rsid wsp:val=&quot;00080B60&quot;/&gt;&lt;wsp:rsid wsp:val=&quot;00080D86&quot;/&gt;&lt;wsp:rsid wsp:val=&quot;0008123C&quot;/&gt;&lt;wsp:rsid wsp:val=&quot;000815B0&quot;/&gt;&lt;wsp:rsid wsp:val=&quot;000822F8&quot;/&gt;&lt;wsp:rsid wsp:val=&quot;0008289C&quot;/&gt;&lt;wsp:rsid wsp:val=&quot;00082ACC&quot;/&gt;&lt;wsp:rsid wsp:val=&quot;00082EC5&quot;/&gt;&lt;wsp:rsid wsp:val=&quot;00083307&quot;/&gt;&lt;wsp:rsid wsp:val=&quot;0008338D&quot;/&gt;&lt;wsp:rsid wsp:val=&quot;00083405&quot;/&gt;&lt;wsp:rsid wsp:val=&quot;00083653&quot;/&gt;&lt;wsp:rsid wsp:val=&quot;00083ADB&quot;/&gt;&lt;wsp:rsid wsp:val=&quot;00083BC4&quot;/&gt;&lt;wsp:rsid wsp:val=&quot;00083C79&quot;/&gt;&lt;wsp:rsid wsp:val=&quot;000845BC&quot;/&gt;&lt;wsp:rsid wsp:val=&quot;00084681&quot;/&gt;&lt;wsp:rsid wsp:val=&quot;000849E2&quot;/&gt;&lt;wsp:rsid wsp:val=&quot;00085033&quot;/&gt;&lt;wsp:rsid wsp:val=&quot;0008530A&quot;/&gt;&lt;wsp:rsid wsp:val=&quot;00085A95&quot;/&gt;&lt;wsp:rsid wsp:val=&quot;00085CFD&quot;/&gt;&lt;wsp:rsid wsp:val=&quot;0008620C&quot;/&gt;&lt;wsp:rsid wsp:val=&quot;00086329&quot;/&gt;&lt;wsp:rsid wsp:val=&quot;0008638E&quot;/&gt;&lt;wsp:rsid wsp:val=&quot;00086444&quot;/&gt;&lt;wsp:rsid wsp:val=&quot;00086BB9&quot;/&gt;&lt;wsp:rsid wsp:val=&quot;00087727&quot;/&gt;&lt;wsp:rsid wsp:val=&quot;000877E2&quot;/&gt;&lt;wsp:rsid wsp:val=&quot;00087AC4&quot;/&gt;&lt;wsp:rsid wsp:val=&quot;00087E23&quot;/&gt;&lt;wsp:rsid wsp:val=&quot;0009014C&quot;/&gt;&lt;wsp:rsid wsp:val=&quot;0009092E&quot;/&gt;&lt;wsp:rsid wsp:val=&quot;00090D88&quot;/&gt;&lt;wsp:rsid wsp:val=&quot;00091590&quot;/&gt;&lt;wsp:rsid wsp:val=&quot;0009167E&quot;/&gt;&lt;wsp:rsid wsp:val=&quot;00091B44&quot;/&gt;&lt;wsp:rsid wsp:val=&quot;00091DDD&quot;/&gt;&lt;wsp:rsid wsp:val=&quot;00092244&quot;/&gt;&lt;wsp:rsid wsp:val=&quot;000922A0&quot;/&gt;&lt;wsp:rsid wsp:val=&quot;0009250A&quot;/&gt;&lt;wsp:rsid wsp:val=&quot;00092832&quot;/&gt;&lt;wsp:rsid wsp:val=&quot;00092880&quot;/&gt;&lt;wsp:rsid wsp:val=&quot;000928B8&quot;/&gt;&lt;wsp:rsid wsp:val=&quot;00092BDB&quot;/&gt;&lt;wsp:rsid wsp:val=&quot;00092D38&quot;/&gt;&lt;wsp:rsid wsp:val=&quot;00092DF8&quot;/&gt;&lt;wsp:rsid wsp:val=&quot;00093306&quot;/&gt;&lt;wsp:rsid wsp:val=&quot;00093658&quot;/&gt;&lt;wsp:rsid wsp:val=&quot;000936D3&quot;/&gt;&lt;wsp:rsid wsp:val=&quot;00093D53&quot;/&gt;&lt;wsp:rsid wsp:val=&quot;00093FD6&quot;/&gt;&lt;wsp:rsid wsp:val=&quot;000943A3&quot;/&gt;&lt;wsp:rsid wsp:val=&quot;0009494C&quot;/&gt;&lt;wsp:rsid wsp:val=&quot;00094EE1&quot;/&gt;&lt;wsp:rsid wsp:val=&quot;00095196&quot;/&gt;&lt;wsp:rsid wsp:val=&quot;00095C3B&quot;/&gt;&lt;wsp:rsid wsp:val=&quot;00096485&quot;/&gt;&lt;wsp:rsid wsp:val=&quot;000964BF&quot;/&gt;&lt;wsp:rsid wsp:val=&quot;00096807&quot;/&gt;&lt;wsp:rsid wsp:val=&quot;00096843&quot;/&gt;&lt;wsp:rsid wsp:val=&quot;000968B5&quot;/&gt;&lt;wsp:rsid wsp:val=&quot;00096B2F&quot;/&gt;&lt;wsp:rsid wsp:val=&quot;00096F78&quot;/&gt;&lt;wsp:rsid wsp:val=&quot;00097521&quot;/&gt;&lt;wsp:rsid wsp:val=&quot;000978B1&quot;/&gt;&lt;wsp:rsid wsp:val=&quot;000A002B&quot;/&gt;&lt;wsp:rsid wsp:val=&quot;000A0434&quot;/&gt;&lt;wsp:rsid wsp:val=&quot;000A04F0&quot;/&gt;&lt;wsp:rsid wsp:val=&quot;000A08A6&quot;/&gt;&lt;wsp:rsid wsp:val=&quot;000A0932&quot;/&gt;&lt;wsp:rsid wsp:val=&quot;000A0A93&quot;/&gt;&lt;wsp:rsid wsp:val=&quot;000A0BB0&quot;/&gt;&lt;wsp:rsid wsp:val=&quot;000A0DA2&quot;/&gt;&lt;wsp:rsid wsp:val=&quot;000A16CC&quot;/&gt;&lt;wsp:rsid wsp:val=&quot;000A1A46&quot;/&gt;&lt;wsp:rsid wsp:val=&quot;000A1B18&quot;/&gt;&lt;wsp:rsid wsp:val=&quot;000A1C8A&quot;/&gt;&lt;wsp:rsid wsp:val=&quot;000A379F&quot;/&gt;&lt;wsp:rsid wsp:val=&quot;000A38E0&quot;/&gt;&lt;wsp:rsid wsp:val=&quot;000A39DE&quot;/&gt;&lt;wsp:rsid wsp:val=&quot;000A3C68&quot;/&gt;&lt;wsp:rsid wsp:val=&quot;000A3F95&quot;/&gt;&lt;wsp:rsid wsp:val=&quot;000A4373&quot;/&gt;&lt;wsp:rsid wsp:val=&quot;000A4670&quot;/&gt;&lt;wsp:rsid wsp:val=&quot;000A477D&quot;/&gt;&lt;wsp:rsid wsp:val=&quot;000A47CF&quot;/&gt;&lt;wsp:rsid wsp:val=&quot;000A4C05&quot;/&gt;&lt;wsp:rsid wsp:val=&quot;000A4D03&quot;/&gt;&lt;wsp:rsid wsp:val=&quot;000A4FB4&quot;/&gt;&lt;wsp:rsid wsp:val=&quot;000A4FF6&quot;/&gt;&lt;wsp:rsid wsp:val=&quot;000A512E&quot;/&gt;&lt;wsp:rsid wsp:val=&quot;000A525A&quot;/&gt;&lt;wsp:rsid wsp:val=&quot;000A52FF&quot;/&gt;&lt;wsp:rsid wsp:val=&quot;000A57A2&quot;/&gt;&lt;wsp:rsid wsp:val=&quot;000A5EA9&quot;/&gt;&lt;wsp:rsid wsp:val=&quot;000A611E&quot;/&gt;&lt;wsp:rsid wsp:val=&quot;000A6372&quot;/&gt;&lt;wsp:rsid wsp:val=&quot;000A68B1&quot;/&gt;&lt;wsp:rsid wsp:val=&quot;000A6AAC&quot;/&gt;&lt;wsp:rsid wsp:val=&quot;000A6BF9&quot;/&gt;&lt;wsp:rsid wsp:val=&quot;000A6E06&quot;/&gt;&lt;wsp:rsid wsp:val=&quot;000A718C&quot;/&gt;&lt;wsp:rsid wsp:val=&quot;000A741A&quot;/&gt;&lt;wsp:rsid wsp:val=&quot;000A7430&quot;/&gt;&lt;wsp:rsid wsp:val=&quot;000A7482&quot;/&gt;&lt;wsp:rsid wsp:val=&quot;000A7895&quot;/&gt;&lt;wsp:rsid wsp:val=&quot;000A7BD7&quot;/&gt;&lt;wsp:rsid wsp:val=&quot;000A7D80&quot;/&gt;&lt;wsp:rsid wsp:val=&quot;000B1142&quot;/&gt;&lt;wsp:rsid wsp:val=&quot;000B1322&quot;/&gt;&lt;wsp:rsid wsp:val=&quot;000B149A&quot;/&gt;&lt;wsp:rsid wsp:val=&quot;000B14DF&quot;/&gt;&lt;wsp:rsid wsp:val=&quot;000B167D&quot;/&gt;&lt;wsp:rsid wsp:val=&quot;000B1B67&quot;/&gt;&lt;wsp:rsid wsp:val=&quot;000B1E31&quot;/&gt;&lt;wsp:rsid wsp:val=&quot;000B221A&quot;/&gt;&lt;wsp:rsid wsp:val=&quot;000B251B&quot;/&gt;&lt;wsp:rsid wsp:val=&quot;000B25C3&quot;/&gt;&lt;wsp:rsid wsp:val=&quot;000B27FD&quot;/&gt;&lt;wsp:rsid wsp:val=&quot;000B286C&quot;/&gt;&lt;wsp:rsid wsp:val=&quot;000B2B47&quot;/&gt;&lt;wsp:rsid wsp:val=&quot;000B2B6B&quot;/&gt;&lt;wsp:rsid wsp:val=&quot;000B2C1A&quot;/&gt;&lt;wsp:rsid wsp:val=&quot;000B2EB4&quot;/&gt;&lt;wsp:rsid wsp:val=&quot;000B3481&quot;/&gt;&lt;wsp:rsid wsp:val=&quot;000B3B79&quot;/&gt;&lt;wsp:rsid wsp:val=&quot;000B4097&quot;/&gt;&lt;wsp:rsid wsp:val=&quot;000B40D5&quot;/&gt;&lt;wsp:rsid wsp:val=&quot;000B439E&quot;/&gt;&lt;wsp:rsid wsp:val=&quot;000B4880&quot;/&gt;&lt;wsp:rsid wsp:val=&quot;000B4C48&quot;/&gt;&lt;wsp:rsid wsp:val=&quot;000B51E8&quot;/&gt;&lt;wsp:rsid wsp:val=&quot;000B5B75&quot;/&gt;&lt;wsp:rsid wsp:val=&quot;000B5B94&quot;/&gt;&lt;wsp:rsid wsp:val=&quot;000B5C9E&quot;/&gt;&lt;wsp:rsid wsp:val=&quot;000B641C&quot;/&gt;&lt;wsp:rsid wsp:val=&quot;000B6424&quot;/&gt;&lt;wsp:rsid wsp:val=&quot;000B6501&quot;/&gt;&lt;wsp:rsid wsp:val=&quot;000B6618&quot;/&gt;&lt;wsp:rsid wsp:val=&quot;000B693A&quot;/&gt;&lt;wsp:rsid wsp:val=&quot;000B69BA&quot;/&gt;&lt;wsp:rsid wsp:val=&quot;000B6EF4&quot;/&gt;&lt;wsp:rsid wsp:val=&quot;000B6F17&quot;/&gt;&lt;wsp:rsid wsp:val=&quot;000B6F8A&quot;/&gt;&lt;wsp:rsid wsp:val=&quot;000B7311&quot;/&gt;&lt;wsp:rsid wsp:val=&quot;000B7768&quot;/&gt;&lt;wsp:rsid wsp:val=&quot;000B79A3&quot;/&gt;&lt;wsp:rsid wsp:val=&quot;000C060E&quot;/&gt;&lt;wsp:rsid wsp:val=&quot;000C0854&quot;/&gt;&lt;wsp:rsid wsp:val=&quot;000C0E5A&quot;/&gt;&lt;wsp:rsid wsp:val=&quot;000C0F02&quot;/&gt;&lt;wsp:rsid wsp:val=&quot;000C134A&quot;/&gt;&lt;wsp:rsid wsp:val=&quot;000C1706&quot;/&gt;&lt;wsp:rsid wsp:val=&quot;000C1C1D&quot;/&gt;&lt;wsp:rsid wsp:val=&quot;000C1CF9&quot;/&gt;&lt;wsp:rsid wsp:val=&quot;000C1E63&quot;/&gt;&lt;wsp:rsid wsp:val=&quot;000C1FAA&quot;/&gt;&lt;wsp:rsid wsp:val=&quot;000C2A69&quot;/&gt;&lt;wsp:rsid wsp:val=&quot;000C313A&quot;/&gt;&lt;wsp:rsid wsp:val=&quot;000C313D&quot;/&gt;&lt;wsp:rsid wsp:val=&quot;000C324D&quot;/&gt;&lt;wsp:rsid wsp:val=&quot;000C3271&quot;/&gt;&lt;wsp:rsid wsp:val=&quot;000C34E4&quot;/&gt;&lt;wsp:rsid wsp:val=&quot;000C3563&quot;/&gt;&lt;wsp:rsid wsp:val=&quot;000C36F0&quot;/&gt;&lt;wsp:rsid wsp:val=&quot;000C3850&quot;/&gt;&lt;wsp:rsid wsp:val=&quot;000C3B1C&quot;/&gt;&lt;wsp:rsid wsp:val=&quot;000C3D26&quot;/&gt;&lt;wsp:rsid wsp:val=&quot;000C3E41&quot;/&gt;&lt;wsp:rsid wsp:val=&quot;000C40E5&quot;/&gt;&lt;wsp:rsid wsp:val=&quot;000C458C&quot;/&gt;&lt;wsp:rsid wsp:val=&quot;000C4D5D&quot;/&gt;&lt;wsp:rsid wsp:val=&quot;000C55A4&quot;/&gt;&lt;wsp:rsid wsp:val=&quot;000C5DF7&quot;/&gt;&lt;wsp:rsid wsp:val=&quot;000C6617&quot;/&gt;&lt;wsp:rsid wsp:val=&quot;000C68A4&quot;/&gt;&lt;wsp:rsid wsp:val=&quot;000C695C&quot;/&gt;&lt;wsp:rsid wsp:val=&quot;000C7051&quot;/&gt;&lt;wsp:rsid wsp:val=&quot;000C75BD&quot;/&gt;&lt;wsp:rsid wsp:val=&quot;000C771E&quot;/&gt;&lt;wsp:rsid wsp:val=&quot;000C7AF7&quot;/&gt;&lt;wsp:rsid wsp:val=&quot;000C7FDE&quot;/&gt;&lt;wsp:rsid wsp:val=&quot;000D024B&quot;/&gt;&lt;wsp:rsid wsp:val=&quot;000D03D3&quot;/&gt;&lt;wsp:rsid wsp:val=&quot;000D04D2&quot;/&gt;&lt;wsp:rsid wsp:val=&quot;000D05CB&quot;/&gt;&lt;wsp:rsid wsp:val=&quot;000D06AA&quot;/&gt;&lt;wsp:rsid wsp:val=&quot;000D0A5E&quot;/&gt;&lt;wsp:rsid wsp:val=&quot;000D0E34&quot;/&gt;&lt;wsp:rsid wsp:val=&quot;000D123D&quot;/&gt;&lt;wsp:rsid wsp:val=&quot;000D12B2&quot;/&gt;&lt;wsp:rsid wsp:val=&quot;000D1489&quot;/&gt;&lt;wsp:rsid wsp:val=&quot;000D1698&quot;/&gt;&lt;wsp:rsid wsp:val=&quot;000D1A50&quot;/&gt;&lt;wsp:rsid wsp:val=&quot;000D1C03&quot;/&gt;&lt;wsp:rsid wsp:val=&quot;000D1D53&quot;/&gt;&lt;wsp:rsid wsp:val=&quot;000D232C&quot;/&gt;&lt;wsp:rsid wsp:val=&quot;000D285E&quot;/&gt;&lt;wsp:rsid wsp:val=&quot;000D28F0&quot;/&gt;&lt;wsp:rsid wsp:val=&quot;000D296A&quot;/&gt;&lt;wsp:rsid wsp:val=&quot;000D2992&quot;/&gt;&lt;wsp:rsid wsp:val=&quot;000D2C72&quot;/&gt;&lt;wsp:rsid wsp:val=&quot;000D31FD&quot;/&gt;&lt;wsp:rsid wsp:val=&quot;000D3378&quot;/&gt;&lt;wsp:rsid wsp:val=&quot;000D35B2&quot;/&gt;&lt;wsp:rsid wsp:val=&quot;000D3671&quot;/&gt;&lt;wsp:rsid wsp:val=&quot;000D409D&quot;/&gt;&lt;wsp:rsid wsp:val=&quot;000D4513&quot;/&gt;&lt;wsp:rsid wsp:val=&quot;000D4CD0&quot;/&gt;&lt;wsp:rsid wsp:val=&quot;000D4D1D&quot;/&gt;&lt;wsp:rsid wsp:val=&quot;000D4DC6&quot;/&gt;&lt;wsp:rsid wsp:val=&quot;000D4F86&quot;/&gt;&lt;wsp:rsid wsp:val=&quot;000D50D1&quot;/&gt;&lt;wsp:rsid wsp:val=&quot;000D54E7&quot;/&gt;&lt;wsp:rsid wsp:val=&quot;000D5542&quot;/&gt;&lt;wsp:rsid wsp:val=&quot;000D569C&quot;/&gt;&lt;wsp:rsid wsp:val=&quot;000D57B5&quot;/&gt;&lt;wsp:rsid wsp:val=&quot;000D580C&quot;/&gt;&lt;wsp:rsid wsp:val=&quot;000D5848&quot;/&gt;&lt;wsp:rsid wsp:val=&quot;000D59E3&quot;/&gt;&lt;wsp:rsid wsp:val=&quot;000D5ACC&quot;/&gt;&lt;wsp:rsid wsp:val=&quot;000D5E6D&quot;/&gt;&lt;wsp:rsid wsp:val=&quot;000D5ED1&quot;/&gt;&lt;wsp:rsid wsp:val=&quot;000D6903&quot;/&gt;&lt;wsp:rsid wsp:val=&quot;000D6F84&quot;/&gt;&lt;wsp:rsid wsp:val=&quot;000D6FE1&quot;/&gt;&lt;wsp:rsid wsp:val=&quot;000D708D&quot;/&gt;&lt;wsp:rsid wsp:val=&quot;000D753B&quot;/&gt;&lt;wsp:rsid wsp:val=&quot;000D7FBD&quot;/&gt;&lt;wsp:rsid wsp:val=&quot;000E00E8&quot;/&gt;&lt;wsp:rsid wsp:val=&quot;000E013F&quot;/&gt;&lt;wsp:rsid wsp:val=&quot;000E08A7&quot;/&gt;&lt;wsp:rsid wsp:val=&quot;000E0D19&quot;/&gt;&lt;wsp:rsid wsp:val=&quot;000E1064&quot;/&gt;&lt;wsp:rsid wsp:val=&quot;000E1137&quot;/&gt;&lt;wsp:rsid wsp:val=&quot;000E1324&quot;/&gt;&lt;wsp:rsid wsp:val=&quot;000E147C&quot;/&gt;&lt;wsp:rsid wsp:val=&quot;000E16EE&quot;/&gt;&lt;wsp:rsid wsp:val=&quot;000E1736&quot;/&gt;&lt;wsp:rsid wsp:val=&quot;000E1B5F&quot;/&gt;&lt;wsp:rsid wsp:val=&quot;000E20CF&quot;/&gt;&lt;wsp:rsid wsp:val=&quot;000E2277&quot;/&gt;&lt;wsp:rsid wsp:val=&quot;000E22A7&quot;/&gt;&lt;wsp:rsid wsp:val=&quot;000E22ED&quot;/&gt;&lt;wsp:rsid wsp:val=&quot;000E25F1&quot;/&gt;&lt;wsp:rsid wsp:val=&quot;000E2A13&quot;/&gt;&lt;wsp:rsid wsp:val=&quot;000E32F7&quot;/&gt;&lt;wsp:rsid wsp:val=&quot;000E381E&quot;/&gt;&lt;wsp:rsid wsp:val=&quot;000E3AEB&quot;/&gt;&lt;wsp:rsid wsp:val=&quot;000E4019&quot;/&gt;&lt;wsp:rsid wsp:val=&quot;000E4421&quot;/&gt;&lt;wsp:rsid wsp:val=&quot;000E4906&quot;/&gt;&lt;wsp:rsid wsp:val=&quot;000E4CA2&quot;/&gt;&lt;wsp:rsid wsp:val=&quot;000E4F6D&quot;/&gt;&lt;wsp:rsid wsp:val=&quot;000E5496&quot;/&gt;&lt;wsp:rsid wsp:val=&quot;000E56AD&quot;/&gt;&lt;wsp:rsid wsp:val=&quot;000E56C5&quot;/&gt;&lt;wsp:rsid wsp:val=&quot;000E5B04&quot;/&gt;&lt;wsp:rsid wsp:val=&quot;000E64B9&quot;/&gt;&lt;wsp:rsid wsp:val=&quot;000E6562&quot;/&gt;&lt;wsp:rsid wsp:val=&quot;000E6586&quot;/&gt;&lt;wsp:rsid wsp:val=&quot;000E72CA&quot;/&gt;&lt;wsp:rsid wsp:val=&quot;000E7460&quot;/&gt;&lt;wsp:rsid wsp:val=&quot;000E785F&quot;/&gt;&lt;wsp:rsid wsp:val=&quot;000F0095&quot;/&gt;&lt;wsp:rsid wsp:val=&quot;000F0866&quot;/&gt;&lt;wsp:rsid wsp:val=&quot;000F08DE&quot;/&gt;&lt;wsp:rsid wsp:val=&quot;000F0AEA&quot;/&gt;&lt;wsp:rsid wsp:val=&quot;000F0B14&quot;/&gt;&lt;wsp:rsid wsp:val=&quot;000F0D9D&quot;/&gt;&lt;wsp:rsid wsp:val=&quot;000F1187&quot;/&gt;&lt;wsp:rsid wsp:val=&quot;000F13C2&quot;/&gt;&lt;wsp:rsid wsp:val=&quot;000F15F2&quot;/&gt;&lt;wsp:rsid wsp:val=&quot;000F1830&quot;/&gt;&lt;wsp:rsid wsp:val=&quot;000F1B9D&quot;/&gt;&lt;wsp:rsid wsp:val=&quot;000F2759&quot;/&gt;&lt;wsp:rsid wsp:val=&quot;000F317F&quot;/&gt;&lt;wsp:rsid wsp:val=&quot;000F337B&quot;/&gt;&lt;wsp:rsid wsp:val=&quot;000F3CC7&quot;/&gt;&lt;wsp:rsid wsp:val=&quot;000F403D&quot;/&gt;&lt;wsp:rsid wsp:val=&quot;000F4287&quot;/&gt;&lt;wsp:rsid wsp:val=&quot;000F4389&quot;/&gt;&lt;wsp:rsid wsp:val=&quot;000F484B&quot;/&gt;&lt;wsp:rsid wsp:val=&quot;000F4FAE&quot;/&gt;&lt;wsp:rsid wsp:val=&quot;000F5591&quot;/&gt;&lt;wsp:rsid wsp:val=&quot;000F57E4&quot;/&gt;&lt;wsp:rsid wsp:val=&quot;000F5C16&quot;/&gt;&lt;wsp:rsid wsp:val=&quot;000F60E6&quot;/&gt;&lt;wsp:rsid wsp:val=&quot;000F6F5B&quot;/&gt;&lt;wsp:rsid wsp:val=&quot;000F743B&quot;/&gt;&lt;wsp:rsid wsp:val=&quot;000F79ED&quot;/&gt;&lt;wsp:rsid wsp:val=&quot;000F7E8F&quot;/&gt;&lt;wsp:rsid wsp:val=&quot;00100565&quot;/&gt;&lt;wsp:rsid wsp:val=&quot;0010079F&quot;/&gt;&lt;wsp:rsid wsp:val=&quot;001007F6&quot;/&gt;&lt;wsp:rsid wsp:val=&quot;0010085A&quot;/&gt;&lt;wsp:rsid wsp:val=&quot;00100B18&quot;/&gt;&lt;wsp:rsid wsp:val=&quot;00100C0C&quot;/&gt;&lt;wsp:rsid wsp:val=&quot;00100FA1&quot;/&gt;&lt;wsp:rsid wsp:val=&quot;00100FA5&quot;/&gt;&lt;wsp:rsid wsp:val=&quot;0010136D&quot;/&gt;&lt;wsp:rsid wsp:val=&quot;001013C0&quot;/&gt;&lt;wsp:rsid wsp:val=&quot;0010153E&quot;/&gt;&lt;wsp:rsid wsp:val=&quot;001017D1&quot;/&gt;&lt;wsp:rsid wsp:val=&quot;00101889&quot;/&gt;&lt;wsp:rsid wsp:val=&quot;00101BF0&quot;/&gt;&lt;wsp:rsid wsp:val=&quot;00102343&quot;/&gt;&lt;wsp:rsid wsp:val=&quot;00102433&quot;/&gt;&lt;wsp:rsid wsp:val=&quot;00102564&quot;/&gt;&lt;wsp:rsid wsp:val=&quot;001028FB&quot;/&gt;&lt;wsp:rsid wsp:val=&quot;0010291C&quot;/&gt;&lt;wsp:rsid wsp:val=&quot;00102B88&quot;/&gt;&lt;wsp:rsid wsp:val=&quot;00102C99&quot;/&gt;&lt;wsp:rsid wsp:val=&quot;00103887&quot;/&gt;&lt;wsp:rsid wsp:val=&quot;00103962&quot;/&gt;&lt;wsp:rsid wsp:val=&quot;00103D38&quot;/&gt;&lt;wsp:rsid wsp:val=&quot;00104722&quot;/&gt;&lt;wsp:rsid wsp:val=&quot;00104A66&quot;/&gt;&lt;wsp:rsid wsp:val=&quot;00104A96&quot;/&gt;&lt;wsp:rsid wsp:val=&quot;00104DF2&quot;/&gt;&lt;wsp:rsid wsp:val=&quot;00104E38&quot;/&gt;&lt;wsp:rsid wsp:val=&quot;00104E39&quot;/&gt;&lt;wsp:rsid wsp:val=&quot;001053AC&quot;/&gt;&lt;wsp:rsid wsp:val=&quot;001055E1&quot;/&gt;&lt;wsp:rsid wsp:val=&quot;001057A1&quot;/&gt;&lt;wsp:rsid wsp:val=&quot;00105C11&quot;/&gt;&lt;wsp:rsid wsp:val=&quot;00105CA0&quot;/&gt;&lt;wsp:rsid wsp:val=&quot;0010630B&quot;/&gt;&lt;wsp:rsid wsp:val=&quot;0010653D&quot;/&gt;&lt;wsp:rsid wsp:val=&quot;0010728C&quot;/&gt;&lt;wsp:rsid wsp:val=&quot;00107807&quot;/&gt;&lt;wsp:rsid wsp:val=&quot;0010780B&quot;/&gt;&lt;wsp:rsid wsp:val=&quot;0010794E&quot;/&gt;&lt;wsp:rsid wsp:val=&quot;00107B11&quot;/&gt;&lt;wsp:rsid wsp:val=&quot;00107B79&quot;/&gt;&lt;wsp:rsid wsp:val=&quot;00107D7C&quot;/&gt;&lt;wsp:rsid wsp:val=&quot;00107DE6&quot;/&gt;&lt;wsp:rsid wsp:val=&quot;00110460&quot;/&gt;&lt;wsp:rsid wsp:val=&quot;00110AD1&quot;/&gt;&lt;wsp:rsid wsp:val=&quot;00110B44&quot;/&gt;&lt;wsp:rsid wsp:val=&quot;00110C30&quot;/&gt;&lt;wsp:rsid wsp:val=&quot;00110DE8&quot;/&gt;&lt;wsp:rsid wsp:val=&quot;00111278&quot;/&gt;&lt;wsp:rsid wsp:val=&quot;00111481&quot;/&gt;&lt;wsp:rsid wsp:val=&quot;00111703&quot;/&gt;&lt;wsp:rsid wsp:val=&quot;001122D9&quot;/&gt;&lt;wsp:rsid wsp:val=&quot;001125E5&quot;/&gt;&lt;wsp:rsid wsp:val=&quot;001125E7&quot;/&gt;&lt;wsp:rsid wsp:val=&quot;0011327A&quot;/&gt;&lt;wsp:rsid wsp:val=&quot;001132D9&quot;/&gt;&lt;wsp:rsid wsp:val=&quot;00113605&quot;/&gt;&lt;wsp:rsid wsp:val=&quot;00113943&quot;/&gt;&lt;wsp:rsid wsp:val=&quot;00113975&quot;/&gt;&lt;wsp:rsid wsp:val=&quot;00113AE1&quot;/&gt;&lt;wsp:rsid wsp:val=&quot;00113D29&quot;/&gt;&lt;wsp:rsid wsp:val=&quot;0011400E&quot;/&gt;&lt;wsp:rsid wsp:val=&quot;0011403F&quot;/&gt;&lt;wsp:rsid wsp:val=&quot;001144DA&quot;/&gt;&lt;wsp:rsid wsp:val=&quot;0011463D&quot;/&gt;&lt;wsp:rsid wsp:val=&quot;001147C3&quot;/&gt;&lt;wsp:rsid wsp:val=&quot;00115092&quot;/&gt;&lt;wsp:rsid wsp:val=&quot;001151F3&quot;/&gt;&lt;wsp:rsid wsp:val=&quot;001151FC&quot;/&gt;&lt;wsp:rsid wsp:val=&quot;00115369&quot;/&gt;&lt;wsp:rsid wsp:val=&quot;00115564&quot;/&gt;&lt;wsp:rsid wsp:val=&quot;00115E0B&quot;/&gt;&lt;wsp:rsid wsp:val=&quot;00115E7A&quot;/&gt;&lt;wsp:rsid wsp:val=&quot;00115FB8&quot;/&gt;&lt;wsp:rsid wsp:val=&quot;001163B4&quot;/&gt;&lt;wsp:rsid wsp:val=&quot;0011652B&quot;/&gt;&lt;wsp:rsid wsp:val=&quot;0011673A&quot;/&gt;&lt;wsp:rsid wsp:val=&quot;001167F3&quot;/&gt;&lt;wsp:rsid wsp:val=&quot;0011681B&quot;/&gt;&lt;wsp:rsid wsp:val=&quot;00116D9F&quot;/&gt;&lt;wsp:rsid wsp:val=&quot;00117135&quot;/&gt;&lt;wsp:rsid wsp:val=&quot;00117DF4&quot;/&gt;&lt;wsp:rsid wsp:val=&quot;00117E44&quot;/&gt;&lt;wsp:rsid wsp:val=&quot;001208F5&quot;/&gt;&lt;wsp:rsid wsp:val=&quot;00120EEF&quot;/&gt;&lt;wsp:rsid wsp:val=&quot;00121126&quot;/&gt;&lt;wsp:rsid wsp:val=&quot;00121370&quot;/&gt;&lt;wsp:rsid wsp:val=&quot;00121427&quot;/&gt;&lt;wsp:rsid wsp:val=&quot;00121B9F&quot;/&gt;&lt;wsp:rsid wsp:val=&quot;001225E5&quot;/&gt;&lt;wsp:rsid wsp:val=&quot;00123406&quot;/&gt;&lt;wsp:rsid wsp:val=&quot;00124033&quot;/&gt;&lt;wsp:rsid wsp:val=&quot;0012413D&quot;/&gt;&lt;wsp:rsid wsp:val=&quot;0012415F&quot;/&gt;&lt;wsp:rsid wsp:val=&quot;0012466D&quot;/&gt;&lt;wsp:rsid wsp:val=&quot;001246E9&quot;/&gt;&lt;wsp:rsid wsp:val=&quot;00124768&quot;/&gt;&lt;wsp:rsid wsp:val=&quot;0012480C&quot;/&gt;&lt;wsp:rsid wsp:val=&quot;00124B97&quot;/&gt;&lt;wsp:rsid wsp:val=&quot;00124D10&quot;/&gt;&lt;wsp:rsid wsp:val=&quot;00124EFA&quot;/&gt;&lt;wsp:rsid wsp:val=&quot;001253F8&quot;/&gt;&lt;wsp:rsid wsp:val=&quot;001256E6&quot;/&gt;&lt;wsp:rsid wsp:val=&quot;00125704&quot;/&gt;&lt;wsp:rsid wsp:val=&quot;00125993&quot;/&gt;&lt;wsp:rsid wsp:val=&quot;00125E3E&quot;/&gt;&lt;wsp:rsid wsp:val=&quot;00125EC8&quot;/&gt;&lt;wsp:rsid wsp:val=&quot;001267F3&quot;/&gt;&lt;wsp:rsid wsp:val=&quot;00126B33&quot;/&gt;&lt;wsp:rsid wsp:val=&quot;00126B66&quot;/&gt;&lt;wsp:rsid wsp:val=&quot;00126C2D&quot;/&gt;&lt;wsp:rsid wsp:val=&quot;001275D2&quot;/&gt;&lt;wsp:rsid wsp:val=&quot;0012786E&quot;/&gt;&lt;wsp:rsid wsp:val=&quot;00127BAB&quot;/&gt;&lt;wsp:rsid wsp:val=&quot;00127E98&quot;/&gt;&lt;wsp:rsid wsp:val=&quot;00127FB2&quot;/&gt;&lt;wsp:rsid wsp:val=&quot;00127FB5&quot;/&gt;&lt;wsp:rsid wsp:val=&quot;00130A74&quot;/&gt;&lt;wsp:rsid wsp:val=&quot;00130C1F&quot;/&gt;&lt;wsp:rsid wsp:val=&quot;00130DF6&quot;/&gt;&lt;wsp:rsid wsp:val=&quot;001312C9&quot;/&gt;&lt;wsp:rsid wsp:val=&quot;001321C2&quot;/&gt;&lt;wsp:rsid wsp:val=&quot;0013228C&quot;/&gt;&lt;wsp:rsid wsp:val=&quot;00132445&quot;/&gt;&lt;wsp:rsid wsp:val=&quot;001324E1&quot;/&gt;&lt;wsp:rsid wsp:val=&quot;00132A51&quot;/&gt;&lt;wsp:rsid wsp:val=&quot;00132F01&quot;/&gt;&lt;wsp:rsid wsp:val=&quot;001331C9&quot;/&gt;&lt;wsp:rsid wsp:val=&quot;00133252&quot;/&gt;&lt;wsp:rsid wsp:val=&quot;0013329B&quot;/&gt;&lt;wsp:rsid wsp:val=&quot;0013382F&quot;/&gt;&lt;wsp:rsid wsp:val=&quot;00133B6E&quot;/&gt;&lt;wsp:rsid wsp:val=&quot;00133C59&quot;/&gt;&lt;wsp:rsid wsp:val=&quot;001340D6&quot;/&gt;&lt;wsp:rsid wsp:val=&quot;0013449E&quot;/&gt;&lt;wsp:rsid wsp:val=&quot;001348A5&quot;/&gt;&lt;wsp:rsid wsp:val=&quot;00134C65&quot;/&gt;&lt;wsp:rsid wsp:val=&quot;00135B13&quot;/&gt;&lt;wsp:rsid wsp:val=&quot;00135BE2&quot;/&gt;&lt;wsp:rsid wsp:val=&quot;00135E40&quot;/&gt;&lt;wsp:rsid wsp:val=&quot;00136038&quot;/&gt;&lt;wsp:rsid wsp:val=&quot;00136172&quot;/&gt;&lt;wsp:rsid wsp:val=&quot;00136726&quot;/&gt;&lt;wsp:rsid wsp:val=&quot;0013675C&quot;/&gt;&lt;wsp:rsid wsp:val=&quot;00136943&quot;/&gt;&lt;wsp:rsid wsp:val=&quot;00136DD5&quot;/&gt;&lt;wsp:rsid wsp:val=&quot;00137CD1&quot;/&gt;&lt;wsp:rsid wsp:val=&quot;00137DDF&quot;/&gt;&lt;wsp:rsid wsp:val=&quot;00140462&quot;/&gt;&lt;wsp:rsid wsp:val=&quot;001405F2&quot;/&gt;&lt;wsp:rsid wsp:val=&quot;00140671&quot;/&gt;&lt;wsp:rsid wsp:val=&quot;00140930&quot;/&gt;&lt;wsp:rsid wsp:val=&quot;00140D73&quot;/&gt;&lt;wsp:rsid wsp:val=&quot;0014116A&quot;/&gt;&lt;wsp:rsid wsp:val=&quot;0014122E&quot;/&gt;&lt;wsp:rsid wsp:val=&quot;001412BE&quot;/&gt;&lt;wsp:rsid wsp:val=&quot;0014148D&quot;/&gt;&lt;wsp:rsid wsp:val=&quot;00141775&quot;/&gt;&lt;wsp:rsid wsp:val=&quot;001419DB&quot;/&gt;&lt;wsp:rsid wsp:val=&quot;00141C07&quot;/&gt;&lt;wsp:rsid wsp:val=&quot;00141C08&quot;/&gt;&lt;wsp:rsid wsp:val=&quot;00141C38&quot;/&gt;&lt;wsp:rsid wsp:val=&quot;00141EB4&quot;/&gt;&lt;wsp:rsid wsp:val=&quot;00141F2E&quot;/&gt;&lt;wsp:rsid wsp:val=&quot;00141FDD&quot;/&gt;&lt;wsp:rsid wsp:val=&quot;0014294F&quot;/&gt;&lt;wsp:rsid wsp:val=&quot;001429CB&quot;/&gt;&lt;wsp:rsid wsp:val=&quot;00142FE8&quot;/&gt;&lt;wsp:rsid wsp:val=&quot;0014322A&quot;/&gt;&lt;wsp:rsid wsp:val=&quot;001436EE&quot;/&gt;&lt;wsp:rsid wsp:val=&quot;00143B0F&quot;/&gt;&lt;wsp:rsid wsp:val=&quot;00143BC4&quot;/&gt;&lt;wsp:rsid wsp:val=&quot;00143C67&quot;/&gt;&lt;wsp:rsid wsp:val=&quot;00143F7F&quot;/&gt;&lt;wsp:rsid wsp:val=&quot;00144047&quot;/&gt;&lt;wsp:rsid wsp:val=&quot;00144059&quot;/&gt;&lt;wsp:rsid wsp:val=&quot;001440E7&quot;/&gt;&lt;wsp:rsid wsp:val=&quot;00144344&quot;/&gt;&lt;wsp:rsid wsp:val=&quot;00144374&quot;/&gt;&lt;wsp:rsid wsp:val=&quot;0014437D&quot;/&gt;&lt;wsp:rsid wsp:val=&quot;0014466E&quot;/&gt;&lt;wsp:rsid wsp:val=&quot;00144673&quot;/&gt;&lt;wsp:rsid wsp:val=&quot;001446D2&quot;/&gt;&lt;wsp:rsid wsp:val=&quot;00144726&quot;/&gt;&lt;wsp:rsid wsp:val=&quot;00144767&quot;/&gt;&lt;wsp:rsid wsp:val=&quot;0014490D&quot;/&gt;&lt;wsp:rsid wsp:val=&quot;00144F35&quot;/&gt;&lt;wsp:rsid wsp:val=&quot;00145331&quot;/&gt;&lt;wsp:rsid wsp:val=&quot;001455DE&quot;/&gt;&lt;wsp:rsid wsp:val=&quot;00145803&quot;/&gt;&lt;wsp:rsid wsp:val=&quot;00145BF2&quot;/&gt;&lt;wsp:rsid wsp:val=&quot;00145C4D&quot;/&gt;&lt;wsp:rsid wsp:val=&quot;00146184&quot;/&gt;&lt;wsp:rsid wsp:val=&quot;00146391&quot;/&gt;&lt;wsp:rsid wsp:val=&quot;00146607&quot;/&gt;&lt;wsp:rsid wsp:val=&quot;0014699F&quot;/&gt;&lt;wsp:rsid wsp:val=&quot;00146A2F&quot;/&gt;&lt;wsp:rsid wsp:val=&quot;00146B05&quot;/&gt;&lt;wsp:rsid wsp:val=&quot;00146C8A&quot;/&gt;&lt;wsp:rsid wsp:val=&quot;00146D55&quot;/&gt;&lt;wsp:rsid wsp:val=&quot;00146F18&quot;/&gt;&lt;wsp:rsid wsp:val=&quot;00147126&quot;/&gt;&lt;wsp:rsid wsp:val=&quot;0014724F&quot;/&gt;&lt;wsp:rsid wsp:val=&quot;00147295&quot;/&gt;&lt;wsp:rsid wsp:val=&quot;00147818&quot;/&gt;&lt;wsp:rsid wsp:val=&quot;00147FEF&quot;/&gt;&lt;wsp:rsid wsp:val=&quot;00150376&quot;/&gt;&lt;wsp:rsid wsp:val=&quot;001503D0&quot;/&gt;&lt;wsp:rsid wsp:val=&quot;00150521&quot;/&gt;&lt;wsp:rsid wsp:val=&quot;00150814&quot;/&gt;&lt;wsp:rsid wsp:val=&quot;0015087D&quot;/&gt;&lt;wsp:rsid wsp:val=&quot;0015097F&quot;/&gt;&lt;wsp:rsid wsp:val=&quot;001509CA&quot;/&gt;&lt;wsp:rsid wsp:val=&quot;00150C1E&quot;/&gt;&lt;wsp:rsid wsp:val=&quot;0015167F&quot;/&gt;&lt;wsp:rsid wsp:val=&quot;00151943&quot;/&gt;&lt;wsp:rsid wsp:val=&quot;00151F94&quot;/&gt;&lt;wsp:rsid wsp:val=&quot;001524FB&quot;/&gt;&lt;wsp:rsid wsp:val=&quot;00152701&quot;/&gt;&lt;wsp:rsid wsp:val=&quot;00152B08&quot;/&gt;&lt;wsp:rsid wsp:val=&quot;00153540&quot;/&gt;&lt;wsp:rsid wsp:val=&quot;00153976&quot;/&gt;&lt;wsp:rsid wsp:val=&quot;00153DAE&quot;/&gt;&lt;wsp:rsid wsp:val=&quot;00153DC2&quot;/&gt;&lt;wsp:rsid wsp:val=&quot;001540BA&quot;/&gt;&lt;wsp:rsid wsp:val=&quot;00154274&quot;/&gt;&lt;wsp:rsid wsp:val=&quot;001543E0&quot;/&gt;&lt;wsp:rsid wsp:val=&quot;00154653&quot;/&gt;&lt;wsp:rsid wsp:val=&quot;00154F6D&quot;/&gt;&lt;wsp:rsid wsp:val=&quot;001556FC&quot;/&gt;&lt;wsp:rsid wsp:val=&quot;0015573A&quot;/&gt;&lt;wsp:rsid wsp:val=&quot;00155EEA&quot;/&gt;&lt;wsp:rsid wsp:val=&quot;00155FD9&quot;/&gt;&lt;wsp:rsid wsp:val=&quot;00156434&quot;/&gt;&lt;wsp:rsid wsp:val=&quot;00156556&quot;/&gt;&lt;wsp:rsid wsp:val=&quot;00156744&quot;/&gt;&lt;wsp:rsid wsp:val=&quot;00157387&quot;/&gt;&lt;wsp:rsid wsp:val=&quot;00157584&quot;/&gt;&lt;wsp:rsid wsp:val=&quot;001575D4&quot;/&gt;&lt;wsp:rsid wsp:val=&quot;001575F8&quot;/&gt;&lt;wsp:rsid wsp:val=&quot;00157648&quot;/&gt;&lt;wsp:rsid wsp:val=&quot;00157866&quot;/&gt;&lt;wsp:rsid wsp:val=&quot;00157980&quot;/&gt;&lt;wsp:rsid wsp:val=&quot;00157E05&quot;/&gt;&lt;wsp:rsid wsp:val=&quot;00160454&quot;/&gt;&lt;wsp:rsid wsp:val=&quot;0016058D&quot;/&gt;&lt;wsp:rsid wsp:val=&quot;001607E5&quot;/&gt;&lt;wsp:rsid wsp:val=&quot;00160980&quot;/&gt;&lt;wsp:rsid wsp:val=&quot;00160AD4&quot;/&gt;&lt;wsp:rsid wsp:val=&quot;00160BC7&quot;/&gt;&lt;wsp:rsid wsp:val=&quot;0016130B&quot;/&gt;&lt;wsp:rsid wsp:val=&quot;00161353&quot;/&gt;&lt;wsp:rsid wsp:val=&quot;00161462&quot;/&gt;&lt;wsp:rsid wsp:val=&quot;00161490&quot;/&gt;&lt;wsp:rsid wsp:val=&quot;0016182B&quot;/&gt;&lt;wsp:rsid wsp:val=&quot;00161DB9&quot;/&gt;&lt;wsp:rsid wsp:val=&quot;00162104&quot;/&gt;&lt;wsp:rsid wsp:val=&quot;00162740&quot;/&gt;&lt;wsp:rsid wsp:val=&quot;001628A9&quot;/&gt;&lt;wsp:rsid wsp:val=&quot;00162E69&quot;/&gt;&lt;wsp:rsid wsp:val=&quot;00163665&quot;/&gt;&lt;wsp:rsid wsp:val=&quot;00163743&quot;/&gt;&lt;wsp:rsid wsp:val=&quot;00163994&quot;/&gt;&lt;wsp:rsid wsp:val=&quot;001639AB&quot;/&gt;&lt;wsp:rsid wsp:val=&quot;001645C3&quot;/&gt;&lt;wsp:rsid wsp:val=&quot;00164650&quot;/&gt;&lt;wsp:rsid wsp:val=&quot;001649E4&quot;/&gt;&lt;wsp:rsid wsp:val=&quot;00164C4E&quot;/&gt;&lt;wsp:rsid wsp:val=&quot;00164FC4&quot;/&gt;&lt;wsp:rsid wsp:val=&quot;001657A1&quot;/&gt;&lt;wsp:rsid wsp:val=&quot;00165961&quot;/&gt;&lt;wsp:rsid wsp:val=&quot;00165B3A&quot;/&gt;&lt;wsp:rsid wsp:val=&quot;001669D3&quot;/&gt;&lt;wsp:rsid wsp:val=&quot;00166F4B&quot;/&gt;&lt;wsp:rsid wsp:val=&quot;00166FBD&quot;/&gt;&lt;wsp:rsid wsp:val=&quot;0016714B&quot;/&gt;&lt;wsp:rsid wsp:val=&quot;001674EC&quot;/&gt;&lt;wsp:rsid wsp:val=&quot;00167577&quot;/&gt;&lt;wsp:rsid wsp:val=&quot;0017016D&quot;/&gt;&lt;wsp:rsid wsp:val=&quot;001701DB&quot;/&gt;&lt;wsp:rsid wsp:val=&quot;001702AB&quot;/&gt;&lt;wsp:rsid wsp:val=&quot;001702D1&quot;/&gt;&lt;wsp:rsid wsp:val=&quot;001711EE&quot;/&gt;&lt;wsp:rsid wsp:val=&quot;001715F7&quot;/&gt;&lt;wsp:rsid wsp:val=&quot;00171C5B&quot;/&gt;&lt;wsp:rsid wsp:val=&quot;00171D1D&quot;/&gt;&lt;wsp:rsid wsp:val=&quot;00171D8A&quot;/&gt;&lt;wsp:rsid wsp:val=&quot;00172378&quot;/&gt;&lt;wsp:rsid wsp:val=&quot;001727E1&quot;/&gt;&lt;wsp:rsid wsp:val=&quot;0017294C&quot;/&gt;&lt;wsp:rsid wsp:val=&quot;00172971&quot;/&gt;&lt;wsp:rsid wsp:val=&quot;00173011&quot;/&gt;&lt;wsp:rsid wsp:val=&quot;0017323B&quot;/&gt;&lt;wsp:rsid wsp:val=&quot;00173241&quot;/&gt;&lt;wsp:rsid wsp:val=&quot;00173670&quot;/&gt;&lt;wsp:rsid wsp:val=&quot;0017389A&quot;/&gt;&lt;wsp:rsid wsp:val=&quot;00173C4A&quot;/&gt;&lt;wsp:rsid wsp:val=&quot;00173ECC&quot;/&gt;&lt;wsp:rsid wsp:val=&quot;00174454&quot;/&gt;&lt;wsp:rsid wsp:val=&quot;001745DE&quot;/&gt;&lt;wsp:rsid wsp:val=&quot;00175009&quot;/&gt;&lt;wsp:rsid wsp:val=&quot;001751C4&quot;/&gt;&lt;wsp:rsid wsp:val=&quot;00175348&quot;/&gt;&lt;wsp:rsid wsp:val=&quot;00175713&quot;/&gt;&lt;wsp:rsid wsp:val=&quot;00175844&quot;/&gt;&lt;wsp:rsid wsp:val=&quot;001762BD&quot;/&gt;&lt;wsp:rsid wsp:val=&quot;001769AA&quot;/&gt;&lt;wsp:rsid wsp:val=&quot;001773E7&quot;/&gt;&lt;wsp:rsid wsp:val=&quot;001774A5&quot;/&gt;&lt;wsp:rsid wsp:val=&quot;00177518&quot;/&gt;&lt;wsp:rsid wsp:val=&quot;001775EF&quot;/&gt;&lt;wsp:rsid wsp:val=&quot;00177C23&quot;/&gt;&lt;wsp:rsid wsp:val=&quot;00177C63&quot;/&gt;&lt;wsp:rsid wsp:val=&quot;00177D8A&quot;/&gt;&lt;wsp:rsid wsp:val=&quot;0018028C&quot;/&gt;&lt;wsp:rsid wsp:val=&quot;0018034A&quot;/&gt;&lt;wsp:rsid wsp:val=&quot;001804DC&quot;/&gt;&lt;wsp:rsid wsp:val=&quot;0018072A&quot;/&gt;&lt;wsp:rsid wsp:val=&quot;00180756&quot;/&gt;&lt;wsp:rsid wsp:val=&quot;001807D6&quot;/&gt;&lt;wsp:rsid wsp:val=&quot;00180838&quot;/&gt;&lt;wsp:rsid wsp:val=&quot;00180AB2&quot;/&gt;&lt;wsp:rsid wsp:val=&quot;00180AC9&quot;/&gt;&lt;wsp:rsid wsp:val=&quot;00180C62&quot;/&gt;&lt;wsp:rsid wsp:val=&quot;00180CB8&quot;/&gt;&lt;wsp:rsid wsp:val=&quot;0018185E&quot;/&gt;&lt;wsp:rsid wsp:val=&quot;00181916&quot;/&gt;&lt;wsp:rsid wsp:val=&quot;001819E1&quot;/&gt;&lt;wsp:rsid wsp:val=&quot;00181AF5&quot;/&gt;&lt;wsp:rsid wsp:val=&quot;00181D86&quot;/&gt;&lt;wsp:rsid wsp:val=&quot;00182435&quot;/&gt;&lt;wsp:rsid wsp:val=&quot;0018270F&quot;/&gt;&lt;wsp:rsid wsp:val=&quot;00182B5D&quot;/&gt;&lt;wsp:rsid wsp:val=&quot;00182C59&quot;/&gt;&lt;wsp:rsid wsp:val=&quot;00182D3D&quot;/&gt;&lt;wsp:rsid wsp:val=&quot;00182DD9&quot;/&gt;&lt;wsp:rsid wsp:val=&quot;001830E6&quot;/&gt;&lt;wsp:rsid wsp:val=&quot;001833EA&quot;/&gt;&lt;wsp:rsid wsp:val=&quot;0018344F&quot;/&gt;&lt;wsp:rsid wsp:val=&quot;00183C87&quot;/&gt;&lt;wsp:rsid wsp:val=&quot;00184DF4&quot;/&gt;&lt;wsp:rsid wsp:val=&quot;00184E1F&quot;/&gt;&lt;wsp:rsid wsp:val=&quot;00184E5F&quot;/&gt;&lt;wsp:rsid wsp:val=&quot;00184EA7&quot;/&gt;&lt;wsp:rsid wsp:val=&quot;00184F02&quot;/&gt;&lt;wsp:rsid wsp:val=&quot;001851CE&quot;/&gt;&lt;wsp:rsid wsp:val=&quot;001859B1&quot;/&gt;&lt;wsp:rsid wsp:val=&quot;0018645F&quot;/&gt;&lt;wsp:rsid wsp:val=&quot;00186981&quot;/&gt;&lt;wsp:rsid wsp:val=&quot;00186F25&quot;/&gt;&lt;wsp:rsid wsp:val=&quot;00187388&quot;/&gt;&lt;wsp:rsid wsp:val=&quot;00187D3C&quot;/&gt;&lt;wsp:rsid wsp:val=&quot;00187E46&quot;/&gt;&lt;wsp:rsid wsp:val=&quot;00190701&quot;/&gt;&lt;wsp:rsid wsp:val=&quot;00190B5D&quot;/&gt;&lt;wsp:rsid wsp:val=&quot;00190C3E&quot;/&gt;&lt;wsp:rsid wsp:val=&quot;00190EBA&quot;/&gt;&lt;wsp:rsid wsp:val=&quot;00191054&quot;/&gt;&lt;wsp:rsid wsp:val=&quot;0019249F&quot;/&gt;&lt;wsp:rsid wsp:val=&quot;00192717&quot;/&gt;&lt;wsp:rsid wsp:val=&quot;00192EA2&quot;/&gt;&lt;wsp:rsid wsp:val=&quot;00193079&quot;/&gt;&lt;wsp:rsid wsp:val=&quot;0019361F&quot;/&gt;&lt;wsp:rsid wsp:val=&quot;0019383D&quot;/&gt;&lt;wsp:rsid wsp:val=&quot;00194523&quot;/&gt;&lt;wsp:rsid wsp:val=&quot;0019482F&quot;/&gt;&lt;wsp:rsid wsp:val=&quot;00194E37&quot;/&gt;&lt;wsp:rsid wsp:val=&quot;00194EE0&quot;/&gt;&lt;wsp:rsid wsp:val=&quot;00195278&quot;/&gt;&lt;wsp:rsid wsp:val=&quot;001952EF&quot;/&gt;&lt;wsp:rsid wsp:val=&quot;0019531D&quot;/&gt;&lt;wsp:rsid wsp:val=&quot;001959E3&quot;/&gt;&lt;wsp:rsid wsp:val=&quot;00195B86&quot;/&gt;&lt;wsp:rsid wsp:val=&quot;00195F8B&quot;/&gt;&lt;wsp:rsid wsp:val=&quot;00196048&quot;/&gt;&lt;wsp:rsid wsp:val=&quot;00196061&quot;/&gt;&lt;wsp:rsid wsp:val=&quot;00196267&quot;/&gt;&lt;wsp:rsid wsp:val=&quot;001962DB&quot;/&gt;&lt;wsp:rsid wsp:val=&quot;001964A3&quot;/&gt;&lt;wsp:rsid wsp:val=&quot;001965B3&quot;/&gt;&lt;wsp:rsid wsp:val=&quot;0019674E&quot;/&gt;&lt;wsp:rsid wsp:val=&quot;0019686A&quot;/&gt;&lt;wsp:rsid wsp:val=&quot;00196903&quot;/&gt;&lt;wsp:rsid wsp:val=&quot;00196CEE&quot;/&gt;&lt;wsp:rsid wsp:val=&quot;00196D2C&quot;/&gt;&lt;wsp:rsid wsp:val=&quot;00196E61&quot;/&gt;&lt;wsp:rsid wsp:val=&quot;0019781F&quot;/&gt;&lt;wsp:rsid wsp:val=&quot;001978D8&quot;/&gt;&lt;wsp:rsid wsp:val=&quot;0019796F&quot;/&gt;&lt;wsp:rsid wsp:val=&quot;00197ACD&quot;/&gt;&lt;wsp:rsid wsp:val=&quot;00197BD5&quot;/&gt;&lt;wsp:rsid wsp:val=&quot;00197C63&quot;/&gt;&lt;wsp:rsid wsp:val=&quot;00197D10&quot;/&gt;&lt;wsp:rsid wsp:val=&quot;001A01F8&quot;/&gt;&lt;wsp:rsid wsp:val=&quot;001A0910&quot;/&gt;&lt;wsp:rsid wsp:val=&quot;001A0D8A&quot;/&gt;&lt;wsp:rsid wsp:val=&quot;001A1081&quot;/&gt;&lt;wsp:rsid wsp:val=&quot;001A137C&quot;/&gt;&lt;wsp:rsid wsp:val=&quot;001A15C6&quot;/&gt;&lt;wsp:rsid wsp:val=&quot;001A1E78&quot;/&gt;&lt;wsp:rsid wsp:val=&quot;001A24C9&quot;/&gt;&lt;wsp:rsid wsp:val=&quot;001A26BE&quot;/&gt;&lt;wsp:rsid wsp:val=&quot;001A2BC3&quot;/&gt;&lt;wsp:rsid wsp:val=&quot;001A3487&quot;/&gt;&lt;wsp:rsid wsp:val=&quot;001A3995&quot;/&gt;&lt;wsp:rsid wsp:val=&quot;001A4906&quot;/&gt;&lt;wsp:rsid wsp:val=&quot;001A4F58&quot;/&gt;&lt;wsp:rsid wsp:val=&quot;001A58EB&quot;/&gt;&lt;wsp:rsid wsp:val=&quot;001A5E4D&quot;/&gt;&lt;wsp:rsid wsp:val=&quot;001A5F78&quot;/&gt;&lt;wsp:rsid wsp:val=&quot;001A62C8&quot;/&gt;&lt;wsp:rsid wsp:val=&quot;001A642D&quot;/&gt;&lt;wsp:rsid wsp:val=&quot;001A65EA&quot;/&gt;&lt;wsp:rsid wsp:val=&quot;001A66B2&quot;/&gt;&lt;wsp:rsid wsp:val=&quot;001A7199&quot;/&gt;&lt;wsp:rsid wsp:val=&quot;001A7307&quot;/&gt;&lt;wsp:rsid wsp:val=&quot;001A786A&quot;/&gt;&lt;wsp:rsid wsp:val=&quot;001A7B4C&quot;/&gt;&lt;wsp:rsid wsp:val=&quot;001A7BCF&quot;/&gt;&lt;wsp:rsid wsp:val=&quot;001A7D02&quot;/&gt;&lt;wsp:rsid wsp:val=&quot;001A7E5E&quot;/&gt;&lt;wsp:rsid wsp:val=&quot;001A7E73&quot;/&gt;&lt;wsp:rsid wsp:val=&quot;001B0343&quot;/&gt;&lt;wsp:rsid wsp:val=&quot;001B0C29&quot;/&gt;&lt;wsp:rsid wsp:val=&quot;001B143F&quot;/&gt;&lt;wsp:rsid wsp:val=&quot;001B177A&quot;/&gt;&lt;wsp:rsid wsp:val=&quot;001B1E97&quot;/&gt;&lt;wsp:rsid wsp:val=&quot;001B1F9B&quot;/&gt;&lt;wsp:rsid wsp:val=&quot;001B2007&quot;/&gt;&lt;wsp:rsid wsp:val=&quot;001B24B5&quot;/&gt;&lt;wsp:rsid wsp:val=&quot;001B2C07&quot;/&gt;&lt;wsp:rsid wsp:val=&quot;001B2C65&quot;/&gt;&lt;wsp:rsid wsp:val=&quot;001B30B6&quot;/&gt;&lt;wsp:rsid wsp:val=&quot;001B3352&quot;/&gt;&lt;wsp:rsid wsp:val=&quot;001B366C&quot;/&gt;&lt;wsp:rsid wsp:val=&quot;001B480D&quot;/&gt;&lt;wsp:rsid wsp:val=&quot;001B50EC&quot;/&gt;&lt;wsp:rsid wsp:val=&quot;001B5245&quot;/&gt;&lt;wsp:rsid wsp:val=&quot;001B5723&quot;/&gt;&lt;wsp:rsid wsp:val=&quot;001B5778&quot;/&gt;&lt;wsp:rsid wsp:val=&quot;001B59EA&quot;/&gt;&lt;wsp:rsid wsp:val=&quot;001B5CF0&quot;/&gt;&lt;wsp:rsid wsp:val=&quot;001B5F1B&quot;/&gt;&lt;wsp:rsid wsp:val=&quot;001B5FC3&quot;/&gt;&lt;wsp:rsid wsp:val=&quot;001B6134&quot;/&gt;&lt;wsp:rsid wsp:val=&quot;001B62BE&quot;/&gt;&lt;wsp:rsid wsp:val=&quot;001B6449&quot;/&gt;&lt;wsp:rsid wsp:val=&quot;001B6589&quot;/&gt;&lt;wsp:rsid wsp:val=&quot;001B6727&quot;/&gt;&lt;wsp:rsid wsp:val=&quot;001B677A&quot;/&gt;&lt;wsp:rsid wsp:val=&quot;001B6841&quot;/&gt;&lt;wsp:rsid wsp:val=&quot;001B6EA0&quot;/&gt;&lt;wsp:rsid wsp:val=&quot;001B7237&quot;/&gt;&lt;wsp:rsid wsp:val=&quot;001B72A0&quot;/&gt;&lt;wsp:rsid wsp:val=&quot;001B72CE&quot;/&gt;&lt;wsp:rsid wsp:val=&quot;001B7314&quot;/&gt;&lt;wsp:rsid wsp:val=&quot;001B7436&quot;/&gt;&lt;wsp:rsid wsp:val=&quot;001B7EC8&quot;/&gt;&lt;wsp:rsid wsp:val=&quot;001C0401&quot;/&gt;&lt;wsp:rsid wsp:val=&quot;001C04E9&quot;/&gt;&lt;wsp:rsid wsp:val=&quot;001C0961&quot;/&gt;&lt;wsp:rsid wsp:val=&quot;001C0976&quot;/&gt;&lt;wsp:rsid wsp:val=&quot;001C09FF&quot;/&gt;&lt;wsp:rsid wsp:val=&quot;001C0A5F&quot;/&gt;&lt;wsp:rsid wsp:val=&quot;001C0AE9&quot;/&gt;&lt;wsp:rsid wsp:val=&quot;001C0B0E&quot;/&gt;&lt;wsp:rsid wsp:val=&quot;001C0C95&quot;/&gt;&lt;wsp:rsid wsp:val=&quot;001C0CD6&quot;/&gt;&lt;wsp:rsid wsp:val=&quot;001C16B9&quot;/&gt;&lt;wsp:rsid wsp:val=&quot;001C187C&quot;/&gt;&lt;wsp:rsid wsp:val=&quot;001C18C0&quot;/&gt;&lt;wsp:rsid wsp:val=&quot;001C1C58&quot;/&gt;&lt;wsp:rsid wsp:val=&quot;001C1CAC&quot;/&gt;&lt;wsp:rsid wsp:val=&quot;001C1CEE&quot;/&gt;&lt;wsp:rsid wsp:val=&quot;001C1D1F&quot;/&gt;&lt;wsp:rsid wsp:val=&quot;001C1D75&quot;/&gt;&lt;wsp:rsid wsp:val=&quot;001C2147&quot;/&gt;&lt;wsp:rsid wsp:val=&quot;001C26C9&quot;/&gt;&lt;wsp:rsid wsp:val=&quot;001C2A51&quot;/&gt;&lt;wsp:rsid wsp:val=&quot;001C2A5E&quot;/&gt;&lt;wsp:rsid wsp:val=&quot;001C2C7F&quot;/&gt;&lt;wsp:rsid wsp:val=&quot;001C2E20&quot;/&gt;&lt;wsp:rsid wsp:val=&quot;001C3050&quot;/&gt;&lt;wsp:rsid wsp:val=&quot;001C30A9&quot;/&gt;&lt;wsp:rsid wsp:val=&quot;001C3959&quot;/&gt;&lt;wsp:rsid wsp:val=&quot;001C3C48&quot;/&gt;&lt;wsp:rsid wsp:val=&quot;001C3C6C&quot;/&gt;&lt;wsp:rsid wsp:val=&quot;001C3F0F&quot;/&gt;&lt;wsp:rsid wsp:val=&quot;001C4AEA&quot;/&gt;&lt;wsp:rsid wsp:val=&quot;001C58BD&quot;/&gt;&lt;wsp:rsid wsp:val=&quot;001C5C69&quot;/&gt;&lt;wsp:rsid wsp:val=&quot;001C5C94&quot;/&gt;&lt;wsp:rsid wsp:val=&quot;001C5CEE&quot;/&gt;&lt;wsp:rsid wsp:val=&quot;001C5D71&quot;/&gt;&lt;wsp:rsid wsp:val=&quot;001C6447&quot;/&gt;&lt;wsp:rsid wsp:val=&quot;001C654D&quot;/&gt;&lt;wsp:rsid wsp:val=&quot;001C6B80&quot;/&gt;&lt;wsp:rsid wsp:val=&quot;001C70D3&quot;/&gt;&lt;wsp:rsid wsp:val=&quot;001C71F9&quot;/&gt;&lt;wsp:rsid wsp:val=&quot;001C7204&quot;/&gt;&lt;wsp:rsid wsp:val=&quot;001C7629&quot;/&gt;&lt;wsp:rsid wsp:val=&quot;001C7A9C&quot;/&gt;&lt;wsp:rsid wsp:val=&quot;001C7CE1&quot;/&gt;&lt;wsp:rsid wsp:val=&quot;001D00B9&quot;/&gt;&lt;wsp:rsid wsp:val=&quot;001D0A1C&quot;/&gt;&lt;wsp:rsid wsp:val=&quot;001D0B9D&quot;/&gt;&lt;wsp:rsid wsp:val=&quot;001D0C26&quot;/&gt;&lt;wsp:rsid wsp:val=&quot;001D0DE5&quot;/&gt;&lt;wsp:rsid wsp:val=&quot;001D10EF&quot;/&gt;&lt;wsp:rsid wsp:val=&quot;001D1184&quot;/&gt;&lt;wsp:rsid wsp:val=&quot;001D1322&quot;/&gt;&lt;wsp:rsid wsp:val=&quot;001D1489&quot;/&gt;&lt;wsp:rsid wsp:val=&quot;001D1803&quot;/&gt;&lt;wsp:rsid wsp:val=&quot;001D196E&quot;/&gt;&lt;wsp:rsid wsp:val=&quot;001D1F57&quot;/&gt;&lt;wsp:rsid wsp:val=&quot;001D2001&quot;/&gt;&lt;wsp:rsid wsp:val=&quot;001D2179&quot;/&gt;&lt;wsp:rsid wsp:val=&quot;001D23B3&quot;/&gt;&lt;wsp:rsid wsp:val=&quot;001D26B4&quot;/&gt;&lt;wsp:rsid wsp:val=&quot;001D26D4&quot;/&gt;&lt;wsp:rsid wsp:val=&quot;001D29DD&quot;/&gt;&lt;wsp:rsid wsp:val=&quot;001D2F24&quot;/&gt;&lt;wsp:rsid wsp:val=&quot;001D34A9&quot;/&gt;&lt;wsp:rsid wsp:val=&quot;001D38F3&quot;/&gt;&lt;wsp:rsid wsp:val=&quot;001D3900&quot;/&gt;&lt;wsp:rsid wsp:val=&quot;001D3B05&quot;/&gt;&lt;wsp:rsid wsp:val=&quot;001D4033&quot;/&gt;&lt;wsp:rsid wsp:val=&quot;001D40B1&quot;/&gt;&lt;wsp:rsid wsp:val=&quot;001D42F8&quot;/&gt;&lt;wsp:rsid wsp:val=&quot;001D45EE&quot;/&gt;&lt;wsp:rsid wsp:val=&quot;001D4B4C&quot;/&gt;&lt;wsp:rsid wsp:val=&quot;001D4BB6&quot;/&gt;&lt;wsp:rsid wsp:val=&quot;001D4C1E&quot;/&gt;&lt;wsp:rsid wsp:val=&quot;001D509C&quot;/&gt;&lt;wsp:rsid wsp:val=&quot;001D526E&quot;/&gt;&lt;wsp:rsid wsp:val=&quot;001D5701&quot;/&gt;&lt;wsp:rsid wsp:val=&quot;001D57C5&quot;/&gt;&lt;wsp:rsid wsp:val=&quot;001D5C93&quot;/&gt;&lt;wsp:rsid wsp:val=&quot;001D5E01&quot;/&gt;&lt;wsp:rsid wsp:val=&quot;001D5E5D&quot;/&gt;&lt;wsp:rsid wsp:val=&quot;001D5EE4&quot;/&gt;&lt;wsp:rsid wsp:val=&quot;001D6949&quot;/&gt;&lt;wsp:rsid wsp:val=&quot;001D73C5&quot;/&gt;&lt;wsp:rsid wsp:val=&quot;001D76F6&quot;/&gt;&lt;wsp:rsid wsp:val=&quot;001D775D&quot;/&gt;&lt;wsp:rsid wsp:val=&quot;001D786C&quot;/&gt;&lt;wsp:rsid wsp:val=&quot;001D7CC4&quot;/&gt;&lt;wsp:rsid wsp:val=&quot;001D7D2F&quot;/&gt;&lt;wsp:rsid wsp:val=&quot;001E0296&quot;/&gt;&lt;wsp:rsid wsp:val=&quot;001E04E8&quot;/&gt;&lt;wsp:rsid wsp:val=&quot;001E07A2&quot;/&gt;&lt;wsp:rsid wsp:val=&quot;001E08FD&quot;/&gt;&lt;wsp:rsid wsp:val=&quot;001E1354&quot;/&gt;&lt;wsp:rsid wsp:val=&quot;001E14B9&quot;/&gt;&lt;wsp:rsid wsp:val=&quot;001E18D9&quot;/&gt;&lt;wsp:rsid wsp:val=&quot;001E1FCF&quot;/&gt;&lt;wsp:rsid wsp:val=&quot;001E20FD&quot;/&gt;&lt;wsp:rsid wsp:val=&quot;001E2267&quot;/&gt;&lt;wsp:rsid wsp:val=&quot;001E2637&quot;/&gt;&lt;wsp:rsid wsp:val=&quot;001E2A20&quot;/&gt;&lt;wsp:rsid wsp:val=&quot;001E2D8A&quot;/&gt;&lt;wsp:rsid wsp:val=&quot;001E2EB0&quot;/&gt;&lt;wsp:rsid wsp:val=&quot;001E300D&quot;/&gt;&lt;wsp:rsid wsp:val=&quot;001E30B2&quot;/&gt;&lt;wsp:rsid wsp:val=&quot;001E373C&quot;/&gt;&lt;wsp:rsid wsp:val=&quot;001E3D7D&quot;/&gt;&lt;wsp:rsid wsp:val=&quot;001E3F78&quot;/&gt;&lt;wsp:rsid wsp:val=&quot;001E4198&quot;/&gt;&lt;wsp:rsid wsp:val=&quot;001E43ED&quot;/&gt;&lt;wsp:rsid wsp:val=&quot;001E4F2E&quot;/&gt;&lt;wsp:rsid wsp:val=&quot;001E5033&quot;/&gt;&lt;wsp:rsid wsp:val=&quot;001E5217&quot;/&gt;&lt;wsp:rsid wsp:val=&quot;001E572B&quot;/&gt;&lt;wsp:rsid wsp:val=&quot;001E5C1C&quot;/&gt;&lt;wsp:rsid wsp:val=&quot;001E5C97&quot;/&gt;&lt;wsp:rsid wsp:val=&quot;001E5EDA&quot;/&gt;&lt;wsp:rsid wsp:val=&quot;001E6651&quot;/&gt;&lt;wsp:rsid wsp:val=&quot;001E69EF&quot;/&gt;&lt;wsp:rsid wsp:val=&quot;001E6D44&quot;/&gt;&lt;wsp:rsid wsp:val=&quot;001E7750&quot;/&gt;&lt;wsp:rsid wsp:val=&quot;001E7880&quot;/&gt;&lt;wsp:rsid wsp:val=&quot;001E7EF3&quot;/&gt;&lt;wsp:rsid wsp:val=&quot;001E7F09&quot;/&gt;&lt;wsp:rsid wsp:val=&quot;001F059E&quot;/&gt;&lt;wsp:rsid wsp:val=&quot;001F087D&quot;/&gt;&lt;wsp:rsid wsp:val=&quot;001F0A2D&quot;/&gt;&lt;wsp:rsid wsp:val=&quot;001F0AF1&quot;/&gt;&lt;wsp:rsid wsp:val=&quot;001F1028&quot;/&gt;&lt;wsp:rsid wsp:val=&quot;001F1230&quot;/&gt;&lt;wsp:rsid wsp:val=&quot;001F1778&quot;/&gt;&lt;wsp:rsid wsp:val=&quot;001F1A47&quot;/&gt;&lt;wsp:rsid wsp:val=&quot;001F1C7D&quot;/&gt;&lt;wsp:rsid wsp:val=&quot;001F1D47&quot;/&gt;&lt;wsp:rsid wsp:val=&quot;001F2564&quot;/&gt;&lt;wsp:rsid wsp:val=&quot;001F2779&quot;/&gt;&lt;wsp:rsid wsp:val=&quot;001F2E44&quot;/&gt;&lt;wsp:rsid wsp:val=&quot;001F3051&quot;/&gt;&lt;wsp:rsid wsp:val=&quot;001F31D9&quot;/&gt;&lt;wsp:rsid wsp:val=&quot;001F342D&quot;/&gt;&lt;wsp:rsid wsp:val=&quot;001F35B9&quot;/&gt;&lt;wsp:rsid wsp:val=&quot;001F395C&quot;/&gt;&lt;wsp:rsid wsp:val=&quot;001F399A&quot;/&gt;&lt;wsp:rsid wsp:val=&quot;001F3B40&quot;/&gt;&lt;wsp:rsid wsp:val=&quot;001F4026&quot;/&gt;&lt;wsp:rsid wsp:val=&quot;001F42A4&quot;/&gt;&lt;wsp:rsid wsp:val=&quot;001F42DD&quot;/&gt;&lt;wsp:rsid wsp:val=&quot;001F44DE&quot;/&gt;&lt;wsp:rsid wsp:val=&quot;001F4A12&quot;/&gt;&lt;wsp:rsid wsp:val=&quot;001F4A64&quot;/&gt;&lt;wsp:rsid wsp:val=&quot;001F4B50&quot;/&gt;&lt;wsp:rsid wsp:val=&quot;001F591D&quot;/&gt;&lt;wsp:rsid wsp:val=&quot;001F5BFE&quot;/&gt;&lt;wsp:rsid wsp:val=&quot;001F5FAF&quot;/&gt;&lt;wsp:rsid wsp:val=&quot;001F6325&quot;/&gt;&lt;wsp:rsid wsp:val=&quot;001F653B&quot;/&gt;&lt;wsp:rsid wsp:val=&quot;001F678F&quot;/&gt;&lt;wsp:rsid wsp:val=&quot;001F69FE&quot;/&gt;&lt;wsp:rsid wsp:val=&quot;001F6A0A&quot;/&gt;&lt;wsp:rsid wsp:val=&quot;001F6C9D&quot;/&gt;&lt;wsp:rsid wsp:val=&quot;001F71DE&quot;/&gt;&lt;wsp:rsid wsp:val=&quot;001F728E&quot;/&gt;&lt;wsp:rsid wsp:val=&quot;001F7335&quot;/&gt;&lt;wsp:rsid wsp:val=&quot;001F746B&quot;/&gt;&lt;wsp:rsid wsp:val=&quot;001F783B&quot;/&gt;&lt;wsp:rsid wsp:val=&quot;002004B5&quot;/&gt;&lt;wsp:rsid wsp:val=&quot;00200A58&quot;/&gt;&lt;wsp:rsid wsp:val=&quot;0020115B&quot;/&gt;&lt;wsp:rsid wsp:val=&quot;0020118E&quot;/&gt;&lt;wsp:rsid wsp:val=&quot;00201390&quot;/&gt;&lt;wsp:rsid wsp:val=&quot;00201AD3&quot;/&gt;&lt;wsp:rsid wsp:val=&quot;00201B4F&quot;/&gt;&lt;wsp:rsid wsp:val=&quot;00202731&quot;/&gt;&lt;wsp:rsid wsp:val=&quot;00202FF3&quot;/&gt;&lt;wsp:rsid wsp:val=&quot;00203214&quot;/&gt;&lt;wsp:rsid wsp:val=&quot;00203669&quot;/&gt;&lt;wsp:rsid wsp:val=&quot;00203884&quot;/&gt;&lt;wsp:rsid wsp:val=&quot;00203A11&quot;/&gt;&lt;wsp:rsid wsp:val=&quot;00203A3D&quot;/&gt;&lt;wsp:rsid wsp:val=&quot;00203E63&quot;/&gt;&lt;wsp:rsid wsp:val=&quot;00203F61&quot;/&gt;&lt;wsp:rsid wsp:val=&quot;002040BA&quot;/&gt;&lt;wsp:rsid wsp:val=&quot;00204234&quot;/&gt;&lt;wsp:rsid wsp:val=&quot;00204CB2&quot;/&gt;&lt;wsp:rsid wsp:val=&quot;00204EB1&quot;/&gt;&lt;wsp:rsid wsp:val=&quot;002052F6&quot;/&gt;&lt;wsp:rsid wsp:val=&quot;00205787&quot;/&gt;&lt;wsp:rsid wsp:val=&quot;00205C1E&quot;/&gt;&lt;wsp:rsid wsp:val=&quot;002062A1&quot;/&gt;&lt;wsp:rsid wsp:val=&quot;002062ED&quot;/&gt;&lt;wsp:rsid wsp:val=&quot;002063F5&quot;/&gt;&lt;wsp:rsid wsp:val=&quot;00206B0F&quot;/&gt;&lt;wsp:rsid wsp:val=&quot;00206F17&quot;/&gt;&lt;wsp:rsid wsp:val=&quot;002070B9&quot;/&gt;&lt;wsp:rsid wsp:val=&quot;00207292&quot;/&gt;&lt;wsp:rsid wsp:val=&quot;00207A76&quot;/&gt;&lt;wsp:rsid wsp:val=&quot;00207E9C&quot;/&gt;&lt;wsp:rsid wsp:val=&quot;002109EC&quot;/&gt;&lt;wsp:rsid wsp:val=&quot;00210ED5&quot;/&gt;&lt;wsp:rsid wsp:val=&quot;0021131D&quot;/&gt;&lt;wsp:rsid wsp:val=&quot;00211415&quot;/&gt;&lt;wsp:rsid wsp:val=&quot;0021154F&quot;/&gt;&lt;wsp:rsid wsp:val=&quot;00211603&quot;/&gt;&lt;wsp:rsid wsp:val=&quot;0021178A&quot;/&gt;&lt;wsp:rsid wsp:val=&quot;00211A9D&quot;/&gt;&lt;wsp:rsid wsp:val=&quot;00211E3A&quot;/&gt;&lt;wsp:rsid wsp:val=&quot;00212629&quot;/&gt;&lt;wsp:rsid wsp:val=&quot;00212D0A&quot;/&gt;&lt;wsp:rsid wsp:val=&quot;0021342F&quot;/&gt;&lt;wsp:rsid wsp:val=&quot;00213716&quot;/&gt;&lt;wsp:rsid wsp:val=&quot;00213AA3&quot;/&gt;&lt;wsp:rsid wsp:val=&quot;00213AE7&quot;/&gt;&lt;wsp:rsid wsp:val=&quot;00213CD1&quot;/&gt;&lt;wsp:rsid wsp:val=&quot;002144B9&quot;/&gt;&lt;wsp:rsid wsp:val=&quot;002145B2&quot;/&gt;&lt;wsp:rsid wsp:val=&quot;002148B7&quot;/&gt;&lt;wsp:rsid wsp:val=&quot;00215153&quot;/&gt;&lt;wsp:rsid wsp:val=&quot;002152B4&quot;/&gt;&lt;wsp:rsid wsp:val=&quot;00215363&quot;/&gt;&lt;wsp:rsid wsp:val=&quot;002155D5&quot;/&gt;&lt;wsp:rsid wsp:val=&quot;002157D0&quot;/&gt;&lt;wsp:rsid wsp:val=&quot;002158BB&quot;/&gt;&lt;wsp:rsid wsp:val=&quot;00215923&quot;/&gt;&lt;wsp:rsid wsp:val=&quot;00215B16&quot;/&gt;&lt;wsp:rsid wsp:val=&quot;00216252&quot;/&gt;&lt;wsp:rsid wsp:val=&quot;00216A42&quot;/&gt;&lt;wsp:rsid wsp:val=&quot;0021762E&quot;/&gt;&lt;wsp:rsid wsp:val=&quot;00217863&quot;/&gt;&lt;wsp:rsid wsp:val=&quot;00217875&quot;/&gt;&lt;wsp:rsid wsp:val=&quot;00217C16&quot;/&gt;&lt;wsp:rsid wsp:val=&quot;00217CDD&quot;/&gt;&lt;wsp:rsid wsp:val=&quot;00217DF4&quot;/&gt;&lt;wsp:rsid wsp:val=&quot;00217FF3&quot;/&gt;&lt;wsp:rsid wsp:val=&quot;002201D1&quot;/&gt;&lt;wsp:rsid wsp:val=&quot;0022087F&quot;/&gt;&lt;wsp:rsid wsp:val=&quot;00220A70&quot;/&gt;&lt;wsp:rsid wsp:val=&quot;00220E2B&quot;/&gt;&lt;wsp:rsid wsp:val=&quot;00220FF9&quot;/&gt;&lt;wsp:rsid wsp:val=&quot;00221C9E&quot;/&gt;&lt;wsp:rsid wsp:val=&quot;00221CE5&quot;/&gt;&lt;wsp:rsid wsp:val=&quot;00222238&quot;/&gt;&lt;wsp:rsid wsp:val=&quot;002223C9&quot;/&gt;&lt;wsp:rsid wsp:val=&quot;00222500&quot;/&gt;&lt;wsp:rsid wsp:val=&quot;002226AA&quot;/&gt;&lt;wsp:rsid wsp:val=&quot;0022270D&quot;/&gt;&lt;wsp:rsid wsp:val=&quot;00222C43&quot;/&gt;&lt;wsp:rsid wsp:val=&quot;00222D7F&quot;/&gt;&lt;wsp:rsid wsp:val=&quot;00222DC8&quot;/&gt;&lt;wsp:rsid wsp:val=&quot;002231EE&quot;/&gt;&lt;wsp:rsid wsp:val=&quot;002233E3&quot;/&gt;&lt;wsp:rsid wsp:val=&quot;002239B7&quot;/&gt;&lt;wsp:rsid wsp:val=&quot;00223A30&quot;/&gt;&lt;wsp:rsid wsp:val=&quot;00223B60&quot;/&gt;&lt;wsp:rsid wsp:val=&quot;00223DE6&quot;/&gt;&lt;wsp:rsid wsp:val=&quot;00223F62&quot;/&gt;&lt;wsp:rsid wsp:val=&quot;00223F9C&quot;/&gt;&lt;wsp:rsid wsp:val=&quot;00223FFC&quot;/&gt;&lt;wsp:rsid wsp:val=&quot;002249B1&quot;/&gt;&lt;wsp:rsid wsp:val=&quot;00224B87&quot;/&gt;&lt;wsp:rsid wsp:val=&quot;002252A4&quot;/&gt;&lt;wsp:rsid wsp:val=&quot;002256D7&quot;/&gt;&lt;wsp:rsid wsp:val=&quot;002256F8&quot;/&gt;&lt;wsp:rsid wsp:val=&quot;0022588E&quot;/&gt;&lt;wsp:rsid wsp:val=&quot;00226142&quot;/&gt;&lt;wsp:rsid wsp:val=&quot;00226165&quot;/&gt;&lt;wsp:rsid wsp:val=&quot;0022658A&quot;/&gt;&lt;wsp:rsid wsp:val=&quot;00226901&quot;/&gt;&lt;wsp:rsid wsp:val=&quot;00226C9A&quot;/&gt;&lt;wsp:rsid wsp:val=&quot;00226CAA&quot;/&gt;&lt;wsp:rsid wsp:val=&quot;00226E16&quot;/&gt;&lt;wsp:rsid wsp:val=&quot;00226F0D&quot;/&gt;&lt;wsp:rsid wsp:val=&quot;00226FCA&quot;/&gt;&lt;wsp:rsid wsp:val=&quot;00227818&quot;/&gt;&lt;wsp:rsid wsp:val=&quot;0022783D&quot;/&gt;&lt;wsp:rsid wsp:val=&quot;00227A0E&quot;/&gt;&lt;wsp:rsid wsp:val=&quot;00227CA3&quot;/&gt;&lt;wsp:rsid wsp:val=&quot;00227CAC&quot;/&gt;&lt;wsp:rsid wsp:val=&quot;00227F09&quot;/&gt;&lt;wsp:rsid wsp:val=&quot;002300C7&quot;/&gt;&lt;wsp:rsid wsp:val=&quot;002300D2&quot;/&gt;&lt;wsp:rsid wsp:val=&quot;00230153&quot;/&gt;&lt;wsp:rsid wsp:val=&quot;00230303&quot;/&gt;&lt;wsp:rsid wsp:val=&quot;00230718&quot;/&gt;&lt;wsp:rsid wsp:val=&quot;00230D26&quot;/&gt;&lt;wsp:rsid wsp:val=&quot;002314F1&quot;/&gt;&lt;wsp:rsid wsp:val=&quot;00231683&quot;/&gt;&lt;wsp:rsid wsp:val=&quot;00231CB7&quot;/&gt;&lt;wsp:rsid wsp:val=&quot;00231EF3&quot;/&gt;&lt;wsp:rsid wsp:val=&quot;0023208D&quot;/&gt;&lt;wsp:rsid wsp:val=&quot;00232266&quot;/&gt;&lt;wsp:rsid wsp:val=&quot;002324A6&quot;/&gt;&lt;wsp:rsid wsp:val=&quot;002325A1&quot;/&gt;&lt;wsp:rsid wsp:val=&quot;00232989&quot;/&gt;&lt;wsp:rsid wsp:val=&quot;00232A0A&quot;/&gt;&lt;wsp:rsid wsp:val=&quot;00232B15&quot;/&gt;&lt;wsp:rsid wsp:val=&quot;00232B66&quot;/&gt;&lt;wsp:rsid wsp:val=&quot;00232E63&quot;/&gt;&lt;wsp:rsid wsp:val=&quot;00233149&quot;/&gt;&lt;wsp:rsid wsp:val=&quot;0023329A&quot;/&gt;&lt;wsp:rsid wsp:val=&quot;002333DE&quot;/&gt;&lt;wsp:rsid wsp:val=&quot;00233477&quot;/&gt;&lt;wsp:rsid wsp:val=&quot;00233F42&quot;/&gt;&lt;wsp:rsid wsp:val=&quot;002348CB&quot;/&gt;&lt;wsp:rsid wsp:val=&quot;002349BD&quot;/&gt;&lt;wsp:rsid wsp:val=&quot;00234A0C&quot;/&gt;&lt;wsp:rsid wsp:val=&quot;0023556F&quot;/&gt;&lt;wsp:rsid wsp:val=&quot;00235ACA&quot;/&gt;&lt;wsp:rsid wsp:val=&quot;00236590&quot;/&gt;&lt;wsp:rsid wsp:val=&quot;00236846&quot;/&gt;&lt;wsp:rsid wsp:val=&quot;00236C23&quot;/&gt;&lt;wsp:rsid wsp:val=&quot;00236C72&quot;/&gt;&lt;wsp:rsid wsp:val=&quot;00236C7C&quot;/&gt;&lt;wsp:rsid wsp:val=&quot;00236D67&quot;/&gt;&lt;wsp:rsid wsp:val=&quot;0023725F&quot;/&gt;&lt;wsp:rsid wsp:val=&quot;00237F39&quot;/&gt;&lt;wsp:rsid wsp:val=&quot;002402F2&quot;/&gt;&lt;wsp:rsid wsp:val=&quot;002413BD&quot;/&gt;&lt;wsp:rsid wsp:val=&quot;00241542&quot;/&gt;&lt;wsp:rsid wsp:val=&quot;0024185C&quot;/&gt;&lt;wsp:rsid wsp:val=&quot;002418E7&quot;/&gt;&lt;wsp:rsid wsp:val=&quot;00241A04&quot;/&gt;&lt;wsp:rsid wsp:val=&quot;00241A62&quot;/&gt;&lt;wsp:rsid wsp:val=&quot;00241B80&quot;/&gt;&lt;wsp:rsid wsp:val=&quot;00241C03&quot;/&gt;&lt;wsp:rsid wsp:val=&quot;00241F45&quot;/&gt;&lt;wsp:rsid wsp:val=&quot;00241F5F&quot;/&gt;&lt;wsp:rsid wsp:val=&quot;0024244A&quot;/&gt;&lt;wsp:rsid wsp:val=&quot;0024265F&quot;/&gt;&lt;wsp:rsid wsp:val=&quot;002426C6&quot;/&gt;&lt;wsp:rsid wsp:val=&quot;002427E0&quot;/&gt;&lt;wsp:rsid wsp:val=&quot;00242B14&quot;/&gt;&lt;wsp:rsid wsp:val=&quot;00242C0C&quot;/&gt;&lt;wsp:rsid wsp:val=&quot;00242E31&quot;/&gt;&lt;wsp:rsid wsp:val=&quot;0024301C&quot;/&gt;&lt;wsp:rsid wsp:val=&quot;0024379A&quot;/&gt;&lt;wsp:rsid wsp:val=&quot;00243812&quot;/&gt;&lt;wsp:rsid wsp:val=&quot;00243ACD&quot;/&gt;&lt;wsp:rsid wsp:val=&quot;00243BBE&quot;/&gt;&lt;wsp:rsid wsp:val=&quot;00243C6C&quot;/&gt;&lt;wsp:rsid wsp:val=&quot;0024489F&quot;/&gt;&lt;wsp:rsid wsp:val=&quot;00244FD7&quot;/&gt;&lt;wsp:rsid wsp:val=&quot;0024598B&quot;/&gt;&lt;wsp:rsid wsp:val=&quot;00245AEB&quot;/&gt;&lt;wsp:rsid wsp:val=&quot;002461EA&quot;/&gt;&lt;wsp:rsid wsp:val=&quot;002462E4&quot;/&gt;&lt;wsp:rsid wsp:val=&quot;002467DF&quot;/&gt;&lt;wsp:rsid wsp:val=&quot;0024687E&quot;/&gt;&lt;wsp:rsid wsp:val=&quot;002470B2&quot;/&gt;&lt;wsp:rsid wsp:val=&quot;00247351&quot;/&gt;&lt;wsp:rsid wsp:val=&quot;0024791D&quot;/&gt;&lt;wsp:rsid wsp:val=&quot;00247ACC&quot;/&gt;&lt;wsp:rsid wsp:val=&quot;00247FB1&quot;/&gt;&lt;wsp:rsid wsp:val=&quot;00250170&quot;/&gt;&lt;wsp:rsid wsp:val=&quot;0025022B&quot;/&gt;&lt;wsp:rsid wsp:val=&quot;00251027&quot;/&gt;&lt;wsp:rsid wsp:val=&quot;002510E4&quot;/&gt;&lt;wsp:rsid wsp:val=&quot;0025119D&quot;/&gt;&lt;wsp:rsid wsp:val=&quot;002512E4&quot;/&gt;&lt;wsp:rsid wsp:val=&quot;0025156F&quot;/&gt;&lt;wsp:rsid wsp:val=&quot;00251989&quot;/&gt;&lt;wsp:rsid wsp:val=&quot;00251B43&quot;/&gt;&lt;wsp:rsid wsp:val=&quot;00251FAE&quot;/&gt;&lt;wsp:rsid wsp:val=&quot;002520F8&quot;/&gt;&lt;wsp:rsid wsp:val=&quot;0025211D&quot;/&gt;&lt;wsp:rsid wsp:val=&quot;002526AA&quot;/&gt;&lt;wsp:rsid wsp:val=&quot;0025346F&quot;/&gt;&lt;wsp:rsid wsp:val=&quot;002535C1&quot;/&gt;&lt;wsp:rsid wsp:val=&quot;002535F2&quot;/&gt;&lt;wsp:rsid wsp:val=&quot;00253A28&quot;/&gt;&lt;wsp:rsid wsp:val=&quot;00253B29&quot;/&gt;&lt;wsp:rsid wsp:val=&quot;002540E7&quot;/&gt;&lt;wsp:rsid wsp:val=&quot;0025414B&quot;/&gt;&lt;wsp:rsid wsp:val=&quot;002543FB&quot;/&gt;&lt;wsp:rsid wsp:val=&quot;00254992&quot;/&gt;&lt;wsp:rsid wsp:val=&quot;00254A31&quot;/&gt;&lt;wsp:rsid wsp:val=&quot;00254B17&quot;/&gt;&lt;wsp:rsid wsp:val=&quot;0025529C&quot;/&gt;&lt;wsp:rsid wsp:val=&quot;0025553E&quot;/&gt;&lt;wsp:rsid wsp:val=&quot;002559DA&quot;/&gt;&lt;wsp:rsid wsp:val=&quot;00255A5F&quot;/&gt;&lt;wsp:rsid wsp:val=&quot;002567B3&quot;/&gt;&lt;wsp:rsid wsp:val=&quot;002567D9&quot;/&gt;&lt;wsp:rsid wsp:val=&quot;00257074&quot;/&gt;&lt;wsp:rsid wsp:val=&quot;0025716B&quot;/&gt;&lt;wsp:rsid wsp:val=&quot;002572DE&quot;/&gt;&lt;wsp:rsid wsp:val=&quot;002574AB&quot;/&gt;&lt;wsp:rsid wsp:val=&quot;00257710&quot;/&gt;&lt;wsp:rsid wsp:val=&quot;00257D51&quot;/&gt;&lt;wsp:rsid wsp:val=&quot;00260D34&quot;/&gt;&lt;wsp:rsid wsp:val=&quot;00260E55&quot;/&gt;&lt;wsp:rsid wsp:val=&quot;002617C9&quot;/&gt;&lt;wsp:rsid wsp:val=&quot;002618C2&quot;/&gt;&lt;wsp:rsid wsp:val=&quot;00261D85&quot;/&gt;&lt;wsp:rsid wsp:val=&quot;00262087&quot;/&gt;&lt;wsp:rsid wsp:val=&quot;0026227B&quot;/&gt;&lt;wsp:rsid wsp:val=&quot;00262456&quot;/&gt;&lt;wsp:rsid wsp:val=&quot;0026246C&quot;/&gt;&lt;wsp:rsid wsp:val=&quot;002624A1&quot;/&gt;&lt;wsp:rsid wsp:val=&quot;002627F3&quot;/&gt;&lt;wsp:rsid wsp:val=&quot;00262BD7&quot;/&gt;&lt;wsp:rsid wsp:val=&quot;00262C4D&quot;/&gt;&lt;wsp:rsid wsp:val=&quot;0026359A&quot;/&gt;&lt;wsp:rsid wsp:val=&quot;002636A2&quot;/&gt;&lt;wsp:rsid wsp:val=&quot;002636E9&quot;/&gt;&lt;wsp:rsid wsp:val=&quot;0026396F&quot;/&gt;&lt;wsp:rsid wsp:val=&quot;00263A8D&quot;/&gt;&lt;wsp:rsid wsp:val=&quot;00263C47&quot;/&gt;&lt;wsp:rsid wsp:val=&quot;00263C9F&quot;/&gt;&lt;wsp:rsid wsp:val=&quot;00263E47&quot;/&gt;&lt;wsp:rsid wsp:val=&quot;00263FB4&quot;/&gt;&lt;wsp:rsid wsp:val=&quot;002640D0&quot;/&gt;&lt;wsp:rsid wsp:val=&quot;002643DA&quot;/&gt;&lt;wsp:rsid wsp:val=&quot;002644E2&quot;/&gt;&lt;wsp:rsid wsp:val=&quot;0026461E&quot;/&gt;&lt;wsp:rsid wsp:val=&quot;00264E91&quot;/&gt;&lt;wsp:rsid wsp:val=&quot;00264F6D&quot;/&gt;&lt;wsp:rsid wsp:val=&quot;002655F6&quot;/&gt;&lt;wsp:rsid wsp:val=&quot;0026560C&quot;/&gt;&lt;wsp:rsid wsp:val=&quot;00265FF0&quot;/&gt;&lt;wsp:rsid wsp:val=&quot;00266E09&quot;/&gt;&lt;wsp:rsid wsp:val=&quot;0026739F&quot;/&gt;&lt;wsp:rsid wsp:val=&quot;00267640&quot;/&gt;&lt;wsp:rsid wsp:val=&quot;00270029&quot;/&gt;&lt;wsp:rsid wsp:val=&quot;0027018D&quot;/&gt;&lt;wsp:rsid wsp:val=&quot;00270611&quot;/&gt;&lt;wsp:rsid wsp:val=&quot;00270697&quot;/&gt;&lt;wsp:rsid wsp:val=&quot;00270755&quot;/&gt;&lt;wsp:rsid wsp:val=&quot;00270B47&quot;/&gt;&lt;wsp:rsid wsp:val=&quot;00270D59&quot;/&gt;&lt;wsp:rsid wsp:val=&quot;00271289&quot;/&gt;&lt;wsp:rsid wsp:val=&quot;0027134C&quot;/&gt;&lt;wsp:rsid wsp:val=&quot;00271593&quot;/&gt;&lt;wsp:rsid wsp:val=&quot;002715A6&quot;/&gt;&lt;wsp:rsid wsp:val=&quot;0027161F&quot;/&gt;&lt;wsp:rsid wsp:val=&quot;00271D4D&quot;/&gt;&lt;wsp:rsid wsp:val=&quot;00271E47&quot;/&gt;&lt;wsp:rsid wsp:val=&quot;0027224A&quot;/&gt;&lt;wsp:rsid wsp:val=&quot;002724EF&quot;/&gt;&lt;wsp:rsid wsp:val=&quot;002724F4&quot;/&gt;&lt;wsp:rsid wsp:val=&quot;00272C48&quot;/&gt;&lt;wsp:rsid wsp:val=&quot;002732D0&quot;/&gt;&lt;wsp:rsid wsp:val=&quot;002736D7&quot;/&gt;&lt;wsp:rsid wsp:val=&quot;0027373B&quot;/&gt;&lt;wsp:rsid wsp:val=&quot;00274050&quot;/&gt;&lt;wsp:rsid wsp:val=&quot;00274196&quot;/&gt;&lt;wsp:rsid wsp:val=&quot;00274205&quot;/&gt;&lt;wsp:rsid wsp:val=&quot;002744A3&quot;/&gt;&lt;wsp:rsid wsp:val=&quot;002744AA&quot;/&gt;&lt;wsp:rsid wsp:val=&quot;002747BF&quot;/&gt;&lt;wsp:rsid wsp:val=&quot;002747D0&quot;/&gt;&lt;wsp:rsid wsp:val=&quot;002748ED&quot;/&gt;&lt;wsp:rsid wsp:val=&quot;00274955&quot;/&gt;&lt;wsp:rsid wsp:val=&quot;0027499C&quot;/&gt;&lt;wsp:rsid wsp:val=&quot;00274A6C&quot;/&gt;&lt;wsp:rsid wsp:val=&quot;00274C83&quot;/&gt;&lt;wsp:rsid wsp:val=&quot;00274CDA&quot;/&gt;&lt;wsp:rsid wsp:val=&quot;0027513F&quot;/&gt;&lt;wsp:rsid wsp:val=&quot;00275142&quot;/&gt;&lt;wsp:rsid wsp:val=&quot;00275637&quot;/&gt;&lt;wsp:rsid wsp:val=&quot;002757D0&quot;/&gt;&lt;wsp:rsid wsp:val=&quot;00275A5D&quot;/&gt;&lt;wsp:rsid wsp:val=&quot;00275AD2&quot;/&gt;&lt;wsp:rsid wsp:val=&quot;0027613B&quot;/&gt;&lt;wsp:rsid wsp:val=&quot;0027644C&quot;/&gt;&lt;wsp:rsid wsp:val=&quot;002765AD&quot;/&gt;&lt;wsp:rsid wsp:val=&quot;002767D0&quot;/&gt;&lt;wsp:rsid wsp:val=&quot;00276D6C&quot;/&gt;&lt;wsp:rsid wsp:val=&quot;00276F23&quot;/&gt;&lt;wsp:rsid wsp:val=&quot;0027716C&quot;/&gt;&lt;wsp:rsid wsp:val=&quot;002779DD&quot;/&gt;&lt;wsp:rsid wsp:val=&quot;00277F07&quot;/&gt;&lt;wsp:rsid wsp:val=&quot;0028013C&quot;/&gt;&lt;wsp:rsid wsp:val=&quot;002803DE&quot;/&gt;&lt;wsp:rsid wsp:val=&quot;002804A3&quot;/&gt;&lt;wsp:rsid wsp:val=&quot;00280893&quot;/&gt;&lt;wsp:rsid wsp:val=&quot;002812C9&quot;/&gt;&lt;wsp:rsid wsp:val=&quot;002814EC&quot;/&gt;&lt;wsp:rsid wsp:val=&quot;0028166F&quot;/&gt;&lt;wsp:rsid wsp:val=&quot;00281860&quot;/&gt;&lt;wsp:rsid wsp:val=&quot;00281952&quot;/&gt;&lt;wsp:rsid wsp:val=&quot;00282A78&quot;/&gt;&lt;wsp:rsid wsp:val=&quot;00282B4B&quot;/&gt;&lt;wsp:rsid wsp:val=&quot;00282BDA&quot;/&gt;&lt;wsp:rsid wsp:val=&quot;00282E4D&quot;/&gt;&lt;wsp:rsid wsp:val=&quot;002832E0&quot;/&gt;&lt;wsp:rsid wsp:val=&quot;002833BB&quot;/&gt;&lt;wsp:rsid wsp:val=&quot;0028346E&quot;/&gt;&lt;wsp:rsid wsp:val=&quot;002835C7&quot;/&gt;&lt;wsp:rsid wsp:val=&quot;00284392&quot;/&gt;&lt;wsp:rsid wsp:val=&quot;00284567&quot;/&gt;&lt;wsp:rsid wsp:val=&quot;00284A7F&quot;/&gt;&lt;wsp:rsid wsp:val=&quot;00284BC4&quot;/&gt;&lt;wsp:rsid wsp:val=&quot;00284C0D&quot;/&gt;&lt;wsp:rsid wsp:val=&quot;00285346&quot;/&gt;&lt;wsp:rsid wsp:val=&quot;0028553F&quot;/&gt;&lt;wsp:rsid wsp:val=&quot;00285701&quot;/&gt;&lt;wsp:rsid wsp:val=&quot;00285A7F&quot;/&gt;&lt;wsp:rsid wsp:val=&quot;00285AF2&quot;/&gt;&lt;wsp:rsid wsp:val=&quot;00285FC0&quot;/&gt;&lt;wsp:rsid wsp:val=&quot;00285FC5&quot;/&gt;&lt;wsp:rsid wsp:val=&quot;0028641F&quot;/&gt;&lt;wsp:rsid wsp:val=&quot;002867AA&quot;/&gt;&lt;wsp:rsid wsp:val=&quot;002869F5&quot;/&gt;&lt;wsp:rsid wsp:val=&quot;00286F24&quot;/&gt;&lt;wsp:rsid wsp:val=&quot;00286F32&quot;/&gt;&lt;wsp:rsid wsp:val=&quot;00287223&quot;/&gt;&lt;wsp:rsid wsp:val=&quot;00287681&quot;/&gt;&lt;wsp:rsid wsp:val=&quot;00287EBD&quot;/&gt;&lt;wsp:rsid wsp:val=&quot;00287F8E&quot;/&gt;&lt;wsp:rsid wsp:val=&quot;0029008F&quot;/&gt;&lt;wsp:rsid wsp:val=&quot;0029079A&quot;/&gt;&lt;wsp:rsid wsp:val=&quot;00290A2D&quot;/&gt;&lt;wsp:rsid wsp:val=&quot;002910F2&quot;/&gt;&lt;wsp:rsid wsp:val=&quot;002911F5&quot;/&gt;&lt;wsp:rsid wsp:val=&quot;00291250&quot;/&gt;&lt;wsp:rsid wsp:val=&quot;0029135F&quot;/&gt;&lt;wsp:rsid wsp:val=&quot;0029196D&quot;/&gt;&lt;wsp:rsid wsp:val=&quot;00291A01&quot;/&gt;&lt;wsp:rsid wsp:val=&quot;00291A62&quot;/&gt;&lt;wsp:rsid wsp:val=&quot;00291F28&quot;/&gt;&lt;wsp:rsid wsp:val=&quot;00292687&quot;/&gt;&lt;wsp:rsid wsp:val=&quot;002929B3&quot;/&gt;&lt;wsp:rsid wsp:val=&quot;00292B75&quot;/&gt;&lt;wsp:rsid wsp:val=&quot;00292E90&quot;/&gt;&lt;wsp:rsid wsp:val=&quot;00292F01&quot;/&gt;&lt;wsp:rsid wsp:val=&quot;0029342F&quot;/&gt;&lt;wsp:rsid wsp:val=&quot;002934B1&quot;/&gt;&lt;wsp:rsid wsp:val=&quot;00293626&quot;/&gt;&lt;wsp:rsid wsp:val=&quot;00293B87&quot;/&gt;&lt;wsp:rsid wsp:val=&quot;00293C9E&quot;/&gt;&lt;wsp:rsid wsp:val=&quot;00293DAA&quot;/&gt;&lt;wsp:rsid wsp:val=&quot;00293E69&quot;/&gt;&lt;wsp:rsid wsp:val=&quot;00294076&quot;/&gt;&lt;wsp:rsid wsp:val=&quot;00294094&quot;/&gt;&lt;wsp:rsid wsp:val=&quot;002942B9&quot;/&gt;&lt;wsp:rsid wsp:val=&quot;002944AD&quot;/&gt;&lt;wsp:rsid wsp:val=&quot;00294D12&quot;/&gt;&lt;wsp:rsid wsp:val=&quot;00295814&quot;/&gt;&lt;wsp:rsid wsp:val=&quot;00295EBF&quot;/&gt;&lt;wsp:rsid wsp:val=&quot;00295FCC&quot;/&gt;&lt;wsp:rsid wsp:val=&quot;00296318&quot;/&gt;&lt;wsp:rsid wsp:val=&quot;002963ED&quot;/&gt;&lt;wsp:rsid wsp:val=&quot;00296B3C&quot;/&gt;&lt;wsp:rsid wsp:val=&quot;002976EF&quot;/&gt;&lt;wsp:rsid wsp:val=&quot;00297F6D&quot;/&gt;&lt;wsp:rsid wsp:val=&quot;002A017C&quot;/&gt;&lt;wsp:rsid wsp:val=&quot;002A043F&quot;/&gt;&lt;wsp:rsid wsp:val=&quot;002A082D&quot;/&gt;&lt;wsp:rsid wsp:val=&quot;002A0AC1&quot;/&gt;&lt;wsp:rsid wsp:val=&quot;002A1683&quot;/&gt;&lt;wsp:rsid wsp:val=&quot;002A18F0&quot;/&gt;&lt;wsp:rsid wsp:val=&quot;002A195B&quot;/&gt;&lt;wsp:rsid wsp:val=&quot;002A1B4D&quot;/&gt;&lt;wsp:rsid wsp:val=&quot;002A1D8E&quot;/&gt;&lt;wsp:rsid wsp:val=&quot;002A226C&quot;/&gt;&lt;wsp:rsid wsp:val=&quot;002A25D6&quot;/&gt;&lt;wsp:rsid wsp:val=&quot;002A287D&quot;/&gt;&lt;wsp:rsid wsp:val=&quot;002A30A8&quot;/&gt;&lt;wsp:rsid wsp:val=&quot;002A325C&quot;/&gt;&lt;wsp:rsid wsp:val=&quot;002A354B&quot;/&gt;&lt;wsp:rsid wsp:val=&quot;002A3C55&quot;/&gt;&lt;wsp:rsid wsp:val=&quot;002A3E93&quot;/&gt;&lt;wsp:rsid wsp:val=&quot;002A40B5&quot;/&gt;&lt;wsp:rsid wsp:val=&quot;002A40BF&quot;/&gt;&lt;wsp:rsid wsp:val=&quot;002A438B&quot;/&gt;&lt;wsp:rsid wsp:val=&quot;002A43DA&quot;/&gt;&lt;wsp:rsid wsp:val=&quot;002A4413&quot;/&gt;&lt;wsp:rsid wsp:val=&quot;002A47C6&quot;/&gt;&lt;wsp:rsid wsp:val=&quot;002A4B45&quot;/&gt;&lt;wsp:rsid wsp:val=&quot;002A4F64&quot;/&gt;&lt;wsp:rsid wsp:val=&quot;002A4FAA&quot;/&gt;&lt;wsp:rsid wsp:val=&quot;002A543C&quot;/&gt;&lt;wsp:rsid wsp:val=&quot;002A5850&quot;/&gt;&lt;wsp:rsid wsp:val=&quot;002A5E2B&quot;/&gt;&lt;wsp:rsid wsp:val=&quot;002A60AB&quot;/&gt;&lt;wsp:rsid wsp:val=&quot;002A62D4&quot;/&gt;&lt;wsp:rsid wsp:val=&quot;002A6559&quot;/&gt;&lt;wsp:rsid wsp:val=&quot;002A72E4&quot;/&gt;&lt;wsp:rsid wsp:val=&quot;002A7464&quot;/&gt;&lt;wsp:rsid wsp:val=&quot;002A753D&quot;/&gt;&lt;wsp:rsid wsp:val=&quot;002A76F0&quot;/&gt;&lt;wsp:rsid wsp:val=&quot;002A78B2&quot;/&gt;&lt;wsp:rsid wsp:val=&quot;002A7969&quot;/&gt;&lt;wsp:rsid wsp:val=&quot;002A7DE4&quot;/&gt;&lt;wsp:rsid wsp:val=&quot;002B07B5&quot;/&gt;&lt;wsp:rsid wsp:val=&quot;002B07D5&quot;/&gt;&lt;wsp:rsid wsp:val=&quot;002B0B06&quot;/&gt;&lt;wsp:rsid wsp:val=&quot;002B0B36&quot;/&gt;&lt;wsp:rsid wsp:val=&quot;002B1469&quot;/&gt;&lt;wsp:rsid wsp:val=&quot;002B21F2&quot;/&gt;&lt;wsp:rsid wsp:val=&quot;002B22FF&quot;/&gt;&lt;wsp:rsid wsp:val=&quot;002B2487&quot;/&gt;&lt;wsp:rsid wsp:val=&quot;002B2750&quot;/&gt;&lt;wsp:rsid wsp:val=&quot;002B2CDA&quot;/&gt;&lt;wsp:rsid wsp:val=&quot;002B3B40&quot;/&gt;&lt;wsp:rsid wsp:val=&quot;002B3B45&quot;/&gt;&lt;wsp:rsid wsp:val=&quot;002B3C6E&quot;/&gt;&lt;wsp:rsid wsp:val=&quot;002B4636&quot;/&gt;&lt;wsp:rsid wsp:val=&quot;002B5679&quot;/&gt;&lt;wsp:rsid wsp:val=&quot;002B589F&quot;/&gt;&lt;wsp:rsid wsp:val=&quot;002B5CDE&quot;/&gt;&lt;wsp:rsid wsp:val=&quot;002B6271&quot;/&gt;&lt;wsp:rsid wsp:val=&quot;002B63AB&quot;/&gt;&lt;wsp:rsid wsp:val=&quot;002B6969&quot;/&gt;&lt;wsp:rsid wsp:val=&quot;002B6B15&quot;/&gt;&lt;wsp:rsid wsp:val=&quot;002B6C6C&quot;/&gt;&lt;wsp:rsid wsp:val=&quot;002B6E38&quot;/&gt;&lt;wsp:rsid wsp:val=&quot;002B7093&quot;/&gt;&lt;wsp:rsid wsp:val=&quot;002C028F&quot;/&gt;&lt;wsp:rsid wsp:val=&quot;002C02EC&quot;/&gt;&lt;wsp:rsid wsp:val=&quot;002C02EF&quot;/&gt;&lt;wsp:rsid wsp:val=&quot;002C0435&quot;/&gt;&lt;wsp:rsid wsp:val=&quot;002C0475&quot;/&gt;&lt;wsp:rsid wsp:val=&quot;002C049C&quot;/&gt;&lt;wsp:rsid wsp:val=&quot;002C06A2&quot;/&gt;&lt;wsp:rsid wsp:val=&quot;002C0797&quot;/&gt;&lt;wsp:rsid wsp:val=&quot;002C09C9&quot;/&gt;&lt;wsp:rsid wsp:val=&quot;002C1425&quot;/&gt;&lt;wsp:rsid wsp:val=&quot;002C196B&quot;/&gt;&lt;wsp:rsid wsp:val=&quot;002C1A16&quot;/&gt;&lt;wsp:rsid wsp:val=&quot;002C1D69&quot;/&gt;&lt;wsp:rsid wsp:val=&quot;002C2023&quot;/&gt;&lt;wsp:rsid wsp:val=&quot;002C2E78&quot;/&gt;&lt;wsp:rsid wsp:val=&quot;002C341B&quot;/&gt;&lt;wsp:rsid wsp:val=&quot;002C36FF&quot;/&gt;&lt;wsp:rsid wsp:val=&quot;002C3863&quot;/&gt;&lt;wsp:rsid wsp:val=&quot;002C38D3&quot;/&gt;&lt;wsp:rsid wsp:val=&quot;002C399A&quot;/&gt;&lt;wsp:rsid wsp:val=&quot;002C3F6E&quot;/&gt;&lt;wsp:rsid wsp:val=&quot;002C40E3&quot;/&gt;&lt;wsp:rsid wsp:val=&quot;002C426B&quot;/&gt;&lt;wsp:rsid wsp:val=&quot;002C4910&quot;/&gt;&lt;wsp:rsid wsp:val=&quot;002C51F4&quot;/&gt;&lt;wsp:rsid wsp:val=&quot;002C52BD&quot;/&gt;&lt;wsp:rsid wsp:val=&quot;002C5465&quot;/&gt;&lt;wsp:rsid wsp:val=&quot;002C580B&quot;/&gt;&lt;wsp:rsid wsp:val=&quot;002C5A9A&quot;/&gt;&lt;wsp:rsid wsp:val=&quot;002C5D82&quot;/&gt;&lt;wsp:rsid wsp:val=&quot;002C5F99&quot;/&gt;&lt;wsp:rsid wsp:val=&quot;002C6221&quot;/&gt;&lt;wsp:rsid wsp:val=&quot;002C6936&quot;/&gt;&lt;wsp:rsid wsp:val=&quot;002C6EF6&quot;/&gt;&lt;wsp:rsid wsp:val=&quot;002C70A1&quot;/&gt;&lt;wsp:rsid wsp:val=&quot;002C70EB&quot;/&gt;&lt;wsp:rsid wsp:val=&quot;002C71BC&quot;/&gt;&lt;wsp:rsid wsp:val=&quot;002C7CB3&quot;/&gt;&lt;wsp:rsid wsp:val=&quot;002D01B6&quot;/&gt;&lt;wsp:rsid wsp:val=&quot;002D051A&quot;/&gt;&lt;wsp:rsid wsp:val=&quot;002D066C&quot;/&gt;&lt;wsp:rsid wsp:val=&quot;002D0BD7&quot;/&gt;&lt;wsp:rsid wsp:val=&quot;002D0D75&quot;/&gt;&lt;wsp:rsid wsp:val=&quot;002D17A6&quot;/&gt;&lt;wsp:rsid wsp:val=&quot;002D1F87&quot;/&gt;&lt;wsp:rsid wsp:val=&quot;002D2373&quot;/&gt;&lt;wsp:rsid wsp:val=&quot;002D26F6&quot;/&gt;&lt;wsp:rsid wsp:val=&quot;002D2A19&quot;/&gt;&lt;wsp:rsid wsp:val=&quot;002D2A84&quot;/&gt;&lt;wsp:rsid wsp:val=&quot;002D30BE&quot;/&gt;&lt;wsp:rsid wsp:val=&quot;002D325A&quot;/&gt;&lt;wsp:rsid wsp:val=&quot;002D3A06&quot;/&gt;&lt;wsp:rsid wsp:val=&quot;002D3E99&quot;/&gt;&lt;wsp:rsid wsp:val=&quot;002D3FAD&quot;/&gt;&lt;wsp:rsid wsp:val=&quot;002D4667&quot;/&gt;&lt;wsp:rsid wsp:val=&quot;002D48AC&quot;/&gt;&lt;wsp:rsid wsp:val=&quot;002D4A83&quot;/&gt;&lt;wsp:rsid wsp:val=&quot;002D4C2A&quot;/&gt;&lt;wsp:rsid wsp:val=&quot;002D5156&quot;/&gt;&lt;wsp:rsid wsp:val=&quot;002D5221&quot;/&gt;&lt;wsp:rsid wsp:val=&quot;002D54B2&quot;/&gt;&lt;wsp:rsid wsp:val=&quot;002D5AD5&quot;/&gt;&lt;wsp:rsid wsp:val=&quot;002D5F75&quot;/&gt;&lt;wsp:rsid wsp:val=&quot;002D60C7&quot;/&gt;&lt;wsp:rsid wsp:val=&quot;002D6528&quot;/&gt;&lt;wsp:rsid wsp:val=&quot;002D655D&quot;/&gt;&lt;wsp:rsid wsp:val=&quot;002D6810&quot;/&gt;&lt;wsp:rsid wsp:val=&quot;002D68CE&quot;/&gt;&lt;wsp:rsid wsp:val=&quot;002D68D1&quot;/&gt;&lt;wsp:rsid wsp:val=&quot;002D68F0&quot;/&gt;&lt;wsp:rsid wsp:val=&quot;002D6938&quot;/&gt;&lt;wsp:rsid wsp:val=&quot;002D6EA4&quot;/&gt;&lt;wsp:rsid wsp:val=&quot;002D6F4C&quot;/&gt;&lt;wsp:rsid wsp:val=&quot;002D712B&quot;/&gt;&lt;wsp:rsid wsp:val=&quot;002D7489&quot;/&gt;&lt;wsp:rsid wsp:val=&quot;002D75E1&quot;/&gt;&lt;wsp:rsid wsp:val=&quot;002D7852&quot;/&gt;&lt;wsp:rsid wsp:val=&quot;002D7876&quot;/&gt;&lt;wsp:rsid wsp:val=&quot;002D7F7C&quot;/&gt;&lt;wsp:rsid wsp:val=&quot;002E00F5&quot;/&gt;&lt;wsp:rsid wsp:val=&quot;002E0245&quot;/&gt;&lt;wsp:rsid wsp:val=&quot;002E09BB&quot;/&gt;&lt;wsp:rsid wsp:val=&quot;002E10DC&quot;/&gt;&lt;wsp:rsid wsp:val=&quot;002E155F&quot;/&gt;&lt;wsp:rsid wsp:val=&quot;002E1B96&quot;/&gt;&lt;wsp:rsid wsp:val=&quot;002E1D4F&quot;/&gt;&lt;wsp:rsid wsp:val=&quot;002E1F15&quot;/&gt;&lt;wsp:rsid wsp:val=&quot;002E1F17&quot;/&gt;&lt;wsp:rsid wsp:val=&quot;002E205D&quot;/&gt;&lt;wsp:rsid wsp:val=&quot;002E22DB&quot;/&gt;&lt;wsp:rsid wsp:val=&quot;002E28BB&quot;/&gt;&lt;wsp:rsid wsp:val=&quot;002E2C03&quot;/&gt;&lt;wsp:rsid wsp:val=&quot;002E2EC0&quot;/&gt;&lt;wsp:rsid wsp:val=&quot;002E3387&quot;/&gt;&lt;wsp:rsid wsp:val=&quot;002E34D6&quot;/&gt;&lt;wsp:rsid wsp:val=&quot;002E3B88&quot;/&gt;&lt;wsp:rsid wsp:val=&quot;002E3D5B&quot;/&gt;&lt;wsp:rsid wsp:val=&quot;002E3DAD&quot;/&gt;&lt;wsp:rsid wsp:val=&quot;002E3ED7&quot;/&gt;&lt;wsp:rsid wsp:val=&quot;002E4583&quot;/&gt;&lt;wsp:rsid wsp:val=&quot;002E4707&quot;/&gt;&lt;wsp:rsid wsp:val=&quot;002E4B35&quot;/&gt;&lt;wsp:rsid wsp:val=&quot;002E542B&quot;/&gt;&lt;wsp:rsid wsp:val=&quot;002E6D9B&quot;/&gt;&lt;wsp:rsid wsp:val=&quot;002E7A1F&quot;/&gt;&lt;wsp:rsid wsp:val=&quot;002E7AE0&quot;/&gt;&lt;wsp:rsid wsp:val=&quot;002E7B93&quot;/&gt;&lt;wsp:rsid wsp:val=&quot;002E7F73&quot;/&gt;&lt;wsp:rsid wsp:val=&quot;002F0117&quot;/&gt;&lt;wsp:rsid wsp:val=&quot;002F033F&quot;/&gt;&lt;wsp:rsid wsp:val=&quot;002F0447&quot;/&gt;&lt;wsp:rsid wsp:val=&quot;002F046F&quot;/&gt;&lt;wsp:rsid wsp:val=&quot;002F0546&quot;/&gt;&lt;wsp:rsid wsp:val=&quot;002F0E28&quot;/&gt;&lt;wsp:rsid wsp:val=&quot;002F0F50&quot;/&gt;&lt;wsp:rsid wsp:val=&quot;002F0FBF&quot;/&gt;&lt;wsp:rsid wsp:val=&quot;002F12A5&quot;/&gt;&lt;wsp:rsid wsp:val=&quot;002F1589&quot;/&gt;&lt;wsp:rsid wsp:val=&quot;002F17EF&quot;/&gt;&lt;wsp:rsid wsp:val=&quot;002F1969&quot;/&gt;&lt;wsp:rsid wsp:val=&quot;002F1FC7&quot;/&gt;&lt;wsp:rsid wsp:val=&quot;002F2886&quot;/&gt;&lt;wsp:rsid wsp:val=&quot;002F309F&quot;/&gt;&lt;wsp:rsid wsp:val=&quot;002F33C7&quot;/&gt;&lt;wsp:rsid wsp:val=&quot;002F3538&quot;/&gt;&lt;wsp:rsid wsp:val=&quot;002F3CF1&quot;/&gt;&lt;wsp:rsid wsp:val=&quot;002F3D37&quot;/&gt;&lt;wsp:rsid wsp:val=&quot;002F42BA&quot;/&gt;&lt;wsp:rsid wsp:val=&quot;002F452B&quot;/&gt;&lt;wsp:rsid wsp:val=&quot;002F4635&quot;/&gt;&lt;wsp:rsid wsp:val=&quot;002F4CC1&quot;/&gt;&lt;wsp:rsid wsp:val=&quot;002F4E53&quot;/&gt;&lt;wsp:rsid wsp:val=&quot;002F4E82&quot;/&gt;&lt;wsp:rsid wsp:val=&quot;002F4FEE&quot;/&gt;&lt;wsp:rsid wsp:val=&quot;002F50B4&quot;/&gt;&lt;wsp:rsid wsp:val=&quot;002F5550&quot;/&gt;&lt;wsp:rsid wsp:val=&quot;002F57FD&quot;/&gt;&lt;wsp:rsid wsp:val=&quot;002F5DB6&quot;/&gt;&lt;wsp:rsid wsp:val=&quot;002F5EEF&quot;/&gt;&lt;wsp:rsid wsp:val=&quot;002F5FFD&quot;/&gt;&lt;wsp:rsid wsp:val=&quot;002F6510&quot;/&gt;&lt;wsp:rsid wsp:val=&quot;002F6A30&quot;/&gt;&lt;wsp:rsid wsp:val=&quot;002F6C71&quot;/&gt;&lt;wsp:rsid wsp:val=&quot;002F762A&quot;/&gt;&lt;wsp:rsid wsp:val=&quot;002F7CDE&quot;/&gt;&lt;wsp:rsid wsp:val=&quot;00300614&quot;/&gt;&lt;wsp:rsid wsp:val=&quot;0030079A&quot;/&gt;&lt;wsp:rsid wsp:val=&quot;00300A4F&quot;/&gt;&lt;wsp:rsid wsp:val=&quot;003011E0&quot;/&gt;&lt;wsp:rsid wsp:val=&quot;00301AB9&quot;/&gt;&lt;wsp:rsid wsp:val=&quot;00301E31&quot;/&gt;&lt;wsp:rsid wsp:val=&quot;003020F0&quot;/&gt;&lt;wsp:rsid wsp:val=&quot;003021E3&quot;/&gt;&lt;wsp:rsid wsp:val=&quot;003021EB&quot;/&gt;&lt;wsp:rsid wsp:val=&quot;0030234F&quot;/&gt;&lt;wsp:rsid wsp:val=&quot;003024F1&quot;/&gt;&lt;wsp:rsid wsp:val=&quot;00302C47&quot;/&gt;&lt;wsp:rsid wsp:val=&quot;00302DE7&quot;/&gt;&lt;wsp:rsid wsp:val=&quot;00302E2C&quot;/&gt;&lt;wsp:rsid wsp:val=&quot;0030381E&quot;/&gt;&lt;wsp:rsid wsp:val=&quot;00303848&quot;/&gt;&lt;wsp:rsid wsp:val=&quot;00303894&quot;/&gt;&lt;wsp:rsid wsp:val=&quot;00303A13&quot;/&gt;&lt;wsp:rsid wsp:val=&quot;00303D41&quot;/&gt;&lt;wsp:rsid wsp:val=&quot;0030400B&quot;/&gt;&lt;wsp:rsid wsp:val=&quot;003040BB&quot;/&gt;&lt;wsp:rsid wsp:val=&quot;003042E2&quot;/&gt;&lt;wsp:rsid wsp:val=&quot;00304465&quot;/&gt;&lt;wsp:rsid wsp:val=&quot;00304543&quot;/&gt;&lt;wsp:rsid wsp:val=&quot;00304659&quot;/&gt;&lt;wsp:rsid wsp:val=&quot;00304816&quot;/&gt;&lt;wsp:rsid wsp:val=&quot;00305216&quot;/&gt;&lt;wsp:rsid wsp:val=&quot;00305929&quot;/&gt;&lt;wsp:rsid wsp:val=&quot;00305A87&quot;/&gt;&lt;wsp:rsid wsp:val=&quot;003064CB&quot;/&gt;&lt;wsp:rsid wsp:val=&quot;00306A6A&quot;/&gt;&lt;wsp:rsid wsp:val=&quot;00306AA7&quot;/&gt;&lt;wsp:rsid wsp:val=&quot;00306CB1&quot;/&gt;&lt;wsp:rsid wsp:val=&quot;00306F51&quot;/&gt;&lt;wsp:rsid wsp:val=&quot;00306F9A&quot;/&gt;&lt;wsp:rsid wsp:val=&quot;00307117&quot;/&gt;&lt;wsp:rsid wsp:val=&quot;00307711&quot;/&gt;&lt;wsp:rsid wsp:val=&quot;003077AC&quot;/&gt;&lt;wsp:rsid wsp:val=&quot;00307B03&quot;/&gt;&lt;wsp:rsid wsp:val=&quot;0031013A&quot;/&gt;&lt;wsp:rsid wsp:val=&quot;0031018C&quot;/&gt;&lt;wsp:rsid wsp:val=&quot;003105B2&quot;/&gt;&lt;wsp:rsid wsp:val=&quot;00310832&quot;/&gt;&lt;wsp:rsid wsp:val=&quot;00310AC6&quot;/&gt;&lt;wsp:rsid wsp:val=&quot;00310E02&quot;/&gt;&lt;wsp:rsid wsp:val=&quot;003111BD&quot;/&gt;&lt;wsp:rsid wsp:val=&quot;00311355&quot;/&gt;&lt;wsp:rsid wsp:val=&quot;003118E0&quot;/&gt;&lt;wsp:rsid wsp:val=&quot;00311967&quot;/&gt;&lt;wsp:rsid wsp:val=&quot;00311BFF&quot;/&gt;&lt;wsp:rsid wsp:val=&quot;0031201D&quot;/&gt;&lt;wsp:rsid wsp:val=&quot;003124A8&quot;/&gt;&lt;wsp:rsid wsp:val=&quot;0031286E&quot;/&gt;&lt;wsp:rsid wsp:val=&quot;00312EEF&quot;/&gt;&lt;wsp:rsid wsp:val=&quot;00312FD4&quot;/&gt;&lt;wsp:rsid wsp:val=&quot;0031302C&quot;/&gt;&lt;wsp:rsid wsp:val=&quot;00313A91&quot;/&gt;&lt;wsp:rsid wsp:val=&quot;00313C73&quot;/&gt;&lt;wsp:rsid wsp:val=&quot;0031435C&quot;/&gt;&lt;wsp:rsid wsp:val=&quot;003144DA&quot;/&gt;&lt;wsp:rsid wsp:val=&quot;00314577&quot;/&gt;&lt;wsp:rsid wsp:val=&quot;003145BA&quot;/&gt;&lt;wsp:rsid wsp:val=&quot;003146B3&quot;/&gt;&lt;wsp:rsid wsp:val=&quot;003148C5&quot;/&gt;&lt;wsp:rsid wsp:val=&quot;003148E8&quot;/&gt;&lt;wsp:rsid wsp:val=&quot;0031494A&quot;/&gt;&lt;wsp:rsid wsp:val=&quot;00314D64&quot;/&gt;&lt;wsp:rsid wsp:val=&quot;003153AB&quot;/&gt;&lt;wsp:rsid wsp:val=&quot;00315C1F&quot;/&gt;&lt;wsp:rsid wsp:val=&quot;00316A8D&quot;/&gt;&lt;wsp:rsid wsp:val=&quot;00316B3D&quot;/&gt;&lt;wsp:rsid wsp:val=&quot;0031710A&quot;/&gt;&lt;wsp:rsid wsp:val=&quot;0031727B&quot;/&gt;&lt;wsp:rsid wsp:val=&quot;003173FE&quot;/&gt;&lt;wsp:rsid wsp:val=&quot;0031743E&quot;/&gt;&lt;wsp:rsid wsp:val=&quot;003175D3&quot;/&gt;&lt;wsp:rsid wsp:val=&quot;003176EF&quot;/&gt;&lt;wsp:rsid wsp:val=&quot;00317939&quot;/&gt;&lt;wsp:rsid wsp:val=&quot;00317951&quot;/&gt;&lt;wsp:rsid wsp:val=&quot;003179E4&quot;/&gt;&lt;wsp:rsid wsp:val=&quot;00317A5B&quot;/&gt;&lt;wsp:rsid wsp:val=&quot;00317B85&quot;/&gt;&lt;wsp:rsid wsp:val=&quot;00317C82&quot;/&gt;&lt;wsp:rsid wsp:val=&quot;00317C8D&quot;/&gt;&lt;wsp:rsid wsp:val=&quot;00320125&quot;/&gt;&lt;wsp:rsid wsp:val=&quot;00320258&quot;/&gt;&lt;wsp:rsid wsp:val=&quot;00320778&quot;/&gt;&lt;wsp:rsid wsp:val=&quot;003208F1&quot;/&gt;&lt;wsp:rsid wsp:val=&quot;00320B46&quot;/&gt;&lt;wsp:rsid wsp:val=&quot;00321345&quot;/&gt;&lt;wsp:rsid wsp:val=&quot;003219C6&quot;/&gt;&lt;wsp:rsid wsp:val=&quot;00321BAA&quot;/&gt;&lt;wsp:rsid wsp:val=&quot;00321FE8&quot;/&gt;&lt;wsp:rsid wsp:val=&quot;003228E7&quot;/&gt;&lt;wsp:rsid wsp:val=&quot;00322C86&quot;/&gt;&lt;wsp:rsid wsp:val=&quot;00322F9C&quot;/&gt;&lt;wsp:rsid wsp:val=&quot;00323064&quot;/&gt;&lt;wsp:rsid wsp:val=&quot;00323789&quot;/&gt;&lt;wsp:rsid wsp:val=&quot;003237CD&quot;/&gt;&lt;wsp:rsid wsp:val=&quot;003239FE&quot;/&gt;&lt;wsp:rsid wsp:val=&quot;00323A36&quot;/&gt;&lt;wsp:rsid wsp:val=&quot;00323C3F&quot;/&gt;&lt;wsp:rsid wsp:val=&quot;00324043&quot;/&gt;&lt;wsp:rsid wsp:val=&quot;003240C6&quot;/&gt;&lt;wsp:rsid wsp:val=&quot;003240DB&quot;/&gt;&lt;wsp:rsid wsp:val=&quot;00324172&quot;/&gt;&lt;wsp:rsid wsp:val=&quot;003243F1&quot;/&gt;&lt;wsp:rsid wsp:val=&quot;00324811&quot;/&gt;&lt;wsp:rsid wsp:val=&quot;00324D96&quot;/&gt;&lt;wsp:rsid wsp:val=&quot;003251F5&quot;/&gt;&lt;wsp:rsid wsp:val=&quot;003251FD&quot;/&gt;&lt;wsp:rsid wsp:val=&quot;003252DE&quot;/&gt;&lt;wsp:rsid wsp:val=&quot;0032561C&quot;/&gt;&lt;wsp:rsid wsp:val=&quot;003256BF&quot;/&gt;&lt;wsp:rsid wsp:val=&quot;0032627E&quot;/&gt;&lt;wsp:rsid wsp:val=&quot;003263D2&quot;/&gt;&lt;wsp:rsid wsp:val=&quot;003265DD&quot;/&gt;&lt;wsp:rsid wsp:val=&quot;00326D3E&quot;/&gt;&lt;wsp:rsid wsp:val=&quot;0032714F&quot;/&gt;&lt;wsp:rsid wsp:val=&quot;0032737B&quot;/&gt;&lt;wsp:rsid wsp:val=&quot;0032755B&quot;/&gt;&lt;wsp:rsid wsp:val=&quot;0032756B&quot;/&gt;&lt;wsp:rsid wsp:val=&quot;003278B6&quot;/&gt;&lt;wsp:rsid wsp:val=&quot;00327A8B&quot;/&gt;&lt;wsp:rsid wsp:val=&quot;00327CA0&quot;/&gt;&lt;wsp:rsid wsp:val=&quot;00327E04&quot;/&gt;&lt;wsp:rsid wsp:val=&quot;00327E52&quot;/&gt;&lt;wsp:rsid wsp:val=&quot;00330024&quot;/&gt;&lt;wsp:rsid wsp:val=&quot;0033034B&quot;/&gt;&lt;wsp:rsid wsp:val=&quot;00330B34&quot;/&gt;&lt;wsp:rsid wsp:val=&quot;00331365&quot;/&gt;&lt;wsp:rsid wsp:val=&quot;003316ED&quot;/&gt;&lt;wsp:rsid wsp:val=&quot;0033175A&quot;/&gt;&lt;wsp:rsid wsp:val=&quot;003318EC&quot;/&gt;&lt;wsp:rsid wsp:val=&quot;00331ACB&quot;/&gt;&lt;wsp:rsid wsp:val=&quot;0033226E&quot;/&gt;&lt;wsp:rsid wsp:val=&quot;003322C0&quot;/&gt;&lt;wsp:rsid wsp:val=&quot;0033245B&quot;/&gt;&lt;wsp:rsid wsp:val=&quot;003327D1&quot;/&gt;&lt;wsp:rsid wsp:val=&quot;00332A9F&quot;/&gt;&lt;wsp:rsid wsp:val=&quot;00332C11&quot;/&gt;&lt;wsp:rsid wsp:val=&quot;0033316B&quot;/&gt;&lt;wsp:rsid wsp:val=&quot;003331E4&quot;/&gt;&lt;wsp:rsid wsp:val=&quot;003332A5&quot;/&gt;&lt;wsp:rsid wsp:val=&quot;003332B4&quot;/&gt;&lt;wsp:rsid wsp:val=&quot;003332C9&quot;/&gt;&lt;wsp:rsid wsp:val=&quot;00333498&quot;/&gt;&lt;wsp:rsid wsp:val=&quot;00333521&quot;/&gt;&lt;wsp:rsid wsp:val=&quot;00333680&quot;/&gt;&lt;wsp:rsid wsp:val=&quot;00333F62&quot;/&gt;&lt;wsp:rsid wsp:val=&quot;003340C4&quot;/&gt;&lt;wsp:rsid wsp:val=&quot;003342C3&quot;/&gt;&lt;wsp:rsid wsp:val=&quot;00334AB7&quot;/&gt;&lt;wsp:rsid wsp:val=&quot;00334DBD&quot;/&gt;&lt;wsp:rsid wsp:val=&quot;00334F85&quot;/&gt;&lt;wsp:rsid wsp:val=&quot;0033524F&quot;/&gt;&lt;wsp:rsid wsp:val=&quot;003354E8&quot;/&gt;&lt;wsp:rsid wsp:val=&quot;00335704&quot;/&gt;&lt;wsp:rsid wsp:val=&quot;00335B8C&quot;/&gt;&lt;wsp:rsid wsp:val=&quot;00335BEC&quot;/&gt;&lt;wsp:rsid wsp:val=&quot;00335C3B&quot;/&gt;&lt;wsp:rsid wsp:val=&quot;00335FEF&quot;/&gt;&lt;wsp:rsid wsp:val=&quot;00336121&quot;/&gt;&lt;wsp:rsid wsp:val=&quot;00336146&quot;/&gt;&lt;wsp:rsid wsp:val=&quot;003369C1&quot;/&gt;&lt;wsp:rsid wsp:val=&quot;00336D68&quot;/&gt;&lt;wsp:rsid wsp:val=&quot;00336D7E&quot;/&gt;&lt;wsp:rsid wsp:val=&quot;00337075&quot;/&gt;&lt;wsp:rsid wsp:val=&quot;0033707C&quot;/&gt;&lt;wsp:rsid wsp:val=&quot;003373A9&quot;/&gt;&lt;wsp:rsid wsp:val=&quot;003373F7&quot;/&gt;&lt;wsp:rsid wsp:val=&quot;003375F2&quot;/&gt;&lt;wsp:rsid wsp:val=&quot;0033764C&quot;/&gt;&lt;wsp:rsid wsp:val=&quot;003379E1&quot;/&gt;&lt;wsp:rsid wsp:val=&quot;0034005A&quot;/&gt;&lt;wsp:rsid wsp:val=&quot;00340105&quot;/&gt;&lt;wsp:rsid wsp:val=&quot;003405F2&quot;/&gt;&lt;wsp:rsid wsp:val=&quot;0034077B&quot;/&gt;&lt;wsp:rsid wsp:val=&quot;00340B3C&quot;/&gt;&lt;wsp:rsid wsp:val=&quot;00340EA3&quot;/&gt;&lt;wsp:rsid wsp:val=&quot;00340EC3&quot;/&gt;&lt;wsp:rsid wsp:val=&quot;00341352&quot;/&gt;&lt;wsp:rsid wsp:val=&quot;0034136D&quot;/&gt;&lt;wsp:rsid wsp:val=&quot;00341648&quot;/&gt;&lt;wsp:rsid wsp:val=&quot;00341871&quot;/&gt;&lt;wsp:rsid wsp:val=&quot;00341BA2&quot;/&gt;&lt;wsp:rsid wsp:val=&quot;0034246D&quot;/&gt;&lt;wsp:rsid wsp:val=&quot;003426DD&quot;/&gt;&lt;wsp:rsid wsp:val=&quot;003429BB&quot;/&gt;&lt;wsp:rsid wsp:val=&quot;00342C6D&quot;/&gt;&lt;wsp:rsid wsp:val=&quot;00342D91&quot;/&gt;&lt;wsp:rsid wsp:val=&quot;0034360D&quot;/&gt;&lt;wsp:rsid wsp:val=&quot;00343823&quot;/&gt;&lt;wsp:rsid wsp:val=&quot;00343AEB&quot;/&gt;&lt;wsp:rsid wsp:val=&quot;00343B37&quot;/&gt;&lt;wsp:rsid wsp:val=&quot;003441AF&quot;/&gt;&lt;wsp:rsid wsp:val=&quot;0034430C&quot;/&gt;&lt;wsp:rsid wsp:val=&quot;0034477E&quot;/&gt;&lt;wsp:rsid wsp:val=&quot;0034499B&quot;/&gt;&lt;wsp:rsid wsp:val=&quot;003449EE&quot;/&gt;&lt;wsp:rsid wsp:val=&quot;00344C86&quot;/&gt;&lt;wsp:rsid wsp:val=&quot;00345346&quot;/&gt;&lt;wsp:rsid wsp:val=&quot;003459A5&quot;/&gt;&lt;wsp:rsid wsp:val=&quot;00345E3E&quot;/&gt;&lt;wsp:rsid wsp:val=&quot;00345E83&quot;/&gt;&lt;wsp:rsid wsp:val=&quot;003461A8&quot;/&gt;&lt;wsp:rsid wsp:val=&quot;003461B5&quot;/&gt;&lt;wsp:rsid wsp:val=&quot;0034647F&quot;/&gt;&lt;wsp:rsid wsp:val=&quot;003465BD&quot;/&gt;&lt;wsp:rsid wsp:val=&quot;003467BA&quot;/&gt;&lt;wsp:rsid wsp:val=&quot;003472CE&quot;/&gt;&lt;wsp:rsid wsp:val=&quot;003474C7&quot;/&gt;&lt;wsp:rsid wsp:val=&quot;00347AEC&quot;/&gt;&lt;wsp:rsid wsp:val=&quot;00350027&quot;/&gt;&lt;wsp:rsid wsp:val=&quot;003501D8&quot;/&gt;&lt;wsp:rsid wsp:val=&quot;003506E8&quot;/&gt;&lt;wsp:rsid wsp:val=&quot;00350808&quot;/&gt;&lt;wsp:rsid wsp:val=&quot;00350B40&quot;/&gt;&lt;wsp:rsid wsp:val=&quot;00350BE1&quot;/&gt;&lt;wsp:rsid wsp:val=&quot;00350C45&quot;/&gt;&lt;wsp:rsid wsp:val=&quot;00350D37&quot;/&gt;&lt;wsp:rsid wsp:val=&quot;003513D0&quot;/&gt;&lt;wsp:rsid wsp:val=&quot;00351544&quot;/&gt;&lt;wsp:rsid wsp:val=&quot;00351D23&quot;/&gt;&lt;wsp:rsid wsp:val=&quot;00352111&quot;/&gt;&lt;wsp:rsid wsp:val=&quot;0035243E&quot;/&gt;&lt;wsp:rsid wsp:val=&quot;003529B5&quot;/&gt;&lt;wsp:rsid wsp:val=&quot;003529C4&quot;/&gt;&lt;wsp:rsid wsp:val=&quot;00352D51&quot;/&gt;&lt;wsp:rsid wsp:val=&quot;0035318B&quot;/&gt;&lt;wsp:rsid wsp:val=&quot;0035377D&quot;/&gt;&lt;wsp:rsid wsp:val=&quot;00353951&quot;/&gt;&lt;wsp:rsid wsp:val=&quot;00353DEF&quot;/&gt;&lt;wsp:rsid wsp:val=&quot;003548CE&quot;/&gt;&lt;wsp:rsid wsp:val=&quot;003550CB&quot;/&gt;&lt;wsp:rsid wsp:val=&quot;0035532F&quot;/&gt;&lt;wsp:rsid wsp:val=&quot;00355506&quot;/&gt;&lt;wsp:rsid wsp:val=&quot;0035582D&quot;/&gt;&lt;wsp:rsid wsp:val=&quot;003558B6&quot;/&gt;&lt;wsp:rsid wsp:val=&quot;0035596F&quot;/&gt;&lt;wsp:rsid wsp:val=&quot;00355B23&quot;/&gt;&lt;wsp:rsid wsp:val=&quot;003564AF&quot;/&gt;&lt;wsp:rsid wsp:val=&quot;003576FD&quot;/&gt;&lt;wsp:rsid wsp:val=&quot;0035786F&quot;/&gt;&lt;wsp:rsid wsp:val=&quot;00357B2B&quot;/&gt;&lt;wsp:rsid wsp:val=&quot;00357BD4&quot;/&gt;&lt;wsp:rsid wsp:val=&quot;0036002A&quot;/&gt;&lt;wsp:rsid wsp:val=&quot;0036041D&quot;/&gt;&lt;wsp:rsid wsp:val=&quot;00360810&quot;/&gt;&lt;wsp:rsid wsp:val=&quot;00360C9D&quot;/&gt;&lt;wsp:rsid wsp:val=&quot;00360FA1&quot;/&gt;&lt;wsp:rsid wsp:val=&quot;003611FD&quot;/&gt;&lt;wsp:rsid wsp:val=&quot;00361663&quot;/&gt;&lt;wsp:rsid wsp:val=&quot;00361B72&quot;/&gt;&lt;wsp:rsid wsp:val=&quot;00361FD5&quot;/&gt;&lt;wsp:rsid wsp:val=&quot;003620B5&quot;/&gt;&lt;wsp:rsid wsp:val=&quot;003620DB&quot;/&gt;&lt;wsp:rsid wsp:val=&quot;003621B7&quot;/&gt;&lt;wsp:rsid wsp:val=&quot;0036259B&quot;/&gt;&lt;wsp:rsid wsp:val=&quot;00362A92&quot;/&gt;&lt;wsp:rsid wsp:val=&quot;00362BC1&quot;/&gt;&lt;wsp:rsid wsp:val=&quot;00362FE2&quot;/&gt;&lt;wsp:rsid wsp:val=&quot;003630BD&quot;/&gt;&lt;wsp:rsid wsp:val=&quot;0036312A&quot;/&gt;&lt;wsp:rsid wsp:val=&quot;00363568&quot;/&gt;&lt;wsp:rsid wsp:val=&quot;003638A2&quot;/&gt;&lt;wsp:rsid wsp:val=&quot;00363E3B&quot;/&gt;&lt;wsp:rsid wsp:val=&quot;00363E47&quot;/&gt;&lt;wsp:rsid wsp:val=&quot;0036416D&quot;/&gt;&lt;wsp:rsid wsp:val=&quot;00364582&quot;/&gt;&lt;wsp:rsid wsp:val=&quot;003645D7&quot;/&gt;&lt;wsp:rsid wsp:val=&quot;00364A82&quot;/&gt;&lt;wsp:rsid wsp:val=&quot;00365286&quot;/&gt;&lt;wsp:rsid wsp:val=&quot;00365C52&quot;/&gt;&lt;wsp:rsid wsp:val=&quot;00365F41&quot;/&gt;&lt;wsp:rsid wsp:val=&quot;00366017&quot;/&gt;&lt;wsp:rsid wsp:val=&quot;00366401&quot;/&gt;&lt;wsp:rsid wsp:val=&quot;00366520&quot;/&gt;&lt;wsp:rsid wsp:val=&quot;003666EE&quot;/&gt;&lt;wsp:rsid wsp:val=&quot;00366833&quot;/&gt;&lt;wsp:rsid wsp:val=&quot;00366FF4&quot;/&gt;&lt;wsp:rsid wsp:val=&quot;0036702E&quot;/&gt;&lt;wsp:rsid wsp:val=&quot;00367099&quot;/&gt;&lt;wsp:rsid wsp:val=&quot;00367116&quot;/&gt;&lt;wsp:rsid wsp:val=&quot;003671C2&quot;/&gt;&lt;wsp:rsid wsp:val=&quot;003673CB&quot;/&gt;&lt;wsp:rsid wsp:val=&quot;00367508&quot;/&gt;&lt;wsp:rsid wsp:val=&quot;00367CAA&quot;/&gt;&lt;wsp:rsid wsp:val=&quot;00370218&quot;/&gt;&lt;wsp:rsid wsp:val=&quot;00370956&quot;/&gt;&lt;wsp:rsid wsp:val=&quot;00370A0F&quot;/&gt;&lt;wsp:rsid wsp:val=&quot;00370D91&quot;/&gt;&lt;wsp:rsid wsp:val=&quot;00371DDF&quot;/&gt;&lt;wsp:rsid wsp:val=&quot;00371E75&quot;/&gt;&lt;wsp:rsid wsp:val=&quot;00372B2C&quot;/&gt;&lt;wsp:rsid wsp:val=&quot;00372B94&quot;/&gt;&lt;wsp:rsid wsp:val=&quot;00372E1F&quot;/&gt;&lt;wsp:rsid wsp:val=&quot;0037305D&quot;/&gt;&lt;wsp:rsid wsp:val=&quot;00373080&quot;/&gt;&lt;wsp:rsid wsp:val=&quot;0037327A&quot;/&gt;&lt;wsp:rsid wsp:val=&quot;003733B9&quot;/&gt;&lt;wsp:rsid wsp:val=&quot;003734EA&quot;/&gt;&lt;wsp:rsid wsp:val=&quot;00373772&quot;/&gt;&lt;wsp:rsid wsp:val=&quot;0037381A&quot;/&gt;&lt;wsp:rsid wsp:val=&quot;00373863&quot;/&gt;&lt;wsp:rsid wsp:val=&quot;0037417F&quot;/&gt;&lt;wsp:rsid wsp:val=&quot;0037434F&quot;/&gt;&lt;wsp:rsid wsp:val=&quot;003744B2&quot;/&gt;&lt;wsp:rsid wsp:val=&quot;00374A1A&quot;/&gt;&lt;wsp:rsid wsp:val=&quot;00374CFC&quot;/&gt;&lt;wsp:rsid wsp:val=&quot;003751DB&quot;/&gt;&lt;wsp:rsid wsp:val=&quot;00375561&quot;/&gt;&lt;wsp:rsid wsp:val=&quot;0037566E&quot;/&gt;&lt;wsp:rsid wsp:val=&quot;0037573E&quot;/&gt;&lt;wsp:rsid wsp:val=&quot;0037587B&quot;/&gt;&lt;wsp:rsid wsp:val=&quot;00375FE1&quot;/&gt;&lt;wsp:rsid wsp:val=&quot;0037620D&quot;/&gt;&lt;wsp:rsid wsp:val=&quot;00376889&quot;/&gt;&lt;wsp:rsid wsp:val=&quot;0037688C&quot;/&gt;&lt;wsp:rsid wsp:val=&quot;0037736A&quot;/&gt;&lt;wsp:rsid wsp:val=&quot;003778DE&quot;/&gt;&lt;wsp:rsid wsp:val=&quot;00377A92&quot;/&gt;&lt;wsp:rsid wsp:val=&quot;00377CAB&quot;/&gt;&lt;wsp:rsid wsp:val=&quot;00377CCF&quot;/&gt;&lt;wsp:rsid wsp:val=&quot;003800B0&quot;/&gt;&lt;wsp:rsid wsp:val=&quot;00380150&quot;/&gt;&lt;wsp:rsid wsp:val=&quot;0038021F&quot;/&gt;&lt;wsp:rsid wsp:val=&quot;00380627&quot;/&gt;&lt;wsp:rsid wsp:val=&quot;00380A43&quot;/&gt;&lt;wsp:rsid wsp:val=&quot;00380BE5&quot;/&gt;&lt;wsp:rsid wsp:val=&quot;00380D61&quot;/&gt;&lt;wsp:rsid wsp:val=&quot;00380E4F&quot;/&gt;&lt;wsp:rsid wsp:val=&quot;00381580&quot;/&gt;&lt;wsp:rsid wsp:val=&quot;003816B6&quot;/&gt;&lt;wsp:rsid wsp:val=&quot;00381735&quot;/&gt;&lt;wsp:rsid wsp:val=&quot;00381A47&quot;/&gt;&lt;wsp:rsid wsp:val=&quot;00381AE0&quot;/&gt;&lt;wsp:rsid wsp:val=&quot;00381F29&quot;/&gt;&lt;wsp:rsid wsp:val=&quot;003822F0&quot;/&gt;&lt;wsp:rsid wsp:val=&quot;0038263F&quot;/&gt;&lt;wsp:rsid wsp:val=&quot;003829FF&quot;/&gt;&lt;wsp:rsid wsp:val=&quot;00382C25&quot;/&gt;&lt;wsp:rsid wsp:val=&quot;00382E60&quot;/&gt;&lt;wsp:rsid wsp:val=&quot;0038324A&quot;/&gt;&lt;wsp:rsid wsp:val=&quot;00383257&quot;/&gt;&lt;wsp:rsid wsp:val=&quot;003835F4&quot;/&gt;&lt;wsp:rsid wsp:val=&quot;00383A82&quot;/&gt;&lt;wsp:rsid wsp:val=&quot;00383B9A&quot;/&gt;&lt;wsp:rsid wsp:val=&quot;0038426B&quot;/&gt;&lt;wsp:rsid wsp:val=&quot;003843D7&quot;/&gt;&lt;wsp:rsid wsp:val=&quot;003849FB&quot;/&gt;&lt;wsp:rsid wsp:val=&quot;00384B3B&quot;/&gt;&lt;wsp:rsid wsp:val=&quot;00385C5F&quot;/&gt;&lt;wsp:rsid wsp:val=&quot;00385DE1&quot;/&gt;&lt;wsp:rsid wsp:val=&quot;00386363&quot;/&gt;&lt;wsp:rsid wsp:val=&quot;003867F0&quot;/&gt;&lt;wsp:rsid wsp:val=&quot;003871D5&quot;/&gt;&lt;wsp:rsid wsp:val=&quot;00387309&quot;/&gt;&lt;wsp:rsid wsp:val=&quot;0038764F&quot;/&gt;&lt;wsp:rsid wsp:val=&quot;00387679&quot;/&gt;&lt;wsp:rsid wsp:val=&quot;003878E4&quot;/&gt;&lt;wsp:rsid wsp:val=&quot;00387CCC&quot;/&gt;&lt;wsp:rsid wsp:val=&quot;00387D94&quot;/&gt;&lt;wsp:rsid wsp:val=&quot;00390021&quot;/&gt;&lt;wsp:rsid wsp:val=&quot;003902EC&quot;/&gt;&lt;wsp:rsid wsp:val=&quot;0039034E&quot;/&gt;&lt;wsp:rsid wsp:val=&quot;0039053A&quot;/&gt;&lt;wsp:rsid wsp:val=&quot;00390919&quot;/&gt;&lt;wsp:rsid wsp:val=&quot;00390925&quot;/&gt;&lt;wsp:rsid wsp:val=&quot;00390A07&quot;/&gt;&lt;wsp:rsid wsp:val=&quot;00390FA8&quot;/&gt;&lt;wsp:rsid wsp:val=&quot;00391369&quot;/&gt;&lt;wsp:rsid wsp:val=&quot;003917CB&quot;/&gt;&lt;wsp:rsid wsp:val=&quot;00391998&quot;/&gt;&lt;wsp:rsid wsp:val=&quot;00391E4D&quot;/&gt;&lt;wsp:rsid wsp:val=&quot;0039240C&quot;/&gt;&lt;wsp:rsid wsp:val=&quot;0039253A&quot;/&gt;&lt;wsp:rsid wsp:val=&quot;0039272C&quot;/&gt;&lt;wsp:rsid wsp:val=&quot;00392801&quot;/&gt;&lt;wsp:rsid wsp:val=&quot;00392907&quot;/&gt;&lt;wsp:rsid wsp:val=&quot;00392AAD&quot;/&gt;&lt;wsp:rsid wsp:val=&quot;003941C6&quot;/&gt;&lt;wsp:rsid wsp:val=&quot;003941CF&quot;/&gt;&lt;wsp:rsid wsp:val=&quot;003943D7&quot;/&gt;&lt;wsp:rsid wsp:val=&quot;00394690&quot;/&gt;&lt;wsp:rsid wsp:val=&quot;0039499C&quot;/&gt;&lt;wsp:rsid wsp:val=&quot;00394B2F&quot;/&gt;&lt;wsp:rsid wsp:val=&quot;00394D37&quot;/&gt;&lt;wsp:rsid wsp:val=&quot;0039501D&quot;/&gt;&lt;wsp:rsid wsp:val=&quot;00395940&quot;/&gt;&lt;wsp:rsid wsp:val=&quot;00395BC4&quot;/&gt;&lt;wsp:rsid wsp:val=&quot;00395E6F&quot;/&gt;&lt;wsp:rsid wsp:val=&quot;0039633C&quot;/&gt;&lt;wsp:rsid wsp:val=&quot;00396746&quot;/&gt;&lt;wsp:rsid wsp:val=&quot;00396CC7&quot;/&gt;&lt;wsp:rsid wsp:val=&quot;00396FF0&quot;/&gt;&lt;wsp:rsid wsp:val=&quot;003976D0&quot;/&gt;&lt;wsp:rsid wsp:val=&quot;0039784D&quot;/&gt;&lt;wsp:rsid wsp:val=&quot;00397969&quot;/&gt;&lt;wsp:rsid wsp:val=&quot;00397A5E&quot;/&gt;&lt;wsp:rsid wsp:val=&quot;00397AAD&quot;/&gt;&lt;wsp:rsid wsp:val=&quot;00397CB3&quot;/&gt;&lt;wsp:rsid wsp:val=&quot;00397FF2&quot;/&gt;&lt;wsp:rsid wsp:val=&quot;003A0398&quot;/&gt;&lt;wsp:rsid wsp:val=&quot;003A047C&quot;/&gt;&lt;wsp:rsid wsp:val=&quot;003A0DB5&quot;/&gt;&lt;wsp:rsid wsp:val=&quot;003A145B&quot;/&gt;&lt;wsp:rsid wsp:val=&quot;003A157A&quot;/&gt;&lt;wsp:rsid wsp:val=&quot;003A176A&quot;/&gt;&lt;wsp:rsid wsp:val=&quot;003A1844&quot;/&gt;&lt;wsp:rsid wsp:val=&quot;003A184C&quot;/&gt;&lt;wsp:rsid wsp:val=&quot;003A1899&quot;/&gt;&lt;wsp:rsid wsp:val=&quot;003A1926&quot;/&gt;&lt;wsp:rsid wsp:val=&quot;003A1C22&quot;/&gt;&lt;wsp:rsid wsp:val=&quot;003A1C65&quot;/&gt;&lt;wsp:rsid wsp:val=&quot;003A1CF9&quot;/&gt;&lt;wsp:rsid wsp:val=&quot;003A26FA&quot;/&gt;&lt;wsp:rsid wsp:val=&quot;003A287A&quot;/&gt;&lt;wsp:rsid wsp:val=&quot;003A29E9&quot;/&gt;&lt;wsp:rsid wsp:val=&quot;003A2A7F&quot;/&gt;&lt;wsp:rsid wsp:val=&quot;003A33E2&quot;/&gt;&lt;wsp:rsid wsp:val=&quot;003A38DD&quot;/&gt;&lt;wsp:rsid wsp:val=&quot;003A3D24&quot;/&gt;&lt;wsp:rsid wsp:val=&quot;003A3D53&quot;/&gt;&lt;wsp:rsid wsp:val=&quot;003A40F3&quot;/&gt;&lt;wsp:rsid wsp:val=&quot;003A436D&quot;/&gt;&lt;wsp:rsid wsp:val=&quot;003A4A59&quot;/&gt;&lt;wsp:rsid wsp:val=&quot;003A4A81&quot;/&gt;&lt;wsp:rsid wsp:val=&quot;003A4FE4&quot;/&gt;&lt;wsp:rsid wsp:val=&quot;003A5190&quot;/&gt;&lt;wsp:rsid wsp:val=&quot;003A528D&quot;/&gt;&lt;wsp:rsid wsp:val=&quot;003A5646&quot;/&gt;&lt;wsp:rsid wsp:val=&quot;003A566F&quot;/&gt;&lt;wsp:rsid wsp:val=&quot;003A5A32&quot;/&gt;&lt;wsp:rsid wsp:val=&quot;003A5E41&quot;/&gt;&lt;wsp:rsid wsp:val=&quot;003A65B1&quot;/&gt;&lt;wsp:rsid wsp:val=&quot;003A673B&quot;/&gt;&lt;wsp:rsid wsp:val=&quot;003A6859&quot;/&gt;&lt;wsp:rsid wsp:val=&quot;003A68E3&quot;/&gt;&lt;wsp:rsid wsp:val=&quot;003A6912&quot;/&gt;&lt;wsp:rsid wsp:val=&quot;003A70B3&quot;/&gt;&lt;wsp:rsid wsp:val=&quot;003A723C&quot;/&gt;&lt;wsp:rsid wsp:val=&quot;003A7262&quot;/&gt;&lt;wsp:rsid wsp:val=&quot;003A7901&quot;/&gt;&lt;wsp:rsid wsp:val=&quot;003A7925&quot;/&gt;&lt;wsp:rsid wsp:val=&quot;003A7CF6&quot;/&gt;&lt;wsp:rsid wsp:val=&quot;003A7FFD&quot;/&gt;&lt;wsp:rsid wsp:val=&quot;003B01AD&quot;/&gt;&lt;wsp:rsid wsp:val=&quot;003B05ED&quot;/&gt;&lt;wsp:rsid wsp:val=&quot;003B0B3D&quot;/&gt;&lt;wsp:rsid wsp:val=&quot;003B0C2D&quot;/&gt;&lt;wsp:rsid wsp:val=&quot;003B0E52&quot;/&gt;&lt;wsp:rsid wsp:val=&quot;003B132D&quot;/&gt;&lt;wsp:rsid wsp:val=&quot;003B17C5&quot;/&gt;&lt;wsp:rsid wsp:val=&quot;003B1B51&quot;/&gt;&lt;wsp:rsid wsp:val=&quot;003B22F7&quot;/&gt;&lt;wsp:rsid wsp:val=&quot;003B2A75&quot;/&gt;&lt;wsp:rsid wsp:val=&quot;003B2CEE&quot;/&gt;&lt;wsp:rsid wsp:val=&quot;003B2D31&quot;/&gt;&lt;wsp:rsid wsp:val=&quot;003B303C&quot;/&gt;&lt;wsp:rsid wsp:val=&quot;003B304A&quot;/&gt;&lt;wsp:rsid wsp:val=&quot;003B3172&quot;/&gt;&lt;wsp:rsid wsp:val=&quot;003B3279&quot;/&gt;&lt;wsp:rsid wsp:val=&quot;003B357E&quot;/&gt;&lt;wsp:rsid wsp:val=&quot;003B3978&quot;/&gt;&lt;wsp:rsid wsp:val=&quot;003B41AB&quot;/&gt;&lt;wsp:rsid wsp:val=&quot;003B41AF&quot;/&gt;&lt;wsp:rsid wsp:val=&quot;003B44F3&quot;/&gt;&lt;wsp:rsid wsp:val=&quot;003B4F57&quot;/&gt;&lt;wsp:rsid wsp:val=&quot;003B5077&quot;/&gt;&lt;wsp:rsid wsp:val=&quot;003B52A8&quot;/&gt;&lt;wsp:rsid wsp:val=&quot;003B52F7&quot;/&gt;&lt;wsp:rsid wsp:val=&quot;003B578C&quot;/&gt;&lt;wsp:rsid wsp:val=&quot;003B5E36&quot;/&gt;&lt;wsp:rsid wsp:val=&quot;003B5F0A&quot;/&gt;&lt;wsp:rsid wsp:val=&quot;003B61CB&quot;/&gt;&lt;wsp:rsid wsp:val=&quot;003B677D&quot;/&gt;&lt;wsp:rsid wsp:val=&quot;003B6C29&quot;/&gt;&lt;wsp:rsid wsp:val=&quot;003B6DC4&quot;/&gt;&lt;wsp:rsid wsp:val=&quot;003B6E68&quot;/&gt;&lt;wsp:rsid wsp:val=&quot;003B7010&quot;/&gt;&lt;wsp:rsid wsp:val=&quot;003B7D7F&quot;/&gt;&lt;wsp:rsid wsp:val=&quot;003B7FB5&quot;/&gt;&lt;wsp:rsid wsp:val=&quot;003C0009&quot;/&gt;&lt;wsp:rsid wsp:val=&quot;003C048B&quot;/&gt;&lt;wsp:rsid wsp:val=&quot;003C04E1&quot;/&gt;&lt;wsp:rsid wsp:val=&quot;003C0AEF&quot;/&gt;&lt;wsp:rsid wsp:val=&quot;003C0CE2&quot;/&gt;&lt;wsp:rsid wsp:val=&quot;003C1700&quot;/&gt;&lt;wsp:rsid wsp:val=&quot;003C1993&quot;/&gt;&lt;wsp:rsid wsp:val=&quot;003C1E3E&quot;/&gt;&lt;wsp:rsid wsp:val=&quot;003C2055&quot;/&gt;&lt;wsp:rsid wsp:val=&quot;003C270C&quot;/&gt;&lt;wsp:rsid wsp:val=&quot;003C29CB&quot;/&gt;&lt;wsp:rsid wsp:val=&quot;003C2BE4&quot;/&gt;&lt;wsp:rsid wsp:val=&quot;003C2D08&quot;/&gt;&lt;wsp:rsid wsp:val=&quot;003C2E68&quot;/&gt;&lt;wsp:rsid wsp:val=&quot;003C2EE3&quot;/&gt;&lt;wsp:rsid wsp:val=&quot;003C317C&quot;/&gt;&lt;wsp:rsid wsp:val=&quot;003C3719&quot;/&gt;&lt;wsp:rsid wsp:val=&quot;003C38EF&quot;/&gt;&lt;wsp:rsid wsp:val=&quot;003C3FD5&quot;/&gt;&lt;wsp:rsid wsp:val=&quot;003C421F&quot;/&gt;&lt;wsp:rsid wsp:val=&quot;003C44DE&quot;/&gt;&lt;wsp:rsid wsp:val=&quot;003C4928&quot;/&gt;&lt;wsp:rsid wsp:val=&quot;003C4A82&quot;/&gt;&lt;wsp:rsid wsp:val=&quot;003C524F&quot;/&gt;&lt;wsp:rsid wsp:val=&quot;003C57DC&quot;/&gt;&lt;wsp:rsid wsp:val=&quot;003C5C6B&quot;/&gt;&lt;wsp:rsid wsp:val=&quot;003C62E6&quot;/&gt;&lt;wsp:rsid wsp:val=&quot;003C6388&quot;/&gt;&lt;wsp:rsid wsp:val=&quot;003C63E0&quot;/&gt;&lt;wsp:rsid wsp:val=&quot;003C6DC2&quot;/&gt;&lt;wsp:rsid wsp:val=&quot;003C712E&quot;/&gt;&lt;wsp:rsid wsp:val=&quot;003C74EB&quot;/&gt;&lt;wsp:rsid wsp:val=&quot;003C776C&quot;/&gt;&lt;wsp:rsid wsp:val=&quot;003C7E38&quot;/&gt;&lt;wsp:rsid wsp:val=&quot;003C7E92&quot;/&gt;&lt;wsp:rsid wsp:val=&quot;003D022D&quot;/&gt;&lt;wsp:rsid wsp:val=&quot;003D0BB2&quot;/&gt;&lt;wsp:rsid wsp:val=&quot;003D0E03&quot;/&gt;&lt;wsp:rsid wsp:val=&quot;003D1172&quot;/&gt;&lt;wsp:rsid wsp:val=&quot;003D14AF&quot;/&gt;&lt;wsp:rsid wsp:val=&quot;003D1738&quot;/&gt;&lt;wsp:rsid wsp:val=&quot;003D1997&quot;/&gt;&lt;wsp:rsid wsp:val=&quot;003D1A47&quot;/&gt;&lt;wsp:rsid wsp:val=&quot;003D20A7&quot;/&gt;&lt;wsp:rsid wsp:val=&quot;003D23EC&quot;/&gt;&lt;wsp:rsid wsp:val=&quot;003D403E&quot;/&gt;&lt;wsp:rsid wsp:val=&quot;003D42D9&quot;/&gt;&lt;wsp:rsid wsp:val=&quot;003D4367&quot;/&gt;&lt;wsp:rsid wsp:val=&quot;003D4767&quot;/&gt;&lt;wsp:rsid wsp:val=&quot;003D48E3&quot;/&gt;&lt;wsp:rsid wsp:val=&quot;003D49D6&quot;/&gt;&lt;wsp:rsid wsp:val=&quot;003D4B23&quot;/&gt;&lt;wsp:rsid wsp:val=&quot;003D4C60&quot;/&gt;&lt;wsp:rsid wsp:val=&quot;003D4D6B&quot;/&gt;&lt;wsp:rsid wsp:val=&quot;003D50EC&quot;/&gt;&lt;wsp:rsid wsp:val=&quot;003D5179&quot;/&gt;&lt;wsp:rsid wsp:val=&quot;003D5451&quot;/&gt;&lt;wsp:rsid wsp:val=&quot;003D5514&quot;/&gt;&lt;wsp:rsid wsp:val=&quot;003D5668&quot;/&gt;&lt;wsp:rsid wsp:val=&quot;003D57A3&quot;/&gt;&lt;wsp:rsid wsp:val=&quot;003D5AD7&quot;/&gt;&lt;wsp:rsid wsp:val=&quot;003D5CDE&quot;/&gt;&lt;wsp:rsid wsp:val=&quot;003D6174&quot;/&gt;&lt;wsp:rsid wsp:val=&quot;003D6413&quot;/&gt;&lt;wsp:rsid wsp:val=&quot;003D6472&quot;/&gt;&lt;wsp:rsid wsp:val=&quot;003D65C0&quot;/&gt;&lt;wsp:rsid wsp:val=&quot;003D661A&quot;/&gt;&lt;wsp:rsid wsp:val=&quot;003D67A1&quot;/&gt;&lt;wsp:rsid wsp:val=&quot;003D6BB6&quot;/&gt;&lt;wsp:rsid wsp:val=&quot;003D6D7D&quot;/&gt;&lt;wsp:rsid wsp:val=&quot;003D6E42&quot;/&gt;&lt;wsp:rsid wsp:val=&quot;003D6E49&quot;/&gt;&lt;wsp:rsid wsp:val=&quot;003D6E59&quot;/&gt;&lt;wsp:rsid wsp:val=&quot;003D711E&quot;/&gt;&lt;wsp:rsid wsp:val=&quot;003D7374&quot;/&gt;&lt;wsp:rsid wsp:val=&quot;003D779F&quot;/&gt;&lt;wsp:rsid wsp:val=&quot;003D794B&quot;/&gt;&lt;wsp:rsid wsp:val=&quot;003D7975&quot;/&gt;&lt;wsp:rsid wsp:val=&quot;003D7EBB&quot;/&gt;&lt;wsp:rsid wsp:val=&quot;003D7F48&quot;/&gt;&lt;wsp:rsid wsp:val=&quot;003D7F9B&quot;/&gt;&lt;wsp:rsid wsp:val=&quot;003D7FC5&quot;/&gt;&lt;wsp:rsid wsp:val=&quot;003E010D&quot;/&gt;&lt;wsp:rsid wsp:val=&quot;003E07BA&quot;/&gt;&lt;wsp:rsid wsp:val=&quot;003E0BF1&quot;/&gt;&lt;wsp:rsid wsp:val=&quot;003E10D2&quot;/&gt;&lt;wsp:rsid wsp:val=&quot;003E1204&quot;/&gt;&lt;wsp:rsid wsp:val=&quot;003E15D2&quot;/&gt;&lt;wsp:rsid wsp:val=&quot;003E1949&quot;/&gt;&lt;wsp:rsid wsp:val=&quot;003E199F&quot;/&gt;&lt;wsp:rsid wsp:val=&quot;003E1BF0&quot;/&gt;&lt;wsp:rsid wsp:val=&quot;003E1F2C&quot;/&gt;&lt;wsp:rsid wsp:val=&quot;003E2283&quot;/&gt;&lt;wsp:rsid wsp:val=&quot;003E23AB&quot;/&gt;&lt;wsp:rsid wsp:val=&quot;003E25C2&quot;/&gt;&lt;wsp:rsid wsp:val=&quot;003E2B7A&quot;/&gt;&lt;wsp:rsid wsp:val=&quot;003E2C82&quot;/&gt;&lt;wsp:rsid wsp:val=&quot;003E343B&quot;/&gt;&lt;wsp:rsid wsp:val=&quot;003E3710&quot;/&gt;&lt;wsp:rsid wsp:val=&quot;003E3805&quot;/&gt;&lt;wsp:rsid wsp:val=&quot;003E3AC0&quot;/&gt;&lt;wsp:rsid wsp:val=&quot;003E413E&quot;/&gt;&lt;wsp:rsid wsp:val=&quot;003E4553&quot;/&gt;&lt;wsp:rsid wsp:val=&quot;003E483E&quot;/&gt;&lt;wsp:rsid wsp:val=&quot;003E4999&quot;/&gt;&lt;wsp:rsid wsp:val=&quot;003E4DB9&quot;/&gt;&lt;wsp:rsid wsp:val=&quot;003E5106&quot;/&gt;&lt;wsp:rsid wsp:val=&quot;003E5452&quot;/&gt;&lt;wsp:rsid wsp:val=&quot;003E5ED4&quot;/&gt;&lt;wsp:rsid wsp:val=&quot;003E5F64&quot;/&gt;&lt;wsp:rsid wsp:val=&quot;003E6036&quot;/&gt;&lt;wsp:rsid wsp:val=&quot;003E60CA&quot;/&gt;&lt;wsp:rsid wsp:val=&quot;003E6739&quot;/&gt;&lt;wsp:rsid wsp:val=&quot;003E6A00&quot;/&gt;&lt;wsp:rsid wsp:val=&quot;003E6D4C&quot;/&gt;&lt;wsp:rsid wsp:val=&quot;003E6DD0&quot;/&gt;&lt;wsp:rsid wsp:val=&quot;003E6EB5&quot;/&gt;&lt;wsp:rsid wsp:val=&quot;003E738E&quot;/&gt;&lt;wsp:rsid wsp:val=&quot;003E7466&quot;/&gt;&lt;wsp:rsid wsp:val=&quot;003E747E&quot;/&gt;&lt;wsp:rsid wsp:val=&quot;003E75D8&quot;/&gt;&lt;wsp:rsid wsp:val=&quot;003E75DD&quot;/&gt;&lt;wsp:rsid wsp:val=&quot;003E7F03&quot;/&gt;&lt;wsp:rsid wsp:val=&quot;003E7F56&quot;/&gt;&lt;wsp:rsid wsp:val=&quot;003F05A1&quot;/&gt;&lt;wsp:rsid wsp:val=&quot;003F072E&quot;/&gt;&lt;wsp:rsid wsp:val=&quot;003F0A77&quot;/&gt;&lt;wsp:rsid wsp:val=&quot;003F0DC0&quot;/&gt;&lt;wsp:rsid wsp:val=&quot;003F0F06&quot;/&gt;&lt;wsp:rsid wsp:val=&quot;003F10C2&quot;/&gt;&lt;wsp:rsid wsp:val=&quot;003F163B&quot;/&gt;&lt;wsp:rsid wsp:val=&quot;003F1962&quot;/&gt;&lt;wsp:rsid wsp:val=&quot;003F1D3F&quot;/&gt;&lt;wsp:rsid wsp:val=&quot;003F27FE&quot;/&gt;&lt;wsp:rsid wsp:val=&quot;003F2CD6&quot;/&gt;&lt;wsp:rsid wsp:val=&quot;003F2D9D&quot;/&gt;&lt;wsp:rsid wsp:val=&quot;003F2F74&quot;/&gt;&lt;wsp:rsid wsp:val=&quot;003F4232&quot;/&gt;&lt;wsp:rsid wsp:val=&quot;003F535C&quot;/&gt;&lt;wsp:rsid wsp:val=&quot;003F5782&quot;/&gt;&lt;wsp:rsid wsp:val=&quot;003F59F3&quot;/&gt;&lt;wsp:rsid wsp:val=&quot;003F5A09&quot;/&gt;&lt;wsp:rsid wsp:val=&quot;003F5A71&quot;/&gt;&lt;wsp:rsid wsp:val=&quot;003F5AB8&quot;/&gt;&lt;wsp:rsid wsp:val=&quot;003F5BCF&quot;/&gt;&lt;wsp:rsid wsp:val=&quot;003F61F2&quot;/&gt;&lt;wsp:rsid wsp:val=&quot;003F6306&quot;/&gt;&lt;wsp:rsid wsp:val=&quot;003F64A7&quot;/&gt;&lt;wsp:rsid wsp:val=&quot;003F651F&quot;/&gt;&lt;wsp:rsid wsp:val=&quot;003F67D5&quot;/&gt;&lt;wsp:rsid wsp:val=&quot;003F6EDE&quot;/&gt;&lt;wsp:rsid wsp:val=&quot;003F72B3&quot;/&gt;&lt;wsp:rsid wsp:val=&quot;003F77BC&quot;/&gt;&lt;wsp:rsid wsp:val=&quot;00400167&quot;/&gt;&lt;wsp:rsid wsp:val=&quot;00400AD1&quot;/&gt;&lt;wsp:rsid wsp:val=&quot;00401163&quot;/&gt;&lt;wsp:rsid wsp:val=&quot;00401171&quot;/&gt;&lt;wsp:rsid wsp:val=&quot;00402199&quot;/&gt;&lt;wsp:rsid wsp:val=&quot;004021F6&quot;/&gt;&lt;wsp:rsid wsp:val=&quot;00402823&quot;/&gt;&lt;wsp:rsid wsp:val=&quot;00402A93&quot;/&gt;&lt;wsp:rsid wsp:val=&quot;004032F0&quot;/&gt;&lt;wsp:rsid wsp:val=&quot;00403AB8&quot;/&gt;&lt;wsp:rsid wsp:val=&quot;00403EC3&quot;/&gt;&lt;wsp:rsid wsp:val=&quot;004041F7&quot;/&gt;&lt;wsp:rsid wsp:val=&quot;00404D42&quot;/&gt;&lt;wsp:rsid wsp:val=&quot;00404E76&quot;/&gt;&lt;wsp:rsid wsp:val=&quot;00405380&quot;/&gt;&lt;wsp:rsid wsp:val=&quot;00405393&quot;/&gt;&lt;wsp:rsid wsp:val=&quot;00405409&quot;/&gt;&lt;wsp:rsid wsp:val=&quot;00405452&quot;/&gt;&lt;wsp:rsid wsp:val=&quot;00405C6D&quot;/&gt;&lt;wsp:rsid wsp:val=&quot;0040601C&quot;/&gt;&lt;wsp:rsid wsp:val=&quot;0040604D&quot;/&gt;&lt;wsp:rsid wsp:val=&quot;0040662E&quot;/&gt;&lt;wsp:rsid wsp:val=&quot;00406706&quot;/&gt;&lt;wsp:rsid wsp:val=&quot;00406B1B&quot;/&gt;&lt;wsp:rsid wsp:val=&quot;00407073&quot;/&gt;&lt;wsp:rsid wsp:val=&quot;00407C7E&quot;/&gt;&lt;wsp:rsid wsp:val=&quot;00407D27&quot;/&gt;&lt;wsp:rsid wsp:val=&quot;004102C5&quot;/&gt;&lt;wsp:rsid wsp:val=&quot;0041080E&quot;/&gt;&lt;wsp:rsid wsp:val=&quot;004108CF&quot;/&gt;&lt;wsp:rsid wsp:val=&quot;004113CF&quot;/&gt;&lt;wsp:rsid wsp:val=&quot;00411874&quot;/&gt;&lt;wsp:rsid wsp:val=&quot;00411C07&quot;/&gt;&lt;wsp:rsid wsp:val=&quot;00411C3A&quot;/&gt;&lt;wsp:rsid wsp:val=&quot;00411D59&quot;/&gt;&lt;wsp:rsid wsp:val=&quot;00411DBF&quot;/&gt;&lt;wsp:rsid wsp:val=&quot;00412120&quot;/&gt;&lt;wsp:rsid wsp:val=&quot;004122B7&quot;/&gt;&lt;wsp:rsid wsp:val=&quot;004125F8&quot;/&gt;&lt;wsp:rsid wsp:val=&quot;004126D8&quot;/&gt;&lt;wsp:rsid wsp:val=&quot;00412732&quot;/&gt;&lt;wsp:rsid wsp:val=&quot;0041287E&quot;/&gt;&lt;wsp:rsid wsp:val=&quot;00412941&quot;/&gt;&lt;wsp:rsid wsp:val=&quot;00412A1C&quot;/&gt;&lt;wsp:rsid wsp:val=&quot;00412A9A&quot;/&gt;&lt;wsp:rsid wsp:val=&quot;00412B05&quot;/&gt;&lt;wsp:rsid wsp:val=&quot;00412E3E&quot;/&gt;&lt;wsp:rsid wsp:val=&quot;0041306D&quot;/&gt;&lt;wsp:rsid wsp:val=&quot;004137A0&quot;/&gt;&lt;wsp:rsid wsp:val=&quot;00413C4F&quot;/&gt;&lt;wsp:rsid wsp:val=&quot;00413DAA&quot;/&gt;&lt;wsp:rsid wsp:val=&quot;00413DB7&quot;/&gt;&lt;wsp:rsid wsp:val=&quot;00414227&quot;/&gt;&lt;wsp:rsid wsp:val=&quot;00415034&quot;/&gt;&lt;wsp:rsid wsp:val=&quot;00415974&quot;/&gt;&lt;wsp:rsid wsp:val=&quot;00415A40&quot;/&gt;&lt;wsp:rsid wsp:val=&quot;00416097&quot;/&gt;&lt;wsp:rsid wsp:val=&quot;00416277&quot;/&gt;&lt;wsp:rsid wsp:val=&quot;00416715&quot;/&gt;&lt;wsp:rsid wsp:val=&quot;00416D6C&quot;/&gt;&lt;wsp:rsid wsp:val=&quot;00416D9B&quot;/&gt;&lt;wsp:rsid wsp:val=&quot;00416E1D&quot;/&gt;&lt;wsp:rsid wsp:val=&quot;004171AC&quot;/&gt;&lt;wsp:rsid wsp:val=&quot;00417426&quot;/&gt;&lt;wsp:rsid wsp:val=&quot;00417963&quot;/&gt;&lt;wsp:rsid wsp:val=&quot;00417F00&quot;/&gt;&lt;wsp:rsid wsp:val=&quot;004201F9&quot;/&gt;&lt;wsp:rsid wsp:val=&quot;00420691&quot;/&gt;&lt;wsp:rsid wsp:val=&quot;00420919&quot;/&gt;&lt;wsp:rsid wsp:val=&quot;004209EA&quot;/&gt;&lt;wsp:rsid wsp:val=&quot;00420C86&quot;/&gt;&lt;wsp:rsid wsp:val=&quot;00420DA8&quot;/&gt;&lt;wsp:rsid wsp:val=&quot;004214D1&quot;/&gt;&lt;wsp:rsid wsp:val=&quot;0042172F&quot;/&gt;&lt;wsp:rsid wsp:val=&quot;00421879&quot;/&gt;&lt;wsp:rsid wsp:val=&quot;004226DD&quot;/&gt;&lt;wsp:rsid wsp:val=&quot;00422703&quot;/&gt;&lt;wsp:rsid wsp:val=&quot;004228DB&quot;/&gt;&lt;wsp:rsid wsp:val=&quot;00422CCB&quot;/&gt;&lt;wsp:rsid wsp:val=&quot;00422F61&quot;/&gt;&lt;wsp:rsid wsp:val=&quot;0042399D&quot;/&gt;&lt;wsp:rsid wsp:val=&quot;00423D45&quot;/&gt;&lt;wsp:rsid wsp:val=&quot;004256B2&quot;/&gt;&lt;wsp:rsid wsp:val=&quot;004258EB&quot;/&gt;&lt;wsp:rsid wsp:val=&quot;00425C65&quot;/&gt;&lt;wsp:rsid wsp:val=&quot;00426242&quot;/&gt;&lt;wsp:rsid wsp:val=&quot;004263DD&quot;/&gt;&lt;wsp:rsid wsp:val=&quot;00426B31&quot;/&gt;&lt;wsp:rsid wsp:val=&quot;00426C16&quot;/&gt;&lt;wsp:rsid wsp:val=&quot;00426C3D&quot;/&gt;&lt;wsp:rsid wsp:val=&quot;00426C91&quot;/&gt;&lt;wsp:rsid wsp:val=&quot;004272E7&quot;/&gt;&lt;wsp:rsid wsp:val=&quot;00427382&quot;/&gt;&lt;wsp:rsid wsp:val=&quot;00427A8E&quot;/&gt;&lt;wsp:rsid wsp:val=&quot;00427CBB&quot;/&gt;&lt;wsp:rsid wsp:val=&quot;00427F05&quot;/&gt;&lt;wsp:rsid wsp:val=&quot;0043005A&quot;/&gt;&lt;wsp:rsid wsp:val=&quot;004302FC&quot;/&gt;&lt;wsp:rsid wsp:val=&quot;004306DF&quot;/&gt;&lt;wsp:rsid wsp:val=&quot;00430728&quot;/&gt;&lt;wsp:rsid wsp:val=&quot;00430D53&quot;/&gt;&lt;wsp:rsid wsp:val=&quot;00431053&quot;/&gt;&lt;wsp:rsid wsp:val=&quot;00431166&quot;/&gt;&lt;wsp:rsid wsp:val=&quot;004312AC&quot;/&gt;&lt;wsp:rsid wsp:val=&quot;0043143D&quot;/&gt;&lt;wsp:rsid wsp:val=&quot;0043160B&quot;/&gt;&lt;wsp:rsid wsp:val=&quot;00431BD6&quot;/&gt;&lt;wsp:rsid wsp:val=&quot;00431D5A&quot;/&gt;&lt;wsp:rsid wsp:val=&quot;00432A0F&quot;/&gt;&lt;wsp:rsid wsp:val=&quot;00432B6D&quot;/&gt;&lt;wsp:rsid wsp:val=&quot;00432BD9&quot;/&gt;&lt;wsp:rsid wsp:val=&quot;00432F24&quot;/&gt;&lt;wsp:rsid wsp:val=&quot;00433063&quot;/&gt;&lt;wsp:rsid wsp:val=&quot;00433294&quot;/&gt;&lt;wsp:rsid wsp:val=&quot;00433353&quot;/&gt;&lt;wsp:rsid wsp:val=&quot;004338D5&quot;/&gt;&lt;wsp:rsid wsp:val=&quot;0043394F&quot;/&gt;&lt;wsp:rsid wsp:val=&quot;0043418B&quot;/&gt;&lt;wsp:rsid wsp:val=&quot;00434456&quot;/&gt;&lt;wsp:rsid wsp:val=&quot;0043487C&quot;/&gt;&lt;wsp:rsid wsp:val=&quot;00434B6B&quot;/&gt;&lt;wsp:rsid wsp:val=&quot;00435106&quot;/&gt;&lt;wsp:rsid wsp:val=&quot;00435446&quot;/&gt;&lt;wsp:rsid wsp:val=&quot;00435560&quot;/&gt;&lt;wsp:rsid wsp:val=&quot;00435CC3&quot;/&gt;&lt;wsp:rsid wsp:val=&quot;00435E1B&quot;/&gt;&lt;wsp:rsid wsp:val=&quot;00436526&quot;/&gt;&lt;wsp:rsid wsp:val=&quot;004368E1&quot;/&gt;&lt;wsp:rsid wsp:val=&quot;0043698F&quot;/&gt;&lt;wsp:rsid wsp:val=&quot;00436AE0&quot;/&gt;&lt;wsp:rsid wsp:val=&quot;00436AEF&quot;/&gt;&lt;wsp:rsid wsp:val=&quot;00436CF7&quot;/&gt;&lt;wsp:rsid wsp:val=&quot;00436E5C&quot;/&gt;&lt;wsp:rsid wsp:val=&quot;004371E9&quot;/&gt;&lt;wsp:rsid wsp:val=&quot;004375B1&quot;/&gt;&lt;wsp:rsid wsp:val=&quot;0043778B&quot;/&gt;&lt;wsp:rsid wsp:val=&quot;00437831&quot;/&gt;&lt;wsp:rsid wsp:val=&quot;00437BF6&quot;/&gt;&lt;wsp:rsid wsp:val=&quot;00437CAC&quot;/&gt;&lt;wsp:rsid wsp:val=&quot;00437E9D&quot;/&gt;&lt;wsp:rsid wsp:val=&quot;00440C3D&quot;/&gt;&lt;wsp:rsid wsp:val=&quot;0044147E&quot;/&gt;&lt;wsp:rsid wsp:val=&quot;004417DE&quot;/&gt;&lt;wsp:rsid wsp:val=&quot;00441A53&quot;/&gt;&lt;wsp:rsid wsp:val=&quot;00441B1C&quot;/&gt;&lt;wsp:rsid wsp:val=&quot;00441BC1&quot;/&gt;&lt;wsp:rsid wsp:val=&quot;00441C6D&quot;/&gt;&lt;wsp:rsid wsp:val=&quot;00441E1C&quot;/&gt;&lt;wsp:rsid wsp:val=&quot;00441EA7&quot;/&gt;&lt;wsp:rsid wsp:val=&quot;004420A8&quot;/&gt;&lt;wsp:rsid wsp:val=&quot;00442B06&quot;/&gt;&lt;wsp:rsid wsp:val=&quot;00442D41&quot;/&gt;&lt;wsp:rsid wsp:val=&quot;00442DBF&quot;/&gt;&lt;wsp:rsid wsp:val=&quot;00442E23&quot;/&gt;&lt;wsp:rsid wsp:val=&quot;00443044&quot;/&gt;&lt;wsp:rsid wsp:val=&quot;00443103&quot;/&gt;&lt;wsp:rsid wsp:val=&quot;00443143&quot;/&gt;&lt;wsp:rsid wsp:val=&quot;00443533&quot;/&gt;&lt;wsp:rsid wsp:val=&quot;004438F7&quot;/&gt;&lt;wsp:rsid wsp:val=&quot;00443985&quot;/&gt;&lt;wsp:rsid wsp:val=&quot;00443C76&quot;/&gt;&lt;wsp:rsid wsp:val=&quot;0044419D&quot;/&gt;&lt;wsp:rsid wsp:val=&quot;0044438A&quot;/&gt;&lt;wsp:rsid wsp:val=&quot;00444562&quot;/&gt;&lt;wsp:rsid wsp:val=&quot;0044478E&quot;/&gt;&lt;wsp:rsid wsp:val=&quot;004447EA&quot;/&gt;&lt;wsp:rsid wsp:val=&quot;0044488E&quot;/&gt;&lt;wsp:rsid wsp:val=&quot;00444C19&quot;/&gt;&lt;wsp:rsid wsp:val=&quot;00444F9D&quot;/&gt;&lt;wsp:rsid wsp:val=&quot;004458CA&quot;/&gt;&lt;wsp:rsid wsp:val=&quot;00445AFA&quot;/&gt;&lt;wsp:rsid wsp:val=&quot;00445D01&quot;/&gt;&lt;wsp:rsid wsp:val=&quot;00445E5F&quot;/&gt;&lt;wsp:rsid wsp:val=&quot;00446157&quot;/&gt;&lt;wsp:rsid wsp:val=&quot;004461A4&quot;/&gt;&lt;wsp:rsid wsp:val=&quot;004461D0&quot;/&gt;&lt;wsp:rsid wsp:val=&quot;004462D2&quot;/&gt;&lt;wsp:rsid wsp:val=&quot;00446374&quot;/&gt;&lt;wsp:rsid wsp:val=&quot;00446489&quot;/&gt;&lt;wsp:rsid wsp:val=&quot;00446537&quot;/&gt;&lt;wsp:rsid wsp:val=&quot;00446605&quot;/&gt;&lt;wsp:rsid wsp:val=&quot;004466CD&quot;/&gt;&lt;wsp:rsid wsp:val=&quot;0044671A&quot;/&gt;&lt;wsp:rsid wsp:val=&quot;00446798&quot;/&gt;&lt;wsp:rsid wsp:val=&quot;00446B30&quot;/&gt;&lt;wsp:rsid wsp:val=&quot;00447387&quot;/&gt;&lt;wsp:rsid wsp:val=&quot;00447397&quot;/&gt;&lt;wsp:rsid wsp:val=&quot;0044789A&quot;/&gt;&lt;wsp:rsid wsp:val=&quot;00447CC2&quot;/&gt;&lt;wsp:rsid wsp:val=&quot;00447FCB&quot;/&gt;&lt;wsp:rsid wsp:val=&quot;0045026C&quot;/&gt;&lt;wsp:rsid wsp:val=&quot;00450663&quot;/&gt;&lt;wsp:rsid wsp:val=&quot;004507D7&quot;/&gt;&lt;wsp:rsid wsp:val=&quot;00450BC6&quot;/&gt;&lt;wsp:rsid wsp:val=&quot;00450DAD&quot;/&gt;&lt;wsp:rsid wsp:val=&quot;00450E01&quot;/&gt;&lt;wsp:rsid wsp:val=&quot;00450FA8&quot;/&gt;&lt;wsp:rsid wsp:val=&quot;00451177&quot;/&gt;&lt;wsp:rsid wsp:val=&quot;0045123E&quot;/&gt;&lt;wsp:rsid wsp:val=&quot;004512ED&quot;/&gt;&lt;wsp:rsid wsp:val=&quot;004518D0&quot;/&gt;&lt;wsp:rsid wsp:val=&quot;00452310&quot;/&gt;&lt;wsp:rsid wsp:val=&quot;0045288A&quot;/&gt;&lt;wsp:rsid wsp:val=&quot;00452ACD&quot;/&gt;&lt;wsp:rsid wsp:val=&quot;00452B84&quot;/&gt;&lt;wsp:rsid wsp:val=&quot;00452C80&quot;/&gt;&lt;wsp:rsid wsp:val=&quot;004531A4&quot;/&gt;&lt;wsp:rsid wsp:val=&quot;00453268&quot;/&gt;&lt;wsp:rsid wsp:val=&quot;00453577&quot;/&gt;&lt;wsp:rsid wsp:val=&quot;00453C5D&quot;/&gt;&lt;wsp:rsid wsp:val=&quot;00454170&quot;/&gt;&lt;wsp:rsid wsp:val=&quot;00454832&quot;/&gt;&lt;wsp:rsid wsp:val=&quot;00454890&quot;/&gt;&lt;wsp:rsid wsp:val=&quot;00454A4D&quot;/&gt;&lt;wsp:rsid wsp:val=&quot;00454F20&quot;/&gt;&lt;wsp:rsid wsp:val=&quot;004553C6&quot;/&gt;&lt;wsp:rsid wsp:val=&quot;00455834&quot;/&gt;&lt;wsp:rsid wsp:val=&quot;00455B45&quot;/&gt;&lt;wsp:rsid wsp:val=&quot;00455B9C&quot;/&gt;&lt;wsp:rsid wsp:val=&quot;00455BB7&quot;/&gt;&lt;wsp:rsid wsp:val=&quot;00456165&quot;/&gt;&lt;wsp:rsid wsp:val=&quot;0045649E&quot;/&gt;&lt;wsp:rsid wsp:val=&quot;004565EB&quot;/&gt;&lt;wsp:rsid wsp:val=&quot;00456861&quot;/&gt;&lt;wsp:rsid wsp:val=&quot;004572A3&quot;/&gt;&lt;wsp:rsid wsp:val=&quot;004576F2&quot;/&gt;&lt;wsp:rsid wsp:val=&quot;004577F9&quot;/&gt;&lt;wsp:rsid wsp:val=&quot;00457CC6&quot;/&gt;&lt;wsp:rsid wsp:val=&quot;00457DE2&quot;/&gt;&lt;wsp:rsid wsp:val=&quot;00457FB3&quot;/&gt;&lt;wsp:rsid wsp:val=&quot;004608B6&quot;/&gt;&lt;wsp:rsid wsp:val=&quot;004608EE&quot;/&gt;&lt;wsp:rsid wsp:val=&quot;0046098B&quot;/&gt;&lt;wsp:rsid wsp:val=&quot;004610D7&quot;/&gt;&lt;wsp:rsid wsp:val=&quot;00461155&quot;/&gt;&lt;wsp:rsid wsp:val=&quot;004615C4&quot;/&gt;&lt;wsp:rsid wsp:val=&quot;00461628&quot;/&gt;&lt;wsp:rsid wsp:val=&quot;00461A79&quot;/&gt;&lt;wsp:rsid wsp:val=&quot;0046245E&quot;/&gt;&lt;wsp:rsid wsp:val=&quot;00462996&quot;/&gt;&lt;wsp:rsid wsp:val=&quot;00462A41&quot;/&gt;&lt;wsp:rsid wsp:val=&quot;00462B20&quot;/&gt;&lt;wsp:rsid wsp:val=&quot;00462BD0&quot;/&gt;&lt;wsp:rsid wsp:val=&quot;00462D04&quot;/&gt;&lt;wsp:rsid wsp:val=&quot;00463017&quot;/&gt;&lt;wsp:rsid wsp:val=&quot;00463593&quot;/&gt;&lt;wsp:rsid wsp:val=&quot;004635B6&quot;/&gt;&lt;wsp:rsid wsp:val=&quot;0046376F&quot;/&gt;&lt;wsp:rsid wsp:val=&quot;00463986&quot;/&gt;&lt;wsp:rsid wsp:val=&quot;00463CF2&quot;/&gt;&lt;wsp:rsid wsp:val=&quot;0046420B&quot;/&gt;&lt;wsp:rsid wsp:val=&quot;00464B26&quot;/&gt;&lt;wsp:rsid wsp:val=&quot;00464CC2&quot;/&gt;&lt;wsp:rsid wsp:val=&quot;00464DAA&quot;/&gt;&lt;wsp:rsid wsp:val=&quot;004655C4&quot;/&gt;&lt;wsp:rsid wsp:val=&quot;004657FF&quot;/&gt;&lt;wsp:rsid wsp:val=&quot;00465892&quot;/&gt;&lt;wsp:rsid wsp:val=&quot;00465895&quot;/&gt;&lt;wsp:rsid wsp:val=&quot;00465A53&quot;/&gt;&lt;wsp:rsid wsp:val=&quot;00465CB2&quot;/&gt;&lt;wsp:rsid wsp:val=&quot;00465D75&quot;/&gt;&lt;wsp:rsid wsp:val=&quot;004661B1&quot;/&gt;&lt;wsp:rsid wsp:val=&quot;004663F7&quot;/&gt;&lt;wsp:rsid wsp:val=&quot;00466D7E&quot;/&gt;&lt;wsp:rsid wsp:val=&quot;004674C1&quot;/&gt;&lt;wsp:rsid wsp:val=&quot;00467852&quot;/&gt;&lt;wsp:rsid wsp:val=&quot;004679FD&quot;/&gt;&lt;wsp:rsid wsp:val=&quot;00470019&quot;/&gt;&lt;wsp:rsid wsp:val=&quot;00470308&quot;/&gt;&lt;wsp:rsid wsp:val=&quot;0047046B&quot;/&gt;&lt;wsp:rsid wsp:val=&quot;00470DB4&quot;/&gt;&lt;wsp:rsid wsp:val=&quot;0047107A&quot;/&gt;&lt;wsp:rsid wsp:val=&quot;004710D3&quot;/&gt;&lt;wsp:rsid wsp:val=&quot;004710DF&quot;/&gt;&lt;wsp:rsid wsp:val=&quot;004714D2&quot;/&gt;&lt;wsp:rsid wsp:val=&quot;00471507&quot;/&gt;&lt;wsp:rsid wsp:val=&quot;00471D6C&quot;/&gt;&lt;wsp:rsid wsp:val=&quot;00471E47&quot;/&gt;&lt;wsp:rsid wsp:val=&quot;00471FC5&quot;/&gt;&lt;wsp:rsid wsp:val=&quot;00472074&quot;/&gt;&lt;wsp:rsid wsp:val=&quot;00472AEE&quot;/&gt;&lt;wsp:rsid wsp:val=&quot;00472B3C&quot;/&gt;&lt;wsp:rsid wsp:val=&quot;00472B9D&quot;/&gt;&lt;wsp:rsid wsp:val=&quot;00472D20&quot;/&gt;&lt;wsp:rsid wsp:val=&quot;004737B3&quot;/&gt;&lt;wsp:rsid wsp:val=&quot;004738E4&quot;/&gt;&lt;wsp:rsid wsp:val=&quot;004738E5&quot;/&gt;&lt;wsp:rsid wsp:val=&quot;00473F1D&quot;/&gt;&lt;wsp:rsid wsp:val=&quot;004740CB&quot;/&gt;&lt;wsp:rsid wsp:val=&quot;004743A8&quot;/&gt;&lt;wsp:rsid wsp:val=&quot;0047459B&quot;/&gt;&lt;wsp:rsid wsp:val=&quot;0047466C&quot;/&gt;&lt;wsp:rsid wsp:val=&quot;00474928&quot;/&gt;&lt;wsp:rsid wsp:val=&quot;0047513F&quot;/&gt;&lt;wsp:rsid wsp:val=&quot;0047556E&quot;/&gt;&lt;wsp:rsid wsp:val=&quot;0047565B&quot;/&gt;&lt;wsp:rsid wsp:val=&quot;004757A8&quot;/&gt;&lt;wsp:rsid wsp:val=&quot;0047598B&quot;/&gt;&lt;wsp:rsid wsp:val=&quot;00475DAC&quot;/&gt;&lt;wsp:rsid wsp:val=&quot;004761DC&quot;/&gt;&lt;wsp:rsid wsp:val=&quot;0047633A&quot;/&gt;&lt;wsp:rsid wsp:val=&quot;0047634B&quot;/&gt;&lt;wsp:rsid wsp:val=&quot;00476428&quot;/&gt;&lt;wsp:rsid wsp:val=&quot;00476588&quot;/&gt;&lt;wsp:rsid wsp:val=&quot;00476831&quot;/&gt;&lt;wsp:rsid wsp:val=&quot;00476EBB&quot;/&gt;&lt;wsp:rsid wsp:val=&quot;0047711B&quot;/&gt;&lt;wsp:rsid wsp:val=&quot;00477336&quot;/&gt;&lt;wsp:rsid wsp:val=&quot;00477AA4&quot;/&gt;&lt;wsp:rsid wsp:val=&quot;00477C62&quot;/&gt;&lt;wsp:rsid wsp:val=&quot;00477E82&quot;/&gt;&lt;wsp:rsid wsp:val=&quot;00477FB2&quot;/&gt;&lt;wsp:rsid wsp:val=&quot;0048004E&quot;/&gt;&lt;wsp:rsid wsp:val=&quot;00480129&quot;/&gt;&lt;wsp:rsid wsp:val=&quot;00480575&quot;/&gt;&lt;wsp:rsid wsp:val=&quot;00480F11&quot;/&gt;&lt;wsp:rsid wsp:val=&quot;00482083&quot;/&gt;&lt;wsp:rsid wsp:val=&quot;004823C1&quot;/&gt;&lt;wsp:rsid wsp:val=&quot;004823D0&quot;/&gt;&lt;wsp:rsid wsp:val=&quot;004825D7&quot;/&gt;&lt;wsp:rsid wsp:val=&quot;004831BB&quot;/&gt;&lt;wsp:rsid wsp:val=&quot;00483290&quot;/&gt;&lt;wsp:rsid wsp:val=&quot;004834B7&quot;/&gt;&lt;wsp:rsid wsp:val=&quot;00483841&quot;/&gt;&lt;wsp:rsid wsp:val=&quot;00483914&quot;/&gt;&lt;wsp:rsid wsp:val=&quot;00483C6F&quot;/&gt;&lt;wsp:rsid wsp:val=&quot;00484263&quot;/&gt;&lt;wsp:rsid wsp:val=&quot;004843B5&quot;/&gt;&lt;wsp:rsid wsp:val=&quot;004844FC&quot;/&gt;&lt;wsp:rsid wsp:val=&quot;00484FDF&quot;/&gt;&lt;wsp:rsid wsp:val=&quot;004854A5&quot;/&gt;&lt;wsp:rsid wsp:val=&quot;004855F1&quot;/&gt;&lt;wsp:rsid wsp:val=&quot;00485A07&quot;/&gt;&lt;wsp:rsid wsp:val=&quot;00485A73&quot;/&gt;&lt;wsp:rsid wsp:val=&quot;00485D62&quot;/&gt;&lt;wsp:rsid wsp:val=&quot;00485D6D&quot;/&gt;&lt;wsp:rsid wsp:val=&quot;00485EDD&quot;/&gt;&lt;wsp:rsid wsp:val=&quot;00486243&quot;/&gt;&lt;wsp:rsid wsp:val=&quot;00486319&quot;/&gt;&lt;wsp:rsid wsp:val=&quot;004864A6&quot;/&gt;&lt;wsp:rsid wsp:val=&quot;004865EE&quot;/&gt;&lt;wsp:rsid wsp:val=&quot;004868A0&quot;/&gt;&lt;wsp:rsid wsp:val=&quot;00486B0E&quot;/&gt;&lt;wsp:rsid wsp:val=&quot;00487952&quot;/&gt;&lt;wsp:rsid wsp:val=&quot;00487F97&quot;/&gt;&lt;wsp:rsid wsp:val=&quot;00490235&quot;/&gt;&lt;wsp:rsid wsp:val=&quot;004904F5&quot;/&gt;&lt;wsp:rsid wsp:val=&quot;00490575&quot;/&gt;&lt;wsp:rsid wsp:val=&quot;0049105E&quot;/&gt;&lt;wsp:rsid wsp:val=&quot;0049114B&quot;/&gt;&lt;wsp:rsid wsp:val=&quot;004913BD&quot;/&gt;&lt;wsp:rsid wsp:val=&quot;00491B51&quot;/&gt;&lt;wsp:rsid wsp:val=&quot;0049254E&quot;/&gt;&lt;wsp:rsid wsp:val=&quot;00492B5E&quot;/&gt;&lt;wsp:rsid wsp:val=&quot;00492B75&quot;/&gt;&lt;wsp:rsid wsp:val=&quot;00492BDE&quot;/&gt;&lt;wsp:rsid wsp:val=&quot;00493194&quot;/&gt;&lt;wsp:rsid wsp:val=&quot;004933E0&quot;/&gt;&lt;wsp:rsid wsp:val=&quot;0049407C&quot;/&gt;&lt;wsp:rsid wsp:val=&quot;004947BD&quot;/&gt;&lt;wsp:rsid wsp:val=&quot;004948E4&quot;/&gt;&lt;wsp:rsid wsp:val=&quot;00494D55&quot;/&gt;&lt;wsp:rsid wsp:val=&quot;004953A7&quot;/&gt;&lt;wsp:rsid wsp:val=&quot;00495729&quot;/&gt;&lt;wsp:rsid wsp:val=&quot;00495C08&quot;/&gt;&lt;wsp:rsid wsp:val=&quot;00495C16&quot;/&gt;&lt;wsp:rsid wsp:val=&quot;00495EDB&quot;/&gt;&lt;wsp:rsid wsp:val=&quot;00495FEA&quot;/&gt;&lt;wsp:rsid wsp:val=&quot;004963FD&quot;/&gt;&lt;wsp:rsid wsp:val=&quot;004975DF&quot;/&gt;&lt;wsp:rsid wsp:val=&quot;004976A3&quot;/&gt;&lt;wsp:rsid wsp:val=&quot;00497F41&quot;/&gt;&lt;wsp:rsid wsp:val=&quot;004A0140&quot;/&gt;&lt;wsp:rsid wsp:val=&quot;004A0471&quot;/&gt;&lt;wsp:rsid wsp:val=&quot;004A09B6&quot;/&gt;&lt;wsp:rsid wsp:val=&quot;004A12A2&quot;/&gt;&lt;wsp:rsid wsp:val=&quot;004A1350&quot;/&gt;&lt;wsp:rsid wsp:val=&quot;004A138A&quot;/&gt;&lt;wsp:rsid wsp:val=&quot;004A1B0F&quot;/&gt;&lt;wsp:rsid wsp:val=&quot;004A1CF9&quot;/&gt;&lt;wsp:rsid wsp:val=&quot;004A1FE1&quot;/&gt;&lt;wsp:rsid wsp:val=&quot;004A2013&quot;/&gt;&lt;wsp:rsid wsp:val=&quot;004A228C&quot;/&gt;&lt;wsp:rsid wsp:val=&quot;004A29C1&quot;/&gt;&lt;wsp:rsid wsp:val=&quot;004A29F7&quot;/&gt;&lt;wsp:rsid wsp:val=&quot;004A2FEB&quot;/&gt;&lt;wsp:rsid wsp:val=&quot;004A3467&quot;/&gt;&lt;wsp:rsid wsp:val=&quot;004A34BC&quot;/&gt;&lt;wsp:rsid wsp:val=&quot;004A4183&quot;/&gt;&lt;wsp:rsid wsp:val=&quot;004A460D&quot;/&gt;&lt;wsp:rsid wsp:val=&quot;004A4913&quot;/&gt;&lt;wsp:rsid wsp:val=&quot;004A4985&quot;/&gt;&lt;wsp:rsid wsp:val=&quot;004A49CD&quot;/&gt;&lt;wsp:rsid wsp:val=&quot;004A4D4D&quot;/&gt;&lt;wsp:rsid wsp:val=&quot;004A526B&quot;/&gt;&lt;wsp:rsid wsp:val=&quot;004A52FC&quot;/&gt;&lt;wsp:rsid wsp:val=&quot;004A535F&quot;/&gt;&lt;wsp:rsid wsp:val=&quot;004A55B8&quot;/&gt;&lt;wsp:rsid wsp:val=&quot;004A5826&quot;/&gt;&lt;wsp:rsid wsp:val=&quot;004A6463&quot;/&gt;&lt;wsp:rsid wsp:val=&quot;004A659B&quot;/&gt;&lt;wsp:rsid wsp:val=&quot;004A65E6&quot;/&gt;&lt;wsp:rsid wsp:val=&quot;004A6695&quot;/&gt;&lt;wsp:rsid wsp:val=&quot;004A671E&quot;/&gt;&lt;wsp:rsid wsp:val=&quot;004A673C&quot;/&gt;&lt;wsp:rsid wsp:val=&quot;004A6C23&quot;/&gt;&lt;wsp:rsid wsp:val=&quot;004A7471&quot;/&gt;&lt;wsp:rsid wsp:val=&quot;004A77E1&quot;/&gt;&lt;wsp:rsid wsp:val=&quot;004A783D&quot;/&gt;&lt;wsp:rsid wsp:val=&quot;004B0247&quot;/&gt;&lt;wsp:rsid wsp:val=&quot;004B064C&quot;/&gt;&lt;wsp:rsid wsp:val=&quot;004B1565&quot;/&gt;&lt;wsp:rsid wsp:val=&quot;004B1868&quot;/&gt;&lt;wsp:rsid wsp:val=&quot;004B1AFA&quot;/&gt;&lt;wsp:rsid wsp:val=&quot;004B204C&quot;/&gt;&lt;wsp:rsid wsp:val=&quot;004B208C&quot;/&gt;&lt;wsp:rsid wsp:val=&quot;004B2265&quot;/&gt;&lt;wsp:rsid wsp:val=&quot;004B2807&quot;/&gt;&lt;wsp:rsid wsp:val=&quot;004B2918&quot;/&gt;&lt;wsp:rsid wsp:val=&quot;004B3418&quot;/&gt;&lt;wsp:rsid wsp:val=&quot;004B3574&quot;/&gt;&lt;wsp:rsid wsp:val=&quot;004B3864&quot;/&gt;&lt;wsp:rsid wsp:val=&quot;004B3D7B&quot;/&gt;&lt;wsp:rsid wsp:val=&quot;004B3DD6&quot;/&gt;&lt;wsp:rsid wsp:val=&quot;004B3FD2&quot;/&gt;&lt;wsp:rsid wsp:val=&quot;004B40A6&quot;/&gt;&lt;wsp:rsid wsp:val=&quot;004B4A4D&quot;/&gt;&lt;wsp:rsid wsp:val=&quot;004B4D89&quot;/&gt;&lt;wsp:rsid wsp:val=&quot;004B4EBD&quot;/&gt;&lt;wsp:rsid wsp:val=&quot;004B54E6&quot;/&gt;&lt;wsp:rsid wsp:val=&quot;004B5828&quot;/&gt;&lt;wsp:rsid wsp:val=&quot;004B5884&quot;/&gt;&lt;wsp:rsid wsp:val=&quot;004B5B64&quot;/&gt;&lt;wsp:rsid wsp:val=&quot;004B5B9E&quot;/&gt;&lt;wsp:rsid wsp:val=&quot;004B5CD7&quot;/&gt;&lt;wsp:rsid wsp:val=&quot;004B5D77&quot;/&gt;&lt;wsp:rsid wsp:val=&quot;004B6016&quot;/&gt;&lt;wsp:rsid wsp:val=&quot;004B635B&quot;/&gt;&lt;wsp:rsid wsp:val=&quot;004B665D&quot;/&gt;&lt;wsp:rsid wsp:val=&quot;004B68B5&quot;/&gt;&lt;wsp:rsid wsp:val=&quot;004B69F9&quot;/&gt;&lt;wsp:rsid wsp:val=&quot;004B6C92&quot;/&gt;&lt;wsp:rsid wsp:val=&quot;004B6FBE&quot;/&gt;&lt;wsp:rsid wsp:val=&quot;004B7820&quot;/&gt;&lt;wsp:rsid wsp:val=&quot;004B7D4C&quot;/&gt;&lt;wsp:rsid wsp:val=&quot;004C01AC&quot;/&gt;&lt;wsp:rsid wsp:val=&quot;004C09A9&quot;/&gt;&lt;wsp:rsid wsp:val=&quot;004C0B00&quot;/&gt;&lt;wsp:rsid wsp:val=&quot;004C18D7&quot;/&gt;&lt;wsp:rsid wsp:val=&quot;004C1BEF&quot;/&gt;&lt;wsp:rsid wsp:val=&quot;004C1CB1&quot;/&gt;&lt;wsp:rsid wsp:val=&quot;004C23AD&quot;/&gt;&lt;wsp:rsid wsp:val=&quot;004C250D&quot;/&gt;&lt;wsp:rsid wsp:val=&quot;004C25C6&quot;/&gt;&lt;wsp:rsid wsp:val=&quot;004C2D23&quot;/&gt;&lt;wsp:rsid wsp:val=&quot;004C2E11&quot;/&gt;&lt;wsp:rsid wsp:val=&quot;004C32C2&quot;/&gt;&lt;wsp:rsid wsp:val=&quot;004C333E&quot;/&gt;&lt;wsp:rsid wsp:val=&quot;004C34B9&quot;/&gt;&lt;wsp:rsid wsp:val=&quot;004C4198&quot;/&gt;&lt;wsp:rsid wsp:val=&quot;004C4728&quot;/&gt;&lt;wsp:rsid wsp:val=&quot;004C4B4F&quot;/&gt;&lt;wsp:rsid wsp:val=&quot;004C4B62&quot;/&gt;&lt;wsp:rsid wsp:val=&quot;004C4C89&quot;/&gt;&lt;wsp:rsid wsp:val=&quot;004C599B&quot;/&gt;&lt;wsp:rsid wsp:val=&quot;004C5EBE&quot;/&gt;&lt;wsp:rsid wsp:val=&quot;004C6382&quot;/&gt;&lt;wsp:rsid wsp:val=&quot;004C63EC&quot;/&gt;&lt;wsp:rsid wsp:val=&quot;004C6C36&quot;/&gt;&lt;wsp:rsid wsp:val=&quot;004C6F21&quot;/&gt;&lt;wsp:rsid wsp:val=&quot;004C71AA&quot;/&gt;&lt;wsp:rsid wsp:val=&quot;004C7984&quot;/&gt;&lt;wsp:rsid wsp:val=&quot;004C7A1E&quot;/&gt;&lt;wsp:rsid wsp:val=&quot;004D03BC&quot;/&gt;&lt;wsp:rsid wsp:val=&quot;004D071E&quot;/&gt;&lt;wsp:rsid wsp:val=&quot;004D0B5C&quot;/&gt;&lt;wsp:rsid wsp:val=&quot;004D0D8C&quot;/&gt;&lt;wsp:rsid wsp:val=&quot;004D0EED&quot;/&gt;&lt;wsp:rsid wsp:val=&quot;004D0F83&quot;/&gt;&lt;wsp:rsid wsp:val=&quot;004D10C5&quot;/&gt;&lt;wsp:rsid wsp:val=&quot;004D1891&quot;/&gt;&lt;wsp:rsid wsp:val=&quot;004D1ABA&quot;/&gt;&lt;wsp:rsid wsp:val=&quot;004D1BF0&quot;/&gt;&lt;wsp:rsid wsp:val=&quot;004D1C79&quot;/&gt;&lt;wsp:rsid wsp:val=&quot;004D21E0&quot;/&gt;&lt;wsp:rsid wsp:val=&quot;004D2573&quot;/&gt;&lt;wsp:rsid wsp:val=&quot;004D25A3&quot;/&gt;&lt;wsp:rsid wsp:val=&quot;004D275D&quot;/&gt;&lt;wsp:rsid wsp:val=&quot;004D2765&quot;/&gt;&lt;wsp:rsid wsp:val=&quot;004D277D&quot;/&gt;&lt;wsp:rsid wsp:val=&quot;004D2F4E&quot;/&gt;&lt;wsp:rsid wsp:val=&quot;004D30BB&quot;/&gt;&lt;wsp:rsid wsp:val=&quot;004D33EA&quot;/&gt;&lt;wsp:rsid wsp:val=&quot;004D39E7&quot;/&gt;&lt;wsp:rsid wsp:val=&quot;004D3E26&quot;/&gt;&lt;wsp:rsid wsp:val=&quot;004D3EE1&quot;/&gt;&lt;wsp:rsid wsp:val=&quot;004D3FC0&quot;/&gt;&lt;wsp:rsid wsp:val=&quot;004D4395&quot;/&gt;&lt;wsp:rsid wsp:val=&quot;004D444D&quot;/&gt;&lt;wsp:rsid wsp:val=&quot;004D47AB&quot;/&gt;&lt;wsp:rsid wsp:val=&quot;004D4AC7&quot;/&gt;&lt;wsp:rsid wsp:val=&quot;004D4D68&quot;/&gt;&lt;wsp:rsid wsp:val=&quot;004D5020&quot;/&gt;&lt;wsp:rsid wsp:val=&quot;004D5071&quot;/&gt;&lt;wsp:rsid wsp:val=&quot;004D5804&quot;/&gt;&lt;wsp:rsid wsp:val=&quot;004D5A8D&quot;/&gt;&lt;wsp:rsid wsp:val=&quot;004D5F5C&quot;/&gt;&lt;wsp:rsid wsp:val=&quot;004D5FD4&quot;/&gt;&lt;wsp:rsid wsp:val=&quot;004D6295&quot;/&gt;&lt;wsp:rsid wsp:val=&quot;004D67A6&quot;/&gt;&lt;wsp:rsid wsp:val=&quot;004D77DE&quot;/&gt;&lt;wsp:rsid wsp:val=&quot;004D77FD&quot;/&gt;&lt;wsp:rsid wsp:val=&quot;004D7C39&quot;/&gt;&lt;wsp:rsid wsp:val=&quot;004D7C90&quot;/&gt;&lt;wsp:rsid wsp:val=&quot;004E0426&quot;/&gt;&lt;wsp:rsid wsp:val=&quot;004E05BD&quot;/&gt;&lt;wsp:rsid wsp:val=&quot;004E083A&quot;/&gt;&lt;wsp:rsid wsp:val=&quot;004E0C40&quot;/&gt;&lt;wsp:rsid wsp:val=&quot;004E0DE8&quot;/&gt;&lt;wsp:rsid wsp:val=&quot;004E0F77&quot;/&gt;&lt;wsp:rsid wsp:val=&quot;004E0FF8&quot;/&gt;&lt;wsp:rsid wsp:val=&quot;004E1812&quot;/&gt;&lt;wsp:rsid wsp:val=&quot;004E23F3&quot;/&gt;&lt;wsp:rsid wsp:val=&quot;004E2C7E&quot;/&gt;&lt;wsp:rsid wsp:val=&quot;004E2D66&quot;/&gt;&lt;wsp:rsid wsp:val=&quot;004E2E3E&quot;/&gt;&lt;wsp:rsid wsp:val=&quot;004E335C&quot;/&gt;&lt;wsp:rsid wsp:val=&quot;004E3A87&quot;/&gt;&lt;wsp:rsid wsp:val=&quot;004E3B92&quot;/&gt;&lt;wsp:rsid wsp:val=&quot;004E3D74&quot;/&gt;&lt;wsp:rsid wsp:val=&quot;004E3DDC&quot;/&gt;&lt;wsp:rsid wsp:val=&quot;004E3E91&quot;/&gt;&lt;wsp:rsid wsp:val=&quot;004E4004&quot;/&gt;&lt;wsp:rsid wsp:val=&quot;004E42DB&quot;/&gt;&lt;wsp:rsid wsp:val=&quot;004E43EC&quot;/&gt;&lt;wsp:rsid wsp:val=&quot;004E499A&quot;/&gt;&lt;wsp:rsid wsp:val=&quot;004E4CBB&quot;/&gt;&lt;wsp:rsid wsp:val=&quot;004E4D99&quot;/&gt;&lt;wsp:rsid wsp:val=&quot;004E53BC&quot;/&gt;&lt;wsp:rsid wsp:val=&quot;004E5962&quot;/&gt;&lt;wsp:rsid wsp:val=&quot;004E599D&quot;/&gt;&lt;wsp:rsid wsp:val=&quot;004E59C9&quot;/&gt;&lt;wsp:rsid wsp:val=&quot;004E5BD3&quot;/&gt;&lt;wsp:rsid wsp:val=&quot;004E5D2E&quot;/&gt;&lt;wsp:rsid wsp:val=&quot;004E6536&quot;/&gt;&lt;wsp:rsid wsp:val=&quot;004E6641&quot;/&gt;&lt;wsp:rsid wsp:val=&quot;004E73C7&quot;/&gt;&lt;wsp:rsid wsp:val=&quot;004E7C33&quot;/&gt;&lt;wsp:rsid wsp:val=&quot;004E7D31&quot;/&gt;&lt;wsp:rsid wsp:val=&quot;004F06A5&quot;/&gt;&lt;wsp:rsid wsp:val=&quot;004F079A&quot;/&gt;&lt;wsp:rsid wsp:val=&quot;004F0CB5&quot;/&gt;&lt;wsp:rsid wsp:val=&quot;004F0D68&quot;/&gt;&lt;wsp:rsid wsp:val=&quot;004F0FA8&quot;/&gt;&lt;wsp:rsid wsp:val=&quot;004F1289&quot;/&gt;&lt;wsp:rsid wsp:val=&quot;004F12F9&quot;/&gt;&lt;wsp:rsid wsp:val=&quot;004F13D4&quot;/&gt;&lt;wsp:rsid wsp:val=&quot;004F1476&quot;/&gt;&lt;wsp:rsid wsp:val=&quot;004F1559&quot;/&gt;&lt;wsp:rsid wsp:val=&quot;004F185C&quot;/&gt;&lt;wsp:rsid wsp:val=&quot;004F1E33&quot;/&gt;&lt;wsp:rsid wsp:val=&quot;004F1F62&quot;/&gt;&lt;wsp:rsid wsp:val=&quot;004F2016&quot;/&gt;&lt;wsp:rsid wsp:val=&quot;004F21E8&quot;/&gt;&lt;wsp:rsid wsp:val=&quot;004F2253&quot;/&gt;&lt;wsp:rsid wsp:val=&quot;004F2456&quot;/&gt;&lt;wsp:rsid wsp:val=&quot;004F2B1A&quot;/&gt;&lt;wsp:rsid wsp:val=&quot;004F2C0A&quot;/&gt;&lt;wsp:rsid wsp:val=&quot;004F2CEB&quot;/&gt;&lt;wsp:rsid wsp:val=&quot;004F2E19&quot;/&gt;&lt;wsp:rsid wsp:val=&quot;004F2F6E&quot;/&gt;&lt;wsp:rsid wsp:val=&quot;004F3332&quot;/&gt;&lt;wsp:rsid wsp:val=&quot;004F35E4&quot;/&gt;&lt;wsp:rsid wsp:val=&quot;004F37F2&quot;/&gt;&lt;wsp:rsid wsp:val=&quot;004F3BD5&quot;/&gt;&lt;wsp:rsid wsp:val=&quot;004F3DF1&quot;/&gt;&lt;wsp:rsid wsp:val=&quot;004F3E04&quot;/&gt;&lt;wsp:rsid wsp:val=&quot;004F3EA2&quot;/&gt;&lt;wsp:rsid wsp:val=&quot;004F4149&quot;/&gt;&lt;wsp:rsid wsp:val=&quot;004F459E&quot;/&gt;&lt;wsp:rsid wsp:val=&quot;004F48F8&quot;/&gt;&lt;wsp:rsid wsp:val=&quot;004F493C&quot;/&gt;&lt;wsp:rsid wsp:val=&quot;004F499C&quot;/&gt;&lt;wsp:rsid wsp:val=&quot;004F49A5&quot;/&gt;&lt;wsp:rsid wsp:val=&quot;004F49BE&quot;/&gt;&lt;wsp:rsid wsp:val=&quot;004F4AD3&quot;/&gt;&lt;wsp:rsid wsp:val=&quot;004F4C62&quot;/&gt;&lt;wsp:rsid wsp:val=&quot;004F4E5C&quot;/&gt;&lt;wsp:rsid wsp:val=&quot;004F4FE3&quot;/&gt;&lt;wsp:rsid wsp:val=&quot;004F50D5&quot;/&gt;&lt;wsp:rsid wsp:val=&quot;004F558C&quot;/&gt;&lt;wsp:rsid wsp:val=&quot;004F570C&quot;/&gt;&lt;wsp:rsid wsp:val=&quot;004F5743&quot;/&gt;&lt;wsp:rsid wsp:val=&quot;004F584B&quot;/&gt;&lt;wsp:rsid wsp:val=&quot;004F5EA8&quot;/&gt;&lt;wsp:rsid wsp:val=&quot;004F5F4E&quot;/&gt;&lt;wsp:rsid wsp:val=&quot;004F610E&quot;/&gt;&lt;wsp:rsid wsp:val=&quot;004F614C&quot;/&gt;&lt;wsp:rsid wsp:val=&quot;004F640C&quot;/&gt;&lt;wsp:rsid wsp:val=&quot;004F648F&quot;/&gt;&lt;wsp:rsid wsp:val=&quot;004F661A&quot;/&gt;&lt;wsp:rsid wsp:val=&quot;004F66B1&quot;/&gt;&lt;wsp:rsid wsp:val=&quot;004F6921&quot;/&gt;&lt;wsp:rsid wsp:val=&quot;004F6A7F&quot;/&gt;&lt;wsp:rsid wsp:val=&quot;004F7E50&quot;/&gt;&lt;wsp:rsid wsp:val=&quot;00500024&quot;/&gt;&lt;wsp:rsid wsp:val=&quot;00500107&quot;/&gt;&lt;wsp:rsid wsp:val=&quot;005009D2&quot;/&gt;&lt;wsp:rsid wsp:val=&quot;00500BD8&quot;/&gt;&lt;wsp:rsid wsp:val=&quot;00501096&quot;/&gt;&lt;wsp:rsid wsp:val=&quot;00501673&quot;/&gt;&lt;wsp:rsid wsp:val=&quot;00501987&quot;/&gt;&lt;wsp:rsid wsp:val=&quot;00501B01&quot;/&gt;&lt;wsp:rsid wsp:val=&quot;00501DCB&quot;/&gt;&lt;wsp:rsid wsp:val=&quot;00502AD0&quot;/&gt;&lt;wsp:rsid wsp:val=&quot;00502BB3&quot;/&gt;&lt;wsp:rsid wsp:val=&quot;00502C3F&quot;/&gt;&lt;wsp:rsid wsp:val=&quot;005035A1&quot;/&gt;&lt;wsp:rsid wsp:val=&quot;00503842&quot;/&gt;&lt;wsp:rsid wsp:val=&quot;005044D5&quot;/&gt;&lt;wsp:rsid wsp:val=&quot;00504A51&quot;/&gt;&lt;wsp:rsid wsp:val=&quot;005051ED&quot;/&gt;&lt;wsp:rsid wsp:val=&quot;00505FBE&quot;/&gt;&lt;wsp:rsid wsp:val=&quot;00506378&quot;/&gt;&lt;wsp:rsid wsp:val=&quot;00506592&quot;/&gt;&lt;wsp:rsid wsp:val=&quot;00506747&quot;/&gt;&lt;wsp:rsid wsp:val=&quot;0050687B&quot;/&gt;&lt;wsp:rsid wsp:val=&quot;005069F5&quot;/&gt;&lt;wsp:rsid wsp:val=&quot;00506FD2&quot;/&gt;&lt;wsp:rsid wsp:val=&quot;00507179&quot;/&gt;&lt;wsp:rsid wsp:val=&quot;005072F6&quot;/&gt;&lt;wsp:rsid wsp:val=&quot;00507381&quot;/&gt;&lt;wsp:rsid wsp:val=&quot;0050773C&quot;/&gt;&lt;wsp:rsid wsp:val=&quot;00507779&quot;/&gt;&lt;wsp:rsid wsp:val=&quot;00507D35&quot;/&gt;&lt;wsp:rsid wsp:val=&quot;00507F4E&quot;/&gt;&lt;wsp:rsid wsp:val=&quot;00507F57&quot;/&gt;&lt;wsp:rsid wsp:val=&quot;00510163&quot;/&gt;&lt;wsp:rsid wsp:val=&quot;00510930&quot;/&gt;&lt;wsp:rsid wsp:val=&quot;00510E58&quot;/&gt;&lt;wsp:rsid wsp:val=&quot;00511235&quot;/&gt;&lt;wsp:rsid wsp:val=&quot;00511361&quot;/&gt;&lt;wsp:rsid wsp:val=&quot;00511736&quot;/&gt;&lt;wsp:rsid wsp:val=&quot;0051182C&quot;/&gt;&lt;wsp:rsid wsp:val=&quot;0051189B&quot;/&gt;&lt;wsp:rsid wsp:val=&quot;00512066&quot;/&gt;&lt;wsp:rsid wsp:val=&quot;005120DF&quot;/&gt;&lt;wsp:rsid wsp:val=&quot;0051292A&quot;/&gt;&lt;wsp:rsid wsp:val=&quot;00513042&quot;/&gt;&lt;wsp:rsid wsp:val=&quot;00513388&quot;/&gt;&lt;wsp:rsid wsp:val=&quot;0051363C&quot;/&gt;&lt;wsp:rsid wsp:val=&quot;0051372D&quot;/&gt;&lt;wsp:rsid wsp:val=&quot;0051374C&quot;/&gt;&lt;wsp:rsid wsp:val=&quot;00513BE8&quot;/&gt;&lt;wsp:rsid wsp:val=&quot;00513C79&quot;/&gt;&lt;wsp:rsid wsp:val=&quot;00513DBA&quot;/&gt;&lt;wsp:rsid wsp:val=&quot;00514228&quot;/&gt;&lt;wsp:rsid wsp:val=&quot;00514E5D&quot;/&gt;&lt;wsp:rsid wsp:val=&quot;005151F6&quot;/&gt;&lt;wsp:rsid wsp:val=&quot;005154BA&quot;/&gt;&lt;wsp:rsid wsp:val=&quot;00515673&quot;/&gt;&lt;wsp:rsid wsp:val=&quot;005158CD&quot;/&gt;&lt;wsp:rsid wsp:val=&quot;00515A5C&quot;/&gt;&lt;wsp:rsid wsp:val=&quot;00516006&quot;/&gt;&lt;wsp:rsid wsp:val=&quot;0051654E&quot;/&gt;&lt;wsp:rsid wsp:val=&quot;00516F54&quot;/&gt;&lt;wsp:rsid wsp:val=&quot;00516FB9&quot;/&gt;&lt;wsp:rsid wsp:val=&quot;00517056&quot;/&gt;&lt;wsp:rsid wsp:val=&quot;0051738D&quot;/&gt;&lt;wsp:rsid wsp:val=&quot;005177AA&quot;/&gt;&lt;wsp:rsid wsp:val=&quot;00517F51&quot;/&gt;&lt;wsp:rsid wsp:val=&quot;00520168&quot;/&gt;&lt;wsp:rsid wsp:val=&quot;00520389&quot;/&gt;&lt;wsp:rsid wsp:val=&quot;005205D4&quot;/&gt;&lt;wsp:rsid wsp:val=&quot;00520884&quot;/&gt;&lt;wsp:rsid wsp:val=&quot;00520F1C&quot;/&gt;&lt;wsp:rsid wsp:val=&quot;005212C4&quot;/&gt;&lt;wsp:rsid wsp:val=&quot;0052132B&quot;/&gt;&lt;wsp:rsid wsp:val=&quot;005217F1&quot;/&gt;&lt;wsp:rsid wsp:val=&quot;00521DC4&quot;/&gt;&lt;wsp:rsid wsp:val=&quot;00521EC4&quot;/&gt;&lt;wsp:rsid wsp:val=&quot;0052253C&quot;/&gt;&lt;wsp:rsid wsp:val=&quot;00522688&quot;/&gt;&lt;wsp:rsid wsp:val=&quot;00522804&quot;/&gt;&lt;wsp:rsid wsp:val=&quot;00522A82&quot;/&gt;&lt;wsp:rsid wsp:val=&quot;00522FB4&quot;/&gt;&lt;wsp:rsid wsp:val=&quot;00523487&quot;/&gt;&lt;wsp:rsid wsp:val=&quot;005238EC&quot;/&gt;&lt;wsp:rsid wsp:val=&quot;00523D71&quot;/&gt;&lt;wsp:rsid wsp:val=&quot;00523DA4&quot;/&gt;&lt;wsp:rsid wsp:val=&quot;00523EED&quot;/&gt;&lt;wsp:rsid wsp:val=&quot;00523FBF&quot;/&gt;&lt;wsp:rsid wsp:val=&quot;0052442B&quot;/&gt;&lt;wsp:rsid wsp:val=&quot;005245AE&quot;/&gt;&lt;wsp:rsid wsp:val=&quot;005245C6&quot;/&gt;&lt;wsp:rsid wsp:val=&quot;0052478D&quot;/&gt;&lt;wsp:rsid wsp:val=&quot;005247D8&quot;/&gt;&lt;wsp:rsid wsp:val=&quot;00524D49&quot;/&gt;&lt;wsp:rsid wsp:val=&quot;005254BF&quot;/&gt;&lt;wsp:rsid wsp:val=&quot;005255AF&quot;/&gt;&lt;wsp:rsid wsp:val=&quot;00525B54&quot;/&gt;&lt;wsp:rsid wsp:val=&quot;00525E90&quot;/&gt;&lt;wsp:rsid wsp:val=&quot;00525FFB&quot;/&gt;&lt;wsp:rsid wsp:val=&quot;005260A9&quot;/&gt;&lt;wsp:rsid wsp:val=&quot;00526109&quot;/&gt;&lt;wsp:rsid wsp:val=&quot;00526E53&quot;/&gt;&lt;wsp:rsid wsp:val=&quot;00526EDD&quot;/&gt;&lt;wsp:rsid wsp:val=&quot;0052703E&quot;/&gt;&lt;wsp:rsid wsp:val=&quot;00527289&quot;/&gt;&lt;wsp:rsid wsp:val=&quot;00527CBA&quot;/&gt;&lt;wsp:rsid wsp:val=&quot;00530412&quot;/&gt;&lt;wsp:rsid wsp:val=&quot;005308A3&quot;/&gt;&lt;wsp:rsid wsp:val=&quot;00530BAD&quot;/&gt;&lt;wsp:rsid wsp:val=&quot;00530D07&quot;/&gt;&lt;wsp:rsid wsp:val=&quot;005314D2&quot;/&gt;&lt;wsp:rsid wsp:val=&quot;00531A24&quot;/&gt;&lt;wsp:rsid wsp:val=&quot;00532160&quot;/&gt;&lt;wsp:rsid wsp:val=&quot;0053238B&quot;/&gt;&lt;wsp:rsid wsp:val=&quot;00532486&quot;/&gt;&lt;wsp:rsid wsp:val=&quot;005324E5&quot;/&gt;&lt;wsp:rsid wsp:val=&quot;005329A8&quot;/&gt;&lt;wsp:rsid wsp:val=&quot;00532B2A&quot;/&gt;&lt;wsp:rsid wsp:val=&quot;00532F0D&quot;/&gt;&lt;wsp:rsid wsp:val=&quot;0053335A&quot;/&gt;&lt;wsp:rsid wsp:val=&quot;005335C8&quot;/&gt;&lt;wsp:rsid wsp:val=&quot;00533850&quot;/&gt;&lt;wsp:rsid wsp:val=&quot;00533D2B&quot;/&gt;&lt;wsp:rsid wsp:val=&quot;00533E8C&quot;/&gt;&lt;wsp:rsid wsp:val=&quot;00533F94&quot;/&gt;&lt;wsp:rsid wsp:val=&quot;0053419B&quot;/&gt;&lt;wsp:rsid wsp:val=&quot;005348E7&quot;/&gt;&lt;wsp:rsid wsp:val=&quot;00534921&quot;/&gt;&lt;wsp:rsid wsp:val=&quot;00535204&quot;/&gt;&lt;wsp:rsid wsp:val=&quot;00535364&quot;/&gt;&lt;wsp:rsid wsp:val=&quot;00535D15&quot;/&gt;&lt;wsp:rsid wsp:val=&quot;00535E04&quot;/&gt;&lt;wsp:rsid wsp:val=&quot;005367F3&quot;/&gt;&lt;wsp:rsid wsp:val=&quot;005369FC&quot;/&gt;&lt;wsp:rsid wsp:val=&quot;00536BEA&quot;/&gt;&lt;wsp:rsid wsp:val=&quot;0053739E&quot;/&gt;&lt;wsp:rsid wsp:val=&quot;00537593&quot;/&gt;&lt;wsp:rsid wsp:val=&quot;005376AC&quot;/&gt;&lt;wsp:rsid wsp:val=&quot;00537A5E&quot;/&gt;&lt;wsp:rsid wsp:val=&quot;005401B7&quot;/&gt;&lt;wsp:rsid wsp:val=&quot;00540586&quot;/&gt;&lt;wsp:rsid wsp:val=&quot;00540626&quot;/&gt;&lt;wsp:rsid wsp:val=&quot;00540BBF&quot;/&gt;&lt;wsp:rsid wsp:val=&quot;00540BE8&quot;/&gt;&lt;wsp:rsid wsp:val=&quot;00540CAE&quot;/&gt;&lt;wsp:rsid wsp:val=&quot;00541043&quot;/&gt;&lt;wsp:rsid wsp:val=&quot;00541503&quot;/&gt;&lt;wsp:rsid wsp:val=&quot;00541761&quot;/&gt;&lt;wsp:rsid wsp:val=&quot;00542050&quot;/&gt;&lt;wsp:rsid wsp:val=&quot;00542548&quot;/&gt;&lt;wsp:rsid wsp:val=&quot;00542876&quot;/&gt;&lt;wsp:rsid wsp:val=&quot;00542B60&quot;/&gt;&lt;wsp:rsid wsp:val=&quot;00542BD8&quot;/&gt;&lt;wsp:rsid wsp:val=&quot;00542D44&quot;/&gt;&lt;wsp:rsid wsp:val=&quot;00542E9C&quot;/&gt;&lt;wsp:rsid wsp:val=&quot;00543459&quot;/&gt;&lt;wsp:rsid wsp:val=&quot;00543D53&quot;/&gt;&lt;wsp:rsid wsp:val=&quot;00544120&quot;/&gt;&lt;wsp:rsid wsp:val=&quot;00544895&quot;/&gt;&lt;wsp:rsid wsp:val=&quot;005449D5&quot;/&gt;&lt;wsp:rsid wsp:val=&quot;00545012&quot;/&gt;&lt;wsp:rsid wsp:val=&quot;005454FC&quot;/&gt;&lt;wsp:rsid wsp:val=&quot;0054566F&quot;/&gt;&lt;wsp:rsid wsp:val=&quot;00545D06&quot;/&gt;&lt;wsp:rsid wsp:val=&quot;005463E8&quot;/&gt;&lt;wsp:rsid wsp:val=&quot;0054694F&quot;/&gt;&lt;wsp:rsid wsp:val=&quot;0054697A&quot;/&gt;&lt;wsp:rsid wsp:val=&quot;00546AFD&quot;/&gt;&lt;wsp:rsid wsp:val=&quot;005470B2&quot;/&gt;&lt;wsp:rsid wsp:val=&quot;005470DB&quot;/&gt;&lt;wsp:rsid wsp:val=&quot;00547106&quot;/&gt;&lt;wsp:rsid wsp:val=&quot;00547118&quot;/&gt;&lt;wsp:rsid wsp:val=&quot;00547431&quot;/&gt;&lt;wsp:rsid wsp:val=&quot;00550205&quot;/&gt;&lt;wsp:rsid wsp:val=&quot;005505DC&quot;/&gt;&lt;wsp:rsid wsp:val=&quot;0055192F&quot;/&gt;&lt;wsp:rsid wsp:val=&quot;00551A6E&quot;/&gt;&lt;wsp:rsid wsp:val=&quot;00551D09&quot;/&gt;&lt;wsp:rsid wsp:val=&quot;00552BB8&quot;/&gt;&lt;wsp:rsid wsp:val=&quot;0055306C&quot;/&gt;&lt;wsp:rsid wsp:val=&quot;00553144&quot;/&gt;&lt;wsp:rsid wsp:val=&quot;0055338B&quot;/&gt;&lt;wsp:rsid wsp:val=&quot;00553604&quot;/&gt;&lt;wsp:rsid wsp:val=&quot;0055385F&quot;/&gt;&lt;wsp:rsid wsp:val=&quot;005538D9&quot;/&gt;&lt;wsp:rsid wsp:val=&quot;00553D3E&quot;/&gt;&lt;wsp:rsid wsp:val=&quot;00553EE3&quot;/&gt;&lt;wsp:rsid wsp:val=&quot;00554580&quot;/&gt;&lt;wsp:rsid wsp:val=&quot;00555624&quot;/&gt;&lt;wsp:rsid wsp:val=&quot;00555778&quot;/&gt;&lt;wsp:rsid wsp:val=&quot;00555EC6&quot;/&gt;&lt;wsp:rsid wsp:val=&quot;00555F65&quot;/&gt;&lt;wsp:rsid wsp:val=&quot;00555F66&quot;/&gt;&lt;wsp:rsid wsp:val=&quot;0055620C&quot;/&gt;&lt;wsp:rsid wsp:val=&quot;005568E2&quot;/&gt;&lt;wsp:rsid wsp:val=&quot;0055690E&quot;/&gt;&lt;wsp:rsid wsp:val=&quot;00556A1F&quot;/&gt;&lt;wsp:rsid wsp:val=&quot;00556F2D&quot;/&gt;&lt;wsp:rsid wsp:val=&quot;00557440&quot;/&gt;&lt;wsp:rsid wsp:val=&quot;0055764E&quot;/&gt;&lt;wsp:rsid wsp:val=&quot;0055768F&quot;/&gt;&lt;wsp:rsid wsp:val=&quot;005576C2&quot;/&gt;&lt;wsp:rsid wsp:val=&quot;00557B28&quot;/&gt;&lt;wsp:rsid wsp:val=&quot;00557C49&quot;/&gt;&lt;wsp:rsid wsp:val=&quot;0056031D&quot;/&gt;&lt;wsp:rsid wsp:val=&quot;00560FA8&quot;/&gt;&lt;wsp:rsid wsp:val=&quot;005613BC&quot;/&gt;&lt;wsp:rsid wsp:val=&quot;005615A8&quot;/&gt;&lt;wsp:rsid wsp:val=&quot;00561679&quot;/&gt;&lt;wsp:rsid wsp:val=&quot;00561A9F&quot;/&gt;&lt;wsp:rsid wsp:val=&quot;00561DED&quot;/&gt;&lt;wsp:rsid wsp:val=&quot;0056207D&quot;/&gt;&lt;wsp:rsid wsp:val=&quot;00562272&quot;/&gt;&lt;wsp:rsid wsp:val=&quot;00562A2D&quot;/&gt;&lt;wsp:rsid wsp:val=&quot;00562DC4&quot;/&gt;&lt;wsp:rsid wsp:val=&quot;005636B1&quot;/&gt;&lt;wsp:rsid wsp:val=&quot;0056395C&quot;/&gt;&lt;wsp:rsid wsp:val=&quot;00565155&quot;/&gt;&lt;wsp:rsid wsp:val=&quot;00565317&quot;/&gt;&lt;wsp:rsid wsp:val=&quot;00565367&quot;/&gt;&lt;wsp:rsid wsp:val=&quot;00566368&quot;/&gt;&lt;wsp:rsid wsp:val=&quot;005672F9&quot;/&gt;&lt;wsp:rsid wsp:val=&quot;00567EE4&quot;/&gt;&lt;wsp:rsid wsp:val=&quot;00570032&quot;/&gt;&lt;wsp:rsid wsp:val=&quot;0057047D&quot;/&gt;&lt;wsp:rsid wsp:val=&quot;0057049E&quot;/&gt;&lt;wsp:rsid wsp:val=&quot;00570564&quot;/&gt;&lt;wsp:rsid wsp:val=&quot;00570605&quot;/&gt;&lt;wsp:rsid wsp:val=&quot;005708EC&quot;/&gt;&lt;wsp:rsid wsp:val=&quot;00570F63&quot;/&gt;&lt;wsp:rsid wsp:val=&quot;00571270&quot;/&gt;&lt;wsp:rsid wsp:val=&quot;005713CC&quot;/&gt;&lt;wsp:rsid wsp:val=&quot;00571754&quot;/&gt;&lt;wsp:rsid wsp:val=&quot;0057188B&quot;/&gt;&lt;wsp:rsid wsp:val=&quot;00571BC6&quot;/&gt;&lt;wsp:rsid wsp:val=&quot;00571D1F&quot;/&gt;&lt;wsp:rsid wsp:val=&quot;00571D7A&quot;/&gt;&lt;wsp:rsid wsp:val=&quot;00571E3F&quot;/&gt;&lt;wsp:rsid wsp:val=&quot;00571E5F&quot;/&gt;&lt;wsp:rsid wsp:val=&quot;00571F49&quot;/&gt;&lt;wsp:rsid wsp:val=&quot;00572056&quot;/&gt;&lt;wsp:rsid wsp:val=&quot;005723B6&quot;/&gt;&lt;wsp:rsid wsp:val=&quot;00572832&quot;/&gt;&lt;wsp:rsid wsp:val=&quot;00572B81&quot;/&gt;&lt;wsp:rsid wsp:val=&quot;00572F15&quot;/&gt;&lt;wsp:rsid wsp:val=&quot;00573188&quot;/&gt;&lt;wsp:rsid wsp:val=&quot;005732BD&quot;/&gt;&lt;wsp:rsid wsp:val=&quot;005732EA&quot;/&gt;&lt;wsp:rsid wsp:val=&quot;00573331&quot;/&gt;&lt;wsp:rsid wsp:val=&quot;005739FB&quot;/&gt;&lt;wsp:rsid wsp:val=&quot;00573B41&quot;/&gt;&lt;wsp:rsid wsp:val=&quot;00573F1A&quot;/&gt;&lt;wsp:rsid wsp:val=&quot;005745F8&quot;/&gt;&lt;wsp:rsid wsp:val=&quot;0057470C&quot;/&gt;&lt;wsp:rsid wsp:val=&quot;00574866&quot;/&gt;&lt;wsp:rsid wsp:val=&quot;00574B0F&quot;/&gt;&lt;wsp:rsid wsp:val=&quot;00574EE5&quot;/&gt;&lt;wsp:rsid wsp:val=&quot;0057658C&quot;/&gt;&lt;wsp:rsid wsp:val=&quot;00576ACB&quot;/&gt;&lt;wsp:rsid wsp:val=&quot;00576BF4&quot;/&gt;&lt;wsp:rsid wsp:val=&quot;00576E03&quot;/&gt;&lt;wsp:rsid wsp:val=&quot;005770F1&quot;/&gt;&lt;wsp:rsid wsp:val=&quot;0057714E&quot;/&gt;&lt;wsp:rsid wsp:val=&quot;00577559&quot;/&gt;&lt;wsp:rsid wsp:val=&quot;00577699&quot;/&gt;&lt;wsp:rsid wsp:val=&quot;00577EBD&quot;/&gt;&lt;wsp:rsid wsp:val=&quot;00577F10&quot;/&gt;&lt;wsp:rsid wsp:val=&quot;00580790&quot;/&gt;&lt;wsp:rsid wsp:val=&quot;00581446&quot;/&gt;&lt;wsp:rsid wsp:val=&quot;00581A52&quot;/&gt;&lt;wsp:rsid wsp:val=&quot;00581B3D&quot;/&gt;&lt;wsp:rsid wsp:val=&quot;00581EC4&quot;/&gt;&lt;wsp:rsid wsp:val=&quot;00582109&quot;/&gt;&lt;wsp:rsid wsp:val=&quot;00582153&quot;/&gt;&lt;wsp:rsid wsp:val=&quot;005824B7&quot;/&gt;&lt;wsp:rsid wsp:val=&quot;00582F4D&quot;/&gt;&lt;wsp:rsid wsp:val=&quot;00582FF3&quot;/&gt;&lt;wsp:rsid wsp:val=&quot;00583296&quot;/&gt;&lt;wsp:rsid wsp:val=&quot;0058336C&quot;/&gt;&lt;wsp:rsid wsp:val=&quot;005839B5&quot;/&gt;&lt;wsp:rsid wsp:val=&quot;005839C0&quot;/&gt;&lt;wsp:rsid wsp:val=&quot;00583C7E&quot;/&gt;&lt;wsp:rsid wsp:val=&quot;005842BF&quot;/&gt;&lt;wsp:rsid wsp:val=&quot;005845BE&quot;/&gt;&lt;wsp:rsid wsp:val=&quot;005847DF&quot;/&gt;&lt;wsp:rsid wsp:val=&quot;00584A10&quot;/&gt;&lt;wsp:rsid wsp:val=&quot;00584EB7&quot;/&gt;&lt;wsp:rsid wsp:val=&quot;0058558C&quot;/&gt;&lt;wsp:rsid wsp:val=&quot;00585592&quot;/&gt;&lt;wsp:rsid wsp:val=&quot;005868A0&quot;/&gt;&lt;wsp:rsid wsp:val=&quot;00586A23&quot;/&gt;&lt;wsp:rsid wsp:val=&quot;0058793B&quot;/&gt;&lt;wsp:rsid wsp:val=&quot;0059029B&quot;/&gt;&lt;wsp:rsid wsp:val=&quot;005902CD&quot;/&gt;&lt;wsp:rsid wsp:val=&quot;00590911&quot;/&gt;&lt;wsp:rsid wsp:val=&quot;00590AE1&quot;/&gt;&lt;wsp:rsid wsp:val=&quot;00590BAF&quot;/&gt;&lt;wsp:rsid wsp:val=&quot;00590BB7&quot;/&gt;&lt;wsp:rsid wsp:val=&quot;00590E01&quot;/&gt;&lt;wsp:rsid wsp:val=&quot;00591205&quot;/&gt;&lt;wsp:rsid wsp:val=&quot;005912F3&quot;/&gt;&lt;wsp:rsid wsp:val=&quot;005916F8&quot;/&gt;&lt;wsp:rsid wsp:val=&quot;005919FD&quot;/&gt;&lt;wsp:rsid wsp:val=&quot;00591DF6&quot;/&gt;&lt;wsp:rsid wsp:val=&quot;00591DFA&quot;/&gt;&lt;wsp:rsid wsp:val=&quot;00591F1A&quot;/&gt;&lt;wsp:rsid wsp:val=&quot;00591F7F&quot;/&gt;&lt;wsp:rsid wsp:val=&quot;00592164&quot;/&gt;&lt;wsp:rsid wsp:val=&quot;00592648&quot;/&gt;&lt;wsp:rsid wsp:val=&quot;005926E1&quot;/&gt;&lt;wsp:rsid wsp:val=&quot;005928D4&quot;/&gt;&lt;wsp:rsid wsp:val=&quot;00592A64&quot;/&gt;&lt;wsp:rsid wsp:val=&quot;00592AF3&quot;/&gt;&lt;wsp:rsid wsp:val=&quot;00592C7B&quot;/&gt;&lt;wsp:rsid wsp:val=&quot;00592DD6&quot;/&gt;&lt;wsp:rsid wsp:val=&quot;00592E26&quot;/&gt;&lt;wsp:rsid wsp:val=&quot;00593031&quot;/&gt;&lt;wsp:rsid wsp:val=&quot;005931B9&quot;/&gt;&lt;wsp:rsid wsp:val=&quot;00593609&quot;/&gt;&lt;wsp:rsid wsp:val=&quot;00593CE8&quot;/&gt;&lt;wsp:rsid wsp:val=&quot;00593CE9&quot;/&gt;&lt;wsp:rsid wsp:val=&quot;00593F69&quot;/&gt;&lt;wsp:rsid wsp:val=&quot;00594110&quot;/&gt;&lt;wsp:rsid wsp:val=&quot;00594273&quot;/&gt;&lt;wsp:rsid wsp:val=&quot;00594372&quot;/&gt;&lt;wsp:rsid wsp:val=&quot;00594667&quot;/&gt;&lt;wsp:rsid wsp:val=&quot;00594EBD&quot;/&gt;&lt;wsp:rsid wsp:val=&quot;00595156&quot;/&gt;&lt;wsp:rsid wsp:val=&quot;00595C16&quot;/&gt;&lt;wsp:rsid wsp:val=&quot;00595D5A&quot;/&gt;&lt;wsp:rsid wsp:val=&quot;005963B3&quot;/&gt;&lt;wsp:rsid wsp:val=&quot;0059688E&quot;/&gt;&lt;wsp:rsid wsp:val=&quot;005969ED&quot;/&gt;&lt;wsp:rsid wsp:val=&quot;00596DF9&quot;/&gt;&lt;wsp:rsid wsp:val=&quot;00596E70&quot;/&gt;&lt;wsp:rsid wsp:val=&quot;00597124&quot;/&gt;&lt;wsp:rsid wsp:val=&quot;0059756C&quot;/&gt;&lt;wsp:rsid wsp:val=&quot;00597690&quot;/&gt;&lt;wsp:rsid wsp:val=&quot;005A0231&quot;/&gt;&lt;wsp:rsid wsp:val=&quot;005A0669&quot;/&gt;&lt;wsp:rsid wsp:val=&quot;005A0966&quot;/&gt;&lt;wsp:rsid wsp:val=&quot;005A0A0D&quot;/&gt;&lt;wsp:rsid wsp:val=&quot;005A14E9&quot;/&gt;&lt;wsp:rsid wsp:val=&quot;005A1829&quot;/&gt;&lt;wsp:rsid wsp:val=&quot;005A18BC&quot;/&gt;&lt;wsp:rsid wsp:val=&quot;005A2506&quot;/&gt;&lt;wsp:rsid wsp:val=&quot;005A2BCA&quot;/&gt;&lt;wsp:rsid wsp:val=&quot;005A2CAD&quot;/&gt;&lt;wsp:rsid wsp:val=&quot;005A3105&quot;/&gt;&lt;wsp:rsid wsp:val=&quot;005A33B6&quot;/&gt;&lt;wsp:rsid wsp:val=&quot;005A3C70&quot;/&gt;&lt;wsp:rsid wsp:val=&quot;005A3F1B&quot;/&gt;&lt;wsp:rsid wsp:val=&quot;005A45C2&quot;/&gt;&lt;wsp:rsid wsp:val=&quot;005A47A2&quot;/&gt;&lt;wsp:rsid wsp:val=&quot;005A52A5&quot;/&gt;&lt;wsp:rsid wsp:val=&quot;005A5316&quot;/&gt;&lt;wsp:rsid wsp:val=&quot;005A5863&quot;/&gt;&lt;wsp:rsid wsp:val=&quot;005A5C8A&quot;/&gt;&lt;wsp:rsid wsp:val=&quot;005A5FB0&quot;/&gt;&lt;wsp:rsid wsp:val=&quot;005A620B&quot;/&gt;&lt;wsp:rsid wsp:val=&quot;005A6239&quot;/&gt;&lt;wsp:rsid wsp:val=&quot;005A6529&quot;/&gt;&lt;wsp:rsid wsp:val=&quot;005A6600&quot;/&gt;&lt;wsp:rsid wsp:val=&quot;005A6A04&quot;/&gt;&lt;wsp:rsid wsp:val=&quot;005A6CA1&quot;/&gt;&lt;wsp:rsid wsp:val=&quot;005A72AC&quot;/&gt;&lt;wsp:rsid wsp:val=&quot;005A750D&quot;/&gt;&lt;wsp:rsid wsp:val=&quot;005A75BA&quot;/&gt;&lt;wsp:rsid wsp:val=&quot;005A7D99&quot;/&gt;&lt;wsp:rsid wsp:val=&quot;005B013C&quot;/&gt;&lt;wsp:rsid wsp:val=&quot;005B04AD&quot;/&gt;&lt;wsp:rsid wsp:val=&quot;005B081D&quot;/&gt;&lt;wsp:rsid wsp:val=&quot;005B0EBE&quot;/&gt;&lt;wsp:rsid wsp:val=&quot;005B1086&quot;/&gt;&lt;wsp:rsid wsp:val=&quot;005B11F7&quot;/&gt;&lt;wsp:rsid wsp:val=&quot;005B131E&quot;/&gt;&lt;wsp:rsid wsp:val=&quot;005B183A&quot;/&gt;&lt;wsp:rsid wsp:val=&quot;005B185B&quot;/&gt;&lt;wsp:rsid wsp:val=&quot;005B1D53&quot;/&gt;&lt;wsp:rsid wsp:val=&quot;005B1F1D&quot;/&gt;&lt;wsp:rsid wsp:val=&quot;005B1FA9&quot;/&gt;&lt;wsp:rsid wsp:val=&quot;005B2143&quot;/&gt;&lt;wsp:rsid wsp:val=&quot;005B2191&quot;/&gt;&lt;wsp:rsid wsp:val=&quot;005B244A&quot;/&gt;&lt;wsp:rsid wsp:val=&quot;005B25ED&quot;/&gt;&lt;wsp:rsid wsp:val=&quot;005B320A&quot;/&gt;&lt;wsp:rsid wsp:val=&quot;005B3214&quot;/&gt;&lt;wsp:rsid wsp:val=&quot;005B3327&quot;/&gt;&lt;wsp:rsid wsp:val=&quot;005B397B&quot;/&gt;&lt;wsp:rsid wsp:val=&quot;005B3BE3&quot;/&gt;&lt;wsp:rsid wsp:val=&quot;005B4122&quot;/&gt;&lt;wsp:rsid wsp:val=&quot;005B413F&quot;/&gt;&lt;wsp:rsid wsp:val=&quot;005B42EB&quot;/&gt;&lt;wsp:rsid wsp:val=&quot;005B44E7&quot;/&gt;&lt;wsp:rsid wsp:val=&quot;005B45F3&quot;/&gt;&lt;wsp:rsid wsp:val=&quot;005B481E&quot;/&gt;&lt;wsp:rsid wsp:val=&quot;005B485C&quot;/&gt;&lt;wsp:rsid wsp:val=&quot;005B4892&quot;/&gt;&lt;wsp:rsid wsp:val=&quot;005B48F6&quot;/&gt;&lt;wsp:rsid wsp:val=&quot;005B4F08&quot;/&gt;&lt;wsp:rsid wsp:val=&quot;005B522C&quot;/&gt;&lt;wsp:rsid wsp:val=&quot;005B5589&quot;/&gt;&lt;wsp:rsid wsp:val=&quot;005B57A2&quot;/&gt;&lt;wsp:rsid wsp:val=&quot;005B5822&quot;/&gt;&lt;wsp:rsid wsp:val=&quot;005B5B8F&quot;/&gt;&lt;wsp:rsid wsp:val=&quot;005B5F9D&quot;/&gt;&lt;wsp:rsid wsp:val=&quot;005B673C&quot;/&gt;&lt;wsp:rsid wsp:val=&quot;005B6A0A&quot;/&gt;&lt;wsp:rsid wsp:val=&quot;005B74C4&quot;/&gt;&lt;wsp:rsid wsp:val=&quot;005B7A4F&quot;/&gt;&lt;wsp:rsid wsp:val=&quot;005B7C91&quot;/&gt;&lt;wsp:rsid wsp:val=&quot;005C02CF&quot;/&gt;&lt;wsp:rsid wsp:val=&quot;005C02DF&quot;/&gt;&lt;wsp:rsid wsp:val=&quot;005C03F6&quot;/&gt;&lt;wsp:rsid wsp:val=&quot;005C06D2&quot;/&gt;&lt;wsp:rsid wsp:val=&quot;005C08AC&quot;/&gt;&lt;wsp:rsid wsp:val=&quot;005C12D7&quot;/&gt;&lt;wsp:rsid wsp:val=&quot;005C19D6&quot;/&gt;&lt;wsp:rsid wsp:val=&quot;005C1C02&quot;/&gt;&lt;wsp:rsid wsp:val=&quot;005C1C1E&quot;/&gt;&lt;wsp:rsid wsp:val=&quot;005C2151&quot;/&gt;&lt;wsp:rsid wsp:val=&quot;005C21EE&quot;/&gt;&lt;wsp:rsid wsp:val=&quot;005C272C&quot;/&gt;&lt;wsp:rsid wsp:val=&quot;005C2C42&quot;/&gt;&lt;wsp:rsid wsp:val=&quot;005C2C5C&quot;/&gt;&lt;wsp:rsid wsp:val=&quot;005C2EEA&quot;/&gt;&lt;wsp:rsid wsp:val=&quot;005C34B1&quot;/&gt;&lt;wsp:rsid wsp:val=&quot;005C395F&quot;/&gt;&lt;wsp:rsid wsp:val=&quot;005C3978&quot;/&gt;&lt;wsp:rsid wsp:val=&quot;005C3E21&quot;/&gt;&lt;wsp:rsid wsp:val=&quot;005C4186&quot;/&gt;&lt;wsp:rsid wsp:val=&quot;005C435E&quot;/&gt;&lt;wsp:rsid wsp:val=&quot;005C44AC&quot;/&gt;&lt;wsp:rsid wsp:val=&quot;005C45C1&quot;/&gt;&lt;wsp:rsid wsp:val=&quot;005C45D9&quot;/&gt;&lt;wsp:rsid wsp:val=&quot;005C4930&quot;/&gt;&lt;wsp:rsid wsp:val=&quot;005C4978&quot;/&gt;&lt;wsp:rsid wsp:val=&quot;005C4A43&quot;/&gt;&lt;wsp:rsid wsp:val=&quot;005C4D7A&quot;/&gt;&lt;wsp:rsid wsp:val=&quot;005C50FB&quot;/&gt;&lt;wsp:rsid wsp:val=&quot;005C5659&quot;/&gt;&lt;wsp:rsid wsp:val=&quot;005C570F&quot;/&gt;&lt;wsp:rsid wsp:val=&quot;005C5BA8&quot;/&gt;&lt;wsp:rsid wsp:val=&quot;005C600D&quot;/&gt;&lt;wsp:rsid wsp:val=&quot;005C668A&quot;/&gt;&lt;wsp:rsid wsp:val=&quot;005C67B2&quot;/&gt;&lt;wsp:rsid wsp:val=&quot;005C6AB3&quot;/&gt;&lt;wsp:rsid wsp:val=&quot;005C6C39&quot;/&gt;&lt;wsp:rsid wsp:val=&quot;005C6D1C&quot;/&gt;&lt;wsp:rsid wsp:val=&quot;005C6F75&quot;/&gt;&lt;wsp:rsid wsp:val=&quot;005C7013&quot;/&gt;&lt;wsp:rsid wsp:val=&quot;005C712C&quot;/&gt;&lt;wsp:rsid wsp:val=&quot;005C773C&quot;/&gt;&lt;wsp:rsid wsp:val=&quot;005C789A&quot;/&gt;&lt;wsp:rsid wsp:val=&quot;005C7F12&quot;/&gt;&lt;wsp:rsid wsp:val=&quot;005C7F96&quot;/&gt;&lt;wsp:rsid wsp:val=&quot;005D00AC&quot;/&gt;&lt;wsp:rsid wsp:val=&quot;005D021A&quot;/&gt;&lt;wsp:rsid wsp:val=&quot;005D0682&quot;/&gt;&lt;wsp:rsid wsp:val=&quot;005D0A5B&quot;/&gt;&lt;wsp:rsid wsp:val=&quot;005D0AC2&quot;/&gt;&lt;wsp:rsid wsp:val=&quot;005D10A8&quot;/&gt;&lt;wsp:rsid wsp:val=&quot;005D11F2&quot;/&gt;&lt;wsp:rsid wsp:val=&quot;005D1643&quot;/&gt;&lt;wsp:rsid wsp:val=&quot;005D188E&quot;/&gt;&lt;wsp:rsid wsp:val=&quot;005D18E3&quot;/&gt;&lt;wsp:rsid wsp:val=&quot;005D1CB5&quot;/&gt;&lt;wsp:rsid wsp:val=&quot;005D22D8&quot;/&gt;&lt;wsp:rsid wsp:val=&quot;005D2741&quot;/&gt;&lt;wsp:rsid wsp:val=&quot;005D288B&quot;/&gt;&lt;wsp:rsid wsp:val=&quot;005D28B1&quot;/&gt;&lt;wsp:rsid wsp:val=&quot;005D291C&quot;/&gt;&lt;wsp:rsid wsp:val=&quot;005D2A30&quot;/&gt;&lt;wsp:rsid wsp:val=&quot;005D2B9F&quot;/&gt;&lt;wsp:rsid wsp:val=&quot;005D2F6C&quot;/&gt;&lt;wsp:rsid wsp:val=&quot;005D3491&quot;/&gt;&lt;wsp:rsid wsp:val=&quot;005D3C06&quot;/&gt;&lt;wsp:rsid wsp:val=&quot;005D3F4B&quot;/&gt;&lt;wsp:rsid wsp:val=&quot;005D41A4&quot;/&gt;&lt;wsp:rsid wsp:val=&quot;005D4AF4&quot;/&gt;&lt;wsp:rsid wsp:val=&quot;005D4B83&quot;/&gt;&lt;wsp:rsid wsp:val=&quot;005D4BAC&quot;/&gt;&lt;wsp:rsid wsp:val=&quot;005D4CCB&quot;/&gt;&lt;wsp:rsid wsp:val=&quot;005D51AD&quot;/&gt;&lt;wsp:rsid wsp:val=&quot;005D5B11&quot;/&gt;&lt;wsp:rsid wsp:val=&quot;005D5E04&quot;/&gt;&lt;wsp:rsid wsp:val=&quot;005D6865&quot;/&gt;&lt;wsp:rsid wsp:val=&quot;005D68DC&quot;/&gt;&lt;wsp:rsid wsp:val=&quot;005D69CD&quot;/&gt;&lt;wsp:rsid wsp:val=&quot;005D6BF7&quot;/&gt;&lt;wsp:rsid wsp:val=&quot;005D6D08&quot;/&gt;&lt;wsp:rsid wsp:val=&quot;005D6F58&quot;/&gt;&lt;wsp:rsid wsp:val=&quot;005D72C6&quot;/&gt;&lt;wsp:rsid wsp:val=&quot;005D7728&quot;/&gt;&lt;wsp:rsid wsp:val=&quot;005D7B70&quot;/&gt;&lt;wsp:rsid wsp:val=&quot;005D7CF2&quot;/&gt;&lt;wsp:rsid wsp:val=&quot;005E02A5&quot;/&gt;&lt;wsp:rsid wsp:val=&quot;005E066D&quot;/&gt;&lt;wsp:rsid wsp:val=&quot;005E07B0&quot;/&gt;&lt;wsp:rsid wsp:val=&quot;005E08D6&quot;/&gt;&lt;wsp:rsid wsp:val=&quot;005E0C87&quot;/&gt;&lt;wsp:rsid wsp:val=&quot;005E0CB6&quot;/&gt;&lt;wsp:rsid wsp:val=&quot;005E0FB5&quot;/&gt;&lt;wsp:rsid wsp:val=&quot;005E11CF&quot;/&gt;&lt;wsp:rsid wsp:val=&quot;005E12AB&quot;/&gt;&lt;wsp:rsid wsp:val=&quot;005E12B1&quot;/&gt;&lt;wsp:rsid wsp:val=&quot;005E1470&quot;/&gt;&lt;wsp:rsid wsp:val=&quot;005E149E&quot;/&gt;&lt;wsp:rsid wsp:val=&quot;005E1ECD&quot;/&gt;&lt;wsp:rsid wsp:val=&quot;005E20B7&quot;/&gt;&lt;wsp:rsid wsp:val=&quot;005E21CD&quot;/&gt;&lt;wsp:rsid wsp:val=&quot;005E29AA&quot;/&gt;&lt;wsp:rsid wsp:val=&quot;005E2A00&quot;/&gt;&lt;wsp:rsid wsp:val=&quot;005E39B2&quot;/&gt;&lt;wsp:rsid wsp:val=&quot;005E3CC1&quot;/&gt;&lt;wsp:rsid wsp:val=&quot;005E3F77&quot;/&gt;&lt;wsp:rsid wsp:val=&quot;005E44FA&quot;/&gt;&lt;wsp:rsid wsp:val=&quot;005E4AD3&quot;/&gt;&lt;wsp:rsid wsp:val=&quot;005E4FC9&quot;/&gt;&lt;wsp:rsid wsp:val=&quot;005E518D&quot;/&gt;&lt;wsp:rsid wsp:val=&quot;005E51FE&quot;/&gt;&lt;wsp:rsid wsp:val=&quot;005E541D&quot;/&gt;&lt;wsp:rsid wsp:val=&quot;005E6026&quot;/&gt;&lt;wsp:rsid wsp:val=&quot;005E6678&quot;/&gt;&lt;wsp:rsid wsp:val=&quot;005E6805&quot;/&gt;&lt;wsp:rsid wsp:val=&quot;005E6B35&quot;/&gt;&lt;wsp:rsid wsp:val=&quot;005E6D87&quot;/&gt;&lt;wsp:rsid wsp:val=&quot;005E718A&quot;/&gt;&lt;wsp:rsid wsp:val=&quot;005E7278&quot;/&gt;&lt;wsp:rsid wsp:val=&quot;005E73B5&quot;/&gt;&lt;wsp:rsid wsp:val=&quot;005E7724&quot;/&gt;&lt;wsp:rsid wsp:val=&quot;005E7753&quot;/&gt;&lt;wsp:rsid wsp:val=&quot;005E780A&quot;/&gt;&lt;wsp:rsid wsp:val=&quot;005E7D5E&quot;/&gt;&lt;wsp:rsid wsp:val=&quot;005E7F26&quot;/&gt;&lt;wsp:rsid wsp:val=&quot;005E7F7D&quot;/&gt;&lt;wsp:rsid wsp:val=&quot;005E7FCC&quot;/&gt;&lt;wsp:rsid wsp:val=&quot;005F0579&quot;/&gt;&lt;wsp:rsid wsp:val=&quot;005F0589&quot;/&gt;&lt;wsp:rsid wsp:val=&quot;005F092D&quot;/&gt;&lt;wsp:rsid wsp:val=&quot;005F09C4&quot;/&gt;&lt;wsp:rsid wsp:val=&quot;005F0A2B&quot;/&gt;&lt;wsp:rsid wsp:val=&quot;005F1406&quot;/&gt;&lt;wsp:rsid wsp:val=&quot;005F1444&quot;/&gt;&lt;wsp:rsid wsp:val=&quot;005F19EB&quot;/&gt;&lt;wsp:rsid wsp:val=&quot;005F1DBA&quot;/&gt;&lt;wsp:rsid wsp:val=&quot;005F21C6&quot;/&gt;&lt;wsp:rsid wsp:val=&quot;005F2240&quot;/&gt;&lt;wsp:rsid wsp:val=&quot;005F2482&quot;/&gt;&lt;wsp:rsid wsp:val=&quot;005F2843&quot;/&gt;&lt;wsp:rsid wsp:val=&quot;005F3A48&quot;/&gt;&lt;wsp:rsid wsp:val=&quot;005F3B32&quot;/&gt;&lt;wsp:rsid wsp:val=&quot;005F3CE2&quot;/&gt;&lt;wsp:rsid wsp:val=&quot;005F4064&quot;/&gt;&lt;wsp:rsid wsp:val=&quot;005F4875&quot;/&gt;&lt;wsp:rsid wsp:val=&quot;005F531B&quot;/&gt;&lt;wsp:rsid wsp:val=&quot;005F5794&quot;/&gt;&lt;wsp:rsid wsp:val=&quot;005F5E3B&quot;/&gt;&lt;wsp:rsid wsp:val=&quot;005F66D2&quot;/&gt;&lt;wsp:rsid wsp:val=&quot;005F6859&quot;/&gt;&lt;wsp:rsid wsp:val=&quot;005F6AC9&quot;/&gt;&lt;wsp:rsid wsp:val=&quot;005F6B62&quot;/&gt;&lt;wsp:rsid wsp:val=&quot;005F714D&quot;/&gt;&lt;wsp:rsid wsp:val=&quot;005F7208&quot;/&gt;&lt;wsp:rsid wsp:val=&quot;005F7655&quot;/&gt;&lt;wsp:rsid wsp:val=&quot;005F78C9&quot;/&gt;&lt;wsp:rsid wsp:val=&quot;005F78DB&quot;/&gt;&lt;wsp:rsid wsp:val=&quot;005F79CA&quot;/&gt;&lt;wsp:rsid wsp:val=&quot;005F7A86&quot;/&gt;&lt;wsp:rsid wsp:val=&quot;005F7CC1&quot;/&gt;&lt;wsp:rsid wsp:val=&quot;00600930&quot;/&gt;&lt;wsp:rsid wsp:val=&quot;00600950&quot;/&gt;&lt;wsp:rsid wsp:val=&quot;00600BCC&quot;/&gt;&lt;wsp:rsid wsp:val=&quot;006013E0&quot;/&gt;&lt;wsp:rsid wsp:val=&quot;006016CC&quot;/&gt;&lt;wsp:rsid wsp:val=&quot;006017A0&quot;/&gt;&lt;wsp:rsid wsp:val=&quot;00601803&quot;/&gt;&lt;wsp:rsid wsp:val=&quot;00601E47&quot;/&gt;&lt;wsp:rsid wsp:val=&quot;0060215F&quot;/&gt;&lt;wsp:rsid wsp:val=&quot;00602662&quot;/&gt;&lt;wsp:rsid wsp:val=&quot;00602692&quot;/&gt;&lt;wsp:rsid wsp:val=&quot;00602DBF&quot;/&gt;&lt;wsp:rsid wsp:val=&quot;0060343D&quot;/&gt;&lt;wsp:rsid wsp:val=&quot;00603443&quot;/&gt;&lt;wsp:rsid wsp:val=&quot;0060380F&quot;/&gt;&lt;wsp:rsid wsp:val=&quot;00603D72&quot;/&gt;&lt;wsp:rsid wsp:val=&quot;006041F4&quot;/&gt;&lt;wsp:rsid wsp:val=&quot;00604A70&quot;/&gt;&lt;wsp:rsid wsp:val=&quot;00604F77&quot;/&gt;&lt;wsp:rsid wsp:val=&quot;00605312&quot;/&gt;&lt;wsp:rsid wsp:val=&quot;006053FA&quot;/&gt;&lt;wsp:rsid wsp:val=&quot;00605497&quot;/&gt;&lt;wsp:rsid wsp:val=&quot;0060579C&quot;/&gt;&lt;wsp:rsid wsp:val=&quot;0060599D&quot;/&gt;&lt;wsp:rsid wsp:val=&quot;00605AC6&quot;/&gt;&lt;wsp:rsid wsp:val=&quot;00605F21&quot;/&gt;&lt;wsp:rsid wsp:val=&quot;00605FD5&quot;/&gt;&lt;wsp:rsid wsp:val=&quot;00606495&quot;/&gt;&lt;wsp:rsid wsp:val=&quot;0060692A&quot;/&gt;&lt;wsp:rsid wsp:val=&quot;00606C67&quot;/&gt;&lt;wsp:rsid wsp:val=&quot;00606D91&quot;/&gt;&lt;wsp:rsid wsp:val=&quot;00606EE9&quot;/&gt;&lt;wsp:rsid wsp:val=&quot;006071F8&quot;/&gt;&lt;wsp:rsid wsp:val=&quot;0060750E&quot;/&gt;&lt;wsp:rsid wsp:val=&quot;0060760E&quot;/&gt;&lt;wsp:rsid wsp:val=&quot;00607D2A&quot;/&gt;&lt;wsp:rsid wsp:val=&quot;006104A0&quot;/&gt;&lt;wsp:rsid wsp:val=&quot;006104C4&quot;/&gt;&lt;wsp:rsid wsp:val=&quot;00610B4F&quot;/&gt;&lt;wsp:rsid wsp:val=&quot;00610B60&quot;/&gt;&lt;wsp:rsid wsp:val=&quot;00610DED&quot;/&gt;&lt;wsp:rsid wsp:val=&quot;006110B1&quot;/&gt;&lt;wsp:rsid wsp:val=&quot;006117EC&quot;/&gt;&lt;wsp:rsid wsp:val=&quot;006119F6&quot;/&gt;&lt;wsp:rsid wsp:val=&quot;00611AD8&quot;/&gt;&lt;wsp:rsid wsp:val=&quot;00611BE2&quot;/&gt;&lt;wsp:rsid wsp:val=&quot;00611D1C&quot;/&gt;&lt;wsp:rsid wsp:val=&quot;00611FBB&quot;/&gt;&lt;wsp:rsid wsp:val=&quot;0061247F&quot;/&gt;&lt;wsp:rsid wsp:val=&quot;00612698&quot;/&gt;&lt;wsp:rsid wsp:val=&quot;00612D04&quot;/&gt;&lt;wsp:rsid wsp:val=&quot;00612D9D&quot;/&gt;&lt;wsp:rsid wsp:val=&quot;00612F3C&quot;/&gt;&lt;wsp:rsid wsp:val=&quot;00613568&quot;/&gt;&lt;wsp:rsid wsp:val=&quot;00613A58&quot;/&gt;&lt;wsp:rsid wsp:val=&quot;00614164&quot;/&gt;&lt;wsp:rsid wsp:val=&quot;00614DB8&quot;/&gt;&lt;wsp:rsid wsp:val=&quot;0061523E&quot;/&gt;&lt;wsp:rsid wsp:val=&quot;006155C4&quot;/&gt;&lt;wsp:rsid wsp:val=&quot;006157DD&quot;/&gt;&lt;wsp:rsid wsp:val=&quot;00615934&quot;/&gt;&lt;wsp:rsid wsp:val=&quot;0061673B&quot;/&gt;&lt;wsp:rsid wsp:val=&quot;0061748C&quot;/&gt;&lt;wsp:rsid wsp:val=&quot;006175A1&quot;/&gt;&lt;wsp:rsid wsp:val=&quot;00617905&quot;/&gt;&lt;wsp:rsid wsp:val=&quot;0062018E&quot;/&gt;&lt;wsp:rsid wsp:val=&quot;0062025C&quot;/&gt;&lt;wsp:rsid wsp:val=&quot;0062098F&quot;/&gt;&lt;wsp:rsid wsp:val=&quot;006209F6&quot;/&gt;&lt;wsp:rsid wsp:val=&quot;00620B1B&quot;/&gt;&lt;wsp:rsid wsp:val=&quot;0062139E&quot;/&gt;&lt;wsp:rsid wsp:val=&quot;00621405&quot;/&gt;&lt;wsp:rsid wsp:val=&quot;00621469&quot;/&gt;&lt;wsp:rsid wsp:val=&quot;006217A3&quot;/&gt;&lt;wsp:rsid wsp:val=&quot;00621D04&quot;/&gt;&lt;wsp:rsid wsp:val=&quot;00621EF6&quot;/&gt;&lt;wsp:rsid wsp:val=&quot;0062218E&quot;/&gt;&lt;wsp:rsid wsp:val=&quot;006223C5&quot;/&gt;&lt;wsp:rsid wsp:val=&quot;006226D9&quot;/&gt;&lt;wsp:rsid wsp:val=&quot;006227A3&quot;/&gt;&lt;wsp:rsid wsp:val=&quot;00622857&quot;/&gt;&lt;wsp:rsid wsp:val=&quot;00622DDC&quot;/&gt;&lt;wsp:rsid wsp:val=&quot;00622F55&quot;/&gt;&lt;wsp:rsid wsp:val=&quot;0062392F&quot;/&gt;&lt;wsp:rsid wsp:val=&quot;00623AEA&quot;/&gt;&lt;wsp:rsid wsp:val=&quot;00623EF3&quot;/&gt;&lt;wsp:rsid wsp:val=&quot;0062407A&quot;/&gt;&lt;wsp:rsid wsp:val=&quot;006242F0&quot;/&gt;&lt;wsp:rsid wsp:val=&quot;006243EC&quot;/&gt;&lt;wsp:rsid wsp:val=&quot;006245DD&quot;/&gt;&lt;wsp:rsid wsp:val=&quot;00624D61&quot;/&gt;&lt;wsp:rsid wsp:val=&quot;00624FA7&quot;/&gt;&lt;wsp:rsid wsp:val=&quot;0062577F&quot;/&gt;&lt;wsp:rsid wsp:val=&quot;006259EC&quot;/&gt;&lt;wsp:rsid wsp:val=&quot;00625B1E&quot;/&gt;&lt;wsp:rsid wsp:val=&quot;00625CD1&quot;/&gt;&lt;wsp:rsid wsp:val=&quot;0062612E&quot;/&gt;&lt;wsp:rsid wsp:val=&quot;0062615D&quot;/&gt;&lt;wsp:rsid wsp:val=&quot;00626276&quot;/&gt;&lt;wsp:rsid wsp:val=&quot;006264D5&quot;/&gt;&lt;wsp:rsid wsp:val=&quot;0062667D&quot;/&gt;&lt;wsp:rsid wsp:val=&quot;006267E9&quot;/&gt;&lt;wsp:rsid wsp:val=&quot;00626876&quot;/&gt;&lt;wsp:rsid wsp:val=&quot;00626F72&quot;/&gt;&lt;wsp:rsid wsp:val=&quot;00626FE3&quot;/&gt;&lt;wsp:rsid wsp:val=&quot;006270E2&quot;/&gt;&lt;wsp:rsid wsp:val=&quot;0062713D&quot;/&gt;&lt;wsp:rsid wsp:val=&quot;00627332&quot;/&gt;&lt;wsp:rsid wsp:val=&quot;006278BC&quot;/&gt;&lt;wsp:rsid wsp:val=&quot;00627A09&quot;/&gt;&lt;wsp:rsid wsp:val=&quot;00627DE4&quot;/&gt;&lt;wsp:rsid wsp:val=&quot;006300A5&quot;/&gt;&lt;wsp:rsid wsp:val=&quot;0063069B&quot;/&gt;&lt;wsp:rsid wsp:val=&quot;00630CE0&quot;/&gt;&lt;wsp:rsid wsp:val=&quot;00631241&quot;/&gt;&lt;wsp:rsid wsp:val=&quot;00631489&quot;/&gt;&lt;wsp:rsid wsp:val=&quot;00631D68&quot;/&gt;&lt;wsp:rsid wsp:val=&quot;0063235E&quot;/&gt;&lt;wsp:rsid wsp:val=&quot;00632421&quot;/&gt;&lt;wsp:rsid wsp:val=&quot;00632AE3&quot;/&gt;&lt;wsp:rsid wsp:val=&quot;00632D4E&quot;/&gt;&lt;wsp:rsid wsp:val=&quot;0063345C&quot;/&gt;&lt;wsp:rsid wsp:val=&quot;00633EC5&quot;/&gt;&lt;wsp:rsid wsp:val=&quot;00634545&quot;/&gt;&lt;wsp:rsid wsp:val=&quot;00635069&quot;/&gt;&lt;wsp:rsid wsp:val=&quot;006350B5&quot;/&gt;&lt;wsp:rsid wsp:val=&quot;0063528A&quot;/&gt;&lt;wsp:rsid wsp:val=&quot;0063595F&quot;/&gt;&lt;wsp:rsid wsp:val=&quot;0063596B&quot;/&gt;&lt;wsp:rsid wsp:val=&quot;00635AB7&quot;/&gt;&lt;wsp:rsid wsp:val=&quot;00635EFC&quot;/&gt;&lt;wsp:rsid wsp:val=&quot;00635F4D&quot;/&gt;&lt;wsp:rsid wsp:val=&quot;006360FC&quot;/&gt;&lt;wsp:rsid wsp:val=&quot;006363B0&quot;/&gt;&lt;wsp:rsid wsp:val=&quot;0063654F&quot;/&gt;&lt;wsp:rsid wsp:val=&quot;006369F7&quot;/&gt;&lt;wsp:rsid wsp:val=&quot;00636BE0&quot;/&gt;&lt;wsp:rsid wsp:val=&quot;0063749D&quot;/&gt;&lt;wsp:rsid wsp:val=&quot;0063771D&quot;/&gt;&lt;wsp:rsid wsp:val=&quot;0063795F&quot;/&gt;&lt;wsp:rsid wsp:val=&quot;00637F48&quot;/&gt;&lt;wsp:rsid wsp:val=&quot;00640631&quot;/&gt;&lt;wsp:rsid wsp:val=&quot;00640A8C&quot;/&gt;&lt;wsp:rsid wsp:val=&quot;00640D8C&quot;/&gt;&lt;wsp:rsid wsp:val=&quot;00641490&quot;/&gt;&lt;wsp:rsid wsp:val=&quot;0064184F&quot;/&gt;&lt;wsp:rsid wsp:val=&quot;00641B62&quot;/&gt;&lt;wsp:rsid wsp:val=&quot;00641E49&quot;/&gt;&lt;wsp:rsid wsp:val=&quot;006420AF&quot;/&gt;&lt;wsp:rsid wsp:val=&quot;00642223&quot;/&gt;&lt;wsp:rsid wsp:val=&quot;0064262B&quot;/&gt;&lt;wsp:rsid wsp:val=&quot;00642A27&quot;/&gt;&lt;wsp:rsid wsp:val=&quot;00642B8A&quot;/&gt;&lt;wsp:rsid wsp:val=&quot;00642ECC&quot;/&gt;&lt;wsp:rsid wsp:val=&quot;006431C3&quot;/&gt;&lt;wsp:rsid wsp:val=&quot;006431DB&quot;/&gt;&lt;wsp:rsid wsp:val=&quot;00643392&quot;/&gt;&lt;wsp:rsid wsp:val=&quot;00643447&quot;/&gt;&lt;wsp:rsid wsp:val=&quot;00643462&quot;/&gt;&lt;wsp:rsid wsp:val=&quot;006437F1&quot;/&gt;&lt;wsp:rsid wsp:val=&quot;00643E5F&quot;/&gt;&lt;wsp:rsid wsp:val=&quot;00643F90&quot;/&gt;&lt;wsp:rsid wsp:val=&quot;0064437A&quot;/&gt;&lt;wsp:rsid wsp:val=&quot;00644513&quot;/&gt;&lt;wsp:rsid wsp:val=&quot;00644784&quot;/&gt;&lt;wsp:rsid wsp:val=&quot;00644BFD&quot;/&gt;&lt;wsp:rsid wsp:val=&quot;00645728&quot;/&gt;&lt;wsp:rsid wsp:val=&quot;00645C8E&quot;/&gt;&lt;wsp:rsid wsp:val=&quot;00645FC2&quot;/&gt;&lt;wsp:rsid wsp:val=&quot;00646136&quot;/&gt;&lt;wsp:rsid wsp:val=&quot;0064614D&quot;/&gt;&lt;wsp:rsid wsp:val=&quot;00646159&quot;/&gt;&lt;wsp:rsid wsp:val=&quot;00646ADF&quot;/&gt;&lt;wsp:rsid wsp:val=&quot;00646E98&quot;/&gt;&lt;wsp:rsid wsp:val=&quot;006470E8&quot;/&gt;&lt;wsp:rsid wsp:val=&quot;006471AA&quot;/&gt;&lt;wsp:rsid wsp:val=&quot;0064762B&quot;/&gt;&lt;wsp:rsid wsp:val=&quot;006479FB&quot;/&gt;&lt;wsp:rsid wsp:val=&quot;00647F4E&quot;/&gt;&lt;wsp:rsid wsp:val=&quot;00650673&quot;/&gt;&lt;wsp:rsid wsp:val=&quot;006507BF&quot;/&gt;&lt;wsp:rsid wsp:val=&quot;006509FC&quot;/&gt;&lt;wsp:rsid wsp:val=&quot;00650D4F&quot;/&gt;&lt;wsp:rsid wsp:val=&quot;00650E1F&quot;/&gt;&lt;wsp:rsid wsp:val=&quot;00650F51&quot;/&gt;&lt;wsp:rsid wsp:val=&quot;006510CD&quot;/&gt;&lt;wsp:rsid wsp:val=&quot;00651160&quot;/&gt;&lt;wsp:rsid wsp:val=&quot;0065129C&quot;/&gt;&lt;wsp:rsid wsp:val=&quot;0065174F&quot;/&gt;&lt;wsp:rsid wsp:val=&quot;00651803&quot;/&gt;&lt;wsp:rsid wsp:val=&quot;00651979&quot;/&gt;&lt;wsp:rsid wsp:val=&quot;00651A8A&quot;/&gt;&lt;wsp:rsid wsp:val=&quot;00652017&quot;/&gt;&lt;wsp:rsid wsp:val=&quot;0065251B&quot;/&gt;&lt;wsp:rsid wsp:val=&quot;00652ADE&quot;/&gt;&lt;wsp:rsid wsp:val=&quot;0065368B&quot;/&gt;&lt;wsp:rsid wsp:val=&quot;006537C8&quot;/&gt;&lt;wsp:rsid wsp:val=&quot;00653AEB&quot;/&gt;&lt;wsp:rsid wsp:val=&quot;00654161&quot;/&gt;&lt;wsp:rsid wsp:val=&quot;006543DB&quot;/&gt;&lt;wsp:rsid wsp:val=&quot;00654CE5&quot;/&gt;&lt;wsp:rsid wsp:val=&quot;00654D86&quot;/&gt;&lt;wsp:rsid wsp:val=&quot;006551F9&quot;/&gt;&lt;wsp:rsid wsp:val=&quot;0065540E&quot;/&gt;&lt;wsp:rsid wsp:val=&quot;006559B0&quot;/&gt;&lt;wsp:rsid wsp:val=&quot;006561C5&quot;/&gt;&lt;wsp:rsid wsp:val=&quot;0065623A&quot;/&gt;&lt;wsp:rsid wsp:val=&quot;00656A16&quot;/&gt;&lt;wsp:rsid wsp:val=&quot;00656C07&quot;/&gt;&lt;wsp:rsid wsp:val=&quot;00657224&quot;/&gt;&lt;wsp:rsid wsp:val=&quot;00657298&quot;/&gt;&lt;wsp:rsid wsp:val=&quot;00657E13&quot;/&gt;&lt;wsp:rsid wsp:val=&quot;00660129&quot;/&gt;&lt;wsp:rsid wsp:val=&quot;006602A5&quot;/&gt;&lt;wsp:rsid wsp:val=&quot;00660EA0&quot;/&gt;&lt;wsp:rsid wsp:val=&quot;00660EB5&quot;/&gt;&lt;wsp:rsid wsp:val=&quot;00660F1A&quot;/&gt;&lt;wsp:rsid wsp:val=&quot;00661281&quot;/&gt;&lt;wsp:rsid wsp:val=&quot;006614BB&quot;/&gt;&lt;wsp:rsid wsp:val=&quot;00661BAE&quot;/&gt;&lt;wsp:rsid wsp:val=&quot;00661D4C&quot;/&gt;&lt;wsp:rsid wsp:val=&quot;00661F6A&quot;/&gt;&lt;wsp:rsid wsp:val=&quot;00662647&quot;/&gt;&lt;wsp:rsid wsp:val=&quot;006627B8&quot;/&gt;&lt;wsp:rsid wsp:val=&quot;00662857&quot;/&gt;&lt;wsp:rsid wsp:val=&quot;00662971&quot;/&gt;&lt;wsp:rsid wsp:val=&quot;00662B06&quot;/&gt;&lt;wsp:rsid wsp:val=&quot;00662FAB&quot;/&gt;&lt;wsp:rsid wsp:val=&quot;006632F3&quot;/&gt;&lt;wsp:rsid wsp:val=&quot;006638BE&quot;/&gt;&lt;wsp:rsid wsp:val=&quot;00663B1D&quot;/&gt;&lt;wsp:rsid wsp:val=&quot;00663C31&quot;/&gt;&lt;wsp:rsid wsp:val=&quot;00663C78&quot;/&gt;&lt;wsp:rsid wsp:val=&quot;00663F87&quot;/&gt;&lt;wsp:rsid wsp:val=&quot;00663FF8&quot;/&gt;&lt;wsp:rsid wsp:val=&quot;00664239&quot;/&gt;&lt;wsp:rsid wsp:val=&quot;006642D3&quot;/&gt;&lt;wsp:rsid wsp:val=&quot;006648F8&quot;/&gt;&lt;wsp:rsid wsp:val=&quot;00664930&quot;/&gt;&lt;wsp:rsid wsp:val=&quot;00664A22&quot;/&gt;&lt;wsp:rsid wsp:val=&quot;00664AF8&quot;/&gt;&lt;wsp:rsid wsp:val=&quot;00665012&quot;/&gt;&lt;wsp:rsid wsp:val=&quot;006651FC&quot;/&gt;&lt;wsp:rsid wsp:val=&quot;00665343&quot;/&gt;&lt;wsp:rsid wsp:val=&quot;006655AD&quot;/&gt;&lt;wsp:rsid wsp:val=&quot;006659B7&quot;/&gt;&lt;wsp:rsid wsp:val=&quot;00665B99&quot;/&gt;&lt;wsp:rsid wsp:val=&quot;00666106&quot;/&gt;&lt;wsp:rsid wsp:val=&quot;006662AF&quot;/&gt;&lt;wsp:rsid wsp:val=&quot;0066679D&quot;/&gt;&lt;wsp:rsid wsp:val=&quot;00666B4F&quot;/&gt;&lt;wsp:rsid wsp:val=&quot;00666FA8&quot;/&gt;&lt;wsp:rsid wsp:val=&quot;00667403&quot;/&gt;&lt;wsp:rsid wsp:val=&quot;0066746B&quot;/&gt;&lt;wsp:rsid wsp:val=&quot;006676C5&quot;/&gt;&lt;wsp:rsid wsp:val=&quot;00667AA9&quot;/&gt;&lt;wsp:rsid wsp:val=&quot;00670520&quot;/&gt;&lt;wsp:rsid wsp:val=&quot;006706ED&quot;/&gt;&lt;wsp:rsid wsp:val=&quot;00670865&quot;/&gt;&lt;wsp:rsid wsp:val=&quot;006709EE&quot;/&gt;&lt;wsp:rsid wsp:val=&quot;00670FD3&quot;/&gt;&lt;wsp:rsid wsp:val=&quot;006711C3&quot;/&gt;&lt;wsp:rsid wsp:val=&quot;006714A8&quot;/&gt;&lt;wsp:rsid wsp:val=&quot;006715FA&quot;/&gt;&lt;wsp:rsid wsp:val=&quot;006717A7&quot;/&gt;&lt;wsp:rsid wsp:val=&quot;00671BEC&quot;/&gt;&lt;wsp:rsid wsp:val=&quot;00671C9B&quot;/&gt;&lt;wsp:rsid wsp:val=&quot;00671D4A&quot;/&gt;&lt;wsp:rsid wsp:val=&quot;00672310&quot;/&gt;&lt;wsp:rsid wsp:val=&quot;006723C1&quot;/&gt;&lt;wsp:rsid wsp:val=&quot;006726C5&quot;/&gt;&lt;wsp:rsid wsp:val=&quot;006728DA&quot;/&gt;&lt;wsp:rsid wsp:val=&quot;00672995&quot;/&gt;&lt;wsp:rsid wsp:val=&quot;00672ADD&quot;/&gt;&lt;wsp:rsid wsp:val=&quot;00672BA9&quot;/&gt;&lt;wsp:rsid wsp:val=&quot;00672CCB&quot;/&gt;&lt;wsp:rsid wsp:val=&quot;00672CF8&quot;/&gt;&lt;wsp:rsid wsp:val=&quot;00673040&quot;/&gt;&lt;wsp:rsid wsp:val=&quot;00673567&quot;/&gt;&lt;wsp:rsid wsp:val=&quot;00673DF6&quot;/&gt;&lt;wsp:rsid wsp:val=&quot;00673E3B&quot;/&gt;&lt;wsp:rsid wsp:val=&quot;00673EFD&quot;/&gt;&lt;wsp:rsid wsp:val=&quot;006741C6&quot;/&gt;&lt;wsp:rsid wsp:val=&quot;006742EE&quot;/&gt;&lt;wsp:rsid wsp:val=&quot;006746B9&quot;/&gt;&lt;wsp:rsid wsp:val=&quot;006746BC&quot;/&gt;&lt;wsp:rsid wsp:val=&quot;0067497C&quot;/&gt;&lt;wsp:rsid wsp:val=&quot;006749ED&quot;/&gt;&lt;wsp:rsid wsp:val=&quot;0067515D&quot;/&gt;&lt;wsp:rsid wsp:val=&quot;0067517C&quot;/&gt;&lt;wsp:rsid wsp:val=&quot;0067575D&quot;/&gt;&lt;wsp:rsid wsp:val=&quot;00675FE0&quot;/&gt;&lt;wsp:rsid wsp:val=&quot;00676050&quot;/&gt;&lt;wsp:rsid wsp:val=&quot;006763A3&quot;/&gt;&lt;wsp:rsid wsp:val=&quot;00676663&quot;/&gt;&lt;wsp:rsid wsp:val=&quot;006766B7&quot;/&gt;&lt;wsp:rsid wsp:val=&quot;006768A4&quot;/&gt;&lt;wsp:rsid wsp:val=&quot;00676C34&quot;/&gt;&lt;wsp:rsid wsp:val=&quot;00676E60&quot;/&gt;&lt;wsp:rsid wsp:val=&quot;00677122&quot;/&gt;&lt;wsp:rsid wsp:val=&quot;0067743C&quot;/&gt;&lt;wsp:rsid wsp:val=&quot;006779D8&quot;/&gt;&lt;wsp:rsid wsp:val=&quot;00677A34&quot;/&gt;&lt;wsp:rsid wsp:val=&quot;00677B37&quot;/&gt;&lt;wsp:rsid wsp:val=&quot;00677DEB&quot;/&gt;&lt;wsp:rsid wsp:val=&quot;00680488&quot;/&gt;&lt;wsp:rsid wsp:val=&quot;00680574&quot;/&gt;&lt;wsp:rsid wsp:val=&quot;006805C0&quot;/&gt;&lt;wsp:rsid wsp:val=&quot;00680663&quot;/&gt;&lt;wsp:rsid wsp:val=&quot;00680F3C&quot;/&gt;&lt;wsp:rsid wsp:val=&quot;0068127D&quot;/&gt;&lt;wsp:rsid wsp:val=&quot;00681DBF&quot;/&gt;&lt;wsp:rsid wsp:val=&quot;00682184&quot;/&gt;&lt;wsp:rsid wsp:val=&quot;006829F2&quot;/&gt;&lt;wsp:rsid wsp:val=&quot;0068310B&quot;/&gt;&lt;wsp:rsid wsp:val=&quot;00683281&quot;/&gt;&lt;wsp:rsid wsp:val=&quot;0068357D&quot;/&gt;&lt;wsp:rsid wsp:val=&quot;006835C7&quot;/&gt;&lt;wsp:rsid wsp:val=&quot;00683A27&quot;/&gt;&lt;wsp:rsid wsp:val=&quot;00683AB8&quot;/&gt;&lt;wsp:rsid wsp:val=&quot;00684040&quot;/&gt;&lt;wsp:rsid wsp:val=&quot;0068404B&quot;/&gt;&lt;wsp:rsid wsp:val=&quot;0068405C&quot;/&gt;&lt;wsp:rsid wsp:val=&quot;006841EF&quot;/&gt;&lt;wsp:rsid wsp:val=&quot;006843AB&quot;/&gt;&lt;wsp:rsid wsp:val=&quot;0068457A&quot;/&gt;&lt;wsp:rsid wsp:val=&quot;0068460D&quot;/&gt;&lt;wsp:rsid wsp:val=&quot;0068515F&quot;/&gt;&lt;wsp:rsid wsp:val=&quot;00685188&quot;/&gt;&lt;wsp:rsid wsp:val=&quot;006858CE&quot;/&gt;&lt;wsp:rsid wsp:val=&quot;006859F6&quot;/&gt;&lt;wsp:rsid wsp:val=&quot;00685E06&quot;/&gt;&lt;wsp:rsid wsp:val=&quot;00686281&quot;/&gt;&lt;wsp:rsid wsp:val=&quot;006862C0&quot;/&gt;&lt;wsp:rsid wsp:val=&quot;006862CD&quot;/&gt;&lt;wsp:rsid wsp:val=&quot;00686434&quot;/&gt;&lt;wsp:rsid wsp:val=&quot;00686967&quot;/&gt;&lt;wsp:rsid wsp:val=&quot;00686DF4&quot;/&gt;&lt;wsp:rsid wsp:val=&quot;00686EE2&quot;/&gt;&lt;wsp:rsid wsp:val=&quot;006872CF&quot;/&gt;&lt;wsp:rsid wsp:val=&quot;00687A8A&quot;/&gt;&lt;wsp:rsid wsp:val=&quot;00687BB3&quot;/&gt;&lt;wsp:rsid wsp:val=&quot;00687DDA&quot;/&gt;&lt;wsp:rsid wsp:val=&quot;00687F39&quot;/&gt;&lt;wsp:rsid wsp:val=&quot;006903A9&quot;/&gt;&lt;wsp:rsid wsp:val=&quot;00690466&quot;/&gt;&lt;wsp:rsid wsp:val=&quot;00690684&quot;/&gt;&lt;wsp:rsid wsp:val=&quot;00690D12&quot;/&gt;&lt;wsp:rsid wsp:val=&quot;00691069&quot;/&gt;&lt;wsp:rsid wsp:val=&quot;00691498&quot;/&gt;&lt;wsp:rsid wsp:val=&quot;0069193D&quot;/&gt;&lt;wsp:rsid wsp:val=&quot;00691A80&quot;/&gt;&lt;wsp:rsid wsp:val=&quot;00692016&quot;/&gt;&lt;wsp:rsid wsp:val=&quot;006922A3&quot;/&gt;&lt;wsp:rsid wsp:val=&quot;00692E59&quot;/&gt;&lt;wsp:rsid wsp:val=&quot;0069309E&quot;/&gt;&lt;wsp:rsid wsp:val=&quot;006930A2&quot;/&gt;&lt;wsp:rsid wsp:val=&quot;0069351F&quot;/&gt;&lt;wsp:rsid wsp:val=&quot;00693AD5&quot;/&gt;&lt;wsp:rsid wsp:val=&quot;00693C5D&quot;/&gt;&lt;wsp:rsid wsp:val=&quot;00694C29&quot;/&gt;&lt;wsp:rsid wsp:val=&quot;00695015&quot;/&gt;&lt;wsp:rsid wsp:val=&quot;00695334&quot;/&gt;&lt;wsp:rsid wsp:val=&quot;00695491&quot;/&gt;&lt;wsp:rsid wsp:val=&quot;006955E6&quot;/&gt;&lt;wsp:rsid wsp:val=&quot;00695B0C&quot;/&gt;&lt;wsp:rsid wsp:val=&quot;00695F3C&quot;/&gt;&lt;wsp:rsid wsp:val=&quot;0069625B&quot;/&gt;&lt;wsp:rsid wsp:val=&quot;00696525&quot;/&gt;&lt;wsp:rsid wsp:val=&quot;00696657&quot;/&gt;&lt;wsp:rsid wsp:val=&quot;006966BB&quot;/&gt;&lt;wsp:rsid wsp:val=&quot;00696F99&quot;/&gt;&lt;wsp:rsid wsp:val=&quot;00697280&quot;/&gt;&lt;wsp:rsid wsp:val=&quot;00697553&quot;/&gt;&lt;wsp:rsid wsp:val=&quot;00697731&quot;/&gt;&lt;wsp:rsid wsp:val=&quot;00697D69&quot;/&gt;&lt;wsp:rsid wsp:val=&quot;006A07B0&quot;/&gt;&lt;wsp:rsid wsp:val=&quot;006A0B33&quot;/&gt;&lt;wsp:rsid wsp:val=&quot;006A0D22&quot;/&gt;&lt;wsp:rsid wsp:val=&quot;006A0EE8&quot;/&gt;&lt;wsp:rsid wsp:val=&quot;006A10FD&quot;/&gt;&lt;wsp:rsid wsp:val=&quot;006A154A&quot;/&gt;&lt;wsp:rsid wsp:val=&quot;006A183A&quot;/&gt;&lt;wsp:rsid wsp:val=&quot;006A1BD3&quot;/&gt;&lt;wsp:rsid wsp:val=&quot;006A1F30&quot;/&gt;&lt;wsp:rsid wsp:val=&quot;006A1FCF&quot;/&gt;&lt;wsp:rsid wsp:val=&quot;006A24BD&quot;/&gt;&lt;wsp:rsid wsp:val=&quot;006A2538&quot;/&gt;&lt;wsp:rsid wsp:val=&quot;006A275F&quot;/&gt;&lt;wsp:rsid wsp:val=&quot;006A27D9&quot;/&gt;&lt;wsp:rsid wsp:val=&quot;006A2A5E&quot;/&gt;&lt;wsp:rsid wsp:val=&quot;006A2E58&quot;/&gt;&lt;wsp:rsid wsp:val=&quot;006A2E8D&quot;/&gt;&lt;wsp:rsid wsp:val=&quot;006A3080&quot;/&gt;&lt;wsp:rsid wsp:val=&quot;006A30B7&quot;/&gt;&lt;wsp:rsid wsp:val=&quot;006A3443&quot;/&gt;&lt;wsp:rsid wsp:val=&quot;006A350D&quot;/&gt;&lt;wsp:rsid wsp:val=&quot;006A376F&quot;/&gt;&lt;wsp:rsid wsp:val=&quot;006A3796&quot;/&gt;&lt;wsp:rsid wsp:val=&quot;006A37EF&quot;/&gt;&lt;wsp:rsid wsp:val=&quot;006A3D61&quot;/&gt;&lt;wsp:rsid wsp:val=&quot;006A3D77&quot;/&gt;&lt;wsp:rsid wsp:val=&quot;006A4B64&quot;/&gt;&lt;wsp:rsid wsp:val=&quot;006A4D14&quot;/&gt;&lt;wsp:rsid wsp:val=&quot;006A4E62&quot;/&gt;&lt;wsp:rsid wsp:val=&quot;006A4EB8&quot;/&gt;&lt;wsp:rsid wsp:val=&quot;006A4F4B&quot;/&gt;&lt;wsp:rsid wsp:val=&quot;006A5004&quot;/&gt;&lt;wsp:rsid wsp:val=&quot;006A53B7&quot;/&gt;&lt;wsp:rsid wsp:val=&quot;006A53F0&quot;/&gt;&lt;wsp:rsid wsp:val=&quot;006A5469&quot;/&gt;&lt;wsp:rsid wsp:val=&quot;006A58AA&quot;/&gt;&lt;wsp:rsid wsp:val=&quot;006A6045&quot;/&gt;&lt;wsp:rsid wsp:val=&quot;006A60ED&quot;/&gt;&lt;wsp:rsid wsp:val=&quot;006A68A8&quot;/&gt;&lt;wsp:rsid wsp:val=&quot;006A6A47&quot;/&gt;&lt;wsp:rsid wsp:val=&quot;006A6E30&quot;/&gt;&lt;wsp:rsid wsp:val=&quot;006A6FDC&quot;/&gt;&lt;wsp:rsid wsp:val=&quot;006A706A&quot;/&gt;&lt;wsp:rsid wsp:val=&quot;006A70D8&quot;/&gt;&lt;wsp:rsid wsp:val=&quot;006A76ED&quot;/&gt;&lt;wsp:rsid wsp:val=&quot;006A77CF&quot;/&gt;&lt;wsp:rsid wsp:val=&quot;006A7DEC&quot;/&gt;&lt;wsp:rsid wsp:val=&quot;006B02DE&quot;/&gt;&lt;wsp:rsid wsp:val=&quot;006B034F&quot;/&gt;&lt;wsp:rsid wsp:val=&quot;006B038A&quot;/&gt;&lt;wsp:rsid wsp:val=&quot;006B0F8C&quot;/&gt;&lt;wsp:rsid wsp:val=&quot;006B0FC1&quot;/&gt;&lt;wsp:rsid wsp:val=&quot;006B10BC&quot;/&gt;&lt;wsp:rsid wsp:val=&quot;006B13A5&quot;/&gt;&lt;wsp:rsid wsp:val=&quot;006B18F3&quot;/&gt;&lt;wsp:rsid wsp:val=&quot;006B1927&quot;/&gt;&lt;wsp:rsid wsp:val=&quot;006B1FBD&quot;/&gt;&lt;wsp:rsid wsp:val=&quot;006B259B&quot;/&gt;&lt;wsp:rsid wsp:val=&quot;006B2A8B&quot;/&gt;&lt;wsp:rsid wsp:val=&quot;006B2F9E&quot;/&gt;&lt;wsp:rsid wsp:val=&quot;006B322F&quot;/&gt;&lt;wsp:rsid wsp:val=&quot;006B33D4&quot;/&gt;&lt;wsp:rsid wsp:val=&quot;006B373C&quot;/&gt;&lt;wsp:rsid wsp:val=&quot;006B376E&quot;/&gt;&lt;wsp:rsid wsp:val=&quot;006B3792&quot;/&gt;&lt;wsp:rsid wsp:val=&quot;006B40BB&quot;/&gt;&lt;wsp:rsid wsp:val=&quot;006B40EE&quot;/&gt;&lt;wsp:rsid wsp:val=&quot;006B44A3&quot;/&gt;&lt;wsp:rsid wsp:val=&quot;006B474C&quot;/&gt;&lt;wsp:rsid wsp:val=&quot;006B49F4&quot;/&gt;&lt;wsp:rsid wsp:val=&quot;006B4AB7&quot;/&gt;&lt;wsp:rsid wsp:val=&quot;006B5043&quot;/&gt;&lt;wsp:rsid wsp:val=&quot;006B51AE&quot;/&gt;&lt;wsp:rsid wsp:val=&quot;006B530D&quot;/&gt;&lt;wsp:rsid wsp:val=&quot;006B53EE&quot;/&gt;&lt;wsp:rsid wsp:val=&quot;006B54D5&quot;/&gt;&lt;wsp:rsid wsp:val=&quot;006B595C&quot;/&gt;&lt;wsp:rsid wsp:val=&quot;006B5B02&quot;/&gt;&lt;wsp:rsid wsp:val=&quot;006B5B3E&quot;/&gt;&lt;wsp:rsid wsp:val=&quot;006B6138&quot;/&gt;&lt;wsp:rsid wsp:val=&quot;006B660F&quot;/&gt;&lt;wsp:rsid wsp:val=&quot;006B67A5&quot;/&gt;&lt;wsp:rsid wsp:val=&quot;006B69B9&quot;/&gt;&lt;wsp:rsid wsp:val=&quot;006B6A63&quot;/&gt;&lt;wsp:rsid wsp:val=&quot;006B6C85&quot;/&gt;&lt;wsp:rsid wsp:val=&quot;006B6ECE&quot;/&gt;&lt;wsp:rsid wsp:val=&quot;006B6F30&quot;/&gt;&lt;wsp:rsid wsp:val=&quot;006B76FD&quot;/&gt;&lt;wsp:rsid wsp:val=&quot;006B7AD4&quot;/&gt;&lt;wsp:rsid wsp:val=&quot;006C00BF&quot;/&gt;&lt;wsp:rsid wsp:val=&quot;006C0191&quot;/&gt;&lt;wsp:rsid wsp:val=&quot;006C01B1&quot;/&gt;&lt;wsp:rsid wsp:val=&quot;006C05C4&quot;/&gt;&lt;wsp:rsid wsp:val=&quot;006C062C&quot;/&gt;&lt;wsp:rsid wsp:val=&quot;006C0771&quot;/&gt;&lt;wsp:rsid wsp:val=&quot;006C1095&quot;/&gt;&lt;wsp:rsid wsp:val=&quot;006C12C6&quot;/&gt;&lt;wsp:rsid wsp:val=&quot;006C1522&quot;/&gt;&lt;wsp:rsid wsp:val=&quot;006C1ECD&quot;/&gt;&lt;wsp:rsid wsp:val=&quot;006C20A0&quot;/&gt;&lt;wsp:rsid wsp:val=&quot;006C2549&quot;/&gt;&lt;wsp:rsid wsp:val=&quot;006C254F&quot;/&gt;&lt;wsp:rsid wsp:val=&quot;006C2893&quot;/&gt;&lt;wsp:rsid wsp:val=&quot;006C2AA7&quot;/&gt;&lt;wsp:rsid wsp:val=&quot;006C2BEC&quot;/&gt;&lt;wsp:rsid wsp:val=&quot;006C33CE&quot;/&gt;&lt;wsp:rsid wsp:val=&quot;006C357C&quot;/&gt;&lt;wsp:rsid wsp:val=&quot;006C361E&quot;/&gt;&lt;wsp:rsid wsp:val=&quot;006C3ED3&quot;/&gt;&lt;wsp:rsid wsp:val=&quot;006C5141&quot;/&gt;&lt;wsp:rsid wsp:val=&quot;006C5191&quot;/&gt;&lt;wsp:rsid wsp:val=&quot;006C5F7C&quot;/&gt;&lt;wsp:rsid wsp:val=&quot;006C6093&quot;/&gt;&lt;wsp:rsid wsp:val=&quot;006C669D&quot;/&gt;&lt;wsp:rsid wsp:val=&quot;006C6EC7&quot;/&gt;&lt;wsp:rsid wsp:val=&quot;006C77A2&quot;/&gt;&lt;wsp:rsid wsp:val=&quot;006C7ABE&quot;/&gt;&lt;wsp:rsid wsp:val=&quot;006C7C3B&quot;/&gt;&lt;wsp:rsid wsp:val=&quot;006D0013&quot;/&gt;&lt;wsp:rsid wsp:val=&quot;006D081C&quot;/&gt;&lt;wsp:rsid wsp:val=&quot;006D15EF&quot;/&gt;&lt;wsp:rsid wsp:val=&quot;006D1757&quot;/&gt;&lt;wsp:rsid wsp:val=&quot;006D1C73&quot;/&gt;&lt;wsp:rsid wsp:val=&quot;006D1E4A&quot;/&gt;&lt;wsp:rsid wsp:val=&quot;006D209C&quot;/&gt;&lt;wsp:rsid wsp:val=&quot;006D226C&quot;/&gt;&lt;wsp:rsid wsp:val=&quot;006D26AD&quot;/&gt;&lt;wsp:rsid wsp:val=&quot;006D2947&quot;/&gt;&lt;wsp:rsid wsp:val=&quot;006D2A72&quot;/&gt;&lt;wsp:rsid wsp:val=&quot;006D2A7F&quot;/&gt;&lt;wsp:rsid wsp:val=&quot;006D2B78&quot;/&gt;&lt;wsp:rsid wsp:val=&quot;006D2E52&quot;/&gt;&lt;wsp:rsid wsp:val=&quot;006D36E8&quot;/&gt;&lt;wsp:rsid wsp:val=&quot;006D3E7D&quot;/&gt;&lt;wsp:rsid wsp:val=&quot;006D3F95&quot;/&gt;&lt;wsp:rsid wsp:val=&quot;006D410B&quot;/&gt;&lt;wsp:rsid wsp:val=&quot;006D43AB&quot;/&gt;&lt;wsp:rsid wsp:val=&quot;006D4695&quot;/&gt;&lt;wsp:rsid wsp:val=&quot;006D4746&quot;/&gt;&lt;wsp:rsid wsp:val=&quot;006D54A3&quot;/&gt;&lt;wsp:rsid wsp:val=&quot;006D54E8&quot;/&gt;&lt;wsp:rsid wsp:val=&quot;006D636C&quot;/&gt;&lt;wsp:rsid wsp:val=&quot;006D63D7&quot;/&gt;&lt;wsp:rsid wsp:val=&quot;006D685E&quot;/&gt;&lt;wsp:rsid wsp:val=&quot;006D68DB&quot;/&gt;&lt;wsp:rsid wsp:val=&quot;006D6A1E&quot;/&gt;&lt;wsp:rsid wsp:val=&quot;006D6C69&quot;/&gt;&lt;wsp:rsid wsp:val=&quot;006D6D66&quot;/&gt;&lt;wsp:rsid wsp:val=&quot;006D6EB7&quot;/&gt;&lt;wsp:rsid wsp:val=&quot;006D7689&quot;/&gt;&lt;wsp:rsid wsp:val=&quot;006E0634&quot;/&gt;&lt;wsp:rsid wsp:val=&quot;006E086C&quot;/&gt;&lt;wsp:rsid wsp:val=&quot;006E180D&quot;/&gt;&lt;wsp:rsid wsp:val=&quot;006E18EA&quot;/&gt;&lt;wsp:rsid wsp:val=&quot;006E1DFB&quot;/&gt;&lt;wsp:rsid wsp:val=&quot;006E1E8E&quot;/&gt;&lt;wsp:rsid wsp:val=&quot;006E26A7&quot;/&gt;&lt;wsp:rsid wsp:val=&quot;006E2832&quot;/&gt;&lt;wsp:rsid wsp:val=&quot;006E2EA0&quot;/&gt;&lt;wsp:rsid wsp:val=&quot;006E311D&quot;/&gt;&lt;wsp:rsid wsp:val=&quot;006E320C&quot;/&gt;&lt;wsp:rsid wsp:val=&quot;006E3245&quot;/&gt;&lt;wsp:rsid wsp:val=&quot;006E33A2&quot;/&gt;&lt;wsp:rsid wsp:val=&quot;006E35DA&quot;/&gt;&lt;wsp:rsid wsp:val=&quot;006E371D&quot;/&gt;&lt;wsp:rsid wsp:val=&quot;006E39D3&quot;/&gt;&lt;wsp:rsid wsp:val=&quot;006E3A49&quot;/&gt;&lt;wsp:rsid wsp:val=&quot;006E3C78&quot;/&gt;&lt;wsp:rsid wsp:val=&quot;006E41FB&quot;/&gt;&lt;wsp:rsid wsp:val=&quot;006E4295&quot;/&gt;&lt;wsp:rsid wsp:val=&quot;006E439A&quot;/&gt;&lt;wsp:rsid wsp:val=&quot;006E4844&quot;/&gt;&lt;wsp:rsid wsp:val=&quot;006E4B63&quot;/&gt;&lt;wsp:rsid wsp:val=&quot;006E4CD3&quot;/&gt;&lt;wsp:rsid wsp:val=&quot;006E4F57&quot;/&gt;&lt;wsp:rsid wsp:val=&quot;006E521E&quot;/&gt;&lt;wsp:rsid wsp:val=&quot;006E54C7&quot;/&gt;&lt;wsp:rsid wsp:val=&quot;006E58C0&quot;/&gt;&lt;wsp:rsid wsp:val=&quot;006E5A2F&quot;/&gt;&lt;wsp:rsid wsp:val=&quot;006E5A89&quot;/&gt;&lt;wsp:rsid wsp:val=&quot;006E5C7C&quot;/&gt;&lt;wsp:rsid wsp:val=&quot;006E5D25&quot;/&gt;&lt;wsp:rsid wsp:val=&quot;006E5D9B&quot;/&gt;&lt;wsp:rsid wsp:val=&quot;006E6D4F&quot;/&gt;&lt;wsp:rsid wsp:val=&quot;006E6D51&quot;/&gt;&lt;wsp:rsid wsp:val=&quot;006E6E20&quot;/&gt;&lt;wsp:rsid wsp:val=&quot;006E6E2A&quot;/&gt;&lt;wsp:rsid wsp:val=&quot;006E7567&quot;/&gt;&lt;wsp:rsid wsp:val=&quot;006F00AE&quot;/&gt;&lt;wsp:rsid wsp:val=&quot;006F07E7&quot;/&gt;&lt;wsp:rsid wsp:val=&quot;006F07E8&quot;/&gt;&lt;wsp:rsid wsp:val=&quot;006F0B29&quot;/&gt;&lt;wsp:rsid wsp:val=&quot;006F0BB2&quot;/&gt;&lt;wsp:rsid wsp:val=&quot;006F1257&quot;/&gt;&lt;wsp:rsid wsp:val=&quot;006F130F&quot;/&gt;&lt;wsp:rsid wsp:val=&quot;006F1669&quot;/&gt;&lt;wsp:rsid wsp:val=&quot;006F1828&quot;/&gt;&lt;wsp:rsid wsp:val=&quot;006F18DE&quot;/&gt;&lt;wsp:rsid wsp:val=&quot;006F1C57&quot;/&gt;&lt;wsp:rsid wsp:val=&quot;006F1E5F&quot;/&gt;&lt;wsp:rsid wsp:val=&quot;006F2839&quot;/&gt;&lt;wsp:rsid wsp:val=&quot;006F291C&quot;/&gt;&lt;wsp:rsid wsp:val=&quot;006F2D5F&quot;/&gt;&lt;wsp:rsid wsp:val=&quot;006F3637&quot;/&gt;&lt;wsp:rsid wsp:val=&quot;006F4419&quot;/&gt;&lt;wsp:rsid wsp:val=&quot;006F4495&quot;/&gt;&lt;wsp:rsid wsp:val=&quot;006F4E97&quot;/&gt;&lt;wsp:rsid wsp:val=&quot;006F5710&quot;/&gt;&lt;wsp:rsid wsp:val=&quot;006F5796&quot;/&gt;&lt;wsp:rsid wsp:val=&quot;006F5A23&quot;/&gt;&lt;wsp:rsid wsp:val=&quot;006F5D32&quot;/&gt;&lt;wsp:rsid wsp:val=&quot;006F5E6B&quot;/&gt;&lt;wsp:rsid wsp:val=&quot;006F5F7E&quot;/&gt;&lt;wsp:rsid wsp:val=&quot;006F61A7&quot;/&gt;&lt;wsp:rsid wsp:val=&quot;006F66DD&quot;/&gt;&lt;wsp:rsid wsp:val=&quot;006F6F6C&quot;/&gt;&lt;wsp:rsid wsp:val=&quot;006F74DE&quot;/&gt;&lt;wsp:rsid wsp:val=&quot;006F769C&quot;/&gt;&lt;wsp:rsid wsp:val=&quot;006F7778&quot;/&gt;&lt;wsp:rsid wsp:val=&quot;006F7CA7&quot;/&gt;&lt;wsp:rsid wsp:val=&quot;00700907&quot;/&gt;&lt;wsp:rsid wsp:val=&quot;00700C00&quot;/&gt;&lt;wsp:rsid wsp:val=&quot;00700D1A&quot;/&gt;&lt;wsp:rsid wsp:val=&quot;007013F4&quot;/&gt;&lt;wsp:rsid wsp:val=&quot;00701714&quot;/&gt;&lt;wsp:rsid wsp:val=&quot;007017F4&quot;/&gt;&lt;wsp:rsid wsp:val=&quot;00701BD4&quot;/&gt;&lt;wsp:rsid wsp:val=&quot;00701E52&quot;/&gt;&lt;wsp:rsid wsp:val=&quot;007020AC&quot;/&gt;&lt;wsp:rsid wsp:val=&quot;007027F1&quot;/&gt;&lt;wsp:rsid wsp:val=&quot;00702D57&quot;/&gt;&lt;wsp:rsid wsp:val=&quot;00702EDD&quot;/&gt;&lt;wsp:rsid wsp:val=&quot;00703226&quot;/&gt;&lt;wsp:rsid wsp:val=&quot;00703705&quot;/&gt;&lt;wsp:rsid wsp:val=&quot;0070387D&quot;/&gt;&lt;wsp:rsid wsp:val=&quot;00703A1B&quot;/&gt;&lt;wsp:rsid wsp:val=&quot;0070411E&quot;/&gt;&lt;wsp:rsid wsp:val=&quot;007042E0&quot;/&gt;&lt;wsp:rsid wsp:val=&quot;007044B9&quot;/&gt;&lt;wsp:rsid wsp:val=&quot;00704D54&quot;/&gt;&lt;wsp:rsid wsp:val=&quot;00705021&quot;/&gt;&lt;wsp:rsid wsp:val=&quot;007051F7&quot;/&gt;&lt;wsp:rsid wsp:val=&quot;00705341&quot;/&gt;&lt;wsp:rsid wsp:val=&quot;0070545F&quot;/&gt;&lt;wsp:rsid wsp:val=&quot;00705FC5&quot;/&gt;&lt;wsp:rsid wsp:val=&quot;00705FD4&quot;/&gt;&lt;wsp:rsid wsp:val=&quot;0070670F&quot;/&gt;&lt;wsp:rsid wsp:val=&quot;00707129&quot;/&gt;&lt;wsp:rsid wsp:val=&quot;007075A4&quot;/&gt;&lt;wsp:rsid wsp:val=&quot;00707623&quot;/&gt;&lt;wsp:rsid wsp:val=&quot;00707C79&quot;/&gt;&lt;wsp:rsid wsp:val=&quot;00707E25&quot;/&gt;&lt;wsp:rsid wsp:val=&quot;00707F4F&quot;/&gt;&lt;wsp:rsid wsp:val=&quot;00710A6A&quot;/&gt;&lt;wsp:rsid wsp:val=&quot;00710BE7&quot;/&gt;&lt;wsp:rsid wsp:val=&quot;00711A58&quot;/&gt;&lt;wsp:rsid wsp:val=&quot;00711BB1&quot;/&gt;&lt;wsp:rsid wsp:val=&quot;00712131&quot;/&gt;&lt;wsp:rsid wsp:val=&quot;007125C5&quot;/&gt;&lt;wsp:rsid wsp:val=&quot;007126F3&quot;/&gt;&lt;wsp:rsid wsp:val=&quot;00712CF5&quot;/&gt;&lt;wsp:rsid wsp:val=&quot;007133A4&quot;/&gt;&lt;wsp:rsid wsp:val=&quot;00713762&quot;/&gt;&lt;wsp:rsid wsp:val=&quot;00713A6C&quot;/&gt;&lt;wsp:rsid wsp:val=&quot;00714097&quot;/&gt;&lt;wsp:rsid wsp:val=&quot;007144E2&quot;/&gt;&lt;wsp:rsid wsp:val=&quot;007145A0&quot;/&gt;&lt;wsp:rsid wsp:val=&quot;00714960&quot;/&gt;&lt;wsp:rsid wsp:val=&quot;00714B14&quot;/&gt;&lt;wsp:rsid wsp:val=&quot;00714B81&quot;/&gt;&lt;wsp:rsid wsp:val=&quot;00714BC7&quot;/&gt;&lt;wsp:rsid wsp:val=&quot;00714D74&quot;/&gt;&lt;wsp:rsid wsp:val=&quot;007153E9&quot;/&gt;&lt;wsp:rsid wsp:val=&quot;007156FA&quot;/&gt;&lt;wsp:rsid wsp:val=&quot;007159BC&quot;/&gt;&lt;wsp:rsid wsp:val=&quot;007159D5&quot;/&gt;&lt;wsp:rsid wsp:val=&quot;00715DCF&quot;/&gt;&lt;wsp:rsid wsp:val=&quot;00715E2C&quot;/&gt;&lt;wsp:rsid wsp:val=&quot;00715E71&quot;/&gt;&lt;wsp:rsid wsp:val=&quot;00716358&quot;/&gt;&lt;wsp:rsid wsp:val=&quot;00716B47&quot;/&gt;&lt;wsp:rsid wsp:val=&quot;00716E9F&quot;/&gt;&lt;wsp:rsid wsp:val=&quot;007170C2&quot;/&gt;&lt;wsp:rsid wsp:val=&quot;0071733E&quot;/&gt;&lt;wsp:rsid wsp:val=&quot;00717779&quot;/&gt;&lt;wsp:rsid wsp:val=&quot;00717848&quot;/&gt;&lt;wsp:rsid wsp:val=&quot;00717D5F&quot;/&gt;&lt;wsp:rsid wsp:val=&quot;00717EFA&quot;/&gt;&lt;wsp:rsid wsp:val=&quot;00720301&quot;/&gt;&lt;wsp:rsid wsp:val=&quot;0072051C&quot;/&gt;&lt;wsp:rsid wsp:val=&quot;00720AAA&quot;/&gt;&lt;wsp:rsid wsp:val=&quot;00720D20&quot;/&gt;&lt;wsp:rsid wsp:val=&quot;00720E75&quot;/&gt;&lt;wsp:rsid wsp:val=&quot;00720ECB&quot;/&gt;&lt;wsp:rsid wsp:val=&quot;00720F71&quot;/&gt;&lt;wsp:rsid wsp:val=&quot;00721566&quot;/&gt;&lt;wsp:rsid wsp:val=&quot;00721717&quot;/&gt;&lt;wsp:rsid wsp:val=&quot;007218D9&quot;/&gt;&lt;wsp:rsid wsp:val=&quot;00721DC7&quot;/&gt;&lt;wsp:rsid wsp:val=&quot;0072220F&quot;/&gt;&lt;wsp:rsid wsp:val=&quot;00722AB5&quot;/&gt;&lt;wsp:rsid wsp:val=&quot;00722BBE&quot;/&gt;&lt;wsp:rsid wsp:val=&quot;00722C32&quot;/&gt;&lt;wsp:rsid wsp:val=&quot;00722CA8&quot;/&gt;&lt;wsp:rsid wsp:val=&quot;00723034&quot;/&gt;&lt;wsp:rsid wsp:val=&quot;007231FF&quot;/&gt;&lt;wsp:rsid wsp:val=&quot;00723360&quot;/&gt;&lt;wsp:rsid wsp:val=&quot;007234D9&quot;/&gt;&lt;wsp:rsid wsp:val=&quot;00723698&quot;/&gt;&lt;wsp:rsid wsp:val=&quot;00723858&quot;/&gt;&lt;wsp:rsid wsp:val=&quot;00723DB1&quot;/&gt;&lt;wsp:rsid wsp:val=&quot;00724343&quot;/&gt;&lt;wsp:rsid wsp:val=&quot;007247BE&quot;/&gt;&lt;wsp:rsid wsp:val=&quot;007248AD&quot;/&gt;&lt;wsp:rsid wsp:val=&quot;00724F79&quot;/&gt;&lt;wsp:rsid wsp:val=&quot;00725728&quot;/&gt;&lt;wsp:rsid wsp:val=&quot;007258DE&quot;/&gt;&lt;wsp:rsid wsp:val=&quot;00725C8F&quot;/&gt;&lt;wsp:rsid wsp:val=&quot;00725CB7&quot;/&gt;&lt;wsp:rsid wsp:val=&quot;00726540&quot;/&gt;&lt;wsp:rsid wsp:val=&quot;00726643&quot;/&gt;&lt;wsp:rsid wsp:val=&quot;00726775&quot;/&gt;&lt;wsp:rsid wsp:val=&quot;00726832&quot;/&gt;&lt;wsp:rsid wsp:val=&quot;00726C96&quot;/&gt;&lt;wsp:rsid wsp:val=&quot;00726DEE&quot;/&gt;&lt;wsp:rsid wsp:val=&quot;00726F22&quot;/&gt;&lt;wsp:rsid wsp:val=&quot;0072712D&quot;/&gt;&lt;wsp:rsid wsp:val=&quot;007276D4&quot;/&gt;&lt;wsp:rsid wsp:val=&quot;00727975&quot;/&gt;&lt;wsp:rsid wsp:val=&quot;00727D72&quot;/&gt;&lt;wsp:rsid wsp:val=&quot;00727E44&quot;/&gt;&lt;wsp:rsid wsp:val=&quot;0073045A&quot;/&gt;&lt;wsp:rsid wsp:val=&quot;00730487&quot;/&gt;&lt;wsp:rsid wsp:val=&quot;00730527&quot;/&gt;&lt;wsp:rsid wsp:val=&quot;00730CE2&quot;/&gt;&lt;wsp:rsid wsp:val=&quot;00731069&quot;/&gt;&lt;wsp:rsid wsp:val=&quot;0073158E&quot;/&gt;&lt;wsp:rsid wsp:val=&quot;007316AC&quot;/&gt;&lt;wsp:rsid wsp:val=&quot;00731AB7&quot;/&gt;&lt;wsp:rsid wsp:val=&quot;00731DBA&quot;/&gt;&lt;wsp:rsid wsp:val=&quot;00732375&quot;/&gt;&lt;wsp:rsid wsp:val=&quot;00732535&quot;/&gt;&lt;wsp:rsid wsp:val=&quot;007328C7&quot;/&gt;&lt;wsp:rsid wsp:val=&quot;00732A0B&quot;/&gt;&lt;wsp:rsid wsp:val=&quot;00732AA4&quot;/&gt;&lt;wsp:rsid wsp:val=&quot;00732D14&quot;/&gt;&lt;wsp:rsid wsp:val=&quot;00732ED4&quot;/&gt;&lt;wsp:rsid wsp:val=&quot;007333B4&quot;/&gt;&lt;wsp:rsid wsp:val=&quot;0073364D&quot;/&gt;&lt;wsp:rsid wsp:val=&quot;007336CF&quot;/&gt;&lt;wsp:rsid wsp:val=&quot;00733801&quot;/&gt;&lt;wsp:rsid wsp:val=&quot;00733804&quot;/&gt;&lt;wsp:rsid wsp:val=&quot;00733C32&quot;/&gt;&lt;wsp:rsid wsp:val=&quot;00733D0E&quot;/&gt;&lt;wsp:rsid wsp:val=&quot;00734556&quot;/&gt;&lt;wsp:rsid wsp:val=&quot;0073475A&quot;/&gt;&lt;wsp:rsid wsp:val=&quot;0073476E&quot;/&gt;&lt;wsp:rsid wsp:val=&quot;00734850&quot;/&gt;&lt;wsp:rsid wsp:val=&quot;00734ADF&quot;/&gt;&lt;wsp:rsid wsp:val=&quot;00734E89&quot;/&gt;&lt;wsp:rsid wsp:val=&quot;00734F23&quot;/&gt;&lt;wsp:rsid wsp:val=&quot;0073530E&quot;/&gt;&lt;wsp:rsid wsp:val=&quot;00735DB4&quot;/&gt;&lt;wsp:rsid wsp:val=&quot;00735DE3&quot;/&gt;&lt;wsp:rsid wsp:val=&quot;00736038&quot;/&gt;&lt;wsp:rsid wsp:val=&quot;007362F7&quot;/&gt;&lt;wsp:rsid wsp:val=&quot;0073654D&quot;/&gt;&lt;wsp:rsid wsp:val=&quot;007365A5&quot;/&gt;&lt;wsp:rsid wsp:val=&quot;007369BB&quot;/&gt;&lt;wsp:rsid wsp:val=&quot;007369C1&quot;/&gt;&lt;wsp:rsid wsp:val=&quot;007369D0&quot;/&gt;&lt;wsp:rsid wsp:val=&quot;00736A59&quot;/&gt;&lt;wsp:rsid wsp:val=&quot;0073718A&quot;/&gt;&lt;wsp:rsid wsp:val=&quot;007372BD&quot;/&gt;&lt;wsp:rsid wsp:val=&quot;007372F8&quot;/&gt;&lt;wsp:rsid wsp:val=&quot;007375D7&quot;/&gt;&lt;wsp:rsid wsp:val=&quot;007378B2&quot;/&gt;&lt;wsp:rsid wsp:val=&quot;007378FC&quot;/&gt;&lt;wsp:rsid wsp:val=&quot;00737A1C&quot;/&gt;&lt;wsp:rsid wsp:val=&quot;00737D10&quot;/&gt;&lt;wsp:rsid wsp:val=&quot;00737E00&quot;/&gt;&lt;wsp:rsid wsp:val=&quot;0074009A&quot;/&gt;&lt;wsp:rsid wsp:val=&quot;007401BD&quot;/&gt;&lt;wsp:rsid wsp:val=&quot;00740293&quot;/&gt;&lt;wsp:rsid wsp:val=&quot;00740509&quot;/&gt;&lt;wsp:rsid wsp:val=&quot;00740A70&quot;/&gt;&lt;wsp:rsid wsp:val=&quot;00740CF5&quot;/&gt;&lt;wsp:rsid wsp:val=&quot;007410A8&quot;/&gt;&lt;wsp:rsid wsp:val=&quot;0074117D&quot;/&gt;&lt;wsp:rsid wsp:val=&quot;0074170F&quot;/&gt;&lt;wsp:rsid wsp:val=&quot;007423C7&quot;/&gt;&lt;wsp:rsid wsp:val=&quot;00742573&quot;/&gt;&lt;wsp:rsid wsp:val=&quot;00742AE6&quot;/&gt;&lt;wsp:rsid wsp:val=&quot;00742F23&quot;/&gt;&lt;wsp:rsid wsp:val=&quot;00743205&quot;/&gt;&lt;wsp:rsid wsp:val=&quot;007432C3&quot;/&gt;&lt;wsp:rsid wsp:val=&quot;007436C2&quot;/&gt;&lt;wsp:rsid wsp:val=&quot;00743C1C&quot;/&gt;&lt;wsp:rsid wsp:val=&quot;00744224&quot;/&gt;&lt;wsp:rsid wsp:val=&quot;0074458F&quot;/&gt;&lt;wsp:rsid wsp:val=&quot;00744599&quot;/&gt;&lt;wsp:rsid wsp:val=&quot;0074542A&quot;/&gt;&lt;wsp:rsid wsp:val=&quot;007456B3&quot;/&gt;&lt;wsp:rsid wsp:val=&quot;00745A90&quot;/&gt;&lt;wsp:rsid wsp:val=&quot;00745BB5&quot;/&gt;&lt;wsp:rsid wsp:val=&quot;00745C45&quot;/&gt;&lt;wsp:rsid wsp:val=&quot;00745E43&quot;/&gt;&lt;wsp:rsid wsp:val=&quot;00745E84&quot;/&gt;&lt;wsp:rsid wsp:val=&quot;0074606C&quot;/&gt;&lt;wsp:rsid wsp:val=&quot;00746235&quot;/&gt;&lt;wsp:rsid wsp:val=&quot;007462D6&quot;/&gt;&lt;wsp:rsid wsp:val=&quot;0074641C&quot;/&gt;&lt;wsp:rsid wsp:val=&quot;00746441&quot;/&gt;&lt;wsp:rsid wsp:val=&quot;00746896&quot;/&gt;&lt;wsp:rsid wsp:val=&quot;0074697A&quot;/&gt;&lt;wsp:rsid wsp:val=&quot;00746AD9&quot;/&gt;&lt;wsp:rsid wsp:val=&quot;00747900&quot;/&gt;&lt;wsp:rsid wsp:val=&quot;00747BCE&quot;/&gt;&lt;wsp:rsid wsp:val=&quot;00747E96&quot;/&gt;&lt;wsp:rsid wsp:val=&quot;0075014A&quot;/&gt;&lt;wsp:rsid wsp:val=&quot;007508DC&quot;/&gt;&lt;wsp:rsid wsp:val=&quot;0075112E&quot;/&gt;&lt;wsp:rsid wsp:val=&quot;00751224&quot;/&gt;&lt;wsp:rsid wsp:val=&quot;007512C6&quot;/&gt;&lt;wsp:rsid wsp:val=&quot;00751394&quot;/&gt;&lt;wsp:rsid wsp:val=&quot;007513EF&quot;/&gt;&lt;wsp:rsid wsp:val=&quot;00751753&quot;/&gt;&lt;wsp:rsid wsp:val=&quot;00751B06&quot;/&gt;&lt;wsp:rsid wsp:val=&quot;00751C38&quot;/&gt;&lt;wsp:rsid wsp:val=&quot;00752BAE&quot;/&gt;&lt;wsp:rsid wsp:val=&quot;00752D85&quot;/&gt;&lt;wsp:rsid wsp:val=&quot;0075302E&quot;/&gt;&lt;wsp:rsid wsp:val=&quot;007536D0&quot;/&gt;&lt;wsp:rsid wsp:val=&quot;00753B06&quot;/&gt;&lt;wsp:rsid wsp:val=&quot;00753B30&quot;/&gt;&lt;wsp:rsid wsp:val=&quot;00753F1B&quot;/&gt;&lt;wsp:rsid wsp:val=&quot;00754243&quot;/&gt;&lt;wsp:rsid wsp:val=&quot;00754335&quot;/&gt;&lt;wsp:rsid wsp:val=&quot;00754F43&quot;/&gt;&lt;wsp:rsid wsp:val=&quot;00755225&quot;/&gt;&lt;wsp:rsid wsp:val=&quot;007554A3&quot;/&gt;&lt;wsp:rsid wsp:val=&quot;00755B84&quot;/&gt;&lt;wsp:rsid wsp:val=&quot;00755D24&quot;/&gt;&lt;wsp:rsid wsp:val=&quot;00756554&quot;/&gt;&lt;wsp:rsid wsp:val=&quot;00756F92&quot;/&gt;&lt;wsp:rsid wsp:val=&quot;00757024&quot;/&gt;&lt;wsp:rsid wsp:val=&quot;007571C5&quot;/&gt;&lt;wsp:rsid wsp:val=&quot;00757301&quot;/&gt;&lt;wsp:rsid wsp:val=&quot;0075733E&quot;/&gt;&lt;wsp:rsid wsp:val=&quot;00757D6C&quot;/&gt;&lt;wsp:rsid wsp:val=&quot;00757E2A&quot;/&gt;&lt;wsp:rsid wsp:val=&quot;00757E50&quot;/&gt;&lt;wsp:rsid wsp:val=&quot;0076005D&quot;/&gt;&lt;wsp:rsid wsp:val=&quot;00760420&quot;/&gt;&lt;wsp:rsid wsp:val=&quot;00760BD6&quot;/&gt;&lt;wsp:rsid wsp:val=&quot;00760BE7&quot;/&gt;&lt;wsp:rsid wsp:val=&quot;00760CE4&quot;/&gt;&lt;wsp:rsid wsp:val=&quot;00760EDD&quot;/&gt;&lt;wsp:rsid wsp:val=&quot;00761063&quot;/&gt;&lt;wsp:rsid wsp:val=&quot;00761912&quot;/&gt;&lt;wsp:rsid wsp:val=&quot;00761B07&quot;/&gt;&lt;wsp:rsid wsp:val=&quot;00761F1D&quot;/&gt;&lt;wsp:rsid wsp:val=&quot;00761FED&quot;/&gt;&lt;wsp:rsid wsp:val=&quot;0076227B&quot;/&gt;&lt;wsp:rsid wsp:val=&quot;00762318&quot;/&gt;&lt;wsp:rsid wsp:val=&quot;007623C9&quot;/&gt;&lt;wsp:rsid wsp:val=&quot;0076240E&quot;/&gt;&lt;wsp:rsid wsp:val=&quot;00762612&quot;/&gt;&lt;wsp:rsid wsp:val=&quot;00762CA7&quot;/&gt;&lt;wsp:rsid wsp:val=&quot;00762CF6&quot;/&gt;&lt;wsp:rsid wsp:val=&quot;00762ED6&quot;/&gt;&lt;wsp:rsid wsp:val=&quot;00763055&quot;/&gt;&lt;wsp:rsid wsp:val=&quot;00763252&quot;/&gt;&lt;wsp:rsid wsp:val=&quot;00763A2C&quot;/&gt;&lt;wsp:rsid wsp:val=&quot;00763B3C&quot;/&gt;&lt;wsp:rsid wsp:val=&quot;00763BC7&quot;/&gt;&lt;wsp:rsid wsp:val=&quot;00763D97&quot;/&gt;&lt;wsp:rsid wsp:val=&quot;00763F9F&quot;/&gt;&lt;wsp:rsid wsp:val=&quot;0076423F&quot;/&gt;&lt;wsp:rsid wsp:val=&quot;007643C0&quot;/&gt;&lt;wsp:rsid wsp:val=&quot;007643C5&quot;/&gt;&lt;wsp:rsid wsp:val=&quot;007646D3&quot;/&gt;&lt;wsp:rsid wsp:val=&quot;00764701&quot;/&gt;&lt;wsp:rsid wsp:val=&quot;00764862&quot;/&gt;&lt;wsp:rsid wsp:val=&quot;00764A8F&quot;/&gt;&lt;wsp:rsid wsp:val=&quot;00764B34&quot;/&gt;&lt;wsp:rsid wsp:val=&quot;00764C33&quot;/&gt;&lt;wsp:rsid wsp:val=&quot;00764D51&quot;/&gt;&lt;wsp:rsid wsp:val=&quot;00764D91&quot;/&gt;&lt;wsp:rsid wsp:val=&quot;00764DD5&quot;/&gt;&lt;wsp:rsid wsp:val=&quot;00764E3F&quot;/&gt;&lt;wsp:rsid wsp:val=&quot;00764FCE&quot;/&gt;&lt;wsp:rsid wsp:val=&quot;0076556F&quot;/&gt;&lt;wsp:rsid wsp:val=&quot;00765719&quot;/&gt;&lt;wsp:rsid wsp:val=&quot;00765832&quot;/&gt;&lt;wsp:rsid wsp:val=&quot;0076596A&quot;/&gt;&lt;wsp:rsid wsp:val=&quot;00765DBC&quot;/&gt;&lt;wsp:rsid wsp:val=&quot;0076670C&quot;/&gt;&lt;wsp:rsid wsp:val=&quot;00766EFE&quot;/&gt;&lt;wsp:rsid wsp:val=&quot;00767339&quot;/&gt;&lt;wsp:rsid wsp:val=&quot;00767E15&quot;/&gt;&lt;wsp:rsid wsp:val=&quot;00767EF4&quot;/&gt;&lt;wsp:rsid wsp:val=&quot;0077003D&quot;/&gt;&lt;wsp:rsid wsp:val=&quot;007708BC&quot;/&gt;&lt;wsp:rsid wsp:val=&quot;007712D3&quot;/&gt;&lt;wsp:rsid wsp:val=&quot;007713CB&quot;/&gt;&lt;wsp:rsid wsp:val=&quot;0077174E&quot;/&gt;&lt;wsp:rsid wsp:val=&quot;00771AE3&quot;/&gt;&lt;wsp:rsid wsp:val=&quot;00771B46&quot;/&gt;&lt;wsp:rsid wsp:val=&quot;0077205B&quot;/&gt;&lt;wsp:rsid wsp:val=&quot;007722DE&quot;/&gt;&lt;wsp:rsid wsp:val=&quot;00772770&quot;/&gt;&lt;wsp:rsid wsp:val=&quot;00772A5D&quot;/&gt;&lt;wsp:rsid wsp:val=&quot;00772B4D&quot;/&gt;&lt;wsp:rsid wsp:val=&quot;00772EF5&quot;/&gt;&lt;wsp:rsid wsp:val=&quot;0077325B&quot;/&gt;&lt;wsp:rsid wsp:val=&quot;007733FF&quot;/&gt;&lt;wsp:rsid wsp:val=&quot;0077341D&quot;/&gt;&lt;wsp:rsid wsp:val=&quot;007735EF&quot;/&gt;&lt;wsp:rsid wsp:val=&quot;0077368F&quot;/&gt;&lt;wsp:rsid wsp:val=&quot;007736B1&quot;/&gt;&lt;wsp:rsid wsp:val=&quot;007737C1&quot;/&gt;&lt;wsp:rsid wsp:val=&quot;00773CB5&quot;/&gt;&lt;wsp:rsid wsp:val=&quot;00773EE9&quot;/&gt;&lt;wsp:rsid wsp:val=&quot;00773F92&quot;/&gt;&lt;wsp:rsid wsp:val=&quot;00773FB6&quot;/&gt;&lt;wsp:rsid wsp:val=&quot;0077401E&quot;/&gt;&lt;wsp:rsid wsp:val=&quot;00774436&quot;/&gt;&lt;wsp:rsid wsp:val=&quot;00774BC0&quot;/&gt;&lt;wsp:rsid wsp:val=&quot;00774D56&quot;/&gt;&lt;wsp:rsid wsp:val=&quot;007750CC&quot;/&gt;&lt;wsp:rsid wsp:val=&quot;0077534F&quot;/&gt;&lt;wsp:rsid wsp:val=&quot;00775784&quot;/&gt;&lt;wsp:rsid wsp:val=&quot;007758D1&quot;/&gt;&lt;wsp:rsid wsp:val=&quot;00775A32&quot;/&gt;&lt;wsp:rsid wsp:val=&quot;00775AAA&quot;/&gt;&lt;wsp:rsid wsp:val=&quot;00775E17&quot;/&gt;&lt;wsp:rsid wsp:val=&quot;00775FE1&quot;/&gt;&lt;wsp:rsid wsp:val=&quot;00776037&quot;/&gt;&lt;wsp:rsid wsp:val=&quot;00776370&quot;/&gt;&lt;wsp:rsid wsp:val=&quot;007766CF&quot;/&gt;&lt;wsp:rsid wsp:val=&quot;00776D5E&quot;/&gt;&lt;wsp:rsid wsp:val=&quot;00776D66&quot;/&gt;&lt;wsp:rsid wsp:val=&quot;00777421&quot;/&gt;&lt;wsp:rsid wsp:val=&quot;007777D9&quot;/&gt;&lt;wsp:rsid wsp:val=&quot;007777EA&quot;/&gt;&lt;wsp:rsid wsp:val=&quot;007801B0&quot;/&gt;&lt;wsp:rsid wsp:val=&quot;007803DE&quot;/&gt;&lt;wsp:rsid wsp:val=&quot;00780725&quot;/&gt;&lt;wsp:rsid wsp:val=&quot;00780C90&quot;/&gt;&lt;wsp:rsid wsp:val=&quot;00780F45&quot;/&gt;&lt;wsp:rsid wsp:val=&quot;00780F93&quot;/&gt;&lt;wsp:rsid wsp:val=&quot;00781180&quot;/&gt;&lt;wsp:rsid wsp:val=&quot;007812D4&quot;/&gt;&lt;wsp:rsid wsp:val=&quot;0078134A&quot;/&gt;&lt;wsp:rsid wsp:val=&quot;00781E85&quot;/&gt;&lt;wsp:rsid wsp:val=&quot;007822F1&quot;/&gt;&lt;wsp:rsid wsp:val=&quot;007825AC&quot;/&gt;&lt;wsp:rsid wsp:val=&quot;0078282E&quot;/&gt;&lt;wsp:rsid wsp:val=&quot;0078289F&quot;/&gt;&lt;wsp:rsid wsp:val=&quot;00782E11&quot;/&gt;&lt;wsp:rsid wsp:val=&quot;0078331E&quot;/&gt;&lt;wsp:rsid wsp:val=&quot;00783528&quot;/&gt;&lt;wsp:rsid wsp:val=&quot;0078376F&quot;/&gt;&lt;wsp:rsid wsp:val=&quot;007839B8&quot;/&gt;&lt;wsp:rsid wsp:val=&quot;007847FD&quot;/&gt;&lt;wsp:rsid wsp:val=&quot;0078487F&quot;/&gt;&lt;wsp:rsid wsp:val=&quot;00784AAE&quot;/&gt;&lt;wsp:rsid wsp:val=&quot;007850AF&quot;/&gt;&lt;wsp:rsid wsp:val=&quot;0078552C&quot;/&gt;&lt;wsp:rsid wsp:val=&quot;00785862&quot;/&gt;&lt;wsp:rsid wsp:val=&quot;00785AA9&quot;/&gt;&lt;wsp:rsid wsp:val=&quot;00785AD3&quot;/&gt;&lt;wsp:rsid wsp:val=&quot;00785DA7&quot;/&gt;&lt;wsp:rsid wsp:val=&quot;00785F57&quot;/&gt;&lt;wsp:rsid wsp:val=&quot;00786231&quot;/&gt;&lt;wsp:rsid wsp:val=&quot;00786707&quot;/&gt;&lt;wsp:rsid wsp:val=&quot;00786A04&quot;/&gt;&lt;wsp:rsid wsp:val=&quot;00786BB2&quot;/&gt;&lt;wsp:rsid wsp:val=&quot;00787174&quot;/&gt;&lt;wsp:rsid wsp:val=&quot;007872C0&quot;/&gt;&lt;wsp:rsid wsp:val=&quot;00787318&quot;/&gt;&lt;wsp:rsid wsp:val=&quot;00787440&quot;/&gt;&lt;wsp:rsid wsp:val=&quot;00787935&quot;/&gt;&lt;wsp:rsid wsp:val=&quot;00787A5A&quot;/&gt;&lt;wsp:rsid wsp:val=&quot;00787E07&quot;/&gt;&lt;wsp:rsid wsp:val=&quot;007903D7&quot;/&gt;&lt;wsp:rsid wsp:val=&quot;007907DA&quot;/&gt;&lt;wsp:rsid wsp:val=&quot;00790922&quot;/&gt;&lt;wsp:rsid wsp:val=&quot;00790AD6&quot;/&gt;&lt;wsp:rsid wsp:val=&quot;00790B02&quot;/&gt;&lt;wsp:rsid wsp:val=&quot;00790E0B&quot;/&gt;&lt;wsp:rsid wsp:val=&quot;00791069&quot;/&gt;&lt;wsp:rsid wsp:val=&quot;007922A2&quot;/&gt;&lt;wsp:rsid wsp:val=&quot;00792975&quot;/&gt;&lt;wsp:rsid wsp:val=&quot;00792A32&quot;/&gt;&lt;wsp:rsid wsp:val=&quot;00792BE9&quot;/&gt;&lt;wsp:rsid wsp:val=&quot;00792C66&quot;/&gt;&lt;wsp:rsid wsp:val=&quot;00792F7E&quot;/&gt;&lt;wsp:rsid wsp:val=&quot;00792FEE&quot;/&gt;&lt;wsp:rsid wsp:val=&quot;0079373C&quot;/&gt;&lt;wsp:rsid wsp:val=&quot;00793773&quot;/&gt;&lt;wsp:rsid wsp:val=&quot;00793DA9&quot;/&gt;&lt;wsp:rsid wsp:val=&quot;00794559&quot;/&gt;&lt;wsp:rsid wsp:val=&quot;0079487B&quot;/&gt;&lt;wsp:rsid wsp:val=&quot;00794BC0&quot;/&gt;&lt;wsp:rsid wsp:val=&quot;00794BEC&quot;/&gt;&lt;wsp:rsid wsp:val=&quot;00794EF8&quot;/&gt;&lt;wsp:rsid wsp:val=&quot;00795215&quot;/&gt;&lt;wsp:rsid wsp:val=&quot;0079539F&quot;/&gt;&lt;wsp:rsid wsp:val=&quot;00795433&quot;/&gt;&lt;wsp:rsid wsp:val=&quot;0079573F&quot;/&gt;&lt;wsp:rsid wsp:val=&quot;00795EF8&quot;/&gt;&lt;wsp:rsid wsp:val=&quot;0079662D&quot;/&gt;&lt;wsp:rsid wsp:val=&quot;00796954&quot;/&gt;&lt;wsp:rsid wsp:val=&quot;007969A1&quot;/&gt;&lt;wsp:rsid wsp:val=&quot;00797587&quot;/&gt;&lt;wsp:rsid wsp:val=&quot;0079772A&quot;/&gt;&lt;wsp:rsid wsp:val=&quot;007977EE&quot;/&gt;&lt;wsp:rsid wsp:val=&quot;007A03CB&quot;/&gt;&lt;wsp:rsid wsp:val=&quot;007A046B&quot;/&gt;&lt;wsp:rsid wsp:val=&quot;007A0493&quot;/&gt;&lt;wsp:rsid wsp:val=&quot;007A0658&quot;/&gt;&lt;wsp:rsid wsp:val=&quot;007A0677&quot;/&gt;&lt;wsp:rsid wsp:val=&quot;007A19BF&quot;/&gt;&lt;wsp:rsid wsp:val=&quot;007A1CE1&quot;/&gt;&lt;wsp:rsid wsp:val=&quot;007A209B&quot;/&gt;&lt;wsp:rsid wsp:val=&quot;007A24DC&quot;/&gt;&lt;wsp:rsid wsp:val=&quot;007A29D5&quot;/&gt;&lt;wsp:rsid wsp:val=&quot;007A2AFD&quot;/&gt;&lt;wsp:rsid wsp:val=&quot;007A2E34&quot;/&gt;&lt;wsp:rsid wsp:val=&quot;007A2F54&quot;/&gt;&lt;wsp:rsid wsp:val=&quot;007A340D&quot;/&gt;&lt;wsp:rsid wsp:val=&quot;007A3481&quot;/&gt;&lt;wsp:rsid wsp:val=&quot;007A353A&quot;/&gt;&lt;wsp:rsid wsp:val=&quot;007A39E2&quot;/&gt;&lt;wsp:rsid wsp:val=&quot;007A3A60&quot;/&gt;&lt;wsp:rsid wsp:val=&quot;007A3C15&quot;/&gt;&lt;wsp:rsid wsp:val=&quot;007A4178&quot;/&gt;&lt;wsp:rsid wsp:val=&quot;007A435C&quot;/&gt;&lt;wsp:rsid wsp:val=&quot;007A586B&quot;/&gt;&lt;wsp:rsid wsp:val=&quot;007A6453&quot;/&gt;&lt;wsp:rsid wsp:val=&quot;007A677B&quot;/&gt;&lt;wsp:rsid wsp:val=&quot;007A6A0B&quot;/&gt;&lt;wsp:rsid wsp:val=&quot;007A6E31&quot;/&gt;&lt;wsp:rsid wsp:val=&quot;007A6FE8&quot;/&gt;&lt;wsp:rsid wsp:val=&quot;007A72AA&quot;/&gt;&lt;wsp:rsid wsp:val=&quot;007A72EC&quot;/&gt;&lt;wsp:rsid wsp:val=&quot;007A73A7&quot;/&gt;&lt;wsp:rsid wsp:val=&quot;007A7A17&quot;/&gt;&lt;wsp:rsid wsp:val=&quot;007A7B90&quot;/&gt;&lt;wsp:rsid wsp:val=&quot;007B019A&quot;/&gt;&lt;wsp:rsid wsp:val=&quot;007B0610&quot;/&gt;&lt;wsp:rsid wsp:val=&quot;007B07BD&quot;/&gt;&lt;wsp:rsid wsp:val=&quot;007B0814&quot;/&gt;&lt;wsp:rsid wsp:val=&quot;007B0ABE&quot;/&gt;&lt;wsp:rsid wsp:val=&quot;007B16A9&quot;/&gt;&lt;wsp:rsid wsp:val=&quot;007B211A&quot;/&gt;&lt;wsp:rsid wsp:val=&quot;007B2583&quot;/&gt;&lt;wsp:rsid wsp:val=&quot;007B275C&quot;/&gt;&lt;wsp:rsid wsp:val=&quot;007B307E&quot;/&gt;&lt;wsp:rsid wsp:val=&quot;007B33FF&quot;/&gt;&lt;wsp:rsid wsp:val=&quot;007B3610&quot;/&gt;&lt;wsp:rsid wsp:val=&quot;007B38D1&quot;/&gt;&lt;wsp:rsid wsp:val=&quot;007B3B6A&quot;/&gt;&lt;wsp:rsid wsp:val=&quot;007B3BDC&quot;/&gt;&lt;wsp:rsid wsp:val=&quot;007B3F99&quot;/&gt;&lt;wsp:rsid wsp:val=&quot;007B42E4&quot;/&gt;&lt;wsp:rsid wsp:val=&quot;007B50D5&quot;/&gt;&lt;wsp:rsid wsp:val=&quot;007B50D6&quot;/&gt;&lt;wsp:rsid wsp:val=&quot;007B5141&quot;/&gt;&lt;wsp:rsid wsp:val=&quot;007B5358&quot;/&gt;&lt;wsp:rsid wsp:val=&quot;007B54A0&quot;/&gt;&lt;wsp:rsid wsp:val=&quot;007B580B&quot;/&gt;&lt;wsp:rsid wsp:val=&quot;007B5B44&quot;/&gt;&lt;wsp:rsid wsp:val=&quot;007B5E24&quot;/&gt;&lt;wsp:rsid wsp:val=&quot;007B69CA&quot;/&gt;&lt;wsp:rsid wsp:val=&quot;007B6B46&quot;/&gt;&lt;wsp:rsid wsp:val=&quot;007B741A&quot;/&gt;&lt;wsp:rsid wsp:val=&quot;007B771F&quot;/&gt;&lt;wsp:rsid wsp:val=&quot;007B7D7F&quot;/&gt;&lt;wsp:rsid wsp:val=&quot;007B7E7D&quot;/&gt;&lt;wsp:rsid wsp:val=&quot;007B7FCB&quot;/&gt;&lt;wsp:rsid wsp:val=&quot;007C0CFB&quot;/&gt;&lt;wsp:rsid wsp:val=&quot;007C0FF4&quot;/&gt;&lt;wsp:rsid wsp:val=&quot;007C11C8&quot;/&gt;&lt;wsp:rsid wsp:val=&quot;007C1591&quot;/&gt;&lt;wsp:rsid wsp:val=&quot;007C20DB&quot;/&gt;&lt;wsp:rsid wsp:val=&quot;007C23CA&quot;/&gt;&lt;wsp:rsid wsp:val=&quot;007C29E7&quot;/&gt;&lt;wsp:rsid wsp:val=&quot;007C2ECB&quot;/&gt;&lt;wsp:rsid wsp:val=&quot;007C2EEE&quot;/&gt;&lt;wsp:rsid wsp:val=&quot;007C32BA&quot;/&gt;&lt;wsp:rsid wsp:val=&quot;007C3367&quot;/&gt;&lt;wsp:rsid wsp:val=&quot;007C364E&quot;/&gt;&lt;wsp:rsid wsp:val=&quot;007C36B1&quot;/&gt;&lt;wsp:rsid wsp:val=&quot;007C3722&quot;/&gt;&lt;wsp:rsid wsp:val=&quot;007C3747&quot;/&gt;&lt;wsp:rsid wsp:val=&quot;007C38D9&quot;/&gt;&lt;wsp:rsid wsp:val=&quot;007C3DE5&quot;/&gt;&lt;wsp:rsid wsp:val=&quot;007C4074&quot;/&gt;&lt;wsp:rsid wsp:val=&quot;007C4F5A&quot;/&gt;&lt;wsp:rsid wsp:val=&quot;007C50F4&quot;/&gt;&lt;wsp:rsid wsp:val=&quot;007C5200&quot;/&gt;&lt;wsp:rsid wsp:val=&quot;007C5581&quot;/&gt;&lt;wsp:rsid wsp:val=&quot;007C5732&quot;/&gt;&lt;wsp:rsid wsp:val=&quot;007C5A5A&quot;/&gt;&lt;wsp:rsid wsp:val=&quot;007C5DA4&quot;/&gt;&lt;wsp:rsid wsp:val=&quot;007C5DD1&quot;/&gt;&lt;wsp:rsid wsp:val=&quot;007C6326&quot;/&gt;&lt;wsp:rsid wsp:val=&quot;007C684E&quot;/&gt;&lt;wsp:rsid wsp:val=&quot;007C6C41&quot;/&gt;&lt;wsp:rsid wsp:val=&quot;007C72F0&quot;/&gt;&lt;wsp:rsid wsp:val=&quot;007C73BA&quot;/&gt;&lt;wsp:rsid wsp:val=&quot;007C7797&quot;/&gt;&lt;wsp:rsid wsp:val=&quot;007C7A6B&quot;/&gt;&lt;wsp:rsid wsp:val=&quot;007C7C0D&quot;/&gt;&lt;wsp:rsid wsp:val=&quot;007D0152&quot;/&gt;&lt;wsp:rsid wsp:val=&quot;007D0A4F&quot;/&gt;&lt;wsp:rsid wsp:val=&quot;007D0CEE&quot;/&gt;&lt;wsp:rsid wsp:val=&quot;007D0E99&quot;/&gt;&lt;wsp:rsid wsp:val=&quot;007D0EC3&quot;/&gt;&lt;wsp:rsid wsp:val=&quot;007D124F&quot;/&gt;&lt;wsp:rsid wsp:val=&quot;007D12C0&quot;/&gt;&lt;wsp:rsid wsp:val=&quot;007D150B&quot;/&gt;&lt;wsp:rsid wsp:val=&quot;007D1607&quot;/&gt;&lt;wsp:rsid wsp:val=&quot;007D1645&quot;/&gt;&lt;wsp:rsid wsp:val=&quot;007D18E0&quot;/&gt;&lt;wsp:rsid wsp:val=&quot;007D1BC1&quot;/&gt;&lt;wsp:rsid wsp:val=&quot;007D1C66&quot;/&gt;&lt;wsp:rsid wsp:val=&quot;007D1CC7&quot;/&gt;&lt;wsp:rsid wsp:val=&quot;007D1CFA&quot;/&gt;&lt;wsp:rsid wsp:val=&quot;007D1E39&quot;/&gt;&lt;wsp:rsid wsp:val=&quot;007D2240&quot;/&gt;&lt;wsp:rsid wsp:val=&quot;007D22B0&quot;/&gt;&lt;wsp:rsid wsp:val=&quot;007D2504&quot;/&gt;&lt;wsp:rsid wsp:val=&quot;007D279A&quot;/&gt;&lt;wsp:rsid wsp:val=&quot;007D2ABA&quot;/&gt;&lt;wsp:rsid wsp:val=&quot;007D2ADC&quot;/&gt;&lt;wsp:rsid wsp:val=&quot;007D2D26&quot;/&gt;&lt;wsp:rsid wsp:val=&quot;007D2EB8&quot;/&gt;&lt;wsp:rsid wsp:val=&quot;007D2EC6&quot;/&gt;&lt;wsp:rsid wsp:val=&quot;007D3264&quot;/&gt;&lt;wsp:rsid wsp:val=&quot;007D32FF&quot;/&gt;&lt;wsp:rsid wsp:val=&quot;007D375C&quot;/&gt;&lt;wsp:rsid wsp:val=&quot;007D3C9B&quot;/&gt;&lt;wsp:rsid wsp:val=&quot;007D409B&quot;/&gt;&lt;wsp:rsid wsp:val=&quot;007D41AB&quot;/&gt;&lt;wsp:rsid wsp:val=&quot;007D4587&quot;/&gt;&lt;wsp:rsid wsp:val=&quot;007D47CB&quot;/&gt;&lt;wsp:rsid wsp:val=&quot;007D4BC7&quot;/&gt;&lt;wsp:rsid wsp:val=&quot;007D4C39&quot;/&gt;&lt;wsp:rsid wsp:val=&quot;007D4D48&quot;/&gt;&lt;wsp:rsid wsp:val=&quot;007D4DA5&quot;/&gt;&lt;wsp:rsid wsp:val=&quot;007D5948&quot;/&gt;&lt;wsp:rsid wsp:val=&quot;007D5B4C&quot;/&gt;&lt;wsp:rsid wsp:val=&quot;007D5C25&quot;/&gt;&lt;wsp:rsid wsp:val=&quot;007D5D86&quot;/&gt;&lt;wsp:rsid wsp:val=&quot;007D5EA0&quot;/&gt;&lt;wsp:rsid wsp:val=&quot;007D5FDB&quot;/&gt;&lt;wsp:rsid wsp:val=&quot;007D627E&quot;/&gt;&lt;wsp:rsid wsp:val=&quot;007D62FD&quot;/&gt;&lt;wsp:rsid wsp:val=&quot;007D6494&quot;/&gt;&lt;wsp:rsid wsp:val=&quot;007D64A7&quot;/&gt;&lt;wsp:rsid wsp:val=&quot;007D6508&quot;/&gt;&lt;wsp:rsid wsp:val=&quot;007D6C21&quot;/&gt;&lt;wsp:rsid wsp:val=&quot;007D716E&quot;/&gt;&lt;wsp:rsid wsp:val=&quot;007D7ACF&quot;/&gt;&lt;wsp:rsid wsp:val=&quot;007D7BCF&quot;/&gt;&lt;wsp:rsid wsp:val=&quot;007E00E4&quot;/&gt;&lt;wsp:rsid wsp:val=&quot;007E0268&quot;/&gt;&lt;wsp:rsid wsp:val=&quot;007E060E&quot;/&gt;&lt;wsp:rsid wsp:val=&quot;007E087A&quot;/&gt;&lt;wsp:rsid wsp:val=&quot;007E0969&quot;/&gt;&lt;wsp:rsid wsp:val=&quot;007E09FA&quot;/&gt;&lt;wsp:rsid wsp:val=&quot;007E1244&quot;/&gt;&lt;wsp:rsid wsp:val=&quot;007E1A43&quot;/&gt;&lt;wsp:rsid wsp:val=&quot;007E1A52&quot;/&gt;&lt;wsp:rsid wsp:val=&quot;007E1ADE&quot;/&gt;&lt;wsp:rsid wsp:val=&quot;007E1D43&quot;/&gt;&lt;wsp:rsid wsp:val=&quot;007E1D4D&quot;/&gt;&lt;wsp:rsid wsp:val=&quot;007E2123&quot;/&gt;&lt;wsp:rsid wsp:val=&quot;007E241C&quot;/&gt;&lt;wsp:rsid wsp:val=&quot;007E2834&quot;/&gt;&lt;wsp:rsid wsp:val=&quot;007E2BC4&quot;/&gt;&lt;wsp:rsid wsp:val=&quot;007E2DA6&quot;/&gt;&lt;wsp:rsid wsp:val=&quot;007E2FA4&quot;/&gt;&lt;wsp:rsid wsp:val=&quot;007E30B9&quot;/&gt;&lt;wsp:rsid wsp:val=&quot;007E3370&quot;/&gt;&lt;wsp:rsid wsp:val=&quot;007E3593&quot;/&gt;&lt;wsp:rsid wsp:val=&quot;007E3686&quot;/&gt;&lt;wsp:rsid wsp:val=&quot;007E3EA5&quot;/&gt;&lt;wsp:rsid wsp:val=&quot;007E3F11&quot;/&gt;&lt;wsp:rsid wsp:val=&quot;007E3F9E&quot;/&gt;&lt;wsp:rsid wsp:val=&quot;007E47F7&quot;/&gt;&lt;wsp:rsid wsp:val=&quot;007E48E6&quot;/&gt;&lt;wsp:rsid wsp:val=&quot;007E4A75&quot;/&gt;&lt;wsp:rsid wsp:val=&quot;007E4A99&quot;/&gt;&lt;wsp:rsid wsp:val=&quot;007E4C83&quot;/&gt;&lt;wsp:rsid wsp:val=&quot;007E4FF9&quot;/&gt;&lt;wsp:rsid wsp:val=&quot;007E56C3&quot;/&gt;&lt;wsp:rsid wsp:val=&quot;007E5D09&quot;/&gt;&lt;wsp:rsid wsp:val=&quot;007E5D15&quot;/&gt;&lt;wsp:rsid wsp:val=&quot;007E60E4&quot;/&gt;&lt;wsp:rsid wsp:val=&quot;007E61AF&quot;/&gt;&lt;wsp:rsid wsp:val=&quot;007E61DC&quot;/&gt;&lt;wsp:rsid wsp:val=&quot;007E6348&quot;/&gt;&lt;wsp:rsid wsp:val=&quot;007E63EE&quot;/&gt;&lt;wsp:rsid wsp:val=&quot;007E64B8&quot;/&gt;&lt;wsp:rsid wsp:val=&quot;007E6716&quot;/&gt;&lt;wsp:rsid wsp:val=&quot;007E67E9&quot;/&gt;&lt;wsp:rsid wsp:val=&quot;007E6845&quot;/&gt;&lt;wsp:rsid wsp:val=&quot;007E684D&quot;/&gt;&lt;wsp:rsid wsp:val=&quot;007E6ADF&quot;/&gt;&lt;wsp:rsid wsp:val=&quot;007E6AFE&quot;/&gt;&lt;wsp:rsid wsp:val=&quot;007E6EC8&quot;/&gt;&lt;wsp:rsid wsp:val=&quot;007E710C&quot;/&gt;&lt;wsp:rsid wsp:val=&quot;007E72A0&quot;/&gt;&lt;wsp:rsid wsp:val=&quot;007E7602&quot;/&gt;&lt;wsp:rsid wsp:val=&quot;007E769B&quot;/&gt;&lt;wsp:rsid wsp:val=&quot;007E76D6&quot;/&gt;&lt;wsp:rsid wsp:val=&quot;007E775F&quot;/&gt;&lt;wsp:rsid wsp:val=&quot;007E7799&quot;/&gt;&lt;wsp:rsid wsp:val=&quot;007E7C3A&quot;/&gt;&lt;wsp:rsid wsp:val=&quot;007F0137&quot;/&gt;&lt;wsp:rsid wsp:val=&quot;007F0F44&quot;/&gt;&lt;wsp:rsid wsp:val=&quot;007F13C7&quot;/&gt;&lt;wsp:rsid wsp:val=&quot;007F13E5&quot;/&gt;&lt;wsp:rsid wsp:val=&quot;007F1C37&quot;/&gt;&lt;wsp:rsid wsp:val=&quot;007F1C87&quot;/&gt;&lt;wsp:rsid wsp:val=&quot;007F1EB8&quot;/&gt;&lt;wsp:rsid wsp:val=&quot;007F2148&quot;/&gt;&lt;wsp:rsid wsp:val=&quot;007F2178&quot;/&gt;&lt;wsp:rsid wsp:val=&quot;007F2329&quot;/&gt;&lt;wsp:rsid wsp:val=&quot;007F2475&quot;/&gt;&lt;wsp:rsid wsp:val=&quot;007F28FE&quot;/&gt;&lt;wsp:rsid wsp:val=&quot;007F2C05&quot;/&gt;&lt;wsp:rsid wsp:val=&quot;007F2F0B&quot;/&gt;&lt;wsp:rsid wsp:val=&quot;007F3061&quot;/&gt;&lt;wsp:rsid wsp:val=&quot;007F31BC&quot;/&gt;&lt;wsp:rsid wsp:val=&quot;007F34DE&quot;/&gt;&lt;wsp:rsid wsp:val=&quot;007F390A&quot;/&gt;&lt;wsp:rsid wsp:val=&quot;007F4472&quot;/&gt;&lt;wsp:rsid wsp:val=&quot;007F4B96&quot;/&gt;&lt;wsp:rsid wsp:val=&quot;007F4F74&quot;/&gt;&lt;wsp:rsid wsp:val=&quot;007F5177&quot;/&gt;&lt;wsp:rsid wsp:val=&quot;007F60E6&quot;/&gt;&lt;wsp:rsid wsp:val=&quot;007F6270&quot;/&gt;&lt;wsp:rsid wsp:val=&quot;007F6404&quot;/&gt;&lt;wsp:rsid wsp:val=&quot;007F718E&quot;/&gt;&lt;wsp:rsid wsp:val=&quot;007F771F&quot;/&gt;&lt;wsp:rsid wsp:val=&quot;007F7A4C&quot;/&gt;&lt;wsp:rsid wsp:val=&quot;008001D8&quot;/&gt;&lt;wsp:rsid wsp:val=&quot;008006A8&quot;/&gt;&lt;wsp:rsid wsp:val=&quot;00800BB8&quot;/&gt;&lt;wsp:rsid wsp:val=&quot;00800E2C&quot;/&gt;&lt;wsp:rsid wsp:val=&quot;00800F0F&quot;/&gt;&lt;wsp:rsid wsp:val=&quot;00801002&quot;/&gt;&lt;wsp:rsid wsp:val=&quot;00802450&quot;/&gt;&lt;wsp:rsid wsp:val=&quot;008025B5&quot;/&gt;&lt;wsp:rsid wsp:val=&quot;0080274C&quot;/&gt;&lt;wsp:rsid wsp:val=&quot;00802CB7&quot;/&gt;&lt;wsp:rsid wsp:val=&quot;00802CDF&quot;/&gt;&lt;wsp:rsid wsp:val=&quot;00802E4A&quot;/&gt;&lt;wsp:rsid wsp:val=&quot;00802EE9&quot;/&gt;&lt;wsp:rsid wsp:val=&quot;00803A2E&quot;/&gt;&lt;wsp:rsid wsp:val=&quot;00803FF4&quot;/&gt;&lt;wsp:rsid wsp:val=&quot;0080414C&quot;/&gt;&lt;wsp:rsid wsp:val=&quot;008041B4&quot;/&gt;&lt;wsp:rsid wsp:val=&quot;008043C2&quot;/&gt;&lt;wsp:rsid wsp:val=&quot;00804428&quot;/&gt;&lt;wsp:rsid wsp:val=&quot;00804761&quot;/&gt;&lt;wsp:rsid wsp:val=&quot;008047A2&quot;/&gt;&lt;wsp:rsid wsp:val=&quot;00804A49&quot;/&gt;&lt;wsp:rsid wsp:val=&quot;00804C46&quot;/&gt;&lt;wsp:rsid wsp:val=&quot;008050C6&quot;/&gt;&lt;wsp:rsid wsp:val=&quot;0080576A&quot;/&gt;&lt;wsp:rsid wsp:val=&quot;00805848&quot;/&gt;&lt;wsp:rsid wsp:val=&quot;00806065&quot;/&gt;&lt;wsp:rsid wsp:val=&quot;00806A5A&quot;/&gt;&lt;wsp:rsid wsp:val=&quot;008071B3&quot;/&gt;&lt;wsp:rsid wsp:val=&quot;00807212&quot;/&gt;&lt;wsp:rsid wsp:val=&quot;0080760F&quot;/&gt;&lt;wsp:rsid wsp:val=&quot;00807880&quot;/&gt;&lt;wsp:rsid wsp:val=&quot;00807C26&quot;/&gt;&lt;wsp:rsid wsp:val=&quot;00807F63&quot;/&gt;&lt;wsp:rsid wsp:val=&quot;00810315&quot;/&gt;&lt;wsp:rsid wsp:val=&quot;00810398&quot;/&gt;&lt;wsp:rsid wsp:val=&quot;00810414&quot;/&gt;&lt;wsp:rsid wsp:val=&quot;00810708&quot;/&gt;&lt;wsp:rsid wsp:val=&quot;008108F0&quot;/&gt;&lt;wsp:rsid wsp:val=&quot;008109F5&quot;/&gt;&lt;wsp:rsid wsp:val=&quot;00810C6B&quot;/&gt;&lt;wsp:rsid wsp:val=&quot;00811081&quot;/&gt;&lt;wsp:rsid wsp:val=&quot;008110E1&quot;/&gt;&lt;wsp:rsid wsp:val=&quot;00811601&quot;/&gt;&lt;wsp:rsid wsp:val=&quot;00811852&quot;/&gt;&lt;wsp:rsid wsp:val=&quot;00811902&quot;/&gt;&lt;wsp:rsid wsp:val=&quot;00811A43&quot;/&gt;&lt;wsp:rsid wsp:val=&quot;00811FE4&quot;/&gt;&lt;wsp:rsid wsp:val=&quot;00812170&quot;/&gt;&lt;wsp:rsid wsp:val=&quot;0081258B&quot;/&gt;&lt;wsp:rsid wsp:val=&quot;00812BBB&quot;/&gt;&lt;wsp:rsid wsp:val=&quot;00812C46&quot;/&gt;&lt;wsp:rsid wsp:val=&quot;00812CD9&quot;/&gt;&lt;wsp:rsid wsp:val=&quot;008132A5&quot;/&gt;&lt;wsp:rsid wsp:val=&quot;00813330&quot;/&gt;&lt;wsp:rsid wsp:val=&quot;00813361&quot;/&gt;&lt;wsp:rsid wsp:val=&quot;008134AA&quot;/&gt;&lt;wsp:rsid wsp:val=&quot;008137F2&quot;/&gt;&lt;wsp:rsid wsp:val=&quot;00813849&quot;/&gt;&lt;wsp:rsid wsp:val=&quot;00814082&quot;/&gt;&lt;wsp:rsid wsp:val=&quot;0081486F&quot;/&gt;&lt;wsp:rsid wsp:val=&quot;00814B3B&quot;/&gt;&lt;wsp:rsid wsp:val=&quot;00814B61&quot;/&gt;&lt;wsp:rsid wsp:val=&quot;00815174&quot;/&gt;&lt;wsp:rsid wsp:val=&quot;008155F9&quot;/&gt;&lt;wsp:rsid wsp:val=&quot;008159A1&quot;/&gt;&lt;wsp:rsid wsp:val=&quot;00815B37&quot;/&gt;&lt;wsp:rsid wsp:val=&quot;00815EA7&quot;/&gt;&lt;wsp:rsid wsp:val=&quot;00815EBD&quot;/&gt;&lt;wsp:rsid wsp:val=&quot;008162FE&quot;/&gt;&lt;wsp:rsid wsp:val=&quot;00816398&quot;/&gt;&lt;wsp:rsid wsp:val=&quot;0081654E&quot;/&gt;&lt;wsp:rsid wsp:val=&quot;00816C1E&quot;/&gt;&lt;wsp:rsid wsp:val=&quot;00816C46&quot;/&gt;&lt;wsp:rsid wsp:val=&quot;00816D56&quot;/&gt;&lt;wsp:rsid wsp:val=&quot;008171AB&quot;/&gt;&lt;wsp:rsid wsp:val=&quot;008172B0&quot;/&gt;&lt;wsp:rsid wsp:val=&quot;00817387&quot;/&gt;&lt;wsp:rsid wsp:val=&quot;0081797F&quot;/&gt;&lt;wsp:rsid wsp:val=&quot;008200DC&quot;/&gt;&lt;wsp:rsid wsp:val=&quot;008203C2&quot;/&gt;&lt;wsp:rsid wsp:val=&quot;00821293&quot;/&gt;&lt;wsp:rsid wsp:val=&quot;00821807&quot;/&gt;&lt;wsp:rsid wsp:val=&quot;00821895&quot;/&gt;&lt;wsp:rsid wsp:val=&quot;00821A6B&quot;/&gt;&lt;wsp:rsid wsp:val=&quot;00821CE2&quot;/&gt;&lt;wsp:rsid wsp:val=&quot;008220BB&quot;/&gt;&lt;wsp:rsid wsp:val=&quot;00822539&quot;/&gt;&lt;wsp:rsid wsp:val=&quot;008234B3&quot;/&gt;&lt;wsp:rsid wsp:val=&quot;00823566&quot;/&gt;&lt;wsp:rsid wsp:val=&quot;00823B15&quot;/&gt;&lt;wsp:rsid wsp:val=&quot;00824561&quot;/&gt;&lt;wsp:rsid wsp:val=&quot;0082502E&quot;/&gt;&lt;wsp:rsid wsp:val=&quot;008251CA&quot;/&gt;&lt;wsp:rsid wsp:val=&quot;008253C6&quot;/&gt;&lt;wsp:rsid wsp:val=&quot;008253F0&quot;/&gt;&lt;wsp:rsid wsp:val=&quot;008256F2&quot;/&gt;&lt;wsp:rsid wsp:val=&quot;00825F83&quot;/&gt;&lt;wsp:rsid wsp:val=&quot;0082612E&quot;/&gt;&lt;wsp:rsid wsp:val=&quot;008262C5&quot;/&gt;&lt;wsp:rsid wsp:val=&quot;00826510&quot;/&gt;&lt;wsp:rsid wsp:val=&quot;0082706E&quot;/&gt;&lt;wsp:rsid wsp:val=&quot;0082759B&quot;/&gt;&lt;wsp:rsid wsp:val=&quot;00827BCA&quot;/&gt;&lt;wsp:rsid wsp:val=&quot;00827DAD&quot;/&gt;&lt;wsp:rsid wsp:val=&quot;00827F05&quot;/&gt;&lt;wsp:rsid wsp:val=&quot;00827F6D&quot;/&gt;&lt;wsp:rsid wsp:val=&quot;0083080E&quot;/&gt;&lt;wsp:rsid wsp:val=&quot;0083086C&quot;/&gt;&lt;wsp:rsid wsp:val=&quot;00830CF4&quot;/&gt;&lt;wsp:rsid wsp:val=&quot;00830DAF&quot;/&gt;&lt;wsp:rsid wsp:val=&quot;00830F63&quot;/&gt;&lt;wsp:rsid wsp:val=&quot;00830F77&quot;/&gt;&lt;wsp:rsid wsp:val=&quot;008311D9&quot;/&gt;&lt;wsp:rsid wsp:val=&quot;00831486&quot;/&gt;&lt;wsp:rsid wsp:val=&quot;00831AC1&quot;/&gt;&lt;wsp:rsid wsp:val=&quot;00831F2E&quot;/&gt;&lt;wsp:rsid wsp:val=&quot;008325A4&quot;/&gt;&lt;wsp:rsid wsp:val=&quot;00832ADC&quot;/&gt;&lt;wsp:rsid wsp:val=&quot;00832E81&quot;/&gt;&lt;wsp:rsid wsp:val=&quot;00833A63&quot;/&gt;&lt;wsp:rsid wsp:val=&quot;00833BF2&quot;/&gt;&lt;wsp:rsid wsp:val=&quot;00833D11&quot;/&gt;&lt;wsp:rsid wsp:val=&quot;00833D69&quot;/&gt;&lt;wsp:rsid wsp:val=&quot;00833F52&quot;/&gt;&lt;wsp:rsid wsp:val=&quot;00834120&quot;/&gt;&lt;wsp:rsid wsp:val=&quot;00834185&quot;/&gt;&lt;wsp:rsid wsp:val=&quot;00834541&quot;/&gt;&lt;wsp:rsid wsp:val=&quot;00834920&quot;/&gt;&lt;wsp:rsid wsp:val=&quot;008349E6&quot;/&gt;&lt;wsp:rsid wsp:val=&quot;00834C64&quot;/&gt;&lt;wsp:rsid wsp:val=&quot;00834ECA&quot;/&gt;&lt;wsp:rsid wsp:val=&quot;00834ED1&quot;/&gt;&lt;wsp:rsid wsp:val=&quot;00834EE9&quot;/&gt;&lt;wsp:rsid wsp:val=&quot;00835031&quot;/&gt;&lt;wsp:rsid wsp:val=&quot;008354B6&quot;/&gt;&lt;wsp:rsid wsp:val=&quot;00835797&quot;/&gt;&lt;wsp:rsid wsp:val=&quot;00835A24&quot;/&gt;&lt;wsp:rsid wsp:val=&quot;00835B9C&quot;/&gt;&lt;wsp:rsid wsp:val=&quot;00835BEA&quot;/&gt;&lt;wsp:rsid wsp:val=&quot;00835C42&quot;/&gt;&lt;wsp:rsid wsp:val=&quot;00836133&quot;/&gt;&lt;wsp:rsid wsp:val=&quot;0083635A&quot;/&gt;&lt;wsp:rsid wsp:val=&quot;008365CB&quot;/&gt;&lt;wsp:rsid wsp:val=&quot;00836C7C&quot;/&gt;&lt;wsp:rsid wsp:val=&quot;00836DB2&quot;/&gt;&lt;wsp:rsid wsp:val=&quot;00836F53&quot;/&gt;&lt;wsp:rsid wsp:val=&quot;00837197&quot;/&gt;&lt;wsp:rsid wsp:val=&quot;008375F6&quot;/&gt;&lt;wsp:rsid wsp:val=&quot;008377FE&quot;/&gt;&lt;wsp:rsid wsp:val=&quot;00837A1D&quot;/&gt;&lt;wsp:rsid wsp:val=&quot;00837D64&quot;/&gt;&lt;wsp:rsid wsp:val=&quot;00837E77&quot;/&gt;&lt;wsp:rsid wsp:val=&quot;008400EC&quot;/&gt;&lt;wsp:rsid wsp:val=&quot;0084034A&quot;/&gt;&lt;wsp:rsid wsp:val=&quot;00840447&quot;/&gt;&lt;wsp:rsid wsp:val=&quot;0084099B&quot;/&gt;&lt;wsp:rsid wsp:val=&quot;00840F5A&quot;/&gt;&lt;wsp:rsid wsp:val=&quot;00840FC2&quot;/&gt;&lt;wsp:rsid wsp:val=&quot;0084150B&quot;/&gt;&lt;wsp:rsid wsp:val=&quot;0084178A&quot;/&gt;&lt;wsp:rsid wsp:val=&quot;00841F2F&quot;/&gt;&lt;wsp:rsid wsp:val=&quot;00841F32&quot;/&gt;&lt;wsp:rsid wsp:val=&quot;00841FD5&quot;/&gt;&lt;wsp:rsid wsp:val=&quot;0084207E&quot;/&gt;&lt;wsp:rsid wsp:val=&quot;00843913&quot;/&gt;&lt;wsp:rsid wsp:val=&quot;00843B1E&quot;/&gt;&lt;wsp:rsid wsp:val=&quot;00843B27&quot;/&gt;&lt;wsp:rsid wsp:val=&quot;00844103&quot;/&gt;&lt;wsp:rsid wsp:val=&quot;008441EA&quot;/&gt;&lt;wsp:rsid wsp:val=&quot;00844794&quot;/&gt;&lt;wsp:rsid wsp:val=&quot;008447E6&quot;/&gt;&lt;wsp:rsid wsp:val=&quot;0084482C&quot;/&gt;&lt;wsp:rsid wsp:val=&quot;00845048&quot;/&gt;&lt;wsp:rsid wsp:val=&quot;008452FB&quot;/&gt;&lt;wsp:rsid wsp:val=&quot;008457C9&quot;/&gt;&lt;wsp:rsid wsp:val=&quot;00845898&quot;/&gt;&lt;wsp:rsid wsp:val=&quot;00845C8D&quot;/&gt;&lt;wsp:rsid wsp:val=&quot;00845F37&quot;/&gt;&lt;wsp:rsid wsp:val=&quot;0084642F&quot;/&gt;&lt;wsp:rsid wsp:val=&quot;00846458&quot;/&gt;&lt;wsp:rsid wsp:val=&quot;008465F4&quot;/&gt;&lt;wsp:rsid wsp:val=&quot;00846A80&quot;/&gt;&lt;wsp:rsid wsp:val=&quot;00847162&quot;/&gt;&lt;wsp:rsid wsp:val=&quot;008472BD&quot;/&gt;&lt;wsp:rsid wsp:val=&quot;008473E4&quot;/&gt;&lt;wsp:rsid wsp:val=&quot;008477EC&quot;/&gt;&lt;wsp:rsid wsp:val=&quot;008479D2&quot;/&gt;&lt;wsp:rsid wsp:val=&quot;00847D45&quot;/&gt;&lt;wsp:rsid wsp:val=&quot;00847DFB&quot;/&gt;&lt;wsp:rsid wsp:val=&quot;00847E31&quot;/&gt;&lt;wsp:rsid wsp:val=&quot;00850BAB&quot;/&gt;&lt;wsp:rsid wsp:val=&quot;00851693&quot;/&gt;&lt;wsp:rsid wsp:val=&quot;0085176F&quot;/&gt;&lt;wsp:rsid wsp:val=&quot;0085195C&quot;/&gt;&lt;wsp:rsid wsp:val=&quot;00851F11&quot;/&gt;&lt;wsp:rsid wsp:val=&quot;008521E1&quot;/&gt;&lt;wsp:rsid wsp:val=&quot;0085225F&quot;/&gt;&lt;wsp:rsid wsp:val=&quot;00852400&quot;/&gt;&lt;wsp:rsid wsp:val=&quot;00852D44&quot;/&gt;&lt;wsp:rsid wsp:val=&quot;008530EB&quot;/&gt;&lt;wsp:rsid wsp:val=&quot;0085337D&quot;/&gt;&lt;wsp:rsid wsp:val=&quot;008533E2&quot;/&gt;&lt;wsp:rsid wsp:val=&quot;0085363E&quot;/&gt;&lt;wsp:rsid wsp:val=&quot;00853EC8&quot;/&gt;&lt;wsp:rsid wsp:val=&quot;00853EDE&quot;/&gt;&lt;wsp:rsid wsp:val=&quot;0085402E&quot;/&gt;&lt;wsp:rsid wsp:val=&quot;008541BF&quot;/&gt;&lt;wsp:rsid wsp:val=&quot;008545D3&quot;/&gt;&lt;wsp:rsid wsp:val=&quot;00854628&quot;/&gt;&lt;wsp:rsid wsp:val=&quot;008547C4&quot;/&gt;&lt;wsp:rsid wsp:val=&quot;00854A4F&quot;/&gt;&lt;wsp:rsid wsp:val=&quot;00854D45&quot;/&gt;&lt;wsp:rsid wsp:val=&quot;00854F38&quot;/&gt;&lt;wsp:rsid wsp:val=&quot;00855083&quot;/&gt;&lt;wsp:rsid wsp:val=&quot;00855EDE&quot;/&gt;&lt;wsp:rsid wsp:val=&quot;00855F9C&quot;/&gt;&lt;wsp:rsid wsp:val=&quot;00856487&quot;/&gt;&lt;wsp:rsid wsp:val=&quot;0085684E&quot;/&gt;&lt;wsp:rsid wsp:val=&quot;00856EBC&quot;/&gt;&lt;wsp:rsid wsp:val=&quot;00857644&quot;/&gt;&lt;wsp:rsid wsp:val=&quot;00857B5D&quot;/&gt;&lt;wsp:rsid wsp:val=&quot;00857BD4&quot;/&gt;&lt;wsp:rsid wsp:val=&quot;00857C3A&quot;/&gt;&lt;wsp:rsid wsp:val=&quot;00857F77&quot;/&gt;&lt;wsp:rsid wsp:val=&quot;00860617&quot;/&gt;&lt;wsp:rsid wsp:val=&quot;008606ED&quot;/&gt;&lt;wsp:rsid wsp:val=&quot;0086099B&quot;/&gt;&lt;wsp:rsid wsp:val=&quot;00860CB8&quot;/&gt;&lt;wsp:rsid wsp:val=&quot;00860E78&quot;/&gt;&lt;wsp:rsid wsp:val=&quot;00860F42&quot;/&gt;&lt;wsp:rsid wsp:val=&quot;0086129F&quot;/&gt;&lt;wsp:rsid wsp:val=&quot;00861D60&quot;/&gt;&lt;wsp:rsid wsp:val=&quot;0086286D&quot;/&gt;&lt;wsp:rsid wsp:val=&quot;0086299E&quot;/&gt;&lt;wsp:rsid wsp:val=&quot;00862A79&quot;/&gt;&lt;wsp:rsid wsp:val=&quot;00862B26&quot;/&gt;&lt;wsp:rsid wsp:val=&quot;00862DF6&quot;/&gt;&lt;wsp:rsid wsp:val=&quot;0086306A&quot;/&gt;&lt;wsp:rsid wsp:val=&quot;0086392F&quot;/&gt;&lt;wsp:rsid wsp:val=&quot;00863A18&quot;/&gt;&lt;wsp:rsid wsp:val=&quot;00863A9C&quot;/&gt;&lt;wsp:rsid wsp:val=&quot;00863AAB&quot;/&gt;&lt;wsp:rsid wsp:val=&quot;00863B3E&quot;/&gt;&lt;wsp:rsid wsp:val=&quot;00863BCA&quot;/&gt;&lt;wsp:rsid wsp:val=&quot;00863C5D&quot;/&gt;&lt;wsp:rsid wsp:val=&quot;00864B9C&quot;/&gt;&lt;wsp:rsid wsp:val=&quot;00864DD5&quot;/&gt;&lt;wsp:rsid wsp:val=&quot;00864E60&quot;/&gt;&lt;wsp:rsid wsp:val=&quot;008651C2&quot;/&gt;&lt;wsp:rsid wsp:val=&quot;008656B8&quot;/&gt;&lt;wsp:rsid wsp:val=&quot;0086572F&quot;/&gt;&lt;wsp:rsid wsp:val=&quot;00865818&quot;/&gt;&lt;wsp:rsid wsp:val=&quot;0086582D&quot;/&gt;&lt;wsp:rsid wsp:val=&quot;00865D23&quot;/&gt;&lt;wsp:rsid wsp:val=&quot;00866052&quot;/&gt;&lt;wsp:rsid wsp:val=&quot;00866268&quot;/&gt;&lt;wsp:rsid wsp:val=&quot;008668B7&quot;/&gt;&lt;wsp:rsid wsp:val=&quot;00866EEA&quot;/&gt;&lt;wsp:rsid wsp:val=&quot;0086727A&quot;/&gt;&lt;wsp:rsid wsp:val=&quot;00867798&quot;/&gt;&lt;wsp:rsid wsp:val=&quot;008677CD&quot;/&gt;&lt;wsp:rsid wsp:val=&quot;00867A65&quot;/&gt;&lt;wsp:rsid wsp:val=&quot;00867C5A&quot;/&gt;&lt;wsp:rsid wsp:val=&quot;00867CB4&quot;/&gt;&lt;wsp:rsid wsp:val=&quot;00867CC3&quot;/&gt;&lt;wsp:rsid wsp:val=&quot;00867D03&quot;/&gt;&lt;wsp:rsid wsp:val=&quot;00867D35&quot;/&gt;&lt;wsp:rsid wsp:val=&quot;0087007F&quot;/&gt;&lt;wsp:rsid wsp:val=&quot;0087015A&quot;/&gt;&lt;wsp:rsid wsp:val=&quot;00870441&quot;/&gt;&lt;wsp:rsid wsp:val=&quot;008705CF&quot;/&gt;&lt;wsp:rsid wsp:val=&quot;00870F38&quot;/&gt;&lt;wsp:rsid wsp:val=&quot;00871074&quot;/&gt;&lt;wsp:rsid wsp:val=&quot;00871C8C&quot;/&gt;&lt;wsp:rsid wsp:val=&quot;008720CB&quot;/&gt;&lt;wsp:rsid wsp:val=&quot;008726A9&quot;/&gt;&lt;wsp:rsid wsp:val=&quot;00872787&quot;/&gt;&lt;wsp:rsid wsp:val=&quot;008729D0&quot;/&gt;&lt;wsp:rsid wsp:val=&quot;00872C40&quot;/&gt;&lt;wsp:rsid wsp:val=&quot;00872D7F&quot;/&gt;&lt;wsp:rsid wsp:val=&quot;00872DB3&quot;/&gt;&lt;wsp:rsid wsp:val=&quot;008736C3&quot;/&gt;&lt;wsp:rsid wsp:val=&quot;0087390D&quot;/&gt;&lt;wsp:rsid wsp:val=&quot;00873CBA&quot;/&gt;&lt;wsp:rsid wsp:val=&quot;00874008&quot;/&gt;&lt;wsp:rsid wsp:val=&quot;008740A4&quot;/&gt;&lt;wsp:rsid wsp:val=&quot;00874188&quot;/&gt;&lt;wsp:rsid wsp:val=&quot;0087486B&quot;/&gt;&lt;wsp:rsid wsp:val=&quot;00875314&quot;/&gt;&lt;wsp:rsid wsp:val=&quot;0087532C&quot;/&gt;&lt;wsp:rsid wsp:val=&quot;00875357&quot;/&gt;&lt;wsp:rsid wsp:val=&quot;00875535&quot;/&gt;&lt;wsp:rsid wsp:val=&quot;00875647&quot;/&gt;&lt;wsp:rsid wsp:val=&quot;00875C02&quot;/&gt;&lt;wsp:rsid wsp:val=&quot;00875C95&quot;/&gt;&lt;wsp:rsid wsp:val=&quot;0087627E&quot;/&gt;&lt;wsp:rsid wsp:val=&quot;00876323&quot;/&gt;&lt;wsp:rsid wsp:val=&quot;00876E08&quot;/&gt;&lt;wsp:rsid wsp:val=&quot;008771C4&quot;/&gt;&lt;wsp:rsid wsp:val=&quot;008771E1&quot;/&gt;&lt;wsp:rsid wsp:val=&quot;008772EF&quot;/&gt;&lt;wsp:rsid wsp:val=&quot;00877482&quot;/&gt;&lt;wsp:rsid wsp:val=&quot;0087793A&quot;/&gt;&lt;wsp:rsid wsp:val=&quot;00877A42&quot;/&gt;&lt;wsp:rsid wsp:val=&quot;00877CCA&quot;/&gt;&lt;wsp:rsid wsp:val=&quot;00877E26&quot;/&gt;&lt;wsp:rsid wsp:val=&quot;00877F97&quot;/&gt;&lt;wsp:rsid wsp:val=&quot;00880187&quot;/&gt;&lt;wsp:rsid wsp:val=&quot;008807B2&quot;/&gt;&lt;wsp:rsid wsp:val=&quot;00880B0F&quot;/&gt;&lt;wsp:rsid wsp:val=&quot;00880B38&quot;/&gt;&lt;wsp:rsid wsp:val=&quot;008810ED&quot;/&gt;&lt;wsp:rsid wsp:val=&quot;0088155F&quot;/&gt;&lt;wsp:rsid wsp:val=&quot;00881959&quot;/&gt;&lt;wsp:rsid wsp:val=&quot;00881ABE&quot;/&gt;&lt;wsp:rsid wsp:val=&quot;00881C47&quot;/&gt;&lt;wsp:rsid wsp:val=&quot;00881FA6&quot;/&gt;&lt;wsp:rsid wsp:val=&quot;00881FC5&quot;/&gt;&lt;wsp:rsid wsp:val=&quot;008827B5&quot;/&gt;&lt;wsp:rsid wsp:val=&quot;00882E0E&quot;/&gt;&lt;wsp:rsid wsp:val=&quot;00883479&quot;/&gt;&lt;wsp:rsid wsp:val=&quot;00883601&quot;/&gt;&lt;wsp:rsid wsp:val=&quot;00884438&quot;/&gt;&lt;wsp:rsid wsp:val=&quot;008845D2&quot;/&gt;&lt;wsp:rsid wsp:val=&quot;00884689&quot;/&gt;&lt;wsp:rsid wsp:val=&quot;00884986&quot;/&gt;&lt;wsp:rsid wsp:val=&quot;00884E3A&quot;/&gt;&lt;wsp:rsid wsp:val=&quot;00884F66&quot;/&gt;&lt;wsp:rsid wsp:val=&quot;00885945&quot;/&gt;&lt;wsp:rsid wsp:val=&quot;00886031&quot;/&gt;&lt;wsp:rsid wsp:val=&quot;00886287&quot;/&gt;&lt;wsp:rsid wsp:val=&quot;008865EF&quot;/&gt;&lt;wsp:rsid wsp:val=&quot;00886926&quot;/&gt;&lt;wsp:rsid wsp:val=&quot;008869CD&quot;/&gt;&lt;wsp:rsid wsp:val=&quot;00886C82&quot;/&gt;&lt;wsp:rsid wsp:val=&quot;00886CA9&quot;/&gt;&lt;wsp:rsid wsp:val=&quot;00886F3F&quot;/&gt;&lt;wsp:rsid wsp:val=&quot;00887159&quot;/&gt;&lt;wsp:rsid wsp:val=&quot;008871E3&quot;/&gt;&lt;wsp:rsid wsp:val=&quot;0088732A&quot;/&gt;&lt;wsp:rsid wsp:val=&quot;008876C3&quot;/&gt;&lt;wsp:rsid wsp:val=&quot;0088771E&quot;/&gt;&lt;wsp:rsid wsp:val=&quot;00887E0A&quot;/&gt;&lt;wsp:rsid wsp:val=&quot;00887F79&quot;/&gt;&lt;wsp:rsid wsp:val=&quot;00890178&quot;/&gt;&lt;wsp:rsid wsp:val=&quot;0089018B&quot;/&gt;&lt;wsp:rsid wsp:val=&quot;008908F5&quot;/&gt;&lt;wsp:rsid wsp:val=&quot;00890907&quot;/&gt;&lt;wsp:rsid wsp:val=&quot;00890DFA&quot;/&gt;&lt;wsp:rsid wsp:val=&quot;00890F78&quot;/&gt;&lt;wsp:rsid wsp:val=&quot;0089120C&quot;/&gt;&lt;wsp:rsid wsp:val=&quot;008912E6&quot;/&gt;&lt;wsp:rsid wsp:val=&quot;0089138D&quot;/&gt;&lt;wsp:rsid wsp:val=&quot;00891863&quot;/&gt;&lt;wsp:rsid wsp:val=&quot;00891FAF&quot;/&gt;&lt;wsp:rsid wsp:val=&quot;008925B1&quot;/&gt;&lt;wsp:rsid wsp:val=&quot;0089275F&quot;/&gt;&lt;wsp:rsid wsp:val=&quot;00892A3B&quot;/&gt;&lt;wsp:rsid wsp:val=&quot;00892CA5&quot;/&gt;&lt;wsp:rsid wsp:val=&quot;00892E00&quot;/&gt;&lt;wsp:rsid wsp:val=&quot;00892E48&quot;/&gt;&lt;wsp:rsid wsp:val=&quot;00892E84&quot;/&gt;&lt;wsp:rsid wsp:val=&quot;0089333C&quot;/&gt;&lt;wsp:rsid wsp:val=&quot;00893479&quot;/&gt;&lt;wsp:rsid wsp:val=&quot;00893902&quot;/&gt;&lt;wsp:rsid wsp:val=&quot;00893A12&quot;/&gt;&lt;wsp:rsid wsp:val=&quot;00894712&quot;/&gt;&lt;wsp:rsid wsp:val=&quot;00894888&quot;/&gt;&lt;wsp:rsid wsp:val=&quot;008949DC&quot;/&gt;&lt;wsp:rsid wsp:val=&quot;00894D38&quot;/&gt;&lt;wsp:rsid wsp:val=&quot;00894EB0&quot;/&gt;&lt;wsp:rsid wsp:val=&quot;008950DA&quot;/&gt;&lt;wsp:rsid wsp:val=&quot;00895431&quot;/&gt;&lt;wsp:rsid wsp:val=&quot;00896177&quot;/&gt;&lt;wsp:rsid wsp:val=&quot;0089699E&quot;/&gt;&lt;wsp:rsid wsp:val=&quot;00896A7F&quot;/&gt;&lt;wsp:rsid wsp:val=&quot;00897169&quot;/&gt;&lt;wsp:rsid wsp:val=&quot;00897285&quot;/&gt;&lt;wsp:rsid wsp:val=&quot;00897399&quot;/&gt;&lt;wsp:rsid wsp:val=&quot;00897681&quot;/&gt;&lt;wsp:rsid wsp:val=&quot;0089779C&quot;/&gt;&lt;wsp:rsid wsp:val=&quot;00897D80&quot;/&gt;&lt;wsp:rsid wsp:val=&quot;00897DD2&quot;/&gt;&lt;wsp:rsid wsp:val=&quot;008A0385&quot;/&gt;&lt;wsp:rsid wsp:val=&quot;008A0DCD&quot;/&gt;&lt;wsp:rsid wsp:val=&quot;008A0EDE&quot;/&gt;&lt;wsp:rsid wsp:val=&quot;008A0EE8&quot;/&gt;&lt;wsp:rsid wsp:val=&quot;008A1306&quot;/&gt;&lt;wsp:rsid wsp:val=&quot;008A14C4&quot;/&gt;&lt;wsp:rsid wsp:val=&quot;008A20A1&quot;/&gt;&lt;wsp:rsid wsp:val=&quot;008A241C&quot;/&gt;&lt;wsp:rsid wsp:val=&quot;008A247F&quot;/&gt;&lt;wsp:rsid wsp:val=&quot;008A25DF&quot;/&gt;&lt;wsp:rsid wsp:val=&quot;008A2A7F&quot;/&gt;&lt;wsp:rsid wsp:val=&quot;008A2BC2&quot;/&gt;&lt;wsp:rsid wsp:val=&quot;008A2EED&quot;/&gt;&lt;wsp:rsid wsp:val=&quot;008A3B93&quot;/&gt;&lt;wsp:rsid wsp:val=&quot;008A3C64&quot;/&gt;&lt;wsp:rsid wsp:val=&quot;008A3D0B&quot;/&gt;&lt;wsp:rsid wsp:val=&quot;008A3EBD&quot;/&gt;&lt;wsp:rsid wsp:val=&quot;008A3FE9&quot;/&gt;&lt;wsp:rsid wsp:val=&quot;008A4144&quot;/&gt;&lt;wsp:rsid wsp:val=&quot;008A4E20&quot;/&gt;&lt;wsp:rsid wsp:val=&quot;008A4EA3&quot;/&gt;&lt;wsp:rsid wsp:val=&quot;008A5893&quot;/&gt;&lt;wsp:rsid wsp:val=&quot;008A5F7B&quot;/&gt;&lt;wsp:rsid wsp:val=&quot;008A6419&quot;/&gt;&lt;wsp:rsid wsp:val=&quot;008A6E62&quot;/&gt;&lt;wsp:rsid wsp:val=&quot;008A7024&quot;/&gt;&lt;wsp:rsid wsp:val=&quot;008A760B&quot;/&gt;&lt;wsp:rsid wsp:val=&quot;008A7E5B&quot;/&gt;&lt;wsp:rsid wsp:val=&quot;008A7F16&quot;/&gt;&lt;wsp:rsid wsp:val=&quot;008A7FF1&quot;/&gt;&lt;wsp:rsid wsp:val=&quot;008B03B8&quot;/&gt;&lt;wsp:rsid wsp:val=&quot;008B0AEA&quot;/&gt;&lt;wsp:rsid wsp:val=&quot;008B0CE3&quot;/&gt;&lt;wsp:rsid wsp:val=&quot;008B0CFB&quot;/&gt;&lt;wsp:rsid wsp:val=&quot;008B0D74&quot;/&gt;&lt;wsp:rsid wsp:val=&quot;008B1657&quot;/&gt;&lt;wsp:rsid wsp:val=&quot;008B167F&quot;/&gt;&lt;wsp:rsid wsp:val=&quot;008B1B1E&quot;/&gt;&lt;wsp:rsid wsp:val=&quot;008B1C53&quot;/&gt;&lt;wsp:rsid wsp:val=&quot;008B1EDF&quot;/&gt;&lt;wsp:rsid wsp:val=&quot;008B21D4&quot;/&gt;&lt;wsp:rsid wsp:val=&quot;008B22BA&quot;/&gt;&lt;wsp:rsid wsp:val=&quot;008B2A6C&quot;/&gt;&lt;wsp:rsid wsp:val=&quot;008B2C88&quot;/&gt;&lt;wsp:rsid wsp:val=&quot;008B317E&quot;/&gt;&lt;wsp:rsid wsp:val=&quot;008B3BFC&quot;/&gt;&lt;wsp:rsid wsp:val=&quot;008B417A&quot;/&gt;&lt;wsp:rsid wsp:val=&quot;008B47DF&quot;/&gt;&lt;wsp:rsid wsp:val=&quot;008B4ACB&quot;/&gt;&lt;wsp:rsid wsp:val=&quot;008B4BD6&quot;/&gt;&lt;wsp:rsid wsp:val=&quot;008B4C4F&quot;/&gt;&lt;wsp:rsid wsp:val=&quot;008B4CD5&quot;/&gt;&lt;wsp:rsid wsp:val=&quot;008B4D67&quot;/&gt;&lt;wsp:rsid wsp:val=&quot;008B513C&quot;/&gt;&lt;wsp:rsid wsp:val=&quot;008B515C&quot;/&gt;&lt;wsp:rsid wsp:val=&quot;008B544C&quot;/&gt;&lt;wsp:rsid wsp:val=&quot;008B5962&quot;/&gt;&lt;wsp:rsid wsp:val=&quot;008B62D2&quot;/&gt;&lt;wsp:rsid wsp:val=&quot;008B6326&quot;/&gt;&lt;wsp:rsid wsp:val=&quot;008B6513&quot;/&gt;&lt;wsp:rsid wsp:val=&quot;008B6CC7&quot;/&gt;&lt;wsp:rsid wsp:val=&quot;008B7083&quot;/&gt;&lt;wsp:rsid wsp:val=&quot;008B79F6&quot;/&gt;&lt;wsp:rsid wsp:val=&quot;008B7BA6&quot;/&gt;&lt;wsp:rsid wsp:val=&quot;008B7BDD&quot;/&gt;&lt;wsp:rsid wsp:val=&quot;008C004F&quot;/&gt;&lt;wsp:rsid wsp:val=&quot;008C00FA&quot;/&gt;&lt;wsp:rsid wsp:val=&quot;008C031E&quot;/&gt;&lt;wsp:rsid wsp:val=&quot;008C0496&quot;/&gt;&lt;wsp:rsid wsp:val=&quot;008C0725&quot;/&gt;&lt;wsp:rsid wsp:val=&quot;008C09C3&quot;/&gt;&lt;wsp:rsid wsp:val=&quot;008C0A2C&quot;/&gt;&lt;wsp:rsid wsp:val=&quot;008C0CD1&quot;/&gt;&lt;wsp:rsid wsp:val=&quot;008C0FCD&quot;/&gt;&lt;wsp:rsid wsp:val=&quot;008C141C&quot;/&gt;&lt;wsp:rsid wsp:val=&quot;008C178B&quot;/&gt;&lt;wsp:rsid wsp:val=&quot;008C1CEF&quot;/&gt;&lt;wsp:rsid wsp:val=&quot;008C1FB8&quot;/&gt;&lt;wsp:rsid wsp:val=&quot;008C2188&quot;/&gt;&lt;wsp:rsid wsp:val=&quot;008C28FC&quot;/&gt;&lt;wsp:rsid wsp:val=&quot;008C2B53&quot;/&gt;&lt;wsp:rsid wsp:val=&quot;008C2C5D&quot;/&gt;&lt;wsp:rsid wsp:val=&quot;008C2DF1&quot;/&gt;&lt;wsp:rsid wsp:val=&quot;008C2E09&quot;/&gt;&lt;wsp:rsid wsp:val=&quot;008C2E73&quot;/&gt;&lt;wsp:rsid wsp:val=&quot;008C2F26&quot;/&gt;&lt;wsp:rsid wsp:val=&quot;008C304E&quot;/&gt;&lt;wsp:rsid wsp:val=&quot;008C3341&quot;/&gt;&lt;wsp:rsid wsp:val=&quot;008C3B27&quot;/&gt;&lt;wsp:rsid wsp:val=&quot;008C40F4&quot;/&gt;&lt;wsp:rsid wsp:val=&quot;008C4236&quot;/&gt;&lt;wsp:rsid wsp:val=&quot;008C440D&quot;/&gt;&lt;wsp:rsid wsp:val=&quot;008C45EB&quot;/&gt;&lt;wsp:rsid wsp:val=&quot;008C4AA7&quot;/&gt;&lt;wsp:rsid wsp:val=&quot;008C5370&quot;/&gt;&lt;wsp:rsid wsp:val=&quot;008C53E6&quot;/&gt;&lt;wsp:rsid wsp:val=&quot;008C61E8&quot;/&gt;&lt;wsp:rsid wsp:val=&quot;008C65D8&quot;/&gt;&lt;wsp:rsid wsp:val=&quot;008C6723&quot;/&gt;&lt;wsp:rsid wsp:val=&quot;008C69F0&quot;/&gt;&lt;wsp:rsid wsp:val=&quot;008C6F58&quot;/&gt;&lt;wsp:rsid wsp:val=&quot;008C71C6&quot;/&gt;&lt;wsp:rsid wsp:val=&quot;008C7236&quot;/&gt;&lt;wsp:rsid wsp:val=&quot;008C7457&quot;/&gt;&lt;wsp:rsid wsp:val=&quot;008C765C&quot;/&gt;&lt;wsp:rsid wsp:val=&quot;008C7731&quot;/&gt;&lt;wsp:rsid wsp:val=&quot;008C77E4&quot;/&gt;&lt;wsp:rsid wsp:val=&quot;008C7A0B&quot;/&gt;&lt;wsp:rsid wsp:val=&quot;008C7A60&quot;/&gt;&lt;wsp:rsid wsp:val=&quot;008C7B67&quot;/&gt;&lt;wsp:rsid wsp:val=&quot;008C7F15&quot;/&gt;&lt;wsp:rsid wsp:val=&quot;008D09DE&quot;/&gt;&lt;wsp:rsid wsp:val=&quot;008D0F15&quot;/&gt;&lt;wsp:rsid wsp:val=&quot;008D1621&quot;/&gt;&lt;wsp:rsid wsp:val=&quot;008D172B&quot;/&gt;&lt;wsp:rsid wsp:val=&quot;008D1BA5&quot;/&gt;&lt;wsp:rsid wsp:val=&quot;008D2C98&quot;/&gt;&lt;wsp:rsid wsp:val=&quot;008D3458&quot;/&gt;&lt;wsp:rsid wsp:val=&quot;008D345E&quot;/&gt;&lt;wsp:rsid wsp:val=&quot;008D3466&quot;/&gt;&lt;wsp:rsid wsp:val=&quot;008D3B15&quot;/&gt;&lt;wsp:rsid wsp:val=&quot;008D3B7B&quot;/&gt;&lt;wsp:rsid wsp:val=&quot;008D3C87&quot;/&gt;&lt;wsp:rsid wsp:val=&quot;008D4662&quot;/&gt;&lt;wsp:rsid wsp:val=&quot;008D46B1&quot;/&gt;&lt;wsp:rsid wsp:val=&quot;008D5085&quot;/&gt;&lt;wsp:rsid wsp:val=&quot;008D514A&quot;/&gt;&lt;wsp:rsid wsp:val=&quot;008D55C8&quot;/&gt;&lt;wsp:rsid wsp:val=&quot;008D621C&quot;/&gt;&lt;wsp:rsid wsp:val=&quot;008D656C&quot;/&gt;&lt;wsp:rsid wsp:val=&quot;008D6AB6&quot;/&gt;&lt;wsp:rsid wsp:val=&quot;008D6AEA&quot;/&gt;&lt;wsp:rsid wsp:val=&quot;008D6F9D&quot;/&gt;&lt;wsp:rsid wsp:val=&quot;008D72C8&quot;/&gt;&lt;wsp:rsid wsp:val=&quot;008D770F&quot;/&gt;&lt;wsp:rsid wsp:val=&quot;008D7967&quot;/&gt;&lt;wsp:rsid wsp:val=&quot;008D7A0C&quot;/&gt;&lt;wsp:rsid wsp:val=&quot;008D7B18&quot;/&gt;&lt;wsp:rsid wsp:val=&quot;008E0261&quot;/&gt;&lt;wsp:rsid wsp:val=&quot;008E050A&quot;/&gt;&lt;wsp:rsid wsp:val=&quot;008E06ED&quot;/&gt;&lt;wsp:rsid wsp:val=&quot;008E093D&quot;/&gt;&lt;wsp:rsid wsp:val=&quot;008E14EB&quot;/&gt;&lt;wsp:rsid wsp:val=&quot;008E15B8&quot;/&gt;&lt;wsp:rsid wsp:val=&quot;008E1948&quot;/&gt;&lt;wsp:rsid wsp:val=&quot;008E1BEC&quot;/&gt;&lt;wsp:rsid wsp:val=&quot;008E1CB1&quot;/&gt;&lt;wsp:rsid wsp:val=&quot;008E1F08&quot;/&gt;&lt;wsp:rsid wsp:val=&quot;008E2320&quot;/&gt;&lt;wsp:rsid wsp:val=&quot;008E240F&quot;/&gt;&lt;wsp:rsid wsp:val=&quot;008E2575&quot;/&gt;&lt;wsp:rsid wsp:val=&quot;008E2A9B&quot;/&gt;&lt;wsp:rsid wsp:val=&quot;008E2BD1&quot;/&gt;&lt;wsp:rsid wsp:val=&quot;008E3342&quot;/&gt;&lt;wsp:rsid wsp:val=&quot;008E3398&quot;/&gt;&lt;wsp:rsid wsp:val=&quot;008E39F4&quot;/&gt;&lt;wsp:rsid wsp:val=&quot;008E3B1C&quot;/&gt;&lt;wsp:rsid wsp:val=&quot;008E3EB2&quot;/&gt;&lt;wsp:rsid wsp:val=&quot;008E4C43&quot;/&gt;&lt;wsp:rsid wsp:val=&quot;008E52F2&quot;/&gt;&lt;wsp:rsid wsp:val=&quot;008E539B&quot;/&gt;&lt;wsp:rsid wsp:val=&quot;008E5769&quot;/&gt;&lt;wsp:rsid wsp:val=&quot;008E58ED&quot;/&gt;&lt;wsp:rsid wsp:val=&quot;008E5B55&quot;/&gt;&lt;wsp:rsid wsp:val=&quot;008E5BD6&quot;/&gt;&lt;wsp:rsid wsp:val=&quot;008E5F0C&quot;/&gt;&lt;wsp:rsid wsp:val=&quot;008E6158&quot;/&gt;&lt;wsp:rsid wsp:val=&quot;008E62F9&quot;/&gt;&lt;wsp:rsid wsp:val=&quot;008E6605&quot;/&gt;&lt;wsp:rsid wsp:val=&quot;008E673A&quot;/&gt;&lt;wsp:rsid wsp:val=&quot;008E67E1&quot;/&gt;&lt;wsp:rsid wsp:val=&quot;008E6921&quot;/&gt;&lt;wsp:rsid wsp:val=&quot;008E6AEC&quot;/&gt;&lt;wsp:rsid wsp:val=&quot;008E6BFD&quot;/&gt;&lt;wsp:rsid wsp:val=&quot;008E6CBC&quot;/&gt;&lt;wsp:rsid wsp:val=&quot;008E6F19&quot;/&gt;&lt;wsp:rsid wsp:val=&quot;008E79A0&quot;/&gt;&lt;wsp:rsid wsp:val=&quot;008E7DAA&quot;/&gt;&lt;wsp:rsid wsp:val=&quot;008F0505&quot;/&gt;&lt;wsp:rsid wsp:val=&quot;008F0771&quot;/&gt;&lt;wsp:rsid wsp:val=&quot;008F0966&quot;/&gt;&lt;wsp:rsid wsp:val=&quot;008F0E42&quot;/&gt;&lt;wsp:rsid wsp:val=&quot;008F0E74&quot;/&gt;&lt;wsp:rsid wsp:val=&quot;008F1131&quot;/&gt;&lt;wsp:rsid wsp:val=&quot;008F195C&quot;/&gt;&lt;wsp:rsid wsp:val=&quot;008F1A00&quot;/&gt;&lt;wsp:rsid wsp:val=&quot;008F1AD7&quot;/&gt;&lt;wsp:rsid wsp:val=&quot;008F22D5&quot;/&gt;&lt;wsp:rsid wsp:val=&quot;008F23C5&quot;/&gt;&lt;wsp:rsid wsp:val=&quot;008F26C8&quot;/&gt;&lt;wsp:rsid wsp:val=&quot;008F29EB&quot;/&gt;&lt;wsp:rsid wsp:val=&quot;008F2DDD&quot;/&gt;&lt;wsp:rsid wsp:val=&quot;008F30D9&quot;/&gt;&lt;wsp:rsid wsp:val=&quot;008F359F&quot;/&gt;&lt;wsp:rsid wsp:val=&quot;008F37EC&quot;/&gt;&lt;wsp:rsid wsp:val=&quot;008F3CF8&quot;/&gt;&lt;wsp:rsid wsp:val=&quot;008F3D5C&quot;/&gt;&lt;wsp:rsid wsp:val=&quot;008F3F23&quot;/&gt;&lt;wsp:rsid wsp:val=&quot;008F3F37&quot;/&gt;&lt;wsp:rsid wsp:val=&quot;008F46EB&quot;/&gt;&lt;wsp:rsid wsp:val=&quot;008F4BD8&quot;/&gt;&lt;wsp:rsid wsp:val=&quot;008F4D67&quot;/&gt;&lt;wsp:rsid wsp:val=&quot;008F4E9C&quot;/&gt;&lt;wsp:rsid wsp:val=&quot;008F514D&quot;/&gt;&lt;wsp:rsid wsp:val=&quot;008F546D&quot;/&gt;&lt;wsp:rsid wsp:val=&quot;008F5489&quot;/&gt;&lt;wsp:rsid wsp:val=&quot;008F5BE4&quot;/&gt;&lt;wsp:rsid wsp:val=&quot;008F5C1E&quot;/&gt;&lt;wsp:rsid wsp:val=&quot;008F5C8A&quot;/&gt;&lt;wsp:rsid wsp:val=&quot;008F601F&quot;/&gt;&lt;wsp:rsid wsp:val=&quot;008F6099&quot;/&gt;&lt;wsp:rsid wsp:val=&quot;008F618B&quot;/&gt;&lt;wsp:rsid wsp:val=&quot;008F667B&quot;/&gt;&lt;wsp:rsid wsp:val=&quot;008F6C87&quot;/&gt;&lt;wsp:rsid wsp:val=&quot;008F70CD&quot;/&gt;&lt;wsp:rsid wsp:val=&quot;008F7C27&quot;/&gt;&lt;wsp:rsid wsp:val=&quot;00900513&quot;/&gt;&lt;wsp:rsid wsp:val=&quot;00900E61&quot;/&gt;&lt;wsp:rsid wsp:val=&quot;0090117A&quot;/&gt;&lt;wsp:rsid wsp:val=&quot;0090154D&quot;/&gt;&lt;wsp:rsid wsp:val=&quot;00901580&quot;/&gt;&lt;wsp:rsid wsp:val=&quot;0090189D&quot;/&gt;&lt;wsp:rsid wsp:val=&quot;0090293D&quot;/&gt;&lt;wsp:rsid wsp:val=&quot;00902AC5&quot;/&gt;&lt;wsp:rsid wsp:val=&quot;00902C25&quot;/&gt;&lt;wsp:rsid wsp:val=&quot;0090300A&quot;/&gt;&lt;wsp:rsid wsp:val=&quot;00903216&quot;/&gt;&lt;wsp:rsid wsp:val=&quot;00903272&quot;/&gt;&lt;wsp:rsid wsp:val=&quot;00903532&quot;/&gt;&lt;wsp:rsid wsp:val=&quot;00903794&quot;/&gt;&lt;wsp:rsid wsp:val=&quot;00904FBC&quot;/&gt;&lt;wsp:rsid wsp:val=&quot;009055EB&quot;/&gt;&lt;wsp:rsid wsp:val=&quot;00905B69&quot;/&gt;&lt;wsp:rsid wsp:val=&quot;009060A8&quot;/&gt;&lt;wsp:rsid wsp:val=&quot;00906853&quot;/&gt;&lt;wsp:rsid wsp:val=&quot;00906856&quot;/&gt;&lt;wsp:rsid wsp:val=&quot;00906864&quot;/&gt;&lt;wsp:rsid wsp:val=&quot;00906A15&quot;/&gt;&lt;wsp:rsid wsp:val=&quot;00906ABF&quot;/&gt;&lt;wsp:rsid wsp:val=&quot;00906C11&quot;/&gt;&lt;wsp:rsid wsp:val=&quot;009071AE&quot;/&gt;&lt;wsp:rsid wsp:val=&quot;0090749D&quot;/&gt;&lt;wsp:rsid wsp:val=&quot;00907596&quot;/&gt;&lt;wsp:rsid wsp:val=&quot;0090764B&quot;/&gt;&lt;wsp:rsid wsp:val=&quot;009076CB&quot;/&gt;&lt;wsp:rsid wsp:val=&quot;009078AF&quot;/&gt;&lt;wsp:rsid wsp:val=&quot;00907EB1&quot;/&gt;&lt;wsp:rsid wsp:val=&quot;00907EEC&quot;/&gt;&lt;wsp:rsid wsp:val=&quot;009102C4&quot;/&gt;&lt;wsp:rsid wsp:val=&quot;00910BA2&quot;/&gt;&lt;wsp:rsid wsp:val=&quot;00910D04&quot;/&gt;&lt;wsp:rsid wsp:val=&quot;00910F7B&quot;/&gt;&lt;wsp:rsid wsp:val=&quot;009115C8&quot;/&gt;&lt;wsp:rsid wsp:val=&quot;00911733&quot;/&gt;&lt;wsp:rsid wsp:val=&quot;0091179B&quot;/&gt;&lt;wsp:rsid wsp:val=&quot;0091257C&quot;/&gt;&lt;wsp:rsid wsp:val=&quot;0091271F&quot;/&gt;&lt;wsp:rsid wsp:val=&quot;00912CE0&quot;/&gt;&lt;wsp:rsid wsp:val=&quot;00912DD2&quot;/&gt;&lt;wsp:rsid wsp:val=&quot;00912F07&quot;/&gt;&lt;wsp:rsid wsp:val=&quot;00912F87&quot;/&gt;&lt;wsp:rsid wsp:val=&quot;009132AA&quot;/&gt;&lt;wsp:rsid wsp:val=&quot;009135E5&quot;/&gt;&lt;wsp:rsid wsp:val=&quot;00913717&quot;/&gt;&lt;wsp:rsid wsp:val=&quot;00913790&quot;/&gt;&lt;wsp:rsid wsp:val=&quot;00913C7F&quot;/&gt;&lt;wsp:rsid wsp:val=&quot;00913D47&quot;/&gt;&lt;wsp:rsid wsp:val=&quot;00913E9D&quot;/&gt;&lt;wsp:rsid wsp:val=&quot;009143DF&quot;/&gt;&lt;wsp:rsid wsp:val=&quot;00914437&quot;/&gt;&lt;wsp:rsid wsp:val=&quot;009147CE&quot;/&gt;&lt;wsp:rsid wsp:val=&quot;00914AB9&quot;/&gt;&lt;wsp:rsid wsp:val=&quot;00914F69&quot;/&gt;&lt;wsp:rsid wsp:val=&quot;009157B4&quot;/&gt;&lt;wsp:rsid wsp:val=&quot;0091624C&quot;/&gt;&lt;wsp:rsid wsp:val=&quot;00916658&quot;/&gt;&lt;wsp:rsid wsp:val=&quot;00916E5A&quot;/&gt;&lt;wsp:rsid wsp:val=&quot;00917177&quot;/&gt;&lt;wsp:rsid wsp:val=&quot;009175C8&quot;/&gt;&lt;wsp:rsid wsp:val=&quot;00917B3B&quot;/&gt;&lt;wsp:rsid wsp:val=&quot;0092006C&quot;/&gt;&lt;wsp:rsid wsp:val=&quot;00920473&quot;/&gt;&lt;wsp:rsid wsp:val=&quot;0092088B&quot;/&gt;&lt;wsp:rsid wsp:val=&quot;00920AD2&quot;/&gt;&lt;wsp:rsid wsp:val=&quot;00920FA4&quot;/&gt;&lt;wsp:rsid wsp:val=&quot;0092109F&quot;/&gt;&lt;wsp:rsid wsp:val=&quot;00921510&quot;/&gt;&lt;wsp:rsid wsp:val=&quot;0092193B&quot;/&gt;&lt;wsp:rsid wsp:val=&quot;009219D3&quot;/&gt;&lt;wsp:rsid wsp:val=&quot;00921D32&quot;/&gt;&lt;wsp:rsid wsp:val=&quot;0092209F&quot;/&gt;&lt;wsp:rsid wsp:val=&quot;00922279&quot;/&gt;&lt;wsp:rsid wsp:val=&quot;00922548&quot;/&gt;&lt;wsp:rsid wsp:val=&quot;0092254B&quot;/&gt;&lt;wsp:rsid wsp:val=&quot;00922B18&quot;/&gt;&lt;wsp:rsid wsp:val=&quot;00923118&quot;/&gt;&lt;wsp:rsid wsp:val=&quot;009236E3&quot;/&gt;&lt;wsp:rsid wsp:val=&quot;00923A43&quot;/&gt;&lt;wsp:rsid wsp:val=&quot;00923AE0&quot;/&gt;&lt;wsp:rsid wsp:val=&quot;00923BC3&quot;/&gt;&lt;wsp:rsid wsp:val=&quot;00923E43&quot;/&gt;&lt;wsp:rsid wsp:val=&quot;00923F54&quot;/&gt;&lt;wsp:rsid wsp:val=&quot;00924E02&quot;/&gt;&lt;wsp:rsid wsp:val=&quot;00924E30&quot;/&gt;&lt;wsp:rsid wsp:val=&quot;009251D0&quot;/&gt;&lt;wsp:rsid wsp:val=&quot;00925774&quot;/&gt;&lt;wsp:rsid wsp:val=&quot;00925821&quot;/&gt;&lt;wsp:rsid wsp:val=&quot;00925FF3&quot;/&gt;&lt;wsp:rsid wsp:val=&quot;00926802&quot;/&gt;&lt;wsp:rsid wsp:val=&quot;009269F5&quot;/&gt;&lt;wsp:rsid wsp:val=&quot;00927BAA&quot;/&gt;&lt;wsp:rsid wsp:val=&quot;00927CCF&quot;/&gt;&lt;wsp:rsid wsp:val=&quot;00927DB4&quot;/&gt;&lt;wsp:rsid wsp:val=&quot;00927F77&quot;/&gt;&lt;wsp:rsid wsp:val=&quot;00927FEB&quot;/&gt;&lt;wsp:rsid wsp:val=&quot;009304F1&quot;/&gt;&lt;wsp:rsid wsp:val=&quot;00930641&quot;/&gt;&lt;wsp:rsid wsp:val=&quot;0093088D&quot;/&gt;&lt;wsp:rsid wsp:val=&quot;00930C11&quot;/&gt;&lt;wsp:rsid wsp:val=&quot;00930D0B&quot;/&gt;&lt;wsp:rsid wsp:val=&quot;00930DD3&quot;/&gt;&lt;wsp:rsid wsp:val=&quot;009313EC&quot;/&gt;&lt;wsp:rsid wsp:val=&quot;00931554&quot;/&gt;&lt;wsp:rsid wsp:val=&quot;00931B48&quot;/&gt;&lt;wsp:rsid wsp:val=&quot;00931CE2&quot;/&gt;&lt;wsp:rsid wsp:val=&quot;0093200C&quot;/&gt;&lt;wsp:rsid wsp:val=&quot;009325ED&quot;/&gt;&lt;wsp:rsid wsp:val=&quot;0093275E&quot;/&gt;&lt;wsp:rsid wsp:val=&quot;0093287D&quot;/&gt;&lt;wsp:rsid wsp:val=&quot;00932D4D&quot;/&gt;&lt;wsp:rsid wsp:val=&quot;00932DE2&quot;/&gt;&lt;wsp:rsid wsp:val=&quot;00932E21&quot;/&gt;&lt;wsp:rsid wsp:val=&quot;0093355D&quot;/&gt;&lt;wsp:rsid wsp:val=&quot;00933887&quot;/&gt;&lt;wsp:rsid wsp:val=&quot;009339E0&quot;/&gt;&lt;wsp:rsid wsp:val=&quot;00933DB8&quot;/&gt;&lt;wsp:rsid wsp:val=&quot;00933E9F&quot;/&gt;&lt;wsp:rsid wsp:val=&quot;0093457B&quot;/&gt;&lt;wsp:rsid wsp:val=&quot;00934D3B&quot;/&gt;&lt;wsp:rsid wsp:val=&quot;0093523C&quot;/&gt;&lt;wsp:rsid wsp:val=&quot;009352D1&quot;/&gt;&lt;wsp:rsid wsp:val=&quot;00935CC2&quot;/&gt;&lt;wsp:rsid wsp:val=&quot;00935D23&quot;/&gt;&lt;wsp:rsid wsp:val=&quot;0093605F&quot;/&gt;&lt;wsp:rsid wsp:val=&quot;009360C9&quot;/&gt;&lt;wsp:rsid wsp:val=&quot;00936545&quot;/&gt;&lt;wsp:rsid wsp:val=&quot;00936D64&quot;/&gt;&lt;wsp:rsid wsp:val=&quot;00936F3A&quot;/&gt;&lt;wsp:rsid wsp:val=&quot;00936F68&quot;/&gt;&lt;wsp:rsid wsp:val=&quot;00937205&quot;/&gt;&lt;wsp:rsid wsp:val=&quot;0093729E&quot;/&gt;&lt;wsp:rsid wsp:val=&quot;009378CC&quot;/&gt;&lt;wsp:rsid wsp:val=&quot;00937B53&quot;/&gt;&lt;wsp:rsid wsp:val=&quot;00937BA2&quot;/&gt;&lt;wsp:rsid wsp:val=&quot;00940009&quot;/&gt;&lt;wsp:rsid wsp:val=&quot;009403B1&quot;/&gt;&lt;wsp:rsid wsp:val=&quot;00940992&quot;/&gt;&lt;wsp:rsid wsp:val=&quot;00940B40&quot;/&gt;&lt;wsp:rsid wsp:val=&quot;00940B47&quot;/&gt;&lt;wsp:rsid wsp:val=&quot;00940C7A&quot;/&gt;&lt;wsp:rsid wsp:val=&quot;00940E2E&quot;/&gt;&lt;wsp:rsid wsp:val=&quot;00940ECD&quot;/&gt;&lt;wsp:rsid wsp:val=&quot;00941161&quot;/&gt;&lt;wsp:rsid wsp:val=&quot;0094116E&quot;/&gt;&lt;wsp:rsid wsp:val=&quot;00941302&quot;/&gt;&lt;wsp:rsid wsp:val=&quot;0094131C&quot;/&gt;&lt;wsp:rsid wsp:val=&quot;0094136B&quot;/&gt;&lt;wsp:rsid wsp:val=&quot;00941555&quot;/&gt;&lt;wsp:rsid wsp:val=&quot;00941B19&quot;/&gt;&lt;wsp:rsid wsp:val=&quot;009424BE&quot;/&gt;&lt;wsp:rsid wsp:val=&quot;009426FC&quot;/&gt;&lt;wsp:rsid wsp:val=&quot;009428F9&quot;/&gt;&lt;wsp:rsid wsp:val=&quot;00943268&quot;/&gt;&lt;wsp:rsid wsp:val=&quot;00943605&quot;/&gt;&lt;wsp:rsid wsp:val=&quot;00943812&quot;/&gt;&lt;wsp:rsid wsp:val=&quot;00943923&quot;/&gt;&lt;wsp:rsid wsp:val=&quot;00943EB7&quot;/&gt;&lt;wsp:rsid wsp:val=&quot;00943F71&quot;/&gt;&lt;wsp:rsid wsp:val=&quot;00943FBC&quot;/&gt;&lt;wsp:rsid wsp:val=&quot;009452AE&quot;/&gt;&lt;wsp:rsid wsp:val=&quot;00945548&quot;/&gt;&lt;wsp:rsid wsp:val=&quot;00945834&quot;/&gt;&lt;wsp:rsid wsp:val=&quot;009458E4&quot;/&gt;&lt;wsp:rsid wsp:val=&quot;00945A9F&quot;/&gt;&lt;wsp:rsid wsp:val=&quot;00945CDE&quot;/&gt;&lt;wsp:rsid wsp:val=&quot;00945DD4&quot;/&gt;&lt;wsp:rsid wsp:val=&quot;0094626E&quot;/&gt;&lt;wsp:rsid wsp:val=&quot;009463D7&quot;/&gt;&lt;wsp:rsid wsp:val=&quot;00946B1E&quot;/&gt;&lt;wsp:rsid wsp:val=&quot;00946EC2&quot;/&gt;&lt;wsp:rsid wsp:val=&quot;0094764A&quot;/&gt;&lt;wsp:rsid wsp:val=&quot;009479DB&quot;/&gt;&lt;wsp:rsid wsp:val=&quot;0095016A&quot;/&gt;&lt;wsp:rsid wsp:val=&quot;0095038D&quot;/&gt;&lt;wsp:rsid wsp:val=&quot;00951969&quot;/&gt;&lt;wsp:rsid wsp:val=&quot;00951BB1&quot;/&gt;&lt;wsp:rsid wsp:val=&quot;00951ED8&quot;/&gt;&lt;wsp:rsid wsp:val=&quot;009524C6&quot;/&gt;&lt;wsp:rsid wsp:val=&quot;009527FE&quot;/&gt;&lt;wsp:rsid wsp:val=&quot;00952805&quot;/&gt;&lt;wsp:rsid wsp:val=&quot;00952C7D&quot;/&gt;&lt;wsp:rsid wsp:val=&quot;00952ED4&quot;/&gt;&lt;wsp:rsid wsp:val=&quot;00953062&quot;/&gt;&lt;wsp:rsid wsp:val=&quot;00953263&quot;/&gt;&lt;wsp:rsid wsp:val=&quot;00953AFF&quot;/&gt;&lt;wsp:rsid wsp:val=&quot;00953BA1&quot;/&gt;&lt;wsp:rsid wsp:val=&quot;00953E7D&quot;/&gt;&lt;wsp:rsid wsp:val=&quot;00953FA0&quot;/&gt;&lt;wsp:rsid wsp:val=&quot;00954233&quot;/&gt;&lt;wsp:rsid wsp:val=&quot;00954283&quot;/&gt;&lt;wsp:rsid wsp:val=&quot;0095446D&quot;/&gt;&lt;wsp:rsid wsp:val=&quot;0095452A&quot;/&gt;&lt;wsp:rsid wsp:val=&quot;0095460C&quot;/&gt;&lt;wsp:rsid wsp:val=&quot;0095480E&quot;/&gt;&lt;wsp:rsid wsp:val=&quot;00954BAD&quot;/&gt;&lt;wsp:rsid wsp:val=&quot;00954E91&quot;/&gt;&lt;wsp:rsid wsp:val=&quot;009550C2&quot;/&gt;&lt;wsp:rsid wsp:val=&quot;0095533C&quot;/&gt;&lt;wsp:rsid wsp:val=&quot;009557A8&quot;/&gt;&lt;wsp:rsid wsp:val=&quot;00955DE6&quot;/&gt;&lt;wsp:rsid wsp:val=&quot;00955DF3&quot;/&gt;&lt;wsp:rsid wsp:val=&quot;00955DFE&quot;/&gt;&lt;wsp:rsid wsp:val=&quot;00955F0C&quot;/&gt;&lt;wsp:rsid wsp:val=&quot;009560F5&quot;/&gt;&lt;wsp:rsid wsp:val=&quot;00956C7D&quot;/&gt;&lt;wsp:rsid wsp:val=&quot;00956CDB&quot;/&gt;&lt;wsp:rsid wsp:val=&quot;0095730C&quot;/&gt;&lt;wsp:rsid wsp:val=&quot;00957695&quot;/&gt;&lt;wsp:rsid wsp:val=&quot;009576DE&quot;/&gt;&lt;wsp:rsid wsp:val=&quot;00957CC0&quot;/&gt;&lt;wsp:rsid wsp:val=&quot;00957D47&quot;/&gt;&lt;wsp:rsid wsp:val=&quot;00957EC5&quot;/&gt;&lt;wsp:rsid wsp:val=&quot;00960237&quot;/&gt;&lt;wsp:rsid wsp:val=&quot;0096032B&quot;/&gt;&lt;wsp:rsid wsp:val=&quot;009606AB&quot;/&gt;&lt;wsp:rsid wsp:val=&quot;009609B8&quot;/&gt;&lt;wsp:rsid wsp:val=&quot;00960A1B&quot;/&gt;&lt;wsp:rsid wsp:val=&quot;00960A5B&quot;/&gt;&lt;wsp:rsid wsp:val=&quot;00960DD3&quot;/&gt;&lt;wsp:rsid wsp:val=&quot;00960DF8&quot;/&gt;&lt;wsp:rsid wsp:val=&quot;00960F40&quot;/&gt;&lt;wsp:rsid wsp:val=&quot;00960FA4&quot;/&gt;&lt;wsp:rsid wsp:val=&quot;00961315&quot;/&gt;&lt;wsp:rsid wsp:val=&quot;0096148D&quot;/&gt;&lt;wsp:rsid wsp:val=&quot;00962566&quot;/&gt;&lt;wsp:rsid wsp:val=&quot;00962DEC&quot;/&gt;&lt;wsp:rsid wsp:val=&quot;0096305B&quot;/&gt;&lt;wsp:rsid wsp:val=&quot;00963321&quot;/&gt;&lt;wsp:rsid wsp:val=&quot;0096374E&quot;/&gt;&lt;wsp:rsid wsp:val=&quot;0096384C&quot;/&gt;&lt;wsp:rsid wsp:val=&quot;00963990&quot;/&gt;&lt;wsp:rsid wsp:val=&quot;00963F3E&quot;/&gt;&lt;wsp:rsid wsp:val=&quot;00963FB5&quot;/&gt;&lt;wsp:rsid wsp:val=&quot;00964615&quot;/&gt;&lt;wsp:rsid wsp:val=&quot;00964654&quot;/&gt;&lt;wsp:rsid wsp:val=&quot;009648C7&quot;/&gt;&lt;wsp:rsid wsp:val=&quot;00964F94&quot;/&gt;&lt;wsp:rsid wsp:val=&quot;009655CE&quot;/&gt;&lt;wsp:rsid wsp:val=&quot;00965D54&quot;/&gt;&lt;wsp:rsid wsp:val=&quot;009662CE&quot;/&gt;&lt;wsp:rsid wsp:val=&quot;00966480&quot;/&gt;&lt;wsp:rsid wsp:val=&quot;009667B5&quot;/&gt;&lt;wsp:rsid wsp:val=&quot;0096690C&quot;/&gt;&lt;wsp:rsid wsp:val=&quot;00966956&quot;/&gt;&lt;wsp:rsid wsp:val=&quot;00966A9F&quot;/&gt;&lt;wsp:rsid wsp:val=&quot;0096711A&quot;/&gt;&lt;wsp:rsid wsp:val=&quot;00967304&quot;/&gt;&lt;wsp:rsid wsp:val=&quot;00967551&quot;/&gt;&lt;wsp:rsid wsp:val=&quot;009675E9&quot;/&gt;&lt;wsp:rsid wsp:val=&quot;009677A1&quot;/&gt;&lt;wsp:rsid wsp:val=&quot;00970D50&quot;/&gt;&lt;wsp:rsid wsp:val=&quot;00970FEB&quot;/&gt;&lt;wsp:rsid wsp:val=&quot;00971110&quot;/&gt;&lt;wsp:rsid wsp:val=&quot;0097136E&quot;/&gt;&lt;wsp:rsid wsp:val=&quot;009713D0&quot;/&gt;&lt;wsp:rsid wsp:val=&quot;00971927&quot;/&gt;&lt;wsp:rsid wsp:val=&quot;00971969&quot;/&gt;&lt;wsp:rsid wsp:val=&quot;00971BC7&quot;/&gt;&lt;wsp:rsid wsp:val=&quot;00971C05&quot;/&gt;&lt;wsp:rsid wsp:val=&quot;00971CAA&quot;/&gt;&lt;wsp:rsid wsp:val=&quot;00972210&quot;/&gt;&lt;wsp:rsid wsp:val=&quot;0097343E&quot;/&gt;&lt;wsp:rsid wsp:val=&quot;00973AAB&quot;/&gt;&lt;wsp:rsid wsp:val=&quot;00973C00&quot;/&gt;&lt;wsp:rsid wsp:val=&quot;00973D92&quot;/&gt;&lt;wsp:rsid wsp:val=&quot;00973E53&quot;/&gt;&lt;wsp:rsid wsp:val=&quot;00974110&quot;/&gt;&lt;wsp:rsid wsp:val=&quot;009741DD&quot;/&gt;&lt;wsp:rsid wsp:val=&quot;009742E5&quot;/&gt;&lt;wsp:rsid wsp:val=&quot;00974907&quot;/&gt;&lt;wsp:rsid wsp:val=&quot;00974AE7&quot;/&gt;&lt;wsp:rsid wsp:val=&quot;0097550F&quot;/&gt;&lt;wsp:rsid wsp:val=&quot;0097594A&quot;/&gt;&lt;wsp:rsid wsp:val=&quot;009759C3&quot;/&gt;&lt;wsp:rsid wsp:val=&quot;00975A0E&quot;/&gt;&lt;wsp:rsid wsp:val=&quot;00976090&quot;/&gt;&lt;wsp:rsid wsp:val=&quot;0097735E&quot;/&gt;&lt;wsp:rsid wsp:val=&quot;0097784C&quot;/&gt;&lt;wsp:rsid wsp:val=&quot;009778A0&quot;/&gt;&lt;wsp:rsid wsp:val=&quot;00977B6E&quot;/&gt;&lt;wsp:rsid wsp:val=&quot;00977D78&quot;/&gt;&lt;wsp:rsid wsp:val=&quot;009801FA&quot;/&gt;&lt;wsp:rsid wsp:val=&quot;00980377&quot;/&gt;&lt;wsp:rsid wsp:val=&quot;00980390&quot;/&gt;&lt;wsp:rsid wsp:val=&quot;009803F5&quot;/&gt;&lt;wsp:rsid wsp:val=&quot;00980790&quot;/&gt;&lt;wsp:rsid wsp:val=&quot;00980BB9&quot;/&gt;&lt;wsp:rsid wsp:val=&quot;00980E2A&quot;/&gt;&lt;wsp:rsid wsp:val=&quot;00980EC8&quot;/&gt;&lt;wsp:rsid wsp:val=&quot;009815C2&quot;/&gt;&lt;wsp:rsid wsp:val=&quot;0098278D&quot;/&gt;&lt;wsp:rsid wsp:val=&quot;00982AC4&quot;/&gt;&lt;wsp:rsid wsp:val=&quot;0098346C&quot;/&gt;&lt;wsp:rsid wsp:val=&quot;0098353D&quot;/&gt;&lt;wsp:rsid wsp:val=&quot;009835FB&quot;/&gt;&lt;wsp:rsid wsp:val=&quot;00983797&quot;/&gt;&lt;wsp:rsid wsp:val=&quot;00983827&quot;/&gt;&lt;wsp:rsid wsp:val=&quot;0098488D&quot;/&gt;&lt;wsp:rsid wsp:val=&quot;00984A8C&quot;/&gt;&lt;wsp:rsid wsp:val=&quot;00984AAD&quot;/&gt;&lt;wsp:rsid wsp:val=&quot;00984B8B&quot;/&gt;&lt;wsp:rsid wsp:val=&quot;00984D74&quot;/&gt;&lt;wsp:rsid wsp:val=&quot;00984DD8&quot;/&gt;&lt;wsp:rsid wsp:val=&quot;0098508E&quot;/&gt;&lt;wsp:rsid wsp:val=&quot;009852F4&quot;/&gt;&lt;wsp:rsid wsp:val=&quot;009859BF&quot;/&gt;&lt;wsp:rsid wsp:val=&quot;00987163&quot;/&gt;&lt;wsp:rsid wsp:val=&quot;0098754F&quot;/&gt;&lt;wsp:rsid wsp:val=&quot;00987980&quot;/&gt;&lt;wsp:rsid wsp:val=&quot;00987E89&quot;/&gt;&lt;wsp:rsid wsp:val=&quot;00991459&quot;/&gt;&lt;wsp:rsid wsp:val=&quot;00991671&quot;/&gt;&lt;wsp:rsid wsp:val=&quot;00991782&quot;/&gt;&lt;wsp:rsid wsp:val=&quot;009917E3&quot;/&gt;&lt;wsp:rsid wsp:val=&quot;00991A13&quot;/&gt;&lt;wsp:rsid wsp:val=&quot;00991E2A&quot;/&gt;&lt;wsp:rsid wsp:val=&quot;009921AD&quot;/&gt;&lt;wsp:rsid wsp:val=&quot;009921D4&quot;/&gt;&lt;wsp:rsid wsp:val=&quot;0099278A&quot;/&gt;&lt;wsp:rsid wsp:val=&quot;00992869&quot;/&gt;&lt;wsp:rsid wsp:val=&quot;00992C3D&quot;/&gt;&lt;wsp:rsid wsp:val=&quot;00992DE3&quot;/&gt;&lt;wsp:rsid wsp:val=&quot;0099312A&quot;/&gt;&lt;wsp:rsid wsp:val=&quot;00993200&quot;/&gt;&lt;wsp:rsid wsp:val=&quot;00993249&quot;/&gt;&lt;wsp:rsid wsp:val=&quot;00993475&quot;/&gt;&lt;wsp:rsid wsp:val=&quot;00993B49&quot;/&gt;&lt;wsp:rsid wsp:val=&quot;00993BD3&quot;/&gt;&lt;wsp:rsid wsp:val=&quot;00994D3E&quot;/&gt;&lt;wsp:rsid wsp:val=&quot;009955E0&quot;/&gt;&lt;wsp:rsid wsp:val=&quot;00995611&quot;/&gt;&lt;wsp:rsid wsp:val=&quot;009957D0&quot;/&gt;&lt;wsp:rsid wsp:val=&quot;009958F6&quot;/&gt;&lt;wsp:rsid wsp:val=&quot;00995A30&quot;/&gt;&lt;wsp:rsid wsp:val=&quot;00995C78&quot;/&gt;&lt;wsp:rsid wsp:val=&quot;00995D52&quot;/&gt;&lt;wsp:rsid wsp:val=&quot;00995D62&quot;/&gt;&lt;wsp:rsid wsp:val=&quot;00995EED&quot;/&gt;&lt;wsp:rsid wsp:val=&quot;0099609C&quot;/&gt;&lt;wsp:rsid wsp:val=&quot;009967AD&quot;/&gt;&lt;wsp:rsid wsp:val=&quot;00996821&quot;/&gt;&lt;wsp:rsid wsp:val=&quot;009969C4&quot;/&gt;&lt;wsp:rsid wsp:val=&quot;00996C5E&quot;/&gt;&lt;wsp:rsid wsp:val=&quot;00996E57&quot;/&gt;&lt;wsp:rsid wsp:val=&quot;009972EB&quot;/&gt;&lt;wsp:rsid wsp:val=&quot;00997809&quot;/&gt;&lt;wsp:rsid wsp:val=&quot;009A00EF&quot;/&gt;&lt;wsp:rsid wsp:val=&quot;009A031D&quot;/&gt;&lt;wsp:rsid wsp:val=&quot;009A0546&quot;/&gt;&lt;wsp:rsid wsp:val=&quot;009A0691&quot;/&gt;&lt;wsp:rsid wsp:val=&quot;009A0AA4&quot;/&gt;&lt;wsp:rsid wsp:val=&quot;009A1202&quot;/&gt;&lt;wsp:rsid wsp:val=&quot;009A16E8&quot;/&gt;&lt;wsp:rsid wsp:val=&quot;009A170E&quot;/&gt;&lt;wsp:rsid wsp:val=&quot;009A1756&quot;/&gt;&lt;wsp:rsid wsp:val=&quot;009A179F&quot;/&gt;&lt;wsp:rsid wsp:val=&quot;009A1F5C&quot;/&gt;&lt;wsp:rsid wsp:val=&quot;009A215F&quot;/&gt;&lt;wsp:rsid wsp:val=&quot;009A24E6&quot;/&gt;&lt;wsp:rsid wsp:val=&quot;009A24F6&quot;/&gt;&lt;wsp:rsid wsp:val=&quot;009A2528&quot;/&gt;&lt;wsp:rsid wsp:val=&quot;009A261F&quot;/&gt;&lt;wsp:rsid wsp:val=&quot;009A295F&quot;/&gt;&lt;wsp:rsid wsp:val=&quot;009A2EEB&quot;/&gt;&lt;wsp:rsid wsp:val=&quot;009A3A57&quot;/&gt;&lt;wsp:rsid wsp:val=&quot;009A3CCC&quot;/&gt;&lt;wsp:rsid wsp:val=&quot;009A4396&quot;/&gt;&lt;wsp:rsid wsp:val=&quot;009A452F&quot;/&gt;&lt;wsp:rsid wsp:val=&quot;009A46B8&quot;/&gt;&lt;wsp:rsid wsp:val=&quot;009A4725&quot;/&gt;&lt;wsp:rsid wsp:val=&quot;009A4863&quot;/&gt;&lt;wsp:rsid wsp:val=&quot;009A4996&quot;/&gt;&lt;wsp:rsid wsp:val=&quot;009A4BC2&quot;/&gt;&lt;wsp:rsid wsp:val=&quot;009A4F9A&quot;/&gt;&lt;wsp:rsid wsp:val=&quot;009A5039&quot;/&gt;&lt;wsp:rsid wsp:val=&quot;009A519E&quot;/&gt;&lt;wsp:rsid wsp:val=&quot;009A5423&quot;/&gt;&lt;wsp:rsid wsp:val=&quot;009A5468&quot;/&gt;&lt;wsp:rsid wsp:val=&quot;009A57B5&quot;/&gt;&lt;wsp:rsid wsp:val=&quot;009A5B9A&quot;/&gt;&lt;wsp:rsid wsp:val=&quot;009A5E75&quot;/&gt;&lt;wsp:rsid wsp:val=&quot;009A60AE&quot;/&gt;&lt;wsp:rsid wsp:val=&quot;009A616D&quot;/&gt;&lt;wsp:rsid wsp:val=&quot;009A6712&quot;/&gt;&lt;wsp:rsid wsp:val=&quot;009A68F1&quot;/&gt;&lt;wsp:rsid wsp:val=&quot;009A6A5B&quot;/&gt;&lt;wsp:rsid wsp:val=&quot;009A6B39&quot;/&gt;&lt;wsp:rsid wsp:val=&quot;009A6D9B&quot;/&gt;&lt;wsp:rsid wsp:val=&quot;009A7078&quot;/&gt;&lt;wsp:rsid wsp:val=&quot;009A751C&quot;/&gt;&lt;wsp:rsid wsp:val=&quot;009A7768&quot;/&gt;&lt;wsp:rsid wsp:val=&quot;009A778F&quot;/&gt;&lt;wsp:rsid wsp:val=&quot;009A7BB0&quot;/&gt;&lt;wsp:rsid wsp:val=&quot;009A7BFB&quot;/&gt;&lt;wsp:rsid wsp:val=&quot;009A7C9E&quot;/&gt;&lt;wsp:rsid wsp:val=&quot;009B030A&quot;/&gt;&lt;wsp:rsid wsp:val=&quot;009B0BA0&quot;/&gt;&lt;wsp:rsid wsp:val=&quot;009B0D0E&quot;/&gt;&lt;wsp:rsid wsp:val=&quot;009B0D1C&quot;/&gt;&lt;wsp:rsid wsp:val=&quot;009B1D40&quot;/&gt;&lt;wsp:rsid wsp:val=&quot;009B2453&quot;/&gt;&lt;wsp:rsid wsp:val=&quot;009B25C0&quot;/&gt;&lt;wsp:rsid wsp:val=&quot;009B2649&quot;/&gt;&lt;wsp:rsid wsp:val=&quot;009B27CF&quot;/&gt;&lt;wsp:rsid wsp:val=&quot;009B2818&quot;/&gt;&lt;wsp:rsid wsp:val=&quot;009B2A7E&quot;/&gt;&lt;wsp:rsid wsp:val=&quot;009B2AAF&quot;/&gt;&lt;wsp:rsid wsp:val=&quot;009B2AFC&quot;/&gt;&lt;wsp:rsid wsp:val=&quot;009B2B4B&quot;/&gt;&lt;wsp:rsid wsp:val=&quot;009B2DDF&quot;/&gt;&lt;wsp:rsid wsp:val=&quot;009B3261&quot;/&gt;&lt;wsp:rsid wsp:val=&quot;009B3DE1&quot;/&gt;&lt;wsp:rsid wsp:val=&quot;009B4723&quot;/&gt;&lt;wsp:rsid wsp:val=&quot;009B4B92&quot;/&gt;&lt;wsp:rsid wsp:val=&quot;009B54B4&quot;/&gt;&lt;wsp:rsid wsp:val=&quot;009B5A4D&quot;/&gt;&lt;wsp:rsid wsp:val=&quot;009B5BB6&quot;/&gt;&lt;wsp:rsid wsp:val=&quot;009B6CDE&quot;/&gt;&lt;wsp:rsid wsp:val=&quot;009B7120&quot;/&gt;&lt;wsp:rsid wsp:val=&quot;009B79FA&quot;/&gt;&lt;wsp:rsid wsp:val=&quot;009B7A35&quot;/&gt;&lt;wsp:rsid wsp:val=&quot;009B7B82&quot;/&gt;&lt;wsp:rsid wsp:val=&quot;009B7DC2&quot;/&gt;&lt;wsp:rsid wsp:val=&quot;009C053E&quot;/&gt;&lt;wsp:rsid wsp:val=&quot;009C06B6&quot;/&gt;&lt;wsp:rsid wsp:val=&quot;009C08EA&quot;/&gt;&lt;wsp:rsid wsp:val=&quot;009C09FD&quot;/&gt;&lt;wsp:rsid wsp:val=&quot;009C0D5C&quot;/&gt;&lt;wsp:rsid wsp:val=&quot;009C1451&quot;/&gt;&lt;wsp:rsid wsp:val=&quot;009C1F4F&quot;/&gt;&lt;wsp:rsid wsp:val=&quot;009C2072&quot;/&gt;&lt;wsp:rsid wsp:val=&quot;009C23D6&quot;/&gt;&lt;wsp:rsid wsp:val=&quot;009C2722&quot;/&gt;&lt;wsp:rsid wsp:val=&quot;009C2729&quot;/&gt;&lt;wsp:rsid wsp:val=&quot;009C2784&quot;/&gt;&lt;wsp:rsid wsp:val=&quot;009C2AEA&quot;/&gt;&lt;wsp:rsid wsp:val=&quot;009C2C3F&quot;/&gt;&lt;wsp:rsid wsp:val=&quot;009C2FDD&quot;/&gt;&lt;wsp:rsid wsp:val=&quot;009C34F9&quot;/&gt;&lt;wsp:rsid wsp:val=&quot;009C35E7&quot;/&gt;&lt;wsp:rsid wsp:val=&quot;009C36E7&quot;/&gt;&lt;wsp:rsid wsp:val=&quot;009C38E9&quot;/&gt;&lt;wsp:rsid wsp:val=&quot;009C39F3&quot;/&gt;&lt;wsp:rsid wsp:val=&quot;009C3E94&quot;/&gt;&lt;wsp:rsid wsp:val=&quot;009C3FCC&quot;/&gt;&lt;wsp:rsid wsp:val=&quot;009C4BE5&quot;/&gt;&lt;wsp:rsid wsp:val=&quot;009C4ED7&quot;/&gt;&lt;wsp:rsid wsp:val=&quot;009C4F74&quot;/&gt;&lt;wsp:rsid wsp:val=&quot;009C5115&quot;/&gt;&lt;wsp:rsid wsp:val=&quot;009C517E&quot;/&gt;&lt;wsp:rsid wsp:val=&quot;009C542D&quot;/&gt;&lt;wsp:rsid wsp:val=&quot;009C57E9&quot;/&gt;&lt;wsp:rsid wsp:val=&quot;009C5B1C&quot;/&gt;&lt;wsp:rsid wsp:val=&quot;009C5BC1&quot;/&gt;&lt;wsp:rsid wsp:val=&quot;009C6835&quot;/&gt;&lt;wsp:rsid wsp:val=&quot;009C696A&quot;/&gt;&lt;wsp:rsid wsp:val=&quot;009C6BF5&quot;/&gt;&lt;wsp:rsid wsp:val=&quot;009C708E&quot;/&gt;&lt;wsp:rsid wsp:val=&quot;009C715D&quot;/&gt;&lt;wsp:rsid wsp:val=&quot;009C76B8&quot;/&gt;&lt;wsp:rsid wsp:val=&quot;009C7E16&quot;/&gt;&lt;wsp:rsid wsp:val=&quot;009C7E8B&quot;/&gt;&lt;wsp:rsid wsp:val=&quot;009C7F54&quot;/&gt;&lt;wsp:rsid wsp:val=&quot;009C7F9F&quot;/&gt;&lt;wsp:rsid wsp:val=&quot;009D04EE&quot;/&gt;&lt;wsp:rsid wsp:val=&quot;009D07C5&quot;/&gt;&lt;wsp:rsid wsp:val=&quot;009D0A80&quot;/&gt;&lt;wsp:rsid wsp:val=&quot;009D0AA1&quot;/&gt;&lt;wsp:rsid wsp:val=&quot;009D0AF6&quot;/&gt;&lt;wsp:rsid wsp:val=&quot;009D0B58&quot;/&gt;&lt;wsp:rsid wsp:val=&quot;009D0BEB&quot;/&gt;&lt;wsp:rsid wsp:val=&quot;009D11AD&quot;/&gt;&lt;wsp:rsid wsp:val=&quot;009D1479&quot;/&gt;&lt;wsp:rsid wsp:val=&quot;009D15E4&quot;/&gt;&lt;wsp:rsid wsp:val=&quot;009D162D&quot;/&gt;&lt;wsp:rsid wsp:val=&quot;009D17A0&quot;/&gt;&lt;wsp:rsid wsp:val=&quot;009D19F1&quot;/&gt;&lt;wsp:rsid wsp:val=&quot;009D2125&quot;/&gt;&lt;wsp:rsid wsp:val=&quot;009D227E&quot;/&gt;&lt;wsp:rsid wsp:val=&quot;009D23AA&quot;/&gt;&lt;wsp:rsid wsp:val=&quot;009D23C0&quot;/&gt;&lt;wsp:rsid wsp:val=&quot;009D281F&quot;/&gt;&lt;wsp:rsid wsp:val=&quot;009D298A&quot;/&gt;&lt;wsp:rsid wsp:val=&quot;009D29F0&quot;/&gt;&lt;wsp:rsid wsp:val=&quot;009D2B6B&quot;/&gt;&lt;wsp:rsid wsp:val=&quot;009D2BE3&quot;/&gt;&lt;wsp:rsid wsp:val=&quot;009D2E4A&quot;/&gt;&lt;wsp:rsid wsp:val=&quot;009D2EBB&quot;/&gt;&lt;wsp:rsid wsp:val=&quot;009D2FBB&quot;/&gt;&lt;wsp:rsid wsp:val=&quot;009D31E6&quot;/&gt;&lt;wsp:rsid wsp:val=&quot;009D35BB&quot;/&gt;&lt;wsp:rsid wsp:val=&quot;009D3A39&quot;/&gt;&lt;wsp:rsid wsp:val=&quot;009D3AE1&quot;/&gt;&lt;wsp:rsid wsp:val=&quot;009D3AF5&quot;/&gt;&lt;wsp:rsid wsp:val=&quot;009D461A&quot;/&gt;&lt;wsp:rsid wsp:val=&quot;009D56D5&quot;/&gt;&lt;wsp:rsid wsp:val=&quot;009D57B6&quot;/&gt;&lt;wsp:rsid wsp:val=&quot;009D5916&quot;/&gt;&lt;wsp:rsid wsp:val=&quot;009D5D5E&quot;/&gt;&lt;wsp:rsid wsp:val=&quot;009D6099&quot;/&gt;&lt;wsp:rsid wsp:val=&quot;009D61D7&quot;/&gt;&lt;wsp:rsid wsp:val=&quot;009D61E5&quot;/&gt;&lt;wsp:rsid wsp:val=&quot;009D6605&quot;/&gt;&lt;wsp:rsid wsp:val=&quot;009D67EA&quot;/&gt;&lt;wsp:rsid wsp:val=&quot;009D6ABA&quot;/&gt;&lt;wsp:rsid wsp:val=&quot;009D6ABF&quot;/&gt;&lt;wsp:rsid wsp:val=&quot;009D6D5A&quot;/&gt;&lt;wsp:rsid wsp:val=&quot;009D79DB&quot;/&gt;&lt;wsp:rsid wsp:val=&quot;009D7A84&quot;/&gt;&lt;wsp:rsid wsp:val=&quot;009D7AB4&quot;/&gt;&lt;wsp:rsid wsp:val=&quot;009D7D1E&quot;/&gt;&lt;wsp:rsid wsp:val=&quot;009D7FD1&quot;/&gt;&lt;wsp:rsid wsp:val=&quot;009E037F&quot;/&gt;&lt;wsp:rsid wsp:val=&quot;009E07DE&quot;/&gt;&lt;wsp:rsid wsp:val=&quot;009E0BCD&quot;/&gt;&lt;wsp:rsid wsp:val=&quot;009E0BEF&quot;/&gt;&lt;wsp:rsid wsp:val=&quot;009E0DD7&quot;/&gt;&lt;wsp:rsid wsp:val=&quot;009E0F4D&quot;/&gt;&lt;wsp:rsid wsp:val=&quot;009E0FB4&quot;/&gt;&lt;wsp:rsid wsp:val=&quot;009E1086&quot;/&gt;&lt;wsp:rsid wsp:val=&quot;009E1294&quot;/&gt;&lt;wsp:rsid wsp:val=&quot;009E19F8&quot;/&gt;&lt;wsp:rsid wsp:val=&quot;009E1C77&quot;/&gt;&lt;wsp:rsid wsp:val=&quot;009E2DEE&quot;/&gt;&lt;wsp:rsid wsp:val=&quot;009E36EB&quot;/&gt;&lt;wsp:rsid wsp:val=&quot;009E3E4C&quot;/&gt;&lt;wsp:rsid wsp:val=&quot;009E3FFF&quot;/&gt;&lt;wsp:rsid wsp:val=&quot;009E45F4&quot;/&gt;&lt;wsp:rsid wsp:val=&quot;009E4622&quot;/&gt;&lt;wsp:rsid wsp:val=&quot;009E48F5&quot;/&gt;&lt;wsp:rsid wsp:val=&quot;009E5044&quot;/&gt;&lt;wsp:rsid wsp:val=&quot;009E5060&quot;/&gt;&lt;wsp:rsid wsp:val=&quot;009E53F0&quot;/&gt;&lt;wsp:rsid wsp:val=&quot;009E53F2&quot;/&gt;&lt;wsp:rsid wsp:val=&quot;009E5666&quot;/&gt;&lt;wsp:rsid wsp:val=&quot;009E56C1&quot;/&gt;&lt;wsp:rsid wsp:val=&quot;009E591E&quot;/&gt;&lt;wsp:rsid wsp:val=&quot;009E5D87&quot;/&gt;&lt;wsp:rsid wsp:val=&quot;009E5DE0&quot;/&gt;&lt;wsp:rsid wsp:val=&quot;009E68A8&quot;/&gt;&lt;wsp:rsid wsp:val=&quot;009E6988&quot;/&gt;&lt;wsp:rsid wsp:val=&quot;009E6C73&quot;/&gt;&lt;wsp:rsid wsp:val=&quot;009E6CC9&quot;/&gt;&lt;wsp:rsid wsp:val=&quot;009E71EE&quot;/&gt;&lt;wsp:rsid wsp:val=&quot;009E7D27&quot;/&gt;&lt;wsp:rsid wsp:val=&quot;009F0DAA&quot;/&gt;&lt;wsp:rsid wsp:val=&quot;009F0E30&quot;/&gt;&lt;wsp:rsid wsp:val=&quot;009F1B40&quot;/&gt;&lt;wsp:rsid wsp:val=&quot;009F1C8A&quot;/&gt;&lt;wsp:rsid wsp:val=&quot;009F254F&quot;/&gt;&lt;wsp:rsid wsp:val=&quot;009F26F9&quot;/&gt;&lt;wsp:rsid wsp:val=&quot;009F2846&quot;/&gt;&lt;wsp:rsid wsp:val=&quot;009F2AFA&quot;/&gt;&lt;wsp:rsid wsp:val=&quot;009F2D02&quot;/&gt;&lt;wsp:rsid wsp:val=&quot;009F3060&quot;/&gt;&lt;wsp:rsid wsp:val=&quot;009F37DD&quot;/&gt;&lt;wsp:rsid wsp:val=&quot;009F3857&quot;/&gt;&lt;wsp:rsid wsp:val=&quot;009F3960&quot;/&gt;&lt;wsp:rsid wsp:val=&quot;009F3C41&quot;/&gt;&lt;wsp:rsid wsp:val=&quot;009F426A&quot;/&gt;&lt;wsp:rsid wsp:val=&quot;009F4681&quot;/&gt;&lt;wsp:rsid wsp:val=&quot;009F48C5&quot;/&gt;&lt;wsp:rsid wsp:val=&quot;009F4D8C&quot;/&gt;&lt;wsp:rsid wsp:val=&quot;009F4FFF&quot;/&gt;&lt;wsp:rsid wsp:val=&quot;009F519D&quot;/&gt;&lt;wsp:rsid wsp:val=&quot;009F5232&quot;/&gt;&lt;wsp:rsid wsp:val=&quot;009F52A3&quot;/&gt;&lt;wsp:rsid wsp:val=&quot;009F53C7&quot;/&gt;&lt;wsp:rsid wsp:val=&quot;009F56F5&quot;/&gt;&lt;wsp:rsid wsp:val=&quot;009F590B&quot;/&gt;&lt;wsp:rsid wsp:val=&quot;009F5AF6&quot;/&gt;&lt;wsp:rsid wsp:val=&quot;009F5EC0&quot;/&gt;&lt;wsp:rsid wsp:val=&quot;009F6174&quot;/&gt;&lt;wsp:rsid wsp:val=&quot;009F61F3&quot;/&gt;&lt;wsp:rsid wsp:val=&quot;009F6612&quot;/&gt;&lt;wsp:rsid wsp:val=&quot;009F66D0&quot;/&gt;&lt;wsp:rsid wsp:val=&quot;009F6BFF&quot;/&gt;&lt;wsp:rsid wsp:val=&quot;009F6C12&quot;/&gt;&lt;wsp:rsid wsp:val=&quot;009F6C6F&quot;/&gt;&lt;wsp:rsid wsp:val=&quot;009F6D60&quot;/&gt;&lt;wsp:rsid wsp:val=&quot;009F6E91&quot;/&gt;&lt;wsp:rsid wsp:val=&quot;009F7704&quot;/&gt;&lt;wsp:rsid wsp:val=&quot;009F7E7D&quot;/&gt;&lt;wsp:rsid wsp:val=&quot;00A00108&quot;/&gt;&lt;wsp:rsid wsp:val=&quot;00A0029D&quot;/&gt;&lt;wsp:rsid wsp:val=&quot;00A006E2&quot;/&gt;&lt;wsp:rsid wsp:val=&quot;00A006EE&quot;/&gt;&lt;wsp:rsid wsp:val=&quot;00A0074F&quot;/&gt;&lt;wsp:rsid wsp:val=&quot;00A00F23&quot;/&gt;&lt;wsp:rsid wsp:val=&quot;00A013C1&quot;/&gt;&lt;wsp:rsid wsp:val=&quot;00A01BB7&quot;/&gt;&lt;wsp:rsid wsp:val=&quot;00A01BBC&quot;/&gt;&lt;wsp:rsid wsp:val=&quot;00A01C6B&quot;/&gt;&lt;wsp:rsid wsp:val=&quot;00A01CBE&quot;/&gt;&lt;wsp:rsid wsp:val=&quot;00A0234B&quot;/&gt;&lt;wsp:rsid wsp:val=&quot;00A024CC&quot;/&gt;&lt;wsp:rsid wsp:val=&quot;00A02851&quot;/&gt;&lt;wsp:rsid wsp:val=&quot;00A02878&quot;/&gt;&lt;wsp:rsid wsp:val=&quot;00A02CB7&quot;/&gt;&lt;wsp:rsid wsp:val=&quot;00A0335B&quot;/&gt;&lt;wsp:rsid wsp:val=&quot;00A03B79&quot;/&gt;&lt;wsp:rsid wsp:val=&quot;00A03E14&quot;/&gt;&lt;wsp:rsid wsp:val=&quot;00A04440&quot;/&gt;&lt;wsp:rsid wsp:val=&quot;00A04E5B&quot;/&gt;&lt;wsp:rsid wsp:val=&quot;00A04F29&quot;/&gt;&lt;wsp:rsid wsp:val=&quot;00A05038&quot;/&gt;&lt;wsp:rsid wsp:val=&quot;00A0578A&quot;/&gt;&lt;wsp:rsid wsp:val=&quot;00A05925&quot;/&gt;&lt;wsp:rsid wsp:val=&quot;00A05AA3&quot;/&gt;&lt;wsp:rsid wsp:val=&quot;00A05F18&quot;/&gt;&lt;wsp:rsid wsp:val=&quot;00A06349&quot;/&gt;&lt;wsp:rsid wsp:val=&quot;00A06389&quot;/&gt;&lt;wsp:rsid wsp:val=&quot;00A063D6&quot;/&gt;&lt;wsp:rsid wsp:val=&quot;00A06AF7&quot;/&gt;&lt;wsp:rsid wsp:val=&quot;00A06C3B&quot;/&gt;&lt;wsp:rsid wsp:val=&quot;00A0705C&quot;/&gt;&lt;wsp:rsid wsp:val=&quot;00A071F0&quot;/&gt;&lt;wsp:rsid wsp:val=&quot;00A0795B&quot;/&gt;&lt;wsp:rsid wsp:val=&quot;00A07FD5&quot;/&gt;&lt;wsp:rsid wsp:val=&quot;00A10198&quot;/&gt;&lt;wsp:rsid wsp:val=&quot;00A101C2&quot;/&gt;&lt;wsp:rsid wsp:val=&quot;00A10679&quot;/&gt;&lt;wsp:rsid wsp:val=&quot;00A106EB&quot;/&gt;&lt;wsp:rsid wsp:val=&quot;00A109EE&quot;/&gt;&lt;wsp:rsid wsp:val=&quot;00A112E7&quot;/&gt;&lt;wsp:rsid wsp:val=&quot;00A11859&quot;/&gt;&lt;wsp:rsid wsp:val=&quot;00A11F40&quot;/&gt;&lt;wsp:rsid wsp:val=&quot;00A12240&quot;/&gt;&lt;wsp:rsid wsp:val=&quot;00A12640&quot;/&gt;&lt;wsp:rsid wsp:val=&quot;00A128AA&quot;/&gt;&lt;wsp:rsid wsp:val=&quot;00A12C11&quot;/&gt;&lt;wsp:rsid wsp:val=&quot;00A12C12&quot;/&gt;&lt;wsp:rsid wsp:val=&quot;00A12D6A&quot;/&gt;&lt;wsp:rsid wsp:val=&quot;00A12D7C&quot;/&gt;&lt;wsp:rsid wsp:val=&quot;00A1375D&quot;/&gt;&lt;wsp:rsid wsp:val=&quot;00A1385D&quot;/&gt;&lt;wsp:rsid wsp:val=&quot;00A13B28&quot;/&gt;&lt;wsp:rsid wsp:val=&quot;00A13D39&quot;/&gt;&lt;wsp:rsid wsp:val=&quot;00A13F73&quot;/&gt;&lt;wsp:rsid wsp:val=&quot;00A13F82&quot;/&gt;&lt;wsp:rsid wsp:val=&quot;00A13FED&quot;/&gt;&lt;wsp:rsid wsp:val=&quot;00A14252&quot;/&gt;&lt;wsp:rsid wsp:val=&quot;00A148D1&quot;/&gt;&lt;wsp:rsid wsp:val=&quot;00A148FB&quot;/&gt;&lt;wsp:rsid wsp:val=&quot;00A14FE7&quot;/&gt;&lt;wsp:rsid wsp:val=&quot;00A150D5&quot;/&gt;&lt;wsp:rsid wsp:val=&quot;00A15168&quot;/&gt;&lt;wsp:rsid wsp:val=&quot;00A1543F&quot;/&gt;&lt;wsp:rsid wsp:val=&quot;00A15572&quot;/&gt;&lt;wsp:rsid wsp:val=&quot;00A15783&quot;/&gt;&lt;wsp:rsid wsp:val=&quot;00A15C97&quot;/&gt;&lt;wsp:rsid wsp:val=&quot;00A15CBA&quot;/&gt;&lt;wsp:rsid wsp:val=&quot;00A16141&quot;/&gt;&lt;wsp:rsid wsp:val=&quot;00A166D0&quot;/&gt;&lt;wsp:rsid wsp:val=&quot;00A16A35&quot;/&gt;&lt;wsp:rsid wsp:val=&quot;00A1722D&quot;/&gt;&lt;wsp:rsid wsp:val=&quot;00A1763E&quot;/&gt;&lt;wsp:rsid wsp:val=&quot;00A17B2D&quot;/&gt;&lt;wsp:rsid wsp:val=&quot;00A17C35&quot;/&gt;&lt;wsp:rsid wsp:val=&quot;00A17D80&quot;/&gt;&lt;wsp:rsid wsp:val=&quot;00A17DDB&quot;/&gt;&lt;wsp:rsid wsp:val=&quot;00A17E93&quot;/&gt;&lt;wsp:rsid wsp:val=&quot;00A17FD5&quot;/&gt;&lt;wsp:rsid wsp:val=&quot;00A20378&quot;/&gt;&lt;wsp:rsid wsp:val=&quot;00A209EA&quot;/&gt;&lt;wsp:rsid wsp:val=&quot;00A20D10&quot;/&gt;&lt;wsp:rsid wsp:val=&quot;00A20E6C&quot;/&gt;&lt;wsp:rsid wsp:val=&quot;00A20F11&quot;/&gt;&lt;wsp:rsid wsp:val=&quot;00A21ABD&quot;/&gt;&lt;wsp:rsid wsp:val=&quot;00A21BFA&quot;/&gt;&lt;wsp:rsid wsp:val=&quot;00A21CE4&quot;/&gt;&lt;wsp:rsid wsp:val=&quot;00A2207C&quot;/&gt;&lt;wsp:rsid wsp:val=&quot;00A22137&quot;/&gt;&lt;wsp:rsid wsp:val=&quot;00A226FC&quot;/&gt;&lt;wsp:rsid wsp:val=&quot;00A226FF&quot;/&gt;&lt;wsp:rsid wsp:val=&quot;00A2291F&quot;/&gt;&lt;wsp:rsid wsp:val=&quot;00A22E0D&quot;/&gt;&lt;wsp:rsid wsp:val=&quot;00A22F42&quot;/&gt;&lt;wsp:rsid wsp:val=&quot;00A23506&quot;/&gt;&lt;wsp:rsid wsp:val=&quot;00A23648&quot;/&gt;&lt;wsp:rsid wsp:val=&quot;00A23994&quot;/&gt;&lt;wsp:rsid wsp:val=&quot;00A23B5E&quot;/&gt;&lt;wsp:rsid wsp:val=&quot;00A24233&quot;/&gt;&lt;wsp:rsid wsp:val=&quot;00A24248&quot;/&gt;&lt;wsp:rsid wsp:val=&quot;00A24A2D&quot;/&gt;&lt;wsp:rsid wsp:val=&quot;00A252E7&quot;/&gt;&lt;wsp:rsid wsp:val=&quot;00A2593E&quot;/&gt;&lt;wsp:rsid wsp:val=&quot;00A261A7&quot;/&gt;&lt;wsp:rsid wsp:val=&quot;00A262EE&quot;/&gt;&lt;wsp:rsid wsp:val=&quot;00A270A3&quot;/&gt;&lt;wsp:rsid wsp:val=&quot;00A27218&quot;/&gt;&lt;wsp:rsid wsp:val=&quot;00A272C0&quot;/&gt;&lt;wsp:rsid wsp:val=&quot;00A27335&quot;/&gt;&lt;wsp:rsid wsp:val=&quot;00A27758&quot;/&gt;&lt;wsp:rsid wsp:val=&quot;00A27EF4&quot;/&gt;&lt;wsp:rsid wsp:val=&quot;00A27F1E&quot;/&gt;&lt;wsp:rsid wsp:val=&quot;00A30022&quot;/&gt;&lt;wsp:rsid wsp:val=&quot;00A30405&quot;/&gt;&lt;wsp:rsid wsp:val=&quot;00A30473&quot;/&gt;&lt;wsp:rsid wsp:val=&quot;00A304F6&quot;/&gt;&lt;wsp:rsid wsp:val=&quot;00A30940&quot;/&gt;&lt;wsp:rsid wsp:val=&quot;00A30C79&quot;/&gt;&lt;wsp:rsid wsp:val=&quot;00A30CD9&quot;/&gt;&lt;wsp:rsid wsp:val=&quot;00A30D84&quot;/&gt;&lt;wsp:rsid wsp:val=&quot;00A310F8&quot;/&gt;&lt;wsp:rsid wsp:val=&quot;00A31154&quot;/&gt;&lt;wsp:rsid wsp:val=&quot;00A3124A&quot;/&gt;&lt;wsp:rsid wsp:val=&quot;00A31811&quot;/&gt;&lt;wsp:rsid wsp:val=&quot;00A31CD5&quot;/&gt;&lt;wsp:rsid wsp:val=&quot;00A32633&quot;/&gt;&lt;wsp:rsid wsp:val=&quot;00A32EF9&quot;/&gt;&lt;wsp:rsid wsp:val=&quot;00A3384E&quot;/&gt;&lt;wsp:rsid wsp:val=&quot;00A33D51&quot;/&gt;&lt;wsp:rsid wsp:val=&quot;00A33EAA&quot;/&gt;&lt;wsp:rsid wsp:val=&quot;00A34099&quot;/&gt;&lt;wsp:rsid wsp:val=&quot;00A343F7&quot;/&gt;&lt;wsp:rsid wsp:val=&quot;00A34488&quot;/&gt;&lt;wsp:rsid wsp:val=&quot;00A34787&quot;/&gt;&lt;wsp:rsid wsp:val=&quot;00A3483B&quot;/&gt;&lt;wsp:rsid wsp:val=&quot;00A348E8&quot;/&gt;&lt;wsp:rsid wsp:val=&quot;00A34919&quot;/&gt;&lt;wsp:rsid wsp:val=&quot;00A34AB2&quot;/&gt;&lt;wsp:rsid wsp:val=&quot;00A3521D&quot;/&gt;&lt;wsp:rsid wsp:val=&quot;00A352D6&quot;/&gt;&lt;wsp:rsid wsp:val=&quot;00A35655&quot;/&gt;&lt;wsp:rsid wsp:val=&quot;00A35DA5&quot;/&gt;&lt;wsp:rsid wsp:val=&quot;00A3602A&quot;/&gt;&lt;wsp:rsid wsp:val=&quot;00A3612D&quot;/&gt;&lt;wsp:rsid wsp:val=&quot;00A3687D&quot;/&gt;&lt;wsp:rsid wsp:val=&quot;00A36911&quot;/&gt;&lt;wsp:rsid wsp:val=&quot;00A36FC7&quot;/&gt;&lt;wsp:rsid wsp:val=&quot;00A375E3&quot;/&gt;&lt;wsp:rsid wsp:val=&quot;00A37CCC&quot;/&gt;&lt;wsp:rsid wsp:val=&quot;00A37D0D&quot;/&gt;&lt;wsp:rsid wsp:val=&quot;00A40248&quot;/&gt;&lt;wsp:rsid wsp:val=&quot;00A40A2D&quot;/&gt;&lt;wsp:rsid wsp:val=&quot;00A40C6F&quot;/&gt;&lt;wsp:rsid wsp:val=&quot;00A40F5C&quot;/&gt;&lt;wsp:rsid wsp:val=&quot;00A41847&quot;/&gt;&lt;wsp:rsid wsp:val=&quot;00A41B59&quot;/&gt;&lt;wsp:rsid wsp:val=&quot;00A41EEF&quot;/&gt;&lt;wsp:rsid wsp:val=&quot;00A4240B&quot;/&gt;&lt;wsp:rsid wsp:val=&quot;00A4252A&quot;/&gt;&lt;wsp:rsid wsp:val=&quot;00A429A0&quot;/&gt;&lt;wsp:rsid wsp:val=&quot;00A43176&quot;/&gt;&lt;wsp:rsid wsp:val=&quot;00A43177&quot;/&gt;&lt;wsp:rsid wsp:val=&quot;00A43326&quot;/&gt;&lt;wsp:rsid wsp:val=&quot;00A43637&quot;/&gt;&lt;wsp:rsid wsp:val=&quot;00A4383F&quot;/&gt;&lt;wsp:rsid wsp:val=&quot;00A43F6D&quot;/&gt;&lt;wsp:rsid wsp:val=&quot;00A442DB&quot;/&gt;&lt;wsp:rsid wsp:val=&quot;00A44F49&quot;/&gt;&lt;wsp:rsid wsp:val=&quot;00A465D5&quot;/&gt;&lt;wsp:rsid wsp:val=&quot;00A47257&quot;/&gt;&lt;wsp:rsid wsp:val=&quot;00A4729B&quot;/&gt;&lt;wsp:rsid wsp:val=&quot;00A4778F&quot;/&gt;&lt;wsp:rsid wsp:val=&quot;00A47AEC&quot;/&gt;&lt;wsp:rsid wsp:val=&quot;00A47F2C&quot;/&gt;&lt;wsp:rsid wsp:val=&quot;00A50056&quot;/&gt;&lt;wsp:rsid wsp:val=&quot;00A5053E&quot;/&gt;&lt;wsp:rsid wsp:val=&quot;00A50D97&quot;/&gt;&lt;wsp:rsid wsp:val=&quot;00A51313&quot;/&gt;&lt;wsp:rsid wsp:val=&quot;00A513B8&quot;/&gt;&lt;wsp:rsid wsp:val=&quot;00A51795&quot;/&gt;&lt;wsp:rsid wsp:val=&quot;00A51870&quot;/&gt;&lt;wsp:rsid wsp:val=&quot;00A518ED&quot;/&gt;&lt;wsp:rsid wsp:val=&quot;00A51CA5&quot;/&gt;&lt;wsp:rsid wsp:val=&quot;00A51F41&quot;/&gt;&lt;wsp:rsid wsp:val=&quot;00A51F64&quot;/&gt;&lt;wsp:rsid wsp:val=&quot;00A52270&quot;/&gt;&lt;wsp:rsid wsp:val=&quot;00A526BB&quot;/&gt;&lt;wsp:rsid wsp:val=&quot;00A528FE&quot;/&gt;&lt;wsp:rsid wsp:val=&quot;00A52AB8&quot;/&gt;&lt;wsp:rsid wsp:val=&quot;00A52C16&quot;/&gt;&lt;wsp:rsid wsp:val=&quot;00A52FAE&quot;/&gt;&lt;wsp:rsid wsp:val=&quot;00A53478&quot;/&gt;&lt;wsp:rsid wsp:val=&quot;00A537B8&quot;/&gt;&lt;wsp:rsid wsp:val=&quot;00A537CA&quot;/&gt;&lt;wsp:rsid wsp:val=&quot;00A53809&quot;/&gt;&lt;wsp:rsid wsp:val=&quot;00A53D59&quot;/&gt;&lt;wsp:rsid wsp:val=&quot;00A53E21&quot;/&gt;&lt;wsp:rsid wsp:val=&quot;00A54816&quot;/&gt;&lt;wsp:rsid wsp:val=&quot;00A54971&quot;/&gt;&lt;wsp:rsid wsp:val=&quot;00A54E31&quot;/&gt;&lt;wsp:rsid wsp:val=&quot;00A5553C&quot;/&gt;&lt;wsp:rsid wsp:val=&quot;00A55B82&quot;/&gt;&lt;wsp:rsid wsp:val=&quot;00A56042&quot;/&gt;&lt;wsp:rsid wsp:val=&quot;00A5604E&quot;/&gt;&lt;wsp:rsid wsp:val=&quot;00A56484&quot;/&gt;&lt;wsp:rsid wsp:val=&quot;00A56E0B&quot;/&gt;&lt;wsp:rsid wsp:val=&quot;00A575B8&quot;/&gt;&lt;wsp:rsid wsp:val=&quot;00A57746&quot;/&gt;&lt;wsp:rsid wsp:val=&quot;00A57A97&quot;/&gt;&lt;wsp:rsid wsp:val=&quot;00A57D2D&quot;/&gt;&lt;wsp:rsid wsp:val=&quot;00A6006A&quot;/&gt;&lt;wsp:rsid wsp:val=&quot;00A6014E&quot;/&gt;&lt;wsp:rsid wsp:val=&quot;00A604C0&quot;/&gt;&lt;wsp:rsid wsp:val=&quot;00A607AF&quot;/&gt;&lt;wsp:rsid wsp:val=&quot;00A60DD1&quot;/&gt;&lt;wsp:rsid wsp:val=&quot;00A6113E&quot;/&gt;&lt;wsp:rsid wsp:val=&quot;00A6171A&quot;/&gt;&lt;wsp:rsid wsp:val=&quot;00A61798&quot;/&gt;&lt;wsp:rsid wsp:val=&quot;00A6194C&quot;/&gt;&lt;wsp:rsid wsp:val=&quot;00A61983&quot;/&gt;&lt;wsp:rsid wsp:val=&quot;00A61A8E&quot;/&gt;&lt;wsp:rsid wsp:val=&quot;00A61DB3&quot;/&gt;&lt;wsp:rsid wsp:val=&quot;00A61E69&quot;/&gt;&lt;wsp:rsid wsp:val=&quot;00A62020&quot;/&gt;&lt;wsp:rsid wsp:val=&quot;00A626B2&quot;/&gt;&lt;wsp:rsid wsp:val=&quot;00A627DD&quot;/&gt;&lt;wsp:rsid wsp:val=&quot;00A629DA&quot;/&gt;&lt;wsp:rsid wsp:val=&quot;00A6304F&quot;/&gt;&lt;wsp:rsid wsp:val=&quot;00A63AA4&quot;/&gt;&lt;wsp:rsid wsp:val=&quot;00A63B13&quot;/&gt;&lt;wsp:rsid wsp:val=&quot;00A63D49&quot;/&gt;&lt;wsp:rsid wsp:val=&quot;00A64267&quot;/&gt;&lt;wsp:rsid wsp:val=&quot;00A648AE&quot;/&gt;&lt;wsp:rsid wsp:val=&quot;00A64BC5&quot;/&gt;&lt;wsp:rsid wsp:val=&quot;00A64D66&quot;/&gt;&lt;wsp:rsid wsp:val=&quot;00A65203&quot;/&gt;&lt;wsp:rsid wsp:val=&quot;00A65267&quot;/&gt;&lt;wsp:rsid wsp:val=&quot;00A6539A&quot;/&gt;&lt;wsp:rsid wsp:val=&quot;00A65429&quot;/&gt;&lt;wsp:rsid wsp:val=&quot;00A65763&quot;/&gt;&lt;wsp:rsid wsp:val=&quot;00A65CF2&quot;/&gt;&lt;wsp:rsid wsp:val=&quot;00A65FB1&quot;/&gt;&lt;wsp:rsid wsp:val=&quot;00A660DE&quot;/&gt;&lt;wsp:rsid wsp:val=&quot;00A66337&quot;/&gt;&lt;wsp:rsid wsp:val=&quot;00A66855&quot;/&gt;&lt;wsp:rsid wsp:val=&quot;00A66C91&quot;/&gt;&lt;wsp:rsid wsp:val=&quot;00A66D12&quot;/&gt;&lt;wsp:rsid wsp:val=&quot;00A66D7A&quot;/&gt;&lt;wsp:rsid wsp:val=&quot;00A670D6&quot;/&gt;&lt;wsp:rsid wsp:val=&quot;00A6729D&quot;/&gt;&lt;wsp:rsid wsp:val=&quot;00A67394&quot;/&gt;&lt;wsp:rsid wsp:val=&quot;00A677B5&quot;/&gt;&lt;wsp:rsid wsp:val=&quot;00A6790F&quot;/&gt;&lt;wsp:rsid wsp:val=&quot;00A67912&quot;/&gt;&lt;wsp:rsid wsp:val=&quot;00A67DAC&quot;/&gt;&lt;wsp:rsid wsp:val=&quot;00A701FD&quot;/&gt;&lt;wsp:rsid wsp:val=&quot;00A707D4&quot;/&gt;&lt;wsp:rsid wsp:val=&quot;00A70A5B&quot;/&gt;&lt;wsp:rsid wsp:val=&quot;00A70BDE&quot;/&gt;&lt;wsp:rsid wsp:val=&quot;00A70E8D&quot;/&gt;&lt;wsp:rsid wsp:val=&quot;00A70EC1&quot;/&gt;&lt;wsp:rsid wsp:val=&quot;00A70F52&quot;/&gt;&lt;wsp:rsid wsp:val=&quot;00A710F7&quot;/&gt;&lt;wsp:rsid wsp:val=&quot;00A71124&quot;/&gt;&lt;wsp:rsid wsp:val=&quot;00A7121B&quot;/&gt;&lt;wsp:rsid wsp:val=&quot;00A715C6&quot;/&gt;&lt;wsp:rsid wsp:val=&quot;00A715FD&quot;/&gt;&lt;wsp:rsid wsp:val=&quot;00A71A9A&quot;/&gt;&lt;wsp:rsid wsp:val=&quot;00A71FF8&quot;/&gt;&lt;wsp:rsid wsp:val=&quot;00A7266F&quot;/&gt;&lt;wsp:rsid wsp:val=&quot;00A72C11&quot;/&gt;&lt;wsp:rsid wsp:val=&quot;00A72E7A&quot;/&gt;&lt;wsp:rsid wsp:val=&quot;00A7352C&quot;/&gt;&lt;wsp:rsid wsp:val=&quot;00A73841&quot;/&gt;&lt;wsp:rsid wsp:val=&quot;00A73A59&quot;/&gt;&lt;wsp:rsid wsp:val=&quot;00A73D44&quot;/&gt;&lt;wsp:rsid wsp:val=&quot;00A741C8&quot;/&gt;&lt;wsp:rsid wsp:val=&quot;00A74A9A&quot;/&gt;&lt;wsp:rsid wsp:val=&quot;00A74C38&quot;/&gt;&lt;wsp:rsid wsp:val=&quot;00A75314&quot;/&gt;&lt;wsp:rsid wsp:val=&quot;00A7562A&quot;/&gt;&lt;wsp:rsid wsp:val=&quot;00A75D66&quot;/&gt;&lt;wsp:rsid wsp:val=&quot;00A75E31&quot;/&gt;&lt;wsp:rsid wsp:val=&quot;00A75E76&quot;/&gt;&lt;wsp:rsid wsp:val=&quot;00A76326&quot;/&gt;&lt;wsp:rsid wsp:val=&quot;00A765A2&quot;/&gt;&lt;wsp:rsid wsp:val=&quot;00A765C0&quot;/&gt;&lt;wsp:rsid wsp:val=&quot;00A7686C&quot;/&gt;&lt;wsp:rsid wsp:val=&quot;00A76A08&quot;/&gt;&lt;wsp:rsid wsp:val=&quot;00A76A40&quot;/&gt;&lt;wsp:rsid wsp:val=&quot;00A76B2A&quot;/&gt;&lt;wsp:rsid wsp:val=&quot;00A76D07&quot;/&gt;&lt;wsp:rsid wsp:val=&quot;00A76E3C&quot;/&gt;&lt;wsp:rsid wsp:val=&quot;00A7790D&quot;/&gt;&lt;wsp:rsid wsp:val=&quot;00A77B57&quot;/&gt;&lt;wsp:rsid wsp:val=&quot;00A77BFB&quot;/&gt;&lt;wsp:rsid wsp:val=&quot;00A800B3&quot;/&gt;&lt;wsp:rsid wsp:val=&quot;00A80333&quot;/&gt;&lt;wsp:rsid wsp:val=&quot;00A807B7&quot;/&gt;&lt;wsp:rsid wsp:val=&quot;00A80877&quot;/&gt;&lt;wsp:rsid wsp:val=&quot;00A80892&quot;/&gt;&lt;wsp:rsid wsp:val=&quot;00A80A0E&quot;/&gt;&lt;wsp:rsid wsp:val=&quot;00A80A86&quot;/&gt;&lt;wsp:rsid wsp:val=&quot;00A810F9&quot;/&gt;&lt;wsp:rsid wsp:val=&quot;00A8111C&quot;/&gt;&lt;wsp:rsid wsp:val=&quot;00A8170A&quot;/&gt;&lt;wsp:rsid wsp:val=&quot;00A818A4&quot;/&gt;&lt;wsp:rsid wsp:val=&quot;00A81DD7&quot;/&gt;&lt;wsp:rsid wsp:val=&quot;00A820B4&quot;/&gt;&lt;wsp:rsid wsp:val=&quot;00A82346&quot;/&gt;&lt;wsp:rsid wsp:val=&quot;00A82675&quot;/&gt;&lt;wsp:rsid wsp:val=&quot;00A82773&quot;/&gt;&lt;wsp:rsid wsp:val=&quot;00A8277D&quot;/&gt;&lt;wsp:rsid wsp:val=&quot;00A83BFC&quot;/&gt;&lt;wsp:rsid wsp:val=&quot;00A83DD5&quot;/&gt;&lt;wsp:rsid wsp:val=&quot;00A841A8&quot;/&gt;&lt;wsp:rsid wsp:val=&quot;00A8425B&quot;/&gt;&lt;wsp:rsid wsp:val=&quot;00A84D1E&quot;/&gt;&lt;wsp:rsid wsp:val=&quot;00A85234&quot;/&gt;&lt;wsp:rsid wsp:val=&quot;00A853B5&quot;/&gt;&lt;wsp:rsid wsp:val=&quot;00A855A2&quot;/&gt;&lt;wsp:rsid wsp:val=&quot;00A85755&quot;/&gt;&lt;wsp:rsid wsp:val=&quot;00A858ED&quot;/&gt;&lt;wsp:rsid wsp:val=&quot;00A85A20&quot;/&gt;&lt;wsp:rsid wsp:val=&quot;00A85D90&quot;/&gt;&lt;wsp:rsid wsp:val=&quot;00A85E89&quot;/&gt;&lt;wsp:rsid wsp:val=&quot;00A85EB0&quot;/&gt;&lt;wsp:rsid wsp:val=&quot;00A86531&quot;/&gt;&lt;wsp:rsid wsp:val=&quot;00A867EB&quot;/&gt;&lt;wsp:rsid wsp:val=&quot;00A86B33&quot;/&gt;&lt;wsp:rsid wsp:val=&quot;00A86EEB&quot;/&gt;&lt;wsp:rsid wsp:val=&quot;00A87155&quot;/&gt;&lt;wsp:rsid wsp:val=&quot;00A87208&quot;/&gt;&lt;wsp:rsid wsp:val=&quot;00A87724&quot;/&gt;&lt;wsp:rsid wsp:val=&quot;00A87820&quot;/&gt;&lt;wsp:rsid wsp:val=&quot;00A8788D&quot;/&gt;&lt;wsp:rsid wsp:val=&quot;00A878A4&quot;/&gt;&lt;wsp:rsid wsp:val=&quot;00A879D6&quot;/&gt;&lt;wsp:rsid wsp:val=&quot;00A87C29&quot;/&gt;&lt;wsp:rsid wsp:val=&quot;00A87F41&quot;/&gt;&lt;wsp:rsid wsp:val=&quot;00A903DE&quot;/&gt;&lt;wsp:rsid wsp:val=&quot;00A90584&quot;/&gt;&lt;wsp:rsid wsp:val=&quot;00A90A12&quot;/&gt;&lt;wsp:rsid wsp:val=&quot;00A90F31&quot;/&gt;&lt;wsp:rsid wsp:val=&quot;00A912DD&quot;/&gt;&lt;wsp:rsid wsp:val=&quot;00A915D8&quot;/&gt;&lt;wsp:rsid wsp:val=&quot;00A91839&quot;/&gt;&lt;wsp:rsid wsp:val=&quot;00A91B76&quot;/&gt;&lt;wsp:rsid wsp:val=&quot;00A91B9A&quot;/&gt;&lt;wsp:rsid wsp:val=&quot;00A91E08&quot;/&gt;&lt;wsp:rsid wsp:val=&quot;00A92168&quot;/&gt;&lt;wsp:rsid wsp:val=&quot;00A92513&quot;/&gt;&lt;wsp:rsid wsp:val=&quot;00A928DB&quot;/&gt;&lt;wsp:rsid wsp:val=&quot;00A9295F&quot;/&gt;&lt;wsp:rsid wsp:val=&quot;00A92B87&quot;/&gt;&lt;wsp:rsid wsp:val=&quot;00A9315B&quot;/&gt;&lt;wsp:rsid wsp:val=&quot;00A931F2&quot;/&gt;&lt;wsp:rsid wsp:val=&quot;00A93507&quot;/&gt;&lt;wsp:rsid wsp:val=&quot;00A935C3&quot;/&gt;&lt;wsp:rsid wsp:val=&quot;00A93D4E&quot;/&gt;&lt;wsp:rsid wsp:val=&quot;00A93DE5&quot;/&gt;&lt;wsp:rsid wsp:val=&quot;00A93DE8&quot;/&gt;&lt;wsp:rsid wsp:val=&quot;00A93F76&quot;/&gt;&lt;wsp:rsid wsp:val=&quot;00A94491&quot;/&gt;&lt;wsp:rsid wsp:val=&quot;00A9480B&quot;/&gt;&lt;wsp:rsid wsp:val=&quot;00A94810&quot;/&gt;&lt;wsp:rsid wsp:val=&quot;00A951C6&quot;/&gt;&lt;wsp:rsid wsp:val=&quot;00A95BEC&quot;/&gt;&lt;wsp:rsid wsp:val=&quot;00A961BB&quot;/&gt;&lt;wsp:rsid wsp:val=&quot;00A9681E&quot;/&gt;&lt;wsp:rsid wsp:val=&quot;00A96A52&quot;/&gt;&lt;wsp:rsid wsp:val=&quot;00A96A66&quot;/&gt;&lt;wsp:rsid wsp:val=&quot;00A96AE7&quot;/&gt;&lt;wsp:rsid wsp:val=&quot;00A96EA8&quot;/&gt;&lt;wsp:rsid wsp:val=&quot;00A97920&quot;/&gt;&lt;wsp:rsid wsp:val=&quot;00A97D65&quot;/&gt;&lt;wsp:rsid wsp:val=&quot;00A97F1F&quot;/&gt;&lt;wsp:rsid wsp:val=&quot;00AA02FD&quot;/&gt;&lt;wsp:rsid wsp:val=&quot;00AA042C&quot;/&gt;&lt;wsp:rsid wsp:val=&quot;00AA0584&quot;/&gt;&lt;wsp:rsid wsp:val=&quot;00AA069E&quot;/&gt;&lt;wsp:rsid wsp:val=&quot;00AA0A78&quot;/&gt;&lt;wsp:rsid wsp:val=&quot;00AA0C0C&quot;/&gt;&lt;wsp:rsid wsp:val=&quot;00AA0C45&quot;/&gt;&lt;wsp:rsid wsp:val=&quot;00AA1080&quot;/&gt;&lt;wsp:rsid wsp:val=&quot;00AA1CBC&quot;/&gt;&lt;wsp:rsid wsp:val=&quot;00AA23FC&quot;/&gt;&lt;wsp:rsid wsp:val=&quot;00AA2521&quot;/&gt;&lt;wsp:rsid wsp:val=&quot;00AA2F18&quot;/&gt;&lt;wsp:rsid wsp:val=&quot;00AA314E&quot;/&gt;&lt;wsp:rsid wsp:val=&quot;00AA33A4&quot;/&gt;&lt;wsp:rsid wsp:val=&quot;00AA346B&quot;/&gt;&lt;wsp:rsid wsp:val=&quot;00AA3476&quot;/&gt;&lt;wsp:rsid wsp:val=&quot;00AA3937&quot;/&gt;&lt;wsp:rsid wsp:val=&quot;00AA3B2C&quot;/&gt;&lt;wsp:rsid wsp:val=&quot;00AA3C7A&quot;/&gt;&lt;wsp:rsid wsp:val=&quot;00AA3CBE&quot;/&gt;&lt;wsp:rsid wsp:val=&quot;00AA4246&quot;/&gt;&lt;wsp:rsid wsp:val=&quot;00AA4607&quot;/&gt;&lt;wsp:rsid wsp:val=&quot;00AA47E8&quot;/&gt;&lt;wsp:rsid wsp:val=&quot;00AA48A3&quot;/&gt;&lt;wsp:rsid wsp:val=&quot;00AA4924&quot;/&gt;&lt;wsp:rsid wsp:val=&quot;00AA4D99&quot;/&gt;&lt;wsp:rsid wsp:val=&quot;00AA4E2D&quot;/&gt;&lt;wsp:rsid wsp:val=&quot;00AA510B&quot;/&gt;&lt;wsp:rsid wsp:val=&quot;00AA512E&quot;/&gt;&lt;wsp:rsid wsp:val=&quot;00AA51BB&quot;/&gt;&lt;wsp:rsid wsp:val=&quot;00AA52B0&quot;/&gt;&lt;wsp:rsid wsp:val=&quot;00AA54CF&quot;/&gt;&lt;wsp:rsid wsp:val=&quot;00AA55AC&quot;/&gt;&lt;wsp:rsid wsp:val=&quot;00AA55DC&quot;/&gt;&lt;wsp:rsid wsp:val=&quot;00AA5A0A&quot;/&gt;&lt;wsp:rsid wsp:val=&quot;00AA5D36&quot;/&gt;&lt;wsp:rsid wsp:val=&quot;00AA5F33&quot;/&gt;&lt;wsp:rsid wsp:val=&quot;00AA66CE&quot;/&gt;&lt;wsp:rsid wsp:val=&quot;00AA6F5D&quot;/&gt;&lt;wsp:rsid wsp:val=&quot;00AA7915&quot;/&gt;&lt;wsp:rsid wsp:val=&quot;00AB097D&quot;/&gt;&lt;wsp:rsid wsp:val=&quot;00AB0B87&quot;/&gt;&lt;wsp:rsid wsp:val=&quot;00AB0E1C&quot;/&gt;&lt;wsp:rsid wsp:val=&quot;00AB10CD&quot;/&gt;&lt;wsp:rsid wsp:val=&quot;00AB1244&quot;/&gt;&lt;wsp:rsid wsp:val=&quot;00AB1504&quot;/&gt;&lt;wsp:rsid wsp:val=&quot;00AB20B0&quot;/&gt;&lt;wsp:rsid wsp:val=&quot;00AB2119&quot;/&gt;&lt;wsp:rsid wsp:val=&quot;00AB237C&quot;/&gt;&lt;wsp:rsid wsp:val=&quot;00AB269D&quot;/&gt;&lt;wsp:rsid wsp:val=&quot;00AB274E&quot;/&gt;&lt;wsp:rsid wsp:val=&quot;00AB292A&quot;/&gt;&lt;wsp:rsid wsp:val=&quot;00AB2CF5&quot;/&gt;&lt;wsp:rsid wsp:val=&quot;00AB2E72&quot;/&gt;&lt;wsp:rsid wsp:val=&quot;00AB2F00&quot;/&gt;&lt;wsp:rsid wsp:val=&quot;00AB301B&quot;/&gt;&lt;wsp:rsid wsp:val=&quot;00AB308B&quot;/&gt;&lt;wsp:rsid wsp:val=&quot;00AB3408&quot;/&gt;&lt;wsp:rsid wsp:val=&quot;00AB364B&quot;/&gt;&lt;wsp:rsid wsp:val=&quot;00AB389E&quot;/&gt;&lt;wsp:rsid wsp:val=&quot;00AB3D6A&quot;/&gt;&lt;wsp:rsid wsp:val=&quot;00AB42B0&quot;/&gt;&lt;wsp:rsid wsp:val=&quot;00AB47F0&quot;/&gt;&lt;wsp:rsid wsp:val=&quot;00AB4952&quot;/&gt;&lt;wsp:rsid wsp:val=&quot;00AB4C51&quot;/&gt;&lt;wsp:rsid wsp:val=&quot;00AB4C7F&quot;/&gt;&lt;wsp:rsid wsp:val=&quot;00AB4E24&quot;/&gt;&lt;wsp:rsid wsp:val=&quot;00AB4FE3&quot;/&gt;&lt;wsp:rsid wsp:val=&quot;00AB504C&quot;/&gt;&lt;wsp:rsid wsp:val=&quot;00AB51FA&quot;/&gt;&lt;wsp:rsid wsp:val=&quot;00AB5375&quot;/&gt;&lt;wsp:rsid wsp:val=&quot;00AB5404&quot;/&gt;&lt;wsp:rsid wsp:val=&quot;00AB55DD&quot;/&gt;&lt;wsp:rsid wsp:val=&quot;00AB5747&quot;/&gt;&lt;wsp:rsid wsp:val=&quot;00AB5B35&quot;/&gt;&lt;wsp:rsid wsp:val=&quot;00AB5CE5&quot;/&gt;&lt;wsp:rsid wsp:val=&quot;00AB67B5&quot;/&gt;&lt;wsp:rsid wsp:val=&quot;00AB67F3&quot;/&gt;&lt;wsp:rsid wsp:val=&quot;00AB6D48&quot;/&gt;&lt;wsp:rsid wsp:val=&quot;00AB6EC3&quot;/&gt;&lt;wsp:rsid wsp:val=&quot;00AB7C45&quot;/&gt;&lt;wsp:rsid wsp:val=&quot;00AC0763&quot;/&gt;&lt;wsp:rsid wsp:val=&quot;00AC0967&quot;/&gt;&lt;wsp:rsid wsp:val=&quot;00AC0D90&quot;/&gt;&lt;wsp:rsid wsp:val=&quot;00AC1044&quot;/&gt;&lt;wsp:rsid wsp:val=&quot;00AC1366&quot;/&gt;&lt;wsp:rsid wsp:val=&quot;00AC1455&quot;/&gt;&lt;wsp:rsid wsp:val=&quot;00AC18E9&quot;/&gt;&lt;wsp:rsid wsp:val=&quot;00AC19BD&quot;/&gt;&lt;wsp:rsid wsp:val=&quot;00AC2032&quot;/&gt;&lt;wsp:rsid wsp:val=&quot;00AC20DA&quot;/&gt;&lt;wsp:rsid wsp:val=&quot;00AC22D2&quot;/&gt;&lt;wsp:rsid wsp:val=&quot;00AC2495&quot;/&gt;&lt;wsp:rsid wsp:val=&quot;00AC2652&quot;/&gt;&lt;wsp:rsid wsp:val=&quot;00AC2926&quot;/&gt;&lt;wsp:rsid wsp:val=&quot;00AC2B5B&quot;/&gt;&lt;wsp:rsid wsp:val=&quot;00AC308A&quot;/&gt;&lt;wsp:rsid wsp:val=&quot;00AC358E&quot;/&gt;&lt;wsp:rsid wsp:val=&quot;00AC3903&quot;/&gt;&lt;wsp:rsid wsp:val=&quot;00AC4063&quot;/&gt;&lt;wsp:rsid wsp:val=&quot;00AC40EE&quot;/&gt;&lt;wsp:rsid wsp:val=&quot;00AC4234&quot;/&gt;&lt;wsp:rsid wsp:val=&quot;00AC4D26&quot;/&gt;&lt;wsp:rsid wsp:val=&quot;00AC4E76&quot;/&gt;&lt;wsp:rsid wsp:val=&quot;00AC4F73&quot;/&gt;&lt;wsp:rsid wsp:val=&quot;00AC533B&quot;/&gt;&lt;wsp:rsid wsp:val=&quot;00AC56DD&quot;/&gt;&lt;wsp:rsid wsp:val=&quot;00AC5796&quot;/&gt;&lt;wsp:rsid wsp:val=&quot;00AC650B&quot;/&gt;&lt;wsp:rsid wsp:val=&quot;00AC6598&quot;/&gt;&lt;wsp:rsid wsp:val=&quot;00AC68D8&quot;/&gt;&lt;wsp:rsid wsp:val=&quot;00AC699A&quot;/&gt;&lt;wsp:rsid wsp:val=&quot;00AC6C6D&quot;/&gt;&lt;wsp:rsid wsp:val=&quot;00AC6DC2&quot;/&gt;&lt;wsp:rsid wsp:val=&quot;00AC704A&quot;/&gt;&lt;wsp:rsid wsp:val=&quot;00AC73C4&quot;/&gt;&lt;wsp:rsid wsp:val=&quot;00AC77AC&quot;/&gt;&lt;wsp:rsid wsp:val=&quot;00AC7D8E&quot;/&gt;&lt;wsp:rsid wsp:val=&quot;00AD009D&quot;/&gt;&lt;wsp:rsid wsp:val=&quot;00AD034D&quot;/&gt;&lt;wsp:rsid wsp:val=&quot;00AD040A&quot;/&gt;&lt;wsp:rsid wsp:val=&quot;00AD0684&quot;/&gt;&lt;wsp:rsid wsp:val=&quot;00AD0779&quot;/&gt;&lt;wsp:rsid wsp:val=&quot;00AD08EF&quot;/&gt;&lt;wsp:rsid wsp:val=&quot;00AD1039&quot;/&gt;&lt;wsp:rsid wsp:val=&quot;00AD1BF3&quot;/&gt;&lt;wsp:rsid wsp:val=&quot;00AD1E48&quot;/&gt;&lt;wsp:rsid wsp:val=&quot;00AD2171&quot;/&gt;&lt;wsp:rsid wsp:val=&quot;00AD3062&quot;/&gt;&lt;wsp:rsid wsp:val=&quot;00AD3099&quot;/&gt;&lt;wsp:rsid wsp:val=&quot;00AD312C&quot;/&gt;&lt;wsp:rsid wsp:val=&quot;00AD32CE&quot;/&gt;&lt;wsp:rsid wsp:val=&quot;00AD334F&quot;/&gt;&lt;wsp:rsid wsp:val=&quot;00AD3D3D&quot;/&gt;&lt;wsp:rsid wsp:val=&quot;00AD405F&quot;/&gt;&lt;wsp:rsid wsp:val=&quot;00AD40C2&quot;/&gt;&lt;wsp:rsid wsp:val=&quot;00AD4218&quot;/&gt;&lt;wsp:rsid wsp:val=&quot;00AD4487&quot;/&gt;&lt;wsp:rsid wsp:val=&quot;00AD46B1&quot;/&gt;&lt;wsp:rsid wsp:val=&quot;00AD475B&quot;/&gt;&lt;wsp:rsid wsp:val=&quot;00AD4D3C&quot;/&gt;&lt;wsp:rsid wsp:val=&quot;00AD502A&quot;/&gt;&lt;wsp:rsid wsp:val=&quot;00AD56C8&quot;/&gt;&lt;wsp:rsid wsp:val=&quot;00AD5D9A&quot;/&gt;&lt;wsp:rsid wsp:val=&quot;00AD5DF1&quot;/&gt;&lt;wsp:rsid wsp:val=&quot;00AD63F8&quot;/&gt;&lt;wsp:rsid wsp:val=&quot;00AD67A3&quot;/&gt;&lt;wsp:rsid wsp:val=&quot;00AD67D1&quot;/&gt;&lt;wsp:rsid wsp:val=&quot;00AD6D97&quot;/&gt;&lt;wsp:rsid wsp:val=&quot;00AD6F2C&quot;/&gt;&lt;wsp:rsid wsp:val=&quot;00AD74DE&quot;/&gt;&lt;wsp:rsid wsp:val=&quot;00AD75D9&quot;/&gt;&lt;wsp:rsid wsp:val=&quot;00AD767D&quot;/&gt;&lt;wsp:rsid wsp:val=&quot;00AD79C8&quot;/&gt;&lt;wsp:rsid wsp:val=&quot;00AE024C&quot;/&gt;&lt;wsp:rsid wsp:val=&quot;00AE068F&quot;/&gt;&lt;wsp:rsid wsp:val=&quot;00AE0719&quot;/&gt;&lt;wsp:rsid wsp:val=&quot;00AE084B&quot;/&gt;&lt;wsp:rsid wsp:val=&quot;00AE0FEB&quot;/&gt;&lt;wsp:rsid wsp:val=&quot;00AE0FF8&quot;/&gt;&lt;wsp:rsid wsp:val=&quot;00AE1545&quot;/&gt;&lt;wsp:rsid wsp:val=&quot;00AE15DC&quot;/&gt;&lt;wsp:rsid wsp:val=&quot;00AE1955&quot;/&gt;&lt;wsp:rsid wsp:val=&quot;00AE1B40&quot;/&gt;&lt;wsp:rsid wsp:val=&quot;00AE20EA&quot;/&gt;&lt;wsp:rsid wsp:val=&quot;00AE224C&quot;/&gt;&lt;wsp:rsid wsp:val=&quot;00AE278A&quot;/&gt;&lt;wsp:rsid wsp:val=&quot;00AE2AC4&quot;/&gt;&lt;wsp:rsid wsp:val=&quot;00AE32E1&quot;/&gt;&lt;wsp:rsid wsp:val=&quot;00AE3803&quot;/&gt;&lt;wsp:rsid wsp:val=&quot;00AE3814&quot;/&gt;&lt;wsp:rsid wsp:val=&quot;00AE38C8&quot;/&gt;&lt;wsp:rsid wsp:val=&quot;00AE46DB&quot;/&gt;&lt;wsp:rsid wsp:val=&quot;00AE4840&quot;/&gt;&lt;wsp:rsid wsp:val=&quot;00AE5283&quot;/&gt;&lt;wsp:rsid wsp:val=&quot;00AE542C&quot;/&gt;&lt;wsp:rsid wsp:val=&quot;00AE5D98&quot;/&gt;&lt;wsp:rsid wsp:val=&quot;00AE5E12&quot;/&gt;&lt;wsp:rsid wsp:val=&quot;00AE5E2B&quot;/&gt;&lt;wsp:rsid wsp:val=&quot;00AE5EA0&quot;/&gt;&lt;wsp:rsid wsp:val=&quot;00AE69C5&quot;/&gt;&lt;wsp:rsid wsp:val=&quot;00AE6EB1&quot;/&gt;&lt;wsp:rsid wsp:val=&quot;00AE6F8E&quot;/&gt;&lt;wsp:rsid wsp:val=&quot;00AE76BD&quot;/&gt;&lt;wsp:rsid wsp:val=&quot;00AE794E&quot;/&gt;&lt;wsp:rsid wsp:val=&quot;00AE7B87&quot;/&gt;&lt;wsp:rsid wsp:val=&quot;00AF04F5&quot;/&gt;&lt;wsp:rsid wsp:val=&quot;00AF077C&quot;/&gt;&lt;wsp:rsid wsp:val=&quot;00AF078B&quot;/&gt;&lt;wsp:rsid wsp:val=&quot;00AF0C3E&quot;/&gt;&lt;wsp:rsid wsp:val=&quot;00AF14A8&quot;/&gt;&lt;wsp:rsid wsp:val=&quot;00AF1564&quot;/&gt;&lt;wsp:rsid wsp:val=&quot;00AF1B37&quot;/&gt;&lt;wsp:rsid wsp:val=&quot;00AF2287&quot;/&gt;&lt;wsp:rsid wsp:val=&quot;00AF2712&quot;/&gt;&lt;wsp:rsid wsp:val=&quot;00AF2CC9&quot;/&gt;&lt;wsp:rsid wsp:val=&quot;00AF2D3E&quot;/&gt;&lt;wsp:rsid wsp:val=&quot;00AF2F7A&quot;/&gt;&lt;wsp:rsid wsp:val=&quot;00AF2F9D&quot;/&gt;&lt;wsp:rsid wsp:val=&quot;00AF3149&quot;/&gt;&lt;wsp:rsid wsp:val=&quot;00AF3509&quot;/&gt;&lt;wsp:rsid wsp:val=&quot;00AF3529&quot;/&gt;&lt;wsp:rsid wsp:val=&quot;00AF3B58&quot;/&gt;&lt;wsp:rsid wsp:val=&quot;00AF3E49&quot;/&gt;&lt;wsp:rsid wsp:val=&quot;00AF424F&quot;/&gt;&lt;wsp:rsid wsp:val=&quot;00AF4343&quot;/&gt;&lt;wsp:rsid wsp:val=&quot;00AF55AA&quot;/&gt;&lt;wsp:rsid wsp:val=&quot;00AF56AE&quot;/&gt;&lt;wsp:rsid wsp:val=&quot;00AF5852&quot;/&gt;&lt;wsp:rsid wsp:val=&quot;00AF5A03&quot;/&gt;&lt;wsp:rsid wsp:val=&quot;00AF5B3E&quot;/&gt;&lt;wsp:rsid wsp:val=&quot;00AF5FD0&quot;/&gt;&lt;wsp:rsid wsp:val=&quot;00AF6623&quot;/&gt;&lt;wsp:rsid wsp:val=&quot;00AF6C6E&quot;/&gt;&lt;wsp:rsid wsp:val=&quot;00AF6F3F&quot;/&gt;&lt;wsp:rsid wsp:val=&quot;00AF7725&quot;/&gt;&lt;wsp:rsid wsp:val=&quot;00AF7759&quot;/&gt;&lt;wsp:rsid wsp:val=&quot;00B003B5&quot;/&gt;&lt;wsp:rsid wsp:val=&quot;00B00493&quot;/&gt;&lt;wsp:rsid wsp:val=&quot;00B006EA&quot;/&gt;&lt;wsp:rsid wsp:val=&quot;00B00992&quot;/&gt;&lt;wsp:rsid wsp:val=&quot;00B00A3C&quot;/&gt;&lt;wsp:rsid wsp:val=&quot;00B00DA1&quot;/&gt;&lt;wsp:rsid wsp:val=&quot;00B00DA4&quot;/&gt;&lt;wsp:rsid wsp:val=&quot;00B00DC4&quot;/&gt;&lt;wsp:rsid wsp:val=&quot;00B0124C&quot;/&gt;&lt;wsp:rsid wsp:val=&quot;00B01375&quot;/&gt;&lt;wsp:rsid wsp:val=&quot;00B01420&quot;/&gt;&lt;wsp:rsid wsp:val=&quot;00B016D4&quot;/&gt;&lt;wsp:rsid wsp:val=&quot;00B01D43&quot;/&gt;&lt;wsp:rsid wsp:val=&quot;00B01FC6&quot;/&gt;&lt;wsp:rsid wsp:val=&quot;00B02031&quot;/&gt;&lt;wsp:rsid wsp:val=&quot;00B026F6&quot;/&gt;&lt;wsp:rsid wsp:val=&quot;00B02F28&quot;/&gt;&lt;wsp:rsid wsp:val=&quot;00B0318E&quot;/&gt;&lt;wsp:rsid wsp:val=&quot;00B033E0&quot;/&gt;&lt;wsp:rsid wsp:val=&quot;00B03510&quot;/&gt;&lt;wsp:rsid wsp:val=&quot;00B03804&quot;/&gt;&lt;wsp:rsid wsp:val=&quot;00B03DEE&quot;/&gt;&lt;wsp:rsid wsp:val=&quot;00B045D9&quot;/&gt;&lt;wsp:rsid wsp:val=&quot;00B04A0F&quot;/&gt;&lt;wsp:rsid wsp:val=&quot;00B04AE7&quot;/&gt;&lt;wsp:rsid wsp:val=&quot;00B04EEB&quot;/&gt;&lt;wsp:rsid wsp:val=&quot;00B04F2C&quot;/&gt;&lt;wsp:rsid wsp:val=&quot;00B053A9&quot;/&gt;&lt;wsp:rsid wsp:val=&quot;00B05AC4&quot;/&gt;&lt;wsp:rsid wsp:val=&quot;00B05EA9&quot;/&gt;&lt;wsp:rsid wsp:val=&quot;00B05F50&quot;/&gt;&lt;wsp:rsid wsp:val=&quot;00B0603D&quot;/&gt;&lt;wsp:rsid wsp:val=&quot;00B06108&quot;/&gt;&lt;wsp:rsid wsp:val=&quot;00B06342&quot;/&gt;&lt;wsp:rsid wsp:val=&quot;00B063E9&quot;/&gt;&lt;wsp:rsid wsp:val=&quot;00B066FE&quot;/&gt;&lt;wsp:rsid wsp:val=&quot;00B067B6&quot;/&gt;&lt;wsp:rsid wsp:val=&quot;00B069EB&quot;/&gt;&lt;wsp:rsid wsp:val=&quot;00B06D78&quot;/&gt;&lt;wsp:rsid wsp:val=&quot;00B074B7&quot;/&gt;&lt;wsp:rsid wsp:val=&quot;00B07A34&quot;/&gt;&lt;wsp:rsid wsp:val=&quot;00B07A9B&quot;/&gt;&lt;wsp:rsid wsp:val=&quot;00B07C0E&quot;/&gt;&lt;wsp:rsid wsp:val=&quot;00B101E2&quot;/&gt;&lt;wsp:rsid wsp:val=&quot;00B10273&quot;/&gt;&lt;wsp:rsid wsp:val=&quot;00B102A5&quot;/&gt;&lt;wsp:rsid wsp:val=&quot;00B10437&quot;/&gt;&lt;wsp:rsid wsp:val=&quot;00B105C4&quot;/&gt;&lt;wsp:rsid wsp:val=&quot;00B10857&quot;/&gt;&lt;wsp:rsid wsp:val=&quot;00B114AA&quot;/&gt;&lt;wsp:rsid wsp:val=&quot;00B11588&quot;/&gt;&lt;wsp:rsid wsp:val=&quot;00B11AF5&quot;/&gt;&lt;wsp:rsid wsp:val=&quot;00B11C47&quot;/&gt;&lt;wsp:rsid wsp:val=&quot;00B12253&quot;/&gt;&lt;wsp:rsid wsp:val=&quot;00B1237E&quot;/&gt;&lt;wsp:rsid wsp:val=&quot;00B12763&quot;/&gt;&lt;wsp:rsid wsp:val=&quot;00B12A63&quot;/&gt;&lt;wsp:rsid wsp:val=&quot;00B12BF1&quot;/&gt;&lt;wsp:rsid wsp:val=&quot;00B12CB5&quot;/&gt;&lt;wsp:rsid wsp:val=&quot;00B12D76&quot;/&gt;&lt;wsp:rsid wsp:val=&quot;00B12EAC&quot;/&gt;&lt;wsp:rsid wsp:val=&quot;00B13341&quot;/&gt;&lt;wsp:rsid wsp:val=&quot;00B1351D&quot;/&gt;&lt;wsp:rsid wsp:val=&quot;00B13820&quot;/&gt;&lt;wsp:rsid wsp:val=&quot;00B1420F&quot;/&gt;&lt;wsp:rsid wsp:val=&quot;00B14339&quot;/&gt;&lt;wsp:rsid wsp:val=&quot;00B1488F&quot;/&gt;&lt;wsp:rsid wsp:val=&quot;00B1495C&quot;/&gt;&lt;wsp:rsid wsp:val=&quot;00B14964&quot;/&gt;&lt;wsp:rsid wsp:val=&quot;00B14EC4&quot;/&gt;&lt;wsp:rsid wsp:val=&quot;00B14FB8&quot;/&gt;&lt;wsp:rsid wsp:val=&quot;00B150F3&quot;/&gt;&lt;wsp:rsid wsp:val=&quot;00B1542F&quot;/&gt;&lt;wsp:rsid wsp:val=&quot;00B15BB8&quot;/&gt;&lt;wsp:rsid wsp:val=&quot;00B15BD5&quot;/&gt;&lt;wsp:rsid wsp:val=&quot;00B1658C&quot;/&gt;&lt;wsp:rsid wsp:val=&quot;00B165F4&quot;/&gt;&lt;wsp:rsid wsp:val=&quot;00B16B51&quot;/&gt;&lt;wsp:rsid wsp:val=&quot;00B16CE4&quot;/&gt;&lt;wsp:rsid wsp:val=&quot;00B17267&quot;/&gt;&lt;wsp:rsid wsp:val=&quot;00B17A6F&quot;/&gt;&lt;wsp:rsid wsp:val=&quot;00B17A77&quot;/&gt;&lt;wsp:rsid wsp:val=&quot;00B17F34&quot;/&gt;&lt;wsp:rsid wsp:val=&quot;00B2037C&quot;/&gt;&lt;wsp:rsid wsp:val=&quot;00B206CE&quot;/&gt;&lt;wsp:rsid wsp:val=&quot;00B207CE&quot;/&gt;&lt;wsp:rsid wsp:val=&quot;00B207EC&quot;/&gt;&lt;wsp:rsid wsp:val=&quot;00B208ED&quot;/&gt;&lt;wsp:rsid wsp:val=&quot;00B211C4&quot;/&gt;&lt;wsp:rsid wsp:val=&quot;00B21203&quot;/&gt;&lt;wsp:rsid wsp:val=&quot;00B214B2&quot;/&gt;&lt;wsp:rsid wsp:val=&quot;00B215AA&quot;/&gt;&lt;wsp:rsid wsp:val=&quot;00B215BC&quot;/&gt;&lt;wsp:rsid wsp:val=&quot;00B21620&quot;/&gt;&lt;wsp:rsid wsp:val=&quot;00B22E8F&quot;/&gt;&lt;wsp:rsid wsp:val=&quot;00B22F40&quot;/&gt;&lt;wsp:rsid wsp:val=&quot;00B23200&quot;/&gt;&lt;wsp:rsid wsp:val=&quot;00B2379C&quot;/&gt;&lt;wsp:rsid wsp:val=&quot;00B23892&quot;/&gt;&lt;wsp:rsid wsp:val=&quot;00B23D2B&quot;/&gt;&lt;wsp:rsid wsp:val=&quot;00B246A6&quot;/&gt;&lt;wsp:rsid wsp:val=&quot;00B24E41&quot;/&gt;&lt;wsp:rsid wsp:val=&quot;00B24E66&quot;/&gt;&lt;wsp:rsid wsp:val=&quot;00B25027&quot;/&gt;&lt;wsp:rsid wsp:val=&quot;00B2582C&quot;/&gt;&lt;wsp:rsid wsp:val=&quot;00B25907&quot;/&gt;&lt;wsp:rsid wsp:val=&quot;00B264BA&quot;/&gt;&lt;wsp:rsid wsp:val=&quot;00B267C6&quot;/&gt;&lt;wsp:rsid wsp:val=&quot;00B26F46&quot;/&gt;&lt;wsp:rsid wsp:val=&quot;00B270F2&quot;/&gt;&lt;wsp:rsid wsp:val=&quot;00B271B9&quot;/&gt;&lt;wsp:rsid wsp:val=&quot;00B27380&quot;/&gt;&lt;wsp:rsid wsp:val=&quot;00B274BB&quot;/&gt;&lt;wsp:rsid wsp:val=&quot;00B27520&quot;/&gt;&lt;wsp:rsid wsp:val=&quot;00B275DE&quot;/&gt;&lt;wsp:rsid wsp:val=&quot;00B27710&quot;/&gt;&lt;wsp:rsid wsp:val=&quot;00B2772A&quot;/&gt;&lt;wsp:rsid wsp:val=&quot;00B27B90&quot;/&gt;&lt;wsp:rsid wsp:val=&quot;00B27BDA&quot;/&gt;&lt;wsp:rsid wsp:val=&quot;00B302EC&quot;/&gt;&lt;wsp:rsid wsp:val=&quot;00B304C9&quot;/&gt;&lt;wsp:rsid wsp:val=&quot;00B3096D&quot;/&gt;&lt;wsp:rsid wsp:val=&quot;00B30EC9&quot;/&gt;&lt;wsp:rsid wsp:val=&quot;00B31340&quot;/&gt;&lt;wsp:rsid wsp:val=&quot;00B316E7&quot;/&gt;&lt;wsp:rsid wsp:val=&quot;00B31A7D&quot;/&gt;&lt;wsp:rsid wsp:val=&quot;00B31B75&quot;/&gt;&lt;wsp:rsid wsp:val=&quot;00B31F3B&quot;/&gt;&lt;wsp:rsid wsp:val=&quot;00B3255B&quot;/&gt;&lt;wsp:rsid wsp:val=&quot;00B32722&quot;/&gt;&lt;wsp:rsid wsp:val=&quot;00B32901&quot;/&gt;&lt;wsp:rsid wsp:val=&quot;00B32BC4&quot;/&gt;&lt;wsp:rsid wsp:val=&quot;00B32F30&quot;/&gt;&lt;wsp:rsid wsp:val=&quot;00B334E2&quot;/&gt;&lt;wsp:rsid wsp:val=&quot;00B340D8&quot;/&gt;&lt;wsp:rsid wsp:val=&quot;00B34423&quot;/&gt;&lt;wsp:rsid wsp:val=&quot;00B345E1&quot;/&gt;&lt;wsp:rsid wsp:val=&quot;00B34696&quot;/&gt;&lt;wsp:rsid wsp:val=&quot;00B34A3A&quot;/&gt;&lt;wsp:rsid wsp:val=&quot;00B3508E&quot;/&gt;&lt;wsp:rsid wsp:val=&quot;00B35471&quot;/&gt;&lt;wsp:rsid wsp:val=&quot;00B355F7&quot;/&gt;&lt;wsp:rsid wsp:val=&quot;00B355F9&quot;/&gt;&lt;wsp:rsid wsp:val=&quot;00B357FC&quot;/&gt;&lt;wsp:rsid wsp:val=&quot;00B35891&quot;/&gt;&lt;wsp:rsid wsp:val=&quot;00B358AC&quot;/&gt;&lt;wsp:rsid wsp:val=&quot;00B358E9&quot;/&gt;&lt;wsp:rsid wsp:val=&quot;00B35CC2&quot;/&gt;&lt;wsp:rsid wsp:val=&quot;00B36659&quot;/&gt;&lt;wsp:rsid wsp:val=&quot;00B366D3&quot;/&gt;&lt;wsp:rsid wsp:val=&quot;00B3693E&quot;/&gt;&lt;wsp:rsid wsp:val=&quot;00B37158&quot;/&gt;&lt;wsp:rsid wsp:val=&quot;00B373C5&quot;/&gt;&lt;wsp:rsid wsp:val=&quot;00B373F6&quot;/&gt;&lt;wsp:rsid wsp:val=&quot;00B3753C&quot;/&gt;&lt;wsp:rsid wsp:val=&quot;00B37824&quot;/&gt;&lt;wsp:rsid wsp:val=&quot;00B379CB&quot;/&gt;&lt;wsp:rsid wsp:val=&quot;00B37AB0&quot;/&gt;&lt;wsp:rsid wsp:val=&quot;00B37B1C&quot;/&gt;&lt;wsp:rsid wsp:val=&quot;00B37D83&quot;/&gt;&lt;wsp:rsid wsp:val=&quot;00B4003F&quot;/&gt;&lt;wsp:rsid wsp:val=&quot;00B4027C&quot;/&gt;&lt;wsp:rsid wsp:val=&quot;00B405AA&quot;/&gt;&lt;wsp:rsid wsp:val=&quot;00B41129&quot;/&gt;&lt;wsp:rsid wsp:val=&quot;00B41EB7&quot;/&gt;&lt;wsp:rsid wsp:val=&quot;00B420EF&quot;/&gt;&lt;wsp:rsid wsp:val=&quot;00B4230F&quot;/&gt;&lt;wsp:rsid wsp:val=&quot;00B42619&quot;/&gt;&lt;wsp:rsid wsp:val=&quot;00B42645&quot;/&gt;&lt;wsp:rsid wsp:val=&quot;00B4304B&quot;/&gt;&lt;wsp:rsid wsp:val=&quot;00B43378&quot;/&gt;&lt;wsp:rsid wsp:val=&quot;00B4338C&quot;/&gt;&lt;wsp:rsid wsp:val=&quot;00B43BD7&quot;/&gt;&lt;wsp:rsid wsp:val=&quot;00B43C58&quot;/&gt;&lt;wsp:rsid wsp:val=&quot;00B44956&quot;/&gt;&lt;wsp:rsid wsp:val=&quot;00B4527D&quot;/&gt;&lt;wsp:rsid wsp:val=&quot;00B45F5B&quot;/&gt;&lt;wsp:rsid wsp:val=&quot;00B45F5C&quot;/&gt;&lt;wsp:rsid wsp:val=&quot;00B4613C&quot;/&gt;&lt;wsp:rsid wsp:val=&quot;00B464BF&quot;/&gt;&lt;wsp:rsid wsp:val=&quot;00B47705&quot;/&gt;&lt;wsp:rsid wsp:val=&quot;00B47ABD&quot;/&gt;&lt;wsp:rsid wsp:val=&quot;00B47AD1&quot;/&gt;&lt;wsp:rsid wsp:val=&quot;00B47CF4&quot;/&gt;&lt;wsp:rsid wsp:val=&quot;00B47D36&quot;/&gt;&lt;wsp:rsid wsp:val=&quot;00B502BB&quot;/&gt;&lt;wsp:rsid wsp:val=&quot;00B503FD&quot;/&gt;&lt;wsp:rsid wsp:val=&quot;00B50466&quot;/&gt;&lt;wsp:rsid wsp:val=&quot;00B5046F&quot;/&gt;&lt;wsp:rsid wsp:val=&quot;00B505A0&quot;/&gt;&lt;wsp:rsid wsp:val=&quot;00B5084A&quot;/&gt;&lt;wsp:rsid wsp:val=&quot;00B50D60&quot;/&gt;&lt;wsp:rsid wsp:val=&quot;00B5111F&quot;/&gt;&lt;wsp:rsid wsp:val=&quot;00B5185C&quot;/&gt;&lt;wsp:rsid wsp:val=&quot;00B51AB7&quot;/&gt;&lt;wsp:rsid wsp:val=&quot;00B5203B&quot;/&gt;&lt;wsp:rsid wsp:val=&quot;00B52188&quot;/&gt;&lt;wsp:rsid wsp:val=&quot;00B5250E&quot;/&gt;&lt;wsp:rsid wsp:val=&quot;00B5261C&quot;/&gt;&lt;wsp:rsid wsp:val=&quot;00B526AE&quot;/&gt;&lt;wsp:rsid wsp:val=&quot;00B52770&quot;/&gt;&lt;wsp:rsid wsp:val=&quot;00B52A1C&quot;/&gt;&lt;wsp:rsid wsp:val=&quot;00B52A23&quot;/&gt;&lt;wsp:rsid wsp:val=&quot;00B52B05&quot;/&gt;&lt;wsp:rsid wsp:val=&quot;00B52D02&quot;/&gt;&lt;wsp:rsid wsp:val=&quot;00B5318B&quot;/&gt;&lt;wsp:rsid wsp:val=&quot;00B531BC&quot;/&gt;&lt;wsp:rsid wsp:val=&quot;00B53482&quot;/&gt;&lt;wsp:rsid wsp:val=&quot;00B5387F&quot;/&gt;&lt;wsp:rsid wsp:val=&quot;00B5389B&quot;/&gt;&lt;wsp:rsid wsp:val=&quot;00B538F1&quot;/&gt;&lt;wsp:rsid wsp:val=&quot;00B539E7&quot;/&gt;&lt;wsp:rsid wsp:val=&quot;00B53E93&quot;/&gt;&lt;wsp:rsid wsp:val=&quot;00B54064&quot;/&gt;&lt;wsp:rsid wsp:val=&quot;00B54297&quot;/&gt;&lt;wsp:rsid wsp:val=&quot;00B546F4&quot;/&gt;&lt;wsp:rsid wsp:val=&quot;00B54741&quot;/&gt;&lt;wsp:rsid wsp:val=&quot;00B55036&quot;/&gt;&lt;wsp:rsid wsp:val=&quot;00B55249&quot;/&gt;&lt;wsp:rsid wsp:val=&quot;00B5525F&quot;/&gt;&lt;wsp:rsid wsp:val=&quot;00B55663&quot;/&gt;&lt;wsp:rsid wsp:val=&quot;00B55685&quot;/&gt;&lt;wsp:rsid wsp:val=&quot;00B55912&quot;/&gt;&lt;wsp:rsid wsp:val=&quot;00B561D6&quot;/&gt;&lt;wsp:rsid wsp:val=&quot;00B561F7&quot;/&gt;&lt;wsp:rsid wsp:val=&quot;00B5637B&quot;/&gt;&lt;wsp:rsid wsp:val=&quot;00B56DF4&quot;/&gt;&lt;wsp:rsid wsp:val=&quot;00B57213&quot;/&gt;&lt;wsp:rsid wsp:val=&quot;00B573A4&quot;/&gt;&lt;wsp:rsid wsp:val=&quot;00B5750A&quot;/&gt;&lt;wsp:rsid wsp:val=&quot;00B57E4C&quot;/&gt;&lt;wsp:rsid wsp:val=&quot;00B608C4&quot;/&gt;&lt;wsp:rsid wsp:val=&quot;00B609CB&quot;/&gt;&lt;wsp:rsid wsp:val=&quot;00B61A4B&quot;/&gt;&lt;wsp:rsid wsp:val=&quot;00B61D45&quot;/&gt;&lt;wsp:rsid wsp:val=&quot;00B621BD&quot;/&gt;&lt;wsp:rsid wsp:val=&quot;00B622DE&quot;/&gt;&lt;wsp:rsid wsp:val=&quot;00B6234B&quot;/&gt;&lt;wsp:rsid wsp:val=&quot;00B6240A&quot;/&gt;&lt;wsp:rsid wsp:val=&quot;00B6240F&quot;/&gt;&lt;wsp:rsid wsp:val=&quot;00B626C5&quot;/&gt;&lt;wsp:rsid wsp:val=&quot;00B626D5&quot;/&gt;&lt;wsp:rsid wsp:val=&quot;00B62CEE&quot;/&gt;&lt;wsp:rsid wsp:val=&quot;00B63154&quot;/&gt;&lt;wsp:rsid wsp:val=&quot;00B636AA&quot;/&gt;&lt;wsp:rsid wsp:val=&quot;00B642D8&quot;/&gt;&lt;wsp:rsid wsp:val=&quot;00B647B6&quot;/&gt;&lt;wsp:rsid wsp:val=&quot;00B64D1F&quot;/&gt;&lt;wsp:rsid wsp:val=&quot;00B64D40&quot;/&gt;&lt;wsp:rsid wsp:val=&quot;00B6520B&quot;/&gt;&lt;wsp:rsid wsp:val=&quot;00B657C0&quot;/&gt;&lt;wsp:rsid wsp:val=&quot;00B659C5&quot;/&gt;&lt;wsp:rsid wsp:val=&quot;00B66936&quot;/&gt;&lt;wsp:rsid wsp:val=&quot;00B66BE4&quot;/&gt;&lt;wsp:rsid wsp:val=&quot;00B67407&quot;/&gt;&lt;wsp:rsid wsp:val=&quot;00B674C9&quot;/&gt;&lt;wsp:rsid wsp:val=&quot;00B6750B&quot;/&gt;&lt;wsp:rsid wsp:val=&quot;00B67969&quot;/&gt;&lt;wsp:rsid wsp:val=&quot;00B7024E&quot;/&gt;&lt;wsp:rsid wsp:val=&quot;00B70395&quot;/&gt;&lt;wsp:rsid wsp:val=&quot;00B70444&quot;/&gt;&lt;wsp:rsid wsp:val=&quot;00B70C63&quot;/&gt;&lt;wsp:rsid wsp:val=&quot;00B70D4A&quot;/&gt;&lt;wsp:rsid wsp:val=&quot;00B719DC&quot;/&gt;&lt;wsp:rsid wsp:val=&quot;00B71DF4&quot;/&gt;&lt;wsp:rsid wsp:val=&quot;00B71FF8&quot;/&gt;&lt;wsp:rsid wsp:val=&quot;00B7214D&quot;/&gt;&lt;wsp:rsid wsp:val=&quot;00B7237E&quot;/&gt;&lt;wsp:rsid wsp:val=&quot;00B72491&quot;/&gt;&lt;wsp:rsid wsp:val=&quot;00B72997&quot;/&gt;&lt;wsp:rsid wsp:val=&quot;00B72B2D&quot;/&gt;&lt;wsp:rsid wsp:val=&quot;00B73379&quot;/&gt;&lt;wsp:rsid wsp:val=&quot;00B738A1&quot;/&gt;&lt;wsp:rsid wsp:val=&quot;00B73E83&quot;/&gt;&lt;wsp:rsid wsp:val=&quot;00B73F7D&quot;/&gt;&lt;wsp:rsid wsp:val=&quot;00B7404A&quot;/&gt;&lt;wsp:rsid wsp:val=&quot;00B743DB&quot;/&gt;&lt;wsp:rsid wsp:val=&quot;00B74423&quot;/&gt;&lt;wsp:rsid wsp:val=&quot;00B74642&quot;/&gt;&lt;wsp:rsid wsp:val=&quot;00B74D25&quot;/&gt;&lt;wsp:rsid wsp:val=&quot;00B7536C&quot;/&gt;&lt;wsp:rsid wsp:val=&quot;00B7552C&quot;/&gt;&lt;wsp:rsid wsp:val=&quot;00B757CF&quot;/&gt;&lt;wsp:rsid wsp:val=&quot;00B7595E&quot;/&gt;&lt;wsp:rsid wsp:val=&quot;00B75F42&quot;/&gt;&lt;wsp:rsid wsp:val=&quot;00B766BB&quot;/&gt;&lt;wsp:rsid wsp:val=&quot;00B766D1&quot;/&gt;&lt;wsp:rsid wsp:val=&quot;00B769B6&quot;/&gt;&lt;wsp:rsid wsp:val=&quot;00B76C16&quot;/&gt;&lt;wsp:rsid wsp:val=&quot;00B77226&quot;/&gt;&lt;wsp:rsid wsp:val=&quot;00B7723F&quot;/&gt;&lt;wsp:rsid wsp:val=&quot;00B77294&quot;/&gt;&lt;wsp:rsid wsp:val=&quot;00B77450&quot;/&gt;&lt;wsp:rsid wsp:val=&quot;00B776BA&quot;/&gt;&lt;wsp:rsid wsp:val=&quot;00B77C3D&quot;/&gt;&lt;wsp:rsid wsp:val=&quot;00B803FB&quot;/&gt;&lt;wsp:rsid wsp:val=&quot;00B804AA&quot;/&gt;&lt;wsp:rsid wsp:val=&quot;00B8054A&quot;/&gt;&lt;wsp:rsid wsp:val=&quot;00B8064A&quot;/&gt;&lt;wsp:rsid wsp:val=&quot;00B81830&quot;/&gt;&lt;wsp:rsid wsp:val=&quot;00B81AF0&quot;/&gt;&lt;wsp:rsid wsp:val=&quot;00B81B2D&quot;/&gt;&lt;wsp:rsid wsp:val=&quot;00B82189&quot;/&gt;&lt;wsp:rsid wsp:val=&quot;00B82335&quot;/&gt;&lt;wsp:rsid wsp:val=&quot;00B82367&quot;/&gt;&lt;wsp:rsid wsp:val=&quot;00B825BC&quot;/&gt;&lt;wsp:rsid wsp:val=&quot;00B8299B&quot;/&gt;&lt;wsp:rsid wsp:val=&quot;00B82BB6&quot;/&gt;&lt;wsp:rsid wsp:val=&quot;00B830E9&quot;/&gt;&lt;wsp:rsid wsp:val=&quot;00B8316D&quot;/&gt;&lt;wsp:rsid wsp:val=&quot;00B83687&quot;/&gt;&lt;wsp:rsid wsp:val=&quot;00B83B40&quot;/&gt;&lt;wsp:rsid wsp:val=&quot;00B83E28&quot;/&gt;&lt;wsp:rsid wsp:val=&quot;00B8416F&quot;/&gt;&lt;wsp:rsid wsp:val=&quot;00B84482&quot;/&gt;&lt;wsp:rsid wsp:val=&quot;00B845CB&quot;/&gt;&lt;wsp:rsid wsp:val=&quot;00B8472E&quot;/&gt;&lt;wsp:rsid wsp:val=&quot;00B84801&quot;/&gt;&lt;wsp:rsid wsp:val=&quot;00B8506F&quot;/&gt;&lt;wsp:rsid wsp:val=&quot;00B85311&quot;/&gt;&lt;wsp:rsid wsp:val=&quot;00B859FF&quot;/&gt;&lt;wsp:rsid wsp:val=&quot;00B85A40&quot;/&gt;&lt;wsp:rsid wsp:val=&quot;00B85B95&quot;/&gt;&lt;wsp:rsid wsp:val=&quot;00B85DAE&quot;/&gt;&lt;wsp:rsid wsp:val=&quot;00B85DF7&quot;/&gt;&lt;wsp:rsid wsp:val=&quot;00B85FDF&quot;/&gt;&lt;wsp:rsid wsp:val=&quot;00B86233&quot;/&gt;&lt;wsp:rsid wsp:val=&quot;00B868D1&quot;/&gt;&lt;wsp:rsid wsp:val=&quot;00B870B9&quot;/&gt;&lt;wsp:rsid wsp:val=&quot;00B87548&quot;/&gt;&lt;wsp:rsid wsp:val=&quot;00B87808&quot;/&gt;&lt;wsp:rsid wsp:val=&quot;00B87C05&quot;/&gt;&lt;wsp:rsid wsp:val=&quot;00B87FF0&quot;/&gt;&lt;wsp:rsid wsp:val=&quot;00B90186&quot;/&gt;&lt;wsp:rsid wsp:val=&quot;00B90220&quot;/&gt;&lt;wsp:rsid wsp:val=&quot;00B9055C&quot;/&gt;&lt;wsp:rsid wsp:val=&quot;00B90A24&quot;/&gt;&lt;wsp:rsid wsp:val=&quot;00B90AFB&quot;/&gt;&lt;wsp:rsid wsp:val=&quot;00B91017&quot;/&gt;&lt;wsp:rsid wsp:val=&quot;00B91019&quot;/&gt;&lt;wsp:rsid wsp:val=&quot;00B91898&quot;/&gt;&lt;wsp:rsid wsp:val=&quot;00B91D43&quot;/&gt;&lt;wsp:rsid wsp:val=&quot;00B91FFC&quot;/&gt;&lt;wsp:rsid wsp:val=&quot;00B922CF&quot;/&gt;&lt;wsp:rsid wsp:val=&quot;00B9259B&quot;/&gt;&lt;wsp:rsid wsp:val=&quot;00B925A4&quot;/&gt;&lt;wsp:rsid wsp:val=&quot;00B92867&quot;/&gt;&lt;wsp:rsid wsp:val=&quot;00B92C8B&quot;/&gt;&lt;wsp:rsid wsp:val=&quot;00B92CE3&quot;/&gt;&lt;wsp:rsid wsp:val=&quot;00B92EDF&quot;/&gt;&lt;wsp:rsid wsp:val=&quot;00B933ED&quot;/&gt;&lt;wsp:rsid wsp:val=&quot;00B9374D&quot;/&gt;&lt;wsp:rsid wsp:val=&quot;00B939BE&quot;/&gt;&lt;wsp:rsid wsp:val=&quot;00B93A53&quot;/&gt;&lt;wsp:rsid wsp:val=&quot;00B93E91&quot;/&gt;&lt;wsp:rsid wsp:val=&quot;00B94416&quot;/&gt;&lt;wsp:rsid wsp:val=&quot;00B945F6&quot;/&gt;&lt;wsp:rsid wsp:val=&quot;00B9494F&quot;/&gt;&lt;wsp:rsid wsp:val=&quot;00B949CD&quot;/&gt;&lt;wsp:rsid wsp:val=&quot;00B94DD4&quot;/&gt;&lt;wsp:rsid wsp:val=&quot;00B957E1&quot;/&gt;&lt;wsp:rsid wsp:val=&quot;00B95A70&quot;/&gt;&lt;wsp:rsid wsp:val=&quot;00B95F0E&quot;/&gt;&lt;wsp:rsid wsp:val=&quot;00B96800&quot;/&gt;&lt;wsp:rsid wsp:val=&quot;00B96DC9&quot;/&gt;&lt;wsp:rsid wsp:val=&quot;00B96EA0&quot;/&gt;&lt;wsp:rsid wsp:val=&quot;00B972E9&quot;/&gt;&lt;wsp:rsid wsp:val=&quot;00BA00D0&quot;/&gt;&lt;wsp:rsid wsp:val=&quot;00BA0219&quot;/&gt;&lt;wsp:rsid wsp:val=&quot;00BA0229&quot;/&gt;&lt;wsp:rsid wsp:val=&quot;00BA0362&quot;/&gt;&lt;wsp:rsid wsp:val=&quot;00BA0611&quot;/&gt;&lt;wsp:rsid wsp:val=&quot;00BA0A56&quot;/&gt;&lt;wsp:rsid wsp:val=&quot;00BA149A&quot;/&gt;&lt;wsp:rsid wsp:val=&quot;00BA162E&quot;/&gt;&lt;wsp:rsid wsp:val=&quot;00BA178A&quot;/&gt;&lt;wsp:rsid wsp:val=&quot;00BA2D52&quot;/&gt;&lt;wsp:rsid wsp:val=&quot;00BA2D5D&quot;/&gt;&lt;wsp:rsid wsp:val=&quot;00BA3151&quot;/&gt;&lt;wsp:rsid wsp:val=&quot;00BA34EC&quot;/&gt;&lt;wsp:rsid wsp:val=&quot;00BA38D3&quot;/&gt;&lt;wsp:rsid wsp:val=&quot;00BA3DB2&quot;/&gt;&lt;wsp:rsid wsp:val=&quot;00BA3E49&quot;/&gt;&lt;wsp:rsid wsp:val=&quot;00BA43FA&quot;/&gt;&lt;wsp:rsid wsp:val=&quot;00BA4C42&quot;/&gt;&lt;wsp:rsid wsp:val=&quot;00BA4D6A&quot;/&gt;&lt;wsp:rsid wsp:val=&quot;00BA5CA8&quot;/&gt;&lt;wsp:rsid wsp:val=&quot;00BA5DFF&quot;/&gt;&lt;wsp:rsid wsp:val=&quot;00BA5FEF&quot;/&gt;&lt;wsp:rsid wsp:val=&quot;00BA61E1&quot;/&gt;&lt;wsp:rsid wsp:val=&quot;00BA63A1&quot;/&gt;&lt;wsp:rsid wsp:val=&quot;00BA683E&quot;/&gt;&lt;wsp:rsid wsp:val=&quot;00BA68F0&quot;/&gt;&lt;wsp:rsid wsp:val=&quot;00BA6BF0&quot;/&gt;&lt;wsp:rsid wsp:val=&quot;00BA6EF9&quot;/&gt;&lt;wsp:rsid wsp:val=&quot;00BA6FA4&quot;/&gt;&lt;wsp:rsid wsp:val=&quot;00BA7546&quot;/&gt;&lt;wsp:rsid wsp:val=&quot;00BA7725&quot;/&gt;&lt;wsp:rsid wsp:val=&quot;00BA7AD3&quot;/&gt;&lt;wsp:rsid wsp:val=&quot;00BA7FCF&quot;/&gt;&lt;wsp:rsid wsp:val=&quot;00BB022C&quot;/&gt;&lt;wsp:rsid wsp:val=&quot;00BB06E2&quot;/&gt;&lt;wsp:rsid wsp:val=&quot;00BB0DAB&quot;/&gt;&lt;wsp:rsid wsp:val=&quot;00BB167D&quot;/&gt;&lt;wsp:rsid wsp:val=&quot;00BB2025&quot;/&gt;&lt;wsp:rsid wsp:val=&quot;00BB2060&quot;/&gt;&lt;wsp:rsid wsp:val=&quot;00BB20A4&quot;/&gt;&lt;wsp:rsid wsp:val=&quot;00BB2AF6&quot;/&gt;&lt;wsp:rsid wsp:val=&quot;00BB2FFB&quot;/&gt;&lt;wsp:rsid wsp:val=&quot;00BB311C&quot;/&gt;&lt;wsp:rsid wsp:val=&quot;00BB337E&quot;/&gt;&lt;wsp:rsid wsp:val=&quot;00BB34A9&quot;/&gt;&lt;wsp:rsid wsp:val=&quot;00BB350E&quot;/&gt;&lt;wsp:rsid wsp:val=&quot;00BB36C0&quot;/&gt;&lt;wsp:rsid wsp:val=&quot;00BB3A28&quot;/&gt;&lt;wsp:rsid wsp:val=&quot;00BB3B2D&quot;/&gt;&lt;wsp:rsid wsp:val=&quot;00BB409B&quot;/&gt;&lt;wsp:rsid wsp:val=&quot;00BB40BB&quot;/&gt;&lt;wsp:rsid wsp:val=&quot;00BB4189&quot;/&gt;&lt;wsp:rsid wsp:val=&quot;00BB42C2&quot;/&gt;&lt;wsp:rsid wsp:val=&quot;00BB4456&quot;/&gt;&lt;wsp:rsid wsp:val=&quot;00BB44E6&quot;/&gt;&lt;wsp:rsid wsp:val=&quot;00BB4C96&quot;/&gt;&lt;wsp:rsid wsp:val=&quot;00BB4FFB&quot;/&gt;&lt;wsp:rsid wsp:val=&quot;00BB50AC&quot;/&gt;&lt;wsp:rsid wsp:val=&quot;00BB5B79&quot;/&gt;&lt;wsp:rsid wsp:val=&quot;00BB5B9B&quot;/&gt;&lt;wsp:rsid wsp:val=&quot;00BB5C44&quot;/&gt;&lt;wsp:rsid wsp:val=&quot;00BB5F33&quot;/&gt;&lt;wsp:rsid wsp:val=&quot;00BB6048&quot;/&gt;&lt;wsp:rsid wsp:val=&quot;00BB61AC&quot;/&gt;&lt;wsp:rsid wsp:val=&quot;00BB6470&quot;/&gt;&lt;wsp:rsid wsp:val=&quot;00BB6844&quot;/&gt;&lt;wsp:rsid wsp:val=&quot;00BB6956&quot;/&gt;&lt;wsp:rsid wsp:val=&quot;00BB6A39&quot;/&gt;&lt;wsp:rsid wsp:val=&quot;00BB6A44&quot;/&gt;&lt;wsp:rsid wsp:val=&quot;00BB6A93&quot;/&gt;&lt;wsp:rsid wsp:val=&quot;00BB6D27&quot;/&gt;&lt;wsp:rsid wsp:val=&quot;00BB74DB&quot;/&gt;&lt;wsp:rsid wsp:val=&quot;00BB757B&quot;/&gt;&lt;wsp:rsid wsp:val=&quot;00BB77E4&quot;/&gt;&lt;wsp:rsid wsp:val=&quot;00BB782C&quot;/&gt;&lt;wsp:rsid wsp:val=&quot;00BB786D&quot;/&gt;&lt;wsp:rsid wsp:val=&quot;00BB7993&quot;/&gt;&lt;wsp:rsid wsp:val=&quot;00BB7B40&quot;/&gt;&lt;wsp:rsid wsp:val=&quot;00BB7C66&quot;/&gt;&lt;wsp:rsid wsp:val=&quot;00BC0314&quot;/&gt;&lt;wsp:rsid wsp:val=&quot;00BC05B3&quot;/&gt;&lt;wsp:rsid wsp:val=&quot;00BC073A&quot;/&gt;&lt;wsp:rsid wsp:val=&quot;00BC0F9C&quot;/&gt;&lt;wsp:rsid wsp:val=&quot;00BC106A&quot;/&gt;&lt;wsp:rsid wsp:val=&quot;00BC12BA&quot;/&gt;&lt;wsp:rsid wsp:val=&quot;00BC13B7&quot;/&gt;&lt;wsp:rsid wsp:val=&quot;00BC1604&quot;/&gt;&lt;wsp:rsid wsp:val=&quot;00BC1A09&quot;/&gt;&lt;wsp:rsid wsp:val=&quot;00BC1A9E&quot;/&gt;&lt;wsp:rsid wsp:val=&quot;00BC21DC&quot;/&gt;&lt;wsp:rsid wsp:val=&quot;00BC26BD&quot;/&gt;&lt;wsp:rsid wsp:val=&quot;00BC2834&quot;/&gt;&lt;wsp:rsid wsp:val=&quot;00BC2EB8&quot;/&gt;&lt;wsp:rsid wsp:val=&quot;00BC3404&quot;/&gt;&lt;wsp:rsid wsp:val=&quot;00BC34B3&quot;/&gt;&lt;wsp:rsid wsp:val=&quot;00BC37BB&quot;/&gt;&lt;wsp:rsid wsp:val=&quot;00BC37ED&quot;/&gt;&lt;wsp:rsid wsp:val=&quot;00BC3E79&quot;/&gt;&lt;wsp:rsid wsp:val=&quot;00BC3F4F&quot;/&gt;&lt;wsp:rsid wsp:val=&quot;00BC402B&quot;/&gt;&lt;wsp:rsid wsp:val=&quot;00BC40C2&quot;/&gt;&lt;wsp:rsid wsp:val=&quot;00BC4464&quot;/&gt;&lt;wsp:rsid wsp:val=&quot;00BC4A1C&quot;/&gt;&lt;wsp:rsid wsp:val=&quot;00BC4A5E&quot;/&gt;&lt;wsp:rsid wsp:val=&quot;00BC4CDE&quot;/&gt;&lt;wsp:rsid wsp:val=&quot;00BC4F0F&quot;/&gt;&lt;wsp:rsid wsp:val=&quot;00BC4F86&quot;/&gt;&lt;wsp:rsid wsp:val=&quot;00BC5197&quot;/&gt;&lt;wsp:rsid wsp:val=&quot;00BC51DE&quot;/&gt;&lt;wsp:rsid wsp:val=&quot;00BC569F&quot;/&gt;&lt;wsp:rsid wsp:val=&quot;00BC59F6&quot;/&gt;&lt;wsp:rsid wsp:val=&quot;00BC5B02&quot;/&gt;&lt;wsp:rsid wsp:val=&quot;00BC5E6B&quot;/&gt;&lt;wsp:rsid wsp:val=&quot;00BC645D&quot;/&gt;&lt;wsp:rsid wsp:val=&quot;00BC689E&quot;/&gt;&lt;wsp:rsid wsp:val=&quot;00BC6E57&quot;/&gt;&lt;wsp:rsid wsp:val=&quot;00BC6FF0&quot;/&gt;&lt;wsp:rsid wsp:val=&quot;00BC7003&quot;/&gt;&lt;wsp:rsid wsp:val=&quot;00BC72DF&quot;/&gt;&lt;wsp:rsid wsp:val=&quot;00BC7514&quot;/&gt;&lt;wsp:rsid wsp:val=&quot;00BC7A8A&quot;/&gt;&lt;wsp:rsid wsp:val=&quot;00BC7E36&quot;/&gt;&lt;wsp:rsid wsp:val=&quot;00BD0239&quot;/&gt;&lt;wsp:rsid wsp:val=&quot;00BD028C&quot;/&gt;&lt;wsp:rsid wsp:val=&quot;00BD0665&quot;/&gt;&lt;wsp:rsid wsp:val=&quot;00BD07EF&quot;/&gt;&lt;wsp:rsid wsp:val=&quot;00BD07F5&quot;/&gt;&lt;wsp:rsid wsp:val=&quot;00BD0E05&quot;/&gt;&lt;wsp:rsid wsp:val=&quot;00BD0EC3&quot;/&gt;&lt;wsp:rsid wsp:val=&quot;00BD1044&quot;/&gt;&lt;wsp:rsid wsp:val=&quot;00BD1408&quot;/&gt;&lt;wsp:rsid wsp:val=&quot;00BD15C5&quot;/&gt;&lt;wsp:rsid wsp:val=&quot;00BD16AD&quot;/&gt;&lt;wsp:rsid wsp:val=&quot;00BD183E&quot;/&gt;&lt;wsp:rsid wsp:val=&quot;00BD1966&quot;/&gt;&lt;wsp:rsid wsp:val=&quot;00BD19F8&quot;/&gt;&lt;wsp:rsid wsp:val=&quot;00BD21EF&quot;/&gt;&lt;wsp:rsid wsp:val=&quot;00BD2722&quot;/&gt;&lt;wsp:rsid wsp:val=&quot;00BD290B&quot;/&gt;&lt;wsp:rsid wsp:val=&quot;00BD2A30&quot;/&gt;&lt;wsp:rsid wsp:val=&quot;00BD2C67&quot;/&gt;&lt;wsp:rsid wsp:val=&quot;00BD319D&quot;/&gt;&lt;wsp:rsid wsp:val=&quot;00BD3B1A&quot;/&gt;&lt;wsp:rsid wsp:val=&quot;00BD3CC7&quot;/&gt;&lt;wsp:rsid wsp:val=&quot;00BD47CB&quot;/&gt;&lt;wsp:rsid wsp:val=&quot;00BD4986&quot;/&gt;&lt;wsp:rsid wsp:val=&quot;00BD4A06&quot;/&gt;&lt;wsp:rsid wsp:val=&quot;00BD4D4D&quot;/&gt;&lt;wsp:rsid wsp:val=&quot;00BD4F72&quot;/&gt;&lt;wsp:rsid wsp:val=&quot;00BD5117&quot;/&gt;&lt;wsp:rsid wsp:val=&quot;00BD52AB&quot;/&gt;&lt;wsp:rsid wsp:val=&quot;00BD5483&quot;/&gt;&lt;wsp:rsid wsp:val=&quot;00BD5626&quot;/&gt;&lt;wsp:rsid wsp:val=&quot;00BD57FD&quot;/&gt;&lt;wsp:rsid wsp:val=&quot;00BD5E7B&quot;/&gt;&lt;wsp:rsid wsp:val=&quot;00BD67E2&quot;/&gt;&lt;wsp:rsid wsp:val=&quot;00BD6DBD&quot;/&gt;&lt;wsp:rsid wsp:val=&quot;00BD6E04&quot;/&gt;&lt;wsp:rsid wsp:val=&quot;00BD73E0&quot;/&gt;&lt;wsp:rsid wsp:val=&quot;00BD746B&quot;/&gt;&lt;wsp:rsid wsp:val=&quot;00BD7971&quot;/&gt;&lt;wsp:rsid wsp:val=&quot;00BD7A89&quot;/&gt;&lt;wsp:rsid wsp:val=&quot;00BD7AB5&quot;/&gt;&lt;wsp:rsid wsp:val=&quot;00BD7C5B&quot;/&gt;&lt;wsp:rsid wsp:val=&quot;00BD7CEE&quot;/&gt;&lt;wsp:rsid wsp:val=&quot;00BD7D8E&quot;/&gt;&lt;wsp:rsid wsp:val=&quot;00BE0028&quot;/&gt;&lt;wsp:rsid wsp:val=&quot;00BE06B0&quot;/&gt;&lt;wsp:rsid wsp:val=&quot;00BE06D9&quot;/&gt;&lt;wsp:rsid wsp:val=&quot;00BE09AD&quot;/&gt;&lt;wsp:rsid wsp:val=&quot;00BE0B76&quot;/&gt;&lt;wsp:rsid wsp:val=&quot;00BE18A5&quot;/&gt;&lt;wsp:rsid wsp:val=&quot;00BE19E5&quot;/&gt;&lt;wsp:rsid wsp:val=&quot;00BE1DE4&quot;/&gt;&lt;wsp:rsid wsp:val=&quot;00BE1F06&quot;/&gt;&lt;wsp:rsid wsp:val=&quot;00BE1FDE&quot;/&gt;&lt;wsp:rsid wsp:val=&quot;00BE24B8&quot;/&gt;&lt;wsp:rsid wsp:val=&quot;00BE2516&quot;/&gt;&lt;wsp:rsid wsp:val=&quot;00BE2676&quot;/&gt;&lt;wsp:rsid wsp:val=&quot;00BE27F3&quot;/&gt;&lt;wsp:rsid wsp:val=&quot;00BE2B0C&quot;/&gt;&lt;wsp:rsid wsp:val=&quot;00BE2E84&quot;/&gt;&lt;wsp:rsid wsp:val=&quot;00BE2FC2&quot;/&gt;&lt;wsp:rsid wsp:val=&quot;00BE303E&quot;/&gt;&lt;wsp:rsid wsp:val=&quot;00BE333D&quot;/&gt;&lt;wsp:rsid wsp:val=&quot;00BE3465&quot;/&gt;&lt;wsp:rsid wsp:val=&quot;00BE4325&quot;/&gt;&lt;wsp:rsid wsp:val=&quot;00BE52FA&quot;/&gt;&lt;wsp:rsid wsp:val=&quot;00BE5611&quot;/&gt;&lt;wsp:rsid wsp:val=&quot;00BE56AA&quot;/&gt;&lt;wsp:rsid wsp:val=&quot;00BE56CB&quot;/&gt;&lt;wsp:rsid wsp:val=&quot;00BE58B2&quot;/&gt;&lt;wsp:rsid wsp:val=&quot;00BE6197&quot;/&gt;&lt;wsp:rsid wsp:val=&quot;00BE6510&quot;/&gt;&lt;wsp:rsid wsp:val=&quot;00BE6562&quot;/&gt;&lt;wsp:rsid wsp:val=&quot;00BE6B39&quot;/&gt;&lt;wsp:rsid wsp:val=&quot;00BE6C2F&quot;/&gt;&lt;wsp:rsid wsp:val=&quot;00BE6CE0&quot;/&gt;&lt;wsp:rsid wsp:val=&quot;00BE712C&quot;/&gt;&lt;wsp:rsid wsp:val=&quot;00BE75E1&quot;/&gt;&lt;wsp:rsid wsp:val=&quot;00BE76C2&quot;/&gt;&lt;wsp:rsid wsp:val=&quot;00BE785F&quot;/&gt;&lt;wsp:rsid wsp:val=&quot;00BE78BC&quot;/&gt;&lt;wsp:rsid wsp:val=&quot;00BE7C9B&quot;/&gt;&lt;wsp:rsid wsp:val=&quot;00BF00BE&quot;/&gt;&lt;wsp:rsid wsp:val=&quot;00BF018E&quot;/&gt;&lt;wsp:rsid wsp:val=&quot;00BF04F4&quot;/&gt;&lt;wsp:rsid wsp:val=&quot;00BF07C9&quot;/&gt;&lt;wsp:rsid wsp:val=&quot;00BF092E&quot;/&gt;&lt;wsp:rsid wsp:val=&quot;00BF0D10&quot;/&gt;&lt;wsp:rsid wsp:val=&quot;00BF0E67&quot;/&gt;&lt;wsp:rsid wsp:val=&quot;00BF0F6C&quot;/&gt;&lt;wsp:rsid wsp:val=&quot;00BF14A4&quot;/&gt;&lt;wsp:rsid wsp:val=&quot;00BF1503&quot;/&gt;&lt;wsp:rsid wsp:val=&quot;00BF1995&quot;/&gt;&lt;wsp:rsid wsp:val=&quot;00BF20B3&quot;/&gt;&lt;wsp:rsid wsp:val=&quot;00BF2226&quot;/&gt;&lt;wsp:rsid wsp:val=&quot;00BF2A9A&quot;/&gt;&lt;wsp:rsid wsp:val=&quot;00BF3C18&quot;/&gt;&lt;wsp:rsid wsp:val=&quot;00BF4105&quot;/&gt;&lt;wsp:rsid wsp:val=&quot;00BF418D&quot;/&gt;&lt;wsp:rsid wsp:val=&quot;00BF452F&quot;/&gt;&lt;wsp:rsid wsp:val=&quot;00BF456D&quot;/&gt;&lt;wsp:rsid wsp:val=&quot;00BF55FF&quot;/&gt;&lt;wsp:rsid wsp:val=&quot;00BF571A&quot;/&gt;&lt;wsp:rsid wsp:val=&quot;00BF5A3A&quot;/&gt;&lt;wsp:rsid wsp:val=&quot;00BF5B6E&quot;/&gt;&lt;wsp:rsid wsp:val=&quot;00BF5D51&quot;/&gt;&lt;wsp:rsid wsp:val=&quot;00BF5FB4&quot;/&gt;&lt;wsp:rsid wsp:val=&quot;00BF6487&quot;/&gt;&lt;wsp:rsid wsp:val=&quot;00BF6693&quot;/&gt;&lt;wsp:rsid wsp:val=&quot;00BF66D7&quot;/&gt;&lt;wsp:rsid wsp:val=&quot;00BF6AF7&quot;/&gt;&lt;wsp:rsid wsp:val=&quot;00BF6D3E&quot;/&gt;&lt;wsp:rsid wsp:val=&quot;00BF6F1F&quot;/&gt;&lt;wsp:rsid wsp:val=&quot;00BF7145&quot;/&gt;&lt;wsp:rsid wsp:val=&quot;00BF7221&quot;/&gt;&lt;wsp:rsid wsp:val=&quot;00BF7B8D&quot;/&gt;&lt;wsp:rsid wsp:val=&quot;00BF7EAE&quot;/&gt;&lt;wsp:rsid wsp:val=&quot;00C00180&quot;/&gt;&lt;wsp:rsid wsp:val=&quot;00C002A6&quot;/&gt;&lt;wsp:rsid wsp:val=&quot;00C0040F&quot;/&gt;&lt;wsp:rsid wsp:val=&quot;00C00B97&quot;/&gt;&lt;wsp:rsid wsp:val=&quot;00C00ED8&quot;/&gt;&lt;wsp:rsid wsp:val=&quot;00C011B7&quot;/&gt;&lt;wsp:rsid wsp:val=&quot;00C01350&quot;/&gt;&lt;wsp:rsid wsp:val=&quot;00C017BB&quot;/&gt;&lt;wsp:rsid wsp:val=&quot;00C01DB8&quot;/&gt;&lt;wsp:rsid wsp:val=&quot;00C01E51&quot;/&gt;&lt;wsp:rsid wsp:val=&quot;00C01F8C&quot;/&gt;&lt;wsp:rsid wsp:val=&quot;00C0200B&quot;/&gt;&lt;wsp:rsid wsp:val=&quot;00C020FC&quot;/&gt;&lt;wsp:rsid wsp:val=&quot;00C02143&quot;/&gt;&lt;wsp:rsid wsp:val=&quot;00C02566&quot;/&gt;&lt;wsp:rsid wsp:val=&quot;00C02775&quot;/&gt;&lt;wsp:rsid wsp:val=&quot;00C02AB4&quot;/&gt;&lt;wsp:rsid wsp:val=&quot;00C02B6E&quot;/&gt;&lt;wsp:rsid wsp:val=&quot;00C02C7F&quot;/&gt;&lt;wsp:rsid wsp:val=&quot;00C02FC6&quot;/&gt;&lt;wsp:rsid wsp:val=&quot;00C03236&quot;/&gt;&lt;wsp:rsid wsp:val=&quot;00C03A12&quot;/&gt;&lt;wsp:rsid wsp:val=&quot;00C03E02&quot;/&gt;&lt;wsp:rsid wsp:val=&quot;00C03F80&quot;/&gt;&lt;wsp:rsid wsp:val=&quot;00C04424&quot;/&gt;&lt;wsp:rsid wsp:val=&quot;00C0453D&quot;/&gt;&lt;wsp:rsid wsp:val=&quot;00C05095&quot;/&gt;&lt;wsp:rsid wsp:val=&quot;00C05A2D&quot;/&gt;&lt;wsp:rsid wsp:val=&quot;00C05D31&quot;/&gt;&lt;wsp:rsid wsp:val=&quot;00C05E10&quot;/&gt;&lt;wsp:rsid wsp:val=&quot;00C060E2&quot;/&gt;&lt;wsp:rsid wsp:val=&quot;00C06660&quot;/&gt;&lt;wsp:rsid wsp:val=&quot;00C0691F&quot;/&gt;&lt;wsp:rsid wsp:val=&quot;00C06953&quot;/&gt;&lt;wsp:rsid wsp:val=&quot;00C06CC3&quot;/&gt;&lt;wsp:rsid wsp:val=&quot;00C06DF9&quot;/&gt;&lt;wsp:rsid wsp:val=&quot;00C06FB3&quot;/&gt;&lt;wsp:rsid wsp:val=&quot;00C070C3&quot;/&gt;&lt;wsp:rsid wsp:val=&quot;00C078EE&quot;/&gt;&lt;wsp:rsid wsp:val=&quot;00C07BC7&quot;/&gt;&lt;wsp:rsid wsp:val=&quot;00C10240&quot;/&gt;&lt;wsp:rsid wsp:val=&quot;00C102D6&quot;/&gt;&lt;wsp:rsid wsp:val=&quot;00C104EA&quot;/&gt;&lt;wsp:rsid wsp:val=&quot;00C10512&quot;/&gt;&lt;wsp:rsid wsp:val=&quot;00C10BF8&quot;/&gt;&lt;wsp:rsid wsp:val=&quot;00C10D7B&quot;/&gt;&lt;wsp:rsid wsp:val=&quot;00C10F49&quot;/&gt;&lt;wsp:rsid wsp:val=&quot;00C11443&quot;/&gt;&lt;wsp:rsid wsp:val=&quot;00C11555&quot;/&gt;&lt;wsp:rsid wsp:val=&quot;00C1180F&quot;/&gt;&lt;wsp:rsid wsp:val=&quot;00C11BE8&quot;/&gt;&lt;wsp:rsid wsp:val=&quot;00C11EA5&quot;/&gt;&lt;wsp:rsid wsp:val=&quot;00C11F74&quot;/&gt;&lt;wsp:rsid wsp:val=&quot;00C129E9&quot;/&gt;&lt;wsp:rsid wsp:val=&quot;00C12C11&quot;/&gt;&lt;wsp:rsid wsp:val=&quot;00C12C97&quot;/&gt;&lt;wsp:rsid wsp:val=&quot;00C13509&quot;/&gt;&lt;wsp:rsid wsp:val=&quot;00C13555&quot;/&gt;&lt;wsp:rsid wsp:val=&quot;00C135A5&quot;/&gt;&lt;wsp:rsid wsp:val=&quot;00C137B3&quot;/&gt;&lt;wsp:rsid wsp:val=&quot;00C13AE6&quot;/&gt;&lt;wsp:rsid wsp:val=&quot;00C13EEF&quot;/&gt;&lt;wsp:rsid wsp:val=&quot;00C14134&quot;/&gt;&lt;wsp:rsid wsp:val=&quot;00C1486A&quot;/&gt;&lt;wsp:rsid wsp:val=&quot;00C14D0F&quot;/&gt;&lt;wsp:rsid wsp:val=&quot;00C150B0&quot;/&gt;&lt;wsp:rsid wsp:val=&quot;00C152AF&quot;/&gt;&lt;wsp:rsid wsp:val=&quot;00C15325&quot;/&gt;&lt;wsp:rsid wsp:val=&quot;00C15977&quot;/&gt;&lt;wsp:rsid wsp:val=&quot;00C15C67&quot;/&gt;&lt;wsp:rsid wsp:val=&quot;00C15EE9&quot;/&gt;&lt;wsp:rsid wsp:val=&quot;00C15F3E&quot;/&gt;&lt;wsp:rsid wsp:val=&quot;00C162BB&quot;/&gt;&lt;wsp:rsid wsp:val=&quot;00C1648E&quot;/&gt;&lt;wsp:rsid wsp:val=&quot;00C16B62&quot;/&gt;&lt;wsp:rsid wsp:val=&quot;00C16CD0&quot;/&gt;&lt;wsp:rsid wsp:val=&quot;00C16D8C&quot;/&gt;&lt;wsp:rsid wsp:val=&quot;00C1711A&quot;/&gt;&lt;wsp:rsid wsp:val=&quot;00C174BB&quot;/&gt;&lt;wsp:rsid wsp:val=&quot;00C17BF1&quot;/&gt;&lt;wsp:rsid wsp:val=&quot;00C17C09&quot;/&gt;&lt;wsp:rsid wsp:val=&quot;00C20128&quot;/&gt;&lt;wsp:rsid wsp:val=&quot;00C201C6&quot;/&gt;&lt;wsp:rsid wsp:val=&quot;00C20663&quot;/&gt;&lt;wsp:rsid wsp:val=&quot;00C208B3&quot;/&gt;&lt;wsp:rsid wsp:val=&quot;00C20A81&quot;/&gt;&lt;wsp:rsid wsp:val=&quot;00C20C04&quot;/&gt;&lt;wsp:rsid wsp:val=&quot;00C213C5&quot;/&gt;&lt;wsp:rsid wsp:val=&quot;00C2147C&quot;/&gt;&lt;wsp:rsid wsp:val=&quot;00C21867&quot;/&gt;&lt;wsp:rsid wsp:val=&quot;00C21BF0&quot;/&gt;&lt;wsp:rsid wsp:val=&quot;00C21CA2&quot;/&gt;&lt;wsp:rsid wsp:val=&quot;00C21FB6&quot;/&gt;&lt;wsp:rsid wsp:val=&quot;00C220D9&quot;/&gt;&lt;wsp:rsid wsp:val=&quot;00C22109&quot;/&gt;&lt;wsp:rsid wsp:val=&quot;00C22165&quot;/&gt;&lt;wsp:rsid wsp:val=&quot;00C22178&quot;/&gt;&lt;wsp:rsid wsp:val=&quot;00C22628&quot;/&gt;&lt;wsp:rsid wsp:val=&quot;00C22699&quot;/&gt;&lt;wsp:rsid wsp:val=&quot;00C2292E&quot;/&gt;&lt;wsp:rsid wsp:val=&quot;00C22AA2&quot;/&gt;&lt;wsp:rsid wsp:val=&quot;00C22F8E&quot;/&gt;&lt;wsp:rsid wsp:val=&quot;00C23063&quot;/&gt;&lt;wsp:rsid wsp:val=&quot;00C236A3&quot;/&gt;&lt;wsp:rsid wsp:val=&quot;00C236BB&quot;/&gt;&lt;wsp:rsid wsp:val=&quot;00C23703&quot;/&gt;&lt;wsp:rsid wsp:val=&quot;00C239A2&quot;/&gt;&lt;wsp:rsid wsp:val=&quot;00C23EA5&quot;/&gt;&lt;wsp:rsid wsp:val=&quot;00C23EFC&quot;/&gt;&lt;wsp:rsid wsp:val=&quot;00C23F8F&quot;/&gt;&lt;wsp:rsid wsp:val=&quot;00C24301&quot;/&gt;&lt;wsp:rsid wsp:val=&quot;00C244F8&quot;/&gt;&lt;wsp:rsid wsp:val=&quot;00C24626&quot;/&gt;&lt;wsp:rsid wsp:val=&quot;00C24A64&quot;/&gt;&lt;wsp:rsid wsp:val=&quot;00C24E2A&quot;/&gt;&lt;wsp:rsid wsp:val=&quot;00C24E2B&quot;/&gt;&lt;wsp:rsid wsp:val=&quot;00C24F63&quot;/&gt;&lt;wsp:rsid wsp:val=&quot;00C250B1&quot;/&gt;&lt;wsp:rsid wsp:val=&quot;00C2586A&quot;/&gt;&lt;wsp:rsid wsp:val=&quot;00C25936&quot;/&gt;&lt;wsp:rsid wsp:val=&quot;00C25DE7&quot;/&gt;&lt;wsp:rsid wsp:val=&quot;00C260AE&quot;/&gt;&lt;wsp:rsid wsp:val=&quot;00C26418&quot;/&gt;&lt;wsp:rsid wsp:val=&quot;00C267CE&quot;/&gt;&lt;wsp:rsid wsp:val=&quot;00C27C00&quot;/&gt;&lt;wsp:rsid wsp:val=&quot;00C3012D&quot;/&gt;&lt;wsp:rsid wsp:val=&quot;00C309C4&quot;/&gt;&lt;wsp:rsid wsp:val=&quot;00C30C4F&quot;/&gt;&lt;wsp:rsid wsp:val=&quot;00C30FEC&quot;/&gt;&lt;wsp:rsid wsp:val=&quot;00C310A6&quot;/&gt;&lt;wsp:rsid wsp:val=&quot;00C313EB&quot;/&gt;&lt;wsp:rsid wsp:val=&quot;00C31477&quot;/&gt;&lt;wsp:rsid wsp:val=&quot;00C3163C&quot;/&gt;&lt;wsp:rsid wsp:val=&quot;00C3189B&quot;/&gt;&lt;wsp:rsid wsp:val=&quot;00C31991&quot;/&gt;&lt;wsp:rsid wsp:val=&quot;00C31BF9&quot;/&gt;&lt;wsp:rsid wsp:val=&quot;00C31E68&quot;/&gt;&lt;wsp:rsid wsp:val=&quot;00C31E98&quot;/&gt;&lt;wsp:rsid wsp:val=&quot;00C31F06&quot;/&gt;&lt;wsp:rsid wsp:val=&quot;00C3200E&quot;/&gt;&lt;wsp:rsid wsp:val=&quot;00C32227&quot;/&gt;&lt;wsp:rsid wsp:val=&quot;00C32521&quot;/&gt;&lt;wsp:rsid wsp:val=&quot;00C3256D&quot;/&gt;&lt;wsp:rsid wsp:val=&quot;00C326F5&quot;/&gt;&lt;wsp:rsid wsp:val=&quot;00C328C0&quot;/&gt;&lt;wsp:rsid wsp:val=&quot;00C329BB&quot;/&gt;&lt;wsp:rsid wsp:val=&quot;00C32CD7&quot;/&gt;&lt;wsp:rsid wsp:val=&quot;00C32D73&quot;/&gt;&lt;wsp:rsid wsp:val=&quot;00C33480&quot;/&gt;&lt;wsp:rsid wsp:val=&quot;00C3351E&quot;/&gt;&lt;wsp:rsid wsp:val=&quot;00C33ABF&quot;/&gt;&lt;wsp:rsid wsp:val=&quot;00C33F88&quot;/&gt;&lt;wsp:rsid wsp:val=&quot;00C347EB&quot;/&gt;&lt;wsp:rsid wsp:val=&quot;00C34A8A&quot;/&gt;&lt;wsp:rsid wsp:val=&quot;00C34E96&quot;/&gt;&lt;wsp:rsid wsp:val=&quot;00C34F98&quot;/&gt;&lt;wsp:rsid wsp:val=&quot;00C34FE9&quot;/&gt;&lt;wsp:rsid wsp:val=&quot;00C351F0&quot;/&gt;&lt;wsp:rsid wsp:val=&quot;00C3528E&quot;/&gt;&lt;wsp:rsid wsp:val=&quot;00C3546C&quot;/&gt;&lt;wsp:rsid wsp:val=&quot;00C36345&quot;/&gt;&lt;wsp:rsid wsp:val=&quot;00C36660&quot;/&gt;&lt;wsp:rsid wsp:val=&quot;00C36908&quot;/&gt;&lt;wsp:rsid wsp:val=&quot;00C36A6C&quot;/&gt;&lt;wsp:rsid wsp:val=&quot;00C36D0F&quot;/&gt;&lt;wsp:rsid wsp:val=&quot;00C36F38&quot;/&gt;&lt;wsp:rsid wsp:val=&quot;00C36F53&quot;/&gt;&lt;wsp:rsid wsp:val=&quot;00C375DD&quot;/&gt;&lt;wsp:rsid wsp:val=&quot;00C37B8B&quot;/&gt;&lt;wsp:rsid wsp:val=&quot;00C40486&quot;/&gt;&lt;wsp:rsid wsp:val=&quot;00C405F4&quot;/&gt;&lt;wsp:rsid wsp:val=&quot;00C40609&quot;/&gt;&lt;wsp:rsid wsp:val=&quot;00C40777&quot;/&gt;&lt;wsp:rsid wsp:val=&quot;00C408E3&quot;/&gt;&lt;wsp:rsid wsp:val=&quot;00C409E2&quot;/&gt;&lt;wsp:rsid wsp:val=&quot;00C40A4C&quot;/&gt;&lt;wsp:rsid wsp:val=&quot;00C40A63&quot;/&gt;&lt;wsp:rsid wsp:val=&quot;00C40D3E&quot;/&gt;&lt;wsp:rsid wsp:val=&quot;00C40E93&quot;/&gt;&lt;wsp:rsid wsp:val=&quot;00C40F5C&quot;/&gt;&lt;wsp:rsid wsp:val=&quot;00C40F77&quot;/&gt;&lt;wsp:rsid wsp:val=&quot;00C4136B&quot;/&gt;&lt;wsp:rsid wsp:val=&quot;00C413B2&quot;/&gt;&lt;wsp:rsid wsp:val=&quot;00C413CD&quot;/&gt;&lt;wsp:rsid wsp:val=&quot;00C41992&quot;/&gt;&lt;wsp:rsid wsp:val=&quot;00C419F9&quot;/&gt;&lt;wsp:rsid wsp:val=&quot;00C41CC2&quot;/&gt;&lt;wsp:rsid wsp:val=&quot;00C41DFC&quot;/&gt;&lt;wsp:rsid wsp:val=&quot;00C41E87&quot;/&gt;&lt;wsp:rsid wsp:val=&quot;00C41F13&quot;/&gt;&lt;wsp:rsid wsp:val=&quot;00C42424&quot;/&gt;&lt;wsp:rsid wsp:val=&quot;00C43286&quot;/&gt;&lt;wsp:rsid wsp:val=&quot;00C4358D&quot;/&gt;&lt;wsp:rsid wsp:val=&quot;00C4370D&quot;/&gt;&lt;wsp:rsid wsp:val=&quot;00C44058&quot;/&gt;&lt;wsp:rsid wsp:val=&quot;00C4495F&quot;/&gt;&lt;wsp:rsid wsp:val=&quot;00C45325&quot;/&gt;&lt;wsp:rsid wsp:val=&quot;00C453A3&quot;/&gt;&lt;wsp:rsid wsp:val=&quot;00C45ADF&quot;/&gt;&lt;wsp:rsid wsp:val=&quot;00C45CB8&quot;/&gt;&lt;wsp:rsid wsp:val=&quot;00C46336&quot;/&gt;&lt;wsp:rsid wsp:val=&quot;00C4689A&quot;/&gt;&lt;wsp:rsid wsp:val=&quot;00C46E54&quot;/&gt;&lt;wsp:rsid wsp:val=&quot;00C4703A&quot;/&gt;&lt;wsp:rsid wsp:val=&quot;00C474C1&quot;/&gt;&lt;wsp:rsid wsp:val=&quot;00C47EAC&quot;/&gt;&lt;wsp:rsid wsp:val=&quot;00C47FE1&quot;/&gt;&lt;wsp:rsid wsp:val=&quot;00C5008A&quot;/&gt;&lt;wsp:rsid wsp:val=&quot;00C507B2&quot;/&gt;&lt;wsp:rsid wsp:val=&quot;00C50B28&quot;/&gt;&lt;wsp:rsid wsp:val=&quot;00C50B89&quot;/&gt;&lt;wsp:rsid wsp:val=&quot;00C51397&quot;/&gt;&lt;wsp:rsid wsp:val=&quot;00C516C6&quot;/&gt;&lt;wsp:rsid wsp:val=&quot;00C51953&quot;/&gt;&lt;wsp:rsid wsp:val=&quot;00C52043&quot;/&gt;&lt;wsp:rsid wsp:val=&quot;00C5268A&quot;/&gt;&lt;wsp:rsid wsp:val=&quot;00C529CC&quot;/&gt;&lt;wsp:rsid wsp:val=&quot;00C52D26&quot;/&gt;&lt;wsp:rsid wsp:val=&quot;00C53272&quot;/&gt;&lt;wsp:rsid wsp:val=&quot;00C53E29&quot;/&gt;&lt;wsp:rsid wsp:val=&quot;00C53EAE&quot;/&gt;&lt;wsp:rsid wsp:val=&quot;00C53F85&quot;/&gt;&lt;wsp:rsid wsp:val=&quot;00C54548&quot;/&gt;&lt;wsp:rsid wsp:val=&quot;00C549F3&quot;/&gt;&lt;wsp:rsid wsp:val=&quot;00C54CE5&quot;/&gt;&lt;wsp:rsid wsp:val=&quot;00C54D13&quot;/&gt;&lt;wsp:rsid wsp:val=&quot;00C54EF1&quot;/&gt;&lt;wsp:rsid wsp:val=&quot;00C5502B&quot;/&gt;&lt;wsp:rsid wsp:val=&quot;00C551F8&quot;/&gt;&lt;wsp:rsid wsp:val=&quot;00C552FA&quot;/&gt;&lt;wsp:rsid wsp:val=&quot;00C5557C&quot;/&gt;&lt;wsp:rsid wsp:val=&quot;00C55714&quot;/&gt;&lt;wsp:rsid wsp:val=&quot;00C5571A&quot;/&gt;&lt;wsp:rsid wsp:val=&quot;00C55833&quot;/&gt;&lt;wsp:rsid wsp:val=&quot;00C55ABB&quot;/&gt;&lt;wsp:rsid wsp:val=&quot;00C55C94&quot;/&gt;&lt;wsp:rsid wsp:val=&quot;00C560ED&quot;/&gt;&lt;wsp:rsid wsp:val=&quot;00C56423&quot;/&gt;&lt;wsp:rsid wsp:val=&quot;00C56B2B&quot;/&gt;&lt;wsp:rsid wsp:val=&quot;00C56DFA&quot;/&gt;&lt;wsp:rsid wsp:val=&quot;00C5706C&quot;/&gt;&lt;wsp:rsid wsp:val=&quot;00C5748D&quot;/&gt;&lt;wsp:rsid wsp:val=&quot;00C57495&quot;/&gt;&lt;wsp:rsid wsp:val=&quot;00C5764E&quot;/&gt;&lt;wsp:rsid wsp:val=&quot;00C57724&quot;/&gt;&lt;wsp:rsid wsp:val=&quot;00C578BE&quot;/&gt;&lt;wsp:rsid wsp:val=&quot;00C57A7C&quot;/&gt;&lt;wsp:rsid wsp:val=&quot;00C57ABD&quot;/&gt;&lt;wsp:rsid wsp:val=&quot;00C57E0C&quot;/&gt;&lt;wsp:rsid wsp:val=&quot;00C60420&quot;/&gt;&lt;wsp:rsid wsp:val=&quot;00C608EB&quot;/&gt;&lt;wsp:rsid wsp:val=&quot;00C61442&quot;/&gt;&lt;wsp:rsid wsp:val=&quot;00C6148E&quot;/&gt;&lt;wsp:rsid wsp:val=&quot;00C616DC&quot;/&gt;&lt;wsp:rsid wsp:val=&quot;00C61D53&quot;/&gt;&lt;wsp:rsid wsp:val=&quot;00C628B9&quot;/&gt;&lt;wsp:rsid wsp:val=&quot;00C62D5C&quot;/&gt;&lt;wsp:rsid wsp:val=&quot;00C62D63&quot;/&gt;&lt;wsp:rsid wsp:val=&quot;00C62FD1&quot;/&gt;&lt;wsp:rsid wsp:val=&quot;00C63112&quot;/&gt;&lt;wsp:rsid wsp:val=&quot;00C6323C&quot;/&gt;&lt;wsp:rsid wsp:val=&quot;00C632AB&quot;/&gt;&lt;wsp:rsid wsp:val=&quot;00C635E9&quot;/&gt;&lt;wsp:rsid wsp:val=&quot;00C63676&quot;/&gt;&lt;wsp:rsid wsp:val=&quot;00C638AE&quot;/&gt;&lt;wsp:rsid wsp:val=&quot;00C6396D&quot;/&gt;&lt;wsp:rsid wsp:val=&quot;00C63FC5&quot;/&gt;&lt;wsp:rsid wsp:val=&quot;00C64147&quot;/&gt;&lt;wsp:rsid wsp:val=&quot;00C64212&quot;/&gt;&lt;wsp:rsid wsp:val=&quot;00C64557&quot;/&gt;&lt;wsp:rsid wsp:val=&quot;00C648CB&quot;/&gt;&lt;wsp:rsid wsp:val=&quot;00C64B1E&quot;/&gt;&lt;wsp:rsid wsp:val=&quot;00C64B99&quot;/&gt;&lt;wsp:rsid wsp:val=&quot;00C64FFC&quot;/&gt;&lt;wsp:rsid wsp:val=&quot;00C64FFD&quot;/&gt;&lt;wsp:rsid wsp:val=&quot;00C65030&quot;/&gt;&lt;wsp:rsid wsp:val=&quot;00C655D5&quot;/&gt;&lt;wsp:rsid wsp:val=&quot;00C65CFF&quot;/&gt;&lt;wsp:rsid wsp:val=&quot;00C65EEE&quot;/&gt;&lt;wsp:rsid wsp:val=&quot;00C662BB&quot;/&gt;&lt;wsp:rsid wsp:val=&quot;00C66354&quot;/&gt;&lt;wsp:rsid wsp:val=&quot;00C66A8E&quot;/&gt;&lt;wsp:rsid wsp:val=&quot;00C66B4B&quot;/&gt;&lt;wsp:rsid wsp:val=&quot;00C670A3&quot;/&gt;&lt;wsp:rsid wsp:val=&quot;00C670AE&quot;/&gt;&lt;wsp:rsid wsp:val=&quot;00C671DE&quot;/&gt;&lt;wsp:rsid wsp:val=&quot;00C673C5&quot;/&gt;&lt;wsp:rsid wsp:val=&quot;00C67831&quot;/&gt;&lt;wsp:rsid wsp:val=&quot;00C67EA5&quot;/&gt;&lt;wsp:rsid wsp:val=&quot;00C67F6C&quot;/&gt;&lt;wsp:rsid wsp:val=&quot;00C701DC&quot;/&gt;&lt;wsp:rsid wsp:val=&quot;00C70366&quot;/&gt;&lt;wsp:rsid wsp:val=&quot;00C70A2A&quot;/&gt;&lt;wsp:rsid wsp:val=&quot;00C71651&quot;/&gt;&lt;wsp:rsid wsp:val=&quot;00C71716&quot;/&gt;&lt;wsp:rsid wsp:val=&quot;00C71B9C&quot;/&gt;&lt;wsp:rsid wsp:val=&quot;00C71BAB&quot;/&gt;&lt;wsp:rsid wsp:val=&quot;00C71BCA&quot;/&gt;&lt;wsp:rsid wsp:val=&quot;00C71DA3&quot;/&gt;&lt;wsp:rsid wsp:val=&quot;00C71FEF&quot;/&gt;&lt;wsp:rsid wsp:val=&quot;00C723D3&quot;/&gt;&lt;wsp:rsid wsp:val=&quot;00C7245C&quot;/&gt;&lt;wsp:rsid wsp:val=&quot;00C72BF5&quot;/&gt;&lt;wsp:rsid wsp:val=&quot;00C72E28&quot;/&gt;&lt;wsp:rsid wsp:val=&quot;00C72E48&quot;/&gt;&lt;wsp:rsid wsp:val=&quot;00C72F9F&quot;/&gt;&lt;wsp:rsid wsp:val=&quot;00C730B0&quot;/&gt;&lt;wsp:rsid wsp:val=&quot;00C73AB5&quot;/&gt;&lt;wsp:rsid wsp:val=&quot;00C742F4&quot;/&gt;&lt;wsp:rsid wsp:val=&quot;00C74456&quot;/&gt;&lt;wsp:rsid wsp:val=&quot;00C744F9&quot;/&gt;&lt;wsp:rsid wsp:val=&quot;00C74CB4&quot;/&gt;&lt;wsp:rsid wsp:val=&quot;00C7506D&quot;/&gt;&lt;wsp:rsid wsp:val=&quot;00C75070&quot;/&gt;&lt;wsp:rsid wsp:val=&quot;00C7519E&quot;/&gt;&lt;wsp:rsid wsp:val=&quot;00C755A3&quot;/&gt;&lt;wsp:rsid wsp:val=&quot;00C75D11&quot;/&gt;&lt;wsp:rsid wsp:val=&quot;00C75E9E&quot;/&gt;&lt;wsp:rsid wsp:val=&quot;00C76290&quot;/&gt;&lt;wsp:rsid wsp:val=&quot;00C764DC&quot;/&gt;&lt;wsp:rsid wsp:val=&quot;00C76567&quot;/&gt;&lt;wsp:rsid wsp:val=&quot;00C76946&quot;/&gt;&lt;wsp:rsid wsp:val=&quot;00C76B5E&quot;/&gt;&lt;wsp:rsid wsp:val=&quot;00C76D1B&quot;/&gt;&lt;wsp:rsid wsp:val=&quot;00C770A4&quot;/&gt;&lt;wsp:rsid wsp:val=&quot;00C77201&quot;/&gt;&lt;wsp:rsid wsp:val=&quot;00C7749B&quot;/&gt;&lt;wsp:rsid wsp:val=&quot;00C774E8&quot;/&gt;&lt;wsp:rsid wsp:val=&quot;00C77D52&quot;/&gt;&lt;wsp:rsid wsp:val=&quot;00C804F3&quot;/&gt;&lt;wsp:rsid wsp:val=&quot;00C805E2&quot;/&gt;&lt;wsp:rsid wsp:val=&quot;00C806F4&quot;/&gt;&lt;wsp:rsid wsp:val=&quot;00C80E41&quot;/&gt;&lt;wsp:rsid wsp:val=&quot;00C810E4&quot;/&gt;&lt;wsp:rsid wsp:val=&quot;00C8182A&quot;/&gt;&lt;wsp:rsid wsp:val=&quot;00C81C54&quot;/&gt;&lt;wsp:rsid wsp:val=&quot;00C81D9B&quot;/&gt;&lt;wsp:rsid wsp:val=&quot;00C822FD&quot;/&gt;&lt;wsp:rsid wsp:val=&quot;00C82360&quot;/&gt;&lt;wsp:rsid wsp:val=&quot;00C823D2&quot;/&gt;&lt;wsp:rsid wsp:val=&quot;00C825B6&quot;/&gt;&lt;wsp:rsid wsp:val=&quot;00C82D07&quot;/&gt;&lt;wsp:rsid wsp:val=&quot;00C82EE1&quot;/&gt;&lt;wsp:rsid wsp:val=&quot;00C834B5&quot;/&gt;&lt;wsp:rsid wsp:val=&quot;00C836AB&quot;/&gt;&lt;wsp:rsid wsp:val=&quot;00C83829&quot;/&gt;&lt;wsp:rsid wsp:val=&quot;00C83AB1&quot;/&gt;&lt;wsp:rsid wsp:val=&quot;00C83C0B&quot;/&gt;&lt;wsp:rsid wsp:val=&quot;00C84335&quot;/&gt;&lt;wsp:rsid wsp:val=&quot;00C84382&quot;/&gt;&lt;wsp:rsid wsp:val=&quot;00C846D6&quot;/&gt;&lt;wsp:rsid wsp:val=&quot;00C84879&quot;/&gt;&lt;wsp:rsid wsp:val=&quot;00C8490D&quot;/&gt;&lt;wsp:rsid wsp:val=&quot;00C849C3&quot;/&gt;&lt;wsp:rsid wsp:val=&quot;00C84CA9&quot;/&gt;&lt;wsp:rsid wsp:val=&quot;00C84DAA&quot;/&gt;&lt;wsp:rsid wsp:val=&quot;00C85290&quot;/&gt;&lt;wsp:rsid wsp:val=&quot;00C8537C&quot;/&gt;&lt;wsp:rsid wsp:val=&quot;00C8545B&quot;/&gt;&lt;wsp:rsid wsp:val=&quot;00C85463&quot;/&gt;&lt;wsp:rsid wsp:val=&quot;00C86660&quot;/&gt;&lt;wsp:rsid wsp:val=&quot;00C866CF&quot;/&gt;&lt;wsp:rsid wsp:val=&quot;00C86725&quot;/&gt;&lt;wsp:rsid wsp:val=&quot;00C86798&quot;/&gt;&lt;wsp:rsid wsp:val=&quot;00C869FF&quot;/&gt;&lt;wsp:rsid wsp:val=&quot;00C86B66&quot;/&gt;&lt;wsp:rsid wsp:val=&quot;00C8703E&quot;/&gt;&lt;wsp:rsid wsp:val=&quot;00C87047&quot;/&gt;&lt;wsp:rsid wsp:val=&quot;00C871AB&quot;/&gt;&lt;wsp:rsid wsp:val=&quot;00C8759E&quot;/&gt;&lt;wsp:rsid wsp:val=&quot;00C878DD&quot;/&gt;&lt;wsp:rsid wsp:val=&quot;00C87E7C&quot;/&gt;&lt;wsp:rsid wsp:val=&quot;00C901B8&quot;/&gt;&lt;wsp:rsid wsp:val=&quot;00C901D2&quot;/&gt;&lt;wsp:rsid wsp:val=&quot;00C902BC&quot;/&gt;&lt;wsp:rsid wsp:val=&quot;00C903C5&quot;/&gt;&lt;wsp:rsid wsp:val=&quot;00C90E9F&quot;/&gt;&lt;wsp:rsid wsp:val=&quot;00C90F68&quot;/&gt;&lt;wsp:rsid wsp:val=&quot;00C90FAD&quot;/&gt;&lt;wsp:rsid wsp:val=&quot;00C911C4&quot;/&gt;&lt;wsp:rsid wsp:val=&quot;00C91235&quot;/&gt;&lt;wsp:rsid wsp:val=&quot;00C91579&quot;/&gt;&lt;wsp:rsid wsp:val=&quot;00C91B03&quot;/&gt;&lt;wsp:rsid wsp:val=&quot;00C91B1A&quot;/&gt;&lt;wsp:rsid wsp:val=&quot;00C91B69&quot;/&gt;&lt;wsp:rsid wsp:val=&quot;00C91B6B&quot;/&gt;&lt;wsp:rsid wsp:val=&quot;00C91D6B&quot;/&gt;&lt;wsp:rsid wsp:val=&quot;00C92840&quot;/&gt;&lt;wsp:rsid wsp:val=&quot;00C92C3E&quot;/&gt;&lt;wsp:rsid wsp:val=&quot;00C92C8B&quot;/&gt;&lt;wsp:rsid wsp:val=&quot;00C92FE3&quot;/&gt;&lt;wsp:rsid wsp:val=&quot;00C93213&quot;/&gt;&lt;wsp:rsid wsp:val=&quot;00C9359D&quot;/&gt;&lt;wsp:rsid wsp:val=&quot;00C93794&quot;/&gt;&lt;wsp:rsid wsp:val=&quot;00C93AB1&quot;/&gt;&lt;wsp:rsid wsp:val=&quot;00C93C1C&quot;/&gt;&lt;wsp:rsid wsp:val=&quot;00C93C71&quot;/&gt;&lt;wsp:rsid wsp:val=&quot;00C94BF7&quot;/&gt;&lt;wsp:rsid wsp:val=&quot;00C94FDA&quot;/&gt;&lt;wsp:rsid wsp:val=&quot;00C952F2&quot;/&gt;&lt;wsp:rsid wsp:val=&quot;00C95593&quot;/&gt;&lt;wsp:rsid wsp:val=&quot;00C95601&quot;/&gt;&lt;wsp:rsid wsp:val=&quot;00C95761&quot;/&gt;&lt;wsp:rsid wsp:val=&quot;00C95B50&quot;/&gt;&lt;wsp:rsid wsp:val=&quot;00C95B74&quot;/&gt;&lt;wsp:rsid wsp:val=&quot;00C95DA9&quot;/&gt;&lt;wsp:rsid wsp:val=&quot;00C95FCB&quot;/&gt;&lt;wsp:rsid wsp:val=&quot;00C96008&quot;/&gt;&lt;wsp:rsid wsp:val=&quot;00C96072&quot;/&gt;&lt;wsp:rsid wsp:val=&quot;00C96114&quot;/&gt;&lt;wsp:rsid wsp:val=&quot;00C96342&quot;/&gt;&lt;wsp:rsid wsp:val=&quot;00C96488&quot;/&gt;&lt;wsp:rsid wsp:val=&quot;00C965F4&quot;/&gt;&lt;wsp:rsid wsp:val=&quot;00C966E7&quot;/&gt;&lt;wsp:rsid wsp:val=&quot;00C967C3&quot;/&gt;&lt;wsp:rsid wsp:val=&quot;00C967C7&quot;/&gt;&lt;wsp:rsid wsp:val=&quot;00C967D6&quot;/&gt;&lt;wsp:rsid wsp:val=&quot;00C96A2F&quot;/&gt;&lt;wsp:rsid wsp:val=&quot;00C96F4D&quot;/&gt;&lt;wsp:rsid wsp:val=&quot;00C973B5&quot;/&gt;&lt;wsp:rsid wsp:val=&quot;00C97477&quot;/&gt;&lt;wsp:rsid wsp:val=&quot;00C976FC&quot;/&gt;&lt;wsp:rsid wsp:val=&quot;00C977D5&quot;/&gt;&lt;wsp:rsid wsp:val=&quot;00C97877&quot;/&gt;&lt;wsp:rsid wsp:val=&quot;00C978CE&quot;/&gt;&lt;wsp:rsid wsp:val=&quot;00C97AD6&quot;/&gt;&lt;wsp:rsid wsp:val=&quot;00C97AE1&quot;/&gt;&lt;wsp:rsid wsp:val=&quot;00C97DD6&quot;/&gt;&lt;wsp:rsid wsp:val=&quot;00C97F8E&quot;/&gt;&lt;wsp:rsid wsp:val=&quot;00CA0429&quot;/&gt;&lt;wsp:rsid wsp:val=&quot;00CA05C1&quot;/&gt;&lt;wsp:rsid wsp:val=&quot;00CA0D15&quot;/&gt;&lt;wsp:rsid wsp:val=&quot;00CA0E1C&quot;/&gt;&lt;wsp:rsid wsp:val=&quot;00CA11A6&quot;/&gt;&lt;wsp:rsid wsp:val=&quot;00CA1764&quot;/&gt;&lt;wsp:rsid wsp:val=&quot;00CA184C&quot;/&gt;&lt;wsp:rsid wsp:val=&quot;00CA1A12&quot;/&gt;&lt;wsp:rsid wsp:val=&quot;00CA1A44&quot;/&gt;&lt;wsp:rsid wsp:val=&quot;00CA2208&quot;/&gt;&lt;wsp:rsid wsp:val=&quot;00CA2352&quot;/&gt;&lt;wsp:rsid wsp:val=&quot;00CA27D4&quot;/&gt;&lt;wsp:rsid wsp:val=&quot;00CA28E3&quot;/&gt;&lt;wsp:rsid wsp:val=&quot;00CA3429&quot;/&gt;&lt;wsp:rsid wsp:val=&quot;00CA3A9A&quot;/&gt;&lt;wsp:rsid wsp:val=&quot;00CA3C06&quot;/&gt;&lt;wsp:rsid wsp:val=&quot;00CA42DE&quot;/&gt;&lt;wsp:rsid wsp:val=&quot;00CA4D0F&quot;/&gt;&lt;wsp:rsid wsp:val=&quot;00CA5771&quot;/&gt;&lt;wsp:rsid wsp:val=&quot;00CA57F7&quot;/&gt;&lt;wsp:rsid wsp:val=&quot;00CA5873&quot;/&gt;&lt;wsp:rsid wsp:val=&quot;00CA5DDF&quot;/&gt;&lt;wsp:rsid wsp:val=&quot;00CA6218&quot;/&gt;&lt;wsp:rsid wsp:val=&quot;00CA6293&quot;/&gt;&lt;wsp:rsid wsp:val=&quot;00CA6487&quot;/&gt;&lt;wsp:rsid wsp:val=&quot;00CA6560&quot;/&gt;&lt;wsp:rsid wsp:val=&quot;00CA6A93&quot;/&gt;&lt;wsp:rsid wsp:val=&quot;00CA6BAC&quot;/&gt;&lt;wsp:rsid wsp:val=&quot;00CA6C37&quot;/&gt;&lt;wsp:rsid wsp:val=&quot;00CA6C42&quot;/&gt;&lt;wsp:rsid wsp:val=&quot;00CA76DA&quot;/&gt;&lt;wsp:rsid wsp:val=&quot;00CA7A78&quot;/&gt;&lt;wsp:rsid wsp:val=&quot;00CA7CA6&quot;/&gt;&lt;wsp:rsid wsp:val=&quot;00CB0586&quot;/&gt;&lt;wsp:rsid wsp:val=&quot;00CB08AF&quot;/&gt;&lt;wsp:rsid wsp:val=&quot;00CB0DF6&quot;/&gt;&lt;wsp:rsid wsp:val=&quot;00CB13A4&quot;/&gt;&lt;wsp:rsid wsp:val=&quot;00CB15CF&quot;/&gt;&lt;wsp:rsid wsp:val=&quot;00CB1CF7&quot;/&gt;&lt;wsp:rsid wsp:val=&quot;00CB1DF2&quot;/&gt;&lt;wsp:rsid wsp:val=&quot;00CB1FB6&quot;/&gt;&lt;wsp:rsid wsp:val=&quot;00CB2765&quot;/&gt;&lt;wsp:rsid wsp:val=&quot;00CB279B&quot;/&gt;&lt;wsp:rsid wsp:val=&quot;00CB28F7&quot;/&gt;&lt;wsp:rsid wsp:val=&quot;00CB2CB7&quot;/&gt;&lt;wsp:rsid wsp:val=&quot;00CB2DEC&quot;/&gt;&lt;wsp:rsid wsp:val=&quot;00CB3059&quot;/&gt;&lt;wsp:rsid wsp:val=&quot;00CB30E1&quot;/&gt;&lt;wsp:rsid wsp:val=&quot;00CB3228&quot;/&gt;&lt;wsp:rsid wsp:val=&quot;00CB32CE&quot;/&gt;&lt;wsp:rsid wsp:val=&quot;00CB3560&quot;/&gt;&lt;wsp:rsid wsp:val=&quot;00CB3830&quot;/&gt;&lt;wsp:rsid wsp:val=&quot;00CB3B40&quot;/&gt;&lt;wsp:rsid wsp:val=&quot;00CB3C16&quot;/&gt;&lt;wsp:rsid wsp:val=&quot;00CB3DC2&quot;/&gt;&lt;wsp:rsid wsp:val=&quot;00CB3EBC&quot;/&gt;&lt;wsp:rsid wsp:val=&quot;00CB437F&quot;/&gt;&lt;wsp:rsid wsp:val=&quot;00CB4605&quot;/&gt;&lt;wsp:rsid wsp:val=&quot;00CB4A00&quot;/&gt;&lt;wsp:rsid wsp:val=&quot;00CB4B6A&quot;/&gt;&lt;wsp:rsid wsp:val=&quot;00CB4BB0&quot;/&gt;&lt;wsp:rsid wsp:val=&quot;00CB4F1F&quot;/&gt;&lt;wsp:rsid wsp:val=&quot;00CB51BA&quot;/&gt;&lt;wsp:rsid wsp:val=&quot;00CB52C1&quot;/&gt;&lt;wsp:rsid wsp:val=&quot;00CB55C5&quot;/&gt;&lt;wsp:rsid wsp:val=&quot;00CB570F&quot;/&gt;&lt;wsp:rsid wsp:val=&quot;00CB5D3D&quot;/&gt;&lt;wsp:rsid wsp:val=&quot;00CB5E81&quot;/&gt;&lt;wsp:rsid wsp:val=&quot;00CB602C&quot;/&gt;&lt;wsp:rsid wsp:val=&quot;00CB622A&quot;/&gt;&lt;wsp:rsid wsp:val=&quot;00CB624B&quot;/&gt;&lt;wsp:rsid wsp:val=&quot;00CB70DA&quot;/&gt;&lt;wsp:rsid wsp:val=&quot;00CB71E9&quot;/&gt;&lt;wsp:rsid wsp:val=&quot;00CB731A&quot;/&gt;&lt;wsp:rsid wsp:val=&quot;00CB7C20&quot;/&gt;&lt;wsp:rsid wsp:val=&quot;00CB7F49&quot;/&gt;&lt;wsp:rsid wsp:val=&quot;00CC0290&quot;/&gt;&lt;wsp:rsid wsp:val=&quot;00CC02B8&quot;/&gt;&lt;wsp:rsid wsp:val=&quot;00CC0726&quot;/&gt;&lt;wsp:rsid wsp:val=&quot;00CC0ECB&quot;/&gt;&lt;wsp:rsid wsp:val=&quot;00CC0F0E&quot;/&gt;&lt;wsp:rsid wsp:val=&quot;00CC0F11&quot;/&gt;&lt;wsp:rsid wsp:val=&quot;00CC0FD5&quot;/&gt;&lt;wsp:rsid wsp:val=&quot;00CC122D&quot;/&gt;&lt;wsp:rsid wsp:val=&quot;00CC1355&quot;/&gt;&lt;wsp:rsid wsp:val=&quot;00CC19B5&quot;/&gt;&lt;wsp:rsid wsp:val=&quot;00CC1A4D&quot;/&gt;&lt;wsp:rsid wsp:val=&quot;00CC20E3&quot;/&gt;&lt;wsp:rsid wsp:val=&quot;00CC214D&quot;/&gt;&lt;wsp:rsid wsp:val=&quot;00CC2210&quot;/&gt;&lt;wsp:rsid wsp:val=&quot;00CC2929&quot;/&gt;&lt;wsp:rsid wsp:val=&quot;00CC29E8&quot;/&gt;&lt;wsp:rsid wsp:val=&quot;00CC333D&quot;/&gt;&lt;wsp:rsid wsp:val=&quot;00CC3544&quot;/&gt;&lt;wsp:rsid wsp:val=&quot;00CC4220&quot;/&gt;&lt;wsp:rsid wsp:val=&quot;00CC445D&quot;/&gt;&lt;wsp:rsid wsp:val=&quot;00CC478C&quot;/&gt;&lt;wsp:rsid wsp:val=&quot;00CC4B48&quot;/&gt;&lt;wsp:rsid wsp:val=&quot;00CC4CFB&quot;/&gt;&lt;wsp:rsid wsp:val=&quot;00CC4D82&quot;/&gt;&lt;wsp:rsid wsp:val=&quot;00CC4DB5&quot;/&gt;&lt;wsp:rsid wsp:val=&quot;00CC4F1B&quot;/&gt;&lt;wsp:rsid wsp:val=&quot;00CC4F79&quot;/&gt;&lt;wsp:rsid wsp:val=&quot;00CC5049&quot;/&gt;&lt;wsp:rsid wsp:val=&quot;00CC549F&quot;/&gt;&lt;wsp:rsid wsp:val=&quot;00CC54A5&quot;/&gt;&lt;wsp:rsid wsp:val=&quot;00CC54E7&quot;/&gt;&lt;wsp:rsid wsp:val=&quot;00CC576B&quot;/&gt;&lt;wsp:rsid wsp:val=&quot;00CC6555&quot;/&gt;&lt;wsp:rsid wsp:val=&quot;00CC66D5&quot;/&gt;&lt;wsp:rsid wsp:val=&quot;00CC6A0B&quot;/&gt;&lt;wsp:rsid wsp:val=&quot;00CC6B94&quot;/&gt;&lt;wsp:rsid wsp:val=&quot;00CC6D80&quot;/&gt;&lt;wsp:rsid wsp:val=&quot;00CC6F86&quot;/&gt;&lt;wsp:rsid wsp:val=&quot;00CC74EB&quot;/&gt;&lt;wsp:rsid wsp:val=&quot;00CC769F&quot;/&gt;&lt;wsp:rsid wsp:val=&quot;00CC7BE7&quot;/&gt;&lt;wsp:rsid wsp:val=&quot;00CC7DE4&quot;/&gt;&lt;wsp:rsid wsp:val=&quot;00CC7E5A&quot;/&gt;&lt;wsp:rsid wsp:val=&quot;00CC7F47&quot;/&gt;&lt;wsp:rsid wsp:val=&quot;00CD07B5&quot;/&gt;&lt;wsp:rsid wsp:val=&quot;00CD0B3E&quot;/&gt;&lt;wsp:rsid wsp:val=&quot;00CD183A&quot;/&gt;&lt;wsp:rsid wsp:val=&quot;00CD279A&quot;/&gt;&lt;wsp:rsid wsp:val=&quot;00CD2F2A&quot;/&gt;&lt;wsp:rsid wsp:val=&quot;00CD2FDE&quot;/&gt;&lt;wsp:rsid wsp:val=&quot;00CD3649&quot;/&gt;&lt;wsp:rsid wsp:val=&quot;00CD393A&quot;/&gt;&lt;wsp:rsid wsp:val=&quot;00CD397B&quot;/&gt;&lt;wsp:rsid wsp:val=&quot;00CD3BCE&quot;/&gt;&lt;wsp:rsid wsp:val=&quot;00CD41CE&quot;/&gt;&lt;wsp:rsid wsp:val=&quot;00CD4871&quot;/&gt;&lt;wsp:rsid wsp:val=&quot;00CD4925&quot;/&gt;&lt;wsp:rsid wsp:val=&quot;00CD4A65&quot;/&gt;&lt;wsp:rsid wsp:val=&quot;00CD4FF8&quot;/&gt;&lt;wsp:rsid wsp:val=&quot;00CD53EB&quot;/&gt;&lt;wsp:rsid wsp:val=&quot;00CD5422&quot;/&gt;&lt;wsp:rsid wsp:val=&quot;00CD5490&quot;/&gt;&lt;wsp:rsid wsp:val=&quot;00CD587E&quot;/&gt;&lt;wsp:rsid wsp:val=&quot;00CD5931&quot;/&gt;&lt;wsp:rsid wsp:val=&quot;00CD59DC&quot;/&gt;&lt;wsp:rsid wsp:val=&quot;00CD5AF8&quot;/&gt;&lt;wsp:rsid wsp:val=&quot;00CD5AFE&quot;/&gt;&lt;wsp:rsid wsp:val=&quot;00CD5E2C&quot;/&gt;&lt;wsp:rsid wsp:val=&quot;00CD5EE3&quot;/&gt;&lt;wsp:rsid wsp:val=&quot;00CD61B3&quot;/&gt;&lt;wsp:rsid wsp:val=&quot;00CD6401&quot;/&gt;&lt;wsp:rsid wsp:val=&quot;00CD64FF&quot;/&gt;&lt;wsp:rsid wsp:val=&quot;00CD676D&quot;/&gt;&lt;wsp:rsid wsp:val=&quot;00CD68ED&quot;/&gt;&lt;wsp:rsid wsp:val=&quot;00CD69A9&quot;/&gt;&lt;wsp:rsid wsp:val=&quot;00CD69FB&quot;/&gt;&lt;wsp:rsid wsp:val=&quot;00CD6C45&quot;/&gt;&lt;wsp:rsid wsp:val=&quot;00CD717E&quot;/&gt;&lt;wsp:rsid wsp:val=&quot;00CD742C&quot;/&gt;&lt;wsp:rsid wsp:val=&quot;00CD7497&quot;/&gt;&lt;wsp:rsid wsp:val=&quot;00CD74C0&quot;/&gt;&lt;wsp:rsid wsp:val=&quot;00CD781F&quot;/&gt;&lt;wsp:rsid wsp:val=&quot;00CD7969&quot;/&gt;&lt;wsp:rsid wsp:val=&quot;00CD7BFF&quot;/&gt;&lt;wsp:rsid wsp:val=&quot;00CD7F01&quot;/&gt;&lt;wsp:rsid wsp:val=&quot;00CE011C&quot;/&gt;&lt;wsp:rsid wsp:val=&quot;00CE01CE&quot;/&gt;&lt;wsp:rsid wsp:val=&quot;00CE01E6&quot;/&gt;&lt;wsp:rsid wsp:val=&quot;00CE039C&quot;/&gt;&lt;wsp:rsid wsp:val=&quot;00CE040F&quot;/&gt;&lt;wsp:rsid wsp:val=&quot;00CE0773&quot;/&gt;&lt;wsp:rsid wsp:val=&quot;00CE1129&quot;/&gt;&lt;wsp:rsid wsp:val=&quot;00CE1A13&quot;/&gt;&lt;wsp:rsid wsp:val=&quot;00CE1C38&quot;/&gt;&lt;wsp:rsid wsp:val=&quot;00CE2255&quot;/&gt;&lt;wsp:rsid wsp:val=&quot;00CE2939&quot;/&gt;&lt;wsp:rsid wsp:val=&quot;00CE2A86&quot;/&gt;&lt;wsp:rsid wsp:val=&quot;00CE2CEE&quot;/&gt;&lt;wsp:rsid wsp:val=&quot;00CE2D22&quot;/&gt;&lt;wsp:rsid wsp:val=&quot;00CE30F8&quot;/&gt;&lt;wsp:rsid wsp:val=&quot;00CE38BA&quot;/&gt;&lt;wsp:rsid wsp:val=&quot;00CE4326&quot;/&gt;&lt;wsp:rsid wsp:val=&quot;00CE4A88&quot;/&gt;&lt;wsp:rsid wsp:val=&quot;00CE4E60&quot;/&gt;&lt;wsp:rsid wsp:val=&quot;00CE4E88&quot;/&gt;&lt;wsp:rsid wsp:val=&quot;00CE5060&quot;/&gt;&lt;wsp:rsid wsp:val=&quot;00CE5502&quot;/&gt;&lt;wsp:rsid wsp:val=&quot;00CE57B6&quot;/&gt;&lt;wsp:rsid wsp:val=&quot;00CE5B49&quot;/&gt;&lt;wsp:rsid wsp:val=&quot;00CE5B63&quot;/&gt;&lt;wsp:rsid wsp:val=&quot;00CE5FE4&quot;/&gt;&lt;wsp:rsid wsp:val=&quot;00CE6974&quot;/&gt;&lt;wsp:rsid wsp:val=&quot;00CE6F09&quot;/&gt;&lt;wsp:rsid wsp:val=&quot;00CE6F9A&quot;/&gt;&lt;wsp:rsid wsp:val=&quot;00CE739E&quot;/&gt;&lt;wsp:rsid wsp:val=&quot;00CE775D&quot;/&gt;&lt;wsp:rsid wsp:val=&quot;00CF0D65&quot;/&gt;&lt;wsp:rsid wsp:val=&quot;00CF107E&quot;/&gt;&lt;wsp:rsid wsp:val=&quot;00CF117E&quot;/&gt;&lt;wsp:rsid wsp:val=&quot;00CF1B47&quot;/&gt;&lt;wsp:rsid wsp:val=&quot;00CF26A4&quot;/&gt;&lt;wsp:rsid wsp:val=&quot;00CF27DA&quot;/&gt;&lt;wsp:rsid wsp:val=&quot;00CF3872&quot;/&gt;&lt;wsp:rsid wsp:val=&quot;00CF3924&quot;/&gt;&lt;wsp:rsid wsp:val=&quot;00CF3A0F&quot;/&gt;&lt;wsp:rsid wsp:val=&quot;00CF3A21&quot;/&gt;&lt;wsp:rsid wsp:val=&quot;00CF3B70&quot;/&gt;&lt;wsp:rsid wsp:val=&quot;00CF3E6D&quot;/&gt;&lt;wsp:rsid wsp:val=&quot;00CF42E7&quot;/&gt;&lt;wsp:rsid wsp:val=&quot;00CF4459&quot;/&gt;&lt;wsp:rsid wsp:val=&quot;00CF4689&quot;/&gt;&lt;wsp:rsid wsp:val=&quot;00CF4A56&quot;/&gt;&lt;wsp:rsid wsp:val=&quot;00CF4F93&quot;/&gt;&lt;wsp:rsid wsp:val=&quot;00CF50A0&quot;/&gt;&lt;wsp:rsid wsp:val=&quot;00CF56E8&quot;/&gt;&lt;wsp:rsid wsp:val=&quot;00CF58E7&quot;/&gt;&lt;wsp:rsid wsp:val=&quot;00CF592B&quot;/&gt;&lt;wsp:rsid wsp:val=&quot;00CF59F3&quot;/&gt;&lt;wsp:rsid wsp:val=&quot;00CF5C7A&quot;/&gt;&lt;wsp:rsid wsp:val=&quot;00CF5E35&quot;/&gt;&lt;wsp:rsid wsp:val=&quot;00CF5E51&quot;/&gt;&lt;wsp:rsid wsp:val=&quot;00CF623C&quot;/&gt;&lt;wsp:rsid wsp:val=&quot;00CF6AFF&quot;/&gt;&lt;wsp:rsid wsp:val=&quot;00CF7168&quot;/&gt;&lt;wsp:rsid wsp:val=&quot;00CF73B8&quot;/&gt;&lt;wsp:rsid wsp:val=&quot;00CF7415&quot;/&gt;&lt;wsp:rsid wsp:val=&quot;00CF77B3&quot;/&gt;&lt;wsp:rsid wsp:val=&quot;00CF78B2&quot;/&gt;&lt;wsp:rsid wsp:val=&quot;00D00593&quot;/&gt;&lt;wsp:rsid wsp:val=&quot;00D005B9&quot;/&gt;&lt;wsp:rsid wsp:val=&quot;00D0077A&quot;/&gt;&lt;wsp:rsid wsp:val=&quot;00D00D9A&quot;/&gt;&lt;wsp:rsid wsp:val=&quot;00D0113B&quot;/&gt;&lt;wsp:rsid wsp:val=&quot;00D017A9&quot;/&gt;&lt;wsp:rsid wsp:val=&quot;00D01994&quot;/&gt;&lt;wsp:rsid wsp:val=&quot;00D019B9&quot;/&gt;&lt;wsp:rsid wsp:val=&quot;00D01F4F&quot;/&gt;&lt;wsp:rsid wsp:val=&quot;00D01FA5&quot;/&gt;&lt;wsp:rsid wsp:val=&quot;00D02279&quot;/&gt;&lt;wsp:rsid wsp:val=&quot;00D022B8&quot;/&gt;&lt;wsp:rsid wsp:val=&quot;00D0261F&quot;/&gt;&lt;wsp:rsid wsp:val=&quot;00D02F13&quot;/&gt;&lt;wsp:rsid wsp:val=&quot;00D02FE2&quot;/&gt;&lt;wsp:rsid wsp:val=&quot;00D03302&quot;/&gt;&lt;wsp:rsid wsp:val=&quot;00D03309&quot;/&gt;&lt;wsp:rsid wsp:val=&quot;00D03652&quot;/&gt;&lt;wsp:rsid wsp:val=&quot;00D03900&quot;/&gt;&lt;wsp:rsid wsp:val=&quot;00D03D46&quot;/&gt;&lt;wsp:rsid wsp:val=&quot;00D03E43&quot;/&gt;&lt;wsp:rsid wsp:val=&quot;00D04430&quot;/&gt;&lt;wsp:rsid wsp:val=&quot;00D05571&quot;/&gt;&lt;wsp:rsid wsp:val=&quot;00D0571D&quot;/&gt;&lt;wsp:rsid wsp:val=&quot;00D059EF&quot;/&gt;&lt;wsp:rsid wsp:val=&quot;00D05B66&quot;/&gt;&lt;wsp:rsid wsp:val=&quot;00D05D06&quot;/&gt;&lt;wsp:rsid wsp:val=&quot;00D06000&quot;/&gt;&lt;wsp:rsid wsp:val=&quot;00D0649B&quot;/&gt;&lt;wsp:rsid wsp:val=&quot;00D067F3&quot;/&gt;&lt;wsp:rsid wsp:val=&quot;00D07D78&quot;/&gt;&lt;wsp:rsid wsp:val=&quot;00D07E5C&quot;/&gt;&lt;wsp:rsid wsp:val=&quot;00D07F5A&quot;/&gt;&lt;wsp:rsid wsp:val=&quot;00D07FEA&quot;/&gt;&lt;wsp:rsid wsp:val=&quot;00D10C47&quot;/&gt;&lt;wsp:rsid wsp:val=&quot;00D10F61&quot;/&gt;&lt;wsp:rsid wsp:val=&quot;00D11A47&quot;/&gt;&lt;wsp:rsid wsp:val=&quot;00D11BBE&quot;/&gt;&lt;wsp:rsid wsp:val=&quot;00D11BC5&quot;/&gt;&lt;wsp:rsid wsp:val=&quot;00D120A3&quot;/&gt;&lt;wsp:rsid wsp:val=&quot;00D12124&quot;/&gt;&lt;wsp:rsid wsp:val=&quot;00D1215C&quot;/&gt;&lt;wsp:rsid wsp:val=&quot;00D128A4&quot;/&gt;&lt;wsp:rsid wsp:val=&quot;00D12983&quot;/&gt;&lt;wsp:rsid wsp:val=&quot;00D12D49&quot;/&gt;&lt;wsp:rsid wsp:val=&quot;00D12E4E&quot;/&gt;&lt;wsp:rsid wsp:val=&quot;00D12FE3&quot;/&gt;&lt;wsp:rsid wsp:val=&quot;00D130F2&quot;/&gt;&lt;wsp:rsid wsp:val=&quot;00D13DC3&quot;/&gt;&lt;wsp:rsid wsp:val=&quot;00D143DF&quot;/&gt;&lt;wsp:rsid wsp:val=&quot;00D14B32&quot;/&gt;&lt;wsp:rsid wsp:val=&quot;00D14DFF&quot;/&gt;&lt;wsp:rsid wsp:val=&quot;00D14E96&quot;/&gt;&lt;wsp:rsid wsp:val=&quot;00D1567E&quot;/&gt;&lt;wsp:rsid wsp:val=&quot;00D15732&quot;/&gt;&lt;wsp:rsid wsp:val=&quot;00D164B9&quot;/&gt;&lt;wsp:rsid wsp:val=&quot;00D16750&quot;/&gt;&lt;wsp:rsid wsp:val=&quot;00D16BCA&quot;/&gt;&lt;wsp:rsid wsp:val=&quot;00D16DBD&quot;/&gt;&lt;wsp:rsid wsp:val=&quot;00D16F4D&quot;/&gt;&lt;wsp:rsid wsp:val=&quot;00D17157&quot;/&gt;&lt;wsp:rsid wsp:val=&quot;00D173FA&quot;/&gt;&lt;wsp:rsid wsp:val=&quot;00D17940&quot;/&gt;&lt;wsp:rsid wsp:val=&quot;00D17E8C&quot;/&gt;&lt;wsp:rsid wsp:val=&quot;00D200AD&quot;/&gt;&lt;wsp:rsid wsp:val=&quot;00D209D7&quot;/&gt;&lt;wsp:rsid wsp:val=&quot;00D20C20&quot;/&gt;&lt;wsp:rsid wsp:val=&quot;00D217CF&quot;/&gt;&lt;wsp:rsid wsp:val=&quot;00D21CD2&quot;/&gt;&lt;wsp:rsid wsp:val=&quot;00D21CFA&quot;/&gt;&lt;wsp:rsid wsp:val=&quot;00D22113&quot;/&gt;&lt;wsp:rsid wsp:val=&quot;00D221B7&quot;/&gt;&lt;wsp:rsid wsp:val=&quot;00D222C6&quot;/&gt;&lt;wsp:rsid wsp:val=&quot;00D2283C&quot;/&gt;&lt;wsp:rsid wsp:val=&quot;00D22A80&quot;/&gt;&lt;wsp:rsid wsp:val=&quot;00D22C0A&quot;/&gt;&lt;wsp:rsid wsp:val=&quot;00D22C30&quot;/&gt;&lt;wsp:rsid wsp:val=&quot;00D22D4A&quot;/&gt;&lt;wsp:rsid wsp:val=&quot;00D22F3C&quot;/&gt;&lt;wsp:rsid wsp:val=&quot;00D230A4&quot;/&gt;&lt;wsp:rsid wsp:val=&quot;00D230F3&quot;/&gt;&lt;wsp:rsid wsp:val=&quot;00D23122&quot;/&gt;&lt;wsp:rsid wsp:val=&quot;00D232BF&quot;/&gt;&lt;wsp:rsid wsp:val=&quot;00D235CC&quot;/&gt;&lt;wsp:rsid wsp:val=&quot;00D2386E&quot;/&gt;&lt;wsp:rsid wsp:val=&quot;00D23D5B&quot;/&gt;&lt;wsp:rsid wsp:val=&quot;00D241B0&quot;/&gt;&lt;wsp:rsid wsp:val=&quot;00D2453C&quot;/&gt;&lt;wsp:rsid wsp:val=&quot;00D2459F&quot;/&gt;&lt;wsp:rsid wsp:val=&quot;00D24907&quot;/&gt;&lt;wsp:rsid wsp:val=&quot;00D249D2&quot;/&gt;&lt;wsp:rsid wsp:val=&quot;00D24DE7&quot;/&gt;&lt;wsp:rsid wsp:val=&quot;00D2516D&quot;/&gt;&lt;wsp:rsid wsp:val=&quot;00D25873&quot;/&gt;&lt;wsp:rsid wsp:val=&quot;00D25DAF&quot;/&gt;&lt;wsp:rsid wsp:val=&quot;00D26301&quot;/&gt;&lt;wsp:rsid wsp:val=&quot;00D26D39&quot;/&gt;&lt;wsp:rsid wsp:val=&quot;00D27409&quot;/&gt;&lt;wsp:rsid wsp:val=&quot;00D27540&quot;/&gt;&lt;wsp:rsid wsp:val=&quot;00D27769&quot;/&gt;&lt;wsp:rsid wsp:val=&quot;00D279B8&quot;/&gt;&lt;wsp:rsid wsp:val=&quot;00D27F7C&quot;/&gt;&lt;wsp:rsid wsp:val=&quot;00D30128&quot;/&gt;&lt;wsp:rsid wsp:val=&quot;00D30372&quot;/&gt;&lt;wsp:rsid wsp:val=&quot;00D307D2&quot;/&gt;&lt;wsp:rsid wsp:val=&quot;00D30BD5&quot;/&gt;&lt;wsp:rsid wsp:val=&quot;00D30C40&quot;/&gt;&lt;wsp:rsid wsp:val=&quot;00D310FA&quot;/&gt;&lt;wsp:rsid wsp:val=&quot;00D315BB&quot;/&gt;&lt;wsp:rsid wsp:val=&quot;00D31981&quot;/&gt;&lt;wsp:rsid wsp:val=&quot;00D31BA6&quot;/&gt;&lt;wsp:rsid wsp:val=&quot;00D31CFC&quot;/&gt;&lt;wsp:rsid wsp:val=&quot;00D322C2&quot;/&gt;&lt;wsp:rsid wsp:val=&quot;00D32411&quot;/&gt;&lt;wsp:rsid wsp:val=&quot;00D324ED&quot;/&gt;&lt;wsp:rsid wsp:val=&quot;00D33035&quot;/&gt;&lt;wsp:rsid wsp:val=&quot;00D33038&quot;/&gt;&lt;wsp:rsid wsp:val=&quot;00D33275&quot;/&gt;&lt;wsp:rsid wsp:val=&quot;00D33278&quot;/&gt;&lt;wsp:rsid wsp:val=&quot;00D335C3&quot;/&gt;&lt;wsp:rsid wsp:val=&quot;00D3375E&quot;/&gt;&lt;wsp:rsid wsp:val=&quot;00D33852&quot;/&gt;&lt;wsp:rsid wsp:val=&quot;00D33D31&quot;/&gt;&lt;wsp:rsid wsp:val=&quot;00D344A7&quot;/&gt;&lt;wsp:rsid wsp:val=&quot;00D34757&quot;/&gt;&lt;wsp:rsid wsp:val=&quot;00D34B46&quot;/&gt;&lt;wsp:rsid wsp:val=&quot;00D350C4&quot;/&gt;&lt;wsp:rsid wsp:val=&quot;00D3559B&quot;/&gt;&lt;wsp:rsid wsp:val=&quot;00D35E85&quot;/&gt;&lt;wsp:rsid wsp:val=&quot;00D360F1&quot;/&gt;&lt;wsp:rsid wsp:val=&quot;00D36322&quot;/&gt;&lt;wsp:rsid wsp:val=&quot;00D366D9&quot;/&gt;&lt;wsp:rsid wsp:val=&quot;00D36DF2&quot;/&gt;&lt;wsp:rsid wsp:val=&quot;00D37431&quot;/&gt;&lt;wsp:rsid wsp:val=&quot;00D37733&quot;/&gt;&lt;wsp:rsid wsp:val=&quot;00D37A21&quot;/&gt;&lt;wsp:rsid wsp:val=&quot;00D37AAF&quot;/&gt;&lt;wsp:rsid wsp:val=&quot;00D37B37&quot;/&gt;&lt;wsp:rsid wsp:val=&quot;00D37BFA&quot;/&gt;&lt;wsp:rsid wsp:val=&quot;00D37EA6&quot;/&gt;&lt;wsp:rsid wsp:val=&quot;00D40872&quot;/&gt;&lt;wsp:rsid wsp:val=&quot;00D40E7C&quot;/&gt;&lt;wsp:rsid wsp:val=&quot;00D40F27&quot;/&gt;&lt;wsp:rsid wsp:val=&quot;00D41179&quot;/&gt;&lt;wsp:rsid wsp:val=&quot;00D41803&quot;/&gt;&lt;wsp:rsid wsp:val=&quot;00D41A05&quot;/&gt;&lt;wsp:rsid wsp:val=&quot;00D41A3B&quot;/&gt;&lt;wsp:rsid wsp:val=&quot;00D41A7D&quot;/&gt;&lt;wsp:rsid wsp:val=&quot;00D41C03&quot;/&gt;&lt;wsp:rsid wsp:val=&quot;00D42B7C&quot;/&gt;&lt;wsp:rsid wsp:val=&quot;00D43133&quot;/&gt;&lt;wsp:rsid wsp:val=&quot;00D4322E&quot;/&gt;&lt;wsp:rsid wsp:val=&quot;00D43AFC&quot;/&gt;&lt;wsp:rsid wsp:val=&quot;00D43C8E&quot;/&gt;&lt;wsp:rsid wsp:val=&quot;00D43DA5&quot;/&gt;&lt;wsp:rsid wsp:val=&quot;00D44404&quot;/&gt;&lt;wsp:rsid wsp:val=&quot;00D44638&quot;/&gt;&lt;wsp:rsid wsp:val=&quot;00D4497C&quot;/&gt;&lt;wsp:rsid wsp:val=&quot;00D449A0&quot;/&gt;&lt;wsp:rsid wsp:val=&quot;00D44E88&quot;/&gt;&lt;wsp:rsid wsp:val=&quot;00D450A2&quot;/&gt;&lt;wsp:rsid wsp:val=&quot;00D45419&quot;/&gt;&lt;wsp:rsid wsp:val=&quot;00D457BD&quot;/&gt;&lt;wsp:rsid wsp:val=&quot;00D46514&quot;/&gt;&lt;wsp:rsid wsp:val=&quot;00D46798&quot;/&gt;&lt;wsp:rsid wsp:val=&quot;00D46ADF&quot;/&gt;&lt;wsp:rsid wsp:val=&quot;00D46C81&quot;/&gt;&lt;wsp:rsid wsp:val=&quot;00D47673&quot;/&gt;&lt;wsp:rsid wsp:val=&quot;00D47B77&quot;/&gt;&lt;wsp:rsid wsp:val=&quot;00D50034&quot;/&gt;&lt;wsp:rsid wsp:val=&quot;00D503EC&quot;/&gt;&lt;wsp:rsid wsp:val=&quot;00D50F65&quot;/&gt;&lt;wsp:rsid wsp:val=&quot;00D50F81&quot;/&gt;&lt;wsp:rsid wsp:val=&quot;00D51720&quot;/&gt;&lt;wsp:rsid wsp:val=&quot;00D51B2A&quot;/&gt;&lt;wsp:rsid wsp:val=&quot;00D51D4A&quot;/&gt;&lt;wsp:rsid wsp:val=&quot;00D52209&quot;/&gt;&lt;wsp:rsid wsp:val=&quot;00D5234B&quot;/&gt;&lt;wsp:rsid wsp:val=&quot;00D52395&quot;/&gt;&lt;wsp:rsid wsp:val=&quot;00D52581&quot;/&gt;&lt;wsp:rsid wsp:val=&quot;00D52759&quot;/&gt;&lt;wsp:rsid wsp:val=&quot;00D52769&quot;/&gt;&lt;wsp:rsid wsp:val=&quot;00D52807&quot;/&gt;&lt;wsp:rsid wsp:val=&quot;00D52BB3&quot;/&gt;&lt;wsp:rsid wsp:val=&quot;00D52C1D&quot;/&gt;&lt;wsp:rsid wsp:val=&quot;00D53964&quot;/&gt;&lt;wsp:rsid wsp:val=&quot;00D53984&quot;/&gt;&lt;wsp:rsid wsp:val=&quot;00D53BAC&quot;/&gt;&lt;wsp:rsid wsp:val=&quot;00D53BE1&quot;/&gt;&lt;wsp:rsid wsp:val=&quot;00D53C87&quot;/&gt;&lt;wsp:rsid wsp:val=&quot;00D54868&quot;/&gt;&lt;wsp:rsid wsp:val=&quot;00D54C61&quot;/&gt;&lt;wsp:rsid wsp:val=&quot;00D54D1E&quot;/&gt;&lt;wsp:rsid wsp:val=&quot;00D55266&quot;/&gt;&lt;wsp:rsid wsp:val=&quot;00D55283&quot;/&gt;&lt;wsp:rsid wsp:val=&quot;00D5595E&quot;/&gt;&lt;wsp:rsid wsp:val=&quot;00D55BCE&quot;/&gt;&lt;wsp:rsid wsp:val=&quot;00D5613C&quot;/&gt;&lt;wsp:rsid wsp:val=&quot;00D56253&quot;/&gt;&lt;wsp:rsid wsp:val=&quot;00D56498&quot;/&gt;&lt;wsp:rsid wsp:val=&quot;00D567FE&quot;/&gt;&lt;wsp:rsid wsp:val=&quot;00D56CE8&quot;/&gt;&lt;wsp:rsid wsp:val=&quot;00D5731E&quot;/&gt;&lt;wsp:rsid wsp:val=&quot;00D579C3&quot;/&gt;&lt;wsp:rsid wsp:val=&quot;00D57E09&quot;/&gt;&lt;wsp:rsid wsp:val=&quot;00D6016A&quot;/&gt;&lt;wsp:rsid wsp:val=&quot;00D60191&quot;/&gt;&lt;wsp:rsid wsp:val=&quot;00D61005&quot;/&gt;&lt;wsp:rsid wsp:val=&quot;00D61015&quot;/&gt;&lt;wsp:rsid wsp:val=&quot;00D61131&quot;/&gt;&lt;wsp:rsid wsp:val=&quot;00D611BB&quot;/&gt;&lt;wsp:rsid wsp:val=&quot;00D61829&quot;/&gt;&lt;wsp:rsid wsp:val=&quot;00D61A11&quot;/&gt;&lt;wsp:rsid wsp:val=&quot;00D61ADA&quot;/&gt;&lt;wsp:rsid wsp:val=&quot;00D61BEC&quot;/&gt;&lt;wsp:rsid wsp:val=&quot;00D61EBC&quot;/&gt;&lt;wsp:rsid wsp:val=&quot;00D61F64&quot;/&gt;&lt;wsp:rsid wsp:val=&quot;00D620A2&quot;/&gt;&lt;wsp:rsid wsp:val=&quot;00D622CE&quot;/&gt;&lt;wsp:rsid wsp:val=&quot;00D625F9&quot;/&gt;&lt;wsp:rsid wsp:val=&quot;00D626BE&quot;/&gt;&lt;wsp:rsid wsp:val=&quot;00D627CF&quot;/&gt;&lt;wsp:rsid wsp:val=&quot;00D62824&quot;/&gt;&lt;wsp:rsid wsp:val=&quot;00D6298A&quot;/&gt;&lt;wsp:rsid wsp:val=&quot;00D62A18&quot;/&gt;&lt;wsp:rsid wsp:val=&quot;00D62B58&quot;/&gt;&lt;wsp:rsid wsp:val=&quot;00D630C5&quot;/&gt;&lt;wsp:rsid wsp:val=&quot;00D636AD&quot;/&gt;&lt;wsp:rsid wsp:val=&quot;00D63D63&quot;/&gt;&lt;wsp:rsid wsp:val=&quot;00D64252&quot;/&gt;&lt;wsp:rsid wsp:val=&quot;00D64417&quot;/&gt;&lt;wsp:rsid wsp:val=&quot;00D6444A&quot;/&gt;&lt;wsp:rsid wsp:val=&quot;00D644E7&quot;/&gt;&lt;wsp:rsid wsp:val=&quot;00D646C6&quot;/&gt;&lt;wsp:rsid wsp:val=&quot;00D64822&quot;/&gt;&lt;wsp:rsid wsp:val=&quot;00D652FF&quot;/&gt;&lt;wsp:rsid wsp:val=&quot;00D653DB&quot;/&gt;&lt;wsp:rsid wsp:val=&quot;00D654C8&quot;/&gt;&lt;wsp:rsid wsp:val=&quot;00D6567B&quot;/&gt;&lt;wsp:rsid wsp:val=&quot;00D65AA1&quot;/&gt;&lt;wsp:rsid wsp:val=&quot;00D6638B&quot;/&gt;&lt;wsp:rsid wsp:val=&quot;00D66DD9&quot;/&gt;&lt;wsp:rsid wsp:val=&quot;00D66FA6&quot;/&gt;&lt;wsp:rsid wsp:val=&quot;00D671DD&quot;/&gt;&lt;wsp:rsid wsp:val=&quot;00D67240&quot;/&gt;&lt;wsp:rsid wsp:val=&quot;00D678AC&quot;/&gt;&lt;wsp:rsid wsp:val=&quot;00D67A44&quot;/&gt;&lt;wsp:rsid wsp:val=&quot;00D67C73&quot;/&gt;&lt;wsp:rsid wsp:val=&quot;00D7030E&quot;/&gt;&lt;wsp:rsid wsp:val=&quot;00D703A3&quot;/&gt;&lt;wsp:rsid wsp:val=&quot;00D7040C&quot;/&gt;&lt;wsp:rsid wsp:val=&quot;00D705E7&quot;/&gt;&lt;wsp:rsid wsp:val=&quot;00D7074F&quot;/&gt;&lt;wsp:rsid wsp:val=&quot;00D70CD1&quot;/&gt;&lt;wsp:rsid wsp:val=&quot;00D70E7A&quot;/&gt;&lt;wsp:rsid wsp:val=&quot;00D70F4A&quot;/&gt;&lt;wsp:rsid wsp:val=&quot;00D71546&quot;/&gt;&lt;wsp:rsid wsp:val=&quot;00D716E8&quot;/&gt;&lt;wsp:rsid wsp:val=&quot;00D71916&quot;/&gt;&lt;wsp:rsid wsp:val=&quot;00D719E6&quot;/&gt;&lt;wsp:rsid wsp:val=&quot;00D71CEF&quot;/&gt;&lt;wsp:rsid wsp:val=&quot;00D7218F&quot;/&gt;&lt;wsp:rsid wsp:val=&quot;00D72199&quot;/&gt;&lt;wsp:rsid wsp:val=&quot;00D72232&quot;/&gt;&lt;wsp:rsid wsp:val=&quot;00D722CF&quot;/&gt;&lt;wsp:rsid wsp:val=&quot;00D725DB&quot;/&gt;&lt;wsp:rsid wsp:val=&quot;00D72C5F&quot;/&gt;&lt;wsp:rsid wsp:val=&quot;00D72DA4&quot;/&gt;&lt;wsp:rsid wsp:val=&quot;00D732EE&quot;/&gt;&lt;wsp:rsid wsp:val=&quot;00D73338&quot;/&gt;&lt;wsp:rsid wsp:val=&quot;00D73348&quot;/&gt;&lt;wsp:rsid wsp:val=&quot;00D73FD6&quot;/&gt;&lt;wsp:rsid wsp:val=&quot;00D74262&quot;/&gt;&lt;wsp:rsid wsp:val=&quot;00D7433C&quot;/&gt;&lt;wsp:rsid wsp:val=&quot;00D74575&quot;/&gt;&lt;wsp:rsid wsp:val=&quot;00D7465E&quot;/&gt;&lt;wsp:rsid wsp:val=&quot;00D74A56&quot;/&gt;&lt;wsp:rsid wsp:val=&quot;00D74D31&quot;/&gt;&lt;wsp:rsid wsp:val=&quot;00D74D6F&quot;/&gt;&lt;wsp:rsid wsp:val=&quot;00D74EF6&quot;/&gt;&lt;wsp:rsid wsp:val=&quot;00D74F07&quot;/&gt;&lt;wsp:rsid wsp:val=&quot;00D74F9C&quot;/&gt;&lt;wsp:rsid wsp:val=&quot;00D75012&quot;/&gt;&lt;wsp:rsid wsp:val=&quot;00D75773&quot;/&gt;&lt;wsp:rsid wsp:val=&quot;00D760A9&quot;/&gt;&lt;wsp:rsid wsp:val=&quot;00D760CF&quot;/&gt;&lt;wsp:rsid wsp:val=&quot;00D763C6&quot;/&gt;&lt;wsp:rsid wsp:val=&quot;00D76440&quot;/&gt;&lt;wsp:rsid wsp:val=&quot;00D76731&quot;/&gt;&lt;wsp:rsid wsp:val=&quot;00D7695D&quot;/&gt;&lt;wsp:rsid wsp:val=&quot;00D77746&quot;/&gt;&lt;wsp:rsid wsp:val=&quot;00D778C2&quot;/&gt;&lt;wsp:rsid wsp:val=&quot;00D77CA3&quot;/&gt;&lt;wsp:rsid wsp:val=&quot;00D8038B&quot;/&gt;&lt;wsp:rsid wsp:val=&quot;00D803E5&quot;/&gt;&lt;wsp:rsid wsp:val=&quot;00D80BA3&quot;/&gt;&lt;wsp:rsid wsp:val=&quot;00D80E47&quot;/&gt;&lt;wsp:rsid wsp:val=&quot;00D813D1&quot;/&gt;&lt;wsp:rsid wsp:val=&quot;00D81428&quot;/&gt;&lt;wsp:rsid wsp:val=&quot;00D818D9&quot;/&gt;&lt;wsp:rsid wsp:val=&quot;00D81B53&quot;/&gt;&lt;wsp:rsid wsp:val=&quot;00D81D91&quot;/&gt;&lt;wsp:rsid wsp:val=&quot;00D81E8A&quot;/&gt;&lt;wsp:rsid wsp:val=&quot;00D82675&quot;/&gt;&lt;wsp:rsid wsp:val=&quot;00D8270A&quot;/&gt;&lt;wsp:rsid wsp:val=&quot;00D82A8E&quot;/&gt;&lt;wsp:rsid wsp:val=&quot;00D82DF1&quot;/&gt;&lt;wsp:rsid wsp:val=&quot;00D82EF5&quot;/&gt;&lt;wsp:rsid wsp:val=&quot;00D831D9&quot;/&gt;&lt;wsp:rsid wsp:val=&quot;00D83235&quot;/&gt;&lt;wsp:rsid wsp:val=&quot;00D8393F&quot;/&gt;&lt;wsp:rsid wsp:val=&quot;00D840E6&quot;/&gt;&lt;wsp:rsid wsp:val=&quot;00D8429C&quot;/&gt;&lt;wsp:rsid wsp:val=&quot;00D842D4&quot;/&gt;&lt;wsp:rsid wsp:val=&quot;00D84621&quot;/&gt;&lt;wsp:rsid wsp:val=&quot;00D8462B&quot;/&gt;&lt;wsp:rsid wsp:val=&quot;00D84941&quot;/&gt;&lt;wsp:rsid wsp:val=&quot;00D8521F&quot;/&gt;&lt;wsp:rsid wsp:val=&quot;00D85335&quot;/&gt;&lt;wsp:rsid wsp:val=&quot;00D856EC&quot;/&gt;&lt;wsp:rsid wsp:val=&quot;00D8570C&quot;/&gt;&lt;wsp:rsid wsp:val=&quot;00D85824&quot;/&gt;&lt;wsp:rsid wsp:val=&quot;00D85C69&quot;/&gt;&lt;wsp:rsid wsp:val=&quot;00D85C72&quot;/&gt;&lt;wsp:rsid wsp:val=&quot;00D85DEB&quot;/&gt;&lt;wsp:rsid wsp:val=&quot;00D861F0&quot;/&gt;&lt;wsp:rsid wsp:val=&quot;00D86504&quot;/&gt;&lt;wsp:rsid wsp:val=&quot;00D86DFF&quot;/&gt;&lt;wsp:rsid wsp:val=&quot;00D87212&quot;/&gt;&lt;wsp:rsid wsp:val=&quot;00D87551&quot;/&gt;&lt;wsp:rsid wsp:val=&quot;00D87C1E&quot;/&gt;&lt;wsp:rsid wsp:val=&quot;00D90067&quot;/&gt;&lt;wsp:rsid wsp:val=&quot;00D903FC&quot;/&gt;&lt;wsp:rsid wsp:val=&quot;00D903FF&quot;/&gt;&lt;wsp:rsid wsp:val=&quot;00D9066D&quot;/&gt;&lt;wsp:rsid wsp:val=&quot;00D90844&quot;/&gt;&lt;wsp:rsid wsp:val=&quot;00D90C47&quot;/&gt;&lt;wsp:rsid wsp:val=&quot;00D90CDB&quot;/&gt;&lt;wsp:rsid wsp:val=&quot;00D9124E&quot;/&gt;&lt;wsp:rsid wsp:val=&quot;00D917CA&quot;/&gt;&lt;wsp:rsid wsp:val=&quot;00D918CD&quot;/&gt;&lt;wsp:rsid wsp:val=&quot;00D9196C&quot;/&gt;&lt;wsp:rsid wsp:val=&quot;00D91C21&quot;/&gt;&lt;wsp:rsid wsp:val=&quot;00D91EC6&quot;/&gt;&lt;wsp:rsid wsp:val=&quot;00D91F11&quot;/&gt;&lt;wsp:rsid wsp:val=&quot;00D91FF6&quot;/&gt;&lt;wsp:rsid wsp:val=&quot;00D922E8&quot;/&gt;&lt;wsp:rsid wsp:val=&quot;00D92491&quot;/&gt;&lt;wsp:rsid wsp:val=&quot;00D92AE3&quot;/&gt;&lt;wsp:rsid wsp:val=&quot;00D92CE4&quot;/&gt;&lt;wsp:rsid wsp:val=&quot;00D934D4&quot;/&gt;&lt;wsp:rsid wsp:val=&quot;00D935B0&quot;/&gt;&lt;wsp:rsid wsp:val=&quot;00D93895&quot;/&gt;&lt;wsp:rsid wsp:val=&quot;00D93B30&quot;/&gt;&lt;wsp:rsid wsp:val=&quot;00D93EE5&quot;/&gt;&lt;wsp:rsid wsp:val=&quot;00D9400B&quot;/&gt;&lt;wsp:rsid wsp:val=&quot;00D94351&quot;/&gt;&lt;wsp:rsid wsp:val=&quot;00D9436E&quot;/&gt;&lt;wsp:rsid wsp:val=&quot;00D9442C&quot;/&gt;&lt;wsp:rsid wsp:val=&quot;00D94635&quot;/&gt;&lt;wsp:rsid wsp:val=&quot;00D95228&quot;/&gt;&lt;wsp:rsid wsp:val=&quot;00D957C3&quot;/&gt;&lt;wsp:rsid wsp:val=&quot;00D95AF4&quot;/&gt;&lt;wsp:rsid wsp:val=&quot;00D95CB7&quot;/&gt;&lt;wsp:rsid wsp:val=&quot;00D96247&quot;/&gt;&lt;wsp:rsid wsp:val=&quot;00D9632F&quot;/&gt;&lt;wsp:rsid wsp:val=&quot;00D9690E&quot;/&gt;&lt;wsp:rsid wsp:val=&quot;00D97DC7&quot;/&gt;&lt;wsp:rsid wsp:val=&quot;00D97EE3&quot;/&gt;&lt;wsp:rsid wsp:val=&quot;00DA00AE&quot;/&gt;&lt;wsp:rsid wsp:val=&quot;00DA0108&quot;/&gt;&lt;wsp:rsid wsp:val=&quot;00DA01C4&quot;/&gt;&lt;wsp:rsid wsp:val=&quot;00DA0DD0&quot;/&gt;&lt;wsp:rsid wsp:val=&quot;00DA1876&quot;/&gt;&lt;wsp:rsid wsp:val=&quot;00DA1992&quot;/&gt;&lt;wsp:rsid wsp:val=&quot;00DA1A61&quot;/&gt;&lt;wsp:rsid wsp:val=&quot;00DA1BBD&quot;/&gt;&lt;wsp:rsid wsp:val=&quot;00DA27FD&quot;/&gt;&lt;wsp:rsid wsp:val=&quot;00DA281D&quot;/&gt;&lt;wsp:rsid wsp:val=&quot;00DA2B3F&quot;/&gt;&lt;wsp:rsid wsp:val=&quot;00DA2D48&quot;/&gt;&lt;wsp:rsid wsp:val=&quot;00DA31D6&quot;/&gt;&lt;wsp:rsid wsp:val=&quot;00DA32ED&quot;/&gt;&lt;wsp:rsid wsp:val=&quot;00DA355F&quot;/&gt;&lt;wsp:rsid wsp:val=&quot;00DA3637&quot;/&gt;&lt;wsp:rsid wsp:val=&quot;00DA3DE0&quot;/&gt;&lt;wsp:rsid wsp:val=&quot;00DA452D&quot;/&gt;&lt;wsp:rsid wsp:val=&quot;00DA4785&quot;/&gt;&lt;wsp:rsid wsp:val=&quot;00DA47F3&quot;/&gt;&lt;wsp:rsid wsp:val=&quot;00DA48A9&quot;/&gt;&lt;wsp:rsid wsp:val=&quot;00DA4AAB&quot;/&gt;&lt;wsp:rsid wsp:val=&quot;00DA4BE1&quot;/&gt;&lt;wsp:rsid wsp:val=&quot;00DA4C15&quot;/&gt;&lt;wsp:rsid wsp:val=&quot;00DA4CE7&quot;/&gt;&lt;wsp:rsid wsp:val=&quot;00DA4E26&quot;/&gt;&lt;wsp:rsid wsp:val=&quot;00DA4EDE&quot;/&gt;&lt;wsp:rsid wsp:val=&quot;00DA549C&quot;/&gt;&lt;wsp:rsid wsp:val=&quot;00DA54CD&quot;/&gt;&lt;wsp:rsid wsp:val=&quot;00DA571E&quot;/&gt;&lt;wsp:rsid wsp:val=&quot;00DA5943&quot;/&gt;&lt;wsp:rsid wsp:val=&quot;00DA5F1F&quot;/&gt;&lt;wsp:rsid wsp:val=&quot;00DA61F5&quot;/&gt;&lt;wsp:rsid wsp:val=&quot;00DA6232&quot;/&gt;&lt;wsp:rsid wsp:val=&quot;00DA65B2&quot;/&gt;&lt;wsp:rsid wsp:val=&quot;00DA662D&quot;/&gt;&lt;wsp:rsid wsp:val=&quot;00DA6ABD&quot;/&gt;&lt;wsp:rsid wsp:val=&quot;00DA6E57&quot;/&gt;&lt;wsp:rsid wsp:val=&quot;00DA7056&quot;/&gt;&lt;wsp:rsid wsp:val=&quot;00DA7340&quot;/&gt;&lt;wsp:rsid wsp:val=&quot;00DA7BA4&quot;/&gt;&lt;wsp:rsid wsp:val=&quot;00DA7E61&quot;/&gt;&lt;wsp:rsid wsp:val=&quot;00DA7FCB&quot;/&gt;&lt;wsp:rsid wsp:val=&quot;00DB01DB&quot;/&gt;&lt;wsp:rsid wsp:val=&quot;00DB09AB&quot;/&gt;&lt;wsp:rsid wsp:val=&quot;00DB0A6B&quot;/&gt;&lt;wsp:rsid wsp:val=&quot;00DB0C61&quot;/&gt;&lt;wsp:rsid wsp:val=&quot;00DB0FD0&quot;/&gt;&lt;wsp:rsid wsp:val=&quot;00DB111F&quot;/&gt;&lt;wsp:rsid wsp:val=&quot;00DB1156&quot;/&gt;&lt;wsp:rsid wsp:val=&quot;00DB1ADE&quot;/&gt;&lt;wsp:rsid wsp:val=&quot;00DB21F9&quot;/&gt;&lt;wsp:rsid wsp:val=&quot;00DB23E1&quot;/&gt;&lt;wsp:rsid wsp:val=&quot;00DB242E&quot;/&gt;&lt;wsp:rsid wsp:val=&quot;00DB247B&quot;/&gt;&lt;wsp:rsid wsp:val=&quot;00DB2500&quot;/&gt;&lt;wsp:rsid wsp:val=&quot;00DB25F7&quot;/&gt;&lt;wsp:rsid wsp:val=&quot;00DB2745&quot;/&gt;&lt;wsp:rsid wsp:val=&quot;00DB2810&quot;/&gt;&lt;wsp:rsid wsp:val=&quot;00DB296C&quot;/&gt;&lt;wsp:rsid wsp:val=&quot;00DB2979&quot;/&gt;&lt;wsp:rsid wsp:val=&quot;00DB29FA&quot;/&gt;&lt;wsp:rsid wsp:val=&quot;00DB2B88&quot;/&gt;&lt;wsp:rsid wsp:val=&quot;00DB2C50&quot;/&gt;&lt;wsp:rsid wsp:val=&quot;00DB32C4&quot;/&gt;&lt;wsp:rsid wsp:val=&quot;00DB3873&quot;/&gt;&lt;wsp:rsid wsp:val=&quot;00DB38FF&quot;/&gt;&lt;wsp:rsid wsp:val=&quot;00DB3F39&quot;/&gt;&lt;wsp:rsid wsp:val=&quot;00DB3FF4&quot;/&gt;&lt;wsp:rsid wsp:val=&quot;00DB4EA6&quot;/&gt;&lt;wsp:rsid wsp:val=&quot;00DB51A7&quot;/&gt;&lt;wsp:rsid wsp:val=&quot;00DB5222&quot;/&gt;&lt;wsp:rsid wsp:val=&quot;00DB5A41&quot;/&gt;&lt;wsp:rsid wsp:val=&quot;00DB5DD7&quot;/&gt;&lt;wsp:rsid wsp:val=&quot;00DB64EB&quot;/&gt;&lt;wsp:rsid wsp:val=&quot;00DB6A15&quot;/&gt;&lt;wsp:rsid wsp:val=&quot;00DB6C7B&quot;/&gt;&lt;wsp:rsid wsp:val=&quot;00DB71FD&quot;/&gt;&lt;wsp:rsid wsp:val=&quot;00DB756B&quot;/&gt;&lt;wsp:rsid wsp:val=&quot;00DB7684&quot;/&gt;&lt;wsp:rsid wsp:val=&quot;00DB7D5B&quot;/&gt;&lt;wsp:rsid wsp:val=&quot;00DB7F4C&quot;/&gt;&lt;wsp:rsid wsp:val=&quot;00DC037E&quot;/&gt;&lt;wsp:rsid wsp:val=&quot;00DC0828&quot;/&gt;&lt;wsp:rsid wsp:val=&quot;00DC085B&quot;/&gt;&lt;wsp:rsid wsp:val=&quot;00DC08CF&quot;/&gt;&lt;wsp:rsid wsp:val=&quot;00DC0984&quot;/&gt;&lt;wsp:rsid wsp:val=&quot;00DC0EC9&quot;/&gt;&lt;wsp:rsid wsp:val=&quot;00DC0ECC&quot;/&gt;&lt;wsp:rsid wsp:val=&quot;00DC141E&quot;/&gt;&lt;wsp:rsid wsp:val=&quot;00DC15EC&quot;/&gt;&lt;wsp:rsid wsp:val=&quot;00DC1957&quot;/&gt;&lt;wsp:rsid wsp:val=&quot;00DC1CFE&quot;/&gt;&lt;wsp:rsid wsp:val=&quot;00DC21D5&quot;/&gt;&lt;wsp:rsid wsp:val=&quot;00DC27DA&quot;/&gt;&lt;wsp:rsid wsp:val=&quot;00DC2C4C&quot;/&gt;&lt;wsp:rsid wsp:val=&quot;00DC2EE7&quot;/&gt;&lt;wsp:rsid wsp:val=&quot;00DC3280&quot;/&gt;&lt;wsp:rsid wsp:val=&quot;00DC3341&quot;/&gt;&lt;wsp:rsid wsp:val=&quot;00DC339F&quot;/&gt;&lt;wsp:rsid wsp:val=&quot;00DC33AB&quot;/&gt;&lt;wsp:rsid wsp:val=&quot;00DC3481&quot;/&gt;&lt;wsp:rsid wsp:val=&quot;00DC38A8&quot;/&gt;&lt;wsp:rsid wsp:val=&quot;00DC38BC&quot;/&gt;&lt;wsp:rsid wsp:val=&quot;00DC3992&quot;/&gt;&lt;wsp:rsid wsp:val=&quot;00DC3E04&quot;/&gt;&lt;wsp:rsid wsp:val=&quot;00DC402E&quot;/&gt;&lt;wsp:rsid wsp:val=&quot;00DC4284&quot;/&gt;&lt;wsp:rsid wsp:val=&quot;00DC4376&quot;/&gt;&lt;wsp:rsid wsp:val=&quot;00DC50F1&quot;/&gt;&lt;wsp:rsid wsp:val=&quot;00DC520C&quot;/&gt;&lt;wsp:rsid wsp:val=&quot;00DC535D&quot;/&gt;&lt;wsp:rsid wsp:val=&quot;00DC5445&quot;/&gt;&lt;wsp:rsid wsp:val=&quot;00DC562B&quot;/&gt;&lt;wsp:rsid wsp:val=&quot;00DC5FEC&quot;/&gt;&lt;wsp:rsid wsp:val=&quot;00DC6606&quot;/&gt;&lt;wsp:rsid wsp:val=&quot;00DC673D&quot;/&gt;&lt;wsp:rsid wsp:val=&quot;00DC67C7&quot;/&gt;&lt;wsp:rsid wsp:val=&quot;00DC69E6&quot;/&gt;&lt;wsp:rsid wsp:val=&quot;00DC6EDE&quot;/&gt;&lt;wsp:rsid wsp:val=&quot;00DC6F21&quot;/&gt;&lt;wsp:rsid wsp:val=&quot;00DC741A&quot;/&gt;&lt;wsp:rsid wsp:val=&quot;00DC751E&quot;/&gt;&lt;wsp:rsid wsp:val=&quot;00DC7B73&quot;/&gt;&lt;wsp:rsid wsp:val=&quot;00DC7C4E&quot;/&gt;&lt;wsp:rsid wsp:val=&quot;00DC7E15&quot;/&gt;&lt;wsp:rsid wsp:val=&quot;00DC7E27&quot;/&gt;&lt;wsp:rsid wsp:val=&quot;00DD01DC&quot;/&gt;&lt;wsp:rsid wsp:val=&quot;00DD042E&quot;/&gt;&lt;wsp:rsid wsp:val=&quot;00DD0A18&quot;/&gt;&lt;wsp:rsid wsp:val=&quot;00DD0A2F&quot;/&gt;&lt;wsp:rsid wsp:val=&quot;00DD0B4F&quot;/&gt;&lt;wsp:rsid wsp:val=&quot;00DD0C8C&quot;/&gt;&lt;wsp:rsid wsp:val=&quot;00DD109B&quot;/&gt;&lt;wsp:rsid wsp:val=&quot;00DD16ED&quot;/&gt;&lt;wsp:rsid wsp:val=&quot;00DD17BD&quot;/&gt;&lt;wsp:rsid wsp:val=&quot;00DD1B72&quot;/&gt;&lt;wsp:rsid wsp:val=&quot;00DD1D1C&quot;/&gt;&lt;wsp:rsid wsp:val=&quot;00DD237A&quot;/&gt;&lt;wsp:rsid wsp:val=&quot;00DD397C&quot;/&gt;&lt;wsp:rsid wsp:val=&quot;00DD3CEA&quot;/&gt;&lt;wsp:rsid wsp:val=&quot;00DD4838&quot;/&gt;&lt;wsp:rsid wsp:val=&quot;00DD4C81&quot;/&gt;&lt;wsp:rsid wsp:val=&quot;00DD54F2&quot;/&gt;&lt;wsp:rsid wsp:val=&quot;00DD55B0&quot;/&gt;&lt;wsp:rsid wsp:val=&quot;00DD68AB&quot;/&gt;&lt;wsp:rsid wsp:val=&quot;00DD69F4&quot;/&gt;&lt;wsp:rsid wsp:val=&quot;00DD7431&quot;/&gt;&lt;wsp:rsid wsp:val=&quot;00DD760A&quot;/&gt;&lt;wsp:rsid wsp:val=&quot;00DD7A76&quot;/&gt;&lt;wsp:rsid wsp:val=&quot;00DD7BC2&quot;/&gt;&lt;wsp:rsid wsp:val=&quot;00DD7E50&quot;/&gt;&lt;wsp:rsid wsp:val=&quot;00DE032C&quot;/&gt;&lt;wsp:rsid wsp:val=&quot;00DE0474&quot;/&gt;&lt;wsp:rsid wsp:val=&quot;00DE0727&quot;/&gt;&lt;wsp:rsid wsp:val=&quot;00DE0A01&quot;/&gt;&lt;wsp:rsid wsp:val=&quot;00DE0F9E&quot;/&gt;&lt;wsp:rsid wsp:val=&quot;00DE0FA7&quot;/&gt;&lt;wsp:rsid wsp:val=&quot;00DE1511&quot;/&gt;&lt;wsp:rsid wsp:val=&quot;00DE1522&quot;/&gt;&lt;wsp:rsid wsp:val=&quot;00DE1AC8&quot;/&gt;&lt;wsp:rsid wsp:val=&quot;00DE1F3F&quot;/&gt;&lt;wsp:rsid wsp:val=&quot;00DE2077&quot;/&gt;&lt;wsp:rsid wsp:val=&quot;00DE257A&quot;/&gt;&lt;wsp:rsid wsp:val=&quot;00DE287C&quot;/&gt;&lt;wsp:rsid wsp:val=&quot;00DE31E6&quot;/&gt;&lt;wsp:rsid wsp:val=&quot;00DE3718&quot;/&gt;&lt;wsp:rsid wsp:val=&quot;00DE38C1&quot;/&gt;&lt;wsp:rsid wsp:val=&quot;00DE3990&quot;/&gt;&lt;wsp:rsid wsp:val=&quot;00DE3D4C&quot;/&gt;&lt;wsp:rsid wsp:val=&quot;00DE3F61&quot;/&gt;&lt;wsp:rsid wsp:val=&quot;00DE4264&quot;/&gt;&lt;wsp:rsid wsp:val=&quot;00DE473A&quot;/&gt;&lt;wsp:rsid wsp:val=&quot;00DE47DB&quot;/&gt;&lt;wsp:rsid wsp:val=&quot;00DE4B48&quot;/&gt;&lt;wsp:rsid wsp:val=&quot;00DE4BD2&quot;/&gt;&lt;wsp:rsid wsp:val=&quot;00DE4C60&quot;/&gt;&lt;wsp:rsid wsp:val=&quot;00DE4E7A&quot;/&gt;&lt;wsp:rsid wsp:val=&quot;00DE585A&quot;/&gt;&lt;wsp:rsid wsp:val=&quot;00DE6784&quot;/&gt;&lt;wsp:rsid wsp:val=&quot;00DE6861&quot;/&gt;&lt;wsp:rsid wsp:val=&quot;00DE6C98&quot;/&gt;&lt;wsp:rsid wsp:val=&quot;00DE6F68&quot;/&gt;&lt;wsp:rsid wsp:val=&quot;00DE7C17&quot;/&gt;&lt;wsp:rsid wsp:val=&quot;00DE7CE1&quot;/&gt;&lt;wsp:rsid wsp:val=&quot;00DF02B9&quot;/&gt;&lt;wsp:rsid wsp:val=&quot;00DF043D&quot;/&gt;&lt;wsp:rsid wsp:val=&quot;00DF04F9&quot;/&gt;&lt;wsp:rsid wsp:val=&quot;00DF05F2&quot;/&gt;&lt;wsp:rsid wsp:val=&quot;00DF0C83&quot;/&gt;&lt;wsp:rsid wsp:val=&quot;00DF122E&quot;/&gt;&lt;wsp:rsid wsp:val=&quot;00DF1835&quot;/&gt;&lt;wsp:rsid wsp:val=&quot;00DF1838&quot;/&gt;&lt;wsp:rsid wsp:val=&quot;00DF1BB2&quot;/&gt;&lt;wsp:rsid wsp:val=&quot;00DF1CC0&quot;/&gt;&lt;wsp:rsid wsp:val=&quot;00DF2033&quot;/&gt;&lt;wsp:rsid wsp:val=&quot;00DF22C7&quot;/&gt;&lt;wsp:rsid wsp:val=&quot;00DF2408&quot;/&gt;&lt;wsp:rsid wsp:val=&quot;00DF281A&quot;/&gt;&lt;wsp:rsid wsp:val=&quot;00DF2B2A&quot;/&gt;&lt;wsp:rsid wsp:val=&quot;00DF2B65&quot;/&gt;&lt;wsp:rsid wsp:val=&quot;00DF324D&quot;/&gt;&lt;wsp:rsid wsp:val=&quot;00DF34E6&quot;/&gt;&lt;wsp:rsid wsp:val=&quot;00DF3C68&quot;/&gt;&lt;wsp:rsid wsp:val=&quot;00DF4AAE&quot;/&gt;&lt;wsp:rsid wsp:val=&quot;00DF4BE1&quot;/&gt;&lt;wsp:rsid wsp:val=&quot;00DF4DC9&quot;/&gt;&lt;wsp:rsid wsp:val=&quot;00DF4E74&quot;/&gt;&lt;wsp:rsid wsp:val=&quot;00DF54DF&quot;/&gt;&lt;wsp:rsid wsp:val=&quot;00DF55D6&quot;/&gt;&lt;wsp:rsid wsp:val=&quot;00DF5623&quot;/&gt;&lt;wsp:rsid wsp:val=&quot;00DF5F78&quot;/&gt;&lt;wsp:rsid wsp:val=&quot;00DF5FC0&quot;/&gt;&lt;wsp:rsid wsp:val=&quot;00DF6021&quot;/&gt;&lt;wsp:rsid wsp:val=&quot;00DF6457&quot;/&gt;&lt;wsp:rsid wsp:val=&quot;00DF64F5&quot;/&gt;&lt;wsp:rsid wsp:val=&quot;00DF6B13&quot;/&gt;&lt;wsp:rsid wsp:val=&quot;00DF737B&quot;/&gt;&lt;wsp:rsid wsp:val=&quot;00DF7C16&quot;/&gt;&lt;wsp:rsid wsp:val=&quot;00E00185&quot;/&gt;&lt;wsp:rsid wsp:val=&quot;00E0093C&quot;/&gt;&lt;wsp:rsid wsp:val=&quot;00E01018&quot;/&gt;&lt;wsp:rsid wsp:val=&quot;00E01634&quot;/&gt;&lt;wsp:rsid wsp:val=&quot;00E01C55&quot;/&gt;&lt;wsp:rsid wsp:val=&quot;00E01D5B&quot;/&gt;&lt;wsp:rsid wsp:val=&quot;00E01DC2&quot;/&gt;&lt;wsp:rsid wsp:val=&quot;00E021CD&quot;/&gt;&lt;wsp:rsid wsp:val=&quot;00E02227&quot;/&gt;&lt;wsp:rsid wsp:val=&quot;00E027BD&quot;/&gt;&lt;wsp:rsid wsp:val=&quot;00E02C60&quot;/&gt;&lt;wsp:rsid wsp:val=&quot;00E02EF2&quot;/&gt;&lt;wsp:rsid wsp:val=&quot;00E02FCD&quot;/&gt;&lt;wsp:rsid wsp:val=&quot;00E03172&quot;/&gt;&lt;wsp:rsid wsp:val=&quot;00E0321A&quot;/&gt;&lt;wsp:rsid wsp:val=&quot;00E03563&quot;/&gt;&lt;wsp:rsid wsp:val=&quot;00E037E5&quot;/&gt;&lt;wsp:rsid wsp:val=&quot;00E0384A&quot;/&gt;&lt;wsp:rsid wsp:val=&quot;00E0397E&quot;/&gt;&lt;wsp:rsid wsp:val=&quot;00E03CB0&quot;/&gt;&lt;wsp:rsid wsp:val=&quot;00E043AD&quot;/&gt;&lt;wsp:rsid wsp:val=&quot;00E0468B&quot;/&gt;&lt;wsp:rsid wsp:val=&quot;00E04764&quot;/&gt;&lt;wsp:rsid wsp:val=&quot;00E04C8A&quot;/&gt;&lt;wsp:rsid wsp:val=&quot;00E0514D&quot;/&gt;&lt;wsp:rsid wsp:val=&quot;00E0525B&quot;/&gt;&lt;wsp:rsid wsp:val=&quot;00E0547E&quot;/&gt;&lt;wsp:rsid wsp:val=&quot;00E0548D&quot;/&gt;&lt;wsp:rsid wsp:val=&quot;00E0589C&quot;/&gt;&lt;wsp:rsid wsp:val=&quot;00E05B76&quot;/&gt;&lt;wsp:rsid wsp:val=&quot;00E05E36&quot;/&gt;&lt;wsp:rsid wsp:val=&quot;00E06078&quot;/&gt;&lt;wsp:rsid wsp:val=&quot;00E06183&quot;/&gt;&lt;wsp:rsid wsp:val=&quot;00E06199&quot;/&gt;&lt;wsp:rsid wsp:val=&quot;00E064A1&quot;/&gt;&lt;wsp:rsid wsp:val=&quot;00E064D5&quot;/&gt;&lt;wsp:rsid wsp:val=&quot;00E068E7&quot;/&gt;&lt;wsp:rsid wsp:val=&quot;00E06D23&quot;/&gt;&lt;wsp:rsid wsp:val=&quot;00E07323&quot;/&gt;&lt;wsp:rsid wsp:val=&quot;00E07CED&quot;/&gt;&lt;wsp:rsid wsp:val=&quot;00E10057&quot;/&gt;&lt;wsp:rsid wsp:val=&quot;00E1009B&quot;/&gt;&lt;wsp:rsid wsp:val=&quot;00E10270&quot;/&gt;&lt;wsp:rsid wsp:val=&quot;00E10421&quot;/&gt;&lt;wsp:rsid wsp:val=&quot;00E104FF&quot;/&gt;&lt;wsp:rsid wsp:val=&quot;00E10748&quot;/&gt;&lt;wsp:rsid wsp:val=&quot;00E10E90&quot;/&gt;&lt;wsp:rsid wsp:val=&quot;00E10F69&quot;/&gt;&lt;wsp:rsid wsp:val=&quot;00E1107E&quot;/&gt;&lt;wsp:rsid wsp:val=&quot;00E111E0&quot;/&gt;&lt;wsp:rsid wsp:val=&quot;00E11503&quot;/&gt;&lt;wsp:rsid wsp:val=&quot;00E1151C&quot;/&gt;&lt;wsp:rsid wsp:val=&quot;00E11848&quot;/&gt;&lt;wsp:rsid wsp:val=&quot;00E11B3A&quot;/&gt;&lt;wsp:rsid wsp:val=&quot;00E11E52&quot;/&gt;&lt;wsp:rsid wsp:val=&quot;00E11F1C&quot;/&gt;&lt;wsp:rsid wsp:val=&quot;00E123DD&quot;/&gt;&lt;wsp:rsid wsp:val=&quot;00E126D5&quot;/&gt;&lt;wsp:rsid wsp:val=&quot;00E12E70&quot;/&gt;&lt;wsp:rsid wsp:val=&quot;00E1397B&quot;/&gt;&lt;wsp:rsid wsp:val=&quot;00E13F67&quot;/&gt;&lt;wsp:rsid wsp:val=&quot;00E14087&quot;/&gt;&lt;wsp:rsid wsp:val=&quot;00E140B5&quot;/&gt;&lt;wsp:rsid wsp:val=&quot;00E1418D&quot;/&gt;&lt;wsp:rsid wsp:val=&quot;00E1423A&quot;/&gt;&lt;wsp:rsid wsp:val=&quot;00E1461B&quot;/&gt;&lt;wsp:rsid wsp:val=&quot;00E14BC2&quot;/&gt;&lt;wsp:rsid wsp:val=&quot;00E14C96&quot;/&gt;&lt;wsp:rsid wsp:val=&quot;00E1560A&quot;/&gt;&lt;wsp:rsid wsp:val=&quot;00E1567C&quot;/&gt;&lt;wsp:rsid wsp:val=&quot;00E15869&quot;/&gt;&lt;wsp:rsid wsp:val=&quot;00E1609B&quot;/&gt;&lt;wsp:rsid wsp:val=&quot;00E166C2&quot;/&gt;&lt;wsp:rsid wsp:val=&quot;00E1675A&quot;/&gt;&lt;wsp:rsid wsp:val=&quot;00E167F9&quot;/&gt;&lt;wsp:rsid wsp:val=&quot;00E168A2&quot;/&gt;&lt;wsp:rsid wsp:val=&quot;00E16ADA&quot;/&gt;&lt;wsp:rsid wsp:val=&quot;00E16E47&quot;/&gt;&lt;wsp:rsid wsp:val=&quot;00E2023E&quot;/&gt;&lt;wsp:rsid wsp:val=&quot;00E20289&quot;/&gt;&lt;wsp:rsid wsp:val=&quot;00E20441&quot;/&gt;&lt;wsp:rsid wsp:val=&quot;00E204BF&quot;/&gt;&lt;wsp:rsid wsp:val=&quot;00E20548&quot;/&gt;&lt;wsp:rsid wsp:val=&quot;00E20830&quot;/&gt;&lt;wsp:rsid wsp:val=&quot;00E20A15&quot;/&gt;&lt;wsp:rsid wsp:val=&quot;00E20A70&quot;/&gt;&lt;wsp:rsid wsp:val=&quot;00E20B01&quot;/&gt;&lt;wsp:rsid wsp:val=&quot;00E20E29&quot;/&gt;&lt;wsp:rsid wsp:val=&quot;00E212C2&quot;/&gt;&lt;wsp:rsid wsp:val=&quot;00E21687&quot;/&gt;&lt;wsp:rsid wsp:val=&quot;00E21A4E&quot;/&gt;&lt;wsp:rsid wsp:val=&quot;00E21CCC&quot;/&gt;&lt;wsp:rsid wsp:val=&quot;00E21F08&quot;/&gt;&lt;wsp:rsid wsp:val=&quot;00E22182&quot;/&gt;&lt;wsp:rsid wsp:val=&quot;00E221B8&quot;/&gt;&lt;wsp:rsid wsp:val=&quot;00E227E9&quot;/&gt;&lt;wsp:rsid wsp:val=&quot;00E2290E&quot;/&gt;&lt;wsp:rsid wsp:val=&quot;00E22C48&quot;/&gt;&lt;wsp:rsid wsp:val=&quot;00E22F19&quot;/&gt;&lt;wsp:rsid wsp:val=&quot;00E23299&quot;/&gt;&lt;wsp:rsid wsp:val=&quot;00E237B6&quot;/&gt;&lt;wsp:rsid wsp:val=&quot;00E238DE&quot;/&gt;&lt;wsp:rsid wsp:val=&quot;00E23CC0&quot;/&gt;&lt;wsp:rsid wsp:val=&quot;00E24A62&quot;/&gt;&lt;wsp:rsid wsp:val=&quot;00E24B9B&quot;/&gt;&lt;wsp:rsid wsp:val=&quot;00E24BEA&quot;/&gt;&lt;wsp:rsid wsp:val=&quot;00E24E54&quot;/&gt;&lt;wsp:rsid wsp:val=&quot;00E24EDA&quot;/&gt;&lt;wsp:rsid wsp:val=&quot;00E25072&quot;/&gt;&lt;wsp:rsid wsp:val=&quot;00E25593&quot;/&gt;&lt;wsp:rsid wsp:val=&quot;00E25888&quot;/&gt;&lt;wsp:rsid wsp:val=&quot;00E25E6C&quot;/&gt;&lt;wsp:rsid wsp:val=&quot;00E25E82&quot;/&gt;&lt;wsp:rsid wsp:val=&quot;00E25EB6&quot;/&gt;&lt;wsp:rsid wsp:val=&quot;00E25FFA&quot;/&gt;&lt;wsp:rsid wsp:val=&quot;00E26226&quot;/&gt;&lt;wsp:rsid wsp:val=&quot;00E264E6&quot;/&gt;&lt;wsp:rsid wsp:val=&quot;00E26C3F&quot;/&gt;&lt;wsp:rsid wsp:val=&quot;00E2702B&quot;/&gt;&lt;wsp:rsid wsp:val=&quot;00E271D3&quot;/&gt;&lt;wsp:rsid wsp:val=&quot;00E27479&quot;/&gt;&lt;wsp:rsid wsp:val=&quot;00E30596&quot;/&gt;&lt;wsp:rsid wsp:val=&quot;00E306C3&quot;/&gt;&lt;wsp:rsid wsp:val=&quot;00E307C6&quot;/&gt;&lt;wsp:rsid wsp:val=&quot;00E30AFB&quot;/&gt;&lt;wsp:rsid wsp:val=&quot;00E30BAF&quot;/&gt;&lt;wsp:rsid wsp:val=&quot;00E31856&quot;/&gt;&lt;wsp:rsid wsp:val=&quot;00E31C9C&quot;/&gt;&lt;wsp:rsid wsp:val=&quot;00E31F8E&quot;/&gt;&lt;wsp:rsid wsp:val=&quot;00E3221D&quot;/&gt;&lt;wsp:rsid wsp:val=&quot;00E326FD&quot;/&gt;&lt;wsp:rsid wsp:val=&quot;00E32CF9&quot;/&gt;&lt;wsp:rsid wsp:val=&quot;00E32FF4&quot;/&gt;&lt;wsp:rsid wsp:val=&quot;00E33143&quot;/&gt;&lt;wsp:rsid wsp:val=&quot;00E33356&quot;/&gt;&lt;wsp:rsid wsp:val=&quot;00E3397C&quot;/&gt;&lt;wsp:rsid wsp:val=&quot;00E33D42&quot;/&gt;&lt;wsp:rsid wsp:val=&quot;00E343CE&quot;/&gt;&lt;wsp:rsid wsp:val=&quot;00E344DA&quot;/&gt;&lt;wsp:rsid wsp:val=&quot;00E3491A&quot;/&gt;&lt;wsp:rsid wsp:val=&quot;00E349B8&quot;/&gt;&lt;wsp:rsid wsp:val=&quot;00E34CA7&quot;/&gt;&lt;wsp:rsid wsp:val=&quot;00E352F7&quot;/&gt;&lt;wsp:rsid wsp:val=&quot;00E353D9&quot;/&gt;&lt;wsp:rsid wsp:val=&quot;00E35D66&quot;/&gt;&lt;wsp:rsid wsp:val=&quot;00E35E4B&quot;/&gt;&lt;wsp:rsid wsp:val=&quot;00E360FF&quot;/&gt;&lt;wsp:rsid wsp:val=&quot;00E3611C&quot;/&gt;&lt;wsp:rsid wsp:val=&quot;00E36230&quot;/&gt;&lt;wsp:rsid wsp:val=&quot;00E3631E&quot;/&gt;&lt;wsp:rsid wsp:val=&quot;00E368E4&quot;/&gt;&lt;wsp:rsid wsp:val=&quot;00E36976&quot;/&gt;&lt;wsp:rsid wsp:val=&quot;00E36BAA&quot;/&gt;&lt;wsp:rsid wsp:val=&quot;00E36CFB&quot;/&gt;&lt;wsp:rsid wsp:val=&quot;00E36D5C&quot;/&gt;&lt;wsp:rsid wsp:val=&quot;00E3715C&quot;/&gt;&lt;wsp:rsid wsp:val=&quot;00E37189&quot;/&gt;&lt;wsp:rsid wsp:val=&quot;00E371DE&quot;/&gt;&lt;wsp:rsid wsp:val=&quot;00E375F3&quot;/&gt;&lt;wsp:rsid wsp:val=&quot;00E376AB&quot;/&gt;&lt;wsp:rsid wsp:val=&quot;00E379D1&quot;/&gt;&lt;wsp:rsid wsp:val=&quot;00E37EC0&quot;/&gt;&lt;wsp:rsid wsp:val=&quot;00E408A8&quot;/&gt;&lt;wsp:rsid wsp:val=&quot;00E40E8C&quot;/&gt;&lt;wsp:rsid wsp:val=&quot;00E41B1C&quot;/&gt;&lt;wsp:rsid wsp:val=&quot;00E41C61&quot;/&gt;&lt;wsp:rsid wsp:val=&quot;00E41C86&quot;/&gt;&lt;wsp:rsid wsp:val=&quot;00E42244&quot;/&gt;&lt;wsp:rsid wsp:val=&quot;00E4230D&quot;/&gt;&lt;wsp:rsid wsp:val=&quot;00E42425&quot;/&gt;&lt;wsp:rsid wsp:val=&quot;00E4251A&quot;/&gt;&lt;wsp:rsid wsp:val=&quot;00E42B3F&quot;/&gt;&lt;wsp:rsid wsp:val=&quot;00E42F92&quot;/&gt;&lt;wsp:rsid wsp:val=&quot;00E4306E&quot;/&gt;&lt;wsp:rsid wsp:val=&quot;00E43143&quot;/&gt;&lt;wsp:rsid wsp:val=&quot;00E4319B&quot;/&gt;&lt;wsp:rsid wsp:val=&quot;00E431C0&quot;/&gt;&lt;wsp:rsid wsp:val=&quot;00E435DB&quot;/&gt;&lt;wsp:rsid wsp:val=&quot;00E438F3&quot;/&gt;&lt;wsp:rsid wsp:val=&quot;00E43E10&quot;/&gt;&lt;wsp:rsid wsp:val=&quot;00E44403&quot;/&gt;&lt;wsp:rsid wsp:val=&quot;00E4459E&quot;/&gt;&lt;wsp:rsid wsp:val=&quot;00E44B2F&quot;/&gt;&lt;wsp:rsid wsp:val=&quot;00E44BB0&quot;/&gt;&lt;wsp:rsid wsp:val=&quot;00E44BD4&quot;/&gt;&lt;wsp:rsid wsp:val=&quot;00E44E92&quot;/&gt;&lt;wsp:rsid wsp:val=&quot;00E44F03&quot;/&gt;&lt;wsp:rsid wsp:val=&quot;00E4550C&quot;/&gt;&lt;wsp:rsid wsp:val=&quot;00E455FF&quot;/&gt;&lt;wsp:rsid wsp:val=&quot;00E45677&quot;/&gt;&lt;wsp:rsid wsp:val=&quot;00E4598D&quot;/&gt;&lt;wsp:rsid wsp:val=&quot;00E45A35&quot;/&gt;&lt;wsp:rsid wsp:val=&quot;00E45E51&quot;/&gt;&lt;wsp:rsid wsp:val=&quot;00E46055&quot;/&gt;&lt;wsp:rsid wsp:val=&quot;00E46079&quot;/&gt;&lt;wsp:rsid wsp:val=&quot;00E46636&quot;/&gt;&lt;wsp:rsid wsp:val=&quot;00E467B0&quot;/&gt;&lt;wsp:rsid wsp:val=&quot;00E46983&quot;/&gt;&lt;wsp:rsid wsp:val=&quot;00E47160&quot;/&gt;&lt;wsp:rsid wsp:val=&quot;00E47596&quot;/&gt;&lt;wsp:rsid wsp:val=&quot;00E4778B&quot;/&gt;&lt;wsp:rsid wsp:val=&quot;00E47A0A&quot;/&gt;&lt;wsp:rsid wsp:val=&quot;00E5045D&quot;/&gt;&lt;wsp:rsid wsp:val=&quot;00E5056B&quot;/&gt;&lt;wsp:rsid wsp:val=&quot;00E50844&quot;/&gt;&lt;wsp:rsid wsp:val=&quot;00E50CB4&quot;/&gt;&lt;wsp:rsid wsp:val=&quot;00E50F14&quot;/&gt;&lt;wsp:rsid wsp:val=&quot;00E5122B&quot;/&gt;&lt;wsp:rsid wsp:val=&quot;00E5129B&quot;/&gt;&lt;wsp:rsid wsp:val=&quot;00E513EC&quot;/&gt;&lt;wsp:rsid wsp:val=&quot;00E51579&quot;/&gt;&lt;wsp:rsid wsp:val=&quot;00E51952&quot;/&gt;&lt;wsp:rsid wsp:val=&quot;00E51B97&quot;/&gt;&lt;wsp:rsid wsp:val=&quot;00E51E7C&quot;/&gt;&lt;wsp:rsid wsp:val=&quot;00E51FD7&quot;/&gt;&lt;wsp:rsid wsp:val=&quot;00E5213D&quot;/&gt;&lt;wsp:rsid wsp:val=&quot;00E5219B&quot;/&gt;&lt;wsp:rsid wsp:val=&quot;00E521BE&quot;/&gt;&lt;wsp:rsid wsp:val=&quot;00E52552&quot;/&gt;&lt;wsp:rsid wsp:val=&quot;00E52B77&quot;/&gt;&lt;wsp:rsid wsp:val=&quot;00E52F14&quot;/&gt;&lt;wsp:rsid wsp:val=&quot;00E5310C&quot;/&gt;&lt;wsp:rsid wsp:val=&quot;00E53438&quot;/&gt;&lt;wsp:rsid wsp:val=&quot;00E54149&quot;/&gt;&lt;wsp:rsid wsp:val=&quot;00E546C4&quot;/&gt;&lt;wsp:rsid wsp:val=&quot;00E548E2&quot;/&gt;&lt;wsp:rsid wsp:val=&quot;00E54DE3&quot;/&gt;&lt;wsp:rsid wsp:val=&quot;00E54F4D&quot;/&gt;&lt;wsp:rsid wsp:val=&quot;00E55287&quot;/&gt;&lt;wsp:rsid wsp:val=&quot;00E55299&quot;/&gt;&lt;wsp:rsid wsp:val=&quot;00E55714&quot;/&gt;&lt;wsp:rsid wsp:val=&quot;00E55985&quot;/&gt;&lt;wsp:rsid wsp:val=&quot;00E55B0C&quot;/&gt;&lt;wsp:rsid wsp:val=&quot;00E55F2F&quot;/&gt;&lt;wsp:rsid wsp:val=&quot;00E560A8&quot;/&gt;&lt;wsp:rsid wsp:val=&quot;00E56390&quot;/&gt;&lt;wsp:rsid wsp:val=&quot;00E56D0D&quot;/&gt;&lt;wsp:rsid wsp:val=&quot;00E572E9&quot;/&gt;&lt;wsp:rsid wsp:val=&quot;00E574AC&quot;/&gt;&lt;wsp:rsid wsp:val=&quot;00E57956&quot;/&gt;&lt;wsp:rsid wsp:val=&quot;00E57C5D&quot;/&gt;&lt;wsp:rsid wsp:val=&quot;00E6016A&quot;/&gt;&lt;wsp:rsid wsp:val=&quot;00E605E6&quot;/&gt;&lt;wsp:rsid wsp:val=&quot;00E60873&quot;/&gt;&lt;wsp:rsid wsp:val=&quot;00E6090C&quot;/&gt;&lt;wsp:rsid wsp:val=&quot;00E609AB&quot;/&gt;&lt;wsp:rsid wsp:val=&quot;00E60BB3&quot;/&gt;&lt;wsp:rsid wsp:val=&quot;00E6105C&quot;/&gt;&lt;wsp:rsid wsp:val=&quot;00E61077&quot;/&gt;&lt;wsp:rsid wsp:val=&quot;00E6123A&quot;/&gt;&lt;wsp:rsid wsp:val=&quot;00E6126C&quot;/&gt;&lt;wsp:rsid wsp:val=&quot;00E614BD&quot;/&gt;&lt;wsp:rsid wsp:val=&quot;00E61CE1&quot;/&gt;&lt;wsp:rsid wsp:val=&quot;00E61EF0&quot;/&gt;&lt;wsp:rsid wsp:val=&quot;00E61F27&quot;/&gt;&lt;wsp:rsid wsp:val=&quot;00E624E9&quot;/&gt;&lt;wsp:rsid wsp:val=&quot;00E6252C&quot;/&gt;&lt;wsp:rsid wsp:val=&quot;00E62570&quot;/&gt;&lt;wsp:rsid wsp:val=&quot;00E629E2&quot;/&gt;&lt;wsp:rsid wsp:val=&quot;00E63481&quot;/&gt;&lt;wsp:rsid wsp:val=&quot;00E63590&quot;/&gt;&lt;wsp:rsid wsp:val=&quot;00E63907&quot;/&gt;&lt;wsp:rsid wsp:val=&quot;00E63A14&quot;/&gt;&lt;wsp:rsid wsp:val=&quot;00E63A34&quot;/&gt;&lt;wsp:rsid wsp:val=&quot;00E63B2E&quot;/&gt;&lt;wsp:rsid wsp:val=&quot;00E646AD&quot;/&gt;&lt;wsp:rsid wsp:val=&quot;00E6471A&quot;/&gt;&lt;wsp:rsid wsp:val=&quot;00E64A13&quot;/&gt;&lt;wsp:rsid wsp:val=&quot;00E64A84&quot;/&gt;&lt;wsp:rsid wsp:val=&quot;00E64B4F&quot;/&gt;&lt;wsp:rsid wsp:val=&quot;00E64D9B&quot;/&gt;&lt;wsp:rsid wsp:val=&quot;00E64F93&quot;/&gt;&lt;wsp:rsid wsp:val=&quot;00E651D6&quot;/&gt;&lt;wsp:rsid wsp:val=&quot;00E654FC&quot;/&gt;&lt;wsp:rsid wsp:val=&quot;00E65612&quot;/&gt;&lt;wsp:rsid wsp:val=&quot;00E65743&quot;/&gt;&lt;wsp:rsid wsp:val=&quot;00E6581C&quot;/&gt;&lt;wsp:rsid wsp:val=&quot;00E65BBB&quot;/&gt;&lt;wsp:rsid wsp:val=&quot;00E65C3D&quot;/&gt;&lt;wsp:rsid wsp:val=&quot;00E6616C&quot;/&gt;&lt;wsp:rsid wsp:val=&quot;00E6643A&quot;/&gt;&lt;wsp:rsid wsp:val=&quot;00E66695&quot;/&gt;&lt;wsp:rsid wsp:val=&quot;00E66A8E&quot;/&gt;&lt;wsp:rsid wsp:val=&quot;00E66B7D&quot;/&gt;&lt;wsp:rsid wsp:val=&quot;00E66D4C&quot;/&gt;&lt;wsp:rsid wsp:val=&quot;00E66D4D&quot;/&gt;&lt;wsp:rsid wsp:val=&quot;00E66E8A&quot;/&gt;&lt;wsp:rsid wsp:val=&quot;00E6750E&quot;/&gt;&lt;wsp:rsid wsp:val=&quot;00E6759D&quot;/&gt;&lt;wsp:rsid wsp:val=&quot;00E6772B&quot;/&gt;&lt;wsp:rsid wsp:val=&quot;00E678F9&quot;/&gt;&lt;wsp:rsid wsp:val=&quot;00E67B4B&quot;/&gt;&lt;wsp:rsid wsp:val=&quot;00E7000C&quot;/&gt;&lt;wsp:rsid wsp:val=&quot;00E706FA&quot;/&gt;&lt;wsp:rsid wsp:val=&quot;00E707F8&quot;/&gt;&lt;wsp:rsid wsp:val=&quot;00E713E0&quot;/&gt;&lt;wsp:rsid wsp:val=&quot;00E7152F&quot;/&gt;&lt;wsp:rsid wsp:val=&quot;00E71D13&quot;/&gt;&lt;wsp:rsid wsp:val=&quot;00E71EA7&quot;/&gt;&lt;wsp:rsid wsp:val=&quot;00E7208C&quot;/&gt;&lt;wsp:rsid wsp:val=&quot;00E721CE&quot;/&gt;&lt;wsp:rsid wsp:val=&quot;00E7293A&quot;/&gt;&lt;wsp:rsid wsp:val=&quot;00E72DDA&quot;/&gt;&lt;wsp:rsid wsp:val=&quot;00E72F61&quot;/&gt;&lt;wsp:rsid wsp:val=&quot;00E73885&quot;/&gt;&lt;wsp:rsid wsp:val=&quot;00E73CA7&quot;/&gt;&lt;wsp:rsid wsp:val=&quot;00E742D9&quot;/&gt;&lt;wsp:rsid wsp:val=&quot;00E74854&quot;/&gt;&lt;wsp:rsid wsp:val=&quot;00E748FD&quot;/&gt;&lt;wsp:rsid wsp:val=&quot;00E74DF5&quot;/&gt;&lt;wsp:rsid wsp:val=&quot;00E74ECB&quot;/&gt;&lt;wsp:rsid wsp:val=&quot;00E75347&quot;/&gt;&lt;wsp:rsid wsp:val=&quot;00E75766&quot;/&gt;&lt;wsp:rsid wsp:val=&quot;00E75AF9&quot;/&gt;&lt;wsp:rsid wsp:val=&quot;00E75B4C&quot;/&gt;&lt;wsp:rsid wsp:val=&quot;00E75BC5&quot;/&gt;&lt;wsp:rsid wsp:val=&quot;00E75C95&quot;/&gt;&lt;wsp:rsid wsp:val=&quot;00E76086&quot;/&gt;&lt;wsp:rsid wsp:val=&quot;00E763C9&quot;/&gt;&lt;wsp:rsid wsp:val=&quot;00E76AB5&quot;/&gt;&lt;wsp:rsid wsp:val=&quot;00E76BB2&quot;/&gt;&lt;wsp:rsid wsp:val=&quot;00E76E06&quot;/&gt;&lt;wsp:rsid wsp:val=&quot;00E775A5&quot;/&gt;&lt;wsp:rsid wsp:val=&quot;00E77BBA&quot;/&gt;&lt;wsp:rsid wsp:val=&quot;00E77D22&quot;/&gt;&lt;wsp:rsid wsp:val=&quot;00E77F4D&quot;/&gt;&lt;wsp:rsid wsp:val=&quot;00E8009A&quot;/&gt;&lt;wsp:rsid wsp:val=&quot;00E8096C&quot;/&gt;&lt;wsp:rsid wsp:val=&quot;00E814AB&quot;/&gt;&lt;wsp:rsid wsp:val=&quot;00E81E23&quot;/&gt;&lt;wsp:rsid wsp:val=&quot;00E81EE8&quot;/&gt;&lt;wsp:rsid wsp:val=&quot;00E821AE&quot;/&gt;&lt;wsp:rsid wsp:val=&quot;00E82D72&quot;/&gt;&lt;wsp:rsid wsp:val=&quot;00E832EF&quot;/&gt;&lt;wsp:rsid wsp:val=&quot;00E8379A&quot;/&gt;&lt;wsp:rsid wsp:val=&quot;00E83D45&quot;/&gt;&lt;wsp:rsid wsp:val=&quot;00E842A7&quot;/&gt;&lt;wsp:rsid wsp:val=&quot;00E84ACA&quot;/&gt;&lt;wsp:rsid wsp:val=&quot;00E84CA0&quot;/&gt;&lt;wsp:rsid wsp:val=&quot;00E84CA5&quot;/&gt;&lt;wsp:rsid wsp:val=&quot;00E851D6&quot;/&gt;&lt;wsp:rsid wsp:val=&quot;00E85474&quot;/&gt;&lt;wsp:rsid wsp:val=&quot;00E857D7&quot;/&gt;&lt;wsp:rsid wsp:val=&quot;00E85B41&quot;/&gt;&lt;wsp:rsid wsp:val=&quot;00E85F55&quot;/&gt;&lt;wsp:rsid wsp:val=&quot;00E85FC7&quot;/&gt;&lt;wsp:rsid wsp:val=&quot;00E86086&quot;/&gt;&lt;wsp:rsid wsp:val=&quot;00E86E29&quot;/&gt;&lt;wsp:rsid wsp:val=&quot;00E8751B&quot;/&gt;&lt;wsp:rsid wsp:val=&quot;00E87611&quot;/&gt;&lt;wsp:rsid wsp:val=&quot;00E87F79&quot;/&gt;&lt;wsp:rsid wsp:val=&quot;00E904CE&quot;/&gt;&lt;wsp:rsid wsp:val=&quot;00E90538&quot;/&gt;&lt;wsp:rsid wsp:val=&quot;00E90753&quot;/&gt;&lt;wsp:rsid wsp:val=&quot;00E91093&quot;/&gt;&lt;wsp:rsid wsp:val=&quot;00E910EC&quot;/&gt;&lt;wsp:rsid wsp:val=&quot;00E91341&quot;/&gt;&lt;wsp:rsid wsp:val=&quot;00E91899&quot;/&gt;&lt;wsp:rsid wsp:val=&quot;00E9205E&quot;/&gt;&lt;wsp:rsid wsp:val=&quot;00E921A2&quot;/&gt;&lt;wsp:rsid wsp:val=&quot;00E924FF&quot;/&gt;&lt;wsp:rsid wsp:val=&quot;00E932F1&quot;/&gt;&lt;wsp:rsid wsp:val=&quot;00E939CA&quot;/&gt;&lt;wsp:rsid wsp:val=&quot;00E93C91&quot;/&gt;&lt;wsp:rsid wsp:val=&quot;00E93F4B&quot;/&gt;&lt;wsp:rsid wsp:val=&quot;00E941EC&quot;/&gt;&lt;wsp:rsid wsp:val=&quot;00E94910&quot;/&gt;&lt;wsp:rsid wsp:val=&quot;00E94B53&quot;/&gt;&lt;wsp:rsid wsp:val=&quot;00E94DCE&quot;/&gt;&lt;wsp:rsid wsp:val=&quot;00E94DFA&quot;/&gt;&lt;wsp:rsid wsp:val=&quot;00E94E86&quot;/&gt;&lt;wsp:rsid wsp:val=&quot;00E9518C&quot;/&gt;&lt;wsp:rsid wsp:val=&quot;00E951C0&quot;/&gt;&lt;wsp:rsid wsp:val=&quot;00E952A0&quot;/&gt;&lt;wsp:rsid wsp:val=&quot;00E95571&quot;/&gt;&lt;wsp:rsid wsp:val=&quot;00E955EA&quot;/&gt;&lt;wsp:rsid wsp:val=&quot;00E960BD&quot;/&gt;&lt;wsp:rsid wsp:val=&quot;00E964D1&quot;/&gt;&lt;wsp:rsid wsp:val=&quot;00E96552&quot;/&gt;&lt;wsp:rsid wsp:val=&quot;00E96B7A&quot;/&gt;&lt;wsp:rsid wsp:val=&quot;00E96F4E&quot;/&gt;&lt;wsp:rsid wsp:val=&quot;00E97B42&quot;/&gt;&lt;wsp:rsid wsp:val=&quot;00E97EB7&quot;/&gt;&lt;wsp:rsid wsp:val=&quot;00EA008A&quot;/&gt;&lt;wsp:rsid wsp:val=&quot;00EA0622&quot;/&gt;&lt;wsp:rsid wsp:val=&quot;00EA0A20&quot;/&gt;&lt;wsp:rsid wsp:val=&quot;00EA0A62&quot;/&gt;&lt;wsp:rsid wsp:val=&quot;00EA0A7C&quot;/&gt;&lt;wsp:rsid wsp:val=&quot;00EA0C0E&quot;/&gt;&lt;wsp:rsid wsp:val=&quot;00EA0FB2&quot;/&gt;&lt;wsp:rsid wsp:val=&quot;00EA11C8&quot;/&gt;&lt;wsp:rsid wsp:val=&quot;00EA1508&quot;/&gt;&lt;wsp:rsid wsp:val=&quot;00EA16F8&quot;/&gt;&lt;wsp:rsid wsp:val=&quot;00EA1920&quot;/&gt;&lt;wsp:rsid wsp:val=&quot;00EA1B80&quot;/&gt;&lt;wsp:rsid wsp:val=&quot;00EA1CCE&quot;/&gt;&lt;wsp:rsid wsp:val=&quot;00EA1D6D&quot;/&gt;&lt;wsp:rsid wsp:val=&quot;00EA1DB9&quot;/&gt;&lt;wsp:rsid wsp:val=&quot;00EA2EED&quot;/&gt;&lt;wsp:rsid wsp:val=&quot;00EA3084&quot;/&gt;&lt;wsp:rsid wsp:val=&quot;00EA3C9C&quot;/&gt;&lt;wsp:rsid wsp:val=&quot;00EA3EAD&quot;/&gt;&lt;wsp:rsid wsp:val=&quot;00EA3ECD&quot;/&gt;&lt;wsp:rsid wsp:val=&quot;00EA46CB&quot;/&gt;&lt;wsp:rsid wsp:val=&quot;00EA4758&quot;/&gt;&lt;wsp:rsid wsp:val=&quot;00EA47F2&quot;/&gt;&lt;wsp:rsid wsp:val=&quot;00EA4A67&quot;/&gt;&lt;wsp:rsid wsp:val=&quot;00EA4D1B&quot;/&gt;&lt;wsp:rsid wsp:val=&quot;00EA4F72&quot;/&gt;&lt;wsp:rsid wsp:val=&quot;00EA53C1&quot;/&gt;&lt;wsp:rsid wsp:val=&quot;00EA57CD&quot;/&gt;&lt;wsp:rsid wsp:val=&quot;00EA5AB4&quot;/&gt;&lt;wsp:rsid wsp:val=&quot;00EA5B0F&quot;/&gt;&lt;wsp:rsid wsp:val=&quot;00EA6801&quot;/&gt;&lt;wsp:rsid wsp:val=&quot;00EA682A&quot;/&gt;&lt;wsp:rsid wsp:val=&quot;00EA72CD&quot;/&gt;&lt;wsp:rsid wsp:val=&quot;00EA740E&quot;/&gt;&lt;wsp:rsid wsp:val=&quot;00EA7C1D&quot;/&gt;&lt;wsp:rsid wsp:val=&quot;00EA7E2B&quot;/&gt;&lt;wsp:rsid wsp:val=&quot;00EB0220&quot;/&gt;&lt;wsp:rsid wsp:val=&quot;00EB03FF&quot;/&gt;&lt;wsp:rsid wsp:val=&quot;00EB048D&quot;/&gt;&lt;wsp:rsid wsp:val=&quot;00EB051C&quot;/&gt;&lt;wsp:rsid wsp:val=&quot;00EB13F2&quot;/&gt;&lt;wsp:rsid wsp:val=&quot;00EB1444&quot;/&gt;&lt;wsp:rsid wsp:val=&quot;00EB1A6B&quot;/&gt;&lt;wsp:rsid wsp:val=&quot;00EB2F23&quot;/&gt;&lt;wsp:rsid wsp:val=&quot;00EB3208&quot;/&gt;&lt;wsp:rsid wsp:val=&quot;00EB3D15&quot;/&gt;&lt;wsp:rsid wsp:val=&quot;00EB3D97&quot;/&gt;&lt;wsp:rsid wsp:val=&quot;00EB42BA&quot;/&gt;&lt;wsp:rsid wsp:val=&quot;00EB434F&quot;/&gt;&lt;wsp:rsid wsp:val=&quot;00EB43DE&quot;/&gt;&lt;wsp:rsid wsp:val=&quot;00EB46C9&quot;/&gt;&lt;wsp:rsid wsp:val=&quot;00EB55FB&quot;/&gt;&lt;wsp:rsid wsp:val=&quot;00EB5B27&quot;/&gt;&lt;wsp:rsid wsp:val=&quot;00EB5CD1&quot;/&gt;&lt;wsp:rsid wsp:val=&quot;00EB5EE6&quot;/&gt;&lt;wsp:rsid wsp:val=&quot;00EB6FD3&quot;/&gt;&lt;wsp:rsid wsp:val=&quot;00EB7AC5&quot;/&gt;&lt;wsp:rsid wsp:val=&quot;00EC03A0&quot;/&gt;&lt;wsp:rsid wsp:val=&quot;00EC042C&quot;/&gt;&lt;wsp:rsid wsp:val=&quot;00EC05FB&quot;/&gt;&lt;wsp:rsid wsp:val=&quot;00EC09D2&quot;/&gt;&lt;wsp:rsid wsp:val=&quot;00EC0BB0&quot;/&gt;&lt;wsp:rsid wsp:val=&quot;00EC0D7E&quot;/&gt;&lt;wsp:rsid wsp:val=&quot;00EC0F4A&quot;/&gt;&lt;wsp:rsid wsp:val=&quot;00EC166D&quot;/&gt;&lt;wsp:rsid wsp:val=&quot;00EC1C8B&quot;/&gt;&lt;wsp:rsid wsp:val=&quot;00EC2080&quot;/&gt;&lt;wsp:rsid wsp:val=&quot;00EC209C&quot;/&gt;&lt;wsp:rsid wsp:val=&quot;00EC20D6&quot;/&gt;&lt;wsp:rsid wsp:val=&quot;00EC226E&quot;/&gt;&lt;wsp:rsid wsp:val=&quot;00EC2273&quot;/&gt;&lt;wsp:rsid wsp:val=&quot;00EC24D4&quot;/&gt;&lt;wsp:rsid wsp:val=&quot;00EC254D&quot;/&gt;&lt;wsp:rsid wsp:val=&quot;00EC25D1&quot;/&gt;&lt;wsp:rsid wsp:val=&quot;00EC26F3&quot;/&gt;&lt;wsp:rsid wsp:val=&quot;00EC28C1&quot;/&gt;&lt;wsp:rsid wsp:val=&quot;00EC2B08&quot;/&gt;&lt;wsp:rsid wsp:val=&quot;00EC2B9B&quot;/&gt;&lt;wsp:rsid wsp:val=&quot;00EC2D59&quot;/&gt;&lt;wsp:rsid wsp:val=&quot;00EC2FC8&quot;/&gt;&lt;wsp:rsid wsp:val=&quot;00EC2FF7&quot;/&gt;&lt;wsp:rsid wsp:val=&quot;00EC35E1&quot;/&gt;&lt;wsp:rsid wsp:val=&quot;00EC3CA8&quot;/&gt;&lt;wsp:rsid wsp:val=&quot;00EC3CC4&quot;/&gt;&lt;wsp:rsid wsp:val=&quot;00EC3EC4&quot;/&gt;&lt;wsp:rsid wsp:val=&quot;00EC41DD&quot;/&gt;&lt;wsp:rsid wsp:val=&quot;00EC4332&quot;/&gt;&lt;wsp:rsid wsp:val=&quot;00EC43A5&quot;/&gt;&lt;wsp:rsid wsp:val=&quot;00EC43C6&quot;/&gt;&lt;wsp:rsid wsp:val=&quot;00EC453F&quot;/&gt;&lt;wsp:rsid wsp:val=&quot;00EC4945&quot;/&gt;&lt;wsp:rsid wsp:val=&quot;00EC4BB0&quot;/&gt;&lt;wsp:rsid wsp:val=&quot;00EC4C52&quot;/&gt;&lt;wsp:rsid wsp:val=&quot;00EC4D27&quot;/&gt;&lt;wsp:rsid wsp:val=&quot;00EC4F43&quot;/&gt;&lt;wsp:rsid wsp:val=&quot;00EC5044&quot;/&gt;&lt;wsp:rsid wsp:val=&quot;00EC5293&quot;/&gt;&lt;wsp:rsid wsp:val=&quot;00EC52D4&quot;/&gt;&lt;wsp:rsid wsp:val=&quot;00EC53D6&quot;/&gt;&lt;wsp:rsid wsp:val=&quot;00EC5570&quot;/&gt;&lt;wsp:rsid wsp:val=&quot;00EC5578&quot;/&gt;&lt;wsp:rsid wsp:val=&quot;00EC56B2&quot;/&gt;&lt;wsp:rsid wsp:val=&quot;00EC61BB&quot;/&gt;&lt;wsp:rsid wsp:val=&quot;00EC63AA&quot;/&gt;&lt;wsp:rsid wsp:val=&quot;00EC6858&quot;/&gt;&lt;wsp:rsid wsp:val=&quot;00EC7E56&quot;/&gt;&lt;wsp:rsid wsp:val=&quot;00ED047E&quot;/&gt;&lt;wsp:rsid wsp:val=&quot;00ED0561&quot;/&gt;&lt;wsp:rsid wsp:val=&quot;00ED0BA1&quot;/&gt;&lt;wsp:rsid wsp:val=&quot;00ED0BD8&quot;/&gt;&lt;wsp:rsid wsp:val=&quot;00ED1468&quot;/&gt;&lt;wsp:rsid wsp:val=&quot;00ED166F&quot;/&gt;&lt;wsp:rsid wsp:val=&quot;00ED17B3&quot;/&gt;&lt;wsp:rsid wsp:val=&quot;00ED1C2A&quot;/&gt;&lt;wsp:rsid wsp:val=&quot;00ED21DA&quot;/&gt;&lt;wsp:rsid wsp:val=&quot;00ED2269&quot;/&gt;&lt;wsp:rsid wsp:val=&quot;00ED2590&quot;/&gt;&lt;wsp:rsid wsp:val=&quot;00ED2734&quot;/&gt;&lt;wsp:rsid wsp:val=&quot;00ED2921&quot;/&gt;&lt;wsp:rsid wsp:val=&quot;00ED3167&quot;/&gt;&lt;wsp:rsid wsp:val=&quot;00ED35D4&quot;/&gt;&lt;wsp:rsid wsp:val=&quot;00ED3625&quot;/&gt;&lt;wsp:rsid wsp:val=&quot;00ED3641&quot;/&gt;&lt;wsp:rsid wsp:val=&quot;00ED3669&quot;/&gt;&lt;wsp:rsid wsp:val=&quot;00ED3815&quot;/&gt;&lt;wsp:rsid wsp:val=&quot;00ED3855&quot;/&gt;&lt;wsp:rsid wsp:val=&quot;00ED3DD5&quot;/&gt;&lt;wsp:rsid wsp:val=&quot;00ED4170&quot;/&gt;&lt;wsp:rsid wsp:val=&quot;00ED4A85&quot;/&gt;&lt;wsp:rsid wsp:val=&quot;00ED4C0F&quot;/&gt;&lt;wsp:rsid wsp:val=&quot;00ED4DF4&quot;/&gt;&lt;wsp:rsid wsp:val=&quot;00ED51D0&quot;/&gt;&lt;wsp:rsid wsp:val=&quot;00ED52CD&quot;/&gt;&lt;wsp:rsid wsp:val=&quot;00ED6325&quot;/&gt;&lt;wsp:rsid wsp:val=&quot;00ED6DD9&quot;/&gt;&lt;wsp:rsid wsp:val=&quot;00ED6DFA&quot;/&gt;&lt;wsp:rsid wsp:val=&quot;00ED7202&quot;/&gt;&lt;wsp:rsid wsp:val=&quot;00ED7278&quot;/&gt;&lt;wsp:rsid wsp:val=&quot;00ED77C7&quot;/&gt;&lt;wsp:rsid wsp:val=&quot;00ED79A5&quot;/&gt;&lt;wsp:rsid wsp:val=&quot;00ED79B9&quot;/&gt;&lt;wsp:rsid wsp:val=&quot;00ED7CE8&quot;/&gt;&lt;wsp:rsid wsp:val=&quot;00EE0012&quot;/&gt;&lt;wsp:rsid wsp:val=&quot;00EE0289&quot;/&gt;&lt;wsp:rsid wsp:val=&quot;00EE0771&quot;/&gt;&lt;wsp:rsid wsp:val=&quot;00EE0B99&quot;/&gt;&lt;wsp:rsid wsp:val=&quot;00EE1305&quot;/&gt;&lt;wsp:rsid wsp:val=&quot;00EE1534&quot;/&gt;&lt;wsp:rsid wsp:val=&quot;00EE170F&quot;/&gt;&lt;wsp:rsid wsp:val=&quot;00EE22B5&quot;/&gt;&lt;wsp:rsid wsp:val=&quot;00EE2F95&quot;/&gt;&lt;wsp:rsid wsp:val=&quot;00EE42B5&quot;/&gt;&lt;wsp:rsid wsp:val=&quot;00EE4B84&quot;/&gt;&lt;wsp:rsid wsp:val=&quot;00EE5377&quot;/&gt;&lt;wsp:rsid wsp:val=&quot;00EE54C8&quot;/&gt;&lt;wsp:rsid wsp:val=&quot;00EE560E&quot;/&gt;&lt;wsp:rsid wsp:val=&quot;00EE57F7&quot;/&gt;&lt;wsp:rsid wsp:val=&quot;00EE5ADB&quot;/&gt;&lt;wsp:rsid wsp:val=&quot;00EE5B70&quot;/&gt;&lt;wsp:rsid wsp:val=&quot;00EE5CA9&quot;/&gt;&lt;wsp:rsid wsp:val=&quot;00EE5D08&quot;/&gt;&lt;wsp:rsid wsp:val=&quot;00EE5E7A&quot;/&gt;&lt;wsp:rsid wsp:val=&quot;00EE6247&quot;/&gt;&lt;wsp:rsid wsp:val=&quot;00EE66E8&quot;/&gt;&lt;wsp:rsid wsp:val=&quot;00EE6794&quot;/&gt;&lt;wsp:rsid wsp:val=&quot;00EE6F09&quot;/&gt;&lt;wsp:rsid wsp:val=&quot;00EE703F&quot;/&gt;&lt;wsp:rsid wsp:val=&quot;00EE769A&quot;/&gt;&lt;wsp:rsid wsp:val=&quot;00EE7A07&quot;/&gt;&lt;wsp:rsid wsp:val=&quot;00EE7A8A&quot;/&gt;&lt;wsp:rsid wsp:val=&quot;00EE7B58&quot;/&gt;&lt;wsp:rsid wsp:val=&quot;00EE7C58&quot;/&gt;&lt;wsp:rsid wsp:val=&quot;00EE7D33&quot;/&gt;&lt;wsp:rsid wsp:val=&quot;00EF009B&quot;/&gt;&lt;wsp:rsid wsp:val=&quot;00EF05CB&quot;/&gt;&lt;wsp:rsid wsp:val=&quot;00EF0A27&quot;/&gt;&lt;wsp:rsid wsp:val=&quot;00EF0C5F&quot;/&gt;&lt;wsp:rsid wsp:val=&quot;00EF12B0&quot;/&gt;&lt;wsp:rsid wsp:val=&quot;00EF1519&quot;/&gt;&lt;wsp:rsid wsp:val=&quot;00EF1B12&quot;/&gt;&lt;wsp:rsid wsp:val=&quot;00EF22E0&quot;/&gt;&lt;wsp:rsid wsp:val=&quot;00EF2300&quot;/&gt;&lt;wsp:rsid wsp:val=&quot;00EF234D&quot;/&gt;&lt;wsp:rsid wsp:val=&quot;00EF2557&quot;/&gt;&lt;wsp:rsid wsp:val=&quot;00EF2C3F&quot;/&gt;&lt;wsp:rsid wsp:val=&quot;00EF30CB&quot;/&gt;&lt;wsp:rsid wsp:val=&quot;00EF3151&quot;/&gt;&lt;wsp:rsid wsp:val=&quot;00EF3173&quot;/&gt;&lt;wsp:rsid wsp:val=&quot;00EF331D&quot;/&gt;&lt;wsp:rsid wsp:val=&quot;00EF3355&quot;/&gt;&lt;wsp:rsid wsp:val=&quot;00EF3521&quot;/&gt;&lt;wsp:rsid wsp:val=&quot;00EF3AD9&quot;/&gt;&lt;wsp:rsid wsp:val=&quot;00EF3CC0&quot;/&gt;&lt;wsp:rsid wsp:val=&quot;00EF3D69&quot;/&gt;&lt;wsp:rsid wsp:val=&quot;00EF3E7F&quot;/&gt;&lt;wsp:rsid wsp:val=&quot;00EF3EE3&quot;/&gt;&lt;wsp:rsid wsp:val=&quot;00EF40AE&quot;/&gt;&lt;wsp:rsid wsp:val=&quot;00EF4228&quot;/&gt;&lt;wsp:rsid wsp:val=&quot;00EF4415&quot;/&gt;&lt;wsp:rsid wsp:val=&quot;00EF4AD3&quot;/&gt;&lt;wsp:rsid wsp:val=&quot;00EF4C3A&quot;/&gt;&lt;wsp:rsid wsp:val=&quot;00EF5180&quot;/&gt;&lt;wsp:rsid wsp:val=&quot;00EF5299&quot;/&gt;&lt;wsp:rsid wsp:val=&quot;00EF541D&quot;/&gt;&lt;wsp:rsid wsp:val=&quot;00EF5422&quot;/&gt;&lt;wsp:rsid wsp:val=&quot;00EF55FC&quot;/&gt;&lt;wsp:rsid wsp:val=&quot;00EF5804&quot;/&gt;&lt;wsp:rsid wsp:val=&quot;00EF59F0&quot;/&gt;&lt;wsp:rsid wsp:val=&quot;00EF5ECB&quot;/&gt;&lt;wsp:rsid wsp:val=&quot;00EF60E3&quot;/&gt;&lt;wsp:rsid wsp:val=&quot;00EF65E7&quot;/&gt;&lt;wsp:rsid wsp:val=&quot;00EF673E&quot;/&gt;&lt;wsp:rsid wsp:val=&quot;00EF678C&quot;/&gt;&lt;wsp:rsid wsp:val=&quot;00EF6B9A&quot;/&gt;&lt;wsp:rsid wsp:val=&quot;00EF70AF&quot;/&gt;&lt;wsp:rsid wsp:val=&quot;00EF7734&quot;/&gt;&lt;wsp:rsid wsp:val=&quot;00EF7A85&quot;/&gt;&lt;wsp:rsid wsp:val=&quot;00EF7DA7&quot;/&gt;&lt;wsp:rsid wsp:val=&quot;00EF7F6D&quot;/&gt;&lt;wsp:rsid wsp:val=&quot;00F0035F&quot;/&gt;&lt;wsp:rsid wsp:val=&quot;00F004A9&quot;/&gt;&lt;wsp:rsid wsp:val=&quot;00F0088E&quot;/&gt;&lt;wsp:rsid wsp:val=&quot;00F00996&quot;/&gt;&lt;wsp:rsid wsp:val=&quot;00F00F21&quot;/&gt;&lt;wsp:rsid wsp:val=&quot;00F0144B&quot;/&gt;&lt;wsp:rsid wsp:val=&quot;00F01C83&quot;/&gt;&lt;wsp:rsid wsp:val=&quot;00F01DFC&quot;/&gt;&lt;wsp:rsid wsp:val=&quot;00F01FD5&quot;/&gt;&lt;wsp:rsid wsp:val=&quot;00F02358&quot;/&gt;&lt;wsp:rsid wsp:val=&quot;00F02432&quot;/&gt;&lt;wsp:rsid wsp:val=&quot;00F02483&quot;/&gt;&lt;wsp:rsid wsp:val=&quot;00F025F2&quot;/&gt;&lt;wsp:rsid wsp:val=&quot;00F026D8&quot;/&gt;&lt;wsp:rsid wsp:val=&quot;00F02774&quot;/&gt;&lt;wsp:rsid wsp:val=&quot;00F027A9&quot;/&gt;&lt;wsp:rsid wsp:val=&quot;00F0286E&quot;/&gt;&lt;wsp:rsid wsp:val=&quot;00F02B1B&quot;/&gt;&lt;wsp:rsid wsp:val=&quot;00F02DD4&quot;/&gt;&lt;wsp:rsid wsp:val=&quot;00F02DEE&quot;/&gt;&lt;wsp:rsid wsp:val=&quot;00F0359C&quot;/&gt;&lt;wsp:rsid wsp:val=&quot;00F03916&quot;/&gt;&lt;wsp:rsid wsp:val=&quot;00F03B59&quot;/&gt;&lt;wsp:rsid wsp:val=&quot;00F045D3&quot;/&gt;&lt;wsp:rsid wsp:val=&quot;00F049A0&quot;/&gt;&lt;wsp:rsid wsp:val=&quot;00F04A75&quot;/&gt;&lt;wsp:rsid wsp:val=&quot;00F04BDD&quot;/&gt;&lt;wsp:rsid wsp:val=&quot;00F04E08&quot;/&gt;&lt;wsp:rsid wsp:val=&quot;00F054BD&quot;/&gt;&lt;wsp:rsid wsp:val=&quot;00F057FE&quot;/&gt;&lt;wsp:rsid wsp:val=&quot;00F05D3A&quot;/&gt;&lt;wsp:rsid wsp:val=&quot;00F05E2B&quot;/&gt;&lt;wsp:rsid wsp:val=&quot;00F06E64&quot;/&gt;&lt;wsp:rsid wsp:val=&quot;00F0727B&quot;/&gt;&lt;wsp:rsid wsp:val=&quot;00F074A9&quot;/&gt;&lt;wsp:rsid wsp:val=&quot;00F0755B&quot;/&gt;&lt;wsp:rsid wsp:val=&quot;00F07834&quot;/&gt;&lt;wsp:rsid wsp:val=&quot;00F07C3E&quot;/&gt;&lt;wsp:rsid wsp:val=&quot;00F07F57&quot;/&gt;&lt;wsp:rsid wsp:val=&quot;00F10726&quot;/&gt;&lt;wsp:rsid wsp:val=&quot;00F109A9&quot;/&gt;&lt;wsp:rsid wsp:val=&quot;00F11004&quot;/&gt;&lt;wsp:rsid wsp:val=&quot;00F1123F&quot;/&gt;&lt;wsp:rsid wsp:val=&quot;00F11260&quot;/&gt;&lt;wsp:rsid wsp:val=&quot;00F1126B&quot;/&gt;&lt;wsp:rsid wsp:val=&quot;00F11280&quot;/&gt;&lt;wsp:rsid wsp:val=&quot;00F11782&quot;/&gt;&lt;wsp:rsid wsp:val=&quot;00F11AA8&quot;/&gt;&lt;wsp:rsid wsp:val=&quot;00F11F8D&quot;/&gt;&lt;wsp:rsid wsp:val=&quot;00F12000&quot;/&gt;&lt;wsp:rsid wsp:val=&quot;00F1226F&quot;/&gt;&lt;wsp:rsid wsp:val=&quot;00F1245B&quot;/&gt;&lt;wsp:rsid wsp:val=&quot;00F12540&quot;/&gt;&lt;wsp:rsid wsp:val=&quot;00F1290E&quot;/&gt;&lt;wsp:rsid wsp:val=&quot;00F12BF6&quot;/&gt;&lt;wsp:rsid wsp:val=&quot;00F12F98&quot;/&gt;&lt;wsp:rsid wsp:val=&quot;00F13075&quot;/&gt;&lt;wsp:rsid wsp:val=&quot;00F132A2&quot;/&gt;&lt;wsp:rsid wsp:val=&quot;00F134AF&quot;/&gt;&lt;wsp:rsid wsp:val=&quot;00F13608&quot;/&gt;&lt;wsp:rsid wsp:val=&quot;00F13713&quot;/&gt;&lt;wsp:rsid wsp:val=&quot;00F13AB4&quot;/&gt;&lt;wsp:rsid wsp:val=&quot;00F13C47&quot;/&gt;&lt;wsp:rsid wsp:val=&quot;00F13DB9&quot;/&gt;&lt;wsp:rsid wsp:val=&quot;00F1491B&quot;/&gt;&lt;wsp:rsid wsp:val=&quot;00F14BE6&quot;/&gt;&lt;wsp:rsid wsp:val=&quot;00F153D9&quot;/&gt;&lt;wsp:rsid wsp:val=&quot;00F1544B&quot;/&gt;&lt;wsp:rsid wsp:val=&quot;00F15C05&quot;/&gt;&lt;wsp:rsid wsp:val=&quot;00F15C95&quot;/&gt;&lt;wsp:rsid wsp:val=&quot;00F15D94&quot;/&gt;&lt;wsp:rsid wsp:val=&quot;00F162B0&quot;/&gt;&lt;wsp:rsid wsp:val=&quot;00F16509&quot;/&gt;&lt;wsp:rsid wsp:val=&quot;00F165E8&quot;/&gt;&lt;wsp:rsid wsp:val=&quot;00F16982&quot;/&gt;&lt;wsp:rsid wsp:val=&quot;00F16BBE&quot;/&gt;&lt;wsp:rsid wsp:val=&quot;00F16BE5&quot;/&gt;&lt;wsp:rsid wsp:val=&quot;00F16E3B&quot;/&gt;&lt;wsp:rsid wsp:val=&quot;00F16EBC&quot;/&gt;&lt;wsp:rsid wsp:val=&quot;00F171E9&quot;/&gt;&lt;wsp:rsid wsp:val=&quot;00F17511&quot;/&gt;&lt;wsp:rsid wsp:val=&quot;00F17CED&quot;/&gt;&lt;wsp:rsid wsp:val=&quot;00F20399&quot;/&gt;&lt;wsp:rsid wsp:val=&quot;00F20586&quot;/&gt;&lt;wsp:rsid wsp:val=&quot;00F2069C&quot;/&gt;&lt;wsp:rsid wsp:val=&quot;00F20991&quot;/&gt;&lt;wsp:rsid wsp:val=&quot;00F209DC&quot;/&gt;&lt;wsp:rsid wsp:val=&quot;00F20B5D&quot;/&gt;&lt;wsp:rsid wsp:val=&quot;00F2119F&quot;/&gt;&lt;wsp:rsid wsp:val=&quot;00F214C8&quot;/&gt;&lt;wsp:rsid wsp:val=&quot;00F217BB&quot;/&gt;&lt;wsp:rsid wsp:val=&quot;00F21BB3&quot;/&gt;&lt;wsp:rsid wsp:val=&quot;00F220BD&quot;/&gt;&lt;wsp:rsid wsp:val=&quot;00F22245&quot;/&gt;&lt;wsp:rsid wsp:val=&quot;00F22432&quot;/&gt;&lt;wsp:rsid wsp:val=&quot;00F22D42&quot;/&gt;&lt;wsp:rsid wsp:val=&quot;00F22D63&quot;/&gt;&lt;wsp:rsid wsp:val=&quot;00F23926&quot;/&gt;&lt;wsp:rsid wsp:val=&quot;00F23988&quot;/&gt;&lt;wsp:rsid wsp:val=&quot;00F239DB&quot;/&gt;&lt;wsp:rsid wsp:val=&quot;00F248B6&quot;/&gt;&lt;wsp:rsid wsp:val=&quot;00F25BA1&quot;/&gt;&lt;wsp:rsid wsp:val=&quot;00F25F4F&quot;/&gt;&lt;wsp:rsid wsp:val=&quot;00F25F66&quot;/&gt;&lt;wsp:rsid wsp:val=&quot;00F26186&quot;/&gt;&lt;wsp:rsid wsp:val=&quot;00F26946&quot;/&gt;&lt;wsp:rsid wsp:val=&quot;00F2697D&quot;/&gt;&lt;wsp:rsid wsp:val=&quot;00F26E0B&quot;/&gt;&lt;wsp:rsid wsp:val=&quot;00F26FC9&quot;/&gt;&lt;wsp:rsid wsp:val=&quot;00F270EB&quot;/&gt;&lt;wsp:rsid wsp:val=&quot;00F276A7&quot;/&gt;&lt;wsp:rsid wsp:val=&quot;00F27FFC&quot;/&gt;&lt;wsp:rsid wsp:val=&quot;00F306BB&quot;/&gt;&lt;wsp:rsid wsp:val=&quot;00F30864&quot;/&gt;&lt;wsp:rsid wsp:val=&quot;00F30DB2&quot;/&gt;&lt;wsp:rsid wsp:val=&quot;00F30E0A&quot;/&gt;&lt;wsp:rsid wsp:val=&quot;00F30E1F&quot;/&gt;&lt;wsp:rsid wsp:val=&quot;00F30E53&quot;/&gt;&lt;wsp:rsid wsp:val=&quot;00F30ECA&quot;/&gt;&lt;wsp:rsid wsp:val=&quot;00F30F2F&quot;/&gt;&lt;wsp:rsid wsp:val=&quot;00F3114F&quot;/&gt;&lt;wsp:rsid wsp:val=&quot;00F31374&quot;/&gt;&lt;wsp:rsid wsp:val=&quot;00F31531&quot;/&gt;&lt;wsp:rsid wsp:val=&quot;00F315FD&quot;/&gt;&lt;wsp:rsid wsp:val=&quot;00F32CC9&quot;/&gt;&lt;wsp:rsid wsp:val=&quot;00F32D06&quot;/&gt;&lt;wsp:rsid wsp:val=&quot;00F32F61&quot;/&gt;&lt;wsp:rsid wsp:val=&quot;00F3306C&quot;/&gt;&lt;wsp:rsid wsp:val=&quot;00F330A7&quot;/&gt;&lt;wsp:rsid wsp:val=&quot;00F332C8&quot;/&gt;&lt;wsp:rsid wsp:val=&quot;00F334E2&quot;/&gt;&lt;wsp:rsid wsp:val=&quot;00F33D91&quot;/&gt;&lt;wsp:rsid wsp:val=&quot;00F3452C&quot;/&gt;&lt;wsp:rsid wsp:val=&quot;00F34EFB&quot;/&gt;&lt;wsp:rsid wsp:val=&quot;00F34F7B&quot;/&gt;&lt;wsp:rsid wsp:val=&quot;00F3510B&quot;/&gt;&lt;wsp:rsid wsp:val=&quot;00F35798&quot;/&gt;&lt;wsp:rsid wsp:val=&quot;00F36084&quot;/&gt;&lt;wsp:rsid wsp:val=&quot;00F36644&quot;/&gt;&lt;wsp:rsid wsp:val=&quot;00F3720A&quot;/&gt;&lt;wsp:rsid wsp:val=&quot;00F3737B&quot;/&gt;&lt;wsp:rsid wsp:val=&quot;00F3746E&quot;/&gt;&lt;wsp:rsid wsp:val=&quot;00F378D0&quot;/&gt;&lt;wsp:rsid wsp:val=&quot;00F4014F&quot;/&gt;&lt;wsp:rsid wsp:val=&quot;00F40169&quot;/&gt;&lt;wsp:rsid wsp:val=&quot;00F40E08&quot;/&gt;&lt;wsp:rsid wsp:val=&quot;00F40E6C&quot;/&gt;&lt;wsp:rsid wsp:val=&quot;00F41130&quot;/&gt;&lt;wsp:rsid wsp:val=&quot;00F41547&quot;/&gt;&lt;wsp:rsid wsp:val=&quot;00F41755&quot;/&gt;&lt;wsp:rsid wsp:val=&quot;00F41C49&quot;/&gt;&lt;wsp:rsid wsp:val=&quot;00F42189&quot;/&gt;&lt;wsp:rsid wsp:val=&quot;00F4257D&quot;/&gt;&lt;wsp:rsid wsp:val=&quot;00F425C6&quot;/&gt;&lt;wsp:rsid wsp:val=&quot;00F42938&quot;/&gt;&lt;wsp:rsid wsp:val=&quot;00F429A0&quot;/&gt;&lt;wsp:rsid wsp:val=&quot;00F42A33&quot;/&gt;&lt;wsp:rsid wsp:val=&quot;00F42D66&quot;/&gt;&lt;wsp:rsid wsp:val=&quot;00F4309F&quot;/&gt;&lt;wsp:rsid wsp:val=&quot;00F43281&quot;/&gt;&lt;wsp:rsid wsp:val=&quot;00F4349A&quot;/&gt;&lt;wsp:rsid wsp:val=&quot;00F435B7&quot;/&gt;&lt;wsp:rsid wsp:val=&quot;00F43749&quot;/&gt;&lt;wsp:rsid wsp:val=&quot;00F43B29&quot;/&gt;&lt;wsp:rsid wsp:val=&quot;00F44116&quot;/&gt;&lt;wsp:rsid wsp:val=&quot;00F4420F&quot;/&gt;&lt;wsp:rsid wsp:val=&quot;00F44464&quot;/&gt;&lt;wsp:rsid wsp:val=&quot;00F45A2D&quot;/&gt;&lt;wsp:rsid wsp:val=&quot;00F45B5C&quot;/&gt;&lt;wsp:rsid wsp:val=&quot;00F45E2F&quot;/&gt;&lt;wsp:rsid wsp:val=&quot;00F4666B&quot;/&gt;&lt;wsp:rsid wsp:val=&quot;00F468B3&quot;/&gt;&lt;wsp:rsid wsp:val=&quot;00F46947&quot;/&gt;&lt;wsp:rsid wsp:val=&quot;00F46BBC&quot;/&gt;&lt;wsp:rsid wsp:val=&quot;00F47164&quot;/&gt;&lt;wsp:rsid wsp:val=&quot;00F47605&quot;/&gt;&lt;wsp:rsid wsp:val=&quot;00F4791C&quot;/&gt;&lt;wsp:rsid wsp:val=&quot;00F50B49&quot;/&gt;&lt;wsp:rsid wsp:val=&quot;00F50BFE&quot;/&gt;&lt;wsp:rsid wsp:val=&quot;00F50CB7&quot;/&gt;&lt;wsp:rsid wsp:val=&quot;00F50D52&quot;/&gt;&lt;wsp:rsid wsp:val=&quot;00F50E3D&quot;/&gt;&lt;wsp:rsid wsp:val=&quot;00F510DF&quot;/&gt;&lt;wsp:rsid wsp:val=&quot;00F5130C&quot;/&gt;&lt;wsp:rsid wsp:val=&quot;00F515BE&quot;/&gt;&lt;wsp:rsid wsp:val=&quot;00F51774&quot;/&gt;&lt;wsp:rsid wsp:val=&quot;00F51AE6&quot;/&gt;&lt;wsp:rsid wsp:val=&quot;00F51CB1&quot;/&gt;&lt;wsp:rsid wsp:val=&quot;00F51E79&quot;/&gt;&lt;wsp:rsid wsp:val=&quot;00F51FFA&quot;/&gt;&lt;wsp:rsid wsp:val=&quot;00F52361&quot;/&gt;&lt;wsp:rsid wsp:val=&quot;00F524A7&quot;/&gt;&lt;wsp:rsid wsp:val=&quot;00F533D1&quot;/&gt;&lt;wsp:rsid wsp:val=&quot;00F534D4&quot;/&gt;&lt;wsp:rsid wsp:val=&quot;00F53523&quot;/&gt;&lt;wsp:rsid wsp:val=&quot;00F535F4&quot;/&gt;&lt;wsp:rsid wsp:val=&quot;00F53D3A&quot;/&gt;&lt;wsp:rsid wsp:val=&quot;00F53DD9&quot;/&gt;&lt;wsp:rsid wsp:val=&quot;00F54446&quot;/&gt;&lt;wsp:rsid wsp:val=&quot;00F5463A&quot;/&gt;&lt;wsp:rsid wsp:val=&quot;00F549C9&quot;/&gt;&lt;wsp:rsid wsp:val=&quot;00F54D7E&quot;/&gt;&lt;wsp:rsid wsp:val=&quot;00F54EF2&quot;/&gt;&lt;wsp:rsid wsp:val=&quot;00F553A0&quot;/&gt;&lt;wsp:rsid wsp:val=&quot;00F553F3&quot;/&gt;&lt;wsp:rsid wsp:val=&quot;00F55717&quot;/&gt;&lt;wsp:rsid wsp:val=&quot;00F557A0&quot;/&gt;&lt;wsp:rsid wsp:val=&quot;00F55827&quot;/&gt;&lt;wsp:rsid wsp:val=&quot;00F559F1&quot;/&gt;&lt;wsp:rsid wsp:val=&quot;00F55C4B&quot;/&gt;&lt;wsp:rsid wsp:val=&quot;00F56030&quot;/&gt;&lt;wsp:rsid wsp:val=&quot;00F56198&quot;/&gt;&lt;wsp:rsid wsp:val=&quot;00F56346&quot;/&gt;&lt;wsp:rsid wsp:val=&quot;00F56A8D&quot;/&gt;&lt;wsp:rsid wsp:val=&quot;00F56D1D&quot;/&gt;&lt;wsp:rsid wsp:val=&quot;00F56D8D&quot;/&gt;&lt;wsp:rsid wsp:val=&quot;00F56F57&quot;/&gt;&lt;wsp:rsid wsp:val=&quot;00F57A19&quot;/&gt;&lt;wsp:rsid wsp:val=&quot;00F57AD3&quot;/&gt;&lt;wsp:rsid wsp:val=&quot;00F57DBF&quot;/&gt;&lt;wsp:rsid wsp:val=&quot;00F60254&quot;/&gt;&lt;wsp:rsid wsp:val=&quot;00F60780&quot;/&gt;&lt;wsp:rsid wsp:val=&quot;00F610E2&quot;/&gt;&lt;wsp:rsid wsp:val=&quot;00F611C7&quot;/&gt;&lt;wsp:rsid wsp:val=&quot;00F61226&quot;/&gt;&lt;wsp:rsid wsp:val=&quot;00F614D7&quot;/&gt;&lt;wsp:rsid wsp:val=&quot;00F61649&quot;/&gt;&lt;wsp:rsid wsp:val=&quot;00F6170F&quot;/&gt;&lt;wsp:rsid wsp:val=&quot;00F61B5A&quot;/&gt;&lt;wsp:rsid wsp:val=&quot;00F61EF1&quot;/&gt;&lt;wsp:rsid wsp:val=&quot;00F6263C&quot;/&gt;&lt;wsp:rsid wsp:val=&quot;00F62D8E&quot;/&gt;&lt;wsp:rsid wsp:val=&quot;00F6324B&quot;/&gt;&lt;wsp:rsid wsp:val=&quot;00F632CF&quot;/&gt;&lt;wsp:rsid wsp:val=&quot;00F633DF&quot;/&gt;&lt;wsp:rsid wsp:val=&quot;00F635EB&quot;/&gt;&lt;wsp:rsid wsp:val=&quot;00F636D8&quot;/&gt;&lt;wsp:rsid wsp:val=&quot;00F63B09&quot;/&gt;&lt;wsp:rsid wsp:val=&quot;00F63CD5&quot;/&gt;&lt;wsp:rsid wsp:val=&quot;00F63D5A&quot;/&gt;&lt;wsp:rsid wsp:val=&quot;00F63D6F&quot;/&gt;&lt;wsp:rsid wsp:val=&quot;00F63EE9&quot;/&gt;&lt;wsp:rsid wsp:val=&quot;00F64154&quot;/&gt;&lt;wsp:rsid wsp:val=&quot;00F64265&quot;/&gt;&lt;wsp:rsid wsp:val=&quot;00F64337&quot;/&gt;&lt;wsp:rsid wsp:val=&quot;00F64483&quot;/&gt;&lt;wsp:rsid wsp:val=&quot;00F6553F&quot;/&gt;&lt;wsp:rsid wsp:val=&quot;00F6560A&quot;/&gt;&lt;wsp:rsid wsp:val=&quot;00F65768&quot;/&gt;&lt;wsp:rsid wsp:val=&quot;00F65908&quot;/&gt;&lt;wsp:rsid wsp:val=&quot;00F65A7E&quot;/&gt;&lt;wsp:rsid wsp:val=&quot;00F66318&quot;/&gt;&lt;wsp:rsid wsp:val=&quot;00F66610&quot;/&gt;&lt;wsp:rsid wsp:val=&quot;00F66707&quot;/&gt;&lt;wsp:rsid wsp:val=&quot;00F66708&quot;/&gt;&lt;wsp:rsid wsp:val=&quot;00F66F00&quot;/&gt;&lt;wsp:rsid wsp:val=&quot;00F66FAB&quot;/&gt;&lt;wsp:rsid wsp:val=&quot;00F67415&quot;/&gt;&lt;wsp:rsid wsp:val=&quot;00F6753F&quot;/&gt;&lt;wsp:rsid wsp:val=&quot;00F67AC2&quot;/&gt;&lt;wsp:rsid wsp:val=&quot;00F67CB4&quot;/&gt;&lt;wsp:rsid wsp:val=&quot;00F67CEB&quot;/&gt;&lt;wsp:rsid wsp:val=&quot;00F67D22&quot;/&gt;&lt;wsp:rsid wsp:val=&quot;00F67FFB&quot;/&gt;&lt;wsp:rsid wsp:val=&quot;00F70430&quot;/&gt;&lt;wsp:rsid wsp:val=&quot;00F706B8&quot;/&gt;&lt;wsp:rsid wsp:val=&quot;00F7081B&quot;/&gt;&lt;wsp:rsid wsp:val=&quot;00F70F04&quot;/&gt;&lt;wsp:rsid wsp:val=&quot;00F710CE&quot;/&gt;&lt;wsp:rsid wsp:val=&quot;00F71249&quot;/&gt;&lt;wsp:rsid wsp:val=&quot;00F715F9&quot;/&gt;&lt;wsp:rsid wsp:val=&quot;00F71C31&quot;/&gt;&lt;wsp:rsid wsp:val=&quot;00F71D0F&quot;/&gt;&lt;wsp:rsid wsp:val=&quot;00F7207F&quot;/&gt;&lt;wsp:rsid wsp:val=&quot;00F72142&quot;/&gt;&lt;wsp:rsid wsp:val=&quot;00F72156&quot;/&gt;&lt;wsp:rsid wsp:val=&quot;00F72FB8&quot;/&gt;&lt;wsp:rsid wsp:val=&quot;00F73302&quot;/&gt;&lt;wsp:rsid wsp:val=&quot;00F7366E&quot;/&gt;&lt;wsp:rsid wsp:val=&quot;00F738C0&quot;/&gt;&lt;wsp:rsid wsp:val=&quot;00F74BDB&quot;/&gt;&lt;wsp:rsid wsp:val=&quot;00F74DA1&quot;/&gt;&lt;wsp:rsid wsp:val=&quot;00F74FBC&quot;/&gt;&lt;wsp:rsid wsp:val=&quot;00F75343&quot;/&gt;&lt;wsp:rsid wsp:val=&quot;00F75733&quot;/&gt;&lt;wsp:rsid wsp:val=&quot;00F75983&quot;/&gt;&lt;wsp:rsid wsp:val=&quot;00F75995&quot;/&gt;&lt;wsp:rsid wsp:val=&quot;00F75B2C&quot;/&gt;&lt;wsp:rsid wsp:val=&quot;00F75E73&quot;/&gt;&lt;wsp:rsid wsp:val=&quot;00F75F1C&quot;/&gt;&lt;wsp:rsid wsp:val=&quot;00F76507&quot;/&gt;&lt;wsp:rsid wsp:val=&quot;00F76DE0&quot;/&gt;&lt;wsp:rsid wsp:val=&quot;00F772CB&quot;/&gt;&lt;wsp:rsid wsp:val=&quot;00F77526&quot;/&gt;&lt;wsp:rsid wsp:val=&quot;00F77867&quot;/&gt;&lt;wsp:rsid wsp:val=&quot;00F77A01&quot;/&gt;&lt;wsp:rsid wsp:val=&quot;00F77D4D&quot;/&gt;&lt;wsp:rsid wsp:val=&quot;00F80059&quot;/&gt;&lt;wsp:rsid wsp:val=&quot;00F800B6&quot;/&gt;&lt;wsp:rsid wsp:val=&quot;00F8013D&quot;/&gt;&lt;wsp:rsid wsp:val=&quot;00F8064C&quot;/&gt;&lt;wsp:rsid wsp:val=&quot;00F8097E&quot;/&gt;&lt;wsp:rsid wsp:val=&quot;00F80FD7&quot;/&gt;&lt;wsp:rsid wsp:val=&quot;00F815EB&quot;/&gt;&lt;wsp:rsid wsp:val=&quot;00F81FFE&quot;/&gt;&lt;wsp:rsid wsp:val=&quot;00F8227B&quot;/&gt;&lt;wsp:rsid wsp:val=&quot;00F82E2E&quot;/&gt;&lt;wsp:rsid wsp:val=&quot;00F830B3&quot;/&gt;&lt;wsp:rsid wsp:val=&quot;00F831CE&quot;/&gt;&lt;wsp:rsid wsp:val=&quot;00F83617&quot;/&gt;&lt;wsp:rsid wsp:val=&quot;00F83C98&quot;/&gt;&lt;wsp:rsid wsp:val=&quot;00F84063&quot;/&gt;&lt;wsp:rsid wsp:val=&quot;00F84147&quot;/&gt;&lt;wsp:rsid wsp:val=&quot;00F843A5&quot;/&gt;&lt;wsp:rsid wsp:val=&quot;00F84777&quot;/&gt;&lt;wsp:rsid wsp:val=&quot;00F84B77&quot;/&gt;&lt;wsp:rsid wsp:val=&quot;00F8559F&quot;/&gt;&lt;wsp:rsid wsp:val=&quot;00F85738&quot;/&gt;&lt;wsp:rsid wsp:val=&quot;00F859C5&quot;/&gt;&lt;wsp:rsid wsp:val=&quot;00F85D84&quot;/&gt;&lt;wsp:rsid wsp:val=&quot;00F85E7A&quot;/&gt;&lt;wsp:rsid wsp:val=&quot;00F8609A&quot;/&gt;&lt;wsp:rsid wsp:val=&quot;00F86338&quot;/&gt;&lt;wsp:rsid wsp:val=&quot;00F8693C&quot;/&gt;&lt;wsp:rsid wsp:val=&quot;00F86FFC&quot;/&gt;&lt;wsp:rsid wsp:val=&quot;00F871F6&quot;/&gt;&lt;wsp:rsid wsp:val=&quot;00F87838&quot;/&gt;&lt;wsp:rsid wsp:val=&quot;00F87867&quot;/&gt;&lt;wsp:rsid wsp:val=&quot;00F8786C&quot;/&gt;&lt;wsp:rsid wsp:val=&quot;00F900C4&quot;/&gt;&lt;wsp:rsid wsp:val=&quot;00F90109&quot;/&gt;&lt;wsp:rsid wsp:val=&quot;00F90192&quot;/&gt;&lt;wsp:rsid wsp:val=&quot;00F90A4C&quot;/&gt;&lt;wsp:rsid wsp:val=&quot;00F90A62&quot;/&gt;&lt;wsp:rsid wsp:val=&quot;00F90DE3&quot;/&gt;&lt;wsp:rsid wsp:val=&quot;00F91036&quot;/&gt;&lt;wsp:rsid wsp:val=&quot;00F915B0&quot;/&gt;&lt;wsp:rsid wsp:val=&quot;00F91F1B&quot;/&gt;&lt;wsp:rsid wsp:val=&quot;00F92253&quot;/&gt;&lt;wsp:rsid wsp:val=&quot;00F92447&quot;/&gt;&lt;wsp:rsid wsp:val=&quot;00F92CC4&quot;/&gt;&lt;wsp:rsid wsp:val=&quot;00F92DAA&quot;/&gt;&lt;wsp:rsid wsp:val=&quot;00F92EE6&quot;/&gt;&lt;wsp:rsid wsp:val=&quot;00F92FDD&quot;/&gt;&lt;wsp:rsid wsp:val=&quot;00F930C4&quot;/&gt;&lt;wsp:rsid wsp:val=&quot;00F932FB&quot;/&gt;&lt;wsp:rsid wsp:val=&quot;00F934B8&quot;/&gt;&lt;wsp:rsid wsp:val=&quot;00F9371D&quot;/&gt;&lt;wsp:rsid wsp:val=&quot;00F938A4&quot;/&gt;&lt;wsp:rsid wsp:val=&quot;00F93A2B&quot;/&gt;&lt;wsp:rsid wsp:val=&quot;00F93A8D&quot;/&gt;&lt;wsp:rsid wsp:val=&quot;00F93B83&quot;/&gt;&lt;wsp:rsid wsp:val=&quot;00F93D94&quot;/&gt;&lt;wsp:rsid wsp:val=&quot;00F93E13&quot;/&gt;&lt;wsp:rsid wsp:val=&quot;00F94910&quot;/&gt;&lt;wsp:rsid wsp:val=&quot;00F94927&quot;/&gt;&lt;wsp:rsid wsp:val=&quot;00F94B0C&quot;/&gt;&lt;wsp:rsid wsp:val=&quot;00F94C0B&quot;/&gt;&lt;wsp:rsid wsp:val=&quot;00F95AEB&quot;/&gt;&lt;wsp:rsid wsp:val=&quot;00F95EAF&quot;/&gt;&lt;wsp:rsid wsp:val=&quot;00F95EE3&quot;/&gt;&lt;wsp:rsid wsp:val=&quot;00F96327&quot;/&gt;&lt;wsp:rsid wsp:val=&quot;00F96387&quot;/&gt;&lt;wsp:rsid wsp:val=&quot;00F96ABC&quot;/&gt;&lt;wsp:rsid wsp:val=&quot;00F96C7A&quot;/&gt;&lt;wsp:rsid wsp:val=&quot;00F97541&quot;/&gt;&lt;wsp:rsid wsp:val=&quot;00F9773A&quot;/&gt;&lt;wsp:rsid wsp:val=&quot;00F97F36&quot;/&gt;&lt;wsp:rsid wsp:val=&quot;00FA00A0&quot;/&gt;&lt;wsp:rsid wsp:val=&quot;00FA01C0&quot;/&gt;&lt;wsp:rsid wsp:val=&quot;00FA033C&quot;/&gt;&lt;wsp:rsid wsp:val=&quot;00FA04BE&quot;/&gt;&lt;wsp:rsid wsp:val=&quot;00FA05F4&quot;/&gt;&lt;wsp:rsid wsp:val=&quot;00FA0C1B&quot;/&gt;&lt;wsp:rsid wsp:val=&quot;00FA1B8C&quot;/&gt;&lt;wsp:rsid wsp:val=&quot;00FA1BC3&quot;/&gt;&lt;wsp:rsid wsp:val=&quot;00FA1DE7&quot;/&gt;&lt;wsp:rsid wsp:val=&quot;00FA2244&quot;/&gt;&lt;wsp:rsid wsp:val=&quot;00FA2540&quot;/&gt;&lt;wsp:rsid wsp:val=&quot;00FA26BE&quot;/&gt;&lt;wsp:rsid wsp:val=&quot;00FA2818&quot;/&gt;&lt;wsp:rsid wsp:val=&quot;00FA2A08&quot;/&gt;&lt;wsp:rsid wsp:val=&quot;00FA2A8E&quot;/&gt;&lt;wsp:rsid wsp:val=&quot;00FA30F6&quot;/&gt;&lt;wsp:rsid wsp:val=&quot;00FA32BD&quot;/&gt;&lt;wsp:rsid wsp:val=&quot;00FA34AC&quot;/&gt;&lt;wsp:rsid wsp:val=&quot;00FA3BCD&quot;/&gt;&lt;wsp:rsid wsp:val=&quot;00FA3F2B&quot;/&gt;&lt;wsp:rsid wsp:val=&quot;00FA41C1&quot;/&gt;&lt;wsp:rsid wsp:val=&quot;00FA4765&quot;/&gt;&lt;wsp:rsid wsp:val=&quot;00FA49C8&quot;/&gt;&lt;wsp:rsid wsp:val=&quot;00FA4FBA&quot;/&gt;&lt;wsp:rsid wsp:val=&quot;00FA504F&quot;/&gt;&lt;wsp:rsid wsp:val=&quot;00FA5CE8&quot;/&gt;&lt;wsp:rsid wsp:val=&quot;00FA60DF&quot;/&gt;&lt;wsp:rsid wsp:val=&quot;00FA67C6&quot;/&gt;&lt;wsp:rsid wsp:val=&quot;00FA6C93&quot;/&gt;&lt;wsp:rsid wsp:val=&quot;00FA764F&quot;/&gt;&lt;wsp:rsid wsp:val=&quot;00FA7B49&quot;/&gt;&lt;wsp:rsid wsp:val=&quot;00FA7FD0&quot;/&gt;&lt;wsp:rsid wsp:val=&quot;00FB00AE&quot;/&gt;&lt;wsp:rsid wsp:val=&quot;00FB045A&quot;/&gt;&lt;wsp:rsid wsp:val=&quot;00FB05A8&quot;/&gt;&lt;wsp:rsid wsp:val=&quot;00FB06EE&quot;/&gt;&lt;wsp:rsid wsp:val=&quot;00FB0D00&quot;/&gt;&lt;wsp:rsid wsp:val=&quot;00FB0F95&quot;/&gt;&lt;wsp:rsid wsp:val=&quot;00FB12DD&quot;/&gt;&lt;wsp:rsid wsp:val=&quot;00FB1C96&quot;/&gt;&lt;wsp:rsid wsp:val=&quot;00FB2222&quot;/&gt;&lt;wsp:rsid wsp:val=&quot;00FB230F&quot;/&gt;&lt;wsp:rsid wsp:val=&quot;00FB26CE&quot;/&gt;&lt;wsp:rsid wsp:val=&quot;00FB2C27&quot;/&gt;&lt;wsp:rsid wsp:val=&quot;00FB3464&quot;/&gt;&lt;wsp:rsid wsp:val=&quot;00FB36A0&quot;/&gt;&lt;wsp:rsid wsp:val=&quot;00FB378F&quot;/&gt;&lt;wsp:rsid wsp:val=&quot;00FB3CA8&quot;/&gt;&lt;wsp:rsid wsp:val=&quot;00FB3D65&quot;/&gt;&lt;wsp:rsid wsp:val=&quot;00FB4896&quot;/&gt;&lt;wsp:rsid wsp:val=&quot;00FB49C9&quot;/&gt;&lt;wsp:rsid wsp:val=&quot;00FB5479&quot;/&gt;&lt;wsp:rsid wsp:val=&quot;00FB5BE0&quot;/&gt;&lt;wsp:rsid wsp:val=&quot;00FB66DF&quot;/&gt;&lt;wsp:rsid wsp:val=&quot;00FB67FB&quot;/&gt;&lt;wsp:rsid wsp:val=&quot;00FB68B4&quot;/&gt;&lt;wsp:rsid wsp:val=&quot;00FB6D37&quot;/&gt;&lt;wsp:rsid wsp:val=&quot;00FB6FE3&quot;/&gt;&lt;wsp:rsid wsp:val=&quot;00FB7158&quot;/&gt;&lt;wsp:rsid wsp:val=&quot;00FB726C&quot;/&gt;&lt;wsp:rsid wsp:val=&quot;00FB75F6&quot;/&gt;&lt;wsp:rsid wsp:val=&quot;00FC0929&quot;/&gt;&lt;wsp:rsid wsp:val=&quot;00FC0B69&quot;/&gt;&lt;wsp:rsid wsp:val=&quot;00FC0DD7&quot;/&gt;&lt;wsp:rsid wsp:val=&quot;00FC15A1&quot;/&gt;&lt;wsp:rsid wsp:val=&quot;00FC15B6&quot;/&gt;&lt;wsp:rsid wsp:val=&quot;00FC1E7C&quot;/&gt;&lt;wsp:rsid wsp:val=&quot;00FC211A&quot;/&gt;&lt;wsp:rsid wsp:val=&quot;00FC24EE&quot;/&gt;&lt;wsp:rsid wsp:val=&quot;00FC2522&quot;/&gt;&lt;wsp:rsid wsp:val=&quot;00FC2C55&quot;/&gt;&lt;wsp:rsid wsp:val=&quot;00FC312E&quot;/&gt;&lt;wsp:rsid wsp:val=&quot;00FC346A&quot;/&gt;&lt;wsp:rsid wsp:val=&quot;00FC3BE2&quot;/&gt;&lt;wsp:rsid wsp:val=&quot;00FC3F56&quot;/&gt;&lt;wsp:rsid wsp:val=&quot;00FC42D9&quot;/&gt;&lt;wsp:rsid wsp:val=&quot;00FC49F9&quot;/&gt;&lt;wsp:rsid wsp:val=&quot;00FC4F0F&quot;/&gt;&lt;wsp:rsid wsp:val=&quot;00FC4F67&quot;/&gt;&lt;wsp:rsid wsp:val=&quot;00FC509E&quot;/&gt;&lt;wsp:rsid wsp:val=&quot;00FC525E&quot;/&gt;&lt;wsp:rsid wsp:val=&quot;00FC55B4&quot;/&gt;&lt;wsp:rsid wsp:val=&quot;00FC5ADA&quot;/&gt;&lt;wsp:rsid wsp:val=&quot;00FC60AF&quot;/&gt;&lt;wsp:rsid wsp:val=&quot;00FC6224&quot;/&gt;&lt;wsp:rsid wsp:val=&quot;00FC6496&quot;/&gt;&lt;wsp:rsid wsp:val=&quot;00FC6906&quot;/&gt;&lt;wsp:rsid wsp:val=&quot;00FC69CA&quot;/&gt;&lt;wsp:rsid wsp:val=&quot;00FC6B75&quot;/&gt;&lt;wsp:rsid wsp:val=&quot;00FC7632&quot;/&gt;&lt;wsp:rsid wsp:val=&quot;00FC7807&quot;/&gt;&lt;wsp:rsid wsp:val=&quot;00FC7B72&quot;/&gt;&lt;wsp:rsid wsp:val=&quot;00FC7D2A&quot;/&gt;&lt;wsp:rsid wsp:val=&quot;00FC7F6A&quot;/&gt;&lt;wsp:rsid wsp:val=&quot;00FD01AC&quot;/&gt;&lt;wsp:rsid wsp:val=&quot;00FD01BA&quot;/&gt;&lt;wsp:rsid wsp:val=&quot;00FD06A4&quot;/&gt;&lt;wsp:rsid wsp:val=&quot;00FD0897&quot;/&gt;&lt;wsp:rsid wsp:val=&quot;00FD0912&quot;/&gt;&lt;wsp:rsid wsp:val=&quot;00FD10F6&quot;/&gt;&lt;wsp:rsid wsp:val=&quot;00FD12B2&quot;/&gt;&lt;wsp:rsid wsp:val=&quot;00FD12B3&quot;/&gt;&lt;wsp:rsid wsp:val=&quot;00FD1AE0&quot;/&gt;&lt;wsp:rsid wsp:val=&quot;00FD2D3C&quot;/&gt;&lt;wsp:rsid wsp:val=&quot;00FD375E&quot;/&gt;&lt;wsp:rsid wsp:val=&quot;00FD399B&quot;/&gt;&lt;wsp:rsid wsp:val=&quot;00FD3F7E&quot;/&gt;&lt;wsp:rsid wsp:val=&quot;00FD41C0&quot;/&gt;&lt;wsp:rsid wsp:val=&quot;00FD4CF6&quot;/&gt;&lt;wsp:rsid wsp:val=&quot;00FD5455&quot;/&gt;&lt;wsp:rsid wsp:val=&quot;00FD5531&quot;/&gt;&lt;wsp:rsid wsp:val=&quot;00FD584E&quot;/&gt;&lt;wsp:rsid wsp:val=&quot;00FD5AE7&quot;/&gt;&lt;wsp:rsid wsp:val=&quot;00FD5F9D&quot;/&gt;&lt;wsp:rsid wsp:val=&quot;00FD618D&quot;/&gt;&lt;wsp:rsid wsp:val=&quot;00FD66C9&quot;/&gt;&lt;wsp:rsid wsp:val=&quot;00FD6D27&quot;/&gt;&lt;wsp:rsid wsp:val=&quot;00FD6F86&quot;/&gt;&lt;wsp:rsid wsp:val=&quot;00FD75D7&quot;/&gt;&lt;wsp:rsid wsp:val=&quot;00FD762F&quot;/&gt;&lt;wsp:rsid wsp:val=&quot;00FD76A1&quot;/&gt;&lt;wsp:rsid wsp:val=&quot;00FD7D93&quot;/&gt;&lt;wsp:rsid wsp:val=&quot;00FD7DE1&quot;/&gt;&lt;wsp:rsid wsp:val=&quot;00FE029E&quot;/&gt;&lt;wsp:rsid wsp:val=&quot;00FE036B&quot;/&gt;&lt;wsp:rsid wsp:val=&quot;00FE0473&quot;/&gt;&lt;wsp:rsid wsp:val=&quot;00FE051B&quot;/&gt;&lt;wsp:rsid wsp:val=&quot;00FE05F2&quot;/&gt;&lt;wsp:rsid wsp:val=&quot;00FE0609&quot;/&gt;&lt;wsp:rsid wsp:val=&quot;00FE08A0&quot;/&gt;&lt;wsp:rsid wsp:val=&quot;00FE0BA6&quot;/&gt;&lt;wsp:rsid wsp:val=&quot;00FE0C80&quot;/&gt;&lt;wsp:rsid wsp:val=&quot;00FE0EEB&quot;/&gt;&lt;wsp:rsid wsp:val=&quot;00FE1247&quot;/&gt;&lt;wsp:rsid wsp:val=&quot;00FE13FE&quot;/&gt;&lt;wsp:rsid wsp:val=&quot;00FE1543&quot;/&gt;&lt;wsp:rsid wsp:val=&quot;00FE174B&quot;/&gt;&lt;wsp:rsid wsp:val=&quot;00FE1BF0&quot;/&gt;&lt;wsp:rsid wsp:val=&quot;00FE1C12&quot;/&gt;&lt;wsp:rsid wsp:val=&quot;00FE23D2&quot;/&gt;&lt;wsp:rsid wsp:val=&quot;00FE2C75&quot;/&gt;&lt;wsp:rsid wsp:val=&quot;00FE2EA9&quot;/&gt;&lt;wsp:rsid wsp:val=&quot;00FE2F88&quot;/&gt;&lt;wsp:rsid wsp:val=&quot;00FE3205&quot;/&gt;&lt;wsp:rsid wsp:val=&quot;00FE3508&quot;/&gt;&lt;wsp:rsid wsp:val=&quot;00FE4194&quot;/&gt;&lt;wsp:rsid wsp:val=&quot;00FE4C69&quot;/&gt;&lt;wsp:rsid wsp:val=&quot;00FE50F5&quot;/&gt;&lt;wsp:rsid wsp:val=&quot;00FE5A67&quot;/&gt;&lt;wsp:rsid wsp:val=&quot;00FE5B4E&quot;/&gt;&lt;wsp:rsid wsp:val=&quot;00FE5BB6&quot;/&gt;&lt;wsp:rsid wsp:val=&quot;00FE5FE2&quot;/&gt;&lt;wsp:rsid wsp:val=&quot;00FE68AF&quot;/&gt;&lt;wsp:rsid wsp:val=&quot;00FE69FF&quot;/&gt;&lt;wsp:rsid wsp:val=&quot;00FE6B81&quot;/&gt;&lt;wsp:rsid wsp:val=&quot;00FE6F08&quot;/&gt;&lt;wsp:rsid wsp:val=&quot;00FE73DA&quot;/&gt;&lt;wsp:rsid wsp:val=&quot;00FE7461&quot;/&gt;&lt;wsp:rsid wsp:val=&quot;00FE7AE3&quot;/&gt;&lt;wsp:rsid wsp:val=&quot;00FE7B60&quot;/&gt;&lt;wsp:rsid wsp:val=&quot;00FE7DA7&quot;/&gt;&lt;wsp:rsid wsp:val=&quot;00FF008D&quot;/&gt;&lt;wsp:rsid wsp:val=&quot;00FF035A&quot;/&gt;&lt;wsp:rsid wsp:val=&quot;00FF0673&quot;/&gt;&lt;wsp:rsid wsp:val=&quot;00FF0D10&quot;/&gt;&lt;wsp:rsid wsp:val=&quot;00FF0F50&quot;/&gt;&lt;wsp:rsid wsp:val=&quot;00FF1047&quot;/&gt;&lt;wsp:rsid wsp:val=&quot;00FF14A9&quot;/&gt;&lt;wsp:rsid wsp:val=&quot;00FF1544&quot;/&gt;&lt;wsp:rsid wsp:val=&quot;00FF17EF&quot;/&gt;&lt;wsp:rsid wsp:val=&quot;00FF1913&quot;/&gt;&lt;wsp:rsid wsp:val=&quot;00FF1B3F&quot;/&gt;&lt;wsp:rsid wsp:val=&quot;00FF2053&quot;/&gt;&lt;wsp:rsid wsp:val=&quot;00FF21AF&quot;/&gt;&lt;wsp:rsid wsp:val=&quot;00FF23D4&quot;/&gt;&lt;wsp:rsid wsp:val=&quot;00FF2490&quot;/&gt;&lt;wsp:rsid wsp:val=&quot;00FF24C2&quot;/&gt;&lt;wsp:rsid wsp:val=&quot;00FF2651&quot;/&gt;&lt;wsp:rsid wsp:val=&quot;00FF2697&quot;/&gt;&lt;wsp:rsid wsp:val=&quot;00FF26E2&quot;/&gt;&lt;wsp:rsid wsp:val=&quot;00FF2FA3&quot;/&gt;&lt;wsp:rsid wsp:val=&quot;00FF3527&quot;/&gt;&lt;wsp:rsid wsp:val=&quot;00FF3F2D&quot;/&gt;&lt;wsp:rsid wsp:val=&quot;00FF3FDC&quot;/&gt;&lt;wsp:rsid wsp:val=&quot;00FF418C&quot;/&gt;&lt;wsp:rsid wsp:val=&quot;00FF458A&quot;/&gt;&lt;wsp:rsid wsp:val=&quot;00FF4B3E&quot;/&gt;&lt;wsp:rsid wsp:val=&quot;00FF4BC9&quot;/&gt;&lt;wsp:rsid wsp:val=&quot;00FF4BCD&quot;/&gt;&lt;wsp:rsid wsp:val=&quot;00FF4CE9&quot;/&gt;&lt;wsp:rsid wsp:val=&quot;00FF4F95&quot;/&gt;&lt;wsp:rsid wsp:val=&quot;00FF5096&quot;/&gt;&lt;wsp:rsid wsp:val=&quot;00FF529E&quot;/&gt;&lt;wsp:rsid wsp:val=&quot;00FF549F&quot;/&gt;&lt;wsp:rsid wsp:val=&quot;00FF54B7&quot;/&gt;&lt;wsp:rsid wsp:val=&quot;00FF5666&quot;/&gt;&lt;wsp:rsid wsp:val=&quot;00FF56A5&quot;/&gt;&lt;wsp:rsid wsp:val=&quot;00FF5BF6&quot;/&gt;&lt;wsp:rsid wsp:val=&quot;00FF5C6D&quot;/&gt;&lt;wsp:rsid wsp:val=&quot;00FF5C6E&quot;/&gt;&lt;wsp:rsid wsp:val=&quot;00FF633F&quot;/&gt;&lt;wsp:rsid wsp:val=&quot;00FF66CC&quot;/&gt;&lt;wsp:rsid wsp:val=&quot;00FF67D3&quot;/&gt;&lt;wsp:rsid wsp:val=&quot;00FF6B0E&quot;/&gt;&lt;wsp:rsid wsp:val=&quot;00FF6B43&quot;/&gt;&lt;wsp:rsid wsp:val=&quot;00FF6F3F&quot;/&gt;&lt;wsp:rsid wsp:val=&quot;00FF7328&quot;/&gt;&lt;wsp:rsid wsp:val=&quot;00FF7600&quot;/&gt;&lt;wsp:rsid wsp:val=&quot;00FF77A7&quot;/&gt;&lt;wsp:rsid wsp:val=&quot;00FF7B0F&quot;/&gt;&lt;wsp:rsid wsp:val=&quot;00FF7D42&quot;/&gt;&lt;wsp:rsid wsp:val=&quot;00FF7F25&quot;/&gt;&lt;/wsp:rsids&gt;&lt;/w:docPr&gt;&lt;w:body&gt;&lt;w:p wsp:rsidR=&quot;00000000&quot; wsp:rsidRDefault=&quot;000F1B9D&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Q&lt;/m:t&gt;&lt;/m:r&gt;&lt;/m:e&gt;&lt;m:sub&gt;&lt;m:r&gt;&lt;w:rPr&gt;&lt;w:rFonts w:ascii=&quot;Cambria Math&quot; w:h-ansi=&quot;Cambria Math&quot;/&gt;&lt;wx:font wx:val=&quot;Cambria Math&quot;/&gt;&lt;w:i/&gt;&lt;w:sz w:val=&quot;28&quot;/&gt;&lt;w:sz-cs w:val=&quot;28&quot;/&gt;&lt;/w:rPr&gt;&lt;m:t&gt;0&lt;/m:t&gt;&lt;/m:r&gt;&lt;/m:sub&gt;&lt;/m:sSub&gt;&lt;m:r&gt;&lt;w:rPr&gt;&lt;w:rFonts w:ascii=&quot;Cambria Math&quot; w:h-ansi=&quot;Cambria Math&quot;/&gt;&lt;wx:font wx:val=&quot;Cambria Math&quot;/&gt;&lt;w:i/&gt;&lt;w:sz w:val=&quot;28&quot;/&gt;&lt;w:sz-cs w:val=&quot;28&quot;/&gt;&lt;/w:rPr&gt;&lt;m:t&gt;=dГ—&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V&lt;/m:t&gt;&lt;/m:r&gt;&lt;/m:e&gt;&lt;m:sub&gt;&lt;m:r&gt;&lt;w:rPr&gt;&lt;w:rFonts w:ascii=&quot;Cambria Math&quot; w:h-ansi=&quot;Cambria Math&quot;/&gt;&lt;wx:font wx:val=&quot;Cambria Math&quot;/&gt;&lt;w:i/&gt;&lt;w:sz w:val=&quot;28&quot;/&gt;&lt;w:sz-cs w:val=&quot;28&quot;/&gt;&lt;/w:rPr&gt;&lt;m:t&gt;x&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2" o:title="" chromakey="white"/>
          </v:shape>
        </w:pict>
      </w:r>
    </w:p>
    <w:p w:rsidR="002D1E45" w:rsidRPr="004D071E" w:rsidRDefault="002D1E45" w:rsidP="004D071E">
      <w:pPr>
        <w:keepNext/>
        <w:widowControl w:val="0"/>
        <w:spacing w:before="1" w:after="0" w:line="240" w:lineRule="auto"/>
        <w:ind w:left="709" w:right="95"/>
        <w:rPr>
          <w:rFonts w:ascii="Times New Roman" w:hAnsi="Times New Roman"/>
          <w:sz w:val="28"/>
          <w:szCs w:val="28"/>
        </w:rPr>
      </w:pPr>
    </w:p>
    <w:p w:rsidR="002D1E45" w:rsidRPr="004D071E" w:rsidRDefault="002D1E45" w:rsidP="004D071E">
      <w:pPr>
        <w:keepNext/>
        <w:widowControl w:val="0"/>
        <w:spacing w:before="1" w:after="0" w:line="240" w:lineRule="auto"/>
        <w:ind w:left="709" w:right="95"/>
        <w:rPr>
          <w:rFonts w:ascii="Times New Roman" w:hAnsi="Times New Roman"/>
          <w:sz w:val="28"/>
          <w:szCs w:val="28"/>
        </w:rPr>
      </w:pPr>
      <w:r w:rsidRPr="004D071E">
        <w:rPr>
          <w:rFonts w:ascii="Times New Roman" w:hAnsi="Times New Roman"/>
          <w:sz w:val="28"/>
          <w:szCs w:val="28"/>
        </w:rPr>
        <w:t>где:</w:t>
      </w:r>
    </w:p>
    <w:p w:rsidR="002D1E45" w:rsidRPr="004D071E" w:rsidRDefault="002D1E45" w:rsidP="004D071E">
      <w:pPr>
        <w:keepNext/>
        <w:widowControl w:val="0"/>
        <w:spacing w:after="0" w:line="321" w:lineRule="exact"/>
        <w:ind w:left="709" w:right="95"/>
        <w:rPr>
          <w:rFonts w:ascii="Times New Roman" w:hAnsi="Times New Roman"/>
          <w:sz w:val="28"/>
          <w:szCs w:val="28"/>
        </w:rPr>
      </w:pPr>
      <w:r w:rsidRPr="004D071E">
        <w:rPr>
          <w:rFonts w:ascii="Times New Roman" w:hAnsi="Times New Roman"/>
          <w:sz w:val="28"/>
          <w:szCs w:val="28"/>
        </w:rPr>
        <w:t>d – плотность АХОВ, т/м</w:t>
      </w:r>
      <w:r w:rsidRPr="004D071E">
        <w:rPr>
          <w:rFonts w:ascii="Times New Roman" w:hAnsi="Times New Roman"/>
          <w:sz w:val="28"/>
          <w:szCs w:val="28"/>
          <w:vertAlign w:val="superscript"/>
        </w:rPr>
        <w:t>3</w:t>
      </w:r>
      <w:r w:rsidRPr="004D071E">
        <w:rPr>
          <w:rFonts w:ascii="Times New Roman" w:hAnsi="Times New Roman"/>
          <w:sz w:val="28"/>
          <w:szCs w:val="28"/>
        </w:rPr>
        <w:t xml:space="preserve"> (табл. В.3 приложения В СП 165.1325800.2014);</w:t>
      </w:r>
    </w:p>
    <w:p w:rsidR="002D1E45" w:rsidRPr="004D071E" w:rsidRDefault="002D1E45" w:rsidP="004D071E">
      <w:pPr>
        <w:keepNext/>
        <w:widowControl w:val="0"/>
        <w:spacing w:after="0" w:line="240" w:lineRule="auto"/>
        <w:ind w:left="709" w:right="95"/>
        <w:rPr>
          <w:rFonts w:ascii="Times New Roman" w:hAnsi="Times New Roman"/>
          <w:sz w:val="28"/>
          <w:szCs w:val="28"/>
        </w:rPr>
      </w:pPr>
      <w:r w:rsidRPr="004D071E">
        <w:rPr>
          <w:rFonts w:ascii="Times New Roman" w:hAnsi="Times New Roman"/>
          <w:sz w:val="28"/>
          <w:szCs w:val="28"/>
        </w:rPr>
        <w:t>V</w:t>
      </w:r>
      <w:r w:rsidRPr="004D071E">
        <w:rPr>
          <w:rFonts w:ascii="Times New Roman" w:hAnsi="Times New Roman"/>
          <w:sz w:val="28"/>
          <w:szCs w:val="28"/>
          <w:vertAlign w:val="subscript"/>
        </w:rPr>
        <w:t>х</w:t>
      </w:r>
      <w:r w:rsidRPr="004D071E">
        <w:rPr>
          <w:rFonts w:ascii="Times New Roman" w:hAnsi="Times New Roman"/>
          <w:sz w:val="28"/>
          <w:szCs w:val="28"/>
        </w:rPr>
        <w:t xml:space="preserve"> – объем хранилища, м</w:t>
      </w:r>
      <w:r w:rsidRPr="004D071E">
        <w:rPr>
          <w:rFonts w:ascii="Times New Roman" w:hAnsi="Times New Roman"/>
          <w:sz w:val="28"/>
          <w:szCs w:val="28"/>
          <w:vertAlign w:val="superscript"/>
        </w:rPr>
        <w:t>3</w:t>
      </w:r>
      <w:r w:rsidRPr="004D071E">
        <w:rPr>
          <w:rFonts w:ascii="Times New Roman" w:hAnsi="Times New Roman"/>
          <w:sz w:val="28"/>
          <w:szCs w:val="28"/>
        </w:rPr>
        <w:t>.</w:t>
      </w:r>
    </w:p>
    <w:p w:rsidR="002D1E45" w:rsidRPr="004D071E" w:rsidRDefault="002D1E45" w:rsidP="004D071E">
      <w:pPr>
        <w:keepNext/>
        <w:widowControl w:val="0"/>
        <w:spacing w:after="0" w:line="240" w:lineRule="auto"/>
        <w:ind w:left="709" w:right="95"/>
        <w:rPr>
          <w:rFonts w:ascii="Times New Roman" w:hAnsi="Times New Roman"/>
          <w:sz w:val="28"/>
          <w:szCs w:val="28"/>
        </w:rPr>
      </w:pPr>
      <w:r w:rsidRPr="004D071E">
        <w:rPr>
          <w:rFonts w:ascii="Times New Roman" w:hAnsi="Times New Roman"/>
          <w:sz w:val="28"/>
          <w:szCs w:val="28"/>
        </w:rPr>
        <w:t>При авариях на газопроводе величина Q</w:t>
      </w:r>
      <w:r w:rsidRPr="004D071E">
        <w:rPr>
          <w:rFonts w:ascii="Times New Roman" w:hAnsi="Times New Roman"/>
          <w:sz w:val="28"/>
          <w:szCs w:val="28"/>
          <w:vertAlign w:val="subscript"/>
        </w:rPr>
        <w:t>0</w:t>
      </w:r>
      <w:r w:rsidRPr="004D071E">
        <w:rPr>
          <w:rFonts w:ascii="Times New Roman" w:hAnsi="Times New Roman"/>
          <w:sz w:val="28"/>
          <w:szCs w:val="28"/>
        </w:rPr>
        <w:t xml:space="preserve"> рассчитывается по формуле:</w:t>
      </w:r>
    </w:p>
    <w:p w:rsidR="002D1E45" w:rsidRPr="004D071E" w:rsidRDefault="002D1E45" w:rsidP="004D071E">
      <w:pPr>
        <w:keepNext/>
        <w:widowControl w:val="0"/>
        <w:spacing w:after="0" w:line="240" w:lineRule="auto"/>
        <w:ind w:left="709" w:right="95"/>
        <w:rPr>
          <w:rFonts w:ascii="Times New Roman" w:hAnsi="Times New Roman"/>
          <w:sz w:val="28"/>
          <w:szCs w:val="28"/>
        </w:rPr>
      </w:pPr>
    </w:p>
    <w:p w:rsidR="002D1E45" w:rsidRPr="004D071E" w:rsidRDefault="002D1E45" w:rsidP="004D071E">
      <w:pPr>
        <w:keepNext/>
        <w:widowControl w:val="0"/>
        <w:spacing w:after="0" w:line="240" w:lineRule="auto"/>
        <w:ind w:right="95"/>
        <w:jc w:val="center"/>
        <w:rPr>
          <w:rFonts w:ascii="Times New Roman" w:hAnsi="Times New Roman"/>
          <w:sz w:val="28"/>
          <w:szCs w:val="28"/>
        </w:rPr>
      </w:pPr>
      <w:r>
        <w:pict>
          <v:shape id="_x0000_i1037" type="#_x0000_t75" style="width:86.25pt;height:27.75pt" equationxml="&lt;?xml version=&quot;1.0&quot; encoding=&quot;UTF-8&quot; standalone=&quot;yes&quot;?&gt;&#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stylePaneFormatFilter w:val=&quot;3F01&quot;/&gt;&lt;w:defaultTabStop w:val=&quot;709&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55249&quot;/&gt;&lt;wsp:rsid wsp:val=&quot;00000069&quot;/&gt;&lt;wsp:rsid wsp:val=&quot;0000011C&quot;/&gt;&lt;wsp:rsid wsp:val=&quot;00000437&quot;/&gt;&lt;wsp:rsid wsp:val=&quot;00001379&quot;/&gt;&lt;wsp:rsid wsp:val=&quot;0000148E&quot;/&gt;&lt;wsp:rsid wsp:val=&quot;00001718&quot;/&gt;&lt;wsp:rsid wsp:val=&quot;000017EA&quot;/&gt;&lt;wsp:rsid wsp:val=&quot;00001828&quot;/&gt;&lt;wsp:rsid wsp:val=&quot;00001D98&quot;/&gt;&lt;wsp:rsid wsp:val=&quot;0000229E&quot;/&gt;&lt;wsp:rsid wsp:val=&quot;000027D5&quot;/&gt;&lt;wsp:rsid wsp:val=&quot;00002824&quot;/&gt;&lt;wsp:rsid wsp:val=&quot;00002C12&quot;/&gt;&lt;wsp:rsid wsp:val=&quot;00002C43&quot;/&gt;&lt;wsp:rsid wsp:val=&quot;00002D9C&quot;/&gt;&lt;wsp:rsid wsp:val=&quot;00002F36&quot;/&gt;&lt;wsp:rsid wsp:val=&quot;0000302F&quot;/&gt;&lt;wsp:rsid wsp:val=&quot;00003030&quot;/&gt;&lt;wsp:rsid wsp:val=&quot;00003EFF&quot;/&gt;&lt;wsp:rsid wsp:val=&quot;0000414C&quot;/&gt;&lt;wsp:rsid wsp:val=&quot;0000443D&quot;/&gt;&lt;wsp:rsid wsp:val=&quot;000046CC&quot;/&gt;&lt;wsp:rsid wsp:val=&quot;00004716&quot;/&gt;&lt;wsp:rsid wsp:val=&quot;0000486D&quot;/&gt;&lt;wsp:rsid wsp:val=&quot;000049C0&quot;/&gt;&lt;wsp:rsid wsp:val=&quot;00004D19&quot;/&gt;&lt;wsp:rsid wsp:val=&quot;00004FAE&quot;/&gt;&lt;wsp:rsid wsp:val=&quot;00004FFC&quot;/&gt;&lt;wsp:rsid wsp:val=&quot;00005636&quot;/&gt;&lt;wsp:rsid wsp:val=&quot;000056E1&quot;/&gt;&lt;wsp:rsid wsp:val=&quot;00005DAF&quot;/&gt;&lt;wsp:rsid wsp:val=&quot;00005F1A&quot;/&gt;&lt;wsp:rsid wsp:val=&quot;00005FEB&quot;/&gt;&lt;wsp:rsid wsp:val=&quot;00006392&quot;/&gt;&lt;wsp:rsid wsp:val=&quot;000063D0&quot;/&gt;&lt;wsp:rsid wsp:val=&quot;00006AE8&quot;/&gt;&lt;wsp:rsid wsp:val=&quot;00006D6F&quot;/&gt;&lt;wsp:rsid wsp:val=&quot;00007175&quot;/&gt;&lt;wsp:rsid wsp:val=&quot;00007274&quot;/&gt;&lt;wsp:rsid wsp:val=&quot;00007B99&quot;/&gt;&lt;wsp:rsid wsp:val=&quot;000101C0&quot;/&gt;&lt;wsp:rsid wsp:val=&quot;00010212&quot;/&gt;&lt;wsp:rsid wsp:val=&quot;00010264&quot;/&gt;&lt;wsp:rsid wsp:val=&quot;000102BD&quot;/&gt;&lt;wsp:rsid wsp:val=&quot;000102EA&quot;/&gt;&lt;wsp:rsid wsp:val=&quot;00010466&quot;/&gt;&lt;wsp:rsid wsp:val=&quot;00010AB4&quot;/&gt;&lt;wsp:rsid wsp:val=&quot;00010B0B&quot;/&gt;&lt;wsp:rsid wsp:val=&quot;00010C3B&quot;/&gt;&lt;wsp:rsid wsp:val=&quot;00010F91&quot;/&gt;&lt;wsp:rsid wsp:val=&quot;000112EE&quot;/&gt;&lt;wsp:rsid wsp:val=&quot;0001146D&quot;/&gt;&lt;wsp:rsid wsp:val=&quot;00011665&quot;/&gt;&lt;wsp:rsid wsp:val=&quot;00011B64&quot;/&gt;&lt;wsp:rsid wsp:val=&quot;00011CA8&quot;/&gt;&lt;wsp:rsid wsp:val=&quot;00011DE4&quot;/&gt;&lt;wsp:rsid wsp:val=&quot;000124AE&quot;/&gt;&lt;wsp:rsid wsp:val=&quot;000127BC&quot;/&gt;&lt;wsp:rsid wsp:val=&quot;00012A66&quot;/&gt;&lt;wsp:rsid wsp:val=&quot;00012DA8&quot;/&gt;&lt;wsp:rsid wsp:val=&quot;00013A20&quot;/&gt;&lt;wsp:rsid wsp:val=&quot;00013A8A&quot;/&gt;&lt;wsp:rsid wsp:val=&quot;00013CAF&quot;/&gt;&lt;wsp:rsid wsp:val=&quot;00013FBF&quot;/&gt;&lt;wsp:rsid wsp:val=&quot;00014152&quot;/&gt;&lt;wsp:rsid wsp:val=&quot;00014177&quot;/&gt;&lt;wsp:rsid wsp:val=&quot;0001436E&quot;/&gt;&lt;wsp:rsid wsp:val=&quot;00014640&quot;/&gt;&lt;wsp:rsid wsp:val=&quot;000146AB&quot;/&gt;&lt;wsp:rsid wsp:val=&quot;0001483D&quot;/&gt;&lt;wsp:rsid wsp:val=&quot;00014851&quot;/&gt;&lt;wsp:rsid wsp:val=&quot;00014B97&quot;/&gt;&lt;wsp:rsid wsp:val=&quot;00014CA6&quot;/&gt;&lt;wsp:rsid wsp:val=&quot;00015089&quot;/&gt;&lt;wsp:rsid wsp:val=&quot;00015200&quot;/&gt;&lt;wsp:rsid wsp:val=&quot;00015247&quot;/&gt;&lt;wsp:rsid wsp:val=&quot;00015471&quot;/&gt;&lt;wsp:rsid wsp:val=&quot;00015475&quot;/&gt;&lt;wsp:rsid wsp:val=&quot;000156EB&quot;/&gt;&lt;wsp:rsid wsp:val=&quot;00015CFD&quot;/&gt;&lt;wsp:rsid wsp:val=&quot;00015E89&quot;/&gt;&lt;wsp:rsid wsp:val=&quot;000162CA&quot;/&gt;&lt;wsp:rsid wsp:val=&quot;000168D8&quot;/&gt;&lt;wsp:rsid wsp:val=&quot;00016BF0&quot;/&gt;&lt;wsp:rsid wsp:val=&quot;00016DD4&quot;/&gt;&lt;wsp:rsid wsp:val=&quot;00016F5A&quot;/&gt;&lt;wsp:rsid wsp:val=&quot;000171AD&quot;/&gt;&lt;wsp:rsid wsp:val=&quot;0001725E&quot;/&gt;&lt;wsp:rsid wsp:val=&quot;000173C4&quot;/&gt;&lt;wsp:rsid wsp:val=&quot;0001783F&quot;/&gt;&lt;wsp:rsid wsp:val=&quot;00017B5A&quot;/&gt;&lt;wsp:rsid wsp:val=&quot;00017FC8&quot;/&gt;&lt;wsp:rsid wsp:val=&quot;000200B7&quot;/&gt;&lt;wsp:rsid wsp:val=&quot;00020690&quot;/&gt;&lt;wsp:rsid wsp:val=&quot;000207BC&quot;/&gt;&lt;wsp:rsid wsp:val=&quot;00020B70&quot;/&gt;&lt;wsp:rsid wsp:val=&quot;00020CF2&quot;/&gt;&lt;wsp:rsid wsp:val=&quot;00020D15&quot;/&gt;&lt;wsp:rsid wsp:val=&quot;0002146E&quot;/&gt;&lt;wsp:rsid wsp:val=&quot;000216FC&quot;/&gt;&lt;wsp:rsid wsp:val=&quot;00021808&quot;/&gt;&lt;wsp:rsid wsp:val=&quot;00021864&quot;/&gt;&lt;wsp:rsid wsp:val=&quot;000219DD&quot;/&gt;&lt;wsp:rsid wsp:val=&quot;00021A57&quot;/&gt;&lt;wsp:rsid wsp:val=&quot;00021C1B&quot;/&gt;&lt;wsp:rsid wsp:val=&quot;00021C6A&quot;/&gt;&lt;wsp:rsid wsp:val=&quot;0002261A&quot;/&gt;&lt;wsp:rsid wsp:val=&quot;00022689&quot;/&gt;&lt;wsp:rsid wsp:val=&quot;0002275A&quot;/&gt;&lt;wsp:rsid wsp:val=&quot;00022976&quot;/&gt;&lt;wsp:rsid wsp:val=&quot;00022B13&quot;/&gt;&lt;wsp:rsid wsp:val=&quot;00022C89&quot;/&gt;&lt;wsp:rsid wsp:val=&quot;00022ED3&quot;/&gt;&lt;wsp:rsid wsp:val=&quot;0002310D&quot;/&gt;&lt;wsp:rsid wsp:val=&quot;0002325C&quot;/&gt;&lt;wsp:rsid wsp:val=&quot;000233B5&quot;/&gt;&lt;wsp:rsid wsp:val=&quot;000235C8&quot;/&gt;&lt;wsp:rsid wsp:val=&quot;000237E7&quot;/&gt;&lt;wsp:rsid wsp:val=&quot;000238DD&quot;/&gt;&lt;wsp:rsid wsp:val=&quot;00023B4A&quot;/&gt;&lt;wsp:rsid wsp:val=&quot;00023CDA&quot;/&gt;&lt;wsp:rsid wsp:val=&quot;0002413B&quot;/&gt;&lt;wsp:rsid wsp:val=&quot;000244A8&quot;/&gt;&lt;wsp:rsid wsp:val=&quot;0002487C&quot;/&gt;&lt;wsp:rsid wsp:val=&quot;00024D37&quot;/&gt;&lt;wsp:rsid wsp:val=&quot;00024F28&quot;/&gt;&lt;wsp:rsid wsp:val=&quot;000252B6&quot;/&gt;&lt;wsp:rsid wsp:val=&quot;000254CC&quot;/&gt;&lt;wsp:rsid wsp:val=&quot;00025586&quot;/&gt;&lt;wsp:rsid wsp:val=&quot;000260FE&quot;/&gt;&lt;wsp:rsid wsp:val=&quot;00026294&quot;/&gt;&lt;wsp:rsid wsp:val=&quot;00026338&quot;/&gt;&lt;wsp:rsid wsp:val=&quot;000266C8&quot;/&gt;&lt;wsp:rsid wsp:val=&quot;00026ABE&quot;/&gt;&lt;wsp:rsid wsp:val=&quot;00026FF4&quot;/&gt;&lt;wsp:rsid wsp:val=&quot;0002729C&quot;/&gt;&lt;wsp:rsid wsp:val=&quot;000279E6&quot;/&gt;&lt;wsp:rsid wsp:val=&quot;00027B3A&quot;/&gt;&lt;wsp:rsid wsp:val=&quot;00027C41&quot;/&gt;&lt;wsp:rsid wsp:val=&quot;00027F89&quot;/&gt;&lt;wsp:rsid wsp:val=&quot;0003050D&quot;/&gt;&lt;wsp:rsid wsp:val=&quot;00030523&quot;/&gt;&lt;wsp:rsid wsp:val=&quot;00031209&quot;/&gt;&lt;wsp:rsid wsp:val=&quot;00031883&quot;/&gt;&lt;wsp:rsid wsp:val=&quot;00032460&quot;/&gt;&lt;wsp:rsid wsp:val=&quot;0003252F&quot;/&gt;&lt;wsp:rsid wsp:val=&quot;000325E4&quot;/&gt;&lt;wsp:rsid wsp:val=&quot;000329BA&quot;/&gt;&lt;wsp:rsid wsp:val=&quot;00032F20&quot;/&gt;&lt;wsp:rsid wsp:val=&quot;000330C7&quot;/&gt;&lt;wsp:rsid wsp:val=&quot;00033121&quot;/&gt;&lt;wsp:rsid wsp:val=&quot;000332E2&quot;/&gt;&lt;wsp:rsid wsp:val=&quot;00033895&quot;/&gt;&lt;wsp:rsid wsp:val=&quot;00033D2D&quot;/&gt;&lt;wsp:rsid wsp:val=&quot;0003401B&quot;/&gt;&lt;wsp:rsid wsp:val=&quot;000341CE&quot;/&gt;&lt;wsp:rsid wsp:val=&quot;00034258&quot;/&gt;&lt;wsp:rsid wsp:val=&quot;00034677&quot;/&gt;&lt;wsp:rsid wsp:val=&quot;000355D5&quot;/&gt;&lt;wsp:rsid wsp:val=&quot;0003587E&quot;/&gt;&lt;wsp:rsid wsp:val=&quot;000358E5&quot;/&gt;&lt;wsp:rsid wsp:val=&quot;00035FC8&quot;/&gt;&lt;wsp:rsid wsp:val=&quot;00036085&quot;/&gt;&lt;wsp:rsid wsp:val=&quot;0003610F&quot;/&gt;&lt;wsp:rsid wsp:val=&quot;00036574&quot;/&gt;&lt;wsp:rsid wsp:val=&quot;00036A0C&quot;/&gt;&lt;wsp:rsid wsp:val=&quot;0003741C&quot;/&gt;&lt;wsp:rsid wsp:val=&quot;000375A9&quot;/&gt;&lt;wsp:rsid wsp:val=&quot;000375E4&quot;/&gt;&lt;wsp:rsid wsp:val=&quot;00037990&quot;/&gt;&lt;wsp:rsid wsp:val=&quot;000379E2&quot;/&gt;&lt;wsp:rsid wsp:val=&quot;00037A8B&quot;/&gt;&lt;wsp:rsid wsp:val=&quot;00037B44&quot;/&gt;&lt;wsp:rsid wsp:val=&quot;00037D86&quot;/&gt;&lt;wsp:rsid wsp:val=&quot;000401B5&quot;/&gt;&lt;wsp:rsid wsp:val=&quot;00040704&quot;/&gt;&lt;wsp:rsid wsp:val=&quot;00040747&quot;/&gt;&lt;wsp:rsid wsp:val=&quot;00040937&quot;/&gt;&lt;wsp:rsid wsp:val=&quot;00040B84&quot;/&gt;&lt;wsp:rsid wsp:val=&quot;00040C12&quot;/&gt;&lt;wsp:rsid wsp:val=&quot;00040DA1&quot;/&gt;&lt;wsp:rsid wsp:val=&quot;00040F18&quot;/&gt;&lt;wsp:rsid wsp:val=&quot;0004110F&quot;/&gt;&lt;wsp:rsid wsp:val=&quot;000412EB&quot;/&gt;&lt;wsp:rsid wsp:val=&quot;0004138D&quot;/&gt;&lt;wsp:rsid wsp:val=&quot;000413F1&quot;/&gt;&lt;wsp:rsid wsp:val=&quot;000414C0&quot;/&gt;&lt;wsp:rsid wsp:val=&quot;00041E8F&quot;/&gt;&lt;wsp:rsid wsp:val=&quot;00041F06&quot;/&gt;&lt;wsp:rsid wsp:val=&quot;0004255B&quot;/&gt;&lt;wsp:rsid wsp:val=&quot;00042594&quot;/&gt;&lt;wsp:rsid wsp:val=&quot;0004273E&quot;/&gt;&lt;wsp:rsid wsp:val=&quot;00042764&quot;/&gt;&lt;wsp:rsid wsp:val=&quot;00042F4A&quot;/&gt;&lt;wsp:rsid wsp:val=&quot;000430F4&quot;/&gt;&lt;wsp:rsid wsp:val=&quot;00043921&quot;/&gt;&lt;wsp:rsid wsp:val=&quot;00043935&quot;/&gt;&lt;wsp:rsid wsp:val=&quot;00043EB2&quot;/&gt;&lt;wsp:rsid wsp:val=&quot;0004419F&quot;/&gt;&lt;wsp:rsid wsp:val=&quot;00044391&quot;/&gt;&lt;wsp:rsid wsp:val=&quot;0004446E&quot;/&gt;&lt;wsp:rsid wsp:val=&quot;000444B3&quot;/&gt;&lt;wsp:rsid wsp:val=&quot;00044538&quot;/&gt;&lt;wsp:rsid wsp:val=&quot;0004488A&quot;/&gt;&lt;wsp:rsid wsp:val=&quot;000449CE&quot;/&gt;&lt;wsp:rsid wsp:val=&quot;00044A16&quot;/&gt;&lt;wsp:rsid wsp:val=&quot;00044B5C&quot;/&gt;&lt;wsp:rsid wsp:val=&quot;00044D18&quot;/&gt;&lt;wsp:rsid wsp:val=&quot;00044E73&quot;/&gt;&lt;wsp:rsid wsp:val=&quot;00044F28&quot;/&gt;&lt;wsp:rsid wsp:val=&quot;00044FEF&quot;/&gt;&lt;wsp:rsid wsp:val=&quot;00045598&quot;/&gt;&lt;wsp:rsid wsp:val=&quot;00045B35&quot;/&gt;&lt;wsp:rsid wsp:val=&quot;00045E51&quot;/&gt;&lt;wsp:rsid wsp:val=&quot;00046110&quot;/&gt;&lt;wsp:rsid wsp:val=&quot;00046429&quot;/&gt;&lt;wsp:rsid wsp:val=&quot;0004668C&quot;/&gt;&lt;wsp:rsid wsp:val=&quot;000475D4&quot;/&gt;&lt;wsp:rsid wsp:val=&quot;00047C17&quot;/&gt;&lt;wsp:rsid wsp:val=&quot;00047C27&quot;/&gt;&lt;wsp:rsid wsp:val=&quot;00047C59&quot;/&gt;&lt;wsp:rsid wsp:val=&quot;00047F34&quot;/&gt;&lt;wsp:rsid wsp:val=&quot;000504F0&quot;/&gt;&lt;wsp:rsid wsp:val=&quot;00050664&quot;/&gt;&lt;wsp:rsid wsp:val=&quot;00050880&quot;/&gt;&lt;wsp:rsid wsp:val=&quot;00050993&quot;/&gt;&lt;wsp:rsid wsp:val=&quot;00050FD6&quot;/&gt;&lt;wsp:rsid wsp:val=&quot;00051206&quot;/&gt;&lt;wsp:rsid wsp:val=&quot;000515A2&quot;/&gt;&lt;wsp:rsid wsp:val=&quot;00051F54&quot;/&gt;&lt;wsp:rsid wsp:val=&quot;000520A1&quot;/&gt;&lt;wsp:rsid wsp:val=&quot;000525EB&quot;/&gt;&lt;wsp:rsid wsp:val=&quot;0005266E&quot;/&gt;&lt;wsp:rsid wsp:val=&quot;000527E0&quot;/&gt;&lt;wsp:rsid wsp:val=&quot;00052923&quot;/&gt;&lt;wsp:rsid wsp:val=&quot;00052D26&quot;/&gt;&lt;wsp:rsid wsp:val=&quot;00052E31&quot;/&gt;&lt;wsp:rsid wsp:val=&quot;000535A5&quot;/&gt;&lt;wsp:rsid wsp:val=&quot;000536A3&quot;/&gt;&lt;wsp:rsid wsp:val=&quot;00053D10&quot;/&gt;&lt;wsp:rsid wsp:val=&quot;00053F2B&quot;/&gt;&lt;wsp:rsid wsp:val=&quot;00053F37&quot;/&gt;&lt;wsp:rsid wsp:val=&quot;000546C9&quot;/&gt;&lt;wsp:rsid wsp:val=&quot;000547F3&quot;/&gt;&lt;wsp:rsid wsp:val=&quot;000548C7&quot;/&gt;&lt;wsp:rsid wsp:val=&quot;00054E12&quot;/&gt;&lt;wsp:rsid wsp:val=&quot;00054E32&quot;/&gt;&lt;wsp:rsid wsp:val=&quot;000551DD&quot;/&gt;&lt;wsp:rsid wsp:val=&quot;0005551E&quot;/&gt;&lt;wsp:rsid wsp:val=&quot;00055725&quot;/&gt;&lt;wsp:rsid wsp:val=&quot;0005582F&quot;/&gt;&lt;wsp:rsid wsp:val=&quot;000558B6&quot;/&gt;&lt;wsp:rsid wsp:val=&quot;00055A9A&quot;/&gt;&lt;wsp:rsid wsp:val=&quot;00055D45&quot;/&gt;&lt;wsp:rsid wsp:val=&quot;00055E28&quot;/&gt;&lt;wsp:rsid wsp:val=&quot;000563E2&quot;/&gt;&lt;wsp:rsid wsp:val=&quot;0005646A&quot;/&gt;&lt;wsp:rsid wsp:val=&quot;00056820&quot;/&gt;&lt;wsp:rsid wsp:val=&quot;00056C8F&quot;/&gt;&lt;wsp:rsid wsp:val=&quot;000570B4&quot;/&gt;&lt;wsp:rsid wsp:val=&quot;00057287&quot;/&gt;&lt;wsp:rsid wsp:val=&quot;00057450&quot;/&gt;&lt;wsp:rsid wsp:val=&quot;00057FD1&quot;/&gt;&lt;wsp:rsid wsp:val=&quot;000605C6&quot;/&gt;&lt;wsp:rsid wsp:val=&quot;0006094F&quot;/&gt;&lt;wsp:rsid wsp:val=&quot;00060D9A&quot;/&gt;&lt;wsp:rsid wsp:val=&quot;0006114D&quot;/&gt;&lt;wsp:rsid wsp:val=&quot;00061342&quot;/&gt;&lt;wsp:rsid wsp:val=&quot;000616FB&quot;/&gt;&lt;wsp:rsid wsp:val=&quot;00061D4B&quot;/&gt;&lt;wsp:rsid wsp:val=&quot;0006251F&quot;/&gt;&lt;wsp:rsid wsp:val=&quot;00062BCA&quot;/&gt;&lt;wsp:rsid wsp:val=&quot;00063845&quot;/&gt;&lt;wsp:rsid wsp:val=&quot;00063E7D&quot;/&gt;&lt;wsp:rsid wsp:val=&quot;00063F8C&quot;/&gt;&lt;wsp:rsid wsp:val=&quot;00064336&quot;/&gt;&lt;wsp:rsid wsp:val=&quot;000643A2&quot;/&gt;&lt;wsp:rsid wsp:val=&quot;00064B66&quot;/&gt;&lt;wsp:rsid wsp:val=&quot;00064F9D&quot;/&gt;&lt;wsp:rsid wsp:val=&quot;0006561A&quot;/&gt;&lt;wsp:rsid wsp:val=&quot;000659B9&quot;/&gt;&lt;wsp:rsid wsp:val=&quot;00065B48&quot;/&gt;&lt;wsp:rsid wsp:val=&quot;00065F03&quot;/&gt;&lt;wsp:rsid wsp:val=&quot;00066175&quot;/&gt;&lt;wsp:rsid wsp:val=&quot;000661F0&quot;/&gt;&lt;wsp:rsid wsp:val=&quot;00066384&quot;/&gt;&lt;wsp:rsid wsp:val=&quot;00066556&quot;/&gt;&lt;wsp:rsid wsp:val=&quot;00066C9F&quot;/&gt;&lt;wsp:rsid wsp:val=&quot;00066D83&quot;/&gt;&lt;wsp:rsid wsp:val=&quot;00067045&quot;/&gt;&lt;wsp:rsid wsp:val=&quot;00067A40&quot;/&gt;&lt;wsp:rsid wsp:val=&quot;00067AA3&quot;/&gt;&lt;wsp:rsid wsp:val=&quot;00067AB9&quot;/&gt;&lt;wsp:rsid wsp:val=&quot;00070000&quot;/&gt;&lt;wsp:rsid wsp:val=&quot;00070067&quot;/&gt;&lt;wsp:rsid wsp:val=&quot;0007015F&quot;/&gt;&lt;wsp:rsid wsp:val=&quot;000702C2&quot;/&gt;&lt;wsp:rsid wsp:val=&quot;000702C6&quot;/&gt;&lt;wsp:rsid wsp:val=&quot;00070A24&quot;/&gt;&lt;wsp:rsid wsp:val=&quot;00071628&quot;/&gt;&lt;wsp:rsid wsp:val=&quot;0007185F&quot;/&gt;&lt;wsp:rsid wsp:val=&quot;00072553&quot;/&gt;&lt;wsp:rsid wsp:val=&quot;00072E07&quot;/&gt;&lt;wsp:rsid wsp:val=&quot;00073729&quot;/&gt;&lt;wsp:rsid wsp:val=&quot;000739F2&quot;/&gt;&lt;wsp:rsid wsp:val=&quot;00073E02&quot;/&gt;&lt;wsp:rsid wsp:val=&quot;00074052&quot;/&gt;&lt;wsp:rsid wsp:val=&quot;00074807&quot;/&gt;&lt;wsp:rsid wsp:val=&quot;00075396&quot;/&gt;&lt;wsp:rsid wsp:val=&quot;00075542&quot;/&gt;&lt;wsp:rsid wsp:val=&quot;00075821&quot;/&gt;&lt;wsp:rsid wsp:val=&quot;00075BDC&quot;/&gt;&lt;wsp:rsid wsp:val=&quot;00075C12&quot;/&gt;&lt;wsp:rsid wsp:val=&quot;00076244&quot;/&gt;&lt;wsp:rsid wsp:val=&quot;0007658B&quot;/&gt;&lt;wsp:rsid wsp:val=&quot;000765A5&quot;/&gt;&lt;wsp:rsid wsp:val=&quot;000766B1&quot;/&gt;&lt;wsp:rsid wsp:val=&quot;00076AEC&quot;/&gt;&lt;wsp:rsid wsp:val=&quot;00076B85&quot;/&gt;&lt;wsp:rsid wsp:val=&quot;00077223&quot;/&gt;&lt;wsp:rsid wsp:val=&quot;000775BC&quot;/&gt;&lt;wsp:rsid wsp:val=&quot;00077735&quot;/&gt;&lt;wsp:rsid wsp:val=&quot;00077964&quot;/&gt;&lt;wsp:rsid wsp:val=&quot;00077AC7&quot;/&gt;&lt;wsp:rsid wsp:val=&quot;00080093&quot;/&gt;&lt;wsp:rsid wsp:val=&quot;00080B60&quot;/&gt;&lt;wsp:rsid wsp:val=&quot;00080D86&quot;/&gt;&lt;wsp:rsid wsp:val=&quot;0008123C&quot;/&gt;&lt;wsp:rsid wsp:val=&quot;000815B0&quot;/&gt;&lt;wsp:rsid wsp:val=&quot;000822F8&quot;/&gt;&lt;wsp:rsid wsp:val=&quot;0008289C&quot;/&gt;&lt;wsp:rsid wsp:val=&quot;00082ACC&quot;/&gt;&lt;wsp:rsid wsp:val=&quot;00082EC5&quot;/&gt;&lt;wsp:rsid wsp:val=&quot;00083307&quot;/&gt;&lt;wsp:rsid wsp:val=&quot;0008338D&quot;/&gt;&lt;wsp:rsid wsp:val=&quot;00083405&quot;/&gt;&lt;wsp:rsid wsp:val=&quot;00083653&quot;/&gt;&lt;wsp:rsid wsp:val=&quot;00083ADB&quot;/&gt;&lt;wsp:rsid wsp:val=&quot;00083BC4&quot;/&gt;&lt;wsp:rsid wsp:val=&quot;00083C79&quot;/&gt;&lt;wsp:rsid wsp:val=&quot;000845BC&quot;/&gt;&lt;wsp:rsid wsp:val=&quot;00084681&quot;/&gt;&lt;wsp:rsid wsp:val=&quot;000849E2&quot;/&gt;&lt;wsp:rsid wsp:val=&quot;00085033&quot;/&gt;&lt;wsp:rsid wsp:val=&quot;0008530A&quot;/&gt;&lt;wsp:rsid wsp:val=&quot;00085A95&quot;/&gt;&lt;wsp:rsid wsp:val=&quot;00085CFD&quot;/&gt;&lt;wsp:rsid wsp:val=&quot;0008620C&quot;/&gt;&lt;wsp:rsid wsp:val=&quot;00086329&quot;/&gt;&lt;wsp:rsid wsp:val=&quot;0008638E&quot;/&gt;&lt;wsp:rsid wsp:val=&quot;00086444&quot;/&gt;&lt;wsp:rsid wsp:val=&quot;00086BB9&quot;/&gt;&lt;wsp:rsid wsp:val=&quot;00087727&quot;/&gt;&lt;wsp:rsid wsp:val=&quot;000877E2&quot;/&gt;&lt;wsp:rsid wsp:val=&quot;00087AC4&quot;/&gt;&lt;wsp:rsid wsp:val=&quot;00087E23&quot;/&gt;&lt;wsp:rsid wsp:val=&quot;0009014C&quot;/&gt;&lt;wsp:rsid wsp:val=&quot;0009092E&quot;/&gt;&lt;wsp:rsid wsp:val=&quot;00090D88&quot;/&gt;&lt;wsp:rsid wsp:val=&quot;00091590&quot;/&gt;&lt;wsp:rsid wsp:val=&quot;0009167E&quot;/&gt;&lt;wsp:rsid wsp:val=&quot;00091B44&quot;/&gt;&lt;wsp:rsid wsp:val=&quot;00091DDD&quot;/&gt;&lt;wsp:rsid wsp:val=&quot;00092244&quot;/&gt;&lt;wsp:rsid wsp:val=&quot;000922A0&quot;/&gt;&lt;wsp:rsid wsp:val=&quot;0009250A&quot;/&gt;&lt;wsp:rsid wsp:val=&quot;00092832&quot;/&gt;&lt;wsp:rsid wsp:val=&quot;00092880&quot;/&gt;&lt;wsp:rsid wsp:val=&quot;000928B8&quot;/&gt;&lt;wsp:rsid wsp:val=&quot;00092BDB&quot;/&gt;&lt;wsp:rsid wsp:val=&quot;00092D38&quot;/&gt;&lt;wsp:rsid wsp:val=&quot;00092DF8&quot;/&gt;&lt;wsp:rsid wsp:val=&quot;00093306&quot;/&gt;&lt;wsp:rsid wsp:val=&quot;00093658&quot;/&gt;&lt;wsp:rsid wsp:val=&quot;000936D3&quot;/&gt;&lt;wsp:rsid wsp:val=&quot;00093D53&quot;/&gt;&lt;wsp:rsid wsp:val=&quot;00093FD6&quot;/&gt;&lt;wsp:rsid wsp:val=&quot;000943A3&quot;/&gt;&lt;wsp:rsid wsp:val=&quot;0009494C&quot;/&gt;&lt;wsp:rsid wsp:val=&quot;00094EE1&quot;/&gt;&lt;wsp:rsid wsp:val=&quot;00095196&quot;/&gt;&lt;wsp:rsid wsp:val=&quot;00095C3B&quot;/&gt;&lt;wsp:rsid wsp:val=&quot;00096485&quot;/&gt;&lt;wsp:rsid wsp:val=&quot;000964BF&quot;/&gt;&lt;wsp:rsid wsp:val=&quot;00096807&quot;/&gt;&lt;wsp:rsid wsp:val=&quot;00096843&quot;/&gt;&lt;wsp:rsid wsp:val=&quot;000968B5&quot;/&gt;&lt;wsp:rsid wsp:val=&quot;00096B2F&quot;/&gt;&lt;wsp:rsid wsp:val=&quot;00096F78&quot;/&gt;&lt;wsp:rsid wsp:val=&quot;00097521&quot;/&gt;&lt;wsp:rsid wsp:val=&quot;000978B1&quot;/&gt;&lt;wsp:rsid wsp:val=&quot;000A002B&quot;/&gt;&lt;wsp:rsid wsp:val=&quot;000A0434&quot;/&gt;&lt;wsp:rsid wsp:val=&quot;000A04F0&quot;/&gt;&lt;wsp:rsid wsp:val=&quot;000A08A6&quot;/&gt;&lt;wsp:rsid wsp:val=&quot;000A0932&quot;/&gt;&lt;wsp:rsid wsp:val=&quot;000A0A93&quot;/&gt;&lt;wsp:rsid wsp:val=&quot;000A0BB0&quot;/&gt;&lt;wsp:rsid wsp:val=&quot;000A0DA2&quot;/&gt;&lt;wsp:rsid wsp:val=&quot;000A16CC&quot;/&gt;&lt;wsp:rsid wsp:val=&quot;000A1A46&quot;/&gt;&lt;wsp:rsid wsp:val=&quot;000A1B18&quot;/&gt;&lt;wsp:rsid wsp:val=&quot;000A1C8A&quot;/&gt;&lt;wsp:rsid wsp:val=&quot;000A379F&quot;/&gt;&lt;wsp:rsid wsp:val=&quot;000A38E0&quot;/&gt;&lt;wsp:rsid wsp:val=&quot;000A39DE&quot;/&gt;&lt;wsp:rsid wsp:val=&quot;000A3C68&quot;/&gt;&lt;wsp:rsid wsp:val=&quot;000A3F95&quot;/&gt;&lt;wsp:rsid wsp:val=&quot;000A4373&quot;/&gt;&lt;wsp:rsid wsp:val=&quot;000A4670&quot;/&gt;&lt;wsp:rsid wsp:val=&quot;000A477D&quot;/&gt;&lt;wsp:rsid wsp:val=&quot;000A47CF&quot;/&gt;&lt;wsp:rsid wsp:val=&quot;000A4C05&quot;/&gt;&lt;wsp:rsid wsp:val=&quot;000A4D03&quot;/&gt;&lt;wsp:rsid wsp:val=&quot;000A4FB4&quot;/&gt;&lt;wsp:rsid wsp:val=&quot;000A4FF6&quot;/&gt;&lt;wsp:rsid wsp:val=&quot;000A512E&quot;/&gt;&lt;wsp:rsid wsp:val=&quot;000A525A&quot;/&gt;&lt;wsp:rsid wsp:val=&quot;000A52FF&quot;/&gt;&lt;wsp:rsid wsp:val=&quot;000A57A2&quot;/&gt;&lt;wsp:rsid wsp:val=&quot;000A5EA9&quot;/&gt;&lt;wsp:rsid wsp:val=&quot;000A611E&quot;/&gt;&lt;wsp:rsid wsp:val=&quot;000A6372&quot;/&gt;&lt;wsp:rsid wsp:val=&quot;000A68B1&quot;/&gt;&lt;wsp:rsid wsp:val=&quot;000A6AAC&quot;/&gt;&lt;wsp:rsid wsp:val=&quot;000A6BF9&quot;/&gt;&lt;wsp:rsid wsp:val=&quot;000A6E06&quot;/&gt;&lt;wsp:rsid wsp:val=&quot;000A718C&quot;/&gt;&lt;wsp:rsid wsp:val=&quot;000A741A&quot;/&gt;&lt;wsp:rsid wsp:val=&quot;000A7430&quot;/&gt;&lt;wsp:rsid wsp:val=&quot;000A7482&quot;/&gt;&lt;wsp:rsid wsp:val=&quot;000A7895&quot;/&gt;&lt;wsp:rsid wsp:val=&quot;000A7BD7&quot;/&gt;&lt;wsp:rsid wsp:val=&quot;000A7D80&quot;/&gt;&lt;wsp:rsid wsp:val=&quot;000B1142&quot;/&gt;&lt;wsp:rsid wsp:val=&quot;000B1322&quot;/&gt;&lt;wsp:rsid wsp:val=&quot;000B149A&quot;/&gt;&lt;wsp:rsid wsp:val=&quot;000B14DF&quot;/&gt;&lt;wsp:rsid wsp:val=&quot;000B167D&quot;/&gt;&lt;wsp:rsid wsp:val=&quot;000B1B67&quot;/&gt;&lt;wsp:rsid wsp:val=&quot;000B1E31&quot;/&gt;&lt;wsp:rsid wsp:val=&quot;000B221A&quot;/&gt;&lt;wsp:rsid wsp:val=&quot;000B251B&quot;/&gt;&lt;wsp:rsid wsp:val=&quot;000B25C3&quot;/&gt;&lt;wsp:rsid wsp:val=&quot;000B27FD&quot;/&gt;&lt;wsp:rsid wsp:val=&quot;000B286C&quot;/&gt;&lt;wsp:rsid wsp:val=&quot;000B2B47&quot;/&gt;&lt;wsp:rsid wsp:val=&quot;000B2B6B&quot;/&gt;&lt;wsp:rsid wsp:val=&quot;000B2C1A&quot;/&gt;&lt;wsp:rsid wsp:val=&quot;000B2EB4&quot;/&gt;&lt;wsp:rsid wsp:val=&quot;000B3481&quot;/&gt;&lt;wsp:rsid wsp:val=&quot;000B3B79&quot;/&gt;&lt;wsp:rsid wsp:val=&quot;000B4097&quot;/&gt;&lt;wsp:rsid wsp:val=&quot;000B40D5&quot;/&gt;&lt;wsp:rsid wsp:val=&quot;000B439E&quot;/&gt;&lt;wsp:rsid wsp:val=&quot;000B4880&quot;/&gt;&lt;wsp:rsid wsp:val=&quot;000B4C48&quot;/&gt;&lt;wsp:rsid wsp:val=&quot;000B51E8&quot;/&gt;&lt;wsp:rsid wsp:val=&quot;000B5B75&quot;/&gt;&lt;wsp:rsid wsp:val=&quot;000B5B94&quot;/&gt;&lt;wsp:rsid wsp:val=&quot;000B5C9E&quot;/&gt;&lt;wsp:rsid wsp:val=&quot;000B641C&quot;/&gt;&lt;wsp:rsid wsp:val=&quot;000B6424&quot;/&gt;&lt;wsp:rsid wsp:val=&quot;000B6501&quot;/&gt;&lt;wsp:rsid wsp:val=&quot;000B6618&quot;/&gt;&lt;wsp:rsid wsp:val=&quot;000B693A&quot;/&gt;&lt;wsp:rsid wsp:val=&quot;000B69BA&quot;/&gt;&lt;wsp:rsid wsp:val=&quot;000B6EF4&quot;/&gt;&lt;wsp:rsid wsp:val=&quot;000B6F17&quot;/&gt;&lt;wsp:rsid wsp:val=&quot;000B6F8A&quot;/&gt;&lt;wsp:rsid wsp:val=&quot;000B7311&quot;/&gt;&lt;wsp:rsid wsp:val=&quot;000B7768&quot;/&gt;&lt;wsp:rsid wsp:val=&quot;000B79A3&quot;/&gt;&lt;wsp:rsid wsp:val=&quot;000C060E&quot;/&gt;&lt;wsp:rsid wsp:val=&quot;000C0854&quot;/&gt;&lt;wsp:rsid wsp:val=&quot;000C0E5A&quot;/&gt;&lt;wsp:rsid wsp:val=&quot;000C0F02&quot;/&gt;&lt;wsp:rsid wsp:val=&quot;000C134A&quot;/&gt;&lt;wsp:rsid wsp:val=&quot;000C1706&quot;/&gt;&lt;wsp:rsid wsp:val=&quot;000C1C1D&quot;/&gt;&lt;wsp:rsid wsp:val=&quot;000C1CF9&quot;/&gt;&lt;wsp:rsid wsp:val=&quot;000C1E63&quot;/&gt;&lt;wsp:rsid wsp:val=&quot;000C1FAA&quot;/&gt;&lt;wsp:rsid wsp:val=&quot;000C2A69&quot;/&gt;&lt;wsp:rsid wsp:val=&quot;000C313A&quot;/&gt;&lt;wsp:rsid wsp:val=&quot;000C313D&quot;/&gt;&lt;wsp:rsid wsp:val=&quot;000C324D&quot;/&gt;&lt;wsp:rsid wsp:val=&quot;000C3271&quot;/&gt;&lt;wsp:rsid wsp:val=&quot;000C34E4&quot;/&gt;&lt;wsp:rsid wsp:val=&quot;000C3563&quot;/&gt;&lt;wsp:rsid wsp:val=&quot;000C36F0&quot;/&gt;&lt;wsp:rsid wsp:val=&quot;000C3850&quot;/&gt;&lt;wsp:rsid wsp:val=&quot;000C3B1C&quot;/&gt;&lt;wsp:rsid wsp:val=&quot;000C3D26&quot;/&gt;&lt;wsp:rsid wsp:val=&quot;000C3E41&quot;/&gt;&lt;wsp:rsid wsp:val=&quot;000C40E5&quot;/&gt;&lt;wsp:rsid wsp:val=&quot;000C458C&quot;/&gt;&lt;wsp:rsid wsp:val=&quot;000C4D5D&quot;/&gt;&lt;wsp:rsid wsp:val=&quot;000C55A4&quot;/&gt;&lt;wsp:rsid wsp:val=&quot;000C5DF7&quot;/&gt;&lt;wsp:rsid wsp:val=&quot;000C6617&quot;/&gt;&lt;wsp:rsid wsp:val=&quot;000C68A4&quot;/&gt;&lt;wsp:rsid wsp:val=&quot;000C695C&quot;/&gt;&lt;wsp:rsid wsp:val=&quot;000C7051&quot;/&gt;&lt;wsp:rsid wsp:val=&quot;000C75BD&quot;/&gt;&lt;wsp:rsid wsp:val=&quot;000C771E&quot;/&gt;&lt;wsp:rsid wsp:val=&quot;000C7AF7&quot;/&gt;&lt;wsp:rsid wsp:val=&quot;000C7FDE&quot;/&gt;&lt;wsp:rsid wsp:val=&quot;000D024B&quot;/&gt;&lt;wsp:rsid wsp:val=&quot;000D03D3&quot;/&gt;&lt;wsp:rsid wsp:val=&quot;000D04D2&quot;/&gt;&lt;wsp:rsid wsp:val=&quot;000D05CB&quot;/&gt;&lt;wsp:rsid wsp:val=&quot;000D06AA&quot;/&gt;&lt;wsp:rsid wsp:val=&quot;000D0A5E&quot;/&gt;&lt;wsp:rsid wsp:val=&quot;000D0E34&quot;/&gt;&lt;wsp:rsid wsp:val=&quot;000D123D&quot;/&gt;&lt;wsp:rsid wsp:val=&quot;000D12B2&quot;/&gt;&lt;wsp:rsid wsp:val=&quot;000D1489&quot;/&gt;&lt;wsp:rsid wsp:val=&quot;000D1698&quot;/&gt;&lt;wsp:rsid wsp:val=&quot;000D1A50&quot;/&gt;&lt;wsp:rsid wsp:val=&quot;000D1C03&quot;/&gt;&lt;wsp:rsid wsp:val=&quot;000D1D53&quot;/&gt;&lt;wsp:rsid wsp:val=&quot;000D232C&quot;/&gt;&lt;wsp:rsid wsp:val=&quot;000D285E&quot;/&gt;&lt;wsp:rsid wsp:val=&quot;000D28F0&quot;/&gt;&lt;wsp:rsid wsp:val=&quot;000D296A&quot;/&gt;&lt;wsp:rsid wsp:val=&quot;000D2992&quot;/&gt;&lt;wsp:rsid wsp:val=&quot;000D2C72&quot;/&gt;&lt;wsp:rsid wsp:val=&quot;000D31FD&quot;/&gt;&lt;wsp:rsid wsp:val=&quot;000D3378&quot;/&gt;&lt;wsp:rsid wsp:val=&quot;000D35B2&quot;/&gt;&lt;wsp:rsid wsp:val=&quot;000D3671&quot;/&gt;&lt;wsp:rsid wsp:val=&quot;000D409D&quot;/&gt;&lt;wsp:rsid wsp:val=&quot;000D4513&quot;/&gt;&lt;wsp:rsid wsp:val=&quot;000D4CD0&quot;/&gt;&lt;wsp:rsid wsp:val=&quot;000D4D1D&quot;/&gt;&lt;wsp:rsid wsp:val=&quot;000D4DC6&quot;/&gt;&lt;wsp:rsid wsp:val=&quot;000D4F86&quot;/&gt;&lt;wsp:rsid wsp:val=&quot;000D50D1&quot;/&gt;&lt;wsp:rsid wsp:val=&quot;000D54E7&quot;/&gt;&lt;wsp:rsid wsp:val=&quot;000D5542&quot;/&gt;&lt;wsp:rsid wsp:val=&quot;000D569C&quot;/&gt;&lt;wsp:rsid wsp:val=&quot;000D57B5&quot;/&gt;&lt;wsp:rsid wsp:val=&quot;000D580C&quot;/&gt;&lt;wsp:rsid wsp:val=&quot;000D5848&quot;/&gt;&lt;wsp:rsid wsp:val=&quot;000D59E3&quot;/&gt;&lt;wsp:rsid wsp:val=&quot;000D5ACC&quot;/&gt;&lt;wsp:rsid wsp:val=&quot;000D5E6D&quot;/&gt;&lt;wsp:rsid wsp:val=&quot;000D5ED1&quot;/&gt;&lt;wsp:rsid wsp:val=&quot;000D6903&quot;/&gt;&lt;wsp:rsid wsp:val=&quot;000D6F84&quot;/&gt;&lt;wsp:rsid wsp:val=&quot;000D6FE1&quot;/&gt;&lt;wsp:rsid wsp:val=&quot;000D708D&quot;/&gt;&lt;wsp:rsid wsp:val=&quot;000D753B&quot;/&gt;&lt;wsp:rsid wsp:val=&quot;000D7FBD&quot;/&gt;&lt;wsp:rsid wsp:val=&quot;000E00E8&quot;/&gt;&lt;wsp:rsid wsp:val=&quot;000E013F&quot;/&gt;&lt;wsp:rsid wsp:val=&quot;000E08A7&quot;/&gt;&lt;wsp:rsid wsp:val=&quot;000E0D19&quot;/&gt;&lt;wsp:rsid wsp:val=&quot;000E1064&quot;/&gt;&lt;wsp:rsid wsp:val=&quot;000E1137&quot;/&gt;&lt;wsp:rsid wsp:val=&quot;000E1324&quot;/&gt;&lt;wsp:rsid wsp:val=&quot;000E147C&quot;/&gt;&lt;wsp:rsid wsp:val=&quot;000E16EE&quot;/&gt;&lt;wsp:rsid wsp:val=&quot;000E1736&quot;/&gt;&lt;wsp:rsid wsp:val=&quot;000E1B5F&quot;/&gt;&lt;wsp:rsid wsp:val=&quot;000E20CF&quot;/&gt;&lt;wsp:rsid wsp:val=&quot;000E2277&quot;/&gt;&lt;wsp:rsid wsp:val=&quot;000E22A7&quot;/&gt;&lt;wsp:rsid wsp:val=&quot;000E22ED&quot;/&gt;&lt;wsp:rsid wsp:val=&quot;000E25F1&quot;/&gt;&lt;wsp:rsid wsp:val=&quot;000E2A13&quot;/&gt;&lt;wsp:rsid wsp:val=&quot;000E32F7&quot;/&gt;&lt;wsp:rsid wsp:val=&quot;000E381E&quot;/&gt;&lt;wsp:rsid wsp:val=&quot;000E3AEB&quot;/&gt;&lt;wsp:rsid wsp:val=&quot;000E4019&quot;/&gt;&lt;wsp:rsid wsp:val=&quot;000E4421&quot;/&gt;&lt;wsp:rsid wsp:val=&quot;000E4906&quot;/&gt;&lt;wsp:rsid wsp:val=&quot;000E4CA2&quot;/&gt;&lt;wsp:rsid wsp:val=&quot;000E4F6D&quot;/&gt;&lt;wsp:rsid wsp:val=&quot;000E5496&quot;/&gt;&lt;wsp:rsid wsp:val=&quot;000E56AD&quot;/&gt;&lt;wsp:rsid wsp:val=&quot;000E56C5&quot;/&gt;&lt;wsp:rsid wsp:val=&quot;000E5B04&quot;/&gt;&lt;wsp:rsid wsp:val=&quot;000E64B9&quot;/&gt;&lt;wsp:rsid wsp:val=&quot;000E6562&quot;/&gt;&lt;wsp:rsid wsp:val=&quot;000E6586&quot;/&gt;&lt;wsp:rsid wsp:val=&quot;000E72CA&quot;/&gt;&lt;wsp:rsid wsp:val=&quot;000E7460&quot;/&gt;&lt;wsp:rsid wsp:val=&quot;000E785F&quot;/&gt;&lt;wsp:rsid wsp:val=&quot;000F0095&quot;/&gt;&lt;wsp:rsid wsp:val=&quot;000F0866&quot;/&gt;&lt;wsp:rsid wsp:val=&quot;000F08DE&quot;/&gt;&lt;wsp:rsid wsp:val=&quot;000F0AEA&quot;/&gt;&lt;wsp:rsid wsp:val=&quot;000F0B14&quot;/&gt;&lt;wsp:rsid wsp:val=&quot;000F0D9D&quot;/&gt;&lt;wsp:rsid wsp:val=&quot;000F1187&quot;/&gt;&lt;wsp:rsid wsp:val=&quot;000F13C2&quot;/&gt;&lt;wsp:rsid wsp:val=&quot;000F15F2&quot;/&gt;&lt;wsp:rsid wsp:val=&quot;000F1830&quot;/&gt;&lt;wsp:rsid wsp:val=&quot;000F2759&quot;/&gt;&lt;wsp:rsid wsp:val=&quot;000F317F&quot;/&gt;&lt;wsp:rsid wsp:val=&quot;000F337B&quot;/&gt;&lt;wsp:rsid wsp:val=&quot;000F3CC7&quot;/&gt;&lt;wsp:rsid wsp:val=&quot;000F403D&quot;/&gt;&lt;wsp:rsid wsp:val=&quot;000F4287&quot;/&gt;&lt;wsp:rsid wsp:val=&quot;000F4389&quot;/&gt;&lt;wsp:rsid wsp:val=&quot;000F484B&quot;/&gt;&lt;wsp:rsid wsp:val=&quot;000F4FAE&quot;/&gt;&lt;wsp:rsid wsp:val=&quot;000F5591&quot;/&gt;&lt;wsp:rsid wsp:val=&quot;000F57E4&quot;/&gt;&lt;wsp:rsid wsp:val=&quot;000F5C16&quot;/&gt;&lt;wsp:rsid wsp:val=&quot;000F60E6&quot;/&gt;&lt;wsp:rsid wsp:val=&quot;000F6F5B&quot;/&gt;&lt;wsp:rsid wsp:val=&quot;000F743B&quot;/&gt;&lt;wsp:rsid wsp:val=&quot;000F79ED&quot;/&gt;&lt;wsp:rsid wsp:val=&quot;000F7E8F&quot;/&gt;&lt;wsp:rsid wsp:val=&quot;00100565&quot;/&gt;&lt;wsp:rsid wsp:val=&quot;0010079F&quot;/&gt;&lt;wsp:rsid wsp:val=&quot;001007F6&quot;/&gt;&lt;wsp:rsid wsp:val=&quot;0010085A&quot;/&gt;&lt;wsp:rsid wsp:val=&quot;00100B18&quot;/&gt;&lt;wsp:rsid wsp:val=&quot;00100C0C&quot;/&gt;&lt;wsp:rsid wsp:val=&quot;00100FA1&quot;/&gt;&lt;wsp:rsid wsp:val=&quot;00100FA5&quot;/&gt;&lt;wsp:rsid wsp:val=&quot;0010136D&quot;/&gt;&lt;wsp:rsid wsp:val=&quot;001013C0&quot;/&gt;&lt;wsp:rsid wsp:val=&quot;0010153E&quot;/&gt;&lt;wsp:rsid wsp:val=&quot;001017D1&quot;/&gt;&lt;wsp:rsid wsp:val=&quot;00101889&quot;/&gt;&lt;wsp:rsid wsp:val=&quot;00101BF0&quot;/&gt;&lt;wsp:rsid wsp:val=&quot;00102343&quot;/&gt;&lt;wsp:rsid wsp:val=&quot;00102433&quot;/&gt;&lt;wsp:rsid wsp:val=&quot;00102564&quot;/&gt;&lt;wsp:rsid wsp:val=&quot;001028FB&quot;/&gt;&lt;wsp:rsid wsp:val=&quot;0010291C&quot;/&gt;&lt;wsp:rsid wsp:val=&quot;00102B88&quot;/&gt;&lt;wsp:rsid wsp:val=&quot;00102C99&quot;/&gt;&lt;wsp:rsid wsp:val=&quot;00103887&quot;/&gt;&lt;wsp:rsid wsp:val=&quot;00103962&quot;/&gt;&lt;wsp:rsid wsp:val=&quot;00103D38&quot;/&gt;&lt;wsp:rsid wsp:val=&quot;00104722&quot;/&gt;&lt;wsp:rsid wsp:val=&quot;00104A66&quot;/&gt;&lt;wsp:rsid wsp:val=&quot;00104A96&quot;/&gt;&lt;wsp:rsid wsp:val=&quot;00104DF2&quot;/&gt;&lt;wsp:rsid wsp:val=&quot;00104E38&quot;/&gt;&lt;wsp:rsid wsp:val=&quot;00104E39&quot;/&gt;&lt;wsp:rsid wsp:val=&quot;001053AC&quot;/&gt;&lt;wsp:rsid wsp:val=&quot;001055E1&quot;/&gt;&lt;wsp:rsid wsp:val=&quot;001057A1&quot;/&gt;&lt;wsp:rsid wsp:val=&quot;00105C11&quot;/&gt;&lt;wsp:rsid wsp:val=&quot;00105CA0&quot;/&gt;&lt;wsp:rsid wsp:val=&quot;0010630B&quot;/&gt;&lt;wsp:rsid wsp:val=&quot;0010653D&quot;/&gt;&lt;wsp:rsid wsp:val=&quot;0010728C&quot;/&gt;&lt;wsp:rsid wsp:val=&quot;00107807&quot;/&gt;&lt;wsp:rsid wsp:val=&quot;0010780B&quot;/&gt;&lt;wsp:rsid wsp:val=&quot;0010794E&quot;/&gt;&lt;wsp:rsid wsp:val=&quot;00107B11&quot;/&gt;&lt;wsp:rsid wsp:val=&quot;00107B79&quot;/&gt;&lt;wsp:rsid wsp:val=&quot;00107D7C&quot;/&gt;&lt;wsp:rsid wsp:val=&quot;00107DE6&quot;/&gt;&lt;wsp:rsid wsp:val=&quot;00110460&quot;/&gt;&lt;wsp:rsid wsp:val=&quot;00110AD1&quot;/&gt;&lt;wsp:rsid wsp:val=&quot;00110B44&quot;/&gt;&lt;wsp:rsid wsp:val=&quot;00110C30&quot;/&gt;&lt;wsp:rsid wsp:val=&quot;00110DE8&quot;/&gt;&lt;wsp:rsid wsp:val=&quot;00111278&quot;/&gt;&lt;wsp:rsid wsp:val=&quot;00111481&quot;/&gt;&lt;wsp:rsid wsp:val=&quot;00111703&quot;/&gt;&lt;wsp:rsid wsp:val=&quot;001122D9&quot;/&gt;&lt;wsp:rsid wsp:val=&quot;001125E5&quot;/&gt;&lt;wsp:rsid wsp:val=&quot;001125E7&quot;/&gt;&lt;wsp:rsid wsp:val=&quot;0011327A&quot;/&gt;&lt;wsp:rsid wsp:val=&quot;001132D9&quot;/&gt;&lt;wsp:rsid wsp:val=&quot;00113605&quot;/&gt;&lt;wsp:rsid wsp:val=&quot;00113943&quot;/&gt;&lt;wsp:rsid wsp:val=&quot;00113975&quot;/&gt;&lt;wsp:rsid wsp:val=&quot;00113AE1&quot;/&gt;&lt;wsp:rsid wsp:val=&quot;00113D29&quot;/&gt;&lt;wsp:rsid wsp:val=&quot;0011400E&quot;/&gt;&lt;wsp:rsid wsp:val=&quot;0011403F&quot;/&gt;&lt;wsp:rsid wsp:val=&quot;001144DA&quot;/&gt;&lt;wsp:rsid wsp:val=&quot;0011463D&quot;/&gt;&lt;wsp:rsid wsp:val=&quot;001147C3&quot;/&gt;&lt;wsp:rsid wsp:val=&quot;00115092&quot;/&gt;&lt;wsp:rsid wsp:val=&quot;001151F3&quot;/&gt;&lt;wsp:rsid wsp:val=&quot;001151FC&quot;/&gt;&lt;wsp:rsid wsp:val=&quot;00115369&quot;/&gt;&lt;wsp:rsid wsp:val=&quot;00115564&quot;/&gt;&lt;wsp:rsid wsp:val=&quot;00115E0B&quot;/&gt;&lt;wsp:rsid wsp:val=&quot;00115E7A&quot;/&gt;&lt;wsp:rsid wsp:val=&quot;00115FB8&quot;/&gt;&lt;wsp:rsid wsp:val=&quot;001163B4&quot;/&gt;&lt;wsp:rsid wsp:val=&quot;0011652B&quot;/&gt;&lt;wsp:rsid wsp:val=&quot;0011673A&quot;/&gt;&lt;wsp:rsid wsp:val=&quot;001167F3&quot;/&gt;&lt;wsp:rsid wsp:val=&quot;0011681B&quot;/&gt;&lt;wsp:rsid wsp:val=&quot;00116D9F&quot;/&gt;&lt;wsp:rsid wsp:val=&quot;00117135&quot;/&gt;&lt;wsp:rsid wsp:val=&quot;00117DF4&quot;/&gt;&lt;wsp:rsid wsp:val=&quot;00117E44&quot;/&gt;&lt;wsp:rsid wsp:val=&quot;001208F5&quot;/&gt;&lt;wsp:rsid wsp:val=&quot;00120EEF&quot;/&gt;&lt;wsp:rsid wsp:val=&quot;00121126&quot;/&gt;&lt;wsp:rsid wsp:val=&quot;00121370&quot;/&gt;&lt;wsp:rsid wsp:val=&quot;00121427&quot;/&gt;&lt;wsp:rsid wsp:val=&quot;00121B9F&quot;/&gt;&lt;wsp:rsid wsp:val=&quot;001225E5&quot;/&gt;&lt;wsp:rsid wsp:val=&quot;00123406&quot;/&gt;&lt;wsp:rsid wsp:val=&quot;00124033&quot;/&gt;&lt;wsp:rsid wsp:val=&quot;0012413D&quot;/&gt;&lt;wsp:rsid wsp:val=&quot;0012415F&quot;/&gt;&lt;wsp:rsid wsp:val=&quot;0012466D&quot;/&gt;&lt;wsp:rsid wsp:val=&quot;001246E9&quot;/&gt;&lt;wsp:rsid wsp:val=&quot;00124768&quot;/&gt;&lt;wsp:rsid wsp:val=&quot;0012480C&quot;/&gt;&lt;wsp:rsid wsp:val=&quot;00124B97&quot;/&gt;&lt;wsp:rsid wsp:val=&quot;00124D10&quot;/&gt;&lt;wsp:rsid wsp:val=&quot;00124EFA&quot;/&gt;&lt;wsp:rsid wsp:val=&quot;001253F8&quot;/&gt;&lt;wsp:rsid wsp:val=&quot;001256E6&quot;/&gt;&lt;wsp:rsid wsp:val=&quot;00125704&quot;/&gt;&lt;wsp:rsid wsp:val=&quot;00125993&quot;/&gt;&lt;wsp:rsid wsp:val=&quot;00125E3E&quot;/&gt;&lt;wsp:rsid wsp:val=&quot;00125EC8&quot;/&gt;&lt;wsp:rsid wsp:val=&quot;001267F3&quot;/&gt;&lt;wsp:rsid wsp:val=&quot;00126B33&quot;/&gt;&lt;wsp:rsid wsp:val=&quot;00126B66&quot;/&gt;&lt;wsp:rsid wsp:val=&quot;00126C2D&quot;/&gt;&lt;wsp:rsid wsp:val=&quot;001275D2&quot;/&gt;&lt;wsp:rsid wsp:val=&quot;0012786E&quot;/&gt;&lt;wsp:rsid wsp:val=&quot;00127BAB&quot;/&gt;&lt;wsp:rsid wsp:val=&quot;00127E98&quot;/&gt;&lt;wsp:rsid wsp:val=&quot;00127FB2&quot;/&gt;&lt;wsp:rsid wsp:val=&quot;00127FB5&quot;/&gt;&lt;wsp:rsid wsp:val=&quot;00130A74&quot;/&gt;&lt;wsp:rsid wsp:val=&quot;00130C1F&quot;/&gt;&lt;wsp:rsid wsp:val=&quot;00130DF6&quot;/&gt;&lt;wsp:rsid wsp:val=&quot;001312C9&quot;/&gt;&lt;wsp:rsid wsp:val=&quot;001321C2&quot;/&gt;&lt;wsp:rsid wsp:val=&quot;0013228C&quot;/&gt;&lt;wsp:rsid wsp:val=&quot;00132445&quot;/&gt;&lt;wsp:rsid wsp:val=&quot;001324E1&quot;/&gt;&lt;wsp:rsid wsp:val=&quot;00132A51&quot;/&gt;&lt;wsp:rsid wsp:val=&quot;00132F01&quot;/&gt;&lt;wsp:rsid wsp:val=&quot;001331C9&quot;/&gt;&lt;wsp:rsid wsp:val=&quot;00133252&quot;/&gt;&lt;wsp:rsid wsp:val=&quot;0013329B&quot;/&gt;&lt;wsp:rsid wsp:val=&quot;0013382F&quot;/&gt;&lt;wsp:rsid wsp:val=&quot;00133B6E&quot;/&gt;&lt;wsp:rsid wsp:val=&quot;00133C59&quot;/&gt;&lt;wsp:rsid wsp:val=&quot;001340D6&quot;/&gt;&lt;wsp:rsid wsp:val=&quot;0013449E&quot;/&gt;&lt;wsp:rsid wsp:val=&quot;001348A5&quot;/&gt;&lt;wsp:rsid wsp:val=&quot;00134C65&quot;/&gt;&lt;wsp:rsid wsp:val=&quot;00135B13&quot;/&gt;&lt;wsp:rsid wsp:val=&quot;00135BE2&quot;/&gt;&lt;wsp:rsid wsp:val=&quot;00135E40&quot;/&gt;&lt;wsp:rsid wsp:val=&quot;00136038&quot;/&gt;&lt;wsp:rsid wsp:val=&quot;00136172&quot;/&gt;&lt;wsp:rsid wsp:val=&quot;00136726&quot;/&gt;&lt;wsp:rsid wsp:val=&quot;0013675C&quot;/&gt;&lt;wsp:rsid wsp:val=&quot;00136943&quot;/&gt;&lt;wsp:rsid wsp:val=&quot;00136DD5&quot;/&gt;&lt;wsp:rsid wsp:val=&quot;00137CD1&quot;/&gt;&lt;wsp:rsid wsp:val=&quot;00137DDF&quot;/&gt;&lt;wsp:rsid wsp:val=&quot;00140462&quot;/&gt;&lt;wsp:rsid wsp:val=&quot;001405F2&quot;/&gt;&lt;wsp:rsid wsp:val=&quot;00140671&quot;/&gt;&lt;wsp:rsid wsp:val=&quot;00140930&quot;/&gt;&lt;wsp:rsid wsp:val=&quot;00140D73&quot;/&gt;&lt;wsp:rsid wsp:val=&quot;0014116A&quot;/&gt;&lt;wsp:rsid wsp:val=&quot;0014122E&quot;/&gt;&lt;wsp:rsid wsp:val=&quot;001412BE&quot;/&gt;&lt;wsp:rsid wsp:val=&quot;0014148D&quot;/&gt;&lt;wsp:rsid wsp:val=&quot;00141775&quot;/&gt;&lt;wsp:rsid wsp:val=&quot;001419DB&quot;/&gt;&lt;wsp:rsid wsp:val=&quot;00141C07&quot;/&gt;&lt;wsp:rsid wsp:val=&quot;00141C08&quot;/&gt;&lt;wsp:rsid wsp:val=&quot;00141C38&quot;/&gt;&lt;wsp:rsid wsp:val=&quot;00141EB4&quot;/&gt;&lt;wsp:rsid wsp:val=&quot;00141F2E&quot;/&gt;&lt;wsp:rsid wsp:val=&quot;00141FDD&quot;/&gt;&lt;wsp:rsid wsp:val=&quot;0014294F&quot;/&gt;&lt;wsp:rsid wsp:val=&quot;001429CB&quot;/&gt;&lt;wsp:rsid wsp:val=&quot;00142FE8&quot;/&gt;&lt;wsp:rsid wsp:val=&quot;0014322A&quot;/&gt;&lt;wsp:rsid wsp:val=&quot;001436EE&quot;/&gt;&lt;wsp:rsid wsp:val=&quot;00143B0F&quot;/&gt;&lt;wsp:rsid wsp:val=&quot;00143BC4&quot;/&gt;&lt;wsp:rsid wsp:val=&quot;00143C67&quot;/&gt;&lt;wsp:rsid wsp:val=&quot;00143F7F&quot;/&gt;&lt;wsp:rsid wsp:val=&quot;00144047&quot;/&gt;&lt;wsp:rsid wsp:val=&quot;00144059&quot;/&gt;&lt;wsp:rsid wsp:val=&quot;001440E7&quot;/&gt;&lt;wsp:rsid wsp:val=&quot;00144344&quot;/&gt;&lt;wsp:rsid wsp:val=&quot;00144374&quot;/&gt;&lt;wsp:rsid wsp:val=&quot;0014437D&quot;/&gt;&lt;wsp:rsid wsp:val=&quot;0014466E&quot;/&gt;&lt;wsp:rsid wsp:val=&quot;00144673&quot;/&gt;&lt;wsp:rsid wsp:val=&quot;001446D2&quot;/&gt;&lt;wsp:rsid wsp:val=&quot;00144726&quot;/&gt;&lt;wsp:rsid wsp:val=&quot;00144767&quot;/&gt;&lt;wsp:rsid wsp:val=&quot;0014490D&quot;/&gt;&lt;wsp:rsid wsp:val=&quot;00144F35&quot;/&gt;&lt;wsp:rsid wsp:val=&quot;00145331&quot;/&gt;&lt;wsp:rsid wsp:val=&quot;001455DE&quot;/&gt;&lt;wsp:rsid wsp:val=&quot;00145803&quot;/&gt;&lt;wsp:rsid wsp:val=&quot;00145BF2&quot;/&gt;&lt;wsp:rsid wsp:val=&quot;00145C4D&quot;/&gt;&lt;wsp:rsid wsp:val=&quot;00146184&quot;/&gt;&lt;wsp:rsid wsp:val=&quot;00146391&quot;/&gt;&lt;wsp:rsid wsp:val=&quot;00146607&quot;/&gt;&lt;wsp:rsid wsp:val=&quot;0014699F&quot;/&gt;&lt;wsp:rsid wsp:val=&quot;00146A2F&quot;/&gt;&lt;wsp:rsid wsp:val=&quot;00146B05&quot;/&gt;&lt;wsp:rsid wsp:val=&quot;00146C8A&quot;/&gt;&lt;wsp:rsid wsp:val=&quot;00146D55&quot;/&gt;&lt;wsp:rsid wsp:val=&quot;00146F18&quot;/&gt;&lt;wsp:rsid wsp:val=&quot;00147126&quot;/&gt;&lt;wsp:rsid wsp:val=&quot;0014724F&quot;/&gt;&lt;wsp:rsid wsp:val=&quot;00147295&quot;/&gt;&lt;wsp:rsid wsp:val=&quot;00147818&quot;/&gt;&lt;wsp:rsid wsp:val=&quot;00147FEF&quot;/&gt;&lt;wsp:rsid wsp:val=&quot;00150376&quot;/&gt;&lt;wsp:rsid wsp:val=&quot;001503D0&quot;/&gt;&lt;wsp:rsid wsp:val=&quot;00150521&quot;/&gt;&lt;wsp:rsid wsp:val=&quot;00150814&quot;/&gt;&lt;wsp:rsid wsp:val=&quot;0015087D&quot;/&gt;&lt;wsp:rsid wsp:val=&quot;0015097F&quot;/&gt;&lt;wsp:rsid wsp:val=&quot;001509CA&quot;/&gt;&lt;wsp:rsid wsp:val=&quot;00150C1E&quot;/&gt;&lt;wsp:rsid wsp:val=&quot;0015167F&quot;/&gt;&lt;wsp:rsid wsp:val=&quot;00151943&quot;/&gt;&lt;wsp:rsid wsp:val=&quot;00151F94&quot;/&gt;&lt;wsp:rsid wsp:val=&quot;001524FB&quot;/&gt;&lt;wsp:rsid wsp:val=&quot;00152701&quot;/&gt;&lt;wsp:rsid wsp:val=&quot;00152B08&quot;/&gt;&lt;wsp:rsid wsp:val=&quot;00153540&quot;/&gt;&lt;wsp:rsid wsp:val=&quot;00153976&quot;/&gt;&lt;wsp:rsid wsp:val=&quot;00153DAE&quot;/&gt;&lt;wsp:rsid wsp:val=&quot;00153DC2&quot;/&gt;&lt;wsp:rsid wsp:val=&quot;001540BA&quot;/&gt;&lt;wsp:rsid wsp:val=&quot;00154274&quot;/&gt;&lt;wsp:rsid wsp:val=&quot;001543E0&quot;/&gt;&lt;wsp:rsid wsp:val=&quot;00154653&quot;/&gt;&lt;wsp:rsid wsp:val=&quot;00154F6D&quot;/&gt;&lt;wsp:rsid wsp:val=&quot;001556FC&quot;/&gt;&lt;wsp:rsid wsp:val=&quot;0015573A&quot;/&gt;&lt;wsp:rsid wsp:val=&quot;00155EEA&quot;/&gt;&lt;wsp:rsid wsp:val=&quot;00155FD9&quot;/&gt;&lt;wsp:rsid wsp:val=&quot;00156434&quot;/&gt;&lt;wsp:rsid wsp:val=&quot;00156556&quot;/&gt;&lt;wsp:rsid wsp:val=&quot;00156744&quot;/&gt;&lt;wsp:rsid wsp:val=&quot;00157387&quot;/&gt;&lt;wsp:rsid wsp:val=&quot;00157584&quot;/&gt;&lt;wsp:rsid wsp:val=&quot;001575D4&quot;/&gt;&lt;wsp:rsid wsp:val=&quot;001575F8&quot;/&gt;&lt;wsp:rsid wsp:val=&quot;00157648&quot;/&gt;&lt;wsp:rsid wsp:val=&quot;00157866&quot;/&gt;&lt;wsp:rsid wsp:val=&quot;00157980&quot;/&gt;&lt;wsp:rsid wsp:val=&quot;00157E05&quot;/&gt;&lt;wsp:rsid wsp:val=&quot;00160454&quot;/&gt;&lt;wsp:rsid wsp:val=&quot;0016058D&quot;/&gt;&lt;wsp:rsid wsp:val=&quot;001607E5&quot;/&gt;&lt;wsp:rsid wsp:val=&quot;00160980&quot;/&gt;&lt;wsp:rsid wsp:val=&quot;00160AD4&quot;/&gt;&lt;wsp:rsid wsp:val=&quot;00160BC7&quot;/&gt;&lt;wsp:rsid wsp:val=&quot;0016130B&quot;/&gt;&lt;wsp:rsid wsp:val=&quot;00161353&quot;/&gt;&lt;wsp:rsid wsp:val=&quot;00161462&quot;/&gt;&lt;wsp:rsid wsp:val=&quot;00161490&quot;/&gt;&lt;wsp:rsid wsp:val=&quot;0016182B&quot;/&gt;&lt;wsp:rsid wsp:val=&quot;00161DB9&quot;/&gt;&lt;wsp:rsid wsp:val=&quot;00162104&quot;/&gt;&lt;wsp:rsid wsp:val=&quot;00162740&quot;/&gt;&lt;wsp:rsid wsp:val=&quot;001628A9&quot;/&gt;&lt;wsp:rsid wsp:val=&quot;00162E69&quot;/&gt;&lt;wsp:rsid wsp:val=&quot;00163665&quot;/&gt;&lt;wsp:rsid wsp:val=&quot;00163743&quot;/&gt;&lt;wsp:rsid wsp:val=&quot;00163994&quot;/&gt;&lt;wsp:rsid wsp:val=&quot;001639AB&quot;/&gt;&lt;wsp:rsid wsp:val=&quot;001645C3&quot;/&gt;&lt;wsp:rsid wsp:val=&quot;00164650&quot;/&gt;&lt;wsp:rsid wsp:val=&quot;001649E4&quot;/&gt;&lt;wsp:rsid wsp:val=&quot;00164C4E&quot;/&gt;&lt;wsp:rsid wsp:val=&quot;00164FC4&quot;/&gt;&lt;wsp:rsid wsp:val=&quot;001657A1&quot;/&gt;&lt;wsp:rsid wsp:val=&quot;00165961&quot;/&gt;&lt;wsp:rsid wsp:val=&quot;00165B3A&quot;/&gt;&lt;wsp:rsid wsp:val=&quot;001669D3&quot;/&gt;&lt;wsp:rsid wsp:val=&quot;00166F4B&quot;/&gt;&lt;wsp:rsid wsp:val=&quot;00166FBD&quot;/&gt;&lt;wsp:rsid wsp:val=&quot;0016714B&quot;/&gt;&lt;wsp:rsid wsp:val=&quot;001674EC&quot;/&gt;&lt;wsp:rsid wsp:val=&quot;00167577&quot;/&gt;&lt;wsp:rsid wsp:val=&quot;0017016D&quot;/&gt;&lt;wsp:rsid wsp:val=&quot;001701DB&quot;/&gt;&lt;wsp:rsid wsp:val=&quot;001702AB&quot;/&gt;&lt;wsp:rsid wsp:val=&quot;001702D1&quot;/&gt;&lt;wsp:rsid wsp:val=&quot;001711EE&quot;/&gt;&lt;wsp:rsid wsp:val=&quot;001715F7&quot;/&gt;&lt;wsp:rsid wsp:val=&quot;00171C5B&quot;/&gt;&lt;wsp:rsid wsp:val=&quot;00171D1D&quot;/&gt;&lt;wsp:rsid wsp:val=&quot;00171D8A&quot;/&gt;&lt;wsp:rsid wsp:val=&quot;00172378&quot;/&gt;&lt;wsp:rsid wsp:val=&quot;001727E1&quot;/&gt;&lt;wsp:rsid wsp:val=&quot;0017294C&quot;/&gt;&lt;wsp:rsid wsp:val=&quot;00172971&quot;/&gt;&lt;wsp:rsid wsp:val=&quot;00173011&quot;/&gt;&lt;wsp:rsid wsp:val=&quot;0017323B&quot;/&gt;&lt;wsp:rsid wsp:val=&quot;00173241&quot;/&gt;&lt;wsp:rsid wsp:val=&quot;00173670&quot;/&gt;&lt;wsp:rsid wsp:val=&quot;0017389A&quot;/&gt;&lt;wsp:rsid wsp:val=&quot;00173C4A&quot;/&gt;&lt;wsp:rsid wsp:val=&quot;00173ECC&quot;/&gt;&lt;wsp:rsid wsp:val=&quot;00174454&quot;/&gt;&lt;wsp:rsid wsp:val=&quot;001745DE&quot;/&gt;&lt;wsp:rsid wsp:val=&quot;00175009&quot;/&gt;&lt;wsp:rsid wsp:val=&quot;001751C4&quot;/&gt;&lt;wsp:rsid wsp:val=&quot;00175348&quot;/&gt;&lt;wsp:rsid wsp:val=&quot;00175713&quot;/&gt;&lt;wsp:rsid wsp:val=&quot;00175844&quot;/&gt;&lt;wsp:rsid wsp:val=&quot;001762BD&quot;/&gt;&lt;wsp:rsid wsp:val=&quot;001769AA&quot;/&gt;&lt;wsp:rsid wsp:val=&quot;001773E7&quot;/&gt;&lt;wsp:rsid wsp:val=&quot;001774A5&quot;/&gt;&lt;wsp:rsid wsp:val=&quot;00177518&quot;/&gt;&lt;wsp:rsid wsp:val=&quot;001775EF&quot;/&gt;&lt;wsp:rsid wsp:val=&quot;00177C23&quot;/&gt;&lt;wsp:rsid wsp:val=&quot;00177C63&quot;/&gt;&lt;wsp:rsid wsp:val=&quot;00177D8A&quot;/&gt;&lt;wsp:rsid wsp:val=&quot;0018028C&quot;/&gt;&lt;wsp:rsid wsp:val=&quot;0018034A&quot;/&gt;&lt;wsp:rsid wsp:val=&quot;001804DC&quot;/&gt;&lt;wsp:rsid wsp:val=&quot;0018072A&quot;/&gt;&lt;wsp:rsid wsp:val=&quot;00180756&quot;/&gt;&lt;wsp:rsid wsp:val=&quot;001807D6&quot;/&gt;&lt;wsp:rsid wsp:val=&quot;00180838&quot;/&gt;&lt;wsp:rsid wsp:val=&quot;00180AB2&quot;/&gt;&lt;wsp:rsid wsp:val=&quot;00180AC9&quot;/&gt;&lt;wsp:rsid wsp:val=&quot;00180C62&quot;/&gt;&lt;wsp:rsid wsp:val=&quot;00180CB8&quot;/&gt;&lt;wsp:rsid wsp:val=&quot;0018185E&quot;/&gt;&lt;wsp:rsid wsp:val=&quot;00181916&quot;/&gt;&lt;wsp:rsid wsp:val=&quot;001819E1&quot;/&gt;&lt;wsp:rsid wsp:val=&quot;00181AF5&quot;/&gt;&lt;wsp:rsid wsp:val=&quot;00181D86&quot;/&gt;&lt;wsp:rsid wsp:val=&quot;00182435&quot;/&gt;&lt;wsp:rsid wsp:val=&quot;0018270F&quot;/&gt;&lt;wsp:rsid wsp:val=&quot;00182B5D&quot;/&gt;&lt;wsp:rsid wsp:val=&quot;00182C59&quot;/&gt;&lt;wsp:rsid wsp:val=&quot;00182D3D&quot;/&gt;&lt;wsp:rsid wsp:val=&quot;00182DD9&quot;/&gt;&lt;wsp:rsid wsp:val=&quot;001830E6&quot;/&gt;&lt;wsp:rsid wsp:val=&quot;001833EA&quot;/&gt;&lt;wsp:rsid wsp:val=&quot;0018344F&quot;/&gt;&lt;wsp:rsid wsp:val=&quot;00183C87&quot;/&gt;&lt;wsp:rsid wsp:val=&quot;00184DF4&quot;/&gt;&lt;wsp:rsid wsp:val=&quot;00184E1F&quot;/&gt;&lt;wsp:rsid wsp:val=&quot;00184E5F&quot;/&gt;&lt;wsp:rsid wsp:val=&quot;00184EA7&quot;/&gt;&lt;wsp:rsid wsp:val=&quot;00184F02&quot;/&gt;&lt;wsp:rsid wsp:val=&quot;001851CE&quot;/&gt;&lt;wsp:rsid wsp:val=&quot;001859B1&quot;/&gt;&lt;wsp:rsid wsp:val=&quot;0018645F&quot;/&gt;&lt;wsp:rsid wsp:val=&quot;00186981&quot;/&gt;&lt;wsp:rsid wsp:val=&quot;00186F25&quot;/&gt;&lt;wsp:rsid wsp:val=&quot;00187388&quot;/&gt;&lt;wsp:rsid wsp:val=&quot;00187D3C&quot;/&gt;&lt;wsp:rsid wsp:val=&quot;00187E46&quot;/&gt;&lt;wsp:rsid wsp:val=&quot;00190701&quot;/&gt;&lt;wsp:rsid wsp:val=&quot;00190B5D&quot;/&gt;&lt;wsp:rsid wsp:val=&quot;00190C3E&quot;/&gt;&lt;wsp:rsid wsp:val=&quot;00190EBA&quot;/&gt;&lt;wsp:rsid wsp:val=&quot;00191054&quot;/&gt;&lt;wsp:rsid wsp:val=&quot;0019249F&quot;/&gt;&lt;wsp:rsid wsp:val=&quot;00192717&quot;/&gt;&lt;wsp:rsid wsp:val=&quot;00192EA2&quot;/&gt;&lt;wsp:rsid wsp:val=&quot;00193079&quot;/&gt;&lt;wsp:rsid wsp:val=&quot;0019361F&quot;/&gt;&lt;wsp:rsid wsp:val=&quot;0019383D&quot;/&gt;&lt;wsp:rsid wsp:val=&quot;00194523&quot;/&gt;&lt;wsp:rsid wsp:val=&quot;0019482F&quot;/&gt;&lt;wsp:rsid wsp:val=&quot;00194E37&quot;/&gt;&lt;wsp:rsid wsp:val=&quot;00194EE0&quot;/&gt;&lt;wsp:rsid wsp:val=&quot;00195278&quot;/&gt;&lt;wsp:rsid wsp:val=&quot;001952EF&quot;/&gt;&lt;wsp:rsid wsp:val=&quot;0019531D&quot;/&gt;&lt;wsp:rsid wsp:val=&quot;001959E3&quot;/&gt;&lt;wsp:rsid wsp:val=&quot;00195B86&quot;/&gt;&lt;wsp:rsid wsp:val=&quot;00195F8B&quot;/&gt;&lt;wsp:rsid wsp:val=&quot;00196048&quot;/&gt;&lt;wsp:rsid wsp:val=&quot;00196061&quot;/&gt;&lt;wsp:rsid wsp:val=&quot;00196267&quot;/&gt;&lt;wsp:rsid wsp:val=&quot;001962DB&quot;/&gt;&lt;wsp:rsid wsp:val=&quot;001964A3&quot;/&gt;&lt;wsp:rsid wsp:val=&quot;001965B3&quot;/&gt;&lt;wsp:rsid wsp:val=&quot;0019674E&quot;/&gt;&lt;wsp:rsid wsp:val=&quot;0019686A&quot;/&gt;&lt;wsp:rsid wsp:val=&quot;00196903&quot;/&gt;&lt;wsp:rsid wsp:val=&quot;00196CEE&quot;/&gt;&lt;wsp:rsid wsp:val=&quot;00196D2C&quot;/&gt;&lt;wsp:rsid wsp:val=&quot;00196E61&quot;/&gt;&lt;wsp:rsid wsp:val=&quot;0019781F&quot;/&gt;&lt;wsp:rsid wsp:val=&quot;001978D8&quot;/&gt;&lt;wsp:rsid wsp:val=&quot;0019796F&quot;/&gt;&lt;wsp:rsid wsp:val=&quot;00197ACD&quot;/&gt;&lt;wsp:rsid wsp:val=&quot;00197BD5&quot;/&gt;&lt;wsp:rsid wsp:val=&quot;00197C63&quot;/&gt;&lt;wsp:rsid wsp:val=&quot;00197D10&quot;/&gt;&lt;wsp:rsid wsp:val=&quot;001A01F8&quot;/&gt;&lt;wsp:rsid wsp:val=&quot;001A0910&quot;/&gt;&lt;wsp:rsid wsp:val=&quot;001A0D8A&quot;/&gt;&lt;wsp:rsid wsp:val=&quot;001A1081&quot;/&gt;&lt;wsp:rsid wsp:val=&quot;001A137C&quot;/&gt;&lt;wsp:rsid wsp:val=&quot;001A15C6&quot;/&gt;&lt;wsp:rsid wsp:val=&quot;001A1E78&quot;/&gt;&lt;wsp:rsid wsp:val=&quot;001A24C9&quot;/&gt;&lt;wsp:rsid wsp:val=&quot;001A26BE&quot;/&gt;&lt;wsp:rsid wsp:val=&quot;001A2BC3&quot;/&gt;&lt;wsp:rsid wsp:val=&quot;001A3487&quot;/&gt;&lt;wsp:rsid wsp:val=&quot;001A3995&quot;/&gt;&lt;wsp:rsid wsp:val=&quot;001A4906&quot;/&gt;&lt;wsp:rsid wsp:val=&quot;001A4F58&quot;/&gt;&lt;wsp:rsid wsp:val=&quot;001A58EB&quot;/&gt;&lt;wsp:rsid wsp:val=&quot;001A5E4D&quot;/&gt;&lt;wsp:rsid wsp:val=&quot;001A5F78&quot;/&gt;&lt;wsp:rsid wsp:val=&quot;001A62C8&quot;/&gt;&lt;wsp:rsid wsp:val=&quot;001A642D&quot;/&gt;&lt;wsp:rsid wsp:val=&quot;001A65EA&quot;/&gt;&lt;wsp:rsid wsp:val=&quot;001A66B2&quot;/&gt;&lt;wsp:rsid wsp:val=&quot;001A7199&quot;/&gt;&lt;wsp:rsid wsp:val=&quot;001A7307&quot;/&gt;&lt;wsp:rsid wsp:val=&quot;001A786A&quot;/&gt;&lt;wsp:rsid wsp:val=&quot;001A7B4C&quot;/&gt;&lt;wsp:rsid wsp:val=&quot;001A7BCF&quot;/&gt;&lt;wsp:rsid wsp:val=&quot;001A7D02&quot;/&gt;&lt;wsp:rsid wsp:val=&quot;001A7E5E&quot;/&gt;&lt;wsp:rsid wsp:val=&quot;001A7E73&quot;/&gt;&lt;wsp:rsid wsp:val=&quot;001B0343&quot;/&gt;&lt;wsp:rsid wsp:val=&quot;001B0C29&quot;/&gt;&lt;wsp:rsid wsp:val=&quot;001B143F&quot;/&gt;&lt;wsp:rsid wsp:val=&quot;001B177A&quot;/&gt;&lt;wsp:rsid wsp:val=&quot;001B1E97&quot;/&gt;&lt;wsp:rsid wsp:val=&quot;001B1F9B&quot;/&gt;&lt;wsp:rsid wsp:val=&quot;001B2007&quot;/&gt;&lt;wsp:rsid wsp:val=&quot;001B24B5&quot;/&gt;&lt;wsp:rsid wsp:val=&quot;001B2C07&quot;/&gt;&lt;wsp:rsid wsp:val=&quot;001B2C65&quot;/&gt;&lt;wsp:rsid wsp:val=&quot;001B30B6&quot;/&gt;&lt;wsp:rsid wsp:val=&quot;001B3352&quot;/&gt;&lt;wsp:rsid wsp:val=&quot;001B366C&quot;/&gt;&lt;wsp:rsid wsp:val=&quot;001B480D&quot;/&gt;&lt;wsp:rsid wsp:val=&quot;001B50EC&quot;/&gt;&lt;wsp:rsid wsp:val=&quot;001B5245&quot;/&gt;&lt;wsp:rsid wsp:val=&quot;001B5723&quot;/&gt;&lt;wsp:rsid wsp:val=&quot;001B5778&quot;/&gt;&lt;wsp:rsid wsp:val=&quot;001B59EA&quot;/&gt;&lt;wsp:rsid wsp:val=&quot;001B5CF0&quot;/&gt;&lt;wsp:rsid wsp:val=&quot;001B5F1B&quot;/&gt;&lt;wsp:rsid wsp:val=&quot;001B5FC3&quot;/&gt;&lt;wsp:rsid wsp:val=&quot;001B6134&quot;/&gt;&lt;wsp:rsid wsp:val=&quot;001B62BE&quot;/&gt;&lt;wsp:rsid wsp:val=&quot;001B6449&quot;/&gt;&lt;wsp:rsid wsp:val=&quot;001B6589&quot;/&gt;&lt;wsp:rsid wsp:val=&quot;001B6727&quot;/&gt;&lt;wsp:rsid wsp:val=&quot;001B677A&quot;/&gt;&lt;wsp:rsid wsp:val=&quot;001B6841&quot;/&gt;&lt;wsp:rsid wsp:val=&quot;001B6EA0&quot;/&gt;&lt;wsp:rsid wsp:val=&quot;001B7237&quot;/&gt;&lt;wsp:rsid wsp:val=&quot;001B72A0&quot;/&gt;&lt;wsp:rsid wsp:val=&quot;001B72CE&quot;/&gt;&lt;wsp:rsid wsp:val=&quot;001B7314&quot;/&gt;&lt;wsp:rsid wsp:val=&quot;001B7436&quot;/&gt;&lt;wsp:rsid wsp:val=&quot;001B7EC8&quot;/&gt;&lt;wsp:rsid wsp:val=&quot;001C0401&quot;/&gt;&lt;wsp:rsid wsp:val=&quot;001C04E9&quot;/&gt;&lt;wsp:rsid wsp:val=&quot;001C0961&quot;/&gt;&lt;wsp:rsid wsp:val=&quot;001C0976&quot;/&gt;&lt;wsp:rsid wsp:val=&quot;001C09FF&quot;/&gt;&lt;wsp:rsid wsp:val=&quot;001C0A5F&quot;/&gt;&lt;wsp:rsid wsp:val=&quot;001C0AE9&quot;/&gt;&lt;wsp:rsid wsp:val=&quot;001C0B0E&quot;/&gt;&lt;wsp:rsid wsp:val=&quot;001C0C95&quot;/&gt;&lt;wsp:rsid wsp:val=&quot;001C0CD6&quot;/&gt;&lt;wsp:rsid wsp:val=&quot;001C16B9&quot;/&gt;&lt;wsp:rsid wsp:val=&quot;001C187C&quot;/&gt;&lt;wsp:rsid wsp:val=&quot;001C18C0&quot;/&gt;&lt;wsp:rsid wsp:val=&quot;001C1C58&quot;/&gt;&lt;wsp:rsid wsp:val=&quot;001C1CAC&quot;/&gt;&lt;wsp:rsid wsp:val=&quot;001C1CEE&quot;/&gt;&lt;wsp:rsid wsp:val=&quot;001C1D1F&quot;/&gt;&lt;wsp:rsid wsp:val=&quot;001C1D75&quot;/&gt;&lt;wsp:rsid wsp:val=&quot;001C2147&quot;/&gt;&lt;wsp:rsid wsp:val=&quot;001C26C9&quot;/&gt;&lt;wsp:rsid wsp:val=&quot;001C2A51&quot;/&gt;&lt;wsp:rsid wsp:val=&quot;001C2A5E&quot;/&gt;&lt;wsp:rsid wsp:val=&quot;001C2C7F&quot;/&gt;&lt;wsp:rsid wsp:val=&quot;001C2E20&quot;/&gt;&lt;wsp:rsid wsp:val=&quot;001C3050&quot;/&gt;&lt;wsp:rsid wsp:val=&quot;001C30A9&quot;/&gt;&lt;wsp:rsid wsp:val=&quot;001C3959&quot;/&gt;&lt;wsp:rsid wsp:val=&quot;001C3C48&quot;/&gt;&lt;wsp:rsid wsp:val=&quot;001C3C6C&quot;/&gt;&lt;wsp:rsid wsp:val=&quot;001C3F0F&quot;/&gt;&lt;wsp:rsid wsp:val=&quot;001C4AEA&quot;/&gt;&lt;wsp:rsid wsp:val=&quot;001C58BD&quot;/&gt;&lt;wsp:rsid wsp:val=&quot;001C5C69&quot;/&gt;&lt;wsp:rsid wsp:val=&quot;001C5C94&quot;/&gt;&lt;wsp:rsid wsp:val=&quot;001C5CEE&quot;/&gt;&lt;wsp:rsid wsp:val=&quot;001C5D71&quot;/&gt;&lt;wsp:rsid wsp:val=&quot;001C6447&quot;/&gt;&lt;wsp:rsid wsp:val=&quot;001C654D&quot;/&gt;&lt;wsp:rsid wsp:val=&quot;001C6B80&quot;/&gt;&lt;wsp:rsid wsp:val=&quot;001C70D3&quot;/&gt;&lt;wsp:rsid wsp:val=&quot;001C71F9&quot;/&gt;&lt;wsp:rsid wsp:val=&quot;001C7204&quot;/&gt;&lt;wsp:rsid wsp:val=&quot;001C7629&quot;/&gt;&lt;wsp:rsid wsp:val=&quot;001C7A9C&quot;/&gt;&lt;wsp:rsid wsp:val=&quot;001C7CE1&quot;/&gt;&lt;wsp:rsid wsp:val=&quot;001D00B9&quot;/&gt;&lt;wsp:rsid wsp:val=&quot;001D0A1C&quot;/&gt;&lt;wsp:rsid wsp:val=&quot;001D0B9D&quot;/&gt;&lt;wsp:rsid wsp:val=&quot;001D0C26&quot;/&gt;&lt;wsp:rsid wsp:val=&quot;001D0DE5&quot;/&gt;&lt;wsp:rsid wsp:val=&quot;001D10EF&quot;/&gt;&lt;wsp:rsid wsp:val=&quot;001D1184&quot;/&gt;&lt;wsp:rsid wsp:val=&quot;001D1322&quot;/&gt;&lt;wsp:rsid wsp:val=&quot;001D1489&quot;/&gt;&lt;wsp:rsid wsp:val=&quot;001D1803&quot;/&gt;&lt;wsp:rsid wsp:val=&quot;001D196E&quot;/&gt;&lt;wsp:rsid wsp:val=&quot;001D1F57&quot;/&gt;&lt;wsp:rsid wsp:val=&quot;001D2001&quot;/&gt;&lt;wsp:rsid wsp:val=&quot;001D2179&quot;/&gt;&lt;wsp:rsid wsp:val=&quot;001D23B3&quot;/&gt;&lt;wsp:rsid wsp:val=&quot;001D26B4&quot;/&gt;&lt;wsp:rsid wsp:val=&quot;001D26D4&quot;/&gt;&lt;wsp:rsid wsp:val=&quot;001D29DD&quot;/&gt;&lt;wsp:rsid wsp:val=&quot;001D2F24&quot;/&gt;&lt;wsp:rsid wsp:val=&quot;001D34A9&quot;/&gt;&lt;wsp:rsid wsp:val=&quot;001D38F3&quot;/&gt;&lt;wsp:rsid wsp:val=&quot;001D3900&quot;/&gt;&lt;wsp:rsid wsp:val=&quot;001D3B05&quot;/&gt;&lt;wsp:rsid wsp:val=&quot;001D4033&quot;/&gt;&lt;wsp:rsid wsp:val=&quot;001D40B1&quot;/&gt;&lt;wsp:rsid wsp:val=&quot;001D42F8&quot;/&gt;&lt;wsp:rsid wsp:val=&quot;001D45EE&quot;/&gt;&lt;wsp:rsid wsp:val=&quot;001D4B4C&quot;/&gt;&lt;wsp:rsid wsp:val=&quot;001D4BB6&quot;/&gt;&lt;wsp:rsid wsp:val=&quot;001D4C1E&quot;/&gt;&lt;wsp:rsid wsp:val=&quot;001D509C&quot;/&gt;&lt;wsp:rsid wsp:val=&quot;001D526E&quot;/&gt;&lt;wsp:rsid wsp:val=&quot;001D5701&quot;/&gt;&lt;wsp:rsid wsp:val=&quot;001D57C5&quot;/&gt;&lt;wsp:rsid wsp:val=&quot;001D5C93&quot;/&gt;&lt;wsp:rsid wsp:val=&quot;001D5E01&quot;/&gt;&lt;wsp:rsid wsp:val=&quot;001D5E5D&quot;/&gt;&lt;wsp:rsid wsp:val=&quot;001D5EE4&quot;/&gt;&lt;wsp:rsid wsp:val=&quot;001D6949&quot;/&gt;&lt;wsp:rsid wsp:val=&quot;001D73C5&quot;/&gt;&lt;wsp:rsid wsp:val=&quot;001D76F6&quot;/&gt;&lt;wsp:rsid wsp:val=&quot;001D775D&quot;/&gt;&lt;wsp:rsid wsp:val=&quot;001D786C&quot;/&gt;&lt;wsp:rsid wsp:val=&quot;001D7CC4&quot;/&gt;&lt;wsp:rsid wsp:val=&quot;001D7D2F&quot;/&gt;&lt;wsp:rsid wsp:val=&quot;001E0296&quot;/&gt;&lt;wsp:rsid wsp:val=&quot;001E04E8&quot;/&gt;&lt;wsp:rsid wsp:val=&quot;001E07A2&quot;/&gt;&lt;wsp:rsid wsp:val=&quot;001E08FD&quot;/&gt;&lt;wsp:rsid wsp:val=&quot;001E1354&quot;/&gt;&lt;wsp:rsid wsp:val=&quot;001E14B9&quot;/&gt;&lt;wsp:rsid wsp:val=&quot;001E18D9&quot;/&gt;&lt;wsp:rsid wsp:val=&quot;001E1FCF&quot;/&gt;&lt;wsp:rsid wsp:val=&quot;001E20FD&quot;/&gt;&lt;wsp:rsid wsp:val=&quot;001E2267&quot;/&gt;&lt;wsp:rsid wsp:val=&quot;001E2637&quot;/&gt;&lt;wsp:rsid wsp:val=&quot;001E2A20&quot;/&gt;&lt;wsp:rsid wsp:val=&quot;001E2D8A&quot;/&gt;&lt;wsp:rsid wsp:val=&quot;001E2EB0&quot;/&gt;&lt;wsp:rsid wsp:val=&quot;001E300D&quot;/&gt;&lt;wsp:rsid wsp:val=&quot;001E30B2&quot;/&gt;&lt;wsp:rsid wsp:val=&quot;001E373C&quot;/&gt;&lt;wsp:rsid wsp:val=&quot;001E3D7D&quot;/&gt;&lt;wsp:rsid wsp:val=&quot;001E3F78&quot;/&gt;&lt;wsp:rsid wsp:val=&quot;001E4198&quot;/&gt;&lt;wsp:rsid wsp:val=&quot;001E43ED&quot;/&gt;&lt;wsp:rsid wsp:val=&quot;001E4F2E&quot;/&gt;&lt;wsp:rsid wsp:val=&quot;001E5033&quot;/&gt;&lt;wsp:rsid wsp:val=&quot;001E5217&quot;/&gt;&lt;wsp:rsid wsp:val=&quot;001E572B&quot;/&gt;&lt;wsp:rsid wsp:val=&quot;001E5C1C&quot;/&gt;&lt;wsp:rsid wsp:val=&quot;001E5C97&quot;/&gt;&lt;wsp:rsid wsp:val=&quot;001E5EDA&quot;/&gt;&lt;wsp:rsid wsp:val=&quot;001E6651&quot;/&gt;&lt;wsp:rsid wsp:val=&quot;001E69EF&quot;/&gt;&lt;wsp:rsid wsp:val=&quot;001E6D44&quot;/&gt;&lt;wsp:rsid wsp:val=&quot;001E7750&quot;/&gt;&lt;wsp:rsid wsp:val=&quot;001E7880&quot;/&gt;&lt;wsp:rsid wsp:val=&quot;001E7EF3&quot;/&gt;&lt;wsp:rsid wsp:val=&quot;001E7F09&quot;/&gt;&lt;wsp:rsid wsp:val=&quot;001F059E&quot;/&gt;&lt;wsp:rsid wsp:val=&quot;001F087D&quot;/&gt;&lt;wsp:rsid wsp:val=&quot;001F0A2D&quot;/&gt;&lt;wsp:rsid wsp:val=&quot;001F0AF1&quot;/&gt;&lt;wsp:rsid wsp:val=&quot;001F1028&quot;/&gt;&lt;wsp:rsid wsp:val=&quot;001F1230&quot;/&gt;&lt;wsp:rsid wsp:val=&quot;001F1778&quot;/&gt;&lt;wsp:rsid wsp:val=&quot;001F1A47&quot;/&gt;&lt;wsp:rsid wsp:val=&quot;001F1C7D&quot;/&gt;&lt;wsp:rsid wsp:val=&quot;001F1D47&quot;/&gt;&lt;wsp:rsid wsp:val=&quot;001F2564&quot;/&gt;&lt;wsp:rsid wsp:val=&quot;001F2779&quot;/&gt;&lt;wsp:rsid wsp:val=&quot;001F2E44&quot;/&gt;&lt;wsp:rsid wsp:val=&quot;001F3051&quot;/&gt;&lt;wsp:rsid wsp:val=&quot;001F31D9&quot;/&gt;&lt;wsp:rsid wsp:val=&quot;001F342D&quot;/&gt;&lt;wsp:rsid wsp:val=&quot;001F35B9&quot;/&gt;&lt;wsp:rsid wsp:val=&quot;001F395C&quot;/&gt;&lt;wsp:rsid wsp:val=&quot;001F399A&quot;/&gt;&lt;wsp:rsid wsp:val=&quot;001F3B40&quot;/&gt;&lt;wsp:rsid wsp:val=&quot;001F4026&quot;/&gt;&lt;wsp:rsid wsp:val=&quot;001F42A4&quot;/&gt;&lt;wsp:rsid wsp:val=&quot;001F42DD&quot;/&gt;&lt;wsp:rsid wsp:val=&quot;001F44DE&quot;/&gt;&lt;wsp:rsid wsp:val=&quot;001F4A12&quot;/&gt;&lt;wsp:rsid wsp:val=&quot;001F4A64&quot;/&gt;&lt;wsp:rsid wsp:val=&quot;001F4B50&quot;/&gt;&lt;wsp:rsid wsp:val=&quot;001F591D&quot;/&gt;&lt;wsp:rsid wsp:val=&quot;001F5BFE&quot;/&gt;&lt;wsp:rsid wsp:val=&quot;001F5FAF&quot;/&gt;&lt;wsp:rsid wsp:val=&quot;001F6325&quot;/&gt;&lt;wsp:rsid wsp:val=&quot;001F653B&quot;/&gt;&lt;wsp:rsid wsp:val=&quot;001F678F&quot;/&gt;&lt;wsp:rsid wsp:val=&quot;001F69FE&quot;/&gt;&lt;wsp:rsid wsp:val=&quot;001F6A0A&quot;/&gt;&lt;wsp:rsid wsp:val=&quot;001F6C9D&quot;/&gt;&lt;wsp:rsid wsp:val=&quot;001F71DE&quot;/&gt;&lt;wsp:rsid wsp:val=&quot;001F728E&quot;/&gt;&lt;wsp:rsid wsp:val=&quot;001F7335&quot;/&gt;&lt;wsp:rsid wsp:val=&quot;001F746B&quot;/&gt;&lt;wsp:rsid wsp:val=&quot;001F783B&quot;/&gt;&lt;wsp:rsid wsp:val=&quot;002004B5&quot;/&gt;&lt;wsp:rsid wsp:val=&quot;00200A58&quot;/&gt;&lt;wsp:rsid wsp:val=&quot;0020115B&quot;/&gt;&lt;wsp:rsid wsp:val=&quot;0020118E&quot;/&gt;&lt;wsp:rsid wsp:val=&quot;00201390&quot;/&gt;&lt;wsp:rsid wsp:val=&quot;00201AD3&quot;/&gt;&lt;wsp:rsid wsp:val=&quot;00201B4F&quot;/&gt;&lt;wsp:rsid wsp:val=&quot;00202731&quot;/&gt;&lt;wsp:rsid wsp:val=&quot;00202FF3&quot;/&gt;&lt;wsp:rsid wsp:val=&quot;00203214&quot;/&gt;&lt;wsp:rsid wsp:val=&quot;00203669&quot;/&gt;&lt;wsp:rsid wsp:val=&quot;00203884&quot;/&gt;&lt;wsp:rsid wsp:val=&quot;00203A11&quot;/&gt;&lt;wsp:rsid wsp:val=&quot;00203A3D&quot;/&gt;&lt;wsp:rsid wsp:val=&quot;00203E63&quot;/&gt;&lt;wsp:rsid wsp:val=&quot;00203F61&quot;/&gt;&lt;wsp:rsid wsp:val=&quot;002040BA&quot;/&gt;&lt;wsp:rsid wsp:val=&quot;00204234&quot;/&gt;&lt;wsp:rsid wsp:val=&quot;00204CB2&quot;/&gt;&lt;wsp:rsid wsp:val=&quot;00204EB1&quot;/&gt;&lt;wsp:rsid wsp:val=&quot;002052F6&quot;/&gt;&lt;wsp:rsid wsp:val=&quot;00205787&quot;/&gt;&lt;wsp:rsid wsp:val=&quot;00205C1E&quot;/&gt;&lt;wsp:rsid wsp:val=&quot;002062A1&quot;/&gt;&lt;wsp:rsid wsp:val=&quot;002062ED&quot;/&gt;&lt;wsp:rsid wsp:val=&quot;002063F5&quot;/&gt;&lt;wsp:rsid wsp:val=&quot;00206B0F&quot;/&gt;&lt;wsp:rsid wsp:val=&quot;00206F17&quot;/&gt;&lt;wsp:rsid wsp:val=&quot;002070B9&quot;/&gt;&lt;wsp:rsid wsp:val=&quot;00207292&quot;/&gt;&lt;wsp:rsid wsp:val=&quot;00207A76&quot;/&gt;&lt;wsp:rsid wsp:val=&quot;00207E9C&quot;/&gt;&lt;wsp:rsid wsp:val=&quot;002109EC&quot;/&gt;&lt;wsp:rsid wsp:val=&quot;00210ED5&quot;/&gt;&lt;wsp:rsid wsp:val=&quot;0021131D&quot;/&gt;&lt;wsp:rsid wsp:val=&quot;00211415&quot;/&gt;&lt;wsp:rsid wsp:val=&quot;0021154F&quot;/&gt;&lt;wsp:rsid wsp:val=&quot;00211603&quot;/&gt;&lt;wsp:rsid wsp:val=&quot;0021178A&quot;/&gt;&lt;wsp:rsid wsp:val=&quot;00211A9D&quot;/&gt;&lt;wsp:rsid wsp:val=&quot;00211E3A&quot;/&gt;&lt;wsp:rsid wsp:val=&quot;00212629&quot;/&gt;&lt;wsp:rsid wsp:val=&quot;00212D0A&quot;/&gt;&lt;wsp:rsid wsp:val=&quot;0021342F&quot;/&gt;&lt;wsp:rsid wsp:val=&quot;00213716&quot;/&gt;&lt;wsp:rsid wsp:val=&quot;00213AA3&quot;/&gt;&lt;wsp:rsid wsp:val=&quot;00213AE7&quot;/&gt;&lt;wsp:rsid wsp:val=&quot;00213CD1&quot;/&gt;&lt;wsp:rsid wsp:val=&quot;002144B9&quot;/&gt;&lt;wsp:rsid wsp:val=&quot;002145B2&quot;/&gt;&lt;wsp:rsid wsp:val=&quot;002148B7&quot;/&gt;&lt;wsp:rsid wsp:val=&quot;00215153&quot;/&gt;&lt;wsp:rsid wsp:val=&quot;002152B4&quot;/&gt;&lt;wsp:rsid wsp:val=&quot;00215363&quot;/&gt;&lt;wsp:rsid wsp:val=&quot;002155D5&quot;/&gt;&lt;wsp:rsid wsp:val=&quot;002157D0&quot;/&gt;&lt;wsp:rsid wsp:val=&quot;002158BB&quot;/&gt;&lt;wsp:rsid wsp:val=&quot;00215923&quot;/&gt;&lt;wsp:rsid wsp:val=&quot;00215B16&quot;/&gt;&lt;wsp:rsid wsp:val=&quot;00216252&quot;/&gt;&lt;wsp:rsid wsp:val=&quot;00216A42&quot;/&gt;&lt;wsp:rsid wsp:val=&quot;0021762E&quot;/&gt;&lt;wsp:rsid wsp:val=&quot;00217863&quot;/&gt;&lt;wsp:rsid wsp:val=&quot;00217875&quot;/&gt;&lt;wsp:rsid wsp:val=&quot;00217C16&quot;/&gt;&lt;wsp:rsid wsp:val=&quot;00217CDD&quot;/&gt;&lt;wsp:rsid wsp:val=&quot;00217DF4&quot;/&gt;&lt;wsp:rsid wsp:val=&quot;00217FF3&quot;/&gt;&lt;wsp:rsid wsp:val=&quot;002201D1&quot;/&gt;&lt;wsp:rsid wsp:val=&quot;0022087F&quot;/&gt;&lt;wsp:rsid wsp:val=&quot;00220A70&quot;/&gt;&lt;wsp:rsid wsp:val=&quot;00220E2B&quot;/&gt;&lt;wsp:rsid wsp:val=&quot;00220FF9&quot;/&gt;&lt;wsp:rsid wsp:val=&quot;00221C9E&quot;/&gt;&lt;wsp:rsid wsp:val=&quot;00221CE5&quot;/&gt;&lt;wsp:rsid wsp:val=&quot;00222238&quot;/&gt;&lt;wsp:rsid wsp:val=&quot;002223C9&quot;/&gt;&lt;wsp:rsid wsp:val=&quot;00222500&quot;/&gt;&lt;wsp:rsid wsp:val=&quot;002226AA&quot;/&gt;&lt;wsp:rsid wsp:val=&quot;0022270D&quot;/&gt;&lt;wsp:rsid wsp:val=&quot;00222C43&quot;/&gt;&lt;wsp:rsid wsp:val=&quot;00222D7F&quot;/&gt;&lt;wsp:rsid wsp:val=&quot;00222DC8&quot;/&gt;&lt;wsp:rsid wsp:val=&quot;002231EE&quot;/&gt;&lt;wsp:rsid wsp:val=&quot;002233E3&quot;/&gt;&lt;wsp:rsid wsp:val=&quot;002239B7&quot;/&gt;&lt;wsp:rsid wsp:val=&quot;00223A30&quot;/&gt;&lt;wsp:rsid wsp:val=&quot;00223B60&quot;/&gt;&lt;wsp:rsid wsp:val=&quot;00223DE6&quot;/&gt;&lt;wsp:rsid wsp:val=&quot;00223F62&quot;/&gt;&lt;wsp:rsid wsp:val=&quot;00223F9C&quot;/&gt;&lt;wsp:rsid wsp:val=&quot;00223FFC&quot;/&gt;&lt;wsp:rsid wsp:val=&quot;002249B1&quot;/&gt;&lt;wsp:rsid wsp:val=&quot;00224B87&quot;/&gt;&lt;wsp:rsid wsp:val=&quot;002252A4&quot;/&gt;&lt;wsp:rsid wsp:val=&quot;002256D7&quot;/&gt;&lt;wsp:rsid wsp:val=&quot;002256F8&quot;/&gt;&lt;wsp:rsid wsp:val=&quot;0022588E&quot;/&gt;&lt;wsp:rsid wsp:val=&quot;00226142&quot;/&gt;&lt;wsp:rsid wsp:val=&quot;00226165&quot;/&gt;&lt;wsp:rsid wsp:val=&quot;0022658A&quot;/&gt;&lt;wsp:rsid wsp:val=&quot;00226901&quot;/&gt;&lt;wsp:rsid wsp:val=&quot;00226C9A&quot;/&gt;&lt;wsp:rsid wsp:val=&quot;00226CAA&quot;/&gt;&lt;wsp:rsid wsp:val=&quot;00226E16&quot;/&gt;&lt;wsp:rsid wsp:val=&quot;00226F0D&quot;/&gt;&lt;wsp:rsid wsp:val=&quot;00226FCA&quot;/&gt;&lt;wsp:rsid wsp:val=&quot;00227818&quot;/&gt;&lt;wsp:rsid wsp:val=&quot;0022783D&quot;/&gt;&lt;wsp:rsid wsp:val=&quot;00227A0E&quot;/&gt;&lt;wsp:rsid wsp:val=&quot;00227CA3&quot;/&gt;&lt;wsp:rsid wsp:val=&quot;00227CAC&quot;/&gt;&lt;wsp:rsid wsp:val=&quot;00227F09&quot;/&gt;&lt;wsp:rsid wsp:val=&quot;002300C7&quot;/&gt;&lt;wsp:rsid wsp:val=&quot;002300D2&quot;/&gt;&lt;wsp:rsid wsp:val=&quot;00230153&quot;/&gt;&lt;wsp:rsid wsp:val=&quot;00230303&quot;/&gt;&lt;wsp:rsid wsp:val=&quot;00230718&quot;/&gt;&lt;wsp:rsid wsp:val=&quot;00230D26&quot;/&gt;&lt;wsp:rsid wsp:val=&quot;002314F1&quot;/&gt;&lt;wsp:rsid wsp:val=&quot;00231683&quot;/&gt;&lt;wsp:rsid wsp:val=&quot;00231CB7&quot;/&gt;&lt;wsp:rsid wsp:val=&quot;00231EF3&quot;/&gt;&lt;wsp:rsid wsp:val=&quot;0023208D&quot;/&gt;&lt;wsp:rsid wsp:val=&quot;00232266&quot;/&gt;&lt;wsp:rsid wsp:val=&quot;002324A6&quot;/&gt;&lt;wsp:rsid wsp:val=&quot;002325A1&quot;/&gt;&lt;wsp:rsid wsp:val=&quot;00232989&quot;/&gt;&lt;wsp:rsid wsp:val=&quot;00232A0A&quot;/&gt;&lt;wsp:rsid wsp:val=&quot;00232B15&quot;/&gt;&lt;wsp:rsid wsp:val=&quot;00232B66&quot;/&gt;&lt;wsp:rsid wsp:val=&quot;00232E63&quot;/&gt;&lt;wsp:rsid wsp:val=&quot;00233149&quot;/&gt;&lt;wsp:rsid wsp:val=&quot;0023329A&quot;/&gt;&lt;wsp:rsid wsp:val=&quot;002333DE&quot;/&gt;&lt;wsp:rsid wsp:val=&quot;00233477&quot;/&gt;&lt;wsp:rsid wsp:val=&quot;00233F42&quot;/&gt;&lt;wsp:rsid wsp:val=&quot;002348CB&quot;/&gt;&lt;wsp:rsid wsp:val=&quot;002349BD&quot;/&gt;&lt;wsp:rsid wsp:val=&quot;00234A0C&quot;/&gt;&lt;wsp:rsid wsp:val=&quot;0023556F&quot;/&gt;&lt;wsp:rsid wsp:val=&quot;00235ACA&quot;/&gt;&lt;wsp:rsid wsp:val=&quot;00236590&quot;/&gt;&lt;wsp:rsid wsp:val=&quot;00236846&quot;/&gt;&lt;wsp:rsid wsp:val=&quot;00236C23&quot;/&gt;&lt;wsp:rsid wsp:val=&quot;00236C72&quot;/&gt;&lt;wsp:rsid wsp:val=&quot;00236C7C&quot;/&gt;&lt;wsp:rsid wsp:val=&quot;00236D67&quot;/&gt;&lt;wsp:rsid wsp:val=&quot;0023725F&quot;/&gt;&lt;wsp:rsid wsp:val=&quot;00237F39&quot;/&gt;&lt;wsp:rsid wsp:val=&quot;002402F2&quot;/&gt;&lt;wsp:rsid wsp:val=&quot;002413BD&quot;/&gt;&lt;wsp:rsid wsp:val=&quot;00241542&quot;/&gt;&lt;wsp:rsid wsp:val=&quot;0024185C&quot;/&gt;&lt;wsp:rsid wsp:val=&quot;002418E7&quot;/&gt;&lt;wsp:rsid wsp:val=&quot;00241A04&quot;/&gt;&lt;wsp:rsid wsp:val=&quot;00241A62&quot;/&gt;&lt;wsp:rsid wsp:val=&quot;00241B80&quot;/&gt;&lt;wsp:rsid wsp:val=&quot;00241C03&quot;/&gt;&lt;wsp:rsid wsp:val=&quot;00241F45&quot;/&gt;&lt;wsp:rsid wsp:val=&quot;00241F5F&quot;/&gt;&lt;wsp:rsid wsp:val=&quot;0024244A&quot;/&gt;&lt;wsp:rsid wsp:val=&quot;0024265F&quot;/&gt;&lt;wsp:rsid wsp:val=&quot;002426C6&quot;/&gt;&lt;wsp:rsid wsp:val=&quot;002427E0&quot;/&gt;&lt;wsp:rsid wsp:val=&quot;00242B14&quot;/&gt;&lt;wsp:rsid wsp:val=&quot;00242C0C&quot;/&gt;&lt;wsp:rsid wsp:val=&quot;00242E31&quot;/&gt;&lt;wsp:rsid wsp:val=&quot;0024301C&quot;/&gt;&lt;wsp:rsid wsp:val=&quot;0024379A&quot;/&gt;&lt;wsp:rsid wsp:val=&quot;00243812&quot;/&gt;&lt;wsp:rsid wsp:val=&quot;00243ACD&quot;/&gt;&lt;wsp:rsid wsp:val=&quot;00243BBE&quot;/&gt;&lt;wsp:rsid wsp:val=&quot;00243C6C&quot;/&gt;&lt;wsp:rsid wsp:val=&quot;0024489F&quot;/&gt;&lt;wsp:rsid wsp:val=&quot;00244FD7&quot;/&gt;&lt;wsp:rsid wsp:val=&quot;0024598B&quot;/&gt;&lt;wsp:rsid wsp:val=&quot;00245AEB&quot;/&gt;&lt;wsp:rsid wsp:val=&quot;002461EA&quot;/&gt;&lt;wsp:rsid wsp:val=&quot;002462E4&quot;/&gt;&lt;wsp:rsid wsp:val=&quot;002467DF&quot;/&gt;&lt;wsp:rsid wsp:val=&quot;0024687E&quot;/&gt;&lt;wsp:rsid wsp:val=&quot;002470B2&quot;/&gt;&lt;wsp:rsid wsp:val=&quot;00247351&quot;/&gt;&lt;wsp:rsid wsp:val=&quot;0024791D&quot;/&gt;&lt;wsp:rsid wsp:val=&quot;00247ACC&quot;/&gt;&lt;wsp:rsid wsp:val=&quot;00247FB1&quot;/&gt;&lt;wsp:rsid wsp:val=&quot;00250170&quot;/&gt;&lt;wsp:rsid wsp:val=&quot;0025022B&quot;/&gt;&lt;wsp:rsid wsp:val=&quot;00251027&quot;/&gt;&lt;wsp:rsid wsp:val=&quot;002510E4&quot;/&gt;&lt;wsp:rsid wsp:val=&quot;0025119D&quot;/&gt;&lt;wsp:rsid wsp:val=&quot;002512E4&quot;/&gt;&lt;wsp:rsid wsp:val=&quot;0025156F&quot;/&gt;&lt;wsp:rsid wsp:val=&quot;00251989&quot;/&gt;&lt;wsp:rsid wsp:val=&quot;00251B43&quot;/&gt;&lt;wsp:rsid wsp:val=&quot;00251FAE&quot;/&gt;&lt;wsp:rsid wsp:val=&quot;002520F8&quot;/&gt;&lt;wsp:rsid wsp:val=&quot;0025211D&quot;/&gt;&lt;wsp:rsid wsp:val=&quot;002526AA&quot;/&gt;&lt;wsp:rsid wsp:val=&quot;0025346F&quot;/&gt;&lt;wsp:rsid wsp:val=&quot;002535C1&quot;/&gt;&lt;wsp:rsid wsp:val=&quot;002535F2&quot;/&gt;&lt;wsp:rsid wsp:val=&quot;00253A28&quot;/&gt;&lt;wsp:rsid wsp:val=&quot;00253B29&quot;/&gt;&lt;wsp:rsid wsp:val=&quot;002540E7&quot;/&gt;&lt;wsp:rsid wsp:val=&quot;0025414B&quot;/&gt;&lt;wsp:rsid wsp:val=&quot;002543FB&quot;/&gt;&lt;wsp:rsid wsp:val=&quot;00254992&quot;/&gt;&lt;wsp:rsid wsp:val=&quot;00254A31&quot;/&gt;&lt;wsp:rsid wsp:val=&quot;00254B17&quot;/&gt;&lt;wsp:rsid wsp:val=&quot;0025529C&quot;/&gt;&lt;wsp:rsid wsp:val=&quot;0025553E&quot;/&gt;&lt;wsp:rsid wsp:val=&quot;002559DA&quot;/&gt;&lt;wsp:rsid wsp:val=&quot;00255A5F&quot;/&gt;&lt;wsp:rsid wsp:val=&quot;002567B3&quot;/&gt;&lt;wsp:rsid wsp:val=&quot;002567D9&quot;/&gt;&lt;wsp:rsid wsp:val=&quot;00257074&quot;/&gt;&lt;wsp:rsid wsp:val=&quot;0025716B&quot;/&gt;&lt;wsp:rsid wsp:val=&quot;002572DE&quot;/&gt;&lt;wsp:rsid wsp:val=&quot;002574AB&quot;/&gt;&lt;wsp:rsid wsp:val=&quot;00257710&quot;/&gt;&lt;wsp:rsid wsp:val=&quot;00257D51&quot;/&gt;&lt;wsp:rsid wsp:val=&quot;00260D34&quot;/&gt;&lt;wsp:rsid wsp:val=&quot;00260E55&quot;/&gt;&lt;wsp:rsid wsp:val=&quot;002617C9&quot;/&gt;&lt;wsp:rsid wsp:val=&quot;002618C2&quot;/&gt;&lt;wsp:rsid wsp:val=&quot;00261D85&quot;/&gt;&lt;wsp:rsid wsp:val=&quot;00262087&quot;/&gt;&lt;wsp:rsid wsp:val=&quot;0026227B&quot;/&gt;&lt;wsp:rsid wsp:val=&quot;00262456&quot;/&gt;&lt;wsp:rsid wsp:val=&quot;0026246C&quot;/&gt;&lt;wsp:rsid wsp:val=&quot;002624A1&quot;/&gt;&lt;wsp:rsid wsp:val=&quot;002627F3&quot;/&gt;&lt;wsp:rsid wsp:val=&quot;00262BD7&quot;/&gt;&lt;wsp:rsid wsp:val=&quot;00262C4D&quot;/&gt;&lt;wsp:rsid wsp:val=&quot;0026359A&quot;/&gt;&lt;wsp:rsid wsp:val=&quot;002636A2&quot;/&gt;&lt;wsp:rsid wsp:val=&quot;002636E9&quot;/&gt;&lt;wsp:rsid wsp:val=&quot;0026396F&quot;/&gt;&lt;wsp:rsid wsp:val=&quot;00263A8D&quot;/&gt;&lt;wsp:rsid wsp:val=&quot;00263C47&quot;/&gt;&lt;wsp:rsid wsp:val=&quot;00263C9F&quot;/&gt;&lt;wsp:rsid wsp:val=&quot;00263E47&quot;/&gt;&lt;wsp:rsid wsp:val=&quot;00263FB4&quot;/&gt;&lt;wsp:rsid wsp:val=&quot;002640D0&quot;/&gt;&lt;wsp:rsid wsp:val=&quot;002643DA&quot;/&gt;&lt;wsp:rsid wsp:val=&quot;002644E2&quot;/&gt;&lt;wsp:rsid wsp:val=&quot;0026461E&quot;/&gt;&lt;wsp:rsid wsp:val=&quot;00264E91&quot;/&gt;&lt;wsp:rsid wsp:val=&quot;00264F6D&quot;/&gt;&lt;wsp:rsid wsp:val=&quot;002655F6&quot;/&gt;&lt;wsp:rsid wsp:val=&quot;0026560C&quot;/&gt;&lt;wsp:rsid wsp:val=&quot;00265FF0&quot;/&gt;&lt;wsp:rsid wsp:val=&quot;00266E09&quot;/&gt;&lt;wsp:rsid wsp:val=&quot;0026739F&quot;/&gt;&lt;wsp:rsid wsp:val=&quot;00267640&quot;/&gt;&lt;wsp:rsid wsp:val=&quot;00270029&quot;/&gt;&lt;wsp:rsid wsp:val=&quot;0027018D&quot;/&gt;&lt;wsp:rsid wsp:val=&quot;00270611&quot;/&gt;&lt;wsp:rsid wsp:val=&quot;00270697&quot;/&gt;&lt;wsp:rsid wsp:val=&quot;00270755&quot;/&gt;&lt;wsp:rsid wsp:val=&quot;00270B47&quot;/&gt;&lt;wsp:rsid wsp:val=&quot;00270D59&quot;/&gt;&lt;wsp:rsid wsp:val=&quot;00271289&quot;/&gt;&lt;wsp:rsid wsp:val=&quot;0027134C&quot;/&gt;&lt;wsp:rsid wsp:val=&quot;00271593&quot;/&gt;&lt;wsp:rsid wsp:val=&quot;002715A6&quot;/&gt;&lt;wsp:rsid wsp:val=&quot;0027161F&quot;/&gt;&lt;wsp:rsid wsp:val=&quot;00271D4D&quot;/&gt;&lt;wsp:rsid wsp:val=&quot;00271E47&quot;/&gt;&lt;wsp:rsid wsp:val=&quot;0027224A&quot;/&gt;&lt;wsp:rsid wsp:val=&quot;002724EF&quot;/&gt;&lt;wsp:rsid wsp:val=&quot;002724F4&quot;/&gt;&lt;wsp:rsid wsp:val=&quot;00272C48&quot;/&gt;&lt;wsp:rsid wsp:val=&quot;002732D0&quot;/&gt;&lt;wsp:rsid wsp:val=&quot;002736D7&quot;/&gt;&lt;wsp:rsid wsp:val=&quot;0027373B&quot;/&gt;&lt;wsp:rsid wsp:val=&quot;00274050&quot;/&gt;&lt;wsp:rsid wsp:val=&quot;00274196&quot;/&gt;&lt;wsp:rsid wsp:val=&quot;00274205&quot;/&gt;&lt;wsp:rsid wsp:val=&quot;002744A3&quot;/&gt;&lt;wsp:rsid wsp:val=&quot;002744AA&quot;/&gt;&lt;wsp:rsid wsp:val=&quot;002747BF&quot;/&gt;&lt;wsp:rsid wsp:val=&quot;002747D0&quot;/&gt;&lt;wsp:rsid wsp:val=&quot;002748ED&quot;/&gt;&lt;wsp:rsid wsp:val=&quot;00274955&quot;/&gt;&lt;wsp:rsid wsp:val=&quot;0027499C&quot;/&gt;&lt;wsp:rsid wsp:val=&quot;00274A6C&quot;/&gt;&lt;wsp:rsid wsp:val=&quot;00274C83&quot;/&gt;&lt;wsp:rsid wsp:val=&quot;00274CDA&quot;/&gt;&lt;wsp:rsid wsp:val=&quot;0027513F&quot;/&gt;&lt;wsp:rsid wsp:val=&quot;00275142&quot;/&gt;&lt;wsp:rsid wsp:val=&quot;00275637&quot;/&gt;&lt;wsp:rsid wsp:val=&quot;002757D0&quot;/&gt;&lt;wsp:rsid wsp:val=&quot;00275A5D&quot;/&gt;&lt;wsp:rsid wsp:val=&quot;00275AD2&quot;/&gt;&lt;wsp:rsid wsp:val=&quot;0027613B&quot;/&gt;&lt;wsp:rsid wsp:val=&quot;0027644C&quot;/&gt;&lt;wsp:rsid wsp:val=&quot;002765AD&quot;/&gt;&lt;wsp:rsid wsp:val=&quot;002767D0&quot;/&gt;&lt;wsp:rsid wsp:val=&quot;00276D6C&quot;/&gt;&lt;wsp:rsid wsp:val=&quot;00276F23&quot;/&gt;&lt;wsp:rsid wsp:val=&quot;0027716C&quot;/&gt;&lt;wsp:rsid wsp:val=&quot;002779DD&quot;/&gt;&lt;wsp:rsid wsp:val=&quot;00277F07&quot;/&gt;&lt;wsp:rsid wsp:val=&quot;0028013C&quot;/&gt;&lt;wsp:rsid wsp:val=&quot;002803DE&quot;/&gt;&lt;wsp:rsid wsp:val=&quot;002804A3&quot;/&gt;&lt;wsp:rsid wsp:val=&quot;00280893&quot;/&gt;&lt;wsp:rsid wsp:val=&quot;002812C9&quot;/&gt;&lt;wsp:rsid wsp:val=&quot;002814EC&quot;/&gt;&lt;wsp:rsid wsp:val=&quot;0028166F&quot;/&gt;&lt;wsp:rsid wsp:val=&quot;00281860&quot;/&gt;&lt;wsp:rsid wsp:val=&quot;00281952&quot;/&gt;&lt;wsp:rsid wsp:val=&quot;00282A78&quot;/&gt;&lt;wsp:rsid wsp:val=&quot;00282B4B&quot;/&gt;&lt;wsp:rsid wsp:val=&quot;00282BDA&quot;/&gt;&lt;wsp:rsid wsp:val=&quot;00282E4D&quot;/&gt;&lt;wsp:rsid wsp:val=&quot;002832E0&quot;/&gt;&lt;wsp:rsid wsp:val=&quot;002833BB&quot;/&gt;&lt;wsp:rsid wsp:val=&quot;0028346E&quot;/&gt;&lt;wsp:rsid wsp:val=&quot;002835C7&quot;/&gt;&lt;wsp:rsid wsp:val=&quot;00284392&quot;/&gt;&lt;wsp:rsid wsp:val=&quot;00284567&quot;/&gt;&lt;wsp:rsid wsp:val=&quot;00284A7F&quot;/&gt;&lt;wsp:rsid wsp:val=&quot;00284BC4&quot;/&gt;&lt;wsp:rsid wsp:val=&quot;00284C0D&quot;/&gt;&lt;wsp:rsid wsp:val=&quot;00285346&quot;/&gt;&lt;wsp:rsid wsp:val=&quot;0028553F&quot;/&gt;&lt;wsp:rsid wsp:val=&quot;00285701&quot;/&gt;&lt;wsp:rsid wsp:val=&quot;00285A7F&quot;/&gt;&lt;wsp:rsid wsp:val=&quot;00285AF2&quot;/&gt;&lt;wsp:rsid wsp:val=&quot;00285FC0&quot;/&gt;&lt;wsp:rsid wsp:val=&quot;00285FC5&quot;/&gt;&lt;wsp:rsid wsp:val=&quot;0028641F&quot;/&gt;&lt;wsp:rsid wsp:val=&quot;002867AA&quot;/&gt;&lt;wsp:rsid wsp:val=&quot;002869F5&quot;/&gt;&lt;wsp:rsid wsp:val=&quot;00286F24&quot;/&gt;&lt;wsp:rsid wsp:val=&quot;00286F32&quot;/&gt;&lt;wsp:rsid wsp:val=&quot;00287223&quot;/&gt;&lt;wsp:rsid wsp:val=&quot;00287681&quot;/&gt;&lt;wsp:rsid wsp:val=&quot;00287EBD&quot;/&gt;&lt;wsp:rsid wsp:val=&quot;00287F8E&quot;/&gt;&lt;wsp:rsid wsp:val=&quot;0029008F&quot;/&gt;&lt;wsp:rsid wsp:val=&quot;0029079A&quot;/&gt;&lt;wsp:rsid wsp:val=&quot;00290A2D&quot;/&gt;&lt;wsp:rsid wsp:val=&quot;002910F2&quot;/&gt;&lt;wsp:rsid wsp:val=&quot;002911F5&quot;/&gt;&lt;wsp:rsid wsp:val=&quot;00291250&quot;/&gt;&lt;wsp:rsid wsp:val=&quot;0029135F&quot;/&gt;&lt;wsp:rsid wsp:val=&quot;0029196D&quot;/&gt;&lt;wsp:rsid wsp:val=&quot;00291A01&quot;/&gt;&lt;wsp:rsid wsp:val=&quot;00291A62&quot;/&gt;&lt;wsp:rsid wsp:val=&quot;00291F28&quot;/&gt;&lt;wsp:rsid wsp:val=&quot;00292687&quot;/&gt;&lt;wsp:rsid wsp:val=&quot;002929B3&quot;/&gt;&lt;wsp:rsid wsp:val=&quot;00292B75&quot;/&gt;&lt;wsp:rsid wsp:val=&quot;00292E90&quot;/&gt;&lt;wsp:rsid wsp:val=&quot;00292F01&quot;/&gt;&lt;wsp:rsid wsp:val=&quot;0029342F&quot;/&gt;&lt;wsp:rsid wsp:val=&quot;002934B1&quot;/&gt;&lt;wsp:rsid wsp:val=&quot;00293626&quot;/&gt;&lt;wsp:rsid wsp:val=&quot;00293B87&quot;/&gt;&lt;wsp:rsid wsp:val=&quot;00293C9E&quot;/&gt;&lt;wsp:rsid wsp:val=&quot;00293DAA&quot;/&gt;&lt;wsp:rsid wsp:val=&quot;00293E69&quot;/&gt;&lt;wsp:rsid wsp:val=&quot;00294076&quot;/&gt;&lt;wsp:rsid wsp:val=&quot;00294094&quot;/&gt;&lt;wsp:rsid wsp:val=&quot;002942B9&quot;/&gt;&lt;wsp:rsid wsp:val=&quot;002944AD&quot;/&gt;&lt;wsp:rsid wsp:val=&quot;00294D12&quot;/&gt;&lt;wsp:rsid wsp:val=&quot;00295814&quot;/&gt;&lt;wsp:rsid wsp:val=&quot;00295EBF&quot;/&gt;&lt;wsp:rsid wsp:val=&quot;00295FCC&quot;/&gt;&lt;wsp:rsid wsp:val=&quot;00296318&quot;/&gt;&lt;wsp:rsid wsp:val=&quot;002963ED&quot;/&gt;&lt;wsp:rsid wsp:val=&quot;00296B3C&quot;/&gt;&lt;wsp:rsid wsp:val=&quot;002976EF&quot;/&gt;&lt;wsp:rsid wsp:val=&quot;00297F6D&quot;/&gt;&lt;wsp:rsid wsp:val=&quot;002A017C&quot;/&gt;&lt;wsp:rsid wsp:val=&quot;002A043F&quot;/&gt;&lt;wsp:rsid wsp:val=&quot;002A082D&quot;/&gt;&lt;wsp:rsid wsp:val=&quot;002A0AC1&quot;/&gt;&lt;wsp:rsid wsp:val=&quot;002A1683&quot;/&gt;&lt;wsp:rsid wsp:val=&quot;002A18F0&quot;/&gt;&lt;wsp:rsid wsp:val=&quot;002A195B&quot;/&gt;&lt;wsp:rsid wsp:val=&quot;002A1B4D&quot;/&gt;&lt;wsp:rsid wsp:val=&quot;002A1D8E&quot;/&gt;&lt;wsp:rsid wsp:val=&quot;002A226C&quot;/&gt;&lt;wsp:rsid wsp:val=&quot;002A25D6&quot;/&gt;&lt;wsp:rsid wsp:val=&quot;002A287D&quot;/&gt;&lt;wsp:rsid wsp:val=&quot;002A30A8&quot;/&gt;&lt;wsp:rsid wsp:val=&quot;002A325C&quot;/&gt;&lt;wsp:rsid wsp:val=&quot;002A354B&quot;/&gt;&lt;wsp:rsid wsp:val=&quot;002A3C55&quot;/&gt;&lt;wsp:rsid wsp:val=&quot;002A3E93&quot;/&gt;&lt;wsp:rsid wsp:val=&quot;002A40B5&quot;/&gt;&lt;wsp:rsid wsp:val=&quot;002A40BF&quot;/&gt;&lt;wsp:rsid wsp:val=&quot;002A438B&quot;/&gt;&lt;wsp:rsid wsp:val=&quot;002A43DA&quot;/&gt;&lt;wsp:rsid wsp:val=&quot;002A4413&quot;/&gt;&lt;wsp:rsid wsp:val=&quot;002A47C6&quot;/&gt;&lt;wsp:rsid wsp:val=&quot;002A4B45&quot;/&gt;&lt;wsp:rsid wsp:val=&quot;002A4F64&quot;/&gt;&lt;wsp:rsid wsp:val=&quot;002A4FAA&quot;/&gt;&lt;wsp:rsid wsp:val=&quot;002A543C&quot;/&gt;&lt;wsp:rsid wsp:val=&quot;002A5850&quot;/&gt;&lt;wsp:rsid wsp:val=&quot;002A5E2B&quot;/&gt;&lt;wsp:rsid wsp:val=&quot;002A60AB&quot;/&gt;&lt;wsp:rsid wsp:val=&quot;002A62D4&quot;/&gt;&lt;wsp:rsid wsp:val=&quot;002A6559&quot;/&gt;&lt;wsp:rsid wsp:val=&quot;002A72E4&quot;/&gt;&lt;wsp:rsid wsp:val=&quot;002A7464&quot;/&gt;&lt;wsp:rsid wsp:val=&quot;002A753D&quot;/&gt;&lt;wsp:rsid wsp:val=&quot;002A76F0&quot;/&gt;&lt;wsp:rsid wsp:val=&quot;002A78B2&quot;/&gt;&lt;wsp:rsid wsp:val=&quot;002A7969&quot;/&gt;&lt;wsp:rsid wsp:val=&quot;002A7DE4&quot;/&gt;&lt;wsp:rsid wsp:val=&quot;002B07B5&quot;/&gt;&lt;wsp:rsid wsp:val=&quot;002B07D5&quot;/&gt;&lt;wsp:rsid wsp:val=&quot;002B0B06&quot;/&gt;&lt;wsp:rsid wsp:val=&quot;002B0B36&quot;/&gt;&lt;wsp:rsid wsp:val=&quot;002B1469&quot;/&gt;&lt;wsp:rsid wsp:val=&quot;002B21F2&quot;/&gt;&lt;wsp:rsid wsp:val=&quot;002B22FF&quot;/&gt;&lt;wsp:rsid wsp:val=&quot;002B2487&quot;/&gt;&lt;wsp:rsid wsp:val=&quot;002B2750&quot;/&gt;&lt;wsp:rsid wsp:val=&quot;002B2CDA&quot;/&gt;&lt;wsp:rsid wsp:val=&quot;002B3B40&quot;/&gt;&lt;wsp:rsid wsp:val=&quot;002B3B45&quot;/&gt;&lt;wsp:rsid wsp:val=&quot;002B3C6E&quot;/&gt;&lt;wsp:rsid wsp:val=&quot;002B4636&quot;/&gt;&lt;wsp:rsid wsp:val=&quot;002B5679&quot;/&gt;&lt;wsp:rsid wsp:val=&quot;002B589F&quot;/&gt;&lt;wsp:rsid wsp:val=&quot;002B5CDE&quot;/&gt;&lt;wsp:rsid wsp:val=&quot;002B6271&quot;/&gt;&lt;wsp:rsid wsp:val=&quot;002B63AB&quot;/&gt;&lt;wsp:rsid wsp:val=&quot;002B6969&quot;/&gt;&lt;wsp:rsid wsp:val=&quot;002B6B15&quot;/&gt;&lt;wsp:rsid wsp:val=&quot;002B6C6C&quot;/&gt;&lt;wsp:rsid wsp:val=&quot;002B6E38&quot;/&gt;&lt;wsp:rsid wsp:val=&quot;002B7093&quot;/&gt;&lt;wsp:rsid wsp:val=&quot;002C028F&quot;/&gt;&lt;wsp:rsid wsp:val=&quot;002C02EC&quot;/&gt;&lt;wsp:rsid wsp:val=&quot;002C02EF&quot;/&gt;&lt;wsp:rsid wsp:val=&quot;002C0435&quot;/&gt;&lt;wsp:rsid wsp:val=&quot;002C0475&quot;/&gt;&lt;wsp:rsid wsp:val=&quot;002C049C&quot;/&gt;&lt;wsp:rsid wsp:val=&quot;002C06A2&quot;/&gt;&lt;wsp:rsid wsp:val=&quot;002C0797&quot;/&gt;&lt;wsp:rsid wsp:val=&quot;002C09C9&quot;/&gt;&lt;wsp:rsid wsp:val=&quot;002C1425&quot;/&gt;&lt;wsp:rsid wsp:val=&quot;002C196B&quot;/&gt;&lt;wsp:rsid wsp:val=&quot;002C1A16&quot;/&gt;&lt;wsp:rsid wsp:val=&quot;002C1D69&quot;/&gt;&lt;wsp:rsid wsp:val=&quot;002C2023&quot;/&gt;&lt;wsp:rsid wsp:val=&quot;002C2E78&quot;/&gt;&lt;wsp:rsid wsp:val=&quot;002C341B&quot;/&gt;&lt;wsp:rsid wsp:val=&quot;002C36FF&quot;/&gt;&lt;wsp:rsid wsp:val=&quot;002C3863&quot;/&gt;&lt;wsp:rsid wsp:val=&quot;002C38D3&quot;/&gt;&lt;wsp:rsid wsp:val=&quot;002C399A&quot;/&gt;&lt;wsp:rsid wsp:val=&quot;002C3F6E&quot;/&gt;&lt;wsp:rsid wsp:val=&quot;002C40E3&quot;/&gt;&lt;wsp:rsid wsp:val=&quot;002C426B&quot;/&gt;&lt;wsp:rsid wsp:val=&quot;002C4910&quot;/&gt;&lt;wsp:rsid wsp:val=&quot;002C51F4&quot;/&gt;&lt;wsp:rsid wsp:val=&quot;002C52BD&quot;/&gt;&lt;wsp:rsid wsp:val=&quot;002C5465&quot;/&gt;&lt;wsp:rsid wsp:val=&quot;002C580B&quot;/&gt;&lt;wsp:rsid wsp:val=&quot;002C5A9A&quot;/&gt;&lt;wsp:rsid wsp:val=&quot;002C5D82&quot;/&gt;&lt;wsp:rsid wsp:val=&quot;002C5F99&quot;/&gt;&lt;wsp:rsid wsp:val=&quot;002C6221&quot;/&gt;&lt;wsp:rsid wsp:val=&quot;002C6936&quot;/&gt;&lt;wsp:rsid wsp:val=&quot;002C6EF6&quot;/&gt;&lt;wsp:rsid wsp:val=&quot;002C70A1&quot;/&gt;&lt;wsp:rsid wsp:val=&quot;002C70EB&quot;/&gt;&lt;wsp:rsid wsp:val=&quot;002C71BC&quot;/&gt;&lt;wsp:rsid wsp:val=&quot;002C7CB3&quot;/&gt;&lt;wsp:rsid wsp:val=&quot;002D01B6&quot;/&gt;&lt;wsp:rsid wsp:val=&quot;002D051A&quot;/&gt;&lt;wsp:rsid wsp:val=&quot;002D066C&quot;/&gt;&lt;wsp:rsid wsp:val=&quot;002D0BD7&quot;/&gt;&lt;wsp:rsid wsp:val=&quot;002D0D75&quot;/&gt;&lt;wsp:rsid wsp:val=&quot;002D17A6&quot;/&gt;&lt;wsp:rsid wsp:val=&quot;002D1F87&quot;/&gt;&lt;wsp:rsid wsp:val=&quot;002D2373&quot;/&gt;&lt;wsp:rsid wsp:val=&quot;002D26F6&quot;/&gt;&lt;wsp:rsid wsp:val=&quot;002D2A19&quot;/&gt;&lt;wsp:rsid wsp:val=&quot;002D2A84&quot;/&gt;&lt;wsp:rsid wsp:val=&quot;002D30BE&quot;/&gt;&lt;wsp:rsid wsp:val=&quot;002D325A&quot;/&gt;&lt;wsp:rsid wsp:val=&quot;002D3A06&quot;/&gt;&lt;wsp:rsid wsp:val=&quot;002D3E99&quot;/&gt;&lt;wsp:rsid wsp:val=&quot;002D3FAD&quot;/&gt;&lt;wsp:rsid wsp:val=&quot;002D4667&quot;/&gt;&lt;wsp:rsid wsp:val=&quot;002D48AC&quot;/&gt;&lt;wsp:rsid wsp:val=&quot;002D4A83&quot;/&gt;&lt;wsp:rsid wsp:val=&quot;002D4C2A&quot;/&gt;&lt;wsp:rsid wsp:val=&quot;002D5156&quot;/&gt;&lt;wsp:rsid wsp:val=&quot;002D5221&quot;/&gt;&lt;wsp:rsid wsp:val=&quot;002D54B2&quot;/&gt;&lt;wsp:rsid wsp:val=&quot;002D5AD5&quot;/&gt;&lt;wsp:rsid wsp:val=&quot;002D5F75&quot;/&gt;&lt;wsp:rsid wsp:val=&quot;002D60C7&quot;/&gt;&lt;wsp:rsid wsp:val=&quot;002D6528&quot;/&gt;&lt;wsp:rsid wsp:val=&quot;002D655D&quot;/&gt;&lt;wsp:rsid wsp:val=&quot;002D6810&quot;/&gt;&lt;wsp:rsid wsp:val=&quot;002D68CE&quot;/&gt;&lt;wsp:rsid wsp:val=&quot;002D68D1&quot;/&gt;&lt;wsp:rsid wsp:val=&quot;002D68F0&quot;/&gt;&lt;wsp:rsid wsp:val=&quot;002D6938&quot;/&gt;&lt;wsp:rsid wsp:val=&quot;002D6EA4&quot;/&gt;&lt;wsp:rsid wsp:val=&quot;002D6F4C&quot;/&gt;&lt;wsp:rsid wsp:val=&quot;002D712B&quot;/&gt;&lt;wsp:rsid wsp:val=&quot;002D7489&quot;/&gt;&lt;wsp:rsid wsp:val=&quot;002D75E1&quot;/&gt;&lt;wsp:rsid wsp:val=&quot;002D7852&quot;/&gt;&lt;wsp:rsid wsp:val=&quot;002D7876&quot;/&gt;&lt;wsp:rsid wsp:val=&quot;002D7F7C&quot;/&gt;&lt;wsp:rsid wsp:val=&quot;002E00F5&quot;/&gt;&lt;wsp:rsid wsp:val=&quot;002E0245&quot;/&gt;&lt;wsp:rsid wsp:val=&quot;002E09BB&quot;/&gt;&lt;wsp:rsid wsp:val=&quot;002E10DC&quot;/&gt;&lt;wsp:rsid wsp:val=&quot;002E155F&quot;/&gt;&lt;wsp:rsid wsp:val=&quot;002E1B96&quot;/&gt;&lt;wsp:rsid wsp:val=&quot;002E1D4F&quot;/&gt;&lt;wsp:rsid wsp:val=&quot;002E1F15&quot;/&gt;&lt;wsp:rsid wsp:val=&quot;002E1F17&quot;/&gt;&lt;wsp:rsid wsp:val=&quot;002E205D&quot;/&gt;&lt;wsp:rsid wsp:val=&quot;002E22DB&quot;/&gt;&lt;wsp:rsid wsp:val=&quot;002E28BB&quot;/&gt;&lt;wsp:rsid wsp:val=&quot;002E2C03&quot;/&gt;&lt;wsp:rsid wsp:val=&quot;002E2EC0&quot;/&gt;&lt;wsp:rsid wsp:val=&quot;002E3387&quot;/&gt;&lt;wsp:rsid wsp:val=&quot;002E34D6&quot;/&gt;&lt;wsp:rsid wsp:val=&quot;002E3B88&quot;/&gt;&lt;wsp:rsid wsp:val=&quot;002E3D5B&quot;/&gt;&lt;wsp:rsid wsp:val=&quot;002E3DAD&quot;/&gt;&lt;wsp:rsid wsp:val=&quot;002E3ED7&quot;/&gt;&lt;wsp:rsid wsp:val=&quot;002E4583&quot;/&gt;&lt;wsp:rsid wsp:val=&quot;002E4707&quot;/&gt;&lt;wsp:rsid wsp:val=&quot;002E4B35&quot;/&gt;&lt;wsp:rsid wsp:val=&quot;002E542B&quot;/&gt;&lt;wsp:rsid wsp:val=&quot;002E6D9B&quot;/&gt;&lt;wsp:rsid wsp:val=&quot;002E7A1F&quot;/&gt;&lt;wsp:rsid wsp:val=&quot;002E7AE0&quot;/&gt;&lt;wsp:rsid wsp:val=&quot;002E7B93&quot;/&gt;&lt;wsp:rsid wsp:val=&quot;002E7F73&quot;/&gt;&lt;wsp:rsid wsp:val=&quot;002F0117&quot;/&gt;&lt;wsp:rsid wsp:val=&quot;002F033F&quot;/&gt;&lt;wsp:rsid wsp:val=&quot;002F0447&quot;/&gt;&lt;wsp:rsid wsp:val=&quot;002F046F&quot;/&gt;&lt;wsp:rsid wsp:val=&quot;002F0546&quot;/&gt;&lt;wsp:rsid wsp:val=&quot;002F0E28&quot;/&gt;&lt;wsp:rsid wsp:val=&quot;002F0F50&quot;/&gt;&lt;wsp:rsid wsp:val=&quot;002F0FBF&quot;/&gt;&lt;wsp:rsid wsp:val=&quot;002F12A5&quot;/&gt;&lt;wsp:rsid wsp:val=&quot;002F1589&quot;/&gt;&lt;wsp:rsid wsp:val=&quot;002F17EF&quot;/&gt;&lt;wsp:rsid wsp:val=&quot;002F1969&quot;/&gt;&lt;wsp:rsid wsp:val=&quot;002F1FC7&quot;/&gt;&lt;wsp:rsid wsp:val=&quot;002F2886&quot;/&gt;&lt;wsp:rsid wsp:val=&quot;002F309F&quot;/&gt;&lt;wsp:rsid wsp:val=&quot;002F33C7&quot;/&gt;&lt;wsp:rsid wsp:val=&quot;002F3538&quot;/&gt;&lt;wsp:rsid wsp:val=&quot;002F3CF1&quot;/&gt;&lt;wsp:rsid wsp:val=&quot;002F3D37&quot;/&gt;&lt;wsp:rsid wsp:val=&quot;002F42BA&quot;/&gt;&lt;wsp:rsid wsp:val=&quot;002F452B&quot;/&gt;&lt;wsp:rsid wsp:val=&quot;002F4635&quot;/&gt;&lt;wsp:rsid wsp:val=&quot;002F4CC1&quot;/&gt;&lt;wsp:rsid wsp:val=&quot;002F4E53&quot;/&gt;&lt;wsp:rsid wsp:val=&quot;002F4E82&quot;/&gt;&lt;wsp:rsid wsp:val=&quot;002F4FEE&quot;/&gt;&lt;wsp:rsid wsp:val=&quot;002F50B4&quot;/&gt;&lt;wsp:rsid wsp:val=&quot;002F5550&quot;/&gt;&lt;wsp:rsid wsp:val=&quot;002F57FD&quot;/&gt;&lt;wsp:rsid wsp:val=&quot;002F5DB6&quot;/&gt;&lt;wsp:rsid wsp:val=&quot;002F5EEF&quot;/&gt;&lt;wsp:rsid wsp:val=&quot;002F5FFD&quot;/&gt;&lt;wsp:rsid wsp:val=&quot;002F6510&quot;/&gt;&lt;wsp:rsid wsp:val=&quot;002F6A30&quot;/&gt;&lt;wsp:rsid wsp:val=&quot;002F6C71&quot;/&gt;&lt;wsp:rsid wsp:val=&quot;002F762A&quot;/&gt;&lt;wsp:rsid wsp:val=&quot;002F7CDE&quot;/&gt;&lt;wsp:rsid wsp:val=&quot;00300614&quot;/&gt;&lt;wsp:rsid wsp:val=&quot;0030079A&quot;/&gt;&lt;wsp:rsid wsp:val=&quot;00300A4F&quot;/&gt;&lt;wsp:rsid wsp:val=&quot;003011E0&quot;/&gt;&lt;wsp:rsid wsp:val=&quot;00301AB9&quot;/&gt;&lt;wsp:rsid wsp:val=&quot;00301E31&quot;/&gt;&lt;wsp:rsid wsp:val=&quot;003020F0&quot;/&gt;&lt;wsp:rsid wsp:val=&quot;003021E3&quot;/&gt;&lt;wsp:rsid wsp:val=&quot;003021EB&quot;/&gt;&lt;wsp:rsid wsp:val=&quot;0030234F&quot;/&gt;&lt;wsp:rsid wsp:val=&quot;003024F1&quot;/&gt;&lt;wsp:rsid wsp:val=&quot;00302C47&quot;/&gt;&lt;wsp:rsid wsp:val=&quot;00302DE7&quot;/&gt;&lt;wsp:rsid wsp:val=&quot;00302E2C&quot;/&gt;&lt;wsp:rsid wsp:val=&quot;0030381E&quot;/&gt;&lt;wsp:rsid wsp:val=&quot;00303848&quot;/&gt;&lt;wsp:rsid wsp:val=&quot;00303894&quot;/&gt;&lt;wsp:rsid wsp:val=&quot;00303A13&quot;/&gt;&lt;wsp:rsid wsp:val=&quot;00303D41&quot;/&gt;&lt;wsp:rsid wsp:val=&quot;0030400B&quot;/&gt;&lt;wsp:rsid wsp:val=&quot;003040BB&quot;/&gt;&lt;wsp:rsid wsp:val=&quot;003042E2&quot;/&gt;&lt;wsp:rsid wsp:val=&quot;00304465&quot;/&gt;&lt;wsp:rsid wsp:val=&quot;00304543&quot;/&gt;&lt;wsp:rsid wsp:val=&quot;00304659&quot;/&gt;&lt;wsp:rsid wsp:val=&quot;00304816&quot;/&gt;&lt;wsp:rsid wsp:val=&quot;00305216&quot;/&gt;&lt;wsp:rsid wsp:val=&quot;00305929&quot;/&gt;&lt;wsp:rsid wsp:val=&quot;00305A87&quot;/&gt;&lt;wsp:rsid wsp:val=&quot;003064CB&quot;/&gt;&lt;wsp:rsid wsp:val=&quot;00306A6A&quot;/&gt;&lt;wsp:rsid wsp:val=&quot;00306AA7&quot;/&gt;&lt;wsp:rsid wsp:val=&quot;00306CB1&quot;/&gt;&lt;wsp:rsid wsp:val=&quot;00306F51&quot;/&gt;&lt;wsp:rsid wsp:val=&quot;00306F9A&quot;/&gt;&lt;wsp:rsid wsp:val=&quot;00307117&quot;/&gt;&lt;wsp:rsid wsp:val=&quot;00307711&quot;/&gt;&lt;wsp:rsid wsp:val=&quot;003077AC&quot;/&gt;&lt;wsp:rsid wsp:val=&quot;00307B03&quot;/&gt;&lt;wsp:rsid wsp:val=&quot;0031013A&quot;/&gt;&lt;wsp:rsid wsp:val=&quot;0031018C&quot;/&gt;&lt;wsp:rsid wsp:val=&quot;003105B2&quot;/&gt;&lt;wsp:rsid wsp:val=&quot;00310832&quot;/&gt;&lt;wsp:rsid wsp:val=&quot;00310AC6&quot;/&gt;&lt;wsp:rsid wsp:val=&quot;00310E02&quot;/&gt;&lt;wsp:rsid wsp:val=&quot;003111BD&quot;/&gt;&lt;wsp:rsid wsp:val=&quot;00311355&quot;/&gt;&lt;wsp:rsid wsp:val=&quot;003118E0&quot;/&gt;&lt;wsp:rsid wsp:val=&quot;00311967&quot;/&gt;&lt;wsp:rsid wsp:val=&quot;00311BFF&quot;/&gt;&lt;wsp:rsid wsp:val=&quot;0031201D&quot;/&gt;&lt;wsp:rsid wsp:val=&quot;003124A8&quot;/&gt;&lt;wsp:rsid wsp:val=&quot;0031286E&quot;/&gt;&lt;wsp:rsid wsp:val=&quot;00312EEF&quot;/&gt;&lt;wsp:rsid wsp:val=&quot;00312FD4&quot;/&gt;&lt;wsp:rsid wsp:val=&quot;0031302C&quot;/&gt;&lt;wsp:rsid wsp:val=&quot;00313A91&quot;/&gt;&lt;wsp:rsid wsp:val=&quot;00313C73&quot;/&gt;&lt;wsp:rsid wsp:val=&quot;0031435C&quot;/&gt;&lt;wsp:rsid wsp:val=&quot;003144DA&quot;/&gt;&lt;wsp:rsid wsp:val=&quot;00314577&quot;/&gt;&lt;wsp:rsid wsp:val=&quot;003145BA&quot;/&gt;&lt;wsp:rsid wsp:val=&quot;003146B3&quot;/&gt;&lt;wsp:rsid wsp:val=&quot;003148C5&quot;/&gt;&lt;wsp:rsid wsp:val=&quot;003148E8&quot;/&gt;&lt;wsp:rsid wsp:val=&quot;0031494A&quot;/&gt;&lt;wsp:rsid wsp:val=&quot;00314D64&quot;/&gt;&lt;wsp:rsid wsp:val=&quot;003153AB&quot;/&gt;&lt;wsp:rsid wsp:val=&quot;00315C1F&quot;/&gt;&lt;wsp:rsid wsp:val=&quot;00316A8D&quot;/&gt;&lt;wsp:rsid wsp:val=&quot;00316B3D&quot;/&gt;&lt;wsp:rsid wsp:val=&quot;0031710A&quot;/&gt;&lt;wsp:rsid wsp:val=&quot;0031727B&quot;/&gt;&lt;wsp:rsid wsp:val=&quot;003173FE&quot;/&gt;&lt;wsp:rsid wsp:val=&quot;0031743E&quot;/&gt;&lt;wsp:rsid wsp:val=&quot;003175D3&quot;/&gt;&lt;wsp:rsid wsp:val=&quot;003176EF&quot;/&gt;&lt;wsp:rsid wsp:val=&quot;00317939&quot;/&gt;&lt;wsp:rsid wsp:val=&quot;00317951&quot;/&gt;&lt;wsp:rsid wsp:val=&quot;003179E4&quot;/&gt;&lt;wsp:rsid wsp:val=&quot;00317A5B&quot;/&gt;&lt;wsp:rsid wsp:val=&quot;00317B85&quot;/&gt;&lt;wsp:rsid wsp:val=&quot;00317C82&quot;/&gt;&lt;wsp:rsid wsp:val=&quot;00317C8D&quot;/&gt;&lt;wsp:rsid wsp:val=&quot;00320125&quot;/&gt;&lt;wsp:rsid wsp:val=&quot;00320258&quot;/&gt;&lt;wsp:rsid wsp:val=&quot;00320778&quot;/&gt;&lt;wsp:rsid wsp:val=&quot;003208F1&quot;/&gt;&lt;wsp:rsid wsp:val=&quot;00320B46&quot;/&gt;&lt;wsp:rsid wsp:val=&quot;00321345&quot;/&gt;&lt;wsp:rsid wsp:val=&quot;003219C6&quot;/&gt;&lt;wsp:rsid wsp:val=&quot;00321BAA&quot;/&gt;&lt;wsp:rsid wsp:val=&quot;00321FE8&quot;/&gt;&lt;wsp:rsid wsp:val=&quot;003228E7&quot;/&gt;&lt;wsp:rsid wsp:val=&quot;00322C86&quot;/&gt;&lt;wsp:rsid wsp:val=&quot;00322F9C&quot;/&gt;&lt;wsp:rsid wsp:val=&quot;00323064&quot;/&gt;&lt;wsp:rsid wsp:val=&quot;00323789&quot;/&gt;&lt;wsp:rsid wsp:val=&quot;003237CD&quot;/&gt;&lt;wsp:rsid wsp:val=&quot;003239FE&quot;/&gt;&lt;wsp:rsid wsp:val=&quot;00323A36&quot;/&gt;&lt;wsp:rsid wsp:val=&quot;00323C3F&quot;/&gt;&lt;wsp:rsid wsp:val=&quot;00324043&quot;/&gt;&lt;wsp:rsid wsp:val=&quot;003240C6&quot;/&gt;&lt;wsp:rsid wsp:val=&quot;003240DB&quot;/&gt;&lt;wsp:rsid wsp:val=&quot;00324172&quot;/&gt;&lt;wsp:rsid wsp:val=&quot;003243F1&quot;/&gt;&lt;wsp:rsid wsp:val=&quot;00324811&quot;/&gt;&lt;wsp:rsid wsp:val=&quot;00324D96&quot;/&gt;&lt;wsp:rsid wsp:val=&quot;003251F5&quot;/&gt;&lt;wsp:rsid wsp:val=&quot;003251FD&quot;/&gt;&lt;wsp:rsid wsp:val=&quot;003252DE&quot;/&gt;&lt;wsp:rsid wsp:val=&quot;0032561C&quot;/&gt;&lt;wsp:rsid wsp:val=&quot;003256BF&quot;/&gt;&lt;wsp:rsid wsp:val=&quot;0032627E&quot;/&gt;&lt;wsp:rsid wsp:val=&quot;003263D2&quot;/&gt;&lt;wsp:rsid wsp:val=&quot;003265DD&quot;/&gt;&lt;wsp:rsid wsp:val=&quot;00326D3E&quot;/&gt;&lt;wsp:rsid wsp:val=&quot;0032714F&quot;/&gt;&lt;wsp:rsid wsp:val=&quot;0032737B&quot;/&gt;&lt;wsp:rsid wsp:val=&quot;0032755B&quot;/&gt;&lt;wsp:rsid wsp:val=&quot;0032756B&quot;/&gt;&lt;wsp:rsid wsp:val=&quot;003278B6&quot;/&gt;&lt;wsp:rsid wsp:val=&quot;00327A8B&quot;/&gt;&lt;wsp:rsid wsp:val=&quot;00327CA0&quot;/&gt;&lt;wsp:rsid wsp:val=&quot;00327E04&quot;/&gt;&lt;wsp:rsid wsp:val=&quot;00327E52&quot;/&gt;&lt;wsp:rsid wsp:val=&quot;00330024&quot;/&gt;&lt;wsp:rsid wsp:val=&quot;0033034B&quot;/&gt;&lt;wsp:rsid wsp:val=&quot;00330B34&quot;/&gt;&lt;wsp:rsid wsp:val=&quot;00331365&quot;/&gt;&lt;wsp:rsid wsp:val=&quot;003316ED&quot;/&gt;&lt;wsp:rsid wsp:val=&quot;0033175A&quot;/&gt;&lt;wsp:rsid wsp:val=&quot;003318EC&quot;/&gt;&lt;wsp:rsid wsp:val=&quot;00331ACB&quot;/&gt;&lt;wsp:rsid wsp:val=&quot;0033226E&quot;/&gt;&lt;wsp:rsid wsp:val=&quot;003322C0&quot;/&gt;&lt;wsp:rsid wsp:val=&quot;0033245B&quot;/&gt;&lt;wsp:rsid wsp:val=&quot;003327D1&quot;/&gt;&lt;wsp:rsid wsp:val=&quot;00332A9F&quot;/&gt;&lt;wsp:rsid wsp:val=&quot;00332C11&quot;/&gt;&lt;wsp:rsid wsp:val=&quot;0033316B&quot;/&gt;&lt;wsp:rsid wsp:val=&quot;003331E4&quot;/&gt;&lt;wsp:rsid wsp:val=&quot;003332A5&quot;/&gt;&lt;wsp:rsid wsp:val=&quot;003332B4&quot;/&gt;&lt;wsp:rsid wsp:val=&quot;003332C9&quot;/&gt;&lt;wsp:rsid wsp:val=&quot;00333498&quot;/&gt;&lt;wsp:rsid wsp:val=&quot;00333521&quot;/&gt;&lt;wsp:rsid wsp:val=&quot;00333680&quot;/&gt;&lt;wsp:rsid wsp:val=&quot;00333F62&quot;/&gt;&lt;wsp:rsid wsp:val=&quot;003340C4&quot;/&gt;&lt;wsp:rsid wsp:val=&quot;003342C3&quot;/&gt;&lt;wsp:rsid wsp:val=&quot;00334AB7&quot;/&gt;&lt;wsp:rsid wsp:val=&quot;00334DBD&quot;/&gt;&lt;wsp:rsid wsp:val=&quot;00334F85&quot;/&gt;&lt;wsp:rsid wsp:val=&quot;0033524F&quot;/&gt;&lt;wsp:rsid wsp:val=&quot;003354E8&quot;/&gt;&lt;wsp:rsid wsp:val=&quot;00335704&quot;/&gt;&lt;wsp:rsid wsp:val=&quot;00335B8C&quot;/&gt;&lt;wsp:rsid wsp:val=&quot;00335BEC&quot;/&gt;&lt;wsp:rsid wsp:val=&quot;00335C1F&quot;/&gt;&lt;wsp:rsid wsp:val=&quot;00335C3B&quot;/&gt;&lt;wsp:rsid wsp:val=&quot;00335FEF&quot;/&gt;&lt;wsp:rsid wsp:val=&quot;00336121&quot;/&gt;&lt;wsp:rsid wsp:val=&quot;00336146&quot;/&gt;&lt;wsp:rsid wsp:val=&quot;003369C1&quot;/&gt;&lt;wsp:rsid wsp:val=&quot;00336D68&quot;/&gt;&lt;wsp:rsid wsp:val=&quot;00336D7E&quot;/&gt;&lt;wsp:rsid wsp:val=&quot;00337075&quot;/&gt;&lt;wsp:rsid wsp:val=&quot;0033707C&quot;/&gt;&lt;wsp:rsid wsp:val=&quot;003373A9&quot;/&gt;&lt;wsp:rsid wsp:val=&quot;003373F7&quot;/&gt;&lt;wsp:rsid wsp:val=&quot;003375F2&quot;/&gt;&lt;wsp:rsid wsp:val=&quot;0033764C&quot;/&gt;&lt;wsp:rsid wsp:val=&quot;003379E1&quot;/&gt;&lt;wsp:rsid wsp:val=&quot;0034005A&quot;/&gt;&lt;wsp:rsid wsp:val=&quot;00340105&quot;/&gt;&lt;wsp:rsid wsp:val=&quot;003405F2&quot;/&gt;&lt;wsp:rsid wsp:val=&quot;0034077B&quot;/&gt;&lt;wsp:rsid wsp:val=&quot;00340B3C&quot;/&gt;&lt;wsp:rsid wsp:val=&quot;00340EA3&quot;/&gt;&lt;wsp:rsid wsp:val=&quot;00340EC3&quot;/&gt;&lt;wsp:rsid wsp:val=&quot;00341352&quot;/&gt;&lt;wsp:rsid wsp:val=&quot;0034136D&quot;/&gt;&lt;wsp:rsid wsp:val=&quot;00341648&quot;/&gt;&lt;wsp:rsid wsp:val=&quot;00341871&quot;/&gt;&lt;wsp:rsid wsp:val=&quot;00341BA2&quot;/&gt;&lt;wsp:rsid wsp:val=&quot;0034246D&quot;/&gt;&lt;wsp:rsid wsp:val=&quot;003426DD&quot;/&gt;&lt;wsp:rsid wsp:val=&quot;003429BB&quot;/&gt;&lt;wsp:rsid wsp:val=&quot;00342C6D&quot;/&gt;&lt;wsp:rsid wsp:val=&quot;00342D91&quot;/&gt;&lt;wsp:rsid wsp:val=&quot;0034360D&quot;/&gt;&lt;wsp:rsid wsp:val=&quot;00343823&quot;/&gt;&lt;wsp:rsid wsp:val=&quot;00343AEB&quot;/&gt;&lt;wsp:rsid wsp:val=&quot;00343B37&quot;/&gt;&lt;wsp:rsid wsp:val=&quot;003441AF&quot;/&gt;&lt;wsp:rsid wsp:val=&quot;0034430C&quot;/&gt;&lt;wsp:rsid wsp:val=&quot;0034477E&quot;/&gt;&lt;wsp:rsid wsp:val=&quot;0034499B&quot;/&gt;&lt;wsp:rsid wsp:val=&quot;003449EE&quot;/&gt;&lt;wsp:rsid wsp:val=&quot;00344C86&quot;/&gt;&lt;wsp:rsid wsp:val=&quot;00345346&quot;/&gt;&lt;wsp:rsid wsp:val=&quot;003459A5&quot;/&gt;&lt;wsp:rsid wsp:val=&quot;00345E3E&quot;/&gt;&lt;wsp:rsid wsp:val=&quot;00345E83&quot;/&gt;&lt;wsp:rsid wsp:val=&quot;003461A8&quot;/&gt;&lt;wsp:rsid wsp:val=&quot;003461B5&quot;/&gt;&lt;wsp:rsid wsp:val=&quot;0034647F&quot;/&gt;&lt;wsp:rsid wsp:val=&quot;003465BD&quot;/&gt;&lt;wsp:rsid wsp:val=&quot;003467BA&quot;/&gt;&lt;wsp:rsid wsp:val=&quot;003472CE&quot;/&gt;&lt;wsp:rsid wsp:val=&quot;003474C7&quot;/&gt;&lt;wsp:rsid wsp:val=&quot;00347AEC&quot;/&gt;&lt;wsp:rsid wsp:val=&quot;00350027&quot;/&gt;&lt;wsp:rsid wsp:val=&quot;003501D8&quot;/&gt;&lt;wsp:rsid wsp:val=&quot;003506E8&quot;/&gt;&lt;wsp:rsid wsp:val=&quot;00350808&quot;/&gt;&lt;wsp:rsid wsp:val=&quot;00350B40&quot;/&gt;&lt;wsp:rsid wsp:val=&quot;00350BE1&quot;/&gt;&lt;wsp:rsid wsp:val=&quot;00350C45&quot;/&gt;&lt;wsp:rsid wsp:val=&quot;00350D37&quot;/&gt;&lt;wsp:rsid wsp:val=&quot;003513D0&quot;/&gt;&lt;wsp:rsid wsp:val=&quot;00351544&quot;/&gt;&lt;wsp:rsid wsp:val=&quot;00351D23&quot;/&gt;&lt;wsp:rsid wsp:val=&quot;00352111&quot;/&gt;&lt;wsp:rsid wsp:val=&quot;0035243E&quot;/&gt;&lt;wsp:rsid wsp:val=&quot;003529B5&quot;/&gt;&lt;wsp:rsid wsp:val=&quot;003529C4&quot;/&gt;&lt;wsp:rsid wsp:val=&quot;00352D51&quot;/&gt;&lt;wsp:rsid wsp:val=&quot;0035318B&quot;/&gt;&lt;wsp:rsid wsp:val=&quot;0035377D&quot;/&gt;&lt;wsp:rsid wsp:val=&quot;00353951&quot;/&gt;&lt;wsp:rsid wsp:val=&quot;00353DEF&quot;/&gt;&lt;wsp:rsid wsp:val=&quot;003548CE&quot;/&gt;&lt;wsp:rsid wsp:val=&quot;003550CB&quot;/&gt;&lt;wsp:rsid wsp:val=&quot;0035532F&quot;/&gt;&lt;wsp:rsid wsp:val=&quot;00355506&quot;/&gt;&lt;wsp:rsid wsp:val=&quot;0035582D&quot;/&gt;&lt;wsp:rsid wsp:val=&quot;003558B6&quot;/&gt;&lt;wsp:rsid wsp:val=&quot;0035596F&quot;/&gt;&lt;wsp:rsid wsp:val=&quot;00355B23&quot;/&gt;&lt;wsp:rsid wsp:val=&quot;003564AF&quot;/&gt;&lt;wsp:rsid wsp:val=&quot;003576FD&quot;/&gt;&lt;wsp:rsid wsp:val=&quot;0035786F&quot;/&gt;&lt;wsp:rsid wsp:val=&quot;00357B2B&quot;/&gt;&lt;wsp:rsid wsp:val=&quot;00357BD4&quot;/&gt;&lt;wsp:rsid wsp:val=&quot;0036002A&quot;/&gt;&lt;wsp:rsid wsp:val=&quot;0036041D&quot;/&gt;&lt;wsp:rsid wsp:val=&quot;00360810&quot;/&gt;&lt;wsp:rsid wsp:val=&quot;00360C9D&quot;/&gt;&lt;wsp:rsid wsp:val=&quot;00360FA1&quot;/&gt;&lt;wsp:rsid wsp:val=&quot;003611FD&quot;/&gt;&lt;wsp:rsid wsp:val=&quot;00361663&quot;/&gt;&lt;wsp:rsid wsp:val=&quot;00361B72&quot;/&gt;&lt;wsp:rsid wsp:val=&quot;00361FD5&quot;/&gt;&lt;wsp:rsid wsp:val=&quot;003620B5&quot;/&gt;&lt;wsp:rsid wsp:val=&quot;003620DB&quot;/&gt;&lt;wsp:rsid wsp:val=&quot;003621B7&quot;/&gt;&lt;wsp:rsid wsp:val=&quot;0036259B&quot;/&gt;&lt;wsp:rsid wsp:val=&quot;00362A92&quot;/&gt;&lt;wsp:rsid wsp:val=&quot;00362BC1&quot;/&gt;&lt;wsp:rsid wsp:val=&quot;00362FE2&quot;/&gt;&lt;wsp:rsid wsp:val=&quot;003630BD&quot;/&gt;&lt;wsp:rsid wsp:val=&quot;0036312A&quot;/&gt;&lt;wsp:rsid wsp:val=&quot;00363568&quot;/&gt;&lt;wsp:rsid wsp:val=&quot;003638A2&quot;/&gt;&lt;wsp:rsid wsp:val=&quot;00363E3B&quot;/&gt;&lt;wsp:rsid wsp:val=&quot;00363E47&quot;/&gt;&lt;wsp:rsid wsp:val=&quot;0036416D&quot;/&gt;&lt;wsp:rsid wsp:val=&quot;00364582&quot;/&gt;&lt;wsp:rsid wsp:val=&quot;003645D7&quot;/&gt;&lt;wsp:rsid wsp:val=&quot;00364A82&quot;/&gt;&lt;wsp:rsid wsp:val=&quot;00365286&quot;/&gt;&lt;wsp:rsid wsp:val=&quot;00365C52&quot;/&gt;&lt;wsp:rsid wsp:val=&quot;00365F41&quot;/&gt;&lt;wsp:rsid wsp:val=&quot;00366017&quot;/&gt;&lt;wsp:rsid wsp:val=&quot;00366401&quot;/&gt;&lt;wsp:rsid wsp:val=&quot;00366520&quot;/&gt;&lt;wsp:rsid wsp:val=&quot;003666EE&quot;/&gt;&lt;wsp:rsid wsp:val=&quot;00366833&quot;/&gt;&lt;wsp:rsid wsp:val=&quot;00366FF4&quot;/&gt;&lt;wsp:rsid wsp:val=&quot;0036702E&quot;/&gt;&lt;wsp:rsid wsp:val=&quot;00367099&quot;/&gt;&lt;wsp:rsid wsp:val=&quot;00367116&quot;/&gt;&lt;wsp:rsid wsp:val=&quot;003671C2&quot;/&gt;&lt;wsp:rsid wsp:val=&quot;003673CB&quot;/&gt;&lt;wsp:rsid wsp:val=&quot;00367508&quot;/&gt;&lt;wsp:rsid wsp:val=&quot;00367CAA&quot;/&gt;&lt;wsp:rsid wsp:val=&quot;00370218&quot;/&gt;&lt;wsp:rsid wsp:val=&quot;00370956&quot;/&gt;&lt;wsp:rsid wsp:val=&quot;00370A0F&quot;/&gt;&lt;wsp:rsid wsp:val=&quot;00370D91&quot;/&gt;&lt;wsp:rsid wsp:val=&quot;00371DDF&quot;/&gt;&lt;wsp:rsid wsp:val=&quot;00371E75&quot;/&gt;&lt;wsp:rsid wsp:val=&quot;00372B2C&quot;/&gt;&lt;wsp:rsid wsp:val=&quot;00372B94&quot;/&gt;&lt;wsp:rsid wsp:val=&quot;00372E1F&quot;/&gt;&lt;wsp:rsid wsp:val=&quot;0037305D&quot;/&gt;&lt;wsp:rsid wsp:val=&quot;00373080&quot;/&gt;&lt;wsp:rsid wsp:val=&quot;0037327A&quot;/&gt;&lt;wsp:rsid wsp:val=&quot;003733B9&quot;/&gt;&lt;wsp:rsid wsp:val=&quot;003734EA&quot;/&gt;&lt;wsp:rsid wsp:val=&quot;00373772&quot;/&gt;&lt;wsp:rsid wsp:val=&quot;0037381A&quot;/&gt;&lt;wsp:rsid wsp:val=&quot;00373863&quot;/&gt;&lt;wsp:rsid wsp:val=&quot;0037417F&quot;/&gt;&lt;wsp:rsid wsp:val=&quot;0037434F&quot;/&gt;&lt;wsp:rsid wsp:val=&quot;003744B2&quot;/&gt;&lt;wsp:rsid wsp:val=&quot;00374A1A&quot;/&gt;&lt;wsp:rsid wsp:val=&quot;00374CFC&quot;/&gt;&lt;wsp:rsid wsp:val=&quot;003751DB&quot;/&gt;&lt;wsp:rsid wsp:val=&quot;00375561&quot;/&gt;&lt;wsp:rsid wsp:val=&quot;0037566E&quot;/&gt;&lt;wsp:rsid wsp:val=&quot;0037573E&quot;/&gt;&lt;wsp:rsid wsp:val=&quot;0037587B&quot;/&gt;&lt;wsp:rsid wsp:val=&quot;00375FE1&quot;/&gt;&lt;wsp:rsid wsp:val=&quot;0037620D&quot;/&gt;&lt;wsp:rsid wsp:val=&quot;00376889&quot;/&gt;&lt;wsp:rsid wsp:val=&quot;0037688C&quot;/&gt;&lt;wsp:rsid wsp:val=&quot;0037736A&quot;/&gt;&lt;wsp:rsid wsp:val=&quot;003778DE&quot;/&gt;&lt;wsp:rsid wsp:val=&quot;00377A92&quot;/&gt;&lt;wsp:rsid wsp:val=&quot;00377CAB&quot;/&gt;&lt;wsp:rsid wsp:val=&quot;00377CCF&quot;/&gt;&lt;wsp:rsid wsp:val=&quot;003800B0&quot;/&gt;&lt;wsp:rsid wsp:val=&quot;00380150&quot;/&gt;&lt;wsp:rsid wsp:val=&quot;0038021F&quot;/&gt;&lt;wsp:rsid wsp:val=&quot;00380627&quot;/&gt;&lt;wsp:rsid wsp:val=&quot;00380A43&quot;/&gt;&lt;wsp:rsid wsp:val=&quot;00380BE5&quot;/&gt;&lt;wsp:rsid wsp:val=&quot;00380D61&quot;/&gt;&lt;wsp:rsid wsp:val=&quot;00380E4F&quot;/&gt;&lt;wsp:rsid wsp:val=&quot;00381580&quot;/&gt;&lt;wsp:rsid wsp:val=&quot;003816B6&quot;/&gt;&lt;wsp:rsid wsp:val=&quot;00381735&quot;/&gt;&lt;wsp:rsid wsp:val=&quot;00381A47&quot;/&gt;&lt;wsp:rsid wsp:val=&quot;00381AE0&quot;/&gt;&lt;wsp:rsid wsp:val=&quot;00381F29&quot;/&gt;&lt;wsp:rsid wsp:val=&quot;003822F0&quot;/&gt;&lt;wsp:rsid wsp:val=&quot;0038263F&quot;/&gt;&lt;wsp:rsid wsp:val=&quot;003829FF&quot;/&gt;&lt;wsp:rsid wsp:val=&quot;00382C25&quot;/&gt;&lt;wsp:rsid wsp:val=&quot;00382E60&quot;/&gt;&lt;wsp:rsid wsp:val=&quot;0038324A&quot;/&gt;&lt;wsp:rsid wsp:val=&quot;00383257&quot;/&gt;&lt;wsp:rsid wsp:val=&quot;003835F4&quot;/&gt;&lt;wsp:rsid wsp:val=&quot;00383A82&quot;/&gt;&lt;wsp:rsid wsp:val=&quot;00383B9A&quot;/&gt;&lt;wsp:rsid wsp:val=&quot;0038426B&quot;/&gt;&lt;wsp:rsid wsp:val=&quot;003843D7&quot;/&gt;&lt;wsp:rsid wsp:val=&quot;003849FB&quot;/&gt;&lt;wsp:rsid wsp:val=&quot;00384B3B&quot;/&gt;&lt;wsp:rsid wsp:val=&quot;00385C5F&quot;/&gt;&lt;wsp:rsid wsp:val=&quot;00385DE1&quot;/&gt;&lt;wsp:rsid wsp:val=&quot;00386363&quot;/&gt;&lt;wsp:rsid wsp:val=&quot;003867F0&quot;/&gt;&lt;wsp:rsid wsp:val=&quot;003871D5&quot;/&gt;&lt;wsp:rsid wsp:val=&quot;00387309&quot;/&gt;&lt;wsp:rsid wsp:val=&quot;0038764F&quot;/&gt;&lt;wsp:rsid wsp:val=&quot;00387679&quot;/&gt;&lt;wsp:rsid wsp:val=&quot;003878E4&quot;/&gt;&lt;wsp:rsid wsp:val=&quot;00387CCC&quot;/&gt;&lt;wsp:rsid wsp:val=&quot;00387D94&quot;/&gt;&lt;wsp:rsid wsp:val=&quot;00390021&quot;/&gt;&lt;wsp:rsid wsp:val=&quot;003902EC&quot;/&gt;&lt;wsp:rsid wsp:val=&quot;0039034E&quot;/&gt;&lt;wsp:rsid wsp:val=&quot;0039053A&quot;/&gt;&lt;wsp:rsid wsp:val=&quot;00390919&quot;/&gt;&lt;wsp:rsid wsp:val=&quot;00390925&quot;/&gt;&lt;wsp:rsid wsp:val=&quot;00390A07&quot;/&gt;&lt;wsp:rsid wsp:val=&quot;00390FA8&quot;/&gt;&lt;wsp:rsid wsp:val=&quot;00391369&quot;/&gt;&lt;wsp:rsid wsp:val=&quot;003917CB&quot;/&gt;&lt;wsp:rsid wsp:val=&quot;00391998&quot;/&gt;&lt;wsp:rsid wsp:val=&quot;00391E4D&quot;/&gt;&lt;wsp:rsid wsp:val=&quot;0039240C&quot;/&gt;&lt;wsp:rsid wsp:val=&quot;0039253A&quot;/&gt;&lt;wsp:rsid wsp:val=&quot;0039272C&quot;/&gt;&lt;wsp:rsid wsp:val=&quot;00392801&quot;/&gt;&lt;wsp:rsid wsp:val=&quot;00392907&quot;/&gt;&lt;wsp:rsid wsp:val=&quot;00392AAD&quot;/&gt;&lt;wsp:rsid wsp:val=&quot;003941C6&quot;/&gt;&lt;wsp:rsid wsp:val=&quot;003941CF&quot;/&gt;&lt;wsp:rsid wsp:val=&quot;003943D7&quot;/&gt;&lt;wsp:rsid wsp:val=&quot;00394690&quot;/&gt;&lt;wsp:rsid wsp:val=&quot;0039499C&quot;/&gt;&lt;wsp:rsid wsp:val=&quot;00394B2F&quot;/&gt;&lt;wsp:rsid wsp:val=&quot;00394D37&quot;/&gt;&lt;wsp:rsid wsp:val=&quot;0039501D&quot;/&gt;&lt;wsp:rsid wsp:val=&quot;00395940&quot;/&gt;&lt;wsp:rsid wsp:val=&quot;00395BC4&quot;/&gt;&lt;wsp:rsid wsp:val=&quot;00395E6F&quot;/&gt;&lt;wsp:rsid wsp:val=&quot;0039633C&quot;/&gt;&lt;wsp:rsid wsp:val=&quot;00396746&quot;/&gt;&lt;wsp:rsid wsp:val=&quot;00396CC7&quot;/&gt;&lt;wsp:rsid wsp:val=&quot;00396FF0&quot;/&gt;&lt;wsp:rsid wsp:val=&quot;003976D0&quot;/&gt;&lt;wsp:rsid wsp:val=&quot;0039784D&quot;/&gt;&lt;wsp:rsid wsp:val=&quot;00397969&quot;/&gt;&lt;wsp:rsid wsp:val=&quot;00397A5E&quot;/&gt;&lt;wsp:rsid wsp:val=&quot;00397AAD&quot;/&gt;&lt;wsp:rsid wsp:val=&quot;00397CB3&quot;/&gt;&lt;wsp:rsid wsp:val=&quot;00397FF2&quot;/&gt;&lt;wsp:rsid wsp:val=&quot;003A0398&quot;/&gt;&lt;wsp:rsid wsp:val=&quot;003A047C&quot;/&gt;&lt;wsp:rsid wsp:val=&quot;003A0DB5&quot;/&gt;&lt;wsp:rsid wsp:val=&quot;003A145B&quot;/&gt;&lt;wsp:rsid wsp:val=&quot;003A157A&quot;/&gt;&lt;wsp:rsid wsp:val=&quot;003A176A&quot;/&gt;&lt;wsp:rsid wsp:val=&quot;003A1844&quot;/&gt;&lt;wsp:rsid wsp:val=&quot;003A184C&quot;/&gt;&lt;wsp:rsid wsp:val=&quot;003A1899&quot;/&gt;&lt;wsp:rsid wsp:val=&quot;003A1926&quot;/&gt;&lt;wsp:rsid wsp:val=&quot;003A1C22&quot;/&gt;&lt;wsp:rsid wsp:val=&quot;003A1C65&quot;/&gt;&lt;wsp:rsid wsp:val=&quot;003A1CF9&quot;/&gt;&lt;wsp:rsid wsp:val=&quot;003A26FA&quot;/&gt;&lt;wsp:rsid wsp:val=&quot;003A287A&quot;/&gt;&lt;wsp:rsid wsp:val=&quot;003A29E9&quot;/&gt;&lt;wsp:rsid wsp:val=&quot;003A2A7F&quot;/&gt;&lt;wsp:rsid wsp:val=&quot;003A33E2&quot;/&gt;&lt;wsp:rsid wsp:val=&quot;003A38DD&quot;/&gt;&lt;wsp:rsid wsp:val=&quot;003A3D24&quot;/&gt;&lt;wsp:rsid wsp:val=&quot;003A3D53&quot;/&gt;&lt;wsp:rsid wsp:val=&quot;003A40F3&quot;/&gt;&lt;wsp:rsid wsp:val=&quot;003A436D&quot;/&gt;&lt;wsp:rsid wsp:val=&quot;003A4A59&quot;/&gt;&lt;wsp:rsid wsp:val=&quot;003A4A81&quot;/&gt;&lt;wsp:rsid wsp:val=&quot;003A4FE4&quot;/&gt;&lt;wsp:rsid wsp:val=&quot;003A5190&quot;/&gt;&lt;wsp:rsid wsp:val=&quot;003A528D&quot;/&gt;&lt;wsp:rsid wsp:val=&quot;003A5646&quot;/&gt;&lt;wsp:rsid wsp:val=&quot;003A566F&quot;/&gt;&lt;wsp:rsid wsp:val=&quot;003A5A32&quot;/&gt;&lt;wsp:rsid wsp:val=&quot;003A5E41&quot;/&gt;&lt;wsp:rsid wsp:val=&quot;003A65B1&quot;/&gt;&lt;wsp:rsid wsp:val=&quot;003A673B&quot;/&gt;&lt;wsp:rsid wsp:val=&quot;003A6859&quot;/&gt;&lt;wsp:rsid wsp:val=&quot;003A68E3&quot;/&gt;&lt;wsp:rsid wsp:val=&quot;003A6912&quot;/&gt;&lt;wsp:rsid wsp:val=&quot;003A70B3&quot;/&gt;&lt;wsp:rsid wsp:val=&quot;003A723C&quot;/&gt;&lt;wsp:rsid wsp:val=&quot;003A7262&quot;/&gt;&lt;wsp:rsid wsp:val=&quot;003A7901&quot;/&gt;&lt;wsp:rsid wsp:val=&quot;003A7925&quot;/&gt;&lt;wsp:rsid wsp:val=&quot;003A7CF6&quot;/&gt;&lt;wsp:rsid wsp:val=&quot;003A7FFD&quot;/&gt;&lt;wsp:rsid wsp:val=&quot;003B01AD&quot;/&gt;&lt;wsp:rsid wsp:val=&quot;003B05ED&quot;/&gt;&lt;wsp:rsid wsp:val=&quot;003B0B3D&quot;/&gt;&lt;wsp:rsid wsp:val=&quot;003B0C2D&quot;/&gt;&lt;wsp:rsid wsp:val=&quot;003B0E52&quot;/&gt;&lt;wsp:rsid wsp:val=&quot;003B132D&quot;/&gt;&lt;wsp:rsid wsp:val=&quot;003B17C5&quot;/&gt;&lt;wsp:rsid wsp:val=&quot;003B1B51&quot;/&gt;&lt;wsp:rsid wsp:val=&quot;003B22F7&quot;/&gt;&lt;wsp:rsid wsp:val=&quot;003B2A75&quot;/&gt;&lt;wsp:rsid wsp:val=&quot;003B2CEE&quot;/&gt;&lt;wsp:rsid wsp:val=&quot;003B2D31&quot;/&gt;&lt;wsp:rsid wsp:val=&quot;003B303C&quot;/&gt;&lt;wsp:rsid wsp:val=&quot;003B304A&quot;/&gt;&lt;wsp:rsid wsp:val=&quot;003B3172&quot;/&gt;&lt;wsp:rsid wsp:val=&quot;003B3279&quot;/&gt;&lt;wsp:rsid wsp:val=&quot;003B357E&quot;/&gt;&lt;wsp:rsid wsp:val=&quot;003B3978&quot;/&gt;&lt;wsp:rsid wsp:val=&quot;003B41AB&quot;/&gt;&lt;wsp:rsid wsp:val=&quot;003B41AF&quot;/&gt;&lt;wsp:rsid wsp:val=&quot;003B44F3&quot;/&gt;&lt;wsp:rsid wsp:val=&quot;003B4F57&quot;/&gt;&lt;wsp:rsid wsp:val=&quot;003B5077&quot;/&gt;&lt;wsp:rsid wsp:val=&quot;003B52A8&quot;/&gt;&lt;wsp:rsid wsp:val=&quot;003B52F7&quot;/&gt;&lt;wsp:rsid wsp:val=&quot;003B578C&quot;/&gt;&lt;wsp:rsid wsp:val=&quot;003B5E36&quot;/&gt;&lt;wsp:rsid wsp:val=&quot;003B5F0A&quot;/&gt;&lt;wsp:rsid wsp:val=&quot;003B61CB&quot;/&gt;&lt;wsp:rsid wsp:val=&quot;003B677D&quot;/&gt;&lt;wsp:rsid wsp:val=&quot;003B6C29&quot;/&gt;&lt;wsp:rsid wsp:val=&quot;003B6DC4&quot;/&gt;&lt;wsp:rsid wsp:val=&quot;003B6E68&quot;/&gt;&lt;wsp:rsid wsp:val=&quot;003B7010&quot;/&gt;&lt;wsp:rsid wsp:val=&quot;003B7D7F&quot;/&gt;&lt;wsp:rsid wsp:val=&quot;003B7FB5&quot;/&gt;&lt;wsp:rsid wsp:val=&quot;003C0009&quot;/&gt;&lt;wsp:rsid wsp:val=&quot;003C048B&quot;/&gt;&lt;wsp:rsid wsp:val=&quot;003C04E1&quot;/&gt;&lt;wsp:rsid wsp:val=&quot;003C0AEF&quot;/&gt;&lt;wsp:rsid wsp:val=&quot;003C0CE2&quot;/&gt;&lt;wsp:rsid wsp:val=&quot;003C1700&quot;/&gt;&lt;wsp:rsid wsp:val=&quot;003C1993&quot;/&gt;&lt;wsp:rsid wsp:val=&quot;003C1E3E&quot;/&gt;&lt;wsp:rsid wsp:val=&quot;003C2055&quot;/&gt;&lt;wsp:rsid wsp:val=&quot;003C270C&quot;/&gt;&lt;wsp:rsid wsp:val=&quot;003C29CB&quot;/&gt;&lt;wsp:rsid wsp:val=&quot;003C2BE4&quot;/&gt;&lt;wsp:rsid wsp:val=&quot;003C2D08&quot;/&gt;&lt;wsp:rsid wsp:val=&quot;003C2E68&quot;/&gt;&lt;wsp:rsid wsp:val=&quot;003C2EE3&quot;/&gt;&lt;wsp:rsid wsp:val=&quot;003C317C&quot;/&gt;&lt;wsp:rsid wsp:val=&quot;003C3719&quot;/&gt;&lt;wsp:rsid wsp:val=&quot;003C38EF&quot;/&gt;&lt;wsp:rsid wsp:val=&quot;003C3FD5&quot;/&gt;&lt;wsp:rsid wsp:val=&quot;003C421F&quot;/&gt;&lt;wsp:rsid wsp:val=&quot;003C44DE&quot;/&gt;&lt;wsp:rsid wsp:val=&quot;003C4928&quot;/&gt;&lt;wsp:rsid wsp:val=&quot;003C4A82&quot;/&gt;&lt;wsp:rsid wsp:val=&quot;003C524F&quot;/&gt;&lt;wsp:rsid wsp:val=&quot;003C57DC&quot;/&gt;&lt;wsp:rsid wsp:val=&quot;003C5C6B&quot;/&gt;&lt;wsp:rsid wsp:val=&quot;003C62E6&quot;/&gt;&lt;wsp:rsid wsp:val=&quot;003C6388&quot;/&gt;&lt;wsp:rsid wsp:val=&quot;003C63E0&quot;/&gt;&lt;wsp:rsid wsp:val=&quot;003C6DC2&quot;/&gt;&lt;wsp:rsid wsp:val=&quot;003C712E&quot;/&gt;&lt;wsp:rsid wsp:val=&quot;003C74EB&quot;/&gt;&lt;wsp:rsid wsp:val=&quot;003C776C&quot;/&gt;&lt;wsp:rsid wsp:val=&quot;003C7E38&quot;/&gt;&lt;wsp:rsid wsp:val=&quot;003C7E92&quot;/&gt;&lt;wsp:rsid wsp:val=&quot;003D022D&quot;/&gt;&lt;wsp:rsid wsp:val=&quot;003D0BB2&quot;/&gt;&lt;wsp:rsid wsp:val=&quot;003D0E03&quot;/&gt;&lt;wsp:rsid wsp:val=&quot;003D1172&quot;/&gt;&lt;wsp:rsid wsp:val=&quot;003D14AF&quot;/&gt;&lt;wsp:rsid wsp:val=&quot;003D1738&quot;/&gt;&lt;wsp:rsid wsp:val=&quot;003D1997&quot;/&gt;&lt;wsp:rsid wsp:val=&quot;003D1A47&quot;/&gt;&lt;wsp:rsid wsp:val=&quot;003D20A7&quot;/&gt;&lt;wsp:rsid wsp:val=&quot;003D23EC&quot;/&gt;&lt;wsp:rsid wsp:val=&quot;003D403E&quot;/&gt;&lt;wsp:rsid wsp:val=&quot;003D42D9&quot;/&gt;&lt;wsp:rsid wsp:val=&quot;003D4367&quot;/&gt;&lt;wsp:rsid wsp:val=&quot;003D4767&quot;/&gt;&lt;wsp:rsid wsp:val=&quot;003D48E3&quot;/&gt;&lt;wsp:rsid wsp:val=&quot;003D49D6&quot;/&gt;&lt;wsp:rsid wsp:val=&quot;003D4B23&quot;/&gt;&lt;wsp:rsid wsp:val=&quot;003D4C60&quot;/&gt;&lt;wsp:rsid wsp:val=&quot;003D4D6B&quot;/&gt;&lt;wsp:rsid wsp:val=&quot;003D50EC&quot;/&gt;&lt;wsp:rsid wsp:val=&quot;003D5179&quot;/&gt;&lt;wsp:rsid wsp:val=&quot;003D5451&quot;/&gt;&lt;wsp:rsid wsp:val=&quot;003D5514&quot;/&gt;&lt;wsp:rsid wsp:val=&quot;003D5668&quot;/&gt;&lt;wsp:rsid wsp:val=&quot;003D57A3&quot;/&gt;&lt;wsp:rsid wsp:val=&quot;003D5AD7&quot;/&gt;&lt;wsp:rsid wsp:val=&quot;003D5CDE&quot;/&gt;&lt;wsp:rsid wsp:val=&quot;003D6174&quot;/&gt;&lt;wsp:rsid wsp:val=&quot;003D6413&quot;/&gt;&lt;wsp:rsid wsp:val=&quot;003D6472&quot;/&gt;&lt;wsp:rsid wsp:val=&quot;003D65C0&quot;/&gt;&lt;wsp:rsid wsp:val=&quot;003D661A&quot;/&gt;&lt;wsp:rsid wsp:val=&quot;003D67A1&quot;/&gt;&lt;wsp:rsid wsp:val=&quot;003D6BB6&quot;/&gt;&lt;wsp:rsid wsp:val=&quot;003D6D7D&quot;/&gt;&lt;wsp:rsid wsp:val=&quot;003D6E42&quot;/&gt;&lt;wsp:rsid wsp:val=&quot;003D6E49&quot;/&gt;&lt;wsp:rsid wsp:val=&quot;003D6E59&quot;/&gt;&lt;wsp:rsid wsp:val=&quot;003D711E&quot;/&gt;&lt;wsp:rsid wsp:val=&quot;003D7374&quot;/&gt;&lt;wsp:rsid wsp:val=&quot;003D779F&quot;/&gt;&lt;wsp:rsid wsp:val=&quot;003D794B&quot;/&gt;&lt;wsp:rsid wsp:val=&quot;003D7975&quot;/&gt;&lt;wsp:rsid wsp:val=&quot;003D7EBB&quot;/&gt;&lt;wsp:rsid wsp:val=&quot;003D7F48&quot;/&gt;&lt;wsp:rsid wsp:val=&quot;003D7F9B&quot;/&gt;&lt;wsp:rsid wsp:val=&quot;003D7FC5&quot;/&gt;&lt;wsp:rsid wsp:val=&quot;003E010D&quot;/&gt;&lt;wsp:rsid wsp:val=&quot;003E07BA&quot;/&gt;&lt;wsp:rsid wsp:val=&quot;003E0BF1&quot;/&gt;&lt;wsp:rsid wsp:val=&quot;003E10D2&quot;/&gt;&lt;wsp:rsid wsp:val=&quot;003E1204&quot;/&gt;&lt;wsp:rsid wsp:val=&quot;003E15D2&quot;/&gt;&lt;wsp:rsid wsp:val=&quot;003E1949&quot;/&gt;&lt;wsp:rsid wsp:val=&quot;003E199F&quot;/&gt;&lt;wsp:rsid wsp:val=&quot;003E1BF0&quot;/&gt;&lt;wsp:rsid wsp:val=&quot;003E1F2C&quot;/&gt;&lt;wsp:rsid wsp:val=&quot;003E2283&quot;/&gt;&lt;wsp:rsid wsp:val=&quot;003E23AB&quot;/&gt;&lt;wsp:rsid wsp:val=&quot;003E25C2&quot;/&gt;&lt;wsp:rsid wsp:val=&quot;003E2B7A&quot;/&gt;&lt;wsp:rsid wsp:val=&quot;003E2C82&quot;/&gt;&lt;wsp:rsid wsp:val=&quot;003E343B&quot;/&gt;&lt;wsp:rsid wsp:val=&quot;003E3710&quot;/&gt;&lt;wsp:rsid wsp:val=&quot;003E3805&quot;/&gt;&lt;wsp:rsid wsp:val=&quot;003E3AC0&quot;/&gt;&lt;wsp:rsid wsp:val=&quot;003E413E&quot;/&gt;&lt;wsp:rsid wsp:val=&quot;003E4553&quot;/&gt;&lt;wsp:rsid wsp:val=&quot;003E483E&quot;/&gt;&lt;wsp:rsid wsp:val=&quot;003E4999&quot;/&gt;&lt;wsp:rsid wsp:val=&quot;003E4DB9&quot;/&gt;&lt;wsp:rsid wsp:val=&quot;003E5106&quot;/&gt;&lt;wsp:rsid wsp:val=&quot;003E5452&quot;/&gt;&lt;wsp:rsid wsp:val=&quot;003E5ED4&quot;/&gt;&lt;wsp:rsid wsp:val=&quot;003E5F64&quot;/&gt;&lt;wsp:rsid wsp:val=&quot;003E6036&quot;/&gt;&lt;wsp:rsid wsp:val=&quot;003E60CA&quot;/&gt;&lt;wsp:rsid wsp:val=&quot;003E6739&quot;/&gt;&lt;wsp:rsid wsp:val=&quot;003E6A00&quot;/&gt;&lt;wsp:rsid wsp:val=&quot;003E6D4C&quot;/&gt;&lt;wsp:rsid wsp:val=&quot;003E6DD0&quot;/&gt;&lt;wsp:rsid wsp:val=&quot;003E6EB5&quot;/&gt;&lt;wsp:rsid wsp:val=&quot;003E738E&quot;/&gt;&lt;wsp:rsid wsp:val=&quot;003E7466&quot;/&gt;&lt;wsp:rsid wsp:val=&quot;003E747E&quot;/&gt;&lt;wsp:rsid wsp:val=&quot;003E75D8&quot;/&gt;&lt;wsp:rsid wsp:val=&quot;003E75DD&quot;/&gt;&lt;wsp:rsid wsp:val=&quot;003E7F03&quot;/&gt;&lt;wsp:rsid wsp:val=&quot;003E7F56&quot;/&gt;&lt;wsp:rsid wsp:val=&quot;003F05A1&quot;/&gt;&lt;wsp:rsid wsp:val=&quot;003F072E&quot;/&gt;&lt;wsp:rsid wsp:val=&quot;003F0A77&quot;/&gt;&lt;wsp:rsid wsp:val=&quot;003F0DC0&quot;/&gt;&lt;wsp:rsid wsp:val=&quot;003F0F06&quot;/&gt;&lt;wsp:rsid wsp:val=&quot;003F10C2&quot;/&gt;&lt;wsp:rsid wsp:val=&quot;003F163B&quot;/&gt;&lt;wsp:rsid wsp:val=&quot;003F1962&quot;/&gt;&lt;wsp:rsid wsp:val=&quot;003F1D3F&quot;/&gt;&lt;wsp:rsid wsp:val=&quot;003F27FE&quot;/&gt;&lt;wsp:rsid wsp:val=&quot;003F2CD6&quot;/&gt;&lt;wsp:rsid wsp:val=&quot;003F2D9D&quot;/&gt;&lt;wsp:rsid wsp:val=&quot;003F2F74&quot;/&gt;&lt;wsp:rsid wsp:val=&quot;003F4232&quot;/&gt;&lt;wsp:rsid wsp:val=&quot;003F535C&quot;/&gt;&lt;wsp:rsid wsp:val=&quot;003F5782&quot;/&gt;&lt;wsp:rsid wsp:val=&quot;003F59F3&quot;/&gt;&lt;wsp:rsid wsp:val=&quot;003F5A09&quot;/&gt;&lt;wsp:rsid wsp:val=&quot;003F5A71&quot;/&gt;&lt;wsp:rsid wsp:val=&quot;003F5AB8&quot;/&gt;&lt;wsp:rsid wsp:val=&quot;003F5BCF&quot;/&gt;&lt;wsp:rsid wsp:val=&quot;003F61F2&quot;/&gt;&lt;wsp:rsid wsp:val=&quot;003F6306&quot;/&gt;&lt;wsp:rsid wsp:val=&quot;003F64A7&quot;/&gt;&lt;wsp:rsid wsp:val=&quot;003F651F&quot;/&gt;&lt;wsp:rsid wsp:val=&quot;003F67D5&quot;/&gt;&lt;wsp:rsid wsp:val=&quot;003F6EDE&quot;/&gt;&lt;wsp:rsid wsp:val=&quot;003F72B3&quot;/&gt;&lt;wsp:rsid wsp:val=&quot;003F77BC&quot;/&gt;&lt;wsp:rsid wsp:val=&quot;00400167&quot;/&gt;&lt;wsp:rsid wsp:val=&quot;00400AD1&quot;/&gt;&lt;wsp:rsid wsp:val=&quot;00401163&quot;/&gt;&lt;wsp:rsid wsp:val=&quot;00401171&quot;/&gt;&lt;wsp:rsid wsp:val=&quot;00402199&quot;/&gt;&lt;wsp:rsid wsp:val=&quot;004021F6&quot;/&gt;&lt;wsp:rsid wsp:val=&quot;00402823&quot;/&gt;&lt;wsp:rsid wsp:val=&quot;00402A93&quot;/&gt;&lt;wsp:rsid wsp:val=&quot;004032F0&quot;/&gt;&lt;wsp:rsid wsp:val=&quot;00403AB8&quot;/&gt;&lt;wsp:rsid wsp:val=&quot;00403EC3&quot;/&gt;&lt;wsp:rsid wsp:val=&quot;004041F7&quot;/&gt;&lt;wsp:rsid wsp:val=&quot;00404D42&quot;/&gt;&lt;wsp:rsid wsp:val=&quot;00404E76&quot;/&gt;&lt;wsp:rsid wsp:val=&quot;00405380&quot;/&gt;&lt;wsp:rsid wsp:val=&quot;00405393&quot;/&gt;&lt;wsp:rsid wsp:val=&quot;00405409&quot;/&gt;&lt;wsp:rsid wsp:val=&quot;00405452&quot;/&gt;&lt;wsp:rsid wsp:val=&quot;00405C6D&quot;/&gt;&lt;wsp:rsid wsp:val=&quot;0040601C&quot;/&gt;&lt;wsp:rsid wsp:val=&quot;0040604D&quot;/&gt;&lt;wsp:rsid wsp:val=&quot;0040662E&quot;/&gt;&lt;wsp:rsid wsp:val=&quot;00406706&quot;/&gt;&lt;wsp:rsid wsp:val=&quot;00406B1B&quot;/&gt;&lt;wsp:rsid wsp:val=&quot;00407073&quot;/&gt;&lt;wsp:rsid wsp:val=&quot;00407C7E&quot;/&gt;&lt;wsp:rsid wsp:val=&quot;00407D27&quot;/&gt;&lt;wsp:rsid wsp:val=&quot;004102C5&quot;/&gt;&lt;wsp:rsid wsp:val=&quot;0041080E&quot;/&gt;&lt;wsp:rsid wsp:val=&quot;004108CF&quot;/&gt;&lt;wsp:rsid wsp:val=&quot;004113CF&quot;/&gt;&lt;wsp:rsid wsp:val=&quot;00411874&quot;/&gt;&lt;wsp:rsid wsp:val=&quot;00411C07&quot;/&gt;&lt;wsp:rsid wsp:val=&quot;00411C3A&quot;/&gt;&lt;wsp:rsid wsp:val=&quot;00411D59&quot;/&gt;&lt;wsp:rsid wsp:val=&quot;00411DBF&quot;/&gt;&lt;wsp:rsid wsp:val=&quot;00412120&quot;/&gt;&lt;wsp:rsid wsp:val=&quot;004122B7&quot;/&gt;&lt;wsp:rsid wsp:val=&quot;004125F8&quot;/&gt;&lt;wsp:rsid wsp:val=&quot;004126D8&quot;/&gt;&lt;wsp:rsid wsp:val=&quot;00412732&quot;/&gt;&lt;wsp:rsid wsp:val=&quot;0041287E&quot;/&gt;&lt;wsp:rsid wsp:val=&quot;00412941&quot;/&gt;&lt;wsp:rsid wsp:val=&quot;00412A1C&quot;/&gt;&lt;wsp:rsid wsp:val=&quot;00412A9A&quot;/&gt;&lt;wsp:rsid wsp:val=&quot;00412B05&quot;/&gt;&lt;wsp:rsid wsp:val=&quot;00412E3E&quot;/&gt;&lt;wsp:rsid wsp:val=&quot;0041306D&quot;/&gt;&lt;wsp:rsid wsp:val=&quot;004137A0&quot;/&gt;&lt;wsp:rsid wsp:val=&quot;00413C4F&quot;/&gt;&lt;wsp:rsid wsp:val=&quot;00413DAA&quot;/&gt;&lt;wsp:rsid wsp:val=&quot;00413DB7&quot;/&gt;&lt;wsp:rsid wsp:val=&quot;00414227&quot;/&gt;&lt;wsp:rsid wsp:val=&quot;00415034&quot;/&gt;&lt;wsp:rsid wsp:val=&quot;00415974&quot;/&gt;&lt;wsp:rsid wsp:val=&quot;00415A40&quot;/&gt;&lt;wsp:rsid wsp:val=&quot;00416097&quot;/&gt;&lt;wsp:rsid wsp:val=&quot;00416277&quot;/&gt;&lt;wsp:rsid wsp:val=&quot;00416715&quot;/&gt;&lt;wsp:rsid wsp:val=&quot;00416D6C&quot;/&gt;&lt;wsp:rsid wsp:val=&quot;00416D9B&quot;/&gt;&lt;wsp:rsid wsp:val=&quot;00416E1D&quot;/&gt;&lt;wsp:rsid wsp:val=&quot;004171AC&quot;/&gt;&lt;wsp:rsid wsp:val=&quot;00417426&quot;/&gt;&lt;wsp:rsid wsp:val=&quot;00417963&quot;/&gt;&lt;wsp:rsid wsp:val=&quot;00417F00&quot;/&gt;&lt;wsp:rsid wsp:val=&quot;004201F9&quot;/&gt;&lt;wsp:rsid wsp:val=&quot;00420691&quot;/&gt;&lt;wsp:rsid wsp:val=&quot;00420919&quot;/&gt;&lt;wsp:rsid wsp:val=&quot;004209EA&quot;/&gt;&lt;wsp:rsid wsp:val=&quot;00420C86&quot;/&gt;&lt;wsp:rsid wsp:val=&quot;00420DA8&quot;/&gt;&lt;wsp:rsid wsp:val=&quot;004214D1&quot;/&gt;&lt;wsp:rsid wsp:val=&quot;0042172F&quot;/&gt;&lt;wsp:rsid wsp:val=&quot;00421879&quot;/&gt;&lt;wsp:rsid wsp:val=&quot;004226DD&quot;/&gt;&lt;wsp:rsid wsp:val=&quot;00422703&quot;/&gt;&lt;wsp:rsid wsp:val=&quot;004228DB&quot;/&gt;&lt;wsp:rsid wsp:val=&quot;00422CCB&quot;/&gt;&lt;wsp:rsid wsp:val=&quot;00422F61&quot;/&gt;&lt;wsp:rsid wsp:val=&quot;0042399D&quot;/&gt;&lt;wsp:rsid wsp:val=&quot;00423D45&quot;/&gt;&lt;wsp:rsid wsp:val=&quot;004256B2&quot;/&gt;&lt;wsp:rsid wsp:val=&quot;004258EB&quot;/&gt;&lt;wsp:rsid wsp:val=&quot;00425C65&quot;/&gt;&lt;wsp:rsid wsp:val=&quot;00426242&quot;/&gt;&lt;wsp:rsid wsp:val=&quot;004263DD&quot;/&gt;&lt;wsp:rsid wsp:val=&quot;00426B31&quot;/&gt;&lt;wsp:rsid wsp:val=&quot;00426C16&quot;/&gt;&lt;wsp:rsid wsp:val=&quot;00426C3D&quot;/&gt;&lt;wsp:rsid wsp:val=&quot;00426C91&quot;/&gt;&lt;wsp:rsid wsp:val=&quot;004272E7&quot;/&gt;&lt;wsp:rsid wsp:val=&quot;00427382&quot;/&gt;&lt;wsp:rsid wsp:val=&quot;00427A8E&quot;/&gt;&lt;wsp:rsid wsp:val=&quot;00427CBB&quot;/&gt;&lt;wsp:rsid wsp:val=&quot;00427F05&quot;/&gt;&lt;wsp:rsid wsp:val=&quot;0043005A&quot;/&gt;&lt;wsp:rsid wsp:val=&quot;004302FC&quot;/&gt;&lt;wsp:rsid wsp:val=&quot;004306DF&quot;/&gt;&lt;wsp:rsid wsp:val=&quot;00430728&quot;/&gt;&lt;wsp:rsid wsp:val=&quot;00430D53&quot;/&gt;&lt;wsp:rsid wsp:val=&quot;00431053&quot;/&gt;&lt;wsp:rsid wsp:val=&quot;00431166&quot;/&gt;&lt;wsp:rsid wsp:val=&quot;004312AC&quot;/&gt;&lt;wsp:rsid wsp:val=&quot;0043143D&quot;/&gt;&lt;wsp:rsid wsp:val=&quot;0043160B&quot;/&gt;&lt;wsp:rsid wsp:val=&quot;00431BD6&quot;/&gt;&lt;wsp:rsid wsp:val=&quot;00431D5A&quot;/&gt;&lt;wsp:rsid wsp:val=&quot;00432A0F&quot;/&gt;&lt;wsp:rsid wsp:val=&quot;00432B6D&quot;/&gt;&lt;wsp:rsid wsp:val=&quot;00432BD9&quot;/&gt;&lt;wsp:rsid wsp:val=&quot;00432F24&quot;/&gt;&lt;wsp:rsid wsp:val=&quot;00433063&quot;/&gt;&lt;wsp:rsid wsp:val=&quot;00433294&quot;/&gt;&lt;wsp:rsid wsp:val=&quot;00433353&quot;/&gt;&lt;wsp:rsid wsp:val=&quot;004338D5&quot;/&gt;&lt;wsp:rsid wsp:val=&quot;0043394F&quot;/&gt;&lt;wsp:rsid wsp:val=&quot;0043418B&quot;/&gt;&lt;wsp:rsid wsp:val=&quot;00434456&quot;/&gt;&lt;wsp:rsid wsp:val=&quot;0043487C&quot;/&gt;&lt;wsp:rsid wsp:val=&quot;00434B6B&quot;/&gt;&lt;wsp:rsid wsp:val=&quot;00435106&quot;/&gt;&lt;wsp:rsid wsp:val=&quot;00435446&quot;/&gt;&lt;wsp:rsid wsp:val=&quot;00435560&quot;/&gt;&lt;wsp:rsid wsp:val=&quot;00435CC3&quot;/&gt;&lt;wsp:rsid wsp:val=&quot;00435E1B&quot;/&gt;&lt;wsp:rsid wsp:val=&quot;00436526&quot;/&gt;&lt;wsp:rsid wsp:val=&quot;004368E1&quot;/&gt;&lt;wsp:rsid wsp:val=&quot;0043698F&quot;/&gt;&lt;wsp:rsid wsp:val=&quot;00436AE0&quot;/&gt;&lt;wsp:rsid wsp:val=&quot;00436AEF&quot;/&gt;&lt;wsp:rsid wsp:val=&quot;00436CF7&quot;/&gt;&lt;wsp:rsid wsp:val=&quot;00436E5C&quot;/&gt;&lt;wsp:rsid wsp:val=&quot;004371E9&quot;/&gt;&lt;wsp:rsid wsp:val=&quot;004375B1&quot;/&gt;&lt;wsp:rsid wsp:val=&quot;0043778B&quot;/&gt;&lt;wsp:rsid wsp:val=&quot;00437831&quot;/&gt;&lt;wsp:rsid wsp:val=&quot;00437BF6&quot;/&gt;&lt;wsp:rsid wsp:val=&quot;00437CAC&quot;/&gt;&lt;wsp:rsid wsp:val=&quot;00437E9D&quot;/&gt;&lt;wsp:rsid wsp:val=&quot;00440C3D&quot;/&gt;&lt;wsp:rsid wsp:val=&quot;0044147E&quot;/&gt;&lt;wsp:rsid wsp:val=&quot;004417DE&quot;/&gt;&lt;wsp:rsid wsp:val=&quot;00441A53&quot;/&gt;&lt;wsp:rsid wsp:val=&quot;00441B1C&quot;/&gt;&lt;wsp:rsid wsp:val=&quot;00441BC1&quot;/&gt;&lt;wsp:rsid wsp:val=&quot;00441C6D&quot;/&gt;&lt;wsp:rsid wsp:val=&quot;00441E1C&quot;/&gt;&lt;wsp:rsid wsp:val=&quot;00441EA7&quot;/&gt;&lt;wsp:rsid wsp:val=&quot;004420A8&quot;/&gt;&lt;wsp:rsid wsp:val=&quot;00442B06&quot;/&gt;&lt;wsp:rsid wsp:val=&quot;00442D41&quot;/&gt;&lt;wsp:rsid wsp:val=&quot;00442DBF&quot;/&gt;&lt;wsp:rsid wsp:val=&quot;00442E23&quot;/&gt;&lt;wsp:rsid wsp:val=&quot;00443044&quot;/&gt;&lt;wsp:rsid wsp:val=&quot;00443103&quot;/&gt;&lt;wsp:rsid wsp:val=&quot;00443143&quot;/&gt;&lt;wsp:rsid wsp:val=&quot;00443533&quot;/&gt;&lt;wsp:rsid wsp:val=&quot;004438F7&quot;/&gt;&lt;wsp:rsid wsp:val=&quot;00443985&quot;/&gt;&lt;wsp:rsid wsp:val=&quot;00443C76&quot;/&gt;&lt;wsp:rsid wsp:val=&quot;0044419D&quot;/&gt;&lt;wsp:rsid wsp:val=&quot;0044438A&quot;/&gt;&lt;wsp:rsid wsp:val=&quot;00444562&quot;/&gt;&lt;wsp:rsid wsp:val=&quot;0044478E&quot;/&gt;&lt;wsp:rsid wsp:val=&quot;004447EA&quot;/&gt;&lt;wsp:rsid wsp:val=&quot;0044488E&quot;/&gt;&lt;wsp:rsid wsp:val=&quot;00444C19&quot;/&gt;&lt;wsp:rsid wsp:val=&quot;00444F9D&quot;/&gt;&lt;wsp:rsid wsp:val=&quot;004458CA&quot;/&gt;&lt;wsp:rsid wsp:val=&quot;00445AFA&quot;/&gt;&lt;wsp:rsid wsp:val=&quot;00445D01&quot;/&gt;&lt;wsp:rsid wsp:val=&quot;00445E5F&quot;/&gt;&lt;wsp:rsid wsp:val=&quot;00446157&quot;/&gt;&lt;wsp:rsid wsp:val=&quot;004461A4&quot;/&gt;&lt;wsp:rsid wsp:val=&quot;004461D0&quot;/&gt;&lt;wsp:rsid wsp:val=&quot;004462D2&quot;/&gt;&lt;wsp:rsid wsp:val=&quot;00446374&quot;/&gt;&lt;wsp:rsid wsp:val=&quot;00446489&quot;/&gt;&lt;wsp:rsid wsp:val=&quot;00446537&quot;/&gt;&lt;wsp:rsid wsp:val=&quot;00446605&quot;/&gt;&lt;wsp:rsid wsp:val=&quot;004466CD&quot;/&gt;&lt;wsp:rsid wsp:val=&quot;0044671A&quot;/&gt;&lt;wsp:rsid wsp:val=&quot;00446798&quot;/&gt;&lt;wsp:rsid wsp:val=&quot;00446B30&quot;/&gt;&lt;wsp:rsid wsp:val=&quot;00447387&quot;/&gt;&lt;wsp:rsid wsp:val=&quot;00447397&quot;/&gt;&lt;wsp:rsid wsp:val=&quot;0044789A&quot;/&gt;&lt;wsp:rsid wsp:val=&quot;00447CC2&quot;/&gt;&lt;wsp:rsid wsp:val=&quot;00447FCB&quot;/&gt;&lt;wsp:rsid wsp:val=&quot;0045026C&quot;/&gt;&lt;wsp:rsid wsp:val=&quot;00450663&quot;/&gt;&lt;wsp:rsid wsp:val=&quot;004507D7&quot;/&gt;&lt;wsp:rsid wsp:val=&quot;00450BC6&quot;/&gt;&lt;wsp:rsid wsp:val=&quot;00450DAD&quot;/&gt;&lt;wsp:rsid wsp:val=&quot;00450E01&quot;/&gt;&lt;wsp:rsid wsp:val=&quot;00450FA8&quot;/&gt;&lt;wsp:rsid wsp:val=&quot;00451177&quot;/&gt;&lt;wsp:rsid wsp:val=&quot;0045123E&quot;/&gt;&lt;wsp:rsid wsp:val=&quot;004512ED&quot;/&gt;&lt;wsp:rsid wsp:val=&quot;004518D0&quot;/&gt;&lt;wsp:rsid wsp:val=&quot;00452310&quot;/&gt;&lt;wsp:rsid wsp:val=&quot;0045288A&quot;/&gt;&lt;wsp:rsid wsp:val=&quot;00452ACD&quot;/&gt;&lt;wsp:rsid wsp:val=&quot;00452B84&quot;/&gt;&lt;wsp:rsid wsp:val=&quot;00452C80&quot;/&gt;&lt;wsp:rsid wsp:val=&quot;004531A4&quot;/&gt;&lt;wsp:rsid wsp:val=&quot;00453268&quot;/&gt;&lt;wsp:rsid wsp:val=&quot;00453577&quot;/&gt;&lt;wsp:rsid wsp:val=&quot;00453C5D&quot;/&gt;&lt;wsp:rsid wsp:val=&quot;00454170&quot;/&gt;&lt;wsp:rsid wsp:val=&quot;00454832&quot;/&gt;&lt;wsp:rsid wsp:val=&quot;00454890&quot;/&gt;&lt;wsp:rsid wsp:val=&quot;00454A4D&quot;/&gt;&lt;wsp:rsid wsp:val=&quot;00454F20&quot;/&gt;&lt;wsp:rsid wsp:val=&quot;004553C6&quot;/&gt;&lt;wsp:rsid wsp:val=&quot;00455834&quot;/&gt;&lt;wsp:rsid wsp:val=&quot;00455B45&quot;/&gt;&lt;wsp:rsid wsp:val=&quot;00455B9C&quot;/&gt;&lt;wsp:rsid wsp:val=&quot;00455BB7&quot;/&gt;&lt;wsp:rsid wsp:val=&quot;00456165&quot;/&gt;&lt;wsp:rsid wsp:val=&quot;0045649E&quot;/&gt;&lt;wsp:rsid wsp:val=&quot;004565EB&quot;/&gt;&lt;wsp:rsid wsp:val=&quot;00456861&quot;/&gt;&lt;wsp:rsid wsp:val=&quot;004572A3&quot;/&gt;&lt;wsp:rsid wsp:val=&quot;004576F2&quot;/&gt;&lt;wsp:rsid wsp:val=&quot;004577F9&quot;/&gt;&lt;wsp:rsid wsp:val=&quot;00457CC6&quot;/&gt;&lt;wsp:rsid wsp:val=&quot;00457DE2&quot;/&gt;&lt;wsp:rsid wsp:val=&quot;00457FB3&quot;/&gt;&lt;wsp:rsid wsp:val=&quot;004608B6&quot;/&gt;&lt;wsp:rsid wsp:val=&quot;004608EE&quot;/&gt;&lt;wsp:rsid wsp:val=&quot;0046098B&quot;/&gt;&lt;wsp:rsid wsp:val=&quot;004610D7&quot;/&gt;&lt;wsp:rsid wsp:val=&quot;00461155&quot;/&gt;&lt;wsp:rsid wsp:val=&quot;004615C4&quot;/&gt;&lt;wsp:rsid wsp:val=&quot;00461628&quot;/&gt;&lt;wsp:rsid wsp:val=&quot;00461A79&quot;/&gt;&lt;wsp:rsid wsp:val=&quot;0046245E&quot;/&gt;&lt;wsp:rsid wsp:val=&quot;00462996&quot;/&gt;&lt;wsp:rsid wsp:val=&quot;00462A41&quot;/&gt;&lt;wsp:rsid wsp:val=&quot;00462B20&quot;/&gt;&lt;wsp:rsid wsp:val=&quot;00462BD0&quot;/&gt;&lt;wsp:rsid wsp:val=&quot;00462D04&quot;/&gt;&lt;wsp:rsid wsp:val=&quot;00463017&quot;/&gt;&lt;wsp:rsid wsp:val=&quot;00463593&quot;/&gt;&lt;wsp:rsid wsp:val=&quot;004635B6&quot;/&gt;&lt;wsp:rsid wsp:val=&quot;0046376F&quot;/&gt;&lt;wsp:rsid wsp:val=&quot;00463986&quot;/&gt;&lt;wsp:rsid wsp:val=&quot;00463CF2&quot;/&gt;&lt;wsp:rsid wsp:val=&quot;0046420B&quot;/&gt;&lt;wsp:rsid wsp:val=&quot;00464B26&quot;/&gt;&lt;wsp:rsid wsp:val=&quot;00464CC2&quot;/&gt;&lt;wsp:rsid wsp:val=&quot;00464DAA&quot;/&gt;&lt;wsp:rsid wsp:val=&quot;004655C4&quot;/&gt;&lt;wsp:rsid wsp:val=&quot;004657FF&quot;/&gt;&lt;wsp:rsid wsp:val=&quot;00465892&quot;/&gt;&lt;wsp:rsid wsp:val=&quot;00465895&quot;/&gt;&lt;wsp:rsid wsp:val=&quot;00465A53&quot;/&gt;&lt;wsp:rsid wsp:val=&quot;00465CB2&quot;/&gt;&lt;wsp:rsid wsp:val=&quot;00465D75&quot;/&gt;&lt;wsp:rsid wsp:val=&quot;004661B1&quot;/&gt;&lt;wsp:rsid wsp:val=&quot;004663F7&quot;/&gt;&lt;wsp:rsid wsp:val=&quot;00466D7E&quot;/&gt;&lt;wsp:rsid wsp:val=&quot;004674C1&quot;/&gt;&lt;wsp:rsid wsp:val=&quot;00467852&quot;/&gt;&lt;wsp:rsid wsp:val=&quot;004679FD&quot;/&gt;&lt;wsp:rsid wsp:val=&quot;00470019&quot;/&gt;&lt;wsp:rsid wsp:val=&quot;00470308&quot;/&gt;&lt;wsp:rsid wsp:val=&quot;0047046B&quot;/&gt;&lt;wsp:rsid wsp:val=&quot;00470DB4&quot;/&gt;&lt;wsp:rsid wsp:val=&quot;0047107A&quot;/&gt;&lt;wsp:rsid wsp:val=&quot;004710D3&quot;/&gt;&lt;wsp:rsid wsp:val=&quot;004710DF&quot;/&gt;&lt;wsp:rsid wsp:val=&quot;004714D2&quot;/&gt;&lt;wsp:rsid wsp:val=&quot;00471507&quot;/&gt;&lt;wsp:rsid wsp:val=&quot;00471D6C&quot;/&gt;&lt;wsp:rsid wsp:val=&quot;00471E47&quot;/&gt;&lt;wsp:rsid wsp:val=&quot;00471FC5&quot;/&gt;&lt;wsp:rsid wsp:val=&quot;00472074&quot;/&gt;&lt;wsp:rsid wsp:val=&quot;00472AEE&quot;/&gt;&lt;wsp:rsid wsp:val=&quot;00472B3C&quot;/&gt;&lt;wsp:rsid wsp:val=&quot;00472B9D&quot;/&gt;&lt;wsp:rsid wsp:val=&quot;00472D20&quot;/&gt;&lt;wsp:rsid wsp:val=&quot;004737B3&quot;/&gt;&lt;wsp:rsid wsp:val=&quot;004738E4&quot;/&gt;&lt;wsp:rsid wsp:val=&quot;004738E5&quot;/&gt;&lt;wsp:rsid wsp:val=&quot;00473F1D&quot;/&gt;&lt;wsp:rsid wsp:val=&quot;004740CB&quot;/&gt;&lt;wsp:rsid wsp:val=&quot;004743A8&quot;/&gt;&lt;wsp:rsid wsp:val=&quot;0047459B&quot;/&gt;&lt;wsp:rsid wsp:val=&quot;0047466C&quot;/&gt;&lt;wsp:rsid wsp:val=&quot;00474928&quot;/&gt;&lt;wsp:rsid wsp:val=&quot;0047513F&quot;/&gt;&lt;wsp:rsid wsp:val=&quot;0047556E&quot;/&gt;&lt;wsp:rsid wsp:val=&quot;0047565B&quot;/&gt;&lt;wsp:rsid wsp:val=&quot;004757A8&quot;/&gt;&lt;wsp:rsid wsp:val=&quot;0047598B&quot;/&gt;&lt;wsp:rsid wsp:val=&quot;00475DAC&quot;/&gt;&lt;wsp:rsid wsp:val=&quot;004761DC&quot;/&gt;&lt;wsp:rsid wsp:val=&quot;0047633A&quot;/&gt;&lt;wsp:rsid wsp:val=&quot;0047634B&quot;/&gt;&lt;wsp:rsid wsp:val=&quot;00476428&quot;/&gt;&lt;wsp:rsid wsp:val=&quot;00476588&quot;/&gt;&lt;wsp:rsid wsp:val=&quot;00476831&quot;/&gt;&lt;wsp:rsid wsp:val=&quot;00476EBB&quot;/&gt;&lt;wsp:rsid wsp:val=&quot;0047711B&quot;/&gt;&lt;wsp:rsid wsp:val=&quot;00477336&quot;/&gt;&lt;wsp:rsid wsp:val=&quot;00477AA4&quot;/&gt;&lt;wsp:rsid wsp:val=&quot;00477C62&quot;/&gt;&lt;wsp:rsid wsp:val=&quot;00477E82&quot;/&gt;&lt;wsp:rsid wsp:val=&quot;00477FB2&quot;/&gt;&lt;wsp:rsid wsp:val=&quot;0048004E&quot;/&gt;&lt;wsp:rsid wsp:val=&quot;00480129&quot;/&gt;&lt;wsp:rsid wsp:val=&quot;00480575&quot;/&gt;&lt;wsp:rsid wsp:val=&quot;00480F11&quot;/&gt;&lt;wsp:rsid wsp:val=&quot;00482083&quot;/&gt;&lt;wsp:rsid wsp:val=&quot;004823C1&quot;/&gt;&lt;wsp:rsid wsp:val=&quot;004823D0&quot;/&gt;&lt;wsp:rsid wsp:val=&quot;004825D7&quot;/&gt;&lt;wsp:rsid wsp:val=&quot;004831BB&quot;/&gt;&lt;wsp:rsid wsp:val=&quot;00483290&quot;/&gt;&lt;wsp:rsid wsp:val=&quot;004834B7&quot;/&gt;&lt;wsp:rsid wsp:val=&quot;00483841&quot;/&gt;&lt;wsp:rsid wsp:val=&quot;00483914&quot;/&gt;&lt;wsp:rsid wsp:val=&quot;00483C6F&quot;/&gt;&lt;wsp:rsid wsp:val=&quot;00484263&quot;/&gt;&lt;wsp:rsid wsp:val=&quot;004843B5&quot;/&gt;&lt;wsp:rsid wsp:val=&quot;004844FC&quot;/&gt;&lt;wsp:rsid wsp:val=&quot;00484FDF&quot;/&gt;&lt;wsp:rsid wsp:val=&quot;004854A5&quot;/&gt;&lt;wsp:rsid wsp:val=&quot;004855F1&quot;/&gt;&lt;wsp:rsid wsp:val=&quot;00485A07&quot;/&gt;&lt;wsp:rsid wsp:val=&quot;00485A73&quot;/&gt;&lt;wsp:rsid wsp:val=&quot;00485D62&quot;/&gt;&lt;wsp:rsid wsp:val=&quot;00485D6D&quot;/&gt;&lt;wsp:rsid wsp:val=&quot;00485EDD&quot;/&gt;&lt;wsp:rsid wsp:val=&quot;00486243&quot;/&gt;&lt;wsp:rsid wsp:val=&quot;00486319&quot;/&gt;&lt;wsp:rsid wsp:val=&quot;004864A6&quot;/&gt;&lt;wsp:rsid wsp:val=&quot;004865EE&quot;/&gt;&lt;wsp:rsid wsp:val=&quot;004868A0&quot;/&gt;&lt;wsp:rsid wsp:val=&quot;00486B0E&quot;/&gt;&lt;wsp:rsid wsp:val=&quot;00487952&quot;/&gt;&lt;wsp:rsid wsp:val=&quot;00487F97&quot;/&gt;&lt;wsp:rsid wsp:val=&quot;00490235&quot;/&gt;&lt;wsp:rsid wsp:val=&quot;004904F5&quot;/&gt;&lt;wsp:rsid wsp:val=&quot;00490575&quot;/&gt;&lt;wsp:rsid wsp:val=&quot;0049105E&quot;/&gt;&lt;wsp:rsid wsp:val=&quot;0049114B&quot;/&gt;&lt;wsp:rsid wsp:val=&quot;004913BD&quot;/&gt;&lt;wsp:rsid wsp:val=&quot;00491B51&quot;/&gt;&lt;wsp:rsid wsp:val=&quot;0049254E&quot;/&gt;&lt;wsp:rsid wsp:val=&quot;00492B5E&quot;/&gt;&lt;wsp:rsid wsp:val=&quot;00492B75&quot;/&gt;&lt;wsp:rsid wsp:val=&quot;00492BDE&quot;/&gt;&lt;wsp:rsid wsp:val=&quot;00493194&quot;/&gt;&lt;wsp:rsid wsp:val=&quot;004933E0&quot;/&gt;&lt;wsp:rsid wsp:val=&quot;0049407C&quot;/&gt;&lt;wsp:rsid wsp:val=&quot;004947BD&quot;/&gt;&lt;wsp:rsid wsp:val=&quot;004948E4&quot;/&gt;&lt;wsp:rsid wsp:val=&quot;00494D55&quot;/&gt;&lt;wsp:rsid wsp:val=&quot;004953A7&quot;/&gt;&lt;wsp:rsid wsp:val=&quot;00495729&quot;/&gt;&lt;wsp:rsid wsp:val=&quot;00495C08&quot;/&gt;&lt;wsp:rsid wsp:val=&quot;00495C16&quot;/&gt;&lt;wsp:rsid wsp:val=&quot;00495EDB&quot;/&gt;&lt;wsp:rsid wsp:val=&quot;00495FEA&quot;/&gt;&lt;wsp:rsid wsp:val=&quot;004963FD&quot;/&gt;&lt;wsp:rsid wsp:val=&quot;004975DF&quot;/&gt;&lt;wsp:rsid wsp:val=&quot;004976A3&quot;/&gt;&lt;wsp:rsid wsp:val=&quot;00497F41&quot;/&gt;&lt;wsp:rsid wsp:val=&quot;004A0140&quot;/&gt;&lt;wsp:rsid wsp:val=&quot;004A0471&quot;/&gt;&lt;wsp:rsid wsp:val=&quot;004A09B6&quot;/&gt;&lt;wsp:rsid wsp:val=&quot;004A12A2&quot;/&gt;&lt;wsp:rsid wsp:val=&quot;004A1350&quot;/&gt;&lt;wsp:rsid wsp:val=&quot;004A138A&quot;/&gt;&lt;wsp:rsid wsp:val=&quot;004A1B0F&quot;/&gt;&lt;wsp:rsid wsp:val=&quot;004A1CF9&quot;/&gt;&lt;wsp:rsid wsp:val=&quot;004A1FE1&quot;/&gt;&lt;wsp:rsid wsp:val=&quot;004A2013&quot;/&gt;&lt;wsp:rsid wsp:val=&quot;004A228C&quot;/&gt;&lt;wsp:rsid wsp:val=&quot;004A29C1&quot;/&gt;&lt;wsp:rsid wsp:val=&quot;004A29F7&quot;/&gt;&lt;wsp:rsid wsp:val=&quot;004A2FEB&quot;/&gt;&lt;wsp:rsid wsp:val=&quot;004A3467&quot;/&gt;&lt;wsp:rsid wsp:val=&quot;004A34BC&quot;/&gt;&lt;wsp:rsid wsp:val=&quot;004A4183&quot;/&gt;&lt;wsp:rsid wsp:val=&quot;004A460D&quot;/&gt;&lt;wsp:rsid wsp:val=&quot;004A4913&quot;/&gt;&lt;wsp:rsid wsp:val=&quot;004A4985&quot;/&gt;&lt;wsp:rsid wsp:val=&quot;004A49CD&quot;/&gt;&lt;wsp:rsid wsp:val=&quot;004A4D4D&quot;/&gt;&lt;wsp:rsid wsp:val=&quot;004A526B&quot;/&gt;&lt;wsp:rsid wsp:val=&quot;004A52FC&quot;/&gt;&lt;wsp:rsid wsp:val=&quot;004A535F&quot;/&gt;&lt;wsp:rsid wsp:val=&quot;004A55B8&quot;/&gt;&lt;wsp:rsid wsp:val=&quot;004A5826&quot;/&gt;&lt;wsp:rsid wsp:val=&quot;004A6463&quot;/&gt;&lt;wsp:rsid wsp:val=&quot;004A659B&quot;/&gt;&lt;wsp:rsid wsp:val=&quot;004A65E6&quot;/&gt;&lt;wsp:rsid wsp:val=&quot;004A6695&quot;/&gt;&lt;wsp:rsid wsp:val=&quot;004A671E&quot;/&gt;&lt;wsp:rsid wsp:val=&quot;004A673C&quot;/&gt;&lt;wsp:rsid wsp:val=&quot;004A6C23&quot;/&gt;&lt;wsp:rsid wsp:val=&quot;004A7471&quot;/&gt;&lt;wsp:rsid wsp:val=&quot;004A77E1&quot;/&gt;&lt;wsp:rsid wsp:val=&quot;004A783D&quot;/&gt;&lt;wsp:rsid wsp:val=&quot;004B0247&quot;/&gt;&lt;wsp:rsid wsp:val=&quot;004B064C&quot;/&gt;&lt;wsp:rsid wsp:val=&quot;004B1565&quot;/&gt;&lt;wsp:rsid wsp:val=&quot;004B1868&quot;/&gt;&lt;wsp:rsid wsp:val=&quot;004B1AFA&quot;/&gt;&lt;wsp:rsid wsp:val=&quot;004B204C&quot;/&gt;&lt;wsp:rsid wsp:val=&quot;004B208C&quot;/&gt;&lt;wsp:rsid wsp:val=&quot;004B2265&quot;/&gt;&lt;wsp:rsid wsp:val=&quot;004B2807&quot;/&gt;&lt;wsp:rsid wsp:val=&quot;004B2918&quot;/&gt;&lt;wsp:rsid wsp:val=&quot;004B3418&quot;/&gt;&lt;wsp:rsid wsp:val=&quot;004B3574&quot;/&gt;&lt;wsp:rsid wsp:val=&quot;004B3864&quot;/&gt;&lt;wsp:rsid wsp:val=&quot;004B3D7B&quot;/&gt;&lt;wsp:rsid wsp:val=&quot;004B3DD6&quot;/&gt;&lt;wsp:rsid wsp:val=&quot;004B3FD2&quot;/&gt;&lt;wsp:rsid wsp:val=&quot;004B40A6&quot;/&gt;&lt;wsp:rsid wsp:val=&quot;004B4A4D&quot;/&gt;&lt;wsp:rsid wsp:val=&quot;004B4D89&quot;/&gt;&lt;wsp:rsid wsp:val=&quot;004B4EBD&quot;/&gt;&lt;wsp:rsid wsp:val=&quot;004B54E6&quot;/&gt;&lt;wsp:rsid wsp:val=&quot;004B5828&quot;/&gt;&lt;wsp:rsid wsp:val=&quot;004B5884&quot;/&gt;&lt;wsp:rsid wsp:val=&quot;004B5B64&quot;/&gt;&lt;wsp:rsid wsp:val=&quot;004B5B9E&quot;/&gt;&lt;wsp:rsid wsp:val=&quot;004B5CD7&quot;/&gt;&lt;wsp:rsid wsp:val=&quot;004B5D77&quot;/&gt;&lt;wsp:rsid wsp:val=&quot;004B6016&quot;/&gt;&lt;wsp:rsid wsp:val=&quot;004B635B&quot;/&gt;&lt;wsp:rsid wsp:val=&quot;004B665D&quot;/&gt;&lt;wsp:rsid wsp:val=&quot;004B68B5&quot;/&gt;&lt;wsp:rsid wsp:val=&quot;004B69F9&quot;/&gt;&lt;wsp:rsid wsp:val=&quot;004B6C92&quot;/&gt;&lt;wsp:rsid wsp:val=&quot;004B6FBE&quot;/&gt;&lt;wsp:rsid wsp:val=&quot;004B7820&quot;/&gt;&lt;wsp:rsid wsp:val=&quot;004B7D4C&quot;/&gt;&lt;wsp:rsid wsp:val=&quot;004C01AC&quot;/&gt;&lt;wsp:rsid wsp:val=&quot;004C09A9&quot;/&gt;&lt;wsp:rsid wsp:val=&quot;004C0B00&quot;/&gt;&lt;wsp:rsid wsp:val=&quot;004C18D7&quot;/&gt;&lt;wsp:rsid wsp:val=&quot;004C1BEF&quot;/&gt;&lt;wsp:rsid wsp:val=&quot;004C1CB1&quot;/&gt;&lt;wsp:rsid wsp:val=&quot;004C23AD&quot;/&gt;&lt;wsp:rsid wsp:val=&quot;004C250D&quot;/&gt;&lt;wsp:rsid wsp:val=&quot;004C25C6&quot;/&gt;&lt;wsp:rsid wsp:val=&quot;004C2D23&quot;/&gt;&lt;wsp:rsid wsp:val=&quot;004C2E11&quot;/&gt;&lt;wsp:rsid wsp:val=&quot;004C32C2&quot;/&gt;&lt;wsp:rsid wsp:val=&quot;004C333E&quot;/&gt;&lt;wsp:rsid wsp:val=&quot;004C34B9&quot;/&gt;&lt;wsp:rsid wsp:val=&quot;004C4198&quot;/&gt;&lt;wsp:rsid wsp:val=&quot;004C4728&quot;/&gt;&lt;wsp:rsid wsp:val=&quot;004C4B4F&quot;/&gt;&lt;wsp:rsid wsp:val=&quot;004C4B62&quot;/&gt;&lt;wsp:rsid wsp:val=&quot;004C4C89&quot;/&gt;&lt;wsp:rsid wsp:val=&quot;004C599B&quot;/&gt;&lt;wsp:rsid wsp:val=&quot;004C5EBE&quot;/&gt;&lt;wsp:rsid wsp:val=&quot;004C6382&quot;/&gt;&lt;wsp:rsid wsp:val=&quot;004C63EC&quot;/&gt;&lt;wsp:rsid wsp:val=&quot;004C6C36&quot;/&gt;&lt;wsp:rsid wsp:val=&quot;004C6F21&quot;/&gt;&lt;wsp:rsid wsp:val=&quot;004C71AA&quot;/&gt;&lt;wsp:rsid wsp:val=&quot;004C7984&quot;/&gt;&lt;wsp:rsid wsp:val=&quot;004C7A1E&quot;/&gt;&lt;wsp:rsid wsp:val=&quot;004D03BC&quot;/&gt;&lt;wsp:rsid wsp:val=&quot;004D071E&quot;/&gt;&lt;wsp:rsid wsp:val=&quot;004D0B5C&quot;/&gt;&lt;wsp:rsid wsp:val=&quot;004D0D8C&quot;/&gt;&lt;wsp:rsid wsp:val=&quot;004D0EED&quot;/&gt;&lt;wsp:rsid wsp:val=&quot;004D0F83&quot;/&gt;&lt;wsp:rsid wsp:val=&quot;004D10C5&quot;/&gt;&lt;wsp:rsid wsp:val=&quot;004D1891&quot;/&gt;&lt;wsp:rsid wsp:val=&quot;004D1ABA&quot;/&gt;&lt;wsp:rsid wsp:val=&quot;004D1BF0&quot;/&gt;&lt;wsp:rsid wsp:val=&quot;004D1C79&quot;/&gt;&lt;wsp:rsid wsp:val=&quot;004D21E0&quot;/&gt;&lt;wsp:rsid wsp:val=&quot;004D2573&quot;/&gt;&lt;wsp:rsid wsp:val=&quot;004D25A3&quot;/&gt;&lt;wsp:rsid wsp:val=&quot;004D275D&quot;/&gt;&lt;wsp:rsid wsp:val=&quot;004D2765&quot;/&gt;&lt;wsp:rsid wsp:val=&quot;004D277D&quot;/&gt;&lt;wsp:rsid wsp:val=&quot;004D2F4E&quot;/&gt;&lt;wsp:rsid wsp:val=&quot;004D30BB&quot;/&gt;&lt;wsp:rsid wsp:val=&quot;004D33EA&quot;/&gt;&lt;wsp:rsid wsp:val=&quot;004D39E7&quot;/&gt;&lt;wsp:rsid wsp:val=&quot;004D3E26&quot;/&gt;&lt;wsp:rsid wsp:val=&quot;004D3EE1&quot;/&gt;&lt;wsp:rsid wsp:val=&quot;004D3FC0&quot;/&gt;&lt;wsp:rsid wsp:val=&quot;004D4395&quot;/&gt;&lt;wsp:rsid wsp:val=&quot;004D444D&quot;/&gt;&lt;wsp:rsid wsp:val=&quot;004D47AB&quot;/&gt;&lt;wsp:rsid wsp:val=&quot;004D4AC7&quot;/&gt;&lt;wsp:rsid wsp:val=&quot;004D4D68&quot;/&gt;&lt;wsp:rsid wsp:val=&quot;004D5020&quot;/&gt;&lt;wsp:rsid wsp:val=&quot;004D5071&quot;/&gt;&lt;wsp:rsid wsp:val=&quot;004D5804&quot;/&gt;&lt;wsp:rsid wsp:val=&quot;004D5A8D&quot;/&gt;&lt;wsp:rsid wsp:val=&quot;004D5F5C&quot;/&gt;&lt;wsp:rsid wsp:val=&quot;004D5FD4&quot;/&gt;&lt;wsp:rsid wsp:val=&quot;004D6295&quot;/&gt;&lt;wsp:rsid wsp:val=&quot;004D67A6&quot;/&gt;&lt;wsp:rsid wsp:val=&quot;004D77DE&quot;/&gt;&lt;wsp:rsid wsp:val=&quot;004D77FD&quot;/&gt;&lt;wsp:rsid wsp:val=&quot;004D7C39&quot;/&gt;&lt;wsp:rsid wsp:val=&quot;004D7C90&quot;/&gt;&lt;wsp:rsid wsp:val=&quot;004E0426&quot;/&gt;&lt;wsp:rsid wsp:val=&quot;004E05BD&quot;/&gt;&lt;wsp:rsid wsp:val=&quot;004E083A&quot;/&gt;&lt;wsp:rsid wsp:val=&quot;004E0C40&quot;/&gt;&lt;wsp:rsid wsp:val=&quot;004E0DE8&quot;/&gt;&lt;wsp:rsid wsp:val=&quot;004E0F77&quot;/&gt;&lt;wsp:rsid wsp:val=&quot;004E0FF8&quot;/&gt;&lt;wsp:rsid wsp:val=&quot;004E1812&quot;/&gt;&lt;wsp:rsid wsp:val=&quot;004E23F3&quot;/&gt;&lt;wsp:rsid wsp:val=&quot;004E2C7E&quot;/&gt;&lt;wsp:rsid wsp:val=&quot;004E2D66&quot;/&gt;&lt;wsp:rsid wsp:val=&quot;004E2E3E&quot;/&gt;&lt;wsp:rsid wsp:val=&quot;004E335C&quot;/&gt;&lt;wsp:rsid wsp:val=&quot;004E3A87&quot;/&gt;&lt;wsp:rsid wsp:val=&quot;004E3B92&quot;/&gt;&lt;wsp:rsid wsp:val=&quot;004E3D74&quot;/&gt;&lt;wsp:rsid wsp:val=&quot;004E3DDC&quot;/&gt;&lt;wsp:rsid wsp:val=&quot;004E3E91&quot;/&gt;&lt;wsp:rsid wsp:val=&quot;004E4004&quot;/&gt;&lt;wsp:rsid wsp:val=&quot;004E42DB&quot;/&gt;&lt;wsp:rsid wsp:val=&quot;004E43EC&quot;/&gt;&lt;wsp:rsid wsp:val=&quot;004E499A&quot;/&gt;&lt;wsp:rsid wsp:val=&quot;004E4CBB&quot;/&gt;&lt;wsp:rsid wsp:val=&quot;004E4D99&quot;/&gt;&lt;wsp:rsid wsp:val=&quot;004E53BC&quot;/&gt;&lt;wsp:rsid wsp:val=&quot;004E5962&quot;/&gt;&lt;wsp:rsid wsp:val=&quot;004E599D&quot;/&gt;&lt;wsp:rsid wsp:val=&quot;004E59C9&quot;/&gt;&lt;wsp:rsid wsp:val=&quot;004E5BD3&quot;/&gt;&lt;wsp:rsid wsp:val=&quot;004E5D2E&quot;/&gt;&lt;wsp:rsid wsp:val=&quot;004E6536&quot;/&gt;&lt;wsp:rsid wsp:val=&quot;004E6641&quot;/&gt;&lt;wsp:rsid wsp:val=&quot;004E73C7&quot;/&gt;&lt;wsp:rsid wsp:val=&quot;004E7C33&quot;/&gt;&lt;wsp:rsid wsp:val=&quot;004E7D31&quot;/&gt;&lt;wsp:rsid wsp:val=&quot;004F06A5&quot;/&gt;&lt;wsp:rsid wsp:val=&quot;004F079A&quot;/&gt;&lt;wsp:rsid wsp:val=&quot;004F0CB5&quot;/&gt;&lt;wsp:rsid wsp:val=&quot;004F0D68&quot;/&gt;&lt;wsp:rsid wsp:val=&quot;004F0FA8&quot;/&gt;&lt;wsp:rsid wsp:val=&quot;004F1289&quot;/&gt;&lt;wsp:rsid wsp:val=&quot;004F12F9&quot;/&gt;&lt;wsp:rsid wsp:val=&quot;004F13D4&quot;/&gt;&lt;wsp:rsid wsp:val=&quot;004F1476&quot;/&gt;&lt;wsp:rsid wsp:val=&quot;004F1559&quot;/&gt;&lt;wsp:rsid wsp:val=&quot;004F185C&quot;/&gt;&lt;wsp:rsid wsp:val=&quot;004F1E33&quot;/&gt;&lt;wsp:rsid wsp:val=&quot;004F1F62&quot;/&gt;&lt;wsp:rsid wsp:val=&quot;004F2016&quot;/&gt;&lt;wsp:rsid wsp:val=&quot;004F21E8&quot;/&gt;&lt;wsp:rsid wsp:val=&quot;004F2253&quot;/&gt;&lt;wsp:rsid wsp:val=&quot;004F2456&quot;/&gt;&lt;wsp:rsid wsp:val=&quot;004F2B1A&quot;/&gt;&lt;wsp:rsid wsp:val=&quot;004F2C0A&quot;/&gt;&lt;wsp:rsid wsp:val=&quot;004F2CEB&quot;/&gt;&lt;wsp:rsid wsp:val=&quot;004F2E19&quot;/&gt;&lt;wsp:rsid wsp:val=&quot;004F2F6E&quot;/&gt;&lt;wsp:rsid wsp:val=&quot;004F3332&quot;/&gt;&lt;wsp:rsid wsp:val=&quot;004F35E4&quot;/&gt;&lt;wsp:rsid wsp:val=&quot;004F37F2&quot;/&gt;&lt;wsp:rsid wsp:val=&quot;004F3BD5&quot;/&gt;&lt;wsp:rsid wsp:val=&quot;004F3DF1&quot;/&gt;&lt;wsp:rsid wsp:val=&quot;004F3E04&quot;/&gt;&lt;wsp:rsid wsp:val=&quot;004F3EA2&quot;/&gt;&lt;wsp:rsid wsp:val=&quot;004F4149&quot;/&gt;&lt;wsp:rsid wsp:val=&quot;004F459E&quot;/&gt;&lt;wsp:rsid wsp:val=&quot;004F48F8&quot;/&gt;&lt;wsp:rsid wsp:val=&quot;004F493C&quot;/&gt;&lt;wsp:rsid wsp:val=&quot;004F499C&quot;/&gt;&lt;wsp:rsid wsp:val=&quot;004F49A5&quot;/&gt;&lt;wsp:rsid wsp:val=&quot;004F49BE&quot;/&gt;&lt;wsp:rsid wsp:val=&quot;004F4AD3&quot;/&gt;&lt;wsp:rsid wsp:val=&quot;004F4C62&quot;/&gt;&lt;wsp:rsid wsp:val=&quot;004F4E5C&quot;/&gt;&lt;wsp:rsid wsp:val=&quot;004F4FE3&quot;/&gt;&lt;wsp:rsid wsp:val=&quot;004F50D5&quot;/&gt;&lt;wsp:rsid wsp:val=&quot;004F558C&quot;/&gt;&lt;wsp:rsid wsp:val=&quot;004F570C&quot;/&gt;&lt;wsp:rsid wsp:val=&quot;004F5743&quot;/&gt;&lt;wsp:rsid wsp:val=&quot;004F584B&quot;/&gt;&lt;wsp:rsid wsp:val=&quot;004F5EA8&quot;/&gt;&lt;wsp:rsid wsp:val=&quot;004F5F4E&quot;/&gt;&lt;wsp:rsid wsp:val=&quot;004F610E&quot;/&gt;&lt;wsp:rsid wsp:val=&quot;004F614C&quot;/&gt;&lt;wsp:rsid wsp:val=&quot;004F640C&quot;/&gt;&lt;wsp:rsid wsp:val=&quot;004F648F&quot;/&gt;&lt;wsp:rsid wsp:val=&quot;004F661A&quot;/&gt;&lt;wsp:rsid wsp:val=&quot;004F66B1&quot;/&gt;&lt;wsp:rsid wsp:val=&quot;004F6921&quot;/&gt;&lt;wsp:rsid wsp:val=&quot;004F6A7F&quot;/&gt;&lt;wsp:rsid wsp:val=&quot;004F7E50&quot;/&gt;&lt;wsp:rsid wsp:val=&quot;00500024&quot;/&gt;&lt;wsp:rsid wsp:val=&quot;00500107&quot;/&gt;&lt;wsp:rsid wsp:val=&quot;005009D2&quot;/&gt;&lt;wsp:rsid wsp:val=&quot;00500BD8&quot;/&gt;&lt;wsp:rsid wsp:val=&quot;00501096&quot;/&gt;&lt;wsp:rsid wsp:val=&quot;00501673&quot;/&gt;&lt;wsp:rsid wsp:val=&quot;00501987&quot;/&gt;&lt;wsp:rsid wsp:val=&quot;00501B01&quot;/&gt;&lt;wsp:rsid wsp:val=&quot;00501DCB&quot;/&gt;&lt;wsp:rsid wsp:val=&quot;00502AD0&quot;/&gt;&lt;wsp:rsid wsp:val=&quot;00502BB3&quot;/&gt;&lt;wsp:rsid wsp:val=&quot;00502C3F&quot;/&gt;&lt;wsp:rsid wsp:val=&quot;005035A1&quot;/&gt;&lt;wsp:rsid wsp:val=&quot;00503842&quot;/&gt;&lt;wsp:rsid wsp:val=&quot;005044D5&quot;/&gt;&lt;wsp:rsid wsp:val=&quot;00504A51&quot;/&gt;&lt;wsp:rsid wsp:val=&quot;005051ED&quot;/&gt;&lt;wsp:rsid wsp:val=&quot;00505FBE&quot;/&gt;&lt;wsp:rsid wsp:val=&quot;00506378&quot;/&gt;&lt;wsp:rsid wsp:val=&quot;00506592&quot;/&gt;&lt;wsp:rsid wsp:val=&quot;00506747&quot;/&gt;&lt;wsp:rsid wsp:val=&quot;0050687B&quot;/&gt;&lt;wsp:rsid wsp:val=&quot;005069F5&quot;/&gt;&lt;wsp:rsid wsp:val=&quot;00506FD2&quot;/&gt;&lt;wsp:rsid wsp:val=&quot;00507179&quot;/&gt;&lt;wsp:rsid wsp:val=&quot;005072F6&quot;/&gt;&lt;wsp:rsid wsp:val=&quot;00507381&quot;/&gt;&lt;wsp:rsid wsp:val=&quot;0050773C&quot;/&gt;&lt;wsp:rsid wsp:val=&quot;00507779&quot;/&gt;&lt;wsp:rsid wsp:val=&quot;00507D35&quot;/&gt;&lt;wsp:rsid wsp:val=&quot;00507F4E&quot;/&gt;&lt;wsp:rsid wsp:val=&quot;00507F57&quot;/&gt;&lt;wsp:rsid wsp:val=&quot;00510163&quot;/&gt;&lt;wsp:rsid wsp:val=&quot;00510930&quot;/&gt;&lt;wsp:rsid wsp:val=&quot;00510E58&quot;/&gt;&lt;wsp:rsid wsp:val=&quot;00511235&quot;/&gt;&lt;wsp:rsid wsp:val=&quot;00511361&quot;/&gt;&lt;wsp:rsid wsp:val=&quot;00511736&quot;/&gt;&lt;wsp:rsid wsp:val=&quot;0051182C&quot;/&gt;&lt;wsp:rsid wsp:val=&quot;0051189B&quot;/&gt;&lt;wsp:rsid wsp:val=&quot;00512066&quot;/&gt;&lt;wsp:rsid wsp:val=&quot;005120DF&quot;/&gt;&lt;wsp:rsid wsp:val=&quot;0051292A&quot;/&gt;&lt;wsp:rsid wsp:val=&quot;00513042&quot;/&gt;&lt;wsp:rsid wsp:val=&quot;00513388&quot;/&gt;&lt;wsp:rsid wsp:val=&quot;0051363C&quot;/&gt;&lt;wsp:rsid wsp:val=&quot;0051372D&quot;/&gt;&lt;wsp:rsid wsp:val=&quot;0051374C&quot;/&gt;&lt;wsp:rsid wsp:val=&quot;00513BE8&quot;/&gt;&lt;wsp:rsid wsp:val=&quot;00513C79&quot;/&gt;&lt;wsp:rsid wsp:val=&quot;00513DBA&quot;/&gt;&lt;wsp:rsid wsp:val=&quot;00514228&quot;/&gt;&lt;wsp:rsid wsp:val=&quot;00514E5D&quot;/&gt;&lt;wsp:rsid wsp:val=&quot;005151F6&quot;/&gt;&lt;wsp:rsid wsp:val=&quot;005154BA&quot;/&gt;&lt;wsp:rsid wsp:val=&quot;00515673&quot;/&gt;&lt;wsp:rsid wsp:val=&quot;005158CD&quot;/&gt;&lt;wsp:rsid wsp:val=&quot;00515A5C&quot;/&gt;&lt;wsp:rsid wsp:val=&quot;00516006&quot;/&gt;&lt;wsp:rsid wsp:val=&quot;0051654E&quot;/&gt;&lt;wsp:rsid wsp:val=&quot;00516F54&quot;/&gt;&lt;wsp:rsid wsp:val=&quot;00516FB9&quot;/&gt;&lt;wsp:rsid wsp:val=&quot;00517056&quot;/&gt;&lt;wsp:rsid wsp:val=&quot;0051738D&quot;/&gt;&lt;wsp:rsid wsp:val=&quot;005177AA&quot;/&gt;&lt;wsp:rsid wsp:val=&quot;00517F51&quot;/&gt;&lt;wsp:rsid wsp:val=&quot;00520168&quot;/&gt;&lt;wsp:rsid wsp:val=&quot;00520389&quot;/&gt;&lt;wsp:rsid wsp:val=&quot;005205D4&quot;/&gt;&lt;wsp:rsid wsp:val=&quot;00520884&quot;/&gt;&lt;wsp:rsid wsp:val=&quot;00520F1C&quot;/&gt;&lt;wsp:rsid wsp:val=&quot;005212C4&quot;/&gt;&lt;wsp:rsid wsp:val=&quot;0052132B&quot;/&gt;&lt;wsp:rsid wsp:val=&quot;005217F1&quot;/&gt;&lt;wsp:rsid wsp:val=&quot;00521DC4&quot;/&gt;&lt;wsp:rsid wsp:val=&quot;00521EC4&quot;/&gt;&lt;wsp:rsid wsp:val=&quot;0052253C&quot;/&gt;&lt;wsp:rsid wsp:val=&quot;00522688&quot;/&gt;&lt;wsp:rsid wsp:val=&quot;00522804&quot;/&gt;&lt;wsp:rsid wsp:val=&quot;00522A82&quot;/&gt;&lt;wsp:rsid wsp:val=&quot;00522FB4&quot;/&gt;&lt;wsp:rsid wsp:val=&quot;00523487&quot;/&gt;&lt;wsp:rsid wsp:val=&quot;005238EC&quot;/&gt;&lt;wsp:rsid wsp:val=&quot;00523D71&quot;/&gt;&lt;wsp:rsid wsp:val=&quot;00523DA4&quot;/&gt;&lt;wsp:rsid wsp:val=&quot;00523EED&quot;/&gt;&lt;wsp:rsid wsp:val=&quot;00523FBF&quot;/&gt;&lt;wsp:rsid wsp:val=&quot;0052442B&quot;/&gt;&lt;wsp:rsid wsp:val=&quot;005245AE&quot;/&gt;&lt;wsp:rsid wsp:val=&quot;005245C6&quot;/&gt;&lt;wsp:rsid wsp:val=&quot;0052478D&quot;/&gt;&lt;wsp:rsid wsp:val=&quot;005247D8&quot;/&gt;&lt;wsp:rsid wsp:val=&quot;00524D49&quot;/&gt;&lt;wsp:rsid wsp:val=&quot;005254BF&quot;/&gt;&lt;wsp:rsid wsp:val=&quot;005255AF&quot;/&gt;&lt;wsp:rsid wsp:val=&quot;00525B54&quot;/&gt;&lt;wsp:rsid wsp:val=&quot;00525E90&quot;/&gt;&lt;wsp:rsid wsp:val=&quot;00525FFB&quot;/&gt;&lt;wsp:rsid wsp:val=&quot;005260A9&quot;/&gt;&lt;wsp:rsid wsp:val=&quot;00526109&quot;/&gt;&lt;wsp:rsid wsp:val=&quot;00526E53&quot;/&gt;&lt;wsp:rsid wsp:val=&quot;00526EDD&quot;/&gt;&lt;wsp:rsid wsp:val=&quot;0052703E&quot;/&gt;&lt;wsp:rsid wsp:val=&quot;00527289&quot;/&gt;&lt;wsp:rsid wsp:val=&quot;00527CBA&quot;/&gt;&lt;wsp:rsid wsp:val=&quot;00530412&quot;/&gt;&lt;wsp:rsid wsp:val=&quot;005308A3&quot;/&gt;&lt;wsp:rsid wsp:val=&quot;00530BAD&quot;/&gt;&lt;wsp:rsid wsp:val=&quot;00530D07&quot;/&gt;&lt;wsp:rsid wsp:val=&quot;005314D2&quot;/&gt;&lt;wsp:rsid wsp:val=&quot;00531A24&quot;/&gt;&lt;wsp:rsid wsp:val=&quot;00532160&quot;/&gt;&lt;wsp:rsid wsp:val=&quot;0053238B&quot;/&gt;&lt;wsp:rsid wsp:val=&quot;00532486&quot;/&gt;&lt;wsp:rsid wsp:val=&quot;005324E5&quot;/&gt;&lt;wsp:rsid wsp:val=&quot;005329A8&quot;/&gt;&lt;wsp:rsid wsp:val=&quot;00532B2A&quot;/&gt;&lt;wsp:rsid wsp:val=&quot;00532F0D&quot;/&gt;&lt;wsp:rsid wsp:val=&quot;0053335A&quot;/&gt;&lt;wsp:rsid wsp:val=&quot;005335C8&quot;/&gt;&lt;wsp:rsid wsp:val=&quot;00533850&quot;/&gt;&lt;wsp:rsid wsp:val=&quot;00533D2B&quot;/&gt;&lt;wsp:rsid wsp:val=&quot;00533E8C&quot;/&gt;&lt;wsp:rsid wsp:val=&quot;00533F94&quot;/&gt;&lt;wsp:rsid wsp:val=&quot;0053419B&quot;/&gt;&lt;wsp:rsid wsp:val=&quot;005348E7&quot;/&gt;&lt;wsp:rsid wsp:val=&quot;00534921&quot;/&gt;&lt;wsp:rsid wsp:val=&quot;00535204&quot;/&gt;&lt;wsp:rsid wsp:val=&quot;00535364&quot;/&gt;&lt;wsp:rsid wsp:val=&quot;00535D15&quot;/&gt;&lt;wsp:rsid wsp:val=&quot;00535E04&quot;/&gt;&lt;wsp:rsid wsp:val=&quot;005367F3&quot;/&gt;&lt;wsp:rsid wsp:val=&quot;005369FC&quot;/&gt;&lt;wsp:rsid wsp:val=&quot;00536BEA&quot;/&gt;&lt;wsp:rsid wsp:val=&quot;0053739E&quot;/&gt;&lt;wsp:rsid wsp:val=&quot;00537593&quot;/&gt;&lt;wsp:rsid wsp:val=&quot;005376AC&quot;/&gt;&lt;wsp:rsid wsp:val=&quot;00537A5E&quot;/&gt;&lt;wsp:rsid wsp:val=&quot;005401B7&quot;/&gt;&lt;wsp:rsid wsp:val=&quot;00540586&quot;/&gt;&lt;wsp:rsid wsp:val=&quot;00540626&quot;/&gt;&lt;wsp:rsid wsp:val=&quot;00540BBF&quot;/&gt;&lt;wsp:rsid wsp:val=&quot;00540BE8&quot;/&gt;&lt;wsp:rsid wsp:val=&quot;00540CAE&quot;/&gt;&lt;wsp:rsid wsp:val=&quot;00541043&quot;/&gt;&lt;wsp:rsid wsp:val=&quot;00541503&quot;/&gt;&lt;wsp:rsid wsp:val=&quot;00541761&quot;/&gt;&lt;wsp:rsid wsp:val=&quot;00542050&quot;/&gt;&lt;wsp:rsid wsp:val=&quot;00542548&quot;/&gt;&lt;wsp:rsid wsp:val=&quot;00542876&quot;/&gt;&lt;wsp:rsid wsp:val=&quot;00542B60&quot;/&gt;&lt;wsp:rsid wsp:val=&quot;00542BD8&quot;/&gt;&lt;wsp:rsid wsp:val=&quot;00542D44&quot;/&gt;&lt;wsp:rsid wsp:val=&quot;00542E9C&quot;/&gt;&lt;wsp:rsid wsp:val=&quot;00543459&quot;/&gt;&lt;wsp:rsid wsp:val=&quot;00543D53&quot;/&gt;&lt;wsp:rsid wsp:val=&quot;00544120&quot;/&gt;&lt;wsp:rsid wsp:val=&quot;00544895&quot;/&gt;&lt;wsp:rsid wsp:val=&quot;005449D5&quot;/&gt;&lt;wsp:rsid wsp:val=&quot;00545012&quot;/&gt;&lt;wsp:rsid wsp:val=&quot;005454FC&quot;/&gt;&lt;wsp:rsid wsp:val=&quot;0054566F&quot;/&gt;&lt;wsp:rsid wsp:val=&quot;00545D06&quot;/&gt;&lt;wsp:rsid wsp:val=&quot;005463E8&quot;/&gt;&lt;wsp:rsid wsp:val=&quot;0054694F&quot;/&gt;&lt;wsp:rsid wsp:val=&quot;0054697A&quot;/&gt;&lt;wsp:rsid wsp:val=&quot;00546AFD&quot;/&gt;&lt;wsp:rsid wsp:val=&quot;005470B2&quot;/&gt;&lt;wsp:rsid wsp:val=&quot;005470DB&quot;/&gt;&lt;wsp:rsid wsp:val=&quot;00547106&quot;/&gt;&lt;wsp:rsid wsp:val=&quot;00547118&quot;/&gt;&lt;wsp:rsid wsp:val=&quot;00547431&quot;/&gt;&lt;wsp:rsid wsp:val=&quot;00550205&quot;/&gt;&lt;wsp:rsid wsp:val=&quot;005505DC&quot;/&gt;&lt;wsp:rsid wsp:val=&quot;0055192F&quot;/&gt;&lt;wsp:rsid wsp:val=&quot;00551A6E&quot;/&gt;&lt;wsp:rsid wsp:val=&quot;00551D09&quot;/&gt;&lt;wsp:rsid wsp:val=&quot;00552BB8&quot;/&gt;&lt;wsp:rsid wsp:val=&quot;0055306C&quot;/&gt;&lt;wsp:rsid wsp:val=&quot;00553144&quot;/&gt;&lt;wsp:rsid wsp:val=&quot;0055338B&quot;/&gt;&lt;wsp:rsid wsp:val=&quot;00553604&quot;/&gt;&lt;wsp:rsid wsp:val=&quot;0055385F&quot;/&gt;&lt;wsp:rsid wsp:val=&quot;005538D9&quot;/&gt;&lt;wsp:rsid wsp:val=&quot;00553D3E&quot;/&gt;&lt;wsp:rsid wsp:val=&quot;00553EE3&quot;/&gt;&lt;wsp:rsid wsp:val=&quot;00554580&quot;/&gt;&lt;wsp:rsid wsp:val=&quot;00555624&quot;/&gt;&lt;wsp:rsid wsp:val=&quot;00555778&quot;/&gt;&lt;wsp:rsid wsp:val=&quot;00555EC6&quot;/&gt;&lt;wsp:rsid wsp:val=&quot;00555F65&quot;/&gt;&lt;wsp:rsid wsp:val=&quot;00555F66&quot;/&gt;&lt;wsp:rsid wsp:val=&quot;0055620C&quot;/&gt;&lt;wsp:rsid wsp:val=&quot;005568E2&quot;/&gt;&lt;wsp:rsid wsp:val=&quot;0055690E&quot;/&gt;&lt;wsp:rsid wsp:val=&quot;00556A1F&quot;/&gt;&lt;wsp:rsid wsp:val=&quot;00556F2D&quot;/&gt;&lt;wsp:rsid wsp:val=&quot;00557440&quot;/&gt;&lt;wsp:rsid wsp:val=&quot;0055764E&quot;/&gt;&lt;wsp:rsid wsp:val=&quot;0055768F&quot;/&gt;&lt;wsp:rsid wsp:val=&quot;005576C2&quot;/&gt;&lt;wsp:rsid wsp:val=&quot;00557B28&quot;/&gt;&lt;wsp:rsid wsp:val=&quot;00557C49&quot;/&gt;&lt;wsp:rsid wsp:val=&quot;0056031D&quot;/&gt;&lt;wsp:rsid wsp:val=&quot;00560FA8&quot;/&gt;&lt;wsp:rsid wsp:val=&quot;005613BC&quot;/&gt;&lt;wsp:rsid wsp:val=&quot;005615A8&quot;/&gt;&lt;wsp:rsid wsp:val=&quot;00561679&quot;/&gt;&lt;wsp:rsid wsp:val=&quot;00561A9F&quot;/&gt;&lt;wsp:rsid wsp:val=&quot;00561DED&quot;/&gt;&lt;wsp:rsid wsp:val=&quot;0056207D&quot;/&gt;&lt;wsp:rsid wsp:val=&quot;00562272&quot;/&gt;&lt;wsp:rsid wsp:val=&quot;00562A2D&quot;/&gt;&lt;wsp:rsid wsp:val=&quot;00562DC4&quot;/&gt;&lt;wsp:rsid wsp:val=&quot;005636B1&quot;/&gt;&lt;wsp:rsid wsp:val=&quot;0056395C&quot;/&gt;&lt;wsp:rsid wsp:val=&quot;00565155&quot;/&gt;&lt;wsp:rsid wsp:val=&quot;00565317&quot;/&gt;&lt;wsp:rsid wsp:val=&quot;00565367&quot;/&gt;&lt;wsp:rsid wsp:val=&quot;00566368&quot;/&gt;&lt;wsp:rsid wsp:val=&quot;005672F9&quot;/&gt;&lt;wsp:rsid wsp:val=&quot;00567EE4&quot;/&gt;&lt;wsp:rsid wsp:val=&quot;00570032&quot;/&gt;&lt;wsp:rsid wsp:val=&quot;0057047D&quot;/&gt;&lt;wsp:rsid wsp:val=&quot;0057049E&quot;/&gt;&lt;wsp:rsid wsp:val=&quot;00570564&quot;/&gt;&lt;wsp:rsid wsp:val=&quot;00570605&quot;/&gt;&lt;wsp:rsid wsp:val=&quot;005708EC&quot;/&gt;&lt;wsp:rsid wsp:val=&quot;00570F63&quot;/&gt;&lt;wsp:rsid wsp:val=&quot;00571270&quot;/&gt;&lt;wsp:rsid wsp:val=&quot;005713CC&quot;/&gt;&lt;wsp:rsid wsp:val=&quot;00571754&quot;/&gt;&lt;wsp:rsid wsp:val=&quot;0057188B&quot;/&gt;&lt;wsp:rsid wsp:val=&quot;00571BC6&quot;/&gt;&lt;wsp:rsid wsp:val=&quot;00571D1F&quot;/&gt;&lt;wsp:rsid wsp:val=&quot;00571D7A&quot;/&gt;&lt;wsp:rsid wsp:val=&quot;00571E3F&quot;/&gt;&lt;wsp:rsid wsp:val=&quot;00571E5F&quot;/&gt;&lt;wsp:rsid wsp:val=&quot;00571F49&quot;/&gt;&lt;wsp:rsid wsp:val=&quot;00572056&quot;/&gt;&lt;wsp:rsid wsp:val=&quot;005723B6&quot;/&gt;&lt;wsp:rsid wsp:val=&quot;00572832&quot;/&gt;&lt;wsp:rsid wsp:val=&quot;00572B81&quot;/&gt;&lt;wsp:rsid wsp:val=&quot;00572F15&quot;/&gt;&lt;wsp:rsid wsp:val=&quot;00573188&quot;/&gt;&lt;wsp:rsid wsp:val=&quot;005732BD&quot;/&gt;&lt;wsp:rsid wsp:val=&quot;005732EA&quot;/&gt;&lt;wsp:rsid wsp:val=&quot;00573331&quot;/&gt;&lt;wsp:rsid wsp:val=&quot;005739FB&quot;/&gt;&lt;wsp:rsid wsp:val=&quot;00573B41&quot;/&gt;&lt;wsp:rsid wsp:val=&quot;00573F1A&quot;/&gt;&lt;wsp:rsid wsp:val=&quot;005745F8&quot;/&gt;&lt;wsp:rsid wsp:val=&quot;0057470C&quot;/&gt;&lt;wsp:rsid wsp:val=&quot;00574866&quot;/&gt;&lt;wsp:rsid wsp:val=&quot;00574B0F&quot;/&gt;&lt;wsp:rsid wsp:val=&quot;00574EE5&quot;/&gt;&lt;wsp:rsid wsp:val=&quot;0057658C&quot;/&gt;&lt;wsp:rsid wsp:val=&quot;00576ACB&quot;/&gt;&lt;wsp:rsid wsp:val=&quot;00576BF4&quot;/&gt;&lt;wsp:rsid wsp:val=&quot;00576E03&quot;/&gt;&lt;wsp:rsid wsp:val=&quot;005770F1&quot;/&gt;&lt;wsp:rsid wsp:val=&quot;0057714E&quot;/&gt;&lt;wsp:rsid wsp:val=&quot;00577559&quot;/&gt;&lt;wsp:rsid wsp:val=&quot;00577699&quot;/&gt;&lt;wsp:rsid wsp:val=&quot;00577EBD&quot;/&gt;&lt;wsp:rsid wsp:val=&quot;00577F10&quot;/&gt;&lt;wsp:rsid wsp:val=&quot;00580790&quot;/&gt;&lt;wsp:rsid wsp:val=&quot;00581446&quot;/&gt;&lt;wsp:rsid wsp:val=&quot;00581A52&quot;/&gt;&lt;wsp:rsid wsp:val=&quot;00581B3D&quot;/&gt;&lt;wsp:rsid wsp:val=&quot;00581EC4&quot;/&gt;&lt;wsp:rsid wsp:val=&quot;00582109&quot;/&gt;&lt;wsp:rsid wsp:val=&quot;00582153&quot;/&gt;&lt;wsp:rsid wsp:val=&quot;005824B7&quot;/&gt;&lt;wsp:rsid wsp:val=&quot;00582F4D&quot;/&gt;&lt;wsp:rsid wsp:val=&quot;00582FF3&quot;/&gt;&lt;wsp:rsid wsp:val=&quot;00583296&quot;/&gt;&lt;wsp:rsid wsp:val=&quot;0058336C&quot;/&gt;&lt;wsp:rsid wsp:val=&quot;005839B5&quot;/&gt;&lt;wsp:rsid wsp:val=&quot;005839C0&quot;/&gt;&lt;wsp:rsid wsp:val=&quot;00583C7E&quot;/&gt;&lt;wsp:rsid wsp:val=&quot;005842BF&quot;/&gt;&lt;wsp:rsid wsp:val=&quot;005845BE&quot;/&gt;&lt;wsp:rsid wsp:val=&quot;005847DF&quot;/&gt;&lt;wsp:rsid wsp:val=&quot;00584A10&quot;/&gt;&lt;wsp:rsid wsp:val=&quot;00584EB7&quot;/&gt;&lt;wsp:rsid wsp:val=&quot;0058558C&quot;/&gt;&lt;wsp:rsid wsp:val=&quot;00585592&quot;/&gt;&lt;wsp:rsid wsp:val=&quot;005868A0&quot;/&gt;&lt;wsp:rsid wsp:val=&quot;00586A23&quot;/&gt;&lt;wsp:rsid wsp:val=&quot;0058793B&quot;/&gt;&lt;wsp:rsid wsp:val=&quot;0059029B&quot;/&gt;&lt;wsp:rsid wsp:val=&quot;005902CD&quot;/&gt;&lt;wsp:rsid wsp:val=&quot;00590911&quot;/&gt;&lt;wsp:rsid wsp:val=&quot;00590AE1&quot;/&gt;&lt;wsp:rsid wsp:val=&quot;00590BAF&quot;/&gt;&lt;wsp:rsid wsp:val=&quot;00590BB7&quot;/&gt;&lt;wsp:rsid wsp:val=&quot;00590E01&quot;/&gt;&lt;wsp:rsid wsp:val=&quot;00591205&quot;/&gt;&lt;wsp:rsid wsp:val=&quot;005912F3&quot;/&gt;&lt;wsp:rsid wsp:val=&quot;005916F8&quot;/&gt;&lt;wsp:rsid wsp:val=&quot;005919FD&quot;/&gt;&lt;wsp:rsid wsp:val=&quot;00591DF6&quot;/&gt;&lt;wsp:rsid wsp:val=&quot;00591DFA&quot;/&gt;&lt;wsp:rsid wsp:val=&quot;00591F1A&quot;/&gt;&lt;wsp:rsid wsp:val=&quot;00591F7F&quot;/&gt;&lt;wsp:rsid wsp:val=&quot;00592164&quot;/&gt;&lt;wsp:rsid wsp:val=&quot;00592648&quot;/&gt;&lt;wsp:rsid wsp:val=&quot;005926E1&quot;/&gt;&lt;wsp:rsid wsp:val=&quot;005928D4&quot;/&gt;&lt;wsp:rsid wsp:val=&quot;00592A64&quot;/&gt;&lt;wsp:rsid wsp:val=&quot;00592AF3&quot;/&gt;&lt;wsp:rsid wsp:val=&quot;00592C7B&quot;/&gt;&lt;wsp:rsid wsp:val=&quot;00592DD6&quot;/&gt;&lt;wsp:rsid wsp:val=&quot;00592E26&quot;/&gt;&lt;wsp:rsid wsp:val=&quot;00593031&quot;/&gt;&lt;wsp:rsid wsp:val=&quot;005931B9&quot;/&gt;&lt;wsp:rsid wsp:val=&quot;00593609&quot;/&gt;&lt;wsp:rsid wsp:val=&quot;00593CE8&quot;/&gt;&lt;wsp:rsid wsp:val=&quot;00593CE9&quot;/&gt;&lt;wsp:rsid wsp:val=&quot;00593F69&quot;/&gt;&lt;wsp:rsid wsp:val=&quot;00594110&quot;/&gt;&lt;wsp:rsid wsp:val=&quot;00594273&quot;/&gt;&lt;wsp:rsid wsp:val=&quot;00594372&quot;/&gt;&lt;wsp:rsid wsp:val=&quot;00594667&quot;/&gt;&lt;wsp:rsid wsp:val=&quot;00594EBD&quot;/&gt;&lt;wsp:rsid wsp:val=&quot;00595156&quot;/&gt;&lt;wsp:rsid wsp:val=&quot;00595C16&quot;/&gt;&lt;wsp:rsid wsp:val=&quot;00595D5A&quot;/&gt;&lt;wsp:rsid wsp:val=&quot;005963B3&quot;/&gt;&lt;wsp:rsid wsp:val=&quot;0059688E&quot;/&gt;&lt;wsp:rsid wsp:val=&quot;005969ED&quot;/&gt;&lt;wsp:rsid wsp:val=&quot;00596DF9&quot;/&gt;&lt;wsp:rsid wsp:val=&quot;00596E70&quot;/&gt;&lt;wsp:rsid wsp:val=&quot;00597124&quot;/&gt;&lt;wsp:rsid wsp:val=&quot;0059756C&quot;/&gt;&lt;wsp:rsid wsp:val=&quot;00597690&quot;/&gt;&lt;wsp:rsid wsp:val=&quot;005A0231&quot;/&gt;&lt;wsp:rsid wsp:val=&quot;005A0669&quot;/&gt;&lt;wsp:rsid wsp:val=&quot;005A0966&quot;/&gt;&lt;wsp:rsid wsp:val=&quot;005A0A0D&quot;/&gt;&lt;wsp:rsid wsp:val=&quot;005A14E9&quot;/&gt;&lt;wsp:rsid wsp:val=&quot;005A1829&quot;/&gt;&lt;wsp:rsid wsp:val=&quot;005A18BC&quot;/&gt;&lt;wsp:rsid wsp:val=&quot;005A2506&quot;/&gt;&lt;wsp:rsid wsp:val=&quot;005A2BCA&quot;/&gt;&lt;wsp:rsid wsp:val=&quot;005A2CAD&quot;/&gt;&lt;wsp:rsid wsp:val=&quot;005A3105&quot;/&gt;&lt;wsp:rsid wsp:val=&quot;005A33B6&quot;/&gt;&lt;wsp:rsid wsp:val=&quot;005A3C70&quot;/&gt;&lt;wsp:rsid wsp:val=&quot;005A3F1B&quot;/&gt;&lt;wsp:rsid wsp:val=&quot;005A45C2&quot;/&gt;&lt;wsp:rsid wsp:val=&quot;005A47A2&quot;/&gt;&lt;wsp:rsid wsp:val=&quot;005A52A5&quot;/&gt;&lt;wsp:rsid wsp:val=&quot;005A5316&quot;/&gt;&lt;wsp:rsid wsp:val=&quot;005A5863&quot;/&gt;&lt;wsp:rsid wsp:val=&quot;005A5C8A&quot;/&gt;&lt;wsp:rsid wsp:val=&quot;005A5FB0&quot;/&gt;&lt;wsp:rsid wsp:val=&quot;005A620B&quot;/&gt;&lt;wsp:rsid wsp:val=&quot;005A6239&quot;/&gt;&lt;wsp:rsid wsp:val=&quot;005A6529&quot;/&gt;&lt;wsp:rsid wsp:val=&quot;005A6600&quot;/&gt;&lt;wsp:rsid wsp:val=&quot;005A6A04&quot;/&gt;&lt;wsp:rsid wsp:val=&quot;005A6CA1&quot;/&gt;&lt;wsp:rsid wsp:val=&quot;005A72AC&quot;/&gt;&lt;wsp:rsid wsp:val=&quot;005A750D&quot;/&gt;&lt;wsp:rsid wsp:val=&quot;005A75BA&quot;/&gt;&lt;wsp:rsid wsp:val=&quot;005A7D99&quot;/&gt;&lt;wsp:rsid wsp:val=&quot;005B013C&quot;/&gt;&lt;wsp:rsid wsp:val=&quot;005B04AD&quot;/&gt;&lt;wsp:rsid wsp:val=&quot;005B081D&quot;/&gt;&lt;wsp:rsid wsp:val=&quot;005B0EBE&quot;/&gt;&lt;wsp:rsid wsp:val=&quot;005B1086&quot;/&gt;&lt;wsp:rsid wsp:val=&quot;005B11F7&quot;/&gt;&lt;wsp:rsid wsp:val=&quot;005B131E&quot;/&gt;&lt;wsp:rsid wsp:val=&quot;005B183A&quot;/&gt;&lt;wsp:rsid wsp:val=&quot;005B185B&quot;/&gt;&lt;wsp:rsid wsp:val=&quot;005B1D53&quot;/&gt;&lt;wsp:rsid wsp:val=&quot;005B1F1D&quot;/&gt;&lt;wsp:rsid wsp:val=&quot;005B1FA9&quot;/&gt;&lt;wsp:rsid wsp:val=&quot;005B2143&quot;/&gt;&lt;wsp:rsid wsp:val=&quot;005B2191&quot;/&gt;&lt;wsp:rsid wsp:val=&quot;005B244A&quot;/&gt;&lt;wsp:rsid wsp:val=&quot;005B25ED&quot;/&gt;&lt;wsp:rsid wsp:val=&quot;005B320A&quot;/&gt;&lt;wsp:rsid wsp:val=&quot;005B3214&quot;/&gt;&lt;wsp:rsid wsp:val=&quot;005B3327&quot;/&gt;&lt;wsp:rsid wsp:val=&quot;005B397B&quot;/&gt;&lt;wsp:rsid wsp:val=&quot;005B3BE3&quot;/&gt;&lt;wsp:rsid wsp:val=&quot;005B4122&quot;/&gt;&lt;wsp:rsid wsp:val=&quot;005B413F&quot;/&gt;&lt;wsp:rsid wsp:val=&quot;005B42EB&quot;/&gt;&lt;wsp:rsid wsp:val=&quot;005B44E7&quot;/&gt;&lt;wsp:rsid wsp:val=&quot;005B45F3&quot;/&gt;&lt;wsp:rsid wsp:val=&quot;005B481E&quot;/&gt;&lt;wsp:rsid wsp:val=&quot;005B485C&quot;/&gt;&lt;wsp:rsid wsp:val=&quot;005B4892&quot;/&gt;&lt;wsp:rsid wsp:val=&quot;005B48F6&quot;/&gt;&lt;wsp:rsid wsp:val=&quot;005B4F08&quot;/&gt;&lt;wsp:rsid wsp:val=&quot;005B522C&quot;/&gt;&lt;wsp:rsid wsp:val=&quot;005B5589&quot;/&gt;&lt;wsp:rsid wsp:val=&quot;005B57A2&quot;/&gt;&lt;wsp:rsid wsp:val=&quot;005B5822&quot;/&gt;&lt;wsp:rsid wsp:val=&quot;005B5B8F&quot;/&gt;&lt;wsp:rsid wsp:val=&quot;005B5F9D&quot;/&gt;&lt;wsp:rsid wsp:val=&quot;005B673C&quot;/&gt;&lt;wsp:rsid wsp:val=&quot;005B6A0A&quot;/&gt;&lt;wsp:rsid wsp:val=&quot;005B74C4&quot;/&gt;&lt;wsp:rsid wsp:val=&quot;005B7A4F&quot;/&gt;&lt;wsp:rsid wsp:val=&quot;005B7C91&quot;/&gt;&lt;wsp:rsid wsp:val=&quot;005C02CF&quot;/&gt;&lt;wsp:rsid wsp:val=&quot;005C02DF&quot;/&gt;&lt;wsp:rsid wsp:val=&quot;005C03F6&quot;/&gt;&lt;wsp:rsid wsp:val=&quot;005C06D2&quot;/&gt;&lt;wsp:rsid wsp:val=&quot;005C08AC&quot;/&gt;&lt;wsp:rsid wsp:val=&quot;005C12D7&quot;/&gt;&lt;wsp:rsid wsp:val=&quot;005C19D6&quot;/&gt;&lt;wsp:rsid wsp:val=&quot;005C1C02&quot;/&gt;&lt;wsp:rsid wsp:val=&quot;005C1C1E&quot;/&gt;&lt;wsp:rsid wsp:val=&quot;005C2151&quot;/&gt;&lt;wsp:rsid wsp:val=&quot;005C21EE&quot;/&gt;&lt;wsp:rsid wsp:val=&quot;005C272C&quot;/&gt;&lt;wsp:rsid wsp:val=&quot;005C2C42&quot;/&gt;&lt;wsp:rsid wsp:val=&quot;005C2C5C&quot;/&gt;&lt;wsp:rsid wsp:val=&quot;005C2EEA&quot;/&gt;&lt;wsp:rsid wsp:val=&quot;005C34B1&quot;/&gt;&lt;wsp:rsid wsp:val=&quot;005C395F&quot;/&gt;&lt;wsp:rsid wsp:val=&quot;005C3978&quot;/&gt;&lt;wsp:rsid wsp:val=&quot;005C3E21&quot;/&gt;&lt;wsp:rsid wsp:val=&quot;005C4186&quot;/&gt;&lt;wsp:rsid wsp:val=&quot;005C435E&quot;/&gt;&lt;wsp:rsid wsp:val=&quot;005C44AC&quot;/&gt;&lt;wsp:rsid wsp:val=&quot;005C45C1&quot;/&gt;&lt;wsp:rsid wsp:val=&quot;005C45D9&quot;/&gt;&lt;wsp:rsid wsp:val=&quot;005C4930&quot;/&gt;&lt;wsp:rsid wsp:val=&quot;005C4978&quot;/&gt;&lt;wsp:rsid wsp:val=&quot;005C4A43&quot;/&gt;&lt;wsp:rsid wsp:val=&quot;005C4D7A&quot;/&gt;&lt;wsp:rsid wsp:val=&quot;005C50FB&quot;/&gt;&lt;wsp:rsid wsp:val=&quot;005C5659&quot;/&gt;&lt;wsp:rsid wsp:val=&quot;005C570F&quot;/&gt;&lt;wsp:rsid wsp:val=&quot;005C5BA8&quot;/&gt;&lt;wsp:rsid wsp:val=&quot;005C600D&quot;/&gt;&lt;wsp:rsid wsp:val=&quot;005C668A&quot;/&gt;&lt;wsp:rsid wsp:val=&quot;005C67B2&quot;/&gt;&lt;wsp:rsid wsp:val=&quot;005C6AB3&quot;/&gt;&lt;wsp:rsid wsp:val=&quot;005C6C39&quot;/&gt;&lt;wsp:rsid wsp:val=&quot;005C6D1C&quot;/&gt;&lt;wsp:rsid wsp:val=&quot;005C6F75&quot;/&gt;&lt;wsp:rsid wsp:val=&quot;005C7013&quot;/&gt;&lt;wsp:rsid wsp:val=&quot;005C712C&quot;/&gt;&lt;wsp:rsid wsp:val=&quot;005C773C&quot;/&gt;&lt;wsp:rsid wsp:val=&quot;005C789A&quot;/&gt;&lt;wsp:rsid wsp:val=&quot;005C7F12&quot;/&gt;&lt;wsp:rsid wsp:val=&quot;005C7F96&quot;/&gt;&lt;wsp:rsid wsp:val=&quot;005D00AC&quot;/&gt;&lt;wsp:rsid wsp:val=&quot;005D021A&quot;/&gt;&lt;wsp:rsid wsp:val=&quot;005D0682&quot;/&gt;&lt;wsp:rsid wsp:val=&quot;005D0A5B&quot;/&gt;&lt;wsp:rsid wsp:val=&quot;005D0AC2&quot;/&gt;&lt;wsp:rsid wsp:val=&quot;005D10A8&quot;/&gt;&lt;wsp:rsid wsp:val=&quot;005D11F2&quot;/&gt;&lt;wsp:rsid wsp:val=&quot;005D1643&quot;/&gt;&lt;wsp:rsid wsp:val=&quot;005D188E&quot;/&gt;&lt;wsp:rsid wsp:val=&quot;005D18E3&quot;/&gt;&lt;wsp:rsid wsp:val=&quot;005D1CB5&quot;/&gt;&lt;wsp:rsid wsp:val=&quot;005D22D8&quot;/&gt;&lt;wsp:rsid wsp:val=&quot;005D2741&quot;/&gt;&lt;wsp:rsid wsp:val=&quot;005D288B&quot;/&gt;&lt;wsp:rsid wsp:val=&quot;005D28B1&quot;/&gt;&lt;wsp:rsid wsp:val=&quot;005D291C&quot;/&gt;&lt;wsp:rsid wsp:val=&quot;005D2A30&quot;/&gt;&lt;wsp:rsid wsp:val=&quot;005D2B9F&quot;/&gt;&lt;wsp:rsid wsp:val=&quot;005D2F6C&quot;/&gt;&lt;wsp:rsid wsp:val=&quot;005D3491&quot;/&gt;&lt;wsp:rsid wsp:val=&quot;005D3C06&quot;/&gt;&lt;wsp:rsid wsp:val=&quot;005D3F4B&quot;/&gt;&lt;wsp:rsid wsp:val=&quot;005D41A4&quot;/&gt;&lt;wsp:rsid wsp:val=&quot;005D4AF4&quot;/&gt;&lt;wsp:rsid wsp:val=&quot;005D4B83&quot;/&gt;&lt;wsp:rsid wsp:val=&quot;005D4BAC&quot;/&gt;&lt;wsp:rsid wsp:val=&quot;005D4CCB&quot;/&gt;&lt;wsp:rsid wsp:val=&quot;005D51AD&quot;/&gt;&lt;wsp:rsid wsp:val=&quot;005D5B11&quot;/&gt;&lt;wsp:rsid wsp:val=&quot;005D5E04&quot;/&gt;&lt;wsp:rsid wsp:val=&quot;005D6865&quot;/&gt;&lt;wsp:rsid wsp:val=&quot;005D68DC&quot;/&gt;&lt;wsp:rsid wsp:val=&quot;005D69CD&quot;/&gt;&lt;wsp:rsid wsp:val=&quot;005D6BF7&quot;/&gt;&lt;wsp:rsid wsp:val=&quot;005D6D08&quot;/&gt;&lt;wsp:rsid wsp:val=&quot;005D6F58&quot;/&gt;&lt;wsp:rsid wsp:val=&quot;005D72C6&quot;/&gt;&lt;wsp:rsid wsp:val=&quot;005D7728&quot;/&gt;&lt;wsp:rsid wsp:val=&quot;005D7B70&quot;/&gt;&lt;wsp:rsid wsp:val=&quot;005D7CF2&quot;/&gt;&lt;wsp:rsid wsp:val=&quot;005E02A5&quot;/&gt;&lt;wsp:rsid wsp:val=&quot;005E066D&quot;/&gt;&lt;wsp:rsid wsp:val=&quot;005E07B0&quot;/&gt;&lt;wsp:rsid wsp:val=&quot;005E08D6&quot;/&gt;&lt;wsp:rsid wsp:val=&quot;005E0C87&quot;/&gt;&lt;wsp:rsid wsp:val=&quot;005E0CB6&quot;/&gt;&lt;wsp:rsid wsp:val=&quot;005E0FB5&quot;/&gt;&lt;wsp:rsid wsp:val=&quot;005E11CF&quot;/&gt;&lt;wsp:rsid wsp:val=&quot;005E12AB&quot;/&gt;&lt;wsp:rsid wsp:val=&quot;005E12B1&quot;/&gt;&lt;wsp:rsid wsp:val=&quot;005E1470&quot;/&gt;&lt;wsp:rsid wsp:val=&quot;005E149E&quot;/&gt;&lt;wsp:rsid wsp:val=&quot;005E1ECD&quot;/&gt;&lt;wsp:rsid wsp:val=&quot;005E20B7&quot;/&gt;&lt;wsp:rsid wsp:val=&quot;005E21CD&quot;/&gt;&lt;wsp:rsid wsp:val=&quot;005E29AA&quot;/&gt;&lt;wsp:rsid wsp:val=&quot;005E2A00&quot;/&gt;&lt;wsp:rsid wsp:val=&quot;005E39B2&quot;/&gt;&lt;wsp:rsid wsp:val=&quot;005E3CC1&quot;/&gt;&lt;wsp:rsid wsp:val=&quot;005E3F77&quot;/&gt;&lt;wsp:rsid wsp:val=&quot;005E44FA&quot;/&gt;&lt;wsp:rsid wsp:val=&quot;005E4AD3&quot;/&gt;&lt;wsp:rsid wsp:val=&quot;005E4FC9&quot;/&gt;&lt;wsp:rsid wsp:val=&quot;005E518D&quot;/&gt;&lt;wsp:rsid wsp:val=&quot;005E51FE&quot;/&gt;&lt;wsp:rsid wsp:val=&quot;005E541D&quot;/&gt;&lt;wsp:rsid wsp:val=&quot;005E6026&quot;/&gt;&lt;wsp:rsid wsp:val=&quot;005E6678&quot;/&gt;&lt;wsp:rsid wsp:val=&quot;005E6805&quot;/&gt;&lt;wsp:rsid wsp:val=&quot;005E6B35&quot;/&gt;&lt;wsp:rsid wsp:val=&quot;005E6D87&quot;/&gt;&lt;wsp:rsid wsp:val=&quot;005E718A&quot;/&gt;&lt;wsp:rsid wsp:val=&quot;005E7278&quot;/&gt;&lt;wsp:rsid wsp:val=&quot;005E73B5&quot;/&gt;&lt;wsp:rsid wsp:val=&quot;005E7724&quot;/&gt;&lt;wsp:rsid wsp:val=&quot;005E7753&quot;/&gt;&lt;wsp:rsid wsp:val=&quot;005E780A&quot;/&gt;&lt;wsp:rsid wsp:val=&quot;005E7D5E&quot;/&gt;&lt;wsp:rsid wsp:val=&quot;005E7F26&quot;/&gt;&lt;wsp:rsid wsp:val=&quot;005E7F7D&quot;/&gt;&lt;wsp:rsid wsp:val=&quot;005E7FCC&quot;/&gt;&lt;wsp:rsid wsp:val=&quot;005F0579&quot;/&gt;&lt;wsp:rsid wsp:val=&quot;005F0589&quot;/&gt;&lt;wsp:rsid wsp:val=&quot;005F092D&quot;/&gt;&lt;wsp:rsid wsp:val=&quot;005F09C4&quot;/&gt;&lt;wsp:rsid wsp:val=&quot;005F0A2B&quot;/&gt;&lt;wsp:rsid wsp:val=&quot;005F1406&quot;/&gt;&lt;wsp:rsid wsp:val=&quot;005F1444&quot;/&gt;&lt;wsp:rsid wsp:val=&quot;005F19EB&quot;/&gt;&lt;wsp:rsid wsp:val=&quot;005F1DBA&quot;/&gt;&lt;wsp:rsid wsp:val=&quot;005F21C6&quot;/&gt;&lt;wsp:rsid wsp:val=&quot;005F2240&quot;/&gt;&lt;wsp:rsid wsp:val=&quot;005F2482&quot;/&gt;&lt;wsp:rsid wsp:val=&quot;005F2843&quot;/&gt;&lt;wsp:rsid wsp:val=&quot;005F3A48&quot;/&gt;&lt;wsp:rsid wsp:val=&quot;005F3B32&quot;/&gt;&lt;wsp:rsid wsp:val=&quot;005F3CE2&quot;/&gt;&lt;wsp:rsid wsp:val=&quot;005F4064&quot;/&gt;&lt;wsp:rsid wsp:val=&quot;005F4875&quot;/&gt;&lt;wsp:rsid wsp:val=&quot;005F531B&quot;/&gt;&lt;wsp:rsid wsp:val=&quot;005F5794&quot;/&gt;&lt;wsp:rsid wsp:val=&quot;005F5E3B&quot;/&gt;&lt;wsp:rsid wsp:val=&quot;005F66D2&quot;/&gt;&lt;wsp:rsid wsp:val=&quot;005F6859&quot;/&gt;&lt;wsp:rsid wsp:val=&quot;005F6AC9&quot;/&gt;&lt;wsp:rsid wsp:val=&quot;005F6B62&quot;/&gt;&lt;wsp:rsid wsp:val=&quot;005F714D&quot;/&gt;&lt;wsp:rsid wsp:val=&quot;005F7208&quot;/&gt;&lt;wsp:rsid wsp:val=&quot;005F7655&quot;/&gt;&lt;wsp:rsid wsp:val=&quot;005F78C9&quot;/&gt;&lt;wsp:rsid wsp:val=&quot;005F78DB&quot;/&gt;&lt;wsp:rsid wsp:val=&quot;005F79CA&quot;/&gt;&lt;wsp:rsid wsp:val=&quot;005F7A86&quot;/&gt;&lt;wsp:rsid wsp:val=&quot;005F7CC1&quot;/&gt;&lt;wsp:rsid wsp:val=&quot;00600930&quot;/&gt;&lt;wsp:rsid wsp:val=&quot;00600950&quot;/&gt;&lt;wsp:rsid wsp:val=&quot;00600BCC&quot;/&gt;&lt;wsp:rsid wsp:val=&quot;006013E0&quot;/&gt;&lt;wsp:rsid wsp:val=&quot;006016CC&quot;/&gt;&lt;wsp:rsid wsp:val=&quot;006017A0&quot;/&gt;&lt;wsp:rsid wsp:val=&quot;00601803&quot;/&gt;&lt;wsp:rsid wsp:val=&quot;00601E47&quot;/&gt;&lt;wsp:rsid wsp:val=&quot;0060215F&quot;/&gt;&lt;wsp:rsid wsp:val=&quot;00602662&quot;/&gt;&lt;wsp:rsid wsp:val=&quot;00602692&quot;/&gt;&lt;wsp:rsid wsp:val=&quot;00602DBF&quot;/&gt;&lt;wsp:rsid wsp:val=&quot;0060343D&quot;/&gt;&lt;wsp:rsid wsp:val=&quot;00603443&quot;/&gt;&lt;wsp:rsid wsp:val=&quot;0060380F&quot;/&gt;&lt;wsp:rsid wsp:val=&quot;00603D72&quot;/&gt;&lt;wsp:rsid wsp:val=&quot;006041F4&quot;/&gt;&lt;wsp:rsid wsp:val=&quot;00604A70&quot;/&gt;&lt;wsp:rsid wsp:val=&quot;00604F77&quot;/&gt;&lt;wsp:rsid wsp:val=&quot;00605312&quot;/&gt;&lt;wsp:rsid wsp:val=&quot;006053FA&quot;/&gt;&lt;wsp:rsid wsp:val=&quot;00605497&quot;/&gt;&lt;wsp:rsid wsp:val=&quot;0060579C&quot;/&gt;&lt;wsp:rsid wsp:val=&quot;0060599D&quot;/&gt;&lt;wsp:rsid wsp:val=&quot;00605AC6&quot;/&gt;&lt;wsp:rsid wsp:val=&quot;00605F21&quot;/&gt;&lt;wsp:rsid wsp:val=&quot;00605FD5&quot;/&gt;&lt;wsp:rsid wsp:val=&quot;00606495&quot;/&gt;&lt;wsp:rsid wsp:val=&quot;0060692A&quot;/&gt;&lt;wsp:rsid wsp:val=&quot;00606C67&quot;/&gt;&lt;wsp:rsid wsp:val=&quot;00606D91&quot;/&gt;&lt;wsp:rsid wsp:val=&quot;00606EE9&quot;/&gt;&lt;wsp:rsid wsp:val=&quot;006071F8&quot;/&gt;&lt;wsp:rsid wsp:val=&quot;0060750E&quot;/&gt;&lt;wsp:rsid wsp:val=&quot;0060760E&quot;/&gt;&lt;wsp:rsid wsp:val=&quot;00607D2A&quot;/&gt;&lt;wsp:rsid wsp:val=&quot;006104A0&quot;/&gt;&lt;wsp:rsid wsp:val=&quot;006104C4&quot;/&gt;&lt;wsp:rsid wsp:val=&quot;00610B4F&quot;/&gt;&lt;wsp:rsid wsp:val=&quot;00610B60&quot;/&gt;&lt;wsp:rsid wsp:val=&quot;00610DED&quot;/&gt;&lt;wsp:rsid wsp:val=&quot;006110B1&quot;/&gt;&lt;wsp:rsid wsp:val=&quot;006117EC&quot;/&gt;&lt;wsp:rsid wsp:val=&quot;006119F6&quot;/&gt;&lt;wsp:rsid wsp:val=&quot;00611AD8&quot;/&gt;&lt;wsp:rsid wsp:val=&quot;00611BE2&quot;/&gt;&lt;wsp:rsid wsp:val=&quot;00611D1C&quot;/&gt;&lt;wsp:rsid wsp:val=&quot;00611FBB&quot;/&gt;&lt;wsp:rsid wsp:val=&quot;0061247F&quot;/&gt;&lt;wsp:rsid wsp:val=&quot;00612698&quot;/&gt;&lt;wsp:rsid wsp:val=&quot;00612D04&quot;/&gt;&lt;wsp:rsid wsp:val=&quot;00612D9D&quot;/&gt;&lt;wsp:rsid wsp:val=&quot;00612F3C&quot;/&gt;&lt;wsp:rsid wsp:val=&quot;00613568&quot;/&gt;&lt;wsp:rsid wsp:val=&quot;00613A58&quot;/&gt;&lt;wsp:rsid wsp:val=&quot;00614164&quot;/&gt;&lt;wsp:rsid wsp:val=&quot;00614DB8&quot;/&gt;&lt;wsp:rsid wsp:val=&quot;0061523E&quot;/&gt;&lt;wsp:rsid wsp:val=&quot;006155C4&quot;/&gt;&lt;wsp:rsid wsp:val=&quot;006157DD&quot;/&gt;&lt;wsp:rsid wsp:val=&quot;00615934&quot;/&gt;&lt;wsp:rsid wsp:val=&quot;0061673B&quot;/&gt;&lt;wsp:rsid wsp:val=&quot;0061748C&quot;/&gt;&lt;wsp:rsid wsp:val=&quot;006175A1&quot;/&gt;&lt;wsp:rsid wsp:val=&quot;00617905&quot;/&gt;&lt;wsp:rsid wsp:val=&quot;0062018E&quot;/&gt;&lt;wsp:rsid wsp:val=&quot;0062025C&quot;/&gt;&lt;wsp:rsid wsp:val=&quot;0062098F&quot;/&gt;&lt;wsp:rsid wsp:val=&quot;006209F6&quot;/&gt;&lt;wsp:rsid wsp:val=&quot;00620B1B&quot;/&gt;&lt;wsp:rsid wsp:val=&quot;0062139E&quot;/&gt;&lt;wsp:rsid wsp:val=&quot;00621405&quot;/&gt;&lt;wsp:rsid wsp:val=&quot;00621469&quot;/&gt;&lt;wsp:rsid wsp:val=&quot;006217A3&quot;/&gt;&lt;wsp:rsid wsp:val=&quot;00621D04&quot;/&gt;&lt;wsp:rsid wsp:val=&quot;00621EF6&quot;/&gt;&lt;wsp:rsid wsp:val=&quot;0062218E&quot;/&gt;&lt;wsp:rsid wsp:val=&quot;006223C5&quot;/&gt;&lt;wsp:rsid wsp:val=&quot;006226D9&quot;/&gt;&lt;wsp:rsid wsp:val=&quot;006227A3&quot;/&gt;&lt;wsp:rsid wsp:val=&quot;00622857&quot;/&gt;&lt;wsp:rsid wsp:val=&quot;00622DDC&quot;/&gt;&lt;wsp:rsid wsp:val=&quot;00622F55&quot;/&gt;&lt;wsp:rsid wsp:val=&quot;0062392F&quot;/&gt;&lt;wsp:rsid wsp:val=&quot;00623AEA&quot;/&gt;&lt;wsp:rsid wsp:val=&quot;00623EF3&quot;/&gt;&lt;wsp:rsid wsp:val=&quot;0062407A&quot;/&gt;&lt;wsp:rsid wsp:val=&quot;006242F0&quot;/&gt;&lt;wsp:rsid wsp:val=&quot;006243EC&quot;/&gt;&lt;wsp:rsid wsp:val=&quot;006245DD&quot;/&gt;&lt;wsp:rsid wsp:val=&quot;00624D61&quot;/&gt;&lt;wsp:rsid wsp:val=&quot;00624FA7&quot;/&gt;&lt;wsp:rsid wsp:val=&quot;0062577F&quot;/&gt;&lt;wsp:rsid wsp:val=&quot;006259EC&quot;/&gt;&lt;wsp:rsid wsp:val=&quot;00625B1E&quot;/&gt;&lt;wsp:rsid wsp:val=&quot;00625CD1&quot;/&gt;&lt;wsp:rsid wsp:val=&quot;0062612E&quot;/&gt;&lt;wsp:rsid wsp:val=&quot;0062615D&quot;/&gt;&lt;wsp:rsid wsp:val=&quot;00626276&quot;/&gt;&lt;wsp:rsid wsp:val=&quot;006264D5&quot;/&gt;&lt;wsp:rsid wsp:val=&quot;0062667D&quot;/&gt;&lt;wsp:rsid wsp:val=&quot;006267E9&quot;/&gt;&lt;wsp:rsid wsp:val=&quot;00626876&quot;/&gt;&lt;wsp:rsid wsp:val=&quot;00626F72&quot;/&gt;&lt;wsp:rsid wsp:val=&quot;00626FE3&quot;/&gt;&lt;wsp:rsid wsp:val=&quot;006270E2&quot;/&gt;&lt;wsp:rsid wsp:val=&quot;0062713D&quot;/&gt;&lt;wsp:rsid wsp:val=&quot;00627332&quot;/&gt;&lt;wsp:rsid wsp:val=&quot;006278BC&quot;/&gt;&lt;wsp:rsid wsp:val=&quot;00627A09&quot;/&gt;&lt;wsp:rsid wsp:val=&quot;00627DE4&quot;/&gt;&lt;wsp:rsid wsp:val=&quot;006300A5&quot;/&gt;&lt;wsp:rsid wsp:val=&quot;0063069B&quot;/&gt;&lt;wsp:rsid wsp:val=&quot;00630CE0&quot;/&gt;&lt;wsp:rsid wsp:val=&quot;00631241&quot;/&gt;&lt;wsp:rsid wsp:val=&quot;00631489&quot;/&gt;&lt;wsp:rsid wsp:val=&quot;00631D68&quot;/&gt;&lt;wsp:rsid wsp:val=&quot;0063235E&quot;/&gt;&lt;wsp:rsid wsp:val=&quot;00632421&quot;/&gt;&lt;wsp:rsid wsp:val=&quot;00632AE3&quot;/&gt;&lt;wsp:rsid wsp:val=&quot;00632D4E&quot;/&gt;&lt;wsp:rsid wsp:val=&quot;0063345C&quot;/&gt;&lt;wsp:rsid wsp:val=&quot;00633EC5&quot;/&gt;&lt;wsp:rsid wsp:val=&quot;00634545&quot;/&gt;&lt;wsp:rsid wsp:val=&quot;00635069&quot;/&gt;&lt;wsp:rsid wsp:val=&quot;006350B5&quot;/&gt;&lt;wsp:rsid wsp:val=&quot;0063528A&quot;/&gt;&lt;wsp:rsid wsp:val=&quot;0063595F&quot;/&gt;&lt;wsp:rsid wsp:val=&quot;0063596B&quot;/&gt;&lt;wsp:rsid wsp:val=&quot;00635AB7&quot;/&gt;&lt;wsp:rsid wsp:val=&quot;00635EFC&quot;/&gt;&lt;wsp:rsid wsp:val=&quot;00635F4D&quot;/&gt;&lt;wsp:rsid wsp:val=&quot;006360FC&quot;/&gt;&lt;wsp:rsid wsp:val=&quot;006363B0&quot;/&gt;&lt;wsp:rsid wsp:val=&quot;0063654F&quot;/&gt;&lt;wsp:rsid wsp:val=&quot;006369F7&quot;/&gt;&lt;wsp:rsid wsp:val=&quot;00636BE0&quot;/&gt;&lt;wsp:rsid wsp:val=&quot;0063749D&quot;/&gt;&lt;wsp:rsid wsp:val=&quot;0063771D&quot;/&gt;&lt;wsp:rsid wsp:val=&quot;0063795F&quot;/&gt;&lt;wsp:rsid wsp:val=&quot;00637F48&quot;/&gt;&lt;wsp:rsid wsp:val=&quot;00640631&quot;/&gt;&lt;wsp:rsid wsp:val=&quot;00640A8C&quot;/&gt;&lt;wsp:rsid wsp:val=&quot;00640D8C&quot;/&gt;&lt;wsp:rsid wsp:val=&quot;00641490&quot;/&gt;&lt;wsp:rsid wsp:val=&quot;0064184F&quot;/&gt;&lt;wsp:rsid wsp:val=&quot;00641B62&quot;/&gt;&lt;wsp:rsid wsp:val=&quot;00641E49&quot;/&gt;&lt;wsp:rsid wsp:val=&quot;006420AF&quot;/&gt;&lt;wsp:rsid wsp:val=&quot;00642223&quot;/&gt;&lt;wsp:rsid wsp:val=&quot;0064262B&quot;/&gt;&lt;wsp:rsid wsp:val=&quot;00642A27&quot;/&gt;&lt;wsp:rsid wsp:val=&quot;00642B8A&quot;/&gt;&lt;wsp:rsid wsp:val=&quot;00642ECC&quot;/&gt;&lt;wsp:rsid wsp:val=&quot;006431C3&quot;/&gt;&lt;wsp:rsid wsp:val=&quot;006431DB&quot;/&gt;&lt;wsp:rsid wsp:val=&quot;00643392&quot;/&gt;&lt;wsp:rsid wsp:val=&quot;00643447&quot;/&gt;&lt;wsp:rsid wsp:val=&quot;00643462&quot;/&gt;&lt;wsp:rsid wsp:val=&quot;006437F1&quot;/&gt;&lt;wsp:rsid wsp:val=&quot;00643E5F&quot;/&gt;&lt;wsp:rsid wsp:val=&quot;00643F90&quot;/&gt;&lt;wsp:rsid wsp:val=&quot;0064437A&quot;/&gt;&lt;wsp:rsid wsp:val=&quot;00644513&quot;/&gt;&lt;wsp:rsid wsp:val=&quot;00644784&quot;/&gt;&lt;wsp:rsid wsp:val=&quot;00644BFD&quot;/&gt;&lt;wsp:rsid wsp:val=&quot;00645728&quot;/&gt;&lt;wsp:rsid wsp:val=&quot;00645C8E&quot;/&gt;&lt;wsp:rsid wsp:val=&quot;00645FC2&quot;/&gt;&lt;wsp:rsid wsp:val=&quot;00646136&quot;/&gt;&lt;wsp:rsid wsp:val=&quot;0064614D&quot;/&gt;&lt;wsp:rsid wsp:val=&quot;00646159&quot;/&gt;&lt;wsp:rsid wsp:val=&quot;00646ADF&quot;/&gt;&lt;wsp:rsid wsp:val=&quot;00646E98&quot;/&gt;&lt;wsp:rsid wsp:val=&quot;006470E8&quot;/&gt;&lt;wsp:rsid wsp:val=&quot;006471AA&quot;/&gt;&lt;wsp:rsid wsp:val=&quot;0064762B&quot;/&gt;&lt;wsp:rsid wsp:val=&quot;006479FB&quot;/&gt;&lt;wsp:rsid wsp:val=&quot;00647F4E&quot;/&gt;&lt;wsp:rsid wsp:val=&quot;00650673&quot;/&gt;&lt;wsp:rsid wsp:val=&quot;006507BF&quot;/&gt;&lt;wsp:rsid wsp:val=&quot;006509FC&quot;/&gt;&lt;wsp:rsid wsp:val=&quot;00650D4F&quot;/&gt;&lt;wsp:rsid wsp:val=&quot;00650E1F&quot;/&gt;&lt;wsp:rsid wsp:val=&quot;00650F51&quot;/&gt;&lt;wsp:rsid wsp:val=&quot;006510CD&quot;/&gt;&lt;wsp:rsid wsp:val=&quot;00651160&quot;/&gt;&lt;wsp:rsid wsp:val=&quot;0065129C&quot;/&gt;&lt;wsp:rsid wsp:val=&quot;0065174F&quot;/&gt;&lt;wsp:rsid wsp:val=&quot;00651803&quot;/&gt;&lt;wsp:rsid wsp:val=&quot;00651979&quot;/&gt;&lt;wsp:rsid wsp:val=&quot;00651A8A&quot;/&gt;&lt;wsp:rsid wsp:val=&quot;00652017&quot;/&gt;&lt;wsp:rsid wsp:val=&quot;0065251B&quot;/&gt;&lt;wsp:rsid wsp:val=&quot;00652ADE&quot;/&gt;&lt;wsp:rsid wsp:val=&quot;0065368B&quot;/&gt;&lt;wsp:rsid wsp:val=&quot;006537C8&quot;/&gt;&lt;wsp:rsid wsp:val=&quot;00653AEB&quot;/&gt;&lt;wsp:rsid wsp:val=&quot;00654161&quot;/&gt;&lt;wsp:rsid wsp:val=&quot;006543DB&quot;/&gt;&lt;wsp:rsid wsp:val=&quot;00654CE5&quot;/&gt;&lt;wsp:rsid wsp:val=&quot;00654D86&quot;/&gt;&lt;wsp:rsid wsp:val=&quot;006551F9&quot;/&gt;&lt;wsp:rsid wsp:val=&quot;0065540E&quot;/&gt;&lt;wsp:rsid wsp:val=&quot;006559B0&quot;/&gt;&lt;wsp:rsid wsp:val=&quot;006561C5&quot;/&gt;&lt;wsp:rsid wsp:val=&quot;0065623A&quot;/&gt;&lt;wsp:rsid wsp:val=&quot;00656A16&quot;/&gt;&lt;wsp:rsid wsp:val=&quot;00656C07&quot;/&gt;&lt;wsp:rsid wsp:val=&quot;00657224&quot;/&gt;&lt;wsp:rsid wsp:val=&quot;00657298&quot;/&gt;&lt;wsp:rsid wsp:val=&quot;00657E13&quot;/&gt;&lt;wsp:rsid wsp:val=&quot;00660129&quot;/&gt;&lt;wsp:rsid wsp:val=&quot;006602A5&quot;/&gt;&lt;wsp:rsid wsp:val=&quot;00660EA0&quot;/&gt;&lt;wsp:rsid wsp:val=&quot;00660EB5&quot;/&gt;&lt;wsp:rsid wsp:val=&quot;00660F1A&quot;/&gt;&lt;wsp:rsid wsp:val=&quot;00661281&quot;/&gt;&lt;wsp:rsid wsp:val=&quot;006614BB&quot;/&gt;&lt;wsp:rsid wsp:val=&quot;00661BAE&quot;/&gt;&lt;wsp:rsid wsp:val=&quot;00661D4C&quot;/&gt;&lt;wsp:rsid wsp:val=&quot;00661F6A&quot;/&gt;&lt;wsp:rsid wsp:val=&quot;00662647&quot;/&gt;&lt;wsp:rsid wsp:val=&quot;006627B8&quot;/&gt;&lt;wsp:rsid wsp:val=&quot;00662857&quot;/&gt;&lt;wsp:rsid wsp:val=&quot;00662971&quot;/&gt;&lt;wsp:rsid wsp:val=&quot;00662B06&quot;/&gt;&lt;wsp:rsid wsp:val=&quot;00662FAB&quot;/&gt;&lt;wsp:rsid wsp:val=&quot;006632F3&quot;/&gt;&lt;wsp:rsid wsp:val=&quot;006638BE&quot;/&gt;&lt;wsp:rsid wsp:val=&quot;00663B1D&quot;/&gt;&lt;wsp:rsid wsp:val=&quot;00663C31&quot;/&gt;&lt;wsp:rsid wsp:val=&quot;00663C78&quot;/&gt;&lt;wsp:rsid wsp:val=&quot;00663F87&quot;/&gt;&lt;wsp:rsid wsp:val=&quot;00663FF8&quot;/&gt;&lt;wsp:rsid wsp:val=&quot;00664239&quot;/&gt;&lt;wsp:rsid wsp:val=&quot;006642D3&quot;/&gt;&lt;wsp:rsid wsp:val=&quot;006648F8&quot;/&gt;&lt;wsp:rsid wsp:val=&quot;00664930&quot;/&gt;&lt;wsp:rsid wsp:val=&quot;00664A22&quot;/&gt;&lt;wsp:rsid wsp:val=&quot;00664AF8&quot;/&gt;&lt;wsp:rsid wsp:val=&quot;00665012&quot;/&gt;&lt;wsp:rsid wsp:val=&quot;006651FC&quot;/&gt;&lt;wsp:rsid wsp:val=&quot;00665343&quot;/&gt;&lt;wsp:rsid wsp:val=&quot;006655AD&quot;/&gt;&lt;wsp:rsid wsp:val=&quot;006659B7&quot;/&gt;&lt;wsp:rsid wsp:val=&quot;00665B99&quot;/&gt;&lt;wsp:rsid wsp:val=&quot;00666106&quot;/&gt;&lt;wsp:rsid wsp:val=&quot;006662AF&quot;/&gt;&lt;wsp:rsid wsp:val=&quot;0066679D&quot;/&gt;&lt;wsp:rsid wsp:val=&quot;00666B4F&quot;/&gt;&lt;wsp:rsid wsp:val=&quot;00666FA8&quot;/&gt;&lt;wsp:rsid wsp:val=&quot;00667403&quot;/&gt;&lt;wsp:rsid wsp:val=&quot;0066746B&quot;/&gt;&lt;wsp:rsid wsp:val=&quot;006676C5&quot;/&gt;&lt;wsp:rsid wsp:val=&quot;00667AA9&quot;/&gt;&lt;wsp:rsid wsp:val=&quot;00670520&quot;/&gt;&lt;wsp:rsid wsp:val=&quot;006706ED&quot;/&gt;&lt;wsp:rsid wsp:val=&quot;00670865&quot;/&gt;&lt;wsp:rsid wsp:val=&quot;006709EE&quot;/&gt;&lt;wsp:rsid wsp:val=&quot;00670FD3&quot;/&gt;&lt;wsp:rsid wsp:val=&quot;006711C3&quot;/&gt;&lt;wsp:rsid wsp:val=&quot;006714A8&quot;/&gt;&lt;wsp:rsid wsp:val=&quot;006715FA&quot;/&gt;&lt;wsp:rsid wsp:val=&quot;006717A7&quot;/&gt;&lt;wsp:rsid wsp:val=&quot;00671BEC&quot;/&gt;&lt;wsp:rsid wsp:val=&quot;00671C9B&quot;/&gt;&lt;wsp:rsid wsp:val=&quot;00671D4A&quot;/&gt;&lt;wsp:rsid wsp:val=&quot;00672310&quot;/&gt;&lt;wsp:rsid wsp:val=&quot;006723C1&quot;/&gt;&lt;wsp:rsid wsp:val=&quot;006726C5&quot;/&gt;&lt;wsp:rsid wsp:val=&quot;006728DA&quot;/&gt;&lt;wsp:rsid wsp:val=&quot;00672995&quot;/&gt;&lt;wsp:rsid wsp:val=&quot;00672ADD&quot;/&gt;&lt;wsp:rsid wsp:val=&quot;00672BA9&quot;/&gt;&lt;wsp:rsid wsp:val=&quot;00672CCB&quot;/&gt;&lt;wsp:rsid wsp:val=&quot;00672CF8&quot;/&gt;&lt;wsp:rsid wsp:val=&quot;00673040&quot;/&gt;&lt;wsp:rsid wsp:val=&quot;00673567&quot;/&gt;&lt;wsp:rsid wsp:val=&quot;00673DF6&quot;/&gt;&lt;wsp:rsid wsp:val=&quot;00673E3B&quot;/&gt;&lt;wsp:rsid wsp:val=&quot;00673EFD&quot;/&gt;&lt;wsp:rsid wsp:val=&quot;006741C6&quot;/&gt;&lt;wsp:rsid wsp:val=&quot;006742EE&quot;/&gt;&lt;wsp:rsid wsp:val=&quot;006746B9&quot;/&gt;&lt;wsp:rsid wsp:val=&quot;006746BC&quot;/&gt;&lt;wsp:rsid wsp:val=&quot;0067497C&quot;/&gt;&lt;wsp:rsid wsp:val=&quot;006749ED&quot;/&gt;&lt;wsp:rsid wsp:val=&quot;0067515D&quot;/&gt;&lt;wsp:rsid wsp:val=&quot;0067517C&quot;/&gt;&lt;wsp:rsid wsp:val=&quot;0067575D&quot;/&gt;&lt;wsp:rsid wsp:val=&quot;00675FE0&quot;/&gt;&lt;wsp:rsid wsp:val=&quot;00676050&quot;/&gt;&lt;wsp:rsid wsp:val=&quot;006763A3&quot;/&gt;&lt;wsp:rsid wsp:val=&quot;00676663&quot;/&gt;&lt;wsp:rsid wsp:val=&quot;006766B7&quot;/&gt;&lt;wsp:rsid wsp:val=&quot;006768A4&quot;/&gt;&lt;wsp:rsid wsp:val=&quot;00676C34&quot;/&gt;&lt;wsp:rsid wsp:val=&quot;00676E60&quot;/&gt;&lt;wsp:rsid wsp:val=&quot;00677122&quot;/&gt;&lt;wsp:rsid wsp:val=&quot;0067743C&quot;/&gt;&lt;wsp:rsid wsp:val=&quot;006779D8&quot;/&gt;&lt;wsp:rsid wsp:val=&quot;00677A34&quot;/&gt;&lt;wsp:rsid wsp:val=&quot;00677B37&quot;/&gt;&lt;wsp:rsid wsp:val=&quot;00677DEB&quot;/&gt;&lt;wsp:rsid wsp:val=&quot;00680488&quot;/&gt;&lt;wsp:rsid wsp:val=&quot;00680574&quot;/&gt;&lt;wsp:rsid wsp:val=&quot;006805C0&quot;/&gt;&lt;wsp:rsid wsp:val=&quot;00680663&quot;/&gt;&lt;wsp:rsid wsp:val=&quot;00680F3C&quot;/&gt;&lt;wsp:rsid wsp:val=&quot;0068127D&quot;/&gt;&lt;wsp:rsid wsp:val=&quot;00681DBF&quot;/&gt;&lt;wsp:rsid wsp:val=&quot;00682184&quot;/&gt;&lt;wsp:rsid wsp:val=&quot;006829F2&quot;/&gt;&lt;wsp:rsid wsp:val=&quot;0068310B&quot;/&gt;&lt;wsp:rsid wsp:val=&quot;00683281&quot;/&gt;&lt;wsp:rsid wsp:val=&quot;0068357D&quot;/&gt;&lt;wsp:rsid wsp:val=&quot;006835C7&quot;/&gt;&lt;wsp:rsid wsp:val=&quot;00683A27&quot;/&gt;&lt;wsp:rsid wsp:val=&quot;00683AB8&quot;/&gt;&lt;wsp:rsid wsp:val=&quot;00684040&quot;/&gt;&lt;wsp:rsid wsp:val=&quot;0068404B&quot;/&gt;&lt;wsp:rsid wsp:val=&quot;0068405C&quot;/&gt;&lt;wsp:rsid wsp:val=&quot;006841EF&quot;/&gt;&lt;wsp:rsid wsp:val=&quot;006843AB&quot;/&gt;&lt;wsp:rsid wsp:val=&quot;0068457A&quot;/&gt;&lt;wsp:rsid wsp:val=&quot;0068460D&quot;/&gt;&lt;wsp:rsid wsp:val=&quot;0068515F&quot;/&gt;&lt;wsp:rsid wsp:val=&quot;00685188&quot;/&gt;&lt;wsp:rsid wsp:val=&quot;006858CE&quot;/&gt;&lt;wsp:rsid wsp:val=&quot;006859F6&quot;/&gt;&lt;wsp:rsid wsp:val=&quot;00685E06&quot;/&gt;&lt;wsp:rsid wsp:val=&quot;00686281&quot;/&gt;&lt;wsp:rsid wsp:val=&quot;006862C0&quot;/&gt;&lt;wsp:rsid wsp:val=&quot;006862CD&quot;/&gt;&lt;wsp:rsid wsp:val=&quot;00686434&quot;/&gt;&lt;wsp:rsid wsp:val=&quot;00686967&quot;/&gt;&lt;wsp:rsid wsp:val=&quot;00686DF4&quot;/&gt;&lt;wsp:rsid wsp:val=&quot;00686EE2&quot;/&gt;&lt;wsp:rsid wsp:val=&quot;006872CF&quot;/&gt;&lt;wsp:rsid wsp:val=&quot;00687A8A&quot;/&gt;&lt;wsp:rsid wsp:val=&quot;00687BB3&quot;/&gt;&lt;wsp:rsid wsp:val=&quot;00687DDA&quot;/&gt;&lt;wsp:rsid wsp:val=&quot;00687F39&quot;/&gt;&lt;wsp:rsid wsp:val=&quot;006903A9&quot;/&gt;&lt;wsp:rsid wsp:val=&quot;00690466&quot;/&gt;&lt;wsp:rsid wsp:val=&quot;00690684&quot;/&gt;&lt;wsp:rsid wsp:val=&quot;00690D12&quot;/&gt;&lt;wsp:rsid wsp:val=&quot;00691069&quot;/&gt;&lt;wsp:rsid wsp:val=&quot;00691498&quot;/&gt;&lt;wsp:rsid wsp:val=&quot;0069193D&quot;/&gt;&lt;wsp:rsid wsp:val=&quot;00691A80&quot;/&gt;&lt;wsp:rsid wsp:val=&quot;00692016&quot;/&gt;&lt;wsp:rsid wsp:val=&quot;006922A3&quot;/&gt;&lt;wsp:rsid wsp:val=&quot;00692E59&quot;/&gt;&lt;wsp:rsid wsp:val=&quot;0069309E&quot;/&gt;&lt;wsp:rsid wsp:val=&quot;006930A2&quot;/&gt;&lt;wsp:rsid wsp:val=&quot;0069351F&quot;/&gt;&lt;wsp:rsid wsp:val=&quot;00693AD5&quot;/&gt;&lt;wsp:rsid wsp:val=&quot;00693C5D&quot;/&gt;&lt;wsp:rsid wsp:val=&quot;00694C29&quot;/&gt;&lt;wsp:rsid wsp:val=&quot;00695015&quot;/&gt;&lt;wsp:rsid wsp:val=&quot;00695334&quot;/&gt;&lt;wsp:rsid wsp:val=&quot;00695491&quot;/&gt;&lt;wsp:rsid wsp:val=&quot;006955E6&quot;/&gt;&lt;wsp:rsid wsp:val=&quot;00695B0C&quot;/&gt;&lt;wsp:rsid wsp:val=&quot;00695F3C&quot;/&gt;&lt;wsp:rsid wsp:val=&quot;0069625B&quot;/&gt;&lt;wsp:rsid wsp:val=&quot;00696525&quot;/&gt;&lt;wsp:rsid wsp:val=&quot;00696657&quot;/&gt;&lt;wsp:rsid wsp:val=&quot;006966BB&quot;/&gt;&lt;wsp:rsid wsp:val=&quot;00696F99&quot;/&gt;&lt;wsp:rsid wsp:val=&quot;00697280&quot;/&gt;&lt;wsp:rsid wsp:val=&quot;00697553&quot;/&gt;&lt;wsp:rsid wsp:val=&quot;00697731&quot;/&gt;&lt;wsp:rsid wsp:val=&quot;00697D69&quot;/&gt;&lt;wsp:rsid wsp:val=&quot;006A07B0&quot;/&gt;&lt;wsp:rsid wsp:val=&quot;006A0B33&quot;/&gt;&lt;wsp:rsid wsp:val=&quot;006A0D22&quot;/&gt;&lt;wsp:rsid wsp:val=&quot;006A0EE8&quot;/&gt;&lt;wsp:rsid wsp:val=&quot;006A10FD&quot;/&gt;&lt;wsp:rsid wsp:val=&quot;006A154A&quot;/&gt;&lt;wsp:rsid wsp:val=&quot;006A183A&quot;/&gt;&lt;wsp:rsid wsp:val=&quot;006A1BD3&quot;/&gt;&lt;wsp:rsid wsp:val=&quot;006A1F30&quot;/&gt;&lt;wsp:rsid wsp:val=&quot;006A1FCF&quot;/&gt;&lt;wsp:rsid wsp:val=&quot;006A24BD&quot;/&gt;&lt;wsp:rsid wsp:val=&quot;006A2538&quot;/&gt;&lt;wsp:rsid wsp:val=&quot;006A275F&quot;/&gt;&lt;wsp:rsid wsp:val=&quot;006A27D9&quot;/&gt;&lt;wsp:rsid wsp:val=&quot;006A2A5E&quot;/&gt;&lt;wsp:rsid wsp:val=&quot;006A2E58&quot;/&gt;&lt;wsp:rsid wsp:val=&quot;006A2E8D&quot;/&gt;&lt;wsp:rsid wsp:val=&quot;006A3080&quot;/&gt;&lt;wsp:rsid wsp:val=&quot;006A30B7&quot;/&gt;&lt;wsp:rsid wsp:val=&quot;006A3443&quot;/&gt;&lt;wsp:rsid wsp:val=&quot;006A350D&quot;/&gt;&lt;wsp:rsid wsp:val=&quot;006A376F&quot;/&gt;&lt;wsp:rsid wsp:val=&quot;006A3796&quot;/&gt;&lt;wsp:rsid wsp:val=&quot;006A37EF&quot;/&gt;&lt;wsp:rsid wsp:val=&quot;006A3D61&quot;/&gt;&lt;wsp:rsid wsp:val=&quot;006A3D77&quot;/&gt;&lt;wsp:rsid wsp:val=&quot;006A4B64&quot;/&gt;&lt;wsp:rsid wsp:val=&quot;006A4D14&quot;/&gt;&lt;wsp:rsid wsp:val=&quot;006A4E62&quot;/&gt;&lt;wsp:rsid wsp:val=&quot;006A4EB8&quot;/&gt;&lt;wsp:rsid wsp:val=&quot;006A4F4B&quot;/&gt;&lt;wsp:rsid wsp:val=&quot;006A5004&quot;/&gt;&lt;wsp:rsid wsp:val=&quot;006A53B7&quot;/&gt;&lt;wsp:rsid wsp:val=&quot;006A53F0&quot;/&gt;&lt;wsp:rsid wsp:val=&quot;006A5469&quot;/&gt;&lt;wsp:rsid wsp:val=&quot;006A58AA&quot;/&gt;&lt;wsp:rsid wsp:val=&quot;006A6045&quot;/&gt;&lt;wsp:rsid wsp:val=&quot;006A60ED&quot;/&gt;&lt;wsp:rsid wsp:val=&quot;006A68A8&quot;/&gt;&lt;wsp:rsid wsp:val=&quot;006A6A47&quot;/&gt;&lt;wsp:rsid wsp:val=&quot;006A6E30&quot;/&gt;&lt;wsp:rsid wsp:val=&quot;006A6FDC&quot;/&gt;&lt;wsp:rsid wsp:val=&quot;006A706A&quot;/&gt;&lt;wsp:rsid wsp:val=&quot;006A70D8&quot;/&gt;&lt;wsp:rsid wsp:val=&quot;006A76ED&quot;/&gt;&lt;wsp:rsid wsp:val=&quot;006A77CF&quot;/&gt;&lt;wsp:rsid wsp:val=&quot;006A7DEC&quot;/&gt;&lt;wsp:rsid wsp:val=&quot;006B02DE&quot;/&gt;&lt;wsp:rsid wsp:val=&quot;006B034F&quot;/&gt;&lt;wsp:rsid wsp:val=&quot;006B038A&quot;/&gt;&lt;wsp:rsid wsp:val=&quot;006B0F8C&quot;/&gt;&lt;wsp:rsid wsp:val=&quot;006B0FC1&quot;/&gt;&lt;wsp:rsid wsp:val=&quot;006B10BC&quot;/&gt;&lt;wsp:rsid wsp:val=&quot;006B13A5&quot;/&gt;&lt;wsp:rsid wsp:val=&quot;006B18F3&quot;/&gt;&lt;wsp:rsid wsp:val=&quot;006B1927&quot;/&gt;&lt;wsp:rsid wsp:val=&quot;006B1FBD&quot;/&gt;&lt;wsp:rsid wsp:val=&quot;006B259B&quot;/&gt;&lt;wsp:rsid wsp:val=&quot;006B2A8B&quot;/&gt;&lt;wsp:rsid wsp:val=&quot;006B2F9E&quot;/&gt;&lt;wsp:rsid wsp:val=&quot;006B322F&quot;/&gt;&lt;wsp:rsid wsp:val=&quot;006B33D4&quot;/&gt;&lt;wsp:rsid wsp:val=&quot;006B373C&quot;/&gt;&lt;wsp:rsid wsp:val=&quot;006B376E&quot;/&gt;&lt;wsp:rsid wsp:val=&quot;006B3792&quot;/&gt;&lt;wsp:rsid wsp:val=&quot;006B40BB&quot;/&gt;&lt;wsp:rsid wsp:val=&quot;006B40EE&quot;/&gt;&lt;wsp:rsid wsp:val=&quot;006B44A3&quot;/&gt;&lt;wsp:rsid wsp:val=&quot;006B474C&quot;/&gt;&lt;wsp:rsid wsp:val=&quot;006B49F4&quot;/&gt;&lt;wsp:rsid wsp:val=&quot;006B4AB7&quot;/&gt;&lt;wsp:rsid wsp:val=&quot;006B5043&quot;/&gt;&lt;wsp:rsid wsp:val=&quot;006B51AE&quot;/&gt;&lt;wsp:rsid wsp:val=&quot;006B530D&quot;/&gt;&lt;wsp:rsid wsp:val=&quot;006B53EE&quot;/&gt;&lt;wsp:rsid wsp:val=&quot;006B54D5&quot;/&gt;&lt;wsp:rsid wsp:val=&quot;006B595C&quot;/&gt;&lt;wsp:rsid wsp:val=&quot;006B5B02&quot;/&gt;&lt;wsp:rsid wsp:val=&quot;006B5B3E&quot;/&gt;&lt;wsp:rsid wsp:val=&quot;006B6138&quot;/&gt;&lt;wsp:rsid wsp:val=&quot;006B660F&quot;/&gt;&lt;wsp:rsid wsp:val=&quot;006B67A5&quot;/&gt;&lt;wsp:rsid wsp:val=&quot;006B69B9&quot;/&gt;&lt;wsp:rsid wsp:val=&quot;006B6A63&quot;/&gt;&lt;wsp:rsid wsp:val=&quot;006B6C85&quot;/&gt;&lt;wsp:rsid wsp:val=&quot;006B6ECE&quot;/&gt;&lt;wsp:rsid wsp:val=&quot;006B6F30&quot;/&gt;&lt;wsp:rsid wsp:val=&quot;006B76FD&quot;/&gt;&lt;wsp:rsid wsp:val=&quot;006B7AD4&quot;/&gt;&lt;wsp:rsid wsp:val=&quot;006C00BF&quot;/&gt;&lt;wsp:rsid wsp:val=&quot;006C0191&quot;/&gt;&lt;wsp:rsid wsp:val=&quot;006C01B1&quot;/&gt;&lt;wsp:rsid wsp:val=&quot;006C05C4&quot;/&gt;&lt;wsp:rsid wsp:val=&quot;006C062C&quot;/&gt;&lt;wsp:rsid wsp:val=&quot;006C0771&quot;/&gt;&lt;wsp:rsid wsp:val=&quot;006C1095&quot;/&gt;&lt;wsp:rsid wsp:val=&quot;006C12C6&quot;/&gt;&lt;wsp:rsid wsp:val=&quot;006C1522&quot;/&gt;&lt;wsp:rsid wsp:val=&quot;006C1ECD&quot;/&gt;&lt;wsp:rsid wsp:val=&quot;006C20A0&quot;/&gt;&lt;wsp:rsid wsp:val=&quot;006C2549&quot;/&gt;&lt;wsp:rsid wsp:val=&quot;006C254F&quot;/&gt;&lt;wsp:rsid wsp:val=&quot;006C2893&quot;/&gt;&lt;wsp:rsid wsp:val=&quot;006C2AA7&quot;/&gt;&lt;wsp:rsid wsp:val=&quot;006C2BEC&quot;/&gt;&lt;wsp:rsid wsp:val=&quot;006C33CE&quot;/&gt;&lt;wsp:rsid wsp:val=&quot;006C357C&quot;/&gt;&lt;wsp:rsid wsp:val=&quot;006C361E&quot;/&gt;&lt;wsp:rsid wsp:val=&quot;006C3ED3&quot;/&gt;&lt;wsp:rsid wsp:val=&quot;006C5141&quot;/&gt;&lt;wsp:rsid wsp:val=&quot;006C5191&quot;/&gt;&lt;wsp:rsid wsp:val=&quot;006C5F7C&quot;/&gt;&lt;wsp:rsid wsp:val=&quot;006C6093&quot;/&gt;&lt;wsp:rsid wsp:val=&quot;006C669D&quot;/&gt;&lt;wsp:rsid wsp:val=&quot;006C6EC7&quot;/&gt;&lt;wsp:rsid wsp:val=&quot;006C77A2&quot;/&gt;&lt;wsp:rsid wsp:val=&quot;006C7ABE&quot;/&gt;&lt;wsp:rsid wsp:val=&quot;006C7C3B&quot;/&gt;&lt;wsp:rsid wsp:val=&quot;006D0013&quot;/&gt;&lt;wsp:rsid wsp:val=&quot;006D081C&quot;/&gt;&lt;wsp:rsid wsp:val=&quot;006D15EF&quot;/&gt;&lt;wsp:rsid wsp:val=&quot;006D1757&quot;/&gt;&lt;wsp:rsid wsp:val=&quot;006D1C73&quot;/&gt;&lt;wsp:rsid wsp:val=&quot;006D1E4A&quot;/&gt;&lt;wsp:rsid wsp:val=&quot;006D209C&quot;/&gt;&lt;wsp:rsid wsp:val=&quot;006D226C&quot;/&gt;&lt;wsp:rsid wsp:val=&quot;006D26AD&quot;/&gt;&lt;wsp:rsid wsp:val=&quot;006D2947&quot;/&gt;&lt;wsp:rsid wsp:val=&quot;006D2A72&quot;/&gt;&lt;wsp:rsid wsp:val=&quot;006D2A7F&quot;/&gt;&lt;wsp:rsid wsp:val=&quot;006D2B78&quot;/&gt;&lt;wsp:rsid wsp:val=&quot;006D2E52&quot;/&gt;&lt;wsp:rsid wsp:val=&quot;006D36E8&quot;/&gt;&lt;wsp:rsid wsp:val=&quot;006D3E7D&quot;/&gt;&lt;wsp:rsid wsp:val=&quot;006D3F95&quot;/&gt;&lt;wsp:rsid wsp:val=&quot;006D410B&quot;/&gt;&lt;wsp:rsid wsp:val=&quot;006D43AB&quot;/&gt;&lt;wsp:rsid wsp:val=&quot;006D4695&quot;/&gt;&lt;wsp:rsid wsp:val=&quot;006D4746&quot;/&gt;&lt;wsp:rsid wsp:val=&quot;006D54A3&quot;/&gt;&lt;wsp:rsid wsp:val=&quot;006D54E8&quot;/&gt;&lt;wsp:rsid wsp:val=&quot;006D636C&quot;/&gt;&lt;wsp:rsid wsp:val=&quot;006D63D7&quot;/&gt;&lt;wsp:rsid wsp:val=&quot;006D685E&quot;/&gt;&lt;wsp:rsid wsp:val=&quot;006D68DB&quot;/&gt;&lt;wsp:rsid wsp:val=&quot;006D6A1E&quot;/&gt;&lt;wsp:rsid wsp:val=&quot;006D6C69&quot;/&gt;&lt;wsp:rsid wsp:val=&quot;006D6D66&quot;/&gt;&lt;wsp:rsid wsp:val=&quot;006D6EB7&quot;/&gt;&lt;wsp:rsid wsp:val=&quot;006D7689&quot;/&gt;&lt;wsp:rsid wsp:val=&quot;006E0634&quot;/&gt;&lt;wsp:rsid wsp:val=&quot;006E086C&quot;/&gt;&lt;wsp:rsid wsp:val=&quot;006E180D&quot;/&gt;&lt;wsp:rsid wsp:val=&quot;006E18EA&quot;/&gt;&lt;wsp:rsid wsp:val=&quot;006E1DFB&quot;/&gt;&lt;wsp:rsid wsp:val=&quot;006E1E8E&quot;/&gt;&lt;wsp:rsid wsp:val=&quot;006E26A7&quot;/&gt;&lt;wsp:rsid wsp:val=&quot;006E2832&quot;/&gt;&lt;wsp:rsid wsp:val=&quot;006E2EA0&quot;/&gt;&lt;wsp:rsid wsp:val=&quot;006E311D&quot;/&gt;&lt;wsp:rsid wsp:val=&quot;006E320C&quot;/&gt;&lt;wsp:rsid wsp:val=&quot;006E3245&quot;/&gt;&lt;wsp:rsid wsp:val=&quot;006E33A2&quot;/&gt;&lt;wsp:rsid wsp:val=&quot;006E35DA&quot;/&gt;&lt;wsp:rsid wsp:val=&quot;006E371D&quot;/&gt;&lt;wsp:rsid wsp:val=&quot;006E39D3&quot;/&gt;&lt;wsp:rsid wsp:val=&quot;006E3A49&quot;/&gt;&lt;wsp:rsid wsp:val=&quot;006E3C78&quot;/&gt;&lt;wsp:rsid wsp:val=&quot;006E41FB&quot;/&gt;&lt;wsp:rsid wsp:val=&quot;006E4295&quot;/&gt;&lt;wsp:rsid wsp:val=&quot;006E439A&quot;/&gt;&lt;wsp:rsid wsp:val=&quot;006E4844&quot;/&gt;&lt;wsp:rsid wsp:val=&quot;006E4B63&quot;/&gt;&lt;wsp:rsid wsp:val=&quot;006E4CD3&quot;/&gt;&lt;wsp:rsid wsp:val=&quot;006E4F57&quot;/&gt;&lt;wsp:rsid wsp:val=&quot;006E521E&quot;/&gt;&lt;wsp:rsid wsp:val=&quot;006E54C7&quot;/&gt;&lt;wsp:rsid wsp:val=&quot;006E58C0&quot;/&gt;&lt;wsp:rsid wsp:val=&quot;006E5A2F&quot;/&gt;&lt;wsp:rsid wsp:val=&quot;006E5A89&quot;/&gt;&lt;wsp:rsid wsp:val=&quot;006E5C7C&quot;/&gt;&lt;wsp:rsid wsp:val=&quot;006E5D25&quot;/&gt;&lt;wsp:rsid wsp:val=&quot;006E5D9B&quot;/&gt;&lt;wsp:rsid wsp:val=&quot;006E6D4F&quot;/&gt;&lt;wsp:rsid wsp:val=&quot;006E6D51&quot;/&gt;&lt;wsp:rsid wsp:val=&quot;006E6E20&quot;/&gt;&lt;wsp:rsid wsp:val=&quot;006E6E2A&quot;/&gt;&lt;wsp:rsid wsp:val=&quot;006E7567&quot;/&gt;&lt;wsp:rsid wsp:val=&quot;006F00AE&quot;/&gt;&lt;wsp:rsid wsp:val=&quot;006F07E7&quot;/&gt;&lt;wsp:rsid wsp:val=&quot;006F07E8&quot;/&gt;&lt;wsp:rsid wsp:val=&quot;006F0B29&quot;/&gt;&lt;wsp:rsid wsp:val=&quot;006F0BB2&quot;/&gt;&lt;wsp:rsid wsp:val=&quot;006F1257&quot;/&gt;&lt;wsp:rsid wsp:val=&quot;006F130F&quot;/&gt;&lt;wsp:rsid wsp:val=&quot;006F1669&quot;/&gt;&lt;wsp:rsid wsp:val=&quot;006F1828&quot;/&gt;&lt;wsp:rsid wsp:val=&quot;006F18DE&quot;/&gt;&lt;wsp:rsid wsp:val=&quot;006F1C57&quot;/&gt;&lt;wsp:rsid wsp:val=&quot;006F1E5F&quot;/&gt;&lt;wsp:rsid wsp:val=&quot;006F2839&quot;/&gt;&lt;wsp:rsid wsp:val=&quot;006F291C&quot;/&gt;&lt;wsp:rsid wsp:val=&quot;006F2D5F&quot;/&gt;&lt;wsp:rsid wsp:val=&quot;006F3637&quot;/&gt;&lt;wsp:rsid wsp:val=&quot;006F4419&quot;/&gt;&lt;wsp:rsid wsp:val=&quot;006F4495&quot;/&gt;&lt;wsp:rsid wsp:val=&quot;006F4E97&quot;/&gt;&lt;wsp:rsid wsp:val=&quot;006F5710&quot;/&gt;&lt;wsp:rsid wsp:val=&quot;006F5796&quot;/&gt;&lt;wsp:rsid wsp:val=&quot;006F5A23&quot;/&gt;&lt;wsp:rsid wsp:val=&quot;006F5D32&quot;/&gt;&lt;wsp:rsid wsp:val=&quot;006F5E6B&quot;/&gt;&lt;wsp:rsid wsp:val=&quot;006F5F7E&quot;/&gt;&lt;wsp:rsid wsp:val=&quot;006F61A7&quot;/&gt;&lt;wsp:rsid wsp:val=&quot;006F66DD&quot;/&gt;&lt;wsp:rsid wsp:val=&quot;006F6F6C&quot;/&gt;&lt;wsp:rsid wsp:val=&quot;006F74DE&quot;/&gt;&lt;wsp:rsid wsp:val=&quot;006F769C&quot;/&gt;&lt;wsp:rsid wsp:val=&quot;006F7778&quot;/&gt;&lt;wsp:rsid wsp:val=&quot;006F7CA7&quot;/&gt;&lt;wsp:rsid wsp:val=&quot;00700907&quot;/&gt;&lt;wsp:rsid wsp:val=&quot;00700C00&quot;/&gt;&lt;wsp:rsid wsp:val=&quot;00700D1A&quot;/&gt;&lt;wsp:rsid wsp:val=&quot;007013F4&quot;/&gt;&lt;wsp:rsid wsp:val=&quot;00701714&quot;/&gt;&lt;wsp:rsid wsp:val=&quot;007017F4&quot;/&gt;&lt;wsp:rsid wsp:val=&quot;00701BD4&quot;/&gt;&lt;wsp:rsid wsp:val=&quot;00701E52&quot;/&gt;&lt;wsp:rsid wsp:val=&quot;007020AC&quot;/&gt;&lt;wsp:rsid wsp:val=&quot;007027F1&quot;/&gt;&lt;wsp:rsid wsp:val=&quot;00702D57&quot;/&gt;&lt;wsp:rsid wsp:val=&quot;00702EDD&quot;/&gt;&lt;wsp:rsid wsp:val=&quot;00703226&quot;/&gt;&lt;wsp:rsid wsp:val=&quot;00703705&quot;/&gt;&lt;wsp:rsid wsp:val=&quot;0070387D&quot;/&gt;&lt;wsp:rsid wsp:val=&quot;00703A1B&quot;/&gt;&lt;wsp:rsid wsp:val=&quot;0070411E&quot;/&gt;&lt;wsp:rsid wsp:val=&quot;007042E0&quot;/&gt;&lt;wsp:rsid wsp:val=&quot;007044B9&quot;/&gt;&lt;wsp:rsid wsp:val=&quot;00704D54&quot;/&gt;&lt;wsp:rsid wsp:val=&quot;00705021&quot;/&gt;&lt;wsp:rsid wsp:val=&quot;007051F7&quot;/&gt;&lt;wsp:rsid wsp:val=&quot;00705341&quot;/&gt;&lt;wsp:rsid wsp:val=&quot;0070545F&quot;/&gt;&lt;wsp:rsid wsp:val=&quot;00705FC5&quot;/&gt;&lt;wsp:rsid wsp:val=&quot;00705FD4&quot;/&gt;&lt;wsp:rsid wsp:val=&quot;0070670F&quot;/&gt;&lt;wsp:rsid wsp:val=&quot;00707129&quot;/&gt;&lt;wsp:rsid wsp:val=&quot;007075A4&quot;/&gt;&lt;wsp:rsid wsp:val=&quot;00707623&quot;/&gt;&lt;wsp:rsid wsp:val=&quot;00707C79&quot;/&gt;&lt;wsp:rsid wsp:val=&quot;00707E25&quot;/&gt;&lt;wsp:rsid wsp:val=&quot;00707F4F&quot;/&gt;&lt;wsp:rsid wsp:val=&quot;00710A6A&quot;/&gt;&lt;wsp:rsid wsp:val=&quot;00710BE7&quot;/&gt;&lt;wsp:rsid wsp:val=&quot;00711A58&quot;/&gt;&lt;wsp:rsid wsp:val=&quot;00711BB1&quot;/&gt;&lt;wsp:rsid wsp:val=&quot;00712131&quot;/&gt;&lt;wsp:rsid wsp:val=&quot;007125C5&quot;/&gt;&lt;wsp:rsid wsp:val=&quot;007126F3&quot;/&gt;&lt;wsp:rsid wsp:val=&quot;00712CF5&quot;/&gt;&lt;wsp:rsid wsp:val=&quot;007133A4&quot;/&gt;&lt;wsp:rsid wsp:val=&quot;00713762&quot;/&gt;&lt;wsp:rsid wsp:val=&quot;00713A6C&quot;/&gt;&lt;wsp:rsid wsp:val=&quot;00714097&quot;/&gt;&lt;wsp:rsid wsp:val=&quot;007144E2&quot;/&gt;&lt;wsp:rsid wsp:val=&quot;007145A0&quot;/&gt;&lt;wsp:rsid wsp:val=&quot;00714960&quot;/&gt;&lt;wsp:rsid wsp:val=&quot;00714B14&quot;/&gt;&lt;wsp:rsid wsp:val=&quot;00714B81&quot;/&gt;&lt;wsp:rsid wsp:val=&quot;00714BC7&quot;/&gt;&lt;wsp:rsid wsp:val=&quot;00714D74&quot;/&gt;&lt;wsp:rsid wsp:val=&quot;007153E9&quot;/&gt;&lt;wsp:rsid wsp:val=&quot;007156FA&quot;/&gt;&lt;wsp:rsid wsp:val=&quot;007159BC&quot;/&gt;&lt;wsp:rsid wsp:val=&quot;007159D5&quot;/&gt;&lt;wsp:rsid wsp:val=&quot;00715DCF&quot;/&gt;&lt;wsp:rsid wsp:val=&quot;00715E2C&quot;/&gt;&lt;wsp:rsid wsp:val=&quot;00715E71&quot;/&gt;&lt;wsp:rsid wsp:val=&quot;00716358&quot;/&gt;&lt;wsp:rsid wsp:val=&quot;00716B47&quot;/&gt;&lt;wsp:rsid wsp:val=&quot;00716E9F&quot;/&gt;&lt;wsp:rsid wsp:val=&quot;007170C2&quot;/&gt;&lt;wsp:rsid wsp:val=&quot;0071733E&quot;/&gt;&lt;wsp:rsid wsp:val=&quot;00717779&quot;/&gt;&lt;wsp:rsid wsp:val=&quot;00717848&quot;/&gt;&lt;wsp:rsid wsp:val=&quot;00717D5F&quot;/&gt;&lt;wsp:rsid wsp:val=&quot;00717EFA&quot;/&gt;&lt;wsp:rsid wsp:val=&quot;00720301&quot;/&gt;&lt;wsp:rsid wsp:val=&quot;0072051C&quot;/&gt;&lt;wsp:rsid wsp:val=&quot;00720AAA&quot;/&gt;&lt;wsp:rsid wsp:val=&quot;00720D20&quot;/&gt;&lt;wsp:rsid wsp:val=&quot;00720E75&quot;/&gt;&lt;wsp:rsid wsp:val=&quot;00720ECB&quot;/&gt;&lt;wsp:rsid wsp:val=&quot;00720F71&quot;/&gt;&lt;wsp:rsid wsp:val=&quot;00721566&quot;/&gt;&lt;wsp:rsid wsp:val=&quot;00721717&quot;/&gt;&lt;wsp:rsid wsp:val=&quot;007218D9&quot;/&gt;&lt;wsp:rsid wsp:val=&quot;00721DC7&quot;/&gt;&lt;wsp:rsid wsp:val=&quot;0072220F&quot;/&gt;&lt;wsp:rsid wsp:val=&quot;00722AB5&quot;/&gt;&lt;wsp:rsid wsp:val=&quot;00722BBE&quot;/&gt;&lt;wsp:rsid wsp:val=&quot;00722C32&quot;/&gt;&lt;wsp:rsid wsp:val=&quot;00722CA8&quot;/&gt;&lt;wsp:rsid wsp:val=&quot;00723034&quot;/&gt;&lt;wsp:rsid wsp:val=&quot;007231FF&quot;/&gt;&lt;wsp:rsid wsp:val=&quot;00723360&quot;/&gt;&lt;wsp:rsid wsp:val=&quot;007234D9&quot;/&gt;&lt;wsp:rsid wsp:val=&quot;00723698&quot;/&gt;&lt;wsp:rsid wsp:val=&quot;00723858&quot;/&gt;&lt;wsp:rsid wsp:val=&quot;00723DB1&quot;/&gt;&lt;wsp:rsid wsp:val=&quot;00724343&quot;/&gt;&lt;wsp:rsid wsp:val=&quot;007247BE&quot;/&gt;&lt;wsp:rsid wsp:val=&quot;007248AD&quot;/&gt;&lt;wsp:rsid wsp:val=&quot;00724F79&quot;/&gt;&lt;wsp:rsid wsp:val=&quot;00725728&quot;/&gt;&lt;wsp:rsid wsp:val=&quot;007258DE&quot;/&gt;&lt;wsp:rsid wsp:val=&quot;00725C8F&quot;/&gt;&lt;wsp:rsid wsp:val=&quot;00725CB7&quot;/&gt;&lt;wsp:rsid wsp:val=&quot;00726540&quot;/&gt;&lt;wsp:rsid wsp:val=&quot;00726643&quot;/&gt;&lt;wsp:rsid wsp:val=&quot;00726775&quot;/&gt;&lt;wsp:rsid wsp:val=&quot;00726832&quot;/&gt;&lt;wsp:rsid wsp:val=&quot;00726C96&quot;/&gt;&lt;wsp:rsid wsp:val=&quot;00726DEE&quot;/&gt;&lt;wsp:rsid wsp:val=&quot;00726F22&quot;/&gt;&lt;wsp:rsid wsp:val=&quot;0072712D&quot;/&gt;&lt;wsp:rsid wsp:val=&quot;007276D4&quot;/&gt;&lt;wsp:rsid wsp:val=&quot;00727975&quot;/&gt;&lt;wsp:rsid wsp:val=&quot;00727D72&quot;/&gt;&lt;wsp:rsid wsp:val=&quot;00727E44&quot;/&gt;&lt;wsp:rsid wsp:val=&quot;0073045A&quot;/&gt;&lt;wsp:rsid wsp:val=&quot;00730487&quot;/&gt;&lt;wsp:rsid wsp:val=&quot;00730527&quot;/&gt;&lt;wsp:rsid wsp:val=&quot;00730CE2&quot;/&gt;&lt;wsp:rsid wsp:val=&quot;00731069&quot;/&gt;&lt;wsp:rsid wsp:val=&quot;0073158E&quot;/&gt;&lt;wsp:rsid wsp:val=&quot;007316AC&quot;/&gt;&lt;wsp:rsid wsp:val=&quot;00731AB7&quot;/&gt;&lt;wsp:rsid wsp:val=&quot;00731DBA&quot;/&gt;&lt;wsp:rsid wsp:val=&quot;00732375&quot;/&gt;&lt;wsp:rsid wsp:val=&quot;00732535&quot;/&gt;&lt;wsp:rsid wsp:val=&quot;007328C7&quot;/&gt;&lt;wsp:rsid wsp:val=&quot;00732A0B&quot;/&gt;&lt;wsp:rsid wsp:val=&quot;00732AA4&quot;/&gt;&lt;wsp:rsid wsp:val=&quot;00732D14&quot;/&gt;&lt;wsp:rsid wsp:val=&quot;00732ED4&quot;/&gt;&lt;wsp:rsid wsp:val=&quot;007333B4&quot;/&gt;&lt;wsp:rsid wsp:val=&quot;0073364D&quot;/&gt;&lt;wsp:rsid wsp:val=&quot;007336CF&quot;/&gt;&lt;wsp:rsid wsp:val=&quot;00733801&quot;/&gt;&lt;wsp:rsid wsp:val=&quot;00733804&quot;/&gt;&lt;wsp:rsid wsp:val=&quot;00733C32&quot;/&gt;&lt;wsp:rsid wsp:val=&quot;00733D0E&quot;/&gt;&lt;wsp:rsid wsp:val=&quot;00734556&quot;/&gt;&lt;wsp:rsid wsp:val=&quot;0073475A&quot;/&gt;&lt;wsp:rsid wsp:val=&quot;0073476E&quot;/&gt;&lt;wsp:rsid wsp:val=&quot;00734850&quot;/&gt;&lt;wsp:rsid wsp:val=&quot;00734ADF&quot;/&gt;&lt;wsp:rsid wsp:val=&quot;00734E89&quot;/&gt;&lt;wsp:rsid wsp:val=&quot;00734F23&quot;/&gt;&lt;wsp:rsid wsp:val=&quot;0073530E&quot;/&gt;&lt;wsp:rsid wsp:val=&quot;00735DB4&quot;/&gt;&lt;wsp:rsid wsp:val=&quot;00735DE3&quot;/&gt;&lt;wsp:rsid wsp:val=&quot;00736038&quot;/&gt;&lt;wsp:rsid wsp:val=&quot;007362F7&quot;/&gt;&lt;wsp:rsid wsp:val=&quot;0073654D&quot;/&gt;&lt;wsp:rsid wsp:val=&quot;007365A5&quot;/&gt;&lt;wsp:rsid wsp:val=&quot;007369BB&quot;/&gt;&lt;wsp:rsid wsp:val=&quot;007369C1&quot;/&gt;&lt;wsp:rsid wsp:val=&quot;007369D0&quot;/&gt;&lt;wsp:rsid wsp:val=&quot;00736A59&quot;/&gt;&lt;wsp:rsid wsp:val=&quot;0073718A&quot;/&gt;&lt;wsp:rsid wsp:val=&quot;007372BD&quot;/&gt;&lt;wsp:rsid wsp:val=&quot;007372F8&quot;/&gt;&lt;wsp:rsid wsp:val=&quot;007375D7&quot;/&gt;&lt;wsp:rsid wsp:val=&quot;007378B2&quot;/&gt;&lt;wsp:rsid wsp:val=&quot;007378FC&quot;/&gt;&lt;wsp:rsid wsp:val=&quot;00737A1C&quot;/&gt;&lt;wsp:rsid wsp:val=&quot;00737D10&quot;/&gt;&lt;wsp:rsid wsp:val=&quot;00737E00&quot;/&gt;&lt;wsp:rsid wsp:val=&quot;0074009A&quot;/&gt;&lt;wsp:rsid wsp:val=&quot;007401BD&quot;/&gt;&lt;wsp:rsid wsp:val=&quot;00740293&quot;/&gt;&lt;wsp:rsid wsp:val=&quot;00740509&quot;/&gt;&lt;wsp:rsid wsp:val=&quot;00740A70&quot;/&gt;&lt;wsp:rsid wsp:val=&quot;00740CF5&quot;/&gt;&lt;wsp:rsid wsp:val=&quot;007410A8&quot;/&gt;&lt;wsp:rsid wsp:val=&quot;0074117D&quot;/&gt;&lt;wsp:rsid wsp:val=&quot;0074170F&quot;/&gt;&lt;wsp:rsid wsp:val=&quot;007423C7&quot;/&gt;&lt;wsp:rsid wsp:val=&quot;00742573&quot;/&gt;&lt;wsp:rsid wsp:val=&quot;00742AE6&quot;/&gt;&lt;wsp:rsid wsp:val=&quot;00742F23&quot;/&gt;&lt;wsp:rsid wsp:val=&quot;00743205&quot;/&gt;&lt;wsp:rsid wsp:val=&quot;007432C3&quot;/&gt;&lt;wsp:rsid wsp:val=&quot;007436C2&quot;/&gt;&lt;wsp:rsid wsp:val=&quot;00743C1C&quot;/&gt;&lt;wsp:rsid wsp:val=&quot;00744224&quot;/&gt;&lt;wsp:rsid wsp:val=&quot;0074458F&quot;/&gt;&lt;wsp:rsid wsp:val=&quot;00744599&quot;/&gt;&lt;wsp:rsid wsp:val=&quot;0074542A&quot;/&gt;&lt;wsp:rsid wsp:val=&quot;007456B3&quot;/&gt;&lt;wsp:rsid wsp:val=&quot;00745A90&quot;/&gt;&lt;wsp:rsid wsp:val=&quot;00745BB5&quot;/&gt;&lt;wsp:rsid wsp:val=&quot;00745C45&quot;/&gt;&lt;wsp:rsid wsp:val=&quot;00745E43&quot;/&gt;&lt;wsp:rsid wsp:val=&quot;00745E84&quot;/&gt;&lt;wsp:rsid wsp:val=&quot;0074606C&quot;/&gt;&lt;wsp:rsid wsp:val=&quot;00746235&quot;/&gt;&lt;wsp:rsid wsp:val=&quot;007462D6&quot;/&gt;&lt;wsp:rsid wsp:val=&quot;0074641C&quot;/&gt;&lt;wsp:rsid wsp:val=&quot;00746441&quot;/&gt;&lt;wsp:rsid wsp:val=&quot;00746896&quot;/&gt;&lt;wsp:rsid wsp:val=&quot;0074697A&quot;/&gt;&lt;wsp:rsid wsp:val=&quot;00746AD9&quot;/&gt;&lt;wsp:rsid wsp:val=&quot;00747900&quot;/&gt;&lt;wsp:rsid wsp:val=&quot;00747BCE&quot;/&gt;&lt;wsp:rsid wsp:val=&quot;00747E96&quot;/&gt;&lt;wsp:rsid wsp:val=&quot;0075014A&quot;/&gt;&lt;wsp:rsid wsp:val=&quot;007508DC&quot;/&gt;&lt;wsp:rsid wsp:val=&quot;0075112E&quot;/&gt;&lt;wsp:rsid wsp:val=&quot;00751224&quot;/&gt;&lt;wsp:rsid wsp:val=&quot;007512C6&quot;/&gt;&lt;wsp:rsid wsp:val=&quot;00751394&quot;/&gt;&lt;wsp:rsid wsp:val=&quot;007513EF&quot;/&gt;&lt;wsp:rsid wsp:val=&quot;00751753&quot;/&gt;&lt;wsp:rsid wsp:val=&quot;00751B06&quot;/&gt;&lt;wsp:rsid wsp:val=&quot;00751C38&quot;/&gt;&lt;wsp:rsid wsp:val=&quot;00752BAE&quot;/&gt;&lt;wsp:rsid wsp:val=&quot;00752D85&quot;/&gt;&lt;wsp:rsid wsp:val=&quot;0075302E&quot;/&gt;&lt;wsp:rsid wsp:val=&quot;007536D0&quot;/&gt;&lt;wsp:rsid wsp:val=&quot;00753B06&quot;/&gt;&lt;wsp:rsid wsp:val=&quot;00753B30&quot;/&gt;&lt;wsp:rsid wsp:val=&quot;00753F1B&quot;/&gt;&lt;wsp:rsid wsp:val=&quot;00754243&quot;/&gt;&lt;wsp:rsid wsp:val=&quot;00754335&quot;/&gt;&lt;wsp:rsid wsp:val=&quot;00754F43&quot;/&gt;&lt;wsp:rsid wsp:val=&quot;00755225&quot;/&gt;&lt;wsp:rsid wsp:val=&quot;007554A3&quot;/&gt;&lt;wsp:rsid wsp:val=&quot;00755B84&quot;/&gt;&lt;wsp:rsid wsp:val=&quot;00755D24&quot;/&gt;&lt;wsp:rsid wsp:val=&quot;00756554&quot;/&gt;&lt;wsp:rsid wsp:val=&quot;00756F92&quot;/&gt;&lt;wsp:rsid wsp:val=&quot;00757024&quot;/&gt;&lt;wsp:rsid wsp:val=&quot;007571C5&quot;/&gt;&lt;wsp:rsid wsp:val=&quot;00757301&quot;/&gt;&lt;wsp:rsid wsp:val=&quot;0075733E&quot;/&gt;&lt;wsp:rsid wsp:val=&quot;00757D6C&quot;/&gt;&lt;wsp:rsid wsp:val=&quot;00757E2A&quot;/&gt;&lt;wsp:rsid wsp:val=&quot;00757E50&quot;/&gt;&lt;wsp:rsid wsp:val=&quot;0076005D&quot;/&gt;&lt;wsp:rsid wsp:val=&quot;00760420&quot;/&gt;&lt;wsp:rsid wsp:val=&quot;00760BD6&quot;/&gt;&lt;wsp:rsid wsp:val=&quot;00760BE7&quot;/&gt;&lt;wsp:rsid wsp:val=&quot;00760CE4&quot;/&gt;&lt;wsp:rsid wsp:val=&quot;00760EDD&quot;/&gt;&lt;wsp:rsid wsp:val=&quot;00761063&quot;/&gt;&lt;wsp:rsid wsp:val=&quot;00761912&quot;/&gt;&lt;wsp:rsid wsp:val=&quot;00761B07&quot;/&gt;&lt;wsp:rsid wsp:val=&quot;00761F1D&quot;/&gt;&lt;wsp:rsid wsp:val=&quot;00761FED&quot;/&gt;&lt;wsp:rsid wsp:val=&quot;0076227B&quot;/&gt;&lt;wsp:rsid wsp:val=&quot;00762318&quot;/&gt;&lt;wsp:rsid wsp:val=&quot;007623C9&quot;/&gt;&lt;wsp:rsid wsp:val=&quot;0076240E&quot;/&gt;&lt;wsp:rsid wsp:val=&quot;00762612&quot;/&gt;&lt;wsp:rsid wsp:val=&quot;00762CA7&quot;/&gt;&lt;wsp:rsid wsp:val=&quot;00762CF6&quot;/&gt;&lt;wsp:rsid wsp:val=&quot;00762ED6&quot;/&gt;&lt;wsp:rsid wsp:val=&quot;00763055&quot;/&gt;&lt;wsp:rsid wsp:val=&quot;00763252&quot;/&gt;&lt;wsp:rsid wsp:val=&quot;00763A2C&quot;/&gt;&lt;wsp:rsid wsp:val=&quot;00763B3C&quot;/&gt;&lt;wsp:rsid wsp:val=&quot;00763BC7&quot;/&gt;&lt;wsp:rsid wsp:val=&quot;00763D97&quot;/&gt;&lt;wsp:rsid wsp:val=&quot;00763F9F&quot;/&gt;&lt;wsp:rsid wsp:val=&quot;0076423F&quot;/&gt;&lt;wsp:rsid wsp:val=&quot;007643C0&quot;/&gt;&lt;wsp:rsid wsp:val=&quot;007643C5&quot;/&gt;&lt;wsp:rsid wsp:val=&quot;007646D3&quot;/&gt;&lt;wsp:rsid wsp:val=&quot;00764701&quot;/&gt;&lt;wsp:rsid wsp:val=&quot;00764862&quot;/&gt;&lt;wsp:rsid wsp:val=&quot;00764A8F&quot;/&gt;&lt;wsp:rsid wsp:val=&quot;00764B34&quot;/&gt;&lt;wsp:rsid wsp:val=&quot;00764C33&quot;/&gt;&lt;wsp:rsid wsp:val=&quot;00764D51&quot;/&gt;&lt;wsp:rsid wsp:val=&quot;00764D91&quot;/&gt;&lt;wsp:rsid wsp:val=&quot;00764DD5&quot;/&gt;&lt;wsp:rsid wsp:val=&quot;00764E3F&quot;/&gt;&lt;wsp:rsid wsp:val=&quot;00764FCE&quot;/&gt;&lt;wsp:rsid wsp:val=&quot;0076556F&quot;/&gt;&lt;wsp:rsid wsp:val=&quot;00765719&quot;/&gt;&lt;wsp:rsid wsp:val=&quot;00765832&quot;/&gt;&lt;wsp:rsid wsp:val=&quot;0076596A&quot;/&gt;&lt;wsp:rsid wsp:val=&quot;00765DBC&quot;/&gt;&lt;wsp:rsid wsp:val=&quot;0076670C&quot;/&gt;&lt;wsp:rsid wsp:val=&quot;00766EFE&quot;/&gt;&lt;wsp:rsid wsp:val=&quot;00767339&quot;/&gt;&lt;wsp:rsid wsp:val=&quot;00767E15&quot;/&gt;&lt;wsp:rsid wsp:val=&quot;00767EF4&quot;/&gt;&lt;wsp:rsid wsp:val=&quot;0077003D&quot;/&gt;&lt;wsp:rsid wsp:val=&quot;007708BC&quot;/&gt;&lt;wsp:rsid wsp:val=&quot;007712D3&quot;/&gt;&lt;wsp:rsid wsp:val=&quot;007713CB&quot;/&gt;&lt;wsp:rsid wsp:val=&quot;0077174E&quot;/&gt;&lt;wsp:rsid wsp:val=&quot;00771AE3&quot;/&gt;&lt;wsp:rsid wsp:val=&quot;00771B46&quot;/&gt;&lt;wsp:rsid wsp:val=&quot;0077205B&quot;/&gt;&lt;wsp:rsid wsp:val=&quot;007722DE&quot;/&gt;&lt;wsp:rsid wsp:val=&quot;00772770&quot;/&gt;&lt;wsp:rsid wsp:val=&quot;00772A5D&quot;/&gt;&lt;wsp:rsid wsp:val=&quot;00772B4D&quot;/&gt;&lt;wsp:rsid wsp:val=&quot;00772EF5&quot;/&gt;&lt;wsp:rsid wsp:val=&quot;0077325B&quot;/&gt;&lt;wsp:rsid wsp:val=&quot;007733FF&quot;/&gt;&lt;wsp:rsid wsp:val=&quot;0077341D&quot;/&gt;&lt;wsp:rsid wsp:val=&quot;007735EF&quot;/&gt;&lt;wsp:rsid wsp:val=&quot;0077368F&quot;/&gt;&lt;wsp:rsid wsp:val=&quot;007736B1&quot;/&gt;&lt;wsp:rsid wsp:val=&quot;007737C1&quot;/&gt;&lt;wsp:rsid wsp:val=&quot;00773CB5&quot;/&gt;&lt;wsp:rsid wsp:val=&quot;00773EE9&quot;/&gt;&lt;wsp:rsid wsp:val=&quot;00773F92&quot;/&gt;&lt;wsp:rsid wsp:val=&quot;00773FB6&quot;/&gt;&lt;wsp:rsid wsp:val=&quot;0077401E&quot;/&gt;&lt;wsp:rsid wsp:val=&quot;00774436&quot;/&gt;&lt;wsp:rsid wsp:val=&quot;00774BC0&quot;/&gt;&lt;wsp:rsid wsp:val=&quot;00774D56&quot;/&gt;&lt;wsp:rsid wsp:val=&quot;007750CC&quot;/&gt;&lt;wsp:rsid wsp:val=&quot;0077534F&quot;/&gt;&lt;wsp:rsid wsp:val=&quot;00775784&quot;/&gt;&lt;wsp:rsid wsp:val=&quot;007758D1&quot;/&gt;&lt;wsp:rsid wsp:val=&quot;00775A32&quot;/&gt;&lt;wsp:rsid wsp:val=&quot;00775AAA&quot;/&gt;&lt;wsp:rsid wsp:val=&quot;00775E17&quot;/&gt;&lt;wsp:rsid wsp:val=&quot;00775FE1&quot;/&gt;&lt;wsp:rsid wsp:val=&quot;00776037&quot;/&gt;&lt;wsp:rsid wsp:val=&quot;00776370&quot;/&gt;&lt;wsp:rsid wsp:val=&quot;007766CF&quot;/&gt;&lt;wsp:rsid wsp:val=&quot;00776D5E&quot;/&gt;&lt;wsp:rsid wsp:val=&quot;00776D66&quot;/&gt;&lt;wsp:rsid wsp:val=&quot;00777421&quot;/&gt;&lt;wsp:rsid wsp:val=&quot;007777D9&quot;/&gt;&lt;wsp:rsid wsp:val=&quot;007777EA&quot;/&gt;&lt;wsp:rsid wsp:val=&quot;007801B0&quot;/&gt;&lt;wsp:rsid wsp:val=&quot;007803DE&quot;/&gt;&lt;wsp:rsid wsp:val=&quot;00780725&quot;/&gt;&lt;wsp:rsid wsp:val=&quot;00780C90&quot;/&gt;&lt;wsp:rsid wsp:val=&quot;00780F45&quot;/&gt;&lt;wsp:rsid wsp:val=&quot;00780F93&quot;/&gt;&lt;wsp:rsid wsp:val=&quot;00781180&quot;/&gt;&lt;wsp:rsid wsp:val=&quot;007812D4&quot;/&gt;&lt;wsp:rsid wsp:val=&quot;0078134A&quot;/&gt;&lt;wsp:rsid wsp:val=&quot;00781E85&quot;/&gt;&lt;wsp:rsid wsp:val=&quot;007822F1&quot;/&gt;&lt;wsp:rsid wsp:val=&quot;007825AC&quot;/&gt;&lt;wsp:rsid wsp:val=&quot;0078282E&quot;/&gt;&lt;wsp:rsid wsp:val=&quot;0078289F&quot;/&gt;&lt;wsp:rsid wsp:val=&quot;00782E11&quot;/&gt;&lt;wsp:rsid wsp:val=&quot;0078331E&quot;/&gt;&lt;wsp:rsid wsp:val=&quot;00783528&quot;/&gt;&lt;wsp:rsid wsp:val=&quot;0078376F&quot;/&gt;&lt;wsp:rsid wsp:val=&quot;007839B8&quot;/&gt;&lt;wsp:rsid wsp:val=&quot;007847FD&quot;/&gt;&lt;wsp:rsid wsp:val=&quot;0078487F&quot;/&gt;&lt;wsp:rsid wsp:val=&quot;00784AAE&quot;/&gt;&lt;wsp:rsid wsp:val=&quot;007850AF&quot;/&gt;&lt;wsp:rsid wsp:val=&quot;0078552C&quot;/&gt;&lt;wsp:rsid wsp:val=&quot;00785862&quot;/&gt;&lt;wsp:rsid wsp:val=&quot;00785AA9&quot;/&gt;&lt;wsp:rsid wsp:val=&quot;00785AD3&quot;/&gt;&lt;wsp:rsid wsp:val=&quot;00785DA7&quot;/&gt;&lt;wsp:rsid wsp:val=&quot;00785F57&quot;/&gt;&lt;wsp:rsid wsp:val=&quot;00786231&quot;/&gt;&lt;wsp:rsid wsp:val=&quot;00786707&quot;/&gt;&lt;wsp:rsid wsp:val=&quot;00786A04&quot;/&gt;&lt;wsp:rsid wsp:val=&quot;00786BB2&quot;/&gt;&lt;wsp:rsid wsp:val=&quot;00787174&quot;/&gt;&lt;wsp:rsid wsp:val=&quot;007872C0&quot;/&gt;&lt;wsp:rsid wsp:val=&quot;00787318&quot;/&gt;&lt;wsp:rsid wsp:val=&quot;00787440&quot;/&gt;&lt;wsp:rsid wsp:val=&quot;00787935&quot;/&gt;&lt;wsp:rsid wsp:val=&quot;00787A5A&quot;/&gt;&lt;wsp:rsid wsp:val=&quot;00787E07&quot;/&gt;&lt;wsp:rsid wsp:val=&quot;007903D7&quot;/&gt;&lt;wsp:rsid wsp:val=&quot;007907DA&quot;/&gt;&lt;wsp:rsid wsp:val=&quot;00790922&quot;/&gt;&lt;wsp:rsid wsp:val=&quot;00790AD6&quot;/&gt;&lt;wsp:rsid wsp:val=&quot;00790B02&quot;/&gt;&lt;wsp:rsid wsp:val=&quot;00790E0B&quot;/&gt;&lt;wsp:rsid wsp:val=&quot;00791069&quot;/&gt;&lt;wsp:rsid wsp:val=&quot;007922A2&quot;/&gt;&lt;wsp:rsid wsp:val=&quot;00792975&quot;/&gt;&lt;wsp:rsid wsp:val=&quot;00792A32&quot;/&gt;&lt;wsp:rsid wsp:val=&quot;00792BE9&quot;/&gt;&lt;wsp:rsid wsp:val=&quot;00792C66&quot;/&gt;&lt;wsp:rsid wsp:val=&quot;00792F7E&quot;/&gt;&lt;wsp:rsid wsp:val=&quot;00792FEE&quot;/&gt;&lt;wsp:rsid wsp:val=&quot;0079373C&quot;/&gt;&lt;wsp:rsid wsp:val=&quot;00793773&quot;/&gt;&lt;wsp:rsid wsp:val=&quot;00793DA9&quot;/&gt;&lt;wsp:rsid wsp:val=&quot;00794559&quot;/&gt;&lt;wsp:rsid wsp:val=&quot;0079487B&quot;/&gt;&lt;wsp:rsid wsp:val=&quot;00794BC0&quot;/&gt;&lt;wsp:rsid wsp:val=&quot;00794BEC&quot;/&gt;&lt;wsp:rsid wsp:val=&quot;00794EF8&quot;/&gt;&lt;wsp:rsid wsp:val=&quot;00795215&quot;/&gt;&lt;wsp:rsid wsp:val=&quot;0079539F&quot;/&gt;&lt;wsp:rsid wsp:val=&quot;00795433&quot;/&gt;&lt;wsp:rsid wsp:val=&quot;0079573F&quot;/&gt;&lt;wsp:rsid wsp:val=&quot;00795EF8&quot;/&gt;&lt;wsp:rsid wsp:val=&quot;0079662D&quot;/&gt;&lt;wsp:rsid wsp:val=&quot;00796954&quot;/&gt;&lt;wsp:rsid wsp:val=&quot;007969A1&quot;/&gt;&lt;wsp:rsid wsp:val=&quot;00797587&quot;/&gt;&lt;wsp:rsid wsp:val=&quot;0079772A&quot;/&gt;&lt;wsp:rsid wsp:val=&quot;007977EE&quot;/&gt;&lt;wsp:rsid wsp:val=&quot;007A03CB&quot;/&gt;&lt;wsp:rsid wsp:val=&quot;007A046B&quot;/&gt;&lt;wsp:rsid wsp:val=&quot;007A0493&quot;/&gt;&lt;wsp:rsid wsp:val=&quot;007A0658&quot;/&gt;&lt;wsp:rsid wsp:val=&quot;007A0677&quot;/&gt;&lt;wsp:rsid wsp:val=&quot;007A19BF&quot;/&gt;&lt;wsp:rsid wsp:val=&quot;007A1CE1&quot;/&gt;&lt;wsp:rsid wsp:val=&quot;007A209B&quot;/&gt;&lt;wsp:rsid wsp:val=&quot;007A24DC&quot;/&gt;&lt;wsp:rsid wsp:val=&quot;007A29D5&quot;/&gt;&lt;wsp:rsid wsp:val=&quot;007A2AFD&quot;/&gt;&lt;wsp:rsid wsp:val=&quot;007A2E34&quot;/&gt;&lt;wsp:rsid wsp:val=&quot;007A2F54&quot;/&gt;&lt;wsp:rsid wsp:val=&quot;007A340D&quot;/&gt;&lt;wsp:rsid wsp:val=&quot;007A3481&quot;/&gt;&lt;wsp:rsid wsp:val=&quot;007A353A&quot;/&gt;&lt;wsp:rsid wsp:val=&quot;007A39E2&quot;/&gt;&lt;wsp:rsid wsp:val=&quot;007A3A60&quot;/&gt;&lt;wsp:rsid wsp:val=&quot;007A3C15&quot;/&gt;&lt;wsp:rsid wsp:val=&quot;007A4178&quot;/&gt;&lt;wsp:rsid wsp:val=&quot;007A435C&quot;/&gt;&lt;wsp:rsid wsp:val=&quot;007A586B&quot;/&gt;&lt;wsp:rsid wsp:val=&quot;007A6453&quot;/&gt;&lt;wsp:rsid wsp:val=&quot;007A677B&quot;/&gt;&lt;wsp:rsid wsp:val=&quot;007A6A0B&quot;/&gt;&lt;wsp:rsid wsp:val=&quot;007A6E31&quot;/&gt;&lt;wsp:rsid wsp:val=&quot;007A6FE8&quot;/&gt;&lt;wsp:rsid wsp:val=&quot;007A72AA&quot;/&gt;&lt;wsp:rsid wsp:val=&quot;007A72EC&quot;/&gt;&lt;wsp:rsid wsp:val=&quot;007A73A7&quot;/&gt;&lt;wsp:rsid wsp:val=&quot;007A7A17&quot;/&gt;&lt;wsp:rsid wsp:val=&quot;007A7B90&quot;/&gt;&lt;wsp:rsid wsp:val=&quot;007B019A&quot;/&gt;&lt;wsp:rsid wsp:val=&quot;007B0610&quot;/&gt;&lt;wsp:rsid wsp:val=&quot;007B07BD&quot;/&gt;&lt;wsp:rsid wsp:val=&quot;007B0814&quot;/&gt;&lt;wsp:rsid wsp:val=&quot;007B0ABE&quot;/&gt;&lt;wsp:rsid wsp:val=&quot;007B16A9&quot;/&gt;&lt;wsp:rsid wsp:val=&quot;007B211A&quot;/&gt;&lt;wsp:rsid wsp:val=&quot;007B2583&quot;/&gt;&lt;wsp:rsid wsp:val=&quot;007B275C&quot;/&gt;&lt;wsp:rsid wsp:val=&quot;007B307E&quot;/&gt;&lt;wsp:rsid wsp:val=&quot;007B33FF&quot;/&gt;&lt;wsp:rsid wsp:val=&quot;007B3610&quot;/&gt;&lt;wsp:rsid wsp:val=&quot;007B38D1&quot;/&gt;&lt;wsp:rsid wsp:val=&quot;007B3B6A&quot;/&gt;&lt;wsp:rsid wsp:val=&quot;007B3BDC&quot;/&gt;&lt;wsp:rsid wsp:val=&quot;007B3F99&quot;/&gt;&lt;wsp:rsid wsp:val=&quot;007B42E4&quot;/&gt;&lt;wsp:rsid wsp:val=&quot;007B50D5&quot;/&gt;&lt;wsp:rsid wsp:val=&quot;007B50D6&quot;/&gt;&lt;wsp:rsid wsp:val=&quot;007B5141&quot;/&gt;&lt;wsp:rsid wsp:val=&quot;007B5358&quot;/&gt;&lt;wsp:rsid wsp:val=&quot;007B54A0&quot;/&gt;&lt;wsp:rsid wsp:val=&quot;007B580B&quot;/&gt;&lt;wsp:rsid wsp:val=&quot;007B5B44&quot;/&gt;&lt;wsp:rsid wsp:val=&quot;007B5E24&quot;/&gt;&lt;wsp:rsid wsp:val=&quot;007B69CA&quot;/&gt;&lt;wsp:rsid wsp:val=&quot;007B6B46&quot;/&gt;&lt;wsp:rsid wsp:val=&quot;007B741A&quot;/&gt;&lt;wsp:rsid wsp:val=&quot;007B771F&quot;/&gt;&lt;wsp:rsid wsp:val=&quot;007B7D7F&quot;/&gt;&lt;wsp:rsid wsp:val=&quot;007B7E7D&quot;/&gt;&lt;wsp:rsid wsp:val=&quot;007B7FCB&quot;/&gt;&lt;wsp:rsid wsp:val=&quot;007C0CFB&quot;/&gt;&lt;wsp:rsid wsp:val=&quot;007C0FF4&quot;/&gt;&lt;wsp:rsid wsp:val=&quot;007C11C8&quot;/&gt;&lt;wsp:rsid wsp:val=&quot;007C1591&quot;/&gt;&lt;wsp:rsid wsp:val=&quot;007C20DB&quot;/&gt;&lt;wsp:rsid wsp:val=&quot;007C23CA&quot;/&gt;&lt;wsp:rsid wsp:val=&quot;007C29E7&quot;/&gt;&lt;wsp:rsid wsp:val=&quot;007C2ECB&quot;/&gt;&lt;wsp:rsid wsp:val=&quot;007C2EEE&quot;/&gt;&lt;wsp:rsid wsp:val=&quot;007C32BA&quot;/&gt;&lt;wsp:rsid wsp:val=&quot;007C3367&quot;/&gt;&lt;wsp:rsid wsp:val=&quot;007C364E&quot;/&gt;&lt;wsp:rsid wsp:val=&quot;007C36B1&quot;/&gt;&lt;wsp:rsid wsp:val=&quot;007C3722&quot;/&gt;&lt;wsp:rsid wsp:val=&quot;007C3747&quot;/&gt;&lt;wsp:rsid wsp:val=&quot;007C38D9&quot;/&gt;&lt;wsp:rsid wsp:val=&quot;007C3DE5&quot;/&gt;&lt;wsp:rsid wsp:val=&quot;007C4074&quot;/&gt;&lt;wsp:rsid wsp:val=&quot;007C4F5A&quot;/&gt;&lt;wsp:rsid wsp:val=&quot;007C50F4&quot;/&gt;&lt;wsp:rsid wsp:val=&quot;007C5200&quot;/&gt;&lt;wsp:rsid wsp:val=&quot;007C5581&quot;/&gt;&lt;wsp:rsid wsp:val=&quot;007C5732&quot;/&gt;&lt;wsp:rsid wsp:val=&quot;007C5A5A&quot;/&gt;&lt;wsp:rsid wsp:val=&quot;007C5DA4&quot;/&gt;&lt;wsp:rsid wsp:val=&quot;007C5DD1&quot;/&gt;&lt;wsp:rsid wsp:val=&quot;007C6326&quot;/&gt;&lt;wsp:rsid wsp:val=&quot;007C684E&quot;/&gt;&lt;wsp:rsid wsp:val=&quot;007C6C41&quot;/&gt;&lt;wsp:rsid wsp:val=&quot;007C72F0&quot;/&gt;&lt;wsp:rsid wsp:val=&quot;007C73BA&quot;/&gt;&lt;wsp:rsid wsp:val=&quot;007C7797&quot;/&gt;&lt;wsp:rsid wsp:val=&quot;007C7A6B&quot;/&gt;&lt;wsp:rsid wsp:val=&quot;007C7C0D&quot;/&gt;&lt;wsp:rsid wsp:val=&quot;007D0152&quot;/&gt;&lt;wsp:rsid wsp:val=&quot;007D0A4F&quot;/&gt;&lt;wsp:rsid wsp:val=&quot;007D0CEE&quot;/&gt;&lt;wsp:rsid wsp:val=&quot;007D0E99&quot;/&gt;&lt;wsp:rsid wsp:val=&quot;007D0EC3&quot;/&gt;&lt;wsp:rsid wsp:val=&quot;007D124F&quot;/&gt;&lt;wsp:rsid wsp:val=&quot;007D12C0&quot;/&gt;&lt;wsp:rsid wsp:val=&quot;007D150B&quot;/&gt;&lt;wsp:rsid wsp:val=&quot;007D1607&quot;/&gt;&lt;wsp:rsid wsp:val=&quot;007D1645&quot;/&gt;&lt;wsp:rsid wsp:val=&quot;007D18E0&quot;/&gt;&lt;wsp:rsid wsp:val=&quot;007D1BC1&quot;/&gt;&lt;wsp:rsid wsp:val=&quot;007D1C66&quot;/&gt;&lt;wsp:rsid wsp:val=&quot;007D1CC7&quot;/&gt;&lt;wsp:rsid wsp:val=&quot;007D1CFA&quot;/&gt;&lt;wsp:rsid wsp:val=&quot;007D1E39&quot;/&gt;&lt;wsp:rsid wsp:val=&quot;007D2240&quot;/&gt;&lt;wsp:rsid wsp:val=&quot;007D22B0&quot;/&gt;&lt;wsp:rsid wsp:val=&quot;007D2504&quot;/&gt;&lt;wsp:rsid wsp:val=&quot;007D279A&quot;/&gt;&lt;wsp:rsid wsp:val=&quot;007D2ABA&quot;/&gt;&lt;wsp:rsid wsp:val=&quot;007D2ADC&quot;/&gt;&lt;wsp:rsid wsp:val=&quot;007D2D26&quot;/&gt;&lt;wsp:rsid wsp:val=&quot;007D2EB8&quot;/&gt;&lt;wsp:rsid wsp:val=&quot;007D2EC6&quot;/&gt;&lt;wsp:rsid wsp:val=&quot;007D3264&quot;/&gt;&lt;wsp:rsid wsp:val=&quot;007D32FF&quot;/&gt;&lt;wsp:rsid wsp:val=&quot;007D375C&quot;/&gt;&lt;wsp:rsid wsp:val=&quot;007D3C9B&quot;/&gt;&lt;wsp:rsid wsp:val=&quot;007D409B&quot;/&gt;&lt;wsp:rsid wsp:val=&quot;007D41AB&quot;/&gt;&lt;wsp:rsid wsp:val=&quot;007D4587&quot;/&gt;&lt;wsp:rsid wsp:val=&quot;007D47CB&quot;/&gt;&lt;wsp:rsid wsp:val=&quot;007D4BC7&quot;/&gt;&lt;wsp:rsid wsp:val=&quot;007D4C39&quot;/&gt;&lt;wsp:rsid wsp:val=&quot;007D4D48&quot;/&gt;&lt;wsp:rsid wsp:val=&quot;007D4DA5&quot;/&gt;&lt;wsp:rsid wsp:val=&quot;007D5948&quot;/&gt;&lt;wsp:rsid wsp:val=&quot;007D5B4C&quot;/&gt;&lt;wsp:rsid wsp:val=&quot;007D5C25&quot;/&gt;&lt;wsp:rsid wsp:val=&quot;007D5D86&quot;/&gt;&lt;wsp:rsid wsp:val=&quot;007D5EA0&quot;/&gt;&lt;wsp:rsid wsp:val=&quot;007D5FDB&quot;/&gt;&lt;wsp:rsid wsp:val=&quot;007D627E&quot;/&gt;&lt;wsp:rsid wsp:val=&quot;007D62FD&quot;/&gt;&lt;wsp:rsid wsp:val=&quot;007D6494&quot;/&gt;&lt;wsp:rsid wsp:val=&quot;007D64A7&quot;/&gt;&lt;wsp:rsid wsp:val=&quot;007D6508&quot;/&gt;&lt;wsp:rsid wsp:val=&quot;007D6C21&quot;/&gt;&lt;wsp:rsid wsp:val=&quot;007D716E&quot;/&gt;&lt;wsp:rsid wsp:val=&quot;007D7ACF&quot;/&gt;&lt;wsp:rsid wsp:val=&quot;007D7BCF&quot;/&gt;&lt;wsp:rsid wsp:val=&quot;007E00E4&quot;/&gt;&lt;wsp:rsid wsp:val=&quot;007E0268&quot;/&gt;&lt;wsp:rsid wsp:val=&quot;007E060E&quot;/&gt;&lt;wsp:rsid wsp:val=&quot;007E087A&quot;/&gt;&lt;wsp:rsid wsp:val=&quot;007E0969&quot;/&gt;&lt;wsp:rsid wsp:val=&quot;007E09FA&quot;/&gt;&lt;wsp:rsid wsp:val=&quot;007E1244&quot;/&gt;&lt;wsp:rsid wsp:val=&quot;007E1A43&quot;/&gt;&lt;wsp:rsid wsp:val=&quot;007E1A52&quot;/&gt;&lt;wsp:rsid wsp:val=&quot;007E1ADE&quot;/&gt;&lt;wsp:rsid wsp:val=&quot;007E1D43&quot;/&gt;&lt;wsp:rsid wsp:val=&quot;007E1D4D&quot;/&gt;&lt;wsp:rsid wsp:val=&quot;007E2123&quot;/&gt;&lt;wsp:rsid wsp:val=&quot;007E241C&quot;/&gt;&lt;wsp:rsid wsp:val=&quot;007E2834&quot;/&gt;&lt;wsp:rsid wsp:val=&quot;007E2BC4&quot;/&gt;&lt;wsp:rsid wsp:val=&quot;007E2DA6&quot;/&gt;&lt;wsp:rsid wsp:val=&quot;007E2FA4&quot;/&gt;&lt;wsp:rsid wsp:val=&quot;007E30B9&quot;/&gt;&lt;wsp:rsid wsp:val=&quot;007E3370&quot;/&gt;&lt;wsp:rsid wsp:val=&quot;007E3593&quot;/&gt;&lt;wsp:rsid wsp:val=&quot;007E3686&quot;/&gt;&lt;wsp:rsid wsp:val=&quot;007E3EA5&quot;/&gt;&lt;wsp:rsid wsp:val=&quot;007E3F11&quot;/&gt;&lt;wsp:rsid wsp:val=&quot;007E3F9E&quot;/&gt;&lt;wsp:rsid wsp:val=&quot;007E47F7&quot;/&gt;&lt;wsp:rsid wsp:val=&quot;007E48E6&quot;/&gt;&lt;wsp:rsid wsp:val=&quot;007E4A75&quot;/&gt;&lt;wsp:rsid wsp:val=&quot;007E4A99&quot;/&gt;&lt;wsp:rsid wsp:val=&quot;007E4C83&quot;/&gt;&lt;wsp:rsid wsp:val=&quot;007E4FF9&quot;/&gt;&lt;wsp:rsid wsp:val=&quot;007E56C3&quot;/&gt;&lt;wsp:rsid wsp:val=&quot;007E5D09&quot;/&gt;&lt;wsp:rsid wsp:val=&quot;007E5D15&quot;/&gt;&lt;wsp:rsid wsp:val=&quot;007E60E4&quot;/&gt;&lt;wsp:rsid wsp:val=&quot;007E61AF&quot;/&gt;&lt;wsp:rsid wsp:val=&quot;007E61DC&quot;/&gt;&lt;wsp:rsid wsp:val=&quot;007E6348&quot;/&gt;&lt;wsp:rsid wsp:val=&quot;007E63EE&quot;/&gt;&lt;wsp:rsid wsp:val=&quot;007E64B8&quot;/&gt;&lt;wsp:rsid wsp:val=&quot;007E6716&quot;/&gt;&lt;wsp:rsid wsp:val=&quot;007E67E9&quot;/&gt;&lt;wsp:rsid wsp:val=&quot;007E6845&quot;/&gt;&lt;wsp:rsid wsp:val=&quot;007E684D&quot;/&gt;&lt;wsp:rsid wsp:val=&quot;007E6ADF&quot;/&gt;&lt;wsp:rsid wsp:val=&quot;007E6AFE&quot;/&gt;&lt;wsp:rsid wsp:val=&quot;007E6EC8&quot;/&gt;&lt;wsp:rsid wsp:val=&quot;007E710C&quot;/&gt;&lt;wsp:rsid wsp:val=&quot;007E72A0&quot;/&gt;&lt;wsp:rsid wsp:val=&quot;007E7602&quot;/&gt;&lt;wsp:rsid wsp:val=&quot;007E769B&quot;/&gt;&lt;wsp:rsid wsp:val=&quot;007E76D6&quot;/&gt;&lt;wsp:rsid wsp:val=&quot;007E775F&quot;/&gt;&lt;wsp:rsid wsp:val=&quot;007E7799&quot;/&gt;&lt;wsp:rsid wsp:val=&quot;007E7C3A&quot;/&gt;&lt;wsp:rsid wsp:val=&quot;007F0137&quot;/&gt;&lt;wsp:rsid wsp:val=&quot;007F0F44&quot;/&gt;&lt;wsp:rsid wsp:val=&quot;007F13C7&quot;/&gt;&lt;wsp:rsid wsp:val=&quot;007F13E5&quot;/&gt;&lt;wsp:rsid wsp:val=&quot;007F1C37&quot;/&gt;&lt;wsp:rsid wsp:val=&quot;007F1C87&quot;/&gt;&lt;wsp:rsid wsp:val=&quot;007F1EB8&quot;/&gt;&lt;wsp:rsid wsp:val=&quot;007F2148&quot;/&gt;&lt;wsp:rsid wsp:val=&quot;007F2178&quot;/&gt;&lt;wsp:rsid wsp:val=&quot;007F2329&quot;/&gt;&lt;wsp:rsid wsp:val=&quot;007F2475&quot;/&gt;&lt;wsp:rsid wsp:val=&quot;007F28FE&quot;/&gt;&lt;wsp:rsid wsp:val=&quot;007F2C05&quot;/&gt;&lt;wsp:rsid wsp:val=&quot;007F2F0B&quot;/&gt;&lt;wsp:rsid wsp:val=&quot;007F3061&quot;/&gt;&lt;wsp:rsid wsp:val=&quot;007F31BC&quot;/&gt;&lt;wsp:rsid wsp:val=&quot;007F34DE&quot;/&gt;&lt;wsp:rsid wsp:val=&quot;007F390A&quot;/&gt;&lt;wsp:rsid wsp:val=&quot;007F4472&quot;/&gt;&lt;wsp:rsid wsp:val=&quot;007F4B96&quot;/&gt;&lt;wsp:rsid wsp:val=&quot;007F4F74&quot;/&gt;&lt;wsp:rsid wsp:val=&quot;007F5177&quot;/&gt;&lt;wsp:rsid wsp:val=&quot;007F60E6&quot;/&gt;&lt;wsp:rsid wsp:val=&quot;007F6270&quot;/&gt;&lt;wsp:rsid wsp:val=&quot;007F6404&quot;/&gt;&lt;wsp:rsid wsp:val=&quot;007F718E&quot;/&gt;&lt;wsp:rsid wsp:val=&quot;007F771F&quot;/&gt;&lt;wsp:rsid wsp:val=&quot;007F7A4C&quot;/&gt;&lt;wsp:rsid wsp:val=&quot;008001D8&quot;/&gt;&lt;wsp:rsid wsp:val=&quot;008006A8&quot;/&gt;&lt;wsp:rsid wsp:val=&quot;00800BB8&quot;/&gt;&lt;wsp:rsid wsp:val=&quot;00800E2C&quot;/&gt;&lt;wsp:rsid wsp:val=&quot;00800F0F&quot;/&gt;&lt;wsp:rsid wsp:val=&quot;00801002&quot;/&gt;&lt;wsp:rsid wsp:val=&quot;00802450&quot;/&gt;&lt;wsp:rsid wsp:val=&quot;008025B5&quot;/&gt;&lt;wsp:rsid wsp:val=&quot;0080274C&quot;/&gt;&lt;wsp:rsid wsp:val=&quot;00802CB7&quot;/&gt;&lt;wsp:rsid wsp:val=&quot;00802CDF&quot;/&gt;&lt;wsp:rsid wsp:val=&quot;00802E4A&quot;/&gt;&lt;wsp:rsid wsp:val=&quot;00802EE9&quot;/&gt;&lt;wsp:rsid wsp:val=&quot;00803A2E&quot;/&gt;&lt;wsp:rsid wsp:val=&quot;00803FF4&quot;/&gt;&lt;wsp:rsid wsp:val=&quot;0080414C&quot;/&gt;&lt;wsp:rsid wsp:val=&quot;008041B4&quot;/&gt;&lt;wsp:rsid wsp:val=&quot;008043C2&quot;/&gt;&lt;wsp:rsid wsp:val=&quot;00804428&quot;/&gt;&lt;wsp:rsid wsp:val=&quot;00804761&quot;/&gt;&lt;wsp:rsid wsp:val=&quot;008047A2&quot;/&gt;&lt;wsp:rsid wsp:val=&quot;00804A49&quot;/&gt;&lt;wsp:rsid wsp:val=&quot;00804C46&quot;/&gt;&lt;wsp:rsid wsp:val=&quot;008050C6&quot;/&gt;&lt;wsp:rsid wsp:val=&quot;0080576A&quot;/&gt;&lt;wsp:rsid wsp:val=&quot;00805848&quot;/&gt;&lt;wsp:rsid wsp:val=&quot;00806065&quot;/&gt;&lt;wsp:rsid wsp:val=&quot;00806A5A&quot;/&gt;&lt;wsp:rsid wsp:val=&quot;008071B3&quot;/&gt;&lt;wsp:rsid wsp:val=&quot;00807212&quot;/&gt;&lt;wsp:rsid wsp:val=&quot;0080760F&quot;/&gt;&lt;wsp:rsid wsp:val=&quot;00807880&quot;/&gt;&lt;wsp:rsid wsp:val=&quot;00807C26&quot;/&gt;&lt;wsp:rsid wsp:val=&quot;00807F63&quot;/&gt;&lt;wsp:rsid wsp:val=&quot;00810315&quot;/&gt;&lt;wsp:rsid wsp:val=&quot;00810398&quot;/&gt;&lt;wsp:rsid wsp:val=&quot;00810414&quot;/&gt;&lt;wsp:rsid wsp:val=&quot;00810708&quot;/&gt;&lt;wsp:rsid wsp:val=&quot;008108F0&quot;/&gt;&lt;wsp:rsid wsp:val=&quot;008109F5&quot;/&gt;&lt;wsp:rsid wsp:val=&quot;00810C6B&quot;/&gt;&lt;wsp:rsid wsp:val=&quot;00811081&quot;/&gt;&lt;wsp:rsid wsp:val=&quot;008110E1&quot;/&gt;&lt;wsp:rsid wsp:val=&quot;00811601&quot;/&gt;&lt;wsp:rsid wsp:val=&quot;00811852&quot;/&gt;&lt;wsp:rsid wsp:val=&quot;00811902&quot;/&gt;&lt;wsp:rsid wsp:val=&quot;00811A43&quot;/&gt;&lt;wsp:rsid wsp:val=&quot;00811FE4&quot;/&gt;&lt;wsp:rsid wsp:val=&quot;00812170&quot;/&gt;&lt;wsp:rsid wsp:val=&quot;0081258B&quot;/&gt;&lt;wsp:rsid wsp:val=&quot;00812BBB&quot;/&gt;&lt;wsp:rsid wsp:val=&quot;00812C46&quot;/&gt;&lt;wsp:rsid wsp:val=&quot;00812CD9&quot;/&gt;&lt;wsp:rsid wsp:val=&quot;008132A5&quot;/&gt;&lt;wsp:rsid wsp:val=&quot;00813330&quot;/&gt;&lt;wsp:rsid wsp:val=&quot;00813361&quot;/&gt;&lt;wsp:rsid wsp:val=&quot;008134AA&quot;/&gt;&lt;wsp:rsid wsp:val=&quot;008137F2&quot;/&gt;&lt;wsp:rsid wsp:val=&quot;00813849&quot;/&gt;&lt;wsp:rsid wsp:val=&quot;00814082&quot;/&gt;&lt;wsp:rsid wsp:val=&quot;0081486F&quot;/&gt;&lt;wsp:rsid wsp:val=&quot;00814B3B&quot;/&gt;&lt;wsp:rsid wsp:val=&quot;00814B61&quot;/&gt;&lt;wsp:rsid wsp:val=&quot;00815174&quot;/&gt;&lt;wsp:rsid wsp:val=&quot;008155F9&quot;/&gt;&lt;wsp:rsid wsp:val=&quot;008159A1&quot;/&gt;&lt;wsp:rsid wsp:val=&quot;00815B37&quot;/&gt;&lt;wsp:rsid wsp:val=&quot;00815EA7&quot;/&gt;&lt;wsp:rsid wsp:val=&quot;00815EBD&quot;/&gt;&lt;wsp:rsid wsp:val=&quot;008162FE&quot;/&gt;&lt;wsp:rsid wsp:val=&quot;00816398&quot;/&gt;&lt;wsp:rsid wsp:val=&quot;0081654E&quot;/&gt;&lt;wsp:rsid wsp:val=&quot;00816C1E&quot;/&gt;&lt;wsp:rsid wsp:val=&quot;00816C46&quot;/&gt;&lt;wsp:rsid wsp:val=&quot;00816D56&quot;/&gt;&lt;wsp:rsid wsp:val=&quot;008171AB&quot;/&gt;&lt;wsp:rsid wsp:val=&quot;008172B0&quot;/&gt;&lt;wsp:rsid wsp:val=&quot;00817387&quot;/&gt;&lt;wsp:rsid wsp:val=&quot;0081797F&quot;/&gt;&lt;wsp:rsid wsp:val=&quot;008200DC&quot;/&gt;&lt;wsp:rsid wsp:val=&quot;008203C2&quot;/&gt;&lt;wsp:rsid wsp:val=&quot;00821293&quot;/&gt;&lt;wsp:rsid wsp:val=&quot;00821807&quot;/&gt;&lt;wsp:rsid wsp:val=&quot;00821895&quot;/&gt;&lt;wsp:rsid wsp:val=&quot;00821A6B&quot;/&gt;&lt;wsp:rsid wsp:val=&quot;00821CE2&quot;/&gt;&lt;wsp:rsid wsp:val=&quot;008220BB&quot;/&gt;&lt;wsp:rsid wsp:val=&quot;00822539&quot;/&gt;&lt;wsp:rsid wsp:val=&quot;008234B3&quot;/&gt;&lt;wsp:rsid wsp:val=&quot;00823566&quot;/&gt;&lt;wsp:rsid wsp:val=&quot;00823B15&quot;/&gt;&lt;wsp:rsid wsp:val=&quot;00824561&quot;/&gt;&lt;wsp:rsid wsp:val=&quot;0082502E&quot;/&gt;&lt;wsp:rsid wsp:val=&quot;008251CA&quot;/&gt;&lt;wsp:rsid wsp:val=&quot;008253C6&quot;/&gt;&lt;wsp:rsid wsp:val=&quot;008253F0&quot;/&gt;&lt;wsp:rsid wsp:val=&quot;008256F2&quot;/&gt;&lt;wsp:rsid wsp:val=&quot;00825F83&quot;/&gt;&lt;wsp:rsid wsp:val=&quot;0082612E&quot;/&gt;&lt;wsp:rsid wsp:val=&quot;008262C5&quot;/&gt;&lt;wsp:rsid wsp:val=&quot;00826510&quot;/&gt;&lt;wsp:rsid wsp:val=&quot;0082706E&quot;/&gt;&lt;wsp:rsid wsp:val=&quot;0082759B&quot;/&gt;&lt;wsp:rsid wsp:val=&quot;00827BCA&quot;/&gt;&lt;wsp:rsid wsp:val=&quot;00827DAD&quot;/&gt;&lt;wsp:rsid wsp:val=&quot;00827F05&quot;/&gt;&lt;wsp:rsid wsp:val=&quot;00827F6D&quot;/&gt;&lt;wsp:rsid wsp:val=&quot;0083080E&quot;/&gt;&lt;wsp:rsid wsp:val=&quot;0083086C&quot;/&gt;&lt;wsp:rsid wsp:val=&quot;00830CF4&quot;/&gt;&lt;wsp:rsid wsp:val=&quot;00830DAF&quot;/&gt;&lt;wsp:rsid wsp:val=&quot;00830F63&quot;/&gt;&lt;wsp:rsid wsp:val=&quot;00830F77&quot;/&gt;&lt;wsp:rsid wsp:val=&quot;008311D9&quot;/&gt;&lt;wsp:rsid wsp:val=&quot;00831486&quot;/&gt;&lt;wsp:rsid wsp:val=&quot;00831AC1&quot;/&gt;&lt;wsp:rsid wsp:val=&quot;00831F2E&quot;/&gt;&lt;wsp:rsid wsp:val=&quot;008325A4&quot;/&gt;&lt;wsp:rsid wsp:val=&quot;00832ADC&quot;/&gt;&lt;wsp:rsid wsp:val=&quot;00832E81&quot;/&gt;&lt;wsp:rsid wsp:val=&quot;00833A63&quot;/&gt;&lt;wsp:rsid wsp:val=&quot;00833BF2&quot;/&gt;&lt;wsp:rsid wsp:val=&quot;00833D11&quot;/&gt;&lt;wsp:rsid wsp:val=&quot;00833D69&quot;/&gt;&lt;wsp:rsid wsp:val=&quot;00833F52&quot;/&gt;&lt;wsp:rsid wsp:val=&quot;00834120&quot;/&gt;&lt;wsp:rsid wsp:val=&quot;00834185&quot;/&gt;&lt;wsp:rsid wsp:val=&quot;00834541&quot;/&gt;&lt;wsp:rsid wsp:val=&quot;00834920&quot;/&gt;&lt;wsp:rsid wsp:val=&quot;008349E6&quot;/&gt;&lt;wsp:rsid wsp:val=&quot;00834C64&quot;/&gt;&lt;wsp:rsid wsp:val=&quot;00834ECA&quot;/&gt;&lt;wsp:rsid wsp:val=&quot;00834ED1&quot;/&gt;&lt;wsp:rsid wsp:val=&quot;00834EE9&quot;/&gt;&lt;wsp:rsid wsp:val=&quot;00835031&quot;/&gt;&lt;wsp:rsid wsp:val=&quot;008354B6&quot;/&gt;&lt;wsp:rsid wsp:val=&quot;00835797&quot;/&gt;&lt;wsp:rsid wsp:val=&quot;00835A24&quot;/&gt;&lt;wsp:rsid wsp:val=&quot;00835B9C&quot;/&gt;&lt;wsp:rsid wsp:val=&quot;00835BEA&quot;/&gt;&lt;wsp:rsid wsp:val=&quot;00835C42&quot;/&gt;&lt;wsp:rsid wsp:val=&quot;00836133&quot;/&gt;&lt;wsp:rsid wsp:val=&quot;0083635A&quot;/&gt;&lt;wsp:rsid wsp:val=&quot;008365CB&quot;/&gt;&lt;wsp:rsid wsp:val=&quot;00836C7C&quot;/&gt;&lt;wsp:rsid wsp:val=&quot;00836DB2&quot;/&gt;&lt;wsp:rsid wsp:val=&quot;00836F53&quot;/&gt;&lt;wsp:rsid wsp:val=&quot;00837197&quot;/&gt;&lt;wsp:rsid wsp:val=&quot;008375F6&quot;/&gt;&lt;wsp:rsid wsp:val=&quot;008377FE&quot;/&gt;&lt;wsp:rsid wsp:val=&quot;00837A1D&quot;/&gt;&lt;wsp:rsid wsp:val=&quot;00837D64&quot;/&gt;&lt;wsp:rsid wsp:val=&quot;00837E77&quot;/&gt;&lt;wsp:rsid wsp:val=&quot;008400EC&quot;/&gt;&lt;wsp:rsid wsp:val=&quot;0084034A&quot;/&gt;&lt;wsp:rsid wsp:val=&quot;00840447&quot;/&gt;&lt;wsp:rsid wsp:val=&quot;0084099B&quot;/&gt;&lt;wsp:rsid wsp:val=&quot;00840F5A&quot;/&gt;&lt;wsp:rsid wsp:val=&quot;00840FC2&quot;/&gt;&lt;wsp:rsid wsp:val=&quot;0084150B&quot;/&gt;&lt;wsp:rsid wsp:val=&quot;0084178A&quot;/&gt;&lt;wsp:rsid wsp:val=&quot;00841F2F&quot;/&gt;&lt;wsp:rsid wsp:val=&quot;00841F32&quot;/&gt;&lt;wsp:rsid wsp:val=&quot;00841FD5&quot;/&gt;&lt;wsp:rsid wsp:val=&quot;0084207E&quot;/&gt;&lt;wsp:rsid wsp:val=&quot;00843913&quot;/&gt;&lt;wsp:rsid wsp:val=&quot;00843B1E&quot;/&gt;&lt;wsp:rsid wsp:val=&quot;00843B27&quot;/&gt;&lt;wsp:rsid wsp:val=&quot;00844103&quot;/&gt;&lt;wsp:rsid wsp:val=&quot;008441EA&quot;/&gt;&lt;wsp:rsid wsp:val=&quot;00844794&quot;/&gt;&lt;wsp:rsid wsp:val=&quot;008447E6&quot;/&gt;&lt;wsp:rsid wsp:val=&quot;0084482C&quot;/&gt;&lt;wsp:rsid wsp:val=&quot;00845048&quot;/&gt;&lt;wsp:rsid wsp:val=&quot;008452FB&quot;/&gt;&lt;wsp:rsid wsp:val=&quot;008457C9&quot;/&gt;&lt;wsp:rsid wsp:val=&quot;00845898&quot;/&gt;&lt;wsp:rsid wsp:val=&quot;00845C8D&quot;/&gt;&lt;wsp:rsid wsp:val=&quot;00845F37&quot;/&gt;&lt;wsp:rsid wsp:val=&quot;0084642F&quot;/&gt;&lt;wsp:rsid wsp:val=&quot;00846458&quot;/&gt;&lt;wsp:rsid wsp:val=&quot;008465F4&quot;/&gt;&lt;wsp:rsid wsp:val=&quot;00846A80&quot;/&gt;&lt;wsp:rsid wsp:val=&quot;00847162&quot;/&gt;&lt;wsp:rsid wsp:val=&quot;008472BD&quot;/&gt;&lt;wsp:rsid wsp:val=&quot;008473E4&quot;/&gt;&lt;wsp:rsid wsp:val=&quot;008477EC&quot;/&gt;&lt;wsp:rsid wsp:val=&quot;008479D2&quot;/&gt;&lt;wsp:rsid wsp:val=&quot;00847D45&quot;/&gt;&lt;wsp:rsid wsp:val=&quot;00847DFB&quot;/&gt;&lt;wsp:rsid wsp:val=&quot;00847E31&quot;/&gt;&lt;wsp:rsid wsp:val=&quot;00850BAB&quot;/&gt;&lt;wsp:rsid wsp:val=&quot;00851693&quot;/&gt;&lt;wsp:rsid wsp:val=&quot;0085176F&quot;/&gt;&lt;wsp:rsid wsp:val=&quot;0085195C&quot;/&gt;&lt;wsp:rsid wsp:val=&quot;00851F11&quot;/&gt;&lt;wsp:rsid wsp:val=&quot;008521E1&quot;/&gt;&lt;wsp:rsid wsp:val=&quot;0085225F&quot;/&gt;&lt;wsp:rsid wsp:val=&quot;00852400&quot;/&gt;&lt;wsp:rsid wsp:val=&quot;00852D44&quot;/&gt;&lt;wsp:rsid wsp:val=&quot;008530EB&quot;/&gt;&lt;wsp:rsid wsp:val=&quot;0085337D&quot;/&gt;&lt;wsp:rsid wsp:val=&quot;008533E2&quot;/&gt;&lt;wsp:rsid wsp:val=&quot;0085363E&quot;/&gt;&lt;wsp:rsid wsp:val=&quot;00853EC8&quot;/&gt;&lt;wsp:rsid wsp:val=&quot;00853EDE&quot;/&gt;&lt;wsp:rsid wsp:val=&quot;0085402E&quot;/&gt;&lt;wsp:rsid wsp:val=&quot;008541BF&quot;/&gt;&lt;wsp:rsid wsp:val=&quot;008545D3&quot;/&gt;&lt;wsp:rsid wsp:val=&quot;00854628&quot;/&gt;&lt;wsp:rsid wsp:val=&quot;008547C4&quot;/&gt;&lt;wsp:rsid wsp:val=&quot;00854A4F&quot;/&gt;&lt;wsp:rsid wsp:val=&quot;00854D45&quot;/&gt;&lt;wsp:rsid wsp:val=&quot;00854F38&quot;/&gt;&lt;wsp:rsid wsp:val=&quot;00855083&quot;/&gt;&lt;wsp:rsid wsp:val=&quot;00855EDE&quot;/&gt;&lt;wsp:rsid wsp:val=&quot;00855F9C&quot;/&gt;&lt;wsp:rsid wsp:val=&quot;00856487&quot;/&gt;&lt;wsp:rsid wsp:val=&quot;0085684E&quot;/&gt;&lt;wsp:rsid wsp:val=&quot;00856EBC&quot;/&gt;&lt;wsp:rsid wsp:val=&quot;00857644&quot;/&gt;&lt;wsp:rsid wsp:val=&quot;00857B5D&quot;/&gt;&lt;wsp:rsid wsp:val=&quot;00857BD4&quot;/&gt;&lt;wsp:rsid wsp:val=&quot;00857C3A&quot;/&gt;&lt;wsp:rsid wsp:val=&quot;00857F77&quot;/&gt;&lt;wsp:rsid wsp:val=&quot;00860617&quot;/&gt;&lt;wsp:rsid wsp:val=&quot;008606ED&quot;/&gt;&lt;wsp:rsid wsp:val=&quot;0086099B&quot;/&gt;&lt;wsp:rsid wsp:val=&quot;00860CB8&quot;/&gt;&lt;wsp:rsid wsp:val=&quot;00860E78&quot;/&gt;&lt;wsp:rsid wsp:val=&quot;00860F42&quot;/&gt;&lt;wsp:rsid wsp:val=&quot;0086129F&quot;/&gt;&lt;wsp:rsid wsp:val=&quot;00861D60&quot;/&gt;&lt;wsp:rsid wsp:val=&quot;0086286D&quot;/&gt;&lt;wsp:rsid wsp:val=&quot;0086299E&quot;/&gt;&lt;wsp:rsid wsp:val=&quot;00862A79&quot;/&gt;&lt;wsp:rsid wsp:val=&quot;00862B26&quot;/&gt;&lt;wsp:rsid wsp:val=&quot;00862DF6&quot;/&gt;&lt;wsp:rsid wsp:val=&quot;0086306A&quot;/&gt;&lt;wsp:rsid wsp:val=&quot;0086392F&quot;/&gt;&lt;wsp:rsid wsp:val=&quot;00863A18&quot;/&gt;&lt;wsp:rsid wsp:val=&quot;00863A9C&quot;/&gt;&lt;wsp:rsid wsp:val=&quot;00863AAB&quot;/&gt;&lt;wsp:rsid wsp:val=&quot;00863B3E&quot;/&gt;&lt;wsp:rsid wsp:val=&quot;00863BCA&quot;/&gt;&lt;wsp:rsid wsp:val=&quot;00863C5D&quot;/&gt;&lt;wsp:rsid wsp:val=&quot;00864B9C&quot;/&gt;&lt;wsp:rsid wsp:val=&quot;00864DD5&quot;/&gt;&lt;wsp:rsid wsp:val=&quot;00864E60&quot;/&gt;&lt;wsp:rsid wsp:val=&quot;008651C2&quot;/&gt;&lt;wsp:rsid wsp:val=&quot;008656B8&quot;/&gt;&lt;wsp:rsid wsp:val=&quot;0086572F&quot;/&gt;&lt;wsp:rsid wsp:val=&quot;00865818&quot;/&gt;&lt;wsp:rsid wsp:val=&quot;0086582D&quot;/&gt;&lt;wsp:rsid wsp:val=&quot;00865D23&quot;/&gt;&lt;wsp:rsid wsp:val=&quot;00866052&quot;/&gt;&lt;wsp:rsid wsp:val=&quot;00866268&quot;/&gt;&lt;wsp:rsid wsp:val=&quot;008668B7&quot;/&gt;&lt;wsp:rsid wsp:val=&quot;00866EEA&quot;/&gt;&lt;wsp:rsid wsp:val=&quot;0086727A&quot;/&gt;&lt;wsp:rsid wsp:val=&quot;00867798&quot;/&gt;&lt;wsp:rsid wsp:val=&quot;008677CD&quot;/&gt;&lt;wsp:rsid wsp:val=&quot;00867A65&quot;/&gt;&lt;wsp:rsid wsp:val=&quot;00867C5A&quot;/&gt;&lt;wsp:rsid wsp:val=&quot;00867CB4&quot;/&gt;&lt;wsp:rsid wsp:val=&quot;00867CC3&quot;/&gt;&lt;wsp:rsid wsp:val=&quot;00867D03&quot;/&gt;&lt;wsp:rsid wsp:val=&quot;00867D35&quot;/&gt;&lt;wsp:rsid wsp:val=&quot;0087007F&quot;/&gt;&lt;wsp:rsid wsp:val=&quot;0087015A&quot;/&gt;&lt;wsp:rsid wsp:val=&quot;00870441&quot;/&gt;&lt;wsp:rsid wsp:val=&quot;008705CF&quot;/&gt;&lt;wsp:rsid wsp:val=&quot;00870F38&quot;/&gt;&lt;wsp:rsid wsp:val=&quot;00871074&quot;/&gt;&lt;wsp:rsid wsp:val=&quot;00871C8C&quot;/&gt;&lt;wsp:rsid wsp:val=&quot;008720CB&quot;/&gt;&lt;wsp:rsid wsp:val=&quot;008726A9&quot;/&gt;&lt;wsp:rsid wsp:val=&quot;00872787&quot;/&gt;&lt;wsp:rsid wsp:val=&quot;008729D0&quot;/&gt;&lt;wsp:rsid wsp:val=&quot;00872C40&quot;/&gt;&lt;wsp:rsid wsp:val=&quot;00872D7F&quot;/&gt;&lt;wsp:rsid wsp:val=&quot;00872DB3&quot;/&gt;&lt;wsp:rsid wsp:val=&quot;008736C3&quot;/&gt;&lt;wsp:rsid wsp:val=&quot;0087390D&quot;/&gt;&lt;wsp:rsid wsp:val=&quot;00873CBA&quot;/&gt;&lt;wsp:rsid wsp:val=&quot;00874008&quot;/&gt;&lt;wsp:rsid wsp:val=&quot;008740A4&quot;/&gt;&lt;wsp:rsid wsp:val=&quot;00874188&quot;/&gt;&lt;wsp:rsid wsp:val=&quot;0087486B&quot;/&gt;&lt;wsp:rsid wsp:val=&quot;00875314&quot;/&gt;&lt;wsp:rsid wsp:val=&quot;0087532C&quot;/&gt;&lt;wsp:rsid wsp:val=&quot;00875357&quot;/&gt;&lt;wsp:rsid wsp:val=&quot;00875535&quot;/&gt;&lt;wsp:rsid wsp:val=&quot;00875647&quot;/&gt;&lt;wsp:rsid wsp:val=&quot;00875C02&quot;/&gt;&lt;wsp:rsid wsp:val=&quot;00875C95&quot;/&gt;&lt;wsp:rsid wsp:val=&quot;0087627E&quot;/&gt;&lt;wsp:rsid wsp:val=&quot;00876323&quot;/&gt;&lt;wsp:rsid wsp:val=&quot;00876E08&quot;/&gt;&lt;wsp:rsid wsp:val=&quot;008771C4&quot;/&gt;&lt;wsp:rsid wsp:val=&quot;008771E1&quot;/&gt;&lt;wsp:rsid wsp:val=&quot;008772EF&quot;/&gt;&lt;wsp:rsid wsp:val=&quot;00877482&quot;/&gt;&lt;wsp:rsid wsp:val=&quot;0087793A&quot;/&gt;&lt;wsp:rsid wsp:val=&quot;00877A42&quot;/&gt;&lt;wsp:rsid wsp:val=&quot;00877CCA&quot;/&gt;&lt;wsp:rsid wsp:val=&quot;00877E26&quot;/&gt;&lt;wsp:rsid wsp:val=&quot;00877F97&quot;/&gt;&lt;wsp:rsid wsp:val=&quot;00880187&quot;/&gt;&lt;wsp:rsid wsp:val=&quot;008807B2&quot;/&gt;&lt;wsp:rsid wsp:val=&quot;00880B0F&quot;/&gt;&lt;wsp:rsid wsp:val=&quot;00880B38&quot;/&gt;&lt;wsp:rsid wsp:val=&quot;008810ED&quot;/&gt;&lt;wsp:rsid wsp:val=&quot;0088155F&quot;/&gt;&lt;wsp:rsid wsp:val=&quot;00881959&quot;/&gt;&lt;wsp:rsid wsp:val=&quot;00881ABE&quot;/&gt;&lt;wsp:rsid wsp:val=&quot;00881C47&quot;/&gt;&lt;wsp:rsid wsp:val=&quot;00881FA6&quot;/&gt;&lt;wsp:rsid wsp:val=&quot;00881FC5&quot;/&gt;&lt;wsp:rsid wsp:val=&quot;008827B5&quot;/&gt;&lt;wsp:rsid wsp:val=&quot;00882E0E&quot;/&gt;&lt;wsp:rsid wsp:val=&quot;00883479&quot;/&gt;&lt;wsp:rsid wsp:val=&quot;00883601&quot;/&gt;&lt;wsp:rsid wsp:val=&quot;00884438&quot;/&gt;&lt;wsp:rsid wsp:val=&quot;008845D2&quot;/&gt;&lt;wsp:rsid wsp:val=&quot;00884689&quot;/&gt;&lt;wsp:rsid wsp:val=&quot;00884986&quot;/&gt;&lt;wsp:rsid wsp:val=&quot;00884E3A&quot;/&gt;&lt;wsp:rsid wsp:val=&quot;00884F66&quot;/&gt;&lt;wsp:rsid wsp:val=&quot;00885945&quot;/&gt;&lt;wsp:rsid wsp:val=&quot;00886031&quot;/&gt;&lt;wsp:rsid wsp:val=&quot;00886287&quot;/&gt;&lt;wsp:rsid wsp:val=&quot;008865EF&quot;/&gt;&lt;wsp:rsid wsp:val=&quot;00886926&quot;/&gt;&lt;wsp:rsid wsp:val=&quot;008869CD&quot;/&gt;&lt;wsp:rsid wsp:val=&quot;00886C82&quot;/&gt;&lt;wsp:rsid wsp:val=&quot;00886CA9&quot;/&gt;&lt;wsp:rsid wsp:val=&quot;00886F3F&quot;/&gt;&lt;wsp:rsid wsp:val=&quot;00887159&quot;/&gt;&lt;wsp:rsid wsp:val=&quot;008871E3&quot;/&gt;&lt;wsp:rsid wsp:val=&quot;0088732A&quot;/&gt;&lt;wsp:rsid wsp:val=&quot;008876C3&quot;/&gt;&lt;wsp:rsid wsp:val=&quot;0088771E&quot;/&gt;&lt;wsp:rsid wsp:val=&quot;00887E0A&quot;/&gt;&lt;wsp:rsid wsp:val=&quot;00887F79&quot;/&gt;&lt;wsp:rsid wsp:val=&quot;00890178&quot;/&gt;&lt;wsp:rsid wsp:val=&quot;0089018B&quot;/&gt;&lt;wsp:rsid wsp:val=&quot;008908F5&quot;/&gt;&lt;wsp:rsid wsp:val=&quot;00890907&quot;/&gt;&lt;wsp:rsid wsp:val=&quot;00890DFA&quot;/&gt;&lt;wsp:rsid wsp:val=&quot;00890F78&quot;/&gt;&lt;wsp:rsid wsp:val=&quot;0089120C&quot;/&gt;&lt;wsp:rsid wsp:val=&quot;008912E6&quot;/&gt;&lt;wsp:rsid wsp:val=&quot;0089138D&quot;/&gt;&lt;wsp:rsid wsp:val=&quot;00891863&quot;/&gt;&lt;wsp:rsid wsp:val=&quot;00891FAF&quot;/&gt;&lt;wsp:rsid wsp:val=&quot;008925B1&quot;/&gt;&lt;wsp:rsid wsp:val=&quot;0089275F&quot;/&gt;&lt;wsp:rsid wsp:val=&quot;00892A3B&quot;/&gt;&lt;wsp:rsid wsp:val=&quot;00892CA5&quot;/&gt;&lt;wsp:rsid wsp:val=&quot;00892E00&quot;/&gt;&lt;wsp:rsid wsp:val=&quot;00892E48&quot;/&gt;&lt;wsp:rsid wsp:val=&quot;00892E84&quot;/&gt;&lt;wsp:rsid wsp:val=&quot;0089333C&quot;/&gt;&lt;wsp:rsid wsp:val=&quot;00893479&quot;/&gt;&lt;wsp:rsid wsp:val=&quot;00893902&quot;/&gt;&lt;wsp:rsid wsp:val=&quot;00893A12&quot;/&gt;&lt;wsp:rsid wsp:val=&quot;00894712&quot;/&gt;&lt;wsp:rsid wsp:val=&quot;00894888&quot;/&gt;&lt;wsp:rsid wsp:val=&quot;008949DC&quot;/&gt;&lt;wsp:rsid wsp:val=&quot;00894D38&quot;/&gt;&lt;wsp:rsid wsp:val=&quot;00894EB0&quot;/&gt;&lt;wsp:rsid wsp:val=&quot;008950DA&quot;/&gt;&lt;wsp:rsid wsp:val=&quot;00895431&quot;/&gt;&lt;wsp:rsid wsp:val=&quot;00896177&quot;/&gt;&lt;wsp:rsid wsp:val=&quot;0089699E&quot;/&gt;&lt;wsp:rsid wsp:val=&quot;00896A7F&quot;/&gt;&lt;wsp:rsid wsp:val=&quot;00897169&quot;/&gt;&lt;wsp:rsid wsp:val=&quot;00897285&quot;/&gt;&lt;wsp:rsid wsp:val=&quot;00897399&quot;/&gt;&lt;wsp:rsid wsp:val=&quot;00897681&quot;/&gt;&lt;wsp:rsid wsp:val=&quot;0089779C&quot;/&gt;&lt;wsp:rsid wsp:val=&quot;00897D80&quot;/&gt;&lt;wsp:rsid wsp:val=&quot;00897DD2&quot;/&gt;&lt;wsp:rsid wsp:val=&quot;008A0385&quot;/&gt;&lt;wsp:rsid wsp:val=&quot;008A0DCD&quot;/&gt;&lt;wsp:rsid wsp:val=&quot;008A0EDE&quot;/&gt;&lt;wsp:rsid wsp:val=&quot;008A0EE8&quot;/&gt;&lt;wsp:rsid wsp:val=&quot;008A1306&quot;/&gt;&lt;wsp:rsid wsp:val=&quot;008A14C4&quot;/&gt;&lt;wsp:rsid wsp:val=&quot;008A20A1&quot;/&gt;&lt;wsp:rsid wsp:val=&quot;008A241C&quot;/&gt;&lt;wsp:rsid wsp:val=&quot;008A247F&quot;/&gt;&lt;wsp:rsid wsp:val=&quot;008A25DF&quot;/&gt;&lt;wsp:rsid wsp:val=&quot;008A2A7F&quot;/&gt;&lt;wsp:rsid wsp:val=&quot;008A2BC2&quot;/&gt;&lt;wsp:rsid wsp:val=&quot;008A2EED&quot;/&gt;&lt;wsp:rsid wsp:val=&quot;008A3B93&quot;/&gt;&lt;wsp:rsid wsp:val=&quot;008A3C64&quot;/&gt;&lt;wsp:rsid wsp:val=&quot;008A3D0B&quot;/&gt;&lt;wsp:rsid wsp:val=&quot;008A3EBD&quot;/&gt;&lt;wsp:rsid wsp:val=&quot;008A3FE9&quot;/&gt;&lt;wsp:rsid wsp:val=&quot;008A4144&quot;/&gt;&lt;wsp:rsid wsp:val=&quot;008A4E20&quot;/&gt;&lt;wsp:rsid wsp:val=&quot;008A4EA3&quot;/&gt;&lt;wsp:rsid wsp:val=&quot;008A5893&quot;/&gt;&lt;wsp:rsid wsp:val=&quot;008A5F7B&quot;/&gt;&lt;wsp:rsid wsp:val=&quot;008A6419&quot;/&gt;&lt;wsp:rsid wsp:val=&quot;008A6E62&quot;/&gt;&lt;wsp:rsid wsp:val=&quot;008A7024&quot;/&gt;&lt;wsp:rsid wsp:val=&quot;008A760B&quot;/&gt;&lt;wsp:rsid wsp:val=&quot;008A7E5B&quot;/&gt;&lt;wsp:rsid wsp:val=&quot;008A7F16&quot;/&gt;&lt;wsp:rsid wsp:val=&quot;008A7FF1&quot;/&gt;&lt;wsp:rsid wsp:val=&quot;008B03B8&quot;/&gt;&lt;wsp:rsid wsp:val=&quot;008B0AEA&quot;/&gt;&lt;wsp:rsid wsp:val=&quot;008B0CE3&quot;/&gt;&lt;wsp:rsid wsp:val=&quot;008B0CFB&quot;/&gt;&lt;wsp:rsid wsp:val=&quot;008B0D74&quot;/&gt;&lt;wsp:rsid wsp:val=&quot;008B1657&quot;/&gt;&lt;wsp:rsid wsp:val=&quot;008B167F&quot;/&gt;&lt;wsp:rsid wsp:val=&quot;008B1B1E&quot;/&gt;&lt;wsp:rsid wsp:val=&quot;008B1C53&quot;/&gt;&lt;wsp:rsid wsp:val=&quot;008B1EDF&quot;/&gt;&lt;wsp:rsid wsp:val=&quot;008B21D4&quot;/&gt;&lt;wsp:rsid wsp:val=&quot;008B22BA&quot;/&gt;&lt;wsp:rsid wsp:val=&quot;008B2A6C&quot;/&gt;&lt;wsp:rsid wsp:val=&quot;008B2C88&quot;/&gt;&lt;wsp:rsid wsp:val=&quot;008B317E&quot;/&gt;&lt;wsp:rsid wsp:val=&quot;008B3BFC&quot;/&gt;&lt;wsp:rsid wsp:val=&quot;008B417A&quot;/&gt;&lt;wsp:rsid wsp:val=&quot;008B47DF&quot;/&gt;&lt;wsp:rsid wsp:val=&quot;008B4ACB&quot;/&gt;&lt;wsp:rsid wsp:val=&quot;008B4BD6&quot;/&gt;&lt;wsp:rsid wsp:val=&quot;008B4C4F&quot;/&gt;&lt;wsp:rsid wsp:val=&quot;008B4CD5&quot;/&gt;&lt;wsp:rsid wsp:val=&quot;008B4D67&quot;/&gt;&lt;wsp:rsid wsp:val=&quot;008B513C&quot;/&gt;&lt;wsp:rsid wsp:val=&quot;008B515C&quot;/&gt;&lt;wsp:rsid wsp:val=&quot;008B544C&quot;/&gt;&lt;wsp:rsid wsp:val=&quot;008B5962&quot;/&gt;&lt;wsp:rsid wsp:val=&quot;008B62D2&quot;/&gt;&lt;wsp:rsid wsp:val=&quot;008B6326&quot;/&gt;&lt;wsp:rsid wsp:val=&quot;008B6513&quot;/&gt;&lt;wsp:rsid wsp:val=&quot;008B6CC7&quot;/&gt;&lt;wsp:rsid wsp:val=&quot;008B7083&quot;/&gt;&lt;wsp:rsid wsp:val=&quot;008B79F6&quot;/&gt;&lt;wsp:rsid wsp:val=&quot;008B7BA6&quot;/&gt;&lt;wsp:rsid wsp:val=&quot;008B7BDD&quot;/&gt;&lt;wsp:rsid wsp:val=&quot;008C004F&quot;/&gt;&lt;wsp:rsid wsp:val=&quot;008C00FA&quot;/&gt;&lt;wsp:rsid wsp:val=&quot;008C031E&quot;/&gt;&lt;wsp:rsid wsp:val=&quot;008C0496&quot;/&gt;&lt;wsp:rsid wsp:val=&quot;008C0725&quot;/&gt;&lt;wsp:rsid wsp:val=&quot;008C09C3&quot;/&gt;&lt;wsp:rsid wsp:val=&quot;008C0A2C&quot;/&gt;&lt;wsp:rsid wsp:val=&quot;008C0CD1&quot;/&gt;&lt;wsp:rsid wsp:val=&quot;008C0FCD&quot;/&gt;&lt;wsp:rsid wsp:val=&quot;008C141C&quot;/&gt;&lt;wsp:rsid wsp:val=&quot;008C178B&quot;/&gt;&lt;wsp:rsid wsp:val=&quot;008C1CEF&quot;/&gt;&lt;wsp:rsid wsp:val=&quot;008C1FB8&quot;/&gt;&lt;wsp:rsid wsp:val=&quot;008C2188&quot;/&gt;&lt;wsp:rsid wsp:val=&quot;008C28FC&quot;/&gt;&lt;wsp:rsid wsp:val=&quot;008C2B53&quot;/&gt;&lt;wsp:rsid wsp:val=&quot;008C2C5D&quot;/&gt;&lt;wsp:rsid wsp:val=&quot;008C2DF1&quot;/&gt;&lt;wsp:rsid wsp:val=&quot;008C2E09&quot;/&gt;&lt;wsp:rsid wsp:val=&quot;008C2E73&quot;/&gt;&lt;wsp:rsid wsp:val=&quot;008C2F26&quot;/&gt;&lt;wsp:rsid wsp:val=&quot;008C304E&quot;/&gt;&lt;wsp:rsid wsp:val=&quot;008C3341&quot;/&gt;&lt;wsp:rsid wsp:val=&quot;008C3B27&quot;/&gt;&lt;wsp:rsid wsp:val=&quot;008C40F4&quot;/&gt;&lt;wsp:rsid wsp:val=&quot;008C4236&quot;/&gt;&lt;wsp:rsid wsp:val=&quot;008C440D&quot;/&gt;&lt;wsp:rsid wsp:val=&quot;008C45EB&quot;/&gt;&lt;wsp:rsid wsp:val=&quot;008C4AA7&quot;/&gt;&lt;wsp:rsid wsp:val=&quot;008C5370&quot;/&gt;&lt;wsp:rsid wsp:val=&quot;008C53E6&quot;/&gt;&lt;wsp:rsid wsp:val=&quot;008C61E8&quot;/&gt;&lt;wsp:rsid wsp:val=&quot;008C65D8&quot;/&gt;&lt;wsp:rsid wsp:val=&quot;008C6723&quot;/&gt;&lt;wsp:rsid wsp:val=&quot;008C69F0&quot;/&gt;&lt;wsp:rsid wsp:val=&quot;008C6F58&quot;/&gt;&lt;wsp:rsid wsp:val=&quot;008C71C6&quot;/&gt;&lt;wsp:rsid wsp:val=&quot;008C7236&quot;/&gt;&lt;wsp:rsid wsp:val=&quot;008C7457&quot;/&gt;&lt;wsp:rsid wsp:val=&quot;008C765C&quot;/&gt;&lt;wsp:rsid wsp:val=&quot;008C7731&quot;/&gt;&lt;wsp:rsid wsp:val=&quot;008C77E4&quot;/&gt;&lt;wsp:rsid wsp:val=&quot;008C7A0B&quot;/&gt;&lt;wsp:rsid wsp:val=&quot;008C7A60&quot;/&gt;&lt;wsp:rsid wsp:val=&quot;008C7B67&quot;/&gt;&lt;wsp:rsid wsp:val=&quot;008C7F15&quot;/&gt;&lt;wsp:rsid wsp:val=&quot;008D09DE&quot;/&gt;&lt;wsp:rsid wsp:val=&quot;008D0F15&quot;/&gt;&lt;wsp:rsid wsp:val=&quot;008D1621&quot;/&gt;&lt;wsp:rsid wsp:val=&quot;008D172B&quot;/&gt;&lt;wsp:rsid wsp:val=&quot;008D1BA5&quot;/&gt;&lt;wsp:rsid wsp:val=&quot;008D2C98&quot;/&gt;&lt;wsp:rsid wsp:val=&quot;008D3458&quot;/&gt;&lt;wsp:rsid wsp:val=&quot;008D345E&quot;/&gt;&lt;wsp:rsid wsp:val=&quot;008D3466&quot;/&gt;&lt;wsp:rsid wsp:val=&quot;008D3B15&quot;/&gt;&lt;wsp:rsid wsp:val=&quot;008D3B7B&quot;/&gt;&lt;wsp:rsid wsp:val=&quot;008D3C87&quot;/&gt;&lt;wsp:rsid wsp:val=&quot;008D4662&quot;/&gt;&lt;wsp:rsid wsp:val=&quot;008D46B1&quot;/&gt;&lt;wsp:rsid wsp:val=&quot;008D5085&quot;/&gt;&lt;wsp:rsid wsp:val=&quot;008D514A&quot;/&gt;&lt;wsp:rsid wsp:val=&quot;008D55C8&quot;/&gt;&lt;wsp:rsid wsp:val=&quot;008D621C&quot;/&gt;&lt;wsp:rsid wsp:val=&quot;008D656C&quot;/&gt;&lt;wsp:rsid wsp:val=&quot;008D6AB6&quot;/&gt;&lt;wsp:rsid wsp:val=&quot;008D6AEA&quot;/&gt;&lt;wsp:rsid wsp:val=&quot;008D6F9D&quot;/&gt;&lt;wsp:rsid wsp:val=&quot;008D72C8&quot;/&gt;&lt;wsp:rsid wsp:val=&quot;008D770F&quot;/&gt;&lt;wsp:rsid wsp:val=&quot;008D7967&quot;/&gt;&lt;wsp:rsid wsp:val=&quot;008D7A0C&quot;/&gt;&lt;wsp:rsid wsp:val=&quot;008D7B18&quot;/&gt;&lt;wsp:rsid wsp:val=&quot;008E0261&quot;/&gt;&lt;wsp:rsid wsp:val=&quot;008E050A&quot;/&gt;&lt;wsp:rsid wsp:val=&quot;008E06ED&quot;/&gt;&lt;wsp:rsid wsp:val=&quot;008E093D&quot;/&gt;&lt;wsp:rsid wsp:val=&quot;008E14EB&quot;/&gt;&lt;wsp:rsid wsp:val=&quot;008E15B8&quot;/&gt;&lt;wsp:rsid wsp:val=&quot;008E1948&quot;/&gt;&lt;wsp:rsid wsp:val=&quot;008E1BEC&quot;/&gt;&lt;wsp:rsid wsp:val=&quot;008E1CB1&quot;/&gt;&lt;wsp:rsid wsp:val=&quot;008E1F08&quot;/&gt;&lt;wsp:rsid wsp:val=&quot;008E2320&quot;/&gt;&lt;wsp:rsid wsp:val=&quot;008E240F&quot;/&gt;&lt;wsp:rsid wsp:val=&quot;008E2575&quot;/&gt;&lt;wsp:rsid wsp:val=&quot;008E2A9B&quot;/&gt;&lt;wsp:rsid wsp:val=&quot;008E2BD1&quot;/&gt;&lt;wsp:rsid wsp:val=&quot;008E3342&quot;/&gt;&lt;wsp:rsid wsp:val=&quot;008E3398&quot;/&gt;&lt;wsp:rsid wsp:val=&quot;008E39F4&quot;/&gt;&lt;wsp:rsid wsp:val=&quot;008E3B1C&quot;/&gt;&lt;wsp:rsid wsp:val=&quot;008E3EB2&quot;/&gt;&lt;wsp:rsid wsp:val=&quot;008E4C43&quot;/&gt;&lt;wsp:rsid wsp:val=&quot;008E52F2&quot;/&gt;&lt;wsp:rsid wsp:val=&quot;008E539B&quot;/&gt;&lt;wsp:rsid wsp:val=&quot;008E5769&quot;/&gt;&lt;wsp:rsid wsp:val=&quot;008E58ED&quot;/&gt;&lt;wsp:rsid wsp:val=&quot;008E5B55&quot;/&gt;&lt;wsp:rsid wsp:val=&quot;008E5BD6&quot;/&gt;&lt;wsp:rsid wsp:val=&quot;008E5F0C&quot;/&gt;&lt;wsp:rsid wsp:val=&quot;008E6158&quot;/&gt;&lt;wsp:rsid wsp:val=&quot;008E62F9&quot;/&gt;&lt;wsp:rsid wsp:val=&quot;008E6605&quot;/&gt;&lt;wsp:rsid wsp:val=&quot;008E673A&quot;/&gt;&lt;wsp:rsid wsp:val=&quot;008E67E1&quot;/&gt;&lt;wsp:rsid wsp:val=&quot;008E6921&quot;/&gt;&lt;wsp:rsid wsp:val=&quot;008E6AEC&quot;/&gt;&lt;wsp:rsid wsp:val=&quot;008E6BFD&quot;/&gt;&lt;wsp:rsid wsp:val=&quot;008E6CBC&quot;/&gt;&lt;wsp:rsid wsp:val=&quot;008E6F19&quot;/&gt;&lt;wsp:rsid wsp:val=&quot;008E79A0&quot;/&gt;&lt;wsp:rsid wsp:val=&quot;008E7DAA&quot;/&gt;&lt;wsp:rsid wsp:val=&quot;008F0505&quot;/&gt;&lt;wsp:rsid wsp:val=&quot;008F0771&quot;/&gt;&lt;wsp:rsid wsp:val=&quot;008F0966&quot;/&gt;&lt;wsp:rsid wsp:val=&quot;008F0E42&quot;/&gt;&lt;wsp:rsid wsp:val=&quot;008F0E74&quot;/&gt;&lt;wsp:rsid wsp:val=&quot;008F1131&quot;/&gt;&lt;wsp:rsid wsp:val=&quot;008F195C&quot;/&gt;&lt;wsp:rsid wsp:val=&quot;008F1A00&quot;/&gt;&lt;wsp:rsid wsp:val=&quot;008F1AD7&quot;/&gt;&lt;wsp:rsid wsp:val=&quot;008F22D5&quot;/&gt;&lt;wsp:rsid wsp:val=&quot;008F23C5&quot;/&gt;&lt;wsp:rsid wsp:val=&quot;008F26C8&quot;/&gt;&lt;wsp:rsid wsp:val=&quot;008F29EB&quot;/&gt;&lt;wsp:rsid wsp:val=&quot;008F2DDD&quot;/&gt;&lt;wsp:rsid wsp:val=&quot;008F30D9&quot;/&gt;&lt;wsp:rsid wsp:val=&quot;008F359F&quot;/&gt;&lt;wsp:rsid wsp:val=&quot;008F37EC&quot;/&gt;&lt;wsp:rsid wsp:val=&quot;008F3CF8&quot;/&gt;&lt;wsp:rsid wsp:val=&quot;008F3D5C&quot;/&gt;&lt;wsp:rsid wsp:val=&quot;008F3F23&quot;/&gt;&lt;wsp:rsid wsp:val=&quot;008F3F37&quot;/&gt;&lt;wsp:rsid wsp:val=&quot;008F46EB&quot;/&gt;&lt;wsp:rsid wsp:val=&quot;008F4BD8&quot;/&gt;&lt;wsp:rsid wsp:val=&quot;008F4D67&quot;/&gt;&lt;wsp:rsid wsp:val=&quot;008F4E9C&quot;/&gt;&lt;wsp:rsid wsp:val=&quot;008F514D&quot;/&gt;&lt;wsp:rsid wsp:val=&quot;008F546D&quot;/&gt;&lt;wsp:rsid wsp:val=&quot;008F5489&quot;/&gt;&lt;wsp:rsid wsp:val=&quot;008F5BE4&quot;/&gt;&lt;wsp:rsid wsp:val=&quot;008F5C1E&quot;/&gt;&lt;wsp:rsid wsp:val=&quot;008F5C8A&quot;/&gt;&lt;wsp:rsid wsp:val=&quot;008F601F&quot;/&gt;&lt;wsp:rsid wsp:val=&quot;008F6099&quot;/&gt;&lt;wsp:rsid wsp:val=&quot;008F618B&quot;/&gt;&lt;wsp:rsid wsp:val=&quot;008F667B&quot;/&gt;&lt;wsp:rsid wsp:val=&quot;008F6C87&quot;/&gt;&lt;wsp:rsid wsp:val=&quot;008F70CD&quot;/&gt;&lt;wsp:rsid wsp:val=&quot;008F7C27&quot;/&gt;&lt;wsp:rsid wsp:val=&quot;00900513&quot;/&gt;&lt;wsp:rsid wsp:val=&quot;00900E61&quot;/&gt;&lt;wsp:rsid wsp:val=&quot;0090117A&quot;/&gt;&lt;wsp:rsid wsp:val=&quot;0090154D&quot;/&gt;&lt;wsp:rsid wsp:val=&quot;00901580&quot;/&gt;&lt;wsp:rsid wsp:val=&quot;0090189D&quot;/&gt;&lt;wsp:rsid wsp:val=&quot;0090293D&quot;/&gt;&lt;wsp:rsid wsp:val=&quot;00902AC5&quot;/&gt;&lt;wsp:rsid wsp:val=&quot;00902C25&quot;/&gt;&lt;wsp:rsid wsp:val=&quot;0090300A&quot;/&gt;&lt;wsp:rsid wsp:val=&quot;00903216&quot;/&gt;&lt;wsp:rsid wsp:val=&quot;00903272&quot;/&gt;&lt;wsp:rsid wsp:val=&quot;00903532&quot;/&gt;&lt;wsp:rsid wsp:val=&quot;00903794&quot;/&gt;&lt;wsp:rsid wsp:val=&quot;00904FBC&quot;/&gt;&lt;wsp:rsid wsp:val=&quot;009055EB&quot;/&gt;&lt;wsp:rsid wsp:val=&quot;00905B69&quot;/&gt;&lt;wsp:rsid wsp:val=&quot;009060A8&quot;/&gt;&lt;wsp:rsid wsp:val=&quot;00906853&quot;/&gt;&lt;wsp:rsid wsp:val=&quot;00906856&quot;/&gt;&lt;wsp:rsid wsp:val=&quot;00906864&quot;/&gt;&lt;wsp:rsid wsp:val=&quot;00906A15&quot;/&gt;&lt;wsp:rsid wsp:val=&quot;00906ABF&quot;/&gt;&lt;wsp:rsid wsp:val=&quot;00906C11&quot;/&gt;&lt;wsp:rsid wsp:val=&quot;009071AE&quot;/&gt;&lt;wsp:rsid wsp:val=&quot;0090749D&quot;/&gt;&lt;wsp:rsid wsp:val=&quot;00907596&quot;/&gt;&lt;wsp:rsid wsp:val=&quot;0090764B&quot;/&gt;&lt;wsp:rsid wsp:val=&quot;009076CB&quot;/&gt;&lt;wsp:rsid wsp:val=&quot;009078AF&quot;/&gt;&lt;wsp:rsid wsp:val=&quot;00907EB1&quot;/&gt;&lt;wsp:rsid wsp:val=&quot;00907EEC&quot;/&gt;&lt;wsp:rsid wsp:val=&quot;009102C4&quot;/&gt;&lt;wsp:rsid wsp:val=&quot;00910BA2&quot;/&gt;&lt;wsp:rsid wsp:val=&quot;00910D04&quot;/&gt;&lt;wsp:rsid wsp:val=&quot;00910F7B&quot;/&gt;&lt;wsp:rsid wsp:val=&quot;009115C8&quot;/&gt;&lt;wsp:rsid wsp:val=&quot;00911733&quot;/&gt;&lt;wsp:rsid wsp:val=&quot;0091179B&quot;/&gt;&lt;wsp:rsid wsp:val=&quot;0091257C&quot;/&gt;&lt;wsp:rsid wsp:val=&quot;0091271F&quot;/&gt;&lt;wsp:rsid wsp:val=&quot;00912CE0&quot;/&gt;&lt;wsp:rsid wsp:val=&quot;00912DD2&quot;/&gt;&lt;wsp:rsid wsp:val=&quot;00912F07&quot;/&gt;&lt;wsp:rsid wsp:val=&quot;00912F87&quot;/&gt;&lt;wsp:rsid wsp:val=&quot;009132AA&quot;/&gt;&lt;wsp:rsid wsp:val=&quot;009135E5&quot;/&gt;&lt;wsp:rsid wsp:val=&quot;00913717&quot;/&gt;&lt;wsp:rsid wsp:val=&quot;00913790&quot;/&gt;&lt;wsp:rsid wsp:val=&quot;00913C7F&quot;/&gt;&lt;wsp:rsid wsp:val=&quot;00913D47&quot;/&gt;&lt;wsp:rsid wsp:val=&quot;00913E9D&quot;/&gt;&lt;wsp:rsid wsp:val=&quot;009143DF&quot;/&gt;&lt;wsp:rsid wsp:val=&quot;00914437&quot;/&gt;&lt;wsp:rsid wsp:val=&quot;009147CE&quot;/&gt;&lt;wsp:rsid wsp:val=&quot;00914AB9&quot;/&gt;&lt;wsp:rsid wsp:val=&quot;00914F69&quot;/&gt;&lt;wsp:rsid wsp:val=&quot;009157B4&quot;/&gt;&lt;wsp:rsid wsp:val=&quot;0091624C&quot;/&gt;&lt;wsp:rsid wsp:val=&quot;00916658&quot;/&gt;&lt;wsp:rsid wsp:val=&quot;00916E5A&quot;/&gt;&lt;wsp:rsid wsp:val=&quot;00917177&quot;/&gt;&lt;wsp:rsid wsp:val=&quot;009175C8&quot;/&gt;&lt;wsp:rsid wsp:val=&quot;00917B3B&quot;/&gt;&lt;wsp:rsid wsp:val=&quot;0092006C&quot;/&gt;&lt;wsp:rsid wsp:val=&quot;00920473&quot;/&gt;&lt;wsp:rsid wsp:val=&quot;0092088B&quot;/&gt;&lt;wsp:rsid wsp:val=&quot;00920AD2&quot;/&gt;&lt;wsp:rsid wsp:val=&quot;00920FA4&quot;/&gt;&lt;wsp:rsid wsp:val=&quot;0092109F&quot;/&gt;&lt;wsp:rsid wsp:val=&quot;00921510&quot;/&gt;&lt;wsp:rsid wsp:val=&quot;0092193B&quot;/&gt;&lt;wsp:rsid wsp:val=&quot;009219D3&quot;/&gt;&lt;wsp:rsid wsp:val=&quot;00921D32&quot;/&gt;&lt;wsp:rsid wsp:val=&quot;0092209F&quot;/&gt;&lt;wsp:rsid wsp:val=&quot;00922279&quot;/&gt;&lt;wsp:rsid wsp:val=&quot;00922548&quot;/&gt;&lt;wsp:rsid wsp:val=&quot;0092254B&quot;/&gt;&lt;wsp:rsid wsp:val=&quot;00922B18&quot;/&gt;&lt;wsp:rsid wsp:val=&quot;00923118&quot;/&gt;&lt;wsp:rsid wsp:val=&quot;009236E3&quot;/&gt;&lt;wsp:rsid wsp:val=&quot;00923A43&quot;/&gt;&lt;wsp:rsid wsp:val=&quot;00923AE0&quot;/&gt;&lt;wsp:rsid wsp:val=&quot;00923BC3&quot;/&gt;&lt;wsp:rsid wsp:val=&quot;00923E43&quot;/&gt;&lt;wsp:rsid wsp:val=&quot;00923F54&quot;/&gt;&lt;wsp:rsid wsp:val=&quot;00924E02&quot;/&gt;&lt;wsp:rsid wsp:val=&quot;00924E30&quot;/&gt;&lt;wsp:rsid wsp:val=&quot;009251D0&quot;/&gt;&lt;wsp:rsid wsp:val=&quot;00925774&quot;/&gt;&lt;wsp:rsid wsp:val=&quot;00925821&quot;/&gt;&lt;wsp:rsid wsp:val=&quot;00925FF3&quot;/&gt;&lt;wsp:rsid wsp:val=&quot;00926802&quot;/&gt;&lt;wsp:rsid wsp:val=&quot;009269F5&quot;/&gt;&lt;wsp:rsid wsp:val=&quot;00927BAA&quot;/&gt;&lt;wsp:rsid wsp:val=&quot;00927CCF&quot;/&gt;&lt;wsp:rsid wsp:val=&quot;00927DB4&quot;/&gt;&lt;wsp:rsid wsp:val=&quot;00927F77&quot;/&gt;&lt;wsp:rsid wsp:val=&quot;00927FEB&quot;/&gt;&lt;wsp:rsid wsp:val=&quot;009304F1&quot;/&gt;&lt;wsp:rsid wsp:val=&quot;00930641&quot;/&gt;&lt;wsp:rsid wsp:val=&quot;0093088D&quot;/&gt;&lt;wsp:rsid wsp:val=&quot;00930C11&quot;/&gt;&lt;wsp:rsid wsp:val=&quot;00930D0B&quot;/&gt;&lt;wsp:rsid wsp:val=&quot;00930DD3&quot;/&gt;&lt;wsp:rsid wsp:val=&quot;009313EC&quot;/&gt;&lt;wsp:rsid wsp:val=&quot;00931554&quot;/&gt;&lt;wsp:rsid wsp:val=&quot;00931B48&quot;/&gt;&lt;wsp:rsid wsp:val=&quot;00931CE2&quot;/&gt;&lt;wsp:rsid wsp:val=&quot;0093200C&quot;/&gt;&lt;wsp:rsid wsp:val=&quot;009325ED&quot;/&gt;&lt;wsp:rsid wsp:val=&quot;0093275E&quot;/&gt;&lt;wsp:rsid wsp:val=&quot;0093287D&quot;/&gt;&lt;wsp:rsid wsp:val=&quot;00932D4D&quot;/&gt;&lt;wsp:rsid wsp:val=&quot;00932DE2&quot;/&gt;&lt;wsp:rsid wsp:val=&quot;00932E21&quot;/&gt;&lt;wsp:rsid wsp:val=&quot;0093355D&quot;/&gt;&lt;wsp:rsid wsp:val=&quot;00933887&quot;/&gt;&lt;wsp:rsid wsp:val=&quot;009339E0&quot;/&gt;&lt;wsp:rsid wsp:val=&quot;00933DB8&quot;/&gt;&lt;wsp:rsid wsp:val=&quot;00933E9F&quot;/&gt;&lt;wsp:rsid wsp:val=&quot;0093457B&quot;/&gt;&lt;wsp:rsid wsp:val=&quot;00934D3B&quot;/&gt;&lt;wsp:rsid wsp:val=&quot;0093523C&quot;/&gt;&lt;wsp:rsid wsp:val=&quot;009352D1&quot;/&gt;&lt;wsp:rsid wsp:val=&quot;00935CC2&quot;/&gt;&lt;wsp:rsid wsp:val=&quot;00935D23&quot;/&gt;&lt;wsp:rsid wsp:val=&quot;0093605F&quot;/&gt;&lt;wsp:rsid wsp:val=&quot;009360C9&quot;/&gt;&lt;wsp:rsid wsp:val=&quot;00936545&quot;/&gt;&lt;wsp:rsid wsp:val=&quot;00936D64&quot;/&gt;&lt;wsp:rsid wsp:val=&quot;00936F3A&quot;/&gt;&lt;wsp:rsid wsp:val=&quot;00936F68&quot;/&gt;&lt;wsp:rsid wsp:val=&quot;00937205&quot;/&gt;&lt;wsp:rsid wsp:val=&quot;0093729E&quot;/&gt;&lt;wsp:rsid wsp:val=&quot;009378CC&quot;/&gt;&lt;wsp:rsid wsp:val=&quot;00937B53&quot;/&gt;&lt;wsp:rsid wsp:val=&quot;00937BA2&quot;/&gt;&lt;wsp:rsid wsp:val=&quot;00940009&quot;/&gt;&lt;wsp:rsid wsp:val=&quot;009403B1&quot;/&gt;&lt;wsp:rsid wsp:val=&quot;00940992&quot;/&gt;&lt;wsp:rsid wsp:val=&quot;00940B40&quot;/&gt;&lt;wsp:rsid wsp:val=&quot;00940B47&quot;/&gt;&lt;wsp:rsid wsp:val=&quot;00940C7A&quot;/&gt;&lt;wsp:rsid wsp:val=&quot;00940E2E&quot;/&gt;&lt;wsp:rsid wsp:val=&quot;00940ECD&quot;/&gt;&lt;wsp:rsid wsp:val=&quot;00941161&quot;/&gt;&lt;wsp:rsid wsp:val=&quot;0094116E&quot;/&gt;&lt;wsp:rsid wsp:val=&quot;00941302&quot;/&gt;&lt;wsp:rsid wsp:val=&quot;0094131C&quot;/&gt;&lt;wsp:rsid wsp:val=&quot;0094136B&quot;/&gt;&lt;wsp:rsid wsp:val=&quot;00941555&quot;/&gt;&lt;wsp:rsid wsp:val=&quot;00941B19&quot;/&gt;&lt;wsp:rsid wsp:val=&quot;009424BE&quot;/&gt;&lt;wsp:rsid wsp:val=&quot;009426FC&quot;/&gt;&lt;wsp:rsid wsp:val=&quot;009428F9&quot;/&gt;&lt;wsp:rsid wsp:val=&quot;00943268&quot;/&gt;&lt;wsp:rsid wsp:val=&quot;00943605&quot;/&gt;&lt;wsp:rsid wsp:val=&quot;00943812&quot;/&gt;&lt;wsp:rsid wsp:val=&quot;00943923&quot;/&gt;&lt;wsp:rsid wsp:val=&quot;00943EB7&quot;/&gt;&lt;wsp:rsid wsp:val=&quot;00943F71&quot;/&gt;&lt;wsp:rsid wsp:val=&quot;00943FBC&quot;/&gt;&lt;wsp:rsid wsp:val=&quot;009452AE&quot;/&gt;&lt;wsp:rsid wsp:val=&quot;00945548&quot;/&gt;&lt;wsp:rsid wsp:val=&quot;00945834&quot;/&gt;&lt;wsp:rsid wsp:val=&quot;009458E4&quot;/&gt;&lt;wsp:rsid wsp:val=&quot;00945A9F&quot;/&gt;&lt;wsp:rsid wsp:val=&quot;00945CDE&quot;/&gt;&lt;wsp:rsid wsp:val=&quot;00945DD4&quot;/&gt;&lt;wsp:rsid wsp:val=&quot;0094626E&quot;/&gt;&lt;wsp:rsid wsp:val=&quot;009463D7&quot;/&gt;&lt;wsp:rsid wsp:val=&quot;00946B1E&quot;/&gt;&lt;wsp:rsid wsp:val=&quot;00946EC2&quot;/&gt;&lt;wsp:rsid wsp:val=&quot;0094764A&quot;/&gt;&lt;wsp:rsid wsp:val=&quot;009479DB&quot;/&gt;&lt;wsp:rsid wsp:val=&quot;0095016A&quot;/&gt;&lt;wsp:rsid wsp:val=&quot;0095038D&quot;/&gt;&lt;wsp:rsid wsp:val=&quot;00951969&quot;/&gt;&lt;wsp:rsid wsp:val=&quot;00951BB1&quot;/&gt;&lt;wsp:rsid wsp:val=&quot;00951ED8&quot;/&gt;&lt;wsp:rsid wsp:val=&quot;009524C6&quot;/&gt;&lt;wsp:rsid wsp:val=&quot;009527FE&quot;/&gt;&lt;wsp:rsid wsp:val=&quot;00952805&quot;/&gt;&lt;wsp:rsid wsp:val=&quot;00952C7D&quot;/&gt;&lt;wsp:rsid wsp:val=&quot;00952ED4&quot;/&gt;&lt;wsp:rsid wsp:val=&quot;00953062&quot;/&gt;&lt;wsp:rsid wsp:val=&quot;00953263&quot;/&gt;&lt;wsp:rsid wsp:val=&quot;00953AFF&quot;/&gt;&lt;wsp:rsid wsp:val=&quot;00953BA1&quot;/&gt;&lt;wsp:rsid wsp:val=&quot;00953E7D&quot;/&gt;&lt;wsp:rsid wsp:val=&quot;00953FA0&quot;/&gt;&lt;wsp:rsid wsp:val=&quot;00954233&quot;/&gt;&lt;wsp:rsid wsp:val=&quot;00954283&quot;/&gt;&lt;wsp:rsid wsp:val=&quot;0095446D&quot;/&gt;&lt;wsp:rsid wsp:val=&quot;0095452A&quot;/&gt;&lt;wsp:rsid wsp:val=&quot;0095460C&quot;/&gt;&lt;wsp:rsid wsp:val=&quot;0095480E&quot;/&gt;&lt;wsp:rsid wsp:val=&quot;00954BAD&quot;/&gt;&lt;wsp:rsid wsp:val=&quot;00954E91&quot;/&gt;&lt;wsp:rsid wsp:val=&quot;009550C2&quot;/&gt;&lt;wsp:rsid wsp:val=&quot;0095533C&quot;/&gt;&lt;wsp:rsid wsp:val=&quot;009557A8&quot;/&gt;&lt;wsp:rsid wsp:val=&quot;00955DE6&quot;/&gt;&lt;wsp:rsid wsp:val=&quot;00955DF3&quot;/&gt;&lt;wsp:rsid wsp:val=&quot;00955DFE&quot;/&gt;&lt;wsp:rsid wsp:val=&quot;00955F0C&quot;/&gt;&lt;wsp:rsid wsp:val=&quot;009560F5&quot;/&gt;&lt;wsp:rsid wsp:val=&quot;00956C7D&quot;/&gt;&lt;wsp:rsid wsp:val=&quot;00956CDB&quot;/&gt;&lt;wsp:rsid wsp:val=&quot;0095730C&quot;/&gt;&lt;wsp:rsid wsp:val=&quot;00957695&quot;/&gt;&lt;wsp:rsid wsp:val=&quot;009576DE&quot;/&gt;&lt;wsp:rsid wsp:val=&quot;00957CC0&quot;/&gt;&lt;wsp:rsid wsp:val=&quot;00957D47&quot;/&gt;&lt;wsp:rsid wsp:val=&quot;00957EC5&quot;/&gt;&lt;wsp:rsid wsp:val=&quot;00960237&quot;/&gt;&lt;wsp:rsid wsp:val=&quot;0096032B&quot;/&gt;&lt;wsp:rsid wsp:val=&quot;009606AB&quot;/&gt;&lt;wsp:rsid wsp:val=&quot;009609B8&quot;/&gt;&lt;wsp:rsid wsp:val=&quot;00960A1B&quot;/&gt;&lt;wsp:rsid wsp:val=&quot;00960A5B&quot;/&gt;&lt;wsp:rsid wsp:val=&quot;00960DD3&quot;/&gt;&lt;wsp:rsid wsp:val=&quot;00960DF8&quot;/&gt;&lt;wsp:rsid wsp:val=&quot;00960F40&quot;/&gt;&lt;wsp:rsid wsp:val=&quot;00960FA4&quot;/&gt;&lt;wsp:rsid wsp:val=&quot;00961315&quot;/&gt;&lt;wsp:rsid wsp:val=&quot;0096148D&quot;/&gt;&lt;wsp:rsid wsp:val=&quot;00962566&quot;/&gt;&lt;wsp:rsid wsp:val=&quot;00962DEC&quot;/&gt;&lt;wsp:rsid wsp:val=&quot;0096305B&quot;/&gt;&lt;wsp:rsid wsp:val=&quot;00963321&quot;/&gt;&lt;wsp:rsid wsp:val=&quot;0096374E&quot;/&gt;&lt;wsp:rsid wsp:val=&quot;0096384C&quot;/&gt;&lt;wsp:rsid wsp:val=&quot;00963990&quot;/&gt;&lt;wsp:rsid wsp:val=&quot;00963F3E&quot;/&gt;&lt;wsp:rsid wsp:val=&quot;00963FB5&quot;/&gt;&lt;wsp:rsid wsp:val=&quot;00964615&quot;/&gt;&lt;wsp:rsid wsp:val=&quot;00964654&quot;/&gt;&lt;wsp:rsid wsp:val=&quot;009648C7&quot;/&gt;&lt;wsp:rsid wsp:val=&quot;00964F94&quot;/&gt;&lt;wsp:rsid wsp:val=&quot;009655CE&quot;/&gt;&lt;wsp:rsid wsp:val=&quot;00965D54&quot;/&gt;&lt;wsp:rsid wsp:val=&quot;009662CE&quot;/&gt;&lt;wsp:rsid wsp:val=&quot;00966480&quot;/&gt;&lt;wsp:rsid wsp:val=&quot;009667B5&quot;/&gt;&lt;wsp:rsid wsp:val=&quot;0096690C&quot;/&gt;&lt;wsp:rsid wsp:val=&quot;00966956&quot;/&gt;&lt;wsp:rsid wsp:val=&quot;00966A9F&quot;/&gt;&lt;wsp:rsid wsp:val=&quot;0096711A&quot;/&gt;&lt;wsp:rsid wsp:val=&quot;00967304&quot;/&gt;&lt;wsp:rsid wsp:val=&quot;00967551&quot;/&gt;&lt;wsp:rsid wsp:val=&quot;009675E9&quot;/&gt;&lt;wsp:rsid wsp:val=&quot;009677A1&quot;/&gt;&lt;wsp:rsid wsp:val=&quot;00970D50&quot;/&gt;&lt;wsp:rsid wsp:val=&quot;00970FEB&quot;/&gt;&lt;wsp:rsid wsp:val=&quot;00971110&quot;/&gt;&lt;wsp:rsid wsp:val=&quot;0097136E&quot;/&gt;&lt;wsp:rsid wsp:val=&quot;009713D0&quot;/&gt;&lt;wsp:rsid wsp:val=&quot;00971927&quot;/&gt;&lt;wsp:rsid wsp:val=&quot;00971969&quot;/&gt;&lt;wsp:rsid wsp:val=&quot;00971BC7&quot;/&gt;&lt;wsp:rsid wsp:val=&quot;00971C05&quot;/&gt;&lt;wsp:rsid wsp:val=&quot;00971CAA&quot;/&gt;&lt;wsp:rsid wsp:val=&quot;00972210&quot;/&gt;&lt;wsp:rsid wsp:val=&quot;0097343E&quot;/&gt;&lt;wsp:rsid wsp:val=&quot;00973AAB&quot;/&gt;&lt;wsp:rsid wsp:val=&quot;00973C00&quot;/&gt;&lt;wsp:rsid wsp:val=&quot;00973D92&quot;/&gt;&lt;wsp:rsid wsp:val=&quot;00973E53&quot;/&gt;&lt;wsp:rsid wsp:val=&quot;00974110&quot;/&gt;&lt;wsp:rsid wsp:val=&quot;009741DD&quot;/&gt;&lt;wsp:rsid wsp:val=&quot;009742E5&quot;/&gt;&lt;wsp:rsid wsp:val=&quot;00974907&quot;/&gt;&lt;wsp:rsid wsp:val=&quot;00974AE7&quot;/&gt;&lt;wsp:rsid wsp:val=&quot;0097550F&quot;/&gt;&lt;wsp:rsid wsp:val=&quot;0097594A&quot;/&gt;&lt;wsp:rsid wsp:val=&quot;009759C3&quot;/&gt;&lt;wsp:rsid wsp:val=&quot;00975A0E&quot;/&gt;&lt;wsp:rsid wsp:val=&quot;00976090&quot;/&gt;&lt;wsp:rsid wsp:val=&quot;0097735E&quot;/&gt;&lt;wsp:rsid wsp:val=&quot;0097784C&quot;/&gt;&lt;wsp:rsid wsp:val=&quot;009778A0&quot;/&gt;&lt;wsp:rsid wsp:val=&quot;00977B6E&quot;/&gt;&lt;wsp:rsid wsp:val=&quot;00977D78&quot;/&gt;&lt;wsp:rsid wsp:val=&quot;009801FA&quot;/&gt;&lt;wsp:rsid wsp:val=&quot;00980377&quot;/&gt;&lt;wsp:rsid wsp:val=&quot;00980390&quot;/&gt;&lt;wsp:rsid wsp:val=&quot;009803F5&quot;/&gt;&lt;wsp:rsid wsp:val=&quot;00980790&quot;/&gt;&lt;wsp:rsid wsp:val=&quot;00980BB9&quot;/&gt;&lt;wsp:rsid wsp:val=&quot;00980E2A&quot;/&gt;&lt;wsp:rsid wsp:val=&quot;00980EC8&quot;/&gt;&lt;wsp:rsid wsp:val=&quot;009815C2&quot;/&gt;&lt;wsp:rsid wsp:val=&quot;0098278D&quot;/&gt;&lt;wsp:rsid wsp:val=&quot;00982AC4&quot;/&gt;&lt;wsp:rsid wsp:val=&quot;0098346C&quot;/&gt;&lt;wsp:rsid wsp:val=&quot;0098353D&quot;/&gt;&lt;wsp:rsid wsp:val=&quot;009835FB&quot;/&gt;&lt;wsp:rsid wsp:val=&quot;00983797&quot;/&gt;&lt;wsp:rsid wsp:val=&quot;00983827&quot;/&gt;&lt;wsp:rsid wsp:val=&quot;0098488D&quot;/&gt;&lt;wsp:rsid wsp:val=&quot;00984A8C&quot;/&gt;&lt;wsp:rsid wsp:val=&quot;00984AAD&quot;/&gt;&lt;wsp:rsid wsp:val=&quot;00984B8B&quot;/&gt;&lt;wsp:rsid wsp:val=&quot;00984D74&quot;/&gt;&lt;wsp:rsid wsp:val=&quot;00984DD8&quot;/&gt;&lt;wsp:rsid wsp:val=&quot;0098508E&quot;/&gt;&lt;wsp:rsid wsp:val=&quot;009852F4&quot;/&gt;&lt;wsp:rsid wsp:val=&quot;009859BF&quot;/&gt;&lt;wsp:rsid wsp:val=&quot;00987163&quot;/&gt;&lt;wsp:rsid wsp:val=&quot;0098754F&quot;/&gt;&lt;wsp:rsid wsp:val=&quot;00987980&quot;/&gt;&lt;wsp:rsid wsp:val=&quot;00987E89&quot;/&gt;&lt;wsp:rsid wsp:val=&quot;00991459&quot;/&gt;&lt;wsp:rsid wsp:val=&quot;00991671&quot;/&gt;&lt;wsp:rsid wsp:val=&quot;00991782&quot;/&gt;&lt;wsp:rsid wsp:val=&quot;009917E3&quot;/&gt;&lt;wsp:rsid wsp:val=&quot;00991A13&quot;/&gt;&lt;wsp:rsid wsp:val=&quot;00991E2A&quot;/&gt;&lt;wsp:rsid wsp:val=&quot;009921AD&quot;/&gt;&lt;wsp:rsid wsp:val=&quot;009921D4&quot;/&gt;&lt;wsp:rsid wsp:val=&quot;0099278A&quot;/&gt;&lt;wsp:rsid wsp:val=&quot;00992869&quot;/&gt;&lt;wsp:rsid wsp:val=&quot;00992C3D&quot;/&gt;&lt;wsp:rsid wsp:val=&quot;00992DE3&quot;/&gt;&lt;wsp:rsid wsp:val=&quot;0099312A&quot;/&gt;&lt;wsp:rsid wsp:val=&quot;00993200&quot;/&gt;&lt;wsp:rsid wsp:val=&quot;00993249&quot;/&gt;&lt;wsp:rsid wsp:val=&quot;00993475&quot;/&gt;&lt;wsp:rsid wsp:val=&quot;00993B49&quot;/&gt;&lt;wsp:rsid wsp:val=&quot;00993BD3&quot;/&gt;&lt;wsp:rsid wsp:val=&quot;00994D3E&quot;/&gt;&lt;wsp:rsid wsp:val=&quot;009955E0&quot;/&gt;&lt;wsp:rsid wsp:val=&quot;00995611&quot;/&gt;&lt;wsp:rsid wsp:val=&quot;009957D0&quot;/&gt;&lt;wsp:rsid wsp:val=&quot;009958F6&quot;/&gt;&lt;wsp:rsid wsp:val=&quot;00995A30&quot;/&gt;&lt;wsp:rsid wsp:val=&quot;00995C78&quot;/&gt;&lt;wsp:rsid wsp:val=&quot;00995D52&quot;/&gt;&lt;wsp:rsid wsp:val=&quot;00995D62&quot;/&gt;&lt;wsp:rsid wsp:val=&quot;00995EED&quot;/&gt;&lt;wsp:rsid wsp:val=&quot;0099609C&quot;/&gt;&lt;wsp:rsid wsp:val=&quot;009967AD&quot;/&gt;&lt;wsp:rsid wsp:val=&quot;00996821&quot;/&gt;&lt;wsp:rsid wsp:val=&quot;009969C4&quot;/&gt;&lt;wsp:rsid wsp:val=&quot;00996C5E&quot;/&gt;&lt;wsp:rsid wsp:val=&quot;00996E57&quot;/&gt;&lt;wsp:rsid wsp:val=&quot;009972EB&quot;/&gt;&lt;wsp:rsid wsp:val=&quot;00997809&quot;/&gt;&lt;wsp:rsid wsp:val=&quot;009A00EF&quot;/&gt;&lt;wsp:rsid wsp:val=&quot;009A031D&quot;/&gt;&lt;wsp:rsid wsp:val=&quot;009A0546&quot;/&gt;&lt;wsp:rsid wsp:val=&quot;009A0691&quot;/&gt;&lt;wsp:rsid wsp:val=&quot;009A0AA4&quot;/&gt;&lt;wsp:rsid wsp:val=&quot;009A1202&quot;/&gt;&lt;wsp:rsid wsp:val=&quot;009A16E8&quot;/&gt;&lt;wsp:rsid wsp:val=&quot;009A170E&quot;/&gt;&lt;wsp:rsid wsp:val=&quot;009A1756&quot;/&gt;&lt;wsp:rsid wsp:val=&quot;009A179F&quot;/&gt;&lt;wsp:rsid wsp:val=&quot;009A1F5C&quot;/&gt;&lt;wsp:rsid wsp:val=&quot;009A215F&quot;/&gt;&lt;wsp:rsid wsp:val=&quot;009A24E6&quot;/&gt;&lt;wsp:rsid wsp:val=&quot;009A24F6&quot;/&gt;&lt;wsp:rsid wsp:val=&quot;009A2528&quot;/&gt;&lt;wsp:rsid wsp:val=&quot;009A261F&quot;/&gt;&lt;wsp:rsid wsp:val=&quot;009A295F&quot;/&gt;&lt;wsp:rsid wsp:val=&quot;009A2EEB&quot;/&gt;&lt;wsp:rsid wsp:val=&quot;009A3A57&quot;/&gt;&lt;wsp:rsid wsp:val=&quot;009A3CCC&quot;/&gt;&lt;wsp:rsid wsp:val=&quot;009A4396&quot;/&gt;&lt;wsp:rsid wsp:val=&quot;009A452F&quot;/&gt;&lt;wsp:rsid wsp:val=&quot;009A46B8&quot;/&gt;&lt;wsp:rsid wsp:val=&quot;009A4725&quot;/&gt;&lt;wsp:rsid wsp:val=&quot;009A4863&quot;/&gt;&lt;wsp:rsid wsp:val=&quot;009A4996&quot;/&gt;&lt;wsp:rsid wsp:val=&quot;009A4BC2&quot;/&gt;&lt;wsp:rsid wsp:val=&quot;009A4F9A&quot;/&gt;&lt;wsp:rsid wsp:val=&quot;009A5039&quot;/&gt;&lt;wsp:rsid wsp:val=&quot;009A519E&quot;/&gt;&lt;wsp:rsid wsp:val=&quot;009A5423&quot;/&gt;&lt;wsp:rsid wsp:val=&quot;009A5468&quot;/&gt;&lt;wsp:rsid wsp:val=&quot;009A57B5&quot;/&gt;&lt;wsp:rsid wsp:val=&quot;009A5B9A&quot;/&gt;&lt;wsp:rsid wsp:val=&quot;009A5E75&quot;/&gt;&lt;wsp:rsid wsp:val=&quot;009A60AE&quot;/&gt;&lt;wsp:rsid wsp:val=&quot;009A616D&quot;/&gt;&lt;wsp:rsid wsp:val=&quot;009A6712&quot;/&gt;&lt;wsp:rsid wsp:val=&quot;009A68F1&quot;/&gt;&lt;wsp:rsid wsp:val=&quot;009A6A5B&quot;/&gt;&lt;wsp:rsid wsp:val=&quot;009A6B39&quot;/&gt;&lt;wsp:rsid wsp:val=&quot;009A6D9B&quot;/&gt;&lt;wsp:rsid wsp:val=&quot;009A7078&quot;/&gt;&lt;wsp:rsid wsp:val=&quot;009A751C&quot;/&gt;&lt;wsp:rsid wsp:val=&quot;009A7768&quot;/&gt;&lt;wsp:rsid wsp:val=&quot;009A778F&quot;/&gt;&lt;wsp:rsid wsp:val=&quot;009A7BB0&quot;/&gt;&lt;wsp:rsid wsp:val=&quot;009A7BFB&quot;/&gt;&lt;wsp:rsid wsp:val=&quot;009A7C9E&quot;/&gt;&lt;wsp:rsid wsp:val=&quot;009B030A&quot;/&gt;&lt;wsp:rsid wsp:val=&quot;009B0BA0&quot;/&gt;&lt;wsp:rsid wsp:val=&quot;009B0D0E&quot;/&gt;&lt;wsp:rsid wsp:val=&quot;009B0D1C&quot;/&gt;&lt;wsp:rsid wsp:val=&quot;009B1D40&quot;/&gt;&lt;wsp:rsid wsp:val=&quot;009B2453&quot;/&gt;&lt;wsp:rsid wsp:val=&quot;009B25C0&quot;/&gt;&lt;wsp:rsid wsp:val=&quot;009B2649&quot;/&gt;&lt;wsp:rsid wsp:val=&quot;009B27CF&quot;/&gt;&lt;wsp:rsid wsp:val=&quot;009B2818&quot;/&gt;&lt;wsp:rsid wsp:val=&quot;009B2A7E&quot;/&gt;&lt;wsp:rsid wsp:val=&quot;009B2AAF&quot;/&gt;&lt;wsp:rsid wsp:val=&quot;009B2AFC&quot;/&gt;&lt;wsp:rsid wsp:val=&quot;009B2B4B&quot;/&gt;&lt;wsp:rsid wsp:val=&quot;009B2DDF&quot;/&gt;&lt;wsp:rsid wsp:val=&quot;009B3261&quot;/&gt;&lt;wsp:rsid wsp:val=&quot;009B3DE1&quot;/&gt;&lt;wsp:rsid wsp:val=&quot;009B4723&quot;/&gt;&lt;wsp:rsid wsp:val=&quot;009B4B92&quot;/&gt;&lt;wsp:rsid wsp:val=&quot;009B54B4&quot;/&gt;&lt;wsp:rsid wsp:val=&quot;009B5A4D&quot;/&gt;&lt;wsp:rsid wsp:val=&quot;009B5BB6&quot;/&gt;&lt;wsp:rsid wsp:val=&quot;009B6CDE&quot;/&gt;&lt;wsp:rsid wsp:val=&quot;009B7120&quot;/&gt;&lt;wsp:rsid wsp:val=&quot;009B79FA&quot;/&gt;&lt;wsp:rsid wsp:val=&quot;009B7A35&quot;/&gt;&lt;wsp:rsid wsp:val=&quot;009B7B82&quot;/&gt;&lt;wsp:rsid wsp:val=&quot;009B7DC2&quot;/&gt;&lt;wsp:rsid wsp:val=&quot;009C053E&quot;/&gt;&lt;wsp:rsid wsp:val=&quot;009C06B6&quot;/&gt;&lt;wsp:rsid wsp:val=&quot;009C08EA&quot;/&gt;&lt;wsp:rsid wsp:val=&quot;009C09FD&quot;/&gt;&lt;wsp:rsid wsp:val=&quot;009C0D5C&quot;/&gt;&lt;wsp:rsid wsp:val=&quot;009C1451&quot;/&gt;&lt;wsp:rsid wsp:val=&quot;009C1F4F&quot;/&gt;&lt;wsp:rsid wsp:val=&quot;009C2072&quot;/&gt;&lt;wsp:rsid wsp:val=&quot;009C23D6&quot;/&gt;&lt;wsp:rsid wsp:val=&quot;009C2722&quot;/&gt;&lt;wsp:rsid wsp:val=&quot;009C2729&quot;/&gt;&lt;wsp:rsid wsp:val=&quot;009C2784&quot;/&gt;&lt;wsp:rsid wsp:val=&quot;009C2AEA&quot;/&gt;&lt;wsp:rsid wsp:val=&quot;009C2C3F&quot;/&gt;&lt;wsp:rsid wsp:val=&quot;009C2FDD&quot;/&gt;&lt;wsp:rsid wsp:val=&quot;009C34F9&quot;/&gt;&lt;wsp:rsid wsp:val=&quot;009C35E7&quot;/&gt;&lt;wsp:rsid wsp:val=&quot;009C36E7&quot;/&gt;&lt;wsp:rsid wsp:val=&quot;009C38E9&quot;/&gt;&lt;wsp:rsid wsp:val=&quot;009C39F3&quot;/&gt;&lt;wsp:rsid wsp:val=&quot;009C3E94&quot;/&gt;&lt;wsp:rsid wsp:val=&quot;009C3FCC&quot;/&gt;&lt;wsp:rsid wsp:val=&quot;009C4BE5&quot;/&gt;&lt;wsp:rsid wsp:val=&quot;009C4ED7&quot;/&gt;&lt;wsp:rsid wsp:val=&quot;009C4F74&quot;/&gt;&lt;wsp:rsid wsp:val=&quot;009C5115&quot;/&gt;&lt;wsp:rsid wsp:val=&quot;009C517E&quot;/&gt;&lt;wsp:rsid wsp:val=&quot;009C542D&quot;/&gt;&lt;wsp:rsid wsp:val=&quot;009C57E9&quot;/&gt;&lt;wsp:rsid wsp:val=&quot;009C5B1C&quot;/&gt;&lt;wsp:rsid wsp:val=&quot;009C5BC1&quot;/&gt;&lt;wsp:rsid wsp:val=&quot;009C6835&quot;/&gt;&lt;wsp:rsid wsp:val=&quot;009C696A&quot;/&gt;&lt;wsp:rsid wsp:val=&quot;009C6BF5&quot;/&gt;&lt;wsp:rsid wsp:val=&quot;009C708E&quot;/&gt;&lt;wsp:rsid wsp:val=&quot;009C715D&quot;/&gt;&lt;wsp:rsid wsp:val=&quot;009C76B8&quot;/&gt;&lt;wsp:rsid wsp:val=&quot;009C7E16&quot;/&gt;&lt;wsp:rsid wsp:val=&quot;009C7E8B&quot;/&gt;&lt;wsp:rsid wsp:val=&quot;009C7F54&quot;/&gt;&lt;wsp:rsid wsp:val=&quot;009C7F9F&quot;/&gt;&lt;wsp:rsid wsp:val=&quot;009D04EE&quot;/&gt;&lt;wsp:rsid wsp:val=&quot;009D07C5&quot;/&gt;&lt;wsp:rsid wsp:val=&quot;009D0A80&quot;/&gt;&lt;wsp:rsid wsp:val=&quot;009D0AA1&quot;/&gt;&lt;wsp:rsid wsp:val=&quot;009D0AF6&quot;/&gt;&lt;wsp:rsid wsp:val=&quot;009D0B58&quot;/&gt;&lt;wsp:rsid wsp:val=&quot;009D0BEB&quot;/&gt;&lt;wsp:rsid wsp:val=&quot;009D11AD&quot;/&gt;&lt;wsp:rsid wsp:val=&quot;009D1479&quot;/&gt;&lt;wsp:rsid wsp:val=&quot;009D15E4&quot;/&gt;&lt;wsp:rsid wsp:val=&quot;009D162D&quot;/&gt;&lt;wsp:rsid wsp:val=&quot;009D17A0&quot;/&gt;&lt;wsp:rsid wsp:val=&quot;009D19F1&quot;/&gt;&lt;wsp:rsid wsp:val=&quot;009D2125&quot;/&gt;&lt;wsp:rsid wsp:val=&quot;009D227E&quot;/&gt;&lt;wsp:rsid wsp:val=&quot;009D23AA&quot;/&gt;&lt;wsp:rsid wsp:val=&quot;009D23C0&quot;/&gt;&lt;wsp:rsid wsp:val=&quot;009D281F&quot;/&gt;&lt;wsp:rsid wsp:val=&quot;009D298A&quot;/&gt;&lt;wsp:rsid wsp:val=&quot;009D29F0&quot;/&gt;&lt;wsp:rsid wsp:val=&quot;009D2B6B&quot;/&gt;&lt;wsp:rsid wsp:val=&quot;009D2BE3&quot;/&gt;&lt;wsp:rsid wsp:val=&quot;009D2E4A&quot;/&gt;&lt;wsp:rsid wsp:val=&quot;009D2EBB&quot;/&gt;&lt;wsp:rsid wsp:val=&quot;009D2FBB&quot;/&gt;&lt;wsp:rsid wsp:val=&quot;009D31E6&quot;/&gt;&lt;wsp:rsid wsp:val=&quot;009D35BB&quot;/&gt;&lt;wsp:rsid wsp:val=&quot;009D3A39&quot;/&gt;&lt;wsp:rsid wsp:val=&quot;009D3AE1&quot;/&gt;&lt;wsp:rsid wsp:val=&quot;009D3AF5&quot;/&gt;&lt;wsp:rsid wsp:val=&quot;009D461A&quot;/&gt;&lt;wsp:rsid wsp:val=&quot;009D56D5&quot;/&gt;&lt;wsp:rsid wsp:val=&quot;009D57B6&quot;/&gt;&lt;wsp:rsid wsp:val=&quot;009D5916&quot;/&gt;&lt;wsp:rsid wsp:val=&quot;009D5D5E&quot;/&gt;&lt;wsp:rsid wsp:val=&quot;009D6099&quot;/&gt;&lt;wsp:rsid wsp:val=&quot;009D61D7&quot;/&gt;&lt;wsp:rsid wsp:val=&quot;009D61E5&quot;/&gt;&lt;wsp:rsid wsp:val=&quot;009D6605&quot;/&gt;&lt;wsp:rsid wsp:val=&quot;009D67EA&quot;/&gt;&lt;wsp:rsid wsp:val=&quot;009D6ABA&quot;/&gt;&lt;wsp:rsid wsp:val=&quot;009D6ABF&quot;/&gt;&lt;wsp:rsid wsp:val=&quot;009D6D5A&quot;/&gt;&lt;wsp:rsid wsp:val=&quot;009D79DB&quot;/&gt;&lt;wsp:rsid wsp:val=&quot;009D7A84&quot;/&gt;&lt;wsp:rsid wsp:val=&quot;009D7AB4&quot;/&gt;&lt;wsp:rsid wsp:val=&quot;009D7D1E&quot;/&gt;&lt;wsp:rsid wsp:val=&quot;009D7FD1&quot;/&gt;&lt;wsp:rsid wsp:val=&quot;009E037F&quot;/&gt;&lt;wsp:rsid wsp:val=&quot;009E07DE&quot;/&gt;&lt;wsp:rsid wsp:val=&quot;009E0BCD&quot;/&gt;&lt;wsp:rsid wsp:val=&quot;009E0BEF&quot;/&gt;&lt;wsp:rsid wsp:val=&quot;009E0DD7&quot;/&gt;&lt;wsp:rsid wsp:val=&quot;009E0F4D&quot;/&gt;&lt;wsp:rsid wsp:val=&quot;009E0FB4&quot;/&gt;&lt;wsp:rsid wsp:val=&quot;009E1086&quot;/&gt;&lt;wsp:rsid wsp:val=&quot;009E1294&quot;/&gt;&lt;wsp:rsid wsp:val=&quot;009E19F8&quot;/&gt;&lt;wsp:rsid wsp:val=&quot;009E1C77&quot;/&gt;&lt;wsp:rsid wsp:val=&quot;009E2DEE&quot;/&gt;&lt;wsp:rsid wsp:val=&quot;009E36EB&quot;/&gt;&lt;wsp:rsid wsp:val=&quot;009E3E4C&quot;/&gt;&lt;wsp:rsid wsp:val=&quot;009E3FFF&quot;/&gt;&lt;wsp:rsid wsp:val=&quot;009E45F4&quot;/&gt;&lt;wsp:rsid wsp:val=&quot;009E4622&quot;/&gt;&lt;wsp:rsid wsp:val=&quot;009E48F5&quot;/&gt;&lt;wsp:rsid wsp:val=&quot;009E5044&quot;/&gt;&lt;wsp:rsid wsp:val=&quot;009E5060&quot;/&gt;&lt;wsp:rsid wsp:val=&quot;009E53F0&quot;/&gt;&lt;wsp:rsid wsp:val=&quot;009E53F2&quot;/&gt;&lt;wsp:rsid wsp:val=&quot;009E5666&quot;/&gt;&lt;wsp:rsid wsp:val=&quot;009E56C1&quot;/&gt;&lt;wsp:rsid wsp:val=&quot;009E591E&quot;/&gt;&lt;wsp:rsid wsp:val=&quot;009E5D87&quot;/&gt;&lt;wsp:rsid wsp:val=&quot;009E5DE0&quot;/&gt;&lt;wsp:rsid wsp:val=&quot;009E68A8&quot;/&gt;&lt;wsp:rsid wsp:val=&quot;009E6988&quot;/&gt;&lt;wsp:rsid wsp:val=&quot;009E6C73&quot;/&gt;&lt;wsp:rsid wsp:val=&quot;009E6CC9&quot;/&gt;&lt;wsp:rsid wsp:val=&quot;009E71EE&quot;/&gt;&lt;wsp:rsid wsp:val=&quot;009E7D27&quot;/&gt;&lt;wsp:rsid wsp:val=&quot;009F0DAA&quot;/&gt;&lt;wsp:rsid wsp:val=&quot;009F0E30&quot;/&gt;&lt;wsp:rsid wsp:val=&quot;009F1B40&quot;/&gt;&lt;wsp:rsid wsp:val=&quot;009F1C8A&quot;/&gt;&lt;wsp:rsid wsp:val=&quot;009F254F&quot;/&gt;&lt;wsp:rsid wsp:val=&quot;009F26F9&quot;/&gt;&lt;wsp:rsid wsp:val=&quot;009F2846&quot;/&gt;&lt;wsp:rsid wsp:val=&quot;009F2AFA&quot;/&gt;&lt;wsp:rsid wsp:val=&quot;009F2D02&quot;/&gt;&lt;wsp:rsid wsp:val=&quot;009F3060&quot;/&gt;&lt;wsp:rsid wsp:val=&quot;009F37DD&quot;/&gt;&lt;wsp:rsid wsp:val=&quot;009F3857&quot;/&gt;&lt;wsp:rsid wsp:val=&quot;009F3960&quot;/&gt;&lt;wsp:rsid wsp:val=&quot;009F3C41&quot;/&gt;&lt;wsp:rsid wsp:val=&quot;009F426A&quot;/&gt;&lt;wsp:rsid wsp:val=&quot;009F4681&quot;/&gt;&lt;wsp:rsid wsp:val=&quot;009F48C5&quot;/&gt;&lt;wsp:rsid wsp:val=&quot;009F4D8C&quot;/&gt;&lt;wsp:rsid wsp:val=&quot;009F4FFF&quot;/&gt;&lt;wsp:rsid wsp:val=&quot;009F519D&quot;/&gt;&lt;wsp:rsid wsp:val=&quot;009F5232&quot;/&gt;&lt;wsp:rsid wsp:val=&quot;009F52A3&quot;/&gt;&lt;wsp:rsid wsp:val=&quot;009F53C7&quot;/&gt;&lt;wsp:rsid wsp:val=&quot;009F56F5&quot;/&gt;&lt;wsp:rsid wsp:val=&quot;009F590B&quot;/&gt;&lt;wsp:rsid wsp:val=&quot;009F5AF6&quot;/&gt;&lt;wsp:rsid wsp:val=&quot;009F5EC0&quot;/&gt;&lt;wsp:rsid wsp:val=&quot;009F6174&quot;/&gt;&lt;wsp:rsid wsp:val=&quot;009F61F3&quot;/&gt;&lt;wsp:rsid wsp:val=&quot;009F6612&quot;/&gt;&lt;wsp:rsid wsp:val=&quot;009F66D0&quot;/&gt;&lt;wsp:rsid wsp:val=&quot;009F6BFF&quot;/&gt;&lt;wsp:rsid wsp:val=&quot;009F6C12&quot;/&gt;&lt;wsp:rsid wsp:val=&quot;009F6C6F&quot;/&gt;&lt;wsp:rsid wsp:val=&quot;009F6D60&quot;/&gt;&lt;wsp:rsid wsp:val=&quot;009F6E91&quot;/&gt;&lt;wsp:rsid wsp:val=&quot;009F7704&quot;/&gt;&lt;wsp:rsid wsp:val=&quot;009F7E7D&quot;/&gt;&lt;wsp:rsid wsp:val=&quot;00A00108&quot;/&gt;&lt;wsp:rsid wsp:val=&quot;00A0029D&quot;/&gt;&lt;wsp:rsid wsp:val=&quot;00A006E2&quot;/&gt;&lt;wsp:rsid wsp:val=&quot;00A006EE&quot;/&gt;&lt;wsp:rsid wsp:val=&quot;00A0074F&quot;/&gt;&lt;wsp:rsid wsp:val=&quot;00A00F23&quot;/&gt;&lt;wsp:rsid wsp:val=&quot;00A013C1&quot;/&gt;&lt;wsp:rsid wsp:val=&quot;00A01BB7&quot;/&gt;&lt;wsp:rsid wsp:val=&quot;00A01BBC&quot;/&gt;&lt;wsp:rsid wsp:val=&quot;00A01C6B&quot;/&gt;&lt;wsp:rsid wsp:val=&quot;00A01CBE&quot;/&gt;&lt;wsp:rsid wsp:val=&quot;00A0234B&quot;/&gt;&lt;wsp:rsid wsp:val=&quot;00A024CC&quot;/&gt;&lt;wsp:rsid wsp:val=&quot;00A02851&quot;/&gt;&lt;wsp:rsid wsp:val=&quot;00A02878&quot;/&gt;&lt;wsp:rsid wsp:val=&quot;00A02CB7&quot;/&gt;&lt;wsp:rsid wsp:val=&quot;00A0335B&quot;/&gt;&lt;wsp:rsid wsp:val=&quot;00A03B79&quot;/&gt;&lt;wsp:rsid wsp:val=&quot;00A03E14&quot;/&gt;&lt;wsp:rsid wsp:val=&quot;00A04440&quot;/&gt;&lt;wsp:rsid wsp:val=&quot;00A04E5B&quot;/&gt;&lt;wsp:rsid wsp:val=&quot;00A04F29&quot;/&gt;&lt;wsp:rsid wsp:val=&quot;00A05038&quot;/&gt;&lt;wsp:rsid wsp:val=&quot;00A0578A&quot;/&gt;&lt;wsp:rsid wsp:val=&quot;00A05925&quot;/&gt;&lt;wsp:rsid wsp:val=&quot;00A05AA3&quot;/&gt;&lt;wsp:rsid wsp:val=&quot;00A05F18&quot;/&gt;&lt;wsp:rsid wsp:val=&quot;00A06349&quot;/&gt;&lt;wsp:rsid wsp:val=&quot;00A06389&quot;/&gt;&lt;wsp:rsid wsp:val=&quot;00A063D6&quot;/&gt;&lt;wsp:rsid wsp:val=&quot;00A06AF7&quot;/&gt;&lt;wsp:rsid wsp:val=&quot;00A06C3B&quot;/&gt;&lt;wsp:rsid wsp:val=&quot;00A0705C&quot;/&gt;&lt;wsp:rsid wsp:val=&quot;00A071F0&quot;/&gt;&lt;wsp:rsid wsp:val=&quot;00A0795B&quot;/&gt;&lt;wsp:rsid wsp:val=&quot;00A07FD5&quot;/&gt;&lt;wsp:rsid wsp:val=&quot;00A10198&quot;/&gt;&lt;wsp:rsid wsp:val=&quot;00A101C2&quot;/&gt;&lt;wsp:rsid wsp:val=&quot;00A10679&quot;/&gt;&lt;wsp:rsid wsp:val=&quot;00A106EB&quot;/&gt;&lt;wsp:rsid wsp:val=&quot;00A109EE&quot;/&gt;&lt;wsp:rsid wsp:val=&quot;00A112E7&quot;/&gt;&lt;wsp:rsid wsp:val=&quot;00A11859&quot;/&gt;&lt;wsp:rsid wsp:val=&quot;00A11F40&quot;/&gt;&lt;wsp:rsid wsp:val=&quot;00A12240&quot;/&gt;&lt;wsp:rsid wsp:val=&quot;00A12640&quot;/&gt;&lt;wsp:rsid wsp:val=&quot;00A128AA&quot;/&gt;&lt;wsp:rsid wsp:val=&quot;00A12C11&quot;/&gt;&lt;wsp:rsid wsp:val=&quot;00A12C12&quot;/&gt;&lt;wsp:rsid wsp:val=&quot;00A12D6A&quot;/&gt;&lt;wsp:rsid wsp:val=&quot;00A12D7C&quot;/&gt;&lt;wsp:rsid wsp:val=&quot;00A1375D&quot;/&gt;&lt;wsp:rsid wsp:val=&quot;00A1385D&quot;/&gt;&lt;wsp:rsid wsp:val=&quot;00A13B28&quot;/&gt;&lt;wsp:rsid wsp:val=&quot;00A13D39&quot;/&gt;&lt;wsp:rsid wsp:val=&quot;00A13F73&quot;/&gt;&lt;wsp:rsid wsp:val=&quot;00A13F82&quot;/&gt;&lt;wsp:rsid wsp:val=&quot;00A13FED&quot;/&gt;&lt;wsp:rsid wsp:val=&quot;00A14252&quot;/&gt;&lt;wsp:rsid wsp:val=&quot;00A148D1&quot;/&gt;&lt;wsp:rsid wsp:val=&quot;00A148FB&quot;/&gt;&lt;wsp:rsid wsp:val=&quot;00A14FE7&quot;/&gt;&lt;wsp:rsid wsp:val=&quot;00A150D5&quot;/&gt;&lt;wsp:rsid wsp:val=&quot;00A15168&quot;/&gt;&lt;wsp:rsid wsp:val=&quot;00A1543F&quot;/&gt;&lt;wsp:rsid wsp:val=&quot;00A15572&quot;/&gt;&lt;wsp:rsid wsp:val=&quot;00A15783&quot;/&gt;&lt;wsp:rsid wsp:val=&quot;00A15C97&quot;/&gt;&lt;wsp:rsid wsp:val=&quot;00A15CBA&quot;/&gt;&lt;wsp:rsid wsp:val=&quot;00A16141&quot;/&gt;&lt;wsp:rsid wsp:val=&quot;00A166D0&quot;/&gt;&lt;wsp:rsid wsp:val=&quot;00A16A35&quot;/&gt;&lt;wsp:rsid wsp:val=&quot;00A1722D&quot;/&gt;&lt;wsp:rsid wsp:val=&quot;00A1763E&quot;/&gt;&lt;wsp:rsid wsp:val=&quot;00A17B2D&quot;/&gt;&lt;wsp:rsid wsp:val=&quot;00A17C35&quot;/&gt;&lt;wsp:rsid wsp:val=&quot;00A17D80&quot;/&gt;&lt;wsp:rsid wsp:val=&quot;00A17DDB&quot;/&gt;&lt;wsp:rsid wsp:val=&quot;00A17E93&quot;/&gt;&lt;wsp:rsid wsp:val=&quot;00A17FD5&quot;/&gt;&lt;wsp:rsid wsp:val=&quot;00A20378&quot;/&gt;&lt;wsp:rsid wsp:val=&quot;00A209EA&quot;/&gt;&lt;wsp:rsid wsp:val=&quot;00A20D10&quot;/&gt;&lt;wsp:rsid wsp:val=&quot;00A20E6C&quot;/&gt;&lt;wsp:rsid wsp:val=&quot;00A20F11&quot;/&gt;&lt;wsp:rsid wsp:val=&quot;00A21ABD&quot;/&gt;&lt;wsp:rsid wsp:val=&quot;00A21BFA&quot;/&gt;&lt;wsp:rsid wsp:val=&quot;00A21CE4&quot;/&gt;&lt;wsp:rsid wsp:val=&quot;00A2207C&quot;/&gt;&lt;wsp:rsid wsp:val=&quot;00A22137&quot;/&gt;&lt;wsp:rsid wsp:val=&quot;00A226FC&quot;/&gt;&lt;wsp:rsid wsp:val=&quot;00A226FF&quot;/&gt;&lt;wsp:rsid wsp:val=&quot;00A2291F&quot;/&gt;&lt;wsp:rsid wsp:val=&quot;00A22E0D&quot;/&gt;&lt;wsp:rsid wsp:val=&quot;00A22F42&quot;/&gt;&lt;wsp:rsid wsp:val=&quot;00A23506&quot;/&gt;&lt;wsp:rsid wsp:val=&quot;00A23648&quot;/&gt;&lt;wsp:rsid wsp:val=&quot;00A23994&quot;/&gt;&lt;wsp:rsid wsp:val=&quot;00A23B5E&quot;/&gt;&lt;wsp:rsid wsp:val=&quot;00A24233&quot;/&gt;&lt;wsp:rsid wsp:val=&quot;00A24248&quot;/&gt;&lt;wsp:rsid wsp:val=&quot;00A24A2D&quot;/&gt;&lt;wsp:rsid wsp:val=&quot;00A252E7&quot;/&gt;&lt;wsp:rsid wsp:val=&quot;00A2593E&quot;/&gt;&lt;wsp:rsid wsp:val=&quot;00A261A7&quot;/&gt;&lt;wsp:rsid wsp:val=&quot;00A262EE&quot;/&gt;&lt;wsp:rsid wsp:val=&quot;00A270A3&quot;/&gt;&lt;wsp:rsid wsp:val=&quot;00A27218&quot;/&gt;&lt;wsp:rsid wsp:val=&quot;00A272C0&quot;/&gt;&lt;wsp:rsid wsp:val=&quot;00A27335&quot;/&gt;&lt;wsp:rsid wsp:val=&quot;00A27758&quot;/&gt;&lt;wsp:rsid wsp:val=&quot;00A27EF4&quot;/&gt;&lt;wsp:rsid wsp:val=&quot;00A27F1E&quot;/&gt;&lt;wsp:rsid wsp:val=&quot;00A30022&quot;/&gt;&lt;wsp:rsid wsp:val=&quot;00A30405&quot;/&gt;&lt;wsp:rsid wsp:val=&quot;00A30473&quot;/&gt;&lt;wsp:rsid wsp:val=&quot;00A304F6&quot;/&gt;&lt;wsp:rsid wsp:val=&quot;00A30940&quot;/&gt;&lt;wsp:rsid wsp:val=&quot;00A30C79&quot;/&gt;&lt;wsp:rsid wsp:val=&quot;00A30CD9&quot;/&gt;&lt;wsp:rsid wsp:val=&quot;00A30D84&quot;/&gt;&lt;wsp:rsid wsp:val=&quot;00A310F8&quot;/&gt;&lt;wsp:rsid wsp:val=&quot;00A31154&quot;/&gt;&lt;wsp:rsid wsp:val=&quot;00A3124A&quot;/&gt;&lt;wsp:rsid wsp:val=&quot;00A31811&quot;/&gt;&lt;wsp:rsid wsp:val=&quot;00A31CD5&quot;/&gt;&lt;wsp:rsid wsp:val=&quot;00A32633&quot;/&gt;&lt;wsp:rsid wsp:val=&quot;00A32EF9&quot;/&gt;&lt;wsp:rsid wsp:val=&quot;00A3384E&quot;/&gt;&lt;wsp:rsid wsp:val=&quot;00A33D51&quot;/&gt;&lt;wsp:rsid wsp:val=&quot;00A33EAA&quot;/&gt;&lt;wsp:rsid wsp:val=&quot;00A34099&quot;/&gt;&lt;wsp:rsid wsp:val=&quot;00A343F7&quot;/&gt;&lt;wsp:rsid wsp:val=&quot;00A34488&quot;/&gt;&lt;wsp:rsid wsp:val=&quot;00A34787&quot;/&gt;&lt;wsp:rsid wsp:val=&quot;00A3483B&quot;/&gt;&lt;wsp:rsid wsp:val=&quot;00A348E8&quot;/&gt;&lt;wsp:rsid wsp:val=&quot;00A34919&quot;/&gt;&lt;wsp:rsid wsp:val=&quot;00A34AB2&quot;/&gt;&lt;wsp:rsid wsp:val=&quot;00A3521D&quot;/&gt;&lt;wsp:rsid wsp:val=&quot;00A352D6&quot;/&gt;&lt;wsp:rsid wsp:val=&quot;00A35655&quot;/&gt;&lt;wsp:rsid wsp:val=&quot;00A35DA5&quot;/&gt;&lt;wsp:rsid wsp:val=&quot;00A3602A&quot;/&gt;&lt;wsp:rsid wsp:val=&quot;00A3612D&quot;/&gt;&lt;wsp:rsid wsp:val=&quot;00A3687D&quot;/&gt;&lt;wsp:rsid wsp:val=&quot;00A36911&quot;/&gt;&lt;wsp:rsid wsp:val=&quot;00A36FC7&quot;/&gt;&lt;wsp:rsid wsp:val=&quot;00A375E3&quot;/&gt;&lt;wsp:rsid wsp:val=&quot;00A37CCC&quot;/&gt;&lt;wsp:rsid wsp:val=&quot;00A37D0D&quot;/&gt;&lt;wsp:rsid wsp:val=&quot;00A40248&quot;/&gt;&lt;wsp:rsid wsp:val=&quot;00A40A2D&quot;/&gt;&lt;wsp:rsid wsp:val=&quot;00A40C6F&quot;/&gt;&lt;wsp:rsid wsp:val=&quot;00A40F5C&quot;/&gt;&lt;wsp:rsid wsp:val=&quot;00A41847&quot;/&gt;&lt;wsp:rsid wsp:val=&quot;00A41B59&quot;/&gt;&lt;wsp:rsid wsp:val=&quot;00A41EEF&quot;/&gt;&lt;wsp:rsid wsp:val=&quot;00A4240B&quot;/&gt;&lt;wsp:rsid wsp:val=&quot;00A4252A&quot;/&gt;&lt;wsp:rsid wsp:val=&quot;00A429A0&quot;/&gt;&lt;wsp:rsid wsp:val=&quot;00A43176&quot;/&gt;&lt;wsp:rsid wsp:val=&quot;00A43177&quot;/&gt;&lt;wsp:rsid wsp:val=&quot;00A43326&quot;/&gt;&lt;wsp:rsid wsp:val=&quot;00A43637&quot;/&gt;&lt;wsp:rsid wsp:val=&quot;00A4383F&quot;/&gt;&lt;wsp:rsid wsp:val=&quot;00A43F6D&quot;/&gt;&lt;wsp:rsid wsp:val=&quot;00A442DB&quot;/&gt;&lt;wsp:rsid wsp:val=&quot;00A44F49&quot;/&gt;&lt;wsp:rsid wsp:val=&quot;00A465D5&quot;/&gt;&lt;wsp:rsid wsp:val=&quot;00A47257&quot;/&gt;&lt;wsp:rsid wsp:val=&quot;00A4729B&quot;/&gt;&lt;wsp:rsid wsp:val=&quot;00A4778F&quot;/&gt;&lt;wsp:rsid wsp:val=&quot;00A47AEC&quot;/&gt;&lt;wsp:rsid wsp:val=&quot;00A47F2C&quot;/&gt;&lt;wsp:rsid wsp:val=&quot;00A50056&quot;/&gt;&lt;wsp:rsid wsp:val=&quot;00A5053E&quot;/&gt;&lt;wsp:rsid wsp:val=&quot;00A50D97&quot;/&gt;&lt;wsp:rsid wsp:val=&quot;00A51313&quot;/&gt;&lt;wsp:rsid wsp:val=&quot;00A513B8&quot;/&gt;&lt;wsp:rsid wsp:val=&quot;00A51795&quot;/&gt;&lt;wsp:rsid wsp:val=&quot;00A51870&quot;/&gt;&lt;wsp:rsid wsp:val=&quot;00A518ED&quot;/&gt;&lt;wsp:rsid wsp:val=&quot;00A51CA5&quot;/&gt;&lt;wsp:rsid wsp:val=&quot;00A51F41&quot;/&gt;&lt;wsp:rsid wsp:val=&quot;00A51F64&quot;/&gt;&lt;wsp:rsid wsp:val=&quot;00A52270&quot;/&gt;&lt;wsp:rsid wsp:val=&quot;00A526BB&quot;/&gt;&lt;wsp:rsid wsp:val=&quot;00A528FE&quot;/&gt;&lt;wsp:rsid wsp:val=&quot;00A52AB8&quot;/&gt;&lt;wsp:rsid wsp:val=&quot;00A52C16&quot;/&gt;&lt;wsp:rsid wsp:val=&quot;00A52FAE&quot;/&gt;&lt;wsp:rsid wsp:val=&quot;00A53478&quot;/&gt;&lt;wsp:rsid wsp:val=&quot;00A537B8&quot;/&gt;&lt;wsp:rsid wsp:val=&quot;00A537CA&quot;/&gt;&lt;wsp:rsid wsp:val=&quot;00A53809&quot;/&gt;&lt;wsp:rsid wsp:val=&quot;00A53D59&quot;/&gt;&lt;wsp:rsid wsp:val=&quot;00A53E21&quot;/&gt;&lt;wsp:rsid wsp:val=&quot;00A54816&quot;/&gt;&lt;wsp:rsid wsp:val=&quot;00A54971&quot;/&gt;&lt;wsp:rsid wsp:val=&quot;00A54E31&quot;/&gt;&lt;wsp:rsid wsp:val=&quot;00A5553C&quot;/&gt;&lt;wsp:rsid wsp:val=&quot;00A55B82&quot;/&gt;&lt;wsp:rsid wsp:val=&quot;00A56042&quot;/&gt;&lt;wsp:rsid wsp:val=&quot;00A5604E&quot;/&gt;&lt;wsp:rsid wsp:val=&quot;00A56484&quot;/&gt;&lt;wsp:rsid wsp:val=&quot;00A56E0B&quot;/&gt;&lt;wsp:rsid wsp:val=&quot;00A575B8&quot;/&gt;&lt;wsp:rsid wsp:val=&quot;00A57746&quot;/&gt;&lt;wsp:rsid wsp:val=&quot;00A57A97&quot;/&gt;&lt;wsp:rsid wsp:val=&quot;00A57D2D&quot;/&gt;&lt;wsp:rsid wsp:val=&quot;00A6006A&quot;/&gt;&lt;wsp:rsid wsp:val=&quot;00A6014E&quot;/&gt;&lt;wsp:rsid wsp:val=&quot;00A604C0&quot;/&gt;&lt;wsp:rsid wsp:val=&quot;00A607AF&quot;/&gt;&lt;wsp:rsid wsp:val=&quot;00A60DD1&quot;/&gt;&lt;wsp:rsid wsp:val=&quot;00A6113E&quot;/&gt;&lt;wsp:rsid wsp:val=&quot;00A6171A&quot;/&gt;&lt;wsp:rsid wsp:val=&quot;00A61798&quot;/&gt;&lt;wsp:rsid wsp:val=&quot;00A6194C&quot;/&gt;&lt;wsp:rsid wsp:val=&quot;00A61983&quot;/&gt;&lt;wsp:rsid wsp:val=&quot;00A61A8E&quot;/&gt;&lt;wsp:rsid wsp:val=&quot;00A61DB3&quot;/&gt;&lt;wsp:rsid wsp:val=&quot;00A61E69&quot;/&gt;&lt;wsp:rsid wsp:val=&quot;00A62020&quot;/&gt;&lt;wsp:rsid wsp:val=&quot;00A626B2&quot;/&gt;&lt;wsp:rsid wsp:val=&quot;00A627DD&quot;/&gt;&lt;wsp:rsid wsp:val=&quot;00A629DA&quot;/&gt;&lt;wsp:rsid wsp:val=&quot;00A6304F&quot;/&gt;&lt;wsp:rsid wsp:val=&quot;00A63AA4&quot;/&gt;&lt;wsp:rsid wsp:val=&quot;00A63B13&quot;/&gt;&lt;wsp:rsid wsp:val=&quot;00A63D49&quot;/&gt;&lt;wsp:rsid wsp:val=&quot;00A64267&quot;/&gt;&lt;wsp:rsid wsp:val=&quot;00A648AE&quot;/&gt;&lt;wsp:rsid wsp:val=&quot;00A64BC5&quot;/&gt;&lt;wsp:rsid wsp:val=&quot;00A64D66&quot;/&gt;&lt;wsp:rsid wsp:val=&quot;00A65203&quot;/&gt;&lt;wsp:rsid wsp:val=&quot;00A65267&quot;/&gt;&lt;wsp:rsid wsp:val=&quot;00A6539A&quot;/&gt;&lt;wsp:rsid wsp:val=&quot;00A65429&quot;/&gt;&lt;wsp:rsid wsp:val=&quot;00A65763&quot;/&gt;&lt;wsp:rsid wsp:val=&quot;00A65CF2&quot;/&gt;&lt;wsp:rsid wsp:val=&quot;00A65FB1&quot;/&gt;&lt;wsp:rsid wsp:val=&quot;00A660DE&quot;/&gt;&lt;wsp:rsid wsp:val=&quot;00A66337&quot;/&gt;&lt;wsp:rsid wsp:val=&quot;00A66855&quot;/&gt;&lt;wsp:rsid wsp:val=&quot;00A66C91&quot;/&gt;&lt;wsp:rsid wsp:val=&quot;00A66D12&quot;/&gt;&lt;wsp:rsid wsp:val=&quot;00A66D7A&quot;/&gt;&lt;wsp:rsid wsp:val=&quot;00A670D6&quot;/&gt;&lt;wsp:rsid wsp:val=&quot;00A6729D&quot;/&gt;&lt;wsp:rsid wsp:val=&quot;00A67394&quot;/&gt;&lt;wsp:rsid wsp:val=&quot;00A677B5&quot;/&gt;&lt;wsp:rsid wsp:val=&quot;00A6790F&quot;/&gt;&lt;wsp:rsid wsp:val=&quot;00A67912&quot;/&gt;&lt;wsp:rsid wsp:val=&quot;00A67DAC&quot;/&gt;&lt;wsp:rsid wsp:val=&quot;00A701FD&quot;/&gt;&lt;wsp:rsid wsp:val=&quot;00A707D4&quot;/&gt;&lt;wsp:rsid wsp:val=&quot;00A70A5B&quot;/&gt;&lt;wsp:rsid wsp:val=&quot;00A70BDE&quot;/&gt;&lt;wsp:rsid wsp:val=&quot;00A70E8D&quot;/&gt;&lt;wsp:rsid wsp:val=&quot;00A70EC1&quot;/&gt;&lt;wsp:rsid wsp:val=&quot;00A70F52&quot;/&gt;&lt;wsp:rsid wsp:val=&quot;00A710F7&quot;/&gt;&lt;wsp:rsid wsp:val=&quot;00A71124&quot;/&gt;&lt;wsp:rsid wsp:val=&quot;00A7121B&quot;/&gt;&lt;wsp:rsid wsp:val=&quot;00A715C6&quot;/&gt;&lt;wsp:rsid wsp:val=&quot;00A715FD&quot;/&gt;&lt;wsp:rsid wsp:val=&quot;00A71A9A&quot;/&gt;&lt;wsp:rsid wsp:val=&quot;00A71FF8&quot;/&gt;&lt;wsp:rsid wsp:val=&quot;00A7266F&quot;/&gt;&lt;wsp:rsid wsp:val=&quot;00A72C11&quot;/&gt;&lt;wsp:rsid wsp:val=&quot;00A72E7A&quot;/&gt;&lt;wsp:rsid wsp:val=&quot;00A7352C&quot;/&gt;&lt;wsp:rsid wsp:val=&quot;00A73841&quot;/&gt;&lt;wsp:rsid wsp:val=&quot;00A73A59&quot;/&gt;&lt;wsp:rsid wsp:val=&quot;00A73D44&quot;/&gt;&lt;wsp:rsid wsp:val=&quot;00A741C8&quot;/&gt;&lt;wsp:rsid wsp:val=&quot;00A74A9A&quot;/&gt;&lt;wsp:rsid wsp:val=&quot;00A74C38&quot;/&gt;&lt;wsp:rsid wsp:val=&quot;00A75314&quot;/&gt;&lt;wsp:rsid wsp:val=&quot;00A7562A&quot;/&gt;&lt;wsp:rsid wsp:val=&quot;00A75D66&quot;/&gt;&lt;wsp:rsid wsp:val=&quot;00A75E31&quot;/&gt;&lt;wsp:rsid wsp:val=&quot;00A75E76&quot;/&gt;&lt;wsp:rsid wsp:val=&quot;00A76326&quot;/&gt;&lt;wsp:rsid wsp:val=&quot;00A765A2&quot;/&gt;&lt;wsp:rsid wsp:val=&quot;00A765C0&quot;/&gt;&lt;wsp:rsid wsp:val=&quot;00A7686C&quot;/&gt;&lt;wsp:rsid wsp:val=&quot;00A76A08&quot;/&gt;&lt;wsp:rsid wsp:val=&quot;00A76A40&quot;/&gt;&lt;wsp:rsid wsp:val=&quot;00A76B2A&quot;/&gt;&lt;wsp:rsid wsp:val=&quot;00A76D07&quot;/&gt;&lt;wsp:rsid wsp:val=&quot;00A76E3C&quot;/&gt;&lt;wsp:rsid wsp:val=&quot;00A7790D&quot;/&gt;&lt;wsp:rsid wsp:val=&quot;00A77B57&quot;/&gt;&lt;wsp:rsid wsp:val=&quot;00A77BFB&quot;/&gt;&lt;wsp:rsid wsp:val=&quot;00A800B3&quot;/&gt;&lt;wsp:rsid wsp:val=&quot;00A80333&quot;/&gt;&lt;wsp:rsid wsp:val=&quot;00A807B7&quot;/&gt;&lt;wsp:rsid wsp:val=&quot;00A80877&quot;/&gt;&lt;wsp:rsid wsp:val=&quot;00A80892&quot;/&gt;&lt;wsp:rsid wsp:val=&quot;00A80A0E&quot;/&gt;&lt;wsp:rsid wsp:val=&quot;00A80A86&quot;/&gt;&lt;wsp:rsid wsp:val=&quot;00A810F9&quot;/&gt;&lt;wsp:rsid wsp:val=&quot;00A8111C&quot;/&gt;&lt;wsp:rsid wsp:val=&quot;00A8170A&quot;/&gt;&lt;wsp:rsid wsp:val=&quot;00A818A4&quot;/&gt;&lt;wsp:rsid wsp:val=&quot;00A81DD7&quot;/&gt;&lt;wsp:rsid wsp:val=&quot;00A820B4&quot;/&gt;&lt;wsp:rsid wsp:val=&quot;00A82346&quot;/&gt;&lt;wsp:rsid wsp:val=&quot;00A82675&quot;/&gt;&lt;wsp:rsid wsp:val=&quot;00A82773&quot;/&gt;&lt;wsp:rsid wsp:val=&quot;00A8277D&quot;/&gt;&lt;wsp:rsid wsp:val=&quot;00A83BFC&quot;/&gt;&lt;wsp:rsid wsp:val=&quot;00A83DD5&quot;/&gt;&lt;wsp:rsid wsp:val=&quot;00A841A8&quot;/&gt;&lt;wsp:rsid wsp:val=&quot;00A8425B&quot;/&gt;&lt;wsp:rsid wsp:val=&quot;00A84D1E&quot;/&gt;&lt;wsp:rsid wsp:val=&quot;00A85234&quot;/&gt;&lt;wsp:rsid wsp:val=&quot;00A853B5&quot;/&gt;&lt;wsp:rsid wsp:val=&quot;00A855A2&quot;/&gt;&lt;wsp:rsid wsp:val=&quot;00A85755&quot;/&gt;&lt;wsp:rsid wsp:val=&quot;00A858ED&quot;/&gt;&lt;wsp:rsid wsp:val=&quot;00A85A20&quot;/&gt;&lt;wsp:rsid wsp:val=&quot;00A85D90&quot;/&gt;&lt;wsp:rsid wsp:val=&quot;00A85E89&quot;/&gt;&lt;wsp:rsid wsp:val=&quot;00A85EB0&quot;/&gt;&lt;wsp:rsid wsp:val=&quot;00A86531&quot;/&gt;&lt;wsp:rsid wsp:val=&quot;00A867EB&quot;/&gt;&lt;wsp:rsid wsp:val=&quot;00A86B33&quot;/&gt;&lt;wsp:rsid wsp:val=&quot;00A86EEB&quot;/&gt;&lt;wsp:rsid wsp:val=&quot;00A87155&quot;/&gt;&lt;wsp:rsid wsp:val=&quot;00A87208&quot;/&gt;&lt;wsp:rsid wsp:val=&quot;00A87724&quot;/&gt;&lt;wsp:rsid wsp:val=&quot;00A87820&quot;/&gt;&lt;wsp:rsid wsp:val=&quot;00A8788D&quot;/&gt;&lt;wsp:rsid wsp:val=&quot;00A878A4&quot;/&gt;&lt;wsp:rsid wsp:val=&quot;00A879D6&quot;/&gt;&lt;wsp:rsid wsp:val=&quot;00A87C29&quot;/&gt;&lt;wsp:rsid wsp:val=&quot;00A87F41&quot;/&gt;&lt;wsp:rsid wsp:val=&quot;00A903DE&quot;/&gt;&lt;wsp:rsid wsp:val=&quot;00A90584&quot;/&gt;&lt;wsp:rsid wsp:val=&quot;00A90A12&quot;/&gt;&lt;wsp:rsid wsp:val=&quot;00A90F31&quot;/&gt;&lt;wsp:rsid wsp:val=&quot;00A912DD&quot;/&gt;&lt;wsp:rsid wsp:val=&quot;00A915D8&quot;/&gt;&lt;wsp:rsid wsp:val=&quot;00A91839&quot;/&gt;&lt;wsp:rsid wsp:val=&quot;00A91B76&quot;/&gt;&lt;wsp:rsid wsp:val=&quot;00A91B9A&quot;/&gt;&lt;wsp:rsid wsp:val=&quot;00A91E08&quot;/&gt;&lt;wsp:rsid wsp:val=&quot;00A92168&quot;/&gt;&lt;wsp:rsid wsp:val=&quot;00A92513&quot;/&gt;&lt;wsp:rsid wsp:val=&quot;00A928DB&quot;/&gt;&lt;wsp:rsid wsp:val=&quot;00A9295F&quot;/&gt;&lt;wsp:rsid wsp:val=&quot;00A92B87&quot;/&gt;&lt;wsp:rsid wsp:val=&quot;00A9315B&quot;/&gt;&lt;wsp:rsid wsp:val=&quot;00A931F2&quot;/&gt;&lt;wsp:rsid wsp:val=&quot;00A93507&quot;/&gt;&lt;wsp:rsid wsp:val=&quot;00A935C3&quot;/&gt;&lt;wsp:rsid wsp:val=&quot;00A93D4E&quot;/&gt;&lt;wsp:rsid wsp:val=&quot;00A93DE5&quot;/&gt;&lt;wsp:rsid wsp:val=&quot;00A93DE8&quot;/&gt;&lt;wsp:rsid wsp:val=&quot;00A93F76&quot;/&gt;&lt;wsp:rsid wsp:val=&quot;00A94491&quot;/&gt;&lt;wsp:rsid wsp:val=&quot;00A9480B&quot;/&gt;&lt;wsp:rsid wsp:val=&quot;00A94810&quot;/&gt;&lt;wsp:rsid wsp:val=&quot;00A951C6&quot;/&gt;&lt;wsp:rsid wsp:val=&quot;00A95BEC&quot;/&gt;&lt;wsp:rsid wsp:val=&quot;00A961BB&quot;/&gt;&lt;wsp:rsid wsp:val=&quot;00A9681E&quot;/&gt;&lt;wsp:rsid wsp:val=&quot;00A96A52&quot;/&gt;&lt;wsp:rsid wsp:val=&quot;00A96A66&quot;/&gt;&lt;wsp:rsid wsp:val=&quot;00A96AE7&quot;/&gt;&lt;wsp:rsid wsp:val=&quot;00A96EA8&quot;/&gt;&lt;wsp:rsid wsp:val=&quot;00A97920&quot;/&gt;&lt;wsp:rsid wsp:val=&quot;00A97D65&quot;/&gt;&lt;wsp:rsid wsp:val=&quot;00A97F1F&quot;/&gt;&lt;wsp:rsid wsp:val=&quot;00AA02FD&quot;/&gt;&lt;wsp:rsid wsp:val=&quot;00AA042C&quot;/&gt;&lt;wsp:rsid wsp:val=&quot;00AA0584&quot;/&gt;&lt;wsp:rsid wsp:val=&quot;00AA069E&quot;/&gt;&lt;wsp:rsid wsp:val=&quot;00AA0A78&quot;/&gt;&lt;wsp:rsid wsp:val=&quot;00AA0C0C&quot;/&gt;&lt;wsp:rsid wsp:val=&quot;00AA0C45&quot;/&gt;&lt;wsp:rsid wsp:val=&quot;00AA1080&quot;/&gt;&lt;wsp:rsid wsp:val=&quot;00AA1CBC&quot;/&gt;&lt;wsp:rsid wsp:val=&quot;00AA23FC&quot;/&gt;&lt;wsp:rsid wsp:val=&quot;00AA2521&quot;/&gt;&lt;wsp:rsid wsp:val=&quot;00AA2F18&quot;/&gt;&lt;wsp:rsid wsp:val=&quot;00AA314E&quot;/&gt;&lt;wsp:rsid wsp:val=&quot;00AA33A4&quot;/&gt;&lt;wsp:rsid wsp:val=&quot;00AA346B&quot;/&gt;&lt;wsp:rsid wsp:val=&quot;00AA3476&quot;/&gt;&lt;wsp:rsid wsp:val=&quot;00AA3937&quot;/&gt;&lt;wsp:rsid wsp:val=&quot;00AA3B2C&quot;/&gt;&lt;wsp:rsid wsp:val=&quot;00AA3C7A&quot;/&gt;&lt;wsp:rsid wsp:val=&quot;00AA3CBE&quot;/&gt;&lt;wsp:rsid wsp:val=&quot;00AA4246&quot;/&gt;&lt;wsp:rsid wsp:val=&quot;00AA4607&quot;/&gt;&lt;wsp:rsid wsp:val=&quot;00AA47E8&quot;/&gt;&lt;wsp:rsid wsp:val=&quot;00AA48A3&quot;/&gt;&lt;wsp:rsid wsp:val=&quot;00AA4924&quot;/&gt;&lt;wsp:rsid wsp:val=&quot;00AA4D99&quot;/&gt;&lt;wsp:rsid wsp:val=&quot;00AA4E2D&quot;/&gt;&lt;wsp:rsid wsp:val=&quot;00AA510B&quot;/&gt;&lt;wsp:rsid wsp:val=&quot;00AA512E&quot;/&gt;&lt;wsp:rsid wsp:val=&quot;00AA51BB&quot;/&gt;&lt;wsp:rsid wsp:val=&quot;00AA52B0&quot;/&gt;&lt;wsp:rsid wsp:val=&quot;00AA54CF&quot;/&gt;&lt;wsp:rsid wsp:val=&quot;00AA55AC&quot;/&gt;&lt;wsp:rsid wsp:val=&quot;00AA55DC&quot;/&gt;&lt;wsp:rsid wsp:val=&quot;00AA5A0A&quot;/&gt;&lt;wsp:rsid wsp:val=&quot;00AA5D36&quot;/&gt;&lt;wsp:rsid wsp:val=&quot;00AA5F33&quot;/&gt;&lt;wsp:rsid wsp:val=&quot;00AA66CE&quot;/&gt;&lt;wsp:rsid wsp:val=&quot;00AA6F5D&quot;/&gt;&lt;wsp:rsid wsp:val=&quot;00AA7915&quot;/&gt;&lt;wsp:rsid wsp:val=&quot;00AB097D&quot;/&gt;&lt;wsp:rsid wsp:val=&quot;00AB0B87&quot;/&gt;&lt;wsp:rsid wsp:val=&quot;00AB0E1C&quot;/&gt;&lt;wsp:rsid wsp:val=&quot;00AB10CD&quot;/&gt;&lt;wsp:rsid wsp:val=&quot;00AB1244&quot;/&gt;&lt;wsp:rsid wsp:val=&quot;00AB1504&quot;/&gt;&lt;wsp:rsid wsp:val=&quot;00AB20B0&quot;/&gt;&lt;wsp:rsid wsp:val=&quot;00AB2119&quot;/&gt;&lt;wsp:rsid wsp:val=&quot;00AB237C&quot;/&gt;&lt;wsp:rsid wsp:val=&quot;00AB269D&quot;/&gt;&lt;wsp:rsid wsp:val=&quot;00AB274E&quot;/&gt;&lt;wsp:rsid wsp:val=&quot;00AB292A&quot;/&gt;&lt;wsp:rsid wsp:val=&quot;00AB2CF5&quot;/&gt;&lt;wsp:rsid wsp:val=&quot;00AB2E72&quot;/&gt;&lt;wsp:rsid wsp:val=&quot;00AB2F00&quot;/&gt;&lt;wsp:rsid wsp:val=&quot;00AB301B&quot;/&gt;&lt;wsp:rsid wsp:val=&quot;00AB308B&quot;/&gt;&lt;wsp:rsid wsp:val=&quot;00AB3408&quot;/&gt;&lt;wsp:rsid wsp:val=&quot;00AB364B&quot;/&gt;&lt;wsp:rsid wsp:val=&quot;00AB389E&quot;/&gt;&lt;wsp:rsid wsp:val=&quot;00AB3D6A&quot;/&gt;&lt;wsp:rsid wsp:val=&quot;00AB42B0&quot;/&gt;&lt;wsp:rsid wsp:val=&quot;00AB47F0&quot;/&gt;&lt;wsp:rsid wsp:val=&quot;00AB4952&quot;/&gt;&lt;wsp:rsid wsp:val=&quot;00AB4C51&quot;/&gt;&lt;wsp:rsid wsp:val=&quot;00AB4C7F&quot;/&gt;&lt;wsp:rsid wsp:val=&quot;00AB4E24&quot;/&gt;&lt;wsp:rsid wsp:val=&quot;00AB4FE3&quot;/&gt;&lt;wsp:rsid wsp:val=&quot;00AB504C&quot;/&gt;&lt;wsp:rsid wsp:val=&quot;00AB51FA&quot;/&gt;&lt;wsp:rsid wsp:val=&quot;00AB5375&quot;/&gt;&lt;wsp:rsid wsp:val=&quot;00AB5404&quot;/&gt;&lt;wsp:rsid wsp:val=&quot;00AB55DD&quot;/&gt;&lt;wsp:rsid wsp:val=&quot;00AB5747&quot;/&gt;&lt;wsp:rsid wsp:val=&quot;00AB5B35&quot;/&gt;&lt;wsp:rsid wsp:val=&quot;00AB5CE5&quot;/&gt;&lt;wsp:rsid wsp:val=&quot;00AB67B5&quot;/&gt;&lt;wsp:rsid wsp:val=&quot;00AB67F3&quot;/&gt;&lt;wsp:rsid wsp:val=&quot;00AB6D48&quot;/&gt;&lt;wsp:rsid wsp:val=&quot;00AB6EC3&quot;/&gt;&lt;wsp:rsid wsp:val=&quot;00AB7C45&quot;/&gt;&lt;wsp:rsid wsp:val=&quot;00AC0763&quot;/&gt;&lt;wsp:rsid wsp:val=&quot;00AC0967&quot;/&gt;&lt;wsp:rsid wsp:val=&quot;00AC0D90&quot;/&gt;&lt;wsp:rsid wsp:val=&quot;00AC1044&quot;/&gt;&lt;wsp:rsid wsp:val=&quot;00AC1366&quot;/&gt;&lt;wsp:rsid wsp:val=&quot;00AC1455&quot;/&gt;&lt;wsp:rsid wsp:val=&quot;00AC18E9&quot;/&gt;&lt;wsp:rsid wsp:val=&quot;00AC19BD&quot;/&gt;&lt;wsp:rsid wsp:val=&quot;00AC2032&quot;/&gt;&lt;wsp:rsid wsp:val=&quot;00AC20DA&quot;/&gt;&lt;wsp:rsid wsp:val=&quot;00AC22D2&quot;/&gt;&lt;wsp:rsid wsp:val=&quot;00AC2495&quot;/&gt;&lt;wsp:rsid wsp:val=&quot;00AC2652&quot;/&gt;&lt;wsp:rsid wsp:val=&quot;00AC2926&quot;/&gt;&lt;wsp:rsid wsp:val=&quot;00AC2B5B&quot;/&gt;&lt;wsp:rsid wsp:val=&quot;00AC308A&quot;/&gt;&lt;wsp:rsid wsp:val=&quot;00AC358E&quot;/&gt;&lt;wsp:rsid wsp:val=&quot;00AC3903&quot;/&gt;&lt;wsp:rsid wsp:val=&quot;00AC4063&quot;/&gt;&lt;wsp:rsid wsp:val=&quot;00AC40EE&quot;/&gt;&lt;wsp:rsid wsp:val=&quot;00AC4234&quot;/&gt;&lt;wsp:rsid wsp:val=&quot;00AC4D26&quot;/&gt;&lt;wsp:rsid wsp:val=&quot;00AC4E76&quot;/&gt;&lt;wsp:rsid wsp:val=&quot;00AC4F73&quot;/&gt;&lt;wsp:rsid wsp:val=&quot;00AC533B&quot;/&gt;&lt;wsp:rsid wsp:val=&quot;00AC56DD&quot;/&gt;&lt;wsp:rsid wsp:val=&quot;00AC5796&quot;/&gt;&lt;wsp:rsid wsp:val=&quot;00AC650B&quot;/&gt;&lt;wsp:rsid wsp:val=&quot;00AC6598&quot;/&gt;&lt;wsp:rsid wsp:val=&quot;00AC68D8&quot;/&gt;&lt;wsp:rsid wsp:val=&quot;00AC699A&quot;/&gt;&lt;wsp:rsid wsp:val=&quot;00AC6C6D&quot;/&gt;&lt;wsp:rsid wsp:val=&quot;00AC6DC2&quot;/&gt;&lt;wsp:rsid wsp:val=&quot;00AC704A&quot;/&gt;&lt;wsp:rsid wsp:val=&quot;00AC73C4&quot;/&gt;&lt;wsp:rsid wsp:val=&quot;00AC77AC&quot;/&gt;&lt;wsp:rsid wsp:val=&quot;00AC7D8E&quot;/&gt;&lt;wsp:rsid wsp:val=&quot;00AD009D&quot;/&gt;&lt;wsp:rsid wsp:val=&quot;00AD034D&quot;/&gt;&lt;wsp:rsid wsp:val=&quot;00AD040A&quot;/&gt;&lt;wsp:rsid wsp:val=&quot;00AD0684&quot;/&gt;&lt;wsp:rsid wsp:val=&quot;00AD0779&quot;/&gt;&lt;wsp:rsid wsp:val=&quot;00AD08EF&quot;/&gt;&lt;wsp:rsid wsp:val=&quot;00AD1039&quot;/&gt;&lt;wsp:rsid wsp:val=&quot;00AD1BF3&quot;/&gt;&lt;wsp:rsid wsp:val=&quot;00AD1E48&quot;/&gt;&lt;wsp:rsid wsp:val=&quot;00AD2171&quot;/&gt;&lt;wsp:rsid wsp:val=&quot;00AD3062&quot;/&gt;&lt;wsp:rsid wsp:val=&quot;00AD3099&quot;/&gt;&lt;wsp:rsid wsp:val=&quot;00AD312C&quot;/&gt;&lt;wsp:rsid wsp:val=&quot;00AD32CE&quot;/&gt;&lt;wsp:rsid wsp:val=&quot;00AD334F&quot;/&gt;&lt;wsp:rsid wsp:val=&quot;00AD3D3D&quot;/&gt;&lt;wsp:rsid wsp:val=&quot;00AD405F&quot;/&gt;&lt;wsp:rsid wsp:val=&quot;00AD40C2&quot;/&gt;&lt;wsp:rsid wsp:val=&quot;00AD4218&quot;/&gt;&lt;wsp:rsid wsp:val=&quot;00AD4487&quot;/&gt;&lt;wsp:rsid wsp:val=&quot;00AD46B1&quot;/&gt;&lt;wsp:rsid wsp:val=&quot;00AD475B&quot;/&gt;&lt;wsp:rsid wsp:val=&quot;00AD4D3C&quot;/&gt;&lt;wsp:rsid wsp:val=&quot;00AD502A&quot;/&gt;&lt;wsp:rsid wsp:val=&quot;00AD56C8&quot;/&gt;&lt;wsp:rsid wsp:val=&quot;00AD5D9A&quot;/&gt;&lt;wsp:rsid wsp:val=&quot;00AD5DF1&quot;/&gt;&lt;wsp:rsid wsp:val=&quot;00AD63F8&quot;/&gt;&lt;wsp:rsid wsp:val=&quot;00AD67A3&quot;/&gt;&lt;wsp:rsid wsp:val=&quot;00AD67D1&quot;/&gt;&lt;wsp:rsid wsp:val=&quot;00AD6D97&quot;/&gt;&lt;wsp:rsid wsp:val=&quot;00AD6F2C&quot;/&gt;&lt;wsp:rsid wsp:val=&quot;00AD74DE&quot;/&gt;&lt;wsp:rsid wsp:val=&quot;00AD75D9&quot;/&gt;&lt;wsp:rsid wsp:val=&quot;00AD767D&quot;/&gt;&lt;wsp:rsid wsp:val=&quot;00AD79C8&quot;/&gt;&lt;wsp:rsid wsp:val=&quot;00AE024C&quot;/&gt;&lt;wsp:rsid wsp:val=&quot;00AE068F&quot;/&gt;&lt;wsp:rsid wsp:val=&quot;00AE0719&quot;/&gt;&lt;wsp:rsid wsp:val=&quot;00AE084B&quot;/&gt;&lt;wsp:rsid wsp:val=&quot;00AE0FEB&quot;/&gt;&lt;wsp:rsid wsp:val=&quot;00AE0FF8&quot;/&gt;&lt;wsp:rsid wsp:val=&quot;00AE1545&quot;/&gt;&lt;wsp:rsid wsp:val=&quot;00AE15DC&quot;/&gt;&lt;wsp:rsid wsp:val=&quot;00AE1955&quot;/&gt;&lt;wsp:rsid wsp:val=&quot;00AE1B40&quot;/&gt;&lt;wsp:rsid wsp:val=&quot;00AE20EA&quot;/&gt;&lt;wsp:rsid wsp:val=&quot;00AE224C&quot;/&gt;&lt;wsp:rsid wsp:val=&quot;00AE278A&quot;/&gt;&lt;wsp:rsid wsp:val=&quot;00AE2AC4&quot;/&gt;&lt;wsp:rsid wsp:val=&quot;00AE32E1&quot;/&gt;&lt;wsp:rsid wsp:val=&quot;00AE3803&quot;/&gt;&lt;wsp:rsid wsp:val=&quot;00AE3814&quot;/&gt;&lt;wsp:rsid wsp:val=&quot;00AE38C8&quot;/&gt;&lt;wsp:rsid wsp:val=&quot;00AE46DB&quot;/&gt;&lt;wsp:rsid wsp:val=&quot;00AE4840&quot;/&gt;&lt;wsp:rsid wsp:val=&quot;00AE5283&quot;/&gt;&lt;wsp:rsid wsp:val=&quot;00AE542C&quot;/&gt;&lt;wsp:rsid wsp:val=&quot;00AE5D98&quot;/&gt;&lt;wsp:rsid wsp:val=&quot;00AE5E12&quot;/&gt;&lt;wsp:rsid wsp:val=&quot;00AE5E2B&quot;/&gt;&lt;wsp:rsid wsp:val=&quot;00AE5EA0&quot;/&gt;&lt;wsp:rsid wsp:val=&quot;00AE69C5&quot;/&gt;&lt;wsp:rsid wsp:val=&quot;00AE6EB1&quot;/&gt;&lt;wsp:rsid wsp:val=&quot;00AE6F8E&quot;/&gt;&lt;wsp:rsid wsp:val=&quot;00AE76BD&quot;/&gt;&lt;wsp:rsid wsp:val=&quot;00AE794E&quot;/&gt;&lt;wsp:rsid wsp:val=&quot;00AE7B87&quot;/&gt;&lt;wsp:rsid wsp:val=&quot;00AF04F5&quot;/&gt;&lt;wsp:rsid wsp:val=&quot;00AF077C&quot;/&gt;&lt;wsp:rsid wsp:val=&quot;00AF078B&quot;/&gt;&lt;wsp:rsid wsp:val=&quot;00AF0C3E&quot;/&gt;&lt;wsp:rsid wsp:val=&quot;00AF14A8&quot;/&gt;&lt;wsp:rsid wsp:val=&quot;00AF1564&quot;/&gt;&lt;wsp:rsid wsp:val=&quot;00AF1B37&quot;/&gt;&lt;wsp:rsid wsp:val=&quot;00AF2287&quot;/&gt;&lt;wsp:rsid wsp:val=&quot;00AF2712&quot;/&gt;&lt;wsp:rsid wsp:val=&quot;00AF2CC9&quot;/&gt;&lt;wsp:rsid wsp:val=&quot;00AF2D3E&quot;/&gt;&lt;wsp:rsid wsp:val=&quot;00AF2F7A&quot;/&gt;&lt;wsp:rsid wsp:val=&quot;00AF2F9D&quot;/&gt;&lt;wsp:rsid wsp:val=&quot;00AF3149&quot;/&gt;&lt;wsp:rsid wsp:val=&quot;00AF3509&quot;/&gt;&lt;wsp:rsid wsp:val=&quot;00AF3529&quot;/&gt;&lt;wsp:rsid wsp:val=&quot;00AF3B58&quot;/&gt;&lt;wsp:rsid wsp:val=&quot;00AF3E49&quot;/&gt;&lt;wsp:rsid wsp:val=&quot;00AF424F&quot;/&gt;&lt;wsp:rsid wsp:val=&quot;00AF4343&quot;/&gt;&lt;wsp:rsid wsp:val=&quot;00AF55AA&quot;/&gt;&lt;wsp:rsid wsp:val=&quot;00AF56AE&quot;/&gt;&lt;wsp:rsid wsp:val=&quot;00AF5852&quot;/&gt;&lt;wsp:rsid wsp:val=&quot;00AF5A03&quot;/&gt;&lt;wsp:rsid wsp:val=&quot;00AF5B3E&quot;/&gt;&lt;wsp:rsid wsp:val=&quot;00AF5FD0&quot;/&gt;&lt;wsp:rsid wsp:val=&quot;00AF6623&quot;/&gt;&lt;wsp:rsid wsp:val=&quot;00AF6C6E&quot;/&gt;&lt;wsp:rsid wsp:val=&quot;00AF6F3F&quot;/&gt;&lt;wsp:rsid wsp:val=&quot;00AF7725&quot;/&gt;&lt;wsp:rsid wsp:val=&quot;00AF7759&quot;/&gt;&lt;wsp:rsid wsp:val=&quot;00B003B5&quot;/&gt;&lt;wsp:rsid wsp:val=&quot;00B00493&quot;/&gt;&lt;wsp:rsid wsp:val=&quot;00B006EA&quot;/&gt;&lt;wsp:rsid wsp:val=&quot;00B00992&quot;/&gt;&lt;wsp:rsid wsp:val=&quot;00B00A3C&quot;/&gt;&lt;wsp:rsid wsp:val=&quot;00B00DA1&quot;/&gt;&lt;wsp:rsid wsp:val=&quot;00B00DA4&quot;/&gt;&lt;wsp:rsid wsp:val=&quot;00B00DC4&quot;/&gt;&lt;wsp:rsid wsp:val=&quot;00B0124C&quot;/&gt;&lt;wsp:rsid wsp:val=&quot;00B01375&quot;/&gt;&lt;wsp:rsid wsp:val=&quot;00B01420&quot;/&gt;&lt;wsp:rsid wsp:val=&quot;00B016D4&quot;/&gt;&lt;wsp:rsid wsp:val=&quot;00B01D43&quot;/&gt;&lt;wsp:rsid wsp:val=&quot;00B01FC6&quot;/&gt;&lt;wsp:rsid wsp:val=&quot;00B02031&quot;/&gt;&lt;wsp:rsid wsp:val=&quot;00B026F6&quot;/&gt;&lt;wsp:rsid wsp:val=&quot;00B02F28&quot;/&gt;&lt;wsp:rsid wsp:val=&quot;00B0318E&quot;/&gt;&lt;wsp:rsid wsp:val=&quot;00B033E0&quot;/&gt;&lt;wsp:rsid wsp:val=&quot;00B03510&quot;/&gt;&lt;wsp:rsid wsp:val=&quot;00B03804&quot;/&gt;&lt;wsp:rsid wsp:val=&quot;00B03DEE&quot;/&gt;&lt;wsp:rsid wsp:val=&quot;00B045D9&quot;/&gt;&lt;wsp:rsid wsp:val=&quot;00B04A0F&quot;/&gt;&lt;wsp:rsid wsp:val=&quot;00B04AE7&quot;/&gt;&lt;wsp:rsid wsp:val=&quot;00B04EEB&quot;/&gt;&lt;wsp:rsid wsp:val=&quot;00B04F2C&quot;/&gt;&lt;wsp:rsid wsp:val=&quot;00B053A9&quot;/&gt;&lt;wsp:rsid wsp:val=&quot;00B05AC4&quot;/&gt;&lt;wsp:rsid wsp:val=&quot;00B05EA9&quot;/&gt;&lt;wsp:rsid wsp:val=&quot;00B05F50&quot;/&gt;&lt;wsp:rsid wsp:val=&quot;00B0603D&quot;/&gt;&lt;wsp:rsid wsp:val=&quot;00B06108&quot;/&gt;&lt;wsp:rsid wsp:val=&quot;00B06342&quot;/&gt;&lt;wsp:rsid wsp:val=&quot;00B063E9&quot;/&gt;&lt;wsp:rsid wsp:val=&quot;00B066FE&quot;/&gt;&lt;wsp:rsid wsp:val=&quot;00B067B6&quot;/&gt;&lt;wsp:rsid wsp:val=&quot;00B069EB&quot;/&gt;&lt;wsp:rsid wsp:val=&quot;00B06D78&quot;/&gt;&lt;wsp:rsid wsp:val=&quot;00B074B7&quot;/&gt;&lt;wsp:rsid wsp:val=&quot;00B07A34&quot;/&gt;&lt;wsp:rsid wsp:val=&quot;00B07A9B&quot;/&gt;&lt;wsp:rsid wsp:val=&quot;00B07C0E&quot;/&gt;&lt;wsp:rsid wsp:val=&quot;00B101E2&quot;/&gt;&lt;wsp:rsid wsp:val=&quot;00B10273&quot;/&gt;&lt;wsp:rsid wsp:val=&quot;00B102A5&quot;/&gt;&lt;wsp:rsid wsp:val=&quot;00B10437&quot;/&gt;&lt;wsp:rsid wsp:val=&quot;00B105C4&quot;/&gt;&lt;wsp:rsid wsp:val=&quot;00B10857&quot;/&gt;&lt;wsp:rsid wsp:val=&quot;00B114AA&quot;/&gt;&lt;wsp:rsid wsp:val=&quot;00B11588&quot;/&gt;&lt;wsp:rsid wsp:val=&quot;00B11AF5&quot;/&gt;&lt;wsp:rsid wsp:val=&quot;00B11C47&quot;/&gt;&lt;wsp:rsid wsp:val=&quot;00B12253&quot;/&gt;&lt;wsp:rsid wsp:val=&quot;00B1237E&quot;/&gt;&lt;wsp:rsid wsp:val=&quot;00B12763&quot;/&gt;&lt;wsp:rsid wsp:val=&quot;00B12A63&quot;/&gt;&lt;wsp:rsid wsp:val=&quot;00B12BF1&quot;/&gt;&lt;wsp:rsid wsp:val=&quot;00B12CB5&quot;/&gt;&lt;wsp:rsid wsp:val=&quot;00B12D76&quot;/&gt;&lt;wsp:rsid wsp:val=&quot;00B12EAC&quot;/&gt;&lt;wsp:rsid wsp:val=&quot;00B13341&quot;/&gt;&lt;wsp:rsid wsp:val=&quot;00B1351D&quot;/&gt;&lt;wsp:rsid wsp:val=&quot;00B13820&quot;/&gt;&lt;wsp:rsid wsp:val=&quot;00B1420F&quot;/&gt;&lt;wsp:rsid wsp:val=&quot;00B14339&quot;/&gt;&lt;wsp:rsid wsp:val=&quot;00B1488F&quot;/&gt;&lt;wsp:rsid wsp:val=&quot;00B1495C&quot;/&gt;&lt;wsp:rsid wsp:val=&quot;00B14964&quot;/&gt;&lt;wsp:rsid wsp:val=&quot;00B14EC4&quot;/&gt;&lt;wsp:rsid wsp:val=&quot;00B14FB8&quot;/&gt;&lt;wsp:rsid wsp:val=&quot;00B150F3&quot;/&gt;&lt;wsp:rsid wsp:val=&quot;00B1542F&quot;/&gt;&lt;wsp:rsid wsp:val=&quot;00B15BB8&quot;/&gt;&lt;wsp:rsid wsp:val=&quot;00B15BD5&quot;/&gt;&lt;wsp:rsid wsp:val=&quot;00B1658C&quot;/&gt;&lt;wsp:rsid wsp:val=&quot;00B165F4&quot;/&gt;&lt;wsp:rsid wsp:val=&quot;00B16B51&quot;/&gt;&lt;wsp:rsid wsp:val=&quot;00B16CE4&quot;/&gt;&lt;wsp:rsid wsp:val=&quot;00B17267&quot;/&gt;&lt;wsp:rsid wsp:val=&quot;00B17A6F&quot;/&gt;&lt;wsp:rsid wsp:val=&quot;00B17A77&quot;/&gt;&lt;wsp:rsid wsp:val=&quot;00B17F34&quot;/&gt;&lt;wsp:rsid wsp:val=&quot;00B2037C&quot;/&gt;&lt;wsp:rsid wsp:val=&quot;00B206CE&quot;/&gt;&lt;wsp:rsid wsp:val=&quot;00B207CE&quot;/&gt;&lt;wsp:rsid wsp:val=&quot;00B207EC&quot;/&gt;&lt;wsp:rsid wsp:val=&quot;00B208ED&quot;/&gt;&lt;wsp:rsid wsp:val=&quot;00B211C4&quot;/&gt;&lt;wsp:rsid wsp:val=&quot;00B21203&quot;/&gt;&lt;wsp:rsid wsp:val=&quot;00B214B2&quot;/&gt;&lt;wsp:rsid wsp:val=&quot;00B215AA&quot;/&gt;&lt;wsp:rsid wsp:val=&quot;00B215BC&quot;/&gt;&lt;wsp:rsid wsp:val=&quot;00B21620&quot;/&gt;&lt;wsp:rsid wsp:val=&quot;00B22E8F&quot;/&gt;&lt;wsp:rsid wsp:val=&quot;00B22F40&quot;/&gt;&lt;wsp:rsid wsp:val=&quot;00B23200&quot;/&gt;&lt;wsp:rsid wsp:val=&quot;00B2379C&quot;/&gt;&lt;wsp:rsid wsp:val=&quot;00B23892&quot;/&gt;&lt;wsp:rsid wsp:val=&quot;00B23D2B&quot;/&gt;&lt;wsp:rsid wsp:val=&quot;00B246A6&quot;/&gt;&lt;wsp:rsid wsp:val=&quot;00B24E41&quot;/&gt;&lt;wsp:rsid wsp:val=&quot;00B24E66&quot;/&gt;&lt;wsp:rsid wsp:val=&quot;00B25027&quot;/&gt;&lt;wsp:rsid wsp:val=&quot;00B2582C&quot;/&gt;&lt;wsp:rsid wsp:val=&quot;00B25907&quot;/&gt;&lt;wsp:rsid wsp:val=&quot;00B264BA&quot;/&gt;&lt;wsp:rsid wsp:val=&quot;00B267C6&quot;/&gt;&lt;wsp:rsid wsp:val=&quot;00B26F46&quot;/&gt;&lt;wsp:rsid wsp:val=&quot;00B270F2&quot;/&gt;&lt;wsp:rsid wsp:val=&quot;00B271B9&quot;/&gt;&lt;wsp:rsid wsp:val=&quot;00B27380&quot;/&gt;&lt;wsp:rsid wsp:val=&quot;00B274BB&quot;/&gt;&lt;wsp:rsid wsp:val=&quot;00B27520&quot;/&gt;&lt;wsp:rsid wsp:val=&quot;00B275DE&quot;/&gt;&lt;wsp:rsid wsp:val=&quot;00B27710&quot;/&gt;&lt;wsp:rsid wsp:val=&quot;00B2772A&quot;/&gt;&lt;wsp:rsid wsp:val=&quot;00B27B90&quot;/&gt;&lt;wsp:rsid wsp:val=&quot;00B27BDA&quot;/&gt;&lt;wsp:rsid wsp:val=&quot;00B302EC&quot;/&gt;&lt;wsp:rsid wsp:val=&quot;00B304C9&quot;/&gt;&lt;wsp:rsid wsp:val=&quot;00B3096D&quot;/&gt;&lt;wsp:rsid wsp:val=&quot;00B30EC9&quot;/&gt;&lt;wsp:rsid wsp:val=&quot;00B31340&quot;/&gt;&lt;wsp:rsid wsp:val=&quot;00B316E7&quot;/&gt;&lt;wsp:rsid wsp:val=&quot;00B31A7D&quot;/&gt;&lt;wsp:rsid wsp:val=&quot;00B31B75&quot;/&gt;&lt;wsp:rsid wsp:val=&quot;00B31F3B&quot;/&gt;&lt;wsp:rsid wsp:val=&quot;00B3255B&quot;/&gt;&lt;wsp:rsid wsp:val=&quot;00B32722&quot;/&gt;&lt;wsp:rsid wsp:val=&quot;00B32901&quot;/&gt;&lt;wsp:rsid wsp:val=&quot;00B32BC4&quot;/&gt;&lt;wsp:rsid wsp:val=&quot;00B32F30&quot;/&gt;&lt;wsp:rsid wsp:val=&quot;00B334E2&quot;/&gt;&lt;wsp:rsid wsp:val=&quot;00B340D8&quot;/&gt;&lt;wsp:rsid wsp:val=&quot;00B34423&quot;/&gt;&lt;wsp:rsid wsp:val=&quot;00B345E1&quot;/&gt;&lt;wsp:rsid wsp:val=&quot;00B34696&quot;/&gt;&lt;wsp:rsid wsp:val=&quot;00B34A3A&quot;/&gt;&lt;wsp:rsid wsp:val=&quot;00B3508E&quot;/&gt;&lt;wsp:rsid wsp:val=&quot;00B35471&quot;/&gt;&lt;wsp:rsid wsp:val=&quot;00B355F7&quot;/&gt;&lt;wsp:rsid wsp:val=&quot;00B355F9&quot;/&gt;&lt;wsp:rsid wsp:val=&quot;00B357FC&quot;/&gt;&lt;wsp:rsid wsp:val=&quot;00B35891&quot;/&gt;&lt;wsp:rsid wsp:val=&quot;00B358AC&quot;/&gt;&lt;wsp:rsid wsp:val=&quot;00B358E9&quot;/&gt;&lt;wsp:rsid wsp:val=&quot;00B35CC2&quot;/&gt;&lt;wsp:rsid wsp:val=&quot;00B36659&quot;/&gt;&lt;wsp:rsid wsp:val=&quot;00B366D3&quot;/&gt;&lt;wsp:rsid wsp:val=&quot;00B3693E&quot;/&gt;&lt;wsp:rsid wsp:val=&quot;00B37158&quot;/&gt;&lt;wsp:rsid wsp:val=&quot;00B373C5&quot;/&gt;&lt;wsp:rsid wsp:val=&quot;00B373F6&quot;/&gt;&lt;wsp:rsid wsp:val=&quot;00B3753C&quot;/&gt;&lt;wsp:rsid wsp:val=&quot;00B37824&quot;/&gt;&lt;wsp:rsid wsp:val=&quot;00B379CB&quot;/&gt;&lt;wsp:rsid wsp:val=&quot;00B37AB0&quot;/&gt;&lt;wsp:rsid wsp:val=&quot;00B37B1C&quot;/&gt;&lt;wsp:rsid wsp:val=&quot;00B37D83&quot;/&gt;&lt;wsp:rsid wsp:val=&quot;00B4003F&quot;/&gt;&lt;wsp:rsid wsp:val=&quot;00B4027C&quot;/&gt;&lt;wsp:rsid wsp:val=&quot;00B405AA&quot;/&gt;&lt;wsp:rsid wsp:val=&quot;00B41129&quot;/&gt;&lt;wsp:rsid wsp:val=&quot;00B41EB7&quot;/&gt;&lt;wsp:rsid wsp:val=&quot;00B420EF&quot;/&gt;&lt;wsp:rsid wsp:val=&quot;00B4230F&quot;/&gt;&lt;wsp:rsid wsp:val=&quot;00B42619&quot;/&gt;&lt;wsp:rsid wsp:val=&quot;00B42645&quot;/&gt;&lt;wsp:rsid wsp:val=&quot;00B4304B&quot;/&gt;&lt;wsp:rsid wsp:val=&quot;00B43378&quot;/&gt;&lt;wsp:rsid wsp:val=&quot;00B4338C&quot;/&gt;&lt;wsp:rsid wsp:val=&quot;00B43BD7&quot;/&gt;&lt;wsp:rsid wsp:val=&quot;00B43C58&quot;/&gt;&lt;wsp:rsid wsp:val=&quot;00B44956&quot;/&gt;&lt;wsp:rsid wsp:val=&quot;00B4527D&quot;/&gt;&lt;wsp:rsid wsp:val=&quot;00B45F5B&quot;/&gt;&lt;wsp:rsid wsp:val=&quot;00B45F5C&quot;/&gt;&lt;wsp:rsid wsp:val=&quot;00B4613C&quot;/&gt;&lt;wsp:rsid wsp:val=&quot;00B464BF&quot;/&gt;&lt;wsp:rsid wsp:val=&quot;00B47705&quot;/&gt;&lt;wsp:rsid wsp:val=&quot;00B47ABD&quot;/&gt;&lt;wsp:rsid wsp:val=&quot;00B47AD1&quot;/&gt;&lt;wsp:rsid wsp:val=&quot;00B47CF4&quot;/&gt;&lt;wsp:rsid wsp:val=&quot;00B47D36&quot;/&gt;&lt;wsp:rsid wsp:val=&quot;00B502BB&quot;/&gt;&lt;wsp:rsid wsp:val=&quot;00B503FD&quot;/&gt;&lt;wsp:rsid wsp:val=&quot;00B50466&quot;/&gt;&lt;wsp:rsid wsp:val=&quot;00B5046F&quot;/&gt;&lt;wsp:rsid wsp:val=&quot;00B505A0&quot;/&gt;&lt;wsp:rsid wsp:val=&quot;00B5084A&quot;/&gt;&lt;wsp:rsid wsp:val=&quot;00B50D60&quot;/&gt;&lt;wsp:rsid wsp:val=&quot;00B5111F&quot;/&gt;&lt;wsp:rsid wsp:val=&quot;00B5185C&quot;/&gt;&lt;wsp:rsid wsp:val=&quot;00B51AB7&quot;/&gt;&lt;wsp:rsid wsp:val=&quot;00B5203B&quot;/&gt;&lt;wsp:rsid wsp:val=&quot;00B52188&quot;/&gt;&lt;wsp:rsid wsp:val=&quot;00B5250E&quot;/&gt;&lt;wsp:rsid wsp:val=&quot;00B5261C&quot;/&gt;&lt;wsp:rsid wsp:val=&quot;00B526AE&quot;/&gt;&lt;wsp:rsid wsp:val=&quot;00B52770&quot;/&gt;&lt;wsp:rsid wsp:val=&quot;00B52A1C&quot;/&gt;&lt;wsp:rsid wsp:val=&quot;00B52A23&quot;/&gt;&lt;wsp:rsid wsp:val=&quot;00B52B05&quot;/&gt;&lt;wsp:rsid wsp:val=&quot;00B52D02&quot;/&gt;&lt;wsp:rsid wsp:val=&quot;00B5318B&quot;/&gt;&lt;wsp:rsid wsp:val=&quot;00B531BC&quot;/&gt;&lt;wsp:rsid wsp:val=&quot;00B53482&quot;/&gt;&lt;wsp:rsid wsp:val=&quot;00B5387F&quot;/&gt;&lt;wsp:rsid wsp:val=&quot;00B5389B&quot;/&gt;&lt;wsp:rsid wsp:val=&quot;00B538F1&quot;/&gt;&lt;wsp:rsid wsp:val=&quot;00B539E7&quot;/&gt;&lt;wsp:rsid wsp:val=&quot;00B53E93&quot;/&gt;&lt;wsp:rsid wsp:val=&quot;00B54064&quot;/&gt;&lt;wsp:rsid wsp:val=&quot;00B54297&quot;/&gt;&lt;wsp:rsid wsp:val=&quot;00B546F4&quot;/&gt;&lt;wsp:rsid wsp:val=&quot;00B54741&quot;/&gt;&lt;wsp:rsid wsp:val=&quot;00B55036&quot;/&gt;&lt;wsp:rsid wsp:val=&quot;00B55249&quot;/&gt;&lt;wsp:rsid wsp:val=&quot;00B5525F&quot;/&gt;&lt;wsp:rsid wsp:val=&quot;00B55663&quot;/&gt;&lt;wsp:rsid wsp:val=&quot;00B55685&quot;/&gt;&lt;wsp:rsid wsp:val=&quot;00B55912&quot;/&gt;&lt;wsp:rsid wsp:val=&quot;00B561D6&quot;/&gt;&lt;wsp:rsid wsp:val=&quot;00B561F7&quot;/&gt;&lt;wsp:rsid wsp:val=&quot;00B5637B&quot;/&gt;&lt;wsp:rsid wsp:val=&quot;00B56DF4&quot;/&gt;&lt;wsp:rsid wsp:val=&quot;00B57213&quot;/&gt;&lt;wsp:rsid wsp:val=&quot;00B573A4&quot;/&gt;&lt;wsp:rsid wsp:val=&quot;00B5750A&quot;/&gt;&lt;wsp:rsid wsp:val=&quot;00B57E4C&quot;/&gt;&lt;wsp:rsid wsp:val=&quot;00B608C4&quot;/&gt;&lt;wsp:rsid wsp:val=&quot;00B609CB&quot;/&gt;&lt;wsp:rsid wsp:val=&quot;00B61A4B&quot;/&gt;&lt;wsp:rsid wsp:val=&quot;00B61D45&quot;/&gt;&lt;wsp:rsid wsp:val=&quot;00B621BD&quot;/&gt;&lt;wsp:rsid wsp:val=&quot;00B622DE&quot;/&gt;&lt;wsp:rsid wsp:val=&quot;00B6234B&quot;/&gt;&lt;wsp:rsid wsp:val=&quot;00B6240A&quot;/&gt;&lt;wsp:rsid wsp:val=&quot;00B6240F&quot;/&gt;&lt;wsp:rsid wsp:val=&quot;00B626C5&quot;/&gt;&lt;wsp:rsid wsp:val=&quot;00B626D5&quot;/&gt;&lt;wsp:rsid wsp:val=&quot;00B62CEE&quot;/&gt;&lt;wsp:rsid wsp:val=&quot;00B63154&quot;/&gt;&lt;wsp:rsid wsp:val=&quot;00B636AA&quot;/&gt;&lt;wsp:rsid wsp:val=&quot;00B642D8&quot;/&gt;&lt;wsp:rsid wsp:val=&quot;00B647B6&quot;/&gt;&lt;wsp:rsid wsp:val=&quot;00B64D1F&quot;/&gt;&lt;wsp:rsid wsp:val=&quot;00B64D40&quot;/&gt;&lt;wsp:rsid wsp:val=&quot;00B6520B&quot;/&gt;&lt;wsp:rsid wsp:val=&quot;00B657C0&quot;/&gt;&lt;wsp:rsid wsp:val=&quot;00B659C5&quot;/&gt;&lt;wsp:rsid wsp:val=&quot;00B66936&quot;/&gt;&lt;wsp:rsid wsp:val=&quot;00B66BE4&quot;/&gt;&lt;wsp:rsid wsp:val=&quot;00B67407&quot;/&gt;&lt;wsp:rsid wsp:val=&quot;00B674C9&quot;/&gt;&lt;wsp:rsid wsp:val=&quot;00B6750B&quot;/&gt;&lt;wsp:rsid wsp:val=&quot;00B67969&quot;/&gt;&lt;wsp:rsid wsp:val=&quot;00B7024E&quot;/&gt;&lt;wsp:rsid wsp:val=&quot;00B70395&quot;/&gt;&lt;wsp:rsid wsp:val=&quot;00B70444&quot;/&gt;&lt;wsp:rsid wsp:val=&quot;00B70C63&quot;/&gt;&lt;wsp:rsid wsp:val=&quot;00B70D4A&quot;/&gt;&lt;wsp:rsid wsp:val=&quot;00B719DC&quot;/&gt;&lt;wsp:rsid wsp:val=&quot;00B71DF4&quot;/&gt;&lt;wsp:rsid wsp:val=&quot;00B71FF8&quot;/&gt;&lt;wsp:rsid wsp:val=&quot;00B7214D&quot;/&gt;&lt;wsp:rsid wsp:val=&quot;00B7237E&quot;/&gt;&lt;wsp:rsid wsp:val=&quot;00B72491&quot;/&gt;&lt;wsp:rsid wsp:val=&quot;00B72997&quot;/&gt;&lt;wsp:rsid wsp:val=&quot;00B72B2D&quot;/&gt;&lt;wsp:rsid wsp:val=&quot;00B73379&quot;/&gt;&lt;wsp:rsid wsp:val=&quot;00B738A1&quot;/&gt;&lt;wsp:rsid wsp:val=&quot;00B73E83&quot;/&gt;&lt;wsp:rsid wsp:val=&quot;00B73F7D&quot;/&gt;&lt;wsp:rsid wsp:val=&quot;00B7404A&quot;/&gt;&lt;wsp:rsid wsp:val=&quot;00B743DB&quot;/&gt;&lt;wsp:rsid wsp:val=&quot;00B74423&quot;/&gt;&lt;wsp:rsid wsp:val=&quot;00B74642&quot;/&gt;&lt;wsp:rsid wsp:val=&quot;00B74D25&quot;/&gt;&lt;wsp:rsid wsp:val=&quot;00B7536C&quot;/&gt;&lt;wsp:rsid wsp:val=&quot;00B7552C&quot;/&gt;&lt;wsp:rsid wsp:val=&quot;00B757CF&quot;/&gt;&lt;wsp:rsid wsp:val=&quot;00B7595E&quot;/&gt;&lt;wsp:rsid wsp:val=&quot;00B75F42&quot;/&gt;&lt;wsp:rsid wsp:val=&quot;00B766BB&quot;/&gt;&lt;wsp:rsid wsp:val=&quot;00B766D1&quot;/&gt;&lt;wsp:rsid wsp:val=&quot;00B769B6&quot;/&gt;&lt;wsp:rsid wsp:val=&quot;00B76C16&quot;/&gt;&lt;wsp:rsid wsp:val=&quot;00B77226&quot;/&gt;&lt;wsp:rsid wsp:val=&quot;00B7723F&quot;/&gt;&lt;wsp:rsid wsp:val=&quot;00B77294&quot;/&gt;&lt;wsp:rsid wsp:val=&quot;00B77450&quot;/&gt;&lt;wsp:rsid wsp:val=&quot;00B776BA&quot;/&gt;&lt;wsp:rsid wsp:val=&quot;00B77C3D&quot;/&gt;&lt;wsp:rsid wsp:val=&quot;00B803FB&quot;/&gt;&lt;wsp:rsid wsp:val=&quot;00B804AA&quot;/&gt;&lt;wsp:rsid wsp:val=&quot;00B8054A&quot;/&gt;&lt;wsp:rsid wsp:val=&quot;00B8064A&quot;/&gt;&lt;wsp:rsid wsp:val=&quot;00B81830&quot;/&gt;&lt;wsp:rsid wsp:val=&quot;00B81AF0&quot;/&gt;&lt;wsp:rsid wsp:val=&quot;00B81B2D&quot;/&gt;&lt;wsp:rsid wsp:val=&quot;00B82189&quot;/&gt;&lt;wsp:rsid wsp:val=&quot;00B82335&quot;/&gt;&lt;wsp:rsid wsp:val=&quot;00B82367&quot;/&gt;&lt;wsp:rsid wsp:val=&quot;00B825BC&quot;/&gt;&lt;wsp:rsid wsp:val=&quot;00B8299B&quot;/&gt;&lt;wsp:rsid wsp:val=&quot;00B82BB6&quot;/&gt;&lt;wsp:rsid wsp:val=&quot;00B830E9&quot;/&gt;&lt;wsp:rsid wsp:val=&quot;00B8316D&quot;/&gt;&lt;wsp:rsid wsp:val=&quot;00B83687&quot;/&gt;&lt;wsp:rsid wsp:val=&quot;00B83B40&quot;/&gt;&lt;wsp:rsid wsp:val=&quot;00B83E28&quot;/&gt;&lt;wsp:rsid wsp:val=&quot;00B8416F&quot;/&gt;&lt;wsp:rsid wsp:val=&quot;00B84482&quot;/&gt;&lt;wsp:rsid wsp:val=&quot;00B845CB&quot;/&gt;&lt;wsp:rsid wsp:val=&quot;00B8472E&quot;/&gt;&lt;wsp:rsid wsp:val=&quot;00B84801&quot;/&gt;&lt;wsp:rsid wsp:val=&quot;00B8506F&quot;/&gt;&lt;wsp:rsid wsp:val=&quot;00B85311&quot;/&gt;&lt;wsp:rsid wsp:val=&quot;00B859FF&quot;/&gt;&lt;wsp:rsid wsp:val=&quot;00B85A40&quot;/&gt;&lt;wsp:rsid wsp:val=&quot;00B85B95&quot;/&gt;&lt;wsp:rsid wsp:val=&quot;00B85DAE&quot;/&gt;&lt;wsp:rsid wsp:val=&quot;00B85DF7&quot;/&gt;&lt;wsp:rsid wsp:val=&quot;00B85FDF&quot;/&gt;&lt;wsp:rsid wsp:val=&quot;00B86233&quot;/&gt;&lt;wsp:rsid wsp:val=&quot;00B868D1&quot;/&gt;&lt;wsp:rsid wsp:val=&quot;00B870B9&quot;/&gt;&lt;wsp:rsid wsp:val=&quot;00B87548&quot;/&gt;&lt;wsp:rsid wsp:val=&quot;00B87808&quot;/&gt;&lt;wsp:rsid wsp:val=&quot;00B87C05&quot;/&gt;&lt;wsp:rsid wsp:val=&quot;00B87FF0&quot;/&gt;&lt;wsp:rsid wsp:val=&quot;00B90186&quot;/&gt;&lt;wsp:rsid wsp:val=&quot;00B90220&quot;/&gt;&lt;wsp:rsid wsp:val=&quot;00B9055C&quot;/&gt;&lt;wsp:rsid wsp:val=&quot;00B90A24&quot;/&gt;&lt;wsp:rsid wsp:val=&quot;00B90AFB&quot;/&gt;&lt;wsp:rsid wsp:val=&quot;00B91017&quot;/&gt;&lt;wsp:rsid wsp:val=&quot;00B91019&quot;/&gt;&lt;wsp:rsid wsp:val=&quot;00B91898&quot;/&gt;&lt;wsp:rsid wsp:val=&quot;00B91D43&quot;/&gt;&lt;wsp:rsid wsp:val=&quot;00B91FFC&quot;/&gt;&lt;wsp:rsid wsp:val=&quot;00B922CF&quot;/&gt;&lt;wsp:rsid wsp:val=&quot;00B9259B&quot;/&gt;&lt;wsp:rsid wsp:val=&quot;00B925A4&quot;/&gt;&lt;wsp:rsid wsp:val=&quot;00B92867&quot;/&gt;&lt;wsp:rsid wsp:val=&quot;00B92C8B&quot;/&gt;&lt;wsp:rsid wsp:val=&quot;00B92CE3&quot;/&gt;&lt;wsp:rsid wsp:val=&quot;00B92EDF&quot;/&gt;&lt;wsp:rsid wsp:val=&quot;00B933ED&quot;/&gt;&lt;wsp:rsid wsp:val=&quot;00B9374D&quot;/&gt;&lt;wsp:rsid wsp:val=&quot;00B939BE&quot;/&gt;&lt;wsp:rsid wsp:val=&quot;00B93A53&quot;/&gt;&lt;wsp:rsid wsp:val=&quot;00B93E91&quot;/&gt;&lt;wsp:rsid wsp:val=&quot;00B94416&quot;/&gt;&lt;wsp:rsid wsp:val=&quot;00B945F6&quot;/&gt;&lt;wsp:rsid wsp:val=&quot;00B9494F&quot;/&gt;&lt;wsp:rsid wsp:val=&quot;00B949CD&quot;/&gt;&lt;wsp:rsid wsp:val=&quot;00B94DD4&quot;/&gt;&lt;wsp:rsid wsp:val=&quot;00B957E1&quot;/&gt;&lt;wsp:rsid wsp:val=&quot;00B95A70&quot;/&gt;&lt;wsp:rsid wsp:val=&quot;00B95F0E&quot;/&gt;&lt;wsp:rsid wsp:val=&quot;00B96800&quot;/&gt;&lt;wsp:rsid wsp:val=&quot;00B96DC9&quot;/&gt;&lt;wsp:rsid wsp:val=&quot;00B96EA0&quot;/&gt;&lt;wsp:rsid wsp:val=&quot;00B972E9&quot;/&gt;&lt;wsp:rsid wsp:val=&quot;00BA00D0&quot;/&gt;&lt;wsp:rsid wsp:val=&quot;00BA0219&quot;/&gt;&lt;wsp:rsid wsp:val=&quot;00BA0229&quot;/&gt;&lt;wsp:rsid wsp:val=&quot;00BA0362&quot;/&gt;&lt;wsp:rsid wsp:val=&quot;00BA0611&quot;/&gt;&lt;wsp:rsid wsp:val=&quot;00BA0A56&quot;/&gt;&lt;wsp:rsid wsp:val=&quot;00BA149A&quot;/&gt;&lt;wsp:rsid wsp:val=&quot;00BA162E&quot;/&gt;&lt;wsp:rsid wsp:val=&quot;00BA178A&quot;/&gt;&lt;wsp:rsid wsp:val=&quot;00BA2D52&quot;/&gt;&lt;wsp:rsid wsp:val=&quot;00BA2D5D&quot;/&gt;&lt;wsp:rsid wsp:val=&quot;00BA3151&quot;/&gt;&lt;wsp:rsid wsp:val=&quot;00BA34EC&quot;/&gt;&lt;wsp:rsid wsp:val=&quot;00BA38D3&quot;/&gt;&lt;wsp:rsid wsp:val=&quot;00BA3DB2&quot;/&gt;&lt;wsp:rsid wsp:val=&quot;00BA3E49&quot;/&gt;&lt;wsp:rsid wsp:val=&quot;00BA43FA&quot;/&gt;&lt;wsp:rsid wsp:val=&quot;00BA4C42&quot;/&gt;&lt;wsp:rsid wsp:val=&quot;00BA4D6A&quot;/&gt;&lt;wsp:rsid wsp:val=&quot;00BA5CA8&quot;/&gt;&lt;wsp:rsid wsp:val=&quot;00BA5DFF&quot;/&gt;&lt;wsp:rsid wsp:val=&quot;00BA5FEF&quot;/&gt;&lt;wsp:rsid wsp:val=&quot;00BA61E1&quot;/&gt;&lt;wsp:rsid wsp:val=&quot;00BA63A1&quot;/&gt;&lt;wsp:rsid wsp:val=&quot;00BA683E&quot;/&gt;&lt;wsp:rsid wsp:val=&quot;00BA68F0&quot;/&gt;&lt;wsp:rsid wsp:val=&quot;00BA6BF0&quot;/&gt;&lt;wsp:rsid wsp:val=&quot;00BA6EF9&quot;/&gt;&lt;wsp:rsid wsp:val=&quot;00BA6FA4&quot;/&gt;&lt;wsp:rsid wsp:val=&quot;00BA7546&quot;/&gt;&lt;wsp:rsid wsp:val=&quot;00BA7725&quot;/&gt;&lt;wsp:rsid wsp:val=&quot;00BA7AD3&quot;/&gt;&lt;wsp:rsid wsp:val=&quot;00BA7FCF&quot;/&gt;&lt;wsp:rsid wsp:val=&quot;00BB022C&quot;/&gt;&lt;wsp:rsid wsp:val=&quot;00BB06E2&quot;/&gt;&lt;wsp:rsid wsp:val=&quot;00BB0DAB&quot;/&gt;&lt;wsp:rsid wsp:val=&quot;00BB167D&quot;/&gt;&lt;wsp:rsid wsp:val=&quot;00BB2025&quot;/&gt;&lt;wsp:rsid wsp:val=&quot;00BB2060&quot;/&gt;&lt;wsp:rsid wsp:val=&quot;00BB20A4&quot;/&gt;&lt;wsp:rsid wsp:val=&quot;00BB2AF6&quot;/&gt;&lt;wsp:rsid wsp:val=&quot;00BB2FFB&quot;/&gt;&lt;wsp:rsid wsp:val=&quot;00BB311C&quot;/&gt;&lt;wsp:rsid wsp:val=&quot;00BB337E&quot;/&gt;&lt;wsp:rsid wsp:val=&quot;00BB34A9&quot;/&gt;&lt;wsp:rsid wsp:val=&quot;00BB350E&quot;/&gt;&lt;wsp:rsid wsp:val=&quot;00BB36C0&quot;/&gt;&lt;wsp:rsid wsp:val=&quot;00BB3A28&quot;/&gt;&lt;wsp:rsid wsp:val=&quot;00BB3B2D&quot;/&gt;&lt;wsp:rsid wsp:val=&quot;00BB409B&quot;/&gt;&lt;wsp:rsid wsp:val=&quot;00BB40BB&quot;/&gt;&lt;wsp:rsid wsp:val=&quot;00BB4189&quot;/&gt;&lt;wsp:rsid wsp:val=&quot;00BB42C2&quot;/&gt;&lt;wsp:rsid wsp:val=&quot;00BB4456&quot;/&gt;&lt;wsp:rsid wsp:val=&quot;00BB44E6&quot;/&gt;&lt;wsp:rsid wsp:val=&quot;00BB4C96&quot;/&gt;&lt;wsp:rsid wsp:val=&quot;00BB4FFB&quot;/&gt;&lt;wsp:rsid wsp:val=&quot;00BB50AC&quot;/&gt;&lt;wsp:rsid wsp:val=&quot;00BB5B79&quot;/&gt;&lt;wsp:rsid wsp:val=&quot;00BB5B9B&quot;/&gt;&lt;wsp:rsid wsp:val=&quot;00BB5C44&quot;/&gt;&lt;wsp:rsid wsp:val=&quot;00BB5F33&quot;/&gt;&lt;wsp:rsid wsp:val=&quot;00BB6048&quot;/&gt;&lt;wsp:rsid wsp:val=&quot;00BB61AC&quot;/&gt;&lt;wsp:rsid wsp:val=&quot;00BB6470&quot;/&gt;&lt;wsp:rsid wsp:val=&quot;00BB6844&quot;/&gt;&lt;wsp:rsid wsp:val=&quot;00BB6956&quot;/&gt;&lt;wsp:rsid wsp:val=&quot;00BB6A39&quot;/&gt;&lt;wsp:rsid wsp:val=&quot;00BB6A44&quot;/&gt;&lt;wsp:rsid wsp:val=&quot;00BB6A93&quot;/&gt;&lt;wsp:rsid wsp:val=&quot;00BB6D27&quot;/&gt;&lt;wsp:rsid wsp:val=&quot;00BB74DB&quot;/&gt;&lt;wsp:rsid wsp:val=&quot;00BB757B&quot;/&gt;&lt;wsp:rsid wsp:val=&quot;00BB77E4&quot;/&gt;&lt;wsp:rsid wsp:val=&quot;00BB782C&quot;/&gt;&lt;wsp:rsid wsp:val=&quot;00BB786D&quot;/&gt;&lt;wsp:rsid wsp:val=&quot;00BB7993&quot;/&gt;&lt;wsp:rsid wsp:val=&quot;00BB7B40&quot;/&gt;&lt;wsp:rsid wsp:val=&quot;00BB7C66&quot;/&gt;&lt;wsp:rsid wsp:val=&quot;00BC0314&quot;/&gt;&lt;wsp:rsid wsp:val=&quot;00BC05B3&quot;/&gt;&lt;wsp:rsid wsp:val=&quot;00BC073A&quot;/&gt;&lt;wsp:rsid wsp:val=&quot;00BC0F9C&quot;/&gt;&lt;wsp:rsid wsp:val=&quot;00BC106A&quot;/&gt;&lt;wsp:rsid wsp:val=&quot;00BC12BA&quot;/&gt;&lt;wsp:rsid wsp:val=&quot;00BC13B7&quot;/&gt;&lt;wsp:rsid wsp:val=&quot;00BC1604&quot;/&gt;&lt;wsp:rsid wsp:val=&quot;00BC1A09&quot;/&gt;&lt;wsp:rsid wsp:val=&quot;00BC1A9E&quot;/&gt;&lt;wsp:rsid wsp:val=&quot;00BC21DC&quot;/&gt;&lt;wsp:rsid wsp:val=&quot;00BC26BD&quot;/&gt;&lt;wsp:rsid wsp:val=&quot;00BC2834&quot;/&gt;&lt;wsp:rsid wsp:val=&quot;00BC2EB8&quot;/&gt;&lt;wsp:rsid wsp:val=&quot;00BC3404&quot;/&gt;&lt;wsp:rsid wsp:val=&quot;00BC34B3&quot;/&gt;&lt;wsp:rsid wsp:val=&quot;00BC37BB&quot;/&gt;&lt;wsp:rsid wsp:val=&quot;00BC37ED&quot;/&gt;&lt;wsp:rsid wsp:val=&quot;00BC3E79&quot;/&gt;&lt;wsp:rsid wsp:val=&quot;00BC3F4F&quot;/&gt;&lt;wsp:rsid wsp:val=&quot;00BC402B&quot;/&gt;&lt;wsp:rsid wsp:val=&quot;00BC40C2&quot;/&gt;&lt;wsp:rsid wsp:val=&quot;00BC4464&quot;/&gt;&lt;wsp:rsid wsp:val=&quot;00BC4A1C&quot;/&gt;&lt;wsp:rsid wsp:val=&quot;00BC4A5E&quot;/&gt;&lt;wsp:rsid wsp:val=&quot;00BC4CDE&quot;/&gt;&lt;wsp:rsid wsp:val=&quot;00BC4F0F&quot;/&gt;&lt;wsp:rsid wsp:val=&quot;00BC4F86&quot;/&gt;&lt;wsp:rsid wsp:val=&quot;00BC5197&quot;/&gt;&lt;wsp:rsid wsp:val=&quot;00BC51DE&quot;/&gt;&lt;wsp:rsid wsp:val=&quot;00BC569F&quot;/&gt;&lt;wsp:rsid wsp:val=&quot;00BC59F6&quot;/&gt;&lt;wsp:rsid wsp:val=&quot;00BC5B02&quot;/&gt;&lt;wsp:rsid wsp:val=&quot;00BC5E6B&quot;/&gt;&lt;wsp:rsid wsp:val=&quot;00BC645D&quot;/&gt;&lt;wsp:rsid wsp:val=&quot;00BC689E&quot;/&gt;&lt;wsp:rsid wsp:val=&quot;00BC6E57&quot;/&gt;&lt;wsp:rsid wsp:val=&quot;00BC6FF0&quot;/&gt;&lt;wsp:rsid wsp:val=&quot;00BC7003&quot;/&gt;&lt;wsp:rsid wsp:val=&quot;00BC72DF&quot;/&gt;&lt;wsp:rsid wsp:val=&quot;00BC7514&quot;/&gt;&lt;wsp:rsid wsp:val=&quot;00BC7A8A&quot;/&gt;&lt;wsp:rsid wsp:val=&quot;00BC7E36&quot;/&gt;&lt;wsp:rsid wsp:val=&quot;00BD0239&quot;/&gt;&lt;wsp:rsid wsp:val=&quot;00BD028C&quot;/&gt;&lt;wsp:rsid wsp:val=&quot;00BD0665&quot;/&gt;&lt;wsp:rsid wsp:val=&quot;00BD07EF&quot;/&gt;&lt;wsp:rsid wsp:val=&quot;00BD07F5&quot;/&gt;&lt;wsp:rsid wsp:val=&quot;00BD0E05&quot;/&gt;&lt;wsp:rsid wsp:val=&quot;00BD0EC3&quot;/&gt;&lt;wsp:rsid wsp:val=&quot;00BD1044&quot;/&gt;&lt;wsp:rsid wsp:val=&quot;00BD1408&quot;/&gt;&lt;wsp:rsid wsp:val=&quot;00BD15C5&quot;/&gt;&lt;wsp:rsid wsp:val=&quot;00BD16AD&quot;/&gt;&lt;wsp:rsid wsp:val=&quot;00BD183E&quot;/&gt;&lt;wsp:rsid wsp:val=&quot;00BD1966&quot;/&gt;&lt;wsp:rsid wsp:val=&quot;00BD19F8&quot;/&gt;&lt;wsp:rsid wsp:val=&quot;00BD21EF&quot;/&gt;&lt;wsp:rsid wsp:val=&quot;00BD2722&quot;/&gt;&lt;wsp:rsid wsp:val=&quot;00BD290B&quot;/&gt;&lt;wsp:rsid wsp:val=&quot;00BD2A30&quot;/&gt;&lt;wsp:rsid wsp:val=&quot;00BD2C67&quot;/&gt;&lt;wsp:rsid wsp:val=&quot;00BD319D&quot;/&gt;&lt;wsp:rsid wsp:val=&quot;00BD3B1A&quot;/&gt;&lt;wsp:rsid wsp:val=&quot;00BD3CC7&quot;/&gt;&lt;wsp:rsid wsp:val=&quot;00BD47CB&quot;/&gt;&lt;wsp:rsid wsp:val=&quot;00BD4986&quot;/&gt;&lt;wsp:rsid wsp:val=&quot;00BD4A06&quot;/&gt;&lt;wsp:rsid wsp:val=&quot;00BD4D4D&quot;/&gt;&lt;wsp:rsid wsp:val=&quot;00BD4F72&quot;/&gt;&lt;wsp:rsid wsp:val=&quot;00BD5117&quot;/&gt;&lt;wsp:rsid wsp:val=&quot;00BD52AB&quot;/&gt;&lt;wsp:rsid wsp:val=&quot;00BD5483&quot;/&gt;&lt;wsp:rsid wsp:val=&quot;00BD5626&quot;/&gt;&lt;wsp:rsid wsp:val=&quot;00BD57FD&quot;/&gt;&lt;wsp:rsid wsp:val=&quot;00BD5E7B&quot;/&gt;&lt;wsp:rsid wsp:val=&quot;00BD67E2&quot;/&gt;&lt;wsp:rsid wsp:val=&quot;00BD6DBD&quot;/&gt;&lt;wsp:rsid wsp:val=&quot;00BD6E04&quot;/&gt;&lt;wsp:rsid wsp:val=&quot;00BD73E0&quot;/&gt;&lt;wsp:rsid wsp:val=&quot;00BD746B&quot;/&gt;&lt;wsp:rsid wsp:val=&quot;00BD7971&quot;/&gt;&lt;wsp:rsid wsp:val=&quot;00BD7A89&quot;/&gt;&lt;wsp:rsid wsp:val=&quot;00BD7AB5&quot;/&gt;&lt;wsp:rsid wsp:val=&quot;00BD7C5B&quot;/&gt;&lt;wsp:rsid wsp:val=&quot;00BD7CEE&quot;/&gt;&lt;wsp:rsid wsp:val=&quot;00BD7D8E&quot;/&gt;&lt;wsp:rsid wsp:val=&quot;00BE0028&quot;/&gt;&lt;wsp:rsid wsp:val=&quot;00BE06B0&quot;/&gt;&lt;wsp:rsid wsp:val=&quot;00BE06D9&quot;/&gt;&lt;wsp:rsid wsp:val=&quot;00BE09AD&quot;/&gt;&lt;wsp:rsid wsp:val=&quot;00BE0B76&quot;/&gt;&lt;wsp:rsid wsp:val=&quot;00BE18A5&quot;/&gt;&lt;wsp:rsid wsp:val=&quot;00BE19E5&quot;/&gt;&lt;wsp:rsid wsp:val=&quot;00BE1DE4&quot;/&gt;&lt;wsp:rsid wsp:val=&quot;00BE1F06&quot;/&gt;&lt;wsp:rsid wsp:val=&quot;00BE1FDE&quot;/&gt;&lt;wsp:rsid wsp:val=&quot;00BE24B8&quot;/&gt;&lt;wsp:rsid wsp:val=&quot;00BE2516&quot;/&gt;&lt;wsp:rsid wsp:val=&quot;00BE2676&quot;/&gt;&lt;wsp:rsid wsp:val=&quot;00BE27F3&quot;/&gt;&lt;wsp:rsid wsp:val=&quot;00BE2B0C&quot;/&gt;&lt;wsp:rsid wsp:val=&quot;00BE2E84&quot;/&gt;&lt;wsp:rsid wsp:val=&quot;00BE2FC2&quot;/&gt;&lt;wsp:rsid wsp:val=&quot;00BE303E&quot;/&gt;&lt;wsp:rsid wsp:val=&quot;00BE333D&quot;/&gt;&lt;wsp:rsid wsp:val=&quot;00BE3465&quot;/&gt;&lt;wsp:rsid wsp:val=&quot;00BE4325&quot;/&gt;&lt;wsp:rsid wsp:val=&quot;00BE52FA&quot;/&gt;&lt;wsp:rsid wsp:val=&quot;00BE5611&quot;/&gt;&lt;wsp:rsid wsp:val=&quot;00BE56AA&quot;/&gt;&lt;wsp:rsid wsp:val=&quot;00BE56CB&quot;/&gt;&lt;wsp:rsid wsp:val=&quot;00BE58B2&quot;/&gt;&lt;wsp:rsid wsp:val=&quot;00BE6197&quot;/&gt;&lt;wsp:rsid wsp:val=&quot;00BE6510&quot;/&gt;&lt;wsp:rsid wsp:val=&quot;00BE6562&quot;/&gt;&lt;wsp:rsid wsp:val=&quot;00BE6B39&quot;/&gt;&lt;wsp:rsid wsp:val=&quot;00BE6C2F&quot;/&gt;&lt;wsp:rsid wsp:val=&quot;00BE6CE0&quot;/&gt;&lt;wsp:rsid wsp:val=&quot;00BE712C&quot;/&gt;&lt;wsp:rsid wsp:val=&quot;00BE75E1&quot;/&gt;&lt;wsp:rsid wsp:val=&quot;00BE76C2&quot;/&gt;&lt;wsp:rsid wsp:val=&quot;00BE785F&quot;/&gt;&lt;wsp:rsid wsp:val=&quot;00BE78BC&quot;/&gt;&lt;wsp:rsid wsp:val=&quot;00BE7C9B&quot;/&gt;&lt;wsp:rsid wsp:val=&quot;00BF00BE&quot;/&gt;&lt;wsp:rsid wsp:val=&quot;00BF018E&quot;/&gt;&lt;wsp:rsid wsp:val=&quot;00BF04F4&quot;/&gt;&lt;wsp:rsid wsp:val=&quot;00BF07C9&quot;/&gt;&lt;wsp:rsid wsp:val=&quot;00BF092E&quot;/&gt;&lt;wsp:rsid wsp:val=&quot;00BF0D10&quot;/&gt;&lt;wsp:rsid wsp:val=&quot;00BF0E67&quot;/&gt;&lt;wsp:rsid wsp:val=&quot;00BF0F6C&quot;/&gt;&lt;wsp:rsid wsp:val=&quot;00BF14A4&quot;/&gt;&lt;wsp:rsid wsp:val=&quot;00BF1503&quot;/&gt;&lt;wsp:rsid wsp:val=&quot;00BF1995&quot;/&gt;&lt;wsp:rsid wsp:val=&quot;00BF20B3&quot;/&gt;&lt;wsp:rsid wsp:val=&quot;00BF2226&quot;/&gt;&lt;wsp:rsid wsp:val=&quot;00BF2A9A&quot;/&gt;&lt;wsp:rsid wsp:val=&quot;00BF3C18&quot;/&gt;&lt;wsp:rsid wsp:val=&quot;00BF4105&quot;/&gt;&lt;wsp:rsid wsp:val=&quot;00BF418D&quot;/&gt;&lt;wsp:rsid wsp:val=&quot;00BF452F&quot;/&gt;&lt;wsp:rsid wsp:val=&quot;00BF456D&quot;/&gt;&lt;wsp:rsid wsp:val=&quot;00BF55FF&quot;/&gt;&lt;wsp:rsid wsp:val=&quot;00BF571A&quot;/&gt;&lt;wsp:rsid wsp:val=&quot;00BF5A3A&quot;/&gt;&lt;wsp:rsid wsp:val=&quot;00BF5B6E&quot;/&gt;&lt;wsp:rsid wsp:val=&quot;00BF5D51&quot;/&gt;&lt;wsp:rsid wsp:val=&quot;00BF5FB4&quot;/&gt;&lt;wsp:rsid wsp:val=&quot;00BF6487&quot;/&gt;&lt;wsp:rsid wsp:val=&quot;00BF6693&quot;/&gt;&lt;wsp:rsid wsp:val=&quot;00BF66D7&quot;/&gt;&lt;wsp:rsid wsp:val=&quot;00BF6AF7&quot;/&gt;&lt;wsp:rsid wsp:val=&quot;00BF6D3E&quot;/&gt;&lt;wsp:rsid wsp:val=&quot;00BF6F1F&quot;/&gt;&lt;wsp:rsid wsp:val=&quot;00BF7145&quot;/&gt;&lt;wsp:rsid wsp:val=&quot;00BF7221&quot;/&gt;&lt;wsp:rsid wsp:val=&quot;00BF7B8D&quot;/&gt;&lt;wsp:rsid wsp:val=&quot;00BF7EAE&quot;/&gt;&lt;wsp:rsid wsp:val=&quot;00C00180&quot;/&gt;&lt;wsp:rsid wsp:val=&quot;00C002A6&quot;/&gt;&lt;wsp:rsid wsp:val=&quot;00C0040F&quot;/&gt;&lt;wsp:rsid wsp:val=&quot;00C00B97&quot;/&gt;&lt;wsp:rsid wsp:val=&quot;00C00ED8&quot;/&gt;&lt;wsp:rsid wsp:val=&quot;00C011B7&quot;/&gt;&lt;wsp:rsid wsp:val=&quot;00C01350&quot;/&gt;&lt;wsp:rsid wsp:val=&quot;00C017BB&quot;/&gt;&lt;wsp:rsid wsp:val=&quot;00C01DB8&quot;/&gt;&lt;wsp:rsid wsp:val=&quot;00C01E51&quot;/&gt;&lt;wsp:rsid wsp:val=&quot;00C01F8C&quot;/&gt;&lt;wsp:rsid wsp:val=&quot;00C0200B&quot;/&gt;&lt;wsp:rsid wsp:val=&quot;00C020FC&quot;/&gt;&lt;wsp:rsid wsp:val=&quot;00C02143&quot;/&gt;&lt;wsp:rsid wsp:val=&quot;00C02566&quot;/&gt;&lt;wsp:rsid wsp:val=&quot;00C02775&quot;/&gt;&lt;wsp:rsid wsp:val=&quot;00C02AB4&quot;/&gt;&lt;wsp:rsid wsp:val=&quot;00C02B6E&quot;/&gt;&lt;wsp:rsid wsp:val=&quot;00C02C7F&quot;/&gt;&lt;wsp:rsid wsp:val=&quot;00C02FC6&quot;/&gt;&lt;wsp:rsid wsp:val=&quot;00C03236&quot;/&gt;&lt;wsp:rsid wsp:val=&quot;00C03A12&quot;/&gt;&lt;wsp:rsid wsp:val=&quot;00C03E02&quot;/&gt;&lt;wsp:rsid wsp:val=&quot;00C03F80&quot;/&gt;&lt;wsp:rsid wsp:val=&quot;00C04424&quot;/&gt;&lt;wsp:rsid wsp:val=&quot;00C0453D&quot;/&gt;&lt;wsp:rsid wsp:val=&quot;00C05095&quot;/&gt;&lt;wsp:rsid wsp:val=&quot;00C05A2D&quot;/&gt;&lt;wsp:rsid wsp:val=&quot;00C05D31&quot;/&gt;&lt;wsp:rsid wsp:val=&quot;00C05E10&quot;/&gt;&lt;wsp:rsid wsp:val=&quot;00C060E2&quot;/&gt;&lt;wsp:rsid wsp:val=&quot;00C06660&quot;/&gt;&lt;wsp:rsid wsp:val=&quot;00C0691F&quot;/&gt;&lt;wsp:rsid wsp:val=&quot;00C06953&quot;/&gt;&lt;wsp:rsid wsp:val=&quot;00C06CC3&quot;/&gt;&lt;wsp:rsid wsp:val=&quot;00C06DF9&quot;/&gt;&lt;wsp:rsid wsp:val=&quot;00C06FB3&quot;/&gt;&lt;wsp:rsid wsp:val=&quot;00C070C3&quot;/&gt;&lt;wsp:rsid wsp:val=&quot;00C078EE&quot;/&gt;&lt;wsp:rsid wsp:val=&quot;00C07BC7&quot;/&gt;&lt;wsp:rsid wsp:val=&quot;00C10240&quot;/&gt;&lt;wsp:rsid wsp:val=&quot;00C102D6&quot;/&gt;&lt;wsp:rsid wsp:val=&quot;00C104EA&quot;/&gt;&lt;wsp:rsid wsp:val=&quot;00C10512&quot;/&gt;&lt;wsp:rsid wsp:val=&quot;00C10BF8&quot;/&gt;&lt;wsp:rsid wsp:val=&quot;00C10D7B&quot;/&gt;&lt;wsp:rsid wsp:val=&quot;00C10F49&quot;/&gt;&lt;wsp:rsid wsp:val=&quot;00C11443&quot;/&gt;&lt;wsp:rsid wsp:val=&quot;00C11555&quot;/&gt;&lt;wsp:rsid wsp:val=&quot;00C1180F&quot;/&gt;&lt;wsp:rsid wsp:val=&quot;00C11BE8&quot;/&gt;&lt;wsp:rsid wsp:val=&quot;00C11EA5&quot;/&gt;&lt;wsp:rsid wsp:val=&quot;00C11F74&quot;/&gt;&lt;wsp:rsid wsp:val=&quot;00C129E9&quot;/&gt;&lt;wsp:rsid wsp:val=&quot;00C12C11&quot;/&gt;&lt;wsp:rsid wsp:val=&quot;00C12C97&quot;/&gt;&lt;wsp:rsid wsp:val=&quot;00C13509&quot;/&gt;&lt;wsp:rsid wsp:val=&quot;00C13555&quot;/&gt;&lt;wsp:rsid wsp:val=&quot;00C135A5&quot;/&gt;&lt;wsp:rsid wsp:val=&quot;00C137B3&quot;/&gt;&lt;wsp:rsid wsp:val=&quot;00C13AE6&quot;/&gt;&lt;wsp:rsid wsp:val=&quot;00C13EEF&quot;/&gt;&lt;wsp:rsid wsp:val=&quot;00C14134&quot;/&gt;&lt;wsp:rsid wsp:val=&quot;00C1486A&quot;/&gt;&lt;wsp:rsid wsp:val=&quot;00C14D0F&quot;/&gt;&lt;wsp:rsid wsp:val=&quot;00C150B0&quot;/&gt;&lt;wsp:rsid wsp:val=&quot;00C152AF&quot;/&gt;&lt;wsp:rsid wsp:val=&quot;00C15325&quot;/&gt;&lt;wsp:rsid wsp:val=&quot;00C15977&quot;/&gt;&lt;wsp:rsid wsp:val=&quot;00C15C67&quot;/&gt;&lt;wsp:rsid wsp:val=&quot;00C15EE9&quot;/&gt;&lt;wsp:rsid wsp:val=&quot;00C15F3E&quot;/&gt;&lt;wsp:rsid wsp:val=&quot;00C162BB&quot;/&gt;&lt;wsp:rsid wsp:val=&quot;00C1648E&quot;/&gt;&lt;wsp:rsid wsp:val=&quot;00C16B62&quot;/&gt;&lt;wsp:rsid wsp:val=&quot;00C16CD0&quot;/&gt;&lt;wsp:rsid wsp:val=&quot;00C16D8C&quot;/&gt;&lt;wsp:rsid wsp:val=&quot;00C1711A&quot;/&gt;&lt;wsp:rsid wsp:val=&quot;00C174BB&quot;/&gt;&lt;wsp:rsid wsp:val=&quot;00C17BF1&quot;/&gt;&lt;wsp:rsid wsp:val=&quot;00C17C09&quot;/&gt;&lt;wsp:rsid wsp:val=&quot;00C20128&quot;/&gt;&lt;wsp:rsid wsp:val=&quot;00C201C6&quot;/&gt;&lt;wsp:rsid wsp:val=&quot;00C20663&quot;/&gt;&lt;wsp:rsid wsp:val=&quot;00C208B3&quot;/&gt;&lt;wsp:rsid wsp:val=&quot;00C20A81&quot;/&gt;&lt;wsp:rsid wsp:val=&quot;00C20C04&quot;/&gt;&lt;wsp:rsid wsp:val=&quot;00C213C5&quot;/&gt;&lt;wsp:rsid wsp:val=&quot;00C2147C&quot;/&gt;&lt;wsp:rsid wsp:val=&quot;00C21867&quot;/&gt;&lt;wsp:rsid wsp:val=&quot;00C21BF0&quot;/&gt;&lt;wsp:rsid wsp:val=&quot;00C21CA2&quot;/&gt;&lt;wsp:rsid wsp:val=&quot;00C21FB6&quot;/&gt;&lt;wsp:rsid wsp:val=&quot;00C220D9&quot;/&gt;&lt;wsp:rsid wsp:val=&quot;00C22109&quot;/&gt;&lt;wsp:rsid wsp:val=&quot;00C22165&quot;/&gt;&lt;wsp:rsid wsp:val=&quot;00C22178&quot;/&gt;&lt;wsp:rsid wsp:val=&quot;00C22628&quot;/&gt;&lt;wsp:rsid wsp:val=&quot;00C22699&quot;/&gt;&lt;wsp:rsid wsp:val=&quot;00C2292E&quot;/&gt;&lt;wsp:rsid wsp:val=&quot;00C22AA2&quot;/&gt;&lt;wsp:rsid wsp:val=&quot;00C22F8E&quot;/&gt;&lt;wsp:rsid wsp:val=&quot;00C23063&quot;/&gt;&lt;wsp:rsid wsp:val=&quot;00C236A3&quot;/&gt;&lt;wsp:rsid wsp:val=&quot;00C236BB&quot;/&gt;&lt;wsp:rsid wsp:val=&quot;00C23703&quot;/&gt;&lt;wsp:rsid wsp:val=&quot;00C239A2&quot;/&gt;&lt;wsp:rsid wsp:val=&quot;00C23EA5&quot;/&gt;&lt;wsp:rsid wsp:val=&quot;00C23EFC&quot;/&gt;&lt;wsp:rsid wsp:val=&quot;00C23F8F&quot;/&gt;&lt;wsp:rsid wsp:val=&quot;00C24301&quot;/&gt;&lt;wsp:rsid wsp:val=&quot;00C244F8&quot;/&gt;&lt;wsp:rsid wsp:val=&quot;00C24626&quot;/&gt;&lt;wsp:rsid wsp:val=&quot;00C24A64&quot;/&gt;&lt;wsp:rsid wsp:val=&quot;00C24E2A&quot;/&gt;&lt;wsp:rsid wsp:val=&quot;00C24E2B&quot;/&gt;&lt;wsp:rsid wsp:val=&quot;00C24F63&quot;/&gt;&lt;wsp:rsid wsp:val=&quot;00C250B1&quot;/&gt;&lt;wsp:rsid wsp:val=&quot;00C2586A&quot;/&gt;&lt;wsp:rsid wsp:val=&quot;00C25936&quot;/&gt;&lt;wsp:rsid wsp:val=&quot;00C25DE7&quot;/&gt;&lt;wsp:rsid wsp:val=&quot;00C260AE&quot;/&gt;&lt;wsp:rsid wsp:val=&quot;00C26418&quot;/&gt;&lt;wsp:rsid wsp:val=&quot;00C267CE&quot;/&gt;&lt;wsp:rsid wsp:val=&quot;00C27C00&quot;/&gt;&lt;wsp:rsid wsp:val=&quot;00C3012D&quot;/&gt;&lt;wsp:rsid wsp:val=&quot;00C309C4&quot;/&gt;&lt;wsp:rsid wsp:val=&quot;00C30C4F&quot;/&gt;&lt;wsp:rsid wsp:val=&quot;00C30FEC&quot;/&gt;&lt;wsp:rsid wsp:val=&quot;00C310A6&quot;/&gt;&lt;wsp:rsid wsp:val=&quot;00C313EB&quot;/&gt;&lt;wsp:rsid wsp:val=&quot;00C31477&quot;/&gt;&lt;wsp:rsid wsp:val=&quot;00C3163C&quot;/&gt;&lt;wsp:rsid wsp:val=&quot;00C3189B&quot;/&gt;&lt;wsp:rsid wsp:val=&quot;00C31991&quot;/&gt;&lt;wsp:rsid wsp:val=&quot;00C31BF9&quot;/&gt;&lt;wsp:rsid wsp:val=&quot;00C31E68&quot;/&gt;&lt;wsp:rsid wsp:val=&quot;00C31E98&quot;/&gt;&lt;wsp:rsid wsp:val=&quot;00C31F06&quot;/&gt;&lt;wsp:rsid wsp:val=&quot;00C3200E&quot;/&gt;&lt;wsp:rsid wsp:val=&quot;00C32227&quot;/&gt;&lt;wsp:rsid wsp:val=&quot;00C32521&quot;/&gt;&lt;wsp:rsid wsp:val=&quot;00C3256D&quot;/&gt;&lt;wsp:rsid wsp:val=&quot;00C326F5&quot;/&gt;&lt;wsp:rsid wsp:val=&quot;00C328C0&quot;/&gt;&lt;wsp:rsid wsp:val=&quot;00C329BB&quot;/&gt;&lt;wsp:rsid wsp:val=&quot;00C32CD7&quot;/&gt;&lt;wsp:rsid wsp:val=&quot;00C32D73&quot;/&gt;&lt;wsp:rsid wsp:val=&quot;00C33480&quot;/&gt;&lt;wsp:rsid wsp:val=&quot;00C3351E&quot;/&gt;&lt;wsp:rsid wsp:val=&quot;00C33ABF&quot;/&gt;&lt;wsp:rsid wsp:val=&quot;00C33F88&quot;/&gt;&lt;wsp:rsid wsp:val=&quot;00C347EB&quot;/&gt;&lt;wsp:rsid wsp:val=&quot;00C34A8A&quot;/&gt;&lt;wsp:rsid wsp:val=&quot;00C34E96&quot;/&gt;&lt;wsp:rsid wsp:val=&quot;00C34F98&quot;/&gt;&lt;wsp:rsid wsp:val=&quot;00C34FE9&quot;/&gt;&lt;wsp:rsid wsp:val=&quot;00C351F0&quot;/&gt;&lt;wsp:rsid wsp:val=&quot;00C3528E&quot;/&gt;&lt;wsp:rsid wsp:val=&quot;00C3546C&quot;/&gt;&lt;wsp:rsid wsp:val=&quot;00C36345&quot;/&gt;&lt;wsp:rsid wsp:val=&quot;00C36660&quot;/&gt;&lt;wsp:rsid wsp:val=&quot;00C36908&quot;/&gt;&lt;wsp:rsid wsp:val=&quot;00C36A6C&quot;/&gt;&lt;wsp:rsid wsp:val=&quot;00C36D0F&quot;/&gt;&lt;wsp:rsid wsp:val=&quot;00C36F38&quot;/&gt;&lt;wsp:rsid wsp:val=&quot;00C36F53&quot;/&gt;&lt;wsp:rsid wsp:val=&quot;00C375DD&quot;/&gt;&lt;wsp:rsid wsp:val=&quot;00C37B8B&quot;/&gt;&lt;wsp:rsid wsp:val=&quot;00C40486&quot;/&gt;&lt;wsp:rsid wsp:val=&quot;00C405F4&quot;/&gt;&lt;wsp:rsid wsp:val=&quot;00C40609&quot;/&gt;&lt;wsp:rsid wsp:val=&quot;00C40777&quot;/&gt;&lt;wsp:rsid wsp:val=&quot;00C408E3&quot;/&gt;&lt;wsp:rsid wsp:val=&quot;00C409E2&quot;/&gt;&lt;wsp:rsid wsp:val=&quot;00C40A4C&quot;/&gt;&lt;wsp:rsid wsp:val=&quot;00C40A63&quot;/&gt;&lt;wsp:rsid wsp:val=&quot;00C40D3E&quot;/&gt;&lt;wsp:rsid wsp:val=&quot;00C40E93&quot;/&gt;&lt;wsp:rsid wsp:val=&quot;00C40F5C&quot;/&gt;&lt;wsp:rsid wsp:val=&quot;00C40F77&quot;/&gt;&lt;wsp:rsid wsp:val=&quot;00C4136B&quot;/&gt;&lt;wsp:rsid wsp:val=&quot;00C413B2&quot;/&gt;&lt;wsp:rsid wsp:val=&quot;00C413CD&quot;/&gt;&lt;wsp:rsid wsp:val=&quot;00C41992&quot;/&gt;&lt;wsp:rsid wsp:val=&quot;00C419F9&quot;/&gt;&lt;wsp:rsid wsp:val=&quot;00C41CC2&quot;/&gt;&lt;wsp:rsid wsp:val=&quot;00C41DFC&quot;/&gt;&lt;wsp:rsid wsp:val=&quot;00C41E87&quot;/&gt;&lt;wsp:rsid wsp:val=&quot;00C41F13&quot;/&gt;&lt;wsp:rsid wsp:val=&quot;00C42424&quot;/&gt;&lt;wsp:rsid wsp:val=&quot;00C43286&quot;/&gt;&lt;wsp:rsid wsp:val=&quot;00C4358D&quot;/&gt;&lt;wsp:rsid wsp:val=&quot;00C4370D&quot;/&gt;&lt;wsp:rsid wsp:val=&quot;00C44058&quot;/&gt;&lt;wsp:rsid wsp:val=&quot;00C4495F&quot;/&gt;&lt;wsp:rsid wsp:val=&quot;00C45325&quot;/&gt;&lt;wsp:rsid wsp:val=&quot;00C453A3&quot;/&gt;&lt;wsp:rsid wsp:val=&quot;00C45ADF&quot;/&gt;&lt;wsp:rsid wsp:val=&quot;00C45CB8&quot;/&gt;&lt;wsp:rsid wsp:val=&quot;00C46336&quot;/&gt;&lt;wsp:rsid wsp:val=&quot;00C4689A&quot;/&gt;&lt;wsp:rsid wsp:val=&quot;00C46E54&quot;/&gt;&lt;wsp:rsid wsp:val=&quot;00C4703A&quot;/&gt;&lt;wsp:rsid wsp:val=&quot;00C474C1&quot;/&gt;&lt;wsp:rsid wsp:val=&quot;00C47EAC&quot;/&gt;&lt;wsp:rsid wsp:val=&quot;00C47FE1&quot;/&gt;&lt;wsp:rsid wsp:val=&quot;00C5008A&quot;/&gt;&lt;wsp:rsid wsp:val=&quot;00C507B2&quot;/&gt;&lt;wsp:rsid wsp:val=&quot;00C50B28&quot;/&gt;&lt;wsp:rsid wsp:val=&quot;00C50B89&quot;/&gt;&lt;wsp:rsid wsp:val=&quot;00C51397&quot;/&gt;&lt;wsp:rsid wsp:val=&quot;00C516C6&quot;/&gt;&lt;wsp:rsid wsp:val=&quot;00C51953&quot;/&gt;&lt;wsp:rsid wsp:val=&quot;00C52043&quot;/&gt;&lt;wsp:rsid wsp:val=&quot;00C5268A&quot;/&gt;&lt;wsp:rsid wsp:val=&quot;00C529CC&quot;/&gt;&lt;wsp:rsid wsp:val=&quot;00C52D26&quot;/&gt;&lt;wsp:rsid wsp:val=&quot;00C53272&quot;/&gt;&lt;wsp:rsid wsp:val=&quot;00C53E29&quot;/&gt;&lt;wsp:rsid wsp:val=&quot;00C53EAE&quot;/&gt;&lt;wsp:rsid wsp:val=&quot;00C53F85&quot;/&gt;&lt;wsp:rsid wsp:val=&quot;00C54548&quot;/&gt;&lt;wsp:rsid wsp:val=&quot;00C549F3&quot;/&gt;&lt;wsp:rsid wsp:val=&quot;00C54CE5&quot;/&gt;&lt;wsp:rsid wsp:val=&quot;00C54D13&quot;/&gt;&lt;wsp:rsid wsp:val=&quot;00C54EF1&quot;/&gt;&lt;wsp:rsid wsp:val=&quot;00C5502B&quot;/&gt;&lt;wsp:rsid wsp:val=&quot;00C551F8&quot;/&gt;&lt;wsp:rsid wsp:val=&quot;00C552FA&quot;/&gt;&lt;wsp:rsid wsp:val=&quot;00C5557C&quot;/&gt;&lt;wsp:rsid wsp:val=&quot;00C55714&quot;/&gt;&lt;wsp:rsid wsp:val=&quot;00C5571A&quot;/&gt;&lt;wsp:rsid wsp:val=&quot;00C55833&quot;/&gt;&lt;wsp:rsid wsp:val=&quot;00C55ABB&quot;/&gt;&lt;wsp:rsid wsp:val=&quot;00C55C94&quot;/&gt;&lt;wsp:rsid wsp:val=&quot;00C560ED&quot;/&gt;&lt;wsp:rsid wsp:val=&quot;00C56423&quot;/&gt;&lt;wsp:rsid wsp:val=&quot;00C56B2B&quot;/&gt;&lt;wsp:rsid wsp:val=&quot;00C56DFA&quot;/&gt;&lt;wsp:rsid wsp:val=&quot;00C5706C&quot;/&gt;&lt;wsp:rsid wsp:val=&quot;00C5748D&quot;/&gt;&lt;wsp:rsid wsp:val=&quot;00C57495&quot;/&gt;&lt;wsp:rsid wsp:val=&quot;00C5764E&quot;/&gt;&lt;wsp:rsid wsp:val=&quot;00C57724&quot;/&gt;&lt;wsp:rsid wsp:val=&quot;00C578BE&quot;/&gt;&lt;wsp:rsid wsp:val=&quot;00C57A7C&quot;/&gt;&lt;wsp:rsid wsp:val=&quot;00C57ABD&quot;/&gt;&lt;wsp:rsid wsp:val=&quot;00C57E0C&quot;/&gt;&lt;wsp:rsid wsp:val=&quot;00C60420&quot;/&gt;&lt;wsp:rsid wsp:val=&quot;00C608EB&quot;/&gt;&lt;wsp:rsid wsp:val=&quot;00C61442&quot;/&gt;&lt;wsp:rsid wsp:val=&quot;00C6148E&quot;/&gt;&lt;wsp:rsid wsp:val=&quot;00C616DC&quot;/&gt;&lt;wsp:rsid wsp:val=&quot;00C61D53&quot;/&gt;&lt;wsp:rsid wsp:val=&quot;00C628B9&quot;/&gt;&lt;wsp:rsid wsp:val=&quot;00C62D5C&quot;/&gt;&lt;wsp:rsid wsp:val=&quot;00C62D63&quot;/&gt;&lt;wsp:rsid wsp:val=&quot;00C62FD1&quot;/&gt;&lt;wsp:rsid wsp:val=&quot;00C63112&quot;/&gt;&lt;wsp:rsid wsp:val=&quot;00C6323C&quot;/&gt;&lt;wsp:rsid wsp:val=&quot;00C632AB&quot;/&gt;&lt;wsp:rsid wsp:val=&quot;00C635E9&quot;/&gt;&lt;wsp:rsid wsp:val=&quot;00C63676&quot;/&gt;&lt;wsp:rsid wsp:val=&quot;00C638AE&quot;/&gt;&lt;wsp:rsid wsp:val=&quot;00C6396D&quot;/&gt;&lt;wsp:rsid wsp:val=&quot;00C63FC5&quot;/&gt;&lt;wsp:rsid wsp:val=&quot;00C64147&quot;/&gt;&lt;wsp:rsid wsp:val=&quot;00C64212&quot;/&gt;&lt;wsp:rsid wsp:val=&quot;00C64557&quot;/&gt;&lt;wsp:rsid wsp:val=&quot;00C648CB&quot;/&gt;&lt;wsp:rsid wsp:val=&quot;00C64B1E&quot;/&gt;&lt;wsp:rsid wsp:val=&quot;00C64B99&quot;/&gt;&lt;wsp:rsid wsp:val=&quot;00C64FFC&quot;/&gt;&lt;wsp:rsid wsp:val=&quot;00C64FFD&quot;/&gt;&lt;wsp:rsid wsp:val=&quot;00C65030&quot;/&gt;&lt;wsp:rsid wsp:val=&quot;00C655D5&quot;/&gt;&lt;wsp:rsid wsp:val=&quot;00C65CFF&quot;/&gt;&lt;wsp:rsid wsp:val=&quot;00C65EEE&quot;/&gt;&lt;wsp:rsid wsp:val=&quot;00C662BB&quot;/&gt;&lt;wsp:rsid wsp:val=&quot;00C66354&quot;/&gt;&lt;wsp:rsid wsp:val=&quot;00C66A8E&quot;/&gt;&lt;wsp:rsid wsp:val=&quot;00C66B4B&quot;/&gt;&lt;wsp:rsid wsp:val=&quot;00C670A3&quot;/&gt;&lt;wsp:rsid wsp:val=&quot;00C670AE&quot;/&gt;&lt;wsp:rsid wsp:val=&quot;00C671DE&quot;/&gt;&lt;wsp:rsid wsp:val=&quot;00C673C5&quot;/&gt;&lt;wsp:rsid wsp:val=&quot;00C67831&quot;/&gt;&lt;wsp:rsid wsp:val=&quot;00C67EA5&quot;/&gt;&lt;wsp:rsid wsp:val=&quot;00C67F6C&quot;/&gt;&lt;wsp:rsid wsp:val=&quot;00C701DC&quot;/&gt;&lt;wsp:rsid wsp:val=&quot;00C70366&quot;/&gt;&lt;wsp:rsid wsp:val=&quot;00C70A2A&quot;/&gt;&lt;wsp:rsid wsp:val=&quot;00C71651&quot;/&gt;&lt;wsp:rsid wsp:val=&quot;00C71716&quot;/&gt;&lt;wsp:rsid wsp:val=&quot;00C71B9C&quot;/&gt;&lt;wsp:rsid wsp:val=&quot;00C71BAB&quot;/&gt;&lt;wsp:rsid wsp:val=&quot;00C71BCA&quot;/&gt;&lt;wsp:rsid wsp:val=&quot;00C71DA3&quot;/&gt;&lt;wsp:rsid wsp:val=&quot;00C71FEF&quot;/&gt;&lt;wsp:rsid wsp:val=&quot;00C723D3&quot;/&gt;&lt;wsp:rsid wsp:val=&quot;00C7245C&quot;/&gt;&lt;wsp:rsid wsp:val=&quot;00C72BF5&quot;/&gt;&lt;wsp:rsid wsp:val=&quot;00C72E28&quot;/&gt;&lt;wsp:rsid wsp:val=&quot;00C72E48&quot;/&gt;&lt;wsp:rsid wsp:val=&quot;00C72F9F&quot;/&gt;&lt;wsp:rsid wsp:val=&quot;00C730B0&quot;/&gt;&lt;wsp:rsid wsp:val=&quot;00C73AB5&quot;/&gt;&lt;wsp:rsid wsp:val=&quot;00C742F4&quot;/&gt;&lt;wsp:rsid wsp:val=&quot;00C74456&quot;/&gt;&lt;wsp:rsid wsp:val=&quot;00C744F9&quot;/&gt;&lt;wsp:rsid wsp:val=&quot;00C74CB4&quot;/&gt;&lt;wsp:rsid wsp:val=&quot;00C7506D&quot;/&gt;&lt;wsp:rsid wsp:val=&quot;00C75070&quot;/&gt;&lt;wsp:rsid wsp:val=&quot;00C7519E&quot;/&gt;&lt;wsp:rsid wsp:val=&quot;00C755A3&quot;/&gt;&lt;wsp:rsid wsp:val=&quot;00C75D11&quot;/&gt;&lt;wsp:rsid wsp:val=&quot;00C75E9E&quot;/&gt;&lt;wsp:rsid wsp:val=&quot;00C76290&quot;/&gt;&lt;wsp:rsid wsp:val=&quot;00C764DC&quot;/&gt;&lt;wsp:rsid wsp:val=&quot;00C76567&quot;/&gt;&lt;wsp:rsid wsp:val=&quot;00C76946&quot;/&gt;&lt;wsp:rsid wsp:val=&quot;00C76B5E&quot;/&gt;&lt;wsp:rsid wsp:val=&quot;00C76D1B&quot;/&gt;&lt;wsp:rsid wsp:val=&quot;00C770A4&quot;/&gt;&lt;wsp:rsid wsp:val=&quot;00C77201&quot;/&gt;&lt;wsp:rsid wsp:val=&quot;00C7749B&quot;/&gt;&lt;wsp:rsid wsp:val=&quot;00C774E8&quot;/&gt;&lt;wsp:rsid wsp:val=&quot;00C77D52&quot;/&gt;&lt;wsp:rsid wsp:val=&quot;00C804F3&quot;/&gt;&lt;wsp:rsid wsp:val=&quot;00C805E2&quot;/&gt;&lt;wsp:rsid wsp:val=&quot;00C806F4&quot;/&gt;&lt;wsp:rsid wsp:val=&quot;00C80E41&quot;/&gt;&lt;wsp:rsid wsp:val=&quot;00C810E4&quot;/&gt;&lt;wsp:rsid wsp:val=&quot;00C8182A&quot;/&gt;&lt;wsp:rsid wsp:val=&quot;00C81C54&quot;/&gt;&lt;wsp:rsid wsp:val=&quot;00C81D9B&quot;/&gt;&lt;wsp:rsid wsp:val=&quot;00C822FD&quot;/&gt;&lt;wsp:rsid wsp:val=&quot;00C82360&quot;/&gt;&lt;wsp:rsid wsp:val=&quot;00C823D2&quot;/&gt;&lt;wsp:rsid wsp:val=&quot;00C825B6&quot;/&gt;&lt;wsp:rsid wsp:val=&quot;00C82D07&quot;/&gt;&lt;wsp:rsid wsp:val=&quot;00C82EE1&quot;/&gt;&lt;wsp:rsid wsp:val=&quot;00C834B5&quot;/&gt;&lt;wsp:rsid wsp:val=&quot;00C836AB&quot;/&gt;&lt;wsp:rsid wsp:val=&quot;00C83829&quot;/&gt;&lt;wsp:rsid wsp:val=&quot;00C83AB1&quot;/&gt;&lt;wsp:rsid wsp:val=&quot;00C83C0B&quot;/&gt;&lt;wsp:rsid wsp:val=&quot;00C84335&quot;/&gt;&lt;wsp:rsid wsp:val=&quot;00C84382&quot;/&gt;&lt;wsp:rsid wsp:val=&quot;00C846D6&quot;/&gt;&lt;wsp:rsid wsp:val=&quot;00C84879&quot;/&gt;&lt;wsp:rsid wsp:val=&quot;00C8490D&quot;/&gt;&lt;wsp:rsid wsp:val=&quot;00C849C3&quot;/&gt;&lt;wsp:rsid wsp:val=&quot;00C84CA9&quot;/&gt;&lt;wsp:rsid wsp:val=&quot;00C84DAA&quot;/&gt;&lt;wsp:rsid wsp:val=&quot;00C85290&quot;/&gt;&lt;wsp:rsid wsp:val=&quot;00C8537C&quot;/&gt;&lt;wsp:rsid wsp:val=&quot;00C8545B&quot;/&gt;&lt;wsp:rsid wsp:val=&quot;00C85463&quot;/&gt;&lt;wsp:rsid wsp:val=&quot;00C86660&quot;/&gt;&lt;wsp:rsid wsp:val=&quot;00C866CF&quot;/&gt;&lt;wsp:rsid wsp:val=&quot;00C86725&quot;/&gt;&lt;wsp:rsid wsp:val=&quot;00C86798&quot;/&gt;&lt;wsp:rsid wsp:val=&quot;00C869FF&quot;/&gt;&lt;wsp:rsid wsp:val=&quot;00C86B66&quot;/&gt;&lt;wsp:rsid wsp:val=&quot;00C8703E&quot;/&gt;&lt;wsp:rsid wsp:val=&quot;00C87047&quot;/&gt;&lt;wsp:rsid wsp:val=&quot;00C871AB&quot;/&gt;&lt;wsp:rsid wsp:val=&quot;00C8759E&quot;/&gt;&lt;wsp:rsid wsp:val=&quot;00C878DD&quot;/&gt;&lt;wsp:rsid wsp:val=&quot;00C87E7C&quot;/&gt;&lt;wsp:rsid wsp:val=&quot;00C901B8&quot;/&gt;&lt;wsp:rsid wsp:val=&quot;00C901D2&quot;/&gt;&lt;wsp:rsid wsp:val=&quot;00C902BC&quot;/&gt;&lt;wsp:rsid wsp:val=&quot;00C903C5&quot;/&gt;&lt;wsp:rsid wsp:val=&quot;00C90E9F&quot;/&gt;&lt;wsp:rsid wsp:val=&quot;00C90F68&quot;/&gt;&lt;wsp:rsid wsp:val=&quot;00C90FAD&quot;/&gt;&lt;wsp:rsid wsp:val=&quot;00C911C4&quot;/&gt;&lt;wsp:rsid wsp:val=&quot;00C91235&quot;/&gt;&lt;wsp:rsid wsp:val=&quot;00C91579&quot;/&gt;&lt;wsp:rsid wsp:val=&quot;00C91B03&quot;/&gt;&lt;wsp:rsid wsp:val=&quot;00C91B1A&quot;/&gt;&lt;wsp:rsid wsp:val=&quot;00C91B69&quot;/&gt;&lt;wsp:rsid wsp:val=&quot;00C91B6B&quot;/&gt;&lt;wsp:rsid wsp:val=&quot;00C91D6B&quot;/&gt;&lt;wsp:rsid wsp:val=&quot;00C92840&quot;/&gt;&lt;wsp:rsid wsp:val=&quot;00C92C3E&quot;/&gt;&lt;wsp:rsid wsp:val=&quot;00C92C8B&quot;/&gt;&lt;wsp:rsid wsp:val=&quot;00C92FE3&quot;/&gt;&lt;wsp:rsid wsp:val=&quot;00C93213&quot;/&gt;&lt;wsp:rsid wsp:val=&quot;00C9359D&quot;/&gt;&lt;wsp:rsid wsp:val=&quot;00C93794&quot;/&gt;&lt;wsp:rsid wsp:val=&quot;00C93AB1&quot;/&gt;&lt;wsp:rsid wsp:val=&quot;00C93C1C&quot;/&gt;&lt;wsp:rsid wsp:val=&quot;00C93C71&quot;/&gt;&lt;wsp:rsid wsp:val=&quot;00C94BF7&quot;/&gt;&lt;wsp:rsid wsp:val=&quot;00C94FDA&quot;/&gt;&lt;wsp:rsid wsp:val=&quot;00C952F2&quot;/&gt;&lt;wsp:rsid wsp:val=&quot;00C95593&quot;/&gt;&lt;wsp:rsid wsp:val=&quot;00C95601&quot;/&gt;&lt;wsp:rsid wsp:val=&quot;00C95761&quot;/&gt;&lt;wsp:rsid wsp:val=&quot;00C95B50&quot;/&gt;&lt;wsp:rsid wsp:val=&quot;00C95B74&quot;/&gt;&lt;wsp:rsid wsp:val=&quot;00C95DA9&quot;/&gt;&lt;wsp:rsid wsp:val=&quot;00C95FCB&quot;/&gt;&lt;wsp:rsid wsp:val=&quot;00C96008&quot;/&gt;&lt;wsp:rsid wsp:val=&quot;00C96072&quot;/&gt;&lt;wsp:rsid wsp:val=&quot;00C96114&quot;/&gt;&lt;wsp:rsid wsp:val=&quot;00C96342&quot;/&gt;&lt;wsp:rsid wsp:val=&quot;00C96488&quot;/&gt;&lt;wsp:rsid wsp:val=&quot;00C965F4&quot;/&gt;&lt;wsp:rsid wsp:val=&quot;00C966E7&quot;/&gt;&lt;wsp:rsid wsp:val=&quot;00C967C3&quot;/&gt;&lt;wsp:rsid wsp:val=&quot;00C967C7&quot;/&gt;&lt;wsp:rsid wsp:val=&quot;00C967D6&quot;/&gt;&lt;wsp:rsid wsp:val=&quot;00C96A2F&quot;/&gt;&lt;wsp:rsid wsp:val=&quot;00C96F4D&quot;/&gt;&lt;wsp:rsid wsp:val=&quot;00C973B5&quot;/&gt;&lt;wsp:rsid wsp:val=&quot;00C97477&quot;/&gt;&lt;wsp:rsid wsp:val=&quot;00C976FC&quot;/&gt;&lt;wsp:rsid wsp:val=&quot;00C977D5&quot;/&gt;&lt;wsp:rsid wsp:val=&quot;00C97877&quot;/&gt;&lt;wsp:rsid wsp:val=&quot;00C978CE&quot;/&gt;&lt;wsp:rsid wsp:val=&quot;00C97AD6&quot;/&gt;&lt;wsp:rsid wsp:val=&quot;00C97AE1&quot;/&gt;&lt;wsp:rsid wsp:val=&quot;00C97DD6&quot;/&gt;&lt;wsp:rsid wsp:val=&quot;00C97F8E&quot;/&gt;&lt;wsp:rsid wsp:val=&quot;00CA0429&quot;/&gt;&lt;wsp:rsid wsp:val=&quot;00CA05C1&quot;/&gt;&lt;wsp:rsid wsp:val=&quot;00CA0D15&quot;/&gt;&lt;wsp:rsid wsp:val=&quot;00CA0E1C&quot;/&gt;&lt;wsp:rsid wsp:val=&quot;00CA11A6&quot;/&gt;&lt;wsp:rsid wsp:val=&quot;00CA1764&quot;/&gt;&lt;wsp:rsid wsp:val=&quot;00CA184C&quot;/&gt;&lt;wsp:rsid wsp:val=&quot;00CA1A12&quot;/&gt;&lt;wsp:rsid wsp:val=&quot;00CA1A44&quot;/&gt;&lt;wsp:rsid wsp:val=&quot;00CA2208&quot;/&gt;&lt;wsp:rsid wsp:val=&quot;00CA2352&quot;/&gt;&lt;wsp:rsid wsp:val=&quot;00CA27D4&quot;/&gt;&lt;wsp:rsid wsp:val=&quot;00CA28E3&quot;/&gt;&lt;wsp:rsid wsp:val=&quot;00CA3429&quot;/&gt;&lt;wsp:rsid wsp:val=&quot;00CA3A9A&quot;/&gt;&lt;wsp:rsid wsp:val=&quot;00CA3C06&quot;/&gt;&lt;wsp:rsid wsp:val=&quot;00CA42DE&quot;/&gt;&lt;wsp:rsid wsp:val=&quot;00CA4D0F&quot;/&gt;&lt;wsp:rsid wsp:val=&quot;00CA5771&quot;/&gt;&lt;wsp:rsid wsp:val=&quot;00CA57F7&quot;/&gt;&lt;wsp:rsid wsp:val=&quot;00CA5873&quot;/&gt;&lt;wsp:rsid wsp:val=&quot;00CA5DDF&quot;/&gt;&lt;wsp:rsid wsp:val=&quot;00CA6218&quot;/&gt;&lt;wsp:rsid wsp:val=&quot;00CA6293&quot;/&gt;&lt;wsp:rsid wsp:val=&quot;00CA6487&quot;/&gt;&lt;wsp:rsid wsp:val=&quot;00CA6560&quot;/&gt;&lt;wsp:rsid wsp:val=&quot;00CA6A93&quot;/&gt;&lt;wsp:rsid wsp:val=&quot;00CA6BAC&quot;/&gt;&lt;wsp:rsid wsp:val=&quot;00CA6C37&quot;/&gt;&lt;wsp:rsid wsp:val=&quot;00CA6C42&quot;/&gt;&lt;wsp:rsid wsp:val=&quot;00CA76DA&quot;/&gt;&lt;wsp:rsid wsp:val=&quot;00CA7A78&quot;/&gt;&lt;wsp:rsid wsp:val=&quot;00CA7CA6&quot;/&gt;&lt;wsp:rsid wsp:val=&quot;00CB0586&quot;/&gt;&lt;wsp:rsid wsp:val=&quot;00CB08AF&quot;/&gt;&lt;wsp:rsid wsp:val=&quot;00CB0DF6&quot;/&gt;&lt;wsp:rsid wsp:val=&quot;00CB13A4&quot;/&gt;&lt;wsp:rsid wsp:val=&quot;00CB15CF&quot;/&gt;&lt;wsp:rsid wsp:val=&quot;00CB1CF7&quot;/&gt;&lt;wsp:rsid wsp:val=&quot;00CB1DF2&quot;/&gt;&lt;wsp:rsid wsp:val=&quot;00CB1FB6&quot;/&gt;&lt;wsp:rsid wsp:val=&quot;00CB2765&quot;/&gt;&lt;wsp:rsid wsp:val=&quot;00CB279B&quot;/&gt;&lt;wsp:rsid wsp:val=&quot;00CB28F7&quot;/&gt;&lt;wsp:rsid wsp:val=&quot;00CB2CB7&quot;/&gt;&lt;wsp:rsid wsp:val=&quot;00CB2DEC&quot;/&gt;&lt;wsp:rsid wsp:val=&quot;00CB3059&quot;/&gt;&lt;wsp:rsid wsp:val=&quot;00CB30E1&quot;/&gt;&lt;wsp:rsid wsp:val=&quot;00CB3228&quot;/&gt;&lt;wsp:rsid wsp:val=&quot;00CB32CE&quot;/&gt;&lt;wsp:rsid wsp:val=&quot;00CB3560&quot;/&gt;&lt;wsp:rsid wsp:val=&quot;00CB3830&quot;/&gt;&lt;wsp:rsid wsp:val=&quot;00CB3B40&quot;/&gt;&lt;wsp:rsid wsp:val=&quot;00CB3C16&quot;/&gt;&lt;wsp:rsid wsp:val=&quot;00CB3DC2&quot;/&gt;&lt;wsp:rsid wsp:val=&quot;00CB3EBC&quot;/&gt;&lt;wsp:rsid wsp:val=&quot;00CB437F&quot;/&gt;&lt;wsp:rsid wsp:val=&quot;00CB4605&quot;/&gt;&lt;wsp:rsid wsp:val=&quot;00CB4A00&quot;/&gt;&lt;wsp:rsid wsp:val=&quot;00CB4B6A&quot;/&gt;&lt;wsp:rsid wsp:val=&quot;00CB4BB0&quot;/&gt;&lt;wsp:rsid wsp:val=&quot;00CB4F1F&quot;/&gt;&lt;wsp:rsid wsp:val=&quot;00CB51BA&quot;/&gt;&lt;wsp:rsid wsp:val=&quot;00CB52C1&quot;/&gt;&lt;wsp:rsid wsp:val=&quot;00CB55C5&quot;/&gt;&lt;wsp:rsid wsp:val=&quot;00CB570F&quot;/&gt;&lt;wsp:rsid wsp:val=&quot;00CB5D3D&quot;/&gt;&lt;wsp:rsid wsp:val=&quot;00CB5E81&quot;/&gt;&lt;wsp:rsid wsp:val=&quot;00CB602C&quot;/&gt;&lt;wsp:rsid wsp:val=&quot;00CB622A&quot;/&gt;&lt;wsp:rsid wsp:val=&quot;00CB624B&quot;/&gt;&lt;wsp:rsid wsp:val=&quot;00CB70DA&quot;/&gt;&lt;wsp:rsid wsp:val=&quot;00CB71E9&quot;/&gt;&lt;wsp:rsid wsp:val=&quot;00CB731A&quot;/&gt;&lt;wsp:rsid wsp:val=&quot;00CB7C20&quot;/&gt;&lt;wsp:rsid wsp:val=&quot;00CB7F49&quot;/&gt;&lt;wsp:rsid wsp:val=&quot;00CC0290&quot;/&gt;&lt;wsp:rsid wsp:val=&quot;00CC02B8&quot;/&gt;&lt;wsp:rsid wsp:val=&quot;00CC0726&quot;/&gt;&lt;wsp:rsid wsp:val=&quot;00CC0ECB&quot;/&gt;&lt;wsp:rsid wsp:val=&quot;00CC0F0E&quot;/&gt;&lt;wsp:rsid wsp:val=&quot;00CC0F11&quot;/&gt;&lt;wsp:rsid wsp:val=&quot;00CC0FD5&quot;/&gt;&lt;wsp:rsid wsp:val=&quot;00CC122D&quot;/&gt;&lt;wsp:rsid wsp:val=&quot;00CC1355&quot;/&gt;&lt;wsp:rsid wsp:val=&quot;00CC19B5&quot;/&gt;&lt;wsp:rsid wsp:val=&quot;00CC1A4D&quot;/&gt;&lt;wsp:rsid wsp:val=&quot;00CC20E3&quot;/&gt;&lt;wsp:rsid wsp:val=&quot;00CC214D&quot;/&gt;&lt;wsp:rsid wsp:val=&quot;00CC2210&quot;/&gt;&lt;wsp:rsid wsp:val=&quot;00CC2929&quot;/&gt;&lt;wsp:rsid wsp:val=&quot;00CC29E8&quot;/&gt;&lt;wsp:rsid wsp:val=&quot;00CC333D&quot;/&gt;&lt;wsp:rsid wsp:val=&quot;00CC3544&quot;/&gt;&lt;wsp:rsid wsp:val=&quot;00CC4220&quot;/&gt;&lt;wsp:rsid wsp:val=&quot;00CC445D&quot;/&gt;&lt;wsp:rsid wsp:val=&quot;00CC478C&quot;/&gt;&lt;wsp:rsid wsp:val=&quot;00CC4B48&quot;/&gt;&lt;wsp:rsid wsp:val=&quot;00CC4CFB&quot;/&gt;&lt;wsp:rsid wsp:val=&quot;00CC4D82&quot;/&gt;&lt;wsp:rsid wsp:val=&quot;00CC4DB5&quot;/&gt;&lt;wsp:rsid wsp:val=&quot;00CC4F1B&quot;/&gt;&lt;wsp:rsid wsp:val=&quot;00CC4F79&quot;/&gt;&lt;wsp:rsid wsp:val=&quot;00CC5049&quot;/&gt;&lt;wsp:rsid wsp:val=&quot;00CC549F&quot;/&gt;&lt;wsp:rsid wsp:val=&quot;00CC54A5&quot;/&gt;&lt;wsp:rsid wsp:val=&quot;00CC54E7&quot;/&gt;&lt;wsp:rsid wsp:val=&quot;00CC576B&quot;/&gt;&lt;wsp:rsid wsp:val=&quot;00CC6555&quot;/&gt;&lt;wsp:rsid wsp:val=&quot;00CC66D5&quot;/&gt;&lt;wsp:rsid wsp:val=&quot;00CC6A0B&quot;/&gt;&lt;wsp:rsid wsp:val=&quot;00CC6B94&quot;/&gt;&lt;wsp:rsid wsp:val=&quot;00CC6D80&quot;/&gt;&lt;wsp:rsid wsp:val=&quot;00CC6F86&quot;/&gt;&lt;wsp:rsid wsp:val=&quot;00CC74EB&quot;/&gt;&lt;wsp:rsid wsp:val=&quot;00CC769F&quot;/&gt;&lt;wsp:rsid wsp:val=&quot;00CC7BE7&quot;/&gt;&lt;wsp:rsid wsp:val=&quot;00CC7DE4&quot;/&gt;&lt;wsp:rsid wsp:val=&quot;00CC7E5A&quot;/&gt;&lt;wsp:rsid wsp:val=&quot;00CC7F47&quot;/&gt;&lt;wsp:rsid wsp:val=&quot;00CD07B5&quot;/&gt;&lt;wsp:rsid wsp:val=&quot;00CD0B3E&quot;/&gt;&lt;wsp:rsid wsp:val=&quot;00CD183A&quot;/&gt;&lt;wsp:rsid wsp:val=&quot;00CD279A&quot;/&gt;&lt;wsp:rsid wsp:val=&quot;00CD2F2A&quot;/&gt;&lt;wsp:rsid wsp:val=&quot;00CD2FDE&quot;/&gt;&lt;wsp:rsid wsp:val=&quot;00CD3649&quot;/&gt;&lt;wsp:rsid wsp:val=&quot;00CD393A&quot;/&gt;&lt;wsp:rsid wsp:val=&quot;00CD397B&quot;/&gt;&lt;wsp:rsid wsp:val=&quot;00CD3BCE&quot;/&gt;&lt;wsp:rsid wsp:val=&quot;00CD41CE&quot;/&gt;&lt;wsp:rsid wsp:val=&quot;00CD4871&quot;/&gt;&lt;wsp:rsid wsp:val=&quot;00CD4925&quot;/&gt;&lt;wsp:rsid wsp:val=&quot;00CD4A65&quot;/&gt;&lt;wsp:rsid wsp:val=&quot;00CD4FF8&quot;/&gt;&lt;wsp:rsid wsp:val=&quot;00CD53EB&quot;/&gt;&lt;wsp:rsid wsp:val=&quot;00CD5422&quot;/&gt;&lt;wsp:rsid wsp:val=&quot;00CD5490&quot;/&gt;&lt;wsp:rsid wsp:val=&quot;00CD587E&quot;/&gt;&lt;wsp:rsid wsp:val=&quot;00CD5931&quot;/&gt;&lt;wsp:rsid wsp:val=&quot;00CD59DC&quot;/&gt;&lt;wsp:rsid wsp:val=&quot;00CD5AF8&quot;/&gt;&lt;wsp:rsid wsp:val=&quot;00CD5AFE&quot;/&gt;&lt;wsp:rsid wsp:val=&quot;00CD5E2C&quot;/&gt;&lt;wsp:rsid wsp:val=&quot;00CD5EE3&quot;/&gt;&lt;wsp:rsid wsp:val=&quot;00CD61B3&quot;/&gt;&lt;wsp:rsid wsp:val=&quot;00CD6401&quot;/&gt;&lt;wsp:rsid wsp:val=&quot;00CD64FF&quot;/&gt;&lt;wsp:rsid wsp:val=&quot;00CD676D&quot;/&gt;&lt;wsp:rsid wsp:val=&quot;00CD68ED&quot;/&gt;&lt;wsp:rsid wsp:val=&quot;00CD69A9&quot;/&gt;&lt;wsp:rsid wsp:val=&quot;00CD69FB&quot;/&gt;&lt;wsp:rsid wsp:val=&quot;00CD6C45&quot;/&gt;&lt;wsp:rsid wsp:val=&quot;00CD717E&quot;/&gt;&lt;wsp:rsid wsp:val=&quot;00CD742C&quot;/&gt;&lt;wsp:rsid wsp:val=&quot;00CD7497&quot;/&gt;&lt;wsp:rsid wsp:val=&quot;00CD74C0&quot;/&gt;&lt;wsp:rsid wsp:val=&quot;00CD781F&quot;/&gt;&lt;wsp:rsid wsp:val=&quot;00CD7969&quot;/&gt;&lt;wsp:rsid wsp:val=&quot;00CD7BFF&quot;/&gt;&lt;wsp:rsid wsp:val=&quot;00CD7F01&quot;/&gt;&lt;wsp:rsid wsp:val=&quot;00CE011C&quot;/&gt;&lt;wsp:rsid wsp:val=&quot;00CE01CE&quot;/&gt;&lt;wsp:rsid wsp:val=&quot;00CE01E6&quot;/&gt;&lt;wsp:rsid wsp:val=&quot;00CE039C&quot;/&gt;&lt;wsp:rsid wsp:val=&quot;00CE040F&quot;/&gt;&lt;wsp:rsid wsp:val=&quot;00CE0773&quot;/&gt;&lt;wsp:rsid wsp:val=&quot;00CE1129&quot;/&gt;&lt;wsp:rsid wsp:val=&quot;00CE1A13&quot;/&gt;&lt;wsp:rsid wsp:val=&quot;00CE1C38&quot;/&gt;&lt;wsp:rsid wsp:val=&quot;00CE2255&quot;/&gt;&lt;wsp:rsid wsp:val=&quot;00CE2939&quot;/&gt;&lt;wsp:rsid wsp:val=&quot;00CE2A86&quot;/&gt;&lt;wsp:rsid wsp:val=&quot;00CE2CEE&quot;/&gt;&lt;wsp:rsid wsp:val=&quot;00CE2D22&quot;/&gt;&lt;wsp:rsid wsp:val=&quot;00CE30F8&quot;/&gt;&lt;wsp:rsid wsp:val=&quot;00CE38BA&quot;/&gt;&lt;wsp:rsid wsp:val=&quot;00CE4326&quot;/&gt;&lt;wsp:rsid wsp:val=&quot;00CE4A88&quot;/&gt;&lt;wsp:rsid wsp:val=&quot;00CE4E60&quot;/&gt;&lt;wsp:rsid wsp:val=&quot;00CE4E88&quot;/&gt;&lt;wsp:rsid wsp:val=&quot;00CE5060&quot;/&gt;&lt;wsp:rsid wsp:val=&quot;00CE5502&quot;/&gt;&lt;wsp:rsid wsp:val=&quot;00CE57B6&quot;/&gt;&lt;wsp:rsid wsp:val=&quot;00CE5B49&quot;/&gt;&lt;wsp:rsid wsp:val=&quot;00CE5B63&quot;/&gt;&lt;wsp:rsid wsp:val=&quot;00CE5FE4&quot;/&gt;&lt;wsp:rsid wsp:val=&quot;00CE6974&quot;/&gt;&lt;wsp:rsid wsp:val=&quot;00CE6F09&quot;/&gt;&lt;wsp:rsid wsp:val=&quot;00CE6F9A&quot;/&gt;&lt;wsp:rsid wsp:val=&quot;00CE739E&quot;/&gt;&lt;wsp:rsid wsp:val=&quot;00CE775D&quot;/&gt;&lt;wsp:rsid wsp:val=&quot;00CF0D65&quot;/&gt;&lt;wsp:rsid wsp:val=&quot;00CF107E&quot;/&gt;&lt;wsp:rsid wsp:val=&quot;00CF117E&quot;/&gt;&lt;wsp:rsid wsp:val=&quot;00CF1B47&quot;/&gt;&lt;wsp:rsid wsp:val=&quot;00CF26A4&quot;/&gt;&lt;wsp:rsid wsp:val=&quot;00CF27DA&quot;/&gt;&lt;wsp:rsid wsp:val=&quot;00CF3872&quot;/&gt;&lt;wsp:rsid wsp:val=&quot;00CF3924&quot;/&gt;&lt;wsp:rsid wsp:val=&quot;00CF3A0F&quot;/&gt;&lt;wsp:rsid wsp:val=&quot;00CF3A21&quot;/&gt;&lt;wsp:rsid wsp:val=&quot;00CF3B70&quot;/&gt;&lt;wsp:rsid wsp:val=&quot;00CF3E6D&quot;/&gt;&lt;wsp:rsid wsp:val=&quot;00CF42E7&quot;/&gt;&lt;wsp:rsid wsp:val=&quot;00CF4459&quot;/&gt;&lt;wsp:rsid wsp:val=&quot;00CF4689&quot;/&gt;&lt;wsp:rsid wsp:val=&quot;00CF4A56&quot;/&gt;&lt;wsp:rsid wsp:val=&quot;00CF4F93&quot;/&gt;&lt;wsp:rsid wsp:val=&quot;00CF50A0&quot;/&gt;&lt;wsp:rsid wsp:val=&quot;00CF56E8&quot;/&gt;&lt;wsp:rsid wsp:val=&quot;00CF58E7&quot;/&gt;&lt;wsp:rsid wsp:val=&quot;00CF592B&quot;/&gt;&lt;wsp:rsid wsp:val=&quot;00CF59F3&quot;/&gt;&lt;wsp:rsid wsp:val=&quot;00CF5C7A&quot;/&gt;&lt;wsp:rsid wsp:val=&quot;00CF5E35&quot;/&gt;&lt;wsp:rsid wsp:val=&quot;00CF5E51&quot;/&gt;&lt;wsp:rsid wsp:val=&quot;00CF623C&quot;/&gt;&lt;wsp:rsid wsp:val=&quot;00CF6AFF&quot;/&gt;&lt;wsp:rsid wsp:val=&quot;00CF7168&quot;/&gt;&lt;wsp:rsid wsp:val=&quot;00CF73B8&quot;/&gt;&lt;wsp:rsid wsp:val=&quot;00CF7415&quot;/&gt;&lt;wsp:rsid wsp:val=&quot;00CF77B3&quot;/&gt;&lt;wsp:rsid wsp:val=&quot;00CF78B2&quot;/&gt;&lt;wsp:rsid wsp:val=&quot;00D00593&quot;/&gt;&lt;wsp:rsid wsp:val=&quot;00D005B9&quot;/&gt;&lt;wsp:rsid wsp:val=&quot;00D0077A&quot;/&gt;&lt;wsp:rsid wsp:val=&quot;00D00D9A&quot;/&gt;&lt;wsp:rsid wsp:val=&quot;00D0113B&quot;/&gt;&lt;wsp:rsid wsp:val=&quot;00D017A9&quot;/&gt;&lt;wsp:rsid wsp:val=&quot;00D01994&quot;/&gt;&lt;wsp:rsid wsp:val=&quot;00D019B9&quot;/&gt;&lt;wsp:rsid wsp:val=&quot;00D01F4F&quot;/&gt;&lt;wsp:rsid wsp:val=&quot;00D01FA5&quot;/&gt;&lt;wsp:rsid wsp:val=&quot;00D02279&quot;/&gt;&lt;wsp:rsid wsp:val=&quot;00D022B8&quot;/&gt;&lt;wsp:rsid wsp:val=&quot;00D0261F&quot;/&gt;&lt;wsp:rsid wsp:val=&quot;00D02F13&quot;/&gt;&lt;wsp:rsid wsp:val=&quot;00D02FE2&quot;/&gt;&lt;wsp:rsid wsp:val=&quot;00D03302&quot;/&gt;&lt;wsp:rsid wsp:val=&quot;00D03309&quot;/&gt;&lt;wsp:rsid wsp:val=&quot;00D03652&quot;/&gt;&lt;wsp:rsid wsp:val=&quot;00D03900&quot;/&gt;&lt;wsp:rsid wsp:val=&quot;00D03D46&quot;/&gt;&lt;wsp:rsid wsp:val=&quot;00D03E43&quot;/&gt;&lt;wsp:rsid wsp:val=&quot;00D04430&quot;/&gt;&lt;wsp:rsid wsp:val=&quot;00D05571&quot;/&gt;&lt;wsp:rsid wsp:val=&quot;00D0571D&quot;/&gt;&lt;wsp:rsid wsp:val=&quot;00D059EF&quot;/&gt;&lt;wsp:rsid wsp:val=&quot;00D05B66&quot;/&gt;&lt;wsp:rsid wsp:val=&quot;00D05D06&quot;/&gt;&lt;wsp:rsid wsp:val=&quot;00D06000&quot;/&gt;&lt;wsp:rsid wsp:val=&quot;00D0649B&quot;/&gt;&lt;wsp:rsid wsp:val=&quot;00D067F3&quot;/&gt;&lt;wsp:rsid wsp:val=&quot;00D07D78&quot;/&gt;&lt;wsp:rsid wsp:val=&quot;00D07E5C&quot;/&gt;&lt;wsp:rsid wsp:val=&quot;00D07F5A&quot;/&gt;&lt;wsp:rsid wsp:val=&quot;00D07FEA&quot;/&gt;&lt;wsp:rsid wsp:val=&quot;00D10C47&quot;/&gt;&lt;wsp:rsid wsp:val=&quot;00D10F61&quot;/&gt;&lt;wsp:rsid wsp:val=&quot;00D11A47&quot;/&gt;&lt;wsp:rsid wsp:val=&quot;00D11BBE&quot;/&gt;&lt;wsp:rsid wsp:val=&quot;00D11BC5&quot;/&gt;&lt;wsp:rsid wsp:val=&quot;00D120A3&quot;/&gt;&lt;wsp:rsid wsp:val=&quot;00D12124&quot;/&gt;&lt;wsp:rsid wsp:val=&quot;00D1215C&quot;/&gt;&lt;wsp:rsid wsp:val=&quot;00D128A4&quot;/&gt;&lt;wsp:rsid wsp:val=&quot;00D12983&quot;/&gt;&lt;wsp:rsid wsp:val=&quot;00D12D49&quot;/&gt;&lt;wsp:rsid wsp:val=&quot;00D12E4E&quot;/&gt;&lt;wsp:rsid wsp:val=&quot;00D12FE3&quot;/&gt;&lt;wsp:rsid wsp:val=&quot;00D130F2&quot;/&gt;&lt;wsp:rsid wsp:val=&quot;00D13DC3&quot;/&gt;&lt;wsp:rsid wsp:val=&quot;00D143DF&quot;/&gt;&lt;wsp:rsid wsp:val=&quot;00D14B32&quot;/&gt;&lt;wsp:rsid wsp:val=&quot;00D14DFF&quot;/&gt;&lt;wsp:rsid wsp:val=&quot;00D14E96&quot;/&gt;&lt;wsp:rsid wsp:val=&quot;00D1567E&quot;/&gt;&lt;wsp:rsid wsp:val=&quot;00D15732&quot;/&gt;&lt;wsp:rsid wsp:val=&quot;00D164B9&quot;/&gt;&lt;wsp:rsid wsp:val=&quot;00D16750&quot;/&gt;&lt;wsp:rsid wsp:val=&quot;00D16BCA&quot;/&gt;&lt;wsp:rsid wsp:val=&quot;00D16DBD&quot;/&gt;&lt;wsp:rsid wsp:val=&quot;00D16F4D&quot;/&gt;&lt;wsp:rsid wsp:val=&quot;00D17157&quot;/&gt;&lt;wsp:rsid wsp:val=&quot;00D173FA&quot;/&gt;&lt;wsp:rsid wsp:val=&quot;00D17940&quot;/&gt;&lt;wsp:rsid wsp:val=&quot;00D17E8C&quot;/&gt;&lt;wsp:rsid wsp:val=&quot;00D200AD&quot;/&gt;&lt;wsp:rsid wsp:val=&quot;00D209D7&quot;/&gt;&lt;wsp:rsid wsp:val=&quot;00D20C20&quot;/&gt;&lt;wsp:rsid wsp:val=&quot;00D217CF&quot;/&gt;&lt;wsp:rsid wsp:val=&quot;00D21CD2&quot;/&gt;&lt;wsp:rsid wsp:val=&quot;00D21CFA&quot;/&gt;&lt;wsp:rsid wsp:val=&quot;00D22113&quot;/&gt;&lt;wsp:rsid wsp:val=&quot;00D221B7&quot;/&gt;&lt;wsp:rsid wsp:val=&quot;00D222C6&quot;/&gt;&lt;wsp:rsid wsp:val=&quot;00D2283C&quot;/&gt;&lt;wsp:rsid wsp:val=&quot;00D22A80&quot;/&gt;&lt;wsp:rsid wsp:val=&quot;00D22C0A&quot;/&gt;&lt;wsp:rsid wsp:val=&quot;00D22C30&quot;/&gt;&lt;wsp:rsid wsp:val=&quot;00D22D4A&quot;/&gt;&lt;wsp:rsid wsp:val=&quot;00D22F3C&quot;/&gt;&lt;wsp:rsid wsp:val=&quot;00D230A4&quot;/&gt;&lt;wsp:rsid wsp:val=&quot;00D230F3&quot;/&gt;&lt;wsp:rsid wsp:val=&quot;00D23122&quot;/&gt;&lt;wsp:rsid wsp:val=&quot;00D232BF&quot;/&gt;&lt;wsp:rsid wsp:val=&quot;00D235CC&quot;/&gt;&lt;wsp:rsid wsp:val=&quot;00D2386E&quot;/&gt;&lt;wsp:rsid wsp:val=&quot;00D23D5B&quot;/&gt;&lt;wsp:rsid wsp:val=&quot;00D241B0&quot;/&gt;&lt;wsp:rsid wsp:val=&quot;00D2453C&quot;/&gt;&lt;wsp:rsid wsp:val=&quot;00D2459F&quot;/&gt;&lt;wsp:rsid wsp:val=&quot;00D24907&quot;/&gt;&lt;wsp:rsid wsp:val=&quot;00D249D2&quot;/&gt;&lt;wsp:rsid wsp:val=&quot;00D24DE7&quot;/&gt;&lt;wsp:rsid wsp:val=&quot;00D2516D&quot;/&gt;&lt;wsp:rsid wsp:val=&quot;00D25873&quot;/&gt;&lt;wsp:rsid wsp:val=&quot;00D25DAF&quot;/&gt;&lt;wsp:rsid wsp:val=&quot;00D26301&quot;/&gt;&lt;wsp:rsid wsp:val=&quot;00D26D39&quot;/&gt;&lt;wsp:rsid wsp:val=&quot;00D27409&quot;/&gt;&lt;wsp:rsid wsp:val=&quot;00D27540&quot;/&gt;&lt;wsp:rsid wsp:val=&quot;00D27769&quot;/&gt;&lt;wsp:rsid wsp:val=&quot;00D279B8&quot;/&gt;&lt;wsp:rsid wsp:val=&quot;00D27F7C&quot;/&gt;&lt;wsp:rsid wsp:val=&quot;00D30128&quot;/&gt;&lt;wsp:rsid wsp:val=&quot;00D30372&quot;/&gt;&lt;wsp:rsid wsp:val=&quot;00D307D2&quot;/&gt;&lt;wsp:rsid wsp:val=&quot;00D30BD5&quot;/&gt;&lt;wsp:rsid wsp:val=&quot;00D30C40&quot;/&gt;&lt;wsp:rsid wsp:val=&quot;00D310FA&quot;/&gt;&lt;wsp:rsid wsp:val=&quot;00D315BB&quot;/&gt;&lt;wsp:rsid wsp:val=&quot;00D31981&quot;/&gt;&lt;wsp:rsid wsp:val=&quot;00D31BA6&quot;/&gt;&lt;wsp:rsid wsp:val=&quot;00D31CFC&quot;/&gt;&lt;wsp:rsid wsp:val=&quot;00D322C2&quot;/&gt;&lt;wsp:rsid wsp:val=&quot;00D32411&quot;/&gt;&lt;wsp:rsid wsp:val=&quot;00D324ED&quot;/&gt;&lt;wsp:rsid wsp:val=&quot;00D33035&quot;/&gt;&lt;wsp:rsid wsp:val=&quot;00D33038&quot;/&gt;&lt;wsp:rsid wsp:val=&quot;00D33275&quot;/&gt;&lt;wsp:rsid wsp:val=&quot;00D33278&quot;/&gt;&lt;wsp:rsid wsp:val=&quot;00D335C3&quot;/&gt;&lt;wsp:rsid wsp:val=&quot;00D3375E&quot;/&gt;&lt;wsp:rsid wsp:val=&quot;00D33852&quot;/&gt;&lt;wsp:rsid wsp:val=&quot;00D33D31&quot;/&gt;&lt;wsp:rsid wsp:val=&quot;00D344A7&quot;/&gt;&lt;wsp:rsid wsp:val=&quot;00D34757&quot;/&gt;&lt;wsp:rsid wsp:val=&quot;00D34B46&quot;/&gt;&lt;wsp:rsid wsp:val=&quot;00D350C4&quot;/&gt;&lt;wsp:rsid wsp:val=&quot;00D3559B&quot;/&gt;&lt;wsp:rsid wsp:val=&quot;00D35E85&quot;/&gt;&lt;wsp:rsid wsp:val=&quot;00D360F1&quot;/&gt;&lt;wsp:rsid wsp:val=&quot;00D36322&quot;/&gt;&lt;wsp:rsid wsp:val=&quot;00D366D9&quot;/&gt;&lt;wsp:rsid wsp:val=&quot;00D36DF2&quot;/&gt;&lt;wsp:rsid wsp:val=&quot;00D37431&quot;/&gt;&lt;wsp:rsid wsp:val=&quot;00D37733&quot;/&gt;&lt;wsp:rsid wsp:val=&quot;00D37A21&quot;/&gt;&lt;wsp:rsid wsp:val=&quot;00D37AAF&quot;/&gt;&lt;wsp:rsid wsp:val=&quot;00D37B37&quot;/&gt;&lt;wsp:rsid wsp:val=&quot;00D37BFA&quot;/&gt;&lt;wsp:rsid wsp:val=&quot;00D37EA6&quot;/&gt;&lt;wsp:rsid wsp:val=&quot;00D40872&quot;/&gt;&lt;wsp:rsid wsp:val=&quot;00D40E7C&quot;/&gt;&lt;wsp:rsid wsp:val=&quot;00D40F27&quot;/&gt;&lt;wsp:rsid wsp:val=&quot;00D41179&quot;/&gt;&lt;wsp:rsid wsp:val=&quot;00D41803&quot;/&gt;&lt;wsp:rsid wsp:val=&quot;00D41A05&quot;/&gt;&lt;wsp:rsid wsp:val=&quot;00D41A3B&quot;/&gt;&lt;wsp:rsid wsp:val=&quot;00D41A7D&quot;/&gt;&lt;wsp:rsid wsp:val=&quot;00D41C03&quot;/&gt;&lt;wsp:rsid wsp:val=&quot;00D42B7C&quot;/&gt;&lt;wsp:rsid wsp:val=&quot;00D43133&quot;/&gt;&lt;wsp:rsid wsp:val=&quot;00D4322E&quot;/&gt;&lt;wsp:rsid wsp:val=&quot;00D43AFC&quot;/&gt;&lt;wsp:rsid wsp:val=&quot;00D43C8E&quot;/&gt;&lt;wsp:rsid wsp:val=&quot;00D43DA5&quot;/&gt;&lt;wsp:rsid wsp:val=&quot;00D44404&quot;/&gt;&lt;wsp:rsid wsp:val=&quot;00D44638&quot;/&gt;&lt;wsp:rsid wsp:val=&quot;00D4497C&quot;/&gt;&lt;wsp:rsid wsp:val=&quot;00D449A0&quot;/&gt;&lt;wsp:rsid wsp:val=&quot;00D44E88&quot;/&gt;&lt;wsp:rsid wsp:val=&quot;00D450A2&quot;/&gt;&lt;wsp:rsid wsp:val=&quot;00D45419&quot;/&gt;&lt;wsp:rsid wsp:val=&quot;00D457BD&quot;/&gt;&lt;wsp:rsid wsp:val=&quot;00D46514&quot;/&gt;&lt;wsp:rsid wsp:val=&quot;00D46798&quot;/&gt;&lt;wsp:rsid wsp:val=&quot;00D46ADF&quot;/&gt;&lt;wsp:rsid wsp:val=&quot;00D46C81&quot;/&gt;&lt;wsp:rsid wsp:val=&quot;00D47673&quot;/&gt;&lt;wsp:rsid wsp:val=&quot;00D47B77&quot;/&gt;&lt;wsp:rsid wsp:val=&quot;00D50034&quot;/&gt;&lt;wsp:rsid wsp:val=&quot;00D503EC&quot;/&gt;&lt;wsp:rsid wsp:val=&quot;00D50F65&quot;/&gt;&lt;wsp:rsid wsp:val=&quot;00D50F81&quot;/&gt;&lt;wsp:rsid wsp:val=&quot;00D51720&quot;/&gt;&lt;wsp:rsid wsp:val=&quot;00D51B2A&quot;/&gt;&lt;wsp:rsid wsp:val=&quot;00D51D4A&quot;/&gt;&lt;wsp:rsid wsp:val=&quot;00D52209&quot;/&gt;&lt;wsp:rsid wsp:val=&quot;00D5234B&quot;/&gt;&lt;wsp:rsid wsp:val=&quot;00D52395&quot;/&gt;&lt;wsp:rsid wsp:val=&quot;00D52581&quot;/&gt;&lt;wsp:rsid wsp:val=&quot;00D52759&quot;/&gt;&lt;wsp:rsid wsp:val=&quot;00D52769&quot;/&gt;&lt;wsp:rsid wsp:val=&quot;00D52807&quot;/&gt;&lt;wsp:rsid wsp:val=&quot;00D52BB3&quot;/&gt;&lt;wsp:rsid wsp:val=&quot;00D52C1D&quot;/&gt;&lt;wsp:rsid wsp:val=&quot;00D53964&quot;/&gt;&lt;wsp:rsid wsp:val=&quot;00D53984&quot;/&gt;&lt;wsp:rsid wsp:val=&quot;00D53BAC&quot;/&gt;&lt;wsp:rsid wsp:val=&quot;00D53BE1&quot;/&gt;&lt;wsp:rsid wsp:val=&quot;00D53C87&quot;/&gt;&lt;wsp:rsid wsp:val=&quot;00D54868&quot;/&gt;&lt;wsp:rsid wsp:val=&quot;00D54C61&quot;/&gt;&lt;wsp:rsid wsp:val=&quot;00D54D1E&quot;/&gt;&lt;wsp:rsid wsp:val=&quot;00D55266&quot;/&gt;&lt;wsp:rsid wsp:val=&quot;00D55283&quot;/&gt;&lt;wsp:rsid wsp:val=&quot;00D5595E&quot;/&gt;&lt;wsp:rsid wsp:val=&quot;00D55BCE&quot;/&gt;&lt;wsp:rsid wsp:val=&quot;00D5613C&quot;/&gt;&lt;wsp:rsid wsp:val=&quot;00D56253&quot;/&gt;&lt;wsp:rsid wsp:val=&quot;00D56498&quot;/&gt;&lt;wsp:rsid wsp:val=&quot;00D567FE&quot;/&gt;&lt;wsp:rsid wsp:val=&quot;00D56CE8&quot;/&gt;&lt;wsp:rsid wsp:val=&quot;00D5731E&quot;/&gt;&lt;wsp:rsid wsp:val=&quot;00D579C3&quot;/&gt;&lt;wsp:rsid wsp:val=&quot;00D57E09&quot;/&gt;&lt;wsp:rsid wsp:val=&quot;00D6016A&quot;/&gt;&lt;wsp:rsid wsp:val=&quot;00D60191&quot;/&gt;&lt;wsp:rsid wsp:val=&quot;00D61005&quot;/&gt;&lt;wsp:rsid wsp:val=&quot;00D61015&quot;/&gt;&lt;wsp:rsid wsp:val=&quot;00D61131&quot;/&gt;&lt;wsp:rsid wsp:val=&quot;00D611BB&quot;/&gt;&lt;wsp:rsid wsp:val=&quot;00D61829&quot;/&gt;&lt;wsp:rsid wsp:val=&quot;00D61A11&quot;/&gt;&lt;wsp:rsid wsp:val=&quot;00D61ADA&quot;/&gt;&lt;wsp:rsid wsp:val=&quot;00D61BEC&quot;/&gt;&lt;wsp:rsid wsp:val=&quot;00D61EBC&quot;/&gt;&lt;wsp:rsid wsp:val=&quot;00D61F64&quot;/&gt;&lt;wsp:rsid wsp:val=&quot;00D620A2&quot;/&gt;&lt;wsp:rsid wsp:val=&quot;00D622CE&quot;/&gt;&lt;wsp:rsid wsp:val=&quot;00D625F9&quot;/&gt;&lt;wsp:rsid wsp:val=&quot;00D626BE&quot;/&gt;&lt;wsp:rsid wsp:val=&quot;00D627CF&quot;/&gt;&lt;wsp:rsid wsp:val=&quot;00D62824&quot;/&gt;&lt;wsp:rsid wsp:val=&quot;00D6298A&quot;/&gt;&lt;wsp:rsid wsp:val=&quot;00D62A18&quot;/&gt;&lt;wsp:rsid wsp:val=&quot;00D62B58&quot;/&gt;&lt;wsp:rsid wsp:val=&quot;00D630C5&quot;/&gt;&lt;wsp:rsid wsp:val=&quot;00D636AD&quot;/&gt;&lt;wsp:rsid wsp:val=&quot;00D63D63&quot;/&gt;&lt;wsp:rsid wsp:val=&quot;00D64252&quot;/&gt;&lt;wsp:rsid wsp:val=&quot;00D64417&quot;/&gt;&lt;wsp:rsid wsp:val=&quot;00D6444A&quot;/&gt;&lt;wsp:rsid wsp:val=&quot;00D644E7&quot;/&gt;&lt;wsp:rsid wsp:val=&quot;00D646C6&quot;/&gt;&lt;wsp:rsid wsp:val=&quot;00D64822&quot;/&gt;&lt;wsp:rsid wsp:val=&quot;00D652FF&quot;/&gt;&lt;wsp:rsid wsp:val=&quot;00D653DB&quot;/&gt;&lt;wsp:rsid wsp:val=&quot;00D654C8&quot;/&gt;&lt;wsp:rsid wsp:val=&quot;00D6567B&quot;/&gt;&lt;wsp:rsid wsp:val=&quot;00D65AA1&quot;/&gt;&lt;wsp:rsid wsp:val=&quot;00D6638B&quot;/&gt;&lt;wsp:rsid wsp:val=&quot;00D66DD9&quot;/&gt;&lt;wsp:rsid wsp:val=&quot;00D66FA6&quot;/&gt;&lt;wsp:rsid wsp:val=&quot;00D671DD&quot;/&gt;&lt;wsp:rsid wsp:val=&quot;00D67240&quot;/&gt;&lt;wsp:rsid wsp:val=&quot;00D678AC&quot;/&gt;&lt;wsp:rsid wsp:val=&quot;00D67A44&quot;/&gt;&lt;wsp:rsid wsp:val=&quot;00D67C73&quot;/&gt;&lt;wsp:rsid wsp:val=&quot;00D7030E&quot;/&gt;&lt;wsp:rsid wsp:val=&quot;00D703A3&quot;/&gt;&lt;wsp:rsid wsp:val=&quot;00D7040C&quot;/&gt;&lt;wsp:rsid wsp:val=&quot;00D705E7&quot;/&gt;&lt;wsp:rsid wsp:val=&quot;00D7074F&quot;/&gt;&lt;wsp:rsid wsp:val=&quot;00D70CD1&quot;/&gt;&lt;wsp:rsid wsp:val=&quot;00D70E7A&quot;/&gt;&lt;wsp:rsid wsp:val=&quot;00D70F4A&quot;/&gt;&lt;wsp:rsid wsp:val=&quot;00D71546&quot;/&gt;&lt;wsp:rsid wsp:val=&quot;00D716E8&quot;/&gt;&lt;wsp:rsid wsp:val=&quot;00D71916&quot;/&gt;&lt;wsp:rsid wsp:val=&quot;00D719E6&quot;/&gt;&lt;wsp:rsid wsp:val=&quot;00D71CEF&quot;/&gt;&lt;wsp:rsid wsp:val=&quot;00D7218F&quot;/&gt;&lt;wsp:rsid wsp:val=&quot;00D72199&quot;/&gt;&lt;wsp:rsid wsp:val=&quot;00D72232&quot;/&gt;&lt;wsp:rsid wsp:val=&quot;00D722CF&quot;/&gt;&lt;wsp:rsid wsp:val=&quot;00D725DB&quot;/&gt;&lt;wsp:rsid wsp:val=&quot;00D72C5F&quot;/&gt;&lt;wsp:rsid wsp:val=&quot;00D72DA4&quot;/&gt;&lt;wsp:rsid wsp:val=&quot;00D732EE&quot;/&gt;&lt;wsp:rsid wsp:val=&quot;00D73338&quot;/&gt;&lt;wsp:rsid wsp:val=&quot;00D73348&quot;/&gt;&lt;wsp:rsid wsp:val=&quot;00D73FD6&quot;/&gt;&lt;wsp:rsid wsp:val=&quot;00D74262&quot;/&gt;&lt;wsp:rsid wsp:val=&quot;00D7433C&quot;/&gt;&lt;wsp:rsid wsp:val=&quot;00D74575&quot;/&gt;&lt;wsp:rsid wsp:val=&quot;00D7465E&quot;/&gt;&lt;wsp:rsid wsp:val=&quot;00D74A56&quot;/&gt;&lt;wsp:rsid wsp:val=&quot;00D74D31&quot;/&gt;&lt;wsp:rsid wsp:val=&quot;00D74D6F&quot;/&gt;&lt;wsp:rsid wsp:val=&quot;00D74EF6&quot;/&gt;&lt;wsp:rsid wsp:val=&quot;00D74F07&quot;/&gt;&lt;wsp:rsid wsp:val=&quot;00D74F9C&quot;/&gt;&lt;wsp:rsid wsp:val=&quot;00D75012&quot;/&gt;&lt;wsp:rsid wsp:val=&quot;00D75773&quot;/&gt;&lt;wsp:rsid wsp:val=&quot;00D760A9&quot;/&gt;&lt;wsp:rsid wsp:val=&quot;00D760CF&quot;/&gt;&lt;wsp:rsid wsp:val=&quot;00D763C6&quot;/&gt;&lt;wsp:rsid wsp:val=&quot;00D76440&quot;/&gt;&lt;wsp:rsid wsp:val=&quot;00D76731&quot;/&gt;&lt;wsp:rsid wsp:val=&quot;00D7695D&quot;/&gt;&lt;wsp:rsid wsp:val=&quot;00D77746&quot;/&gt;&lt;wsp:rsid wsp:val=&quot;00D778C2&quot;/&gt;&lt;wsp:rsid wsp:val=&quot;00D77CA3&quot;/&gt;&lt;wsp:rsid wsp:val=&quot;00D8038B&quot;/&gt;&lt;wsp:rsid wsp:val=&quot;00D803E5&quot;/&gt;&lt;wsp:rsid wsp:val=&quot;00D80BA3&quot;/&gt;&lt;wsp:rsid wsp:val=&quot;00D80E47&quot;/&gt;&lt;wsp:rsid wsp:val=&quot;00D813D1&quot;/&gt;&lt;wsp:rsid wsp:val=&quot;00D81428&quot;/&gt;&lt;wsp:rsid wsp:val=&quot;00D818D9&quot;/&gt;&lt;wsp:rsid wsp:val=&quot;00D81B53&quot;/&gt;&lt;wsp:rsid wsp:val=&quot;00D81D91&quot;/&gt;&lt;wsp:rsid wsp:val=&quot;00D81E8A&quot;/&gt;&lt;wsp:rsid wsp:val=&quot;00D82675&quot;/&gt;&lt;wsp:rsid wsp:val=&quot;00D8270A&quot;/&gt;&lt;wsp:rsid wsp:val=&quot;00D82A8E&quot;/&gt;&lt;wsp:rsid wsp:val=&quot;00D82DF1&quot;/&gt;&lt;wsp:rsid wsp:val=&quot;00D82EF5&quot;/&gt;&lt;wsp:rsid wsp:val=&quot;00D831D9&quot;/&gt;&lt;wsp:rsid wsp:val=&quot;00D83235&quot;/&gt;&lt;wsp:rsid wsp:val=&quot;00D8393F&quot;/&gt;&lt;wsp:rsid wsp:val=&quot;00D840E6&quot;/&gt;&lt;wsp:rsid wsp:val=&quot;00D8429C&quot;/&gt;&lt;wsp:rsid wsp:val=&quot;00D842D4&quot;/&gt;&lt;wsp:rsid wsp:val=&quot;00D84621&quot;/&gt;&lt;wsp:rsid wsp:val=&quot;00D8462B&quot;/&gt;&lt;wsp:rsid wsp:val=&quot;00D84941&quot;/&gt;&lt;wsp:rsid wsp:val=&quot;00D8521F&quot;/&gt;&lt;wsp:rsid wsp:val=&quot;00D85335&quot;/&gt;&lt;wsp:rsid wsp:val=&quot;00D856EC&quot;/&gt;&lt;wsp:rsid wsp:val=&quot;00D8570C&quot;/&gt;&lt;wsp:rsid wsp:val=&quot;00D85824&quot;/&gt;&lt;wsp:rsid wsp:val=&quot;00D85C69&quot;/&gt;&lt;wsp:rsid wsp:val=&quot;00D85C72&quot;/&gt;&lt;wsp:rsid wsp:val=&quot;00D85DEB&quot;/&gt;&lt;wsp:rsid wsp:val=&quot;00D861F0&quot;/&gt;&lt;wsp:rsid wsp:val=&quot;00D86504&quot;/&gt;&lt;wsp:rsid wsp:val=&quot;00D86DFF&quot;/&gt;&lt;wsp:rsid wsp:val=&quot;00D87212&quot;/&gt;&lt;wsp:rsid wsp:val=&quot;00D87551&quot;/&gt;&lt;wsp:rsid wsp:val=&quot;00D87C1E&quot;/&gt;&lt;wsp:rsid wsp:val=&quot;00D90067&quot;/&gt;&lt;wsp:rsid wsp:val=&quot;00D903FC&quot;/&gt;&lt;wsp:rsid wsp:val=&quot;00D903FF&quot;/&gt;&lt;wsp:rsid wsp:val=&quot;00D9066D&quot;/&gt;&lt;wsp:rsid wsp:val=&quot;00D90844&quot;/&gt;&lt;wsp:rsid wsp:val=&quot;00D90C47&quot;/&gt;&lt;wsp:rsid wsp:val=&quot;00D90CDB&quot;/&gt;&lt;wsp:rsid wsp:val=&quot;00D9124E&quot;/&gt;&lt;wsp:rsid wsp:val=&quot;00D917CA&quot;/&gt;&lt;wsp:rsid wsp:val=&quot;00D918CD&quot;/&gt;&lt;wsp:rsid wsp:val=&quot;00D9196C&quot;/&gt;&lt;wsp:rsid wsp:val=&quot;00D91C21&quot;/&gt;&lt;wsp:rsid wsp:val=&quot;00D91EC6&quot;/&gt;&lt;wsp:rsid wsp:val=&quot;00D91F11&quot;/&gt;&lt;wsp:rsid wsp:val=&quot;00D91FF6&quot;/&gt;&lt;wsp:rsid wsp:val=&quot;00D922E8&quot;/&gt;&lt;wsp:rsid wsp:val=&quot;00D92491&quot;/&gt;&lt;wsp:rsid wsp:val=&quot;00D92AE3&quot;/&gt;&lt;wsp:rsid wsp:val=&quot;00D92CE4&quot;/&gt;&lt;wsp:rsid wsp:val=&quot;00D934D4&quot;/&gt;&lt;wsp:rsid wsp:val=&quot;00D935B0&quot;/&gt;&lt;wsp:rsid wsp:val=&quot;00D93895&quot;/&gt;&lt;wsp:rsid wsp:val=&quot;00D93B30&quot;/&gt;&lt;wsp:rsid wsp:val=&quot;00D93EE5&quot;/&gt;&lt;wsp:rsid wsp:val=&quot;00D9400B&quot;/&gt;&lt;wsp:rsid wsp:val=&quot;00D94351&quot;/&gt;&lt;wsp:rsid wsp:val=&quot;00D9436E&quot;/&gt;&lt;wsp:rsid wsp:val=&quot;00D9442C&quot;/&gt;&lt;wsp:rsid wsp:val=&quot;00D94635&quot;/&gt;&lt;wsp:rsid wsp:val=&quot;00D95228&quot;/&gt;&lt;wsp:rsid wsp:val=&quot;00D957C3&quot;/&gt;&lt;wsp:rsid wsp:val=&quot;00D95AF4&quot;/&gt;&lt;wsp:rsid wsp:val=&quot;00D95CB7&quot;/&gt;&lt;wsp:rsid wsp:val=&quot;00D96247&quot;/&gt;&lt;wsp:rsid wsp:val=&quot;00D9632F&quot;/&gt;&lt;wsp:rsid wsp:val=&quot;00D9690E&quot;/&gt;&lt;wsp:rsid wsp:val=&quot;00D97DC7&quot;/&gt;&lt;wsp:rsid wsp:val=&quot;00D97EE3&quot;/&gt;&lt;wsp:rsid wsp:val=&quot;00DA00AE&quot;/&gt;&lt;wsp:rsid wsp:val=&quot;00DA0108&quot;/&gt;&lt;wsp:rsid wsp:val=&quot;00DA01C4&quot;/&gt;&lt;wsp:rsid wsp:val=&quot;00DA0DD0&quot;/&gt;&lt;wsp:rsid wsp:val=&quot;00DA1876&quot;/&gt;&lt;wsp:rsid wsp:val=&quot;00DA1992&quot;/&gt;&lt;wsp:rsid wsp:val=&quot;00DA1A61&quot;/&gt;&lt;wsp:rsid wsp:val=&quot;00DA1BBD&quot;/&gt;&lt;wsp:rsid wsp:val=&quot;00DA27FD&quot;/&gt;&lt;wsp:rsid wsp:val=&quot;00DA281D&quot;/&gt;&lt;wsp:rsid wsp:val=&quot;00DA2B3F&quot;/&gt;&lt;wsp:rsid wsp:val=&quot;00DA2D48&quot;/&gt;&lt;wsp:rsid wsp:val=&quot;00DA31D6&quot;/&gt;&lt;wsp:rsid wsp:val=&quot;00DA32ED&quot;/&gt;&lt;wsp:rsid wsp:val=&quot;00DA355F&quot;/&gt;&lt;wsp:rsid wsp:val=&quot;00DA3637&quot;/&gt;&lt;wsp:rsid wsp:val=&quot;00DA3DE0&quot;/&gt;&lt;wsp:rsid wsp:val=&quot;00DA452D&quot;/&gt;&lt;wsp:rsid wsp:val=&quot;00DA4785&quot;/&gt;&lt;wsp:rsid wsp:val=&quot;00DA47F3&quot;/&gt;&lt;wsp:rsid wsp:val=&quot;00DA48A9&quot;/&gt;&lt;wsp:rsid wsp:val=&quot;00DA4AAB&quot;/&gt;&lt;wsp:rsid wsp:val=&quot;00DA4BE1&quot;/&gt;&lt;wsp:rsid wsp:val=&quot;00DA4C15&quot;/&gt;&lt;wsp:rsid wsp:val=&quot;00DA4CE7&quot;/&gt;&lt;wsp:rsid wsp:val=&quot;00DA4E26&quot;/&gt;&lt;wsp:rsid wsp:val=&quot;00DA4EDE&quot;/&gt;&lt;wsp:rsid wsp:val=&quot;00DA549C&quot;/&gt;&lt;wsp:rsid wsp:val=&quot;00DA54CD&quot;/&gt;&lt;wsp:rsid wsp:val=&quot;00DA571E&quot;/&gt;&lt;wsp:rsid wsp:val=&quot;00DA5943&quot;/&gt;&lt;wsp:rsid wsp:val=&quot;00DA5F1F&quot;/&gt;&lt;wsp:rsid wsp:val=&quot;00DA61F5&quot;/&gt;&lt;wsp:rsid wsp:val=&quot;00DA6232&quot;/&gt;&lt;wsp:rsid wsp:val=&quot;00DA65B2&quot;/&gt;&lt;wsp:rsid wsp:val=&quot;00DA662D&quot;/&gt;&lt;wsp:rsid wsp:val=&quot;00DA6ABD&quot;/&gt;&lt;wsp:rsid wsp:val=&quot;00DA6E57&quot;/&gt;&lt;wsp:rsid wsp:val=&quot;00DA7056&quot;/&gt;&lt;wsp:rsid wsp:val=&quot;00DA7340&quot;/&gt;&lt;wsp:rsid wsp:val=&quot;00DA7BA4&quot;/&gt;&lt;wsp:rsid wsp:val=&quot;00DA7E61&quot;/&gt;&lt;wsp:rsid wsp:val=&quot;00DA7FCB&quot;/&gt;&lt;wsp:rsid wsp:val=&quot;00DB01DB&quot;/&gt;&lt;wsp:rsid wsp:val=&quot;00DB09AB&quot;/&gt;&lt;wsp:rsid wsp:val=&quot;00DB0A6B&quot;/&gt;&lt;wsp:rsid wsp:val=&quot;00DB0C61&quot;/&gt;&lt;wsp:rsid wsp:val=&quot;00DB0FD0&quot;/&gt;&lt;wsp:rsid wsp:val=&quot;00DB111F&quot;/&gt;&lt;wsp:rsid wsp:val=&quot;00DB1156&quot;/&gt;&lt;wsp:rsid wsp:val=&quot;00DB1ADE&quot;/&gt;&lt;wsp:rsid wsp:val=&quot;00DB21F9&quot;/&gt;&lt;wsp:rsid wsp:val=&quot;00DB23E1&quot;/&gt;&lt;wsp:rsid wsp:val=&quot;00DB242E&quot;/&gt;&lt;wsp:rsid wsp:val=&quot;00DB247B&quot;/&gt;&lt;wsp:rsid wsp:val=&quot;00DB2500&quot;/&gt;&lt;wsp:rsid wsp:val=&quot;00DB25F7&quot;/&gt;&lt;wsp:rsid wsp:val=&quot;00DB2745&quot;/&gt;&lt;wsp:rsid wsp:val=&quot;00DB2810&quot;/&gt;&lt;wsp:rsid wsp:val=&quot;00DB296C&quot;/&gt;&lt;wsp:rsid wsp:val=&quot;00DB2979&quot;/&gt;&lt;wsp:rsid wsp:val=&quot;00DB29FA&quot;/&gt;&lt;wsp:rsid wsp:val=&quot;00DB2B88&quot;/&gt;&lt;wsp:rsid wsp:val=&quot;00DB2C50&quot;/&gt;&lt;wsp:rsid wsp:val=&quot;00DB32C4&quot;/&gt;&lt;wsp:rsid wsp:val=&quot;00DB3873&quot;/&gt;&lt;wsp:rsid wsp:val=&quot;00DB38FF&quot;/&gt;&lt;wsp:rsid wsp:val=&quot;00DB3F39&quot;/&gt;&lt;wsp:rsid wsp:val=&quot;00DB3FF4&quot;/&gt;&lt;wsp:rsid wsp:val=&quot;00DB4EA6&quot;/&gt;&lt;wsp:rsid wsp:val=&quot;00DB51A7&quot;/&gt;&lt;wsp:rsid wsp:val=&quot;00DB5222&quot;/&gt;&lt;wsp:rsid wsp:val=&quot;00DB5A41&quot;/&gt;&lt;wsp:rsid wsp:val=&quot;00DB5DD7&quot;/&gt;&lt;wsp:rsid wsp:val=&quot;00DB64EB&quot;/&gt;&lt;wsp:rsid wsp:val=&quot;00DB6A15&quot;/&gt;&lt;wsp:rsid wsp:val=&quot;00DB6C7B&quot;/&gt;&lt;wsp:rsid wsp:val=&quot;00DB71FD&quot;/&gt;&lt;wsp:rsid wsp:val=&quot;00DB756B&quot;/&gt;&lt;wsp:rsid wsp:val=&quot;00DB7684&quot;/&gt;&lt;wsp:rsid wsp:val=&quot;00DB7D5B&quot;/&gt;&lt;wsp:rsid wsp:val=&quot;00DB7F4C&quot;/&gt;&lt;wsp:rsid wsp:val=&quot;00DC037E&quot;/&gt;&lt;wsp:rsid wsp:val=&quot;00DC0828&quot;/&gt;&lt;wsp:rsid wsp:val=&quot;00DC085B&quot;/&gt;&lt;wsp:rsid wsp:val=&quot;00DC08CF&quot;/&gt;&lt;wsp:rsid wsp:val=&quot;00DC0984&quot;/&gt;&lt;wsp:rsid wsp:val=&quot;00DC0EC9&quot;/&gt;&lt;wsp:rsid wsp:val=&quot;00DC0ECC&quot;/&gt;&lt;wsp:rsid wsp:val=&quot;00DC141E&quot;/&gt;&lt;wsp:rsid wsp:val=&quot;00DC15EC&quot;/&gt;&lt;wsp:rsid wsp:val=&quot;00DC1957&quot;/&gt;&lt;wsp:rsid wsp:val=&quot;00DC1CFE&quot;/&gt;&lt;wsp:rsid wsp:val=&quot;00DC21D5&quot;/&gt;&lt;wsp:rsid wsp:val=&quot;00DC27DA&quot;/&gt;&lt;wsp:rsid wsp:val=&quot;00DC2C4C&quot;/&gt;&lt;wsp:rsid wsp:val=&quot;00DC2EE7&quot;/&gt;&lt;wsp:rsid wsp:val=&quot;00DC3280&quot;/&gt;&lt;wsp:rsid wsp:val=&quot;00DC3341&quot;/&gt;&lt;wsp:rsid wsp:val=&quot;00DC339F&quot;/&gt;&lt;wsp:rsid wsp:val=&quot;00DC33AB&quot;/&gt;&lt;wsp:rsid wsp:val=&quot;00DC3481&quot;/&gt;&lt;wsp:rsid wsp:val=&quot;00DC38A8&quot;/&gt;&lt;wsp:rsid wsp:val=&quot;00DC38BC&quot;/&gt;&lt;wsp:rsid wsp:val=&quot;00DC3992&quot;/&gt;&lt;wsp:rsid wsp:val=&quot;00DC3E04&quot;/&gt;&lt;wsp:rsid wsp:val=&quot;00DC402E&quot;/&gt;&lt;wsp:rsid wsp:val=&quot;00DC4284&quot;/&gt;&lt;wsp:rsid wsp:val=&quot;00DC4376&quot;/&gt;&lt;wsp:rsid wsp:val=&quot;00DC50F1&quot;/&gt;&lt;wsp:rsid wsp:val=&quot;00DC520C&quot;/&gt;&lt;wsp:rsid wsp:val=&quot;00DC535D&quot;/&gt;&lt;wsp:rsid wsp:val=&quot;00DC5445&quot;/&gt;&lt;wsp:rsid wsp:val=&quot;00DC562B&quot;/&gt;&lt;wsp:rsid wsp:val=&quot;00DC5FEC&quot;/&gt;&lt;wsp:rsid wsp:val=&quot;00DC6606&quot;/&gt;&lt;wsp:rsid wsp:val=&quot;00DC673D&quot;/&gt;&lt;wsp:rsid wsp:val=&quot;00DC67C7&quot;/&gt;&lt;wsp:rsid wsp:val=&quot;00DC69E6&quot;/&gt;&lt;wsp:rsid wsp:val=&quot;00DC6EDE&quot;/&gt;&lt;wsp:rsid wsp:val=&quot;00DC6F21&quot;/&gt;&lt;wsp:rsid wsp:val=&quot;00DC741A&quot;/&gt;&lt;wsp:rsid wsp:val=&quot;00DC751E&quot;/&gt;&lt;wsp:rsid wsp:val=&quot;00DC7B73&quot;/&gt;&lt;wsp:rsid wsp:val=&quot;00DC7C4E&quot;/&gt;&lt;wsp:rsid wsp:val=&quot;00DC7E15&quot;/&gt;&lt;wsp:rsid wsp:val=&quot;00DC7E27&quot;/&gt;&lt;wsp:rsid wsp:val=&quot;00DD01DC&quot;/&gt;&lt;wsp:rsid wsp:val=&quot;00DD042E&quot;/&gt;&lt;wsp:rsid wsp:val=&quot;00DD0A18&quot;/&gt;&lt;wsp:rsid wsp:val=&quot;00DD0A2F&quot;/&gt;&lt;wsp:rsid wsp:val=&quot;00DD0B4F&quot;/&gt;&lt;wsp:rsid wsp:val=&quot;00DD0C8C&quot;/&gt;&lt;wsp:rsid wsp:val=&quot;00DD109B&quot;/&gt;&lt;wsp:rsid wsp:val=&quot;00DD16ED&quot;/&gt;&lt;wsp:rsid wsp:val=&quot;00DD17BD&quot;/&gt;&lt;wsp:rsid wsp:val=&quot;00DD1B72&quot;/&gt;&lt;wsp:rsid wsp:val=&quot;00DD1D1C&quot;/&gt;&lt;wsp:rsid wsp:val=&quot;00DD237A&quot;/&gt;&lt;wsp:rsid wsp:val=&quot;00DD397C&quot;/&gt;&lt;wsp:rsid wsp:val=&quot;00DD3CEA&quot;/&gt;&lt;wsp:rsid wsp:val=&quot;00DD4838&quot;/&gt;&lt;wsp:rsid wsp:val=&quot;00DD4C81&quot;/&gt;&lt;wsp:rsid wsp:val=&quot;00DD54F2&quot;/&gt;&lt;wsp:rsid wsp:val=&quot;00DD55B0&quot;/&gt;&lt;wsp:rsid wsp:val=&quot;00DD68AB&quot;/&gt;&lt;wsp:rsid wsp:val=&quot;00DD69F4&quot;/&gt;&lt;wsp:rsid wsp:val=&quot;00DD7431&quot;/&gt;&lt;wsp:rsid wsp:val=&quot;00DD760A&quot;/&gt;&lt;wsp:rsid wsp:val=&quot;00DD7A76&quot;/&gt;&lt;wsp:rsid wsp:val=&quot;00DD7BC2&quot;/&gt;&lt;wsp:rsid wsp:val=&quot;00DD7E50&quot;/&gt;&lt;wsp:rsid wsp:val=&quot;00DE032C&quot;/&gt;&lt;wsp:rsid wsp:val=&quot;00DE0474&quot;/&gt;&lt;wsp:rsid wsp:val=&quot;00DE0727&quot;/&gt;&lt;wsp:rsid wsp:val=&quot;00DE0A01&quot;/&gt;&lt;wsp:rsid wsp:val=&quot;00DE0F9E&quot;/&gt;&lt;wsp:rsid wsp:val=&quot;00DE0FA7&quot;/&gt;&lt;wsp:rsid wsp:val=&quot;00DE1511&quot;/&gt;&lt;wsp:rsid wsp:val=&quot;00DE1522&quot;/&gt;&lt;wsp:rsid wsp:val=&quot;00DE1AC8&quot;/&gt;&lt;wsp:rsid wsp:val=&quot;00DE1F3F&quot;/&gt;&lt;wsp:rsid wsp:val=&quot;00DE2077&quot;/&gt;&lt;wsp:rsid wsp:val=&quot;00DE257A&quot;/&gt;&lt;wsp:rsid wsp:val=&quot;00DE287C&quot;/&gt;&lt;wsp:rsid wsp:val=&quot;00DE31E6&quot;/&gt;&lt;wsp:rsid wsp:val=&quot;00DE3718&quot;/&gt;&lt;wsp:rsid wsp:val=&quot;00DE38C1&quot;/&gt;&lt;wsp:rsid wsp:val=&quot;00DE3990&quot;/&gt;&lt;wsp:rsid wsp:val=&quot;00DE3D4C&quot;/&gt;&lt;wsp:rsid wsp:val=&quot;00DE3F61&quot;/&gt;&lt;wsp:rsid wsp:val=&quot;00DE4264&quot;/&gt;&lt;wsp:rsid wsp:val=&quot;00DE473A&quot;/&gt;&lt;wsp:rsid wsp:val=&quot;00DE47DB&quot;/&gt;&lt;wsp:rsid wsp:val=&quot;00DE4B48&quot;/&gt;&lt;wsp:rsid wsp:val=&quot;00DE4BD2&quot;/&gt;&lt;wsp:rsid wsp:val=&quot;00DE4C60&quot;/&gt;&lt;wsp:rsid wsp:val=&quot;00DE4E7A&quot;/&gt;&lt;wsp:rsid wsp:val=&quot;00DE585A&quot;/&gt;&lt;wsp:rsid wsp:val=&quot;00DE6784&quot;/&gt;&lt;wsp:rsid wsp:val=&quot;00DE6861&quot;/&gt;&lt;wsp:rsid wsp:val=&quot;00DE6C98&quot;/&gt;&lt;wsp:rsid wsp:val=&quot;00DE6F68&quot;/&gt;&lt;wsp:rsid wsp:val=&quot;00DE7C17&quot;/&gt;&lt;wsp:rsid wsp:val=&quot;00DE7CE1&quot;/&gt;&lt;wsp:rsid wsp:val=&quot;00DF02B9&quot;/&gt;&lt;wsp:rsid wsp:val=&quot;00DF043D&quot;/&gt;&lt;wsp:rsid wsp:val=&quot;00DF04F9&quot;/&gt;&lt;wsp:rsid wsp:val=&quot;00DF05F2&quot;/&gt;&lt;wsp:rsid wsp:val=&quot;00DF0C83&quot;/&gt;&lt;wsp:rsid wsp:val=&quot;00DF122E&quot;/&gt;&lt;wsp:rsid wsp:val=&quot;00DF1835&quot;/&gt;&lt;wsp:rsid wsp:val=&quot;00DF1838&quot;/&gt;&lt;wsp:rsid wsp:val=&quot;00DF1BB2&quot;/&gt;&lt;wsp:rsid wsp:val=&quot;00DF1CC0&quot;/&gt;&lt;wsp:rsid wsp:val=&quot;00DF2033&quot;/&gt;&lt;wsp:rsid wsp:val=&quot;00DF22C7&quot;/&gt;&lt;wsp:rsid wsp:val=&quot;00DF2408&quot;/&gt;&lt;wsp:rsid wsp:val=&quot;00DF281A&quot;/&gt;&lt;wsp:rsid wsp:val=&quot;00DF2B2A&quot;/&gt;&lt;wsp:rsid wsp:val=&quot;00DF2B65&quot;/&gt;&lt;wsp:rsid wsp:val=&quot;00DF324D&quot;/&gt;&lt;wsp:rsid wsp:val=&quot;00DF34E6&quot;/&gt;&lt;wsp:rsid wsp:val=&quot;00DF3C68&quot;/&gt;&lt;wsp:rsid wsp:val=&quot;00DF4AAE&quot;/&gt;&lt;wsp:rsid wsp:val=&quot;00DF4BE1&quot;/&gt;&lt;wsp:rsid wsp:val=&quot;00DF4DC9&quot;/&gt;&lt;wsp:rsid wsp:val=&quot;00DF4E74&quot;/&gt;&lt;wsp:rsid wsp:val=&quot;00DF54DF&quot;/&gt;&lt;wsp:rsid wsp:val=&quot;00DF55D6&quot;/&gt;&lt;wsp:rsid wsp:val=&quot;00DF5623&quot;/&gt;&lt;wsp:rsid wsp:val=&quot;00DF5F78&quot;/&gt;&lt;wsp:rsid wsp:val=&quot;00DF5FC0&quot;/&gt;&lt;wsp:rsid wsp:val=&quot;00DF6021&quot;/&gt;&lt;wsp:rsid wsp:val=&quot;00DF6457&quot;/&gt;&lt;wsp:rsid wsp:val=&quot;00DF64F5&quot;/&gt;&lt;wsp:rsid wsp:val=&quot;00DF6B13&quot;/&gt;&lt;wsp:rsid wsp:val=&quot;00DF737B&quot;/&gt;&lt;wsp:rsid wsp:val=&quot;00DF7C16&quot;/&gt;&lt;wsp:rsid wsp:val=&quot;00E00185&quot;/&gt;&lt;wsp:rsid wsp:val=&quot;00E0093C&quot;/&gt;&lt;wsp:rsid wsp:val=&quot;00E01018&quot;/&gt;&lt;wsp:rsid wsp:val=&quot;00E01634&quot;/&gt;&lt;wsp:rsid wsp:val=&quot;00E01C55&quot;/&gt;&lt;wsp:rsid wsp:val=&quot;00E01D5B&quot;/&gt;&lt;wsp:rsid wsp:val=&quot;00E01DC2&quot;/&gt;&lt;wsp:rsid wsp:val=&quot;00E021CD&quot;/&gt;&lt;wsp:rsid wsp:val=&quot;00E02227&quot;/&gt;&lt;wsp:rsid wsp:val=&quot;00E027BD&quot;/&gt;&lt;wsp:rsid wsp:val=&quot;00E02C60&quot;/&gt;&lt;wsp:rsid wsp:val=&quot;00E02EF2&quot;/&gt;&lt;wsp:rsid wsp:val=&quot;00E02FCD&quot;/&gt;&lt;wsp:rsid wsp:val=&quot;00E03172&quot;/&gt;&lt;wsp:rsid wsp:val=&quot;00E0321A&quot;/&gt;&lt;wsp:rsid wsp:val=&quot;00E03563&quot;/&gt;&lt;wsp:rsid wsp:val=&quot;00E037E5&quot;/&gt;&lt;wsp:rsid wsp:val=&quot;00E0384A&quot;/&gt;&lt;wsp:rsid wsp:val=&quot;00E0397E&quot;/&gt;&lt;wsp:rsid wsp:val=&quot;00E03CB0&quot;/&gt;&lt;wsp:rsid wsp:val=&quot;00E043AD&quot;/&gt;&lt;wsp:rsid wsp:val=&quot;00E0468B&quot;/&gt;&lt;wsp:rsid wsp:val=&quot;00E04764&quot;/&gt;&lt;wsp:rsid wsp:val=&quot;00E04C8A&quot;/&gt;&lt;wsp:rsid wsp:val=&quot;00E0514D&quot;/&gt;&lt;wsp:rsid wsp:val=&quot;00E0525B&quot;/&gt;&lt;wsp:rsid wsp:val=&quot;00E0547E&quot;/&gt;&lt;wsp:rsid wsp:val=&quot;00E0548D&quot;/&gt;&lt;wsp:rsid wsp:val=&quot;00E0589C&quot;/&gt;&lt;wsp:rsid wsp:val=&quot;00E05B76&quot;/&gt;&lt;wsp:rsid wsp:val=&quot;00E05E36&quot;/&gt;&lt;wsp:rsid wsp:val=&quot;00E06078&quot;/&gt;&lt;wsp:rsid wsp:val=&quot;00E06183&quot;/&gt;&lt;wsp:rsid wsp:val=&quot;00E06199&quot;/&gt;&lt;wsp:rsid wsp:val=&quot;00E064A1&quot;/&gt;&lt;wsp:rsid wsp:val=&quot;00E064D5&quot;/&gt;&lt;wsp:rsid wsp:val=&quot;00E068E7&quot;/&gt;&lt;wsp:rsid wsp:val=&quot;00E06D23&quot;/&gt;&lt;wsp:rsid wsp:val=&quot;00E07323&quot;/&gt;&lt;wsp:rsid wsp:val=&quot;00E07CED&quot;/&gt;&lt;wsp:rsid wsp:val=&quot;00E10057&quot;/&gt;&lt;wsp:rsid wsp:val=&quot;00E1009B&quot;/&gt;&lt;wsp:rsid wsp:val=&quot;00E10270&quot;/&gt;&lt;wsp:rsid wsp:val=&quot;00E10421&quot;/&gt;&lt;wsp:rsid wsp:val=&quot;00E104FF&quot;/&gt;&lt;wsp:rsid wsp:val=&quot;00E10748&quot;/&gt;&lt;wsp:rsid wsp:val=&quot;00E10E90&quot;/&gt;&lt;wsp:rsid wsp:val=&quot;00E10F69&quot;/&gt;&lt;wsp:rsid wsp:val=&quot;00E1107E&quot;/&gt;&lt;wsp:rsid wsp:val=&quot;00E111E0&quot;/&gt;&lt;wsp:rsid wsp:val=&quot;00E11503&quot;/&gt;&lt;wsp:rsid wsp:val=&quot;00E1151C&quot;/&gt;&lt;wsp:rsid wsp:val=&quot;00E11848&quot;/&gt;&lt;wsp:rsid wsp:val=&quot;00E11B3A&quot;/&gt;&lt;wsp:rsid wsp:val=&quot;00E11E52&quot;/&gt;&lt;wsp:rsid wsp:val=&quot;00E11F1C&quot;/&gt;&lt;wsp:rsid wsp:val=&quot;00E123DD&quot;/&gt;&lt;wsp:rsid wsp:val=&quot;00E126D5&quot;/&gt;&lt;wsp:rsid wsp:val=&quot;00E12E70&quot;/&gt;&lt;wsp:rsid wsp:val=&quot;00E1397B&quot;/&gt;&lt;wsp:rsid wsp:val=&quot;00E13F67&quot;/&gt;&lt;wsp:rsid wsp:val=&quot;00E14087&quot;/&gt;&lt;wsp:rsid wsp:val=&quot;00E140B5&quot;/&gt;&lt;wsp:rsid wsp:val=&quot;00E1418D&quot;/&gt;&lt;wsp:rsid wsp:val=&quot;00E1423A&quot;/&gt;&lt;wsp:rsid wsp:val=&quot;00E1461B&quot;/&gt;&lt;wsp:rsid wsp:val=&quot;00E14BC2&quot;/&gt;&lt;wsp:rsid wsp:val=&quot;00E14C96&quot;/&gt;&lt;wsp:rsid wsp:val=&quot;00E1560A&quot;/&gt;&lt;wsp:rsid wsp:val=&quot;00E1567C&quot;/&gt;&lt;wsp:rsid wsp:val=&quot;00E15869&quot;/&gt;&lt;wsp:rsid wsp:val=&quot;00E1609B&quot;/&gt;&lt;wsp:rsid wsp:val=&quot;00E166C2&quot;/&gt;&lt;wsp:rsid wsp:val=&quot;00E1675A&quot;/&gt;&lt;wsp:rsid wsp:val=&quot;00E167F9&quot;/&gt;&lt;wsp:rsid wsp:val=&quot;00E168A2&quot;/&gt;&lt;wsp:rsid wsp:val=&quot;00E16ADA&quot;/&gt;&lt;wsp:rsid wsp:val=&quot;00E16E47&quot;/&gt;&lt;wsp:rsid wsp:val=&quot;00E2023E&quot;/&gt;&lt;wsp:rsid wsp:val=&quot;00E20289&quot;/&gt;&lt;wsp:rsid wsp:val=&quot;00E20441&quot;/&gt;&lt;wsp:rsid wsp:val=&quot;00E204BF&quot;/&gt;&lt;wsp:rsid wsp:val=&quot;00E20548&quot;/&gt;&lt;wsp:rsid wsp:val=&quot;00E20830&quot;/&gt;&lt;wsp:rsid wsp:val=&quot;00E20A15&quot;/&gt;&lt;wsp:rsid wsp:val=&quot;00E20A70&quot;/&gt;&lt;wsp:rsid wsp:val=&quot;00E20B01&quot;/&gt;&lt;wsp:rsid wsp:val=&quot;00E20E29&quot;/&gt;&lt;wsp:rsid wsp:val=&quot;00E212C2&quot;/&gt;&lt;wsp:rsid wsp:val=&quot;00E21687&quot;/&gt;&lt;wsp:rsid wsp:val=&quot;00E21A4E&quot;/&gt;&lt;wsp:rsid wsp:val=&quot;00E21CCC&quot;/&gt;&lt;wsp:rsid wsp:val=&quot;00E21F08&quot;/&gt;&lt;wsp:rsid wsp:val=&quot;00E22182&quot;/&gt;&lt;wsp:rsid wsp:val=&quot;00E221B8&quot;/&gt;&lt;wsp:rsid wsp:val=&quot;00E227E9&quot;/&gt;&lt;wsp:rsid wsp:val=&quot;00E2290E&quot;/&gt;&lt;wsp:rsid wsp:val=&quot;00E22C48&quot;/&gt;&lt;wsp:rsid wsp:val=&quot;00E22F19&quot;/&gt;&lt;wsp:rsid wsp:val=&quot;00E23299&quot;/&gt;&lt;wsp:rsid wsp:val=&quot;00E237B6&quot;/&gt;&lt;wsp:rsid wsp:val=&quot;00E238DE&quot;/&gt;&lt;wsp:rsid wsp:val=&quot;00E23CC0&quot;/&gt;&lt;wsp:rsid wsp:val=&quot;00E24A62&quot;/&gt;&lt;wsp:rsid wsp:val=&quot;00E24B9B&quot;/&gt;&lt;wsp:rsid wsp:val=&quot;00E24BEA&quot;/&gt;&lt;wsp:rsid wsp:val=&quot;00E24E54&quot;/&gt;&lt;wsp:rsid wsp:val=&quot;00E24EDA&quot;/&gt;&lt;wsp:rsid wsp:val=&quot;00E25072&quot;/&gt;&lt;wsp:rsid wsp:val=&quot;00E25593&quot;/&gt;&lt;wsp:rsid wsp:val=&quot;00E25888&quot;/&gt;&lt;wsp:rsid wsp:val=&quot;00E25E6C&quot;/&gt;&lt;wsp:rsid wsp:val=&quot;00E25E82&quot;/&gt;&lt;wsp:rsid wsp:val=&quot;00E25EB6&quot;/&gt;&lt;wsp:rsid wsp:val=&quot;00E25FFA&quot;/&gt;&lt;wsp:rsid wsp:val=&quot;00E26226&quot;/&gt;&lt;wsp:rsid wsp:val=&quot;00E264E6&quot;/&gt;&lt;wsp:rsid wsp:val=&quot;00E26C3F&quot;/&gt;&lt;wsp:rsid wsp:val=&quot;00E2702B&quot;/&gt;&lt;wsp:rsid wsp:val=&quot;00E271D3&quot;/&gt;&lt;wsp:rsid wsp:val=&quot;00E27479&quot;/&gt;&lt;wsp:rsid wsp:val=&quot;00E30596&quot;/&gt;&lt;wsp:rsid wsp:val=&quot;00E306C3&quot;/&gt;&lt;wsp:rsid wsp:val=&quot;00E307C6&quot;/&gt;&lt;wsp:rsid wsp:val=&quot;00E30AFB&quot;/&gt;&lt;wsp:rsid wsp:val=&quot;00E30BAF&quot;/&gt;&lt;wsp:rsid wsp:val=&quot;00E31856&quot;/&gt;&lt;wsp:rsid wsp:val=&quot;00E31C9C&quot;/&gt;&lt;wsp:rsid wsp:val=&quot;00E31F8E&quot;/&gt;&lt;wsp:rsid wsp:val=&quot;00E3221D&quot;/&gt;&lt;wsp:rsid wsp:val=&quot;00E326FD&quot;/&gt;&lt;wsp:rsid wsp:val=&quot;00E32CF9&quot;/&gt;&lt;wsp:rsid wsp:val=&quot;00E32FF4&quot;/&gt;&lt;wsp:rsid wsp:val=&quot;00E33143&quot;/&gt;&lt;wsp:rsid wsp:val=&quot;00E33356&quot;/&gt;&lt;wsp:rsid wsp:val=&quot;00E3397C&quot;/&gt;&lt;wsp:rsid wsp:val=&quot;00E33D42&quot;/&gt;&lt;wsp:rsid wsp:val=&quot;00E343CE&quot;/&gt;&lt;wsp:rsid wsp:val=&quot;00E344DA&quot;/&gt;&lt;wsp:rsid wsp:val=&quot;00E3491A&quot;/&gt;&lt;wsp:rsid wsp:val=&quot;00E349B8&quot;/&gt;&lt;wsp:rsid wsp:val=&quot;00E34CA7&quot;/&gt;&lt;wsp:rsid wsp:val=&quot;00E352F7&quot;/&gt;&lt;wsp:rsid wsp:val=&quot;00E353D9&quot;/&gt;&lt;wsp:rsid wsp:val=&quot;00E35D66&quot;/&gt;&lt;wsp:rsid wsp:val=&quot;00E35E4B&quot;/&gt;&lt;wsp:rsid wsp:val=&quot;00E360FF&quot;/&gt;&lt;wsp:rsid wsp:val=&quot;00E3611C&quot;/&gt;&lt;wsp:rsid wsp:val=&quot;00E36230&quot;/&gt;&lt;wsp:rsid wsp:val=&quot;00E3631E&quot;/&gt;&lt;wsp:rsid wsp:val=&quot;00E368E4&quot;/&gt;&lt;wsp:rsid wsp:val=&quot;00E36976&quot;/&gt;&lt;wsp:rsid wsp:val=&quot;00E36BAA&quot;/&gt;&lt;wsp:rsid wsp:val=&quot;00E36CFB&quot;/&gt;&lt;wsp:rsid wsp:val=&quot;00E36D5C&quot;/&gt;&lt;wsp:rsid wsp:val=&quot;00E3715C&quot;/&gt;&lt;wsp:rsid wsp:val=&quot;00E37189&quot;/&gt;&lt;wsp:rsid wsp:val=&quot;00E371DE&quot;/&gt;&lt;wsp:rsid wsp:val=&quot;00E375F3&quot;/&gt;&lt;wsp:rsid wsp:val=&quot;00E376AB&quot;/&gt;&lt;wsp:rsid wsp:val=&quot;00E379D1&quot;/&gt;&lt;wsp:rsid wsp:val=&quot;00E37EC0&quot;/&gt;&lt;wsp:rsid wsp:val=&quot;00E408A8&quot;/&gt;&lt;wsp:rsid wsp:val=&quot;00E40E8C&quot;/&gt;&lt;wsp:rsid wsp:val=&quot;00E41B1C&quot;/&gt;&lt;wsp:rsid wsp:val=&quot;00E41C61&quot;/&gt;&lt;wsp:rsid wsp:val=&quot;00E41C86&quot;/&gt;&lt;wsp:rsid wsp:val=&quot;00E42244&quot;/&gt;&lt;wsp:rsid wsp:val=&quot;00E4230D&quot;/&gt;&lt;wsp:rsid wsp:val=&quot;00E42425&quot;/&gt;&lt;wsp:rsid wsp:val=&quot;00E4251A&quot;/&gt;&lt;wsp:rsid wsp:val=&quot;00E42B3F&quot;/&gt;&lt;wsp:rsid wsp:val=&quot;00E42F92&quot;/&gt;&lt;wsp:rsid wsp:val=&quot;00E4306E&quot;/&gt;&lt;wsp:rsid wsp:val=&quot;00E43143&quot;/&gt;&lt;wsp:rsid wsp:val=&quot;00E4319B&quot;/&gt;&lt;wsp:rsid wsp:val=&quot;00E431C0&quot;/&gt;&lt;wsp:rsid wsp:val=&quot;00E435DB&quot;/&gt;&lt;wsp:rsid wsp:val=&quot;00E438F3&quot;/&gt;&lt;wsp:rsid wsp:val=&quot;00E43E10&quot;/&gt;&lt;wsp:rsid wsp:val=&quot;00E44403&quot;/&gt;&lt;wsp:rsid wsp:val=&quot;00E4459E&quot;/&gt;&lt;wsp:rsid wsp:val=&quot;00E44B2F&quot;/&gt;&lt;wsp:rsid wsp:val=&quot;00E44BB0&quot;/&gt;&lt;wsp:rsid wsp:val=&quot;00E44BD4&quot;/&gt;&lt;wsp:rsid wsp:val=&quot;00E44E92&quot;/&gt;&lt;wsp:rsid wsp:val=&quot;00E44F03&quot;/&gt;&lt;wsp:rsid wsp:val=&quot;00E4550C&quot;/&gt;&lt;wsp:rsid wsp:val=&quot;00E455FF&quot;/&gt;&lt;wsp:rsid wsp:val=&quot;00E45677&quot;/&gt;&lt;wsp:rsid wsp:val=&quot;00E4598D&quot;/&gt;&lt;wsp:rsid wsp:val=&quot;00E45A35&quot;/&gt;&lt;wsp:rsid wsp:val=&quot;00E45E51&quot;/&gt;&lt;wsp:rsid wsp:val=&quot;00E46055&quot;/&gt;&lt;wsp:rsid wsp:val=&quot;00E46079&quot;/&gt;&lt;wsp:rsid wsp:val=&quot;00E46636&quot;/&gt;&lt;wsp:rsid wsp:val=&quot;00E467B0&quot;/&gt;&lt;wsp:rsid wsp:val=&quot;00E46983&quot;/&gt;&lt;wsp:rsid wsp:val=&quot;00E47160&quot;/&gt;&lt;wsp:rsid wsp:val=&quot;00E47596&quot;/&gt;&lt;wsp:rsid wsp:val=&quot;00E4778B&quot;/&gt;&lt;wsp:rsid wsp:val=&quot;00E47A0A&quot;/&gt;&lt;wsp:rsid wsp:val=&quot;00E5045D&quot;/&gt;&lt;wsp:rsid wsp:val=&quot;00E5056B&quot;/&gt;&lt;wsp:rsid wsp:val=&quot;00E50844&quot;/&gt;&lt;wsp:rsid wsp:val=&quot;00E50CB4&quot;/&gt;&lt;wsp:rsid wsp:val=&quot;00E50F14&quot;/&gt;&lt;wsp:rsid wsp:val=&quot;00E5122B&quot;/&gt;&lt;wsp:rsid wsp:val=&quot;00E5129B&quot;/&gt;&lt;wsp:rsid wsp:val=&quot;00E513EC&quot;/&gt;&lt;wsp:rsid wsp:val=&quot;00E51579&quot;/&gt;&lt;wsp:rsid wsp:val=&quot;00E51952&quot;/&gt;&lt;wsp:rsid wsp:val=&quot;00E51B97&quot;/&gt;&lt;wsp:rsid wsp:val=&quot;00E51E7C&quot;/&gt;&lt;wsp:rsid wsp:val=&quot;00E51FD7&quot;/&gt;&lt;wsp:rsid wsp:val=&quot;00E5213D&quot;/&gt;&lt;wsp:rsid wsp:val=&quot;00E5219B&quot;/&gt;&lt;wsp:rsid wsp:val=&quot;00E521BE&quot;/&gt;&lt;wsp:rsid wsp:val=&quot;00E52552&quot;/&gt;&lt;wsp:rsid wsp:val=&quot;00E52B77&quot;/&gt;&lt;wsp:rsid wsp:val=&quot;00E52F14&quot;/&gt;&lt;wsp:rsid wsp:val=&quot;00E5310C&quot;/&gt;&lt;wsp:rsid wsp:val=&quot;00E53438&quot;/&gt;&lt;wsp:rsid wsp:val=&quot;00E54149&quot;/&gt;&lt;wsp:rsid wsp:val=&quot;00E546C4&quot;/&gt;&lt;wsp:rsid wsp:val=&quot;00E548E2&quot;/&gt;&lt;wsp:rsid wsp:val=&quot;00E54DE3&quot;/&gt;&lt;wsp:rsid wsp:val=&quot;00E54F4D&quot;/&gt;&lt;wsp:rsid wsp:val=&quot;00E55287&quot;/&gt;&lt;wsp:rsid wsp:val=&quot;00E55299&quot;/&gt;&lt;wsp:rsid wsp:val=&quot;00E55714&quot;/&gt;&lt;wsp:rsid wsp:val=&quot;00E55985&quot;/&gt;&lt;wsp:rsid wsp:val=&quot;00E55B0C&quot;/&gt;&lt;wsp:rsid wsp:val=&quot;00E55F2F&quot;/&gt;&lt;wsp:rsid wsp:val=&quot;00E560A8&quot;/&gt;&lt;wsp:rsid wsp:val=&quot;00E56390&quot;/&gt;&lt;wsp:rsid wsp:val=&quot;00E56D0D&quot;/&gt;&lt;wsp:rsid wsp:val=&quot;00E572E9&quot;/&gt;&lt;wsp:rsid wsp:val=&quot;00E574AC&quot;/&gt;&lt;wsp:rsid wsp:val=&quot;00E57956&quot;/&gt;&lt;wsp:rsid wsp:val=&quot;00E57C5D&quot;/&gt;&lt;wsp:rsid wsp:val=&quot;00E6016A&quot;/&gt;&lt;wsp:rsid wsp:val=&quot;00E605E6&quot;/&gt;&lt;wsp:rsid wsp:val=&quot;00E60873&quot;/&gt;&lt;wsp:rsid wsp:val=&quot;00E6090C&quot;/&gt;&lt;wsp:rsid wsp:val=&quot;00E609AB&quot;/&gt;&lt;wsp:rsid wsp:val=&quot;00E60BB3&quot;/&gt;&lt;wsp:rsid wsp:val=&quot;00E6105C&quot;/&gt;&lt;wsp:rsid wsp:val=&quot;00E61077&quot;/&gt;&lt;wsp:rsid wsp:val=&quot;00E6123A&quot;/&gt;&lt;wsp:rsid wsp:val=&quot;00E6126C&quot;/&gt;&lt;wsp:rsid wsp:val=&quot;00E614BD&quot;/&gt;&lt;wsp:rsid wsp:val=&quot;00E61CE1&quot;/&gt;&lt;wsp:rsid wsp:val=&quot;00E61EF0&quot;/&gt;&lt;wsp:rsid wsp:val=&quot;00E61F27&quot;/&gt;&lt;wsp:rsid wsp:val=&quot;00E624E9&quot;/&gt;&lt;wsp:rsid wsp:val=&quot;00E6252C&quot;/&gt;&lt;wsp:rsid wsp:val=&quot;00E62570&quot;/&gt;&lt;wsp:rsid wsp:val=&quot;00E629E2&quot;/&gt;&lt;wsp:rsid wsp:val=&quot;00E63481&quot;/&gt;&lt;wsp:rsid wsp:val=&quot;00E63590&quot;/&gt;&lt;wsp:rsid wsp:val=&quot;00E63907&quot;/&gt;&lt;wsp:rsid wsp:val=&quot;00E63A14&quot;/&gt;&lt;wsp:rsid wsp:val=&quot;00E63A34&quot;/&gt;&lt;wsp:rsid wsp:val=&quot;00E63B2E&quot;/&gt;&lt;wsp:rsid wsp:val=&quot;00E646AD&quot;/&gt;&lt;wsp:rsid wsp:val=&quot;00E6471A&quot;/&gt;&lt;wsp:rsid wsp:val=&quot;00E64A13&quot;/&gt;&lt;wsp:rsid wsp:val=&quot;00E64A84&quot;/&gt;&lt;wsp:rsid wsp:val=&quot;00E64B4F&quot;/&gt;&lt;wsp:rsid wsp:val=&quot;00E64D9B&quot;/&gt;&lt;wsp:rsid wsp:val=&quot;00E64F93&quot;/&gt;&lt;wsp:rsid wsp:val=&quot;00E651D6&quot;/&gt;&lt;wsp:rsid wsp:val=&quot;00E654FC&quot;/&gt;&lt;wsp:rsid wsp:val=&quot;00E65612&quot;/&gt;&lt;wsp:rsid wsp:val=&quot;00E65743&quot;/&gt;&lt;wsp:rsid wsp:val=&quot;00E6581C&quot;/&gt;&lt;wsp:rsid wsp:val=&quot;00E65BBB&quot;/&gt;&lt;wsp:rsid wsp:val=&quot;00E65C3D&quot;/&gt;&lt;wsp:rsid wsp:val=&quot;00E6616C&quot;/&gt;&lt;wsp:rsid wsp:val=&quot;00E6643A&quot;/&gt;&lt;wsp:rsid wsp:val=&quot;00E66695&quot;/&gt;&lt;wsp:rsid wsp:val=&quot;00E66A8E&quot;/&gt;&lt;wsp:rsid wsp:val=&quot;00E66B7D&quot;/&gt;&lt;wsp:rsid wsp:val=&quot;00E66D4C&quot;/&gt;&lt;wsp:rsid wsp:val=&quot;00E66D4D&quot;/&gt;&lt;wsp:rsid wsp:val=&quot;00E66E8A&quot;/&gt;&lt;wsp:rsid wsp:val=&quot;00E6750E&quot;/&gt;&lt;wsp:rsid wsp:val=&quot;00E6759D&quot;/&gt;&lt;wsp:rsid wsp:val=&quot;00E6772B&quot;/&gt;&lt;wsp:rsid wsp:val=&quot;00E678F9&quot;/&gt;&lt;wsp:rsid wsp:val=&quot;00E67B4B&quot;/&gt;&lt;wsp:rsid wsp:val=&quot;00E7000C&quot;/&gt;&lt;wsp:rsid wsp:val=&quot;00E706FA&quot;/&gt;&lt;wsp:rsid wsp:val=&quot;00E707F8&quot;/&gt;&lt;wsp:rsid wsp:val=&quot;00E713E0&quot;/&gt;&lt;wsp:rsid wsp:val=&quot;00E7152F&quot;/&gt;&lt;wsp:rsid wsp:val=&quot;00E71D13&quot;/&gt;&lt;wsp:rsid wsp:val=&quot;00E71EA7&quot;/&gt;&lt;wsp:rsid wsp:val=&quot;00E7208C&quot;/&gt;&lt;wsp:rsid wsp:val=&quot;00E721CE&quot;/&gt;&lt;wsp:rsid wsp:val=&quot;00E7293A&quot;/&gt;&lt;wsp:rsid wsp:val=&quot;00E72DDA&quot;/&gt;&lt;wsp:rsid wsp:val=&quot;00E72F61&quot;/&gt;&lt;wsp:rsid wsp:val=&quot;00E73885&quot;/&gt;&lt;wsp:rsid wsp:val=&quot;00E73CA7&quot;/&gt;&lt;wsp:rsid wsp:val=&quot;00E742D9&quot;/&gt;&lt;wsp:rsid wsp:val=&quot;00E74854&quot;/&gt;&lt;wsp:rsid wsp:val=&quot;00E748FD&quot;/&gt;&lt;wsp:rsid wsp:val=&quot;00E74DF5&quot;/&gt;&lt;wsp:rsid wsp:val=&quot;00E74ECB&quot;/&gt;&lt;wsp:rsid wsp:val=&quot;00E75347&quot;/&gt;&lt;wsp:rsid wsp:val=&quot;00E75766&quot;/&gt;&lt;wsp:rsid wsp:val=&quot;00E75AF9&quot;/&gt;&lt;wsp:rsid wsp:val=&quot;00E75B4C&quot;/&gt;&lt;wsp:rsid wsp:val=&quot;00E75BC5&quot;/&gt;&lt;wsp:rsid wsp:val=&quot;00E75C95&quot;/&gt;&lt;wsp:rsid wsp:val=&quot;00E76086&quot;/&gt;&lt;wsp:rsid wsp:val=&quot;00E763C9&quot;/&gt;&lt;wsp:rsid wsp:val=&quot;00E76AB5&quot;/&gt;&lt;wsp:rsid wsp:val=&quot;00E76BB2&quot;/&gt;&lt;wsp:rsid wsp:val=&quot;00E76E06&quot;/&gt;&lt;wsp:rsid wsp:val=&quot;00E775A5&quot;/&gt;&lt;wsp:rsid wsp:val=&quot;00E77BBA&quot;/&gt;&lt;wsp:rsid wsp:val=&quot;00E77D22&quot;/&gt;&lt;wsp:rsid wsp:val=&quot;00E77F4D&quot;/&gt;&lt;wsp:rsid wsp:val=&quot;00E8009A&quot;/&gt;&lt;wsp:rsid wsp:val=&quot;00E8096C&quot;/&gt;&lt;wsp:rsid wsp:val=&quot;00E814AB&quot;/&gt;&lt;wsp:rsid wsp:val=&quot;00E81E23&quot;/&gt;&lt;wsp:rsid wsp:val=&quot;00E81EE8&quot;/&gt;&lt;wsp:rsid wsp:val=&quot;00E821AE&quot;/&gt;&lt;wsp:rsid wsp:val=&quot;00E82D72&quot;/&gt;&lt;wsp:rsid wsp:val=&quot;00E832EF&quot;/&gt;&lt;wsp:rsid wsp:val=&quot;00E8379A&quot;/&gt;&lt;wsp:rsid wsp:val=&quot;00E83D45&quot;/&gt;&lt;wsp:rsid wsp:val=&quot;00E842A7&quot;/&gt;&lt;wsp:rsid wsp:val=&quot;00E84ACA&quot;/&gt;&lt;wsp:rsid wsp:val=&quot;00E84CA0&quot;/&gt;&lt;wsp:rsid wsp:val=&quot;00E84CA5&quot;/&gt;&lt;wsp:rsid wsp:val=&quot;00E851D6&quot;/&gt;&lt;wsp:rsid wsp:val=&quot;00E85474&quot;/&gt;&lt;wsp:rsid wsp:val=&quot;00E857D7&quot;/&gt;&lt;wsp:rsid wsp:val=&quot;00E85B41&quot;/&gt;&lt;wsp:rsid wsp:val=&quot;00E85F55&quot;/&gt;&lt;wsp:rsid wsp:val=&quot;00E85FC7&quot;/&gt;&lt;wsp:rsid wsp:val=&quot;00E86086&quot;/&gt;&lt;wsp:rsid wsp:val=&quot;00E86E29&quot;/&gt;&lt;wsp:rsid wsp:val=&quot;00E8751B&quot;/&gt;&lt;wsp:rsid wsp:val=&quot;00E87611&quot;/&gt;&lt;wsp:rsid wsp:val=&quot;00E87F79&quot;/&gt;&lt;wsp:rsid wsp:val=&quot;00E904CE&quot;/&gt;&lt;wsp:rsid wsp:val=&quot;00E90538&quot;/&gt;&lt;wsp:rsid wsp:val=&quot;00E90753&quot;/&gt;&lt;wsp:rsid wsp:val=&quot;00E91093&quot;/&gt;&lt;wsp:rsid wsp:val=&quot;00E910EC&quot;/&gt;&lt;wsp:rsid wsp:val=&quot;00E91341&quot;/&gt;&lt;wsp:rsid wsp:val=&quot;00E91899&quot;/&gt;&lt;wsp:rsid wsp:val=&quot;00E9205E&quot;/&gt;&lt;wsp:rsid wsp:val=&quot;00E921A2&quot;/&gt;&lt;wsp:rsid wsp:val=&quot;00E924FF&quot;/&gt;&lt;wsp:rsid wsp:val=&quot;00E932F1&quot;/&gt;&lt;wsp:rsid wsp:val=&quot;00E939CA&quot;/&gt;&lt;wsp:rsid wsp:val=&quot;00E93C91&quot;/&gt;&lt;wsp:rsid wsp:val=&quot;00E93F4B&quot;/&gt;&lt;wsp:rsid wsp:val=&quot;00E941EC&quot;/&gt;&lt;wsp:rsid wsp:val=&quot;00E94910&quot;/&gt;&lt;wsp:rsid wsp:val=&quot;00E94B53&quot;/&gt;&lt;wsp:rsid wsp:val=&quot;00E94DCE&quot;/&gt;&lt;wsp:rsid wsp:val=&quot;00E94DFA&quot;/&gt;&lt;wsp:rsid wsp:val=&quot;00E94E86&quot;/&gt;&lt;wsp:rsid wsp:val=&quot;00E9518C&quot;/&gt;&lt;wsp:rsid wsp:val=&quot;00E951C0&quot;/&gt;&lt;wsp:rsid wsp:val=&quot;00E952A0&quot;/&gt;&lt;wsp:rsid wsp:val=&quot;00E95571&quot;/&gt;&lt;wsp:rsid wsp:val=&quot;00E955EA&quot;/&gt;&lt;wsp:rsid wsp:val=&quot;00E960BD&quot;/&gt;&lt;wsp:rsid wsp:val=&quot;00E964D1&quot;/&gt;&lt;wsp:rsid wsp:val=&quot;00E96552&quot;/&gt;&lt;wsp:rsid wsp:val=&quot;00E96B7A&quot;/&gt;&lt;wsp:rsid wsp:val=&quot;00E96F4E&quot;/&gt;&lt;wsp:rsid wsp:val=&quot;00E97B42&quot;/&gt;&lt;wsp:rsid wsp:val=&quot;00E97EB7&quot;/&gt;&lt;wsp:rsid wsp:val=&quot;00EA008A&quot;/&gt;&lt;wsp:rsid wsp:val=&quot;00EA0622&quot;/&gt;&lt;wsp:rsid wsp:val=&quot;00EA0A20&quot;/&gt;&lt;wsp:rsid wsp:val=&quot;00EA0A62&quot;/&gt;&lt;wsp:rsid wsp:val=&quot;00EA0A7C&quot;/&gt;&lt;wsp:rsid wsp:val=&quot;00EA0C0E&quot;/&gt;&lt;wsp:rsid wsp:val=&quot;00EA0FB2&quot;/&gt;&lt;wsp:rsid wsp:val=&quot;00EA11C8&quot;/&gt;&lt;wsp:rsid wsp:val=&quot;00EA1508&quot;/&gt;&lt;wsp:rsid wsp:val=&quot;00EA16F8&quot;/&gt;&lt;wsp:rsid wsp:val=&quot;00EA1920&quot;/&gt;&lt;wsp:rsid wsp:val=&quot;00EA1B80&quot;/&gt;&lt;wsp:rsid wsp:val=&quot;00EA1CCE&quot;/&gt;&lt;wsp:rsid wsp:val=&quot;00EA1D6D&quot;/&gt;&lt;wsp:rsid wsp:val=&quot;00EA1DB9&quot;/&gt;&lt;wsp:rsid wsp:val=&quot;00EA2EED&quot;/&gt;&lt;wsp:rsid wsp:val=&quot;00EA3084&quot;/&gt;&lt;wsp:rsid wsp:val=&quot;00EA3C9C&quot;/&gt;&lt;wsp:rsid wsp:val=&quot;00EA3EAD&quot;/&gt;&lt;wsp:rsid wsp:val=&quot;00EA3ECD&quot;/&gt;&lt;wsp:rsid wsp:val=&quot;00EA46CB&quot;/&gt;&lt;wsp:rsid wsp:val=&quot;00EA4758&quot;/&gt;&lt;wsp:rsid wsp:val=&quot;00EA47F2&quot;/&gt;&lt;wsp:rsid wsp:val=&quot;00EA4A67&quot;/&gt;&lt;wsp:rsid wsp:val=&quot;00EA4D1B&quot;/&gt;&lt;wsp:rsid wsp:val=&quot;00EA4F72&quot;/&gt;&lt;wsp:rsid wsp:val=&quot;00EA53C1&quot;/&gt;&lt;wsp:rsid wsp:val=&quot;00EA57CD&quot;/&gt;&lt;wsp:rsid wsp:val=&quot;00EA5AB4&quot;/&gt;&lt;wsp:rsid wsp:val=&quot;00EA5B0F&quot;/&gt;&lt;wsp:rsid wsp:val=&quot;00EA6801&quot;/&gt;&lt;wsp:rsid wsp:val=&quot;00EA682A&quot;/&gt;&lt;wsp:rsid wsp:val=&quot;00EA72CD&quot;/&gt;&lt;wsp:rsid wsp:val=&quot;00EA740E&quot;/&gt;&lt;wsp:rsid wsp:val=&quot;00EA7C1D&quot;/&gt;&lt;wsp:rsid wsp:val=&quot;00EA7E2B&quot;/&gt;&lt;wsp:rsid wsp:val=&quot;00EB0220&quot;/&gt;&lt;wsp:rsid wsp:val=&quot;00EB03FF&quot;/&gt;&lt;wsp:rsid wsp:val=&quot;00EB048D&quot;/&gt;&lt;wsp:rsid wsp:val=&quot;00EB051C&quot;/&gt;&lt;wsp:rsid wsp:val=&quot;00EB13F2&quot;/&gt;&lt;wsp:rsid wsp:val=&quot;00EB1444&quot;/&gt;&lt;wsp:rsid wsp:val=&quot;00EB1A6B&quot;/&gt;&lt;wsp:rsid wsp:val=&quot;00EB2F23&quot;/&gt;&lt;wsp:rsid wsp:val=&quot;00EB3208&quot;/&gt;&lt;wsp:rsid wsp:val=&quot;00EB3D15&quot;/&gt;&lt;wsp:rsid wsp:val=&quot;00EB3D97&quot;/&gt;&lt;wsp:rsid wsp:val=&quot;00EB42BA&quot;/&gt;&lt;wsp:rsid wsp:val=&quot;00EB434F&quot;/&gt;&lt;wsp:rsid wsp:val=&quot;00EB43DE&quot;/&gt;&lt;wsp:rsid wsp:val=&quot;00EB46C9&quot;/&gt;&lt;wsp:rsid wsp:val=&quot;00EB55FB&quot;/&gt;&lt;wsp:rsid wsp:val=&quot;00EB5B27&quot;/&gt;&lt;wsp:rsid wsp:val=&quot;00EB5CD1&quot;/&gt;&lt;wsp:rsid wsp:val=&quot;00EB5EE6&quot;/&gt;&lt;wsp:rsid wsp:val=&quot;00EB6FD3&quot;/&gt;&lt;wsp:rsid wsp:val=&quot;00EB7AC5&quot;/&gt;&lt;wsp:rsid wsp:val=&quot;00EC03A0&quot;/&gt;&lt;wsp:rsid wsp:val=&quot;00EC042C&quot;/&gt;&lt;wsp:rsid wsp:val=&quot;00EC05FB&quot;/&gt;&lt;wsp:rsid wsp:val=&quot;00EC09D2&quot;/&gt;&lt;wsp:rsid wsp:val=&quot;00EC0BB0&quot;/&gt;&lt;wsp:rsid wsp:val=&quot;00EC0D7E&quot;/&gt;&lt;wsp:rsid wsp:val=&quot;00EC0F4A&quot;/&gt;&lt;wsp:rsid wsp:val=&quot;00EC166D&quot;/&gt;&lt;wsp:rsid wsp:val=&quot;00EC1C8B&quot;/&gt;&lt;wsp:rsid wsp:val=&quot;00EC2080&quot;/&gt;&lt;wsp:rsid wsp:val=&quot;00EC209C&quot;/&gt;&lt;wsp:rsid wsp:val=&quot;00EC20D6&quot;/&gt;&lt;wsp:rsid wsp:val=&quot;00EC226E&quot;/&gt;&lt;wsp:rsid wsp:val=&quot;00EC2273&quot;/&gt;&lt;wsp:rsid wsp:val=&quot;00EC24D4&quot;/&gt;&lt;wsp:rsid wsp:val=&quot;00EC254D&quot;/&gt;&lt;wsp:rsid wsp:val=&quot;00EC25D1&quot;/&gt;&lt;wsp:rsid wsp:val=&quot;00EC26F3&quot;/&gt;&lt;wsp:rsid wsp:val=&quot;00EC28C1&quot;/&gt;&lt;wsp:rsid wsp:val=&quot;00EC2B08&quot;/&gt;&lt;wsp:rsid wsp:val=&quot;00EC2B9B&quot;/&gt;&lt;wsp:rsid wsp:val=&quot;00EC2D59&quot;/&gt;&lt;wsp:rsid wsp:val=&quot;00EC2FC8&quot;/&gt;&lt;wsp:rsid wsp:val=&quot;00EC2FF7&quot;/&gt;&lt;wsp:rsid wsp:val=&quot;00EC35E1&quot;/&gt;&lt;wsp:rsid wsp:val=&quot;00EC3CA8&quot;/&gt;&lt;wsp:rsid wsp:val=&quot;00EC3CC4&quot;/&gt;&lt;wsp:rsid wsp:val=&quot;00EC3EC4&quot;/&gt;&lt;wsp:rsid wsp:val=&quot;00EC41DD&quot;/&gt;&lt;wsp:rsid wsp:val=&quot;00EC4332&quot;/&gt;&lt;wsp:rsid wsp:val=&quot;00EC43A5&quot;/&gt;&lt;wsp:rsid wsp:val=&quot;00EC43C6&quot;/&gt;&lt;wsp:rsid wsp:val=&quot;00EC453F&quot;/&gt;&lt;wsp:rsid wsp:val=&quot;00EC4945&quot;/&gt;&lt;wsp:rsid wsp:val=&quot;00EC4BB0&quot;/&gt;&lt;wsp:rsid wsp:val=&quot;00EC4C52&quot;/&gt;&lt;wsp:rsid wsp:val=&quot;00EC4D27&quot;/&gt;&lt;wsp:rsid wsp:val=&quot;00EC4F43&quot;/&gt;&lt;wsp:rsid wsp:val=&quot;00EC5044&quot;/&gt;&lt;wsp:rsid wsp:val=&quot;00EC5293&quot;/&gt;&lt;wsp:rsid wsp:val=&quot;00EC52D4&quot;/&gt;&lt;wsp:rsid wsp:val=&quot;00EC53D6&quot;/&gt;&lt;wsp:rsid wsp:val=&quot;00EC5570&quot;/&gt;&lt;wsp:rsid wsp:val=&quot;00EC5578&quot;/&gt;&lt;wsp:rsid wsp:val=&quot;00EC56B2&quot;/&gt;&lt;wsp:rsid wsp:val=&quot;00EC61BB&quot;/&gt;&lt;wsp:rsid wsp:val=&quot;00EC63AA&quot;/&gt;&lt;wsp:rsid wsp:val=&quot;00EC6858&quot;/&gt;&lt;wsp:rsid wsp:val=&quot;00EC7E56&quot;/&gt;&lt;wsp:rsid wsp:val=&quot;00ED047E&quot;/&gt;&lt;wsp:rsid wsp:val=&quot;00ED0561&quot;/&gt;&lt;wsp:rsid wsp:val=&quot;00ED0BA1&quot;/&gt;&lt;wsp:rsid wsp:val=&quot;00ED0BD8&quot;/&gt;&lt;wsp:rsid wsp:val=&quot;00ED1468&quot;/&gt;&lt;wsp:rsid wsp:val=&quot;00ED166F&quot;/&gt;&lt;wsp:rsid wsp:val=&quot;00ED17B3&quot;/&gt;&lt;wsp:rsid wsp:val=&quot;00ED1C2A&quot;/&gt;&lt;wsp:rsid wsp:val=&quot;00ED21DA&quot;/&gt;&lt;wsp:rsid wsp:val=&quot;00ED2269&quot;/&gt;&lt;wsp:rsid wsp:val=&quot;00ED2590&quot;/&gt;&lt;wsp:rsid wsp:val=&quot;00ED2734&quot;/&gt;&lt;wsp:rsid wsp:val=&quot;00ED2921&quot;/&gt;&lt;wsp:rsid wsp:val=&quot;00ED3167&quot;/&gt;&lt;wsp:rsid wsp:val=&quot;00ED35D4&quot;/&gt;&lt;wsp:rsid wsp:val=&quot;00ED3625&quot;/&gt;&lt;wsp:rsid wsp:val=&quot;00ED3641&quot;/&gt;&lt;wsp:rsid wsp:val=&quot;00ED3669&quot;/&gt;&lt;wsp:rsid wsp:val=&quot;00ED3815&quot;/&gt;&lt;wsp:rsid wsp:val=&quot;00ED3855&quot;/&gt;&lt;wsp:rsid wsp:val=&quot;00ED3DD5&quot;/&gt;&lt;wsp:rsid wsp:val=&quot;00ED4170&quot;/&gt;&lt;wsp:rsid wsp:val=&quot;00ED4A85&quot;/&gt;&lt;wsp:rsid wsp:val=&quot;00ED4C0F&quot;/&gt;&lt;wsp:rsid wsp:val=&quot;00ED4DF4&quot;/&gt;&lt;wsp:rsid wsp:val=&quot;00ED51D0&quot;/&gt;&lt;wsp:rsid wsp:val=&quot;00ED52CD&quot;/&gt;&lt;wsp:rsid wsp:val=&quot;00ED6325&quot;/&gt;&lt;wsp:rsid wsp:val=&quot;00ED6DD9&quot;/&gt;&lt;wsp:rsid wsp:val=&quot;00ED6DFA&quot;/&gt;&lt;wsp:rsid wsp:val=&quot;00ED7202&quot;/&gt;&lt;wsp:rsid wsp:val=&quot;00ED7278&quot;/&gt;&lt;wsp:rsid wsp:val=&quot;00ED77C7&quot;/&gt;&lt;wsp:rsid wsp:val=&quot;00ED79A5&quot;/&gt;&lt;wsp:rsid wsp:val=&quot;00ED79B9&quot;/&gt;&lt;wsp:rsid wsp:val=&quot;00ED7CE8&quot;/&gt;&lt;wsp:rsid wsp:val=&quot;00EE0012&quot;/&gt;&lt;wsp:rsid wsp:val=&quot;00EE0289&quot;/&gt;&lt;wsp:rsid wsp:val=&quot;00EE0771&quot;/&gt;&lt;wsp:rsid wsp:val=&quot;00EE0B99&quot;/&gt;&lt;wsp:rsid wsp:val=&quot;00EE1305&quot;/&gt;&lt;wsp:rsid wsp:val=&quot;00EE1534&quot;/&gt;&lt;wsp:rsid wsp:val=&quot;00EE170F&quot;/&gt;&lt;wsp:rsid wsp:val=&quot;00EE22B5&quot;/&gt;&lt;wsp:rsid wsp:val=&quot;00EE2F95&quot;/&gt;&lt;wsp:rsid wsp:val=&quot;00EE42B5&quot;/&gt;&lt;wsp:rsid wsp:val=&quot;00EE4B84&quot;/&gt;&lt;wsp:rsid wsp:val=&quot;00EE5377&quot;/&gt;&lt;wsp:rsid wsp:val=&quot;00EE54C8&quot;/&gt;&lt;wsp:rsid wsp:val=&quot;00EE560E&quot;/&gt;&lt;wsp:rsid wsp:val=&quot;00EE57F7&quot;/&gt;&lt;wsp:rsid wsp:val=&quot;00EE5ADB&quot;/&gt;&lt;wsp:rsid wsp:val=&quot;00EE5B70&quot;/&gt;&lt;wsp:rsid wsp:val=&quot;00EE5CA9&quot;/&gt;&lt;wsp:rsid wsp:val=&quot;00EE5D08&quot;/&gt;&lt;wsp:rsid wsp:val=&quot;00EE5E7A&quot;/&gt;&lt;wsp:rsid wsp:val=&quot;00EE6247&quot;/&gt;&lt;wsp:rsid wsp:val=&quot;00EE66E8&quot;/&gt;&lt;wsp:rsid wsp:val=&quot;00EE6794&quot;/&gt;&lt;wsp:rsid wsp:val=&quot;00EE6F09&quot;/&gt;&lt;wsp:rsid wsp:val=&quot;00EE703F&quot;/&gt;&lt;wsp:rsid wsp:val=&quot;00EE769A&quot;/&gt;&lt;wsp:rsid wsp:val=&quot;00EE7A07&quot;/&gt;&lt;wsp:rsid wsp:val=&quot;00EE7A8A&quot;/&gt;&lt;wsp:rsid wsp:val=&quot;00EE7B58&quot;/&gt;&lt;wsp:rsid wsp:val=&quot;00EE7C58&quot;/&gt;&lt;wsp:rsid wsp:val=&quot;00EE7D33&quot;/&gt;&lt;wsp:rsid wsp:val=&quot;00EF009B&quot;/&gt;&lt;wsp:rsid wsp:val=&quot;00EF05CB&quot;/&gt;&lt;wsp:rsid wsp:val=&quot;00EF0A27&quot;/&gt;&lt;wsp:rsid wsp:val=&quot;00EF0C5F&quot;/&gt;&lt;wsp:rsid wsp:val=&quot;00EF12B0&quot;/&gt;&lt;wsp:rsid wsp:val=&quot;00EF1519&quot;/&gt;&lt;wsp:rsid wsp:val=&quot;00EF1B12&quot;/&gt;&lt;wsp:rsid wsp:val=&quot;00EF22E0&quot;/&gt;&lt;wsp:rsid wsp:val=&quot;00EF2300&quot;/&gt;&lt;wsp:rsid wsp:val=&quot;00EF234D&quot;/&gt;&lt;wsp:rsid wsp:val=&quot;00EF2557&quot;/&gt;&lt;wsp:rsid wsp:val=&quot;00EF2C3F&quot;/&gt;&lt;wsp:rsid wsp:val=&quot;00EF30CB&quot;/&gt;&lt;wsp:rsid wsp:val=&quot;00EF3151&quot;/&gt;&lt;wsp:rsid wsp:val=&quot;00EF3173&quot;/&gt;&lt;wsp:rsid wsp:val=&quot;00EF331D&quot;/&gt;&lt;wsp:rsid wsp:val=&quot;00EF3355&quot;/&gt;&lt;wsp:rsid wsp:val=&quot;00EF3521&quot;/&gt;&lt;wsp:rsid wsp:val=&quot;00EF3AD9&quot;/&gt;&lt;wsp:rsid wsp:val=&quot;00EF3CC0&quot;/&gt;&lt;wsp:rsid wsp:val=&quot;00EF3D69&quot;/&gt;&lt;wsp:rsid wsp:val=&quot;00EF3E7F&quot;/&gt;&lt;wsp:rsid wsp:val=&quot;00EF3EE3&quot;/&gt;&lt;wsp:rsid wsp:val=&quot;00EF40AE&quot;/&gt;&lt;wsp:rsid wsp:val=&quot;00EF4228&quot;/&gt;&lt;wsp:rsid wsp:val=&quot;00EF4415&quot;/&gt;&lt;wsp:rsid wsp:val=&quot;00EF4AD3&quot;/&gt;&lt;wsp:rsid wsp:val=&quot;00EF4C3A&quot;/&gt;&lt;wsp:rsid wsp:val=&quot;00EF5180&quot;/&gt;&lt;wsp:rsid wsp:val=&quot;00EF5299&quot;/&gt;&lt;wsp:rsid wsp:val=&quot;00EF541D&quot;/&gt;&lt;wsp:rsid wsp:val=&quot;00EF5422&quot;/&gt;&lt;wsp:rsid wsp:val=&quot;00EF55FC&quot;/&gt;&lt;wsp:rsid wsp:val=&quot;00EF5804&quot;/&gt;&lt;wsp:rsid wsp:val=&quot;00EF59F0&quot;/&gt;&lt;wsp:rsid wsp:val=&quot;00EF5ECB&quot;/&gt;&lt;wsp:rsid wsp:val=&quot;00EF60E3&quot;/&gt;&lt;wsp:rsid wsp:val=&quot;00EF65E7&quot;/&gt;&lt;wsp:rsid wsp:val=&quot;00EF673E&quot;/&gt;&lt;wsp:rsid wsp:val=&quot;00EF678C&quot;/&gt;&lt;wsp:rsid wsp:val=&quot;00EF6B9A&quot;/&gt;&lt;wsp:rsid wsp:val=&quot;00EF70AF&quot;/&gt;&lt;wsp:rsid wsp:val=&quot;00EF7734&quot;/&gt;&lt;wsp:rsid wsp:val=&quot;00EF7A85&quot;/&gt;&lt;wsp:rsid wsp:val=&quot;00EF7DA7&quot;/&gt;&lt;wsp:rsid wsp:val=&quot;00EF7F6D&quot;/&gt;&lt;wsp:rsid wsp:val=&quot;00F0035F&quot;/&gt;&lt;wsp:rsid wsp:val=&quot;00F004A9&quot;/&gt;&lt;wsp:rsid wsp:val=&quot;00F0088E&quot;/&gt;&lt;wsp:rsid wsp:val=&quot;00F00996&quot;/&gt;&lt;wsp:rsid wsp:val=&quot;00F00F21&quot;/&gt;&lt;wsp:rsid wsp:val=&quot;00F0144B&quot;/&gt;&lt;wsp:rsid wsp:val=&quot;00F01C83&quot;/&gt;&lt;wsp:rsid wsp:val=&quot;00F01DFC&quot;/&gt;&lt;wsp:rsid wsp:val=&quot;00F01FD5&quot;/&gt;&lt;wsp:rsid wsp:val=&quot;00F02358&quot;/&gt;&lt;wsp:rsid wsp:val=&quot;00F02432&quot;/&gt;&lt;wsp:rsid wsp:val=&quot;00F02483&quot;/&gt;&lt;wsp:rsid wsp:val=&quot;00F025F2&quot;/&gt;&lt;wsp:rsid wsp:val=&quot;00F026D8&quot;/&gt;&lt;wsp:rsid wsp:val=&quot;00F02774&quot;/&gt;&lt;wsp:rsid wsp:val=&quot;00F027A9&quot;/&gt;&lt;wsp:rsid wsp:val=&quot;00F0286E&quot;/&gt;&lt;wsp:rsid wsp:val=&quot;00F02B1B&quot;/&gt;&lt;wsp:rsid wsp:val=&quot;00F02DD4&quot;/&gt;&lt;wsp:rsid wsp:val=&quot;00F02DEE&quot;/&gt;&lt;wsp:rsid wsp:val=&quot;00F0359C&quot;/&gt;&lt;wsp:rsid wsp:val=&quot;00F03916&quot;/&gt;&lt;wsp:rsid wsp:val=&quot;00F03B59&quot;/&gt;&lt;wsp:rsid wsp:val=&quot;00F045D3&quot;/&gt;&lt;wsp:rsid wsp:val=&quot;00F049A0&quot;/&gt;&lt;wsp:rsid wsp:val=&quot;00F04A75&quot;/&gt;&lt;wsp:rsid wsp:val=&quot;00F04BDD&quot;/&gt;&lt;wsp:rsid wsp:val=&quot;00F04E08&quot;/&gt;&lt;wsp:rsid wsp:val=&quot;00F054BD&quot;/&gt;&lt;wsp:rsid wsp:val=&quot;00F057FE&quot;/&gt;&lt;wsp:rsid wsp:val=&quot;00F05D3A&quot;/&gt;&lt;wsp:rsid wsp:val=&quot;00F05E2B&quot;/&gt;&lt;wsp:rsid wsp:val=&quot;00F06E64&quot;/&gt;&lt;wsp:rsid wsp:val=&quot;00F0727B&quot;/&gt;&lt;wsp:rsid wsp:val=&quot;00F074A9&quot;/&gt;&lt;wsp:rsid wsp:val=&quot;00F0755B&quot;/&gt;&lt;wsp:rsid wsp:val=&quot;00F07834&quot;/&gt;&lt;wsp:rsid wsp:val=&quot;00F07C3E&quot;/&gt;&lt;wsp:rsid wsp:val=&quot;00F07F57&quot;/&gt;&lt;wsp:rsid wsp:val=&quot;00F10726&quot;/&gt;&lt;wsp:rsid wsp:val=&quot;00F109A9&quot;/&gt;&lt;wsp:rsid wsp:val=&quot;00F11004&quot;/&gt;&lt;wsp:rsid wsp:val=&quot;00F1123F&quot;/&gt;&lt;wsp:rsid wsp:val=&quot;00F11260&quot;/&gt;&lt;wsp:rsid wsp:val=&quot;00F1126B&quot;/&gt;&lt;wsp:rsid wsp:val=&quot;00F11280&quot;/&gt;&lt;wsp:rsid wsp:val=&quot;00F11782&quot;/&gt;&lt;wsp:rsid wsp:val=&quot;00F11AA8&quot;/&gt;&lt;wsp:rsid wsp:val=&quot;00F11F8D&quot;/&gt;&lt;wsp:rsid wsp:val=&quot;00F12000&quot;/&gt;&lt;wsp:rsid wsp:val=&quot;00F1226F&quot;/&gt;&lt;wsp:rsid wsp:val=&quot;00F1245B&quot;/&gt;&lt;wsp:rsid wsp:val=&quot;00F12540&quot;/&gt;&lt;wsp:rsid wsp:val=&quot;00F1290E&quot;/&gt;&lt;wsp:rsid wsp:val=&quot;00F12BF6&quot;/&gt;&lt;wsp:rsid wsp:val=&quot;00F12F98&quot;/&gt;&lt;wsp:rsid wsp:val=&quot;00F13075&quot;/&gt;&lt;wsp:rsid wsp:val=&quot;00F132A2&quot;/&gt;&lt;wsp:rsid wsp:val=&quot;00F134AF&quot;/&gt;&lt;wsp:rsid wsp:val=&quot;00F13608&quot;/&gt;&lt;wsp:rsid wsp:val=&quot;00F13713&quot;/&gt;&lt;wsp:rsid wsp:val=&quot;00F13AB4&quot;/&gt;&lt;wsp:rsid wsp:val=&quot;00F13C47&quot;/&gt;&lt;wsp:rsid wsp:val=&quot;00F13DB9&quot;/&gt;&lt;wsp:rsid wsp:val=&quot;00F1491B&quot;/&gt;&lt;wsp:rsid wsp:val=&quot;00F14BE6&quot;/&gt;&lt;wsp:rsid wsp:val=&quot;00F153D9&quot;/&gt;&lt;wsp:rsid wsp:val=&quot;00F1544B&quot;/&gt;&lt;wsp:rsid wsp:val=&quot;00F15C05&quot;/&gt;&lt;wsp:rsid wsp:val=&quot;00F15C95&quot;/&gt;&lt;wsp:rsid wsp:val=&quot;00F15D94&quot;/&gt;&lt;wsp:rsid wsp:val=&quot;00F162B0&quot;/&gt;&lt;wsp:rsid wsp:val=&quot;00F16509&quot;/&gt;&lt;wsp:rsid wsp:val=&quot;00F165E8&quot;/&gt;&lt;wsp:rsid wsp:val=&quot;00F16982&quot;/&gt;&lt;wsp:rsid wsp:val=&quot;00F16BBE&quot;/&gt;&lt;wsp:rsid wsp:val=&quot;00F16BE5&quot;/&gt;&lt;wsp:rsid wsp:val=&quot;00F16E3B&quot;/&gt;&lt;wsp:rsid wsp:val=&quot;00F16EBC&quot;/&gt;&lt;wsp:rsid wsp:val=&quot;00F171E9&quot;/&gt;&lt;wsp:rsid wsp:val=&quot;00F17511&quot;/&gt;&lt;wsp:rsid wsp:val=&quot;00F17CED&quot;/&gt;&lt;wsp:rsid wsp:val=&quot;00F20399&quot;/&gt;&lt;wsp:rsid wsp:val=&quot;00F20586&quot;/&gt;&lt;wsp:rsid wsp:val=&quot;00F2069C&quot;/&gt;&lt;wsp:rsid wsp:val=&quot;00F20991&quot;/&gt;&lt;wsp:rsid wsp:val=&quot;00F209DC&quot;/&gt;&lt;wsp:rsid wsp:val=&quot;00F20B5D&quot;/&gt;&lt;wsp:rsid wsp:val=&quot;00F2119F&quot;/&gt;&lt;wsp:rsid wsp:val=&quot;00F214C8&quot;/&gt;&lt;wsp:rsid wsp:val=&quot;00F217BB&quot;/&gt;&lt;wsp:rsid wsp:val=&quot;00F21BB3&quot;/&gt;&lt;wsp:rsid wsp:val=&quot;00F220BD&quot;/&gt;&lt;wsp:rsid wsp:val=&quot;00F22245&quot;/&gt;&lt;wsp:rsid wsp:val=&quot;00F22432&quot;/&gt;&lt;wsp:rsid wsp:val=&quot;00F22D42&quot;/&gt;&lt;wsp:rsid wsp:val=&quot;00F22D63&quot;/&gt;&lt;wsp:rsid wsp:val=&quot;00F23926&quot;/&gt;&lt;wsp:rsid wsp:val=&quot;00F23988&quot;/&gt;&lt;wsp:rsid wsp:val=&quot;00F239DB&quot;/&gt;&lt;wsp:rsid wsp:val=&quot;00F248B6&quot;/&gt;&lt;wsp:rsid wsp:val=&quot;00F25BA1&quot;/&gt;&lt;wsp:rsid wsp:val=&quot;00F25F4F&quot;/&gt;&lt;wsp:rsid wsp:val=&quot;00F25F66&quot;/&gt;&lt;wsp:rsid wsp:val=&quot;00F26186&quot;/&gt;&lt;wsp:rsid wsp:val=&quot;00F26946&quot;/&gt;&lt;wsp:rsid wsp:val=&quot;00F2697D&quot;/&gt;&lt;wsp:rsid wsp:val=&quot;00F26E0B&quot;/&gt;&lt;wsp:rsid wsp:val=&quot;00F26FC9&quot;/&gt;&lt;wsp:rsid wsp:val=&quot;00F270EB&quot;/&gt;&lt;wsp:rsid wsp:val=&quot;00F276A7&quot;/&gt;&lt;wsp:rsid wsp:val=&quot;00F27FFC&quot;/&gt;&lt;wsp:rsid wsp:val=&quot;00F306BB&quot;/&gt;&lt;wsp:rsid wsp:val=&quot;00F30864&quot;/&gt;&lt;wsp:rsid wsp:val=&quot;00F30DB2&quot;/&gt;&lt;wsp:rsid wsp:val=&quot;00F30E0A&quot;/&gt;&lt;wsp:rsid wsp:val=&quot;00F30E1F&quot;/&gt;&lt;wsp:rsid wsp:val=&quot;00F30E53&quot;/&gt;&lt;wsp:rsid wsp:val=&quot;00F30ECA&quot;/&gt;&lt;wsp:rsid wsp:val=&quot;00F30F2F&quot;/&gt;&lt;wsp:rsid wsp:val=&quot;00F3114F&quot;/&gt;&lt;wsp:rsid wsp:val=&quot;00F31374&quot;/&gt;&lt;wsp:rsid wsp:val=&quot;00F31531&quot;/&gt;&lt;wsp:rsid wsp:val=&quot;00F315FD&quot;/&gt;&lt;wsp:rsid wsp:val=&quot;00F32CC9&quot;/&gt;&lt;wsp:rsid wsp:val=&quot;00F32D06&quot;/&gt;&lt;wsp:rsid wsp:val=&quot;00F32F61&quot;/&gt;&lt;wsp:rsid wsp:val=&quot;00F3306C&quot;/&gt;&lt;wsp:rsid wsp:val=&quot;00F330A7&quot;/&gt;&lt;wsp:rsid wsp:val=&quot;00F332C8&quot;/&gt;&lt;wsp:rsid wsp:val=&quot;00F334E2&quot;/&gt;&lt;wsp:rsid wsp:val=&quot;00F33D91&quot;/&gt;&lt;wsp:rsid wsp:val=&quot;00F3452C&quot;/&gt;&lt;wsp:rsid wsp:val=&quot;00F34EFB&quot;/&gt;&lt;wsp:rsid wsp:val=&quot;00F34F7B&quot;/&gt;&lt;wsp:rsid wsp:val=&quot;00F3510B&quot;/&gt;&lt;wsp:rsid wsp:val=&quot;00F35798&quot;/&gt;&lt;wsp:rsid wsp:val=&quot;00F36084&quot;/&gt;&lt;wsp:rsid wsp:val=&quot;00F36644&quot;/&gt;&lt;wsp:rsid wsp:val=&quot;00F3720A&quot;/&gt;&lt;wsp:rsid wsp:val=&quot;00F3737B&quot;/&gt;&lt;wsp:rsid wsp:val=&quot;00F3746E&quot;/&gt;&lt;wsp:rsid wsp:val=&quot;00F378D0&quot;/&gt;&lt;wsp:rsid wsp:val=&quot;00F4014F&quot;/&gt;&lt;wsp:rsid wsp:val=&quot;00F40169&quot;/&gt;&lt;wsp:rsid wsp:val=&quot;00F40E08&quot;/&gt;&lt;wsp:rsid wsp:val=&quot;00F40E6C&quot;/&gt;&lt;wsp:rsid wsp:val=&quot;00F41130&quot;/&gt;&lt;wsp:rsid wsp:val=&quot;00F41547&quot;/&gt;&lt;wsp:rsid wsp:val=&quot;00F41755&quot;/&gt;&lt;wsp:rsid wsp:val=&quot;00F41C49&quot;/&gt;&lt;wsp:rsid wsp:val=&quot;00F42189&quot;/&gt;&lt;wsp:rsid wsp:val=&quot;00F4257D&quot;/&gt;&lt;wsp:rsid wsp:val=&quot;00F425C6&quot;/&gt;&lt;wsp:rsid wsp:val=&quot;00F42938&quot;/&gt;&lt;wsp:rsid wsp:val=&quot;00F429A0&quot;/&gt;&lt;wsp:rsid wsp:val=&quot;00F42A33&quot;/&gt;&lt;wsp:rsid wsp:val=&quot;00F42D66&quot;/&gt;&lt;wsp:rsid wsp:val=&quot;00F4309F&quot;/&gt;&lt;wsp:rsid wsp:val=&quot;00F43281&quot;/&gt;&lt;wsp:rsid wsp:val=&quot;00F4349A&quot;/&gt;&lt;wsp:rsid wsp:val=&quot;00F435B7&quot;/&gt;&lt;wsp:rsid wsp:val=&quot;00F43749&quot;/&gt;&lt;wsp:rsid wsp:val=&quot;00F43B29&quot;/&gt;&lt;wsp:rsid wsp:val=&quot;00F44116&quot;/&gt;&lt;wsp:rsid wsp:val=&quot;00F4420F&quot;/&gt;&lt;wsp:rsid wsp:val=&quot;00F44464&quot;/&gt;&lt;wsp:rsid wsp:val=&quot;00F45A2D&quot;/&gt;&lt;wsp:rsid wsp:val=&quot;00F45B5C&quot;/&gt;&lt;wsp:rsid wsp:val=&quot;00F45E2F&quot;/&gt;&lt;wsp:rsid wsp:val=&quot;00F4666B&quot;/&gt;&lt;wsp:rsid wsp:val=&quot;00F468B3&quot;/&gt;&lt;wsp:rsid wsp:val=&quot;00F46947&quot;/&gt;&lt;wsp:rsid wsp:val=&quot;00F46BBC&quot;/&gt;&lt;wsp:rsid wsp:val=&quot;00F47164&quot;/&gt;&lt;wsp:rsid wsp:val=&quot;00F47605&quot;/&gt;&lt;wsp:rsid wsp:val=&quot;00F4791C&quot;/&gt;&lt;wsp:rsid wsp:val=&quot;00F50B49&quot;/&gt;&lt;wsp:rsid wsp:val=&quot;00F50BFE&quot;/&gt;&lt;wsp:rsid wsp:val=&quot;00F50CB7&quot;/&gt;&lt;wsp:rsid wsp:val=&quot;00F50D52&quot;/&gt;&lt;wsp:rsid wsp:val=&quot;00F50E3D&quot;/&gt;&lt;wsp:rsid wsp:val=&quot;00F510DF&quot;/&gt;&lt;wsp:rsid wsp:val=&quot;00F5130C&quot;/&gt;&lt;wsp:rsid wsp:val=&quot;00F515BE&quot;/&gt;&lt;wsp:rsid wsp:val=&quot;00F51774&quot;/&gt;&lt;wsp:rsid wsp:val=&quot;00F51AE6&quot;/&gt;&lt;wsp:rsid wsp:val=&quot;00F51CB1&quot;/&gt;&lt;wsp:rsid wsp:val=&quot;00F51E79&quot;/&gt;&lt;wsp:rsid wsp:val=&quot;00F51FFA&quot;/&gt;&lt;wsp:rsid wsp:val=&quot;00F52361&quot;/&gt;&lt;wsp:rsid wsp:val=&quot;00F524A7&quot;/&gt;&lt;wsp:rsid wsp:val=&quot;00F533D1&quot;/&gt;&lt;wsp:rsid wsp:val=&quot;00F534D4&quot;/&gt;&lt;wsp:rsid wsp:val=&quot;00F53523&quot;/&gt;&lt;wsp:rsid wsp:val=&quot;00F535F4&quot;/&gt;&lt;wsp:rsid wsp:val=&quot;00F53D3A&quot;/&gt;&lt;wsp:rsid wsp:val=&quot;00F53DD9&quot;/&gt;&lt;wsp:rsid wsp:val=&quot;00F54446&quot;/&gt;&lt;wsp:rsid wsp:val=&quot;00F5463A&quot;/&gt;&lt;wsp:rsid wsp:val=&quot;00F549C9&quot;/&gt;&lt;wsp:rsid wsp:val=&quot;00F54D7E&quot;/&gt;&lt;wsp:rsid wsp:val=&quot;00F54EF2&quot;/&gt;&lt;wsp:rsid wsp:val=&quot;00F553A0&quot;/&gt;&lt;wsp:rsid wsp:val=&quot;00F553F3&quot;/&gt;&lt;wsp:rsid wsp:val=&quot;00F55717&quot;/&gt;&lt;wsp:rsid wsp:val=&quot;00F557A0&quot;/&gt;&lt;wsp:rsid wsp:val=&quot;00F55827&quot;/&gt;&lt;wsp:rsid wsp:val=&quot;00F559F1&quot;/&gt;&lt;wsp:rsid wsp:val=&quot;00F55C4B&quot;/&gt;&lt;wsp:rsid wsp:val=&quot;00F56030&quot;/&gt;&lt;wsp:rsid wsp:val=&quot;00F56198&quot;/&gt;&lt;wsp:rsid wsp:val=&quot;00F56346&quot;/&gt;&lt;wsp:rsid wsp:val=&quot;00F56A8D&quot;/&gt;&lt;wsp:rsid wsp:val=&quot;00F56D1D&quot;/&gt;&lt;wsp:rsid wsp:val=&quot;00F56D8D&quot;/&gt;&lt;wsp:rsid wsp:val=&quot;00F56F57&quot;/&gt;&lt;wsp:rsid wsp:val=&quot;00F57A19&quot;/&gt;&lt;wsp:rsid wsp:val=&quot;00F57AD3&quot;/&gt;&lt;wsp:rsid wsp:val=&quot;00F57DBF&quot;/&gt;&lt;wsp:rsid wsp:val=&quot;00F60254&quot;/&gt;&lt;wsp:rsid wsp:val=&quot;00F60780&quot;/&gt;&lt;wsp:rsid wsp:val=&quot;00F610E2&quot;/&gt;&lt;wsp:rsid wsp:val=&quot;00F611C7&quot;/&gt;&lt;wsp:rsid wsp:val=&quot;00F61226&quot;/&gt;&lt;wsp:rsid wsp:val=&quot;00F614D7&quot;/&gt;&lt;wsp:rsid wsp:val=&quot;00F61649&quot;/&gt;&lt;wsp:rsid wsp:val=&quot;00F6170F&quot;/&gt;&lt;wsp:rsid wsp:val=&quot;00F61B5A&quot;/&gt;&lt;wsp:rsid wsp:val=&quot;00F61EF1&quot;/&gt;&lt;wsp:rsid wsp:val=&quot;00F6263C&quot;/&gt;&lt;wsp:rsid wsp:val=&quot;00F62D8E&quot;/&gt;&lt;wsp:rsid wsp:val=&quot;00F6324B&quot;/&gt;&lt;wsp:rsid wsp:val=&quot;00F632CF&quot;/&gt;&lt;wsp:rsid wsp:val=&quot;00F633DF&quot;/&gt;&lt;wsp:rsid wsp:val=&quot;00F635EB&quot;/&gt;&lt;wsp:rsid wsp:val=&quot;00F636D8&quot;/&gt;&lt;wsp:rsid wsp:val=&quot;00F63B09&quot;/&gt;&lt;wsp:rsid wsp:val=&quot;00F63CD5&quot;/&gt;&lt;wsp:rsid wsp:val=&quot;00F63D5A&quot;/&gt;&lt;wsp:rsid wsp:val=&quot;00F63D6F&quot;/&gt;&lt;wsp:rsid wsp:val=&quot;00F63EE9&quot;/&gt;&lt;wsp:rsid wsp:val=&quot;00F64154&quot;/&gt;&lt;wsp:rsid wsp:val=&quot;00F64265&quot;/&gt;&lt;wsp:rsid wsp:val=&quot;00F64337&quot;/&gt;&lt;wsp:rsid wsp:val=&quot;00F64483&quot;/&gt;&lt;wsp:rsid wsp:val=&quot;00F6553F&quot;/&gt;&lt;wsp:rsid wsp:val=&quot;00F6560A&quot;/&gt;&lt;wsp:rsid wsp:val=&quot;00F65768&quot;/&gt;&lt;wsp:rsid wsp:val=&quot;00F65908&quot;/&gt;&lt;wsp:rsid wsp:val=&quot;00F65A7E&quot;/&gt;&lt;wsp:rsid wsp:val=&quot;00F66318&quot;/&gt;&lt;wsp:rsid wsp:val=&quot;00F66610&quot;/&gt;&lt;wsp:rsid wsp:val=&quot;00F66707&quot;/&gt;&lt;wsp:rsid wsp:val=&quot;00F66708&quot;/&gt;&lt;wsp:rsid wsp:val=&quot;00F66F00&quot;/&gt;&lt;wsp:rsid wsp:val=&quot;00F66FAB&quot;/&gt;&lt;wsp:rsid wsp:val=&quot;00F67415&quot;/&gt;&lt;wsp:rsid wsp:val=&quot;00F6753F&quot;/&gt;&lt;wsp:rsid wsp:val=&quot;00F67AC2&quot;/&gt;&lt;wsp:rsid wsp:val=&quot;00F67CB4&quot;/&gt;&lt;wsp:rsid wsp:val=&quot;00F67CEB&quot;/&gt;&lt;wsp:rsid wsp:val=&quot;00F67D22&quot;/&gt;&lt;wsp:rsid wsp:val=&quot;00F67FFB&quot;/&gt;&lt;wsp:rsid wsp:val=&quot;00F70430&quot;/&gt;&lt;wsp:rsid wsp:val=&quot;00F706B8&quot;/&gt;&lt;wsp:rsid wsp:val=&quot;00F7081B&quot;/&gt;&lt;wsp:rsid wsp:val=&quot;00F70F04&quot;/&gt;&lt;wsp:rsid wsp:val=&quot;00F710CE&quot;/&gt;&lt;wsp:rsid wsp:val=&quot;00F71249&quot;/&gt;&lt;wsp:rsid wsp:val=&quot;00F715F9&quot;/&gt;&lt;wsp:rsid wsp:val=&quot;00F71C31&quot;/&gt;&lt;wsp:rsid wsp:val=&quot;00F71D0F&quot;/&gt;&lt;wsp:rsid wsp:val=&quot;00F7207F&quot;/&gt;&lt;wsp:rsid wsp:val=&quot;00F72142&quot;/&gt;&lt;wsp:rsid wsp:val=&quot;00F72156&quot;/&gt;&lt;wsp:rsid wsp:val=&quot;00F72FB8&quot;/&gt;&lt;wsp:rsid wsp:val=&quot;00F73302&quot;/&gt;&lt;wsp:rsid wsp:val=&quot;00F7366E&quot;/&gt;&lt;wsp:rsid wsp:val=&quot;00F738C0&quot;/&gt;&lt;wsp:rsid wsp:val=&quot;00F74BDB&quot;/&gt;&lt;wsp:rsid wsp:val=&quot;00F74DA1&quot;/&gt;&lt;wsp:rsid wsp:val=&quot;00F74FBC&quot;/&gt;&lt;wsp:rsid wsp:val=&quot;00F75343&quot;/&gt;&lt;wsp:rsid wsp:val=&quot;00F75733&quot;/&gt;&lt;wsp:rsid wsp:val=&quot;00F75983&quot;/&gt;&lt;wsp:rsid wsp:val=&quot;00F75995&quot;/&gt;&lt;wsp:rsid wsp:val=&quot;00F75B2C&quot;/&gt;&lt;wsp:rsid wsp:val=&quot;00F75E73&quot;/&gt;&lt;wsp:rsid wsp:val=&quot;00F75F1C&quot;/&gt;&lt;wsp:rsid wsp:val=&quot;00F76507&quot;/&gt;&lt;wsp:rsid wsp:val=&quot;00F76DE0&quot;/&gt;&lt;wsp:rsid wsp:val=&quot;00F772CB&quot;/&gt;&lt;wsp:rsid wsp:val=&quot;00F77526&quot;/&gt;&lt;wsp:rsid wsp:val=&quot;00F77867&quot;/&gt;&lt;wsp:rsid wsp:val=&quot;00F77A01&quot;/&gt;&lt;wsp:rsid wsp:val=&quot;00F77D4D&quot;/&gt;&lt;wsp:rsid wsp:val=&quot;00F80059&quot;/&gt;&lt;wsp:rsid wsp:val=&quot;00F800B6&quot;/&gt;&lt;wsp:rsid wsp:val=&quot;00F8013D&quot;/&gt;&lt;wsp:rsid wsp:val=&quot;00F8064C&quot;/&gt;&lt;wsp:rsid wsp:val=&quot;00F8097E&quot;/&gt;&lt;wsp:rsid wsp:val=&quot;00F80FD7&quot;/&gt;&lt;wsp:rsid wsp:val=&quot;00F815EB&quot;/&gt;&lt;wsp:rsid wsp:val=&quot;00F81FFE&quot;/&gt;&lt;wsp:rsid wsp:val=&quot;00F8227B&quot;/&gt;&lt;wsp:rsid wsp:val=&quot;00F82E2E&quot;/&gt;&lt;wsp:rsid wsp:val=&quot;00F830B3&quot;/&gt;&lt;wsp:rsid wsp:val=&quot;00F831CE&quot;/&gt;&lt;wsp:rsid wsp:val=&quot;00F83617&quot;/&gt;&lt;wsp:rsid wsp:val=&quot;00F83C98&quot;/&gt;&lt;wsp:rsid wsp:val=&quot;00F84063&quot;/&gt;&lt;wsp:rsid wsp:val=&quot;00F84147&quot;/&gt;&lt;wsp:rsid wsp:val=&quot;00F843A5&quot;/&gt;&lt;wsp:rsid wsp:val=&quot;00F84777&quot;/&gt;&lt;wsp:rsid wsp:val=&quot;00F84B77&quot;/&gt;&lt;wsp:rsid wsp:val=&quot;00F8559F&quot;/&gt;&lt;wsp:rsid wsp:val=&quot;00F85738&quot;/&gt;&lt;wsp:rsid wsp:val=&quot;00F859C5&quot;/&gt;&lt;wsp:rsid wsp:val=&quot;00F85D84&quot;/&gt;&lt;wsp:rsid wsp:val=&quot;00F85E7A&quot;/&gt;&lt;wsp:rsid wsp:val=&quot;00F8609A&quot;/&gt;&lt;wsp:rsid wsp:val=&quot;00F86338&quot;/&gt;&lt;wsp:rsid wsp:val=&quot;00F8693C&quot;/&gt;&lt;wsp:rsid wsp:val=&quot;00F86FFC&quot;/&gt;&lt;wsp:rsid wsp:val=&quot;00F871F6&quot;/&gt;&lt;wsp:rsid wsp:val=&quot;00F87838&quot;/&gt;&lt;wsp:rsid wsp:val=&quot;00F87867&quot;/&gt;&lt;wsp:rsid wsp:val=&quot;00F8786C&quot;/&gt;&lt;wsp:rsid wsp:val=&quot;00F900C4&quot;/&gt;&lt;wsp:rsid wsp:val=&quot;00F90109&quot;/&gt;&lt;wsp:rsid wsp:val=&quot;00F90192&quot;/&gt;&lt;wsp:rsid wsp:val=&quot;00F90A4C&quot;/&gt;&lt;wsp:rsid wsp:val=&quot;00F90A62&quot;/&gt;&lt;wsp:rsid wsp:val=&quot;00F90DE3&quot;/&gt;&lt;wsp:rsid wsp:val=&quot;00F91036&quot;/&gt;&lt;wsp:rsid wsp:val=&quot;00F915B0&quot;/&gt;&lt;wsp:rsid wsp:val=&quot;00F91F1B&quot;/&gt;&lt;wsp:rsid wsp:val=&quot;00F92253&quot;/&gt;&lt;wsp:rsid wsp:val=&quot;00F92447&quot;/&gt;&lt;wsp:rsid wsp:val=&quot;00F92CC4&quot;/&gt;&lt;wsp:rsid wsp:val=&quot;00F92DAA&quot;/&gt;&lt;wsp:rsid wsp:val=&quot;00F92EE6&quot;/&gt;&lt;wsp:rsid wsp:val=&quot;00F92FDD&quot;/&gt;&lt;wsp:rsid wsp:val=&quot;00F930C4&quot;/&gt;&lt;wsp:rsid wsp:val=&quot;00F932FB&quot;/&gt;&lt;wsp:rsid wsp:val=&quot;00F934B8&quot;/&gt;&lt;wsp:rsid wsp:val=&quot;00F9371D&quot;/&gt;&lt;wsp:rsid wsp:val=&quot;00F938A4&quot;/&gt;&lt;wsp:rsid wsp:val=&quot;00F93A2B&quot;/&gt;&lt;wsp:rsid wsp:val=&quot;00F93A8D&quot;/&gt;&lt;wsp:rsid wsp:val=&quot;00F93B83&quot;/&gt;&lt;wsp:rsid wsp:val=&quot;00F93D94&quot;/&gt;&lt;wsp:rsid wsp:val=&quot;00F93E13&quot;/&gt;&lt;wsp:rsid wsp:val=&quot;00F94910&quot;/&gt;&lt;wsp:rsid wsp:val=&quot;00F94927&quot;/&gt;&lt;wsp:rsid wsp:val=&quot;00F94B0C&quot;/&gt;&lt;wsp:rsid wsp:val=&quot;00F94C0B&quot;/&gt;&lt;wsp:rsid wsp:val=&quot;00F95AEB&quot;/&gt;&lt;wsp:rsid wsp:val=&quot;00F95EAF&quot;/&gt;&lt;wsp:rsid wsp:val=&quot;00F95EE3&quot;/&gt;&lt;wsp:rsid wsp:val=&quot;00F96327&quot;/&gt;&lt;wsp:rsid wsp:val=&quot;00F96387&quot;/&gt;&lt;wsp:rsid wsp:val=&quot;00F96ABC&quot;/&gt;&lt;wsp:rsid wsp:val=&quot;00F96C7A&quot;/&gt;&lt;wsp:rsid wsp:val=&quot;00F97541&quot;/&gt;&lt;wsp:rsid wsp:val=&quot;00F9773A&quot;/&gt;&lt;wsp:rsid wsp:val=&quot;00F97F36&quot;/&gt;&lt;wsp:rsid wsp:val=&quot;00FA00A0&quot;/&gt;&lt;wsp:rsid wsp:val=&quot;00FA01C0&quot;/&gt;&lt;wsp:rsid wsp:val=&quot;00FA033C&quot;/&gt;&lt;wsp:rsid wsp:val=&quot;00FA04BE&quot;/&gt;&lt;wsp:rsid wsp:val=&quot;00FA05F4&quot;/&gt;&lt;wsp:rsid wsp:val=&quot;00FA0C1B&quot;/&gt;&lt;wsp:rsid wsp:val=&quot;00FA1B8C&quot;/&gt;&lt;wsp:rsid wsp:val=&quot;00FA1BC3&quot;/&gt;&lt;wsp:rsid wsp:val=&quot;00FA1DE7&quot;/&gt;&lt;wsp:rsid wsp:val=&quot;00FA2244&quot;/&gt;&lt;wsp:rsid wsp:val=&quot;00FA2540&quot;/&gt;&lt;wsp:rsid wsp:val=&quot;00FA26BE&quot;/&gt;&lt;wsp:rsid wsp:val=&quot;00FA2818&quot;/&gt;&lt;wsp:rsid wsp:val=&quot;00FA2A08&quot;/&gt;&lt;wsp:rsid wsp:val=&quot;00FA2A8E&quot;/&gt;&lt;wsp:rsid wsp:val=&quot;00FA30F6&quot;/&gt;&lt;wsp:rsid wsp:val=&quot;00FA32BD&quot;/&gt;&lt;wsp:rsid wsp:val=&quot;00FA34AC&quot;/&gt;&lt;wsp:rsid wsp:val=&quot;00FA3BCD&quot;/&gt;&lt;wsp:rsid wsp:val=&quot;00FA3F2B&quot;/&gt;&lt;wsp:rsid wsp:val=&quot;00FA41C1&quot;/&gt;&lt;wsp:rsid wsp:val=&quot;00FA4765&quot;/&gt;&lt;wsp:rsid wsp:val=&quot;00FA49C8&quot;/&gt;&lt;wsp:rsid wsp:val=&quot;00FA4FBA&quot;/&gt;&lt;wsp:rsid wsp:val=&quot;00FA504F&quot;/&gt;&lt;wsp:rsid wsp:val=&quot;00FA5CE8&quot;/&gt;&lt;wsp:rsid wsp:val=&quot;00FA60DF&quot;/&gt;&lt;wsp:rsid wsp:val=&quot;00FA67C6&quot;/&gt;&lt;wsp:rsid wsp:val=&quot;00FA6C93&quot;/&gt;&lt;wsp:rsid wsp:val=&quot;00FA764F&quot;/&gt;&lt;wsp:rsid wsp:val=&quot;00FA7B49&quot;/&gt;&lt;wsp:rsid wsp:val=&quot;00FA7FD0&quot;/&gt;&lt;wsp:rsid wsp:val=&quot;00FB00AE&quot;/&gt;&lt;wsp:rsid wsp:val=&quot;00FB045A&quot;/&gt;&lt;wsp:rsid wsp:val=&quot;00FB05A8&quot;/&gt;&lt;wsp:rsid wsp:val=&quot;00FB06EE&quot;/&gt;&lt;wsp:rsid wsp:val=&quot;00FB0D00&quot;/&gt;&lt;wsp:rsid wsp:val=&quot;00FB0F95&quot;/&gt;&lt;wsp:rsid wsp:val=&quot;00FB12DD&quot;/&gt;&lt;wsp:rsid wsp:val=&quot;00FB1C96&quot;/&gt;&lt;wsp:rsid wsp:val=&quot;00FB2222&quot;/&gt;&lt;wsp:rsid wsp:val=&quot;00FB230F&quot;/&gt;&lt;wsp:rsid wsp:val=&quot;00FB26CE&quot;/&gt;&lt;wsp:rsid wsp:val=&quot;00FB2C27&quot;/&gt;&lt;wsp:rsid wsp:val=&quot;00FB3464&quot;/&gt;&lt;wsp:rsid wsp:val=&quot;00FB36A0&quot;/&gt;&lt;wsp:rsid wsp:val=&quot;00FB378F&quot;/&gt;&lt;wsp:rsid wsp:val=&quot;00FB3CA8&quot;/&gt;&lt;wsp:rsid wsp:val=&quot;00FB3D65&quot;/&gt;&lt;wsp:rsid wsp:val=&quot;00FB4896&quot;/&gt;&lt;wsp:rsid wsp:val=&quot;00FB49C9&quot;/&gt;&lt;wsp:rsid wsp:val=&quot;00FB5479&quot;/&gt;&lt;wsp:rsid wsp:val=&quot;00FB5BE0&quot;/&gt;&lt;wsp:rsid wsp:val=&quot;00FB66DF&quot;/&gt;&lt;wsp:rsid wsp:val=&quot;00FB67FB&quot;/&gt;&lt;wsp:rsid wsp:val=&quot;00FB68B4&quot;/&gt;&lt;wsp:rsid wsp:val=&quot;00FB6D37&quot;/&gt;&lt;wsp:rsid wsp:val=&quot;00FB6FE3&quot;/&gt;&lt;wsp:rsid wsp:val=&quot;00FB7158&quot;/&gt;&lt;wsp:rsid wsp:val=&quot;00FB726C&quot;/&gt;&lt;wsp:rsid wsp:val=&quot;00FB75F6&quot;/&gt;&lt;wsp:rsid wsp:val=&quot;00FC0929&quot;/&gt;&lt;wsp:rsid wsp:val=&quot;00FC0B69&quot;/&gt;&lt;wsp:rsid wsp:val=&quot;00FC0DD7&quot;/&gt;&lt;wsp:rsid wsp:val=&quot;00FC15A1&quot;/&gt;&lt;wsp:rsid wsp:val=&quot;00FC15B6&quot;/&gt;&lt;wsp:rsid wsp:val=&quot;00FC1E7C&quot;/&gt;&lt;wsp:rsid wsp:val=&quot;00FC211A&quot;/&gt;&lt;wsp:rsid wsp:val=&quot;00FC24EE&quot;/&gt;&lt;wsp:rsid wsp:val=&quot;00FC2522&quot;/&gt;&lt;wsp:rsid wsp:val=&quot;00FC2C55&quot;/&gt;&lt;wsp:rsid wsp:val=&quot;00FC312E&quot;/&gt;&lt;wsp:rsid wsp:val=&quot;00FC346A&quot;/&gt;&lt;wsp:rsid wsp:val=&quot;00FC3BE2&quot;/&gt;&lt;wsp:rsid wsp:val=&quot;00FC3F56&quot;/&gt;&lt;wsp:rsid wsp:val=&quot;00FC42D9&quot;/&gt;&lt;wsp:rsid wsp:val=&quot;00FC49F9&quot;/&gt;&lt;wsp:rsid wsp:val=&quot;00FC4F0F&quot;/&gt;&lt;wsp:rsid wsp:val=&quot;00FC4F67&quot;/&gt;&lt;wsp:rsid wsp:val=&quot;00FC509E&quot;/&gt;&lt;wsp:rsid wsp:val=&quot;00FC525E&quot;/&gt;&lt;wsp:rsid wsp:val=&quot;00FC55B4&quot;/&gt;&lt;wsp:rsid wsp:val=&quot;00FC5ADA&quot;/&gt;&lt;wsp:rsid wsp:val=&quot;00FC60AF&quot;/&gt;&lt;wsp:rsid wsp:val=&quot;00FC6224&quot;/&gt;&lt;wsp:rsid wsp:val=&quot;00FC6496&quot;/&gt;&lt;wsp:rsid wsp:val=&quot;00FC6906&quot;/&gt;&lt;wsp:rsid wsp:val=&quot;00FC69CA&quot;/&gt;&lt;wsp:rsid wsp:val=&quot;00FC6B75&quot;/&gt;&lt;wsp:rsid wsp:val=&quot;00FC7632&quot;/&gt;&lt;wsp:rsid wsp:val=&quot;00FC7807&quot;/&gt;&lt;wsp:rsid wsp:val=&quot;00FC7B72&quot;/&gt;&lt;wsp:rsid wsp:val=&quot;00FC7D2A&quot;/&gt;&lt;wsp:rsid wsp:val=&quot;00FC7F6A&quot;/&gt;&lt;wsp:rsid wsp:val=&quot;00FD01AC&quot;/&gt;&lt;wsp:rsid wsp:val=&quot;00FD01BA&quot;/&gt;&lt;wsp:rsid wsp:val=&quot;00FD06A4&quot;/&gt;&lt;wsp:rsid wsp:val=&quot;00FD0897&quot;/&gt;&lt;wsp:rsid wsp:val=&quot;00FD0912&quot;/&gt;&lt;wsp:rsid wsp:val=&quot;00FD10F6&quot;/&gt;&lt;wsp:rsid wsp:val=&quot;00FD12B2&quot;/&gt;&lt;wsp:rsid wsp:val=&quot;00FD12B3&quot;/&gt;&lt;wsp:rsid wsp:val=&quot;00FD1AE0&quot;/&gt;&lt;wsp:rsid wsp:val=&quot;00FD2D3C&quot;/&gt;&lt;wsp:rsid wsp:val=&quot;00FD375E&quot;/&gt;&lt;wsp:rsid wsp:val=&quot;00FD399B&quot;/&gt;&lt;wsp:rsid wsp:val=&quot;00FD3F7E&quot;/&gt;&lt;wsp:rsid wsp:val=&quot;00FD41C0&quot;/&gt;&lt;wsp:rsid wsp:val=&quot;00FD4CF6&quot;/&gt;&lt;wsp:rsid wsp:val=&quot;00FD5455&quot;/&gt;&lt;wsp:rsid wsp:val=&quot;00FD5531&quot;/&gt;&lt;wsp:rsid wsp:val=&quot;00FD584E&quot;/&gt;&lt;wsp:rsid wsp:val=&quot;00FD5AE7&quot;/&gt;&lt;wsp:rsid wsp:val=&quot;00FD5F9D&quot;/&gt;&lt;wsp:rsid wsp:val=&quot;00FD618D&quot;/&gt;&lt;wsp:rsid wsp:val=&quot;00FD66C9&quot;/&gt;&lt;wsp:rsid wsp:val=&quot;00FD6D27&quot;/&gt;&lt;wsp:rsid wsp:val=&quot;00FD6F86&quot;/&gt;&lt;wsp:rsid wsp:val=&quot;00FD75D7&quot;/&gt;&lt;wsp:rsid wsp:val=&quot;00FD762F&quot;/&gt;&lt;wsp:rsid wsp:val=&quot;00FD76A1&quot;/&gt;&lt;wsp:rsid wsp:val=&quot;00FD7D93&quot;/&gt;&lt;wsp:rsid wsp:val=&quot;00FD7DE1&quot;/&gt;&lt;wsp:rsid wsp:val=&quot;00FE029E&quot;/&gt;&lt;wsp:rsid wsp:val=&quot;00FE036B&quot;/&gt;&lt;wsp:rsid wsp:val=&quot;00FE0473&quot;/&gt;&lt;wsp:rsid wsp:val=&quot;00FE051B&quot;/&gt;&lt;wsp:rsid wsp:val=&quot;00FE05F2&quot;/&gt;&lt;wsp:rsid wsp:val=&quot;00FE0609&quot;/&gt;&lt;wsp:rsid wsp:val=&quot;00FE08A0&quot;/&gt;&lt;wsp:rsid wsp:val=&quot;00FE0BA6&quot;/&gt;&lt;wsp:rsid wsp:val=&quot;00FE0C80&quot;/&gt;&lt;wsp:rsid wsp:val=&quot;00FE0EEB&quot;/&gt;&lt;wsp:rsid wsp:val=&quot;00FE1247&quot;/&gt;&lt;wsp:rsid wsp:val=&quot;00FE13FE&quot;/&gt;&lt;wsp:rsid wsp:val=&quot;00FE1543&quot;/&gt;&lt;wsp:rsid wsp:val=&quot;00FE174B&quot;/&gt;&lt;wsp:rsid wsp:val=&quot;00FE1BF0&quot;/&gt;&lt;wsp:rsid wsp:val=&quot;00FE1C12&quot;/&gt;&lt;wsp:rsid wsp:val=&quot;00FE23D2&quot;/&gt;&lt;wsp:rsid wsp:val=&quot;00FE2C75&quot;/&gt;&lt;wsp:rsid wsp:val=&quot;00FE2EA9&quot;/&gt;&lt;wsp:rsid wsp:val=&quot;00FE2F88&quot;/&gt;&lt;wsp:rsid wsp:val=&quot;00FE3205&quot;/&gt;&lt;wsp:rsid wsp:val=&quot;00FE3508&quot;/&gt;&lt;wsp:rsid wsp:val=&quot;00FE4194&quot;/&gt;&lt;wsp:rsid wsp:val=&quot;00FE4C69&quot;/&gt;&lt;wsp:rsid wsp:val=&quot;00FE50F5&quot;/&gt;&lt;wsp:rsid wsp:val=&quot;00FE5A67&quot;/&gt;&lt;wsp:rsid wsp:val=&quot;00FE5B4E&quot;/&gt;&lt;wsp:rsid wsp:val=&quot;00FE5BB6&quot;/&gt;&lt;wsp:rsid wsp:val=&quot;00FE5FE2&quot;/&gt;&lt;wsp:rsid wsp:val=&quot;00FE68AF&quot;/&gt;&lt;wsp:rsid wsp:val=&quot;00FE69FF&quot;/&gt;&lt;wsp:rsid wsp:val=&quot;00FE6B81&quot;/&gt;&lt;wsp:rsid wsp:val=&quot;00FE6F08&quot;/&gt;&lt;wsp:rsid wsp:val=&quot;00FE73DA&quot;/&gt;&lt;wsp:rsid wsp:val=&quot;00FE7461&quot;/&gt;&lt;wsp:rsid wsp:val=&quot;00FE7AE3&quot;/&gt;&lt;wsp:rsid wsp:val=&quot;00FE7B60&quot;/&gt;&lt;wsp:rsid wsp:val=&quot;00FE7DA7&quot;/&gt;&lt;wsp:rsid wsp:val=&quot;00FF008D&quot;/&gt;&lt;wsp:rsid wsp:val=&quot;00FF035A&quot;/&gt;&lt;wsp:rsid wsp:val=&quot;00FF0673&quot;/&gt;&lt;wsp:rsid wsp:val=&quot;00FF0D10&quot;/&gt;&lt;wsp:rsid wsp:val=&quot;00FF0F50&quot;/&gt;&lt;wsp:rsid wsp:val=&quot;00FF1047&quot;/&gt;&lt;wsp:rsid wsp:val=&quot;00FF14A9&quot;/&gt;&lt;wsp:rsid wsp:val=&quot;00FF1544&quot;/&gt;&lt;wsp:rsid wsp:val=&quot;00FF17EF&quot;/&gt;&lt;wsp:rsid wsp:val=&quot;00FF1913&quot;/&gt;&lt;wsp:rsid wsp:val=&quot;00FF1B3F&quot;/&gt;&lt;wsp:rsid wsp:val=&quot;00FF2053&quot;/&gt;&lt;wsp:rsid wsp:val=&quot;00FF21AF&quot;/&gt;&lt;wsp:rsid wsp:val=&quot;00FF23D4&quot;/&gt;&lt;wsp:rsid wsp:val=&quot;00FF2490&quot;/&gt;&lt;wsp:rsid wsp:val=&quot;00FF24C2&quot;/&gt;&lt;wsp:rsid wsp:val=&quot;00FF2651&quot;/&gt;&lt;wsp:rsid wsp:val=&quot;00FF2697&quot;/&gt;&lt;wsp:rsid wsp:val=&quot;00FF26E2&quot;/&gt;&lt;wsp:rsid wsp:val=&quot;00FF2FA3&quot;/&gt;&lt;wsp:rsid wsp:val=&quot;00FF3527&quot;/&gt;&lt;wsp:rsid wsp:val=&quot;00FF3F2D&quot;/&gt;&lt;wsp:rsid wsp:val=&quot;00FF3FDC&quot;/&gt;&lt;wsp:rsid wsp:val=&quot;00FF418C&quot;/&gt;&lt;wsp:rsid wsp:val=&quot;00FF458A&quot;/&gt;&lt;wsp:rsid wsp:val=&quot;00FF4B3E&quot;/&gt;&lt;wsp:rsid wsp:val=&quot;00FF4BC9&quot;/&gt;&lt;wsp:rsid wsp:val=&quot;00FF4BCD&quot;/&gt;&lt;wsp:rsid wsp:val=&quot;00FF4CE9&quot;/&gt;&lt;wsp:rsid wsp:val=&quot;00FF4F95&quot;/&gt;&lt;wsp:rsid wsp:val=&quot;00FF5096&quot;/&gt;&lt;wsp:rsid wsp:val=&quot;00FF529E&quot;/&gt;&lt;wsp:rsid wsp:val=&quot;00FF549F&quot;/&gt;&lt;wsp:rsid wsp:val=&quot;00FF54B7&quot;/&gt;&lt;wsp:rsid wsp:val=&quot;00FF5666&quot;/&gt;&lt;wsp:rsid wsp:val=&quot;00FF56A5&quot;/&gt;&lt;wsp:rsid wsp:val=&quot;00FF5BF6&quot;/&gt;&lt;wsp:rsid wsp:val=&quot;00FF5C6D&quot;/&gt;&lt;wsp:rsid wsp:val=&quot;00FF5C6E&quot;/&gt;&lt;wsp:rsid wsp:val=&quot;00FF633F&quot;/&gt;&lt;wsp:rsid wsp:val=&quot;00FF66CC&quot;/&gt;&lt;wsp:rsid wsp:val=&quot;00FF67D3&quot;/&gt;&lt;wsp:rsid wsp:val=&quot;00FF6B0E&quot;/&gt;&lt;wsp:rsid wsp:val=&quot;00FF6B43&quot;/&gt;&lt;wsp:rsid wsp:val=&quot;00FF6F3F&quot;/&gt;&lt;wsp:rsid wsp:val=&quot;00FF7328&quot;/&gt;&lt;wsp:rsid wsp:val=&quot;00FF7600&quot;/&gt;&lt;wsp:rsid wsp:val=&quot;00FF77A7&quot;/&gt;&lt;wsp:rsid wsp:val=&quot;00FF7B0F&quot;/&gt;&lt;wsp:rsid wsp:val=&quot;00FF7D42&quot;/&gt;&lt;wsp:rsid wsp:val=&quot;00FF7F25&quot;/&gt;&lt;/wsp:rsids&gt;&lt;/w:docPr&gt;&lt;w:body&gt;&lt;w:p wsp:rsidR=&quot;00000000&quot; wsp:rsidRDefault=&quot;00335C1F&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Q&lt;/m:t&gt;&lt;/m:r&gt;&lt;/m:e&gt;&lt;m:sub&gt;&lt;m:r&gt;&lt;w:rPr&gt;&lt;w:rFonts w:ascii=&quot;Cambria Math&quot; w:fareast=&quot;Times New Roman&quot; w:h-ansi=&quot;Cambria Math&quot;/&gt;&lt;wx:font wx:val=&quot;Cambria Math&quot;/&gt;&lt;w:i/&gt;&lt;w:sz w:val=&quot;28&quot;/&gt;&lt;w:sz-cs w:val=&quot;28&quot;/&gt;&lt;/w:rPr&gt;&lt;m:t&gt;0&lt;/m:t&gt;&lt;/m:r&gt;&lt;/m:sub&gt;&lt;/m:sSub&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rPr&gt;&lt;/m:ctrlPr&gt;&lt;/m:fPr&gt;&lt;m:num&gt;&lt;m:r&gt;&lt;w:rPr&gt;&lt;w:rFonts w:ascii=&quot;Cambria Math&quot; w:fareast=&quot;Times New Roman&quot; w:h-ansi=&quot;Cambria Math&quot;/&gt;&lt;wx:font wx:val=&quot;Cambria Math&quot;/&gt;&lt;w:i/&gt;&lt;w:sz w:val=&quot;28&quot;/&gt;&lt;w:sz-cs w:val=&quot;28&quot;/&gt;&lt;/w:rPr&gt;&lt;m:t&gt;nГ—dГ—&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V&lt;/m:t&gt;&lt;/m:r&gt;&lt;/m:e&gt;&lt;m:sub&gt;&lt;m:r&gt;&lt;w:rPr&gt;&lt;w:rFonts w:ascii=&quot;Cambria Math&quot; w:fareast=&quot;Times New Roman&quot; w:h-ansi=&quot;Cambria Math&quot;/&gt;&lt;wx:font wx:val=&quot;Cambria Math&quot;/&gt;&lt;w:i/&gt;&lt;w:sz w:val=&quot;28&quot;/&gt;&lt;w:sz-cs w:val=&quot;28&quot;/&gt;&lt;/w:rPr&gt;&lt;m:t&gt;r&lt;/m:t&gt;&lt;/m:r&gt;&lt;/m:sub&gt;&lt;/m:sSub&gt;&lt;/m:num&gt;&lt;m:den&gt;&lt;m:r&gt;&lt;w:rPr&gt;&lt;w:rFonts w:ascii=&quot;Cambria Math&quot; w:fareast=&quot;Times New Roman&quot; w:h-ansi=&quot;Cambria Math&quot;/&gt;&lt;wx:font wx:val=&quot;Cambria Math&quot;/&gt;&lt;w:i/&gt;&lt;w:sz w:val=&quot;28&quot;/&gt;&lt;w:sz-cs w:val=&quot;28&quot;/&gt;&lt;/w:rPr&gt;&lt;m:t&gt;100&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3" o:title="" chromakey="white"/>
          </v:shape>
        </w:pict>
      </w:r>
    </w:p>
    <w:p w:rsidR="002D1E45" w:rsidRPr="004D071E" w:rsidRDefault="002D1E45" w:rsidP="004D071E">
      <w:pPr>
        <w:keepNext/>
        <w:widowControl w:val="0"/>
        <w:spacing w:before="76" w:after="0" w:line="322" w:lineRule="exact"/>
        <w:ind w:left="685" w:right="95"/>
        <w:rPr>
          <w:rFonts w:ascii="Times New Roman" w:hAnsi="Times New Roman"/>
          <w:sz w:val="28"/>
          <w:szCs w:val="28"/>
        </w:rPr>
      </w:pPr>
      <w:r w:rsidRPr="004D071E">
        <w:rPr>
          <w:rFonts w:ascii="Times New Roman" w:hAnsi="Times New Roman"/>
          <w:sz w:val="28"/>
          <w:szCs w:val="28"/>
        </w:rPr>
        <w:t>где:</w:t>
      </w:r>
    </w:p>
    <w:p w:rsidR="002D1E45" w:rsidRPr="004D071E" w:rsidRDefault="002D1E45" w:rsidP="004D071E">
      <w:pPr>
        <w:keepNext/>
        <w:widowControl w:val="0"/>
        <w:spacing w:after="0" w:line="240" w:lineRule="auto"/>
        <w:ind w:left="686"/>
        <w:rPr>
          <w:rFonts w:ascii="Times New Roman" w:hAnsi="Times New Roman"/>
          <w:sz w:val="28"/>
          <w:szCs w:val="28"/>
        </w:rPr>
      </w:pPr>
      <w:r w:rsidRPr="004D071E">
        <w:rPr>
          <w:rFonts w:ascii="Times New Roman" w:hAnsi="Times New Roman"/>
          <w:sz w:val="28"/>
          <w:szCs w:val="28"/>
        </w:rPr>
        <w:t>n – процентное содержание АХОВ в природном газе;</w:t>
      </w:r>
    </w:p>
    <w:p w:rsidR="002D1E45" w:rsidRPr="004D071E" w:rsidRDefault="002D1E45" w:rsidP="004D071E">
      <w:pPr>
        <w:keepNext/>
        <w:widowControl w:val="0"/>
        <w:spacing w:before="2" w:after="0" w:line="322" w:lineRule="exact"/>
        <w:ind w:left="686"/>
        <w:rPr>
          <w:rFonts w:ascii="Times New Roman" w:hAnsi="Times New Roman"/>
          <w:sz w:val="28"/>
          <w:szCs w:val="28"/>
        </w:rPr>
      </w:pPr>
      <w:r w:rsidRPr="004D071E">
        <w:rPr>
          <w:rFonts w:ascii="Times New Roman" w:hAnsi="Times New Roman"/>
          <w:sz w:val="28"/>
          <w:szCs w:val="28"/>
        </w:rPr>
        <w:t>d – плотность АХОВ, т/м</w:t>
      </w:r>
      <w:r w:rsidRPr="004D071E">
        <w:rPr>
          <w:rFonts w:ascii="Times New Roman" w:hAnsi="Times New Roman"/>
          <w:sz w:val="28"/>
          <w:szCs w:val="28"/>
          <w:vertAlign w:val="superscript"/>
        </w:rPr>
        <w:t>3</w:t>
      </w:r>
      <w:r w:rsidRPr="004D071E">
        <w:rPr>
          <w:rFonts w:ascii="Times New Roman" w:hAnsi="Times New Roman"/>
          <w:sz w:val="28"/>
          <w:szCs w:val="28"/>
        </w:rPr>
        <w:t xml:space="preserve"> (табл. </w:t>
      </w:r>
      <w:r w:rsidRPr="004D071E">
        <w:rPr>
          <w:rFonts w:ascii="Times New Roman" w:hAnsi="Times New Roman"/>
          <w:sz w:val="28"/>
          <w:szCs w:val="24"/>
          <w:lang w:eastAsia="ru-RU"/>
        </w:rPr>
        <w:t>В.3 приложения В СП 165.1325800.2014</w:t>
      </w:r>
      <w:r w:rsidRPr="004D071E">
        <w:rPr>
          <w:rFonts w:ascii="Times New Roman" w:hAnsi="Times New Roman"/>
          <w:sz w:val="28"/>
          <w:szCs w:val="28"/>
        </w:rPr>
        <w:t>);</w:t>
      </w:r>
    </w:p>
    <w:p w:rsidR="002D1E45" w:rsidRPr="004D071E" w:rsidRDefault="002D1E45" w:rsidP="004D071E">
      <w:pPr>
        <w:keepNext/>
        <w:widowControl w:val="0"/>
        <w:spacing w:after="0" w:line="322" w:lineRule="exact"/>
        <w:ind w:left="686"/>
        <w:rPr>
          <w:rFonts w:ascii="Times New Roman" w:hAnsi="Times New Roman"/>
          <w:sz w:val="28"/>
          <w:szCs w:val="28"/>
        </w:rPr>
      </w:pPr>
      <w:r w:rsidRPr="004D071E">
        <w:rPr>
          <w:rFonts w:ascii="Times New Roman" w:hAnsi="Times New Roman"/>
          <w:sz w:val="28"/>
          <w:szCs w:val="28"/>
        </w:rPr>
        <w:t>V</w:t>
      </w:r>
      <w:r w:rsidRPr="004D071E">
        <w:rPr>
          <w:rFonts w:ascii="Times New Roman" w:hAnsi="Times New Roman"/>
          <w:sz w:val="28"/>
          <w:szCs w:val="28"/>
          <w:vertAlign w:val="subscript"/>
        </w:rPr>
        <w:t>г</w:t>
      </w:r>
      <w:r w:rsidRPr="004D071E">
        <w:rPr>
          <w:rFonts w:ascii="Times New Roman" w:hAnsi="Times New Roman"/>
          <w:sz w:val="28"/>
          <w:szCs w:val="28"/>
        </w:rPr>
        <w:t xml:space="preserve"> – объем секции газопровода между автоматическими отсекателями, м</w:t>
      </w:r>
      <w:r w:rsidRPr="004D071E">
        <w:rPr>
          <w:rFonts w:ascii="Times New Roman" w:hAnsi="Times New Roman"/>
          <w:sz w:val="28"/>
          <w:szCs w:val="28"/>
          <w:vertAlign w:val="superscript"/>
        </w:rPr>
        <w:t>3</w:t>
      </w:r>
      <w:r w:rsidRPr="004D071E">
        <w:rPr>
          <w:rFonts w:ascii="Times New Roman" w:hAnsi="Times New Roman"/>
          <w:sz w:val="28"/>
          <w:szCs w:val="28"/>
        </w:rPr>
        <w:t>.</w:t>
      </w:r>
    </w:p>
    <w:p w:rsidR="002D1E45" w:rsidRPr="004D071E" w:rsidRDefault="002D1E45" w:rsidP="004D071E">
      <w:pPr>
        <w:keepLines/>
        <w:widowControl w:val="0"/>
        <w:spacing w:after="0" w:line="322" w:lineRule="exact"/>
        <w:ind w:firstLine="686"/>
        <w:jc w:val="both"/>
        <w:rPr>
          <w:rFonts w:ascii="Times New Roman" w:hAnsi="Times New Roman"/>
          <w:sz w:val="28"/>
          <w:szCs w:val="28"/>
        </w:rPr>
      </w:pPr>
      <w:r w:rsidRPr="004D071E">
        <w:rPr>
          <w:rFonts w:ascii="Times New Roman" w:hAnsi="Times New Roman"/>
          <w:sz w:val="28"/>
          <w:szCs w:val="28"/>
        </w:rPr>
        <w:t>При определении величины Q</w:t>
      </w:r>
      <w:r w:rsidRPr="004D071E">
        <w:rPr>
          <w:rFonts w:ascii="Times New Roman" w:hAnsi="Times New Roman"/>
          <w:position w:val="-3"/>
          <w:sz w:val="18"/>
          <w:szCs w:val="28"/>
        </w:rPr>
        <w:t xml:space="preserve">э1 </w:t>
      </w:r>
      <w:r w:rsidRPr="004D071E">
        <w:rPr>
          <w:rFonts w:ascii="Times New Roman" w:hAnsi="Times New Roman"/>
          <w:sz w:val="28"/>
          <w:szCs w:val="28"/>
        </w:rPr>
        <w:t xml:space="preserve">для сжиженных газов, не вошедших в табл. В.3 </w:t>
      </w:r>
      <w:r w:rsidRPr="004D071E">
        <w:rPr>
          <w:rFonts w:ascii="Times New Roman" w:hAnsi="Times New Roman"/>
          <w:sz w:val="28"/>
          <w:szCs w:val="24"/>
          <w:lang w:eastAsia="ru-RU"/>
        </w:rPr>
        <w:t>приложения В СП 165.1325800.2014</w:t>
      </w:r>
      <w:r w:rsidRPr="004D071E">
        <w:rPr>
          <w:rFonts w:ascii="Times New Roman" w:hAnsi="Times New Roman"/>
          <w:sz w:val="28"/>
          <w:szCs w:val="28"/>
        </w:rPr>
        <w:t>, значение коэффициента K</w:t>
      </w:r>
      <w:r w:rsidRPr="004D071E">
        <w:rPr>
          <w:rFonts w:ascii="Times New Roman" w:hAnsi="Times New Roman"/>
          <w:position w:val="-3"/>
          <w:sz w:val="18"/>
          <w:szCs w:val="28"/>
        </w:rPr>
        <w:t xml:space="preserve">7 </w:t>
      </w:r>
      <w:r w:rsidRPr="004D071E">
        <w:rPr>
          <w:rFonts w:ascii="Times New Roman" w:hAnsi="Times New Roman"/>
          <w:sz w:val="28"/>
          <w:szCs w:val="28"/>
        </w:rPr>
        <w:t>принимается равным 1, а значение коэффициента K</w:t>
      </w:r>
      <w:r w:rsidRPr="004D071E">
        <w:rPr>
          <w:rFonts w:ascii="Times New Roman" w:hAnsi="Times New Roman"/>
          <w:position w:val="-3"/>
          <w:sz w:val="18"/>
          <w:szCs w:val="28"/>
        </w:rPr>
        <w:t xml:space="preserve">1 </w:t>
      </w:r>
      <w:r w:rsidRPr="004D071E">
        <w:rPr>
          <w:rFonts w:ascii="Times New Roman" w:hAnsi="Times New Roman"/>
          <w:sz w:val="28"/>
          <w:szCs w:val="28"/>
        </w:rPr>
        <w:t>рассчитывается по</w:t>
      </w:r>
      <w:r w:rsidRPr="004D071E">
        <w:rPr>
          <w:rFonts w:ascii="Times New Roman" w:hAnsi="Times New Roman"/>
          <w:spacing w:val="13"/>
          <w:sz w:val="28"/>
          <w:szCs w:val="28"/>
        </w:rPr>
        <w:t xml:space="preserve"> </w:t>
      </w:r>
      <w:r w:rsidRPr="004D071E">
        <w:rPr>
          <w:rFonts w:ascii="Times New Roman" w:hAnsi="Times New Roman"/>
          <w:sz w:val="28"/>
          <w:szCs w:val="28"/>
        </w:rPr>
        <w:t>соотношению:</w:t>
      </w:r>
    </w:p>
    <w:p w:rsidR="002D1E45" w:rsidRPr="004D071E" w:rsidRDefault="002D1E45" w:rsidP="004D071E">
      <w:pPr>
        <w:keepLines/>
        <w:widowControl w:val="0"/>
        <w:spacing w:before="3" w:after="0" w:line="322" w:lineRule="exact"/>
        <w:ind w:right="-1" w:firstLine="684"/>
        <w:jc w:val="both"/>
        <w:rPr>
          <w:rFonts w:ascii="Times New Roman" w:hAnsi="Times New Roman"/>
          <w:sz w:val="28"/>
          <w:szCs w:val="28"/>
        </w:rPr>
      </w:pPr>
    </w:p>
    <w:p w:rsidR="002D1E45" w:rsidRPr="004D071E" w:rsidRDefault="002D1E45" w:rsidP="004D071E">
      <w:pPr>
        <w:keepLines/>
        <w:widowControl w:val="0"/>
        <w:tabs>
          <w:tab w:val="left" w:pos="5390"/>
          <w:tab w:val="left" w:pos="9715"/>
        </w:tabs>
        <w:spacing w:before="199" w:after="0" w:line="240" w:lineRule="auto"/>
        <w:jc w:val="center"/>
        <w:rPr>
          <w:rFonts w:ascii="Times New Roman" w:hAnsi="Times New Roman"/>
          <w:sz w:val="28"/>
        </w:rPr>
      </w:pPr>
    </w:p>
    <w:p w:rsidR="002D1E45" w:rsidRPr="004D071E" w:rsidRDefault="002D1E45" w:rsidP="004D071E">
      <w:pPr>
        <w:keepLines/>
        <w:widowControl w:val="0"/>
        <w:spacing w:after="0" w:line="330" w:lineRule="exact"/>
        <w:ind w:left="709" w:right="95"/>
        <w:rPr>
          <w:rFonts w:ascii="Times New Roman" w:hAnsi="Times New Roman"/>
          <w:sz w:val="28"/>
          <w:szCs w:val="28"/>
        </w:rPr>
      </w:pPr>
      <w:r w:rsidRPr="004D071E">
        <w:rPr>
          <w:rFonts w:ascii="Times New Roman" w:hAnsi="Times New Roman"/>
          <w:sz w:val="28"/>
          <w:szCs w:val="28"/>
        </w:rPr>
        <w:t>где:</w:t>
      </w:r>
    </w:p>
    <w:p w:rsidR="002D1E45" w:rsidRPr="004D071E" w:rsidRDefault="002D1E45" w:rsidP="004D071E">
      <w:pPr>
        <w:keepLines/>
        <w:widowControl w:val="0"/>
        <w:spacing w:after="0" w:line="240" w:lineRule="auto"/>
        <w:ind w:left="686"/>
        <w:rPr>
          <w:rFonts w:ascii="Times New Roman" w:hAnsi="Times New Roman"/>
          <w:sz w:val="28"/>
          <w:szCs w:val="28"/>
        </w:rPr>
      </w:pPr>
      <w:r w:rsidRPr="004D071E">
        <w:rPr>
          <w:rFonts w:ascii="Times New Roman" w:hAnsi="Times New Roman"/>
          <w:sz w:val="28"/>
          <w:szCs w:val="28"/>
        </w:rPr>
        <w:t>C</w:t>
      </w:r>
      <w:r w:rsidRPr="004D071E">
        <w:rPr>
          <w:rFonts w:ascii="Times New Roman" w:hAnsi="Times New Roman"/>
          <w:position w:val="-3"/>
          <w:sz w:val="18"/>
          <w:szCs w:val="28"/>
        </w:rPr>
        <w:t xml:space="preserve">p </w:t>
      </w:r>
      <w:r w:rsidRPr="004D071E">
        <w:rPr>
          <w:rFonts w:ascii="Times New Roman" w:hAnsi="Times New Roman"/>
          <w:sz w:val="28"/>
          <w:szCs w:val="28"/>
        </w:rPr>
        <w:t>– удельная теплоёмкость жидкого АХОВ, кДж/кг. град;</w:t>
      </w:r>
    </w:p>
    <w:p w:rsidR="002D1E45" w:rsidRPr="004D071E" w:rsidRDefault="002D1E45" w:rsidP="004D071E">
      <w:pPr>
        <w:keepLines/>
        <w:widowControl w:val="0"/>
        <w:spacing w:after="0" w:line="240" w:lineRule="auto"/>
        <w:ind w:left="686"/>
        <w:rPr>
          <w:rFonts w:ascii="Times New Roman" w:hAnsi="Times New Roman"/>
          <w:sz w:val="28"/>
          <w:szCs w:val="28"/>
        </w:rPr>
      </w:pPr>
      <w:r w:rsidRPr="004D071E">
        <w:rPr>
          <w:rFonts w:ascii="Symbol" w:hAnsi="Symbol"/>
          <w:sz w:val="28"/>
          <w:szCs w:val="28"/>
        </w:rPr>
        <w:t></w:t>
      </w:r>
      <w:r w:rsidRPr="004D071E">
        <w:rPr>
          <w:rFonts w:ascii="Times New Roman" w:hAnsi="Times New Roman"/>
          <w:sz w:val="28"/>
          <w:szCs w:val="28"/>
        </w:rPr>
        <w:t>T – разность температур жидкого АХОВ до и после разрушения ёмкости, °С;</w:t>
      </w:r>
    </w:p>
    <w:p w:rsidR="002D1E45" w:rsidRPr="004D071E" w:rsidRDefault="002D1E45" w:rsidP="004D071E">
      <w:pPr>
        <w:keepLines/>
        <w:widowControl w:val="0"/>
        <w:spacing w:after="0" w:line="240" w:lineRule="auto"/>
        <w:ind w:left="686"/>
        <w:rPr>
          <w:rFonts w:ascii="Times New Roman" w:hAnsi="Times New Roman"/>
          <w:sz w:val="28"/>
          <w:szCs w:val="28"/>
        </w:rPr>
      </w:pPr>
      <w:r w:rsidRPr="004D071E">
        <w:rPr>
          <w:rFonts w:ascii="Symbol" w:hAnsi="Symbol"/>
          <w:sz w:val="28"/>
          <w:szCs w:val="28"/>
        </w:rPr>
        <w:t></w:t>
      </w:r>
      <w:r w:rsidRPr="004D071E">
        <w:rPr>
          <w:rFonts w:ascii="Times New Roman" w:hAnsi="Times New Roman"/>
          <w:sz w:val="28"/>
          <w:szCs w:val="28"/>
        </w:rPr>
        <w:t>H</w:t>
      </w:r>
      <w:r w:rsidRPr="004D071E">
        <w:rPr>
          <w:rFonts w:ascii="Times New Roman" w:hAnsi="Times New Roman"/>
          <w:position w:val="-3"/>
          <w:sz w:val="18"/>
          <w:szCs w:val="28"/>
        </w:rPr>
        <w:t xml:space="preserve">исп </w:t>
      </w:r>
      <w:r w:rsidRPr="004D071E">
        <w:rPr>
          <w:rFonts w:ascii="Times New Roman" w:hAnsi="Times New Roman"/>
          <w:sz w:val="28"/>
          <w:szCs w:val="28"/>
        </w:rPr>
        <w:t>– удельная теплота испарения жидкого АХОВ при температуре испарения,</w:t>
      </w:r>
      <w:r w:rsidRPr="004D071E">
        <w:rPr>
          <w:rFonts w:ascii="Times New Roman" w:hAnsi="Times New Roman"/>
          <w:spacing w:val="-9"/>
          <w:sz w:val="28"/>
          <w:szCs w:val="28"/>
        </w:rPr>
        <w:t xml:space="preserve"> </w:t>
      </w:r>
      <w:r w:rsidRPr="004D071E">
        <w:rPr>
          <w:rFonts w:ascii="Times New Roman" w:hAnsi="Times New Roman"/>
          <w:sz w:val="28"/>
          <w:szCs w:val="28"/>
        </w:rPr>
        <w:t>кДж/кг.</w:t>
      </w:r>
    </w:p>
    <w:p w:rsidR="002D1E45" w:rsidRPr="004D071E" w:rsidRDefault="002D1E45" w:rsidP="004D071E">
      <w:pPr>
        <w:keepNext/>
        <w:widowControl w:val="0"/>
        <w:spacing w:before="3" w:after="0" w:line="322" w:lineRule="exact"/>
        <w:ind w:right="100" w:firstLine="684"/>
        <w:jc w:val="both"/>
        <w:rPr>
          <w:rFonts w:ascii="Times New Roman" w:hAnsi="Times New Roman"/>
          <w:sz w:val="28"/>
          <w:szCs w:val="24"/>
          <w:lang w:eastAsia="ru-RU"/>
        </w:rPr>
      </w:pPr>
    </w:p>
    <w:p w:rsidR="002D1E45" w:rsidRPr="004D071E" w:rsidRDefault="002D1E45" w:rsidP="004D071E">
      <w:pPr>
        <w:keepNext/>
        <w:widowControl w:val="0"/>
        <w:spacing w:before="3" w:after="0" w:line="322" w:lineRule="exact"/>
        <w:ind w:right="-1" w:firstLine="684"/>
        <w:jc w:val="both"/>
        <w:rPr>
          <w:rFonts w:ascii="Times New Roman" w:hAnsi="Times New Roman"/>
          <w:sz w:val="28"/>
          <w:szCs w:val="24"/>
          <w:lang w:eastAsia="ru-RU"/>
        </w:rPr>
      </w:pPr>
      <w:r w:rsidRPr="004D071E">
        <w:rPr>
          <w:rFonts w:ascii="Times New Roman" w:hAnsi="Times New Roman"/>
          <w:sz w:val="28"/>
          <w:szCs w:val="24"/>
          <w:lang w:eastAsia="ru-RU"/>
        </w:rPr>
        <w:t>Эквивалентное количество вещества по вторичному облаку рассчитывается по формуле:</w:t>
      </w:r>
    </w:p>
    <w:p w:rsidR="002D1E45" w:rsidRPr="004D071E" w:rsidRDefault="002D1E45" w:rsidP="004D071E">
      <w:pPr>
        <w:keepNext/>
        <w:widowControl w:val="0"/>
        <w:spacing w:before="6" w:after="0" w:line="240" w:lineRule="auto"/>
        <w:rPr>
          <w:rFonts w:ascii="Times New Roman" w:hAnsi="Times New Roman"/>
          <w:sz w:val="11"/>
          <w:szCs w:val="28"/>
        </w:rPr>
      </w:pPr>
    </w:p>
    <w:p w:rsidR="002D1E45" w:rsidRPr="004D071E" w:rsidRDefault="002D1E45" w:rsidP="004D071E">
      <w:pPr>
        <w:keepNext/>
        <w:widowControl w:val="0"/>
        <w:spacing w:before="49" w:after="0" w:line="240" w:lineRule="auto"/>
        <w:contextualSpacing/>
        <w:jc w:val="center"/>
        <w:rPr>
          <w:rFonts w:ascii="Times New Roman" w:hAnsi="Times New Roman"/>
          <w:sz w:val="28"/>
        </w:rPr>
      </w:pPr>
      <w:r>
        <w:pict>
          <v:shape id="_x0000_i1038" type="#_x0000_t75" style="width:289.5pt;height:27.75pt" equationxml="&lt;?xml version=&quot;1.0&quot; encoding=&quot;UTF-8&quot; standalone=&quot;yes&quot;?&gt;&#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stylePaneFormatFilter w:val=&quot;3F01&quot;/&gt;&lt;w:defaultTabStop w:val=&quot;709&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55249&quot;/&gt;&lt;wsp:rsid wsp:val=&quot;00000069&quot;/&gt;&lt;wsp:rsid wsp:val=&quot;0000011C&quot;/&gt;&lt;wsp:rsid wsp:val=&quot;00000437&quot;/&gt;&lt;wsp:rsid wsp:val=&quot;00001379&quot;/&gt;&lt;wsp:rsid wsp:val=&quot;0000148E&quot;/&gt;&lt;wsp:rsid wsp:val=&quot;00001718&quot;/&gt;&lt;wsp:rsid wsp:val=&quot;000017EA&quot;/&gt;&lt;wsp:rsid wsp:val=&quot;00001828&quot;/&gt;&lt;wsp:rsid wsp:val=&quot;00001D98&quot;/&gt;&lt;wsp:rsid wsp:val=&quot;0000229E&quot;/&gt;&lt;wsp:rsid wsp:val=&quot;000027D5&quot;/&gt;&lt;wsp:rsid wsp:val=&quot;00002824&quot;/&gt;&lt;wsp:rsid wsp:val=&quot;00002C12&quot;/&gt;&lt;wsp:rsid wsp:val=&quot;00002C43&quot;/&gt;&lt;wsp:rsid wsp:val=&quot;00002D9C&quot;/&gt;&lt;wsp:rsid wsp:val=&quot;00002F36&quot;/&gt;&lt;wsp:rsid wsp:val=&quot;0000302F&quot;/&gt;&lt;wsp:rsid wsp:val=&quot;00003030&quot;/&gt;&lt;wsp:rsid wsp:val=&quot;00003EFF&quot;/&gt;&lt;wsp:rsid wsp:val=&quot;0000414C&quot;/&gt;&lt;wsp:rsid wsp:val=&quot;0000443D&quot;/&gt;&lt;wsp:rsid wsp:val=&quot;000046CC&quot;/&gt;&lt;wsp:rsid wsp:val=&quot;00004716&quot;/&gt;&lt;wsp:rsid wsp:val=&quot;0000486D&quot;/&gt;&lt;wsp:rsid wsp:val=&quot;000049C0&quot;/&gt;&lt;wsp:rsid wsp:val=&quot;00004D19&quot;/&gt;&lt;wsp:rsid wsp:val=&quot;00004FAE&quot;/&gt;&lt;wsp:rsid wsp:val=&quot;00004FFC&quot;/&gt;&lt;wsp:rsid wsp:val=&quot;00005636&quot;/&gt;&lt;wsp:rsid wsp:val=&quot;000056E1&quot;/&gt;&lt;wsp:rsid wsp:val=&quot;00005DAF&quot;/&gt;&lt;wsp:rsid wsp:val=&quot;00005F1A&quot;/&gt;&lt;wsp:rsid wsp:val=&quot;00005FEB&quot;/&gt;&lt;wsp:rsid wsp:val=&quot;00006392&quot;/&gt;&lt;wsp:rsid wsp:val=&quot;000063D0&quot;/&gt;&lt;wsp:rsid wsp:val=&quot;00006AE8&quot;/&gt;&lt;wsp:rsid wsp:val=&quot;00006D6F&quot;/&gt;&lt;wsp:rsid wsp:val=&quot;00007175&quot;/&gt;&lt;wsp:rsid wsp:val=&quot;00007274&quot;/&gt;&lt;wsp:rsid wsp:val=&quot;00007B99&quot;/&gt;&lt;wsp:rsid wsp:val=&quot;000101C0&quot;/&gt;&lt;wsp:rsid wsp:val=&quot;00010212&quot;/&gt;&lt;wsp:rsid wsp:val=&quot;00010264&quot;/&gt;&lt;wsp:rsid wsp:val=&quot;000102BD&quot;/&gt;&lt;wsp:rsid wsp:val=&quot;000102EA&quot;/&gt;&lt;wsp:rsid wsp:val=&quot;00010466&quot;/&gt;&lt;wsp:rsid wsp:val=&quot;00010AB4&quot;/&gt;&lt;wsp:rsid wsp:val=&quot;00010B0B&quot;/&gt;&lt;wsp:rsid wsp:val=&quot;00010C3B&quot;/&gt;&lt;wsp:rsid wsp:val=&quot;00010F91&quot;/&gt;&lt;wsp:rsid wsp:val=&quot;000112EE&quot;/&gt;&lt;wsp:rsid wsp:val=&quot;0001146D&quot;/&gt;&lt;wsp:rsid wsp:val=&quot;00011665&quot;/&gt;&lt;wsp:rsid wsp:val=&quot;00011B64&quot;/&gt;&lt;wsp:rsid wsp:val=&quot;00011CA8&quot;/&gt;&lt;wsp:rsid wsp:val=&quot;00011DE4&quot;/&gt;&lt;wsp:rsid wsp:val=&quot;000124AE&quot;/&gt;&lt;wsp:rsid wsp:val=&quot;000127BC&quot;/&gt;&lt;wsp:rsid wsp:val=&quot;00012A66&quot;/&gt;&lt;wsp:rsid wsp:val=&quot;00012DA8&quot;/&gt;&lt;wsp:rsid wsp:val=&quot;00013A20&quot;/&gt;&lt;wsp:rsid wsp:val=&quot;00013A8A&quot;/&gt;&lt;wsp:rsid wsp:val=&quot;00013CAF&quot;/&gt;&lt;wsp:rsid wsp:val=&quot;00013FBF&quot;/&gt;&lt;wsp:rsid wsp:val=&quot;00014152&quot;/&gt;&lt;wsp:rsid wsp:val=&quot;00014177&quot;/&gt;&lt;wsp:rsid wsp:val=&quot;0001436E&quot;/&gt;&lt;wsp:rsid wsp:val=&quot;00014640&quot;/&gt;&lt;wsp:rsid wsp:val=&quot;000146AB&quot;/&gt;&lt;wsp:rsid wsp:val=&quot;0001483D&quot;/&gt;&lt;wsp:rsid wsp:val=&quot;00014851&quot;/&gt;&lt;wsp:rsid wsp:val=&quot;00014B97&quot;/&gt;&lt;wsp:rsid wsp:val=&quot;00014CA6&quot;/&gt;&lt;wsp:rsid wsp:val=&quot;00015089&quot;/&gt;&lt;wsp:rsid wsp:val=&quot;00015200&quot;/&gt;&lt;wsp:rsid wsp:val=&quot;00015247&quot;/&gt;&lt;wsp:rsid wsp:val=&quot;00015471&quot;/&gt;&lt;wsp:rsid wsp:val=&quot;00015475&quot;/&gt;&lt;wsp:rsid wsp:val=&quot;000156EB&quot;/&gt;&lt;wsp:rsid wsp:val=&quot;00015CFD&quot;/&gt;&lt;wsp:rsid wsp:val=&quot;00015E89&quot;/&gt;&lt;wsp:rsid wsp:val=&quot;000162CA&quot;/&gt;&lt;wsp:rsid wsp:val=&quot;000168D8&quot;/&gt;&lt;wsp:rsid wsp:val=&quot;00016BF0&quot;/&gt;&lt;wsp:rsid wsp:val=&quot;00016DD4&quot;/&gt;&lt;wsp:rsid wsp:val=&quot;00016F5A&quot;/&gt;&lt;wsp:rsid wsp:val=&quot;000171AD&quot;/&gt;&lt;wsp:rsid wsp:val=&quot;0001725E&quot;/&gt;&lt;wsp:rsid wsp:val=&quot;000173C4&quot;/&gt;&lt;wsp:rsid wsp:val=&quot;0001783F&quot;/&gt;&lt;wsp:rsid wsp:val=&quot;00017B5A&quot;/&gt;&lt;wsp:rsid wsp:val=&quot;00017FC8&quot;/&gt;&lt;wsp:rsid wsp:val=&quot;000200B7&quot;/&gt;&lt;wsp:rsid wsp:val=&quot;00020690&quot;/&gt;&lt;wsp:rsid wsp:val=&quot;000207BC&quot;/&gt;&lt;wsp:rsid wsp:val=&quot;00020B70&quot;/&gt;&lt;wsp:rsid wsp:val=&quot;00020CF2&quot;/&gt;&lt;wsp:rsid wsp:val=&quot;00020D15&quot;/&gt;&lt;wsp:rsid wsp:val=&quot;0002146E&quot;/&gt;&lt;wsp:rsid wsp:val=&quot;000216FC&quot;/&gt;&lt;wsp:rsid wsp:val=&quot;00021808&quot;/&gt;&lt;wsp:rsid wsp:val=&quot;00021864&quot;/&gt;&lt;wsp:rsid wsp:val=&quot;000219DD&quot;/&gt;&lt;wsp:rsid wsp:val=&quot;00021A57&quot;/&gt;&lt;wsp:rsid wsp:val=&quot;00021C1B&quot;/&gt;&lt;wsp:rsid wsp:val=&quot;00021C6A&quot;/&gt;&lt;wsp:rsid wsp:val=&quot;0002261A&quot;/&gt;&lt;wsp:rsid wsp:val=&quot;00022689&quot;/&gt;&lt;wsp:rsid wsp:val=&quot;0002275A&quot;/&gt;&lt;wsp:rsid wsp:val=&quot;00022976&quot;/&gt;&lt;wsp:rsid wsp:val=&quot;00022B13&quot;/&gt;&lt;wsp:rsid wsp:val=&quot;00022C89&quot;/&gt;&lt;wsp:rsid wsp:val=&quot;00022ED3&quot;/&gt;&lt;wsp:rsid wsp:val=&quot;0002310D&quot;/&gt;&lt;wsp:rsid wsp:val=&quot;0002325C&quot;/&gt;&lt;wsp:rsid wsp:val=&quot;000233B5&quot;/&gt;&lt;wsp:rsid wsp:val=&quot;000235C8&quot;/&gt;&lt;wsp:rsid wsp:val=&quot;000237E7&quot;/&gt;&lt;wsp:rsid wsp:val=&quot;000238DD&quot;/&gt;&lt;wsp:rsid wsp:val=&quot;00023B4A&quot;/&gt;&lt;wsp:rsid wsp:val=&quot;00023CDA&quot;/&gt;&lt;wsp:rsid wsp:val=&quot;0002413B&quot;/&gt;&lt;wsp:rsid wsp:val=&quot;000244A8&quot;/&gt;&lt;wsp:rsid wsp:val=&quot;0002487C&quot;/&gt;&lt;wsp:rsid wsp:val=&quot;00024D37&quot;/&gt;&lt;wsp:rsid wsp:val=&quot;00024F28&quot;/&gt;&lt;wsp:rsid wsp:val=&quot;000252B6&quot;/&gt;&lt;wsp:rsid wsp:val=&quot;000254CC&quot;/&gt;&lt;wsp:rsid wsp:val=&quot;00025586&quot;/&gt;&lt;wsp:rsid wsp:val=&quot;000260FE&quot;/&gt;&lt;wsp:rsid wsp:val=&quot;00026294&quot;/&gt;&lt;wsp:rsid wsp:val=&quot;00026338&quot;/&gt;&lt;wsp:rsid wsp:val=&quot;000266C8&quot;/&gt;&lt;wsp:rsid wsp:val=&quot;00026ABE&quot;/&gt;&lt;wsp:rsid wsp:val=&quot;00026FF4&quot;/&gt;&lt;wsp:rsid wsp:val=&quot;0002729C&quot;/&gt;&lt;wsp:rsid wsp:val=&quot;000279E6&quot;/&gt;&lt;wsp:rsid wsp:val=&quot;00027B3A&quot;/&gt;&lt;wsp:rsid wsp:val=&quot;00027C41&quot;/&gt;&lt;wsp:rsid wsp:val=&quot;00027F89&quot;/&gt;&lt;wsp:rsid wsp:val=&quot;0003050D&quot;/&gt;&lt;wsp:rsid wsp:val=&quot;00030523&quot;/&gt;&lt;wsp:rsid wsp:val=&quot;00031209&quot;/&gt;&lt;wsp:rsid wsp:val=&quot;00031883&quot;/&gt;&lt;wsp:rsid wsp:val=&quot;00032460&quot;/&gt;&lt;wsp:rsid wsp:val=&quot;0003252F&quot;/&gt;&lt;wsp:rsid wsp:val=&quot;000325E4&quot;/&gt;&lt;wsp:rsid wsp:val=&quot;000329BA&quot;/&gt;&lt;wsp:rsid wsp:val=&quot;00032F20&quot;/&gt;&lt;wsp:rsid wsp:val=&quot;000330C7&quot;/&gt;&lt;wsp:rsid wsp:val=&quot;00033121&quot;/&gt;&lt;wsp:rsid wsp:val=&quot;000332E2&quot;/&gt;&lt;wsp:rsid wsp:val=&quot;00033895&quot;/&gt;&lt;wsp:rsid wsp:val=&quot;00033D2D&quot;/&gt;&lt;wsp:rsid wsp:val=&quot;0003401B&quot;/&gt;&lt;wsp:rsid wsp:val=&quot;000341CE&quot;/&gt;&lt;wsp:rsid wsp:val=&quot;00034258&quot;/&gt;&lt;wsp:rsid wsp:val=&quot;00034677&quot;/&gt;&lt;wsp:rsid wsp:val=&quot;000355D5&quot;/&gt;&lt;wsp:rsid wsp:val=&quot;0003587E&quot;/&gt;&lt;wsp:rsid wsp:val=&quot;000358E5&quot;/&gt;&lt;wsp:rsid wsp:val=&quot;00035FC8&quot;/&gt;&lt;wsp:rsid wsp:val=&quot;00036085&quot;/&gt;&lt;wsp:rsid wsp:val=&quot;0003610F&quot;/&gt;&lt;wsp:rsid wsp:val=&quot;00036574&quot;/&gt;&lt;wsp:rsid wsp:val=&quot;00036A0C&quot;/&gt;&lt;wsp:rsid wsp:val=&quot;0003741C&quot;/&gt;&lt;wsp:rsid wsp:val=&quot;000375A9&quot;/&gt;&lt;wsp:rsid wsp:val=&quot;000375E4&quot;/&gt;&lt;wsp:rsid wsp:val=&quot;00037990&quot;/&gt;&lt;wsp:rsid wsp:val=&quot;000379E2&quot;/&gt;&lt;wsp:rsid wsp:val=&quot;00037A8B&quot;/&gt;&lt;wsp:rsid wsp:val=&quot;00037B44&quot;/&gt;&lt;wsp:rsid wsp:val=&quot;00037D86&quot;/&gt;&lt;wsp:rsid wsp:val=&quot;000401B5&quot;/&gt;&lt;wsp:rsid wsp:val=&quot;00040704&quot;/&gt;&lt;wsp:rsid wsp:val=&quot;00040747&quot;/&gt;&lt;wsp:rsid wsp:val=&quot;00040937&quot;/&gt;&lt;wsp:rsid wsp:val=&quot;00040B84&quot;/&gt;&lt;wsp:rsid wsp:val=&quot;00040C12&quot;/&gt;&lt;wsp:rsid wsp:val=&quot;00040DA1&quot;/&gt;&lt;wsp:rsid wsp:val=&quot;00040F18&quot;/&gt;&lt;wsp:rsid wsp:val=&quot;0004110F&quot;/&gt;&lt;wsp:rsid wsp:val=&quot;000412EB&quot;/&gt;&lt;wsp:rsid wsp:val=&quot;0004138D&quot;/&gt;&lt;wsp:rsid wsp:val=&quot;000413F1&quot;/&gt;&lt;wsp:rsid wsp:val=&quot;000414C0&quot;/&gt;&lt;wsp:rsid wsp:val=&quot;00041E8F&quot;/&gt;&lt;wsp:rsid wsp:val=&quot;00041F06&quot;/&gt;&lt;wsp:rsid wsp:val=&quot;0004255B&quot;/&gt;&lt;wsp:rsid wsp:val=&quot;00042594&quot;/&gt;&lt;wsp:rsid wsp:val=&quot;0004273E&quot;/&gt;&lt;wsp:rsid wsp:val=&quot;00042764&quot;/&gt;&lt;wsp:rsid wsp:val=&quot;00042F4A&quot;/&gt;&lt;wsp:rsid wsp:val=&quot;000430F4&quot;/&gt;&lt;wsp:rsid wsp:val=&quot;00043921&quot;/&gt;&lt;wsp:rsid wsp:val=&quot;00043935&quot;/&gt;&lt;wsp:rsid wsp:val=&quot;00043EB2&quot;/&gt;&lt;wsp:rsid wsp:val=&quot;0004419F&quot;/&gt;&lt;wsp:rsid wsp:val=&quot;00044391&quot;/&gt;&lt;wsp:rsid wsp:val=&quot;0004446E&quot;/&gt;&lt;wsp:rsid wsp:val=&quot;000444B3&quot;/&gt;&lt;wsp:rsid wsp:val=&quot;00044538&quot;/&gt;&lt;wsp:rsid wsp:val=&quot;0004488A&quot;/&gt;&lt;wsp:rsid wsp:val=&quot;000449CE&quot;/&gt;&lt;wsp:rsid wsp:val=&quot;00044A16&quot;/&gt;&lt;wsp:rsid wsp:val=&quot;00044B5C&quot;/&gt;&lt;wsp:rsid wsp:val=&quot;00044D18&quot;/&gt;&lt;wsp:rsid wsp:val=&quot;00044E73&quot;/&gt;&lt;wsp:rsid wsp:val=&quot;00044F28&quot;/&gt;&lt;wsp:rsid wsp:val=&quot;00044FEF&quot;/&gt;&lt;wsp:rsid wsp:val=&quot;00045598&quot;/&gt;&lt;wsp:rsid wsp:val=&quot;00045B35&quot;/&gt;&lt;wsp:rsid wsp:val=&quot;00045E51&quot;/&gt;&lt;wsp:rsid wsp:val=&quot;00046110&quot;/&gt;&lt;wsp:rsid wsp:val=&quot;00046429&quot;/&gt;&lt;wsp:rsid wsp:val=&quot;0004668C&quot;/&gt;&lt;wsp:rsid wsp:val=&quot;000475D4&quot;/&gt;&lt;wsp:rsid wsp:val=&quot;00047C17&quot;/&gt;&lt;wsp:rsid wsp:val=&quot;00047C27&quot;/&gt;&lt;wsp:rsid wsp:val=&quot;00047C59&quot;/&gt;&lt;wsp:rsid wsp:val=&quot;00047F34&quot;/&gt;&lt;wsp:rsid wsp:val=&quot;000504F0&quot;/&gt;&lt;wsp:rsid wsp:val=&quot;00050664&quot;/&gt;&lt;wsp:rsid wsp:val=&quot;00050880&quot;/&gt;&lt;wsp:rsid wsp:val=&quot;00050993&quot;/&gt;&lt;wsp:rsid wsp:val=&quot;00050FD6&quot;/&gt;&lt;wsp:rsid wsp:val=&quot;00051206&quot;/&gt;&lt;wsp:rsid wsp:val=&quot;000515A2&quot;/&gt;&lt;wsp:rsid wsp:val=&quot;00051F54&quot;/&gt;&lt;wsp:rsid wsp:val=&quot;000520A1&quot;/&gt;&lt;wsp:rsid wsp:val=&quot;000525EB&quot;/&gt;&lt;wsp:rsid wsp:val=&quot;0005266E&quot;/&gt;&lt;wsp:rsid wsp:val=&quot;000527E0&quot;/&gt;&lt;wsp:rsid wsp:val=&quot;00052923&quot;/&gt;&lt;wsp:rsid wsp:val=&quot;00052D26&quot;/&gt;&lt;wsp:rsid wsp:val=&quot;00052E31&quot;/&gt;&lt;wsp:rsid wsp:val=&quot;000535A5&quot;/&gt;&lt;wsp:rsid wsp:val=&quot;000536A3&quot;/&gt;&lt;wsp:rsid wsp:val=&quot;00053D10&quot;/&gt;&lt;wsp:rsid wsp:val=&quot;00053F2B&quot;/&gt;&lt;wsp:rsid wsp:val=&quot;00053F37&quot;/&gt;&lt;wsp:rsid wsp:val=&quot;000546C9&quot;/&gt;&lt;wsp:rsid wsp:val=&quot;000547F3&quot;/&gt;&lt;wsp:rsid wsp:val=&quot;000548C7&quot;/&gt;&lt;wsp:rsid wsp:val=&quot;00054E12&quot;/&gt;&lt;wsp:rsid wsp:val=&quot;00054E32&quot;/&gt;&lt;wsp:rsid wsp:val=&quot;000551DD&quot;/&gt;&lt;wsp:rsid wsp:val=&quot;0005551E&quot;/&gt;&lt;wsp:rsid wsp:val=&quot;00055725&quot;/&gt;&lt;wsp:rsid wsp:val=&quot;0005582F&quot;/&gt;&lt;wsp:rsid wsp:val=&quot;000558B6&quot;/&gt;&lt;wsp:rsid wsp:val=&quot;00055A9A&quot;/&gt;&lt;wsp:rsid wsp:val=&quot;00055D45&quot;/&gt;&lt;wsp:rsid wsp:val=&quot;00055E28&quot;/&gt;&lt;wsp:rsid wsp:val=&quot;000563E2&quot;/&gt;&lt;wsp:rsid wsp:val=&quot;0005646A&quot;/&gt;&lt;wsp:rsid wsp:val=&quot;00056820&quot;/&gt;&lt;wsp:rsid wsp:val=&quot;00056C8F&quot;/&gt;&lt;wsp:rsid wsp:val=&quot;000570B4&quot;/&gt;&lt;wsp:rsid wsp:val=&quot;00057287&quot;/&gt;&lt;wsp:rsid wsp:val=&quot;00057450&quot;/&gt;&lt;wsp:rsid wsp:val=&quot;00057FD1&quot;/&gt;&lt;wsp:rsid wsp:val=&quot;000605C6&quot;/&gt;&lt;wsp:rsid wsp:val=&quot;0006094F&quot;/&gt;&lt;wsp:rsid wsp:val=&quot;00060D9A&quot;/&gt;&lt;wsp:rsid wsp:val=&quot;0006114D&quot;/&gt;&lt;wsp:rsid wsp:val=&quot;00061342&quot;/&gt;&lt;wsp:rsid wsp:val=&quot;000616FB&quot;/&gt;&lt;wsp:rsid wsp:val=&quot;00061D4B&quot;/&gt;&lt;wsp:rsid wsp:val=&quot;0006251F&quot;/&gt;&lt;wsp:rsid wsp:val=&quot;00062BCA&quot;/&gt;&lt;wsp:rsid wsp:val=&quot;00063845&quot;/&gt;&lt;wsp:rsid wsp:val=&quot;00063E7D&quot;/&gt;&lt;wsp:rsid wsp:val=&quot;00063F8C&quot;/&gt;&lt;wsp:rsid wsp:val=&quot;00064336&quot;/&gt;&lt;wsp:rsid wsp:val=&quot;000643A2&quot;/&gt;&lt;wsp:rsid wsp:val=&quot;00064B66&quot;/&gt;&lt;wsp:rsid wsp:val=&quot;00064F9D&quot;/&gt;&lt;wsp:rsid wsp:val=&quot;0006561A&quot;/&gt;&lt;wsp:rsid wsp:val=&quot;000659B9&quot;/&gt;&lt;wsp:rsid wsp:val=&quot;00065B48&quot;/&gt;&lt;wsp:rsid wsp:val=&quot;00065F03&quot;/&gt;&lt;wsp:rsid wsp:val=&quot;00066175&quot;/&gt;&lt;wsp:rsid wsp:val=&quot;000661F0&quot;/&gt;&lt;wsp:rsid wsp:val=&quot;00066384&quot;/&gt;&lt;wsp:rsid wsp:val=&quot;00066556&quot;/&gt;&lt;wsp:rsid wsp:val=&quot;00066C9F&quot;/&gt;&lt;wsp:rsid wsp:val=&quot;00066D83&quot;/&gt;&lt;wsp:rsid wsp:val=&quot;00067045&quot;/&gt;&lt;wsp:rsid wsp:val=&quot;00067A40&quot;/&gt;&lt;wsp:rsid wsp:val=&quot;00067AA3&quot;/&gt;&lt;wsp:rsid wsp:val=&quot;00067AB9&quot;/&gt;&lt;wsp:rsid wsp:val=&quot;00070000&quot;/&gt;&lt;wsp:rsid wsp:val=&quot;00070067&quot;/&gt;&lt;wsp:rsid wsp:val=&quot;0007015F&quot;/&gt;&lt;wsp:rsid wsp:val=&quot;000702C2&quot;/&gt;&lt;wsp:rsid wsp:val=&quot;000702C6&quot;/&gt;&lt;wsp:rsid wsp:val=&quot;00070A24&quot;/&gt;&lt;wsp:rsid wsp:val=&quot;00071628&quot;/&gt;&lt;wsp:rsid wsp:val=&quot;0007185F&quot;/&gt;&lt;wsp:rsid wsp:val=&quot;00072553&quot;/&gt;&lt;wsp:rsid wsp:val=&quot;00072E07&quot;/&gt;&lt;wsp:rsid wsp:val=&quot;00073729&quot;/&gt;&lt;wsp:rsid wsp:val=&quot;000739F2&quot;/&gt;&lt;wsp:rsid wsp:val=&quot;00073E02&quot;/&gt;&lt;wsp:rsid wsp:val=&quot;00074052&quot;/&gt;&lt;wsp:rsid wsp:val=&quot;00074807&quot;/&gt;&lt;wsp:rsid wsp:val=&quot;00075396&quot;/&gt;&lt;wsp:rsid wsp:val=&quot;00075542&quot;/&gt;&lt;wsp:rsid wsp:val=&quot;00075821&quot;/&gt;&lt;wsp:rsid wsp:val=&quot;00075BDC&quot;/&gt;&lt;wsp:rsid wsp:val=&quot;00075C12&quot;/&gt;&lt;wsp:rsid wsp:val=&quot;00076244&quot;/&gt;&lt;wsp:rsid wsp:val=&quot;0007658B&quot;/&gt;&lt;wsp:rsid wsp:val=&quot;000765A5&quot;/&gt;&lt;wsp:rsid wsp:val=&quot;000766B1&quot;/&gt;&lt;wsp:rsid wsp:val=&quot;00076AEC&quot;/&gt;&lt;wsp:rsid wsp:val=&quot;00076B85&quot;/&gt;&lt;wsp:rsid wsp:val=&quot;00077223&quot;/&gt;&lt;wsp:rsid wsp:val=&quot;000775BC&quot;/&gt;&lt;wsp:rsid wsp:val=&quot;00077735&quot;/&gt;&lt;wsp:rsid wsp:val=&quot;00077964&quot;/&gt;&lt;wsp:rsid wsp:val=&quot;00077AC7&quot;/&gt;&lt;wsp:rsid wsp:val=&quot;00080093&quot;/&gt;&lt;wsp:rsid wsp:val=&quot;00080B60&quot;/&gt;&lt;wsp:rsid wsp:val=&quot;00080D86&quot;/&gt;&lt;wsp:rsid wsp:val=&quot;0008123C&quot;/&gt;&lt;wsp:rsid wsp:val=&quot;000815B0&quot;/&gt;&lt;wsp:rsid wsp:val=&quot;000822F8&quot;/&gt;&lt;wsp:rsid wsp:val=&quot;0008289C&quot;/&gt;&lt;wsp:rsid wsp:val=&quot;00082ACC&quot;/&gt;&lt;wsp:rsid wsp:val=&quot;00082EC5&quot;/&gt;&lt;wsp:rsid wsp:val=&quot;00083307&quot;/&gt;&lt;wsp:rsid wsp:val=&quot;0008338D&quot;/&gt;&lt;wsp:rsid wsp:val=&quot;00083405&quot;/&gt;&lt;wsp:rsid wsp:val=&quot;00083653&quot;/&gt;&lt;wsp:rsid wsp:val=&quot;00083ADB&quot;/&gt;&lt;wsp:rsid wsp:val=&quot;00083BC4&quot;/&gt;&lt;wsp:rsid wsp:val=&quot;00083C79&quot;/&gt;&lt;wsp:rsid wsp:val=&quot;000845BC&quot;/&gt;&lt;wsp:rsid wsp:val=&quot;00084681&quot;/&gt;&lt;wsp:rsid wsp:val=&quot;000849E2&quot;/&gt;&lt;wsp:rsid wsp:val=&quot;00085033&quot;/&gt;&lt;wsp:rsid wsp:val=&quot;0008530A&quot;/&gt;&lt;wsp:rsid wsp:val=&quot;00085A95&quot;/&gt;&lt;wsp:rsid wsp:val=&quot;00085CFD&quot;/&gt;&lt;wsp:rsid wsp:val=&quot;0008620C&quot;/&gt;&lt;wsp:rsid wsp:val=&quot;00086329&quot;/&gt;&lt;wsp:rsid wsp:val=&quot;0008638E&quot;/&gt;&lt;wsp:rsid wsp:val=&quot;00086444&quot;/&gt;&lt;wsp:rsid wsp:val=&quot;00086BB9&quot;/&gt;&lt;wsp:rsid wsp:val=&quot;00087727&quot;/&gt;&lt;wsp:rsid wsp:val=&quot;000877E2&quot;/&gt;&lt;wsp:rsid wsp:val=&quot;00087AC4&quot;/&gt;&lt;wsp:rsid wsp:val=&quot;00087E23&quot;/&gt;&lt;wsp:rsid wsp:val=&quot;0009014C&quot;/&gt;&lt;wsp:rsid wsp:val=&quot;0009092E&quot;/&gt;&lt;wsp:rsid wsp:val=&quot;00090D88&quot;/&gt;&lt;wsp:rsid wsp:val=&quot;00091590&quot;/&gt;&lt;wsp:rsid wsp:val=&quot;0009167E&quot;/&gt;&lt;wsp:rsid wsp:val=&quot;00091B44&quot;/&gt;&lt;wsp:rsid wsp:val=&quot;00091DDD&quot;/&gt;&lt;wsp:rsid wsp:val=&quot;00092244&quot;/&gt;&lt;wsp:rsid wsp:val=&quot;000922A0&quot;/&gt;&lt;wsp:rsid wsp:val=&quot;0009250A&quot;/&gt;&lt;wsp:rsid wsp:val=&quot;00092832&quot;/&gt;&lt;wsp:rsid wsp:val=&quot;00092880&quot;/&gt;&lt;wsp:rsid wsp:val=&quot;000928B8&quot;/&gt;&lt;wsp:rsid wsp:val=&quot;00092BDB&quot;/&gt;&lt;wsp:rsid wsp:val=&quot;00092D38&quot;/&gt;&lt;wsp:rsid wsp:val=&quot;00092DF8&quot;/&gt;&lt;wsp:rsid wsp:val=&quot;00093306&quot;/&gt;&lt;wsp:rsid wsp:val=&quot;00093658&quot;/&gt;&lt;wsp:rsid wsp:val=&quot;000936D3&quot;/&gt;&lt;wsp:rsid wsp:val=&quot;00093D53&quot;/&gt;&lt;wsp:rsid wsp:val=&quot;00093FD6&quot;/&gt;&lt;wsp:rsid wsp:val=&quot;000943A3&quot;/&gt;&lt;wsp:rsid wsp:val=&quot;0009494C&quot;/&gt;&lt;wsp:rsid wsp:val=&quot;00094EE1&quot;/&gt;&lt;wsp:rsid wsp:val=&quot;00095196&quot;/&gt;&lt;wsp:rsid wsp:val=&quot;00095C3B&quot;/&gt;&lt;wsp:rsid wsp:val=&quot;00096485&quot;/&gt;&lt;wsp:rsid wsp:val=&quot;000964BF&quot;/&gt;&lt;wsp:rsid wsp:val=&quot;00096807&quot;/&gt;&lt;wsp:rsid wsp:val=&quot;00096843&quot;/&gt;&lt;wsp:rsid wsp:val=&quot;000968B5&quot;/&gt;&lt;wsp:rsid wsp:val=&quot;00096B2F&quot;/&gt;&lt;wsp:rsid wsp:val=&quot;00096F78&quot;/&gt;&lt;wsp:rsid wsp:val=&quot;00097521&quot;/&gt;&lt;wsp:rsid wsp:val=&quot;000978B1&quot;/&gt;&lt;wsp:rsid wsp:val=&quot;000A002B&quot;/&gt;&lt;wsp:rsid wsp:val=&quot;000A0434&quot;/&gt;&lt;wsp:rsid wsp:val=&quot;000A04F0&quot;/&gt;&lt;wsp:rsid wsp:val=&quot;000A08A6&quot;/&gt;&lt;wsp:rsid wsp:val=&quot;000A0932&quot;/&gt;&lt;wsp:rsid wsp:val=&quot;000A0A93&quot;/&gt;&lt;wsp:rsid wsp:val=&quot;000A0BB0&quot;/&gt;&lt;wsp:rsid wsp:val=&quot;000A0DA2&quot;/&gt;&lt;wsp:rsid wsp:val=&quot;000A16CC&quot;/&gt;&lt;wsp:rsid wsp:val=&quot;000A1A46&quot;/&gt;&lt;wsp:rsid wsp:val=&quot;000A1B18&quot;/&gt;&lt;wsp:rsid wsp:val=&quot;000A1C8A&quot;/&gt;&lt;wsp:rsid wsp:val=&quot;000A379F&quot;/&gt;&lt;wsp:rsid wsp:val=&quot;000A38E0&quot;/&gt;&lt;wsp:rsid wsp:val=&quot;000A39DE&quot;/&gt;&lt;wsp:rsid wsp:val=&quot;000A3C68&quot;/&gt;&lt;wsp:rsid wsp:val=&quot;000A3F95&quot;/&gt;&lt;wsp:rsid wsp:val=&quot;000A4373&quot;/&gt;&lt;wsp:rsid wsp:val=&quot;000A4670&quot;/&gt;&lt;wsp:rsid wsp:val=&quot;000A477D&quot;/&gt;&lt;wsp:rsid wsp:val=&quot;000A47CF&quot;/&gt;&lt;wsp:rsid wsp:val=&quot;000A4C05&quot;/&gt;&lt;wsp:rsid wsp:val=&quot;000A4D03&quot;/&gt;&lt;wsp:rsid wsp:val=&quot;000A4FB4&quot;/&gt;&lt;wsp:rsid wsp:val=&quot;000A4FF6&quot;/&gt;&lt;wsp:rsid wsp:val=&quot;000A512E&quot;/&gt;&lt;wsp:rsid wsp:val=&quot;000A525A&quot;/&gt;&lt;wsp:rsid wsp:val=&quot;000A52FF&quot;/&gt;&lt;wsp:rsid wsp:val=&quot;000A57A2&quot;/&gt;&lt;wsp:rsid wsp:val=&quot;000A5EA9&quot;/&gt;&lt;wsp:rsid wsp:val=&quot;000A611E&quot;/&gt;&lt;wsp:rsid wsp:val=&quot;000A6372&quot;/&gt;&lt;wsp:rsid wsp:val=&quot;000A68B1&quot;/&gt;&lt;wsp:rsid wsp:val=&quot;000A6AAC&quot;/&gt;&lt;wsp:rsid wsp:val=&quot;000A6BF9&quot;/&gt;&lt;wsp:rsid wsp:val=&quot;000A6E06&quot;/&gt;&lt;wsp:rsid wsp:val=&quot;000A718C&quot;/&gt;&lt;wsp:rsid wsp:val=&quot;000A741A&quot;/&gt;&lt;wsp:rsid wsp:val=&quot;000A7430&quot;/&gt;&lt;wsp:rsid wsp:val=&quot;000A7482&quot;/&gt;&lt;wsp:rsid wsp:val=&quot;000A7895&quot;/&gt;&lt;wsp:rsid wsp:val=&quot;000A7BD7&quot;/&gt;&lt;wsp:rsid wsp:val=&quot;000A7D80&quot;/&gt;&lt;wsp:rsid wsp:val=&quot;000B1142&quot;/&gt;&lt;wsp:rsid wsp:val=&quot;000B1322&quot;/&gt;&lt;wsp:rsid wsp:val=&quot;000B149A&quot;/&gt;&lt;wsp:rsid wsp:val=&quot;000B14DF&quot;/&gt;&lt;wsp:rsid wsp:val=&quot;000B167D&quot;/&gt;&lt;wsp:rsid wsp:val=&quot;000B1B67&quot;/&gt;&lt;wsp:rsid wsp:val=&quot;000B1E31&quot;/&gt;&lt;wsp:rsid wsp:val=&quot;000B221A&quot;/&gt;&lt;wsp:rsid wsp:val=&quot;000B251B&quot;/&gt;&lt;wsp:rsid wsp:val=&quot;000B25C3&quot;/&gt;&lt;wsp:rsid wsp:val=&quot;000B27FD&quot;/&gt;&lt;wsp:rsid wsp:val=&quot;000B286C&quot;/&gt;&lt;wsp:rsid wsp:val=&quot;000B2B47&quot;/&gt;&lt;wsp:rsid wsp:val=&quot;000B2B6B&quot;/&gt;&lt;wsp:rsid wsp:val=&quot;000B2C1A&quot;/&gt;&lt;wsp:rsid wsp:val=&quot;000B2EB4&quot;/&gt;&lt;wsp:rsid wsp:val=&quot;000B3481&quot;/&gt;&lt;wsp:rsid wsp:val=&quot;000B3B79&quot;/&gt;&lt;wsp:rsid wsp:val=&quot;000B4097&quot;/&gt;&lt;wsp:rsid wsp:val=&quot;000B40D5&quot;/&gt;&lt;wsp:rsid wsp:val=&quot;000B439E&quot;/&gt;&lt;wsp:rsid wsp:val=&quot;000B4880&quot;/&gt;&lt;wsp:rsid wsp:val=&quot;000B4C48&quot;/&gt;&lt;wsp:rsid wsp:val=&quot;000B51E8&quot;/&gt;&lt;wsp:rsid wsp:val=&quot;000B5B75&quot;/&gt;&lt;wsp:rsid wsp:val=&quot;000B5B94&quot;/&gt;&lt;wsp:rsid wsp:val=&quot;000B5C9E&quot;/&gt;&lt;wsp:rsid wsp:val=&quot;000B641C&quot;/&gt;&lt;wsp:rsid wsp:val=&quot;000B6424&quot;/&gt;&lt;wsp:rsid wsp:val=&quot;000B6501&quot;/&gt;&lt;wsp:rsid wsp:val=&quot;000B6618&quot;/&gt;&lt;wsp:rsid wsp:val=&quot;000B693A&quot;/&gt;&lt;wsp:rsid wsp:val=&quot;000B69BA&quot;/&gt;&lt;wsp:rsid wsp:val=&quot;000B6EF4&quot;/&gt;&lt;wsp:rsid wsp:val=&quot;000B6F17&quot;/&gt;&lt;wsp:rsid wsp:val=&quot;000B6F8A&quot;/&gt;&lt;wsp:rsid wsp:val=&quot;000B7311&quot;/&gt;&lt;wsp:rsid wsp:val=&quot;000B7768&quot;/&gt;&lt;wsp:rsid wsp:val=&quot;000B79A3&quot;/&gt;&lt;wsp:rsid wsp:val=&quot;000C060E&quot;/&gt;&lt;wsp:rsid wsp:val=&quot;000C0854&quot;/&gt;&lt;wsp:rsid wsp:val=&quot;000C0E5A&quot;/&gt;&lt;wsp:rsid wsp:val=&quot;000C0F02&quot;/&gt;&lt;wsp:rsid wsp:val=&quot;000C134A&quot;/&gt;&lt;wsp:rsid wsp:val=&quot;000C1706&quot;/&gt;&lt;wsp:rsid wsp:val=&quot;000C1C1D&quot;/&gt;&lt;wsp:rsid wsp:val=&quot;000C1CF9&quot;/&gt;&lt;wsp:rsid wsp:val=&quot;000C1E63&quot;/&gt;&lt;wsp:rsid wsp:val=&quot;000C1FAA&quot;/&gt;&lt;wsp:rsid wsp:val=&quot;000C2A69&quot;/&gt;&lt;wsp:rsid wsp:val=&quot;000C313A&quot;/&gt;&lt;wsp:rsid wsp:val=&quot;000C313D&quot;/&gt;&lt;wsp:rsid wsp:val=&quot;000C324D&quot;/&gt;&lt;wsp:rsid wsp:val=&quot;000C3271&quot;/&gt;&lt;wsp:rsid wsp:val=&quot;000C34E4&quot;/&gt;&lt;wsp:rsid wsp:val=&quot;000C3563&quot;/&gt;&lt;wsp:rsid wsp:val=&quot;000C36F0&quot;/&gt;&lt;wsp:rsid wsp:val=&quot;000C3850&quot;/&gt;&lt;wsp:rsid wsp:val=&quot;000C3B1C&quot;/&gt;&lt;wsp:rsid wsp:val=&quot;000C3D26&quot;/&gt;&lt;wsp:rsid wsp:val=&quot;000C3E41&quot;/&gt;&lt;wsp:rsid wsp:val=&quot;000C40E5&quot;/&gt;&lt;wsp:rsid wsp:val=&quot;000C458C&quot;/&gt;&lt;wsp:rsid wsp:val=&quot;000C4D5D&quot;/&gt;&lt;wsp:rsid wsp:val=&quot;000C55A4&quot;/&gt;&lt;wsp:rsid wsp:val=&quot;000C5DF7&quot;/&gt;&lt;wsp:rsid wsp:val=&quot;000C6617&quot;/&gt;&lt;wsp:rsid wsp:val=&quot;000C68A4&quot;/&gt;&lt;wsp:rsid wsp:val=&quot;000C695C&quot;/&gt;&lt;wsp:rsid wsp:val=&quot;000C7051&quot;/&gt;&lt;wsp:rsid wsp:val=&quot;000C75BD&quot;/&gt;&lt;wsp:rsid wsp:val=&quot;000C771E&quot;/&gt;&lt;wsp:rsid wsp:val=&quot;000C7AF7&quot;/&gt;&lt;wsp:rsid wsp:val=&quot;000C7FDE&quot;/&gt;&lt;wsp:rsid wsp:val=&quot;000D024B&quot;/&gt;&lt;wsp:rsid wsp:val=&quot;000D03D3&quot;/&gt;&lt;wsp:rsid wsp:val=&quot;000D04D2&quot;/&gt;&lt;wsp:rsid wsp:val=&quot;000D05CB&quot;/&gt;&lt;wsp:rsid wsp:val=&quot;000D06AA&quot;/&gt;&lt;wsp:rsid wsp:val=&quot;000D0A5E&quot;/&gt;&lt;wsp:rsid wsp:val=&quot;000D0E34&quot;/&gt;&lt;wsp:rsid wsp:val=&quot;000D123D&quot;/&gt;&lt;wsp:rsid wsp:val=&quot;000D12B2&quot;/&gt;&lt;wsp:rsid wsp:val=&quot;000D1489&quot;/&gt;&lt;wsp:rsid wsp:val=&quot;000D1698&quot;/&gt;&lt;wsp:rsid wsp:val=&quot;000D1A50&quot;/&gt;&lt;wsp:rsid wsp:val=&quot;000D1C03&quot;/&gt;&lt;wsp:rsid wsp:val=&quot;000D1D53&quot;/&gt;&lt;wsp:rsid wsp:val=&quot;000D232C&quot;/&gt;&lt;wsp:rsid wsp:val=&quot;000D285E&quot;/&gt;&lt;wsp:rsid wsp:val=&quot;000D28F0&quot;/&gt;&lt;wsp:rsid wsp:val=&quot;000D296A&quot;/&gt;&lt;wsp:rsid wsp:val=&quot;000D2992&quot;/&gt;&lt;wsp:rsid wsp:val=&quot;000D2C72&quot;/&gt;&lt;wsp:rsid wsp:val=&quot;000D31FD&quot;/&gt;&lt;wsp:rsid wsp:val=&quot;000D3378&quot;/&gt;&lt;wsp:rsid wsp:val=&quot;000D35B2&quot;/&gt;&lt;wsp:rsid wsp:val=&quot;000D3671&quot;/&gt;&lt;wsp:rsid wsp:val=&quot;000D409D&quot;/&gt;&lt;wsp:rsid wsp:val=&quot;000D4513&quot;/&gt;&lt;wsp:rsid wsp:val=&quot;000D4CD0&quot;/&gt;&lt;wsp:rsid wsp:val=&quot;000D4D1D&quot;/&gt;&lt;wsp:rsid wsp:val=&quot;000D4DC6&quot;/&gt;&lt;wsp:rsid wsp:val=&quot;000D4F86&quot;/&gt;&lt;wsp:rsid wsp:val=&quot;000D50D1&quot;/&gt;&lt;wsp:rsid wsp:val=&quot;000D54E7&quot;/&gt;&lt;wsp:rsid wsp:val=&quot;000D5542&quot;/&gt;&lt;wsp:rsid wsp:val=&quot;000D569C&quot;/&gt;&lt;wsp:rsid wsp:val=&quot;000D57B5&quot;/&gt;&lt;wsp:rsid wsp:val=&quot;000D580C&quot;/&gt;&lt;wsp:rsid wsp:val=&quot;000D5848&quot;/&gt;&lt;wsp:rsid wsp:val=&quot;000D59E3&quot;/&gt;&lt;wsp:rsid wsp:val=&quot;000D5ACC&quot;/&gt;&lt;wsp:rsid wsp:val=&quot;000D5E6D&quot;/&gt;&lt;wsp:rsid wsp:val=&quot;000D5ED1&quot;/&gt;&lt;wsp:rsid wsp:val=&quot;000D6903&quot;/&gt;&lt;wsp:rsid wsp:val=&quot;000D6F84&quot;/&gt;&lt;wsp:rsid wsp:val=&quot;000D6FE1&quot;/&gt;&lt;wsp:rsid wsp:val=&quot;000D708D&quot;/&gt;&lt;wsp:rsid wsp:val=&quot;000D753B&quot;/&gt;&lt;wsp:rsid wsp:val=&quot;000D7FBD&quot;/&gt;&lt;wsp:rsid wsp:val=&quot;000E00E8&quot;/&gt;&lt;wsp:rsid wsp:val=&quot;000E013F&quot;/&gt;&lt;wsp:rsid wsp:val=&quot;000E08A7&quot;/&gt;&lt;wsp:rsid wsp:val=&quot;000E0D19&quot;/&gt;&lt;wsp:rsid wsp:val=&quot;000E1064&quot;/&gt;&lt;wsp:rsid wsp:val=&quot;000E1137&quot;/&gt;&lt;wsp:rsid wsp:val=&quot;000E1324&quot;/&gt;&lt;wsp:rsid wsp:val=&quot;000E147C&quot;/&gt;&lt;wsp:rsid wsp:val=&quot;000E16EE&quot;/&gt;&lt;wsp:rsid wsp:val=&quot;000E1736&quot;/&gt;&lt;wsp:rsid wsp:val=&quot;000E1B5F&quot;/&gt;&lt;wsp:rsid wsp:val=&quot;000E20CF&quot;/&gt;&lt;wsp:rsid wsp:val=&quot;000E2277&quot;/&gt;&lt;wsp:rsid wsp:val=&quot;000E22A7&quot;/&gt;&lt;wsp:rsid wsp:val=&quot;000E22ED&quot;/&gt;&lt;wsp:rsid wsp:val=&quot;000E25F1&quot;/&gt;&lt;wsp:rsid wsp:val=&quot;000E2A13&quot;/&gt;&lt;wsp:rsid wsp:val=&quot;000E32F7&quot;/&gt;&lt;wsp:rsid wsp:val=&quot;000E381E&quot;/&gt;&lt;wsp:rsid wsp:val=&quot;000E3AEB&quot;/&gt;&lt;wsp:rsid wsp:val=&quot;000E4019&quot;/&gt;&lt;wsp:rsid wsp:val=&quot;000E4421&quot;/&gt;&lt;wsp:rsid wsp:val=&quot;000E4906&quot;/&gt;&lt;wsp:rsid wsp:val=&quot;000E4CA2&quot;/&gt;&lt;wsp:rsid wsp:val=&quot;000E4F6D&quot;/&gt;&lt;wsp:rsid wsp:val=&quot;000E5496&quot;/&gt;&lt;wsp:rsid wsp:val=&quot;000E56AD&quot;/&gt;&lt;wsp:rsid wsp:val=&quot;000E56C5&quot;/&gt;&lt;wsp:rsid wsp:val=&quot;000E5B04&quot;/&gt;&lt;wsp:rsid wsp:val=&quot;000E64B9&quot;/&gt;&lt;wsp:rsid wsp:val=&quot;000E6562&quot;/&gt;&lt;wsp:rsid wsp:val=&quot;000E6586&quot;/&gt;&lt;wsp:rsid wsp:val=&quot;000E72CA&quot;/&gt;&lt;wsp:rsid wsp:val=&quot;000E7460&quot;/&gt;&lt;wsp:rsid wsp:val=&quot;000E785F&quot;/&gt;&lt;wsp:rsid wsp:val=&quot;000F0095&quot;/&gt;&lt;wsp:rsid wsp:val=&quot;000F0866&quot;/&gt;&lt;wsp:rsid wsp:val=&quot;000F08DE&quot;/&gt;&lt;wsp:rsid wsp:val=&quot;000F0AEA&quot;/&gt;&lt;wsp:rsid wsp:val=&quot;000F0B14&quot;/&gt;&lt;wsp:rsid wsp:val=&quot;000F0D9D&quot;/&gt;&lt;wsp:rsid wsp:val=&quot;000F1187&quot;/&gt;&lt;wsp:rsid wsp:val=&quot;000F13C2&quot;/&gt;&lt;wsp:rsid wsp:val=&quot;000F15F2&quot;/&gt;&lt;wsp:rsid wsp:val=&quot;000F1830&quot;/&gt;&lt;wsp:rsid wsp:val=&quot;000F2759&quot;/&gt;&lt;wsp:rsid wsp:val=&quot;000F317F&quot;/&gt;&lt;wsp:rsid wsp:val=&quot;000F337B&quot;/&gt;&lt;wsp:rsid wsp:val=&quot;000F3CC7&quot;/&gt;&lt;wsp:rsid wsp:val=&quot;000F403D&quot;/&gt;&lt;wsp:rsid wsp:val=&quot;000F4287&quot;/&gt;&lt;wsp:rsid wsp:val=&quot;000F4389&quot;/&gt;&lt;wsp:rsid wsp:val=&quot;000F484B&quot;/&gt;&lt;wsp:rsid wsp:val=&quot;000F4FAE&quot;/&gt;&lt;wsp:rsid wsp:val=&quot;000F5591&quot;/&gt;&lt;wsp:rsid wsp:val=&quot;000F57E4&quot;/&gt;&lt;wsp:rsid wsp:val=&quot;000F5C16&quot;/&gt;&lt;wsp:rsid wsp:val=&quot;000F60E6&quot;/&gt;&lt;wsp:rsid wsp:val=&quot;000F6F5B&quot;/&gt;&lt;wsp:rsid wsp:val=&quot;000F743B&quot;/&gt;&lt;wsp:rsid wsp:val=&quot;000F79ED&quot;/&gt;&lt;wsp:rsid wsp:val=&quot;000F7E8F&quot;/&gt;&lt;wsp:rsid wsp:val=&quot;00100565&quot;/&gt;&lt;wsp:rsid wsp:val=&quot;0010079F&quot;/&gt;&lt;wsp:rsid wsp:val=&quot;001007F6&quot;/&gt;&lt;wsp:rsid wsp:val=&quot;0010085A&quot;/&gt;&lt;wsp:rsid wsp:val=&quot;00100B18&quot;/&gt;&lt;wsp:rsid wsp:val=&quot;00100C0C&quot;/&gt;&lt;wsp:rsid wsp:val=&quot;00100FA1&quot;/&gt;&lt;wsp:rsid wsp:val=&quot;00100FA5&quot;/&gt;&lt;wsp:rsid wsp:val=&quot;0010136D&quot;/&gt;&lt;wsp:rsid wsp:val=&quot;001013C0&quot;/&gt;&lt;wsp:rsid wsp:val=&quot;0010153E&quot;/&gt;&lt;wsp:rsid wsp:val=&quot;001017D1&quot;/&gt;&lt;wsp:rsid wsp:val=&quot;00101889&quot;/&gt;&lt;wsp:rsid wsp:val=&quot;00101BF0&quot;/&gt;&lt;wsp:rsid wsp:val=&quot;00102343&quot;/&gt;&lt;wsp:rsid wsp:val=&quot;00102433&quot;/&gt;&lt;wsp:rsid wsp:val=&quot;00102564&quot;/&gt;&lt;wsp:rsid wsp:val=&quot;001028FB&quot;/&gt;&lt;wsp:rsid wsp:val=&quot;0010291C&quot;/&gt;&lt;wsp:rsid wsp:val=&quot;00102B88&quot;/&gt;&lt;wsp:rsid wsp:val=&quot;00102C99&quot;/&gt;&lt;wsp:rsid wsp:val=&quot;00103887&quot;/&gt;&lt;wsp:rsid wsp:val=&quot;00103962&quot;/&gt;&lt;wsp:rsid wsp:val=&quot;00103D38&quot;/&gt;&lt;wsp:rsid wsp:val=&quot;00104722&quot;/&gt;&lt;wsp:rsid wsp:val=&quot;00104A66&quot;/&gt;&lt;wsp:rsid wsp:val=&quot;00104A96&quot;/&gt;&lt;wsp:rsid wsp:val=&quot;00104DF2&quot;/&gt;&lt;wsp:rsid wsp:val=&quot;00104E38&quot;/&gt;&lt;wsp:rsid wsp:val=&quot;00104E39&quot;/&gt;&lt;wsp:rsid wsp:val=&quot;001053AC&quot;/&gt;&lt;wsp:rsid wsp:val=&quot;001055E1&quot;/&gt;&lt;wsp:rsid wsp:val=&quot;001057A1&quot;/&gt;&lt;wsp:rsid wsp:val=&quot;00105C11&quot;/&gt;&lt;wsp:rsid wsp:val=&quot;00105CA0&quot;/&gt;&lt;wsp:rsid wsp:val=&quot;0010630B&quot;/&gt;&lt;wsp:rsid wsp:val=&quot;0010653D&quot;/&gt;&lt;wsp:rsid wsp:val=&quot;0010728C&quot;/&gt;&lt;wsp:rsid wsp:val=&quot;00107807&quot;/&gt;&lt;wsp:rsid wsp:val=&quot;0010780B&quot;/&gt;&lt;wsp:rsid wsp:val=&quot;0010794E&quot;/&gt;&lt;wsp:rsid wsp:val=&quot;00107B11&quot;/&gt;&lt;wsp:rsid wsp:val=&quot;00107B79&quot;/&gt;&lt;wsp:rsid wsp:val=&quot;00107D7C&quot;/&gt;&lt;wsp:rsid wsp:val=&quot;00107DE6&quot;/&gt;&lt;wsp:rsid wsp:val=&quot;00110460&quot;/&gt;&lt;wsp:rsid wsp:val=&quot;00110AD1&quot;/&gt;&lt;wsp:rsid wsp:val=&quot;00110B44&quot;/&gt;&lt;wsp:rsid wsp:val=&quot;00110C30&quot;/&gt;&lt;wsp:rsid wsp:val=&quot;00110DE8&quot;/&gt;&lt;wsp:rsid wsp:val=&quot;00111278&quot;/&gt;&lt;wsp:rsid wsp:val=&quot;00111481&quot;/&gt;&lt;wsp:rsid wsp:val=&quot;00111703&quot;/&gt;&lt;wsp:rsid wsp:val=&quot;001122D9&quot;/&gt;&lt;wsp:rsid wsp:val=&quot;001125E5&quot;/&gt;&lt;wsp:rsid wsp:val=&quot;001125E7&quot;/&gt;&lt;wsp:rsid wsp:val=&quot;0011327A&quot;/&gt;&lt;wsp:rsid wsp:val=&quot;001132D9&quot;/&gt;&lt;wsp:rsid wsp:val=&quot;00113605&quot;/&gt;&lt;wsp:rsid wsp:val=&quot;00113943&quot;/&gt;&lt;wsp:rsid wsp:val=&quot;00113975&quot;/&gt;&lt;wsp:rsid wsp:val=&quot;00113AE1&quot;/&gt;&lt;wsp:rsid wsp:val=&quot;00113D29&quot;/&gt;&lt;wsp:rsid wsp:val=&quot;0011400E&quot;/&gt;&lt;wsp:rsid wsp:val=&quot;0011403F&quot;/&gt;&lt;wsp:rsid wsp:val=&quot;001144DA&quot;/&gt;&lt;wsp:rsid wsp:val=&quot;0011463D&quot;/&gt;&lt;wsp:rsid wsp:val=&quot;001147C3&quot;/&gt;&lt;wsp:rsid wsp:val=&quot;00115092&quot;/&gt;&lt;wsp:rsid wsp:val=&quot;001151F3&quot;/&gt;&lt;wsp:rsid wsp:val=&quot;001151FC&quot;/&gt;&lt;wsp:rsid wsp:val=&quot;00115369&quot;/&gt;&lt;wsp:rsid wsp:val=&quot;00115564&quot;/&gt;&lt;wsp:rsid wsp:val=&quot;00115E0B&quot;/&gt;&lt;wsp:rsid wsp:val=&quot;00115E7A&quot;/&gt;&lt;wsp:rsid wsp:val=&quot;00115FB8&quot;/&gt;&lt;wsp:rsid wsp:val=&quot;001163B4&quot;/&gt;&lt;wsp:rsid wsp:val=&quot;0011652B&quot;/&gt;&lt;wsp:rsid wsp:val=&quot;0011673A&quot;/&gt;&lt;wsp:rsid wsp:val=&quot;001167F3&quot;/&gt;&lt;wsp:rsid wsp:val=&quot;0011681B&quot;/&gt;&lt;wsp:rsid wsp:val=&quot;00116D9F&quot;/&gt;&lt;wsp:rsid wsp:val=&quot;00117135&quot;/&gt;&lt;wsp:rsid wsp:val=&quot;00117DF4&quot;/&gt;&lt;wsp:rsid wsp:val=&quot;00117E44&quot;/&gt;&lt;wsp:rsid wsp:val=&quot;001208F5&quot;/&gt;&lt;wsp:rsid wsp:val=&quot;00120EEF&quot;/&gt;&lt;wsp:rsid wsp:val=&quot;00121126&quot;/&gt;&lt;wsp:rsid wsp:val=&quot;00121370&quot;/&gt;&lt;wsp:rsid wsp:val=&quot;00121427&quot;/&gt;&lt;wsp:rsid wsp:val=&quot;00121B9F&quot;/&gt;&lt;wsp:rsid wsp:val=&quot;001225E5&quot;/&gt;&lt;wsp:rsid wsp:val=&quot;00123406&quot;/&gt;&lt;wsp:rsid wsp:val=&quot;00124033&quot;/&gt;&lt;wsp:rsid wsp:val=&quot;0012413D&quot;/&gt;&lt;wsp:rsid wsp:val=&quot;0012415F&quot;/&gt;&lt;wsp:rsid wsp:val=&quot;0012466D&quot;/&gt;&lt;wsp:rsid wsp:val=&quot;001246E9&quot;/&gt;&lt;wsp:rsid wsp:val=&quot;00124768&quot;/&gt;&lt;wsp:rsid wsp:val=&quot;0012480C&quot;/&gt;&lt;wsp:rsid wsp:val=&quot;00124B97&quot;/&gt;&lt;wsp:rsid wsp:val=&quot;00124D10&quot;/&gt;&lt;wsp:rsid wsp:val=&quot;00124EFA&quot;/&gt;&lt;wsp:rsid wsp:val=&quot;001253F8&quot;/&gt;&lt;wsp:rsid wsp:val=&quot;001256E6&quot;/&gt;&lt;wsp:rsid wsp:val=&quot;00125704&quot;/&gt;&lt;wsp:rsid wsp:val=&quot;00125993&quot;/&gt;&lt;wsp:rsid wsp:val=&quot;00125E3E&quot;/&gt;&lt;wsp:rsid wsp:val=&quot;00125EC8&quot;/&gt;&lt;wsp:rsid wsp:val=&quot;001267F3&quot;/&gt;&lt;wsp:rsid wsp:val=&quot;00126B33&quot;/&gt;&lt;wsp:rsid wsp:val=&quot;00126B66&quot;/&gt;&lt;wsp:rsid wsp:val=&quot;00126C2D&quot;/&gt;&lt;wsp:rsid wsp:val=&quot;001275D2&quot;/&gt;&lt;wsp:rsid wsp:val=&quot;0012786E&quot;/&gt;&lt;wsp:rsid wsp:val=&quot;00127BAB&quot;/&gt;&lt;wsp:rsid wsp:val=&quot;00127E98&quot;/&gt;&lt;wsp:rsid wsp:val=&quot;00127FB2&quot;/&gt;&lt;wsp:rsid wsp:val=&quot;00127FB5&quot;/&gt;&lt;wsp:rsid wsp:val=&quot;00130A74&quot;/&gt;&lt;wsp:rsid wsp:val=&quot;00130C1F&quot;/&gt;&lt;wsp:rsid wsp:val=&quot;00130DF6&quot;/&gt;&lt;wsp:rsid wsp:val=&quot;001312C9&quot;/&gt;&lt;wsp:rsid wsp:val=&quot;001321C2&quot;/&gt;&lt;wsp:rsid wsp:val=&quot;0013228C&quot;/&gt;&lt;wsp:rsid wsp:val=&quot;00132445&quot;/&gt;&lt;wsp:rsid wsp:val=&quot;001324E1&quot;/&gt;&lt;wsp:rsid wsp:val=&quot;00132A51&quot;/&gt;&lt;wsp:rsid wsp:val=&quot;00132F01&quot;/&gt;&lt;wsp:rsid wsp:val=&quot;001331C9&quot;/&gt;&lt;wsp:rsid wsp:val=&quot;00133252&quot;/&gt;&lt;wsp:rsid wsp:val=&quot;0013329B&quot;/&gt;&lt;wsp:rsid wsp:val=&quot;0013382F&quot;/&gt;&lt;wsp:rsid wsp:val=&quot;00133B6E&quot;/&gt;&lt;wsp:rsid wsp:val=&quot;00133C59&quot;/&gt;&lt;wsp:rsid wsp:val=&quot;001340D6&quot;/&gt;&lt;wsp:rsid wsp:val=&quot;0013449E&quot;/&gt;&lt;wsp:rsid wsp:val=&quot;001348A5&quot;/&gt;&lt;wsp:rsid wsp:val=&quot;00134C65&quot;/&gt;&lt;wsp:rsid wsp:val=&quot;00135B13&quot;/&gt;&lt;wsp:rsid wsp:val=&quot;00135BE2&quot;/&gt;&lt;wsp:rsid wsp:val=&quot;00135E40&quot;/&gt;&lt;wsp:rsid wsp:val=&quot;00136038&quot;/&gt;&lt;wsp:rsid wsp:val=&quot;00136172&quot;/&gt;&lt;wsp:rsid wsp:val=&quot;00136726&quot;/&gt;&lt;wsp:rsid wsp:val=&quot;0013675C&quot;/&gt;&lt;wsp:rsid wsp:val=&quot;00136943&quot;/&gt;&lt;wsp:rsid wsp:val=&quot;00136DD5&quot;/&gt;&lt;wsp:rsid wsp:val=&quot;00137CD1&quot;/&gt;&lt;wsp:rsid wsp:val=&quot;00137DDF&quot;/&gt;&lt;wsp:rsid wsp:val=&quot;00140462&quot;/&gt;&lt;wsp:rsid wsp:val=&quot;001405F2&quot;/&gt;&lt;wsp:rsid wsp:val=&quot;00140671&quot;/&gt;&lt;wsp:rsid wsp:val=&quot;00140930&quot;/&gt;&lt;wsp:rsid wsp:val=&quot;00140D73&quot;/&gt;&lt;wsp:rsid wsp:val=&quot;0014116A&quot;/&gt;&lt;wsp:rsid wsp:val=&quot;0014122E&quot;/&gt;&lt;wsp:rsid wsp:val=&quot;001412BE&quot;/&gt;&lt;wsp:rsid wsp:val=&quot;0014148D&quot;/&gt;&lt;wsp:rsid wsp:val=&quot;00141775&quot;/&gt;&lt;wsp:rsid wsp:val=&quot;001419DB&quot;/&gt;&lt;wsp:rsid wsp:val=&quot;00141C07&quot;/&gt;&lt;wsp:rsid wsp:val=&quot;00141C08&quot;/&gt;&lt;wsp:rsid wsp:val=&quot;00141C38&quot;/&gt;&lt;wsp:rsid wsp:val=&quot;00141EB4&quot;/&gt;&lt;wsp:rsid wsp:val=&quot;00141F2E&quot;/&gt;&lt;wsp:rsid wsp:val=&quot;00141FDD&quot;/&gt;&lt;wsp:rsid wsp:val=&quot;0014294F&quot;/&gt;&lt;wsp:rsid wsp:val=&quot;001429CB&quot;/&gt;&lt;wsp:rsid wsp:val=&quot;00142FE8&quot;/&gt;&lt;wsp:rsid wsp:val=&quot;0014322A&quot;/&gt;&lt;wsp:rsid wsp:val=&quot;001436EE&quot;/&gt;&lt;wsp:rsid wsp:val=&quot;00143B0F&quot;/&gt;&lt;wsp:rsid wsp:val=&quot;00143BC4&quot;/&gt;&lt;wsp:rsid wsp:val=&quot;00143C67&quot;/&gt;&lt;wsp:rsid wsp:val=&quot;00143F7F&quot;/&gt;&lt;wsp:rsid wsp:val=&quot;00144047&quot;/&gt;&lt;wsp:rsid wsp:val=&quot;00144059&quot;/&gt;&lt;wsp:rsid wsp:val=&quot;001440E7&quot;/&gt;&lt;wsp:rsid wsp:val=&quot;00144344&quot;/&gt;&lt;wsp:rsid wsp:val=&quot;00144374&quot;/&gt;&lt;wsp:rsid wsp:val=&quot;0014437D&quot;/&gt;&lt;wsp:rsid wsp:val=&quot;0014466E&quot;/&gt;&lt;wsp:rsid wsp:val=&quot;00144673&quot;/&gt;&lt;wsp:rsid wsp:val=&quot;001446D2&quot;/&gt;&lt;wsp:rsid wsp:val=&quot;00144726&quot;/&gt;&lt;wsp:rsid wsp:val=&quot;00144767&quot;/&gt;&lt;wsp:rsid wsp:val=&quot;0014490D&quot;/&gt;&lt;wsp:rsid wsp:val=&quot;00144F35&quot;/&gt;&lt;wsp:rsid wsp:val=&quot;00145331&quot;/&gt;&lt;wsp:rsid wsp:val=&quot;001455DE&quot;/&gt;&lt;wsp:rsid wsp:val=&quot;00145803&quot;/&gt;&lt;wsp:rsid wsp:val=&quot;00145BF2&quot;/&gt;&lt;wsp:rsid wsp:val=&quot;00145C4D&quot;/&gt;&lt;wsp:rsid wsp:val=&quot;00146184&quot;/&gt;&lt;wsp:rsid wsp:val=&quot;00146391&quot;/&gt;&lt;wsp:rsid wsp:val=&quot;00146607&quot;/&gt;&lt;wsp:rsid wsp:val=&quot;0014699F&quot;/&gt;&lt;wsp:rsid wsp:val=&quot;00146A2F&quot;/&gt;&lt;wsp:rsid wsp:val=&quot;00146B05&quot;/&gt;&lt;wsp:rsid wsp:val=&quot;00146C8A&quot;/&gt;&lt;wsp:rsid wsp:val=&quot;00146D55&quot;/&gt;&lt;wsp:rsid wsp:val=&quot;00146F18&quot;/&gt;&lt;wsp:rsid wsp:val=&quot;00147126&quot;/&gt;&lt;wsp:rsid wsp:val=&quot;0014724F&quot;/&gt;&lt;wsp:rsid wsp:val=&quot;00147295&quot;/&gt;&lt;wsp:rsid wsp:val=&quot;00147818&quot;/&gt;&lt;wsp:rsid wsp:val=&quot;00147FEF&quot;/&gt;&lt;wsp:rsid wsp:val=&quot;00150376&quot;/&gt;&lt;wsp:rsid wsp:val=&quot;001503D0&quot;/&gt;&lt;wsp:rsid wsp:val=&quot;00150521&quot;/&gt;&lt;wsp:rsid wsp:val=&quot;00150814&quot;/&gt;&lt;wsp:rsid wsp:val=&quot;0015087D&quot;/&gt;&lt;wsp:rsid wsp:val=&quot;0015097F&quot;/&gt;&lt;wsp:rsid wsp:val=&quot;001509CA&quot;/&gt;&lt;wsp:rsid wsp:val=&quot;00150C1E&quot;/&gt;&lt;wsp:rsid wsp:val=&quot;0015167F&quot;/&gt;&lt;wsp:rsid wsp:val=&quot;00151943&quot;/&gt;&lt;wsp:rsid wsp:val=&quot;00151F94&quot;/&gt;&lt;wsp:rsid wsp:val=&quot;001524FB&quot;/&gt;&lt;wsp:rsid wsp:val=&quot;00152701&quot;/&gt;&lt;wsp:rsid wsp:val=&quot;00152B08&quot;/&gt;&lt;wsp:rsid wsp:val=&quot;00153540&quot;/&gt;&lt;wsp:rsid wsp:val=&quot;00153976&quot;/&gt;&lt;wsp:rsid wsp:val=&quot;00153DAE&quot;/&gt;&lt;wsp:rsid wsp:val=&quot;00153DC2&quot;/&gt;&lt;wsp:rsid wsp:val=&quot;001540BA&quot;/&gt;&lt;wsp:rsid wsp:val=&quot;00154274&quot;/&gt;&lt;wsp:rsid wsp:val=&quot;001543E0&quot;/&gt;&lt;wsp:rsid wsp:val=&quot;00154653&quot;/&gt;&lt;wsp:rsid wsp:val=&quot;00154F6D&quot;/&gt;&lt;wsp:rsid wsp:val=&quot;001556FC&quot;/&gt;&lt;wsp:rsid wsp:val=&quot;0015573A&quot;/&gt;&lt;wsp:rsid wsp:val=&quot;00155EEA&quot;/&gt;&lt;wsp:rsid wsp:val=&quot;00155FD9&quot;/&gt;&lt;wsp:rsid wsp:val=&quot;00156434&quot;/&gt;&lt;wsp:rsid wsp:val=&quot;00156556&quot;/&gt;&lt;wsp:rsid wsp:val=&quot;00156744&quot;/&gt;&lt;wsp:rsid wsp:val=&quot;00157387&quot;/&gt;&lt;wsp:rsid wsp:val=&quot;00157584&quot;/&gt;&lt;wsp:rsid wsp:val=&quot;001575D4&quot;/&gt;&lt;wsp:rsid wsp:val=&quot;001575F8&quot;/&gt;&lt;wsp:rsid wsp:val=&quot;00157648&quot;/&gt;&lt;wsp:rsid wsp:val=&quot;00157866&quot;/&gt;&lt;wsp:rsid wsp:val=&quot;00157980&quot;/&gt;&lt;wsp:rsid wsp:val=&quot;00157E05&quot;/&gt;&lt;wsp:rsid wsp:val=&quot;00160454&quot;/&gt;&lt;wsp:rsid wsp:val=&quot;0016058D&quot;/&gt;&lt;wsp:rsid wsp:val=&quot;001607E5&quot;/&gt;&lt;wsp:rsid wsp:val=&quot;00160980&quot;/&gt;&lt;wsp:rsid wsp:val=&quot;00160AD4&quot;/&gt;&lt;wsp:rsid wsp:val=&quot;00160BC7&quot;/&gt;&lt;wsp:rsid wsp:val=&quot;0016130B&quot;/&gt;&lt;wsp:rsid wsp:val=&quot;00161353&quot;/&gt;&lt;wsp:rsid wsp:val=&quot;00161462&quot;/&gt;&lt;wsp:rsid wsp:val=&quot;00161490&quot;/&gt;&lt;wsp:rsid wsp:val=&quot;0016182B&quot;/&gt;&lt;wsp:rsid wsp:val=&quot;00161DB9&quot;/&gt;&lt;wsp:rsid wsp:val=&quot;00162104&quot;/&gt;&lt;wsp:rsid wsp:val=&quot;00162740&quot;/&gt;&lt;wsp:rsid wsp:val=&quot;001628A9&quot;/&gt;&lt;wsp:rsid wsp:val=&quot;00162E69&quot;/&gt;&lt;wsp:rsid wsp:val=&quot;00163665&quot;/&gt;&lt;wsp:rsid wsp:val=&quot;00163743&quot;/&gt;&lt;wsp:rsid wsp:val=&quot;00163994&quot;/&gt;&lt;wsp:rsid wsp:val=&quot;001639AB&quot;/&gt;&lt;wsp:rsid wsp:val=&quot;001645C3&quot;/&gt;&lt;wsp:rsid wsp:val=&quot;00164650&quot;/&gt;&lt;wsp:rsid wsp:val=&quot;001649E4&quot;/&gt;&lt;wsp:rsid wsp:val=&quot;00164C4E&quot;/&gt;&lt;wsp:rsid wsp:val=&quot;00164FC4&quot;/&gt;&lt;wsp:rsid wsp:val=&quot;001657A1&quot;/&gt;&lt;wsp:rsid wsp:val=&quot;00165961&quot;/&gt;&lt;wsp:rsid wsp:val=&quot;00165B3A&quot;/&gt;&lt;wsp:rsid wsp:val=&quot;001669D3&quot;/&gt;&lt;wsp:rsid wsp:val=&quot;00166F4B&quot;/&gt;&lt;wsp:rsid wsp:val=&quot;00166FBD&quot;/&gt;&lt;wsp:rsid wsp:val=&quot;0016714B&quot;/&gt;&lt;wsp:rsid wsp:val=&quot;001674EC&quot;/&gt;&lt;wsp:rsid wsp:val=&quot;00167577&quot;/&gt;&lt;wsp:rsid wsp:val=&quot;0017016D&quot;/&gt;&lt;wsp:rsid wsp:val=&quot;001701DB&quot;/&gt;&lt;wsp:rsid wsp:val=&quot;001702AB&quot;/&gt;&lt;wsp:rsid wsp:val=&quot;001702D1&quot;/&gt;&lt;wsp:rsid wsp:val=&quot;001711EE&quot;/&gt;&lt;wsp:rsid wsp:val=&quot;001715F7&quot;/&gt;&lt;wsp:rsid wsp:val=&quot;00171C5B&quot;/&gt;&lt;wsp:rsid wsp:val=&quot;00171D1D&quot;/&gt;&lt;wsp:rsid wsp:val=&quot;00171D8A&quot;/&gt;&lt;wsp:rsid wsp:val=&quot;00172378&quot;/&gt;&lt;wsp:rsid wsp:val=&quot;001727E1&quot;/&gt;&lt;wsp:rsid wsp:val=&quot;0017294C&quot;/&gt;&lt;wsp:rsid wsp:val=&quot;00172971&quot;/&gt;&lt;wsp:rsid wsp:val=&quot;00173011&quot;/&gt;&lt;wsp:rsid wsp:val=&quot;0017323B&quot;/&gt;&lt;wsp:rsid wsp:val=&quot;00173241&quot;/&gt;&lt;wsp:rsid wsp:val=&quot;00173670&quot;/&gt;&lt;wsp:rsid wsp:val=&quot;0017389A&quot;/&gt;&lt;wsp:rsid wsp:val=&quot;00173C4A&quot;/&gt;&lt;wsp:rsid wsp:val=&quot;00173ECC&quot;/&gt;&lt;wsp:rsid wsp:val=&quot;00174454&quot;/&gt;&lt;wsp:rsid wsp:val=&quot;001745DE&quot;/&gt;&lt;wsp:rsid wsp:val=&quot;00175009&quot;/&gt;&lt;wsp:rsid wsp:val=&quot;001751C4&quot;/&gt;&lt;wsp:rsid wsp:val=&quot;00175348&quot;/&gt;&lt;wsp:rsid wsp:val=&quot;00175713&quot;/&gt;&lt;wsp:rsid wsp:val=&quot;00175844&quot;/&gt;&lt;wsp:rsid wsp:val=&quot;001762BD&quot;/&gt;&lt;wsp:rsid wsp:val=&quot;001769AA&quot;/&gt;&lt;wsp:rsid wsp:val=&quot;001773E7&quot;/&gt;&lt;wsp:rsid wsp:val=&quot;001774A5&quot;/&gt;&lt;wsp:rsid wsp:val=&quot;00177518&quot;/&gt;&lt;wsp:rsid wsp:val=&quot;001775EF&quot;/&gt;&lt;wsp:rsid wsp:val=&quot;00177C23&quot;/&gt;&lt;wsp:rsid wsp:val=&quot;00177C63&quot;/&gt;&lt;wsp:rsid wsp:val=&quot;00177D8A&quot;/&gt;&lt;wsp:rsid wsp:val=&quot;0018028C&quot;/&gt;&lt;wsp:rsid wsp:val=&quot;0018034A&quot;/&gt;&lt;wsp:rsid wsp:val=&quot;001804DC&quot;/&gt;&lt;wsp:rsid wsp:val=&quot;0018072A&quot;/&gt;&lt;wsp:rsid wsp:val=&quot;00180756&quot;/&gt;&lt;wsp:rsid wsp:val=&quot;001807D6&quot;/&gt;&lt;wsp:rsid wsp:val=&quot;00180838&quot;/&gt;&lt;wsp:rsid wsp:val=&quot;00180AB2&quot;/&gt;&lt;wsp:rsid wsp:val=&quot;00180AC9&quot;/&gt;&lt;wsp:rsid wsp:val=&quot;00180C62&quot;/&gt;&lt;wsp:rsid wsp:val=&quot;00180CB8&quot;/&gt;&lt;wsp:rsid wsp:val=&quot;0018185E&quot;/&gt;&lt;wsp:rsid wsp:val=&quot;00181916&quot;/&gt;&lt;wsp:rsid wsp:val=&quot;001819E1&quot;/&gt;&lt;wsp:rsid wsp:val=&quot;00181AF5&quot;/&gt;&lt;wsp:rsid wsp:val=&quot;00181D86&quot;/&gt;&lt;wsp:rsid wsp:val=&quot;00182435&quot;/&gt;&lt;wsp:rsid wsp:val=&quot;0018270F&quot;/&gt;&lt;wsp:rsid wsp:val=&quot;00182B5D&quot;/&gt;&lt;wsp:rsid wsp:val=&quot;00182C59&quot;/&gt;&lt;wsp:rsid wsp:val=&quot;00182D3D&quot;/&gt;&lt;wsp:rsid wsp:val=&quot;00182DD9&quot;/&gt;&lt;wsp:rsid wsp:val=&quot;001830E6&quot;/&gt;&lt;wsp:rsid wsp:val=&quot;001833EA&quot;/&gt;&lt;wsp:rsid wsp:val=&quot;0018344F&quot;/&gt;&lt;wsp:rsid wsp:val=&quot;00183C87&quot;/&gt;&lt;wsp:rsid wsp:val=&quot;00184DF4&quot;/&gt;&lt;wsp:rsid wsp:val=&quot;00184E1F&quot;/&gt;&lt;wsp:rsid wsp:val=&quot;00184E5F&quot;/&gt;&lt;wsp:rsid wsp:val=&quot;00184EA7&quot;/&gt;&lt;wsp:rsid wsp:val=&quot;00184F02&quot;/&gt;&lt;wsp:rsid wsp:val=&quot;001851CE&quot;/&gt;&lt;wsp:rsid wsp:val=&quot;001859B1&quot;/&gt;&lt;wsp:rsid wsp:val=&quot;0018645F&quot;/&gt;&lt;wsp:rsid wsp:val=&quot;00186981&quot;/&gt;&lt;wsp:rsid wsp:val=&quot;00186F25&quot;/&gt;&lt;wsp:rsid wsp:val=&quot;00187388&quot;/&gt;&lt;wsp:rsid wsp:val=&quot;00187D3C&quot;/&gt;&lt;wsp:rsid wsp:val=&quot;00187E46&quot;/&gt;&lt;wsp:rsid wsp:val=&quot;00190701&quot;/&gt;&lt;wsp:rsid wsp:val=&quot;00190B5D&quot;/&gt;&lt;wsp:rsid wsp:val=&quot;00190C3E&quot;/&gt;&lt;wsp:rsid wsp:val=&quot;00190EBA&quot;/&gt;&lt;wsp:rsid wsp:val=&quot;00191054&quot;/&gt;&lt;wsp:rsid wsp:val=&quot;0019249F&quot;/&gt;&lt;wsp:rsid wsp:val=&quot;00192717&quot;/&gt;&lt;wsp:rsid wsp:val=&quot;00192EA2&quot;/&gt;&lt;wsp:rsid wsp:val=&quot;00193079&quot;/&gt;&lt;wsp:rsid wsp:val=&quot;0019361F&quot;/&gt;&lt;wsp:rsid wsp:val=&quot;0019383D&quot;/&gt;&lt;wsp:rsid wsp:val=&quot;00194523&quot;/&gt;&lt;wsp:rsid wsp:val=&quot;0019482F&quot;/&gt;&lt;wsp:rsid wsp:val=&quot;00194E37&quot;/&gt;&lt;wsp:rsid wsp:val=&quot;00194EE0&quot;/&gt;&lt;wsp:rsid wsp:val=&quot;00195278&quot;/&gt;&lt;wsp:rsid wsp:val=&quot;001952EF&quot;/&gt;&lt;wsp:rsid wsp:val=&quot;0019531D&quot;/&gt;&lt;wsp:rsid wsp:val=&quot;001959E3&quot;/&gt;&lt;wsp:rsid wsp:val=&quot;00195B86&quot;/&gt;&lt;wsp:rsid wsp:val=&quot;00195F8B&quot;/&gt;&lt;wsp:rsid wsp:val=&quot;00196048&quot;/&gt;&lt;wsp:rsid wsp:val=&quot;00196061&quot;/&gt;&lt;wsp:rsid wsp:val=&quot;00196267&quot;/&gt;&lt;wsp:rsid wsp:val=&quot;001962DB&quot;/&gt;&lt;wsp:rsid wsp:val=&quot;001964A3&quot;/&gt;&lt;wsp:rsid wsp:val=&quot;001965B3&quot;/&gt;&lt;wsp:rsid wsp:val=&quot;0019674E&quot;/&gt;&lt;wsp:rsid wsp:val=&quot;0019686A&quot;/&gt;&lt;wsp:rsid wsp:val=&quot;00196903&quot;/&gt;&lt;wsp:rsid wsp:val=&quot;00196CEE&quot;/&gt;&lt;wsp:rsid wsp:val=&quot;00196D2C&quot;/&gt;&lt;wsp:rsid wsp:val=&quot;00196E61&quot;/&gt;&lt;wsp:rsid wsp:val=&quot;0019781F&quot;/&gt;&lt;wsp:rsid wsp:val=&quot;001978D8&quot;/&gt;&lt;wsp:rsid wsp:val=&quot;0019796F&quot;/&gt;&lt;wsp:rsid wsp:val=&quot;00197ACD&quot;/&gt;&lt;wsp:rsid wsp:val=&quot;00197BD5&quot;/&gt;&lt;wsp:rsid wsp:val=&quot;00197C63&quot;/&gt;&lt;wsp:rsid wsp:val=&quot;00197D10&quot;/&gt;&lt;wsp:rsid wsp:val=&quot;001A01F8&quot;/&gt;&lt;wsp:rsid wsp:val=&quot;001A0910&quot;/&gt;&lt;wsp:rsid wsp:val=&quot;001A0D8A&quot;/&gt;&lt;wsp:rsid wsp:val=&quot;001A1081&quot;/&gt;&lt;wsp:rsid wsp:val=&quot;001A137C&quot;/&gt;&lt;wsp:rsid wsp:val=&quot;001A15C6&quot;/&gt;&lt;wsp:rsid wsp:val=&quot;001A1E78&quot;/&gt;&lt;wsp:rsid wsp:val=&quot;001A24C9&quot;/&gt;&lt;wsp:rsid wsp:val=&quot;001A26BE&quot;/&gt;&lt;wsp:rsid wsp:val=&quot;001A2BC3&quot;/&gt;&lt;wsp:rsid wsp:val=&quot;001A3487&quot;/&gt;&lt;wsp:rsid wsp:val=&quot;001A3995&quot;/&gt;&lt;wsp:rsid wsp:val=&quot;001A4906&quot;/&gt;&lt;wsp:rsid wsp:val=&quot;001A4F58&quot;/&gt;&lt;wsp:rsid wsp:val=&quot;001A58EB&quot;/&gt;&lt;wsp:rsid wsp:val=&quot;001A5E4D&quot;/&gt;&lt;wsp:rsid wsp:val=&quot;001A5F78&quot;/&gt;&lt;wsp:rsid wsp:val=&quot;001A62C8&quot;/&gt;&lt;wsp:rsid wsp:val=&quot;001A642D&quot;/&gt;&lt;wsp:rsid wsp:val=&quot;001A65EA&quot;/&gt;&lt;wsp:rsid wsp:val=&quot;001A66B2&quot;/&gt;&lt;wsp:rsid wsp:val=&quot;001A7199&quot;/&gt;&lt;wsp:rsid wsp:val=&quot;001A7307&quot;/&gt;&lt;wsp:rsid wsp:val=&quot;001A786A&quot;/&gt;&lt;wsp:rsid wsp:val=&quot;001A7B4C&quot;/&gt;&lt;wsp:rsid wsp:val=&quot;001A7BCF&quot;/&gt;&lt;wsp:rsid wsp:val=&quot;001A7D02&quot;/&gt;&lt;wsp:rsid wsp:val=&quot;001A7E5E&quot;/&gt;&lt;wsp:rsid wsp:val=&quot;001A7E73&quot;/&gt;&lt;wsp:rsid wsp:val=&quot;001B0343&quot;/&gt;&lt;wsp:rsid wsp:val=&quot;001B0C29&quot;/&gt;&lt;wsp:rsid wsp:val=&quot;001B143F&quot;/&gt;&lt;wsp:rsid wsp:val=&quot;001B177A&quot;/&gt;&lt;wsp:rsid wsp:val=&quot;001B1E97&quot;/&gt;&lt;wsp:rsid wsp:val=&quot;001B1F9B&quot;/&gt;&lt;wsp:rsid wsp:val=&quot;001B2007&quot;/&gt;&lt;wsp:rsid wsp:val=&quot;001B24B5&quot;/&gt;&lt;wsp:rsid wsp:val=&quot;001B2C07&quot;/&gt;&lt;wsp:rsid wsp:val=&quot;001B2C65&quot;/&gt;&lt;wsp:rsid wsp:val=&quot;001B30B6&quot;/&gt;&lt;wsp:rsid wsp:val=&quot;001B3352&quot;/&gt;&lt;wsp:rsid wsp:val=&quot;001B366C&quot;/&gt;&lt;wsp:rsid wsp:val=&quot;001B480D&quot;/&gt;&lt;wsp:rsid wsp:val=&quot;001B50EC&quot;/&gt;&lt;wsp:rsid wsp:val=&quot;001B5245&quot;/&gt;&lt;wsp:rsid wsp:val=&quot;001B5723&quot;/&gt;&lt;wsp:rsid wsp:val=&quot;001B5778&quot;/&gt;&lt;wsp:rsid wsp:val=&quot;001B59EA&quot;/&gt;&lt;wsp:rsid wsp:val=&quot;001B5CF0&quot;/&gt;&lt;wsp:rsid wsp:val=&quot;001B5F1B&quot;/&gt;&lt;wsp:rsid wsp:val=&quot;001B5FC3&quot;/&gt;&lt;wsp:rsid wsp:val=&quot;001B6134&quot;/&gt;&lt;wsp:rsid wsp:val=&quot;001B62BE&quot;/&gt;&lt;wsp:rsid wsp:val=&quot;001B6449&quot;/&gt;&lt;wsp:rsid wsp:val=&quot;001B6589&quot;/&gt;&lt;wsp:rsid wsp:val=&quot;001B6727&quot;/&gt;&lt;wsp:rsid wsp:val=&quot;001B677A&quot;/&gt;&lt;wsp:rsid wsp:val=&quot;001B6841&quot;/&gt;&lt;wsp:rsid wsp:val=&quot;001B6EA0&quot;/&gt;&lt;wsp:rsid wsp:val=&quot;001B7237&quot;/&gt;&lt;wsp:rsid wsp:val=&quot;001B72A0&quot;/&gt;&lt;wsp:rsid wsp:val=&quot;001B72CE&quot;/&gt;&lt;wsp:rsid wsp:val=&quot;001B7314&quot;/&gt;&lt;wsp:rsid wsp:val=&quot;001B7436&quot;/&gt;&lt;wsp:rsid wsp:val=&quot;001B7EC8&quot;/&gt;&lt;wsp:rsid wsp:val=&quot;001C0401&quot;/&gt;&lt;wsp:rsid wsp:val=&quot;001C04E9&quot;/&gt;&lt;wsp:rsid wsp:val=&quot;001C0961&quot;/&gt;&lt;wsp:rsid wsp:val=&quot;001C0976&quot;/&gt;&lt;wsp:rsid wsp:val=&quot;001C09FF&quot;/&gt;&lt;wsp:rsid wsp:val=&quot;001C0A5F&quot;/&gt;&lt;wsp:rsid wsp:val=&quot;001C0AE9&quot;/&gt;&lt;wsp:rsid wsp:val=&quot;001C0B0E&quot;/&gt;&lt;wsp:rsid wsp:val=&quot;001C0C95&quot;/&gt;&lt;wsp:rsid wsp:val=&quot;001C0CD6&quot;/&gt;&lt;wsp:rsid wsp:val=&quot;001C16B9&quot;/&gt;&lt;wsp:rsid wsp:val=&quot;001C187C&quot;/&gt;&lt;wsp:rsid wsp:val=&quot;001C18C0&quot;/&gt;&lt;wsp:rsid wsp:val=&quot;001C1C58&quot;/&gt;&lt;wsp:rsid wsp:val=&quot;001C1CAC&quot;/&gt;&lt;wsp:rsid wsp:val=&quot;001C1CEE&quot;/&gt;&lt;wsp:rsid wsp:val=&quot;001C1D1F&quot;/&gt;&lt;wsp:rsid wsp:val=&quot;001C1D75&quot;/&gt;&lt;wsp:rsid wsp:val=&quot;001C2147&quot;/&gt;&lt;wsp:rsid wsp:val=&quot;001C26C9&quot;/&gt;&lt;wsp:rsid wsp:val=&quot;001C2A51&quot;/&gt;&lt;wsp:rsid wsp:val=&quot;001C2A5E&quot;/&gt;&lt;wsp:rsid wsp:val=&quot;001C2C7F&quot;/&gt;&lt;wsp:rsid wsp:val=&quot;001C2E20&quot;/&gt;&lt;wsp:rsid wsp:val=&quot;001C3050&quot;/&gt;&lt;wsp:rsid wsp:val=&quot;001C30A9&quot;/&gt;&lt;wsp:rsid wsp:val=&quot;001C3959&quot;/&gt;&lt;wsp:rsid wsp:val=&quot;001C3C48&quot;/&gt;&lt;wsp:rsid wsp:val=&quot;001C3C6C&quot;/&gt;&lt;wsp:rsid wsp:val=&quot;001C3F0F&quot;/&gt;&lt;wsp:rsid wsp:val=&quot;001C4AEA&quot;/&gt;&lt;wsp:rsid wsp:val=&quot;001C58BD&quot;/&gt;&lt;wsp:rsid wsp:val=&quot;001C5C69&quot;/&gt;&lt;wsp:rsid wsp:val=&quot;001C5C94&quot;/&gt;&lt;wsp:rsid wsp:val=&quot;001C5CEE&quot;/&gt;&lt;wsp:rsid wsp:val=&quot;001C5D71&quot;/&gt;&lt;wsp:rsid wsp:val=&quot;001C6447&quot;/&gt;&lt;wsp:rsid wsp:val=&quot;001C654D&quot;/&gt;&lt;wsp:rsid wsp:val=&quot;001C6B80&quot;/&gt;&lt;wsp:rsid wsp:val=&quot;001C70D3&quot;/&gt;&lt;wsp:rsid wsp:val=&quot;001C71F9&quot;/&gt;&lt;wsp:rsid wsp:val=&quot;001C7204&quot;/&gt;&lt;wsp:rsid wsp:val=&quot;001C7629&quot;/&gt;&lt;wsp:rsid wsp:val=&quot;001C7A9C&quot;/&gt;&lt;wsp:rsid wsp:val=&quot;001C7CE1&quot;/&gt;&lt;wsp:rsid wsp:val=&quot;001D00B9&quot;/&gt;&lt;wsp:rsid wsp:val=&quot;001D0A1C&quot;/&gt;&lt;wsp:rsid wsp:val=&quot;001D0B9D&quot;/&gt;&lt;wsp:rsid wsp:val=&quot;001D0C26&quot;/&gt;&lt;wsp:rsid wsp:val=&quot;001D0DE5&quot;/&gt;&lt;wsp:rsid wsp:val=&quot;001D10EF&quot;/&gt;&lt;wsp:rsid wsp:val=&quot;001D1184&quot;/&gt;&lt;wsp:rsid wsp:val=&quot;001D1322&quot;/&gt;&lt;wsp:rsid wsp:val=&quot;001D1489&quot;/&gt;&lt;wsp:rsid wsp:val=&quot;001D1803&quot;/&gt;&lt;wsp:rsid wsp:val=&quot;001D196E&quot;/&gt;&lt;wsp:rsid wsp:val=&quot;001D1F57&quot;/&gt;&lt;wsp:rsid wsp:val=&quot;001D2001&quot;/&gt;&lt;wsp:rsid wsp:val=&quot;001D2179&quot;/&gt;&lt;wsp:rsid wsp:val=&quot;001D23B3&quot;/&gt;&lt;wsp:rsid wsp:val=&quot;001D26B4&quot;/&gt;&lt;wsp:rsid wsp:val=&quot;001D26D4&quot;/&gt;&lt;wsp:rsid wsp:val=&quot;001D29DD&quot;/&gt;&lt;wsp:rsid wsp:val=&quot;001D2F24&quot;/&gt;&lt;wsp:rsid wsp:val=&quot;001D34A9&quot;/&gt;&lt;wsp:rsid wsp:val=&quot;001D38F3&quot;/&gt;&lt;wsp:rsid wsp:val=&quot;001D3900&quot;/&gt;&lt;wsp:rsid wsp:val=&quot;001D3B05&quot;/&gt;&lt;wsp:rsid wsp:val=&quot;001D4033&quot;/&gt;&lt;wsp:rsid wsp:val=&quot;001D40B1&quot;/&gt;&lt;wsp:rsid wsp:val=&quot;001D42F8&quot;/&gt;&lt;wsp:rsid wsp:val=&quot;001D45EE&quot;/&gt;&lt;wsp:rsid wsp:val=&quot;001D4B4C&quot;/&gt;&lt;wsp:rsid wsp:val=&quot;001D4BB6&quot;/&gt;&lt;wsp:rsid wsp:val=&quot;001D4C1E&quot;/&gt;&lt;wsp:rsid wsp:val=&quot;001D509C&quot;/&gt;&lt;wsp:rsid wsp:val=&quot;001D526E&quot;/&gt;&lt;wsp:rsid wsp:val=&quot;001D5701&quot;/&gt;&lt;wsp:rsid wsp:val=&quot;001D57C5&quot;/&gt;&lt;wsp:rsid wsp:val=&quot;001D5C93&quot;/&gt;&lt;wsp:rsid wsp:val=&quot;001D5E01&quot;/&gt;&lt;wsp:rsid wsp:val=&quot;001D5E5D&quot;/&gt;&lt;wsp:rsid wsp:val=&quot;001D5EE4&quot;/&gt;&lt;wsp:rsid wsp:val=&quot;001D6949&quot;/&gt;&lt;wsp:rsid wsp:val=&quot;001D73C5&quot;/&gt;&lt;wsp:rsid wsp:val=&quot;001D76F6&quot;/&gt;&lt;wsp:rsid wsp:val=&quot;001D775D&quot;/&gt;&lt;wsp:rsid wsp:val=&quot;001D786C&quot;/&gt;&lt;wsp:rsid wsp:val=&quot;001D7CC4&quot;/&gt;&lt;wsp:rsid wsp:val=&quot;001D7D2F&quot;/&gt;&lt;wsp:rsid wsp:val=&quot;001E0296&quot;/&gt;&lt;wsp:rsid wsp:val=&quot;001E04E8&quot;/&gt;&lt;wsp:rsid wsp:val=&quot;001E07A2&quot;/&gt;&lt;wsp:rsid wsp:val=&quot;001E08FD&quot;/&gt;&lt;wsp:rsid wsp:val=&quot;001E1354&quot;/&gt;&lt;wsp:rsid wsp:val=&quot;001E14B9&quot;/&gt;&lt;wsp:rsid wsp:val=&quot;001E18D9&quot;/&gt;&lt;wsp:rsid wsp:val=&quot;001E1FCF&quot;/&gt;&lt;wsp:rsid wsp:val=&quot;001E20FD&quot;/&gt;&lt;wsp:rsid wsp:val=&quot;001E2267&quot;/&gt;&lt;wsp:rsid wsp:val=&quot;001E2637&quot;/&gt;&lt;wsp:rsid wsp:val=&quot;001E2A20&quot;/&gt;&lt;wsp:rsid wsp:val=&quot;001E2D8A&quot;/&gt;&lt;wsp:rsid wsp:val=&quot;001E2EB0&quot;/&gt;&lt;wsp:rsid wsp:val=&quot;001E300D&quot;/&gt;&lt;wsp:rsid wsp:val=&quot;001E30B2&quot;/&gt;&lt;wsp:rsid wsp:val=&quot;001E373C&quot;/&gt;&lt;wsp:rsid wsp:val=&quot;001E3D7D&quot;/&gt;&lt;wsp:rsid wsp:val=&quot;001E3F78&quot;/&gt;&lt;wsp:rsid wsp:val=&quot;001E4198&quot;/&gt;&lt;wsp:rsid wsp:val=&quot;001E43ED&quot;/&gt;&lt;wsp:rsid wsp:val=&quot;001E4F2E&quot;/&gt;&lt;wsp:rsid wsp:val=&quot;001E5033&quot;/&gt;&lt;wsp:rsid wsp:val=&quot;001E5217&quot;/&gt;&lt;wsp:rsid wsp:val=&quot;001E572B&quot;/&gt;&lt;wsp:rsid wsp:val=&quot;001E5C1C&quot;/&gt;&lt;wsp:rsid wsp:val=&quot;001E5C97&quot;/&gt;&lt;wsp:rsid wsp:val=&quot;001E5EDA&quot;/&gt;&lt;wsp:rsid wsp:val=&quot;001E6651&quot;/&gt;&lt;wsp:rsid wsp:val=&quot;001E69EF&quot;/&gt;&lt;wsp:rsid wsp:val=&quot;001E6D44&quot;/&gt;&lt;wsp:rsid wsp:val=&quot;001E7750&quot;/&gt;&lt;wsp:rsid wsp:val=&quot;001E7880&quot;/&gt;&lt;wsp:rsid wsp:val=&quot;001E7EF3&quot;/&gt;&lt;wsp:rsid wsp:val=&quot;001E7F09&quot;/&gt;&lt;wsp:rsid wsp:val=&quot;001F059E&quot;/&gt;&lt;wsp:rsid wsp:val=&quot;001F087D&quot;/&gt;&lt;wsp:rsid wsp:val=&quot;001F0A2D&quot;/&gt;&lt;wsp:rsid wsp:val=&quot;001F0AF1&quot;/&gt;&lt;wsp:rsid wsp:val=&quot;001F1028&quot;/&gt;&lt;wsp:rsid wsp:val=&quot;001F1230&quot;/&gt;&lt;wsp:rsid wsp:val=&quot;001F1778&quot;/&gt;&lt;wsp:rsid wsp:val=&quot;001F1A47&quot;/&gt;&lt;wsp:rsid wsp:val=&quot;001F1C7D&quot;/&gt;&lt;wsp:rsid wsp:val=&quot;001F1D47&quot;/&gt;&lt;wsp:rsid wsp:val=&quot;001F2564&quot;/&gt;&lt;wsp:rsid wsp:val=&quot;001F2779&quot;/&gt;&lt;wsp:rsid wsp:val=&quot;001F2E44&quot;/&gt;&lt;wsp:rsid wsp:val=&quot;001F3051&quot;/&gt;&lt;wsp:rsid wsp:val=&quot;001F31D9&quot;/&gt;&lt;wsp:rsid wsp:val=&quot;001F342D&quot;/&gt;&lt;wsp:rsid wsp:val=&quot;001F35B9&quot;/&gt;&lt;wsp:rsid wsp:val=&quot;001F395C&quot;/&gt;&lt;wsp:rsid wsp:val=&quot;001F399A&quot;/&gt;&lt;wsp:rsid wsp:val=&quot;001F3B40&quot;/&gt;&lt;wsp:rsid wsp:val=&quot;001F4026&quot;/&gt;&lt;wsp:rsid wsp:val=&quot;001F42A4&quot;/&gt;&lt;wsp:rsid wsp:val=&quot;001F42DD&quot;/&gt;&lt;wsp:rsid wsp:val=&quot;001F44DE&quot;/&gt;&lt;wsp:rsid wsp:val=&quot;001F4A12&quot;/&gt;&lt;wsp:rsid wsp:val=&quot;001F4A64&quot;/&gt;&lt;wsp:rsid wsp:val=&quot;001F4B50&quot;/&gt;&lt;wsp:rsid wsp:val=&quot;001F591D&quot;/&gt;&lt;wsp:rsid wsp:val=&quot;001F5BFE&quot;/&gt;&lt;wsp:rsid wsp:val=&quot;001F5FAF&quot;/&gt;&lt;wsp:rsid wsp:val=&quot;001F6325&quot;/&gt;&lt;wsp:rsid wsp:val=&quot;001F653B&quot;/&gt;&lt;wsp:rsid wsp:val=&quot;001F678F&quot;/&gt;&lt;wsp:rsid wsp:val=&quot;001F69FE&quot;/&gt;&lt;wsp:rsid wsp:val=&quot;001F6A0A&quot;/&gt;&lt;wsp:rsid wsp:val=&quot;001F6C9D&quot;/&gt;&lt;wsp:rsid wsp:val=&quot;001F71DE&quot;/&gt;&lt;wsp:rsid wsp:val=&quot;001F728E&quot;/&gt;&lt;wsp:rsid wsp:val=&quot;001F7335&quot;/&gt;&lt;wsp:rsid wsp:val=&quot;001F746B&quot;/&gt;&lt;wsp:rsid wsp:val=&quot;001F783B&quot;/&gt;&lt;wsp:rsid wsp:val=&quot;002004B5&quot;/&gt;&lt;wsp:rsid wsp:val=&quot;00200A58&quot;/&gt;&lt;wsp:rsid wsp:val=&quot;0020115B&quot;/&gt;&lt;wsp:rsid wsp:val=&quot;0020118E&quot;/&gt;&lt;wsp:rsid wsp:val=&quot;00201390&quot;/&gt;&lt;wsp:rsid wsp:val=&quot;00201AD3&quot;/&gt;&lt;wsp:rsid wsp:val=&quot;00201B4F&quot;/&gt;&lt;wsp:rsid wsp:val=&quot;00202731&quot;/&gt;&lt;wsp:rsid wsp:val=&quot;00202FF3&quot;/&gt;&lt;wsp:rsid wsp:val=&quot;00203214&quot;/&gt;&lt;wsp:rsid wsp:val=&quot;00203669&quot;/&gt;&lt;wsp:rsid wsp:val=&quot;00203884&quot;/&gt;&lt;wsp:rsid wsp:val=&quot;00203A11&quot;/&gt;&lt;wsp:rsid wsp:val=&quot;00203A3D&quot;/&gt;&lt;wsp:rsid wsp:val=&quot;00203E63&quot;/&gt;&lt;wsp:rsid wsp:val=&quot;00203F61&quot;/&gt;&lt;wsp:rsid wsp:val=&quot;002040BA&quot;/&gt;&lt;wsp:rsid wsp:val=&quot;00204234&quot;/&gt;&lt;wsp:rsid wsp:val=&quot;00204CB2&quot;/&gt;&lt;wsp:rsid wsp:val=&quot;00204EB1&quot;/&gt;&lt;wsp:rsid wsp:val=&quot;002052F6&quot;/&gt;&lt;wsp:rsid wsp:val=&quot;00205787&quot;/&gt;&lt;wsp:rsid wsp:val=&quot;00205C1E&quot;/&gt;&lt;wsp:rsid wsp:val=&quot;002062A1&quot;/&gt;&lt;wsp:rsid wsp:val=&quot;002062ED&quot;/&gt;&lt;wsp:rsid wsp:val=&quot;002063F5&quot;/&gt;&lt;wsp:rsid wsp:val=&quot;00206B0F&quot;/&gt;&lt;wsp:rsid wsp:val=&quot;00206F17&quot;/&gt;&lt;wsp:rsid wsp:val=&quot;002070B9&quot;/&gt;&lt;wsp:rsid wsp:val=&quot;00207292&quot;/&gt;&lt;wsp:rsid wsp:val=&quot;00207A76&quot;/&gt;&lt;wsp:rsid wsp:val=&quot;00207E9C&quot;/&gt;&lt;wsp:rsid wsp:val=&quot;002109EC&quot;/&gt;&lt;wsp:rsid wsp:val=&quot;00210ED5&quot;/&gt;&lt;wsp:rsid wsp:val=&quot;0021131D&quot;/&gt;&lt;wsp:rsid wsp:val=&quot;00211415&quot;/&gt;&lt;wsp:rsid wsp:val=&quot;0021154F&quot;/&gt;&lt;wsp:rsid wsp:val=&quot;00211603&quot;/&gt;&lt;wsp:rsid wsp:val=&quot;0021178A&quot;/&gt;&lt;wsp:rsid wsp:val=&quot;00211A9D&quot;/&gt;&lt;wsp:rsid wsp:val=&quot;00211E3A&quot;/&gt;&lt;wsp:rsid wsp:val=&quot;00212629&quot;/&gt;&lt;wsp:rsid wsp:val=&quot;00212D0A&quot;/&gt;&lt;wsp:rsid wsp:val=&quot;0021342F&quot;/&gt;&lt;wsp:rsid wsp:val=&quot;00213716&quot;/&gt;&lt;wsp:rsid wsp:val=&quot;00213AA3&quot;/&gt;&lt;wsp:rsid wsp:val=&quot;00213AE7&quot;/&gt;&lt;wsp:rsid wsp:val=&quot;00213CD1&quot;/&gt;&lt;wsp:rsid wsp:val=&quot;002144B9&quot;/&gt;&lt;wsp:rsid wsp:val=&quot;002145B2&quot;/&gt;&lt;wsp:rsid wsp:val=&quot;002148B7&quot;/&gt;&lt;wsp:rsid wsp:val=&quot;00215153&quot;/&gt;&lt;wsp:rsid wsp:val=&quot;002152B4&quot;/&gt;&lt;wsp:rsid wsp:val=&quot;00215363&quot;/&gt;&lt;wsp:rsid wsp:val=&quot;002155D5&quot;/&gt;&lt;wsp:rsid wsp:val=&quot;002157D0&quot;/&gt;&lt;wsp:rsid wsp:val=&quot;002158BB&quot;/&gt;&lt;wsp:rsid wsp:val=&quot;00215923&quot;/&gt;&lt;wsp:rsid wsp:val=&quot;00215B16&quot;/&gt;&lt;wsp:rsid wsp:val=&quot;00216252&quot;/&gt;&lt;wsp:rsid wsp:val=&quot;00216A42&quot;/&gt;&lt;wsp:rsid wsp:val=&quot;0021762E&quot;/&gt;&lt;wsp:rsid wsp:val=&quot;00217863&quot;/&gt;&lt;wsp:rsid wsp:val=&quot;00217875&quot;/&gt;&lt;wsp:rsid wsp:val=&quot;00217C16&quot;/&gt;&lt;wsp:rsid wsp:val=&quot;00217CDD&quot;/&gt;&lt;wsp:rsid wsp:val=&quot;00217DF4&quot;/&gt;&lt;wsp:rsid wsp:val=&quot;00217FF3&quot;/&gt;&lt;wsp:rsid wsp:val=&quot;002201D1&quot;/&gt;&lt;wsp:rsid wsp:val=&quot;0022087F&quot;/&gt;&lt;wsp:rsid wsp:val=&quot;00220A70&quot;/&gt;&lt;wsp:rsid wsp:val=&quot;00220E2B&quot;/&gt;&lt;wsp:rsid wsp:val=&quot;00220FF9&quot;/&gt;&lt;wsp:rsid wsp:val=&quot;00221C9E&quot;/&gt;&lt;wsp:rsid wsp:val=&quot;00221CE5&quot;/&gt;&lt;wsp:rsid wsp:val=&quot;00222238&quot;/&gt;&lt;wsp:rsid wsp:val=&quot;002223C9&quot;/&gt;&lt;wsp:rsid wsp:val=&quot;00222500&quot;/&gt;&lt;wsp:rsid wsp:val=&quot;002226AA&quot;/&gt;&lt;wsp:rsid wsp:val=&quot;0022270D&quot;/&gt;&lt;wsp:rsid wsp:val=&quot;00222C43&quot;/&gt;&lt;wsp:rsid wsp:val=&quot;00222D7F&quot;/&gt;&lt;wsp:rsid wsp:val=&quot;00222DC8&quot;/&gt;&lt;wsp:rsid wsp:val=&quot;002231EE&quot;/&gt;&lt;wsp:rsid wsp:val=&quot;002233E3&quot;/&gt;&lt;wsp:rsid wsp:val=&quot;002239B7&quot;/&gt;&lt;wsp:rsid wsp:val=&quot;00223A30&quot;/&gt;&lt;wsp:rsid wsp:val=&quot;00223B60&quot;/&gt;&lt;wsp:rsid wsp:val=&quot;00223DE6&quot;/&gt;&lt;wsp:rsid wsp:val=&quot;00223F62&quot;/&gt;&lt;wsp:rsid wsp:val=&quot;00223F9C&quot;/&gt;&lt;wsp:rsid wsp:val=&quot;00223FFC&quot;/&gt;&lt;wsp:rsid wsp:val=&quot;002249B1&quot;/&gt;&lt;wsp:rsid wsp:val=&quot;00224B87&quot;/&gt;&lt;wsp:rsid wsp:val=&quot;002252A4&quot;/&gt;&lt;wsp:rsid wsp:val=&quot;002256D7&quot;/&gt;&lt;wsp:rsid wsp:val=&quot;002256F8&quot;/&gt;&lt;wsp:rsid wsp:val=&quot;0022588E&quot;/&gt;&lt;wsp:rsid wsp:val=&quot;00226142&quot;/&gt;&lt;wsp:rsid wsp:val=&quot;00226165&quot;/&gt;&lt;wsp:rsid wsp:val=&quot;0022658A&quot;/&gt;&lt;wsp:rsid wsp:val=&quot;00226901&quot;/&gt;&lt;wsp:rsid wsp:val=&quot;00226C9A&quot;/&gt;&lt;wsp:rsid wsp:val=&quot;00226CAA&quot;/&gt;&lt;wsp:rsid wsp:val=&quot;00226E16&quot;/&gt;&lt;wsp:rsid wsp:val=&quot;00226F0D&quot;/&gt;&lt;wsp:rsid wsp:val=&quot;00226FCA&quot;/&gt;&lt;wsp:rsid wsp:val=&quot;00227818&quot;/&gt;&lt;wsp:rsid wsp:val=&quot;0022783D&quot;/&gt;&lt;wsp:rsid wsp:val=&quot;00227A0E&quot;/&gt;&lt;wsp:rsid wsp:val=&quot;00227CA3&quot;/&gt;&lt;wsp:rsid wsp:val=&quot;00227CAC&quot;/&gt;&lt;wsp:rsid wsp:val=&quot;00227F09&quot;/&gt;&lt;wsp:rsid wsp:val=&quot;002300C7&quot;/&gt;&lt;wsp:rsid wsp:val=&quot;002300D2&quot;/&gt;&lt;wsp:rsid wsp:val=&quot;00230153&quot;/&gt;&lt;wsp:rsid wsp:val=&quot;00230303&quot;/&gt;&lt;wsp:rsid wsp:val=&quot;00230718&quot;/&gt;&lt;wsp:rsid wsp:val=&quot;00230D26&quot;/&gt;&lt;wsp:rsid wsp:val=&quot;002314F1&quot;/&gt;&lt;wsp:rsid wsp:val=&quot;00231683&quot;/&gt;&lt;wsp:rsid wsp:val=&quot;00231CB7&quot;/&gt;&lt;wsp:rsid wsp:val=&quot;00231EF3&quot;/&gt;&lt;wsp:rsid wsp:val=&quot;0023208D&quot;/&gt;&lt;wsp:rsid wsp:val=&quot;00232266&quot;/&gt;&lt;wsp:rsid wsp:val=&quot;002324A6&quot;/&gt;&lt;wsp:rsid wsp:val=&quot;002325A1&quot;/&gt;&lt;wsp:rsid wsp:val=&quot;00232989&quot;/&gt;&lt;wsp:rsid wsp:val=&quot;00232A0A&quot;/&gt;&lt;wsp:rsid wsp:val=&quot;00232B15&quot;/&gt;&lt;wsp:rsid wsp:val=&quot;00232B66&quot;/&gt;&lt;wsp:rsid wsp:val=&quot;00232E63&quot;/&gt;&lt;wsp:rsid wsp:val=&quot;00233149&quot;/&gt;&lt;wsp:rsid wsp:val=&quot;0023329A&quot;/&gt;&lt;wsp:rsid wsp:val=&quot;002333DE&quot;/&gt;&lt;wsp:rsid wsp:val=&quot;00233477&quot;/&gt;&lt;wsp:rsid wsp:val=&quot;00233F42&quot;/&gt;&lt;wsp:rsid wsp:val=&quot;002348CB&quot;/&gt;&lt;wsp:rsid wsp:val=&quot;002349BD&quot;/&gt;&lt;wsp:rsid wsp:val=&quot;00234A0C&quot;/&gt;&lt;wsp:rsid wsp:val=&quot;0023556F&quot;/&gt;&lt;wsp:rsid wsp:val=&quot;00235ACA&quot;/&gt;&lt;wsp:rsid wsp:val=&quot;00236590&quot;/&gt;&lt;wsp:rsid wsp:val=&quot;00236846&quot;/&gt;&lt;wsp:rsid wsp:val=&quot;00236C23&quot;/&gt;&lt;wsp:rsid wsp:val=&quot;00236C72&quot;/&gt;&lt;wsp:rsid wsp:val=&quot;00236C7C&quot;/&gt;&lt;wsp:rsid wsp:val=&quot;00236D67&quot;/&gt;&lt;wsp:rsid wsp:val=&quot;0023725F&quot;/&gt;&lt;wsp:rsid wsp:val=&quot;00237F39&quot;/&gt;&lt;wsp:rsid wsp:val=&quot;002402F2&quot;/&gt;&lt;wsp:rsid wsp:val=&quot;002413BD&quot;/&gt;&lt;wsp:rsid wsp:val=&quot;00241542&quot;/&gt;&lt;wsp:rsid wsp:val=&quot;0024185C&quot;/&gt;&lt;wsp:rsid wsp:val=&quot;002418E7&quot;/&gt;&lt;wsp:rsid wsp:val=&quot;00241A04&quot;/&gt;&lt;wsp:rsid wsp:val=&quot;00241A62&quot;/&gt;&lt;wsp:rsid wsp:val=&quot;00241B80&quot;/&gt;&lt;wsp:rsid wsp:val=&quot;00241C03&quot;/&gt;&lt;wsp:rsid wsp:val=&quot;00241F45&quot;/&gt;&lt;wsp:rsid wsp:val=&quot;00241F5F&quot;/&gt;&lt;wsp:rsid wsp:val=&quot;0024244A&quot;/&gt;&lt;wsp:rsid wsp:val=&quot;0024265F&quot;/&gt;&lt;wsp:rsid wsp:val=&quot;002426C6&quot;/&gt;&lt;wsp:rsid wsp:val=&quot;002427E0&quot;/&gt;&lt;wsp:rsid wsp:val=&quot;00242B14&quot;/&gt;&lt;wsp:rsid wsp:val=&quot;00242C0C&quot;/&gt;&lt;wsp:rsid wsp:val=&quot;00242E31&quot;/&gt;&lt;wsp:rsid wsp:val=&quot;0024301C&quot;/&gt;&lt;wsp:rsid wsp:val=&quot;0024379A&quot;/&gt;&lt;wsp:rsid wsp:val=&quot;00243812&quot;/&gt;&lt;wsp:rsid wsp:val=&quot;00243ACD&quot;/&gt;&lt;wsp:rsid wsp:val=&quot;00243BBE&quot;/&gt;&lt;wsp:rsid wsp:val=&quot;00243C6C&quot;/&gt;&lt;wsp:rsid wsp:val=&quot;0024489F&quot;/&gt;&lt;wsp:rsid wsp:val=&quot;00244FD7&quot;/&gt;&lt;wsp:rsid wsp:val=&quot;0024598B&quot;/&gt;&lt;wsp:rsid wsp:val=&quot;00245AEB&quot;/&gt;&lt;wsp:rsid wsp:val=&quot;002461EA&quot;/&gt;&lt;wsp:rsid wsp:val=&quot;002462E4&quot;/&gt;&lt;wsp:rsid wsp:val=&quot;002467DF&quot;/&gt;&lt;wsp:rsid wsp:val=&quot;0024687E&quot;/&gt;&lt;wsp:rsid wsp:val=&quot;002470B2&quot;/&gt;&lt;wsp:rsid wsp:val=&quot;00247351&quot;/&gt;&lt;wsp:rsid wsp:val=&quot;0024791D&quot;/&gt;&lt;wsp:rsid wsp:val=&quot;00247ACC&quot;/&gt;&lt;wsp:rsid wsp:val=&quot;00247FB1&quot;/&gt;&lt;wsp:rsid wsp:val=&quot;00250170&quot;/&gt;&lt;wsp:rsid wsp:val=&quot;0025022B&quot;/&gt;&lt;wsp:rsid wsp:val=&quot;00251027&quot;/&gt;&lt;wsp:rsid wsp:val=&quot;002510E4&quot;/&gt;&lt;wsp:rsid wsp:val=&quot;0025119D&quot;/&gt;&lt;wsp:rsid wsp:val=&quot;002512E4&quot;/&gt;&lt;wsp:rsid wsp:val=&quot;0025156F&quot;/&gt;&lt;wsp:rsid wsp:val=&quot;00251989&quot;/&gt;&lt;wsp:rsid wsp:val=&quot;00251B43&quot;/&gt;&lt;wsp:rsid wsp:val=&quot;00251FAE&quot;/&gt;&lt;wsp:rsid wsp:val=&quot;002520F8&quot;/&gt;&lt;wsp:rsid wsp:val=&quot;0025211D&quot;/&gt;&lt;wsp:rsid wsp:val=&quot;002526AA&quot;/&gt;&lt;wsp:rsid wsp:val=&quot;0025346F&quot;/&gt;&lt;wsp:rsid wsp:val=&quot;002535C1&quot;/&gt;&lt;wsp:rsid wsp:val=&quot;002535F2&quot;/&gt;&lt;wsp:rsid wsp:val=&quot;00253A28&quot;/&gt;&lt;wsp:rsid wsp:val=&quot;00253B29&quot;/&gt;&lt;wsp:rsid wsp:val=&quot;002540E7&quot;/&gt;&lt;wsp:rsid wsp:val=&quot;0025414B&quot;/&gt;&lt;wsp:rsid wsp:val=&quot;002543FB&quot;/&gt;&lt;wsp:rsid wsp:val=&quot;00254992&quot;/&gt;&lt;wsp:rsid wsp:val=&quot;00254A31&quot;/&gt;&lt;wsp:rsid wsp:val=&quot;00254B17&quot;/&gt;&lt;wsp:rsid wsp:val=&quot;0025529C&quot;/&gt;&lt;wsp:rsid wsp:val=&quot;0025553E&quot;/&gt;&lt;wsp:rsid wsp:val=&quot;002559DA&quot;/&gt;&lt;wsp:rsid wsp:val=&quot;00255A5F&quot;/&gt;&lt;wsp:rsid wsp:val=&quot;002567B3&quot;/&gt;&lt;wsp:rsid wsp:val=&quot;002567D9&quot;/&gt;&lt;wsp:rsid wsp:val=&quot;00257074&quot;/&gt;&lt;wsp:rsid wsp:val=&quot;0025716B&quot;/&gt;&lt;wsp:rsid wsp:val=&quot;002572DE&quot;/&gt;&lt;wsp:rsid wsp:val=&quot;002574AB&quot;/&gt;&lt;wsp:rsid wsp:val=&quot;00257710&quot;/&gt;&lt;wsp:rsid wsp:val=&quot;00257D51&quot;/&gt;&lt;wsp:rsid wsp:val=&quot;00260D34&quot;/&gt;&lt;wsp:rsid wsp:val=&quot;00260E55&quot;/&gt;&lt;wsp:rsid wsp:val=&quot;002617C9&quot;/&gt;&lt;wsp:rsid wsp:val=&quot;002618C2&quot;/&gt;&lt;wsp:rsid wsp:val=&quot;00261D85&quot;/&gt;&lt;wsp:rsid wsp:val=&quot;00262087&quot;/&gt;&lt;wsp:rsid wsp:val=&quot;0026227B&quot;/&gt;&lt;wsp:rsid wsp:val=&quot;00262456&quot;/&gt;&lt;wsp:rsid wsp:val=&quot;0026246C&quot;/&gt;&lt;wsp:rsid wsp:val=&quot;002624A1&quot;/&gt;&lt;wsp:rsid wsp:val=&quot;002627F3&quot;/&gt;&lt;wsp:rsid wsp:val=&quot;00262BD7&quot;/&gt;&lt;wsp:rsid wsp:val=&quot;00262C4D&quot;/&gt;&lt;wsp:rsid wsp:val=&quot;0026359A&quot;/&gt;&lt;wsp:rsid wsp:val=&quot;002636A2&quot;/&gt;&lt;wsp:rsid wsp:val=&quot;002636E9&quot;/&gt;&lt;wsp:rsid wsp:val=&quot;0026396F&quot;/&gt;&lt;wsp:rsid wsp:val=&quot;00263A8D&quot;/&gt;&lt;wsp:rsid wsp:val=&quot;00263C47&quot;/&gt;&lt;wsp:rsid wsp:val=&quot;00263C9F&quot;/&gt;&lt;wsp:rsid wsp:val=&quot;00263E47&quot;/&gt;&lt;wsp:rsid wsp:val=&quot;00263FB4&quot;/&gt;&lt;wsp:rsid wsp:val=&quot;002640D0&quot;/&gt;&lt;wsp:rsid wsp:val=&quot;002643DA&quot;/&gt;&lt;wsp:rsid wsp:val=&quot;002644E2&quot;/&gt;&lt;wsp:rsid wsp:val=&quot;0026461E&quot;/&gt;&lt;wsp:rsid wsp:val=&quot;00264E91&quot;/&gt;&lt;wsp:rsid wsp:val=&quot;00264F6D&quot;/&gt;&lt;wsp:rsid wsp:val=&quot;002655F6&quot;/&gt;&lt;wsp:rsid wsp:val=&quot;0026560C&quot;/&gt;&lt;wsp:rsid wsp:val=&quot;00265FF0&quot;/&gt;&lt;wsp:rsid wsp:val=&quot;00266E09&quot;/&gt;&lt;wsp:rsid wsp:val=&quot;0026739F&quot;/&gt;&lt;wsp:rsid wsp:val=&quot;00267640&quot;/&gt;&lt;wsp:rsid wsp:val=&quot;00270029&quot;/&gt;&lt;wsp:rsid wsp:val=&quot;0027018D&quot;/&gt;&lt;wsp:rsid wsp:val=&quot;00270611&quot;/&gt;&lt;wsp:rsid wsp:val=&quot;00270697&quot;/&gt;&lt;wsp:rsid wsp:val=&quot;00270755&quot;/&gt;&lt;wsp:rsid wsp:val=&quot;00270B47&quot;/&gt;&lt;wsp:rsid wsp:val=&quot;00270D59&quot;/&gt;&lt;wsp:rsid wsp:val=&quot;00271289&quot;/&gt;&lt;wsp:rsid wsp:val=&quot;0027134C&quot;/&gt;&lt;wsp:rsid wsp:val=&quot;00271593&quot;/&gt;&lt;wsp:rsid wsp:val=&quot;002715A6&quot;/&gt;&lt;wsp:rsid wsp:val=&quot;0027161F&quot;/&gt;&lt;wsp:rsid wsp:val=&quot;00271D4D&quot;/&gt;&lt;wsp:rsid wsp:val=&quot;00271E47&quot;/&gt;&lt;wsp:rsid wsp:val=&quot;0027224A&quot;/&gt;&lt;wsp:rsid wsp:val=&quot;002724EF&quot;/&gt;&lt;wsp:rsid wsp:val=&quot;002724F4&quot;/&gt;&lt;wsp:rsid wsp:val=&quot;00272C48&quot;/&gt;&lt;wsp:rsid wsp:val=&quot;002732D0&quot;/&gt;&lt;wsp:rsid wsp:val=&quot;002736D7&quot;/&gt;&lt;wsp:rsid wsp:val=&quot;0027373B&quot;/&gt;&lt;wsp:rsid wsp:val=&quot;00274050&quot;/&gt;&lt;wsp:rsid wsp:val=&quot;00274196&quot;/&gt;&lt;wsp:rsid wsp:val=&quot;00274205&quot;/&gt;&lt;wsp:rsid wsp:val=&quot;002744A3&quot;/&gt;&lt;wsp:rsid wsp:val=&quot;002744AA&quot;/&gt;&lt;wsp:rsid wsp:val=&quot;002747BF&quot;/&gt;&lt;wsp:rsid wsp:val=&quot;002747D0&quot;/&gt;&lt;wsp:rsid wsp:val=&quot;002748ED&quot;/&gt;&lt;wsp:rsid wsp:val=&quot;00274955&quot;/&gt;&lt;wsp:rsid wsp:val=&quot;0027499C&quot;/&gt;&lt;wsp:rsid wsp:val=&quot;00274A6C&quot;/&gt;&lt;wsp:rsid wsp:val=&quot;00274C83&quot;/&gt;&lt;wsp:rsid wsp:val=&quot;00274CDA&quot;/&gt;&lt;wsp:rsid wsp:val=&quot;0027513F&quot;/&gt;&lt;wsp:rsid wsp:val=&quot;00275142&quot;/&gt;&lt;wsp:rsid wsp:val=&quot;00275637&quot;/&gt;&lt;wsp:rsid wsp:val=&quot;002757D0&quot;/&gt;&lt;wsp:rsid wsp:val=&quot;00275A5D&quot;/&gt;&lt;wsp:rsid wsp:val=&quot;00275AD2&quot;/&gt;&lt;wsp:rsid wsp:val=&quot;0027613B&quot;/&gt;&lt;wsp:rsid wsp:val=&quot;0027644C&quot;/&gt;&lt;wsp:rsid wsp:val=&quot;002765AD&quot;/&gt;&lt;wsp:rsid wsp:val=&quot;002767D0&quot;/&gt;&lt;wsp:rsid wsp:val=&quot;00276D6C&quot;/&gt;&lt;wsp:rsid wsp:val=&quot;00276F23&quot;/&gt;&lt;wsp:rsid wsp:val=&quot;0027716C&quot;/&gt;&lt;wsp:rsid wsp:val=&quot;002779DD&quot;/&gt;&lt;wsp:rsid wsp:val=&quot;00277F07&quot;/&gt;&lt;wsp:rsid wsp:val=&quot;0028013C&quot;/&gt;&lt;wsp:rsid wsp:val=&quot;002803DE&quot;/&gt;&lt;wsp:rsid wsp:val=&quot;002804A3&quot;/&gt;&lt;wsp:rsid wsp:val=&quot;00280893&quot;/&gt;&lt;wsp:rsid wsp:val=&quot;002812C9&quot;/&gt;&lt;wsp:rsid wsp:val=&quot;002814EC&quot;/&gt;&lt;wsp:rsid wsp:val=&quot;0028166F&quot;/&gt;&lt;wsp:rsid wsp:val=&quot;00281860&quot;/&gt;&lt;wsp:rsid wsp:val=&quot;00281952&quot;/&gt;&lt;wsp:rsid wsp:val=&quot;00282A78&quot;/&gt;&lt;wsp:rsid wsp:val=&quot;00282B4B&quot;/&gt;&lt;wsp:rsid wsp:val=&quot;00282BDA&quot;/&gt;&lt;wsp:rsid wsp:val=&quot;00282E4D&quot;/&gt;&lt;wsp:rsid wsp:val=&quot;002832E0&quot;/&gt;&lt;wsp:rsid wsp:val=&quot;002833BB&quot;/&gt;&lt;wsp:rsid wsp:val=&quot;0028346E&quot;/&gt;&lt;wsp:rsid wsp:val=&quot;002835C7&quot;/&gt;&lt;wsp:rsid wsp:val=&quot;00284392&quot;/&gt;&lt;wsp:rsid wsp:val=&quot;00284567&quot;/&gt;&lt;wsp:rsid wsp:val=&quot;00284A7F&quot;/&gt;&lt;wsp:rsid wsp:val=&quot;00284BC4&quot;/&gt;&lt;wsp:rsid wsp:val=&quot;00284C0D&quot;/&gt;&lt;wsp:rsid wsp:val=&quot;00285346&quot;/&gt;&lt;wsp:rsid wsp:val=&quot;0028553F&quot;/&gt;&lt;wsp:rsid wsp:val=&quot;00285701&quot;/&gt;&lt;wsp:rsid wsp:val=&quot;00285A7F&quot;/&gt;&lt;wsp:rsid wsp:val=&quot;00285AF2&quot;/&gt;&lt;wsp:rsid wsp:val=&quot;00285FC0&quot;/&gt;&lt;wsp:rsid wsp:val=&quot;00285FC5&quot;/&gt;&lt;wsp:rsid wsp:val=&quot;0028641F&quot;/&gt;&lt;wsp:rsid wsp:val=&quot;002867AA&quot;/&gt;&lt;wsp:rsid wsp:val=&quot;002869F5&quot;/&gt;&lt;wsp:rsid wsp:val=&quot;00286F24&quot;/&gt;&lt;wsp:rsid wsp:val=&quot;00286F32&quot;/&gt;&lt;wsp:rsid wsp:val=&quot;00287223&quot;/&gt;&lt;wsp:rsid wsp:val=&quot;00287681&quot;/&gt;&lt;wsp:rsid wsp:val=&quot;00287EBD&quot;/&gt;&lt;wsp:rsid wsp:val=&quot;00287F8E&quot;/&gt;&lt;wsp:rsid wsp:val=&quot;0029008F&quot;/&gt;&lt;wsp:rsid wsp:val=&quot;0029079A&quot;/&gt;&lt;wsp:rsid wsp:val=&quot;00290A2D&quot;/&gt;&lt;wsp:rsid wsp:val=&quot;002910F2&quot;/&gt;&lt;wsp:rsid wsp:val=&quot;002911F5&quot;/&gt;&lt;wsp:rsid wsp:val=&quot;00291250&quot;/&gt;&lt;wsp:rsid wsp:val=&quot;0029135F&quot;/&gt;&lt;wsp:rsid wsp:val=&quot;0029196D&quot;/&gt;&lt;wsp:rsid wsp:val=&quot;00291A01&quot;/&gt;&lt;wsp:rsid wsp:val=&quot;00291A62&quot;/&gt;&lt;wsp:rsid wsp:val=&quot;00291F28&quot;/&gt;&lt;wsp:rsid wsp:val=&quot;00292687&quot;/&gt;&lt;wsp:rsid wsp:val=&quot;002929B3&quot;/&gt;&lt;wsp:rsid wsp:val=&quot;00292B75&quot;/&gt;&lt;wsp:rsid wsp:val=&quot;00292E90&quot;/&gt;&lt;wsp:rsid wsp:val=&quot;00292F01&quot;/&gt;&lt;wsp:rsid wsp:val=&quot;0029342F&quot;/&gt;&lt;wsp:rsid wsp:val=&quot;002934B1&quot;/&gt;&lt;wsp:rsid wsp:val=&quot;00293626&quot;/&gt;&lt;wsp:rsid wsp:val=&quot;00293B87&quot;/&gt;&lt;wsp:rsid wsp:val=&quot;00293C9E&quot;/&gt;&lt;wsp:rsid wsp:val=&quot;00293DAA&quot;/&gt;&lt;wsp:rsid wsp:val=&quot;00293E69&quot;/&gt;&lt;wsp:rsid wsp:val=&quot;00294076&quot;/&gt;&lt;wsp:rsid wsp:val=&quot;00294094&quot;/&gt;&lt;wsp:rsid wsp:val=&quot;002942B9&quot;/&gt;&lt;wsp:rsid wsp:val=&quot;002944AD&quot;/&gt;&lt;wsp:rsid wsp:val=&quot;00294D12&quot;/&gt;&lt;wsp:rsid wsp:val=&quot;00295814&quot;/&gt;&lt;wsp:rsid wsp:val=&quot;00295EBF&quot;/&gt;&lt;wsp:rsid wsp:val=&quot;00295FCC&quot;/&gt;&lt;wsp:rsid wsp:val=&quot;00296318&quot;/&gt;&lt;wsp:rsid wsp:val=&quot;002963ED&quot;/&gt;&lt;wsp:rsid wsp:val=&quot;00296B3C&quot;/&gt;&lt;wsp:rsid wsp:val=&quot;002976EF&quot;/&gt;&lt;wsp:rsid wsp:val=&quot;00297F6D&quot;/&gt;&lt;wsp:rsid wsp:val=&quot;002A017C&quot;/&gt;&lt;wsp:rsid wsp:val=&quot;002A043F&quot;/&gt;&lt;wsp:rsid wsp:val=&quot;002A082D&quot;/&gt;&lt;wsp:rsid wsp:val=&quot;002A0AC1&quot;/&gt;&lt;wsp:rsid wsp:val=&quot;002A1683&quot;/&gt;&lt;wsp:rsid wsp:val=&quot;002A18F0&quot;/&gt;&lt;wsp:rsid wsp:val=&quot;002A195B&quot;/&gt;&lt;wsp:rsid wsp:val=&quot;002A1B4D&quot;/&gt;&lt;wsp:rsid wsp:val=&quot;002A1D8E&quot;/&gt;&lt;wsp:rsid wsp:val=&quot;002A226C&quot;/&gt;&lt;wsp:rsid wsp:val=&quot;002A25D6&quot;/&gt;&lt;wsp:rsid wsp:val=&quot;002A287D&quot;/&gt;&lt;wsp:rsid wsp:val=&quot;002A30A8&quot;/&gt;&lt;wsp:rsid wsp:val=&quot;002A325C&quot;/&gt;&lt;wsp:rsid wsp:val=&quot;002A354B&quot;/&gt;&lt;wsp:rsid wsp:val=&quot;002A3C55&quot;/&gt;&lt;wsp:rsid wsp:val=&quot;002A3E93&quot;/&gt;&lt;wsp:rsid wsp:val=&quot;002A40B5&quot;/&gt;&lt;wsp:rsid wsp:val=&quot;002A40BF&quot;/&gt;&lt;wsp:rsid wsp:val=&quot;002A438B&quot;/&gt;&lt;wsp:rsid wsp:val=&quot;002A43DA&quot;/&gt;&lt;wsp:rsid wsp:val=&quot;002A4413&quot;/&gt;&lt;wsp:rsid wsp:val=&quot;002A47C6&quot;/&gt;&lt;wsp:rsid wsp:val=&quot;002A4B45&quot;/&gt;&lt;wsp:rsid wsp:val=&quot;002A4F64&quot;/&gt;&lt;wsp:rsid wsp:val=&quot;002A4FAA&quot;/&gt;&lt;wsp:rsid wsp:val=&quot;002A543C&quot;/&gt;&lt;wsp:rsid wsp:val=&quot;002A5850&quot;/&gt;&lt;wsp:rsid wsp:val=&quot;002A5E2B&quot;/&gt;&lt;wsp:rsid wsp:val=&quot;002A60AB&quot;/&gt;&lt;wsp:rsid wsp:val=&quot;002A62D4&quot;/&gt;&lt;wsp:rsid wsp:val=&quot;002A6559&quot;/&gt;&lt;wsp:rsid wsp:val=&quot;002A72E4&quot;/&gt;&lt;wsp:rsid wsp:val=&quot;002A7464&quot;/&gt;&lt;wsp:rsid wsp:val=&quot;002A753D&quot;/&gt;&lt;wsp:rsid wsp:val=&quot;002A76F0&quot;/&gt;&lt;wsp:rsid wsp:val=&quot;002A78B2&quot;/&gt;&lt;wsp:rsid wsp:val=&quot;002A7969&quot;/&gt;&lt;wsp:rsid wsp:val=&quot;002A7DE4&quot;/&gt;&lt;wsp:rsid wsp:val=&quot;002B07B5&quot;/&gt;&lt;wsp:rsid wsp:val=&quot;002B07D5&quot;/&gt;&lt;wsp:rsid wsp:val=&quot;002B0B06&quot;/&gt;&lt;wsp:rsid wsp:val=&quot;002B0B36&quot;/&gt;&lt;wsp:rsid wsp:val=&quot;002B1469&quot;/&gt;&lt;wsp:rsid wsp:val=&quot;002B21F2&quot;/&gt;&lt;wsp:rsid wsp:val=&quot;002B22FF&quot;/&gt;&lt;wsp:rsid wsp:val=&quot;002B2487&quot;/&gt;&lt;wsp:rsid wsp:val=&quot;002B2750&quot;/&gt;&lt;wsp:rsid wsp:val=&quot;002B2CDA&quot;/&gt;&lt;wsp:rsid wsp:val=&quot;002B3B40&quot;/&gt;&lt;wsp:rsid wsp:val=&quot;002B3B45&quot;/&gt;&lt;wsp:rsid wsp:val=&quot;002B3C6E&quot;/&gt;&lt;wsp:rsid wsp:val=&quot;002B4636&quot;/&gt;&lt;wsp:rsid wsp:val=&quot;002B5679&quot;/&gt;&lt;wsp:rsid wsp:val=&quot;002B589F&quot;/&gt;&lt;wsp:rsid wsp:val=&quot;002B5CDE&quot;/&gt;&lt;wsp:rsid wsp:val=&quot;002B6271&quot;/&gt;&lt;wsp:rsid wsp:val=&quot;002B63AB&quot;/&gt;&lt;wsp:rsid wsp:val=&quot;002B6969&quot;/&gt;&lt;wsp:rsid wsp:val=&quot;002B6B15&quot;/&gt;&lt;wsp:rsid wsp:val=&quot;002B6C6C&quot;/&gt;&lt;wsp:rsid wsp:val=&quot;002B6E38&quot;/&gt;&lt;wsp:rsid wsp:val=&quot;002B7093&quot;/&gt;&lt;wsp:rsid wsp:val=&quot;002C028F&quot;/&gt;&lt;wsp:rsid wsp:val=&quot;002C02EC&quot;/&gt;&lt;wsp:rsid wsp:val=&quot;002C02EF&quot;/&gt;&lt;wsp:rsid wsp:val=&quot;002C0435&quot;/&gt;&lt;wsp:rsid wsp:val=&quot;002C0475&quot;/&gt;&lt;wsp:rsid wsp:val=&quot;002C049C&quot;/&gt;&lt;wsp:rsid wsp:val=&quot;002C06A2&quot;/&gt;&lt;wsp:rsid wsp:val=&quot;002C0797&quot;/&gt;&lt;wsp:rsid wsp:val=&quot;002C09C9&quot;/&gt;&lt;wsp:rsid wsp:val=&quot;002C1425&quot;/&gt;&lt;wsp:rsid wsp:val=&quot;002C196B&quot;/&gt;&lt;wsp:rsid wsp:val=&quot;002C1A16&quot;/&gt;&lt;wsp:rsid wsp:val=&quot;002C1D69&quot;/&gt;&lt;wsp:rsid wsp:val=&quot;002C2023&quot;/&gt;&lt;wsp:rsid wsp:val=&quot;002C2E78&quot;/&gt;&lt;wsp:rsid wsp:val=&quot;002C341B&quot;/&gt;&lt;wsp:rsid wsp:val=&quot;002C36FF&quot;/&gt;&lt;wsp:rsid wsp:val=&quot;002C3863&quot;/&gt;&lt;wsp:rsid wsp:val=&quot;002C38D3&quot;/&gt;&lt;wsp:rsid wsp:val=&quot;002C399A&quot;/&gt;&lt;wsp:rsid wsp:val=&quot;002C3F6E&quot;/&gt;&lt;wsp:rsid wsp:val=&quot;002C40E3&quot;/&gt;&lt;wsp:rsid wsp:val=&quot;002C426B&quot;/&gt;&lt;wsp:rsid wsp:val=&quot;002C4910&quot;/&gt;&lt;wsp:rsid wsp:val=&quot;002C51F4&quot;/&gt;&lt;wsp:rsid wsp:val=&quot;002C52BD&quot;/&gt;&lt;wsp:rsid wsp:val=&quot;002C5465&quot;/&gt;&lt;wsp:rsid wsp:val=&quot;002C580B&quot;/&gt;&lt;wsp:rsid wsp:val=&quot;002C5A9A&quot;/&gt;&lt;wsp:rsid wsp:val=&quot;002C5D82&quot;/&gt;&lt;wsp:rsid wsp:val=&quot;002C5F99&quot;/&gt;&lt;wsp:rsid wsp:val=&quot;002C6221&quot;/&gt;&lt;wsp:rsid wsp:val=&quot;002C6936&quot;/&gt;&lt;wsp:rsid wsp:val=&quot;002C6EF6&quot;/&gt;&lt;wsp:rsid wsp:val=&quot;002C70A1&quot;/&gt;&lt;wsp:rsid wsp:val=&quot;002C70EB&quot;/&gt;&lt;wsp:rsid wsp:val=&quot;002C71BC&quot;/&gt;&lt;wsp:rsid wsp:val=&quot;002C7CB3&quot;/&gt;&lt;wsp:rsid wsp:val=&quot;002D01B6&quot;/&gt;&lt;wsp:rsid wsp:val=&quot;002D051A&quot;/&gt;&lt;wsp:rsid wsp:val=&quot;002D066C&quot;/&gt;&lt;wsp:rsid wsp:val=&quot;002D0BD7&quot;/&gt;&lt;wsp:rsid wsp:val=&quot;002D0D75&quot;/&gt;&lt;wsp:rsid wsp:val=&quot;002D17A6&quot;/&gt;&lt;wsp:rsid wsp:val=&quot;002D1F87&quot;/&gt;&lt;wsp:rsid wsp:val=&quot;002D2373&quot;/&gt;&lt;wsp:rsid wsp:val=&quot;002D26F6&quot;/&gt;&lt;wsp:rsid wsp:val=&quot;002D2A19&quot;/&gt;&lt;wsp:rsid wsp:val=&quot;002D2A84&quot;/&gt;&lt;wsp:rsid wsp:val=&quot;002D30BE&quot;/&gt;&lt;wsp:rsid wsp:val=&quot;002D325A&quot;/&gt;&lt;wsp:rsid wsp:val=&quot;002D3A06&quot;/&gt;&lt;wsp:rsid wsp:val=&quot;002D3E99&quot;/&gt;&lt;wsp:rsid wsp:val=&quot;002D3FAD&quot;/&gt;&lt;wsp:rsid wsp:val=&quot;002D4667&quot;/&gt;&lt;wsp:rsid wsp:val=&quot;002D48AC&quot;/&gt;&lt;wsp:rsid wsp:val=&quot;002D4A83&quot;/&gt;&lt;wsp:rsid wsp:val=&quot;002D4C2A&quot;/&gt;&lt;wsp:rsid wsp:val=&quot;002D5156&quot;/&gt;&lt;wsp:rsid wsp:val=&quot;002D5221&quot;/&gt;&lt;wsp:rsid wsp:val=&quot;002D54B2&quot;/&gt;&lt;wsp:rsid wsp:val=&quot;002D5AD5&quot;/&gt;&lt;wsp:rsid wsp:val=&quot;002D5F75&quot;/&gt;&lt;wsp:rsid wsp:val=&quot;002D60C7&quot;/&gt;&lt;wsp:rsid wsp:val=&quot;002D6528&quot;/&gt;&lt;wsp:rsid wsp:val=&quot;002D655D&quot;/&gt;&lt;wsp:rsid wsp:val=&quot;002D6810&quot;/&gt;&lt;wsp:rsid wsp:val=&quot;002D68CE&quot;/&gt;&lt;wsp:rsid wsp:val=&quot;002D68D1&quot;/&gt;&lt;wsp:rsid wsp:val=&quot;002D68F0&quot;/&gt;&lt;wsp:rsid wsp:val=&quot;002D6938&quot;/&gt;&lt;wsp:rsid wsp:val=&quot;002D6EA4&quot;/&gt;&lt;wsp:rsid wsp:val=&quot;002D6F4C&quot;/&gt;&lt;wsp:rsid wsp:val=&quot;002D712B&quot;/&gt;&lt;wsp:rsid wsp:val=&quot;002D7489&quot;/&gt;&lt;wsp:rsid wsp:val=&quot;002D75E1&quot;/&gt;&lt;wsp:rsid wsp:val=&quot;002D7852&quot;/&gt;&lt;wsp:rsid wsp:val=&quot;002D7876&quot;/&gt;&lt;wsp:rsid wsp:val=&quot;002D7F7C&quot;/&gt;&lt;wsp:rsid wsp:val=&quot;002E00F5&quot;/&gt;&lt;wsp:rsid wsp:val=&quot;002E0245&quot;/&gt;&lt;wsp:rsid wsp:val=&quot;002E09BB&quot;/&gt;&lt;wsp:rsid wsp:val=&quot;002E0E06&quot;/&gt;&lt;wsp:rsid wsp:val=&quot;002E10DC&quot;/&gt;&lt;wsp:rsid wsp:val=&quot;002E155F&quot;/&gt;&lt;wsp:rsid wsp:val=&quot;002E1B96&quot;/&gt;&lt;wsp:rsid wsp:val=&quot;002E1D4F&quot;/&gt;&lt;wsp:rsid wsp:val=&quot;002E1F15&quot;/&gt;&lt;wsp:rsid wsp:val=&quot;002E1F17&quot;/&gt;&lt;wsp:rsid wsp:val=&quot;002E205D&quot;/&gt;&lt;wsp:rsid wsp:val=&quot;002E22DB&quot;/&gt;&lt;wsp:rsid wsp:val=&quot;002E28BB&quot;/&gt;&lt;wsp:rsid wsp:val=&quot;002E2C03&quot;/&gt;&lt;wsp:rsid wsp:val=&quot;002E2EC0&quot;/&gt;&lt;wsp:rsid wsp:val=&quot;002E3387&quot;/&gt;&lt;wsp:rsid wsp:val=&quot;002E34D6&quot;/&gt;&lt;wsp:rsid wsp:val=&quot;002E3B88&quot;/&gt;&lt;wsp:rsid wsp:val=&quot;002E3D5B&quot;/&gt;&lt;wsp:rsid wsp:val=&quot;002E3DAD&quot;/&gt;&lt;wsp:rsid wsp:val=&quot;002E3ED7&quot;/&gt;&lt;wsp:rsid wsp:val=&quot;002E4583&quot;/&gt;&lt;wsp:rsid wsp:val=&quot;002E4707&quot;/&gt;&lt;wsp:rsid wsp:val=&quot;002E4B35&quot;/&gt;&lt;wsp:rsid wsp:val=&quot;002E542B&quot;/&gt;&lt;wsp:rsid wsp:val=&quot;002E6D9B&quot;/&gt;&lt;wsp:rsid wsp:val=&quot;002E7A1F&quot;/&gt;&lt;wsp:rsid wsp:val=&quot;002E7AE0&quot;/&gt;&lt;wsp:rsid wsp:val=&quot;002E7B93&quot;/&gt;&lt;wsp:rsid wsp:val=&quot;002E7F73&quot;/&gt;&lt;wsp:rsid wsp:val=&quot;002F0117&quot;/&gt;&lt;wsp:rsid wsp:val=&quot;002F033F&quot;/&gt;&lt;wsp:rsid wsp:val=&quot;002F0447&quot;/&gt;&lt;wsp:rsid wsp:val=&quot;002F046F&quot;/&gt;&lt;wsp:rsid wsp:val=&quot;002F0546&quot;/&gt;&lt;wsp:rsid wsp:val=&quot;002F0E28&quot;/&gt;&lt;wsp:rsid wsp:val=&quot;002F0F50&quot;/&gt;&lt;wsp:rsid wsp:val=&quot;002F0FBF&quot;/&gt;&lt;wsp:rsid wsp:val=&quot;002F12A5&quot;/&gt;&lt;wsp:rsid wsp:val=&quot;002F1589&quot;/&gt;&lt;wsp:rsid wsp:val=&quot;002F17EF&quot;/&gt;&lt;wsp:rsid wsp:val=&quot;002F1969&quot;/&gt;&lt;wsp:rsid wsp:val=&quot;002F1FC7&quot;/&gt;&lt;wsp:rsid wsp:val=&quot;002F2886&quot;/&gt;&lt;wsp:rsid wsp:val=&quot;002F309F&quot;/&gt;&lt;wsp:rsid wsp:val=&quot;002F33C7&quot;/&gt;&lt;wsp:rsid wsp:val=&quot;002F3538&quot;/&gt;&lt;wsp:rsid wsp:val=&quot;002F3CF1&quot;/&gt;&lt;wsp:rsid wsp:val=&quot;002F3D37&quot;/&gt;&lt;wsp:rsid wsp:val=&quot;002F42BA&quot;/&gt;&lt;wsp:rsid wsp:val=&quot;002F452B&quot;/&gt;&lt;wsp:rsid wsp:val=&quot;002F4635&quot;/&gt;&lt;wsp:rsid wsp:val=&quot;002F4CC1&quot;/&gt;&lt;wsp:rsid wsp:val=&quot;002F4E53&quot;/&gt;&lt;wsp:rsid wsp:val=&quot;002F4E82&quot;/&gt;&lt;wsp:rsid wsp:val=&quot;002F4FEE&quot;/&gt;&lt;wsp:rsid wsp:val=&quot;002F50B4&quot;/&gt;&lt;wsp:rsid wsp:val=&quot;002F5550&quot;/&gt;&lt;wsp:rsid wsp:val=&quot;002F57FD&quot;/&gt;&lt;wsp:rsid wsp:val=&quot;002F5DB6&quot;/&gt;&lt;wsp:rsid wsp:val=&quot;002F5EEF&quot;/&gt;&lt;wsp:rsid wsp:val=&quot;002F5FFD&quot;/&gt;&lt;wsp:rsid wsp:val=&quot;002F6510&quot;/&gt;&lt;wsp:rsid wsp:val=&quot;002F6A30&quot;/&gt;&lt;wsp:rsid wsp:val=&quot;002F6C71&quot;/&gt;&lt;wsp:rsid wsp:val=&quot;002F762A&quot;/&gt;&lt;wsp:rsid wsp:val=&quot;002F7CDE&quot;/&gt;&lt;wsp:rsid wsp:val=&quot;00300614&quot;/&gt;&lt;wsp:rsid wsp:val=&quot;0030079A&quot;/&gt;&lt;wsp:rsid wsp:val=&quot;00300A4F&quot;/&gt;&lt;wsp:rsid wsp:val=&quot;003011E0&quot;/&gt;&lt;wsp:rsid wsp:val=&quot;00301AB9&quot;/&gt;&lt;wsp:rsid wsp:val=&quot;00301E31&quot;/&gt;&lt;wsp:rsid wsp:val=&quot;003020F0&quot;/&gt;&lt;wsp:rsid wsp:val=&quot;003021E3&quot;/&gt;&lt;wsp:rsid wsp:val=&quot;003021EB&quot;/&gt;&lt;wsp:rsid wsp:val=&quot;0030234F&quot;/&gt;&lt;wsp:rsid wsp:val=&quot;003024F1&quot;/&gt;&lt;wsp:rsid wsp:val=&quot;00302C47&quot;/&gt;&lt;wsp:rsid wsp:val=&quot;00302DE7&quot;/&gt;&lt;wsp:rsid wsp:val=&quot;00302E2C&quot;/&gt;&lt;wsp:rsid wsp:val=&quot;0030381E&quot;/&gt;&lt;wsp:rsid wsp:val=&quot;00303848&quot;/&gt;&lt;wsp:rsid wsp:val=&quot;00303894&quot;/&gt;&lt;wsp:rsid wsp:val=&quot;00303A13&quot;/&gt;&lt;wsp:rsid wsp:val=&quot;00303D41&quot;/&gt;&lt;wsp:rsid wsp:val=&quot;0030400B&quot;/&gt;&lt;wsp:rsid wsp:val=&quot;003040BB&quot;/&gt;&lt;wsp:rsid wsp:val=&quot;003042E2&quot;/&gt;&lt;wsp:rsid wsp:val=&quot;00304465&quot;/&gt;&lt;wsp:rsid wsp:val=&quot;00304543&quot;/&gt;&lt;wsp:rsid wsp:val=&quot;00304659&quot;/&gt;&lt;wsp:rsid wsp:val=&quot;00304816&quot;/&gt;&lt;wsp:rsid wsp:val=&quot;00305216&quot;/&gt;&lt;wsp:rsid wsp:val=&quot;00305929&quot;/&gt;&lt;wsp:rsid wsp:val=&quot;00305A87&quot;/&gt;&lt;wsp:rsid wsp:val=&quot;003064CB&quot;/&gt;&lt;wsp:rsid wsp:val=&quot;00306A6A&quot;/&gt;&lt;wsp:rsid wsp:val=&quot;00306AA7&quot;/&gt;&lt;wsp:rsid wsp:val=&quot;00306CB1&quot;/&gt;&lt;wsp:rsid wsp:val=&quot;00306F51&quot;/&gt;&lt;wsp:rsid wsp:val=&quot;00306F9A&quot;/&gt;&lt;wsp:rsid wsp:val=&quot;00307117&quot;/&gt;&lt;wsp:rsid wsp:val=&quot;00307711&quot;/&gt;&lt;wsp:rsid wsp:val=&quot;003077AC&quot;/&gt;&lt;wsp:rsid wsp:val=&quot;00307B03&quot;/&gt;&lt;wsp:rsid wsp:val=&quot;0031013A&quot;/&gt;&lt;wsp:rsid wsp:val=&quot;0031018C&quot;/&gt;&lt;wsp:rsid wsp:val=&quot;003105B2&quot;/&gt;&lt;wsp:rsid wsp:val=&quot;00310832&quot;/&gt;&lt;wsp:rsid wsp:val=&quot;00310AC6&quot;/&gt;&lt;wsp:rsid wsp:val=&quot;00310E02&quot;/&gt;&lt;wsp:rsid wsp:val=&quot;003111BD&quot;/&gt;&lt;wsp:rsid wsp:val=&quot;00311355&quot;/&gt;&lt;wsp:rsid wsp:val=&quot;003118E0&quot;/&gt;&lt;wsp:rsid wsp:val=&quot;00311967&quot;/&gt;&lt;wsp:rsid wsp:val=&quot;00311BFF&quot;/&gt;&lt;wsp:rsid wsp:val=&quot;0031201D&quot;/&gt;&lt;wsp:rsid wsp:val=&quot;003124A8&quot;/&gt;&lt;wsp:rsid wsp:val=&quot;0031286E&quot;/&gt;&lt;wsp:rsid wsp:val=&quot;00312EEF&quot;/&gt;&lt;wsp:rsid wsp:val=&quot;00312FD4&quot;/&gt;&lt;wsp:rsid wsp:val=&quot;0031302C&quot;/&gt;&lt;wsp:rsid wsp:val=&quot;00313A91&quot;/&gt;&lt;wsp:rsid wsp:val=&quot;00313C73&quot;/&gt;&lt;wsp:rsid wsp:val=&quot;0031435C&quot;/&gt;&lt;wsp:rsid wsp:val=&quot;003144DA&quot;/&gt;&lt;wsp:rsid wsp:val=&quot;00314577&quot;/&gt;&lt;wsp:rsid wsp:val=&quot;003145BA&quot;/&gt;&lt;wsp:rsid wsp:val=&quot;003146B3&quot;/&gt;&lt;wsp:rsid wsp:val=&quot;003148C5&quot;/&gt;&lt;wsp:rsid wsp:val=&quot;003148E8&quot;/&gt;&lt;wsp:rsid wsp:val=&quot;0031494A&quot;/&gt;&lt;wsp:rsid wsp:val=&quot;00314D64&quot;/&gt;&lt;wsp:rsid wsp:val=&quot;003153AB&quot;/&gt;&lt;wsp:rsid wsp:val=&quot;00315C1F&quot;/&gt;&lt;wsp:rsid wsp:val=&quot;00316A8D&quot;/&gt;&lt;wsp:rsid wsp:val=&quot;00316B3D&quot;/&gt;&lt;wsp:rsid wsp:val=&quot;0031710A&quot;/&gt;&lt;wsp:rsid wsp:val=&quot;0031727B&quot;/&gt;&lt;wsp:rsid wsp:val=&quot;003173FE&quot;/&gt;&lt;wsp:rsid wsp:val=&quot;0031743E&quot;/&gt;&lt;wsp:rsid wsp:val=&quot;003175D3&quot;/&gt;&lt;wsp:rsid wsp:val=&quot;003176EF&quot;/&gt;&lt;wsp:rsid wsp:val=&quot;00317939&quot;/&gt;&lt;wsp:rsid wsp:val=&quot;00317951&quot;/&gt;&lt;wsp:rsid wsp:val=&quot;003179E4&quot;/&gt;&lt;wsp:rsid wsp:val=&quot;00317A5B&quot;/&gt;&lt;wsp:rsid wsp:val=&quot;00317B85&quot;/&gt;&lt;wsp:rsid wsp:val=&quot;00317C82&quot;/&gt;&lt;wsp:rsid wsp:val=&quot;00317C8D&quot;/&gt;&lt;wsp:rsid wsp:val=&quot;00320125&quot;/&gt;&lt;wsp:rsid wsp:val=&quot;00320258&quot;/&gt;&lt;wsp:rsid wsp:val=&quot;00320778&quot;/&gt;&lt;wsp:rsid wsp:val=&quot;003208F1&quot;/&gt;&lt;wsp:rsid wsp:val=&quot;00320B46&quot;/&gt;&lt;wsp:rsid wsp:val=&quot;00321345&quot;/&gt;&lt;wsp:rsid wsp:val=&quot;003219C6&quot;/&gt;&lt;wsp:rsid wsp:val=&quot;00321BAA&quot;/&gt;&lt;wsp:rsid wsp:val=&quot;00321FE8&quot;/&gt;&lt;wsp:rsid wsp:val=&quot;003228E7&quot;/&gt;&lt;wsp:rsid wsp:val=&quot;00322C86&quot;/&gt;&lt;wsp:rsid wsp:val=&quot;00322F9C&quot;/&gt;&lt;wsp:rsid wsp:val=&quot;00323064&quot;/&gt;&lt;wsp:rsid wsp:val=&quot;00323789&quot;/&gt;&lt;wsp:rsid wsp:val=&quot;003237CD&quot;/&gt;&lt;wsp:rsid wsp:val=&quot;003239FE&quot;/&gt;&lt;wsp:rsid wsp:val=&quot;00323A36&quot;/&gt;&lt;wsp:rsid wsp:val=&quot;00323C3F&quot;/&gt;&lt;wsp:rsid wsp:val=&quot;00324043&quot;/&gt;&lt;wsp:rsid wsp:val=&quot;003240C6&quot;/&gt;&lt;wsp:rsid wsp:val=&quot;003240DB&quot;/&gt;&lt;wsp:rsid wsp:val=&quot;00324172&quot;/&gt;&lt;wsp:rsid wsp:val=&quot;003243F1&quot;/&gt;&lt;wsp:rsid wsp:val=&quot;00324811&quot;/&gt;&lt;wsp:rsid wsp:val=&quot;00324D96&quot;/&gt;&lt;wsp:rsid wsp:val=&quot;003251F5&quot;/&gt;&lt;wsp:rsid wsp:val=&quot;003251FD&quot;/&gt;&lt;wsp:rsid wsp:val=&quot;003252DE&quot;/&gt;&lt;wsp:rsid wsp:val=&quot;0032561C&quot;/&gt;&lt;wsp:rsid wsp:val=&quot;003256BF&quot;/&gt;&lt;wsp:rsid wsp:val=&quot;0032627E&quot;/&gt;&lt;wsp:rsid wsp:val=&quot;003263D2&quot;/&gt;&lt;wsp:rsid wsp:val=&quot;003265DD&quot;/&gt;&lt;wsp:rsid wsp:val=&quot;00326D3E&quot;/&gt;&lt;wsp:rsid wsp:val=&quot;0032714F&quot;/&gt;&lt;wsp:rsid wsp:val=&quot;0032737B&quot;/&gt;&lt;wsp:rsid wsp:val=&quot;0032755B&quot;/&gt;&lt;wsp:rsid wsp:val=&quot;0032756B&quot;/&gt;&lt;wsp:rsid wsp:val=&quot;003278B6&quot;/&gt;&lt;wsp:rsid wsp:val=&quot;00327A8B&quot;/&gt;&lt;wsp:rsid wsp:val=&quot;00327CA0&quot;/&gt;&lt;wsp:rsid wsp:val=&quot;00327E04&quot;/&gt;&lt;wsp:rsid wsp:val=&quot;00327E52&quot;/&gt;&lt;wsp:rsid wsp:val=&quot;00330024&quot;/&gt;&lt;wsp:rsid wsp:val=&quot;0033034B&quot;/&gt;&lt;wsp:rsid wsp:val=&quot;00330B34&quot;/&gt;&lt;wsp:rsid wsp:val=&quot;00331365&quot;/&gt;&lt;wsp:rsid wsp:val=&quot;003316ED&quot;/&gt;&lt;wsp:rsid wsp:val=&quot;0033175A&quot;/&gt;&lt;wsp:rsid wsp:val=&quot;003318EC&quot;/&gt;&lt;wsp:rsid wsp:val=&quot;00331ACB&quot;/&gt;&lt;wsp:rsid wsp:val=&quot;0033226E&quot;/&gt;&lt;wsp:rsid wsp:val=&quot;003322C0&quot;/&gt;&lt;wsp:rsid wsp:val=&quot;0033245B&quot;/&gt;&lt;wsp:rsid wsp:val=&quot;003327D1&quot;/&gt;&lt;wsp:rsid wsp:val=&quot;00332A9F&quot;/&gt;&lt;wsp:rsid wsp:val=&quot;00332C11&quot;/&gt;&lt;wsp:rsid wsp:val=&quot;0033316B&quot;/&gt;&lt;wsp:rsid wsp:val=&quot;003331E4&quot;/&gt;&lt;wsp:rsid wsp:val=&quot;003332A5&quot;/&gt;&lt;wsp:rsid wsp:val=&quot;003332B4&quot;/&gt;&lt;wsp:rsid wsp:val=&quot;003332C9&quot;/&gt;&lt;wsp:rsid wsp:val=&quot;00333498&quot;/&gt;&lt;wsp:rsid wsp:val=&quot;00333521&quot;/&gt;&lt;wsp:rsid wsp:val=&quot;00333680&quot;/&gt;&lt;wsp:rsid wsp:val=&quot;00333F62&quot;/&gt;&lt;wsp:rsid wsp:val=&quot;003340C4&quot;/&gt;&lt;wsp:rsid wsp:val=&quot;003342C3&quot;/&gt;&lt;wsp:rsid wsp:val=&quot;00334AB7&quot;/&gt;&lt;wsp:rsid wsp:val=&quot;00334DBD&quot;/&gt;&lt;wsp:rsid wsp:val=&quot;00334F85&quot;/&gt;&lt;wsp:rsid wsp:val=&quot;0033524F&quot;/&gt;&lt;wsp:rsid wsp:val=&quot;003354E8&quot;/&gt;&lt;wsp:rsid wsp:val=&quot;00335704&quot;/&gt;&lt;wsp:rsid wsp:val=&quot;00335B8C&quot;/&gt;&lt;wsp:rsid wsp:val=&quot;00335BEC&quot;/&gt;&lt;wsp:rsid wsp:val=&quot;00335C3B&quot;/&gt;&lt;wsp:rsid wsp:val=&quot;00335FEF&quot;/&gt;&lt;wsp:rsid wsp:val=&quot;00336121&quot;/&gt;&lt;wsp:rsid wsp:val=&quot;00336146&quot;/&gt;&lt;wsp:rsid wsp:val=&quot;003369C1&quot;/&gt;&lt;wsp:rsid wsp:val=&quot;00336D68&quot;/&gt;&lt;wsp:rsid wsp:val=&quot;00336D7E&quot;/&gt;&lt;wsp:rsid wsp:val=&quot;00337075&quot;/&gt;&lt;wsp:rsid wsp:val=&quot;0033707C&quot;/&gt;&lt;wsp:rsid wsp:val=&quot;003373A9&quot;/&gt;&lt;wsp:rsid wsp:val=&quot;003373F7&quot;/&gt;&lt;wsp:rsid wsp:val=&quot;003375F2&quot;/&gt;&lt;wsp:rsid wsp:val=&quot;0033764C&quot;/&gt;&lt;wsp:rsid wsp:val=&quot;003379E1&quot;/&gt;&lt;wsp:rsid wsp:val=&quot;0034005A&quot;/&gt;&lt;wsp:rsid wsp:val=&quot;00340105&quot;/&gt;&lt;wsp:rsid wsp:val=&quot;003405F2&quot;/&gt;&lt;wsp:rsid wsp:val=&quot;0034077B&quot;/&gt;&lt;wsp:rsid wsp:val=&quot;00340B3C&quot;/&gt;&lt;wsp:rsid wsp:val=&quot;00340EA3&quot;/&gt;&lt;wsp:rsid wsp:val=&quot;00340EC3&quot;/&gt;&lt;wsp:rsid wsp:val=&quot;00341352&quot;/&gt;&lt;wsp:rsid wsp:val=&quot;0034136D&quot;/&gt;&lt;wsp:rsid wsp:val=&quot;00341648&quot;/&gt;&lt;wsp:rsid wsp:val=&quot;00341871&quot;/&gt;&lt;wsp:rsid wsp:val=&quot;00341BA2&quot;/&gt;&lt;wsp:rsid wsp:val=&quot;0034246D&quot;/&gt;&lt;wsp:rsid wsp:val=&quot;003426DD&quot;/&gt;&lt;wsp:rsid wsp:val=&quot;003429BB&quot;/&gt;&lt;wsp:rsid wsp:val=&quot;00342C6D&quot;/&gt;&lt;wsp:rsid wsp:val=&quot;00342D91&quot;/&gt;&lt;wsp:rsid wsp:val=&quot;0034360D&quot;/&gt;&lt;wsp:rsid wsp:val=&quot;00343823&quot;/&gt;&lt;wsp:rsid wsp:val=&quot;00343AEB&quot;/&gt;&lt;wsp:rsid wsp:val=&quot;00343B37&quot;/&gt;&lt;wsp:rsid wsp:val=&quot;003441AF&quot;/&gt;&lt;wsp:rsid wsp:val=&quot;0034430C&quot;/&gt;&lt;wsp:rsid wsp:val=&quot;0034477E&quot;/&gt;&lt;wsp:rsid wsp:val=&quot;0034499B&quot;/&gt;&lt;wsp:rsid wsp:val=&quot;003449EE&quot;/&gt;&lt;wsp:rsid wsp:val=&quot;00344C86&quot;/&gt;&lt;wsp:rsid wsp:val=&quot;00345346&quot;/&gt;&lt;wsp:rsid wsp:val=&quot;003459A5&quot;/&gt;&lt;wsp:rsid wsp:val=&quot;00345E3E&quot;/&gt;&lt;wsp:rsid wsp:val=&quot;00345E83&quot;/&gt;&lt;wsp:rsid wsp:val=&quot;003461A8&quot;/&gt;&lt;wsp:rsid wsp:val=&quot;003461B5&quot;/&gt;&lt;wsp:rsid wsp:val=&quot;0034647F&quot;/&gt;&lt;wsp:rsid wsp:val=&quot;003465BD&quot;/&gt;&lt;wsp:rsid wsp:val=&quot;003467BA&quot;/&gt;&lt;wsp:rsid wsp:val=&quot;003472CE&quot;/&gt;&lt;wsp:rsid wsp:val=&quot;003474C7&quot;/&gt;&lt;wsp:rsid wsp:val=&quot;00347AEC&quot;/&gt;&lt;wsp:rsid wsp:val=&quot;00350027&quot;/&gt;&lt;wsp:rsid wsp:val=&quot;003501D8&quot;/&gt;&lt;wsp:rsid wsp:val=&quot;003506E8&quot;/&gt;&lt;wsp:rsid wsp:val=&quot;00350808&quot;/&gt;&lt;wsp:rsid wsp:val=&quot;00350B40&quot;/&gt;&lt;wsp:rsid wsp:val=&quot;00350BE1&quot;/&gt;&lt;wsp:rsid wsp:val=&quot;00350C45&quot;/&gt;&lt;wsp:rsid wsp:val=&quot;00350D37&quot;/&gt;&lt;wsp:rsid wsp:val=&quot;003513D0&quot;/&gt;&lt;wsp:rsid wsp:val=&quot;00351544&quot;/&gt;&lt;wsp:rsid wsp:val=&quot;00351D23&quot;/&gt;&lt;wsp:rsid wsp:val=&quot;00352111&quot;/&gt;&lt;wsp:rsid wsp:val=&quot;0035243E&quot;/&gt;&lt;wsp:rsid wsp:val=&quot;003529B5&quot;/&gt;&lt;wsp:rsid wsp:val=&quot;003529C4&quot;/&gt;&lt;wsp:rsid wsp:val=&quot;00352D51&quot;/&gt;&lt;wsp:rsid wsp:val=&quot;0035318B&quot;/&gt;&lt;wsp:rsid wsp:val=&quot;0035377D&quot;/&gt;&lt;wsp:rsid wsp:val=&quot;00353951&quot;/&gt;&lt;wsp:rsid wsp:val=&quot;00353DEF&quot;/&gt;&lt;wsp:rsid wsp:val=&quot;003548CE&quot;/&gt;&lt;wsp:rsid wsp:val=&quot;003550CB&quot;/&gt;&lt;wsp:rsid wsp:val=&quot;0035532F&quot;/&gt;&lt;wsp:rsid wsp:val=&quot;00355506&quot;/&gt;&lt;wsp:rsid wsp:val=&quot;0035582D&quot;/&gt;&lt;wsp:rsid wsp:val=&quot;003558B6&quot;/&gt;&lt;wsp:rsid wsp:val=&quot;0035596F&quot;/&gt;&lt;wsp:rsid wsp:val=&quot;00355B23&quot;/&gt;&lt;wsp:rsid wsp:val=&quot;003564AF&quot;/&gt;&lt;wsp:rsid wsp:val=&quot;003576FD&quot;/&gt;&lt;wsp:rsid wsp:val=&quot;0035786F&quot;/&gt;&lt;wsp:rsid wsp:val=&quot;00357B2B&quot;/&gt;&lt;wsp:rsid wsp:val=&quot;00357BD4&quot;/&gt;&lt;wsp:rsid wsp:val=&quot;0036002A&quot;/&gt;&lt;wsp:rsid wsp:val=&quot;0036041D&quot;/&gt;&lt;wsp:rsid wsp:val=&quot;00360810&quot;/&gt;&lt;wsp:rsid wsp:val=&quot;00360C9D&quot;/&gt;&lt;wsp:rsid wsp:val=&quot;00360FA1&quot;/&gt;&lt;wsp:rsid wsp:val=&quot;003611FD&quot;/&gt;&lt;wsp:rsid wsp:val=&quot;00361663&quot;/&gt;&lt;wsp:rsid wsp:val=&quot;00361B72&quot;/&gt;&lt;wsp:rsid wsp:val=&quot;00361FD5&quot;/&gt;&lt;wsp:rsid wsp:val=&quot;003620B5&quot;/&gt;&lt;wsp:rsid wsp:val=&quot;003620DB&quot;/&gt;&lt;wsp:rsid wsp:val=&quot;003621B7&quot;/&gt;&lt;wsp:rsid wsp:val=&quot;0036259B&quot;/&gt;&lt;wsp:rsid wsp:val=&quot;00362A92&quot;/&gt;&lt;wsp:rsid wsp:val=&quot;00362BC1&quot;/&gt;&lt;wsp:rsid wsp:val=&quot;00362FE2&quot;/&gt;&lt;wsp:rsid wsp:val=&quot;003630BD&quot;/&gt;&lt;wsp:rsid wsp:val=&quot;0036312A&quot;/&gt;&lt;wsp:rsid wsp:val=&quot;00363568&quot;/&gt;&lt;wsp:rsid wsp:val=&quot;003638A2&quot;/&gt;&lt;wsp:rsid wsp:val=&quot;00363E3B&quot;/&gt;&lt;wsp:rsid wsp:val=&quot;00363E47&quot;/&gt;&lt;wsp:rsid wsp:val=&quot;0036416D&quot;/&gt;&lt;wsp:rsid wsp:val=&quot;00364582&quot;/&gt;&lt;wsp:rsid wsp:val=&quot;003645D7&quot;/&gt;&lt;wsp:rsid wsp:val=&quot;00364A82&quot;/&gt;&lt;wsp:rsid wsp:val=&quot;00365286&quot;/&gt;&lt;wsp:rsid wsp:val=&quot;00365C52&quot;/&gt;&lt;wsp:rsid wsp:val=&quot;00365F41&quot;/&gt;&lt;wsp:rsid wsp:val=&quot;00366017&quot;/&gt;&lt;wsp:rsid wsp:val=&quot;00366401&quot;/&gt;&lt;wsp:rsid wsp:val=&quot;00366520&quot;/&gt;&lt;wsp:rsid wsp:val=&quot;003666EE&quot;/&gt;&lt;wsp:rsid wsp:val=&quot;00366833&quot;/&gt;&lt;wsp:rsid wsp:val=&quot;00366FF4&quot;/&gt;&lt;wsp:rsid wsp:val=&quot;0036702E&quot;/&gt;&lt;wsp:rsid wsp:val=&quot;00367099&quot;/&gt;&lt;wsp:rsid wsp:val=&quot;00367116&quot;/&gt;&lt;wsp:rsid wsp:val=&quot;003671C2&quot;/&gt;&lt;wsp:rsid wsp:val=&quot;003673CB&quot;/&gt;&lt;wsp:rsid wsp:val=&quot;00367508&quot;/&gt;&lt;wsp:rsid wsp:val=&quot;00367CAA&quot;/&gt;&lt;wsp:rsid wsp:val=&quot;00370218&quot;/&gt;&lt;wsp:rsid wsp:val=&quot;00370956&quot;/&gt;&lt;wsp:rsid wsp:val=&quot;00370A0F&quot;/&gt;&lt;wsp:rsid wsp:val=&quot;00370D91&quot;/&gt;&lt;wsp:rsid wsp:val=&quot;00371DDF&quot;/&gt;&lt;wsp:rsid wsp:val=&quot;00371E75&quot;/&gt;&lt;wsp:rsid wsp:val=&quot;00372B2C&quot;/&gt;&lt;wsp:rsid wsp:val=&quot;00372B94&quot;/&gt;&lt;wsp:rsid wsp:val=&quot;00372E1F&quot;/&gt;&lt;wsp:rsid wsp:val=&quot;0037305D&quot;/&gt;&lt;wsp:rsid wsp:val=&quot;00373080&quot;/&gt;&lt;wsp:rsid wsp:val=&quot;0037327A&quot;/&gt;&lt;wsp:rsid wsp:val=&quot;003733B9&quot;/&gt;&lt;wsp:rsid wsp:val=&quot;003734EA&quot;/&gt;&lt;wsp:rsid wsp:val=&quot;00373772&quot;/&gt;&lt;wsp:rsid wsp:val=&quot;0037381A&quot;/&gt;&lt;wsp:rsid wsp:val=&quot;00373863&quot;/&gt;&lt;wsp:rsid wsp:val=&quot;0037417F&quot;/&gt;&lt;wsp:rsid wsp:val=&quot;0037434F&quot;/&gt;&lt;wsp:rsid wsp:val=&quot;003744B2&quot;/&gt;&lt;wsp:rsid wsp:val=&quot;00374A1A&quot;/&gt;&lt;wsp:rsid wsp:val=&quot;00374CFC&quot;/&gt;&lt;wsp:rsid wsp:val=&quot;003751DB&quot;/&gt;&lt;wsp:rsid wsp:val=&quot;00375561&quot;/&gt;&lt;wsp:rsid wsp:val=&quot;0037566E&quot;/&gt;&lt;wsp:rsid wsp:val=&quot;0037573E&quot;/&gt;&lt;wsp:rsid wsp:val=&quot;0037587B&quot;/&gt;&lt;wsp:rsid wsp:val=&quot;00375FE1&quot;/&gt;&lt;wsp:rsid wsp:val=&quot;0037620D&quot;/&gt;&lt;wsp:rsid wsp:val=&quot;00376889&quot;/&gt;&lt;wsp:rsid wsp:val=&quot;0037688C&quot;/&gt;&lt;wsp:rsid wsp:val=&quot;0037736A&quot;/&gt;&lt;wsp:rsid wsp:val=&quot;003778DE&quot;/&gt;&lt;wsp:rsid wsp:val=&quot;00377A92&quot;/&gt;&lt;wsp:rsid wsp:val=&quot;00377CAB&quot;/&gt;&lt;wsp:rsid wsp:val=&quot;00377CCF&quot;/&gt;&lt;wsp:rsid wsp:val=&quot;003800B0&quot;/&gt;&lt;wsp:rsid wsp:val=&quot;00380150&quot;/&gt;&lt;wsp:rsid wsp:val=&quot;0038021F&quot;/&gt;&lt;wsp:rsid wsp:val=&quot;00380627&quot;/&gt;&lt;wsp:rsid wsp:val=&quot;00380A43&quot;/&gt;&lt;wsp:rsid wsp:val=&quot;00380BE5&quot;/&gt;&lt;wsp:rsid wsp:val=&quot;00380D61&quot;/&gt;&lt;wsp:rsid wsp:val=&quot;00380E4F&quot;/&gt;&lt;wsp:rsid wsp:val=&quot;00381580&quot;/&gt;&lt;wsp:rsid wsp:val=&quot;003816B6&quot;/&gt;&lt;wsp:rsid wsp:val=&quot;00381735&quot;/&gt;&lt;wsp:rsid wsp:val=&quot;00381A47&quot;/&gt;&lt;wsp:rsid wsp:val=&quot;00381AE0&quot;/&gt;&lt;wsp:rsid wsp:val=&quot;00381F29&quot;/&gt;&lt;wsp:rsid wsp:val=&quot;003822F0&quot;/&gt;&lt;wsp:rsid wsp:val=&quot;0038263F&quot;/&gt;&lt;wsp:rsid wsp:val=&quot;003829FF&quot;/&gt;&lt;wsp:rsid wsp:val=&quot;00382C25&quot;/&gt;&lt;wsp:rsid wsp:val=&quot;00382E60&quot;/&gt;&lt;wsp:rsid wsp:val=&quot;0038324A&quot;/&gt;&lt;wsp:rsid wsp:val=&quot;00383257&quot;/&gt;&lt;wsp:rsid wsp:val=&quot;003835F4&quot;/&gt;&lt;wsp:rsid wsp:val=&quot;00383A82&quot;/&gt;&lt;wsp:rsid wsp:val=&quot;00383B9A&quot;/&gt;&lt;wsp:rsid wsp:val=&quot;0038426B&quot;/&gt;&lt;wsp:rsid wsp:val=&quot;003843D7&quot;/&gt;&lt;wsp:rsid wsp:val=&quot;003849FB&quot;/&gt;&lt;wsp:rsid wsp:val=&quot;00384B3B&quot;/&gt;&lt;wsp:rsid wsp:val=&quot;00385C5F&quot;/&gt;&lt;wsp:rsid wsp:val=&quot;00385DE1&quot;/&gt;&lt;wsp:rsid wsp:val=&quot;00386363&quot;/&gt;&lt;wsp:rsid wsp:val=&quot;003867F0&quot;/&gt;&lt;wsp:rsid wsp:val=&quot;003871D5&quot;/&gt;&lt;wsp:rsid wsp:val=&quot;00387309&quot;/&gt;&lt;wsp:rsid wsp:val=&quot;0038764F&quot;/&gt;&lt;wsp:rsid wsp:val=&quot;00387679&quot;/&gt;&lt;wsp:rsid wsp:val=&quot;003878E4&quot;/&gt;&lt;wsp:rsid wsp:val=&quot;00387CCC&quot;/&gt;&lt;wsp:rsid wsp:val=&quot;00387D94&quot;/&gt;&lt;wsp:rsid wsp:val=&quot;00390021&quot;/&gt;&lt;wsp:rsid wsp:val=&quot;003902EC&quot;/&gt;&lt;wsp:rsid wsp:val=&quot;0039034E&quot;/&gt;&lt;wsp:rsid wsp:val=&quot;0039053A&quot;/&gt;&lt;wsp:rsid wsp:val=&quot;00390919&quot;/&gt;&lt;wsp:rsid wsp:val=&quot;00390925&quot;/&gt;&lt;wsp:rsid wsp:val=&quot;00390A07&quot;/&gt;&lt;wsp:rsid wsp:val=&quot;00390FA8&quot;/&gt;&lt;wsp:rsid wsp:val=&quot;00391369&quot;/&gt;&lt;wsp:rsid wsp:val=&quot;003917CB&quot;/&gt;&lt;wsp:rsid wsp:val=&quot;00391998&quot;/&gt;&lt;wsp:rsid wsp:val=&quot;00391E4D&quot;/&gt;&lt;wsp:rsid wsp:val=&quot;0039240C&quot;/&gt;&lt;wsp:rsid wsp:val=&quot;0039253A&quot;/&gt;&lt;wsp:rsid wsp:val=&quot;0039272C&quot;/&gt;&lt;wsp:rsid wsp:val=&quot;00392801&quot;/&gt;&lt;wsp:rsid wsp:val=&quot;00392907&quot;/&gt;&lt;wsp:rsid wsp:val=&quot;00392AAD&quot;/&gt;&lt;wsp:rsid wsp:val=&quot;003941C6&quot;/&gt;&lt;wsp:rsid wsp:val=&quot;003941CF&quot;/&gt;&lt;wsp:rsid wsp:val=&quot;003943D7&quot;/&gt;&lt;wsp:rsid wsp:val=&quot;00394690&quot;/&gt;&lt;wsp:rsid wsp:val=&quot;0039499C&quot;/&gt;&lt;wsp:rsid wsp:val=&quot;00394B2F&quot;/&gt;&lt;wsp:rsid wsp:val=&quot;00394D37&quot;/&gt;&lt;wsp:rsid wsp:val=&quot;0039501D&quot;/&gt;&lt;wsp:rsid wsp:val=&quot;00395940&quot;/&gt;&lt;wsp:rsid wsp:val=&quot;00395BC4&quot;/&gt;&lt;wsp:rsid wsp:val=&quot;00395E6F&quot;/&gt;&lt;wsp:rsid wsp:val=&quot;0039633C&quot;/&gt;&lt;wsp:rsid wsp:val=&quot;00396746&quot;/&gt;&lt;wsp:rsid wsp:val=&quot;00396CC7&quot;/&gt;&lt;wsp:rsid wsp:val=&quot;00396FF0&quot;/&gt;&lt;wsp:rsid wsp:val=&quot;003976D0&quot;/&gt;&lt;wsp:rsid wsp:val=&quot;0039784D&quot;/&gt;&lt;wsp:rsid wsp:val=&quot;00397969&quot;/&gt;&lt;wsp:rsid wsp:val=&quot;00397A5E&quot;/&gt;&lt;wsp:rsid wsp:val=&quot;00397AAD&quot;/&gt;&lt;wsp:rsid wsp:val=&quot;00397CB3&quot;/&gt;&lt;wsp:rsid wsp:val=&quot;00397FF2&quot;/&gt;&lt;wsp:rsid wsp:val=&quot;003A0398&quot;/&gt;&lt;wsp:rsid wsp:val=&quot;003A047C&quot;/&gt;&lt;wsp:rsid wsp:val=&quot;003A0DB5&quot;/&gt;&lt;wsp:rsid wsp:val=&quot;003A145B&quot;/&gt;&lt;wsp:rsid wsp:val=&quot;003A157A&quot;/&gt;&lt;wsp:rsid wsp:val=&quot;003A176A&quot;/&gt;&lt;wsp:rsid wsp:val=&quot;003A1844&quot;/&gt;&lt;wsp:rsid wsp:val=&quot;003A184C&quot;/&gt;&lt;wsp:rsid wsp:val=&quot;003A1899&quot;/&gt;&lt;wsp:rsid wsp:val=&quot;003A1926&quot;/&gt;&lt;wsp:rsid wsp:val=&quot;003A1C22&quot;/&gt;&lt;wsp:rsid wsp:val=&quot;003A1C65&quot;/&gt;&lt;wsp:rsid wsp:val=&quot;003A1CF9&quot;/&gt;&lt;wsp:rsid wsp:val=&quot;003A26FA&quot;/&gt;&lt;wsp:rsid wsp:val=&quot;003A287A&quot;/&gt;&lt;wsp:rsid wsp:val=&quot;003A29E9&quot;/&gt;&lt;wsp:rsid wsp:val=&quot;003A2A7F&quot;/&gt;&lt;wsp:rsid wsp:val=&quot;003A33E2&quot;/&gt;&lt;wsp:rsid wsp:val=&quot;003A38DD&quot;/&gt;&lt;wsp:rsid wsp:val=&quot;003A3D24&quot;/&gt;&lt;wsp:rsid wsp:val=&quot;003A3D53&quot;/&gt;&lt;wsp:rsid wsp:val=&quot;003A40F3&quot;/&gt;&lt;wsp:rsid wsp:val=&quot;003A436D&quot;/&gt;&lt;wsp:rsid wsp:val=&quot;003A4A59&quot;/&gt;&lt;wsp:rsid wsp:val=&quot;003A4A81&quot;/&gt;&lt;wsp:rsid wsp:val=&quot;003A4FE4&quot;/&gt;&lt;wsp:rsid wsp:val=&quot;003A5190&quot;/&gt;&lt;wsp:rsid wsp:val=&quot;003A528D&quot;/&gt;&lt;wsp:rsid wsp:val=&quot;003A5646&quot;/&gt;&lt;wsp:rsid wsp:val=&quot;003A566F&quot;/&gt;&lt;wsp:rsid wsp:val=&quot;003A5A32&quot;/&gt;&lt;wsp:rsid wsp:val=&quot;003A5E41&quot;/&gt;&lt;wsp:rsid wsp:val=&quot;003A65B1&quot;/&gt;&lt;wsp:rsid wsp:val=&quot;003A673B&quot;/&gt;&lt;wsp:rsid wsp:val=&quot;003A6859&quot;/&gt;&lt;wsp:rsid wsp:val=&quot;003A68E3&quot;/&gt;&lt;wsp:rsid wsp:val=&quot;003A6912&quot;/&gt;&lt;wsp:rsid wsp:val=&quot;003A70B3&quot;/&gt;&lt;wsp:rsid wsp:val=&quot;003A723C&quot;/&gt;&lt;wsp:rsid wsp:val=&quot;003A7262&quot;/&gt;&lt;wsp:rsid wsp:val=&quot;003A7901&quot;/&gt;&lt;wsp:rsid wsp:val=&quot;003A7925&quot;/&gt;&lt;wsp:rsid wsp:val=&quot;003A7CF6&quot;/&gt;&lt;wsp:rsid wsp:val=&quot;003A7FFD&quot;/&gt;&lt;wsp:rsid wsp:val=&quot;003B01AD&quot;/&gt;&lt;wsp:rsid wsp:val=&quot;003B05ED&quot;/&gt;&lt;wsp:rsid wsp:val=&quot;003B0B3D&quot;/&gt;&lt;wsp:rsid wsp:val=&quot;003B0C2D&quot;/&gt;&lt;wsp:rsid wsp:val=&quot;003B0E52&quot;/&gt;&lt;wsp:rsid wsp:val=&quot;003B132D&quot;/&gt;&lt;wsp:rsid wsp:val=&quot;003B17C5&quot;/&gt;&lt;wsp:rsid wsp:val=&quot;003B1B51&quot;/&gt;&lt;wsp:rsid wsp:val=&quot;003B22F7&quot;/&gt;&lt;wsp:rsid wsp:val=&quot;003B2A75&quot;/&gt;&lt;wsp:rsid wsp:val=&quot;003B2CEE&quot;/&gt;&lt;wsp:rsid wsp:val=&quot;003B2D31&quot;/&gt;&lt;wsp:rsid wsp:val=&quot;003B303C&quot;/&gt;&lt;wsp:rsid wsp:val=&quot;003B304A&quot;/&gt;&lt;wsp:rsid wsp:val=&quot;003B3172&quot;/&gt;&lt;wsp:rsid wsp:val=&quot;003B3279&quot;/&gt;&lt;wsp:rsid wsp:val=&quot;003B357E&quot;/&gt;&lt;wsp:rsid wsp:val=&quot;003B3978&quot;/&gt;&lt;wsp:rsid wsp:val=&quot;003B41AB&quot;/&gt;&lt;wsp:rsid wsp:val=&quot;003B41AF&quot;/&gt;&lt;wsp:rsid wsp:val=&quot;003B44F3&quot;/&gt;&lt;wsp:rsid wsp:val=&quot;003B4F57&quot;/&gt;&lt;wsp:rsid wsp:val=&quot;003B5077&quot;/&gt;&lt;wsp:rsid wsp:val=&quot;003B52A8&quot;/&gt;&lt;wsp:rsid wsp:val=&quot;003B52F7&quot;/&gt;&lt;wsp:rsid wsp:val=&quot;003B578C&quot;/&gt;&lt;wsp:rsid wsp:val=&quot;003B5E36&quot;/&gt;&lt;wsp:rsid wsp:val=&quot;003B5F0A&quot;/&gt;&lt;wsp:rsid wsp:val=&quot;003B61CB&quot;/&gt;&lt;wsp:rsid wsp:val=&quot;003B677D&quot;/&gt;&lt;wsp:rsid wsp:val=&quot;003B6C29&quot;/&gt;&lt;wsp:rsid wsp:val=&quot;003B6DC4&quot;/&gt;&lt;wsp:rsid wsp:val=&quot;003B6E68&quot;/&gt;&lt;wsp:rsid wsp:val=&quot;003B7010&quot;/&gt;&lt;wsp:rsid wsp:val=&quot;003B7D7F&quot;/&gt;&lt;wsp:rsid wsp:val=&quot;003B7FB5&quot;/&gt;&lt;wsp:rsid wsp:val=&quot;003C0009&quot;/&gt;&lt;wsp:rsid wsp:val=&quot;003C048B&quot;/&gt;&lt;wsp:rsid wsp:val=&quot;003C04E1&quot;/&gt;&lt;wsp:rsid wsp:val=&quot;003C0AEF&quot;/&gt;&lt;wsp:rsid wsp:val=&quot;003C0CE2&quot;/&gt;&lt;wsp:rsid wsp:val=&quot;003C1700&quot;/&gt;&lt;wsp:rsid wsp:val=&quot;003C1993&quot;/&gt;&lt;wsp:rsid wsp:val=&quot;003C1E3E&quot;/&gt;&lt;wsp:rsid wsp:val=&quot;003C2055&quot;/&gt;&lt;wsp:rsid wsp:val=&quot;003C270C&quot;/&gt;&lt;wsp:rsid wsp:val=&quot;003C29CB&quot;/&gt;&lt;wsp:rsid wsp:val=&quot;003C2BE4&quot;/&gt;&lt;wsp:rsid wsp:val=&quot;003C2D08&quot;/&gt;&lt;wsp:rsid wsp:val=&quot;003C2E68&quot;/&gt;&lt;wsp:rsid wsp:val=&quot;003C2EE3&quot;/&gt;&lt;wsp:rsid wsp:val=&quot;003C317C&quot;/&gt;&lt;wsp:rsid wsp:val=&quot;003C3719&quot;/&gt;&lt;wsp:rsid wsp:val=&quot;003C38EF&quot;/&gt;&lt;wsp:rsid wsp:val=&quot;003C3FD5&quot;/&gt;&lt;wsp:rsid wsp:val=&quot;003C421F&quot;/&gt;&lt;wsp:rsid wsp:val=&quot;003C44DE&quot;/&gt;&lt;wsp:rsid wsp:val=&quot;003C4928&quot;/&gt;&lt;wsp:rsid wsp:val=&quot;003C4A82&quot;/&gt;&lt;wsp:rsid wsp:val=&quot;003C524F&quot;/&gt;&lt;wsp:rsid wsp:val=&quot;003C57DC&quot;/&gt;&lt;wsp:rsid wsp:val=&quot;003C5C6B&quot;/&gt;&lt;wsp:rsid wsp:val=&quot;003C62E6&quot;/&gt;&lt;wsp:rsid wsp:val=&quot;003C6388&quot;/&gt;&lt;wsp:rsid wsp:val=&quot;003C63E0&quot;/&gt;&lt;wsp:rsid wsp:val=&quot;003C6DC2&quot;/&gt;&lt;wsp:rsid wsp:val=&quot;003C712E&quot;/&gt;&lt;wsp:rsid wsp:val=&quot;003C74EB&quot;/&gt;&lt;wsp:rsid wsp:val=&quot;003C776C&quot;/&gt;&lt;wsp:rsid wsp:val=&quot;003C7E38&quot;/&gt;&lt;wsp:rsid wsp:val=&quot;003C7E92&quot;/&gt;&lt;wsp:rsid wsp:val=&quot;003D022D&quot;/&gt;&lt;wsp:rsid wsp:val=&quot;003D0BB2&quot;/&gt;&lt;wsp:rsid wsp:val=&quot;003D0E03&quot;/&gt;&lt;wsp:rsid wsp:val=&quot;003D1172&quot;/&gt;&lt;wsp:rsid wsp:val=&quot;003D14AF&quot;/&gt;&lt;wsp:rsid wsp:val=&quot;003D1738&quot;/&gt;&lt;wsp:rsid wsp:val=&quot;003D1997&quot;/&gt;&lt;wsp:rsid wsp:val=&quot;003D1A47&quot;/&gt;&lt;wsp:rsid wsp:val=&quot;003D20A7&quot;/&gt;&lt;wsp:rsid wsp:val=&quot;003D23EC&quot;/&gt;&lt;wsp:rsid wsp:val=&quot;003D403E&quot;/&gt;&lt;wsp:rsid wsp:val=&quot;003D42D9&quot;/&gt;&lt;wsp:rsid wsp:val=&quot;003D4367&quot;/&gt;&lt;wsp:rsid wsp:val=&quot;003D4767&quot;/&gt;&lt;wsp:rsid wsp:val=&quot;003D48E3&quot;/&gt;&lt;wsp:rsid wsp:val=&quot;003D49D6&quot;/&gt;&lt;wsp:rsid wsp:val=&quot;003D4B23&quot;/&gt;&lt;wsp:rsid wsp:val=&quot;003D4C60&quot;/&gt;&lt;wsp:rsid wsp:val=&quot;003D4D6B&quot;/&gt;&lt;wsp:rsid wsp:val=&quot;003D50EC&quot;/&gt;&lt;wsp:rsid wsp:val=&quot;003D5179&quot;/&gt;&lt;wsp:rsid wsp:val=&quot;003D5451&quot;/&gt;&lt;wsp:rsid wsp:val=&quot;003D5514&quot;/&gt;&lt;wsp:rsid wsp:val=&quot;003D5668&quot;/&gt;&lt;wsp:rsid wsp:val=&quot;003D57A3&quot;/&gt;&lt;wsp:rsid wsp:val=&quot;003D5AD7&quot;/&gt;&lt;wsp:rsid wsp:val=&quot;003D5CDE&quot;/&gt;&lt;wsp:rsid wsp:val=&quot;003D6174&quot;/&gt;&lt;wsp:rsid wsp:val=&quot;003D6413&quot;/&gt;&lt;wsp:rsid wsp:val=&quot;003D6472&quot;/&gt;&lt;wsp:rsid wsp:val=&quot;003D65C0&quot;/&gt;&lt;wsp:rsid wsp:val=&quot;003D661A&quot;/&gt;&lt;wsp:rsid wsp:val=&quot;003D67A1&quot;/&gt;&lt;wsp:rsid wsp:val=&quot;003D6BB6&quot;/&gt;&lt;wsp:rsid wsp:val=&quot;003D6D7D&quot;/&gt;&lt;wsp:rsid wsp:val=&quot;003D6E42&quot;/&gt;&lt;wsp:rsid wsp:val=&quot;003D6E49&quot;/&gt;&lt;wsp:rsid wsp:val=&quot;003D6E59&quot;/&gt;&lt;wsp:rsid wsp:val=&quot;003D711E&quot;/&gt;&lt;wsp:rsid wsp:val=&quot;003D7374&quot;/&gt;&lt;wsp:rsid wsp:val=&quot;003D779F&quot;/&gt;&lt;wsp:rsid wsp:val=&quot;003D794B&quot;/&gt;&lt;wsp:rsid wsp:val=&quot;003D7975&quot;/&gt;&lt;wsp:rsid wsp:val=&quot;003D7EBB&quot;/&gt;&lt;wsp:rsid wsp:val=&quot;003D7F48&quot;/&gt;&lt;wsp:rsid wsp:val=&quot;003D7F9B&quot;/&gt;&lt;wsp:rsid wsp:val=&quot;003D7FC5&quot;/&gt;&lt;wsp:rsid wsp:val=&quot;003E010D&quot;/&gt;&lt;wsp:rsid wsp:val=&quot;003E07BA&quot;/&gt;&lt;wsp:rsid wsp:val=&quot;003E0BF1&quot;/&gt;&lt;wsp:rsid wsp:val=&quot;003E10D2&quot;/&gt;&lt;wsp:rsid wsp:val=&quot;003E1204&quot;/&gt;&lt;wsp:rsid wsp:val=&quot;003E15D2&quot;/&gt;&lt;wsp:rsid wsp:val=&quot;003E1949&quot;/&gt;&lt;wsp:rsid wsp:val=&quot;003E199F&quot;/&gt;&lt;wsp:rsid wsp:val=&quot;003E1BF0&quot;/&gt;&lt;wsp:rsid wsp:val=&quot;003E1F2C&quot;/&gt;&lt;wsp:rsid wsp:val=&quot;003E2283&quot;/&gt;&lt;wsp:rsid wsp:val=&quot;003E23AB&quot;/&gt;&lt;wsp:rsid wsp:val=&quot;003E25C2&quot;/&gt;&lt;wsp:rsid wsp:val=&quot;003E2B7A&quot;/&gt;&lt;wsp:rsid wsp:val=&quot;003E2C82&quot;/&gt;&lt;wsp:rsid wsp:val=&quot;003E343B&quot;/&gt;&lt;wsp:rsid wsp:val=&quot;003E3710&quot;/&gt;&lt;wsp:rsid wsp:val=&quot;003E3805&quot;/&gt;&lt;wsp:rsid wsp:val=&quot;003E3AC0&quot;/&gt;&lt;wsp:rsid wsp:val=&quot;003E413E&quot;/&gt;&lt;wsp:rsid wsp:val=&quot;003E4553&quot;/&gt;&lt;wsp:rsid wsp:val=&quot;003E483E&quot;/&gt;&lt;wsp:rsid wsp:val=&quot;003E4999&quot;/&gt;&lt;wsp:rsid wsp:val=&quot;003E4DB9&quot;/&gt;&lt;wsp:rsid wsp:val=&quot;003E5106&quot;/&gt;&lt;wsp:rsid wsp:val=&quot;003E5452&quot;/&gt;&lt;wsp:rsid wsp:val=&quot;003E5ED4&quot;/&gt;&lt;wsp:rsid wsp:val=&quot;003E5F64&quot;/&gt;&lt;wsp:rsid wsp:val=&quot;003E6036&quot;/&gt;&lt;wsp:rsid wsp:val=&quot;003E60CA&quot;/&gt;&lt;wsp:rsid wsp:val=&quot;003E6739&quot;/&gt;&lt;wsp:rsid wsp:val=&quot;003E6A00&quot;/&gt;&lt;wsp:rsid wsp:val=&quot;003E6D4C&quot;/&gt;&lt;wsp:rsid wsp:val=&quot;003E6DD0&quot;/&gt;&lt;wsp:rsid wsp:val=&quot;003E6EB5&quot;/&gt;&lt;wsp:rsid wsp:val=&quot;003E738E&quot;/&gt;&lt;wsp:rsid wsp:val=&quot;003E7466&quot;/&gt;&lt;wsp:rsid wsp:val=&quot;003E747E&quot;/&gt;&lt;wsp:rsid wsp:val=&quot;003E75D8&quot;/&gt;&lt;wsp:rsid wsp:val=&quot;003E75DD&quot;/&gt;&lt;wsp:rsid wsp:val=&quot;003E7F03&quot;/&gt;&lt;wsp:rsid wsp:val=&quot;003E7F56&quot;/&gt;&lt;wsp:rsid wsp:val=&quot;003F05A1&quot;/&gt;&lt;wsp:rsid wsp:val=&quot;003F072E&quot;/&gt;&lt;wsp:rsid wsp:val=&quot;003F0A77&quot;/&gt;&lt;wsp:rsid wsp:val=&quot;003F0DC0&quot;/&gt;&lt;wsp:rsid wsp:val=&quot;003F0F06&quot;/&gt;&lt;wsp:rsid wsp:val=&quot;003F10C2&quot;/&gt;&lt;wsp:rsid wsp:val=&quot;003F163B&quot;/&gt;&lt;wsp:rsid wsp:val=&quot;003F1962&quot;/&gt;&lt;wsp:rsid wsp:val=&quot;003F1D3F&quot;/&gt;&lt;wsp:rsid wsp:val=&quot;003F27FE&quot;/&gt;&lt;wsp:rsid wsp:val=&quot;003F2CD6&quot;/&gt;&lt;wsp:rsid wsp:val=&quot;003F2D9D&quot;/&gt;&lt;wsp:rsid wsp:val=&quot;003F2F74&quot;/&gt;&lt;wsp:rsid wsp:val=&quot;003F4232&quot;/&gt;&lt;wsp:rsid wsp:val=&quot;003F535C&quot;/&gt;&lt;wsp:rsid wsp:val=&quot;003F5782&quot;/&gt;&lt;wsp:rsid wsp:val=&quot;003F59F3&quot;/&gt;&lt;wsp:rsid wsp:val=&quot;003F5A09&quot;/&gt;&lt;wsp:rsid wsp:val=&quot;003F5A71&quot;/&gt;&lt;wsp:rsid wsp:val=&quot;003F5AB8&quot;/&gt;&lt;wsp:rsid wsp:val=&quot;003F5BCF&quot;/&gt;&lt;wsp:rsid wsp:val=&quot;003F61F2&quot;/&gt;&lt;wsp:rsid wsp:val=&quot;003F6306&quot;/&gt;&lt;wsp:rsid wsp:val=&quot;003F64A7&quot;/&gt;&lt;wsp:rsid wsp:val=&quot;003F651F&quot;/&gt;&lt;wsp:rsid wsp:val=&quot;003F67D5&quot;/&gt;&lt;wsp:rsid wsp:val=&quot;003F6EDE&quot;/&gt;&lt;wsp:rsid wsp:val=&quot;003F72B3&quot;/&gt;&lt;wsp:rsid wsp:val=&quot;003F77BC&quot;/&gt;&lt;wsp:rsid wsp:val=&quot;00400167&quot;/&gt;&lt;wsp:rsid wsp:val=&quot;00400AD1&quot;/&gt;&lt;wsp:rsid wsp:val=&quot;00401163&quot;/&gt;&lt;wsp:rsid wsp:val=&quot;00401171&quot;/&gt;&lt;wsp:rsid wsp:val=&quot;00402199&quot;/&gt;&lt;wsp:rsid wsp:val=&quot;004021F6&quot;/&gt;&lt;wsp:rsid wsp:val=&quot;00402823&quot;/&gt;&lt;wsp:rsid wsp:val=&quot;00402A93&quot;/&gt;&lt;wsp:rsid wsp:val=&quot;004032F0&quot;/&gt;&lt;wsp:rsid wsp:val=&quot;00403AB8&quot;/&gt;&lt;wsp:rsid wsp:val=&quot;00403EC3&quot;/&gt;&lt;wsp:rsid wsp:val=&quot;004041F7&quot;/&gt;&lt;wsp:rsid wsp:val=&quot;00404D42&quot;/&gt;&lt;wsp:rsid wsp:val=&quot;00404E76&quot;/&gt;&lt;wsp:rsid wsp:val=&quot;00405380&quot;/&gt;&lt;wsp:rsid wsp:val=&quot;00405393&quot;/&gt;&lt;wsp:rsid wsp:val=&quot;00405409&quot;/&gt;&lt;wsp:rsid wsp:val=&quot;00405452&quot;/&gt;&lt;wsp:rsid wsp:val=&quot;00405C6D&quot;/&gt;&lt;wsp:rsid wsp:val=&quot;0040601C&quot;/&gt;&lt;wsp:rsid wsp:val=&quot;0040604D&quot;/&gt;&lt;wsp:rsid wsp:val=&quot;0040662E&quot;/&gt;&lt;wsp:rsid wsp:val=&quot;00406706&quot;/&gt;&lt;wsp:rsid wsp:val=&quot;00406B1B&quot;/&gt;&lt;wsp:rsid wsp:val=&quot;00407073&quot;/&gt;&lt;wsp:rsid wsp:val=&quot;00407C7E&quot;/&gt;&lt;wsp:rsid wsp:val=&quot;00407D27&quot;/&gt;&lt;wsp:rsid wsp:val=&quot;004102C5&quot;/&gt;&lt;wsp:rsid wsp:val=&quot;0041080E&quot;/&gt;&lt;wsp:rsid wsp:val=&quot;004108CF&quot;/&gt;&lt;wsp:rsid wsp:val=&quot;004113CF&quot;/&gt;&lt;wsp:rsid wsp:val=&quot;00411874&quot;/&gt;&lt;wsp:rsid wsp:val=&quot;00411C07&quot;/&gt;&lt;wsp:rsid wsp:val=&quot;00411C3A&quot;/&gt;&lt;wsp:rsid wsp:val=&quot;00411D59&quot;/&gt;&lt;wsp:rsid wsp:val=&quot;00411DBF&quot;/&gt;&lt;wsp:rsid wsp:val=&quot;00412120&quot;/&gt;&lt;wsp:rsid wsp:val=&quot;004122B7&quot;/&gt;&lt;wsp:rsid wsp:val=&quot;004125F8&quot;/&gt;&lt;wsp:rsid wsp:val=&quot;004126D8&quot;/&gt;&lt;wsp:rsid wsp:val=&quot;00412732&quot;/&gt;&lt;wsp:rsid wsp:val=&quot;0041287E&quot;/&gt;&lt;wsp:rsid wsp:val=&quot;00412941&quot;/&gt;&lt;wsp:rsid wsp:val=&quot;00412A1C&quot;/&gt;&lt;wsp:rsid wsp:val=&quot;00412A9A&quot;/&gt;&lt;wsp:rsid wsp:val=&quot;00412B05&quot;/&gt;&lt;wsp:rsid wsp:val=&quot;00412E3E&quot;/&gt;&lt;wsp:rsid wsp:val=&quot;0041306D&quot;/&gt;&lt;wsp:rsid wsp:val=&quot;004137A0&quot;/&gt;&lt;wsp:rsid wsp:val=&quot;00413C4F&quot;/&gt;&lt;wsp:rsid wsp:val=&quot;00413DAA&quot;/&gt;&lt;wsp:rsid wsp:val=&quot;00413DB7&quot;/&gt;&lt;wsp:rsid wsp:val=&quot;00414227&quot;/&gt;&lt;wsp:rsid wsp:val=&quot;00415034&quot;/&gt;&lt;wsp:rsid wsp:val=&quot;00415974&quot;/&gt;&lt;wsp:rsid wsp:val=&quot;00415A40&quot;/&gt;&lt;wsp:rsid wsp:val=&quot;00416097&quot;/&gt;&lt;wsp:rsid wsp:val=&quot;00416277&quot;/&gt;&lt;wsp:rsid wsp:val=&quot;00416715&quot;/&gt;&lt;wsp:rsid wsp:val=&quot;00416D6C&quot;/&gt;&lt;wsp:rsid wsp:val=&quot;00416D9B&quot;/&gt;&lt;wsp:rsid wsp:val=&quot;00416E1D&quot;/&gt;&lt;wsp:rsid wsp:val=&quot;004171AC&quot;/&gt;&lt;wsp:rsid wsp:val=&quot;00417426&quot;/&gt;&lt;wsp:rsid wsp:val=&quot;00417963&quot;/&gt;&lt;wsp:rsid wsp:val=&quot;00417F00&quot;/&gt;&lt;wsp:rsid wsp:val=&quot;004201F9&quot;/&gt;&lt;wsp:rsid wsp:val=&quot;00420691&quot;/&gt;&lt;wsp:rsid wsp:val=&quot;00420919&quot;/&gt;&lt;wsp:rsid wsp:val=&quot;004209EA&quot;/&gt;&lt;wsp:rsid wsp:val=&quot;00420C86&quot;/&gt;&lt;wsp:rsid wsp:val=&quot;00420DA8&quot;/&gt;&lt;wsp:rsid wsp:val=&quot;004214D1&quot;/&gt;&lt;wsp:rsid wsp:val=&quot;0042172F&quot;/&gt;&lt;wsp:rsid wsp:val=&quot;00421879&quot;/&gt;&lt;wsp:rsid wsp:val=&quot;004226DD&quot;/&gt;&lt;wsp:rsid wsp:val=&quot;00422703&quot;/&gt;&lt;wsp:rsid wsp:val=&quot;004228DB&quot;/&gt;&lt;wsp:rsid wsp:val=&quot;00422CCB&quot;/&gt;&lt;wsp:rsid wsp:val=&quot;00422F61&quot;/&gt;&lt;wsp:rsid wsp:val=&quot;0042399D&quot;/&gt;&lt;wsp:rsid wsp:val=&quot;00423D45&quot;/&gt;&lt;wsp:rsid wsp:val=&quot;004256B2&quot;/&gt;&lt;wsp:rsid wsp:val=&quot;004258EB&quot;/&gt;&lt;wsp:rsid wsp:val=&quot;00425C65&quot;/&gt;&lt;wsp:rsid wsp:val=&quot;00426242&quot;/&gt;&lt;wsp:rsid wsp:val=&quot;004263DD&quot;/&gt;&lt;wsp:rsid wsp:val=&quot;00426B31&quot;/&gt;&lt;wsp:rsid wsp:val=&quot;00426C16&quot;/&gt;&lt;wsp:rsid wsp:val=&quot;00426C3D&quot;/&gt;&lt;wsp:rsid wsp:val=&quot;00426C91&quot;/&gt;&lt;wsp:rsid wsp:val=&quot;004272E7&quot;/&gt;&lt;wsp:rsid wsp:val=&quot;00427382&quot;/&gt;&lt;wsp:rsid wsp:val=&quot;00427A8E&quot;/&gt;&lt;wsp:rsid wsp:val=&quot;00427CBB&quot;/&gt;&lt;wsp:rsid wsp:val=&quot;00427F05&quot;/&gt;&lt;wsp:rsid wsp:val=&quot;0043005A&quot;/&gt;&lt;wsp:rsid wsp:val=&quot;004302FC&quot;/&gt;&lt;wsp:rsid wsp:val=&quot;004306DF&quot;/&gt;&lt;wsp:rsid wsp:val=&quot;00430728&quot;/&gt;&lt;wsp:rsid wsp:val=&quot;00430D53&quot;/&gt;&lt;wsp:rsid wsp:val=&quot;00431053&quot;/&gt;&lt;wsp:rsid wsp:val=&quot;00431166&quot;/&gt;&lt;wsp:rsid wsp:val=&quot;004312AC&quot;/&gt;&lt;wsp:rsid wsp:val=&quot;0043143D&quot;/&gt;&lt;wsp:rsid wsp:val=&quot;0043160B&quot;/&gt;&lt;wsp:rsid wsp:val=&quot;00431BD6&quot;/&gt;&lt;wsp:rsid wsp:val=&quot;00431D5A&quot;/&gt;&lt;wsp:rsid wsp:val=&quot;00432A0F&quot;/&gt;&lt;wsp:rsid wsp:val=&quot;00432B6D&quot;/&gt;&lt;wsp:rsid wsp:val=&quot;00432BD9&quot;/&gt;&lt;wsp:rsid wsp:val=&quot;00432F24&quot;/&gt;&lt;wsp:rsid wsp:val=&quot;00433063&quot;/&gt;&lt;wsp:rsid wsp:val=&quot;00433294&quot;/&gt;&lt;wsp:rsid wsp:val=&quot;00433353&quot;/&gt;&lt;wsp:rsid wsp:val=&quot;004338D5&quot;/&gt;&lt;wsp:rsid wsp:val=&quot;0043394F&quot;/&gt;&lt;wsp:rsid wsp:val=&quot;0043418B&quot;/&gt;&lt;wsp:rsid wsp:val=&quot;00434456&quot;/&gt;&lt;wsp:rsid wsp:val=&quot;0043487C&quot;/&gt;&lt;wsp:rsid wsp:val=&quot;00434B6B&quot;/&gt;&lt;wsp:rsid wsp:val=&quot;00435106&quot;/&gt;&lt;wsp:rsid wsp:val=&quot;00435446&quot;/&gt;&lt;wsp:rsid wsp:val=&quot;00435560&quot;/&gt;&lt;wsp:rsid wsp:val=&quot;00435CC3&quot;/&gt;&lt;wsp:rsid wsp:val=&quot;00435E1B&quot;/&gt;&lt;wsp:rsid wsp:val=&quot;00436526&quot;/&gt;&lt;wsp:rsid wsp:val=&quot;004368E1&quot;/&gt;&lt;wsp:rsid wsp:val=&quot;0043698F&quot;/&gt;&lt;wsp:rsid wsp:val=&quot;00436AE0&quot;/&gt;&lt;wsp:rsid wsp:val=&quot;00436AEF&quot;/&gt;&lt;wsp:rsid wsp:val=&quot;00436CF7&quot;/&gt;&lt;wsp:rsid wsp:val=&quot;00436E5C&quot;/&gt;&lt;wsp:rsid wsp:val=&quot;004371E9&quot;/&gt;&lt;wsp:rsid wsp:val=&quot;004375B1&quot;/&gt;&lt;wsp:rsid wsp:val=&quot;0043778B&quot;/&gt;&lt;wsp:rsid wsp:val=&quot;00437831&quot;/&gt;&lt;wsp:rsid wsp:val=&quot;00437BF6&quot;/&gt;&lt;wsp:rsid wsp:val=&quot;00437CAC&quot;/&gt;&lt;wsp:rsid wsp:val=&quot;00437E9D&quot;/&gt;&lt;wsp:rsid wsp:val=&quot;00440C3D&quot;/&gt;&lt;wsp:rsid wsp:val=&quot;0044147E&quot;/&gt;&lt;wsp:rsid wsp:val=&quot;004417DE&quot;/&gt;&lt;wsp:rsid wsp:val=&quot;00441A53&quot;/&gt;&lt;wsp:rsid wsp:val=&quot;00441B1C&quot;/&gt;&lt;wsp:rsid wsp:val=&quot;00441BC1&quot;/&gt;&lt;wsp:rsid wsp:val=&quot;00441C6D&quot;/&gt;&lt;wsp:rsid wsp:val=&quot;00441E1C&quot;/&gt;&lt;wsp:rsid wsp:val=&quot;00441EA7&quot;/&gt;&lt;wsp:rsid wsp:val=&quot;004420A8&quot;/&gt;&lt;wsp:rsid wsp:val=&quot;00442B06&quot;/&gt;&lt;wsp:rsid wsp:val=&quot;00442D41&quot;/&gt;&lt;wsp:rsid wsp:val=&quot;00442DBF&quot;/&gt;&lt;wsp:rsid wsp:val=&quot;00442E23&quot;/&gt;&lt;wsp:rsid wsp:val=&quot;00443044&quot;/&gt;&lt;wsp:rsid wsp:val=&quot;00443103&quot;/&gt;&lt;wsp:rsid wsp:val=&quot;00443143&quot;/&gt;&lt;wsp:rsid wsp:val=&quot;00443533&quot;/&gt;&lt;wsp:rsid wsp:val=&quot;004438F7&quot;/&gt;&lt;wsp:rsid wsp:val=&quot;00443985&quot;/&gt;&lt;wsp:rsid wsp:val=&quot;00443C76&quot;/&gt;&lt;wsp:rsid wsp:val=&quot;0044419D&quot;/&gt;&lt;wsp:rsid wsp:val=&quot;0044438A&quot;/&gt;&lt;wsp:rsid wsp:val=&quot;00444562&quot;/&gt;&lt;wsp:rsid wsp:val=&quot;0044478E&quot;/&gt;&lt;wsp:rsid wsp:val=&quot;004447EA&quot;/&gt;&lt;wsp:rsid wsp:val=&quot;0044488E&quot;/&gt;&lt;wsp:rsid wsp:val=&quot;00444C19&quot;/&gt;&lt;wsp:rsid wsp:val=&quot;00444F9D&quot;/&gt;&lt;wsp:rsid wsp:val=&quot;004458CA&quot;/&gt;&lt;wsp:rsid wsp:val=&quot;00445AFA&quot;/&gt;&lt;wsp:rsid wsp:val=&quot;00445D01&quot;/&gt;&lt;wsp:rsid wsp:val=&quot;00445E5F&quot;/&gt;&lt;wsp:rsid wsp:val=&quot;00446157&quot;/&gt;&lt;wsp:rsid wsp:val=&quot;004461A4&quot;/&gt;&lt;wsp:rsid wsp:val=&quot;004461D0&quot;/&gt;&lt;wsp:rsid wsp:val=&quot;004462D2&quot;/&gt;&lt;wsp:rsid wsp:val=&quot;00446374&quot;/&gt;&lt;wsp:rsid wsp:val=&quot;00446489&quot;/&gt;&lt;wsp:rsid wsp:val=&quot;00446537&quot;/&gt;&lt;wsp:rsid wsp:val=&quot;00446605&quot;/&gt;&lt;wsp:rsid wsp:val=&quot;004466CD&quot;/&gt;&lt;wsp:rsid wsp:val=&quot;0044671A&quot;/&gt;&lt;wsp:rsid wsp:val=&quot;00446798&quot;/&gt;&lt;wsp:rsid wsp:val=&quot;00446B30&quot;/&gt;&lt;wsp:rsid wsp:val=&quot;00447387&quot;/&gt;&lt;wsp:rsid wsp:val=&quot;00447397&quot;/&gt;&lt;wsp:rsid wsp:val=&quot;0044789A&quot;/&gt;&lt;wsp:rsid wsp:val=&quot;00447CC2&quot;/&gt;&lt;wsp:rsid wsp:val=&quot;00447FCB&quot;/&gt;&lt;wsp:rsid wsp:val=&quot;0045026C&quot;/&gt;&lt;wsp:rsid wsp:val=&quot;00450663&quot;/&gt;&lt;wsp:rsid wsp:val=&quot;004507D7&quot;/&gt;&lt;wsp:rsid wsp:val=&quot;00450BC6&quot;/&gt;&lt;wsp:rsid wsp:val=&quot;00450DAD&quot;/&gt;&lt;wsp:rsid wsp:val=&quot;00450E01&quot;/&gt;&lt;wsp:rsid wsp:val=&quot;00450FA8&quot;/&gt;&lt;wsp:rsid wsp:val=&quot;00451177&quot;/&gt;&lt;wsp:rsid wsp:val=&quot;0045123E&quot;/&gt;&lt;wsp:rsid wsp:val=&quot;004512ED&quot;/&gt;&lt;wsp:rsid wsp:val=&quot;004518D0&quot;/&gt;&lt;wsp:rsid wsp:val=&quot;00452310&quot;/&gt;&lt;wsp:rsid wsp:val=&quot;0045288A&quot;/&gt;&lt;wsp:rsid wsp:val=&quot;00452ACD&quot;/&gt;&lt;wsp:rsid wsp:val=&quot;00452B84&quot;/&gt;&lt;wsp:rsid wsp:val=&quot;00452C80&quot;/&gt;&lt;wsp:rsid wsp:val=&quot;004531A4&quot;/&gt;&lt;wsp:rsid wsp:val=&quot;00453268&quot;/&gt;&lt;wsp:rsid wsp:val=&quot;00453577&quot;/&gt;&lt;wsp:rsid wsp:val=&quot;00453C5D&quot;/&gt;&lt;wsp:rsid wsp:val=&quot;00454170&quot;/&gt;&lt;wsp:rsid wsp:val=&quot;00454832&quot;/&gt;&lt;wsp:rsid wsp:val=&quot;00454890&quot;/&gt;&lt;wsp:rsid wsp:val=&quot;00454A4D&quot;/&gt;&lt;wsp:rsid wsp:val=&quot;00454F20&quot;/&gt;&lt;wsp:rsid wsp:val=&quot;004553C6&quot;/&gt;&lt;wsp:rsid wsp:val=&quot;00455834&quot;/&gt;&lt;wsp:rsid wsp:val=&quot;00455B45&quot;/&gt;&lt;wsp:rsid wsp:val=&quot;00455B9C&quot;/&gt;&lt;wsp:rsid wsp:val=&quot;00455BB7&quot;/&gt;&lt;wsp:rsid wsp:val=&quot;00456165&quot;/&gt;&lt;wsp:rsid wsp:val=&quot;0045649E&quot;/&gt;&lt;wsp:rsid wsp:val=&quot;004565EB&quot;/&gt;&lt;wsp:rsid wsp:val=&quot;00456861&quot;/&gt;&lt;wsp:rsid wsp:val=&quot;004572A3&quot;/&gt;&lt;wsp:rsid wsp:val=&quot;004576F2&quot;/&gt;&lt;wsp:rsid wsp:val=&quot;004577F9&quot;/&gt;&lt;wsp:rsid wsp:val=&quot;00457CC6&quot;/&gt;&lt;wsp:rsid wsp:val=&quot;00457DE2&quot;/&gt;&lt;wsp:rsid wsp:val=&quot;00457FB3&quot;/&gt;&lt;wsp:rsid wsp:val=&quot;004608B6&quot;/&gt;&lt;wsp:rsid wsp:val=&quot;004608EE&quot;/&gt;&lt;wsp:rsid wsp:val=&quot;0046098B&quot;/&gt;&lt;wsp:rsid wsp:val=&quot;004610D7&quot;/&gt;&lt;wsp:rsid wsp:val=&quot;00461155&quot;/&gt;&lt;wsp:rsid wsp:val=&quot;004615C4&quot;/&gt;&lt;wsp:rsid wsp:val=&quot;00461628&quot;/&gt;&lt;wsp:rsid wsp:val=&quot;00461A79&quot;/&gt;&lt;wsp:rsid wsp:val=&quot;0046245E&quot;/&gt;&lt;wsp:rsid wsp:val=&quot;00462996&quot;/&gt;&lt;wsp:rsid wsp:val=&quot;00462A41&quot;/&gt;&lt;wsp:rsid wsp:val=&quot;00462B20&quot;/&gt;&lt;wsp:rsid wsp:val=&quot;00462BD0&quot;/&gt;&lt;wsp:rsid wsp:val=&quot;00462D04&quot;/&gt;&lt;wsp:rsid wsp:val=&quot;00463017&quot;/&gt;&lt;wsp:rsid wsp:val=&quot;00463593&quot;/&gt;&lt;wsp:rsid wsp:val=&quot;004635B6&quot;/&gt;&lt;wsp:rsid wsp:val=&quot;0046376F&quot;/&gt;&lt;wsp:rsid wsp:val=&quot;00463986&quot;/&gt;&lt;wsp:rsid wsp:val=&quot;00463CF2&quot;/&gt;&lt;wsp:rsid wsp:val=&quot;0046420B&quot;/&gt;&lt;wsp:rsid wsp:val=&quot;00464B26&quot;/&gt;&lt;wsp:rsid wsp:val=&quot;00464CC2&quot;/&gt;&lt;wsp:rsid wsp:val=&quot;00464DAA&quot;/&gt;&lt;wsp:rsid wsp:val=&quot;004655C4&quot;/&gt;&lt;wsp:rsid wsp:val=&quot;004657FF&quot;/&gt;&lt;wsp:rsid wsp:val=&quot;00465892&quot;/&gt;&lt;wsp:rsid wsp:val=&quot;00465895&quot;/&gt;&lt;wsp:rsid wsp:val=&quot;00465A53&quot;/&gt;&lt;wsp:rsid wsp:val=&quot;00465CB2&quot;/&gt;&lt;wsp:rsid wsp:val=&quot;00465D75&quot;/&gt;&lt;wsp:rsid wsp:val=&quot;004661B1&quot;/&gt;&lt;wsp:rsid wsp:val=&quot;004663F7&quot;/&gt;&lt;wsp:rsid wsp:val=&quot;00466D7E&quot;/&gt;&lt;wsp:rsid wsp:val=&quot;004674C1&quot;/&gt;&lt;wsp:rsid wsp:val=&quot;00467852&quot;/&gt;&lt;wsp:rsid wsp:val=&quot;004679FD&quot;/&gt;&lt;wsp:rsid wsp:val=&quot;00470019&quot;/&gt;&lt;wsp:rsid wsp:val=&quot;00470308&quot;/&gt;&lt;wsp:rsid wsp:val=&quot;0047046B&quot;/&gt;&lt;wsp:rsid wsp:val=&quot;00470DB4&quot;/&gt;&lt;wsp:rsid wsp:val=&quot;0047107A&quot;/&gt;&lt;wsp:rsid wsp:val=&quot;004710D3&quot;/&gt;&lt;wsp:rsid wsp:val=&quot;004710DF&quot;/&gt;&lt;wsp:rsid wsp:val=&quot;004714D2&quot;/&gt;&lt;wsp:rsid wsp:val=&quot;00471507&quot;/&gt;&lt;wsp:rsid wsp:val=&quot;00471D6C&quot;/&gt;&lt;wsp:rsid wsp:val=&quot;00471E47&quot;/&gt;&lt;wsp:rsid wsp:val=&quot;00471FC5&quot;/&gt;&lt;wsp:rsid wsp:val=&quot;00472074&quot;/&gt;&lt;wsp:rsid wsp:val=&quot;00472AEE&quot;/&gt;&lt;wsp:rsid wsp:val=&quot;00472B3C&quot;/&gt;&lt;wsp:rsid wsp:val=&quot;00472B9D&quot;/&gt;&lt;wsp:rsid wsp:val=&quot;00472D20&quot;/&gt;&lt;wsp:rsid wsp:val=&quot;004737B3&quot;/&gt;&lt;wsp:rsid wsp:val=&quot;004738E4&quot;/&gt;&lt;wsp:rsid wsp:val=&quot;004738E5&quot;/&gt;&lt;wsp:rsid wsp:val=&quot;00473F1D&quot;/&gt;&lt;wsp:rsid wsp:val=&quot;004740CB&quot;/&gt;&lt;wsp:rsid wsp:val=&quot;004743A8&quot;/&gt;&lt;wsp:rsid wsp:val=&quot;0047459B&quot;/&gt;&lt;wsp:rsid wsp:val=&quot;0047466C&quot;/&gt;&lt;wsp:rsid wsp:val=&quot;00474928&quot;/&gt;&lt;wsp:rsid wsp:val=&quot;0047513F&quot;/&gt;&lt;wsp:rsid wsp:val=&quot;0047556E&quot;/&gt;&lt;wsp:rsid wsp:val=&quot;0047565B&quot;/&gt;&lt;wsp:rsid wsp:val=&quot;004757A8&quot;/&gt;&lt;wsp:rsid wsp:val=&quot;0047598B&quot;/&gt;&lt;wsp:rsid wsp:val=&quot;00475DAC&quot;/&gt;&lt;wsp:rsid wsp:val=&quot;004761DC&quot;/&gt;&lt;wsp:rsid wsp:val=&quot;0047633A&quot;/&gt;&lt;wsp:rsid wsp:val=&quot;0047634B&quot;/&gt;&lt;wsp:rsid wsp:val=&quot;00476428&quot;/&gt;&lt;wsp:rsid wsp:val=&quot;00476588&quot;/&gt;&lt;wsp:rsid wsp:val=&quot;00476831&quot;/&gt;&lt;wsp:rsid wsp:val=&quot;00476EBB&quot;/&gt;&lt;wsp:rsid wsp:val=&quot;0047711B&quot;/&gt;&lt;wsp:rsid wsp:val=&quot;00477336&quot;/&gt;&lt;wsp:rsid wsp:val=&quot;00477AA4&quot;/&gt;&lt;wsp:rsid wsp:val=&quot;00477C62&quot;/&gt;&lt;wsp:rsid wsp:val=&quot;00477E82&quot;/&gt;&lt;wsp:rsid wsp:val=&quot;00477FB2&quot;/&gt;&lt;wsp:rsid wsp:val=&quot;0048004E&quot;/&gt;&lt;wsp:rsid wsp:val=&quot;00480129&quot;/&gt;&lt;wsp:rsid wsp:val=&quot;00480575&quot;/&gt;&lt;wsp:rsid wsp:val=&quot;00480F11&quot;/&gt;&lt;wsp:rsid wsp:val=&quot;00482083&quot;/&gt;&lt;wsp:rsid wsp:val=&quot;004823C1&quot;/&gt;&lt;wsp:rsid wsp:val=&quot;004823D0&quot;/&gt;&lt;wsp:rsid wsp:val=&quot;004825D7&quot;/&gt;&lt;wsp:rsid wsp:val=&quot;004831BB&quot;/&gt;&lt;wsp:rsid wsp:val=&quot;00483290&quot;/&gt;&lt;wsp:rsid wsp:val=&quot;004834B7&quot;/&gt;&lt;wsp:rsid wsp:val=&quot;00483841&quot;/&gt;&lt;wsp:rsid wsp:val=&quot;00483914&quot;/&gt;&lt;wsp:rsid wsp:val=&quot;00483C6F&quot;/&gt;&lt;wsp:rsid wsp:val=&quot;00484263&quot;/&gt;&lt;wsp:rsid wsp:val=&quot;004843B5&quot;/&gt;&lt;wsp:rsid wsp:val=&quot;004844FC&quot;/&gt;&lt;wsp:rsid wsp:val=&quot;00484FDF&quot;/&gt;&lt;wsp:rsid wsp:val=&quot;004854A5&quot;/&gt;&lt;wsp:rsid wsp:val=&quot;004855F1&quot;/&gt;&lt;wsp:rsid wsp:val=&quot;00485A07&quot;/&gt;&lt;wsp:rsid wsp:val=&quot;00485A73&quot;/&gt;&lt;wsp:rsid wsp:val=&quot;00485D62&quot;/&gt;&lt;wsp:rsid wsp:val=&quot;00485D6D&quot;/&gt;&lt;wsp:rsid wsp:val=&quot;00485EDD&quot;/&gt;&lt;wsp:rsid wsp:val=&quot;00486243&quot;/&gt;&lt;wsp:rsid wsp:val=&quot;00486319&quot;/&gt;&lt;wsp:rsid wsp:val=&quot;004864A6&quot;/&gt;&lt;wsp:rsid wsp:val=&quot;004865EE&quot;/&gt;&lt;wsp:rsid wsp:val=&quot;004868A0&quot;/&gt;&lt;wsp:rsid wsp:val=&quot;00486B0E&quot;/&gt;&lt;wsp:rsid wsp:val=&quot;00487952&quot;/&gt;&lt;wsp:rsid wsp:val=&quot;00487F97&quot;/&gt;&lt;wsp:rsid wsp:val=&quot;00490235&quot;/&gt;&lt;wsp:rsid wsp:val=&quot;004904F5&quot;/&gt;&lt;wsp:rsid wsp:val=&quot;00490575&quot;/&gt;&lt;wsp:rsid wsp:val=&quot;0049105E&quot;/&gt;&lt;wsp:rsid wsp:val=&quot;0049114B&quot;/&gt;&lt;wsp:rsid wsp:val=&quot;004913BD&quot;/&gt;&lt;wsp:rsid wsp:val=&quot;00491B51&quot;/&gt;&lt;wsp:rsid wsp:val=&quot;0049254E&quot;/&gt;&lt;wsp:rsid wsp:val=&quot;00492B5E&quot;/&gt;&lt;wsp:rsid wsp:val=&quot;00492B75&quot;/&gt;&lt;wsp:rsid wsp:val=&quot;00492BDE&quot;/&gt;&lt;wsp:rsid wsp:val=&quot;00493194&quot;/&gt;&lt;wsp:rsid wsp:val=&quot;004933E0&quot;/&gt;&lt;wsp:rsid wsp:val=&quot;0049407C&quot;/&gt;&lt;wsp:rsid wsp:val=&quot;004947BD&quot;/&gt;&lt;wsp:rsid wsp:val=&quot;004948E4&quot;/&gt;&lt;wsp:rsid wsp:val=&quot;00494D55&quot;/&gt;&lt;wsp:rsid wsp:val=&quot;004953A7&quot;/&gt;&lt;wsp:rsid wsp:val=&quot;00495729&quot;/&gt;&lt;wsp:rsid wsp:val=&quot;00495C08&quot;/&gt;&lt;wsp:rsid wsp:val=&quot;00495C16&quot;/&gt;&lt;wsp:rsid wsp:val=&quot;00495EDB&quot;/&gt;&lt;wsp:rsid wsp:val=&quot;00495FEA&quot;/&gt;&lt;wsp:rsid wsp:val=&quot;004963FD&quot;/&gt;&lt;wsp:rsid wsp:val=&quot;004975DF&quot;/&gt;&lt;wsp:rsid wsp:val=&quot;004976A3&quot;/&gt;&lt;wsp:rsid wsp:val=&quot;00497F41&quot;/&gt;&lt;wsp:rsid wsp:val=&quot;004A0140&quot;/&gt;&lt;wsp:rsid wsp:val=&quot;004A0471&quot;/&gt;&lt;wsp:rsid wsp:val=&quot;004A09B6&quot;/&gt;&lt;wsp:rsid wsp:val=&quot;004A12A2&quot;/&gt;&lt;wsp:rsid wsp:val=&quot;004A1350&quot;/&gt;&lt;wsp:rsid wsp:val=&quot;004A138A&quot;/&gt;&lt;wsp:rsid wsp:val=&quot;004A1B0F&quot;/&gt;&lt;wsp:rsid wsp:val=&quot;004A1CF9&quot;/&gt;&lt;wsp:rsid wsp:val=&quot;004A1FE1&quot;/&gt;&lt;wsp:rsid wsp:val=&quot;004A2013&quot;/&gt;&lt;wsp:rsid wsp:val=&quot;004A228C&quot;/&gt;&lt;wsp:rsid wsp:val=&quot;004A29C1&quot;/&gt;&lt;wsp:rsid wsp:val=&quot;004A29F7&quot;/&gt;&lt;wsp:rsid wsp:val=&quot;004A2FEB&quot;/&gt;&lt;wsp:rsid wsp:val=&quot;004A3467&quot;/&gt;&lt;wsp:rsid wsp:val=&quot;004A34BC&quot;/&gt;&lt;wsp:rsid wsp:val=&quot;004A4183&quot;/&gt;&lt;wsp:rsid wsp:val=&quot;004A460D&quot;/&gt;&lt;wsp:rsid wsp:val=&quot;004A4913&quot;/&gt;&lt;wsp:rsid wsp:val=&quot;004A4985&quot;/&gt;&lt;wsp:rsid wsp:val=&quot;004A49CD&quot;/&gt;&lt;wsp:rsid wsp:val=&quot;004A4D4D&quot;/&gt;&lt;wsp:rsid wsp:val=&quot;004A526B&quot;/&gt;&lt;wsp:rsid wsp:val=&quot;004A52FC&quot;/&gt;&lt;wsp:rsid wsp:val=&quot;004A535F&quot;/&gt;&lt;wsp:rsid wsp:val=&quot;004A55B8&quot;/&gt;&lt;wsp:rsid wsp:val=&quot;004A5826&quot;/&gt;&lt;wsp:rsid wsp:val=&quot;004A6463&quot;/&gt;&lt;wsp:rsid wsp:val=&quot;004A659B&quot;/&gt;&lt;wsp:rsid wsp:val=&quot;004A65E6&quot;/&gt;&lt;wsp:rsid wsp:val=&quot;004A6695&quot;/&gt;&lt;wsp:rsid wsp:val=&quot;004A671E&quot;/&gt;&lt;wsp:rsid wsp:val=&quot;004A673C&quot;/&gt;&lt;wsp:rsid wsp:val=&quot;004A6C23&quot;/&gt;&lt;wsp:rsid wsp:val=&quot;004A7471&quot;/&gt;&lt;wsp:rsid wsp:val=&quot;004A77E1&quot;/&gt;&lt;wsp:rsid wsp:val=&quot;004A783D&quot;/&gt;&lt;wsp:rsid wsp:val=&quot;004B0247&quot;/&gt;&lt;wsp:rsid wsp:val=&quot;004B064C&quot;/&gt;&lt;wsp:rsid wsp:val=&quot;004B1565&quot;/&gt;&lt;wsp:rsid wsp:val=&quot;004B1868&quot;/&gt;&lt;wsp:rsid wsp:val=&quot;004B1AFA&quot;/&gt;&lt;wsp:rsid wsp:val=&quot;004B204C&quot;/&gt;&lt;wsp:rsid wsp:val=&quot;004B208C&quot;/&gt;&lt;wsp:rsid wsp:val=&quot;004B2265&quot;/&gt;&lt;wsp:rsid wsp:val=&quot;004B2807&quot;/&gt;&lt;wsp:rsid wsp:val=&quot;004B2918&quot;/&gt;&lt;wsp:rsid wsp:val=&quot;004B3418&quot;/&gt;&lt;wsp:rsid wsp:val=&quot;004B3574&quot;/&gt;&lt;wsp:rsid wsp:val=&quot;004B3864&quot;/&gt;&lt;wsp:rsid wsp:val=&quot;004B3D7B&quot;/&gt;&lt;wsp:rsid wsp:val=&quot;004B3DD6&quot;/&gt;&lt;wsp:rsid wsp:val=&quot;004B3FD2&quot;/&gt;&lt;wsp:rsid wsp:val=&quot;004B40A6&quot;/&gt;&lt;wsp:rsid wsp:val=&quot;004B4A4D&quot;/&gt;&lt;wsp:rsid wsp:val=&quot;004B4D89&quot;/&gt;&lt;wsp:rsid wsp:val=&quot;004B4EBD&quot;/&gt;&lt;wsp:rsid wsp:val=&quot;004B54E6&quot;/&gt;&lt;wsp:rsid wsp:val=&quot;004B5828&quot;/&gt;&lt;wsp:rsid wsp:val=&quot;004B5884&quot;/&gt;&lt;wsp:rsid wsp:val=&quot;004B5B64&quot;/&gt;&lt;wsp:rsid wsp:val=&quot;004B5B9E&quot;/&gt;&lt;wsp:rsid wsp:val=&quot;004B5CD7&quot;/&gt;&lt;wsp:rsid wsp:val=&quot;004B5D77&quot;/&gt;&lt;wsp:rsid wsp:val=&quot;004B6016&quot;/&gt;&lt;wsp:rsid wsp:val=&quot;004B635B&quot;/&gt;&lt;wsp:rsid wsp:val=&quot;004B665D&quot;/&gt;&lt;wsp:rsid wsp:val=&quot;004B68B5&quot;/&gt;&lt;wsp:rsid wsp:val=&quot;004B69F9&quot;/&gt;&lt;wsp:rsid wsp:val=&quot;004B6C92&quot;/&gt;&lt;wsp:rsid wsp:val=&quot;004B6FBE&quot;/&gt;&lt;wsp:rsid wsp:val=&quot;004B7820&quot;/&gt;&lt;wsp:rsid wsp:val=&quot;004B7D4C&quot;/&gt;&lt;wsp:rsid wsp:val=&quot;004C01AC&quot;/&gt;&lt;wsp:rsid wsp:val=&quot;004C09A9&quot;/&gt;&lt;wsp:rsid wsp:val=&quot;004C0B00&quot;/&gt;&lt;wsp:rsid wsp:val=&quot;004C18D7&quot;/&gt;&lt;wsp:rsid wsp:val=&quot;004C1BEF&quot;/&gt;&lt;wsp:rsid wsp:val=&quot;004C1CB1&quot;/&gt;&lt;wsp:rsid wsp:val=&quot;004C23AD&quot;/&gt;&lt;wsp:rsid wsp:val=&quot;004C250D&quot;/&gt;&lt;wsp:rsid wsp:val=&quot;004C25C6&quot;/&gt;&lt;wsp:rsid wsp:val=&quot;004C2D23&quot;/&gt;&lt;wsp:rsid wsp:val=&quot;004C2E11&quot;/&gt;&lt;wsp:rsid wsp:val=&quot;004C32C2&quot;/&gt;&lt;wsp:rsid wsp:val=&quot;004C333E&quot;/&gt;&lt;wsp:rsid wsp:val=&quot;004C34B9&quot;/&gt;&lt;wsp:rsid wsp:val=&quot;004C4198&quot;/&gt;&lt;wsp:rsid wsp:val=&quot;004C4728&quot;/&gt;&lt;wsp:rsid wsp:val=&quot;004C4B4F&quot;/&gt;&lt;wsp:rsid wsp:val=&quot;004C4B62&quot;/&gt;&lt;wsp:rsid wsp:val=&quot;004C4C89&quot;/&gt;&lt;wsp:rsid wsp:val=&quot;004C599B&quot;/&gt;&lt;wsp:rsid wsp:val=&quot;004C5EBE&quot;/&gt;&lt;wsp:rsid wsp:val=&quot;004C6382&quot;/&gt;&lt;wsp:rsid wsp:val=&quot;004C63EC&quot;/&gt;&lt;wsp:rsid wsp:val=&quot;004C6C36&quot;/&gt;&lt;wsp:rsid wsp:val=&quot;004C6F21&quot;/&gt;&lt;wsp:rsid wsp:val=&quot;004C71AA&quot;/&gt;&lt;wsp:rsid wsp:val=&quot;004C7984&quot;/&gt;&lt;wsp:rsid wsp:val=&quot;004C7A1E&quot;/&gt;&lt;wsp:rsid wsp:val=&quot;004D03BC&quot;/&gt;&lt;wsp:rsid wsp:val=&quot;004D071E&quot;/&gt;&lt;wsp:rsid wsp:val=&quot;004D0B5C&quot;/&gt;&lt;wsp:rsid wsp:val=&quot;004D0D8C&quot;/&gt;&lt;wsp:rsid wsp:val=&quot;004D0EED&quot;/&gt;&lt;wsp:rsid wsp:val=&quot;004D0F83&quot;/&gt;&lt;wsp:rsid wsp:val=&quot;004D10C5&quot;/&gt;&lt;wsp:rsid wsp:val=&quot;004D1891&quot;/&gt;&lt;wsp:rsid wsp:val=&quot;004D1ABA&quot;/&gt;&lt;wsp:rsid wsp:val=&quot;004D1BF0&quot;/&gt;&lt;wsp:rsid wsp:val=&quot;004D1C79&quot;/&gt;&lt;wsp:rsid wsp:val=&quot;004D21E0&quot;/&gt;&lt;wsp:rsid wsp:val=&quot;004D2573&quot;/&gt;&lt;wsp:rsid wsp:val=&quot;004D25A3&quot;/&gt;&lt;wsp:rsid wsp:val=&quot;004D275D&quot;/&gt;&lt;wsp:rsid wsp:val=&quot;004D2765&quot;/&gt;&lt;wsp:rsid wsp:val=&quot;004D277D&quot;/&gt;&lt;wsp:rsid wsp:val=&quot;004D2F4E&quot;/&gt;&lt;wsp:rsid wsp:val=&quot;004D30BB&quot;/&gt;&lt;wsp:rsid wsp:val=&quot;004D33EA&quot;/&gt;&lt;wsp:rsid wsp:val=&quot;004D39E7&quot;/&gt;&lt;wsp:rsid wsp:val=&quot;004D3E26&quot;/&gt;&lt;wsp:rsid wsp:val=&quot;004D3EE1&quot;/&gt;&lt;wsp:rsid wsp:val=&quot;004D3FC0&quot;/&gt;&lt;wsp:rsid wsp:val=&quot;004D4395&quot;/&gt;&lt;wsp:rsid wsp:val=&quot;004D444D&quot;/&gt;&lt;wsp:rsid wsp:val=&quot;004D47AB&quot;/&gt;&lt;wsp:rsid wsp:val=&quot;004D4AC7&quot;/&gt;&lt;wsp:rsid wsp:val=&quot;004D4D68&quot;/&gt;&lt;wsp:rsid wsp:val=&quot;004D5020&quot;/&gt;&lt;wsp:rsid wsp:val=&quot;004D5071&quot;/&gt;&lt;wsp:rsid wsp:val=&quot;004D5804&quot;/&gt;&lt;wsp:rsid wsp:val=&quot;004D5A8D&quot;/&gt;&lt;wsp:rsid wsp:val=&quot;004D5F5C&quot;/&gt;&lt;wsp:rsid wsp:val=&quot;004D5FD4&quot;/&gt;&lt;wsp:rsid wsp:val=&quot;004D6295&quot;/&gt;&lt;wsp:rsid wsp:val=&quot;004D67A6&quot;/&gt;&lt;wsp:rsid wsp:val=&quot;004D77DE&quot;/&gt;&lt;wsp:rsid wsp:val=&quot;004D77FD&quot;/&gt;&lt;wsp:rsid wsp:val=&quot;004D7C39&quot;/&gt;&lt;wsp:rsid wsp:val=&quot;004D7C90&quot;/&gt;&lt;wsp:rsid wsp:val=&quot;004E0426&quot;/&gt;&lt;wsp:rsid wsp:val=&quot;004E05BD&quot;/&gt;&lt;wsp:rsid wsp:val=&quot;004E083A&quot;/&gt;&lt;wsp:rsid wsp:val=&quot;004E0C40&quot;/&gt;&lt;wsp:rsid wsp:val=&quot;004E0DE8&quot;/&gt;&lt;wsp:rsid wsp:val=&quot;004E0F77&quot;/&gt;&lt;wsp:rsid wsp:val=&quot;004E0FF8&quot;/&gt;&lt;wsp:rsid wsp:val=&quot;004E1812&quot;/&gt;&lt;wsp:rsid wsp:val=&quot;004E23F3&quot;/&gt;&lt;wsp:rsid wsp:val=&quot;004E2C7E&quot;/&gt;&lt;wsp:rsid wsp:val=&quot;004E2D66&quot;/&gt;&lt;wsp:rsid wsp:val=&quot;004E2E3E&quot;/&gt;&lt;wsp:rsid wsp:val=&quot;004E335C&quot;/&gt;&lt;wsp:rsid wsp:val=&quot;004E3A87&quot;/&gt;&lt;wsp:rsid wsp:val=&quot;004E3B92&quot;/&gt;&lt;wsp:rsid wsp:val=&quot;004E3D74&quot;/&gt;&lt;wsp:rsid wsp:val=&quot;004E3DDC&quot;/&gt;&lt;wsp:rsid wsp:val=&quot;004E3E91&quot;/&gt;&lt;wsp:rsid wsp:val=&quot;004E4004&quot;/&gt;&lt;wsp:rsid wsp:val=&quot;004E42DB&quot;/&gt;&lt;wsp:rsid wsp:val=&quot;004E43EC&quot;/&gt;&lt;wsp:rsid wsp:val=&quot;004E499A&quot;/&gt;&lt;wsp:rsid wsp:val=&quot;004E4CBB&quot;/&gt;&lt;wsp:rsid wsp:val=&quot;004E4D99&quot;/&gt;&lt;wsp:rsid wsp:val=&quot;004E53BC&quot;/&gt;&lt;wsp:rsid wsp:val=&quot;004E5962&quot;/&gt;&lt;wsp:rsid wsp:val=&quot;004E599D&quot;/&gt;&lt;wsp:rsid wsp:val=&quot;004E59C9&quot;/&gt;&lt;wsp:rsid wsp:val=&quot;004E5BD3&quot;/&gt;&lt;wsp:rsid wsp:val=&quot;004E5D2E&quot;/&gt;&lt;wsp:rsid wsp:val=&quot;004E6536&quot;/&gt;&lt;wsp:rsid wsp:val=&quot;004E6641&quot;/&gt;&lt;wsp:rsid wsp:val=&quot;004E73C7&quot;/&gt;&lt;wsp:rsid wsp:val=&quot;004E7C33&quot;/&gt;&lt;wsp:rsid wsp:val=&quot;004E7D31&quot;/&gt;&lt;wsp:rsid wsp:val=&quot;004F06A5&quot;/&gt;&lt;wsp:rsid wsp:val=&quot;004F079A&quot;/&gt;&lt;wsp:rsid wsp:val=&quot;004F0CB5&quot;/&gt;&lt;wsp:rsid wsp:val=&quot;004F0D68&quot;/&gt;&lt;wsp:rsid wsp:val=&quot;004F0FA8&quot;/&gt;&lt;wsp:rsid wsp:val=&quot;004F1289&quot;/&gt;&lt;wsp:rsid wsp:val=&quot;004F12F9&quot;/&gt;&lt;wsp:rsid wsp:val=&quot;004F13D4&quot;/&gt;&lt;wsp:rsid wsp:val=&quot;004F1476&quot;/&gt;&lt;wsp:rsid wsp:val=&quot;004F1559&quot;/&gt;&lt;wsp:rsid wsp:val=&quot;004F185C&quot;/&gt;&lt;wsp:rsid wsp:val=&quot;004F1E33&quot;/&gt;&lt;wsp:rsid wsp:val=&quot;004F1F62&quot;/&gt;&lt;wsp:rsid wsp:val=&quot;004F2016&quot;/&gt;&lt;wsp:rsid wsp:val=&quot;004F21E8&quot;/&gt;&lt;wsp:rsid wsp:val=&quot;004F2253&quot;/&gt;&lt;wsp:rsid wsp:val=&quot;004F2456&quot;/&gt;&lt;wsp:rsid wsp:val=&quot;004F2B1A&quot;/&gt;&lt;wsp:rsid wsp:val=&quot;004F2C0A&quot;/&gt;&lt;wsp:rsid wsp:val=&quot;004F2CEB&quot;/&gt;&lt;wsp:rsid wsp:val=&quot;004F2E19&quot;/&gt;&lt;wsp:rsid wsp:val=&quot;004F2F6E&quot;/&gt;&lt;wsp:rsid wsp:val=&quot;004F3332&quot;/&gt;&lt;wsp:rsid wsp:val=&quot;004F35E4&quot;/&gt;&lt;wsp:rsid wsp:val=&quot;004F37F2&quot;/&gt;&lt;wsp:rsid wsp:val=&quot;004F3BD5&quot;/&gt;&lt;wsp:rsid wsp:val=&quot;004F3DF1&quot;/&gt;&lt;wsp:rsid wsp:val=&quot;004F3E04&quot;/&gt;&lt;wsp:rsid wsp:val=&quot;004F3EA2&quot;/&gt;&lt;wsp:rsid wsp:val=&quot;004F4149&quot;/&gt;&lt;wsp:rsid wsp:val=&quot;004F459E&quot;/&gt;&lt;wsp:rsid wsp:val=&quot;004F48F8&quot;/&gt;&lt;wsp:rsid wsp:val=&quot;004F493C&quot;/&gt;&lt;wsp:rsid wsp:val=&quot;004F499C&quot;/&gt;&lt;wsp:rsid wsp:val=&quot;004F49A5&quot;/&gt;&lt;wsp:rsid wsp:val=&quot;004F49BE&quot;/&gt;&lt;wsp:rsid wsp:val=&quot;004F4AD3&quot;/&gt;&lt;wsp:rsid wsp:val=&quot;004F4C62&quot;/&gt;&lt;wsp:rsid wsp:val=&quot;004F4E5C&quot;/&gt;&lt;wsp:rsid wsp:val=&quot;004F4FE3&quot;/&gt;&lt;wsp:rsid wsp:val=&quot;004F50D5&quot;/&gt;&lt;wsp:rsid wsp:val=&quot;004F558C&quot;/&gt;&lt;wsp:rsid wsp:val=&quot;004F570C&quot;/&gt;&lt;wsp:rsid wsp:val=&quot;004F5743&quot;/&gt;&lt;wsp:rsid wsp:val=&quot;004F584B&quot;/&gt;&lt;wsp:rsid wsp:val=&quot;004F5EA8&quot;/&gt;&lt;wsp:rsid wsp:val=&quot;004F5F4E&quot;/&gt;&lt;wsp:rsid wsp:val=&quot;004F610E&quot;/&gt;&lt;wsp:rsid wsp:val=&quot;004F614C&quot;/&gt;&lt;wsp:rsid wsp:val=&quot;004F640C&quot;/&gt;&lt;wsp:rsid wsp:val=&quot;004F648F&quot;/&gt;&lt;wsp:rsid wsp:val=&quot;004F661A&quot;/&gt;&lt;wsp:rsid wsp:val=&quot;004F66B1&quot;/&gt;&lt;wsp:rsid wsp:val=&quot;004F6921&quot;/&gt;&lt;wsp:rsid wsp:val=&quot;004F6A7F&quot;/&gt;&lt;wsp:rsid wsp:val=&quot;004F7E50&quot;/&gt;&lt;wsp:rsid wsp:val=&quot;00500024&quot;/&gt;&lt;wsp:rsid wsp:val=&quot;00500107&quot;/&gt;&lt;wsp:rsid wsp:val=&quot;005009D2&quot;/&gt;&lt;wsp:rsid wsp:val=&quot;00500BD8&quot;/&gt;&lt;wsp:rsid wsp:val=&quot;00501096&quot;/&gt;&lt;wsp:rsid wsp:val=&quot;00501673&quot;/&gt;&lt;wsp:rsid wsp:val=&quot;00501987&quot;/&gt;&lt;wsp:rsid wsp:val=&quot;00501B01&quot;/&gt;&lt;wsp:rsid wsp:val=&quot;00501DCB&quot;/&gt;&lt;wsp:rsid wsp:val=&quot;00502AD0&quot;/&gt;&lt;wsp:rsid wsp:val=&quot;00502BB3&quot;/&gt;&lt;wsp:rsid wsp:val=&quot;00502C3F&quot;/&gt;&lt;wsp:rsid wsp:val=&quot;005035A1&quot;/&gt;&lt;wsp:rsid wsp:val=&quot;00503842&quot;/&gt;&lt;wsp:rsid wsp:val=&quot;005044D5&quot;/&gt;&lt;wsp:rsid wsp:val=&quot;00504A51&quot;/&gt;&lt;wsp:rsid wsp:val=&quot;005051ED&quot;/&gt;&lt;wsp:rsid wsp:val=&quot;00505FBE&quot;/&gt;&lt;wsp:rsid wsp:val=&quot;00506378&quot;/&gt;&lt;wsp:rsid wsp:val=&quot;00506592&quot;/&gt;&lt;wsp:rsid wsp:val=&quot;00506747&quot;/&gt;&lt;wsp:rsid wsp:val=&quot;0050687B&quot;/&gt;&lt;wsp:rsid wsp:val=&quot;005069F5&quot;/&gt;&lt;wsp:rsid wsp:val=&quot;00506FD2&quot;/&gt;&lt;wsp:rsid wsp:val=&quot;00507179&quot;/&gt;&lt;wsp:rsid wsp:val=&quot;005072F6&quot;/&gt;&lt;wsp:rsid wsp:val=&quot;00507381&quot;/&gt;&lt;wsp:rsid wsp:val=&quot;0050773C&quot;/&gt;&lt;wsp:rsid wsp:val=&quot;00507779&quot;/&gt;&lt;wsp:rsid wsp:val=&quot;00507D35&quot;/&gt;&lt;wsp:rsid wsp:val=&quot;00507F4E&quot;/&gt;&lt;wsp:rsid wsp:val=&quot;00507F57&quot;/&gt;&lt;wsp:rsid wsp:val=&quot;00510163&quot;/&gt;&lt;wsp:rsid wsp:val=&quot;00510930&quot;/&gt;&lt;wsp:rsid wsp:val=&quot;00510E58&quot;/&gt;&lt;wsp:rsid wsp:val=&quot;00511235&quot;/&gt;&lt;wsp:rsid wsp:val=&quot;00511361&quot;/&gt;&lt;wsp:rsid wsp:val=&quot;00511736&quot;/&gt;&lt;wsp:rsid wsp:val=&quot;0051182C&quot;/&gt;&lt;wsp:rsid wsp:val=&quot;0051189B&quot;/&gt;&lt;wsp:rsid wsp:val=&quot;00512066&quot;/&gt;&lt;wsp:rsid wsp:val=&quot;005120DF&quot;/&gt;&lt;wsp:rsid wsp:val=&quot;0051292A&quot;/&gt;&lt;wsp:rsid wsp:val=&quot;00513042&quot;/&gt;&lt;wsp:rsid wsp:val=&quot;00513388&quot;/&gt;&lt;wsp:rsid wsp:val=&quot;0051363C&quot;/&gt;&lt;wsp:rsid wsp:val=&quot;0051372D&quot;/&gt;&lt;wsp:rsid wsp:val=&quot;0051374C&quot;/&gt;&lt;wsp:rsid wsp:val=&quot;00513BE8&quot;/&gt;&lt;wsp:rsid wsp:val=&quot;00513C79&quot;/&gt;&lt;wsp:rsid wsp:val=&quot;00513DBA&quot;/&gt;&lt;wsp:rsid wsp:val=&quot;00514228&quot;/&gt;&lt;wsp:rsid wsp:val=&quot;00514E5D&quot;/&gt;&lt;wsp:rsid wsp:val=&quot;005151F6&quot;/&gt;&lt;wsp:rsid wsp:val=&quot;005154BA&quot;/&gt;&lt;wsp:rsid wsp:val=&quot;00515673&quot;/&gt;&lt;wsp:rsid wsp:val=&quot;005158CD&quot;/&gt;&lt;wsp:rsid wsp:val=&quot;00515A5C&quot;/&gt;&lt;wsp:rsid wsp:val=&quot;00516006&quot;/&gt;&lt;wsp:rsid wsp:val=&quot;0051654E&quot;/&gt;&lt;wsp:rsid wsp:val=&quot;00516F54&quot;/&gt;&lt;wsp:rsid wsp:val=&quot;00516FB9&quot;/&gt;&lt;wsp:rsid wsp:val=&quot;00517056&quot;/&gt;&lt;wsp:rsid wsp:val=&quot;0051738D&quot;/&gt;&lt;wsp:rsid wsp:val=&quot;005177AA&quot;/&gt;&lt;wsp:rsid wsp:val=&quot;00517F51&quot;/&gt;&lt;wsp:rsid wsp:val=&quot;00520168&quot;/&gt;&lt;wsp:rsid wsp:val=&quot;00520389&quot;/&gt;&lt;wsp:rsid wsp:val=&quot;005205D4&quot;/&gt;&lt;wsp:rsid wsp:val=&quot;00520884&quot;/&gt;&lt;wsp:rsid wsp:val=&quot;00520F1C&quot;/&gt;&lt;wsp:rsid wsp:val=&quot;005212C4&quot;/&gt;&lt;wsp:rsid wsp:val=&quot;0052132B&quot;/&gt;&lt;wsp:rsid wsp:val=&quot;005217F1&quot;/&gt;&lt;wsp:rsid wsp:val=&quot;00521DC4&quot;/&gt;&lt;wsp:rsid wsp:val=&quot;00521EC4&quot;/&gt;&lt;wsp:rsid wsp:val=&quot;0052253C&quot;/&gt;&lt;wsp:rsid wsp:val=&quot;00522688&quot;/&gt;&lt;wsp:rsid wsp:val=&quot;00522804&quot;/&gt;&lt;wsp:rsid wsp:val=&quot;00522A82&quot;/&gt;&lt;wsp:rsid wsp:val=&quot;00522FB4&quot;/&gt;&lt;wsp:rsid wsp:val=&quot;00523487&quot;/&gt;&lt;wsp:rsid wsp:val=&quot;005238EC&quot;/&gt;&lt;wsp:rsid wsp:val=&quot;00523D71&quot;/&gt;&lt;wsp:rsid wsp:val=&quot;00523DA4&quot;/&gt;&lt;wsp:rsid wsp:val=&quot;00523EED&quot;/&gt;&lt;wsp:rsid wsp:val=&quot;00523FBF&quot;/&gt;&lt;wsp:rsid wsp:val=&quot;0052442B&quot;/&gt;&lt;wsp:rsid wsp:val=&quot;005245AE&quot;/&gt;&lt;wsp:rsid wsp:val=&quot;005245C6&quot;/&gt;&lt;wsp:rsid wsp:val=&quot;0052478D&quot;/&gt;&lt;wsp:rsid wsp:val=&quot;005247D8&quot;/&gt;&lt;wsp:rsid wsp:val=&quot;00524D49&quot;/&gt;&lt;wsp:rsid wsp:val=&quot;005254BF&quot;/&gt;&lt;wsp:rsid wsp:val=&quot;005255AF&quot;/&gt;&lt;wsp:rsid wsp:val=&quot;00525B54&quot;/&gt;&lt;wsp:rsid wsp:val=&quot;00525E90&quot;/&gt;&lt;wsp:rsid wsp:val=&quot;00525FFB&quot;/&gt;&lt;wsp:rsid wsp:val=&quot;005260A9&quot;/&gt;&lt;wsp:rsid wsp:val=&quot;00526109&quot;/&gt;&lt;wsp:rsid wsp:val=&quot;00526E53&quot;/&gt;&lt;wsp:rsid wsp:val=&quot;00526EDD&quot;/&gt;&lt;wsp:rsid wsp:val=&quot;0052703E&quot;/&gt;&lt;wsp:rsid wsp:val=&quot;00527289&quot;/&gt;&lt;wsp:rsid wsp:val=&quot;00527CBA&quot;/&gt;&lt;wsp:rsid wsp:val=&quot;00530412&quot;/&gt;&lt;wsp:rsid wsp:val=&quot;005308A3&quot;/&gt;&lt;wsp:rsid wsp:val=&quot;00530BAD&quot;/&gt;&lt;wsp:rsid wsp:val=&quot;00530D07&quot;/&gt;&lt;wsp:rsid wsp:val=&quot;005314D2&quot;/&gt;&lt;wsp:rsid wsp:val=&quot;00531A24&quot;/&gt;&lt;wsp:rsid wsp:val=&quot;00532160&quot;/&gt;&lt;wsp:rsid wsp:val=&quot;0053238B&quot;/&gt;&lt;wsp:rsid wsp:val=&quot;00532486&quot;/&gt;&lt;wsp:rsid wsp:val=&quot;005324E5&quot;/&gt;&lt;wsp:rsid wsp:val=&quot;005329A8&quot;/&gt;&lt;wsp:rsid wsp:val=&quot;00532B2A&quot;/&gt;&lt;wsp:rsid wsp:val=&quot;00532F0D&quot;/&gt;&lt;wsp:rsid wsp:val=&quot;0053335A&quot;/&gt;&lt;wsp:rsid wsp:val=&quot;005335C8&quot;/&gt;&lt;wsp:rsid wsp:val=&quot;00533850&quot;/&gt;&lt;wsp:rsid wsp:val=&quot;00533D2B&quot;/&gt;&lt;wsp:rsid wsp:val=&quot;00533E8C&quot;/&gt;&lt;wsp:rsid wsp:val=&quot;00533F94&quot;/&gt;&lt;wsp:rsid wsp:val=&quot;0053419B&quot;/&gt;&lt;wsp:rsid wsp:val=&quot;005348E7&quot;/&gt;&lt;wsp:rsid wsp:val=&quot;00534921&quot;/&gt;&lt;wsp:rsid wsp:val=&quot;00535204&quot;/&gt;&lt;wsp:rsid wsp:val=&quot;00535364&quot;/&gt;&lt;wsp:rsid wsp:val=&quot;00535D15&quot;/&gt;&lt;wsp:rsid wsp:val=&quot;00535E04&quot;/&gt;&lt;wsp:rsid wsp:val=&quot;005367F3&quot;/&gt;&lt;wsp:rsid wsp:val=&quot;005369FC&quot;/&gt;&lt;wsp:rsid wsp:val=&quot;00536BEA&quot;/&gt;&lt;wsp:rsid wsp:val=&quot;0053739E&quot;/&gt;&lt;wsp:rsid wsp:val=&quot;00537593&quot;/&gt;&lt;wsp:rsid wsp:val=&quot;005376AC&quot;/&gt;&lt;wsp:rsid wsp:val=&quot;00537A5E&quot;/&gt;&lt;wsp:rsid wsp:val=&quot;005401B7&quot;/&gt;&lt;wsp:rsid wsp:val=&quot;00540586&quot;/&gt;&lt;wsp:rsid wsp:val=&quot;00540626&quot;/&gt;&lt;wsp:rsid wsp:val=&quot;00540BBF&quot;/&gt;&lt;wsp:rsid wsp:val=&quot;00540BE8&quot;/&gt;&lt;wsp:rsid wsp:val=&quot;00540CAE&quot;/&gt;&lt;wsp:rsid wsp:val=&quot;00541043&quot;/&gt;&lt;wsp:rsid wsp:val=&quot;00541503&quot;/&gt;&lt;wsp:rsid wsp:val=&quot;00541761&quot;/&gt;&lt;wsp:rsid wsp:val=&quot;00542050&quot;/&gt;&lt;wsp:rsid wsp:val=&quot;00542548&quot;/&gt;&lt;wsp:rsid wsp:val=&quot;00542876&quot;/&gt;&lt;wsp:rsid wsp:val=&quot;00542B60&quot;/&gt;&lt;wsp:rsid wsp:val=&quot;00542BD8&quot;/&gt;&lt;wsp:rsid wsp:val=&quot;00542D44&quot;/&gt;&lt;wsp:rsid wsp:val=&quot;00542E9C&quot;/&gt;&lt;wsp:rsid wsp:val=&quot;00543459&quot;/&gt;&lt;wsp:rsid wsp:val=&quot;00543D53&quot;/&gt;&lt;wsp:rsid wsp:val=&quot;00544120&quot;/&gt;&lt;wsp:rsid wsp:val=&quot;00544895&quot;/&gt;&lt;wsp:rsid wsp:val=&quot;005449D5&quot;/&gt;&lt;wsp:rsid wsp:val=&quot;00545012&quot;/&gt;&lt;wsp:rsid wsp:val=&quot;005454FC&quot;/&gt;&lt;wsp:rsid wsp:val=&quot;0054566F&quot;/&gt;&lt;wsp:rsid wsp:val=&quot;00545D06&quot;/&gt;&lt;wsp:rsid wsp:val=&quot;005463E8&quot;/&gt;&lt;wsp:rsid wsp:val=&quot;0054694F&quot;/&gt;&lt;wsp:rsid wsp:val=&quot;0054697A&quot;/&gt;&lt;wsp:rsid wsp:val=&quot;00546AFD&quot;/&gt;&lt;wsp:rsid wsp:val=&quot;005470B2&quot;/&gt;&lt;wsp:rsid wsp:val=&quot;005470DB&quot;/&gt;&lt;wsp:rsid wsp:val=&quot;00547106&quot;/&gt;&lt;wsp:rsid wsp:val=&quot;00547118&quot;/&gt;&lt;wsp:rsid wsp:val=&quot;00547431&quot;/&gt;&lt;wsp:rsid wsp:val=&quot;00550205&quot;/&gt;&lt;wsp:rsid wsp:val=&quot;005505DC&quot;/&gt;&lt;wsp:rsid wsp:val=&quot;0055192F&quot;/&gt;&lt;wsp:rsid wsp:val=&quot;00551A6E&quot;/&gt;&lt;wsp:rsid wsp:val=&quot;00551D09&quot;/&gt;&lt;wsp:rsid wsp:val=&quot;00552BB8&quot;/&gt;&lt;wsp:rsid wsp:val=&quot;0055306C&quot;/&gt;&lt;wsp:rsid wsp:val=&quot;00553144&quot;/&gt;&lt;wsp:rsid wsp:val=&quot;0055338B&quot;/&gt;&lt;wsp:rsid wsp:val=&quot;00553604&quot;/&gt;&lt;wsp:rsid wsp:val=&quot;0055385F&quot;/&gt;&lt;wsp:rsid wsp:val=&quot;005538D9&quot;/&gt;&lt;wsp:rsid wsp:val=&quot;00553D3E&quot;/&gt;&lt;wsp:rsid wsp:val=&quot;00553EE3&quot;/&gt;&lt;wsp:rsid wsp:val=&quot;00554580&quot;/&gt;&lt;wsp:rsid wsp:val=&quot;00555624&quot;/&gt;&lt;wsp:rsid wsp:val=&quot;00555778&quot;/&gt;&lt;wsp:rsid wsp:val=&quot;00555EC6&quot;/&gt;&lt;wsp:rsid wsp:val=&quot;00555F65&quot;/&gt;&lt;wsp:rsid wsp:val=&quot;00555F66&quot;/&gt;&lt;wsp:rsid wsp:val=&quot;0055620C&quot;/&gt;&lt;wsp:rsid wsp:val=&quot;005568E2&quot;/&gt;&lt;wsp:rsid wsp:val=&quot;0055690E&quot;/&gt;&lt;wsp:rsid wsp:val=&quot;00556A1F&quot;/&gt;&lt;wsp:rsid wsp:val=&quot;00556F2D&quot;/&gt;&lt;wsp:rsid wsp:val=&quot;00557440&quot;/&gt;&lt;wsp:rsid wsp:val=&quot;0055764E&quot;/&gt;&lt;wsp:rsid wsp:val=&quot;0055768F&quot;/&gt;&lt;wsp:rsid wsp:val=&quot;005576C2&quot;/&gt;&lt;wsp:rsid wsp:val=&quot;00557B28&quot;/&gt;&lt;wsp:rsid wsp:val=&quot;00557C49&quot;/&gt;&lt;wsp:rsid wsp:val=&quot;0056031D&quot;/&gt;&lt;wsp:rsid wsp:val=&quot;00560FA8&quot;/&gt;&lt;wsp:rsid wsp:val=&quot;005613BC&quot;/&gt;&lt;wsp:rsid wsp:val=&quot;005615A8&quot;/&gt;&lt;wsp:rsid wsp:val=&quot;00561679&quot;/&gt;&lt;wsp:rsid wsp:val=&quot;00561A9F&quot;/&gt;&lt;wsp:rsid wsp:val=&quot;00561DED&quot;/&gt;&lt;wsp:rsid wsp:val=&quot;0056207D&quot;/&gt;&lt;wsp:rsid wsp:val=&quot;00562272&quot;/&gt;&lt;wsp:rsid wsp:val=&quot;00562A2D&quot;/&gt;&lt;wsp:rsid wsp:val=&quot;00562DC4&quot;/&gt;&lt;wsp:rsid wsp:val=&quot;005636B1&quot;/&gt;&lt;wsp:rsid wsp:val=&quot;0056395C&quot;/&gt;&lt;wsp:rsid wsp:val=&quot;00565155&quot;/&gt;&lt;wsp:rsid wsp:val=&quot;00565317&quot;/&gt;&lt;wsp:rsid wsp:val=&quot;00565367&quot;/&gt;&lt;wsp:rsid wsp:val=&quot;00566368&quot;/&gt;&lt;wsp:rsid wsp:val=&quot;005672F9&quot;/&gt;&lt;wsp:rsid wsp:val=&quot;00567EE4&quot;/&gt;&lt;wsp:rsid wsp:val=&quot;00570032&quot;/&gt;&lt;wsp:rsid wsp:val=&quot;0057047D&quot;/&gt;&lt;wsp:rsid wsp:val=&quot;0057049E&quot;/&gt;&lt;wsp:rsid wsp:val=&quot;00570564&quot;/&gt;&lt;wsp:rsid wsp:val=&quot;00570605&quot;/&gt;&lt;wsp:rsid wsp:val=&quot;005708EC&quot;/&gt;&lt;wsp:rsid wsp:val=&quot;00570F63&quot;/&gt;&lt;wsp:rsid wsp:val=&quot;00571270&quot;/&gt;&lt;wsp:rsid wsp:val=&quot;005713CC&quot;/&gt;&lt;wsp:rsid wsp:val=&quot;00571754&quot;/&gt;&lt;wsp:rsid wsp:val=&quot;0057188B&quot;/&gt;&lt;wsp:rsid wsp:val=&quot;00571BC6&quot;/&gt;&lt;wsp:rsid wsp:val=&quot;00571D1F&quot;/&gt;&lt;wsp:rsid wsp:val=&quot;00571D7A&quot;/&gt;&lt;wsp:rsid wsp:val=&quot;00571E3F&quot;/&gt;&lt;wsp:rsid wsp:val=&quot;00571E5F&quot;/&gt;&lt;wsp:rsid wsp:val=&quot;00571F49&quot;/&gt;&lt;wsp:rsid wsp:val=&quot;00572056&quot;/&gt;&lt;wsp:rsid wsp:val=&quot;005723B6&quot;/&gt;&lt;wsp:rsid wsp:val=&quot;00572832&quot;/&gt;&lt;wsp:rsid wsp:val=&quot;00572B81&quot;/&gt;&lt;wsp:rsid wsp:val=&quot;00572F15&quot;/&gt;&lt;wsp:rsid wsp:val=&quot;00573188&quot;/&gt;&lt;wsp:rsid wsp:val=&quot;005732BD&quot;/&gt;&lt;wsp:rsid wsp:val=&quot;005732EA&quot;/&gt;&lt;wsp:rsid wsp:val=&quot;00573331&quot;/&gt;&lt;wsp:rsid wsp:val=&quot;005739FB&quot;/&gt;&lt;wsp:rsid wsp:val=&quot;00573B41&quot;/&gt;&lt;wsp:rsid wsp:val=&quot;00573F1A&quot;/&gt;&lt;wsp:rsid wsp:val=&quot;005745F8&quot;/&gt;&lt;wsp:rsid wsp:val=&quot;0057470C&quot;/&gt;&lt;wsp:rsid wsp:val=&quot;00574866&quot;/&gt;&lt;wsp:rsid wsp:val=&quot;00574B0F&quot;/&gt;&lt;wsp:rsid wsp:val=&quot;00574EE5&quot;/&gt;&lt;wsp:rsid wsp:val=&quot;0057658C&quot;/&gt;&lt;wsp:rsid wsp:val=&quot;00576ACB&quot;/&gt;&lt;wsp:rsid wsp:val=&quot;00576BF4&quot;/&gt;&lt;wsp:rsid wsp:val=&quot;00576E03&quot;/&gt;&lt;wsp:rsid wsp:val=&quot;005770F1&quot;/&gt;&lt;wsp:rsid wsp:val=&quot;0057714E&quot;/&gt;&lt;wsp:rsid wsp:val=&quot;00577559&quot;/&gt;&lt;wsp:rsid wsp:val=&quot;00577699&quot;/&gt;&lt;wsp:rsid wsp:val=&quot;00577EBD&quot;/&gt;&lt;wsp:rsid wsp:val=&quot;00577F10&quot;/&gt;&lt;wsp:rsid wsp:val=&quot;00580790&quot;/&gt;&lt;wsp:rsid wsp:val=&quot;00581446&quot;/&gt;&lt;wsp:rsid wsp:val=&quot;00581A52&quot;/&gt;&lt;wsp:rsid wsp:val=&quot;00581B3D&quot;/&gt;&lt;wsp:rsid wsp:val=&quot;00581EC4&quot;/&gt;&lt;wsp:rsid wsp:val=&quot;00582109&quot;/&gt;&lt;wsp:rsid wsp:val=&quot;00582153&quot;/&gt;&lt;wsp:rsid wsp:val=&quot;005824B7&quot;/&gt;&lt;wsp:rsid wsp:val=&quot;00582F4D&quot;/&gt;&lt;wsp:rsid wsp:val=&quot;00582FF3&quot;/&gt;&lt;wsp:rsid wsp:val=&quot;00583296&quot;/&gt;&lt;wsp:rsid wsp:val=&quot;0058336C&quot;/&gt;&lt;wsp:rsid wsp:val=&quot;005839B5&quot;/&gt;&lt;wsp:rsid wsp:val=&quot;005839C0&quot;/&gt;&lt;wsp:rsid wsp:val=&quot;00583C7E&quot;/&gt;&lt;wsp:rsid wsp:val=&quot;005842BF&quot;/&gt;&lt;wsp:rsid wsp:val=&quot;005845BE&quot;/&gt;&lt;wsp:rsid wsp:val=&quot;005847DF&quot;/&gt;&lt;wsp:rsid wsp:val=&quot;00584A10&quot;/&gt;&lt;wsp:rsid wsp:val=&quot;00584EB7&quot;/&gt;&lt;wsp:rsid wsp:val=&quot;0058558C&quot;/&gt;&lt;wsp:rsid wsp:val=&quot;00585592&quot;/&gt;&lt;wsp:rsid wsp:val=&quot;005868A0&quot;/&gt;&lt;wsp:rsid wsp:val=&quot;00586A23&quot;/&gt;&lt;wsp:rsid wsp:val=&quot;0058793B&quot;/&gt;&lt;wsp:rsid wsp:val=&quot;0059029B&quot;/&gt;&lt;wsp:rsid wsp:val=&quot;005902CD&quot;/&gt;&lt;wsp:rsid wsp:val=&quot;00590911&quot;/&gt;&lt;wsp:rsid wsp:val=&quot;00590AE1&quot;/&gt;&lt;wsp:rsid wsp:val=&quot;00590BAF&quot;/&gt;&lt;wsp:rsid wsp:val=&quot;00590BB7&quot;/&gt;&lt;wsp:rsid wsp:val=&quot;00590E01&quot;/&gt;&lt;wsp:rsid wsp:val=&quot;00591205&quot;/&gt;&lt;wsp:rsid wsp:val=&quot;005912F3&quot;/&gt;&lt;wsp:rsid wsp:val=&quot;005916F8&quot;/&gt;&lt;wsp:rsid wsp:val=&quot;005919FD&quot;/&gt;&lt;wsp:rsid wsp:val=&quot;00591DF6&quot;/&gt;&lt;wsp:rsid wsp:val=&quot;00591DFA&quot;/&gt;&lt;wsp:rsid wsp:val=&quot;00591F1A&quot;/&gt;&lt;wsp:rsid wsp:val=&quot;00591F7F&quot;/&gt;&lt;wsp:rsid wsp:val=&quot;00592164&quot;/&gt;&lt;wsp:rsid wsp:val=&quot;00592648&quot;/&gt;&lt;wsp:rsid wsp:val=&quot;005926E1&quot;/&gt;&lt;wsp:rsid wsp:val=&quot;005928D4&quot;/&gt;&lt;wsp:rsid wsp:val=&quot;00592A64&quot;/&gt;&lt;wsp:rsid wsp:val=&quot;00592AF3&quot;/&gt;&lt;wsp:rsid wsp:val=&quot;00592C7B&quot;/&gt;&lt;wsp:rsid wsp:val=&quot;00592DD6&quot;/&gt;&lt;wsp:rsid wsp:val=&quot;00592E26&quot;/&gt;&lt;wsp:rsid wsp:val=&quot;00593031&quot;/&gt;&lt;wsp:rsid wsp:val=&quot;005931B9&quot;/&gt;&lt;wsp:rsid wsp:val=&quot;00593609&quot;/&gt;&lt;wsp:rsid wsp:val=&quot;00593CE8&quot;/&gt;&lt;wsp:rsid wsp:val=&quot;00593CE9&quot;/&gt;&lt;wsp:rsid wsp:val=&quot;00593F69&quot;/&gt;&lt;wsp:rsid wsp:val=&quot;00594110&quot;/&gt;&lt;wsp:rsid wsp:val=&quot;00594273&quot;/&gt;&lt;wsp:rsid wsp:val=&quot;00594372&quot;/&gt;&lt;wsp:rsid wsp:val=&quot;00594667&quot;/&gt;&lt;wsp:rsid wsp:val=&quot;00594EBD&quot;/&gt;&lt;wsp:rsid wsp:val=&quot;00595156&quot;/&gt;&lt;wsp:rsid wsp:val=&quot;00595C16&quot;/&gt;&lt;wsp:rsid wsp:val=&quot;00595D5A&quot;/&gt;&lt;wsp:rsid wsp:val=&quot;005963B3&quot;/&gt;&lt;wsp:rsid wsp:val=&quot;0059688E&quot;/&gt;&lt;wsp:rsid wsp:val=&quot;005969ED&quot;/&gt;&lt;wsp:rsid wsp:val=&quot;00596DF9&quot;/&gt;&lt;wsp:rsid wsp:val=&quot;00596E70&quot;/&gt;&lt;wsp:rsid wsp:val=&quot;00597124&quot;/&gt;&lt;wsp:rsid wsp:val=&quot;0059756C&quot;/&gt;&lt;wsp:rsid wsp:val=&quot;00597690&quot;/&gt;&lt;wsp:rsid wsp:val=&quot;005A0231&quot;/&gt;&lt;wsp:rsid wsp:val=&quot;005A0669&quot;/&gt;&lt;wsp:rsid wsp:val=&quot;005A0966&quot;/&gt;&lt;wsp:rsid wsp:val=&quot;005A0A0D&quot;/&gt;&lt;wsp:rsid wsp:val=&quot;005A14E9&quot;/&gt;&lt;wsp:rsid wsp:val=&quot;005A1829&quot;/&gt;&lt;wsp:rsid wsp:val=&quot;005A18BC&quot;/&gt;&lt;wsp:rsid wsp:val=&quot;005A2506&quot;/&gt;&lt;wsp:rsid wsp:val=&quot;005A2BCA&quot;/&gt;&lt;wsp:rsid wsp:val=&quot;005A2CAD&quot;/&gt;&lt;wsp:rsid wsp:val=&quot;005A3105&quot;/&gt;&lt;wsp:rsid wsp:val=&quot;005A33B6&quot;/&gt;&lt;wsp:rsid wsp:val=&quot;005A3C70&quot;/&gt;&lt;wsp:rsid wsp:val=&quot;005A3F1B&quot;/&gt;&lt;wsp:rsid wsp:val=&quot;005A45C2&quot;/&gt;&lt;wsp:rsid wsp:val=&quot;005A47A2&quot;/&gt;&lt;wsp:rsid wsp:val=&quot;005A52A5&quot;/&gt;&lt;wsp:rsid wsp:val=&quot;005A5316&quot;/&gt;&lt;wsp:rsid wsp:val=&quot;005A5863&quot;/&gt;&lt;wsp:rsid wsp:val=&quot;005A5C8A&quot;/&gt;&lt;wsp:rsid wsp:val=&quot;005A5FB0&quot;/&gt;&lt;wsp:rsid wsp:val=&quot;005A620B&quot;/&gt;&lt;wsp:rsid wsp:val=&quot;005A6239&quot;/&gt;&lt;wsp:rsid wsp:val=&quot;005A6529&quot;/&gt;&lt;wsp:rsid wsp:val=&quot;005A6600&quot;/&gt;&lt;wsp:rsid wsp:val=&quot;005A6A04&quot;/&gt;&lt;wsp:rsid wsp:val=&quot;005A6CA1&quot;/&gt;&lt;wsp:rsid wsp:val=&quot;005A72AC&quot;/&gt;&lt;wsp:rsid wsp:val=&quot;005A750D&quot;/&gt;&lt;wsp:rsid wsp:val=&quot;005A75BA&quot;/&gt;&lt;wsp:rsid wsp:val=&quot;005A7D99&quot;/&gt;&lt;wsp:rsid wsp:val=&quot;005B013C&quot;/&gt;&lt;wsp:rsid wsp:val=&quot;005B04AD&quot;/&gt;&lt;wsp:rsid wsp:val=&quot;005B081D&quot;/&gt;&lt;wsp:rsid wsp:val=&quot;005B0EBE&quot;/&gt;&lt;wsp:rsid wsp:val=&quot;005B1086&quot;/&gt;&lt;wsp:rsid wsp:val=&quot;005B11F7&quot;/&gt;&lt;wsp:rsid wsp:val=&quot;005B131E&quot;/&gt;&lt;wsp:rsid wsp:val=&quot;005B183A&quot;/&gt;&lt;wsp:rsid wsp:val=&quot;005B185B&quot;/&gt;&lt;wsp:rsid wsp:val=&quot;005B1D53&quot;/&gt;&lt;wsp:rsid wsp:val=&quot;005B1F1D&quot;/&gt;&lt;wsp:rsid wsp:val=&quot;005B1FA9&quot;/&gt;&lt;wsp:rsid wsp:val=&quot;005B2143&quot;/&gt;&lt;wsp:rsid wsp:val=&quot;005B2191&quot;/&gt;&lt;wsp:rsid wsp:val=&quot;005B244A&quot;/&gt;&lt;wsp:rsid wsp:val=&quot;005B25ED&quot;/&gt;&lt;wsp:rsid wsp:val=&quot;005B320A&quot;/&gt;&lt;wsp:rsid wsp:val=&quot;005B3214&quot;/&gt;&lt;wsp:rsid wsp:val=&quot;005B3327&quot;/&gt;&lt;wsp:rsid wsp:val=&quot;005B397B&quot;/&gt;&lt;wsp:rsid wsp:val=&quot;005B3BE3&quot;/&gt;&lt;wsp:rsid wsp:val=&quot;005B4122&quot;/&gt;&lt;wsp:rsid wsp:val=&quot;005B413F&quot;/&gt;&lt;wsp:rsid wsp:val=&quot;005B42EB&quot;/&gt;&lt;wsp:rsid wsp:val=&quot;005B44E7&quot;/&gt;&lt;wsp:rsid wsp:val=&quot;005B45F3&quot;/&gt;&lt;wsp:rsid wsp:val=&quot;005B481E&quot;/&gt;&lt;wsp:rsid wsp:val=&quot;005B485C&quot;/&gt;&lt;wsp:rsid wsp:val=&quot;005B4892&quot;/&gt;&lt;wsp:rsid wsp:val=&quot;005B48F6&quot;/&gt;&lt;wsp:rsid wsp:val=&quot;005B4F08&quot;/&gt;&lt;wsp:rsid wsp:val=&quot;005B522C&quot;/&gt;&lt;wsp:rsid wsp:val=&quot;005B5589&quot;/&gt;&lt;wsp:rsid wsp:val=&quot;005B57A2&quot;/&gt;&lt;wsp:rsid wsp:val=&quot;005B5822&quot;/&gt;&lt;wsp:rsid wsp:val=&quot;005B5B8F&quot;/&gt;&lt;wsp:rsid wsp:val=&quot;005B5F9D&quot;/&gt;&lt;wsp:rsid wsp:val=&quot;005B673C&quot;/&gt;&lt;wsp:rsid wsp:val=&quot;005B6A0A&quot;/&gt;&lt;wsp:rsid wsp:val=&quot;005B74C4&quot;/&gt;&lt;wsp:rsid wsp:val=&quot;005B7A4F&quot;/&gt;&lt;wsp:rsid wsp:val=&quot;005B7C91&quot;/&gt;&lt;wsp:rsid wsp:val=&quot;005C02CF&quot;/&gt;&lt;wsp:rsid wsp:val=&quot;005C02DF&quot;/&gt;&lt;wsp:rsid wsp:val=&quot;005C03F6&quot;/&gt;&lt;wsp:rsid wsp:val=&quot;005C06D2&quot;/&gt;&lt;wsp:rsid wsp:val=&quot;005C08AC&quot;/&gt;&lt;wsp:rsid wsp:val=&quot;005C12D7&quot;/&gt;&lt;wsp:rsid wsp:val=&quot;005C19D6&quot;/&gt;&lt;wsp:rsid wsp:val=&quot;005C1C02&quot;/&gt;&lt;wsp:rsid wsp:val=&quot;005C1C1E&quot;/&gt;&lt;wsp:rsid wsp:val=&quot;005C2151&quot;/&gt;&lt;wsp:rsid wsp:val=&quot;005C21EE&quot;/&gt;&lt;wsp:rsid wsp:val=&quot;005C272C&quot;/&gt;&lt;wsp:rsid wsp:val=&quot;005C2C42&quot;/&gt;&lt;wsp:rsid wsp:val=&quot;005C2C5C&quot;/&gt;&lt;wsp:rsid wsp:val=&quot;005C2EEA&quot;/&gt;&lt;wsp:rsid wsp:val=&quot;005C34B1&quot;/&gt;&lt;wsp:rsid wsp:val=&quot;005C395F&quot;/&gt;&lt;wsp:rsid wsp:val=&quot;005C3978&quot;/&gt;&lt;wsp:rsid wsp:val=&quot;005C3E21&quot;/&gt;&lt;wsp:rsid wsp:val=&quot;005C4186&quot;/&gt;&lt;wsp:rsid wsp:val=&quot;005C435E&quot;/&gt;&lt;wsp:rsid wsp:val=&quot;005C44AC&quot;/&gt;&lt;wsp:rsid wsp:val=&quot;005C45C1&quot;/&gt;&lt;wsp:rsid wsp:val=&quot;005C45D9&quot;/&gt;&lt;wsp:rsid wsp:val=&quot;005C4930&quot;/&gt;&lt;wsp:rsid wsp:val=&quot;005C4978&quot;/&gt;&lt;wsp:rsid wsp:val=&quot;005C4A43&quot;/&gt;&lt;wsp:rsid wsp:val=&quot;005C4D7A&quot;/&gt;&lt;wsp:rsid wsp:val=&quot;005C50FB&quot;/&gt;&lt;wsp:rsid wsp:val=&quot;005C5659&quot;/&gt;&lt;wsp:rsid wsp:val=&quot;005C570F&quot;/&gt;&lt;wsp:rsid wsp:val=&quot;005C5BA8&quot;/&gt;&lt;wsp:rsid wsp:val=&quot;005C600D&quot;/&gt;&lt;wsp:rsid wsp:val=&quot;005C668A&quot;/&gt;&lt;wsp:rsid wsp:val=&quot;005C67B2&quot;/&gt;&lt;wsp:rsid wsp:val=&quot;005C6AB3&quot;/&gt;&lt;wsp:rsid wsp:val=&quot;005C6C39&quot;/&gt;&lt;wsp:rsid wsp:val=&quot;005C6D1C&quot;/&gt;&lt;wsp:rsid wsp:val=&quot;005C6F75&quot;/&gt;&lt;wsp:rsid wsp:val=&quot;005C7013&quot;/&gt;&lt;wsp:rsid wsp:val=&quot;005C712C&quot;/&gt;&lt;wsp:rsid wsp:val=&quot;005C773C&quot;/&gt;&lt;wsp:rsid wsp:val=&quot;005C789A&quot;/&gt;&lt;wsp:rsid wsp:val=&quot;005C7F12&quot;/&gt;&lt;wsp:rsid wsp:val=&quot;005C7F96&quot;/&gt;&lt;wsp:rsid wsp:val=&quot;005D00AC&quot;/&gt;&lt;wsp:rsid wsp:val=&quot;005D021A&quot;/&gt;&lt;wsp:rsid wsp:val=&quot;005D0682&quot;/&gt;&lt;wsp:rsid wsp:val=&quot;005D0A5B&quot;/&gt;&lt;wsp:rsid wsp:val=&quot;005D0AC2&quot;/&gt;&lt;wsp:rsid wsp:val=&quot;005D10A8&quot;/&gt;&lt;wsp:rsid wsp:val=&quot;005D11F2&quot;/&gt;&lt;wsp:rsid wsp:val=&quot;005D1643&quot;/&gt;&lt;wsp:rsid wsp:val=&quot;005D188E&quot;/&gt;&lt;wsp:rsid wsp:val=&quot;005D18E3&quot;/&gt;&lt;wsp:rsid wsp:val=&quot;005D1CB5&quot;/&gt;&lt;wsp:rsid wsp:val=&quot;005D22D8&quot;/&gt;&lt;wsp:rsid wsp:val=&quot;005D2741&quot;/&gt;&lt;wsp:rsid wsp:val=&quot;005D288B&quot;/&gt;&lt;wsp:rsid wsp:val=&quot;005D28B1&quot;/&gt;&lt;wsp:rsid wsp:val=&quot;005D291C&quot;/&gt;&lt;wsp:rsid wsp:val=&quot;005D2A30&quot;/&gt;&lt;wsp:rsid wsp:val=&quot;005D2B9F&quot;/&gt;&lt;wsp:rsid wsp:val=&quot;005D2F6C&quot;/&gt;&lt;wsp:rsid wsp:val=&quot;005D3491&quot;/&gt;&lt;wsp:rsid wsp:val=&quot;005D3C06&quot;/&gt;&lt;wsp:rsid wsp:val=&quot;005D3F4B&quot;/&gt;&lt;wsp:rsid wsp:val=&quot;005D41A4&quot;/&gt;&lt;wsp:rsid wsp:val=&quot;005D4AF4&quot;/&gt;&lt;wsp:rsid wsp:val=&quot;005D4B83&quot;/&gt;&lt;wsp:rsid wsp:val=&quot;005D4BAC&quot;/&gt;&lt;wsp:rsid wsp:val=&quot;005D4CCB&quot;/&gt;&lt;wsp:rsid wsp:val=&quot;005D51AD&quot;/&gt;&lt;wsp:rsid wsp:val=&quot;005D5B11&quot;/&gt;&lt;wsp:rsid wsp:val=&quot;005D5E04&quot;/&gt;&lt;wsp:rsid wsp:val=&quot;005D6865&quot;/&gt;&lt;wsp:rsid wsp:val=&quot;005D68DC&quot;/&gt;&lt;wsp:rsid wsp:val=&quot;005D69CD&quot;/&gt;&lt;wsp:rsid wsp:val=&quot;005D6BF7&quot;/&gt;&lt;wsp:rsid wsp:val=&quot;005D6D08&quot;/&gt;&lt;wsp:rsid wsp:val=&quot;005D6F58&quot;/&gt;&lt;wsp:rsid wsp:val=&quot;005D72C6&quot;/&gt;&lt;wsp:rsid wsp:val=&quot;005D7728&quot;/&gt;&lt;wsp:rsid wsp:val=&quot;005D7B70&quot;/&gt;&lt;wsp:rsid wsp:val=&quot;005D7CF2&quot;/&gt;&lt;wsp:rsid wsp:val=&quot;005E02A5&quot;/&gt;&lt;wsp:rsid wsp:val=&quot;005E066D&quot;/&gt;&lt;wsp:rsid wsp:val=&quot;005E07B0&quot;/&gt;&lt;wsp:rsid wsp:val=&quot;005E08D6&quot;/&gt;&lt;wsp:rsid wsp:val=&quot;005E0C87&quot;/&gt;&lt;wsp:rsid wsp:val=&quot;005E0CB6&quot;/&gt;&lt;wsp:rsid wsp:val=&quot;005E0FB5&quot;/&gt;&lt;wsp:rsid wsp:val=&quot;005E11CF&quot;/&gt;&lt;wsp:rsid wsp:val=&quot;005E12AB&quot;/&gt;&lt;wsp:rsid wsp:val=&quot;005E12B1&quot;/&gt;&lt;wsp:rsid wsp:val=&quot;005E1470&quot;/&gt;&lt;wsp:rsid wsp:val=&quot;005E149E&quot;/&gt;&lt;wsp:rsid wsp:val=&quot;005E1ECD&quot;/&gt;&lt;wsp:rsid wsp:val=&quot;005E20B7&quot;/&gt;&lt;wsp:rsid wsp:val=&quot;005E21CD&quot;/&gt;&lt;wsp:rsid wsp:val=&quot;005E29AA&quot;/&gt;&lt;wsp:rsid wsp:val=&quot;005E2A00&quot;/&gt;&lt;wsp:rsid wsp:val=&quot;005E39B2&quot;/&gt;&lt;wsp:rsid wsp:val=&quot;005E3CC1&quot;/&gt;&lt;wsp:rsid wsp:val=&quot;005E3F77&quot;/&gt;&lt;wsp:rsid wsp:val=&quot;005E44FA&quot;/&gt;&lt;wsp:rsid wsp:val=&quot;005E4AD3&quot;/&gt;&lt;wsp:rsid wsp:val=&quot;005E4FC9&quot;/&gt;&lt;wsp:rsid wsp:val=&quot;005E518D&quot;/&gt;&lt;wsp:rsid wsp:val=&quot;005E51FE&quot;/&gt;&lt;wsp:rsid wsp:val=&quot;005E541D&quot;/&gt;&lt;wsp:rsid wsp:val=&quot;005E6026&quot;/&gt;&lt;wsp:rsid wsp:val=&quot;005E6678&quot;/&gt;&lt;wsp:rsid wsp:val=&quot;005E6805&quot;/&gt;&lt;wsp:rsid wsp:val=&quot;005E6B35&quot;/&gt;&lt;wsp:rsid wsp:val=&quot;005E6D87&quot;/&gt;&lt;wsp:rsid wsp:val=&quot;005E718A&quot;/&gt;&lt;wsp:rsid wsp:val=&quot;005E7278&quot;/&gt;&lt;wsp:rsid wsp:val=&quot;005E73B5&quot;/&gt;&lt;wsp:rsid wsp:val=&quot;005E7724&quot;/&gt;&lt;wsp:rsid wsp:val=&quot;005E7753&quot;/&gt;&lt;wsp:rsid wsp:val=&quot;005E780A&quot;/&gt;&lt;wsp:rsid wsp:val=&quot;005E7D5E&quot;/&gt;&lt;wsp:rsid wsp:val=&quot;005E7F26&quot;/&gt;&lt;wsp:rsid wsp:val=&quot;005E7F7D&quot;/&gt;&lt;wsp:rsid wsp:val=&quot;005E7FCC&quot;/&gt;&lt;wsp:rsid wsp:val=&quot;005F0579&quot;/&gt;&lt;wsp:rsid wsp:val=&quot;005F0589&quot;/&gt;&lt;wsp:rsid wsp:val=&quot;005F092D&quot;/&gt;&lt;wsp:rsid wsp:val=&quot;005F09C4&quot;/&gt;&lt;wsp:rsid wsp:val=&quot;005F0A2B&quot;/&gt;&lt;wsp:rsid wsp:val=&quot;005F1406&quot;/&gt;&lt;wsp:rsid wsp:val=&quot;005F1444&quot;/&gt;&lt;wsp:rsid wsp:val=&quot;005F19EB&quot;/&gt;&lt;wsp:rsid wsp:val=&quot;005F1DBA&quot;/&gt;&lt;wsp:rsid wsp:val=&quot;005F21C6&quot;/&gt;&lt;wsp:rsid wsp:val=&quot;005F2240&quot;/&gt;&lt;wsp:rsid wsp:val=&quot;005F2482&quot;/&gt;&lt;wsp:rsid wsp:val=&quot;005F2843&quot;/&gt;&lt;wsp:rsid wsp:val=&quot;005F3A48&quot;/&gt;&lt;wsp:rsid wsp:val=&quot;005F3B32&quot;/&gt;&lt;wsp:rsid wsp:val=&quot;005F3CE2&quot;/&gt;&lt;wsp:rsid wsp:val=&quot;005F4064&quot;/&gt;&lt;wsp:rsid wsp:val=&quot;005F4875&quot;/&gt;&lt;wsp:rsid wsp:val=&quot;005F531B&quot;/&gt;&lt;wsp:rsid wsp:val=&quot;005F5794&quot;/&gt;&lt;wsp:rsid wsp:val=&quot;005F5E3B&quot;/&gt;&lt;wsp:rsid wsp:val=&quot;005F66D2&quot;/&gt;&lt;wsp:rsid wsp:val=&quot;005F6859&quot;/&gt;&lt;wsp:rsid wsp:val=&quot;005F6AC9&quot;/&gt;&lt;wsp:rsid wsp:val=&quot;005F6B62&quot;/&gt;&lt;wsp:rsid wsp:val=&quot;005F714D&quot;/&gt;&lt;wsp:rsid wsp:val=&quot;005F7208&quot;/&gt;&lt;wsp:rsid wsp:val=&quot;005F7655&quot;/&gt;&lt;wsp:rsid wsp:val=&quot;005F78C9&quot;/&gt;&lt;wsp:rsid wsp:val=&quot;005F78DB&quot;/&gt;&lt;wsp:rsid wsp:val=&quot;005F79CA&quot;/&gt;&lt;wsp:rsid wsp:val=&quot;005F7A86&quot;/&gt;&lt;wsp:rsid wsp:val=&quot;005F7CC1&quot;/&gt;&lt;wsp:rsid wsp:val=&quot;00600930&quot;/&gt;&lt;wsp:rsid wsp:val=&quot;00600950&quot;/&gt;&lt;wsp:rsid wsp:val=&quot;00600BCC&quot;/&gt;&lt;wsp:rsid wsp:val=&quot;006013E0&quot;/&gt;&lt;wsp:rsid wsp:val=&quot;006016CC&quot;/&gt;&lt;wsp:rsid wsp:val=&quot;006017A0&quot;/&gt;&lt;wsp:rsid wsp:val=&quot;00601803&quot;/&gt;&lt;wsp:rsid wsp:val=&quot;00601E47&quot;/&gt;&lt;wsp:rsid wsp:val=&quot;0060215F&quot;/&gt;&lt;wsp:rsid wsp:val=&quot;00602662&quot;/&gt;&lt;wsp:rsid wsp:val=&quot;00602692&quot;/&gt;&lt;wsp:rsid wsp:val=&quot;00602DBF&quot;/&gt;&lt;wsp:rsid wsp:val=&quot;0060343D&quot;/&gt;&lt;wsp:rsid wsp:val=&quot;00603443&quot;/&gt;&lt;wsp:rsid wsp:val=&quot;0060380F&quot;/&gt;&lt;wsp:rsid wsp:val=&quot;00603D72&quot;/&gt;&lt;wsp:rsid wsp:val=&quot;006041F4&quot;/&gt;&lt;wsp:rsid wsp:val=&quot;00604A70&quot;/&gt;&lt;wsp:rsid wsp:val=&quot;00604F77&quot;/&gt;&lt;wsp:rsid wsp:val=&quot;00605312&quot;/&gt;&lt;wsp:rsid wsp:val=&quot;006053FA&quot;/&gt;&lt;wsp:rsid wsp:val=&quot;00605497&quot;/&gt;&lt;wsp:rsid wsp:val=&quot;0060579C&quot;/&gt;&lt;wsp:rsid wsp:val=&quot;0060599D&quot;/&gt;&lt;wsp:rsid wsp:val=&quot;00605AC6&quot;/&gt;&lt;wsp:rsid wsp:val=&quot;00605F21&quot;/&gt;&lt;wsp:rsid wsp:val=&quot;00605FD5&quot;/&gt;&lt;wsp:rsid wsp:val=&quot;00606495&quot;/&gt;&lt;wsp:rsid wsp:val=&quot;0060692A&quot;/&gt;&lt;wsp:rsid wsp:val=&quot;00606C67&quot;/&gt;&lt;wsp:rsid wsp:val=&quot;00606D91&quot;/&gt;&lt;wsp:rsid wsp:val=&quot;00606EE9&quot;/&gt;&lt;wsp:rsid wsp:val=&quot;006071F8&quot;/&gt;&lt;wsp:rsid wsp:val=&quot;0060750E&quot;/&gt;&lt;wsp:rsid wsp:val=&quot;0060760E&quot;/&gt;&lt;wsp:rsid wsp:val=&quot;00607D2A&quot;/&gt;&lt;wsp:rsid wsp:val=&quot;006104A0&quot;/&gt;&lt;wsp:rsid wsp:val=&quot;006104C4&quot;/&gt;&lt;wsp:rsid wsp:val=&quot;00610B4F&quot;/&gt;&lt;wsp:rsid wsp:val=&quot;00610B60&quot;/&gt;&lt;wsp:rsid wsp:val=&quot;00610DED&quot;/&gt;&lt;wsp:rsid wsp:val=&quot;006110B1&quot;/&gt;&lt;wsp:rsid wsp:val=&quot;006117EC&quot;/&gt;&lt;wsp:rsid wsp:val=&quot;006119F6&quot;/&gt;&lt;wsp:rsid wsp:val=&quot;00611AD8&quot;/&gt;&lt;wsp:rsid wsp:val=&quot;00611BE2&quot;/&gt;&lt;wsp:rsid wsp:val=&quot;00611D1C&quot;/&gt;&lt;wsp:rsid wsp:val=&quot;00611FBB&quot;/&gt;&lt;wsp:rsid wsp:val=&quot;0061247F&quot;/&gt;&lt;wsp:rsid wsp:val=&quot;00612698&quot;/&gt;&lt;wsp:rsid wsp:val=&quot;00612D04&quot;/&gt;&lt;wsp:rsid wsp:val=&quot;00612D9D&quot;/&gt;&lt;wsp:rsid wsp:val=&quot;00612F3C&quot;/&gt;&lt;wsp:rsid wsp:val=&quot;00613568&quot;/&gt;&lt;wsp:rsid wsp:val=&quot;00613A58&quot;/&gt;&lt;wsp:rsid wsp:val=&quot;00614164&quot;/&gt;&lt;wsp:rsid wsp:val=&quot;00614DB8&quot;/&gt;&lt;wsp:rsid wsp:val=&quot;0061523E&quot;/&gt;&lt;wsp:rsid wsp:val=&quot;006155C4&quot;/&gt;&lt;wsp:rsid wsp:val=&quot;006157DD&quot;/&gt;&lt;wsp:rsid wsp:val=&quot;00615934&quot;/&gt;&lt;wsp:rsid wsp:val=&quot;0061673B&quot;/&gt;&lt;wsp:rsid wsp:val=&quot;0061748C&quot;/&gt;&lt;wsp:rsid wsp:val=&quot;006175A1&quot;/&gt;&lt;wsp:rsid wsp:val=&quot;00617905&quot;/&gt;&lt;wsp:rsid wsp:val=&quot;0062018E&quot;/&gt;&lt;wsp:rsid wsp:val=&quot;0062025C&quot;/&gt;&lt;wsp:rsid wsp:val=&quot;0062098F&quot;/&gt;&lt;wsp:rsid wsp:val=&quot;006209F6&quot;/&gt;&lt;wsp:rsid wsp:val=&quot;00620B1B&quot;/&gt;&lt;wsp:rsid wsp:val=&quot;0062139E&quot;/&gt;&lt;wsp:rsid wsp:val=&quot;00621405&quot;/&gt;&lt;wsp:rsid wsp:val=&quot;00621469&quot;/&gt;&lt;wsp:rsid wsp:val=&quot;006217A3&quot;/&gt;&lt;wsp:rsid wsp:val=&quot;00621D04&quot;/&gt;&lt;wsp:rsid wsp:val=&quot;00621EF6&quot;/&gt;&lt;wsp:rsid wsp:val=&quot;0062218E&quot;/&gt;&lt;wsp:rsid wsp:val=&quot;006223C5&quot;/&gt;&lt;wsp:rsid wsp:val=&quot;006226D9&quot;/&gt;&lt;wsp:rsid wsp:val=&quot;006227A3&quot;/&gt;&lt;wsp:rsid wsp:val=&quot;00622857&quot;/&gt;&lt;wsp:rsid wsp:val=&quot;00622DDC&quot;/&gt;&lt;wsp:rsid wsp:val=&quot;00622F55&quot;/&gt;&lt;wsp:rsid wsp:val=&quot;0062392F&quot;/&gt;&lt;wsp:rsid wsp:val=&quot;00623AEA&quot;/&gt;&lt;wsp:rsid wsp:val=&quot;00623EF3&quot;/&gt;&lt;wsp:rsid wsp:val=&quot;0062407A&quot;/&gt;&lt;wsp:rsid wsp:val=&quot;006242F0&quot;/&gt;&lt;wsp:rsid wsp:val=&quot;006243EC&quot;/&gt;&lt;wsp:rsid wsp:val=&quot;006245DD&quot;/&gt;&lt;wsp:rsid wsp:val=&quot;00624D61&quot;/&gt;&lt;wsp:rsid wsp:val=&quot;00624FA7&quot;/&gt;&lt;wsp:rsid wsp:val=&quot;0062577F&quot;/&gt;&lt;wsp:rsid wsp:val=&quot;006259EC&quot;/&gt;&lt;wsp:rsid wsp:val=&quot;00625B1E&quot;/&gt;&lt;wsp:rsid wsp:val=&quot;00625CD1&quot;/&gt;&lt;wsp:rsid wsp:val=&quot;0062612E&quot;/&gt;&lt;wsp:rsid wsp:val=&quot;0062615D&quot;/&gt;&lt;wsp:rsid wsp:val=&quot;00626276&quot;/&gt;&lt;wsp:rsid wsp:val=&quot;006264D5&quot;/&gt;&lt;wsp:rsid wsp:val=&quot;0062667D&quot;/&gt;&lt;wsp:rsid wsp:val=&quot;006267E9&quot;/&gt;&lt;wsp:rsid wsp:val=&quot;00626876&quot;/&gt;&lt;wsp:rsid wsp:val=&quot;00626F72&quot;/&gt;&lt;wsp:rsid wsp:val=&quot;00626FE3&quot;/&gt;&lt;wsp:rsid wsp:val=&quot;006270E2&quot;/&gt;&lt;wsp:rsid wsp:val=&quot;0062713D&quot;/&gt;&lt;wsp:rsid wsp:val=&quot;00627332&quot;/&gt;&lt;wsp:rsid wsp:val=&quot;006278BC&quot;/&gt;&lt;wsp:rsid wsp:val=&quot;00627A09&quot;/&gt;&lt;wsp:rsid wsp:val=&quot;00627DE4&quot;/&gt;&lt;wsp:rsid wsp:val=&quot;006300A5&quot;/&gt;&lt;wsp:rsid wsp:val=&quot;0063069B&quot;/&gt;&lt;wsp:rsid wsp:val=&quot;00630CE0&quot;/&gt;&lt;wsp:rsid wsp:val=&quot;00631241&quot;/&gt;&lt;wsp:rsid wsp:val=&quot;00631489&quot;/&gt;&lt;wsp:rsid wsp:val=&quot;00631D68&quot;/&gt;&lt;wsp:rsid wsp:val=&quot;0063235E&quot;/&gt;&lt;wsp:rsid wsp:val=&quot;00632421&quot;/&gt;&lt;wsp:rsid wsp:val=&quot;00632AE3&quot;/&gt;&lt;wsp:rsid wsp:val=&quot;00632D4E&quot;/&gt;&lt;wsp:rsid wsp:val=&quot;0063345C&quot;/&gt;&lt;wsp:rsid wsp:val=&quot;00633EC5&quot;/&gt;&lt;wsp:rsid wsp:val=&quot;00634545&quot;/&gt;&lt;wsp:rsid wsp:val=&quot;00635069&quot;/&gt;&lt;wsp:rsid wsp:val=&quot;006350B5&quot;/&gt;&lt;wsp:rsid wsp:val=&quot;0063528A&quot;/&gt;&lt;wsp:rsid wsp:val=&quot;0063595F&quot;/&gt;&lt;wsp:rsid wsp:val=&quot;0063596B&quot;/&gt;&lt;wsp:rsid wsp:val=&quot;00635AB7&quot;/&gt;&lt;wsp:rsid wsp:val=&quot;00635EFC&quot;/&gt;&lt;wsp:rsid wsp:val=&quot;00635F4D&quot;/&gt;&lt;wsp:rsid wsp:val=&quot;006360FC&quot;/&gt;&lt;wsp:rsid wsp:val=&quot;006363B0&quot;/&gt;&lt;wsp:rsid wsp:val=&quot;0063654F&quot;/&gt;&lt;wsp:rsid wsp:val=&quot;006369F7&quot;/&gt;&lt;wsp:rsid wsp:val=&quot;00636BE0&quot;/&gt;&lt;wsp:rsid wsp:val=&quot;0063749D&quot;/&gt;&lt;wsp:rsid wsp:val=&quot;0063771D&quot;/&gt;&lt;wsp:rsid wsp:val=&quot;0063795F&quot;/&gt;&lt;wsp:rsid wsp:val=&quot;00637F48&quot;/&gt;&lt;wsp:rsid wsp:val=&quot;00640631&quot;/&gt;&lt;wsp:rsid wsp:val=&quot;00640A8C&quot;/&gt;&lt;wsp:rsid wsp:val=&quot;00640D8C&quot;/&gt;&lt;wsp:rsid wsp:val=&quot;00641490&quot;/&gt;&lt;wsp:rsid wsp:val=&quot;0064184F&quot;/&gt;&lt;wsp:rsid wsp:val=&quot;00641B62&quot;/&gt;&lt;wsp:rsid wsp:val=&quot;00641E49&quot;/&gt;&lt;wsp:rsid wsp:val=&quot;006420AF&quot;/&gt;&lt;wsp:rsid wsp:val=&quot;00642223&quot;/&gt;&lt;wsp:rsid wsp:val=&quot;0064262B&quot;/&gt;&lt;wsp:rsid wsp:val=&quot;00642A27&quot;/&gt;&lt;wsp:rsid wsp:val=&quot;00642B8A&quot;/&gt;&lt;wsp:rsid wsp:val=&quot;00642ECC&quot;/&gt;&lt;wsp:rsid wsp:val=&quot;006431C3&quot;/&gt;&lt;wsp:rsid wsp:val=&quot;006431DB&quot;/&gt;&lt;wsp:rsid wsp:val=&quot;00643392&quot;/&gt;&lt;wsp:rsid wsp:val=&quot;00643447&quot;/&gt;&lt;wsp:rsid wsp:val=&quot;00643462&quot;/&gt;&lt;wsp:rsid wsp:val=&quot;006437F1&quot;/&gt;&lt;wsp:rsid wsp:val=&quot;00643E5F&quot;/&gt;&lt;wsp:rsid wsp:val=&quot;00643F90&quot;/&gt;&lt;wsp:rsid wsp:val=&quot;0064437A&quot;/&gt;&lt;wsp:rsid wsp:val=&quot;00644513&quot;/&gt;&lt;wsp:rsid wsp:val=&quot;00644784&quot;/&gt;&lt;wsp:rsid wsp:val=&quot;00644BFD&quot;/&gt;&lt;wsp:rsid wsp:val=&quot;00645728&quot;/&gt;&lt;wsp:rsid wsp:val=&quot;00645C8E&quot;/&gt;&lt;wsp:rsid wsp:val=&quot;00645FC2&quot;/&gt;&lt;wsp:rsid wsp:val=&quot;00646136&quot;/&gt;&lt;wsp:rsid wsp:val=&quot;0064614D&quot;/&gt;&lt;wsp:rsid wsp:val=&quot;00646159&quot;/&gt;&lt;wsp:rsid wsp:val=&quot;00646ADF&quot;/&gt;&lt;wsp:rsid wsp:val=&quot;00646E98&quot;/&gt;&lt;wsp:rsid wsp:val=&quot;006470E8&quot;/&gt;&lt;wsp:rsid wsp:val=&quot;006471AA&quot;/&gt;&lt;wsp:rsid wsp:val=&quot;0064762B&quot;/&gt;&lt;wsp:rsid wsp:val=&quot;006479FB&quot;/&gt;&lt;wsp:rsid wsp:val=&quot;00647F4E&quot;/&gt;&lt;wsp:rsid wsp:val=&quot;00650673&quot;/&gt;&lt;wsp:rsid wsp:val=&quot;006507BF&quot;/&gt;&lt;wsp:rsid wsp:val=&quot;006509FC&quot;/&gt;&lt;wsp:rsid wsp:val=&quot;00650D4F&quot;/&gt;&lt;wsp:rsid wsp:val=&quot;00650E1F&quot;/&gt;&lt;wsp:rsid wsp:val=&quot;00650F51&quot;/&gt;&lt;wsp:rsid wsp:val=&quot;006510CD&quot;/&gt;&lt;wsp:rsid wsp:val=&quot;00651160&quot;/&gt;&lt;wsp:rsid wsp:val=&quot;0065129C&quot;/&gt;&lt;wsp:rsid wsp:val=&quot;0065174F&quot;/&gt;&lt;wsp:rsid wsp:val=&quot;00651803&quot;/&gt;&lt;wsp:rsid wsp:val=&quot;00651979&quot;/&gt;&lt;wsp:rsid wsp:val=&quot;00651A8A&quot;/&gt;&lt;wsp:rsid wsp:val=&quot;00652017&quot;/&gt;&lt;wsp:rsid wsp:val=&quot;0065251B&quot;/&gt;&lt;wsp:rsid wsp:val=&quot;00652ADE&quot;/&gt;&lt;wsp:rsid wsp:val=&quot;0065368B&quot;/&gt;&lt;wsp:rsid wsp:val=&quot;006537C8&quot;/&gt;&lt;wsp:rsid wsp:val=&quot;00653AEB&quot;/&gt;&lt;wsp:rsid wsp:val=&quot;00654161&quot;/&gt;&lt;wsp:rsid wsp:val=&quot;006543DB&quot;/&gt;&lt;wsp:rsid wsp:val=&quot;00654CE5&quot;/&gt;&lt;wsp:rsid wsp:val=&quot;00654D86&quot;/&gt;&lt;wsp:rsid wsp:val=&quot;006551F9&quot;/&gt;&lt;wsp:rsid wsp:val=&quot;0065540E&quot;/&gt;&lt;wsp:rsid wsp:val=&quot;006559B0&quot;/&gt;&lt;wsp:rsid wsp:val=&quot;006561C5&quot;/&gt;&lt;wsp:rsid wsp:val=&quot;0065623A&quot;/&gt;&lt;wsp:rsid wsp:val=&quot;00656A16&quot;/&gt;&lt;wsp:rsid wsp:val=&quot;00656C07&quot;/&gt;&lt;wsp:rsid wsp:val=&quot;00657224&quot;/&gt;&lt;wsp:rsid wsp:val=&quot;00657298&quot;/&gt;&lt;wsp:rsid wsp:val=&quot;00657E13&quot;/&gt;&lt;wsp:rsid wsp:val=&quot;00660129&quot;/&gt;&lt;wsp:rsid wsp:val=&quot;006602A5&quot;/&gt;&lt;wsp:rsid wsp:val=&quot;00660EA0&quot;/&gt;&lt;wsp:rsid wsp:val=&quot;00660EB5&quot;/&gt;&lt;wsp:rsid wsp:val=&quot;00660F1A&quot;/&gt;&lt;wsp:rsid wsp:val=&quot;00661281&quot;/&gt;&lt;wsp:rsid wsp:val=&quot;006614BB&quot;/&gt;&lt;wsp:rsid wsp:val=&quot;00661BAE&quot;/&gt;&lt;wsp:rsid wsp:val=&quot;00661D4C&quot;/&gt;&lt;wsp:rsid wsp:val=&quot;00661F6A&quot;/&gt;&lt;wsp:rsid wsp:val=&quot;00662647&quot;/&gt;&lt;wsp:rsid wsp:val=&quot;006627B8&quot;/&gt;&lt;wsp:rsid wsp:val=&quot;00662857&quot;/&gt;&lt;wsp:rsid wsp:val=&quot;00662971&quot;/&gt;&lt;wsp:rsid wsp:val=&quot;00662B06&quot;/&gt;&lt;wsp:rsid wsp:val=&quot;00662FAB&quot;/&gt;&lt;wsp:rsid wsp:val=&quot;006632F3&quot;/&gt;&lt;wsp:rsid wsp:val=&quot;006638BE&quot;/&gt;&lt;wsp:rsid wsp:val=&quot;00663B1D&quot;/&gt;&lt;wsp:rsid wsp:val=&quot;00663C31&quot;/&gt;&lt;wsp:rsid wsp:val=&quot;00663C78&quot;/&gt;&lt;wsp:rsid wsp:val=&quot;00663F87&quot;/&gt;&lt;wsp:rsid wsp:val=&quot;00663FF8&quot;/&gt;&lt;wsp:rsid wsp:val=&quot;00664239&quot;/&gt;&lt;wsp:rsid wsp:val=&quot;006642D3&quot;/&gt;&lt;wsp:rsid wsp:val=&quot;006648F8&quot;/&gt;&lt;wsp:rsid wsp:val=&quot;00664930&quot;/&gt;&lt;wsp:rsid wsp:val=&quot;00664A22&quot;/&gt;&lt;wsp:rsid wsp:val=&quot;00664AF8&quot;/&gt;&lt;wsp:rsid wsp:val=&quot;00665012&quot;/&gt;&lt;wsp:rsid wsp:val=&quot;006651FC&quot;/&gt;&lt;wsp:rsid wsp:val=&quot;00665343&quot;/&gt;&lt;wsp:rsid wsp:val=&quot;006655AD&quot;/&gt;&lt;wsp:rsid wsp:val=&quot;006659B7&quot;/&gt;&lt;wsp:rsid wsp:val=&quot;00665B99&quot;/&gt;&lt;wsp:rsid wsp:val=&quot;00666106&quot;/&gt;&lt;wsp:rsid wsp:val=&quot;006662AF&quot;/&gt;&lt;wsp:rsid wsp:val=&quot;0066679D&quot;/&gt;&lt;wsp:rsid wsp:val=&quot;00666B4F&quot;/&gt;&lt;wsp:rsid wsp:val=&quot;00666FA8&quot;/&gt;&lt;wsp:rsid wsp:val=&quot;00667403&quot;/&gt;&lt;wsp:rsid wsp:val=&quot;0066746B&quot;/&gt;&lt;wsp:rsid wsp:val=&quot;006676C5&quot;/&gt;&lt;wsp:rsid wsp:val=&quot;00667AA9&quot;/&gt;&lt;wsp:rsid wsp:val=&quot;00670520&quot;/&gt;&lt;wsp:rsid wsp:val=&quot;006706ED&quot;/&gt;&lt;wsp:rsid wsp:val=&quot;00670865&quot;/&gt;&lt;wsp:rsid wsp:val=&quot;006709EE&quot;/&gt;&lt;wsp:rsid wsp:val=&quot;00670FD3&quot;/&gt;&lt;wsp:rsid wsp:val=&quot;006711C3&quot;/&gt;&lt;wsp:rsid wsp:val=&quot;006714A8&quot;/&gt;&lt;wsp:rsid wsp:val=&quot;006715FA&quot;/&gt;&lt;wsp:rsid wsp:val=&quot;006717A7&quot;/&gt;&lt;wsp:rsid wsp:val=&quot;00671BEC&quot;/&gt;&lt;wsp:rsid wsp:val=&quot;00671C9B&quot;/&gt;&lt;wsp:rsid wsp:val=&quot;00671D4A&quot;/&gt;&lt;wsp:rsid wsp:val=&quot;00672310&quot;/&gt;&lt;wsp:rsid wsp:val=&quot;006723C1&quot;/&gt;&lt;wsp:rsid wsp:val=&quot;006726C5&quot;/&gt;&lt;wsp:rsid wsp:val=&quot;006728DA&quot;/&gt;&lt;wsp:rsid wsp:val=&quot;00672995&quot;/&gt;&lt;wsp:rsid wsp:val=&quot;00672ADD&quot;/&gt;&lt;wsp:rsid wsp:val=&quot;00672BA9&quot;/&gt;&lt;wsp:rsid wsp:val=&quot;00672CCB&quot;/&gt;&lt;wsp:rsid wsp:val=&quot;00672CF8&quot;/&gt;&lt;wsp:rsid wsp:val=&quot;00673040&quot;/&gt;&lt;wsp:rsid wsp:val=&quot;00673567&quot;/&gt;&lt;wsp:rsid wsp:val=&quot;00673DF6&quot;/&gt;&lt;wsp:rsid wsp:val=&quot;00673E3B&quot;/&gt;&lt;wsp:rsid wsp:val=&quot;00673EFD&quot;/&gt;&lt;wsp:rsid wsp:val=&quot;006741C6&quot;/&gt;&lt;wsp:rsid wsp:val=&quot;006742EE&quot;/&gt;&lt;wsp:rsid wsp:val=&quot;006746B9&quot;/&gt;&lt;wsp:rsid wsp:val=&quot;006746BC&quot;/&gt;&lt;wsp:rsid wsp:val=&quot;0067497C&quot;/&gt;&lt;wsp:rsid wsp:val=&quot;006749ED&quot;/&gt;&lt;wsp:rsid wsp:val=&quot;0067515D&quot;/&gt;&lt;wsp:rsid wsp:val=&quot;0067517C&quot;/&gt;&lt;wsp:rsid wsp:val=&quot;0067575D&quot;/&gt;&lt;wsp:rsid wsp:val=&quot;00675FE0&quot;/&gt;&lt;wsp:rsid wsp:val=&quot;00676050&quot;/&gt;&lt;wsp:rsid wsp:val=&quot;006763A3&quot;/&gt;&lt;wsp:rsid wsp:val=&quot;00676663&quot;/&gt;&lt;wsp:rsid wsp:val=&quot;006766B7&quot;/&gt;&lt;wsp:rsid wsp:val=&quot;006768A4&quot;/&gt;&lt;wsp:rsid wsp:val=&quot;00676C34&quot;/&gt;&lt;wsp:rsid wsp:val=&quot;00676E60&quot;/&gt;&lt;wsp:rsid wsp:val=&quot;00677122&quot;/&gt;&lt;wsp:rsid wsp:val=&quot;0067743C&quot;/&gt;&lt;wsp:rsid wsp:val=&quot;006779D8&quot;/&gt;&lt;wsp:rsid wsp:val=&quot;00677A34&quot;/&gt;&lt;wsp:rsid wsp:val=&quot;00677B37&quot;/&gt;&lt;wsp:rsid wsp:val=&quot;00677DEB&quot;/&gt;&lt;wsp:rsid wsp:val=&quot;00680488&quot;/&gt;&lt;wsp:rsid wsp:val=&quot;00680574&quot;/&gt;&lt;wsp:rsid wsp:val=&quot;006805C0&quot;/&gt;&lt;wsp:rsid wsp:val=&quot;00680663&quot;/&gt;&lt;wsp:rsid wsp:val=&quot;00680F3C&quot;/&gt;&lt;wsp:rsid wsp:val=&quot;0068127D&quot;/&gt;&lt;wsp:rsid wsp:val=&quot;00681DBF&quot;/&gt;&lt;wsp:rsid wsp:val=&quot;00682184&quot;/&gt;&lt;wsp:rsid wsp:val=&quot;006829F2&quot;/&gt;&lt;wsp:rsid wsp:val=&quot;0068310B&quot;/&gt;&lt;wsp:rsid wsp:val=&quot;00683281&quot;/&gt;&lt;wsp:rsid wsp:val=&quot;0068357D&quot;/&gt;&lt;wsp:rsid wsp:val=&quot;006835C7&quot;/&gt;&lt;wsp:rsid wsp:val=&quot;00683A27&quot;/&gt;&lt;wsp:rsid wsp:val=&quot;00683AB8&quot;/&gt;&lt;wsp:rsid wsp:val=&quot;00684040&quot;/&gt;&lt;wsp:rsid wsp:val=&quot;0068404B&quot;/&gt;&lt;wsp:rsid wsp:val=&quot;0068405C&quot;/&gt;&lt;wsp:rsid wsp:val=&quot;006841EF&quot;/&gt;&lt;wsp:rsid wsp:val=&quot;006843AB&quot;/&gt;&lt;wsp:rsid wsp:val=&quot;0068457A&quot;/&gt;&lt;wsp:rsid wsp:val=&quot;0068460D&quot;/&gt;&lt;wsp:rsid wsp:val=&quot;0068515F&quot;/&gt;&lt;wsp:rsid wsp:val=&quot;00685188&quot;/&gt;&lt;wsp:rsid wsp:val=&quot;006858CE&quot;/&gt;&lt;wsp:rsid wsp:val=&quot;006859F6&quot;/&gt;&lt;wsp:rsid wsp:val=&quot;00685E06&quot;/&gt;&lt;wsp:rsid wsp:val=&quot;00686281&quot;/&gt;&lt;wsp:rsid wsp:val=&quot;006862C0&quot;/&gt;&lt;wsp:rsid wsp:val=&quot;006862CD&quot;/&gt;&lt;wsp:rsid wsp:val=&quot;00686434&quot;/&gt;&lt;wsp:rsid wsp:val=&quot;00686967&quot;/&gt;&lt;wsp:rsid wsp:val=&quot;00686DF4&quot;/&gt;&lt;wsp:rsid wsp:val=&quot;00686EE2&quot;/&gt;&lt;wsp:rsid wsp:val=&quot;006872CF&quot;/&gt;&lt;wsp:rsid wsp:val=&quot;00687A8A&quot;/&gt;&lt;wsp:rsid wsp:val=&quot;00687BB3&quot;/&gt;&lt;wsp:rsid wsp:val=&quot;00687DDA&quot;/&gt;&lt;wsp:rsid wsp:val=&quot;00687F39&quot;/&gt;&lt;wsp:rsid wsp:val=&quot;006903A9&quot;/&gt;&lt;wsp:rsid wsp:val=&quot;00690466&quot;/&gt;&lt;wsp:rsid wsp:val=&quot;00690684&quot;/&gt;&lt;wsp:rsid wsp:val=&quot;00690D12&quot;/&gt;&lt;wsp:rsid wsp:val=&quot;00691069&quot;/&gt;&lt;wsp:rsid wsp:val=&quot;00691498&quot;/&gt;&lt;wsp:rsid wsp:val=&quot;0069193D&quot;/&gt;&lt;wsp:rsid wsp:val=&quot;00691A80&quot;/&gt;&lt;wsp:rsid wsp:val=&quot;00692016&quot;/&gt;&lt;wsp:rsid wsp:val=&quot;006922A3&quot;/&gt;&lt;wsp:rsid wsp:val=&quot;00692E59&quot;/&gt;&lt;wsp:rsid wsp:val=&quot;0069309E&quot;/&gt;&lt;wsp:rsid wsp:val=&quot;006930A2&quot;/&gt;&lt;wsp:rsid wsp:val=&quot;0069351F&quot;/&gt;&lt;wsp:rsid wsp:val=&quot;00693AD5&quot;/&gt;&lt;wsp:rsid wsp:val=&quot;00693C5D&quot;/&gt;&lt;wsp:rsid wsp:val=&quot;00694C29&quot;/&gt;&lt;wsp:rsid wsp:val=&quot;00695015&quot;/&gt;&lt;wsp:rsid wsp:val=&quot;00695334&quot;/&gt;&lt;wsp:rsid wsp:val=&quot;00695491&quot;/&gt;&lt;wsp:rsid wsp:val=&quot;006955E6&quot;/&gt;&lt;wsp:rsid wsp:val=&quot;00695B0C&quot;/&gt;&lt;wsp:rsid wsp:val=&quot;00695F3C&quot;/&gt;&lt;wsp:rsid wsp:val=&quot;0069625B&quot;/&gt;&lt;wsp:rsid wsp:val=&quot;00696525&quot;/&gt;&lt;wsp:rsid wsp:val=&quot;00696657&quot;/&gt;&lt;wsp:rsid wsp:val=&quot;006966BB&quot;/&gt;&lt;wsp:rsid wsp:val=&quot;00696F99&quot;/&gt;&lt;wsp:rsid wsp:val=&quot;00697280&quot;/&gt;&lt;wsp:rsid wsp:val=&quot;00697553&quot;/&gt;&lt;wsp:rsid wsp:val=&quot;00697731&quot;/&gt;&lt;wsp:rsid wsp:val=&quot;00697D69&quot;/&gt;&lt;wsp:rsid wsp:val=&quot;006A07B0&quot;/&gt;&lt;wsp:rsid wsp:val=&quot;006A0B33&quot;/&gt;&lt;wsp:rsid wsp:val=&quot;006A0D22&quot;/&gt;&lt;wsp:rsid wsp:val=&quot;006A0EE8&quot;/&gt;&lt;wsp:rsid wsp:val=&quot;006A10FD&quot;/&gt;&lt;wsp:rsid wsp:val=&quot;006A154A&quot;/&gt;&lt;wsp:rsid wsp:val=&quot;006A183A&quot;/&gt;&lt;wsp:rsid wsp:val=&quot;006A1BD3&quot;/&gt;&lt;wsp:rsid wsp:val=&quot;006A1F30&quot;/&gt;&lt;wsp:rsid wsp:val=&quot;006A1FCF&quot;/&gt;&lt;wsp:rsid wsp:val=&quot;006A24BD&quot;/&gt;&lt;wsp:rsid wsp:val=&quot;006A2538&quot;/&gt;&lt;wsp:rsid wsp:val=&quot;006A275F&quot;/&gt;&lt;wsp:rsid wsp:val=&quot;006A27D9&quot;/&gt;&lt;wsp:rsid wsp:val=&quot;006A2A5E&quot;/&gt;&lt;wsp:rsid wsp:val=&quot;006A2E58&quot;/&gt;&lt;wsp:rsid wsp:val=&quot;006A2E8D&quot;/&gt;&lt;wsp:rsid wsp:val=&quot;006A3080&quot;/&gt;&lt;wsp:rsid wsp:val=&quot;006A30B7&quot;/&gt;&lt;wsp:rsid wsp:val=&quot;006A3443&quot;/&gt;&lt;wsp:rsid wsp:val=&quot;006A350D&quot;/&gt;&lt;wsp:rsid wsp:val=&quot;006A376F&quot;/&gt;&lt;wsp:rsid wsp:val=&quot;006A3796&quot;/&gt;&lt;wsp:rsid wsp:val=&quot;006A37EF&quot;/&gt;&lt;wsp:rsid wsp:val=&quot;006A3D61&quot;/&gt;&lt;wsp:rsid wsp:val=&quot;006A3D77&quot;/&gt;&lt;wsp:rsid wsp:val=&quot;006A4B64&quot;/&gt;&lt;wsp:rsid wsp:val=&quot;006A4D14&quot;/&gt;&lt;wsp:rsid wsp:val=&quot;006A4E62&quot;/&gt;&lt;wsp:rsid wsp:val=&quot;006A4EB8&quot;/&gt;&lt;wsp:rsid wsp:val=&quot;006A4F4B&quot;/&gt;&lt;wsp:rsid wsp:val=&quot;006A5004&quot;/&gt;&lt;wsp:rsid wsp:val=&quot;006A53B7&quot;/&gt;&lt;wsp:rsid wsp:val=&quot;006A53F0&quot;/&gt;&lt;wsp:rsid wsp:val=&quot;006A5469&quot;/&gt;&lt;wsp:rsid wsp:val=&quot;006A58AA&quot;/&gt;&lt;wsp:rsid wsp:val=&quot;006A6045&quot;/&gt;&lt;wsp:rsid wsp:val=&quot;006A60ED&quot;/&gt;&lt;wsp:rsid wsp:val=&quot;006A68A8&quot;/&gt;&lt;wsp:rsid wsp:val=&quot;006A6A47&quot;/&gt;&lt;wsp:rsid wsp:val=&quot;006A6E30&quot;/&gt;&lt;wsp:rsid wsp:val=&quot;006A6FDC&quot;/&gt;&lt;wsp:rsid wsp:val=&quot;006A706A&quot;/&gt;&lt;wsp:rsid wsp:val=&quot;006A70D8&quot;/&gt;&lt;wsp:rsid wsp:val=&quot;006A76ED&quot;/&gt;&lt;wsp:rsid wsp:val=&quot;006A77CF&quot;/&gt;&lt;wsp:rsid wsp:val=&quot;006A7DEC&quot;/&gt;&lt;wsp:rsid wsp:val=&quot;006B02DE&quot;/&gt;&lt;wsp:rsid wsp:val=&quot;006B034F&quot;/&gt;&lt;wsp:rsid wsp:val=&quot;006B038A&quot;/&gt;&lt;wsp:rsid wsp:val=&quot;006B0F8C&quot;/&gt;&lt;wsp:rsid wsp:val=&quot;006B0FC1&quot;/&gt;&lt;wsp:rsid wsp:val=&quot;006B10BC&quot;/&gt;&lt;wsp:rsid wsp:val=&quot;006B13A5&quot;/&gt;&lt;wsp:rsid wsp:val=&quot;006B18F3&quot;/&gt;&lt;wsp:rsid wsp:val=&quot;006B1927&quot;/&gt;&lt;wsp:rsid wsp:val=&quot;006B1FBD&quot;/&gt;&lt;wsp:rsid wsp:val=&quot;006B259B&quot;/&gt;&lt;wsp:rsid wsp:val=&quot;006B2A8B&quot;/&gt;&lt;wsp:rsid wsp:val=&quot;006B2F9E&quot;/&gt;&lt;wsp:rsid wsp:val=&quot;006B322F&quot;/&gt;&lt;wsp:rsid wsp:val=&quot;006B33D4&quot;/&gt;&lt;wsp:rsid wsp:val=&quot;006B373C&quot;/&gt;&lt;wsp:rsid wsp:val=&quot;006B376E&quot;/&gt;&lt;wsp:rsid wsp:val=&quot;006B3792&quot;/&gt;&lt;wsp:rsid wsp:val=&quot;006B40BB&quot;/&gt;&lt;wsp:rsid wsp:val=&quot;006B40EE&quot;/&gt;&lt;wsp:rsid wsp:val=&quot;006B44A3&quot;/&gt;&lt;wsp:rsid wsp:val=&quot;006B474C&quot;/&gt;&lt;wsp:rsid wsp:val=&quot;006B49F4&quot;/&gt;&lt;wsp:rsid wsp:val=&quot;006B4AB7&quot;/&gt;&lt;wsp:rsid wsp:val=&quot;006B5043&quot;/&gt;&lt;wsp:rsid wsp:val=&quot;006B51AE&quot;/&gt;&lt;wsp:rsid wsp:val=&quot;006B530D&quot;/&gt;&lt;wsp:rsid wsp:val=&quot;006B53EE&quot;/&gt;&lt;wsp:rsid wsp:val=&quot;006B54D5&quot;/&gt;&lt;wsp:rsid wsp:val=&quot;006B595C&quot;/&gt;&lt;wsp:rsid wsp:val=&quot;006B5B02&quot;/&gt;&lt;wsp:rsid wsp:val=&quot;006B5B3E&quot;/&gt;&lt;wsp:rsid wsp:val=&quot;006B6138&quot;/&gt;&lt;wsp:rsid wsp:val=&quot;006B660F&quot;/&gt;&lt;wsp:rsid wsp:val=&quot;006B67A5&quot;/&gt;&lt;wsp:rsid wsp:val=&quot;006B69B9&quot;/&gt;&lt;wsp:rsid wsp:val=&quot;006B6A63&quot;/&gt;&lt;wsp:rsid wsp:val=&quot;006B6C85&quot;/&gt;&lt;wsp:rsid wsp:val=&quot;006B6ECE&quot;/&gt;&lt;wsp:rsid wsp:val=&quot;006B6F30&quot;/&gt;&lt;wsp:rsid wsp:val=&quot;006B76FD&quot;/&gt;&lt;wsp:rsid wsp:val=&quot;006B7AD4&quot;/&gt;&lt;wsp:rsid wsp:val=&quot;006C00BF&quot;/&gt;&lt;wsp:rsid wsp:val=&quot;006C0191&quot;/&gt;&lt;wsp:rsid wsp:val=&quot;006C01B1&quot;/&gt;&lt;wsp:rsid wsp:val=&quot;006C05C4&quot;/&gt;&lt;wsp:rsid wsp:val=&quot;006C062C&quot;/&gt;&lt;wsp:rsid wsp:val=&quot;006C0771&quot;/&gt;&lt;wsp:rsid wsp:val=&quot;006C1095&quot;/&gt;&lt;wsp:rsid wsp:val=&quot;006C12C6&quot;/&gt;&lt;wsp:rsid wsp:val=&quot;006C1522&quot;/&gt;&lt;wsp:rsid wsp:val=&quot;006C1ECD&quot;/&gt;&lt;wsp:rsid wsp:val=&quot;006C20A0&quot;/&gt;&lt;wsp:rsid wsp:val=&quot;006C2549&quot;/&gt;&lt;wsp:rsid wsp:val=&quot;006C254F&quot;/&gt;&lt;wsp:rsid wsp:val=&quot;006C2893&quot;/&gt;&lt;wsp:rsid wsp:val=&quot;006C2AA7&quot;/&gt;&lt;wsp:rsid wsp:val=&quot;006C2BEC&quot;/&gt;&lt;wsp:rsid wsp:val=&quot;006C33CE&quot;/&gt;&lt;wsp:rsid wsp:val=&quot;006C357C&quot;/&gt;&lt;wsp:rsid wsp:val=&quot;006C361E&quot;/&gt;&lt;wsp:rsid wsp:val=&quot;006C3ED3&quot;/&gt;&lt;wsp:rsid wsp:val=&quot;006C5141&quot;/&gt;&lt;wsp:rsid wsp:val=&quot;006C5191&quot;/&gt;&lt;wsp:rsid wsp:val=&quot;006C5F7C&quot;/&gt;&lt;wsp:rsid wsp:val=&quot;006C6093&quot;/&gt;&lt;wsp:rsid wsp:val=&quot;006C669D&quot;/&gt;&lt;wsp:rsid wsp:val=&quot;006C6EC7&quot;/&gt;&lt;wsp:rsid wsp:val=&quot;006C77A2&quot;/&gt;&lt;wsp:rsid wsp:val=&quot;006C7ABE&quot;/&gt;&lt;wsp:rsid wsp:val=&quot;006C7C3B&quot;/&gt;&lt;wsp:rsid wsp:val=&quot;006D0013&quot;/&gt;&lt;wsp:rsid wsp:val=&quot;006D081C&quot;/&gt;&lt;wsp:rsid wsp:val=&quot;006D15EF&quot;/&gt;&lt;wsp:rsid wsp:val=&quot;006D1757&quot;/&gt;&lt;wsp:rsid wsp:val=&quot;006D1C73&quot;/&gt;&lt;wsp:rsid wsp:val=&quot;006D1E4A&quot;/&gt;&lt;wsp:rsid wsp:val=&quot;006D209C&quot;/&gt;&lt;wsp:rsid wsp:val=&quot;006D226C&quot;/&gt;&lt;wsp:rsid wsp:val=&quot;006D26AD&quot;/&gt;&lt;wsp:rsid wsp:val=&quot;006D2947&quot;/&gt;&lt;wsp:rsid wsp:val=&quot;006D2A72&quot;/&gt;&lt;wsp:rsid wsp:val=&quot;006D2A7F&quot;/&gt;&lt;wsp:rsid wsp:val=&quot;006D2B78&quot;/&gt;&lt;wsp:rsid wsp:val=&quot;006D2E52&quot;/&gt;&lt;wsp:rsid wsp:val=&quot;006D36E8&quot;/&gt;&lt;wsp:rsid wsp:val=&quot;006D3E7D&quot;/&gt;&lt;wsp:rsid wsp:val=&quot;006D3F95&quot;/&gt;&lt;wsp:rsid wsp:val=&quot;006D410B&quot;/&gt;&lt;wsp:rsid wsp:val=&quot;006D43AB&quot;/&gt;&lt;wsp:rsid wsp:val=&quot;006D4695&quot;/&gt;&lt;wsp:rsid wsp:val=&quot;006D4746&quot;/&gt;&lt;wsp:rsid wsp:val=&quot;006D54A3&quot;/&gt;&lt;wsp:rsid wsp:val=&quot;006D54E8&quot;/&gt;&lt;wsp:rsid wsp:val=&quot;006D636C&quot;/&gt;&lt;wsp:rsid wsp:val=&quot;006D63D7&quot;/&gt;&lt;wsp:rsid wsp:val=&quot;006D685E&quot;/&gt;&lt;wsp:rsid wsp:val=&quot;006D68DB&quot;/&gt;&lt;wsp:rsid wsp:val=&quot;006D6A1E&quot;/&gt;&lt;wsp:rsid wsp:val=&quot;006D6C69&quot;/&gt;&lt;wsp:rsid wsp:val=&quot;006D6D66&quot;/&gt;&lt;wsp:rsid wsp:val=&quot;006D6EB7&quot;/&gt;&lt;wsp:rsid wsp:val=&quot;006D7689&quot;/&gt;&lt;wsp:rsid wsp:val=&quot;006E0634&quot;/&gt;&lt;wsp:rsid wsp:val=&quot;006E086C&quot;/&gt;&lt;wsp:rsid wsp:val=&quot;006E180D&quot;/&gt;&lt;wsp:rsid wsp:val=&quot;006E18EA&quot;/&gt;&lt;wsp:rsid wsp:val=&quot;006E1DFB&quot;/&gt;&lt;wsp:rsid wsp:val=&quot;006E1E8E&quot;/&gt;&lt;wsp:rsid wsp:val=&quot;006E26A7&quot;/&gt;&lt;wsp:rsid wsp:val=&quot;006E2832&quot;/&gt;&lt;wsp:rsid wsp:val=&quot;006E2EA0&quot;/&gt;&lt;wsp:rsid wsp:val=&quot;006E311D&quot;/&gt;&lt;wsp:rsid wsp:val=&quot;006E320C&quot;/&gt;&lt;wsp:rsid wsp:val=&quot;006E3245&quot;/&gt;&lt;wsp:rsid wsp:val=&quot;006E33A2&quot;/&gt;&lt;wsp:rsid wsp:val=&quot;006E35DA&quot;/&gt;&lt;wsp:rsid wsp:val=&quot;006E371D&quot;/&gt;&lt;wsp:rsid wsp:val=&quot;006E39D3&quot;/&gt;&lt;wsp:rsid wsp:val=&quot;006E3A49&quot;/&gt;&lt;wsp:rsid wsp:val=&quot;006E3C78&quot;/&gt;&lt;wsp:rsid wsp:val=&quot;006E41FB&quot;/&gt;&lt;wsp:rsid wsp:val=&quot;006E4295&quot;/&gt;&lt;wsp:rsid wsp:val=&quot;006E439A&quot;/&gt;&lt;wsp:rsid wsp:val=&quot;006E4844&quot;/&gt;&lt;wsp:rsid wsp:val=&quot;006E4B63&quot;/&gt;&lt;wsp:rsid wsp:val=&quot;006E4CD3&quot;/&gt;&lt;wsp:rsid wsp:val=&quot;006E4F57&quot;/&gt;&lt;wsp:rsid wsp:val=&quot;006E521E&quot;/&gt;&lt;wsp:rsid wsp:val=&quot;006E54C7&quot;/&gt;&lt;wsp:rsid wsp:val=&quot;006E58C0&quot;/&gt;&lt;wsp:rsid wsp:val=&quot;006E5A2F&quot;/&gt;&lt;wsp:rsid wsp:val=&quot;006E5A89&quot;/&gt;&lt;wsp:rsid wsp:val=&quot;006E5C7C&quot;/&gt;&lt;wsp:rsid wsp:val=&quot;006E5D25&quot;/&gt;&lt;wsp:rsid wsp:val=&quot;006E5D9B&quot;/&gt;&lt;wsp:rsid wsp:val=&quot;006E6D4F&quot;/&gt;&lt;wsp:rsid wsp:val=&quot;006E6D51&quot;/&gt;&lt;wsp:rsid wsp:val=&quot;006E6E20&quot;/&gt;&lt;wsp:rsid wsp:val=&quot;006E6E2A&quot;/&gt;&lt;wsp:rsid wsp:val=&quot;006E7567&quot;/&gt;&lt;wsp:rsid wsp:val=&quot;006F00AE&quot;/&gt;&lt;wsp:rsid wsp:val=&quot;006F07E7&quot;/&gt;&lt;wsp:rsid wsp:val=&quot;006F07E8&quot;/&gt;&lt;wsp:rsid wsp:val=&quot;006F0B29&quot;/&gt;&lt;wsp:rsid wsp:val=&quot;006F0BB2&quot;/&gt;&lt;wsp:rsid wsp:val=&quot;006F1257&quot;/&gt;&lt;wsp:rsid wsp:val=&quot;006F130F&quot;/&gt;&lt;wsp:rsid wsp:val=&quot;006F1669&quot;/&gt;&lt;wsp:rsid wsp:val=&quot;006F1828&quot;/&gt;&lt;wsp:rsid wsp:val=&quot;006F18DE&quot;/&gt;&lt;wsp:rsid wsp:val=&quot;006F1C57&quot;/&gt;&lt;wsp:rsid wsp:val=&quot;006F1E5F&quot;/&gt;&lt;wsp:rsid wsp:val=&quot;006F2839&quot;/&gt;&lt;wsp:rsid wsp:val=&quot;006F291C&quot;/&gt;&lt;wsp:rsid wsp:val=&quot;006F2D5F&quot;/&gt;&lt;wsp:rsid wsp:val=&quot;006F3637&quot;/&gt;&lt;wsp:rsid wsp:val=&quot;006F4419&quot;/&gt;&lt;wsp:rsid wsp:val=&quot;006F4495&quot;/&gt;&lt;wsp:rsid wsp:val=&quot;006F4E97&quot;/&gt;&lt;wsp:rsid wsp:val=&quot;006F5710&quot;/&gt;&lt;wsp:rsid wsp:val=&quot;006F5796&quot;/&gt;&lt;wsp:rsid wsp:val=&quot;006F5A23&quot;/&gt;&lt;wsp:rsid wsp:val=&quot;006F5D32&quot;/&gt;&lt;wsp:rsid wsp:val=&quot;006F5E6B&quot;/&gt;&lt;wsp:rsid wsp:val=&quot;006F5F7E&quot;/&gt;&lt;wsp:rsid wsp:val=&quot;006F61A7&quot;/&gt;&lt;wsp:rsid wsp:val=&quot;006F66DD&quot;/&gt;&lt;wsp:rsid wsp:val=&quot;006F6F6C&quot;/&gt;&lt;wsp:rsid wsp:val=&quot;006F74DE&quot;/&gt;&lt;wsp:rsid wsp:val=&quot;006F769C&quot;/&gt;&lt;wsp:rsid wsp:val=&quot;006F7778&quot;/&gt;&lt;wsp:rsid wsp:val=&quot;006F7CA7&quot;/&gt;&lt;wsp:rsid wsp:val=&quot;00700907&quot;/&gt;&lt;wsp:rsid wsp:val=&quot;00700C00&quot;/&gt;&lt;wsp:rsid wsp:val=&quot;00700D1A&quot;/&gt;&lt;wsp:rsid wsp:val=&quot;007013F4&quot;/&gt;&lt;wsp:rsid wsp:val=&quot;00701714&quot;/&gt;&lt;wsp:rsid wsp:val=&quot;007017F4&quot;/&gt;&lt;wsp:rsid wsp:val=&quot;00701BD4&quot;/&gt;&lt;wsp:rsid wsp:val=&quot;00701E52&quot;/&gt;&lt;wsp:rsid wsp:val=&quot;007020AC&quot;/&gt;&lt;wsp:rsid wsp:val=&quot;007027F1&quot;/&gt;&lt;wsp:rsid wsp:val=&quot;00702D57&quot;/&gt;&lt;wsp:rsid wsp:val=&quot;00702EDD&quot;/&gt;&lt;wsp:rsid wsp:val=&quot;00703226&quot;/&gt;&lt;wsp:rsid wsp:val=&quot;00703705&quot;/&gt;&lt;wsp:rsid wsp:val=&quot;0070387D&quot;/&gt;&lt;wsp:rsid wsp:val=&quot;00703A1B&quot;/&gt;&lt;wsp:rsid wsp:val=&quot;0070411E&quot;/&gt;&lt;wsp:rsid wsp:val=&quot;007042E0&quot;/&gt;&lt;wsp:rsid wsp:val=&quot;007044B9&quot;/&gt;&lt;wsp:rsid wsp:val=&quot;00704D54&quot;/&gt;&lt;wsp:rsid wsp:val=&quot;00705021&quot;/&gt;&lt;wsp:rsid wsp:val=&quot;007051F7&quot;/&gt;&lt;wsp:rsid wsp:val=&quot;00705341&quot;/&gt;&lt;wsp:rsid wsp:val=&quot;0070545F&quot;/&gt;&lt;wsp:rsid wsp:val=&quot;00705FC5&quot;/&gt;&lt;wsp:rsid wsp:val=&quot;00705FD4&quot;/&gt;&lt;wsp:rsid wsp:val=&quot;0070670F&quot;/&gt;&lt;wsp:rsid wsp:val=&quot;00707129&quot;/&gt;&lt;wsp:rsid wsp:val=&quot;007075A4&quot;/&gt;&lt;wsp:rsid wsp:val=&quot;00707623&quot;/&gt;&lt;wsp:rsid wsp:val=&quot;00707C79&quot;/&gt;&lt;wsp:rsid wsp:val=&quot;00707E25&quot;/&gt;&lt;wsp:rsid wsp:val=&quot;00707F4F&quot;/&gt;&lt;wsp:rsid wsp:val=&quot;00710A6A&quot;/&gt;&lt;wsp:rsid wsp:val=&quot;00710BE7&quot;/&gt;&lt;wsp:rsid wsp:val=&quot;00711A58&quot;/&gt;&lt;wsp:rsid wsp:val=&quot;00711BB1&quot;/&gt;&lt;wsp:rsid wsp:val=&quot;00712131&quot;/&gt;&lt;wsp:rsid wsp:val=&quot;007125C5&quot;/&gt;&lt;wsp:rsid wsp:val=&quot;007126F3&quot;/&gt;&lt;wsp:rsid wsp:val=&quot;00712CF5&quot;/&gt;&lt;wsp:rsid wsp:val=&quot;007133A4&quot;/&gt;&lt;wsp:rsid wsp:val=&quot;00713762&quot;/&gt;&lt;wsp:rsid wsp:val=&quot;00713A6C&quot;/&gt;&lt;wsp:rsid wsp:val=&quot;00714097&quot;/&gt;&lt;wsp:rsid wsp:val=&quot;007144E2&quot;/&gt;&lt;wsp:rsid wsp:val=&quot;007145A0&quot;/&gt;&lt;wsp:rsid wsp:val=&quot;00714960&quot;/&gt;&lt;wsp:rsid wsp:val=&quot;00714B14&quot;/&gt;&lt;wsp:rsid wsp:val=&quot;00714B81&quot;/&gt;&lt;wsp:rsid wsp:val=&quot;00714BC7&quot;/&gt;&lt;wsp:rsid wsp:val=&quot;00714D74&quot;/&gt;&lt;wsp:rsid wsp:val=&quot;007153E9&quot;/&gt;&lt;wsp:rsid wsp:val=&quot;007156FA&quot;/&gt;&lt;wsp:rsid wsp:val=&quot;007159BC&quot;/&gt;&lt;wsp:rsid wsp:val=&quot;007159D5&quot;/&gt;&lt;wsp:rsid wsp:val=&quot;00715DCF&quot;/&gt;&lt;wsp:rsid wsp:val=&quot;00715E2C&quot;/&gt;&lt;wsp:rsid wsp:val=&quot;00715E71&quot;/&gt;&lt;wsp:rsid wsp:val=&quot;00716358&quot;/&gt;&lt;wsp:rsid wsp:val=&quot;00716B47&quot;/&gt;&lt;wsp:rsid wsp:val=&quot;00716E9F&quot;/&gt;&lt;wsp:rsid wsp:val=&quot;007170C2&quot;/&gt;&lt;wsp:rsid wsp:val=&quot;0071733E&quot;/&gt;&lt;wsp:rsid wsp:val=&quot;00717779&quot;/&gt;&lt;wsp:rsid wsp:val=&quot;00717848&quot;/&gt;&lt;wsp:rsid wsp:val=&quot;00717D5F&quot;/&gt;&lt;wsp:rsid wsp:val=&quot;00717EFA&quot;/&gt;&lt;wsp:rsid wsp:val=&quot;00720301&quot;/&gt;&lt;wsp:rsid wsp:val=&quot;0072051C&quot;/&gt;&lt;wsp:rsid wsp:val=&quot;00720AAA&quot;/&gt;&lt;wsp:rsid wsp:val=&quot;00720D20&quot;/&gt;&lt;wsp:rsid wsp:val=&quot;00720E75&quot;/&gt;&lt;wsp:rsid wsp:val=&quot;00720ECB&quot;/&gt;&lt;wsp:rsid wsp:val=&quot;00720F71&quot;/&gt;&lt;wsp:rsid wsp:val=&quot;00721566&quot;/&gt;&lt;wsp:rsid wsp:val=&quot;00721717&quot;/&gt;&lt;wsp:rsid wsp:val=&quot;007218D9&quot;/&gt;&lt;wsp:rsid wsp:val=&quot;00721DC7&quot;/&gt;&lt;wsp:rsid wsp:val=&quot;0072220F&quot;/&gt;&lt;wsp:rsid wsp:val=&quot;00722AB5&quot;/&gt;&lt;wsp:rsid wsp:val=&quot;00722BBE&quot;/&gt;&lt;wsp:rsid wsp:val=&quot;00722C32&quot;/&gt;&lt;wsp:rsid wsp:val=&quot;00722CA8&quot;/&gt;&lt;wsp:rsid wsp:val=&quot;00723034&quot;/&gt;&lt;wsp:rsid wsp:val=&quot;007231FF&quot;/&gt;&lt;wsp:rsid wsp:val=&quot;00723360&quot;/&gt;&lt;wsp:rsid wsp:val=&quot;007234D9&quot;/&gt;&lt;wsp:rsid wsp:val=&quot;00723698&quot;/&gt;&lt;wsp:rsid wsp:val=&quot;00723858&quot;/&gt;&lt;wsp:rsid wsp:val=&quot;00723DB1&quot;/&gt;&lt;wsp:rsid wsp:val=&quot;00724343&quot;/&gt;&lt;wsp:rsid wsp:val=&quot;007247BE&quot;/&gt;&lt;wsp:rsid wsp:val=&quot;007248AD&quot;/&gt;&lt;wsp:rsid wsp:val=&quot;00724F79&quot;/&gt;&lt;wsp:rsid wsp:val=&quot;00725728&quot;/&gt;&lt;wsp:rsid wsp:val=&quot;007258DE&quot;/&gt;&lt;wsp:rsid wsp:val=&quot;00725C8F&quot;/&gt;&lt;wsp:rsid wsp:val=&quot;00725CB7&quot;/&gt;&lt;wsp:rsid wsp:val=&quot;00726540&quot;/&gt;&lt;wsp:rsid wsp:val=&quot;00726643&quot;/&gt;&lt;wsp:rsid wsp:val=&quot;00726775&quot;/&gt;&lt;wsp:rsid wsp:val=&quot;00726832&quot;/&gt;&lt;wsp:rsid wsp:val=&quot;00726C96&quot;/&gt;&lt;wsp:rsid wsp:val=&quot;00726DEE&quot;/&gt;&lt;wsp:rsid wsp:val=&quot;00726F22&quot;/&gt;&lt;wsp:rsid wsp:val=&quot;0072712D&quot;/&gt;&lt;wsp:rsid wsp:val=&quot;007276D4&quot;/&gt;&lt;wsp:rsid wsp:val=&quot;00727975&quot;/&gt;&lt;wsp:rsid wsp:val=&quot;00727D72&quot;/&gt;&lt;wsp:rsid wsp:val=&quot;00727E44&quot;/&gt;&lt;wsp:rsid wsp:val=&quot;0073045A&quot;/&gt;&lt;wsp:rsid wsp:val=&quot;00730487&quot;/&gt;&lt;wsp:rsid wsp:val=&quot;00730527&quot;/&gt;&lt;wsp:rsid wsp:val=&quot;00730CE2&quot;/&gt;&lt;wsp:rsid wsp:val=&quot;00731069&quot;/&gt;&lt;wsp:rsid wsp:val=&quot;0073158E&quot;/&gt;&lt;wsp:rsid wsp:val=&quot;007316AC&quot;/&gt;&lt;wsp:rsid wsp:val=&quot;00731AB7&quot;/&gt;&lt;wsp:rsid wsp:val=&quot;00731DBA&quot;/&gt;&lt;wsp:rsid wsp:val=&quot;00732375&quot;/&gt;&lt;wsp:rsid wsp:val=&quot;00732535&quot;/&gt;&lt;wsp:rsid wsp:val=&quot;007328C7&quot;/&gt;&lt;wsp:rsid wsp:val=&quot;00732A0B&quot;/&gt;&lt;wsp:rsid wsp:val=&quot;00732AA4&quot;/&gt;&lt;wsp:rsid wsp:val=&quot;00732D14&quot;/&gt;&lt;wsp:rsid wsp:val=&quot;00732ED4&quot;/&gt;&lt;wsp:rsid wsp:val=&quot;007333B4&quot;/&gt;&lt;wsp:rsid wsp:val=&quot;0073364D&quot;/&gt;&lt;wsp:rsid wsp:val=&quot;007336CF&quot;/&gt;&lt;wsp:rsid wsp:val=&quot;00733801&quot;/&gt;&lt;wsp:rsid wsp:val=&quot;00733804&quot;/&gt;&lt;wsp:rsid wsp:val=&quot;00733C32&quot;/&gt;&lt;wsp:rsid wsp:val=&quot;00733D0E&quot;/&gt;&lt;wsp:rsid wsp:val=&quot;00734556&quot;/&gt;&lt;wsp:rsid wsp:val=&quot;0073475A&quot;/&gt;&lt;wsp:rsid wsp:val=&quot;0073476E&quot;/&gt;&lt;wsp:rsid wsp:val=&quot;00734850&quot;/&gt;&lt;wsp:rsid wsp:val=&quot;00734ADF&quot;/&gt;&lt;wsp:rsid wsp:val=&quot;00734E89&quot;/&gt;&lt;wsp:rsid wsp:val=&quot;00734F23&quot;/&gt;&lt;wsp:rsid wsp:val=&quot;0073530E&quot;/&gt;&lt;wsp:rsid wsp:val=&quot;00735DB4&quot;/&gt;&lt;wsp:rsid wsp:val=&quot;00735DE3&quot;/&gt;&lt;wsp:rsid wsp:val=&quot;00736038&quot;/&gt;&lt;wsp:rsid wsp:val=&quot;007362F7&quot;/&gt;&lt;wsp:rsid wsp:val=&quot;0073654D&quot;/&gt;&lt;wsp:rsid wsp:val=&quot;007365A5&quot;/&gt;&lt;wsp:rsid wsp:val=&quot;007369BB&quot;/&gt;&lt;wsp:rsid wsp:val=&quot;007369C1&quot;/&gt;&lt;wsp:rsid wsp:val=&quot;007369D0&quot;/&gt;&lt;wsp:rsid wsp:val=&quot;00736A59&quot;/&gt;&lt;wsp:rsid wsp:val=&quot;0073718A&quot;/&gt;&lt;wsp:rsid wsp:val=&quot;007372BD&quot;/&gt;&lt;wsp:rsid wsp:val=&quot;007372F8&quot;/&gt;&lt;wsp:rsid wsp:val=&quot;007375D7&quot;/&gt;&lt;wsp:rsid wsp:val=&quot;007378B2&quot;/&gt;&lt;wsp:rsid wsp:val=&quot;007378FC&quot;/&gt;&lt;wsp:rsid wsp:val=&quot;00737A1C&quot;/&gt;&lt;wsp:rsid wsp:val=&quot;00737D10&quot;/&gt;&lt;wsp:rsid wsp:val=&quot;00737E00&quot;/&gt;&lt;wsp:rsid wsp:val=&quot;0074009A&quot;/&gt;&lt;wsp:rsid wsp:val=&quot;007401BD&quot;/&gt;&lt;wsp:rsid wsp:val=&quot;00740293&quot;/&gt;&lt;wsp:rsid wsp:val=&quot;00740509&quot;/&gt;&lt;wsp:rsid wsp:val=&quot;00740A70&quot;/&gt;&lt;wsp:rsid wsp:val=&quot;00740CF5&quot;/&gt;&lt;wsp:rsid wsp:val=&quot;007410A8&quot;/&gt;&lt;wsp:rsid wsp:val=&quot;0074117D&quot;/&gt;&lt;wsp:rsid wsp:val=&quot;0074170F&quot;/&gt;&lt;wsp:rsid wsp:val=&quot;007423C7&quot;/&gt;&lt;wsp:rsid wsp:val=&quot;00742573&quot;/&gt;&lt;wsp:rsid wsp:val=&quot;00742AE6&quot;/&gt;&lt;wsp:rsid wsp:val=&quot;00742F23&quot;/&gt;&lt;wsp:rsid wsp:val=&quot;00743205&quot;/&gt;&lt;wsp:rsid wsp:val=&quot;007432C3&quot;/&gt;&lt;wsp:rsid wsp:val=&quot;007436C2&quot;/&gt;&lt;wsp:rsid wsp:val=&quot;00743C1C&quot;/&gt;&lt;wsp:rsid wsp:val=&quot;00744224&quot;/&gt;&lt;wsp:rsid wsp:val=&quot;0074458F&quot;/&gt;&lt;wsp:rsid wsp:val=&quot;00744599&quot;/&gt;&lt;wsp:rsid wsp:val=&quot;0074542A&quot;/&gt;&lt;wsp:rsid wsp:val=&quot;007456B3&quot;/&gt;&lt;wsp:rsid wsp:val=&quot;00745A90&quot;/&gt;&lt;wsp:rsid wsp:val=&quot;00745BB5&quot;/&gt;&lt;wsp:rsid wsp:val=&quot;00745C45&quot;/&gt;&lt;wsp:rsid wsp:val=&quot;00745E43&quot;/&gt;&lt;wsp:rsid wsp:val=&quot;00745E84&quot;/&gt;&lt;wsp:rsid wsp:val=&quot;0074606C&quot;/&gt;&lt;wsp:rsid wsp:val=&quot;00746235&quot;/&gt;&lt;wsp:rsid wsp:val=&quot;007462D6&quot;/&gt;&lt;wsp:rsid wsp:val=&quot;0074641C&quot;/&gt;&lt;wsp:rsid wsp:val=&quot;00746441&quot;/&gt;&lt;wsp:rsid wsp:val=&quot;00746896&quot;/&gt;&lt;wsp:rsid wsp:val=&quot;0074697A&quot;/&gt;&lt;wsp:rsid wsp:val=&quot;00746AD9&quot;/&gt;&lt;wsp:rsid wsp:val=&quot;00747900&quot;/&gt;&lt;wsp:rsid wsp:val=&quot;00747BCE&quot;/&gt;&lt;wsp:rsid wsp:val=&quot;00747E96&quot;/&gt;&lt;wsp:rsid wsp:val=&quot;0075014A&quot;/&gt;&lt;wsp:rsid wsp:val=&quot;007508DC&quot;/&gt;&lt;wsp:rsid wsp:val=&quot;0075112E&quot;/&gt;&lt;wsp:rsid wsp:val=&quot;00751224&quot;/&gt;&lt;wsp:rsid wsp:val=&quot;007512C6&quot;/&gt;&lt;wsp:rsid wsp:val=&quot;00751394&quot;/&gt;&lt;wsp:rsid wsp:val=&quot;007513EF&quot;/&gt;&lt;wsp:rsid wsp:val=&quot;00751753&quot;/&gt;&lt;wsp:rsid wsp:val=&quot;00751B06&quot;/&gt;&lt;wsp:rsid wsp:val=&quot;00751C38&quot;/&gt;&lt;wsp:rsid wsp:val=&quot;00752BAE&quot;/&gt;&lt;wsp:rsid wsp:val=&quot;00752D85&quot;/&gt;&lt;wsp:rsid wsp:val=&quot;0075302E&quot;/&gt;&lt;wsp:rsid wsp:val=&quot;007536D0&quot;/&gt;&lt;wsp:rsid wsp:val=&quot;00753B06&quot;/&gt;&lt;wsp:rsid wsp:val=&quot;00753B30&quot;/&gt;&lt;wsp:rsid wsp:val=&quot;00753F1B&quot;/&gt;&lt;wsp:rsid wsp:val=&quot;00754243&quot;/&gt;&lt;wsp:rsid wsp:val=&quot;00754335&quot;/&gt;&lt;wsp:rsid wsp:val=&quot;00754F43&quot;/&gt;&lt;wsp:rsid wsp:val=&quot;00755225&quot;/&gt;&lt;wsp:rsid wsp:val=&quot;007554A3&quot;/&gt;&lt;wsp:rsid wsp:val=&quot;00755B84&quot;/&gt;&lt;wsp:rsid wsp:val=&quot;00755D24&quot;/&gt;&lt;wsp:rsid wsp:val=&quot;00756554&quot;/&gt;&lt;wsp:rsid wsp:val=&quot;00756F92&quot;/&gt;&lt;wsp:rsid wsp:val=&quot;00757024&quot;/&gt;&lt;wsp:rsid wsp:val=&quot;007571C5&quot;/&gt;&lt;wsp:rsid wsp:val=&quot;00757301&quot;/&gt;&lt;wsp:rsid wsp:val=&quot;0075733E&quot;/&gt;&lt;wsp:rsid wsp:val=&quot;00757D6C&quot;/&gt;&lt;wsp:rsid wsp:val=&quot;00757E2A&quot;/&gt;&lt;wsp:rsid wsp:val=&quot;00757E50&quot;/&gt;&lt;wsp:rsid wsp:val=&quot;0076005D&quot;/&gt;&lt;wsp:rsid wsp:val=&quot;00760420&quot;/&gt;&lt;wsp:rsid wsp:val=&quot;00760BD6&quot;/&gt;&lt;wsp:rsid wsp:val=&quot;00760BE7&quot;/&gt;&lt;wsp:rsid wsp:val=&quot;00760CE4&quot;/&gt;&lt;wsp:rsid wsp:val=&quot;00760EDD&quot;/&gt;&lt;wsp:rsid wsp:val=&quot;00761063&quot;/&gt;&lt;wsp:rsid wsp:val=&quot;00761912&quot;/&gt;&lt;wsp:rsid wsp:val=&quot;00761B07&quot;/&gt;&lt;wsp:rsid wsp:val=&quot;00761F1D&quot;/&gt;&lt;wsp:rsid wsp:val=&quot;00761FED&quot;/&gt;&lt;wsp:rsid wsp:val=&quot;0076227B&quot;/&gt;&lt;wsp:rsid wsp:val=&quot;00762318&quot;/&gt;&lt;wsp:rsid wsp:val=&quot;007623C9&quot;/&gt;&lt;wsp:rsid wsp:val=&quot;0076240E&quot;/&gt;&lt;wsp:rsid wsp:val=&quot;00762612&quot;/&gt;&lt;wsp:rsid wsp:val=&quot;00762CA7&quot;/&gt;&lt;wsp:rsid wsp:val=&quot;00762CF6&quot;/&gt;&lt;wsp:rsid wsp:val=&quot;00762ED6&quot;/&gt;&lt;wsp:rsid wsp:val=&quot;00763055&quot;/&gt;&lt;wsp:rsid wsp:val=&quot;00763252&quot;/&gt;&lt;wsp:rsid wsp:val=&quot;00763A2C&quot;/&gt;&lt;wsp:rsid wsp:val=&quot;00763B3C&quot;/&gt;&lt;wsp:rsid wsp:val=&quot;00763BC7&quot;/&gt;&lt;wsp:rsid wsp:val=&quot;00763D97&quot;/&gt;&lt;wsp:rsid wsp:val=&quot;00763F9F&quot;/&gt;&lt;wsp:rsid wsp:val=&quot;0076423F&quot;/&gt;&lt;wsp:rsid wsp:val=&quot;007643C0&quot;/&gt;&lt;wsp:rsid wsp:val=&quot;007643C5&quot;/&gt;&lt;wsp:rsid wsp:val=&quot;007646D3&quot;/&gt;&lt;wsp:rsid wsp:val=&quot;00764701&quot;/&gt;&lt;wsp:rsid wsp:val=&quot;00764862&quot;/&gt;&lt;wsp:rsid wsp:val=&quot;00764A8F&quot;/&gt;&lt;wsp:rsid wsp:val=&quot;00764B34&quot;/&gt;&lt;wsp:rsid wsp:val=&quot;00764C33&quot;/&gt;&lt;wsp:rsid wsp:val=&quot;00764D51&quot;/&gt;&lt;wsp:rsid wsp:val=&quot;00764D91&quot;/&gt;&lt;wsp:rsid wsp:val=&quot;00764DD5&quot;/&gt;&lt;wsp:rsid wsp:val=&quot;00764E3F&quot;/&gt;&lt;wsp:rsid wsp:val=&quot;00764FCE&quot;/&gt;&lt;wsp:rsid wsp:val=&quot;0076556F&quot;/&gt;&lt;wsp:rsid wsp:val=&quot;00765719&quot;/&gt;&lt;wsp:rsid wsp:val=&quot;00765832&quot;/&gt;&lt;wsp:rsid wsp:val=&quot;0076596A&quot;/&gt;&lt;wsp:rsid wsp:val=&quot;00765DBC&quot;/&gt;&lt;wsp:rsid wsp:val=&quot;0076670C&quot;/&gt;&lt;wsp:rsid wsp:val=&quot;00766EFE&quot;/&gt;&lt;wsp:rsid wsp:val=&quot;00767339&quot;/&gt;&lt;wsp:rsid wsp:val=&quot;00767E15&quot;/&gt;&lt;wsp:rsid wsp:val=&quot;00767EF4&quot;/&gt;&lt;wsp:rsid wsp:val=&quot;0077003D&quot;/&gt;&lt;wsp:rsid wsp:val=&quot;007708BC&quot;/&gt;&lt;wsp:rsid wsp:val=&quot;007712D3&quot;/&gt;&lt;wsp:rsid wsp:val=&quot;007713CB&quot;/&gt;&lt;wsp:rsid wsp:val=&quot;0077174E&quot;/&gt;&lt;wsp:rsid wsp:val=&quot;00771AE3&quot;/&gt;&lt;wsp:rsid wsp:val=&quot;00771B46&quot;/&gt;&lt;wsp:rsid wsp:val=&quot;0077205B&quot;/&gt;&lt;wsp:rsid wsp:val=&quot;007722DE&quot;/&gt;&lt;wsp:rsid wsp:val=&quot;00772770&quot;/&gt;&lt;wsp:rsid wsp:val=&quot;00772A5D&quot;/&gt;&lt;wsp:rsid wsp:val=&quot;00772B4D&quot;/&gt;&lt;wsp:rsid wsp:val=&quot;00772EF5&quot;/&gt;&lt;wsp:rsid wsp:val=&quot;0077325B&quot;/&gt;&lt;wsp:rsid wsp:val=&quot;007733FF&quot;/&gt;&lt;wsp:rsid wsp:val=&quot;0077341D&quot;/&gt;&lt;wsp:rsid wsp:val=&quot;007735EF&quot;/&gt;&lt;wsp:rsid wsp:val=&quot;0077368F&quot;/&gt;&lt;wsp:rsid wsp:val=&quot;007736B1&quot;/&gt;&lt;wsp:rsid wsp:val=&quot;007737C1&quot;/&gt;&lt;wsp:rsid wsp:val=&quot;00773CB5&quot;/&gt;&lt;wsp:rsid wsp:val=&quot;00773EE9&quot;/&gt;&lt;wsp:rsid wsp:val=&quot;00773F92&quot;/&gt;&lt;wsp:rsid wsp:val=&quot;00773FB6&quot;/&gt;&lt;wsp:rsid wsp:val=&quot;0077401E&quot;/&gt;&lt;wsp:rsid wsp:val=&quot;00774436&quot;/&gt;&lt;wsp:rsid wsp:val=&quot;00774BC0&quot;/&gt;&lt;wsp:rsid wsp:val=&quot;00774D56&quot;/&gt;&lt;wsp:rsid wsp:val=&quot;007750CC&quot;/&gt;&lt;wsp:rsid wsp:val=&quot;0077534F&quot;/&gt;&lt;wsp:rsid wsp:val=&quot;00775784&quot;/&gt;&lt;wsp:rsid wsp:val=&quot;007758D1&quot;/&gt;&lt;wsp:rsid wsp:val=&quot;00775A32&quot;/&gt;&lt;wsp:rsid wsp:val=&quot;00775AAA&quot;/&gt;&lt;wsp:rsid wsp:val=&quot;00775E17&quot;/&gt;&lt;wsp:rsid wsp:val=&quot;00775FE1&quot;/&gt;&lt;wsp:rsid wsp:val=&quot;00776037&quot;/&gt;&lt;wsp:rsid wsp:val=&quot;00776370&quot;/&gt;&lt;wsp:rsid wsp:val=&quot;007766CF&quot;/&gt;&lt;wsp:rsid wsp:val=&quot;00776D5E&quot;/&gt;&lt;wsp:rsid wsp:val=&quot;00776D66&quot;/&gt;&lt;wsp:rsid wsp:val=&quot;00777421&quot;/&gt;&lt;wsp:rsid wsp:val=&quot;007777D9&quot;/&gt;&lt;wsp:rsid wsp:val=&quot;007777EA&quot;/&gt;&lt;wsp:rsid wsp:val=&quot;007801B0&quot;/&gt;&lt;wsp:rsid wsp:val=&quot;007803DE&quot;/&gt;&lt;wsp:rsid wsp:val=&quot;00780725&quot;/&gt;&lt;wsp:rsid wsp:val=&quot;00780C90&quot;/&gt;&lt;wsp:rsid wsp:val=&quot;00780F45&quot;/&gt;&lt;wsp:rsid wsp:val=&quot;00780F93&quot;/&gt;&lt;wsp:rsid wsp:val=&quot;00781180&quot;/&gt;&lt;wsp:rsid wsp:val=&quot;007812D4&quot;/&gt;&lt;wsp:rsid wsp:val=&quot;0078134A&quot;/&gt;&lt;wsp:rsid wsp:val=&quot;00781E85&quot;/&gt;&lt;wsp:rsid wsp:val=&quot;007822F1&quot;/&gt;&lt;wsp:rsid wsp:val=&quot;007825AC&quot;/&gt;&lt;wsp:rsid wsp:val=&quot;0078282E&quot;/&gt;&lt;wsp:rsid wsp:val=&quot;0078289F&quot;/&gt;&lt;wsp:rsid wsp:val=&quot;00782E11&quot;/&gt;&lt;wsp:rsid wsp:val=&quot;0078331E&quot;/&gt;&lt;wsp:rsid wsp:val=&quot;00783528&quot;/&gt;&lt;wsp:rsid wsp:val=&quot;0078376F&quot;/&gt;&lt;wsp:rsid wsp:val=&quot;007839B8&quot;/&gt;&lt;wsp:rsid wsp:val=&quot;007847FD&quot;/&gt;&lt;wsp:rsid wsp:val=&quot;0078487F&quot;/&gt;&lt;wsp:rsid wsp:val=&quot;00784AAE&quot;/&gt;&lt;wsp:rsid wsp:val=&quot;007850AF&quot;/&gt;&lt;wsp:rsid wsp:val=&quot;0078552C&quot;/&gt;&lt;wsp:rsid wsp:val=&quot;00785862&quot;/&gt;&lt;wsp:rsid wsp:val=&quot;00785AA9&quot;/&gt;&lt;wsp:rsid wsp:val=&quot;00785AD3&quot;/&gt;&lt;wsp:rsid wsp:val=&quot;00785DA7&quot;/&gt;&lt;wsp:rsid wsp:val=&quot;00785F57&quot;/&gt;&lt;wsp:rsid wsp:val=&quot;00786231&quot;/&gt;&lt;wsp:rsid wsp:val=&quot;00786707&quot;/&gt;&lt;wsp:rsid wsp:val=&quot;00786A04&quot;/&gt;&lt;wsp:rsid wsp:val=&quot;00786BB2&quot;/&gt;&lt;wsp:rsid wsp:val=&quot;00787174&quot;/&gt;&lt;wsp:rsid wsp:val=&quot;007872C0&quot;/&gt;&lt;wsp:rsid wsp:val=&quot;00787318&quot;/&gt;&lt;wsp:rsid wsp:val=&quot;00787440&quot;/&gt;&lt;wsp:rsid wsp:val=&quot;00787935&quot;/&gt;&lt;wsp:rsid wsp:val=&quot;00787A5A&quot;/&gt;&lt;wsp:rsid wsp:val=&quot;00787E07&quot;/&gt;&lt;wsp:rsid wsp:val=&quot;007903D7&quot;/&gt;&lt;wsp:rsid wsp:val=&quot;007907DA&quot;/&gt;&lt;wsp:rsid wsp:val=&quot;00790922&quot;/&gt;&lt;wsp:rsid wsp:val=&quot;00790AD6&quot;/&gt;&lt;wsp:rsid wsp:val=&quot;00790B02&quot;/&gt;&lt;wsp:rsid wsp:val=&quot;00790E0B&quot;/&gt;&lt;wsp:rsid wsp:val=&quot;00791069&quot;/&gt;&lt;wsp:rsid wsp:val=&quot;007922A2&quot;/&gt;&lt;wsp:rsid wsp:val=&quot;00792975&quot;/&gt;&lt;wsp:rsid wsp:val=&quot;00792A32&quot;/&gt;&lt;wsp:rsid wsp:val=&quot;00792BE9&quot;/&gt;&lt;wsp:rsid wsp:val=&quot;00792C66&quot;/&gt;&lt;wsp:rsid wsp:val=&quot;00792F7E&quot;/&gt;&lt;wsp:rsid wsp:val=&quot;00792FEE&quot;/&gt;&lt;wsp:rsid wsp:val=&quot;0079373C&quot;/&gt;&lt;wsp:rsid wsp:val=&quot;00793773&quot;/&gt;&lt;wsp:rsid wsp:val=&quot;00793DA9&quot;/&gt;&lt;wsp:rsid wsp:val=&quot;00794559&quot;/&gt;&lt;wsp:rsid wsp:val=&quot;0079487B&quot;/&gt;&lt;wsp:rsid wsp:val=&quot;00794BC0&quot;/&gt;&lt;wsp:rsid wsp:val=&quot;00794BEC&quot;/&gt;&lt;wsp:rsid wsp:val=&quot;00794EF8&quot;/&gt;&lt;wsp:rsid wsp:val=&quot;00795215&quot;/&gt;&lt;wsp:rsid wsp:val=&quot;0079539F&quot;/&gt;&lt;wsp:rsid wsp:val=&quot;00795433&quot;/&gt;&lt;wsp:rsid wsp:val=&quot;0079573F&quot;/&gt;&lt;wsp:rsid wsp:val=&quot;00795EF8&quot;/&gt;&lt;wsp:rsid wsp:val=&quot;0079662D&quot;/&gt;&lt;wsp:rsid wsp:val=&quot;00796954&quot;/&gt;&lt;wsp:rsid wsp:val=&quot;007969A1&quot;/&gt;&lt;wsp:rsid wsp:val=&quot;00797587&quot;/&gt;&lt;wsp:rsid wsp:val=&quot;0079772A&quot;/&gt;&lt;wsp:rsid wsp:val=&quot;007977EE&quot;/&gt;&lt;wsp:rsid wsp:val=&quot;007A03CB&quot;/&gt;&lt;wsp:rsid wsp:val=&quot;007A046B&quot;/&gt;&lt;wsp:rsid wsp:val=&quot;007A0493&quot;/&gt;&lt;wsp:rsid wsp:val=&quot;007A0658&quot;/&gt;&lt;wsp:rsid wsp:val=&quot;007A0677&quot;/&gt;&lt;wsp:rsid wsp:val=&quot;007A19BF&quot;/&gt;&lt;wsp:rsid wsp:val=&quot;007A1CE1&quot;/&gt;&lt;wsp:rsid wsp:val=&quot;007A209B&quot;/&gt;&lt;wsp:rsid wsp:val=&quot;007A24DC&quot;/&gt;&lt;wsp:rsid wsp:val=&quot;007A29D5&quot;/&gt;&lt;wsp:rsid wsp:val=&quot;007A2AFD&quot;/&gt;&lt;wsp:rsid wsp:val=&quot;007A2E34&quot;/&gt;&lt;wsp:rsid wsp:val=&quot;007A2F54&quot;/&gt;&lt;wsp:rsid wsp:val=&quot;007A340D&quot;/&gt;&lt;wsp:rsid wsp:val=&quot;007A3481&quot;/&gt;&lt;wsp:rsid wsp:val=&quot;007A353A&quot;/&gt;&lt;wsp:rsid wsp:val=&quot;007A39E2&quot;/&gt;&lt;wsp:rsid wsp:val=&quot;007A3A60&quot;/&gt;&lt;wsp:rsid wsp:val=&quot;007A3C15&quot;/&gt;&lt;wsp:rsid wsp:val=&quot;007A4178&quot;/&gt;&lt;wsp:rsid wsp:val=&quot;007A435C&quot;/&gt;&lt;wsp:rsid wsp:val=&quot;007A586B&quot;/&gt;&lt;wsp:rsid wsp:val=&quot;007A6453&quot;/&gt;&lt;wsp:rsid wsp:val=&quot;007A677B&quot;/&gt;&lt;wsp:rsid wsp:val=&quot;007A6A0B&quot;/&gt;&lt;wsp:rsid wsp:val=&quot;007A6E31&quot;/&gt;&lt;wsp:rsid wsp:val=&quot;007A6FE8&quot;/&gt;&lt;wsp:rsid wsp:val=&quot;007A72AA&quot;/&gt;&lt;wsp:rsid wsp:val=&quot;007A72EC&quot;/&gt;&lt;wsp:rsid wsp:val=&quot;007A73A7&quot;/&gt;&lt;wsp:rsid wsp:val=&quot;007A7A17&quot;/&gt;&lt;wsp:rsid wsp:val=&quot;007A7B90&quot;/&gt;&lt;wsp:rsid wsp:val=&quot;007B019A&quot;/&gt;&lt;wsp:rsid wsp:val=&quot;007B0610&quot;/&gt;&lt;wsp:rsid wsp:val=&quot;007B07BD&quot;/&gt;&lt;wsp:rsid wsp:val=&quot;007B0814&quot;/&gt;&lt;wsp:rsid wsp:val=&quot;007B0ABE&quot;/&gt;&lt;wsp:rsid wsp:val=&quot;007B16A9&quot;/&gt;&lt;wsp:rsid wsp:val=&quot;007B211A&quot;/&gt;&lt;wsp:rsid wsp:val=&quot;007B2583&quot;/&gt;&lt;wsp:rsid wsp:val=&quot;007B275C&quot;/&gt;&lt;wsp:rsid wsp:val=&quot;007B307E&quot;/&gt;&lt;wsp:rsid wsp:val=&quot;007B33FF&quot;/&gt;&lt;wsp:rsid wsp:val=&quot;007B3610&quot;/&gt;&lt;wsp:rsid wsp:val=&quot;007B38D1&quot;/&gt;&lt;wsp:rsid wsp:val=&quot;007B3B6A&quot;/&gt;&lt;wsp:rsid wsp:val=&quot;007B3BDC&quot;/&gt;&lt;wsp:rsid wsp:val=&quot;007B3F99&quot;/&gt;&lt;wsp:rsid wsp:val=&quot;007B42E4&quot;/&gt;&lt;wsp:rsid wsp:val=&quot;007B50D5&quot;/&gt;&lt;wsp:rsid wsp:val=&quot;007B50D6&quot;/&gt;&lt;wsp:rsid wsp:val=&quot;007B5141&quot;/&gt;&lt;wsp:rsid wsp:val=&quot;007B5358&quot;/&gt;&lt;wsp:rsid wsp:val=&quot;007B54A0&quot;/&gt;&lt;wsp:rsid wsp:val=&quot;007B580B&quot;/&gt;&lt;wsp:rsid wsp:val=&quot;007B5B44&quot;/&gt;&lt;wsp:rsid wsp:val=&quot;007B5E24&quot;/&gt;&lt;wsp:rsid wsp:val=&quot;007B69CA&quot;/&gt;&lt;wsp:rsid wsp:val=&quot;007B6B46&quot;/&gt;&lt;wsp:rsid wsp:val=&quot;007B741A&quot;/&gt;&lt;wsp:rsid wsp:val=&quot;007B771F&quot;/&gt;&lt;wsp:rsid wsp:val=&quot;007B7D7F&quot;/&gt;&lt;wsp:rsid wsp:val=&quot;007B7E7D&quot;/&gt;&lt;wsp:rsid wsp:val=&quot;007B7FCB&quot;/&gt;&lt;wsp:rsid wsp:val=&quot;007C0CFB&quot;/&gt;&lt;wsp:rsid wsp:val=&quot;007C0FF4&quot;/&gt;&lt;wsp:rsid wsp:val=&quot;007C11C8&quot;/&gt;&lt;wsp:rsid wsp:val=&quot;007C1591&quot;/&gt;&lt;wsp:rsid wsp:val=&quot;007C20DB&quot;/&gt;&lt;wsp:rsid wsp:val=&quot;007C23CA&quot;/&gt;&lt;wsp:rsid wsp:val=&quot;007C29E7&quot;/&gt;&lt;wsp:rsid wsp:val=&quot;007C2ECB&quot;/&gt;&lt;wsp:rsid wsp:val=&quot;007C2EEE&quot;/&gt;&lt;wsp:rsid wsp:val=&quot;007C32BA&quot;/&gt;&lt;wsp:rsid wsp:val=&quot;007C3367&quot;/&gt;&lt;wsp:rsid wsp:val=&quot;007C364E&quot;/&gt;&lt;wsp:rsid wsp:val=&quot;007C36B1&quot;/&gt;&lt;wsp:rsid wsp:val=&quot;007C3722&quot;/&gt;&lt;wsp:rsid wsp:val=&quot;007C3747&quot;/&gt;&lt;wsp:rsid wsp:val=&quot;007C38D9&quot;/&gt;&lt;wsp:rsid wsp:val=&quot;007C3DE5&quot;/&gt;&lt;wsp:rsid wsp:val=&quot;007C4074&quot;/&gt;&lt;wsp:rsid wsp:val=&quot;007C4F5A&quot;/&gt;&lt;wsp:rsid wsp:val=&quot;007C50F4&quot;/&gt;&lt;wsp:rsid wsp:val=&quot;007C5200&quot;/&gt;&lt;wsp:rsid wsp:val=&quot;007C5581&quot;/&gt;&lt;wsp:rsid wsp:val=&quot;007C5732&quot;/&gt;&lt;wsp:rsid wsp:val=&quot;007C5A5A&quot;/&gt;&lt;wsp:rsid wsp:val=&quot;007C5DA4&quot;/&gt;&lt;wsp:rsid wsp:val=&quot;007C5DD1&quot;/&gt;&lt;wsp:rsid wsp:val=&quot;007C6326&quot;/&gt;&lt;wsp:rsid wsp:val=&quot;007C684E&quot;/&gt;&lt;wsp:rsid wsp:val=&quot;007C6C41&quot;/&gt;&lt;wsp:rsid wsp:val=&quot;007C72F0&quot;/&gt;&lt;wsp:rsid wsp:val=&quot;007C73BA&quot;/&gt;&lt;wsp:rsid wsp:val=&quot;007C7797&quot;/&gt;&lt;wsp:rsid wsp:val=&quot;007C7A6B&quot;/&gt;&lt;wsp:rsid wsp:val=&quot;007C7C0D&quot;/&gt;&lt;wsp:rsid wsp:val=&quot;007D0152&quot;/&gt;&lt;wsp:rsid wsp:val=&quot;007D0A4F&quot;/&gt;&lt;wsp:rsid wsp:val=&quot;007D0CEE&quot;/&gt;&lt;wsp:rsid wsp:val=&quot;007D0E99&quot;/&gt;&lt;wsp:rsid wsp:val=&quot;007D0EC3&quot;/&gt;&lt;wsp:rsid wsp:val=&quot;007D124F&quot;/&gt;&lt;wsp:rsid wsp:val=&quot;007D12C0&quot;/&gt;&lt;wsp:rsid wsp:val=&quot;007D150B&quot;/&gt;&lt;wsp:rsid wsp:val=&quot;007D1607&quot;/&gt;&lt;wsp:rsid wsp:val=&quot;007D1645&quot;/&gt;&lt;wsp:rsid wsp:val=&quot;007D18E0&quot;/&gt;&lt;wsp:rsid wsp:val=&quot;007D1BC1&quot;/&gt;&lt;wsp:rsid wsp:val=&quot;007D1C66&quot;/&gt;&lt;wsp:rsid wsp:val=&quot;007D1CC7&quot;/&gt;&lt;wsp:rsid wsp:val=&quot;007D1CFA&quot;/&gt;&lt;wsp:rsid wsp:val=&quot;007D1E39&quot;/&gt;&lt;wsp:rsid wsp:val=&quot;007D2240&quot;/&gt;&lt;wsp:rsid wsp:val=&quot;007D22B0&quot;/&gt;&lt;wsp:rsid wsp:val=&quot;007D2504&quot;/&gt;&lt;wsp:rsid wsp:val=&quot;007D279A&quot;/&gt;&lt;wsp:rsid wsp:val=&quot;007D2ABA&quot;/&gt;&lt;wsp:rsid wsp:val=&quot;007D2ADC&quot;/&gt;&lt;wsp:rsid wsp:val=&quot;007D2D26&quot;/&gt;&lt;wsp:rsid wsp:val=&quot;007D2EB8&quot;/&gt;&lt;wsp:rsid wsp:val=&quot;007D2EC6&quot;/&gt;&lt;wsp:rsid wsp:val=&quot;007D3264&quot;/&gt;&lt;wsp:rsid wsp:val=&quot;007D32FF&quot;/&gt;&lt;wsp:rsid wsp:val=&quot;007D375C&quot;/&gt;&lt;wsp:rsid wsp:val=&quot;007D3C9B&quot;/&gt;&lt;wsp:rsid wsp:val=&quot;007D409B&quot;/&gt;&lt;wsp:rsid wsp:val=&quot;007D41AB&quot;/&gt;&lt;wsp:rsid wsp:val=&quot;007D4587&quot;/&gt;&lt;wsp:rsid wsp:val=&quot;007D47CB&quot;/&gt;&lt;wsp:rsid wsp:val=&quot;007D4BC7&quot;/&gt;&lt;wsp:rsid wsp:val=&quot;007D4C39&quot;/&gt;&lt;wsp:rsid wsp:val=&quot;007D4D48&quot;/&gt;&lt;wsp:rsid wsp:val=&quot;007D4DA5&quot;/&gt;&lt;wsp:rsid wsp:val=&quot;007D5948&quot;/&gt;&lt;wsp:rsid wsp:val=&quot;007D5B4C&quot;/&gt;&lt;wsp:rsid wsp:val=&quot;007D5C25&quot;/&gt;&lt;wsp:rsid wsp:val=&quot;007D5D86&quot;/&gt;&lt;wsp:rsid wsp:val=&quot;007D5EA0&quot;/&gt;&lt;wsp:rsid wsp:val=&quot;007D5FDB&quot;/&gt;&lt;wsp:rsid wsp:val=&quot;007D627E&quot;/&gt;&lt;wsp:rsid wsp:val=&quot;007D62FD&quot;/&gt;&lt;wsp:rsid wsp:val=&quot;007D6494&quot;/&gt;&lt;wsp:rsid wsp:val=&quot;007D64A7&quot;/&gt;&lt;wsp:rsid wsp:val=&quot;007D6508&quot;/&gt;&lt;wsp:rsid wsp:val=&quot;007D6C21&quot;/&gt;&lt;wsp:rsid wsp:val=&quot;007D716E&quot;/&gt;&lt;wsp:rsid wsp:val=&quot;007D7ACF&quot;/&gt;&lt;wsp:rsid wsp:val=&quot;007D7BCF&quot;/&gt;&lt;wsp:rsid wsp:val=&quot;007E00E4&quot;/&gt;&lt;wsp:rsid wsp:val=&quot;007E0268&quot;/&gt;&lt;wsp:rsid wsp:val=&quot;007E060E&quot;/&gt;&lt;wsp:rsid wsp:val=&quot;007E087A&quot;/&gt;&lt;wsp:rsid wsp:val=&quot;007E0969&quot;/&gt;&lt;wsp:rsid wsp:val=&quot;007E09FA&quot;/&gt;&lt;wsp:rsid wsp:val=&quot;007E1244&quot;/&gt;&lt;wsp:rsid wsp:val=&quot;007E1A43&quot;/&gt;&lt;wsp:rsid wsp:val=&quot;007E1A52&quot;/&gt;&lt;wsp:rsid wsp:val=&quot;007E1ADE&quot;/&gt;&lt;wsp:rsid wsp:val=&quot;007E1D43&quot;/&gt;&lt;wsp:rsid wsp:val=&quot;007E1D4D&quot;/&gt;&lt;wsp:rsid wsp:val=&quot;007E2123&quot;/&gt;&lt;wsp:rsid wsp:val=&quot;007E241C&quot;/&gt;&lt;wsp:rsid wsp:val=&quot;007E2834&quot;/&gt;&lt;wsp:rsid wsp:val=&quot;007E2BC4&quot;/&gt;&lt;wsp:rsid wsp:val=&quot;007E2DA6&quot;/&gt;&lt;wsp:rsid wsp:val=&quot;007E2FA4&quot;/&gt;&lt;wsp:rsid wsp:val=&quot;007E30B9&quot;/&gt;&lt;wsp:rsid wsp:val=&quot;007E3370&quot;/&gt;&lt;wsp:rsid wsp:val=&quot;007E3593&quot;/&gt;&lt;wsp:rsid wsp:val=&quot;007E3686&quot;/&gt;&lt;wsp:rsid wsp:val=&quot;007E3EA5&quot;/&gt;&lt;wsp:rsid wsp:val=&quot;007E3F11&quot;/&gt;&lt;wsp:rsid wsp:val=&quot;007E3F9E&quot;/&gt;&lt;wsp:rsid wsp:val=&quot;007E47F7&quot;/&gt;&lt;wsp:rsid wsp:val=&quot;007E48E6&quot;/&gt;&lt;wsp:rsid wsp:val=&quot;007E4A75&quot;/&gt;&lt;wsp:rsid wsp:val=&quot;007E4A99&quot;/&gt;&lt;wsp:rsid wsp:val=&quot;007E4C83&quot;/&gt;&lt;wsp:rsid wsp:val=&quot;007E4FF9&quot;/&gt;&lt;wsp:rsid wsp:val=&quot;007E56C3&quot;/&gt;&lt;wsp:rsid wsp:val=&quot;007E5D09&quot;/&gt;&lt;wsp:rsid wsp:val=&quot;007E5D15&quot;/&gt;&lt;wsp:rsid wsp:val=&quot;007E60E4&quot;/&gt;&lt;wsp:rsid wsp:val=&quot;007E61AF&quot;/&gt;&lt;wsp:rsid wsp:val=&quot;007E61DC&quot;/&gt;&lt;wsp:rsid wsp:val=&quot;007E6348&quot;/&gt;&lt;wsp:rsid wsp:val=&quot;007E63EE&quot;/&gt;&lt;wsp:rsid wsp:val=&quot;007E64B8&quot;/&gt;&lt;wsp:rsid wsp:val=&quot;007E6716&quot;/&gt;&lt;wsp:rsid wsp:val=&quot;007E67E9&quot;/&gt;&lt;wsp:rsid wsp:val=&quot;007E6845&quot;/&gt;&lt;wsp:rsid wsp:val=&quot;007E684D&quot;/&gt;&lt;wsp:rsid wsp:val=&quot;007E6ADF&quot;/&gt;&lt;wsp:rsid wsp:val=&quot;007E6AFE&quot;/&gt;&lt;wsp:rsid wsp:val=&quot;007E6EC8&quot;/&gt;&lt;wsp:rsid wsp:val=&quot;007E710C&quot;/&gt;&lt;wsp:rsid wsp:val=&quot;007E72A0&quot;/&gt;&lt;wsp:rsid wsp:val=&quot;007E7602&quot;/&gt;&lt;wsp:rsid wsp:val=&quot;007E769B&quot;/&gt;&lt;wsp:rsid wsp:val=&quot;007E76D6&quot;/&gt;&lt;wsp:rsid wsp:val=&quot;007E775F&quot;/&gt;&lt;wsp:rsid wsp:val=&quot;007E7799&quot;/&gt;&lt;wsp:rsid wsp:val=&quot;007E7C3A&quot;/&gt;&lt;wsp:rsid wsp:val=&quot;007F0137&quot;/&gt;&lt;wsp:rsid wsp:val=&quot;007F0F44&quot;/&gt;&lt;wsp:rsid wsp:val=&quot;007F13C7&quot;/&gt;&lt;wsp:rsid wsp:val=&quot;007F13E5&quot;/&gt;&lt;wsp:rsid wsp:val=&quot;007F1C37&quot;/&gt;&lt;wsp:rsid wsp:val=&quot;007F1C87&quot;/&gt;&lt;wsp:rsid wsp:val=&quot;007F1EB8&quot;/&gt;&lt;wsp:rsid wsp:val=&quot;007F2148&quot;/&gt;&lt;wsp:rsid wsp:val=&quot;007F2178&quot;/&gt;&lt;wsp:rsid wsp:val=&quot;007F2329&quot;/&gt;&lt;wsp:rsid wsp:val=&quot;007F2475&quot;/&gt;&lt;wsp:rsid wsp:val=&quot;007F28FE&quot;/&gt;&lt;wsp:rsid wsp:val=&quot;007F2C05&quot;/&gt;&lt;wsp:rsid wsp:val=&quot;007F2F0B&quot;/&gt;&lt;wsp:rsid wsp:val=&quot;007F3061&quot;/&gt;&lt;wsp:rsid wsp:val=&quot;007F31BC&quot;/&gt;&lt;wsp:rsid wsp:val=&quot;007F34DE&quot;/&gt;&lt;wsp:rsid wsp:val=&quot;007F390A&quot;/&gt;&lt;wsp:rsid wsp:val=&quot;007F4472&quot;/&gt;&lt;wsp:rsid wsp:val=&quot;007F4B96&quot;/&gt;&lt;wsp:rsid wsp:val=&quot;007F4F74&quot;/&gt;&lt;wsp:rsid wsp:val=&quot;007F5177&quot;/&gt;&lt;wsp:rsid wsp:val=&quot;007F60E6&quot;/&gt;&lt;wsp:rsid wsp:val=&quot;007F6270&quot;/&gt;&lt;wsp:rsid wsp:val=&quot;007F6404&quot;/&gt;&lt;wsp:rsid wsp:val=&quot;007F718E&quot;/&gt;&lt;wsp:rsid wsp:val=&quot;007F771F&quot;/&gt;&lt;wsp:rsid wsp:val=&quot;007F7A4C&quot;/&gt;&lt;wsp:rsid wsp:val=&quot;008001D8&quot;/&gt;&lt;wsp:rsid wsp:val=&quot;008006A8&quot;/&gt;&lt;wsp:rsid wsp:val=&quot;00800BB8&quot;/&gt;&lt;wsp:rsid wsp:val=&quot;00800E2C&quot;/&gt;&lt;wsp:rsid wsp:val=&quot;00800F0F&quot;/&gt;&lt;wsp:rsid wsp:val=&quot;00801002&quot;/&gt;&lt;wsp:rsid wsp:val=&quot;00802450&quot;/&gt;&lt;wsp:rsid wsp:val=&quot;008025B5&quot;/&gt;&lt;wsp:rsid wsp:val=&quot;0080274C&quot;/&gt;&lt;wsp:rsid wsp:val=&quot;00802CB7&quot;/&gt;&lt;wsp:rsid wsp:val=&quot;00802CDF&quot;/&gt;&lt;wsp:rsid wsp:val=&quot;00802E4A&quot;/&gt;&lt;wsp:rsid wsp:val=&quot;00802EE9&quot;/&gt;&lt;wsp:rsid wsp:val=&quot;00803A2E&quot;/&gt;&lt;wsp:rsid wsp:val=&quot;00803FF4&quot;/&gt;&lt;wsp:rsid wsp:val=&quot;0080414C&quot;/&gt;&lt;wsp:rsid wsp:val=&quot;008041B4&quot;/&gt;&lt;wsp:rsid wsp:val=&quot;008043C2&quot;/&gt;&lt;wsp:rsid wsp:val=&quot;00804428&quot;/&gt;&lt;wsp:rsid wsp:val=&quot;00804761&quot;/&gt;&lt;wsp:rsid wsp:val=&quot;008047A2&quot;/&gt;&lt;wsp:rsid wsp:val=&quot;00804A49&quot;/&gt;&lt;wsp:rsid wsp:val=&quot;00804C46&quot;/&gt;&lt;wsp:rsid wsp:val=&quot;008050C6&quot;/&gt;&lt;wsp:rsid wsp:val=&quot;0080576A&quot;/&gt;&lt;wsp:rsid wsp:val=&quot;00805848&quot;/&gt;&lt;wsp:rsid wsp:val=&quot;00806065&quot;/&gt;&lt;wsp:rsid wsp:val=&quot;00806A5A&quot;/&gt;&lt;wsp:rsid wsp:val=&quot;008071B3&quot;/&gt;&lt;wsp:rsid wsp:val=&quot;00807212&quot;/&gt;&lt;wsp:rsid wsp:val=&quot;0080760F&quot;/&gt;&lt;wsp:rsid wsp:val=&quot;00807880&quot;/&gt;&lt;wsp:rsid wsp:val=&quot;00807C26&quot;/&gt;&lt;wsp:rsid wsp:val=&quot;00807F63&quot;/&gt;&lt;wsp:rsid wsp:val=&quot;00810315&quot;/&gt;&lt;wsp:rsid wsp:val=&quot;00810398&quot;/&gt;&lt;wsp:rsid wsp:val=&quot;00810414&quot;/&gt;&lt;wsp:rsid wsp:val=&quot;00810708&quot;/&gt;&lt;wsp:rsid wsp:val=&quot;008108F0&quot;/&gt;&lt;wsp:rsid wsp:val=&quot;008109F5&quot;/&gt;&lt;wsp:rsid wsp:val=&quot;00810C6B&quot;/&gt;&lt;wsp:rsid wsp:val=&quot;00811081&quot;/&gt;&lt;wsp:rsid wsp:val=&quot;008110E1&quot;/&gt;&lt;wsp:rsid wsp:val=&quot;00811601&quot;/&gt;&lt;wsp:rsid wsp:val=&quot;00811852&quot;/&gt;&lt;wsp:rsid wsp:val=&quot;00811902&quot;/&gt;&lt;wsp:rsid wsp:val=&quot;00811A43&quot;/&gt;&lt;wsp:rsid wsp:val=&quot;00811FE4&quot;/&gt;&lt;wsp:rsid wsp:val=&quot;00812170&quot;/&gt;&lt;wsp:rsid wsp:val=&quot;0081258B&quot;/&gt;&lt;wsp:rsid wsp:val=&quot;00812BBB&quot;/&gt;&lt;wsp:rsid wsp:val=&quot;00812C46&quot;/&gt;&lt;wsp:rsid wsp:val=&quot;00812CD9&quot;/&gt;&lt;wsp:rsid wsp:val=&quot;008132A5&quot;/&gt;&lt;wsp:rsid wsp:val=&quot;00813330&quot;/&gt;&lt;wsp:rsid wsp:val=&quot;00813361&quot;/&gt;&lt;wsp:rsid wsp:val=&quot;008134AA&quot;/&gt;&lt;wsp:rsid wsp:val=&quot;008137F2&quot;/&gt;&lt;wsp:rsid wsp:val=&quot;00813849&quot;/&gt;&lt;wsp:rsid wsp:val=&quot;00814082&quot;/&gt;&lt;wsp:rsid wsp:val=&quot;0081486F&quot;/&gt;&lt;wsp:rsid wsp:val=&quot;00814B3B&quot;/&gt;&lt;wsp:rsid wsp:val=&quot;00814B61&quot;/&gt;&lt;wsp:rsid wsp:val=&quot;00815174&quot;/&gt;&lt;wsp:rsid wsp:val=&quot;008155F9&quot;/&gt;&lt;wsp:rsid wsp:val=&quot;008159A1&quot;/&gt;&lt;wsp:rsid wsp:val=&quot;00815B37&quot;/&gt;&lt;wsp:rsid wsp:val=&quot;00815EA7&quot;/&gt;&lt;wsp:rsid wsp:val=&quot;00815EBD&quot;/&gt;&lt;wsp:rsid wsp:val=&quot;008162FE&quot;/&gt;&lt;wsp:rsid wsp:val=&quot;00816398&quot;/&gt;&lt;wsp:rsid wsp:val=&quot;0081654E&quot;/&gt;&lt;wsp:rsid wsp:val=&quot;00816C1E&quot;/&gt;&lt;wsp:rsid wsp:val=&quot;00816C46&quot;/&gt;&lt;wsp:rsid wsp:val=&quot;00816D56&quot;/&gt;&lt;wsp:rsid wsp:val=&quot;008171AB&quot;/&gt;&lt;wsp:rsid wsp:val=&quot;008172B0&quot;/&gt;&lt;wsp:rsid wsp:val=&quot;00817387&quot;/&gt;&lt;wsp:rsid wsp:val=&quot;0081797F&quot;/&gt;&lt;wsp:rsid wsp:val=&quot;008200DC&quot;/&gt;&lt;wsp:rsid wsp:val=&quot;008203C2&quot;/&gt;&lt;wsp:rsid wsp:val=&quot;00821293&quot;/&gt;&lt;wsp:rsid wsp:val=&quot;00821807&quot;/&gt;&lt;wsp:rsid wsp:val=&quot;00821895&quot;/&gt;&lt;wsp:rsid wsp:val=&quot;00821A6B&quot;/&gt;&lt;wsp:rsid wsp:val=&quot;00821CE2&quot;/&gt;&lt;wsp:rsid wsp:val=&quot;008220BB&quot;/&gt;&lt;wsp:rsid wsp:val=&quot;00822539&quot;/&gt;&lt;wsp:rsid wsp:val=&quot;008234B3&quot;/&gt;&lt;wsp:rsid wsp:val=&quot;00823566&quot;/&gt;&lt;wsp:rsid wsp:val=&quot;00823B15&quot;/&gt;&lt;wsp:rsid wsp:val=&quot;00824561&quot;/&gt;&lt;wsp:rsid wsp:val=&quot;0082502E&quot;/&gt;&lt;wsp:rsid wsp:val=&quot;008251CA&quot;/&gt;&lt;wsp:rsid wsp:val=&quot;008253C6&quot;/&gt;&lt;wsp:rsid wsp:val=&quot;008253F0&quot;/&gt;&lt;wsp:rsid wsp:val=&quot;008256F2&quot;/&gt;&lt;wsp:rsid wsp:val=&quot;00825F83&quot;/&gt;&lt;wsp:rsid wsp:val=&quot;0082612E&quot;/&gt;&lt;wsp:rsid wsp:val=&quot;008262C5&quot;/&gt;&lt;wsp:rsid wsp:val=&quot;00826510&quot;/&gt;&lt;wsp:rsid wsp:val=&quot;0082706E&quot;/&gt;&lt;wsp:rsid wsp:val=&quot;0082759B&quot;/&gt;&lt;wsp:rsid wsp:val=&quot;00827BCA&quot;/&gt;&lt;wsp:rsid wsp:val=&quot;00827DAD&quot;/&gt;&lt;wsp:rsid wsp:val=&quot;00827F05&quot;/&gt;&lt;wsp:rsid wsp:val=&quot;00827F6D&quot;/&gt;&lt;wsp:rsid wsp:val=&quot;0083080E&quot;/&gt;&lt;wsp:rsid wsp:val=&quot;0083086C&quot;/&gt;&lt;wsp:rsid wsp:val=&quot;00830CF4&quot;/&gt;&lt;wsp:rsid wsp:val=&quot;00830DAF&quot;/&gt;&lt;wsp:rsid wsp:val=&quot;00830F63&quot;/&gt;&lt;wsp:rsid wsp:val=&quot;00830F77&quot;/&gt;&lt;wsp:rsid wsp:val=&quot;008311D9&quot;/&gt;&lt;wsp:rsid wsp:val=&quot;00831486&quot;/&gt;&lt;wsp:rsid wsp:val=&quot;00831AC1&quot;/&gt;&lt;wsp:rsid wsp:val=&quot;00831F2E&quot;/&gt;&lt;wsp:rsid wsp:val=&quot;008325A4&quot;/&gt;&lt;wsp:rsid wsp:val=&quot;00832ADC&quot;/&gt;&lt;wsp:rsid wsp:val=&quot;00832E81&quot;/&gt;&lt;wsp:rsid wsp:val=&quot;00833A63&quot;/&gt;&lt;wsp:rsid wsp:val=&quot;00833BF2&quot;/&gt;&lt;wsp:rsid wsp:val=&quot;00833D11&quot;/&gt;&lt;wsp:rsid wsp:val=&quot;00833D69&quot;/&gt;&lt;wsp:rsid wsp:val=&quot;00833F52&quot;/&gt;&lt;wsp:rsid wsp:val=&quot;00834120&quot;/&gt;&lt;wsp:rsid wsp:val=&quot;00834185&quot;/&gt;&lt;wsp:rsid wsp:val=&quot;00834541&quot;/&gt;&lt;wsp:rsid wsp:val=&quot;00834920&quot;/&gt;&lt;wsp:rsid wsp:val=&quot;008349E6&quot;/&gt;&lt;wsp:rsid wsp:val=&quot;00834C64&quot;/&gt;&lt;wsp:rsid wsp:val=&quot;00834ECA&quot;/&gt;&lt;wsp:rsid wsp:val=&quot;00834ED1&quot;/&gt;&lt;wsp:rsid wsp:val=&quot;00834EE9&quot;/&gt;&lt;wsp:rsid wsp:val=&quot;00835031&quot;/&gt;&lt;wsp:rsid wsp:val=&quot;008354B6&quot;/&gt;&lt;wsp:rsid wsp:val=&quot;00835797&quot;/&gt;&lt;wsp:rsid wsp:val=&quot;00835A24&quot;/&gt;&lt;wsp:rsid wsp:val=&quot;00835B9C&quot;/&gt;&lt;wsp:rsid wsp:val=&quot;00835BEA&quot;/&gt;&lt;wsp:rsid wsp:val=&quot;00835C42&quot;/&gt;&lt;wsp:rsid wsp:val=&quot;00836133&quot;/&gt;&lt;wsp:rsid wsp:val=&quot;0083635A&quot;/&gt;&lt;wsp:rsid wsp:val=&quot;008365CB&quot;/&gt;&lt;wsp:rsid wsp:val=&quot;00836C7C&quot;/&gt;&lt;wsp:rsid wsp:val=&quot;00836DB2&quot;/&gt;&lt;wsp:rsid wsp:val=&quot;00836F53&quot;/&gt;&lt;wsp:rsid wsp:val=&quot;00837197&quot;/&gt;&lt;wsp:rsid wsp:val=&quot;008375F6&quot;/&gt;&lt;wsp:rsid wsp:val=&quot;008377FE&quot;/&gt;&lt;wsp:rsid wsp:val=&quot;00837A1D&quot;/&gt;&lt;wsp:rsid wsp:val=&quot;00837D64&quot;/&gt;&lt;wsp:rsid wsp:val=&quot;00837E77&quot;/&gt;&lt;wsp:rsid wsp:val=&quot;008400EC&quot;/&gt;&lt;wsp:rsid wsp:val=&quot;0084034A&quot;/&gt;&lt;wsp:rsid wsp:val=&quot;00840447&quot;/&gt;&lt;wsp:rsid wsp:val=&quot;0084099B&quot;/&gt;&lt;wsp:rsid wsp:val=&quot;00840F5A&quot;/&gt;&lt;wsp:rsid wsp:val=&quot;00840FC2&quot;/&gt;&lt;wsp:rsid wsp:val=&quot;0084150B&quot;/&gt;&lt;wsp:rsid wsp:val=&quot;0084178A&quot;/&gt;&lt;wsp:rsid wsp:val=&quot;00841F2F&quot;/&gt;&lt;wsp:rsid wsp:val=&quot;00841F32&quot;/&gt;&lt;wsp:rsid wsp:val=&quot;00841FD5&quot;/&gt;&lt;wsp:rsid wsp:val=&quot;0084207E&quot;/&gt;&lt;wsp:rsid wsp:val=&quot;00843913&quot;/&gt;&lt;wsp:rsid wsp:val=&quot;00843B1E&quot;/&gt;&lt;wsp:rsid wsp:val=&quot;00843B27&quot;/&gt;&lt;wsp:rsid wsp:val=&quot;00844103&quot;/&gt;&lt;wsp:rsid wsp:val=&quot;008441EA&quot;/&gt;&lt;wsp:rsid wsp:val=&quot;00844794&quot;/&gt;&lt;wsp:rsid wsp:val=&quot;008447E6&quot;/&gt;&lt;wsp:rsid wsp:val=&quot;0084482C&quot;/&gt;&lt;wsp:rsid wsp:val=&quot;00845048&quot;/&gt;&lt;wsp:rsid wsp:val=&quot;008452FB&quot;/&gt;&lt;wsp:rsid wsp:val=&quot;008457C9&quot;/&gt;&lt;wsp:rsid wsp:val=&quot;00845898&quot;/&gt;&lt;wsp:rsid wsp:val=&quot;00845C8D&quot;/&gt;&lt;wsp:rsid wsp:val=&quot;00845F37&quot;/&gt;&lt;wsp:rsid wsp:val=&quot;0084642F&quot;/&gt;&lt;wsp:rsid wsp:val=&quot;00846458&quot;/&gt;&lt;wsp:rsid wsp:val=&quot;008465F4&quot;/&gt;&lt;wsp:rsid wsp:val=&quot;00846A80&quot;/&gt;&lt;wsp:rsid wsp:val=&quot;00847162&quot;/&gt;&lt;wsp:rsid wsp:val=&quot;008472BD&quot;/&gt;&lt;wsp:rsid wsp:val=&quot;008473E4&quot;/&gt;&lt;wsp:rsid wsp:val=&quot;008477EC&quot;/&gt;&lt;wsp:rsid wsp:val=&quot;008479D2&quot;/&gt;&lt;wsp:rsid wsp:val=&quot;00847D45&quot;/&gt;&lt;wsp:rsid wsp:val=&quot;00847DFB&quot;/&gt;&lt;wsp:rsid wsp:val=&quot;00847E31&quot;/&gt;&lt;wsp:rsid wsp:val=&quot;00850BAB&quot;/&gt;&lt;wsp:rsid wsp:val=&quot;00851693&quot;/&gt;&lt;wsp:rsid wsp:val=&quot;0085176F&quot;/&gt;&lt;wsp:rsid wsp:val=&quot;0085195C&quot;/&gt;&lt;wsp:rsid wsp:val=&quot;00851F11&quot;/&gt;&lt;wsp:rsid wsp:val=&quot;008521E1&quot;/&gt;&lt;wsp:rsid wsp:val=&quot;0085225F&quot;/&gt;&lt;wsp:rsid wsp:val=&quot;00852400&quot;/&gt;&lt;wsp:rsid wsp:val=&quot;00852D44&quot;/&gt;&lt;wsp:rsid wsp:val=&quot;008530EB&quot;/&gt;&lt;wsp:rsid wsp:val=&quot;0085337D&quot;/&gt;&lt;wsp:rsid wsp:val=&quot;008533E2&quot;/&gt;&lt;wsp:rsid wsp:val=&quot;0085363E&quot;/&gt;&lt;wsp:rsid wsp:val=&quot;00853EC8&quot;/&gt;&lt;wsp:rsid wsp:val=&quot;00853EDE&quot;/&gt;&lt;wsp:rsid wsp:val=&quot;0085402E&quot;/&gt;&lt;wsp:rsid wsp:val=&quot;008541BF&quot;/&gt;&lt;wsp:rsid wsp:val=&quot;008545D3&quot;/&gt;&lt;wsp:rsid wsp:val=&quot;00854628&quot;/&gt;&lt;wsp:rsid wsp:val=&quot;008547C4&quot;/&gt;&lt;wsp:rsid wsp:val=&quot;00854A4F&quot;/&gt;&lt;wsp:rsid wsp:val=&quot;00854D45&quot;/&gt;&lt;wsp:rsid wsp:val=&quot;00854F38&quot;/&gt;&lt;wsp:rsid wsp:val=&quot;00855083&quot;/&gt;&lt;wsp:rsid wsp:val=&quot;00855EDE&quot;/&gt;&lt;wsp:rsid wsp:val=&quot;00855F9C&quot;/&gt;&lt;wsp:rsid wsp:val=&quot;00856487&quot;/&gt;&lt;wsp:rsid wsp:val=&quot;0085684E&quot;/&gt;&lt;wsp:rsid wsp:val=&quot;00856EBC&quot;/&gt;&lt;wsp:rsid wsp:val=&quot;00857644&quot;/&gt;&lt;wsp:rsid wsp:val=&quot;00857B5D&quot;/&gt;&lt;wsp:rsid wsp:val=&quot;00857BD4&quot;/&gt;&lt;wsp:rsid wsp:val=&quot;00857C3A&quot;/&gt;&lt;wsp:rsid wsp:val=&quot;00857F77&quot;/&gt;&lt;wsp:rsid wsp:val=&quot;00860617&quot;/&gt;&lt;wsp:rsid wsp:val=&quot;008606ED&quot;/&gt;&lt;wsp:rsid wsp:val=&quot;0086099B&quot;/&gt;&lt;wsp:rsid wsp:val=&quot;00860CB8&quot;/&gt;&lt;wsp:rsid wsp:val=&quot;00860E78&quot;/&gt;&lt;wsp:rsid wsp:val=&quot;00860F42&quot;/&gt;&lt;wsp:rsid wsp:val=&quot;0086129F&quot;/&gt;&lt;wsp:rsid wsp:val=&quot;00861D60&quot;/&gt;&lt;wsp:rsid wsp:val=&quot;0086286D&quot;/&gt;&lt;wsp:rsid wsp:val=&quot;0086299E&quot;/&gt;&lt;wsp:rsid wsp:val=&quot;00862A79&quot;/&gt;&lt;wsp:rsid wsp:val=&quot;00862B26&quot;/&gt;&lt;wsp:rsid wsp:val=&quot;00862DF6&quot;/&gt;&lt;wsp:rsid wsp:val=&quot;0086306A&quot;/&gt;&lt;wsp:rsid wsp:val=&quot;0086392F&quot;/&gt;&lt;wsp:rsid wsp:val=&quot;00863A18&quot;/&gt;&lt;wsp:rsid wsp:val=&quot;00863A9C&quot;/&gt;&lt;wsp:rsid wsp:val=&quot;00863AAB&quot;/&gt;&lt;wsp:rsid wsp:val=&quot;00863B3E&quot;/&gt;&lt;wsp:rsid wsp:val=&quot;00863BCA&quot;/&gt;&lt;wsp:rsid wsp:val=&quot;00863C5D&quot;/&gt;&lt;wsp:rsid wsp:val=&quot;00864B9C&quot;/&gt;&lt;wsp:rsid wsp:val=&quot;00864DD5&quot;/&gt;&lt;wsp:rsid wsp:val=&quot;00864E60&quot;/&gt;&lt;wsp:rsid wsp:val=&quot;008651C2&quot;/&gt;&lt;wsp:rsid wsp:val=&quot;008656B8&quot;/&gt;&lt;wsp:rsid wsp:val=&quot;0086572F&quot;/&gt;&lt;wsp:rsid wsp:val=&quot;00865818&quot;/&gt;&lt;wsp:rsid wsp:val=&quot;0086582D&quot;/&gt;&lt;wsp:rsid wsp:val=&quot;00865D23&quot;/&gt;&lt;wsp:rsid wsp:val=&quot;00866052&quot;/&gt;&lt;wsp:rsid wsp:val=&quot;00866268&quot;/&gt;&lt;wsp:rsid wsp:val=&quot;008668B7&quot;/&gt;&lt;wsp:rsid wsp:val=&quot;00866EEA&quot;/&gt;&lt;wsp:rsid wsp:val=&quot;0086727A&quot;/&gt;&lt;wsp:rsid wsp:val=&quot;00867798&quot;/&gt;&lt;wsp:rsid wsp:val=&quot;008677CD&quot;/&gt;&lt;wsp:rsid wsp:val=&quot;00867A65&quot;/&gt;&lt;wsp:rsid wsp:val=&quot;00867C5A&quot;/&gt;&lt;wsp:rsid wsp:val=&quot;00867CB4&quot;/&gt;&lt;wsp:rsid wsp:val=&quot;00867CC3&quot;/&gt;&lt;wsp:rsid wsp:val=&quot;00867D03&quot;/&gt;&lt;wsp:rsid wsp:val=&quot;00867D35&quot;/&gt;&lt;wsp:rsid wsp:val=&quot;0087007F&quot;/&gt;&lt;wsp:rsid wsp:val=&quot;0087015A&quot;/&gt;&lt;wsp:rsid wsp:val=&quot;00870441&quot;/&gt;&lt;wsp:rsid wsp:val=&quot;008705CF&quot;/&gt;&lt;wsp:rsid wsp:val=&quot;00870F38&quot;/&gt;&lt;wsp:rsid wsp:val=&quot;00871074&quot;/&gt;&lt;wsp:rsid wsp:val=&quot;00871C8C&quot;/&gt;&lt;wsp:rsid wsp:val=&quot;008720CB&quot;/&gt;&lt;wsp:rsid wsp:val=&quot;008726A9&quot;/&gt;&lt;wsp:rsid wsp:val=&quot;00872787&quot;/&gt;&lt;wsp:rsid wsp:val=&quot;008729D0&quot;/&gt;&lt;wsp:rsid wsp:val=&quot;00872C40&quot;/&gt;&lt;wsp:rsid wsp:val=&quot;00872D7F&quot;/&gt;&lt;wsp:rsid wsp:val=&quot;00872DB3&quot;/&gt;&lt;wsp:rsid wsp:val=&quot;008736C3&quot;/&gt;&lt;wsp:rsid wsp:val=&quot;0087390D&quot;/&gt;&lt;wsp:rsid wsp:val=&quot;00873CBA&quot;/&gt;&lt;wsp:rsid wsp:val=&quot;00874008&quot;/&gt;&lt;wsp:rsid wsp:val=&quot;008740A4&quot;/&gt;&lt;wsp:rsid wsp:val=&quot;00874188&quot;/&gt;&lt;wsp:rsid wsp:val=&quot;0087486B&quot;/&gt;&lt;wsp:rsid wsp:val=&quot;00875314&quot;/&gt;&lt;wsp:rsid wsp:val=&quot;0087532C&quot;/&gt;&lt;wsp:rsid wsp:val=&quot;00875357&quot;/&gt;&lt;wsp:rsid wsp:val=&quot;00875535&quot;/&gt;&lt;wsp:rsid wsp:val=&quot;00875647&quot;/&gt;&lt;wsp:rsid wsp:val=&quot;00875C02&quot;/&gt;&lt;wsp:rsid wsp:val=&quot;00875C95&quot;/&gt;&lt;wsp:rsid wsp:val=&quot;0087627E&quot;/&gt;&lt;wsp:rsid wsp:val=&quot;00876323&quot;/&gt;&lt;wsp:rsid wsp:val=&quot;00876E08&quot;/&gt;&lt;wsp:rsid wsp:val=&quot;008771C4&quot;/&gt;&lt;wsp:rsid wsp:val=&quot;008771E1&quot;/&gt;&lt;wsp:rsid wsp:val=&quot;008772EF&quot;/&gt;&lt;wsp:rsid wsp:val=&quot;00877482&quot;/&gt;&lt;wsp:rsid wsp:val=&quot;0087793A&quot;/&gt;&lt;wsp:rsid wsp:val=&quot;00877A42&quot;/&gt;&lt;wsp:rsid wsp:val=&quot;00877CCA&quot;/&gt;&lt;wsp:rsid wsp:val=&quot;00877E26&quot;/&gt;&lt;wsp:rsid wsp:val=&quot;00877F97&quot;/&gt;&lt;wsp:rsid wsp:val=&quot;00880187&quot;/&gt;&lt;wsp:rsid wsp:val=&quot;008807B2&quot;/&gt;&lt;wsp:rsid wsp:val=&quot;00880B0F&quot;/&gt;&lt;wsp:rsid wsp:val=&quot;00880B38&quot;/&gt;&lt;wsp:rsid wsp:val=&quot;008810ED&quot;/&gt;&lt;wsp:rsid wsp:val=&quot;0088155F&quot;/&gt;&lt;wsp:rsid wsp:val=&quot;00881959&quot;/&gt;&lt;wsp:rsid wsp:val=&quot;00881ABE&quot;/&gt;&lt;wsp:rsid wsp:val=&quot;00881C47&quot;/&gt;&lt;wsp:rsid wsp:val=&quot;00881FA6&quot;/&gt;&lt;wsp:rsid wsp:val=&quot;00881FC5&quot;/&gt;&lt;wsp:rsid wsp:val=&quot;008827B5&quot;/&gt;&lt;wsp:rsid wsp:val=&quot;00882E0E&quot;/&gt;&lt;wsp:rsid wsp:val=&quot;00883479&quot;/&gt;&lt;wsp:rsid wsp:val=&quot;00883601&quot;/&gt;&lt;wsp:rsid wsp:val=&quot;00884438&quot;/&gt;&lt;wsp:rsid wsp:val=&quot;008845D2&quot;/&gt;&lt;wsp:rsid wsp:val=&quot;00884689&quot;/&gt;&lt;wsp:rsid wsp:val=&quot;00884986&quot;/&gt;&lt;wsp:rsid wsp:val=&quot;00884E3A&quot;/&gt;&lt;wsp:rsid wsp:val=&quot;00884F66&quot;/&gt;&lt;wsp:rsid wsp:val=&quot;00885945&quot;/&gt;&lt;wsp:rsid wsp:val=&quot;00886031&quot;/&gt;&lt;wsp:rsid wsp:val=&quot;00886287&quot;/&gt;&lt;wsp:rsid wsp:val=&quot;008865EF&quot;/&gt;&lt;wsp:rsid wsp:val=&quot;00886926&quot;/&gt;&lt;wsp:rsid wsp:val=&quot;008869CD&quot;/&gt;&lt;wsp:rsid wsp:val=&quot;00886C82&quot;/&gt;&lt;wsp:rsid wsp:val=&quot;00886CA9&quot;/&gt;&lt;wsp:rsid wsp:val=&quot;00886F3F&quot;/&gt;&lt;wsp:rsid wsp:val=&quot;00887159&quot;/&gt;&lt;wsp:rsid wsp:val=&quot;008871E3&quot;/&gt;&lt;wsp:rsid wsp:val=&quot;0088732A&quot;/&gt;&lt;wsp:rsid wsp:val=&quot;008876C3&quot;/&gt;&lt;wsp:rsid wsp:val=&quot;0088771E&quot;/&gt;&lt;wsp:rsid wsp:val=&quot;00887E0A&quot;/&gt;&lt;wsp:rsid wsp:val=&quot;00887F79&quot;/&gt;&lt;wsp:rsid wsp:val=&quot;00890178&quot;/&gt;&lt;wsp:rsid wsp:val=&quot;0089018B&quot;/&gt;&lt;wsp:rsid wsp:val=&quot;008908F5&quot;/&gt;&lt;wsp:rsid wsp:val=&quot;00890907&quot;/&gt;&lt;wsp:rsid wsp:val=&quot;00890DFA&quot;/&gt;&lt;wsp:rsid wsp:val=&quot;00890F78&quot;/&gt;&lt;wsp:rsid wsp:val=&quot;0089120C&quot;/&gt;&lt;wsp:rsid wsp:val=&quot;008912E6&quot;/&gt;&lt;wsp:rsid wsp:val=&quot;0089138D&quot;/&gt;&lt;wsp:rsid wsp:val=&quot;00891863&quot;/&gt;&lt;wsp:rsid wsp:val=&quot;00891FAF&quot;/&gt;&lt;wsp:rsid wsp:val=&quot;008925B1&quot;/&gt;&lt;wsp:rsid wsp:val=&quot;0089275F&quot;/&gt;&lt;wsp:rsid wsp:val=&quot;00892A3B&quot;/&gt;&lt;wsp:rsid wsp:val=&quot;00892CA5&quot;/&gt;&lt;wsp:rsid wsp:val=&quot;00892E00&quot;/&gt;&lt;wsp:rsid wsp:val=&quot;00892E48&quot;/&gt;&lt;wsp:rsid wsp:val=&quot;00892E84&quot;/&gt;&lt;wsp:rsid wsp:val=&quot;0089333C&quot;/&gt;&lt;wsp:rsid wsp:val=&quot;00893479&quot;/&gt;&lt;wsp:rsid wsp:val=&quot;00893902&quot;/&gt;&lt;wsp:rsid wsp:val=&quot;00893A12&quot;/&gt;&lt;wsp:rsid wsp:val=&quot;00894712&quot;/&gt;&lt;wsp:rsid wsp:val=&quot;00894888&quot;/&gt;&lt;wsp:rsid wsp:val=&quot;008949DC&quot;/&gt;&lt;wsp:rsid wsp:val=&quot;00894D38&quot;/&gt;&lt;wsp:rsid wsp:val=&quot;00894EB0&quot;/&gt;&lt;wsp:rsid wsp:val=&quot;008950DA&quot;/&gt;&lt;wsp:rsid wsp:val=&quot;00895431&quot;/&gt;&lt;wsp:rsid wsp:val=&quot;00896177&quot;/&gt;&lt;wsp:rsid wsp:val=&quot;0089699E&quot;/&gt;&lt;wsp:rsid wsp:val=&quot;00896A7F&quot;/&gt;&lt;wsp:rsid wsp:val=&quot;00897169&quot;/&gt;&lt;wsp:rsid wsp:val=&quot;00897285&quot;/&gt;&lt;wsp:rsid wsp:val=&quot;00897399&quot;/&gt;&lt;wsp:rsid wsp:val=&quot;00897681&quot;/&gt;&lt;wsp:rsid wsp:val=&quot;0089779C&quot;/&gt;&lt;wsp:rsid wsp:val=&quot;00897D80&quot;/&gt;&lt;wsp:rsid wsp:val=&quot;00897DD2&quot;/&gt;&lt;wsp:rsid wsp:val=&quot;008A0385&quot;/&gt;&lt;wsp:rsid wsp:val=&quot;008A0DCD&quot;/&gt;&lt;wsp:rsid wsp:val=&quot;008A0EDE&quot;/&gt;&lt;wsp:rsid wsp:val=&quot;008A0EE8&quot;/&gt;&lt;wsp:rsid wsp:val=&quot;008A1306&quot;/&gt;&lt;wsp:rsid wsp:val=&quot;008A14C4&quot;/&gt;&lt;wsp:rsid wsp:val=&quot;008A20A1&quot;/&gt;&lt;wsp:rsid wsp:val=&quot;008A241C&quot;/&gt;&lt;wsp:rsid wsp:val=&quot;008A247F&quot;/&gt;&lt;wsp:rsid wsp:val=&quot;008A25DF&quot;/&gt;&lt;wsp:rsid wsp:val=&quot;008A2A7F&quot;/&gt;&lt;wsp:rsid wsp:val=&quot;008A2BC2&quot;/&gt;&lt;wsp:rsid wsp:val=&quot;008A2EED&quot;/&gt;&lt;wsp:rsid wsp:val=&quot;008A3B93&quot;/&gt;&lt;wsp:rsid wsp:val=&quot;008A3C64&quot;/&gt;&lt;wsp:rsid wsp:val=&quot;008A3D0B&quot;/&gt;&lt;wsp:rsid wsp:val=&quot;008A3EBD&quot;/&gt;&lt;wsp:rsid wsp:val=&quot;008A3FE9&quot;/&gt;&lt;wsp:rsid wsp:val=&quot;008A4144&quot;/&gt;&lt;wsp:rsid wsp:val=&quot;008A4E20&quot;/&gt;&lt;wsp:rsid wsp:val=&quot;008A4EA3&quot;/&gt;&lt;wsp:rsid wsp:val=&quot;008A5893&quot;/&gt;&lt;wsp:rsid wsp:val=&quot;008A5F7B&quot;/&gt;&lt;wsp:rsid wsp:val=&quot;008A6419&quot;/&gt;&lt;wsp:rsid wsp:val=&quot;008A6E62&quot;/&gt;&lt;wsp:rsid wsp:val=&quot;008A7024&quot;/&gt;&lt;wsp:rsid wsp:val=&quot;008A760B&quot;/&gt;&lt;wsp:rsid wsp:val=&quot;008A7E5B&quot;/&gt;&lt;wsp:rsid wsp:val=&quot;008A7F16&quot;/&gt;&lt;wsp:rsid wsp:val=&quot;008A7FF1&quot;/&gt;&lt;wsp:rsid wsp:val=&quot;008B03B8&quot;/&gt;&lt;wsp:rsid wsp:val=&quot;008B0AEA&quot;/&gt;&lt;wsp:rsid wsp:val=&quot;008B0CE3&quot;/&gt;&lt;wsp:rsid wsp:val=&quot;008B0CFB&quot;/&gt;&lt;wsp:rsid wsp:val=&quot;008B0D74&quot;/&gt;&lt;wsp:rsid wsp:val=&quot;008B1657&quot;/&gt;&lt;wsp:rsid wsp:val=&quot;008B167F&quot;/&gt;&lt;wsp:rsid wsp:val=&quot;008B1B1E&quot;/&gt;&lt;wsp:rsid wsp:val=&quot;008B1C53&quot;/&gt;&lt;wsp:rsid wsp:val=&quot;008B1EDF&quot;/&gt;&lt;wsp:rsid wsp:val=&quot;008B21D4&quot;/&gt;&lt;wsp:rsid wsp:val=&quot;008B22BA&quot;/&gt;&lt;wsp:rsid wsp:val=&quot;008B2A6C&quot;/&gt;&lt;wsp:rsid wsp:val=&quot;008B2C88&quot;/&gt;&lt;wsp:rsid wsp:val=&quot;008B317E&quot;/&gt;&lt;wsp:rsid wsp:val=&quot;008B3BFC&quot;/&gt;&lt;wsp:rsid wsp:val=&quot;008B417A&quot;/&gt;&lt;wsp:rsid wsp:val=&quot;008B47DF&quot;/&gt;&lt;wsp:rsid wsp:val=&quot;008B4ACB&quot;/&gt;&lt;wsp:rsid wsp:val=&quot;008B4BD6&quot;/&gt;&lt;wsp:rsid wsp:val=&quot;008B4C4F&quot;/&gt;&lt;wsp:rsid wsp:val=&quot;008B4CD5&quot;/&gt;&lt;wsp:rsid wsp:val=&quot;008B4D67&quot;/&gt;&lt;wsp:rsid wsp:val=&quot;008B513C&quot;/&gt;&lt;wsp:rsid wsp:val=&quot;008B515C&quot;/&gt;&lt;wsp:rsid wsp:val=&quot;008B544C&quot;/&gt;&lt;wsp:rsid wsp:val=&quot;008B5962&quot;/&gt;&lt;wsp:rsid wsp:val=&quot;008B62D2&quot;/&gt;&lt;wsp:rsid wsp:val=&quot;008B6326&quot;/&gt;&lt;wsp:rsid wsp:val=&quot;008B6513&quot;/&gt;&lt;wsp:rsid wsp:val=&quot;008B6CC7&quot;/&gt;&lt;wsp:rsid wsp:val=&quot;008B7083&quot;/&gt;&lt;wsp:rsid wsp:val=&quot;008B79F6&quot;/&gt;&lt;wsp:rsid wsp:val=&quot;008B7BA6&quot;/&gt;&lt;wsp:rsid wsp:val=&quot;008B7BDD&quot;/&gt;&lt;wsp:rsid wsp:val=&quot;008C004F&quot;/&gt;&lt;wsp:rsid wsp:val=&quot;008C00FA&quot;/&gt;&lt;wsp:rsid wsp:val=&quot;008C031E&quot;/&gt;&lt;wsp:rsid wsp:val=&quot;008C0496&quot;/&gt;&lt;wsp:rsid wsp:val=&quot;008C0725&quot;/&gt;&lt;wsp:rsid wsp:val=&quot;008C09C3&quot;/&gt;&lt;wsp:rsid wsp:val=&quot;008C0A2C&quot;/&gt;&lt;wsp:rsid wsp:val=&quot;008C0CD1&quot;/&gt;&lt;wsp:rsid wsp:val=&quot;008C0FCD&quot;/&gt;&lt;wsp:rsid wsp:val=&quot;008C141C&quot;/&gt;&lt;wsp:rsid wsp:val=&quot;008C178B&quot;/&gt;&lt;wsp:rsid wsp:val=&quot;008C1CEF&quot;/&gt;&lt;wsp:rsid wsp:val=&quot;008C1FB8&quot;/&gt;&lt;wsp:rsid wsp:val=&quot;008C2188&quot;/&gt;&lt;wsp:rsid wsp:val=&quot;008C28FC&quot;/&gt;&lt;wsp:rsid wsp:val=&quot;008C2B53&quot;/&gt;&lt;wsp:rsid wsp:val=&quot;008C2C5D&quot;/&gt;&lt;wsp:rsid wsp:val=&quot;008C2DF1&quot;/&gt;&lt;wsp:rsid wsp:val=&quot;008C2E09&quot;/&gt;&lt;wsp:rsid wsp:val=&quot;008C2E73&quot;/&gt;&lt;wsp:rsid wsp:val=&quot;008C2F26&quot;/&gt;&lt;wsp:rsid wsp:val=&quot;008C304E&quot;/&gt;&lt;wsp:rsid wsp:val=&quot;008C3341&quot;/&gt;&lt;wsp:rsid wsp:val=&quot;008C3B27&quot;/&gt;&lt;wsp:rsid wsp:val=&quot;008C40F4&quot;/&gt;&lt;wsp:rsid wsp:val=&quot;008C4236&quot;/&gt;&lt;wsp:rsid wsp:val=&quot;008C440D&quot;/&gt;&lt;wsp:rsid wsp:val=&quot;008C45EB&quot;/&gt;&lt;wsp:rsid wsp:val=&quot;008C4AA7&quot;/&gt;&lt;wsp:rsid wsp:val=&quot;008C5370&quot;/&gt;&lt;wsp:rsid wsp:val=&quot;008C53E6&quot;/&gt;&lt;wsp:rsid wsp:val=&quot;008C61E8&quot;/&gt;&lt;wsp:rsid wsp:val=&quot;008C65D8&quot;/&gt;&lt;wsp:rsid wsp:val=&quot;008C6723&quot;/&gt;&lt;wsp:rsid wsp:val=&quot;008C69F0&quot;/&gt;&lt;wsp:rsid wsp:val=&quot;008C6F58&quot;/&gt;&lt;wsp:rsid wsp:val=&quot;008C71C6&quot;/&gt;&lt;wsp:rsid wsp:val=&quot;008C7236&quot;/&gt;&lt;wsp:rsid wsp:val=&quot;008C7457&quot;/&gt;&lt;wsp:rsid wsp:val=&quot;008C765C&quot;/&gt;&lt;wsp:rsid wsp:val=&quot;008C7731&quot;/&gt;&lt;wsp:rsid wsp:val=&quot;008C77E4&quot;/&gt;&lt;wsp:rsid wsp:val=&quot;008C7A0B&quot;/&gt;&lt;wsp:rsid wsp:val=&quot;008C7A60&quot;/&gt;&lt;wsp:rsid wsp:val=&quot;008C7B67&quot;/&gt;&lt;wsp:rsid wsp:val=&quot;008C7F15&quot;/&gt;&lt;wsp:rsid wsp:val=&quot;008D09DE&quot;/&gt;&lt;wsp:rsid wsp:val=&quot;008D0F15&quot;/&gt;&lt;wsp:rsid wsp:val=&quot;008D1621&quot;/&gt;&lt;wsp:rsid wsp:val=&quot;008D172B&quot;/&gt;&lt;wsp:rsid wsp:val=&quot;008D1BA5&quot;/&gt;&lt;wsp:rsid wsp:val=&quot;008D2C98&quot;/&gt;&lt;wsp:rsid wsp:val=&quot;008D3458&quot;/&gt;&lt;wsp:rsid wsp:val=&quot;008D345E&quot;/&gt;&lt;wsp:rsid wsp:val=&quot;008D3466&quot;/&gt;&lt;wsp:rsid wsp:val=&quot;008D3B15&quot;/&gt;&lt;wsp:rsid wsp:val=&quot;008D3B7B&quot;/&gt;&lt;wsp:rsid wsp:val=&quot;008D3C87&quot;/&gt;&lt;wsp:rsid wsp:val=&quot;008D4662&quot;/&gt;&lt;wsp:rsid wsp:val=&quot;008D46B1&quot;/&gt;&lt;wsp:rsid wsp:val=&quot;008D5085&quot;/&gt;&lt;wsp:rsid wsp:val=&quot;008D514A&quot;/&gt;&lt;wsp:rsid wsp:val=&quot;008D55C8&quot;/&gt;&lt;wsp:rsid wsp:val=&quot;008D621C&quot;/&gt;&lt;wsp:rsid wsp:val=&quot;008D656C&quot;/&gt;&lt;wsp:rsid wsp:val=&quot;008D6AB6&quot;/&gt;&lt;wsp:rsid wsp:val=&quot;008D6AEA&quot;/&gt;&lt;wsp:rsid wsp:val=&quot;008D6F9D&quot;/&gt;&lt;wsp:rsid wsp:val=&quot;008D72C8&quot;/&gt;&lt;wsp:rsid wsp:val=&quot;008D770F&quot;/&gt;&lt;wsp:rsid wsp:val=&quot;008D7967&quot;/&gt;&lt;wsp:rsid wsp:val=&quot;008D7A0C&quot;/&gt;&lt;wsp:rsid wsp:val=&quot;008D7B18&quot;/&gt;&lt;wsp:rsid wsp:val=&quot;008E0261&quot;/&gt;&lt;wsp:rsid wsp:val=&quot;008E050A&quot;/&gt;&lt;wsp:rsid wsp:val=&quot;008E06ED&quot;/&gt;&lt;wsp:rsid wsp:val=&quot;008E093D&quot;/&gt;&lt;wsp:rsid wsp:val=&quot;008E14EB&quot;/&gt;&lt;wsp:rsid wsp:val=&quot;008E15B8&quot;/&gt;&lt;wsp:rsid wsp:val=&quot;008E1948&quot;/&gt;&lt;wsp:rsid wsp:val=&quot;008E1BEC&quot;/&gt;&lt;wsp:rsid wsp:val=&quot;008E1CB1&quot;/&gt;&lt;wsp:rsid wsp:val=&quot;008E1F08&quot;/&gt;&lt;wsp:rsid wsp:val=&quot;008E2320&quot;/&gt;&lt;wsp:rsid wsp:val=&quot;008E240F&quot;/&gt;&lt;wsp:rsid wsp:val=&quot;008E2575&quot;/&gt;&lt;wsp:rsid wsp:val=&quot;008E2A9B&quot;/&gt;&lt;wsp:rsid wsp:val=&quot;008E2BD1&quot;/&gt;&lt;wsp:rsid wsp:val=&quot;008E3342&quot;/&gt;&lt;wsp:rsid wsp:val=&quot;008E3398&quot;/&gt;&lt;wsp:rsid wsp:val=&quot;008E39F4&quot;/&gt;&lt;wsp:rsid wsp:val=&quot;008E3B1C&quot;/&gt;&lt;wsp:rsid wsp:val=&quot;008E3EB2&quot;/&gt;&lt;wsp:rsid wsp:val=&quot;008E4C43&quot;/&gt;&lt;wsp:rsid wsp:val=&quot;008E52F2&quot;/&gt;&lt;wsp:rsid wsp:val=&quot;008E539B&quot;/&gt;&lt;wsp:rsid wsp:val=&quot;008E5769&quot;/&gt;&lt;wsp:rsid wsp:val=&quot;008E58ED&quot;/&gt;&lt;wsp:rsid wsp:val=&quot;008E5B55&quot;/&gt;&lt;wsp:rsid wsp:val=&quot;008E5BD6&quot;/&gt;&lt;wsp:rsid wsp:val=&quot;008E5F0C&quot;/&gt;&lt;wsp:rsid wsp:val=&quot;008E6158&quot;/&gt;&lt;wsp:rsid wsp:val=&quot;008E62F9&quot;/&gt;&lt;wsp:rsid wsp:val=&quot;008E6605&quot;/&gt;&lt;wsp:rsid wsp:val=&quot;008E673A&quot;/&gt;&lt;wsp:rsid wsp:val=&quot;008E67E1&quot;/&gt;&lt;wsp:rsid wsp:val=&quot;008E6921&quot;/&gt;&lt;wsp:rsid wsp:val=&quot;008E6AEC&quot;/&gt;&lt;wsp:rsid wsp:val=&quot;008E6BFD&quot;/&gt;&lt;wsp:rsid wsp:val=&quot;008E6CBC&quot;/&gt;&lt;wsp:rsid wsp:val=&quot;008E6F19&quot;/&gt;&lt;wsp:rsid wsp:val=&quot;008E79A0&quot;/&gt;&lt;wsp:rsid wsp:val=&quot;008E7DAA&quot;/&gt;&lt;wsp:rsid wsp:val=&quot;008F0505&quot;/&gt;&lt;wsp:rsid wsp:val=&quot;008F0771&quot;/&gt;&lt;wsp:rsid wsp:val=&quot;008F0966&quot;/&gt;&lt;wsp:rsid wsp:val=&quot;008F0E42&quot;/&gt;&lt;wsp:rsid wsp:val=&quot;008F0E74&quot;/&gt;&lt;wsp:rsid wsp:val=&quot;008F1131&quot;/&gt;&lt;wsp:rsid wsp:val=&quot;008F195C&quot;/&gt;&lt;wsp:rsid wsp:val=&quot;008F1A00&quot;/&gt;&lt;wsp:rsid wsp:val=&quot;008F1AD7&quot;/&gt;&lt;wsp:rsid wsp:val=&quot;008F22D5&quot;/&gt;&lt;wsp:rsid wsp:val=&quot;008F23C5&quot;/&gt;&lt;wsp:rsid wsp:val=&quot;008F26C8&quot;/&gt;&lt;wsp:rsid wsp:val=&quot;008F29EB&quot;/&gt;&lt;wsp:rsid wsp:val=&quot;008F2DDD&quot;/&gt;&lt;wsp:rsid wsp:val=&quot;008F30D9&quot;/&gt;&lt;wsp:rsid wsp:val=&quot;008F359F&quot;/&gt;&lt;wsp:rsid wsp:val=&quot;008F37EC&quot;/&gt;&lt;wsp:rsid wsp:val=&quot;008F3CF8&quot;/&gt;&lt;wsp:rsid wsp:val=&quot;008F3D5C&quot;/&gt;&lt;wsp:rsid wsp:val=&quot;008F3F23&quot;/&gt;&lt;wsp:rsid wsp:val=&quot;008F3F37&quot;/&gt;&lt;wsp:rsid wsp:val=&quot;008F46EB&quot;/&gt;&lt;wsp:rsid wsp:val=&quot;008F4BD8&quot;/&gt;&lt;wsp:rsid wsp:val=&quot;008F4D67&quot;/&gt;&lt;wsp:rsid wsp:val=&quot;008F4E9C&quot;/&gt;&lt;wsp:rsid wsp:val=&quot;008F514D&quot;/&gt;&lt;wsp:rsid wsp:val=&quot;008F546D&quot;/&gt;&lt;wsp:rsid wsp:val=&quot;008F5489&quot;/&gt;&lt;wsp:rsid wsp:val=&quot;008F5BE4&quot;/&gt;&lt;wsp:rsid wsp:val=&quot;008F5C1E&quot;/&gt;&lt;wsp:rsid wsp:val=&quot;008F5C8A&quot;/&gt;&lt;wsp:rsid wsp:val=&quot;008F601F&quot;/&gt;&lt;wsp:rsid wsp:val=&quot;008F6099&quot;/&gt;&lt;wsp:rsid wsp:val=&quot;008F618B&quot;/&gt;&lt;wsp:rsid wsp:val=&quot;008F667B&quot;/&gt;&lt;wsp:rsid wsp:val=&quot;008F6C87&quot;/&gt;&lt;wsp:rsid wsp:val=&quot;008F70CD&quot;/&gt;&lt;wsp:rsid wsp:val=&quot;008F7C27&quot;/&gt;&lt;wsp:rsid wsp:val=&quot;00900513&quot;/&gt;&lt;wsp:rsid wsp:val=&quot;00900E61&quot;/&gt;&lt;wsp:rsid wsp:val=&quot;0090117A&quot;/&gt;&lt;wsp:rsid wsp:val=&quot;0090154D&quot;/&gt;&lt;wsp:rsid wsp:val=&quot;00901580&quot;/&gt;&lt;wsp:rsid wsp:val=&quot;0090189D&quot;/&gt;&lt;wsp:rsid wsp:val=&quot;0090293D&quot;/&gt;&lt;wsp:rsid wsp:val=&quot;00902AC5&quot;/&gt;&lt;wsp:rsid wsp:val=&quot;00902C25&quot;/&gt;&lt;wsp:rsid wsp:val=&quot;0090300A&quot;/&gt;&lt;wsp:rsid wsp:val=&quot;00903216&quot;/&gt;&lt;wsp:rsid wsp:val=&quot;00903272&quot;/&gt;&lt;wsp:rsid wsp:val=&quot;00903532&quot;/&gt;&lt;wsp:rsid wsp:val=&quot;00903794&quot;/&gt;&lt;wsp:rsid wsp:val=&quot;00904FBC&quot;/&gt;&lt;wsp:rsid wsp:val=&quot;009055EB&quot;/&gt;&lt;wsp:rsid wsp:val=&quot;00905B69&quot;/&gt;&lt;wsp:rsid wsp:val=&quot;009060A8&quot;/&gt;&lt;wsp:rsid wsp:val=&quot;00906853&quot;/&gt;&lt;wsp:rsid wsp:val=&quot;00906856&quot;/&gt;&lt;wsp:rsid wsp:val=&quot;00906864&quot;/&gt;&lt;wsp:rsid wsp:val=&quot;00906A15&quot;/&gt;&lt;wsp:rsid wsp:val=&quot;00906ABF&quot;/&gt;&lt;wsp:rsid wsp:val=&quot;00906C11&quot;/&gt;&lt;wsp:rsid wsp:val=&quot;009071AE&quot;/&gt;&lt;wsp:rsid wsp:val=&quot;0090749D&quot;/&gt;&lt;wsp:rsid wsp:val=&quot;00907596&quot;/&gt;&lt;wsp:rsid wsp:val=&quot;0090764B&quot;/&gt;&lt;wsp:rsid wsp:val=&quot;009076CB&quot;/&gt;&lt;wsp:rsid wsp:val=&quot;009078AF&quot;/&gt;&lt;wsp:rsid wsp:val=&quot;00907EB1&quot;/&gt;&lt;wsp:rsid wsp:val=&quot;00907EEC&quot;/&gt;&lt;wsp:rsid wsp:val=&quot;009102C4&quot;/&gt;&lt;wsp:rsid wsp:val=&quot;00910BA2&quot;/&gt;&lt;wsp:rsid wsp:val=&quot;00910D04&quot;/&gt;&lt;wsp:rsid wsp:val=&quot;00910F7B&quot;/&gt;&lt;wsp:rsid wsp:val=&quot;009115C8&quot;/&gt;&lt;wsp:rsid wsp:val=&quot;00911733&quot;/&gt;&lt;wsp:rsid wsp:val=&quot;0091179B&quot;/&gt;&lt;wsp:rsid wsp:val=&quot;0091257C&quot;/&gt;&lt;wsp:rsid wsp:val=&quot;0091271F&quot;/&gt;&lt;wsp:rsid wsp:val=&quot;00912CE0&quot;/&gt;&lt;wsp:rsid wsp:val=&quot;00912DD2&quot;/&gt;&lt;wsp:rsid wsp:val=&quot;00912F07&quot;/&gt;&lt;wsp:rsid wsp:val=&quot;00912F87&quot;/&gt;&lt;wsp:rsid wsp:val=&quot;009132AA&quot;/&gt;&lt;wsp:rsid wsp:val=&quot;009135E5&quot;/&gt;&lt;wsp:rsid wsp:val=&quot;00913717&quot;/&gt;&lt;wsp:rsid wsp:val=&quot;00913790&quot;/&gt;&lt;wsp:rsid wsp:val=&quot;00913C7F&quot;/&gt;&lt;wsp:rsid wsp:val=&quot;00913D47&quot;/&gt;&lt;wsp:rsid wsp:val=&quot;00913E9D&quot;/&gt;&lt;wsp:rsid wsp:val=&quot;009143DF&quot;/&gt;&lt;wsp:rsid wsp:val=&quot;00914437&quot;/&gt;&lt;wsp:rsid wsp:val=&quot;009147CE&quot;/&gt;&lt;wsp:rsid wsp:val=&quot;00914AB9&quot;/&gt;&lt;wsp:rsid wsp:val=&quot;00914F69&quot;/&gt;&lt;wsp:rsid wsp:val=&quot;009157B4&quot;/&gt;&lt;wsp:rsid wsp:val=&quot;0091624C&quot;/&gt;&lt;wsp:rsid wsp:val=&quot;00916658&quot;/&gt;&lt;wsp:rsid wsp:val=&quot;00916E5A&quot;/&gt;&lt;wsp:rsid wsp:val=&quot;00917177&quot;/&gt;&lt;wsp:rsid wsp:val=&quot;009175C8&quot;/&gt;&lt;wsp:rsid wsp:val=&quot;00917B3B&quot;/&gt;&lt;wsp:rsid wsp:val=&quot;0092006C&quot;/&gt;&lt;wsp:rsid wsp:val=&quot;00920473&quot;/&gt;&lt;wsp:rsid wsp:val=&quot;0092088B&quot;/&gt;&lt;wsp:rsid wsp:val=&quot;00920AD2&quot;/&gt;&lt;wsp:rsid wsp:val=&quot;00920FA4&quot;/&gt;&lt;wsp:rsid wsp:val=&quot;0092109F&quot;/&gt;&lt;wsp:rsid wsp:val=&quot;00921510&quot;/&gt;&lt;wsp:rsid wsp:val=&quot;0092193B&quot;/&gt;&lt;wsp:rsid wsp:val=&quot;009219D3&quot;/&gt;&lt;wsp:rsid wsp:val=&quot;00921D32&quot;/&gt;&lt;wsp:rsid wsp:val=&quot;0092209F&quot;/&gt;&lt;wsp:rsid wsp:val=&quot;00922279&quot;/&gt;&lt;wsp:rsid wsp:val=&quot;00922548&quot;/&gt;&lt;wsp:rsid wsp:val=&quot;0092254B&quot;/&gt;&lt;wsp:rsid wsp:val=&quot;00922B18&quot;/&gt;&lt;wsp:rsid wsp:val=&quot;00923118&quot;/&gt;&lt;wsp:rsid wsp:val=&quot;009236E3&quot;/&gt;&lt;wsp:rsid wsp:val=&quot;00923A43&quot;/&gt;&lt;wsp:rsid wsp:val=&quot;00923AE0&quot;/&gt;&lt;wsp:rsid wsp:val=&quot;00923BC3&quot;/&gt;&lt;wsp:rsid wsp:val=&quot;00923E43&quot;/&gt;&lt;wsp:rsid wsp:val=&quot;00923F54&quot;/&gt;&lt;wsp:rsid wsp:val=&quot;00924E02&quot;/&gt;&lt;wsp:rsid wsp:val=&quot;00924E30&quot;/&gt;&lt;wsp:rsid wsp:val=&quot;009251D0&quot;/&gt;&lt;wsp:rsid wsp:val=&quot;00925774&quot;/&gt;&lt;wsp:rsid wsp:val=&quot;00925821&quot;/&gt;&lt;wsp:rsid wsp:val=&quot;00925FF3&quot;/&gt;&lt;wsp:rsid wsp:val=&quot;00926802&quot;/&gt;&lt;wsp:rsid wsp:val=&quot;009269F5&quot;/&gt;&lt;wsp:rsid wsp:val=&quot;00927BAA&quot;/&gt;&lt;wsp:rsid wsp:val=&quot;00927CCF&quot;/&gt;&lt;wsp:rsid wsp:val=&quot;00927DB4&quot;/&gt;&lt;wsp:rsid wsp:val=&quot;00927F77&quot;/&gt;&lt;wsp:rsid wsp:val=&quot;00927FEB&quot;/&gt;&lt;wsp:rsid wsp:val=&quot;009304F1&quot;/&gt;&lt;wsp:rsid wsp:val=&quot;00930641&quot;/&gt;&lt;wsp:rsid wsp:val=&quot;0093088D&quot;/&gt;&lt;wsp:rsid wsp:val=&quot;00930C11&quot;/&gt;&lt;wsp:rsid wsp:val=&quot;00930D0B&quot;/&gt;&lt;wsp:rsid wsp:val=&quot;00930DD3&quot;/&gt;&lt;wsp:rsid wsp:val=&quot;009313EC&quot;/&gt;&lt;wsp:rsid wsp:val=&quot;00931554&quot;/&gt;&lt;wsp:rsid wsp:val=&quot;00931B48&quot;/&gt;&lt;wsp:rsid wsp:val=&quot;00931CE2&quot;/&gt;&lt;wsp:rsid wsp:val=&quot;0093200C&quot;/&gt;&lt;wsp:rsid wsp:val=&quot;009325ED&quot;/&gt;&lt;wsp:rsid wsp:val=&quot;0093275E&quot;/&gt;&lt;wsp:rsid wsp:val=&quot;0093287D&quot;/&gt;&lt;wsp:rsid wsp:val=&quot;00932D4D&quot;/&gt;&lt;wsp:rsid wsp:val=&quot;00932DE2&quot;/&gt;&lt;wsp:rsid wsp:val=&quot;00932E21&quot;/&gt;&lt;wsp:rsid wsp:val=&quot;0093355D&quot;/&gt;&lt;wsp:rsid wsp:val=&quot;00933887&quot;/&gt;&lt;wsp:rsid wsp:val=&quot;009339E0&quot;/&gt;&lt;wsp:rsid wsp:val=&quot;00933DB8&quot;/&gt;&lt;wsp:rsid wsp:val=&quot;00933E9F&quot;/&gt;&lt;wsp:rsid wsp:val=&quot;0093457B&quot;/&gt;&lt;wsp:rsid wsp:val=&quot;00934D3B&quot;/&gt;&lt;wsp:rsid wsp:val=&quot;0093523C&quot;/&gt;&lt;wsp:rsid wsp:val=&quot;009352D1&quot;/&gt;&lt;wsp:rsid wsp:val=&quot;00935CC2&quot;/&gt;&lt;wsp:rsid wsp:val=&quot;00935D23&quot;/&gt;&lt;wsp:rsid wsp:val=&quot;0093605F&quot;/&gt;&lt;wsp:rsid wsp:val=&quot;009360C9&quot;/&gt;&lt;wsp:rsid wsp:val=&quot;00936545&quot;/&gt;&lt;wsp:rsid wsp:val=&quot;00936D64&quot;/&gt;&lt;wsp:rsid wsp:val=&quot;00936F3A&quot;/&gt;&lt;wsp:rsid wsp:val=&quot;00936F68&quot;/&gt;&lt;wsp:rsid wsp:val=&quot;00937205&quot;/&gt;&lt;wsp:rsid wsp:val=&quot;0093729E&quot;/&gt;&lt;wsp:rsid wsp:val=&quot;009378CC&quot;/&gt;&lt;wsp:rsid wsp:val=&quot;00937B53&quot;/&gt;&lt;wsp:rsid wsp:val=&quot;00937BA2&quot;/&gt;&lt;wsp:rsid wsp:val=&quot;00940009&quot;/&gt;&lt;wsp:rsid wsp:val=&quot;009403B1&quot;/&gt;&lt;wsp:rsid wsp:val=&quot;00940992&quot;/&gt;&lt;wsp:rsid wsp:val=&quot;00940B40&quot;/&gt;&lt;wsp:rsid wsp:val=&quot;00940B47&quot;/&gt;&lt;wsp:rsid wsp:val=&quot;00940C7A&quot;/&gt;&lt;wsp:rsid wsp:val=&quot;00940E2E&quot;/&gt;&lt;wsp:rsid wsp:val=&quot;00940ECD&quot;/&gt;&lt;wsp:rsid wsp:val=&quot;00941161&quot;/&gt;&lt;wsp:rsid wsp:val=&quot;0094116E&quot;/&gt;&lt;wsp:rsid wsp:val=&quot;00941302&quot;/&gt;&lt;wsp:rsid wsp:val=&quot;0094131C&quot;/&gt;&lt;wsp:rsid wsp:val=&quot;0094136B&quot;/&gt;&lt;wsp:rsid wsp:val=&quot;00941555&quot;/&gt;&lt;wsp:rsid wsp:val=&quot;00941B19&quot;/&gt;&lt;wsp:rsid wsp:val=&quot;009424BE&quot;/&gt;&lt;wsp:rsid wsp:val=&quot;009426FC&quot;/&gt;&lt;wsp:rsid wsp:val=&quot;009428F9&quot;/&gt;&lt;wsp:rsid wsp:val=&quot;00943268&quot;/&gt;&lt;wsp:rsid wsp:val=&quot;00943605&quot;/&gt;&lt;wsp:rsid wsp:val=&quot;00943812&quot;/&gt;&lt;wsp:rsid wsp:val=&quot;00943923&quot;/&gt;&lt;wsp:rsid wsp:val=&quot;00943EB7&quot;/&gt;&lt;wsp:rsid wsp:val=&quot;00943F71&quot;/&gt;&lt;wsp:rsid wsp:val=&quot;00943FBC&quot;/&gt;&lt;wsp:rsid wsp:val=&quot;009452AE&quot;/&gt;&lt;wsp:rsid wsp:val=&quot;00945548&quot;/&gt;&lt;wsp:rsid wsp:val=&quot;00945834&quot;/&gt;&lt;wsp:rsid wsp:val=&quot;009458E4&quot;/&gt;&lt;wsp:rsid wsp:val=&quot;00945A9F&quot;/&gt;&lt;wsp:rsid wsp:val=&quot;00945CDE&quot;/&gt;&lt;wsp:rsid wsp:val=&quot;00945DD4&quot;/&gt;&lt;wsp:rsid wsp:val=&quot;0094626E&quot;/&gt;&lt;wsp:rsid wsp:val=&quot;009463D7&quot;/&gt;&lt;wsp:rsid wsp:val=&quot;00946B1E&quot;/&gt;&lt;wsp:rsid wsp:val=&quot;00946EC2&quot;/&gt;&lt;wsp:rsid wsp:val=&quot;0094764A&quot;/&gt;&lt;wsp:rsid wsp:val=&quot;009479DB&quot;/&gt;&lt;wsp:rsid wsp:val=&quot;0095016A&quot;/&gt;&lt;wsp:rsid wsp:val=&quot;0095038D&quot;/&gt;&lt;wsp:rsid wsp:val=&quot;00951969&quot;/&gt;&lt;wsp:rsid wsp:val=&quot;00951BB1&quot;/&gt;&lt;wsp:rsid wsp:val=&quot;00951ED8&quot;/&gt;&lt;wsp:rsid wsp:val=&quot;009524C6&quot;/&gt;&lt;wsp:rsid wsp:val=&quot;009527FE&quot;/&gt;&lt;wsp:rsid wsp:val=&quot;00952805&quot;/&gt;&lt;wsp:rsid wsp:val=&quot;00952C7D&quot;/&gt;&lt;wsp:rsid wsp:val=&quot;00952ED4&quot;/&gt;&lt;wsp:rsid wsp:val=&quot;00953062&quot;/&gt;&lt;wsp:rsid wsp:val=&quot;00953263&quot;/&gt;&lt;wsp:rsid wsp:val=&quot;00953AFF&quot;/&gt;&lt;wsp:rsid wsp:val=&quot;00953BA1&quot;/&gt;&lt;wsp:rsid wsp:val=&quot;00953E7D&quot;/&gt;&lt;wsp:rsid wsp:val=&quot;00953FA0&quot;/&gt;&lt;wsp:rsid wsp:val=&quot;00954233&quot;/&gt;&lt;wsp:rsid wsp:val=&quot;00954283&quot;/&gt;&lt;wsp:rsid wsp:val=&quot;0095446D&quot;/&gt;&lt;wsp:rsid wsp:val=&quot;0095452A&quot;/&gt;&lt;wsp:rsid wsp:val=&quot;0095460C&quot;/&gt;&lt;wsp:rsid wsp:val=&quot;0095480E&quot;/&gt;&lt;wsp:rsid wsp:val=&quot;00954BAD&quot;/&gt;&lt;wsp:rsid wsp:val=&quot;00954E91&quot;/&gt;&lt;wsp:rsid wsp:val=&quot;009550C2&quot;/&gt;&lt;wsp:rsid wsp:val=&quot;0095533C&quot;/&gt;&lt;wsp:rsid wsp:val=&quot;009557A8&quot;/&gt;&lt;wsp:rsid wsp:val=&quot;00955DE6&quot;/&gt;&lt;wsp:rsid wsp:val=&quot;00955DF3&quot;/&gt;&lt;wsp:rsid wsp:val=&quot;00955DFE&quot;/&gt;&lt;wsp:rsid wsp:val=&quot;00955F0C&quot;/&gt;&lt;wsp:rsid wsp:val=&quot;009560F5&quot;/&gt;&lt;wsp:rsid wsp:val=&quot;00956C7D&quot;/&gt;&lt;wsp:rsid wsp:val=&quot;00956CDB&quot;/&gt;&lt;wsp:rsid wsp:val=&quot;0095730C&quot;/&gt;&lt;wsp:rsid wsp:val=&quot;00957695&quot;/&gt;&lt;wsp:rsid wsp:val=&quot;009576DE&quot;/&gt;&lt;wsp:rsid wsp:val=&quot;00957CC0&quot;/&gt;&lt;wsp:rsid wsp:val=&quot;00957D47&quot;/&gt;&lt;wsp:rsid wsp:val=&quot;00957EC5&quot;/&gt;&lt;wsp:rsid wsp:val=&quot;00960237&quot;/&gt;&lt;wsp:rsid wsp:val=&quot;0096032B&quot;/&gt;&lt;wsp:rsid wsp:val=&quot;009606AB&quot;/&gt;&lt;wsp:rsid wsp:val=&quot;009609B8&quot;/&gt;&lt;wsp:rsid wsp:val=&quot;00960A1B&quot;/&gt;&lt;wsp:rsid wsp:val=&quot;00960A5B&quot;/&gt;&lt;wsp:rsid wsp:val=&quot;00960DD3&quot;/&gt;&lt;wsp:rsid wsp:val=&quot;00960DF8&quot;/&gt;&lt;wsp:rsid wsp:val=&quot;00960F40&quot;/&gt;&lt;wsp:rsid wsp:val=&quot;00960FA4&quot;/&gt;&lt;wsp:rsid wsp:val=&quot;00961315&quot;/&gt;&lt;wsp:rsid wsp:val=&quot;0096148D&quot;/&gt;&lt;wsp:rsid wsp:val=&quot;00962566&quot;/&gt;&lt;wsp:rsid wsp:val=&quot;00962DEC&quot;/&gt;&lt;wsp:rsid wsp:val=&quot;0096305B&quot;/&gt;&lt;wsp:rsid wsp:val=&quot;00963321&quot;/&gt;&lt;wsp:rsid wsp:val=&quot;0096374E&quot;/&gt;&lt;wsp:rsid wsp:val=&quot;0096384C&quot;/&gt;&lt;wsp:rsid wsp:val=&quot;00963990&quot;/&gt;&lt;wsp:rsid wsp:val=&quot;00963F3E&quot;/&gt;&lt;wsp:rsid wsp:val=&quot;00963FB5&quot;/&gt;&lt;wsp:rsid wsp:val=&quot;00964615&quot;/&gt;&lt;wsp:rsid wsp:val=&quot;00964654&quot;/&gt;&lt;wsp:rsid wsp:val=&quot;009648C7&quot;/&gt;&lt;wsp:rsid wsp:val=&quot;00964F94&quot;/&gt;&lt;wsp:rsid wsp:val=&quot;009655CE&quot;/&gt;&lt;wsp:rsid wsp:val=&quot;00965D54&quot;/&gt;&lt;wsp:rsid wsp:val=&quot;009662CE&quot;/&gt;&lt;wsp:rsid wsp:val=&quot;00966480&quot;/&gt;&lt;wsp:rsid wsp:val=&quot;009667B5&quot;/&gt;&lt;wsp:rsid wsp:val=&quot;0096690C&quot;/&gt;&lt;wsp:rsid wsp:val=&quot;00966956&quot;/&gt;&lt;wsp:rsid wsp:val=&quot;00966A9F&quot;/&gt;&lt;wsp:rsid wsp:val=&quot;0096711A&quot;/&gt;&lt;wsp:rsid wsp:val=&quot;00967304&quot;/&gt;&lt;wsp:rsid wsp:val=&quot;00967551&quot;/&gt;&lt;wsp:rsid wsp:val=&quot;009675E9&quot;/&gt;&lt;wsp:rsid wsp:val=&quot;009677A1&quot;/&gt;&lt;wsp:rsid wsp:val=&quot;00970D50&quot;/&gt;&lt;wsp:rsid wsp:val=&quot;00970FEB&quot;/&gt;&lt;wsp:rsid wsp:val=&quot;00971110&quot;/&gt;&lt;wsp:rsid wsp:val=&quot;0097136E&quot;/&gt;&lt;wsp:rsid wsp:val=&quot;009713D0&quot;/&gt;&lt;wsp:rsid wsp:val=&quot;00971927&quot;/&gt;&lt;wsp:rsid wsp:val=&quot;00971969&quot;/&gt;&lt;wsp:rsid wsp:val=&quot;00971BC7&quot;/&gt;&lt;wsp:rsid wsp:val=&quot;00971C05&quot;/&gt;&lt;wsp:rsid wsp:val=&quot;00971CAA&quot;/&gt;&lt;wsp:rsid wsp:val=&quot;00972210&quot;/&gt;&lt;wsp:rsid wsp:val=&quot;0097343E&quot;/&gt;&lt;wsp:rsid wsp:val=&quot;00973AAB&quot;/&gt;&lt;wsp:rsid wsp:val=&quot;00973C00&quot;/&gt;&lt;wsp:rsid wsp:val=&quot;00973D92&quot;/&gt;&lt;wsp:rsid wsp:val=&quot;00973E53&quot;/&gt;&lt;wsp:rsid wsp:val=&quot;00974110&quot;/&gt;&lt;wsp:rsid wsp:val=&quot;009741DD&quot;/&gt;&lt;wsp:rsid wsp:val=&quot;009742E5&quot;/&gt;&lt;wsp:rsid wsp:val=&quot;00974907&quot;/&gt;&lt;wsp:rsid wsp:val=&quot;00974AE7&quot;/&gt;&lt;wsp:rsid wsp:val=&quot;0097550F&quot;/&gt;&lt;wsp:rsid wsp:val=&quot;0097594A&quot;/&gt;&lt;wsp:rsid wsp:val=&quot;009759C3&quot;/&gt;&lt;wsp:rsid wsp:val=&quot;00975A0E&quot;/&gt;&lt;wsp:rsid wsp:val=&quot;00976090&quot;/&gt;&lt;wsp:rsid wsp:val=&quot;0097735E&quot;/&gt;&lt;wsp:rsid wsp:val=&quot;0097784C&quot;/&gt;&lt;wsp:rsid wsp:val=&quot;009778A0&quot;/&gt;&lt;wsp:rsid wsp:val=&quot;00977B6E&quot;/&gt;&lt;wsp:rsid wsp:val=&quot;00977D78&quot;/&gt;&lt;wsp:rsid wsp:val=&quot;009801FA&quot;/&gt;&lt;wsp:rsid wsp:val=&quot;00980377&quot;/&gt;&lt;wsp:rsid wsp:val=&quot;00980390&quot;/&gt;&lt;wsp:rsid wsp:val=&quot;009803F5&quot;/&gt;&lt;wsp:rsid wsp:val=&quot;00980790&quot;/&gt;&lt;wsp:rsid wsp:val=&quot;00980BB9&quot;/&gt;&lt;wsp:rsid wsp:val=&quot;00980E2A&quot;/&gt;&lt;wsp:rsid wsp:val=&quot;00980EC8&quot;/&gt;&lt;wsp:rsid wsp:val=&quot;009815C2&quot;/&gt;&lt;wsp:rsid wsp:val=&quot;0098278D&quot;/&gt;&lt;wsp:rsid wsp:val=&quot;00982AC4&quot;/&gt;&lt;wsp:rsid wsp:val=&quot;0098346C&quot;/&gt;&lt;wsp:rsid wsp:val=&quot;0098353D&quot;/&gt;&lt;wsp:rsid wsp:val=&quot;009835FB&quot;/&gt;&lt;wsp:rsid wsp:val=&quot;00983797&quot;/&gt;&lt;wsp:rsid wsp:val=&quot;00983827&quot;/&gt;&lt;wsp:rsid wsp:val=&quot;0098488D&quot;/&gt;&lt;wsp:rsid wsp:val=&quot;00984A8C&quot;/&gt;&lt;wsp:rsid wsp:val=&quot;00984AAD&quot;/&gt;&lt;wsp:rsid wsp:val=&quot;00984B8B&quot;/&gt;&lt;wsp:rsid wsp:val=&quot;00984D74&quot;/&gt;&lt;wsp:rsid wsp:val=&quot;00984DD8&quot;/&gt;&lt;wsp:rsid wsp:val=&quot;0098508E&quot;/&gt;&lt;wsp:rsid wsp:val=&quot;009852F4&quot;/&gt;&lt;wsp:rsid wsp:val=&quot;009859BF&quot;/&gt;&lt;wsp:rsid wsp:val=&quot;00987163&quot;/&gt;&lt;wsp:rsid wsp:val=&quot;0098754F&quot;/&gt;&lt;wsp:rsid wsp:val=&quot;00987980&quot;/&gt;&lt;wsp:rsid wsp:val=&quot;00987E89&quot;/&gt;&lt;wsp:rsid wsp:val=&quot;00991459&quot;/&gt;&lt;wsp:rsid wsp:val=&quot;00991671&quot;/&gt;&lt;wsp:rsid wsp:val=&quot;00991782&quot;/&gt;&lt;wsp:rsid wsp:val=&quot;009917E3&quot;/&gt;&lt;wsp:rsid wsp:val=&quot;00991A13&quot;/&gt;&lt;wsp:rsid wsp:val=&quot;00991E2A&quot;/&gt;&lt;wsp:rsid wsp:val=&quot;009921AD&quot;/&gt;&lt;wsp:rsid wsp:val=&quot;009921D4&quot;/&gt;&lt;wsp:rsid wsp:val=&quot;0099278A&quot;/&gt;&lt;wsp:rsid wsp:val=&quot;00992869&quot;/&gt;&lt;wsp:rsid wsp:val=&quot;00992C3D&quot;/&gt;&lt;wsp:rsid wsp:val=&quot;00992DE3&quot;/&gt;&lt;wsp:rsid wsp:val=&quot;0099312A&quot;/&gt;&lt;wsp:rsid wsp:val=&quot;00993200&quot;/&gt;&lt;wsp:rsid wsp:val=&quot;00993249&quot;/&gt;&lt;wsp:rsid wsp:val=&quot;00993475&quot;/&gt;&lt;wsp:rsid wsp:val=&quot;00993B49&quot;/&gt;&lt;wsp:rsid wsp:val=&quot;00993BD3&quot;/&gt;&lt;wsp:rsid wsp:val=&quot;00994D3E&quot;/&gt;&lt;wsp:rsid wsp:val=&quot;009955E0&quot;/&gt;&lt;wsp:rsid wsp:val=&quot;00995611&quot;/&gt;&lt;wsp:rsid wsp:val=&quot;009957D0&quot;/&gt;&lt;wsp:rsid wsp:val=&quot;009958F6&quot;/&gt;&lt;wsp:rsid wsp:val=&quot;00995A30&quot;/&gt;&lt;wsp:rsid wsp:val=&quot;00995C78&quot;/&gt;&lt;wsp:rsid wsp:val=&quot;00995D52&quot;/&gt;&lt;wsp:rsid wsp:val=&quot;00995D62&quot;/&gt;&lt;wsp:rsid wsp:val=&quot;00995EED&quot;/&gt;&lt;wsp:rsid wsp:val=&quot;0099609C&quot;/&gt;&lt;wsp:rsid wsp:val=&quot;009967AD&quot;/&gt;&lt;wsp:rsid wsp:val=&quot;00996821&quot;/&gt;&lt;wsp:rsid wsp:val=&quot;009969C4&quot;/&gt;&lt;wsp:rsid wsp:val=&quot;00996C5E&quot;/&gt;&lt;wsp:rsid wsp:val=&quot;00996E57&quot;/&gt;&lt;wsp:rsid wsp:val=&quot;009972EB&quot;/&gt;&lt;wsp:rsid wsp:val=&quot;00997809&quot;/&gt;&lt;wsp:rsid wsp:val=&quot;009A00EF&quot;/&gt;&lt;wsp:rsid wsp:val=&quot;009A031D&quot;/&gt;&lt;wsp:rsid wsp:val=&quot;009A0546&quot;/&gt;&lt;wsp:rsid wsp:val=&quot;009A0691&quot;/&gt;&lt;wsp:rsid wsp:val=&quot;009A0AA4&quot;/&gt;&lt;wsp:rsid wsp:val=&quot;009A1202&quot;/&gt;&lt;wsp:rsid wsp:val=&quot;009A16E8&quot;/&gt;&lt;wsp:rsid wsp:val=&quot;009A170E&quot;/&gt;&lt;wsp:rsid wsp:val=&quot;009A1756&quot;/&gt;&lt;wsp:rsid wsp:val=&quot;009A179F&quot;/&gt;&lt;wsp:rsid wsp:val=&quot;009A1F5C&quot;/&gt;&lt;wsp:rsid wsp:val=&quot;009A215F&quot;/&gt;&lt;wsp:rsid wsp:val=&quot;009A24E6&quot;/&gt;&lt;wsp:rsid wsp:val=&quot;009A24F6&quot;/&gt;&lt;wsp:rsid wsp:val=&quot;009A2528&quot;/&gt;&lt;wsp:rsid wsp:val=&quot;009A261F&quot;/&gt;&lt;wsp:rsid wsp:val=&quot;009A295F&quot;/&gt;&lt;wsp:rsid wsp:val=&quot;009A2EEB&quot;/&gt;&lt;wsp:rsid wsp:val=&quot;009A3A57&quot;/&gt;&lt;wsp:rsid wsp:val=&quot;009A3CCC&quot;/&gt;&lt;wsp:rsid wsp:val=&quot;009A4396&quot;/&gt;&lt;wsp:rsid wsp:val=&quot;009A452F&quot;/&gt;&lt;wsp:rsid wsp:val=&quot;009A46B8&quot;/&gt;&lt;wsp:rsid wsp:val=&quot;009A4725&quot;/&gt;&lt;wsp:rsid wsp:val=&quot;009A4863&quot;/&gt;&lt;wsp:rsid wsp:val=&quot;009A4996&quot;/&gt;&lt;wsp:rsid wsp:val=&quot;009A4BC2&quot;/&gt;&lt;wsp:rsid wsp:val=&quot;009A4F9A&quot;/&gt;&lt;wsp:rsid wsp:val=&quot;009A5039&quot;/&gt;&lt;wsp:rsid wsp:val=&quot;009A519E&quot;/&gt;&lt;wsp:rsid wsp:val=&quot;009A5423&quot;/&gt;&lt;wsp:rsid wsp:val=&quot;009A5468&quot;/&gt;&lt;wsp:rsid wsp:val=&quot;009A57B5&quot;/&gt;&lt;wsp:rsid wsp:val=&quot;009A5B9A&quot;/&gt;&lt;wsp:rsid wsp:val=&quot;009A5E75&quot;/&gt;&lt;wsp:rsid wsp:val=&quot;009A60AE&quot;/&gt;&lt;wsp:rsid wsp:val=&quot;009A616D&quot;/&gt;&lt;wsp:rsid wsp:val=&quot;009A6712&quot;/&gt;&lt;wsp:rsid wsp:val=&quot;009A68F1&quot;/&gt;&lt;wsp:rsid wsp:val=&quot;009A6A5B&quot;/&gt;&lt;wsp:rsid wsp:val=&quot;009A6B39&quot;/&gt;&lt;wsp:rsid wsp:val=&quot;009A6D9B&quot;/&gt;&lt;wsp:rsid wsp:val=&quot;009A7078&quot;/&gt;&lt;wsp:rsid wsp:val=&quot;009A751C&quot;/&gt;&lt;wsp:rsid wsp:val=&quot;009A7768&quot;/&gt;&lt;wsp:rsid wsp:val=&quot;009A778F&quot;/&gt;&lt;wsp:rsid wsp:val=&quot;009A7BB0&quot;/&gt;&lt;wsp:rsid wsp:val=&quot;009A7BFB&quot;/&gt;&lt;wsp:rsid wsp:val=&quot;009A7C9E&quot;/&gt;&lt;wsp:rsid wsp:val=&quot;009B030A&quot;/&gt;&lt;wsp:rsid wsp:val=&quot;009B0BA0&quot;/&gt;&lt;wsp:rsid wsp:val=&quot;009B0D0E&quot;/&gt;&lt;wsp:rsid wsp:val=&quot;009B0D1C&quot;/&gt;&lt;wsp:rsid wsp:val=&quot;009B1D40&quot;/&gt;&lt;wsp:rsid wsp:val=&quot;009B2453&quot;/&gt;&lt;wsp:rsid wsp:val=&quot;009B25C0&quot;/&gt;&lt;wsp:rsid wsp:val=&quot;009B2649&quot;/&gt;&lt;wsp:rsid wsp:val=&quot;009B27CF&quot;/&gt;&lt;wsp:rsid wsp:val=&quot;009B2818&quot;/&gt;&lt;wsp:rsid wsp:val=&quot;009B2A7E&quot;/&gt;&lt;wsp:rsid wsp:val=&quot;009B2AAF&quot;/&gt;&lt;wsp:rsid wsp:val=&quot;009B2AFC&quot;/&gt;&lt;wsp:rsid wsp:val=&quot;009B2B4B&quot;/&gt;&lt;wsp:rsid wsp:val=&quot;009B2DDF&quot;/&gt;&lt;wsp:rsid wsp:val=&quot;009B3261&quot;/&gt;&lt;wsp:rsid wsp:val=&quot;009B3DE1&quot;/&gt;&lt;wsp:rsid wsp:val=&quot;009B4723&quot;/&gt;&lt;wsp:rsid wsp:val=&quot;009B4B92&quot;/&gt;&lt;wsp:rsid wsp:val=&quot;009B54B4&quot;/&gt;&lt;wsp:rsid wsp:val=&quot;009B5A4D&quot;/&gt;&lt;wsp:rsid wsp:val=&quot;009B5BB6&quot;/&gt;&lt;wsp:rsid wsp:val=&quot;009B6CDE&quot;/&gt;&lt;wsp:rsid wsp:val=&quot;009B7120&quot;/&gt;&lt;wsp:rsid wsp:val=&quot;009B79FA&quot;/&gt;&lt;wsp:rsid wsp:val=&quot;009B7A35&quot;/&gt;&lt;wsp:rsid wsp:val=&quot;009B7B82&quot;/&gt;&lt;wsp:rsid wsp:val=&quot;009B7DC2&quot;/&gt;&lt;wsp:rsid wsp:val=&quot;009C053E&quot;/&gt;&lt;wsp:rsid wsp:val=&quot;009C06B6&quot;/&gt;&lt;wsp:rsid wsp:val=&quot;009C08EA&quot;/&gt;&lt;wsp:rsid wsp:val=&quot;009C09FD&quot;/&gt;&lt;wsp:rsid wsp:val=&quot;009C0D5C&quot;/&gt;&lt;wsp:rsid wsp:val=&quot;009C1451&quot;/&gt;&lt;wsp:rsid wsp:val=&quot;009C1F4F&quot;/&gt;&lt;wsp:rsid wsp:val=&quot;009C2072&quot;/&gt;&lt;wsp:rsid wsp:val=&quot;009C23D6&quot;/&gt;&lt;wsp:rsid wsp:val=&quot;009C2722&quot;/&gt;&lt;wsp:rsid wsp:val=&quot;009C2729&quot;/&gt;&lt;wsp:rsid wsp:val=&quot;009C2784&quot;/&gt;&lt;wsp:rsid wsp:val=&quot;009C2AEA&quot;/&gt;&lt;wsp:rsid wsp:val=&quot;009C2C3F&quot;/&gt;&lt;wsp:rsid wsp:val=&quot;009C2FDD&quot;/&gt;&lt;wsp:rsid wsp:val=&quot;009C34F9&quot;/&gt;&lt;wsp:rsid wsp:val=&quot;009C35E7&quot;/&gt;&lt;wsp:rsid wsp:val=&quot;009C36E7&quot;/&gt;&lt;wsp:rsid wsp:val=&quot;009C38E9&quot;/&gt;&lt;wsp:rsid wsp:val=&quot;009C39F3&quot;/&gt;&lt;wsp:rsid wsp:val=&quot;009C3E94&quot;/&gt;&lt;wsp:rsid wsp:val=&quot;009C3FCC&quot;/&gt;&lt;wsp:rsid wsp:val=&quot;009C4BE5&quot;/&gt;&lt;wsp:rsid wsp:val=&quot;009C4ED7&quot;/&gt;&lt;wsp:rsid wsp:val=&quot;009C4F74&quot;/&gt;&lt;wsp:rsid wsp:val=&quot;009C5115&quot;/&gt;&lt;wsp:rsid wsp:val=&quot;009C517E&quot;/&gt;&lt;wsp:rsid wsp:val=&quot;009C542D&quot;/&gt;&lt;wsp:rsid wsp:val=&quot;009C57E9&quot;/&gt;&lt;wsp:rsid wsp:val=&quot;009C5B1C&quot;/&gt;&lt;wsp:rsid wsp:val=&quot;009C5BC1&quot;/&gt;&lt;wsp:rsid wsp:val=&quot;009C6835&quot;/&gt;&lt;wsp:rsid wsp:val=&quot;009C696A&quot;/&gt;&lt;wsp:rsid wsp:val=&quot;009C6BF5&quot;/&gt;&lt;wsp:rsid wsp:val=&quot;009C708E&quot;/&gt;&lt;wsp:rsid wsp:val=&quot;009C715D&quot;/&gt;&lt;wsp:rsid wsp:val=&quot;009C76B8&quot;/&gt;&lt;wsp:rsid wsp:val=&quot;009C7E16&quot;/&gt;&lt;wsp:rsid wsp:val=&quot;009C7E8B&quot;/&gt;&lt;wsp:rsid wsp:val=&quot;009C7F54&quot;/&gt;&lt;wsp:rsid wsp:val=&quot;009C7F9F&quot;/&gt;&lt;wsp:rsid wsp:val=&quot;009D04EE&quot;/&gt;&lt;wsp:rsid wsp:val=&quot;009D07C5&quot;/&gt;&lt;wsp:rsid wsp:val=&quot;009D0A80&quot;/&gt;&lt;wsp:rsid wsp:val=&quot;009D0AA1&quot;/&gt;&lt;wsp:rsid wsp:val=&quot;009D0AF6&quot;/&gt;&lt;wsp:rsid wsp:val=&quot;009D0B58&quot;/&gt;&lt;wsp:rsid wsp:val=&quot;009D0BEB&quot;/&gt;&lt;wsp:rsid wsp:val=&quot;009D11AD&quot;/&gt;&lt;wsp:rsid wsp:val=&quot;009D1479&quot;/&gt;&lt;wsp:rsid wsp:val=&quot;009D15E4&quot;/&gt;&lt;wsp:rsid wsp:val=&quot;009D162D&quot;/&gt;&lt;wsp:rsid wsp:val=&quot;009D17A0&quot;/&gt;&lt;wsp:rsid wsp:val=&quot;009D19F1&quot;/&gt;&lt;wsp:rsid wsp:val=&quot;009D2125&quot;/&gt;&lt;wsp:rsid wsp:val=&quot;009D227E&quot;/&gt;&lt;wsp:rsid wsp:val=&quot;009D23AA&quot;/&gt;&lt;wsp:rsid wsp:val=&quot;009D23C0&quot;/&gt;&lt;wsp:rsid wsp:val=&quot;009D281F&quot;/&gt;&lt;wsp:rsid wsp:val=&quot;009D298A&quot;/&gt;&lt;wsp:rsid wsp:val=&quot;009D29F0&quot;/&gt;&lt;wsp:rsid wsp:val=&quot;009D2B6B&quot;/&gt;&lt;wsp:rsid wsp:val=&quot;009D2BE3&quot;/&gt;&lt;wsp:rsid wsp:val=&quot;009D2E4A&quot;/&gt;&lt;wsp:rsid wsp:val=&quot;009D2EBB&quot;/&gt;&lt;wsp:rsid wsp:val=&quot;009D2FBB&quot;/&gt;&lt;wsp:rsid wsp:val=&quot;009D31E6&quot;/&gt;&lt;wsp:rsid wsp:val=&quot;009D35BB&quot;/&gt;&lt;wsp:rsid wsp:val=&quot;009D3A39&quot;/&gt;&lt;wsp:rsid wsp:val=&quot;009D3AE1&quot;/&gt;&lt;wsp:rsid wsp:val=&quot;009D3AF5&quot;/&gt;&lt;wsp:rsid wsp:val=&quot;009D461A&quot;/&gt;&lt;wsp:rsid wsp:val=&quot;009D56D5&quot;/&gt;&lt;wsp:rsid wsp:val=&quot;009D57B6&quot;/&gt;&lt;wsp:rsid wsp:val=&quot;009D5916&quot;/&gt;&lt;wsp:rsid wsp:val=&quot;009D5D5E&quot;/&gt;&lt;wsp:rsid wsp:val=&quot;009D6099&quot;/&gt;&lt;wsp:rsid wsp:val=&quot;009D61D7&quot;/&gt;&lt;wsp:rsid wsp:val=&quot;009D61E5&quot;/&gt;&lt;wsp:rsid wsp:val=&quot;009D6605&quot;/&gt;&lt;wsp:rsid wsp:val=&quot;009D67EA&quot;/&gt;&lt;wsp:rsid wsp:val=&quot;009D6ABA&quot;/&gt;&lt;wsp:rsid wsp:val=&quot;009D6ABF&quot;/&gt;&lt;wsp:rsid wsp:val=&quot;009D6D5A&quot;/&gt;&lt;wsp:rsid wsp:val=&quot;009D79DB&quot;/&gt;&lt;wsp:rsid wsp:val=&quot;009D7A84&quot;/&gt;&lt;wsp:rsid wsp:val=&quot;009D7AB4&quot;/&gt;&lt;wsp:rsid wsp:val=&quot;009D7D1E&quot;/&gt;&lt;wsp:rsid wsp:val=&quot;009D7FD1&quot;/&gt;&lt;wsp:rsid wsp:val=&quot;009E037F&quot;/&gt;&lt;wsp:rsid wsp:val=&quot;009E07DE&quot;/&gt;&lt;wsp:rsid wsp:val=&quot;009E0BCD&quot;/&gt;&lt;wsp:rsid wsp:val=&quot;009E0BEF&quot;/&gt;&lt;wsp:rsid wsp:val=&quot;009E0DD7&quot;/&gt;&lt;wsp:rsid wsp:val=&quot;009E0F4D&quot;/&gt;&lt;wsp:rsid wsp:val=&quot;009E0FB4&quot;/&gt;&lt;wsp:rsid wsp:val=&quot;009E1086&quot;/&gt;&lt;wsp:rsid wsp:val=&quot;009E1294&quot;/&gt;&lt;wsp:rsid wsp:val=&quot;009E19F8&quot;/&gt;&lt;wsp:rsid wsp:val=&quot;009E1C77&quot;/&gt;&lt;wsp:rsid wsp:val=&quot;009E2DEE&quot;/&gt;&lt;wsp:rsid wsp:val=&quot;009E36EB&quot;/&gt;&lt;wsp:rsid wsp:val=&quot;009E3E4C&quot;/&gt;&lt;wsp:rsid wsp:val=&quot;009E3FFF&quot;/&gt;&lt;wsp:rsid wsp:val=&quot;009E45F4&quot;/&gt;&lt;wsp:rsid wsp:val=&quot;009E4622&quot;/&gt;&lt;wsp:rsid wsp:val=&quot;009E48F5&quot;/&gt;&lt;wsp:rsid wsp:val=&quot;009E5044&quot;/&gt;&lt;wsp:rsid wsp:val=&quot;009E5060&quot;/&gt;&lt;wsp:rsid wsp:val=&quot;009E53F0&quot;/&gt;&lt;wsp:rsid wsp:val=&quot;009E53F2&quot;/&gt;&lt;wsp:rsid wsp:val=&quot;009E5666&quot;/&gt;&lt;wsp:rsid wsp:val=&quot;009E56C1&quot;/&gt;&lt;wsp:rsid wsp:val=&quot;009E591E&quot;/&gt;&lt;wsp:rsid wsp:val=&quot;009E5D87&quot;/&gt;&lt;wsp:rsid wsp:val=&quot;009E5DE0&quot;/&gt;&lt;wsp:rsid wsp:val=&quot;009E68A8&quot;/&gt;&lt;wsp:rsid wsp:val=&quot;009E6988&quot;/&gt;&lt;wsp:rsid wsp:val=&quot;009E6C73&quot;/&gt;&lt;wsp:rsid wsp:val=&quot;009E6CC9&quot;/&gt;&lt;wsp:rsid wsp:val=&quot;009E71EE&quot;/&gt;&lt;wsp:rsid wsp:val=&quot;009E7D27&quot;/&gt;&lt;wsp:rsid wsp:val=&quot;009F0DAA&quot;/&gt;&lt;wsp:rsid wsp:val=&quot;009F0E30&quot;/&gt;&lt;wsp:rsid wsp:val=&quot;009F1B40&quot;/&gt;&lt;wsp:rsid wsp:val=&quot;009F1C8A&quot;/&gt;&lt;wsp:rsid wsp:val=&quot;009F254F&quot;/&gt;&lt;wsp:rsid wsp:val=&quot;009F26F9&quot;/&gt;&lt;wsp:rsid wsp:val=&quot;009F2846&quot;/&gt;&lt;wsp:rsid wsp:val=&quot;009F2AFA&quot;/&gt;&lt;wsp:rsid wsp:val=&quot;009F2D02&quot;/&gt;&lt;wsp:rsid wsp:val=&quot;009F3060&quot;/&gt;&lt;wsp:rsid wsp:val=&quot;009F37DD&quot;/&gt;&lt;wsp:rsid wsp:val=&quot;009F3857&quot;/&gt;&lt;wsp:rsid wsp:val=&quot;009F3960&quot;/&gt;&lt;wsp:rsid wsp:val=&quot;009F3C41&quot;/&gt;&lt;wsp:rsid wsp:val=&quot;009F426A&quot;/&gt;&lt;wsp:rsid wsp:val=&quot;009F4681&quot;/&gt;&lt;wsp:rsid wsp:val=&quot;009F48C5&quot;/&gt;&lt;wsp:rsid wsp:val=&quot;009F4D8C&quot;/&gt;&lt;wsp:rsid wsp:val=&quot;009F4FFF&quot;/&gt;&lt;wsp:rsid wsp:val=&quot;009F519D&quot;/&gt;&lt;wsp:rsid wsp:val=&quot;009F5232&quot;/&gt;&lt;wsp:rsid wsp:val=&quot;009F52A3&quot;/&gt;&lt;wsp:rsid wsp:val=&quot;009F53C7&quot;/&gt;&lt;wsp:rsid wsp:val=&quot;009F56F5&quot;/&gt;&lt;wsp:rsid wsp:val=&quot;009F590B&quot;/&gt;&lt;wsp:rsid wsp:val=&quot;009F5AF6&quot;/&gt;&lt;wsp:rsid wsp:val=&quot;009F5EC0&quot;/&gt;&lt;wsp:rsid wsp:val=&quot;009F6174&quot;/&gt;&lt;wsp:rsid wsp:val=&quot;009F61F3&quot;/&gt;&lt;wsp:rsid wsp:val=&quot;009F6612&quot;/&gt;&lt;wsp:rsid wsp:val=&quot;009F66D0&quot;/&gt;&lt;wsp:rsid wsp:val=&quot;009F6BFF&quot;/&gt;&lt;wsp:rsid wsp:val=&quot;009F6C12&quot;/&gt;&lt;wsp:rsid wsp:val=&quot;009F6C6F&quot;/&gt;&lt;wsp:rsid wsp:val=&quot;009F6D60&quot;/&gt;&lt;wsp:rsid wsp:val=&quot;009F6E91&quot;/&gt;&lt;wsp:rsid wsp:val=&quot;009F7704&quot;/&gt;&lt;wsp:rsid wsp:val=&quot;009F7E7D&quot;/&gt;&lt;wsp:rsid wsp:val=&quot;00A00108&quot;/&gt;&lt;wsp:rsid wsp:val=&quot;00A0029D&quot;/&gt;&lt;wsp:rsid wsp:val=&quot;00A006E2&quot;/&gt;&lt;wsp:rsid wsp:val=&quot;00A006EE&quot;/&gt;&lt;wsp:rsid wsp:val=&quot;00A0074F&quot;/&gt;&lt;wsp:rsid wsp:val=&quot;00A00F23&quot;/&gt;&lt;wsp:rsid wsp:val=&quot;00A013C1&quot;/&gt;&lt;wsp:rsid wsp:val=&quot;00A01BB7&quot;/&gt;&lt;wsp:rsid wsp:val=&quot;00A01BBC&quot;/&gt;&lt;wsp:rsid wsp:val=&quot;00A01C6B&quot;/&gt;&lt;wsp:rsid wsp:val=&quot;00A01CBE&quot;/&gt;&lt;wsp:rsid wsp:val=&quot;00A0234B&quot;/&gt;&lt;wsp:rsid wsp:val=&quot;00A024CC&quot;/&gt;&lt;wsp:rsid wsp:val=&quot;00A02851&quot;/&gt;&lt;wsp:rsid wsp:val=&quot;00A02878&quot;/&gt;&lt;wsp:rsid wsp:val=&quot;00A02CB7&quot;/&gt;&lt;wsp:rsid wsp:val=&quot;00A0335B&quot;/&gt;&lt;wsp:rsid wsp:val=&quot;00A03B79&quot;/&gt;&lt;wsp:rsid wsp:val=&quot;00A03E14&quot;/&gt;&lt;wsp:rsid wsp:val=&quot;00A04440&quot;/&gt;&lt;wsp:rsid wsp:val=&quot;00A04E5B&quot;/&gt;&lt;wsp:rsid wsp:val=&quot;00A04F29&quot;/&gt;&lt;wsp:rsid wsp:val=&quot;00A05038&quot;/&gt;&lt;wsp:rsid wsp:val=&quot;00A0578A&quot;/&gt;&lt;wsp:rsid wsp:val=&quot;00A05925&quot;/&gt;&lt;wsp:rsid wsp:val=&quot;00A05AA3&quot;/&gt;&lt;wsp:rsid wsp:val=&quot;00A05F18&quot;/&gt;&lt;wsp:rsid wsp:val=&quot;00A06349&quot;/&gt;&lt;wsp:rsid wsp:val=&quot;00A06389&quot;/&gt;&lt;wsp:rsid wsp:val=&quot;00A063D6&quot;/&gt;&lt;wsp:rsid wsp:val=&quot;00A06AF7&quot;/&gt;&lt;wsp:rsid wsp:val=&quot;00A06C3B&quot;/&gt;&lt;wsp:rsid wsp:val=&quot;00A0705C&quot;/&gt;&lt;wsp:rsid wsp:val=&quot;00A071F0&quot;/&gt;&lt;wsp:rsid wsp:val=&quot;00A0795B&quot;/&gt;&lt;wsp:rsid wsp:val=&quot;00A07FD5&quot;/&gt;&lt;wsp:rsid wsp:val=&quot;00A10198&quot;/&gt;&lt;wsp:rsid wsp:val=&quot;00A101C2&quot;/&gt;&lt;wsp:rsid wsp:val=&quot;00A10679&quot;/&gt;&lt;wsp:rsid wsp:val=&quot;00A106EB&quot;/&gt;&lt;wsp:rsid wsp:val=&quot;00A109EE&quot;/&gt;&lt;wsp:rsid wsp:val=&quot;00A112E7&quot;/&gt;&lt;wsp:rsid wsp:val=&quot;00A11859&quot;/&gt;&lt;wsp:rsid wsp:val=&quot;00A11F40&quot;/&gt;&lt;wsp:rsid wsp:val=&quot;00A12240&quot;/&gt;&lt;wsp:rsid wsp:val=&quot;00A12640&quot;/&gt;&lt;wsp:rsid wsp:val=&quot;00A128AA&quot;/&gt;&lt;wsp:rsid wsp:val=&quot;00A12C11&quot;/&gt;&lt;wsp:rsid wsp:val=&quot;00A12C12&quot;/&gt;&lt;wsp:rsid wsp:val=&quot;00A12D6A&quot;/&gt;&lt;wsp:rsid wsp:val=&quot;00A12D7C&quot;/&gt;&lt;wsp:rsid wsp:val=&quot;00A1375D&quot;/&gt;&lt;wsp:rsid wsp:val=&quot;00A1385D&quot;/&gt;&lt;wsp:rsid wsp:val=&quot;00A13B28&quot;/&gt;&lt;wsp:rsid wsp:val=&quot;00A13D39&quot;/&gt;&lt;wsp:rsid wsp:val=&quot;00A13F73&quot;/&gt;&lt;wsp:rsid wsp:val=&quot;00A13F82&quot;/&gt;&lt;wsp:rsid wsp:val=&quot;00A13FED&quot;/&gt;&lt;wsp:rsid wsp:val=&quot;00A14252&quot;/&gt;&lt;wsp:rsid wsp:val=&quot;00A148D1&quot;/&gt;&lt;wsp:rsid wsp:val=&quot;00A148FB&quot;/&gt;&lt;wsp:rsid wsp:val=&quot;00A14FE7&quot;/&gt;&lt;wsp:rsid wsp:val=&quot;00A150D5&quot;/&gt;&lt;wsp:rsid wsp:val=&quot;00A15168&quot;/&gt;&lt;wsp:rsid wsp:val=&quot;00A1543F&quot;/&gt;&lt;wsp:rsid wsp:val=&quot;00A15572&quot;/&gt;&lt;wsp:rsid wsp:val=&quot;00A15783&quot;/&gt;&lt;wsp:rsid wsp:val=&quot;00A15C97&quot;/&gt;&lt;wsp:rsid wsp:val=&quot;00A15CBA&quot;/&gt;&lt;wsp:rsid wsp:val=&quot;00A16141&quot;/&gt;&lt;wsp:rsid wsp:val=&quot;00A166D0&quot;/&gt;&lt;wsp:rsid wsp:val=&quot;00A16A35&quot;/&gt;&lt;wsp:rsid wsp:val=&quot;00A1722D&quot;/&gt;&lt;wsp:rsid wsp:val=&quot;00A1763E&quot;/&gt;&lt;wsp:rsid wsp:val=&quot;00A17B2D&quot;/&gt;&lt;wsp:rsid wsp:val=&quot;00A17C35&quot;/&gt;&lt;wsp:rsid wsp:val=&quot;00A17D80&quot;/&gt;&lt;wsp:rsid wsp:val=&quot;00A17DDB&quot;/&gt;&lt;wsp:rsid wsp:val=&quot;00A17E93&quot;/&gt;&lt;wsp:rsid wsp:val=&quot;00A17FD5&quot;/&gt;&lt;wsp:rsid wsp:val=&quot;00A20378&quot;/&gt;&lt;wsp:rsid wsp:val=&quot;00A209EA&quot;/&gt;&lt;wsp:rsid wsp:val=&quot;00A20D10&quot;/&gt;&lt;wsp:rsid wsp:val=&quot;00A20E6C&quot;/&gt;&lt;wsp:rsid wsp:val=&quot;00A20F11&quot;/&gt;&lt;wsp:rsid wsp:val=&quot;00A21ABD&quot;/&gt;&lt;wsp:rsid wsp:val=&quot;00A21BFA&quot;/&gt;&lt;wsp:rsid wsp:val=&quot;00A21CE4&quot;/&gt;&lt;wsp:rsid wsp:val=&quot;00A2207C&quot;/&gt;&lt;wsp:rsid wsp:val=&quot;00A22137&quot;/&gt;&lt;wsp:rsid wsp:val=&quot;00A226FC&quot;/&gt;&lt;wsp:rsid wsp:val=&quot;00A226FF&quot;/&gt;&lt;wsp:rsid wsp:val=&quot;00A2291F&quot;/&gt;&lt;wsp:rsid wsp:val=&quot;00A22E0D&quot;/&gt;&lt;wsp:rsid wsp:val=&quot;00A22F42&quot;/&gt;&lt;wsp:rsid wsp:val=&quot;00A23506&quot;/&gt;&lt;wsp:rsid wsp:val=&quot;00A23648&quot;/&gt;&lt;wsp:rsid wsp:val=&quot;00A23994&quot;/&gt;&lt;wsp:rsid wsp:val=&quot;00A23B5E&quot;/&gt;&lt;wsp:rsid wsp:val=&quot;00A24233&quot;/&gt;&lt;wsp:rsid wsp:val=&quot;00A24248&quot;/&gt;&lt;wsp:rsid wsp:val=&quot;00A24A2D&quot;/&gt;&lt;wsp:rsid wsp:val=&quot;00A252E7&quot;/&gt;&lt;wsp:rsid wsp:val=&quot;00A2593E&quot;/&gt;&lt;wsp:rsid wsp:val=&quot;00A261A7&quot;/&gt;&lt;wsp:rsid wsp:val=&quot;00A262EE&quot;/&gt;&lt;wsp:rsid wsp:val=&quot;00A270A3&quot;/&gt;&lt;wsp:rsid wsp:val=&quot;00A27218&quot;/&gt;&lt;wsp:rsid wsp:val=&quot;00A272C0&quot;/&gt;&lt;wsp:rsid wsp:val=&quot;00A27335&quot;/&gt;&lt;wsp:rsid wsp:val=&quot;00A27758&quot;/&gt;&lt;wsp:rsid wsp:val=&quot;00A27EF4&quot;/&gt;&lt;wsp:rsid wsp:val=&quot;00A27F1E&quot;/&gt;&lt;wsp:rsid wsp:val=&quot;00A30022&quot;/&gt;&lt;wsp:rsid wsp:val=&quot;00A30405&quot;/&gt;&lt;wsp:rsid wsp:val=&quot;00A30473&quot;/&gt;&lt;wsp:rsid wsp:val=&quot;00A304F6&quot;/&gt;&lt;wsp:rsid wsp:val=&quot;00A30940&quot;/&gt;&lt;wsp:rsid wsp:val=&quot;00A30C79&quot;/&gt;&lt;wsp:rsid wsp:val=&quot;00A30CD9&quot;/&gt;&lt;wsp:rsid wsp:val=&quot;00A30D84&quot;/&gt;&lt;wsp:rsid wsp:val=&quot;00A310F8&quot;/&gt;&lt;wsp:rsid wsp:val=&quot;00A31154&quot;/&gt;&lt;wsp:rsid wsp:val=&quot;00A3124A&quot;/&gt;&lt;wsp:rsid wsp:val=&quot;00A31811&quot;/&gt;&lt;wsp:rsid wsp:val=&quot;00A31CD5&quot;/&gt;&lt;wsp:rsid wsp:val=&quot;00A32633&quot;/&gt;&lt;wsp:rsid wsp:val=&quot;00A32EF9&quot;/&gt;&lt;wsp:rsid wsp:val=&quot;00A3384E&quot;/&gt;&lt;wsp:rsid wsp:val=&quot;00A33D51&quot;/&gt;&lt;wsp:rsid wsp:val=&quot;00A33EAA&quot;/&gt;&lt;wsp:rsid wsp:val=&quot;00A34099&quot;/&gt;&lt;wsp:rsid wsp:val=&quot;00A343F7&quot;/&gt;&lt;wsp:rsid wsp:val=&quot;00A34488&quot;/&gt;&lt;wsp:rsid wsp:val=&quot;00A34787&quot;/&gt;&lt;wsp:rsid wsp:val=&quot;00A3483B&quot;/&gt;&lt;wsp:rsid wsp:val=&quot;00A348E8&quot;/&gt;&lt;wsp:rsid wsp:val=&quot;00A34919&quot;/&gt;&lt;wsp:rsid wsp:val=&quot;00A34AB2&quot;/&gt;&lt;wsp:rsid wsp:val=&quot;00A3521D&quot;/&gt;&lt;wsp:rsid wsp:val=&quot;00A352D6&quot;/&gt;&lt;wsp:rsid wsp:val=&quot;00A35655&quot;/&gt;&lt;wsp:rsid wsp:val=&quot;00A35DA5&quot;/&gt;&lt;wsp:rsid wsp:val=&quot;00A3602A&quot;/&gt;&lt;wsp:rsid wsp:val=&quot;00A3612D&quot;/&gt;&lt;wsp:rsid wsp:val=&quot;00A3687D&quot;/&gt;&lt;wsp:rsid wsp:val=&quot;00A36911&quot;/&gt;&lt;wsp:rsid wsp:val=&quot;00A36FC7&quot;/&gt;&lt;wsp:rsid wsp:val=&quot;00A375E3&quot;/&gt;&lt;wsp:rsid wsp:val=&quot;00A37CCC&quot;/&gt;&lt;wsp:rsid wsp:val=&quot;00A37D0D&quot;/&gt;&lt;wsp:rsid wsp:val=&quot;00A40248&quot;/&gt;&lt;wsp:rsid wsp:val=&quot;00A40A2D&quot;/&gt;&lt;wsp:rsid wsp:val=&quot;00A40C6F&quot;/&gt;&lt;wsp:rsid wsp:val=&quot;00A40F5C&quot;/&gt;&lt;wsp:rsid wsp:val=&quot;00A41847&quot;/&gt;&lt;wsp:rsid wsp:val=&quot;00A41B59&quot;/&gt;&lt;wsp:rsid wsp:val=&quot;00A41EEF&quot;/&gt;&lt;wsp:rsid wsp:val=&quot;00A4240B&quot;/&gt;&lt;wsp:rsid wsp:val=&quot;00A4252A&quot;/&gt;&lt;wsp:rsid wsp:val=&quot;00A429A0&quot;/&gt;&lt;wsp:rsid wsp:val=&quot;00A43176&quot;/&gt;&lt;wsp:rsid wsp:val=&quot;00A43177&quot;/&gt;&lt;wsp:rsid wsp:val=&quot;00A43326&quot;/&gt;&lt;wsp:rsid wsp:val=&quot;00A43637&quot;/&gt;&lt;wsp:rsid wsp:val=&quot;00A4383F&quot;/&gt;&lt;wsp:rsid wsp:val=&quot;00A43F6D&quot;/&gt;&lt;wsp:rsid wsp:val=&quot;00A442DB&quot;/&gt;&lt;wsp:rsid wsp:val=&quot;00A44F49&quot;/&gt;&lt;wsp:rsid wsp:val=&quot;00A465D5&quot;/&gt;&lt;wsp:rsid wsp:val=&quot;00A47257&quot;/&gt;&lt;wsp:rsid wsp:val=&quot;00A4729B&quot;/&gt;&lt;wsp:rsid wsp:val=&quot;00A4778F&quot;/&gt;&lt;wsp:rsid wsp:val=&quot;00A47AEC&quot;/&gt;&lt;wsp:rsid wsp:val=&quot;00A47F2C&quot;/&gt;&lt;wsp:rsid wsp:val=&quot;00A50056&quot;/&gt;&lt;wsp:rsid wsp:val=&quot;00A5053E&quot;/&gt;&lt;wsp:rsid wsp:val=&quot;00A50D97&quot;/&gt;&lt;wsp:rsid wsp:val=&quot;00A51313&quot;/&gt;&lt;wsp:rsid wsp:val=&quot;00A513B8&quot;/&gt;&lt;wsp:rsid wsp:val=&quot;00A51795&quot;/&gt;&lt;wsp:rsid wsp:val=&quot;00A51870&quot;/&gt;&lt;wsp:rsid wsp:val=&quot;00A518ED&quot;/&gt;&lt;wsp:rsid wsp:val=&quot;00A51CA5&quot;/&gt;&lt;wsp:rsid wsp:val=&quot;00A51F41&quot;/&gt;&lt;wsp:rsid wsp:val=&quot;00A51F64&quot;/&gt;&lt;wsp:rsid wsp:val=&quot;00A52270&quot;/&gt;&lt;wsp:rsid wsp:val=&quot;00A526BB&quot;/&gt;&lt;wsp:rsid wsp:val=&quot;00A528FE&quot;/&gt;&lt;wsp:rsid wsp:val=&quot;00A52AB8&quot;/&gt;&lt;wsp:rsid wsp:val=&quot;00A52C16&quot;/&gt;&lt;wsp:rsid wsp:val=&quot;00A52FAE&quot;/&gt;&lt;wsp:rsid wsp:val=&quot;00A53478&quot;/&gt;&lt;wsp:rsid wsp:val=&quot;00A537B8&quot;/&gt;&lt;wsp:rsid wsp:val=&quot;00A537CA&quot;/&gt;&lt;wsp:rsid wsp:val=&quot;00A53809&quot;/&gt;&lt;wsp:rsid wsp:val=&quot;00A53D59&quot;/&gt;&lt;wsp:rsid wsp:val=&quot;00A53E21&quot;/&gt;&lt;wsp:rsid wsp:val=&quot;00A54816&quot;/&gt;&lt;wsp:rsid wsp:val=&quot;00A54971&quot;/&gt;&lt;wsp:rsid wsp:val=&quot;00A54E31&quot;/&gt;&lt;wsp:rsid wsp:val=&quot;00A5553C&quot;/&gt;&lt;wsp:rsid wsp:val=&quot;00A55B82&quot;/&gt;&lt;wsp:rsid wsp:val=&quot;00A56042&quot;/&gt;&lt;wsp:rsid wsp:val=&quot;00A5604E&quot;/&gt;&lt;wsp:rsid wsp:val=&quot;00A56484&quot;/&gt;&lt;wsp:rsid wsp:val=&quot;00A56E0B&quot;/&gt;&lt;wsp:rsid wsp:val=&quot;00A575B8&quot;/&gt;&lt;wsp:rsid wsp:val=&quot;00A57746&quot;/&gt;&lt;wsp:rsid wsp:val=&quot;00A57A97&quot;/&gt;&lt;wsp:rsid wsp:val=&quot;00A57D2D&quot;/&gt;&lt;wsp:rsid wsp:val=&quot;00A6006A&quot;/&gt;&lt;wsp:rsid wsp:val=&quot;00A6014E&quot;/&gt;&lt;wsp:rsid wsp:val=&quot;00A604C0&quot;/&gt;&lt;wsp:rsid wsp:val=&quot;00A607AF&quot;/&gt;&lt;wsp:rsid wsp:val=&quot;00A60DD1&quot;/&gt;&lt;wsp:rsid wsp:val=&quot;00A6113E&quot;/&gt;&lt;wsp:rsid wsp:val=&quot;00A6171A&quot;/&gt;&lt;wsp:rsid wsp:val=&quot;00A61798&quot;/&gt;&lt;wsp:rsid wsp:val=&quot;00A6194C&quot;/&gt;&lt;wsp:rsid wsp:val=&quot;00A61983&quot;/&gt;&lt;wsp:rsid wsp:val=&quot;00A61A8E&quot;/&gt;&lt;wsp:rsid wsp:val=&quot;00A61DB3&quot;/&gt;&lt;wsp:rsid wsp:val=&quot;00A61E69&quot;/&gt;&lt;wsp:rsid wsp:val=&quot;00A62020&quot;/&gt;&lt;wsp:rsid wsp:val=&quot;00A626B2&quot;/&gt;&lt;wsp:rsid wsp:val=&quot;00A627DD&quot;/&gt;&lt;wsp:rsid wsp:val=&quot;00A629DA&quot;/&gt;&lt;wsp:rsid wsp:val=&quot;00A6304F&quot;/&gt;&lt;wsp:rsid wsp:val=&quot;00A63AA4&quot;/&gt;&lt;wsp:rsid wsp:val=&quot;00A63B13&quot;/&gt;&lt;wsp:rsid wsp:val=&quot;00A63D49&quot;/&gt;&lt;wsp:rsid wsp:val=&quot;00A64267&quot;/&gt;&lt;wsp:rsid wsp:val=&quot;00A648AE&quot;/&gt;&lt;wsp:rsid wsp:val=&quot;00A64BC5&quot;/&gt;&lt;wsp:rsid wsp:val=&quot;00A64D66&quot;/&gt;&lt;wsp:rsid wsp:val=&quot;00A65203&quot;/&gt;&lt;wsp:rsid wsp:val=&quot;00A65267&quot;/&gt;&lt;wsp:rsid wsp:val=&quot;00A6539A&quot;/&gt;&lt;wsp:rsid wsp:val=&quot;00A65429&quot;/&gt;&lt;wsp:rsid wsp:val=&quot;00A65763&quot;/&gt;&lt;wsp:rsid wsp:val=&quot;00A65CF2&quot;/&gt;&lt;wsp:rsid wsp:val=&quot;00A65FB1&quot;/&gt;&lt;wsp:rsid wsp:val=&quot;00A660DE&quot;/&gt;&lt;wsp:rsid wsp:val=&quot;00A66337&quot;/&gt;&lt;wsp:rsid wsp:val=&quot;00A66855&quot;/&gt;&lt;wsp:rsid wsp:val=&quot;00A66C91&quot;/&gt;&lt;wsp:rsid wsp:val=&quot;00A66D12&quot;/&gt;&lt;wsp:rsid wsp:val=&quot;00A66D7A&quot;/&gt;&lt;wsp:rsid wsp:val=&quot;00A670D6&quot;/&gt;&lt;wsp:rsid wsp:val=&quot;00A6729D&quot;/&gt;&lt;wsp:rsid wsp:val=&quot;00A67394&quot;/&gt;&lt;wsp:rsid wsp:val=&quot;00A677B5&quot;/&gt;&lt;wsp:rsid wsp:val=&quot;00A6790F&quot;/&gt;&lt;wsp:rsid wsp:val=&quot;00A67912&quot;/&gt;&lt;wsp:rsid wsp:val=&quot;00A67DAC&quot;/&gt;&lt;wsp:rsid wsp:val=&quot;00A701FD&quot;/&gt;&lt;wsp:rsid wsp:val=&quot;00A707D4&quot;/&gt;&lt;wsp:rsid wsp:val=&quot;00A70A5B&quot;/&gt;&lt;wsp:rsid wsp:val=&quot;00A70BDE&quot;/&gt;&lt;wsp:rsid wsp:val=&quot;00A70E8D&quot;/&gt;&lt;wsp:rsid wsp:val=&quot;00A70EC1&quot;/&gt;&lt;wsp:rsid wsp:val=&quot;00A70F52&quot;/&gt;&lt;wsp:rsid wsp:val=&quot;00A710F7&quot;/&gt;&lt;wsp:rsid wsp:val=&quot;00A71124&quot;/&gt;&lt;wsp:rsid wsp:val=&quot;00A7121B&quot;/&gt;&lt;wsp:rsid wsp:val=&quot;00A715C6&quot;/&gt;&lt;wsp:rsid wsp:val=&quot;00A715FD&quot;/&gt;&lt;wsp:rsid wsp:val=&quot;00A71A9A&quot;/&gt;&lt;wsp:rsid wsp:val=&quot;00A71FF8&quot;/&gt;&lt;wsp:rsid wsp:val=&quot;00A7266F&quot;/&gt;&lt;wsp:rsid wsp:val=&quot;00A72C11&quot;/&gt;&lt;wsp:rsid wsp:val=&quot;00A72E7A&quot;/&gt;&lt;wsp:rsid wsp:val=&quot;00A7352C&quot;/&gt;&lt;wsp:rsid wsp:val=&quot;00A73841&quot;/&gt;&lt;wsp:rsid wsp:val=&quot;00A73A59&quot;/&gt;&lt;wsp:rsid wsp:val=&quot;00A73D44&quot;/&gt;&lt;wsp:rsid wsp:val=&quot;00A741C8&quot;/&gt;&lt;wsp:rsid wsp:val=&quot;00A74A9A&quot;/&gt;&lt;wsp:rsid wsp:val=&quot;00A74C38&quot;/&gt;&lt;wsp:rsid wsp:val=&quot;00A75314&quot;/&gt;&lt;wsp:rsid wsp:val=&quot;00A7562A&quot;/&gt;&lt;wsp:rsid wsp:val=&quot;00A75D66&quot;/&gt;&lt;wsp:rsid wsp:val=&quot;00A75E31&quot;/&gt;&lt;wsp:rsid wsp:val=&quot;00A75E76&quot;/&gt;&lt;wsp:rsid wsp:val=&quot;00A76326&quot;/&gt;&lt;wsp:rsid wsp:val=&quot;00A765A2&quot;/&gt;&lt;wsp:rsid wsp:val=&quot;00A765C0&quot;/&gt;&lt;wsp:rsid wsp:val=&quot;00A7686C&quot;/&gt;&lt;wsp:rsid wsp:val=&quot;00A76A08&quot;/&gt;&lt;wsp:rsid wsp:val=&quot;00A76A40&quot;/&gt;&lt;wsp:rsid wsp:val=&quot;00A76B2A&quot;/&gt;&lt;wsp:rsid wsp:val=&quot;00A76D07&quot;/&gt;&lt;wsp:rsid wsp:val=&quot;00A76E3C&quot;/&gt;&lt;wsp:rsid wsp:val=&quot;00A7790D&quot;/&gt;&lt;wsp:rsid wsp:val=&quot;00A77B57&quot;/&gt;&lt;wsp:rsid wsp:val=&quot;00A77BFB&quot;/&gt;&lt;wsp:rsid wsp:val=&quot;00A800B3&quot;/&gt;&lt;wsp:rsid wsp:val=&quot;00A80333&quot;/&gt;&lt;wsp:rsid wsp:val=&quot;00A807B7&quot;/&gt;&lt;wsp:rsid wsp:val=&quot;00A80877&quot;/&gt;&lt;wsp:rsid wsp:val=&quot;00A80892&quot;/&gt;&lt;wsp:rsid wsp:val=&quot;00A80A0E&quot;/&gt;&lt;wsp:rsid wsp:val=&quot;00A80A86&quot;/&gt;&lt;wsp:rsid wsp:val=&quot;00A810F9&quot;/&gt;&lt;wsp:rsid wsp:val=&quot;00A8111C&quot;/&gt;&lt;wsp:rsid wsp:val=&quot;00A8170A&quot;/&gt;&lt;wsp:rsid wsp:val=&quot;00A818A4&quot;/&gt;&lt;wsp:rsid wsp:val=&quot;00A81DD7&quot;/&gt;&lt;wsp:rsid wsp:val=&quot;00A820B4&quot;/&gt;&lt;wsp:rsid wsp:val=&quot;00A82346&quot;/&gt;&lt;wsp:rsid wsp:val=&quot;00A82675&quot;/&gt;&lt;wsp:rsid wsp:val=&quot;00A82773&quot;/&gt;&lt;wsp:rsid wsp:val=&quot;00A8277D&quot;/&gt;&lt;wsp:rsid wsp:val=&quot;00A83BFC&quot;/&gt;&lt;wsp:rsid wsp:val=&quot;00A83DD5&quot;/&gt;&lt;wsp:rsid wsp:val=&quot;00A841A8&quot;/&gt;&lt;wsp:rsid wsp:val=&quot;00A8425B&quot;/&gt;&lt;wsp:rsid wsp:val=&quot;00A84D1E&quot;/&gt;&lt;wsp:rsid wsp:val=&quot;00A85234&quot;/&gt;&lt;wsp:rsid wsp:val=&quot;00A853B5&quot;/&gt;&lt;wsp:rsid wsp:val=&quot;00A855A2&quot;/&gt;&lt;wsp:rsid wsp:val=&quot;00A85755&quot;/&gt;&lt;wsp:rsid wsp:val=&quot;00A858ED&quot;/&gt;&lt;wsp:rsid wsp:val=&quot;00A85A20&quot;/&gt;&lt;wsp:rsid wsp:val=&quot;00A85D90&quot;/&gt;&lt;wsp:rsid wsp:val=&quot;00A85E89&quot;/&gt;&lt;wsp:rsid wsp:val=&quot;00A85EB0&quot;/&gt;&lt;wsp:rsid wsp:val=&quot;00A86531&quot;/&gt;&lt;wsp:rsid wsp:val=&quot;00A867EB&quot;/&gt;&lt;wsp:rsid wsp:val=&quot;00A86B33&quot;/&gt;&lt;wsp:rsid wsp:val=&quot;00A86EEB&quot;/&gt;&lt;wsp:rsid wsp:val=&quot;00A87155&quot;/&gt;&lt;wsp:rsid wsp:val=&quot;00A87208&quot;/&gt;&lt;wsp:rsid wsp:val=&quot;00A87724&quot;/&gt;&lt;wsp:rsid wsp:val=&quot;00A87820&quot;/&gt;&lt;wsp:rsid wsp:val=&quot;00A8788D&quot;/&gt;&lt;wsp:rsid wsp:val=&quot;00A878A4&quot;/&gt;&lt;wsp:rsid wsp:val=&quot;00A879D6&quot;/&gt;&lt;wsp:rsid wsp:val=&quot;00A87C29&quot;/&gt;&lt;wsp:rsid wsp:val=&quot;00A87F41&quot;/&gt;&lt;wsp:rsid wsp:val=&quot;00A903DE&quot;/&gt;&lt;wsp:rsid wsp:val=&quot;00A90584&quot;/&gt;&lt;wsp:rsid wsp:val=&quot;00A90A12&quot;/&gt;&lt;wsp:rsid wsp:val=&quot;00A90F31&quot;/&gt;&lt;wsp:rsid wsp:val=&quot;00A912DD&quot;/&gt;&lt;wsp:rsid wsp:val=&quot;00A915D8&quot;/&gt;&lt;wsp:rsid wsp:val=&quot;00A91839&quot;/&gt;&lt;wsp:rsid wsp:val=&quot;00A91B76&quot;/&gt;&lt;wsp:rsid wsp:val=&quot;00A91B9A&quot;/&gt;&lt;wsp:rsid wsp:val=&quot;00A91E08&quot;/&gt;&lt;wsp:rsid wsp:val=&quot;00A92168&quot;/&gt;&lt;wsp:rsid wsp:val=&quot;00A92513&quot;/&gt;&lt;wsp:rsid wsp:val=&quot;00A928DB&quot;/&gt;&lt;wsp:rsid wsp:val=&quot;00A9295F&quot;/&gt;&lt;wsp:rsid wsp:val=&quot;00A92B87&quot;/&gt;&lt;wsp:rsid wsp:val=&quot;00A9315B&quot;/&gt;&lt;wsp:rsid wsp:val=&quot;00A931F2&quot;/&gt;&lt;wsp:rsid wsp:val=&quot;00A93507&quot;/&gt;&lt;wsp:rsid wsp:val=&quot;00A935C3&quot;/&gt;&lt;wsp:rsid wsp:val=&quot;00A93D4E&quot;/&gt;&lt;wsp:rsid wsp:val=&quot;00A93DE5&quot;/&gt;&lt;wsp:rsid wsp:val=&quot;00A93DE8&quot;/&gt;&lt;wsp:rsid wsp:val=&quot;00A93F76&quot;/&gt;&lt;wsp:rsid wsp:val=&quot;00A94491&quot;/&gt;&lt;wsp:rsid wsp:val=&quot;00A9480B&quot;/&gt;&lt;wsp:rsid wsp:val=&quot;00A94810&quot;/&gt;&lt;wsp:rsid wsp:val=&quot;00A951C6&quot;/&gt;&lt;wsp:rsid wsp:val=&quot;00A95BEC&quot;/&gt;&lt;wsp:rsid wsp:val=&quot;00A961BB&quot;/&gt;&lt;wsp:rsid wsp:val=&quot;00A9681E&quot;/&gt;&lt;wsp:rsid wsp:val=&quot;00A96A52&quot;/&gt;&lt;wsp:rsid wsp:val=&quot;00A96A66&quot;/&gt;&lt;wsp:rsid wsp:val=&quot;00A96AE7&quot;/&gt;&lt;wsp:rsid wsp:val=&quot;00A96EA8&quot;/&gt;&lt;wsp:rsid wsp:val=&quot;00A97920&quot;/&gt;&lt;wsp:rsid wsp:val=&quot;00A97D65&quot;/&gt;&lt;wsp:rsid wsp:val=&quot;00A97F1F&quot;/&gt;&lt;wsp:rsid wsp:val=&quot;00AA02FD&quot;/&gt;&lt;wsp:rsid wsp:val=&quot;00AA042C&quot;/&gt;&lt;wsp:rsid wsp:val=&quot;00AA0584&quot;/&gt;&lt;wsp:rsid wsp:val=&quot;00AA069E&quot;/&gt;&lt;wsp:rsid wsp:val=&quot;00AA0A78&quot;/&gt;&lt;wsp:rsid wsp:val=&quot;00AA0C0C&quot;/&gt;&lt;wsp:rsid wsp:val=&quot;00AA0C45&quot;/&gt;&lt;wsp:rsid wsp:val=&quot;00AA1080&quot;/&gt;&lt;wsp:rsid wsp:val=&quot;00AA1CBC&quot;/&gt;&lt;wsp:rsid wsp:val=&quot;00AA23FC&quot;/&gt;&lt;wsp:rsid wsp:val=&quot;00AA2521&quot;/&gt;&lt;wsp:rsid wsp:val=&quot;00AA2F18&quot;/&gt;&lt;wsp:rsid wsp:val=&quot;00AA314E&quot;/&gt;&lt;wsp:rsid wsp:val=&quot;00AA33A4&quot;/&gt;&lt;wsp:rsid wsp:val=&quot;00AA346B&quot;/&gt;&lt;wsp:rsid wsp:val=&quot;00AA3476&quot;/&gt;&lt;wsp:rsid wsp:val=&quot;00AA3937&quot;/&gt;&lt;wsp:rsid wsp:val=&quot;00AA3B2C&quot;/&gt;&lt;wsp:rsid wsp:val=&quot;00AA3C7A&quot;/&gt;&lt;wsp:rsid wsp:val=&quot;00AA3CBE&quot;/&gt;&lt;wsp:rsid wsp:val=&quot;00AA4246&quot;/&gt;&lt;wsp:rsid wsp:val=&quot;00AA4607&quot;/&gt;&lt;wsp:rsid wsp:val=&quot;00AA47E8&quot;/&gt;&lt;wsp:rsid wsp:val=&quot;00AA48A3&quot;/&gt;&lt;wsp:rsid wsp:val=&quot;00AA4924&quot;/&gt;&lt;wsp:rsid wsp:val=&quot;00AA4D99&quot;/&gt;&lt;wsp:rsid wsp:val=&quot;00AA4E2D&quot;/&gt;&lt;wsp:rsid wsp:val=&quot;00AA510B&quot;/&gt;&lt;wsp:rsid wsp:val=&quot;00AA512E&quot;/&gt;&lt;wsp:rsid wsp:val=&quot;00AA51BB&quot;/&gt;&lt;wsp:rsid wsp:val=&quot;00AA52B0&quot;/&gt;&lt;wsp:rsid wsp:val=&quot;00AA54CF&quot;/&gt;&lt;wsp:rsid wsp:val=&quot;00AA55AC&quot;/&gt;&lt;wsp:rsid wsp:val=&quot;00AA55DC&quot;/&gt;&lt;wsp:rsid wsp:val=&quot;00AA5A0A&quot;/&gt;&lt;wsp:rsid wsp:val=&quot;00AA5D36&quot;/&gt;&lt;wsp:rsid wsp:val=&quot;00AA5F33&quot;/&gt;&lt;wsp:rsid wsp:val=&quot;00AA66CE&quot;/&gt;&lt;wsp:rsid wsp:val=&quot;00AA6F5D&quot;/&gt;&lt;wsp:rsid wsp:val=&quot;00AA7915&quot;/&gt;&lt;wsp:rsid wsp:val=&quot;00AB097D&quot;/&gt;&lt;wsp:rsid wsp:val=&quot;00AB0B87&quot;/&gt;&lt;wsp:rsid wsp:val=&quot;00AB0E1C&quot;/&gt;&lt;wsp:rsid wsp:val=&quot;00AB10CD&quot;/&gt;&lt;wsp:rsid wsp:val=&quot;00AB1244&quot;/&gt;&lt;wsp:rsid wsp:val=&quot;00AB1504&quot;/&gt;&lt;wsp:rsid wsp:val=&quot;00AB20B0&quot;/&gt;&lt;wsp:rsid wsp:val=&quot;00AB2119&quot;/&gt;&lt;wsp:rsid wsp:val=&quot;00AB237C&quot;/&gt;&lt;wsp:rsid wsp:val=&quot;00AB269D&quot;/&gt;&lt;wsp:rsid wsp:val=&quot;00AB274E&quot;/&gt;&lt;wsp:rsid wsp:val=&quot;00AB292A&quot;/&gt;&lt;wsp:rsid wsp:val=&quot;00AB2CF5&quot;/&gt;&lt;wsp:rsid wsp:val=&quot;00AB2E72&quot;/&gt;&lt;wsp:rsid wsp:val=&quot;00AB2F00&quot;/&gt;&lt;wsp:rsid wsp:val=&quot;00AB301B&quot;/&gt;&lt;wsp:rsid wsp:val=&quot;00AB308B&quot;/&gt;&lt;wsp:rsid wsp:val=&quot;00AB3408&quot;/&gt;&lt;wsp:rsid wsp:val=&quot;00AB364B&quot;/&gt;&lt;wsp:rsid wsp:val=&quot;00AB389E&quot;/&gt;&lt;wsp:rsid wsp:val=&quot;00AB3D6A&quot;/&gt;&lt;wsp:rsid wsp:val=&quot;00AB42B0&quot;/&gt;&lt;wsp:rsid wsp:val=&quot;00AB47F0&quot;/&gt;&lt;wsp:rsid wsp:val=&quot;00AB4952&quot;/&gt;&lt;wsp:rsid wsp:val=&quot;00AB4C51&quot;/&gt;&lt;wsp:rsid wsp:val=&quot;00AB4C7F&quot;/&gt;&lt;wsp:rsid wsp:val=&quot;00AB4E24&quot;/&gt;&lt;wsp:rsid wsp:val=&quot;00AB4FE3&quot;/&gt;&lt;wsp:rsid wsp:val=&quot;00AB504C&quot;/&gt;&lt;wsp:rsid wsp:val=&quot;00AB51FA&quot;/&gt;&lt;wsp:rsid wsp:val=&quot;00AB5375&quot;/&gt;&lt;wsp:rsid wsp:val=&quot;00AB5404&quot;/&gt;&lt;wsp:rsid wsp:val=&quot;00AB55DD&quot;/&gt;&lt;wsp:rsid wsp:val=&quot;00AB5747&quot;/&gt;&lt;wsp:rsid wsp:val=&quot;00AB5B35&quot;/&gt;&lt;wsp:rsid wsp:val=&quot;00AB5CE5&quot;/&gt;&lt;wsp:rsid wsp:val=&quot;00AB67B5&quot;/&gt;&lt;wsp:rsid wsp:val=&quot;00AB67F3&quot;/&gt;&lt;wsp:rsid wsp:val=&quot;00AB6D48&quot;/&gt;&lt;wsp:rsid wsp:val=&quot;00AB6EC3&quot;/&gt;&lt;wsp:rsid wsp:val=&quot;00AB7C45&quot;/&gt;&lt;wsp:rsid wsp:val=&quot;00AC0763&quot;/&gt;&lt;wsp:rsid wsp:val=&quot;00AC0967&quot;/&gt;&lt;wsp:rsid wsp:val=&quot;00AC0D90&quot;/&gt;&lt;wsp:rsid wsp:val=&quot;00AC1044&quot;/&gt;&lt;wsp:rsid wsp:val=&quot;00AC1366&quot;/&gt;&lt;wsp:rsid wsp:val=&quot;00AC1455&quot;/&gt;&lt;wsp:rsid wsp:val=&quot;00AC18E9&quot;/&gt;&lt;wsp:rsid wsp:val=&quot;00AC19BD&quot;/&gt;&lt;wsp:rsid wsp:val=&quot;00AC2032&quot;/&gt;&lt;wsp:rsid wsp:val=&quot;00AC20DA&quot;/&gt;&lt;wsp:rsid wsp:val=&quot;00AC22D2&quot;/&gt;&lt;wsp:rsid wsp:val=&quot;00AC2495&quot;/&gt;&lt;wsp:rsid wsp:val=&quot;00AC2652&quot;/&gt;&lt;wsp:rsid wsp:val=&quot;00AC2926&quot;/&gt;&lt;wsp:rsid wsp:val=&quot;00AC2B5B&quot;/&gt;&lt;wsp:rsid wsp:val=&quot;00AC308A&quot;/&gt;&lt;wsp:rsid wsp:val=&quot;00AC358E&quot;/&gt;&lt;wsp:rsid wsp:val=&quot;00AC3903&quot;/&gt;&lt;wsp:rsid wsp:val=&quot;00AC4063&quot;/&gt;&lt;wsp:rsid wsp:val=&quot;00AC40EE&quot;/&gt;&lt;wsp:rsid wsp:val=&quot;00AC4234&quot;/&gt;&lt;wsp:rsid wsp:val=&quot;00AC4D26&quot;/&gt;&lt;wsp:rsid wsp:val=&quot;00AC4E76&quot;/&gt;&lt;wsp:rsid wsp:val=&quot;00AC4F73&quot;/&gt;&lt;wsp:rsid wsp:val=&quot;00AC533B&quot;/&gt;&lt;wsp:rsid wsp:val=&quot;00AC56DD&quot;/&gt;&lt;wsp:rsid wsp:val=&quot;00AC5796&quot;/&gt;&lt;wsp:rsid wsp:val=&quot;00AC650B&quot;/&gt;&lt;wsp:rsid wsp:val=&quot;00AC6598&quot;/&gt;&lt;wsp:rsid wsp:val=&quot;00AC68D8&quot;/&gt;&lt;wsp:rsid wsp:val=&quot;00AC699A&quot;/&gt;&lt;wsp:rsid wsp:val=&quot;00AC6C6D&quot;/&gt;&lt;wsp:rsid wsp:val=&quot;00AC6DC2&quot;/&gt;&lt;wsp:rsid wsp:val=&quot;00AC704A&quot;/&gt;&lt;wsp:rsid wsp:val=&quot;00AC73C4&quot;/&gt;&lt;wsp:rsid wsp:val=&quot;00AC77AC&quot;/&gt;&lt;wsp:rsid wsp:val=&quot;00AC7D8E&quot;/&gt;&lt;wsp:rsid wsp:val=&quot;00AD009D&quot;/&gt;&lt;wsp:rsid wsp:val=&quot;00AD034D&quot;/&gt;&lt;wsp:rsid wsp:val=&quot;00AD040A&quot;/&gt;&lt;wsp:rsid wsp:val=&quot;00AD0684&quot;/&gt;&lt;wsp:rsid wsp:val=&quot;00AD0779&quot;/&gt;&lt;wsp:rsid wsp:val=&quot;00AD08EF&quot;/&gt;&lt;wsp:rsid wsp:val=&quot;00AD1039&quot;/&gt;&lt;wsp:rsid wsp:val=&quot;00AD1BF3&quot;/&gt;&lt;wsp:rsid wsp:val=&quot;00AD1E48&quot;/&gt;&lt;wsp:rsid wsp:val=&quot;00AD2171&quot;/&gt;&lt;wsp:rsid wsp:val=&quot;00AD3062&quot;/&gt;&lt;wsp:rsid wsp:val=&quot;00AD3099&quot;/&gt;&lt;wsp:rsid wsp:val=&quot;00AD312C&quot;/&gt;&lt;wsp:rsid wsp:val=&quot;00AD32CE&quot;/&gt;&lt;wsp:rsid wsp:val=&quot;00AD334F&quot;/&gt;&lt;wsp:rsid wsp:val=&quot;00AD3D3D&quot;/&gt;&lt;wsp:rsid wsp:val=&quot;00AD405F&quot;/&gt;&lt;wsp:rsid wsp:val=&quot;00AD40C2&quot;/&gt;&lt;wsp:rsid wsp:val=&quot;00AD4218&quot;/&gt;&lt;wsp:rsid wsp:val=&quot;00AD4487&quot;/&gt;&lt;wsp:rsid wsp:val=&quot;00AD46B1&quot;/&gt;&lt;wsp:rsid wsp:val=&quot;00AD475B&quot;/&gt;&lt;wsp:rsid wsp:val=&quot;00AD4D3C&quot;/&gt;&lt;wsp:rsid wsp:val=&quot;00AD502A&quot;/&gt;&lt;wsp:rsid wsp:val=&quot;00AD56C8&quot;/&gt;&lt;wsp:rsid wsp:val=&quot;00AD5D9A&quot;/&gt;&lt;wsp:rsid wsp:val=&quot;00AD5DF1&quot;/&gt;&lt;wsp:rsid wsp:val=&quot;00AD63F8&quot;/&gt;&lt;wsp:rsid wsp:val=&quot;00AD67A3&quot;/&gt;&lt;wsp:rsid wsp:val=&quot;00AD67D1&quot;/&gt;&lt;wsp:rsid wsp:val=&quot;00AD6D97&quot;/&gt;&lt;wsp:rsid wsp:val=&quot;00AD6F2C&quot;/&gt;&lt;wsp:rsid wsp:val=&quot;00AD74DE&quot;/&gt;&lt;wsp:rsid wsp:val=&quot;00AD75D9&quot;/&gt;&lt;wsp:rsid wsp:val=&quot;00AD767D&quot;/&gt;&lt;wsp:rsid wsp:val=&quot;00AD79C8&quot;/&gt;&lt;wsp:rsid wsp:val=&quot;00AE024C&quot;/&gt;&lt;wsp:rsid wsp:val=&quot;00AE068F&quot;/&gt;&lt;wsp:rsid wsp:val=&quot;00AE0719&quot;/&gt;&lt;wsp:rsid wsp:val=&quot;00AE084B&quot;/&gt;&lt;wsp:rsid wsp:val=&quot;00AE0FEB&quot;/&gt;&lt;wsp:rsid wsp:val=&quot;00AE0FF8&quot;/&gt;&lt;wsp:rsid wsp:val=&quot;00AE1545&quot;/&gt;&lt;wsp:rsid wsp:val=&quot;00AE15DC&quot;/&gt;&lt;wsp:rsid wsp:val=&quot;00AE1955&quot;/&gt;&lt;wsp:rsid wsp:val=&quot;00AE1B40&quot;/&gt;&lt;wsp:rsid wsp:val=&quot;00AE20EA&quot;/&gt;&lt;wsp:rsid wsp:val=&quot;00AE224C&quot;/&gt;&lt;wsp:rsid wsp:val=&quot;00AE278A&quot;/&gt;&lt;wsp:rsid wsp:val=&quot;00AE2AC4&quot;/&gt;&lt;wsp:rsid wsp:val=&quot;00AE32E1&quot;/&gt;&lt;wsp:rsid wsp:val=&quot;00AE3803&quot;/&gt;&lt;wsp:rsid wsp:val=&quot;00AE3814&quot;/&gt;&lt;wsp:rsid wsp:val=&quot;00AE38C8&quot;/&gt;&lt;wsp:rsid wsp:val=&quot;00AE46DB&quot;/&gt;&lt;wsp:rsid wsp:val=&quot;00AE4840&quot;/&gt;&lt;wsp:rsid wsp:val=&quot;00AE5283&quot;/&gt;&lt;wsp:rsid wsp:val=&quot;00AE542C&quot;/&gt;&lt;wsp:rsid wsp:val=&quot;00AE5D98&quot;/&gt;&lt;wsp:rsid wsp:val=&quot;00AE5E12&quot;/&gt;&lt;wsp:rsid wsp:val=&quot;00AE5E2B&quot;/&gt;&lt;wsp:rsid wsp:val=&quot;00AE5EA0&quot;/&gt;&lt;wsp:rsid wsp:val=&quot;00AE69C5&quot;/&gt;&lt;wsp:rsid wsp:val=&quot;00AE6EB1&quot;/&gt;&lt;wsp:rsid wsp:val=&quot;00AE6F8E&quot;/&gt;&lt;wsp:rsid wsp:val=&quot;00AE76BD&quot;/&gt;&lt;wsp:rsid wsp:val=&quot;00AE794E&quot;/&gt;&lt;wsp:rsid wsp:val=&quot;00AE7B87&quot;/&gt;&lt;wsp:rsid wsp:val=&quot;00AF04F5&quot;/&gt;&lt;wsp:rsid wsp:val=&quot;00AF077C&quot;/&gt;&lt;wsp:rsid wsp:val=&quot;00AF078B&quot;/&gt;&lt;wsp:rsid wsp:val=&quot;00AF0C3E&quot;/&gt;&lt;wsp:rsid wsp:val=&quot;00AF14A8&quot;/&gt;&lt;wsp:rsid wsp:val=&quot;00AF1564&quot;/&gt;&lt;wsp:rsid wsp:val=&quot;00AF1B37&quot;/&gt;&lt;wsp:rsid wsp:val=&quot;00AF2287&quot;/&gt;&lt;wsp:rsid wsp:val=&quot;00AF2712&quot;/&gt;&lt;wsp:rsid wsp:val=&quot;00AF2CC9&quot;/&gt;&lt;wsp:rsid wsp:val=&quot;00AF2D3E&quot;/&gt;&lt;wsp:rsid wsp:val=&quot;00AF2F7A&quot;/&gt;&lt;wsp:rsid wsp:val=&quot;00AF2F9D&quot;/&gt;&lt;wsp:rsid wsp:val=&quot;00AF3149&quot;/&gt;&lt;wsp:rsid wsp:val=&quot;00AF3509&quot;/&gt;&lt;wsp:rsid wsp:val=&quot;00AF3529&quot;/&gt;&lt;wsp:rsid wsp:val=&quot;00AF3B58&quot;/&gt;&lt;wsp:rsid wsp:val=&quot;00AF3E49&quot;/&gt;&lt;wsp:rsid wsp:val=&quot;00AF424F&quot;/&gt;&lt;wsp:rsid wsp:val=&quot;00AF4343&quot;/&gt;&lt;wsp:rsid wsp:val=&quot;00AF55AA&quot;/&gt;&lt;wsp:rsid wsp:val=&quot;00AF56AE&quot;/&gt;&lt;wsp:rsid wsp:val=&quot;00AF5852&quot;/&gt;&lt;wsp:rsid wsp:val=&quot;00AF5A03&quot;/&gt;&lt;wsp:rsid wsp:val=&quot;00AF5B3E&quot;/&gt;&lt;wsp:rsid wsp:val=&quot;00AF5FD0&quot;/&gt;&lt;wsp:rsid wsp:val=&quot;00AF6623&quot;/&gt;&lt;wsp:rsid wsp:val=&quot;00AF6C6E&quot;/&gt;&lt;wsp:rsid wsp:val=&quot;00AF6F3F&quot;/&gt;&lt;wsp:rsid wsp:val=&quot;00AF7725&quot;/&gt;&lt;wsp:rsid wsp:val=&quot;00AF7759&quot;/&gt;&lt;wsp:rsid wsp:val=&quot;00B003B5&quot;/&gt;&lt;wsp:rsid wsp:val=&quot;00B00493&quot;/&gt;&lt;wsp:rsid wsp:val=&quot;00B006EA&quot;/&gt;&lt;wsp:rsid wsp:val=&quot;00B00992&quot;/&gt;&lt;wsp:rsid wsp:val=&quot;00B00A3C&quot;/&gt;&lt;wsp:rsid wsp:val=&quot;00B00DA1&quot;/&gt;&lt;wsp:rsid wsp:val=&quot;00B00DA4&quot;/&gt;&lt;wsp:rsid wsp:val=&quot;00B00DC4&quot;/&gt;&lt;wsp:rsid wsp:val=&quot;00B0124C&quot;/&gt;&lt;wsp:rsid wsp:val=&quot;00B01375&quot;/&gt;&lt;wsp:rsid wsp:val=&quot;00B01420&quot;/&gt;&lt;wsp:rsid wsp:val=&quot;00B016D4&quot;/&gt;&lt;wsp:rsid wsp:val=&quot;00B01D43&quot;/&gt;&lt;wsp:rsid wsp:val=&quot;00B01FC6&quot;/&gt;&lt;wsp:rsid wsp:val=&quot;00B02031&quot;/&gt;&lt;wsp:rsid wsp:val=&quot;00B026F6&quot;/&gt;&lt;wsp:rsid wsp:val=&quot;00B02F28&quot;/&gt;&lt;wsp:rsid wsp:val=&quot;00B0318E&quot;/&gt;&lt;wsp:rsid wsp:val=&quot;00B033E0&quot;/&gt;&lt;wsp:rsid wsp:val=&quot;00B03510&quot;/&gt;&lt;wsp:rsid wsp:val=&quot;00B03804&quot;/&gt;&lt;wsp:rsid wsp:val=&quot;00B03DEE&quot;/&gt;&lt;wsp:rsid wsp:val=&quot;00B045D9&quot;/&gt;&lt;wsp:rsid wsp:val=&quot;00B04A0F&quot;/&gt;&lt;wsp:rsid wsp:val=&quot;00B04AE7&quot;/&gt;&lt;wsp:rsid wsp:val=&quot;00B04EEB&quot;/&gt;&lt;wsp:rsid wsp:val=&quot;00B04F2C&quot;/&gt;&lt;wsp:rsid wsp:val=&quot;00B053A9&quot;/&gt;&lt;wsp:rsid wsp:val=&quot;00B05AC4&quot;/&gt;&lt;wsp:rsid wsp:val=&quot;00B05EA9&quot;/&gt;&lt;wsp:rsid wsp:val=&quot;00B05F50&quot;/&gt;&lt;wsp:rsid wsp:val=&quot;00B0603D&quot;/&gt;&lt;wsp:rsid wsp:val=&quot;00B06108&quot;/&gt;&lt;wsp:rsid wsp:val=&quot;00B06342&quot;/&gt;&lt;wsp:rsid wsp:val=&quot;00B063E9&quot;/&gt;&lt;wsp:rsid wsp:val=&quot;00B066FE&quot;/&gt;&lt;wsp:rsid wsp:val=&quot;00B067B6&quot;/&gt;&lt;wsp:rsid wsp:val=&quot;00B069EB&quot;/&gt;&lt;wsp:rsid wsp:val=&quot;00B06D78&quot;/&gt;&lt;wsp:rsid wsp:val=&quot;00B074B7&quot;/&gt;&lt;wsp:rsid wsp:val=&quot;00B07A34&quot;/&gt;&lt;wsp:rsid wsp:val=&quot;00B07A9B&quot;/&gt;&lt;wsp:rsid wsp:val=&quot;00B07C0E&quot;/&gt;&lt;wsp:rsid wsp:val=&quot;00B101E2&quot;/&gt;&lt;wsp:rsid wsp:val=&quot;00B10273&quot;/&gt;&lt;wsp:rsid wsp:val=&quot;00B102A5&quot;/&gt;&lt;wsp:rsid wsp:val=&quot;00B10437&quot;/&gt;&lt;wsp:rsid wsp:val=&quot;00B105C4&quot;/&gt;&lt;wsp:rsid wsp:val=&quot;00B10857&quot;/&gt;&lt;wsp:rsid wsp:val=&quot;00B114AA&quot;/&gt;&lt;wsp:rsid wsp:val=&quot;00B11588&quot;/&gt;&lt;wsp:rsid wsp:val=&quot;00B11AF5&quot;/&gt;&lt;wsp:rsid wsp:val=&quot;00B11C47&quot;/&gt;&lt;wsp:rsid wsp:val=&quot;00B12253&quot;/&gt;&lt;wsp:rsid wsp:val=&quot;00B1237E&quot;/&gt;&lt;wsp:rsid wsp:val=&quot;00B12763&quot;/&gt;&lt;wsp:rsid wsp:val=&quot;00B12A63&quot;/&gt;&lt;wsp:rsid wsp:val=&quot;00B12BF1&quot;/&gt;&lt;wsp:rsid wsp:val=&quot;00B12CB5&quot;/&gt;&lt;wsp:rsid wsp:val=&quot;00B12D76&quot;/&gt;&lt;wsp:rsid wsp:val=&quot;00B12EAC&quot;/&gt;&lt;wsp:rsid wsp:val=&quot;00B13341&quot;/&gt;&lt;wsp:rsid wsp:val=&quot;00B1351D&quot;/&gt;&lt;wsp:rsid wsp:val=&quot;00B13820&quot;/&gt;&lt;wsp:rsid wsp:val=&quot;00B1420F&quot;/&gt;&lt;wsp:rsid wsp:val=&quot;00B14339&quot;/&gt;&lt;wsp:rsid wsp:val=&quot;00B1488F&quot;/&gt;&lt;wsp:rsid wsp:val=&quot;00B1495C&quot;/&gt;&lt;wsp:rsid wsp:val=&quot;00B14964&quot;/&gt;&lt;wsp:rsid wsp:val=&quot;00B14EC4&quot;/&gt;&lt;wsp:rsid wsp:val=&quot;00B14FB8&quot;/&gt;&lt;wsp:rsid wsp:val=&quot;00B150F3&quot;/&gt;&lt;wsp:rsid wsp:val=&quot;00B1542F&quot;/&gt;&lt;wsp:rsid wsp:val=&quot;00B15BB8&quot;/&gt;&lt;wsp:rsid wsp:val=&quot;00B15BD5&quot;/&gt;&lt;wsp:rsid wsp:val=&quot;00B1658C&quot;/&gt;&lt;wsp:rsid wsp:val=&quot;00B165F4&quot;/&gt;&lt;wsp:rsid wsp:val=&quot;00B16B51&quot;/&gt;&lt;wsp:rsid wsp:val=&quot;00B16CE4&quot;/&gt;&lt;wsp:rsid wsp:val=&quot;00B17267&quot;/&gt;&lt;wsp:rsid wsp:val=&quot;00B17A6F&quot;/&gt;&lt;wsp:rsid wsp:val=&quot;00B17A77&quot;/&gt;&lt;wsp:rsid wsp:val=&quot;00B17F34&quot;/&gt;&lt;wsp:rsid wsp:val=&quot;00B2037C&quot;/&gt;&lt;wsp:rsid wsp:val=&quot;00B206CE&quot;/&gt;&lt;wsp:rsid wsp:val=&quot;00B207CE&quot;/&gt;&lt;wsp:rsid wsp:val=&quot;00B207EC&quot;/&gt;&lt;wsp:rsid wsp:val=&quot;00B208ED&quot;/&gt;&lt;wsp:rsid wsp:val=&quot;00B211C4&quot;/&gt;&lt;wsp:rsid wsp:val=&quot;00B21203&quot;/&gt;&lt;wsp:rsid wsp:val=&quot;00B214B2&quot;/&gt;&lt;wsp:rsid wsp:val=&quot;00B215AA&quot;/&gt;&lt;wsp:rsid wsp:val=&quot;00B215BC&quot;/&gt;&lt;wsp:rsid wsp:val=&quot;00B21620&quot;/&gt;&lt;wsp:rsid wsp:val=&quot;00B22E8F&quot;/&gt;&lt;wsp:rsid wsp:val=&quot;00B22F40&quot;/&gt;&lt;wsp:rsid wsp:val=&quot;00B23200&quot;/&gt;&lt;wsp:rsid wsp:val=&quot;00B2379C&quot;/&gt;&lt;wsp:rsid wsp:val=&quot;00B23892&quot;/&gt;&lt;wsp:rsid wsp:val=&quot;00B23D2B&quot;/&gt;&lt;wsp:rsid wsp:val=&quot;00B246A6&quot;/&gt;&lt;wsp:rsid wsp:val=&quot;00B24E41&quot;/&gt;&lt;wsp:rsid wsp:val=&quot;00B24E66&quot;/&gt;&lt;wsp:rsid wsp:val=&quot;00B25027&quot;/&gt;&lt;wsp:rsid wsp:val=&quot;00B2582C&quot;/&gt;&lt;wsp:rsid wsp:val=&quot;00B25907&quot;/&gt;&lt;wsp:rsid wsp:val=&quot;00B264BA&quot;/&gt;&lt;wsp:rsid wsp:val=&quot;00B267C6&quot;/&gt;&lt;wsp:rsid wsp:val=&quot;00B26F46&quot;/&gt;&lt;wsp:rsid wsp:val=&quot;00B270F2&quot;/&gt;&lt;wsp:rsid wsp:val=&quot;00B271B9&quot;/&gt;&lt;wsp:rsid wsp:val=&quot;00B27380&quot;/&gt;&lt;wsp:rsid wsp:val=&quot;00B274BB&quot;/&gt;&lt;wsp:rsid wsp:val=&quot;00B27520&quot;/&gt;&lt;wsp:rsid wsp:val=&quot;00B275DE&quot;/&gt;&lt;wsp:rsid wsp:val=&quot;00B27710&quot;/&gt;&lt;wsp:rsid wsp:val=&quot;00B2772A&quot;/&gt;&lt;wsp:rsid wsp:val=&quot;00B27B90&quot;/&gt;&lt;wsp:rsid wsp:val=&quot;00B27BDA&quot;/&gt;&lt;wsp:rsid wsp:val=&quot;00B302EC&quot;/&gt;&lt;wsp:rsid wsp:val=&quot;00B304C9&quot;/&gt;&lt;wsp:rsid wsp:val=&quot;00B3096D&quot;/&gt;&lt;wsp:rsid wsp:val=&quot;00B30EC9&quot;/&gt;&lt;wsp:rsid wsp:val=&quot;00B31340&quot;/&gt;&lt;wsp:rsid wsp:val=&quot;00B316E7&quot;/&gt;&lt;wsp:rsid wsp:val=&quot;00B31A7D&quot;/&gt;&lt;wsp:rsid wsp:val=&quot;00B31B75&quot;/&gt;&lt;wsp:rsid wsp:val=&quot;00B31F3B&quot;/&gt;&lt;wsp:rsid wsp:val=&quot;00B3255B&quot;/&gt;&lt;wsp:rsid wsp:val=&quot;00B32722&quot;/&gt;&lt;wsp:rsid wsp:val=&quot;00B32901&quot;/&gt;&lt;wsp:rsid wsp:val=&quot;00B32BC4&quot;/&gt;&lt;wsp:rsid wsp:val=&quot;00B32F30&quot;/&gt;&lt;wsp:rsid wsp:val=&quot;00B334E2&quot;/&gt;&lt;wsp:rsid wsp:val=&quot;00B340D8&quot;/&gt;&lt;wsp:rsid wsp:val=&quot;00B34423&quot;/&gt;&lt;wsp:rsid wsp:val=&quot;00B345E1&quot;/&gt;&lt;wsp:rsid wsp:val=&quot;00B34696&quot;/&gt;&lt;wsp:rsid wsp:val=&quot;00B34A3A&quot;/&gt;&lt;wsp:rsid wsp:val=&quot;00B3508E&quot;/&gt;&lt;wsp:rsid wsp:val=&quot;00B35471&quot;/&gt;&lt;wsp:rsid wsp:val=&quot;00B355F7&quot;/&gt;&lt;wsp:rsid wsp:val=&quot;00B355F9&quot;/&gt;&lt;wsp:rsid wsp:val=&quot;00B357FC&quot;/&gt;&lt;wsp:rsid wsp:val=&quot;00B35891&quot;/&gt;&lt;wsp:rsid wsp:val=&quot;00B358AC&quot;/&gt;&lt;wsp:rsid wsp:val=&quot;00B358E9&quot;/&gt;&lt;wsp:rsid wsp:val=&quot;00B35CC2&quot;/&gt;&lt;wsp:rsid wsp:val=&quot;00B36659&quot;/&gt;&lt;wsp:rsid wsp:val=&quot;00B366D3&quot;/&gt;&lt;wsp:rsid wsp:val=&quot;00B3693E&quot;/&gt;&lt;wsp:rsid wsp:val=&quot;00B37158&quot;/&gt;&lt;wsp:rsid wsp:val=&quot;00B373C5&quot;/&gt;&lt;wsp:rsid wsp:val=&quot;00B373F6&quot;/&gt;&lt;wsp:rsid wsp:val=&quot;00B3753C&quot;/&gt;&lt;wsp:rsid wsp:val=&quot;00B37824&quot;/&gt;&lt;wsp:rsid wsp:val=&quot;00B379CB&quot;/&gt;&lt;wsp:rsid wsp:val=&quot;00B37AB0&quot;/&gt;&lt;wsp:rsid wsp:val=&quot;00B37B1C&quot;/&gt;&lt;wsp:rsid wsp:val=&quot;00B37D83&quot;/&gt;&lt;wsp:rsid wsp:val=&quot;00B4003F&quot;/&gt;&lt;wsp:rsid wsp:val=&quot;00B4027C&quot;/&gt;&lt;wsp:rsid wsp:val=&quot;00B405AA&quot;/&gt;&lt;wsp:rsid wsp:val=&quot;00B41129&quot;/&gt;&lt;wsp:rsid wsp:val=&quot;00B41EB7&quot;/&gt;&lt;wsp:rsid wsp:val=&quot;00B420EF&quot;/&gt;&lt;wsp:rsid wsp:val=&quot;00B4230F&quot;/&gt;&lt;wsp:rsid wsp:val=&quot;00B42619&quot;/&gt;&lt;wsp:rsid wsp:val=&quot;00B42645&quot;/&gt;&lt;wsp:rsid wsp:val=&quot;00B4304B&quot;/&gt;&lt;wsp:rsid wsp:val=&quot;00B43378&quot;/&gt;&lt;wsp:rsid wsp:val=&quot;00B4338C&quot;/&gt;&lt;wsp:rsid wsp:val=&quot;00B43BD7&quot;/&gt;&lt;wsp:rsid wsp:val=&quot;00B43C58&quot;/&gt;&lt;wsp:rsid wsp:val=&quot;00B44956&quot;/&gt;&lt;wsp:rsid wsp:val=&quot;00B4527D&quot;/&gt;&lt;wsp:rsid wsp:val=&quot;00B45F5B&quot;/&gt;&lt;wsp:rsid wsp:val=&quot;00B45F5C&quot;/&gt;&lt;wsp:rsid wsp:val=&quot;00B4613C&quot;/&gt;&lt;wsp:rsid wsp:val=&quot;00B464BF&quot;/&gt;&lt;wsp:rsid wsp:val=&quot;00B47705&quot;/&gt;&lt;wsp:rsid wsp:val=&quot;00B47ABD&quot;/&gt;&lt;wsp:rsid wsp:val=&quot;00B47AD1&quot;/&gt;&lt;wsp:rsid wsp:val=&quot;00B47CF4&quot;/&gt;&lt;wsp:rsid wsp:val=&quot;00B47D36&quot;/&gt;&lt;wsp:rsid wsp:val=&quot;00B502BB&quot;/&gt;&lt;wsp:rsid wsp:val=&quot;00B503FD&quot;/&gt;&lt;wsp:rsid wsp:val=&quot;00B50466&quot;/&gt;&lt;wsp:rsid wsp:val=&quot;00B5046F&quot;/&gt;&lt;wsp:rsid wsp:val=&quot;00B505A0&quot;/&gt;&lt;wsp:rsid wsp:val=&quot;00B5084A&quot;/&gt;&lt;wsp:rsid wsp:val=&quot;00B50D60&quot;/&gt;&lt;wsp:rsid wsp:val=&quot;00B5111F&quot;/&gt;&lt;wsp:rsid wsp:val=&quot;00B5185C&quot;/&gt;&lt;wsp:rsid wsp:val=&quot;00B51AB7&quot;/&gt;&lt;wsp:rsid wsp:val=&quot;00B5203B&quot;/&gt;&lt;wsp:rsid wsp:val=&quot;00B52188&quot;/&gt;&lt;wsp:rsid wsp:val=&quot;00B5250E&quot;/&gt;&lt;wsp:rsid wsp:val=&quot;00B5261C&quot;/&gt;&lt;wsp:rsid wsp:val=&quot;00B526AE&quot;/&gt;&lt;wsp:rsid wsp:val=&quot;00B52770&quot;/&gt;&lt;wsp:rsid wsp:val=&quot;00B52A1C&quot;/&gt;&lt;wsp:rsid wsp:val=&quot;00B52A23&quot;/&gt;&lt;wsp:rsid wsp:val=&quot;00B52B05&quot;/&gt;&lt;wsp:rsid wsp:val=&quot;00B52D02&quot;/&gt;&lt;wsp:rsid wsp:val=&quot;00B5318B&quot;/&gt;&lt;wsp:rsid wsp:val=&quot;00B531BC&quot;/&gt;&lt;wsp:rsid wsp:val=&quot;00B53482&quot;/&gt;&lt;wsp:rsid wsp:val=&quot;00B5387F&quot;/&gt;&lt;wsp:rsid wsp:val=&quot;00B5389B&quot;/&gt;&lt;wsp:rsid wsp:val=&quot;00B538F1&quot;/&gt;&lt;wsp:rsid wsp:val=&quot;00B539E7&quot;/&gt;&lt;wsp:rsid wsp:val=&quot;00B53E93&quot;/&gt;&lt;wsp:rsid wsp:val=&quot;00B54064&quot;/&gt;&lt;wsp:rsid wsp:val=&quot;00B54297&quot;/&gt;&lt;wsp:rsid wsp:val=&quot;00B546F4&quot;/&gt;&lt;wsp:rsid wsp:val=&quot;00B54741&quot;/&gt;&lt;wsp:rsid wsp:val=&quot;00B55036&quot;/&gt;&lt;wsp:rsid wsp:val=&quot;00B55249&quot;/&gt;&lt;wsp:rsid wsp:val=&quot;00B5525F&quot;/&gt;&lt;wsp:rsid wsp:val=&quot;00B55663&quot;/&gt;&lt;wsp:rsid wsp:val=&quot;00B55685&quot;/&gt;&lt;wsp:rsid wsp:val=&quot;00B55912&quot;/&gt;&lt;wsp:rsid wsp:val=&quot;00B561D6&quot;/&gt;&lt;wsp:rsid wsp:val=&quot;00B561F7&quot;/&gt;&lt;wsp:rsid wsp:val=&quot;00B5637B&quot;/&gt;&lt;wsp:rsid wsp:val=&quot;00B56DF4&quot;/&gt;&lt;wsp:rsid wsp:val=&quot;00B57213&quot;/&gt;&lt;wsp:rsid wsp:val=&quot;00B573A4&quot;/&gt;&lt;wsp:rsid wsp:val=&quot;00B5750A&quot;/&gt;&lt;wsp:rsid wsp:val=&quot;00B57E4C&quot;/&gt;&lt;wsp:rsid wsp:val=&quot;00B608C4&quot;/&gt;&lt;wsp:rsid wsp:val=&quot;00B609CB&quot;/&gt;&lt;wsp:rsid wsp:val=&quot;00B61A4B&quot;/&gt;&lt;wsp:rsid wsp:val=&quot;00B61D45&quot;/&gt;&lt;wsp:rsid wsp:val=&quot;00B621BD&quot;/&gt;&lt;wsp:rsid wsp:val=&quot;00B622DE&quot;/&gt;&lt;wsp:rsid wsp:val=&quot;00B6234B&quot;/&gt;&lt;wsp:rsid wsp:val=&quot;00B6240A&quot;/&gt;&lt;wsp:rsid wsp:val=&quot;00B6240F&quot;/&gt;&lt;wsp:rsid wsp:val=&quot;00B626C5&quot;/&gt;&lt;wsp:rsid wsp:val=&quot;00B626D5&quot;/&gt;&lt;wsp:rsid wsp:val=&quot;00B62CEE&quot;/&gt;&lt;wsp:rsid wsp:val=&quot;00B63154&quot;/&gt;&lt;wsp:rsid wsp:val=&quot;00B636AA&quot;/&gt;&lt;wsp:rsid wsp:val=&quot;00B642D8&quot;/&gt;&lt;wsp:rsid wsp:val=&quot;00B647B6&quot;/&gt;&lt;wsp:rsid wsp:val=&quot;00B64D1F&quot;/&gt;&lt;wsp:rsid wsp:val=&quot;00B64D40&quot;/&gt;&lt;wsp:rsid wsp:val=&quot;00B6520B&quot;/&gt;&lt;wsp:rsid wsp:val=&quot;00B657C0&quot;/&gt;&lt;wsp:rsid wsp:val=&quot;00B659C5&quot;/&gt;&lt;wsp:rsid wsp:val=&quot;00B66936&quot;/&gt;&lt;wsp:rsid wsp:val=&quot;00B66BE4&quot;/&gt;&lt;wsp:rsid wsp:val=&quot;00B67407&quot;/&gt;&lt;wsp:rsid wsp:val=&quot;00B674C9&quot;/&gt;&lt;wsp:rsid wsp:val=&quot;00B6750B&quot;/&gt;&lt;wsp:rsid wsp:val=&quot;00B67969&quot;/&gt;&lt;wsp:rsid wsp:val=&quot;00B7024E&quot;/&gt;&lt;wsp:rsid wsp:val=&quot;00B70395&quot;/&gt;&lt;wsp:rsid wsp:val=&quot;00B70444&quot;/&gt;&lt;wsp:rsid wsp:val=&quot;00B70C63&quot;/&gt;&lt;wsp:rsid wsp:val=&quot;00B70D4A&quot;/&gt;&lt;wsp:rsid wsp:val=&quot;00B719DC&quot;/&gt;&lt;wsp:rsid wsp:val=&quot;00B71DF4&quot;/&gt;&lt;wsp:rsid wsp:val=&quot;00B71FF8&quot;/&gt;&lt;wsp:rsid wsp:val=&quot;00B7214D&quot;/&gt;&lt;wsp:rsid wsp:val=&quot;00B7237E&quot;/&gt;&lt;wsp:rsid wsp:val=&quot;00B72491&quot;/&gt;&lt;wsp:rsid wsp:val=&quot;00B72997&quot;/&gt;&lt;wsp:rsid wsp:val=&quot;00B72B2D&quot;/&gt;&lt;wsp:rsid wsp:val=&quot;00B73379&quot;/&gt;&lt;wsp:rsid wsp:val=&quot;00B738A1&quot;/&gt;&lt;wsp:rsid wsp:val=&quot;00B73E83&quot;/&gt;&lt;wsp:rsid wsp:val=&quot;00B73F7D&quot;/&gt;&lt;wsp:rsid wsp:val=&quot;00B7404A&quot;/&gt;&lt;wsp:rsid wsp:val=&quot;00B743DB&quot;/&gt;&lt;wsp:rsid wsp:val=&quot;00B74423&quot;/&gt;&lt;wsp:rsid wsp:val=&quot;00B74642&quot;/&gt;&lt;wsp:rsid wsp:val=&quot;00B74D25&quot;/&gt;&lt;wsp:rsid wsp:val=&quot;00B7536C&quot;/&gt;&lt;wsp:rsid wsp:val=&quot;00B7552C&quot;/&gt;&lt;wsp:rsid wsp:val=&quot;00B757CF&quot;/&gt;&lt;wsp:rsid wsp:val=&quot;00B7595E&quot;/&gt;&lt;wsp:rsid wsp:val=&quot;00B75F42&quot;/&gt;&lt;wsp:rsid wsp:val=&quot;00B766BB&quot;/&gt;&lt;wsp:rsid wsp:val=&quot;00B766D1&quot;/&gt;&lt;wsp:rsid wsp:val=&quot;00B769B6&quot;/&gt;&lt;wsp:rsid wsp:val=&quot;00B76C16&quot;/&gt;&lt;wsp:rsid wsp:val=&quot;00B77226&quot;/&gt;&lt;wsp:rsid wsp:val=&quot;00B7723F&quot;/&gt;&lt;wsp:rsid wsp:val=&quot;00B77294&quot;/&gt;&lt;wsp:rsid wsp:val=&quot;00B77450&quot;/&gt;&lt;wsp:rsid wsp:val=&quot;00B776BA&quot;/&gt;&lt;wsp:rsid wsp:val=&quot;00B77C3D&quot;/&gt;&lt;wsp:rsid wsp:val=&quot;00B803FB&quot;/&gt;&lt;wsp:rsid wsp:val=&quot;00B804AA&quot;/&gt;&lt;wsp:rsid wsp:val=&quot;00B8054A&quot;/&gt;&lt;wsp:rsid wsp:val=&quot;00B8064A&quot;/&gt;&lt;wsp:rsid wsp:val=&quot;00B81830&quot;/&gt;&lt;wsp:rsid wsp:val=&quot;00B81AF0&quot;/&gt;&lt;wsp:rsid wsp:val=&quot;00B81B2D&quot;/&gt;&lt;wsp:rsid wsp:val=&quot;00B82189&quot;/&gt;&lt;wsp:rsid wsp:val=&quot;00B82335&quot;/&gt;&lt;wsp:rsid wsp:val=&quot;00B82367&quot;/&gt;&lt;wsp:rsid wsp:val=&quot;00B825BC&quot;/&gt;&lt;wsp:rsid wsp:val=&quot;00B8299B&quot;/&gt;&lt;wsp:rsid wsp:val=&quot;00B82BB6&quot;/&gt;&lt;wsp:rsid wsp:val=&quot;00B830E9&quot;/&gt;&lt;wsp:rsid wsp:val=&quot;00B8316D&quot;/&gt;&lt;wsp:rsid wsp:val=&quot;00B83687&quot;/&gt;&lt;wsp:rsid wsp:val=&quot;00B83B40&quot;/&gt;&lt;wsp:rsid wsp:val=&quot;00B83E28&quot;/&gt;&lt;wsp:rsid wsp:val=&quot;00B8416F&quot;/&gt;&lt;wsp:rsid wsp:val=&quot;00B84482&quot;/&gt;&lt;wsp:rsid wsp:val=&quot;00B845CB&quot;/&gt;&lt;wsp:rsid wsp:val=&quot;00B8472E&quot;/&gt;&lt;wsp:rsid wsp:val=&quot;00B84801&quot;/&gt;&lt;wsp:rsid wsp:val=&quot;00B8506F&quot;/&gt;&lt;wsp:rsid wsp:val=&quot;00B85311&quot;/&gt;&lt;wsp:rsid wsp:val=&quot;00B859FF&quot;/&gt;&lt;wsp:rsid wsp:val=&quot;00B85A40&quot;/&gt;&lt;wsp:rsid wsp:val=&quot;00B85B95&quot;/&gt;&lt;wsp:rsid wsp:val=&quot;00B85DAE&quot;/&gt;&lt;wsp:rsid wsp:val=&quot;00B85DF7&quot;/&gt;&lt;wsp:rsid wsp:val=&quot;00B85FDF&quot;/&gt;&lt;wsp:rsid wsp:val=&quot;00B86233&quot;/&gt;&lt;wsp:rsid wsp:val=&quot;00B868D1&quot;/&gt;&lt;wsp:rsid wsp:val=&quot;00B870B9&quot;/&gt;&lt;wsp:rsid wsp:val=&quot;00B87548&quot;/&gt;&lt;wsp:rsid wsp:val=&quot;00B87808&quot;/&gt;&lt;wsp:rsid wsp:val=&quot;00B87C05&quot;/&gt;&lt;wsp:rsid wsp:val=&quot;00B87FF0&quot;/&gt;&lt;wsp:rsid wsp:val=&quot;00B90186&quot;/&gt;&lt;wsp:rsid wsp:val=&quot;00B90220&quot;/&gt;&lt;wsp:rsid wsp:val=&quot;00B9055C&quot;/&gt;&lt;wsp:rsid wsp:val=&quot;00B90A24&quot;/&gt;&lt;wsp:rsid wsp:val=&quot;00B90AFB&quot;/&gt;&lt;wsp:rsid wsp:val=&quot;00B91017&quot;/&gt;&lt;wsp:rsid wsp:val=&quot;00B91019&quot;/&gt;&lt;wsp:rsid wsp:val=&quot;00B91898&quot;/&gt;&lt;wsp:rsid wsp:val=&quot;00B91D43&quot;/&gt;&lt;wsp:rsid wsp:val=&quot;00B91FFC&quot;/&gt;&lt;wsp:rsid wsp:val=&quot;00B922CF&quot;/&gt;&lt;wsp:rsid wsp:val=&quot;00B9259B&quot;/&gt;&lt;wsp:rsid wsp:val=&quot;00B925A4&quot;/&gt;&lt;wsp:rsid wsp:val=&quot;00B92867&quot;/&gt;&lt;wsp:rsid wsp:val=&quot;00B92C8B&quot;/&gt;&lt;wsp:rsid wsp:val=&quot;00B92CE3&quot;/&gt;&lt;wsp:rsid wsp:val=&quot;00B92EDF&quot;/&gt;&lt;wsp:rsid wsp:val=&quot;00B933ED&quot;/&gt;&lt;wsp:rsid wsp:val=&quot;00B9374D&quot;/&gt;&lt;wsp:rsid wsp:val=&quot;00B939BE&quot;/&gt;&lt;wsp:rsid wsp:val=&quot;00B93A53&quot;/&gt;&lt;wsp:rsid wsp:val=&quot;00B93E91&quot;/&gt;&lt;wsp:rsid wsp:val=&quot;00B94416&quot;/&gt;&lt;wsp:rsid wsp:val=&quot;00B945F6&quot;/&gt;&lt;wsp:rsid wsp:val=&quot;00B9494F&quot;/&gt;&lt;wsp:rsid wsp:val=&quot;00B949CD&quot;/&gt;&lt;wsp:rsid wsp:val=&quot;00B94DD4&quot;/&gt;&lt;wsp:rsid wsp:val=&quot;00B957E1&quot;/&gt;&lt;wsp:rsid wsp:val=&quot;00B95A70&quot;/&gt;&lt;wsp:rsid wsp:val=&quot;00B95F0E&quot;/&gt;&lt;wsp:rsid wsp:val=&quot;00B96800&quot;/&gt;&lt;wsp:rsid wsp:val=&quot;00B96DC9&quot;/&gt;&lt;wsp:rsid wsp:val=&quot;00B96EA0&quot;/&gt;&lt;wsp:rsid wsp:val=&quot;00B972E9&quot;/&gt;&lt;wsp:rsid wsp:val=&quot;00BA00D0&quot;/&gt;&lt;wsp:rsid wsp:val=&quot;00BA0219&quot;/&gt;&lt;wsp:rsid wsp:val=&quot;00BA0229&quot;/&gt;&lt;wsp:rsid wsp:val=&quot;00BA0362&quot;/&gt;&lt;wsp:rsid wsp:val=&quot;00BA0611&quot;/&gt;&lt;wsp:rsid wsp:val=&quot;00BA0A56&quot;/&gt;&lt;wsp:rsid wsp:val=&quot;00BA149A&quot;/&gt;&lt;wsp:rsid wsp:val=&quot;00BA162E&quot;/&gt;&lt;wsp:rsid wsp:val=&quot;00BA178A&quot;/&gt;&lt;wsp:rsid wsp:val=&quot;00BA2D52&quot;/&gt;&lt;wsp:rsid wsp:val=&quot;00BA2D5D&quot;/&gt;&lt;wsp:rsid wsp:val=&quot;00BA3151&quot;/&gt;&lt;wsp:rsid wsp:val=&quot;00BA34EC&quot;/&gt;&lt;wsp:rsid wsp:val=&quot;00BA38D3&quot;/&gt;&lt;wsp:rsid wsp:val=&quot;00BA3DB2&quot;/&gt;&lt;wsp:rsid wsp:val=&quot;00BA3E49&quot;/&gt;&lt;wsp:rsid wsp:val=&quot;00BA43FA&quot;/&gt;&lt;wsp:rsid wsp:val=&quot;00BA4C42&quot;/&gt;&lt;wsp:rsid wsp:val=&quot;00BA4D6A&quot;/&gt;&lt;wsp:rsid wsp:val=&quot;00BA5CA8&quot;/&gt;&lt;wsp:rsid wsp:val=&quot;00BA5DFF&quot;/&gt;&lt;wsp:rsid wsp:val=&quot;00BA5FEF&quot;/&gt;&lt;wsp:rsid wsp:val=&quot;00BA61E1&quot;/&gt;&lt;wsp:rsid wsp:val=&quot;00BA63A1&quot;/&gt;&lt;wsp:rsid wsp:val=&quot;00BA683E&quot;/&gt;&lt;wsp:rsid wsp:val=&quot;00BA68F0&quot;/&gt;&lt;wsp:rsid wsp:val=&quot;00BA6BF0&quot;/&gt;&lt;wsp:rsid wsp:val=&quot;00BA6EF9&quot;/&gt;&lt;wsp:rsid wsp:val=&quot;00BA6FA4&quot;/&gt;&lt;wsp:rsid wsp:val=&quot;00BA7546&quot;/&gt;&lt;wsp:rsid wsp:val=&quot;00BA7725&quot;/&gt;&lt;wsp:rsid wsp:val=&quot;00BA7AD3&quot;/&gt;&lt;wsp:rsid wsp:val=&quot;00BA7FCF&quot;/&gt;&lt;wsp:rsid wsp:val=&quot;00BB022C&quot;/&gt;&lt;wsp:rsid wsp:val=&quot;00BB06E2&quot;/&gt;&lt;wsp:rsid wsp:val=&quot;00BB0DAB&quot;/&gt;&lt;wsp:rsid wsp:val=&quot;00BB167D&quot;/&gt;&lt;wsp:rsid wsp:val=&quot;00BB2025&quot;/&gt;&lt;wsp:rsid wsp:val=&quot;00BB2060&quot;/&gt;&lt;wsp:rsid wsp:val=&quot;00BB20A4&quot;/&gt;&lt;wsp:rsid wsp:val=&quot;00BB2AF6&quot;/&gt;&lt;wsp:rsid wsp:val=&quot;00BB2FFB&quot;/&gt;&lt;wsp:rsid wsp:val=&quot;00BB311C&quot;/&gt;&lt;wsp:rsid wsp:val=&quot;00BB337E&quot;/&gt;&lt;wsp:rsid wsp:val=&quot;00BB34A9&quot;/&gt;&lt;wsp:rsid wsp:val=&quot;00BB350E&quot;/&gt;&lt;wsp:rsid wsp:val=&quot;00BB36C0&quot;/&gt;&lt;wsp:rsid wsp:val=&quot;00BB3A28&quot;/&gt;&lt;wsp:rsid wsp:val=&quot;00BB3B2D&quot;/&gt;&lt;wsp:rsid wsp:val=&quot;00BB409B&quot;/&gt;&lt;wsp:rsid wsp:val=&quot;00BB40BB&quot;/&gt;&lt;wsp:rsid wsp:val=&quot;00BB4189&quot;/&gt;&lt;wsp:rsid wsp:val=&quot;00BB42C2&quot;/&gt;&lt;wsp:rsid wsp:val=&quot;00BB4456&quot;/&gt;&lt;wsp:rsid wsp:val=&quot;00BB44E6&quot;/&gt;&lt;wsp:rsid wsp:val=&quot;00BB4C96&quot;/&gt;&lt;wsp:rsid wsp:val=&quot;00BB4FFB&quot;/&gt;&lt;wsp:rsid wsp:val=&quot;00BB50AC&quot;/&gt;&lt;wsp:rsid wsp:val=&quot;00BB5B79&quot;/&gt;&lt;wsp:rsid wsp:val=&quot;00BB5B9B&quot;/&gt;&lt;wsp:rsid wsp:val=&quot;00BB5C44&quot;/&gt;&lt;wsp:rsid wsp:val=&quot;00BB5F33&quot;/&gt;&lt;wsp:rsid wsp:val=&quot;00BB6048&quot;/&gt;&lt;wsp:rsid wsp:val=&quot;00BB61AC&quot;/&gt;&lt;wsp:rsid wsp:val=&quot;00BB6470&quot;/&gt;&lt;wsp:rsid wsp:val=&quot;00BB6844&quot;/&gt;&lt;wsp:rsid wsp:val=&quot;00BB6956&quot;/&gt;&lt;wsp:rsid wsp:val=&quot;00BB6A39&quot;/&gt;&lt;wsp:rsid wsp:val=&quot;00BB6A44&quot;/&gt;&lt;wsp:rsid wsp:val=&quot;00BB6A93&quot;/&gt;&lt;wsp:rsid wsp:val=&quot;00BB6D27&quot;/&gt;&lt;wsp:rsid wsp:val=&quot;00BB74DB&quot;/&gt;&lt;wsp:rsid wsp:val=&quot;00BB757B&quot;/&gt;&lt;wsp:rsid wsp:val=&quot;00BB77E4&quot;/&gt;&lt;wsp:rsid wsp:val=&quot;00BB782C&quot;/&gt;&lt;wsp:rsid wsp:val=&quot;00BB786D&quot;/&gt;&lt;wsp:rsid wsp:val=&quot;00BB7993&quot;/&gt;&lt;wsp:rsid wsp:val=&quot;00BB7B40&quot;/&gt;&lt;wsp:rsid wsp:val=&quot;00BB7C66&quot;/&gt;&lt;wsp:rsid wsp:val=&quot;00BC0314&quot;/&gt;&lt;wsp:rsid wsp:val=&quot;00BC05B3&quot;/&gt;&lt;wsp:rsid wsp:val=&quot;00BC073A&quot;/&gt;&lt;wsp:rsid wsp:val=&quot;00BC0F9C&quot;/&gt;&lt;wsp:rsid wsp:val=&quot;00BC106A&quot;/&gt;&lt;wsp:rsid wsp:val=&quot;00BC12BA&quot;/&gt;&lt;wsp:rsid wsp:val=&quot;00BC13B7&quot;/&gt;&lt;wsp:rsid wsp:val=&quot;00BC1604&quot;/&gt;&lt;wsp:rsid wsp:val=&quot;00BC1A09&quot;/&gt;&lt;wsp:rsid wsp:val=&quot;00BC1A9E&quot;/&gt;&lt;wsp:rsid wsp:val=&quot;00BC21DC&quot;/&gt;&lt;wsp:rsid wsp:val=&quot;00BC26BD&quot;/&gt;&lt;wsp:rsid wsp:val=&quot;00BC2834&quot;/&gt;&lt;wsp:rsid wsp:val=&quot;00BC2EB8&quot;/&gt;&lt;wsp:rsid wsp:val=&quot;00BC3404&quot;/&gt;&lt;wsp:rsid wsp:val=&quot;00BC34B3&quot;/&gt;&lt;wsp:rsid wsp:val=&quot;00BC37BB&quot;/&gt;&lt;wsp:rsid wsp:val=&quot;00BC37ED&quot;/&gt;&lt;wsp:rsid wsp:val=&quot;00BC3E79&quot;/&gt;&lt;wsp:rsid wsp:val=&quot;00BC3F4F&quot;/&gt;&lt;wsp:rsid wsp:val=&quot;00BC402B&quot;/&gt;&lt;wsp:rsid wsp:val=&quot;00BC40C2&quot;/&gt;&lt;wsp:rsid wsp:val=&quot;00BC4464&quot;/&gt;&lt;wsp:rsid wsp:val=&quot;00BC4A1C&quot;/&gt;&lt;wsp:rsid wsp:val=&quot;00BC4A5E&quot;/&gt;&lt;wsp:rsid wsp:val=&quot;00BC4CDE&quot;/&gt;&lt;wsp:rsid wsp:val=&quot;00BC4F0F&quot;/&gt;&lt;wsp:rsid wsp:val=&quot;00BC4F86&quot;/&gt;&lt;wsp:rsid wsp:val=&quot;00BC5197&quot;/&gt;&lt;wsp:rsid wsp:val=&quot;00BC51DE&quot;/&gt;&lt;wsp:rsid wsp:val=&quot;00BC569F&quot;/&gt;&lt;wsp:rsid wsp:val=&quot;00BC59F6&quot;/&gt;&lt;wsp:rsid wsp:val=&quot;00BC5B02&quot;/&gt;&lt;wsp:rsid wsp:val=&quot;00BC5E6B&quot;/&gt;&lt;wsp:rsid wsp:val=&quot;00BC645D&quot;/&gt;&lt;wsp:rsid wsp:val=&quot;00BC689E&quot;/&gt;&lt;wsp:rsid wsp:val=&quot;00BC6E57&quot;/&gt;&lt;wsp:rsid wsp:val=&quot;00BC6FF0&quot;/&gt;&lt;wsp:rsid wsp:val=&quot;00BC7003&quot;/&gt;&lt;wsp:rsid wsp:val=&quot;00BC72DF&quot;/&gt;&lt;wsp:rsid wsp:val=&quot;00BC7514&quot;/&gt;&lt;wsp:rsid wsp:val=&quot;00BC7A8A&quot;/&gt;&lt;wsp:rsid wsp:val=&quot;00BC7E36&quot;/&gt;&lt;wsp:rsid wsp:val=&quot;00BD0239&quot;/&gt;&lt;wsp:rsid wsp:val=&quot;00BD028C&quot;/&gt;&lt;wsp:rsid wsp:val=&quot;00BD0665&quot;/&gt;&lt;wsp:rsid wsp:val=&quot;00BD07EF&quot;/&gt;&lt;wsp:rsid wsp:val=&quot;00BD07F5&quot;/&gt;&lt;wsp:rsid wsp:val=&quot;00BD0E05&quot;/&gt;&lt;wsp:rsid wsp:val=&quot;00BD0EC3&quot;/&gt;&lt;wsp:rsid wsp:val=&quot;00BD1044&quot;/&gt;&lt;wsp:rsid wsp:val=&quot;00BD1408&quot;/&gt;&lt;wsp:rsid wsp:val=&quot;00BD15C5&quot;/&gt;&lt;wsp:rsid wsp:val=&quot;00BD16AD&quot;/&gt;&lt;wsp:rsid wsp:val=&quot;00BD183E&quot;/&gt;&lt;wsp:rsid wsp:val=&quot;00BD1966&quot;/&gt;&lt;wsp:rsid wsp:val=&quot;00BD19F8&quot;/&gt;&lt;wsp:rsid wsp:val=&quot;00BD21EF&quot;/&gt;&lt;wsp:rsid wsp:val=&quot;00BD2722&quot;/&gt;&lt;wsp:rsid wsp:val=&quot;00BD290B&quot;/&gt;&lt;wsp:rsid wsp:val=&quot;00BD2A30&quot;/&gt;&lt;wsp:rsid wsp:val=&quot;00BD2C67&quot;/&gt;&lt;wsp:rsid wsp:val=&quot;00BD319D&quot;/&gt;&lt;wsp:rsid wsp:val=&quot;00BD3B1A&quot;/&gt;&lt;wsp:rsid wsp:val=&quot;00BD3CC7&quot;/&gt;&lt;wsp:rsid wsp:val=&quot;00BD47CB&quot;/&gt;&lt;wsp:rsid wsp:val=&quot;00BD4986&quot;/&gt;&lt;wsp:rsid wsp:val=&quot;00BD4A06&quot;/&gt;&lt;wsp:rsid wsp:val=&quot;00BD4D4D&quot;/&gt;&lt;wsp:rsid wsp:val=&quot;00BD4F72&quot;/&gt;&lt;wsp:rsid wsp:val=&quot;00BD5117&quot;/&gt;&lt;wsp:rsid wsp:val=&quot;00BD52AB&quot;/&gt;&lt;wsp:rsid wsp:val=&quot;00BD5483&quot;/&gt;&lt;wsp:rsid wsp:val=&quot;00BD5626&quot;/&gt;&lt;wsp:rsid wsp:val=&quot;00BD57FD&quot;/&gt;&lt;wsp:rsid wsp:val=&quot;00BD5E7B&quot;/&gt;&lt;wsp:rsid wsp:val=&quot;00BD67E2&quot;/&gt;&lt;wsp:rsid wsp:val=&quot;00BD6DBD&quot;/&gt;&lt;wsp:rsid wsp:val=&quot;00BD6E04&quot;/&gt;&lt;wsp:rsid wsp:val=&quot;00BD73E0&quot;/&gt;&lt;wsp:rsid wsp:val=&quot;00BD746B&quot;/&gt;&lt;wsp:rsid wsp:val=&quot;00BD7971&quot;/&gt;&lt;wsp:rsid wsp:val=&quot;00BD7A89&quot;/&gt;&lt;wsp:rsid wsp:val=&quot;00BD7AB5&quot;/&gt;&lt;wsp:rsid wsp:val=&quot;00BD7C5B&quot;/&gt;&lt;wsp:rsid wsp:val=&quot;00BD7CEE&quot;/&gt;&lt;wsp:rsid wsp:val=&quot;00BD7D8E&quot;/&gt;&lt;wsp:rsid wsp:val=&quot;00BE0028&quot;/&gt;&lt;wsp:rsid wsp:val=&quot;00BE06B0&quot;/&gt;&lt;wsp:rsid wsp:val=&quot;00BE06D9&quot;/&gt;&lt;wsp:rsid wsp:val=&quot;00BE09AD&quot;/&gt;&lt;wsp:rsid wsp:val=&quot;00BE0B76&quot;/&gt;&lt;wsp:rsid wsp:val=&quot;00BE18A5&quot;/&gt;&lt;wsp:rsid wsp:val=&quot;00BE19E5&quot;/&gt;&lt;wsp:rsid wsp:val=&quot;00BE1DE4&quot;/&gt;&lt;wsp:rsid wsp:val=&quot;00BE1F06&quot;/&gt;&lt;wsp:rsid wsp:val=&quot;00BE1FDE&quot;/&gt;&lt;wsp:rsid wsp:val=&quot;00BE24B8&quot;/&gt;&lt;wsp:rsid wsp:val=&quot;00BE2516&quot;/&gt;&lt;wsp:rsid wsp:val=&quot;00BE2676&quot;/&gt;&lt;wsp:rsid wsp:val=&quot;00BE27F3&quot;/&gt;&lt;wsp:rsid wsp:val=&quot;00BE2B0C&quot;/&gt;&lt;wsp:rsid wsp:val=&quot;00BE2E84&quot;/&gt;&lt;wsp:rsid wsp:val=&quot;00BE2FC2&quot;/&gt;&lt;wsp:rsid wsp:val=&quot;00BE303E&quot;/&gt;&lt;wsp:rsid wsp:val=&quot;00BE333D&quot;/&gt;&lt;wsp:rsid wsp:val=&quot;00BE3465&quot;/&gt;&lt;wsp:rsid wsp:val=&quot;00BE4325&quot;/&gt;&lt;wsp:rsid wsp:val=&quot;00BE52FA&quot;/&gt;&lt;wsp:rsid wsp:val=&quot;00BE5611&quot;/&gt;&lt;wsp:rsid wsp:val=&quot;00BE56AA&quot;/&gt;&lt;wsp:rsid wsp:val=&quot;00BE56CB&quot;/&gt;&lt;wsp:rsid wsp:val=&quot;00BE58B2&quot;/&gt;&lt;wsp:rsid wsp:val=&quot;00BE6197&quot;/&gt;&lt;wsp:rsid wsp:val=&quot;00BE6510&quot;/&gt;&lt;wsp:rsid wsp:val=&quot;00BE6562&quot;/&gt;&lt;wsp:rsid wsp:val=&quot;00BE6B39&quot;/&gt;&lt;wsp:rsid wsp:val=&quot;00BE6C2F&quot;/&gt;&lt;wsp:rsid wsp:val=&quot;00BE6CE0&quot;/&gt;&lt;wsp:rsid wsp:val=&quot;00BE712C&quot;/&gt;&lt;wsp:rsid wsp:val=&quot;00BE75E1&quot;/&gt;&lt;wsp:rsid wsp:val=&quot;00BE76C2&quot;/&gt;&lt;wsp:rsid wsp:val=&quot;00BE785F&quot;/&gt;&lt;wsp:rsid wsp:val=&quot;00BE78BC&quot;/&gt;&lt;wsp:rsid wsp:val=&quot;00BE7C9B&quot;/&gt;&lt;wsp:rsid wsp:val=&quot;00BF00BE&quot;/&gt;&lt;wsp:rsid wsp:val=&quot;00BF018E&quot;/&gt;&lt;wsp:rsid wsp:val=&quot;00BF04F4&quot;/&gt;&lt;wsp:rsid wsp:val=&quot;00BF07C9&quot;/&gt;&lt;wsp:rsid wsp:val=&quot;00BF092E&quot;/&gt;&lt;wsp:rsid wsp:val=&quot;00BF0D10&quot;/&gt;&lt;wsp:rsid wsp:val=&quot;00BF0E67&quot;/&gt;&lt;wsp:rsid wsp:val=&quot;00BF0F6C&quot;/&gt;&lt;wsp:rsid wsp:val=&quot;00BF14A4&quot;/&gt;&lt;wsp:rsid wsp:val=&quot;00BF1503&quot;/&gt;&lt;wsp:rsid wsp:val=&quot;00BF1995&quot;/&gt;&lt;wsp:rsid wsp:val=&quot;00BF20B3&quot;/&gt;&lt;wsp:rsid wsp:val=&quot;00BF2226&quot;/&gt;&lt;wsp:rsid wsp:val=&quot;00BF2A9A&quot;/&gt;&lt;wsp:rsid wsp:val=&quot;00BF3C18&quot;/&gt;&lt;wsp:rsid wsp:val=&quot;00BF4105&quot;/&gt;&lt;wsp:rsid wsp:val=&quot;00BF418D&quot;/&gt;&lt;wsp:rsid wsp:val=&quot;00BF452F&quot;/&gt;&lt;wsp:rsid wsp:val=&quot;00BF456D&quot;/&gt;&lt;wsp:rsid wsp:val=&quot;00BF55FF&quot;/&gt;&lt;wsp:rsid wsp:val=&quot;00BF571A&quot;/&gt;&lt;wsp:rsid wsp:val=&quot;00BF5A3A&quot;/&gt;&lt;wsp:rsid wsp:val=&quot;00BF5B6E&quot;/&gt;&lt;wsp:rsid wsp:val=&quot;00BF5D51&quot;/&gt;&lt;wsp:rsid wsp:val=&quot;00BF5FB4&quot;/&gt;&lt;wsp:rsid wsp:val=&quot;00BF6487&quot;/&gt;&lt;wsp:rsid wsp:val=&quot;00BF6693&quot;/&gt;&lt;wsp:rsid wsp:val=&quot;00BF66D7&quot;/&gt;&lt;wsp:rsid wsp:val=&quot;00BF6AF7&quot;/&gt;&lt;wsp:rsid wsp:val=&quot;00BF6D3E&quot;/&gt;&lt;wsp:rsid wsp:val=&quot;00BF6F1F&quot;/&gt;&lt;wsp:rsid wsp:val=&quot;00BF7145&quot;/&gt;&lt;wsp:rsid wsp:val=&quot;00BF7221&quot;/&gt;&lt;wsp:rsid wsp:val=&quot;00BF7B8D&quot;/&gt;&lt;wsp:rsid wsp:val=&quot;00BF7EAE&quot;/&gt;&lt;wsp:rsid wsp:val=&quot;00C00180&quot;/&gt;&lt;wsp:rsid wsp:val=&quot;00C002A6&quot;/&gt;&lt;wsp:rsid wsp:val=&quot;00C0040F&quot;/&gt;&lt;wsp:rsid wsp:val=&quot;00C00B97&quot;/&gt;&lt;wsp:rsid wsp:val=&quot;00C00ED8&quot;/&gt;&lt;wsp:rsid wsp:val=&quot;00C011B7&quot;/&gt;&lt;wsp:rsid wsp:val=&quot;00C01350&quot;/&gt;&lt;wsp:rsid wsp:val=&quot;00C017BB&quot;/&gt;&lt;wsp:rsid wsp:val=&quot;00C01DB8&quot;/&gt;&lt;wsp:rsid wsp:val=&quot;00C01E51&quot;/&gt;&lt;wsp:rsid wsp:val=&quot;00C01F8C&quot;/&gt;&lt;wsp:rsid wsp:val=&quot;00C0200B&quot;/&gt;&lt;wsp:rsid wsp:val=&quot;00C020FC&quot;/&gt;&lt;wsp:rsid wsp:val=&quot;00C02143&quot;/&gt;&lt;wsp:rsid wsp:val=&quot;00C02566&quot;/&gt;&lt;wsp:rsid wsp:val=&quot;00C02775&quot;/&gt;&lt;wsp:rsid wsp:val=&quot;00C02AB4&quot;/&gt;&lt;wsp:rsid wsp:val=&quot;00C02B6E&quot;/&gt;&lt;wsp:rsid wsp:val=&quot;00C02C7F&quot;/&gt;&lt;wsp:rsid wsp:val=&quot;00C02FC6&quot;/&gt;&lt;wsp:rsid wsp:val=&quot;00C03236&quot;/&gt;&lt;wsp:rsid wsp:val=&quot;00C03A12&quot;/&gt;&lt;wsp:rsid wsp:val=&quot;00C03E02&quot;/&gt;&lt;wsp:rsid wsp:val=&quot;00C03F80&quot;/&gt;&lt;wsp:rsid wsp:val=&quot;00C04424&quot;/&gt;&lt;wsp:rsid wsp:val=&quot;00C0453D&quot;/&gt;&lt;wsp:rsid wsp:val=&quot;00C05095&quot;/&gt;&lt;wsp:rsid wsp:val=&quot;00C05A2D&quot;/&gt;&lt;wsp:rsid wsp:val=&quot;00C05D31&quot;/&gt;&lt;wsp:rsid wsp:val=&quot;00C05E10&quot;/&gt;&lt;wsp:rsid wsp:val=&quot;00C060E2&quot;/&gt;&lt;wsp:rsid wsp:val=&quot;00C06660&quot;/&gt;&lt;wsp:rsid wsp:val=&quot;00C0691F&quot;/&gt;&lt;wsp:rsid wsp:val=&quot;00C06953&quot;/&gt;&lt;wsp:rsid wsp:val=&quot;00C06CC3&quot;/&gt;&lt;wsp:rsid wsp:val=&quot;00C06DF9&quot;/&gt;&lt;wsp:rsid wsp:val=&quot;00C06FB3&quot;/&gt;&lt;wsp:rsid wsp:val=&quot;00C070C3&quot;/&gt;&lt;wsp:rsid wsp:val=&quot;00C078EE&quot;/&gt;&lt;wsp:rsid wsp:val=&quot;00C07BC7&quot;/&gt;&lt;wsp:rsid wsp:val=&quot;00C10240&quot;/&gt;&lt;wsp:rsid wsp:val=&quot;00C102D6&quot;/&gt;&lt;wsp:rsid wsp:val=&quot;00C104EA&quot;/&gt;&lt;wsp:rsid wsp:val=&quot;00C10512&quot;/&gt;&lt;wsp:rsid wsp:val=&quot;00C10BF8&quot;/&gt;&lt;wsp:rsid wsp:val=&quot;00C10D7B&quot;/&gt;&lt;wsp:rsid wsp:val=&quot;00C10F49&quot;/&gt;&lt;wsp:rsid wsp:val=&quot;00C11443&quot;/&gt;&lt;wsp:rsid wsp:val=&quot;00C11555&quot;/&gt;&lt;wsp:rsid wsp:val=&quot;00C1180F&quot;/&gt;&lt;wsp:rsid wsp:val=&quot;00C11BE8&quot;/&gt;&lt;wsp:rsid wsp:val=&quot;00C11EA5&quot;/&gt;&lt;wsp:rsid wsp:val=&quot;00C11F74&quot;/&gt;&lt;wsp:rsid wsp:val=&quot;00C129E9&quot;/&gt;&lt;wsp:rsid wsp:val=&quot;00C12C11&quot;/&gt;&lt;wsp:rsid wsp:val=&quot;00C12C97&quot;/&gt;&lt;wsp:rsid wsp:val=&quot;00C13509&quot;/&gt;&lt;wsp:rsid wsp:val=&quot;00C13555&quot;/&gt;&lt;wsp:rsid wsp:val=&quot;00C135A5&quot;/&gt;&lt;wsp:rsid wsp:val=&quot;00C137B3&quot;/&gt;&lt;wsp:rsid wsp:val=&quot;00C13AE6&quot;/&gt;&lt;wsp:rsid wsp:val=&quot;00C13EEF&quot;/&gt;&lt;wsp:rsid wsp:val=&quot;00C14134&quot;/&gt;&lt;wsp:rsid wsp:val=&quot;00C1486A&quot;/&gt;&lt;wsp:rsid wsp:val=&quot;00C14D0F&quot;/&gt;&lt;wsp:rsid wsp:val=&quot;00C150B0&quot;/&gt;&lt;wsp:rsid wsp:val=&quot;00C152AF&quot;/&gt;&lt;wsp:rsid wsp:val=&quot;00C15325&quot;/&gt;&lt;wsp:rsid wsp:val=&quot;00C15977&quot;/&gt;&lt;wsp:rsid wsp:val=&quot;00C15C67&quot;/&gt;&lt;wsp:rsid wsp:val=&quot;00C15EE9&quot;/&gt;&lt;wsp:rsid wsp:val=&quot;00C15F3E&quot;/&gt;&lt;wsp:rsid wsp:val=&quot;00C162BB&quot;/&gt;&lt;wsp:rsid wsp:val=&quot;00C1648E&quot;/&gt;&lt;wsp:rsid wsp:val=&quot;00C16B62&quot;/&gt;&lt;wsp:rsid wsp:val=&quot;00C16CD0&quot;/&gt;&lt;wsp:rsid wsp:val=&quot;00C16D8C&quot;/&gt;&lt;wsp:rsid wsp:val=&quot;00C1711A&quot;/&gt;&lt;wsp:rsid wsp:val=&quot;00C174BB&quot;/&gt;&lt;wsp:rsid wsp:val=&quot;00C17BF1&quot;/&gt;&lt;wsp:rsid wsp:val=&quot;00C17C09&quot;/&gt;&lt;wsp:rsid wsp:val=&quot;00C20128&quot;/&gt;&lt;wsp:rsid wsp:val=&quot;00C201C6&quot;/&gt;&lt;wsp:rsid wsp:val=&quot;00C20663&quot;/&gt;&lt;wsp:rsid wsp:val=&quot;00C208B3&quot;/&gt;&lt;wsp:rsid wsp:val=&quot;00C20A81&quot;/&gt;&lt;wsp:rsid wsp:val=&quot;00C20C04&quot;/&gt;&lt;wsp:rsid wsp:val=&quot;00C213C5&quot;/&gt;&lt;wsp:rsid wsp:val=&quot;00C2147C&quot;/&gt;&lt;wsp:rsid wsp:val=&quot;00C21867&quot;/&gt;&lt;wsp:rsid wsp:val=&quot;00C21BF0&quot;/&gt;&lt;wsp:rsid wsp:val=&quot;00C21CA2&quot;/&gt;&lt;wsp:rsid wsp:val=&quot;00C21FB6&quot;/&gt;&lt;wsp:rsid wsp:val=&quot;00C220D9&quot;/&gt;&lt;wsp:rsid wsp:val=&quot;00C22109&quot;/&gt;&lt;wsp:rsid wsp:val=&quot;00C22165&quot;/&gt;&lt;wsp:rsid wsp:val=&quot;00C22178&quot;/&gt;&lt;wsp:rsid wsp:val=&quot;00C22628&quot;/&gt;&lt;wsp:rsid wsp:val=&quot;00C22699&quot;/&gt;&lt;wsp:rsid wsp:val=&quot;00C2292E&quot;/&gt;&lt;wsp:rsid wsp:val=&quot;00C22AA2&quot;/&gt;&lt;wsp:rsid wsp:val=&quot;00C22F8E&quot;/&gt;&lt;wsp:rsid wsp:val=&quot;00C23063&quot;/&gt;&lt;wsp:rsid wsp:val=&quot;00C236A3&quot;/&gt;&lt;wsp:rsid wsp:val=&quot;00C236BB&quot;/&gt;&lt;wsp:rsid wsp:val=&quot;00C23703&quot;/&gt;&lt;wsp:rsid wsp:val=&quot;00C239A2&quot;/&gt;&lt;wsp:rsid wsp:val=&quot;00C23EA5&quot;/&gt;&lt;wsp:rsid wsp:val=&quot;00C23EFC&quot;/&gt;&lt;wsp:rsid wsp:val=&quot;00C23F8F&quot;/&gt;&lt;wsp:rsid wsp:val=&quot;00C24301&quot;/&gt;&lt;wsp:rsid wsp:val=&quot;00C244F8&quot;/&gt;&lt;wsp:rsid wsp:val=&quot;00C24626&quot;/&gt;&lt;wsp:rsid wsp:val=&quot;00C24A64&quot;/&gt;&lt;wsp:rsid wsp:val=&quot;00C24E2A&quot;/&gt;&lt;wsp:rsid wsp:val=&quot;00C24E2B&quot;/&gt;&lt;wsp:rsid wsp:val=&quot;00C24F63&quot;/&gt;&lt;wsp:rsid wsp:val=&quot;00C250B1&quot;/&gt;&lt;wsp:rsid wsp:val=&quot;00C2586A&quot;/&gt;&lt;wsp:rsid wsp:val=&quot;00C25936&quot;/&gt;&lt;wsp:rsid wsp:val=&quot;00C25DE7&quot;/&gt;&lt;wsp:rsid wsp:val=&quot;00C260AE&quot;/&gt;&lt;wsp:rsid wsp:val=&quot;00C26418&quot;/&gt;&lt;wsp:rsid wsp:val=&quot;00C267CE&quot;/&gt;&lt;wsp:rsid wsp:val=&quot;00C27C00&quot;/&gt;&lt;wsp:rsid wsp:val=&quot;00C3012D&quot;/&gt;&lt;wsp:rsid wsp:val=&quot;00C309C4&quot;/&gt;&lt;wsp:rsid wsp:val=&quot;00C30C4F&quot;/&gt;&lt;wsp:rsid wsp:val=&quot;00C30FEC&quot;/&gt;&lt;wsp:rsid wsp:val=&quot;00C310A6&quot;/&gt;&lt;wsp:rsid wsp:val=&quot;00C313EB&quot;/&gt;&lt;wsp:rsid wsp:val=&quot;00C31477&quot;/&gt;&lt;wsp:rsid wsp:val=&quot;00C3163C&quot;/&gt;&lt;wsp:rsid wsp:val=&quot;00C3189B&quot;/&gt;&lt;wsp:rsid wsp:val=&quot;00C31991&quot;/&gt;&lt;wsp:rsid wsp:val=&quot;00C31BF9&quot;/&gt;&lt;wsp:rsid wsp:val=&quot;00C31E68&quot;/&gt;&lt;wsp:rsid wsp:val=&quot;00C31E98&quot;/&gt;&lt;wsp:rsid wsp:val=&quot;00C31F06&quot;/&gt;&lt;wsp:rsid wsp:val=&quot;00C3200E&quot;/&gt;&lt;wsp:rsid wsp:val=&quot;00C32227&quot;/&gt;&lt;wsp:rsid wsp:val=&quot;00C32521&quot;/&gt;&lt;wsp:rsid wsp:val=&quot;00C3256D&quot;/&gt;&lt;wsp:rsid wsp:val=&quot;00C326F5&quot;/&gt;&lt;wsp:rsid wsp:val=&quot;00C328C0&quot;/&gt;&lt;wsp:rsid wsp:val=&quot;00C329BB&quot;/&gt;&lt;wsp:rsid wsp:val=&quot;00C32CD7&quot;/&gt;&lt;wsp:rsid wsp:val=&quot;00C32D73&quot;/&gt;&lt;wsp:rsid wsp:val=&quot;00C33480&quot;/&gt;&lt;wsp:rsid wsp:val=&quot;00C3351E&quot;/&gt;&lt;wsp:rsid wsp:val=&quot;00C33ABF&quot;/&gt;&lt;wsp:rsid wsp:val=&quot;00C33F88&quot;/&gt;&lt;wsp:rsid wsp:val=&quot;00C347EB&quot;/&gt;&lt;wsp:rsid wsp:val=&quot;00C34A8A&quot;/&gt;&lt;wsp:rsid wsp:val=&quot;00C34E96&quot;/&gt;&lt;wsp:rsid wsp:val=&quot;00C34F98&quot;/&gt;&lt;wsp:rsid wsp:val=&quot;00C34FE9&quot;/&gt;&lt;wsp:rsid wsp:val=&quot;00C351F0&quot;/&gt;&lt;wsp:rsid wsp:val=&quot;00C3528E&quot;/&gt;&lt;wsp:rsid wsp:val=&quot;00C3546C&quot;/&gt;&lt;wsp:rsid wsp:val=&quot;00C36345&quot;/&gt;&lt;wsp:rsid wsp:val=&quot;00C36660&quot;/&gt;&lt;wsp:rsid wsp:val=&quot;00C36908&quot;/&gt;&lt;wsp:rsid wsp:val=&quot;00C36A6C&quot;/&gt;&lt;wsp:rsid wsp:val=&quot;00C36D0F&quot;/&gt;&lt;wsp:rsid wsp:val=&quot;00C36F38&quot;/&gt;&lt;wsp:rsid wsp:val=&quot;00C36F53&quot;/&gt;&lt;wsp:rsid wsp:val=&quot;00C375DD&quot;/&gt;&lt;wsp:rsid wsp:val=&quot;00C37B8B&quot;/&gt;&lt;wsp:rsid wsp:val=&quot;00C40486&quot;/&gt;&lt;wsp:rsid wsp:val=&quot;00C405F4&quot;/&gt;&lt;wsp:rsid wsp:val=&quot;00C40609&quot;/&gt;&lt;wsp:rsid wsp:val=&quot;00C40777&quot;/&gt;&lt;wsp:rsid wsp:val=&quot;00C408E3&quot;/&gt;&lt;wsp:rsid wsp:val=&quot;00C409E2&quot;/&gt;&lt;wsp:rsid wsp:val=&quot;00C40A4C&quot;/&gt;&lt;wsp:rsid wsp:val=&quot;00C40A63&quot;/&gt;&lt;wsp:rsid wsp:val=&quot;00C40D3E&quot;/&gt;&lt;wsp:rsid wsp:val=&quot;00C40E93&quot;/&gt;&lt;wsp:rsid wsp:val=&quot;00C40F5C&quot;/&gt;&lt;wsp:rsid wsp:val=&quot;00C40F77&quot;/&gt;&lt;wsp:rsid wsp:val=&quot;00C4136B&quot;/&gt;&lt;wsp:rsid wsp:val=&quot;00C413B2&quot;/&gt;&lt;wsp:rsid wsp:val=&quot;00C413CD&quot;/&gt;&lt;wsp:rsid wsp:val=&quot;00C41992&quot;/&gt;&lt;wsp:rsid wsp:val=&quot;00C419F9&quot;/&gt;&lt;wsp:rsid wsp:val=&quot;00C41CC2&quot;/&gt;&lt;wsp:rsid wsp:val=&quot;00C41DFC&quot;/&gt;&lt;wsp:rsid wsp:val=&quot;00C41E87&quot;/&gt;&lt;wsp:rsid wsp:val=&quot;00C41F13&quot;/&gt;&lt;wsp:rsid wsp:val=&quot;00C42424&quot;/&gt;&lt;wsp:rsid wsp:val=&quot;00C43286&quot;/&gt;&lt;wsp:rsid wsp:val=&quot;00C4358D&quot;/&gt;&lt;wsp:rsid wsp:val=&quot;00C4370D&quot;/&gt;&lt;wsp:rsid wsp:val=&quot;00C44058&quot;/&gt;&lt;wsp:rsid wsp:val=&quot;00C4495F&quot;/&gt;&lt;wsp:rsid wsp:val=&quot;00C45325&quot;/&gt;&lt;wsp:rsid wsp:val=&quot;00C453A3&quot;/&gt;&lt;wsp:rsid wsp:val=&quot;00C45ADF&quot;/&gt;&lt;wsp:rsid wsp:val=&quot;00C45CB8&quot;/&gt;&lt;wsp:rsid wsp:val=&quot;00C46336&quot;/&gt;&lt;wsp:rsid wsp:val=&quot;00C4689A&quot;/&gt;&lt;wsp:rsid wsp:val=&quot;00C46E54&quot;/&gt;&lt;wsp:rsid wsp:val=&quot;00C4703A&quot;/&gt;&lt;wsp:rsid wsp:val=&quot;00C474C1&quot;/&gt;&lt;wsp:rsid wsp:val=&quot;00C47EAC&quot;/&gt;&lt;wsp:rsid wsp:val=&quot;00C47FE1&quot;/&gt;&lt;wsp:rsid wsp:val=&quot;00C5008A&quot;/&gt;&lt;wsp:rsid wsp:val=&quot;00C507B2&quot;/&gt;&lt;wsp:rsid wsp:val=&quot;00C50B28&quot;/&gt;&lt;wsp:rsid wsp:val=&quot;00C50B89&quot;/&gt;&lt;wsp:rsid wsp:val=&quot;00C51397&quot;/&gt;&lt;wsp:rsid wsp:val=&quot;00C516C6&quot;/&gt;&lt;wsp:rsid wsp:val=&quot;00C51953&quot;/&gt;&lt;wsp:rsid wsp:val=&quot;00C52043&quot;/&gt;&lt;wsp:rsid wsp:val=&quot;00C5268A&quot;/&gt;&lt;wsp:rsid wsp:val=&quot;00C529CC&quot;/&gt;&lt;wsp:rsid wsp:val=&quot;00C52D26&quot;/&gt;&lt;wsp:rsid wsp:val=&quot;00C53272&quot;/&gt;&lt;wsp:rsid wsp:val=&quot;00C53E29&quot;/&gt;&lt;wsp:rsid wsp:val=&quot;00C53EAE&quot;/&gt;&lt;wsp:rsid wsp:val=&quot;00C53F85&quot;/&gt;&lt;wsp:rsid wsp:val=&quot;00C54548&quot;/&gt;&lt;wsp:rsid wsp:val=&quot;00C549F3&quot;/&gt;&lt;wsp:rsid wsp:val=&quot;00C54CE5&quot;/&gt;&lt;wsp:rsid wsp:val=&quot;00C54D13&quot;/&gt;&lt;wsp:rsid wsp:val=&quot;00C54EF1&quot;/&gt;&lt;wsp:rsid wsp:val=&quot;00C5502B&quot;/&gt;&lt;wsp:rsid wsp:val=&quot;00C551F8&quot;/&gt;&lt;wsp:rsid wsp:val=&quot;00C552FA&quot;/&gt;&lt;wsp:rsid wsp:val=&quot;00C5557C&quot;/&gt;&lt;wsp:rsid wsp:val=&quot;00C55714&quot;/&gt;&lt;wsp:rsid wsp:val=&quot;00C5571A&quot;/&gt;&lt;wsp:rsid wsp:val=&quot;00C55833&quot;/&gt;&lt;wsp:rsid wsp:val=&quot;00C55ABB&quot;/&gt;&lt;wsp:rsid wsp:val=&quot;00C55C94&quot;/&gt;&lt;wsp:rsid wsp:val=&quot;00C560ED&quot;/&gt;&lt;wsp:rsid wsp:val=&quot;00C56423&quot;/&gt;&lt;wsp:rsid wsp:val=&quot;00C56B2B&quot;/&gt;&lt;wsp:rsid wsp:val=&quot;00C56DFA&quot;/&gt;&lt;wsp:rsid wsp:val=&quot;00C5706C&quot;/&gt;&lt;wsp:rsid wsp:val=&quot;00C5748D&quot;/&gt;&lt;wsp:rsid wsp:val=&quot;00C57495&quot;/&gt;&lt;wsp:rsid wsp:val=&quot;00C5764E&quot;/&gt;&lt;wsp:rsid wsp:val=&quot;00C57724&quot;/&gt;&lt;wsp:rsid wsp:val=&quot;00C578BE&quot;/&gt;&lt;wsp:rsid wsp:val=&quot;00C57A7C&quot;/&gt;&lt;wsp:rsid wsp:val=&quot;00C57ABD&quot;/&gt;&lt;wsp:rsid wsp:val=&quot;00C57E0C&quot;/&gt;&lt;wsp:rsid wsp:val=&quot;00C60420&quot;/&gt;&lt;wsp:rsid wsp:val=&quot;00C608EB&quot;/&gt;&lt;wsp:rsid wsp:val=&quot;00C61442&quot;/&gt;&lt;wsp:rsid wsp:val=&quot;00C6148E&quot;/&gt;&lt;wsp:rsid wsp:val=&quot;00C616DC&quot;/&gt;&lt;wsp:rsid wsp:val=&quot;00C61D53&quot;/&gt;&lt;wsp:rsid wsp:val=&quot;00C628B9&quot;/&gt;&lt;wsp:rsid wsp:val=&quot;00C62D5C&quot;/&gt;&lt;wsp:rsid wsp:val=&quot;00C62D63&quot;/&gt;&lt;wsp:rsid wsp:val=&quot;00C62FD1&quot;/&gt;&lt;wsp:rsid wsp:val=&quot;00C63112&quot;/&gt;&lt;wsp:rsid wsp:val=&quot;00C6323C&quot;/&gt;&lt;wsp:rsid wsp:val=&quot;00C632AB&quot;/&gt;&lt;wsp:rsid wsp:val=&quot;00C635E9&quot;/&gt;&lt;wsp:rsid wsp:val=&quot;00C63676&quot;/&gt;&lt;wsp:rsid wsp:val=&quot;00C638AE&quot;/&gt;&lt;wsp:rsid wsp:val=&quot;00C6396D&quot;/&gt;&lt;wsp:rsid wsp:val=&quot;00C63FC5&quot;/&gt;&lt;wsp:rsid wsp:val=&quot;00C64147&quot;/&gt;&lt;wsp:rsid wsp:val=&quot;00C64212&quot;/&gt;&lt;wsp:rsid wsp:val=&quot;00C64557&quot;/&gt;&lt;wsp:rsid wsp:val=&quot;00C648CB&quot;/&gt;&lt;wsp:rsid wsp:val=&quot;00C64B1E&quot;/&gt;&lt;wsp:rsid wsp:val=&quot;00C64B99&quot;/&gt;&lt;wsp:rsid wsp:val=&quot;00C64FFC&quot;/&gt;&lt;wsp:rsid wsp:val=&quot;00C64FFD&quot;/&gt;&lt;wsp:rsid wsp:val=&quot;00C65030&quot;/&gt;&lt;wsp:rsid wsp:val=&quot;00C655D5&quot;/&gt;&lt;wsp:rsid wsp:val=&quot;00C65CFF&quot;/&gt;&lt;wsp:rsid wsp:val=&quot;00C65EEE&quot;/&gt;&lt;wsp:rsid wsp:val=&quot;00C662BB&quot;/&gt;&lt;wsp:rsid wsp:val=&quot;00C66354&quot;/&gt;&lt;wsp:rsid wsp:val=&quot;00C66A8E&quot;/&gt;&lt;wsp:rsid wsp:val=&quot;00C66B4B&quot;/&gt;&lt;wsp:rsid wsp:val=&quot;00C670A3&quot;/&gt;&lt;wsp:rsid wsp:val=&quot;00C670AE&quot;/&gt;&lt;wsp:rsid wsp:val=&quot;00C671DE&quot;/&gt;&lt;wsp:rsid wsp:val=&quot;00C673C5&quot;/&gt;&lt;wsp:rsid wsp:val=&quot;00C67831&quot;/&gt;&lt;wsp:rsid wsp:val=&quot;00C67EA5&quot;/&gt;&lt;wsp:rsid wsp:val=&quot;00C67F6C&quot;/&gt;&lt;wsp:rsid wsp:val=&quot;00C701DC&quot;/&gt;&lt;wsp:rsid wsp:val=&quot;00C70366&quot;/&gt;&lt;wsp:rsid wsp:val=&quot;00C70A2A&quot;/&gt;&lt;wsp:rsid wsp:val=&quot;00C71651&quot;/&gt;&lt;wsp:rsid wsp:val=&quot;00C71716&quot;/&gt;&lt;wsp:rsid wsp:val=&quot;00C71B9C&quot;/&gt;&lt;wsp:rsid wsp:val=&quot;00C71BAB&quot;/&gt;&lt;wsp:rsid wsp:val=&quot;00C71BCA&quot;/&gt;&lt;wsp:rsid wsp:val=&quot;00C71DA3&quot;/&gt;&lt;wsp:rsid wsp:val=&quot;00C71FEF&quot;/&gt;&lt;wsp:rsid wsp:val=&quot;00C723D3&quot;/&gt;&lt;wsp:rsid wsp:val=&quot;00C7245C&quot;/&gt;&lt;wsp:rsid wsp:val=&quot;00C72BF5&quot;/&gt;&lt;wsp:rsid wsp:val=&quot;00C72E28&quot;/&gt;&lt;wsp:rsid wsp:val=&quot;00C72E48&quot;/&gt;&lt;wsp:rsid wsp:val=&quot;00C72F9F&quot;/&gt;&lt;wsp:rsid wsp:val=&quot;00C730B0&quot;/&gt;&lt;wsp:rsid wsp:val=&quot;00C73AB5&quot;/&gt;&lt;wsp:rsid wsp:val=&quot;00C742F4&quot;/&gt;&lt;wsp:rsid wsp:val=&quot;00C74456&quot;/&gt;&lt;wsp:rsid wsp:val=&quot;00C744F9&quot;/&gt;&lt;wsp:rsid wsp:val=&quot;00C74CB4&quot;/&gt;&lt;wsp:rsid wsp:val=&quot;00C7506D&quot;/&gt;&lt;wsp:rsid wsp:val=&quot;00C75070&quot;/&gt;&lt;wsp:rsid wsp:val=&quot;00C7519E&quot;/&gt;&lt;wsp:rsid wsp:val=&quot;00C755A3&quot;/&gt;&lt;wsp:rsid wsp:val=&quot;00C75D11&quot;/&gt;&lt;wsp:rsid wsp:val=&quot;00C75E9E&quot;/&gt;&lt;wsp:rsid wsp:val=&quot;00C76290&quot;/&gt;&lt;wsp:rsid wsp:val=&quot;00C764DC&quot;/&gt;&lt;wsp:rsid wsp:val=&quot;00C76567&quot;/&gt;&lt;wsp:rsid wsp:val=&quot;00C76946&quot;/&gt;&lt;wsp:rsid wsp:val=&quot;00C76B5E&quot;/&gt;&lt;wsp:rsid wsp:val=&quot;00C76D1B&quot;/&gt;&lt;wsp:rsid wsp:val=&quot;00C770A4&quot;/&gt;&lt;wsp:rsid wsp:val=&quot;00C77201&quot;/&gt;&lt;wsp:rsid wsp:val=&quot;00C7749B&quot;/&gt;&lt;wsp:rsid wsp:val=&quot;00C774E8&quot;/&gt;&lt;wsp:rsid wsp:val=&quot;00C77D52&quot;/&gt;&lt;wsp:rsid wsp:val=&quot;00C804F3&quot;/&gt;&lt;wsp:rsid wsp:val=&quot;00C805E2&quot;/&gt;&lt;wsp:rsid wsp:val=&quot;00C806F4&quot;/&gt;&lt;wsp:rsid wsp:val=&quot;00C80E41&quot;/&gt;&lt;wsp:rsid wsp:val=&quot;00C810E4&quot;/&gt;&lt;wsp:rsid wsp:val=&quot;00C8182A&quot;/&gt;&lt;wsp:rsid wsp:val=&quot;00C81C54&quot;/&gt;&lt;wsp:rsid wsp:val=&quot;00C81D9B&quot;/&gt;&lt;wsp:rsid wsp:val=&quot;00C822FD&quot;/&gt;&lt;wsp:rsid wsp:val=&quot;00C82360&quot;/&gt;&lt;wsp:rsid wsp:val=&quot;00C823D2&quot;/&gt;&lt;wsp:rsid wsp:val=&quot;00C825B6&quot;/&gt;&lt;wsp:rsid wsp:val=&quot;00C82D07&quot;/&gt;&lt;wsp:rsid wsp:val=&quot;00C82EE1&quot;/&gt;&lt;wsp:rsid wsp:val=&quot;00C834B5&quot;/&gt;&lt;wsp:rsid wsp:val=&quot;00C836AB&quot;/&gt;&lt;wsp:rsid wsp:val=&quot;00C83829&quot;/&gt;&lt;wsp:rsid wsp:val=&quot;00C83AB1&quot;/&gt;&lt;wsp:rsid wsp:val=&quot;00C83C0B&quot;/&gt;&lt;wsp:rsid wsp:val=&quot;00C84335&quot;/&gt;&lt;wsp:rsid wsp:val=&quot;00C84382&quot;/&gt;&lt;wsp:rsid wsp:val=&quot;00C846D6&quot;/&gt;&lt;wsp:rsid wsp:val=&quot;00C84879&quot;/&gt;&lt;wsp:rsid wsp:val=&quot;00C8490D&quot;/&gt;&lt;wsp:rsid wsp:val=&quot;00C849C3&quot;/&gt;&lt;wsp:rsid wsp:val=&quot;00C84CA9&quot;/&gt;&lt;wsp:rsid wsp:val=&quot;00C84DAA&quot;/&gt;&lt;wsp:rsid wsp:val=&quot;00C85290&quot;/&gt;&lt;wsp:rsid wsp:val=&quot;00C8537C&quot;/&gt;&lt;wsp:rsid wsp:val=&quot;00C8545B&quot;/&gt;&lt;wsp:rsid wsp:val=&quot;00C85463&quot;/&gt;&lt;wsp:rsid wsp:val=&quot;00C86660&quot;/&gt;&lt;wsp:rsid wsp:val=&quot;00C866CF&quot;/&gt;&lt;wsp:rsid wsp:val=&quot;00C86725&quot;/&gt;&lt;wsp:rsid wsp:val=&quot;00C86798&quot;/&gt;&lt;wsp:rsid wsp:val=&quot;00C869FF&quot;/&gt;&lt;wsp:rsid wsp:val=&quot;00C86B66&quot;/&gt;&lt;wsp:rsid wsp:val=&quot;00C8703E&quot;/&gt;&lt;wsp:rsid wsp:val=&quot;00C87047&quot;/&gt;&lt;wsp:rsid wsp:val=&quot;00C871AB&quot;/&gt;&lt;wsp:rsid wsp:val=&quot;00C8759E&quot;/&gt;&lt;wsp:rsid wsp:val=&quot;00C878DD&quot;/&gt;&lt;wsp:rsid wsp:val=&quot;00C87E7C&quot;/&gt;&lt;wsp:rsid wsp:val=&quot;00C901B8&quot;/&gt;&lt;wsp:rsid wsp:val=&quot;00C901D2&quot;/&gt;&lt;wsp:rsid wsp:val=&quot;00C902BC&quot;/&gt;&lt;wsp:rsid wsp:val=&quot;00C903C5&quot;/&gt;&lt;wsp:rsid wsp:val=&quot;00C90E9F&quot;/&gt;&lt;wsp:rsid wsp:val=&quot;00C90F68&quot;/&gt;&lt;wsp:rsid wsp:val=&quot;00C90FAD&quot;/&gt;&lt;wsp:rsid wsp:val=&quot;00C911C4&quot;/&gt;&lt;wsp:rsid wsp:val=&quot;00C91235&quot;/&gt;&lt;wsp:rsid wsp:val=&quot;00C91579&quot;/&gt;&lt;wsp:rsid wsp:val=&quot;00C91B03&quot;/&gt;&lt;wsp:rsid wsp:val=&quot;00C91B1A&quot;/&gt;&lt;wsp:rsid wsp:val=&quot;00C91B69&quot;/&gt;&lt;wsp:rsid wsp:val=&quot;00C91B6B&quot;/&gt;&lt;wsp:rsid wsp:val=&quot;00C91D6B&quot;/&gt;&lt;wsp:rsid wsp:val=&quot;00C92840&quot;/&gt;&lt;wsp:rsid wsp:val=&quot;00C92C3E&quot;/&gt;&lt;wsp:rsid wsp:val=&quot;00C92C8B&quot;/&gt;&lt;wsp:rsid wsp:val=&quot;00C92FE3&quot;/&gt;&lt;wsp:rsid wsp:val=&quot;00C93213&quot;/&gt;&lt;wsp:rsid wsp:val=&quot;00C9359D&quot;/&gt;&lt;wsp:rsid wsp:val=&quot;00C93794&quot;/&gt;&lt;wsp:rsid wsp:val=&quot;00C93AB1&quot;/&gt;&lt;wsp:rsid wsp:val=&quot;00C93C1C&quot;/&gt;&lt;wsp:rsid wsp:val=&quot;00C93C71&quot;/&gt;&lt;wsp:rsid wsp:val=&quot;00C94BF7&quot;/&gt;&lt;wsp:rsid wsp:val=&quot;00C94FDA&quot;/&gt;&lt;wsp:rsid wsp:val=&quot;00C952F2&quot;/&gt;&lt;wsp:rsid wsp:val=&quot;00C95593&quot;/&gt;&lt;wsp:rsid wsp:val=&quot;00C95601&quot;/&gt;&lt;wsp:rsid wsp:val=&quot;00C95761&quot;/&gt;&lt;wsp:rsid wsp:val=&quot;00C95B50&quot;/&gt;&lt;wsp:rsid wsp:val=&quot;00C95B74&quot;/&gt;&lt;wsp:rsid wsp:val=&quot;00C95DA9&quot;/&gt;&lt;wsp:rsid wsp:val=&quot;00C95FCB&quot;/&gt;&lt;wsp:rsid wsp:val=&quot;00C96008&quot;/&gt;&lt;wsp:rsid wsp:val=&quot;00C96072&quot;/&gt;&lt;wsp:rsid wsp:val=&quot;00C96114&quot;/&gt;&lt;wsp:rsid wsp:val=&quot;00C96342&quot;/&gt;&lt;wsp:rsid wsp:val=&quot;00C96488&quot;/&gt;&lt;wsp:rsid wsp:val=&quot;00C965F4&quot;/&gt;&lt;wsp:rsid wsp:val=&quot;00C966E7&quot;/&gt;&lt;wsp:rsid wsp:val=&quot;00C967C3&quot;/&gt;&lt;wsp:rsid wsp:val=&quot;00C967C7&quot;/&gt;&lt;wsp:rsid wsp:val=&quot;00C967D6&quot;/&gt;&lt;wsp:rsid wsp:val=&quot;00C96A2F&quot;/&gt;&lt;wsp:rsid wsp:val=&quot;00C96F4D&quot;/&gt;&lt;wsp:rsid wsp:val=&quot;00C973B5&quot;/&gt;&lt;wsp:rsid wsp:val=&quot;00C97477&quot;/&gt;&lt;wsp:rsid wsp:val=&quot;00C976FC&quot;/&gt;&lt;wsp:rsid wsp:val=&quot;00C977D5&quot;/&gt;&lt;wsp:rsid wsp:val=&quot;00C97877&quot;/&gt;&lt;wsp:rsid wsp:val=&quot;00C978CE&quot;/&gt;&lt;wsp:rsid wsp:val=&quot;00C97AD6&quot;/&gt;&lt;wsp:rsid wsp:val=&quot;00C97AE1&quot;/&gt;&lt;wsp:rsid wsp:val=&quot;00C97DD6&quot;/&gt;&lt;wsp:rsid wsp:val=&quot;00C97F8E&quot;/&gt;&lt;wsp:rsid wsp:val=&quot;00CA0429&quot;/&gt;&lt;wsp:rsid wsp:val=&quot;00CA05C1&quot;/&gt;&lt;wsp:rsid wsp:val=&quot;00CA0D15&quot;/&gt;&lt;wsp:rsid wsp:val=&quot;00CA0E1C&quot;/&gt;&lt;wsp:rsid wsp:val=&quot;00CA11A6&quot;/&gt;&lt;wsp:rsid wsp:val=&quot;00CA1764&quot;/&gt;&lt;wsp:rsid wsp:val=&quot;00CA184C&quot;/&gt;&lt;wsp:rsid wsp:val=&quot;00CA1A12&quot;/&gt;&lt;wsp:rsid wsp:val=&quot;00CA1A44&quot;/&gt;&lt;wsp:rsid wsp:val=&quot;00CA2208&quot;/&gt;&lt;wsp:rsid wsp:val=&quot;00CA2352&quot;/&gt;&lt;wsp:rsid wsp:val=&quot;00CA27D4&quot;/&gt;&lt;wsp:rsid wsp:val=&quot;00CA28E3&quot;/&gt;&lt;wsp:rsid wsp:val=&quot;00CA3429&quot;/&gt;&lt;wsp:rsid wsp:val=&quot;00CA3A9A&quot;/&gt;&lt;wsp:rsid wsp:val=&quot;00CA3C06&quot;/&gt;&lt;wsp:rsid wsp:val=&quot;00CA42DE&quot;/&gt;&lt;wsp:rsid wsp:val=&quot;00CA4D0F&quot;/&gt;&lt;wsp:rsid wsp:val=&quot;00CA5771&quot;/&gt;&lt;wsp:rsid wsp:val=&quot;00CA57F7&quot;/&gt;&lt;wsp:rsid wsp:val=&quot;00CA5873&quot;/&gt;&lt;wsp:rsid wsp:val=&quot;00CA5DDF&quot;/&gt;&lt;wsp:rsid wsp:val=&quot;00CA6218&quot;/&gt;&lt;wsp:rsid wsp:val=&quot;00CA6293&quot;/&gt;&lt;wsp:rsid wsp:val=&quot;00CA6487&quot;/&gt;&lt;wsp:rsid wsp:val=&quot;00CA6560&quot;/&gt;&lt;wsp:rsid wsp:val=&quot;00CA6A93&quot;/&gt;&lt;wsp:rsid wsp:val=&quot;00CA6BAC&quot;/&gt;&lt;wsp:rsid wsp:val=&quot;00CA6C37&quot;/&gt;&lt;wsp:rsid wsp:val=&quot;00CA6C42&quot;/&gt;&lt;wsp:rsid wsp:val=&quot;00CA76DA&quot;/&gt;&lt;wsp:rsid wsp:val=&quot;00CA7A78&quot;/&gt;&lt;wsp:rsid wsp:val=&quot;00CA7CA6&quot;/&gt;&lt;wsp:rsid wsp:val=&quot;00CB0586&quot;/&gt;&lt;wsp:rsid wsp:val=&quot;00CB08AF&quot;/&gt;&lt;wsp:rsid wsp:val=&quot;00CB0DF6&quot;/&gt;&lt;wsp:rsid wsp:val=&quot;00CB13A4&quot;/&gt;&lt;wsp:rsid wsp:val=&quot;00CB15CF&quot;/&gt;&lt;wsp:rsid wsp:val=&quot;00CB1CF7&quot;/&gt;&lt;wsp:rsid wsp:val=&quot;00CB1DF2&quot;/&gt;&lt;wsp:rsid wsp:val=&quot;00CB1FB6&quot;/&gt;&lt;wsp:rsid wsp:val=&quot;00CB2765&quot;/&gt;&lt;wsp:rsid wsp:val=&quot;00CB279B&quot;/&gt;&lt;wsp:rsid wsp:val=&quot;00CB28F7&quot;/&gt;&lt;wsp:rsid wsp:val=&quot;00CB2CB7&quot;/&gt;&lt;wsp:rsid wsp:val=&quot;00CB2DEC&quot;/&gt;&lt;wsp:rsid wsp:val=&quot;00CB3059&quot;/&gt;&lt;wsp:rsid wsp:val=&quot;00CB30E1&quot;/&gt;&lt;wsp:rsid wsp:val=&quot;00CB3228&quot;/&gt;&lt;wsp:rsid wsp:val=&quot;00CB32CE&quot;/&gt;&lt;wsp:rsid wsp:val=&quot;00CB3560&quot;/&gt;&lt;wsp:rsid wsp:val=&quot;00CB3830&quot;/&gt;&lt;wsp:rsid wsp:val=&quot;00CB3B40&quot;/&gt;&lt;wsp:rsid wsp:val=&quot;00CB3C16&quot;/&gt;&lt;wsp:rsid wsp:val=&quot;00CB3DC2&quot;/&gt;&lt;wsp:rsid wsp:val=&quot;00CB3EBC&quot;/&gt;&lt;wsp:rsid wsp:val=&quot;00CB437F&quot;/&gt;&lt;wsp:rsid wsp:val=&quot;00CB4605&quot;/&gt;&lt;wsp:rsid wsp:val=&quot;00CB4A00&quot;/&gt;&lt;wsp:rsid wsp:val=&quot;00CB4B6A&quot;/&gt;&lt;wsp:rsid wsp:val=&quot;00CB4BB0&quot;/&gt;&lt;wsp:rsid wsp:val=&quot;00CB4F1F&quot;/&gt;&lt;wsp:rsid wsp:val=&quot;00CB51BA&quot;/&gt;&lt;wsp:rsid wsp:val=&quot;00CB52C1&quot;/&gt;&lt;wsp:rsid wsp:val=&quot;00CB55C5&quot;/&gt;&lt;wsp:rsid wsp:val=&quot;00CB570F&quot;/&gt;&lt;wsp:rsid wsp:val=&quot;00CB5D3D&quot;/&gt;&lt;wsp:rsid wsp:val=&quot;00CB5E81&quot;/&gt;&lt;wsp:rsid wsp:val=&quot;00CB602C&quot;/&gt;&lt;wsp:rsid wsp:val=&quot;00CB622A&quot;/&gt;&lt;wsp:rsid wsp:val=&quot;00CB624B&quot;/&gt;&lt;wsp:rsid wsp:val=&quot;00CB70DA&quot;/&gt;&lt;wsp:rsid wsp:val=&quot;00CB71E9&quot;/&gt;&lt;wsp:rsid wsp:val=&quot;00CB731A&quot;/&gt;&lt;wsp:rsid wsp:val=&quot;00CB7C20&quot;/&gt;&lt;wsp:rsid wsp:val=&quot;00CB7F49&quot;/&gt;&lt;wsp:rsid wsp:val=&quot;00CC0290&quot;/&gt;&lt;wsp:rsid wsp:val=&quot;00CC02B8&quot;/&gt;&lt;wsp:rsid wsp:val=&quot;00CC0726&quot;/&gt;&lt;wsp:rsid wsp:val=&quot;00CC0ECB&quot;/&gt;&lt;wsp:rsid wsp:val=&quot;00CC0F0E&quot;/&gt;&lt;wsp:rsid wsp:val=&quot;00CC0F11&quot;/&gt;&lt;wsp:rsid wsp:val=&quot;00CC0FD5&quot;/&gt;&lt;wsp:rsid wsp:val=&quot;00CC122D&quot;/&gt;&lt;wsp:rsid wsp:val=&quot;00CC1355&quot;/&gt;&lt;wsp:rsid wsp:val=&quot;00CC19B5&quot;/&gt;&lt;wsp:rsid wsp:val=&quot;00CC1A4D&quot;/&gt;&lt;wsp:rsid wsp:val=&quot;00CC20E3&quot;/&gt;&lt;wsp:rsid wsp:val=&quot;00CC214D&quot;/&gt;&lt;wsp:rsid wsp:val=&quot;00CC2210&quot;/&gt;&lt;wsp:rsid wsp:val=&quot;00CC2929&quot;/&gt;&lt;wsp:rsid wsp:val=&quot;00CC29E8&quot;/&gt;&lt;wsp:rsid wsp:val=&quot;00CC333D&quot;/&gt;&lt;wsp:rsid wsp:val=&quot;00CC3544&quot;/&gt;&lt;wsp:rsid wsp:val=&quot;00CC4220&quot;/&gt;&lt;wsp:rsid wsp:val=&quot;00CC445D&quot;/&gt;&lt;wsp:rsid wsp:val=&quot;00CC478C&quot;/&gt;&lt;wsp:rsid wsp:val=&quot;00CC4B48&quot;/&gt;&lt;wsp:rsid wsp:val=&quot;00CC4CFB&quot;/&gt;&lt;wsp:rsid wsp:val=&quot;00CC4D82&quot;/&gt;&lt;wsp:rsid wsp:val=&quot;00CC4DB5&quot;/&gt;&lt;wsp:rsid wsp:val=&quot;00CC4F1B&quot;/&gt;&lt;wsp:rsid wsp:val=&quot;00CC4F79&quot;/&gt;&lt;wsp:rsid wsp:val=&quot;00CC5049&quot;/&gt;&lt;wsp:rsid wsp:val=&quot;00CC549F&quot;/&gt;&lt;wsp:rsid wsp:val=&quot;00CC54A5&quot;/&gt;&lt;wsp:rsid wsp:val=&quot;00CC54E7&quot;/&gt;&lt;wsp:rsid wsp:val=&quot;00CC576B&quot;/&gt;&lt;wsp:rsid wsp:val=&quot;00CC6555&quot;/&gt;&lt;wsp:rsid wsp:val=&quot;00CC66D5&quot;/&gt;&lt;wsp:rsid wsp:val=&quot;00CC6A0B&quot;/&gt;&lt;wsp:rsid wsp:val=&quot;00CC6B94&quot;/&gt;&lt;wsp:rsid wsp:val=&quot;00CC6D80&quot;/&gt;&lt;wsp:rsid wsp:val=&quot;00CC6F86&quot;/&gt;&lt;wsp:rsid wsp:val=&quot;00CC74EB&quot;/&gt;&lt;wsp:rsid wsp:val=&quot;00CC769F&quot;/&gt;&lt;wsp:rsid wsp:val=&quot;00CC7BE7&quot;/&gt;&lt;wsp:rsid wsp:val=&quot;00CC7DE4&quot;/&gt;&lt;wsp:rsid wsp:val=&quot;00CC7E5A&quot;/&gt;&lt;wsp:rsid wsp:val=&quot;00CC7F47&quot;/&gt;&lt;wsp:rsid wsp:val=&quot;00CD07B5&quot;/&gt;&lt;wsp:rsid wsp:val=&quot;00CD0B3E&quot;/&gt;&lt;wsp:rsid wsp:val=&quot;00CD183A&quot;/&gt;&lt;wsp:rsid wsp:val=&quot;00CD279A&quot;/&gt;&lt;wsp:rsid wsp:val=&quot;00CD2F2A&quot;/&gt;&lt;wsp:rsid wsp:val=&quot;00CD2FDE&quot;/&gt;&lt;wsp:rsid wsp:val=&quot;00CD3649&quot;/&gt;&lt;wsp:rsid wsp:val=&quot;00CD393A&quot;/&gt;&lt;wsp:rsid wsp:val=&quot;00CD397B&quot;/&gt;&lt;wsp:rsid wsp:val=&quot;00CD3BCE&quot;/&gt;&lt;wsp:rsid wsp:val=&quot;00CD41CE&quot;/&gt;&lt;wsp:rsid wsp:val=&quot;00CD4871&quot;/&gt;&lt;wsp:rsid wsp:val=&quot;00CD4925&quot;/&gt;&lt;wsp:rsid wsp:val=&quot;00CD4A65&quot;/&gt;&lt;wsp:rsid wsp:val=&quot;00CD4FF8&quot;/&gt;&lt;wsp:rsid wsp:val=&quot;00CD53EB&quot;/&gt;&lt;wsp:rsid wsp:val=&quot;00CD5422&quot;/&gt;&lt;wsp:rsid wsp:val=&quot;00CD5490&quot;/&gt;&lt;wsp:rsid wsp:val=&quot;00CD587E&quot;/&gt;&lt;wsp:rsid wsp:val=&quot;00CD5931&quot;/&gt;&lt;wsp:rsid wsp:val=&quot;00CD59DC&quot;/&gt;&lt;wsp:rsid wsp:val=&quot;00CD5AF8&quot;/&gt;&lt;wsp:rsid wsp:val=&quot;00CD5AFE&quot;/&gt;&lt;wsp:rsid wsp:val=&quot;00CD5E2C&quot;/&gt;&lt;wsp:rsid wsp:val=&quot;00CD5EE3&quot;/&gt;&lt;wsp:rsid wsp:val=&quot;00CD61B3&quot;/&gt;&lt;wsp:rsid wsp:val=&quot;00CD6401&quot;/&gt;&lt;wsp:rsid wsp:val=&quot;00CD64FF&quot;/&gt;&lt;wsp:rsid wsp:val=&quot;00CD676D&quot;/&gt;&lt;wsp:rsid wsp:val=&quot;00CD68ED&quot;/&gt;&lt;wsp:rsid wsp:val=&quot;00CD69A9&quot;/&gt;&lt;wsp:rsid wsp:val=&quot;00CD69FB&quot;/&gt;&lt;wsp:rsid wsp:val=&quot;00CD6C45&quot;/&gt;&lt;wsp:rsid wsp:val=&quot;00CD717E&quot;/&gt;&lt;wsp:rsid wsp:val=&quot;00CD742C&quot;/&gt;&lt;wsp:rsid wsp:val=&quot;00CD7497&quot;/&gt;&lt;wsp:rsid wsp:val=&quot;00CD74C0&quot;/&gt;&lt;wsp:rsid wsp:val=&quot;00CD781F&quot;/&gt;&lt;wsp:rsid wsp:val=&quot;00CD7969&quot;/&gt;&lt;wsp:rsid wsp:val=&quot;00CD7BFF&quot;/&gt;&lt;wsp:rsid wsp:val=&quot;00CD7F01&quot;/&gt;&lt;wsp:rsid wsp:val=&quot;00CE011C&quot;/&gt;&lt;wsp:rsid wsp:val=&quot;00CE01CE&quot;/&gt;&lt;wsp:rsid wsp:val=&quot;00CE01E6&quot;/&gt;&lt;wsp:rsid wsp:val=&quot;00CE039C&quot;/&gt;&lt;wsp:rsid wsp:val=&quot;00CE040F&quot;/&gt;&lt;wsp:rsid wsp:val=&quot;00CE0773&quot;/&gt;&lt;wsp:rsid wsp:val=&quot;00CE1129&quot;/&gt;&lt;wsp:rsid wsp:val=&quot;00CE1A13&quot;/&gt;&lt;wsp:rsid wsp:val=&quot;00CE1C38&quot;/&gt;&lt;wsp:rsid wsp:val=&quot;00CE2255&quot;/&gt;&lt;wsp:rsid wsp:val=&quot;00CE2939&quot;/&gt;&lt;wsp:rsid wsp:val=&quot;00CE2A86&quot;/&gt;&lt;wsp:rsid wsp:val=&quot;00CE2CEE&quot;/&gt;&lt;wsp:rsid wsp:val=&quot;00CE2D22&quot;/&gt;&lt;wsp:rsid wsp:val=&quot;00CE30F8&quot;/&gt;&lt;wsp:rsid wsp:val=&quot;00CE38BA&quot;/&gt;&lt;wsp:rsid wsp:val=&quot;00CE4326&quot;/&gt;&lt;wsp:rsid wsp:val=&quot;00CE4A88&quot;/&gt;&lt;wsp:rsid wsp:val=&quot;00CE4E60&quot;/&gt;&lt;wsp:rsid wsp:val=&quot;00CE4E88&quot;/&gt;&lt;wsp:rsid wsp:val=&quot;00CE5060&quot;/&gt;&lt;wsp:rsid wsp:val=&quot;00CE5502&quot;/&gt;&lt;wsp:rsid wsp:val=&quot;00CE57B6&quot;/&gt;&lt;wsp:rsid wsp:val=&quot;00CE5B49&quot;/&gt;&lt;wsp:rsid wsp:val=&quot;00CE5B63&quot;/&gt;&lt;wsp:rsid wsp:val=&quot;00CE5FE4&quot;/&gt;&lt;wsp:rsid wsp:val=&quot;00CE6974&quot;/&gt;&lt;wsp:rsid wsp:val=&quot;00CE6F09&quot;/&gt;&lt;wsp:rsid wsp:val=&quot;00CE6F9A&quot;/&gt;&lt;wsp:rsid wsp:val=&quot;00CE739E&quot;/&gt;&lt;wsp:rsid wsp:val=&quot;00CE775D&quot;/&gt;&lt;wsp:rsid wsp:val=&quot;00CF0D65&quot;/&gt;&lt;wsp:rsid wsp:val=&quot;00CF107E&quot;/&gt;&lt;wsp:rsid wsp:val=&quot;00CF117E&quot;/&gt;&lt;wsp:rsid wsp:val=&quot;00CF1B47&quot;/&gt;&lt;wsp:rsid wsp:val=&quot;00CF26A4&quot;/&gt;&lt;wsp:rsid wsp:val=&quot;00CF27DA&quot;/&gt;&lt;wsp:rsid wsp:val=&quot;00CF3872&quot;/&gt;&lt;wsp:rsid wsp:val=&quot;00CF3924&quot;/&gt;&lt;wsp:rsid wsp:val=&quot;00CF3A0F&quot;/&gt;&lt;wsp:rsid wsp:val=&quot;00CF3A21&quot;/&gt;&lt;wsp:rsid wsp:val=&quot;00CF3B70&quot;/&gt;&lt;wsp:rsid wsp:val=&quot;00CF3E6D&quot;/&gt;&lt;wsp:rsid wsp:val=&quot;00CF42E7&quot;/&gt;&lt;wsp:rsid wsp:val=&quot;00CF4459&quot;/&gt;&lt;wsp:rsid wsp:val=&quot;00CF4689&quot;/&gt;&lt;wsp:rsid wsp:val=&quot;00CF4A56&quot;/&gt;&lt;wsp:rsid wsp:val=&quot;00CF4F93&quot;/&gt;&lt;wsp:rsid wsp:val=&quot;00CF50A0&quot;/&gt;&lt;wsp:rsid wsp:val=&quot;00CF56E8&quot;/&gt;&lt;wsp:rsid wsp:val=&quot;00CF58E7&quot;/&gt;&lt;wsp:rsid wsp:val=&quot;00CF592B&quot;/&gt;&lt;wsp:rsid wsp:val=&quot;00CF59F3&quot;/&gt;&lt;wsp:rsid wsp:val=&quot;00CF5C7A&quot;/&gt;&lt;wsp:rsid wsp:val=&quot;00CF5E35&quot;/&gt;&lt;wsp:rsid wsp:val=&quot;00CF5E51&quot;/&gt;&lt;wsp:rsid wsp:val=&quot;00CF623C&quot;/&gt;&lt;wsp:rsid wsp:val=&quot;00CF6AFF&quot;/&gt;&lt;wsp:rsid wsp:val=&quot;00CF7168&quot;/&gt;&lt;wsp:rsid wsp:val=&quot;00CF73B8&quot;/&gt;&lt;wsp:rsid wsp:val=&quot;00CF7415&quot;/&gt;&lt;wsp:rsid wsp:val=&quot;00CF77B3&quot;/&gt;&lt;wsp:rsid wsp:val=&quot;00CF78B2&quot;/&gt;&lt;wsp:rsid wsp:val=&quot;00D00593&quot;/&gt;&lt;wsp:rsid wsp:val=&quot;00D005B9&quot;/&gt;&lt;wsp:rsid wsp:val=&quot;00D0077A&quot;/&gt;&lt;wsp:rsid wsp:val=&quot;00D00D9A&quot;/&gt;&lt;wsp:rsid wsp:val=&quot;00D0113B&quot;/&gt;&lt;wsp:rsid wsp:val=&quot;00D017A9&quot;/&gt;&lt;wsp:rsid wsp:val=&quot;00D01994&quot;/&gt;&lt;wsp:rsid wsp:val=&quot;00D019B9&quot;/&gt;&lt;wsp:rsid wsp:val=&quot;00D01F4F&quot;/&gt;&lt;wsp:rsid wsp:val=&quot;00D01FA5&quot;/&gt;&lt;wsp:rsid wsp:val=&quot;00D02279&quot;/&gt;&lt;wsp:rsid wsp:val=&quot;00D022B8&quot;/&gt;&lt;wsp:rsid wsp:val=&quot;00D0261F&quot;/&gt;&lt;wsp:rsid wsp:val=&quot;00D02F13&quot;/&gt;&lt;wsp:rsid wsp:val=&quot;00D02FE2&quot;/&gt;&lt;wsp:rsid wsp:val=&quot;00D03302&quot;/&gt;&lt;wsp:rsid wsp:val=&quot;00D03309&quot;/&gt;&lt;wsp:rsid wsp:val=&quot;00D03652&quot;/&gt;&lt;wsp:rsid wsp:val=&quot;00D03900&quot;/&gt;&lt;wsp:rsid wsp:val=&quot;00D03D46&quot;/&gt;&lt;wsp:rsid wsp:val=&quot;00D03E43&quot;/&gt;&lt;wsp:rsid wsp:val=&quot;00D04430&quot;/&gt;&lt;wsp:rsid wsp:val=&quot;00D05571&quot;/&gt;&lt;wsp:rsid wsp:val=&quot;00D0571D&quot;/&gt;&lt;wsp:rsid wsp:val=&quot;00D059EF&quot;/&gt;&lt;wsp:rsid wsp:val=&quot;00D05B66&quot;/&gt;&lt;wsp:rsid wsp:val=&quot;00D05D06&quot;/&gt;&lt;wsp:rsid wsp:val=&quot;00D06000&quot;/&gt;&lt;wsp:rsid wsp:val=&quot;00D0649B&quot;/&gt;&lt;wsp:rsid wsp:val=&quot;00D067F3&quot;/&gt;&lt;wsp:rsid wsp:val=&quot;00D07D78&quot;/&gt;&lt;wsp:rsid wsp:val=&quot;00D07E5C&quot;/&gt;&lt;wsp:rsid wsp:val=&quot;00D07F5A&quot;/&gt;&lt;wsp:rsid wsp:val=&quot;00D07FEA&quot;/&gt;&lt;wsp:rsid wsp:val=&quot;00D10C47&quot;/&gt;&lt;wsp:rsid wsp:val=&quot;00D10F61&quot;/&gt;&lt;wsp:rsid wsp:val=&quot;00D11A47&quot;/&gt;&lt;wsp:rsid wsp:val=&quot;00D11BBE&quot;/&gt;&lt;wsp:rsid wsp:val=&quot;00D11BC5&quot;/&gt;&lt;wsp:rsid wsp:val=&quot;00D120A3&quot;/&gt;&lt;wsp:rsid wsp:val=&quot;00D12124&quot;/&gt;&lt;wsp:rsid wsp:val=&quot;00D1215C&quot;/&gt;&lt;wsp:rsid wsp:val=&quot;00D128A4&quot;/&gt;&lt;wsp:rsid wsp:val=&quot;00D12983&quot;/&gt;&lt;wsp:rsid wsp:val=&quot;00D12D49&quot;/&gt;&lt;wsp:rsid wsp:val=&quot;00D12E4E&quot;/&gt;&lt;wsp:rsid wsp:val=&quot;00D12FE3&quot;/&gt;&lt;wsp:rsid wsp:val=&quot;00D130F2&quot;/&gt;&lt;wsp:rsid wsp:val=&quot;00D13DC3&quot;/&gt;&lt;wsp:rsid wsp:val=&quot;00D143DF&quot;/&gt;&lt;wsp:rsid wsp:val=&quot;00D14B32&quot;/&gt;&lt;wsp:rsid wsp:val=&quot;00D14DFF&quot;/&gt;&lt;wsp:rsid wsp:val=&quot;00D14E96&quot;/&gt;&lt;wsp:rsid wsp:val=&quot;00D1567E&quot;/&gt;&lt;wsp:rsid wsp:val=&quot;00D15732&quot;/&gt;&lt;wsp:rsid wsp:val=&quot;00D164B9&quot;/&gt;&lt;wsp:rsid wsp:val=&quot;00D16750&quot;/&gt;&lt;wsp:rsid wsp:val=&quot;00D16BCA&quot;/&gt;&lt;wsp:rsid wsp:val=&quot;00D16DBD&quot;/&gt;&lt;wsp:rsid wsp:val=&quot;00D16F4D&quot;/&gt;&lt;wsp:rsid wsp:val=&quot;00D17157&quot;/&gt;&lt;wsp:rsid wsp:val=&quot;00D173FA&quot;/&gt;&lt;wsp:rsid wsp:val=&quot;00D17940&quot;/&gt;&lt;wsp:rsid wsp:val=&quot;00D17E8C&quot;/&gt;&lt;wsp:rsid wsp:val=&quot;00D200AD&quot;/&gt;&lt;wsp:rsid wsp:val=&quot;00D209D7&quot;/&gt;&lt;wsp:rsid wsp:val=&quot;00D20C20&quot;/&gt;&lt;wsp:rsid wsp:val=&quot;00D217CF&quot;/&gt;&lt;wsp:rsid wsp:val=&quot;00D21CD2&quot;/&gt;&lt;wsp:rsid wsp:val=&quot;00D21CFA&quot;/&gt;&lt;wsp:rsid wsp:val=&quot;00D22113&quot;/&gt;&lt;wsp:rsid wsp:val=&quot;00D221B7&quot;/&gt;&lt;wsp:rsid wsp:val=&quot;00D222C6&quot;/&gt;&lt;wsp:rsid wsp:val=&quot;00D2283C&quot;/&gt;&lt;wsp:rsid wsp:val=&quot;00D22A80&quot;/&gt;&lt;wsp:rsid wsp:val=&quot;00D22C0A&quot;/&gt;&lt;wsp:rsid wsp:val=&quot;00D22C30&quot;/&gt;&lt;wsp:rsid wsp:val=&quot;00D22D4A&quot;/&gt;&lt;wsp:rsid wsp:val=&quot;00D22F3C&quot;/&gt;&lt;wsp:rsid wsp:val=&quot;00D230A4&quot;/&gt;&lt;wsp:rsid wsp:val=&quot;00D230F3&quot;/&gt;&lt;wsp:rsid wsp:val=&quot;00D23122&quot;/&gt;&lt;wsp:rsid wsp:val=&quot;00D232BF&quot;/&gt;&lt;wsp:rsid wsp:val=&quot;00D235CC&quot;/&gt;&lt;wsp:rsid wsp:val=&quot;00D2386E&quot;/&gt;&lt;wsp:rsid wsp:val=&quot;00D23D5B&quot;/&gt;&lt;wsp:rsid wsp:val=&quot;00D241B0&quot;/&gt;&lt;wsp:rsid wsp:val=&quot;00D2453C&quot;/&gt;&lt;wsp:rsid wsp:val=&quot;00D2459F&quot;/&gt;&lt;wsp:rsid wsp:val=&quot;00D24907&quot;/&gt;&lt;wsp:rsid wsp:val=&quot;00D249D2&quot;/&gt;&lt;wsp:rsid wsp:val=&quot;00D24DE7&quot;/&gt;&lt;wsp:rsid wsp:val=&quot;00D2516D&quot;/&gt;&lt;wsp:rsid wsp:val=&quot;00D25873&quot;/&gt;&lt;wsp:rsid wsp:val=&quot;00D25DAF&quot;/&gt;&lt;wsp:rsid wsp:val=&quot;00D26301&quot;/&gt;&lt;wsp:rsid wsp:val=&quot;00D26D39&quot;/&gt;&lt;wsp:rsid wsp:val=&quot;00D27409&quot;/&gt;&lt;wsp:rsid wsp:val=&quot;00D27540&quot;/&gt;&lt;wsp:rsid wsp:val=&quot;00D27769&quot;/&gt;&lt;wsp:rsid wsp:val=&quot;00D279B8&quot;/&gt;&lt;wsp:rsid wsp:val=&quot;00D27F7C&quot;/&gt;&lt;wsp:rsid wsp:val=&quot;00D30128&quot;/&gt;&lt;wsp:rsid wsp:val=&quot;00D30372&quot;/&gt;&lt;wsp:rsid wsp:val=&quot;00D307D2&quot;/&gt;&lt;wsp:rsid wsp:val=&quot;00D30BD5&quot;/&gt;&lt;wsp:rsid wsp:val=&quot;00D30C40&quot;/&gt;&lt;wsp:rsid wsp:val=&quot;00D310FA&quot;/&gt;&lt;wsp:rsid wsp:val=&quot;00D315BB&quot;/&gt;&lt;wsp:rsid wsp:val=&quot;00D31981&quot;/&gt;&lt;wsp:rsid wsp:val=&quot;00D31BA6&quot;/&gt;&lt;wsp:rsid wsp:val=&quot;00D31CFC&quot;/&gt;&lt;wsp:rsid wsp:val=&quot;00D322C2&quot;/&gt;&lt;wsp:rsid wsp:val=&quot;00D32411&quot;/&gt;&lt;wsp:rsid wsp:val=&quot;00D324ED&quot;/&gt;&lt;wsp:rsid wsp:val=&quot;00D33035&quot;/&gt;&lt;wsp:rsid wsp:val=&quot;00D33038&quot;/&gt;&lt;wsp:rsid wsp:val=&quot;00D33275&quot;/&gt;&lt;wsp:rsid wsp:val=&quot;00D33278&quot;/&gt;&lt;wsp:rsid wsp:val=&quot;00D335C3&quot;/&gt;&lt;wsp:rsid wsp:val=&quot;00D3375E&quot;/&gt;&lt;wsp:rsid wsp:val=&quot;00D33852&quot;/&gt;&lt;wsp:rsid wsp:val=&quot;00D33D31&quot;/&gt;&lt;wsp:rsid wsp:val=&quot;00D344A7&quot;/&gt;&lt;wsp:rsid wsp:val=&quot;00D34757&quot;/&gt;&lt;wsp:rsid wsp:val=&quot;00D34B46&quot;/&gt;&lt;wsp:rsid wsp:val=&quot;00D350C4&quot;/&gt;&lt;wsp:rsid wsp:val=&quot;00D3559B&quot;/&gt;&lt;wsp:rsid wsp:val=&quot;00D35E85&quot;/&gt;&lt;wsp:rsid wsp:val=&quot;00D360F1&quot;/&gt;&lt;wsp:rsid wsp:val=&quot;00D36322&quot;/&gt;&lt;wsp:rsid wsp:val=&quot;00D366D9&quot;/&gt;&lt;wsp:rsid wsp:val=&quot;00D36DF2&quot;/&gt;&lt;wsp:rsid wsp:val=&quot;00D37431&quot;/&gt;&lt;wsp:rsid wsp:val=&quot;00D37733&quot;/&gt;&lt;wsp:rsid wsp:val=&quot;00D37A21&quot;/&gt;&lt;wsp:rsid wsp:val=&quot;00D37AAF&quot;/&gt;&lt;wsp:rsid wsp:val=&quot;00D37B37&quot;/&gt;&lt;wsp:rsid wsp:val=&quot;00D37BFA&quot;/&gt;&lt;wsp:rsid wsp:val=&quot;00D37EA6&quot;/&gt;&lt;wsp:rsid wsp:val=&quot;00D40872&quot;/&gt;&lt;wsp:rsid wsp:val=&quot;00D40E7C&quot;/&gt;&lt;wsp:rsid wsp:val=&quot;00D40F27&quot;/&gt;&lt;wsp:rsid wsp:val=&quot;00D41179&quot;/&gt;&lt;wsp:rsid wsp:val=&quot;00D41803&quot;/&gt;&lt;wsp:rsid wsp:val=&quot;00D41A05&quot;/&gt;&lt;wsp:rsid wsp:val=&quot;00D41A3B&quot;/&gt;&lt;wsp:rsid wsp:val=&quot;00D41A7D&quot;/&gt;&lt;wsp:rsid wsp:val=&quot;00D41C03&quot;/&gt;&lt;wsp:rsid wsp:val=&quot;00D42B7C&quot;/&gt;&lt;wsp:rsid wsp:val=&quot;00D43133&quot;/&gt;&lt;wsp:rsid wsp:val=&quot;00D4322E&quot;/&gt;&lt;wsp:rsid wsp:val=&quot;00D43AFC&quot;/&gt;&lt;wsp:rsid wsp:val=&quot;00D43C8E&quot;/&gt;&lt;wsp:rsid wsp:val=&quot;00D43DA5&quot;/&gt;&lt;wsp:rsid wsp:val=&quot;00D44404&quot;/&gt;&lt;wsp:rsid wsp:val=&quot;00D44638&quot;/&gt;&lt;wsp:rsid wsp:val=&quot;00D4497C&quot;/&gt;&lt;wsp:rsid wsp:val=&quot;00D449A0&quot;/&gt;&lt;wsp:rsid wsp:val=&quot;00D44E88&quot;/&gt;&lt;wsp:rsid wsp:val=&quot;00D450A2&quot;/&gt;&lt;wsp:rsid wsp:val=&quot;00D45419&quot;/&gt;&lt;wsp:rsid wsp:val=&quot;00D457BD&quot;/&gt;&lt;wsp:rsid wsp:val=&quot;00D46514&quot;/&gt;&lt;wsp:rsid wsp:val=&quot;00D46798&quot;/&gt;&lt;wsp:rsid wsp:val=&quot;00D46ADF&quot;/&gt;&lt;wsp:rsid wsp:val=&quot;00D46C81&quot;/&gt;&lt;wsp:rsid wsp:val=&quot;00D47673&quot;/&gt;&lt;wsp:rsid wsp:val=&quot;00D47B77&quot;/&gt;&lt;wsp:rsid wsp:val=&quot;00D50034&quot;/&gt;&lt;wsp:rsid wsp:val=&quot;00D503EC&quot;/&gt;&lt;wsp:rsid wsp:val=&quot;00D50F65&quot;/&gt;&lt;wsp:rsid wsp:val=&quot;00D50F81&quot;/&gt;&lt;wsp:rsid wsp:val=&quot;00D51720&quot;/&gt;&lt;wsp:rsid wsp:val=&quot;00D51B2A&quot;/&gt;&lt;wsp:rsid wsp:val=&quot;00D51D4A&quot;/&gt;&lt;wsp:rsid wsp:val=&quot;00D52209&quot;/&gt;&lt;wsp:rsid wsp:val=&quot;00D5234B&quot;/&gt;&lt;wsp:rsid wsp:val=&quot;00D52395&quot;/&gt;&lt;wsp:rsid wsp:val=&quot;00D52581&quot;/&gt;&lt;wsp:rsid wsp:val=&quot;00D52759&quot;/&gt;&lt;wsp:rsid wsp:val=&quot;00D52769&quot;/&gt;&lt;wsp:rsid wsp:val=&quot;00D52807&quot;/&gt;&lt;wsp:rsid wsp:val=&quot;00D52BB3&quot;/&gt;&lt;wsp:rsid wsp:val=&quot;00D52C1D&quot;/&gt;&lt;wsp:rsid wsp:val=&quot;00D53964&quot;/&gt;&lt;wsp:rsid wsp:val=&quot;00D53984&quot;/&gt;&lt;wsp:rsid wsp:val=&quot;00D53BAC&quot;/&gt;&lt;wsp:rsid wsp:val=&quot;00D53BE1&quot;/&gt;&lt;wsp:rsid wsp:val=&quot;00D53C87&quot;/&gt;&lt;wsp:rsid wsp:val=&quot;00D54868&quot;/&gt;&lt;wsp:rsid wsp:val=&quot;00D54C61&quot;/&gt;&lt;wsp:rsid wsp:val=&quot;00D54D1E&quot;/&gt;&lt;wsp:rsid wsp:val=&quot;00D55266&quot;/&gt;&lt;wsp:rsid wsp:val=&quot;00D55283&quot;/&gt;&lt;wsp:rsid wsp:val=&quot;00D5595E&quot;/&gt;&lt;wsp:rsid wsp:val=&quot;00D55BCE&quot;/&gt;&lt;wsp:rsid wsp:val=&quot;00D5613C&quot;/&gt;&lt;wsp:rsid wsp:val=&quot;00D56253&quot;/&gt;&lt;wsp:rsid wsp:val=&quot;00D56498&quot;/&gt;&lt;wsp:rsid wsp:val=&quot;00D567FE&quot;/&gt;&lt;wsp:rsid wsp:val=&quot;00D56CE8&quot;/&gt;&lt;wsp:rsid wsp:val=&quot;00D5731E&quot;/&gt;&lt;wsp:rsid wsp:val=&quot;00D579C3&quot;/&gt;&lt;wsp:rsid wsp:val=&quot;00D57E09&quot;/&gt;&lt;wsp:rsid wsp:val=&quot;00D6016A&quot;/&gt;&lt;wsp:rsid wsp:val=&quot;00D60191&quot;/&gt;&lt;wsp:rsid wsp:val=&quot;00D61005&quot;/&gt;&lt;wsp:rsid wsp:val=&quot;00D61015&quot;/&gt;&lt;wsp:rsid wsp:val=&quot;00D61131&quot;/&gt;&lt;wsp:rsid wsp:val=&quot;00D611BB&quot;/&gt;&lt;wsp:rsid wsp:val=&quot;00D61829&quot;/&gt;&lt;wsp:rsid wsp:val=&quot;00D61A11&quot;/&gt;&lt;wsp:rsid wsp:val=&quot;00D61ADA&quot;/&gt;&lt;wsp:rsid wsp:val=&quot;00D61BEC&quot;/&gt;&lt;wsp:rsid wsp:val=&quot;00D61EBC&quot;/&gt;&lt;wsp:rsid wsp:val=&quot;00D61F64&quot;/&gt;&lt;wsp:rsid wsp:val=&quot;00D620A2&quot;/&gt;&lt;wsp:rsid wsp:val=&quot;00D622CE&quot;/&gt;&lt;wsp:rsid wsp:val=&quot;00D625F9&quot;/&gt;&lt;wsp:rsid wsp:val=&quot;00D626BE&quot;/&gt;&lt;wsp:rsid wsp:val=&quot;00D627CF&quot;/&gt;&lt;wsp:rsid wsp:val=&quot;00D62824&quot;/&gt;&lt;wsp:rsid wsp:val=&quot;00D6298A&quot;/&gt;&lt;wsp:rsid wsp:val=&quot;00D62A18&quot;/&gt;&lt;wsp:rsid wsp:val=&quot;00D62B58&quot;/&gt;&lt;wsp:rsid wsp:val=&quot;00D630C5&quot;/&gt;&lt;wsp:rsid wsp:val=&quot;00D636AD&quot;/&gt;&lt;wsp:rsid wsp:val=&quot;00D63D63&quot;/&gt;&lt;wsp:rsid wsp:val=&quot;00D64252&quot;/&gt;&lt;wsp:rsid wsp:val=&quot;00D64417&quot;/&gt;&lt;wsp:rsid wsp:val=&quot;00D6444A&quot;/&gt;&lt;wsp:rsid wsp:val=&quot;00D644E7&quot;/&gt;&lt;wsp:rsid wsp:val=&quot;00D646C6&quot;/&gt;&lt;wsp:rsid wsp:val=&quot;00D64822&quot;/&gt;&lt;wsp:rsid wsp:val=&quot;00D652FF&quot;/&gt;&lt;wsp:rsid wsp:val=&quot;00D653DB&quot;/&gt;&lt;wsp:rsid wsp:val=&quot;00D654C8&quot;/&gt;&lt;wsp:rsid wsp:val=&quot;00D6567B&quot;/&gt;&lt;wsp:rsid wsp:val=&quot;00D65AA1&quot;/&gt;&lt;wsp:rsid wsp:val=&quot;00D6638B&quot;/&gt;&lt;wsp:rsid wsp:val=&quot;00D66DD9&quot;/&gt;&lt;wsp:rsid wsp:val=&quot;00D66FA6&quot;/&gt;&lt;wsp:rsid wsp:val=&quot;00D671DD&quot;/&gt;&lt;wsp:rsid wsp:val=&quot;00D67240&quot;/&gt;&lt;wsp:rsid wsp:val=&quot;00D678AC&quot;/&gt;&lt;wsp:rsid wsp:val=&quot;00D67A44&quot;/&gt;&lt;wsp:rsid wsp:val=&quot;00D67C73&quot;/&gt;&lt;wsp:rsid wsp:val=&quot;00D7030E&quot;/&gt;&lt;wsp:rsid wsp:val=&quot;00D703A3&quot;/&gt;&lt;wsp:rsid wsp:val=&quot;00D7040C&quot;/&gt;&lt;wsp:rsid wsp:val=&quot;00D705E7&quot;/&gt;&lt;wsp:rsid wsp:val=&quot;00D7074F&quot;/&gt;&lt;wsp:rsid wsp:val=&quot;00D70CD1&quot;/&gt;&lt;wsp:rsid wsp:val=&quot;00D70E7A&quot;/&gt;&lt;wsp:rsid wsp:val=&quot;00D70F4A&quot;/&gt;&lt;wsp:rsid wsp:val=&quot;00D71546&quot;/&gt;&lt;wsp:rsid wsp:val=&quot;00D716E8&quot;/&gt;&lt;wsp:rsid wsp:val=&quot;00D71916&quot;/&gt;&lt;wsp:rsid wsp:val=&quot;00D719E6&quot;/&gt;&lt;wsp:rsid wsp:val=&quot;00D71CEF&quot;/&gt;&lt;wsp:rsid wsp:val=&quot;00D7218F&quot;/&gt;&lt;wsp:rsid wsp:val=&quot;00D72199&quot;/&gt;&lt;wsp:rsid wsp:val=&quot;00D72232&quot;/&gt;&lt;wsp:rsid wsp:val=&quot;00D722CF&quot;/&gt;&lt;wsp:rsid wsp:val=&quot;00D725DB&quot;/&gt;&lt;wsp:rsid wsp:val=&quot;00D72C5F&quot;/&gt;&lt;wsp:rsid wsp:val=&quot;00D72DA4&quot;/&gt;&lt;wsp:rsid wsp:val=&quot;00D732EE&quot;/&gt;&lt;wsp:rsid wsp:val=&quot;00D73338&quot;/&gt;&lt;wsp:rsid wsp:val=&quot;00D73348&quot;/&gt;&lt;wsp:rsid wsp:val=&quot;00D73FD6&quot;/&gt;&lt;wsp:rsid wsp:val=&quot;00D74262&quot;/&gt;&lt;wsp:rsid wsp:val=&quot;00D7433C&quot;/&gt;&lt;wsp:rsid wsp:val=&quot;00D74575&quot;/&gt;&lt;wsp:rsid wsp:val=&quot;00D7465E&quot;/&gt;&lt;wsp:rsid wsp:val=&quot;00D74A56&quot;/&gt;&lt;wsp:rsid wsp:val=&quot;00D74D31&quot;/&gt;&lt;wsp:rsid wsp:val=&quot;00D74D6F&quot;/&gt;&lt;wsp:rsid wsp:val=&quot;00D74EF6&quot;/&gt;&lt;wsp:rsid wsp:val=&quot;00D74F07&quot;/&gt;&lt;wsp:rsid wsp:val=&quot;00D74F9C&quot;/&gt;&lt;wsp:rsid wsp:val=&quot;00D75012&quot;/&gt;&lt;wsp:rsid wsp:val=&quot;00D75773&quot;/&gt;&lt;wsp:rsid wsp:val=&quot;00D760A9&quot;/&gt;&lt;wsp:rsid wsp:val=&quot;00D760CF&quot;/&gt;&lt;wsp:rsid wsp:val=&quot;00D763C6&quot;/&gt;&lt;wsp:rsid wsp:val=&quot;00D76440&quot;/&gt;&lt;wsp:rsid wsp:val=&quot;00D76731&quot;/&gt;&lt;wsp:rsid wsp:val=&quot;00D7695D&quot;/&gt;&lt;wsp:rsid wsp:val=&quot;00D77746&quot;/&gt;&lt;wsp:rsid wsp:val=&quot;00D778C2&quot;/&gt;&lt;wsp:rsid wsp:val=&quot;00D77CA3&quot;/&gt;&lt;wsp:rsid wsp:val=&quot;00D8038B&quot;/&gt;&lt;wsp:rsid wsp:val=&quot;00D803E5&quot;/&gt;&lt;wsp:rsid wsp:val=&quot;00D80BA3&quot;/&gt;&lt;wsp:rsid wsp:val=&quot;00D80E47&quot;/&gt;&lt;wsp:rsid wsp:val=&quot;00D813D1&quot;/&gt;&lt;wsp:rsid wsp:val=&quot;00D81428&quot;/&gt;&lt;wsp:rsid wsp:val=&quot;00D818D9&quot;/&gt;&lt;wsp:rsid wsp:val=&quot;00D81B53&quot;/&gt;&lt;wsp:rsid wsp:val=&quot;00D81D91&quot;/&gt;&lt;wsp:rsid wsp:val=&quot;00D81E8A&quot;/&gt;&lt;wsp:rsid wsp:val=&quot;00D82675&quot;/&gt;&lt;wsp:rsid wsp:val=&quot;00D8270A&quot;/&gt;&lt;wsp:rsid wsp:val=&quot;00D82A8E&quot;/&gt;&lt;wsp:rsid wsp:val=&quot;00D82DF1&quot;/&gt;&lt;wsp:rsid wsp:val=&quot;00D82EF5&quot;/&gt;&lt;wsp:rsid wsp:val=&quot;00D831D9&quot;/&gt;&lt;wsp:rsid wsp:val=&quot;00D83235&quot;/&gt;&lt;wsp:rsid wsp:val=&quot;00D8393F&quot;/&gt;&lt;wsp:rsid wsp:val=&quot;00D840E6&quot;/&gt;&lt;wsp:rsid wsp:val=&quot;00D8429C&quot;/&gt;&lt;wsp:rsid wsp:val=&quot;00D842D4&quot;/&gt;&lt;wsp:rsid wsp:val=&quot;00D84621&quot;/&gt;&lt;wsp:rsid wsp:val=&quot;00D8462B&quot;/&gt;&lt;wsp:rsid wsp:val=&quot;00D84941&quot;/&gt;&lt;wsp:rsid wsp:val=&quot;00D8521F&quot;/&gt;&lt;wsp:rsid wsp:val=&quot;00D85335&quot;/&gt;&lt;wsp:rsid wsp:val=&quot;00D856EC&quot;/&gt;&lt;wsp:rsid wsp:val=&quot;00D8570C&quot;/&gt;&lt;wsp:rsid wsp:val=&quot;00D85824&quot;/&gt;&lt;wsp:rsid wsp:val=&quot;00D85C69&quot;/&gt;&lt;wsp:rsid wsp:val=&quot;00D85C72&quot;/&gt;&lt;wsp:rsid wsp:val=&quot;00D85DEB&quot;/&gt;&lt;wsp:rsid wsp:val=&quot;00D861F0&quot;/&gt;&lt;wsp:rsid wsp:val=&quot;00D86504&quot;/&gt;&lt;wsp:rsid wsp:val=&quot;00D86DFF&quot;/&gt;&lt;wsp:rsid wsp:val=&quot;00D87212&quot;/&gt;&lt;wsp:rsid wsp:val=&quot;00D87551&quot;/&gt;&lt;wsp:rsid wsp:val=&quot;00D87C1E&quot;/&gt;&lt;wsp:rsid wsp:val=&quot;00D90067&quot;/&gt;&lt;wsp:rsid wsp:val=&quot;00D903FC&quot;/&gt;&lt;wsp:rsid wsp:val=&quot;00D903FF&quot;/&gt;&lt;wsp:rsid wsp:val=&quot;00D9066D&quot;/&gt;&lt;wsp:rsid wsp:val=&quot;00D90844&quot;/&gt;&lt;wsp:rsid wsp:val=&quot;00D90C47&quot;/&gt;&lt;wsp:rsid wsp:val=&quot;00D90CDB&quot;/&gt;&lt;wsp:rsid wsp:val=&quot;00D9124E&quot;/&gt;&lt;wsp:rsid wsp:val=&quot;00D917CA&quot;/&gt;&lt;wsp:rsid wsp:val=&quot;00D918CD&quot;/&gt;&lt;wsp:rsid wsp:val=&quot;00D9196C&quot;/&gt;&lt;wsp:rsid wsp:val=&quot;00D91C21&quot;/&gt;&lt;wsp:rsid wsp:val=&quot;00D91EC6&quot;/&gt;&lt;wsp:rsid wsp:val=&quot;00D91F11&quot;/&gt;&lt;wsp:rsid wsp:val=&quot;00D91FF6&quot;/&gt;&lt;wsp:rsid wsp:val=&quot;00D922E8&quot;/&gt;&lt;wsp:rsid wsp:val=&quot;00D92491&quot;/&gt;&lt;wsp:rsid wsp:val=&quot;00D92AE3&quot;/&gt;&lt;wsp:rsid wsp:val=&quot;00D92CE4&quot;/&gt;&lt;wsp:rsid wsp:val=&quot;00D934D4&quot;/&gt;&lt;wsp:rsid wsp:val=&quot;00D935B0&quot;/&gt;&lt;wsp:rsid wsp:val=&quot;00D93895&quot;/&gt;&lt;wsp:rsid wsp:val=&quot;00D93B30&quot;/&gt;&lt;wsp:rsid wsp:val=&quot;00D93EE5&quot;/&gt;&lt;wsp:rsid wsp:val=&quot;00D9400B&quot;/&gt;&lt;wsp:rsid wsp:val=&quot;00D94351&quot;/&gt;&lt;wsp:rsid wsp:val=&quot;00D9436E&quot;/&gt;&lt;wsp:rsid wsp:val=&quot;00D9442C&quot;/&gt;&lt;wsp:rsid wsp:val=&quot;00D94635&quot;/&gt;&lt;wsp:rsid wsp:val=&quot;00D95228&quot;/&gt;&lt;wsp:rsid wsp:val=&quot;00D957C3&quot;/&gt;&lt;wsp:rsid wsp:val=&quot;00D95AF4&quot;/&gt;&lt;wsp:rsid wsp:val=&quot;00D95CB7&quot;/&gt;&lt;wsp:rsid wsp:val=&quot;00D96247&quot;/&gt;&lt;wsp:rsid wsp:val=&quot;00D9632F&quot;/&gt;&lt;wsp:rsid wsp:val=&quot;00D9690E&quot;/&gt;&lt;wsp:rsid wsp:val=&quot;00D97DC7&quot;/&gt;&lt;wsp:rsid wsp:val=&quot;00D97EE3&quot;/&gt;&lt;wsp:rsid wsp:val=&quot;00DA00AE&quot;/&gt;&lt;wsp:rsid wsp:val=&quot;00DA0108&quot;/&gt;&lt;wsp:rsid wsp:val=&quot;00DA01C4&quot;/&gt;&lt;wsp:rsid wsp:val=&quot;00DA0DD0&quot;/&gt;&lt;wsp:rsid wsp:val=&quot;00DA1876&quot;/&gt;&lt;wsp:rsid wsp:val=&quot;00DA1992&quot;/&gt;&lt;wsp:rsid wsp:val=&quot;00DA1A61&quot;/&gt;&lt;wsp:rsid wsp:val=&quot;00DA1BBD&quot;/&gt;&lt;wsp:rsid wsp:val=&quot;00DA27FD&quot;/&gt;&lt;wsp:rsid wsp:val=&quot;00DA281D&quot;/&gt;&lt;wsp:rsid wsp:val=&quot;00DA2B3F&quot;/&gt;&lt;wsp:rsid wsp:val=&quot;00DA2D48&quot;/&gt;&lt;wsp:rsid wsp:val=&quot;00DA31D6&quot;/&gt;&lt;wsp:rsid wsp:val=&quot;00DA32ED&quot;/&gt;&lt;wsp:rsid wsp:val=&quot;00DA355F&quot;/&gt;&lt;wsp:rsid wsp:val=&quot;00DA3637&quot;/&gt;&lt;wsp:rsid wsp:val=&quot;00DA3DE0&quot;/&gt;&lt;wsp:rsid wsp:val=&quot;00DA452D&quot;/&gt;&lt;wsp:rsid wsp:val=&quot;00DA4785&quot;/&gt;&lt;wsp:rsid wsp:val=&quot;00DA47F3&quot;/&gt;&lt;wsp:rsid wsp:val=&quot;00DA48A9&quot;/&gt;&lt;wsp:rsid wsp:val=&quot;00DA4AAB&quot;/&gt;&lt;wsp:rsid wsp:val=&quot;00DA4BE1&quot;/&gt;&lt;wsp:rsid wsp:val=&quot;00DA4C15&quot;/&gt;&lt;wsp:rsid wsp:val=&quot;00DA4CE7&quot;/&gt;&lt;wsp:rsid wsp:val=&quot;00DA4E26&quot;/&gt;&lt;wsp:rsid wsp:val=&quot;00DA4EDE&quot;/&gt;&lt;wsp:rsid wsp:val=&quot;00DA549C&quot;/&gt;&lt;wsp:rsid wsp:val=&quot;00DA54CD&quot;/&gt;&lt;wsp:rsid wsp:val=&quot;00DA571E&quot;/&gt;&lt;wsp:rsid wsp:val=&quot;00DA5943&quot;/&gt;&lt;wsp:rsid wsp:val=&quot;00DA5F1F&quot;/&gt;&lt;wsp:rsid wsp:val=&quot;00DA61F5&quot;/&gt;&lt;wsp:rsid wsp:val=&quot;00DA6232&quot;/&gt;&lt;wsp:rsid wsp:val=&quot;00DA65B2&quot;/&gt;&lt;wsp:rsid wsp:val=&quot;00DA662D&quot;/&gt;&lt;wsp:rsid wsp:val=&quot;00DA6ABD&quot;/&gt;&lt;wsp:rsid wsp:val=&quot;00DA6E57&quot;/&gt;&lt;wsp:rsid wsp:val=&quot;00DA7056&quot;/&gt;&lt;wsp:rsid wsp:val=&quot;00DA7340&quot;/&gt;&lt;wsp:rsid wsp:val=&quot;00DA7BA4&quot;/&gt;&lt;wsp:rsid wsp:val=&quot;00DA7E61&quot;/&gt;&lt;wsp:rsid wsp:val=&quot;00DA7FCB&quot;/&gt;&lt;wsp:rsid wsp:val=&quot;00DB01DB&quot;/&gt;&lt;wsp:rsid wsp:val=&quot;00DB09AB&quot;/&gt;&lt;wsp:rsid wsp:val=&quot;00DB0A6B&quot;/&gt;&lt;wsp:rsid wsp:val=&quot;00DB0C61&quot;/&gt;&lt;wsp:rsid wsp:val=&quot;00DB0FD0&quot;/&gt;&lt;wsp:rsid wsp:val=&quot;00DB111F&quot;/&gt;&lt;wsp:rsid wsp:val=&quot;00DB1156&quot;/&gt;&lt;wsp:rsid wsp:val=&quot;00DB1ADE&quot;/&gt;&lt;wsp:rsid wsp:val=&quot;00DB21F9&quot;/&gt;&lt;wsp:rsid wsp:val=&quot;00DB23E1&quot;/&gt;&lt;wsp:rsid wsp:val=&quot;00DB242E&quot;/&gt;&lt;wsp:rsid wsp:val=&quot;00DB247B&quot;/&gt;&lt;wsp:rsid wsp:val=&quot;00DB2500&quot;/&gt;&lt;wsp:rsid wsp:val=&quot;00DB25F7&quot;/&gt;&lt;wsp:rsid wsp:val=&quot;00DB2745&quot;/&gt;&lt;wsp:rsid wsp:val=&quot;00DB2810&quot;/&gt;&lt;wsp:rsid wsp:val=&quot;00DB296C&quot;/&gt;&lt;wsp:rsid wsp:val=&quot;00DB2979&quot;/&gt;&lt;wsp:rsid wsp:val=&quot;00DB29FA&quot;/&gt;&lt;wsp:rsid wsp:val=&quot;00DB2B88&quot;/&gt;&lt;wsp:rsid wsp:val=&quot;00DB2C50&quot;/&gt;&lt;wsp:rsid wsp:val=&quot;00DB32C4&quot;/&gt;&lt;wsp:rsid wsp:val=&quot;00DB3873&quot;/&gt;&lt;wsp:rsid wsp:val=&quot;00DB38FF&quot;/&gt;&lt;wsp:rsid wsp:val=&quot;00DB3F39&quot;/&gt;&lt;wsp:rsid wsp:val=&quot;00DB3FF4&quot;/&gt;&lt;wsp:rsid wsp:val=&quot;00DB4EA6&quot;/&gt;&lt;wsp:rsid wsp:val=&quot;00DB51A7&quot;/&gt;&lt;wsp:rsid wsp:val=&quot;00DB5222&quot;/&gt;&lt;wsp:rsid wsp:val=&quot;00DB5A41&quot;/&gt;&lt;wsp:rsid wsp:val=&quot;00DB5DD7&quot;/&gt;&lt;wsp:rsid wsp:val=&quot;00DB64EB&quot;/&gt;&lt;wsp:rsid wsp:val=&quot;00DB6A15&quot;/&gt;&lt;wsp:rsid wsp:val=&quot;00DB6C7B&quot;/&gt;&lt;wsp:rsid wsp:val=&quot;00DB71FD&quot;/&gt;&lt;wsp:rsid wsp:val=&quot;00DB756B&quot;/&gt;&lt;wsp:rsid wsp:val=&quot;00DB7684&quot;/&gt;&lt;wsp:rsid wsp:val=&quot;00DB7D5B&quot;/&gt;&lt;wsp:rsid wsp:val=&quot;00DB7F4C&quot;/&gt;&lt;wsp:rsid wsp:val=&quot;00DC037E&quot;/&gt;&lt;wsp:rsid wsp:val=&quot;00DC0828&quot;/&gt;&lt;wsp:rsid wsp:val=&quot;00DC085B&quot;/&gt;&lt;wsp:rsid wsp:val=&quot;00DC08CF&quot;/&gt;&lt;wsp:rsid wsp:val=&quot;00DC0984&quot;/&gt;&lt;wsp:rsid wsp:val=&quot;00DC0EC9&quot;/&gt;&lt;wsp:rsid wsp:val=&quot;00DC0ECC&quot;/&gt;&lt;wsp:rsid wsp:val=&quot;00DC141E&quot;/&gt;&lt;wsp:rsid wsp:val=&quot;00DC15EC&quot;/&gt;&lt;wsp:rsid wsp:val=&quot;00DC1957&quot;/&gt;&lt;wsp:rsid wsp:val=&quot;00DC1CFE&quot;/&gt;&lt;wsp:rsid wsp:val=&quot;00DC21D5&quot;/&gt;&lt;wsp:rsid wsp:val=&quot;00DC27DA&quot;/&gt;&lt;wsp:rsid wsp:val=&quot;00DC2C4C&quot;/&gt;&lt;wsp:rsid wsp:val=&quot;00DC2EE7&quot;/&gt;&lt;wsp:rsid wsp:val=&quot;00DC3280&quot;/&gt;&lt;wsp:rsid wsp:val=&quot;00DC3341&quot;/&gt;&lt;wsp:rsid wsp:val=&quot;00DC339F&quot;/&gt;&lt;wsp:rsid wsp:val=&quot;00DC33AB&quot;/&gt;&lt;wsp:rsid wsp:val=&quot;00DC3481&quot;/&gt;&lt;wsp:rsid wsp:val=&quot;00DC38A8&quot;/&gt;&lt;wsp:rsid wsp:val=&quot;00DC38BC&quot;/&gt;&lt;wsp:rsid wsp:val=&quot;00DC3992&quot;/&gt;&lt;wsp:rsid wsp:val=&quot;00DC3E04&quot;/&gt;&lt;wsp:rsid wsp:val=&quot;00DC402E&quot;/&gt;&lt;wsp:rsid wsp:val=&quot;00DC4284&quot;/&gt;&lt;wsp:rsid wsp:val=&quot;00DC4376&quot;/&gt;&lt;wsp:rsid wsp:val=&quot;00DC50F1&quot;/&gt;&lt;wsp:rsid wsp:val=&quot;00DC520C&quot;/&gt;&lt;wsp:rsid wsp:val=&quot;00DC535D&quot;/&gt;&lt;wsp:rsid wsp:val=&quot;00DC5445&quot;/&gt;&lt;wsp:rsid wsp:val=&quot;00DC562B&quot;/&gt;&lt;wsp:rsid wsp:val=&quot;00DC5FEC&quot;/&gt;&lt;wsp:rsid wsp:val=&quot;00DC6606&quot;/&gt;&lt;wsp:rsid wsp:val=&quot;00DC673D&quot;/&gt;&lt;wsp:rsid wsp:val=&quot;00DC67C7&quot;/&gt;&lt;wsp:rsid wsp:val=&quot;00DC69E6&quot;/&gt;&lt;wsp:rsid wsp:val=&quot;00DC6EDE&quot;/&gt;&lt;wsp:rsid wsp:val=&quot;00DC6F21&quot;/&gt;&lt;wsp:rsid wsp:val=&quot;00DC741A&quot;/&gt;&lt;wsp:rsid wsp:val=&quot;00DC751E&quot;/&gt;&lt;wsp:rsid wsp:val=&quot;00DC7B73&quot;/&gt;&lt;wsp:rsid wsp:val=&quot;00DC7C4E&quot;/&gt;&lt;wsp:rsid wsp:val=&quot;00DC7E15&quot;/&gt;&lt;wsp:rsid wsp:val=&quot;00DC7E27&quot;/&gt;&lt;wsp:rsid wsp:val=&quot;00DD01DC&quot;/&gt;&lt;wsp:rsid wsp:val=&quot;00DD042E&quot;/&gt;&lt;wsp:rsid wsp:val=&quot;00DD0A18&quot;/&gt;&lt;wsp:rsid wsp:val=&quot;00DD0A2F&quot;/&gt;&lt;wsp:rsid wsp:val=&quot;00DD0B4F&quot;/&gt;&lt;wsp:rsid wsp:val=&quot;00DD0C8C&quot;/&gt;&lt;wsp:rsid wsp:val=&quot;00DD109B&quot;/&gt;&lt;wsp:rsid wsp:val=&quot;00DD16ED&quot;/&gt;&lt;wsp:rsid wsp:val=&quot;00DD17BD&quot;/&gt;&lt;wsp:rsid wsp:val=&quot;00DD1B72&quot;/&gt;&lt;wsp:rsid wsp:val=&quot;00DD1D1C&quot;/&gt;&lt;wsp:rsid wsp:val=&quot;00DD237A&quot;/&gt;&lt;wsp:rsid wsp:val=&quot;00DD397C&quot;/&gt;&lt;wsp:rsid wsp:val=&quot;00DD3CEA&quot;/&gt;&lt;wsp:rsid wsp:val=&quot;00DD4838&quot;/&gt;&lt;wsp:rsid wsp:val=&quot;00DD4C81&quot;/&gt;&lt;wsp:rsid wsp:val=&quot;00DD54F2&quot;/&gt;&lt;wsp:rsid wsp:val=&quot;00DD55B0&quot;/&gt;&lt;wsp:rsid wsp:val=&quot;00DD68AB&quot;/&gt;&lt;wsp:rsid wsp:val=&quot;00DD69F4&quot;/&gt;&lt;wsp:rsid wsp:val=&quot;00DD7431&quot;/&gt;&lt;wsp:rsid wsp:val=&quot;00DD760A&quot;/&gt;&lt;wsp:rsid wsp:val=&quot;00DD7A76&quot;/&gt;&lt;wsp:rsid wsp:val=&quot;00DD7BC2&quot;/&gt;&lt;wsp:rsid wsp:val=&quot;00DD7E50&quot;/&gt;&lt;wsp:rsid wsp:val=&quot;00DE032C&quot;/&gt;&lt;wsp:rsid wsp:val=&quot;00DE0474&quot;/&gt;&lt;wsp:rsid wsp:val=&quot;00DE0727&quot;/&gt;&lt;wsp:rsid wsp:val=&quot;00DE0A01&quot;/&gt;&lt;wsp:rsid wsp:val=&quot;00DE0F9E&quot;/&gt;&lt;wsp:rsid wsp:val=&quot;00DE0FA7&quot;/&gt;&lt;wsp:rsid wsp:val=&quot;00DE1511&quot;/&gt;&lt;wsp:rsid wsp:val=&quot;00DE1522&quot;/&gt;&lt;wsp:rsid wsp:val=&quot;00DE1AC8&quot;/&gt;&lt;wsp:rsid wsp:val=&quot;00DE1F3F&quot;/&gt;&lt;wsp:rsid wsp:val=&quot;00DE2077&quot;/&gt;&lt;wsp:rsid wsp:val=&quot;00DE257A&quot;/&gt;&lt;wsp:rsid wsp:val=&quot;00DE287C&quot;/&gt;&lt;wsp:rsid wsp:val=&quot;00DE31E6&quot;/&gt;&lt;wsp:rsid wsp:val=&quot;00DE3718&quot;/&gt;&lt;wsp:rsid wsp:val=&quot;00DE38C1&quot;/&gt;&lt;wsp:rsid wsp:val=&quot;00DE3990&quot;/&gt;&lt;wsp:rsid wsp:val=&quot;00DE3D4C&quot;/&gt;&lt;wsp:rsid wsp:val=&quot;00DE3F61&quot;/&gt;&lt;wsp:rsid wsp:val=&quot;00DE4264&quot;/&gt;&lt;wsp:rsid wsp:val=&quot;00DE473A&quot;/&gt;&lt;wsp:rsid wsp:val=&quot;00DE47DB&quot;/&gt;&lt;wsp:rsid wsp:val=&quot;00DE4B48&quot;/&gt;&lt;wsp:rsid wsp:val=&quot;00DE4BD2&quot;/&gt;&lt;wsp:rsid wsp:val=&quot;00DE4C60&quot;/&gt;&lt;wsp:rsid wsp:val=&quot;00DE4E7A&quot;/&gt;&lt;wsp:rsid wsp:val=&quot;00DE585A&quot;/&gt;&lt;wsp:rsid wsp:val=&quot;00DE6784&quot;/&gt;&lt;wsp:rsid wsp:val=&quot;00DE6861&quot;/&gt;&lt;wsp:rsid wsp:val=&quot;00DE6C98&quot;/&gt;&lt;wsp:rsid wsp:val=&quot;00DE6F68&quot;/&gt;&lt;wsp:rsid wsp:val=&quot;00DE7C17&quot;/&gt;&lt;wsp:rsid wsp:val=&quot;00DE7CE1&quot;/&gt;&lt;wsp:rsid wsp:val=&quot;00DF02B9&quot;/&gt;&lt;wsp:rsid wsp:val=&quot;00DF043D&quot;/&gt;&lt;wsp:rsid wsp:val=&quot;00DF04F9&quot;/&gt;&lt;wsp:rsid wsp:val=&quot;00DF05F2&quot;/&gt;&lt;wsp:rsid wsp:val=&quot;00DF0C83&quot;/&gt;&lt;wsp:rsid wsp:val=&quot;00DF122E&quot;/&gt;&lt;wsp:rsid wsp:val=&quot;00DF1835&quot;/&gt;&lt;wsp:rsid wsp:val=&quot;00DF1838&quot;/&gt;&lt;wsp:rsid wsp:val=&quot;00DF1BB2&quot;/&gt;&lt;wsp:rsid wsp:val=&quot;00DF1CC0&quot;/&gt;&lt;wsp:rsid wsp:val=&quot;00DF2033&quot;/&gt;&lt;wsp:rsid wsp:val=&quot;00DF22C7&quot;/&gt;&lt;wsp:rsid wsp:val=&quot;00DF2408&quot;/&gt;&lt;wsp:rsid wsp:val=&quot;00DF281A&quot;/&gt;&lt;wsp:rsid wsp:val=&quot;00DF2B2A&quot;/&gt;&lt;wsp:rsid wsp:val=&quot;00DF2B65&quot;/&gt;&lt;wsp:rsid wsp:val=&quot;00DF324D&quot;/&gt;&lt;wsp:rsid wsp:val=&quot;00DF34E6&quot;/&gt;&lt;wsp:rsid wsp:val=&quot;00DF3C68&quot;/&gt;&lt;wsp:rsid wsp:val=&quot;00DF4AAE&quot;/&gt;&lt;wsp:rsid wsp:val=&quot;00DF4BE1&quot;/&gt;&lt;wsp:rsid wsp:val=&quot;00DF4DC9&quot;/&gt;&lt;wsp:rsid wsp:val=&quot;00DF4E74&quot;/&gt;&lt;wsp:rsid wsp:val=&quot;00DF54DF&quot;/&gt;&lt;wsp:rsid wsp:val=&quot;00DF55D6&quot;/&gt;&lt;wsp:rsid wsp:val=&quot;00DF5623&quot;/&gt;&lt;wsp:rsid wsp:val=&quot;00DF5F78&quot;/&gt;&lt;wsp:rsid wsp:val=&quot;00DF5FC0&quot;/&gt;&lt;wsp:rsid wsp:val=&quot;00DF6021&quot;/&gt;&lt;wsp:rsid wsp:val=&quot;00DF6457&quot;/&gt;&lt;wsp:rsid wsp:val=&quot;00DF64F5&quot;/&gt;&lt;wsp:rsid wsp:val=&quot;00DF6B13&quot;/&gt;&lt;wsp:rsid wsp:val=&quot;00DF737B&quot;/&gt;&lt;wsp:rsid wsp:val=&quot;00DF7C16&quot;/&gt;&lt;wsp:rsid wsp:val=&quot;00E00185&quot;/&gt;&lt;wsp:rsid wsp:val=&quot;00E0093C&quot;/&gt;&lt;wsp:rsid wsp:val=&quot;00E01018&quot;/&gt;&lt;wsp:rsid wsp:val=&quot;00E01634&quot;/&gt;&lt;wsp:rsid wsp:val=&quot;00E01C55&quot;/&gt;&lt;wsp:rsid wsp:val=&quot;00E01D5B&quot;/&gt;&lt;wsp:rsid wsp:val=&quot;00E01DC2&quot;/&gt;&lt;wsp:rsid wsp:val=&quot;00E021CD&quot;/&gt;&lt;wsp:rsid wsp:val=&quot;00E02227&quot;/&gt;&lt;wsp:rsid wsp:val=&quot;00E027BD&quot;/&gt;&lt;wsp:rsid wsp:val=&quot;00E02C60&quot;/&gt;&lt;wsp:rsid wsp:val=&quot;00E02EF2&quot;/&gt;&lt;wsp:rsid wsp:val=&quot;00E02FCD&quot;/&gt;&lt;wsp:rsid wsp:val=&quot;00E03172&quot;/&gt;&lt;wsp:rsid wsp:val=&quot;00E0321A&quot;/&gt;&lt;wsp:rsid wsp:val=&quot;00E03563&quot;/&gt;&lt;wsp:rsid wsp:val=&quot;00E037E5&quot;/&gt;&lt;wsp:rsid wsp:val=&quot;00E0384A&quot;/&gt;&lt;wsp:rsid wsp:val=&quot;00E0397E&quot;/&gt;&lt;wsp:rsid wsp:val=&quot;00E03CB0&quot;/&gt;&lt;wsp:rsid wsp:val=&quot;00E043AD&quot;/&gt;&lt;wsp:rsid wsp:val=&quot;00E0468B&quot;/&gt;&lt;wsp:rsid wsp:val=&quot;00E04764&quot;/&gt;&lt;wsp:rsid wsp:val=&quot;00E04C8A&quot;/&gt;&lt;wsp:rsid wsp:val=&quot;00E0514D&quot;/&gt;&lt;wsp:rsid wsp:val=&quot;00E0525B&quot;/&gt;&lt;wsp:rsid wsp:val=&quot;00E0547E&quot;/&gt;&lt;wsp:rsid wsp:val=&quot;00E0548D&quot;/&gt;&lt;wsp:rsid wsp:val=&quot;00E0589C&quot;/&gt;&lt;wsp:rsid wsp:val=&quot;00E05B76&quot;/&gt;&lt;wsp:rsid wsp:val=&quot;00E05E36&quot;/&gt;&lt;wsp:rsid wsp:val=&quot;00E06078&quot;/&gt;&lt;wsp:rsid wsp:val=&quot;00E06183&quot;/&gt;&lt;wsp:rsid wsp:val=&quot;00E06199&quot;/&gt;&lt;wsp:rsid wsp:val=&quot;00E064A1&quot;/&gt;&lt;wsp:rsid wsp:val=&quot;00E064D5&quot;/&gt;&lt;wsp:rsid wsp:val=&quot;00E068E7&quot;/&gt;&lt;wsp:rsid wsp:val=&quot;00E06D23&quot;/&gt;&lt;wsp:rsid wsp:val=&quot;00E07323&quot;/&gt;&lt;wsp:rsid wsp:val=&quot;00E07CED&quot;/&gt;&lt;wsp:rsid wsp:val=&quot;00E10057&quot;/&gt;&lt;wsp:rsid wsp:val=&quot;00E1009B&quot;/&gt;&lt;wsp:rsid wsp:val=&quot;00E10270&quot;/&gt;&lt;wsp:rsid wsp:val=&quot;00E10421&quot;/&gt;&lt;wsp:rsid wsp:val=&quot;00E104FF&quot;/&gt;&lt;wsp:rsid wsp:val=&quot;00E10748&quot;/&gt;&lt;wsp:rsid wsp:val=&quot;00E10E90&quot;/&gt;&lt;wsp:rsid wsp:val=&quot;00E10F69&quot;/&gt;&lt;wsp:rsid wsp:val=&quot;00E1107E&quot;/&gt;&lt;wsp:rsid wsp:val=&quot;00E111E0&quot;/&gt;&lt;wsp:rsid wsp:val=&quot;00E11503&quot;/&gt;&lt;wsp:rsid wsp:val=&quot;00E1151C&quot;/&gt;&lt;wsp:rsid wsp:val=&quot;00E11848&quot;/&gt;&lt;wsp:rsid wsp:val=&quot;00E11B3A&quot;/&gt;&lt;wsp:rsid wsp:val=&quot;00E11E52&quot;/&gt;&lt;wsp:rsid wsp:val=&quot;00E11F1C&quot;/&gt;&lt;wsp:rsid wsp:val=&quot;00E123DD&quot;/&gt;&lt;wsp:rsid wsp:val=&quot;00E126D5&quot;/&gt;&lt;wsp:rsid wsp:val=&quot;00E12E70&quot;/&gt;&lt;wsp:rsid wsp:val=&quot;00E1397B&quot;/&gt;&lt;wsp:rsid wsp:val=&quot;00E13F67&quot;/&gt;&lt;wsp:rsid wsp:val=&quot;00E14087&quot;/&gt;&lt;wsp:rsid wsp:val=&quot;00E140B5&quot;/&gt;&lt;wsp:rsid wsp:val=&quot;00E1418D&quot;/&gt;&lt;wsp:rsid wsp:val=&quot;00E1423A&quot;/&gt;&lt;wsp:rsid wsp:val=&quot;00E1461B&quot;/&gt;&lt;wsp:rsid wsp:val=&quot;00E14BC2&quot;/&gt;&lt;wsp:rsid wsp:val=&quot;00E14C96&quot;/&gt;&lt;wsp:rsid wsp:val=&quot;00E1560A&quot;/&gt;&lt;wsp:rsid wsp:val=&quot;00E1567C&quot;/&gt;&lt;wsp:rsid wsp:val=&quot;00E15869&quot;/&gt;&lt;wsp:rsid wsp:val=&quot;00E1609B&quot;/&gt;&lt;wsp:rsid wsp:val=&quot;00E166C2&quot;/&gt;&lt;wsp:rsid wsp:val=&quot;00E1675A&quot;/&gt;&lt;wsp:rsid wsp:val=&quot;00E167F9&quot;/&gt;&lt;wsp:rsid wsp:val=&quot;00E168A2&quot;/&gt;&lt;wsp:rsid wsp:val=&quot;00E16ADA&quot;/&gt;&lt;wsp:rsid wsp:val=&quot;00E16E47&quot;/&gt;&lt;wsp:rsid wsp:val=&quot;00E2023E&quot;/&gt;&lt;wsp:rsid wsp:val=&quot;00E20289&quot;/&gt;&lt;wsp:rsid wsp:val=&quot;00E20441&quot;/&gt;&lt;wsp:rsid wsp:val=&quot;00E204BF&quot;/&gt;&lt;wsp:rsid wsp:val=&quot;00E20548&quot;/&gt;&lt;wsp:rsid wsp:val=&quot;00E20830&quot;/&gt;&lt;wsp:rsid wsp:val=&quot;00E20A15&quot;/&gt;&lt;wsp:rsid wsp:val=&quot;00E20A70&quot;/&gt;&lt;wsp:rsid wsp:val=&quot;00E20B01&quot;/&gt;&lt;wsp:rsid wsp:val=&quot;00E20E29&quot;/&gt;&lt;wsp:rsid wsp:val=&quot;00E212C2&quot;/&gt;&lt;wsp:rsid wsp:val=&quot;00E21687&quot;/&gt;&lt;wsp:rsid wsp:val=&quot;00E21A4E&quot;/&gt;&lt;wsp:rsid wsp:val=&quot;00E21CCC&quot;/&gt;&lt;wsp:rsid wsp:val=&quot;00E21F08&quot;/&gt;&lt;wsp:rsid wsp:val=&quot;00E22182&quot;/&gt;&lt;wsp:rsid wsp:val=&quot;00E221B8&quot;/&gt;&lt;wsp:rsid wsp:val=&quot;00E227E9&quot;/&gt;&lt;wsp:rsid wsp:val=&quot;00E2290E&quot;/&gt;&lt;wsp:rsid wsp:val=&quot;00E22C48&quot;/&gt;&lt;wsp:rsid wsp:val=&quot;00E22F19&quot;/&gt;&lt;wsp:rsid wsp:val=&quot;00E23299&quot;/&gt;&lt;wsp:rsid wsp:val=&quot;00E237B6&quot;/&gt;&lt;wsp:rsid wsp:val=&quot;00E238DE&quot;/&gt;&lt;wsp:rsid wsp:val=&quot;00E23CC0&quot;/&gt;&lt;wsp:rsid wsp:val=&quot;00E24A62&quot;/&gt;&lt;wsp:rsid wsp:val=&quot;00E24B9B&quot;/&gt;&lt;wsp:rsid wsp:val=&quot;00E24BEA&quot;/&gt;&lt;wsp:rsid wsp:val=&quot;00E24E54&quot;/&gt;&lt;wsp:rsid wsp:val=&quot;00E24EDA&quot;/&gt;&lt;wsp:rsid wsp:val=&quot;00E25072&quot;/&gt;&lt;wsp:rsid wsp:val=&quot;00E25593&quot;/&gt;&lt;wsp:rsid wsp:val=&quot;00E25888&quot;/&gt;&lt;wsp:rsid wsp:val=&quot;00E25E6C&quot;/&gt;&lt;wsp:rsid wsp:val=&quot;00E25E82&quot;/&gt;&lt;wsp:rsid wsp:val=&quot;00E25EB6&quot;/&gt;&lt;wsp:rsid wsp:val=&quot;00E25FFA&quot;/&gt;&lt;wsp:rsid wsp:val=&quot;00E26226&quot;/&gt;&lt;wsp:rsid wsp:val=&quot;00E264E6&quot;/&gt;&lt;wsp:rsid wsp:val=&quot;00E26C3F&quot;/&gt;&lt;wsp:rsid wsp:val=&quot;00E2702B&quot;/&gt;&lt;wsp:rsid wsp:val=&quot;00E271D3&quot;/&gt;&lt;wsp:rsid wsp:val=&quot;00E27479&quot;/&gt;&lt;wsp:rsid wsp:val=&quot;00E30596&quot;/&gt;&lt;wsp:rsid wsp:val=&quot;00E306C3&quot;/&gt;&lt;wsp:rsid wsp:val=&quot;00E307C6&quot;/&gt;&lt;wsp:rsid wsp:val=&quot;00E30AFB&quot;/&gt;&lt;wsp:rsid wsp:val=&quot;00E30BAF&quot;/&gt;&lt;wsp:rsid wsp:val=&quot;00E31856&quot;/&gt;&lt;wsp:rsid wsp:val=&quot;00E31C9C&quot;/&gt;&lt;wsp:rsid wsp:val=&quot;00E31F8E&quot;/&gt;&lt;wsp:rsid wsp:val=&quot;00E3221D&quot;/&gt;&lt;wsp:rsid wsp:val=&quot;00E326FD&quot;/&gt;&lt;wsp:rsid wsp:val=&quot;00E32CF9&quot;/&gt;&lt;wsp:rsid wsp:val=&quot;00E32FF4&quot;/&gt;&lt;wsp:rsid wsp:val=&quot;00E33143&quot;/&gt;&lt;wsp:rsid wsp:val=&quot;00E33356&quot;/&gt;&lt;wsp:rsid wsp:val=&quot;00E3397C&quot;/&gt;&lt;wsp:rsid wsp:val=&quot;00E33D42&quot;/&gt;&lt;wsp:rsid wsp:val=&quot;00E343CE&quot;/&gt;&lt;wsp:rsid wsp:val=&quot;00E344DA&quot;/&gt;&lt;wsp:rsid wsp:val=&quot;00E3491A&quot;/&gt;&lt;wsp:rsid wsp:val=&quot;00E349B8&quot;/&gt;&lt;wsp:rsid wsp:val=&quot;00E34CA7&quot;/&gt;&lt;wsp:rsid wsp:val=&quot;00E352F7&quot;/&gt;&lt;wsp:rsid wsp:val=&quot;00E353D9&quot;/&gt;&lt;wsp:rsid wsp:val=&quot;00E35D66&quot;/&gt;&lt;wsp:rsid wsp:val=&quot;00E35E4B&quot;/&gt;&lt;wsp:rsid wsp:val=&quot;00E360FF&quot;/&gt;&lt;wsp:rsid wsp:val=&quot;00E3611C&quot;/&gt;&lt;wsp:rsid wsp:val=&quot;00E36230&quot;/&gt;&lt;wsp:rsid wsp:val=&quot;00E3631E&quot;/&gt;&lt;wsp:rsid wsp:val=&quot;00E368E4&quot;/&gt;&lt;wsp:rsid wsp:val=&quot;00E36976&quot;/&gt;&lt;wsp:rsid wsp:val=&quot;00E36BAA&quot;/&gt;&lt;wsp:rsid wsp:val=&quot;00E36CFB&quot;/&gt;&lt;wsp:rsid wsp:val=&quot;00E36D5C&quot;/&gt;&lt;wsp:rsid wsp:val=&quot;00E3715C&quot;/&gt;&lt;wsp:rsid wsp:val=&quot;00E37189&quot;/&gt;&lt;wsp:rsid wsp:val=&quot;00E371DE&quot;/&gt;&lt;wsp:rsid wsp:val=&quot;00E375F3&quot;/&gt;&lt;wsp:rsid wsp:val=&quot;00E376AB&quot;/&gt;&lt;wsp:rsid wsp:val=&quot;00E379D1&quot;/&gt;&lt;wsp:rsid wsp:val=&quot;00E37EC0&quot;/&gt;&lt;wsp:rsid wsp:val=&quot;00E408A8&quot;/&gt;&lt;wsp:rsid wsp:val=&quot;00E40E8C&quot;/&gt;&lt;wsp:rsid wsp:val=&quot;00E41B1C&quot;/&gt;&lt;wsp:rsid wsp:val=&quot;00E41C61&quot;/&gt;&lt;wsp:rsid wsp:val=&quot;00E41C86&quot;/&gt;&lt;wsp:rsid wsp:val=&quot;00E42244&quot;/&gt;&lt;wsp:rsid wsp:val=&quot;00E4230D&quot;/&gt;&lt;wsp:rsid wsp:val=&quot;00E42425&quot;/&gt;&lt;wsp:rsid wsp:val=&quot;00E4251A&quot;/&gt;&lt;wsp:rsid wsp:val=&quot;00E42B3F&quot;/&gt;&lt;wsp:rsid wsp:val=&quot;00E42F92&quot;/&gt;&lt;wsp:rsid wsp:val=&quot;00E4306E&quot;/&gt;&lt;wsp:rsid wsp:val=&quot;00E43143&quot;/&gt;&lt;wsp:rsid wsp:val=&quot;00E4319B&quot;/&gt;&lt;wsp:rsid wsp:val=&quot;00E431C0&quot;/&gt;&lt;wsp:rsid wsp:val=&quot;00E435DB&quot;/&gt;&lt;wsp:rsid wsp:val=&quot;00E438F3&quot;/&gt;&lt;wsp:rsid wsp:val=&quot;00E43E10&quot;/&gt;&lt;wsp:rsid wsp:val=&quot;00E44403&quot;/&gt;&lt;wsp:rsid wsp:val=&quot;00E4459E&quot;/&gt;&lt;wsp:rsid wsp:val=&quot;00E44B2F&quot;/&gt;&lt;wsp:rsid wsp:val=&quot;00E44BB0&quot;/&gt;&lt;wsp:rsid wsp:val=&quot;00E44BD4&quot;/&gt;&lt;wsp:rsid wsp:val=&quot;00E44E92&quot;/&gt;&lt;wsp:rsid wsp:val=&quot;00E44F03&quot;/&gt;&lt;wsp:rsid wsp:val=&quot;00E4550C&quot;/&gt;&lt;wsp:rsid wsp:val=&quot;00E455FF&quot;/&gt;&lt;wsp:rsid wsp:val=&quot;00E45677&quot;/&gt;&lt;wsp:rsid wsp:val=&quot;00E4598D&quot;/&gt;&lt;wsp:rsid wsp:val=&quot;00E45A35&quot;/&gt;&lt;wsp:rsid wsp:val=&quot;00E45E51&quot;/&gt;&lt;wsp:rsid wsp:val=&quot;00E46055&quot;/&gt;&lt;wsp:rsid wsp:val=&quot;00E46079&quot;/&gt;&lt;wsp:rsid wsp:val=&quot;00E46636&quot;/&gt;&lt;wsp:rsid wsp:val=&quot;00E467B0&quot;/&gt;&lt;wsp:rsid wsp:val=&quot;00E46983&quot;/&gt;&lt;wsp:rsid wsp:val=&quot;00E47160&quot;/&gt;&lt;wsp:rsid wsp:val=&quot;00E47596&quot;/&gt;&lt;wsp:rsid wsp:val=&quot;00E4778B&quot;/&gt;&lt;wsp:rsid wsp:val=&quot;00E47A0A&quot;/&gt;&lt;wsp:rsid wsp:val=&quot;00E5045D&quot;/&gt;&lt;wsp:rsid wsp:val=&quot;00E5056B&quot;/&gt;&lt;wsp:rsid wsp:val=&quot;00E50844&quot;/&gt;&lt;wsp:rsid wsp:val=&quot;00E50CB4&quot;/&gt;&lt;wsp:rsid wsp:val=&quot;00E50F14&quot;/&gt;&lt;wsp:rsid wsp:val=&quot;00E5122B&quot;/&gt;&lt;wsp:rsid wsp:val=&quot;00E5129B&quot;/&gt;&lt;wsp:rsid wsp:val=&quot;00E513EC&quot;/&gt;&lt;wsp:rsid wsp:val=&quot;00E51579&quot;/&gt;&lt;wsp:rsid wsp:val=&quot;00E51952&quot;/&gt;&lt;wsp:rsid wsp:val=&quot;00E51B97&quot;/&gt;&lt;wsp:rsid wsp:val=&quot;00E51E7C&quot;/&gt;&lt;wsp:rsid wsp:val=&quot;00E51FD7&quot;/&gt;&lt;wsp:rsid wsp:val=&quot;00E5213D&quot;/&gt;&lt;wsp:rsid wsp:val=&quot;00E5219B&quot;/&gt;&lt;wsp:rsid wsp:val=&quot;00E521BE&quot;/&gt;&lt;wsp:rsid wsp:val=&quot;00E52552&quot;/&gt;&lt;wsp:rsid wsp:val=&quot;00E52B77&quot;/&gt;&lt;wsp:rsid wsp:val=&quot;00E52F14&quot;/&gt;&lt;wsp:rsid wsp:val=&quot;00E5310C&quot;/&gt;&lt;wsp:rsid wsp:val=&quot;00E53438&quot;/&gt;&lt;wsp:rsid wsp:val=&quot;00E54149&quot;/&gt;&lt;wsp:rsid wsp:val=&quot;00E546C4&quot;/&gt;&lt;wsp:rsid wsp:val=&quot;00E548E2&quot;/&gt;&lt;wsp:rsid wsp:val=&quot;00E54DE3&quot;/&gt;&lt;wsp:rsid wsp:val=&quot;00E54F4D&quot;/&gt;&lt;wsp:rsid wsp:val=&quot;00E55287&quot;/&gt;&lt;wsp:rsid wsp:val=&quot;00E55299&quot;/&gt;&lt;wsp:rsid wsp:val=&quot;00E55714&quot;/&gt;&lt;wsp:rsid wsp:val=&quot;00E55985&quot;/&gt;&lt;wsp:rsid wsp:val=&quot;00E55B0C&quot;/&gt;&lt;wsp:rsid wsp:val=&quot;00E55F2F&quot;/&gt;&lt;wsp:rsid wsp:val=&quot;00E560A8&quot;/&gt;&lt;wsp:rsid wsp:val=&quot;00E56390&quot;/&gt;&lt;wsp:rsid wsp:val=&quot;00E56D0D&quot;/&gt;&lt;wsp:rsid wsp:val=&quot;00E572E9&quot;/&gt;&lt;wsp:rsid wsp:val=&quot;00E574AC&quot;/&gt;&lt;wsp:rsid wsp:val=&quot;00E57956&quot;/&gt;&lt;wsp:rsid wsp:val=&quot;00E57C5D&quot;/&gt;&lt;wsp:rsid wsp:val=&quot;00E6016A&quot;/&gt;&lt;wsp:rsid wsp:val=&quot;00E605E6&quot;/&gt;&lt;wsp:rsid wsp:val=&quot;00E60873&quot;/&gt;&lt;wsp:rsid wsp:val=&quot;00E6090C&quot;/&gt;&lt;wsp:rsid wsp:val=&quot;00E609AB&quot;/&gt;&lt;wsp:rsid wsp:val=&quot;00E60BB3&quot;/&gt;&lt;wsp:rsid wsp:val=&quot;00E6105C&quot;/&gt;&lt;wsp:rsid wsp:val=&quot;00E61077&quot;/&gt;&lt;wsp:rsid wsp:val=&quot;00E6123A&quot;/&gt;&lt;wsp:rsid wsp:val=&quot;00E6126C&quot;/&gt;&lt;wsp:rsid wsp:val=&quot;00E614BD&quot;/&gt;&lt;wsp:rsid wsp:val=&quot;00E61CE1&quot;/&gt;&lt;wsp:rsid wsp:val=&quot;00E61EF0&quot;/&gt;&lt;wsp:rsid wsp:val=&quot;00E61F27&quot;/&gt;&lt;wsp:rsid wsp:val=&quot;00E624E9&quot;/&gt;&lt;wsp:rsid wsp:val=&quot;00E6252C&quot;/&gt;&lt;wsp:rsid wsp:val=&quot;00E62570&quot;/&gt;&lt;wsp:rsid wsp:val=&quot;00E629E2&quot;/&gt;&lt;wsp:rsid wsp:val=&quot;00E63481&quot;/&gt;&lt;wsp:rsid wsp:val=&quot;00E63590&quot;/&gt;&lt;wsp:rsid wsp:val=&quot;00E63907&quot;/&gt;&lt;wsp:rsid wsp:val=&quot;00E63A14&quot;/&gt;&lt;wsp:rsid wsp:val=&quot;00E63A34&quot;/&gt;&lt;wsp:rsid wsp:val=&quot;00E63B2E&quot;/&gt;&lt;wsp:rsid wsp:val=&quot;00E646AD&quot;/&gt;&lt;wsp:rsid wsp:val=&quot;00E6471A&quot;/&gt;&lt;wsp:rsid wsp:val=&quot;00E64A13&quot;/&gt;&lt;wsp:rsid wsp:val=&quot;00E64A84&quot;/&gt;&lt;wsp:rsid wsp:val=&quot;00E64B4F&quot;/&gt;&lt;wsp:rsid wsp:val=&quot;00E64D9B&quot;/&gt;&lt;wsp:rsid wsp:val=&quot;00E64F93&quot;/&gt;&lt;wsp:rsid wsp:val=&quot;00E651D6&quot;/&gt;&lt;wsp:rsid wsp:val=&quot;00E654FC&quot;/&gt;&lt;wsp:rsid wsp:val=&quot;00E65612&quot;/&gt;&lt;wsp:rsid wsp:val=&quot;00E65743&quot;/&gt;&lt;wsp:rsid wsp:val=&quot;00E6581C&quot;/&gt;&lt;wsp:rsid wsp:val=&quot;00E65BBB&quot;/&gt;&lt;wsp:rsid wsp:val=&quot;00E65C3D&quot;/&gt;&lt;wsp:rsid wsp:val=&quot;00E6616C&quot;/&gt;&lt;wsp:rsid wsp:val=&quot;00E6643A&quot;/&gt;&lt;wsp:rsid wsp:val=&quot;00E66695&quot;/&gt;&lt;wsp:rsid wsp:val=&quot;00E66A8E&quot;/&gt;&lt;wsp:rsid wsp:val=&quot;00E66B7D&quot;/&gt;&lt;wsp:rsid wsp:val=&quot;00E66D4C&quot;/&gt;&lt;wsp:rsid wsp:val=&quot;00E66D4D&quot;/&gt;&lt;wsp:rsid wsp:val=&quot;00E66E8A&quot;/&gt;&lt;wsp:rsid wsp:val=&quot;00E6750E&quot;/&gt;&lt;wsp:rsid wsp:val=&quot;00E6759D&quot;/&gt;&lt;wsp:rsid wsp:val=&quot;00E6772B&quot;/&gt;&lt;wsp:rsid wsp:val=&quot;00E678F9&quot;/&gt;&lt;wsp:rsid wsp:val=&quot;00E67B4B&quot;/&gt;&lt;wsp:rsid wsp:val=&quot;00E7000C&quot;/&gt;&lt;wsp:rsid wsp:val=&quot;00E706FA&quot;/&gt;&lt;wsp:rsid wsp:val=&quot;00E707F8&quot;/&gt;&lt;wsp:rsid wsp:val=&quot;00E713E0&quot;/&gt;&lt;wsp:rsid wsp:val=&quot;00E7152F&quot;/&gt;&lt;wsp:rsid wsp:val=&quot;00E71D13&quot;/&gt;&lt;wsp:rsid wsp:val=&quot;00E71EA7&quot;/&gt;&lt;wsp:rsid wsp:val=&quot;00E7208C&quot;/&gt;&lt;wsp:rsid wsp:val=&quot;00E721CE&quot;/&gt;&lt;wsp:rsid wsp:val=&quot;00E7293A&quot;/&gt;&lt;wsp:rsid wsp:val=&quot;00E72DDA&quot;/&gt;&lt;wsp:rsid wsp:val=&quot;00E72F61&quot;/&gt;&lt;wsp:rsid wsp:val=&quot;00E73885&quot;/&gt;&lt;wsp:rsid wsp:val=&quot;00E73CA7&quot;/&gt;&lt;wsp:rsid wsp:val=&quot;00E742D9&quot;/&gt;&lt;wsp:rsid wsp:val=&quot;00E74854&quot;/&gt;&lt;wsp:rsid wsp:val=&quot;00E748FD&quot;/&gt;&lt;wsp:rsid wsp:val=&quot;00E74DF5&quot;/&gt;&lt;wsp:rsid wsp:val=&quot;00E74ECB&quot;/&gt;&lt;wsp:rsid wsp:val=&quot;00E75347&quot;/&gt;&lt;wsp:rsid wsp:val=&quot;00E75766&quot;/&gt;&lt;wsp:rsid wsp:val=&quot;00E75AF9&quot;/&gt;&lt;wsp:rsid wsp:val=&quot;00E75B4C&quot;/&gt;&lt;wsp:rsid wsp:val=&quot;00E75BC5&quot;/&gt;&lt;wsp:rsid wsp:val=&quot;00E75C95&quot;/&gt;&lt;wsp:rsid wsp:val=&quot;00E76086&quot;/&gt;&lt;wsp:rsid wsp:val=&quot;00E763C9&quot;/&gt;&lt;wsp:rsid wsp:val=&quot;00E76AB5&quot;/&gt;&lt;wsp:rsid wsp:val=&quot;00E76BB2&quot;/&gt;&lt;wsp:rsid wsp:val=&quot;00E76E06&quot;/&gt;&lt;wsp:rsid wsp:val=&quot;00E775A5&quot;/&gt;&lt;wsp:rsid wsp:val=&quot;00E77BBA&quot;/&gt;&lt;wsp:rsid wsp:val=&quot;00E77D22&quot;/&gt;&lt;wsp:rsid wsp:val=&quot;00E77F4D&quot;/&gt;&lt;wsp:rsid wsp:val=&quot;00E8009A&quot;/&gt;&lt;wsp:rsid wsp:val=&quot;00E8096C&quot;/&gt;&lt;wsp:rsid wsp:val=&quot;00E814AB&quot;/&gt;&lt;wsp:rsid wsp:val=&quot;00E81E23&quot;/&gt;&lt;wsp:rsid wsp:val=&quot;00E81EE8&quot;/&gt;&lt;wsp:rsid wsp:val=&quot;00E821AE&quot;/&gt;&lt;wsp:rsid wsp:val=&quot;00E82D72&quot;/&gt;&lt;wsp:rsid wsp:val=&quot;00E832EF&quot;/&gt;&lt;wsp:rsid wsp:val=&quot;00E8379A&quot;/&gt;&lt;wsp:rsid wsp:val=&quot;00E83D45&quot;/&gt;&lt;wsp:rsid wsp:val=&quot;00E842A7&quot;/&gt;&lt;wsp:rsid wsp:val=&quot;00E84ACA&quot;/&gt;&lt;wsp:rsid wsp:val=&quot;00E84CA0&quot;/&gt;&lt;wsp:rsid wsp:val=&quot;00E84CA5&quot;/&gt;&lt;wsp:rsid wsp:val=&quot;00E851D6&quot;/&gt;&lt;wsp:rsid wsp:val=&quot;00E85474&quot;/&gt;&lt;wsp:rsid wsp:val=&quot;00E857D7&quot;/&gt;&lt;wsp:rsid wsp:val=&quot;00E85B41&quot;/&gt;&lt;wsp:rsid wsp:val=&quot;00E85F55&quot;/&gt;&lt;wsp:rsid wsp:val=&quot;00E85FC7&quot;/&gt;&lt;wsp:rsid wsp:val=&quot;00E86086&quot;/&gt;&lt;wsp:rsid wsp:val=&quot;00E86E29&quot;/&gt;&lt;wsp:rsid wsp:val=&quot;00E8751B&quot;/&gt;&lt;wsp:rsid wsp:val=&quot;00E87611&quot;/&gt;&lt;wsp:rsid wsp:val=&quot;00E87F79&quot;/&gt;&lt;wsp:rsid wsp:val=&quot;00E904CE&quot;/&gt;&lt;wsp:rsid wsp:val=&quot;00E90538&quot;/&gt;&lt;wsp:rsid wsp:val=&quot;00E90753&quot;/&gt;&lt;wsp:rsid wsp:val=&quot;00E91093&quot;/&gt;&lt;wsp:rsid wsp:val=&quot;00E910EC&quot;/&gt;&lt;wsp:rsid wsp:val=&quot;00E91341&quot;/&gt;&lt;wsp:rsid wsp:val=&quot;00E91899&quot;/&gt;&lt;wsp:rsid wsp:val=&quot;00E9205E&quot;/&gt;&lt;wsp:rsid wsp:val=&quot;00E921A2&quot;/&gt;&lt;wsp:rsid wsp:val=&quot;00E924FF&quot;/&gt;&lt;wsp:rsid wsp:val=&quot;00E932F1&quot;/&gt;&lt;wsp:rsid wsp:val=&quot;00E939CA&quot;/&gt;&lt;wsp:rsid wsp:val=&quot;00E93C91&quot;/&gt;&lt;wsp:rsid wsp:val=&quot;00E93F4B&quot;/&gt;&lt;wsp:rsid wsp:val=&quot;00E941EC&quot;/&gt;&lt;wsp:rsid wsp:val=&quot;00E94910&quot;/&gt;&lt;wsp:rsid wsp:val=&quot;00E94B53&quot;/&gt;&lt;wsp:rsid wsp:val=&quot;00E94DCE&quot;/&gt;&lt;wsp:rsid wsp:val=&quot;00E94DFA&quot;/&gt;&lt;wsp:rsid wsp:val=&quot;00E94E86&quot;/&gt;&lt;wsp:rsid wsp:val=&quot;00E9518C&quot;/&gt;&lt;wsp:rsid wsp:val=&quot;00E951C0&quot;/&gt;&lt;wsp:rsid wsp:val=&quot;00E952A0&quot;/&gt;&lt;wsp:rsid wsp:val=&quot;00E95571&quot;/&gt;&lt;wsp:rsid wsp:val=&quot;00E955EA&quot;/&gt;&lt;wsp:rsid wsp:val=&quot;00E960BD&quot;/&gt;&lt;wsp:rsid wsp:val=&quot;00E964D1&quot;/&gt;&lt;wsp:rsid wsp:val=&quot;00E96552&quot;/&gt;&lt;wsp:rsid wsp:val=&quot;00E96B7A&quot;/&gt;&lt;wsp:rsid wsp:val=&quot;00E96F4E&quot;/&gt;&lt;wsp:rsid wsp:val=&quot;00E97B42&quot;/&gt;&lt;wsp:rsid wsp:val=&quot;00E97EB7&quot;/&gt;&lt;wsp:rsid wsp:val=&quot;00EA008A&quot;/&gt;&lt;wsp:rsid wsp:val=&quot;00EA0622&quot;/&gt;&lt;wsp:rsid wsp:val=&quot;00EA0A20&quot;/&gt;&lt;wsp:rsid wsp:val=&quot;00EA0A62&quot;/&gt;&lt;wsp:rsid wsp:val=&quot;00EA0A7C&quot;/&gt;&lt;wsp:rsid wsp:val=&quot;00EA0C0E&quot;/&gt;&lt;wsp:rsid wsp:val=&quot;00EA0FB2&quot;/&gt;&lt;wsp:rsid wsp:val=&quot;00EA11C8&quot;/&gt;&lt;wsp:rsid wsp:val=&quot;00EA1508&quot;/&gt;&lt;wsp:rsid wsp:val=&quot;00EA16F8&quot;/&gt;&lt;wsp:rsid wsp:val=&quot;00EA1920&quot;/&gt;&lt;wsp:rsid wsp:val=&quot;00EA1B80&quot;/&gt;&lt;wsp:rsid wsp:val=&quot;00EA1CCE&quot;/&gt;&lt;wsp:rsid wsp:val=&quot;00EA1D6D&quot;/&gt;&lt;wsp:rsid wsp:val=&quot;00EA1DB9&quot;/&gt;&lt;wsp:rsid wsp:val=&quot;00EA2EED&quot;/&gt;&lt;wsp:rsid wsp:val=&quot;00EA3084&quot;/&gt;&lt;wsp:rsid wsp:val=&quot;00EA3C9C&quot;/&gt;&lt;wsp:rsid wsp:val=&quot;00EA3EAD&quot;/&gt;&lt;wsp:rsid wsp:val=&quot;00EA3ECD&quot;/&gt;&lt;wsp:rsid wsp:val=&quot;00EA46CB&quot;/&gt;&lt;wsp:rsid wsp:val=&quot;00EA4758&quot;/&gt;&lt;wsp:rsid wsp:val=&quot;00EA47F2&quot;/&gt;&lt;wsp:rsid wsp:val=&quot;00EA4A67&quot;/&gt;&lt;wsp:rsid wsp:val=&quot;00EA4D1B&quot;/&gt;&lt;wsp:rsid wsp:val=&quot;00EA4F72&quot;/&gt;&lt;wsp:rsid wsp:val=&quot;00EA53C1&quot;/&gt;&lt;wsp:rsid wsp:val=&quot;00EA57CD&quot;/&gt;&lt;wsp:rsid wsp:val=&quot;00EA5AB4&quot;/&gt;&lt;wsp:rsid wsp:val=&quot;00EA5B0F&quot;/&gt;&lt;wsp:rsid wsp:val=&quot;00EA6801&quot;/&gt;&lt;wsp:rsid wsp:val=&quot;00EA682A&quot;/&gt;&lt;wsp:rsid wsp:val=&quot;00EA72CD&quot;/&gt;&lt;wsp:rsid wsp:val=&quot;00EA740E&quot;/&gt;&lt;wsp:rsid wsp:val=&quot;00EA7C1D&quot;/&gt;&lt;wsp:rsid wsp:val=&quot;00EA7E2B&quot;/&gt;&lt;wsp:rsid wsp:val=&quot;00EB0220&quot;/&gt;&lt;wsp:rsid wsp:val=&quot;00EB03FF&quot;/&gt;&lt;wsp:rsid wsp:val=&quot;00EB048D&quot;/&gt;&lt;wsp:rsid wsp:val=&quot;00EB051C&quot;/&gt;&lt;wsp:rsid wsp:val=&quot;00EB13F2&quot;/&gt;&lt;wsp:rsid wsp:val=&quot;00EB1444&quot;/&gt;&lt;wsp:rsid wsp:val=&quot;00EB1A6B&quot;/&gt;&lt;wsp:rsid wsp:val=&quot;00EB2F23&quot;/&gt;&lt;wsp:rsid wsp:val=&quot;00EB3208&quot;/&gt;&lt;wsp:rsid wsp:val=&quot;00EB3D15&quot;/&gt;&lt;wsp:rsid wsp:val=&quot;00EB3D97&quot;/&gt;&lt;wsp:rsid wsp:val=&quot;00EB42BA&quot;/&gt;&lt;wsp:rsid wsp:val=&quot;00EB434F&quot;/&gt;&lt;wsp:rsid wsp:val=&quot;00EB43DE&quot;/&gt;&lt;wsp:rsid wsp:val=&quot;00EB46C9&quot;/&gt;&lt;wsp:rsid wsp:val=&quot;00EB55FB&quot;/&gt;&lt;wsp:rsid wsp:val=&quot;00EB5B27&quot;/&gt;&lt;wsp:rsid wsp:val=&quot;00EB5CD1&quot;/&gt;&lt;wsp:rsid wsp:val=&quot;00EB5EE6&quot;/&gt;&lt;wsp:rsid wsp:val=&quot;00EB6FD3&quot;/&gt;&lt;wsp:rsid wsp:val=&quot;00EB7AC5&quot;/&gt;&lt;wsp:rsid wsp:val=&quot;00EC03A0&quot;/&gt;&lt;wsp:rsid wsp:val=&quot;00EC042C&quot;/&gt;&lt;wsp:rsid wsp:val=&quot;00EC05FB&quot;/&gt;&lt;wsp:rsid wsp:val=&quot;00EC09D2&quot;/&gt;&lt;wsp:rsid wsp:val=&quot;00EC0BB0&quot;/&gt;&lt;wsp:rsid wsp:val=&quot;00EC0D7E&quot;/&gt;&lt;wsp:rsid wsp:val=&quot;00EC0F4A&quot;/&gt;&lt;wsp:rsid wsp:val=&quot;00EC166D&quot;/&gt;&lt;wsp:rsid wsp:val=&quot;00EC1C8B&quot;/&gt;&lt;wsp:rsid wsp:val=&quot;00EC2080&quot;/&gt;&lt;wsp:rsid wsp:val=&quot;00EC209C&quot;/&gt;&lt;wsp:rsid wsp:val=&quot;00EC20D6&quot;/&gt;&lt;wsp:rsid wsp:val=&quot;00EC226E&quot;/&gt;&lt;wsp:rsid wsp:val=&quot;00EC2273&quot;/&gt;&lt;wsp:rsid wsp:val=&quot;00EC24D4&quot;/&gt;&lt;wsp:rsid wsp:val=&quot;00EC254D&quot;/&gt;&lt;wsp:rsid wsp:val=&quot;00EC25D1&quot;/&gt;&lt;wsp:rsid wsp:val=&quot;00EC26F3&quot;/&gt;&lt;wsp:rsid wsp:val=&quot;00EC28C1&quot;/&gt;&lt;wsp:rsid wsp:val=&quot;00EC2B08&quot;/&gt;&lt;wsp:rsid wsp:val=&quot;00EC2B9B&quot;/&gt;&lt;wsp:rsid wsp:val=&quot;00EC2D59&quot;/&gt;&lt;wsp:rsid wsp:val=&quot;00EC2FC8&quot;/&gt;&lt;wsp:rsid wsp:val=&quot;00EC2FF7&quot;/&gt;&lt;wsp:rsid wsp:val=&quot;00EC35E1&quot;/&gt;&lt;wsp:rsid wsp:val=&quot;00EC3CA8&quot;/&gt;&lt;wsp:rsid wsp:val=&quot;00EC3CC4&quot;/&gt;&lt;wsp:rsid wsp:val=&quot;00EC3EC4&quot;/&gt;&lt;wsp:rsid wsp:val=&quot;00EC41DD&quot;/&gt;&lt;wsp:rsid wsp:val=&quot;00EC4332&quot;/&gt;&lt;wsp:rsid wsp:val=&quot;00EC43A5&quot;/&gt;&lt;wsp:rsid wsp:val=&quot;00EC43C6&quot;/&gt;&lt;wsp:rsid wsp:val=&quot;00EC453F&quot;/&gt;&lt;wsp:rsid wsp:val=&quot;00EC4945&quot;/&gt;&lt;wsp:rsid wsp:val=&quot;00EC4BB0&quot;/&gt;&lt;wsp:rsid wsp:val=&quot;00EC4C52&quot;/&gt;&lt;wsp:rsid wsp:val=&quot;00EC4D27&quot;/&gt;&lt;wsp:rsid wsp:val=&quot;00EC4F43&quot;/&gt;&lt;wsp:rsid wsp:val=&quot;00EC5044&quot;/&gt;&lt;wsp:rsid wsp:val=&quot;00EC5293&quot;/&gt;&lt;wsp:rsid wsp:val=&quot;00EC52D4&quot;/&gt;&lt;wsp:rsid wsp:val=&quot;00EC53D6&quot;/&gt;&lt;wsp:rsid wsp:val=&quot;00EC5570&quot;/&gt;&lt;wsp:rsid wsp:val=&quot;00EC5578&quot;/&gt;&lt;wsp:rsid wsp:val=&quot;00EC56B2&quot;/&gt;&lt;wsp:rsid wsp:val=&quot;00EC61BB&quot;/&gt;&lt;wsp:rsid wsp:val=&quot;00EC63AA&quot;/&gt;&lt;wsp:rsid wsp:val=&quot;00EC6858&quot;/&gt;&lt;wsp:rsid wsp:val=&quot;00EC7E56&quot;/&gt;&lt;wsp:rsid wsp:val=&quot;00ED047E&quot;/&gt;&lt;wsp:rsid wsp:val=&quot;00ED0561&quot;/&gt;&lt;wsp:rsid wsp:val=&quot;00ED0BA1&quot;/&gt;&lt;wsp:rsid wsp:val=&quot;00ED0BD8&quot;/&gt;&lt;wsp:rsid wsp:val=&quot;00ED1468&quot;/&gt;&lt;wsp:rsid wsp:val=&quot;00ED166F&quot;/&gt;&lt;wsp:rsid wsp:val=&quot;00ED17B3&quot;/&gt;&lt;wsp:rsid wsp:val=&quot;00ED1C2A&quot;/&gt;&lt;wsp:rsid wsp:val=&quot;00ED21DA&quot;/&gt;&lt;wsp:rsid wsp:val=&quot;00ED2269&quot;/&gt;&lt;wsp:rsid wsp:val=&quot;00ED2590&quot;/&gt;&lt;wsp:rsid wsp:val=&quot;00ED2734&quot;/&gt;&lt;wsp:rsid wsp:val=&quot;00ED2921&quot;/&gt;&lt;wsp:rsid wsp:val=&quot;00ED3167&quot;/&gt;&lt;wsp:rsid wsp:val=&quot;00ED35D4&quot;/&gt;&lt;wsp:rsid wsp:val=&quot;00ED3625&quot;/&gt;&lt;wsp:rsid wsp:val=&quot;00ED3641&quot;/&gt;&lt;wsp:rsid wsp:val=&quot;00ED3669&quot;/&gt;&lt;wsp:rsid wsp:val=&quot;00ED3815&quot;/&gt;&lt;wsp:rsid wsp:val=&quot;00ED3855&quot;/&gt;&lt;wsp:rsid wsp:val=&quot;00ED3DD5&quot;/&gt;&lt;wsp:rsid wsp:val=&quot;00ED4170&quot;/&gt;&lt;wsp:rsid wsp:val=&quot;00ED4A85&quot;/&gt;&lt;wsp:rsid wsp:val=&quot;00ED4C0F&quot;/&gt;&lt;wsp:rsid wsp:val=&quot;00ED4DF4&quot;/&gt;&lt;wsp:rsid wsp:val=&quot;00ED51D0&quot;/&gt;&lt;wsp:rsid wsp:val=&quot;00ED52CD&quot;/&gt;&lt;wsp:rsid wsp:val=&quot;00ED6325&quot;/&gt;&lt;wsp:rsid wsp:val=&quot;00ED6DD9&quot;/&gt;&lt;wsp:rsid wsp:val=&quot;00ED6DFA&quot;/&gt;&lt;wsp:rsid wsp:val=&quot;00ED7202&quot;/&gt;&lt;wsp:rsid wsp:val=&quot;00ED7278&quot;/&gt;&lt;wsp:rsid wsp:val=&quot;00ED77C7&quot;/&gt;&lt;wsp:rsid wsp:val=&quot;00ED79A5&quot;/&gt;&lt;wsp:rsid wsp:val=&quot;00ED79B9&quot;/&gt;&lt;wsp:rsid wsp:val=&quot;00ED7CE8&quot;/&gt;&lt;wsp:rsid wsp:val=&quot;00EE0012&quot;/&gt;&lt;wsp:rsid wsp:val=&quot;00EE0289&quot;/&gt;&lt;wsp:rsid wsp:val=&quot;00EE0771&quot;/&gt;&lt;wsp:rsid wsp:val=&quot;00EE0B99&quot;/&gt;&lt;wsp:rsid wsp:val=&quot;00EE1305&quot;/&gt;&lt;wsp:rsid wsp:val=&quot;00EE1534&quot;/&gt;&lt;wsp:rsid wsp:val=&quot;00EE170F&quot;/&gt;&lt;wsp:rsid wsp:val=&quot;00EE22B5&quot;/&gt;&lt;wsp:rsid wsp:val=&quot;00EE2F95&quot;/&gt;&lt;wsp:rsid wsp:val=&quot;00EE42B5&quot;/&gt;&lt;wsp:rsid wsp:val=&quot;00EE4B84&quot;/&gt;&lt;wsp:rsid wsp:val=&quot;00EE5377&quot;/&gt;&lt;wsp:rsid wsp:val=&quot;00EE54C8&quot;/&gt;&lt;wsp:rsid wsp:val=&quot;00EE560E&quot;/&gt;&lt;wsp:rsid wsp:val=&quot;00EE57F7&quot;/&gt;&lt;wsp:rsid wsp:val=&quot;00EE5ADB&quot;/&gt;&lt;wsp:rsid wsp:val=&quot;00EE5B70&quot;/&gt;&lt;wsp:rsid wsp:val=&quot;00EE5CA9&quot;/&gt;&lt;wsp:rsid wsp:val=&quot;00EE5D08&quot;/&gt;&lt;wsp:rsid wsp:val=&quot;00EE5E7A&quot;/&gt;&lt;wsp:rsid wsp:val=&quot;00EE6247&quot;/&gt;&lt;wsp:rsid wsp:val=&quot;00EE66E8&quot;/&gt;&lt;wsp:rsid wsp:val=&quot;00EE6794&quot;/&gt;&lt;wsp:rsid wsp:val=&quot;00EE6F09&quot;/&gt;&lt;wsp:rsid wsp:val=&quot;00EE703F&quot;/&gt;&lt;wsp:rsid wsp:val=&quot;00EE769A&quot;/&gt;&lt;wsp:rsid wsp:val=&quot;00EE7A07&quot;/&gt;&lt;wsp:rsid wsp:val=&quot;00EE7A8A&quot;/&gt;&lt;wsp:rsid wsp:val=&quot;00EE7B58&quot;/&gt;&lt;wsp:rsid wsp:val=&quot;00EE7C58&quot;/&gt;&lt;wsp:rsid wsp:val=&quot;00EE7D33&quot;/&gt;&lt;wsp:rsid wsp:val=&quot;00EF009B&quot;/&gt;&lt;wsp:rsid wsp:val=&quot;00EF05CB&quot;/&gt;&lt;wsp:rsid wsp:val=&quot;00EF0A27&quot;/&gt;&lt;wsp:rsid wsp:val=&quot;00EF0C5F&quot;/&gt;&lt;wsp:rsid wsp:val=&quot;00EF12B0&quot;/&gt;&lt;wsp:rsid wsp:val=&quot;00EF1519&quot;/&gt;&lt;wsp:rsid wsp:val=&quot;00EF1B12&quot;/&gt;&lt;wsp:rsid wsp:val=&quot;00EF22E0&quot;/&gt;&lt;wsp:rsid wsp:val=&quot;00EF2300&quot;/&gt;&lt;wsp:rsid wsp:val=&quot;00EF234D&quot;/&gt;&lt;wsp:rsid wsp:val=&quot;00EF2557&quot;/&gt;&lt;wsp:rsid wsp:val=&quot;00EF2C3F&quot;/&gt;&lt;wsp:rsid wsp:val=&quot;00EF30CB&quot;/&gt;&lt;wsp:rsid wsp:val=&quot;00EF3151&quot;/&gt;&lt;wsp:rsid wsp:val=&quot;00EF3173&quot;/&gt;&lt;wsp:rsid wsp:val=&quot;00EF331D&quot;/&gt;&lt;wsp:rsid wsp:val=&quot;00EF3355&quot;/&gt;&lt;wsp:rsid wsp:val=&quot;00EF3521&quot;/&gt;&lt;wsp:rsid wsp:val=&quot;00EF3AD9&quot;/&gt;&lt;wsp:rsid wsp:val=&quot;00EF3CC0&quot;/&gt;&lt;wsp:rsid wsp:val=&quot;00EF3D69&quot;/&gt;&lt;wsp:rsid wsp:val=&quot;00EF3E7F&quot;/&gt;&lt;wsp:rsid wsp:val=&quot;00EF3EE3&quot;/&gt;&lt;wsp:rsid wsp:val=&quot;00EF40AE&quot;/&gt;&lt;wsp:rsid wsp:val=&quot;00EF4228&quot;/&gt;&lt;wsp:rsid wsp:val=&quot;00EF4415&quot;/&gt;&lt;wsp:rsid wsp:val=&quot;00EF4AD3&quot;/&gt;&lt;wsp:rsid wsp:val=&quot;00EF4C3A&quot;/&gt;&lt;wsp:rsid wsp:val=&quot;00EF5180&quot;/&gt;&lt;wsp:rsid wsp:val=&quot;00EF5299&quot;/&gt;&lt;wsp:rsid wsp:val=&quot;00EF541D&quot;/&gt;&lt;wsp:rsid wsp:val=&quot;00EF5422&quot;/&gt;&lt;wsp:rsid wsp:val=&quot;00EF55FC&quot;/&gt;&lt;wsp:rsid wsp:val=&quot;00EF5804&quot;/&gt;&lt;wsp:rsid wsp:val=&quot;00EF59F0&quot;/&gt;&lt;wsp:rsid wsp:val=&quot;00EF5ECB&quot;/&gt;&lt;wsp:rsid wsp:val=&quot;00EF60E3&quot;/&gt;&lt;wsp:rsid wsp:val=&quot;00EF65E7&quot;/&gt;&lt;wsp:rsid wsp:val=&quot;00EF673E&quot;/&gt;&lt;wsp:rsid wsp:val=&quot;00EF678C&quot;/&gt;&lt;wsp:rsid wsp:val=&quot;00EF6B9A&quot;/&gt;&lt;wsp:rsid wsp:val=&quot;00EF70AF&quot;/&gt;&lt;wsp:rsid wsp:val=&quot;00EF7734&quot;/&gt;&lt;wsp:rsid wsp:val=&quot;00EF7A85&quot;/&gt;&lt;wsp:rsid wsp:val=&quot;00EF7DA7&quot;/&gt;&lt;wsp:rsid wsp:val=&quot;00EF7F6D&quot;/&gt;&lt;wsp:rsid wsp:val=&quot;00F0035F&quot;/&gt;&lt;wsp:rsid wsp:val=&quot;00F004A9&quot;/&gt;&lt;wsp:rsid wsp:val=&quot;00F0088E&quot;/&gt;&lt;wsp:rsid wsp:val=&quot;00F00996&quot;/&gt;&lt;wsp:rsid wsp:val=&quot;00F00F21&quot;/&gt;&lt;wsp:rsid wsp:val=&quot;00F0144B&quot;/&gt;&lt;wsp:rsid wsp:val=&quot;00F01C83&quot;/&gt;&lt;wsp:rsid wsp:val=&quot;00F01DFC&quot;/&gt;&lt;wsp:rsid wsp:val=&quot;00F01FD5&quot;/&gt;&lt;wsp:rsid wsp:val=&quot;00F02358&quot;/&gt;&lt;wsp:rsid wsp:val=&quot;00F02432&quot;/&gt;&lt;wsp:rsid wsp:val=&quot;00F02483&quot;/&gt;&lt;wsp:rsid wsp:val=&quot;00F025F2&quot;/&gt;&lt;wsp:rsid wsp:val=&quot;00F026D8&quot;/&gt;&lt;wsp:rsid wsp:val=&quot;00F02774&quot;/&gt;&lt;wsp:rsid wsp:val=&quot;00F027A9&quot;/&gt;&lt;wsp:rsid wsp:val=&quot;00F0286E&quot;/&gt;&lt;wsp:rsid wsp:val=&quot;00F02B1B&quot;/&gt;&lt;wsp:rsid wsp:val=&quot;00F02DD4&quot;/&gt;&lt;wsp:rsid wsp:val=&quot;00F02DEE&quot;/&gt;&lt;wsp:rsid wsp:val=&quot;00F0359C&quot;/&gt;&lt;wsp:rsid wsp:val=&quot;00F03916&quot;/&gt;&lt;wsp:rsid wsp:val=&quot;00F03B59&quot;/&gt;&lt;wsp:rsid wsp:val=&quot;00F045D3&quot;/&gt;&lt;wsp:rsid wsp:val=&quot;00F049A0&quot;/&gt;&lt;wsp:rsid wsp:val=&quot;00F04A75&quot;/&gt;&lt;wsp:rsid wsp:val=&quot;00F04BDD&quot;/&gt;&lt;wsp:rsid wsp:val=&quot;00F04E08&quot;/&gt;&lt;wsp:rsid wsp:val=&quot;00F054BD&quot;/&gt;&lt;wsp:rsid wsp:val=&quot;00F057FE&quot;/&gt;&lt;wsp:rsid wsp:val=&quot;00F05D3A&quot;/&gt;&lt;wsp:rsid wsp:val=&quot;00F05E2B&quot;/&gt;&lt;wsp:rsid wsp:val=&quot;00F06E64&quot;/&gt;&lt;wsp:rsid wsp:val=&quot;00F0727B&quot;/&gt;&lt;wsp:rsid wsp:val=&quot;00F074A9&quot;/&gt;&lt;wsp:rsid wsp:val=&quot;00F0755B&quot;/&gt;&lt;wsp:rsid wsp:val=&quot;00F07834&quot;/&gt;&lt;wsp:rsid wsp:val=&quot;00F07C3E&quot;/&gt;&lt;wsp:rsid wsp:val=&quot;00F07F57&quot;/&gt;&lt;wsp:rsid wsp:val=&quot;00F10726&quot;/&gt;&lt;wsp:rsid wsp:val=&quot;00F109A9&quot;/&gt;&lt;wsp:rsid wsp:val=&quot;00F11004&quot;/&gt;&lt;wsp:rsid wsp:val=&quot;00F1123F&quot;/&gt;&lt;wsp:rsid wsp:val=&quot;00F11260&quot;/&gt;&lt;wsp:rsid wsp:val=&quot;00F1126B&quot;/&gt;&lt;wsp:rsid wsp:val=&quot;00F11280&quot;/&gt;&lt;wsp:rsid wsp:val=&quot;00F11782&quot;/&gt;&lt;wsp:rsid wsp:val=&quot;00F11AA8&quot;/&gt;&lt;wsp:rsid wsp:val=&quot;00F11F8D&quot;/&gt;&lt;wsp:rsid wsp:val=&quot;00F12000&quot;/&gt;&lt;wsp:rsid wsp:val=&quot;00F1226F&quot;/&gt;&lt;wsp:rsid wsp:val=&quot;00F1245B&quot;/&gt;&lt;wsp:rsid wsp:val=&quot;00F12540&quot;/&gt;&lt;wsp:rsid wsp:val=&quot;00F1290E&quot;/&gt;&lt;wsp:rsid wsp:val=&quot;00F12BF6&quot;/&gt;&lt;wsp:rsid wsp:val=&quot;00F12F98&quot;/&gt;&lt;wsp:rsid wsp:val=&quot;00F13075&quot;/&gt;&lt;wsp:rsid wsp:val=&quot;00F132A2&quot;/&gt;&lt;wsp:rsid wsp:val=&quot;00F134AF&quot;/&gt;&lt;wsp:rsid wsp:val=&quot;00F13608&quot;/&gt;&lt;wsp:rsid wsp:val=&quot;00F13713&quot;/&gt;&lt;wsp:rsid wsp:val=&quot;00F13AB4&quot;/&gt;&lt;wsp:rsid wsp:val=&quot;00F13C47&quot;/&gt;&lt;wsp:rsid wsp:val=&quot;00F13DB9&quot;/&gt;&lt;wsp:rsid wsp:val=&quot;00F1491B&quot;/&gt;&lt;wsp:rsid wsp:val=&quot;00F14BE6&quot;/&gt;&lt;wsp:rsid wsp:val=&quot;00F153D9&quot;/&gt;&lt;wsp:rsid wsp:val=&quot;00F1544B&quot;/&gt;&lt;wsp:rsid wsp:val=&quot;00F15C05&quot;/&gt;&lt;wsp:rsid wsp:val=&quot;00F15C95&quot;/&gt;&lt;wsp:rsid wsp:val=&quot;00F15D94&quot;/&gt;&lt;wsp:rsid wsp:val=&quot;00F162B0&quot;/&gt;&lt;wsp:rsid wsp:val=&quot;00F16509&quot;/&gt;&lt;wsp:rsid wsp:val=&quot;00F165E8&quot;/&gt;&lt;wsp:rsid wsp:val=&quot;00F16982&quot;/&gt;&lt;wsp:rsid wsp:val=&quot;00F16BBE&quot;/&gt;&lt;wsp:rsid wsp:val=&quot;00F16BE5&quot;/&gt;&lt;wsp:rsid wsp:val=&quot;00F16E3B&quot;/&gt;&lt;wsp:rsid wsp:val=&quot;00F16EBC&quot;/&gt;&lt;wsp:rsid wsp:val=&quot;00F171E9&quot;/&gt;&lt;wsp:rsid wsp:val=&quot;00F17511&quot;/&gt;&lt;wsp:rsid wsp:val=&quot;00F17CED&quot;/&gt;&lt;wsp:rsid wsp:val=&quot;00F20399&quot;/&gt;&lt;wsp:rsid wsp:val=&quot;00F20586&quot;/&gt;&lt;wsp:rsid wsp:val=&quot;00F2069C&quot;/&gt;&lt;wsp:rsid wsp:val=&quot;00F20991&quot;/&gt;&lt;wsp:rsid wsp:val=&quot;00F209DC&quot;/&gt;&lt;wsp:rsid wsp:val=&quot;00F20B5D&quot;/&gt;&lt;wsp:rsid wsp:val=&quot;00F2119F&quot;/&gt;&lt;wsp:rsid wsp:val=&quot;00F214C8&quot;/&gt;&lt;wsp:rsid wsp:val=&quot;00F217BB&quot;/&gt;&lt;wsp:rsid wsp:val=&quot;00F21BB3&quot;/&gt;&lt;wsp:rsid wsp:val=&quot;00F220BD&quot;/&gt;&lt;wsp:rsid wsp:val=&quot;00F22245&quot;/&gt;&lt;wsp:rsid wsp:val=&quot;00F22432&quot;/&gt;&lt;wsp:rsid wsp:val=&quot;00F22D42&quot;/&gt;&lt;wsp:rsid wsp:val=&quot;00F22D63&quot;/&gt;&lt;wsp:rsid wsp:val=&quot;00F23926&quot;/&gt;&lt;wsp:rsid wsp:val=&quot;00F23988&quot;/&gt;&lt;wsp:rsid wsp:val=&quot;00F239DB&quot;/&gt;&lt;wsp:rsid wsp:val=&quot;00F248B6&quot;/&gt;&lt;wsp:rsid wsp:val=&quot;00F25BA1&quot;/&gt;&lt;wsp:rsid wsp:val=&quot;00F25F4F&quot;/&gt;&lt;wsp:rsid wsp:val=&quot;00F25F66&quot;/&gt;&lt;wsp:rsid wsp:val=&quot;00F26186&quot;/&gt;&lt;wsp:rsid wsp:val=&quot;00F26946&quot;/&gt;&lt;wsp:rsid wsp:val=&quot;00F2697D&quot;/&gt;&lt;wsp:rsid wsp:val=&quot;00F26E0B&quot;/&gt;&lt;wsp:rsid wsp:val=&quot;00F26FC9&quot;/&gt;&lt;wsp:rsid wsp:val=&quot;00F270EB&quot;/&gt;&lt;wsp:rsid wsp:val=&quot;00F276A7&quot;/&gt;&lt;wsp:rsid wsp:val=&quot;00F27FFC&quot;/&gt;&lt;wsp:rsid wsp:val=&quot;00F306BB&quot;/&gt;&lt;wsp:rsid wsp:val=&quot;00F30864&quot;/&gt;&lt;wsp:rsid wsp:val=&quot;00F30DB2&quot;/&gt;&lt;wsp:rsid wsp:val=&quot;00F30E0A&quot;/&gt;&lt;wsp:rsid wsp:val=&quot;00F30E1F&quot;/&gt;&lt;wsp:rsid wsp:val=&quot;00F30E53&quot;/&gt;&lt;wsp:rsid wsp:val=&quot;00F30ECA&quot;/&gt;&lt;wsp:rsid wsp:val=&quot;00F30F2F&quot;/&gt;&lt;wsp:rsid wsp:val=&quot;00F3114F&quot;/&gt;&lt;wsp:rsid wsp:val=&quot;00F31374&quot;/&gt;&lt;wsp:rsid wsp:val=&quot;00F31531&quot;/&gt;&lt;wsp:rsid wsp:val=&quot;00F315FD&quot;/&gt;&lt;wsp:rsid wsp:val=&quot;00F32CC9&quot;/&gt;&lt;wsp:rsid wsp:val=&quot;00F32D06&quot;/&gt;&lt;wsp:rsid wsp:val=&quot;00F32F61&quot;/&gt;&lt;wsp:rsid wsp:val=&quot;00F3306C&quot;/&gt;&lt;wsp:rsid wsp:val=&quot;00F330A7&quot;/&gt;&lt;wsp:rsid wsp:val=&quot;00F332C8&quot;/&gt;&lt;wsp:rsid wsp:val=&quot;00F334E2&quot;/&gt;&lt;wsp:rsid wsp:val=&quot;00F33D91&quot;/&gt;&lt;wsp:rsid wsp:val=&quot;00F3452C&quot;/&gt;&lt;wsp:rsid wsp:val=&quot;00F34EFB&quot;/&gt;&lt;wsp:rsid wsp:val=&quot;00F34F7B&quot;/&gt;&lt;wsp:rsid wsp:val=&quot;00F3510B&quot;/&gt;&lt;wsp:rsid wsp:val=&quot;00F35798&quot;/&gt;&lt;wsp:rsid wsp:val=&quot;00F36084&quot;/&gt;&lt;wsp:rsid wsp:val=&quot;00F36644&quot;/&gt;&lt;wsp:rsid wsp:val=&quot;00F3720A&quot;/&gt;&lt;wsp:rsid wsp:val=&quot;00F3737B&quot;/&gt;&lt;wsp:rsid wsp:val=&quot;00F3746E&quot;/&gt;&lt;wsp:rsid wsp:val=&quot;00F378D0&quot;/&gt;&lt;wsp:rsid wsp:val=&quot;00F4014F&quot;/&gt;&lt;wsp:rsid wsp:val=&quot;00F40169&quot;/&gt;&lt;wsp:rsid wsp:val=&quot;00F40E08&quot;/&gt;&lt;wsp:rsid wsp:val=&quot;00F40E6C&quot;/&gt;&lt;wsp:rsid wsp:val=&quot;00F41130&quot;/&gt;&lt;wsp:rsid wsp:val=&quot;00F41547&quot;/&gt;&lt;wsp:rsid wsp:val=&quot;00F41755&quot;/&gt;&lt;wsp:rsid wsp:val=&quot;00F41C49&quot;/&gt;&lt;wsp:rsid wsp:val=&quot;00F42189&quot;/&gt;&lt;wsp:rsid wsp:val=&quot;00F4257D&quot;/&gt;&lt;wsp:rsid wsp:val=&quot;00F425C6&quot;/&gt;&lt;wsp:rsid wsp:val=&quot;00F42938&quot;/&gt;&lt;wsp:rsid wsp:val=&quot;00F429A0&quot;/&gt;&lt;wsp:rsid wsp:val=&quot;00F42A33&quot;/&gt;&lt;wsp:rsid wsp:val=&quot;00F42D66&quot;/&gt;&lt;wsp:rsid wsp:val=&quot;00F4309F&quot;/&gt;&lt;wsp:rsid wsp:val=&quot;00F43281&quot;/&gt;&lt;wsp:rsid wsp:val=&quot;00F4349A&quot;/&gt;&lt;wsp:rsid wsp:val=&quot;00F435B7&quot;/&gt;&lt;wsp:rsid wsp:val=&quot;00F43749&quot;/&gt;&lt;wsp:rsid wsp:val=&quot;00F43B29&quot;/&gt;&lt;wsp:rsid wsp:val=&quot;00F44116&quot;/&gt;&lt;wsp:rsid wsp:val=&quot;00F4420F&quot;/&gt;&lt;wsp:rsid wsp:val=&quot;00F44464&quot;/&gt;&lt;wsp:rsid wsp:val=&quot;00F45A2D&quot;/&gt;&lt;wsp:rsid wsp:val=&quot;00F45B5C&quot;/&gt;&lt;wsp:rsid wsp:val=&quot;00F45E2F&quot;/&gt;&lt;wsp:rsid wsp:val=&quot;00F4666B&quot;/&gt;&lt;wsp:rsid wsp:val=&quot;00F468B3&quot;/&gt;&lt;wsp:rsid wsp:val=&quot;00F46947&quot;/&gt;&lt;wsp:rsid wsp:val=&quot;00F46BBC&quot;/&gt;&lt;wsp:rsid wsp:val=&quot;00F47164&quot;/&gt;&lt;wsp:rsid wsp:val=&quot;00F47605&quot;/&gt;&lt;wsp:rsid wsp:val=&quot;00F4791C&quot;/&gt;&lt;wsp:rsid wsp:val=&quot;00F50B49&quot;/&gt;&lt;wsp:rsid wsp:val=&quot;00F50BFE&quot;/&gt;&lt;wsp:rsid wsp:val=&quot;00F50CB7&quot;/&gt;&lt;wsp:rsid wsp:val=&quot;00F50D52&quot;/&gt;&lt;wsp:rsid wsp:val=&quot;00F50E3D&quot;/&gt;&lt;wsp:rsid wsp:val=&quot;00F510DF&quot;/&gt;&lt;wsp:rsid wsp:val=&quot;00F5130C&quot;/&gt;&lt;wsp:rsid wsp:val=&quot;00F515BE&quot;/&gt;&lt;wsp:rsid wsp:val=&quot;00F51774&quot;/&gt;&lt;wsp:rsid wsp:val=&quot;00F51AE6&quot;/&gt;&lt;wsp:rsid wsp:val=&quot;00F51CB1&quot;/&gt;&lt;wsp:rsid wsp:val=&quot;00F51E79&quot;/&gt;&lt;wsp:rsid wsp:val=&quot;00F51FFA&quot;/&gt;&lt;wsp:rsid wsp:val=&quot;00F52361&quot;/&gt;&lt;wsp:rsid wsp:val=&quot;00F524A7&quot;/&gt;&lt;wsp:rsid wsp:val=&quot;00F533D1&quot;/&gt;&lt;wsp:rsid wsp:val=&quot;00F534D4&quot;/&gt;&lt;wsp:rsid wsp:val=&quot;00F53523&quot;/&gt;&lt;wsp:rsid wsp:val=&quot;00F535F4&quot;/&gt;&lt;wsp:rsid wsp:val=&quot;00F53D3A&quot;/&gt;&lt;wsp:rsid wsp:val=&quot;00F53DD9&quot;/&gt;&lt;wsp:rsid wsp:val=&quot;00F54446&quot;/&gt;&lt;wsp:rsid wsp:val=&quot;00F5463A&quot;/&gt;&lt;wsp:rsid wsp:val=&quot;00F549C9&quot;/&gt;&lt;wsp:rsid wsp:val=&quot;00F54D7E&quot;/&gt;&lt;wsp:rsid wsp:val=&quot;00F54EF2&quot;/&gt;&lt;wsp:rsid wsp:val=&quot;00F553A0&quot;/&gt;&lt;wsp:rsid wsp:val=&quot;00F553F3&quot;/&gt;&lt;wsp:rsid wsp:val=&quot;00F55717&quot;/&gt;&lt;wsp:rsid wsp:val=&quot;00F557A0&quot;/&gt;&lt;wsp:rsid wsp:val=&quot;00F55827&quot;/&gt;&lt;wsp:rsid wsp:val=&quot;00F559F1&quot;/&gt;&lt;wsp:rsid wsp:val=&quot;00F55C4B&quot;/&gt;&lt;wsp:rsid wsp:val=&quot;00F56030&quot;/&gt;&lt;wsp:rsid wsp:val=&quot;00F56198&quot;/&gt;&lt;wsp:rsid wsp:val=&quot;00F56346&quot;/&gt;&lt;wsp:rsid wsp:val=&quot;00F56A8D&quot;/&gt;&lt;wsp:rsid wsp:val=&quot;00F56D1D&quot;/&gt;&lt;wsp:rsid wsp:val=&quot;00F56D8D&quot;/&gt;&lt;wsp:rsid wsp:val=&quot;00F56F57&quot;/&gt;&lt;wsp:rsid wsp:val=&quot;00F57A19&quot;/&gt;&lt;wsp:rsid wsp:val=&quot;00F57AD3&quot;/&gt;&lt;wsp:rsid wsp:val=&quot;00F57DBF&quot;/&gt;&lt;wsp:rsid wsp:val=&quot;00F60254&quot;/&gt;&lt;wsp:rsid wsp:val=&quot;00F60780&quot;/&gt;&lt;wsp:rsid wsp:val=&quot;00F610E2&quot;/&gt;&lt;wsp:rsid wsp:val=&quot;00F611C7&quot;/&gt;&lt;wsp:rsid wsp:val=&quot;00F61226&quot;/&gt;&lt;wsp:rsid wsp:val=&quot;00F614D7&quot;/&gt;&lt;wsp:rsid wsp:val=&quot;00F61649&quot;/&gt;&lt;wsp:rsid wsp:val=&quot;00F6170F&quot;/&gt;&lt;wsp:rsid wsp:val=&quot;00F61B5A&quot;/&gt;&lt;wsp:rsid wsp:val=&quot;00F61EF1&quot;/&gt;&lt;wsp:rsid wsp:val=&quot;00F6263C&quot;/&gt;&lt;wsp:rsid wsp:val=&quot;00F62D8E&quot;/&gt;&lt;wsp:rsid wsp:val=&quot;00F6324B&quot;/&gt;&lt;wsp:rsid wsp:val=&quot;00F632CF&quot;/&gt;&lt;wsp:rsid wsp:val=&quot;00F633DF&quot;/&gt;&lt;wsp:rsid wsp:val=&quot;00F635EB&quot;/&gt;&lt;wsp:rsid wsp:val=&quot;00F636D8&quot;/&gt;&lt;wsp:rsid wsp:val=&quot;00F63B09&quot;/&gt;&lt;wsp:rsid wsp:val=&quot;00F63CD5&quot;/&gt;&lt;wsp:rsid wsp:val=&quot;00F63D5A&quot;/&gt;&lt;wsp:rsid wsp:val=&quot;00F63D6F&quot;/&gt;&lt;wsp:rsid wsp:val=&quot;00F63EE9&quot;/&gt;&lt;wsp:rsid wsp:val=&quot;00F64154&quot;/&gt;&lt;wsp:rsid wsp:val=&quot;00F64265&quot;/&gt;&lt;wsp:rsid wsp:val=&quot;00F64337&quot;/&gt;&lt;wsp:rsid wsp:val=&quot;00F64483&quot;/&gt;&lt;wsp:rsid wsp:val=&quot;00F6553F&quot;/&gt;&lt;wsp:rsid wsp:val=&quot;00F6560A&quot;/&gt;&lt;wsp:rsid wsp:val=&quot;00F65768&quot;/&gt;&lt;wsp:rsid wsp:val=&quot;00F65908&quot;/&gt;&lt;wsp:rsid wsp:val=&quot;00F65A7E&quot;/&gt;&lt;wsp:rsid wsp:val=&quot;00F66318&quot;/&gt;&lt;wsp:rsid wsp:val=&quot;00F66610&quot;/&gt;&lt;wsp:rsid wsp:val=&quot;00F66707&quot;/&gt;&lt;wsp:rsid wsp:val=&quot;00F66708&quot;/&gt;&lt;wsp:rsid wsp:val=&quot;00F66F00&quot;/&gt;&lt;wsp:rsid wsp:val=&quot;00F66FAB&quot;/&gt;&lt;wsp:rsid wsp:val=&quot;00F67415&quot;/&gt;&lt;wsp:rsid wsp:val=&quot;00F6753F&quot;/&gt;&lt;wsp:rsid wsp:val=&quot;00F67AC2&quot;/&gt;&lt;wsp:rsid wsp:val=&quot;00F67CB4&quot;/&gt;&lt;wsp:rsid wsp:val=&quot;00F67CEB&quot;/&gt;&lt;wsp:rsid wsp:val=&quot;00F67D22&quot;/&gt;&lt;wsp:rsid wsp:val=&quot;00F67FFB&quot;/&gt;&lt;wsp:rsid wsp:val=&quot;00F70430&quot;/&gt;&lt;wsp:rsid wsp:val=&quot;00F706B8&quot;/&gt;&lt;wsp:rsid wsp:val=&quot;00F7081B&quot;/&gt;&lt;wsp:rsid wsp:val=&quot;00F70F04&quot;/&gt;&lt;wsp:rsid wsp:val=&quot;00F710CE&quot;/&gt;&lt;wsp:rsid wsp:val=&quot;00F71249&quot;/&gt;&lt;wsp:rsid wsp:val=&quot;00F715F9&quot;/&gt;&lt;wsp:rsid wsp:val=&quot;00F71C31&quot;/&gt;&lt;wsp:rsid wsp:val=&quot;00F71D0F&quot;/&gt;&lt;wsp:rsid wsp:val=&quot;00F7207F&quot;/&gt;&lt;wsp:rsid wsp:val=&quot;00F72142&quot;/&gt;&lt;wsp:rsid wsp:val=&quot;00F72156&quot;/&gt;&lt;wsp:rsid wsp:val=&quot;00F72FB8&quot;/&gt;&lt;wsp:rsid wsp:val=&quot;00F73302&quot;/&gt;&lt;wsp:rsid wsp:val=&quot;00F7366E&quot;/&gt;&lt;wsp:rsid wsp:val=&quot;00F738C0&quot;/&gt;&lt;wsp:rsid wsp:val=&quot;00F74BDB&quot;/&gt;&lt;wsp:rsid wsp:val=&quot;00F74DA1&quot;/&gt;&lt;wsp:rsid wsp:val=&quot;00F74FBC&quot;/&gt;&lt;wsp:rsid wsp:val=&quot;00F75343&quot;/&gt;&lt;wsp:rsid wsp:val=&quot;00F75733&quot;/&gt;&lt;wsp:rsid wsp:val=&quot;00F75983&quot;/&gt;&lt;wsp:rsid wsp:val=&quot;00F75995&quot;/&gt;&lt;wsp:rsid wsp:val=&quot;00F75B2C&quot;/&gt;&lt;wsp:rsid wsp:val=&quot;00F75E73&quot;/&gt;&lt;wsp:rsid wsp:val=&quot;00F75F1C&quot;/&gt;&lt;wsp:rsid wsp:val=&quot;00F76507&quot;/&gt;&lt;wsp:rsid wsp:val=&quot;00F76DE0&quot;/&gt;&lt;wsp:rsid wsp:val=&quot;00F772CB&quot;/&gt;&lt;wsp:rsid wsp:val=&quot;00F77526&quot;/&gt;&lt;wsp:rsid wsp:val=&quot;00F77867&quot;/&gt;&lt;wsp:rsid wsp:val=&quot;00F77A01&quot;/&gt;&lt;wsp:rsid wsp:val=&quot;00F77D4D&quot;/&gt;&lt;wsp:rsid wsp:val=&quot;00F80059&quot;/&gt;&lt;wsp:rsid wsp:val=&quot;00F800B6&quot;/&gt;&lt;wsp:rsid wsp:val=&quot;00F8013D&quot;/&gt;&lt;wsp:rsid wsp:val=&quot;00F8064C&quot;/&gt;&lt;wsp:rsid wsp:val=&quot;00F8097E&quot;/&gt;&lt;wsp:rsid wsp:val=&quot;00F80FD7&quot;/&gt;&lt;wsp:rsid wsp:val=&quot;00F815EB&quot;/&gt;&lt;wsp:rsid wsp:val=&quot;00F81FFE&quot;/&gt;&lt;wsp:rsid wsp:val=&quot;00F8227B&quot;/&gt;&lt;wsp:rsid wsp:val=&quot;00F82E2E&quot;/&gt;&lt;wsp:rsid wsp:val=&quot;00F830B3&quot;/&gt;&lt;wsp:rsid wsp:val=&quot;00F831CE&quot;/&gt;&lt;wsp:rsid wsp:val=&quot;00F83617&quot;/&gt;&lt;wsp:rsid wsp:val=&quot;00F83C98&quot;/&gt;&lt;wsp:rsid wsp:val=&quot;00F84063&quot;/&gt;&lt;wsp:rsid wsp:val=&quot;00F84147&quot;/&gt;&lt;wsp:rsid wsp:val=&quot;00F843A5&quot;/&gt;&lt;wsp:rsid wsp:val=&quot;00F84777&quot;/&gt;&lt;wsp:rsid wsp:val=&quot;00F84B77&quot;/&gt;&lt;wsp:rsid wsp:val=&quot;00F8559F&quot;/&gt;&lt;wsp:rsid wsp:val=&quot;00F85738&quot;/&gt;&lt;wsp:rsid wsp:val=&quot;00F859C5&quot;/&gt;&lt;wsp:rsid wsp:val=&quot;00F85D84&quot;/&gt;&lt;wsp:rsid wsp:val=&quot;00F85E7A&quot;/&gt;&lt;wsp:rsid wsp:val=&quot;00F8609A&quot;/&gt;&lt;wsp:rsid wsp:val=&quot;00F86338&quot;/&gt;&lt;wsp:rsid wsp:val=&quot;00F8693C&quot;/&gt;&lt;wsp:rsid wsp:val=&quot;00F86FFC&quot;/&gt;&lt;wsp:rsid wsp:val=&quot;00F871F6&quot;/&gt;&lt;wsp:rsid wsp:val=&quot;00F87838&quot;/&gt;&lt;wsp:rsid wsp:val=&quot;00F87867&quot;/&gt;&lt;wsp:rsid wsp:val=&quot;00F8786C&quot;/&gt;&lt;wsp:rsid wsp:val=&quot;00F900C4&quot;/&gt;&lt;wsp:rsid wsp:val=&quot;00F90109&quot;/&gt;&lt;wsp:rsid wsp:val=&quot;00F90192&quot;/&gt;&lt;wsp:rsid wsp:val=&quot;00F90A4C&quot;/&gt;&lt;wsp:rsid wsp:val=&quot;00F90A62&quot;/&gt;&lt;wsp:rsid wsp:val=&quot;00F90DE3&quot;/&gt;&lt;wsp:rsid wsp:val=&quot;00F91036&quot;/&gt;&lt;wsp:rsid wsp:val=&quot;00F915B0&quot;/&gt;&lt;wsp:rsid wsp:val=&quot;00F91F1B&quot;/&gt;&lt;wsp:rsid wsp:val=&quot;00F92253&quot;/&gt;&lt;wsp:rsid wsp:val=&quot;00F92447&quot;/&gt;&lt;wsp:rsid wsp:val=&quot;00F92CC4&quot;/&gt;&lt;wsp:rsid wsp:val=&quot;00F92DAA&quot;/&gt;&lt;wsp:rsid wsp:val=&quot;00F92EE6&quot;/&gt;&lt;wsp:rsid wsp:val=&quot;00F92FDD&quot;/&gt;&lt;wsp:rsid wsp:val=&quot;00F930C4&quot;/&gt;&lt;wsp:rsid wsp:val=&quot;00F932FB&quot;/&gt;&lt;wsp:rsid wsp:val=&quot;00F934B8&quot;/&gt;&lt;wsp:rsid wsp:val=&quot;00F9371D&quot;/&gt;&lt;wsp:rsid wsp:val=&quot;00F938A4&quot;/&gt;&lt;wsp:rsid wsp:val=&quot;00F93A2B&quot;/&gt;&lt;wsp:rsid wsp:val=&quot;00F93A8D&quot;/&gt;&lt;wsp:rsid wsp:val=&quot;00F93B83&quot;/&gt;&lt;wsp:rsid wsp:val=&quot;00F93D94&quot;/&gt;&lt;wsp:rsid wsp:val=&quot;00F93E13&quot;/&gt;&lt;wsp:rsid wsp:val=&quot;00F94910&quot;/&gt;&lt;wsp:rsid wsp:val=&quot;00F94927&quot;/&gt;&lt;wsp:rsid wsp:val=&quot;00F94B0C&quot;/&gt;&lt;wsp:rsid wsp:val=&quot;00F94C0B&quot;/&gt;&lt;wsp:rsid wsp:val=&quot;00F95AEB&quot;/&gt;&lt;wsp:rsid wsp:val=&quot;00F95EAF&quot;/&gt;&lt;wsp:rsid wsp:val=&quot;00F95EE3&quot;/&gt;&lt;wsp:rsid wsp:val=&quot;00F96327&quot;/&gt;&lt;wsp:rsid wsp:val=&quot;00F96387&quot;/&gt;&lt;wsp:rsid wsp:val=&quot;00F96ABC&quot;/&gt;&lt;wsp:rsid wsp:val=&quot;00F96C7A&quot;/&gt;&lt;wsp:rsid wsp:val=&quot;00F97541&quot;/&gt;&lt;wsp:rsid wsp:val=&quot;00F9773A&quot;/&gt;&lt;wsp:rsid wsp:val=&quot;00F97F36&quot;/&gt;&lt;wsp:rsid wsp:val=&quot;00FA00A0&quot;/&gt;&lt;wsp:rsid wsp:val=&quot;00FA01C0&quot;/&gt;&lt;wsp:rsid wsp:val=&quot;00FA033C&quot;/&gt;&lt;wsp:rsid wsp:val=&quot;00FA04BE&quot;/&gt;&lt;wsp:rsid wsp:val=&quot;00FA05F4&quot;/&gt;&lt;wsp:rsid wsp:val=&quot;00FA0C1B&quot;/&gt;&lt;wsp:rsid wsp:val=&quot;00FA1B8C&quot;/&gt;&lt;wsp:rsid wsp:val=&quot;00FA1BC3&quot;/&gt;&lt;wsp:rsid wsp:val=&quot;00FA1DE7&quot;/&gt;&lt;wsp:rsid wsp:val=&quot;00FA2244&quot;/&gt;&lt;wsp:rsid wsp:val=&quot;00FA2540&quot;/&gt;&lt;wsp:rsid wsp:val=&quot;00FA26BE&quot;/&gt;&lt;wsp:rsid wsp:val=&quot;00FA2818&quot;/&gt;&lt;wsp:rsid wsp:val=&quot;00FA2A08&quot;/&gt;&lt;wsp:rsid wsp:val=&quot;00FA2A8E&quot;/&gt;&lt;wsp:rsid wsp:val=&quot;00FA30F6&quot;/&gt;&lt;wsp:rsid wsp:val=&quot;00FA32BD&quot;/&gt;&lt;wsp:rsid wsp:val=&quot;00FA34AC&quot;/&gt;&lt;wsp:rsid wsp:val=&quot;00FA3BCD&quot;/&gt;&lt;wsp:rsid wsp:val=&quot;00FA3F2B&quot;/&gt;&lt;wsp:rsid wsp:val=&quot;00FA41C1&quot;/&gt;&lt;wsp:rsid wsp:val=&quot;00FA4765&quot;/&gt;&lt;wsp:rsid wsp:val=&quot;00FA49C8&quot;/&gt;&lt;wsp:rsid wsp:val=&quot;00FA4FBA&quot;/&gt;&lt;wsp:rsid wsp:val=&quot;00FA504F&quot;/&gt;&lt;wsp:rsid wsp:val=&quot;00FA5CE8&quot;/&gt;&lt;wsp:rsid wsp:val=&quot;00FA60DF&quot;/&gt;&lt;wsp:rsid wsp:val=&quot;00FA67C6&quot;/&gt;&lt;wsp:rsid wsp:val=&quot;00FA6C93&quot;/&gt;&lt;wsp:rsid wsp:val=&quot;00FA764F&quot;/&gt;&lt;wsp:rsid wsp:val=&quot;00FA7B49&quot;/&gt;&lt;wsp:rsid wsp:val=&quot;00FA7FD0&quot;/&gt;&lt;wsp:rsid wsp:val=&quot;00FB00AE&quot;/&gt;&lt;wsp:rsid wsp:val=&quot;00FB045A&quot;/&gt;&lt;wsp:rsid wsp:val=&quot;00FB05A8&quot;/&gt;&lt;wsp:rsid wsp:val=&quot;00FB06EE&quot;/&gt;&lt;wsp:rsid wsp:val=&quot;00FB0D00&quot;/&gt;&lt;wsp:rsid wsp:val=&quot;00FB0F95&quot;/&gt;&lt;wsp:rsid wsp:val=&quot;00FB12DD&quot;/&gt;&lt;wsp:rsid wsp:val=&quot;00FB1C96&quot;/&gt;&lt;wsp:rsid wsp:val=&quot;00FB2222&quot;/&gt;&lt;wsp:rsid wsp:val=&quot;00FB230F&quot;/&gt;&lt;wsp:rsid wsp:val=&quot;00FB26CE&quot;/&gt;&lt;wsp:rsid wsp:val=&quot;00FB2C27&quot;/&gt;&lt;wsp:rsid wsp:val=&quot;00FB3464&quot;/&gt;&lt;wsp:rsid wsp:val=&quot;00FB36A0&quot;/&gt;&lt;wsp:rsid wsp:val=&quot;00FB378F&quot;/&gt;&lt;wsp:rsid wsp:val=&quot;00FB3CA8&quot;/&gt;&lt;wsp:rsid wsp:val=&quot;00FB3D65&quot;/&gt;&lt;wsp:rsid wsp:val=&quot;00FB4896&quot;/&gt;&lt;wsp:rsid wsp:val=&quot;00FB49C9&quot;/&gt;&lt;wsp:rsid wsp:val=&quot;00FB5479&quot;/&gt;&lt;wsp:rsid wsp:val=&quot;00FB5BE0&quot;/&gt;&lt;wsp:rsid wsp:val=&quot;00FB66DF&quot;/&gt;&lt;wsp:rsid wsp:val=&quot;00FB67FB&quot;/&gt;&lt;wsp:rsid wsp:val=&quot;00FB68B4&quot;/&gt;&lt;wsp:rsid wsp:val=&quot;00FB6D37&quot;/&gt;&lt;wsp:rsid wsp:val=&quot;00FB6FE3&quot;/&gt;&lt;wsp:rsid wsp:val=&quot;00FB7158&quot;/&gt;&lt;wsp:rsid wsp:val=&quot;00FB726C&quot;/&gt;&lt;wsp:rsid wsp:val=&quot;00FB75F6&quot;/&gt;&lt;wsp:rsid wsp:val=&quot;00FC0929&quot;/&gt;&lt;wsp:rsid wsp:val=&quot;00FC0B69&quot;/&gt;&lt;wsp:rsid wsp:val=&quot;00FC0DD7&quot;/&gt;&lt;wsp:rsid wsp:val=&quot;00FC15A1&quot;/&gt;&lt;wsp:rsid wsp:val=&quot;00FC15B6&quot;/&gt;&lt;wsp:rsid wsp:val=&quot;00FC1E7C&quot;/&gt;&lt;wsp:rsid wsp:val=&quot;00FC211A&quot;/&gt;&lt;wsp:rsid wsp:val=&quot;00FC24EE&quot;/&gt;&lt;wsp:rsid wsp:val=&quot;00FC2522&quot;/&gt;&lt;wsp:rsid wsp:val=&quot;00FC2C55&quot;/&gt;&lt;wsp:rsid wsp:val=&quot;00FC312E&quot;/&gt;&lt;wsp:rsid wsp:val=&quot;00FC346A&quot;/&gt;&lt;wsp:rsid wsp:val=&quot;00FC3BE2&quot;/&gt;&lt;wsp:rsid wsp:val=&quot;00FC3F56&quot;/&gt;&lt;wsp:rsid wsp:val=&quot;00FC42D9&quot;/&gt;&lt;wsp:rsid wsp:val=&quot;00FC49F9&quot;/&gt;&lt;wsp:rsid wsp:val=&quot;00FC4F0F&quot;/&gt;&lt;wsp:rsid wsp:val=&quot;00FC4F67&quot;/&gt;&lt;wsp:rsid wsp:val=&quot;00FC509E&quot;/&gt;&lt;wsp:rsid wsp:val=&quot;00FC525E&quot;/&gt;&lt;wsp:rsid wsp:val=&quot;00FC55B4&quot;/&gt;&lt;wsp:rsid wsp:val=&quot;00FC5ADA&quot;/&gt;&lt;wsp:rsid wsp:val=&quot;00FC60AF&quot;/&gt;&lt;wsp:rsid wsp:val=&quot;00FC6224&quot;/&gt;&lt;wsp:rsid wsp:val=&quot;00FC6496&quot;/&gt;&lt;wsp:rsid wsp:val=&quot;00FC6906&quot;/&gt;&lt;wsp:rsid wsp:val=&quot;00FC69CA&quot;/&gt;&lt;wsp:rsid wsp:val=&quot;00FC6B75&quot;/&gt;&lt;wsp:rsid wsp:val=&quot;00FC7632&quot;/&gt;&lt;wsp:rsid wsp:val=&quot;00FC7807&quot;/&gt;&lt;wsp:rsid wsp:val=&quot;00FC7B72&quot;/&gt;&lt;wsp:rsid wsp:val=&quot;00FC7D2A&quot;/&gt;&lt;wsp:rsid wsp:val=&quot;00FC7F6A&quot;/&gt;&lt;wsp:rsid wsp:val=&quot;00FD01AC&quot;/&gt;&lt;wsp:rsid wsp:val=&quot;00FD01BA&quot;/&gt;&lt;wsp:rsid wsp:val=&quot;00FD06A4&quot;/&gt;&lt;wsp:rsid wsp:val=&quot;00FD0897&quot;/&gt;&lt;wsp:rsid wsp:val=&quot;00FD0912&quot;/&gt;&lt;wsp:rsid wsp:val=&quot;00FD10F6&quot;/&gt;&lt;wsp:rsid wsp:val=&quot;00FD12B2&quot;/&gt;&lt;wsp:rsid wsp:val=&quot;00FD12B3&quot;/&gt;&lt;wsp:rsid wsp:val=&quot;00FD1AE0&quot;/&gt;&lt;wsp:rsid wsp:val=&quot;00FD2D3C&quot;/&gt;&lt;wsp:rsid wsp:val=&quot;00FD375E&quot;/&gt;&lt;wsp:rsid wsp:val=&quot;00FD399B&quot;/&gt;&lt;wsp:rsid wsp:val=&quot;00FD3F7E&quot;/&gt;&lt;wsp:rsid wsp:val=&quot;00FD41C0&quot;/&gt;&lt;wsp:rsid wsp:val=&quot;00FD4CF6&quot;/&gt;&lt;wsp:rsid wsp:val=&quot;00FD5455&quot;/&gt;&lt;wsp:rsid wsp:val=&quot;00FD5531&quot;/&gt;&lt;wsp:rsid wsp:val=&quot;00FD584E&quot;/&gt;&lt;wsp:rsid wsp:val=&quot;00FD5AE7&quot;/&gt;&lt;wsp:rsid wsp:val=&quot;00FD5F9D&quot;/&gt;&lt;wsp:rsid wsp:val=&quot;00FD618D&quot;/&gt;&lt;wsp:rsid wsp:val=&quot;00FD66C9&quot;/&gt;&lt;wsp:rsid wsp:val=&quot;00FD6D27&quot;/&gt;&lt;wsp:rsid wsp:val=&quot;00FD6F86&quot;/&gt;&lt;wsp:rsid wsp:val=&quot;00FD75D7&quot;/&gt;&lt;wsp:rsid wsp:val=&quot;00FD762F&quot;/&gt;&lt;wsp:rsid wsp:val=&quot;00FD76A1&quot;/&gt;&lt;wsp:rsid wsp:val=&quot;00FD7D93&quot;/&gt;&lt;wsp:rsid wsp:val=&quot;00FD7DE1&quot;/&gt;&lt;wsp:rsid wsp:val=&quot;00FE029E&quot;/&gt;&lt;wsp:rsid wsp:val=&quot;00FE036B&quot;/&gt;&lt;wsp:rsid wsp:val=&quot;00FE0473&quot;/&gt;&lt;wsp:rsid wsp:val=&quot;00FE051B&quot;/&gt;&lt;wsp:rsid wsp:val=&quot;00FE05F2&quot;/&gt;&lt;wsp:rsid wsp:val=&quot;00FE0609&quot;/&gt;&lt;wsp:rsid wsp:val=&quot;00FE08A0&quot;/&gt;&lt;wsp:rsid wsp:val=&quot;00FE0BA6&quot;/&gt;&lt;wsp:rsid wsp:val=&quot;00FE0C80&quot;/&gt;&lt;wsp:rsid wsp:val=&quot;00FE0EEB&quot;/&gt;&lt;wsp:rsid wsp:val=&quot;00FE1247&quot;/&gt;&lt;wsp:rsid wsp:val=&quot;00FE13FE&quot;/&gt;&lt;wsp:rsid wsp:val=&quot;00FE1543&quot;/&gt;&lt;wsp:rsid wsp:val=&quot;00FE174B&quot;/&gt;&lt;wsp:rsid wsp:val=&quot;00FE1BF0&quot;/&gt;&lt;wsp:rsid wsp:val=&quot;00FE1C12&quot;/&gt;&lt;wsp:rsid wsp:val=&quot;00FE23D2&quot;/&gt;&lt;wsp:rsid wsp:val=&quot;00FE2C75&quot;/&gt;&lt;wsp:rsid wsp:val=&quot;00FE2EA9&quot;/&gt;&lt;wsp:rsid wsp:val=&quot;00FE2F88&quot;/&gt;&lt;wsp:rsid wsp:val=&quot;00FE3205&quot;/&gt;&lt;wsp:rsid wsp:val=&quot;00FE3508&quot;/&gt;&lt;wsp:rsid wsp:val=&quot;00FE4194&quot;/&gt;&lt;wsp:rsid wsp:val=&quot;00FE4C69&quot;/&gt;&lt;wsp:rsid wsp:val=&quot;00FE50F5&quot;/&gt;&lt;wsp:rsid wsp:val=&quot;00FE5A67&quot;/&gt;&lt;wsp:rsid wsp:val=&quot;00FE5B4E&quot;/&gt;&lt;wsp:rsid wsp:val=&quot;00FE5BB6&quot;/&gt;&lt;wsp:rsid wsp:val=&quot;00FE5FE2&quot;/&gt;&lt;wsp:rsid wsp:val=&quot;00FE68AF&quot;/&gt;&lt;wsp:rsid wsp:val=&quot;00FE69FF&quot;/&gt;&lt;wsp:rsid wsp:val=&quot;00FE6B81&quot;/&gt;&lt;wsp:rsid wsp:val=&quot;00FE6F08&quot;/&gt;&lt;wsp:rsid wsp:val=&quot;00FE73DA&quot;/&gt;&lt;wsp:rsid wsp:val=&quot;00FE7461&quot;/&gt;&lt;wsp:rsid wsp:val=&quot;00FE7AE3&quot;/&gt;&lt;wsp:rsid wsp:val=&quot;00FE7B60&quot;/&gt;&lt;wsp:rsid wsp:val=&quot;00FE7DA7&quot;/&gt;&lt;wsp:rsid wsp:val=&quot;00FF008D&quot;/&gt;&lt;wsp:rsid wsp:val=&quot;00FF035A&quot;/&gt;&lt;wsp:rsid wsp:val=&quot;00FF0673&quot;/&gt;&lt;wsp:rsid wsp:val=&quot;00FF0D10&quot;/&gt;&lt;wsp:rsid wsp:val=&quot;00FF0F50&quot;/&gt;&lt;wsp:rsid wsp:val=&quot;00FF1047&quot;/&gt;&lt;wsp:rsid wsp:val=&quot;00FF14A9&quot;/&gt;&lt;wsp:rsid wsp:val=&quot;00FF1544&quot;/&gt;&lt;wsp:rsid wsp:val=&quot;00FF17EF&quot;/&gt;&lt;wsp:rsid wsp:val=&quot;00FF1913&quot;/&gt;&lt;wsp:rsid wsp:val=&quot;00FF1B3F&quot;/&gt;&lt;wsp:rsid wsp:val=&quot;00FF2053&quot;/&gt;&lt;wsp:rsid wsp:val=&quot;00FF21AF&quot;/&gt;&lt;wsp:rsid wsp:val=&quot;00FF23D4&quot;/&gt;&lt;wsp:rsid wsp:val=&quot;00FF2490&quot;/&gt;&lt;wsp:rsid wsp:val=&quot;00FF24C2&quot;/&gt;&lt;wsp:rsid wsp:val=&quot;00FF2651&quot;/&gt;&lt;wsp:rsid wsp:val=&quot;00FF2697&quot;/&gt;&lt;wsp:rsid wsp:val=&quot;00FF26E2&quot;/&gt;&lt;wsp:rsid wsp:val=&quot;00FF2FA3&quot;/&gt;&lt;wsp:rsid wsp:val=&quot;00FF3527&quot;/&gt;&lt;wsp:rsid wsp:val=&quot;00FF3F2D&quot;/&gt;&lt;wsp:rsid wsp:val=&quot;00FF3FDC&quot;/&gt;&lt;wsp:rsid wsp:val=&quot;00FF418C&quot;/&gt;&lt;wsp:rsid wsp:val=&quot;00FF458A&quot;/&gt;&lt;wsp:rsid wsp:val=&quot;00FF4B3E&quot;/&gt;&lt;wsp:rsid wsp:val=&quot;00FF4BC9&quot;/&gt;&lt;wsp:rsid wsp:val=&quot;00FF4BCD&quot;/&gt;&lt;wsp:rsid wsp:val=&quot;00FF4CE9&quot;/&gt;&lt;wsp:rsid wsp:val=&quot;00FF4F95&quot;/&gt;&lt;wsp:rsid wsp:val=&quot;00FF5096&quot;/&gt;&lt;wsp:rsid wsp:val=&quot;00FF529E&quot;/&gt;&lt;wsp:rsid wsp:val=&quot;00FF549F&quot;/&gt;&lt;wsp:rsid wsp:val=&quot;00FF54B7&quot;/&gt;&lt;wsp:rsid wsp:val=&quot;00FF5666&quot;/&gt;&lt;wsp:rsid wsp:val=&quot;00FF56A5&quot;/&gt;&lt;wsp:rsid wsp:val=&quot;00FF5BF6&quot;/&gt;&lt;wsp:rsid wsp:val=&quot;00FF5C6D&quot;/&gt;&lt;wsp:rsid wsp:val=&quot;00FF5C6E&quot;/&gt;&lt;wsp:rsid wsp:val=&quot;00FF633F&quot;/&gt;&lt;wsp:rsid wsp:val=&quot;00FF66CC&quot;/&gt;&lt;wsp:rsid wsp:val=&quot;00FF67D3&quot;/&gt;&lt;wsp:rsid wsp:val=&quot;00FF6B0E&quot;/&gt;&lt;wsp:rsid wsp:val=&quot;00FF6B43&quot;/&gt;&lt;wsp:rsid wsp:val=&quot;00FF6F3F&quot;/&gt;&lt;wsp:rsid wsp:val=&quot;00FF7328&quot;/&gt;&lt;wsp:rsid wsp:val=&quot;00FF7600&quot;/&gt;&lt;wsp:rsid wsp:val=&quot;00FF77A7&quot;/&gt;&lt;wsp:rsid wsp:val=&quot;00FF7B0F&quot;/&gt;&lt;wsp:rsid wsp:val=&quot;00FF7D42&quot;/&gt;&lt;wsp:rsid wsp:val=&quot;00FF7F25&quot;/&gt;&lt;/wsp:rsids&gt;&lt;/w:docPr&gt;&lt;w:body&gt;&lt;w:p wsp:rsidR=&quot;00000000&quot; wsp:rsidRDefault=&quot;002E0E06&quot;&gt;&lt;m:oMathPara&gt;&lt;m:oMath&gt;&lt;m:sSub&gt;&lt;m:sSubPr&gt;&lt;m:ctrlPr&gt;&lt;w:rPr&gt;&lt;w:rFonts w:ascii=&quot;Cambria Math&quot; w:fareast=&quot;Times New Roman&quot; w:h-ansi=&quot;Cambria Math&quot;/&gt;&lt;wx:font wx:val=&quot;Cambria Math&quot;/&gt;&lt;w:i/&gt;&lt;w:sz w:val=&quot;28&quot;/&gt;&lt;/w:rPr&gt;&lt;/m:ctrlPr&gt;&lt;/m:sSubPr&gt;&lt;m:e&gt;&lt;m:r&gt;&lt;w:rPr&gt;&lt;w:rFonts w:ascii=&quot;Cambria Math&quot; w:fareast=&quot;Times New Roman&quot; w:h-ansi=&quot;Cambria Math&quot;/&gt;&lt;wx:font wx:val=&quot;Cambria Math&quot;/&gt;&lt;w:i/&gt;&lt;w:sz w:val=&quot;28&quot;/&gt;&lt;/w:rPr&gt;&lt;m:t&gt;Q&lt;/m:t&gt;&lt;/m:r&gt;&lt;/m:e&gt;&lt;m:sub&gt;&lt;m:r&gt;&lt;w:rPr&gt;&lt;w:rFonts w:ascii=&quot;Cambria Math&quot; w:fareast=&quot;Times New Roman&quot; w:h-ansi=&quot;Cambria Math&quot;/&gt;&lt;wx:font wx:val=&quot;Cambria Math&quot;/&gt;&lt;w:i/&gt;&lt;w:sz w:val=&quot;28&quot;/&gt;&lt;/w:rPr&gt;&lt;m:t&gt;СЌ2&lt;/m:t&gt;&lt;/m:r&gt;&lt;/m:sub&gt;&lt;/m:sSub&gt;&lt;m:r&gt;&lt;w:rPr&gt;&lt;w:rFonts w:ascii=&quot;Cambria Math&quot; w:fareast=&quot;Times New Roman&quot; w:h-ansi=&quot;Cambria Math&quot;/&gt;&lt;wx:font wx:val=&quot;Cambria Math&quot;/&gt;&lt;w:i/&gt;&lt;w:sz w:val=&quot;28&quot;/&gt;&lt;/w:rPr&gt;&lt;m:t&gt;=(1-&lt;/m:t&gt;&lt;/m:r&gt;&lt;m:sSub&gt;&lt;m:sSubPr&gt;&lt;m:ctrlPr&gt;&lt;w:rPr&gt;&lt;w:rFonts w:ascii=&quot;Cambria Math&quot; w:fareast=&quot;Times New Roman&quot; w:h-ansi=&quot;Cambria Math&quot;/&gt;&lt;wx:font wx:val=&quot;Cambria Math&quot;/&gt;&lt;w:i/&gt;&lt;w:sz w:val=&quot;28&quot;/&gt;&lt;/w:rPr&gt;&lt;/m:ctrlPr&gt;&lt;/m:sSubPr&gt;&lt;m:e&gt;&lt;m:r&gt;&lt;w:rPr&gt;&lt;w:rFonts w:ascii=&quot;Cambria Math&quot; w:fareast=&quot;Times New Roman&quot; w:h-ansi=&quot;Cambria Math&quot;/&gt;&lt;wx:font wx:val=&quot;Cambria Math&quot;/&gt;&lt;w:i/&gt;&lt;w:sz w:val=&quot;28&quot;/&gt;&lt;w:lang w:val=&quot;EN-US&quot;/&gt;&lt;/w:rPr&gt;&lt;m:t&gt;K&lt;/m:t&gt;&lt;/m:r&gt;&lt;/m:e&gt;&lt;m:sub&gt;&lt;m:r&gt;&lt;w:rPr&gt;&lt;w:rFonts w:ascii=&quot;Cambria Math&quot; w:fareast=&quot;Times New Roman&quot; w:h-ansi=&quot;Cambria Math&quot;/&gt;&lt;wx:font wx:val=&quot;Cambria Math&quot;/&gt;&lt;w:i/&gt;&lt;w:sz w:val=&quot;28&quot;/&gt;&lt;/w:rPr&gt;&lt;m:t&gt;1&lt;/m:t&gt;&lt;/m:r&gt;&lt;/m:sub&gt;&lt;/m:sSub&gt;&lt;m:r&gt;&lt;w:rPr&gt;&lt;w:rFonts w:ascii=&quot;Cambria Math&quot; w:fareast=&quot;Times New Roman&quot; w:h-ansi=&quot;Cambria Math&quot;/&gt;&lt;wx:font wx:val=&quot;Cambria Math&quot;/&gt;&lt;w:i/&gt;&lt;w:sz w:val=&quot;28&quot;/&gt;&lt;/w:rPr&gt;&lt;m:t&gt;)Г—&lt;/m:t&gt;&lt;/m:r&gt;&lt;m:sSub&gt;&lt;m:sSubPr&gt;&lt;m:ctrlPr&gt;&lt;w:rPr&gt;&lt;w:rFonts w:ascii=&quot;Cambria Math&quot; w:fareast=&quot;Times New Roman&quot; w:h-ansi=&quot;Cambria Math&quot;/&gt;&lt;wx:font wx:val=&quot;Cambria Math&quot;/&gt;&lt;w:i/&gt;&lt;w:sz w:val=&quot;28&quot;/&gt;&lt;/w:rPr&gt;&lt;/m:ctrlPr&gt;&lt;/m:sSubPr&gt;&lt;m:e&gt;&lt;m:r&gt;&lt;w:rPr&gt;&lt;w:rFonts w:ascii=&quot;Cambria Math&quot; w:fareast=&quot;Times New Roman&quot; w:h-ansi=&quot;Cambria Math&quot;/&gt;&lt;wx:font wx:val=&quot;Cambria Math&quot;/&gt;&lt;w:i/&gt;&lt;w:sz w:val=&quot;28&quot;/&gt;&lt;/w:rPr&gt;&lt;m:t&gt;K&lt;/m:t&gt;&lt;/m:r&gt;&lt;/m:e&gt;&lt;m:sub&gt;&lt;m:r&gt;&lt;w:rPr&gt;&lt;w:rFonts w:ascii=&quot;Cambria Math&quot; w:fareast=&quot;Times New Roman&quot; w:h-ansi=&quot;Cambria Math&quot;/&gt;&lt;wx:font wx:val=&quot;Cambria Math&quot;/&gt;&lt;w:i/&gt;&lt;w:sz w:val=&quot;28&quot;/&gt;&lt;/w:rPr&gt;&lt;m:t&gt;2&lt;/m:t&gt;&lt;/m:r&gt;&lt;/m:sub&gt;&lt;/m:sSub&gt;&lt;m:r&gt;&lt;w:rPr&gt;&lt;w:rFonts w:ascii=&quot;Cambria Math&quot; w:fareast=&quot;Times New Roman&quot; w:h-ansi=&quot;Cambria Math&quot;/&gt;&lt;wx:font wx:val=&quot;Cambria Math&quot;/&gt;&lt;w:i/&gt;&lt;w:sz w:val=&quot;28&quot;/&gt;&lt;/w:rPr&gt;&lt;m:t&gt;Г—&lt;/m:t&gt;&lt;/m:r&gt;&lt;m:sSub&gt;&lt;m:sSubPr&gt;&lt;m:ctrlPr&gt;&lt;w:rPr&gt;&lt;w:rFonts w:ascii=&quot;Cambria Math&quot; w:fareast=&quot;Times New Roman&quot; w:h-ansi=&quot;Cambria Math&quot;/&gt;&lt;wx:font wx:val=&quot;Cambria Math&quot;/&gt;&lt;w:i/&gt;&lt;w:sz w:val=&quot;28&quot;/&gt;&lt;/w:rPr&gt;&lt;/m:ctrlPr&gt;&lt;/m:sSubPr&gt;&lt;m:e&gt;&lt;m:r&gt;&lt;w:rPr&gt;&lt;w:rFonts w:ascii=&quot;Cambria Math&quot; w:fareast=&quot;Times New Roman&quot; w:h-ansi=&quot;Cambria Math&quot;/&gt;&lt;wx:font wx:val=&quot;Cambria Math&quot;/&gt;&lt;w:i/&gt;&lt;w:sz w:val=&quot;28&quot;/&gt;&lt;/w:rPr&gt;&lt;m:t&gt;K&lt;/m:t&gt;&lt;/m:r&gt;&lt;/m:e&gt;&lt;m:sub&gt;&lt;m:r&gt;&lt;w:rPr&gt;&lt;w:rFonts w:ascii=&quot;Cambria Math&quot; w:fareast=&quot;Times New Roman&quot; w:h-ansi=&quot;Cambria Math&quot;/&gt;&lt;wx:font wx:val=&quot;Cambria Math&quot;/&gt;&lt;w:i/&gt;&lt;w:sz w:val=&quot;28&quot;/&gt;&lt;/w:rPr&gt;&lt;m:t&gt;3&lt;/m:t&gt;&lt;/m:r&gt;&lt;/m:sub&gt;&lt;/m:sSub&gt;&lt;m:r&gt;&lt;w:rPr&gt;&lt;w:rFonts w:ascii=&quot;Cambria Math&quot; w:fareast=&quot;Times New Roman&quot; w:h-ansi=&quot;Cambria Math&quot;/&gt;&lt;wx:font wx:val=&quot;Cambria Math&quot;/&gt;&lt;w:i/&gt;&lt;w:sz w:val=&quot;28&quot;/&gt;&lt;/w:rPr&gt;&lt;m:t&gt;Г—&lt;/m:t&gt;&lt;/m:r&gt;&lt;m:sSub&gt;&lt;m:sSubPr&gt;&lt;m:ctrlPr&gt;&lt;w:rPr&gt;&lt;w:rFonts w:ascii=&quot;Cambria Math&quot; w:fareast=&quot;Times New Roman&quot; w:h-ansi=&quot;Cambria Math&quot;/&gt;&lt;wx:font wx:val=&quot;Cambria Math&quot;/&gt;&lt;w:i/&gt;&lt;w:sz w:val=&quot;28&quot;/&gt;&lt;/w:rPr&gt;&lt;/m:ctrlPr&gt;&lt;/m:sSubPr&gt;&lt;m:e&gt;&lt;m:r&gt;&lt;w:rPr&gt;&lt;w:rFonts w:ascii=&quot;Cambria Math&quot; w:fareast=&quot;Times New Roman&quot; w:h-ansi=&quot;Cambria Math&quot;/&gt;&lt;wx:font wx:val=&quot;Cambria Math&quot;/&gt;&lt;w:i/&gt;&lt;w:sz w:val=&quot;28&quot;/&gt;&lt;/w:rPr&gt;&lt;m:t&gt;K&lt;/m:t&gt;&lt;/m:r&gt;&lt;/m:e&gt;&lt;m:sub&gt;&lt;m:r&gt;&lt;w:rPr&gt;&lt;w:rFonts w:ascii=&quot;Cambria Math&quot; w:fareast=&quot;Times New Roman&quot; w:h-ansi=&quot;Cambria Math&quot;/&gt;&lt;wx:font wx:val=&quot;Cambria Math&quot;/&gt;&lt;w:i/&gt;&lt;w:sz w:val=&quot;28&quot;/&gt;&lt;/w:rPr&gt;&lt;m:t&gt;4&lt;/m:t&gt;&lt;/m:r&gt;&lt;/m:sub&gt;&lt;/m:sSub&gt;&lt;m:r&gt;&lt;w:rPr&gt;&lt;w:rFonts w:ascii=&quot;Cambria Math&quot; w:fareast=&quot;Times New Roman&quot; w:h-ansi=&quot;Cambria Math&quot;/&gt;&lt;wx:font wx:val=&quot;Cambria Math&quot;/&gt;&lt;w:i/&gt;&lt;w:sz w:val=&quot;28&quot;/&gt;&lt;/w:rPr&gt;&lt;m:t&gt;Г—&lt;/m:t&gt;&lt;/m:r&gt;&lt;m:sSub&gt;&lt;m:sSubPr&gt;&lt;m:ctrlPr&gt;&lt;w:rPr&gt;&lt;w:rFonts w:ascii=&quot;Cambria Math&quot; w:fareast=&quot;Times New Roman&quot; w:h-ansi=&quot;Cambria Math&quot;/&gt;&lt;wx:font wx:val=&quot;Cambria Math&quot;/&gt;&lt;w:i/&gt;&lt;w:sz w:val=&quot;28&quot;/&gt;&lt;/w:rPr&gt;&lt;/m:ctrlPr&gt;&lt;/m:sSubPr&gt;&lt;m:e&gt;&lt;m:r&gt;&lt;w:rPr&gt;&lt;w:rFonts w:ascii=&quot;Cambria Math&quot; w:fareast=&quot;Times New Roman&quot; w:h-ansi=&quot;Cambria Math&quot;/&gt;&lt;wx:font wx:val=&quot;Cambria Math&quot;/&gt;&lt;w:i/&gt;&lt;w:sz w:val=&quot;28&quot;/&gt;&lt;/w:rPr&gt;&lt;m:t&gt;K&lt;/m:t&gt;&lt;/m:r&gt;&lt;/m:e&gt;&lt;m:sub&gt;&lt;m:r&gt;&lt;w:rPr&gt;&lt;w:rFonts w:ascii=&quot;Cambria Math&quot; w:fareast=&quot;Times New Roman&quot; w:h-ansi=&quot;Cambria Math&quot;/&gt;&lt;wx:font wx:val=&quot;Cambria Math&quot;/&gt;&lt;w:i/&gt;&lt;w:sz w:val=&quot;28&quot;/&gt;&lt;/w:rPr&gt;&lt;m:t&gt;5&lt;/m:t&gt;&lt;/m:r&gt;&lt;/m:sub&gt;&lt;/m:sSub&gt;&lt;m:r&gt;&lt;w:rPr&gt;&lt;w:rFonts w:ascii=&quot;Cambria Math&quot; w:fareast=&quot;Times New Roman&quot; w:h-ansi=&quot;Cambria Math&quot;/&gt;&lt;wx:font wx:val=&quot;Cambria Math&quot;/&gt;&lt;w:i/&gt;&lt;w:sz w:val=&quot;28&quot;/&gt;&lt;/w:rPr&gt;&lt;m:t&gt;Г—&lt;/m:t&gt;&lt;/m:r&gt;&lt;m:sSub&gt;&lt;m:sSubPr&gt;&lt;m:ctrlPr&gt;&lt;w:rPr&gt;&lt;w:rFonts w:ascii=&quot;Cambria Math&quot; w:fareast=&quot;Times New Roman&quot; w:h-ansi=&quot;Cambria Math&quot;/&gt;&lt;wx:font wx:val=&quot;Cambria Math&quot;/&gt;&lt;w:i/&gt;&lt;w:sz w:val=&quot;28&quot;/&gt;&lt;/w:rPr&gt;&lt;/m:ctrlPr&gt;&lt;/m:sSubPr&gt;&lt;m:e&gt;&lt;m:r&gt;&lt;w:rPr&gt;&lt;w:rFonts w:ascii=&quot;Cambria Math&quot; w:fareast=&quot;Times New Roman&quot; w:h-ansi=&quot;Cambria Math&quot;/&gt;&lt;wx:font wx:val=&quot;Cambria Math&quot;/&gt;&lt;w:i/&gt;&lt;w:sz w:val=&quot;28&quot;/&gt;&lt;/w:rPr&gt;&lt;m:t&gt;K&lt;/m:t&gt;&lt;/m:r&gt;&lt;/m:e&gt;&lt;m:sub&gt;&lt;m:r&gt;&lt;w:rPr&gt;&lt;w:rFonts w:ascii=&quot;Cambria Math&quot; w:fareast=&quot;Times New Roman&quot; w:h-ansi=&quot;Cambria Math&quot;/&gt;&lt;wx:font wx:val=&quot;Cambria Math&quot;/&gt;&lt;w:i/&gt;&lt;w:sz w:val=&quot;28&quot;/&gt;&lt;/w:rPr&gt;&lt;m:t&gt;6&lt;/m:t&gt;&lt;/m:r&gt;&lt;/m:sub&gt;&lt;/m:sSub&gt;&lt;m:r&gt;&lt;w:rPr&gt;&lt;w:rFonts w:ascii=&quot;Cambria Math&quot; w:fareast=&quot;Times New Roman&quot; w:h-ansi=&quot;Cambria Math&quot;/&gt;&lt;wx:font wx:val=&quot;Cambria Math&quot;/&gt;&lt;w:i/&gt;&lt;w:sz w:val=&quot;28&quot;/&gt;&lt;/w:rPr&gt;&lt;m:t&gt;Г—&lt;/m:t&gt;&lt;/m:r&gt;&lt;m:sSub&gt;&lt;m:sSubPr&gt;&lt;m:ctrlPr&gt;&lt;w:rPr&gt;&lt;w:rFonts w:ascii=&quot;Cambria Math&quot; w:fareast=&quot;Times New Roman&quot; w:h-ansi=&quot;Cambria Math&quot;/&gt;&lt;wx:font wx:val=&quot;Cambria Math&quot;/&gt;&lt;w:i/&gt;&lt;w:sz w:val=&quot;28&quot;/&gt;&lt;/w:rPr&gt;&lt;/m:ctrlPr&gt;&lt;/m:sSubPr&gt;&lt;m:e&gt;&lt;m:r&gt;&lt;w:rPr&gt;&lt;w:rFonts w:ascii=&quot;Cambria Math&quot; w:fareast=&quot;Times New Roman&quot; w:h-ansi=&quot;Cambria Math&quot;/&gt;&lt;wx:font wx:val=&quot;Cambria Math&quot;/&gt;&lt;w:i/&gt;&lt;w:sz w:val=&quot;28&quot;/&gt;&lt;/w:rPr&gt;&lt;m:t&gt;K&lt;/m:t&gt;&lt;/m:r&gt;&lt;/m:e&gt;&lt;m:sub&gt;&lt;m:r&gt;&lt;w:rPr&gt;&lt;w:rFonts w:ascii=&quot;Cambria Math&quot; w:fareast=&quot;Times New Roman&quot; w:h-ansi=&quot;Cambria Math&quot;/&gt;&lt;wx:font wx:val=&quot;Cambria Math&quot;/&gt;&lt;w:i/&gt;&lt;w:sz w:val=&quot;28&quot;/&gt;&lt;/w:rPr&gt;&lt;m:t&gt;7&lt;/m:t&gt;&lt;/m:r&gt;&lt;/m:sub&gt;&lt;/m:sSub&gt;&lt;m:r&gt;&lt;w:rPr&gt;&lt;w:rFonts w:ascii=&quot;Cambria Math&quot; w:fareast=&quot;Times New Roman&quot; w:h-ansi=&quot;Cambria Math&quot;/&gt;&lt;wx:font wx:val=&quot;Cambria Math&quot;/&gt;&lt;w:i/&gt;&lt;w:sz w:val=&quot;28&quot;/&gt;&lt;/w:rPr&gt;&lt;m:t&gt;Г—&lt;/m:t&gt;&lt;/m:r&gt;&lt;m:f&gt;&lt;m:fPr&gt;&lt;m:ctrlPr&gt;&lt;w:rPr&gt;&lt;w:rFonts w:ascii=&quot;Cambria Math&quot; w:fareast=&quot;Times New Roman&quot; w:h-ansi=&quot;Cambria Math&quot;/&gt;&lt;wx:font wx:val=&quot;Cambria Math&quot;/&gt;&lt;w:i/&gt;&lt;w:sz w:val=&quot;28&quot;/&gt;&lt;/w:rPr&gt;&lt;/m:ctrlPr&gt;&lt;/m:fPr&gt;&lt;m:num&gt;&lt;m:sSub&gt;&lt;m:sSubPr&gt;&lt;m:ctrlPr&gt;&lt;w:rPr&gt;&lt;w:rFonts w:ascii=&quot;Cambria Math&quot; w:fareast=&quot;Times New Roman&quot; w:h-ansi=&quot;Cambria Math&quot;/&gt;&lt;wx:font wx:val=&quot;Cambria Math&quot;/&gt;&lt;w:i/&gt;&lt;w:sz w:val=&quot;28&quot;/&gt;&lt;/w:rPr&gt;&lt;/m:ctrlPr&gt;&lt;/m:sSubPr&gt;&lt;m:e&gt;&lt;m:r&gt;&lt;w:rPr&gt;&lt;w:rFonts w:ascii=&quot;Cambria Math&quot; w:fareast=&quot;Times New Roman&quot; w:h-ansi=&quot;Cambria Math&quot;/&gt;&lt;wx:font wx:val=&quot;Cambria Math&quot;/&gt;&lt;w:i/&gt;&lt;w:sz w:val=&quot;28&quot;/&gt;&lt;/w:rPr&gt;&lt;m:t&gt;Q&lt;/m:t&gt;&lt;/m:r&gt;&lt;/m:e&gt;&lt;m:sub&gt;&lt;m:r&gt;&lt;w:rPr&gt;&lt;w:rFonts w:ascii=&quot;Cambria Math&quot; w:fareast=&quot;Times New Roman&quot; w:h-ansi=&quot;Cambria Math&quot;/&gt;&lt;wx:font wx:val=&quot;Cambria Math&quot;/&gt;&lt;w:i/&gt;&lt;w:sz w:val=&quot;28&quot;/&gt;&lt;/w:rPr&gt;&lt;m:t&gt;0&lt;/m:t&gt;&lt;/m:r&gt;&lt;/m:sub&gt;&lt;/m:sSub&gt;&lt;/m:num&gt;&lt;m:den&gt;&lt;m:r&gt;&lt;w:rPr&gt;&lt;w:rFonts w:ascii=&quot;Cambria Math&quot; w:fareast=&quot;Times New Roman&quot; w:h-ansi=&quot;Cambria Math&quot;/&gt;&lt;wx:font wx:val=&quot;Cambria Math&quot;/&gt;&lt;w:i/&gt;&lt;w:sz w:val=&quot;28&quot;/&gt;&lt;/w:rPr&gt;&lt;m:t&gt;hГ—d&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4" o:title="" chromakey="white"/>
          </v:shape>
        </w:pict>
      </w:r>
    </w:p>
    <w:p w:rsidR="002D1E45" w:rsidRPr="004D071E" w:rsidRDefault="002D1E45" w:rsidP="004D071E">
      <w:pPr>
        <w:keepNext/>
        <w:widowControl w:val="0"/>
        <w:tabs>
          <w:tab w:val="left" w:pos="8102"/>
          <w:tab w:val="left" w:pos="9715"/>
        </w:tabs>
        <w:spacing w:before="49" w:after="0" w:line="240" w:lineRule="auto"/>
        <w:ind w:left="2386"/>
        <w:contextualSpacing/>
        <w:rPr>
          <w:rFonts w:ascii="Times New Roman" w:hAnsi="Times New Roman"/>
          <w:sz w:val="28"/>
        </w:rPr>
      </w:pPr>
    </w:p>
    <w:p w:rsidR="002D1E45" w:rsidRPr="004D071E" w:rsidRDefault="002D1E45" w:rsidP="004D071E">
      <w:pPr>
        <w:keepNext/>
        <w:widowControl w:val="0"/>
        <w:spacing w:after="0" w:line="240" w:lineRule="auto"/>
        <w:ind w:left="686"/>
        <w:contextualSpacing/>
        <w:rPr>
          <w:rFonts w:ascii="Times New Roman" w:hAnsi="Times New Roman"/>
          <w:sz w:val="28"/>
          <w:szCs w:val="28"/>
        </w:rPr>
      </w:pPr>
      <w:r w:rsidRPr="004D071E">
        <w:rPr>
          <w:rFonts w:ascii="Times New Roman" w:hAnsi="Times New Roman"/>
          <w:sz w:val="28"/>
          <w:szCs w:val="28"/>
        </w:rPr>
        <w:t>где:</w:t>
      </w:r>
    </w:p>
    <w:p w:rsidR="002D1E45" w:rsidRPr="004D071E" w:rsidRDefault="002D1E45" w:rsidP="004D071E">
      <w:pPr>
        <w:keepNext/>
        <w:widowControl w:val="0"/>
        <w:spacing w:after="0" w:line="240" w:lineRule="auto"/>
        <w:ind w:left="686"/>
        <w:contextualSpacing/>
        <w:rPr>
          <w:rFonts w:ascii="Times New Roman" w:hAnsi="Times New Roman"/>
          <w:sz w:val="28"/>
          <w:szCs w:val="28"/>
        </w:rPr>
      </w:pPr>
      <w:r w:rsidRPr="004D071E">
        <w:rPr>
          <w:rFonts w:ascii="Times New Roman" w:hAnsi="Times New Roman"/>
          <w:spacing w:val="-4"/>
          <w:sz w:val="28"/>
          <w:szCs w:val="28"/>
        </w:rPr>
        <w:t>K</w:t>
      </w:r>
      <w:r w:rsidRPr="004D071E">
        <w:rPr>
          <w:rFonts w:ascii="Times New Roman" w:hAnsi="Times New Roman"/>
          <w:spacing w:val="-4"/>
          <w:position w:val="-3"/>
          <w:sz w:val="18"/>
          <w:szCs w:val="28"/>
        </w:rPr>
        <w:t xml:space="preserve">2 </w:t>
      </w:r>
      <w:r w:rsidRPr="004D071E">
        <w:rPr>
          <w:rFonts w:ascii="Times New Roman" w:hAnsi="Times New Roman"/>
          <w:sz w:val="28"/>
          <w:szCs w:val="28"/>
        </w:rPr>
        <w:t xml:space="preserve">– </w:t>
      </w:r>
      <w:r w:rsidRPr="004D071E">
        <w:rPr>
          <w:rFonts w:ascii="Times New Roman" w:hAnsi="Times New Roman"/>
          <w:spacing w:val="-9"/>
          <w:sz w:val="28"/>
          <w:szCs w:val="28"/>
        </w:rPr>
        <w:t xml:space="preserve">коэффициент, </w:t>
      </w:r>
      <w:r w:rsidRPr="004D071E">
        <w:rPr>
          <w:rFonts w:ascii="Times New Roman" w:hAnsi="Times New Roman"/>
          <w:sz w:val="28"/>
          <w:szCs w:val="28"/>
        </w:rPr>
        <w:t>зависящий</w:t>
      </w:r>
      <w:r w:rsidRPr="004D071E">
        <w:rPr>
          <w:rFonts w:ascii="Times New Roman" w:hAnsi="Times New Roman"/>
          <w:spacing w:val="-9"/>
          <w:sz w:val="28"/>
          <w:szCs w:val="28"/>
        </w:rPr>
        <w:t xml:space="preserve"> </w:t>
      </w:r>
      <w:r w:rsidRPr="004D071E">
        <w:rPr>
          <w:rFonts w:ascii="Times New Roman" w:hAnsi="Times New Roman"/>
          <w:spacing w:val="-3"/>
          <w:sz w:val="28"/>
          <w:szCs w:val="28"/>
        </w:rPr>
        <w:t xml:space="preserve">от </w:t>
      </w:r>
      <w:r w:rsidRPr="004D071E">
        <w:rPr>
          <w:rFonts w:ascii="Times New Roman" w:hAnsi="Times New Roman"/>
          <w:spacing w:val="-9"/>
          <w:sz w:val="28"/>
          <w:szCs w:val="28"/>
        </w:rPr>
        <w:t xml:space="preserve">физико-химических </w:t>
      </w:r>
      <w:r w:rsidRPr="004D071E">
        <w:rPr>
          <w:rFonts w:ascii="Times New Roman" w:hAnsi="Times New Roman"/>
          <w:spacing w:val="-8"/>
          <w:sz w:val="28"/>
          <w:szCs w:val="28"/>
        </w:rPr>
        <w:t xml:space="preserve">свойств АХОВ (табл. </w:t>
      </w:r>
      <w:r w:rsidRPr="004D071E">
        <w:rPr>
          <w:rFonts w:ascii="Times New Roman" w:hAnsi="Times New Roman"/>
          <w:spacing w:val="-7"/>
          <w:sz w:val="28"/>
          <w:szCs w:val="28"/>
        </w:rPr>
        <w:t>П2);</w:t>
      </w:r>
    </w:p>
    <w:p w:rsidR="002D1E45" w:rsidRPr="004D071E" w:rsidRDefault="002D1E45" w:rsidP="004D071E">
      <w:pPr>
        <w:keepNext/>
        <w:widowControl w:val="0"/>
        <w:spacing w:after="0" w:line="240" w:lineRule="auto"/>
        <w:ind w:left="686"/>
        <w:contextualSpacing/>
        <w:rPr>
          <w:rFonts w:ascii="Times New Roman" w:hAnsi="Times New Roman"/>
          <w:sz w:val="28"/>
          <w:szCs w:val="28"/>
        </w:rPr>
      </w:pPr>
      <w:r w:rsidRPr="004D071E">
        <w:rPr>
          <w:rFonts w:ascii="Times New Roman" w:hAnsi="Times New Roman"/>
          <w:sz w:val="28"/>
          <w:szCs w:val="28"/>
        </w:rPr>
        <w:t>K</w:t>
      </w:r>
      <w:r w:rsidRPr="004D071E">
        <w:rPr>
          <w:rFonts w:ascii="Times New Roman" w:hAnsi="Times New Roman"/>
          <w:position w:val="-3"/>
          <w:sz w:val="18"/>
          <w:szCs w:val="28"/>
        </w:rPr>
        <w:t xml:space="preserve">4 </w:t>
      </w:r>
      <w:r w:rsidRPr="004D071E">
        <w:rPr>
          <w:rFonts w:ascii="Times New Roman" w:hAnsi="Times New Roman"/>
          <w:sz w:val="28"/>
          <w:szCs w:val="28"/>
        </w:rPr>
        <w:t xml:space="preserve">– коэффициент, учитывающий скорость ветра (табл. </w:t>
      </w:r>
      <w:r w:rsidRPr="004D071E">
        <w:rPr>
          <w:rFonts w:ascii="Times New Roman" w:hAnsi="Times New Roman"/>
          <w:sz w:val="28"/>
          <w:szCs w:val="24"/>
          <w:lang w:eastAsia="ru-RU"/>
        </w:rPr>
        <w:t>В.4 приложения В СП 165.1325800.2014</w:t>
      </w:r>
      <w:r w:rsidRPr="004D071E">
        <w:rPr>
          <w:rFonts w:ascii="Times New Roman" w:hAnsi="Times New Roman"/>
          <w:sz w:val="28"/>
          <w:szCs w:val="28"/>
        </w:rPr>
        <w:t>);</w:t>
      </w:r>
    </w:p>
    <w:p w:rsidR="002D1E45" w:rsidRPr="004D071E" w:rsidRDefault="002D1E45" w:rsidP="004D071E">
      <w:pPr>
        <w:keepNext/>
        <w:widowControl w:val="0"/>
        <w:spacing w:after="0" w:line="240" w:lineRule="auto"/>
        <w:ind w:left="686"/>
        <w:contextualSpacing/>
        <w:rPr>
          <w:rFonts w:ascii="Times New Roman" w:hAnsi="Times New Roman"/>
          <w:sz w:val="28"/>
          <w:szCs w:val="28"/>
        </w:rPr>
      </w:pPr>
      <w:r w:rsidRPr="004D071E">
        <w:rPr>
          <w:rFonts w:ascii="Times New Roman" w:hAnsi="Times New Roman"/>
          <w:spacing w:val="-4"/>
          <w:sz w:val="28"/>
          <w:szCs w:val="28"/>
        </w:rPr>
        <w:t>K</w:t>
      </w:r>
      <w:r w:rsidRPr="004D071E">
        <w:rPr>
          <w:rFonts w:ascii="Times New Roman" w:hAnsi="Times New Roman"/>
          <w:spacing w:val="-4"/>
          <w:position w:val="-3"/>
          <w:sz w:val="18"/>
          <w:szCs w:val="28"/>
        </w:rPr>
        <w:t xml:space="preserve">6 </w:t>
      </w:r>
      <w:r w:rsidRPr="004D071E">
        <w:rPr>
          <w:rFonts w:ascii="Times New Roman" w:hAnsi="Times New Roman"/>
          <w:sz w:val="28"/>
          <w:szCs w:val="28"/>
        </w:rPr>
        <w:t>– коэффициент</w:t>
      </w:r>
      <w:r w:rsidRPr="004D071E">
        <w:rPr>
          <w:rFonts w:ascii="Times New Roman" w:hAnsi="Times New Roman"/>
          <w:spacing w:val="-7"/>
          <w:sz w:val="28"/>
          <w:szCs w:val="28"/>
        </w:rPr>
        <w:t xml:space="preserve">, зависящий </w:t>
      </w:r>
      <w:r w:rsidRPr="004D071E">
        <w:rPr>
          <w:rFonts w:ascii="Times New Roman" w:hAnsi="Times New Roman"/>
          <w:spacing w:val="-3"/>
          <w:sz w:val="28"/>
          <w:szCs w:val="28"/>
        </w:rPr>
        <w:t xml:space="preserve">от </w:t>
      </w:r>
      <w:r w:rsidRPr="004D071E">
        <w:rPr>
          <w:rFonts w:ascii="Times New Roman" w:hAnsi="Times New Roman"/>
          <w:spacing w:val="-6"/>
          <w:sz w:val="28"/>
          <w:szCs w:val="28"/>
        </w:rPr>
        <w:t xml:space="preserve">времени, </w:t>
      </w:r>
      <w:r w:rsidRPr="004D071E">
        <w:rPr>
          <w:rFonts w:ascii="Times New Roman" w:hAnsi="Times New Roman"/>
          <w:spacing w:val="-7"/>
          <w:sz w:val="28"/>
          <w:szCs w:val="28"/>
        </w:rPr>
        <w:t xml:space="preserve">прошедшего </w:t>
      </w:r>
      <w:r w:rsidRPr="004D071E">
        <w:rPr>
          <w:rFonts w:ascii="Times New Roman" w:hAnsi="Times New Roman"/>
          <w:spacing w:val="-6"/>
          <w:sz w:val="28"/>
          <w:szCs w:val="28"/>
        </w:rPr>
        <w:t xml:space="preserve">после начала аварии </w:t>
      </w:r>
      <w:r w:rsidRPr="004D071E">
        <w:rPr>
          <w:rFonts w:ascii="Times New Roman" w:hAnsi="Times New Roman"/>
          <w:spacing w:val="-5"/>
          <w:sz w:val="28"/>
          <w:szCs w:val="28"/>
        </w:rPr>
        <w:t xml:space="preserve">N; </w:t>
      </w:r>
      <w:r w:rsidRPr="004D071E">
        <w:rPr>
          <w:rFonts w:ascii="Times New Roman" w:hAnsi="Times New Roman"/>
          <w:sz w:val="28"/>
          <w:szCs w:val="28"/>
        </w:rPr>
        <w:t>значение коэффициента определяется после расчёта продолжительности</w:t>
      </w:r>
    </w:p>
    <w:p w:rsidR="002D1E45" w:rsidRPr="004D071E" w:rsidRDefault="002D1E45" w:rsidP="004D071E">
      <w:pPr>
        <w:keepNext/>
        <w:widowControl w:val="0"/>
        <w:spacing w:before="7" w:after="0" w:line="225" w:lineRule="auto"/>
        <w:ind w:left="709" w:right="95"/>
        <w:contextualSpacing/>
        <w:rPr>
          <w:rFonts w:ascii="Times New Roman" w:hAnsi="Times New Roman"/>
          <w:sz w:val="28"/>
          <w:szCs w:val="28"/>
        </w:rPr>
      </w:pPr>
      <w:r w:rsidRPr="004D071E">
        <w:rPr>
          <w:rFonts w:ascii="Times New Roman" w:hAnsi="Times New Roman"/>
          <w:sz w:val="28"/>
          <w:szCs w:val="28"/>
        </w:rPr>
        <w:t>испарения вещества T:</w:t>
      </w:r>
    </w:p>
    <w:p w:rsidR="002D1E45" w:rsidRPr="004D071E" w:rsidRDefault="002D1E45" w:rsidP="004D071E">
      <w:pPr>
        <w:keepNext/>
        <w:widowControl w:val="0"/>
        <w:spacing w:before="7" w:after="0" w:line="225" w:lineRule="auto"/>
        <w:ind w:left="709" w:right="95"/>
        <w:contextualSpacing/>
        <w:rPr>
          <w:rFonts w:ascii="Times New Roman" w:hAnsi="Times New Roman"/>
          <w:sz w:val="28"/>
          <w:szCs w:val="28"/>
        </w:rPr>
      </w:pPr>
    </w:p>
    <w:p w:rsidR="002D1E45" w:rsidRPr="004D071E" w:rsidRDefault="002D1E45" w:rsidP="004D071E">
      <w:pPr>
        <w:keepNext/>
        <w:widowControl w:val="0"/>
        <w:spacing w:before="7" w:after="0" w:line="225" w:lineRule="auto"/>
        <w:ind w:right="95"/>
        <w:contextualSpacing/>
        <w:jc w:val="center"/>
        <w:rPr>
          <w:rFonts w:ascii="Times New Roman" w:hAnsi="Times New Roman"/>
          <w:sz w:val="9"/>
          <w:szCs w:val="28"/>
        </w:rPr>
      </w:pPr>
      <w:r>
        <w:pict>
          <v:shape id="_x0000_i1039" type="#_x0000_t75" style="width:125.25pt;height:31.5pt" equationxml="&lt;?xml version=&quot;1.0&quot; encoding=&quot;UTF-8&quot; standalone=&quot;yes&quot;?&gt;&#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stylePaneFormatFilter w:val=&quot;3F01&quot;/&gt;&lt;w:defaultTabStop w:val=&quot;709&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55249&quot;/&gt;&lt;wsp:rsid wsp:val=&quot;00000069&quot;/&gt;&lt;wsp:rsid wsp:val=&quot;0000011C&quot;/&gt;&lt;wsp:rsid wsp:val=&quot;00000437&quot;/&gt;&lt;wsp:rsid wsp:val=&quot;00001379&quot;/&gt;&lt;wsp:rsid wsp:val=&quot;0000148E&quot;/&gt;&lt;wsp:rsid wsp:val=&quot;00001718&quot;/&gt;&lt;wsp:rsid wsp:val=&quot;000017EA&quot;/&gt;&lt;wsp:rsid wsp:val=&quot;00001828&quot;/&gt;&lt;wsp:rsid wsp:val=&quot;00001D98&quot;/&gt;&lt;wsp:rsid wsp:val=&quot;0000229E&quot;/&gt;&lt;wsp:rsid wsp:val=&quot;000027D5&quot;/&gt;&lt;wsp:rsid wsp:val=&quot;00002824&quot;/&gt;&lt;wsp:rsid wsp:val=&quot;00002C12&quot;/&gt;&lt;wsp:rsid wsp:val=&quot;00002C43&quot;/&gt;&lt;wsp:rsid wsp:val=&quot;00002D9C&quot;/&gt;&lt;wsp:rsid wsp:val=&quot;00002F36&quot;/&gt;&lt;wsp:rsid wsp:val=&quot;0000302F&quot;/&gt;&lt;wsp:rsid wsp:val=&quot;00003030&quot;/&gt;&lt;wsp:rsid wsp:val=&quot;00003EFF&quot;/&gt;&lt;wsp:rsid wsp:val=&quot;0000414C&quot;/&gt;&lt;wsp:rsid wsp:val=&quot;0000443D&quot;/&gt;&lt;wsp:rsid wsp:val=&quot;000046CC&quot;/&gt;&lt;wsp:rsid wsp:val=&quot;00004716&quot;/&gt;&lt;wsp:rsid wsp:val=&quot;0000486D&quot;/&gt;&lt;wsp:rsid wsp:val=&quot;000049C0&quot;/&gt;&lt;wsp:rsid wsp:val=&quot;00004D19&quot;/&gt;&lt;wsp:rsid wsp:val=&quot;00004FAE&quot;/&gt;&lt;wsp:rsid wsp:val=&quot;00004FFC&quot;/&gt;&lt;wsp:rsid wsp:val=&quot;00005636&quot;/&gt;&lt;wsp:rsid wsp:val=&quot;000056E1&quot;/&gt;&lt;wsp:rsid wsp:val=&quot;00005DAF&quot;/&gt;&lt;wsp:rsid wsp:val=&quot;00005F1A&quot;/&gt;&lt;wsp:rsid wsp:val=&quot;00005FEB&quot;/&gt;&lt;wsp:rsid wsp:val=&quot;00006392&quot;/&gt;&lt;wsp:rsid wsp:val=&quot;000063D0&quot;/&gt;&lt;wsp:rsid wsp:val=&quot;00006AE8&quot;/&gt;&lt;wsp:rsid wsp:val=&quot;00006D6F&quot;/&gt;&lt;wsp:rsid wsp:val=&quot;00007175&quot;/&gt;&lt;wsp:rsid wsp:val=&quot;00007274&quot;/&gt;&lt;wsp:rsid wsp:val=&quot;00007B99&quot;/&gt;&lt;wsp:rsid wsp:val=&quot;000101C0&quot;/&gt;&lt;wsp:rsid wsp:val=&quot;00010212&quot;/&gt;&lt;wsp:rsid wsp:val=&quot;00010264&quot;/&gt;&lt;wsp:rsid wsp:val=&quot;000102BD&quot;/&gt;&lt;wsp:rsid wsp:val=&quot;000102EA&quot;/&gt;&lt;wsp:rsid wsp:val=&quot;00010466&quot;/&gt;&lt;wsp:rsid wsp:val=&quot;00010AB4&quot;/&gt;&lt;wsp:rsid wsp:val=&quot;00010B0B&quot;/&gt;&lt;wsp:rsid wsp:val=&quot;00010C3B&quot;/&gt;&lt;wsp:rsid wsp:val=&quot;00010F91&quot;/&gt;&lt;wsp:rsid wsp:val=&quot;000112EE&quot;/&gt;&lt;wsp:rsid wsp:val=&quot;0001146D&quot;/&gt;&lt;wsp:rsid wsp:val=&quot;00011665&quot;/&gt;&lt;wsp:rsid wsp:val=&quot;00011B64&quot;/&gt;&lt;wsp:rsid wsp:val=&quot;00011CA8&quot;/&gt;&lt;wsp:rsid wsp:val=&quot;00011DE4&quot;/&gt;&lt;wsp:rsid wsp:val=&quot;000124AE&quot;/&gt;&lt;wsp:rsid wsp:val=&quot;000127BC&quot;/&gt;&lt;wsp:rsid wsp:val=&quot;00012A66&quot;/&gt;&lt;wsp:rsid wsp:val=&quot;00012DA8&quot;/&gt;&lt;wsp:rsid wsp:val=&quot;00013A20&quot;/&gt;&lt;wsp:rsid wsp:val=&quot;00013A8A&quot;/&gt;&lt;wsp:rsid wsp:val=&quot;00013CAF&quot;/&gt;&lt;wsp:rsid wsp:val=&quot;00013FBF&quot;/&gt;&lt;wsp:rsid wsp:val=&quot;00014152&quot;/&gt;&lt;wsp:rsid wsp:val=&quot;00014177&quot;/&gt;&lt;wsp:rsid wsp:val=&quot;0001436E&quot;/&gt;&lt;wsp:rsid wsp:val=&quot;00014640&quot;/&gt;&lt;wsp:rsid wsp:val=&quot;000146AB&quot;/&gt;&lt;wsp:rsid wsp:val=&quot;0001483D&quot;/&gt;&lt;wsp:rsid wsp:val=&quot;00014851&quot;/&gt;&lt;wsp:rsid wsp:val=&quot;00014B97&quot;/&gt;&lt;wsp:rsid wsp:val=&quot;00014CA6&quot;/&gt;&lt;wsp:rsid wsp:val=&quot;00015089&quot;/&gt;&lt;wsp:rsid wsp:val=&quot;00015200&quot;/&gt;&lt;wsp:rsid wsp:val=&quot;00015247&quot;/&gt;&lt;wsp:rsid wsp:val=&quot;00015471&quot;/&gt;&lt;wsp:rsid wsp:val=&quot;00015475&quot;/&gt;&lt;wsp:rsid wsp:val=&quot;000156EB&quot;/&gt;&lt;wsp:rsid wsp:val=&quot;00015CFD&quot;/&gt;&lt;wsp:rsid wsp:val=&quot;00015E89&quot;/&gt;&lt;wsp:rsid wsp:val=&quot;000162CA&quot;/&gt;&lt;wsp:rsid wsp:val=&quot;000168D8&quot;/&gt;&lt;wsp:rsid wsp:val=&quot;00016BF0&quot;/&gt;&lt;wsp:rsid wsp:val=&quot;00016DD4&quot;/&gt;&lt;wsp:rsid wsp:val=&quot;00016F5A&quot;/&gt;&lt;wsp:rsid wsp:val=&quot;000171AD&quot;/&gt;&lt;wsp:rsid wsp:val=&quot;0001725E&quot;/&gt;&lt;wsp:rsid wsp:val=&quot;000173C4&quot;/&gt;&lt;wsp:rsid wsp:val=&quot;0001783F&quot;/&gt;&lt;wsp:rsid wsp:val=&quot;00017B5A&quot;/&gt;&lt;wsp:rsid wsp:val=&quot;00017FC8&quot;/&gt;&lt;wsp:rsid wsp:val=&quot;000200B7&quot;/&gt;&lt;wsp:rsid wsp:val=&quot;00020690&quot;/&gt;&lt;wsp:rsid wsp:val=&quot;000207BC&quot;/&gt;&lt;wsp:rsid wsp:val=&quot;00020B70&quot;/&gt;&lt;wsp:rsid wsp:val=&quot;00020CF2&quot;/&gt;&lt;wsp:rsid wsp:val=&quot;00020D15&quot;/&gt;&lt;wsp:rsid wsp:val=&quot;0002146E&quot;/&gt;&lt;wsp:rsid wsp:val=&quot;000216FC&quot;/&gt;&lt;wsp:rsid wsp:val=&quot;00021808&quot;/&gt;&lt;wsp:rsid wsp:val=&quot;00021864&quot;/&gt;&lt;wsp:rsid wsp:val=&quot;000219DD&quot;/&gt;&lt;wsp:rsid wsp:val=&quot;00021A57&quot;/&gt;&lt;wsp:rsid wsp:val=&quot;00021C1B&quot;/&gt;&lt;wsp:rsid wsp:val=&quot;00021C6A&quot;/&gt;&lt;wsp:rsid wsp:val=&quot;0002261A&quot;/&gt;&lt;wsp:rsid wsp:val=&quot;00022689&quot;/&gt;&lt;wsp:rsid wsp:val=&quot;0002275A&quot;/&gt;&lt;wsp:rsid wsp:val=&quot;00022976&quot;/&gt;&lt;wsp:rsid wsp:val=&quot;00022B13&quot;/&gt;&lt;wsp:rsid wsp:val=&quot;00022C89&quot;/&gt;&lt;wsp:rsid wsp:val=&quot;00022ED3&quot;/&gt;&lt;wsp:rsid wsp:val=&quot;0002310D&quot;/&gt;&lt;wsp:rsid wsp:val=&quot;0002325C&quot;/&gt;&lt;wsp:rsid wsp:val=&quot;000233B5&quot;/&gt;&lt;wsp:rsid wsp:val=&quot;000235C8&quot;/&gt;&lt;wsp:rsid wsp:val=&quot;000237E7&quot;/&gt;&lt;wsp:rsid wsp:val=&quot;000238DD&quot;/&gt;&lt;wsp:rsid wsp:val=&quot;00023B4A&quot;/&gt;&lt;wsp:rsid wsp:val=&quot;00023CDA&quot;/&gt;&lt;wsp:rsid wsp:val=&quot;0002413B&quot;/&gt;&lt;wsp:rsid wsp:val=&quot;000244A8&quot;/&gt;&lt;wsp:rsid wsp:val=&quot;0002487C&quot;/&gt;&lt;wsp:rsid wsp:val=&quot;00024D37&quot;/&gt;&lt;wsp:rsid wsp:val=&quot;00024F28&quot;/&gt;&lt;wsp:rsid wsp:val=&quot;000252B6&quot;/&gt;&lt;wsp:rsid wsp:val=&quot;000254CC&quot;/&gt;&lt;wsp:rsid wsp:val=&quot;00025586&quot;/&gt;&lt;wsp:rsid wsp:val=&quot;000260FE&quot;/&gt;&lt;wsp:rsid wsp:val=&quot;00026294&quot;/&gt;&lt;wsp:rsid wsp:val=&quot;00026338&quot;/&gt;&lt;wsp:rsid wsp:val=&quot;000266C8&quot;/&gt;&lt;wsp:rsid wsp:val=&quot;00026ABE&quot;/&gt;&lt;wsp:rsid wsp:val=&quot;00026FF4&quot;/&gt;&lt;wsp:rsid wsp:val=&quot;0002729C&quot;/&gt;&lt;wsp:rsid wsp:val=&quot;000279E6&quot;/&gt;&lt;wsp:rsid wsp:val=&quot;00027B3A&quot;/&gt;&lt;wsp:rsid wsp:val=&quot;00027C41&quot;/&gt;&lt;wsp:rsid wsp:val=&quot;00027F89&quot;/&gt;&lt;wsp:rsid wsp:val=&quot;0003050D&quot;/&gt;&lt;wsp:rsid wsp:val=&quot;00030523&quot;/&gt;&lt;wsp:rsid wsp:val=&quot;00031209&quot;/&gt;&lt;wsp:rsid wsp:val=&quot;00031883&quot;/&gt;&lt;wsp:rsid wsp:val=&quot;00032460&quot;/&gt;&lt;wsp:rsid wsp:val=&quot;0003252F&quot;/&gt;&lt;wsp:rsid wsp:val=&quot;000325E4&quot;/&gt;&lt;wsp:rsid wsp:val=&quot;000329BA&quot;/&gt;&lt;wsp:rsid wsp:val=&quot;00032F20&quot;/&gt;&lt;wsp:rsid wsp:val=&quot;000330C7&quot;/&gt;&lt;wsp:rsid wsp:val=&quot;00033121&quot;/&gt;&lt;wsp:rsid wsp:val=&quot;000332E2&quot;/&gt;&lt;wsp:rsid wsp:val=&quot;00033895&quot;/&gt;&lt;wsp:rsid wsp:val=&quot;00033D2D&quot;/&gt;&lt;wsp:rsid wsp:val=&quot;0003401B&quot;/&gt;&lt;wsp:rsid wsp:val=&quot;000341CE&quot;/&gt;&lt;wsp:rsid wsp:val=&quot;00034258&quot;/&gt;&lt;wsp:rsid wsp:val=&quot;00034677&quot;/&gt;&lt;wsp:rsid wsp:val=&quot;000355D5&quot;/&gt;&lt;wsp:rsid wsp:val=&quot;0003587E&quot;/&gt;&lt;wsp:rsid wsp:val=&quot;000358E5&quot;/&gt;&lt;wsp:rsid wsp:val=&quot;00035FC8&quot;/&gt;&lt;wsp:rsid wsp:val=&quot;00036085&quot;/&gt;&lt;wsp:rsid wsp:val=&quot;0003610F&quot;/&gt;&lt;wsp:rsid wsp:val=&quot;00036574&quot;/&gt;&lt;wsp:rsid wsp:val=&quot;00036A0C&quot;/&gt;&lt;wsp:rsid wsp:val=&quot;0003741C&quot;/&gt;&lt;wsp:rsid wsp:val=&quot;000375A9&quot;/&gt;&lt;wsp:rsid wsp:val=&quot;000375E4&quot;/&gt;&lt;wsp:rsid wsp:val=&quot;00037990&quot;/&gt;&lt;wsp:rsid wsp:val=&quot;000379E2&quot;/&gt;&lt;wsp:rsid wsp:val=&quot;00037A8B&quot;/&gt;&lt;wsp:rsid wsp:val=&quot;00037B44&quot;/&gt;&lt;wsp:rsid wsp:val=&quot;00037D86&quot;/&gt;&lt;wsp:rsid wsp:val=&quot;000401B5&quot;/&gt;&lt;wsp:rsid wsp:val=&quot;00040704&quot;/&gt;&lt;wsp:rsid wsp:val=&quot;00040747&quot;/&gt;&lt;wsp:rsid wsp:val=&quot;00040937&quot;/&gt;&lt;wsp:rsid wsp:val=&quot;00040B84&quot;/&gt;&lt;wsp:rsid wsp:val=&quot;00040C12&quot;/&gt;&lt;wsp:rsid wsp:val=&quot;00040DA1&quot;/&gt;&lt;wsp:rsid wsp:val=&quot;00040F18&quot;/&gt;&lt;wsp:rsid wsp:val=&quot;0004110F&quot;/&gt;&lt;wsp:rsid wsp:val=&quot;000412EB&quot;/&gt;&lt;wsp:rsid wsp:val=&quot;0004138D&quot;/&gt;&lt;wsp:rsid wsp:val=&quot;000413F1&quot;/&gt;&lt;wsp:rsid wsp:val=&quot;000414C0&quot;/&gt;&lt;wsp:rsid wsp:val=&quot;00041E8F&quot;/&gt;&lt;wsp:rsid wsp:val=&quot;00041F06&quot;/&gt;&lt;wsp:rsid wsp:val=&quot;0004255B&quot;/&gt;&lt;wsp:rsid wsp:val=&quot;00042594&quot;/&gt;&lt;wsp:rsid wsp:val=&quot;0004273E&quot;/&gt;&lt;wsp:rsid wsp:val=&quot;00042764&quot;/&gt;&lt;wsp:rsid wsp:val=&quot;00042F4A&quot;/&gt;&lt;wsp:rsid wsp:val=&quot;000430F4&quot;/&gt;&lt;wsp:rsid wsp:val=&quot;00043921&quot;/&gt;&lt;wsp:rsid wsp:val=&quot;00043935&quot;/&gt;&lt;wsp:rsid wsp:val=&quot;00043EB2&quot;/&gt;&lt;wsp:rsid wsp:val=&quot;0004419F&quot;/&gt;&lt;wsp:rsid wsp:val=&quot;00044391&quot;/&gt;&lt;wsp:rsid wsp:val=&quot;0004446E&quot;/&gt;&lt;wsp:rsid wsp:val=&quot;000444B3&quot;/&gt;&lt;wsp:rsid wsp:val=&quot;00044538&quot;/&gt;&lt;wsp:rsid wsp:val=&quot;0004488A&quot;/&gt;&lt;wsp:rsid wsp:val=&quot;000449CE&quot;/&gt;&lt;wsp:rsid wsp:val=&quot;00044A16&quot;/&gt;&lt;wsp:rsid wsp:val=&quot;00044B5C&quot;/&gt;&lt;wsp:rsid wsp:val=&quot;00044D18&quot;/&gt;&lt;wsp:rsid wsp:val=&quot;00044E73&quot;/&gt;&lt;wsp:rsid wsp:val=&quot;00044F28&quot;/&gt;&lt;wsp:rsid wsp:val=&quot;00044FEF&quot;/&gt;&lt;wsp:rsid wsp:val=&quot;00045598&quot;/&gt;&lt;wsp:rsid wsp:val=&quot;00045B35&quot;/&gt;&lt;wsp:rsid wsp:val=&quot;00045E51&quot;/&gt;&lt;wsp:rsid wsp:val=&quot;00046110&quot;/&gt;&lt;wsp:rsid wsp:val=&quot;00046429&quot;/&gt;&lt;wsp:rsid wsp:val=&quot;0004668C&quot;/&gt;&lt;wsp:rsid wsp:val=&quot;000475D4&quot;/&gt;&lt;wsp:rsid wsp:val=&quot;00047C17&quot;/&gt;&lt;wsp:rsid wsp:val=&quot;00047C27&quot;/&gt;&lt;wsp:rsid wsp:val=&quot;00047C59&quot;/&gt;&lt;wsp:rsid wsp:val=&quot;00047F34&quot;/&gt;&lt;wsp:rsid wsp:val=&quot;000504F0&quot;/&gt;&lt;wsp:rsid wsp:val=&quot;00050664&quot;/&gt;&lt;wsp:rsid wsp:val=&quot;00050880&quot;/&gt;&lt;wsp:rsid wsp:val=&quot;00050993&quot;/&gt;&lt;wsp:rsid wsp:val=&quot;00050FD6&quot;/&gt;&lt;wsp:rsid wsp:val=&quot;00051206&quot;/&gt;&lt;wsp:rsid wsp:val=&quot;000515A2&quot;/&gt;&lt;wsp:rsid wsp:val=&quot;00051F54&quot;/&gt;&lt;wsp:rsid wsp:val=&quot;000520A1&quot;/&gt;&lt;wsp:rsid wsp:val=&quot;000525EB&quot;/&gt;&lt;wsp:rsid wsp:val=&quot;0005266E&quot;/&gt;&lt;wsp:rsid wsp:val=&quot;000527E0&quot;/&gt;&lt;wsp:rsid wsp:val=&quot;00052923&quot;/&gt;&lt;wsp:rsid wsp:val=&quot;00052D26&quot;/&gt;&lt;wsp:rsid wsp:val=&quot;00052E31&quot;/&gt;&lt;wsp:rsid wsp:val=&quot;000535A5&quot;/&gt;&lt;wsp:rsid wsp:val=&quot;000536A3&quot;/&gt;&lt;wsp:rsid wsp:val=&quot;00053D10&quot;/&gt;&lt;wsp:rsid wsp:val=&quot;00053F2B&quot;/&gt;&lt;wsp:rsid wsp:val=&quot;00053F37&quot;/&gt;&lt;wsp:rsid wsp:val=&quot;000546C9&quot;/&gt;&lt;wsp:rsid wsp:val=&quot;000547F3&quot;/&gt;&lt;wsp:rsid wsp:val=&quot;000548C7&quot;/&gt;&lt;wsp:rsid wsp:val=&quot;00054E12&quot;/&gt;&lt;wsp:rsid wsp:val=&quot;00054E32&quot;/&gt;&lt;wsp:rsid wsp:val=&quot;000551DD&quot;/&gt;&lt;wsp:rsid wsp:val=&quot;0005551E&quot;/&gt;&lt;wsp:rsid wsp:val=&quot;00055725&quot;/&gt;&lt;wsp:rsid wsp:val=&quot;0005582F&quot;/&gt;&lt;wsp:rsid wsp:val=&quot;000558B6&quot;/&gt;&lt;wsp:rsid wsp:val=&quot;00055A9A&quot;/&gt;&lt;wsp:rsid wsp:val=&quot;00055D45&quot;/&gt;&lt;wsp:rsid wsp:val=&quot;00055E28&quot;/&gt;&lt;wsp:rsid wsp:val=&quot;000563E2&quot;/&gt;&lt;wsp:rsid wsp:val=&quot;0005646A&quot;/&gt;&lt;wsp:rsid wsp:val=&quot;00056820&quot;/&gt;&lt;wsp:rsid wsp:val=&quot;00056C8F&quot;/&gt;&lt;wsp:rsid wsp:val=&quot;000570B4&quot;/&gt;&lt;wsp:rsid wsp:val=&quot;00057287&quot;/&gt;&lt;wsp:rsid wsp:val=&quot;00057450&quot;/&gt;&lt;wsp:rsid wsp:val=&quot;00057FD1&quot;/&gt;&lt;wsp:rsid wsp:val=&quot;000605C6&quot;/&gt;&lt;wsp:rsid wsp:val=&quot;0006094F&quot;/&gt;&lt;wsp:rsid wsp:val=&quot;00060D9A&quot;/&gt;&lt;wsp:rsid wsp:val=&quot;0006114D&quot;/&gt;&lt;wsp:rsid wsp:val=&quot;00061342&quot;/&gt;&lt;wsp:rsid wsp:val=&quot;000616FB&quot;/&gt;&lt;wsp:rsid wsp:val=&quot;00061D4B&quot;/&gt;&lt;wsp:rsid wsp:val=&quot;0006251F&quot;/&gt;&lt;wsp:rsid wsp:val=&quot;00062BCA&quot;/&gt;&lt;wsp:rsid wsp:val=&quot;00063845&quot;/&gt;&lt;wsp:rsid wsp:val=&quot;00063E7D&quot;/&gt;&lt;wsp:rsid wsp:val=&quot;00063F8C&quot;/&gt;&lt;wsp:rsid wsp:val=&quot;00064336&quot;/&gt;&lt;wsp:rsid wsp:val=&quot;000643A2&quot;/&gt;&lt;wsp:rsid wsp:val=&quot;00064B66&quot;/&gt;&lt;wsp:rsid wsp:val=&quot;00064F9D&quot;/&gt;&lt;wsp:rsid wsp:val=&quot;0006561A&quot;/&gt;&lt;wsp:rsid wsp:val=&quot;000659B9&quot;/&gt;&lt;wsp:rsid wsp:val=&quot;00065B48&quot;/&gt;&lt;wsp:rsid wsp:val=&quot;00065F03&quot;/&gt;&lt;wsp:rsid wsp:val=&quot;00066175&quot;/&gt;&lt;wsp:rsid wsp:val=&quot;000661F0&quot;/&gt;&lt;wsp:rsid wsp:val=&quot;00066384&quot;/&gt;&lt;wsp:rsid wsp:val=&quot;00066556&quot;/&gt;&lt;wsp:rsid wsp:val=&quot;00066C9F&quot;/&gt;&lt;wsp:rsid wsp:val=&quot;00066D83&quot;/&gt;&lt;wsp:rsid wsp:val=&quot;00067045&quot;/&gt;&lt;wsp:rsid wsp:val=&quot;00067A40&quot;/&gt;&lt;wsp:rsid wsp:val=&quot;00067AA3&quot;/&gt;&lt;wsp:rsid wsp:val=&quot;00067AB9&quot;/&gt;&lt;wsp:rsid wsp:val=&quot;00070000&quot;/&gt;&lt;wsp:rsid wsp:val=&quot;00070067&quot;/&gt;&lt;wsp:rsid wsp:val=&quot;0007015F&quot;/&gt;&lt;wsp:rsid wsp:val=&quot;000702C2&quot;/&gt;&lt;wsp:rsid wsp:val=&quot;000702C6&quot;/&gt;&lt;wsp:rsid wsp:val=&quot;00070A24&quot;/&gt;&lt;wsp:rsid wsp:val=&quot;00071628&quot;/&gt;&lt;wsp:rsid wsp:val=&quot;0007185F&quot;/&gt;&lt;wsp:rsid wsp:val=&quot;00072553&quot;/&gt;&lt;wsp:rsid wsp:val=&quot;00072E07&quot;/&gt;&lt;wsp:rsid wsp:val=&quot;00073729&quot;/&gt;&lt;wsp:rsid wsp:val=&quot;000739F2&quot;/&gt;&lt;wsp:rsid wsp:val=&quot;00073E02&quot;/&gt;&lt;wsp:rsid wsp:val=&quot;00074052&quot;/&gt;&lt;wsp:rsid wsp:val=&quot;00074807&quot;/&gt;&lt;wsp:rsid wsp:val=&quot;00075396&quot;/&gt;&lt;wsp:rsid wsp:val=&quot;00075542&quot;/&gt;&lt;wsp:rsid wsp:val=&quot;00075821&quot;/&gt;&lt;wsp:rsid wsp:val=&quot;00075BDC&quot;/&gt;&lt;wsp:rsid wsp:val=&quot;00075C12&quot;/&gt;&lt;wsp:rsid wsp:val=&quot;00076244&quot;/&gt;&lt;wsp:rsid wsp:val=&quot;0007658B&quot;/&gt;&lt;wsp:rsid wsp:val=&quot;000765A5&quot;/&gt;&lt;wsp:rsid wsp:val=&quot;000766B1&quot;/&gt;&lt;wsp:rsid wsp:val=&quot;00076AEC&quot;/&gt;&lt;wsp:rsid wsp:val=&quot;00076B85&quot;/&gt;&lt;wsp:rsid wsp:val=&quot;00077223&quot;/&gt;&lt;wsp:rsid wsp:val=&quot;000775BC&quot;/&gt;&lt;wsp:rsid wsp:val=&quot;00077735&quot;/&gt;&lt;wsp:rsid wsp:val=&quot;00077964&quot;/&gt;&lt;wsp:rsid wsp:val=&quot;00077AC7&quot;/&gt;&lt;wsp:rsid wsp:val=&quot;00080093&quot;/&gt;&lt;wsp:rsid wsp:val=&quot;00080B60&quot;/&gt;&lt;wsp:rsid wsp:val=&quot;00080D86&quot;/&gt;&lt;wsp:rsid wsp:val=&quot;0008123C&quot;/&gt;&lt;wsp:rsid wsp:val=&quot;000815B0&quot;/&gt;&lt;wsp:rsid wsp:val=&quot;000822F8&quot;/&gt;&lt;wsp:rsid wsp:val=&quot;0008289C&quot;/&gt;&lt;wsp:rsid wsp:val=&quot;00082ACC&quot;/&gt;&lt;wsp:rsid wsp:val=&quot;00082EC5&quot;/&gt;&lt;wsp:rsid wsp:val=&quot;00083307&quot;/&gt;&lt;wsp:rsid wsp:val=&quot;0008338D&quot;/&gt;&lt;wsp:rsid wsp:val=&quot;00083405&quot;/&gt;&lt;wsp:rsid wsp:val=&quot;00083653&quot;/&gt;&lt;wsp:rsid wsp:val=&quot;00083ADB&quot;/&gt;&lt;wsp:rsid wsp:val=&quot;00083BC4&quot;/&gt;&lt;wsp:rsid wsp:val=&quot;00083C79&quot;/&gt;&lt;wsp:rsid wsp:val=&quot;000845BC&quot;/&gt;&lt;wsp:rsid wsp:val=&quot;00084681&quot;/&gt;&lt;wsp:rsid wsp:val=&quot;000849E2&quot;/&gt;&lt;wsp:rsid wsp:val=&quot;00085033&quot;/&gt;&lt;wsp:rsid wsp:val=&quot;0008530A&quot;/&gt;&lt;wsp:rsid wsp:val=&quot;00085A95&quot;/&gt;&lt;wsp:rsid wsp:val=&quot;00085CFD&quot;/&gt;&lt;wsp:rsid wsp:val=&quot;0008620C&quot;/&gt;&lt;wsp:rsid wsp:val=&quot;00086329&quot;/&gt;&lt;wsp:rsid wsp:val=&quot;0008638E&quot;/&gt;&lt;wsp:rsid wsp:val=&quot;00086444&quot;/&gt;&lt;wsp:rsid wsp:val=&quot;00086BB9&quot;/&gt;&lt;wsp:rsid wsp:val=&quot;00087727&quot;/&gt;&lt;wsp:rsid wsp:val=&quot;000877E2&quot;/&gt;&lt;wsp:rsid wsp:val=&quot;00087AC4&quot;/&gt;&lt;wsp:rsid wsp:val=&quot;00087E23&quot;/&gt;&lt;wsp:rsid wsp:val=&quot;0009014C&quot;/&gt;&lt;wsp:rsid wsp:val=&quot;0009092E&quot;/&gt;&lt;wsp:rsid wsp:val=&quot;00090D88&quot;/&gt;&lt;wsp:rsid wsp:val=&quot;00091590&quot;/&gt;&lt;wsp:rsid wsp:val=&quot;0009167E&quot;/&gt;&lt;wsp:rsid wsp:val=&quot;00091B44&quot;/&gt;&lt;wsp:rsid wsp:val=&quot;00091DDD&quot;/&gt;&lt;wsp:rsid wsp:val=&quot;00092244&quot;/&gt;&lt;wsp:rsid wsp:val=&quot;000922A0&quot;/&gt;&lt;wsp:rsid wsp:val=&quot;0009250A&quot;/&gt;&lt;wsp:rsid wsp:val=&quot;00092832&quot;/&gt;&lt;wsp:rsid wsp:val=&quot;00092880&quot;/&gt;&lt;wsp:rsid wsp:val=&quot;000928B8&quot;/&gt;&lt;wsp:rsid wsp:val=&quot;00092BDB&quot;/&gt;&lt;wsp:rsid wsp:val=&quot;00092D38&quot;/&gt;&lt;wsp:rsid wsp:val=&quot;00092DF8&quot;/&gt;&lt;wsp:rsid wsp:val=&quot;00093306&quot;/&gt;&lt;wsp:rsid wsp:val=&quot;00093658&quot;/&gt;&lt;wsp:rsid wsp:val=&quot;000936D3&quot;/&gt;&lt;wsp:rsid wsp:val=&quot;00093D53&quot;/&gt;&lt;wsp:rsid wsp:val=&quot;00093FD6&quot;/&gt;&lt;wsp:rsid wsp:val=&quot;000943A3&quot;/&gt;&lt;wsp:rsid wsp:val=&quot;0009494C&quot;/&gt;&lt;wsp:rsid wsp:val=&quot;00094EE1&quot;/&gt;&lt;wsp:rsid wsp:val=&quot;00095196&quot;/&gt;&lt;wsp:rsid wsp:val=&quot;00095C3B&quot;/&gt;&lt;wsp:rsid wsp:val=&quot;00096485&quot;/&gt;&lt;wsp:rsid wsp:val=&quot;000964BF&quot;/&gt;&lt;wsp:rsid wsp:val=&quot;00096807&quot;/&gt;&lt;wsp:rsid wsp:val=&quot;00096843&quot;/&gt;&lt;wsp:rsid wsp:val=&quot;000968B5&quot;/&gt;&lt;wsp:rsid wsp:val=&quot;00096B2F&quot;/&gt;&lt;wsp:rsid wsp:val=&quot;00096F78&quot;/&gt;&lt;wsp:rsid wsp:val=&quot;00097521&quot;/&gt;&lt;wsp:rsid wsp:val=&quot;000978B1&quot;/&gt;&lt;wsp:rsid wsp:val=&quot;000A002B&quot;/&gt;&lt;wsp:rsid wsp:val=&quot;000A0434&quot;/&gt;&lt;wsp:rsid wsp:val=&quot;000A04F0&quot;/&gt;&lt;wsp:rsid wsp:val=&quot;000A08A6&quot;/&gt;&lt;wsp:rsid wsp:val=&quot;000A0932&quot;/&gt;&lt;wsp:rsid wsp:val=&quot;000A0A93&quot;/&gt;&lt;wsp:rsid wsp:val=&quot;000A0BB0&quot;/&gt;&lt;wsp:rsid wsp:val=&quot;000A0DA2&quot;/&gt;&lt;wsp:rsid wsp:val=&quot;000A16CC&quot;/&gt;&lt;wsp:rsid wsp:val=&quot;000A1A46&quot;/&gt;&lt;wsp:rsid wsp:val=&quot;000A1B18&quot;/&gt;&lt;wsp:rsid wsp:val=&quot;000A1C8A&quot;/&gt;&lt;wsp:rsid wsp:val=&quot;000A379F&quot;/&gt;&lt;wsp:rsid wsp:val=&quot;000A38E0&quot;/&gt;&lt;wsp:rsid wsp:val=&quot;000A39DE&quot;/&gt;&lt;wsp:rsid wsp:val=&quot;000A3C68&quot;/&gt;&lt;wsp:rsid wsp:val=&quot;000A3F95&quot;/&gt;&lt;wsp:rsid wsp:val=&quot;000A4373&quot;/&gt;&lt;wsp:rsid wsp:val=&quot;000A4670&quot;/&gt;&lt;wsp:rsid wsp:val=&quot;000A477D&quot;/&gt;&lt;wsp:rsid wsp:val=&quot;000A47CF&quot;/&gt;&lt;wsp:rsid wsp:val=&quot;000A4C05&quot;/&gt;&lt;wsp:rsid wsp:val=&quot;000A4D03&quot;/&gt;&lt;wsp:rsid wsp:val=&quot;000A4FB4&quot;/&gt;&lt;wsp:rsid wsp:val=&quot;000A4FF6&quot;/&gt;&lt;wsp:rsid wsp:val=&quot;000A512E&quot;/&gt;&lt;wsp:rsid wsp:val=&quot;000A525A&quot;/&gt;&lt;wsp:rsid wsp:val=&quot;000A52FF&quot;/&gt;&lt;wsp:rsid wsp:val=&quot;000A57A2&quot;/&gt;&lt;wsp:rsid wsp:val=&quot;000A5EA9&quot;/&gt;&lt;wsp:rsid wsp:val=&quot;000A611E&quot;/&gt;&lt;wsp:rsid wsp:val=&quot;000A6372&quot;/&gt;&lt;wsp:rsid wsp:val=&quot;000A68B1&quot;/&gt;&lt;wsp:rsid wsp:val=&quot;000A6AAC&quot;/&gt;&lt;wsp:rsid wsp:val=&quot;000A6BF9&quot;/&gt;&lt;wsp:rsid wsp:val=&quot;000A6E06&quot;/&gt;&lt;wsp:rsid wsp:val=&quot;000A718C&quot;/&gt;&lt;wsp:rsid wsp:val=&quot;000A741A&quot;/&gt;&lt;wsp:rsid wsp:val=&quot;000A7430&quot;/&gt;&lt;wsp:rsid wsp:val=&quot;000A7482&quot;/&gt;&lt;wsp:rsid wsp:val=&quot;000A7895&quot;/&gt;&lt;wsp:rsid wsp:val=&quot;000A7BD7&quot;/&gt;&lt;wsp:rsid wsp:val=&quot;000A7D80&quot;/&gt;&lt;wsp:rsid wsp:val=&quot;000B1142&quot;/&gt;&lt;wsp:rsid wsp:val=&quot;000B1322&quot;/&gt;&lt;wsp:rsid wsp:val=&quot;000B149A&quot;/&gt;&lt;wsp:rsid wsp:val=&quot;000B14DF&quot;/&gt;&lt;wsp:rsid wsp:val=&quot;000B167D&quot;/&gt;&lt;wsp:rsid wsp:val=&quot;000B1B67&quot;/&gt;&lt;wsp:rsid wsp:val=&quot;000B1E31&quot;/&gt;&lt;wsp:rsid wsp:val=&quot;000B221A&quot;/&gt;&lt;wsp:rsid wsp:val=&quot;000B251B&quot;/&gt;&lt;wsp:rsid wsp:val=&quot;000B25C3&quot;/&gt;&lt;wsp:rsid wsp:val=&quot;000B27FD&quot;/&gt;&lt;wsp:rsid wsp:val=&quot;000B286C&quot;/&gt;&lt;wsp:rsid wsp:val=&quot;000B2B47&quot;/&gt;&lt;wsp:rsid wsp:val=&quot;000B2B6B&quot;/&gt;&lt;wsp:rsid wsp:val=&quot;000B2C1A&quot;/&gt;&lt;wsp:rsid wsp:val=&quot;000B2EB4&quot;/&gt;&lt;wsp:rsid wsp:val=&quot;000B3481&quot;/&gt;&lt;wsp:rsid wsp:val=&quot;000B3B79&quot;/&gt;&lt;wsp:rsid wsp:val=&quot;000B4097&quot;/&gt;&lt;wsp:rsid wsp:val=&quot;000B40D5&quot;/&gt;&lt;wsp:rsid wsp:val=&quot;000B439E&quot;/&gt;&lt;wsp:rsid wsp:val=&quot;000B4880&quot;/&gt;&lt;wsp:rsid wsp:val=&quot;000B4C48&quot;/&gt;&lt;wsp:rsid wsp:val=&quot;000B51E8&quot;/&gt;&lt;wsp:rsid wsp:val=&quot;000B5B75&quot;/&gt;&lt;wsp:rsid wsp:val=&quot;000B5B94&quot;/&gt;&lt;wsp:rsid wsp:val=&quot;000B5C9E&quot;/&gt;&lt;wsp:rsid wsp:val=&quot;000B641C&quot;/&gt;&lt;wsp:rsid wsp:val=&quot;000B6424&quot;/&gt;&lt;wsp:rsid wsp:val=&quot;000B6501&quot;/&gt;&lt;wsp:rsid wsp:val=&quot;000B6618&quot;/&gt;&lt;wsp:rsid wsp:val=&quot;000B693A&quot;/&gt;&lt;wsp:rsid wsp:val=&quot;000B69BA&quot;/&gt;&lt;wsp:rsid wsp:val=&quot;000B6EF4&quot;/&gt;&lt;wsp:rsid wsp:val=&quot;000B6F17&quot;/&gt;&lt;wsp:rsid wsp:val=&quot;000B6F8A&quot;/&gt;&lt;wsp:rsid wsp:val=&quot;000B7311&quot;/&gt;&lt;wsp:rsid wsp:val=&quot;000B7768&quot;/&gt;&lt;wsp:rsid wsp:val=&quot;000B79A3&quot;/&gt;&lt;wsp:rsid wsp:val=&quot;000C060E&quot;/&gt;&lt;wsp:rsid wsp:val=&quot;000C0854&quot;/&gt;&lt;wsp:rsid wsp:val=&quot;000C0E5A&quot;/&gt;&lt;wsp:rsid wsp:val=&quot;000C0F02&quot;/&gt;&lt;wsp:rsid wsp:val=&quot;000C134A&quot;/&gt;&lt;wsp:rsid wsp:val=&quot;000C1706&quot;/&gt;&lt;wsp:rsid wsp:val=&quot;000C1C1D&quot;/&gt;&lt;wsp:rsid wsp:val=&quot;000C1CF9&quot;/&gt;&lt;wsp:rsid wsp:val=&quot;000C1E63&quot;/&gt;&lt;wsp:rsid wsp:val=&quot;000C1FAA&quot;/&gt;&lt;wsp:rsid wsp:val=&quot;000C2A69&quot;/&gt;&lt;wsp:rsid wsp:val=&quot;000C313A&quot;/&gt;&lt;wsp:rsid wsp:val=&quot;000C313D&quot;/&gt;&lt;wsp:rsid wsp:val=&quot;000C324D&quot;/&gt;&lt;wsp:rsid wsp:val=&quot;000C3271&quot;/&gt;&lt;wsp:rsid wsp:val=&quot;000C34E4&quot;/&gt;&lt;wsp:rsid wsp:val=&quot;000C3563&quot;/&gt;&lt;wsp:rsid wsp:val=&quot;000C36F0&quot;/&gt;&lt;wsp:rsid wsp:val=&quot;000C3850&quot;/&gt;&lt;wsp:rsid wsp:val=&quot;000C3B1C&quot;/&gt;&lt;wsp:rsid wsp:val=&quot;000C3D26&quot;/&gt;&lt;wsp:rsid wsp:val=&quot;000C3E41&quot;/&gt;&lt;wsp:rsid wsp:val=&quot;000C40E5&quot;/&gt;&lt;wsp:rsid wsp:val=&quot;000C458C&quot;/&gt;&lt;wsp:rsid wsp:val=&quot;000C4D5D&quot;/&gt;&lt;wsp:rsid wsp:val=&quot;000C55A4&quot;/&gt;&lt;wsp:rsid wsp:val=&quot;000C5DF7&quot;/&gt;&lt;wsp:rsid wsp:val=&quot;000C6617&quot;/&gt;&lt;wsp:rsid wsp:val=&quot;000C68A4&quot;/&gt;&lt;wsp:rsid wsp:val=&quot;000C695C&quot;/&gt;&lt;wsp:rsid wsp:val=&quot;000C7051&quot;/&gt;&lt;wsp:rsid wsp:val=&quot;000C75BD&quot;/&gt;&lt;wsp:rsid wsp:val=&quot;000C771E&quot;/&gt;&lt;wsp:rsid wsp:val=&quot;000C7AF7&quot;/&gt;&lt;wsp:rsid wsp:val=&quot;000C7FDE&quot;/&gt;&lt;wsp:rsid wsp:val=&quot;000D024B&quot;/&gt;&lt;wsp:rsid wsp:val=&quot;000D03D3&quot;/&gt;&lt;wsp:rsid wsp:val=&quot;000D04D2&quot;/&gt;&lt;wsp:rsid wsp:val=&quot;000D05CB&quot;/&gt;&lt;wsp:rsid wsp:val=&quot;000D06AA&quot;/&gt;&lt;wsp:rsid wsp:val=&quot;000D0A5E&quot;/&gt;&lt;wsp:rsid wsp:val=&quot;000D0E34&quot;/&gt;&lt;wsp:rsid wsp:val=&quot;000D123D&quot;/&gt;&lt;wsp:rsid wsp:val=&quot;000D12B2&quot;/&gt;&lt;wsp:rsid wsp:val=&quot;000D1489&quot;/&gt;&lt;wsp:rsid wsp:val=&quot;000D1698&quot;/&gt;&lt;wsp:rsid wsp:val=&quot;000D1A50&quot;/&gt;&lt;wsp:rsid wsp:val=&quot;000D1C03&quot;/&gt;&lt;wsp:rsid wsp:val=&quot;000D1D53&quot;/&gt;&lt;wsp:rsid wsp:val=&quot;000D232C&quot;/&gt;&lt;wsp:rsid wsp:val=&quot;000D285E&quot;/&gt;&lt;wsp:rsid wsp:val=&quot;000D28F0&quot;/&gt;&lt;wsp:rsid wsp:val=&quot;000D296A&quot;/&gt;&lt;wsp:rsid wsp:val=&quot;000D2992&quot;/&gt;&lt;wsp:rsid wsp:val=&quot;000D2C72&quot;/&gt;&lt;wsp:rsid wsp:val=&quot;000D31FD&quot;/&gt;&lt;wsp:rsid wsp:val=&quot;000D3378&quot;/&gt;&lt;wsp:rsid wsp:val=&quot;000D35B2&quot;/&gt;&lt;wsp:rsid wsp:val=&quot;000D3671&quot;/&gt;&lt;wsp:rsid wsp:val=&quot;000D409D&quot;/&gt;&lt;wsp:rsid wsp:val=&quot;000D4513&quot;/&gt;&lt;wsp:rsid wsp:val=&quot;000D4CD0&quot;/&gt;&lt;wsp:rsid wsp:val=&quot;000D4D1D&quot;/&gt;&lt;wsp:rsid wsp:val=&quot;000D4DC6&quot;/&gt;&lt;wsp:rsid wsp:val=&quot;000D4F86&quot;/&gt;&lt;wsp:rsid wsp:val=&quot;000D50D1&quot;/&gt;&lt;wsp:rsid wsp:val=&quot;000D54E7&quot;/&gt;&lt;wsp:rsid wsp:val=&quot;000D5542&quot;/&gt;&lt;wsp:rsid wsp:val=&quot;000D569C&quot;/&gt;&lt;wsp:rsid wsp:val=&quot;000D57B5&quot;/&gt;&lt;wsp:rsid wsp:val=&quot;000D580C&quot;/&gt;&lt;wsp:rsid wsp:val=&quot;000D5848&quot;/&gt;&lt;wsp:rsid wsp:val=&quot;000D59E3&quot;/&gt;&lt;wsp:rsid wsp:val=&quot;000D5ACC&quot;/&gt;&lt;wsp:rsid wsp:val=&quot;000D5E6D&quot;/&gt;&lt;wsp:rsid wsp:val=&quot;000D5ED1&quot;/&gt;&lt;wsp:rsid wsp:val=&quot;000D6903&quot;/&gt;&lt;wsp:rsid wsp:val=&quot;000D6F84&quot;/&gt;&lt;wsp:rsid wsp:val=&quot;000D6FE1&quot;/&gt;&lt;wsp:rsid wsp:val=&quot;000D708D&quot;/&gt;&lt;wsp:rsid wsp:val=&quot;000D753B&quot;/&gt;&lt;wsp:rsid wsp:val=&quot;000D7FBD&quot;/&gt;&lt;wsp:rsid wsp:val=&quot;000E00E8&quot;/&gt;&lt;wsp:rsid wsp:val=&quot;000E013F&quot;/&gt;&lt;wsp:rsid wsp:val=&quot;000E08A7&quot;/&gt;&lt;wsp:rsid wsp:val=&quot;000E0D19&quot;/&gt;&lt;wsp:rsid wsp:val=&quot;000E1064&quot;/&gt;&lt;wsp:rsid wsp:val=&quot;000E1137&quot;/&gt;&lt;wsp:rsid wsp:val=&quot;000E1324&quot;/&gt;&lt;wsp:rsid wsp:val=&quot;000E147C&quot;/&gt;&lt;wsp:rsid wsp:val=&quot;000E16EE&quot;/&gt;&lt;wsp:rsid wsp:val=&quot;000E1736&quot;/&gt;&lt;wsp:rsid wsp:val=&quot;000E1B5F&quot;/&gt;&lt;wsp:rsid wsp:val=&quot;000E20CF&quot;/&gt;&lt;wsp:rsid wsp:val=&quot;000E2277&quot;/&gt;&lt;wsp:rsid wsp:val=&quot;000E22A7&quot;/&gt;&lt;wsp:rsid wsp:val=&quot;000E22ED&quot;/&gt;&lt;wsp:rsid wsp:val=&quot;000E25F1&quot;/&gt;&lt;wsp:rsid wsp:val=&quot;000E2A13&quot;/&gt;&lt;wsp:rsid wsp:val=&quot;000E32F7&quot;/&gt;&lt;wsp:rsid wsp:val=&quot;000E381E&quot;/&gt;&lt;wsp:rsid wsp:val=&quot;000E3AEB&quot;/&gt;&lt;wsp:rsid wsp:val=&quot;000E4019&quot;/&gt;&lt;wsp:rsid wsp:val=&quot;000E4421&quot;/&gt;&lt;wsp:rsid wsp:val=&quot;000E4906&quot;/&gt;&lt;wsp:rsid wsp:val=&quot;000E4CA2&quot;/&gt;&lt;wsp:rsid wsp:val=&quot;000E4F6D&quot;/&gt;&lt;wsp:rsid wsp:val=&quot;000E5496&quot;/&gt;&lt;wsp:rsid wsp:val=&quot;000E56AD&quot;/&gt;&lt;wsp:rsid wsp:val=&quot;000E56C5&quot;/&gt;&lt;wsp:rsid wsp:val=&quot;000E5B04&quot;/&gt;&lt;wsp:rsid wsp:val=&quot;000E64B9&quot;/&gt;&lt;wsp:rsid wsp:val=&quot;000E6562&quot;/&gt;&lt;wsp:rsid wsp:val=&quot;000E6586&quot;/&gt;&lt;wsp:rsid wsp:val=&quot;000E72CA&quot;/&gt;&lt;wsp:rsid wsp:val=&quot;000E7460&quot;/&gt;&lt;wsp:rsid wsp:val=&quot;000E785F&quot;/&gt;&lt;wsp:rsid wsp:val=&quot;000F0095&quot;/&gt;&lt;wsp:rsid wsp:val=&quot;000F0866&quot;/&gt;&lt;wsp:rsid wsp:val=&quot;000F08DE&quot;/&gt;&lt;wsp:rsid wsp:val=&quot;000F0AEA&quot;/&gt;&lt;wsp:rsid wsp:val=&quot;000F0B14&quot;/&gt;&lt;wsp:rsid wsp:val=&quot;000F0D9D&quot;/&gt;&lt;wsp:rsid wsp:val=&quot;000F1187&quot;/&gt;&lt;wsp:rsid wsp:val=&quot;000F13C2&quot;/&gt;&lt;wsp:rsid wsp:val=&quot;000F15F2&quot;/&gt;&lt;wsp:rsid wsp:val=&quot;000F1830&quot;/&gt;&lt;wsp:rsid wsp:val=&quot;000F2759&quot;/&gt;&lt;wsp:rsid wsp:val=&quot;000F317F&quot;/&gt;&lt;wsp:rsid wsp:val=&quot;000F337B&quot;/&gt;&lt;wsp:rsid wsp:val=&quot;000F3CC7&quot;/&gt;&lt;wsp:rsid wsp:val=&quot;000F403D&quot;/&gt;&lt;wsp:rsid wsp:val=&quot;000F4287&quot;/&gt;&lt;wsp:rsid wsp:val=&quot;000F4389&quot;/&gt;&lt;wsp:rsid wsp:val=&quot;000F484B&quot;/&gt;&lt;wsp:rsid wsp:val=&quot;000F4FAE&quot;/&gt;&lt;wsp:rsid wsp:val=&quot;000F5591&quot;/&gt;&lt;wsp:rsid wsp:val=&quot;000F57E4&quot;/&gt;&lt;wsp:rsid wsp:val=&quot;000F5C16&quot;/&gt;&lt;wsp:rsid wsp:val=&quot;000F60E6&quot;/&gt;&lt;wsp:rsid wsp:val=&quot;000F6F5B&quot;/&gt;&lt;wsp:rsid wsp:val=&quot;000F743B&quot;/&gt;&lt;wsp:rsid wsp:val=&quot;000F79ED&quot;/&gt;&lt;wsp:rsid wsp:val=&quot;000F7E8F&quot;/&gt;&lt;wsp:rsid wsp:val=&quot;00100565&quot;/&gt;&lt;wsp:rsid wsp:val=&quot;0010079F&quot;/&gt;&lt;wsp:rsid wsp:val=&quot;001007F6&quot;/&gt;&lt;wsp:rsid wsp:val=&quot;0010085A&quot;/&gt;&lt;wsp:rsid wsp:val=&quot;00100B18&quot;/&gt;&lt;wsp:rsid wsp:val=&quot;00100C0C&quot;/&gt;&lt;wsp:rsid wsp:val=&quot;00100FA1&quot;/&gt;&lt;wsp:rsid wsp:val=&quot;00100FA5&quot;/&gt;&lt;wsp:rsid wsp:val=&quot;0010136D&quot;/&gt;&lt;wsp:rsid wsp:val=&quot;001013C0&quot;/&gt;&lt;wsp:rsid wsp:val=&quot;0010153E&quot;/&gt;&lt;wsp:rsid wsp:val=&quot;001017D1&quot;/&gt;&lt;wsp:rsid wsp:val=&quot;00101889&quot;/&gt;&lt;wsp:rsid wsp:val=&quot;00101BF0&quot;/&gt;&lt;wsp:rsid wsp:val=&quot;00102343&quot;/&gt;&lt;wsp:rsid wsp:val=&quot;00102433&quot;/&gt;&lt;wsp:rsid wsp:val=&quot;00102564&quot;/&gt;&lt;wsp:rsid wsp:val=&quot;001028FB&quot;/&gt;&lt;wsp:rsid wsp:val=&quot;0010291C&quot;/&gt;&lt;wsp:rsid wsp:val=&quot;00102B88&quot;/&gt;&lt;wsp:rsid wsp:val=&quot;00102C99&quot;/&gt;&lt;wsp:rsid wsp:val=&quot;00103887&quot;/&gt;&lt;wsp:rsid wsp:val=&quot;00103962&quot;/&gt;&lt;wsp:rsid wsp:val=&quot;00103D38&quot;/&gt;&lt;wsp:rsid wsp:val=&quot;00104722&quot;/&gt;&lt;wsp:rsid wsp:val=&quot;00104A66&quot;/&gt;&lt;wsp:rsid wsp:val=&quot;00104A96&quot;/&gt;&lt;wsp:rsid wsp:val=&quot;00104DF2&quot;/&gt;&lt;wsp:rsid wsp:val=&quot;00104E38&quot;/&gt;&lt;wsp:rsid wsp:val=&quot;00104E39&quot;/&gt;&lt;wsp:rsid wsp:val=&quot;001053AC&quot;/&gt;&lt;wsp:rsid wsp:val=&quot;001055E1&quot;/&gt;&lt;wsp:rsid wsp:val=&quot;001057A1&quot;/&gt;&lt;wsp:rsid wsp:val=&quot;00105C11&quot;/&gt;&lt;wsp:rsid wsp:val=&quot;00105CA0&quot;/&gt;&lt;wsp:rsid wsp:val=&quot;0010630B&quot;/&gt;&lt;wsp:rsid wsp:val=&quot;0010653D&quot;/&gt;&lt;wsp:rsid wsp:val=&quot;0010728C&quot;/&gt;&lt;wsp:rsid wsp:val=&quot;00107807&quot;/&gt;&lt;wsp:rsid wsp:val=&quot;0010780B&quot;/&gt;&lt;wsp:rsid wsp:val=&quot;0010794E&quot;/&gt;&lt;wsp:rsid wsp:val=&quot;00107B11&quot;/&gt;&lt;wsp:rsid wsp:val=&quot;00107B79&quot;/&gt;&lt;wsp:rsid wsp:val=&quot;00107D7C&quot;/&gt;&lt;wsp:rsid wsp:val=&quot;00107DE6&quot;/&gt;&lt;wsp:rsid wsp:val=&quot;00110460&quot;/&gt;&lt;wsp:rsid wsp:val=&quot;00110AD1&quot;/&gt;&lt;wsp:rsid wsp:val=&quot;00110B44&quot;/&gt;&lt;wsp:rsid wsp:val=&quot;00110C30&quot;/&gt;&lt;wsp:rsid wsp:val=&quot;00110DE8&quot;/&gt;&lt;wsp:rsid wsp:val=&quot;00111278&quot;/&gt;&lt;wsp:rsid wsp:val=&quot;00111481&quot;/&gt;&lt;wsp:rsid wsp:val=&quot;00111703&quot;/&gt;&lt;wsp:rsid wsp:val=&quot;001122D9&quot;/&gt;&lt;wsp:rsid wsp:val=&quot;001125E5&quot;/&gt;&lt;wsp:rsid wsp:val=&quot;001125E7&quot;/&gt;&lt;wsp:rsid wsp:val=&quot;0011327A&quot;/&gt;&lt;wsp:rsid wsp:val=&quot;001132D9&quot;/&gt;&lt;wsp:rsid wsp:val=&quot;00113605&quot;/&gt;&lt;wsp:rsid wsp:val=&quot;00113943&quot;/&gt;&lt;wsp:rsid wsp:val=&quot;00113975&quot;/&gt;&lt;wsp:rsid wsp:val=&quot;00113AE1&quot;/&gt;&lt;wsp:rsid wsp:val=&quot;00113D29&quot;/&gt;&lt;wsp:rsid wsp:val=&quot;0011400E&quot;/&gt;&lt;wsp:rsid wsp:val=&quot;0011403F&quot;/&gt;&lt;wsp:rsid wsp:val=&quot;001144DA&quot;/&gt;&lt;wsp:rsid wsp:val=&quot;0011463D&quot;/&gt;&lt;wsp:rsid wsp:val=&quot;001147C3&quot;/&gt;&lt;wsp:rsid wsp:val=&quot;00115092&quot;/&gt;&lt;wsp:rsid wsp:val=&quot;001151F3&quot;/&gt;&lt;wsp:rsid wsp:val=&quot;001151FC&quot;/&gt;&lt;wsp:rsid wsp:val=&quot;00115369&quot;/&gt;&lt;wsp:rsid wsp:val=&quot;00115564&quot;/&gt;&lt;wsp:rsid wsp:val=&quot;00115E0B&quot;/&gt;&lt;wsp:rsid wsp:val=&quot;00115E7A&quot;/&gt;&lt;wsp:rsid wsp:val=&quot;00115FB8&quot;/&gt;&lt;wsp:rsid wsp:val=&quot;001163B4&quot;/&gt;&lt;wsp:rsid wsp:val=&quot;0011652B&quot;/&gt;&lt;wsp:rsid wsp:val=&quot;0011673A&quot;/&gt;&lt;wsp:rsid wsp:val=&quot;001167F3&quot;/&gt;&lt;wsp:rsid wsp:val=&quot;0011681B&quot;/&gt;&lt;wsp:rsid wsp:val=&quot;00116D9F&quot;/&gt;&lt;wsp:rsid wsp:val=&quot;00117135&quot;/&gt;&lt;wsp:rsid wsp:val=&quot;00117DF4&quot;/&gt;&lt;wsp:rsid wsp:val=&quot;00117E44&quot;/&gt;&lt;wsp:rsid wsp:val=&quot;001208F5&quot;/&gt;&lt;wsp:rsid wsp:val=&quot;00120EEF&quot;/&gt;&lt;wsp:rsid wsp:val=&quot;00121126&quot;/&gt;&lt;wsp:rsid wsp:val=&quot;00121370&quot;/&gt;&lt;wsp:rsid wsp:val=&quot;00121427&quot;/&gt;&lt;wsp:rsid wsp:val=&quot;00121B9F&quot;/&gt;&lt;wsp:rsid wsp:val=&quot;001225E5&quot;/&gt;&lt;wsp:rsid wsp:val=&quot;00123406&quot;/&gt;&lt;wsp:rsid wsp:val=&quot;00124033&quot;/&gt;&lt;wsp:rsid wsp:val=&quot;0012413D&quot;/&gt;&lt;wsp:rsid wsp:val=&quot;0012415F&quot;/&gt;&lt;wsp:rsid wsp:val=&quot;0012466D&quot;/&gt;&lt;wsp:rsid wsp:val=&quot;001246E9&quot;/&gt;&lt;wsp:rsid wsp:val=&quot;00124768&quot;/&gt;&lt;wsp:rsid wsp:val=&quot;0012480C&quot;/&gt;&lt;wsp:rsid wsp:val=&quot;00124B97&quot;/&gt;&lt;wsp:rsid wsp:val=&quot;00124D10&quot;/&gt;&lt;wsp:rsid wsp:val=&quot;00124EFA&quot;/&gt;&lt;wsp:rsid wsp:val=&quot;001253F8&quot;/&gt;&lt;wsp:rsid wsp:val=&quot;001256E6&quot;/&gt;&lt;wsp:rsid wsp:val=&quot;00125704&quot;/&gt;&lt;wsp:rsid wsp:val=&quot;00125993&quot;/&gt;&lt;wsp:rsid wsp:val=&quot;00125E3E&quot;/&gt;&lt;wsp:rsid wsp:val=&quot;00125EC8&quot;/&gt;&lt;wsp:rsid wsp:val=&quot;001267F3&quot;/&gt;&lt;wsp:rsid wsp:val=&quot;00126B33&quot;/&gt;&lt;wsp:rsid wsp:val=&quot;00126B66&quot;/&gt;&lt;wsp:rsid wsp:val=&quot;00126C2D&quot;/&gt;&lt;wsp:rsid wsp:val=&quot;001275D2&quot;/&gt;&lt;wsp:rsid wsp:val=&quot;0012786E&quot;/&gt;&lt;wsp:rsid wsp:val=&quot;00127BAB&quot;/&gt;&lt;wsp:rsid wsp:val=&quot;00127E98&quot;/&gt;&lt;wsp:rsid wsp:val=&quot;00127FB2&quot;/&gt;&lt;wsp:rsid wsp:val=&quot;00127FB5&quot;/&gt;&lt;wsp:rsid wsp:val=&quot;00130A74&quot;/&gt;&lt;wsp:rsid wsp:val=&quot;00130C1F&quot;/&gt;&lt;wsp:rsid wsp:val=&quot;00130DF6&quot;/&gt;&lt;wsp:rsid wsp:val=&quot;001312C9&quot;/&gt;&lt;wsp:rsid wsp:val=&quot;001321C2&quot;/&gt;&lt;wsp:rsid wsp:val=&quot;0013228C&quot;/&gt;&lt;wsp:rsid wsp:val=&quot;00132445&quot;/&gt;&lt;wsp:rsid wsp:val=&quot;001324E1&quot;/&gt;&lt;wsp:rsid wsp:val=&quot;00132A51&quot;/&gt;&lt;wsp:rsid wsp:val=&quot;00132F01&quot;/&gt;&lt;wsp:rsid wsp:val=&quot;001331C9&quot;/&gt;&lt;wsp:rsid wsp:val=&quot;00133252&quot;/&gt;&lt;wsp:rsid wsp:val=&quot;0013329B&quot;/&gt;&lt;wsp:rsid wsp:val=&quot;0013382F&quot;/&gt;&lt;wsp:rsid wsp:val=&quot;00133B6E&quot;/&gt;&lt;wsp:rsid wsp:val=&quot;00133C59&quot;/&gt;&lt;wsp:rsid wsp:val=&quot;001340D6&quot;/&gt;&lt;wsp:rsid wsp:val=&quot;0013449E&quot;/&gt;&lt;wsp:rsid wsp:val=&quot;001348A5&quot;/&gt;&lt;wsp:rsid wsp:val=&quot;00134C65&quot;/&gt;&lt;wsp:rsid wsp:val=&quot;00135B13&quot;/&gt;&lt;wsp:rsid wsp:val=&quot;00135BE2&quot;/&gt;&lt;wsp:rsid wsp:val=&quot;00135E40&quot;/&gt;&lt;wsp:rsid wsp:val=&quot;00136038&quot;/&gt;&lt;wsp:rsid wsp:val=&quot;00136172&quot;/&gt;&lt;wsp:rsid wsp:val=&quot;00136726&quot;/&gt;&lt;wsp:rsid wsp:val=&quot;0013675C&quot;/&gt;&lt;wsp:rsid wsp:val=&quot;00136943&quot;/&gt;&lt;wsp:rsid wsp:val=&quot;00136DD5&quot;/&gt;&lt;wsp:rsid wsp:val=&quot;00137CD1&quot;/&gt;&lt;wsp:rsid wsp:val=&quot;00137DDF&quot;/&gt;&lt;wsp:rsid wsp:val=&quot;00140462&quot;/&gt;&lt;wsp:rsid wsp:val=&quot;001405F2&quot;/&gt;&lt;wsp:rsid wsp:val=&quot;00140671&quot;/&gt;&lt;wsp:rsid wsp:val=&quot;00140930&quot;/&gt;&lt;wsp:rsid wsp:val=&quot;00140D73&quot;/&gt;&lt;wsp:rsid wsp:val=&quot;0014116A&quot;/&gt;&lt;wsp:rsid wsp:val=&quot;0014122E&quot;/&gt;&lt;wsp:rsid wsp:val=&quot;001412BE&quot;/&gt;&lt;wsp:rsid wsp:val=&quot;0014148D&quot;/&gt;&lt;wsp:rsid wsp:val=&quot;00141775&quot;/&gt;&lt;wsp:rsid wsp:val=&quot;001419DB&quot;/&gt;&lt;wsp:rsid wsp:val=&quot;00141C07&quot;/&gt;&lt;wsp:rsid wsp:val=&quot;00141C08&quot;/&gt;&lt;wsp:rsid wsp:val=&quot;00141C38&quot;/&gt;&lt;wsp:rsid wsp:val=&quot;00141EB4&quot;/&gt;&lt;wsp:rsid wsp:val=&quot;00141F2E&quot;/&gt;&lt;wsp:rsid wsp:val=&quot;00141FDD&quot;/&gt;&lt;wsp:rsid wsp:val=&quot;0014294F&quot;/&gt;&lt;wsp:rsid wsp:val=&quot;001429CB&quot;/&gt;&lt;wsp:rsid wsp:val=&quot;00142FE8&quot;/&gt;&lt;wsp:rsid wsp:val=&quot;0014322A&quot;/&gt;&lt;wsp:rsid wsp:val=&quot;001436EE&quot;/&gt;&lt;wsp:rsid wsp:val=&quot;00143B0F&quot;/&gt;&lt;wsp:rsid wsp:val=&quot;00143BC4&quot;/&gt;&lt;wsp:rsid wsp:val=&quot;00143C67&quot;/&gt;&lt;wsp:rsid wsp:val=&quot;00143F7F&quot;/&gt;&lt;wsp:rsid wsp:val=&quot;00144047&quot;/&gt;&lt;wsp:rsid wsp:val=&quot;00144059&quot;/&gt;&lt;wsp:rsid wsp:val=&quot;001440E7&quot;/&gt;&lt;wsp:rsid wsp:val=&quot;00144344&quot;/&gt;&lt;wsp:rsid wsp:val=&quot;00144374&quot;/&gt;&lt;wsp:rsid wsp:val=&quot;0014437D&quot;/&gt;&lt;wsp:rsid wsp:val=&quot;0014466E&quot;/&gt;&lt;wsp:rsid wsp:val=&quot;00144673&quot;/&gt;&lt;wsp:rsid wsp:val=&quot;001446D2&quot;/&gt;&lt;wsp:rsid wsp:val=&quot;00144726&quot;/&gt;&lt;wsp:rsid wsp:val=&quot;00144767&quot;/&gt;&lt;wsp:rsid wsp:val=&quot;0014490D&quot;/&gt;&lt;wsp:rsid wsp:val=&quot;00144F35&quot;/&gt;&lt;wsp:rsid wsp:val=&quot;00145331&quot;/&gt;&lt;wsp:rsid wsp:val=&quot;001455DE&quot;/&gt;&lt;wsp:rsid wsp:val=&quot;00145803&quot;/&gt;&lt;wsp:rsid wsp:val=&quot;00145BF2&quot;/&gt;&lt;wsp:rsid wsp:val=&quot;00145C4D&quot;/&gt;&lt;wsp:rsid wsp:val=&quot;00146184&quot;/&gt;&lt;wsp:rsid wsp:val=&quot;00146391&quot;/&gt;&lt;wsp:rsid wsp:val=&quot;00146607&quot;/&gt;&lt;wsp:rsid wsp:val=&quot;0014699F&quot;/&gt;&lt;wsp:rsid wsp:val=&quot;00146A2F&quot;/&gt;&lt;wsp:rsid wsp:val=&quot;00146B05&quot;/&gt;&lt;wsp:rsid wsp:val=&quot;00146C8A&quot;/&gt;&lt;wsp:rsid wsp:val=&quot;00146D55&quot;/&gt;&lt;wsp:rsid wsp:val=&quot;00146F18&quot;/&gt;&lt;wsp:rsid wsp:val=&quot;00147126&quot;/&gt;&lt;wsp:rsid wsp:val=&quot;0014724F&quot;/&gt;&lt;wsp:rsid wsp:val=&quot;00147295&quot;/&gt;&lt;wsp:rsid wsp:val=&quot;00147818&quot;/&gt;&lt;wsp:rsid wsp:val=&quot;00147FEF&quot;/&gt;&lt;wsp:rsid wsp:val=&quot;00150376&quot;/&gt;&lt;wsp:rsid wsp:val=&quot;001503D0&quot;/&gt;&lt;wsp:rsid wsp:val=&quot;00150521&quot;/&gt;&lt;wsp:rsid wsp:val=&quot;00150814&quot;/&gt;&lt;wsp:rsid wsp:val=&quot;0015087D&quot;/&gt;&lt;wsp:rsid wsp:val=&quot;0015097F&quot;/&gt;&lt;wsp:rsid wsp:val=&quot;001509CA&quot;/&gt;&lt;wsp:rsid wsp:val=&quot;00150C1E&quot;/&gt;&lt;wsp:rsid wsp:val=&quot;0015167F&quot;/&gt;&lt;wsp:rsid wsp:val=&quot;00151943&quot;/&gt;&lt;wsp:rsid wsp:val=&quot;00151F94&quot;/&gt;&lt;wsp:rsid wsp:val=&quot;001524FB&quot;/&gt;&lt;wsp:rsid wsp:val=&quot;00152701&quot;/&gt;&lt;wsp:rsid wsp:val=&quot;00152B08&quot;/&gt;&lt;wsp:rsid wsp:val=&quot;00153540&quot;/&gt;&lt;wsp:rsid wsp:val=&quot;00153976&quot;/&gt;&lt;wsp:rsid wsp:val=&quot;00153DAE&quot;/&gt;&lt;wsp:rsid wsp:val=&quot;00153DC2&quot;/&gt;&lt;wsp:rsid wsp:val=&quot;001540BA&quot;/&gt;&lt;wsp:rsid wsp:val=&quot;00154274&quot;/&gt;&lt;wsp:rsid wsp:val=&quot;001543E0&quot;/&gt;&lt;wsp:rsid wsp:val=&quot;00154653&quot;/&gt;&lt;wsp:rsid wsp:val=&quot;00154F6D&quot;/&gt;&lt;wsp:rsid wsp:val=&quot;001556FC&quot;/&gt;&lt;wsp:rsid wsp:val=&quot;0015573A&quot;/&gt;&lt;wsp:rsid wsp:val=&quot;00155EEA&quot;/&gt;&lt;wsp:rsid wsp:val=&quot;00155FD9&quot;/&gt;&lt;wsp:rsid wsp:val=&quot;00156434&quot;/&gt;&lt;wsp:rsid wsp:val=&quot;00156556&quot;/&gt;&lt;wsp:rsid wsp:val=&quot;00156744&quot;/&gt;&lt;wsp:rsid wsp:val=&quot;00157387&quot;/&gt;&lt;wsp:rsid wsp:val=&quot;00157584&quot;/&gt;&lt;wsp:rsid wsp:val=&quot;001575D4&quot;/&gt;&lt;wsp:rsid wsp:val=&quot;001575F8&quot;/&gt;&lt;wsp:rsid wsp:val=&quot;00157648&quot;/&gt;&lt;wsp:rsid wsp:val=&quot;00157866&quot;/&gt;&lt;wsp:rsid wsp:val=&quot;00157980&quot;/&gt;&lt;wsp:rsid wsp:val=&quot;00157E05&quot;/&gt;&lt;wsp:rsid wsp:val=&quot;00160454&quot;/&gt;&lt;wsp:rsid wsp:val=&quot;0016058D&quot;/&gt;&lt;wsp:rsid wsp:val=&quot;001607E5&quot;/&gt;&lt;wsp:rsid wsp:val=&quot;00160980&quot;/&gt;&lt;wsp:rsid wsp:val=&quot;00160AD4&quot;/&gt;&lt;wsp:rsid wsp:val=&quot;00160BC7&quot;/&gt;&lt;wsp:rsid wsp:val=&quot;0016130B&quot;/&gt;&lt;wsp:rsid wsp:val=&quot;00161353&quot;/&gt;&lt;wsp:rsid wsp:val=&quot;00161462&quot;/&gt;&lt;wsp:rsid wsp:val=&quot;00161490&quot;/&gt;&lt;wsp:rsid wsp:val=&quot;0016182B&quot;/&gt;&lt;wsp:rsid wsp:val=&quot;00161DB9&quot;/&gt;&lt;wsp:rsid wsp:val=&quot;00162104&quot;/&gt;&lt;wsp:rsid wsp:val=&quot;00162740&quot;/&gt;&lt;wsp:rsid wsp:val=&quot;001628A9&quot;/&gt;&lt;wsp:rsid wsp:val=&quot;00162E69&quot;/&gt;&lt;wsp:rsid wsp:val=&quot;00163665&quot;/&gt;&lt;wsp:rsid wsp:val=&quot;00163743&quot;/&gt;&lt;wsp:rsid wsp:val=&quot;00163994&quot;/&gt;&lt;wsp:rsid wsp:val=&quot;001639AB&quot;/&gt;&lt;wsp:rsid wsp:val=&quot;001645C3&quot;/&gt;&lt;wsp:rsid wsp:val=&quot;00164650&quot;/&gt;&lt;wsp:rsid wsp:val=&quot;001649E4&quot;/&gt;&lt;wsp:rsid wsp:val=&quot;00164C4E&quot;/&gt;&lt;wsp:rsid wsp:val=&quot;00164FC4&quot;/&gt;&lt;wsp:rsid wsp:val=&quot;001657A1&quot;/&gt;&lt;wsp:rsid wsp:val=&quot;00165961&quot;/&gt;&lt;wsp:rsid wsp:val=&quot;00165B3A&quot;/&gt;&lt;wsp:rsid wsp:val=&quot;001669D3&quot;/&gt;&lt;wsp:rsid wsp:val=&quot;00166F4B&quot;/&gt;&lt;wsp:rsid wsp:val=&quot;00166FBD&quot;/&gt;&lt;wsp:rsid wsp:val=&quot;0016714B&quot;/&gt;&lt;wsp:rsid wsp:val=&quot;001674EC&quot;/&gt;&lt;wsp:rsid wsp:val=&quot;00167577&quot;/&gt;&lt;wsp:rsid wsp:val=&quot;0017016D&quot;/&gt;&lt;wsp:rsid wsp:val=&quot;001701DB&quot;/&gt;&lt;wsp:rsid wsp:val=&quot;001702AB&quot;/&gt;&lt;wsp:rsid wsp:val=&quot;001702D1&quot;/&gt;&lt;wsp:rsid wsp:val=&quot;001711EE&quot;/&gt;&lt;wsp:rsid wsp:val=&quot;001715F7&quot;/&gt;&lt;wsp:rsid wsp:val=&quot;00171C5B&quot;/&gt;&lt;wsp:rsid wsp:val=&quot;00171D1D&quot;/&gt;&lt;wsp:rsid wsp:val=&quot;00171D8A&quot;/&gt;&lt;wsp:rsid wsp:val=&quot;00172378&quot;/&gt;&lt;wsp:rsid wsp:val=&quot;001727E1&quot;/&gt;&lt;wsp:rsid wsp:val=&quot;0017294C&quot;/&gt;&lt;wsp:rsid wsp:val=&quot;00172971&quot;/&gt;&lt;wsp:rsid wsp:val=&quot;00173011&quot;/&gt;&lt;wsp:rsid wsp:val=&quot;0017323B&quot;/&gt;&lt;wsp:rsid wsp:val=&quot;00173241&quot;/&gt;&lt;wsp:rsid wsp:val=&quot;00173670&quot;/&gt;&lt;wsp:rsid wsp:val=&quot;0017389A&quot;/&gt;&lt;wsp:rsid wsp:val=&quot;00173C4A&quot;/&gt;&lt;wsp:rsid wsp:val=&quot;00173ECC&quot;/&gt;&lt;wsp:rsid wsp:val=&quot;00174454&quot;/&gt;&lt;wsp:rsid wsp:val=&quot;001745DE&quot;/&gt;&lt;wsp:rsid wsp:val=&quot;00175009&quot;/&gt;&lt;wsp:rsid wsp:val=&quot;001751C4&quot;/&gt;&lt;wsp:rsid wsp:val=&quot;00175348&quot;/&gt;&lt;wsp:rsid wsp:val=&quot;00175713&quot;/&gt;&lt;wsp:rsid wsp:val=&quot;00175844&quot;/&gt;&lt;wsp:rsid wsp:val=&quot;001762BD&quot;/&gt;&lt;wsp:rsid wsp:val=&quot;001769AA&quot;/&gt;&lt;wsp:rsid wsp:val=&quot;001773E7&quot;/&gt;&lt;wsp:rsid wsp:val=&quot;001774A5&quot;/&gt;&lt;wsp:rsid wsp:val=&quot;00177518&quot;/&gt;&lt;wsp:rsid wsp:val=&quot;001775EF&quot;/&gt;&lt;wsp:rsid wsp:val=&quot;00177C23&quot;/&gt;&lt;wsp:rsid wsp:val=&quot;00177C63&quot;/&gt;&lt;wsp:rsid wsp:val=&quot;00177D8A&quot;/&gt;&lt;wsp:rsid wsp:val=&quot;0018028C&quot;/&gt;&lt;wsp:rsid wsp:val=&quot;0018034A&quot;/&gt;&lt;wsp:rsid wsp:val=&quot;001804DC&quot;/&gt;&lt;wsp:rsid wsp:val=&quot;0018072A&quot;/&gt;&lt;wsp:rsid wsp:val=&quot;00180756&quot;/&gt;&lt;wsp:rsid wsp:val=&quot;001807D6&quot;/&gt;&lt;wsp:rsid wsp:val=&quot;00180838&quot;/&gt;&lt;wsp:rsid wsp:val=&quot;00180AB2&quot;/&gt;&lt;wsp:rsid wsp:val=&quot;00180AC9&quot;/&gt;&lt;wsp:rsid wsp:val=&quot;00180C62&quot;/&gt;&lt;wsp:rsid wsp:val=&quot;00180CB8&quot;/&gt;&lt;wsp:rsid wsp:val=&quot;0018185E&quot;/&gt;&lt;wsp:rsid wsp:val=&quot;00181916&quot;/&gt;&lt;wsp:rsid wsp:val=&quot;001819E1&quot;/&gt;&lt;wsp:rsid wsp:val=&quot;00181AF5&quot;/&gt;&lt;wsp:rsid wsp:val=&quot;00181D86&quot;/&gt;&lt;wsp:rsid wsp:val=&quot;00182435&quot;/&gt;&lt;wsp:rsid wsp:val=&quot;0018270F&quot;/&gt;&lt;wsp:rsid wsp:val=&quot;00182B5D&quot;/&gt;&lt;wsp:rsid wsp:val=&quot;00182C59&quot;/&gt;&lt;wsp:rsid wsp:val=&quot;00182D3D&quot;/&gt;&lt;wsp:rsid wsp:val=&quot;00182DD9&quot;/&gt;&lt;wsp:rsid wsp:val=&quot;001830E6&quot;/&gt;&lt;wsp:rsid wsp:val=&quot;001833EA&quot;/&gt;&lt;wsp:rsid wsp:val=&quot;0018344F&quot;/&gt;&lt;wsp:rsid wsp:val=&quot;00183C87&quot;/&gt;&lt;wsp:rsid wsp:val=&quot;00184DF4&quot;/&gt;&lt;wsp:rsid wsp:val=&quot;00184E1F&quot;/&gt;&lt;wsp:rsid wsp:val=&quot;00184E5F&quot;/&gt;&lt;wsp:rsid wsp:val=&quot;00184EA7&quot;/&gt;&lt;wsp:rsid wsp:val=&quot;00184F02&quot;/&gt;&lt;wsp:rsid wsp:val=&quot;001851CE&quot;/&gt;&lt;wsp:rsid wsp:val=&quot;001859B1&quot;/&gt;&lt;wsp:rsid wsp:val=&quot;0018645F&quot;/&gt;&lt;wsp:rsid wsp:val=&quot;00186981&quot;/&gt;&lt;wsp:rsid wsp:val=&quot;00186F25&quot;/&gt;&lt;wsp:rsid wsp:val=&quot;00187388&quot;/&gt;&lt;wsp:rsid wsp:val=&quot;00187D3C&quot;/&gt;&lt;wsp:rsid wsp:val=&quot;00187E46&quot;/&gt;&lt;wsp:rsid wsp:val=&quot;00190701&quot;/&gt;&lt;wsp:rsid wsp:val=&quot;00190B5D&quot;/&gt;&lt;wsp:rsid wsp:val=&quot;00190C3E&quot;/&gt;&lt;wsp:rsid wsp:val=&quot;00190EBA&quot;/&gt;&lt;wsp:rsid wsp:val=&quot;00191054&quot;/&gt;&lt;wsp:rsid wsp:val=&quot;0019249F&quot;/&gt;&lt;wsp:rsid wsp:val=&quot;00192717&quot;/&gt;&lt;wsp:rsid wsp:val=&quot;00192EA2&quot;/&gt;&lt;wsp:rsid wsp:val=&quot;00193079&quot;/&gt;&lt;wsp:rsid wsp:val=&quot;0019361F&quot;/&gt;&lt;wsp:rsid wsp:val=&quot;0019383D&quot;/&gt;&lt;wsp:rsid wsp:val=&quot;00194523&quot;/&gt;&lt;wsp:rsid wsp:val=&quot;0019482F&quot;/&gt;&lt;wsp:rsid wsp:val=&quot;00194E37&quot;/&gt;&lt;wsp:rsid wsp:val=&quot;00194EE0&quot;/&gt;&lt;wsp:rsid wsp:val=&quot;00195278&quot;/&gt;&lt;wsp:rsid wsp:val=&quot;001952EF&quot;/&gt;&lt;wsp:rsid wsp:val=&quot;0019531D&quot;/&gt;&lt;wsp:rsid wsp:val=&quot;001959E3&quot;/&gt;&lt;wsp:rsid wsp:val=&quot;00195B86&quot;/&gt;&lt;wsp:rsid wsp:val=&quot;00195F8B&quot;/&gt;&lt;wsp:rsid wsp:val=&quot;00196048&quot;/&gt;&lt;wsp:rsid wsp:val=&quot;00196061&quot;/&gt;&lt;wsp:rsid wsp:val=&quot;00196267&quot;/&gt;&lt;wsp:rsid wsp:val=&quot;001962DB&quot;/&gt;&lt;wsp:rsid wsp:val=&quot;001964A3&quot;/&gt;&lt;wsp:rsid wsp:val=&quot;001965B3&quot;/&gt;&lt;wsp:rsid wsp:val=&quot;0019674E&quot;/&gt;&lt;wsp:rsid wsp:val=&quot;0019686A&quot;/&gt;&lt;wsp:rsid wsp:val=&quot;00196903&quot;/&gt;&lt;wsp:rsid wsp:val=&quot;00196CEE&quot;/&gt;&lt;wsp:rsid wsp:val=&quot;00196D2C&quot;/&gt;&lt;wsp:rsid wsp:val=&quot;00196E61&quot;/&gt;&lt;wsp:rsid wsp:val=&quot;0019781F&quot;/&gt;&lt;wsp:rsid wsp:val=&quot;001978D8&quot;/&gt;&lt;wsp:rsid wsp:val=&quot;0019796F&quot;/&gt;&lt;wsp:rsid wsp:val=&quot;00197ACD&quot;/&gt;&lt;wsp:rsid wsp:val=&quot;00197BD5&quot;/&gt;&lt;wsp:rsid wsp:val=&quot;00197C63&quot;/&gt;&lt;wsp:rsid wsp:val=&quot;00197D10&quot;/&gt;&lt;wsp:rsid wsp:val=&quot;001A01F8&quot;/&gt;&lt;wsp:rsid wsp:val=&quot;001A0910&quot;/&gt;&lt;wsp:rsid wsp:val=&quot;001A0D8A&quot;/&gt;&lt;wsp:rsid wsp:val=&quot;001A1081&quot;/&gt;&lt;wsp:rsid wsp:val=&quot;001A137C&quot;/&gt;&lt;wsp:rsid wsp:val=&quot;001A15C6&quot;/&gt;&lt;wsp:rsid wsp:val=&quot;001A1E78&quot;/&gt;&lt;wsp:rsid wsp:val=&quot;001A24C9&quot;/&gt;&lt;wsp:rsid wsp:val=&quot;001A26BE&quot;/&gt;&lt;wsp:rsid wsp:val=&quot;001A2BC3&quot;/&gt;&lt;wsp:rsid wsp:val=&quot;001A3487&quot;/&gt;&lt;wsp:rsid wsp:val=&quot;001A3995&quot;/&gt;&lt;wsp:rsid wsp:val=&quot;001A4906&quot;/&gt;&lt;wsp:rsid wsp:val=&quot;001A4F58&quot;/&gt;&lt;wsp:rsid wsp:val=&quot;001A58EB&quot;/&gt;&lt;wsp:rsid wsp:val=&quot;001A5E4D&quot;/&gt;&lt;wsp:rsid wsp:val=&quot;001A5F78&quot;/&gt;&lt;wsp:rsid wsp:val=&quot;001A62C8&quot;/&gt;&lt;wsp:rsid wsp:val=&quot;001A642D&quot;/&gt;&lt;wsp:rsid wsp:val=&quot;001A65EA&quot;/&gt;&lt;wsp:rsid wsp:val=&quot;001A66B2&quot;/&gt;&lt;wsp:rsid wsp:val=&quot;001A7199&quot;/&gt;&lt;wsp:rsid wsp:val=&quot;001A7307&quot;/&gt;&lt;wsp:rsid wsp:val=&quot;001A786A&quot;/&gt;&lt;wsp:rsid wsp:val=&quot;001A7B4C&quot;/&gt;&lt;wsp:rsid wsp:val=&quot;001A7BCF&quot;/&gt;&lt;wsp:rsid wsp:val=&quot;001A7D02&quot;/&gt;&lt;wsp:rsid wsp:val=&quot;001A7E5E&quot;/&gt;&lt;wsp:rsid wsp:val=&quot;001A7E73&quot;/&gt;&lt;wsp:rsid wsp:val=&quot;001B0343&quot;/&gt;&lt;wsp:rsid wsp:val=&quot;001B0C29&quot;/&gt;&lt;wsp:rsid wsp:val=&quot;001B143F&quot;/&gt;&lt;wsp:rsid wsp:val=&quot;001B177A&quot;/&gt;&lt;wsp:rsid wsp:val=&quot;001B1E97&quot;/&gt;&lt;wsp:rsid wsp:val=&quot;001B1F9B&quot;/&gt;&lt;wsp:rsid wsp:val=&quot;001B2007&quot;/&gt;&lt;wsp:rsid wsp:val=&quot;001B24B5&quot;/&gt;&lt;wsp:rsid wsp:val=&quot;001B2C07&quot;/&gt;&lt;wsp:rsid wsp:val=&quot;001B2C65&quot;/&gt;&lt;wsp:rsid wsp:val=&quot;001B30B6&quot;/&gt;&lt;wsp:rsid wsp:val=&quot;001B3352&quot;/&gt;&lt;wsp:rsid wsp:val=&quot;001B366C&quot;/&gt;&lt;wsp:rsid wsp:val=&quot;001B480D&quot;/&gt;&lt;wsp:rsid wsp:val=&quot;001B50EC&quot;/&gt;&lt;wsp:rsid wsp:val=&quot;001B5245&quot;/&gt;&lt;wsp:rsid wsp:val=&quot;001B5723&quot;/&gt;&lt;wsp:rsid wsp:val=&quot;001B5778&quot;/&gt;&lt;wsp:rsid wsp:val=&quot;001B59EA&quot;/&gt;&lt;wsp:rsid wsp:val=&quot;001B5CF0&quot;/&gt;&lt;wsp:rsid wsp:val=&quot;001B5F1B&quot;/&gt;&lt;wsp:rsid wsp:val=&quot;001B5FC3&quot;/&gt;&lt;wsp:rsid wsp:val=&quot;001B6134&quot;/&gt;&lt;wsp:rsid wsp:val=&quot;001B62BE&quot;/&gt;&lt;wsp:rsid wsp:val=&quot;001B6449&quot;/&gt;&lt;wsp:rsid wsp:val=&quot;001B6589&quot;/&gt;&lt;wsp:rsid wsp:val=&quot;001B6727&quot;/&gt;&lt;wsp:rsid wsp:val=&quot;001B677A&quot;/&gt;&lt;wsp:rsid wsp:val=&quot;001B6841&quot;/&gt;&lt;wsp:rsid wsp:val=&quot;001B6EA0&quot;/&gt;&lt;wsp:rsid wsp:val=&quot;001B7237&quot;/&gt;&lt;wsp:rsid wsp:val=&quot;001B72A0&quot;/&gt;&lt;wsp:rsid wsp:val=&quot;001B72CE&quot;/&gt;&lt;wsp:rsid wsp:val=&quot;001B7314&quot;/&gt;&lt;wsp:rsid wsp:val=&quot;001B7436&quot;/&gt;&lt;wsp:rsid wsp:val=&quot;001B7EC8&quot;/&gt;&lt;wsp:rsid wsp:val=&quot;001C0401&quot;/&gt;&lt;wsp:rsid wsp:val=&quot;001C04E9&quot;/&gt;&lt;wsp:rsid wsp:val=&quot;001C0961&quot;/&gt;&lt;wsp:rsid wsp:val=&quot;001C0976&quot;/&gt;&lt;wsp:rsid wsp:val=&quot;001C09FF&quot;/&gt;&lt;wsp:rsid wsp:val=&quot;001C0A5F&quot;/&gt;&lt;wsp:rsid wsp:val=&quot;001C0AE9&quot;/&gt;&lt;wsp:rsid wsp:val=&quot;001C0B0E&quot;/&gt;&lt;wsp:rsid wsp:val=&quot;001C0C95&quot;/&gt;&lt;wsp:rsid wsp:val=&quot;001C0CD6&quot;/&gt;&lt;wsp:rsid wsp:val=&quot;001C16B9&quot;/&gt;&lt;wsp:rsid wsp:val=&quot;001C187C&quot;/&gt;&lt;wsp:rsid wsp:val=&quot;001C18C0&quot;/&gt;&lt;wsp:rsid wsp:val=&quot;001C1C58&quot;/&gt;&lt;wsp:rsid wsp:val=&quot;001C1CAC&quot;/&gt;&lt;wsp:rsid wsp:val=&quot;001C1CEE&quot;/&gt;&lt;wsp:rsid wsp:val=&quot;001C1D1F&quot;/&gt;&lt;wsp:rsid wsp:val=&quot;001C1D75&quot;/&gt;&lt;wsp:rsid wsp:val=&quot;001C2147&quot;/&gt;&lt;wsp:rsid wsp:val=&quot;001C26C9&quot;/&gt;&lt;wsp:rsid wsp:val=&quot;001C2A51&quot;/&gt;&lt;wsp:rsid wsp:val=&quot;001C2A5E&quot;/&gt;&lt;wsp:rsid wsp:val=&quot;001C2C7F&quot;/&gt;&lt;wsp:rsid wsp:val=&quot;001C2E20&quot;/&gt;&lt;wsp:rsid wsp:val=&quot;001C3050&quot;/&gt;&lt;wsp:rsid wsp:val=&quot;001C30A9&quot;/&gt;&lt;wsp:rsid wsp:val=&quot;001C3959&quot;/&gt;&lt;wsp:rsid wsp:val=&quot;001C3C48&quot;/&gt;&lt;wsp:rsid wsp:val=&quot;001C3C6C&quot;/&gt;&lt;wsp:rsid wsp:val=&quot;001C3F0F&quot;/&gt;&lt;wsp:rsid wsp:val=&quot;001C4AEA&quot;/&gt;&lt;wsp:rsid wsp:val=&quot;001C58BD&quot;/&gt;&lt;wsp:rsid wsp:val=&quot;001C5C69&quot;/&gt;&lt;wsp:rsid wsp:val=&quot;001C5C94&quot;/&gt;&lt;wsp:rsid wsp:val=&quot;001C5CEE&quot;/&gt;&lt;wsp:rsid wsp:val=&quot;001C5D71&quot;/&gt;&lt;wsp:rsid wsp:val=&quot;001C6447&quot;/&gt;&lt;wsp:rsid wsp:val=&quot;001C654D&quot;/&gt;&lt;wsp:rsid wsp:val=&quot;001C6B80&quot;/&gt;&lt;wsp:rsid wsp:val=&quot;001C70D3&quot;/&gt;&lt;wsp:rsid wsp:val=&quot;001C71F9&quot;/&gt;&lt;wsp:rsid wsp:val=&quot;001C7204&quot;/&gt;&lt;wsp:rsid wsp:val=&quot;001C7629&quot;/&gt;&lt;wsp:rsid wsp:val=&quot;001C7A9C&quot;/&gt;&lt;wsp:rsid wsp:val=&quot;001C7CE1&quot;/&gt;&lt;wsp:rsid wsp:val=&quot;001D00B9&quot;/&gt;&lt;wsp:rsid wsp:val=&quot;001D0A1C&quot;/&gt;&lt;wsp:rsid wsp:val=&quot;001D0B9D&quot;/&gt;&lt;wsp:rsid wsp:val=&quot;001D0C26&quot;/&gt;&lt;wsp:rsid wsp:val=&quot;001D0DE5&quot;/&gt;&lt;wsp:rsid wsp:val=&quot;001D10EF&quot;/&gt;&lt;wsp:rsid wsp:val=&quot;001D1184&quot;/&gt;&lt;wsp:rsid wsp:val=&quot;001D1322&quot;/&gt;&lt;wsp:rsid wsp:val=&quot;001D1489&quot;/&gt;&lt;wsp:rsid wsp:val=&quot;001D1803&quot;/&gt;&lt;wsp:rsid wsp:val=&quot;001D196E&quot;/&gt;&lt;wsp:rsid wsp:val=&quot;001D1F57&quot;/&gt;&lt;wsp:rsid wsp:val=&quot;001D2001&quot;/&gt;&lt;wsp:rsid wsp:val=&quot;001D2179&quot;/&gt;&lt;wsp:rsid wsp:val=&quot;001D23B3&quot;/&gt;&lt;wsp:rsid wsp:val=&quot;001D26B4&quot;/&gt;&lt;wsp:rsid wsp:val=&quot;001D26D4&quot;/&gt;&lt;wsp:rsid wsp:val=&quot;001D29DD&quot;/&gt;&lt;wsp:rsid wsp:val=&quot;001D2F24&quot;/&gt;&lt;wsp:rsid wsp:val=&quot;001D34A9&quot;/&gt;&lt;wsp:rsid wsp:val=&quot;001D38F3&quot;/&gt;&lt;wsp:rsid wsp:val=&quot;001D3900&quot;/&gt;&lt;wsp:rsid wsp:val=&quot;001D3B05&quot;/&gt;&lt;wsp:rsid wsp:val=&quot;001D4033&quot;/&gt;&lt;wsp:rsid wsp:val=&quot;001D40B1&quot;/&gt;&lt;wsp:rsid wsp:val=&quot;001D42F8&quot;/&gt;&lt;wsp:rsid wsp:val=&quot;001D45EE&quot;/&gt;&lt;wsp:rsid wsp:val=&quot;001D4B4C&quot;/&gt;&lt;wsp:rsid wsp:val=&quot;001D4BB6&quot;/&gt;&lt;wsp:rsid wsp:val=&quot;001D4C1E&quot;/&gt;&lt;wsp:rsid wsp:val=&quot;001D509C&quot;/&gt;&lt;wsp:rsid wsp:val=&quot;001D526E&quot;/&gt;&lt;wsp:rsid wsp:val=&quot;001D5701&quot;/&gt;&lt;wsp:rsid wsp:val=&quot;001D57C5&quot;/&gt;&lt;wsp:rsid wsp:val=&quot;001D5C93&quot;/&gt;&lt;wsp:rsid wsp:val=&quot;001D5E01&quot;/&gt;&lt;wsp:rsid wsp:val=&quot;001D5E5D&quot;/&gt;&lt;wsp:rsid wsp:val=&quot;001D5EE4&quot;/&gt;&lt;wsp:rsid wsp:val=&quot;001D6949&quot;/&gt;&lt;wsp:rsid wsp:val=&quot;001D73C5&quot;/&gt;&lt;wsp:rsid wsp:val=&quot;001D76F6&quot;/&gt;&lt;wsp:rsid wsp:val=&quot;001D775D&quot;/&gt;&lt;wsp:rsid wsp:val=&quot;001D786C&quot;/&gt;&lt;wsp:rsid wsp:val=&quot;001D7CC4&quot;/&gt;&lt;wsp:rsid wsp:val=&quot;001D7D2F&quot;/&gt;&lt;wsp:rsid wsp:val=&quot;001E0296&quot;/&gt;&lt;wsp:rsid wsp:val=&quot;001E04E8&quot;/&gt;&lt;wsp:rsid wsp:val=&quot;001E07A2&quot;/&gt;&lt;wsp:rsid wsp:val=&quot;001E08FD&quot;/&gt;&lt;wsp:rsid wsp:val=&quot;001E1354&quot;/&gt;&lt;wsp:rsid wsp:val=&quot;001E14B9&quot;/&gt;&lt;wsp:rsid wsp:val=&quot;001E18D9&quot;/&gt;&lt;wsp:rsid wsp:val=&quot;001E1FCF&quot;/&gt;&lt;wsp:rsid wsp:val=&quot;001E20FD&quot;/&gt;&lt;wsp:rsid wsp:val=&quot;001E2267&quot;/&gt;&lt;wsp:rsid wsp:val=&quot;001E2637&quot;/&gt;&lt;wsp:rsid wsp:val=&quot;001E2A20&quot;/&gt;&lt;wsp:rsid wsp:val=&quot;001E2D8A&quot;/&gt;&lt;wsp:rsid wsp:val=&quot;001E2EB0&quot;/&gt;&lt;wsp:rsid wsp:val=&quot;001E300D&quot;/&gt;&lt;wsp:rsid wsp:val=&quot;001E30B2&quot;/&gt;&lt;wsp:rsid wsp:val=&quot;001E373C&quot;/&gt;&lt;wsp:rsid wsp:val=&quot;001E3D7D&quot;/&gt;&lt;wsp:rsid wsp:val=&quot;001E3F78&quot;/&gt;&lt;wsp:rsid wsp:val=&quot;001E4198&quot;/&gt;&lt;wsp:rsid wsp:val=&quot;001E43ED&quot;/&gt;&lt;wsp:rsid wsp:val=&quot;001E4F2E&quot;/&gt;&lt;wsp:rsid wsp:val=&quot;001E5033&quot;/&gt;&lt;wsp:rsid wsp:val=&quot;001E5217&quot;/&gt;&lt;wsp:rsid wsp:val=&quot;001E572B&quot;/&gt;&lt;wsp:rsid wsp:val=&quot;001E5C1C&quot;/&gt;&lt;wsp:rsid wsp:val=&quot;001E5C97&quot;/&gt;&lt;wsp:rsid wsp:val=&quot;001E5EDA&quot;/&gt;&lt;wsp:rsid wsp:val=&quot;001E6651&quot;/&gt;&lt;wsp:rsid wsp:val=&quot;001E69EF&quot;/&gt;&lt;wsp:rsid wsp:val=&quot;001E6D44&quot;/&gt;&lt;wsp:rsid wsp:val=&quot;001E7750&quot;/&gt;&lt;wsp:rsid wsp:val=&quot;001E7880&quot;/&gt;&lt;wsp:rsid wsp:val=&quot;001E7EF3&quot;/&gt;&lt;wsp:rsid wsp:val=&quot;001E7F09&quot;/&gt;&lt;wsp:rsid wsp:val=&quot;001F059E&quot;/&gt;&lt;wsp:rsid wsp:val=&quot;001F087D&quot;/&gt;&lt;wsp:rsid wsp:val=&quot;001F0A2D&quot;/&gt;&lt;wsp:rsid wsp:val=&quot;001F0AF1&quot;/&gt;&lt;wsp:rsid wsp:val=&quot;001F1028&quot;/&gt;&lt;wsp:rsid wsp:val=&quot;001F1230&quot;/&gt;&lt;wsp:rsid wsp:val=&quot;001F1778&quot;/&gt;&lt;wsp:rsid wsp:val=&quot;001F1A47&quot;/&gt;&lt;wsp:rsid wsp:val=&quot;001F1C7D&quot;/&gt;&lt;wsp:rsid wsp:val=&quot;001F1D47&quot;/&gt;&lt;wsp:rsid wsp:val=&quot;001F2564&quot;/&gt;&lt;wsp:rsid wsp:val=&quot;001F2779&quot;/&gt;&lt;wsp:rsid wsp:val=&quot;001F2E44&quot;/&gt;&lt;wsp:rsid wsp:val=&quot;001F3051&quot;/&gt;&lt;wsp:rsid wsp:val=&quot;001F31D9&quot;/&gt;&lt;wsp:rsid wsp:val=&quot;001F342D&quot;/&gt;&lt;wsp:rsid wsp:val=&quot;001F35B9&quot;/&gt;&lt;wsp:rsid wsp:val=&quot;001F395C&quot;/&gt;&lt;wsp:rsid wsp:val=&quot;001F399A&quot;/&gt;&lt;wsp:rsid wsp:val=&quot;001F3B40&quot;/&gt;&lt;wsp:rsid wsp:val=&quot;001F4026&quot;/&gt;&lt;wsp:rsid wsp:val=&quot;001F42A4&quot;/&gt;&lt;wsp:rsid wsp:val=&quot;001F42DD&quot;/&gt;&lt;wsp:rsid wsp:val=&quot;001F44DE&quot;/&gt;&lt;wsp:rsid wsp:val=&quot;001F4A12&quot;/&gt;&lt;wsp:rsid wsp:val=&quot;001F4A64&quot;/&gt;&lt;wsp:rsid wsp:val=&quot;001F4B50&quot;/&gt;&lt;wsp:rsid wsp:val=&quot;001F591D&quot;/&gt;&lt;wsp:rsid wsp:val=&quot;001F5BFE&quot;/&gt;&lt;wsp:rsid wsp:val=&quot;001F5FAF&quot;/&gt;&lt;wsp:rsid wsp:val=&quot;001F6325&quot;/&gt;&lt;wsp:rsid wsp:val=&quot;001F653B&quot;/&gt;&lt;wsp:rsid wsp:val=&quot;001F678F&quot;/&gt;&lt;wsp:rsid wsp:val=&quot;001F69FE&quot;/&gt;&lt;wsp:rsid wsp:val=&quot;001F6A0A&quot;/&gt;&lt;wsp:rsid wsp:val=&quot;001F6C9D&quot;/&gt;&lt;wsp:rsid wsp:val=&quot;001F71DE&quot;/&gt;&lt;wsp:rsid wsp:val=&quot;001F728E&quot;/&gt;&lt;wsp:rsid wsp:val=&quot;001F7335&quot;/&gt;&lt;wsp:rsid wsp:val=&quot;001F746B&quot;/&gt;&lt;wsp:rsid wsp:val=&quot;001F783B&quot;/&gt;&lt;wsp:rsid wsp:val=&quot;002004B5&quot;/&gt;&lt;wsp:rsid wsp:val=&quot;00200A58&quot;/&gt;&lt;wsp:rsid wsp:val=&quot;0020115B&quot;/&gt;&lt;wsp:rsid wsp:val=&quot;0020118E&quot;/&gt;&lt;wsp:rsid wsp:val=&quot;00201390&quot;/&gt;&lt;wsp:rsid wsp:val=&quot;00201AD3&quot;/&gt;&lt;wsp:rsid wsp:val=&quot;00201B4F&quot;/&gt;&lt;wsp:rsid wsp:val=&quot;00202731&quot;/&gt;&lt;wsp:rsid wsp:val=&quot;00202FF3&quot;/&gt;&lt;wsp:rsid wsp:val=&quot;00203214&quot;/&gt;&lt;wsp:rsid wsp:val=&quot;00203669&quot;/&gt;&lt;wsp:rsid wsp:val=&quot;00203884&quot;/&gt;&lt;wsp:rsid wsp:val=&quot;00203A11&quot;/&gt;&lt;wsp:rsid wsp:val=&quot;00203A3D&quot;/&gt;&lt;wsp:rsid wsp:val=&quot;00203E63&quot;/&gt;&lt;wsp:rsid wsp:val=&quot;00203F61&quot;/&gt;&lt;wsp:rsid wsp:val=&quot;002040BA&quot;/&gt;&lt;wsp:rsid wsp:val=&quot;00204234&quot;/&gt;&lt;wsp:rsid wsp:val=&quot;00204CB2&quot;/&gt;&lt;wsp:rsid wsp:val=&quot;00204EB1&quot;/&gt;&lt;wsp:rsid wsp:val=&quot;002052F6&quot;/&gt;&lt;wsp:rsid wsp:val=&quot;00205787&quot;/&gt;&lt;wsp:rsid wsp:val=&quot;00205C1E&quot;/&gt;&lt;wsp:rsid wsp:val=&quot;002062A1&quot;/&gt;&lt;wsp:rsid wsp:val=&quot;002062ED&quot;/&gt;&lt;wsp:rsid wsp:val=&quot;002063F5&quot;/&gt;&lt;wsp:rsid wsp:val=&quot;00206B0F&quot;/&gt;&lt;wsp:rsid wsp:val=&quot;00206F17&quot;/&gt;&lt;wsp:rsid wsp:val=&quot;002070B9&quot;/&gt;&lt;wsp:rsid wsp:val=&quot;00207292&quot;/&gt;&lt;wsp:rsid wsp:val=&quot;00207A76&quot;/&gt;&lt;wsp:rsid wsp:val=&quot;00207E9C&quot;/&gt;&lt;wsp:rsid wsp:val=&quot;002109EC&quot;/&gt;&lt;wsp:rsid wsp:val=&quot;00210ED5&quot;/&gt;&lt;wsp:rsid wsp:val=&quot;0021131D&quot;/&gt;&lt;wsp:rsid wsp:val=&quot;00211415&quot;/&gt;&lt;wsp:rsid wsp:val=&quot;0021154F&quot;/&gt;&lt;wsp:rsid wsp:val=&quot;00211603&quot;/&gt;&lt;wsp:rsid wsp:val=&quot;0021178A&quot;/&gt;&lt;wsp:rsid wsp:val=&quot;00211A9D&quot;/&gt;&lt;wsp:rsid wsp:val=&quot;00211E3A&quot;/&gt;&lt;wsp:rsid wsp:val=&quot;00212629&quot;/&gt;&lt;wsp:rsid wsp:val=&quot;00212D0A&quot;/&gt;&lt;wsp:rsid wsp:val=&quot;0021342F&quot;/&gt;&lt;wsp:rsid wsp:val=&quot;00213716&quot;/&gt;&lt;wsp:rsid wsp:val=&quot;00213AA3&quot;/&gt;&lt;wsp:rsid wsp:val=&quot;00213AE7&quot;/&gt;&lt;wsp:rsid wsp:val=&quot;00213CD1&quot;/&gt;&lt;wsp:rsid wsp:val=&quot;002144B9&quot;/&gt;&lt;wsp:rsid wsp:val=&quot;002145B2&quot;/&gt;&lt;wsp:rsid wsp:val=&quot;002148B7&quot;/&gt;&lt;wsp:rsid wsp:val=&quot;00215153&quot;/&gt;&lt;wsp:rsid wsp:val=&quot;002152B4&quot;/&gt;&lt;wsp:rsid wsp:val=&quot;00215363&quot;/&gt;&lt;wsp:rsid wsp:val=&quot;002155D5&quot;/&gt;&lt;wsp:rsid wsp:val=&quot;002157D0&quot;/&gt;&lt;wsp:rsid wsp:val=&quot;002158BB&quot;/&gt;&lt;wsp:rsid wsp:val=&quot;00215923&quot;/&gt;&lt;wsp:rsid wsp:val=&quot;00215B16&quot;/&gt;&lt;wsp:rsid wsp:val=&quot;00216252&quot;/&gt;&lt;wsp:rsid wsp:val=&quot;00216A42&quot;/&gt;&lt;wsp:rsid wsp:val=&quot;0021762E&quot;/&gt;&lt;wsp:rsid wsp:val=&quot;00217863&quot;/&gt;&lt;wsp:rsid wsp:val=&quot;00217875&quot;/&gt;&lt;wsp:rsid wsp:val=&quot;00217C16&quot;/&gt;&lt;wsp:rsid wsp:val=&quot;00217CDD&quot;/&gt;&lt;wsp:rsid wsp:val=&quot;00217DF4&quot;/&gt;&lt;wsp:rsid wsp:val=&quot;00217FF3&quot;/&gt;&lt;wsp:rsid wsp:val=&quot;002201D1&quot;/&gt;&lt;wsp:rsid wsp:val=&quot;0022087F&quot;/&gt;&lt;wsp:rsid wsp:val=&quot;00220A70&quot;/&gt;&lt;wsp:rsid wsp:val=&quot;00220E2B&quot;/&gt;&lt;wsp:rsid wsp:val=&quot;00220FF9&quot;/&gt;&lt;wsp:rsid wsp:val=&quot;00221C9E&quot;/&gt;&lt;wsp:rsid wsp:val=&quot;00221CE5&quot;/&gt;&lt;wsp:rsid wsp:val=&quot;00222238&quot;/&gt;&lt;wsp:rsid wsp:val=&quot;002223C9&quot;/&gt;&lt;wsp:rsid wsp:val=&quot;00222500&quot;/&gt;&lt;wsp:rsid wsp:val=&quot;002226AA&quot;/&gt;&lt;wsp:rsid wsp:val=&quot;0022270D&quot;/&gt;&lt;wsp:rsid wsp:val=&quot;00222C43&quot;/&gt;&lt;wsp:rsid wsp:val=&quot;00222D7F&quot;/&gt;&lt;wsp:rsid wsp:val=&quot;00222DC8&quot;/&gt;&lt;wsp:rsid wsp:val=&quot;002231EE&quot;/&gt;&lt;wsp:rsid wsp:val=&quot;002233E3&quot;/&gt;&lt;wsp:rsid wsp:val=&quot;002239B7&quot;/&gt;&lt;wsp:rsid wsp:val=&quot;00223A30&quot;/&gt;&lt;wsp:rsid wsp:val=&quot;00223B60&quot;/&gt;&lt;wsp:rsid wsp:val=&quot;00223DE6&quot;/&gt;&lt;wsp:rsid wsp:val=&quot;00223F62&quot;/&gt;&lt;wsp:rsid wsp:val=&quot;00223F9C&quot;/&gt;&lt;wsp:rsid wsp:val=&quot;00223FFC&quot;/&gt;&lt;wsp:rsid wsp:val=&quot;002249B1&quot;/&gt;&lt;wsp:rsid wsp:val=&quot;00224B87&quot;/&gt;&lt;wsp:rsid wsp:val=&quot;002252A4&quot;/&gt;&lt;wsp:rsid wsp:val=&quot;002256D7&quot;/&gt;&lt;wsp:rsid wsp:val=&quot;002256F8&quot;/&gt;&lt;wsp:rsid wsp:val=&quot;0022588E&quot;/&gt;&lt;wsp:rsid wsp:val=&quot;00226142&quot;/&gt;&lt;wsp:rsid wsp:val=&quot;00226165&quot;/&gt;&lt;wsp:rsid wsp:val=&quot;0022658A&quot;/&gt;&lt;wsp:rsid wsp:val=&quot;00226901&quot;/&gt;&lt;wsp:rsid wsp:val=&quot;00226C9A&quot;/&gt;&lt;wsp:rsid wsp:val=&quot;00226CAA&quot;/&gt;&lt;wsp:rsid wsp:val=&quot;00226E16&quot;/&gt;&lt;wsp:rsid wsp:val=&quot;00226F0D&quot;/&gt;&lt;wsp:rsid wsp:val=&quot;00226FCA&quot;/&gt;&lt;wsp:rsid wsp:val=&quot;00227818&quot;/&gt;&lt;wsp:rsid wsp:val=&quot;0022783D&quot;/&gt;&lt;wsp:rsid wsp:val=&quot;00227A0E&quot;/&gt;&lt;wsp:rsid wsp:val=&quot;00227CA3&quot;/&gt;&lt;wsp:rsid wsp:val=&quot;00227CAC&quot;/&gt;&lt;wsp:rsid wsp:val=&quot;00227F09&quot;/&gt;&lt;wsp:rsid wsp:val=&quot;002300C7&quot;/&gt;&lt;wsp:rsid wsp:val=&quot;002300D2&quot;/&gt;&lt;wsp:rsid wsp:val=&quot;00230153&quot;/&gt;&lt;wsp:rsid wsp:val=&quot;00230303&quot;/&gt;&lt;wsp:rsid wsp:val=&quot;00230718&quot;/&gt;&lt;wsp:rsid wsp:val=&quot;00230D26&quot;/&gt;&lt;wsp:rsid wsp:val=&quot;002314F1&quot;/&gt;&lt;wsp:rsid wsp:val=&quot;00231683&quot;/&gt;&lt;wsp:rsid wsp:val=&quot;00231CB7&quot;/&gt;&lt;wsp:rsid wsp:val=&quot;00231EF3&quot;/&gt;&lt;wsp:rsid wsp:val=&quot;0023208D&quot;/&gt;&lt;wsp:rsid wsp:val=&quot;00232266&quot;/&gt;&lt;wsp:rsid wsp:val=&quot;002324A6&quot;/&gt;&lt;wsp:rsid wsp:val=&quot;002325A1&quot;/&gt;&lt;wsp:rsid wsp:val=&quot;00232989&quot;/&gt;&lt;wsp:rsid wsp:val=&quot;00232A0A&quot;/&gt;&lt;wsp:rsid wsp:val=&quot;00232B15&quot;/&gt;&lt;wsp:rsid wsp:val=&quot;00232B66&quot;/&gt;&lt;wsp:rsid wsp:val=&quot;00232E63&quot;/&gt;&lt;wsp:rsid wsp:val=&quot;00233149&quot;/&gt;&lt;wsp:rsid wsp:val=&quot;0023329A&quot;/&gt;&lt;wsp:rsid wsp:val=&quot;002333DE&quot;/&gt;&lt;wsp:rsid wsp:val=&quot;00233477&quot;/&gt;&lt;wsp:rsid wsp:val=&quot;00233F42&quot;/&gt;&lt;wsp:rsid wsp:val=&quot;002348CB&quot;/&gt;&lt;wsp:rsid wsp:val=&quot;002349BD&quot;/&gt;&lt;wsp:rsid wsp:val=&quot;00234A0C&quot;/&gt;&lt;wsp:rsid wsp:val=&quot;0023556F&quot;/&gt;&lt;wsp:rsid wsp:val=&quot;00235ACA&quot;/&gt;&lt;wsp:rsid wsp:val=&quot;00236590&quot;/&gt;&lt;wsp:rsid wsp:val=&quot;00236846&quot;/&gt;&lt;wsp:rsid wsp:val=&quot;00236C23&quot;/&gt;&lt;wsp:rsid wsp:val=&quot;00236C72&quot;/&gt;&lt;wsp:rsid wsp:val=&quot;00236C7C&quot;/&gt;&lt;wsp:rsid wsp:val=&quot;00236D67&quot;/&gt;&lt;wsp:rsid wsp:val=&quot;0023725F&quot;/&gt;&lt;wsp:rsid wsp:val=&quot;00237F39&quot;/&gt;&lt;wsp:rsid wsp:val=&quot;002402F2&quot;/&gt;&lt;wsp:rsid wsp:val=&quot;002413BD&quot;/&gt;&lt;wsp:rsid wsp:val=&quot;00241542&quot;/&gt;&lt;wsp:rsid wsp:val=&quot;0024185C&quot;/&gt;&lt;wsp:rsid wsp:val=&quot;002418E7&quot;/&gt;&lt;wsp:rsid wsp:val=&quot;00241A04&quot;/&gt;&lt;wsp:rsid wsp:val=&quot;00241A62&quot;/&gt;&lt;wsp:rsid wsp:val=&quot;00241B80&quot;/&gt;&lt;wsp:rsid wsp:val=&quot;00241C03&quot;/&gt;&lt;wsp:rsid wsp:val=&quot;00241F45&quot;/&gt;&lt;wsp:rsid wsp:val=&quot;00241F5F&quot;/&gt;&lt;wsp:rsid wsp:val=&quot;0024244A&quot;/&gt;&lt;wsp:rsid wsp:val=&quot;0024265F&quot;/&gt;&lt;wsp:rsid wsp:val=&quot;002426C6&quot;/&gt;&lt;wsp:rsid wsp:val=&quot;002427E0&quot;/&gt;&lt;wsp:rsid wsp:val=&quot;00242B14&quot;/&gt;&lt;wsp:rsid wsp:val=&quot;00242C0C&quot;/&gt;&lt;wsp:rsid wsp:val=&quot;00242E31&quot;/&gt;&lt;wsp:rsid wsp:val=&quot;0024301C&quot;/&gt;&lt;wsp:rsid wsp:val=&quot;0024379A&quot;/&gt;&lt;wsp:rsid wsp:val=&quot;00243812&quot;/&gt;&lt;wsp:rsid wsp:val=&quot;00243ACD&quot;/&gt;&lt;wsp:rsid wsp:val=&quot;00243BBE&quot;/&gt;&lt;wsp:rsid wsp:val=&quot;00243C6C&quot;/&gt;&lt;wsp:rsid wsp:val=&quot;0024489F&quot;/&gt;&lt;wsp:rsid wsp:val=&quot;00244FD7&quot;/&gt;&lt;wsp:rsid wsp:val=&quot;0024598B&quot;/&gt;&lt;wsp:rsid wsp:val=&quot;00245AEB&quot;/&gt;&lt;wsp:rsid wsp:val=&quot;002461EA&quot;/&gt;&lt;wsp:rsid wsp:val=&quot;002462E4&quot;/&gt;&lt;wsp:rsid wsp:val=&quot;002467DF&quot;/&gt;&lt;wsp:rsid wsp:val=&quot;0024687E&quot;/&gt;&lt;wsp:rsid wsp:val=&quot;002470B2&quot;/&gt;&lt;wsp:rsid wsp:val=&quot;00247351&quot;/&gt;&lt;wsp:rsid wsp:val=&quot;0024791D&quot;/&gt;&lt;wsp:rsid wsp:val=&quot;00247ACC&quot;/&gt;&lt;wsp:rsid wsp:val=&quot;00247FB1&quot;/&gt;&lt;wsp:rsid wsp:val=&quot;00250170&quot;/&gt;&lt;wsp:rsid wsp:val=&quot;0025022B&quot;/&gt;&lt;wsp:rsid wsp:val=&quot;00251027&quot;/&gt;&lt;wsp:rsid wsp:val=&quot;002510E4&quot;/&gt;&lt;wsp:rsid wsp:val=&quot;0025119D&quot;/&gt;&lt;wsp:rsid wsp:val=&quot;002512E4&quot;/&gt;&lt;wsp:rsid wsp:val=&quot;0025156F&quot;/&gt;&lt;wsp:rsid wsp:val=&quot;00251989&quot;/&gt;&lt;wsp:rsid wsp:val=&quot;00251B43&quot;/&gt;&lt;wsp:rsid wsp:val=&quot;00251FAE&quot;/&gt;&lt;wsp:rsid wsp:val=&quot;002520F8&quot;/&gt;&lt;wsp:rsid wsp:val=&quot;0025211D&quot;/&gt;&lt;wsp:rsid wsp:val=&quot;002526AA&quot;/&gt;&lt;wsp:rsid wsp:val=&quot;0025346F&quot;/&gt;&lt;wsp:rsid wsp:val=&quot;002535C1&quot;/&gt;&lt;wsp:rsid wsp:val=&quot;002535F2&quot;/&gt;&lt;wsp:rsid wsp:val=&quot;00253A28&quot;/&gt;&lt;wsp:rsid wsp:val=&quot;00253B29&quot;/&gt;&lt;wsp:rsid wsp:val=&quot;002540E7&quot;/&gt;&lt;wsp:rsid wsp:val=&quot;0025414B&quot;/&gt;&lt;wsp:rsid wsp:val=&quot;002543FB&quot;/&gt;&lt;wsp:rsid wsp:val=&quot;00254992&quot;/&gt;&lt;wsp:rsid wsp:val=&quot;00254A31&quot;/&gt;&lt;wsp:rsid wsp:val=&quot;00254B17&quot;/&gt;&lt;wsp:rsid wsp:val=&quot;0025529C&quot;/&gt;&lt;wsp:rsid wsp:val=&quot;0025553E&quot;/&gt;&lt;wsp:rsid wsp:val=&quot;002559DA&quot;/&gt;&lt;wsp:rsid wsp:val=&quot;00255A5F&quot;/&gt;&lt;wsp:rsid wsp:val=&quot;002567B3&quot;/&gt;&lt;wsp:rsid wsp:val=&quot;002567D9&quot;/&gt;&lt;wsp:rsid wsp:val=&quot;00257074&quot;/&gt;&lt;wsp:rsid wsp:val=&quot;0025716B&quot;/&gt;&lt;wsp:rsid wsp:val=&quot;002572DE&quot;/&gt;&lt;wsp:rsid wsp:val=&quot;002574AB&quot;/&gt;&lt;wsp:rsid wsp:val=&quot;00257710&quot;/&gt;&lt;wsp:rsid wsp:val=&quot;00257D51&quot;/&gt;&lt;wsp:rsid wsp:val=&quot;00260D34&quot;/&gt;&lt;wsp:rsid wsp:val=&quot;00260E55&quot;/&gt;&lt;wsp:rsid wsp:val=&quot;002617C9&quot;/&gt;&lt;wsp:rsid wsp:val=&quot;002618C2&quot;/&gt;&lt;wsp:rsid wsp:val=&quot;00261D85&quot;/&gt;&lt;wsp:rsid wsp:val=&quot;00262087&quot;/&gt;&lt;wsp:rsid wsp:val=&quot;0026227B&quot;/&gt;&lt;wsp:rsid wsp:val=&quot;00262456&quot;/&gt;&lt;wsp:rsid wsp:val=&quot;0026246C&quot;/&gt;&lt;wsp:rsid wsp:val=&quot;002624A1&quot;/&gt;&lt;wsp:rsid wsp:val=&quot;002627F3&quot;/&gt;&lt;wsp:rsid wsp:val=&quot;00262BD7&quot;/&gt;&lt;wsp:rsid wsp:val=&quot;00262C4D&quot;/&gt;&lt;wsp:rsid wsp:val=&quot;0026359A&quot;/&gt;&lt;wsp:rsid wsp:val=&quot;002636A2&quot;/&gt;&lt;wsp:rsid wsp:val=&quot;002636E9&quot;/&gt;&lt;wsp:rsid wsp:val=&quot;0026396F&quot;/&gt;&lt;wsp:rsid wsp:val=&quot;00263A8D&quot;/&gt;&lt;wsp:rsid wsp:val=&quot;00263C47&quot;/&gt;&lt;wsp:rsid wsp:val=&quot;00263C9F&quot;/&gt;&lt;wsp:rsid wsp:val=&quot;00263E47&quot;/&gt;&lt;wsp:rsid wsp:val=&quot;00263FB4&quot;/&gt;&lt;wsp:rsid wsp:val=&quot;002640D0&quot;/&gt;&lt;wsp:rsid wsp:val=&quot;002643DA&quot;/&gt;&lt;wsp:rsid wsp:val=&quot;002644E2&quot;/&gt;&lt;wsp:rsid wsp:val=&quot;0026461E&quot;/&gt;&lt;wsp:rsid wsp:val=&quot;00264E91&quot;/&gt;&lt;wsp:rsid wsp:val=&quot;00264F6D&quot;/&gt;&lt;wsp:rsid wsp:val=&quot;002655F6&quot;/&gt;&lt;wsp:rsid wsp:val=&quot;0026560C&quot;/&gt;&lt;wsp:rsid wsp:val=&quot;00265FF0&quot;/&gt;&lt;wsp:rsid wsp:val=&quot;00266E09&quot;/&gt;&lt;wsp:rsid wsp:val=&quot;0026739F&quot;/&gt;&lt;wsp:rsid wsp:val=&quot;00267640&quot;/&gt;&lt;wsp:rsid wsp:val=&quot;00270029&quot;/&gt;&lt;wsp:rsid wsp:val=&quot;0027018D&quot;/&gt;&lt;wsp:rsid wsp:val=&quot;00270611&quot;/&gt;&lt;wsp:rsid wsp:val=&quot;00270697&quot;/&gt;&lt;wsp:rsid wsp:val=&quot;00270755&quot;/&gt;&lt;wsp:rsid wsp:val=&quot;00270B47&quot;/&gt;&lt;wsp:rsid wsp:val=&quot;00270D59&quot;/&gt;&lt;wsp:rsid wsp:val=&quot;00271289&quot;/&gt;&lt;wsp:rsid wsp:val=&quot;0027134C&quot;/&gt;&lt;wsp:rsid wsp:val=&quot;00271593&quot;/&gt;&lt;wsp:rsid wsp:val=&quot;002715A6&quot;/&gt;&lt;wsp:rsid wsp:val=&quot;0027161F&quot;/&gt;&lt;wsp:rsid wsp:val=&quot;00271D4D&quot;/&gt;&lt;wsp:rsid wsp:val=&quot;00271E47&quot;/&gt;&lt;wsp:rsid wsp:val=&quot;0027224A&quot;/&gt;&lt;wsp:rsid wsp:val=&quot;002724EF&quot;/&gt;&lt;wsp:rsid wsp:val=&quot;002724F4&quot;/&gt;&lt;wsp:rsid wsp:val=&quot;00272C48&quot;/&gt;&lt;wsp:rsid wsp:val=&quot;002732D0&quot;/&gt;&lt;wsp:rsid wsp:val=&quot;002736D7&quot;/&gt;&lt;wsp:rsid wsp:val=&quot;0027373B&quot;/&gt;&lt;wsp:rsid wsp:val=&quot;00274050&quot;/&gt;&lt;wsp:rsid wsp:val=&quot;00274196&quot;/&gt;&lt;wsp:rsid wsp:val=&quot;00274205&quot;/&gt;&lt;wsp:rsid wsp:val=&quot;002744A3&quot;/&gt;&lt;wsp:rsid wsp:val=&quot;002744AA&quot;/&gt;&lt;wsp:rsid wsp:val=&quot;002747BF&quot;/&gt;&lt;wsp:rsid wsp:val=&quot;002747D0&quot;/&gt;&lt;wsp:rsid wsp:val=&quot;002748ED&quot;/&gt;&lt;wsp:rsid wsp:val=&quot;00274955&quot;/&gt;&lt;wsp:rsid wsp:val=&quot;0027499C&quot;/&gt;&lt;wsp:rsid wsp:val=&quot;00274A6C&quot;/&gt;&lt;wsp:rsid wsp:val=&quot;00274C83&quot;/&gt;&lt;wsp:rsid wsp:val=&quot;00274CDA&quot;/&gt;&lt;wsp:rsid wsp:val=&quot;0027513F&quot;/&gt;&lt;wsp:rsid wsp:val=&quot;00275142&quot;/&gt;&lt;wsp:rsid wsp:val=&quot;00275637&quot;/&gt;&lt;wsp:rsid wsp:val=&quot;002757D0&quot;/&gt;&lt;wsp:rsid wsp:val=&quot;00275A5D&quot;/&gt;&lt;wsp:rsid wsp:val=&quot;00275AD2&quot;/&gt;&lt;wsp:rsid wsp:val=&quot;0027613B&quot;/&gt;&lt;wsp:rsid wsp:val=&quot;0027644C&quot;/&gt;&lt;wsp:rsid wsp:val=&quot;002765AD&quot;/&gt;&lt;wsp:rsid wsp:val=&quot;002767D0&quot;/&gt;&lt;wsp:rsid wsp:val=&quot;00276D6C&quot;/&gt;&lt;wsp:rsid wsp:val=&quot;00276F23&quot;/&gt;&lt;wsp:rsid wsp:val=&quot;0027716C&quot;/&gt;&lt;wsp:rsid wsp:val=&quot;002779DD&quot;/&gt;&lt;wsp:rsid wsp:val=&quot;00277F07&quot;/&gt;&lt;wsp:rsid wsp:val=&quot;0028013C&quot;/&gt;&lt;wsp:rsid wsp:val=&quot;002803DE&quot;/&gt;&lt;wsp:rsid wsp:val=&quot;002804A3&quot;/&gt;&lt;wsp:rsid wsp:val=&quot;00280893&quot;/&gt;&lt;wsp:rsid wsp:val=&quot;002812C9&quot;/&gt;&lt;wsp:rsid wsp:val=&quot;002814EC&quot;/&gt;&lt;wsp:rsid wsp:val=&quot;0028166F&quot;/&gt;&lt;wsp:rsid wsp:val=&quot;00281860&quot;/&gt;&lt;wsp:rsid wsp:val=&quot;00281952&quot;/&gt;&lt;wsp:rsid wsp:val=&quot;00282A78&quot;/&gt;&lt;wsp:rsid wsp:val=&quot;00282B4B&quot;/&gt;&lt;wsp:rsid wsp:val=&quot;00282BDA&quot;/&gt;&lt;wsp:rsid wsp:val=&quot;00282E4D&quot;/&gt;&lt;wsp:rsid wsp:val=&quot;002832E0&quot;/&gt;&lt;wsp:rsid wsp:val=&quot;002833BB&quot;/&gt;&lt;wsp:rsid wsp:val=&quot;0028346E&quot;/&gt;&lt;wsp:rsid wsp:val=&quot;002835C7&quot;/&gt;&lt;wsp:rsid wsp:val=&quot;00284392&quot;/&gt;&lt;wsp:rsid wsp:val=&quot;00284567&quot;/&gt;&lt;wsp:rsid wsp:val=&quot;00284A7F&quot;/&gt;&lt;wsp:rsid wsp:val=&quot;00284BC4&quot;/&gt;&lt;wsp:rsid wsp:val=&quot;00284C0D&quot;/&gt;&lt;wsp:rsid wsp:val=&quot;00285346&quot;/&gt;&lt;wsp:rsid wsp:val=&quot;0028553F&quot;/&gt;&lt;wsp:rsid wsp:val=&quot;00285701&quot;/&gt;&lt;wsp:rsid wsp:val=&quot;00285A7F&quot;/&gt;&lt;wsp:rsid wsp:val=&quot;00285AF2&quot;/&gt;&lt;wsp:rsid wsp:val=&quot;00285FC0&quot;/&gt;&lt;wsp:rsid wsp:val=&quot;00285FC5&quot;/&gt;&lt;wsp:rsid wsp:val=&quot;0028641F&quot;/&gt;&lt;wsp:rsid wsp:val=&quot;002867AA&quot;/&gt;&lt;wsp:rsid wsp:val=&quot;002869F5&quot;/&gt;&lt;wsp:rsid wsp:val=&quot;00286F24&quot;/&gt;&lt;wsp:rsid wsp:val=&quot;00286F32&quot;/&gt;&lt;wsp:rsid wsp:val=&quot;00287223&quot;/&gt;&lt;wsp:rsid wsp:val=&quot;00287681&quot;/&gt;&lt;wsp:rsid wsp:val=&quot;00287EBD&quot;/&gt;&lt;wsp:rsid wsp:val=&quot;00287F8E&quot;/&gt;&lt;wsp:rsid wsp:val=&quot;0029008F&quot;/&gt;&lt;wsp:rsid wsp:val=&quot;0029079A&quot;/&gt;&lt;wsp:rsid wsp:val=&quot;00290A2D&quot;/&gt;&lt;wsp:rsid wsp:val=&quot;002910F2&quot;/&gt;&lt;wsp:rsid wsp:val=&quot;002911F5&quot;/&gt;&lt;wsp:rsid wsp:val=&quot;00291250&quot;/&gt;&lt;wsp:rsid wsp:val=&quot;0029135F&quot;/&gt;&lt;wsp:rsid wsp:val=&quot;0029196D&quot;/&gt;&lt;wsp:rsid wsp:val=&quot;00291A01&quot;/&gt;&lt;wsp:rsid wsp:val=&quot;00291A62&quot;/&gt;&lt;wsp:rsid wsp:val=&quot;00291F28&quot;/&gt;&lt;wsp:rsid wsp:val=&quot;00292687&quot;/&gt;&lt;wsp:rsid wsp:val=&quot;002929B3&quot;/&gt;&lt;wsp:rsid wsp:val=&quot;00292B75&quot;/&gt;&lt;wsp:rsid wsp:val=&quot;00292E90&quot;/&gt;&lt;wsp:rsid wsp:val=&quot;00292F01&quot;/&gt;&lt;wsp:rsid wsp:val=&quot;0029342F&quot;/&gt;&lt;wsp:rsid wsp:val=&quot;002934B1&quot;/&gt;&lt;wsp:rsid wsp:val=&quot;00293626&quot;/&gt;&lt;wsp:rsid wsp:val=&quot;00293B87&quot;/&gt;&lt;wsp:rsid wsp:val=&quot;00293C9E&quot;/&gt;&lt;wsp:rsid wsp:val=&quot;00293DAA&quot;/&gt;&lt;wsp:rsid wsp:val=&quot;00293E69&quot;/&gt;&lt;wsp:rsid wsp:val=&quot;00294076&quot;/&gt;&lt;wsp:rsid wsp:val=&quot;00294094&quot;/&gt;&lt;wsp:rsid wsp:val=&quot;002942B9&quot;/&gt;&lt;wsp:rsid wsp:val=&quot;002944AD&quot;/&gt;&lt;wsp:rsid wsp:val=&quot;00294D12&quot;/&gt;&lt;wsp:rsid wsp:val=&quot;00295814&quot;/&gt;&lt;wsp:rsid wsp:val=&quot;00295EBF&quot;/&gt;&lt;wsp:rsid wsp:val=&quot;00295FCC&quot;/&gt;&lt;wsp:rsid wsp:val=&quot;00296318&quot;/&gt;&lt;wsp:rsid wsp:val=&quot;002963ED&quot;/&gt;&lt;wsp:rsid wsp:val=&quot;00296B3C&quot;/&gt;&lt;wsp:rsid wsp:val=&quot;002976EF&quot;/&gt;&lt;wsp:rsid wsp:val=&quot;00297F6D&quot;/&gt;&lt;wsp:rsid wsp:val=&quot;002A017C&quot;/&gt;&lt;wsp:rsid wsp:val=&quot;002A043F&quot;/&gt;&lt;wsp:rsid wsp:val=&quot;002A082D&quot;/&gt;&lt;wsp:rsid wsp:val=&quot;002A0AC1&quot;/&gt;&lt;wsp:rsid wsp:val=&quot;002A1683&quot;/&gt;&lt;wsp:rsid wsp:val=&quot;002A18F0&quot;/&gt;&lt;wsp:rsid wsp:val=&quot;002A195B&quot;/&gt;&lt;wsp:rsid wsp:val=&quot;002A1B4D&quot;/&gt;&lt;wsp:rsid wsp:val=&quot;002A1D8E&quot;/&gt;&lt;wsp:rsid wsp:val=&quot;002A226C&quot;/&gt;&lt;wsp:rsid wsp:val=&quot;002A25D6&quot;/&gt;&lt;wsp:rsid wsp:val=&quot;002A287D&quot;/&gt;&lt;wsp:rsid wsp:val=&quot;002A30A8&quot;/&gt;&lt;wsp:rsid wsp:val=&quot;002A325C&quot;/&gt;&lt;wsp:rsid wsp:val=&quot;002A354B&quot;/&gt;&lt;wsp:rsid wsp:val=&quot;002A3C55&quot;/&gt;&lt;wsp:rsid wsp:val=&quot;002A3E93&quot;/&gt;&lt;wsp:rsid wsp:val=&quot;002A40B5&quot;/&gt;&lt;wsp:rsid wsp:val=&quot;002A40BF&quot;/&gt;&lt;wsp:rsid wsp:val=&quot;002A438B&quot;/&gt;&lt;wsp:rsid wsp:val=&quot;002A43DA&quot;/&gt;&lt;wsp:rsid wsp:val=&quot;002A4413&quot;/&gt;&lt;wsp:rsid wsp:val=&quot;002A47C6&quot;/&gt;&lt;wsp:rsid wsp:val=&quot;002A4B45&quot;/&gt;&lt;wsp:rsid wsp:val=&quot;002A4F64&quot;/&gt;&lt;wsp:rsid wsp:val=&quot;002A4FAA&quot;/&gt;&lt;wsp:rsid wsp:val=&quot;002A543C&quot;/&gt;&lt;wsp:rsid wsp:val=&quot;002A5850&quot;/&gt;&lt;wsp:rsid wsp:val=&quot;002A5E2B&quot;/&gt;&lt;wsp:rsid wsp:val=&quot;002A60AB&quot;/&gt;&lt;wsp:rsid wsp:val=&quot;002A62D4&quot;/&gt;&lt;wsp:rsid wsp:val=&quot;002A6559&quot;/&gt;&lt;wsp:rsid wsp:val=&quot;002A72E4&quot;/&gt;&lt;wsp:rsid wsp:val=&quot;002A7464&quot;/&gt;&lt;wsp:rsid wsp:val=&quot;002A753D&quot;/&gt;&lt;wsp:rsid wsp:val=&quot;002A76F0&quot;/&gt;&lt;wsp:rsid wsp:val=&quot;002A78B2&quot;/&gt;&lt;wsp:rsid wsp:val=&quot;002A7969&quot;/&gt;&lt;wsp:rsid wsp:val=&quot;002A7DE4&quot;/&gt;&lt;wsp:rsid wsp:val=&quot;002B07B5&quot;/&gt;&lt;wsp:rsid wsp:val=&quot;002B07D5&quot;/&gt;&lt;wsp:rsid wsp:val=&quot;002B0B06&quot;/&gt;&lt;wsp:rsid wsp:val=&quot;002B0B36&quot;/&gt;&lt;wsp:rsid wsp:val=&quot;002B1469&quot;/&gt;&lt;wsp:rsid wsp:val=&quot;002B21F2&quot;/&gt;&lt;wsp:rsid wsp:val=&quot;002B22FF&quot;/&gt;&lt;wsp:rsid wsp:val=&quot;002B2487&quot;/&gt;&lt;wsp:rsid wsp:val=&quot;002B2750&quot;/&gt;&lt;wsp:rsid wsp:val=&quot;002B2CDA&quot;/&gt;&lt;wsp:rsid wsp:val=&quot;002B3B40&quot;/&gt;&lt;wsp:rsid wsp:val=&quot;002B3B45&quot;/&gt;&lt;wsp:rsid wsp:val=&quot;002B3C6E&quot;/&gt;&lt;wsp:rsid wsp:val=&quot;002B4636&quot;/&gt;&lt;wsp:rsid wsp:val=&quot;002B5679&quot;/&gt;&lt;wsp:rsid wsp:val=&quot;002B589F&quot;/&gt;&lt;wsp:rsid wsp:val=&quot;002B5CDE&quot;/&gt;&lt;wsp:rsid wsp:val=&quot;002B6271&quot;/&gt;&lt;wsp:rsid wsp:val=&quot;002B63AB&quot;/&gt;&lt;wsp:rsid wsp:val=&quot;002B6969&quot;/&gt;&lt;wsp:rsid wsp:val=&quot;002B6B15&quot;/&gt;&lt;wsp:rsid wsp:val=&quot;002B6C6C&quot;/&gt;&lt;wsp:rsid wsp:val=&quot;002B6E38&quot;/&gt;&lt;wsp:rsid wsp:val=&quot;002B7093&quot;/&gt;&lt;wsp:rsid wsp:val=&quot;002C028F&quot;/&gt;&lt;wsp:rsid wsp:val=&quot;002C02EC&quot;/&gt;&lt;wsp:rsid wsp:val=&quot;002C02EF&quot;/&gt;&lt;wsp:rsid wsp:val=&quot;002C0435&quot;/&gt;&lt;wsp:rsid wsp:val=&quot;002C0475&quot;/&gt;&lt;wsp:rsid wsp:val=&quot;002C049C&quot;/&gt;&lt;wsp:rsid wsp:val=&quot;002C06A2&quot;/&gt;&lt;wsp:rsid wsp:val=&quot;002C0797&quot;/&gt;&lt;wsp:rsid wsp:val=&quot;002C09C9&quot;/&gt;&lt;wsp:rsid wsp:val=&quot;002C1425&quot;/&gt;&lt;wsp:rsid wsp:val=&quot;002C196B&quot;/&gt;&lt;wsp:rsid wsp:val=&quot;002C1A16&quot;/&gt;&lt;wsp:rsid wsp:val=&quot;002C1D69&quot;/&gt;&lt;wsp:rsid wsp:val=&quot;002C2023&quot;/&gt;&lt;wsp:rsid wsp:val=&quot;002C2E78&quot;/&gt;&lt;wsp:rsid wsp:val=&quot;002C341B&quot;/&gt;&lt;wsp:rsid wsp:val=&quot;002C36FF&quot;/&gt;&lt;wsp:rsid wsp:val=&quot;002C3863&quot;/&gt;&lt;wsp:rsid wsp:val=&quot;002C38D3&quot;/&gt;&lt;wsp:rsid wsp:val=&quot;002C399A&quot;/&gt;&lt;wsp:rsid wsp:val=&quot;002C3F6E&quot;/&gt;&lt;wsp:rsid wsp:val=&quot;002C40E3&quot;/&gt;&lt;wsp:rsid wsp:val=&quot;002C426B&quot;/&gt;&lt;wsp:rsid wsp:val=&quot;002C4910&quot;/&gt;&lt;wsp:rsid wsp:val=&quot;002C51F4&quot;/&gt;&lt;wsp:rsid wsp:val=&quot;002C52BD&quot;/&gt;&lt;wsp:rsid wsp:val=&quot;002C5465&quot;/&gt;&lt;wsp:rsid wsp:val=&quot;002C580B&quot;/&gt;&lt;wsp:rsid wsp:val=&quot;002C5A9A&quot;/&gt;&lt;wsp:rsid wsp:val=&quot;002C5D82&quot;/&gt;&lt;wsp:rsid wsp:val=&quot;002C5F99&quot;/&gt;&lt;wsp:rsid wsp:val=&quot;002C6221&quot;/&gt;&lt;wsp:rsid wsp:val=&quot;002C6936&quot;/&gt;&lt;wsp:rsid wsp:val=&quot;002C6EF6&quot;/&gt;&lt;wsp:rsid wsp:val=&quot;002C70A1&quot;/&gt;&lt;wsp:rsid wsp:val=&quot;002C70EB&quot;/&gt;&lt;wsp:rsid wsp:val=&quot;002C71BC&quot;/&gt;&lt;wsp:rsid wsp:val=&quot;002C7CB3&quot;/&gt;&lt;wsp:rsid wsp:val=&quot;002D01B6&quot;/&gt;&lt;wsp:rsid wsp:val=&quot;002D051A&quot;/&gt;&lt;wsp:rsid wsp:val=&quot;002D066C&quot;/&gt;&lt;wsp:rsid wsp:val=&quot;002D0BD7&quot;/&gt;&lt;wsp:rsid wsp:val=&quot;002D0D75&quot;/&gt;&lt;wsp:rsid wsp:val=&quot;002D17A6&quot;/&gt;&lt;wsp:rsid wsp:val=&quot;002D1F87&quot;/&gt;&lt;wsp:rsid wsp:val=&quot;002D2373&quot;/&gt;&lt;wsp:rsid wsp:val=&quot;002D26F6&quot;/&gt;&lt;wsp:rsid wsp:val=&quot;002D2A19&quot;/&gt;&lt;wsp:rsid wsp:val=&quot;002D2A84&quot;/&gt;&lt;wsp:rsid wsp:val=&quot;002D30BE&quot;/&gt;&lt;wsp:rsid wsp:val=&quot;002D325A&quot;/&gt;&lt;wsp:rsid wsp:val=&quot;002D3A06&quot;/&gt;&lt;wsp:rsid wsp:val=&quot;002D3E99&quot;/&gt;&lt;wsp:rsid wsp:val=&quot;002D3FAD&quot;/&gt;&lt;wsp:rsid wsp:val=&quot;002D4667&quot;/&gt;&lt;wsp:rsid wsp:val=&quot;002D48AC&quot;/&gt;&lt;wsp:rsid wsp:val=&quot;002D4A83&quot;/&gt;&lt;wsp:rsid wsp:val=&quot;002D4C2A&quot;/&gt;&lt;wsp:rsid wsp:val=&quot;002D5156&quot;/&gt;&lt;wsp:rsid wsp:val=&quot;002D5221&quot;/&gt;&lt;wsp:rsid wsp:val=&quot;002D54B2&quot;/&gt;&lt;wsp:rsid wsp:val=&quot;002D5AD5&quot;/&gt;&lt;wsp:rsid wsp:val=&quot;002D5F75&quot;/&gt;&lt;wsp:rsid wsp:val=&quot;002D60C7&quot;/&gt;&lt;wsp:rsid wsp:val=&quot;002D6528&quot;/&gt;&lt;wsp:rsid wsp:val=&quot;002D655D&quot;/&gt;&lt;wsp:rsid wsp:val=&quot;002D6810&quot;/&gt;&lt;wsp:rsid wsp:val=&quot;002D68CE&quot;/&gt;&lt;wsp:rsid wsp:val=&quot;002D68D1&quot;/&gt;&lt;wsp:rsid wsp:val=&quot;002D68F0&quot;/&gt;&lt;wsp:rsid wsp:val=&quot;002D6938&quot;/&gt;&lt;wsp:rsid wsp:val=&quot;002D6EA4&quot;/&gt;&lt;wsp:rsid wsp:val=&quot;002D6F4C&quot;/&gt;&lt;wsp:rsid wsp:val=&quot;002D712B&quot;/&gt;&lt;wsp:rsid wsp:val=&quot;002D7489&quot;/&gt;&lt;wsp:rsid wsp:val=&quot;002D75E1&quot;/&gt;&lt;wsp:rsid wsp:val=&quot;002D7852&quot;/&gt;&lt;wsp:rsid wsp:val=&quot;002D7876&quot;/&gt;&lt;wsp:rsid wsp:val=&quot;002D7F7C&quot;/&gt;&lt;wsp:rsid wsp:val=&quot;002E00F5&quot;/&gt;&lt;wsp:rsid wsp:val=&quot;002E0245&quot;/&gt;&lt;wsp:rsid wsp:val=&quot;002E09BB&quot;/&gt;&lt;wsp:rsid wsp:val=&quot;002E10DC&quot;/&gt;&lt;wsp:rsid wsp:val=&quot;002E155F&quot;/&gt;&lt;wsp:rsid wsp:val=&quot;002E1B96&quot;/&gt;&lt;wsp:rsid wsp:val=&quot;002E1D4F&quot;/&gt;&lt;wsp:rsid wsp:val=&quot;002E1F15&quot;/&gt;&lt;wsp:rsid wsp:val=&quot;002E1F17&quot;/&gt;&lt;wsp:rsid wsp:val=&quot;002E205D&quot;/&gt;&lt;wsp:rsid wsp:val=&quot;002E22DB&quot;/&gt;&lt;wsp:rsid wsp:val=&quot;002E28BB&quot;/&gt;&lt;wsp:rsid wsp:val=&quot;002E2C03&quot;/&gt;&lt;wsp:rsid wsp:val=&quot;002E2EC0&quot;/&gt;&lt;wsp:rsid wsp:val=&quot;002E3387&quot;/&gt;&lt;wsp:rsid wsp:val=&quot;002E34D6&quot;/&gt;&lt;wsp:rsid wsp:val=&quot;002E3B88&quot;/&gt;&lt;wsp:rsid wsp:val=&quot;002E3D5B&quot;/&gt;&lt;wsp:rsid wsp:val=&quot;002E3DAD&quot;/&gt;&lt;wsp:rsid wsp:val=&quot;002E3ED7&quot;/&gt;&lt;wsp:rsid wsp:val=&quot;002E4583&quot;/&gt;&lt;wsp:rsid wsp:val=&quot;002E4707&quot;/&gt;&lt;wsp:rsid wsp:val=&quot;002E4B35&quot;/&gt;&lt;wsp:rsid wsp:val=&quot;002E542B&quot;/&gt;&lt;wsp:rsid wsp:val=&quot;002E6D9B&quot;/&gt;&lt;wsp:rsid wsp:val=&quot;002E7A1F&quot;/&gt;&lt;wsp:rsid wsp:val=&quot;002E7AE0&quot;/&gt;&lt;wsp:rsid wsp:val=&quot;002E7B93&quot;/&gt;&lt;wsp:rsid wsp:val=&quot;002E7F73&quot;/&gt;&lt;wsp:rsid wsp:val=&quot;002F0117&quot;/&gt;&lt;wsp:rsid wsp:val=&quot;002F033F&quot;/&gt;&lt;wsp:rsid wsp:val=&quot;002F0447&quot;/&gt;&lt;wsp:rsid wsp:val=&quot;002F046F&quot;/&gt;&lt;wsp:rsid wsp:val=&quot;002F0546&quot;/&gt;&lt;wsp:rsid wsp:val=&quot;002F0E28&quot;/&gt;&lt;wsp:rsid wsp:val=&quot;002F0F50&quot;/&gt;&lt;wsp:rsid wsp:val=&quot;002F0FBF&quot;/&gt;&lt;wsp:rsid wsp:val=&quot;002F12A5&quot;/&gt;&lt;wsp:rsid wsp:val=&quot;002F1589&quot;/&gt;&lt;wsp:rsid wsp:val=&quot;002F17EF&quot;/&gt;&lt;wsp:rsid wsp:val=&quot;002F1969&quot;/&gt;&lt;wsp:rsid wsp:val=&quot;002F1FC7&quot;/&gt;&lt;wsp:rsid wsp:val=&quot;002F2886&quot;/&gt;&lt;wsp:rsid wsp:val=&quot;002F309F&quot;/&gt;&lt;wsp:rsid wsp:val=&quot;002F33C7&quot;/&gt;&lt;wsp:rsid wsp:val=&quot;002F3538&quot;/&gt;&lt;wsp:rsid wsp:val=&quot;002F3CF1&quot;/&gt;&lt;wsp:rsid wsp:val=&quot;002F3D37&quot;/&gt;&lt;wsp:rsid wsp:val=&quot;002F42BA&quot;/&gt;&lt;wsp:rsid wsp:val=&quot;002F452B&quot;/&gt;&lt;wsp:rsid wsp:val=&quot;002F4635&quot;/&gt;&lt;wsp:rsid wsp:val=&quot;002F4CC1&quot;/&gt;&lt;wsp:rsid wsp:val=&quot;002F4E53&quot;/&gt;&lt;wsp:rsid wsp:val=&quot;002F4E82&quot;/&gt;&lt;wsp:rsid wsp:val=&quot;002F4FEE&quot;/&gt;&lt;wsp:rsid wsp:val=&quot;002F50B4&quot;/&gt;&lt;wsp:rsid wsp:val=&quot;002F5550&quot;/&gt;&lt;wsp:rsid wsp:val=&quot;002F57FD&quot;/&gt;&lt;wsp:rsid wsp:val=&quot;002F5DB6&quot;/&gt;&lt;wsp:rsid wsp:val=&quot;002F5EEF&quot;/&gt;&lt;wsp:rsid wsp:val=&quot;002F5FFD&quot;/&gt;&lt;wsp:rsid wsp:val=&quot;002F6510&quot;/&gt;&lt;wsp:rsid wsp:val=&quot;002F6A30&quot;/&gt;&lt;wsp:rsid wsp:val=&quot;002F6C71&quot;/&gt;&lt;wsp:rsid wsp:val=&quot;002F762A&quot;/&gt;&lt;wsp:rsid wsp:val=&quot;002F7CDE&quot;/&gt;&lt;wsp:rsid wsp:val=&quot;00300614&quot;/&gt;&lt;wsp:rsid wsp:val=&quot;0030079A&quot;/&gt;&lt;wsp:rsid wsp:val=&quot;00300A4F&quot;/&gt;&lt;wsp:rsid wsp:val=&quot;003011E0&quot;/&gt;&lt;wsp:rsid wsp:val=&quot;00301AB9&quot;/&gt;&lt;wsp:rsid wsp:val=&quot;00301E31&quot;/&gt;&lt;wsp:rsid wsp:val=&quot;003020F0&quot;/&gt;&lt;wsp:rsid wsp:val=&quot;003021E3&quot;/&gt;&lt;wsp:rsid wsp:val=&quot;003021EB&quot;/&gt;&lt;wsp:rsid wsp:val=&quot;0030234F&quot;/&gt;&lt;wsp:rsid wsp:val=&quot;003024F1&quot;/&gt;&lt;wsp:rsid wsp:val=&quot;00302C47&quot;/&gt;&lt;wsp:rsid wsp:val=&quot;00302DE7&quot;/&gt;&lt;wsp:rsid wsp:val=&quot;00302E2C&quot;/&gt;&lt;wsp:rsid wsp:val=&quot;0030381E&quot;/&gt;&lt;wsp:rsid wsp:val=&quot;00303848&quot;/&gt;&lt;wsp:rsid wsp:val=&quot;00303894&quot;/&gt;&lt;wsp:rsid wsp:val=&quot;00303A13&quot;/&gt;&lt;wsp:rsid wsp:val=&quot;00303D41&quot;/&gt;&lt;wsp:rsid wsp:val=&quot;0030400B&quot;/&gt;&lt;wsp:rsid wsp:val=&quot;003040BB&quot;/&gt;&lt;wsp:rsid wsp:val=&quot;003042E2&quot;/&gt;&lt;wsp:rsid wsp:val=&quot;00304465&quot;/&gt;&lt;wsp:rsid wsp:val=&quot;00304543&quot;/&gt;&lt;wsp:rsid wsp:val=&quot;00304659&quot;/&gt;&lt;wsp:rsid wsp:val=&quot;00304816&quot;/&gt;&lt;wsp:rsid wsp:val=&quot;00305216&quot;/&gt;&lt;wsp:rsid wsp:val=&quot;00305929&quot;/&gt;&lt;wsp:rsid wsp:val=&quot;00305A87&quot;/&gt;&lt;wsp:rsid wsp:val=&quot;003064CB&quot;/&gt;&lt;wsp:rsid wsp:val=&quot;00306A6A&quot;/&gt;&lt;wsp:rsid wsp:val=&quot;00306AA7&quot;/&gt;&lt;wsp:rsid wsp:val=&quot;00306CB1&quot;/&gt;&lt;wsp:rsid wsp:val=&quot;00306F51&quot;/&gt;&lt;wsp:rsid wsp:val=&quot;00306F9A&quot;/&gt;&lt;wsp:rsid wsp:val=&quot;00307117&quot;/&gt;&lt;wsp:rsid wsp:val=&quot;00307711&quot;/&gt;&lt;wsp:rsid wsp:val=&quot;003077AC&quot;/&gt;&lt;wsp:rsid wsp:val=&quot;00307B03&quot;/&gt;&lt;wsp:rsid wsp:val=&quot;0031013A&quot;/&gt;&lt;wsp:rsid wsp:val=&quot;0031018C&quot;/&gt;&lt;wsp:rsid wsp:val=&quot;003105B2&quot;/&gt;&lt;wsp:rsid wsp:val=&quot;00310832&quot;/&gt;&lt;wsp:rsid wsp:val=&quot;00310AC6&quot;/&gt;&lt;wsp:rsid wsp:val=&quot;00310E02&quot;/&gt;&lt;wsp:rsid wsp:val=&quot;003111BD&quot;/&gt;&lt;wsp:rsid wsp:val=&quot;00311355&quot;/&gt;&lt;wsp:rsid wsp:val=&quot;003118E0&quot;/&gt;&lt;wsp:rsid wsp:val=&quot;00311967&quot;/&gt;&lt;wsp:rsid wsp:val=&quot;00311BFF&quot;/&gt;&lt;wsp:rsid wsp:val=&quot;0031201D&quot;/&gt;&lt;wsp:rsid wsp:val=&quot;003124A8&quot;/&gt;&lt;wsp:rsid wsp:val=&quot;0031286E&quot;/&gt;&lt;wsp:rsid wsp:val=&quot;00312EEF&quot;/&gt;&lt;wsp:rsid wsp:val=&quot;00312FD4&quot;/&gt;&lt;wsp:rsid wsp:val=&quot;0031302C&quot;/&gt;&lt;wsp:rsid wsp:val=&quot;00313A91&quot;/&gt;&lt;wsp:rsid wsp:val=&quot;00313C73&quot;/&gt;&lt;wsp:rsid wsp:val=&quot;0031435C&quot;/&gt;&lt;wsp:rsid wsp:val=&quot;003144DA&quot;/&gt;&lt;wsp:rsid wsp:val=&quot;00314577&quot;/&gt;&lt;wsp:rsid wsp:val=&quot;003145BA&quot;/&gt;&lt;wsp:rsid wsp:val=&quot;003146B3&quot;/&gt;&lt;wsp:rsid wsp:val=&quot;003148C5&quot;/&gt;&lt;wsp:rsid wsp:val=&quot;003148E8&quot;/&gt;&lt;wsp:rsid wsp:val=&quot;0031494A&quot;/&gt;&lt;wsp:rsid wsp:val=&quot;00314D64&quot;/&gt;&lt;wsp:rsid wsp:val=&quot;003153AB&quot;/&gt;&lt;wsp:rsid wsp:val=&quot;00315C1F&quot;/&gt;&lt;wsp:rsid wsp:val=&quot;00316A8D&quot;/&gt;&lt;wsp:rsid wsp:val=&quot;00316B3D&quot;/&gt;&lt;wsp:rsid wsp:val=&quot;0031710A&quot;/&gt;&lt;wsp:rsid wsp:val=&quot;0031727B&quot;/&gt;&lt;wsp:rsid wsp:val=&quot;003173FE&quot;/&gt;&lt;wsp:rsid wsp:val=&quot;0031743E&quot;/&gt;&lt;wsp:rsid wsp:val=&quot;003175D3&quot;/&gt;&lt;wsp:rsid wsp:val=&quot;003176EF&quot;/&gt;&lt;wsp:rsid wsp:val=&quot;00317939&quot;/&gt;&lt;wsp:rsid wsp:val=&quot;00317951&quot;/&gt;&lt;wsp:rsid wsp:val=&quot;003179E4&quot;/&gt;&lt;wsp:rsid wsp:val=&quot;00317A5B&quot;/&gt;&lt;wsp:rsid wsp:val=&quot;00317B85&quot;/&gt;&lt;wsp:rsid wsp:val=&quot;00317C82&quot;/&gt;&lt;wsp:rsid wsp:val=&quot;00317C8D&quot;/&gt;&lt;wsp:rsid wsp:val=&quot;00320125&quot;/&gt;&lt;wsp:rsid wsp:val=&quot;00320258&quot;/&gt;&lt;wsp:rsid wsp:val=&quot;00320778&quot;/&gt;&lt;wsp:rsid wsp:val=&quot;003208F1&quot;/&gt;&lt;wsp:rsid wsp:val=&quot;00320B46&quot;/&gt;&lt;wsp:rsid wsp:val=&quot;00321345&quot;/&gt;&lt;wsp:rsid wsp:val=&quot;003219C6&quot;/&gt;&lt;wsp:rsid wsp:val=&quot;00321BAA&quot;/&gt;&lt;wsp:rsid wsp:val=&quot;00321FE8&quot;/&gt;&lt;wsp:rsid wsp:val=&quot;003228E7&quot;/&gt;&lt;wsp:rsid wsp:val=&quot;00322C86&quot;/&gt;&lt;wsp:rsid wsp:val=&quot;00322F9C&quot;/&gt;&lt;wsp:rsid wsp:val=&quot;00323064&quot;/&gt;&lt;wsp:rsid wsp:val=&quot;00323789&quot;/&gt;&lt;wsp:rsid wsp:val=&quot;003237CD&quot;/&gt;&lt;wsp:rsid wsp:val=&quot;003239FE&quot;/&gt;&lt;wsp:rsid wsp:val=&quot;00323A36&quot;/&gt;&lt;wsp:rsid wsp:val=&quot;00323C3F&quot;/&gt;&lt;wsp:rsid wsp:val=&quot;00324043&quot;/&gt;&lt;wsp:rsid wsp:val=&quot;003240C6&quot;/&gt;&lt;wsp:rsid wsp:val=&quot;003240DB&quot;/&gt;&lt;wsp:rsid wsp:val=&quot;00324172&quot;/&gt;&lt;wsp:rsid wsp:val=&quot;003243F1&quot;/&gt;&lt;wsp:rsid wsp:val=&quot;00324811&quot;/&gt;&lt;wsp:rsid wsp:val=&quot;00324D96&quot;/&gt;&lt;wsp:rsid wsp:val=&quot;003251F5&quot;/&gt;&lt;wsp:rsid wsp:val=&quot;003251FD&quot;/&gt;&lt;wsp:rsid wsp:val=&quot;003252DE&quot;/&gt;&lt;wsp:rsid wsp:val=&quot;0032561C&quot;/&gt;&lt;wsp:rsid wsp:val=&quot;003256BF&quot;/&gt;&lt;wsp:rsid wsp:val=&quot;0032627E&quot;/&gt;&lt;wsp:rsid wsp:val=&quot;003263D2&quot;/&gt;&lt;wsp:rsid wsp:val=&quot;003265DD&quot;/&gt;&lt;wsp:rsid wsp:val=&quot;00326D3E&quot;/&gt;&lt;wsp:rsid wsp:val=&quot;0032714F&quot;/&gt;&lt;wsp:rsid wsp:val=&quot;0032737B&quot;/&gt;&lt;wsp:rsid wsp:val=&quot;0032755B&quot;/&gt;&lt;wsp:rsid wsp:val=&quot;0032756B&quot;/&gt;&lt;wsp:rsid wsp:val=&quot;003278B6&quot;/&gt;&lt;wsp:rsid wsp:val=&quot;00327A8B&quot;/&gt;&lt;wsp:rsid wsp:val=&quot;00327CA0&quot;/&gt;&lt;wsp:rsid wsp:val=&quot;00327E04&quot;/&gt;&lt;wsp:rsid wsp:val=&quot;00327E52&quot;/&gt;&lt;wsp:rsid wsp:val=&quot;00330024&quot;/&gt;&lt;wsp:rsid wsp:val=&quot;0033034B&quot;/&gt;&lt;wsp:rsid wsp:val=&quot;00330B34&quot;/&gt;&lt;wsp:rsid wsp:val=&quot;00331365&quot;/&gt;&lt;wsp:rsid wsp:val=&quot;003316ED&quot;/&gt;&lt;wsp:rsid wsp:val=&quot;0033175A&quot;/&gt;&lt;wsp:rsid wsp:val=&quot;003318EC&quot;/&gt;&lt;wsp:rsid wsp:val=&quot;00331ACB&quot;/&gt;&lt;wsp:rsid wsp:val=&quot;0033226E&quot;/&gt;&lt;wsp:rsid wsp:val=&quot;003322C0&quot;/&gt;&lt;wsp:rsid wsp:val=&quot;0033245B&quot;/&gt;&lt;wsp:rsid wsp:val=&quot;003327D1&quot;/&gt;&lt;wsp:rsid wsp:val=&quot;00332A9F&quot;/&gt;&lt;wsp:rsid wsp:val=&quot;00332C11&quot;/&gt;&lt;wsp:rsid wsp:val=&quot;0033316B&quot;/&gt;&lt;wsp:rsid wsp:val=&quot;003331E4&quot;/&gt;&lt;wsp:rsid wsp:val=&quot;003332A5&quot;/&gt;&lt;wsp:rsid wsp:val=&quot;003332B4&quot;/&gt;&lt;wsp:rsid wsp:val=&quot;003332C9&quot;/&gt;&lt;wsp:rsid wsp:val=&quot;00333498&quot;/&gt;&lt;wsp:rsid wsp:val=&quot;00333521&quot;/&gt;&lt;wsp:rsid wsp:val=&quot;00333680&quot;/&gt;&lt;wsp:rsid wsp:val=&quot;00333F62&quot;/&gt;&lt;wsp:rsid wsp:val=&quot;003340C4&quot;/&gt;&lt;wsp:rsid wsp:val=&quot;003342C3&quot;/&gt;&lt;wsp:rsid wsp:val=&quot;00334AB7&quot;/&gt;&lt;wsp:rsid wsp:val=&quot;00334DBD&quot;/&gt;&lt;wsp:rsid wsp:val=&quot;00334F85&quot;/&gt;&lt;wsp:rsid wsp:val=&quot;0033524F&quot;/&gt;&lt;wsp:rsid wsp:val=&quot;003354E8&quot;/&gt;&lt;wsp:rsid wsp:val=&quot;00335704&quot;/&gt;&lt;wsp:rsid wsp:val=&quot;00335B8C&quot;/&gt;&lt;wsp:rsid wsp:val=&quot;00335BEC&quot;/&gt;&lt;wsp:rsid wsp:val=&quot;00335C3B&quot;/&gt;&lt;wsp:rsid wsp:val=&quot;00335FEF&quot;/&gt;&lt;wsp:rsid wsp:val=&quot;00336121&quot;/&gt;&lt;wsp:rsid wsp:val=&quot;00336146&quot;/&gt;&lt;wsp:rsid wsp:val=&quot;003369C1&quot;/&gt;&lt;wsp:rsid wsp:val=&quot;00336D68&quot;/&gt;&lt;wsp:rsid wsp:val=&quot;00336D7E&quot;/&gt;&lt;wsp:rsid wsp:val=&quot;00337075&quot;/&gt;&lt;wsp:rsid wsp:val=&quot;0033707C&quot;/&gt;&lt;wsp:rsid wsp:val=&quot;003373A9&quot;/&gt;&lt;wsp:rsid wsp:val=&quot;003373F7&quot;/&gt;&lt;wsp:rsid wsp:val=&quot;003375F2&quot;/&gt;&lt;wsp:rsid wsp:val=&quot;0033764C&quot;/&gt;&lt;wsp:rsid wsp:val=&quot;003379E1&quot;/&gt;&lt;wsp:rsid wsp:val=&quot;0034005A&quot;/&gt;&lt;wsp:rsid wsp:val=&quot;00340105&quot;/&gt;&lt;wsp:rsid wsp:val=&quot;003405F2&quot;/&gt;&lt;wsp:rsid wsp:val=&quot;0034077B&quot;/&gt;&lt;wsp:rsid wsp:val=&quot;00340B3C&quot;/&gt;&lt;wsp:rsid wsp:val=&quot;00340EA3&quot;/&gt;&lt;wsp:rsid wsp:val=&quot;00340EC3&quot;/&gt;&lt;wsp:rsid wsp:val=&quot;00341352&quot;/&gt;&lt;wsp:rsid wsp:val=&quot;0034136D&quot;/&gt;&lt;wsp:rsid wsp:val=&quot;00341648&quot;/&gt;&lt;wsp:rsid wsp:val=&quot;00341871&quot;/&gt;&lt;wsp:rsid wsp:val=&quot;00341BA2&quot;/&gt;&lt;wsp:rsid wsp:val=&quot;0034246D&quot;/&gt;&lt;wsp:rsid wsp:val=&quot;003426DD&quot;/&gt;&lt;wsp:rsid wsp:val=&quot;003429BB&quot;/&gt;&lt;wsp:rsid wsp:val=&quot;00342C6D&quot;/&gt;&lt;wsp:rsid wsp:val=&quot;00342D91&quot;/&gt;&lt;wsp:rsid wsp:val=&quot;0034360D&quot;/&gt;&lt;wsp:rsid wsp:val=&quot;00343823&quot;/&gt;&lt;wsp:rsid wsp:val=&quot;00343AEB&quot;/&gt;&lt;wsp:rsid wsp:val=&quot;00343B37&quot;/&gt;&lt;wsp:rsid wsp:val=&quot;003441AF&quot;/&gt;&lt;wsp:rsid wsp:val=&quot;0034430C&quot;/&gt;&lt;wsp:rsid wsp:val=&quot;0034477E&quot;/&gt;&lt;wsp:rsid wsp:val=&quot;0034499B&quot;/&gt;&lt;wsp:rsid wsp:val=&quot;003449EE&quot;/&gt;&lt;wsp:rsid wsp:val=&quot;00344C86&quot;/&gt;&lt;wsp:rsid wsp:val=&quot;00345346&quot;/&gt;&lt;wsp:rsid wsp:val=&quot;003459A5&quot;/&gt;&lt;wsp:rsid wsp:val=&quot;00345E3E&quot;/&gt;&lt;wsp:rsid wsp:val=&quot;00345E83&quot;/&gt;&lt;wsp:rsid wsp:val=&quot;003461A8&quot;/&gt;&lt;wsp:rsid wsp:val=&quot;003461B5&quot;/&gt;&lt;wsp:rsid wsp:val=&quot;0034647F&quot;/&gt;&lt;wsp:rsid wsp:val=&quot;003465BD&quot;/&gt;&lt;wsp:rsid wsp:val=&quot;003467BA&quot;/&gt;&lt;wsp:rsid wsp:val=&quot;003472CE&quot;/&gt;&lt;wsp:rsid wsp:val=&quot;003474C7&quot;/&gt;&lt;wsp:rsid wsp:val=&quot;00347AEC&quot;/&gt;&lt;wsp:rsid wsp:val=&quot;00350027&quot;/&gt;&lt;wsp:rsid wsp:val=&quot;003501D8&quot;/&gt;&lt;wsp:rsid wsp:val=&quot;003506E8&quot;/&gt;&lt;wsp:rsid wsp:val=&quot;00350808&quot;/&gt;&lt;wsp:rsid wsp:val=&quot;00350B40&quot;/&gt;&lt;wsp:rsid wsp:val=&quot;00350BE1&quot;/&gt;&lt;wsp:rsid wsp:val=&quot;00350C45&quot;/&gt;&lt;wsp:rsid wsp:val=&quot;00350D37&quot;/&gt;&lt;wsp:rsid wsp:val=&quot;003513D0&quot;/&gt;&lt;wsp:rsid wsp:val=&quot;00351544&quot;/&gt;&lt;wsp:rsid wsp:val=&quot;00351D23&quot;/&gt;&lt;wsp:rsid wsp:val=&quot;00352111&quot;/&gt;&lt;wsp:rsid wsp:val=&quot;0035243E&quot;/&gt;&lt;wsp:rsid wsp:val=&quot;003529B5&quot;/&gt;&lt;wsp:rsid wsp:val=&quot;003529C4&quot;/&gt;&lt;wsp:rsid wsp:val=&quot;00352D51&quot;/&gt;&lt;wsp:rsid wsp:val=&quot;0035318B&quot;/&gt;&lt;wsp:rsid wsp:val=&quot;0035377D&quot;/&gt;&lt;wsp:rsid wsp:val=&quot;00353951&quot;/&gt;&lt;wsp:rsid wsp:val=&quot;00353DEF&quot;/&gt;&lt;wsp:rsid wsp:val=&quot;003548CE&quot;/&gt;&lt;wsp:rsid wsp:val=&quot;003550CB&quot;/&gt;&lt;wsp:rsid wsp:val=&quot;0035532F&quot;/&gt;&lt;wsp:rsid wsp:val=&quot;00355506&quot;/&gt;&lt;wsp:rsid wsp:val=&quot;0035582D&quot;/&gt;&lt;wsp:rsid wsp:val=&quot;003558B6&quot;/&gt;&lt;wsp:rsid wsp:val=&quot;0035596F&quot;/&gt;&lt;wsp:rsid wsp:val=&quot;00355B23&quot;/&gt;&lt;wsp:rsid wsp:val=&quot;003564AF&quot;/&gt;&lt;wsp:rsid wsp:val=&quot;003576FD&quot;/&gt;&lt;wsp:rsid wsp:val=&quot;0035786F&quot;/&gt;&lt;wsp:rsid wsp:val=&quot;00357B2B&quot;/&gt;&lt;wsp:rsid wsp:val=&quot;00357BD4&quot;/&gt;&lt;wsp:rsid wsp:val=&quot;0036002A&quot;/&gt;&lt;wsp:rsid wsp:val=&quot;0036041D&quot;/&gt;&lt;wsp:rsid wsp:val=&quot;00360810&quot;/&gt;&lt;wsp:rsid wsp:val=&quot;00360C9D&quot;/&gt;&lt;wsp:rsid wsp:val=&quot;00360FA1&quot;/&gt;&lt;wsp:rsid wsp:val=&quot;003611FD&quot;/&gt;&lt;wsp:rsid wsp:val=&quot;00361663&quot;/&gt;&lt;wsp:rsid wsp:val=&quot;00361B72&quot;/&gt;&lt;wsp:rsid wsp:val=&quot;00361FD5&quot;/&gt;&lt;wsp:rsid wsp:val=&quot;003620B5&quot;/&gt;&lt;wsp:rsid wsp:val=&quot;003620DB&quot;/&gt;&lt;wsp:rsid wsp:val=&quot;003621B7&quot;/&gt;&lt;wsp:rsid wsp:val=&quot;0036259B&quot;/&gt;&lt;wsp:rsid wsp:val=&quot;00362A92&quot;/&gt;&lt;wsp:rsid wsp:val=&quot;00362BC1&quot;/&gt;&lt;wsp:rsid wsp:val=&quot;00362FE2&quot;/&gt;&lt;wsp:rsid wsp:val=&quot;003630BD&quot;/&gt;&lt;wsp:rsid wsp:val=&quot;0036312A&quot;/&gt;&lt;wsp:rsid wsp:val=&quot;00363568&quot;/&gt;&lt;wsp:rsid wsp:val=&quot;003638A2&quot;/&gt;&lt;wsp:rsid wsp:val=&quot;00363E3B&quot;/&gt;&lt;wsp:rsid wsp:val=&quot;00363E47&quot;/&gt;&lt;wsp:rsid wsp:val=&quot;0036416D&quot;/&gt;&lt;wsp:rsid wsp:val=&quot;00364582&quot;/&gt;&lt;wsp:rsid wsp:val=&quot;003645D7&quot;/&gt;&lt;wsp:rsid wsp:val=&quot;00364A82&quot;/&gt;&lt;wsp:rsid wsp:val=&quot;00365286&quot;/&gt;&lt;wsp:rsid wsp:val=&quot;00365C52&quot;/&gt;&lt;wsp:rsid wsp:val=&quot;00365F41&quot;/&gt;&lt;wsp:rsid wsp:val=&quot;00366017&quot;/&gt;&lt;wsp:rsid wsp:val=&quot;00366401&quot;/&gt;&lt;wsp:rsid wsp:val=&quot;00366520&quot;/&gt;&lt;wsp:rsid wsp:val=&quot;003666EE&quot;/&gt;&lt;wsp:rsid wsp:val=&quot;00366833&quot;/&gt;&lt;wsp:rsid wsp:val=&quot;00366FF4&quot;/&gt;&lt;wsp:rsid wsp:val=&quot;0036702E&quot;/&gt;&lt;wsp:rsid wsp:val=&quot;00367099&quot;/&gt;&lt;wsp:rsid wsp:val=&quot;00367116&quot;/&gt;&lt;wsp:rsid wsp:val=&quot;003671C2&quot;/&gt;&lt;wsp:rsid wsp:val=&quot;003673CB&quot;/&gt;&lt;wsp:rsid wsp:val=&quot;00367508&quot;/&gt;&lt;wsp:rsid wsp:val=&quot;00367CAA&quot;/&gt;&lt;wsp:rsid wsp:val=&quot;00370218&quot;/&gt;&lt;wsp:rsid wsp:val=&quot;00370956&quot;/&gt;&lt;wsp:rsid wsp:val=&quot;00370A0F&quot;/&gt;&lt;wsp:rsid wsp:val=&quot;00370D91&quot;/&gt;&lt;wsp:rsid wsp:val=&quot;00371DDF&quot;/&gt;&lt;wsp:rsid wsp:val=&quot;00371E75&quot;/&gt;&lt;wsp:rsid wsp:val=&quot;00372B2C&quot;/&gt;&lt;wsp:rsid wsp:val=&quot;00372B94&quot;/&gt;&lt;wsp:rsid wsp:val=&quot;00372E1F&quot;/&gt;&lt;wsp:rsid wsp:val=&quot;0037305D&quot;/&gt;&lt;wsp:rsid wsp:val=&quot;00373080&quot;/&gt;&lt;wsp:rsid wsp:val=&quot;0037327A&quot;/&gt;&lt;wsp:rsid wsp:val=&quot;003733B9&quot;/&gt;&lt;wsp:rsid wsp:val=&quot;003734EA&quot;/&gt;&lt;wsp:rsid wsp:val=&quot;00373772&quot;/&gt;&lt;wsp:rsid wsp:val=&quot;0037381A&quot;/&gt;&lt;wsp:rsid wsp:val=&quot;00373863&quot;/&gt;&lt;wsp:rsid wsp:val=&quot;0037417F&quot;/&gt;&lt;wsp:rsid wsp:val=&quot;0037434F&quot;/&gt;&lt;wsp:rsid wsp:val=&quot;003744B2&quot;/&gt;&lt;wsp:rsid wsp:val=&quot;00374A1A&quot;/&gt;&lt;wsp:rsid wsp:val=&quot;00374CFC&quot;/&gt;&lt;wsp:rsid wsp:val=&quot;003751DB&quot;/&gt;&lt;wsp:rsid wsp:val=&quot;00375561&quot;/&gt;&lt;wsp:rsid wsp:val=&quot;0037566E&quot;/&gt;&lt;wsp:rsid wsp:val=&quot;0037573E&quot;/&gt;&lt;wsp:rsid wsp:val=&quot;0037587B&quot;/&gt;&lt;wsp:rsid wsp:val=&quot;00375FE1&quot;/&gt;&lt;wsp:rsid wsp:val=&quot;0037620D&quot;/&gt;&lt;wsp:rsid wsp:val=&quot;00376889&quot;/&gt;&lt;wsp:rsid wsp:val=&quot;0037688C&quot;/&gt;&lt;wsp:rsid wsp:val=&quot;0037736A&quot;/&gt;&lt;wsp:rsid wsp:val=&quot;003778DE&quot;/&gt;&lt;wsp:rsid wsp:val=&quot;00377A92&quot;/&gt;&lt;wsp:rsid wsp:val=&quot;00377CAB&quot;/&gt;&lt;wsp:rsid wsp:val=&quot;00377CCF&quot;/&gt;&lt;wsp:rsid wsp:val=&quot;003800B0&quot;/&gt;&lt;wsp:rsid wsp:val=&quot;00380150&quot;/&gt;&lt;wsp:rsid wsp:val=&quot;0038021F&quot;/&gt;&lt;wsp:rsid wsp:val=&quot;00380627&quot;/&gt;&lt;wsp:rsid wsp:val=&quot;00380A43&quot;/&gt;&lt;wsp:rsid wsp:val=&quot;00380BE5&quot;/&gt;&lt;wsp:rsid wsp:val=&quot;00380D61&quot;/&gt;&lt;wsp:rsid wsp:val=&quot;00380E4F&quot;/&gt;&lt;wsp:rsid wsp:val=&quot;00381580&quot;/&gt;&lt;wsp:rsid wsp:val=&quot;003816B6&quot;/&gt;&lt;wsp:rsid wsp:val=&quot;00381735&quot;/&gt;&lt;wsp:rsid wsp:val=&quot;00381A47&quot;/&gt;&lt;wsp:rsid wsp:val=&quot;00381AE0&quot;/&gt;&lt;wsp:rsid wsp:val=&quot;00381F29&quot;/&gt;&lt;wsp:rsid wsp:val=&quot;003822F0&quot;/&gt;&lt;wsp:rsid wsp:val=&quot;0038263F&quot;/&gt;&lt;wsp:rsid wsp:val=&quot;003829FF&quot;/&gt;&lt;wsp:rsid wsp:val=&quot;00382C25&quot;/&gt;&lt;wsp:rsid wsp:val=&quot;00382E60&quot;/&gt;&lt;wsp:rsid wsp:val=&quot;0038324A&quot;/&gt;&lt;wsp:rsid wsp:val=&quot;00383257&quot;/&gt;&lt;wsp:rsid wsp:val=&quot;003835F4&quot;/&gt;&lt;wsp:rsid wsp:val=&quot;00383A82&quot;/&gt;&lt;wsp:rsid wsp:val=&quot;00383B9A&quot;/&gt;&lt;wsp:rsid wsp:val=&quot;0038426B&quot;/&gt;&lt;wsp:rsid wsp:val=&quot;003843D7&quot;/&gt;&lt;wsp:rsid wsp:val=&quot;003849FB&quot;/&gt;&lt;wsp:rsid wsp:val=&quot;00384B3B&quot;/&gt;&lt;wsp:rsid wsp:val=&quot;00385C5F&quot;/&gt;&lt;wsp:rsid wsp:val=&quot;00385DE1&quot;/&gt;&lt;wsp:rsid wsp:val=&quot;00386363&quot;/&gt;&lt;wsp:rsid wsp:val=&quot;003867F0&quot;/&gt;&lt;wsp:rsid wsp:val=&quot;003871D5&quot;/&gt;&lt;wsp:rsid wsp:val=&quot;00387309&quot;/&gt;&lt;wsp:rsid wsp:val=&quot;0038764F&quot;/&gt;&lt;wsp:rsid wsp:val=&quot;00387679&quot;/&gt;&lt;wsp:rsid wsp:val=&quot;003878E4&quot;/&gt;&lt;wsp:rsid wsp:val=&quot;00387CCC&quot;/&gt;&lt;wsp:rsid wsp:val=&quot;00387D94&quot;/&gt;&lt;wsp:rsid wsp:val=&quot;00390021&quot;/&gt;&lt;wsp:rsid wsp:val=&quot;003902EC&quot;/&gt;&lt;wsp:rsid wsp:val=&quot;0039034E&quot;/&gt;&lt;wsp:rsid wsp:val=&quot;0039053A&quot;/&gt;&lt;wsp:rsid wsp:val=&quot;00390919&quot;/&gt;&lt;wsp:rsid wsp:val=&quot;00390925&quot;/&gt;&lt;wsp:rsid wsp:val=&quot;00390A07&quot;/&gt;&lt;wsp:rsid wsp:val=&quot;00390FA8&quot;/&gt;&lt;wsp:rsid wsp:val=&quot;00391369&quot;/&gt;&lt;wsp:rsid wsp:val=&quot;003917CB&quot;/&gt;&lt;wsp:rsid wsp:val=&quot;00391998&quot;/&gt;&lt;wsp:rsid wsp:val=&quot;00391E4D&quot;/&gt;&lt;wsp:rsid wsp:val=&quot;0039240C&quot;/&gt;&lt;wsp:rsid wsp:val=&quot;0039253A&quot;/&gt;&lt;wsp:rsid wsp:val=&quot;0039272C&quot;/&gt;&lt;wsp:rsid wsp:val=&quot;00392801&quot;/&gt;&lt;wsp:rsid wsp:val=&quot;00392907&quot;/&gt;&lt;wsp:rsid wsp:val=&quot;00392AAD&quot;/&gt;&lt;wsp:rsid wsp:val=&quot;003941C6&quot;/&gt;&lt;wsp:rsid wsp:val=&quot;003941CF&quot;/&gt;&lt;wsp:rsid wsp:val=&quot;003943D7&quot;/&gt;&lt;wsp:rsid wsp:val=&quot;00394690&quot;/&gt;&lt;wsp:rsid wsp:val=&quot;0039499C&quot;/&gt;&lt;wsp:rsid wsp:val=&quot;00394B2F&quot;/&gt;&lt;wsp:rsid wsp:val=&quot;00394D37&quot;/&gt;&lt;wsp:rsid wsp:val=&quot;0039501D&quot;/&gt;&lt;wsp:rsid wsp:val=&quot;00395940&quot;/&gt;&lt;wsp:rsid wsp:val=&quot;00395BC4&quot;/&gt;&lt;wsp:rsid wsp:val=&quot;00395E6F&quot;/&gt;&lt;wsp:rsid wsp:val=&quot;0039633C&quot;/&gt;&lt;wsp:rsid wsp:val=&quot;00396746&quot;/&gt;&lt;wsp:rsid wsp:val=&quot;00396CC7&quot;/&gt;&lt;wsp:rsid wsp:val=&quot;00396FF0&quot;/&gt;&lt;wsp:rsid wsp:val=&quot;003976D0&quot;/&gt;&lt;wsp:rsid wsp:val=&quot;0039784D&quot;/&gt;&lt;wsp:rsid wsp:val=&quot;00397969&quot;/&gt;&lt;wsp:rsid wsp:val=&quot;00397A5E&quot;/&gt;&lt;wsp:rsid wsp:val=&quot;00397AAD&quot;/&gt;&lt;wsp:rsid wsp:val=&quot;00397CB3&quot;/&gt;&lt;wsp:rsid wsp:val=&quot;00397FF2&quot;/&gt;&lt;wsp:rsid wsp:val=&quot;003A0398&quot;/&gt;&lt;wsp:rsid wsp:val=&quot;003A047C&quot;/&gt;&lt;wsp:rsid wsp:val=&quot;003A0DB5&quot;/&gt;&lt;wsp:rsid wsp:val=&quot;003A145B&quot;/&gt;&lt;wsp:rsid wsp:val=&quot;003A157A&quot;/&gt;&lt;wsp:rsid wsp:val=&quot;003A176A&quot;/&gt;&lt;wsp:rsid wsp:val=&quot;003A1844&quot;/&gt;&lt;wsp:rsid wsp:val=&quot;003A184C&quot;/&gt;&lt;wsp:rsid wsp:val=&quot;003A1899&quot;/&gt;&lt;wsp:rsid wsp:val=&quot;003A1926&quot;/&gt;&lt;wsp:rsid wsp:val=&quot;003A1C22&quot;/&gt;&lt;wsp:rsid wsp:val=&quot;003A1C65&quot;/&gt;&lt;wsp:rsid wsp:val=&quot;003A1CF9&quot;/&gt;&lt;wsp:rsid wsp:val=&quot;003A26FA&quot;/&gt;&lt;wsp:rsid wsp:val=&quot;003A287A&quot;/&gt;&lt;wsp:rsid wsp:val=&quot;003A29E9&quot;/&gt;&lt;wsp:rsid wsp:val=&quot;003A2A7F&quot;/&gt;&lt;wsp:rsid wsp:val=&quot;003A33E2&quot;/&gt;&lt;wsp:rsid wsp:val=&quot;003A38DD&quot;/&gt;&lt;wsp:rsid wsp:val=&quot;003A3D24&quot;/&gt;&lt;wsp:rsid wsp:val=&quot;003A3D53&quot;/&gt;&lt;wsp:rsid wsp:val=&quot;003A40F3&quot;/&gt;&lt;wsp:rsid wsp:val=&quot;003A436D&quot;/&gt;&lt;wsp:rsid wsp:val=&quot;003A4A59&quot;/&gt;&lt;wsp:rsid wsp:val=&quot;003A4A81&quot;/&gt;&lt;wsp:rsid wsp:val=&quot;003A4FE4&quot;/&gt;&lt;wsp:rsid wsp:val=&quot;003A5190&quot;/&gt;&lt;wsp:rsid wsp:val=&quot;003A528D&quot;/&gt;&lt;wsp:rsid wsp:val=&quot;003A5646&quot;/&gt;&lt;wsp:rsid wsp:val=&quot;003A566F&quot;/&gt;&lt;wsp:rsid wsp:val=&quot;003A5A32&quot;/&gt;&lt;wsp:rsid wsp:val=&quot;003A5E41&quot;/&gt;&lt;wsp:rsid wsp:val=&quot;003A65B1&quot;/&gt;&lt;wsp:rsid wsp:val=&quot;003A673B&quot;/&gt;&lt;wsp:rsid wsp:val=&quot;003A6859&quot;/&gt;&lt;wsp:rsid wsp:val=&quot;003A68E3&quot;/&gt;&lt;wsp:rsid wsp:val=&quot;003A6912&quot;/&gt;&lt;wsp:rsid wsp:val=&quot;003A70B3&quot;/&gt;&lt;wsp:rsid wsp:val=&quot;003A723C&quot;/&gt;&lt;wsp:rsid wsp:val=&quot;003A7262&quot;/&gt;&lt;wsp:rsid wsp:val=&quot;003A7901&quot;/&gt;&lt;wsp:rsid wsp:val=&quot;003A7925&quot;/&gt;&lt;wsp:rsid wsp:val=&quot;003A7CF6&quot;/&gt;&lt;wsp:rsid wsp:val=&quot;003A7FFD&quot;/&gt;&lt;wsp:rsid wsp:val=&quot;003B01AD&quot;/&gt;&lt;wsp:rsid wsp:val=&quot;003B05ED&quot;/&gt;&lt;wsp:rsid wsp:val=&quot;003B0B3D&quot;/&gt;&lt;wsp:rsid wsp:val=&quot;003B0C2D&quot;/&gt;&lt;wsp:rsid wsp:val=&quot;003B0E52&quot;/&gt;&lt;wsp:rsid wsp:val=&quot;003B132D&quot;/&gt;&lt;wsp:rsid wsp:val=&quot;003B17C5&quot;/&gt;&lt;wsp:rsid wsp:val=&quot;003B1B51&quot;/&gt;&lt;wsp:rsid wsp:val=&quot;003B22F7&quot;/&gt;&lt;wsp:rsid wsp:val=&quot;003B2A75&quot;/&gt;&lt;wsp:rsid wsp:val=&quot;003B2CEE&quot;/&gt;&lt;wsp:rsid wsp:val=&quot;003B2D31&quot;/&gt;&lt;wsp:rsid wsp:val=&quot;003B303C&quot;/&gt;&lt;wsp:rsid wsp:val=&quot;003B304A&quot;/&gt;&lt;wsp:rsid wsp:val=&quot;003B3172&quot;/&gt;&lt;wsp:rsid wsp:val=&quot;003B3279&quot;/&gt;&lt;wsp:rsid wsp:val=&quot;003B357E&quot;/&gt;&lt;wsp:rsid wsp:val=&quot;003B3978&quot;/&gt;&lt;wsp:rsid wsp:val=&quot;003B41AB&quot;/&gt;&lt;wsp:rsid wsp:val=&quot;003B41AF&quot;/&gt;&lt;wsp:rsid wsp:val=&quot;003B44F3&quot;/&gt;&lt;wsp:rsid wsp:val=&quot;003B4F57&quot;/&gt;&lt;wsp:rsid wsp:val=&quot;003B5077&quot;/&gt;&lt;wsp:rsid wsp:val=&quot;003B52A8&quot;/&gt;&lt;wsp:rsid wsp:val=&quot;003B52F7&quot;/&gt;&lt;wsp:rsid wsp:val=&quot;003B578C&quot;/&gt;&lt;wsp:rsid wsp:val=&quot;003B5E36&quot;/&gt;&lt;wsp:rsid wsp:val=&quot;003B5F0A&quot;/&gt;&lt;wsp:rsid wsp:val=&quot;003B61CB&quot;/&gt;&lt;wsp:rsid wsp:val=&quot;003B677D&quot;/&gt;&lt;wsp:rsid wsp:val=&quot;003B6C29&quot;/&gt;&lt;wsp:rsid wsp:val=&quot;003B6DC4&quot;/&gt;&lt;wsp:rsid wsp:val=&quot;003B6E68&quot;/&gt;&lt;wsp:rsid wsp:val=&quot;003B7010&quot;/&gt;&lt;wsp:rsid wsp:val=&quot;003B7D7F&quot;/&gt;&lt;wsp:rsid wsp:val=&quot;003B7FB5&quot;/&gt;&lt;wsp:rsid wsp:val=&quot;003C0009&quot;/&gt;&lt;wsp:rsid wsp:val=&quot;003C048B&quot;/&gt;&lt;wsp:rsid wsp:val=&quot;003C04E1&quot;/&gt;&lt;wsp:rsid wsp:val=&quot;003C0AEF&quot;/&gt;&lt;wsp:rsid wsp:val=&quot;003C0CE2&quot;/&gt;&lt;wsp:rsid wsp:val=&quot;003C1700&quot;/&gt;&lt;wsp:rsid wsp:val=&quot;003C1993&quot;/&gt;&lt;wsp:rsid wsp:val=&quot;003C1E3E&quot;/&gt;&lt;wsp:rsid wsp:val=&quot;003C2055&quot;/&gt;&lt;wsp:rsid wsp:val=&quot;003C270C&quot;/&gt;&lt;wsp:rsid wsp:val=&quot;003C29CB&quot;/&gt;&lt;wsp:rsid wsp:val=&quot;003C2BE4&quot;/&gt;&lt;wsp:rsid wsp:val=&quot;003C2D08&quot;/&gt;&lt;wsp:rsid wsp:val=&quot;003C2E68&quot;/&gt;&lt;wsp:rsid wsp:val=&quot;003C2EE3&quot;/&gt;&lt;wsp:rsid wsp:val=&quot;003C317C&quot;/&gt;&lt;wsp:rsid wsp:val=&quot;003C3719&quot;/&gt;&lt;wsp:rsid wsp:val=&quot;003C38EF&quot;/&gt;&lt;wsp:rsid wsp:val=&quot;003C3FD5&quot;/&gt;&lt;wsp:rsid wsp:val=&quot;003C421F&quot;/&gt;&lt;wsp:rsid wsp:val=&quot;003C44DE&quot;/&gt;&lt;wsp:rsid wsp:val=&quot;003C4928&quot;/&gt;&lt;wsp:rsid wsp:val=&quot;003C4A82&quot;/&gt;&lt;wsp:rsid wsp:val=&quot;003C524F&quot;/&gt;&lt;wsp:rsid wsp:val=&quot;003C57DC&quot;/&gt;&lt;wsp:rsid wsp:val=&quot;003C5C6B&quot;/&gt;&lt;wsp:rsid wsp:val=&quot;003C62E6&quot;/&gt;&lt;wsp:rsid wsp:val=&quot;003C6388&quot;/&gt;&lt;wsp:rsid wsp:val=&quot;003C63E0&quot;/&gt;&lt;wsp:rsid wsp:val=&quot;003C6DC2&quot;/&gt;&lt;wsp:rsid wsp:val=&quot;003C712E&quot;/&gt;&lt;wsp:rsid wsp:val=&quot;003C74EB&quot;/&gt;&lt;wsp:rsid wsp:val=&quot;003C776C&quot;/&gt;&lt;wsp:rsid wsp:val=&quot;003C7E38&quot;/&gt;&lt;wsp:rsid wsp:val=&quot;003C7E92&quot;/&gt;&lt;wsp:rsid wsp:val=&quot;003D022D&quot;/&gt;&lt;wsp:rsid wsp:val=&quot;003D0BB2&quot;/&gt;&lt;wsp:rsid wsp:val=&quot;003D0E03&quot;/&gt;&lt;wsp:rsid wsp:val=&quot;003D1172&quot;/&gt;&lt;wsp:rsid wsp:val=&quot;003D14AF&quot;/&gt;&lt;wsp:rsid wsp:val=&quot;003D1738&quot;/&gt;&lt;wsp:rsid wsp:val=&quot;003D1997&quot;/&gt;&lt;wsp:rsid wsp:val=&quot;003D1A47&quot;/&gt;&lt;wsp:rsid wsp:val=&quot;003D20A7&quot;/&gt;&lt;wsp:rsid wsp:val=&quot;003D23EC&quot;/&gt;&lt;wsp:rsid wsp:val=&quot;003D403E&quot;/&gt;&lt;wsp:rsid wsp:val=&quot;003D42D9&quot;/&gt;&lt;wsp:rsid wsp:val=&quot;003D4367&quot;/&gt;&lt;wsp:rsid wsp:val=&quot;003D4767&quot;/&gt;&lt;wsp:rsid wsp:val=&quot;003D48E3&quot;/&gt;&lt;wsp:rsid wsp:val=&quot;003D49D6&quot;/&gt;&lt;wsp:rsid wsp:val=&quot;003D4B23&quot;/&gt;&lt;wsp:rsid wsp:val=&quot;003D4C60&quot;/&gt;&lt;wsp:rsid wsp:val=&quot;003D4D6B&quot;/&gt;&lt;wsp:rsid wsp:val=&quot;003D50EC&quot;/&gt;&lt;wsp:rsid wsp:val=&quot;003D5179&quot;/&gt;&lt;wsp:rsid wsp:val=&quot;003D5451&quot;/&gt;&lt;wsp:rsid wsp:val=&quot;003D5514&quot;/&gt;&lt;wsp:rsid wsp:val=&quot;003D5668&quot;/&gt;&lt;wsp:rsid wsp:val=&quot;003D57A3&quot;/&gt;&lt;wsp:rsid wsp:val=&quot;003D5AD7&quot;/&gt;&lt;wsp:rsid wsp:val=&quot;003D5CDE&quot;/&gt;&lt;wsp:rsid wsp:val=&quot;003D6174&quot;/&gt;&lt;wsp:rsid wsp:val=&quot;003D6413&quot;/&gt;&lt;wsp:rsid wsp:val=&quot;003D6472&quot;/&gt;&lt;wsp:rsid wsp:val=&quot;003D65C0&quot;/&gt;&lt;wsp:rsid wsp:val=&quot;003D661A&quot;/&gt;&lt;wsp:rsid wsp:val=&quot;003D67A1&quot;/&gt;&lt;wsp:rsid wsp:val=&quot;003D6BB6&quot;/&gt;&lt;wsp:rsid wsp:val=&quot;003D6D7D&quot;/&gt;&lt;wsp:rsid wsp:val=&quot;003D6E42&quot;/&gt;&lt;wsp:rsid wsp:val=&quot;003D6E49&quot;/&gt;&lt;wsp:rsid wsp:val=&quot;003D6E59&quot;/&gt;&lt;wsp:rsid wsp:val=&quot;003D711E&quot;/&gt;&lt;wsp:rsid wsp:val=&quot;003D7374&quot;/&gt;&lt;wsp:rsid wsp:val=&quot;003D779F&quot;/&gt;&lt;wsp:rsid wsp:val=&quot;003D794B&quot;/&gt;&lt;wsp:rsid wsp:val=&quot;003D7975&quot;/&gt;&lt;wsp:rsid wsp:val=&quot;003D7EBB&quot;/&gt;&lt;wsp:rsid wsp:val=&quot;003D7F48&quot;/&gt;&lt;wsp:rsid wsp:val=&quot;003D7F9B&quot;/&gt;&lt;wsp:rsid wsp:val=&quot;003D7FC5&quot;/&gt;&lt;wsp:rsid wsp:val=&quot;003E010D&quot;/&gt;&lt;wsp:rsid wsp:val=&quot;003E07BA&quot;/&gt;&lt;wsp:rsid wsp:val=&quot;003E0BF1&quot;/&gt;&lt;wsp:rsid wsp:val=&quot;003E10D2&quot;/&gt;&lt;wsp:rsid wsp:val=&quot;003E1204&quot;/&gt;&lt;wsp:rsid wsp:val=&quot;003E15D2&quot;/&gt;&lt;wsp:rsid wsp:val=&quot;003E1949&quot;/&gt;&lt;wsp:rsid wsp:val=&quot;003E199F&quot;/&gt;&lt;wsp:rsid wsp:val=&quot;003E1BF0&quot;/&gt;&lt;wsp:rsid wsp:val=&quot;003E1F2C&quot;/&gt;&lt;wsp:rsid wsp:val=&quot;003E2283&quot;/&gt;&lt;wsp:rsid wsp:val=&quot;003E23AB&quot;/&gt;&lt;wsp:rsid wsp:val=&quot;003E25C2&quot;/&gt;&lt;wsp:rsid wsp:val=&quot;003E2B7A&quot;/&gt;&lt;wsp:rsid wsp:val=&quot;003E2C82&quot;/&gt;&lt;wsp:rsid wsp:val=&quot;003E343B&quot;/&gt;&lt;wsp:rsid wsp:val=&quot;003E3710&quot;/&gt;&lt;wsp:rsid wsp:val=&quot;003E3805&quot;/&gt;&lt;wsp:rsid wsp:val=&quot;003E3AC0&quot;/&gt;&lt;wsp:rsid wsp:val=&quot;003E413E&quot;/&gt;&lt;wsp:rsid wsp:val=&quot;003E4553&quot;/&gt;&lt;wsp:rsid wsp:val=&quot;003E483E&quot;/&gt;&lt;wsp:rsid wsp:val=&quot;003E4999&quot;/&gt;&lt;wsp:rsid wsp:val=&quot;003E4DB9&quot;/&gt;&lt;wsp:rsid wsp:val=&quot;003E5106&quot;/&gt;&lt;wsp:rsid wsp:val=&quot;003E5452&quot;/&gt;&lt;wsp:rsid wsp:val=&quot;003E5ED4&quot;/&gt;&lt;wsp:rsid wsp:val=&quot;003E5F64&quot;/&gt;&lt;wsp:rsid wsp:val=&quot;003E6036&quot;/&gt;&lt;wsp:rsid wsp:val=&quot;003E60CA&quot;/&gt;&lt;wsp:rsid wsp:val=&quot;003E6739&quot;/&gt;&lt;wsp:rsid wsp:val=&quot;003E6A00&quot;/&gt;&lt;wsp:rsid wsp:val=&quot;003E6D4C&quot;/&gt;&lt;wsp:rsid wsp:val=&quot;003E6DD0&quot;/&gt;&lt;wsp:rsid wsp:val=&quot;003E6EB5&quot;/&gt;&lt;wsp:rsid wsp:val=&quot;003E738E&quot;/&gt;&lt;wsp:rsid wsp:val=&quot;003E7466&quot;/&gt;&lt;wsp:rsid wsp:val=&quot;003E747E&quot;/&gt;&lt;wsp:rsid wsp:val=&quot;003E75D8&quot;/&gt;&lt;wsp:rsid wsp:val=&quot;003E75DD&quot;/&gt;&lt;wsp:rsid wsp:val=&quot;003E7F03&quot;/&gt;&lt;wsp:rsid wsp:val=&quot;003E7F56&quot;/&gt;&lt;wsp:rsid wsp:val=&quot;003F05A1&quot;/&gt;&lt;wsp:rsid wsp:val=&quot;003F072E&quot;/&gt;&lt;wsp:rsid wsp:val=&quot;003F0A77&quot;/&gt;&lt;wsp:rsid wsp:val=&quot;003F0DC0&quot;/&gt;&lt;wsp:rsid wsp:val=&quot;003F0F06&quot;/&gt;&lt;wsp:rsid wsp:val=&quot;003F10C2&quot;/&gt;&lt;wsp:rsid wsp:val=&quot;003F163B&quot;/&gt;&lt;wsp:rsid wsp:val=&quot;003F1962&quot;/&gt;&lt;wsp:rsid wsp:val=&quot;003F1D3F&quot;/&gt;&lt;wsp:rsid wsp:val=&quot;003F27FE&quot;/&gt;&lt;wsp:rsid wsp:val=&quot;003F2CD6&quot;/&gt;&lt;wsp:rsid wsp:val=&quot;003F2D9D&quot;/&gt;&lt;wsp:rsid wsp:val=&quot;003F2F74&quot;/&gt;&lt;wsp:rsid wsp:val=&quot;003F4232&quot;/&gt;&lt;wsp:rsid wsp:val=&quot;003F535C&quot;/&gt;&lt;wsp:rsid wsp:val=&quot;003F5782&quot;/&gt;&lt;wsp:rsid wsp:val=&quot;003F59F3&quot;/&gt;&lt;wsp:rsid wsp:val=&quot;003F5A09&quot;/&gt;&lt;wsp:rsid wsp:val=&quot;003F5A71&quot;/&gt;&lt;wsp:rsid wsp:val=&quot;003F5AB8&quot;/&gt;&lt;wsp:rsid wsp:val=&quot;003F5BCF&quot;/&gt;&lt;wsp:rsid wsp:val=&quot;003F61F2&quot;/&gt;&lt;wsp:rsid wsp:val=&quot;003F6306&quot;/&gt;&lt;wsp:rsid wsp:val=&quot;003F64A7&quot;/&gt;&lt;wsp:rsid wsp:val=&quot;003F651F&quot;/&gt;&lt;wsp:rsid wsp:val=&quot;003F67D5&quot;/&gt;&lt;wsp:rsid wsp:val=&quot;003F6EDE&quot;/&gt;&lt;wsp:rsid wsp:val=&quot;003F72B3&quot;/&gt;&lt;wsp:rsid wsp:val=&quot;003F77BC&quot;/&gt;&lt;wsp:rsid wsp:val=&quot;00400167&quot;/&gt;&lt;wsp:rsid wsp:val=&quot;00400AD1&quot;/&gt;&lt;wsp:rsid wsp:val=&quot;00401163&quot;/&gt;&lt;wsp:rsid wsp:val=&quot;00401171&quot;/&gt;&lt;wsp:rsid wsp:val=&quot;00402199&quot;/&gt;&lt;wsp:rsid wsp:val=&quot;004021F6&quot;/&gt;&lt;wsp:rsid wsp:val=&quot;00402823&quot;/&gt;&lt;wsp:rsid wsp:val=&quot;00402A93&quot;/&gt;&lt;wsp:rsid wsp:val=&quot;004032F0&quot;/&gt;&lt;wsp:rsid wsp:val=&quot;00403AB8&quot;/&gt;&lt;wsp:rsid wsp:val=&quot;00403EC3&quot;/&gt;&lt;wsp:rsid wsp:val=&quot;004041F7&quot;/&gt;&lt;wsp:rsid wsp:val=&quot;00404D42&quot;/&gt;&lt;wsp:rsid wsp:val=&quot;00404E76&quot;/&gt;&lt;wsp:rsid wsp:val=&quot;00405380&quot;/&gt;&lt;wsp:rsid wsp:val=&quot;00405393&quot;/&gt;&lt;wsp:rsid wsp:val=&quot;00405409&quot;/&gt;&lt;wsp:rsid wsp:val=&quot;00405452&quot;/&gt;&lt;wsp:rsid wsp:val=&quot;00405C6D&quot;/&gt;&lt;wsp:rsid wsp:val=&quot;0040601C&quot;/&gt;&lt;wsp:rsid wsp:val=&quot;0040604D&quot;/&gt;&lt;wsp:rsid wsp:val=&quot;0040662E&quot;/&gt;&lt;wsp:rsid wsp:val=&quot;00406706&quot;/&gt;&lt;wsp:rsid wsp:val=&quot;00406B1B&quot;/&gt;&lt;wsp:rsid wsp:val=&quot;00407073&quot;/&gt;&lt;wsp:rsid wsp:val=&quot;00407C7E&quot;/&gt;&lt;wsp:rsid wsp:val=&quot;00407D27&quot;/&gt;&lt;wsp:rsid wsp:val=&quot;004102C5&quot;/&gt;&lt;wsp:rsid wsp:val=&quot;0041080E&quot;/&gt;&lt;wsp:rsid wsp:val=&quot;004108CF&quot;/&gt;&lt;wsp:rsid wsp:val=&quot;004113CF&quot;/&gt;&lt;wsp:rsid wsp:val=&quot;00411874&quot;/&gt;&lt;wsp:rsid wsp:val=&quot;00411C07&quot;/&gt;&lt;wsp:rsid wsp:val=&quot;00411C3A&quot;/&gt;&lt;wsp:rsid wsp:val=&quot;00411D59&quot;/&gt;&lt;wsp:rsid wsp:val=&quot;00411DBF&quot;/&gt;&lt;wsp:rsid wsp:val=&quot;00412120&quot;/&gt;&lt;wsp:rsid wsp:val=&quot;004122B7&quot;/&gt;&lt;wsp:rsid wsp:val=&quot;004125F8&quot;/&gt;&lt;wsp:rsid wsp:val=&quot;004126D8&quot;/&gt;&lt;wsp:rsid wsp:val=&quot;00412732&quot;/&gt;&lt;wsp:rsid wsp:val=&quot;0041287E&quot;/&gt;&lt;wsp:rsid wsp:val=&quot;00412941&quot;/&gt;&lt;wsp:rsid wsp:val=&quot;00412A1C&quot;/&gt;&lt;wsp:rsid wsp:val=&quot;00412A9A&quot;/&gt;&lt;wsp:rsid wsp:val=&quot;00412B05&quot;/&gt;&lt;wsp:rsid wsp:val=&quot;00412E3E&quot;/&gt;&lt;wsp:rsid wsp:val=&quot;0041306D&quot;/&gt;&lt;wsp:rsid wsp:val=&quot;004137A0&quot;/&gt;&lt;wsp:rsid wsp:val=&quot;00413C4F&quot;/&gt;&lt;wsp:rsid wsp:val=&quot;00413DAA&quot;/&gt;&lt;wsp:rsid wsp:val=&quot;00413DB7&quot;/&gt;&lt;wsp:rsid wsp:val=&quot;00414227&quot;/&gt;&lt;wsp:rsid wsp:val=&quot;00415034&quot;/&gt;&lt;wsp:rsid wsp:val=&quot;00415974&quot;/&gt;&lt;wsp:rsid wsp:val=&quot;00415A40&quot;/&gt;&lt;wsp:rsid wsp:val=&quot;00416097&quot;/&gt;&lt;wsp:rsid wsp:val=&quot;00416277&quot;/&gt;&lt;wsp:rsid wsp:val=&quot;00416715&quot;/&gt;&lt;wsp:rsid wsp:val=&quot;00416D6C&quot;/&gt;&lt;wsp:rsid wsp:val=&quot;00416D9B&quot;/&gt;&lt;wsp:rsid wsp:val=&quot;00416E1D&quot;/&gt;&lt;wsp:rsid wsp:val=&quot;004171AC&quot;/&gt;&lt;wsp:rsid wsp:val=&quot;00417426&quot;/&gt;&lt;wsp:rsid wsp:val=&quot;00417963&quot;/&gt;&lt;wsp:rsid wsp:val=&quot;00417F00&quot;/&gt;&lt;wsp:rsid wsp:val=&quot;004201F9&quot;/&gt;&lt;wsp:rsid wsp:val=&quot;00420691&quot;/&gt;&lt;wsp:rsid wsp:val=&quot;00420919&quot;/&gt;&lt;wsp:rsid wsp:val=&quot;004209EA&quot;/&gt;&lt;wsp:rsid wsp:val=&quot;00420C86&quot;/&gt;&lt;wsp:rsid wsp:val=&quot;00420DA8&quot;/&gt;&lt;wsp:rsid wsp:val=&quot;004214D1&quot;/&gt;&lt;wsp:rsid wsp:val=&quot;0042172F&quot;/&gt;&lt;wsp:rsid wsp:val=&quot;00421879&quot;/&gt;&lt;wsp:rsid wsp:val=&quot;004226DD&quot;/&gt;&lt;wsp:rsid wsp:val=&quot;00422703&quot;/&gt;&lt;wsp:rsid wsp:val=&quot;004228DB&quot;/&gt;&lt;wsp:rsid wsp:val=&quot;00422CCB&quot;/&gt;&lt;wsp:rsid wsp:val=&quot;00422F61&quot;/&gt;&lt;wsp:rsid wsp:val=&quot;0042399D&quot;/&gt;&lt;wsp:rsid wsp:val=&quot;00423D45&quot;/&gt;&lt;wsp:rsid wsp:val=&quot;004256B2&quot;/&gt;&lt;wsp:rsid wsp:val=&quot;004258EB&quot;/&gt;&lt;wsp:rsid wsp:val=&quot;00425C65&quot;/&gt;&lt;wsp:rsid wsp:val=&quot;00426242&quot;/&gt;&lt;wsp:rsid wsp:val=&quot;004263DD&quot;/&gt;&lt;wsp:rsid wsp:val=&quot;00426B31&quot;/&gt;&lt;wsp:rsid wsp:val=&quot;00426C16&quot;/&gt;&lt;wsp:rsid wsp:val=&quot;00426C3D&quot;/&gt;&lt;wsp:rsid wsp:val=&quot;00426C91&quot;/&gt;&lt;wsp:rsid wsp:val=&quot;004272E7&quot;/&gt;&lt;wsp:rsid wsp:val=&quot;00427382&quot;/&gt;&lt;wsp:rsid wsp:val=&quot;00427A8E&quot;/&gt;&lt;wsp:rsid wsp:val=&quot;00427CBB&quot;/&gt;&lt;wsp:rsid wsp:val=&quot;00427F05&quot;/&gt;&lt;wsp:rsid wsp:val=&quot;0043005A&quot;/&gt;&lt;wsp:rsid wsp:val=&quot;004302FC&quot;/&gt;&lt;wsp:rsid wsp:val=&quot;004306DF&quot;/&gt;&lt;wsp:rsid wsp:val=&quot;00430728&quot;/&gt;&lt;wsp:rsid wsp:val=&quot;00430D53&quot;/&gt;&lt;wsp:rsid wsp:val=&quot;00431053&quot;/&gt;&lt;wsp:rsid wsp:val=&quot;00431166&quot;/&gt;&lt;wsp:rsid wsp:val=&quot;004312AC&quot;/&gt;&lt;wsp:rsid wsp:val=&quot;0043143D&quot;/&gt;&lt;wsp:rsid wsp:val=&quot;0043160B&quot;/&gt;&lt;wsp:rsid wsp:val=&quot;00431BD6&quot;/&gt;&lt;wsp:rsid wsp:val=&quot;00431D5A&quot;/&gt;&lt;wsp:rsid wsp:val=&quot;00432A0F&quot;/&gt;&lt;wsp:rsid wsp:val=&quot;00432B6D&quot;/&gt;&lt;wsp:rsid wsp:val=&quot;00432BD9&quot;/&gt;&lt;wsp:rsid wsp:val=&quot;00432F24&quot;/&gt;&lt;wsp:rsid wsp:val=&quot;00433063&quot;/&gt;&lt;wsp:rsid wsp:val=&quot;00433294&quot;/&gt;&lt;wsp:rsid wsp:val=&quot;00433353&quot;/&gt;&lt;wsp:rsid wsp:val=&quot;004338D5&quot;/&gt;&lt;wsp:rsid wsp:val=&quot;0043394F&quot;/&gt;&lt;wsp:rsid wsp:val=&quot;0043418B&quot;/&gt;&lt;wsp:rsid wsp:val=&quot;00434456&quot;/&gt;&lt;wsp:rsid wsp:val=&quot;0043487C&quot;/&gt;&lt;wsp:rsid wsp:val=&quot;00434B6B&quot;/&gt;&lt;wsp:rsid wsp:val=&quot;00435106&quot;/&gt;&lt;wsp:rsid wsp:val=&quot;00435446&quot;/&gt;&lt;wsp:rsid wsp:val=&quot;00435560&quot;/&gt;&lt;wsp:rsid wsp:val=&quot;00435CC3&quot;/&gt;&lt;wsp:rsid wsp:val=&quot;00435E1B&quot;/&gt;&lt;wsp:rsid wsp:val=&quot;00436526&quot;/&gt;&lt;wsp:rsid wsp:val=&quot;004368E1&quot;/&gt;&lt;wsp:rsid wsp:val=&quot;0043698F&quot;/&gt;&lt;wsp:rsid wsp:val=&quot;00436AE0&quot;/&gt;&lt;wsp:rsid wsp:val=&quot;00436AEF&quot;/&gt;&lt;wsp:rsid wsp:val=&quot;00436CF7&quot;/&gt;&lt;wsp:rsid wsp:val=&quot;00436E5C&quot;/&gt;&lt;wsp:rsid wsp:val=&quot;004371E9&quot;/&gt;&lt;wsp:rsid wsp:val=&quot;004375B1&quot;/&gt;&lt;wsp:rsid wsp:val=&quot;0043778B&quot;/&gt;&lt;wsp:rsid wsp:val=&quot;00437831&quot;/&gt;&lt;wsp:rsid wsp:val=&quot;00437BF6&quot;/&gt;&lt;wsp:rsid wsp:val=&quot;00437CAC&quot;/&gt;&lt;wsp:rsid wsp:val=&quot;00437E9D&quot;/&gt;&lt;wsp:rsid wsp:val=&quot;00440C3D&quot;/&gt;&lt;wsp:rsid wsp:val=&quot;0044147E&quot;/&gt;&lt;wsp:rsid wsp:val=&quot;004417DE&quot;/&gt;&lt;wsp:rsid wsp:val=&quot;00441A53&quot;/&gt;&lt;wsp:rsid wsp:val=&quot;00441B1C&quot;/&gt;&lt;wsp:rsid wsp:val=&quot;00441BC1&quot;/&gt;&lt;wsp:rsid wsp:val=&quot;00441C6D&quot;/&gt;&lt;wsp:rsid wsp:val=&quot;00441E1C&quot;/&gt;&lt;wsp:rsid wsp:val=&quot;00441EA7&quot;/&gt;&lt;wsp:rsid wsp:val=&quot;004420A8&quot;/&gt;&lt;wsp:rsid wsp:val=&quot;00442B06&quot;/&gt;&lt;wsp:rsid wsp:val=&quot;00442D41&quot;/&gt;&lt;wsp:rsid wsp:val=&quot;00442DBF&quot;/&gt;&lt;wsp:rsid wsp:val=&quot;00442E23&quot;/&gt;&lt;wsp:rsid wsp:val=&quot;00443044&quot;/&gt;&lt;wsp:rsid wsp:val=&quot;00443103&quot;/&gt;&lt;wsp:rsid wsp:val=&quot;00443143&quot;/&gt;&lt;wsp:rsid wsp:val=&quot;00443533&quot;/&gt;&lt;wsp:rsid wsp:val=&quot;004438F7&quot;/&gt;&lt;wsp:rsid wsp:val=&quot;00443985&quot;/&gt;&lt;wsp:rsid wsp:val=&quot;00443C76&quot;/&gt;&lt;wsp:rsid wsp:val=&quot;0044419D&quot;/&gt;&lt;wsp:rsid wsp:val=&quot;0044438A&quot;/&gt;&lt;wsp:rsid wsp:val=&quot;00444562&quot;/&gt;&lt;wsp:rsid wsp:val=&quot;0044478E&quot;/&gt;&lt;wsp:rsid wsp:val=&quot;004447EA&quot;/&gt;&lt;wsp:rsid wsp:val=&quot;0044488E&quot;/&gt;&lt;wsp:rsid wsp:val=&quot;00444C19&quot;/&gt;&lt;wsp:rsid wsp:val=&quot;00444F9D&quot;/&gt;&lt;wsp:rsid wsp:val=&quot;004458CA&quot;/&gt;&lt;wsp:rsid wsp:val=&quot;00445AFA&quot;/&gt;&lt;wsp:rsid wsp:val=&quot;00445D01&quot;/&gt;&lt;wsp:rsid wsp:val=&quot;00445E5F&quot;/&gt;&lt;wsp:rsid wsp:val=&quot;00446157&quot;/&gt;&lt;wsp:rsid wsp:val=&quot;004461A4&quot;/&gt;&lt;wsp:rsid wsp:val=&quot;004461D0&quot;/&gt;&lt;wsp:rsid wsp:val=&quot;004462D2&quot;/&gt;&lt;wsp:rsid wsp:val=&quot;00446374&quot;/&gt;&lt;wsp:rsid wsp:val=&quot;00446489&quot;/&gt;&lt;wsp:rsid wsp:val=&quot;00446537&quot;/&gt;&lt;wsp:rsid wsp:val=&quot;00446605&quot;/&gt;&lt;wsp:rsid wsp:val=&quot;004466CD&quot;/&gt;&lt;wsp:rsid wsp:val=&quot;0044671A&quot;/&gt;&lt;wsp:rsid wsp:val=&quot;00446798&quot;/&gt;&lt;wsp:rsid wsp:val=&quot;00446B30&quot;/&gt;&lt;wsp:rsid wsp:val=&quot;00447387&quot;/&gt;&lt;wsp:rsid wsp:val=&quot;00447397&quot;/&gt;&lt;wsp:rsid wsp:val=&quot;0044789A&quot;/&gt;&lt;wsp:rsid wsp:val=&quot;00447CC2&quot;/&gt;&lt;wsp:rsid wsp:val=&quot;00447FCB&quot;/&gt;&lt;wsp:rsid wsp:val=&quot;0045026C&quot;/&gt;&lt;wsp:rsid wsp:val=&quot;00450663&quot;/&gt;&lt;wsp:rsid wsp:val=&quot;004507D7&quot;/&gt;&lt;wsp:rsid wsp:val=&quot;00450BC6&quot;/&gt;&lt;wsp:rsid wsp:val=&quot;00450DAD&quot;/&gt;&lt;wsp:rsid wsp:val=&quot;00450E01&quot;/&gt;&lt;wsp:rsid wsp:val=&quot;00450FA8&quot;/&gt;&lt;wsp:rsid wsp:val=&quot;00451177&quot;/&gt;&lt;wsp:rsid wsp:val=&quot;0045123E&quot;/&gt;&lt;wsp:rsid wsp:val=&quot;004512ED&quot;/&gt;&lt;wsp:rsid wsp:val=&quot;004518D0&quot;/&gt;&lt;wsp:rsid wsp:val=&quot;00452310&quot;/&gt;&lt;wsp:rsid wsp:val=&quot;0045288A&quot;/&gt;&lt;wsp:rsid wsp:val=&quot;00452ACD&quot;/&gt;&lt;wsp:rsid wsp:val=&quot;00452B84&quot;/&gt;&lt;wsp:rsid wsp:val=&quot;00452C80&quot;/&gt;&lt;wsp:rsid wsp:val=&quot;004531A4&quot;/&gt;&lt;wsp:rsid wsp:val=&quot;00453268&quot;/&gt;&lt;wsp:rsid wsp:val=&quot;00453577&quot;/&gt;&lt;wsp:rsid wsp:val=&quot;00453C5D&quot;/&gt;&lt;wsp:rsid wsp:val=&quot;00454170&quot;/&gt;&lt;wsp:rsid wsp:val=&quot;00454832&quot;/&gt;&lt;wsp:rsid wsp:val=&quot;00454890&quot;/&gt;&lt;wsp:rsid wsp:val=&quot;00454A4D&quot;/&gt;&lt;wsp:rsid wsp:val=&quot;00454F20&quot;/&gt;&lt;wsp:rsid wsp:val=&quot;004553C6&quot;/&gt;&lt;wsp:rsid wsp:val=&quot;00455834&quot;/&gt;&lt;wsp:rsid wsp:val=&quot;00455B45&quot;/&gt;&lt;wsp:rsid wsp:val=&quot;00455B9C&quot;/&gt;&lt;wsp:rsid wsp:val=&quot;00455BB7&quot;/&gt;&lt;wsp:rsid wsp:val=&quot;00456165&quot;/&gt;&lt;wsp:rsid wsp:val=&quot;0045649E&quot;/&gt;&lt;wsp:rsid wsp:val=&quot;004565EB&quot;/&gt;&lt;wsp:rsid wsp:val=&quot;00456861&quot;/&gt;&lt;wsp:rsid wsp:val=&quot;004572A3&quot;/&gt;&lt;wsp:rsid wsp:val=&quot;004576F2&quot;/&gt;&lt;wsp:rsid wsp:val=&quot;004577F9&quot;/&gt;&lt;wsp:rsid wsp:val=&quot;00457CC6&quot;/&gt;&lt;wsp:rsid wsp:val=&quot;00457DE2&quot;/&gt;&lt;wsp:rsid wsp:val=&quot;00457FB3&quot;/&gt;&lt;wsp:rsid wsp:val=&quot;004608B6&quot;/&gt;&lt;wsp:rsid wsp:val=&quot;004608EE&quot;/&gt;&lt;wsp:rsid wsp:val=&quot;0046098B&quot;/&gt;&lt;wsp:rsid wsp:val=&quot;004610D7&quot;/&gt;&lt;wsp:rsid wsp:val=&quot;00461155&quot;/&gt;&lt;wsp:rsid wsp:val=&quot;004615C4&quot;/&gt;&lt;wsp:rsid wsp:val=&quot;00461628&quot;/&gt;&lt;wsp:rsid wsp:val=&quot;00461A79&quot;/&gt;&lt;wsp:rsid wsp:val=&quot;0046245E&quot;/&gt;&lt;wsp:rsid wsp:val=&quot;00462996&quot;/&gt;&lt;wsp:rsid wsp:val=&quot;00462A41&quot;/&gt;&lt;wsp:rsid wsp:val=&quot;00462B20&quot;/&gt;&lt;wsp:rsid wsp:val=&quot;00462BD0&quot;/&gt;&lt;wsp:rsid wsp:val=&quot;00462D04&quot;/&gt;&lt;wsp:rsid wsp:val=&quot;00463017&quot;/&gt;&lt;wsp:rsid wsp:val=&quot;00463593&quot;/&gt;&lt;wsp:rsid wsp:val=&quot;004635B6&quot;/&gt;&lt;wsp:rsid wsp:val=&quot;0046376F&quot;/&gt;&lt;wsp:rsid wsp:val=&quot;00463986&quot;/&gt;&lt;wsp:rsid wsp:val=&quot;00463CF2&quot;/&gt;&lt;wsp:rsid wsp:val=&quot;0046420B&quot;/&gt;&lt;wsp:rsid wsp:val=&quot;00464B26&quot;/&gt;&lt;wsp:rsid wsp:val=&quot;00464CC2&quot;/&gt;&lt;wsp:rsid wsp:val=&quot;00464DAA&quot;/&gt;&lt;wsp:rsid wsp:val=&quot;004655C4&quot;/&gt;&lt;wsp:rsid wsp:val=&quot;004657FF&quot;/&gt;&lt;wsp:rsid wsp:val=&quot;00465892&quot;/&gt;&lt;wsp:rsid wsp:val=&quot;00465895&quot;/&gt;&lt;wsp:rsid wsp:val=&quot;00465A53&quot;/&gt;&lt;wsp:rsid wsp:val=&quot;00465CB2&quot;/&gt;&lt;wsp:rsid wsp:val=&quot;00465D75&quot;/&gt;&lt;wsp:rsid wsp:val=&quot;004661B1&quot;/&gt;&lt;wsp:rsid wsp:val=&quot;004663F7&quot;/&gt;&lt;wsp:rsid wsp:val=&quot;00466D7E&quot;/&gt;&lt;wsp:rsid wsp:val=&quot;004674C1&quot;/&gt;&lt;wsp:rsid wsp:val=&quot;00467852&quot;/&gt;&lt;wsp:rsid wsp:val=&quot;004679FD&quot;/&gt;&lt;wsp:rsid wsp:val=&quot;00470019&quot;/&gt;&lt;wsp:rsid wsp:val=&quot;00470308&quot;/&gt;&lt;wsp:rsid wsp:val=&quot;0047046B&quot;/&gt;&lt;wsp:rsid wsp:val=&quot;00470DB4&quot;/&gt;&lt;wsp:rsid wsp:val=&quot;0047107A&quot;/&gt;&lt;wsp:rsid wsp:val=&quot;004710D3&quot;/&gt;&lt;wsp:rsid wsp:val=&quot;004710DF&quot;/&gt;&lt;wsp:rsid wsp:val=&quot;004714D2&quot;/&gt;&lt;wsp:rsid wsp:val=&quot;00471507&quot;/&gt;&lt;wsp:rsid wsp:val=&quot;00471D6C&quot;/&gt;&lt;wsp:rsid wsp:val=&quot;00471E47&quot;/&gt;&lt;wsp:rsid wsp:val=&quot;00471FC5&quot;/&gt;&lt;wsp:rsid wsp:val=&quot;00472074&quot;/&gt;&lt;wsp:rsid wsp:val=&quot;00472AEE&quot;/&gt;&lt;wsp:rsid wsp:val=&quot;00472B3C&quot;/&gt;&lt;wsp:rsid wsp:val=&quot;00472B9D&quot;/&gt;&lt;wsp:rsid wsp:val=&quot;00472D20&quot;/&gt;&lt;wsp:rsid wsp:val=&quot;004737B3&quot;/&gt;&lt;wsp:rsid wsp:val=&quot;004738E4&quot;/&gt;&lt;wsp:rsid wsp:val=&quot;004738E5&quot;/&gt;&lt;wsp:rsid wsp:val=&quot;00473F1D&quot;/&gt;&lt;wsp:rsid wsp:val=&quot;004740CB&quot;/&gt;&lt;wsp:rsid wsp:val=&quot;004743A8&quot;/&gt;&lt;wsp:rsid wsp:val=&quot;0047459B&quot;/&gt;&lt;wsp:rsid wsp:val=&quot;0047466C&quot;/&gt;&lt;wsp:rsid wsp:val=&quot;00474928&quot;/&gt;&lt;wsp:rsid wsp:val=&quot;0047513F&quot;/&gt;&lt;wsp:rsid wsp:val=&quot;0047556E&quot;/&gt;&lt;wsp:rsid wsp:val=&quot;0047565B&quot;/&gt;&lt;wsp:rsid wsp:val=&quot;004757A8&quot;/&gt;&lt;wsp:rsid wsp:val=&quot;0047598B&quot;/&gt;&lt;wsp:rsid wsp:val=&quot;00475DAC&quot;/&gt;&lt;wsp:rsid wsp:val=&quot;004761DC&quot;/&gt;&lt;wsp:rsid wsp:val=&quot;0047633A&quot;/&gt;&lt;wsp:rsid wsp:val=&quot;0047634B&quot;/&gt;&lt;wsp:rsid wsp:val=&quot;00476428&quot;/&gt;&lt;wsp:rsid wsp:val=&quot;00476588&quot;/&gt;&lt;wsp:rsid wsp:val=&quot;00476831&quot;/&gt;&lt;wsp:rsid wsp:val=&quot;00476EBB&quot;/&gt;&lt;wsp:rsid wsp:val=&quot;0047711B&quot;/&gt;&lt;wsp:rsid wsp:val=&quot;00477336&quot;/&gt;&lt;wsp:rsid wsp:val=&quot;00477AA4&quot;/&gt;&lt;wsp:rsid wsp:val=&quot;00477C62&quot;/&gt;&lt;wsp:rsid wsp:val=&quot;00477E82&quot;/&gt;&lt;wsp:rsid wsp:val=&quot;00477FB2&quot;/&gt;&lt;wsp:rsid wsp:val=&quot;0048004E&quot;/&gt;&lt;wsp:rsid wsp:val=&quot;00480129&quot;/&gt;&lt;wsp:rsid wsp:val=&quot;00480575&quot;/&gt;&lt;wsp:rsid wsp:val=&quot;00480F11&quot;/&gt;&lt;wsp:rsid wsp:val=&quot;00482083&quot;/&gt;&lt;wsp:rsid wsp:val=&quot;004823C1&quot;/&gt;&lt;wsp:rsid wsp:val=&quot;004823D0&quot;/&gt;&lt;wsp:rsid wsp:val=&quot;004825D7&quot;/&gt;&lt;wsp:rsid wsp:val=&quot;004831BB&quot;/&gt;&lt;wsp:rsid wsp:val=&quot;00483290&quot;/&gt;&lt;wsp:rsid wsp:val=&quot;004834B7&quot;/&gt;&lt;wsp:rsid wsp:val=&quot;00483841&quot;/&gt;&lt;wsp:rsid wsp:val=&quot;00483914&quot;/&gt;&lt;wsp:rsid wsp:val=&quot;00483C6F&quot;/&gt;&lt;wsp:rsid wsp:val=&quot;00484263&quot;/&gt;&lt;wsp:rsid wsp:val=&quot;004843B5&quot;/&gt;&lt;wsp:rsid wsp:val=&quot;004844FC&quot;/&gt;&lt;wsp:rsid wsp:val=&quot;00484FDF&quot;/&gt;&lt;wsp:rsid wsp:val=&quot;004854A5&quot;/&gt;&lt;wsp:rsid wsp:val=&quot;004855F1&quot;/&gt;&lt;wsp:rsid wsp:val=&quot;00485A07&quot;/&gt;&lt;wsp:rsid wsp:val=&quot;00485A73&quot;/&gt;&lt;wsp:rsid wsp:val=&quot;00485D62&quot;/&gt;&lt;wsp:rsid wsp:val=&quot;00485D6D&quot;/&gt;&lt;wsp:rsid wsp:val=&quot;00485EDD&quot;/&gt;&lt;wsp:rsid wsp:val=&quot;00486243&quot;/&gt;&lt;wsp:rsid wsp:val=&quot;00486319&quot;/&gt;&lt;wsp:rsid wsp:val=&quot;004864A6&quot;/&gt;&lt;wsp:rsid wsp:val=&quot;004865EE&quot;/&gt;&lt;wsp:rsid wsp:val=&quot;004868A0&quot;/&gt;&lt;wsp:rsid wsp:val=&quot;00486B0E&quot;/&gt;&lt;wsp:rsid wsp:val=&quot;00487952&quot;/&gt;&lt;wsp:rsid wsp:val=&quot;00487F97&quot;/&gt;&lt;wsp:rsid wsp:val=&quot;00490235&quot;/&gt;&lt;wsp:rsid wsp:val=&quot;004904F5&quot;/&gt;&lt;wsp:rsid wsp:val=&quot;00490575&quot;/&gt;&lt;wsp:rsid wsp:val=&quot;0049105E&quot;/&gt;&lt;wsp:rsid wsp:val=&quot;0049114B&quot;/&gt;&lt;wsp:rsid wsp:val=&quot;004913BD&quot;/&gt;&lt;wsp:rsid wsp:val=&quot;00491B51&quot;/&gt;&lt;wsp:rsid wsp:val=&quot;0049254E&quot;/&gt;&lt;wsp:rsid wsp:val=&quot;00492B5E&quot;/&gt;&lt;wsp:rsid wsp:val=&quot;00492B75&quot;/&gt;&lt;wsp:rsid wsp:val=&quot;00492BDE&quot;/&gt;&lt;wsp:rsid wsp:val=&quot;00493194&quot;/&gt;&lt;wsp:rsid wsp:val=&quot;004933E0&quot;/&gt;&lt;wsp:rsid wsp:val=&quot;0049407C&quot;/&gt;&lt;wsp:rsid wsp:val=&quot;004947BD&quot;/&gt;&lt;wsp:rsid wsp:val=&quot;004948E4&quot;/&gt;&lt;wsp:rsid wsp:val=&quot;00494D55&quot;/&gt;&lt;wsp:rsid wsp:val=&quot;004953A7&quot;/&gt;&lt;wsp:rsid wsp:val=&quot;00495729&quot;/&gt;&lt;wsp:rsid wsp:val=&quot;00495C08&quot;/&gt;&lt;wsp:rsid wsp:val=&quot;00495C16&quot;/&gt;&lt;wsp:rsid wsp:val=&quot;00495EDB&quot;/&gt;&lt;wsp:rsid wsp:val=&quot;00495FEA&quot;/&gt;&lt;wsp:rsid wsp:val=&quot;004963FD&quot;/&gt;&lt;wsp:rsid wsp:val=&quot;004975DF&quot;/&gt;&lt;wsp:rsid wsp:val=&quot;004976A3&quot;/&gt;&lt;wsp:rsid wsp:val=&quot;00497F41&quot;/&gt;&lt;wsp:rsid wsp:val=&quot;004A0140&quot;/&gt;&lt;wsp:rsid wsp:val=&quot;004A0471&quot;/&gt;&lt;wsp:rsid wsp:val=&quot;004A09B6&quot;/&gt;&lt;wsp:rsid wsp:val=&quot;004A12A2&quot;/&gt;&lt;wsp:rsid wsp:val=&quot;004A1350&quot;/&gt;&lt;wsp:rsid wsp:val=&quot;004A138A&quot;/&gt;&lt;wsp:rsid wsp:val=&quot;004A1B0F&quot;/&gt;&lt;wsp:rsid wsp:val=&quot;004A1CF9&quot;/&gt;&lt;wsp:rsid wsp:val=&quot;004A1FE1&quot;/&gt;&lt;wsp:rsid wsp:val=&quot;004A2013&quot;/&gt;&lt;wsp:rsid wsp:val=&quot;004A228C&quot;/&gt;&lt;wsp:rsid wsp:val=&quot;004A29C1&quot;/&gt;&lt;wsp:rsid wsp:val=&quot;004A29F7&quot;/&gt;&lt;wsp:rsid wsp:val=&quot;004A2FEB&quot;/&gt;&lt;wsp:rsid wsp:val=&quot;004A3467&quot;/&gt;&lt;wsp:rsid wsp:val=&quot;004A34BC&quot;/&gt;&lt;wsp:rsid wsp:val=&quot;004A4183&quot;/&gt;&lt;wsp:rsid wsp:val=&quot;004A460D&quot;/&gt;&lt;wsp:rsid wsp:val=&quot;004A4913&quot;/&gt;&lt;wsp:rsid wsp:val=&quot;004A4985&quot;/&gt;&lt;wsp:rsid wsp:val=&quot;004A49CD&quot;/&gt;&lt;wsp:rsid wsp:val=&quot;004A4D4D&quot;/&gt;&lt;wsp:rsid wsp:val=&quot;004A526B&quot;/&gt;&lt;wsp:rsid wsp:val=&quot;004A52FC&quot;/&gt;&lt;wsp:rsid wsp:val=&quot;004A535F&quot;/&gt;&lt;wsp:rsid wsp:val=&quot;004A55B8&quot;/&gt;&lt;wsp:rsid wsp:val=&quot;004A5826&quot;/&gt;&lt;wsp:rsid wsp:val=&quot;004A6463&quot;/&gt;&lt;wsp:rsid wsp:val=&quot;004A659B&quot;/&gt;&lt;wsp:rsid wsp:val=&quot;004A65E6&quot;/&gt;&lt;wsp:rsid wsp:val=&quot;004A6695&quot;/&gt;&lt;wsp:rsid wsp:val=&quot;004A671E&quot;/&gt;&lt;wsp:rsid wsp:val=&quot;004A673C&quot;/&gt;&lt;wsp:rsid wsp:val=&quot;004A6C23&quot;/&gt;&lt;wsp:rsid wsp:val=&quot;004A7471&quot;/&gt;&lt;wsp:rsid wsp:val=&quot;004A77E1&quot;/&gt;&lt;wsp:rsid wsp:val=&quot;004A783D&quot;/&gt;&lt;wsp:rsid wsp:val=&quot;004B0247&quot;/&gt;&lt;wsp:rsid wsp:val=&quot;004B064C&quot;/&gt;&lt;wsp:rsid wsp:val=&quot;004B1565&quot;/&gt;&lt;wsp:rsid wsp:val=&quot;004B1868&quot;/&gt;&lt;wsp:rsid wsp:val=&quot;004B1AFA&quot;/&gt;&lt;wsp:rsid wsp:val=&quot;004B204C&quot;/&gt;&lt;wsp:rsid wsp:val=&quot;004B208C&quot;/&gt;&lt;wsp:rsid wsp:val=&quot;004B2265&quot;/&gt;&lt;wsp:rsid wsp:val=&quot;004B2807&quot;/&gt;&lt;wsp:rsid wsp:val=&quot;004B2918&quot;/&gt;&lt;wsp:rsid wsp:val=&quot;004B3418&quot;/&gt;&lt;wsp:rsid wsp:val=&quot;004B3574&quot;/&gt;&lt;wsp:rsid wsp:val=&quot;004B3864&quot;/&gt;&lt;wsp:rsid wsp:val=&quot;004B3D7B&quot;/&gt;&lt;wsp:rsid wsp:val=&quot;004B3DD6&quot;/&gt;&lt;wsp:rsid wsp:val=&quot;004B3FD2&quot;/&gt;&lt;wsp:rsid wsp:val=&quot;004B40A6&quot;/&gt;&lt;wsp:rsid wsp:val=&quot;004B4A4D&quot;/&gt;&lt;wsp:rsid wsp:val=&quot;004B4D89&quot;/&gt;&lt;wsp:rsid wsp:val=&quot;004B4EBD&quot;/&gt;&lt;wsp:rsid wsp:val=&quot;004B54E6&quot;/&gt;&lt;wsp:rsid wsp:val=&quot;004B5828&quot;/&gt;&lt;wsp:rsid wsp:val=&quot;004B5884&quot;/&gt;&lt;wsp:rsid wsp:val=&quot;004B5B64&quot;/&gt;&lt;wsp:rsid wsp:val=&quot;004B5B9E&quot;/&gt;&lt;wsp:rsid wsp:val=&quot;004B5CD7&quot;/&gt;&lt;wsp:rsid wsp:val=&quot;004B5D77&quot;/&gt;&lt;wsp:rsid wsp:val=&quot;004B6016&quot;/&gt;&lt;wsp:rsid wsp:val=&quot;004B635B&quot;/&gt;&lt;wsp:rsid wsp:val=&quot;004B665D&quot;/&gt;&lt;wsp:rsid wsp:val=&quot;004B68B5&quot;/&gt;&lt;wsp:rsid wsp:val=&quot;004B69F9&quot;/&gt;&lt;wsp:rsid wsp:val=&quot;004B6C92&quot;/&gt;&lt;wsp:rsid wsp:val=&quot;004B6FBE&quot;/&gt;&lt;wsp:rsid wsp:val=&quot;004B7820&quot;/&gt;&lt;wsp:rsid wsp:val=&quot;004B7D4C&quot;/&gt;&lt;wsp:rsid wsp:val=&quot;004C01AC&quot;/&gt;&lt;wsp:rsid wsp:val=&quot;004C09A9&quot;/&gt;&lt;wsp:rsid wsp:val=&quot;004C0B00&quot;/&gt;&lt;wsp:rsid wsp:val=&quot;004C18D7&quot;/&gt;&lt;wsp:rsid wsp:val=&quot;004C1BEF&quot;/&gt;&lt;wsp:rsid wsp:val=&quot;004C1CB1&quot;/&gt;&lt;wsp:rsid wsp:val=&quot;004C23AD&quot;/&gt;&lt;wsp:rsid wsp:val=&quot;004C250D&quot;/&gt;&lt;wsp:rsid wsp:val=&quot;004C25C6&quot;/&gt;&lt;wsp:rsid wsp:val=&quot;004C2D23&quot;/&gt;&lt;wsp:rsid wsp:val=&quot;004C2E11&quot;/&gt;&lt;wsp:rsid wsp:val=&quot;004C32C2&quot;/&gt;&lt;wsp:rsid wsp:val=&quot;004C333E&quot;/&gt;&lt;wsp:rsid wsp:val=&quot;004C34B9&quot;/&gt;&lt;wsp:rsid wsp:val=&quot;004C4198&quot;/&gt;&lt;wsp:rsid wsp:val=&quot;004C4728&quot;/&gt;&lt;wsp:rsid wsp:val=&quot;004C4B4F&quot;/&gt;&lt;wsp:rsid wsp:val=&quot;004C4B62&quot;/&gt;&lt;wsp:rsid wsp:val=&quot;004C4C89&quot;/&gt;&lt;wsp:rsid wsp:val=&quot;004C599B&quot;/&gt;&lt;wsp:rsid wsp:val=&quot;004C5EBE&quot;/&gt;&lt;wsp:rsid wsp:val=&quot;004C6382&quot;/&gt;&lt;wsp:rsid wsp:val=&quot;004C63EC&quot;/&gt;&lt;wsp:rsid wsp:val=&quot;004C6C36&quot;/&gt;&lt;wsp:rsid wsp:val=&quot;004C6F21&quot;/&gt;&lt;wsp:rsid wsp:val=&quot;004C71AA&quot;/&gt;&lt;wsp:rsid wsp:val=&quot;004C7984&quot;/&gt;&lt;wsp:rsid wsp:val=&quot;004C7A1E&quot;/&gt;&lt;wsp:rsid wsp:val=&quot;004D03BC&quot;/&gt;&lt;wsp:rsid wsp:val=&quot;004D071E&quot;/&gt;&lt;wsp:rsid wsp:val=&quot;004D0B5C&quot;/&gt;&lt;wsp:rsid wsp:val=&quot;004D0D8C&quot;/&gt;&lt;wsp:rsid wsp:val=&quot;004D0EED&quot;/&gt;&lt;wsp:rsid wsp:val=&quot;004D0F83&quot;/&gt;&lt;wsp:rsid wsp:val=&quot;004D10C5&quot;/&gt;&lt;wsp:rsid wsp:val=&quot;004D1891&quot;/&gt;&lt;wsp:rsid wsp:val=&quot;004D1ABA&quot;/&gt;&lt;wsp:rsid wsp:val=&quot;004D1BF0&quot;/&gt;&lt;wsp:rsid wsp:val=&quot;004D1C79&quot;/&gt;&lt;wsp:rsid wsp:val=&quot;004D21E0&quot;/&gt;&lt;wsp:rsid wsp:val=&quot;004D2573&quot;/&gt;&lt;wsp:rsid wsp:val=&quot;004D25A3&quot;/&gt;&lt;wsp:rsid wsp:val=&quot;004D275D&quot;/&gt;&lt;wsp:rsid wsp:val=&quot;004D2765&quot;/&gt;&lt;wsp:rsid wsp:val=&quot;004D277D&quot;/&gt;&lt;wsp:rsid wsp:val=&quot;004D2F4E&quot;/&gt;&lt;wsp:rsid wsp:val=&quot;004D30BB&quot;/&gt;&lt;wsp:rsid wsp:val=&quot;004D33EA&quot;/&gt;&lt;wsp:rsid wsp:val=&quot;004D39E7&quot;/&gt;&lt;wsp:rsid wsp:val=&quot;004D3E26&quot;/&gt;&lt;wsp:rsid wsp:val=&quot;004D3EE1&quot;/&gt;&lt;wsp:rsid wsp:val=&quot;004D3FC0&quot;/&gt;&lt;wsp:rsid wsp:val=&quot;004D4395&quot;/&gt;&lt;wsp:rsid wsp:val=&quot;004D444D&quot;/&gt;&lt;wsp:rsid wsp:val=&quot;004D47AB&quot;/&gt;&lt;wsp:rsid wsp:val=&quot;004D4AC7&quot;/&gt;&lt;wsp:rsid wsp:val=&quot;004D4D68&quot;/&gt;&lt;wsp:rsid wsp:val=&quot;004D5020&quot;/&gt;&lt;wsp:rsid wsp:val=&quot;004D5071&quot;/&gt;&lt;wsp:rsid wsp:val=&quot;004D5804&quot;/&gt;&lt;wsp:rsid wsp:val=&quot;004D5A8D&quot;/&gt;&lt;wsp:rsid wsp:val=&quot;004D5F5C&quot;/&gt;&lt;wsp:rsid wsp:val=&quot;004D5FD4&quot;/&gt;&lt;wsp:rsid wsp:val=&quot;004D6295&quot;/&gt;&lt;wsp:rsid wsp:val=&quot;004D67A6&quot;/&gt;&lt;wsp:rsid wsp:val=&quot;004D77DE&quot;/&gt;&lt;wsp:rsid wsp:val=&quot;004D77FD&quot;/&gt;&lt;wsp:rsid wsp:val=&quot;004D7C39&quot;/&gt;&lt;wsp:rsid wsp:val=&quot;004D7C90&quot;/&gt;&lt;wsp:rsid wsp:val=&quot;004E0426&quot;/&gt;&lt;wsp:rsid wsp:val=&quot;004E05BD&quot;/&gt;&lt;wsp:rsid wsp:val=&quot;004E083A&quot;/&gt;&lt;wsp:rsid wsp:val=&quot;004E0C40&quot;/&gt;&lt;wsp:rsid wsp:val=&quot;004E0DE8&quot;/&gt;&lt;wsp:rsid wsp:val=&quot;004E0F77&quot;/&gt;&lt;wsp:rsid wsp:val=&quot;004E0FF8&quot;/&gt;&lt;wsp:rsid wsp:val=&quot;004E1812&quot;/&gt;&lt;wsp:rsid wsp:val=&quot;004E23F3&quot;/&gt;&lt;wsp:rsid wsp:val=&quot;004E2C7E&quot;/&gt;&lt;wsp:rsid wsp:val=&quot;004E2D66&quot;/&gt;&lt;wsp:rsid wsp:val=&quot;004E2E3E&quot;/&gt;&lt;wsp:rsid wsp:val=&quot;004E335C&quot;/&gt;&lt;wsp:rsid wsp:val=&quot;004E3A87&quot;/&gt;&lt;wsp:rsid wsp:val=&quot;004E3B92&quot;/&gt;&lt;wsp:rsid wsp:val=&quot;004E3D74&quot;/&gt;&lt;wsp:rsid wsp:val=&quot;004E3DDC&quot;/&gt;&lt;wsp:rsid wsp:val=&quot;004E3E91&quot;/&gt;&lt;wsp:rsid wsp:val=&quot;004E4004&quot;/&gt;&lt;wsp:rsid wsp:val=&quot;004E42DB&quot;/&gt;&lt;wsp:rsid wsp:val=&quot;004E43EC&quot;/&gt;&lt;wsp:rsid wsp:val=&quot;004E499A&quot;/&gt;&lt;wsp:rsid wsp:val=&quot;004E4CBB&quot;/&gt;&lt;wsp:rsid wsp:val=&quot;004E4D99&quot;/&gt;&lt;wsp:rsid wsp:val=&quot;004E53BC&quot;/&gt;&lt;wsp:rsid wsp:val=&quot;004E5962&quot;/&gt;&lt;wsp:rsid wsp:val=&quot;004E599D&quot;/&gt;&lt;wsp:rsid wsp:val=&quot;004E59C9&quot;/&gt;&lt;wsp:rsid wsp:val=&quot;004E5BD3&quot;/&gt;&lt;wsp:rsid wsp:val=&quot;004E5D2E&quot;/&gt;&lt;wsp:rsid wsp:val=&quot;004E6536&quot;/&gt;&lt;wsp:rsid wsp:val=&quot;004E6641&quot;/&gt;&lt;wsp:rsid wsp:val=&quot;004E73C7&quot;/&gt;&lt;wsp:rsid wsp:val=&quot;004E7C33&quot;/&gt;&lt;wsp:rsid wsp:val=&quot;004E7D31&quot;/&gt;&lt;wsp:rsid wsp:val=&quot;004F06A5&quot;/&gt;&lt;wsp:rsid wsp:val=&quot;004F079A&quot;/&gt;&lt;wsp:rsid wsp:val=&quot;004F0CB5&quot;/&gt;&lt;wsp:rsid wsp:val=&quot;004F0D68&quot;/&gt;&lt;wsp:rsid wsp:val=&quot;004F0FA8&quot;/&gt;&lt;wsp:rsid wsp:val=&quot;004F1289&quot;/&gt;&lt;wsp:rsid wsp:val=&quot;004F12F9&quot;/&gt;&lt;wsp:rsid wsp:val=&quot;004F13D4&quot;/&gt;&lt;wsp:rsid wsp:val=&quot;004F1476&quot;/&gt;&lt;wsp:rsid wsp:val=&quot;004F1559&quot;/&gt;&lt;wsp:rsid wsp:val=&quot;004F185C&quot;/&gt;&lt;wsp:rsid wsp:val=&quot;004F1E33&quot;/&gt;&lt;wsp:rsid wsp:val=&quot;004F1F62&quot;/&gt;&lt;wsp:rsid wsp:val=&quot;004F2016&quot;/&gt;&lt;wsp:rsid wsp:val=&quot;004F21E8&quot;/&gt;&lt;wsp:rsid wsp:val=&quot;004F2253&quot;/&gt;&lt;wsp:rsid wsp:val=&quot;004F2456&quot;/&gt;&lt;wsp:rsid wsp:val=&quot;004F2B1A&quot;/&gt;&lt;wsp:rsid wsp:val=&quot;004F2C0A&quot;/&gt;&lt;wsp:rsid wsp:val=&quot;004F2CEB&quot;/&gt;&lt;wsp:rsid wsp:val=&quot;004F2E19&quot;/&gt;&lt;wsp:rsid wsp:val=&quot;004F2F6E&quot;/&gt;&lt;wsp:rsid wsp:val=&quot;004F3332&quot;/&gt;&lt;wsp:rsid wsp:val=&quot;004F35E4&quot;/&gt;&lt;wsp:rsid wsp:val=&quot;004F37F2&quot;/&gt;&lt;wsp:rsid wsp:val=&quot;004F3BD5&quot;/&gt;&lt;wsp:rsid wsp:val=&quot;004F3DF1&quot;/&gt;&lt;wsp:rsid wsp:val=&quot;004F3E04&quot;/&gt;&lt;wsp:rsid wsp:val=&quot;004F3EA2&quot;/&gt;&lt;wsp:rsid wsp:val=&quot;004F4149&quot;/&gt;&lt;wsp:rsid wsp:val=&quot;004F459E&quot;/&gt;&lt;wsp:rsid wsp:val=&quot;004F48F8&quot;/&gt;&lt;wsp:rsid wsp:val=&quot;004F493C&quot;/&gt;&lt;wsp:rsid wsp:val=&quot;004F499C&quot;/&gt;&lt;wsp:rsid wsp:val=&quot;004F49A5&quot;/&gt;&lt;wsp:rsid wsp:val=&quot;004F49BE&quot;/&gt;&lt;wsp:rsid wsp:val=&quot;004F4AD3&quot;/&gt;&lt;wsp:rsid wsp:val=&quot;004F4C62&quot;/&gt;&lt;wsp:rsid wsp:val=&quot;004F4E5C&quot;/&gt;&lt;wsp:rsid wsp:val=&quot;004F4FE3&quot;/&gt;&lt;wsp:rsid wsp:val=&quot;004F50D5&quot;/&gt;&lt;wsp:rsid wsp:val=&quot;004F558C&quot;/&gt;&lt;wsp:rsid wsp:val=&quot;004F570C&quot;/&gt;&lt;wsp:rsid wsp:val=&quot;004F5743&quot;/&gt;&lt;wsp:rsid wsp:val=&quot;004F584B&quot;/&gt;&lt;wsp:rsid wsp:val=&quot;004F5EA8&quot;/&gt;&lt;wsp:rsid wsp:val=&quot;004F5F4E&quot;/&gt;&lt;wsp:rsid wsp:val=&quot;004F610E&quot;/&gt;&lt;wsp:rsid wsp:val=&quot;004F614C&quot;/&gt;&lt;wsp:rsid wsp:val=&quot;004F640C&quot;/&gt;&lt;wsp:rsid wsp:val=&quot;004F648F&quot;/&gt;&lt;wsp:rsid wsp:val=&quot;004F661A&quot;/&gt;&lt;wsp:rsid wsp:val=&quot;004F66B1&quot;/&gt;&lt;wsp:rsid wsp:val=&quot;004F6921&quot;/&gt;&lt;wsp:rsid wsp:val=&quot;004F6A7F&quot;/&gt;&lt;wsp:rsid wsp:val=&quot;004F7E50&quot;/&gt;&lt;wsp:rsid wsp:val=&quot;00500024&quot;/&gt;&lt;wsp:rsid wsp:val=&quot;00500107&quot;/&gt;&lt;wsp:rsid wsp:val=&quot;005009D2&quot;/&gt;&lt;wsp:rsid wsp:val=&quot;00500BD8&quot;/&gt;&lt;wsp:rsid wsp:val=&quot;00501096&quot;/&gt;&lt;wsp:rsid wsp:val=&quot;00501673&quot;/&gt;&lt;wsp:rsid wsp:val=&quot;00501987&quot;/&gt;&lt;wsp:rsid wsp:val=&quot;00501B01&quot;/&gt;&lt;wsp:rsid wsp:val=&quot;00501DCB&quot;/&gt;&lt;wsp:rsid wsp:val=&quot;00502AD0&quot;/&gt;&lt;wsp:rsid wsp:val=&quot;00502BB3&quot;/&gt;&lt;wsp:rsid wsp:val=&quot;00502C3F&quot;/&gt;&lt;wsp:rsid wsp:val=&quot;005035A1&quot;/&gt;&lt;wsp:rsid wsp:val=&quot;00503842&quot;/&gt;&lt;wsp:rsid wsp:val=&quot;005044D5&quot;/&gt;&lt;wsp:rsid wsp:val=&quot;00504A51&quot;/&gt;&lt;wsp:rsid wsp:val=&quot;005051ED&quot;/&gt;&lt;wsp:rsid wsp:val=&quot;00505FBE&quot;/&gt;&lt;wsp:rsid wsp:val=&quot;00506378&quot;/&gt;&lt;wsp:rsid wsp:val=&quot;00506592&quot;/&gt;&lt;wsp:rsid wsp:val=&quot;00506747&quot;/&gt;&lt;wsp:rsid wsp:val=&quot;0050687B&quot;/&gt;&lt;wsp:rsid wsp:val=&quot;005069F5&quot;/&gt;&lt;wsp:rsid wsp:val=&quot;00506FD2&quot;/&gt;&lt;wsp:rsid wsp:val=&quot;00507179&quot;/&gt;&lt;wsp:rsid wsp:val=&quot;005072F6&quot;/&gt;&lt;wsp:rsid wsp:val=&quot;00507381&quot;/&gt;&lt;wsp:rsid wsp:val=&quot;0050773C&quot;/&gt;&lt;wsp:rsid wsp:val=&quot;00507779&quot;/&gt;&lt;wsp:rsid wsp:val=&quot;00507D35&quot;/&gt;&lt;wsp:rsid wsp:val=&quot;00507F4E&quot;/&gt;&lt;wsp:rsid wsp:val=&quot;00507F57&quot;/&gt;&lt;wsp:rsid wsp:val=&quot;00510163&quot;/&gt;&lt;wsp:rsid wsp:val=&quot;00510930&quot;/&gt;&lt;wsp:rsid wsp:val=&quot;00510E58&quot;/&gt;&lt;wsp:rsid wsp:val=&quot;00511235&quot;/&gt;&lt;wsp:rsid wsp:val=&quot;00511361&quot;/&gt;&lt;wsp:rsid wsp:val=&quot;00511736&quot;/&gt;&lt;wsp:rsid wsp:val=&quot;0051182C&quot;/&gt;&lt;wsp:rsid wsp:val=&quot;0051189B&quot;/&gt;&lt;wsp:rsid wsp:val=&quot;00512066&quot;/&gt;&lt;wsp:rsid wsp:val=&quot;005120DF&quot;/&gt;&lt;wsp:rsid wsp:val=&quot;0051292A&quot;/&gt;&lt;wsp:rsid wsp:val=&quot;00513042&quot;/&gt;&lt;wsp:rsid wsp:val=&quot;00513388&quot;/&gt;&lt;wsp:rsid wsp:val=&quot;0051363C&quot;/&gt;&lt;wsp:rsid wsp:val=&quot;0051372D&quot;/&gt;&lt;wsp:rsid wsp:val=&quot;0051374C&quot;/&gt;&lt;wsp:rsid wsp:val=&quot;00513BE8&quot;/&gt;&lt;wsp:rsid wsp:val=&quot;00513C79&quot;/&gt;&lt;wsp:rsid wsp:val=&quot;00513DBA&quot;/&gt;&lt;wsp:rsid wsp:val=&quot;00514228&quot;/&gt;&lt;wsp:rsid wsp:val=&quot;00514E5D&quot;/&gt;&lt;wsp:rsid wsp:val=&quot;005151F6&quot;/&gt;&lt;wsp:rsid wsp:val=&quot;005154BA&quot;/&gt;&lt;wsp:rsid wsp:val=&quot;00515673&quot;/&gt;&lt;wsp:rsid wsp:val=&quot;005158CD&quot;/&gt;&lt;wsp:rsid wsp:val=&quot;00515A5C&quot;/&gt;&lt;wsp:rsid wsp:val=&quot;00516006&quot;/&gt;&lt;wsp:rsid wsp:val=&quot;0051654E&quot;/&gt;&lt;wsp:rsid wsp:val=&quot;00516F54&quot;/&gt;&lt;wsp:rsid wsp:val=&quot;00516FB9&quot;/&gt;&lt;wsp:rsid wsp:val=&quot;00517056&quot;/&gt;&lt;wsp:rsid wsp:val=&quot;0051738D&quot;/&gt;&lt;wsp:rsid wsp:val=&quot;005177AA&quot;/&gt;&lt;wsp:rsid wsp:val=&quot;00517F51&quot;/&gt;&lt;wsp:rsid wsp:val=&quot;00520168&quot;/&gt;&lt;wsp:rsid wsp:val=&quot;00520389&quot;/&gt;&lt;wsp:rsid wsp:val=&quot;005205D4&quot;/&gt;&lt;wsp:rsid wsp:val=&quot;00520884&quot;/&gt;&lt;wsp:rsid wsp:val=&quot;00520F1C&quot;/&gt;&lt;wsp:rsid wsp:val=&quot;005212C4&quot;/&gt;&lt;wsp:rsid wsp:val=&quot;0052132B&quot;/&gt;&lt;wsp:rsid wsp:val=&quot;005217F1&quot;/&gt;&lt;wsp:rsid wsp:val=&quot;00521DC4&quot;/&gt;&lt;wsp:rsid wsp:val=&quot;00521EC4&quot;/&gt;&lt;wsp:rsid wsp:val=&quot;0052253C&quot;/&gt;&lt;wsp:rsid wsp:val=&quot;00522688&quot;/&gt;&lt;wsp:rsid wsp:val=&quot;00522804&quot;/&gt;&lt;wsp:rsid wsp:val=&quot;00522A82&quot;/&gt;&lt;wsp:rsid wsp:val=&quot;00522FB4&quot;/&gt;&lt;wsp:rsid wsp:val=&quot;00523487&quot;/&gt;&lt;wsp:rsid wsp:val=&quot;005238EC&quot;/&gt;&lt;wsp:rsid wsp:val=&quot;00523D71&quot;/&gt;&lt;wsp:rsid wsp:val=&quot;00523DA4&quot;/&gt;&lt;wsp:rsid wsp:val=&quot;00523EED&quot;/&gt;&lt;wsp:rsid wsp:val=&quot;00523FBF&quot;/&gt;&lt;wsp:rsid wsp:val=&quot;0052442B&quot;/&gt;&lt;wsp:rsid wsp:val=&quot;005245AE&quot;/&gt;&lt;wsp:rsid wsp:val=&quot;005245C6&quot;/&gt;&lt;wsp:rsid wsp:val=&quot;0052478D&quot;/&gt;&lt;wsp:rsid wsp:val=&quot;005247D8&quot;/&gt;&lt;wsp:rsid wsp:val=&quot;00524D49&quot;/&gt;&lt;wsp:rsid wsp:val=&quot;005254BF&quot;/&gt;&lt;wsp:rsid wsp:val=&quot;005255AF&quot;/&gt;&lt;wsp:rsid wsp:val=&quot;00525B54&quot;/&gt;&lt;wsp:rsid wsp:val=&quot;00525E90&quot;/&gt;&lt;wsp:rsid wsp:val=&quot;00525FFB&quot;/&gt;&lt;wsp:rsid wsp:val=&quot;005260A9&quot;/&gt;&lt;wsp:rsid wsp:val=&quot;00526109&quot;/&gt;&lt;wsp:rsid wsp:val=&quot;00526E53&quot;/&gt;&lt;wsp:rsid wsp:val=&quot;00526EDD&quot;/&gt;&lt;wsp:rsid wsp:val=&quot;0052703E&quot;/&gt;&lt;wsp:rsid wsp:val=&quot;00527289&quot;/&gt;&lt;wsp:rsid wsp:val=&quot;00527CBA&quot;/&gt;&lt;wsp:rsid wsp:val=&quot;00530412&quot;/&gt;&lt;wsp:rsid wsp:val=&quot;005308A3&quot;/&gt;&lt;wsp:rsid wsp:val=&quot;00530BAD&quot;/&gt;&lt;wsp:rsid wsp:val=&quot;00530D07&quot;/&gt;&lt;wsp:rsid wsp:val=&quot;005314D2&quot;/&gt;&lt;wsp:rsid wsp:val=&quot;00531A24&quot;/&gt;&lt;wsp:rsid wsp:val=&quot;00532160&quot;/&gt;&lt;wsp:rsid wsp:val=&quot;0053238B&quot;/&gt;&lt;wsp:rsid wsp:val=&quot;00532486&quot;/&gt;&lt;wsp:rsid wsp:val=&quot;005324E5&quot;/&gt;&lt;wsp:rsid wsp:val=&quot;005329A8&quot;/&gt;&lt;wsp:rsid wsp:val=&quot;00532B2A&quot;/&gt;&lt;wsp:rsid wsp:val=&quot;00532F0D&quot;/&gt;&lt;wsp:rsid wsp:val=&quot;0053335A&quot;/&gt;&lt;wsp:rsid wsp:val=&quot;005335C8&quot;/&gt;&lt;wsp:rsid wsp:val=&quot;00533850&quot;/&gt;&lt;wsp:rsid wsp:val=&quot;00533D2B&quot;/&gt;&lt;wsp:rsid wsp:val=&quot;00533E8C&quot;/&gt;&lt;wsp:rsid wsp:val=&quot;00533F94&quot;/&gt;&lt;wsp:rsid wsp:val=&quot;0053419B&quot;/&gt;&lt;wsp:rsid wsp:val=&quot;005348E7&quot;/&gt;&lt;wsp:rsid wsp:val=&quot;00534921&quot;/&gt;&lt;wsp:rsid wsp:val=&quot;00535204&quot;/&gt;&lt;wsp:rsid wsp:val=&quot;00535364&quot;/&gt;&lt;wsp:rsid wsp:val=&quot;00535D15&quot;/&gt;&lt;wsp:rsid wsp:val=&quot;00535E04&quot;/&gt;&lt;wsp:rsid wsp:val=&quot;005367F3&quot;/&gt;&lt;wsp:rsid wsp:val=&quot;005369FC&quot;/&gt;&lt;wsp:rsid wsp:val=&quot;00536BEA&quot;/&gt;&lt;wsp:rsid wsp:val=&quot;0053739E&quot;/&gt;&lt;wsp:rsid wsp:val=&quot;00537593&quot;/&gt;&lt;wsp:rsid wsp:val=&quot;005376AC&quot;/&gt;&lt;wsp:rsid wsp:val=&quot;00537A5E&quot;/&gt;&lt;wsp:rsid wsp:val=&quot;005401B7&quot;/&gt;&lt;wsp:rsid wsp:val=&quot;00540586&quot;/&gt;&lt;wsp:rsid wsp:val=&quot;00540626&quot;/&gt;&lt;wsp:rsid wsp:val=&quot;00540BBF&quot;/&gt;&lt;wsp:rsid wsp:val=&quot;00540BE8&quot;/&gt;&lt;wsp:rsid wsp:val=&quot;00540CAE&quot;/&gt;&lt;wsp:rsid wsp:val=&quot;00541043&quot;/&gt;&lt;wsp:rsid wsp:val=&quot;00541503&quot;/&gt;&lt;wsp:rsid wsp:val=&quot;00541761&quot;/&gt;&lt;wsp:rsid wsp:val=&quot;00542050&quot;/&gt;&lt;wsp:rsid wsp:val=&quot;00542548&quot;/&gt;&lt;wsp:rsid wsp:val=&quot;00542876&quot;/&gt;&lt;wsp:rsid wsp:val=&quot;00542B60&quot;/&gt;&lt;wsp:rsid wsp:val=&quot;00542BD8&quot;/&gt;&lt;wsp:rsid wsp:val=&quot;00542D44&quot;/&gt;&lt;wsp:rsid wsp:val=&quot;00542E9C&quot;/&gt;&lt;wsp:rsid wsp:val=&quot;00543459&quot;/&gt;&lt;wsp:rsid wsp:val=&quot;00543D53&quot;/&gt;&lt;wsp:rsid wsp:val=&quot;00544120&quot;/&gt;&lt;wsp:rsid wsp:val=&quot;00544895&quot;/&gt;&lt;wsp:rsid wsp:val=&quot;005449D5&quot;/&gt;&lt;wsp:rsid wsp:val=&quot;00545012&quot;/&gt;&lt;wsp:rsid wsp:val=&quot;005454FC&quot;/&gt;&lt;wsp:rsid wsp:val=&quot;0054566F&quot;/&gt;&lt;wsp:rsid wsp:val=&quot;00545D06&quot;/&gt;&lt;wsp:rsid wsp:val=&quot;005463E8&quot;/&gt;&lt;wsp:rsid wsp:val=&quot;0054694F&quot;/&gt;&lt;wsp:rsid wsp:val=&quot;0054697A&quot;/&gt;&lt;wsp:rsid wsp:val=&quot;00546AFD&quot;/&gt;&lt;wsp:rsid wsp:val=&quot;005470B2&quot;/&gt;&lt;wsp:rsid wsp:val=&quot;005470DB&quot;/&gt;&lt;wsp:rsid wsp:val=&quot;00547106&quot;/&gt;&lt;wsp:rsid wsp:val=&quot;00547118&quot;/&gt;&lt;wsp:rsid wsp:val=&quot;00547431&quot;/&gt;&lt;wsp:rsid wsp:val=&quot;00550205&quot;/&gt;&lt;wsp:rsid wsp:val=&quot;005505DC&quot;/&gt;&lt;wsp:rsid wsp:val=&quot;0055192F&quot;/&gt;&lt;wsp:rsid wsp:val=&quot;00551A6E&quot;/&gt;&lt;wsp:rsid wsp:val=&quot;00551D09&quot;/&gt;&lt;wsp:rsid wsp:val=&quot;00552BB8&quot;/&gt;&lt;wsp:rsid wsp:val=&quot;0055306C&quot;/&gt;&lt;wsp:rsid wsp:val=&quot;00553144&quot;/&gt;&lt;wsp:rsid wsp:val=&quot;0055338B&quot;/&gt;&lt;wsp:rsid wsp:val=&quot;00553604&quot;/&gt;&lt;wsp:rsid wsp:val=&quot;0055385F&quot;/&gt;&lt;wsp:rsid wsp:val=&quot;005538D9&quot;/&gt;&lt;wsp:rsid wsp:val=&quot;00553D3E&quot;/&gt;&lt;wsp:rsid wsp:val=&quot;00553EE3&quot;/&gt;&lt;wsp:rsid wsp:val=&quot;00554580&quot;/&gt;&lt;wsp:rsid wsp:val=&quot;00555624&quot;/&gt;&lt;wsp:rsid wsp:val=&quot;00555778&quot;/&gt;&lt;wsp:rsid wsp:val=&quot;00555EC6&quot;/&gt;&lt;wsp:rsid wsp:val=&quot;00555F65&quot;/&gt;&lt;wsp:rsid wsp:val=&quot;00555F66&quot;/&gt;&lt;wsp:rsid wsp:val=&quot;0055620C&quot;/&gt;&lt;wsp:rsid wsp:val=&quot;005568E2&quot;/&gt;&lt;wsp:rsid wsp:val=&quot;0055690E&quot;/&gt;&lt;wsp:rsid wsp:val=&quot;00556A1F&quot;/&gt;&lt;wsp:rsid wsp:val=&quot;00556F2D&quot;/&gt;&lt;wsp:rsid wsp:val=&quot;00557440&quot;/&gt;&lt;wsp:rsid wsp:val=&quot;0055764E&quot;/&gt;&lt;wsp:rsid wsp:val=&quot;0055768F&quot;/&gt;&lt;wsp:rsid wsp:val=&quot;005576C2&quot;/&gt;&lt;wsp:rsid wsp:val=&quot;00557B28&quot;/&gt;&lt;wsp:rsid wsp:val=&quot;00557C49&quot;/&gt;&lt;wsp:rsid wsp:val=&quot;0056031D&quot;/&gt;&lt;wsp:rsid wsp:val=&quot;00560FA8&quot;/&gt;&lt;wsp:rsid wsp:val=&quot;005613BC&quot;/&gt;&lt;wsp:rsid wsp:val=&quot;005615A8&quot;/&gt;&lt;wsp:rsid wsp:val=&quot;00561679&quot;/&gt;&lt;wsp:rsid wsp:val=&quot;00561A9F&quot;/&gt;&lt;wsp:rsid wsp:val=&quot;00561DED&quot;/&gt;&lt;wsp:rsid wsp:val=&quot;0056207D&quot;/&gt;&lt;wsp:rsid wsp:val=&quot;00562272&quot;/&gt;&lt;wsp:rsid wsp:val=&quot;00562A2D&quot;/&gt;&lt;wsp:rsid wsp:val=&quot;00562DC4&quot;/&gt;&lt;wsp:rsid wsp:val=&quot;005636B1&quot;/&gt;&lt;wsp:rsid wsp:val=&quot;0056395C&quot;/&gt;&lt;wsp:rsid wsp:val=&quot;00565155&quot;/&gt;&lt;wsp:rsid wsp:val=&quot;00565317&quot;/&gt;&lt;wsp:rsid wsp:val=&quot;00565367&quot;/&gt;&lt;wsp:rsid wsp:val=&quot;00566368&quot;/&gt;&lt;wsp:rsid wsp:val=&quot;005672F9&quot;/&gt;&lt;wsp:rsid wsp:val=&quot;00567EE4&quot;/&gt;&lt;wsp:rsid wsp:val=&quot;00570032&quot;/&gt;&lt;wsp:rsid wsp:val=&quot;0057047D&quot;/&gt;&lt;wsp:rsid wsp:val=&quot;0057049E&quot;/&gt;&lt;wsp:rsid wsp:val=&quot;00570564&quot;/&gt;&lt;wsp:rsid wsp:val=&quot;00570605&quot;/&gt;&lt;wsp:rsid wsp:val=&quot;005708EC&quot;/&gt;&lt;wsp:rsid wsp:val=&quot;00570F63&quot;/&gt;&lt;wsp:rsid wsp:val=&quot;00571270&quot;/&gt;&lt;wsp:rsid wsp:val=&quot;005713CC&quot;/&gt;&lt;wsp:rsid wsp:val=&quot;00571754&quot;/&gt;&lt;wsp:rsid wsp:val=&quot;0057188B&quot;/&gt;&lt;wsp:rsid wsp:val=&quot;00571BC6&quot;/&gt;&lt;wsp:rsid wsp:val=&quot;00571D1F&quot;/&gt;&lt;wsp:rsid wsp:val=&quot;00571D7A&quot;/&gt;&lt;wsp:rsid wsp:val=&quot;00571E3F&quot;/&gt;&lt;wsp:rsid wsp:val=&quot;00571E5F&quot;/&gt;&lt;wsp:rsid wsp:val=&quot;00571F49&quot;/&gt;&lt;wsp:rsid wsp:val=&quot;00572056&quot;/&gt;&lt;wsp:rsid wsp:val=&quot;005723B6&quot;/&gt;&lt;wsp:rsid wsp:val=&quot;00572832&quot;/&gt;&lt;wsp:rsid wsp:val=&quot;00572B81&quot;/&gt;&lt;wsp:rsid wsp:val=&quot;00572F15&quot;/&gt;&lt;wsp:rsid wsp:val=&quot;00573188&quot;/&gt;&lt;wsp:rsid wsp:val=&quot;005732BD&quot;/&gt;&lt;wsp:rsid wsp:val=&quot;005732EA&quot;/&gt;&lt;wsp:rsid wsp:val=&quot;00573331&quot;/&gt;&lt;wsp:rsid wsp:val=&quot;005739FB&quot;/&gt;&lt;wsp:rsid wsp:val=&quot;00573B41&quot;/&gt;&lt;wsp:rsid wsp:val=&quot;00573F1A&quot;/&gt;&lt;wsp:rsid wsp:val=&quot;005745F8&quot;/&gt;&lt;wsp:rsid wsp:val=&quot;0057470C&quot;/&gt;&lt;wsp:rsid wsp:val=&quot;00574866&quot;/&gt;&lt;wsp:rsid wsp:val=&quot;00574B0F&quot;/&gt;&lt;wsp:rsid wsp:val=&quot;00574EE5&quot;/&gt;&lt;wsp:rsid wsp:val=&quot;0057658C&quot;/&gt;&lt;wsp:rsid wsp:val=&quot;00576ACB&quot;/&gt;&lt;wsp:rsid wsp:val=&quot;00576BF4&quot;/&gt;&lt;wsp:rsid wsp:val=&quot;00576E03&quot;/&gt;&lt;wsp:rsid wsp:val=&quot;005770F1&quot;/&gt;&lt;wsp:rsid wsp:val=&quot;0057714E&quot;/&gt;&lt;wsp:rsid wsp:val=&quot;00577559&quot;/&gt;&lt;wsp:rsid wsp:val=&quot;00577699&quot;/&gt;&lt;wsp:rsid wsp:val=&quot;00577EBD&quot;/&gt;&lt;wsp:rsid wsp:val=&quot;00577F10&quot;/&gt;&lt;wsp:rsid wsp:val=&quot;00580790&quot;/&gt;&lt;wsp:rsid wsp:val=&quot;00581446&quot;/&gt;&lt;wsp:rsid wsp:val=&quot;00581A52&quot;/&gt;&lt;wsp:rsid wsp:val=&quot;00581B3D&quot;/&gt;&lt;wsp:rsid wsp:val=&quot;00581EC4&quot;/&gt;&lt;wsp:rsid wsp:val=&quot;00582109&quot;/&gt;&lt;wsp:rsid wsp:val=&quot;00582153&quot;/&gt;&lt;wsp:rsid wsp:val=&quot;005824B7&quot;/&gt;&lt;wsp:rsid wsp:val=&quot;00582F4D&quot;/&gt;&lt;wsp:rsid wsp:val=&quot;00582FF3&quot;/&gt;&lt;wsp:rsid wsp:val=&quot;00583296&quot;/&gt;&lt;wsp:rsid wsp:val=&quot;0058336C&quot;/&gt;&lt;wsp:rsid wsp:val=&quot;005839B5&quot;/&gt;&lt;wsp:rsid wsp:val=&quot;005839C0&quot;/&gt;&lt;wsp:rsid wsp:val=&quot;00583C7E&quot;/&gt;&lt;wsp:rsid wsp:val=&quot;005842BF&quot;/&gt;&lt;wsp:rsid wsp:val=&quot;005845BE&quot;/&gt;&lt;wsp:rsid wsp:val=&quot;005847DF&quot;/&gt;&lt;wsp:rsid wsp:val=&quot;00584A10&quot;/&gt;&lt;wsp:rsid wsp:val=&quot;00584EB7&quot;/&gt;&lt;wsp:rsid wsp:val=&quot;0058558C&quot;/&gt;&lt;wsp:rsid wsp:val=&quot;00585592&quot;/&gt;&lt;wsp:rsid wsp:val=&quot;005868A0&quot;/&gt;&lt;wsp:rsid wsp:val=&quot;00586A23&quot;/&gt;&lt;wsp:rsid wsp:val=&quot;0058793B&quot;/&gt;&lt;wsp:rsid wsp:val=&quot;0059029B&quot;/&gt;&lt;wsp:rsid wsp:val=&quot;005902CD&quot;/&gt;&lt;wsp:rsid wsp:val=&quot;00590911&quot;/&gt;&lt;wsp:rsid wsp:val=&quot;00590AE1&quot;/&gt;&lt;wsp:rsid wsp:val=&quot;00590BAF&quot;/&gt;&lt;wsp:rsid wsp:val=&quot;00590BB7&quot;/&gt;&lt;wsp:rsid wsp:val=&quot;00590E01&quot;/&gt;&lt;wsp:rsid wsp:val=&quot;00591205&quot;/&gt;&lt;wsp:rsid wsp:val=&quot;005912F3&quot;/&gt;&lt;wsp:rsid wsp:val=&quot;005916F8&quot;/&gt;&lt;wsp:rsid wsp:val=&quot;005919FD&quot;/&gt;&lt;wsp:rsid wsp:val=&quot;00591DF6&quot;/&gt;&lt;wsp:rsid wsp:val=&quot;00591DFA&quot;/&gt;&lt;wsp:rsid wsp:val=&quot;00591F1A&quot;/&gt;&lt;wsp:rsid wsp:val=&quot;00591F7F&quot;/&gt;&lt;wsp:rsid wsp:val=&quot;00592164&quot;/&gt;&lt;wsp:rsid wsp:val=&quot;00592648&quot;/&gt;&lt;wsp:rsid wsp:val=&quot;005926E1&quot;/&gt;&lt;wsp:rsid wsp:val=&quot;005928D4&quot;/&gt;&lt;wsp:rsid wsp:val=&quot;00592A64&quot;/&gt;&lt;wsp:rsid wsp:val=&quot;00592AF3&quot;/&gt;&lt;wsp:rsid wsp:val=&quot;00592C7B&quot;/&gt;&lt;wsp:rsid wsp:val=&quot;00592DD6&quot;/&gt;&lt;wsp:rsid wsp:val=&quot;00592E26&quot;/&gt;&lt;wsp:rsid wsp:val=&quot;00593031&quot;/&gt;&lt;wsp:rsid wsp:val=&quot;005931B9&quot;/&gt;&lt;wsp:rsid wsp:val=&quot;00593609&quot;/&gt;&lt;wsp:rsid wsp:val=&quot;00593CE8&quot;/&gt;&lt;wsp:rsid wsp:val=&quot;00593CE9&quot;/&gt;&lt;wsp:rsid wsp:val=&quot;00593F69&quot;/&gt;&lt;wsp:rsid wsp:val=&quot;00594110&quot;/&gt;&lt;wsp:rsid wsp:val=&quot;00594273&quot;/&gt;&lt;wsp:rsid wsp:val=&quot;00594372&quot;/&gt;&lt;wsp:rsid wsp:val=&quot;00594667&quot;/&gt;&lt;wsp:rsid wsp:val=&quot;00594EBD&quot;/&gt;&lt;wsp:rsid wsp:val=&quot;00595156&quot;/&gt;&lt;wsp:rsid wsp:val=&quot;00595C16&quot;/&gt;&lt;wsp:rsid wsp:val=&quot;00595D5A&quot;/&gt;&lt;wsp:rsid wsp:val=&quot;005963B3&quot;/&gt;&lt;wsp:rsid wsp:val=&quot;0059688E&quot;/&gt;&lt;wsp:rsid wsp:val=&quot;005969ED&quot;/&gt;&lt;wsp:rsid wsp:val=&quot;00596DF9&quot;/&gt;&lt;wsp:rsid wsp:val=&quot;00596E70&quot;/&gt;&lt;wsp:rsid wsp:val=&quot;00597124&quot;/&gt;&lt;wsp:rsid wsp:val=&quot;0059756C&quot;/&gt;&lt;wsp:rsid wsp:val=&quot;00597690&quot;/&gt;&lt;wsp:rsid wsp:val=&quot;005A0231&quot;/&gt;&lt;wsp:rsid wsp:val=&quot;005A0669&quot;/&gt;&lt;wsp:rsid wsp:val=&quot;005A0966&quot;/&gt;&lt;wsp:rsid wsp:val=&quot;005A0A0D&quot;/&gt;&lt;wsp:rsid wsp:val=&quot;005A14E9&quot;/&gt;&lt;wsp:rsid wsp:val=&quot;005A1829&quot;/&gt;&lt;wsp:rsid wsp:val=&quot;005A18BC&quot;/&gt;&lt;wsp:rsid wsp:val=&quot;005A2506&quot;/&gt;&lt;wsp:rsid wsp:val=&quot;005A2BCA&quot;/&gt;&lt;wsp:rsid wsp:val=&quot;005A2CAD&quot;/&gt;&lt;wsp:rsid wsp:val=&quot;005A3105&quot;/&gt;&lt;wsp:rsid wsp:val=&quot;005A33B6&quot;/&gt;&lt;wsp:rsid wsp:val=&quot;005A3C70&quot;/&gt;&lt;wsp:rsid wsp:val=&quot;005A3F1B&quot;/&gt;&lt;wsp:rsid wsp:val=&quot;005A45C2&quot;/&gt;&lt;wsp:rsid wsp:val=&quot;005A47A2&quot;/&gt;&lt;wsp:rsid wsp:val=&quot;005A52A5&quot;/&gt;&lt;wsp:rsid wsp:val=&quot;005A5316&quot;/&gt;&lt;wsp:rsid wsp:val=&quot;005A5863&quot;/&gt;&lt;wsp:rsid wsp:val=&quot;005A5C8A&quot;/&gt;&lt;wsp:rsid wsp:val=&quot;005A5FB0&quot;/&gt;&lt;wsp:rsid wsp:val=&quot;005A620B&quot;/&gt;&lt;wsp:rsid wsp:val=&quot;005A6239&quot;/&gt;&lt;wsp:rsid wsp:val=&quot;005A6529&quot;/&gt;&lt;wsp:rsid wsp:val=&quot;005A6600&quot;/&gt;&lt;wsp:rsid wsp:val=&quot;005A6A04&quot;/&gt;&lt;wsp:rsid wsp:val=&quot;005A6CA1&quot;/&gt;&lt;wsp:rsid wsp:val=&quot;005A72AC&quot;/&gt;&lt;wsp:rsid wsp:val=&quot;005A750D&quot;/&gt;&lt;wsp:rsid wsp:val=&quot;005A75BA&quot;/&gt;&lt;wsp:rsid wsp:val=&quot;005A7D99&quot;/&gt;&lt;wsp:rsid wsp:val=&quot;005B013C&quot;/&gt;&lt;wsp:rsid wsp:val=&quot;005B04AD&quot;/&gt;&lt;wsp:rsid wsp:val=&quot;005B081D&quot;/&gt;&lt;wsp:rsid wsp:val=&quot;005B0EBE&quot;/&gt;&lt;wsp:rsid wsp:val=&quot;005B1086&quot;/&gt;&lt;wsp:rsid wsp:val=&quot;005B11F7&quot;/&gt;&lt;wsp:rsid wsp:val=&quot;005B131E&quot;/&gt;&lt;wsp:rsid wsp:val=&quot;005B183A&quot;/&gt;&lt;wsp:rsid wsp:val=&quot;005B185B&quot;/&gt;&lt;wsp:rsid wsp:val=&quot;005B1D53&quot;/&gt;&lt;wsp:rsid wsp:val=&quot;005B1F1D&quot;/&gt;&lt;wsp:rsid wsp:val=&quot;005B1FA9&quot;/&gt;&lt;wsp:rsid wsp:val=&quot;005B2143&quot;/&gt;&lt;wsp:rsid wsp:val=&quot;005B2191&quot;/&gt;&lt;wsp:rsid wsp:val=&quot;005B244A&quot;/&gt;&lt;wsp:rsid wsp:val=&quot;005B25ED&quot;/&gt;&lt;wsp:rsid wsp:val=&quot;005B320A&quot;/&gt;&lt;wsp:rsid wsp:val=&quot;005B3214&quot;/&gt;&lt;wsp:rsid wsp:val=&quot;005B3327&quot;/&gt;&lt;wsp:rsid wsp:val=&quot;005B397B&quot;/&gt;&lt;wsp:rsid wsp:val=&quot;005B3BE3&quot;/&gt;&lt;wsp:rsid wsp:val=&quot;005B4122&quot;/&gt;&lt;wsp:rsid wsp:val=&quot;005B413F&quot;/&gt;&lt;wsp:rsid wsp:val=&quot;005B42EB&quot;/&gt;&lt;wsp:rsid wsp:val=&quot;005B44E7&quot;/&gt;&lt;wsp:rsid wsp:val=&quot;005B45F3&quot;/&gt;&lt;wsp:rsid wsp:val=&quot;005B481E&quot;/&gt;&lt;wsp:rsid wsp:val=&quot;005B485C&quot;/&gt;&lt;wsp:rsid wsp:val=&quot;005B4892&quot;/&gt;&lt;wsp:rsid wsp:val=&quot;005B48F6&quot;/&gt;&lt;wsp:rsid wsp:val=&quot;005B4F08&quot;/&gt;&lt;wsp:rsid wsp:val=&quot;005B522C&quot;/&gt;&lt;wsp:rsid wsp:val=&quot;005B5589&quot;/&gt;&lt;wsp:rsid wsp:val=&quot;005B57A2&quot;/&gt;&lt;wsp:rsid wsp:val=&quot;005B5822&quot;/&gt;&lt;wsp:rsid wsp:val=&quot;005B5B8F&quot;/&gt;&lt;wsp:rsid wsp:val=&quot;005B5F9D&quot;/&gt;&lt;wsp:rsid wsp:val=&quot;005B673C&quot;/&gt;&lt;wsp:rsid wsp:val=&quot;005B6A0A&quot;/&gt;&lt;wsp:rsid wsp:val=&quot;005B74C4&quot;/&gt;&lt;wsp:rsid wsp:val=&quot;005B7A4F&quot;/&gt;&lt;wsp:rsid wsp:val=&quot;005B7C91&quot;/&gt;&lt;wsp:rsid wsp:val=&quot;005C02CF&quot;/&gt;&lt;wsp:rsid wsp:val=&quot;005C02DF&quot;/&gt;&lt;wsp:rsid wsp:val=&quot;005C03F6&quot;/&gt;&lt;wsp:rsid wsp:val=&quot;005C06D2&quot;/&gt;&lt;wsp:rsid wsp:val=&quot;005C08AC&quot;/&gt;&lt;wsp:rsid wsp:val=&quot;005C12D7&quot;/&gt;&lt;wsp:rsid wsp:val=&quot;005C19D6&quot;/&gt;&lt;wsp:rsid wsp:val=&quot;005C1C02&quot;/&gt;&lt;wsp:rsid wsp:val=&quot;005C1C1E&quot;/&gt;&lt;wsp:rsid wsp:val=&quot;005C2151&quot;/&gt;&lt;wsp:rsid wsp:val=&quot;005C21EE&quot;/&gt;&lt;wsp:rsid wsp:val=&quot;005C272C&quot;/&gt;&lt;wsp:rsid wsp:val=&quot;005C2C42&quot;/&gt;&lt;wsp:rsid wsp:val=&quot;005C2C5C&quot;/&gt;&lt;wsp:rsid wsp:val=&quot;005C2EEA&quot;/&gt;&lt;wsp:rsid wsp:val=&quot;005C34B1&quot;/&gt;&lt;wsp:rsid wsp:val=&quot;005C395F&quot;/&gt;&lt;wsp:rsid wsp:val=&quot;005C3978&quot;/&gt;&lt;wsp:rsid wsp:val=&quot;005C3E21&quot;/&gt;&lt;wsp:rsid wsp:val=&quot;005C4186&quot;/&gt;&lt;wsp:rsid wsp:val=&quot;005C435E&quot;/&gt;&lt;wsp:rsid wsp:val=&quot;005C44AC&quot;/&gt;&lt;wsp:rsid wsp:val=&quot;005C45C1&quot;/&gt;&lt;wsp:rsid wsp:val=&quot;005C45D9&quot;/&gt;&lt;wsp:rsid wsp:val=&quot;005C4930&quot;/&gt;&lt;wsp:rsid wsp:val=&quot;005C4978&quot;/&gt;&lt;wsp:rsid wsp:val=&quot;005C4A43&quot;/&gt;&lt;wsp:rsid wsp:val=&quot;005C4D7A&quot;/&gt;&lt;wsp:rsid wsp:val=&quot;005C50FB&quot;/&gt;&lt;wsp:rsid wsp:val=&quot;005C5659&quot;/&gt;&lt;wsp:rsid wsp:val=&quot;005C570F&quot;/&gt;&lt;wsp:rsid wsp:val=&quot;005C5BA8&quot;/&gt;&lt;wsp:rsid wsp:val=&quot;005C600D&quot;/&gt;&lt;wsp:rsid wsp:val=&quot;005C668A&quot;/&gt;&lt;wsp:rsid wsp:val=&quot;005C67B2&quot;/&gt;&lt;wsp:rsid wsp:val=&quot;005C6AB3&quot;/&gt;&lt;wsp:rsid wsp:val=&quot;005C6C39&quot;/&gt;&lt;wsp:rsid wsp:val=&quot;005C6D1C&quot;/&gt;&lt;wsp:rsid wsp:val=&quot;005C6F75&quot;/&gt;&lt;wsp:rsid wsp:val=&quot;005C7013&quot;/&gt;&lt;wsp:rsid wsp:val=&quot;005C712C&quot;/&gt;&lt;wsp:rsid wsp:val=&quot;005C773C&quot;/&gt;&lt;wsp:rsid wsp:val=&quot;005C789A&quot;/&gt;&lt;wsp:rsid wsp:val=&quot;005C7F12&quot;/&gt;&lt;wsp:rsid wsp:val=&quot;005C7F96&quot;/&gt;&lt;wsp:rsid wsp:val=&quot;005D00AC&quot;/&gt;&lt;wsp:rsid wsp:val=&quot;005D021A&quot;/&gt;&lt;wsp:rsid wsp:val=&quot;005D0682&quot;/&gt;&lt;wsp:rsid wsp:val=&quot;005D0A5B&quot;/&gt;&lt;wsp:rsid wsp:val=&quot;005D0AC2&quot;/&gt;&lt;wsp:rsid wsp:val=&quot;005D10A8&quot;/&gt;&lt;wsp:rsid wsp:val=&quot;005D11F2&quot;/&gt;&lt;wsp:rsid wsp:val=&quot;005D1643&quot;/&gt;&lt;wsp:rsid wsp:val=&quot;005D188E&quot;/&gt;&lt;wsp:rsid wsp:val=&quot;005D18E3&quot;/&gt;&lt;wsp:rsid wsp:val=&quot;005D1CB5&quot;/&gt;&lt;wsp:rsid wsp:val=&quot;005D22D8&quot;/&gt;&lt;wsp:rsid wsp:val=&quot;005D2741&quot;/&gt;&lt;wsp:rsid wsp:val=&quot;005D288B&quot;/&gt;&lt;wsp:rsid wsp:val=&quot;005D28B1&quot;/&gt;&lt;wsp:rsid wsp:val=&quot;005D291C&quot;/&gt;&lt;wsp:rsid wsp:val=&quot;005D2A30&quot;/&gt;&lt;wsp:rsid wsp:val=&quot;005D2B9F&quot;/&gt;&lt;wsp:rsid wsp:val=&quot;005D2F6C&quot;/&gt;&lt;wsp:rsid wsp:val=&quot;005D3491&quot;/&gt;&lt;wsp:rsid wsp:val=&quot;005D3C06&quot;/&gt;&lt;wsp:rsid wsp:val=&quot;005D3F4B&quot;/&gt;&lt;wsp:rsid wsp:val=&quot;005D41A4&quot;/&gt;&lt;wsp:rsid wsp:val=&quot;005D4AF4&quot;/&gt;&lt;wsp:rsid wsp:val=&quot;005D4B83&quot;/&gt;&lt;wsp:rsid wsp:val=&quot;005D4BAC&quot;/&gt;&lt;wsp:rsid wsp:val=&quot;005D4CCB&quot;/&gt;&lt;wsp:rsid wsp:val=&quot;005D51AD&quot;/&gt;&lt;wsp:rsid wsp:val=&quot;005D5B11&quot;/&gt;&lt;wsp:rsid wsp:val=&quot;005D5E04&quot;/&gt;&lt;wsp:rsid wsp:val=&quot;005D6865&quot;/&gt;&lt;wsp:rsid wsp:val=&quot;005D68DC&quot;/&gt;&lt;wsp:rsid wsp:val=&quot;005D69CD&quot;/&gt;&lt;wsp:rsid wsp:val=&quot;005D6BF7&quot;/&gt;&lt;wsp:rsid wsp:val=&quot;005D6D08&quot;/&gt;&lt;wsp:rsid wsp:val=&quot;005D6F58&quot;/&gt;&lt;wsp:rsid wsp:val=&quot;005D72C6&quot;/&gt;&lt;wsp:rsid wsp:val=&quot;005D7728&quot;/&gt;&lt;wsp:rsid wsp:val=&quot;005D7B70&quot;/&gt;&lt;wsp:rsid wsp:val=&quot;005D7CF2&quot;/&gt;&lt;wsp:rsid wsp:val=&quot;005E02A5&quot;/&gt;&lt;wsp:rsid wsp:val=&quot;005E066D&quot;/&gt;&lt;wsp:rsid wsp:val=&quot;005E07B0&quot;/&gt;&lt;wsp:rsid wsp:val=&quot;005E08D6&quot;/&gt;&lt;wsp:rsid wsp:val=&quot;005E0C87&quot;/&gt;&lt;wsp:rsid wsp:val=&quot;005E0CB6&quot;/&gt;&lt;wsp:rsid wsp:val=&quot;005E0FB5&quot;/&gt;&lt;wsp:rsid wsp:val=&quot;005E11CF&quot;/&gt;&lt;wsp:rsid wsp:val=&quot;005E12AB&quot;/&gt;&lt;wsp:rsid wsp:val=&quot;005E12B1&quot;/&gt;&lt;wsp:rsid wsp:val=&quot;005E1470&quot;/&gt;&lt;wsp:rsid wsp:val=&quot;005E149E&quot;/&gt;&lt;wsp:rsid wsp:val=&quot;005E1ECD&quot;/&gt;&lt;wsp:rsid wsp:val=&quot;005E20B7&quot;/&gt;&lt;wsp:rsid wsp:val=&quot;005E21CD&quot;/&gt;&lt;wsp:rsid wsp:val=&quot;005E29AA&quot;/&gt;&lt;wsp:rsid wsp:val=&quot;005E2A00&quot;/&gt;&lt;wsp:rsid wsp:val=&quot;005E39B2&quot;/&gt;&lt;wsp:rsid wsp:val=&quot;005E3CC1&quot;/&gt;&lt;wsp:rsid wsp:val=&quot;005E3F77&quot;/&gt;&lt;wsp:rsid wsp:val=&quot;005E44FA&quot;/&gt;&lt;wsp:rsid wsp:val=&quot;005E4AD3&quot;/&gt;&lt;wsp:rsid wsp:val=&quot;005E4FC9&quot;/&gt;&lt;wsp:rsid wsp:val=&quot;005E518D&quot;/&gt;&lt;wsp:rsid wsp:val=&quot;005E51FE&quot;/&gt;&lt;wsp:rsid wsp:val=&quot;005E541D&quot;/&gt;&lt;wsp:rsid wsp:val=&quot;005E6026&quot;/&gt;&lt;wsp:rsid wsp:val=&quot;005E6678&quot;/&gt;&lt;wsp:rsid wsp:val=&quot;005E6805&quot;/&gt;&lt;wsp:rsid wsp:val=&quot;005E6B35&quot;/&gt;&lt;wsp:rsid wsp:val=&quot;005E6D87&quot;/&gt;&lt;wsp:rsid wsp:val=&quot;005E718A&quot;/&gt;&lt;wsp:rsid wsp:val=&quot;005E7278&quot;/&gt;&lt;wsp:rsid wsp:val=&quot;005E73B5&quot;/&gt;&lt;wsp:rsid wsp:val=&quot;005E7724&quot;/&gt;&lt;wsp:rsid wsp:val=&quot;005E7753&quot;/&gt;&lt;wsp:rsid wsp:val=&quot;005E780A&quot;/&gt;&lt;wsp:rsid wsp:val=&quot;005E7D5E&quot;/&gt;&lt;wsp:rsid wsp:val=&quot;005E7F26&quot;/&gt;&lt;wsp:rsid wsp:val=&quot;005E7F7D&quot;/&gt;&lt;wsp:rsid wsp:val=&quot;005E7FCC&quot;/&gt;&lt;wsp:rsid wsp:val=&quot;005F0579&quot;/&gt;&lt;wsp:rsid wsp:val=&quot;005F0589&quot;/&gt;&lt;wsp:rsid wsp:val=&quot;005F092D&quot;/&gt;&lt;wsp:rsid wsp:val=&quot;005F09C4&quot;/&gt;&lt;wsp:rsid wsp:val=&quot;005F0A2B&quot;/&gt;&lt;wsp:rsid wsp:val=&quot;005F1406&quot;/&gt;&lt;wsp:rsid wsp:val=&quot;005F1444&quot;/&gt;&lt;wsp:rsid wsp:val=&quot;005F19EB&quot;/&gt;&lt;wsp:rsid wsp:val=&quot;005F1DBA&quot;/&gt;&lt;wsp:rsid wsp:val=&quot;005F21C6&quot;/&gt;&lt;wsp:rsid wsp:val=&quot;005F2240&quot;/&gt;&lt;wsp:rsid wsp:val=&quot;005F2482&quot;/&gt;&lt;wsp:rsid wsp:val=&quot;005F2843&quot;/&gt;&lt;wsp:rsid wsp:val=&quot;005F3A48&quot;/&gt;&lt;wsp:rsid wsp:val=&quot;005F3B32&quot;/&gt;&lt;wsp:rsid wsp:val=&quot;005F3CE2&quot;/&gt;&lt;wsp:rsid wsp:val=&quot;005F4064&quot;/&gt;&lt;wsp:rsid wsp:val=&quot;005F4875&quot;/&gt;&lt;wsp:rsid wsp:val=&quot;005F531B&quot;/&gt;&lt;wsp:rsid wsp:val=&quot;005F5794&quot;/&gt;&lt;wsp:rsid wsp:val=&quot;005F5E3B&quot;/&gt;&lt;wsp:rsid wsp:val=&quot;005F66D2&quot;/&gt;&lt;wsp:rsid wsp:val=&quot;005F6859&quot;/&gt;&lt;wsp:rsid wsp:val=&quot;005F6AC9&quot;/&gt;&lt;wsp:rsid wsp:val=&quot;005F6B62&quot;/&gt;&lt;wsp:rsid wsp:val=&quot;005F714D&quot;/&gt;&lt;wsp:rsid wsp:val=&quot;005F7208&quot;/&gt;&lt;wsp:rsid wsp:val=&quot;005F7655&quot;/&gt;&lt;wsp:rsid wsp:val=&quot;005F78C9&quot;/&gt;&lt;wsp:rsid wsp:val=&quot;005F78DB&quot;/&gt;&lt;wsp:rsid wsp:val=&quot;005F79CA&quot;/&gt;&lt;wsp:rsid wsp:val=&quot;005F7A86&quot;/&gt;&lt;wsp:rsid wsp:val=&quot;005F7CC1&quot;/&gt;&lt;wsp:rsid wsp:val=&quot;00600930&quot;/&gt;&lt;wsp:rsid wsp:val=&quot;00600950&quot;/&gt;&lt;wsp:rsid wsp:val=&quot;00600BCC&quot;/&gt;&lt;wsp:rsid wsp:val=&quot;006013E0&quot;/&gt;&lt;wsp:rsid wsp:val=&quot;006016CC&quot;/&gt;&lt;wsp:rsid wsp:val=&quot;006017A0&quot;/&gt;&lt;wsp:rsid wsp:val=&quot;00601803&quot;/&gt;&lt;wsp:rsid wsp:val=&quot;00601E47&quot;/&gt;&lt;wsp:rsid wsp:val=&quot;0060215F&quot;/&gt;&lt;wsp:rsid wsp:val=&quot;00602662&quot;/&gt;&lt;wsp:rsid wsp:val=&quot;00602692&quot;/&gt;&lt;wsp:rsid wsp:val=&quot;00602DBF&quot;/&gt;&lt;wsp:rsid wsp:val=&quot;0060343D&quot;/&gt;&lt;wsp:rsid wsp:val=&quot;00603443&quot;/&gt;&lt;wsp:rsid wsp:val=&quot;0060380F&quot;/&gt;&lt;wsp:rsid wsp:val=&quot;00603D72&quot;/&gt;&lt;wsp:rsid wsp:val=&quot;006041F4&quot;/&gt;&lt;wsp:rsid wsp:val=&quot;00604A70&quot;/&gt;&lt;wsp:rsid wsp:val=&quot;00604F77&quot;/&gt;&lt;wsp:rsid wsp:val=&quot;00605312&quot;/&gt;&lt;wsp:rsid wsp:val=&quot;006053FA&quot;/&gt;&lt;wsp:rsid wsp:val=&quot;00605497&quot;/&gt;&lt;wsp:rsid wsp:val=&quot;0060579C&quot;/&gt;&lt;wsp:rsid wsp:val=&quot;0060599D&quot;/&gt;&lt;wsp:rsid wsp:val=&quot;00605AC6&quot;/&gt;&lt;wsp:rsid wsp:val=&quot;00605F21&quot;/&gt;&lt;wsp:rsid wsp:val=&quot;00605FD5&quot;/&gt;&lt;wsp:rsid wsp:val=&quot;00606495&quot;/&gt;&lt;wsp:rsid wsp:val=&quot;0060692A&quot;/&gt;&lt;wsp:rsid wsp:val=&quot;00606C67&quot;/&gt;&lt;wsp:rsid wsp:val=&quot;00606D91&quot;/&gt;&lt;wsp:rsid wsp:val=&quot;00606EE9&quot;/&gt;&lt;wsp:rsid wsp:val=&quot;006071F8&quot;/&gt;&lt;wsp:rsid wsp:val=&quot;0060750E&quot;/&gt;&lt;wsp:rsid wsp:val=&quot;0060760E&quot;/&gt;&lt;wsp:rsid wsp:val=&quot;00607D2A&quot;/&gt;&lt;wsp:rsid wsp:val=&quot;006104A0&quot;/&gt;&lt;wsp:rsid wsp:val=&quot;006104C4&quot;/&gt;&lt;wsp:rsid wsp:val=&quot;00610B4F&quot;/&gt;&lt;wsp:rsid wsp:val=&quot;00610B60&quot;/&gt;&lt;wsp:rsid wsp:val=&quot;00610DED&quot;/&gt;&lt;wsp:rsid wsp:val=&quot;006110B1&quot;/&gt;&lt;wsp:rsid wsp:val=&quot;006117EC&quot;/&gt;&lt;wsp:rsid wsp:val=&quot;006119F6&quot;/&gt;&lt;wsp:rsid wsp:val=&quot;00611AD8&quot;/&gt;&lt;wsp:rsid wsp:val=&quot;00611BE2&quot;/&gt;&lt;wsp:rsid wsp:val=&quot;00611D1C&quot;/&gt;&lt;wsp:rsid wsp:val=&quot;00611FBB&quot;/&gt;&lt;wsp:rsid wsp:val=&quot;0061247F&quot;/&gt;&lt;wsp:rsid wsp:val=&quot;00612698&quot;/&gt;&lt;wsp:rsid wsp:val=&quot;00612D04&quot;/&gt;&lt;wsp:rsid wsp:val=&quot;00612D9D&quot;/&gt;&lt;wsp:rsid wsp:val=&quot;00612F3C&quot;/&gt;&lt;wsp:rsid wsp:val=&quot;00613568&quot;/&gt;&lt;wsp:rsid wsp:val=&quot;00613A58&quot;/&gt;&lt;wsp:rsid wsp:val=&quot;00614164&quot;/&gt;&lt;wsp:rsid wsp:val=&quot;00614DB8&quot;/&gt;&lt;wsp:rsid wsp:val=&quot;0061523E&quot;/&gt;&lt;wsp:rsid wsp:val=&quot;006155C4&quot;/&gt;&lt;wsp:rsid wsp:val=&quot;006157DD&quot;/&gt;&lt;wsp:rsid wsp:val=&quot;00615934&quot;/&gt;&lt;wsp:rsid wsp:val=&quot;0061673B&quot;/&gt;&lt;wsp:rsid wsp:val=&quot;0061748C&quot;/&gt;&lt;wsp:rsid wsp:val=&quot;006175A1&quot;/&gt;&lt;wsp:rsid wsp:val=&quot;00617905&quot;/&gt;&lt;wsp:rsid wsp:val=&quot;0062018E&quot;/&gt;&lt;wsp:rsid wsp:val=&quot;0062025C&quot;/&gt;&lt;wsp:rsid wsp:val=&quot;0062098F&quot;/&gt;&lt;wsp:rsid wsp:val=&quot;006209F6&quot;/&gt;&lt;wsp:rsid wsp:val=&quot;00620B1B&quot;/&gt;&lt;wsp:rsid wsp:val=&quot;0062139E&quot;/&gt;&lt;wsp:rsid wsp:val=&quot;00621405&quot;/&gt;&lt;wsp:rsid wsp:val=&quot;00621469&quot;/&gt;&lt;wsp:rsid wsp:val=&quot;006217A3&quot;/&gt;&lt;wsp:rsid wsp:val=&quot;00621D04&quot;/&gt;&lt;wsp:rsid wsp:val=&quot;00621EF6&quot;/&gt;&lt;wsp:rsid wsp:val=&quot;0062218E&quot;/&gt;&lt;wsp:rsid wsp:val=&quot;006223C5&quot;/&gt;&lt;wsp:rsid wsp:val=&quot;006226D9&quot;/&gt;&lt;wsp:rsid wsp:val=&quot;006227A3&quot;/&gt;&lt;wsp:rsid wsp:val=&quot;00622857&quot;/&gt;&lt;wsp:rsid wsp:val=&quot;00622DDC&quot;/&gt;&lt;wsp:rsid wsp:val=&quot;00622F55&quot;/&gt;&lt;wsp:rsid wsp:val=&quot;0062392F&quot;/&gt;&lt;wsp:rsid wsp:val=&quot;00623AEA&quot;/&gt;&lt;wsp:rsid wsp:val=&quot;00623EF3&quot;/&gt;&lt;wsp:rsid wsp:val=&quot;0062407A&quot;/&gt;&lt;wsp:rsid wsp:val=&quot;006242F0&quot;/&gt;&lt;wsp:rsid wsp:val=&quot;006243EC&quot;/&gt;&lt;wsp:rsid wsp:val=&quot;006245DD&quot;/&gt;&lt;wsp:rsid wsp:val=&quot;00624D61&quot;/&gt;&lt;wsp:rsid wsp:val=&quot;00624FA7&quot;/&gt;&lt;wsp:rsid wsp:val=&quot;0062577F&quot;/&gt;&lt;wsp:rsid wsp:val=&quot;006259EC&quot;/&gt;&lt;wsp:rsid wsp:val=&quot;00625B1E&quot;/&gt;&lt;wsp:rsid wsp:val=&quot;00625CD1&quot;/&gt;&lt;wsp:rsid wsp:val=&quot;0062612E&quot;/&gt;&lt;wsp:rsid wsp:val=&quot;0062615D&quot;/&gt;&lt;wsp:rsid wsp:val=&quot;00626276&quot;/&gt;&lt;wsp:rsid wsp:val=&quot;006264D5&quot;/&gt;&lt;wsp:rsid wsp:val=&quot;0062667D&quot;/&gt;&lt;wsp:rsid wsp:val=&quot;006267E9&quot;/&gt;&lt;wsp:rsid wsp:val=&quot;00626876&quot;/&gt;&lt;wsp:rsid wsp:val=&quot;00626F72&quot;/&gt;&lt;wsp:rsid wsp:val=&quot;00626FE3&quot;/&gt;&lt;wsp:rsid wsp:val=&quot;006270E2&quot;/&gt;&lt;wsp:rsid wsp:val=&quot;0062713D&quot;/&gt;&lt;wsp:rsid wsp:val=&quot;00627332&quot;/&gt;&lt;wsp:rsid wsp:val=&quot;006278BC&quot;/&gt;&lt;wsp:rsid wsp:val=&quot;00627A09&quot;/&gt;&lt;wsp:rsid wsp:val=&quot;00627DE4&quot;/&gt;&lt;wsp:rsid wsp:val=&quot;006300A5&quot;/&gt;&lt;wsp:rsid wsp:val=&quot;0063069B&quot;/&gt;&lt;wsp:rsid wsp:val=&quot;00630CE0&quot;/&gt;&lt;wsp:rsid wsp:val=&quot;00631241&quot;/&gt;&lt;wsp:rsid wsp:val=&quot;00631489&quot;/&gt;&lt;wsp:rsid wsp:val=&quot;00631D68&quot;/&gt;&lt;wsp:rsid wsp:val=&quot;0063235E&quot;/&gt;&lt;wsp:rsid wsp:val=&quot;00632421&quot;/&gt;&lt;wsp:rsid wsp:val=&quot;00632AE3&quot;/&gt;&lt;wsp:rsid wsp:val=&quot;00632D4E&quot;/&gt;&lt;wsp:rsid wsp:val=&quot;0063345C&quot;/&gt;&lt;wsp:rsid wsp:val=&quot;00633EC5&quot;/&gt;&lt;wsp:rsid wsp:val=&quot;00634545&quot;/&gt;&lt;wsp:rsid wsp:val=&quot;00635069&quot;/&gt;&lt;wsp:rsid wsp:val=&quot;006350B5&quot;/&gt;&lt;wsp:rsid wsp:val=&quot;0063528A&quot;/&gt;&lt;wsp:rsid wsp:val=&quot;0063595F&quot;/&gt;&lt;wsp:rsid wsp:val=&quot;0063596B&quot;/&gt;&lt;wsp:rsid wsp:val=&quot;00635AB7&quot;/&gt;&lt;wsp:rsid wsp:val=&quot;00635EFC&quot;/&gt;&lt;wsp:rsid wsp:val=&quot;00635F4D&quot;/&gt;&lt;wsp:rsid wsp:val=&quot;006360FC&quot;/&gt;&lt;wsp:rsid wsp:val=&quot;006363B0&quot;/&gt;&lt;wsp:rsid wsp:val=&quot;0063654F&quot;/&gt;&lt;wsp:rsid wsp:val=&quot;006369F7&quot;/&gt;&lt;wsp:rsid wsp:val=&quot;00636BE0&quot;/&gt;&lt;wsp:rsid wsp:val=&quot;0063749D&quot;/&gt;&lt;wsp:rsid wsp:val=&quot;0063771D&quot;/&gt;&lt;wsp:rsid wsp:val=&quot;0063795F&quot;/&gt;&lt;wsp:rsid wsp:val=&quot;00637F48&quot;/&gt;&lt;wsp:rsid wsp:val=&quot;00640631&quot;/&gt;&lt;wsp:rsid wsp:val=&quot;00640A8C&quot;/&gt;&lt;wsp:rsid wsp:val=&quot;00640D8C&quot;/&gt;&lt;wsp:rsid wsp:val=&quot;00641490&quot;/&gt;&lt;wsp:rsid wsp:val=&quot;0064184F&quot;/&gt;&lt;wsp:rsid wsp:val=&quot;00641B62&quot;/&gt;&lt;wsp:rsid wsp:val=&quot;00641E49&quot;/&gt;&lt;wsp:rsid wsp:val=&quot;006420AF&quot;/&gt;&lt;wsp:rsid wsp:val=&quot;00642223&quot;/&gt;&lt;wsp:rsid wsp:val=&quot;0064262B&quot;/&gt;&lt;wsp:rsid wsp:val=&quot;00642A27&quot;/&gt;&lt;wsp:rsid wsp:val=&quot;00642B8A&quot;/&gt;&lt;wsp:rsid wsp:val=&quot;00642ECC&quot;/&gt;&lt;wsp:rsid wsp:val=&quot;006431C3&quot;/&gt;&lt;wsp:rsid wsp:val=&quot;006431DB&quot;/&gt;&lt;wsp:rsid wsp:val=&quot;00643392&quot;/&gt;&lt;wsp:rsid wsp:val=&quot;00643447&quot;/&gt;&lt;wsp:rsid wsp:val=&quot;00643462&quot;/&gt;&lt;wsp:rsid wsp:val=&quot;006437F1&quot;/&gt;&lt;wsp:rsid wsp:val=&quot;00643E5F&quot;/&gt;&lt;wsp:rsid wsp:val=&quot;00643F90&quot;/&gt;&lt;wsp:rsid wsp:val=&quot;0064437A&quot;/&gt;&lt;wsp:rsid wsp:val=&quot;00644513&quot;/&gt;&lt;wsp:rsid wsp:val=&quot;00644784&quot;/&gt;&lt;wsp:rsid wsp:val=&quot;00644BFD&quot;/&gt;&lt;wsp:rsid wsp:val=&quot;00645728&quot;/&gt;&lt;wsp:rsid wsp:val=&quot;00645C8E&quot;/&gt;&lt;wsp:rsid wsp:val=&quot;00645FC2&quot;/&gt;&lt;wsp:rsid wsp:val=&quot;00646136&quot;/&gt;&lt;wsp:rsid wsp:val=&quot;0064614D&quot;/&gt;&lt;wsp:rsid wsp:val=&quot;00646159&quot;/&gt;&lt;wsp:rsid wsp:val=&quot;00646ADF&quot;/&gt;&lt;wsp:rsid wsp:val=&quot;00646E98&quot;/&gt;&lt;wsp:rsid wsp:val=&quot;006470E8&quot;/&gt;&lt;wsp:rsid wsp:val=&quot;006471AA&quot;/&gt;&lt;wsp:rsid wsp:val=&quot;0064762B&quot;/&gt;&lt;wsp:rsid wsp:val=&quot;006479FB&quot;/&gt;&lt;wsp:rsid wsp:val=&quot;00647F4E&quot;/&gt;&lt;wsp:rsid wsp:val=&quot;00650673&quot;/&gt;&lt;wsp:rsid wsp:val=&quot;006507BF&quot;/&gt;&lt;wsp:rsid wsp:val=&quot;006509FC&quot;/&gt;&lt;wsp:rsid wsp:val=&quot;00650D4F&quot;/&gt;&lt;wsp:rsid wsp:val=&quot;00650E1F&quot;/&gt;&lt;wsp:rsid wsp:val=&quot;00650F51&quot;/&gt;&lt;wsp:rsid wsp:val=&quot;006510CD&quot;/&gt;&lt;wsp:rsid wsp:val=&quot;00651160&quot;/&gt;&lt;wsp:rsid wsp:val=&quot;0065129C&quot;/&gt;&lt;wsp:rsid wsp:val=&quot;0065174F&quot;/&gt;&lt;wsp:rsid wsp:val=&quot;00651803&quot;/&gt;&lt;wsp:rsid wsp:val=&quot;00651979&quot;/&gt;&lt;wsp:rsid wsp:val=&quot;00651A8A&quot;/&gt;&lt;wsp:rsid wsp:val=&quot;00652017&quot;/&gt;&lt;wsp:rsid wsp:val=&quot;0065251B&quot;/&gt;&lt;wsp:rsid wsp:val=&quot;00652ADE&quot;/&gt;&lt;wsp:rsid wsp:val=&quot;0065368B&quot;/&gt;&lt;wsp:rsid wsp:val=&quot;006537C8&quot;/&gt;&lt;wsp:rsid wsp:val=&quot;00653AEB&quot;/&gt;&lt;wsp:rsid wsp:val=&quot;00654161&quot;/&gt;&lt;wsp:rsid wsp:val=&quot;006543DB&quot;/&gt;&lt;wsp:rsid wsp:val=&quot;00654CE5&quot;/&gt;&lt;wsp:rsid wsp:val=&quot;00654D86&quot;/&gt;&lt;wsp:rsid wsp:val=&quot;006551F9&quot;/&gt;&lt;wsp:rsid wsp:val=&quot;0065540E&quot;/&gt;&lt;wsp:rsid wsp:val=&quot;006559B0&quot;/&gt;&lt;wsp:rsid wsp:val=&quot;006561C5&quot;/&gt;&lt;wsp:rsid wsp:val=&quot;0065623A&quot;/&gt;&lt;wsp:rsid wsp:val=&quot;00656A16&quot;/&gt;&lt;wsp:rsid wsp:val=&quot;00656C07&quot;/&gt;&lt;wsp:rsid wsp:val=&quot;00657224&quot;/&gt;&lt;wsp:rsid wsp:val=&quot;00657298&quot;/&gt;&lt;wsp:rsid wsp:val=&quot;00657E13&quot;/&gt;&lt;wsp:rsid wsp:val=&quot;00660129&quot;/&gt;&lt;wsp:rsid wsp:val=&quot;006602A5&quot;/&gt;&lt;wsp:rsid wsp:val=&quot;00660EA0&quot;/&gt;&lt;wsp:rsid wsp:val=&quot;00660EB5&quot;/&gt;&lt;wsp:rsid wsp:val=&quot;00660F1A&quot;/&gt;&lt;wsp:rsid wsp:val=&quot;00661281&quot;/&gt;&lt;wsp:rsid wsp:val=&quot;006614BB&quot;/&gt;&lt;wsp:rsid wsp:val=&quot;00661BAE&quot;/&gt;&lt;wsp:rsid wsp:val=&quot;00661D4C&quot;/&gt;&lt;wsp:rsid wsp:val=&quot;00661F6A&quot;/&gt;&lt;wsp:rsid wsp:val=&quot;00662647&quot;/&gt;&lt;wsp:rsid wsp:val=&quot;006627B8&quot;/&gt;&lt;wsp:rsid wsp:val=&quot;00662857&quot;/&gt;&lt;wsp:rsid wsp:val=&quot;00662971&quot;/&gt;&lt;wsp:rsid wsp:val=&quot;00662B06&quot;/&gt;&lt;wsp:rsid wsp:val=&quot;00662FAB&quot;/&gt;&lt;wsp:rsid wsp:val=&quot;006632F3&quot;/&gt;&lt;wsp:rsid wsp:val=&quot;006638BE&quot;/&gt;&lt;wsp:rsid wsp:val=&quot;00663B1D&quot;/&gt;&lt;wsp:rsid wsp:val=&quot;00663C31&quot;/&gt;&lt;wsp:rsid wsp:val=&quot;00663C78&quot;/&gt;&lt;wsp:rsid wsp:val=&quot;00663F87&quot;/&gt;&lt;wsp:rsid wsp:val=&quot;00663FF8&quot;/&gt;&lt;wsp:rsid wsp:val=&quot;00664239&quot;/&gt;&lt;wsp:rsid wsp:val=&quot;006642D3&quot;/&gt;&lt;wsp:rsid wsp:val=&quot;006648F8&quot;/&gt;&lt;wsp:rsid wsp:val=&quot;00664930&quot;/&gt;&lt;wsp:rsid wsp:val=&quot;00664A22&quot;/&gt;&lt;wsp:rsid wsp:val=&quot;00664AF8&quot;/&gt;&lt;wsp:rsid wsp:val=&quot;00665012&quot;/&gt;&lt;wsp:rsid wsp:val=&quot;006651FC&quot;/&gt;&lt;wsp:rsid wsp:val=&quot;00665343&quot;/&gt;&lt;wsp:rsid wsp:val=&quot;006655AD&quot;/&gt;&lt;wsp:rsid wsp:val=&quot;006659B7&quot;/&gt;&lt;wsp:rsid wsp:val=&quot;00665B99&quot;/&gt;&lt;wsp:rsid wsp:val=&quot;00666106&quot;/&gt;&lt;wsp:rsid wsp:val=&quot;006662AF&quot;/&gt;&lt;wsp:rsid wsp:val=&quot;0066679D&quot;/&gt;&lt;wsp:rsid wsp:val=&quot;00666B4F&quot;/&gt;&lt;wsp:rsid wsp:val=&quot;00666FA8&quot;/&gt;&lt;wsp:rsid wsp:val=&quot;00667403&quot;/&gt;&lt;wsp:rsid wsp:val=&quot;0066746B&quot;/&gt;&lt;wsp:rsid wsp:val=&quot;006676C5&quot;/&gt;&lt;wsp:rsid wsp:val=&quot;00667AA9&quot;/&gt;&lt;wsp:rsid wsp:val=&quot;00670520&quot;/&gt;&lt;wsp:rsid wsp:val=&quot;006706ED&quot;/&gt;&lt;wsp:rsid wsp:val=&quot;00670865&quot;/&gt;&lt;wsp:rsid wsp:val=&quot;006709EE&quot;/&gt;&lt;wsp:rsid wsp:val=&quot;00670FD3&quot;/&gt;&lt;wsp:rsid wsp:val=&quot;006711C3&quot;/&gt;&lt;wsp:rsid wsp:val=&quot;006714A8&quot;/&gt;&lt;wsp:rsid wsp:val=&quot;006715FA&quot;/&gt;&lt;wsp:rsid wsp:val=&quot;006717A7&quot;/&gt;&lt;wsp:rsid wsp:val=&quot;00671BEC&quot;/&gt;&lt;wsp:rsid wsp:val=&quot;00671C9B&quot;/&gt;&lt;wsp:rsid wsp:val=&quot;00671D4A&quot;/&gt;&lt;wsp:rsid wsp:val=&quot;00672310&quot;/&gt;&lt;wsp:rsid wsp:val=&quot;006723C1&quot;/&gt;&lt;wsp:rsid wsp:val=&quot;006726C5&quot;/&gt;&lt;wsp:rsid wsp:val=&quot;006728DA&quot;/&gt;&lt;wsp:rsid wsp:val=&quot;00672995&quot;/&gt;&lt;wsp:rsid wsp:val=&quot;00672ADD&quot;/&gt;&lt;wsp:rsid wsp:val=&quot;00672BA9&quot;/&gt;&lt;wsp:rsid wsp:val=&quot;00672CCB&quot;/&gt;&lt;wsp:rsid wsp:val=&quot;00672CF8&quot;/&gt;&lt;wsp:rsid wsp:val=&quot;00673040&quot;/&gt;&lt;wsp:rsid wsp:val=&quot;00673567&quot;/&gt;&lt;wsp:rsid wsp:val=&quot;00673DF6&quot;/&gt;&lt;wsp:rsid wsp:val=&quot;00673E3B&quot;/&gt;&lt;wsp:rsid wsp:val=&quot;00673EFD&quot;/&gt;&lt;wsp:rsid wsp:val=&quot;006741C6&quot;/&gt;&lt;wsp:rsid wsp:val=&quot;006742EE&quot;/&gt;&lt;wsp:rsid wsp:val=&quot;006746B9&quot;/&gt;&lt;wsp:rsid wsp:val=&quot;006746BC&quot;/&gt;&lt;wsp:rsid wsp:val=&quot;0067497C&quot;/&gt;&lt;wsp:rsid wsp:val=&quot;006749ED&quot;/&gt;&lt;wsp:rsid wsp:val=&quot;0067515D&quot;/&gt;&lt;wsp:rsid wsp:val=&quot;0067517C&quot;/&gt;&lt;wsp:rsid wsp:val=&quot;0067575D&quot;/&gt;&lt;wsp:rsid wsp:val=&quot;00675FE0&quot;/&gt;&lt;wsp:rsid wsp:val=&quot;00676050&quot;/&gt;&lt;wsp:rsid wsp:val=&quot;006763A3&quot;/&gt;&lt;wsp:rsid wsp:val=&quot;00676663&quot;/&gt;&lt;wsp:rsid wsp:val=&quot;006766B7&quot;/&gt;&lt;wsp:rsid wsp:val=&quot;006768A4&quot;/&gt;&lt;wsp:rsid wsp:val=&quot;00676C34&quot;/&gt;&lt;wsp:rsid wsp:val=&quot;00676E60&quot;/&gt;&lt;wsp:rsid wsp:val=&quot;00677122&quot;/&gt;&lt;wsp:rsid wsp:val=&quot;0067743C&quot;/&gt;&lt;wsp:rsid wsp:val=&quot;006779D8&quot;/&gt;&lt;wsp:rsid wsp:val=&quot;00677A34&quot;/&gt;&lt;wsp:rsid wsp:val=&quot;00677B37&quot;/&gt;&lt;wsp:rsid wsp:val=&quot;00677DEB&quot;/&gt;&lt;wsp:rsid wsp:val=&quot;00680488&quot;/&gt;&lt;wsp:rsid wsp:val=&quot;00680574&quot;/&gt;&lt;wsp:rsid wsp:val=&quot;006805C0&quot;/&gt;&lt;wsp:rsid wsp:val=&quot;00680663&quot;/&gt;&lt;wsp:rsid wsp:val=&quot;00680F3C&quot;/&gt;&lt;wsp:rsid wsp:val=&quot;0068127D&quot;/&gt;&lt;wsp:rsid wsp:val=&quot;00681DBF&quot;/&gt;&lt;wsp:rsid wsp:val=&quot;00682184&quot;/&gt;&lt;wsp:rsid wsp:val=&quot;006829F2&quot;/&gt;&lt;wsp:rsid wsp:val=&quot;0068310B&quot;/&gt;&lt;wsp:rsid wsp:val=&quot;00683281&quot;/&gt;&lt;wsp:rsid wsp:val=&quot;0068357D&quot;/&gt;&lt;wsp:rsid wsp:val=&quot;006835C7&quot;/&gt;&lt;wsp:rsid wsp:val=&quot;00683A27&quot;/&gt;&lt;wsp:rsid wsp:val=&quot;00683AB8&quot;/&gt;&lt;wsp:rsid wsp:val=&quot;00684040&quot;/&gt;&lt;wsp:rsid wsp:val=&quot;0068404B&quot;/&gt;&lt;wsp:rsid wsp:val=&quot;0068405C&quot;/&gt;&lt;wsp:rsid wsp:val=&quot;006841EF&quot;/&gt;&lt;wsp:rsid wsp:val=&quot;006843AB&quot;/&gt;&lt;wsp:rsid wsp:val=&quot;0068457A&quot;/&gt;&lt;wsp:rsid wsp:val=&quot;0068460D&quot;/&gt;&lt;wsp:rsid wsp:val=&quot;0068515F&quot;/&gt;&lt;wsp:rsid wsp:val=&quot;00685188&quot;/&gt;&lt;wsp:rsid wsp:val=&quot;006858CE&quot;/&gt;&lt;wsp:rsid wsp:val=&quot;006859F6&quot;/&gt;&lt;wsp:rsid wsp:val=&quot;00685E06&quot;/&gt;&lt;wsp:rsid wsp:val=&quot;00686281&quot;/&gt;&lt;wsp:rsid wsp:val=&quot;006862C0&quot;/&gt;&lt;wsp:rsid wsp:val=&quot;006862CD&quot;/&gt;&lt;wsp:rsid wsp:val=&quot;00686434&quot;/&gt;&lt;wsp:rsid wsp:val=&quot;00686967&quot;/&gt;&lt;wsp:rsid wsp:val=&quot;00686DF4&quot;/&gt;&lt;wsp:rsid wsp:val=&quot;00686EE2&quot;/&gt;&lt;wsp:rsid wsp:val=&quot;006872CF&quot;/&gt;&lt;wsp:rsid wsp:val=&quot;00687A8A&quot;/&gt;&lt;wsp:rsid wsp:val=&quot;00687BB3&quot;/&gt;&lt;wsp:rsid wsp:val=&quot;00687DDA&quot;/&gt;&lt;wsp:rsid wsp:val=&quot;00687F39&quot;/&gt;&lt;wsp:rsid wsp:val=&quot;006903A9&quot;/&gt;&lt;wsp:rsid wsp:val=&quot;00690466&quot;/&gt;&lt;wsp:rsid wsp:val=&quot;00690684&quot;/&gt;&lt;wsp:rsid wsp:val=&quot;00690D12&quot;/&gt;&lt;wsp:rsid wsp:val=&quot;00691069&quot;/&gt;&lt;wsp:rsid wsp:val=&quot;00691498&quot;/&gt;&lt;wsp:rsid wsp:val=&quot;0069193D&quot;/&gt;&lt;wsp:rsid wsp:val=&quot;00691A80&quot;/&gt;&lt;wsp:rsid wsp:val=&quot;00692016&quot;/&gt;&lt;wsp:rsid wsp:val=&quot;006922A3&quot;/&gt;&lt;wsp:rsid wsp:val=&quot;00692E59&quot;/&gt;&lt;wsp:rsid wsp:val=&quot;0069309E&quot;/&gt;&lt;wsp:rsid wsp:val=&quot;006930A2&quot;/&gt;&lt;wsp:rsid wsp:val=&quot;0069351F&quot;/&gt;&lt;wsp:rsid wsp:val=&quot;00693AD5&quot;/&gt;&lt;wsp:rsid wsp:val=&quot;00693C5D&quot;/&gt;&lt;wsp:rsid wsp:val=&quot;00694C29&quot;/&gt;&lt;wsp:rsid wsp:val=&quot;00695015&quot;/&gt;&lt;wsp:rsid wsp:val=&quot;00695334&quot;/&gt;&lt;wsp:rsid wsp:val=&quot;00695491&quot;/&gt;&lt;wsp:rsid wsp:val=&quot;006955E6&quot;/&gt;&lt;wsp:rsid wsp:val=&quot;00695B0C&quot;/&gt;&lt;wsp:rsid wsp:val=&quot;00695F3C&quot;/&gt;&lt;wsp:rsid wsp:val=&quot;0069625B&quot;/&gt;&lt;wsp:rsid wsp:val=&quot;00696525&quot;/&gt;&lt;wsp:rsid wsp:val=&quot;00696657&quot;/&gt;&lt;wsp:rsid wsp:val=&quot;006966BB&quot;/&gt;&lt;wsp:rsid wsp:val=&quot;00696F99&quot;/&gt;&lt;wsp:rsid wsp:val=&quot;00697280&quot;/&gt;&lt;wsp:rsid wsp:val=&quot;00697553&quot;/&gt;&lt;wsp:rsid wsp:val=&quot;00697731&quot;/&gt;&lt;wsp:rsid wsp:val=&quot;00697D69&quot;/&gt;&lt;wsp:rsid wsp:val=&quot;006A07B0&quot;/&gt;&lt;wsp:rsid wsp:val=&quot;006A0B33&quot;/&gt;&lt;wsp:rsid wsp:val=&quot;006A0D22&quot;/&gt;&lt;wsp:rsid wsp:val=&quot;006A0EE8&quot;/&gt;&lt;wsp:rsid wsp:val=&quot;006A10FD&quot;/&gt;&lt;wsp:rsid wsp:val=&quot;006A154A&quot;/&gt;&lt;wsp:rsid wsp:val=&quot;006A183A&quot;/&gt;&lt;wsp:rsid wsp:val=&quot;006A1BD3&quot;/&gt;&lt;wsp:rsid wsp:val=&quot;006A1F30&quot;/&gt;&lt;wsp:rsid wsp:val=&quot;006A1FCF&quot;/&gt;&lt;wsp:rsid wsp:val=&quot;006A24BD&quot;/&gt;&lt;wsp:rsid wsp:val=&quot;006A2538&quot;/&gt;&lt;wsp:rsid wsp:val=&quot;006A275F&quot;/&gt;&lt;wsp:rsid wsp:val=&quot;006A27D9&quot;/&gt;&lt;wsp:rsid wsp:val=&quot;006A2A5E&quot;/&gt;&lt;wsp:rsid wsp:val=&quot;006A2E58&quot;/&gt;&lt;wsp:rsid wsp:val=&quot;006A2E8D&quot;/&gt;&lt;wsp:rsid wsp:val=&quot;006A3080&quot;/&gt;&lt;wsp:rsid wsp:val=&quot;006A30B7&quot;/&gt;&lt;wsp:rsid wsp:val=&quot;006A3443&quot;/&gt;&lt;wsp:rsid wsp:val=&quot;006A350D&quot;/&gt;&lt;wsp:rsid wsp:val=&quot;006A376F&quot;/&gt;&lt;wsp:rsid wsp:val=&quot;006A3796&quot;/&gt;&lt;wsp:rsid wsp:val=&quot;006A37EF&quot;/&gt;&lt;wsp:rsid wsp:val=&quot;006A3D61&quot;/&gt;&lt;wsp:rsid wsp:val=&quot;006A3D77&quot;/&gt;&lt;wsp:rsid wsp:val=&quot;006A4B64&quot;/&gt;&lt;wsp:rsid wsp:val=&quot;006A4D14&quot;/&gt;&lt;wsp:rsid wsp:val=&quot;006A4E62&quot;/&gt;&lt;wsp:rsid wsp:val=&quot;006A4EB8&quot;/&gt;&lt;wsp:rsid wsp:val=&quot;006A4F4B&quot;/&gt;&lt;wsp:rsid wsp:val=&quot;006A5004&quot;/&gt;&lt;wsp:rsid wsp:val=&quot;006A53B7&quot;/&gt;&lt;wsp:rsid wsp:val=&quot;006A53F0&quot;/&gt;&lt;wsp:rsid wsp:val=&quot;006A5469&quot;/&gt;&lt;wsp:rsid wsp:val=&quot;006A58AA&quot;/&gt;&lt;wsp:rsid wsp:val=&quot;006A6045&quot;/&gt;&lt;wsp:rsid wsp:val=&quot;006A60ED&quot;/&gt;&lt;wsp:rsid wsp:val=&quot;006A68A8&quot;/&gt;&lt;wsp:rsid wsp:val=&quot;006A6A47&quot;/&gt;&lt;wsp:rsid wsp:val=&quot;006A6E30&quot;/&gt;&lt;wsp:rsid wsp:val=&quot;006A6FDC&quot;/&gt;&lt;wsp:rsid wsp:val=&quot;006A706A&quot;/&gt;&lt;wsp:rsid wsp:val=&quot;006A70D8&quot;/&gt;&lt;wsp:rsid wsp:val=&quot;006A76ED&quot;/&gt;&lt;wsp:rsid wsp:val=&quot;006A77CF&quot;/&gt;&lt;wsp:rsid wsp:val=&quot;006A7DEC&quot;/&gt;&lt;wsp:rsid wsp:val=&quot;006B02DE&quot;/&gt;&lt;wsp:rsid wsp:val=&quot;006B034F&quot;/&gt;&lt;wsp:rsid wsp:val=&quot;006B038A&quot;/&gt;&lt;wsp:rsid wsp:val=&quot;006B0F8C&quot;/&gt;&lt;wsp:rsid wsp:val=&quot;006B0FC1&quot;/&gt;&lt;wsp:rsid wsp:val=&quot;006B10BC&quot;/&gt;&lt;wsp:rsid wsp:val=&quot;006B13A5&quot;/&gt;&lt;wsp:rsid wsp:val=&quot;006B18F3&quot;/&gt;&lt;wsp:rsid wsp:val=&quot;006B1927&quot;/&gt;&lt;wsp:rsid wsp:val=&quot;006B1FBD&quot;/&gt;&lt;wsp:rsid wsp:val=&quot;006B259B&quot;/&gt;&lt;wsp:rsid wsp:val=&quot;006B2A8B&quot;/&gt;&lt;wsp:rsid wsp:val=&quot;006B2F9E&quot;/&gt;&lt;wsp:rsid wsp:val=&quot;006B322F&quot;/&gt;&lt;wsp:rsid wsp:val=&quot;006B33D4&quot;/&gt;&lt;wsp:rsid wsp:val=&quot;006B373C&quot;/&gt;&lt;wsp:rsid wsp:val=&quot;006B376E&quot;/&gt;&lt;wsp:rsid wsp:val=&quot;006B3792&quot;/&gt;&lt;wsp:rsid wsp:val=&quot;006B40BB&quot;/&gt;&lt;wsp:rsid wsp:val=&quot;006B40EE&quot;/&gt;&lt;wsp:rsid wsp:val=&quot;006B44A3&quot;/&gt;&lt;wsp:rsid wsp:val=&quot;006B474C&quot;/&gt;&lt;wsp:rsid wsp:val=&quot;006B49F4&quot;/&gt;&lt;wsp:rsid wsp:val=&quot;006B4AB7&quot;/&gt;&lt;wsp:rsid wsp:val=&quot;006B5043&quot;/&gt;&lt;wsp:rsid wsp:val=&quot;006B51AE&quot;/&gt;&lt;wsp:rsid wsp:val=&quot;006B530D&quot;/&gt;&lt;wsp:rsid wsp:val=&quot;006B53EE&quot;/&gt;&lt;wsp:rsid wsp:val=&quot;006B54D5&quot;/&gt;&lt;wsp:rsid wsp:val=&quot;006B595C&quot;/&gt;&lt;wsp:rsid wsp:val=&quot;006B5B02&quot;/&gt;&lt;wsp:rsid wsp:val=&quot;006B5B3E&quot;/&gt;&lt;wsp:rsid wsp:val=&quot;006B6138&quot;/&gt;&lt;wsp:rsid wsp:val=&quot;006B660F&quot;/&gt;&lt;wsp:rsid wsp:val=&quot;006B67A5&quot;/&gt;&lt;wsp:rsid wsp:val=&quot;006B69B9&quot;/&gt;&lt;wsp:rsid wsp:val=&quot;006B6A63&quot;/&gt;&lt;wsp:rsid wsp:val=&quot;006B6C85&quot;/&gt;&lt;wsp:rsid wsp:val=&quot;006B6ECE&quot;/&gt;&lt;wsp:rsid wsp:val=&quot;006B6F30&quot;/&gt;&lt;wsp:rsid wsp:val=&quot;006B76FD&quot;/&gt;&lt;wsp:rsid wsp:val=&quot;006B7AD4&quot;/&gt;&lt;wsp:rsid wsp:val=&quot;006C00BF&quot;/&gt;&lt;wsp:rsid wsp:val=&quot;006C0191&quot;/&gt;&lt;wsp:rsid wsp:val=&quot;006C01B1&quot;/&gt;&lt;wsp:rsid wsp:val=&quot;006C05C4&quot;/&gt;&lt;wsp:rsid wsp:val=&quot;006C062C&quot;/&gt;&lt;wsp:rsid wsp:val=&quot;006C0771&quot;/&gt;&lt;wsp:rsid wsp:val=&quot;006C1095&quot;/&gt;&lt;wsp:rsid wsp:val=&quot;006C12C6&quot;/&gt;&lt;wsp:rsid wsp:val=&quot;006C1522&quot;/&gt;&lt;wsp:rsid wsp:val=&quot;006C1ECD&quot;/&gt;&lt;wsp:rsid wsp:val=&quot;006C20A0&quot;/&gt;&lt;wsp:rsid wsp:val=&quot;006C2549&quot;/&gt;&lt;wsp:rsid wsp:val=&quot;006C254F&quot;/&gt;&lt;wsp:rsid wsp:val=&quot;006C2893&quot;/&gt;&lt;wsp:rsid wsp:val=&quot;006C2AA7&quot;/&gt;&lt;wsp:rsid wsp:val=&quot;006C2BEC&quot;/&gt;&lt;wsp:rsid wsp:val=&quot;006C33CE&quot;/&gt;&lt;wsp:rsid wsp:val=&quot;006C357C&quot;/&gt;&lt;wsp:rsid wsp:val=&quot;006C361E&quot;/&gt;&lt;wsp:rsid wsp:val=&quot;006C3ED3&quot;/&gt;&lt;wsp:rsid wsp:val=&quot;006C5141&quot;/&gt;&lt;wsp:rsid wsp:val=&quot;006C5191&quot;/&gt;&lt;wsp:rsid wsp:val=&quot;006C5F7C&quot;/&gt;&lt;wsp:rsid wsp:val=&quot;006C6093&quot;/&gt;&lt;wsp:rsid wsp:val=&quot;006C669D&quot;/&gt;&lt;wsp:rsid wsp:val=&quot;006C6EC7&quot;/&gt;&lt;wsp:rsid wsp:val=&quot;006C77A2&quot;/&gt;&lt;wsp:rsid wsp:val=&quot;006C7ABE&quot;/&gt;&lt;wsp:rsid wsp:val=&quot;006C7C3B&quot;/&gt;&lt;wsp:rsid wsp:val=&quot;006D0013&quot;/&gt;&lt;wsp:rsid wsp:val=&quot;006D081C&quot;/&gt;&lt;wsp:rsid wsp:val=&quot;006D15EF&quot;/&gt;&lt;wsp:rsid wsp:val=&quot;006D1757&quot;/&gt;&lt;wsp:rsid wsp:val=&quot;006D1C73&quot;/&gt;&lt;wsp:rsid wsp:val=&quot;006D1E4A&quot;/&gt;&lt;wsp:rsid wsp:val=&quot;006D209C&quot;/&gt;&lt;wsp:rsid wsp:val=&quot;006D226C&quot;/&gt;&lt;wsp:rsid wsp:val=&quot;006D26AD&quot;/&gt;&lt;wsp:rsid wsp:val=&quot;006D2947&quot;/&gt;&lt;wsp:rsid wsp:val=&quot;006D2A72&quot;/&gt;&lt;wsp:rsid wsp:val=&quot;006D2A7F&quot;/&gt;&lt;wsp:rsid wsp:val=&quot;006D2B78&quot;/&gt;&lt;wsp:rsid wsp:val=&quot;006D2E52&quot;/&gt;&lt;wsp:rsid wsp:val=&quot;006D36E8&quot;/&gt;&lt;wsp:rsid wsp:val=&quot;006D3E7D&quot;/&gt;&lt;wsp:rsid wsp:val=&quot;006D3F95&quot;/&gt;&lt;wsp:rsid wsp:val=&quot;006D410B&quot;/&gt;&lt;wsp:rsid wsp:val=&quot;006D43AB&quot;/&gt;&lt;wsp:rsid wsp:val=&quot;006D4695&quot;/&gt;&lt;wsp:rsid wsp:val=&quot;006D4746&quot;/&gt;&lt;wsp:rsid wsp:val=&quot;006D54A3&quot;/&gt;&lt;wsp:rsid wsp:val=&quot;006D54E8&quot;/&gt;&lt;wsp:rsid wsp:val=&quot;006D636C&quot;/&gt;&lt;wsp:rsid wsp:val=&quot;006D63D7&quot;/&gt;&lt;wsp:rsid wsp:val=&quot;006D685E&quot;/&gt;&lt;wsp:rsid wsp:val=&quot;006D68DB&quot;/&gt;&lt;wsp:rsid wsp:val=&quot;006D6A1E&quot;/&gt;&lt;wsp:rsid wsp:val=&quot;006D6C69&quot;/&gt;&lt;wsp:rsid wsp:val=&quot;006D6D66&quot;/&gt;&lt;wsp:rsid wsp:val=&quot;006D6EB7&quot;/&gt;&lt;wsp:rsid wsp:val=&quot;006D7689&quot;/&gt;&lt;wsp:rsid wsp:val=&quot;006E0634&quot;/&gt;&lt;wsp:rsid wsp:val=&quot;006E086C&quot;/&gt;&lt;wsp:rsid wsp:val=&quot;006E180D&quot;/&gt;&lt;wsp:rsid wsp:val=&quot;006E18EA&quot;/&gt;&lt;wsp:rsid wsp:val=&quot;006E1DFB&quot;/&gt;&lt;wsp:rsid wsp:val=&quot;006E1E8E&quot;/&gt;&lt;wsp:rsid wsp:val=&quot;006E26A7&quot;/&gt;&lt;wsp:rsid wsp:val=&quot;006E2832&quot;/&gt;&lt;wsp:rsid wsp:val=&quot;006E2EA0&quot;/&gt;&lt;wsp:rsid wsp:val=&quot;006E311D&quot;/&gt;&lt;wsp:rsid wsp:val=&quot;006E320C&quot;/&gt;&lt;wsp:rsid wsp:val=&quot;006E3245&quot;/&gt;&lt;wsp:rsid wsp:val=&quot;006E33A2&quot;/&gt;&lt;wsp:rsid wsp:val=&quot;006E35DA&quot;/&gt;&lt;wsp:rsid wsp:val=&quot;006E371D&quot;/&gt;&lt;wsp:rsid wsp:val=&quot;006E39D3&quot;/&gt;&lt;wsp:rsid wsp:val=&quot;006E3A49&quot;/&gt;&lt;wsp:rsid wsp:val=&quot;006E3C78&quot;/&gt;&lt;wsp:rsid wsp:val=&quot;006E41FB&quot;/&gt;&lt;wsp:rsid wsp:val=&quot;006E4295&quot;/&gt;&lt;wsp:rsid wsp:val=&quot;006E439A&quot;/&gt;&lt;wsp:rsid wsp:val=&quot;006E4844&quot;/&gt;&lt;wsp:rsid wsp:val=&quot;006E4B63&quot;/&gt;&lt;wsp:rsid wsp:val=&quot;006E4CD3&quot;/&gt;&lt;wsp:rsid wsp:val=&quot;006E4F57&quot;/&gt;&lt;wsp:rsid wsp:val=&quot;006E521E&quot;/&gt;&lt;wsp:rsid wsp:val=&quot;006E54C7&quot;/&gt;&lt;wsp:rsid wsp:val=&quot;006E58C0&quot;/&gt;&lt;wsp:rsid wsp:val=&quot;006E5A2F&quot;/&gt;&lt;wsp:rsid wsp:val=&quot;006E5A89&quot;/&gt;&lt;wsp:rsid wsp:val=&quot;006E5C7C&quot;/&gt;&lt;wsp:rsid wsp:val=&quot;006E5D25&quot;/&gt;&lt;wsp:rsid wsp:val=&quot;006E5D9B&quot;/&gt;&lt;wsp:rsid wsp:val=&quot;006E6D4F&quot;/&gt;&lt;wsp:rsid wsp:val=&quot;006E6D51&quot;/&gt;&lt;wsp:rsid wsp:val=&quot;006E6E20&quot;/&gt;&lt;wsp:rsid wsp:val=&quot;006E6E2A&quot;/&gt;&lt;wsp:rsid wsp:val=&quot;006E7567&quot;/&gt;&lt;wsp:rsid wsp:val=&quot;006F00AE&quot;/&gt;&lt;wsp:rsid wsp:val=&quot;006F07E7&quot;/&gt;&lt;wsp:rsid wsp:val=&quot;006F07E8&quot;/&gt;&lt;wsp:rsid wsp:val=&quot;006F0B29&quot;/&gt;&lt;wsp:rsid wsp:val=&quot;006F0BB2&quot;/&gt;&lt;wsp:rsid wsp:val=&quot;006F1257&quot;/&gt;&lt;wsp:rsid wsp:val=&quot;006F130F&quot;/&gt;&lt;wsp:rsid wsp:val=&quot;006F1669&quot;/&gt;&lt;wsp:rsid wsp:val=&quot;006F1828&quot;/&gt;&lt;wsp:rsid wsp:val=&quot;006F18DE&quot;/&gt;&lt;wsp:rsid wsp:val=&quot;006F1C57&quot;/&gt;&lt;wsp:rsid wsp:val=&quot;006F1E5F&quot;/&gt;&lt;wsp:rsid wsp:val=&quot;006F2839&quot;/&gt;&lt;wsp:rsid wsp:val=&quot;006F291C&quot;/&gt;&lt;wsp:rsid wsp:val=&quot;006F2D5F&quot;/&gt;&lt;wsp:rsid wsp:val=&quot;006F3637&quot;/&gt;&lt;wsp:rsid wsp:val=&quot;006F4419&quot;/&gt;&lt;wsp:rsid wsp:val=&quot;006F4495&quot;/&gt;&lt;wsp:rsid wsp:val=&quot;006F4E97&quot;/&gt;&lt;wsp:rsid wsp:val=&quot;006F5710&quot;/&gt;&lt;wsp:rsid wsp:val=&quot;006F5796&quot;/&gt;&lt;wsp:rsid wsp:val=&quot;006F5A23&quot;/&gt;&lt;wsp:rsid wsp:val=&quot;006F5D32&quot;/&gt;&lt;wsp:rsid wsp:val=&quot;006F5E6B&quot;/&gt;&lt;wsp:rsid wsp:val=&quot;006F5F7E&quot;/&gt;&lt;wsp:rsid wsp:val=&quot;006F61A7&quot;/&gt;&lt;wsp:rsid wsp:val=&quot;006F66DD&quot;/&gt;&lt;wsp:rsid wsp:val=&quot;006F6F6C&quot;/&gt;&lt;wsp:rsid wsp:val=&quot;006F74DE&quot;/&gt;&lt;wsp:rsid wsp:val=&quot;006F769C&quot;/&gt;&lt;wsp:rsid wsp:val=&quot;006F7778&quot;/&gt;&lt;wsp:rsid wsp:val=&quot;006F7CA7&quot;/&gt;&lt;wsp:rsid wsp:val=&quot;00700907&quot;/&gt;&lt;wsp:rsid wsp:val=&quot;00700C00&quot;/&gt;&lt;wsp:rsid wsp:val=&quot;00700D1A&quot;/&gt;&lt;wsp:rsid wsp:val=&quot;007013F4&quot;/&gt;&lt;wsp:rsid wsp:val=&quot;00701714&quot;/&gt;&lt;wsp:rsid wsp:val=&quot;007017F4&quot;/&gt;&lt;wsp:rsid wsp:val=&quot;00701BD4&quot;/&gt;&lt;wsp:rsid wsp:val=&quot;00701E52&quot;/&gt;&lt;wsp:rsid wsp:val=&quot;007020AC&quot;/&gt;&lt;wsp:rsid wsp:val=&quot;007027F1&quot;/&gt;&lt;wsp:rsid wsp:val=&quot;00702D57&quot;/&gt;&lt;wsp:rsid wsp:val=&quot;00702EDD&quot;/&gt;&lt;wsp:rsid wsp:val=&quot;00703226&quot;/&gt;&lt;wsp:rsid wsp:val=&quot;00703705&quot;/&gt;&lt;wsp:rsid wsp:val=&quot;0070387D&quot;/&gt;&lt;wsp:rsid wsp:val=&quot;00703A1B&quot;/&gt;&lt;wsp:rsid wsp:val=&quot;0070411E&quot;/&gt;&lt;wsp:rsid wsp:val=&quot;007042E0&quot;/&gt;&lt;wsp:rsid wsp:val=&quot;007044B9&quot;/&gt;&lt;wsp:rsid wsp:val=&quot;00704D54&quot;/&gt;&lt;wsp:rsid wsp:val=&quot;00705021&quot;/&gt;&lt;wsp:rsid wsp:val=&quot;007051F7&quot;/&gt;&lt;wsp:rsid wsp:val=&quot;00705341&quot;/&gt;&lt;wsp:rsid wsp:val=&quot;0070545F&quot;/&gt;&lt;wsp:rsid wsp:val=&quot;00705FC5&quot;/&gt;&lt;wsp:rsid wsp:val=&quot;00705FD4&quot;/&gt;&lt;wsp:rsid wsp:val=&quot;0070670F&quot;/&gt;&lt;wsp:rsid wsp:val=&quot;00707129&quot;/&gt;&lt;wsp:rsid wsp:val=&quot;007075A4&quot;/&gt;&lt;wsp:rsid wsp:val=&quot;00707623&quot;/&gt;&lt;wsp:rsid wsp:val=&quot;00707C79&quot;/&gt;&lt;wsp:rsid wsp:val=&quot;00707E25&quot;/&gt;&lt;wsp:rsid wsp:val=&quot;00707F4F&quot;/&gt;&lt;wsp:rsid wsp:val=&quot;00710A6A&quot;/&gt;&lt;wsp:rsid wsp:val=&quot;00710BE7&quot;/&gt;&lt;wsp:rsid wsp:val=&quot;00711A58&quot;/&gt;&lt;wsp:rsid wsp:val=&quot;00711BB1&quot;/&gt;&lt;wsp:rsid wsp:val=&quot;00712131&quot;/&gt;&lt;wsp:rsid wsp:val=&quot;007125C5&quot;/&gt;&lt;wsp:rsid wsp:val=&quot;007126F3&quot;/&gt;&lt;wsp:rsid wsp:val=&quot;00712CF5&quot;/&gt;&lt;wsp:rsid wsp:val=&quot;007133A4&quot;/&gt;&lt;wsp:rsid wsp:val=&quot;00713762&quot;/&gt;&lt;wsp:rsid wsp:val=&quot;00713A6C&quot;/&gt;&lt;wsp:rsid wsp:val=&quot;00714097&quot;/&gt;&lt;wsp:rsid wsp:val=&quot;007144E2&quot;/&gt;&lt;wsp:rsid wsp:val=&quot;007145A0&quot;/&gt;&lt;wsp:rsid wsp:val=&quot;00714960&quot;/&gt;&lt;wsp:rsid wsp:val=&quot;00714B14&quot;/&gt;&lt;wsp:rsid wsp:val=&quot;00714B81&quot;/&gt;&lt;wsp:rsid wsp:val=&quot;00714BC7&quot;/&gt;&lt;wsp:rsid wsp:val=&quot;00714D74&quot;/&gt;&lt;wsp:rsid wsp:val=&quot;007153E9&quot;/&gt;&lt;wsp:rsid wsp:val=&quot;007156FA&quot;/&gt;&lt;wsp:rsid wsp:val=&quot;007159BC&quot;/&gt;&lt;wsp:rsid wsp:val=&quot;007159D5&quot;/&gt;&lt;wsp:rsid wsp:val=&quot;00715DCF&quot;/&gt;&lt;wsp:rsid wsp:val=&quot;00715E2C&quot;/&gt;&lt;wsp:rsid wsp:val=&quot;00715E71&quot;/&gt;&lt;wsp:rsid wsp:val=&quot;00716358&quot;/&gt;&lt;wsp:rsid wsp:val=&quot;00716B47&quot;/&gt;&lt;wsp:rsid wsp:val=&quot;00716E9F&quot;/&gt;&lt;wsp:rsid wsp:val=&quot;007170C2&quot;/&gt;&lt;wsp:rsid wsp:val=&quot;0071733E&quot;/&gt;&lt;wsp:rsid wsp:val=&quot;00717779&quot;/&gt;&lt;wsp:rsid wsp:val=&quot;00717848&quot;/&gt;&lt;wsp:rsid wsp:val=&quot;00717D5F&quot;/&gt;&lt;wsp:rsid wsp:val=&quot;00717EFA&quot;/&gt;&lt;wsp:rsid wsp:val=&quot;00720301&quot;/&gt;&lt;wsp:rsid wsp:val=&quot;0072051C&quot;/&gt;&lt;wsp:rsid wsp:val=&quot;00720AAA&quot;/&gt;&lt;wsp:rsid wsp:val=&quot;00720D20&quot;/&gt;&lt;wsp:rsid wsp:val=&quot;00720E75&quot;/&gt;&lt;wsp:rsid wsp:val=&quot;00720ECB&quot;/&gt;&lt;wsp:rsid wsp:val=&quot;00720F71&quot;/&gt;&lt;wsp:rsid wsp:val=&quot;00721566&quot;/&gt;&lt;wsp:rsid wsp:val=&quot;00721717&quot;/&gt;&lt;wsp:rsid wsp:val=&quot;007218D9&quot;/&gt;&lt;wsp:rsid wsp:val=&quot;00721DC7&quot;/&gt;&lt;wsp:rsid wsp:val=&quot;0072220F&quot;/&gt;&lt;wsp:rsid wsp:val=&quot;00722AB5&quot;/&gt;&lt;wsp:rsid wsp:val=&quot;00722BBE&quot;/&gt;&lt;wsp:rsid wsp:val=&quot;00722C32&quot;/&gt;&lt;wsp:rsid wsp:val=&quot;00722CA8&quot;/&gt;&lt;wsp:rsid wsp:val=&quot;00723034&quot;/&gt;&lt;wsp:rsid wsp:val=&quot;007231FF&quot;/&gt;&lt;wsp:rsid wsp:val=&quot;00723360&quot;/&gt;&lt;wsp:rsid wsp:val=&quot;007234D9&quot;/&gt;&lt;wsp:rsid wsp:val=&quot;00723698&quot;/&gt;&lt;wsp:rsid wsp:val=&quot;00723858&quot;/&gt;&lt;wsp:rsid wsp:val=&quot;00723DB1&quot;/&gt;&lt;wsp:rsid wsp:val=&quot;00724343&quot;/&gt;&lt;wsp:rsid wsp:val=&quot;007247BE&quot;/&gt;&lt;wsp:rsid wsp:val=&quot;007248AD&quot;/&gt;&lt;wsp:rsid wsp:val=&quot;00724F79&quot;/&gt;&lt;wsp:rsid wsp:val=&quot;00725728&quot;/&gt;&lt;wsp:rsid wsp:val=&quot;007258DE&quot;/&gt;&lt;wsp:rsid wsp:val=&quot;00725C8F&quot;/&gt;&lt;wsp:rsid wsp:val=&quot;00725CB7&quot;/&gt;&lt;wsp:rsid wsp:val=&quot;00726540&quot;/&gt;&lt;wsp:rsid wsp:val=&quot;00726643&quot;/&gt;&lt;wsp:rsid wsp:val=&quot;00726775&quot;/&gt;&lt;wsp:rsid wsp:val=&quot;00726832&quot;/&gt;&lt;wsp:rsid wsp:val=&quot;00726C96&quot;/&gt;&lt;wsp:rsid wsp:val=&quot;00726DEE&quot;/&gt;&lt;wsp:rsid wsp:val=&quot;00726F22&quot;/&gt;&lt;wsp:rsid wsp:val=&quot;0072712D&quot;/&gt;&lt;wsp:rsid wsp:val=&quot;007276D4&quot;/&gt;&lt;wsp:rsid wsp:val=&quot;00727975&quot;/&gt;&lt;wsp:rsid wsp:val=&quot;00727D72&quot;/&gt;&lt;wsp:rsid wsp:val=&quot;00727E44&quot;/&gt;&lt;wsp:rsid wsp:val=&quot;0073045A&quot;/&gt;&lt;wsp:rsid wsp:val=&quot;00730487&quot;/&gt;&lt;wsp:rsid wsp:val=&quot;00730527&quot;/&gt;&lt;wsp:rsid wsp:val=&quot;00730CE2&quot;/&gt;&lt;wsp:rsid wsp:val=&quot;00731069&quot;/&gt;&lt;wsp:rsid wsp:val=&quot;0073158E&quot;/&gt;&lt;wsp:rsid wsp:val=&quot;007316AC&quot;/&gt;&lt;wsp:rsid wsp:val=&quot;00731AB7&quot;/&gt;&lt;wsp:rsid wsp:val=&quot;00731DBA&quot;/&gt;&lt;wsp:rsid wsp:val=&quot;00732375&quot;/&gt;&lt;wsp:rsid wsp:val=&quot;00732535&quot;/&gt;&lt;wsp:rsid wsp:val=&quot;007328C7&quot;/&gt;&lt;wsp:rsid wsp:val=&quot;00732A0B&quot;/&gt;&lt;wsp:rsid wsp:val=&quot;00732AA4&quot;/&gt;&lt;wsp:rsid wsp:val=&quot;00732D14&quot;/&gt;&lt;wsp:rsid wsp:val=&quot;00732ED4&quot;/&gt;&lt;wsp:rsid wsp:val=&quot;007333B4&quot;/&gt;&lt;wsp:rsid wsp:val=&quot;0073364D&quot;/&gt;&lt;wsp:rsid wsp:val=&quot;007336CF&quot;/&gt;&lt;wsp:rsid wsp:val=&quot;00733801&quot;/&gt;&lt;wsp:rsid wsp:val=&quot;00733804&quot;/&gt;&lt;wsp:rsid wsp:val=&quot;00733C32&quot;/&gt;&lt;wsp:rsid wsp:val=&quot;00733D0E&quot;/&gt;&lt;wsp:rsid wsp:val=&quot;00734556&quot;/&gt;&lt;wsp:rsid wsp:val=&quot;0073475A&quot;/&gt;&lt;wsp:rsid wsp:val=&quot;0073476E&quot;/&gt;&lt;wsp:rsid wsp:val=&quot;00734850&quot;/&gt;&lt;wsp:rsid wsp:val=&quot;00734ADF&quot;/&gt;&lt;wsp:rsid wsp:val=&quot;00734E89&quot;/&gt;&lt;wsp:rsid wsp:val=&quot;00734F23&quot;/&gt;&lt;wsp:rsid wsp:val=&quot;0073530E&quot;/&gt;&lt;wsp:rsid wsp:val=&quot;00735DB4&quot;/&gt;&lt;wsp:rsid wsp:val=&quot;00735DE3&quot;/&gt;&lt;wsp:rsid wsp:val=&quot;00736038&quot;/&gt;&lt;wsp:rsid wsp:val=&quot;007362F7&quot;/&gt;&lt;wsp:rsid wsp:val=&quot;0073654D&quot;/&gt;&lt;wsp:rsid wsp:val=&quot;007365A5&quot;/&gt;&lt;wsp:rsid wsp:val=&quot;007369BB&quot;/&gt;&lt;wsp:rsid wsp:val=&quot;007369C1&quot;/&gt;&lt;wsp:rsid wsp:val=&quot;007369D0&quot;/&gt;&lt;wsp:rsid wsp:val=&quot;00736A59&quot;/&gt;&lt;wsp:rsid wsp:val=&quot;0073718A&quot;/&gt;&lt;wsp:rsid wsp:val=&quot;007372BD&quot;/&gt;&lt;wsp:rsid wsp:val=&quot;007372F8&quot;/&gt;&lt;wsp:rsid wsp:val=&quot;007375D7&quot;/&gt;&lt;wsp:rsid wsp:val=&quot;007378B2&quot;/&gt;&lt;wsp:rsid wsp:val=&quot;007378FC&quot;/&gt;&lt;wsp:rsid wsp:val=&quot;00737A1C&quot;/&gt;&lt;wsp:rsid wsp:val=&quot;00737D10&quot;/&gt;&lt;wsp:rsid wsp:val=&quot;00737E00&quot;/&gt;&lt;wsp:rsid wsp:val=&quot;0074009A&quot;/&gt;&lt;wsp:rsid wsp:val=&quot;007401BD&quot;/&gt;&lt;wsp:rsid wsp:val=&quot;00740293&quot;/&gt;&lt;wsp:rsid wsp:val=&quot;00740509&quot;/&gt;&lt;wsp:rsid wsp:val=&quot;00740A70&quot;/&gt;&lt;wsp:rsid wsp:val=&quot;00740CF5&quot;/&gt;&lt;wsp:rsid wsp:val=&quot;007410A8&quot;/&gt;&lt;wsp:rsid wsp:val=&quot;0074117D&quot;/&gt;&lt;wsp:rsid wsp:val=&quot;0074170F&quot;/&gt;&lt;wsp:rsid wsp:val=&quot;007423C7&quot;/&gt;&lt;wsp:rsid wsp:val=&quot;00742573&quot;/&gt;&lt;wsp:rsid wsp:val=&quot;00742AE6&quot;/&gt;&lt;wsp:rsid wsp:val=&quot;00742F23&quot;/&gt;&lt;wsp:rsid wsp:val=&quot;00743205&quot;/&gt;&lt;wsp:rsid wsp:val=&quot;007432C3&quot;/&gt;&lt;wsp:rsid wsp:val=&quot;007436C2&quot;/&gt;&lt;wsp:rsid wsp:val=&quot;00743C1C&quot;/&gt;&lt;wsp:rsid wsp:val=&quot;00744224&quot;/&gt;&lt;wsp:rsid wsp:val=&quot;0074458F&quot;/&gt;&lt;wsp:rsid wsp:val=&quot;00744599&quot;/&gt;&lt;wsp:rsid wsp:val=&quot;0074542A&quot;/&gt;&lt;wsp:rsid wsp:val=&quot;007456B3&quot;/&gt;&lt;wsp:rsid wsp:val=&quot;00745A90&quot;/&gt;&lt;wsp:rsid wsp:val=&quot;00745BB5&quot;/&gt;&lt;wsp:rsid wsp:val=&quot;00745C45&quot;/&gt;&lt;wsp:rsid wsp:val=&quot;00745E43&quot;/&gt;&lt;wsp:rsid wsp:val=&quot;00745E84&quot;/&gt;&lt;wsp:rsid wsp:val=&quot;0074606C&quot;/&gt;&lt;wsp:rsid wsp:val=&quot;00746235&quot;/&gt;&lt;wsp:rsid wsp:val=&quot;007462D6&quot;/&gt;&lt;wsp:rsid wsp:val=&quot;0074641C&quot;/&gt;&lt;wsp:rsid wsp:val=&quot;00746441&quot;/&gt;&lt;wsp:rsid wsp:val=&quot;00746896&quot;/&gt;&lt;wsp:rsid wsp:val=&quot;0074697A&quot;/&gt;&lt;wsp:rsid wsp:val=&quot;00746AD9&quot;/&gt;&lt;wsp:rsid wsp:val=&quot;00747900&quot;/&gt;&lt;wsp:rsid wsp:val=&quot;00747BCE&quot;/&gt;&lt;wsp:rsid wsp:val=&quot;00747E96&quot;/&gt;&lt;wsp:rsid wsp:val=&quot;0075014A&quot;/&gt;&lt;wsp:rsid wsp:val=&quot;007508DC&quot;/&gt;&lt;wsp:rsid wsp:val=&quot;0075112E&quot;/&gt;&lt;wsp:rsid wsp:val=&quot;00751224&quot;/&gt;&lt;wsp:rsid wsp:val=&quot;007512C6&quot;/&gt;&lt;wsp:rsid wsp:val=&quot;00751394&quot;/&gt;&lt;wsp:rsid wsp:val=&quot;007513EF&quot;/&gt;&lt;wsp:rsid wsp:val=&quot;00751753&quot;/&gt;&lt;wsp:rsid wsp:val=&quot;00751B06&quot;/&gt;&lt;wsp:rsid wsp:val=&quot;00751C38&quot;/&gt;&lt;wsp:rsid wsp:val=&quot;00752BAE&quot;/&gt;&lt;wsp:rsid wsp:val=&quot;00752D85&quot;/&gt;&lt;wsp:rsid wsp:val=&quot;0075302E&quot;/&gt;&lt;wsp:rsid wsp:val=&quot;007536D0&quot;/&gt;&lt;wsp:rsid wsp:val=&quot;00753B06&quot;/&gt;&lt;wsp:rsid wsp:val=&quot;00753B30&quot;/&gt;&lt;wsp:rsid wsp:val=&quot;00753F1B&quot;/&gt;&lt;wsp:rsid wsp:val=&quot;00754243&quot;/&gt;&lt;wsp:rsid wsp:val=&quot;00754335&quot;/&gt;&lt;wsp:rsid wsp:val=&quot;00754F43&quot;/&gt;&lt;wsp:rsid wsp:val=&quot;00755225&quot;/&gt;&lt;wsp:rsid wsp:val=&quot;007554A3&quot;/&gt;&lt;wsp:rsid wsp:val=&quot;00755B84&quot;/&gt;&lt;wsp:rsid wsp:val=&quot;00755D24&quot;/&gt;&lt;wsp:rsid wsp:val=&quot;00756554&quot;/&gt;&lt;wsp:rsid wsp:val=&quot;00756F92&quot;/&gt;&lt;wsp:rsid wsp:val=&quot;00757024&quot;/&gt;&lt;wsp:rsid wsp:val=&quot;007571C5&quot;/&gt;&lt;wsp:rsid wsp:val=&quot;00757301&quot;/&gt;&lt;wsp:rsid wsp:val=&quot;0075733E&quot;/&gt;&lt;wsp:rsid wsp:val=&quot;00757D6C&quot;/&gt;&lt;wsp:rsid wsp:val=&quot;00757E2A&quot;/&gt;&lt;wsp:rsid wsp:val=&quot;00757E50&quot;/&gt;&lt;wsp:rsid wsp:val=&quot;0076005D&quot;/&gt;&lt;wsp:rsid wsp:val=&quot;00760420&quot;/&gt;&lt;wsp:rsid wsp:val=&quot;00760BD6&quot;/&gt;&lt;wsp:rsid wsp:val=&quot;00760BE7&quot;/&gt;&lt;wsp:rsid wsp:val=&quot;00760CE4&quot;/&gt;&lt;wsp:rsid wsp:val=&quot;00760EDD&quot;/&gt;&lt;wsp:rsid wsp:val=&quot;00761063&quot;/&gt;&lt;wsp:rsid wsp:val=&quot;00761912&quot;/&gt;&lt;wsp:rsid wsp:val=&quot;00761B07&quot;/&gt;&lt;wsp:rsid wsp:val=&quot;00761F1D&quot;/&gt;&lt;wsp:rsid wsp:val=&quot;00761FED&quot;/&gt;&lt;wsp:rsid wsp:val=&quot;0076227B&quot;/&gt;&lt;wsp:rsid wsp:val=&quot;00762318&quot;/&gt;&lt;wsp:rsid wsp:val=&quot;007623C9&quot;/&gt;&lt;wsp:rsid wsp:val=&quot;0076240E&quot;/&gt;&lt;wsp:rsid wsp:val=&quot;00762612&quot;/&gt;&lt;wsp:rsid wsp:val=&quot;00762CA7&quot;/&gt;&lt;wsp:rsid wsp:val=&quot;00762CF6&quot;/&gt;&lt;wsp:rsid wsp:val=&quot;00762ED6&quot;/&gt;&lt;wsp:rsid wsp:val=&quot;00763055&quot;/&gt;&lt;wsp:rsid wsp:val=&quot;00763252&quot;/&gt;&lt;wsp:rsid wsp:val=&quot;00763A2C&quot;/&gt;&lt;wsp:rsid wsp:val=&quot;00763B3C&quot;/&gt;&lt;wsp:rsid wsp:val=&quot;00763BC7&quot;/&gt;&lt;wsp:rsid wsp:val=&quot;00763D97&quot;/&gt;&lt;wsp:rsid wsp:val=&quot;00763F9F&quot;/&gt;&lt;wsp:rsid wsp:val=&quot;0076423F&quot;/&gt;&lt;wsp:rsid wsp:val=&quot;007643C0&quot;/&gt;&lt;wsp:rsid wsp:val=&quot;007643C5&quot;/&gt;&lt;wsp:rsid wsp:val=&quot;007646D3&quot;/&gt;&lt;wsp:rsid wsp:val=&quot;00764701&quot;/&gt;&lt;wsp:rsid wsp:val=&quot;00764862&quot;/&gt;&lt;wsp:rsid wsp:val=&quot;00764A8F&quot;/&gt;&lt;wsp:rsid wsp:val=&quot;00764B34&quot;/&gt;&lt;wsp:rsid wsp:val=&quot;00764C33&quot;/&gt;&lt;wsp:rsid wsp:val=&quot;00764D51&quot;/&gt;&lt;wsp:rsid wsp:val=&quot;00764D91&quot;/&gt;&lt;wsp:rsid wsp:val=&quot;00764DD5&quot;/&gt;&lt;wsp:rsid wsp:val=&quot;00764E3F&quot;/&gt;&lt;wsp:rsid wsp:val=&quot;00764FCE&quot;/&gt;&lt;wsp:rsid wsp:val=&quot;0076556F&quot;/&gt;&lt;wsp:rsid wsp:val=&quot;00765719&quot;/&gt;&lt;wsp:rsid wsp:val=&quot;00765832&quot;/&gt;&lt;wsp:rsid wsp:val=&quot;0076596A&quot;/&gt;&lt;wsp:rsid wsp:val=&quot;00765DBC&quot;/&gt;&lt;wsp:rsid wsp:val=&quot;0076670C&quot;/&gt;&lt;wsp:rsid wsp:val=&quot;00766EFE&quot;/&gt;&lt;wsp:rsid wsp:val=&quot;00767339&quot;/&gt;&lt;wsp:rsid wsp:val=&quot;00767E15&quot;/&gt;&lt;wsp:rsid wsp:val=&quot;00767EF4&quot;/&gt;&lt;wsp:rsid wsp:val=&quot;0077003D&quot;/&gt;&lt;wsp:rsid wsp:val=&quot;007708BC&quot;/&gt;&lt;wsp:rsid wsp:val=&quot;007712D3&quot;/&gt;&lt;wsp:rsid wsp:val=&quot;007713CB&quot;/&gt;&lt;wsp:rsid wsp:val=&quot;0077174E&quot;/&gt;&lt;wsp:rsid wsp:val=&quot;00771AE3&quot;/&gt;&lt;wsp:rsid wsp:val=&quot;00771B46&quot;/&gt;&lt;wsp:rsid wsp:val=&quot;0077205B&quot;/&gt;&lt;wsp:rsid wsp:val=&quot;007722DE&quot;/&gt;&lt;wsp:rsid wsp:val=&quot;00772770&quot;/&gt;&lt;wsp:rsid wsp:val=&quot;00772A5D&quot;/&gt;&lt;wsp:rsid wsp:val=&quot;00772B4D&quot;/&gt;&lt;wsp:rsid wsp:val=&quot;00772EF5&quot;/&gt;&lt;wsp:rsid wsp:val=&quot;0077325B&quot;/&gt;&lt;wsp:rsid wsp:val=&quot;007733FF&quot;/&gt;&lt;wsp:rsid wsp:val=&quot;0077341D&quot;/&gt;&lt;wsp:rsid wsp:val=&quot;007735EF&quot;/&gt;&lt;wsp:rsid wsp:val=&quot;0077368F&quot;/&gt;&lt;wsp:rsid wsp:val=&quot;007736B1&quot;/&gt;&lt;wsp:rsid wsp:val=&quot;007737C1&quot;/&gt;&lt;wsp:rsid wsp:val=&quot;00773CB5&quot;/&gt;&lt;wsp:rsid wsp:val=&quot;00773EE9&quot;/&gt;&lt;wsp:rsid wsp:val=&quot;00773F92&quot;/&gt;&lt;wsp:rsid wsp:val=&quot;00773FB6&quot;/&gt;&lt;wsp:rsid wsp:val=&quot;0077401E&quot;/&gt;&lt;wsp:rsid wsp:val=&quot;00774436&quot;/&gt;&lt;wsp:rsid wsp:val=&quot;00774BC0&quot;/&gt;&lt;wsp:rsid wsp:val=&quot;00774D56&quot;/&gt;&lt;wsp:rsid wsp:val=&quot;007750CC&quot;/&gt;&lt;wsp:rsid wsp:val=&quot;0077534F&quot;/&gt;&lt;wsp:rsid wsp:val=&quot;00775784&quot;/&gt;&lt;wsp:rsid wsp:val=&quot;007758D1&quot;/&gt;&lt;wsp:rsid wsp:val=&quot;00775A32&quot;/&gt;&lt;wsp:rsid wsp:val=&quot;00775AAA&quot;/&gt;&lt;wsp:rsid wsp:val=&quot;00775E17&quot;/&gt;&lt;wsp:rsid wsp:val=&quot;00775FE1&quot;/&gt;&lt;wsp:rsid wsp:val=&quot;00776037&quot;/&gt;&lt;wsp:rsid wsp:val=&quot;00776370&quot;/&gt;&lt;wsp:rsid wsp:val=&quot;007766CF&quot;/&gt;&lt;wsp:rsid wsp:val=&quot;00776D5E&quot;/&gt;&lt;wsp:rsid wsp:val=&quot;00776D66&quot;/&gt;&lt;wsp:rsid wsp:val=&quot;00777421&quot;/&gt;&lt;wsp:rsid wsp:val=&quot;007777D9&quot;/&gt;&lt;wsp:rsid wsp:val=&quot;007777EA&quot;/&gt;&lt;wsp:rsid wsp:val=&quot;007801B0&quot;/&gt;&lt;wsp:rsid wsp:val=&quot;007803DE&quot;/&gt;&lt;wsp:rsid wsp:val=&quot;00780725&quot;/&gt;&lt;wsp:rsid wsp:val=&quot;00780C90&quot;/&gt;&lt;wsp:rsid wsp:val=&quot;00780F45&quot;/&gt;&lt;wsp:rsid wsp:val=&quot;00780F93&quot;/&gt;&lt;wsp:rsid wsp:val=&quot;00781180&quot;/&gt;&lt;wsp:rsid wsp:val=&quot;007812D4&quot;/&gt;&lt;wsp:rsid wsp:val=&quot;0078134A&quot;/&gt;&lt;wsp:rsid wsp:val=&quot;00781E85&quot;/&gt;&lt;wsp:rsid wsp:val=&quot;007822F1&quot;/&gt;&lt;wsp:rsid wsp:val=&quot;007825AC&quot;/&gt;&lt;wsp:rsid wsp:val=&quot;0078282E&quot;/&gt;&lt;wsp:rsid wsp:val=&quot;0078289F&quot;/&gt;&lt;wsp:rsid wsp:val=&quot;00782E11&quot;/&gt;&lt;wsp:rsid wsp:val=&quot;0078331E&quot;/&gt;&lt;wsp:rsid wsp:val=&quot;00783528&quot;/&gt;&lt;wsp:rsid wsp:val=&quot;0078376F&quot;/&gt;&lt;wsp:rsid wsp:val=&quot;007839B8&quot;/&gt;&lt;wsp:rsid wsp:val=&quot;007847FD&quot;/&gt;&lt;wsp:rsid wsp:val=&quot;0078487F&quot;/&gt;&lt;wsp:rsid wsp:val=&quot;00784AAE&quot;/&gt;&lt;wsp:rsid wsp:val=&quot;007850AF&quot;/&gt;&lt;wsp:rsid wsp:val=&quot;0078552C&quot;/&gt;&lt;wsp:rsid wsp:val=&quot;00785862&quot;/&gt;&lt;wsp:rsid wsp:val=&quot;00785AA9&quot;/&gt;&lt;wsp:rsid wsp:val=&quot;00785AD3&quot;/&gt;&lt;wsp:rsid wsp:val=&quot;00785DA7&quot;/&gt;&lt;wsp:rsid wsp:val=&quot;00785F57&quot;/&gt;&lt;wsp:rsid wsp:val=&quot;00786231&quot;/&gt;&lt;wsp:rsid wsp:val=&quot;00786707&quot;/&gt;&lt;wsp:rsid wsp:val=&quot;00786A04&quot;/&gt;&lt;wsp:rsid wsp:val=&quot;00786BB2&quot;/&gt;&lt;wsp:rsid wsp:val=&quot;00787174&quot;/&gt;&lt;wsp:rsid wsp:val=&quot;007872C0&quot;/&gt;&lt;wsp:rsid wsp:val=&quot;00787318&quot;/&gt;&lt;wsp:rsid wsp:val=&quot;00787440&quot;/&gt;&lt;wsp:rsid wsp:val=&quot;00787935&quot;/&gt;&lt;wsp:rsid wsp:val=&quot;00787A5A&quot;/&gt;&lt;wsp:rsid wsp:val=&quot;00787E07&quot;/&gt;&lt;wsp:rsid wsp:val=&quot;007903D7&quot;/&gt;&lt;wsp:rsid wsp:val=&quot;007907DA&quot;/&gt;&lt;wsp:rsid wsp:val=&quot;00790922&quot;/&gt;&lt;wsp:rsid wsp:val=&quot;00790AD6&quot;/&gt;&lt;wsp:rsid wsp:val=&quot;00790B02&quot;/&gt;&lt;wsp:rsid wsp:val=&quot;00790E0B&quot;/&gt;&lt;wsp:rsid wsp:val=&quot;00791069&quot;/&gt;&lt;wsp:rsid wsp:val=&quot;007922A2&quot;/&gt;&lt;wsp:rsid wsp:val=&quot;00792975&quot;/&gt;&lt;wsp:rsid wsp:val=&quot;00792A32&quot;/&gt;&lt;wsp:rsid wsp:val=&quot;00792BE9&quot;/&gt;&lt;wsp:rsid wsp:val=&quot;00792C66&quot;/&gt;&lt;wsp:rsid wsp:val=&quot;00792F7E&quot;/&gt;&lt;wsp:rsid wsp:val=&quot;00792FEE&quot;/&gt;&lt;wsp:rsid wsp:val=&quot;0079373C&quot;/&gt;&lt;wsp:rsid wsp:val=&quot;00793773&quot;/&gt;&lt;wsp:rsid wsp:val=&quot;00793DA9&quot;/&gt;&lt;wsp:rsid wsp:val=&quot;00794559&quot;/&gt;&lt;wsp:rsid wsp:val=&quot;0079487B&quot;/&gt;&lt;wsp:rsid wsp:val=&quot;00794BC0&quot;/&gt;&lt;wsp:rsid wsp:val=&quot;00794BEC&quot;/&gt;&lt;wsp:rsid wsp:val=&quot;00794EF8&quot;/&gt;&lt;wsp:rsid wsp:val=&quot;00795215&quot;/&gt;&lt;wsp:rsid wsp:val=&quot;0079539F&quot;/&gt;&lt;wsp:rsid wsp:val=&quot;00795433&quot;/&gt;&lt;wsp:rsid wsp:val=&quot;0079573F&quot;/&gt;&lt;wsp:rsid wsp:val=&quot;00795EF8&quot;/&gt;&lt;wsp:rsid wsp:val=&quot;0079662D&quot;/&gt;&lt;wsp:rsid wsp:val=&quot;00796954&quot;/&gt;&lt;wsp:rsid wsp:val=&quot;007969A1&quot;/&gt;&lt;wsp:rsid wsp:val=&quot;00797587&quot;/&gt;&lt;wsp:rsid wsp:val=&quot;0079772A&quot;/&gt;&lt;wsp:rsid wsp:val=&quot;007977EE&quot;/&gt;&lt;wsp:rsid wsp:val=&quot;007A03CB&quot;/&gt;&lt;wsp:rsid wsp:val=&quot;007A046B&quot;/&gt;&lt;wsp:rsid wsp:val=&quot;007A0493&quot;/&gt;&lt;wsp:rsid wsp:val=&quot;007A0658&quot;/&gt;&lt;wsp:rsid wsp:val=&quot;007A0677&quot;/&gt;&lt;wsp:rsid wsp:val=&quot;007A19BF&quot;/&gt;&lt;wsp:rsid wsp:val=&quot;007A1CE1&quot;/&gt;&lt;wsp:rsid wsp:val=&quot;007A209B&quot;/&gt;&lt;wsp:rsid wsp:val=&quot;007A24DC&quot;/&gt;&lt;wsp:rsid wsp:val=&quot;007A29D5&quot;/&gt;&lt;wsp:rsid wsp:val=&quot;007A2AFD&quot;/&gt;&lt;wsp:rsid wsp:val=&quot;007A2E34&quot;/&gt;&lt;wsp:rsid wsp:val=&quot;007A2F54&quot;/&gt;&lt;wsp:rsid wsp:val=&quot;007A340D&quot;/&gt;&lt;wsp:rsid wsp:val=&quot;007A3481&quot;/&gt;&lt;wsp:rsid wsp:val=&quot;007A353A&quot;/&gt;&lt;wsp:rsid wsp:val=&quot;007A39E2&quot;/&gt;&lt;wsp:rsid wsp:val=&quot;007A3A60&quot;/&gt;&lt;wsp:rsid wsp:val=&quot;007A3C15&quot;/&gt;&lt;wsp:rsid wsp:val=&quot;007A4178&quot;/&gt;&lt;wsp:rsid wsp:val=&quot;007A435C&quot;/&gt;&lt;wsp:rsid wsp:val=&quot;007A586B&quot;/&gt;&lt;wsp:rsid wsp:val=&quot;007A6453&quot;/&gt;&lt;wsp:rsid wsp:val=&quot;007A677B&quot;/&gt;&lt;wsp:rsid wsp:val=&quot;007A6A0B&quot;/&gt;&lt;wsp:rsid wsp:val=&quot;007A6E31&quot;/&gt;&lt;wsp:rsid wsp:val=&quot;007A6FE8&quot;/&gt;&lt;wsp:rsid wsp:val=&quot;007A72AA&quot;/&gt;&lt;wsp:rsid wsp:val=&quot;007A72EC&quot;/&gt;&lt;wsp:rsid wsp:val=&quot;007A73A7&quot;/&gt;&lt;wsp:rsid wsp:val=&quot;007A7A17&quot;/&gt;&lt;wsp:rsid wsp:val=&quot;007A7B90&quot;/&gt;&lt;wsp:rsid wsp:val=&quot;007B019A&quot;/&gt;&lt;wsp:rsid wsp:val=&quot;007B0610&quot;/&gt;&lt;wsp:rsid wsp:val=&quot;007B07BD&quot;/&gt;&lt;wsp:rsid wsp:val=&quot;007B0814&quot;/&gt;&lt;wsp:rsid wsp:val=&quot;007B0ABE&quot;/&gt;&lt;wsp:rsid wsp:val=&quot;007B16A9&quot;/&gt;&lt;wsp:rsid wsp:val=&quot;007B211A&quot;/&gt;&lt;wsp:rsid wsp:val=&quot;007B2583&quot;/&gt;&lt;wsp:rsid wsp:val=&quot;007B275C&quot;/&gt;&lt;wsp:rsid wsp:val=&quot;007B307E&quot;/&gt;&lt;wsp:rsid wsp:val=&quot;007B33FF&quot;/&gt;&lt;wsp:rsid wsp:val=&quot;007B3610&quot;/&gt;&lt;wsp:rsid wsp:val=&quot;007B38D1&quot;/&gt;&lt;wsp:rsid wsp:val=&quot;007B3B6A&quot;/&gt;&lt;wsp:rsid wsp:val=&quot;007B3BDC&quot;/&gt;&lt;wsp:rsid wsp:val=&quot;007B3F99&quot;/&gt;&lt;wsp:rsid wsp:val=&quot;007B42E4&quot;/&gt;&lt;wsp:rsid wsp:val=&quot;007B50D5&quot;/&gt;&lt;wsp:rsid wsp:val=&quot;007B50D6&quot;/&gt;&lt;wsp:rsid wsp:val=&quot;007B5141&quot;/&gt;&lt;wsp:rsid wsp:val=&quot;007B5358&quot;/&gt;&lt;wsp:rsid wsp:val=&quot;007B54A0&quot;/&gt;&lt;wsp:rsid wsp:val=&quot;007B580B&quot;/&gt;&lt;wsp:rsid wsp:val=&quot;007B5B44&quot;/&gt;&lt;wsp:rsid wsp:val=&quot;007B5E24&quot;/&gt;&lt;wsp:rsid wsp:val=&quot;007B69CA&quot;/&gt;&lt;wsp:rsid wsp:val=&quot;007B6B46&quot;/&gt;&lt;wsp:rsid wsp:val=&quot;007B741A&quot;/&gt;&lt;wsp:rsid wsp:val=&quot;007B771F&quot;/&gt;&lt;wsp:rsid wsp:val=&quot;007B7D7F&quot;/&gt;&lt;wsp:rsid wsp:val=&quot;007B7E7D&quot;/&gt;&lt;wsp:rsid wsp:val=&quot;007B7FCB&quot;/&gt;&lt;wsp:rsid wsp:val=&quot;007C0CFB&quot;/&gt;&lt;wsp:rsid wsp:val=&quot;007C0FF4&quot;/&gt;&lt;wsp:rsid wsp:val=&quot;007C11C8&quot;/&gt;&lt;wsp:rsid wsp:val=&quot;007C1591&quot;/&gt;&lt;wsp:rsid wsp:val=&quot;007C20DB&quot;/&gt;&lt;wsp:rsid wsp:val=&quot;007C23CA&quot;/&gt;&lt;wsp:rsid wsp:val=&quot;007C29E7&quot;/&gt;&lt;wsp:rsid wsp:val=&quot;007C2ECB&quot;/&gt;&lt;wsp:rsid wsp:val=&quot;007C2EEE&quot;/&gt;&lt;wsp:rsid wsp:val=&quot;007C32BA&quot;/&gt;&lt;wsp:rsid wsp:val=&quot;007C3367&quot;/&gt;&lt;wsp:rsid wsp:val=&quot;007C364E&quot;/&gt;&lt;wsp:rsid wsp:val=&quot;007C36B1&quot;/&gt;&lt;wsp:rsid wsp:val=&quot;007C3722&quot;/&gt;&lt;wsp:rsid wsp:val=&quot;007C3747&quot;/&gt;&lt;wsp:rsid wsp:val=&quot;007C38D9&quot;/&gt;&lt;wsp:rsid wsp:val=&quot;007C3DE5&quot;/&gt;&lt;wsp:rsid wsp:val=&quot;007C4074&quot;/&gt;&lt;wsp:rsid wsp:val=&quot;007C4F5A&quot;/&gt;&lt;wsp:rsid wsp:val=&quot;007C50F4&quot;/&gt;&lt;wsp:rsid wsp:val=&quot;007C5200&quot;/&gt;&lt;wsp:rsid wsp:val=&quot;007C5581&quot;/&gt;&lt;wsp:rsid wsp:val=&quot;007C5732&quot;/&gt;&lt;wsp:rsid wsp:val=&quot;007C5A5A&quot;/&gt;&lt;wsp:rsid wsp:val=&quot;007C5DA4&quot;/&gt;&lt;wsp:rsid wsp:val=&quot;007C5DD1&quot;/&gt;&lt;wsp:rsid wsp:val=&quot;007C6326&quot;/&gt;&lt;wsp:rsid wsp:val=&quot;007C684E&quot;/&gt;&lt;wsp:rsid wsp:val=&quot;007C6C41&quot;/&gt;&lt;wsp:rsid wsp:val=&quot;007C72F0&quot;/&gt;&lt;wsp:rsid wsp:val=&quot;007C73BA&quot;/&gt;&lt;wsp:rsid wsp:val=&quot;007C7797&quot;/&gt;&lt;wsp:rsid wsp:val=&quot;007C7A6B&quot;/&gt;&lt;wsp:rsid wsp:val=&quot;007C7C0D&quot;/&gt;&lt;wsp:rsid wsp:val=&quot;007D0152&quot;/&gt;&lt;wsp:rsid wsp:val=&quot;007D0A4F&quot;/&gt;&lt;wsp:rsid wsp:val=&quot;007D0CEE&quot;/&gt;&lt;wsp:rsid wsp:val=&quot;007D0E99&quot;/&gt;&lt;wsp:rsid wsp:val=&quot;007D0EC3&quot;/&gt;&lt;wsp:rsid wsp:val=&quot;007D124F&quot;/&gt;&lt;wsp:rsid wsp:val=&quot;007D12C0&quot;/&gt;&lt;wsp:rsid wsp:val=&quot;007D150B&quot;/&gt;&lt;wsp:rsid wsp:val=&quot;007D1607&quot;/&gt;&lt;wsp:rsid wsp:val=&quot;007D1645&quot;/&gt;&lt;wsp:rsid wsp:val=&quot;007D18E0&quot;/&gt;&lt;wsp:rsid wsp:val=&quot;007D1BC1&quot;/&gt;&lt;wsp:rsid wsp:val=&quot;007D1C66&quot;/&gt;&lt;wsp:rsid wsp:val=&quot;007D1CC7&quot;/&gt;&lt;wsp:rsid wsp:val=&quot;007D1CFA&quot;/&gt;&lt;wsp:rsid wsp:val=&quot;007D1E39&quot;/&gt;&lt;wsp:rsid wsp:val=&quot;007D2240&quot;/&gt;&lt;wsp:rsid wsp:val=&quot;007D22B0&quot;/&gt;&lt;wsp:rsid wsp:val=&quot;007D2504&quot;/&gt;&lt;wsp:rsid wsp:val=&quot;007D279A&quot;/&gt;&lt;wsp:rsid wsp:val=&quot;007D2ABA&quot;/&gt;&lt;wsp:rsid wsp:val=&quot;007D2ADC&quot;/&gt;&lt;wsp:rsid wsp:val=&quot;007D2D26&quot;/&gt;&lt;wsp:rsid wsp:val=&quot;007D2EB8&quot;/&gt;&lt;wsp:rsid wsp:val=&quot;007D2EC6&quot;/&gt;&lt;wsp:rsid wsp:val=&quot;007D3264&quot;/&gt;&lt;wsp:rsid wsp:val=&quot;007D32FF&quot;/&gt;&lt;wsp:rsid wsp:val=&quot;007D375C&quot;/&gt;&lt;wsp:rsid wsp:val=&quot;007D3C9B&quot;/&gt;&lt;wsp:rsid wsp:val=&quot;007D409B&quot;/&gt;&lt;wsp:rsid wsp:val=&quot;007D41AB&quot;/&gt;&lt;wsp:rsid wsp:val=&quot;007D4587&quot;/&gt;&lt;wsp:rsid wsp:val=&quot;007D47CB&quot;/&gt;&lt;wsp:rsid wsp:val=&quot;007D4BC7&quot;/&gt;&lt;wsp:rsid wsp:val=&quot;007D4C39&quot;/&gt;&lt;wsp:rsid wsp:val=&quot;007D4D48&quot;/&gt;&lt;wsp:rsid wsp:val=&quot;007D4DA5&quot;/&gt;&lt;wsp:rsid wsp:val=&quot;007D5948&quot;/&gt;&lt;wsp:rsid wsp:val=&quot;007D5B4C&quot;/&gt;&lt;wsp:rsid wsp:val=&quot;007D5C25&quot;/&gt;&lt;wsp:rsid wsp:val=&quot;007D5D86&quot;/&gt;&lt;wsp:rsid wsp:val=&quot;007D5EA0&quot;/&gt;&lt;wsp:rsid wsp:val=&quot;007D5FDB&quot;/&gt;&lt;wsp:rsid wsp:val=&quot;007D627E&quot;/&gt;&lt;wsp:rsid wsp:val=&quot;007D62FD&quot;/&gt;&lt;wsp:rsid wsp:val=&quot;007D6494&quot;/&gt;&lt;wsp:rsid wsp:val=&quot;007D64A7&quot;/&gt;&lt;wsp:rsid wsp:val=&quot;007D6508&quot;/&gt;&lt;wsp:rsid wsp:val=&quot;007D6C21&quot;/&gt;&lt;wsp:rsid wsp:val=&quot;007D716E&quot;/&gt;&lt;wsp:rsid wsp:val=&quot;007D7ACF&quot;/&gt;&lt;wsp:rsid wsp:val=&quot;007D7BCF&quot;/&gt;&lt;wsp:rsid wsp:val=&quot;007E00E4&quot;/&gt;&lt;wsp:rsid wsp:val=&quot;007E0268&quot;/&gt;&lt;wsp:rsid wsp:val=&quot;007E060E&quot;/&gt;&lt;wsp:rsid wsp:val=&quot;007E087A&quot;/&gt;&lt;wsp:rsid wsp:val=&quot;007E0969&quot;/&gt;&lt;wsp:rsid wsp:val=&quot;007E09FA&quot;/&gt;&lt;wsp:rsid wsp:val=&quot;007E1244&quot;/&gt;&lt;wsp:rsid wsp:val=&quot;007E1A43&quot;/&gt;&lt;wsp:rsid wsp:val=&quot;007E1A52&quot;/&gt;&lt;wsp:rsid wsp:val=&quot;007E1ADE&quot;/&gt;&lt;wsp:rsid wsp:val=&quot;007E1D43&quot;/&gt;&lt;wsp:rsid wsp:val=&quot;007E1D4D&quot;/&gt;&lt;wsp:rsid wsp:val=&quot;007E2123&quot;/&gt;&lt;wsp:rsid wsp:val=&quot;007E241C&quot;/&gt;&lt;wsp:rsid wsp:val=&quot;007E2834&quot;/&gt;&lt;wsp:rsid wsp:val=&quot;007E2BC4&quot;/&gt;&lt;wsp:rsid wsp:val=&quot;007E2DA6&quot;/&gt;&lt;wsp:rsid wsp:val=&quot;007E2FA4&quot;/&gt;&lt;wsp:rsid wsp:val=&quot;007E30B9&quot;/&gt;&lt;wsp:rsid wsp:val=&quot;007E3370&quot;/&gt;&lt;wsp:rsid wsp:val=&quot;007E3593&quot;/&gt;&lt;wsp:rsid wsp:val=&quot;007E3686&quot;/&gt;&lt;wsp:rsid wsp:val=&quot;007E3EA5&quot;/&gt;&lt;wsp:rsid wsp:val=&quot;007E3F11&quot;/&gt;&lt;wsp:rsid wsp:val=&quot;007E3F9E&quot;/&gt;&lt;wsp:rsid wsp:val=&quot;007E47F7&quot;/&gt;&lt;wsp:rsid wsp:val=&quot;007E48E6&quot;/&gt;&lt;wsp:rsid wsp:val=&quot;007E4A75&quot;/&gt;&lt;wsp:rsid wsp:val=&quot;007E4A99&quot;/&gt;&lt;wsp:rsid wsp:val=&quot;007E4C83&quot;/&gt;&lt;wsp:rsid wsp:val=&quot;007E4FF9&quot;/&gt;&lt;wsp:rsid wsp:val=&quot;007E56C3&quot;/&gt;&lt;wsp:rsid wsp:val=&quot;007E5D09&quot;/&gt;&lt;wsp:rsid wsp:val=&quot;007E5D15&quot;/&gt;&lt;wsp:rsid wsp:val=&quot;007E60E4&quot;/&gt;&lt;wsp:rsid wsp:val=&quot;007E61AF&quot;/&gt;&lt;wsp:rsid wsp:val=&quot;007E61DC&quot;/&gt;&lt;wsp:rsid wsp:val=&quot;007E6348&quot;/&gt;&lt;wsp:rsid wsp:val=&quot;007E63EE&quot;/&gt;&lt;wsp:rsid wsp:val=&quot;007E64B8&quot;/&gt;&lt;wsp:rsid wsp:val=&quot;007E6716&quot;/&gt;&lt;wsp:rsid wsp:val=&quot;007E67E9&quot;/&gt;&lt;wsp:rsid wsp:val=&quot;007E6845&quot;/&gt;&lt;wsp:rsid wsp:val=&quot;007E684D&quot;/&gt;&lt;wsp:rsid wsp:val=&quot;007E6ADF&quot;/&gt;&lt;wsp:rsid wsp:val=&quot;007E6AFE&quot;/&gt;&lt;wsp:rsid wsp:val=&quot;007E6EC8&quot;/&gt;&lt;wsp:rsid wsp:val=&quot;007E710C&quot;/&gt;&lt;wsp:rsid wsp:val=&quot;007E72A0&quot;/&gt;&lt;wsp:rsid wsp:val=&quot;007E7602&quot;/&gt;&lt;wsp:rsid wsp:val=&quot;007E769B&quot;/&gt;&lt;wsp:rsid wsp:val=&quot;007E76D6&quot;/&gt;&lt;wsp:rsid wsp:val=&quot;007E775F&quot;/&gt;&lt;wsp:rsid wsp:val=&quot;007E7799&quot;/&gt;&lt;wsp:rsid wsp:val=&quot;007E7C3A&quot;/&gt;&lt;wsp:rsid wsp:val=&quot;007F0137&quot;/&gt;&lt;wsp:rsid wsp:val=&quot;007F0F44&quot;/&gt;&lt;wsp:rsid wsp:val=&quot;007F13C7&quot;/&gt;&lt;wsp:rsid wsp:val=&quot;007F13E5&quot;/&gt;&lt;wsp:rsid wsp:val=&quot;007F1C37&quot;/&gt;&lt;wsp:rsid wsp:val=&quot;007F1C87&quot;/&gt;&lt;wsp:rsid wsp:val=&quot;007F1EB8&quot;/&gt;&lt;wsp:rsid wsp:val=&quot;007F2148&quot;/&gt;&lt;wsp:rsid wsp:val=&quot;007F2178&quot;/&gt;&lt;wsp:rsid wsp:val=&quot;007F2329&quot;/&gt;&lt;wsp:rsid wsp:val=&quot;007F2475&quot;/&gt;&lt;wsp:rsid wsp:val=&quot;007F28FE&quot;/&gt;&lt;wsp:rsid wsp:val=&quot;007F2C05&quot;/&gt;&lt;wsp:rsid wsp:val=&quot;007F2F0B&quot;/&gt;&lt;wsp:rsid wsp:val=&quot;007F3061&quot;/&gt;&lt;wsp:rsid wsp:val=&quot;007F31BC&quot;/&gt;&lt;wsp:rsid wsp:val=&quot;007F34DE&quot;/&gt;&lt;wsp:rsid wsp:val=&quot;007F390A&quot;/&gt;&lt;wsp:rsid wsp:val=&quot;007F4472&quot;/&gt;&lt;wsp:rsid wsp:val=&quot;007F4B96&quot;/&gt;&lt;wsp:rsid wsp:val=&quot;007F4F74&quot;/&gt;&lt;wsp:rsid wsp:val=&quot;007F5177&quot;/&gt;&lt;wsp:rsid wsp:val=&quot;007F60E6&quot;/&gt;&lt;wsp:rsid wsp:val=&quot;007F6270&quot;/&gt;&lt;wsp:rsid wsp:val=&quot;007F6404&quot;/&gt;&lt;wsp:rsid wsp:val=&quot;007F718E&quot;/&gt;&lt;wsp:rsid wsp:val=&quot;007F771F&quot;/&gt;&lt;wsp:rsid wsp:val=&quot;007F7A4C&quot;/&gt;&lt;wsp:rsid wsp:val=&quot;008001D8&quot;/&gt;&lt;wsp:rsid wsp:val=&quot;008006A8&quot;/&gt;&lt;wsp:rsid wsp:val=&quot;00800BB8&quot;/&gt;&lt;wsp:rsid wsp:val=&quot;00800E2C&quot;/&gt;&lt;wsp:rsid wsp:val=&quot;00800F0F&quot;/&gt;&lt;wsp:rsid wsp:val=&quot;00801002&quot;/&gt;&lt;wsp:rsid wsp:val=&quot;00802450&quot;/&gt;&lt;wsp:rsid wsp:val=&quot;008025B5&quot;/&gt;&lt;wsp:rsid wsp:val=&quot;0080274C&quot;/&gt;&lt;wsp:rsid wsp:val=&quot;00802CB7&quot;/&gt;&lt;wsp:rsid wsp:val=&quot;00802CDF&quot;/&gt;&lt;wsp:rsid wsp:val=&quot;00802E4A&quot;/&gt;&lt;wsp:rsid wsp:val=&quot;00802EE9&quot;/&gt;&lt;wsp:rsid wsp:val=&quot;00803A2E&quot;/&gt;&lt;wsp:rsid wsp:val=&quot;00803FF4&quot;/&gt;&lt;wsp:rsid wsp:val=&quot;0080414C&quot;/&gt;&lt;wsp:rsid wsp:val=&quot;008041B4&quot;/&gt;&lt;wsp:rsid wsp:val=&quot;008043C2&quot;/&gt;&lt;wsp:rsid wsp:val=&quot;00804428&quot;/&gt;&lt;wsp:rsid wsp:val=&quot;00804761&quot;/&gt;&lt;wsp:rsid wsp:val=&quot;008047A2&quot;/&gt;&lt;wsp:rsid wsp:val=&quot;00804A49&quot;/&gt;&lt;wsp:rsid wsp:val=&quot;00804C46&quot;/&gt;&lt;wsp:rsid wsp:val=&quot;008050C6&quot;/&gt;&lt;wsp:rsid wsp:val=&quot;0080576A&quot;/&gt;&lt;wsp:rsid wsp:val=&quot;00805848&quot;/&gt;&lt;wsp:rsid wsp:val=&quot;00806065&quot;/&gt;&lt;wsp:rsid wsp:val=&quot;00806A5A&quot;/&gt;&lt;wsp:rsid wsp:val=&quot;008071B3&quot;/&gt;&lt;wsp:rsid wsp:val=&quot;00807212&quot;/&gt;&lt;wsp:rsid wsp:val=&quot;0080760F&quot;/&gt;&lt;wsp:rsid wsp:val=&quot;00807880&quot;/&gt;&lt;wsp:rsid wsp:val=&quot;00807C26&quot;/&gt;&lt;wsp:rsid wsp:val=&quot;00807F63&quot;/&gt;&lt;wsp:rsid wsp:val=&quot;00810315&quot;/&gt;&lt;wsp:rsid wsp:val=&quot;00810398&quot;/&gt;&lt;wsp:rsid wsp:val=&quot;00810414&quot;/&gt;&lt;wsp:rsid wsp:val=&quot;00810708&quot;/&gt;&lt;wsp:rsid wsp:val=&quot;008108F0&quot;/&gt;&lt;wsp:rsid wsp:val=&quot;008109F5&quot;/&gt;&lt;wsp:rsid wsp:val=&quot;00810C6B&quot;/&gt;&lt;wsp:rsid wsp:val=&quot;00811081&quot;/&gt;&lt;wsp:rsid wsp:val=&quot;008110E1&quot;/&gt;&lt;wsp:rsid wsp:val=&quot;00811601&quot;/&gt;&lt;wsp:rsid wsp:val=&quot;00811852&quot;/&gt;&lt;wsp:rsid wsp:val=&quot;00811902&quot;/&gt;&lt;wsp:rsid wsp:val=&quot;00811A43&quot;/&gt;&lt;wsp:rsid wsp:val=&quot;00811FE4&quot;/&gt;&lt;wsp:rsid wsp:val=&quot;00812170&quot;/&gt;&lt;wsp:rsid wsp:val=&quot;0081258B&quot;/&gt;&lt;wsp:rsid wsp:val=&quot;00812BBB&quot;/&gt;&lt;wsp:rsid wsp:val=&quot;00812C46&quot;/&gt;&lt;wsp:rsid wsp:val=&quot;00812CD9&quot;/&gt;&lt;wsp:rsid wsp:val=&quot;008132A5&quot;/&gt;&lt;wsp:rsid wsp:val=&quot;00813330&quot;/&gt;&lt;wsp:rsid wsp:val=&quot;00813361&quot;/&gt;&lt;wsp:rsid wsp:val=&quot;008134AA&quot;/&gt;&lt;wsp:rsid wsp:val=&quot;008137F2&quot;/&gt;&lt;wsp:rsid wsp:val=&quot;00813849&quot;/&gt;&lt;wsp:rsid wsp:val=&quot;00814082&quot;/&gt;&lt;wsp:rsid wsp:val=&quot;0081486F&quot;/&gt;&lt;wsp:rsid wsp:val=&quot;00814B3B&quot;/&gt;&lt;wsp:rsid wsp:val=&quot;00814B61&quot;/&gt;&lt;wsp:rsid wsp:val=&quot;00815174&quot;/&gt;&lt;wsp:rsid wsp:val=&quot;008155F9&quot;/&gt;&lt;wsp:rsid wsp:val=&quot;008159A1&quot;/&gt;&lt;wsp:rsid wsp:val=&quot;00815B37&quot;/&gt;&lt;wsp:rsid wsp:val=&quot;00815EA7&quot;/&gt;&lt;wsp:rsid wsp:val=&quot;00815EBD&quot;/&gt;&lt;wsp:rsid wsp:val=&quot;008162FE&quot;/&gt;&lt;wsp:rsid wsp:val=&quot;00816398&quot;/&gt;&lt;wsp:rsid wsp:val=&quot;0081654E&quot;/&gt;&lt;wsp:rsid wsp:val=&quot;00816C1E&quot;/&gt;&lt;wsp:rsid wsp:val=&quot;00816C46&quot;/&gt;&lt;wsp:rsid wsp:val=&quot;00816D56&quot;/&gt;&lt;wsp:rsid wsp:val=&quot;008171AB&quot;/&gt;&lt;wsp:rsid wsp:val=&quot;008172B0&quot;/&gt;&lt;wsp:rsid wsp:val=&quot;00817387&quot;/&gt;&lt;wsp:rsid wsp:val=&quot;0081797F&quot;/&gt;&lt;wsp:rsid wsp:val=&quot;008200DC&quot;/&gt;&lt;wsp:rsid wsp:val=&quot;008203C2&quot;/&gt;&lt;wsp:rsid wsp:val=&quot;00821293&quot;/&gt;&lt;wsp:rsid wsp:val=&quot;00821807&quot;/&gt;&lt;wsp:rsid wsp:val=&quot;00821895&quot;/&gt;&lt;wsp:rsid wsp:val=&quot;00821A6B&quot;/&gt;&lt;wsp:rsid wsp:val=&quot;00821CE2&quot;/&gt;&lt;wsp:rsid wsp:val=&quot;008220BB&quot;/&gt;&lt;wsp:rsid wsp:val=&quot;00822539&quot;/&gt;&lt;wsp:rsid wsp:val=&quot;008234B3&quot;/&gt;&lt;wsp:rsid wsp:val=&quot;00823566&quot;/&gt;&lt;wsp:rsid wsp:val=&quot;00823B15&quot;/&gt;&lt;wsp:rsid wsp:val=&quot;00824561&quot;/&gt;&lt;wsp:rsid wsp:val=&quot;0082502E&quot;/&gt;&lt;wsp:rsid wsp:val=&quot;008251CA&quot;/&gt;&lt;wsp:rsid wsp:val=&quot;008253C6&quot;/&gt;&lt;wsp:rsid wsp:val=&quot;008253F0&quot;/&gt;&lt;wsp:rsid wsp:val=&quot;008256F2&quot;/&gt;&lt;wsp:rsid wsp:val=&quot;00825F83&quot;/&gt;&lt;wsp:rsid wsp:val=&quot;0082612E&quot;/&gt;&lt;wsp:rsid wsp:val=&quot;008262C5&quot;/&gt;&lt;wsp:rsid wsp:val=&quot;00826510&quot;/&gt;&lt;wsp:rsid wsp:val=&quot;0082706E&quot;/&gt;&lt;wsp:rsid wsp:val=&quot;0082759B&quot;/&gt;&lt;wsp:rsid wsp:val=&quot;00827BCA&quot;/&gt;&lt;wsp:rsid wsp:val=&quot;00827DAD&quot;/&gt;&lt;wsp:rsid wsp:val=&quot;00827F05&quot;/&gt;&lt;wsp:rsid wsp:val=&quot;00827F6D&quot;/&gt;&lt;wsp:rsid wsp:val=&quot;0083080E&quot;/&gt;&lt;wsp:rsid wsp:val=&quot;0083086C&quot;/&gt;&lt;wsp:rsid wsp:val=&quot;00830CF4&quot;/&gt;&lt;wsp:rsid wsp:val=&quot;00830DAF&quot;/&gt;&lt;wsp:rsid wsp:val=&quot;00830F63&quot;/&gt;&lt;wsp:rsid wsp:val=&quot;00830F77&quot;/&gt;&lt;wsp:rsid wsp:val=&quot;008311D9&quot;/&gt;&lt;wsp:rsid wsp:val=&quot;00831486&quot;/&gt;&lt;wsp:rsid wsp:val=&quot;00831AC1&quot;/&gt;&lt;wsp:rsid wsp:val=&quot;00831F2E&quot;/&gt;&lt;wsp:rsid wsp:val=&quot;008325A4&quot;/&gt;&lt;wsp:rsid wsp:val=&quot;00832ADC&quot;/&gt;&lt;wsp:rsid wsp:val=&quot;00832E81&quot;/&gt;&lt;wsp:rsid wsp:val=&quot;00833A63&quot;/&gt;&lt;wsp:rsid wsp:val=&quot;00833BF2&quot;/&gt;&lt;wsp:rsid wsp:val=&quot;00833D11&quot;/&gt;&lt;wsp:rsid wsp:val=&quot;00833D69&quot;/&gt;&lt;wsp:rsid wsp:val=&quot;00833F52&quot;/&gt;&lt;wsp:rsid wsp:val=&quot;00834120&quot;/&gt;&lt;wsp:rsid wsp:val=&quot;00834185&quot;/&gt;&lt;wsp:rsid wsp:val=&quot;00834541&quot;/&gt;&lt;wsp:rsid wsp:val=&quot;00834920&quot;/&gt;&lt;wsp:rsid wsp:val=&quot;008349E6&quot;/&gt;&lt;wsp:rsid wsp:val=&quot;00834C64&quot;/&gt;&lt;wsp:rsid wsp:val=&quot;00834ECA&quot;/&gt;&lt;wsp:rsid wsp:val=&quot;00834ED1&quot;/&gt;&lt;wsp:rsid wsp:val=&quot;00834EE9&quot;/&gt;&lt;wsp:rsid wsp:val=&quot;00835031&quot;/&gt;&lt;wsp:rsid wsp:val=&quot;008354B6&quot;/&gt;&lt;wsp:rsid wsp:val=&quot;00835797&quot;/&gt;&lt;wsp:rsid wsp:val=&quot;00835A24&quot;/&gt;&lt;wsp:rsid wsp:val=&quot;00835B9C&quot;/&gt;&lt;wsp:rsid wsp:val=&quot;00835BEA&quot;/&gt;&lt;wsp:rsid wsp:val=&quot;00835C42&quot;/&gt;&lt;wsp:rsid wsp:val=&quot;00836133&quot;/&gt;&lt;wsp:rsid wsp:val=&quot;0083635A&quot;/&gt;&lt;wsp:rsid wsp:val=&quot;008365CB&quot;/&gt;&lt;wsp:rsid wsp:val=&quot;00836C7C&quot;/&gt;&lt;wsp:rsid wsp:val=&quot;00836DB2&quot;/&gt;&lt;wsp:rsid wsp:val=&quot;00836F53&quot;/&gt;&lt;wsp:rsid wsp:val=&quot;00837197&quot;/&gt;&lt;wsp:rsid wsp:val=&quot;008375F6&quot;/&gt;&lt;wsp:rsid wsp:val=&quot;008377FE&quot;/&gt;&lt;wsp:rsid wsp:val=&quot;00837A1D&quot;/&gt;&lt;wsp:rsid wsp:val=&quot;00837D64&quot;/&gt;&lt;wsp:rsid wsp:val=&quot;00837E77&quot;/&gt;&lt;wsp:rsid wsp:val=&quot;008400EC&quot;/&gt;&lt;wsp:rsid wsp:val=&quot;0084034A&quot;/&gt;&lt;wsp:rsid wsp:val=&quot;00840447&quot;/&gt;&lt;wsp:rsid wsp:val=&quot;0084099B&quot;/&gt;&lt;wsp:rsid wsp:val=&quot;00840F5A&quot;/&gt;&lt;wsp:rsid wsp:val=&quot;00840FC2&quot;/&gt;&lt;wsp:rsid wsp:val=&quot;0084150B&quot;/&gt;&lt;wsp:rsid wsp:val=&quot;0084178A&quot;/&gt;&lt;wsp:rsid wsp:val=&quot;00841F2F&quot;/&gt;&lt;wsp:rsid wsp:val=&quot;00841F32&quot;/&gt;&lt;wsp:rsid wsp:val=&quot;00841FD5&quot;/&gt;&lt;wsp:rsid wsp:val=&quot;0084207E&quot;/&gt;&lt;wsp:rsid wsp:val=&quot;00843913&quot;/&gt;&lt;wsp:rsid wsp:val=&quot;00843B1E&quot;/&gt;&lt;wsp:rsid wsp:val=&quot;00843B27&quot;/&gt;&lt;wsp:rsid wsp:val=&quot;00844103&quot;/&gt;&lt;wsp:rsid wsp:val=&quot;008441EA&quot;/&gt;&lt;wsp:rsid wsp:val=&quot;00844794&quot;/&gt;&lt;wsp:rsid wsp:val=&quot;008447E6&quot;/&gt;&lt;wsp:rsid wsp:val=&quot;0084482C&quot;/&gt;&lt;wsp:rsid wsp:val=&quot;00845048&quot;/&gt;&lt;wsp:rsid wsp:val=&quot;008452FB&quot;/&gt;&lt;wsp:rsid wsp:val=&quot;008457C9&quot;/&gt;&lt;wsp:rsid wsp:val=&quot;00845898&quot;/&gt;&lt;wsp:rsid wsp:val=&quot;00845C8D&quot;/&gt;&lt;wsp:rsid wsp:val=&quot;00845F37&quot;/&gt;&lt;wsp:rsid wsp:val=&quot;0084642F&quot;/&gt;&lt;wsp:rsid wsp:val=&quot;00846458&quot;/&gt;&lt;wsp:rsid wsp:val=&quot;008465F4&quot;/&gt;&lt;wsp:rsid wsp:val=&quot;00846A80&quot;/&gt;&lt;wsp:rsid wsp:val=&quot;00847162&quot;/&gt;&lt;wsp:rsid wsp:val=&quot;008472BD&quot;/&gt;&lt;wsp:rsid wsp:val=&quot;008473E4&quot;/&gt;&lt;wsp:rsid wsp:val=&quot;008477EC&quot;/&gt;&lt;wsp:rsid wsp:val=&quot;008479D2&quot;/&gt;&lt;wsp:rsid wsp:val=&quot;00847D45&quot;/&gt;&lt;wsp:rsid wsp:val=&quot;00847DFB&quot;/&gt;&lt;wsp:rsid wsp:val=&quot;00847E31&quot;/&gt;&lt;wsp:rsid wsp:val=&quot;00850BAB&quot;/&gt;&lt;wsp:rsid wsp:val=&quot;00851693&quot;/&gt;&lt;wsp:rsid wsp:val=&quot;0085176F&quot;/&gt;&lt;wsp:rsid wsp:val=&quot;0085195C&quot;/&gt;&lt;wsp:rsid wsp:val=&quot;00851F11&quot;/&gt;&lt;wsp:rsid wsp:val=&quot;008521E1&quot;/&gt;&lt;wsp:rsid wsp:val=&quot;0085225F&quot;/&gt;&lt;wsp:rsid wsp:val=&quot;00852400&quot;/&gt;&lt;wsp:rsid wsp:val=&quot;00852D44&quot;/&gt;&lt;wsp:rsid wsp:val=&quot;008530EB&quot;/&gt;&lt;wsp:rsid wsp:val=&quot;0085337D&quot;/&gt;&lt;wsp:rsid wsp:val=&quot;008533E2&quot;/&gt;&lt;wsp:rsid wsp:val=&quot;0085363E&quot;/&gt;&lt;wsp:rsid wsp:val=&quot;00853EC8&quot;/&gt;&lt;wsp:rsid wsp:val=&quot;00853EDE&quot;/&gt;&lt;wsp:rsid wsp:val=&quot;0085402E&quot;/&gt;&lt;wsp:rsid wsp:val=&quot;008541BF&quot;/&gt;&lt;wsp:rsid wsp:val=&quot;008545D3&quot;/&gt;&lt;wsp:rsid wsp:val=&quot;00854628&quot;/&gt;&lt;wsp:rsid wsp:val=&quot;008547C4&quot;/&gt;&lt;wsp:rsid wsp:val=&quot;00854A4F&quot;/&gt;&lt;wsp:rsid wsp:val=&quot;00854D45&quot;/&gt;&lt;wsp:rsid wsp:val=&quot;00854F38&quot;/&gt;&lt;wsp:rsid wsp:val=&quot;00855083&quot;/&gt;&lt;wsp:rsid wsp:val=&quot;00855EDE&quot;/&gt;&lt;wsp:rsid wsp:val=&quot;00855F9C&quot;/&gt;&lt;wsp:rsid wsp:val=&quot;00856487&quot;/&gt;&lt;wsp:rsid wsp:val=&quot;0085684E&quot;/&gt;&lt;wsp:rsid wsp:val=&quot;00856EBC&quot;/&gt;&lt;wsp:rsid wsp:val=&quot;00857644&quot;/&gt;&lt;wsp:rsid wsp:val=&quot;00857B5D&quot;/&gt;&lt;wsp:rsid wsp:val=&quot;00857BD4&quot;/&gt;&lt;wsp:rsid wsp:val=&quot;00857C3A&quot;/&gt;&lt;wsp:rsid wsp:val=&quot;00857F77&quot;/&gt;&lt;wsp:rsid wsp:val=&quot;00860617&quot;/&gt;&lt;wsp:rsid wsp:val=&quot;008606ED&quot;/&gt;&lt;wsp:rsid wsp:val=&quot;0086099B&quot;/&gt;&lt;wsp:rsid wsp:val=&quot;00860CB8&quot;/&gt;&lt;wsp:rsid wsp:val=&quot;00860E78&quot;/&gt;&lt;wsp:rsid wsp:val=&quot;00860F42&quot;/&gt;&lt;wsp:rsid wsp:val=&quot;0086129F&quot;/&gt;&lt;wsp:rsid wsp:val=&quot;00861D60&quot;/&gt;&lt;wsp:rsid wsp:val=&quot;0086286D&quot;/&gt;&lt;wsp:rsid wsp:val=&quot;0086299E&quot;/&gt;&lt;wsp:rsid wsp:val=&quot;00862A79&quot;/&gt;&lt;wsp:rsid wsp:val=&quot;00862B26&quot;/&gt;&lt;wsp:rsid wsp:val=&quot;00862DF6&quot;/&gt;&lt;wsp:rsid wsp:val=&quot;0086306A&quot;/&gt;&lt;wsp:rsid wsp:val=&quot;0086392F&quot;/&gt;&lt;wsp:rsid wsp:val=&quot;00863A18&quot;/&gt;&lt;wsp:rsid wsp:val=&quot;00863A9C&quot;/&gt;&lt;wsp:rsid wsp:val=&quot;00863AAB&quot;/&gt;&lt;wsp:rsid wsp:val=&quot;00863B3E&quot;/&gt;&lt;wsp:rsid wsp:val=&quot;00863BCA&quot;/&gt;&lt;wsp:rsid wsp:val=&quot;00863C5D&quot;/&gt;&lt;wsp:rsid wsp:val=&quot;00864B9C&quot;/&gt;&lt;wsp:rsid wsp:val=&quot;00864DD5&quot;/&gt;&lt;wsp:rsid wsp:val=&quot;00864E60&quot;/&gt;&lt;wsp:rsid wsp:val=&quot;008651C2&quot;/&gt;&lt;wsp:rsid wsp:val=&quot;008656B8&quot;/&gt;&lt;wsp:rsid wsp:val=&quot;0086572F&quot;/&gt;&lt;wsp:rsid wsp:val=&quot;00865818&quot;/&gt;&lt;wsp:rsid wsp:val=&quot;0086582D&quot;/&gt;&lt;wsp:rsid wsp:val=&quot;00865D23&quot;/&gt;&lt;wsp:rsid wsp:val=&quot;00866052&quot;/&gt;&lt;wsp:rsid wsp:val=&quot;00866268&quot;/&gt;&lt;wsp:rsid wsp:val=&quot;008668B7&quot;/&gt;&lt;wsp:rsid wsp:val=&quot;00866EEA&quot;/&gt;&lt;wsp:rsid wsp:val=&quot;0086727A&quot;/&gt;&lt;wsp:rsid wsp:val=&quot;00867798&quot;/&gt;&lt;wsp:rsid wsp:val=&quot;008677CD&quot;/&gt;&lt;wsp:rsid wsp:val=&quot;00867A65&quot;/&gt;&lt;wsp:rsid wsp:val=&quot;00867C5A&quot;/&gt;&lt;wsp:rsid wsp:val=&quot;00867CB4&quot;/&gt;&lt;wsp:rsid wsp:val=&quot;00867CC3&quot;/&gt;&lt;wsp:rsid wsp:val=&quot;00867D03&quot;/&gt;&lt;wsp:rsid wsp:val=&quot;00867D35&quot;/&gt;&lt;wsp:rsid wsp:val=&quot;0087007F&quot;/&gt;&lt;wsp:rsid wsp:val=&quot;0087015A&quot;/&gt;&lt;wsp:rsid wsp:val=&quot;00870441&quot;/&gt;&lt;wsp:rsid wsp:val=&quot;008705CF&quot;/&gt;&lt;wsp:rsid wsp:val=&quot;00870F38&quot;/&gt;&lt;wsp:rsid wsp:val=&quot;00871074&quot;/&gt;&lt;wsp:rsid wsp:val=&quot;00871C8C&quot;/&gt;&lt;wsp:rsid wsp:val=&quot;008720CB&quot;/&gt;&lt;wsp:rsid wsp:val=&quot;008726A9&quot;/&gt;&lt;wsp:rsid wsp:val=&quot;00872787&quot;/&gt;&lt;wsp:rsid wsp:val=&quot;008729D0&quot;/&gt;&lt;wsp:rsid wsp:val=&quot;00872C40&quot;/&gt;&lt;wsp:rsid wsp:val=&quot;00872D7F&quot;/&gt;&lt;wsp:rsid wsp:val=&quot;00872DB3&quot;/&gt;&lt;wsp:rsid wsp:val=&quot;008736C3&quot;/&gt;&lt;wsp:rsid wsp:val=&quot;0087390D&quot;/&gt;&lt;wsp:rsid wsp:val=&quot;00873CBA&quot;/&gt;&lt;wsp:rsid wsp:val=&quot;00874008&quot;/&gt;&lt;wsp:rsid wsp:val=&quot;008740A4&quot;/&gt;&lt;wsp:rsid wsp:val=&quot;00874188&quot;/&gt;&lt;wsp:rsid wsp:val=&quot;0087486B&quot;/&gt;&lt;wsp:rsid wsp:val=&quot;00875314&quot;/&gt;&lt;wsp:rsid wsp:val=&quot;0087532C&quot;/&gt;&lt;wsp:rsid wsp:val=&quot;00875357&quot;/&gt;&lt;wsp:rsid wsp:val=&quot;00875535&quot;/&gt;&lt;wsp:rsid wsp:val=&quot;00875647&quot;/&gt;&lt;wsp:rsid wsp:val=&quot;00875C02&quot;/&gt;&lt;wsp:rsid wsp:val=&quot;00875C95&quot;/&gt;&lt;wsp:rsid wsp:val=&quot;0087627E&quot;/&gt;&lt;wsp:rsid wsp:val=&quot;00876323&quot;/&gt;&lt;wsp:rsid wsp:val=&quot;00876E08&quot;/&gt;&lt;wsp:rsid wsp:val=&quot;008771C4&quot;/&gt;&lt;wsp:rsid wsp:val=&quot;008771E1&quot;/&gt;&lt;wsp:rsid wsp:val=&quot;008772EF&quot;/&gt;&lt;wsp:rsid wsp:val=&quot;00877482&quot;/&gt;&lt;wsp:rsid wsp:val=&quot;0087793A&quot;/&gt;&lt;wsp:rsid wsp:val=&quot;00877A42&quot;/&gt;&lt;wsp:rsid wsp:val=&quot;00877CCA&quot;/&gt;&lt;wsp:rsid wsp:val=&quot;00877E26&quot;/&gt;&lt;wsp:rsid wsp:val=&quot;00877F97&quot;/&gt;&lt;wsp:rsid wsp:val=&quot;00880187&quot;/&gt;&lt;wsp:rsid wsp:val=&quot;008807B2&quot;/&gt;&lt;wsp:rsid wsp:val=&quot;00880B0F&quot;/&gt;&lt;wsp:rsid wsp:val=&quot;00880B38&quot;/&gt;&lt;wsp:rsid wsp:val=&quot;008810ED&quot;/&gt;&lt;wsp:rsid wsp:val=&quot;0088155F&quot;/&gt;&lt;wsp:rsid wsp:val=&quot;00881959&quot;/&gt;&lt;wsp:rsid wsp:val=&quot;00881ABE&quot;/&gt;&lt;wsp:rsid wsp:val=&quot;00881C47&quot;/&gt;&lt;wsp:rsid wsp:val=&quot;00881FA6&quot;/&gt;&lt;wsp:rsid wsp:val=&quot;00881FC5&quot;/&gt;&lt;wsp:rsid wsp:val=&quot;008827B5&quot;/&gt;&lt;wsp:rsid wsp:val=&quot;00882E0E&quot;/&gt;&lt;wsp:rsid wsp:val=&quot;00883479&quot;/&gt;&lt;wsp:rsid wsp:val=&quot;00883601&quot;/&gt;&lt;wsp:rsid wsp:val=&quot;00884438&quot;/&gt;&lt;wsp:rsid wsp:val=&quot;008845D2&quot;/&gt;&lt;wsp:rsid wsp:val=&quot;00884689&quot;/&gt;&lt;wsp:rsid wsp:val=&quot;00884986&quot;/&gt;&lt;wsp:rsid wsp:val=&quot;00884E3A&quot;/&gt;&lt;wsp:rsid wsp:val=&quot;00884F66&quot;/&gt;&lt;wsp:rsid wsp:val=&quot;00885945&quot;/&gt;&lt;wsp:rsid wsp:val=&quot;00886031&quot;/&gt;&lt;wsp:rsid wsp:val=&quot;00886287&quot;/&gt;&lt;wsp:rsid wsp:val=&quot;008865EF&quot;/&gt;&lt;wsp:rsid wsp:val=&quot;00886926&quot;/&gt;&lt;wsp:rsid wsp:val=&quot;008869CD&quot;/&gt;&lt;wsp:rsid wsp:val=&quot;00886C82&quot;/&gt;&lt;wsp:rsid wsp:val=&quot;00886CA9&quot;/&gt;&lt;wsp:rsid wsp:val=&quot;00886F3F&quot;/&gt;&lt;wsp:rsid wsp:val=&quot;00887159&quot;/&gt;&lt;wsp:rsid wsp:val=&quot;008871E3&quot;/&gt;&lt;wsp:rsid wsp:val=&quot;0088732A&quot;/&gt;&lt;wsp:rsid wsp:val=&quot;008876C3&quot;/&gt;&lt;wsp:rsid wsp:val=&quot;0088771E&quot;/&gt;&lt;wsp:rsid wsp:val=&quot;00887E0A&quot;/&gt;&lt;wsp:rsid wsp:val=&quot;00887F79&quot;/&gt;&lt;wsp:rsid wsp:val=&quot;00890178&quot;/&gt;&lt;wsp:rsid wsp:val=&quot;0089018B&quot;/&gt;&lt;wsp:rsid wsp:val=&quot;008908F5&quot;/&gt;&lt;wsp:rsid wsp:val=&quot;00890907&quot;/&gt;&lt;wsp:rsid wsp:val=&quot;00890DFA&quot;/&gt;&lt;wsp:rsid wsp:val=&quot;00890F78&quot;/&gt;&lt;wsp:rsid wsp:val=&quot;0089120C&quot;/&gt;&lt;wsp:rsid wsp:val=&quot;008912E6&quot;/&gt;&lt;wsp:rsid wsp:val=&quot;0089138D&quot;/&gt;&lt;wsp:rsid wsp:val=&quot;00891863&quot;/&gt;&lt;wsp:rsid wsp:val=&quot;00891FAF&quot;/&gt;&lt;wsp:rsid wsp:val=&quot;008925B1&quot;/&gt;&lt;wsp:rsid wsp:val=&quot;0089275F&quot;/&gt;&lt;wsp:rsid wsp:val=&quot;00892A3B&quot;/&gt;&lt;wsp:rsid wsp:val=&quot;00892CA5&quot;/&gt;&lt;wsp:rsid wsp:val=&quot;00892E00&quot;/&gt;&lt;wsp:rsid wsp:val=&quot;00892E48&quot;/&gt;&lt;wsp:rsid wsp:val=&quot;00892E84&quot;/&gt;&lt;wsp:rsid wsp:val=&quot;0089333C&quot;/&gt;&lt;wsp:rsid wsp:val=&quot;00893479&quot;/&gt;&lt;wsp:rsid wsp:val=&quot;00893902&quot;/&gt;&lt;wsp:rsid wsp:val=&quot;00893A12&quot;/&gt;&lt;wsp:rsid wsp:val=&quot;00894712&quot;/&gt;&lt;wsp:rsid wsp:val=&quot;00894888&quot;/&gt;&lt;wsp:rsid wsp:val=&quot;008949DC&quot;/&gt;&lt;wsp:rsid wsp:val=&quot;00894D38&quot;/&gt;&lt;wsp:rsid wsp:val=&quot;00894EB0&quot;/&gt;&lt;wsp:rsid wsp:val=&quot;008950DA&quot;/&gt;&lt;wsp:rsid wsp:val=&quot;00895431&quot;/&gt;&lt;wsp:rsid wsp:val=&quot;00896177&quot;/&gt;&lt;wsp:rsid wsp:val=&quot;0089699E&quot;/&gt;&lt;wsp:rsid wsp:val=&quot;00896A7F&quot;/&gt;&lt;wsp:rsid wsp:val=&quot;00897169&quot;/&gt;&lt;wsp:rsid wsp:val=&quot;00897285&quot;/&gt;&lt;wsp:rsid wsp:val=&quot;00897399&quot;/&gt;&lt;wsp:rsid wsp:val=&quot;00897681&quot;/&gt;&lt;wsp:rsid wsp:val=&quot;0089779C&quot;/&gt;&lt;wsp:rsid wsp:val=&quot;00897D80&quot;/&gt;&lt;wsp:rsid wsp:val=&quot;00897DD2&quot;/&gt;&lt;wsp:rsid wsp:val=&quot;008A0385&quot;/&gt;&lt;wsp:rsid wsp:val=&quot;008A0DCD&quot;/&gt;&lt;wsp:rsid wsp:val=&quot;008A0EDE&quot;/&gt;&lt;wsp:rsid wsp:val=&quot;008A0EE8&quot;/&gt;&lt;wsp:rsid wsp:val=&quot;008A1306&quot;/&gt;&lt;wsp:rsid wsp:val=&quot;008A14C4&quot;/&gt;&lt;wsp:rsid wsp:val=&quot;008A20A1&quot;/&gt;&lt;wsp:rsid wsp:val=&quot;008A241C&quot;/&gt;&lt;wsp:rsid wsp:val=&quot;008A247F&quot;/&gt;&lt;wsp:rsid wsp:val=&quot;008A25DF&quot;/&gt;&lt;wsp:rsid wsp:val=&quot;008A2A7F&quot;/&gt;&lt;wsp:rsid wsp:val=&quot;008A2BC2&quot;/&gt;&lt;wsp:rsid wsp:val=&quot;008A2EED&quot;/&gt;&lt;wsp:rsid wsp:val=&quot;008A3B93&quot;/&gt;&lt;wsp:rsid wsp:val=&quot;008A3C64&quot;/&gt;&lt;wsp:rsid wsp:val=&quot;008A3D0B&quot;/&gt;&lt;wsp:rsid wsp:val=&quot;008A3EBD&quot;/&gt;&lt;wsp:rsid wsp:val=&quot;008A3FE9&quot;/&gt;&lt;wsp:rsid wsp:val=&quot;008A4144&quot;/&gt;&lt;wsp:rsid wsp:val=&quot;008A4E20&quot;/&gt;&lt;wsp:rsid wsp:val=&quot;008A4EA3&quot;/&gt;&lt;wsp:rsid wsp:val=&quot;008A5893&quot;/&gt;&lt;wsp:rsid wsp:val=&quot;008A5F7B&quot;/&gt;&lt;wsp:rsid wsp:val=&quot;008A6419&quot;/&gt;&lt;wsp:rsid wsp:val=&quot;008A6E62&quot;/&gt;&lt;wsp:rsid wsp:val=&quot;008A7024&quot;/&gt;&lt;wsp:rsid wsp:val=&quot;008A760B&quot;/&gt;&lt;wsp:rsid wsp:val=&quot;008A7E5B&quot;/&gt;&lt;wsp:rsid wsp:val=&quot;008A7F16&quot;/&gt;&lt;wsp:rsid wsp:val=&quot;008A7FF1&quot;/&gt;&lt;wsp:rsid wsp:val=&quot;008B03B8&quot;/&gt;&lt;wsp:rsid wsp:val=&quot;008B0AEA&quot;/&gt;&lt;wsp:rsid wsp:val=&quot;008B0CE3&quot;/&gt;&lt;wsp:rsid wsp:val=&quot;008B0CFB&quot;/&gt;&lt;wsp:rsid wsp:val=&quot;008B0D74&quot;/&gt;&lt;wsp:rsid wsp:val=&quot;008B1657&quot;/&gt;&lt;wsp:rsid wsp:val=&quot;008B167F&quot;/&gt;&lt;wsp:rsid wsp:val=&quot;008B1B1E&quot;/&gt;&lt;wsp:rsid wsp:val=&quot;008B1C53&quot;/&gt;&lt;wsp:rsid wsp:val=&quot;008B1EDF&quot;/&gt;&lt;wsp:rsid wsp:val=&quot;008B21D4&quot;/&gt;&lt;wsp:rsid wsp:val=&quot;008B22BA&quot;/&gt;&lt;wsp:rsid wsp:val=&quot;008B2A6C&quot;/&gt;&lt;wsp:rsid wsp:val=&quot;008B2C88&quot;/&gt;&lt;wsp:rsid wsp:val=&quot;008B317E&quot;/&gt;&lt;wsp:rsid wsp:val=&quot;008B3BFC&quot;/&gt;&lt;wsp:rsid wsp:val=&quot;008B417A&quot;/&gt;&lt;wsp:rsid wsp:val=&quot;008B47DF&quot;/&gt;&lt;wsp:rsid wsp:val=&quot;008B4ACB&quot;/&gt;&lt;wsp:rsid wsp:val=&quot;008B4BD6&quot;/&gt;&lt;wsp:rsid wsp:val=&quot;008B4C4F&quot;/&gt;&lt;wsp:rsid wsp:val=&quot;008B4CD5&quot;/&gt;&lt;wsp:rsid wsp:val=&quot;008B4D67&quot;/&gt;&lt;wsp:rsid wsp:val=&quot;008B513C&quot;/&gt;&lt;wsp:rsid wsp:val=&quot;008B515C&quot;/&gt;&lt;wsp:rsid wsp:val=&quot;008B544C&quot;/&gt;&lt;wsp:rsid wsp:val=&quot;008B5962&quot;/&gt;&lt;wsp:rsid wsp:val=&quot;008B62D2&quot;/&gt;&lt;wsp:rsid wsp:val=&quot;008B6326&quot;/&gt;&lt;wsp:rsid wsp:val=&quot;008B6513&quot;/&gt;&lt;wsp:rsid wsp:val=&quot;008B6CC7&quot;/&gt;&lt;wsp:rsid wsp:val=&quot;008B7083&quot;/&gt;&lt;wsp:rsid wsp:val=&quot;008B79F6&quot;/&gt;&lt;wsp:rsid wsp:val=&quot;008B7BA6&quot;/&gt;&lt;wsp:rsid wsp:val=&quot;008B7BDD&quot;/&gt;&lt;wsp:rsid wsp:val=&quot;008C004F&quot;/&gt;&lt;wsp:rsid wsp:val=&quot;008C00FA&quot;/&gt;&lt;wsp:rsid wsp:val=&quot;008C031E&quot;/&gt;&lt;wsp:rsid wsp:val=&quot;008C0496&quot;/&gt;&lt;wsp:rsid wsp:val=&quot;008C0725&quot;/&gt;&lt;wsp:rsid wsp:val=&quot;008C09C3&quot;/&gt;&lt;wsp:rsid wsp:val=&quot;008C0A2C&quot;/&gt;&lt;wsp:rsid wsp:val=&quot;008C0CD1&quot;/&gt;&lt;wsp:rsid wsp:val=&quot;008C0FCD&quot;/&gt;&lt;wsp:rsid wsp:val=&quot;008C141C&quot;/&gt;&lt;wsp:rsid wsp:val=&quot;008C178B&quot;/&gt;&lt;wsp:rsid wsp:val=&quot;008C1CEF&quot;/&gt;&lt;wsp:rsid wsp:val=&quot;008C1FB8&quot;/&gt;&lt;wsp:rsid wsp:val=&quot;008C2188&quot;/&gt;&lt;wsp:rsid wsp:val=&quot;008C28FC&quot;/&gt;&lt;wsp:rsid wsp:val=&quot;008C2B53&quot;/&gt;&lt;wsp:rsid wsp:val=&quot;008C2C5D&quot;/&gt;&lt;wsp:rsid wsp:val=&quot;008C2DF1&quot;/&gt;&lt;wsp:rsid wsp:val=&quot;008C2E09&quot;/&gt;&lt;wsp:rsid wsp:val=&quot;008C2E73&quot;/&gt;&lt;wsp:rsid wsp:val=&quot;008C2F26&quot;/&gt;&lt;wsp:rsid wsp:val=&quot;008C304E&quot;/&gt;&lt;wsp:rsid wsp:val=&quot;008C3341&quot;/&gt;&lt;wsp:rsid wsp:val=&quot;008C3B27&quot;/&gt;&lt;wsp:rsid wsp:val=&quot;008C40F4&quot;/&gt;&lt;wsp:rsid wsp:val=&quot;008C4236&quot;/&gt;&lt;wsp:rsid wsp:val=&quot;008C440D&quot;/&gt;&lt;wsp:rsid wsp:val=&quot;008C45EB&quot;/&gt;&lt;wsp:rsid wsp:val=&quot;008C4AA7&quot;/&gt;&lt;wsp:rsid wsp:val=&quot;008C5370&quot;/&gt;&lt;wsp:rsid wsp:val=&quot;008C53E6&quot;/&gt;&lt;wsp:rsid wsp:val=&quot;008C61E8&quot;/&gt;&lt;wsp:rsid wsp:val=&quot;008C65D8&quot;/&gt;&lt;wsp:rsid wsp:val=&quot;008C6723&quot;/&gt;&lt;wsp:rsid wsp:val=&quot;008C69F0&quot;/&gt;&lt;wsp:rsid wsp:val=&quot;008C6F58&quot;/&gt;&lt;wsp:rsid wsp:val=&quot;008C71C6&quot;/&gt;&lt;wsp:rsid wsp:val=&quot;008C7236&quot;/&gt;&lt;wsp:rsid wsp:val=&quot;008C7457&quot;/&gt;&lt;wsp:rsid wsp:val=&quot;008C765C&quot;/&gt;&lt;wsp:rsid wsp:val=&quot;008C7731&quot;/&gt;&lt;wsp:rsid wsp:val=&quot;008C77E4&quot;/&gt;&lt;wsp:rsid wsp:val=&quot;008C7A0B&quot;/&gt;&lt;wsp:rsid wsp:val=&quot;008C7A60&quot;/&gt;&lt;wsp:rsid wsp:val=&quot;008C7B67&quot;/&gt;&lt;wsp:rsid wsp:val=&quot;008C7F15&quot;/&gt;&lt;wsp:rsid wsp:val=&quot;008D09DE&quot;/&gt;&lt;wsp:rsid wsp:val=&quot;008D0F15&quot;/&gt;&lt;wsp:rsid wsp:val=&quot;008D1621&quot;/&gt;&lt;wsp:rsid wsp:val=&quot;008D172B&quot;/&gt;&lt;wsp:rsid wsp:val=&quot;008D1BA5&quot;/&gt;&lt;wsp:rsid wsp:val=&quot;008D2C98&quot;/&gt;&lt;wsp:rsid wsp:val=&quot;008D3458&quot;/&gt;&lt;wsp:rsid wsp:val=&quot;008D345E&quot;/&gt;&lt;wsp:rsid wsp:val=&quot;008D3466&quot;/&gt;&lt;wsp:rsid wsp:val=&quot;008D3B15&quot;/&gt;&lt;wsp:rsid wsp:val=&quot;008D3B7B&quot;/&gt;&lt;wsp:rsid wsp:val=&quot;008D3C87&quot;/&gt;&lt;wsp:rsid wsp:val=&quot;008D4662&quot;/&gt;&lt;wsp:rsid wsp:val=&quot;008D46B1&quot;/&gt;&lt;wsp:rsid wsp:val=&quot;008D5085&quot;/&gt;&lt;wsp:rsid wsp:val=&quot;008D514A&quot;/&gt;&lt;wsp:rsid wsp:val=&quot;008D55C8&quot;/&gt;&lt;wsp:rsid wsp:val=&quot;008D621C&quot;/&gt;&lt;wsp:rsid wsp:val=&quot;008D656C&quot;/&gt;&lt;wsp:rsid wsp:val=&quot;008D6AB6&quot;/&gt;&lt;wsp:rsid wsp:val=&quot;008D6AEA&quot;/&gt;&lt;wsp:rsid wsp:val=&quot;008D6F9D&quot;/&gt;&lt;wsp:rsid wsp:val=&quot;008D72C8&quot;/&gt;&lt;wsp:rsid wsp:val=&quot;008D770F&quot;/&gt;&lt;wsp:rsid wsp:val=&quot;008D7967&quot;/&gt;&lt;wsp:rsid wsp:val=&quot;008D7A0C&quot;/&gt;&lt;wsp:rsid wsp:val=&quot;008D7B18&quot;/&gt;&lt;wsp:rsid wsp:val=&quot;008E0261&quot;/&gt;&lt;wsp:rsid wsp:val=&quot;008E050A&quot;/&gt;&lt;wsp:rsid wsp:val=&quot;008E06ED&quot;/&gt;&lt;wsp:rsid wsp:val=&quot;008E093D&quot;/&gt;&lt;wsp:rsid wsp:val=&quot;008E14EB&quot;/&gt;&lt;wsp:rsid wsp:val=&quot;008E15B8&quot;/&gt;&lt;wsp:rsid wsp:val=&quot;008E1948&quot;/&gt;&lt;wsp:rsid wsp:val=&quot;008E1BEC&quot;/&gt;&lt;wsp:rsid wsp:val=&quot;008E1CB1&quot;/&gt;&lt;wsp:rsid wsp:val=&quot;008E1F08&quot;/&gt;&lt;wsp:rsid wsp:val=&quot;008E2320&quot;/&gt;&lt;wsp:rsid wsp:val=&quot;008E240F&quot;/&gt;&lt;wsp:rsid wsp:val=&quot;008E2575&quot;/&gt;&lt;wsp:rsid wsp:val=&quot;008E2A9B&quot;/&gt;&lt;wsp:rsid wsp:val=&quot;008E2BD1&quot;/&gt;&lt;wsp:rsid wsp:val=&quot;008E3342&quot;/&gt;&lt;wsp:rsid wsp:val=&quot;008E3398&quot;/&gt;&lt;wsp:rsid wsp:val=&quot;008E39F4&quot;/&gt;&lt;wsp:rsid wsp:val=&quot;008E3B1C&quot;/&gt;&lt;wsp:rsid wsp:val=&quot;008E3EB2&quot;/&gt;&lt;wsp:rsid wsp:val=&quot;008E4C43&quot;/&gt;&lt;wsp:rsid wsp:val=&quot;008E52F2&quot;/&gt;&lt;wsp:rsid wsp:val=&quot;008E539B&quot;/&gt;&lt;wsp:rsid wsp:val=&quot;008E5769&quot;/&gt;&lt;wsp:rsid wsp:val=&quot;008E58ED&quot;/&gt;&lt;wsp:rsid wsp:val=&quot;008E5B55&quot;/&gt;&lt;wsp:rsid wsp:val=&quot;008E5BD6&quot;/&gt;&lt;wsp:rsid wsp:val=&quot;008E5F0C&quot;/&gt;&lt;wsp:rsid wsp:val=&quot;008E6158&quot;/&gt;&lt;wsp:rsid wsp:val=&quot;008E62F9&quot;/&gt;&lt;wsp:rsid wsp:val=&quot;008E6605&quot;/&gt;&lt;wsp:rsid wsp:val=&quot;008E673A&quot;/&gt;&lt;wsp:rsid wsp:val=&quot;008E67E1&quot;/&gt;&lt;wsp:rsid wsp:val=&quot;008E6921&quot;/&gt;&lt;wsp:rsid wsp:val=&quot;008E6AEC&quot;/&gt;&lt;wsp:rsid wsp:val=&quot;008E6BFD&quot;/&gt;&lt;wsp:rsid wsp:val=&quot;008E6CBC&quot;/&gt;&lt;wsp:rsid wsp:val=&quot;008E6F19&quot;/&gt;&lt;wsp:rsid wsp:val=&quot;008E79A0&quot;/&gt;&lt;wsp:rsid wsp:val=&quot;008E7DAA&quot;/&gt;&lt;wsp:rsid wsp:val=&quot;008F0505&quot;/&gt;&lt;wsp:rsid wsp:val=&quot;008F0771&quot;/&gt;&lt;wsp:rsid wsp:val=&quot;008F0966&quot;/&gt;&lt;wsp:rsid wsp:val=&quot;008F0E42&quot;/&gt;&lt;wsp:rsid wsp:val=&quot;008F0E74&quot;/&gt;&lt;wsp:rsid wsp:val=&quot;008F1131&quot;/&gt;&lt;wsp:rsid wsp:val=&quot;008F195C&quot;/&gt;&lt;wsp:rsid wsp:val=&quot;008F1A00&quot;/&gt;&lt;wsp:rsid wsp:val=&quot;008F1AD7&quot;/&gt;&lt;wsp:rsid wsp:val=&quot;008F22D5&quot;/&gt;&lt;wsp:rsid wsp:val=&quot;008F23C5&quot;/&gt;&lt;wsp:rsid wsp:val=&quot;008F26C8&quot;/&gt;&lt;wsp:rsid wsp:val=&quot;008F29EB&quot;/&gt;&lt;wsp:rsid wsp:val=&quot;008F2DDD&quot;/&gt;&lt;wsp:rsid wsp:val=&quot;008F30D9&quot;/&gt;&lt;wsp:rsid wsp:val=&quot;008F359F&quot;/&gt;&lt;wsp:rsid wsp:val=&quot;008F37EC&quot;/&gt;&lt;wsp:rsid wsp:val=&quot;008F3CF8&quot;/&gt;&lt;wsp:rsid wsp:val=&quot;008F3D5C&quot;/&gt;&lt;wsp:rsid wsp:val=&quot;008F3F23&quot;/&gt;&lt;wsp:rsid wsp:val=&quot;008F3F37&quot;/&gt;&lt;wsp:rsid wsp:val=&quot;008F46EB&quot;/&gt;&lt;wsp:rsid wsp:val=&quot;008F4BD8&quot;/&gt;&lt;wsp:rsid wsp:val=&quot;008F4D67&quot;/&gt;&lt;wsp:rsid wsp:val=&quot;008F4E9C&quot;/&gt;&lt;wsp:rsid wsp:val=&quot;008F514D&quot;/&gt;&lt;wsp:rsid wsp:val=&quot;008F546D&quot;/&gt;&lt;wsp:rsid wsp:val=&quot;008F5489&quot;/&gt;&lt;wsp:rsid wsp:val=&quot;008F5BE4&quot;/&gt;&lt;wsp:rsid wsp:val=&quot;008F5C1E&quot;/&gt;&lt;wsp:rsid wsp:val=&quot;008F5C8A&quot;/&gt;&lt;wsp:rsid wsp:val=&quot;008F601F&quot;/&gt;&lt;wsp:rsid wsp:val=&quot;008F6099&quot;/&gt;&lt;wsp:rsid wsp:val=&quot;008F618B&quot;/&gt;&lt;wsp:rsid wsp:val=&quot;008F667B&quot;/&gt;&lt;wsp:rsid wsp:val=&quot;008F6C87&quot;/&gt;&lt;wsp:rsid wsp:val=&quot;008F70CD&quot;/&gt;&lt;wsp:rsid wsp:val=&quot;008F7C27&quot;/&gt;&lt;wsp:rsid wsp:val=&quot;00900513&quot;/&gt;&lt;wsp:rsid wsp:val=&quot;00900E61&quot;/&gt;&lt;wsp:rsid wsp:val=&quot;0090117A&quot;/&gt;&lt;wsp:rsid wsp:val=&quot;0090154D&quot;/&gt;&lt;wsp:rsid wsp:val=&quot;00901580&quot;/&gt;&lt;wsp:rsid wsp:val=&quot;0090189D&quot;/&gt;&lt;wsp:rsid wsp:val=&quot;0090293D&quot;/&gt;&lt;wsp:rsid wsp:val=&quot;00902AC5&quot;/&gt;&lt;wsp:rsid wsp:val=&quot;00902C25&quot;/&gt;&lt;wsp:rsid wsp:val=&quot;0090300A&quot;/&gt;&lt;wsp:rsid wsp:val=&quot;00903216&quot;/&gt;&lt;wsp:rsid wsp:val=&quot;00903272&quot;/&gt;&lt;wsp:rsid wsp:val=&quot;00903532&quot;/&gt;&lt;wsp:rsid wsp:val=&quot;00903794&quot;/&gt;&lt;wsp:rsid wsp:val=&quot;00904FBC&quot;/&gt;&lt;wsp:rsid wsp:val=&quot;009055EB&quot;/&gt;&lt;wsp:rsid wsp:val=&quot;00905B69&quot;/&gt;&lt;wsp:rsid wsp:val=&quot;009060A8&quot;/&gt;&lt;wsp:rsid wsp:val=&quot;00906853&quot;/&gt;&lt;wsp:rsid wsp:val=&quot;00906856&quot;/&gt;&lt;wsp:rsid wsp:val=&quot;00906864&quot;/&gt;&lt;wsp:rsid wsp:val=&quot;00906A15&quot;/&gt;&lt;wsp:rsid wsp:val=&quot;00906ABF&quot;/&gt;&lt;wsp:rsid wsp:val=&quot;00906C11&quot;/&gt;&lt;wsp:rsid wsp:val=&quot;009071AE&quot;/&gt;&lt;wsp:rsid wsp:val=&quot;0090749D&quot;/&gt;&lt;wsp:rsid wsp:val=&quot;00907596&quot;/&gt;&lt;wsp:rsid wsp:val=&quot;0090764B&quot;/&gt;&lt;wsp:rsid wsp:val=&quot;009076CB&quot;/&gt;&lt;wsp:rsid wsp:val=&quot;009078AF&quot;/&gt;&lt;wsp:rsid wsp:val=&quot;00907EB1&quot;/&gt;&lt;wsp:rsid wsp:val=&quot;00907EEC&quot;/&gt;&lt;wsp:rsid wsp:val=&quot;009102C4&quot;/&gt;&lt;wsp:rsid wsp:val=&quot;00910BA2&quot;/&gt;&lt;wsp:rsid wsp:val=&quot;00910D04&quot;/&gt;&lt;wsp:rsid wsp:val=&quot;00910F7B&quot;/&gt;&lt;wsp:rsid wsp:val=&quot;009115C8&quot;/&gt;&lt;wsp:rsid wsp:val=&quot;00911733&quot;/&gt;&lt;wsp:rsid wsp:val=&quot;0091179B&quot;/&gt;&lt;wsp:rsid wsp:val=&quot;0091257C&quot;/&gt;&lt;wsp:rsid wsp:val=&quot;0091271F&quot;/&gt;&lt;wsp:rsid wsp:val=&quot;00912CE0&quot;/&gt;&lt;wsp:rsid wsp:val=&quot;00912DD2&quot;/&gt;&lt;wsp:rsid wsp:val=&quot;00912F07&quot;/&gt;&lt;wsp:rsid wsp:val=&quot;00912F87&quot;/&gt;&lt;wsp:rsid wsp:val=&quot;009132AA&quot;/&gt;&lt;wsp:rsid wsp:val=&quot;009135E5&quot;/&gt;&lt;wsp:rsid wsp:val=&quot;00913717&quot;/&gt;&lt;wsp:rsid wsp:val=&quot;00913790&quot;/&gt;&lt;wsp:rsid wsp:val=&quot;00913C7F&quot;/&gt;&lt;wsp:rsid wsp:val=&quot;00913D47&quot;/&gt;&lt;wsp:rsid wsp:val=&quot;00913E9D&quot;/&gt;&lt;wsp:rsid wsp:val=&quot;009143DF&quot;/&gt;&lt;wsp:rsid wsp:val=&quot;00914437&quot;/&gt;&lt;wsp:rsid wsp:val=&quot;009147CE&quot;/&gt;&lt;wsp:rsid wsp:val=&quot;00914AB9&quot;/&gt;&lt;wsp:rsid wsp:val=&quot;00914F69&quot;/&gt;&lt;wsp:rsid wsp:val=&quot;009157B4&quot;/&gt;&lt;wsp:rsid wsp:val=&quot;0091624C&quot;/&gt;&lt;wsp:rsid wsp:val=&quot;00916658&quot;/&gt;&lt;wsp:rsid wsp:val=&quot;00916E5A&quot;/&gt;&lt;wsp:rsid wsp:val=&quot;00917177&quot;/&gt;&lt;wsp:rsid wsp:val=&quot;009175C8&quot;/&gt;&lt;wsp:rsid wsp:val=&quot;00917B3B&quot;/&gt;&lt;wsp:rsid wsp:val=&quot;0092006C&quot;/&gt;&lt;wsp:rsid wsp:val=&quot;00920473&quot;/&gt;&lt;wsp:rsid wsp:val=&quot;0092088B&quot;/&gt;&lt;wsp:rsid wsp:val=&quot;00920AD2&quot;/&gt;&lt;wsp:rsid wsp:val=&quot;00920FA4&quot;/&gt;&lt;wsp:rsid wsp:val=&quot;0092109F&quot;/&gt;&lt;wsp:rsid wsp:val=&quot;00921510&quot;/&gt;&lt;wsp:rsid wsp:val=&quot;0092193B&quot;/&gt;&lt;wsp:rsid wsp:val=&quot;009219D3&quot;/&gt;&lt;wsp:rsid wsp:val=&quot;00921D32&quot;/&gt;&lt;wsp:rsid wsp:val=&quot;0092209F&quot;/&gt;&lt;wsp:rsid wsp:val=&quot;00922279&quot;/&gt;&lt;wsp:rsid wsp:val=&quot;00922548&quot;/&gt;&lt;wsp:rsid wsp:val=&quot;0092254B&quot;/&gt;&lt;wsp:rsid wsp:val=&quot;00922B18&quot;/&gt;&lt;wsp:rsid wsp:val=&quot;00923118&quot;/&gt;&lt;wsp:rsid wsp:val=&quot;009236E3&quot;/&gt;&lt;wsp:rsid wsp:val=&quot;00923A43&quot;/&gt;&lt;wsp:rsid wsp:val=&quot;00923AE0&quot;/&gt;&lt;wsp:rsid wsp:val=&quot;00923BC3&quot;/&gt;&lt;wsp:rsid wsp:val=&quot;00923E43&quot;/&gt;&lt;wsp:rsid wsp:val=&quot;00923F54&quot;/&gt;&lt;wsp:rsid wsp:val=&quot;00924E02&quot;/&gt;&lt;wsp:rsid wsp:val=&quot;00924E30&quot;/&gt;&lt;wsp:rsid wsp:val=&quot;009251D0&quot;/&gt;&lt;wsp:rsid wsp:val=&quot;00925774&quot;/&gt;&lt;wsp:rsid wsp:val=&quot;00925821&quot;/&gt;&lt;wsp:rsid wsp:val=&quot;00925FF3&quot;/&gt;&lt;wsp:rsid wsp:val=&quot;00926802&quot;/&gt;&lt;wsp:rsid wsp:val=&quot;009269F5&quot;/&gt;&lt;wsp:rsid wsp:val=&quot;00927BAA&quot;/&gt;&lt;wsp:rsid wsp:val=&quot;00927CCF&quot;/&gt;&lt;wsp:rsid wsp:val=&quot;00927DB4&quot;/&gt;&lt;wsp:rsid wsp:val=&quot;00927F77&quot;/&gt;&lt;wsp:rsid wsp:val=&quot;00927FEB&quot;/&gt;&lt;wsp:rsid wsp:val=&quot;009304F1&quot;/&gt;&lt;wsp:rsid wsp:val=&quot;00930641&quot;/&gt;&lt;wsp:rsid wsp:val=&quot;0093088D&quot;/&gt;&lt;wsp:rsid wsp:val=&quot;00930C11&quot;/&gt;&lt;wsp:rsid wsp:val=&quot;00930D0B&quot;/&gt;&lt;wsp:rsid wsp:val=&quot;00930DD3&quot;/&gt;&lt;wsp:rsid wsp:val=&quot;009313EC&quot;/&gt;&lt;wsp:rsid wsp:val=&quot;00931554&quot;/&gt;&lt;wsp:rsid wsp:val=&quot;00931B48&quot;/&gt;&lt;wsp:rsid wsp:val=&quot;00931CE2&quot;/&gt;&lt;wsp:rsid wsp:val=&quot;0093200C&quot;/&gt;&lt;wsp:rsid wsp:val=&quot;009325ED&quot;/&gt;&lt;wsp:rsid wsp:val=&quot;0093275E&quot;/&gt;&lt;wsp:rsid wsp:val=&quot;0093287D&quot;/&gt;&lt;wsp:rsid wsp:val=&quot;00932D4D&quot;/&gt;&lt;wsp:rsid wsp:val=&quot;00932DE2&quot;/&gt;&lt;wsp:rsid wsp:val=&quot;00932E21&quot;/&gt;&lt;wsp:rsid wsp:val=&quot;0093355D&quot;/&gt;&lt;wsp:rsid wsp:val=&quot;00933887&quot;/&gt;&lt;wsp:rsid wsp:val=&quot;009339E0&quot;/&gt;&lt;wsp:rsid wsp:val=&quot;00933DB8&quot;/&gt;&lt;wsp:rsid wsp:val=&quot;00933E9F&quot;/&gt;&lt;wsp:rsid wsp:val=&quot;0093457B&quot;/&gt;&lt;wsp:rsid wsp:val=&quot;00934D3B&quot;/&gt;&lt;wsp:rsid wsp:val=&quot;0093523C&quot;/&gt;&lt;wsp:rsid wsp:val=&quot;009352D1&quot;/&gt;&lt;wsp:rsid wsp:val=&quot;00935CC2&quot;/&gt;&lt;wsp:rsid wsp:val=&quot;00935D23&quot;/&gt;&lt;wsp:rsid wsp:val=&quot;0093605F&quot;/&gt;&lt;wsp:rsid wsp:val=&quot;009360C9&quot;/&gt;&lt;wsp:rsid wsp:val=&quot;00936545&quot;/&gt;&lt;wsp:rsid wsp:val=&quot;00936D64&quot;/&gt;&lt;wsp:rsid wsp:val=&quot;00936F3A&quot;/&gt;&lt;wsp:rsid wsp:val=&quot;00936F68&quot;/&gt;&lt;wsp:rsid wsp:val=&quot;00937205&quot;/&gt;&lt;wsp:rsid wsp:val=&quot;0093729E&quot;/&gt;&lt;wsp:rsid wsp:val=&quot;009378CC&quot;/&gt;&lt;wsp:rsid wsp:val=&quot;00937B53&quot;/&gt;&lt;wsp:rsid wsp:val=&quot;00937BA2&quot;/&gt;&lt;wsp:rsid wsp:val=&quot;00940009&quot;/&gt;&lt;wsp:rsid wsp:val=&quot;009403B1&quot;/&gt;&lt;wsp:rsid wsp:val=&quot;00940992&quot;/&gt;&lt;wsp:rsid wsp:val=&quot;00940B40&quot;/&gt;&lt;wsp:rsid wsp:val=&quot;00940B47&quot;/&gt;&lt;wsp:rsid wsp:val=&quot;00940C7A&quot;/&gt;&lt;wsp:rsid wsp:val=&quot;00940E2E&quot;/&gt;&lt;wsp:rsid wsp:val=&quot;00940ECD&quot;/&gt;&lt;wsp:rsid wsp:val=&quot;00941161&quot;/&gt;&lt;wsp:rsid wsp:val=&quot;0094116E&quot;/&gt;&lt;wsp:rsid wsp:val=&quot;00941302&quot;/&gt;&lt;wsp:rsid wsp:val=&quot;0094131C&quot;/&gt;&lt;wsp:rsid wsp:val=&quot;0094136B&quot;/&gt;&lt;wsp:rsid wsp:val=&quot;00941555&quot;/&gt;&lt;wsp:rsid wsp:val=&quot;00941B19&quot;/&gt;&lt;wsp:rsid wsp:val=&quot;009424BE&quot;/&gt;&lt;wsp:rsid wsp:val=&quot;009426FC&quot;/&gt;&lt;wsp:rsid wsp:val=&quot;009428F9&quot;/&gt;&lt;wsp:rsid wsp:val=&quot;00943268&quot;/&gt;&lt;wsp:rsid wsp:val=&quot;00943605&quot;/&gt;&lt;wsp:rsid wsp:val=&quot;00943812&quot;/&gt;&lt;wsp:rsid wsp:val=&quot;00943923&quot;/&gt;&lt;wsp:rsid wsp:val=&quot;00943EB7&quot;/&gt;&lt;wsp:rsid wsp:val=&quot;00943F71&quot;/&gt;&lt;wsp:rsid wsp:val=&quot;00943FBC&quot;/&gt;&lt;wsp:rsid wsp:val=&quot;009452AE&quot;/&gt;&lt;wsp:rsid wsp:val=&quot;00945548&quot;/&gt;&lt;wsp:rsid wsp:val=&quot;00945834&quot;/&gt;&lt;wsp:rsid wsp:val=&quot;009458E4&quot;/&gt;&lt;wsp:rsid wsp:val=&quot;00945A9F&quot;/&gt;&lt;wsp:rsid wsp:val=&quot;00945CDE&quot;/&gt;&lt;wsp:rsid wsp:val=&quot;00945DD4&quot;/&gt;&lt;wsp:rsid wsp:val=&quot;0094626E&quot;/&gt;&lt;wsp:rsid wsp:val=&quot;009463D7&quot;/&gt;&lt;wsp:rsid wsp:val=&quot;00946B1E&quot;/&gt;&lt;wsp:rsid wsp:val=&quot;00946EC2&quot;/&gt;&lt;wsp:rsid wsp:val=&quot;0094764A&quot;/&gt;&lt;wsp:rsid wsp:val=&quot;009479DB&quot;/&gt;&lt;wsp:rsid wsp:val=&quot;0095016A&quot;/&gt;&lt;wsp:rsid wsp:val=&quot;0095038D&quot;/&gt;&lt;wsp:rsid wsp:val=&quot;00951969&quot;/&gt;&lt;wsp:rsid wsp:val=&quot;00951BB1&quot;/&gt;&lt;wsp:rsid wsp:val=&quot;00951ED8&quot;/&gt;&lt;wsp:rsid wsp:val=&quot;009524C6&quot;/&gt;&lt;wsp:rsid wsp:val=&quot;009527FE&quot;/&gt;&lt;wsp:rsid wsp:val=&quot;00952805&quot;/&gt;&lt;wsp:rsid wsp:val=&quot;00952C7D&quot;/&gt;&lt;wsp:rsid wsp:val=&quot;00952ED4&quot;/&gt;&lt;wsp:rsid wsp:val=&quot;00953062&quot;/&gt;&lt;wsp:rsid wsp:val=&quot;00953263&quot;/&gt;&lt;wsp:rsid wsp:val=&quot;00953AFF&quot;/&gt;&lt;wsp:rsid wsp:val=&quot;00953BA1&quot;/&gt;&lt;wsp:rsid wsp:val=&quot;00953E7D&quot;/&gt;&lt;wsp:rsid wsp:val=&quot;00953FA0&quot;/&gt;&lt;wsp:rsid wsp:val=&quot;00954233&quot;/&gt;&lt;wsp:rsid wsp:val=&quot;00954283&quot;/&gt;&lt;wsp:rsid wsp:val=&quot;0095446D&quot;/&gt;&lt;wsp:rsid wsp:val=&quot;0095452A&quot;/&gt;&lt;wsp:rsid wsp:val=&quot;0095460C&quot;/&gt;&lt;wsp:rsid wsp:val=&quot;0095480E&quot;/&gt;&lt;wsp:rsid wsp:val=&quot;00954BAD&quot;/&gt;&lt;wsp:rsid wsp:val=&quot;00954E91&quot;/&gt;&lt;wsp:rsid wsp:val=&quot;009550C2&quot;/&gt;&lt;wsp:rsid wsp:val=&quot;0095533C&quot;/&gt;&lt;wsp:rsid wsp:val=&quot;009557A8&quot;/&gt;&lt;wsp:rsid wsp:val=&quot;00955DE6&quot;/&gt;&lt;wsp:rsid wsp:val=&quot;00955DF3&quot;/&gt;&lt;wsp:rsid wsp:val=&quot;00955DFE&quot;/&gt;&lt;wsp:rsid wsp:val=&quot;00955F0C&quot;/&gt;&lt;wsp:rsid wsp:val=&quot;009560F5&quot;/&gt;&lt;wsp:rsid wsp:val=&quot;00956C7D&quot;/&gt;&lt;wsp:rsid wsp:val=&quot;00956CDB&quot;/&gt;&lt;wsp:rsid wsp:val=&quot;0095730C&quot;/&gt;&lt;wsp:rsid wsp:val=&quot;00957695&quot;/&gt;&lt;wsp:rsid wsp:val=&quot;009576DE&quot;/&gt;&lt;wsp:rsid wsp:val=&quot;00957CC0&quot;/&gt;&lt;wsp:rsid wsp:val=&quot;00957D47&quot;/&gt;&lt;wsp:rsid wsp:val=&quot;00957EC5&quot;/&gt;&lt;wsp:rsid wsp:val=&quot;00960237&quot;/&gt;&lt;wsp:rsid wsp:val=&quot;0096032B&quot;/&gt;&lt;wsp:rsid wsp:val=&quot;009606AB&quot;/&gt;&lt;wsp:rsid wsp:val=&quot;009609B8&quot;/&gt;&lt;wsp:rsid wsp:val=&quot;00960A1B&quot;/&gt;&lt;wsp:rsid wsp:val=&quot;00960A5B&quot;/&gt;&lt;wsp:rsid wsp:val=&quot;00960DD3&quot;/&gt;&lt;wsp:rsid wsp:val=&quot;00960DF8&quot;/&gt;&lt;wsp:rsid wsp:val=&quot;00960F40&quot;/&gt;&lt;wsp:rsid wsp:val=&quot;00960FA4&quot;/&gt;&lt;wsp:rsid wsp:val=&quot;00961315&quot;/&gt;&lt;wsp:rsid wsp:val=&quot;0096148D&quot;/&gt;&lt;wsp:rsid wsp:val=&quot;00962566&quot;/&gt;&lt;wsp:rsid wsp:val=&quot;00962DEC&quot;/&gt;&lt;wsp:rsid wsp:val=&quot;0096305B&quot;/&gt;&lt;wsp:rsid wsp:val=&quot;00963321&quot;/&gt;&lt;wsp:rsid wsp:val=&quot;0096374E&quot;/&gt;&lt;wsp:rsid wsp:val=&quot;0096384C&quot;/&gt;&lt;wsp:rsid wsp:val=&quot;00963990&quot;/&gt;&lt;wsp:rsid wsp:val=&quot;00963F3E&quot;/&gt;&lt;wsp:rsid wsp:val=&quot;00963FB5&quot;/&gt;&lt;wsp:rsid wsp:val=&quot;00964615&quot;/&gt;&lt;wsp:rsid wsp:val=&quot;00964654&quot;/&gt;&lt;wsp:rsid wsp:val=&quot;009648C7&quot;/&gt;&lt;wsp:rsid wsp:val=&quot;00964F94&quot;/&gt;&lt;wsp:rsid wsp:val=&quot;009655CE&quot;/&gt;&lt;wsp:rsid wsp:val=&quot;00965D54&quot;/&gt;&lt;wsp:rsid wsp:val=&quot;009662CE&quot;/&gt;&lt;wsp:rsid wsp:val=&quot;00966480&quot;/&gt;&lt;wsp:rsid wsp:val=&quot;009667B5&quot;/&gt;&lt;wsp:rsid wsp:val=&quot;0096690C&quot;/&gt;&lt;wsp:rsid wsp:val=&quot;00966956&quot;/&gt;&lt;wsp:rsid wsp:val=&quot;00966A9F&quot;/&gt;&lt;wsp:rsid wsp:val=&quot;0096711A&quot;/&gt;&lt;wsp:rsid wsp:val=&quot;00967304&quot;/&gt;&lt;wsp:rsid wsp:val=&quot;00967551&quot;/&gt;&lt;wsp:rsid wsp:val=&quot;009675E9&quot;/&gt;&lt;wsp:rsid wsp:val=&quot;009677A1&quot;/&gt;&lt;wsp:rsid wsp:val=&quot;00970D50&quot;/&gt;&lt;wsp:rsid wsp:val=&quot;00970FEB&quot;/&gt;&lt;wsp:rsid wsp:val=&quot;00971110&quot;/&gt;&lt;wsp:rsid wsp:val=&quot;0097136E&quot;/&gt;&lt;wsp:rsid wsp:val=&quot;009713D0&quot;/&gt;&lt;wsp:rsid wsp:val=&quot;00971927&quot;/&gt;&lt;wsp:rsid wsp:val=&quot;00971969&quot;/&gt;&lt;wsp:rsid wsp:val=&quot;00971BC7&quot;/&gt;&lt;wsp:rsid wsp:val=&quot;00971C05&quot;/&gt;&lt;wsp:rsid wsp:val=&quot;00971CAA&quot;/&gt;&lt;wsp:rsid wsp:val=&quot;00972210&quot;/&gt;&lt;wsp:rsid wsp:val=&quot;0097343E&quot;/&gt;&lt;wsp:rsid wsp:val=&quot;00973AAB&quot;/&gt;&lt;wsp:rsid wsp:val=&quot;00973C00&quot;/&gt;&lt;wsp:rsid wsp:val=&quot;00973D92&quot;/&gt;&lt;wsp:rsid wsp:val=&quot;00973E53&quot;/&gt;&lt;wsp:rsid wsp:val=&quot;00974110&quot;/&gt;&lt;wsp:rsid wsp:val=&quot;009741DD&quot;/&gt;&lt;wsp:rsid wsp:val=&quot;009742E5&quot;/&gt;&lt;wsp:rsid wsp:val=&quot;00974907&quot;/&gt;&lt;wsp:rsid wsp:val=&quot;00974AE7&quot;/&gt;&lt;wsp:rsid wsp:val=&quot;0097550F&quot;/&gt;&lt;wsp:rsid wsp:val=&quot;0097594A&quot;/&gt;&lt;wsp:rsid wsp:val=&quot;009759C3&quot;/&gt;&lt;wsp:rsid wsp:val=&quot;00975A0E&quot;/&gt;&lt;wsp:rsid wsp:val=&quot;00976090&quot;/&gt;&lt;wsp:rsid wsp:val=&quot;0097735E&quot;/&gt;&lt;wsp:rsid wsp:val=&quot;0097784C&quot;/&gt;&lt;wsp:rsid wsp:val=&quot;009778A0&quot;/&gt;&lt;wsp:rsid wsp:val=&quot;00977B6E&quot;/&gt;&lt;wsp:rsid wsp:val=&quot;00977D78&quot;/&gt;&lt;wsp:rsid wsp:val=&quot;009801FA&quot;/&gt;&lt;wsp:rsid wsp:val=&quot;00980377&quot;/&gt;&lt;wsp:rsid wsp:val=&quot;00980390&quot;/&gt;&lt;wsp:rsid wsp:val=&quot;009803F5&quot;/&gt;&lt;wsp:rsid wsp:val=&quot;00980790&quot;/&gt;&lt;wsp:rsid wsp:val=&quot;00980BB9&quot;/&gt;&lt;wsp:rsid wsp:val=&quot;00980E2A&quot;/&gt;&lt;wsp:rsid wsp:val=&quot;00980EC8&quot;/&gt;&lt;wsp:rsid wsp:val=&quot;009815C2&quot;/&gt;&lt;wsp:rsid wsp:val=&quot;0098278D&quot;/&gt;&lt;wsp:rsid wsp:val=&quot;00982AC4&quot;/&gt;&lt;wsp:rsid wsp:val=&quot;0098346C&quot;/&gt;&lt;wsp:rsid wsp:val=&quot;0098353D&quot;/&gt;&lt;wsp:rsid wsp:val=&quot;009835FB&quot;/&gt;&lt;wsp:rsid wsp:val=&quot;00983797&quot;/&gt;&lt;wsp:rsid wsp:val=&quot;00983827&quot;/&gt;&lt;wsp:rsid wsp:val=&quot;0098488D&quot;/&gt;&lt;wsp:rsid wsp:val=&quot;00984A8C&quot;/&gt;&lt;wsp:rsid wsp:val=&quot;00984AAD&quot;/&gt;&lt;wsp:rsid wsp:val=&quot;00984B8B&quot;/&gt;&lt;wsp:rsid wsp:val=&quot;00984D74&quot;/&gt;&lt;wsp:rsid wsp:val=&quot;00984DD8&quot;/&gt;&lt;wsp:rsid wsp:val=&quot;0098508E&quot;/&gt;&lt;wsp:rsid wsp:val=&quot;009852F4&quot;/&gt;&lt;wsp:rsid wsp:val=&quot;009859BF&quot;/&gt;&lt;wsp:rsid wsp:val=&quot;00987163&quot;/&gt;&lt;wsp:rsid wsp:val=&quot;0098754F&quot;/&gt;&lt;wsp:rsid wsp:val=&quot;00987980&quot;/&gt;&lt;wsp:rsid wsp:val=&quot;00987E89&quot;/&gt;&lt;wsp:rsid wsp:val=&quot;00991459&quot;/&gt;&lt;wsp:rsid wsp:val=&quot;00991671&quot;/&gt;&lt;wsp:rsid wsp:val=&quot;00991782&quot;/&gt;&lt;wsp:rsid wsp:val=&quot;009917E3&quot;/&gt;&lt;wsp:rsid wsp:val=&quot;00991A13&quot;/&gt;&lt;wsp:rsid wsp:val=&quot;00991E2A&quot;/&gt;&lt;wsp:rsid wsp:val=&quot;009921AD&quot;/&gt;&lt;wsp:rsid wsp:val=&quot;009921D4&quot;/&gt;&lt;wsp:rsid wsp:val=&quot;0099278A&quot;/&gt;&lt;wsp:rsid wsp:val=&quot;00992869&quot;/&gt;&lt;wsp:rsid wsp:val=&quot;00992C3D&quot;/&gt;&lt;wsp:rsid wsp:val=&quot;00992DE3&quot;/&gt;&lt;wsp:rsid wsp:val=&quot;0099312A&quot;/&gt;&lt;wsp:rsid wsp:val=&quot;00993200&quot;/&gt;&lt;wsp:rsid wsp:val=&quot;00993249&quot;/&gt;&lt;wsp:rsid wsp:val=&quot;00993475&quot;/&gt;&lt;wsp:rsid wsp:val=&quot;00993B49&quot;/&gt;&lt;wsp:rsid wsp:val=&quot;00993BD3&quot;/&gt;&lt;wsp:rsid wsp:val=&quot;00994D3E&quot;/&gt;&lt;wsp:rsid wsp:val=&quot;009955E0&quot;/&gt;&lt;wsp:rsid wsp:val=&quot;00995611&quot;/&gt;&lt;wsp:rsid wsp:val=&quot;009957D0&quot;/&gt;&lt;wsp:rsid wsp:val=&quot;009958F6&quot;/&gt;&lt;wsp:rsid wsp:val=&quot;00995A30&quot;/&gt;&lt;wsp:rsid wsp:val=&quot;00995C78&quot;/&gt;&lt;wsp:rsid wsp:val=&quot;00995D52&quot;/&gt;&lt;wsp:rsid wsp:val=&quot;00995D62&quot;/&gt;&lt;wsp:rsid wsp:val=&quot;00995EED&quot;/&gt;&lt;wsp:rsid wsp:val=&quot;0099609C&quot;/&gt;&lt;wsp:rsid wsp:val=&quot;009967AD&quot;/&gt;&lt;wsp:rsid wsp:val=&quot;00996821&quot;/&gt;&lt;wsp:rsid wsp:val=&quot;009969C4&quot;/&gt;&lt;wsp:rsid wsp:val=&quot;00996C5E&quot;/&gt;&lt;wsp:rsid wsp:val=&quot;00996E57&quot;/&gt;&lt;wsp:rsid wsp:val=&quot;009972EB&quot;/&gt;&lt;wsp:rsid wsp:val=&quot;00997809&quot;/&gt;&lt;wsp:rsid wsp:val=&quot;009A00EF&quot;/&gt;&lt;wsp:rsid wsp:val=&quot;009A031D&quot;/&gt;&lt;wsp:rsid wsp:val=&quot;009A0546&quot;/&gt;&lt;wsp:rsid wsp:val=&quot;009A0691&quot;/&gt;&lt;wsp:rsid wsp:val=&quot;009A0AA4&quot;/&gt;&lt;wsp:rsid wsp:val=&quot;009A1202&quot;/&gt;&lt;wsp:rsid wsp:val=&quot;009A16E8&quot;/&gt;&lt;wsp:rsid wsp:val=&quot;009A170E&quot;/&gt;&lt;wsp:rsid wsp:val=&quot;009A1756&quot;/&gt;&lt;wsp:rsid wsp:val=&quot;009A179F&quot;/&gt;&lt;wsp:rsid wsp:val=&quot;009A1F5C&quot;/&gt;&lt;wsp:rsid wsp:val=&quot;009A215F&quot;/&gt;&lt;wsp:rsid wsp:val=&quot;009A24E6&quot;/&gt;&lt;wsp:rsid wsp:val=&quot;009A24F6&quot;/&gt;&lt;wsp:rsid wsp:val=&quot;009A2528&quot;/&gt;&lt;wsp:rsid wsp:val=&quot;009A261F&quot;/&gt;&lt;wsp:rsid wsp:val=&quot;009A295F&quot;/&gt;&lt;wsp:rsid wsp:val=&quot;009A2EEB&quot;/&gt;&lt;wsp:rsid wsp:val=&quot;009A3A57&quot;/&gt;&lt;wsp:rsid wsp:val=&quot;009A3CCC&quot;/&gt;&lt;wsp:rsid wsp:val=&quot;009A4396&quot;/&gt;&lt;wsp:rsid wsp:val=&quot;009A452F&quot;/&gt;&lt;wsp:rsid wsp:val=&quot;009A46B8&quot;/&gt;&lt;wsp:rsid wsp:val=&quot;009A4725&quot;/&gt;&lt;wsp:rsid wsp:val=&quot;009A4863&quot;/&gt;&lt;wsp:rsid wsp:val=&quot;009A4996&quot;/&gt;&lt;wsp:rsid wsp:val=&quot;009A4BC2&quot;/&gt;&lt;wsp:rsid wsp:val=&quot;009A4F9A&quot;/&gt;&lt;wsp:rsid wsp:val=&quot;009A5039&quot;/&gt;&lt;wsp:rsid wsp:val=&quot;009A519E&quot;/&gt;&lt;wsp:rsid wsp:val=&quot;009A5423&quot;/&gt;&lt;wsp:rsid wsp:val=&quot;009A5468&quot;/&gt;&lt;wsp:rsid wsp:val=&quot;009A57B5&quot;/&gt;&lt;wsp:rsid wsp:val=&quot;009A5B9A&quot;/&gt;&lt;wsp:rsid wsp:val=&quot;009A5E75&quot;/&gt;&lt;wsp:rsid wsp:val=&quot;009A60AE&quot;/&gt;&lt;wsp:rsid wsp:val=&quot;009A616D&quot;/&gt;&lt;wsp:rsid wsp:val=&quot;009A6712&quot;/&gt;&lt;wsp:rsid wsp:val=&quot;009A68F1&quot;/&gt;&lt;wsp:rsid wsp:val=&quot;009A6A5B&quot;/&gt;&lt;wsp:rsid wsp:val=&quot;009A6B39&quot;/&gt;&lt;wsp:rsid wsp:val=&quot;009A6D9B&quot;/&gt;&lt;wsp:rsid wsp:val=&quot;009A7078&quot;/&gt;&lt;wsp:rsid wsp:val=&quot;009A751C&quot;/&gt;&lt;wsp:rsid wsp:val=&quot;009A7768&quot;/&gt;&lt;wsp:rsid wsp:val=&quot;009A778F&quot;/&gt;&lt;wsp:rsid wsp:val=&quot;009A7BB0&quot;/&gt;&lt;wsp:rsid wsp:val=&quot;009A7BFB&quot;/&gt;&lt;wsp:rsid wsp:val=&quot;009A7C9E&quot;/&gt;&lt;wsp:rsid wsp:val=&quot;009B030A&quot;/&gt;&lt;wsp:rsid wsp:val=&quot;009B0BA0&quot;/&gt;&lt;wsp:rsid wsp:val=&quot;009B0D0E&quot;/&gt;&lt;wsp:rsid wsp:val=&quot;009B0D1C&quot;/&gt;&lt;wsp:rsid wsp:val=&quot;009B1D40&quot;/&gt;&lt;wsp:rsid wsp:val=&quot;009B2453&quot;/&gt;&lt;wsp:rsid wsp:val=&quot;009B25C0&quot;/&gt;&lt;wsp:rsid wsp:val=&quot;009B2649&quot;/&gt;&lt;wsp:rsid wsp:val=&quot;009B27CF&quot;/&gt;&lt;wsp:rsid wsp:val=&quot;009B2818&quot;/&gt;&lt;wsp:rsid wsp:val=&quot;009B2A7E&quot;/&gt;&lt;wsp:rsid wsp:val=&quot;009B2AAF&quot;/&gt;&lt;wsp:rsid wsp:val=&quot;009B2AFC&quot;/&gt;&lt;wsp:rsid wsp:val=&quot;009B2B4B&quot;/&gt;&lt;wsp:rsid wsp:val=&quot;009B2DDF&quot;/&gt;&lt;wsp:rsid wsp:val=&quot;009B3261&quot;/&gt;&lt;wsp:rsid wsp:val=&quot;009B3DE1&quot;/&gt;&lt;wsp:rsid wsp:val=&quot;009B4723&quot;/&gt;&lt;wsp:rsid wsp:val=&quot;009B4B92&quot;/&gt;&lt;wsp:rsid wsp:val=&quot;009B54B4&quot;/&gt;&lt;wsp:rsid wsp:val=&quot;009B5A4D&quot;/&gt;&lt;wsp:rsid wsp:val=&quot;009B5BB6&quot;/&gt;&lt;wsp:rsid wsp:val=&quot;009B6CDE&quot;/&gt;&lt;wsp:rsid wsp:val=&quot;009B7120&quot;/&gt;&lt;wsp:rsid wsp:val=&quot;009B79FA&quot;/&gt;&lt;wsp:rsid wsp:val=&quot;009B7A35&quot;/&gt;&lt;wsp:rsid wsp:val=&quot;009B7B82&quot;/&gt;&lt;wsp:rsid wsp:val=&quot;009B7DC2&quot;/&gt;&lt;wsp:rsid wsp:val=&quot;009C053E&quot;/&gt;&lt;wsp:rsid wsp:val=&quot;009C06B6&quot;/&gt;&lt;wsp:rsid wsp:val=&quot;009C08EA&quot;/&gt;&lt;wsp:rsid wsp:val=&quot;009C09FD&quot;/&gt;&lt;wsp:rsid wsp:val=&quot;009C0D5C&quot;/&gt;&lt;wsp:rsid wsp:val=&quot;009C1451&quot;/&gt;&lt;wsp:rsid wsp:val=&quot;009C1F4F&quot;/&gt;&lt;wsp:rsid wsp:val=&quot;009C2072&quot;/&gt;&lt;wsp:rsid wsp:val=&quot;009C23D6&quot;/&gt;&lt;wsp:rsid wsp:val=&quot;009C2722&quot;/&gt;&lt;wsp:rsid wsp:val=&quot;009C2729&quot;/&gt;&lt;wsp:rsid wsp:val=&quot;009C2784&quot;/&gt;&lt;wsp:rsid wsp:val=&quot;009C2AEA&quot;/&gt;&lt;wsp:rsid wsp:val=&quot;009C2C3F&quot;/&gt;&lt;wsp:rsid wsp:val=&quot;009C2FDD&quot;/&gt;&lt;wsp:rsid wsp:val=&quot;009C34F9&quot;/&gt;&lt;wsp:rsid wsp:val=&quot;009C35E7&quot;/&gt;&lt;wsp:rsid wsp:val=&quot;009C36E7&quot;/&gt;&lt;wsp:rsid wsp:val=&quot;009C38E9&quot;/&gt;&lt;wsp:rsid wsp:val=&quot;009C39F3&quot;/&gt;&lt;wsp:rsid wsp:val=&quot;009C3E94&quot;/&gt;&lt;wsp:rsid wsp:val=&quot;009C3FCC&quot;/&gt;&lt;wsp:rsid wsp:val=&quot;009C4BE5&quot;/&gt;&lt;wsp:rsid wsp:val=&quot;009C4ED7&quot;/&gt;&lt;wsp:rsid wsp:val=&quot;009C4F74&quot;/&gt;&lt;wsp:rsid wsp:val=&quot;009C5115&quot;/&gt;&lt;wsp:rsid wsp:val=&quot;009C517E&quot;/&gt;&lt;wsp:rsid wsp:val=&quot;009C542D&quot;/&gt;&lt;wsp:rsid wsp:val=&quot;009C57E9&quot;/&gt;&lt;wsp:rsid wsp:val=&quot;009C5B1C&quot;/&gt;&lt;wsp:rsid wsp:val=&quot;009C5BC1&quot;/&gt;&lt;wsp:rsid wsp:val=&quot;009C6835&quot;/&gt;&lt;wsp:rsid wsp:val=&quot;009C696A&quot;/&gt;&lt;wsp:rsid wsp:val=&quot;009C6BF5&quot;/&gt;&lt;wsp:rsid wsp:val=&quot;009C708E&quot;/&gt;&lt;wsp:rsid wsp:val=&quot;009C715D&quot;/&gt;&lt;wsp:rsid wsp:val=&quot;009C76B8&quot;/&gt;&lt;wsp:rsid wsp:val=&quot;009C7E16&quot;/&gt;&lt;wsp:rsid wsp:val=&quot;009C7E8B&quot;/&gt;&lt;wsp:rsid wsp:val=&quot;009C7F54&quot;/&gt;&lt;wsp:rsid wsp:val=&quot;009C7F9F&quot;/&gt;&lt;wsp:rsid wsp:val=&quot;009D04EE&quot;/&gt;&lt;wsp:rsid wsp:val=&quot;009D07C5&quot;/&gt;&lt;wsp:rsid wsp:val=&quot;009D0A80&quot;/&gt;&lt;wsp:rsid wsp:val=&quot;009D0AA1&quot;/&gt;&lt;wsp:rsid wsp:val=&quot;009D0AF6&quot;/&gt;&lt;wsp:rsid wsp:val=&quot;009D0B58&quot;/&gt;&lt;wsp:rsid wsp:val=&quot;009D0BEB&quot;/&gt;&lt;wsp:rsid wsp:val=&quot;009D11AD&quot;/&gt;&lt;wsp:rsid wsp:val=&quot;009D1479&quot;/&gt;&lt;wsp:rsid wsp:val=&quot;009D15E4&quot;/&gt;&lt;wsp:rsid wsp:val=&quot;009D162D&quot;/&gt;&lt;wsp:rsid wsp:val=&quot;009D17A0&quot;/&gt;&lt;wsp:rsid wsp:val=&quot;009D19F1&quot;/&gt;&lt;wsp:rsid wsp:val=&quot;009D2125&quot;/&gt;&lt;wsp:rsid wsp:val=&quot;009D227E&quot;/&gt;&lt;wsp:rsid wsp:val=&quot;009D23AA&quot;/&gt;&lt;wsp:rsid wsp:val=&quot;009D23C0&quot;/&gt;&lt;wsp:rsid wsp:val=&quot;009D281F&quot;/&gt;&lt;wsp:rsid wsp:val=&quot;009D298A&quot;/&gt;&lt;wsp:rsid wsp:val=&quot;009D29F0&quot;/&gt;&lt;wsp:rsid wsp:val=&quot;009D2B6B&quot;/&gt;&lt;wsp:rsid wsp:val=&quot;009D2BE3&quot;/&gt;&lt;wsp:rsid wsp:val=&quot;009D2E4A&quot;/&gt;&lt;wsp:rsid wsp:val=&quot;009D2EBB&quot;/&gt;&lt;wsp:rsid wsp:val=&quot;009D2FBB&quot;/&gt;&lt;wsp:rsid wsp:val=&quot;009D31E6&quot;/&gt;&lt;wsp:rsid wsp:val=&quot;009D35BB&quot;/&gt;&lt;wsp:rsid wsp:val=&quot;009D3A39&quot;/&gt;&lt;wsp:rsid wsp:val=&quot;009D3AE1&quot;/&gt;&lt;wsp:rsid wsp:val=&quot;009D3AF5&quot;/&gt;&lt;wsp:rsid wsp:val=&quot;009D461A&quot;/&gt;&lt;wsp:rsid wsp:val=&quot;009D56D5&quot;/&gt;&lt;wsp:rsid wsp:val=&quot;009D57B6&quot;/&gt;&lt;wsp:rsid wsp:val=&quot;009D5916&quot;/&gt;&lt;wsp:rsid wsp:val=&quot;009D5D5E&quot;/&gt;&lt;wsp:rsid wsp:val=&quot;009D6099&quot;/&gt;&lt;wsp:rsid wsp:val=&quot;009D61D7&quot;/&gt;&lt;wsp:rsid wsp:val=&quot;009D61E5&quot;/&gt;&lt;wsp:rsid wsp:val=&quot;009D6605&quot;/&gt;&lt;wsp:rsid wsp:val=&quot;009D67EA&quot;/&gt;&lt;wsp:rsid wsp:val=&quot;009D6ABA&quot;/&gt;&lt;wsp:rsid wsp:val=&quot;009D6ABF&quot;/&gt;&lt;wsp:rsid wsp:val=&quot;009D6D5A&quot;/&gt;&lt;wsp:rsid wsp:val=&quot;009D79DB&quot;/&gt;&lt;wsp:rsid wsp:val=&quot;009D7A84&quot;/&gt;&lt;wsp:rsid wsp:val=&quot;009D7AB4&quot;/&gt;&lt;wsp:rsid wsp:val=&quot;009D7D1E&quot;/&gt;&lt;wsp:rsid wsp:val=&quot;009D7FD1&quot;/&gt;&lt;wsp:rsid wsp:val=&quot;009E037F&quot;/&gt;&lt;wsp:rsid wsp:val=&quot;009E07DE&quot;/&gt;&lt;wsp:rsid wsp:val=&quot;009E0BCD&quot;/&gt;&lt;wsp:rsid wsp:val=&quot;009E0BEF&quot;/&gt;&lt;wsp:rsid wsp:val=&quot;009E0DD7&quot;/&gt;&lt;wsp:rsid wsp:val=&quot;009E0F4D&quot;/&gt;&lt;wsp:rsid wsp:val=&quot;009E0FB4&quot;/&gt;&lt;wsp:rsid wsp:val=&quot;009E1086&quot;/&gt;&lt;wsp:rsid wsp:val=&quot;009E1294&quot;/&gt;&lt;wsp:rsid wsp:val=&quot;009E19F8&quot;/&gt;&lt;wsp:rsid wsp:val=&quot;009E1C77&quot;/&gt;&lt;wsp:rsid wsp:val=&quot;009E2DEE&quot;/&gt;&lt;wsp:rsid wsp:val=&quot;009E36EB&quot;/&gt;&lt;wsp:rsid wsp:val=&quot;009E3E4C&quot;/&gt;&lt;wsp:rsid wsp:val=&quot;009E3FFF&quot;/&gt;&lt;wsp:rsid wsp:val=&quot;009E45F4&quot;/&gt;&lt;wsp:rsid wsp:val=&quot;009E4622&quot;/&gt;&lt;wsp:rsid wsp:val=&quot;009E48F5&quot;/&gt;&lt;wsp:rsid wsp:val=&quot;009E5044&quot;/&gt;&lt;wsp:rsid wsp:val=&quot;009E5060&quot;/&gt;&lt;wsp:rsid wsp:val=&quot;009E53F0&quot;/&gt;&lt;wsp:rsid wsp:val=&quot;009E53F2&quot;/&gt;&lt;wsp:rsid wsp:val=&quot;009E5666&quot;/&gt;&lt;wsp:rsid wsp:val=&quot;009E56C1&quot;/&gt;&lt;wsp:rsid wsp:val=&quot;009E591E&quot;/&gt;&lt;wsp:rsid wsp:val=&quot;009E5D87&quot;/&gt;&lt;wsp:rsid wsp:val=&quot;009E5DE0&quot;/&gt;&lt;wsp:rsid wsp:val=&quot;009E68A8&quot;/&gt;&lt;wsp:rsid wsp:val=&quot;009E6988&quot;/&gt;&lt;wsp:rsid wsp:val=&quot;009E6C73&quot;/&gt;&lt;wsp:rsid wsp:val=&quot;009E6CC9&quot;/&gt;&lt;wsp:rsid wsp:val=&quot;009E71EE&quot;/&gt;&lt;wsp:rsid wsp:val=&quot;009E7D27&quot;/&gt;&lt;wsp:rsid wsp:val=&quot;009F0DAA&quot;/&gt;&lt;wsp:rsid wsp:val=&quot;009F0E30&quot;/&gt;&lt;wsp:rsid wsp:val=&quot;009F1B40&quot;/&gt;&lt;wsp:rsid wsp:val=&quot;009F1C8A&quot;/&gt;&lt;wsp:rsid wsp:val=&quot;009F254F&quot;/&gt;&lt;wsp:rsid wsp:val=&quot;009F26F9&quot;/&gt;&lt;wsp:rsid wsp:val=&quot;009F2846&quot;/&gt;&lt;wsp:rsid wsp:val=&quot;009F2AFA&quot;/&gt;&lt;wsp:rsid wsp:val=&quot;009F2D02&quot;/&gt;&lt;wsp:rsid wsp:val=&quot;009F3060&quot;/&gt;&lt;wsp:rsid wsp:val=&quot;009F37DD&quot;/&gt;&lt;wsp:rsid wsp:val=&quot;009F3857&quot;/&gt;&lt;wsp:rsid wsp:val=&quot;009F3960&quot;/&gt;&lt;wsp:rsid wsp:val=&quot;009F3C41&quot;/&gt;&lt;wsp:rsid wsp:val=&quot;009F426A&quot;/&gt;&lt;wsp:rsid wsp:val=&quot;009F4681&quot;/&gt;&lt;wsp:rsid wsp:val=&quot;009F48C5&quot;/&gt;&lt;wsp:rsid wsp:val=&quot;009F4D8C&quot;/&gt;&lt;wsp:rsid wsp:val=&quot;009F4FFF&quot;/&gt;&lt;wsp:rsid wsp:val=&quot;009F519D&quot;/&gt;&lt;wsp:rsid wsp:val=&quot;009F5232&quot;/&gt;&lt;wsp:rsid wsp:val=&quot;009F52A3&quot;/&gt;&lt;wsp:rsid wsp:val=&quot;009F53C7&quot;/&gt;&lt;wsp:rsid wsp:val=&quot;009F56F5&quot;/&gt;&lt;wsp:rsid wsp:val=&quot;009F590B&quot;/&gt;&lt;wsp:rsid wsp:val=&quot;009F5AF6&quot;/&gt;&lt;wsp:rsid wsp:val=&quot;009F5EC0&quot;/&gt;&lt;wsp:rsid wsp:val=&quot;009F6174&quot;/&gt;&lt;wsp:rsid wsp:val=&quot;009F61F3&quot;/&gt;&lt;wsp:rsid wsp:val=&quot;009F6612&quot;/&gt;&lt;wsp:rsid wsp:val=&quot;009F66D0&quot;/&gt;&lt;wsp:rsid wsp:val=&quot;009F6BFF&quot;/&gt;&lt;wsp:rsid wsp:val=&quot;009F6C12&quot;/&gt;&lt;wsp:rsid wsp:val=&quot;009F6C6F&quot;/&gt;&lt;wsp:rsid wsp:val=&quot;009F6D60&quot;/&gt;&lt;wsp:rsid wsp:val=&quot;009F6E91&quot;/&gt;&lt;wsp:rsid wsp:val=&quot;009F7704&quot;/&gt;&lt;wsp:rsid wsp:val=&quot;009F7E7D&quot;/&gt;&lt;wsp:rsid wsp:val=&quot;00A00108&quot;/&gt;&lt;wsp:rsid wsp:val=&quot;00A0029D&quot;/&gt;&lt;wsp:rsid wsp:val=&quot;00A006E2&quot;/&gt;&lt;wsp:rsid wsp:val=&quot;00A006EE&quot;/&gt;&lt;wsp:rsid wsp:val=&quot;00A0074F&quot;/&gt;&lt;wsp:rsid wsp:val=&quot;00A00F23&quot;/&gt;&lt;wsp:rsid wsp:val=&quot;00A013C1&quot;/&gt;&lt;wsp:rsid wsp:val=&quot;00A01BB7&quot;/&gt;&lt;wsp:rsid wsp:val=&quot;00A01BBC&quot;/&gt;&lt;wsp:rsid wsp:val=&quot;00A01C6B&quot;/&gt;&lt;wsp:rsid wsp:val=&quot;00A01CBE&quot;/&gt;&lt;wsp:rsid wsp:val=&quot;00A0234B&quot;/&gt;&lt;wsp:rsid wsp:val=&quot;00A024CC&quot;/&gt;&lt;wsp:rsid wsp:val=&quot;00A02851&quot;/&gt;&lt;wsp:rsid wsp:val=&quot;00A02878&quot;/&gt;&lt;wsp:rsid wsp:val=&quot;00A02CB7&quot;/&gt;&lt;wsp:rsid wsp:val=&quot;00A0335B&quot;/&gt;&lt;wsp:rsid wsp:val=&quot;00A03B79&quot;/&gt;&lt;wsp:rsid wsp:val=&quot;00A03E14&quot;/&gt;&lt;wsp:rsid wsp:val=&quot;00A04440&quot;/&gt;&lt;wsp:rsid wsp:val=&quot;00A04E5B&quot;/&gt;&lt;wsp:rsid wsp:val=&quot;00A04F29&quot;/&gt;&lt;wsp:rsid wsp:val=&quot;00A05038&quot;/&gt;&lt;wsp:rsid wsp:val=&quot;00A0578A&quot;/&gt;&lt;wsp:rsid wsp:val=&quot;00A05925&quot;/&gt;&lt;wsp:rsid wsp:val=&quot;00A05AA3&quot;/&gt;&lt;wsp:rsid wsp:val=&quot;00A05F18&quot;/&gt;&lt;wsp:rsid wsp:val=&quot;00A06349&quot;/&gt;&lt;wsp:rsid wsp:val=&quot;00A06389&quot;/&gt;&lt;wsp:rsid wsp:val=&quot;00A063D6&quot;/&gt;&lt;wsp:rsid wsp:val=&quot;00A06AF7&quot;/&gt;&lt;wsp:rsid wsp:val=&quot;00A06C3B&quot;/&gt;&lt;wsp:rsid wsp:val=&quot;00A0705C&quot;/&gt;&lt;wsp:rsid wsp:val=&quot;00A071F0&quot;/&gt;&lt;wsp:rsid wsp:val=&quot;00A0795B&quot;/&gt;&lt;wsp:rsid wsp:val=&quot;00A07FD5&quot;/&gt;&lt;wsp:rsid wsp:val=&quot;00A10198&quot;/&gt;&lt;wsp:rsid wsp:val=&quot;00A101C2&quot;/&gt;&lt;wsp:rsid wsp:val=&quot;00A10679&quot;/&gt;&lt;wsp:rsid wsp:val=&quot;00A106EB&quot;/&gt;&lt;wsp:rsid wsp:val=&quot;00A109EE&quot;/&gt;&lt;wsp:rsid wsp:val=&quot;00A112E7&quot;/&gt;&lt;wsp:rsid wsp:val=&quot;00A11859&quot;/&gt;&lt;wsp:rsid wsp:val=&quot;00A11F40&quot;/&gt;&lt;wsp:rsid wsp:val=&quot;00A12240&quot;/&gt;&lt;wsp:rsid wsp:val=&quot;00A12640&quot;/&gt;&lt;wsp:rsid wsp:val=&quot;00A128AA&quot;/&gt;&lt;wsp:rsid wsp:val=&quot;00A12C11&quot;/&gt;&lt;wsp:rsid wsp:val=&quot;00A12C12&quot;/&gt;&lt;wsp:rsid wsp:val=&quot;00A12D6A&quot;/&gt;&lt;wsp:rsid wsp:val=&quot;00A12D7C&quot;/&gt;&lt;wsp:rsid wsp:val=&quot;00A1375D&quot;/&gt;&lt;wsp:rsid wsp:val=&quot;00A1385D&quot;/&gt;&lt;wsp:rsid wsp:val=&quot;00A13B28&quot;/&gt;&lt;wsp:rsid wsp:val=&quot;00A13D39&quot;/&gt;&lt;wsp:rsid wsp:val=&quot;00A13F73&quot;/&gt;&lt;wsp:rsid wsp:val=&quot;00A13F82&quot;/&gt;&lt;wsp:rsid wsp:val=&quot;00A13FED&quot;/&gt;&lt;wsp:rsid wsp:val=&quot;00A14252&quot;/&gt;&lt;wsp:rsid wsp:val=&quot;00A148D1&quot;/&gt;&lt;wsp:rsid wsp:val=&quot;00A148FB&quot;/&gt;&lt;wsp:rsid wsp:val=&quot;00A14FE7&quot;/&gt;&lt;wsp:rsid wsp:val=&quot;00A150D5&quot;/&gt;&lt;wsp:rsid wsp:val=&quot;00A15168&quot;/&gt;&lt;wsp:rsid wsp:val=&quot;00A1543F&quot;/&gt;&lt;wsp:rsid wsp:val=&quot;00A15572&quot;/&gt;&lt;wsp:rsid wsp:val=&quot;00A15783&quot;/&gt;&lt;wsp:rsid wsp:val=&quot;00A15C97&quot;/&gt;&lt;wsp:rsid wsp:val=&quot;00A15CBA&quot;/&gt;&lt;wsp:rsid wsp:val=&quot;00A16141&quot;/&gt;&lt;wsp:rsid wsp:val=&quot;00A166D0&quot;/&gt;&lt;wsp:rsid wsp:val=&quot;00A16A35&quot;/&gt;&lt;wsp:rsid wsp:val=&quot;00A1722D&quot;/&gt;&lt;wsp:rsid wsp:val=&quot;00A1763E&quot;/&gt;&lt;wsp:rsid wsp:val=&quot;00A17B2D&quot;/&gt;&lt;wsp:rsid wsp:val=&quot;00A17C35&quot;/&gt;&lt;wsp:rsid wsp:val=&quot;00A17D80&quot;/&gt;&lt;wsp:rsid wsp:val=&quot;00A17DDB&quot;/&gt;&lt;wsp:rsid wsp:val=&quot;00A17E93&quot;/&gt;&lt;wsp:rsid wsp:val=&quot;00A17FD5&quot;/&gt;&lt;wsp:rsid wsp:val=&quot;00A20378&quot;/&gt;&lt;wsp:rsid wsp:val=&quot;00A209EA&quot;/&gt;&lt;wsp:rsid wsp:val=&quot;00A20D10&quot;/&gt;&lt;wsp:rsid wsp:val=&quot;00A20E6C&quot;/&gt;&lt;wsp:rsid wsp:val=&quot;00A20F11&quot;/&gt;&lt;wsp:rsid wsp:val=&quot;00A21ABD&quot;/&gt;&lt;wsp:rsid wsp:val=&quot;00A21BFA&quot;/&gt;&lt;wsp:rsid wsp:val=&quot;00A21CE4&quot;/&gt;&lt;wsp:rsid wsp:val=&quot;00A2207C&quot;/&gt;&lt;wsp:rsid wsp:val=&quot;00A22137&quot;/&gt;&lt;wsp:rsid wsp:val=&quot;00A226FC&quot;/&gt;&lt;wsp:rsid wsp:val=&quot;00A226FF&quot;/&gt;&lt;wsp:rsid wsp:val=&quot;00A2291F&quot;/&gt;&lt;wsp:rsid wsp:val=&quot;00A22E0D&quot;/&gt;&lt;wsp:rsid wsp:val=&quot;00A22F42&quot;/&gt;&lt;wsp:rsid wsp:val=&quot;00A23506&quot;/&gt;&lt;wsp:rsid wsp:val=&quot;00A23648&quot;/&gt;&lt;wsp:rsid wsp:val=&quot;00A23994&quot;/&gt;&lt;wsp:rsid wsp:val=&quot;00A23B5E&quot;/&gt;&lt;wsp:rsid wsp:val=&quot;00A24233&quot;/&gt;&lt;wsp:rsid wsp:val=&quot;00A24248&quot;/&gt;&lt;wsp:rsid wsp:val=&quot;00A24A2D&quot;/&gt;&lt;wsp:rsid wsp:val=&quot;00A252E7&quot;/&gt;&lt;wsp:rsid wsp:val=&quot;00A2593E&quot;/&gt;&lt;wsp:rsid wsp:val=&quot;00A261A7&quot;/&gt;&lt;wsp:rsid wsp:val=&quot;00A262EE&quot;/&gt;&lt;wsp:rsid wsp:val=&quot;00A270A3&quot;/&gt;&lt;wsp:rsid wsp:val=&quot;00A27218&quot;/&gt;&lt;wsp:rsid wsp:val=&quot;00A272C0&quot;/&gt;&lt;wsp:rsid wsp:val=&quot;00A27335&quot;/&gt;&lt;wsp:rsid wsp:val=&quot;00A27758&quot;/&gt;&lt;wsp:rsid wsp:val=&quot;00A27EF4&quot;/&gt;&lt;wsp:rsid wsp:val=&quot;00A27F1E&quot;/&gt;&lt;wsp:rsid wsp:val=&quot;00A30022&quot;/&gt;&lt;wsp:rsid wsp:val=&quot;00A30405&quot;/&gt;&lt;wsp:rsid wsp:val=&quot;00A30473&quot;/&gt;&lt;wsp:rsid wsp:val=&quot;00A304F6&quot;/&gt;&lt;wsp:rsid wsp:val=&quot;00A30940&quot;/&gt;&lt;wsp:rsid wsp:val=&quot;00A30C79&quot;/&gt;&lt;wsp:rsid wsp:val=&quot;00A30CD9&quot;/&gt;&lt;wsp:rsid wsp:val=&quot;00A30D84&quot;/&gt;&lt;wsp:rsid wsp:val=&quot;00A310F8&quot;/&gt;&lt;wsp:rsid wsp:val=&quot;00A31154&quot;/&gt;&lt;wsp:rsid wsp:val=&quot;00A3124A&quot;/&gt;&lt;wsp:rsid wsp:val=&quot;00A31811&quot;/&gt;&lt;wsp:rsid wsp:val=&quot;00A31CD5&quot;/&gt;&lt;wsp:rsid wsp:val=&quot;00A32633&quot;/&gt;&lt;wsp:rsid wsp:val=&quot;00A32EF9&quot;/&gt;&lt;wsp:rsid wsp:val=&quot;00A3384E&quot;/&gt;&lt;wsp:rsid wsp:val=&quot;00A33D51&quot;/&gt;&lt;wsp:rsid wsp:val=&quot;00A33EAA&quot;/&gt;&lt;wsp:rsid wsp:val=&quot;00A34099&quot;/&gt;&lt;wsp:rsid wsp:val=&quot;00A343F7&quot;/&gt;&lt;wsp:rsid wsp:val=&quot;00A34488&quot;/&gt;&lt;wsp:rsid wsp:val=&quot;00A34787&quot;/&gt;&lt;wsp:rsid wsp:val=&quot;00A3483B&quot;/&gt;&lt;wsp:rsid wsp:val=&quot;00A348E8&quot;/&gt;&lt;wsp:rsid wsp:val=&quot;00A34919&quot;/&gt;&lt;wsp:rsid wsp:val=&quot;00A34AB2&quot;/&gt;&lt;wsp:rsid wsp:val=&quot;00A3521D&quot;/&gt;&lt;wsp:rsid wsp:val=&quot;00A352D6&quot;/&gt;&lt;wsp:rsid wsp:val=&quot;00A35655&quot;/&gt;&lt;wsp:rsid wsp:val=&quot;00A35DA5&quot;/&gt;&lt;wsp:rsid wsp:val=&quot;00A3602A&quot;/&gt;&lt;wsp:rsid wsp:val=&quot;00A3612D&quot;/&gt;&lt;wsp:rsid wsp:val=&quot;00A3687D&quot;/&gt;&lt;wsp:rsid wsp:val=&quot;00A36911&quot;/&gt;&lt;wsp:rsid wsp:val=&quot;00A36FC7&quot;/&gt;&lt;wsp:rsid wsp:val=&quot;00A375E3&quot;/&gt;&lt;wsp:rsid wsp:val=&quot;00A37CCC&quot;/&gt;&lt;wsp:rsid wsp:val=&quot;00A37D0D&quot;/&gt;&lt;wsp:rsid wsp:val=&quot;00A40248&quot;/&gt;&lt;wsp:rsid wsp:val=&quot;00A40A2D&quot;/&gt;&lt;wsp:rsid wsp:val=&quot;00A40C6F&quot;/&gt;&lt;wsp:rsid wsp:val=&quot;00A40F5C&quot;/&gt;&lt;wsp:rsid wsp:val=&quot;00A41847&quot;/&gt;&lt;wsp:rsid wsp:val=&quot;00A41B59&quot;/&gt;&lt;wsp:rsid wsp:val=&quot;00A41EEF&quot;/&gt;&lt;wsp:rsid wsp:val=&quot;00A4240B&quot;/&gt;&lt;wsp:rsid wsp:val=&quot;00A4252A&quot;/&gt;&lt;wsp:rsid wsp:val=&quot;00A429A0&quot;/&gt;&lt;wsp:rsid wsp:val=&quot;00A43176&quot;/&gt;&lt;wsp:rsid wsp:val=&quot;00A43177&quot;/&gt;&lt;wsp:rsid wsp:val=&quot;00A43326&quot;/&gt;&lt;wsp:rsid wsp:val=&quot;00A43637&quot;/&gt;&lt;wsp:rsid wsp:val=&quot;00A4383F&quot;/&gt;&lt;wsp:rsid wsp:val=&quot;00A43F6D&quot;/&gt;&lt;wsp:rsid wsp:val=&quot;00A442DB&quot;/&gt;&lt;wsp:rsid wsp:val=&quot;00A44F49&quot;/&gt;&lt;wsp:rsid wsp:val=&quot;00A465D5&quot;/&gt;&lt;wsp:rsid wsp:val=&quot;00A47257&quot;/&gt;&lt;wsp:rsid wsp:val=&quot;00A4729B&quot;/&gt;&lt;wsp:rsid wsp:val=&quot;00A4778F&quot;/&gt;&lt;wsp:rsid wsp:val=&quot;00A47AEC&quot;/&gt;&lt;wsp:rsid wsp:val=&quot;00A47F2C&quot;/&gt;&lt;wsp:rsid wsp:val=&quot;00A50056&quot;/&gt;&lt;wsp:rsid wsp:val=&quot;00A5053E&quot;/&gt;&lt;wsp:rsid wsp:val=&quot;00A50D97&quot;/&gt;&lt;wsp:rsid wsp:val=&quot;00A51313&quot;/&gt;&lt;wsp:rsid wsp:val=&quot;00A513B8&quot;/&gt;&lt;wsp:rsid wsp:val=&quot;00A51795&quot;/&gt;&lt;wsp:rsid wsp:val=&quot;00A51870&quot;/&gt;&lt;wsp:rsid wsp:val=&quot;00A518ED&quot;/&gt;&lt;wsp:rsid wsp:val=&quot;00A51CA5&quot;/&gt;&lt;wsp:rsid wsp:val=&quot;00A51F41&quot;/&gt;&lt;wsp:rsid wsp:val=&quot;00A51F64&quot;/&gt;&lt;wsp:rsid wsp:val=&quot;00A52270&quot;/&gt;&lt;wsp:rsid wsp:val=&quot;00A526BB&quot;/&gt;&lt;wsp:rsid wsp:val=&quot;00A528FE&quot;/&gt;&lt;wsp:rsid wsp:val=&quot;00A52AB8&quot;/&gt;&lt;wsp:rsid wsp:val=&quot;00A52C16&quot;/&gt;&lt;wsp:rsid wsp:val=&quot;00A52FAE&quot;/&gt;&lt;wsp:rsid wsp:val=&quot;00A53478&quot;/&gt;&lt;wsp:rsid wsp:val=&quot;00A537B8&quot;/&gt;&lt;wsp:rsid wsp:val=&quot;00A537CA&quot;/&gt;&lt;wsp:rsid wsp:val=&quot;00A53809&quot;/&gt;&lt;wsp:rsid wsp:val=&quot;00A53D59&quot;/&gt;&lt;wsp:rsid wsp:val=&quot;00A53E21&quot;/&gt;&lt;wsp:rsid wsp:val=&quot;00A54816&quot;/&gt;&lt;wsp:rsid wsp:val=&quot;00A54971&quot;/&gt;&lt;wsp:rsid wsp:val=&quot;00A54E31&quot;/&gt;&lt;wsp:rsid wsp:val=&quot;00A5553C&quot;/&gt;&lt;wsp:rsid wsp:val=&quot;00A55B82&quot;/&gt;&lt;wsp:rsid wsp:val=&quot;00A56042&quot;/&gt;&lt;wsp:rsid wsp:val=&quot;00A5604E&quot;/&gt;&lt;wsp:rsid wsp:val=&quot;00A56484&quot;/&gt;&lt;wsp:rsid wsp:val=&quot;00A56E0B&quot;/&gt;&lt;wsp:rsid wsp:val=&quot;00A575B8&quot;/&gt;&lt;wsp:rsid wsp:val=&quot;00A57746&quot;/&gt;&lt;wsp:rsid wsp:val=&quot;00A57A97&quot;/&gt;&lt;wsp:rsid wsp:val=&quot;00A57D2D&quot;/&gt;&lt;wsp:rsid wsp:val=&quot;00A6006A&quot;/&gt;&lt;wsp:rsid wsp:val=&quot;00A6014E&quot;/&gt;&lt;wsp:rsid wsp:val=&quot;00A604C0&quot;/&gt;&lt;wsp:rsid wsp:val=&quot;00A607AF&quot;/&gt;&lt;wsp:rsid wsp:val=&quot;00A60DD1&quot;/&gt;&lt;wsp:rsid wsp:val=&quot;00A6113E&quot;/&gt;&lt;wsp:rsid wsp:val=&quot;00A6171A&quot;/&gt;&lt;wsp:rsid wsp:val=&quot;00A61798&quot;/&gt;&lt;wsp:rsid wsp:val=&quot;00A6194C&quot;/&gt;&lt;wsp:rsid wsp:val=&quot;00A61983&quot;/&gt;&lt;wsp:rsid wsp:val=&quot;00A61A8E&quot;/&gt;&lt;wsp:rsid wsp:val=&quot;00A61DB3&quot;/&gt;&lt;wsp:rsid wsp:val=&quot;00A61E69&quot;/&gt;&lt;wsp:rsid wsp:val=&quot;00A62020&quot;/&gt;&lt;wsp:rsid wsp:val=&quot;00A626B2&quot;/&gt;&lt;wsp:rsid wsp:val=&quot;00A627DD&quot;/&gt;&lt;wsp:rsid wsp:val=&quot;00A629DA&quot;/&gt;&lt;wsp:rsid wsp:val=&quot;00A6304F&quot;/&gt;&lt;wsp:rsid wsp:val=&quot;00A63AA4&quot;/&gt;&lt;wsp:rsid wsp:val=&quot;00A63B13&quot;/&gt;&lt;wsp:rsid wsp:val=&quot;00A63D49&quot;/&gt;&lt;wsp:rsid wsp:val=&quot;00A64267&quot;/&gt;&lt;wsp:rsid wsp:val=&quot;00A648AE&quot;/&gt;&lt;wsp:rsid wsp:val=&quot;00A64BC5&quot;/&gt;&lt;wsp:rsid wsp:val=&quot;00A64D66&quot;/&gt;&lt;wsp:rsid wsp:val=&quot;00A65203&quot;/&gt;&lt;wsp:rsid wsp:val=&quot;00A65267&quot;/&gt;&lt;wsp:rsid wsp:val=&quot;00A6539A&quot;/&gt;&lt;wsp:rsid wsp:val=&quot;00A65429&quot;/&gt;&lt;wsp:rsid wsp:val=&quot;00A65763&quot;/&gt;&lt;wsp:rsid wsp:val=&quot;00A65CF2&quot;/&gt;&lt;wsp:rsid wsp:val=&quot;00A65FB1&quot;/&gt;&lt;wsp:rsid wsp:val=&quot;00A660DE&quot;/&gt;&lt;wsp:rsid wsp:val=&quot;00A66337&quot;/&gt;&lt;wsp:rsid wsp:val=&quot;00A66855&quot;/&gt;&lt;wsp:rsid wsp:val=&quot;00A66C91&quot;/&gt;&lt;wsp:rsid wsp:val=&quot;00A66D12&quot;/&gt;&lt;wsp:rsid wsp:val=&quot;00A66D7A&quot;/&gt;&lt;wsp:rsid wsp:val=&quot;00A670D6&quot;/&gt;&lt;wsp:rsid wsp:val=&quot;00A6729D&quot;/&gt;&lt;wsp:rsid wsp:val=&quot;00A67394&quot;/&gt;&lt;wsp:rsid wsp:val=&quot;00A677B5&quot;/&gt;&lt;wsp:rsid wsp:val=&quot;00A6790F&quot;/&gt;&lt;wsp:rsid wsp:val=&quot;00A67912&quot;/&gt;&lt;wsp:rsid wsp:val=&quot;00A67DAC&quot;/&gt;&lt;wsp:rsid wsp:val=&quot;00A701FD&quot;/&gt;&lt;wsp:rsid wsp:val=&quot;00A707D4&quot;/&gt;&lt;wsp:rsid wsp:val=&quot;00A70A5B&quot;/&gt;&lt;wsp:rsid wsp:val=&quot;00A70BDE&quot;/&gt;&lt;wsp:rsid wsp:val=&quot;00A70E8D&quot;/&gt;&lt;wsp:rsid wsp:val=&quot;00A70EC1&quot;/&gt;&lt;wsp:rsid wsp:val=&quot;00A70F52&quot;/&gt;&lt;wsp:rsid wsp:val=&quot;00A710F7&quot;/&gt;&lt;wsp:rsid wsp:val=&quot;00A71124&quot;/&gt;&lt;wsp:rsid wsp:val=&quot;00A7121B&quot;/&gt;&lt;wsp:rsid wsp:val=&quot;00A715C6&quot;/&gt;&lt;wsp:rsid wsp:val=&quot;00A715FD&quot;/&gt;&lt;wsp:rsid wsp:val=&quot;00A71A9A&quot;/&gt;&lt;wsp:rsid wsp:val=&quot;00A71FF8&quot;/&gt;&lt;wsp:rsid wsp:val=&quot;00A7266F&quot;/&gt;&lt;wsp:rsid wsp:val=&quot;00A72C11&quot;/&gt;&lt;wsp:rsid wsp:val=&quot;00A72E7A&quot;/&gt;&lt;wsp:rsid wsp:val=&quot;00A7352C&quot;/&gt;&lt;wsp:rsid wsp:val=&quot;00A73841&quot;/&gt;&lt;wsp:rsid wsp:val=&quot;00A73A59&quot;/&gt;&lt;wsp:rsid wsp:val=&quot;00A73D44&quot;/&gt;&lt;wsp:rsid wsp:val=&quot;00A741C8&quot;/&gt;&lt;wsp:rsid wsp:val=&quot;00A74A9A&quot;/&gt;&lt;wsp:rsid wsp:val=&quot;00A74C38&quot;/&gt;&lt;wsp:rsid wsp:val=&quot;00A75314&quot;/&gt;&lt;wsp:rsid wsp:val=&quot;00A7562A&quot;/&gt;&lt;wsp:rsid wsp:val=&quot;00A75D66&quot;/&gt;&lt;wsp:rsid wsp:val=&quot;00A75E31&quot;/&gt;&lt;wsp:rsid wsp:val=&quot;00A75E76&quot;/&gt;&lt;wsp:rsid wsp:val=&quot;00A76326&quot;/&gt;&lt;wsp:rsid wsp:val=&quot;00A765A2&quot;/&gt;&lt;wsp:rsid wsp:val=&quot;00A765C0&quot;/&gt;&lt;wsp:rsid wsp:val=&quot;00A7686C&quot;/&gt;&lt;wsp:rsid wsp:val=&quot;00A76A08&quot;/&gt;&lt;wsp:rsid wsp:val=&quot;00A76A40&quot;/&gt;&lt;wsp:rsid wsp:val=&quot;00A76B2A&quot;/&gt;&lt;wsp:rsid wsp:val=&quot;00A76D07&quot;/&gt;&lt;wsp:rsid wsp:val=&quot;00A76E3C&quot;/&gt;&lt;wsp:rsid wsp:val=&quot;00A7790D&quot;/&gt;&lt;wsp:rsid wsp:val=&quot;00A77B57&quot;/&gt;&lt;wsp:rsid wsp:val=&quot;00A77BFB&quot;/&gt;&lt;wsp:rsid wsp:val=&quot;00A800B3&quot;/&gt;&lt;wsp:rsid wsp:val=&quot;00A80333&quot;/&gt;&lt;wsp:rsid wsp:val=&quot;00A807B7&quot;/&gt;&lt;wsp:rsid wsp:val=&quot;00A80877&quot;/&gt;&lt;wsp:rsid wsp:val=&quot;00A80892&quot;/&gt;&lt;wsp:rsid wsp:val=&quot;00A80A0E&quot;/&gt;&lt;wsp:rsid wsp:val=&quot;00A80A86&quot;/&gt;&lt;wsp:rsid wsp:val=&quot;00A810F9&quot;/&gt;&lt;wsp:rsid wsp:val=&quot;00A8111C&quot;/&gt;&lt;wsp:rsid wsp:val=&quot;00A8170A&quot;/&gt;&lt;wsp:rsid wsp:val=&quot;00A818A4&quot;/&gt;&lt;wsp:rsid wsp:val=&quot;00A81DD7&quot;/&gt;&lt;wsp:rsid wsp:val=&quot;00A820B4&quot;/&gt;&lt;wsp:rsid wsp:val=&quot;00A82346&quot;/&gt;&lt;wsp:rsid wsp:val=&quot;00A82675&quot;/&gt;&lt;wsp:rsid wsp:val=&quot;00A82773&quot;/&gt;&lt;wsp:rsid wsp:val=&quot;00A8277D&quot;/&gt;&lt;wsp:rsid wsp:val=&quot;00A83BFC&quot;/&gt;&lt;wsp:rsid wsp:val=&quot;00A83DD5&quot;/&gt;&lt;wsp:rsid wsp:val=&quot;00A841A8&quot;/&gt;&lt;wsp:rsid wsp:val=&quot;00A8425B&quot;/&gt;&lt;wsp:rsid wsp:val=&quot;00A84D1E&quot;/&gt;&lt;wsp:rsid wsp:val=&quot;00A85234&quot;/&gt;&lt;wsp:rsid wsp:val=&quot;00A853B5&quot;/&gt;&lt;wsp:rsid wsp:val=&quot;00A855A2&quot;/&gt;&lt;wsp:rsid wsp:val=&quot;00A85755&quot;/&gt;&lt;wsp:rsid wsp:val=&quot;00A858ED&quot;/&gt;&lt;wsp:rsid wsp:val=&quot;00A85A20&quot;/&gt;&lt;wsp:rsid wsp:val=&quot;00A85D90&quot;/&gt;&lt;wsp:rsid wsp:val=&quot;00A85E89&quot;/&gt;&lt;wsp:rsid wsp:val=&quot;00A85EB0&quot;/&gt;&lt;wsp:rsid wsp:val=&quot;00A86531&quot;/&gt;&lt;wsp:rsid wsp:val=&quot;00A867EB&quot;/&gt;&lt;wsp:rsid wsp:val=&quot;00A86B33&quot;/&gt;&lt;wsp:rsid wsp:val=&quot;00A86EEB&quot;/&gt;&lt;wsp:rsid wsp:val=&quot;00A87155&quot;/&gt;&lt;wsp:rsid wsp:val=&quot;00A87208&quot;/&gt;&lt;wsp:rsid wsp:val=&quot;00A87724&quot;/&gt;&lt;wsp:rsid wsp:val=&quot;00A87820&quot;/&gt;&lt;wsp:rsid wsp:val=&quot;00A8788D&quot;/&gt;&lt;wsp:rsid wsp:val=&quot;00A878A4&quot;/&gt;&lt;wsp:rsid wsp:val=&quot;00A879D6&quot;/&gt;&lt;wsp:rsid wsp:val=&quot;00A87C29&quot;/&gt;&lt;wsp:rsid wsp:val=&quot;00A87F41&quot;/&gt;&lt;wsp:rsid wsp:val=&quot;00A903DE&quot;/&gt;&lt;wsp:rsid wsp:val=&quot;00A90584&quot;/&gt;&lt;wsp:rsid wsp:val=&quot;00A90A12&quot;/&gt;&lt;wsp:rsid wsp:val=&quot;00A90F31&quot;/&gt;&lt;wsp:rsid wsp:val=&quot;00A912DD&quot;/&gt;&lt;wsp:rsid wsp:val=&quot;00A915D8&quot;/&gt;&lt;wsp:rsid wsp:val=&quot;00A91839&quot;/&gt;&lt;wsp:rsid wsp:val=&quot;00A91B76&quot;/&gt;&lt;wsp:rsid wsp:val=&quot;00A91B9A&quot;/&gt;&lt;wsp:rsid wsp:val=&quot;00A91E08&quot;/&gt;&lt;wsp:rsid wsp:val=&quot;00A92168&quot;/&gt;&lt;wsp:rsid wsp:val=&quot;00A92513&quot;/&gt;&lt;wsp:rsid wsp:val=&quot;00A928DB&quot;/&gt;&lt;wsp:rsid wsp:val=&quot;00A9295F&quot;/&gt;&lt;wsp:rsid wsp:val=&quot;00A92B87&quot;/&gt;&lt;wsp:rsid wsp:val=&quot;00A9315B&quot;/&gt;&lt;wsp:rsid wsp:val=&quot;00A931F2&quot;/&gt;&lt;wsp:rsid wsp:val=&quot;00A93507&quot;/&gt;&lt;wsp:rsid wsp:val=&quot;00A935C3&quot;/&gt;&lt;wsp:rsid wsp:val=&quot;00A93D4E&quot;/&gt;&lt;wsp:rsid wsp:val=&quot;00A93DE5&quot;/&gt;&lt;wsp:rsid wsp:val=&quot;00A93DE8&quot;/&gt;&lt;wsp:rsid wsp:val=&quot;00A93F76&quot;/&gt;&lt;wsp:rsid wsp:val=&quot;00A94491&quot;/&gt;&lt;wsp:rsid wsp:val=&quot;00A9480B&quot;/&gt;&lt;wsp:rsid wsp:val=&quot;00A94810&quot;/&gt;&lt;wsp:rsid wsp:val=&quot;00A951C6&quot;/&gt;&lt;wsp:rsid wsp:val=&quot;00A95BEC&quot;/&gt;&lt;wsp:rsid wsp:val=&quot;00A961BB&quot;/&gt;&lt;wsp:rsid wsp:val=&quot;00A9681E&quot;/&gt;&lt;wsp:rsid wsp:val=&quot;00A96A52&quot;/&gt;&lt;wsp:rsid wsp:val=&quot;00A96A66&quot;/&gt;&lt;wsp:rsid wsp:val=&quot;00A96AE7&quot;/&gt;&lt;wsp:rsid wsp:val=&quot;00A96EA8&quot;/&gt;&lt;wsp:rsid wsp:val=&quot;00A97920&quot;/&gt;&lt;wsp:rsid wsp:val=&quot;00A97D65&quot;/&gt;&lt;wsp:rsid wsp:val=&quot;00A97F1F&quot;/&gt;&lt;wsp:rsid wsp:val=&quot;00AA02FD&quot;/&gt;&lt;wsp:rsid wsp:val=&quot;00AA042C&quot;/&gt;&lt;wsp:rsid wsp:val=&quot;00AA0584&quot;/&gt;&lt;wsp:rsid wsp:val=&quot;00AA069E&quot;/&gt;&lt;wsp:rsid wsp:val=&quot;00AA0A78&quot;/&gt;&lt;wsp:rsid wsp:val=&quot;00AA0C0C&quot;/&gt;&lt;wsp:rsid wsp:val=&quot;00AA0C45&quot;/&gt;&lt;wsp:rsid wsp:val=&quot;00AA1080&quot;/&gt;&lt;wsp:rsid wsp:val=&quot;00AA1CBC&quot;/&gt;&lt;wsp:rsid wsp:val=&quot;00AA23FC&quot;/&gt;&lt;wsp:rsid wsp:val=&quot;00AA2521&quot;/&gt;&lt;wsp:rsid wsp:val=&quot;00AA2F18&quot;/&gt;&lt;wsp:rsid wsp:val=&quot;00AA314E&quot;/&gt;&lt;wsp:rsid wsp:val=&quot;00AA33A4&quot;/&gt;&lt;wsp:rsid wsp:val=&quot;00AA346B&quot;/&gt;&lt;wsp:rsid wsp:val=&quot;00AA3476&quot;/&gt;&lt;wsp:rsid wsp:val=&quot;00AA3937&quot;/&gt;&lt;wsp:rsid wsp:val=&quot;00AA3B2C&quot;/&gt;&lt;wsp:rsid wsp:val=&quot;00AA3C7A&quot;/&gt;&lt;wsp:rsid wsp:val=&quot;00AA3CBE&quot;/&gt;&lt;wsp:rsid wsp:val=&quot;00AA4246&quot;/&gt;&lt;wsp:rsid wsp:val=&quot;00AA4607&quot;/&gt;&lt;wsp:rsid wsp:val=&quot;00AA47E8&quot;/&gt;&lt;wsp:rsid wsp:val=&quot;00AA48A3&quot;/&gt;&lt;wsp:rsid wsp:val=&quot;00AA4924&quot;/&gt;&lt;wsp:rsid wsp:val=&quot;00AA4D99&quot;/&gt;&lt;wsp:rsid wsp:val=&quot;00AA4E2D&quot;/&gt;&lt;wsp:rsid wsp:val=&quot;00AA510B&quot;/&gt;&lt;wsp:rsid wsp:val=&quot;00AA512E&quot;/&gt;&lt;wsp:rsid wsp:val=&quot;00AA51BB&quot;/&gt;&lt;wsp:rsid wsp:val=&quot;00AA52B0&quot;/&gt;&lt;wsp:rsid wsp:val=&quot;00AA54CF&quot;/&gt;&lt;wsp:rsid wsp:val=&quot;00AA55AC&quot;/&gt;&lt;wsp:rsid wsp:val=&quot;00AA55DC&quot;/&gt;&lt;wsp:rsid wsp:val=&quot;00AA5A0A&quot;/&gt;&lt;wsp:rsid wsp:val=&quot;00AA5D36&quot;/&gt;&lt;wsp:rsid wsp:val=&quot;00AA5F33&quot;/&gt;&lt;wsp:rsid wsp:val=&quot;00AA66CE&quot;/&gt;&lt;wsp:rsid wsp:val=&quot;00AA6F5D&quot;/&gt;&lt;wsp:rsid wsp:val=&quot;00AA7915&quot;/&gt;&lt;wsp:rsid wsp:val=&quot;00AB097D&quot;/&gt;&lt;wsp:rsid wsp:val=&quot;00AB0B87&quot;/&gt;&lt;wsp:rsid wsp:val=&quot;00AB0E1C&quot;/&gt;&lt;wsp:rsid wsp:val=&quot;00AB10CD&quot;/&gt;&lt;wsp:rsid wsp:val=&quot;00AB1244&quot;/&gt;&lt;wsp:rsid wsp:val=&quot;00AB1504&quot;/&gt;&lt;wsp:rsid wsp:val=&quot;00AB20B0&quot;/&gt;&lt;wsp:rsid wsp:val=&quot;00AB2119&quot;/&gt;&lt;wsp:rsid wsp:val=&quot;00AB237C&quot;/&gt;&lt;wsp:rsid wsp:val=&quot;00AB269D&quot;/&gt;&lt;wsp:rsid wsp:val=&quot;00AB274E&quot;/&gt;&lt;wsp:rsid wsp:val=&quot;00AB292A&quot;/&gt;&lt;wsp:rsid wsp:val=&quot;00AB2CF5&quot;/&gt;&lt;wsp:rsid wsp:val=&quot;00AB2E72&quot;/&gt;&lt;wsp:rsid wsp:val=&quot;00AB2F00&quot;/&gt;&lt;wsp:rsid wsp:val=&quot;00AB301B&quot;/&gt;&lt;wsp:rsid wsp:val=&quot;00AB308B&quot;/&gt;&lt;wsp:rsid wsp:val=&quot;00AB3408&quot;/&gt;&lt;wsp:rsid wsp:val=&quot;00AB364B&quot;/&gt;&lt;wsp:rsid wsp:val=&quot;00AB389E&quot;/&gt;&lt;wsp:rsid wsp:val=&quot;00AB3D6A&quot;/&gt;&lt;wsp:rsid wsp:val=&quot;00AB42B0&quot;/&gt;&lt;wsp:rsid wsp:val=&quot;00AB47F0&quot;/&gt;&lt;wsp:rsid wsp:val=&quot;00AB4952&quot;/&gt;&lt;wsp:rsid wsp:val=&quot;00AB4C51&quot;/&gt;&lt;wsp:rsid wsp:val=&quot;00AB4C7F&quot;/&gt;&lt;wsp:rsid wsp:val=&quot;00AB4E24&quot;/&gt;&lt;wsp:rsid wsp:val=&quot;00AB4FE3&quot;/&gt;&lt;wsp:rsid wsp:val=&quot;00AB504C&quot;/&gt;&lt;wsp:rsid wsp:val=&quot;00AB51FA&quot;/&gt;&lt;wsp:rsid wsp:val=&quot;00AB5375&quot;/&gt;&lt;wsp:rsid wsp:val=&quot;00AB5404&quot;/&gt;&lt;wsp:rsid wsp:val=&quot;00AB55DD&quot;/&gt;&lt;wsp:rsid wsp:val=&quot;00AB5747&quot;/&gt;&lt;wsp:rsid wsp:val=&quot;00AB5B35&quot;/&gt;&lt;wsp:rsid wsp:val=&quot;00AB5CE5&quot;/&gt;&lt;wsp:rsid wsp:val=&quot;00AB67B5&quot;/&gt;&lt;wsp:rsid wsp:val=&quot;00AB67F3&quot;/&gt;&lt;wsp:rsid wsp:val=&quot;00AB6D48&quot;/&gt;&lt;wsp:rsid wsp:val=&quot;00AB6EC3&quot;/&gt;&lt;wsp:rsid wsp:val=&quot;00AB7C45&quot;/&gt;&lt;wsp:rsid wsp:val=&quot;00AC0763&quot;/&gt;&lt;wsp:rsid wsp:val=&quot;00AC0967&quot;/&gt;&lt;wsp:rsid wsp:val=&quot;00AC0D90&quot;/&gt;&lt;wsp:rsid wsp:val=&quot;00AC1044&quot;/&gt;&lt;wsp:rsid wsp:val=&quot;00AC1366&quot;/&gt;&lt;wsp:rsid wsp:val=&quot;00AC1455&quot;/&gt;&lt;wsp:rsid wsp:val=&quot;00AC18E9&quot;/&gt;&lt;wsp:rsid wsp:val=&quot;00AC19BD&quot;/&gt;&lt;wsp:rsid wsp:val=&quot;00AC2032&quot;/&gt;&lt;wsp:rsid wsp:val=&quot;00AC20DA&quot;/&gt;&lt;wsp:rsid wsp:val=&quot;00AC22D2&quot;/&gt;&lt;wsp:rsid wsp:val=&quot;00AC2495&quot;/&gt;&lt;wsp:rsid wsp:val=&quot;00AC2652&quot;/&gt;&lt;wsp:rsid wsp:val=&quot;00AC2926&quot;/&gt;&lt;wsp:rsid wsp:val=&quot;00AC2B5B&quot;/&gt;&lt;wsp:rsid wsp:val=&quot;00AC308A&quot;/&gt;&lt;wsp:rsid wsp:val=&quot;00AC358E&quot;/&gt;&lt;wsp:rsid wsp:val=&quot;00AC3903&quot;/&gt;&lt;wsp:rsid wsp:val=&quot;00AC4063&quot;/&gt;&lt;wsp:rsid wsp:val=&quot;00AC40EE&quot;/&gt;&lt;wsp:rsid wsp:val=&quot;00AC4234&quot;/&gt;&lt;wsp:rsid wsp:val=&quot;00AC4D26&quot;/&gt;&lt;wsp:rsid wsp:val=&quot;00AC4E76&quot;/&gt;&lt;wsp:rsid wsp:val=&quot;00AC4F73&quot;/&gt;&lt;wsp:rsid wsp:val=&quot;00AC533B&quot;/&gt;&lt;wsp:rsid wsp:val=&quot;00AC56DD&quot;/&gt;&lt;wsp:rsid wsp:val=&quot;00AC5796&quot;/&gt;&lt;wsp:rsid wsp:val=&quot;00AC650B&quot;/&gt;&lt;wsp:rsid wsp:val=&quot;00AC6598&quot;/&gt;&lt;wsp:rsid wsp:val=&quot;00AC68D8&quot;/&gt;&lt;wsp:rsid wsp:val=&quot;00AC699A&quot;/&gt;&lt;wsp:rsid wsp:val=&quot;00AC6C6D&quot;/&gt;&lt;wsp:rsid wsp:val=&quot;00AC6DC2&quot;/&gt;&lt;wsp:rsid wsp:val=&quot;00AC704A&quot;/&gt;&lt;wsp:rsid wsp:val=&quot;00AC73C4&quot;/&gt;&lt;wsp:rsid wsp:val=&quot;00AC77AC&quot;/&gt;&lt;wsp:rsid wsp:val=&quot;00AC7D8E&quot;/&gt;&lt;wsp:rsid wsp:val=&quot;00AD009D&quot;/&gt;&lt;wsp:rsid wsp:val=&quot;00AD034D&quot;/&gt;&lt;wsp:rsid wsp:val=&quot;00AD040A&quot;/&gt;&lt;wsp:rsid wsp:val=&quot;00AD0684&quot;/&gt;&lt;wsp:rsid wsp:val=&quot;00AD0779&quot;/&gt;&lt;wsp:rsid wsp:val=&quot;00AD08EF&quot;/&gt;&lt;wsp:rsid wsp:val=&quot;00AD1039&quot;/&gt;&lt;wsp:rsid wsp:val=&quot;00AD1BF3&quot;/&gt;&lt;wsp:rsid wsp:val=&quot;00AD1E48&quot;/&gt;&lt;wsp:rsid wsp:val=&quot;00AD2171&quot;/&gt;&lt;wsp:rsid wsp:val=&quot;00AD3062&quot;/&gt;&lt;wsp:rsid wsp:val=&quot;00AD3099&quot;/&gt;&lt;wsp:rsid wsp:val=&quot;00AD312C&quot;/&gt;&lt;wsp:rsid wsp:val=&quot;00AD32CE&quot;/&gt;&lt;wsp:rsid wsp:val=&quot;00AD334F&quot;/&gt;&lt;wsp:rsid wsp:val=&quot;00AD3D3D&quot;/&gt;&lt;wsp:rsid wsp:val=&quot;00AD405F&quot;/&gt;&lt;wsp:rsid wsp:val=&quot;00AD40C2&quot;/&gt;&lt;wsp:rsid wsp:val=&quot;00AD4218&quot;/&gt;&lt;wsp:rsid wsp:val=&quot;00AD4487&quot;/&gt;&lt;wsp:rsid wsp:val=&quot;00AD46B1&quot;/&gt;&lt;wsp:rsid wsp:val=&quot;00AD475B&quot;/&gt;&lt;wsp:rsid wsp:val=&quot;00AD4D3C&quot;/&gt;&lt;wsp:rsid wsp:val=&quot;00AD502A&quot;/&gt;&lt;wsp:rsid wsp:val=&quot;00AD56C8&quot;/&gt;&lt;wsp:rsid wsp:val=&quot;00AD5D9A&quot;/&gt;&lt;wsp:rsid wsp:val=&quot;00AD5DF1&quot;/&gt;&lt;wsp:rsid wsp:val=&quot;00AD63F8&quot;/&gt;&lt;wsp:rsid wsp:val=&quot;00AD67A3&quot;/&gt;&lt;wsp:rsid wsp:val=&quot;00AD67D1&quot;/&gt;&lt;wsp:rsid wsp:val=&quot;00AD6D97&quot;/&gt;&lt;wsp:rsid wsp:val=&quot;00AD6F2C&quot;/&gt;&lt;wsp:rsid wsp:val=&quot;00AD74DE&quot;/&gt;&lt;wsp:rsid wsp:val=&quot;00AD75D9&quot;/&gt;&lt;wsp:rsid wsp:val=&quot;00AD767D&quot;/&gt;&lt;wsp:rsid wsp:val=&quot;00AD79C8&quot;/&gt;&lt;wsp:rsid wsp:val=&quot;00AE024C&quot;/&gt;&lt;wsp:rsid wsp:val=&quot;00AE068F&quot;/&gt;&lt;wsp:rsid wsp:val=&quot;00AE0719&quot;/&gt;&lt;wsp:rsid wsp:val=&quot;00AE084B&quot;/&gt;&lt;wsp:rsid wsp:val=&quot;00AE0FEB&quot;/&gt;&lt;wsp:rsid wsp:val=&quot;00AE0FF8&quot;/&gt;&lt;wsp:rsid wsp:val=&quot;00AE1545&quot;/&gt;&lt;wsp:rsid wsp:val=&quot;00AE15DC&quot;/&gt;&lt;wsp:rsid wsp:val=&quot;00AE1955&quot;/&gt;&lt;wsp:rsid wsp:val=&quot;00AE1B40&quot;/&gt;&lt;wsp:rsid wsp:val=&quot;00AE20EA&quot;/&gt;&lt;wsp:rsid wsp:val=&quot;00AE224C&quot;/&gt;&lt;wsp:rsid wsp:val=&quot;00AE278A&quot;/&gt;&lt;wsp:rsid wsp:val=&quot;00AE2AC4&quot;/&gt;&lt;wsp:rsid wsp:val=&quot;00AE32E1&quot;/&gt;&lt;wsp:rsid wsp:val=&quot;00AE3803&quot;/&gt;&lt;wsp:rsid wsp:val=&quot;00AE3814&quot;/&gt;&lt;wsp:rsid wsp:val=&quot;00AE38C8&quot;/&gt;&lt;wsp:rsid wsp:val=&quot;00AE46DB&quot;/&gt;&lt;wsp:rsid wsp:val=&quot;00AE4840&quot;/&gt;&lt;wsp:rsid wsp:val=&quot;00AE5283&quot;/&gt;&lt;wsp:rsid wsp:val=&quot;00AE542C&quot;/&gt;&lt;wsp:rsid wsp:val=&quot;00AE5D98&quot;/&gt;&lt;wsp:rsid wsp:val=&quot;00AE5E12&quot;/&gt;&lt;wsp:rsid wsp:val=&quot;00AE5E2B&quot;/&gt;&lt;wsp:rsid wsp:val=&quot;00AE5EA0&quot;/&gt;&lt;wsp:rsid wsp:val=&quot;00AE69C5&quot;/&gt;&lt;wsp:rsid wsp:val=&quot;00AE6EB1&quot;/&gt;&lt;wsp:rsid wsp:val=&quot;00AE6F8E&quot;/&gt;&lt;wsp:rsid wsp:val=&quot;00AE76BD&quot;/&gt;&lt;wsp:rsid wsp:val=&quot;00AE794E&quot;/&gt;&lt;wsp:rsid wsp:val=&quot;00AE7B87&quot;/&gt;&lt;wsp:rsid wsp:val=&quot;00AF04F5&quot;/&gt;&lt;wsp:rsid wsp:val=&quot;00AF077C&quot;/&gt;&lt;wsp:rsid wsp:val=&quot;00AF078B&quot;/&gt;&lt;wsp:rsid wsp:val=&quot;00AF0C3E&quot;/&gt;&lt;wsp:rsid wsp:val=&quot;00AF14A8&quot;/&gt;&lt;wsp:rsid wsp:val=&quot;00AF1564&quot;/&gt;&lt;wsp:rsid wsp:val=&quot;00AF1B37&quot;/&gt;&lt;wsp:rsid wsp:val=&quot;00AF2287&quot;/&gt;&lt;wsp:rsid wsp:val=&quot;00AF2712&quot;/&gt;&lt;wsp:rsid wsp:val=&quot;00AF2CC9&quot;/&gt;&lt;wsp:rsid wsp:val=&quot;00AF2D3E&quot;/&gt;&lt;wsp:rsid wsp:val=&quot;00AF2F7A&quot;/&gt;&lt;wsp:rsid wsp:val=&quot;00AF2F9D&quot;/&gt;&lt;wsp:rsid wsp:val=&quot;00AF3149&quot;/&gt;&lt;wsp:rsid wsp:val=&quot;00AF3509&quot;/&gt;&lt;wsp:rsid wsp:val=&quot;00AF3529&quot;/&gt;&lt;wsp:rsid wsp:val=&quot;00AF3B58&quot;/&gt;&lt;wsp:rsid wsp:val=&quot;00AF3E49&quot;/&gt;&lt;wsp:rsid wsp:val=&quot;00AF424F&quot;/&gt;&lt;wsp:rsid wsp:val=&quot;00AF4343&quot;/&gt;&lt;wsp:rsid wsp:val=&quot;00AF55AA&quot;/&gt;&lt;wsp:rsid wsp:val=&quot;00AF56AE&quot;/&gt;&lt;wsp:rsid wsp:val=&quot;00AF5852&quot;/&gt;&lt;wsp:rsid wsp:val=&quot;00AF5A03&quot;/&gt;&lt;wsp:rsid wsp:val=&quot;00AF5B3E&quot;/&gt;&lt;wsp:rsid wsp:val=&quot;00AF5FD0&quot;/&gt;&lt;wsp:rsid wsp:val=&quot;00AF6623&quot;/&gt;&lt;wsp:rsid wsp:val=&quot;00AF6C6E&quot;/&gt;&lt;wsp:rsid wsp:val=&quot;00AF6F3F&quot;/&gt;&lt;wsp:rsid wsp:val=&quot;00AF7725&quot;/&gt;&lt;wsp:rsid wsp:val=&quot;00AF7759&quot;/&gt;&lt;wsp:rsid wsp:val=&quot;00B003B5&quot;/&gt;&lt;wsp:rsid wsp:val=&quot;00B00493&quot;/&gt;&lt;wsp:rsid wsp:val=&quot;00B006EA&quot;/&gt;&lt;wsp:rsid wsp:val=&quot;00B00992&quot;/&gt;&lt;wsp:rsid wsp:val=&quot;00B00A3C&quot;/&gt;&lt;wsp:rsid wsp:val=&quot;00B00DA1&quot;/&gt;&lt;wsp:rsid wsp:val=&quot;00B00DA4&quot;/&gt;&lt;wsp:rsid wsp:val=&quot;00B00DC4&quot;/&gt;&lt;wsp:rsid wsp:val=&quot;00B0124C&quot;/&gt;&lt;wsp:rsid wsp:val=&quot;00B01375&quot;/&gt;&lt;wsp:rsid wsp:val=&quot;00B01420&quot;/&gt;&lt;wsp:rsid wsp:val=&quot;00B016D4&quot;/&gt;&lt;wsp:rsid wsp:val=&quot;00B01D43&quot;/&gt;&lt;wsp:rsid wsp:val=&quot;00B01FC6&quot;/&gt;&lt;wsp:rsid wsp:val=&quot;00B02031&quot;/&gt;&lt;wsp:rsid wsp:val=&quot;00B026F6&quot;/&gt;&lt;wsp:rsid wsp:val=&quot;00B02F28&quot;/&gt;&lt;wsp:rsid wsp:val=&quot;00B0318E&quot;/&gt;&lt;wsp:rsid wsp:val=&quot;00B033E0&quot;/&gt;&lt;wsp:rsid wsp:val=&quot;00B03510&quot;/&gt;&lt;wsp:rsid wsp:val=&quot;00B03804&quot;/&gt;&lt;wsp:rsid wsp:val=&quot;00B03DEE&quot;/&gt;&lt;wsp:rsid wsp:val=&quot;00B045D9&quot;/&gt;&lt;wsp:rsid wsp:val=&quot;00B04A0F&quot;/&gt;&lt;wsp:rsid wsp:val=&quot;00B04AE7&quot;/&gt;&lt;wsp:rsid wsp:val=&quot;00B04EEB&quot;/&gt;&lt;wsp:rsid wsp:val=&quot;00B04F2C&quot;/&gt;&lt;wsp:rsid wsp:val=&quot;00B053A9&quot;/&gt;&lt;wsp:rsid wsp:val=&quot;00B05AC4&quot;/&gt;&lt;wsp:rsid wsp:val=&quot;00B05EA9&quot;/&gt;&lt;wsp:rsid wsp:val=&quot;00B05F50&quot;/&gt;&lt;wsp:rsid wsp:val=&quot;00B0603D&quot;/&gt;&lt;wsp:rsid wsp:val=&quot;00B06108&quot;/&gt;&lt;wsp:rsid wsp:val=&quot;00B06342&quot;/&gt;&lt;wsp:rsid wsp:val=&quot;00B063E9&quot;/&gt;&lt;wsp:rsid wsp:val=&quot;00B066FE&quot;/&gt;&lt;wsp:rsid wsp:val=&quot;00B067B6&quot;/&gt;&lt;wsp:rsid wsp:val=&quot;00B069EB&quot;/&gt;&lt;wsp:rsid wsp:val=&quot;00B06D78&quot;/&gt;&lt;wsp:rsid wsp:val=&quot;00B074B7&quot;/&gt;&lt;wsp:rsid wsp:val=&quot;00B07A34&quot;/&gt;&lt;wsp:rsid wsp:val=&quot;00B07A9B&quot;/&gt;&lt;wsp:rsid wsp:val=&quot;00B07C0E&quot;/&gt;&lt;wsp:rsid wsp:val=&quot;00B101E2&quot;/&gt;&lt;wsp:rsid wsp:val=&quot;00B10273&quot;/&gt;&lt;wsp:rsid wsp:val=&quot;00B102A5&quot;/&gt;&lt;wsp:rsid wsp:val=&quot;00B10437&quot;/&gt;&lt;wsp:rsid wsp:val=&quot;00B105C4&quot;/&gt;&lt;wsp:rsid wsp:val=&quot;00B10857&quot;/&gt;&lt;wsp:rsid wsp:val=&quot;00B114AA&quot;/&gt;&lt;wsp:rsid wsp:val=&quot;00B11588&quot;/&gt;&lt;wsp:rsid wsp:val=&quot;00B11AF5&quot;/&gt;&lt;wsp:rsid wsp:val=&quot;00B11C47&quot;/&gt;&lt;wsp:rsid wsp:val=&quot;00B12253&quot;/&gt;&lt;wsp:rsid wsp:val=&quot;00B1237E&quot;/&gt;&lt;wsp:rsid wsp:val=&quot;00B12763&quot;/&gt;&lt;wsp:rsid wsp:val=&quot;00B12A63&quot;/&gt;&lt;wsp:rsid wsp:val=&quot;00B12BF1&quot;/&gt;&lt;wsp:rsid wsp:val=&quot;00B12CB5&quot;/&gt;&lt;wsp:rsid wsp:val=&quot;00B12D76&quot;/&gt;&lt;wsp:rsid wsp:val=&quot;00B12EAC&quot;/&gt;&lt;wsp:rsid wsp:val=&quot;00B13341&quot;/&gt;&lt;wsp:rsid wsp:val=&quot;00B1351D&quot;/&gt;&lt;wsp:rsid wsp:val=&quot;00B13820&quot;/&gt;&lt;wsp:rsid wsp:val=&quot;00B1420F&quot;/&gt;&lt;wsp:rsid wsp:val=&quot;00B14339&quot;/&gt;&lt;wsp:rsid wsp:val=&quot;00B1488F&quot;/&gt;&lt;wsp:rsid wsp:val=&quot;00B1495C&quot;/&gt;&lt;wsp:rsid wsp:val=&quot;00B14964&quot;/&gt;&lt;wsp:rsid wsp:val=&quot;00B14EC4&quot;/&gt;&lt;wsp:rsid wsp:val=&quot;00B14FB8&quot;/&gt;&lt;wsp:rsid wsp:val=&quot;00B150F3&quot;/&gt;&lt;wsp:rsid wsp:val=&quot;00B1542F&quot;/&gt;&lt;wsp:rsid wsp:val=&quot;00B15BB8&quot;/&gt;&lt;wsp:rsid wsp:val=&quot;00B15BD5&quot;/&gt;&lt;wsp:rsid wsp:val=&quot;00B1658C&quot;/&gt;&lt;wsp:rsid wsp:val=&quot;00B165F4&quot;/&gt;&lt;wsp:rsid wsp:val=&quot;00B16B51&quot;/&gt;&lt;wsp:rsid wsp:val=&quot;00B16CE4&quot;/&gt;&lt;wsp:rsid wsp:val=&quot;00B17267&quot;/&gt;&lt;wsp:rsid wsp:val=&quot;00B17A6F&quot;/&gt;&lt;wsp:rsid wsp:val=&quot;00B17A77&quot;/&gt;&lt;wsp:rsid wsp:val=&quot;00B17F34&quot;/&gt;&lt;wsp:rsid wsp:val=&quot;00B2037C&quot;/&gt;&lt;wsp:rsid wsp:val=&quot;00B206CE&quot;/&gt;&lt;wsp:rsid wsp:val=&quot;00B207CE&quot;/&gt;&lt;wsp:rsid wsp:val=&quot;00B207EC&quot;/&gt;&lt;wsp:rsid wsp:val=&quot;00B208ED&quot;/&gt;&lt;wsp:rsid wsp:val=&quot;00B211C4&quot;/&gt;&lt;wsp:rsid wsp:val=&quot;00B21203&quot;/&gt;&lt;wsp:rsid wsp:val=&quot;00B214B2&quot;/&gt;&lt;wsp:rsid wsp:val=&quot;00B215AA&quot;/&gt;&lt;wsp:rsid wsp:val=&quot;00B215BC&quot;/&gt;&lt;wsp:rsid wsp:val=&quot;00B21620&quot;/&gt;&lt;wsp:rsid wsp:val=&quot;00B22E8F&quot;/&gt;&lt;wsp:rsid wsp:val=&quot;00B22F40&quot;/&gt;&lt;wsp:rsid wsp:val=&quot;00B23200&quot;/&gt;&lt;wsp:rsid wsp:val=&quot;00B2379C&quot;/&gt;&lt;wsp:rsid wsp:val=&quot;00B23892&quot;/&gt;&lt;wsp:rsid wsp:val=&quot;00B23D2B&quot;/&gt;&lt;wsp:rsid wsp:val=&quot;00B246A6&quot;/&gt;&lt;wsp:rsid wsp:val=&quot;00B24E41&quot;/&gt;&lt;wsp:rsid wsp:val=&quot;00B24E66&quot;/&gt;&lt;wsp:rsid wsp:val=&quot;00B25027&quot;/&gt;&lt;wsp:rsid wsp:val=&quot;00B2582C&quot;/&gt;&lt;wsp:rsid wsp:val=&quot;00B25907&quot;/&gt;&lt;wsp:rsid wsp:val=&quot;00B264BA&quot;/&gt;&lt;wsp:rsid wsp:val=&quot;00B267C6&quot;/&gt;&lt;wsp:rsid wsp:val=&quot;00B26F46&quot;/&gt;&lt;wsp:rsid wsp:val=&quot;00B270F2&quot;/&gt;&lt;wsp:rsid wsp:val=&quot;00B271B9&quot;/&gt;&lt;wsp:rsid wsp:val=&quot;00B27380&quot;/&gt;&lt;wsp:rsid wsp:val=&quot;00B274BB&quot;/&gt;&lt;wsp:rsid wsp:val=&quot;00B27520&quot;/&gt;&lt;wsp:rsid wsp:val=&quot;00B275DE&quot;/&gt;&lt;wsp:rsid wsp:val=&quot;00B27710&quot;/&gt;&lt;wsp:rsid wsp:val=&quot;00B2772A&quot;/&gt;&lt;wsp:rsid wsp:val=&quot;00B27B90&quot;/&gt;&lt;wsp:rsid wsp:val=&quot;00B27BDA&quot;/&gt;&lt;wsp:rsid wsp:val=&quot;00B302EC&quot;/&gt;&lt;wsp:rsid wsp:val=&quot;00B304C9&quot;/&gt;&lt;wsp:rsid wsp:val=&quot;00B3096D&quot;/&gt;&lt;wsp:rsid wsp:val=&quot;00B30EC9&quot;/&gt;&lt;wsp:rsid wsp:val=&quot;00B31340&quot;/&gt;&lt;wsp:rsid wsp:val=&quot;00B316E7&quot;/&gt;&lt;wsp:rsid wsp:val=&quot;00B31A7D&quot;/&gt;&lt;wsp:rsid wsp:val=&quot;00B31B75&quot;/&gt;&lt;wsp:rsid wsp:val=&quot;00B31F3B&quot;/&gt;&lt;wsp:rsid wsp:val=&quot;00B3255B&quot;/&gt;&lt;wsp:rsid wsp:val=&quot;00B32722&quot;/&gt;&lt;wsp:rsid wsp:val=&quot;00B32901&quot;/&gt;&lt;wsp:rsid wsp:val=&quot;00B32BC4&quot;/&gt;&lt;wsp:rsid wsp:val=&quot;00B32F30&quot;/&gt;&lt;wsp:rsid wsp:val=&quot;00B334E2&quot;/&gt;&lt;wsp:rsid wsp:val=&quot;00B340D8&quot;/&gt;&lt;wsp:rsid wsp:val=&quot;00B34423&quot;/&gt;&lt;wsp:rsid wsp:val=&quot;00B345E1&quot;/&gt;&lt;wsp:rsid wsp:val=&quot;00B34696&quot;/&gt;&lt;wsp:rsid wsp:val=&quot;00B34A3A&quot;/&gt;&lt;wsp:rsid wsp:val=&quot;00B3508E&quot;/&gt;&lt;wsp:rsid wsp:val=&quot;00B35471&quot;/&gt;&lt;wsp:rsid wsp:val=&quot;00B355F7&quot;/&gt;&lt;wsp:rsid wsp:val=&quot;00B355F9&quot;/&gt;&lt;wsp:rsid wsp:val=&quot;00B357FC&quot;/&gt;&lt;wsp:rsid wsp:val=&quot;00B35891&quot;/&gt;&lt;wsp:rsid wsp:val=&quot;00B358AC&quot;/&gt;&lt;wsp:rsid wsp:val=&quot;00B358E9&quot;/&gt;&lt;wsp:rsid wsp:val=&quot;00B35CC2&quot;/&gt;&lt;wsp:rsid wsp:val=&quot;00B36659&quot;/&gt;&lt;wsp:rsid wsp:val=&quot;00B366D3&quot;/&gt;&lt;wsp:rsid wsp:val=&quot;00B3693E&quot;/&gt;&lt;wsp:rsid wsp:val=&quot;00B37158&quot;/&gt;&lt;wsp:rsid wsp:val=&quot;00B373C5&quot;/&gt;&lt;wsp:rsid wsp:val=&quot;00B373F6&quot;/&gt;&lt;wsp:rsid wsp:val=&quot;00B3753C&quot;/&gt;&lt;wsp:rsid wsp:val=&quot;00B37824&quot;/&gt;&lt;wsp:rsid wsp:val=&quot;00B379CB&quot;/&gt;&lt;wsp:rsid wsp:val=&quot;00B37AB0&quot;/&gt;&lt;wsp:rsid wsp:val=&quot;00B37B1C&quot;/&gt;&lt;wsp:rsid wsp:val=&quot;00B37D83&quot;/&gt;&lt;wsp:rsid wsp:val=&quot;00B4003F&quot;/&gt;&lt;wsp:rsid wsp:val=&quot;00B4027C&quot;/&gt;&lt;wsp:rsid wsp:val=&quot;00B405AA&quot;/&gt;&lt;wsp:rsid wsp:val=&quot;00B41129&quot;/&gt;&lt;wsp:rsid wsp:val=&quot;00B41EB7&quot;/&gt;&lt;wsp:rsid wsp:val=&quot;00B420EF&quot;/&gt;&lt;wsp:rsid wsp:val=&quot;00B4230F&quot;/&gt;&lt;wsp:rsid wsp:val=&quot;00B42619&quot;/&gt;&lt;wsp:rsid wsp:val=&quot;00B42645&quot;/&gt;&lt;wsp:rsid wsp:val=&quot;00B4304B&quot;/&gt;&lt;wsp:rsid wsp:val=&quot;00B43378&quot;/&gt;&lt;wsp:rsid wsp:val=&quot;00B4338C&quot;/&gt;&lt;wsp:rsid wsp:val=&quot;00B43BD7&quot;/&gt;&lt;wsp:rsid wsp:val=&quot;00B43C58&quot;/&gt;&lt;wsp:rsid wsp:val=&quot;00B44956&quot;/&gt;&lt;wsp:rsid wsp:val=&quot;00B4527D&quot;/&gt;&lt;wsp:rsid wsp:val=&quot;00B45F5B&quot;/&gt;&lt;wsp:rsid wsp:val=&quot;00B45F5C&quot;/&gt;&lt;wsp:rsid wsp:val=&quot;00B4613C&quot;/&gt;&lt;wsp:rsid wsp:val=&quot;00B464BF&quot;/&gt;&lt;wsp:rsid wsp:val=&quot;00B47705&quot;/&gt;&lt;wsp:rsid wsp:val=&quot;00B47ABD&quot;/&gt;&lt;wsp:rsid wsp:val=&quot;00B47AD1&quot;/&gt;&lt;wsp:rsid wsp:val=&quot;00B47CF4&quot;/&gt;&lt;wsp:rsid wsp:val=&quot;00B47D36&quot;/&gt;&lt;wsp:rsid wsp:val=&quot;00B502BB&quot;/&gt;&lt;wsp:rsid wsp:val=&quot;00B503FD&quot;/&gt;&lt;wsp:rsid wsp:val=&quot;00B50466&quot;/&gt;&lt;wsp:rsid wsp:val=&quot;00B5046F&quot;/&gt;&lt;wsp:rsid wsp:val=&quot;00B505A0&quot;/&gt;&lt;wsp:rsid wsp:val=&quot;00B5084A&quot;/&gt;&lt;wsp:rsid wsp:val=&quot;00B50D60&quot;/&gt;&lt;wsp:rsid wsp:val=&quot;00B5111F&quot;/&gt;&lt;wsp:rsid wsp:val=&quot;00B5185C&quot;/&gt;&lt;wsp:rsid wsp:val=&quot;00B51AB7&quot;/&gt;&lt;wsp:rsid wsp:val=&quot;00B5203B&quot;/&gt;&lt;wsp:rsid wsp:val=&quot;00B52188&quot;/&gt;&lt;wsp:rsid wsp:val=&quot;00B5250E&quot;/&gt;&lt;wsp:rsid wsp:val=&quot;00B5261C&quot;/&gt;&lt;wsp:rsid wsp:val=&quot;00B526AE&quot;/&gt;&lt;wsp:rsid wsp:val=&quot;00B52770&quot;/&gt;&lt;wsp:rsid wsp:val=&quot;00B52A1C&quot;/&gt;&lt;wsp:rsid wsp:val=&quot;00B52A23&quot;/&gt;&lt;wsp:rsid wsp:val=&quot;00B52B05&quot;/&gt;&lt;wsp:rsid wsp:val=&quot;00B52D02&quot;/&gt;&lt;wsp:rsid wsp:val=&quot;00B5318B&quot;/&gt;&lt;wsp:rsid wsp:val=&quot;00B531BC&quot;/&gt;&lt;wsp:rsid wsp:val=&quot;00B53482&quot;/&gt;&lt;wsp:rsid wsp:val=&quot;00B5387F&quot;/&gt;&lt;wsp:rsid wsp:val=&quot;00B5389B&quot;/&gt;&lt;wsp:rsid wsp:val=&quot;00B538F1&quot;/&gt;&lt;wsp:rsid wsp:val=&quot;00B539E7&quot;/&gt;&lt;wsp:rsid wsp:val=&quot;00B53E93&quot;/&gt;&lt;wsp:rsid wsp:val=&quot;00B54064&quot;/&gt;&lt;wsp:rsid wsp:val=&quot;00B54297&quot;/&gt;&lt;wsp:rsid wsp:val=&quot;00B546F4&quot;/&gt;&lt;wsp:rsid wsp:val=&quot;00B54741&quot;/&gt;&lt;wsp:rsid wsp:val=&quot;00B55036&quot;/&gt;&lt;wsp:rsid wsp:val=&quot;00B55249&quot;/&gt;&lt;wsp:rsid wsp:val=&quot;00B5525F&quot;/&gt;&lt;wsp:rsid wsp:val=&quot;00B55663&quot;/&gt;&lt;wsp:rsid wsp:val=&quot;00B55685&quot;/&gt;&lt;wsp:rsid wsp:val=&quot;00B55912&quot;/&gt;&lt;wsp:rsid wsp:val=&quot;00B561D6&quot;/&gt;&lt;wsp:rsid wsp:val=&quot;00B561F7&quot;/&gt;&lt;wsp:rsid wsp:val=&quot;00B5637B&quot;/&gt;&lt;wsp:rsid wsp:val=&quot;00B56DF4&quot;/&gt;&lt;wsp:rsid wsp:val=&quot;00B57213&quot;/&gt;&lt;wsp:rsid wsp:val=&quot;00B573A4&quot;/&gt;&lt;wsp:rsid wsp:val=&quot;00B5750A&quot;/&gt;&lt;wsp:rsid wsp:val=&quot;00B57E4C&quot;/&gt;&lt;wsp:rsid wsp:val=&quot;00B608C4&quot;/&gt;&lt;wsp:rsid wsp:val=&quot;00B609CB&quot;/&gt;&lt;wsp:rsid wsp:val=&quot;00B61A4B&quot;/&gt;&lt;wsp:rsid wsp:val=&quot;00B61D45&quot;/&gt;&lt;wsp:rsid wsp:val=&quot;00B621BD&quot;/&gt;&lt;wsp:rsid wsp:val=&quot;00B622DE&quot;/&gt;&lt;wsp:rsid wsp:val=&quot;00B6234B&quot;/&gt;&lt;wsp:rsid wsp:val=&quot;00B6240A&quot;/&gt;&lt;wsp:rsid wsp:val=&quot;00B6240F&quot;/&gt;&lt;wsp:rsid wsp:val=&quot;00B626C5&quot;/&gt;&lt;wsp:rsid wsp:val=&quot;00B626D5&quot;/&gt;&lt;wsp:rsid wsp:val=&quot;00B62CEE&quot;/&gt;&lt;wsp:rsid wsp:val=&quot;00B63154&quot;/&gt;&lt;wsp:rsid wsp:val=&quot;00B636AA&quot;/&gt;&lt;wsp:rsid wsp:val=&quot;00B642D8&quot;/&gt;&lt;wsp:rsid wsp:val=&quot;00B647B6&quot;/&gt;&lt;wsp:rsid wsp:val=&quot;00B64D1F&quot;/&gt;&lt;wsp:rsid wsp:val=&quot;00B64D40&quot;/&gt;&lt;wsp:rsid wsp:val=&quot;00B6520B&quot;/&gt;&lt;wsp:rsid wsp:val=&quot;00B657C0&quot;/&gt;&lt;wsp:rsid wsp:val=&quot;00B659C5&quot;/&gt;&lt;wsp:rsid wsp:val=&quot;00B66936&quot;/&gt;&lt;wsp:rsid wsp:val=&quot;00B66BE4&quot;/&gt;&lt;wsp:rsid wsp:val=&quot;00B67407&quot;/&gt;&lt;wsp:rsid wsp:val=&quot;00B674C9&quot;/&gt;&lt;wsp:rsid wsp:val=&quot;00B6750B&quot;/&gt;&lt;wsp:rsid wsp:val=&quot;00B67969&quot;/&gt;&lt;wsp:rsid wsp:val=&quot;00B7024E&quot;/&gt;&lt;wsp:rsid wsp:val=&quot;00B70395&quot;/&gt;&lt;wsp:rsid wsp:val=&quot;00B70444&quot;/&gt;&lt;wsp:rsid wsp:val=&quot;00B70C63&quot;/&gt;&lt;wsp:rsid wsp:val=&quot;00B70D4A&quot;/&gt;&lt;wsp:rsid wsp:val=&quot;00B719DC&quot;/&gt;&lt;wsp:rsid wsp:val=&quot;00B71C2A&quot;/&gt;&lt;wsp:rsid wsp:val=&quot;00B71DF4&quot;/&gt;&lt;wsp:rsid wsp:val=&quot;00B71FF8&quot;/&gt;&lt;wsp:rsid wsp:val=&quot;00B7214D&quot;/&gt;&lt;wsp:rsid wsp:val=&quot;00B7237E&quot;/&gt;&lt;wsp:rsid wsp:val=&quot;00B72491&quot;/&gt;&lt;wsp:rsid wsp:val=&quot;00B72997&quot;/&gt;&lt;wsp:rsid wsp:val=&quot;00B72B2D&quot;/&gt;&lt;wsp:rsid wsp:val=&quot;00B73379&quot;/&gt;&lt;wsp:rsid wsp:val=&quot;00B738A1&quot;/&gt;&lt;wsp:rsid wsp:val=&quot;00B73E83&quot;/&gt;&lt;wsp:rsid wsp:val=&quot;00B73F7D&quot;/&gt;&lt;wsp:rsid wsp:val=&quot;00B7404A&quot;/&gt;&lt;wsp:rsid wsp:val=&quot;00B743DB&quot;/&gt;&lt;wsp:rsid wsp:val=&quot;00B74423&quot;/&gt;&lt;wsp:rsid wsp:val=&quot;00B74642&quot;/&gt;&lt;wsp:rsid wsp:val=&quot;00B74D25&quot;/&gt;&lt;wsp:rsid wsp:val=&quot;00B7536C&quot;/&gt;&lt;wsp:rsid wsp:val=&quot;00B7552C&quot;/&gt;&lt;wsp:rsid wsp:val=&quot;00B757CF&quot;/&gt;&lt;wsp:rsid wsp:val=&quot;00B7595E&quot;/&gt;&lt;wsp:rsid wsp:val=&quot;00B75F42&quot;/&gt;&lt;wsp:rsid wsp:val=&quot;00B766BB&quot;/&gt;&lt;wsp:rsid wsp:val=&quot;00B766D1&quot;/&gt;&lt;wsp:rsid wsp:val=&quot;00B769B6&quot;/&gt;&lt;wsp:rsid wsp:val=&quot;00B76C16&quot;/&gt;&lt;wsp:rsid wsp:val=&quot;00B77226&quot;/&gt;&lt;wsp:rsid wsp:val=&quot;00B7723F&quot;/&gt;&lt;wsp:rsid wsp:val=&quot;00B77294&quot;/&gt;&lt;wsp:rsid wsp:val=&quot;00B77450&quot;/&gt;&lt;wsp:rsid wsp:val=&quot;00B776BA&quot;/&gt;&lt;wsp:rsid wsp:val=&quot;00B77C3D&quot;/&gt;&lt;wsp:rsid wsp:val=&quot;00B803FB&quot;/&gt;&lt;wsp:rsid wsp:val=&quot;00B804AA&quot;/&gt;&lt;wsp:rsid wsp:val=&quot;00B8054A&quot;/&gt;&lt;wsp:rsid wsp:val=&quot;00B8064A&quot;/&gt;&lt;wsp:rsid wsp:val=&quot;00B81830&quot;/&gt;&lt;wsp:rsid wsp:val=&quot;00B81AF0&quot;/&gt;&lt;wsp:rsid wsp:val=&quot;00B81B2D&quot;/&gt;&lt;wsp:rsid wsp:val=&quot;00B82189&quot;/&gt;&lt;wsp:rsid wsp:val=&quot;00B82335&quot;/&gt;&lt;wsp:rsid wsp:val=&quot;00B82367&quot;/&gt;&lt;wsp:rsid wsp:val=&quot;00B825BC&quot;/&gt;&lt;wsp:rsid wsp:val=&quot;00B8299B&quot;/&gt;&lt;wsp:rsid wsp:val=&quot;00B82BB6&quot;/&gt;&lt;wsp:rsid wsp:val=&quot;00B830E9&quot;/&gt;&lt;wsp:rsid wsp:val=&quot;00B8316D&quot;/&gt;&lt;wsp:rsid wsp:val=&quot;00B83687&quot;/&gt;&lt;wsp:rsid wsp:val=&quot;00B83B40&quot;/&gt;&lt;wsp:rsid wsp:val=&quot;00B83E28&quot;/&gt;&lt;wsp:rsid wsp:val=&quot;00B8416F&quot;/&gt;&lt;wsp:rsid wsp:val=&quot;00B84482&quot;/&gt;&lt;wsp:rsid wsp:val=&quot;00B845CB&quot;/&gt;&lt;wsp:rsid wsp:val=&quot;00B8472E&quot;/&gt;&lt;wsp:rsid wsp:val=&quot;00B84801&quot;/&gt;&lt;wsp:rsid wsp:val=&quot;00B8506F&quot;/&gt;&lt;wsp:rsid wsp:val=&quot;00B85311&quot;/&gt;&lt;wsp:rsid wsp:val=&quot;00B859FF&quot;/&gt;&lt;wsp:rsid wsp:val=&quot;00B85A40&quot;/&gt;&lt;wsp:rsid wsp:val=&quot;00B85B95&quot;/&gt;&lt;wsp:rsid wsp:val=&quot;00B85DAE&quot;/&gt;&lt;wsp:rsid wsp:val=&quot;00B85DF7&quot;/&gt;&lt;wsp:rsid wsp:val=&quot;00B85FDF&quot;/&gt;&lt;wsp:rsid wsp:val=&quot;00B86233&quot;/&gt;&lt;wsp:rsid wsp:val=&quot;00B868D1&quot;/&gt;&lt;wsp:rsid wsp:val=&quot;00B870B9&quot;/&gt;&lt;wsp:rsid wsp:val=&quot;00B87548&quot;/&gt;&lt;wsp:rsid wsp:val=&quot;00B87808&quot;/&gt;&lt;wsp:rsid wsp:val=&quot;00B87C05&quot;/&gt;&lt;wsp:rsid wsp:val=&quot;00B87FF0&quot;/&gt;&lt;wsp:rsid wsp:val=&quot;00B90186&quot;/&gt;&lt;wsp:rsid wsp:val=&quot;00B90220&quot;/&gt;&lt;wsp:rsid wsp:val=&quot;00B9055C&quot;/&gt;&lt;wsp:rsid wsp:val=&quot;00B90A24&quot;/&gt;&lt;wsp:rsid wsp:val=&quot;00B90AFB&quot;/&gt;&lt;wsp:rsid wsp:val=&quot;00B91017&quot;/&gt;&lt;wsp:rsid wsp:val=&quot;00B91019&quot;/&gt;&lt;wsp:rsid wsp:val=&quot;00B91898&quot;/&gt;&lt;wsp:rsid wsp:val=&quot;00B91D43&quot;/&gt;&lt;wsp:rsid wsp:val=&quot;00B91FFC&quot;/&gt;&lt;wsp:rsid wsp:val=&quot;00B922CF&quot;/&gt;&lt;wsp:rsid wsp:val=&quot;00B9259B&quot;/&gt;&lt;wsp:rsid wsp:val=&quot;00B925A4&quot;/&gt;&lt;wsp:rsid wsp:val=&quot;00B92867&quot;/&gt;&lt;wsp:rsid wsp:val=&quot;00B92C8B&quot;/&gt;&lt;wsp:rsid wsp:val=&quot;00B92CE3&quot;/&gt;&lt;wsp:rsid wsp:val=&quot;00B92EDF&quot;/&gt;&lt;wsp:rsid wsp:val=&quot;00B933ED&quot;/&gt;&lt;wsp:rsid wsp:val=&quot;00B9374D&quot;/&gt;&lt;wsp:rsid wsp:val=&quot;00B939BE&quot;/&gt;&lt;wsp:rsid wsp:val=&quot;00B93A53&quot;/&gt;&lt;wsp:rsid wsp:val=&quot;00B93E91&quot;/&gt;&lt;wsp:rsid wsp:val=&quot;00B94416&quot;/&gt;&lt;wsp:rsid wsp:val=&quot;00B945F6&quot;/&gt;&lt;wsp:rsid wsp:val=&quot;00B9494F&quot;/&gt;&lt;wsp:rsid wsp:val=&quot;00B949CD&quot;/&gt;&lt;wsp:rsid wsp:val=&quot;00B94DD4&quot;/&gt;&lt;wsp:rsid wsp:val=&quot;00B957E1&quot;/&gt;&lt;wsp:rsid wsp:val=&quot;00B95A70&quot;/&gt;&lt;wsp:rsid wsp:val=&quot;00B95F0E&quot;/&gt;&lt;wsp:rsid wsp:val=&quot;00B96800&quot;/&gt;&lt;wsp:rsid wsp:val=&quot;00B96DC9&quot;/&gt;&lt;wsp:rsid wsp:val=&quot;00B96EA0&quot;/&gt;&lt;wsp:rsid wsp:val=&quot;00B972E9&quot;/&gt;&lt;wsp:rsid wsp:val=&quot;00BA00D0&quot;/&gt;&lt;wsp:rsid wsp:val=&quot;00BA0219&quot;/&gt;&lt;wsp:rsid wsp:val=&quot;00BA0229&quot;/&gt;&lt;wsp:rsid wsp:val=&quot;00BA0362&quot;/&gt;&lt;wsp:rsid wsp:val=&quot;00BA0611&quot;/&gt;&lt;wsp:rsid wsp:val=&quot;00BA0A56&quot;/&gt;&lt;wsp:rsid wsp:val=&quot;00BA149A&quot;/&gt;&lt;wsp:rsid wsp:val=&quot;00BA162E&quot;/&gt;&lt;wsp:rsid wsp:val=&quot;00BA178A&quot;/&gt;&lt;wsp:rsid wsp:val=&quot;00BA2D52&quot;/&gt;&lt;wsp:rsid wsp:val=&quot;00BA2D5D&quot;/&gt;&lt;wsp:rsid wsp:val=&quot;00BA3151&quot;/&gt;&lt;wsp:rsid wsp:val=&quot;00BA34EC&quot;/&gt;&lt;wsp:rsid wsp:val=&quot;00BA38D3&quot;/&gt;&lt;wsp:rsid wsp:val=&quot;00BA3DB2&quot;/&gt;&lt;wsp:rsid wsp:val=&quot;00BA3E49&quot;/&gt;&lt;wsp:rsid wsp:val=&quot;00BA43FA&quot;/&gt;&lt;wsp:rsid wsp:val=&quot;00BA4C42&quot;/&gt;&lt;wsp:rsid wsp:val=&quot;00BA4D6A&quot;/&gt;&lt;wsp:rsid wsp:val=&quot;00BA5CA8&quot;/&gt;&lt;wsp:rsid wsp:val=&quot;00BA5DFF&quot;/&gt;&lt;wsp:rsid wsp:val=&quot;00BA5FEF&quot;/&gt;&lt;wsp:rsid wsp:val=&quot;00BA61E1&quot;/&gt;&lt;wsp:rsid wsp:val=&quot;00BA63A1&quot;/&gt;&lt;wsp:rsid wsp:val=&quot;00BA683E&quot;/&gt;&lt;wsp:rsid wsp:val=&quot;00BA68F0&quot;/&gt;&lt;wsp:rsid wsp:val=&quot;00BA6BF0&quot;/&gt;&lt;wsp:rsid wsp:val=&quot;00BA6EF9&quot;/&gt;&lt;wsp:rsid wsp:val=&quot;00BA6FA4&quot;/&gt;&lt;wsp:rsid wsp:val=&quot;00BA7546&quot;/&gt;&lt;wsp:rsid wsp:val=&quot;00BA7725&quot;/&gt;&lt;wsp:rsid wsp:val=&quot;00BA7AD3&quot;/&gt;&lt;wsp:rsid wsp:val=&quot;00BA7FCF&quot;/&gt;&lt;wsp:rsid wsp:val=&quot;00BB022C&quot;/&gt;&lt;wsp:rsid wsp:val=&quot;00BB06E2&quot;/&gt;&lt;wsp:rsid wsp:val=&quot;00BB0DAB&quot;/&gt;&lt;wsp:rsid wsp:val=&quot;00BB167D&quot;/&gt;&lt;wsp:rsid wsp:val=&quot;00BB2025&quot;/&gt;&lt;wsp:rsid wsp:val=&quot;00BB2060&quot;/&gt;&lt;wsp:rsid wsp:val=&quot;00BB20A4&quot;/&gt;&lt;wsp:rsid wsp:val=&quot;00BB2AF6&quot;/&gt;&lt;wsp:rsid wsp:val=&quot;00BB2FFB&quot;/&gt;&lt;wsp:rsid wsp:val=&quot;00BB311C&quot;/&gt;&lt;wsp:rsid wsp:val=&quot;00BB337E&quot;/&gt;&lt;wsp:rsid wsp:val=&quot;00BB34A9&quot;/&gt;&lt;wsp:rsid wsp:val=&quot;00BB350E&quot;/&gt;&lt;wsp:rsid wsp:val=&quot;00BB36C0&quot;/&gt;&lt;wsp:rsid wsp:val=&quot;00BB3A28&quot;/&gt;&lt;wsp:rsid wsp:val=&quot;00BB3B2D&quot;/&gt;&lt;wsp:rsid wsp:val=&quot;00BB409B&quot;/&gt;&lt;wsp:rsid wsp:val=&quot;00BB40BB&quot;/&gt;&lt;wsp:rsid wsp:val=&quot;00BB4189&quot;/&gt;&lt;wsp:rsid wsp:val=&quot;00BB42C2&quot;/&gt;&lt;wsp:rsid wsp:val=&quot;00BB4456&quot;/&gt;&lt;wsp:rsid wsp:val=&quot;00BB44E6&quot;/&gt;&lt;wsp:rsid wsp:val=&quot;00BB4C96&quot;/&gt;&lt;wsp:rsid wsp:val=&quot;00BB4FFB&quot;/&gt;&lt;wsp:rsid wsp:val=&quot;00BB50AC&quot;/&gt;&lt;wsp:rsid wsp:val=&quot;00BB5B79&quot;/&gt;&lt;wsp:rsid wsp:val=&quot;00BB5B9B&quot;/&gt;&lt;wsp:rsid wsp:val=&quot;00BB5C44&quot;/&gt;&lt;wsp:rsid wsp:val=&quot;00BB5F33&quot;/&gt;&lt;wsp:rsid wsp:val=&quot;00BB6048&quot;/&gt;&lt;wsp:rsid wsp:val=&quot;00BB61AC&quot;/&gt;&lt;wsp:rsid wsp:val=&quot;00BB6470&quot;/&gt;&lt;wsp:rsid wsp:val=&quot;00BB6844&quot;/&gt;&lt;wsp:rsid wsp:val=&quot;00BB6956&quot;/&gt;&lt;wsp:rsid wsp:val=&quot;00BB6A39&quot;/&gt;&lt;wsp:rsid wsp:val=&quot;00BB6A44&quot;/&gt;&lt;wsp:rsid wsp:val=&quot;00BB6A93&quot;/&gt;&lt;wsp:rsid wsp:val=&quot;00BB6D27&quot;/&gt;&lt;wsp:rsid wsp:val=&quot;00BB74DB&quot;/&gt;&lt;wsp:rsid wsp:val=&quot;00BB757B&quot;/&gt;&lt;wsp:rsid wsp:val=&quot;00BB77E4&quot;/&gt;&lt;wsp:rsid wsp:val=&quot;00BB782C&quot;/&gt;&lt;wsp:rsid wsp:val=&quot;00BB786D&quot;/&gt;&lt;wsp:rsid wsp:val=&quot;00BB7993&quot;/&gt;&lt;wsp:rsid wsp:val=&quot;00BB7B40&quot;/&gt;&lt;wsp:rsid wsp:val=&quot;00BB7C66&quot;/&gt;&lt;wsp:rsid wsp:val=&quot;00BC0314&quot;/&gt;&lt;wsp:rsid wsp:val=&quot;00BC05B3&quot;/&gt;&lt;wsp:rsid wsp:val=&quot;00BC073A&quot;/&gt;&lt;wsp:rsid wsp:val=&quot;00BC0F9C&quot;/&gt;&lt;wsp:rsid wsp:val=&quot;00BC106A&quot;/&gt;&lt;wsp:rsid wsp:val=&quot;00BC12BA&quot;/&gt;&lt;wsp:rsid wsp:val=&quot;00BC13B7&quot;/&gt;&lt;wsp:rsid wsp:val=&quot;00BC1604&quot;/&gt;&lt;wsp:rsid wsp:val=&quot;00BC1A09&quot;/&gt;&lt;wsp:rsid wsp:val=&quot;00BC1A9E&quot;/&gt;&lt;wsp:rsid wsp:val=&quot;00BC21DC&quot;/&gt;&lt;wsp:rsid wsp:val=&quot;00BC26BD&quot;/&gt;&lt;wsp:rsid wsp:val=&quot;00BC2834&quot;/&gt;&lt;wsp:rsid wsp:val=&quot;00BC2EB8&quot;/&gt;&lt;wsp:rsid wsp:val=&quot;00BC3404&quot;/&gt;&lt;wsp:rsid wsp:val=&quot;00BC34B3&quot;/&gt;&lt;wsp:rsid wsp:val=&quot;00BC37BB&quot;/&gt;&lt;wsp:rsid wsp:val=&quot;00BC37ED&quot;/&gt;&lt;wsp:rsid wsp:val=&quot;00BC3E79&quot;/&gt;&lt;wsp:rsid wsp:val=&quot;00BC3F4F&quot;/&gt;&lt;wsp:rsid wsp:val=&quot;00BC402B&quot;/&gt;&lt;wsp:rsid wsp:val=&quot;00BC40C2&quot;/&gt;&lt;wsp:rsid wsp:val=&quot;00BC4464&quot;/&gt;&lt;wsp:rsid wsp:val=&quot;00BC4A1C&quot;/&gt;&lt;wsp:rsid wsp:val=&quot;00BC4A5E&quot;/&gt;&lt;wsp:rsid wsp:val=&quot;00BC4CDE&quot;/&gt;&lt;wsp:rsid wsp:val=&quot;00BC4F0F&quot;/&gt;&lt;wsp:rsid wsp:val=&quot;00BC4F86&quot;/&gt;&lt;wsp:rsid wsp:val=&quot;00BC5197&quot;/&gt;&lt;wsp:rsid wsp:val=&quot;00BC51DE&quot;/&gt;&lt;wsp:rsid wsp:val=&quot;00BC569F&quot;/&gt;&lt;wsp:rsid wsp:val=&quot;00BC59F6&quot;/&gt;&lt;wsp:rsid wsp:val=&quot;00BC5B02&quot;/&gt;&lt;wsp:rsid wsp:val=&quot;00BC5E6B&quot;/&gt;&lt;wsp:rsid wsp:val=&quot;00BC645D&quot;/&gt;&lt;wsp:rsid wsp:val=&quot;00BC689E&quot;/&gt;&lt;wsp:rsid wsp:val=&quot;00BC6E57&quot;/&gt;&lt;wsp:rsid wsp:val=&quot;00BC6FF0&quot;/&gt;&lt;wsp:rsid wsp:val=&quot;00BC7003&quot;/&gt;&lt;wsp:rsid wsp:val=&quot;00BC72DF&quot;/&gt;&lt;wsp:rsid wsp:val=&quot;00BC7514&quot;/&gt;&lt;wsp:rsid wsp:val=&quot;00BC7A8A&quot;/&gt;&lt;wsp:rsid wsp:val=&quot;00BC7E36&quot;/&gt;&lt;wsp:rsid wsp:val=&quot;00BD0239&quot;/&gt;&lt;wsp:rsid wsp:val=&quot;00BD028C&quot;/&gt;&lt;wsp:rsid wsp:val=&quot;00BD0665&quot;/&gt;&lt;wsp:rsid wsp:val=&quot;00BD07EF&quot;/&gt;&lt;wsp:rsid wsp:val=&quot;00BD07F5&quot;/&gt;&lt;wsp:rsid wsp:val=&quot;00BD0E05&quot;/&gt;&lt;wsp:rsid wsp:val=&quot;00BD0EC3&quot;/&gt;&lt;wsp:rsid wsp:val=&quot;00BD1044&quot;/&gt;&lt;wsp:rsid wsp:val=&quot;00BD1408&quot;/&gt;&lt;wsp:rsid wsp:val=&quot;00BD15C5&quot;/&gt;&lt;wsp:rsid wsp:val=&quot;00BD16AD&quot;/&gt;&lt;wsp:rsid wsp:val=&quot;00BD183E&quot;/&gt;&lt;wsp:rsid wsp:val=&quot;00BD1966&quot;/&gt;&lt;wsp:rsid wsp:val=&quot;00BD19F8&quot;/&gt;&lt;wsp:rsid wsp:val=&quot;00BD21EF&quot;/&gt;&lt;wsp:rsid wsp:val=&quot;00BD2722&quot;/&gt;&lt;wsp:rsid wsp:val=&quot;00BD290B&quot;/&gt;&lt;wsp:rsid wsp:val=&quot;00BD2A30&quot;/&gt;&lt;wsp:rsid wsp:val=&quot;00BD2C67&quot;/&gt;&lt;wsp:rsid wsp:val=&quot;00BD319D&quot;/&gt;&lt;wsp:rsid wsp:val=&quot;00BD3B1A&quot;/&gt;&lt;wsp:rsid wsp:val=&quot;00BD3CC7&quot;/&gt;&lt;wsp:rsid wsp:val=&quot;00BD47CB&quot;/&gt;&lt;wsp:rsid wsp:val=&quot;00BD4986&quot;/&gt;&lt;wsp:rsid wsp:val=&quot;00BD4A06&quot;/&gt;&lt;wsp:rsid wsp:val=&quot;00BD4D4D&quot;/&gt;&lt;wsp:rsid wsp:val=&quot;00BD4F72&quot;/&gt;&lt;wsp:rsid wsp:val=&quot;00BD5117&quot;/&gt;&lt;wsp:rsid wsp:val=&quot;00BD52AB&quot;/&gt;&lt;wsp:rsid wsp:val=&quot;00BD5483&quot;/&gt;&lt;wsp:rsid wsp:val=&quot;00BD5626&quot;/&gt;&lt;wsp:rsid wsp:val=&quot;00BD57FD&quot;/&gt;&lt;wsp:rsid wsp:val=&quot;00BD5E7B&quot;/&gt;&lt;wsp:rsid wsp:val=&quot;00BD67E2&quot;/&gt;&lt;wsp:rsid wsp:val=&quot;00BD6DBD&quot;/&gt;&lt;wsp:rsid wsp:val=&quot;00BD6E04&quot;/&gt;&lt;wsp:rsid wsp:val=&quot;00BD73E0&quot;/&gt;&lt;wsp:rsid wsp:val=&quot;00BD746B&quot;/&gt;&lt;wsp:rsid wsp:val=&quot;00BD7971&quot;/&gt;&lt;wsp:rsid wsp:val=&quot;00BD7A89&quot;/&gt;&lt;wsp:rsid wsp:val=&quot;00BD7AB5&quot;/&gt;&lt;wsp:rsid wsp:val=&quot;00BD7C5B&quot;/&gt;&lt;wsp:rsid wsp:val=&quot;00BD7CEE&quot;/&gt;&lt;wsp:rsid wsp:val=&quot;00BD7D8E&quot;/&gt;&lt;wsp:rsid wsp:val=&quot;00BE0028&quot;/&gt;&lt;wsp:rsid wsp:val=&quot;00BE06B0&quot;/&gt;&lt;wsp:rsid wsp:val=&quot;00BE06D9&quot;/&gt;&lt;wsp:rsid wsp:val=&quot;00BE09AD&quot;/&gt;&lt;wsp:rsid wsp:val=&quot;00BE0B76&quot;/&gt;&lt;wsp:rsid wsp:val=&quot;00BE18A5&quot;/&gt;&lt;wsp:rsid wsp:val=&quot;00BE19E5&quot;/&gt;&lt;wsp:rsid wsp:val=&quot;00BE1DE4&quot;/&gt;&lt;wsp:rsid wsp:val=&quot;00BE1F06&quot;/&gt;&lt;wsp:rsid wsp:val=&quot;00BE1FDE&quot;/&gt;&lt;wsp:rsid wsp:val=&quot;00BE24B8&quot;/&gt;&lt;wsp:rsid wsp:val=&quot;00BE2516&quot;/&gt;&lt;wsp:rsid wsp:val=&quot;00BE2676&quot;/&gt;&lt;wsp:rsid wsp:val=&quot;00BE27F3&quot;/&gt;&lt;wsp:rsid wsp:val=&quot;00BE2B0C&quot;/&gt;&lt;wsp:rsid wsp:val=&quot;00BE2E84&quot;/&gt;&lt;wsp:rsid wsp:val=&quot;00BE2FC2&quot;/&gt;&lt;wsp:rsid wsp:val=&quot;00BE303E&quot;/&gt;&lt;wsp:rsid wsp:val=&quot;00BE333D&quot;/&gt;&lt;wsp:rsid wsp:val=&quot;00BE3465&quot;/&gt;&lt;wsp:rsid wsp:val=&quot;00BE4325&quot;/&gt;&lt;wsp:rsid wsp:val=&quot;00BE52FA&quot;/&gt;&lt;wsp:rsid wsp:val=&quot;00BE5611&quot;/&gt;&lt;wsp:rsid wsp:val=&quot;00BE56AA&quot;/&gt;&lt;wsp:rsid wsp:val=&quot;00BE56CB&quot;/&gt;&lt;wsp:rsid wsp:val=&quot;00BE58B2&quot;/&gt;&lt;wsp:rsid wsp:val=&quot;00BE6197&quot;/&gt;&lt;wsp:rsid wsp:val=&quot;00BE6510&quot;/&gt;&lt;wsp:rsid wsp:val=&quot;00BE6562&quot;/&gt;&lt;wsp:rsid wsp:val=&quot;00BE6B39&quot;/&gt;&lt;wsp:rsid wsp:val=&quot;00BE6C2F&quot;/&gt;&lt;wsp:rsid wsp:val=&quot;00BE6CE0&quot;/&gt;&lt;wsp:rsid wsp:val=&quot;00BE712C&quot;/&gt;&lt;wsp:rsid wsp:val=&quot;00BE75E1&quot;/&gt;&lt;wsp:rsid wsp:val=&quot;00BE76C2&quot;/&gt;&lt;wsp:rsid wsp:val=&quot;00BE785F&quot;/&gt;&lt;wsp:rsid wsp:val=&quot;00BE78BC&quot;/&gt;&lt;wsp:rsid wsp:val=&quot;00BE7C9B&quot;/&gt;&lt;wsp:rsid wsp:val=&quot;00BF00BE&quot;/&gt;&lt;wsp:rsid wsp:val=&quot;00BF018E&quot;/&gt;&lt;wsp:rsid wsp:val=&quot;00BF04F4&quot;/&gt;&lt;wsp:rsid wsp:val=&quot;00BF07C9&quot;/&gt;&lt;wsp:rsid wsp:val=&quot;00BF092E&quot;/&gt;&lt;wsp:rsid wsp:val=&quot;00BF0D10&quot;/&gt;&lt;wsp:rsid wsp:val=&quot;00BF0E67&quot;/&gt;&lt;wsp:rsid wsp:val=&quot;00BF0F6C&quot;/&gt;&lt;wsp:rsid wsp:val=&quot;00BF14A4&quot;/&gt;&lt;wsp:rsid wsp:val=&quot;00BF1503&quot;/&gt;&lt;wsp:rsid wsp:val=&quot;00BF1995&quot;/&gt;&lt;wsp:rsid wsp:val=&quot;00BF20B3&quot;/&gt;&lt;wsp:rsid wsp:val=&quot;00BF2226&quot;/&gt;&lt;wsp:rsid wsp:val=&quot;00BF2A9A&quot;/&gt;&lt;wsp:rsid wsp:val=&quot;00BF3C18&quot;/&gt;&lt;wsp:rsid wsp:val=&quot;00BF4105&quot;/&gt;&lt;wsp:rsid wsp:val=&quot;00BF418D&quot;/&gt;&lt;wsp:rsid wsp:val=&quot;00BF452F&quot;/&gt;&lt;wsp:rsid wsp:val=&quot;00BF456D&quot;/&gt;&lt;wsp:rsid wsp:val=&quot;00BF55FF&quot;/&gt;&lt;wsp:rsid wsp:val=&quot;00BF571A&quot;/&gt;&lt;wsp:rsid wsp:val=&quot;00BF5A3A&quot;/&gt;&lt;wsp:rsid wsp:val=&quot;00BF5B6E&quot;/&gt;&lt;wsp:rsid wsp:val=&quot;00BF5D51&quot;/&gt;&lt;wsp:rsid wsp:val=&quot;00BF5FB4&quot;/&gt;&lt;wsp:rsid wsp:val=&quot;00BF6487&quot;/&gt;&lt;wsp:rsid wsp:val=&quot;00BF6693&quot;/&gt;&lt;wsp:rsid wsp:val=&quot;00BF66D7&quot;/&gt;&lt;wsp:rsid wsp:val=&quot;00BF6AF7&quot;/&gt;&lt;wsp:rsid wsp:val=&quot;00BF6D3E&quot;/&gt;&lt;wsp:rsid wsp:val=&quot;00BF6F1F&quot;/&gt;&lt;wsp:rsid wsp:val=&quot;00BF7145&quot;/&gt;&lt;wsp:rsid wsp:val=&quot;00BF7221&quot;/&gt;&lt;wsp:rsid wsp:val=&quot;00BF7B8D&quot;/&gt;&lt;wsp:rsid wsp:val=&quot;00BF7EAE&quot;/&gt;&lt;wsp:rsid wsp:val=&quot;00C00180&quot;/&gt;&lt;wsp:rsid wsp:val=&quot;00C002A6&quot;/&gt;&lt;wsp:rsid wsp:val=&quot;00C0040F&quot;/&gt;&lt;wsp:rsid wsp:val=&quot;00C00B97&quot;/&gt;&lt;wsp:rsid wsp:val=&quot;00C00ED8&quot;/&gt;&lt;wsp:rsid wsp:val=&quot;00C011B7&quot;/&gt;&lt;wsp:rsid wsp:val=&quot;00C01350&quot;/&gt;&lt;wsp:rsid wsp:val=&quot;00C017BB&quot;/&gt;&lt;wsp:rsid wsp:val=&quot;00C01DB8&quot;/&gt;&lt;wsp:rsid wsp:val=&quot;00C01E51&quot;/&gt;&lt;wsp:rsid wsp:val=&quot;00C01F8C&quot;/&gt;&lt;wsp:rsid wsp:val=&quot;00C0200B&quot;/&gt;&lt;wsp:rsid wsp:val=&quot;00C020FC&quot;/&gt;&lt;wsp:rsid wsp:val=&quot;00C02143&quot;/&gt;&lt;wsp:rsid wsp:val=&quot;00C02566&quot;/&gt;&lt;wsp:rsid wsp:val=&quot;00C02775&quot;/&gt;&lt;wsp:rsid wsp:val=&quot;00C02AB4&quot;/&gt;&lt;wsp:rsid wsp:val=&quot;00C02B6E&quot;/&gt;&lt;wsp:rsid wsp:val=&quot;00C02C7F&quot;/&gt;&lt;wsp:rsid wsp:val=&quot;00C02FC6&quot;/&gt;&lt;wsp:rsid wsp:val=&quot;00C03236&quot;/&gt;&lt;wsp:rsid wsp:val=&quot;00C03A12&quot;/&gt;&lt;wsp:rsid wsp:val=&quot;00C03E02&quot;/&gt;&lt;wsp:rsid wsp:val=&quot;00C03F80&quot;/&gt;&lt;wsp:rsid wsp:val=&quot;00C04424&quot;/&gt;&lt;wsp:rsid wsp:val=&quot;00C0453D&quot;/&gt;&lt;wsp:rsid wsp:val=&quot;00C05095&quot;/&gt;&lt;wsp:rsid wsp:val=&quot;00C05A2D&quot;/&gt;&lt;wsp:rsid wsp:val=&quot;00C05D31&quot;/&gt;&lt;wsp:rsid wsp:val=&quot;00C05E10&quot;/&gt;&lt;wsp:rsid wsp:val=&quot;00C060E2&quot;/&gt;&lt;wsp:rsid wsp:val=&quot;00C06660&quot;/&gt;&lt;wsp:rsid wsp:val=&quot;00C0691F&quot;/&gt;&lt;wsp:rsid wsp:val=&quot;00C06953&quot;/&gt;&lt;wsp:rsid wsp:val=&quot;00C06CC3&quot;/&gt;&lt;wsp:rsid wsp:val=&quot;00C06DF9&quot;/&gt;&lt;wsp:rsid wsp:val=&quot;00C06FB3&quot;/&gt;&lt;wsp:rsid wsp:val=&quot;00C070C3&quot;/&gt;&lt;wsp:rsid wsp:val=&quot;00C078EE&quot;/&gt;&lt;wsp:rsid wsp:val=&quot;00C07BC7&quot;/&gt;&lt;wsp:rsid wsp:val=&quot;00C10240&quot;/&gt;&lt;wsp:rsid wsp:val=&quot;00C102D6&quot;/&gt;&lt;wsp:rsid wsp:val=&quot;00C104EA&quot;/&gt;&lt;wsp:rsid wsp:val=&quot;00C10512&quot;/&gt;&lt;wsp:rsid wsp:val=&quot;00C10BF8&quot;/&gt;&lt;wsp:rsid wsp:val=&quot;00C10D7B&quot;/&gt;&lt;wsp:rsid wsp:val=&quot;00C10F49&quot;/&gt;&lt;wsp:rsid wsp:val=&quot;00C11443&quot;/&gt;&lt;wsp:rsid wsp:val=&quot;00C11555&quot;/&gt;&lt;wsp:rsid wsp:val=&quot;00C1180F&quot;/&gt;&lt;wsp:rsid wsp:val=&quot;00C11BE8&quot;/&gt;&lt;wsp:rsid wsp:val=&quot;00C11EA5&quot;/&gt;&lt;wsp:rsid wsp:val=&quot;00C11F74&quot;/&gt;&lt;wsp:rsid wsp:val=&quot;00C129E9&quot;/&gt;&lt;wsp:rsid wsp:val=&quot;00C12C11&quot;/&gt;&lt;wsp:rsid wsp:val=&quot;00C12C97&quot;/&gt;&lt;wsp:rsid wsp:val=&quot;00C13509&quot;/&gt;&lt;wsp:rsid wsp:val=&quot;00C13555&quot;/&gt;&lt;wsp:rsid wsp:val=&quot;00C135A5&quot;/&gt;&lt;wsp:rsid wsp:val=&quot;00C137B3&quot;/&gt;&lt;wsp:rsid wsp:val=&quot;00C13AE6&quot;/&gt;&lt;wsp:rsid wsp:val=&quot;00C13EEF&quot;/&gt;&lt;wsp:rsid wsp:val=&quot;00C14134&quot;/&gt;&lt;wsp:rsid wsp:val=&quot;00C1486A&quot;/&gt;&lt;wsp:rsid wsp:val=&quot;00C14D0F&quot;/&gt;&lt;wsp:rsid wsp:val=&quot;00C150B0&quot;/&gt;&lt;wsp:rsid wsp:val=&quot;00C152AF&quot;/&gt;&lt;wsp:rsid wsp:val=&quot;00C15325&quot;/&gt;&lt;wsp:rsid wsp:val=&quot;00C15977&quot;/&gt;&lt;wsp:rsid wsp:val=&quot;00C15C67&quot;/&gt;&lt;wsp:rsid wsp:val=&quot;00C15EE9&quot;/&gt;&lt;wsp:rsid wsp:val=&quot;00C15F3E&quot;/&gt;&lt;wsp:rsid wsp:val=&quot;00C162BB&quot;/&gt;&lt;wsp:rsid wsp:val=&quot;00C1648E&quot;/&gt;&lt;wsp:rsid wsp:val=&quot;00C16B62&quot;/&gt;&lt;wsp:rsid wsp:val=&quot;00C16CD0&quot;/&gt;&lt;wsp:rsid wsp:val=&quot;00C16D8C&quot;/&gt;&lt;wsp:rsid wsp:val=&quot;00C1711A&quot;/&gt;&lt;wsp:rsid wsp:val=&quot;00C174BB&quot;/&gt;&lt;wsp:rsid wsp:val=&quot;00C17BF1&quot;/&gt;&lt;wsp:rsid wsp:val=&quot;00C17C09&quot;/&gt;&lt;wsp:rsid wsp:val=&quot;00C20128&quot;/&gt;&lt;wsp:rsid wsp:val=&quot;00C201C6&quot;/&gt;&lt;wsp:rsid wsp:val=&quot;00C20663&quot;/&gt;&lt;wsp:rsid wsp:val=&quot;00C208B3&quot;/&gt;&lt;wsp:rsid wsp:val=&quot;00C20A81&quot;/&gt;&lt;wsp:rsid wsp:val=&quot;00C20C04&quot;/&gt;&lt;wsp:rsid wsp:val=&quot;00C213C5&quot;/&gt;&lt;wsp:rsid wsp:val=&quot;00C2147C&quot;/&gt;&lt;wsp:rsid wsp:val=&quot;00C21867&quot;/&gt;&lt;wsp:rsid wsp:val=&quot;00C21BF0&quot;/&gt;&lt;wsp:rsid wsp:val=&quot;00C21CA2&quot;/&gt;&lt;wsp:rsid wsp:val=&quot;00C21FB6&quot;/&gt;&lt;wsp:rsid wsp:val=&quot;00C220D9&quot;/&gt;&lt;wsp:rsid wsp:val=&quot;00C22109&quot;/&gt;&lt;wsp:rsid wsp:val=&quot;00C22165&quot;/&gt;&lt;wsp:rsid wsp:val=&quot;00C22178&quot;/&gt;&lt;wsp:rsid wsp:val=&quot;00C22628&quot;/&gt;&lt;wsp:rsid wsp:val=&quot;00C22699&quot;/&gt;&lt;wsp:rsid wsp:val=&quot;00C2292E&quot;/&gt;&lt;wsp:rsid wsp:val=&quot;00C22AA2&quot;/&gt;&lt;wsp:rsid wsp:val=&quot;00C22F8E&quot;/&gt;&lt;wsp:rsid wsp:val=&quot;00C23063&quot;/&gt;&lt;wsp:rsid wsp:val=&quot;00C236A3&quot;/&gt;&lt;wsp:rsid wsp:val=&quot;00C236BB&quot;/&gt;&lt;wsp:rsid wsp:val=&quot;00C23703&quot;/&gt;&lt;wsp:rsid wsp:val=&quot;00C239A2&quot;/&gt;&lt;wsp:rsid wsp:val=&quot;00C23EA5&quot;/&gt;&lt;wsp:rsid wsp:val=&quot;00C23EFC&quot;/&gt;&lt;wsp:rsid wsp:val=&quot;00C23F8F&quot;/&gt;&lt;wsp:rsid wsp:val=&quot;00C24301&quot;/&gt;&lt;wsp:rsid wsp:val=&quot;00C244F8&quot;/&gt;&lt;wsp:rsid wsp:val=&quot;00C24626&quot;/&gt;&lt;wsp:rsid wsp:val=&quot;00C24A64&quot;/&gt;&lt;wsp:rsid wsp:val=&quot;00C24E2A&quot;/&gt;&lt;wsp:rsid wsp:val=&quot;00C24E2B&quot;/&gt;&lt;wsp:rsid wsp:val=&quot;00C24F63&quot;/&gt;&lt;wsp:rsid wsp:val=&quot;00C250B1&quot;/&gt;&lt;wsp:rsid wsp:val=&quot;00C2586A&quot;/&gt;&lt;wsp:rsid wsp:val=&quot;00C25936&quot;/&gt;&lt;wsp:rsid wsp:val=&quot;00C25DE7&quot;/&gt;&lt;wsp:rsid wsp:val=&quot;00C260AE&quot;/&gt;&lt;wsp:rsid wsp:val=&quot;00C26418&quot;/&gt;&lt;wsp:rsid wsp:val=&quot;00C267CE&quot;/&gt;&lt;wsp:rsid wsp:val=&quot;00C27C00&quot;/&gt;&lt;wsp:rsid wsp:val=&quot;00C3012D&quot;/&gt;&lt;wsp:rsid wsp:val=&quot;00C309C4&quot;/&gt;&lt;wsp:rsid wsp:val=&quot;00C30C4F&quot;/&gt;&lt;wsp:rsid wsp:val=&quot;00C30FEC&quot;/&gt;&lt;wsp:rsid wsp:val=&quot;00C310A6&quot;/&gt;&lt;wsp:rsid wsp:val=&quot;00C313EB&quot;/&gt;&lt;wsp:rsid wsp:val=&quot;00C31477&quot;/&gt;&lt;wsp:rsid wsp:val=&quot;00C3163C&quot;/&gt;&lt;wsp:rsid wsp:val=&quot;00C3189B&quot;/&gt;&lt;wsp:rsid wsp:val=&quot;00C31991&quot;/&gt;&lt;wsp:rsid wsp:val=&quot;00C31BF9&quot;/&gt;&lt;wsp:rsid wsp:val=&quot;00C31E68&quot;/&gt;&lt;wsp:rsid wsp:val=&quot;00C31E98&quot;/&gt;&lt;wsp:rsid wsp:val=&quot;00C31F06&quot;/&gt;&lt;wsp:rsid wsp:val=&quot;00C3200E&quot;/&gt;&lt;wsp:rsid wsp:val=&quot;00C32227&quot;/&gt;&lt;wsp:rsid wsp:val=&quot;00C32521&quot;/&gt;&lt;wsp:rsid wsp:val=&quot;00C3256D&quot;/&gt;&lt;wsp:rsid wsp:val=&quot;00C326F5&quot;/&gt;&lt;wsp:rsid wsp:val=&quot;00C328C0&quot;/&gt;&lt;wsp:rsid wsp:val=&quot;00C329BB&quot;/&gt;&lt;wsp:rsid wsp:val=&quot;00C32CD7&quot;/&gt;&lt;wsp:rsid wsp:val=&quot;00C32D73&quot;/&gt;&lt;wsp:rsid wsp:val=&quot;00C33480&quot;/&gt;&lt;wsp:rsid wsp:val=&quot;00C3351E&quot;/&gt;&lt;wsp:rsid wsp:val=&quot;00C33ABF&quot;/&gt;&lt;wsp:rsid wsp:val=&quot;00C33F88&quot;/&gt;&lt;wsp:rsid wsp:val=&quot;00C347EB&quot;/&gt;&lt;wsp:rsid wsp:val=&quot;00C34A8A&quot;/&gt;&lt;wsp:rsid wsp:val=&quot;00C34E96&quot;/&gt;&lt;wsp:rsid wsp:val=&quot;00C34F98&quot;/&gt;&lt;wsp:rsid wsp:val=&quot;00C34FE9&quot;/&gt;&lt;wsp:rsid wsp:val=&quot;00C351F0&quot;/&gt;&lt;wsp:rsid wsp:val=&quot;00C3528E&quot;/&gt;&lt;wsp:rsid wsp:val=&quot;00C3546C&quot;/&gt;&lt;wsp:rsid wsp:val=&quot;00C36345&quot;/&gt;&lt;wsp:rsid wsp:val=&quot;00C36660&quot;/&gt;&lt;wsp:rsid wsp:val=&quot;00C36908&quot;/&gt;&lt;wsp:rsid wsp:val=&quot;00C36A6C&quot;/&gt;&lt;wsp:rsid wsp:val=&quot;00C36D0F&quot;/&gt;&lt;wsp:rsid wsp:val=&quot;00C36F38&quot;/&gt;&lt;wsp:rsid wsp:val=&quot;00C36F53&quot;/&gt;&lt;wsp:rsid wsp:val=&quot;00C375DD&quot;/&gt;&lt;wsp:rsid wsp:val=&quot;00C37B8B&quot;/&gt;&lt;wsp:rsid wsp:val=&quot;00C40486&quot;/&gt;&lt;wsp:rsid wsp:val=&quot;00C405F4&quot;/&gt;&lt;wsp:rsid wsp:val=&quot;00C40609&quot;/&gt;&lt;wsp:rsid wsp:val=&quot;00C40777&quot;/&gt;&lt;wsp:rsid wsp:val=&quot;00C408E3&quot;/&gt;&lt;wsp:rsid wsp:val=&quot;00C409E2&quot;/&gt;&lt;wsp:rsid wsp:val=&quot;00C40A4C&quot;/&gt;&lt;wsp:rsid wsp:val=&quot;00C40A63&quot;/&gt;&lt;wsp:rsid wsp:val=&quot;00C40D3E&quot;/&gt;&lt;wsp:rsid wsp:val=&quot;00C40E93&quot;/&gt;&lt;wsp:rsid wsp:val=&quot;00C40F5C&quot;/&gt;&lt;wsp:rsid wsp:val=&quot;00C40F77&quot;/&gt;&lt;wsp:rsid wsp:val=&quot;00C4136B&quot;/&gt;&lt;wsp:rsid wsp:val=&quot;00C413B2&quot;/&gt;&lt;wsp:rsid wsp:val=&quot;00C413CD&quot;/&gt;&lt;wsp:rsid wsp:val=&quot;00C41992&quot;/&gt;&lt;wsp:rsid wsp:val=&quot;00C419F9&quot;/&gt;&lt;wsp:rsid wsp:val=&quot;00C41CC2&quot;/&gt;&lt;wsp:rsid wsp:val=&quot;00C41DFC&quot;/&gt;&lt;wsp:rsid wsp:val=&quot;00C41E87&quot;/&gt;&lt;wsp:rsid wsp:val=&quot;00C41F13&quot;/&gt;&lt;wsp:rsid wsp:val=&quot;00C42424&quot;/&gt;&lt;wsp:rsid wsp:val=&quot;00C43286&quot;/&gt;&lt;wsp:rsid wsp:val=&quot;00C4358D&quot;/&gt;&lt;wsp:rsid wsp:val=&quot;00C4370D&quot;/&gt;&lt;wsp:rsid wsp:val=&quot;00C44058&quot;/&gt;&lt;wsp:rsid wsp:val=&quot;00C4495F&quot;/&gt;&lt;wsp:rsid wsp:val=&quot;00C45325&quot;/&gt;&lt;wsp:rsid wsp:val=&quot;00C453A3&quot;/&gt;&lt;wsp:rsid wsp:val=&quot;00C45ADF&quot;/&gt;&lt;wsp:rsid wsp:val=&quot;00C45CB8&quot;/&gt;&lt;wsp:rsid wsp:val=&quot;00C46336&quot;/&gt;&lt;wsp:rsid wsp:val=&quot;00C4689A&quot;/&gt;&lt;wsp:rsid wsp:val=&quot;00C46E54&quot;/&gt;&lt;wsp:rsid wsp:val=&quot;00C4703A&quot;/&gt;&lt;wsp:rsid wsp:val=&quot;00C474C1&quot;/&gt;&lt;wsp:rsid wsp:val=&quot;00C47EAC&quot;/&gt;&lt;wsp:rsid wsp:val=&quot;00C47FE1&quot;/&gt;&lt;wsp:rsid wsp:val=&quot;00C5008A&quot;/&gt;&lt;wsp:rsid wsp:val=&quot;00C507B2&quot;/&gt;&lt;wsp:rsid wsp:val=&quot;00C50B28&quot;/&gt;&lt;wsp:rsid wsp:val=&quot;00C50B89&quot;/&gt;&lt;wsp:rsid wsp:val=&quot;00C51397&quot;/&gt;&lt;wsp:rsid wsp:val=&quot;00C516C6&quot;/&gt;&lt;wsp:rsid wsp:val=&quot;00C51953&quot;/&gt;&lt;wsp:rsid wsp:val=&quot;00C52043&quot;/&gt;&lt;wsp:rsid wsp:val=&quot;00C5268A&quot;/&gt;&lt;wsp:rsid wsp:val=&quot;00C529CC&quot;/&gt;&lt;wsp:rsid wsp:val=&quot;00C52D26&quot;/&gt;&lt;wsp:rsid wsp:val=&quot;00C53272&quot;/&gt;&lt;wsp:rsid wsp:val=&quot;00C53E29&quot;/&gt;&lt;wsp:rsid wsp:val=&quot;00C53EAE&quot;/&gt;&lt;wsp:rsid wsp:val=&quot;00C53F85&quot;/&gt;&lt;wsp:rsid wsp:val=&quot;00C54548&quot;/&gt;&lt;wsp:rsid wsp:val=&quot;00C549F3&quot;/&gt;&lt;wsp:rsid wsp:val=&quot;00C54CE5&quot;/&gt;&lt;wsp:rsid wsp:val=&quot;00C54D13&quot;/&gt;&lt;wsp:rsid wsp:val=&quot;00C54EF1&quot;/&gt;&lt;wsp:rsid wsp:val=&quot;00C5502B&quot;/&gt;&lt;wsp:rsid wsp:val=&quot;00C551F8&quot;/&gt;&lt;wsp:rsid wsp:val=&quot;00C552FA&quot;/&gt;&lt;wsp:rsid wsp:val=&quot;00C5557C&quot;/&gt;&lt;wsp:rsid wsp:val=&quot;00C55714&quot;/&gt;&lt;wsp:rsid wsp:val=&quot;00C5571A&quot;/&gt;&lt;wsp:rsid wsp:val=&quot;00C55833&quot;/&gt;&lt;wsp:rsid wsp:val=&quot;00C55ABB&quot;/&gt;&lt;wsp:rsid wsp:val=&quot;00C55C94&quot;/&gt;&lt;wsp:rsid wsp:val=&quot;00C560ED&quot;/&gt;&lt;wsp:rsid wsp:val=&quot;00C56423&quot;/&gt;&lt;wsp:rsid wsp:val=&quot;00C56B2B&quot;/&gt;&lt;wsp:rsid wsp:val=&quot;00C56DFA&quot;/&gt;&lt;wsp:rsid wsp:val=&quot;00C5706C&quot;/&gt;&lt;wsp:rsid wsp:val=&quot;00C5748D&quot;/&gt;&lt;wsp:rsid wsp:val=&quot;00C57495&quot;/&gt;&lt;wsp:rsid wsp:val=&quot;00C5764E&quot;/&gt;&lt;wsp:rsid wsp:val=&quot;00C57724&quot;/&gt;&lt;wsp:rsid wsp:val=&quot;00C578BE&quot;/&gt;&lt;wsp:rsid wsp:val=&quot;00C57A7C&quot;/&gt;&lt;wsp:rsid wsp:val=&quot;00C57ABD&quot;/&gt;&lt;wsp:rsid wsp:val=&quot;00C57E0C&quot;/&gt;&lt;wsp:rsid wsp:val=&quot;00C60420&quot;/&gt;&lt;wsp:rsid wsp:val=&quot;00C608EB&quot;/&gt;&lt;wsp:rsid wsp:val=&quot;00C61442&quot;/&gt;&lt;wsp:rsid wsp:val=&quot;00C6148E&quot;/&gt;&lt;wsp:rsid wsp:val=&quot;00C616DC&quot;/&gt;&lt;wsp:rsid wsp:val=&quot;00C61D53&quot;/&gt;&lt;wsp:rsid wsp:val=&quot;00C628B9&quot;/&gt;&lt;wsp:rsid wsp:val=&quot;00C62D5C&quot;/&gt;&lt;wsp:rsid wsp:val=&quot;00C62D63&quot;/&gt;&lt;wsp:rsid wsp:val=&quot;00C62FD1&quot;/&gt;&lt;wsp:rsid wsp:val=&quot;00C63112&quot;/&gt;&lt;wsp:rsid wsp:val=&quot;00C6323C&quot;/&gt;&lt;wsp:rsid wsp:val=&quot;00C632AB&quot;/&gt;&lt;wsp:rsid wsp:val=&quot;00C635E9&quot;/&gt;&lt;wsp:rsid wsp:val=&quot;00C63676&quot;/&gt;&lt;wsp:rsid wsp:val=&quot;00C638AE&quot;/&gt;&lt;wsp:rsid wsp:val=&quot;00C6396D&quot;/&gt;&lt;wsp:rsid wsp:val=&quot;00C63FC5&quot;/&gt;&lt;wsp:rsid wsp:val=&quot;00C64147&quot;/&gt;&lt;wsp:rsid wsp:val=&quot;00C64212&quot;/&gt;&lt;wsp:rsid wsp:val=&quot;00C64557&quot;/&gt;&lt;wsp:rsid wsp:val=&quot;00C648CB&quot;/&gt;&lt;wsp:rsid wsp:val=&quot;00C64B1E&quot;/&gt;&lt;wsp:rsid wsp:val=&quot;00C64B99&quot;/&gt;&lt;wsp:rsid wsp:val=&quot;00C64FFC&quot;/&gt;&lt;wsp:rsid wsp:val=&quot;00C64FFD&quot;/&gt;&lt;wsp:rsid wsp:val=&quot;00C65030&quot;/&gt;&lt;wsp:rsid wsp:val=&quot;00C655D5&quot;/&gt;&lt;wsp:rsid wsp:val=&quot;00C65CFF&quot;/&gt;&lt;wsp:rsid wsp:val=&quot;00C65EEE&quot;/&gt;&lt;wsp:rsid wsp:val=&quot;00C662BB&quot;/&gt;&lt;wsp:rsid wsp:val=&quot;00C66354&quot;/&gt;&lt;wsp:rsid wsp:val=&quot;00C66A8E&quot;/&gt;&lt;wsp:rsid wsp:val=&quot;00C66B4B&quot;/&gt;&lt;wsp:rsid wsp:val=&quot;00C670A3&quot;/&gt;&lt;wsp:rsid wsp:val=&quot;00C670AE&quot;/&gt;&lt;wsp:rsid wsp:val=&quot;00C671DE&quot;/&gt;&lt;wsp:rsid wsp:val=&quot;00C673C5&quot;/&gt;&lt;wsp:rsid wsp:val=&quot;00C67831&quot;/&gt;&lt;wsp:rsid wsp:val=&quot;00C67EA5&quot;/&gt;&lt;wsp:rsid wsp:val=&quot;00C67F6C&quot;/&gt;&lt;wsp:rsid wsp:val=&quot;00C701DC&quot;/&gt;&lt;wsp:rsid wsp:val=&quot;00C70366&quot;/&gt;&lt;wsp:rsid wsp:val=&quot;00C70A2A&quot;/&gt;&lt;wsp:rsid wsp:val=&quot;00C71651&quot;/&gt;&lt;wsp:rsid wsp:val=&quot;00C71716&quot;/&gt;&lt;wsp:rsid wsp:val=&quot;00C71B9C&quot;/&gt;&lt;wsp:rsid wsp:val=&quot;00C71BAB&quot;/&gt;&lt;wsp:rsid wsp:val=&quot;00C71BCA&quot;/&gt;&lt;wsp:rsid wsp:val=&quot;00C71DA3&quot;/&gt;&lt;wsp:rsid wsp:val=&quot;00C71FEF&quot;/&gt;&lt;wsp:rsid wsp:val=&quot;00C723D3&quot;/&gt;&lt;wsp:rsid wsp:val=&quot;00C7245C&quot;/&gt;&lt;wsp:rsid wsp:val=&quot;00C72BF5&quot;/&gt;&lt;wsp:rsid wsp:val=&quot;00C72E28&quot;/&gt;&lt;wsp:rsid wsp:val=&quot;00C72E48&quot;/&gt;&lt;wsp:rsid wsp:val=&quot;00C72F9F&quot;/&gt;&lt;wsp:rsid wsp:val=&quot;00C730B0&quot;/&gt;&lt;wsp:rsid wsp:val=&quot;00C73AB5&quot;/&gt;&lt;wsp:rsid wsp:val=&quot;00C742F4&quot;/&gt;&lt;wsp:rsid wsp:val=&quot;00C74456&quot;/&gt;&lt;wsp:rsid wsp:val=&quot;00C744F9&quot;/&gt;&lt;wsp:rsid wsp:val=&quot;00C74CB4&quot;/&gt;&lt;wsp:rsid wsp:val=&quot;00C7506D&quot;/&gt;&lt;wsp:rsid wsp:val=&quot;00C75070&quot;/&gt;&lt;wsp:rsid wsp:val=&quot;00C7519E&quot;/&gt;&lt;wsp:rsid wsp:val=&quot;00C755A3&quot;/&gt;&lt;wsp:rsid wsp:val=&quot;00C75D11&quot;/&gt;&lt;wsp:rsid wsp:val=&quot;00C75E9E&quot;/&gt;&lt;wsp:rsid wsp:val=&quot;00C76290&quot;/&gt;&lt;wsp:rsid wsp:val=&quot;00C764DC&quot;/&gt;&lt;wsp:rsid wsp:val=&quot;00C76567&quot;/&gt;&lt;wsp:rsid wsp:val=&quot;00C76946&quot;/&gt;&lt;wsp:rsid wsp:val=&quot;00C76B5E&quot;/&gt;&lt;wsp:rsid wsp:val=&quot;00C76D1B&quot;/&gt;&lt;wsp:rsid wsp:val=&quot;00C770A4&quot;/&gt;&lt;wsp:rsid wsp:val=&quot;00C77201&quot;/&gt;&lt;wsp:rsid wsp:val=&quot;00C7749B&quot;/&gt;&lt;wsp:rsid wsp:val=&quot;00C774E8&quot;/&gt;&lt;wsp:rsid wsp:val=&quot;00C77D52&quot;/&gt;&lt;wsp:rsid wsp:val=&quot;00C804F3&quot;/&gt;&lt;wsp:rsid wsp:val=&quot;00C805E2&quot;/&gt;&lt;wsp:rsid wsp:val=&quot;00C806F4&quot;/&gt;&lt;wsp:rsid wsp:val=&quot;00C80E41&quot;/&gt;&lt;wsp:rsid wsp:val=&quot;00C810E4&quot;/&gt;&lt;wsp:rsid wsp:val=&quot;00C8182A&quot;/&gt;&lt;wsp:rsid wsp:val=&quot;00C81C54&quot;/&gt;&lt;wsp:rsid wsp:val=&quot;00C81D9B&quot;/&gt;&lt;wsp:rsid wsp:val=&quot;00C822FD&quot;/&gt;&lt;wsp:rsid wsp:val=&quot;00C82360&quot;/&gt;&lt;wsp:rsid wsp:val=&quot;00C823D2&quot;/&gt;&lt;wsp:rsid wsp:val=&quot;00C825B6&quot;/&gt;&lt;wsp:rsid wsp:val=&quot;00C82D07&quot;/&gt;&lt;wsp:rsid wsp:val=&quot;00C82EE1&quot;/&gt;&lt;wsp:rsid wsp:val=&quot;00C834B5&quot;/&gt;&lt;wsp:rsid wsp:val=&quot;00C836AB&quot;/&gt;&lt;wsp:rsid wsp:val=&quot;00C83829&quot;/&gt;&lt;wsp:rsid wsp:val=&quot;00C83AB1&quot;/&gt;&lt;wsp:rsid wsp:val=&quot;00C83C0B&quot;/&gt;&lt;wsp:rsid wsp:val=&quot;00C84335&quot;/&gt;&lt;wsp:rsid wsp:val=&quot;00C84382&quot;/&gt;&lt;wsp:rsid wsp:val=&quot;00C846D6&quot;/&gt;&lt;wsp:rsid wsp:val=&quot;00C84879&quot;/&gt;&lt;wsp:rsid wsp:val=&quot;00C8490D&quot;/&gt;&lt;wsp:rsid wsp:val=&quot;00C849C3&quot;/&gt;&lt;wsp:rsid wsp:val=&quot;00C84CA9&quot;/&gt;&lt;wsp:rsid wsp:val=&quot;00C84DAA&quot;/&gt;&lt;wsp:rsid wsp:val=&quot;00C85290&quot;/&gt;&lt;wsp:rsid wsp:val=&quot;00C8537C&quot;/&gt;&lt;wsp:rsid wsp:val=&quot;00C8545B&quot;/&gt;&lt;wsp:rsid wsp:val=&quot;00C85463&quot;/&gt;&lt;wsp:rsid wsp:val=&quot;00C86660&quot;/&gt;&lt;wsp:rsid wsp:val=&quot;00C866CF&quot;/&gt;&lt;wsp:rsid wsp:val=&quot;00C86725&quot;/&gt;&lt;wsp:rsid wsp:val=&quot;00C86798&quot;/&gt;&lt;wsp:rsid wsp:val=&quot;00C869FF&quot;/&gt;&lt;wsp:rsid wsp:val=&quot;00C86B66&quot;/&gt;&lt;wsp:rsid wsp:val=&quot;00C8703E&quot;/&gt;&lt;wsp:rsid wsp:val=&quot;00C87047&quot;/&gt;&lt;wsp:rsid wsp:val=&quot;00C871AB&quot;/&gt;&lt;wsp:rsid wsp:val=&quot;00C8759E&quot;/&gt;&lt;wsp:rsid wsp:val=&quot;00C878DD&quot;/&gt;&lt;wsp:rsid wsp:val=&quot;00C87E7C&quot;/&gt;&lt;wsp:rsid wsp:val=&quot;00C901B8&quot;/&gt;&lt;wsp:rsid wsp:val=&quot;00C901D2&quot;/&gt;&lt;wsp:rsid wsp:val=&quot;00C902BC&quot;/&gt;&lt;wsp:rsid wsp:val=&quot;00C903C5&quot;/&gt;&lt;wsp:rsid wsp:val=&quot;00C90E9F&quot;/&gt;&lt;wsp:rsid wsp:val=&quot;00C90F68&quot;/&gt;&lt;wsp:rsid wsp:val=&quot;00C90FAD&quot;/&gt;&lt;wsp:rsid wsp:val=&quot;00C911C4&quot;/&gt;&lt;wsp:rsid wsp:val=&quot;00C91235&quot;/&gt;&lt;wsp:rsid wsp:val=&quot;00C91579&quot;/&gt;&lt;wsp:rsid wsp:val=&quot;00C91B03&quot;/&gt;&lt;wsp:rsid wsp:val=&quot;00C91B1A&quot;/&gt;&lt;wsp:rsid wsp:val=&quot;00C91B69&quot;/&gt;&lt;wsp:rsid wsp:val=&quot;00C91B6B&quot;/&gt;&lt;wsp:rsid wsp:val=&quot;00C91D6B&quot;/&gt;&lt;wsp:rsid wsp:val=&quot;00C92840&quot;/&gt;&lt;wsp:rsid wsp:val=&quot;00C92C3E&quot;/&gt;&lt;wsp:rsid wsp:val=&quot;00C92C8B&quot;/&gt;&lt;wsp:rsid wsp:val=&quot;00C92FE3&quot;/&gt;&lt;wsp:rsid wsp:val=&quot;00C93213&quot;/&gt;&lt;wsp:rsid wsp:val=&quot;00C9359D&quot;/&gt;&lt;wsp:rsid wsp:val=&quot;00C93794&quot;/&gt;&lt;wsp:rsid wsp:val=&quot;00C93AB1&quot;/&gt;&lt;wsp:rsid wsp:val=&quot;00C93C1C&quot;/&gt;&lt;wsp:rsid wsp:val=&quot;00C93C71&quot;/&gt;&lt;wsp:rsid wsp:val=&quot;00C94BF7&quot;/&gt;&lt;wsp:rsid wsp:val=&quot;00C94FDA&quot;/&gt;&lt;wsp:rsid wsp:val=&quot;00C952F2&quot;/&gt;&lt;wsp:rsid wsp:val=&quot;00C95593&quot;/&gt;&lt;wsp:rsid wsp:val=&quot;00C95601&quot;/&gt;&lt;wsp:rsid wsp:val=&quot;00C95761&quot;/&gt;&lt;wsp:rsid wsp:val=&quot;00C95B50&quot;/&gt;&lt;wsp:rsid wsp:val=&quot;00C95B74&quot;/&gt;&lt;wsp:rsid wsp:val=&quot;00C95DA9&quot;/&gt;&lt;wsp:rsid wsp:val=&quot;00C95FCB&quot;/&gt;&lt;wsp:rsid wsp:val=&quot;00C96008&quot;/&gt;&lt;wsp:rsid wsp:val=&quot;00C96072&quot;/&gt;&lt;wsp:rsid wsp:val=&quot;00C96114&quot;/&gt;&lt;wsp:rsid wsp:val=&quot;00C96342&quot;/&gt;&lt;wsp:rsid wsp:val=&quot;00C96488&quot;/&gt;&lt;wsp:rsid wsp:val=&quot;00C965F4&quot;/&gt;&lt;wsp:rsid wsp:val=&quot;00C966E7&quot;/&gt;&lt;wsp:rsid wsp:val=&quot;00C967C3&quot;/&gt;&lt;wsp:rsid wsp:val=&quot;00C967C7&quot;/&gt;&lt;wsp:rsid wsp:val=&quot;00C967D6&quot;/&gt;&lt;wsp:rsid wsp:val=&quot;00C96A2F&quot;/&gt;&lt;wsp:rsid wsp:val=&quot;00C96F4D&quot;/&gt;&lt;wsp:rsid wsp:val=&quot;00C973B5&quot;/&gt;&lt;wsp:rsid wsp:val=&quot;00C97477&quot;/&gt;&lt;wsp:rsid wsp:val=&quot;00C976FC&quot;/&gt;&lt;wsp:rsid wsp:val=&quot;00C977D5&quot;/&gt;&lt;wsp:rsid wsp:val=&quot;00C97877&quot;/&gt;&lt;wsp:rsid wsp:val=&quot;00C978CE&quot;/&gt;&lt;wsp:rsid wsp:val=&quot;00C97AD6&quot;/&gt;&lt;wsp:rsid wsp:val=&quot;00C97AE1&quot;/&gt;&lt;wsp:rsid wsp:val=&quot;00C97DD6&quot;/&gt;&lt;wsp:rsid wsp:val=&quot;00C97F8E&quot;/&gt;&lt;wsp:rsid wsp:val=&quot;00CA0429&quot;/&gt;&lt;wsp:rsid wsp:val=&quot;00CA05C1&quot;/&gt;&lt;wsp:rsid wsp:val=&quot;00CA0D15&quot;/&gt;&lt;wsp:rsid wsp:val=&quot;00CA0E1C&quot;/&gt;&lt;wsp:rsid wsp:val=&quot;00CA11A6&quot;/&gt;&lt;wsp:rsid wsp:val=&quot;00CA1764&quot;/&gt;&lt;wsp:rsid wsp:val=&quot;00CA184C&quot;/&gt;&lt;wsp:rsid wsp:val=&quot;00CA1A12&quot;/&gt;&lt;wsp:rsid wsp:val=&quot;00CA1A44&quot;/&gt;&lt;wsp:rsid wsp:val=&quot;00CA2208&quot;/&gt;&lt;wsp:rsid wsp:val=&quot;00CA2352&quot;/&gt;&lt;wsp:rsid wsp:val=&quot;00CA27D4&quot;/&gt;&lt;wsp:rsid wsp:val=&quot;00CA28E3&quot;/&gt;&lt;wsp:rsid wsp:val=&quot;00CA3429&quot;/&gt;&lt;wsp:rsid wsp:val=&quot;00CA3A9A&quot;/&gt;&lt;wsp:rsid wsp:val=&quot;00CA3C06&quot;/&gt;&lt;wsp:rsid wsp:val=&quot;00CA42DE&quot;/&gt;&lt;wsp:rsid wsp:val=&quot;00CA4D0F&quot;/&gt;&lt;wsp:rsid wsp:val=&quot;00CA5771&quot;/&gt;&lt;wsp:rsid wsp:val=&quot;00CA57F7&quot;/&gt;&lt;wsp:rsid wsp:val=&quot;00CA5873&quot;/&gt;&lt;wsp:rsid wsp:val=&quot;00CA5DDF&quot;/&gt;&lt;wsp:rsid wsp:val=&quot;00CA6218&quot;/&gt;&lt;wsp:rsid wsp:val=&quot;00CA6293&quot;/&gt;&lt;wsp:rsid wsp:val=&quot;00CA6487&quot;/&gt;&lt;wsp:rsid wsp:val=&quot;00CA6560&quot;/&gt;&lt;wsp:rsid wsp:val=&quot;00CA6A93&quot;/&gt;&lt;wsp:rsid wsp:val=&quot;00CA6BAC&quot;/&gt;&lt;wsp:rsid wsp:val=&quot;00CA6C37&quot;/&gt;&lt;wsp:rsid wsp:val=&quot;00CA6C42&quot;/&gt;&lt;wsp:rsid wsp:val=&quot;00CA76DA&quot;/&gt;&lt;wsp:rsid wsp:val=&quot;00CA7A78&quot;/&gt;&lt;wsp:rsid wsp:val=&quot;00CA7CA6&quot;/&gt;&lt;wsp:rsid wsp:val=&quot;00CB0586&quot;/&gt;&lt;wsp:rsid wsp:val=&quot;00CB08AF&quot;/&gt;&lt;wsp:rsid wsp:val=&quot;00CB0DF6&quot;/&gt;&lt;wsp:rsid wsp:val=&quot;00CB13A4&quot;/&gt;&lt;wsp:rsid wsp:val=&quot;00CB15CF&quot;/&gt;&lt;wsp:rsid wsp:val=&quot;00CB1CF7&quot;/&gt;&lt;wsp:rsid wsp:val=&quot;00CB1DF2&quot;/&gt;&lt;wsp:rsid wsp:val=&quot;00CB1FB6&quot;/&gt;&lt;wsp:rsid wsp:val=&quot;00CB2765&quot;/&gt;&lt;wsp:rsid wsp:val=&quot;00CB279B&quot;/&gt;&lt;wsp:rsid wsp:val=&quot;00CB28F7&quot;/&gt;&lt;wsp:rsid wsp:val=&quot;00CB2CB7&quot;/&gt;&lt;wsp:rsid wsp:val=&quot;00CB2DEC&quot;/&gt;&lt;wsp:rsid wsp:val=&quot;00CB3059&quot;/&gt;&lt;wsp:rsid wsp:val=&quot;00CB30E1&quot;/&gt;&lt;wsp:rsid wsp:val=&quot;00CB3228&quot;/&gt;&lt;wsp:rsid wsp:val=&quot;00CB32CE&quot;/&gt;&lt;wsp:rsid wsp:val=&quot;00CB3560&quot;/&gt;&lt;wsp:rsid wsp:val=&quot;00CB3830&quot;/&gt;&lt;wsp:rsid wsp:val=&quot;00CB3B40&quot;/&gt;&lt;wsp:rsid wsp:val=&quot;00CB3C16&quot;/&gt;&lt;wsp:rsid wsp:val=&quot;00CB3DC2&quot;/&gt;&lt;wsp:rsid wsp:val=&quot;00CB3EBC&quot;/&gt;&lt;wsp:rsid wsp:val=&quot;00CB437F&quot;/&gt;&lt;wsp:rsid wsp:val=&quot;00CB4605&quot;/&gt;&lt;wsp:rsid wsp:val=&quot;00CB4A00&quot;/&gt;&lt;wsp:rsid wsp:val=&quot;00CB4B6A&quot;/&gt;&lt;wsp:rsid wsp:val=&quot;00CB4BB0&quot;/&gt;&lt;wsp:rsid wsp:val=&quot;00CB4F1F&quot;/&gt;&lt;wsp:rsid wsp:val=&quot;00CB51BA&quot;/&gt;&lt;wsp:rsid wsp:val=&quot;00CB52C1&quot;/&gt;&lt;wsp:rsid wsp:val=&quot;00CB55C5&quot;/&gt;&lt;wsp:rsid wsp:val=&quot;00CB570F&quot;/&gt;&lt;wsp:rsid wsp:val=&quot;00CB5D3D&quot;/&gt;&lt;wsp:rsid wsp:val=&quot;00CB5E81&quot;/&gt;&lt;wsp:rsid wsp:val=&quot;00CB602C&quot;/&gt;&lt;wsp:rsid wsp:val=&quot;00CB622A&quot;/&gt;&lt;wsp:rsid wsp:val=&quot;00CB624B&quot;/&gt;&lt;wsp:rsid wsp:val=&quot;00CB70DA&quot;/&gt;&lt;wsp:rsid wsp:val=&quot;00CB71E9&quot;/&gt;&lt;wsp:rsid wsp:val=&quot;00CB731A&quot;/&gt;&lt;wsp:rsid wsp:val=&quot;00CB7C20&quot;/&gt;&lt;wsp:rsid wsp:val=&quot;00CB7F49&quot;/&gt;&lt;wsp:rsid wsp:val=&quot;00CC0290&quot;/&gt;&lt;wsp:rsid wsp:val=&quot;00CC02B8&quot;/&gt;&lt;wsp:rsid wsp:val=&quot;00CC0726&quot;/&gt;&lt;wsp:rsid wsp:val=&quot;00CC0ECB&quot;/&gt;&lt;wsp:rsid wsp:val=&quot;00CC0F0E&quot;/&gt;&lt;wsp:rsid wsp:val=&quot;00CC0F11&quot;/&gt;&lt;wsp:rsid wsp:val=&quot;00CC0FD5&quot;/&gt;&lt;wsp:rsid wsp:val=&quot;00CC122D&quot;/&gt;&lt;wsp:rsid wsp:val=&quot;00CC1355&quot;/&gt;&lt;wsp:rsid wsp:val=&quot;00CC19B5&quot;/&gt;&lt;wsp:rsid wsp:val=&quot;00CC1A4D&quot;/&gt;&lt;wsp:rsid wsp:val=&quot;00CC20E3&quot;/&gt;&lt;wsp:rsid wsp:val=&quot;00CC214D&quot;/&gt;&lt;wsp:rsid wsp:val=&quot;00CC2210&quot;/&gt;&lt;wsp:rsid wsp:val=&quot;00CC2929&quot;/&gt;&lt;wsp:rsid wsp:val=&quot;00CC29E8&quot;/&gt;&lt;wsp:rsid wsp:val=&quot;00CC333D&quot;/&gt;&lt;wsp:rsid wsp:val=&quot;00CC3544&quot;/&gt;&lt;wsp:rsid wsp:val=&quot;00CC4220&quot;/&gt;&lt;wsp:rsid wsp:val=&quot;00CC445D&quot;/&gt;&lt;wsp:rsid wsp:val=&quot;00CC478C&quot;/&gt;&lt;wsp:rsid wsp:val=&quot;00CC4B48&quot;/&gt;&lt;wsp:rsid wsp:val=&quot;00CC4CFB&quot;/&gt;&lt;wsp:rsid wsp:val=&quot;00CC4D82&quot;/&gt;&lt;wsp:rsid wsp:val=&quot;00CC4DB5&quot;/&gt;&lt;wsp:rsid wsp:val=&quot;00CC4F1B&quot;/&gt;&lt;wsp:rsid wsp:val=&quot;00CC4F79&quot;/&gt;&lt;wsp:rsid wsp:val=&quot;00CC5049&quot;/&gt;&lt;wsp:rsid wsp:val=&quot;00CC549F&quot;/&gt;&lt;wsp:rsid wsp:val=&quot;00CC54A5&quot;/&gt;&lt;wsp:rsid wsp:val=&quot;00CC54E7&quot;/&gt;&lt;wsp:rsid wsp:val=&quot;00CC576B&quot;/&gt;&lt;wsp:rsid wsp:val=&quot;00CC6555&quot;/&gt;&lt;wsp:rsid wsp:val=&quot;00CC66D5&quot;/&gt;&lt;wsp:rsid wsp:val=&quot;00CC6A0B&quot;/&gt;&lt;wsp:rsid wsp:val=&quot;00CC6B94&quot;/&gt;&lt;wsp:rsid wsp:val=&quot;00CC6D80&quot;/&gt;&lt;wsp:rsid wsp:val=&quot;00CC6F86&quot;/&gt;&lt;wsp:rsid wsp:val=&quot;00CC74EB&quot;/&gt;&lt;wsp:rsid wsp:val=&quot;00CC769F&quot;/&gt;&lt;wsp:rsid wsp:val=&quot;00CC7BE7&quot;/&gt;&lt;wsp:rsid wsp:val=&quot;00CC7DE4&quot;/&gt;&lt;wsp:rsid wsp:val=&quot;00CC7E5A&quot;/&gt;&lt;wsp:rsid wsp:val=&quot;00CC7F47&quot;/&gt;&lt;wsp:rsid wsp:val=&quot;00CD07B5&quot;/&gt;&lt;wsp:rsid wsp:val=&quot;00CD0B3E&quot;/&gt;&lt;wsp:rsid wsp:val=&quot;00CD183A&quot;/&gt;&lt;wsp:rsid wsp:val=&quot;00CD279A&quot;/&gt;&lt;wsp:rsid wsp:val=&quot;00CD2F2A&quot;/&gt;&lt;wsp:rsid wsp:val=&quot;00CD2FDE&quot;/&gt;&lt;wsp:rsid wsp:val=&quot;00CD3649&quot;/&gt;&lt;wsp:rsid wsp:val=&quot;00CD393A&quot;/&gt;&lt;wsp:rsid wsp:val=&quot;00CD397B&quot;/&gt;&lt;wsp:rsid wsp:val=&quot;00CD3BCE&quot;/&gt;&lt;wsp:rsid wsp:val=&quot;00CD41CE&quot;/&gt;&lt;wsp:rsid wsp:val=&quot;00CD4871&quot;/&gt;&lt;wsp:rsid wsp:val=&quot;00CD4925&quot;/&gt;&lt;wsp:rsid wsp:val=&quot;00CD4A65&quot;/&gt;&lt;wsp:rsid wsp:val=&quot;00CD4FF8&quot;/&gt;&lt;wsp:rsid wsp:val=&quot;00CD53EB&quot;/&gt;&lt;wsp:rsid wsp:val=&quot;00CD5422&quot;/&gt;&lt;wsp:rsid wsp:val=&quot;00CD5490&quot;/&gt;&lt;wsp:rsid wsp:val=&quot;00CD587E&quot;/&gt;&lt;wsp:rsid wsp:val=&quot;00CD5931&quot;/&gt;&lt;wsp:rsid wsp:val=&quot;00CD59DC&quot;/&gt;&lt;wsp:rsid wsp:val=&quot;00CD5AF8&quot;/&gt;&lt;wsp:rsid wsp:val=&quot;00CD5AFE&quot;/&gt;&lt;wsp:rsid wsp:val=&quot;00CD5E2C&quot;/&gt;&lt;wsp:rsid wsp:val=&quot;00CD5EE3&quot;/&gt;&lt;wsp:rsid wsp:val=&quot;00CD61B3&quot;/&gt;&lt;wsp:rsid wsp:val=&quot;00CD6401&quot;/&gt;&lt;wsp:rsid wsp:val=&quot;00CD64FF&quot;/&gt;&lt;wsp:rsid wsp:val=&quot;00CD676D&quot;/&gt;&lt;wsp:rsid wsp:val=&quot;00CD68ED&quot;/&gt;&lt;wsp:rsid wsp:val=&quot;00CD69A9&quot;/&gt;&lt;wsp:rsid wsp:val=&quot;00CD69FB&quot;/&gt;&lt;wsp:rsid wsp:val=&quot;00CD6C45&quot;/&gt;&lt;wsp:rsid wsp:val=&quot;00CD717E&quot;/&gt;&lt;wsp:rsid wsp:val=&quot;00CD742C&quot;/&gt;&lt;wsp:rsid wsp:val=&quot;00CD7497&quot;/&gt;&lt;wsp:rsid wsp:val=&quot;00CD74C0&quot;/&gt;&lt;wsp:rsid wsp:val=&quot;00CD781F&quot;/&gt;&lt;wsp:rsid wsp:val=&quot;00CD7969&quot;/&gt;&lt;wsp:rsid wsp:val=&quot;00CD7BFF&quot;/&gt;&lt;wsp:rsid wsp:val=&quot;00CD7F01&quot;/&gt;&lt;wsp:rsid wsp:val=&quot;00CE011C&quot;/&gt;&lt;wsp:rsid wsp:val=&quot;00CE01CE&quot;/&gt;&lt;wsp:rsid wsp:val=&quot;00CE01E6&quot;/&gt;&lt;wsp:rsid wsp:val=&quot;00CE039C&quot;/&gt;&lt;wsp:rsid wsp:val=&quot;00CE040F&quot;/&gt;&lt;wsp:rsid wsp:val=&quot;00CE0773&quot;/&gt;&lt;wsp:rsid wsp:val=&quot;00CE1129&quot;/&gt;&lt;wsp:rsid wsp:val=&quot;00CE1A13&quot;/&gt;&lt;wsp:rsid wsp:val=&quot;00CE1C38&quot;/&gt;&lt;wsp:rsid wsp:val=&quot;00CE2255&quot;/&gt;&lt;wsp:rsid wsp:val=&quot;00CE2939&quot;/&gt;&lt;wsp:rsid wsp:val=&quot;00CE2A86&quot;/&gt;&lt;wsp:rsid wsp:val=&quot;00CE2CEE&quot;/&gt;&lt;wsp:rsid wsp:val=&quot;00CE2D22&quot;/&gt;&lt;wsp:rsid wsp:val=&quot;00CE30F8&quot;/&gt;&lt;wsp:rsid wsp:val=&quot;00CE38BA&quot;/&gt;&lt;wsp:rsid wsp:val=&quot;00CE4326&quot;/&gt;&lt;wsp:rsid wsp:val=&quot;00CE4A88&quot;/&gt;&lt;wsp:rsid wsp:val=&quot;00CE4E60&quot;/&gt;&lt;wsp:rsid wsp:val=&quot;00CE4E88&quot;/&gt;&lt;wsp:rsid wsp:val=&quot;00CE5060&quot;/&gt;&lt;wsp:rsid wsp:val=&quot;00CE5502&quot;/&gt;&lt;wsp:rsid wsp:val=&quot;00CE57B6&quot;/&gt;&lt;wsp:rsid wsp:val=&quot;00CE5B49&quot;/&gt;&lt;wsp:rsid wsp:val=&quot;00CE5B63&quot;/&gt;&lt;wsp:rsid wsp:val=&quot;00CE5FE4&quot;/&gt;&lt;wsp:rsid wsp:val=&quot;00CE6974&quot;/&gt;&lt;wsp:rsid wsp:val=&quot;00CE6F09&quot;/&gt;&lt;wsp:rsid wsp:val=&quot;00CE6F9A&quot;/&gt;&lt;wsp:rsid wsp:val=&quot;00CE739E&quot;/&gt;&lt;wsp:rsid wsp:val=&quot;00CE775D&quot;/&gt;&lt;wsp:rsid wsp:val=&quot;00CF0D65&quot;/&gt;&lt;wsp:rsid wsp:val=&quot;00CF107E&quot;/&gt;&lt;wsp:rsid wsp:val=&quot;00CF117E&quot;/&gt;&lt;wsp:rsid wsp:val=&quot;00CF1B47&quot;/&gt;&lt;wsp:rsid wsp:val=&quot;00CF26A4&quot;/&gt;&lt;wsp:rsid wsp:val=&quot;00CF27DA&quot;/&gt;&lt;wsp:rsid wsp:val=&quot;00CF3872&quot;/&gt;&lt;wsp:rsid wsp:val=&quot;00CF3924&quot;/&gt;&lt;wsp:rsid wsp:val=&quot;00CF3A0F&quot;/&gt;&lt;wsp:rsid wsp:val=&quot;00CF3A21&quot;/&gt;&lt;wsp:rsid wsp:val=&quot;00CF3B70&quot;/&gt;&lt;wsp:rsid wsp:val=&quot;00CF3E6D&quot;/&gt;&lt;wsp:rsid wsp:val=&quot;00CF42E7&quot;/&gt;&lt;wsp:rsid wsp:val=&quot;00CF4459&quot;/&gt;&lt;wsp:rsid wsp:val=&quot;00CF4689&quot;/&gt;&lt;wsp:rsid wsp:val=&quot;00CF4A56&quot;/&gt;&lt;wsp:rsid wsp:val=&quot;00CF4F93&quot;/&gt;&lt;wsp:rsid wsp:val=&quot;00CF50A0&quot;/&gt;&lt;wsp:rsid wsp:val=&quot;00CF56E8&quot;/&gt;&lt;wsp:rsid wsp:val=&quot;00CF58E7&quot;/&gt;&lt;wsp:rsid wsp:val=&quot;00CF592B&quot;/&gt;&lt;wsp:rsid wsp:val=&quot;00CF59F3&quot;/&gt;&lt;wsp:rsid wsp:val=&quot;00CF5C7A&quot;/&gt;&lt;wsp:rsid wsp:val=&quot;00CF5E35&quot;/&gt;&lt;wsp:rsid wsp:val=&quot;00CF5E51&quot;/&gt;&lt;wsp:rsid wsp:val=&quot;00CF623C&quot;/&gt;&lt;wsp:rsid wsp:val=&quot;00CF6AFF&quot;/&gt;&lt;wsp:rsid wsp:val=&quot;00CF7168&quot;/&gt;&lt;wsp:rsid wsp:val=&quot;00CF73B8&quot;/&gt;&lt;wsp:rsid wsp:val=&quot;00CF7415&quot;/&gt;&lt;wsp:rsid wsp:val=&quot;00CF77B3&quot;/&gt;&lt;wsp:rsid wsp:val=&quot;00CF78B2&quot;/&gt;&lt;wsp:rsid wsp:val=&quot;00D00593&quot;/&gt;&lt;wsp:rsid wsp:val=&quot;00D005B9&quot;/&gt;&lt;wsp:rsid wsp:val=&quot;00D0077A&quot;/&gt;&lt;wsp:rsid wsp:val=&quot;00D00D9A&quot;/&gt;&lt;wsp:rsid wsp:val=&quot;00D0113B&quot;/&gt;&lt;wsp:rsid wsp:val=&quot;00D017A9&quot;/&gt;&lt;wsp:rsid wsp:val=&quot;00D01994&quot;/&gt;&lt;wsp:rsid wsp:val=&quot;00D019B9&quot;/&gt;&lt;wsp:rsid wsp:val=&quot;00D01F4F&quot;/&gt;&lt;wsp:rsid wsp:val=&quot;00D01FA5&quot;/&gt;&lt;wsp:rsid wsp:val=&quot;00D02279&quot;/&gt;&lt;wsp:rsid wsp:val=&quot;00D022B8&quot;/&gt;&lt;wsp:rsid wsp:val=&quot;00D0261F&quot;/&gt;&lt;wsp:rsid wsp:val=&quot;00D02F13&quot;/&gt;&lt;wsp:rsid wsp:val=&quot;00D02FE2&quot;/&gt;&lt;wsp:rsid wsp:val=&quot;00D03302&quot;/&gt;&lt;wsp:rsid wsp:val=&quot;00D03309&quot;/&gt;&lt;wsp:rsid wsp:val=&quot;00D03652&quot;/&gt;&lt;wsp:rsid wsp:val=&quot;00D03900&quot;/&gt;&lt;wsp:rsid wsp:val=&quot;00D03D46&quot;/&gt;&lt;wsp:rsid wsp:val=&quot;00D03E43&quot;/&gt;&lt;wsp:rsid wsp:val=&quot;00D04430&quot;/&gt;&lt;wsp:rsid wsp:val=&quot;00D05571&quot;/&gt;&lt;wsp:rsid wsp:val=&quot;00D0571D&quot;/&gt;&lt;wsp:rsid wsp:val=&quot;00D059EF&quot;/&gt;&lt;wsp:rsid wsp:val=&quot;00D05B66&quot;/&gt;&lt;wsp:rsid wsp:val=&quot;00D05D06&quot;/&gt;&lt;wsp:rsid wsp:val=&quot;00D06000&quot;/&gt;&lt;wsp:rsid wsp:val=&quot;00D0649B&quot;/&gt;&lt;wsp:rsid wsp:val=&quot;00D067F3&quot;/&gt;&lt;wsp:rsid wsp:val=&quot;00D07D78&quot;/&gt;&lt;wsp:rsid wsp:val=&quot;00D07E5C&quot;/&gt;&lt;wsp:rsid wsp:val=&quot;00D07F5A&quot;/&gt;&lt;wsp:rsid wsp:val=&quot;00D07FEA&quot;/&gt;&lt;wsp:rsid wsp:val=&quot;00D10C47&quot;/&gt;&lt;wsp:rsid wsp:val=&quot;00D10F61&quot;/&gt;&lt;wsp:rsid wsp:val=&quot;00D11A47&quot;/&gt;&lt;wsp:rsid wsp:val=&quot;00D11BBE&quot;/&gt;&lt;wsp:rsid wsp:val=&quot;00D11BC5&quot;/&gt;&lt;wsp:rsid wsp:val=&quot;00D120A3&quot;/&gt;&lt;wsp:rsid wsp:val=&quot;00D12124&quot;/&gt;&lt;wsp:rsid wsp:val=&quot;00D1215C&quot;/&gt;&lt;wsp:rsid wsp:val=&quot;00D128A4&quot;/&gt;&lt;wsp:rsid wsp:val=&quot;00D12983&quot;/&gt;&lt;wsp:rsid wsp:val=&quot;00D12D49&quot;/&gt;&lt;wsp:rsid wsp:val=&quot;00D12E4E&quot;/&gt;&lt;wsp:rsid wsp:val=&quot;00D12FE3&quot;/&gt;&lt;wsp:rsid wsp:val=&quot;00D130F2&quot;/&gt;&lt;wsp:rsid wsp:val=&quot;00D13DC3&quot;/&gt;&lt;wsp:rsid wsp:val=&quot;00D143DF&quot;/&gt;&lt;wsp:rsid wsp:val=&quot;00D14B32&quot;/&gt;&lt;wsp:rsid wsp:val=&quot;00D14DFF&quot;/&gt;&lt;wsp:rsid wsp:val=&quot;00D14E96&quot;/&gt;&lt;wsp:rsid wsp:val=&quot;00D1567E&quot;/&gt;&lt;wsp:rsid wsp:val=&quot;00D15732&quot;/&gt;&lt;wsp:rsid wsp:val=&quot;00D164B9&quot;/&gt;&lt;wsp:rsid wsp:val=&quot;00D16750&quot;/&gt;&lt;wsp:rsid wsp:val=&quot;00D16BCA&quot;/&gt;&lt;wsp:rsid wsp:val=&quot;00D16DBD&quot;/&gt;&lt;wsp:rsid wsp:val=&quot;00D16F4D&quot;/&gt;&lt;wsp:rsid wsp:val=&quot;00D17157&quot;/&gt;&lt;wsp:rsid wsp:val=&quot;00D173FA&quot;/&gt;&lt;wsp:rsid wsp:val=&quot;00D17940&quot;/&gt;&lt;wsp:rsid wsp:val=&quot;00D17E8C&quot;/&gt;&lt;wsp:rsid wsp:val=&quot;00D200AD&quot;/&gt;&lt;wsp:rsid wsp:val=&quot;00D209D7&quot;/&gt;&lt;wsp:rsid wsp:val=&quot;00D20C20&quot;/&gt;&lt;wsp:rsid wsp:val=&quot;00D217CF&quot;/&gt;&lt;wsp:rsid wsp:val=&quot;00D21CD2&quot;/&gt;&lt;wsp:rsid wsp:val=&quot;00D21CFA&quot;/&gt;&lt;wsp:rsid wsp:val=&quot;00D22113&quot;/&gt;&lt;wsp:rsid wsp:val=&quot;00D221B7&quot;/&gt;&lt;wsp:rsid wsp:val=&quot;00D222C6&quot;/&gt;&lt;wsp:rsid wsp:val=&quot;00D2283C&quot;/&gt;&lt;wsp:rsid wsp:val=&quot;00D22A80&quot;/&gt;&lt;wsp:rsid wsp:val=&quot;00D22C0A&quot;/&gt;&lt;wsp:rsid wsp:val=&quot;00D22C30&quot;/&gt;&lt;wsp:rsid wsp:val=&quot;00D22D4A&quot;/&gt;&lt;wsp:rsid wsp:val=&quot;00D22F3C&quot;/&gt;&lt;wsp:rsid wsp:val=&quot;00D230A4&quot;/&gt;&lt;wsp:rsid wsp:val=&quot;00D230F3&quot;/&gt;&lt;wsp:rsid wsp:val=&quot;00D23122&quot;/&gt;&lt;wsp:rsid wsp:val=&quot;00D232BF&quot;/&gt;&lt;wsp:rsid wsp:val=&quot;00D235CC&quot;/&gt;&lt;wsp:rsid wsp:val=&quot;00D2386E&quot;/&gt;&lt;wsp:rsid wsp:val=&quot;00D23D5B&quot;/&gt;&lt;wsp:rsid wsp:val=&quot;00D241B0&quot;/&gt;&lt;wsp:rsid wsp:val=&quot;00D2453C&quot;/&gt;&lt;wsp:rsid wsp:val=&quot;00D2459F&quot;/&gt;&lt;wsp:rsid wsp:val=&quot;00D24907&quot;/&gt;&lt;wsp:rsid wsp:val=&quot;00D249D2&quot;/&gt;&lt;wsp:rsid wsp:val=&quot;00D24DE7&quot;/&gt;&lt;wsp:rsid wsp:val=&quot;00D2516D&quot;/&gt;&lt;wsp:rsid wsp:val=&quot;00D25873&quot;/&gt;&lt;wsp:rsid wsp:val=&quot;00D25DAF&quot;/&gt;&lt;wsp:rsid wsp:val=&quot;00D26301&quot;/&gt;&lt;wsp:rsid wsp:val=&quot;00D26D39&quot;/&gt;&lt;wsp:rsid wsp:val=&quot;00D27409&quot;/&gt;&lt;wsp:rsid wsp:val=&quot;00D27540&quot;/&gt;&lt;wsp:rsid wsp:val=&quot;00D27769&quot;/&gt;&lt;wsp:rsid wsp:val=&quot;00D279B8&quot;/&gt;&lt;wsp:rsid wsp:val=&quot;00D27F7C&quot;/&gt;&lt;wsp:rsid wsp:val=&quot;00D30128&quot;/&gt;&lt;wsp:rsid wsp:val=&quot;00D30372&quot;/&gt;&lt;wsp:rsid wsp:val=&quot;00D307D2&quot;/&gt;&lt;wsp:rsid wsp:val=&quot;00D30BD5&quot;/&gt;&lt;wsp:rsid wsp:val=&quot;00D30C40&quot;/&gt;&lt;wsp:rsid wsp:val=&quot;00D310FA&quot;/&gt;&lt;wsp:rsid wsp:val=&quot;00D315BB&quot;/&gt;&lt;wsp:rsid wsp:val=&quot;00D31981&quot;/&gt;&lt;wsp:rsid wsp:val=&quot;00D31BA6&quot;/&gt;&lt;wsp:rsid wsp:val=&quot;00D31CFC&quot;/&gt;&lt;wsp:rsid wsp:val=&quot;00D322C2&quot;/&gt;&lt;wsp:rsid wsp:val=&quot;00D32411&quot;/&gt;&lt;wsp:rsid wsp:val=&quot;00D324ED&quot;/&gt;&lt;wsp:rsid wsp:val=&quot;00D33035&quot;/&gt;&lt;wsp:rsid wsp:val=&quot;00D33038&quot;/&gt;&lt;wsp:rsid wsp:val=&quot;00D33275&quot;/&gt;&lt;wsp:rsid wsp:val=&quot;00D33278&quot;/&gt;&lt;wsp:rsid wsp:val=&quot;00D335C3&quot;/&gt;&lt;wsp:rsid wsp:val=&quot;00D3375E&quot;/&gt;&lt;wsp:rsid wsp:val=&quot;00D33852&quot;/&gt;&lt;wsp:rsid wsp:val=&quot;00D33D31&quot;/&gt;&lt;wsp:rsid wsp:val=&quot;00D344A7&quot;/&gt;&lt;wsp:rsid wsp:val=&quot;00D34757&quot;/&gt;&lt;wsp:rsid wsp:val=&quot;00D34B46&quot;/&gt;&lt;wsp:rsid wsp:val=&quot;00D350C4&quot;/&gt;&lt;wsp:rsid wsp:val=&quot;00D3559B&quot;/&gt;&lt;wsp:rsid wsp:val=&quot;00D35E85&quot;/&gt;&lt;wsp:rsid wsp:val=&quot;00D360F1&quot;/&gt;&lt;wsp:rsid wsp:val=&quot;00D36322&quot;/&gt;&lt;wsp:rsid wsp:val=&quot;00D366D9&quot;/&gt;&lt;wsp:rsid wsp:val=&quot;00D36DF2&quot;/&gt;&lt;wsp:rsid wsp:val=&quot;00D37431&quot;/&gt;&lt;wsp:rsid wsp:val=&quot;00D37733&quot;/&gt;&lt;wsp:rsid wsp:val=&quot;00D37A21&quot;/&gt;&lt;wsp:rsid wsp:val=&quot;00D37AAF&quot;/&gt;&lt;wsp:rsid wsp:val=&quot;00D37B37&quot;/&gt;&lt;wsp:rsid wsp:val=&quot;00D37BFA&quot;/&gt;&lt;wsp:rsid wsp:val=&quot;00D37EA6&quot;/&gt;&lt;wsp:rsid wsp:val=&quot;00D40872&quot;/&gt;&lt;wsp:rsid wsp:val=&quot;00D40E7C&quot;/&gt;&lt;wsp:rsid wsp:val=&quot;00D40F27&quot;/&gt;&lt;wsp:rsid wsp:val=&quot;00D41179&quot;/&gt;&lt;wsp:rsid wsp:val=&quot;00D41803&quot;/&gt;&lt;wsp:rsid wsp:val=&quot;00D41A05&quot;/&gt;&lt;wsp:rsid wsp:val=&quot;00D41A3B&quot;/&gt;&lt;wsp:rsid wsp:val=&quot;00D41A7D&quot;/&gt;&lt;wsp:rsid wsp:val=&quot;00D41C03&quot;/&gt;&lt;wsp:rsid wsp:val=&quot;00D42B7C&quot;/&gt;&lt;wsp:rsid wsp:val=&quot;00D43133&quot;/&gt;&lt;wsp:rsid wsp:val=&quot;00D4322E&quot;/&gt;&lt;wsp:rsid wsp:val=&quot;00D43AFC&quot;/&gt;&lt;wsp:rsid wsp:val=&quot;00D43C8E&quot;/&gt;&lt;wsp:rsid wsp:val=&quot;00D43DA5&quot;/&gt;&lt;wsp:rsid wsp:val=&quot;00D44404&quot;/&gt;&lt;wsp:rsid wsp:val=&quot;00D44638&quot;/&gt;&lt;wsp:rsid wsp:val=&quot;00D4497C&quot;/&gt;&lt;wsp:rsid wsp:val=&quot;00D449A0&quot;/&gt;&lt;wsp:rsid wsp:val=&quot;00D44E88&quot;/&gt;&lt;wsp:rsid wsp:val=&quot;00D450A2&quot;/&gt;&lt;wsp:rsid wsp:val=&quot;00D45419&quot;/&gt;&lt;wsp:rsid wsp:val=&quot;00D457BD&quot;/&gt;&lt;wsp:rsid wsp:val=&quot;00D46514&quot;/&gt;&lt;wsp:rsid wsp:val=&quot;00D46798&quot;/&gt;&lt;wsp:rsid wsp:val=&quot;00D46ADF&quot;/&gt;&lt;wsp:rsid wsp:val=&quot;00D46C81&quot;/&gt;&lt;wsp:rsid wsp:val=&quot;00D47673&quot;/&gt;&lt;wsp:rsid wsp:val=&quot;00D47B77&quot;/&gt;&lt;wsp:rsid wsp:val=&quot;00D50034&quot;/&gt;&lt;wsp:rsid wsp:val=&quot;00D503EC&quot;/&gt;&lt;wsp:rsid wsp:val=&quot;00D50F65&quot;/&gt;&lt;wsp:rsid wsp:val=&quot;00D50F81&quot;/&gt;&lt;wsp:rsid wsp:val=&quot;00D51720&quot;/&gt;&lt;wsp:rsid wsp:val=&quot;00D51B2A&quot;/&gt;&lt;wsp:rsid wsp:val=&quot;00D51D4A&quot;/&gt;&lt;wsp:rsid wsp:val=&quot;00D52209&quot;/&gt;&lt;wsp:rsid wsp:val=&quot;00D5234B&quot;/&gt;&lt;wsp:rsid wsp:val=&quot;00D52395&quot;/&gt;&lt;wsp:rsid wsp:val=&quot;00D52581&quot;/&gt;&lt;wsp:rsid wsp:val=&quot;00D52759&quot;/&gt;&lt;wsp:rsid wsp:val=&quot;00D52769&quot;/&gt;&lt;wsp:rsid wsp:val=&quot;00D52807&quot;/&gt;&lt;wsp:rsid wsp:val=&quot;00D52BB3&quot;/&gt;&lt;wsp:rsid wsp:val=&quot;00D52C1D&quot;/&gt;&lt;wsp:rsid wsp:val=&quot;00D53964&quot;/&gt;&lt;wsp:rsid wsp:val=&quot;00D53984&quot;/&gt;&lt;wsp:rsid wsp:val=&quot;00D53BAC&quot;/&gt;&lt;wsp:rsid wsp:val=&quot;00D53BE1&quot;/&gt;&lt;wsp:rsid wsp:val=&quot;00D53C87&quot;/&gt;&lt;wsp:rsid wsp:val=&quot;00D54868&quot;/&gt;&lt;wsp:rsid wsp:val=&quot;00D54C61&quot;/&gt;&lt;wsp:rsid wsp:val=&quot;00D54D1E&quot;/&gt;&lt;wsp:rsid wsp:val=&quot;00D55266&quot;/&gt;&lt;wsp:rsid wsp:val=&quot;00D55283&quot;/&gt;&lt;wsp:rsid wsp:val=&quot;00D5595E&quot;/&gt;&lt;wsp:rsid wsp:val=&quot;00D55BCE&quot;/&gt;&lt;wsp:rsid wsp:val=&quot;00D5613C&quot;/&gt;&lt;wsp:rsid wsp:val=&quot;00D56253&quot;/&gt;&lt;wsp:rsid wsp:val=&quot;00D56498&quot;/&gt;&lt;wsp:rsid wsp:val=&quot;00D567FE&quot;/&gt;&lt;wsp:rsid wsp:val=&quot;00D56CE8&quot;/&gt;&lt;wsp:rsid wsp:val=&quot;00D5731E&quot;/&gt;&lt;wsp:rsid wsp:val=&quot;00D579C3&quot;/&gt;&lt;wsp:rsid wsp:val=&quot;00D57E09&quot;/&gt;&lt;wsp:rsid wsp:val=&quot;00D6016A&quot;/&gt;&lt;wsp:rsid wsp:val=&quot;00D60191&quot;/&gt;&lt;wsp:rsid wsp:val=&quot;00D61005&quot;/&gt;&lt;wsp:rsid wsp:val=&quot;00D61015&quot;/&gt;&lt;wsp:rsid wsp:val=&quot;00D61131&quot;/&gt;&lt;wsp:rsid wsp:val=&quot;00D611BB&quot;/&gt;&lt;wsp:rsid wsp:val=&quot;00D61829&quot;/&gt;&lt;wsp:rsid wsp:val=&quot;00D61A11&quot;/&gt;&lt;wsp:rsid wsp:val=&quot;00D61ADA&quot;/&gt;&lt;wsp:rsid wsp:val=&quot;00D61BEC&quot;/&gt;&lt;wsp:rsid wsp:val=&quot;00D61EBC&quot;/&gt;&lt;wsp:rsid wsp:val=&quot;00D61F64&quot;/&gt;&lt;wsp:rsid wsp:val=&quot;00D620A2&quot;/&gt;&lt;wsp:rsid wsp:val=&quot;00D622CE&quot;/&gt;&lt;wsp:rsid wsp:val=&quot;00D625F9&quot;/&gt;&lt;wsp:rsid wsp:val=&quot;00D626BE&quot;/&gt;&lt;wsp:rsid wsp:val=&quot;00D627CF&quot;/&gt;&lt;wsp:rsid wsp:val=&quot;00D62824&quot;/&gt;&lt;wsp:rsid wsp:val=&quot;00D6298A&quot;/&gt;&lt;wsp:rsid wsp:val=&quot;00D62A18&quot;/&gt;&lt;wsp:rsid wsp:val=&quot;00D62B58&quot;/&gt;&lt;wsp:rsid wsp:val=&quot;00D630C5&quot;/&gt;&lt;wsp:rsid wsp:val=&quot;00D636AD&quot;/&gt;&lt;wsp:rsid wsp:val=&quot;00D63D63&quot;/&gt;&lt;wsp:rsid wsp:val=&quot;00D64252&quot;/&gt;&lt;wsp:rsid wsp:val=&quot;00D64417&quot;/&gt;&lt;wsp:rsid wsp:val=&quot;00D6444A&quot;/&gt;&lt;wsp:rsid wsp:val=&quot;00D644E7&quot;/&gt;&lt;wsp:rsid wsp:val=&quot;00D646C6&quot;/&gt;&lt;wsp:rsid wsp:val=&quot;00D64822&quot;/&gt;&lt;wsp:rsid wsp:val=&quot;00D652FF&quot;/&gt;&lt;wsp:rsid wsp:val=&quot;00D653DB&quot;/&gt;&lt;wsp:rsid wsp:val=&quot;00D654C8&quot;/&gt;&lt;wsp:rsid wsp:val=&quot;00D6567B&quot;/&gt;&lt;wsp:rsid wsp:val=&quot;00D65AA1&quot;/&gt;&lt;wsp:rsid wsp:val=&quot;00D6638B&quot;/&gt;&lt;wsp:rsid wsp:val=&quot;00D66DD9&quot;/&gt;&lt;wsp:rsid wsp:val=&quot;00D66FA6&quot;/&gt;&lt;wsp:rsid wsp:val=&quot;00D671DD&quot;/&gt;&lt;wsp:rsid wsp:val=&quot;00D67240&quot;/&gt;&lt;wsp:rsid wsp:val=&quot;00D678AC&quot;/&gt;&lt;wsp:rsid wsp:val=&quot;00D67A44&quot;/&gt;&lt;wsp:rsid wsp:val=&quot;00D67C73&quot;/&gt;&lt;wsp:rsid wsp:val=&quot;00D7030E&quot;/&gt;&lt;wsp:rsid wsp:val=&quot;00D703A3&quot;/&gt;&lt;wsp:rsid wsp:val=&quot;00D7040C&quot;/&gt;&lt;wsp:rsid wsp:val=&quot;00D705E7&quot;/&gt;&lt;wsp:rsid wsp:val=&quot;00D7074F&quot;/&gt;&lt;wsp:rsid wsp:val=&quot;00D70CD1&quot;/&gt;&lt;wsp:rsid wsp:val=&quot;00D70E7A&quot;/&gt;&lt;wsp:rsid wsp:val=&quot;00D70F4A&quot;/&gt;&lt;wsp:rsid wsp:val=&quot;00D71546&quot;/&gt;&lt;wsp:rsid wsp:val=&quot;00D716E8&quot;/&gt;&lt;wsp:rsid wsp:val=&quot;00D71916&quot;/&gt;&lt;wsp:rsid wsp:val=&quot;00D719E6&quot;/&gt;&lt;wsp:rsid wsp:val=&quot;00D71CEF&quot;/&gt;&lt;wsp:rsid wsp:val=&quot;00D7218F&quot;/&gt;&lt;wsp:rsid wsp:val=&quot;00D72199&quot;/&gt;&lt;wsp:rsid wsp:val=&quot;00D72232&quot;/&gt;&lt;wsp:rsid wsp:val=&quot;00D722CF&quot;/&gt;&lt;wsp:rsid wsp:val=&quot;00D725DB&quot;/&gt;&lt;wsp:rsid wsp:val=&quot;00D72C5F&quot;/&gt;&lt;wsp:rsid wsp:val=&quot;00D72DA4&quot;/&gt;&lt;wsp:rsid wsp:val=&quot;00D732EE&quot;/&gt;&lt;wsp:rsid wsp:val=&quot;00D73338&quot;/&gt;&lt;wsp:rsid wsp:val=&quot;00D73348&quot;/&gt;&lt;wsp:rsid wsp:val=&quot;00D73FD6&quot;/&gt;&lt;wsp:rsid wsp:val=&quot;00D74262&quot;/&gt;&lt;wsp:rsid wsp:val=&quot;00D7433C&quot;/&gt;&lt;wsp:rsid wsp:val=&quot;00D74575&quot;/&gt;&lt;wsp:rsid wsp:val=&quot;00D7465E&quot;/&gt;&lt;wsp:rsid wsp:val=&quot;00D74A56&quot;/&gt;&lt;wsp:rsid wsp:val=&quot;00D74D31&quot;/&gt;&lt;wsp:rsid wsp:val=&quot;00D74D6F&quot;/&gt;&lt;wsp:rsid wsp:val=&quot;00D74EF6&quot;/&gt;&lt;wsp:rsid wsp:val=&quot;00D74F07&quot;/&gt;&lt;wsp:rsid wsp:val=&quot;00D74F9C&quot;/&gt;&lt;wsp:rsid wsp:val=&quot;00D75012&quot;/&gt;&lt;wsp:rsid wsp:val=&quot;00D75773&quot;/&gt;&lt;wsp:rsid wsp:val=&quot;00D760A9&quot;/&gt;&lt;wsp:rsid wsp:val=&quot;00D760CF&quot;/&gt;&lt;wsp:rsid wsp:val=&quot;00D763C6&quot;/&gt;&lt;wsp:rsid wsp:val=&quot;00D76440&quot;/&gt;&lt;wsp:rsid wsp:val=&quot;00D76731&quot;/&gt;&lt;wsp:rsid wsp:val=&quot;00D7695D&quot;/&gt;&lt;wsp:rsid wsp:val=&quot;00D77746&quot;/&gt;&lt;wsp:rsid wsp:val=&quot;00D778C2&quot;/&gt;&lt;wsp:rsid wsp:val=&quot;00D77CA3&quot;/&gt;&lt;wsp:rsid wsp:val=&quot;00D8038B&quot;/&gt;&lt;wsp:rsid wsp:val=&quot;00D803E5&quot;/&gt;&lt;wsp:rsid wsp:val=&quot;00D80BA3&quot;/&gt;&lt;wsp:rsid wsp:val=&quot;00D80E47&quot;/&gt;&lt;wsp:rsid wsp:val=&quot;00D813D1&quot;/&gt;&lt;wsp:rsid wsp:val=&quot;00D81428&quot;/&gt;&lt;wsp:rsid wsp:val=&quot;00D818D9&quot;/&gt;&lt;wsp:rsid wsp:val=&quot;00D81B53&quot;/&gt;&lt;wsp:rsid wsp:val=&quot;00D81D91&quot;/&gt;&lt;wsp:rsid wsp:val=&quot;00D81E8A&quot;/&gt;&lt;wsp:rsid wsp:val=&quot;00D82675&quot;/&gt;&lt;wsp:rsid wsp:val=&quot;00D8270A&quot;/&gt;&lt;wsp:rsid wsp:val=&quot;00D82A8E&quot;/&gt;&lt;wsp:rsid wsp:val=&quot;00D82DF1&quot;/&gt;&lt;wsp:rsid wsp:val=&quot;00D82EF5&quot;/&gt;&lt;wsp:rsid wsp:val=&quot;00D831D9&quot;/&gt;&lt;wsp:rsid wsp:val=&quot;00D83235&quot;/&gt;&lt;wsp:rsid wsp:val=&quot;00D8393F&quot;/&gt;&lt;wsp:rsid wsp:val=&quot;00D840E6&quot;/&gt;&lt;wsp:rsid wsp:val=&quot;00D8429C&quot;/&gt;&lt;wsp:rsid wsp:val=&quot;00D842D4&quot;/&gt;&lt;wsp:rsid wsp:val=&quot;00D84621&quot;/&gt;&lt;wsp:rsid wsp:val=&quot;00D8462B&quot;/&gt;&lt;wsp:rsid wsp:val=&quot;00D84941&quot;/&gt;&lt;wsp:rsid wsp:val=&quot;00D8521F&quot;/&gt;&lt;wsp:rsid wsp:val=&quot;00D85335&quot;/&gt;&lt;wsp:rsid wsp:val=&quot;00D856EC&quot;/&gt;&lt;wsp:rsid wsp:val=&quot;00D8570C&quot;/&gt;&lt;wsp:rsid wsp:val=&quot;00D85824&quot;/&gt;&lt;wsp:rsid wsp:val=&quot;00D85C69&quot;/&gt;&lt;wsp:rsid wsp:val=&quot;00D85C72&quot;/&gt;&lt;wsp:rsid wsp:val=&quot;00D85DEB&quot;/&gt;&lt;wsp:rsid wsp:val=&quot;00D861F0&quot;/&gt;&lt;wsp:rsid wsp:val=&quot;00D86504&quot;/&gt;&lt;wsp:rsid wsp:val=&quot;00D86DFF&quot;/&gt;&lt;wsp:rsid wsp:val=&quot;00D87212&quot;/&gt;&lt;wsp:rsid wsp:val=&quot;00D87551&quot;/&gt;&lt;wsp:rsid wsp:val=&quot;00D87C1E&quot;/&gt;&lt;wsp:rsid wsp:val=&quot;00D90067&quot;/&gt;&lt;wsp:rsid wsp:val=&quot;00D903FC&quot;/&gt;&lt;wsp:rsid wsp:val=&quot;00D903FF&quot;/&gt;&lt;wsp:rsid wsp:val=&quot;00D9066D&quot;/&gt;&lt;wsp:rsid wsp:val=&quot;00D90844&quot;/&gt;&lt;wsp:rsid wsp:val=&quot;00D90C47&quot;/&gt;&lt;wsp:rsid wsp:val=&quot;00D90CDB&quot;/&gt;&lt;wsp:rsid wsp:val=&quot;00D9124E&quot;/&gt;&lt;wsp:rsid wsp:val=&quot;00D917CA&quot;/&gt;&lt;wsp:rsid wsp:val=&quot;00D918CD&quot;/&gt;&lt;wsp:rsid wsp:val=&quot;00D9196C&quot;/&gt;&lt;wsp:rsid wsp:val=&quot;00D91C21&quot;/&gt;&lt;wsp:rsid wsp:val=&quot;00D91EC6&quot;/&gt;&lt;wsp:rsid wsp:val=&quot;00D91F11&quot;/&gt;&lt;wsp:rsid wsp:val=&quot;00D91FF6&quot;/&gt;&lt;wsp:rsid wsp:val=&quot;00D922E8&quot;/&gt;&lt;wsp:rsid wsp:val=&quot;00D92491&quot;/&gt;&lt;wsp:rsid wsp:val=&quot;00D92AE3&quot;/&gt;&lt;wsp:rsid wsp:val=&quot;00D92CE4&quot;/&gt;&lt;wsp:rsid wsp:val=&quot;00D934D4&quot;/&gt;&lt;wsp:rsid wsp:val=&quot;00D935B0&quot;/&gt;&lt;wsp:rsid wsp:val=&quot;00D93895&quot;/&gt;&lt;wsp:rsid wsp:val=&quot;00D93B30&quot;/&gt;&lt;wsp:rsid wsp:val=&quot;00D93EE5&quot;/&gt;&lt;wsp:rsid wsp:val=&quot;00D9400B&quot;/&gt;&lt;wsp:rsid wsp:val=&quot;00D94351&quot;/&gt;&lt;wsp:rsid wsp:val=&quot;00D9436E&quot;/&gt;&lt;wsp:rsid wsp:val=&quot;00D9442C&quot;/&gt;&lt;wsp:rsid wsp:val=&quot;00D94635&quot;/&gt;&lt;wsp:rsid wsp:val=&quot;00D95228&quot;/&gt;&lt;wsp:rsid wsp:val=&quot;00D957C3&quot;/&gt;&lt;wsp:rsid wsp:val=&quot;00D95AF4&quot;/&gt;&lt;wsp:rsid wsp:val=&quot;00D95CB7&quot;/&gt;&lt;wsp:rsid wsp:val=&quot;00D96247&quot;/&gt;&lt;wsp:rsid wsp:val=&quot;00D9632F&quot;/&gt;&lt;wsp:rsid wsp:val=&quot;00D9690E&quot;/&gt;&lt;wsp:rsid wsp:val=&quot;00D97DC7&quot;/&gt;&lt;wsp:rsid wsp:val=&quot;00D97EE3&quot;/&gt;&lt;wsp:rsid wsp:val=&quot;00DA00AE&quot;/&gt;&lt;wsp:rsid wsp:val=&quot;00DA0108&quot;/&gt;&lt;wsp:rsid wsp:val=&quot;00DA01C4&quot;/&gt;&lt;wsp:rsid wsp:val=&quot;00DA0DD0&quot;/&gt;&lt;wsp:rsid wsp:val=&quot;00DA1876&quot;/&gt;&lt;wsp:rsid wsp:val=&quot;00DA1992&quot;/&gt;&lt;wsp:rsid wsp:val=&quot;00DA1A61&quot;/&gt;&lt;wsp:rsid wsp:val=&quot;00DA1BBD&quot;/&gt;&lt;wsp:rsid wsp:val=&quot;00DA27FD&quot;/&gt;&lt;wsp:rsid wsp:val=&quot;00DA281D&quot;/&gt;&lt;wsp:rsid wsp:val=&quot;00DA2B3F&quot;/&gt;&lt;wsp:rsid wsp:val=&quot;00DA2D48&quot;/&gt;&lt;wsp:rsid wsp:val=&quot;00DA31D6&quot;/&gt;&lt;wsp:rsid wsp:val=&quot;00DA32ED&quot;/&gt;&lt;wsp:rsid wsp:val=&quot;00DA355F&quot;/&gt;&lt;wsp:rsid wsp:val=&quot;00DA3637&quot;/&gt;&lt;wsp:rsid wsp:val=&quot;00DA3DE0&quot;/&gt;&lt;wsp:rsid wsp:val=&quot;00DA452D&quot;/&gt;&lt;wsp:rsid wsp:val=&quot;00DA4785&quot;/&gt;&lt;wsp:rsid wsp:val=&quot;00DA47F3&quot;/&gt;&lt;wsp:rsid wsp:val=&quot;00DA48A9&quot;/&gt;&lt;wsp:rsid wsp:val=&quot;00DA4AAB&quot;/&gt;&lt;wsp:rsid wsp:val=&quot;00DA4BE1&quot;/&gt;&lt;wsp:rsid wsp:val=&quot;00DA4C15&quot;/&gt;&lt;wsp:rsid wsp:val=&quot;00DA4CE7&quot;/&gt;&lt;wsp:rsid wsp:val=&quot;00DA4E26&quot;/&gt;&lt;wsp:rsid wsp:val=&quot;00DA4EDE&quot;/&gt;&lt;wsp:rsid wsp:val=&quot;00DA549C&quot;/&gt;&lt;wsp:rsid wsp:val=&quot;00DA54CD&quot;/&gt;&lt;wsp:rsid wsp:val=&quot;00DA571E&quot;/&gt;&lt;wsp:rsid wsp:val=&quot;00DA5943&quot;/&gt;&lt;wsp:rsid wsp:val=&quot;00DA5F1F&quot;/&gt;&lt;wsp:rsid wsp:val=&quot;00DA61F5&quot;/&gt;&lt;wsp:rsid wsp:val=&quot;00DA6232&quot;/&gt;&lt;wsp:rsid wsp:val=&quot;00DA65B2&quot;/&gt;&lt;wsp:rsid wsp:val=&quot;00DA662D&quot;/&gt;&lt;wsp:rsid wsp:val=&quot;00DA6ABD&quot;/&gt;&lt;wsp:rsid wsp:val=&quot;00DA6E57&quot;/&gt;&lt;wsp:rsid wsp:val=&quot;00DA7056&quot;/&gt;&lt;wsp:rsid wsp:val=&quot;00DA7340&quot;/&gt;&lt;wsp:rsid wsp:val=&quot;00DA7BA4&quot;/&gt;&lt;wsp:rsid wsp:val=&quot;00DA7E61&quot;/&gt;&lt;wsp:rsid wsp:val=&quot;00DA7FCB&quot;/&gt;&lt;wsp:rsid wsp:val=&quot;00DB01DB&quot;/&gt;&lt;wsp:rsid wsp:val=&quot;00DB09AB&quot;/&gt;&lt;wsp:rsid wsp:val=&quot;00DB0A6B&quot;/&gt;&lt;wsp:rsid wsp:val=&quot;00DB0C61&quot;/&gt;&lt;wsp:rsid wsp:val=&quot;00DB0FD0&quot;/&gt;&lt;wsp:rsid wsp:val=&quot;00DB111F&quot;/&gt;&lt;wsp:rsid wsp:val=&quot;00DB1156&quot;/&gt;&lt;wsp:rsid wsp:val=&quot;00DB1ADE&quot;/&gt;&lt;wsp:rsid wsp:val=&quot;00DB21F9&quot;/&gt;&lt;wsp:rsid wsp:val=&quot;00DB23E1&quot;/&gt;&lt;wsp:rsid wsp:val=&quot;00DB242E&quot;/&gt;&lt;wsp:rsid wsp:val=&quot;00DB247B&quot;/&gt;&lt;wsp:rsid wsp:val=&quot;00DB2500&quot;/&gt;&lt;wsp:rsid wsp:val=&quot;00DB25F7&quot;/&gt;&lt;wsp:rsid wsp:val=&quot;00DB2745&quot;/&gt;&lt;wsp:rsid wsp:val=&quot;00DB2810&quot;/&gt;&lt;wsp:rsid wsp:val=&quot;00DB296C&quot;/&gt;&lt;wsp:rsid wsp:val=&quot;00DB2979&quot;/&gt;&lt;wsp:rsid wsp:val=&quot;00DB29FA&quot;/&gt;&lt;wsp:rsid wsp:val=&quot;00DB2B88&quot;/&gt;&lt;wsp:rsid wsp:val=&quot;00DB2C50&quot;/&gt;&lt;wsp:rsid wsp:val=&quot;00DB32C4&quot;/&gt;&lt;wsp:rsid wsp:val=&quot;00DB3873&quot;/&gt;&lt;wsp:rsid wsp:val=&quot;00DB38FF&quot;/&gt;&lt;wsp:rsid wsp:val=&quot;00DB3F39&quot;/&gt;&lt;wsp:rsid wsp:val=&quot;00DB3FF4&quot;/&gt;&lt;wsp:rsid wsp:val=&quot;00DB4EA6&quot;/&gt;&lt;wsp:rsid wsp:val=&quot;00DB51A7&quot;/&gt;&lt;wsp:rsid wsp:val=&quot;00DB5222&quot;/&gt;&lt;wsp:rsid wsp:val=&quot;00DB5A41&quot;/&gt;&lt;wsp:rsid wsp:val=&quot;00DB5DD7&quot;/&gt;&lt;wsp:rsid wsp:val=&quot;00DB64EB&quot;/&gt;&lt;wsp:rsid wsp:val=&quot;00DB6A15&quot;/&gt;&lt;wsp:rsid wsp:val=&quot;00DB6C7B&quot;/&gt;&lt;wsp:rsid wsp:val=&quot;00DB71FD&quot;/&gt;&lt;wsp:rsid wsp:val=&quot;00DB756B&quot;/&gt;&lt;wsp:rsid wsp:val=&quot;00DB7684&quot;/&gt;&lt;wsp:rsid wsp:val=&quot;00DB7D5B&quot;/&gt;&lt;wsp:rsid wsp:val=&quot;00DB7F4C&quot;/&gt;&lt;wsp:rsid wsp:val=&quot;00DC037E&quot;/&gt;&lt;wsp:rsid wsp:val=&quot;00DC0828&quot;/&gt;&lt;wsp:rsid wsp:val=&quot;00DC085B&quot;/&gt;&lt;wsp:rsid wsp:val=&quot;00DC08CF&quot;/&gt;&lt;wsp:rsid wsp:val=&quot;00DC0984&quot;/&gt;&lt;wsp:rsid wsp:val=&quot;00DC0EC9&quot;/&gt;&lt;wsp:rsid wsp:val=&quot;00DC0ECC&quot;/&gt;&lt;wsp:rsid wsp:val=&quot;00DC141E&quot;/&gt;&lt;wsp:rsid wsp:val=&quot;00DC15EC&quot;/&gt;&lt;wsp:rsid wsp:val=&quot;00DC1957&quot;/&gt;&lt;wsp:rsid wsp:val=&quot;00DC1CFE&quot;/&gt;&lt;wsp:rsid wsp:val=&quot;00DC21D5&quot;/&gt;&lt;wsp:rsid wsp:val=&quot;00DC27DA&quot;/&gt;&lt;wsp:rsid wsp:val=&quot;00DC2C4C&quot;/&gt;&lt;wsp:rsid wsp:val=&quot;00DC2EE7&quot;/&gt;&lt;wsp:rsid wsp:val=&quot;00DC3280&quot;/&gt;&lt;wsp:rsid wsp:val=&quot;00DC3341&quot;/&gt;&lt;wsp:rsid wsp:val=&quot;00DC339F&quot;/&gt;&lt;wsp:rsid wsp:val=&quot;00DC33AB&quot;/&gt;&lt;wsp:rsid wsp:val=&quot;00DC3481&quot;/&gt;&lt;wsp:rsid wsp:val=&quot;00DC38A8&quot;/&gt;&lt;wsp:rsid wsp:val=&quot;00DC38BC&quot;/&gt;&lt;wsp:rsid wsp:val=&quot;00DC3992&quot;/&gt;&lt;wsp:rsid wsp:val=&quot;00DC3E04&quot;/&gt;&lt;wsp:rsid wsp:val=&quot;00DC402E&quot;/&gt;&lt;wsp:rsid wsp:val=&quot;00DC4284&quot;/&gt;&lt;wsp:rsid wsp:val=&quot;00DC4376&quot;/&gt;&lt;wsp:rsid wsp:val=&quot;00DC50F1&quot;/&gt;&lt;wsp:rsid wsp:val=&quot;00DC520C&quot;/&gt;&lt;wsp:rsid wsp:val=&quot;00DC535D&quot;/&gt;&lt;wsp:rsid wsp:val=&quot;00DC5445&quot;/&gt;&lt;wsp:rsid wsp:val=&quot;00DC562B&quot;/&gt;&lt;wsp:rsid wsp:val=&quot;00DC5FEC&quot;/&gt;&lt;wsp:rsid wsp:val=&quot;00DC6606&quot;/&gt;&lt;wsp:rsid wsp:val=&quot;00DC673D&quot;/&gt;&lt;wsp:rsid wsp:val=&quot;00DC67C7&quot;/&gt;&lt;wsp:rsid wsp:val=&quot;00DC69E6&quot;/&gt;&lt;wsp:rsid wsp:val=&quot;00DC6EDE&quot;/&gt;&lt;wsp:rsid wsp:val=&quot;00DC6F21&quot;/&gt;&lt;wsp:rsid wsp:val=&quot;00DC741A&quot;/&gt;&lt;wsp:rsid wsp:val=&quot;00DC751E&quot;/&gt;&lt;wsp:rsid wsp:val=&quot;00DC7B73&quot;/&gt;&lt;wsp:rsid wsp:val=&quot;00DC7C4E&quot;/&gt;&lt;wsp:rsid wsp:val=&quot;00DC7E15&quot;/&gt;&lt;wsp:rsid wsp:val=&quot;00DC7E27&quot;/&gt;&lt;wsp:rsid wsp:val=&quot;00DD01DC&quot;/&gt;&lt;wsp:rsid wsp:val=&quot;00DD042E&quot;/&gt;&lt;wsp:rsid wsp:val=&quot;00DD0A18&quot;/&gt;&lt;wsp:rsid wsp:val=&quot;00DD0A2F&quot;/&gt;&lt;wsp:rsid wsp:val=&quot;00DD0B4F&quot;/&gt;&lt;wsp:rsid wsp:val=&quot;00DD0C8C&quot;/&gt;&lt;wsp:rsid wsp:val=&quot;00DD109B&quot;/&gt;&lt;wsp:rsid wsp:val=&quot;00DD16ED&quot;/&gt;&lt;wsp:rsid wsp:val=&quot;00DD17BD&quot;/&gt;&lt;wsp:rsid wsp:val=&quot;00DD1B72&quot;/&gt;&lt;wsp:rsid wsp:val=&quot;00DD1D1C&quot;/&gt;&lt;wsp:rsid wsp:val=&quot;00DD237A&quot;/&gt;&lt;wsp:rsid wsp:val=&quot;00DD397C&quot;/&gt;&lt;wsp:rsid wsp:val=&quot;00DD3CEA&quot;/&gt;&lt;wsp:rsid wsp:val=&quot;00DD4838&quot;/&gt;&lt;wsp:rsid wsp:val=&quot;00DD4C81&quot;/&gt;&lt;wsp:rsid wsp:val=&quot;00DD54F2&quot;/&gt;&lt;wsp:rsid wsp:val=&quot;00DD55B0&quot;/&gt;&lt;wsp:rsid wsp:val=&quot;00DD68AB&quot;/&gt;&lt;wsp:rsid wsp:val=&quot;00DD69F4&quot;/&gt;&lt;wsp:rsid wsp:val=&quot;00DD7431&quot;/&gt;&lt;wsp:rsid wsp:val=&quot;00DD760A&quot;/&gt;&lt;wsp:rsid wsp:val=&quot;00DD7A76&quot;/&gt;&lt;wsp:rsid wsp:val=&quot;00DD7BC2&quot;/&gt;&lt;wsp:rsid wsp:val=&quot;00DD7E50&quot;/&gt;&lt;wsp:rsid wsp:val=&quot;00DE032C&quot;/&gt;&lt;wsp:rsid wsp:val=&quot;00DE0474&quot;/&gt;&lt;wsp:rsid wsp:val=&quot;00DE0727&quot;/&gt;&lt;wsp:rsid wsp:val=&quot;00DE0A01&quot;/&gt;&lt;wsp:rsid wsp:val=&quot;00DE0F9E&quot;/&gt;&lt;wsp:rsid wsp:val=&quot;00DE0FA7&quot;/&gt;&lt;wsp:rsid wsp:val=&quot;00DE1511&quot;/&gt;&lt;wsp:rsid wsp:val=&quot;00DE1522&quot;/&gt;&lt;wsp:rsid wsp:val=&quot;00DE1AC8&quot;/&gt;&lt;wsp:rsid wsp:val=&quot;00DE1F3F&quot;/&gt;&lt;wsp:rsid wsp:val=&quot;00DE2077&quot;/&gt;&lt;wsp:rsid wsp:val=&quot;00DE257A&quot;/&gt;&lt;wsp:rsid wsp:val=&quot;00DE287C&quot;/&gt;&lt;wsp:rsid wsp:val=&quot;00DE31E6&quot;/&gt;&lt;wsp:rsid wsp:val=&quot;00DE3718&quot;/&gt;&lt;wsp:rsid wsp:val=&quot;00DE38C1&quot;/&gt;&lt;wsp:rsid wsp:val=&quot;00DE3990&quot;/&gt;&lt;wsp:rsid wsp:val=&quot;00DE3D4C&quot;/&gt;&lt;wsp:rsid wsp:val=&quot;00DE3F61&quot;/&gt;&lt;wsp:rsid wsp:val=&quot;00DE4264&quot;/&gt;&lt;wsp:rsid wsp:val=&quot;00DE473A&quot;/&gt;&lt;wsp:rsid wsp:val=&quot;00DE47DB&quot;/&gt;&lt;wsp:rsid wsp:val=&quot;00DE4B48&quot;/&gt;&lt;wsp:rsid wsp:val=&quot;00DE4BD2&quot;/&gt;&lt;wsp:rsid wsp:val=&quot;00DE4C60&quot;/&gt;&lt;wsp:rsid wsp:val=&quot;00DE4E7A&quot;/&gt;&lt;wsp:rsid wsp:val=&quot;00DE585A&quot;/&gt;&lt;wsp:rsid wsp:val=&quot;00DE6784&quot;/&gt;&lt;wsp:rsid wsp:val=&quot;00DE6861&quot;/&gt;&lt;wsp:rsid wsp:val=&quot;00DE6C98&quot;/&gt;&lt;wsp:rsid wsp:val=&quot;00DE6F68&quot;/&gt;&lt;wsp:rsid wsp:val=&quot;00DE7C17&quot;/&gt;&lt;wsp:rsid wsp:val=&quot;00DE7CE1&quot;/&gt;&lt;wsp:rsid wsp:val=&quot;00DF02B9&quot;/&gt;&lt;wsp:rsid wsp:val=&quot;00DF043D&quot;/&gt;&lt;wsp:rsid wsp:val=&quot;00DF04F9&quot;/&gt;&lt;wsp:rsid wsp:val=&quot;00DF05F2&quot;/&gt;&lt;wsp:rsid wsp:val=&quot;00DF0C83&quot;/&gt;&lt;wsp:rsid wsp:val=&quot;00DF122E&quot;/&gt;&lt;wsp:rsid wsp:val=&quot;00DF1835&quot;/&gt;&lt;wsp:rsid wsp:val=&quot;00DF1838&quot;/&gt;&lt;wsp:rsid wsp:val=&quot;00DF1BB2&quot;/&gt;&lt;wsp:rsid wsp:val=&quot;00DF1CC0&quot;/&gt;&lt;wsp:rsid wsp:val=&quot;00DF2033&quot;/&gt;&lt;wsp:rsid wsp:val=&quot;00DF22C7&quot;/&gt;&lt;wsp:rsid wsp:val=&quot;00DF2408&quot;/&gt;&lt;wsp:rsid wsp:val=&quot;00DF281A&quot;/&gt;&lt;wsp:rsid wsp:val=&quot;00DF2B2A&quot;/&gt;&lt;wsp:rsid wsp:val=&quot;00DF2B65&quot;/&gt;&lt;wsp:rsid wsp:val=&quot;00DF324D&quot;/&gt;&lt;wsp:rsid wsp:val=&quot;00DF34E6&quot;/&gt;&lt;wsp:rsid wsp:val=&quot;00DF3C68&quot;/&gt;&lt;wsp:rsid wsp:val=&quot;00DF4AAE&quot;/&gt;&lt;wsp:rsid wsp:val=&quot;00DF4BE1&quot;/&gt;&lt;wsp:rsid wsp:val=&quot;00DF4DC9&quot;/&gt;&lt;wsp:rsid wsp:val=&quot;00DF4E74&quot;/&gt;&lt;wsp:rsid wsp:val=&quot;00DF54DF&quot;/&gt;&lt;wsp:rsid wsp:val=&quot;00DF55D6&quot;/&gt;&lt;wsp:rsid wsp:val=&quot;00DF5623&quot;/&gt;&lt;wsp:rsid wsp:val=&quot;00DF5F78&quot;/&gt;&lt;wsp:rsid wsp:val=&quot;00DF5FC0&quot;/&gt;&lt;wsp:rsid wsp:val=&quot;00DF6021&quot;/&gt;&lt;wsp:rsid wsp:val=&quot;00DF6457&quot;/&gt;&lt;wsp:rsid wsp:val=&quot;00DF64F5&quot;/&gt;&lt;wsp:rsid wsp:val=&quot;00DF6B13&quot;/&gt;&lt;wsp:rsid wsp:val=&quot;00DF737B&quot;/&gt;&lt;wsp:rsid wsp:val=&quot;00DF7C16&quot;/&gt;&lt;wsp:rsid wsp:val=&quot;00E00185&quot;/&gt;&lt;wsp:rsid wsp:val=&quot;00E0093C&quot;/&gt;&lt;wsp:rsid wsp:val=&quot;00E01018&quot;/&gt;&lt;wsp:rsid wsp:val=&quot;00E01634&quot;/&gt;&lt;wsp:rsid wsp:val=&quot;00E01C55&quot;/&gt;&lt;wsp:rsid wsp:val=&quot;00E01D5B&quot;/&gt;&lt;wsp:rsid wsp:val=&quot;00E01DC2&quot;/&gt;&lt;wsp:rsid wsp:val=&quot;00E021CD&quot;/&gt;&lt;wsp:rsid wsp:val=&quot;00E02227&quot;/&gt;&lt;wsp:rsid wsp:val=&quot;00E027BD&quot;/&gt;&lt;wsp:rsid wsp:val=&quot;00E02C60&quot;/&gt;&lt;wsp:rsid wsp:val=&quot;00E02EF2&quot;/&gt;&lt;wsp:rsid wsp:val=&quot;00E02FCD&quot;/&gt;&lt;wsp:rsid wsp:val=&quot;00E03172&quot;/&gt;&lt;wsp:rsid wsp:val=&quot;00E0321A&quot;/&gt;&lt;wsp:rsid wsp:val=&quot;00E03563&quot;/&gt;&lt;wsp:rsid wsp:val=&quot;00E037E5&quot;/&gt;&lt;wsp:rsid wsp:val=&quot;00E0384A&quot;/&gt;&lt;wsp:rsid wsp:val=&quot;00E0397E&quot;/&gt;&lt;wsp:rsid wsp:val=&quot;00E03CB0&quot;/&gt;&lt;wsp:rsid wsp:val=&quot;00E043AD&quot;/&gt;&lt;wsp:rsid wsp:val=&quot;00E0468B&quot;/&gt;&lt;wsp:rsid wsp:val=&quot;00E04764&quot;/&gt;&lt;wsp:rsid wsp:val=&quot;00E04C8A&quot;/&gt;&lt;wsp:rsid wsp:val=&quot;00E0514D&quot;/&gt;&lt;wsp:rsid wsp:val=&quot;00E0525B&quot;/&gt;&lt;wsp:rsid wsp:val=&quot;00E0547E&quot;/&gt;&lt;wsp:rsid wsp:val=&quot;00E0548D&quot;/&gt;&lt;wsp:rsid wsp:val=&quot;00E0589C&quot;/&gt;&lt;wsp:rsid wsp:val=&quot;00E05B76&quot;/&gt;&lt;wsp:rsid wsp:val=&quot;00E05E36&quot;/&gt;&lt;wsp:rsid wsp:val=&quot;00E06078&quot;/&gt;&lt;wsp:rsid wsp:val=&quot;00E06183&quot;/&gt;&lt;wsp:rsid wsp:val=&quot;00E06199&quot;/&gt;&lt;wsp:rsid wsp:val=&quot;00E064A1&quot;/&gt;&lt;wsp:rsid wsp:val=&quot;00E064D5&quot;/&gt;&lt;wsp:rsid wsp:val=&quot;00E068E7&quot;/&gt;&lt;wsp:rsid wsp:val=&quot;00E06D23&quot;/&gt;&lt;wsp:rsid wsp:val=&quot;00E07323&quot;/&gt;&lt;wsp:rsid wsp:val=&quot;00E07CED&quot;/&gt;&lt;wsp:rsid wsp:val=&quot;00E10057&quot;/&gt;&lt;wsp:rsid wsp:val=&quot;00E1009B&quot;/&gt;&lt;wsp:rsid wsp:val=&quot;00E10270&quot;/&gt;&lt;wsp:rsid wsp:val=&quot;00E10421&quot;/&gt;&lt;wsp:rsid wsp:val=&quot;00E104FF&quot;/&gt;&lt;wsp:rsid wsp:val=&quot;00E10748&quot;/&gt;&lt;wsp:rsid wsp:val=&quot;00E10E90&quot;/&gt;&lt;wsp:rsid wsp:val=&quot;00E10F69&quot;/&gt;&lt;wsp:rsid wsp:val=&quot;00E1107E&quot;/&gt;&lt;wsp:rsid wsp:val=&quot;00E111E0&quot;/&gt;&lt;wsp:rsid wsp:val=&quot;00E11503&quot;/&gt;&lt;wsp:rsid wsp:val=&quot;00E1151C&quot;/&gt;&lt;wsp:rsid wsp:val=&quot;00E11848&quot;/&gt;&lt;wsp:rsid wsp:val=&quot;00E11B3A&quot;/&gt;&lt;wsp:rsid wsp:val=&quot;00E11E52&quot;/&gt;&lt;wsp:rsid wsp:val=&quot;00E11F1C&quot;/&gt;&lt;wsp:rsid wsp:val=&quot;00E123DD&quot;/&gt;&lt;wsp:rsid wsp:val=&quot;00E126D5&quot;/&gt;&lt;wsp:rsid wsp:val=&quot;00E12E70&quot;/&gt;&lt;wsp:rsid wsp:val=&quot;00E1397B&quot;/&gt;&lt;wsp:rsid wsp:val=&quot;00E13F67&quot;/&gt;&lt;wsp:rsid wsp:val=&quot;00E14087&quot;/&gt;&lt;wsp:rsid wsp:val=&quot;00E140B5&quot;/&gt;&lt;wsp:rsid wsp:val=&quot;00E1418D&quot;/&gt;&lt;wsp:rsid wsp:val=&quot;00E1423A&quot;/&gt;&lt;wsp:rsid wsp:val=&quot;00E1461B&quot;/&gt;&lt;wsp:rsid wsp:val=&quot;00E14BC2&quot;/&gt;&lt;wsp:rsid wsp:val=&quot;00E14C96&quot;/&gt;&lt;wsp:rsid wsp:val=&quot;00E1560A&quot;/&gt;&lt;wsp:rsid wsp:val=&quot;00E1567C&quot;/&gt;&lt;wsp:rsid wsp:val=&quot;00E15869&quot;/&gt;&lt;wsp:rsid wsp:val=&quot;00E1609B&quot;/&gt;&lt;wsp:rsid wsp:val=&quot;00E166C2&quot;/&gt;&lt;wsp:rsid wsp:val=&quot;00E1675A&quot;/&gt;&lt;wsp:rsid wsp:val=&quot;00E167F9&quot;/&gt;&lt;wsp:rsid wsp:val=&quot;00E168A2&quot;/&gt;&lt;wsp:rsid wsp:val=&quot;00E16ADA&quot;/&gt;&lt;wsp:rsid wsp:val=&quot;00E16E47&quot;/&gt;&lt;wsp:rsid wsp:val=&quot;00E2023E&quot;/&gt;&lt;wsp:rsid wsp:val=&quot;00E20289&quot;/&gt;&lt;wsp:rsid wsp:val=&quot;00E20441&quot;/&gt;&lt;wsp:rsid wsp:val=&quot;00E204BF&quot;/&gt;&lt;wsp:rsid wsp:val=&quot;00E20548&quot;/&gt;&lt;wsp:rsid wsp:val=&quot;00E20830&quot;/&gt;&lt;wsp:rsid wsp:val=&quot;00E20A15&quot;/&gt;&lt;wsp:rsid wsp:val=&quot;00E20A70&quot;/&gt;&lt;wsp:rsid wsp:val=&quot;00E20B01&quot;/&gt;&lt;wsp:rsid wsp:val=&quot;00E20E29&quot;/&gt;&lt;wsp:rsid wsp:val=&quot;00E212C2&quot;/&gt;&lt;wsp:rsid wsp:val=&quot;00E21687&quot;/&gt;&lt;wsp:rsid wsp:val=&quot;00E21A4E&quot;/&gt;&lt;wsp:rsid wsp:val=&quot;00E21CCC&quot;/&gt;&lt;wsp:rsid wsp:val=&quot;00E21F08&quot;/&gt;&lt;wsp:rsid wsp:val=&quot;00E22182&quot;/&gt;&lt;wsp:rsid wsp:val=&quot;00E221B8&quot;/&gt;&lt;wsp:rsid wsp:val=&quot;00E227E9&quot;/&gt;&lt;wsp:rsid wsp:val=&quot;00E2290E&quot;/&gt;&lt;wsp:rsid wsp:val=&quot;00E22C48&quot;/&gt;&lt;wsp:rsid wsp:val=&quot;00E22F19&quot;/&gt;&lt;wsp:rsid wsp:val=&quot;00E23299&quot;/&gt;&lt;wsp:rsid wsp:val=&quot;00E237B6&quot;/&gt;&lt;wsp:rsid wsp:val=&quot;00E238DE&quot;/&gt;&lt;wsp:rsid wsp:val=&quot;00E23CC0&quot;/&gt;&lt;wsp:rsid wsp:val=&quot;00E24A62&quot;/&gt;&lt;wsp:rsid wsp:val=&quot;00E24B9B&quot;/&gt;&lt;wsp:rsid wsp:val=&quot;00E24BEA&quot;/&gt;&lt;wsp:rsid wsp:val=&quot;00E24E54&quot;/&gt;&lt;wsp:rsid wsp:val=&quot;00E24EDA&quot;/&gt;&lt;wsp:rsid wsp:val=&quot;00E25072&quot;/&gt;&lt;wsp:rsid wsp:val=&quot;00E25593&quot;/&gt;&lt;wsp:rsid wsp:val=&quot;00E25888&quot;/&gt;&lt;wsp:rsid wsp:val=&quot;00E25E6C&quot;/&gt;&lt;wsp:rsid wsp:val=&quot;00E25E82&quot;/&gt;&lt;wsp:rsid wsp:val=&quot;00E25EB6&quot;/&gt;&lt;wsp:rsid wsp:val=&quot;00E25FFA&quot;/&gt;&lt;wsp:rsid wsp:val=&quot;00E26226&quot;/&gt;&lt;wsp:rsid wsp:val=&quot;00E264E6&quot;/&gt;&lt;wsp:rsid wsp:val=&quot;00E26C3F&quot;/&gt;&lt;wsp:rsid wsp:val=&quot;00E2702B&quot;/&gt;&lt;wsp:rsid wsp:val=&quot;00E271D3&quot;/&gt;&lt;wsp:rsid wsp:val=&quot;00E27479&quot;/&gt;&lt;wsp:rsid wsp:val=&quot;00E30596&quot;/&gt;&lt;wsp:rsid wsp:val=&quot;00E306C3&quot;/&gt;&lt;wsp:rsid wsp:val=&quot;00E307C6&quot;/&gt;&lt;wsp:rsid wsp:val=&quot;00E30AFB&quot;/&gt;&lt;wsp:rsid wsp:val=&quot;00E30BAF&quot;/&gt;&lt;wsp:rsid wsp:val=&quot;00E31856&quot;/&gt;&lt;wsp:rsid wsp:val=&quot;00E31C9C&quot;/&gt;&lt;wsp:rsid wsp:val=&quot;00E31F8E&quot;/&gt;&lt;wsp:rsid wsp:val=&quot;00E3221D&quot;/&gt;&lt;wsp:rsid wsp:val=&quot;00E326FD&quot;/&gt;&lt;wsp:rsid wsp:val=&quot;00E32CF9&quot;/&gt;&lt;wsp:rsid wsp:val=&quot;00E32FF4&quot;/&gt;&lt;wsp:rsid wsp:val=&quot;00E33143&quot;/&gt;&lt;wsp:rsid wsp:val=&quot;00E33356&quot;/&gt;&lt;wsp:rsid wsp:val=&quot;00E3397C&quot;/&gt;&lt;wsp:rsid wsp:val=&quot;00E33D42&quot;/&gt;&lt;wsp:rsid wsp:val=&quot;00E343CE&quot;/&gt;&lt;wsp:rsid wsp:val=&quot;00E344DA&quot;/&gt;&lt;wsp:rsid wsp:val=&quot;00E3491A&quot;/&gt;&lt;wsp:rsid wsp:val=&quot;00E349B8&quot;/&gt;&lt;wsp:rsid wsp:val=&quot;00E34CA7&quot;/&gt;&lt;wsp:rsid wsp:val=&quot;00E352F7&quot;/&gt;&lt;wsp:rsid wsp:val=&quot;00E353D9&quot;/&gt;&lt;wsp:rsid wsp:val=&quot;00E35D66&quot;/&gt;&lt;wsp:rsid wsp:val=&quot;00E35E4B&quot;/&gt;&lt;wsp:rsid wsp:val=&quot;00E360FF&quot;/&gt;&lt;wsp:rsid wsp:val=&quot;00E3611C&quot;/&gt;&lt;wsp:rsid wsp:val=&quot;00E36230&quot;/&gt;&lt;wsp:rsid wsp:val=&quot;00E3631E&quot;/&gt;&lt;wsp:rsid wsp:val=&quot;00E368E4&quot;/&gt;&lt;wsp:rsid wsp:val=&quot;00E36976&quot;/&gt;&lt;wsp:rsid wsp:val=&quot;00E36BAA&quot;/&gt;&lt;wsp:rsid wsp:val=&quot;00E36CFB&quot;/&gt;&lt;wsp:rsid wsp:val=&quot;00E36D5C&quot;/&gt;&lt;wsp:rsid wsp:val=&quot;00E3715C&quot;/&gt;&lt;wsp:rsid wsp:val=&quot;00E37189&quot;/&gt;&lt;wsp:rsid wsp:val=&quot;00E371DE&quot;/&gt;&lt;wsp:rsid wsp:val=&quot;00E375F3&quot;/&gt;&lt;wsp:rsid wsp:val=&quot;00E376AB&quot;/&gt;&lt;wsp:rsid wsp:val=&quot;00E379D1&quot;/&gt;&lt;wsp:rsid wsp:val=&quot;00E37EC0&quot;/&gt;&lt;wsp:rsid wsp:val=&quot;00E408A8&quot;/&gt;&lt;wsp:rsid wsp:val=&quot;00E40E8C&quot;/&gt;&lt;wsp:rsid wsp:val=&quot;00E41B1C&quot;/&gt;&lt;wsp:rsid wsp:val=&quot;00E41C61&quot;/&gt;&lt;wsp:rsid wsp:val=&quot;00E41C86&quot;/&gt;&lt;wsp:rsid wsp:val=&quot;00E42244&quot;/&gt;&lt;wsp:rsid wsp:val=&quot;00E4230D&quot;/&gt;&lt;wsp:rsid wsp:val=&quot;00E42425&quot;/&gt;&lt;wsp:rsid wsp:val=&quot;00E4251A&quot;/&gt;&lt;wsp:rsid wsp:val=&quot;00E42B3F&quot;/&gt;&lt;wsp:rsid wsp:val=&quot;00E42F92&quot;/&gt;&lt;wsp:rsid wsp:val=&quot;00E4306E&quot;/&gt;&lt;wsp:rsid wsp:val=&quot;00E43143&quot;/&gt;&lt;wsp:rsid wsp:val=&quot;00E4319B&quot;/&gt;&lt;wsp:rsid wsp:val=&quot;00E431C0&quot;/&gt;&lt;wsp:rsid wsp:val=&quot;00E435DB&quot;/&gt;&lt;wsp:rsid wsp:val=&quot;00E438F3&quot;/&gt;&lt;wsp:rsid wsp:val=&quot;00E43E10&quot;/&gt;&lt;wsp:rsid wsp:val=&quot;00E44403&quot;/&gt;&lt;wsp:rsid wsp:val=&quot;00E4459E&quot;/&gt;&lt;wsp:rsid wsp:val=&quot;00E44B2F&quot;/&gt;&lt;wsp:rsid wsp:val=&quot;00E44BB0&quot;/&gt;&lt;wsp:rsid wsp:val=&quot;00E44BD4&quot;/&gt;&lt;wsp:rsid wsp:val=&quot;00E44E92&quot;/&gt;&lt;wsp:rsid wsp:val=&quot;00E44F03&quot;/&gt;&lt;wsp:rsid wsp:val=&quot;00E4550C&quot;/&gt;&lt;wsp:rsid wsp:val=&quot;00E455FF&quot;/&gt;&lt;wsp:rsid wsp:val=&quot;00E45677&quot;/&gt;&lt;wsp:rsid wsp:val=&quot;00E4598D&quot;/&gt;&lt;wsp:rsid wsp:val=&quot;00E45A35&quot;/&gt;&lt;wsp:rsid wsp:val=&quot;00E45E51&quot;/&gt;&lt;wsp:rsid wsp:val=&quot;00E46055&quot;/&gt;&lt;wsp:rsid wsp:val=&quot;00E46079&quot;/&gt;&lt;wsp:rsid wsp:val=&quot;00E46636&quot;/&gt;&lt;wsp:rsid wsp:val=&quot;00E467B0&quot;/&gt;&lt;wsp:rsid wsp:val=&quot;00E46983&quot;/&gt;&lt;wsp:rsid wsp:val=&quot;00E47160&quot;/&gt;&lt;wsp:rsid wsp:val=&quot;00E47596&quot;/&gt;&lt;wsp:rsid wsp:val=&quot;00E4778B&quot;/&gt;&lt;wsp:rsid wsp:val=&quot;00E47A0A&quot;/&gt;&lt;wsp:rsid wsp:val=&quot;00E5045D&quot;/&gt;&lt;wsp:rsid wsp:val=&quot;00E5056B&quot;/&gt;&lt;wsp:rsid wsp:val=&quot;00E50844&quot;/&gt;&lt;wsp:rsid wsp:val=&quot;00E50CB4&quot;/&gt;&lt;wsp:rsid wsp:val=&quot;00E50F14&quot;/&gt;&lt;wsp:rsid wsp:val=&quot;00E5122B&quot;/&gt;&lt;wsp:rsid wsp:val=&quot;00E5129B&quot;/&gt;&lt;wsp:rsid wsp:val=&quot;00E513EC&quot;/&gt;&lt;wsp:rsid wsp:val=&quot;00E51579&quot;/&gt;&lt;wsp:rsid wsp:val=&quot;00E51952&quot;/&gt;&lt;wsp:rsid wsp:val=&quot;00E51B97&quot;/&gt;&lt;wsp:rsid wsp:val=&quot;00E51E7C&quot;/&gt;&lt;wsp:rsid wsp:val=&quot;00E51FD7&quot;/&gt;&lt;wsp:rsid wsp:val=&quot;00E5213D&quot;/&gt;&lt;wsp:rsid wsp:val=&quot;00E5219B&quot;/&gt;&lt;wsp:rsid wsp:val=&quot;00E521BE&quot;/&gt;&lt;wsp:rsid wsp:val=&quot;00E52552&quot;/&gt;&lt;wsp:rsid wsp:val=&quot;00E52B77&quot;/&gt;&lt;wsp:rsid wsp:val=&quot;00E52F14&quot;/&gt;&lt;wsp:rsid wsp:val=&quot;00E5310C&quot;/&gt;&lt;wsp:rsid wsp:val=&quot;00E53438&quot;/&gt;&lt;wsp:rsid wsp:val=&quot;00E54149&quot;/&gt;&lt;wsp:rsid wsp:val=&quot;00E546C4&quot;/&gt;&lt;wsp:rsid wsp:val=&quot;00E548E2&quot;/&gt;&lt;wsp:rsid wsp:val=&quot;00E54DE3&quot;/&gt;&lt;wsp:rsid wsp:val=&quot;00E54F4D&quot;/&gt;&lt;wsp:rsid wsp:val=&quot;00E55287&quot;/&gt;&lt;wsp:rsid wsp:val=&quot;00E55299&quot;/&gt;&lt;wsp:rsid wsp:val=&quot;00E55714&quot;/&gt;&lt;wsp:rsid wsp:val=&quot;00E55985&quot;/&gt;&lt;wsp:rsid wsp:val=&quot;00E55B0C&quot;/&gt;&lt;wsp:rsid wsp:val=&quot;00E55F2F&quot;/&gt;&lt;wsp:rsid wsp:val=&quot;00E560A8&quot;/&gt;&lt;wsp:rsid wsp:val=&quot;00E56390&quot;/&gt;&lt;wsp:rsid wsp:val=&quot;00E56D0D&quot;/&gt;&lt;wsp:rsid wsp:val=&quot;00E572E9&quot;/&gt;&lt;wsp:rsid wsp:val=&quot;00E574AC&quot;/&gt;&lt;wsp:rsid wsp:val=&quot;00E57956&quot;/&gt;&lt;wsp:rsid wsp:val=&quot;00E57C5D&quot;/&gt;&lt;wsp:rsid wsp:val=&quot;00E6016A&quot;/&gt;&lt;wsp:rsid wsp:val=&quot;00E605E6&quot;/&gt;&lt;wsp:rsid wsp:val=&quot;00E60873&quot;/&gt;&lt;wsp:rsid wsp:val=&quot;00E6090C&quot;/&gt;&lt;wsp:rsid wsp:val=&quot;00E609AB&quot;/&gt;&lt;wsp:rsid wsp:val=&quot;00E60BB3&quot;/&gt;&lt;wsp:rsid wsp:val=&quot;00E6105C&quot;/&gt;&lt;wsp:rsid wsp:val=&quot;00E61077&quot;/&gt;&lt;wsp:rsid wsp:val=&quot;00E6123A&quot;/&gt;&lt;wsp:rsid wsp:val=&quot;00E6126C&quot;/&gt;&lt;wsp:rsid wsp:val=&quot;00E614BD&quot;/&gt;&lt;wsp:rsid wsp:val=&quot;00E61CE1&quot;/&gt;&lt;wsp:rsid wsp:val=&quot;00E61EF0&quot;/&gt;&lt;wsp:rsid wsp:val=&quot;00E61F27&quot;/&gt;&lt;wsp:rsid wsp:val=&quot;00E624E9&quot;/&gt;&lt;wsp:rsid wsp:val=&quot;00E6252C&quot;/&gt;&lt;wsp:rsid wsp:val=&quot;00E62570&quot;/&gt;&lt;wsp:rsid wsp:val=&quot;00E629E2&quot;/&gt;&lt;wsp:rsid wsp:val=&quot;00E63481&quot;/&gt;&lt;wsp:rsid wsp:val=&quot;00E63590&quot;/&gt;&lt;wsp:rsid wsp:val=&quot;00E63907&quot;/&gt;&lt;wsp:rsid wsp:val=&quot;00E63A14&quot;/&gt;&lt;wsp:rsid wsp:val=&quot;00E63A34&quot;/&gt;&lt;wsp:rsid wsp:val=&quot;00E63B2E&quot;/&gt;&lt;wsp:rsid wsp:val=&quot;00E646AD&quot;/&gt;&lt;wsp:rsid wsp:val=&quot;00E6471A&quot;/&gt;&lt;wsp:rsid wsp:val=&quot;00E64A13&quot;/&gt;&lt;wsp:rsid wsp:val=&quot;00E64A84&quot;/&gt;&lt;wsp:rsid wsp:val=&quot;00E64B4F&quot;/&gt;&lt;wsp:rsid wsp:val=&quot;00E64D9B&quot;/&gt;&lt;wsp:rsid wsp:val=&quot;00E64F93&quot;/&gt;&lt;wsp:rsid wsp:val=&quot;00E651D6&quot;/&gt;&lt;wsp:rsid wsp:val=&quot;00E654FC&quot;/&gt;&lt;wsp:rsid wsp:val=&quot;00E65612&quot;/&gt;&lt;wsp:rsid wsp:val=&quot;00E65743&quot;/&gt;&lt;wsp:rsid wsp:val=&quot;00E6581C&quot;/&gt;&lt;wsp:rsid wsp:val=&quot;00E65BBB&quot;/&gt;&lt;wsp:rsid wsp:val=&quot;00E65C3D&quot;/&gt;&lt;wsp:rsid wsp:val=&quot;00E6616C&quot;/&gt;&lt;wsp:rsid wsp:val=&quot;00E6643A&quot;/&gt;&lt;wsp:rsid wsp:val=&quot;00E66695&quot;/&gt;&lt;wsp:rsid wsp:val=&quot;00E66A8E&quot;/&gt;&lt;wsp:rsid wsp:val=&quot;00E66B7D&quot;/&gt;&lt;wsp:rsid wsp:val=&quot;00E66D4C&quot;/&gt;&lt;wsp:rsid wsp:val=&quot;00E66D4D&quot;/&gt;&lt;wsp:rsid wsp:val=&quot;00E66E8A&quot;/&gt;&lt;wsp:rsid wsp:val=&quot;00E6750E&quot;/&gt;&lt;wsp:rsid wsp:val=&quot;00E6759D&quot;/&gt;&lt;wsp:rsid wsp:val=&quot;00E6772B&quot;/&gt;&lt;wsp:rsid wsp:val=&quot;00E678F9&quot;/&gt;&lt;wsp:rsid wsp:val=&quot;00E67B4B&quot;/&gt;&lt;wsp:rsid wsp:val=&quot;00E7000C&quot;/&gt;&lt;wsp:rsid wsp:val=&quot;00E706FA&quot;/&gt;&lt;wsp:rsid wsp:val=&quot;00E707F8&quot;/&gt;&lt;wsp:rsid wsp:val=&quot;00E713E0&quot;/&gt;&lt;wsp:rsid wsp:val=&quot;00E7152F&quot;/&gt;&lt;wsp:rsid wsp:val=&quot;00E71D13&quot;/&gt;&lt;wsp:rsid wsp:val=&quot;00E71EA7&quot;/&gt;&lt;wsp:rsid wsp:val=&quot;00E7208C&quot;/&gt;&lt;wsp:rsid wsp:val=&quot;00E721CE&quot;/&gt;&lt;wsp:rsid wsp:val=&quot;00E7293A&quot;/&gt;&lt;wsp:rsid wsp:val=&quot;00E72DDA&quot;/&gt;&lt;wsp:rsid wsp:val=&quot;00E72F61&quot;/&gt;&lt;wsp:rsid wsp:val=&quot;00E73885&quot;/&gt;&lt;wsp:rsid wsp:val=&quot;00E73CA7&quot;/&gt;&lt;wsp:rsid wsp:val=&quot;00E742D9&quot;/&gt;&lt;wsp:rsid wsp:val=&quot;00E74854&quot;/&gt;&lt;wsp:rsid wsp:val=&quot;00E748FD&quot;/&gt;&lt;wsp:rsid wsp:val=&quot;00E74DF5&quot;/&gt;&lt;wsp:rsid wsp:val=&quot;00E74ECB&quot;/&gt;&lt;wsp:rsid wsp:val=&quot;00E75347&quot;/&gt;&lt;wsp:rsid wsp:val=&quot;00E75766&quot;/&gt;&lt;wsp:rsid wsp:val=&quot;00E75AF9&quot;/&gt;&lt;wsp:rsid wsp:val=&quot;00E75B4C&quot;/&gt;&lt;wsp:rsid wsp:val=&quot;00E75BC5&quot;/&gt;&lt;wsp:rsid wsp:val=&quot;00E75C95&quot;/&gt;&lt;wsp:rsid wsp:val=&quot;00E76086&quot;/&gt;&lt;wsp:rsid wsp:val=&quot;00E763C9&quot;/&gt;&lt;wsp:rsid wsp:val=&quot;00E76AB5&quot;/&gt;&lt;wsp:rsid wsp:val=&quot;00E76BB2&quot;/&gt;&lt;wsp:rsid wsp:val=&quot;00E76E06&quot;/&gt;&lt;wsp:rsid wsp:val=&quot;00E775A5&quot;/&gt;&lt;wsp:rsid wsp:val=&quot;00E77BBA&quot;/&gt;&lt;wsp:rsid wsp:val=&quot;00E77D22&quot;/&gt;&lt;wsp:rsid wsp:val=&quot;00E77F4D&quot;/&gt;&lt;wsp:rsid wsp:val=&quot;00E8009A&quot;/&gt;&lt;wsp:rsid wsp:val=&quot;00E8096C&quot;/&gt;&lt;wsp:rsid wsp:val=&quot;00E814AB&quot;/&gt;&lt;wsp:rsid wsp:val=&quot;00E81E23&quot;/&gt;&lt;wsp:rsid wsp:val=&quot;00E81EE8&quot;/&gt;&lt;wsp:rsid wsp:val=&quot;00E821AE&quot;/&gt;&lt;wsp:rsid wsp:val=&quot;00E82D72&quot;/&gt;&lt;wsp:rsid wsp:val=&quot;00E832EF&quot;/&gt;&lt;wsp:rsid wsp:val=&quot;00E8379A&quot;/&gt;&lt;wsp:rsid wsp:val=&quot;00E83D45&quot;/&gt;&lt;wsp:rsid wsp:val=&quot;00E842A7&quot;/&gt;&lt;wsp:rsid wsp:val=&quot;00E84ACA&quot;/&gt;&lt;wsp:rsid wsp:val=&quot;00E84CA0&quot;/&gt;&lt;wsp:rsid wsp:val=&quot;00E84CA5&quot;/&gt;&lt;wsp:rsid wsp:val=&quot;00E851D6&quot;/&gt;&lt;wsp:rsid wsp:val=&quot;00E85474&quot;/&gt;&lt;wsp:rsid wsp:val=&quot;00E857D7&quot;/&gt;&lt;wsp:rsid wsp:val=&quot;00E85B41&quot;/&gt;&lt;wsp:rsid wsp:val=&quot;00E85F55&quot;/&gt;&lt;wsp:rsid wsp:val=&quot;00E85FC7&quot;/&gt;&lt;wsp:rsid wsp:val=&quot;00E86086&quot;/&gt;&lt;wsp:rsid wsp:val=&quot;00E86E29&quot;/&gt;&lt;wsp:rsid wsp:val=&quot;00E8751B&quot;/&gt;&lt;wsp:rsid wsp:val=&quot;00E87611&quot;/&gt;&lt;wsp:rsid wsp:val=&quot;00E87F79&quot;/&gt;&lt;wsp:rsid wsp:val=&quot;00E904CE&quot;/&gt;&lt;wsp:rsid wsp:val=&quot;00E90538&quot;/&gt;&lt;wsp:rsid wsp:val=&quot;00E90753&quot;/&gt;&lt;wsp:rsid wsp:val=&quot;00E91093&quot;/&gt;&lt;wsp:rsid wsp:val=&quot;00E910EC&quot;/&gt;&lt;wsp:rsid wsp:val=&quot;00E91341&quot;/&gt;&lt;wsp:rsid wsp:val=&quot;00E91899&quot;/&gt;&lt;wsp:rsid wsp:val=&quot;00E9205E&quot;/&gt;&lt;wsp:rsid wsp:val=&quot;00E921A2&quot;/&gt;&lt;wsp:rsid wsp:val=&quot;00E924FF&quot;/&gt;&lt;wsp:rsid wsp:val=&quot;00E932F1&quot;/&gt;&lt;wsp:rsid wsp:val=&quot;00E939CA&quot;/&gt;&lt;wsp:rsid wsp:val=&quot;00E93C91&quot;/&gt;&lt;wsp:rsid wsp:val=&quot;00E93F4B&quot;/&gt;&lt;wsp:rsid wsp:val=&quot;00E941EC&quot;/&gt;&lt;wsp:rsid wsp:val=&quot;00E94910&quot;/&gt;&lt;wsp:rsid wsp:val=&quot;00E94B53&quot;/&gt;&lt;wsp:rsid wsp:val=&quot;00E94DCE&quot;/&gt;&lt;wsp:rsid wsp:val=&quot;00E94DFA&quot;/&gt;&lt;wsp:rsid wsp:val=&quot;00E94E86&quot;/&gt;&lt;wsp:rsid wsp:val=&quot;00E9518C&quot;/&gt;&lt;wsp:rsid wsp:val=&quot;00E951C0&quot;/&gt;&lt;wsp:rsid wsp:val=&quot;00E952A0&quot;/&gt;&lt;wsp:rsid wsp:val=&quot;00E95571&quot;/&gt;&lt;wsp:rsid wsp:val=&quot;00E955EA&quot;/&gt;&lt;wsp:rsid wsp:val=&quot;00E960BD&quot;/&gt;&lt;wsp:rsid wsp:val=&quot;00E964D1&quot;/&gt;&lt;wsp:rsid wsp:val=&quot;00E96552&quot;/&gt;&lt;wsp:rsid wsp:val=&quot;00E96B7A&quot;/&gt;&lt;wsp:rsid wsp:val=&quot;00E96F4E&quot;/&gt;&lt;wsp:rsid wsp:val=&quot;00E97B42&quot;/&gt;&lt;wsp:rsid wsp:val=&quot;00E97EB7&quot;/&gt;&lt;wsp:rsid wsp:val=&quot;00EA008A&quot;/&gt;&lt;wsp:rsid wsp:val=&quot;00EA0622&quot;/&gt;&lt;wsp:rsid wsp:val=&quot;00EA0A20&quot;/&gt;&lt;wsp:rsid wsp:val=&quot;00EA0A62&quot;/&gt;&lt;wsp:rsid wsp:val=&quot;00EA0A7C&quot;/&gt;&lt;wsp:rsid wsp:val=&quot;00EA0C0E&quot;/&gt;&lt;wsp:rsid wsp:val=&quot;00EA0FB2&quot;/&gt;&lt;wsp:rsid wsp:val=&quot;00EA11C8&quot;/&gt;&lt;wsp:rsid wsp:val=&quot;00EA1508&quot;/&gt;&lt;wsp:rsid wsp:val=&quot;00EA16F8&quot;/&gt;&lt;wsp:rsid wsp:val=&quot;00EA1920&quot;/&gt;&lt;wsp:rsid wsp:val=&quot;00EA1B80&quot;/&gt;&lt;wsp:rsid wsp:val=&quot;00EA1CCE&quot;/&gt;&lt;wsp:rsid wsp:val=&quot;00EA1D6D&quot;/&gt;&lt;wsp:rsid wsp:val=&quot;00EA1DB9&quot;/&gt;&lt;wsp:rsid wsp:val=&quot;00EA2EED&quot;/&gt;&lt;wsp:rsid wsp:val=&quot;00EA3084&quot;/&gt;&lt;wsp:rsid wsp:val=&quot;00EA3C9C&quot;/&gt;&lt;wsp:rsid wsp:val=&quot;00EA3EAD&quot;/&gt;&lt;wsp:rsid wsp:val=&quot;00EA3ECD&quot;/&gt;&lt;wsp:rsid wsp:val=&quot;00EA46CB&quot;/&gt;&lt;wsp:rsid wsp:val=&quot;00EA4758&quot;/&gt;&lt;wsp:rsid wsp:val=&quot;00EA47F2&quot;/&gt;&lt;wsp:rsid wsp:val=&quot;00EA4A67&quot;/&gt;&lt;wsp:rsid wsp:val=&quot;00EA4D1B&quot;/&gt;&lt;wsp:rsid wsp:val=&quot;00EA4F72&quot;/&gt;&lt;wsp:rsid wsp:val=&quot;00EA53C1&quot;/&gt;&lt;wsp:rsid wsp:val=&quot;00EA57CD&quot;/&gt;&lt;wsp:rsid wsp:val=&quot;00EA5AB4&quot;/&gt;&lt;wsp:rsid wsp:val=&quot;00EA5B0F&quot;/&gt;&lt;wsp:rsid wsp:val=&quot;00EA6801&quot;/&gt;&lt;wsp:rsid wsp:val=&quot;00EA682A&quot;/&gt;&lt;wsp:rsid wsp:val=&quot;00EA72CD&quot;/&gt;&lt;wsp:rsid wsp:val=&quot;00EA740E&quot;/&gt;&lt;wsp:rsid wsp:val=&quot;00EA7C1D&quot;/&gt;&lt;wsp:rsid wsp:val=&quot;00EA7E2B&quot;/&gt;&lt;wsp:rsid wsp:val=&quot;00EB0220&quot;/&gt;&lt;wsp:rsid wsp:val=&quot;00EB03FF&quot;/&gt;&lt;wsp:rsid wsp:val=&quot;00EB048D&quot;/&gt;&lt;wsp:rsid wsp:val=&quot;00EB051C&quot;/&gt;&lt;wsp:rsid wsp:val=&quot;00EB13F2&quot;/&gt;&lt;wsp:rsid wsp:val=&quot;00EB1444&quot;/&gt;&lt;wsp:rsid wsp:val=&quot;00EB1A6B&quot;/&gt;&lt;wsp:rsid wsp:val=&quot;00EB2F23&quot;/&gt;&lt;wsp:rsid wsp:val=&quot;00EB3208&quot;/&gt;&lt;wsp:rsid wsp:val=&quot;00EB3D15&quot;/&gt;&lt;wsp:rsid wsp:val=&quot;00EB3D97&quot;/&gt;&lt;wsp:rsid wsp:val=&quot;00EB42BA&quot;/&gt;&lt;wsp:rsid wsp:val=&quot;00EB434F&quot;/&gt;&lt;wsp:rsid wsp:val=&quot;00EB43DE&quot;/&gt;&lt;wsp:rsid wsp:val=&quot;00EB46C9&quot;/&gt;&lt;wsp:rsid wsp:val=&quot;00EB55FB&quot;/&gt;&lt;wsp:rsid wsp:val=&quot;00EB5B27&quot;/&gt;&lt;wsp:rsid wsp:val=&quot;00EB5CD1&quot;/&gt;&lt;wsp:rsid wsp:val=&quot;00EB5EE6&quot;/&gt;&lt;wsp:rsid wsp:val=&quot;00EB6FD3&quot;/&gt;&lt;wsp:rsid wsp:val=&quot;00EB7AC5&quot;/&gt;&lt;wsp:rsid wsp:val=&quot;00EC03A0&quot;/&gt;&lt;wsp:rsid wsp:val=&quot;00EC042C&quot;/&gt;&lt;wsp:rsid wsp:val=&quot;00EC05FB&quot;/&gt;&lt;wsp:rsid wsp:val=&quot;00EC09D2&quot;/&gt;&lt;wsp:rsid wsp:val=&quot;00EC0BB0&quot;/&gt;&lt;wsp:rsid wsp:val=&quot;00EC0D7E&quot;/&gt;&lt;wsp:rsid wsp:val=&quot;00EC0F4A&quot;/&gt;&lt;wsp:rsid wsp:val=&quot;00EC166D&quot;/&gt;&lt;wsp:rsid wsp:val=&quot;00EC1C8B&quot;/&gt;&lt;wsp:rsid wsp:val=&quot;00EC2080&quot;/&gt;&lt;wsp:rsid wsp:val=&quot;00EC209C&quot;/&gt;&lt;wsp:rsid wsp:val=&quot;00EC20D6&quot;/&gt;&lt;wsp:rsid wsp:val=&quot;00EC226E&quot;/&gt;&lt;wsp:rsid wsp:val=&quot;00EC2273&quot;/&gt;&lt;wsp:rsid wsp:val=&quot;00EC24D4&quot;/&gt;&lt;wsp:rsid wsp:val=&quot;00EC254D&quot;/&gt;&lt;wsp:rsid wsp:val=&quot;00EC25D1&quot;/&gt;&lt;wsp:rsid wsp:val=&quot;00EC26F3&quot;/&gt;&lt;wsp:rsid wsp:val=&quot;00EC28C1&quot;/&gt;&lt;wsp:rsid wsp:val=&quot;00EC2B08&quot;/&gt;&lt;wsp:rsid wsp:val=&quot;00EC2B9B&quot;/&gt;&lt;wsp:rsid wsp:val=&quot;00EC2D59&quot;/&gt;&lt;wsp:rsid wsp:val=&quot;00EC2FC8&quot;/&gt;&lt;wsp:rsid wsp:val=&quot;00EC2FF7&quot;/&gt;&lt;wsp:rsid wsp:val=&quot;00EC35E1&quot;/&gt;&lt;wsp:rsid wsp:val=&quot;00EC3CA8&quot;/&gt;&lt;wsp:rsid wsp:val=&quot;00EC3CC4&quot;/&gt;&lt;wsp:rsid wsp:val=&quot;00EC3EC4&quot;/&gt;&lt;wsp:rsid wsp:val=&quot;00EC41DD&quot;/&gt;&lt;wsp:rsid wsp:val=&quot;00EC4332&quot;/&gt;&lt;wsp:rsid wsp:val=&quot;00EC43A5&quot;/&gt;&lt;wsp:rsid wsp:val=&quot;00EC43C6&quot;/&gt;&lt;wsp:rsid wsp:val=&quot;00EC453F&quot;/&gt;&lt;wsp:rsid wsp:val=&quot;00EC4945&quot;/&gt;&lt;wsp:rsid wsp:val=&quot;00EC4BB0&quot;/&gt;&lt;wsp:rsid wsp:val=&quot;00EC4C52&quot;/&gt;&lt;wsp:rsid wsp:val=&quot;00EC4D27&quot;/&gt;&lt;wsp:rsid wsp:val=&quot;00EC4F43&quot;/&gt;&lt;wsp:rsid wsp:val=&quot;00EC5044&quot;/&gt;&lt;wsp:rsid wsp:val=&quot;00EC5293&quot;/&gt;&lt;wsp:rsid wsp:val=&quot;00EC52D4&quot;/&gt;&lt;wsp:rsid wsp:val=&quot;00EC53D6&quot;/&gt;&lt;wsp:rsid wsp:val=&quot;00EC5570&quot;/&gt;&lt;wsp:rsid wsp:val=&quot;00EC5578&quot;/&gt;&lt;wsp:rsid wsp:val=&quot;00EC56B2&quot;/&gt;&lt;wsp:rsid wsp:val=&quot;00EC61BB&quot;/&gt;&lt;wsp:rsid wsp:val=&quot;00EC63AA&quot;/&gt;&lt;wsp:rsid wsp:val=&quot;00EC6858&quot;/&gt;&lt;wsp:rsid wsp:val=&quot;00EC7E56&quot;/&gt;&lt;wsp:rsid wsp:val=&quot;00ED047E&quot;/&gt;&lt;wsp:rsid wsp:val=&quot;00ED0561&quot;/&gt;&lt;wsp:rsid wsp:val=&quot;00ED0BA1&quot;/&gt;&lt;wsp:rsid wsp:val=&quot;00ED0BD8&quot;/&gt;&lt;wsp:rsid wsp:val=&quot;00ED1468&quot;/&gt;&lt;wsp:rsid wsp:val=&quot;00ED166F&quot;/&gt;&lt;wsp:rsid wsp:val=&quot;00ED17B3&quot;/&gt;&lt;wsp:rsid wsp:val=&quot;00ED1C2A&quot;/&gt;&lt;wsp:rsid wsp:val=&quot;00ED21DA&quot;/&gt;&lt;wsp:rsid wsp:val=&quot;00ED2269&quot;/&gt;&lt;wsp:rsid wsp:val=&quot;00ED2590&quot;/&gt;&lt;wsp:rsid wsp:val=&quot;00ED2734&quot;/&gt;&lt;wsp:rsid wsp:val=&quot;00ED2921&quot;/&gt;&lt;wsp:rsid wsp:val=&quot;00ED3167&quot;/&gt;&lt;wsp:rsid wsp:val=&quot;00ED35D4&quot;/&gt;&lt;wsp:rsid wsp:val=&quot;00ED3625&quot;/&gt;&lt;wsp:rsid wsp:val=&quot;00ED3641&quot;/&gt;&lt;wsp:rsid wsp:val=&quot;00ED3669&quot;/&gt;&lt;wsp:rsid wsp:val=&quot;00ED3815&quot;/&gt;&lt;wsp:rsid wsp:val=&quot;00ED3855&quot;/&gt;&lt;wsp:rsid wsp:val=&quot;00ED3DD5&quot;/&gt;&lt;wsp:rsid wsp:val=&quot;00ED4170&quot;/&gt;&lt;wsp:rsid wsp:val=&quot;00ED4A85&quot;/&gt;&lt;wsp:rsid wsp:val=&quot;00ED4C0F&quot;/&gt;&lt;wsp:rsid wsp:val=&quot;00ED4DF4&quot;/&gt;&lt;wsp:rsid wsp:val=&quot;00ED51D0&quot;/&gt;&lt;wsp:rsid wsp:val=&quot;00ED52CD&quot;/&gt;&lt;wsp:rsid wsp:val=&quot;00ED6325&quot;/&gt;&lt;wsp:rsid wsp:val=&quot;00ED6DD9&quot;/&gt;&lt;wsp:rsid wsp:val=&quot;00ED6DFA&quot;/&gt;&lt;wsp:rsid wsp:val=&quot;00ED7202&quot;/&gt;&lt;wsp:rsid wsp:val=&quot;00ED7278&quot;/&gt;&lt;wsp:rsid wsp:val=&quot;00ED77C7&quot;/&gt;&lt;wsp:rsid wsp:val=&quot;00ED79A5&quot;/&gt;&lt;wsp:rsid wsp:val=&quot;00ED79B9&quot;/&gt;&lt;wsp:rsid wsp:val=&quot;00ED7CE8&quot;/&gt;&lt;wsp:rsid wsp:val=&quot;00EE0012&quot;/&gt;&lt;wsp:rsid wsp:val=&quot;00EE0289&quot;/&gt;&lt;wsp:rsid wsp:val=&quot;00EE0771&quot;/&gt;&lt;wsp:rsid wsp:val=&quot;00EE0B99&quot;/&gt;&lt;wsp:rsid wsp:val=&quot;00EE1305&quot;/&gt;&lt;wsp:rsid wsp:val=&quot;00EE1534&quot;/&gt;&lt;wsp:rsid wsp:val=&quot;00EE170F&quot;/&gt;&lt;wsp:rsid wsp:val=&quot;00EE22B5&quot;/&gt;&lt;wsp:rsid wsp:val=&quot;00EE2F95&quot;/&gt;&lt;wsp:rsid wsp:val=&quot;00EE42B5&quot;/&gt;&lt;wsp:rsid wsp:val=&quot;00EE4B84&quot;/&gt;&lt;wsp:rsid wsp:val=&quot;00EE5377&quot;/&gt;&lt;wsp:rsid wsp:val=&quot;00EE54C8&quot;/&gt;&lt;wsp:rsid wsp:val=&quot;00EE560E&quot;/&gt;&lt;wsp:rsid wsp:val=&quot;00EE57F7&quot;/&gt;&lt;wsp:rsid wsp:val=&quot;00EE5ADB&quot;/&gt;&lt;wsp:rsid wsp:val=&quot;00EE5B70&quot;/&gt;&lt;wsp:rsid wsp:val=&quot;00EE5CA9&quot;/&gt;&lt;wsp:rsid wsp:val=&quot;00EE5D08&quot;/&gt;&lt;wsp:rsid wsp:val=&quot;00EE5E7A&quot;/&gt;&lt;wsp:rsid wsp:val=&quot;00EE6247&quot;/&gt;&lt;wsp:rsid wsp:val=&quot;00EE66E8&quot;/&gt;&lt;wsp:rsid wsp:val=&quot;00EE6794&quot;/&gt;&lt;wsp:rsid wsp:val=&quot;00EE6F09&quot;/&gt;&lt;wsp:rsid wsp:val=&quot;00EE703F&quot;/&gt;&lt;wsp:rsid wsp:val=&quot;00EE769A&quot;/&gt;&lt;wsp:rsid wsp:val=&quot;00EE7A07&quot;/&gt;&lt;wsp:rsid wsp:val=&quot;00EE7A8A&quot;/&gt;&lt;wsp:rsid wsp:val=&quot;00EE7B58&quot;/&gt;&lt;wsp:rsid wsp:val=&quot;00EE7C58&quot;/&gt;&lt;wsp:rsid wsp:val=&quot;00EE7D33&quot;/&gt;&lt;wsp:rsid wsp:val=&quot;00EF009B&quot;/&gt;&lt;wsp:rsid wsp:val=&quot;00EF05CB&quot;/&gt;&lt;wsp:rsid wsp:val=&quot;00EF0A27&quot;/&gt;&lt;wsp:rsid wsp:val=&quot;00EF0C5F&quot;/&gt;&lt;wsp:rsid wsp:val=&quot;00EF12B0&quot;/&gt;&lt;wsp:rsid wsp:val=&quot;00EF1519&quot;/&gt;&lt;wsp:rsid wsp:val=&quot;00EF1B12&quot;/&gt;&lt;wsp:rsid wsp:val=&quot;00EF22E0&quot;/&gt;&lt;wsp:rsid wsp:val=&quot;00EF2300&quot;/&gt;&lt;wsp:rsid wsp:val=&quot;00EF234D&quot;/&gt;&lt;wsp:rsid wsp:val=&quot;00EF2557&quot;/&gt;&lt;wsp:rsid wsp:val=&quot;00EF2C3F&quot;/&gt;&lt;wsp:rsid wsp:val=&quot;00EF30CB&quot;/&gt;&lt;wsp:rsid wsp:val=&quot;00EF3151&quot;/&gt;&lt;wsp:rsid wsp:val=&quot;00EF3173&quot;/&gt;&lt;wsp:rsid wsp:val=&quot;00EF331D&quot;/&gt;&lt;wsp:rsid wsp:val=&quot;00EF3355&quot;/&gt;&lt;wsp:rsid wsp:val=&quot;00EF3521&quot;/&gt;&lt;wsp:rsid wsp:val=&quot;00EF3AD9&quot;/&gt;&lt;wsp:rsid wsp:val=&quot;00EF3CC0&quot;/&gt;&lt;wsp:rsid wsp:val=&quot;00EF3D69&quot;/&gt;&lt;wsp:rsid wsp:val=&quot;00EF3E7F&quot;/&gt;&lt;wsp:rsid wsp:val=&quot;00EF3EE3&quot;/&gt;&lt;wsp:rsid wsp:val=&quot;00EF40AE&quot;/&gt;&lt;wsp:rsid wsp:val=&quot;00EF4228&quot;/&gt;&lt;wsp:rsid wsp:val=&quot;00EF4415&quot;/&gt;&lt;wsp:rsid wsp:val=&quot;00EF4AD3&quot;/&gt;&lt;wsp:rsid wsp:val=&quot;00EF4C3A&quot;/&gt;&lt;wsp:rsid wsp:val=&quot;00EF5180&quot;/&gt;&lt;wsp:rsid wsp:val=&quot;00EF5299&quot;/&gt;&lt;wsp:rsid wsp:val=&quot;00EF541D&quot;/&gt;&lt;wsp:rsid wsp:val=&quot;00EF5422&quot;/&gt;&lt;wsp:rsid wsp:val=&quot;00EF55FC&quot;/&gt;&lt;wsp:rsid wsp:val=&quot;00EF5804&quot;/&gt;&lt;wsp:rsid wsp:val=&quot;00EF59F0&quot;/&gt;&lt;wsp:rsid wsp:val=&quot;00EF5ECB&quot;/&gt;&lt;wsp:rsid wsp:val=&quot;00EF60E3&quot;/&gt;&lt;wsp:rsid wsp:val=&quot;00EF65E7&quot;/&gt;&lt;wsp:rsid wsp:val=&quot;00EF673E&quot;/&gt;&lt;wsp:rsid wsp:val=&quot;00EF678C&quot;/&gt;&lt;wsp:rsid wsp:val=&quot;00EF6B9A&quot;/&gt;&lt;wsp:rsid wsp:val=&quot;00EF70AF&quot;/&gt;&lt;wsp:rsid wsp:val=&quot;00EF7734&quot;/&gt;&lt;wsp:rsid wsp:val=&quot;00EF7A85&quot;/&gt;&lt;wsp:rsid wsp:val=&quot;00EF7DA7&quot;/&gt;&lt;wsp:rsid wsp:val=&quot;00EF7F6D&quot;/&gt;&lt;wsp:rsid wsp:val=&quot;00F0035F&quot;/&gt;&lt;wsp:rsid wsp:val=&quot;00F004A9&quot;/&gt;&lt;wsp:rsid wsp:val=&quot;00F0088E&quot;/&gt;&lt;wsp:rsid wsp:val=&quot;00F00996&quot;/&gt;&lt;wsp:rsid wsp:val=&quot;00F00F21&quot;/&gt;&lt;wsp:rsid wsp:val=&quot;00F0144B&quot;/&gt;&lt;wsp:rsid wsp:val=&quot;00F01C83&quot;/&gt;&lt;wsp:rsid wsp:val=&quot;00F01DFC&quot;/&gt;&lt;wsp:rsid wsp:val=&quot;00F01FD5&quot;/&gt;&lt;wsp:rsid wsp:val=&quot;00F02358&quot;/&gt;&lt;wsp:rsid wsp:val=&quot;00F02432&quot;/&gt;&lt;wsp:rsid wsp:val=&quot;00F02483&quot;/&gt;&lt;wsp:rsid wsp:val=&quot;00F025F2&quot;/&gt;&lt;wsp:rsid wsp:val=&quot;00F026D8&quot;/&gt;&lt;wsp:rsid wsp:val=&quot;00F02774&quot;/&gt;&lt;wsp:rsid wsp:val=&quot;00F027A9&quot;/&gt;&lt;wsp:rsid wsp:val=&quot;00F0286E&quot;/&gt;&lt;wsp:rsid wsp:val=&quot;00F02B1B&quot;/&gt;&lt;wsp:rsid wsp:val=&quot;00F02DD4&quot;/&gt;&lt;wsp:rsid wsp:val=&quot;00F02DEE&quot;/&gt;&lt;wsp:rsid wsp:val=&quot;00F0359C&quot;/&gt;&lt;wsp:rsid wsp:val=&quot;00F03916&quot;/&gt;&lt;wsp:rsid wsp:val=&quot;00F03B59&quot;/&gt;&lt;wsp:rsid wsp:val=&quot;00F045D3&quot;/&gt;&lt;wsp:rsid wsp:val=&quot;00F049A0&quot;/&gt;&lt;wsp:rsid wsp:val=&quot;00F04A75&quot;/&gt;&lt;wsp:rsid wsp:val=&quot;00F04BDD&quot;/&gt;&lt;wsp:rsid wsp:val=&quot;00F04E08&quot;/&gt;&lt;wsp:rsid wsp:val=&quot;00F054BD&quot;/&gt;&lt;wsp:rsid wsp:val=&quot;00F057FE&quot;/&gt;&lt;wsp:rsid wsp:val=&quot;00F05D3A&quot;/&gt;&lt;wsp:rsid wsp:val=&quot;00F05E2B&quot;/&gt;&lt;wsp:rsid wsp:val=&quot;00F06E64&quot;/&gt;&lt;wsp:rsid wsp:val=&quot;00F0727B&quot;/&gt;&lt;wsp:rsid wsp:val=&quot;00F074A9&quot;/&gt;&lt;wsp:rsid wsp:val=&quot;00F0755B&quot;/&gt;&lt;wsp:rsid wsp:val=&quot;00F07834&quot;/&gt;&lt;wsp:rsid wsp:val=&quot;00F07C3E&quot;/&gt;&lt;wsp:rsid wsp:val=&quot;00F07F57&quot;/&gt;&lt;wsp:rsid wsp:val=&quot;00F10726&quot;/&gt;&lt;wsp:rsid wsp:val=&quot;00F109A9&quot;/&gt;&lt;wsp:rsid wsp:val=&quot;00F11004&quot;/&gt;&lt;wsp:rsid wsp:val=&quot;00F1123F&quot;/&gt;&lt;wsp:rsid wsp:val=&quot;00F11260&quot;/&gt;&lt;wsp:rsid wsp:val=&quot;00F1126B&quot;/&gt;&lt;wsp:rsid wsp:val=&quot;00F11280&quot;/&gt;&lt;wsp:rsid wsp:val=&quot;00F11782&quot;/&gt;&lt;wsp:rsid wsp:val=&quot;00F11AA8&quot;/&gt;&lt;wsp:rsid wsp:val=&quot;00F11F8D&quot;/&gt;&lt;wsp:rsid wsp:val=&quot;00F12000&quot;/&gt;&lt;wsp:rsid wsp:val=&quot;00F1226F&quot;/&gt;&lt;wsp:rsid wsp:val=&quot;00F1245B&quot;/&gt;&lt;wsp:rsid wsp:val=&quot;00F12540&quot;/&gt;&lt;wsp:rsid wsp:val=&quot;00F1290E&quot;/&gt;&lt;wsp:rsid wsp:val=&quot;00F12BF6&quot;/&gt;&lt;wsp:rsid wsp:val=&quot;00F12F98&quot;/&gt;&lt;wsp:rsid wsp:val=&quot;00F13075&quot;/&gt;&lt;wsp:rsid wsp:val=&quot;00F132A2&quot;/&gt;&lt;wsp:rsid wsp:val=&quot;00F134AF&quot;/&gt;&lt;wsp:rsid wsp:val=&quot;00F13608&quot;/&gt;&lt;wsp:rsid wsp:val=&quot;00F13713&quot;/&gt;&lt;wsp:rsid wsp:val=&quot;00F13AB4&quot;/&gt;&lt;wsp:rsid wsp:val=&quot;00F13C47&quot;/&gt;&lt;wsp:rsid wsp:val=&quot;00F13DB9&quot;/&gt;&lt;wsp:rsid wsp:val=&quot;00F1491B&quot;/&gt;&lt;wsp:rsid wsp:val=&quot;00F14BE6&quot;/&gt;&lt;wsp:rsid wsp:val=&quot;00F153D9&quot;/&gt;&lt;wsp:rsid wsp:val=&quot;00F1544B&quot;/&gt;&lt;wsp:rsid wsp:val=&quot;00F15C05&quot;/&gt;&lt;wsp:rsid wsp:val=&quot;00F15C95&quot;/&gt;&lt;wsp:rsid wsp:val=&quot;00F15D94&quot;/&gt;&lt;wsp:rsid wsp:val=&quot;00F162B0&quot;/&gt;&lt;wsp:rsid wsp:val=&quot;00F16509&quot;/&gt;&lt;wsp:rsid wsp:val=&quot;00F165E8&quot;/&gt;&lt;wsp:rsid wsp:val=&quot;00F16982&quot;/&gt;&lt;wsp:rsid wsp:val=&quot;00F16BBE&quot;/&gt;&lt;wsp:rsid wsp:val=&quot;00F16BE5&quot;/&gt;&lt;wsp:rsid wsp:val=&quot;00F16E3B&quot;/&gt;&lt;wsp:rsid wsp:val=&quot;00F16EBC&quot;/&gt;&lt;wsp:rsid wsp:val=&quot;00F171E9&quot;/&gt;&lt;wsp:rsid wsp:val=&quot;00F17511&quot;/&gt;&lt;wsp:rsid wsp:val=&quot;00F17CED&quot;/&gt;&lt;wsp:rsid wsp:val=&quot;00F20399&quot;/&gt;&lt;wsp:rsid wsp:val=&quot;00F20586&quot;/&gt;&lt;wsp:rsid wsp:val=&quot;00F2069C&quot;/&gt;&lt;wsp:rsid wsp:val=&quot;00F20991&quot;/&gt;&lt;wsp:rsid wsp:val=&quot;00F209DC&quot;/&gt;&lt;wsp:rsid wsp:val=&quot;00F20B5D&quot;/&gt;&lt;wsp:rsid wsp:val=&quot;00F2119F&quot;/&gt;&lt;wsp:rsid wsp:val=&quot;00F214C8&quot;/&gt;&lt;wsp:rsid wsp:val=&quot;00F217BB&quot;/&gt;&lt;wsp:rsid wsp:val=&quot;00F21BB3&quot;/&gt;&lt;wsp:rsid wsp:val=&quot;00F220BD&quot;/&gt;&lt;wsp:rsid wsp:val=&quot;00F22245&quot;/&gt;&lt;wsp:rsid wsp:val=&quot;00F22432&quot;/&gt;&lt;wsp:rsid wsp:val=&quot;00F22D42&quot;/&gt;&lt;wsp:rsid wsp:val=&quot;00F22D63&quot;/&gt;&lt;wsp:rsid wsp:val=&quot;00F23926&quot;/&gt;&lt;wsp:rsid wsp:val=&quot;00F23988&quot;/&gt;&lt;wsp:rsid wsp:val=&quot;00F239DB&quot;/&gt;&lt;wsp:rsid wsp:val=&quot;00F248B6&quot;/&gt;&lt;wsp:rsid wsp:val=&quot;00F25BA1&quot;/&gt;&lt;wsp:rsid wsp:val=&quot;00F25F4F&quot;/&gt;&lt;wsp:rsid wsp:val=&quot;00F25F66&quot;/&gt;&lt;wsp:rsid wsp:val=&quot;00F26186&quot;/&gt;&lt;wsp:rsid wsp:val=&quot;00F26946&quot;/&gt;&lt;wsp:rsid wsp:val=&quot;00F2697D&quot;/&gt;&lt;wsp:rsid wsp:val=&quot;00F26E0B&quot;/&gt;&lt;wsp:rsid wsp:val=&quot;00F26FC9&quot;/&gt;&lt;wsp:rsid wsp:val=&quot;00F270EB&quot;/&gt;&lt;wsp:rsid wsp:val=&quot;00F276A7&quot;/&gt;&lt;wsp:rsid wsp:val=&quot;00F27FFC&quot;/&gt;&lt;wsp:rsid wsp:val=&quot;00F306BB&quot;/&gt;&lt;wsp:rsid wsp:val=&quot;00F30864&quot;/&gt;&lt;wsp:rsid wsp:val=&quot;00F30DB2&quot;/&gt;&lt;wsp:rsid wsp:val=&quot;00F30E0A&quot;/&gt;&lt;wsp:rsid wsp:val=&quot;00F30E1F&quot;/&gt;&lt;wsp:rsid wsp:val=&quot;00F30E53&quot;/&gt;&lt;wsp:rsid wsp:val=&quot;00F30ECA&quot;/&gt;&lt;wsp:rsid wsp:val=&quot;00F30F2F&quot;/&gt;&lt;wsp:rsid wsp:val=&quot;00F3114F&quot;/&gt;&lt;wsp:rsid wsp:val=&quot;00F31374&quot;/&gt;&lt;wsp:rsid wsp:val=&quot;00F31531&quot;/&gt;&lt;wsp:rsid wsp:val=&quot;00F315FD&quot;/&gt;&lt;wsp:rsid wsp:val=&quot;00F32CC9&quot;/&gt;&lt;wsp:rsid wsp:val=&quot;00F32D06&quot;/&gt;&lt;wsp:rsid wsp:val=&quot;00F32F61&quot;/&gt;&lt;wsp:rsid wsp:val=&quot;00F3306C&quot;/&gt;&lt;wsp:rsid wsp:val=&quot;00F330A7&quot;/&gt;&lt;wsp:rsid wsp:val=&quot;00F332C8&quot;/&gt;&lt;wsp:rsid wsp:val=&quot;00F334E2&quot;/&gt;&lt;wsp:rsid wsp:val=&quot;00F33D91&quot;/&gt;&lt;wsp:rsid wsp:val=&quot;00F3452C&quot;/&gt;&lt;wsp:rsid wsp:val=&quot;00F34EFB&quot;/&gt;&lt;wsp:rsid wsp:val=&quot;00F34F7B&quot;/&gt;&lt;wsp:rsid wsp:val=&quot;00F3510B&quot;/&gt;&lt;wsp:rsid wsp:val=&quot;00F35798&quot;/&gt;&lt;wsp:rsid wsp:val=&quot;00F36084&quot;/&gt;&lt;wsp:rsid wsp:val=&quot;00F36644&quot;/&gt;&lt;wsp:rsid wsp:val=&quot;00F3720A&quot;/&gt;&lt;wsp:rsid wsp:val=&quot;00F3737B&quot;/&gt;&lt;wsp:rsid wsp:val=&quot;00F3746E&quot;/&gt;&lt;wsp:rsid wsp:val=&quot;00F378D0&quot;/&gt;&lt;wsp:rsid wsp:val=&quot;00F4014F&quot;/&gt;&lt;wsp:rsid wsp:val=&quot;00F40169&quot;/&gt;&lt;wsp:rsid wsp:val=&quot;00F40E08&quot;/&gt;&lt;wsp:rsid wsp:val=&quot;00F40E6C&quot;/&gt;&lt;wsp:rsid wsp:val=&quot;00F41130&quot;/&gt;&lt;wsp:rsid wsp:val=&quot;00F41547&quot;/&gt;&lt;wsp:rsid wsp:val=&quot;00F41755&quot;/&gt;&lt;wsp:rsid wsp:val=&quot;00F41C49&quot;/&gt;&lt;wsp:rsid wsp:val=&quot;00F42189&quot;/&gt;&lt;wsp:rsid wsp:val=&quot;00F4257D&quot;/&gt;&lt;wsp:rsid wsp:val=&quot;00F425C6&quot;/&gt;&lt;wsp:rsid wsp:val=&quot;00F42938&quot;/&gt;&lt;wsp:rsid wsp:val=&quot;00F429A0&quot;/&gt;&lt;wsp:rsid wsp:val=&quot;00F42A33&quot;/&gt;&lt;wsp:rsid wsp:val=&quot;00F42D66&quot;/&gt;&lt;wsp:rsid wsp:val=&quot;00F4309F&quot;/&gt;&lt;wsp:rsid wsp:val=&quot;00F43281&quot;/&gt;&lt;wsp:rsid wsp:val=&quot;00F4349A&quot;/&gt;&lt;wsp:rsid wsp:val=&quot;00F435B7&quot;/&gt;&lt;wsp:rsid wsp:val=&quot;00F43749&quot;/&gt;&lt;wsp:rsid wsp:val=&quot;00F43B29&quot;/&gt;&lt;wsp:rsid wsp:val=&quot;00F44116&quot;/&gt;&lt;wsp:rsid wsp:val=&quot;00F4420F&quot;/&gt;&lt;wsp:rsid wsp:val=&quot;00F44464&quot;/&gt;&lt;wsp:rsid wsp:val=&quot;00F45A2D&quot;/&gt;&lt;wsp:rsid wsp:val=&quot;00F45B5C&quot;/&gt;&lt;wsp:rsid wsp:val=&quot;00F45E2F&quot;/&gt;&lt;wsp:rsid wsp:val=&quot;00F4666B&quot;/&gt;&lt;wsp:rsid wsp:val=&quot;00F468B3&quot;/&gt;&lt;wsp:rsid wsp:val=&quot;00F46947&quot;/&gt;&lt;wsp:rsid wsp:val=&quot;00F46BBC&quot;/&gt;&lt;wsp:rsid wsp:val=&quot;00F47164&quot;/&gt;&lt;wsp:rsid wsp:val=&quot;00F47605&quot;/&gt;&lt;wsp:rsid wsp:val=&quot;00F4791C&quot;/&gt;&lt;wsp:rsid wsp:val=&quot;00F50B49&quot;/&gt;&lt;wsp:rsid wsp:val=&quot;00F50BFE&quot;/&gt;&lt;wsp:rsid wsp:val=&quot;00F50CB7&quot;/&gt;&lt;wsp:rsid wsp:val=&quot;00F50D52&quot;/&gt;&lt;wsp:rsid wsp:val=&quot;00F50E3D&quot;/&gt;&lt;wsp:rsid wsp:val=&quot;00F510DF&quot;/&gt;&lt;wsp:rsid wsp:val=&quot;00F5130C&quot;/&gt;&lt;wsp:rsid wsp:val=&quot;00F515BE&quot;/&gt;&lt;wsp:rsid wsp:val=&quot;00F51774&quot;/&gt;&lt;wsp:rsid wsp:val=&quot;00F51AE6&quot;/&gt;&lt;wsp:rsid wsp:val=&quot;00F51CB1&quot;/&gt;&lt;wsp:rsid wsp:val=&quot;00F51E79&quot;/&gt;&lt;wsp:rsid wsp:val=&quot;00F51FFA&quot;/&gt;&lt;wsp:rsid wsp:val=&quot;00F52361&quot;/&gt;&lt;wsp:rsid wsp:val=&quot;00F524A7&quot;/&gt;&lt;wsp:rsid wsp:val=&quot;00F533D1&quot;/&gt;&lt;wsp:rsid wsp:val=&quot;00F534D4&quot;/&gt;&lt;wsp:rsid wsp:val=&quot;00F53523&quot;/&gt;&lt;wsp:rsid wsp:val=&quot;00F535F4&quot;/&gt;&lt;wsp:rsid wsp:val=&quot;00F53D3A&quot;/&gt;&lt;wsp:rsid wsp:val=&quot;00F53DD9&quot;/&gt;&lt;wsp:rsid wsp:val=&quot;00F54446&quot;/&gt;&lt;wsp:rsid wsp:val=&quot;00F5463A&quot;/&gt;&lt;wsp:rsid wsp:val=&quot;00F549C9&quot;/&gt;&lt;wsp:rsid wsp:val=&quot;00F54D7E&quot;/&gt;&lt;wsp:rsid wsp:val=&quot;00F54EF2&quot;/&gt;&lt;wsp:rsid wsp:val=&quot;00F553A0&quot;/&gt;&lt;wsp:rsid wsp:val=&quot;00F553F3&quot;/&gt;&lt;wsp:rsid wsp:val=&quot;00F55717&quot;/&gt;&lt;wsp:rsid wsp:val=&quot;00F557A0&quot;/&gt;&lt;wsp:rsid wsp:val=&quot;00F55827&quot;/&gt;&lt;wsp:rsid wsp:val=&quot;00F559F1&quot;/&gt;&lt;wsp:rsid wsp:val=&quot;00F55C4B&quot;/&gt;&lt;wsp:rsid wsp:val=&quot;00F56030&quot;/&gt;&lt;wsp:rsid wsp:val=&quot;00F56198&quot;/&gt;&lt;wsp:rsid wsp:val=&quot;00F56346&quot;/&gt;&lt;wsp:rsid wsp:val=&quot;00F56A8D&quot;/&gt;&lt;wsp:rsid wsp:val=&quot;00F56D1D&quot;/&gt;&lt;wsp:rsid wsp:val=&quot;00F56D8D&quot;/&gt;&lt;wsp:rsid wsp:val=&quot;00F56F57&quot;/&gt;&lt;wsp:rsid wsp:val=&quot;00F57A19&quot;/&gt;&lt;wsp:rsid wsp:val=&quot;00F57AD3&quot;/&gt;&lt;wsp:rsid wsp:val=&quot;00F57DBF&quot;/&gt;&lt;wsp:rsid wsp:val=&quot;00F60254&quot;/&gt;&lt;wsp:rsid wsp:val=&quot;00F60780&quot;/&gt;&lt;wsp:rsid wsp:val=&quot;00F610E2&quot;/&gt;&lt;wsp:rsid wsp:val=&quot;00F611C7&quot;/&gt;&lt;wsp:rsid wsp:val=&quot;00F61226&quot;/&gt;&lt;wsp:rsid wsp:val=&quot;00F614D7&quot;/&gt;&lt;wsp:rsid wsp:val=&quot;00F61649&quot;/&gt;&lt;wsp:rsid wsp:val=&quot;00F6170F&quot;/&gt;&lt;wsp:rsid wsp:val=&quot;00F61B5A&quot;/&gt;&lt;wsp:rsid wsp:val=&quot;00F61EF1&quot;/&gt;&lt;wsp:rsid wsp:val=&quot;00F6263C&quot;/&gt;&lt;wsp:rsid wsp:val=&quot;00F62D8E&quot;/&gt;&lt;wsp:rsid wsp:val=&quot;00F6324B&quot;/&gt;&lt;wsp:rsid wsp:val=&quot;00F632CF&quot;/&gt;&lt;wsp:rsid wsp:val=&quot;00F633DF&quot;/&gt;&lt;wsp:rsid wsp:val=&quot;00F635EB&quot;/&gt;&lt;wsp:rsid wsp:val=&quot;00F636D8&quot;/&gt;&lt;wsp:rsid wsp:val=&quot;00F63B09&quot;/&gt;&lt;wsp:rsid wsp:val=&quot;00F63CD5&quot;/&gt;&lt;wsp:rsid wsp:val=&quot;00F63D5A&quot;/&gt;&lt;wsp:rsid wsp:val=&quot;00F63D6F&quot;/&gt;&lt;wsp:rsid wsp:val=&quot;00F63EE9&quot;/&gt;&lt;wsp:rsid wsp:val=&quot;00F64154&quot;/&gt;&lt;wsp:rsid wsp:val=&quot;00F64265&quot;/&gt;&lt;wsp:rsid wsp:val=&quot;00F64337&quot;/&gt;&lt;wsp:rsid wsp:val=&quot;00F64483&quot;/&gt;&lt;wsp:rsid wsp:val=&quot;00F6553F&quot;/&gt;&lt;wsp:rsid wsp:val=&quot;00F6560A&quot;/&gt;&lt;wsp:rsid wsp:val=&quot;00F65768&quot;/&gt;&lt;wsp:rsid wsp:val=&quot;00F65908&quot;/&gt;&lt;wsp:rsid wsp:val=&quot;00F65A7E&quot;/&gt;&lt;wsp:rsid wsp:val=&quot;00F66318&quot;/&gt;&lt;wsp:rsid wsp:val=&quot;00F66610&quot;/&gt;&lt;wsp:rsid wsp:val=&quot;00F66707&quot;/&gt;&lt;wsp:rsid wsp:val=&quot;00F66708&quot;/&gt;&lt;wsp:rsid wsp:val=&quot;00F66F00&quot;/&gt;&lt;wsp:rsid wsp:val=&quot;00F66FAB&quot;/&gt;&lt;wsp:rsid wsp:val=&quot;00F67415&quot;/&gt;&lt;wsp:rsid wsp:val=&quot;00F6753F&quot;/&gt;&lt;wsp:rsid wsp:val=&quot;00F67AC2&quot;/&gt;&lt;wsp:rsid wsp:val=&quot;00F67CB4&quot;/&gt;&lt;wsp:rsid wsp:val=&quot;00F67CEB&quot;/&gt;&lt;wsp:rsid wsp:val=&quot;00F67D22&quot;/&gt;&lt;wsp:rsid wsp:val=&quot;00F67FFB&quot;/&gt;&lt;wsp:rsid wsp:val=&quot;00F70430&quot;/&gt;&lt;wsp:rsid wsp:val=&quot;00F706B8&quot;/&gt;&lt;wsp:rsid wsp:val=&quot;00F7081B&quot;/&gt;&lt;wsp:rsid wsp:val=&quot;00F70F04&quot;/&gt;&lt;wsp:rsid wsp:val=&quot;00F710CE&quot;/&gt;&lt;wsp:rsid wsp:val=&quot;00F71249&quot;/&gt;&lt;wsp:rsid wsp:val=&quot;00F715F9&quot;/&gt;&lt;wsp:rsid wsp:val=&quot;00F71C31&quot;/&gt;&lt;wsp:rsid wsp:val=&quot;00F71D0F&quot;/&gt;&lt;wsp:rsid wsp:val=&quot;00F7207F&quot;/&gt;&lt;wsp:rsid wsp:val=&quot;00F72142&quot;/&gt;&lt;wsp:rsid wsp:val=&quot;00F72156&quot;/&gt;&lt;wsp:rsid wsp:val=&quot;00F72FB8&quot;/&gt;&lt;wsp:rsid wsp:val=&quot;00F73302&quot;/&gt;&lt;wsp:rsid wsp:val=&quot;00F7366E&quot;/&gt;&lt;wsp:rsid wsp:val=&quot;00F738C0&quot;/&gt;&lt;wsp:rsid wsp:val=&quot;00F74BDB&quot;/&gt;&lt;wsp:rsid wsp:val=&quot;00F74DA1&quot;/&gt;&lt;wsp:rsid wsp:val=&quot;00F74FBC&quot;/&gt;&lt;wsp:rsid wsp:val=&quot;00F75343&quot;/&gt;&lt;wsp:rsid wsp:val=&quot;00F75733&quot;/&gt;&lt;wsp:rsid wsp:val=&quot;00F75983&quot;/&gt;&lt;wsp:rsid wsp:val=&quot;00F75995&quot;/&gt;&lt;wsp:rsid wsp:val=&quot;00F75B2C&quot;/&gt;&lt;wsp:rsid wsp:val=&quot;00F75E73&quot;/&gt;&lt;wsp:rsid wsp:val=&quot;00F75F1C&quot;/&gt;&lt;wsp:rsid wsp:val=&quot;00F76507&quot;/&gt;&lt;wsp:rsid wsp:val=&quot;00F76DE0&quot;/&gt;&lt;wsp:rsid wsp:val=&quot;00F772CB&quot;/&gt;&lt;wsp:rsid wsp:val=&quot;00F77526&quot;/&gt;&lt;wsp:rsid wsp:val=&quot;00F77867&quot;/&gt;&lt;wsp:rsid wsp:val=&quot;00F77A01&quot;/&gt;&lt;wsp:rsid wsp:val=&quot;00F77D4D&quot;/&gt;&lt;wsp:rsid wsp:val=&quot;00F80059&quot;/&gt;&lt;wsp:rsid wsp:val=&quot;00F800B6&quot;/&gt;&lt;wsp:rsid wsp:val=&quot;00F8013D&quot;/&gt;&lt;wsp:rsid wsp:val=&quot;00F8064C&quot;/&gt;&lt;wsp:rsid wsp:val=&quot;00F8097E&quot;/&gt;&lt;wsp:rsid wsp:val=&quot;00F80FD7&quot;/&gt;&lt;wsp:rsid wsp:val=&quot;00F815EB&quot;/&gt;&lt;wsp:rsid wsp:val=&quot;00F81FFE&quot;/&gt;&lt;wsp:rsid wsp:val=&quot;00F8227B&quot;/&gt;&lt;wsp:rsid wsp:val=&quot;00F82E2E&quot;/&gt;&lt;wsp:rsid wsp:val=&quot;00F830B3&quot;/&gt;&lt;wsp:rsid wsp:val=&quot;00F831CE&quot;/&gt;&lt;wsp:rsid wsp:val=&quot;00F83617&quot;/&gt;&lt;wsp:rsid wsp:val=&quot;00F83C98&quot;/&gt;&lt;wsp:rsid wsp:val=&quot;00F84063&quot;/&gt;&lt;wsp:rsid wsp:val=&quot;00F84147&quot;/&gt;&lt;wsp:rsid wsp:val=&quot;00F843A5&quot;/&gt;&lt;wsp:rsid wsp:val=&quot;00F84777&quot;/&gt;&lt;wsp:rsid wsp:val=&quot;00F84B77&quot;/&gt;&lt;wsp:rsid wsp:val=&quot;00F8559F&quot;/&gt;&lt;wsp:rsid wsp:val=&quot;00F85738&quot;/&gt;&lt;wsp:rsid wsp:val=&quot;00F859C5&quot;/&gt;&lt;wsp:rsid wsp:val=&quot;00F85D84&quot;/&gt;&lt;wsp:rsid wsp:val=&quot;00F85E7A&quot;/&gt;&lt;wsp:rsid wsp:val=&quot;00F8609A&quot;/&gt;&lt;wsp:rsid wsp:val=&quot;00F86338&quot;/&gt;&lt;wsp:rsid wsp:val=&quot;00F8693C&quot;/&gt;&lt;wsp:rsid wsp:val=&quot;00F86FFC&quot;/&gt;&lt;wsp:rsid wsp:val=&quot;00F871F6&quot;/&gt;&lt;wsp:rsid wsp:val=&quot;00F87838&quot;/&gt;&lt;wsp:rsid wsp:val=&quot;00F87867&quot;/&gt;&lt;wsp:rsid wsp:val=&quot;00F8786C&quot;/&gt;&lt;wsp:rsid wsp:val=&quot;00F900C4&quot;/&gt;&lt;wsp:rsid wsp:val=&quot;00F90109&quot;/&gt;&lt;wsp:rsid wsp:val=&quot;00F90192&quot;/&gt;&lt;wsp:rsid wsp:val=&quot;00F90A4C&quot;/&gt;&lt;wsp:rsid wsp:val=&quot;00F90A62&quot;/&gt;&lt;wsp:rsid wsp:val=&quot;00F90DE3&quot;/&gt;&lt;wsp:rsid wsp:val=&quot;00F91036&quot;/&gt;&lt;wsp:rsid wsp:val=&quot;00F915B0&quot;/&gt;&lt;wsp:rsid wsp:val=&quot;00F91F1B&quot;/&gt;&lt;wsp:rsid wsp:val=&quot;00F92253&quot;/&gt;&lt;wsp:rsid wsp:val=&quot;00F92447&quot;/&gt;&lt;wsp:rsid wsp:val=&quot;00F92CC4&quot;/&gt;&lt;wsp:rsid wsp:val=&quot;00F92DAA&quot;/&gt;&lt;wsp:rsid wsp:val=&quot;00F92EE6&quot;/&gt;&lt;wsp:rsid wsp:val=&quot;00F92FDD&quot;/&gt;&lt;wsp:rsid wsp:val=&quot;00F930C4&quot;/&gt;&lt;wsp:rsid wsp:val=&quot;00F932FB&quot;/&gt;&lt;wsp:rsid wsp:val=&quot;00F934B8&quot;/&gt;&lt;wsp:rsid wsp:val=&quot;00F9371D&quot;/&gt;&lt;wsp:rsid wsp:val=&quot;00F938A4&quot;/&gt;&lt;wsp:rsid wsp:val=&quot;00F93A2B&quot;/&gt;&lt;wsp:rsid wsp:val=&quot;00F93A8D&quot;/&gt;&lt;wsp:rsid wsp:val=&quot;00F93B83&quot;/&gt;&lt;wsp:rsid wsp:val=&quot;00F93D94&quot;/&gt;&lt;wsp:rsid wsp:val=&quot;00F93E13&quot;/&gt;&lt;wsp:rsid wsp:val=&quot;00F94910&quot;/&gt;&lt;wsp:rsid wsp:val=&quot;00F94927&quot;/&gt;&lt;wsp:rsid wsp:val=&quot;00F94B0C&quot;/&gt;&lt;wsp:rsid wsp:val=&quot;00F94C0B&quot;/&gt;&lt;wsp:rsid wsp:val=&quot;00F95AEB&quot;/&gt;&lt;wsp:rsid wsp:val=&quot;00F95EAF&quot;/&gt;&lt;wsp:rsid wsp:val=&quot;00F95EE3&quot;/&gt;&lt;wsp:rsid wsp:val=&quot;00F96327&quot;/&gt;&lt;wsp:rsid wsp:val=&quot;00F96387&quot;/&gt;&lt;wsp:rsid wsp:val=&quot;00F96ABC&quot;/&gt;&lt;wsp:rsid wsp:val=&quot;00F96C7A&quot;/&gt;&lt;wsp:rsid wsp:val=&quot;00F97541&quot;/&gt;&lt;wsp:rsid wsp:val=&quot;00F9773A&quot;/&gt;&lt;wsp:rsid wsp:val=&quot;00F97F36&quot;/&gt;&lt;wsp:rsid wsp:val=&quot;00FA00A0&quot;/&gt;&lt;wsp:rsid wsp:val=&quot;00FA01C0&quot;/&gt;&lt;wsp:rsid wsp:val=&quot;00FA033C&quot;/&gt;&lt;wsp:rsid wsp:val=&quot;00FA04BE&quot;/&gt;&lt;wsp:rsid wsp:val=&quot;00FA05F4&quot;/&gt;&lt;wsp:rsid wsp:val=&quot;00FA0C1B&quot;/&gt;&lt;wsp:rsid wsp:val=&quot;00FA1B8C&quot;/&gt;&lt;wsp:rsid wsp:val=&quot;00FA1BC3&quot;/&gt;&lt;wsp:rsid wsp:val=&quot;00FA1DE7&quot;/&gt;&lt;wsp:rsid wsp:val=&quot;00FA2244&quot;/&gt;&lt;wsp:rsid wsp:val=&quot;00FA2540&quot;/&gt;&lt;wsp:rsid wsp:val=&quot;00FA26BE&quot;/&gt;&lt;wsp:rsid wsp:val=&quot;00FA2818&quot;/&gt;&lt;wsp:rsid wsp:val=&quot;00FA2A08&quot;/&gt;&lt;wsp:rsid wsp:val=&quot;00FA2A8E&quot;/&gt;&lt;wsp:rsid wsp:val=&quot;00FA30F6&quot;/&gt;&lt;wsp:rsid wsp:val=&quot;00FA32BD&quot;/&gt;&lt;wsp:rsid wsp:val=&quot;00FA34AC&quot;/&gt;&lt;wsp:rsid wsp:val=&quot;00FA3BCD&quot;/&gt;&lt;wsp:rsid wsp:val=&quot;00FA3F2B&quot;/&gt;&lt;wsp:rsid wsp:val=&quot;00FA41C1&quot;/&gt;&lt;wsp:rsid wsp:val=&quot;00FA4765&quot;/&gt;&lt;wsp:rsid wsp:val=&quot;00FA49C8&quot;/&gt;&lt;wsp:rsid wsp:val=&quot;00FA4FBA&quot;/&gt;&lt;wsp:rsid wsp:val=&quot;00FA504F&quot;/&gt;&lt;wsp:rsid wsp:val=&quot;00FA5CE8&quot;/&gt;&lt;wsp:rsid wsp:val=&quot;00FA60DF&quot;/&gt;&lt;wsp:rsid wsp:val=&quot;00FA67C6&quot;/&gt;&lt;wsp:rsid wsp:val=&quot;00FA6C93&quot;/&gt;&lt;wsp:rsid wsp:val=&quot;00FA764F&quot;/&gt;&lt;wsp:rsid wsp:val=&quot;00FA7B49&quot;/&gt;&lt;wsp:rsid wsp:val=&quot;00FA7FD0&quot;/&gt;&lt;wsp:rsid wsp:val=&quot;00FB00AE&quot;/&gt;&lt;wsp:rsid wsp:val=&quot;00FB045A&quot;/&gt;&lt;wsp:rsid wsp:val=&quot;00FB05A8&quot;/&gt;&lt;wsp:rsid wsp:val=&quot;00FB06EE&quot;/&gt;&lt;wsp:rsid wsp:val=&quot;00FB0D00&quot;/&gt;&lt;wsp:rsid wsp:val=&quot;00FB0F95&quot;/&gt;&lt;wsp:rsid wsp:val=&quot;00FB12DD&quot;/&gt;&lt;wsp:rsid wsp:val=&quot;00FB1C96&quot;/&gt;&lt;wsp:rsid wsp:val=&quot;00FB2222&quot;/&gt;&lt;wsp:rsid wsp:val=&quot;00FB230F&quot;/&gt;&lt;wsp:rsid wsp:val=&quot;00FB26CE&quot;/&gt;&lt;wsp:rsid wsp:val=&quot;00FB2C27&quot;/&gt;&lt;wsp:rsid wsp:val=&quot;00FB3464&quot;/&gt;&lt;wsp:rsid wsp:val=&quot;00FB36A0&quot;/&gt;&lt;wsp:rsid wsp:val=&quot;00FB378F&quot;/&gt;&lt;wsp:rsid wsp:val=&quot;00FB3CA8&quot;/&gt;&lt;wsp:rsid wsp:val=&quot;00FB3D65&quot;/&gt;&lt;wsp:rsid wsp:val=&quot;00FB4896&quot;/&gt;&lt;wsp:rsid wsp:val=&quot;00FB49C9&quot;/&gt;&lt;wsp:rsid wsp:val=&quot;00FB5479&quot;/&gt;&lt;wsp:rsid wsp:val=&quot;00FB5BE0&quot;/&gt;&lt;wsp:rsid wsp:val=&quot;00FB66DF&quot;/&gt;&lt;wsp:rsid wsp:val=&quot;00FB67FB&quot;/&gt;&lt;wsp:rsid wsp:val=&quot;00FB68B4&quot;/&gt;&lt;wsp:rsid wsp:val=&quot;00FB6D37&quot;/&gt;&lt;wsp:rsid wsp:val=&quot;00FB6FE3&quot;/&gt;&lt;wsp:rsid wsp:val=&quot;00FB7158&quot;/&gt;&lt;wsp:rsid wsp:val=&quot;00FB726C&quot;/&gt;&lt;wsp:rsid wsp:val=&quot;00FB75F6&quot;/&gt;&lt;wsp:rsid wsp:val=&quot;00FC0929&quot;/&gt;&lt;wsp:rsid wsp:val=&quot;00FC0B69&quot;/&gt;&lt;wsp:rsid wsp:val=&quot;00FC0DD7&quot;/&gt;&lt;wsp:rsid wsp:val=&quot;00FC15A1&quot;/&gt;&lt;wsp:rsid wsp:val=&quot;00FC15B6&quot;/&gt;&lt;wsp:rsid wsp:val=&quot;00FC1E7C&quot;/&gt;&lt;wsp:rsid wsp:val=&quot;00FC211A&quot;/&gt;&lt;wsp:rsid wsp:val=&quot;00FC24EE&quot;/&gt;&lt;wsp:rsid wsp:val=&quot;00FC2522&quot;/&gt;&lt;wsp:rsid wsp:val=&quot;00FC2C55&quot;/&gt;&lt;wsp:rsid wsp:val=&quot;00FC312E&quot;/&gt;&lt;wsp:rsid wsp:val=&quot;00FC346A&quot;/&gt;&lt;wsp:rsid wsp:val=&quot;00FC3BE2&quot;/&gt;&lt;wsp:rsid wsp:val=&quot;00FC3F56&quot;/&gt;&lt;wsp:rsid wsp:val=&quot;00FC42D9&quot;/&gt;&lt;wsp:rsid wsp:val=&quot;00FC49F9&quot;/&gt;&lt;wsp:rsid wsp:val=&quot;00FC4F0F&quot;/&gt;&lt;wsp:rsid wsp:val=&quot;00FC4F67&quot;/&gt;&lt;wsp:rsid wsp:val=&quot;00FC509E&quot;/&gt;&lt;wsp:rsid wsp:val=&quot;00FC525E&quot;/&gt;&lt;wsp:rsid wsp:val=&quot;00FC55B4&quot;/&gt;&lt;wsp:rsid wsp:val=&quot;00FC5ADA&quot;/&gt;&lt;wsp:rsid wsp:val=&quot;00FC60AF&quot;/&gt;&lt;wsp:rsid wsp:val=&quot;00FC6224&quot;/&gt;&lt;wsp:rsid wsp:val=&quot;00FC6496&quot;/&gt;&lt;wsp:rsid wsp:val=&quot;00FC6906&quot;/&gt;&lt;wsp:rsid wsp:val=&quot;00FC69CA&quot;/&gt;&lt;wsp:rsid wsp:val=&quot;00FC6B75&quot;/&gt;&lt;wsp:rsid wsp:val=&quot;00FC7632&quot;/&gt;&lt;wsp:rsid wsp:val=&quot;00FC7807&quot;/&gt;&lt;wsp:rsid wsp:val=&quot;00FC7B72&quot;/&gt;&lt;wsp:rsid wsp:val=&quot;00FC7D2A&quot;/&gt;&lt;wsp:rsid wsp:val=&quot;00FC7F6A&quot;/&gt;&lt;wsp:rsid wsp:val=&quot;00FD01AC&quot;/&gt;&lt;wsp:rsid wsp:val=&quot;00FD01BA&quot;/&gt;&lt;wsp:rsid wsp:val=&quot;00FD06A4&quot;/&gt;&lt;wsp:rsid wsp:val=&quot;00FD0897&quot;/&gt;&lt;wsp:rsid wsp:val=&quot;00FD0912&quot;/&gt;&lt;wsp:rsid wsp:val=&quot;00FD10F6&quot;/&gt;&lt;wsp:rsid wsp:val=&quot;00FD12B2&quot;/&gt;&lt;wsp:rsid wsp:val=&quot;00FD12B3&quot;/&gt;&lt;wsp:rsid wsp:val=&quot;00FD1AE0&quot;/&gt;&lt;wsp:rsid wsp:val=&quot;00FD2D3C&quot;/&gt;&lt;wsp:rsid wsp:val=&quot;00FD375E&quot;/&gt;&lt;wsp:rsid wsp:val=&quot;00FD399B&quot;/&gt;&lt;wsp:rsid wsp:val=&quot;00FD3F7E&quot;/&gt;&lt;wsp:rsid wsp:val=&quot;00FD41C0&quot;/&gt;&lt;wsp:rsid wsp:val=&quot;00FD4CF6&quot;/&gt;&lt;wsp:rsid wsp:val=&quot;00FD5455&quot;/&gt;&lt;wsp:rsid wsp:val=&quot;00FD5531&quot;/&gt;&lt;wsp:rsid wsp:val=&quot;00FD584E&quot;/&gt;&lt;wsp:rsid wsp:val=&quot;00FD5AE7&quot;/&gt;&lt;wsp:rsid wsp:val=&quot;00FD5F9D&quot;/&gt;&lt;wsp:rsid wsp:val=&quot;00FD618D&quot;/&gt;&lt;wsp:rsid wsp:val=&quot;00FD66C9&quot;/&gt;&lt;wsp:rsid wsp:val=&quot;00FD6D27&quot;/&gt;&lt;wsp:rsid wsp:val=&quot;00FD6F86&quot;/&gt;&lt;wsp:rsid wsp:val=&quot;00FD75D7&quot;/&gt;&lt;wsp:rsid wsp:val=&quot;00FD762F&quot;/&gt;&lt;wsp:rsid wsp:val=&quot;00FD76A1&quot;/&gt;&lt;wsp:rsid wsp:val=&quot;00FD7D93&quot;/&gt;&lt;wsp:rsid wsp:val=&quot;00FD7DE1&quot;/&gt;&lt;wsp:rsid wsp:val=&quot;00FE029E&quot;/&gt;&lt;wsp:rsid wsp:val=&quot;00FE036B&quot;/&gt;&lt;wsp:rsid wsp:val=&quot;00FE0473&quot;/&gt;&lt;wsp:rsid wsp:val=&quot;00FE051B&quot;/&gt;&lt;wsp:rsid wsp:val=&quot;00FE05F2&quot;/&gt;&lt;wsp:rsid wsp:val=&quot;00FE0609&quot;/&gt;&lt;wsp:rsid wsp:val=&quot;00FE08A0&quot;/&gt;&lt;wsp:rsid wsp:val=&quot;00FE0BA6&quot;/&gt;&lt;wsp:rsid wsp:val=&quot;00FE0C80&quot;/&gt;&lt;wsp:rsid wsp:val=&quot;00FE0EEB&quot;/&gt;&lt;wsp:rsid wsp:val=&quot;00FE1247&quot;/&gt;&lt;wsp:rsid wsp:val=&quot;00FE13FE&quot;/&gt;&lt;wsp:rsid wsp:val=&quot;00FE1543&quot;/&gt;&lt;wsp:rsid wsp:val=&quot;00FE174B&quot;/&gt;&lt;wsp:rsid wsp:val=&quot;00FE1BF0&quot;/&gt;&lt;wsp:rsid wsp:val=&quot;00FE1C12&quot;/&gt;&lt;wsp:rsid wsp:val=&quot;00FE23D2&quot;/&gt;&lt;wsp:rsid wsp:val=&quot;00FE2C75&quot;/&gt;&lt;wsp:rsid wsp:val=&quot;00FE2EA9&quot;/&gt;&lt;wsp:rsid wsp:val=&quot;00FE2F88&quot;/&gt;&lt;wsp:rsid wsp:val=&quot;00FE3205&quot;/&gt;&lt;wsp:rsid wsp:val=&quot;00FE3508&quot;/&gt;&lt;wsp:rsid wsp:val=&quot;00FE4194&quot;/&gt;&lt;wsp:rsid wsp:val=&quot;00FE4C69&quot;/&gt;&lt;wsp:rsid wsp:val=&quot;00FE50F5&quot;/&gt;&lt;wsp:rsid wsp:val=&quot;00FE5A67&quot;/&gt;&lt;wsp:rsid wsp:val=&quot;00FE5B4E&quot;/&gt;&lt;wsp:rsid wsp:val=&quot;00FE5BB6&quot;/&gt;&lt;wsp:rsid wsp:val=&quot;00FE5FE2&quot;/&gt;&lt;wsp:rsid wsp:val=&quot;00FE68AF&quot;/&gt;&lt;wsp:rsid wsp:val=&quot;00FE69FF&quot;/&gt;&lt;wsp:rsid wsp:val=&quot;00FE6B81&quot;/&gt;&lt;wsp:rsid wsp:val=&quot;00FE6F08&quot;/&gt;&lt;wsp:rsid wsp:val=&quot;00FE73DA&quot;/&gt;&lt;wsp:rsid wsp:val=&quot;00FE7461&quot;/&gt;&lt;wsp:rsid wsp:val=&quot;00FE7AE3&quot;/&gt;&lt;wsp:rsid wsp:val=&quot;00FE7B60&quot;/&gt;&lt;wsp:rsid wsp:val=&quot;00FE7DA7&quot;/&gt;&lt;wsp:rsid wsp:val=&quot;00FF008D&quot;/&gt;&lt;wsp:rsid wsp:val=&quot;00FF035A&quot;/&gt;&lt;wsp:rsid wsp:val=&quot;00FF0673&quot;/&gt;&lt;wsp:rsid wsp:val=&quot;00FF0D10&quot;/&gt;&lt;wsp:rsid wsp:val=&quot;00FF0F50&quot;/&gt;&lt;wsp:rsid wsp:val=&quot;00FF1047&quot;/&gt;&lt;wsp:rsid wsp:val=&quot;00FF14A9&quot;/&gt;&lt;wsp:rsid wsp:val=&quot;00FF1544&quot;/&gt;&lt;wsp:rsid wsp:val=&quot;00FF17EF&quot;/&gt;&lt;wsp:rsid wsp:val=&quot;00FF1913&quot;/&gt;&lt;wsp:rsid wsp:val=&quot;00FF1B3F&quot;/&gt;&lt;wsp:rsid wsp:val=&quot;00FF2053&quot;/&gt;&lt;wsp:rsid wsp:val=&quot;00FF21AF&quot;/&gt;&lt;wsp:rsid wsp:val=&quot;00FF23D4&quot;/&gt;&lt;wsp:rsid wsp:val=&quot;00FF2490&quot;/&gt;&lt;wsp:rsid wsp:val=&quot;00FF24C2&quot;/&gt;&lt;wsp:rsid wsp:val=&quot;00FF2651&quot;/&gt;&lt;wsp:rsid wsp:val=&quot;00FF2697&quot;/&gt;&lt;wsp:rsid wsp:val=&quot;00FF26E2&quot;/&gt;&lt;wsp:rsid wsp:val=&quot;00FF2FA3&quot;/&gt;&lt;wsp:rsid wsp:val=&quot;00FF3527&quot;/&gt;&lt;wsp:rsid wsp:val=&quot;00FF3F2D&quot;/&gt;&lt;wsp:rsid wsp:val=&quot;00FF3FDC&quot;/&gt;&lt;wsp:rsid wsp:val=&quot;00FF418C&quot;/&gt;&lt;wsp:rsid wsp:val=&quot;00FF458A&quot;/&gt;&lt;wsp:rsid wsp:val=&quot;00FF4B3E&quot;/&gt;&lt;wsp:rsid wsp:val=&quot;00FF4BC9&quot;/&gt;&lt;wsp:rsid wsp:val=&quot;00FF4BCD&quot;/&gt;&lt;wsp:rsid wsp:val=&quot;00FF4CE9&quot;/&gt;&lt;wsp:rsid wsp:val=&quot;00FF4F95&quot;/&gt;&lt;wsp:rsid wsp:val=&quot;00FF5096&quot;/&gt;&lt;wsp:rsid wsp:val=&quot;00FF529E&quot;/&gt;&lt;wsp:rsid wsp:val=&quot;00FF549F&quot;/&gt;&lt;wsp:rsid wsp:val=&quot;00FF54B7&quot;/&gt;&lt;wsp:rsid wsp:val=&quot;00FF5666&quot;/&gt;&lt;wsp:rsid wsp:val=&quot;00FF56A5&quot;/&gt;&lt;wsp:rsid wsp:val=&quot;00FF5BF6&quot;/&gt;&lt;wsp:rsid wsp:val=&quot;00FF5C6D&quot;/&gt;&lt;wsp:rsid wsp:val=&quot;00FF5C6E&quot;/&gt;&lt;wsp:rsid wsp:val=&quot;00FF633F&quot;/&gt;&lt;wsp:rsid wsp:val=&quot;00FF66CC&quot;/&gt;&lt;wsp:rsid wsp:val=&quot;00FF67D3&quot;/&gt;&lt;wsp:rsid wsp:val=&quot;00FF6B0E&quot;/&gt;&lt;wsp:rsid wsp:val=&quot;00FF6B43&quot;/&gt;&lt;wsp:rsid wsp:val=&quot;00FF6F3F&quot;/&gt;&lt;wsp:rsid wsp:val=&quot;00FF7328&quot;/&gt;&lt;wsp:rsid wsp:val=&quot;00FF7600&quot;/&gt;&lt;wsp:rsid wsp:val=&quot;00FF77A7&quot;/&gt;&lt;wsp:rsid wsp:val=&quot;00FF7B0F&quot;/&gt;&lt;wsp:rsid wsp:val=&quot;00FF7D42&quot;/&gt;&lt;wsp:rsid wsp:val=&quot;00FF7F25&quot;/&gt;&lt;/wsp:rsids&gt;&lt;/w:docPr&gt;&lt;w:body&gt;&lt;w:p wsp:rsidR=&quot;00000000&quot; wsp:rsidRDefault=&quot;00B71C2A&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6&lt;/m:t&gt;&lt;/m:r&gt;&lt;/m:sub&gt;&lt;/m:sSub&gt;&lt;m:r&gt;&lt;w:rPr&gt;&lt;w:rFonts w:ascii=&quot;Cambria Math&quot; w:fareast=&quot;Times New Roman&quot; w:h-ansi=&quot;Cambria Math&quot;/&gt;&lt;wx:font wx:val=&quot;Cambria Math&quot;/&gt;&lt;w:i/&gt;&lt;w:sz w:val=&quot;28&quot;/&gt;&lt;w:sz-cs w:val=&quot;28&quot;/&gt;&lt;/w:rPr&gt;&lt;m:t&gt;=&lt;/m:t&gt;&lt;/m:r&gt;&lt;m:d&gt;&lt;m:dPr&gt;&lt;m:begChr m:val=&quot;{&quot;/&gt;&lt;m:endChr m:val=&quot;&quot;/&gt;&lt;m:ctrlPr&gt;&lt;w:rPr&gt;&lt;w:rFonts w:ascii=&quot;Cambria Math&quot; w:fareast=&quot;Times New Roman&quot; w:h-ansi=&quot;Cambria Math&quot;/&gt;&lt;wx:font wx:val=&quot;Cambria Math&quot;/&gt;&lt;w:i/&gt;&lt;w:sz w:val=&quot;28&quot;/&gt;&lt;w:sz-cs w:val=&quot;28&quot;/&gt;&lt;/w:rPr&gt;&lt;/m:ctrlPr&gt;&lt;/m:dPr&gt;&lt;m:e&gt;&lt;m:eqArr&gt;&lt;m:eqArrPr&gt;&lt;m:ctrlPr&gt;&lt;w:rPr&gt;&lt;w:rFonts w:ascii=&quot;Cambria Math&quot; w:fareast=&quot;Times New Roman&quot; w:h-ansi=&quot;Cambria Math&quot;/&gt;&lt;wx:font wx:val=&quot;Cambria Math&quot;/&gt;&lt;w:i/&gt;&lt;w:sz w:val=&quot;28&quot;/&gt;&lt;w:sz-cs w:val=&quot;28&quot;/&gt;&lt;/w:rPr&gt;&lt;/m:ctrlPr&gt;&lt;/m:eqArrPr&gt;&lt;m:e&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N&lt;/m:t&gt;&lt;/m:r&gt;&lt;/m:e&gt;&lt;m:sup&gt;&lt;m:r&gt;&lt;w:rPr&gt;&lt;w:rFonts w:ascii=&quot;Cambria Math&quot; w:fareast=&quot;Times New Roman&quot; w:h-ansi=&quot;Cambria Math&quot;/&gt;&lt;wx:font wx:val=&quot;Cambria Math&quot;/&gt;&lt;w:i/&gt;&lt;w:sz w:val=&quot;28&quot;/&gt;&lt;w:sz-cs w:val=&quot;28&quot;/&gt;&lt;/w:rPr&gt;&lt;m:t&gt;0.8&lt;/m:t&gt;&lt;/m:r&gt;&lt;/m:sup&gt;&lt;/m:sSup&gt;&lt;m:r&gt;&lt;w:rPr&gt;&lt;w:rFonts w:ascii=&quot;Cambria Math&quot; w:fareast=&quot;Times New Roman&quot; w:h-ansi=&quot;Cambria Math&quot;/&gt;&lt;wx:font wx:val=&quot;Cambria Math&quot;/&gt;&lt;w:i/&gt;&lt;w:sz w:val=&quot;28&quot;/&gt;&lt;w:sz-cs w:val=&quot;28&quot;/&gt;&lt;/w:rPr&gt;&lt;m:t&gt;, РїСЂРё N&amp;lt;&lt;/m:t&gt;&lt;/m:r&gt;&lt;m:r&gt;&lt;w:rPr&gt;&lt;w:rFonts w:ascii=&quot;Cambria Math&quot; w:fareast=&quot;Times New Roman&quot; w:h-ansi=&quot;Cambria Math&quot;/&gt;&lt;wx:font wx:val=&quot;Cambria Math&quot;/&gt;&lt;w:i/&gt;&lt;w:sz w:val=&quot;28&quot;/&gt;&lt;w:sz-cs w:val=&quot;28&quot;/&gt;&lt;w:lang w:val=&quot;EN-US&quot;/&gt;&lt;/w:rPr&gt;&lt;m:t&gt;T&lt;/m:t&gt;&lt;/m:r&gt;&lt;/m:e&gt;&lt;m:e&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T&lt;/m:t&gt;&lt;/m:r&gt;&lt;/m:e&gt;&lt;m:sup&gt;&lt;m:r&gt;&lt;w:rPr&gt;&lt;w:rFonts w:ascii=&quot;Cambria Math&quot; w:fareast=&quot;Times New Roman&quot; w:h-ansi=&quot;Cambria Math&quot;/&gt;&lt;wx:font wx:val=&quot;Cambria Math&quot;/&gt;&lt;w:i/&gt;&lt;w:sz w:val=&quot;28&quot;/&gt;&lt;w:sz-cs w:val=&quot;28&quot;/&gt;&lt;/w:rPr&gt;&lt;m:t&gt;0.8&lt;/m:t&gt;&lt;/m:r&gt;&lt;/m:sup&gt;&lt;/m:sSup&gt;&lt;m:r&gt;&lt;w:rPr&gt;&lt;w:rFonts w:ascii=&quot;Cambria Math&quot; w:fareast=&quot;Times New Roman&quot; w:h-ansi=&quot;Cambria Math&quot;/&gt;&lt;wx:font wx:val=&quot;Cambria Math&quot;/&gt;&lt;w:i/&gt;&lt;w:sz w:val=&quot;28&quot;/&gt;&lt;w:sz-cs w:val=&quot;28&quot;/&gt;&lt;/w:rPr&gt;&lt;m:t&gt;, РїСЂРё Nв‰Ґ&lt;/m:t&gt;&lt;/m:r&gt;&lt;m:r&gt;&lt;w:rPr&gt;&lt;w:rFonts w:ascii=&quot;Cambria Math&quot; w:fareast=&quot;Times New Roman&quot; w:h-ansi=&quot;Cambria Math&quot;/&gt;&lt;wx:font wx:val=&quot;Cambria Math&quot;/&gt;&lt;w:i/&gt;&lt;w:sz w:val=&quot;28&quot;/&gt;&lt;w:sz-cs w:val=&quot;28&quot;/&gt;&lt;w:lang w:val=&quot;EN-US&quot;/&gt;&lt;/w:rPr&gt;&lt;m:t&gt;T&lt;/m:t&gt;&lt;/m:r&gt;&lt;/m:e&gt;&lt;/m:eqAr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 o:title="" chromakey="white"/>
          </v:shape>
        </w:pict>
      </w:r>
    </w:p>
    <w:p w:rsidR="002D1E45" w:rsidRPr="004D071E" w:rsidRDefault="002D1E45" w:rsidP="004D071E">
      <w:pPr>
        <w:keepNext/>
        <w:widowControl w:val="0"/>
        <w:spacing w:after="0" w:line="240" w:lineRule="auto"/>
        <w:ind w:left="686"/>
        <w:contextualSpacing/>
        <w:rPr>
          <w:rFonts w:ascii="Times New Roman" w:hAnsi="Times New Roman"/>
          <w:sz w:val="28"/>
        </w:rPr>
      </w:pPr>
    </w:p>
    <w:p w:rsidR="002D1E45" w:rsidRPr="004D071E" w:rsidRDefault="002D1E45" w:rsidP="004D071E">
      <w:pPr>
        <w:keepNext/>
        <w:widowControl w:val="0"/>
        <w:spacing w:after="0" w:line="240" w:lineRule="auto"/>
        <w:ind w:left="686"/>
        <w:contextualSpacing/>
        <w:rPr>
          <w:rFonts w:ascii="Times New Roman" w:hAnsi="Times New Roman"/>
          <w:sz w:val="28"/>
        </w:rPr>
      </w:pPr>
      <w:r w:rsidRPr="004D071E">
        <w:rPr>
          <w:rFonts w:ascii="Times New Roman" w:hAnsi="Times New Roman"/>
          <w:sz w:val="28"/>
        </w:rPr>
        <w:t xml:space="preserve">при T&lt;1 </w:t>
      </w:r>
      <w:r w:rsidRPr="004D071E">
        <w:rPr>
          <w:rFonts w:ascii="Times New Roman" w:hAnsi="Times New Roman"/>
          <w:sz w:val="28"/>
          <w:szCs w:val="28"/>
        </w:rPr>
        <w:t>часа</w:t>
      </w:r>
      <w:r w:rsidRPr="004D071E">
        <w:rPr>
          <w:rFonts w:ascii="Times New Roman" w:hAnsi="Times New Roman"/>
          <w:sz w:val="28"/>
        </w:rPr>
        <w:t>, K</w:t>
      </w:r>
      <w:r w:rsidRPr="004D071E">
        <w:rPr>
          <w:rFonts w:ascii="Times New Roman" w:hAnsi="Times New Roman"/>
          <w:position w:val="-3"/>
          <w:sz w:val="18"/>
        </w:rPr>
        <w:t xml:space="preserve">6 </w:t>
      </w:r>
      <w:r w:rsidRPr="004D071E">
        <w:rPr>
          <w:rFonts w:ascii="Times New Roman" w:hAnsi="Times New Roman"/>
          <w:sz w:val="28"/>
        </w:rPr>
        <w:t>принимается для 1 часа;</w:t>
      </w:r>
    </w:p>
    <w:p w:rsidR="002D1E45" w:rsidRPr="004D071E" w:rsidRDefault="002D1E45" w:rsidP="004D071E">
      <w:pPr>
        <w:keepNext/>
        <w:widowControl w:val="0"/>
        <w:spacing w:after="0" w:line="240" w:lineRule="auto"/>
        <w:ind w:left="686"/>
        <w:contextualSpacing/>
        <w:rPr>
          <w:rFonts w:ascii="Times New Roman" w:hAnsi="Times New Roman"/>
          <w:sz w:val="28"/>
          <w:szCs w:val="28"/>
        </w:rPr>
      </w:pPr>
      <w:r w:rsidRPr="004D071E">
        <w:rPr>
          <w:rFonts w:ascii="Times New Roman" w:hAnsi="Times New Roman"/>
          <w:sz w:val="28"/>
          <w:szCs w:val="28"/>
        </w:rPr>
        <w:t>d – плотность АХОВ, т/м</w:t>
      </w:r>
      <w:r w:rsidRPr="004D071E">
        <w:rPr>
          <w:rFonts w:ascii="Times New Roman" w:hAnsi="Times New Roman"/>
          <w:sz w:val="28"/>
          <w:szCs w:val="28"/>
          <w:vertAlign w:val="superscript"/>
        </w:rPr>
        <w:t>3</w:t>
      </w:r>
      <w:r w:rsidRPr="004D071E">
        <w:rPr>
          <w:rFonts w:ascii="Times New Roman" w:hAnsi="Times New Roman"/>
          <w:sz w:val="28"/>
          <w:szCs w:val="28"/>
        </w:rPr>
        <w:t xml:space="preserve"> (табл. В.3 приложения В СП 165.1325800.2014);</w:t>
      </w:r>
    </w:p>
    <w:p w:rsidR="002D1E45" w:rsidRPr="004D071E" w:rsidRDefault="002D1E45" w:rsidP="004D071E">
      <w:pPr>
        <w:keepNext/>
        <w:widowControl w:val="0"/>
        <w:spacing w:after="0" w:line="240" w:lineRule="auto"/>
        <w:ind w:left="686"/>
        <w:contextualSpacing/>
        <w:rPr>
          <w:rFonts w:ascii="Times New Roman" w:hAnsi="Times New Roman"/>
          <w:sz w:val="28"/>
          <w:szCs w:val="28"/>
        </w:rPr>
      </w:pPr>
      <w:r w:rsidRPr="004D071E">
        <w:rPr>
          <w:rFonts w:ascii="Times New Roman" w:hAnsi="Times New Roman"/>
          <w:sz w:val="28"/>
          <w:szCs w:val="28"/>
        </w:rPr>
        <w:t>h – толщина слоя АХОВ, м.</w:t>
      </w:r>
    </w:p>
    <w:p w:rsidR="002D1E45" w:rsidRPr="004D071E" w:rsidRDefault="002D1E45" w:rsidP="004D071E">
      <w:pPr>
        <w:spacing w:after="0" w:line="240" w:lineRule="auto"/>
        <w:ind w:firstLine="709"/>
        <w:contextualSpacing/>
        <w:jc w:val="both"/>
        <w:rPr>
          <w:rFonts w:ascii="Times New Roman" w:hAnsi="Times New Roman"/>
          <w:sz w:val="28"/>
          <w:szCs w:val="28"/>
        </w:rPr>
      </w:pPr>
      <w:r w:rsidRPr="004D071E">
        <w:rPr>
          <w:rFonts w:ascii="Times New Roman" w:hAnsi="Times New Roman"/>
          <w:sz w:val="28"/>
          <w:szCs w:val="28"/>
        </w:rPr>
        <w:t>При определении величины Q</w:t>
      </w:r>
      <w:r w:rsidRPr="004D071E">
        <w:rPr>
          <w:rFonts w:ascii="Times New Roman" w:hAnsi="Times New Roman"/>
          <w:position w:val="-3"/>
          <w:sz w:val="18"/>
          <w:szCs w:val="28"/>
        </w:rPr>
        <w:t xml:space="preserve">э2 </w:t>
      </w:r>
      <w:r w:rsidRPr="004D071E">
        <w:rPr>
          <w:rFonts w:ascii="Times New Roman" w:hAnsi="Times New Roman"/>
          <w:sz w:val="28"/>
          <w:szCs w:val="28"/>
        </w:rPr>
        <w:t xml:space="preserve">для веществ, не вошедших в табл. В.3, значение </w:t>
      </w:r>
      <w:r w:rsidRPr="004D071E">
        <w:rPr>
          <w:rFonts w:ascii="Times New Roman" w:hAnsi="Times New Roman"/>
          <w:sz w:val="28"/>
          <w:szCs w:val="24"/>
          <w:lang w:eastAsia="ru-RU"/>
        </w:rPr>
        <w:t>коэффициента</w:t>
      </w:r>
      <w:r w:rsidRPr="004D071E">
        <w:rPr>
          <w:rFonts w:ascii="Times New Roman" w:hAnsi="Times New Roman"/>
          <w:sz w:val="28"/>
          <w:szCs w:val="28"/>
        </w:rPr>
        <w:t xml:space="preserve"> K</w:t>
      </w:r>
      <w:r w:rsidRPr="004D071E">
        <w:rPr>
          <w:rFonts w:ascii="Times New Roman" w:hAnsi="Times New Roman"/>
          <w:position w:val="-3"/>
          <w:sz w:val="18"/>
          <w:szCs w:val="28"/>
        </w:rPr>
        <w:t xml:space="preserve">7 </w:t>
      </w:r>
      <w:r w:rsidRPr="004D071E">
        <w:rPr>
          <w:rFonts w:ascii="Times New Roman" w:hAnsi="Times New Roman"/>
          <w:sz w:val="28"/>
          <w:szCs w:val="28"/>
        </w:rPr>
        <w:t>принимается равным 1, а значение коэффициента K</w:t>
      </w:r>
      <w:r w:rsidRPr="004D071E">
        <w:rPr>
          <w:rFonts w:ascii="Times New Roman" w:hAnsi="Times New Roman"/>
          <w:position w:val="-3"/>
          <w:sz w:val="18"/>
          <w:szCs w:val="28"/>
        </w:rPr>
        <w:t xml:space="preserve">2 </w:t>
      </w:r>
      <w:r w:rsidRPr="004D071E">
        <w:rPr>
          <w:rFonts w:ascii="Times New Roman" w:hAnsi="Times New Roman"/>
          <w:sz w:val="28"/>
          <w:szCs w:val="28"/>
        </w:rPr>
        <w:t>определяется по формуле:</w:t>
      </w:r>
    </w:p>
    <w:p w:rsidR="002D1E45" w:rsidRPr="004D071E" w:rsidRDefault="002D1E45" w:rsidP="004D071E">
      <w:pPr>
        <w:spacing w:after="0" w:line="240" w:lineRule="auto"/>
        <w:ind w:firstLine="709"/>
        <w:contextualSpacing/>
        <w:jc w:val="both"/>
        <w:rPr>
          <w:rFonts w:ascii="Times New Roman" w:hAnsi="Times New Roman"/>
          <w:sz w:val="28"/>
          <w:szCs w:val="28"/>
        </w:rPr>
      </w:pPr>
    </w:p>
    <w:p w:rsidR="002D1E45" w:rsidRPr="004D071E" w:rsidRDefault="002D1E45" w:rsidP="004D071E">
      <w:pPr>
        <w:spacing w:after="0" w:line="240" w:lineRule="auto"/>
        <w:contextualSpacing/>
        <w:jc w:val="center"/>
        <w:rPr>
          <w:rFonts w:ascii="Times New Roman" w:hAnsi="Times New Roman"/>
          <w:i/>
          <w:sz w:val="28"/>
          <w:lang w:val="en-US"/>
        </w:rPr>
      </w:pPr>
      <w:r>
        <w:pict>
          <v:shape id="_x0000_i1040" type="#_x0000_t75" style="width:138pt;height:16.5pt" equationxml="&lt;?xml version=&quot;1.0&quot; encoding=&quot;UTF-8&quot; standalone=&quot;yes&quot;?&gt;&#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stylePaneFormatFilter w:val=&quot;3F01&quot;/&gt;&lt;w:defaultTabStop w:val=&quot;709&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55249&quot;/&gt;&lt;wsp:rsid wsp:val=&quot;00000069&quot;/&gt;&lt;wsp:rsid wsp:val=&quot;0000011C&quot;/&gt;&lt;wsp:rsid wsp:val=&quot;00000437&quot;/&gt;&lt;wsp:rsid wsp:val=&quot;00001379&quot;/&gt;&lt;wsp:rsid wsp:val=&quot;0000148E&quot;/&gt;&lt;wsp:rsid wsp:val=&quot;00001718&quot;/&gt;&lt;wsp:rsid wsp:val=&quot;000017EA&quot;/&gt;&lt;wsp:rsid wsp:val=&quot;00001828&quot;/&gt;&lt;wsp:rsid wsp:val=&quot;00001D98&quot;/&gt;&lt;wsp:rsid wsp:val=&quot;0000229E&quot;/&gt;&lt;wsp:rsid wsp:val=&quot;000027D5&quot;/&gt;&lt;wsp:rsid wsp:val=&quot;00002824&quot;/&gt;&lt;wsp:rsid wsp:val=&quot;00002C12&quot;/&gt;&lt;wsp:rsid wsp:val=&quot;00002C43&quot;/&gt;&lt;wsp:rsid wsp:val=&quot;00002D9C&quot;/&gt;&lt;wsp:rsid wsp:val=&quot;00002F36&quot;/&gt;&lt;wsp:rsid wsp:val=&quot;0000302F&quot;/&gt;&lt;wsp:rsid wsp:val=&quot;00003030&quot;/&gt;&lt;wsp:rsid wsp:val=&quot;00003EFF&quot;/&gt;&lt;wsp:rsid wsp:val=&quot;0000414C&quot;/&gt;&lt;wsp:rsid wsp:val=&quot;0000443D&quot;/&gt;&lt;wsp:rsid wsp:val=&quot;000046CC&quot;/&gt;&lt;wsp:rsid wsp:val=&quot;00004716&quot;/&gt;&lt;wsp:rsid wsp:val=&quot;0000486D&quot;/&gt;&lt;wsp:rsid wsp:val=&quot;000049C0&quot;/&gt;&lt;wsp:rsid wsp:val=&quot;00004D19&quot;/&gt;&lt;wsp:rsid wsp:val=&quot;00004FAE&quot;/&gt;&lt;wsp:rsid wsp:val=&quot;00004FFC&quot;/&gt;&lt;wsp:rsid wsp:val=&quot;00005636&quot;/&gt;&lt;wsp:rsid wsp:val=&quot;000056E1&quot;/&gt;&lt;wsp:rsid wsp:val=&quot;00005DAF&quot;/&gt;&lt;wsp:rsid wsp:val=&quot;00005F1A&quot;/&gt;&lt;wsp:rsid wsp:val=&quot;00005FEB&quot;/&gt;&lt;wsp:rsid wsp:val=&quot;00006392&quot;/&gt;&lt;wsp:rsid wsp:val=&quot;000063D0&quot;/&gt;&lt;wsp:rsid wsp:val=&quot;00006AE8&quot;/&gt;&lt;wsp:rsid wsp:val=&quot;00006D6F&quot;/&gt;&lt;wsp:rsid wsp:val=&quot;00007175&quot;/&gt;&lt;wsp:rsid wsp:val=&quot;00007274&quot;/&gt;&lt;wsp:rsid wsp:val=&quot;00007B99&quot;/&gt;&lt;wsp:rsid wsp:val=&quot;000101C0&quot;/&gt;&lt;wsp:rsid wsp:val=&quot;00010212&quot;/&gt;&lt;wsp:rsid wsp:val=&quot;00010264&quot;/&gt;&lt;wsp:rsid wsp:val=&quot;000102BD&quot;/&gt;&lt;wsp:rsid wsp:val=&quot;000102EA&quot;/&gt;&lt;wsp:rsid wsp:val=&quot;00010466&quot;/&gt;&lt;wsp:rsid wsp:val=&quot;00010AB4&quot;/&gt;&lt;wsp:rsid wsp:val=&quot;00010B0B&quot;/&gt;&lt;wsp:rsid wsp:val=&quot;00010C3B&quot;/&gt;&lt;wsp:rsid wsp:val=&quot;00010F91&quot;/&gt;&lt;wsp:rsid wsp:val=&quot;000112EE&quot;/&gt;&lt;wsp:rsid wsp:val=&quot;0001146D&quot;/&gt;&lt;wsp:rsid wsp:val=&quot;00011665&quot;/&gt;&lt;wsp:rsid wsp:val=&quot;00011B64&quot;/&gt;&lt;wsp:rsid wsp:val=&quot;00011CA8&quot;/&gt;&lt;wsp:rsid wsp:val=&quot;00011DE4&quot;/&gt;&lt;wsp:rsid wsp:val=&quot;000124AE&quot;/&gt;&lt;wsp:rsid wsp:val=&quot;000127BC&quot;/&gt;&lt;wsp:rsid wsp:val=&quot;00012A66&quot;/&gt;&lt;wsp:rsid wsp:val=&quot;00012DA8&quot;/&gt;&lt;wsp:rsid wsp:val=&quot;00013A20&quot;/&gt;&lt;wsp:rsid wsp:val=&quot;00013A8A&quot;/&gt;&lt;wsp:rsid wsp:val=&quot;00013CAF&quot;/&gt;&lt;wsp:rsid wsp:val=&quot;00013FBF&quot;/&gt;&lt;wsp:rsid wsp:val=&quot;00014152&quot;/&gt;&lt;wsp:rsid wsp:val=&quot;00014177&quot;/&gt;&lt;wsp:rsid wsp:val=&quot;0001436E&quot;/&gt;&lt;wsp:rsid wsp:val=&quot;00014640&quot;/&gt;&lt;wsp:rsid wsp:val=&quot;000146AB&quot;/&gt;&lt;wsp:rsid wsp:val=&quot;0001483D&quot;/&gt;&lt;wsp:rsid wsp:val=&quot;00014851&quot;/&gt;&lt;wsp:rsid wsp:val=&quot;00014B97&quot;/&gt;&lt;wsp:rsid wsp:val=&quot;00014CA6&quot;/&gt;&lt;wsp:rsid wsp:val=&quot;00015089&quot;/&gt;&lt;wsp:rsid wsp:val=&quot;00015200&quot;/&gt;&lt;wsp:rsid wsp:val=&quot;00015247&quot;/&gt;&lt;wsp:rsid wsp:val=&quot;00015471&quot;/&gt;&lt;wsp:rsid wsp:val=&quot;00015475&quot;/&gt;&lt;wsp:rsid wsp:val=&quot;000156EB&quot;/&gt;&lt;wsp:rsid wsp:val=&quot;00015CFD&quot;/&gt;&lt;wsp:rsid wsp:val=&quot;00015E89&quot;/&gt;&lt;wsp:rsid wsp:val=&quot;000162CA&quot;/&gt;&lt;wsp:rsid wsp:val=&quot;000168D8&quot;/&gt;&lt;wsp:rsid wsp:val=&quot;00016BF0&quot;/&gt;&lt;wsp:rsid wsp:val=&quot;00016DD4&quot;/&gt;&lt;wsp:rsid wsp:val=&quot;00016F5A&quot;/&gt;&lt;wsp:rsid wsp:val=&quot;000171AD&quot;/&gt;&lt;wsp:rsid wsp:val=&quot;0001725E&quot;/&gt;&lt;wsp:rsid wsp:val=&quot;000173C4&quot;/&gt;&lt;wsp:rsid wsp:val=&quot;0001783F&quot;/&gt;&lt;wsp:rsid wsp:val=&quot;00017B5A&quot;/&gt;&lt;wsp:rsid wsp:val=&quot;00017FC8&quot;/&gt;&lt;wsp:rsid wsp:val=&quot;000200B7&quot;/&gt;&lt;wsp:rsid wsp:val=&quot;00020690&quot;/&gt;&lt;wsp:rsid wsp:val=&quot;000207BC&quot;/&gt;&lt;wsp:rsid wsp:val=&quot;00020B70&quot;/&gt;&lt;wsp:rsid wsp:val=&quot;00020CF2&quot;/&gt;&lt;wsp:rsid wsp:val=&quot;00020D15&quot;/&gt;&lt;wsp:rsid wsp:val=&quot;0002146E&quot;/&gt;&lt;wsp:rsid wsp:val=&quot;000216FC&quot;/&gt;&lt;wsp:rsid wsp:val=&quot;00021808&quot;/&gt;&lt;wsp:rsid wsp:val=&quot;00021864&quot;/&gt;&lt;wsp:rsid wsp:val=&quot;000219DD&quot;/&gt;&lt;wsp:rsid wsp:val=&quot;00021A57&quot;/&gt;&lt;wsp:rsid wsp:val=&quot;00021C1B&quot;/&gt;&lt;wsp:rsid wsp:val=&quot;00021C6A&quot;/&gt;&lt;wsp:rsid wsp:val=&quot;0002261A&quot;/&gt;&lt;wsp:rsid wsp:val=&quot;00022689&quot;/&gt;&lt;wsp:rsid wsp:val=&quot;0002275A&quot;/&gt;&lt;wsp:rsid wsp:val=&quot;00022976&quot;/&gt;&lt;wsp:rsid wsp:val=&quot;00022B13&quot;/&gt;&lt;wsp:rsid wsp:val=&quot;00022C89&quot;/&gt;&lt;wsp:rsid wsp:val=&quot;00022ED3&quot;/&gt;&lt;wsp:rsid wsp:val=&quot;0002310D&quot;/&gt;&lt;wsp:rsid wsp:val=&quot;0002325C&quot;/&gt;&lt;wsp:rsid wsp:val=&quot;000233B5&quot;/&gt;&lt;wsp:rsid wsp:val=&quot;000235C8&quot;/&gt;&lt;wsp:rsid wsp:val=&quot;000237E7&quot;/&gt;&lt;wsp:rsid wsp:val=&quot;000238DD&quot;/&gt;&lt;wsp:rsid wsp:val=&quot;00023B4A&quot;/&gt;&lt;wsp:rsid wsp:val=&quot;00023CDA&quot;/&gt;&lt;wsp:rsid wsp:val=&quot;0002413B&quot;/&gt;&lt;wsp:rsid wsp:val=&quot;000244A8&quot;/&gt;&lt;wsp:rsid wsp:val=&quot;0002487C&quot;/&gt;&lt;wsp:rsid wsp:val=&quot;00024D37&quot;/&gt;&lt;wsp:rsid wsp:val=&quot;00024F28&quot;/&gt;&lt;wsp:rsid wsp:val=&quot;000252B6&quot;/&gt;&lt;wsp:rsid wsp:val=&quot;000254CC&quot;/&gt;&lt;wsp:rsid wsp:val=&quot;00025586&quot;/&gt;&lt;wsp:rsid wsp:val=&quot;000260FE&quot;/&gt;&lt;wsp:rsid wsp:val=&quot;00026294&quot;/&gt;&lt;wsp:rsid wsp:val=&quot;00026338&quot;/&gt;&lt;wsp:rsid wsp:val=&quot;000266C8&quot;/&gt;&lt;wsp:rsid wsp:val=&quot;00026ABE&quot;/&gt;&lt;wsp:rsid wsp:val=&quot;00026FF4&quot;/&gt;&lt;wsp:rsid wsp:val=&quot;0002729C&quot;/&gt;&lt;wsp:rsid wsp:val=&quot;000279E6&quot;/&gt;&lt;wsp:rsid wsp:val=&quot;00027B3A&quot;/&gt;&lt;wsp:rsid wsp:val=&quot;00027C41&quot;/&gt;&lt;wsp:rsid wsp:val=&quot;00027F89&quot;/&gt;&lt;wsp:rsid wsp:val=&quot;0003050D&quot;/&gt;&lt;wsp:rsid wsp:val=&quot;00030523&quot;/&gt;&lt;wsp:rsid wsp:val=&quot;00031209&quot;/&gt;&lt;wsp:rsid wsp:val=&quot;00031883&quot;/&gt;&lt;wsp:rsid wsp:val=&quot;00032460&quot;/&gt;&lt;wsp:rsid wsp:val=&quot;0003252F&quot;/&gt;&lt;wsp:rsid wsp:val=&quot;000325E4&quot;/&gt;&lt;wsp:rsid wsp:val=&quot;000329BA&quot;/&gt;&lt;wsp:rsid wsp:val=&quot;00032F20&quot;/&gt;&lt;wsp:rsid wsp:val=&quot;000330C7&quot;/&gt;&lt;wsp:rsid wsp:val=&quot;00033121&quot;/&gt;&lt;wsp:rsid wsp:val=&quot;000332E2&quot;/&gt;&lt;wsp:rsid wsp:val=&quot;00033895&quot;/&gt;&lt;wsp:rsid wsp:val=&quot;00033D2D&quot;/&gt;&lt;wsp:rsid wsp:val=&quot;0003401B&quot;/&gt;&lt;wsp:rsid wsp:val=&quot;000341CE&quot;/&gt;&lt;wsp:rsid wsp:val=&quot;00034258&quot;/&gt;&lt;wsp:rsid wsp:val=&quot;00034677&quot;/&gt;&lt;wsp:rsid wsp:val=&quot;000355D5&quot;/&gt;&lt;wsp:rsid wsp:val=&quot;0003587E&quot;/&gt;&lt;wsp:rsid wsp:val=&quot;000358E5&quot;/&gt;&lt;wsp:rsid wsp:val=&quot;00035FC8&quot;/&gt;&lt;wsp:rsid wsp:val=&quot;00036085&quot;/&gt;&lt;wsp:rsid wsp:val=&quot;0003610F&quot;/&gt;&lt;wsp:rsid wsp:val=&quot;00036574&quot;/&gt;&lt;wsp:rsid wsp:val=&quot;00036A0C&quot;/&gt;&lt;wsp:rsid wsp:val=&quot;0003741C&quot;/&gt;&lt;wsp:rsid wsp:val=&quot;000375A9&quot;/&gt;&lt;wsp:rsid wsp:val=&quot;000375E4&quot;/&gt;&lt;wsp:rsid wsp:val=&quot;00037990&quot;/&gt;&lt;wsp:rsid wsp:val=&quot;000379E2&quot;/&gt;&lt;wsp:rsid wsp:val=&quot;00037A8B&quot;/&gt;&lt;wsp:rsid wsp:val=&quot;00037B44&quot;/&gt;&lt;wsp:rsid wsp:val=&quot;00037D86&quot;/&gt;&lt;wsp:rsid wsp:val=&quot;000401B5&quot;/&gt;&lt;wsp:rsid wsp:val=&quot;00040704&quot;/&gt;&lt;wsp:rsid wsp:val=&quot;00040747&quot;/&gt;&lt;wsp:rsid wsp:val=&quot;00040937&quot;/&gt;&lt;wsp:rsid wsp:val=&quot;00040B84&quot;/&gt;&lt;wsp:rsid wsp:val=&quot;00040C12&quot;/&gt;&lt;wsp:rsid wsp:val=&quot;00040DA1&quot;/&gt;&lt;wsp:rsid wsp:val=&quot;00040F18&quot;/&gt;&lt;wsp:rsid wsp:val=&quot;0004110F&quot;/&gt;&lt;wsp:rsid wsp:val=&quot;000412EB&quot;/&gt;&lt;wsp:rsid wsp:val=&quot;0004138D&quot;/&gt;&lt;wsp:rsid wsp:val=&quot;000413F1&quot;/&gt;&lt;wsp:rsid wsp:val=&quot;000414C0&quot;/&gt;&lt;wsp:rsid wsp:val=&quot;00041E8F&quot;/&gt;&lt;wsp:rsid wsp:val=&quot;00041F06&quot;/&gt;&lt;wsp:rsid wsp:val=&quot;0004255B&quot;/&gt;&lt;wsp:rsid wsp:val=&quot;00042594&quot;/&gt;&lt;wsp:rsid wsp:val=&quot;0004273E&quot;/&gt;&lt;wsp:rsid wsp:val=&quot;00042764&quot;/&gt;&lt;wsp:rsid wsp:val=&quot;00042F4A&quot;/&gt;&lt;wsp:rsid wsp:val=&quot;000430F4&quot;/&gt;&lt;wsp:rsid wsp:val=&quot;00043921&quot;/&gt;&lt;wsp:rsid wsp:val=&quot;00043935&quot;/&gt;&lt;wsp:rsid wsp:val=&quot;00043EB2&quot;/&gt;&lt;wsp:rsid wsp:val=&quot;0004419F&quot;/&gt;&lt;wsp:rsid wsp:val=&quot;00044391&quot;/&gt;&lt;wsp:rsid wsp:val=&quot;0004446E&quot;/&gt;&lt;wsp:rsid wsp:val=&quot;000444B3&quot;/&gt;&lt;wsp:rsid wsp:val=&quot;00044538&quot;/&gt;&lt;wsp:rsid wsp:val=&quot;0004488A&quot;/&gt;&lt;wsp:rsid wsp:val=&quot;000449CE&quot;/&gt;&lt;wsp:rsid wsp:val=&quot;00044A16&quot;/&gt;&lt;wsp:rsid wsp:val=&quot;00044B5C&quot;/&gt;&lt;wsp:rsid wsp:val=&quot;00044D18&quot;/&gt;&lt;wsp:rsid wsp:val=&quot;00044E73&quot;/&gt;&lt;wsp:rsid wsp:val=&quot;00044F28&quot;/&gt;&lt;wsp:rsid wsp:val=&quot;00044FEF&quot;/&gt;&lt;wsp:rsid wsp:val=&quot;00045598&quot;/&gt;&lt;wsp:rsid wsp:val=&quot;00045B35&quot;/&gt;&lt;wsp:rsid wsp:val=&quot;00045E51&quot;/&gt;&lt;wsp:rsid wsp:val=&quot;00046110&quot;/&gt;&lt;wsp:rsid wsp:val=&quot;00046429&quot;/&gt;&lt;wsp:rsid wsp:val=&quot;0004668C&quot;/&gt;&lt;wsp:rsid wsp:val=&quot;000475D4&quot;/&gt;&lt;wsp:rsid wsp:val=&quot;00047C17&quot;/&gt;&lt;wsp:rsid wsp:val=&quot;00047C27&quot;/&gt;&lt;wsp:rsid wsp:val=&quot;00047C59&quot;/&gt;&lt;wsp:rsid wsp:val=&quot;00047F34&quot;/&gt;&lt;wsp:rsid wsp:val=&quot;000504F0&quot;/&gt;&lt;wsp:rsid wsp:val=&quot;00050664&quot;/&gt;&lt;wsp:rsid wsp:val=&quot;00050880&quot;/&gt;&lt;wsp:rsid wsp:val=&quot;00050993&quot;/&gt;&lt;wsp:rsid wsp:val=&quot;00050FD6&quot;/&gt;&lt;wsp:rsid wsp:val=&quot;00051206&quot;/&gt;&lt;wsp:rsid wsp:val=&quot;000515A2&quot;/&gt;&lt;wsp:rsid wsp:val=&quot;00051F54&quot;/&gt;&lt;wsp:rsid wsp:val=&quot;000520A1&quot;/&gt;&lt;wsp:rsid wsp:val=&quot;000525EB&quot;/&gt;&lt;wsp:rsid wsp:val=&quot;0005266E&quot;/&gt;&lt;wsp:rsid wsp:val=&quot;000527E0&quot;/&gt;&lt;wsp:rsid wsp:val=&quot;00052923&quot;/&gt;&lt;wsp:rsid wsp:val=&quot;00052D26&quot;/&gt;&lt;wsp:rsid wsp:val=&quot;00052E31&quot;/&gt;&lt;wsp:rsid wsp:val=&quot;000535A5&quot;/&gt;&lt;wsp:rsid wsp:val=&quot;000536A3&quot;/&gt;&lt;wsp:rsid wsp:val=&quot;00053D10&quot;/&gt;&lt;wsp:rsid wsp:val=&quot;00053F2B&quot;/&gt;&lt;wsp:rsid wsp:val=&quot;00053F37&quot;/&gt;&lt;wsp:rsid wsp:val=&quot;000546C9&quot;/&gt;&lt;wsp:rsid wsp:val=&quot;000547F3&quot;/&gt;&lt;wsp:rsid wsp:val=&quot;000548C7&quot;/&gt;&lt;wsp:rsid wsp:val=&quot;00054E12&quot;/&gt;&lt;wsp:rsid wsp:val=&quot;00054E32&quot;/&gt;&lt;wsp:rsid wsp:val=&quot;000551DD&quot;/&gt;&lt;wsp:rsid wsp:val=&quot;0005551E&quot;/&gt;&lt;wsp:rsid wsp:val=&quot;00055725&quot;/&gt;&lt;wsp:rsid wsp:val=&quot;0005582F&quot;/&gt;&lt;wsp:rsid wsp:val=&quot;000558B6&quot;/&gt;&lt;wsp:rsid wsp:val=&quot;00055A9A&quot;/&gt;&lt;wsp:rsid wsp:val=&quot;00055D45&quot;/&gt;&lt;wsp:rsid wsp:val=&quot;00055E28&quot;/&gt;&lt;wsp:rsid wsp:val=&quot;000563E2&quot;/&gt;&lt;wsp:rsid wsp:val=&quot;0005646A&quot;/&gt;&lt;wsp:rsid wsp:val=&quot;00056820&quot;/&gt;&lt;wsp:rsid wsp:val=&quot;00056C8F&quot;/&gt;&lt;wsp:rsid wsp:val=&quot;000570B4&quot;/&gt;&lt;wsp:rsid wsp:val=&quot;00057287&quot;/&gt;&lt;wsp:rsid wsp:val=&quot;00057450&quot;/&gt;&lt;wsp:rsid wsp:val=&quot;00057FD1&quot;/&gt;&lt;wsp:rsid wsp:val=&quot;000605C6&quot;/&gt;&lt;wsp:rsid wsp:val=&quot;0006094F&quot;/&gt;&lt;wsp:rsid wsp:val=&quot;00060D9A&quot;/&gt;&lt;wsp:rsid wsp:val=&quot;0006114D&quot;/&gt;&lt;wsp:rsid wsp:val=&quot;00061342&quot;/&gt;&lt;wsp:rsid wsp:val=&quot;000616FB&quot;/&gt;&lt;wsp:rsid wsp:val=&quot;00061D4B&quot;/&gt;&lt;wsp:rsid wsp:val=&quot;0006251F&quot;/&gt;&lt;wsp:rsid wsp:val=&quot;00062BCA&quot;/&gt;&lt;wsp:rsid wsp:val=&quot;00063845&quot;/&gt;&lt;wsp:rsid wsp:val=&quot;00063E7D&quot;/&gt;&lt;wsp:rsid wsp:val=&quot;00063F8C&quot;/&gt;&lt;wsp:rsid wsp:val=&quot;00064336&quot;/&gt;&lt;wsp:rsid wsp:val=&quot;000643A2&quot;/&gt;&lt;wsp:rsid wsp:val=&quot;00064B66&quot;/&gt;&lt;wsp:rsid wsp:val=&quot;00064F9D&quot;/&gt;&lt;wsp:rsid wsp:val=&quot;0006561A&quot;/&gt;&lt;wsp:rsid wsp:val=&quot;000659B9&quot;/&gt;&lt;wsp:rsid wsp:val=&quot;00065B48&quot;/&gt;&lt;wsp:rsid wsp:val=&quot;00065F03&quot;/&gt;&lt;wsp:rsid wsp:val=&quot;00066175&quot;/&gt;&lt;wsp:rsid wsp:val=&quot;000661F0&quot;/&gt;&lt;wsp:rsid wsp:val=&quot;00066384&quot;/&gt;&lt;wsp:rsid wsp:val=&quot;00066556&quot;/&gt;&lt;wsp:rsid wsp:val=&quot;00066C9F&quot;/&gt;&lt;wsp:rsid wsp:val=&quot;00066D83&quot;/&gt;&lt;wsp:rsid wsp:val=&quot;00067045&quot;/&gt;&lt;wsp:rsid wsp:val=&quot;00067A40&quot;/&gt;&lt;wsp:rsid wsp:val=&quot;00067AA3&quot;/&gt;&lt;wsp:rsid wsp:val=&quot;00067AB9&quot;/&gt;&lt;wsp:rsid wsp:val=&quot;00070000&quot;/&gt;&lt;wsp:rsid wsp:val=&quot;00070067&quot;/&gt;&lt;wsp:rsid wsp:val=&quot;0007015F&quot;/&gt;&lt;wsp:rsid wsp:val=&quot;000702C2&quot;/&gt;&lt;wsp:rsid wsp:val=&quot;000702C6&quot;/&gt;&lt;wsp:rsid wsp:val=&quot;00070A24&quot;/&gt;&lt;wsp:rsid wsp:val=&quot;00071628&quot;/&gt;&lt;wsp:rsid wsp:val=&quot;0007185F&quot;/&gt;&lt;wsp:rsid wsp:val=&quot;00072553&quot;/&gt;&lt;wsp:rsid wsp:val=&quot;00072E07&quot;/&gt;&lt;wsp:rsid wsp:val=&quot;00073729&quot;/&gt;&lt;wsp:rsid wsp:val=&quot;000739F2&quot;/&gt;&lt;wsp:rsid wsp:val=&quot;00073E02&quot;/&gt;&lt;wsp:rsid wsp:val=&quot;00074052&quot;/&gt;&lt;wsp:rsid wsp:val=&quot;00074807&quot;/&gt;&lt;wsp:rsid wsp:val=&quot;00075396&quot;/&gt;&lt;wsp:rsid wsp:val=&quot;00075542&quot;/&gt;&lt;wsp:rsid wsp:val=&quot;00075821&quot;/&gt;&lt;wsp:rsid wsp:val=&quot;00075BDC&quot;/&gt;&lt;wsp:rsid wsp:val=&quot;00075C12&quot;/&gt;&lt;wsp:rsid wsp:val=&quot;00076244&quot;/&gt;&lt;wsp:rsid wsp:val=&quot;0007658B&quot;/&gt;&lt;wsp:rsid wsp:val=&quot;000765A5&quot;/&gt;&lt;wsp:rsid wsp:val=&quot;000766B1&quot;/&gt;&lt;wsp:rsid wsp:val=&quot;00076AEC&quot;/&gt;&lt;wsp:rsid wsp:val=&quot;00076B85&quot;/&gt;&lt;wsp:rsid wsp:val=&quot;00077223&quot;/&gt;&lt;wsp:rsid wsp:val=&quot;000775BC&quot;/&gt;&lt;wsp:rsid wsp:val=&quot;00077735&quot;/&gt;&lt;wsp:rsid wsp:val=&quot;00077964&quot;/&gt;&lt;wsp:rsid wsp:val=&quot;00077AC7&quot;/&gt;&lt;wsp:rsid wsp:val=&quot;00080093&quot;/&gt;&lt;wsp:rsid wsp:val=&quot;00080B60&quot;/&gt;&lt;wsp:rsid wsp:val=&quot;00080D86&quot;/&gt;&lt;wsp:rsid wsp:val=&quot;0008123C&quot;/&gt;&lt;wsp:rsid wsp:val=&quot;000815B0&quot;/&gt;&lt;wsp:rsid wsp:val=&quot;000822F8&quot;/&gt;&lt;wsp:rsid wsp:val=&quot;0008289C&quot;/&gt;&lt;wsp:rsid wsp:val=&quot;00082ACC&quot;/&gt;&lt;wsp:rsid wsp:val=&quot;00082EC5&quot;/&gt;&lt;wsp:rsid wsp:val=&quot;00083307&quot;/&gt;&lt;wsp:rsid wsp:val=&quot;0008338D&quot;/&gt;&lt;wsp:rsid wsp:val=&quot;00083405&quot;/&gt;&lt;wsp:rsid wsp:val=&quot;00083653&quot;/&gt;&lt;wsp:rsid wsp:val=&quot;00083ADB&quot;/&gt;&lt;wsp:rsid wsp:val=&quot;00083BC4&quot;/&gt;&lt;wsp:rsid wsp:val=&quot;00083C79&quot;/&gt;&lt;wsp:rsid wsp:val=&quot;000845BC&quot;/&gt;&lt;wsp:rsid wsp:val=&quot;00084681&quot;/&gt;&lt;wsp:rsid wsp:val=&quot;000849E2&quot;/&gt;&lt;wsp:rsid wsp:val=&quot;00085033&quot;/&gt;&lt;wsp:rsid wsp:val=&quot;0008530A&quot;/&gt;&lt;wsp:rsid wsp:val=&quot;00085A95&quot;/&gt;&lt;wsp:rsid wsp:val=&quot;00085CFD&quot;/&gt;&lt;wsp:rsid wsp:val=&quot;0008620C&quot;/&gt;&lt;wsp:rsid wsp:val=&quot;00086329&quot;/&gt;&lt;wsp:rsid wsp:val=&quot;0008638E&quot;/&gt;&lt;wsp:rsid wsp:val=&quot;00086444&quot;/&gt;&lt;wsp:rsid wsp:val=&quot;00086BB9&quot;/&gt;&lt;wsp:rsid wsp:val=&quot;00087727&quot;/&gt;&lt;wsp:rsid wsp:val=&quot;000877E2&quot;/&gt;&lt;wsp:rsid wsp:val=&quot;00087AC4&quot;/&gt;&lt;wsp:rsid wsp:val=&quot;00087E23&quot;/&gt;&lt;wsp:rsid wsp:val=&quot;0009014C&quot;/&gt;&lt;wsp:rsid wsp:val=&quot;0009092E&quot;/&gt;&lt;wsp:rsid wsp:val=&quot;00090D88&quot;/&gt;&lt;wsp:rsid wsp:val=&quot;00091590&quot;/&gt;&lt;wsp:rsid wsp:val=&quot;0009167E&quot;/&gt;&lt;wsp:rsid wsp:val=&quot;00091B44&quot;/&gt;&lt;wsp:rsid wsp:val=&quot;00091DDD&quot;/&gt;&lt;wsp:rsid wsp:val=&quot;00092244&quot;/&gt;&lt;wsp:rsid wsp:val=&quot;000922A0&quot;/&gt;&lt;wsp:rsid wsp:val=&quot;0009250A&quot;/&gt;&lt;wsp:rsid wsp:val=&quot;00092832&quot;/&gt;&lt;wsp:rsid wsp:val=&quot;00092880&quot;/&gt;&lt;wsp:rsid wsp:val=&quot;000928B8&quot;/&gt;&lt;wsp:rsid wsp:val=&quot;00092BDB&quot;/&gt;&lt;wsp:rsid wsp:val=&quot;00092D38&quot;/&gt;&lt;wsp:rsid wsp:val=&quot;00092DF8&quot;/&gt;&lt;wsp:rsid wsp:val=&quot;00093306&quot;/&gt;&lt;wsp:rsid wsp:val=&quot;00093658&quot;/&gt;&lt;wsp:rsid wsp:val=&quot;000936D3&quot;/&gt;&lt;wsp:rsid wsp:val=&quot;00093D53&quot;/&gt;&lt;wsp:rsid wsp:val=&quot;00093FD6&quot;/&gt;&lt;wsp:rsid wsp:val=&quot;000943A3&quot;/&gt;&lt;wsp:rsid wsp:val=&quot;0009494C&quot;/&gt;&lt;wsp:rsid wsp:val=&quot;00094EE1&quot;/&gt;&lt;wsp:rsid wsp:val=&quot;00095196&quot;/&gt;&lt;wsp:rsid wsp:val=&quot;00095C3B&quot;/&gt;&lt;wsp:rsid wsp:val=&quot;00096485&quot;/&gt;&lt;wsp:rsid wsp:val=&quot;000964BF&quot;/&gt;&lt;wsp:rsid wsp:val=&quot;00096807&quot;/&gt;&lt;wsp:rsid wsp:val=&quot;00096843&quot;/&gt;&lt;wsp:rsid wsp:val=&quot;000968B5&quot;/&gt;&lt;wsp:rsid wsp:val=&quot;00096B2F&quot;/&gt;&lt;wsp:rsid wsp:val=&quot;00096F78&quot;/&gt;&lt;wsp:rsid wsp:val=&quot;00097521&quot;/&gt;&lt;wsp:rsid wsp:val=&quot;000978B1&quot;/&gt;&lt;wsp:rsid wsp:val=&quot;000A002B&quot;/&gt;&lt;wsp:rsid wsp:val=&quot;000A0434&quot;/&gt;&lt;wsp:rsid wsp:val=&quot;000A04F0&quot;/&gt;&lt;wsp:rsid wsp:val=&quot;000A08A6&quot;/&gt;&lt;wsp:rsid wsp:val=&quot;000A0932&quot;/&gt;&lt;wsp:rsid wsp:val=&quot;000A0A93&quot;/&gt;&lt;wsp:rsid wsp:val=&quot;000A0BB0&quot;/&gt;&lt;wsp:rsid wsp:val=&quot;000A0DA2&quot;/&gt;&lt;wsp:rsid wsp:val=&quot;000A16CC&quot;/&gt;&lt;wsp:rsid wsp:val=&quot;000A1A46&quot;/&gt;&lt;wsp:rsid wsp:val=&quot;000A1B18&quot;/&gt;&lt;wsp:rsid wsp:val=&quot;000A1C8A&quot;/&gt;&lt;wsp:rsid wsp:val=&quot;000A379F&quot;/&gt;&lt;wsp:rsid wsp:val=&quot;000A38E0&quot;/&gt;&lt;wsp:rsid wsp:val=&quot;000A39DE&quot;/&gt;&lt;wsp:rsid wsp:val=&quot;000A3C68&quot;/&gt;&lt;wsp:rsid wsp:val=&quot;000A3F95&quot;/&gt;&lt;wsp:rsid wsp:val=&quot;000A4373&quot;/&gt;&lt;wsp:rsid wsp:val=&quot;000A4670&quot;/&gt;&lt;wsp:rsid wsp:val=&quot;000A477D&quot;/&gt;&lt;wsp:rsid wsp:val=&quot;000A47CF&quot;/&gt;&lt;wsp:rsid wsp:val=&quot;000A4C05&quot;/&gt;&lt;wsp:rsid wsp:val=&quot;000A4D03&quot;/&gt;&lt;wsp:rsid wsp:val=&quot;000A4FB4&quot;/&gt;&lt;wsp:rsid wsp:val=&quot;000A4FF6&quot;/&gt;&lt;wsp:rsid wsp:val=&quot;000A512E&quot;/&gt;&lt;wsp:rsid wsp:val=&quot;000A525A&quot;/&gt;&lt;wsp:rsid wsp:val=&quot;000A52FF&quot;/&gt;&lt;wsp:rsid wsp:val=&quot;000A57A2&quot;/&gt;&lt;wsp:rsid wsp:val=&quot;000A5EA9&quot;/&gt;&lt;wsp:rsid wsp:val=&quot;000A611E&quot;/&gt;&lt;wsp:rsid wsp:val=&quot;000A6372&quot;/&gt;&lt;wsp:rsid wsp:val=&quot;000A68B1&quot;/&gt;&lt;wsp:rsid wsp:val=&quot;000A6AAC&quot;/&gt;&lt;wsp:rsid wsp:val=&quot;000A6BF9&quot;/&gt;&lt;wsp:rsid wsp:val=&quot;000A6E06&quot;/&gt;&lt;wsp:rsid wsp:val=&quot;000A718C&quot;/&gt;&lt;wsp:rsid wsp:val=&quot;000A741A&quot;/&gt;&lt;wsp:rsid wsp:val=&quot;000A7430&quot;/&gt;&lt;wsp:rsid wsp:val=&quot;000A7482&quot;/&gt;&lt;wsp:rsid wsp:val=&quot;000A7895&quot;/&gt;&lt;wsp:rsid wsp:val=&quot;000A7BD7&quot;/&gt;&lt;wsp:rsid wsp:val=&quot;000A7D80&quot;/&gt;&lt;wsp:rsid wsp:val=&quot;000B1142&quot;/&gt;&lt;wsp:rsid wsp:val=&quot;000B1322&quot;/&gt;&lt;wsp:rsid wsp:val=&quot;000B149A&quot;/&gt;&lt;wsp:rsid wsp:val=&quot;000B14DF&quot;/&gt;&lt;wsp:rsid wsp:val=&quot;000B167D&quot;/&gt;&lt;wsp:rsid wsp:val=&quot;000B1B67&quot;/&gt;&lt;wsp:rsid wsp:val=&quot;000B1E31&quot;/&gt;&lt;wsp:rsid wsp:val=&quot;000B221A&quot;/&gt;&lt;wsp:rsid wsp:val=&quot;000B251B&quot;/&gt;&lt;wsp:rsid wsp:val=&quot;000B25C3&quot;/&gt;&lt;wsp:rsid wsp:val=&quot;000B27FD&quot;/&gt;&lt;wsp:rsid wsp:val=&quot;000B286C&quot;/&gt;&lt;wsp:rsid wsp:val=&quot;000B2B47&quot;/&gt;&lt;wsp:rsid wsp:val=&quot;000B2B6B&quot;/&gt;&lt;wsp:rsid wsp:val=&quot;000B2C1A&quot;/&gt;&lt;wsp:rsid wsp:val=&quot;000B2EB4&quot;/&gt;&lt;wsp:rsid wsp:val=&quot;000B3481&quot;/&gt;&lt;wsp:rsid wsp:val=&quot;000B3B79&quot;/&gt;&lt;wsp:rsid wsp:val=&quot;000B4097&quot;/&gt;&lt;wsp:rsid wsp:val=&quot;000B40D5&quot;/&gt;&lt;wsp:rsid wsp:val=&quot;000B439E&quot;/&gt;&lt;wsp:rsid wsp:val=&quot;000B4880&quot;/&gt;&lt;wsp:rsid wsp:val=&quot;000B4C48&quot;/&gt;&lt;wsp:rsid wsp:val=&quot;000B51E8&quot;/&gt;&lt;wsp:rsid wsp:val=&quot;000B5B75&quot;/&gt;&lt;wsp:rsid wsp:val=&quot;000B5B94&quot;/&gt;&lt;wsp:rsid wsp:val=&quot;000B5C9E&quot;/&gt;&lt;wsp:rsid wsp:val=&quot;000B641C&quot;/&gt;&lt;wsp:rsid wsp:val=&quot;000B6424&quot;/&gt;&lt;wsp:rsid wsp:val=&quot;000B6501&quot;/&gt;&lt;wsp:rsid wsp:val=&quot;000B6618&quot;/&gt;&lt;wsp:rsid wsp:val=&quot;000B693A&quot;/&gt;&lt;wsp:rsid wsp:val=&quot;000B69BA&quot;/&gt;&lt;wsp:rsid wsp:val=&quot;000B6EF4&quot;/&gt;&lt;wsp:rsid wsp:val=&quot;000B6F17&quot;/&gt;&lt;wsp:rsid wsp:val=&quot;000B6F8A&quot;/&gt;&lt;wsp:rsid wsp:val=&quot;000B7311&quot;/&gt;&lt;wsp:rsid wsp:val=&quot;000B7768&quot;/&gt;&lt;wsp:rsid wsp:val=&quot;000B79A3&quot;/&gt;&lt;wsp:rsid wsp:val=&quot;000C060E&quot;/&gt;&lt;wsp:rsid wsp:val=&quot;000C0854&quot;/&gt;&lt;wsp:rsid wsp:val=&quot;000C0E5A&quot;/&gt;&lt;wsp:rsid wsp:val=&quot;000C0F02&quot;/&gt;&lt;wsp:rsid wsp:val=&quot;000C134A&quot;/&gt;&lt;wsp:rsid wsp:val=&quot;000C1706&quot;/&gt;&lt;wsp:rsid wsp:val=&quot;000C1C1D&quot;/&gt;&lt;wsp:rsid wsp:val=&quot;000C1CF9&quot;/&gt;&lt;wsp:rsid wsp:val=&quot;000C1E63&quot;/&gt;&lt;wsp:rsid wsp:val=&quot;000C1FAA&quot;/&gt;&lt;wsp:rsid wsp:val=&quot;000C2A69&quot;/&gt;&lt;wsp:rsid wsp:val=&quot;000C313A&quot;/&gt;&lt;wsp:rsid wsp:val=&quot;000C313D&quot;/&gt;&lt;wsp:rsid wsp:val=&quot;000C324D&quot;/&gt;&lt;wsp:rsid wsp:val=&quot;000C3271&quot;/&gt;&lt;wsp:rsid wsp:val=&quot;000C34E4&quot;/&gt;&lt;wsp:rsid wsp:val=&quot;000C3563&quot;/&gt;&lt;wsp:rsid wsp:val=&quot;000C36F0&quot;/&gt;&lt;wsp:rsid wsp:val=&quot;000C3850&quot;/&gt;&lt;wsp:rsid wsp:val=&quot;000C3B1C&quot;/&gt;&lt;wsp:rsid wsp:val=&quot;000C3D26&quot;/&gt;&lt;wsp:rsid wsp:val=&quot;000C3E41&quot;/&gt;&lt;wsp:rsid wsp:val=&quot;000C40E5&quot;/&gt;&lt;wsp:rsid wsp:val=&quot;000C458C&quot;/&gt;&lt;wsp:rsid wsp:val=&quot;000C4D5D&quot;/&gt;&lt;wsp:rsid wsp:val=&quot;000C55A4&quot;/&gt;&lt;wsp:rsid wsp:val=&quot;000C5DF7&quot;/&gt;&lt;wsp:rsid wsp:val=&quot;000C6617&quot;/&gt;&lt;wsp:rsid wsp:val=&quot;000C68A4&quot;/&gt;&lt;wsp:rsid wsp:val=&quot;000C695C&quot;/&gt;&lt;wsp:rsid wsp:val=&quot;000C7051&quot;/&gt;&lt;wsp:rsid wsp:val=&quot;000C75BD&quot;/&gt;&lt;wsp:rsid wsp:val=&quot;000C771E&quot;/&gt;&lt;wsp:rsid wsp:val=&quot;000C7AF7&quot;/&gt;&lt;wsp:rsid wsp:val=&quot;000C7FDE&quot;/&gt;&lt;wsp:rsid wsp:val=&quot;000D024B&quot;/&gt;&lt;wsp:rsid wsp:val=&quot;000D03D3&quot;/&gt;&lt;wsp:rsid wsp:val=&quot;000D04D2&quot;/&gt;&lt;wsp:rsid wsp:val=&quot;000D05CB&quot;/&gt;&lt;wsp:rsid wsp:val=&quot;000D06AA&quot;/&gt;&lt;wsp:rsid wsp:val=&quot;000D0A5E&quot;/&gt;&lt;wsp:rsid wsp:val=&quot;000D0E34&quot;/&gt;&lt;wsp:rsid wsp:val=&quot;000D123D&quot;/&gt;&lt;wsp:rsid wsp:val=&quot;000D12B2&quot;/&gt;&lt;wsp:rsid wsp:val=&quot;000D1489&quot;/&gt;&lt;wsp:rsid wsp:val=&quot;000D1698&quot;/&gt;&lt;wsp:rsid wsp:val=&quot;000D1A50&quot;/&gt;&lt;wsp:rsid wsp:val=&quot;000D1C03&quot;/&gt;&lt;wsp:rsid wsp:val=&quot;000D1D53&quot;/&gt;&lt;wsp:rsid wsp:val=&quot;000D232C&quot;/&gt;&lt;wsp:rsid wsp:val=&quot;000D285E&quot;/&gt;&lt;wsp:rsid wsp:val=&quot;000D28F0&quot;/&gt;&lt;wsp:rsid wsp:val=&quot;000D296A&quot;/&gt;&lt;wsp:rsid wsp:val=&quot;000D2992&quot;/&gt;&lt;wsp:rsid wsp:val=&quot;000D2C72&quot;/&gt;&lt;wsp:rsid wsp:val=&quot;000D31FD&quot;/&gt;&lt;wsp:rsid wsp:val=&quot;000D3378&quot;/&gt;&lt;wsp:rsid wsp:val=&quot;000D35B2&quot;/&gt;&lt;wsp:rsid wsp:val=&quot;000D3671&quot;/&gt;&lt;wsp:rsid wsp:val=&quot;000D409D&quot;/&gt;&lt;wsp:rsid wsp:val=&quot;000D4513&quot;/&gt;&lt;wsp:rsid wsp:val=&quot;000D4CD0&quot;/&gt;&lt;wsp:rsid wsp:val=&quot;000D4D1D&quot;/&gt;&lt;wsp:rsid wsp:val=&quot;000D4DC6&quot;/&gt;&lt;wsp:rsid wsp:val=&quot;000D4F86&quot;/&gt;&lt;wsp:rsid wsp:val=&quot;000D50D1&quot;/&gt;&lt;wsp:rsid wsp:val=&quot;000D54E7&quot;/&gt;&lt;wsp:rsid wsp:val=&quot;000D5542&quot;/&gt;&lt;wsp:rsid wsp:val=&quot;000D569C&quot;/&gt;&lt;wsp:rsid wsp:val=&quot;000D57B5&quot;/&gt;&lt;wsp:rsid wsp:val=&quot;000D580C&quot;/&gt;&lt;wsp:rsid wsp:val=&quot;000D5848&quot;/&gt;&lt;wsp:rsid wsp:val=&quot;000D59E3&quot;/&gt;&lt;wsp:rsid wsp:val=&quot;000D5ACC&quot;/&gt;&lt;wsp:rsid wsp:val=&quot;000D5E6D&quot;/&gt;&lt;wsp:rsid wsp:val=&quot;000D5ED1&quot;/&gt;&lt;wsp:rsid wsp:val=&quot;000D6903&quot;/&gt;&lt;wsp:rsid wsp:val=&quot;000D6F84&quot;/&gt;&lt;wsp:rsid wsp:val=&quot;000D6FE1&quot;/&gt;&lt;wsp:rsid wsp:val=&quot;000D708D&quot;/&gt;&lt;wsp:rsid wsp:val=&quot;000D753B&quot;/&gt;&lt;wsp:rsid wsp:val=&quot;000D7FBD&quot;/&gt;&lt;wsp:rsid wsp:val=&quot;000E00E8&quot;/&gt;&lt;wsp:rsid wsp:val=&quot;000E013F&quot;/&gt;&lt;wsp:rsid wsp:val=&quot;000E08A7&quot;/&gt;&lt;wsp:rsid wsp:val=&quot;000E0D19&quot;/&gt;&lt;wsp:rsid wsp:val=&quot;000E1064&quot;/&gt;&lt;wsp:rsid wsp:val=&quot;000E1137&quot;/&gt;&lt;wsp:rsid wsp:val=&quot;000E1324&quot;/&gt;&lt;wsp:rsid wsp:val=&quot;000E147C&quot;/&gt;&lt;wsp:rsid wsp:val=&quot;000E16EE&quot;/&gt;&lt;wsp:rsid wsp:val=&quot;000E1736&quot;/&gt;&lt;wsp:rsid wsp:val=&quot;000E1B5F&quot;/&gt;&lt;wsp:rsid wsp:val=&quot;000E20CF&quot;/&gt;&lt;wsp:rsid wsp:val=&quot;000E2277&quot;/&gt;&lt;wsp:rsid wsp:val=&quot;000E22A7&quot;/&gt;&lt;wsp:rsid wsp:val=&quot;000E22ED&quot;/&gt;&lt;wsp:rsid wsp:val=&quot;000E25F1&quot;/&gt;&lt;wsp:rsid wsp:val=&quot;000E2A13&quot;/&gt;&lt;wsp:rsid wsp:val=&quot;000E32F7&quot;/&gt;&lt;wsp:rsid wsp:val=&quot;000E381E&quot;/&gt;&lt;wsp:rsid wsp:val=&quot;000E3AEB&quot;/&gt;&lt;wsp:rsid wsp:val=&quot;000E4019&quot;/&gt;&lt;wsp:rsid wsp:val=&quot;000E4421&quot;/&gt;&lt;wsp:rsid wsp:val=&quot;000E4906&quot;/&gt;&lt;wsp:rsid wsp:val=&quot;000E4CA2&quot;/&gt;&lt;wsp:rsid wsp:val=&quot;000E4F6D&quot;/&gt;&lt;wsp:rsid wsp:val=&quot;000E5496&quot;/&gt;&lt;wsp:rsid wsp:val=&quot;000E56AD&quot;/&gt;&lt;wsp:rsid wsp:val=&quot;000E56C5&quot;/&gt;&lt;wsp:rsid wsp:val=&quot;000E5B04&quot;/&gt;&lt;wsp:rsid wsp:val=&quot;000E64B9&quot;/&gt;&lt;wsp:rsid wsp:val=&quot;000E6562&quot;/&gt;&lt;wsp:rsid wsp:val=&quot;000E6586&quot;/&gt;&lt;wsp:rsid wsp:val=&quot;000E72CA&quot;/&gt;&lt;wsp:rsid wsp:val=&quot;000E7460&quot;/&gt;&lt;wsp:rsid wsp:val=&quot;000E785F&quot;/&gt;&lt;wsp:rsid wsp:val=&quot;000F0095&quot;/&gt;&lt;wsp:rsid wsp:val=&quot;000F0866&quot;/&gt;&lt;wsp:rsid wsp:val=&quot;000F08DE&quot;/&gt;&lt;wsp:rsid wsp:val=&quot;000F0AEA&quot;/&gt;&lt;wsp:rsid wsp:val=&quot;000F0B14&quot;/&gt;&lt;wsp:rsid wsp:val=&quot;000F0D9D&quot;/&gt;&lt;wsp:rsid wsp:val=&quot;000F1187&quot;/&gt;&lt;wsp:rsid wsp:val=&quot;000F13C2&quot;/&gt;&lt;wsp:rsid wsp:val=&quot;000F15F2&quot;/&gt;&lt;wsp:rsid wsp:val=&quot;000F1830&quot;/&gt;&lt;wsp:rsid wsp:val=&quot;000F2759&quot;/&gt;&lt;wsp:rsid wsp:val=&quot;000F317F&quot;/&gt;&lt;wsp:rsid wsp:val=&quot;000F337B&quot;/&gt;&lt;wsp:rsid wsp:val=&quot;000F3CC7&quot;/&gt;&lt;wsp:rsid wsp:val=&quot;000F403D&quot;/&gt;&lt;wsp:rsid wsp:val=&quot;000F4287&quot;/&gt;&lt;wsp:rsid wsp:val=&quot;000F4389&quot;/&gt;&lt;wsp:rsid wsp:val=&quot;000F484B&quot;/&gt;&lt;wsp:rsid wsp:val=&quot;000F4FAE&quot;/&gt;&lt;wsp:rsid wsp:val=&quot;000F5591&quot;/&gt;&lt;wsp:rsid wsp:val=&quot;000F57E4&quot;/&gt;&lt;wsp:rsid wsp:val=&quot;000F5C16&quot;/&gt;&lt;wsp:rsid wsp:val=&quot;000F60E6&quot;/&gt;&lt;wsp:rsid wsp:val=&quot;000F6F5B&quot;/&gt;&lt;wsp:rsid wsp:val=&quot;000F743B&quot;/&gt;&lt;wsp:rsid wsp:val=&quot;000F79ED&quot;/&gt;&lt;wsp:rsid wsp:val=&quot;000F7E8F&quot;/&gt;&lt;wsp:rsid wsp:val=&quot;00100565&quot;/&gt;&lt;wsp:rsid wsp:val=&quot;0010079F&quot;/&gt;&lt;wsp:rsid wsp:val=&quot;001007F6&quot;/&gt;&lt;wsp:rsid wsp:val=&quot;0010085A&quot;/&gt;&lt;wsp:rsid wsp:val=&quot;00100B18&quot;/&gt;&lt;wsp:rsid wsp:val=&quot;00100C0C&quot;/&gt;&lt;wsp:rsid wsp:val=&quot;00100FA1&quot;/&gt;&lt;wsp:rsid wsp:val=&quot;00100FA5&quot;/&gt;&lt;wsp:rsid wsp:val=&quot;0010136D&quot;/&gt;&lt;wsp:rsid wsp:val=&quot;001013C0&quot;/&gt;&lt;wsp:rsid wsp:val=&quot;0010153E&quot;/&gt;&lt;wsp:rsid wsp:val=&quot;001017D1&quot;/&gt;&lt;wsp:rsid wsp:val=&quot;00101889&quot;/&gt;&lt;wsp:rsid wsp:val=&quot;00101BF0&quot;/&gt;&lt;wsp:rsid wsp:val=&quot;00102343&quot;/&gt;&lt;wsp:rsid wsp:val=&quot;00102433&quot;/&gt;&lt;wsp:rsid wsp:val=&quot;00102564&quot;/&gt;&lt;wsp:rsid wsp:val=&quot;001028FB&quot;/&gt;&lt;wsp:rsid wsp:val=&quot;0010291C&quot;/&gt;&lt;wsp:rsid wsp:val=&quot;00102B88&quot;/&gt;&lt;wsp:rsid wsp:val=&quot;00102C99&quot;/&gt;&lt;wsp:rsid wsp:val=&quot;00103887&quot;/&gt;&lt;wsp:rsid wsp:val=&quot;00103962&quot;/&gt;&lt;wsp:rsid wsp:val=&quot;00103D38&quot;/&gt;&lt;wsp:rsid wsp:val=&quot;00104722&quot;/&gt;&lt;wsp:rsid wsp:val=&quot;00104A66&quot;/&gt;&lt;wsp:rsid wsp:val=&quot;00104A96&quot;/&gt;&lt;wsp:rsid wsp:val=&quot;00104DF2&quot;/&gt;&lt;wsp:rsid wsp:val=&quot;00104E38&quot;/&gt;&lt;wsp:rsid wsp:val=&quot;00104E39&quot;/&gt;&lt;wsp:rsid wsp:val=&quot;001053AC&quot;/&gt;&lt;wsp:rsid wsp:val=&quot;001055E1&quot;/&gt;&lt;wsp:rsid wsp:val=&quot;001057A1&quot;/&gt;&lt;wsp:rsid wsp:val=&quot;00105C11&quot;/&gt;&lt;wsp:rsid wsp:val=&quot;00105CA0&quot;/&gt;&lt;wsp:rsid wsp:val=&quot;0010630B&quot;/&gt;&lt;wsp:rsid wsp:val=&quot;0010653D&quot;/&gt;&lt;wsp:rsid wsp:val=&quot;0010728C&quot;/&gt;&lt;wsp:rsid wsp:val=&quot;00107807&quot;/&gt;&lt;wsp:rsid wsp:val=&quot;0010780B&quot;/&gt;&lt;wsp:rsid wsp:val=&quot;0010794E&quot;/&gt;&lt;wsp:rsid wsp:val=&quot;00107B11&quot;/&gt;&lt;wsp:rsid wsp:val=&quot;00107B79&quot;/&gt;&lt;wsp:rsid wsp:val=&quot;00107D7C&quot;/&gt;&lt;wsp:rsid wsp:val=&quot;00107DE6&quot;/&gt;&lt;wsp:rsid wsp:val=&quot;00110460&quot;/&gt;&lt;wsp:rsid wsp:val=&quot;00110AD1&quot;/&gt;&lt;wsp:rsid wsp:val=&quot;00110B44&quot;/&gt;&lt;wsp:rsid wsp:val=&quot;00110C30&quot;/&gt;&lt;wsp:rsid wsp:val=&quot;00110DE8&quot;/&gt;&lt;wsp:rsid wsp:val=&quot;00111278&quot;/&gt;&lt;wsp:rsid wsp:val=&quot;00111481&quot;/&gt;&lt;wsp:rsid wsp:val=&quot;00111703&quot;/&gt;&lt;wsp:rsid wsp:val=&quot;001122D9&quot;/&gt;&lt;wsp:rsid wsp:val=&quot;001125E5&quot;/&gt;&lt;wsp:rsid wsp:val=&quot;001125E7&quot;/&gt;&lt;wsp:rsid wsp:val=&quot;0011327A&quot;/&gt;&lt;wsp:rsid wsp:val=&quot;001132D9&quot;/&gt;&lt;wsp:rsid wsp:val=&quot;00113605&quot;/&gt;&lt;wsp:rsid wsp:val=&quot;00113943&quot;/&gt;&lt;wsp:rsid wsp:val=&quot;00113975&quot;/&gt;&lt;wsp:rsid wsp:val=&quot;00113AE1&quot;/&gt;&lt;wsp:rsid wsp:val=&quot;00113D29&quot;/&gt;&lt;wsp:rsid wsp:val=&quot;0011400E&quot;/&gt;&lt;wsp:rsid wsp:val=&quot;0011403F&quot;/&gt;&lt;wsp:rsid wsp:val=&quot;001144DA&quot;/&gt;&lt;wsp:rsid wsp:val=&quot;0011463D&quot;/&gt;&lt;wsp:rsid wsp:val=&quot;001147C3&quot;/&gt;&lt;wsp:rsid wsp:val=&quot;00115092&quot;/&gt;&lt;wsp:rsid wsp:val=&quot;001151F3&quot;/&gt;&lt;wsp:rsid wsp:val=&quot;001151FC&quot;/&gt;&lt;wsp:rsid wsp:val=&quot;00115369&quot;/&gt;&lt;wsp:rsid wsp:val=&quot;00115564&quot;/&gt;&lt;wsp:rsid wsp:val=&quot;00115E0B&quot;/&gt;&lt;wsp:rsid wsp:val=&quot;00115E7A&quot;/&gt;&lt;wsp:rsid wsp:val=&quot;00115FB8&quot;/&gt;&lt;wsp:rsid wsp:val=&quot;001163B4&quot;/&gt;&lt;wsp:rsid wsp:val=&quot;0011652B&quot;/&gt;&lt;wsp:rsid wsp:val=&quot;0011673A&quot;/&gt;&lt;wsp:rsid wsp:val=&quot;001167F3&quot;/&gt;&lt;wsp:rsid wsp:val=&quot;0011681B&quot;/&gt;&lt;wsp:rsid wsp:val=&quot;00116D9F&quot;/&gt;&lt;wsp:rsid wsp:val=&quot;00117135&quot;/&gt;&lt;wsp:rsid wsp:val=&quot;00117DF4&quot;/&gt;&lt;wsp:rsid wsp:val=&quot;00117E44&quot;/&gt;&lt;wsp:rsid wsp:val=&quot;001208F5&quot;/&gt;&lt;wsp:rsid wsp:val=&quot;00120EEF&quot;/&gt;&lt;wsp:rsid wsp:val=&quot;00121126&quot;/&gt;&lt;wsp:rsid wsp:val=&quot;00121370&quot;/&gt;&lt;wsp:rsid wsp:val=&quot;00121427&quot;/&gt;&lt;wsp:rsid wsp:val=&quot;00121B9F&quot;/&gt;&lt;wsp:rsid wsp:val=&quot;001225E5&quot;/&gt;&lt;wsp:rsid wsp:val=&quot;00123406&quot;/&gt;&lt;wsp:rsid wsp:val=&quot;00124033&quot;/&gt;&lt;wsp:rsid wsp:val=&quot;0012413D&quot;/&gt;&lt;wsp:rsid wsp:val=&quot;0012415F&quot;/&gt;&lt;wsp:rsid wsp:val=&quot;0012466D&quot;/&gt;&lt;wsp:rsid wsp:val=&quot;001246E9&quot;/&gt;&lt;wsp:rsid wsp:val=&quot;00124768&quot;/&gt;&lt;wsp:rsid wsp:val=&quot;0012480C&quot;/&gt;&lt;wsp:rsid wsp:val=&quot;00124B97&quot;/&gt;&lt;wsp:rsid wsp:val=&quot;00124D10&quot;/&gt;&lt;wsp:rsid wsp:val=&quot;00124EFA&quot;/&gt;&lt;wsp:rsid wsp:val=&quot;001253F8&quot;/&gt;&lt;wsp:rsid wsp:val=&quot;001256E6&quot;/&gt;&lt;wsp:rsid wsp:val=&quot;00125704&quot;/&gt;&lt;wsp:rsid wsp:val=&quot;00125993&quot;/&gt;&lt;wsp:rsid wsp:val=&quot;00125E3E&quot;/&gt;&lt;wsp:rsid wsp:val=&quot;00125EC8&quot;/&gt;&lt;wsp:rsid wsp:val=&quot;001267F3&quot;/&gt;&lt;wsp:rsid wsp:val=&quot;00126B33&quot;/&gt;&lt;wsp:rsid wsp:val=&quot;00126B66&quot;/&gt;&lt;wsp:rsid wsp:val=&quot;00126C2D&quot;/&gt;&lt;wsp:rsid wsp:val=&quot;001275D2&quot;/&gt;&lt;wsp:rsid wsp:val=&quot;0012786E&quot;/&gt;&lt;wsp:rsid wsp:val=&quot;00127BAB&quot;/&gt;&lt;wsp:rsid wsp:val=&quot;00127E98&quot;/&gt;&lt;wsp:rsid wsp:val=&quot;00127FB2&quot;/&gt;&lt;wsp:rsid wsp:val=&quot;00127FB5&quot;/&gt;&lt;wsp:rsid wsp:val=&quot;00130A74&quot;/&gt;&lt;wsp:rsid wsp:val=&quot;00130C1F&quot;/&gt;&lt;wsp:rsid wsp:val=&quot;00130DF6&quot;/&gt;&lt;wsp:rsid wsp:val=&quot;001312C9&quot;/&gt;&lt;wsp:rsid wsp:val=&quot;001321C2&quot;/&gt;&lt;wsp:rsid wsp:val=&quot;0013228C&quot;/&gt;&lt;wsp:rsid wsp:val=&quot;00132445&quot;/&gt;&lt;wsp:rsid wsp:val=&quot;001324E1&quot;/&gt;&lt;wsp:rsid wsp:val=&quot;00132A51&quot;/&gt;&lt;wsp:rsid wsp:val=&quot;00132F01&quot;/&gt;&lt;wsp:rsid wsp:val=&quot;001331C9&quot;/&gt;&lt;wsp:rsid wsp:val=&quot;00133252&quot;/&gt;&lt;wsp:rsid wsp:val=&quot;0013329B&quot;/&gt;&lt;wsp:rsid wsp:val=&quot;0013382F&quot;/&gt;&lt;wsp:rsid wsp:val=&quot;00133B6E&quot;/&gt;&lt;wsp:rsid wsp:val=&quot;00133C59&quot;/&gt;&lt;wsp:rsid wsp:val=&quot;001340D6&quot;/&gt;&lt;wsp:rsid wsp:val=&quot;0013449E&quot;/&gt;&lt;wsp:rsid wsp:val=&quot;001348A5&quot;/&gt;&lt;wsp:rsid wsp:val=&quot;00134C65&quot;/&gt;&lt;wsp:rsid wsp:val=&quot;00135B13&quot;/&gt;&lt;wsp:rsid wsp:val=&quot;00135BE2&quot;/&gt;&lt;wsp:rsid wsp:val=&quot;00135E40&quot;/&gt;&lt;wsp:rsid wsp:val=&quot;00136038&quot;/&gt;&lt;wsp:rsid wsp:val=&quot;00136172&quot;/&gt;&lt;wsp:rsid wsp:val=&quot;00136726&quot;/&gt;&lt;wsp:rsid wsp:val=&quot;0013675C&quot;/&gt;&lt;wsp:rsid wsp:val=&quot;00136943&quot;/&gt;&lt;wsp:rsid wsp:val=&quot;00136DD5&quot;/&gt;&lt;wsp:rsid wsp:val=&quot;00137CD1&quot;/&gt;&lt;wsp:rsid wsp:val=&quot;00137DDF&quot;/&gt;&lt;wsp:rsid wsp:val=&quot;00140462&quot;/&gt;&lt;wsp:rsid wsp:val=&quot;001405F2&quot;/&gt;&lt;wsp:rsid wsp:val=&quot;00140671&quot;/&gt;&lt;wsp:rsid wsp:val=&quot;00140930&quot;/&gt;&lt;wsp:rsid wsp:val=&quot;00140D73&quot;/&gt;&lt;wsp:rsid wsp:val=&quot;0014116A&quot;/&gt;&lt;wsp:rsid wsp:val=&quot;0014122E&quot;/&gt;&lt;wsp:rsid wsp:val=&quot;001412BE&quot;/&gt;&lt;wsp:rsid wsp:val=&quot;0014148D&quot;/&gt;&lt;wsp:rsid wsp:val=&quot;00141775&quot;/&gt;&lt;wsp:rsid wsp:val=&quot;001419DB&quot;/&gt;&lt;wsp:rsid wsp:val=&quot;00141C07&quot;/&gt;&lt;wsp:rsid wsp:val=&quot;00141C08&quot;/&gt;&lt;wsp:rsid wsp:val=&quot;00141C38&quot;/&gt;&lt;wsp:rsid wsp:val=&quot;00141EB4&quot;/&gt;&lt;wsp:rsid wsp:val=&quot;00141F2E&quot;/&gt;&lt;wsp:rsid wsp:val=&quot;00141FDD&quot;/&gt;&lt;wsp:rsid wsp:val=&quot;0014294F&quot;/&gt;&lt;wsp:rsid wsp:val=&quot;001429CB&quot;/&gt;&lt;wsp:rsid wsp:val=&quot;00142FE8&quot;/&gt;&lt;wsp:rsid wsp:val=&quot;0014322A&quot;/&gt;&lt;wsp:rsid wsp:val=&quot;001436EE&quot;/&gt;&lt;wsp:rsid wsp:val=&quot;00143B0F&quot;/&gt;&lt;wsp:rsid wsp:val=&quot;00143BC4&quot;/&gt;&lt;wsp:rsid wsp:val=&quot;00143C67&quot;/&gt;&lt;wsp:rsid wsp:val=&quot;00143F7F&quot;/&gt;&lt;wsp:rsid wsp:val=&quot;00144047&quot;/&gt;&lt;wsp:rsid wsp:val=&quot;00144059&quot;/&gt;&lt;wsp:rsid wsp:val=&quot;001440E7&quot;/&gt;&lt;wsp:rsid wsp:val=&quot;00144344&quot;/&gt;&lt;wsp:rsid wsp:val=&quot;00144374&quot;/&gt;&lt;wsp:rsid wsp:val=&quot;0014437D&quot;/&gt;&lt;wsp:rsid wsp:val=&quot;0014466E&quot;/&gt;&lt;wsp:rsid wsp:val=&quot;00144673&quot;/&gt;&lt;wsp:rsid wsp:val=&quot;001446D2&quot;/&gt;&lt;wsp:rsid wsp:val=&quot;00144726&quot;/&gt;&lt;wsp:rsid wsp:val=&quot;00144767&quot;/&gt;&lt;wsp:rsid wsp:val=&quot;0014490D&quot;/&gt;&lt;wsp:rsid wsp:val=&quot;00144F35&quot;/&gt;&lt;wsp:rsid wsp:val=&quot;00145331&quot;/&gt;&lt;wsp:rsid wsp:val=&quot;001455DE&quot;/&gt;&lt;wsp:rsid wsp:val=&quot;00145803&quot;/&gt;&lt;wsp:rsid wsp:val=&quot;00145BF2&quot;/&gt;&lt;wsp:rsid wsp:val=&quot;00145C4D&quot;/&gt;&lt;wsp:rsid wsp:val=&quot;00146184&quot;/&gt;&lt;wsp:rsid wsp:val=&quot;00146391&quot;/&gt;&lt;wsp:rsid wsp:val=&quot;00146607&quot;/&gt;&lt;wsp:rsid wsp:val=&quot;0014699F&quot;/&gt;&lt;wsp:rsid wsp:val=&quot;00146A2F&quot;/&gt;&lt;wsp:rsid wsp:val=&quot;00146B05&quot;/&gt;&lt;wsp:rsid wsp:val=&quot;00146C8A&quot;/&gt;&lt;wsp:rsid wsp:val=&quot;00146D55&quot;/&gt;&lt;wsp:rsid wsp:val=&quot;00146F18&quot;/&gt;&lt;wsp:rsid wsp:val=&quot;00147126&quot;/&gt;&lt;wsp:rsid wsp:val=&quot;0014724F&quot;/&gt;&lt;wsp:rsid wsp:val=&quot;00147295&quot;/&gt;&lt;wsp:rsid wsp:val=&quot;00147818&quot;/&gt;&lt;wsp:rsid wsp:val=&quot;00147FEF&quot;/&gt;&lt;wsp:rsid wsp:val=&quot;00150376&quot;/&gt;&lt;wsp:rsid wsp:val=&quot;001503D0&quot;/&gt;&lt;wsp:rsid wsp:val=&quot;00150521&quot;/&gt;&lt;wsp:rsid wsp:val=&quot;00150814&quot;/&gt;&lt;wsp:rsid wsp:val=&quot;0015087D&quot;/&gt;&lt;wsp:rsid wsp:val=&quot;0015097F&quot;/&gt;&lt;wsp:rsid wsp:val=&quot;001509CA&quot;/&gt;&lt;wsp:rsid wsp:val=&quot;00150C1E&quot;/&gt;&lt;wsp:rsid wsp:val=&quot;0015167F&quot;/&gt;&lt;wsp:rsid wsp:val=&quot;00151943&quot;/&gt;&lt;wsp:rsid wsp:val=&quot;00151F94&quot;/&gt;&lt;wsp:rsid wsp:val=&quot;001524FB&quot;/&gt;&lt;wsp:rsid wsp:val=&quot;00152701&quot;/&gt;&lt;wsp:rsid wsp:val=&quot;00152B08&quot;/&gt;&lt;wsp:rsid wsp:val=&quot;00153540&quot;/&gt;&lt;wsp:rsid wsp:val=&quot;00153976&quot;/&gt;&lt;wsp:rsid wsp:val=&quot;00153DAE&quot;/&gt;&lt;wsp:rsid wsp:val=&quot;00153DC2&quot;/&gt;&lt;wsp:rsid wsp:val=&quot;001540BA&quot;/&gt;&lt;wsp:rsid wsp:val=&quot;00154274&quot;/&gt;&lt;wsp:rsid wsp:val=&quot;001543E0&quot;/&gt;&lt;wsp:rsid wsp:val=&quot;00154653&quot;/&gt;&lt;wsp:rsid wsp:val=&quot;00154F6D&quot;/&gt;&lt;wsp:rsid wsp:val=&quot;001556FC&quot;/&gt;&lt;wsp:rsid wsp:val=&quot;0015573A&quot;/&gt;&lt;wsp:rsid wsp:val=&quot;00155EEA&quot;/&gt;&lt;wsp:rsid wsp:val=&quot;00155FD9&quot;/&gt;&lt;wsp:rsid wsp:val=&quot;00156434&quot;/&gt;&lt;wsp:rsid wsp:val=&quot;00156556&quot;/&gt;&lt;wsp:rsid wsp:val=&quot;00156744&quot;/&gt;&lt;wsp:rsid wsp:val=&quot;00157387&quot;/&gt;&lt;wsp:rsid wsp:val=&quot;00157584&quot;/&gt;&lt;wsp:rsid wsp:val=&quot;001575D4&quot;/&gt;&lt;wsp:rsid wsp:val=&quot;001575F8&quot;/&gt;&lt;wsp:rsid wsp:val=&quot;00157648&quot;/&gt;&lt;wsp:rsid wsp:val=&quot;00157866&quot;/&gt;&lt;wsp:rsid wsp:val=&quot;00157980&quot;/&gt;&lt;wsp:rsid wsp:val=&quot;00157E05&quot;/&gt;&lt;wsp:rsid wsp:val=&quot;00160454&quot;/&gt;&lt;wsp:rsid wsp:val=&quot;0016058D&quot;/&gt;&lt;wsp:rsid wsp:val=&quot;001607E5&quot;/&gt;&lt;wsp:rsid wsp:val=&quot;00160980&quot;/&gt;&lt;wsp:rsid wsp:val=&quot;00160AD4&quot;/&gt;&lt;wsp:rsid wsp:val=&quot;00160BC7&quot;/&gt;&lt;wsp:rsid wsp:val=&quot;0016130B&quot;/&gt;&lt;wsp:rsid wsp:val=&quot;00161353&quot;/&gt;&lt;wsp:rsid wsp:val=&quot;00161462&quot;/&gt;&lt;wsp:rsid wsp:val=&quot;00161490&quot;/&gt;&lt;wsp:rsid wsp:val=&quot;0016182B&quot;/&gt;&lt;wsp:rsid wsp:val=&quot;00161DB9&quot;/&gt;&lt;wsp:rsid wsp:val=&quot;00162104&quot;/&gt;&lt;wsp:rsid wsp:val=&quot;00162740&quot;/&gt;&lt;wsp:rsid wsp:val=&quot;001628A9&quot;/&gt;&lt;wsp:rsid wsp:val=&quot;00162E69&quot;/&gt;&lt;wsp:rsid wsp:val=&quot;00163665&quot;/&gt;&lt;wsp:rsid wsp:val=&quot;00163743&quot;/&gt;&lt;wsp:rsid wsp:val=&quot;00163994&quot;/&gt;&lt;wsp:rsid wsp:val=&quot;001639AB&quot;/&gt;&lt;wsp:rsid wsp:val=&quot;001645C3&quot;/&gt;&lt;wsp:rsid wsp:val=&quot;00164650&quot;/&gt;&lt;wsp:rsid wsp:val=&quot;001649E4&quot;/&gt;&lt;wsp:rsid wsp:val=&quot;00164C4E&quot;/&gt;&lt;wsp:rsid wsp:val=&quot;00164FC4&quot;/&gt;&lt;wsp:rsid wsp:val=&quot;001657A1&quot;/&gt;&lt;wsp:rsid wsp:val=&quot;00165961&quot;/&gt;&lt;wsp:rsid wsp:val=&quot;00165B3A&quot;/&gt;&lt;wsp:rsid wsp:val=&quot;001669D3&quot;/&gt;&lt;wsp:rsid wsp:val=&quot;00166F4B&quot;/&gt;&lt;wsp:rsid wsp:val=&quot;00166FBD&quot;/&gt;&lt;wsp:rsid wsp:val=&quot;0016714B&quot;/&gt;&lt;wsp:rsid wsp:val=&quot;001674EC&quot;/&gt;&lt;wsp:rsid wsp:val=&quot;00167577&quot;/&gt;&lt;wsp:rsid wsp:val=&quot;0017016D&quot;/&gt;&lt;wsp:rsid wsp:val=&quot;001701DB&quot;/&gt;&lt;wsp:rsid wsp:val=&quot;001702AB&quot;/&gt;&lt;wsp:rsid wsp:val=&quot;001702D1&quot;/&gt;&lt;wsp:rsid wsp:val=&quot;001711EE&quot;/&gt;&lt;wsp:rsid wsp:val=&quot;001715F7&quot;/&gt;&lt;wsp:rsid wsp:val=&quot;00171C5B&quot;/&gt;&lt;wsp:rsid wsp:val=&quot;00171D1D&quot;/&gt;&lt;wsp:rsid wsp:val=&quot;00171D8A&quot;/&gt;&lt;wsp:rsid wsp:val=&quot;00172378&quot;/&gt;&lt;wsp:rsid wsp:val=&quot;001727E1&quot;/&gt;&lt;wsp:rsid wsp:val=&quot;0017294C&quot;/&gt;&lt;wsp:rsid wsp:val=&quot;00172971&quot;/&gt;&lt;wsp:rsid wsp:val=&quot;00173011&quot;/&gt;&lt;wsp:rsid wsp:val=&quot;0017323B&quot;/&gt;&lt;wsp:rsid wsp:val=&quot;00173241&quot;/&gt;&lt;wsp:rsid wsp:val=&quot;00173670&quot;/&gt;&lt;wsp:rsid wsp:val=&quot;0017389A&quot;/&gt;&lt;wsp:rsid wsp:val=&quot;00173C4A&quot;/&gt;&lt;wsp:rsid wsp:val=&quot;00173ECC&quot;/&gt;&lt;wsp:rsid wsp:val=&quot;00174454&quot;/&gt;&lt;wsp:rsid wsp:val=&quot;001745DE&quot;/&gt;&lt;wsp:rsid wsp:val=&quot;00175009&quot;/&gt;&lt;wsp:rsid wsp:val=&quot;001751C4&quot;/&gt;&lt;wsp:rsid wsp:val=&quot;00175348&quot;/&gt;&lt;wsp:rsid wsp:val=&quot;00175713&quot;/&gt;&lt;wsp:rsid wsp:val=&quot;00175844&quot;/&gt;&lt;wsp:rsid wsp:val=&quot;001762BD&quot;/&gt;&lt;wsp:rsid wsp:val=&quot;001769AA&quot;/&gt;&lt;wsp:rsid wsp:val=&quot;001773E7&quot;/&gt;&lt;wsp:rsid wsp:val=&quot;001774A5&quot;/&gt;&lt;wsp:rsid wsp:val=&quot;00177518&quot;/&gt;&lt;wsp:rsid wsp:val=&quot;001775EF&quot;/&gt;&lt;wsp:rsid wsp:val=&quot;00177C23&quot;/&gt;&lt;wsp:rsid wsp:val=&quot;00177C63&quot;/&gt;&lt;wsp:rsid wsp:val=&quot;00177D8A&quot;/&gt;&lt;wsp:rsid wsp:val=&quot;0018028C&quot;/&gt;&lt;wsp:rsid wsp:val=&quot;0018034A&quot;/&gt;&lt;wsp:rsid wsp:val=&quot;001804DC&quot;/&gt;&lt;wsp:rsid wsp:val=&quot;0018072A&quot;/&gt;&lt;wsp:rsid wsp:val=&quot;00180756&quot;/&gt;&lt;wsp:rsid wsp:val=&quot;001807D6&quot;/&gt;&lt;wsp:rsid wsp:val=&quot;00180838&quot;/&gt;&lt;wsp:rsid wsp:val=&quot;00180AB2&quot;/&gt;&lt;wsp:rsid wsp:val=&quot;00180AC9&quot;/&gt;&lt;wsp:rsid wsp:val=&quot;00180C62&quot;/&gt;&lt;wsp:rsid wsp:val=&quot;00180CB8&quot;/&gt;&lt;wsp:rsid wsp:val=&quot;0018185E&quot;/&gt;&lt;wsp:rsid wsp:val=&quot;00181916&quot;/&gt;&lt;wsp:rsid wsp:val=&quot;001819E1&quot;/&gt;&lt;wsp:rsid wsp:val=&quot;00181AF5&quot;/&gt;&lt;wsp:rsid wsp:val=&quot;00181D86&quot;/&gt;&lt;wsp:rsid wsp:val=&quot;00182435&quot;/&gt;&lt;wsp:rsid wsp:val=&quot;0018270F&quot;/&gt;&lt;wsp:rsid wsp:val=&quot;00182B5D&quot;/&gt;&lt;wsp:rsid wsp:val=&quot;00182C59&quot;/&gt;&lt;wsp:rsid wsp:val=&quot;00182D3D&quot;/&gt;&lt;wsp:rsid wsp:val=&quot;00182DD9&quot;/&gt;&lt;wsp:rsid wsp:val=&quot;001830E6&quot;/&gt;&lt;wsp:rsid wsp:val=&quot;001833EA&quot;/&gt;&lt;wsp:rsid wsp:val=&quot;0018344F&quot;/&gt;&lt;wsp:rsid wsp:val=&quot;00183C87&quot;/&gt;&lt;wsp:rsid wsp:val=&quot;00184DF4&quot;/&gt;&lt;wsp:rsid wsp:val=&quot;00184E1F&quot;/&gt;&lt;wsp:rsid wsp:val=&quot;00184E5F&quot;/&gt;&lt;wsp:rsid wsp:val=&quot;00184EA7&quot;/&gt;&lt;wsp:rsid wsp:val=&quot;00184F02&quot;/&gt;&lt;wsp:rsid wsp:val=&quot;001851CE&quot;/&gt;&lt;wsp:rsid wsp:val=&quot;001859B1&quot;/&gt;&lt;wsp:rsid wsp:val=&quot;0018645F&quot;/&gt;&lt;wsp:rsid wsp:val=&quot;00186981&quot;/&gt;&lt;wsp:rsid wsp:val=&quot;00186F25&quot;/&gt;&lt;wsp:rsid wsp:val=&quot;00187388&quot;/&gt;&lt;wsp:rsid wsp:val=&quot;00187D3C&quot;/&gt;&lt;wsp:rsid wsp:val=&quot;00187E46&quot;/&gt;&lt;wsp:rsid wsp:val=&quot;00190701&quot;/&gt;&lt;wsp:rsid wsp:val=&quot;00190B5D&quot;/&gt;&lt;wsp:rsid wsp:val=&quot;00190C3E&quot;/&gt;&lt;wsp:rsid wsp:val=&quot;00190EBA&quot;/&gt;&lt;wsp:rsid wsp:val=&quot;00191054&quot;/&gt;&lt;wsp:rsid wsp:val=&quot;0019249F&quot;/&gt;&lt;wsp:rsid wsp:val=&quot;00192717&quot;/&gt;&lt;wsp:rsid wsp:val=&quot;00192EA2&quot;/&gt;&lt;wsp:rsid wsp:val=&quot;00193079&quot;/&gt;&lt;wsp:rsid wsp:val=&quot;0019361F&quot;/&gt;&lt;wsp:rsid wsp:val=&quot;0019383D&quot;/&gt;&lt;wsp:rsid wsp:val=&quot;00194523&quot;/&gt;&lt;wsp:rsid wsp:val=&quot;0019482F&quot;/&gt;&lt;wsp:rsid wsp:val=&quot;00194E37&quot;/&gt;&lt;wsp:rsid wsp:val=&quot;00194EE0&quot;/&gt;&lt;wsp:rsid wsp:val=&quot;00195278&quot;/&gt;&lt;wsp:rsid wsp:val=&quot;001952EF&quot;/&gt;&lt;wsp:rsid wsp:val=&quot;0019531D&quot;/&gt;&lt;wsp:rsid wsp:val=&quot;001959E3&quot;/&gt;&lt;wsp:rsid wsp:val=&quot;00195B86&quot;/&gt;&lt;wsp:rsid wsp:val=&quot;00195F8B&quot;/&gt;&lt;wsp:rsid wsp:val=&quot;00196048&quot;/&gt;&lt;wsp:rsid wsp:val=&quot;00196061&quot;/&gt;&lt;wsp:rsid wsp:val=&quot;00196267&quot;/&gt;&lt;wsp:rsid wsp:val=&quot;001962DB&quot;/&gt;&lt;wsp:rsid wsp:val=&quot;001964A3&quot;/&gt;&lt;wsp:rsid wsp:val=&quot;001965B3&quot;/&gt;&lt;wsp:rsid wsp:val=&quot;0019674E&quot;/&gt;&lt;wsp:rsid wsp:val=&quot;0019686A&quot;/&gt;&lt;wsp:rsid wsp:val=&quot;00196903&quot;/&gt;&lt;wsp:rsid wsp:val=&quot;00196CEE&quot;/&gt;&lt;wsp:rsid wsp:val=&quot;00196D2C&quot;/&gt;&lt;wsp:rsid wsp:val=&quot;00196E61&quot;/&gt;&lt;wsp:rsid wsp:val=&quot;0019781F&quot;/&gt;&lt;wsp:rsid wsp:val=&quot;001978D8&quot;/&gt;&lt;wsp:rsid wsp:val=&quot;0019796F&quot;/&gt;&lt;wsp:rsid wsp:val=&quot;00197ACD&quot;/&gt;&lt;wsp:rsid wsp:val=&quot;00197BD5&quot;/&gt;&lt;wsp:rsid wsp:val=&quot;00197C63&quot;/&gt;&lt;wsp:rsid wsp:val=&quot;00197D10&quot;/&gt;&lt;wsp:rsid wsp:val=&quot;001A01F8&quot;/&gt;&lt;wsp:rsid wsp:val=&quot;001A0910&quot;/&gt;&lt;wsp:rsid wsp:val=&quot;001A0D8A&quot;/&gt;&lt;wsp:rsid wsp:val=&quot;001A1081&quot;/&gt;&lt;wsp:rsid wsp:val=&quot;001A137C&quot;/&gt;&lt;wsp:rsid wsp:val=&quot;001A15C6&quot;/&gt;&lt;wsp:rsid wsp:val=&quot;001A1E78&quot;/&gt;&lt;wsp:rsid wsp:val=&quot;001A24C9&quot;/&gt;&lt;wsp:rsid wsp:val=&quot;001A26BE&quot;/&gt;&lt;wsp:rsid wsp:val=&quot;001A2BC3&quot;/&gt;&lt;wsp:rsid wsp:val=&quot;001A3487&quot;/&gt;&lt;wsp:rsid wsp:val=&quot;001A3995&quot;/&gt;&lt;wsp:rsid wsp:val=&quot;001A4906&quot;/&gt;&lt;wsp:rsid wsp:val=&quot;001A4F58&quot;/&gt;&lt;wsp:rsid wsp:val=&quot;001A58EB&quot;/&gt;&lt;wsp:rsid wsp:val=&quot;001A5E4D&quot;/&gt;&lt;wsp:rsid wsp:val=&quot;001A5F78&quot;/&gt;&lt;wsp:rsid wsp:val=&quot;001A62C8&quot;/&gt;&lt;wsp:rsid wsp:val=&quot;001A642D&quot;/&gt;&lt;wsp:rsid wsp:val=&quot;001A65EA&quot;/&gt;&lt;wsp:rsid wsp:val=&quot;001A66B2&quot;/&gt;&lt;wsp:rsid wsp:val=&quot;001A7199&quot;/&gt;&lt;wsp:rsid wsp:val=&quot;001A7307&quot;/&gt;&lt;wsp:rsid wsp:val=&quot;001A786A&quot;/&gt;&lt;wsp:rsid wsp:val=&quot;001A7B4C&quot;/&gt;&lt;wsp:rsid wsp:val=&quot;001A7BCF&quot;/&gt;&lt;wsp:rsid wsp:val=&quot;001A7D02&quot;/&gt;&lt;wsp:rsid wsp:val=&quot;001A7E5E&quot;/&gt;&lt;wsp:rsid wsp:val=&quot;001A7E73&quot;/&gt;&lt;wsp:rsid wsp:val=&quot;001B0343&quot;/&gt;&lt;wsp:rsid wsp:val=&quot;001B0C29&quot;/&gt;&lt;wsp:rsid wsp:val=&quot;001B143F&quot;/&gt;&lt;wsp:rsid wsp:val=&quot;001B177A&quot;/&gt;&lt;wsp:rsid wsp:val=&quot;001B1E97&quot;/&gt;&lt;wsp:rsid wsp:val=&quot;001B1F9B&quot;/&gt;&lt;wsp:rsid wsp:val=&quot;001B2007&quot;/&gt;&lt;wsp:rsid wsp:val=&quot;001B24B5&quot;/&gt;&lt;wsp:rsid wsp:val=&quot;001B2C07&quot;/&gt;&lt;wsp:rsid wsp:val=&quot;001B2C65&quot;/&gt;&lt;wsp:rsid wsp:val=&quot;001B30B6&quot;/&gt;&lt;wsp:rsid wsp:val=&quot;001B3352&quot;/&gt;&lt;wsp:rsid wsp:val=&quot;001B366C&quot;/&gt;&lt;wsp:rsid wsp:val=&quot;001B480D&quot;/&gt;&lt;wsp:rsid wsp:val=&quot;001B50EC&quot;/&gt;&lt;wsp:rsid wsp:val=&quot;001B5245&quot;/&gt;&lt;wsp:rsid wsp:val=&quot;001B5723&quot;/&gt;&lt;wsp:rsid wsp:val=&quot;001B5778&quot;/&gt;&lt;wsp:rsid wsp:val=&quot;001B59EA&quot;/&gt;&lt;wsp:rsid wsp:val=&quot;001B5CF0&quot;/&gt;&lt;wsp:rsid wsp:val=&quot;001B5F1B&quot;/&gt;&lt;wsp:rsid wsp:val=&quot;001B5FC3&quot;/&gt;&lt;wsp:rsid wsp:val=&quot;001B6134&quot;/&gt;&lt;wsp:rsid wsp:val=&quot;001B62BE&quot;/&gt;&lt;wsp:rsid wsp:val=&quot;001B6449&quot;/&gt;&lt;wsp:rsid wsp:val=&quot;001B6589&quot;/&gt;&lt;wsp:rsid wsp:val=&quot;001B6727&quot;/&gt;&lt;wsp:rsid wsp:val=&quot;001B677A&quot;/&gt;&lt;wsp:rsid wsp:val=&quot;001B6841&quot;/&gt;&lt;wsp:rsid wsp:val=&quot;001B6EA0&quot;/&gt;&lt;wsp:rsid wsp:val=&quot;001B7237&quot;/&gt;&lt;wsp:rsid wsp:val=&quot;001B72A0&quot;/&gt;&lt;wsp:rsid wsp:val=&quot;001B72CE&quot;/&gt;&lt;wsp:rsid wsp:val=&quot;001B7314&quot;/&gt;&lt;wsp:rsid wsp:val=&quot;001B7436&quot;/&gt;&lt;wsp:rsid wsp:val=&quot;001B7EC8&quot;/&gt;&lt;wsp:rsid wsp:val=&quot;001C0401&quot;/&gt;&lt;wsp:rsid wsp:val=&quot;001C04E9&quot;/&gt;&lt;wsp:rsid wsp:val=&quot;001C0961&quot;/&gt;&lt;wsp:rsid wsp:val=&quot;001C0976&quot;/&gt;&lt;wsp:rsid wsp:val=&quot;001C09FF&quot;/&gt;&lt;wsp:rsid wsp:val=&quot;001C0A5F&quot;/&gt;&lt;wsp:rsid wsp:val=&quot;001C0AE9&quot;/&gt;&lt;wsp:rsid wsp:val=&quot;001C0B0E&quot;/&gt;&lt;wsp:rsid wsp:val=&quot;001C0C95&quot;/&gt;&lt;wsp:rsid wsp:val=&quot;001C0CD6&quot;/&gt;&lt;wsp:rsid wsp:val=&quot;001C16B9&quot;/&gt;&lt;wsp:rsid wsp:val=&quot;001C187C&quot;/&gt;&lt;wsp:rsid wsp:val=&quot;001C18C0&quot;/&gt;&lt;wsp:rsid wsp:val=&quot;001C1C58&quot;/&gt;&lt;wsp:rsid wsp:val=&quot;001C1CAC&quot;/&gt;&lt;wsp:rsid wsp:val=&quot;001C1CEE&quot;/&gt;&lt;wsp:rsid wsp:val=&quot;001C1D1F&quot;/&gt;&lt;wsp:rsid wsp:val=&quot;001C1D75&quot;/&gt;&lt;wsp:rsid wsp:val=&quot;001C2147&quot;/&gt;&lt;wsp:rsid wsp:val=&quot;001C26C9&quot;/&gt;&lt;wsp:rsid wsp:val=&quot;001C2A51&quot;/&gt;&lt;wsp:rsid wsp:val=&quot;001C2A5E&quot;/&gt;&lt;wsp:rsid wsp:val=&quot;001C2C7F&quot;/&gt;&lt;wsp:rsid wsp:val=&quot;001C2E20&quot;/&gt;&lt;wsp:rsid wsp:val=&quot;001C3050&quot;/&gt;&lt;wsp:rsid wsp:val=&quot;001C30A9&quot;/&gt;&lt;wsp:rsid wsp:val=&quot;001C3959&quot;/&gt;&lt;wsp:rsid wsp:val=&quot;001C3C48&quot;/&gt;&lt;wsp:rsid wsp:val=&quot;001C3C6C&quot;/&gt;&lt;wsp:rsid wsp:val=&quot;001C3F0F&quot;/&gt;&lt;wsp:rsid wsp:val=&quot;001C4AEA&quot;/&gt;&lt;wsp:rsid wsp:val=&quot;001C58BD&quot;/&gt;&lt;wsp:rsid wsp:val=&quot;001C5C69&quot;/&gt;&lt;wsp:rsid wsp:val=&quot;001C5C94&quot;/&gt;&lt;wsp:rsid wsp:val=&quot;001C5CEE&quot;/&gt;&lt;wsp:rsid wsp:val=&quot;001C5D71&quot;/&gt;&lt;wsp:rsid wsp:val=&quot;001C6447&quot;/&gt;&lt;wsp:rsid wsp:val=&quot;001C654D&quot;/&gt;&lt;wsp:rsid wsp:val=&quot;001C6B80&quot;/&gt;&lt;wsp:rsid wsp:val=&quot;001C70D3&quot;/&gt;&lt;wsp:rsid wsp:val=&quot;001C71F9&quot;/&gt;&lt;wsp:rsid wsp:val=&quot;001C7204&quot;/&gt;&lt;wsp:rsid wsp:val=&quot;001C7629&quot;/&gt;&lt;wsp:rsid wsp:val=&quot;001C7A9C&quot;/&gt;&lt;wsp:rsid wsp:val=&quot;001C7CE1&quot;/&gt;&lt;wsp:rsid wsp:val=&quot;001D00B9&quot;/&gt;&lt;wsp:rsid wsp:val=&quot;001D0A1C&quot;/&gt;&lt;wsp:rsid wsp:val=&quot;001D0B9D&quot;/&gt;&lt;wsp:rsid wsp:val=&quot;001D0C26&quot;/&gt;&lt;wsp:rsid wsp:val=&quot;001D0DE5&quot;/&gt;&lt;wsp:rsid wsp:val=&quot;001D10EF&quot;/&gt;&lt;wsp:rsid wsp:val=&quot;001D1184&quot;/&gt;&lt;wsp:rsid wsp:val=&quot;001D1322&quot;/&gt;&lt;wsp:rsid wsp:val=&quot;001D1489&quot;/&gt;&lt;wsp:rsid wsp:val=&quot;001D1803&quot;/&gt;&lt;wsp:rsid wsp:val=&quot;001D196E&quot;/&gt;&lt;wsp:rsid wsp:val=&quot;001D1F57&quot;/&gt;&lt;wsp:rsid wsp:val=&quot;001D2001&quot;/&gt;&lt;wsp:rsid wsp:val=&quot;001D2179&quot;/&gt;&lt;wsp:rsid wsp:val=&quot;001D23B3&quot;/&gt;&lt;wsp:rsid wsp:val=&quot;001D26B4&quot;/&gt;&lt;wsp:rsid wsp:val=&quot;001D26D4&quot;/&gt;&lt;wsp:rsid wsp:val=&quot;001D29DD&quot;/&gt;&lt;wsp:rsid wsp:val=&quot;001D2F24&quot;/&gt;&lt;wsp:rsid wsp:val=&quot;001D34A9&quot;/&gt;&lt;wsp:rsid wsp:val=&quot;001D38F3&quot;/&gt;&lt;wsp:rsid wsp:val=&quot;001D3900&quot;/&gt;&lt;wsp:rsid wsp:val=&quot;001D3B05&quot;/&gt;&lt;wsp:rsid wsp:val=&quot;001D4033&quot;/&gt;&lt;wsp:rsid wsp:val=&quot;001D40B1&quot;/&gt;&lt;wsp:rsid wsp:val=&quot;001D42F8&quot;/&gt;&lt;wsp:rsid wsp:val=&quot;001D45EE&quot;/&gt;&lt;wsp:rsid wsp:val=&quot;001D4B4C&quot;/&gt;&lt;wsp:rsid wsp:val=&quot;001D4BB6&quot;/&gt;&lt;wsp:rsid wsp:val=&quot;001D4C1E&quot;/&gt;&lt;wsp:rsid wsp:val=&quot;001D509C&quot;/&gt;&lt;wsp:rsid wsp:val=&quot;001D526E&quot;/&gt;&lt;wsp:rsid wsp:val=&quot;001D5701&quot;/&gt;&lt;wsp:rsid wsp:val=&quot;001D57C5&quot;/&gt;&lt;wsp:rsid wsp:val=&quot;001D5C93&quot;/&gt;&lt;wsp:rsid wsp:val=&quot;001D5E01&quot;/&gt;&lt;wsp:rsid wsp:val=&quot;001D5E5D&quot;/&gt;&lt;wsp:rsid wsp:val=&quot;001D5EE4&quot;/&gt;&lt;wsp:rsid wsp:val=&quot;001D6949&quot;/&gt;&lt;wsp:rsid wsp:val=&quot;001D73C5&quot;/&gt;&lt;wsp:rsid wsp:val=&quot;001D76F6&quot;/&gt;&lt;wsp:rsid wsp:val=&quot;001D775D&quot;/&gt;&lt;wsp:rsid wsp:val=&quot;001D786C&quot;/&gt;&lt;wsp:rsid wsp:val=&quot;001D7CC4&quot;/&gt;&lt;wsp:rsid wsp:val=&quot;001D7D2F&quot;/&gt;&lt;wsp:rsid wsp:val=&quot;001E0296&quot;/&gt;&lt;wsp:rsid wsp:val=&quot;001E04E8&quot;/&gt;&lt;wsp:rsid wsp:val=&quot;001E07A2&quot;/&gt;&lt;wsp:rsid wsp:val=&quot;001E08FD&quot;/&gt;&lt;wsp:rsid wsp:val=&quot;001E1354&quot;/&gt;&lt;wsp:rsid wsp:val=&quot;001E14B9&quot;/&gt;&lt;wsp:rsid wsp:val=&quot;001E18D9&quot;/&gt;&lt;wsp:rsid wsp:val=&quot;001E1FCF&quot;/&gt;&lt;wsp:rsid wsp:val=&quot;001E20FD&quot;/&gt;&lt;wsp:rsid wsp:val=&quot;001E2267&quot;/&gt;&lt;wsp:rsid wsp:val=&quot;001E2637&quot;/&gt;&lt;wsp:rsid wsp:val=&quot;001E2A20&quot;/&gt;&lt;wsp:rsid wsp:val=&quot;001E2D8A&quot;/&gt;&lt;wsp:rsid wsp:val=&quot;001E2EB0&quot;/&gt;&lt;wsp:rsid wsp:val=&quot;001E300D&quot;/&gt;&lt;wsp:rsid wsp:val=&quot;001E30B2&quot;/&gt;&lt;wsp:rsid wsp:val=&quot;001E373C&quot;/&gt;&lt;wsp:rsid wsp:val=&quot;001E3D7D&quot;/&gt;&lt;wsp:rsid wsp:val=&quot;001E3F78&quot;/&gt;&lt;wsp:rsid wsp:val=&quot;001E4198&quot;/&gt;&lt;wsp:rsid wsp:val=&quot;001E43ED&quot;/&gt;&lt;wsp:rsid wsp:val=&quot;001E4F2E&quot;/&gt;&lt;wsp:rsid wsp:val=&quot;001E5033&quot;/&gt;&lt;wsp:rsid wsp:val=&quot;001E5217&quot;/&gt;&lt;wsp:rsid wsp:val=&quot;001E572B&quot;/&gt;&lt;wsp:rsid wsp:val=&quot;001E5C1C&quot;/&gt;&lt;wsp:rsid wsp:val=&quot;001E5C97&quot;/&gt;&lt;wsp:rsid wsp:val=&quot;001E5EDA&quot;/&gt;&lt;wsp:rsid wsp:val=&quot;001E6651&quot;/&gt;&lt;wsp:rsid wsp:val=&quot;001E69EF&quot;/&gt;&lt;wsp:rsid wsp:val=&quot;001E6D44&quot;/&gt;&lt;wsp:rsid wsp:val=&quot;001E7750&quot;/&gt;&lt;wsp:rsid wsp:val=&quot;001E7880&quot;/&gt;&lt;wsp:rsid wsp:val=&quot;001E7EF3&quot;/&gt;&lt;wsp:rsid wsp:val=&quot;001E7F09&quot;/&gt;&lt;wsp:rsid wsp:val=&quot;001F059E&quot;/&gt;&lt;wsp:rsid wsp:val=&quot;001F087D&quot;/&gt;&lt;wsp:rsid wsp:val=&quot;001F0A2D&quot;/&gt;&lt;wsp:rsid wsp:val=&quot;001F0AF1&quot;/&gt;&lt;wsp:rsid wsp:val=&quot;001F1028&quot;/&gt;&lt;wsp:rsid wsp:val=&quot;001F1230&quot;/&gt;&lt;wsp:rsid wsp:val=&quot;001F1778&quot;/&gt;&lt;wsp:rsid wsp:val=&quot;001F1A47&quot;/&gt;&lt;wsp:rsid wsp:val=&quot;001F1C7D&quot;/&gt;&lt;wsp:rsid wsp:val=&quot;001F1D47&quot;/&gt;&lt;wsp:rsid wsp:val=&quot;001F2564&quot;/&gt;&lt;wsp:rsid wsp:val=&quot;001F2779&quot;/&gt;&lt;wsp:rsid wsp:val=&quot;001F2E44&quot;/&gt;&lt;wsp:rsid wsp:val=&quot;001F3051&quot;/&gt;&lt;wsp:rsid wsp:val=&quot;001F31D9&quot;/&gt;&lt;wsp:rsid wsp:val=&quot;001F342D&quot;/&gt;&lt;wsp:rsid wsp:val=&quot;001F35B9&quot;/&gt;&lt;wsp:rsid wsp:val=&quot;001F395C&quot;/&gt;&lt;wsp:rsid wsp:val=&quot;001F399A&quot;/&gt;&lt;wsp:rsid wsp:val=&quot;001F3B40&quot;/&gt;&lt;wsp:rsid wsp:val=&quot;001F4026&quot;/&gt;&lt;wsp:rsid wsp:val=&quot;001F42A4&quot;/&gt;&lt;wsp:rsid wsp:val=&quot;001F42DD&quot;/&gt;&lt;wsp:rsid wsp:val=&quot;001F44DE&quot;/&gt;&lt;wsp:rsid wsp:val=&quot;001F4A12&quot;/&gt;&lt;wsp:rsid wsp:val=&quot;001F4A64&quot;/&gt;&lt;wsp:rsid wsp:val=&quot;001F4B50&quot;/&gt;&lt;wsp:rsid wsp:val=&quot;001F591D&quot;/&gt;&lt;wsp:rsid wsp:val=&quot;001F5BFE&quot;/&gt;&lt;wsp:rsid wsp:val=&quot;001F5FAF&quot;/&gt;&lt;wsp:rsid wsp:val=&quot;001F6325&quot;/&gt;&lt;wsp:rsid wsp:val=&quot;001F653B&quot;/&gt;&lt;wsp:rsid wsp:val=&quot;001F678F&quot;/&gt;&lt;wsp:rsid wsp:val=&quot;001F69FE&quot;/&gt;&lt;wsp:rsid wsp:val=&quot;001F6A0A&quot;/&gt;&lt;wsp:rsid wsp:val=&quot;001F6C9D&quot;/&gt;&lt;wsp:rsid wsp:val=&quot;001F71DE&quot;/&gt;&lt;wsp:rsid wsp:val=&quot;001F728E&quot;/&gt;&lt;wsp:rsid wsp:val=&quot;001F7335&quot;/&gt;&lt;wsp:rsid wsp:val=&quot;001F746B&quot;/&gt;&lt;wsp:rsid wsp:val=&quot;001F783B&quot;/&gt;&lt;wsp:rsid wsp:val=&quot;002004B5&quot;/&gt;&lt;wsp:rsid wsp:val=&quot;00200A58&quot;/&gt;&lt;wsp:rsid wsp:val=&quot;0020115B&quot;/&gt;&lt;wsp:rsid wsp:val=&quot;0020118E&quot;/&gt;&lt;wsp:rsid wsp:val=&quot;00201390&quot;/&gt;&lt;wsp:rsid wsp:val=&quot;00201AD3&quot;/&gt;&lt;wsp:rsid wsp:val=&quot;00201B4F&quot;/&gt;&lt;wsp:rsid wsp:val=&quot;00202731&quot;/&gt;&lt;wsp:rsid wsp:val=&quot;00202FF3&quot;/&gt;&lt;wsp:rsid wsp:val=&quot;00203214&quot;/&gt;&lt;wsp:rsid wsp:val=&quot;00203669&quot;/&gt;&lt;wsp:rsid wsp:val=&quot;00203884&quot;/&gt;&lt;wsp:rsid wsp:val=&quot;00203A11&quot;/&gt;&lt;wsp:rsid wsp:val=&quot;00203A3D&quot;/&gt;&lt;wsp:rsid wsp:val=&quot;00203E63&quot;/&gt;&lt;wsp:rsid wsp:val=&quot;00203F61&quot;/&gt;&lt;wsp:rsid wsp:val=&quot;002040BA&quot;/&gt;&lt;wsp:rsid wsp:val=&quot;00204234&quot;/&gt;&lt;wsp:rsid wsp:val=&quot;00204CB2&quot;/&gt;&lt;wsp:rsid wsp:val=&quot;00204EB1&quot;/&gt;&lt;wsp:rsid wsp:val=&quot;002052F6&quot;/&gt;&lt;wsp:rsid wsp:val=&quot;00205787&quot;/&gt;&lt;wsp:rsid wsp:val=&quot;00205C1E&quot;/&gt;&lt;wsp:rsid wsp:val=&quot;002062A1&quot;/&gt;&lt;wsp:rsid wsp:val=&quot;002062ED&quot;/&gt;&lt;wsp:rsid wsp:val=&quot;002063F5&quot;/&gt;&lt;wsp:rsid wsp:val=&quot;00206B0F&quot;/&gt;&lt;wsp:rsid wsp:val=&quot;00206F17&quot;/&gt;&lt;wsp:rsid wsp:val=&quot;002070B9&quot;/&gt;&lt;wsp:rsid wsp:val=&quot;00207292&quot;/&gt;&lt;wsp:rsid wsp:val=&quot;00207A76&quot;/&gt;&lt;wsp:rsid wsp:val=&quot;00207E9C&quot;/&gt;&lt;wsp:rsid wsp:val=&quot;002109EC&quot;/&gt;&lt;wsp:rsid wsp:val=&quot;00210ED5&quot;/&gt;&lt;wsp:rsid wsp:val=&quot;0021131D&quot;/&gt;&lt;wsp:rsid wsp:val=&quot;00211415&quot;/&gt;&lt;wsp:rsid wsp:val=&quot;0021154F&quot;/&gt;&lt;wsp:rsid wsp:val=&quot;00211603&quot;/&gt;&lt;wsp:rsid wsp:val=&quot;0021178A&quot;/&gt;&lt;wsp:rsid wsp:val=&quot;00211A9D&quot;/&gt;&lt;wsp:rsid wsp:val=&quot;00211E3A&quot;/&gt;&lt;wsp:rsid wsp:val=&quot;00212629&quot;/&gt;&lt;wsp:rsid wsp:val=&quot;00212D0A&quot;/&gt;&lt;wsp:rsid wsp:val=&quot;0021342F&quot;/&gt;&lt;wsp:rsid wsp:val=&quot;00213716&quot;/&gt;&lt;wsp:rsid wsp:val=&quot;00213AA3&quot;/&gt;&lt;wsp:rsid wsp:val=&quot;00213AE7&quot;/&gt;&lt;wsp:rsid wsp:val=&quot;00213CD1&quot;/&gt;&lt;wsp:rsid wsp:val=&quot;002144B9&quot;/&gt;&lt;wsp:rsid wsp:val=&quot;002145B2&quot;/&gt;&lt;wsp:rsid wsp:val=&quot;002148B7&quot;/&gt;&lt;wsp:rsid wsp:val=&quot;00215153&quot;/&gt;&lt;wsp:rsid wsp:val=&quot;002152B4&quot;/&gt;&lt;wsp:rsid wsp:val=&quot;00215363&quot;/&gt;&lt;wsp:rsid wsp:val=&quot;002155D5&quot;/&gt;&lt;wsp:rsid wsp:val=&quot;002157D0&quot;/&gt;&lt;wsp:rsid wsp:val=&quot;002158BB&quot;/&gt;&lt;wsp:rsid wsp:val=&quot;00215923&quot;/&gt;&lt;wsp:rsid wsp:val=&quot;00215B16&quot;/&gt;&lt;wsp:rsid wsp:val=&quot;00216252&quot;/&gt;&lt;wsp:rsid wsp:val=&quot;00216A42&quot;/&gt;&lt;wsp:rsid wsp:val=&quot;0021762E&quot;/&gt;&lt;wsp:rsid wsp:val=&quot;00217863&quot;/&gt;&lt;wsp:rsid wsp:val=&quot;00217875&quot;/&gt;&lt;wsp:rsid wsp:val=&quot;00217C16&quot;/&gt;&lt;wsp:rsid wsp:val=&quot;00217CDD&quot;/&gt;&lt;wsp:rsid wsp:val=&quot;00217DF4&quot;/&gt;&lt;wsp:rsid wsp:val=&quot;00217FF3&quot;/&gt;&lt;wsp:rsid wsp:val=&quot;002201D1&quot;/&gt;&lt;wsp:rsid wsp:val=&quot;0022087F&quot;/&gt;&lt;wsp:rsid wsp:val=&quot;00220A70&quot;/&gt;&lt;wsp:rsid wsp:val=&quot;00220E2B&quot;/&gt;&lt;wsp:rsid wsp:val=&quot;00220FF9&quot;/&gt;&lt;wsp:rsid wsp:val=&quot;00221C9E&quot;/&gt;&lt;wsp:rsid wsp:val=&quot;00221CE5&quot;/&gt;&lt;wsp:rsid wsp:val=&quot;00222238&quot;/&gt;&lt;wsp:rsid wsp:val=&quot;002223C9&quot;/&gt;&lt;wsp:rsid wsp:val=&quot;00222500&quot;/&gt;&lt;wsp:rsid wsp:val=&quot;002226AA&quot;/&gt;&lt;wsp:rsid wsp:val=&quot;0022270D&quot;/&gt;&lt;wsp:rsid wsp:val=&quot;00222C43&quot;/&gt;&lt;wsp:rsid wsp:val=&quot;00222D7F&quot;/&gt;&lt;wsp:rsid wsp:val=&quot;00222DC8&quot;/&gt;&lt;wsp:rsid wsp:val=&quot;002231EE&quot;/&gt;&lt;wsp:rsid wsp:val=&quot;002233E3&quot;/&gt;&lt;wsp:rsid wsp:val=&quot;002239B7&quot;/&gt;&lt;wsp:rsid wsp:val=&quot;00223A30&quot;/&gt;&lt;wsp:rsid wsp:val=&quot;00223B60&quot;/&gt;&lt;wsp:rsid wsp:val=&quot;00223DE6&quot;/&gt;&lt;wsp:rsid wsp:val=&quot;00223F62&quot;/&gt;&lt;wsp:rsid wsp:val=&quot;00223F9C&quot;/&gt;&lt;wsp:rsid wsp:val=&quot;00223FFC&quot;/&gt;&lt;wsp:rsid wsp:val=&quot;002249B1&quot;/&gt;&lt;wsp:rsid wsp:val=&quot;00224B87&quot;/&gt;&lt;wsp:rsid wsp:val=&quot;002252A4&quot;/&gt;&lt;wsp:rsid wsp:val=&quot;002256D7&quot;/&gt;&lt;wsp:rsid wsp:val=&quot;002256F8&quot;/&gt;&lt;wsp:rsid wsp:val=&quot;0022588E&quot;/&gt;&lt;wsp:rsid wsp:val=&quot;00226142&quot;/&gt;&lt;wsp:rsid wsp:val=&quot;00226165&quot;/&gt;&lt;wsp:rsid wsp:val=&quot;0022658A&quot;/&gt;&lt;wsp:rsid wsp:val=&quot;00226901&quot;/&gt;&lt;wsp:rsid wsp:val=&quot;00226C9A&quot;/&gt;&lt;wsp:rsid wsp:val=&quot;00226CAA&quot;/&gt;&lt;wsp:rsid wsp:val=&quot;00226E16&quot;/&gt;&lt;wsp:rsid wsp:val=&quot;00226F0D&quot;/&gt;&lt;wsp:rsid wsp:val=&quot;00226FCA&quot;/&gt;&lt;wsp:rsid wsp:val=&quot;00227818&quot;/&gt;&lt;wsp:rsid wsp:val=&quot;0022783D&quot;/&gt;&lt;wsp:rsid wsp:val=&quot;00227A0E&quot;/&gt;&lt;wsp:rsid wsp:val=&quot;00227CA3&quot;/&gt;&lt;wsp:rsid wsp:val=&quot;00227CAC&quot;/&gt;&lt;wsp:rsid wsp:val=&quot;00227F09&quot;/&gt;&lt;wsp:rsid wsp:val=&quot;002300C7&quot;/&gt;&lt;wsp:rsid wsp:val=&quot;002300D2&quot;/&gt;&lt;wsp:rsid wsp:val=&quot;00230153&quot;/&gt;&lt;wsp:rsid wsp:val=&quot;00230303&quot;/&gt;&lt;wsp:rsid wsp:val=&quot;00230718&quot;/&gt;&lt;wsp:rsid wsp:val=&quot;00230D26&quot;/&gt;&lt;wsp:rsid wsp:val=&quot;002314F1&quot;/&gt;&lt;wsp:rsid wsp:val=&quot;00231683&quot;/&gt;&lt;wsp:rsid wsp:val=&quot;00231CB7&quot;/&gt;&lt;wsp:rsid wsp:val=&quot;00231EF3&quot;/&gt;&lt;wsp:rsid wsp:val=&quot;0023208D&quot;/&gt;&lt;wsp:rsid wsp:val=&quot;00232266&quot;/&gt;&lt;wsp:rsid wsp:val=&quot;002324A6&quot;/&gt;&lt;wsp:rsid wsp:val=&quot;002325A1&quot;/&gt;&lt;wsp:rsid wsp:val=&quot;00232989&quot;/&gt;&lt;wsp:rsid wsp:val=&quot;00232A0A&quot;/&gt;&lt;wsp:rsid wsp:val=&quot;00232B15&quot;/&gt;&lt;wsp:rsid wsp:val=&quot;00232B66&quot;/&gt;&lt;wsp:rsid wsp:val=&quot;00232E63&quot;/&gt;&lt;wsp:rsid wsp:val=&quot;00233149&quot;/&gt;&lt;wsp:rsid wsp:val=&quot;0023329A&quot;/&gt;&lt;wsp:rsid wsp:val=&quot;002333DE&quot;/&gt;&lt;wsp:rsid wsp:val=&quot;00233477&quot;/&gt;&lt;wsp:rsid wsp:val=&quot;00233F42&quot;/&gt;&lt;wsp:rsid wsp:val=&quot;002348CB&quot;/&gt;&lt;wsp:rsid wsp:val=&quot;002349BD&quot;/&gt;&lt;wsp:rsid wsp:val=&quot;00234A0C&quot;/&gt;&lt;wsp:rsid wsp:val=&quot;0023556F&quot;/&gt;&lt;wsp:rsid wsp:val=&quot;00235ACA&quot;/&gt;&lt;wsp:rsid wsp:val=&quot;00236590&quot;/&gt;&lt;wsp:rsid wsp:val=&quot;00236846&quot;/&gt;&lt;wsp:rsid wsp:val=&quot;00236C23&quot;/&gt;&lt;wsp:rsid wsp:val=&quot;00236C72&quot;/&gt;&lt;wsp:rsid wsp:val=&quot;00236C7C&quot;/&gt;&lt;wsp:rsid wsp:val=&quot;00236D67&quot;/&gt;&lt;wsp:rsid wsp:val=&quot;0023725F&quot;/&gt;&lt;wsp:rsid wsp:val=&quot;00237F39&quot;/&gt;&lt;wsp:rsid wsp:val=&quot;002402F2&quot;/&gt;&lt;wsp:rsid wsp:val=&quot;002413BD&quot;/&gt;&lt;wsp:rsid wsp:val=&quot;00241542&quot;/&gt;&lt;wsp:rsid wsp:val=&quot;0024185C&quot;/&gt;&lt;wsp:rsid wsp:val=&quot;002418E7&quot;/&gt;&lt;wsp:rsid wsp:val=&quot;00241A04&quot;/&gt;&lt;wsp:rsid wsp:val=&quot;00241A62&quot;/&gt;&lt;wsp:rsid wsp:val=&quot;00241B80&quot;/&gt;&lt;wsp:rsid wsp:val=&quot;00241C03&quot;/&gt;&lt;wsp:rsid wsp:val=&quot;00241F45&quot;/&gt;&lt;wsp:rsid wsp:val=&quot;00241F5F&quot;/&gt;&lt;wsp:rsid wsp:val=&quot;0024244A&quot;/&gt;&lt;wsp:rsid wsp:val=&quot;0024265F&quot;/&gt;&lt;wsp:rsid wsp:val=&quot;002426C6&quot;/&gt;&lt;wsp:rsid wsp:val=&quot;002427E0&quot;/&gt;&lt;wsp:rsid wsp:val=&quot;00242B14&quot;/&gt;&lt;wsp:rsid wsp:val=&quot;00242C0C&quot;/&gt;&lt;wsp:rsid wsp:val=&quot;00242E31&quot;/&gt;&lt;wsp:rsid wsp:val=&quot;0024301C&quot;/&gt;&lt;wsp:rsid wsp:val=&quot;0024379A&quot;/&gt;&lt;wsp:rsid wsp:val=&quot;00243812&quot;/&gt;&lt;wsp:rsid wsp:val=&quot;00243ACD&quot;/&gt;&lt;wsp:rsid wsp:val=&quot;00243BBE&quot;/&gt;&lt;wsp:rsid wsp:val=&quot;00243C6C&quot;/&gt;&lt;wsp:rsid wsp:val=&quot;0024489F&quot;/&gt;&lt;wsp:rsid wsp:val=&quot;00244FD7&quot;/&gt;&lt;wsp:rsid wsp:val=&quot;0024598B&quot;/&gt;&lt;wsp:rsid wsp:val=&quot;00245AEB&quot;/&gt;&lt;wsp:rsid wsp:val=&quot;002461EA&quot;/&gt;&lt;wsp:rsid wsp:val=&quot;002462E4&quot;/&gt;&lt;wsp:rsid wsp:val=&quot;002467DF&quot;/&gt;&lt;wsp:rsid wsp:val=&quot;0024687E&quot;/&gt;&lt;wsp:rsid wsp:val=&quot;002470B2&quot;/&gt;&lt;wsp:rsid wsp:val=&quot;00247351&quot;/&gt;&lt;wsp:rsid wsp:val=&quot;0024791D&quot;/&gt;&lt;wsp:rsid wsp:val=&quot;00247ACC&quot;/&gt;&lt;wsp:rsid wsp:val=&quot;00247FB1&quot;/&gt;&lt;wsp:rsid wsp:val=&quot;00250170&quot;/&gt;&lt;wsp:rsid wsp:val=&quot;0025022B&quot;/&gt;&lt;wsp:rsid wsp:val=&quot;00251027&quot;/&gt;&lt;wsp:rsid wsp:val=&quot;002510E4&quot;/&gt;&lt;wsp:rsid wsp:val=&quot;0025119D&quot;/&gt;&lt;wsp:rsid wsp:val=&quot;002512E4&quot;/&gt;&lt;wsp:rsid wsp:val=&quot;0025156F&quot;/&gt;&lt;wsp:rsid wsp:val=&quot;00251989&quot;/&gt;&lt;wsp:rsid wsp:val=&quot;00251B43&quot;/&gt;&lt;wsp:rsid wsp:val=&quot;00251FAE&quot;/&gt;&lt;wsp:rsid wsp:val=&quot;002520F8&quot;/&gt;&lt;wsp:rsid wsp:val=&quot;0025211D&quot;/&gt;&lt;wsp:rsid wsp:val=&quot;002526AA&quot;/&gt;&lt;wsp:rsid wsp:val=&quot;0025346F&quot;/&gt;&lt;wsp:rsid wsp:val=&quot;002535C1&quot;/&gt;&lt;wsp:rsid wsp:val=&quot;002535F2&quot;/&gt;&lt;wsp:rsid wsp:val=&quot;00253A28&quot;/&gt;&lt;wsp:rsid wsp:val=&quot;00253B29&quot;/&gt;&lt;wsp:rsid wsp:val=&quot;002540E7&quot;/&gt;&lt;wsp:rsid wsp:val=&quot;0025414B&quot;/&gt;&lt;wsp:rsid wsp:val=&quot;002543FB&quot;/&gt;&lt;wsp:rsid wsp:val=&quot;00254992&quot;/&gt;&lt;wsp:rsid wsp:val=&quot;00254A31&quot;/&gt;&lt;wsp:rsid wsp:val=&quot;00254B17&quot;/&gt;&lt;wsp:rsid wsp:val=&quot;0025529C&quot;/&gt;&lt;wsp:rsid wsp:val=&quot;0025553E&quot;/&gt;&lt;wsp:rsid wsp:val=&quot;002559DA&quot;/&gt;&lt;wsp:rsid wsp:val=&quot;00255A5F&quot;/&gt;&lt;wsp:rsid wsp:val=&quot;002567B3&quot;/&gt;&lt;wsp:rsid wsp:val=&quot;002567D9&quot;/&gt;&lt;wsp:rsid wsp:val=&quot;00257074&quot;/&gt;&lt;wsp:rsid wsp:val=&quot;0025716B&quot;/&gt;&lt;wsp:rsid wsp:val=&quot;002572DE&quot;/&gt;&lt;wsp:rsid wsp:val=&quot;002574AB&quot;/&gt;&lt;wsp:rsid wsp:val=&quot;00257710&quot;/&gt;&lt;wsp:rsid wsp:val=&quot;00257D51&quot;/&gt;&lt;wsp:rsid wsp:val=&quot;00260D34&quot;/&gt;&lt;wsp:rsid wsp:val=&quot;00260E55&quot;/&gt;&lt;wsp:rsid wsp:val=&quot;002617C9&quot;/&gt;&lt;wsp:rsid wsp:val=&quot;002618C2&quot;/&gt;&lt;wsp:rsid wsp:val=&quot;00261D85&quot;/&gt;&lt;wsp:rsid wsp:val=&quot;00262087&quot;/&gt;&lt;wsp:rsid wsp:val=&quot;0026227B&quot;/&gt;&lt;wsp:rsid wsp:val=&quot;00262456&quot;/&gt;&lt;wsp:rsid wsp:val=&quot;0026246C&quot;/&gt;&lt;wsp:rsid wsp:val=&quot;002624A1&quot;/&gt;&lt;wsp:rsid wsp:val=&quot;002627F3&quot;/&gt;&lt;wsp:rsid wsp:val=&quot;00262BD7&quot;/&gt;&lt;wsp:rsid wsp:val=&quot;00262C4D&quot;/&gt;&lt;wsp:rsid wsp:val=&quot;0026359A&quot;/&gt;&lt;wsp:rsid wsp:val=&quot;002636A2&quot;/&gt;&lt;wsp:rsid wsp:val=&quot;002636E9&quot;/&gt;&lt;wsp:rsid wsp:val=&quot;0026396F&quot;/&gt;&lt;wsp:rsid wsp:val=&quot;00263A8D&quot;/&gt;&lt;wsp:rsid wsp:val=&quot;00263C47&quot;/&gt;&lt;wsp:rsid wsp:val=&quot;00263C9F&quot;/&gt;&lt;wsp:rsid wsp:val=&quot;00263E47&quot;/&gt;&lt;wsp:rsid wsp:val=&quot;00263FB4&quot;/&gt;&lt;wsp:rsid wsp:val=&quot;002640D0&quot;/&gt;&lt;wsp:rsid wsp:val=&quot;002643DA&quot;/&gt;&lt;wsp:rsid wsp:val=&quot;002644E2&quot;/&gt;&lt;wsp:rsid wsp:val=&quot;0026461E&quot;/&gt;&lt;wsp:rsid wsp:val=&quot;00264E91&quot;/&gt;&lt;wsp:rsid wsp:val=&quot;00264F6D&quot;/&gt;&lt;wsp:rsid wsp:val=&quot;002655F6&quot;/&gt;&lt;wsp:rsid wsp:val=&quot;0026560C&quot;/&gt;&lt;wsp:rsid wsp:val=&quot;00265FF0&quot;/&gt;&lt;wsp:rsid wsp:val=&quot;00266E09&quot;/&gt;&lt;wsp:rsid wsp:val=&quot;0026739F&quot;/&gt;&lt;wsp:rsid wsp:val=&quot;00267640&quot;/&gt;&lt;wsp:rsid wsp:val=&quot;00270029&quot;/&gt;&lt;wsp:rsid wsp:val=&quot;0027018D&quot;/&gt;&lt;wsp:rsid wsp:val=&quot;00270611&quot;/&gt;&lt;wsp:rsid wsp:val=&quot;00270697&quot;/&gt;&lt;wsp:rsid wsp:val=&quot;00270755&quot;/&gt;&lt;wsp:rsid wsp:val=&quot;00270B47&quot;/&gt;&lt;wsp:rsid wsp:val=&quot;00270D59&quot;/&gt;&lt;wsp:rsid wsp:val=&quot;00271289&quot;/&gt;&lt;wsp:rsid wsp:val=&quot;0027134C&quot;/&gt;&lt;wsp:rsid wsp:val=&quot;00271593&quot;/&gt;&lt;wsp:rsid wsp:val=&quot;002715A6&quot;/&gt;&lt;wsp:rsid wsp:val=&quot;0027161F&quot;/&gt;&lt;wsp:rsid wsp:val=&quot;00271D4D&quot;/&gt;&lt;wsp:rsid wsp:val=&quot;00271E47&quot;/&gt;&lt;wsp:rsid wsp:val=&quot;0027224A&quot;/&gt;&lt;wsp:rsid wsp:val=&quot;002724EF&quot;/&gt;&lt;wsp:rsid wsp:val=&quot;002724F4&quot;/&gt;&lt;wsp:rsid wsp:val=&quot;00272C48&quot;/&gt;&lt;wsp:rsid wsp:val=&quot;002732D0&quot;/&gt;&lt;wsp:rsid wsp:val=&quot;002736D7&quot;/&gt;&lt;wsp:rsid wsp:val=&quot;0027373B&quot;/&gt;&lt;wsp:rsid wsp:val=&quot;00274050&quot;/&gt;&lt;wsp:rsid wsp:val=&quot;00274196&quot;/&gt;&lt;wsp:rsid wsp:val=&quot;00274205&quot;/&gt;&lt;wsp:rsid wsp:val=&quot;002744A3&quot;/&gt;&lt;wsp:rsid wsp:val=&quot;002744AA&quot;/&gt;&lt;wsp:rsid wsp:val=&quot;002747BF&quot;/&gt;&lt;wsp:rsid wsp:val=&quot;002747D0&quot;/&gt;&lt;wsp:rsid wsp:val=&quot;002748ED&quot;/&gt;&lt;wsp:rsid wsp:val=&quot;00274955&quot;/&gt;&lt;wsp:rsid wsp:val=&quot;0027499C&quot;/&gt;&lt;wsp:rsid wsp:val=&quot;00274A6C&quot;/&gt;&lt;wsp:rsid wsp:val=&quot;00274C83&quot;/&gt;&lt;wsp:rsid wsp:val=&quot;00274CDA&quot;/&gt;&lt;wsp:rsid wsp:val=&quot;0027513F&quot;/&gt;&lt;wsp:rsid wsp:val=&quot;00275142&quot;/&gt;&lt;wsp:rsid wsp:val=&quot;00275637&quot;/&gt;&lt;wsp:rsid wsp:val=&quot;002757D0&quot;/&gt;&lt;wsp:rsid wsp:val=&quot;00275A5D&quot;/&gt;&lt;wsp:rsid wsp:val=&quot;00275AD2&quot;/&gt;&lt;wsp:rsid wsp:val=&quot;0027613B&quot;/&gt;&lt;wsp:rsid wsp:val=&quot;0027644C&quot;/&gt;&lt;wsp:rsid wsp:val=&quot;002765AD&quot;/&gt;&lt;wsp:rsid wsp:val=&quot;002767D0&quot;/&gt;&lt;wsp:rsid wsp:val=&quot;00276D6C&quot;/&gt;&lt;wsp:rsid wsp:val=&quot;00276F23&quot;/&gt;&lt;wsp:rsid wsp:val=&quot;0027716C&quot;/&gt;&lt;wsp:rsid wsp:val=&quot;002779DD&quot;/&gt;&lt;wsp:rsid wsp:val=&quot;00277F07&quot;/&gt;&lt;wsp:rsid wsp:val=&quot;0028013C&quot;/&gt;&lt;wsp:rsid wsp:val=&quot;002803DE&quot;/&gt;&lt;wsp:rsid wsp:val=&quot;002804A3&quot;/&gt;&lt;wsp:rsid wsp:val=&quot;00280893&quot;/&gt;&lt;wsp:rsid wsp:val=&quot;002812C9&quot;/&gt;&lt;wsp:rsid wsp:val=&quot;002814EC&quot;/&gt;&lt;wsp:rsid wsp:val=&quot;0028166F&quot;/&gt;&lt;wsp:rsid wsp:val=&quot;00281860&quot;/&gt;&lt;wsp:rsid wsp:val=&quot;00281952&quot;/&gt;&lt;wsp:rsid wsp:val=&quot;00282A78&quot;/&gt;&lt;wsp:rsid wsp:val=&quot;00282B4B&quot;/&gt;&lt;wsp:rsid wsp:val=&quot;00282BDA&quot;/&gt;&lt;wsp:rsid wsp:val=&quot;00282E4D&quot;/&gt;&lt;wsp:rsid wsp:val=&quot;002832E0&quot;/&gt;&lt;wsp:rsid wsp:val=&quot;002833BB&quot;/&gt;&lt;wsp:rsid wsp:val=&quot;0028346E&quot;/&gt;&lt;wsp:rsid wsp:val=&quot;002835C7&quot;/&gt;&lt;wsp:rsid wsp:val=&quot;00284392&quot;/&gt;&lt;wsp:rsid wsp:val=&quot;00284567&quot;/&gt;&lt;wsp:rsid wsp:val=&quot;00284A7F&quot;/&gt;&lt;wsp:rsid wsp:val=&quot;00284BC4&quot;/&gt;&lt;wsp:rsid wsp:val=&quot;00284C0D&quot;/&gt;&lt;wsp:rsid wsp:val=&quot;00285346&quot;/&gt;&lt;wsp:rsid wsp:val=&quot;0028553F&quot;/&gt;&lt;wsp:rsid wsp:val=&quot;00285701&quot;/&gt;&lt;wsp:rsid wsp:val=&quot;00285A7F&quot;/&gt;&lt;wsp:rsid wsp:val=&quot;00285AF2&quot;/&gt;&lt;wsp:rsid wsp:val=&quot;00285FC0&quot;/&gt;&lt;wsp:rsid wsp:val=&quot;00285FC5&quot;/&gt;&lt;wsp:rsid wsp:val=&quot;0028641F&quot;/&gt;&lt;wsp:rsid wsp:val=&quot;002867AA&quot;/&gt;&lt;wsp:rsid wsp:val=&quot;002869F5&quot;/&gt;&lt;wsp:rsid wsp:val=&quot;00286F24&quot;/&gt;&lt;wsp:rsid wsp:val=&quot;00286F32&quot;/&gt;&lt;wsp:rsid wsp:val=&quot;00287223&quot;/&gt;&lt;wsp:rsid wsp:val=&quot;00287681&quot;/&gt;&lt;wsp:rsid wsp:val=&quot;00287EBD&quot;/&gt;&lt;wsp:rsid wsp:val=&quot;00287F8E&quot;/&gt;&lt;wsp:rsid wsp:val=&quot;0029008F&quot;/&gt;&lt;wsp:rsid wsp:val=&quot;0029079A&quot;/&gt;&lt;wsp:rsid wsp:val=&quot;00290A2D&quot;/&gt;&lt;wsp:rsid wsp:val=&quot;002910F2&quot;/&gt;&lt;wsp:rsid wsp:val=&quot;002911F5&quot;/&gt;&lt;wsp:rsid wsp:val=&quot;00291250&quot;/&gt;&lt;wsp:rsid wsp:val=&quot;0029135F&quot;/&gt;&lt;wsp:rsid wsp:val=&quot;0029196D&quot;/&gt;&lt;wsp:rsid wsp:val=&quot;00291A01&quot;/&gt;&lt;wsp:rsid wsp:val=&quot;00291A62&quot;/&gt;&lt;wsp:rsid wsp:val=&quot;00291F28&quot;/&gt;&lt;wsp:rsid wsp:val=&quot;00292687&quot;/&gt;&lt;wsp:rsid wsp:val=&quot;002929B3&quot;/&gt;&lt;wsp:rsid wsp:val=&quot;00292B75&quot;/&gt;&lt;wsp:rsid wsp:val=&quot;00292E90&quot;/&gt;&lt;wsp:rsid wsp:val=&quot;00292F01&quot;/&gt;&lt;wsp:rsid wsp:val=&quot;0029342F&quot;/&gt;&lt;wsp:rsid wsp:val=&quot;002934B1&quot;/&gt;&lt;wsp:rsid wsp:val=&quot;00293626&quot;/&gt;&lt;wsp:rsid wsp:val=&quot;00293B87&quot;/&gt;&lt;wsp:rsid wsp:val=&quot;00293C9E&quot;/&gt;&lt;wsp:rsid wsp:val=&quot;00293DAA&quot;/&gt;&lt;wsp:rsid wsp:val=&quot;00293E69&quot;/&gt;&lt;wsp:rsid wsp:val=&quot;00294076&quot;/&gt;&lt;wsp:rsid wsp:val=&quot;00294094&quot;/&gt;&lt;wsp:rsid wsp:val=&quot;002942B9&quot;/&gt;&lt;wsp:rsid wsp:val=&quot;002944AD&quot;/&gt;&lt;wsp:rsid wsp:val=&quot;00294D12&quot;/&gt;&lt;wsp:rsid wsp:val=&quot;00295814&quot;/&gt;&lt;wsp:rsid wsp:val=&quot;00295EBF&quot;/&gt;&lt;wsp:rsid wsp:val=&quot;00295FCC&quot;/&gt;&lt;wsp:rsid wsp:val=&quot;00296318&quot;/&gt;&lt;wsp:rsid wsp:val=&quot;002963ED&quot;/&gt;&lt;wsp:rsid wsp:val=&quot;00296B3C&quot;/&gt;&lt;wsp:rsid wsp:val=&quot;002976EF&quot;/&gt;&lt;wsp:rsid wsp:val=&quot;00297F6D&quot;/&gt;&lt;wsp:rsid wsp:val=&quot;002A017C&quot;/&gt;&lt;wsp:rsid wsp:val=&quot;002A043F&quot;/&gt;&lt;wsp:rsid wsp:val=&quot;002A082D&quot;/&gt;&lt;wsp:rsid wsp:val=&quot;002A0AC1&quot;/&gt;&lt;wsp:rsid wsp:val=&quot;002A1683&quot;/&gt;&lt;wsp:rsid wsp:val=&quot;002A18F0&quot;/&gt;&lt;wsp:rsid wsp:val=&quot;002A195B&quot;/&gt;&lt;wsp:rsid wsp:val=&quot;002A1B4D&quot;/&gt;&lt;wsp:rsid wsp:val=&quot;002A1D8E&quot;/&gt;&lt;wsp:rsid wsp:val=&quot;002A226C&quot;/&gt;&lt;wsp:rsid wsp:val=&quot;002A25D6&quot;/&gt;&lt;wsp:rsid wsp:val=&quot;002A287D&quot;/&gt;&lt;wsp:rsid wsp:val=&quot;002A30A8&quot;/&gt;&lt;wsp:rsid wsp:val=&quot;002A325C&quot;/&gt;&lt;wsp:rsid wsp:val=&quot;002A354B&quot;/&gt;&lt;wsp:rsid wsp:val=&quot;002A3C55&quot;/&gt;&lt;wsp:rsid wsp:val=&quot;002A3E93&quot;/&gt;&lt;wsp:rsid wsp:val=&quot;002A40B5&quot;/&gt;&lt;wsp:rsid wsp:val=&quot;002A40BF&quot;/&gt;&lt;wsp:rsid wsp:val=&quot;002A438B&quot;/&gt;&lt;wsp:rsid wsp:val=&quot;002A43DA&quot;/&gt;&lt;wsp:rsid wsp:val=&quot;002A4413&quot;/&gt;&lt;wsp:rsid wsp:val=&quot;002A47C6&quot;/&gt;&lt;wsp:rsid wsp:val=&quot;002A4B45&quot;/&gt;&lt;wsp:rsid wsp:val=&quot;002A4F64&quot;/&gt;&lt;wsp:rsid wsp:val=&quot;002A4FAA&quot;/&gt;&lt;wsp:rsid wsp:val=&quot;002A543C&quot;/&gt;&lt;wsp:rsid wsp:val=&quot;002A5850&quot;/&gt;&lt;wsp:rsid wsp:val=&quot;002A5E2B&quot;/&gt;&lt;wsp:rsid wsp:val=&quot;002A60AB&quot;/&gt;&lt;wsp:rsid wsp:val=&quot;002A62D4&quot;/&gt;&lt;wsp:rsid wsp:val=&quot;002A6559&quot;/&gt;&lt;wsp:rsid wsp:val=&quot;002A72E4&quot;/&gt;&lt;wsp:rsid wsp:val=&quot;002A7464&quot;/&gt;&lt;wsp:rsid wsp:val=&quot;002A753D&quot;/&gt;&lt;wsp:rsid wsp:val=&quot;002A76F0&quot;/&gt;&lt;wsp:rsid wsp:val=&quot;002A78B2&quot;/&gt;&lt;wsp:rsid wsp:val=&quot;002A7969&quot;/&gt;&lt;wsp:rsid wsp:val=&quot;002A7DE4&quot;/&gt;&lt;wsp:rsid wsp:val=&quot;002B07B5&quot;/&gt;&lt;wsp:rsid wsp:val=&quot;002B07D5&quot;/&gt;&lt;wsp:rsid wsp:val=&quot;002B0B06&quot;/&gt;&lt;wsp:rsid wsp:val=&quot;002B0B36&quot;/&gt;&lt;wsp:rsid wsp:val=&quot;002B1469&quot;/&gt;&lt;wsp:rsid wsp:val=&quot;002B21F2&quot;/&gt;&lt;wsp:rsid wsp:val=&quot;002B22FF&quot;/&gt;&lt;wsp:rsid wsp:val=&quot;002B2487&quot;/&gt;&lt;wsp:rsid wsp:val=&quot;002B2750&quot;/&gt;&lt;wsp:rsid wsp:val=&quot;002B2CDA&quot;/&gt;&lt;wsp:rsid wsp:val=&quot;002B3B40&quot;/&gt;&lt;wsp:rsid wsp:val=&quot;002B3B45&quot;/&gt;&lt;wsp:rsid wsp:val=&quot;002B3C6E&quot;/&gt;&lt;wsp:rsid wsp:val=&quot;002B4636&quot;/&gt;&lt;wsp:rsid wsp:val=&quot;002B5679&quot;/&gt;&lt;wsp:rsid wsp:val=&quot;002B589F&quot;/&gt;&lt;wsp:rsid wsp:val=&quot;002B5CDE&quot;/&gt;&lt;wsp:rsid wsp:val=&quot;002B6271&quot;/&gt;&lt;wsp:rsid wsp:val=&quot;002B63AB&quot;/&gt;&lt;wsp:rsid wsp:val=&quot;002B6969&quot;/&gt;&lt;wsp:rsid wsp:val=&quot;002B6B15&quot;/&gt;&lt;wsp:rsid wsp:val=&quot;002B6C6C&quot;/&gt;&lt;wsp:rsid wsp:val=&quot;002B6E38&quot;/&gt;&lt;wsp:rsid wsp:val=&quot;002B7093&quot;/&gt;&lt;wsp:rsid wsp:val=&quot;002C028F&quot;/&gt;&lt;wsp:rsid wsp:val=&quot;002C02EC&quot;/&gt;&lt;wsp:rsid wsp:val=&quot;002C02EF&quot;/&gt;&lt;wsp:rsid wsp:val=&quot;002C0435&quot;/&gt;&lt;wsp:rsid wsp:val=&quot;002C0475&quot;/&gt;&lt;wsp:rsid wsp:val=&quot;002C049C&quot;/&gt;&lt;wsp:rsid wsp:val=&quot;002C06A2&quot;/&gt;&lt;wsp:rsid wsp:val=&quot;002C0797&quot;/&gt;&lt;wsp:rsid wsp:val=&quot;002C09C9&quot;/&gt;&lt;wsp:rsid wsp:val=&quot;002C1425&quot;/&gt;&lt;wsp:rsid wsp:val=&quot;002C196B&quot;/&gt;&lt;wsp:rsid wsp:val=&quot;002C1A16&quot;/&gt;&lt;wsp:rsid wsp:val=&quot;002C1D69&quot;/&gt;&lt;wsp:rsid wsp:val=&quot;002C2023&quot;/&gt;&lt;wsp:rsid wsp:val=&quot;002C2E78&quot;/&gt;&lt;wsp:rsid wsp:val=&quot;002C341B&quot;/&gt;&lt;wsp:rsid wsp:val=&quot;002C36FF&quot;/&gt;&lt;wsp:rsid wsp:val=&quot;002C3863&quot;/&gt;&lt;wsp:rsid wsp:val=&quot;002C38D3&quot;/&gt;&lt;wsp:rsid wsp:val=&quot;002C399A&quot;/&gt;&lt;wsp:rsid wsp:val=&quot;002C3F6E&quot;/&gt;&lt;wsp:rsid wsp:val=&quot;002C40E3&quot;/&gt;&lt;wsp:rsid wsp:val=&quot;002C426B&quot;/&gt;&lt;wsp:rsid wsp:val=&quot;002C4910&quot;/&gt;&lt;wsp:rsid wsp:val=&quot;002C51F4&quot;/&gt;&lt;wsp:rsid wsp:val=&quot;002C52BD&quot;/&gt;&lt;wsp:rsid wsp:val=&quot;002C5465&quot;/&gt;&lt;wsp:rsid wsp:val=&quot;002C580B&quot;/&gt;&lt;wsp:rsid wsp:val=&quot;002C5A9A&quot;/&gt;&lt;wsp:rsid wsp:val=&quot;002C5D82&quot;/&gt;&lt;wsp:rsid wsp:val=&quot;002C5F99&quot;/&gt;&lt;wsp:rsid wsp:val=&quot;002C6221&quot;/&gt;&lt;wsp:rsid wsp:val=&quot;002C6936&quot;/&gt;&lt;wsp:rsid wsp:val=&quot;002C6EF6&quot;/&gt;&lt;wsp:rsid wsp:val=&quot;002C70A1&quot;/&gt;&lt;wsp:rsid wsp:val=&quot;002C70EB&quot;/&gt;&lt;wsp:rsid wsp:val=&quot;002C71BC&quot;/&gt;&lt;wsp:rsid wsp:val=&quot;002C7CB3&quot;/&gt;&lt;wsp:rsid wsp:val=&quot;002D01B6&quot;/&gt;&lt;wsp:rsid wsp:val=&quot;002D051A&quot;/&gt;&lt;wsp:rsid wsp:val=&quot;002D066C&quot;/&gt;&lt;wsp:rsid wsp:val=&quot;002D0BD7&quot;/&gt;&lt;wsp:rsid wsp:val=&quot;002D0D75&quot;/&gt;&lt;wsp:rsid wsp:val=&quot;002D17A6&quot;/&gt;&lt;wsp:rsid wsp:val=&quot;002D1F87&quot;/&gt;&lt;wsp:rsid wsp:val=&quot;002D2373&quot;/&gt;&lt;wsp:rsid wsp:val=&quot;002D26F6&quot;/&gt;&lt;wsp:rsid wsp:val=&quot;002D2A19&quot;/&gt;&lt;wsp:rsid wsp:val=&quot;002D2A84&quot;/&gt;&lt;wsp:rsid wsp:val=&quot;002D30BE&quot;/&gt;&lt;wsp:rsid wsp:val=&quot;002D325A&quot;/&gt;&lt;wsp:rsid wsp:val=&quot;002D3A06&quot;/&gt;&lt;wsp:rsid wsp:val=&quot;002D3E99&quot;/&gt;&lt;wsp:rsid wsp:val=&quot;002D3FAD&quot;/&gt;&lt;wsp:rsid wsp:val=&quot;002D4667&quot;/&gt;&lt;wsp:rsid wsp:val=&quot;002D48AC&quot;/&gt;&lt;wsp:rsid wsp:val=&quot;002D4A83&quot;/&gt;&lt;wsp:rsid wsp:val=&quot;002D4C2A&quot;/&gt;&lt;wsp:rsid wsp:val=&quot;002D5156&quot;/&gt;&lt;wsp:rsid wsp:val=&quot;002D5221&quot;/&gt;&lt;wsp:rsid wsp:val=&quot;002D54B2&quot;/&gt;&lt;wsp:rsid wsp:val=&quot;002D5AD5&quot;/&gt;&lt;wsp:rsid wsp:val=&quot;002D5F75&quot;/&gt;&lt;wsp:rsid wsp:val=&quot;002D60C7&quot;/&gt;&lt;wsp:rsid wsp:val=&quot;002D6528&quot;/&gt;&lt;wsp:rsid wsp:val=&quot;002D655D&quot;/&gt;&lt;wsp:rsid wsp:val=&quot;002D6810&quot;/&gt;&lt;wsp:rsid wsp:val=&quot;002D68CE&quot;/&gt;&lt;wsp:rsid wsp:val=&quot;002D68D1&quot;/&gt;&lt;wsp:rsid wsp:val=&quot;002D68F0&quot;/&gt;&lt;wsp:rsid wsp:val=&quot;002D6938&quot;/&gt;&lt;wsp:rsid wsp:val=&quot;002D6EA4&quot;/&gt;&lt;wsp:rsid wsp:val=&quot;002D6F4C&quot;/&gt;&lt;wsp:rsid wsp:val=&quot;002D712B&quot;/&gt;&lt;wsp:rsid wsp:val=&quot;002D7489&quot;/&gt;&lt;wsp:rsid wsp:val=&quot;002D75E1&quot;/&gt;&lt;wsp:rsid wsp:val=&quot;002D7852&quot;/&gt;&lt;wsp:rsid wsp:val=&quot;002D7876&quot;/&gt;&lt;wsp:rsid wsp:val=&quot;002D7F7C&quot;/&gt;&lt;wsp:rsid wsp:val=&quot;002E00F5&quot;/&gt;&lt;wsp:rsid wsp:val=&quot;002E0245&quot;/&gt;&lt;wsp:rsid wsp:val=&quot;002E09BB&quot;/&gt;&lt;wsp:rsid wsp:val=&quot;002E10DC&quot;/&gt;&lt;wsp:rsid wsp:val=&quot;002E155F&quot;/&gt;&lt;wsp:rsid wsp:val=&quot;002E1B96&quot;/&gt;&lt;wsp:rsid wsp:val=&quot;002E1D4F&quot;/&gt;&lt;wsp:rsid wsp:val=&quot;002E1F15&quot;/&gt;&lt;wsp:rsid wsp:val=&quot;002E1F17&quot;/&gt;&lt;wsp:rsid wsp:val=&quot;002E205D&quot;/&gt;&lt;wsp:rsid wsp:val=&quot;002E22DB&quot;/&gt;&lt;wsp:rsid wsp:val=&quot;002E28BB&quot;/&gt;&lt;wsp:rsid wsp:val=&quot;002E2C03&quot;/&gt;&lt;wsp:rsid wsp:val=&quot;002E2EC0&quot;/&gt;&lt;wsp:rsid wsp:val=&quot;002E3387&quot;/&gt;&lt;wsp:rsid wsp:val=&quot;002E34D6&quot;/&gt;&lt;wsp:rsid wsp:val=&quot;002E3B88&quot;/&gt;&lt;wsp:rsid wsp:val=&quot;002E3D5B&quot;/&gt;&lt;wsp:rsid wsp:val=&quot;002E3DAD&quot;/&gt;&lt;wsp:rsid wsp:val=&quot;002E3ED7&quot;/&gt;&lt;wsp:rsid wsp:val=&quot;002E4583&quot;/&gt;&lt;wsp:rsid wsp:val=&quot;002E4707&quot;/&gt;&lt;wsp:rsid wsp:val=&quot;002E4B35&quot;/&gt;&lt;wsp:rsid wsp:val=&quot;002E542B&quot;/&gt;&lt;wsp:rsid wsp:val=&quot;002E6D9B&quot;/&gt;&lt;wsp:rsid wsp:val=&quot;002E7A1F&quot;/&gt;&lt;wsp:rsid wsp:val=&quot;002E7AE0&quot;/&gt;&lt;wsp:rsid wsp:val=&quot;002E7B93&quot;/&gt;&lt;wsp:rsid wsp:val=&quot;002E7F73&quot;/&gt;&lt;wsp:rsid wsp:val=&quot;002F0117&quot;/&gt;&lt;wsp:rsid wsp:val=&quot;002F033F&quot;/&gt;&lt;wsp:rsid wsp:val=&quot;002F0447&quot;/&gt;&lt;wsp:rsid wsp:val=&quot;002F046F&quot;/&gt;&lt;wsp:rsid wsp:val=&quot;002F0546&quot;/&gt;&lt;wsp:rsid wsp:val=&quot;002F0E28&quot;/&gt;&lt;wsp:rsid wsp:val=&quot;002F0F50&quot;/&gt;&lt;wsp:rsid wsp:val=&quot;002F0FBF&quot;/&gt;&lt;wsp:rsid wsp:val=&quot;002F12A5&quot;/&gt;&lt;wsp:rsid wsp:val=&quot;002F1589&quot;/&gt;&lt;wsp:rsid wsp:val=&quot;002F17EF&quot;/&gt;&lt;wsp:rsid wsp:val=&quot;002F1969&quot;/&gt;&lt;wsp:rsid wsp:val=&quot;002F1FC7&quot;/&gt;&lt;wsp:rsid wsp:val=&quot;002F2886&quot;/&gt;&lt;wsp:rsid wsp:val=&quot;002F309F&quot;/&gt;&lt;wsp:rsid wsp:val=&quot;002F33C7&quot;/&gt;&lt;wsp:rsid wsp:val=&quot;002F3538&quot;/&gt;&lt;wsp:rsid wsp:val=&quot;002F3CF1&quot;/&gt;&lt;wsp:rsid wsp:val=&quot;002F3D37&quot;/&gt;&lt;wsp:rsid wsp:val=&quot;002F42BA&quot;/&gt;&lt;wsp:rsid wsp:val=&quot;002F452B&quot;/&gt;&lt;wsp:rsid wsp:val=&quot;002F4635&quot;/&gt;&lt;wsp:rsid wsp:val=&quot;002F4CC1&quot;/&gt;&lt;wsp:rsid wsp:val=&quot;002F4E53&quot;/&gt;&lt;wsp:rsid wsp:val=&quot;002F4E82&quot;/&gt;&lt;wsp:rsid wsp:val=&quot;002F4FEE&quot;/&gt;&lt;wsp:rsid wsp:val=&quot;002F50B4&quot;/&gt;&lt;wsp:rsid wsp:val=&quot;002F5550&quot;/&gt;&lt;wsp:rsid wsp:val=&quot;002F57FD&quot;/&gt;&lt;wsp:rsid wsp:val=&quot;002F5DB6&quot;/&gt;&lt;wsp:rsid wsp:val=&quot;002F5EEF&quot;/&gt;&lt;wsp:rsid wsp:val=&quot;002F5FFD&quot;/&gt;&lt;wsp:rsid wsp:val=&quot;002F6510&quot;/&gt;&lt;wsp:rsid wsp:val=&quot;002F6A30&quot;/&gt;&lt;wsp:rsid wsp:val=&quot;002F6C71&quot;/&gt;&lt;wsp:rsid wsp:val=&quot;002F762A&quot;/&gt;&lt;wsp:rsid wsp:val=&quot;002F7CDE&quot;/&gt;&lt;wsp:rsid wsp:val=&quot;00300614&quot;/&gt;&lt;wsp:rsid wsp:val=&quot;0030079A&quot;/&gt;&lt;wsp:rsid wsp:val=&quot;00300A4F&quot;/&gt;&lt;wsp:rsid wsp:val=&quot;003011E0&quot;/&gt;&lt;wsp:rsid wsp:val=&quot;00301AB9&quot;/&gt;&lt;wsp:rsid wsp:val=&quot;00301E31&quot;/&gt;&lt;wsp:rsid wsp:val=&quot;003020F0&quot;/&gt;&lt;wsp:rsid wsp:val=&quot;003021E3&quot;/&gt;&lt;wsp:rsid wsp:val=&quot;003021EB&quot;/&gt;&lt;wsp:rsid wsp:val=&quot;0030234F&quot;/&gt;&lt;wsp:rsid wsp:val=&quot;003024F1&quot;/&gt;&lt;wsp:rsid wsp:val=&quot;00302C47&quot;/&gt;&lt;wsp:rsid wsp:val=&quot;00302DE7&quot;/&gt;&lt;wsp:rsid wsp:val=&quot;00302E2C&quot;/&gt;&lt;wsp:rsid wsp:val=&quot;0030381E&quot;/&gt;&lt;wsp:rsid wsp:val=&quot;00303848&quot;/&gt;&lt;wsp:rsid wsp:val=&quot;00303894&quot;/&gt;&lt;wsp:rsid wsp:val=&quot;00303A13&quot;/&gt;&lt;wsp:rsid wsp:val=&quot;00303D41&quot;/&gt;&lt;wsp:rsid wsp:val=&quot;0030400B&quot;/&gt;&lt;wsp:rsid wsp:val=&quot;003040BB&quot;/&gt;&lt;wsp:rsid wsp:val=&quot;003042E2&quot;/&gt;&lt;wsp:rsid wsp:val=&quot;00304465&quot;/&gt;&lt;wsp:rsid wsp:val=&quot;00304543&quot;/&gt;&lt;wsp:rsid wsp:val=&quot;00304659&quot;/&gt;&lt;wsp:rsid wsp:val=&quot;00304816&quot;/&gt;&lt;wsp:rsid wsp:val=&quot;00305216&quot;/&gt;&lt;wsp:rsid wsp:val=&quot;00305929&quot;/&gt;&lt;wsp:rsid wsp:val=&quot;00305A87&quot;/&gt;&lt;wsp:rsid wsp:val=&quot;003064CB&quot;/&gt;&lt;wsp:rsid wsp:val=&quot;00306A6A&quot;/&gt;&lt;wsp:rsid wsp:val=&quot;00306AA7&quot;/&gt;&lt;wsp:rsid wsp:val=&quot;00306CB1&quot;/&gt;&lt;wsp:rsid wsp:val=&quot;00306F51&quot;/&gt;&lt;wsp:rsid wsp:val=&quot;00306F9A&quot;/&gt;&lt;wsp:rsid wsp:val=&quot;00307117&quot;/&gt;&lt;wsp:rsid wsp:val=&quot;00307711&quot;/&gt;&lt;wsp:rsid wsp:val=&quot;003077AC&quot;/&gt;&lt;wsp:rsid wsp:val=&quot;00307B03&quot;/&gt;&lt;wsp:rsid wsp:val=&quot;0031013A&quot;/&gt;&lt;wsp:rsid wsp:val=&quot;0031018C&quot;/&gt;&lt;wsp:rsid wsp:val=&quot;003105B2&quot;/&gt;&lt;wsp:rsid wsp:val=&quot;00310832&quot;/&gt;&lt;wsp:rsid wsp:val=&quot;00310AC6&quot;/&gt;&lt;wsp:rsid wsp:val=&quot;00310E02&quot;/&gt;&lt;wsp:rsid wsp:val=&quot;003111BD&quot;/&gt;&lt;wsp:rsid wsp:val=&quot;00311355&quot;/&gt;&lt;wsp:rsid wsp:val=&quot;003118E0&quot;/&gt;&lt;wsp:rsid wsp:val=&quot;00311967&quot;/&gt;&lt;wsp:rsid wsp:val=&quot;00311BFF&quot;/&gt;&lt;wsp:rsid wsp:val=&quot;0031201D&quot;/&gt;&lt;wsp:rsid wsp:val=&quot;003124A8&quot;/&gt;&lt;wsp:rsid wsp:val=&quot;0031286E&quot;/&gt;&lt;wsp:rsid wsp:val=&quot;00312EEF&quot;/&gt;&lt;wsp:rsid wsp:val=&quot;00312FD4&quot;/&gt;&lt;wsp:rsid wsp:val=&quot;0031302C&quot;/&gt;&lt;wsp:rsid wsp:val=&quot;00313A91&quot;/&gt;&lt;wsp:rsid wsp:val=&quot;00313C73&quot;/&gt;&lt;wsp:rsid wsp:val=&quot;0031435C&quot;/&gt;&lt;wsp:rsid wsp:val=&quot;003144DA&quot;/&gt;&lt;wsp:rsid wsp:val=&quot;00314577&quot;/&gt;&lt;wsp:rsid wsp:val=&quot;003145BA&quot;/&gt;&lt;wsp:rsid wsp:val=&quot;003146B3&quot;/&gt;&lt;wsp:rsid wsp:val=&quot;003148C5&quot;/&gt;&lt;wsp:rsid wsp:val=&quot;003148E8&quot;/&gt;&lt;wsp:rsid wsp:val=&quot;0031494A&quot;/&gt;&lt;wsp:rsid wsp:val=&quot;00314D64&quot;/&gt;&lt;wsp:rsid wsp:val=&quot;003153AB&quot;/&gt;&lt;wsp:rsid wsp:val=&quot;00315C1F&quot;/&gt;&lt;wsp:rsid wsp:val=&quot;00316A8D&quot;/&gt;&lt;wsp:rsid wsp:val=&quot;00316B3D&quot;/&gt;&lt;wsp:rsid wsp:val=&quot;0031710A&quot;/&gt;&lt;wsp:rsid wsp:val=&quot;0031727B&quot;/&gt;&lt;wsp:rsid wsp:val=&quot;003173FE&quot;/&gt;&lt;wsp:rsid wsp:val=&quot;0031743E&quot;/&gt;&lt;wsp:rsid wsp:val=&quot;003175D3&quot;/&gt;&lt;wsp:rsid wsp:val=&quot;003176EF&quot;/&gt;&lt;wsp:rsid wsp:val=&quot;00317939&quot;/&gt;&lt;wsp:rsid wsp:val=&quot;00317951&quot;/&gt;&lt;wsp:rsid wsp:val=&quot;003179E4&quot;/&gt;&lt;wsp:rsid wsp:val=&quot;00317A5B&quot;/&gt;&lt;wsp:rsid wsp:val=&quot;00317B85&quot;/&gt;&lt;wsp:rsid wsp:val=&quot;00317C82&quot;/&gt;&lt;wsp:rsid wsp:val=&quot;00317C8D&quot;/&gt;&lt;wsp:rsid wsp:val=&quot;00320125&quot;/&gt;&lt;wsp:rsid wsp:val=&quot;00320258&quot;/&gt;&lt;wsp:rsid wsp:val=&quot;00320778&quot;/&gt;&lt;wsp:rsid wsp:val=&quot;003208F1&quot;/&gt;&lt;wsp:rsid wsp:val=&quot;00320B46&quot;/&gt;&lt;wsp:rsid wsp:val=&quot;00321345&quot;/&gt;&lt;wsp:rsid wsp:val=&quot;003219C6&quot;/&gt;&lt;wsp:rsid wsp:val=&quot;00321BAA&quot;/&gt;&lt;wsp:rsid wsp:val=&quot;00321FE8&quot;/&gt;&lt;wsp:rsid wsp:val=&quot;003228E7&quot;/&gt;&lt;wsp:rsid wsp:val=&quot;00322C86&quot;/&gt;&lt;wsp:rsid wsp:val=&quot;00322F9C&quot;/&gt;&lt;wsp:rsid wsp:val=&quot;00323064&quot;/&gt;&lt;wsp:rsid wsp:val=&quot;00323789&quot;/&gt;&lt;wsp:rsid wsp:val=&quot;003237CD&quot;/&gt;&lt;wsp:rsid wsp:val=&quot;003239FE&quot;/&gt;&lt;wsp:rsid wsp:val=&quot;00323A36&quot;/&gt;&lt;wsp:rsid wsp:val=&quot;00323C3F&quot;/&gt;&lt;wsp:rsid wsp:val=&quot;00324043&quot;/&gt;&lt;wsp:rsid wsp:val=&quot;003240C6&quot;/&gt;&lt;wsp:rsid wsp:val=&quot;003240DB&quot;/&gt;&lt;wsp:rsid wsp:val=&quot;00324172&quot;/&gt;&lt;wsp:rsid wsp:val=&quot;003243F1&quot;/&gt;&lt;wsp:rsid wsp:val=&quot;00324811&quot;/&gt;&lt;wsp:rsid wsp:val=&quot;00324D96&quot;/&gt;&lt;wsp:rsid wsp:val=&quot;003251F5&quot;/&gt;&lt;wsp:rsid wsp:val=&quot;003251FD&quot;/&gt;&lt;wsp:rsid wsp:val=&quot;003252DE&quot;/&gt;&lt;wsp:rsid wsp:val=&quot;0032561C&quot;/&gt;&lt;wsp:rsid wsp:val=&quot;003256BF&quot;/&gt;&lt;wsp:rsid wsp:val=&quot;0032627E&quot;/&gt;&lt;wsp:rsid wsp:val=&quot;003263D2&quot;/&gt;&lt;wsp:rsid wsp:val=&quot;003265DD&quot;/&gt;&lt;wsp:rsid wsp:val=&quot;00326D3E&quot;/&gt;&lt;wsp:rsid wsp:val=&quot;0032714F&quot;/&gt;&lt;wsp:rsid wsp:val=&quot;0032737B&quot;/&gt;&lt;wsp:rsid wsp:val=&quot;0032755B&quot;/&gt;&lt;wsp:rsid wsp:val=&quot;0032756B&quot;/&gt;&lt;wsp:rsid wsp:val=&quot;003278B6&quot;/&gt;&lt;wsp:rsid wsp:val=&quot;00327A8B&quot;/&gt;&lt;wsp:rsid wsp:val=&quot;00327CA0&quot;/&gt;&lt;wsp:rsid wsp:val=&quot;00327E04&quot;/&gt;&lt;wsp:rsid wsp:val=&quot;00327E52&quot;/&gt;&lt;wsp:rsid wsp:val=&quot;00330024&quot;/&gt;&lt;wsp:rsid wsp:val=&quot;0033034B&quot;/&gt;&lt;wsp:rsid wsp:val=&quot;00330B34&quot;/&gt;&lt;wsp:rsid wsp:val=&quot;00331365&quot;/&gt;&lt;wsp:rsid wsp:val=&quot;003316ED&quot;/&gt;&lt;wsp:rsid wsp:val=&quot;0033175A&quot;/&gt;&lt;wsp:rsid wsp:val=&quot;003318EC&quot;/&gt;&lt;wsp:rsid wsp:val=&quot;00331ACB&quot;/&gt;&lt;wsp:rsid wsp:val=&quot;0033226E&quot;/&gt;&lt;wsp:rsid wsp:val=&quot;003322C0&quot;/&gt;&lt;wsp:rsid wsp:val=&quot;0033245B&quot;/&gt;&lt;wsp:rsid wsp:val=&quot;003327D1&quot;/&gt;&lt;wsp:rsid wsp:val=&quot;00332A9F&quot;/&gt;&lt;wsp:rsid wsp:val=&quot;00332C11&quot;/&gt;&lt;wsp:rsid wsp:val=&quot;0033316B&quot;/&gt;&lt;wsp:rsid wsp:val=&quot;003331E4&quot;/&gt;&lt;wsp:rsid wsp:val=&quot;003332A5&quot;/&gt;&lt;wsp:rsid wsp:val=&quot;003332B4&quot;/&gt;&lt;wsp:rsid wsp:val=&quot;003332C9&quot;/&gt;&lt;wsp:rsid wsp:val=&quot;00333498&quot;/&gt;&lt;wsp:rsid wsp:val=&quot;00333521&quot;/&gt;&lt;wsp:rsid wsp:val=&quot;00333680&quot;/&gt;&lt;wsp:rsid wsp:val=&quot;00333F62&quot;/&gt;&lt;wsp:rsid wsp:val=&quot;003340C4&quot;/&gt;&lt;wsp:rsid wsp:val=&quot;003342C3&quot;/&gt;&lt;wsp:rsid wsp:val=&quot;00334AB7&quot;/&gt;&lt;wsp:rsid wsp:val=&quot;00334DBD&quot;/&gt;&lt;wsp:rsid wsp:val=&quot;00334F85&quot;/&gt;&lt;wsp:rsid wsp:val=&quot;0033524F&quot;/&gt;&lt;wsp:rsid wsp:val=&quot;003354E8&quot;/&gt;&lt;wsp:rsid wsp:val=&quot;00335704&quot;/&gt;&lt;wsp:rsid wsp:val=&quot;00335B8C&quot;/&gt;&lt;wsp:rsid wsp:val=&quot;00335BEC&quot;/&gt;&lt;wsp:rsid wsp:val=&quot;00335C3B&quot;/&gt;&lt;wsp:rsid wsp:val=&quot;00335FEF&quot;/&gt;&lt;wsp:rsid wsp:val=&quot;00336121&quot;/&gt;&lt;wsp:rsid wsp:val=&quot;00336146&quot;/&gt;&lt;wsp:rsid wsp:val=&quot;003369C1&quot;/&gt;&lt;wsp:rsid wsp:val=&quot;00336D68&quot;/&gt;&lt;wsp:rsid wsp:val=&quot;00336D7E&quot;/&gt;&lt;wsp:rsid wsp:val=&quot;00337075&quot;/&gt;&lt;wsp:rsid wsp:val=&quot;0033707C&quot;/&gt;&lt;wsp:rsid wsp:val=&quot;003373A9&quot;/&gt;&lt;wsp:rsid wsp:val=&quot;003373F7&quot;/&gt;&lt;wsp:rsid wsp:val=&quot;003375F2&quot;/&gt;&lt;wsp:rsid wsp:val=&quot;0033764C&quot;/&gt;&lt;wsp:rsid wsp:val=&quot;003379E1&quot;/&gt;&lt;wsp:rsid wsp:val=&quot;0034005A&quot;/&gt;&lt;wsp:rsid wsp:val=&quot;00340105&quot;/&gt;&lt;wsp:rsid wsp:val=&quot;003405F2&quot;/&gt;&lt;wsp:rsid wsp:val=&quot;0034077B&quot;/&gt;&lt;wsp:rsid wsp:val=&quot;00340B3C&quot;/&gt;&lt;wsp:rsid wsp:val=&quot;00340EA3&quot;/&gt;&lt;wsp:rsid wsp:val=&quot;00340EC3&quot;/&gt;&lt;wsp:rsid wsp:val=&quot;00341352&quot;/&gt;&lt;wsp:rsid wsp:val=&quot;0034136D&quot;/&gt;&lt;wsp:rsid wsp:val=&quot;00341648&quot;/&gt;&lt;wsp:rsid wsp:val=&quot;00341871&quot;/&gt;&lt;wsp:rsid wsp:val=&quot;00341BA2&quot;/&gt;&lt;wsp:rsid wsp:val=&quot;0034246D&quot;/&gt;&lt;wsp:rsid wsp:val=&quot;003426DD&quot;/&gt;&lt;wsp:rsid wsp:val=&quot;003429BB&quot;/&gt;&lt;wsp:rsid wsp:val=&quot;00342C6D&quot;/&gt;&lt;wsp:rsid wsp:val=&quot;00342D91&quot;/&gt;&lt;wsp:rsid wsp:val=&quot;0034360D&quot;/&gt;&lt;wsp:rsid wsp:val=&quot;00343823&quot;/&gt;&lt;wsp:rsid wsp:val=&quot;00343AEB&quot;/&gt;&lt;wsp:rsid wsp:val=&quot;00343B37&quot;/&gt;&lt;wsp:rsid wsp:val=&quot;003441AF&quot;/&gt;&lt;wsp:rsid wsp:val=&quot;0034430C&quot;/&gt;&lt;wsp:rsid wsp:val=&quot;0034477E&quot;/&gt;&lt;wsp:rsid wsp:val=&quot;0034499B&quot;/&gt;&lt;wsp:rsid wsp:val=&quot;003449EE&quot;/&gt;&lt;wsp:rsid wsp:val=&quot;00344C86&quot;/&gt;&lt;wsp:rsid wsp:val=&quot;00345346&quot;/&gt;&lt;wsp:rsid wsp:val=&quot;003459A5&quot;/&gt;&lt;wsp:rsid wsp:val=&quot;00345E3E&quot;/&gt;&lt;wsp:rsid wsp:val=&quot;00345E83&quot;/&gt;&lt;wsp:rsid wsp:val=&quot;003461A8&quot;/&gt;&lt;wsp:rsid wsp:val=&quot;003461B5&quot;/&gt;&lt;wsp:rsid wsp:val=&quot;0034647F&quot;/&gt;&lt;wsp:rsid wsp:val=&quot;003465BD&quot;/&gt;&lt;wsp:rsid wsp:val=&quot;003467BA&quot;/&gt;&lt;wsp:rsid wsp:val=&quot;003472CE&quot;/&gt;&lt;wsp:rsid wsp:val=&quot;003474C7&quot;/&gt;&lt;wsp:rsid wsp:val=&quot;00347AEC&quot;/&gt;&lt;wsp:rsid wsp:val=&quot;00350027&quot;/&gt;&lt;wsp:rsid wsp:val=&quot;003501D8&quot;/&gt;&lt;wsp:rsid wsp:val=&quot;003506E8&quot;/&gt;&lt;wsp:rsid wsp:val=&quot;00350808&quot;/&gt;&lt;wsp:rsid wsp:val=&quot;00350B40&quot;/&gt;&lt;wsp:rsid wsp:val=&quot;00350BE1&quot;/&gt;&lt;wsp:rsid wsp:val=&quot;00350C45&quot;/&gt;&lt;wsp:rsid wsp:val=&quot;00350D37&quot;/&gt;&lt;wsp:rsid wsp:val=&quot;003513D0&quot;/&gt;&lt;wsp:rsid wsp:val=&quot;00351544&quot;/&gt;&lt;wsp:rsid wsp:val=&quot;00351D23&quot;/&gt;&lt;wsp:rsid wsp:val=&quot;00352111&quot;/&gt;&lt;wsp:rsid wsp:val=&quot;0035243E&quot;/&gt;&lt;wsp:rsid wsp:val=&quot;003529B5&quot;/&gt;&lt;wsp:rsid wsp:val=&quot;003529C4&quot;/&gt;&lt;wsp:rsid wsp:val=&quot;00352D51&quot;/&gt;&lt;wsp:rsid wsp:val=&quot;0035318B&quot;/&gt;&lt;wsp:rsid wsp:val=&quot;0035377D&quot;/&gt;&lt;wsp:rsid wsp:val=&quot;00353951&quot;/&gt;&lt;wsp:rsid wsp:val=&quot;00353DEF&quot;/&gt;&lt;wsp:rsid wsp:val=&quot;003548CE&quot;/&gt;&lt;wsp:rsid wsp:val=&quot;003550CB&quot;/&gt;&lt;wsp:rsid wsp:val=&quot;0035532F&quot;/&gt;&lt;wsp:rsid wsp:val=&quot;00355506&quot;/&gt;&lt;wsp:rsid wsp:val=&quot;0035582D&quot;/&gt;&lt;wsp:rsid wsp:val=&quot;003558B6&quot;/&gt;&lt;wsp:rsid wsp:val=&quot;0035596F&quot;/&gt;&lt;wsp:rsid wsp:val=&quot;00355B23&quot;/&gt;&lt;wsp:rsid wsp:val=&quot;003564AF&quot;/&gt;&lt;wsp:rsid wsp:val=&quot;003576FD&quot;/&gt;&lt;wsp:rsid wsp:val=&quot;0035786F&quot;/&gt;&lt;wsp:rsid wsp:val=&quot;00357B2B&quot;/&gt;&lt;wsp:rsid wsp:val=&quot;00357BD4&quot;/&gt;&lt;wsp:rsid wsp:val=&quot;0036002A&quot;/&gt;&lt;wsp:rsid wsp:val=&quot;0036041D&quot;/&gt;&lt;wsp:rsid wsp:val=&quot;00360810&quot;/&gt;&lt;wsp:rsid wsp:val=&quot;00360C9D&quot;/&gt;&lt;wsp:rsid wsp:val=&quot;00360FA1&quot;/&gt;&lt;wsp:rsid wsp:val=&quot;003611FD&quot;/&gt;&lt;wsp:rsid wsp:val=&quot;00361663&quot;/&gt;&lt;wsp:rsid wsp:val=&quot;00361B72&quot;/&gt;&lt;wsp:rsid wsp:val=&quot;00361FD5&quot;/&gt;&lt;wsp:rsid wsp:val=&quot;003620B5&quot;/&gt;&lt;wsp:rsid wsp:val=&quot;003620DB&quot;/&gt;&lt;wsp:rsid wsp:val=&quot;003621B7&quot;/&gt;&lt;wsp:rsid wsp:val=&quot;0036259B&quot;/&gt;&lt;wsp:rsid wsp:val=&quot;00362A92&quot;/&gt;&lt;wsp:rsid wsp:val=&quot;00362BC1&quot;/&gt;&lt;wsp:rsid wsp:val=&quot;00362FE2&quot;/&gt;&lt;wsp:rsid wsp:val=&quot;003630BD&quot;/&gt;&lt;wsp:rsid wsp:val=&quot;0036312A&quot;/&gt;&lt;wsp:rsid wsp:val=&quot;00363568&quot;/&gt;&lt;wsp:rsid wsp:val=&quot;003638A2&quot;/&gt;&lt;wsp:rsid wsp:val=&quot;00363E3B&quot;/&gt;&lt;wsp:rsid wsp:val=&quot;00363E47&quot;/&gt;&lt;wsp:rsid wsp:val=&quot;0036416D&quot;/&gt;&lt;wsp:rsid wsp:val=&quot;00364582&quot;/&gt;&lt;wsp:rsid wsp:val=&quot;003645D7&quot;/&gt;&lt;wsp:rsid wsp:val=&quot;00364A82&quot;/&gt;&lt;wsp:rsid wsp:val=&quot;00365286&quot;/&gt;&lt;wsp:rsid wsp:val=&quot;00365C52&quot;/&gt;&lt;wsp:rsid wsp:val=&quot;00365F41&quot;/&gt;&lt;wsp:rsid wsp:val=&quot;00366017&quot;/&gt;&lt;wsp:rsid wsp:val=&quot;00366401&quot;/&gt;&lt;wsp:rsid wsp:val=&quot;00366520&quot;/&gt;&lt;wsp:rsid wsp:val=&quot;003666EE&quot;/&gt;&lt;wsp:rsid wsp:val=&quot;00366833&quot;/&gt;&lt;wsp:rsid wsp:val=&quot;00366FF4&quot;/&gt;&lt;wsp:rsid wsp:val=&quot;0036702E&quot;/&gt;&lt;wsp:rsid wsp:val=&quot;00367099&quot;/&gt;&lt;wsp:rsid wsp:val=&quot;00367116&quot;/&gt;&lt;wsp:rsid wsp:val=&quot;003671C2&quot;/&gt;&lt;wsp:rsid wsp:val=&quot;003673CB&quot;/&gt;&lt;wsp:rsid wsp:val=&quot;00367508&quot;/&gt;&lt;wsp:rsid wsp:val=&quot;00367CAA&quot;/&gt;&lt;wsp:rsid wsp:val=&quot;00370218&quot;/&gt;&lt;wsp:rsid wsp:val=&quot;00370956&quot;/&gt;&lt;wsp:rsid wsp:val=&quot;00370A0F&quot;/&gt;&lt;wsp:rsid wsp:val=&quot;00370D91&quot;/&gt;&lt;wsp:rsid wsp:val=&quot;00371DDF&quot;/&gt;&lt;wsp:rsid wsp:val=&quot;00371E75&quot;/&gt;&lt;wsp:rsid wsp:val=&quot;00372B2C&quot;/&gt;&lt;wsp:rsid wsp:val=&quot;00372B94&quot;/&gt;&lt;wsp:rsid wsp:val=&quot;00372E1F&quot;/&gt;&lt;wsp:rsid wsp:val=&quot;0037305D&quot;/&gt;&lt;wsp:rsid wsp:val=&quot;00373080&quot;/&gt;&lt;wsp:rsid wsp:val=&quot;0037327A&quot;/&gt;&lt;wsp:rsid wsp:val=&quot;003733B9&quot;/&gt;&lt;wsp:rsid wsp:val=&quot;003734EA&quot;/&gt;&lt;wsp:rsid wsp:val=&quot;00373772&quot;/&gt;&lt;wsp:rsid wsp:val=&quot;0037381A&quot;/&gt;&lt;wsp:rsid wsp:val=&quot;00373863&quot;/&gt;&lt;wsp:rsid wsp:val=&quot;0037417F&quot;/&gt;&lt;wsp:rsid wsp:val=&quot;0037434F&quot;/&gt;&lt;wsp:rsid wsp:val=&quot;003744B2&quot;/&gt;&lt;wsp:rsid wsp:val=&quot;00374A1A&quot;/&gt;&lt;wsp:rsid wsp:val=&quot;00374CFC&quot;/&gt;&lt;wsp:rsid wsp:val=&quot;003751DB&quot;/&gt;&lt;wsp:rsid wsp:val=&quot;00375561&quot;/&gt;&lt;wsp:rsid wsp:val=&quot;0037566E&quot;/&gt;&lt;wsp:rsid wsp:val=&quot;0037573E&quot;/&gt;&lt;wsp:rsid wsp:val=&quot;0037587B&quot;/&gt;&lt;wsp:rsid wsp:val=&quot;00375FE1&quot;/&gt;&lt;wsp:rsid wsp:val=&quot;0037620D&quot;/&gt;&lt;wsp:rsid wsp:val=&quot;00376889&quot;/&gt;&lt;wsp:rsid wsp:val=&quot;0037688C&quot;/&gt;&lt;wsp:rsid wsp:val=&quot;0037736A&quot;/&gt;&lt;wsp:rsid wsp:val=&quot;003778DE&quot;/&gt;&lt;wsp:rsid wsp:val=&quot;00377A92&quot;/&gt;&lt;wsp:rsid wsp:val=&quot;00377CAB&quot;/&gt;&lt;wsp:rsid wsp:val=&quot;00377CCF&quot;/&gt;&lt;wsp:rsid wsp:val=&quot;003800B0&quot;/&gt;&lt;wsp:rsid wsp:val=&quot;00380150&quot;/&gt;&lt;wsp:rsid wsp:val=&quot;0038021F&quot;/&gt;&lt;wsp:rsid wsp:val=&quot;00380627&quot;/&gt;&lt;wsp:rsid wsp:val=&quot;00380A43&quot;/&gt;&lt;wsp:rsid wsp:val=&quot;00380BE5&quot;/&gt;&lt;wsp:rsid wsp:val=&quot;00380D61&quot;/&gt;&lt;wsp:rsid wsp:val=&quot;00380E4F&quot;/&gt;&lt;wsp:rsid wsp:val=&quot;00381580&quot;/&gt;&lt;wsp:rsid wsp:val=&quot;003816B6&quot;/&gt;&lt;wsp:rsid wsp:val=&quot;00381735&quot;/&gt;&lt;wsp:rsid wsp:val=&quot;00381A47&quot;/&gt;&lt;wsp:rsid wsp:val=&quot;00381AE0&quot;/&gt;&lt;wsp:rsid wsp:val=&quot;00381F29&quot;/&gt;&lt;wsp:rsid wsp:val=&quot;003822F0&quot;/&gt;&lt;wsp:rsid wsp:val=&quot;0038263F&quot;/&gt;&lt;wsp:rsid wsp:val=&quot;003829FF&quot;/&gt;&lt;wsp:rsid wsp:val=&quot;00382C25&quot;/&gt;&lt;wsp:rsid wsp:val=&quot;00382E60&quot;/&gt;&lt;wsp:rsid wsp:val=&quot;0038324A&quot;/&gt;&lt;wsp:rsid wsp:val=&quot;00383257&quot;/&gt;&lt;wsp:rsid wsp:val=&quot;003835F4&quot;/&gt;&lt;wsp:rsid wsp:val=&quot;00383A82&quot;/&gt;&lt;wsp:rsid wsp:val=&quot;00383B9A&quot;/&gt;&lt;wsp:rsid wsp:val=&quot;0038426B&quot;/&gt;&lt;wsp:rsid wsp:val=&quot;003843D7&quot;/&gt;&lt;wsp:rsid wsp:val=&quot;003849FB&quot;/&gt;&lt;wsp:rsid wsp:val=&quot;00384B3B&quot;/&gt;&lt;wsp:rsid wsp:val=&quot;00385C5F&quot;/&gt;&lt;wsp:rsid wsp:val=&quot;00385DE1&quot;/&gt;&lt;wsp:rsid wsp:val=&quot;00386363&quot;/&gt;&lt;wsp:rsid wsp:val=&quot;003867F0&quot;/&gt;&lt;wsp:rsid wsp:val=&quot;003871D5&quot;/&gt;&lt;wsp:rsid wsp:val=&quot;00387309&quot;/&gt;&lt;wsp:rsid wsp:val=&quot;0038764F&quot;/&gt;&lt;wsp:rsid wsp:val=&quot;00387679&quot;/&gt;&lt;wsp:rsid wsp:val=&quot;003878E4&quot;/&gt;&lt;wsp:rsid wsp:val=&quot;00387CCC&quot;/&gt;&lt;wsp:rsid wsp:val=&quot;00387D94&quot;/&gt;&lt;wsp:rsid wsp:val=&quot;00390021&quot;/&gt;&lt;wsp:rsid wsp:val=&quot;003902EC&quot;/&gt;&lt;wsp:rsid wsp:val=&quot;0039034E&quot;/&gt;&lt;wsp:rsid wsp:val=&quot;0039053A&quot;/&gt;&lt;wsp:rsid wsp:val=&quot;00390919&quot;/&gt;&lt;wsp:rsid wsp:val=&quot;00390925&quot;/&gt;&lt;wsp:rsid wsp:val=&quot;00390A07&quot;/&gt;&lt;wsp:rsid wsp:val=&quot;00390FA8&quot;/&gt;&lt;wsp:rsid wsp:val=&quot;00391369&quot;/&gt;&lt;wsp:rsid wsp:val=&quot;003917CB&quot;/&gt;&lt;wsp:rsid wsp:val=&quot;00391998&quot;/&gt;&lt;wsp:rsid wsp:val=&quot;00391E4D&quot;/&gt;&lt;wsp:rsid wsp:val=&quot;0039240C&quot;/&gt;&lt;wsp:rsid wsp:val=&quot;0039253A&quot;/&gt;&lt;wsp:rsid wsp:val=&quot;0039272C&quot;/&gt;&lt;wsp:rsid wsp:val=&quot;00392801&quot;/&gt;&lt;wsp:rsid wsp:val=&quot;00392907&quot;/&gt;&lt;wsp:rsid wsp:val=&quot;00392AAD&quot;/&gt;&lt;wsp:rsid wsp:val=&quot;003941C6&quot;/&gt;&lt;wsp:rsid wsp:val=&quot;003941CF&quot;/&gt;&lt;wsp:rsid wsp:val=&quot;003943D7&quot;/&gt;&lt;wsp:rsid wsp:val=&quot;00394690&quot;/&gt;&lt;wsp:rsid wsp:val=&quot;0039499C&quot;/&gt;&lt;wsp:rsid wsp:val=&quot;00394B2F&quot;/&gt;&lt;wsp:rsid wsp:val=&quot;00394D37&quot;/&gt;&lt;wsp:rsid wsp:val=&quot;0039501D&quot;/&gt;&lt;wsp:rsid wsp:val=&quot;00395940&quot;/&gt;&lt;wsp:rsid wsp:val=&quot;00395BC4&quot;/&gt;&lt;wsp:rsid wsp:val=&quot;00395E6F&quot;/&gt;&lt;wsp:rsid wsp:val=&quot;0039633C&quot;/&gt;&lt;wsp:rsid wsp:val=&quot;00396746&quot;/&gt;&lt;wsp:rsid wsp:val=&quot;00396CC7&quot;/&gt;&lt;wsp:rsid wsp:val=&quot;00396FF0&quot;/&gt;&lt;wsp:rsid wsp:val=&quot;003976D0&quot;/&gt;&lt;wsp:rsid wsp:val=&quot;0039784D&quot;/&gt;&lt;wsp:rsid wsp:val=&quot;00397969&quot;/&gt;&lt;wsp:rsid wsp:val=&quot;00397A5E&quot;/&gt;&lt;wsp:rsid wsp:val=&quot;00397AAD&quot;/&gt;&lt;wsp:rsid wsp:val=&quot;00397CB3&quot;/&gt;&lt;wsp:rsid wsp:val=&quot;00397FF2&quot;/&gt;&lt;wsp:rsid wsp:val=&quot;003A0398&quot;/&gt;&lt;wsp:rsid wsp:val=&quot;003A047C&quot;/&gt;&lt;wsp:rsid wsp:val=&quot;003A0DB5&quot;/&gt;&lt;wsp:rsid wsp:val=&quot;003A145B&quot;/&gt;&lt;wsp:rsid wsp:val=&quot;003A157A&quot;/&gt;&lt;wsp:rsid wsp:val=&quot;003A176A&quot;/&gt;&lt;wsp:rsid wsp:val=&quot;003A1844&quot;/&gt;&lt;wsp:rsid wsp:val=&quot;003A184C&quot;/&gt;&lt;wsp:rsid wsp:val=&quot;003A1899&quot;/&gt;&lt;wsp:rsid wsp:val=&quot;003A1926&quot;/&gt;&lt;wsp:rsid wsp:val=&quot;003A1C22&quot;/&gt;&lt;wsp:rsid wsp:val=&quot;003A1C65&quot;/&gt;&lt;wsp:rsid wsp:val=&quot;003A1CF9&quot;/&gt;&lt;wsp:rsid wsp:val=&quot;003A26FA&quot;/&gt;&lt;wsp:rsid wsp:val=&quot;003A287A&quot;/&gt;&lt;wsp:rsid wsp:val=&quot;003A29E9&quot;/&gt;&lt;wsp:rsid wsp:val=&quot;003A2A7F&quot;/&gt;&lt;wsp:rsid wsp:val=&quot;003A33E2&quot;/&gt;&lt;wsp:rsid wsp:val=&quot;003A38DD&quot;/&gt;&lt;wsp:rsid wsp:val=&quot;003A3D24&quot;/&gt;&lt;wsp:rsid wsp:val=&quot;003A3D53&quot;/&gt;&lt;wsp:rsid wsp:val=&quot;003A40F3&quot;/&gt;&lt;wsp:rsid wsp:val=&quot;003A436D&quot;/&gt;&lt;wsp:rsid wsp:val=&quot;003A4A59&quot;/&gt;&lt;wsp:rsid wsp:val=&quot;003A4A81&quot;/&gt;&lt;wsp:rsid wsp:val=&quot;003A4FE4&quot;/&gt;&lt;wsp:rsid wsp:val=&quot;003A5190&quot;/&gt;&lt;wsp:rsid wsp:val=&quot;003A528D&quot;/&gt;&lt;wsp:rsid wsp:val=&quot;003A5646&quot;/&gt;&lt;wsp:rsid wsp:val=&quot;003A566F&quot;/&gt;&lt;wsp:rsid wsp:val=&quot;003A5A32&quot;/&gt;&lt;wsp:rsid wsp:val=&quot;003A5E41&quot;/&gt;&lt;wsp:rsid wsp:val=&quot;003A65B1&quot;/&gt;&lt;wsp:rsid wsp:val=&quot;003A673B&quot;/&gt;&lt;wsp:rsid wsp:val=&quot;003A6859&quot;/&gt;&lt;wsp:rsid wsp:val=&quot;003A68E3&quot;/&gt;&lt;wsp:rsid wsp:val=&quot;003A6912&quot;/&gt;&lt;wsp:rsid wsp:val=&quot;003A70B3&quot;/&gt;&lt;wsp:rsid wsp:val=&quot;003A723C&quot;/&gt;&lt;wsp:rsid wsp:val=&quot;003A7262&quot;/&gt;&lt;wsp:rsid wsp:val=&quot;003A7901&quot;/&gt;&lt;wsp:rsid wsp:val=&quot;003A7925&quot;/&gt;&lt;wsp:rsid wsp:val=&quot;003A7CF6&quot;/&gt;&lt;wsp:rsid wsp:val=&quot;003A7FFD&quot;/&gt;&lt;wsp:rsid wsp:val=&quot;003B01AD&quot;/&gt;&lt;wsp:rsid wsp:val=&quot;003B05ED&quot;/&gt;&lt;wsp:rsid wsp:val=&quot;003B0B3D&quot;/&gt;&lt;wsp:rsid wsp:val=&quot;003B0C2D&quot;/&gt;&lt;wsp:rsid wsp:val=&quot;003B0E52&quot;/&gt;&lt;wsp:rsid wsp:val=&quot;003B132D&quot;/&gt;&lt;wsp:rsid wsp:val=&quot;003B17C5&quot;/&gt;&lt;wsp:rsid wsp:val=&quot;003B1B51&quot;/&gt;&lt;wsp:rsid wsp:val=&quot;003B22F7&quot;/&gt;&lt;wsp:rsid wsp:val=&quot;003B2A75&quot;/&gt;&lt;wsp:rsid wsp:val=&quot;003B2CEE&quot;/&gt;&lt;wsp:rsid wsp:val=&quot;003B2D31&quot;/&gt;&lt;wsp:rsid wsp:val=&quot;003B303C&quot;/&gt;&lt;wsp:rsid wsp:val=&quot;003B304A&quot;/&gt;&lt;wsp:rsid wsp:val=&quot;003B3172&quot;/&gt;&lt;wsp:rsid wsp:val=&quot;003B3279&quot;/&gt;&lt;wsp:rsid wsp:val=&quot;003B357E&quot;/&gt;&lt;wsp:rsid wsp:val=&quot;003B3978&quot;/&gt;&lt;wsp:rsid wsp:val=&quot;003B41AB&quot;/&gt;&lt;wsp:rsid wsp:val=&quot;003B41AF&quot;/&gt;&lt;wsp:rsid wsp:val=&quot;003B44F3&quot;/&gt;&lt;wsp:rsid wsp:val=&quot;003B4F57&quot;/&gt;&lt;wsp:rsid wsp:val=&quot;003B5077&quot;/&gt;&lt;wsp:rsid wsp:val=&quot;003B52A8&quot;/&gt;&lt;wsp:rsid wsp:val=&quot;003B52F7&quot;/&gt;&lt;wsp:rsid wsp:val=&quot;003B578C&quot;/&gt;&lt;wsp:rsid wsp:val=&quot;003B5E36&quot;/&gt;&lt;wsp:rsid wsp:val=&quot;003B5F0A&quot;/&gt;&lt;wsp:rsid wsp:val=&quot;003B61CB&quot;/&gt;&lt;wsp:rsid wsp:val=&quot;003B677D&quot;/&gt;&lt;wsp:rsid wsp:val=&quot;003B6C29&quot;/&gt;&lt;wsp:rsid wsp:val=&quot;003B6DC4&quot;/&gt;&lt;wsp:rsid wsp:val=&quot;003B6E68&quot;/&gt;&lt;wsp:rsid wsp:val=&quot;003B7010&quot;/&gt;&lt;wsp:rsid wsp:val=&quot;003B7D7F&quot;/&gt;&lt;wsp:rsid wsp:val=&quot;003B7FB5&quot;/&gt;&lt;wsp:rsid wsp:val=&quot;003C0009&quot;/&gt;&lt;wsp:rsid wsp:val=&quot;003C048B&quot;/&gt;&lt;wsp:rsid wsp:val=&quot;003C04E1&quot;/&gt;&lt;wsp:rsid wsp:val=&quot;003C0AEF&quot;/&gt;&lt;wsp:rsid wsp:val=&quot;003C0CE2&quot;/&gt;&lt;wsp:rsid wsp:val=&quot;003C1700&quot;/&gt;&lt;wsp:rsid wsp:val=&quot;003C1993&quot;/&gt;&lt;wsp:rsid wsp:val=&quot;003C1E3E&quot;/&gt;&lt;wsp:rsid wsp:val=&quot;003C2055&quot;/&gt;&lt;wsp:rsid wsp:val=&quot;003C270C&quot;/&gt;&lt;wsp:rsid wsp:val=&quot;003C29CB&quot;/&gt;&lt;wsp:rsid wsp:val=&quot;003C2BE4&quot;/&gt;&lt;wsp:rsid wsp:val=&quot;003C2D08&quot;/&gt;&lt;wsp:rsid wsp:val=&quot;003C2E68&quot;/&gt;&lt;wsp:rsid wsp:val=&quot;003C2EE3&quot;/&gt;&lt;wsp:rsid wsp:val=&quot;003C317C&quot;/&gt;&lt;wsp:rsid wsp:val=&quot;003C3719&quot;/&gt;&lt;wsp:rsid wsp:val=&quot;003C38EF&quot;/&gt;&lt;wsp:rsid wsp:val=&quot;003C3FD5&quot;/&gt;&lt;wsp:rsid wsp:val=&quot;003C421F&quot;/&gt;&lt;wsp:rsid wsp:val=&quot;003C44DE&quot;/&gt;&lt;wsp:rsid wsp:val=&quot;003C4928&quot;/&gt;&lt;wsp:rsid wsp:val=&quot;003C4A82&quot;/&gt;&lt;wsp:rsid wsp:val=&quot;003C524F&quot;/&gt;&lt;wsp:rsid wsp:val=&quot;003C57DC&quot;/&gt;&lt;wsp:rsid wsp:val=&quot;003C5C6B&quot;/&gt;&lt;wsp:rsid wsp:val=&quot;003C62E6&quot;/&gt;&lt;wsp:rsid wsp:val=&quot;003C6388&quot;/&gt;&lt;wsp:rsid wsp:val=&quot;003C63E0&quot;/&gt;&lt;wsp:rsid wsp:val=&quot;003C6DC2&quot;/&gt;&lt;wsp:rsid wsp:val=&quot;003C712E&quot;/&gt;&lt;wsp:rsid wsp:val=&quot;003C74EB&quot;/&gt;&lt;wsp:rsid wsp:val=&quot;003C776C&quot;/&gt;&lt;wsp:rsid wsp:val=&quot;003C7E38&quot;/&gt;&lt;wsp:rsid wsp:val=&quot;003C7E92&quot;/&gt;&lt;wsp:rsid wsp:val=&quot;003D022D&quot;/&gt;&lt;wsp:rsid wsp:val=&quot;003D0BB2&quot;/&gt;&lt;wsp:rsid wsp:val=&quot;003D0E03&quot;/&gt;&lt;wsp:rsid wsp:val=&quot;003D1172&quot;/&gt;&lt;wsp:rsid wsp:val=&quot;003D14AF&quot;/&gt;&lt;wsp:rsid wsp:val=&quot;003D1738&quot;/&gt;&lt;wsp:rsid wsp:val=&quot;003D1997&quot;/&gt;&lt;wsp:rsid wsp:val=&quot;003D1A47&quot;/&gt;&lt;wsp:rsid wsp:val=&quot;003D20A7&quot;/&gt;&lt;wsp:rsid wsp:val=&quot;003D23EC&quot;/&gt;&lt;wsp:rsid wsp:val=&quot;003D403E&quot;/&gt;&lt;wsp:rsid wsp:val=&quot;003D42D9&quot;/&gt;&lt;wsp:rsid wsp:val=&quot;003D4367&quot;/&gt;&lt;wsp:rsid wsp:val=&quot;003D4767&quot;/&gt;&lt;wsp:rsid wsp:val=&quot;003D48E3&quot;/&gt;&lt;wsp:rsid wsp:val=&quot;003D49D6&quot;/&gt;&lt;wsp:rsid wsp:val=&quot;003D4B23&quot;/&gt;&lt;wsp:rsid wsp:val=&quot;003D4C60&quot;/&gt;&lt;wsp:rsid wsp:val=&quot;003D4D6B&quot;/&gt;&lt;wsp:rsid wsp:val=&quot;003D50EC&quot;/&gt;&lt;wsp:rsid wsp:val=&quot;003D5179&quot;/&gt;&lt;wsp:rsid wsp:val=&quot;003D5451&quot;/&gt;&lt;wsp:rsid wsp:val=&quot;003D5514&quot;/&gt;&lt;wsp:rsid wsp:val=&quot;003D5668&quot;/&gt;&lt;wsp:rsid wsp:val=&quot;003D57A3&quot;/&gt;&lt;wsp:rsid wsp:val=&quot;003D5AD7&quot;/&gt;&lt;wsp:rsid wsp:val=&quot;003D5CDE&quot;/&gt;&lt;wsp:rsid wsp:val=&quot;003D6174&quot;/&gt;&lt;wsp:rsid wsp:val=&quot;003D6413&quot;/&gt;&lt;wsp:rsid wsp:val=&quot;003D6472&quot;/&gt;&lt;wsp:rsid wsp:val=&quot;003D65C0&quot;/&gt;&lt;wsp:rsid wsp:val=&quot;003D661A&quot;/&gt;&lt;wsp:rsid wsp:val=&quot;003D67A1&quot;/&gt;&lt;wsp:rsid wsp:val=&quot;003D6BB6&quot;/&gt;&lt;wsp:rsid wsp:val=&quot;003D6D7D&quot;/&gt;&lt;wsp:rsid wsp:val=&quot;003D6E42&quot;/&gt;&lt;wsp:rsid wsp:val=&quot;003D6E49&quot;/&gt;&lt;wsp:rsid wsp:val=&quot;003D6E59&quot;/&gt;&lt;wsp:rsid wsp:val=&quot;003D711E&quot;/&gt;&lt;wsp:rsid wsp:val=&quot;003D7374&quot;/&gt;&lt;wsp:rsid wsp:val=&quot;003D779F&quot;/&gt;&lt;wsp:rsid wsp:val=&quot;003D794B&quot;/&gt;&lt;wsp:rsid wsp:val=&quot;003D7975&quot;/&gt;&lt;wsp:rsid wsp:val=&quot;003D7EBB&quot;/&gt;&lt;wsp:rsid wsp:val=&quot;003D7F48&quot;/&gt;&lt;wsp:rsid wsp:val=&quot;003D7F9B&quot;/&gt;&lt;wsp:rsid wsp:val=&quot;003D7FC5&quot;/&gt;&lt;wsp:rsid wsp:val=&quot;003E010D&quot;/&gt;&lt;wsp:rsid wsp:val=&quot;003E07BA&quot;/&gt;&lt;wsp:rsid wsp:val=&quot;003E0BF1&quot;/&gt;&lt;wsp:rsid wsp:val=&quot;003E10D2&quot;/&gt;&lt;wsp:rsid wsp:val=&quot;003E1204&quot;/&gt;&lt;wsp:rsid wsp:val=&quot;003E15D2&quot;/&gt;&lt;wsp:rsid wsp:val=&quot;003E1949&quot;/&gt;&lt;wsp:rsid wsp:val=&quot;003E199F&quot;/&gt;&lt;wsp:rsid wsp:val=&quot;003E1BF0&quot;/&gt;&lt;wsp:rsid wsp:val=&quot;003E1F2C&quot;/&gt;&lt;wsp:rsid wsp:val=&quot;003E2283&quot;/&gt;&lt;wsp:rsid wsp:val=&quot;003E23AB&quot;/&gt;&lt;wsp:rsid wsp:val=&quot;003E25C2&quot;/&gt;&lt;wsp:rsid wsp:val=&quot;003E2B7A&quot;/&gt;&lt;wsp:rsid wsp:val=&quot;003E2C82&quot;/&gt;&lt;wsp:rsid wsp:val=&quot;003E343B&quot;/&gt;&lt;wsp:rsid wsp:val=&quot;003E3710&quot;/&gt;&lt;wsp:rsid wsp:val=&quot;003E3805&quot;/&gt;&lt;wsp:rsid wsp:val=&quot;003E3AC0&quot;/&gt;&lt;wsp:rsid wsp:val=&quot;003E413E&quot;/&gt;&lt;wsp:rsid wsp:val=&quot;003E4553&quot;/&gt;&lt;wsp:rsid wsp:val=&quot;003E483E&quot;/&gt;&lt;wsp:rsid wsp:val=&quot;003E4999&quot;/&gt;&lt;wsp:rsid wsp:val=&quot;003E4DB9&quot;/&gt;&lt;wsp:rsid wsp:val=&quot;003E5106&quot;/&gt;&lt;wsp:rsid wsp:val=&quot;003E5452&quot;/&gt;&lt;wsp:rsid wsp:val=&quot;003E5ED4&quot;/&gt;&lt;wsp:rsid wsp:val=&quot;003E5F64&quot;/&gt;&lt;wsp:rsid wsp:val=&quot;003E6036&quot;/&gt;&lt;wsp:rsid wsp:val=&quot;003E60CA&quot;/&gt;&lt;wsp:rsid wsp:val=&quot;003E6739&quot;/&gt;&lt;wsp:rsid wsp:val=&quot;003E6A00&quot;/&gt;&lt;wsp:rsid wsp:val=&quot;003E6D4C&quot;/&gt;&lt;wsp:rsid wsp:val=&quot;003E6DD0&quot;/&gt;&lt;wsp:rsid wsp:val=&quot;003E6EB5&quot;/&gt;&lt;wsp:rsid wsp:val=&quot;003E738E&quot;/&gt;&lt;wsp:rsid wsp:val=&quot;003E7466&quot;/&gt;&lt;wsp:rsid wsp:val=&quot;003E747E&quot;/&gt;&lt;wsp:rsid wsp:val=&quot;003E75D8&quot;/&gt;&lt;wsp:rsid wsp:val=&quot;003E75DD&quot;/&gt;&lt;wsp:rsid wsp:val=&quot;003E7F03&quot;/&gt;&lt;wsp:rsid wsp:val=&quot;003E7F56&quot;/&gt;&lt;wsp:rsid wsp:val=&quot;003F05A1&quot;/&gt;&lt;wsp:rsid wsp:val=&quot;003F072E&quot;/&gt;&lt;wsp:rsid wsp:val=&quot;003F0A77&quot;/&gt;&lt;wsp:rsid wsp:val=&quot;003F0DC0&quot;/&gt;&lt;wsp:rsid wsp:val=&quot;003F0F06&quot;/&gt;&lt;wsp:rsid wsp:val=&quot;003F10C2&quot;/&gt;&lt;wsp:rsid wsp:val=&quot;003F163B&quot;/&gt;&lt;wsp:rsid wsp:val=&quot;003F1962&quot;/&gt;&lt;wsp:rsid wsp:val=&quot;003F1D3F&quot;/&gt;&lt;wsp:rsid wsp:val=&quot;003F27FE&quot;/&gt;&lt;wsp:rsid wsp:val=&quot;003F2CD6&quot;/&gt;&lt;wsp:rsid wsp:val=&quot;003F2D9D&quot;/&gt;&lt;wsp:rsid wsp:val=&quot;003F2F74&quot;/&gt;&lt;wsp:rsid wsp:val=&quot;003F4232&quot;/&gt;&lt;wsp:rsid wsp:val=&quot;003F535C&quot;/&gt;&lt;wsp:rsid wsp:val=&quot;003F5782&quot;/&gt;&lt;wsp:rsid wsp:val=&quot;003F59F3&quot;/&gt;&lt;wsp:rsid wsp:val=&quot;003F5A09&quot;/&gt;&lt;wsp:rsid wsp:val=&quot;003F5A71&quot;/&gt;&lt;wsp:rsid wsp:val=&quot;003F5AB8&quot;/&gt;&lt;wsp:rsid wsp:val=&quot;003F5BCF&quot;/&gt;&lt;wsp:rsid wsp:val=&quot;003F61F2&quot;/&gt;&lt;wsp:rsid wsp:val=&quot;003F6306&quot;/&gt;&lt;wsp:rsid wsp:val=&quot;003F64A7&quot;/&gt;&lt;wsp:rsid wsp:val=&quot;003F651F&quot;/&gt;&lt;wsp:rsid wsp:val=&quot;003F67D5&quot;/&gt;&lt;wsp:rsid wsp:val=&quot;003F6EDE&quot;/&gt;&lt;wsp:rsid wsp:val=&quot;003F72B3&quot;/&gt;&lt;wsp:rsid wsp:val=&quot;003F77BC&quot;/&gt;&lt;wsp:rsid wsp:val=&quot;00400167&quot;/&gt;&lt;wsp:rsid wsp:val=&quot;00400AD1&quot;/&gt;&lt;wsp:rsid wsp:val=&quot;00401163&quot;/&gt;&lt;wsp:rsid wsp:val=&quot;00401171&quot;/&gt;&lt;wsp:rsid wsp:val=&quot;00402199&quot;/&gt;&lt;wsp:rsid wsp:val=&quot;004021F6&quot;/&gt;&lt;wsp:rsid wsp:val=&quot;00402823&quot;/&gt;&lt;wsp:rsid wsp:val=&quot;00402A93&quot;/&gt;&lt;wsp:rsid wsp:val=&quot;004032F0&quot;/&gt;&lt;wsp:rsid wsp:val=&quot;00403AB8&quot;/&gt;&lt;wsp:rsid wsp:val=&quot;00403EC3&quot;/&gt;&lt;wsp:rsid wsp:val=&quot;004041F7&quot;/&gt;&lt;wsp:rsid wsp:val=&quot;00404D42&quot;/&gt;&lt;wsp:rsid wsp:val=&quot;00404E76&quot;/&gt;&lt;wsp:rsid wsp:val=&quot;00405380&quot;/&gt;&lt;wsp:rsid wsp:val=&quot;00405393&quot;/&gt;&lt;wsp:rsid wsp:val=&quot;00405409&quot;/&gt;&lt;wsp:rsid wsp:val=&quot;00405452&quot;/&gt;&lt;wsp:rsid wsp:val=&quot;00405C6D&quot;/&gt;&lt;wsp:rsid wsp:val=&quot;0040601C&quot;/&gt;&lt;wsp:rsid wsp:val=&quot;0040604D&quot;/&gt;&lt;wsp:rsid wsp:val=&quot;0040662E&quot;/&gt;&lt;wsp:rsid wsp:val=&quot;00406706&quot;/&gt;&lt;wsp:rsid wsp:val=&quot;00406B1B&quot;/&gt;&lt;wsp:rsid wsp:val=&quot;00407073&quot;/&gt;&lt;wsp:rsid wsp:val=&quot;00407C7E&quot;/&gt;&lt;wsp:rsid wsp:val=&quot;00407D27&quot;/&gt;&lt;wsp:rsid wsp:val=&quot;004102C5&quot;/&gt;&lt;wsp:rsid wsp:val=&quot;0041080E&quot;/&gt;&lt;wsp:rsid wsp:val=&quot;004108CF&quot;/&gt;&lt;wsp:rsid wsp:val=&quot;004113CF&quot;/&gt;&lt;wsp:rsid wsp:val=&quot;00411874&quot;/&gt;&lt;wsp:rsid wsp:val=&quot;00411C07&quot;/&gt;&lt;wsp:rsid wsp:val=&quot;00411C3A&quot;/&gt;&lt;wsp:rsid wsp:val=&quot;00411D59&quot;/&gt;&lt;wsp:rsid wsp:val=&quot;00411DBF&quot;/&gt;&lt;wsp:rsid wsp:val=&quot;00412120&quot;/&gt;&lt;wsp:rsid wsp:val=&quot;004122B7&quot;/&gt;&lt;wsp:rsid wsp:val=&quot;004125F8&quot;/&gt;&lt;wsp:rsid wsp:val=&quot;004126D8&quot;/&gt;&lt;wsp:rsid wsp:val=&quot;00412732&quot;/&gt;&lt;wsp:rsid wsp:val=&quot;0041287E&quot;/&gt;&lt;wsp:rsid wsp:val=&quot;00412941&quot;/&gt;&lt;wsp:rsid wsp:val=&quot;00412A1C&quot;/&gt;&lt;wsp:rsid wsp:val=&quot;00412A9A&quot;/&gt;&lt;wsp:rsid wsp:val=&quot;00412B05&quot;/&gt;&lt;wsp:rsid wsp:val=&quot;00412E3E&quot;/&gt;&lt;wsp:rsid wsp:val=&quot;0041306D&quot;/&gt;&lt;wsp:rsid wsp:val=&quot;004137A0&quot;/&gt;&lt;wsp:rsid wsp:val=&quot;00413C4F&quot;/&gt;&lt;wsp:rsid wsp:val=&quot;00413DAA&quot;/&gt;&lt;wsp:rsid wsp:val=&quot;00413DB7&quot;/&gt;&lt;wsp:rsid wsp:val=&quot;00414227&quot;/&gt;&lt;wsp:rsid wsp:val=&quot;00415034&quot;/&gt;&lt;wsp:rsid wsp:val=&quot;00415974&quot;/&gt;&lt;wsp:rsid wsp:val=&quot;00415A40&quot;/&gt;&lt;wsp:rsid wsp:val=&quot;00416097&quot;/&gt;&lt;wsp:rsid wsp:val=&quot;00416277&quot;/&gt;&lt;wsp:rsid wsp:val=&quot;00416715&quot;/&gt;&lt;wsp:rsid wsp:val=&quot;00416D6C&quot;/&gt;&lt;wsp:rsid wsp:val=&quot;00416D9B&quot;/&gt;&lt;wsp:rsid wsp:val=&quot;00416E1D&quot;/&gt;&lt;wsp:rsid wsp:val=&quot;004171AC&quot;/&gt;&lt;wsp:rsid wsp:val=&quot;00417426&quot;/&gt;&lt;wsp:rsid wsp:val=&quot;00417963&quot;/&gt;&lt;wsp:rsid wsp:val=&quot;00417F00&quot;/&gt;&lt;wsp:rsid wsp:val=&quot;004201F9&quot;/&gt;&lt;wsp:rsid wsp:val=&quot;00420691&quot;/&gt;&lt;wsp:rsid wsp:val=&quot;00420919&quot;/&gt;&lt;wsp:rsid wsp:val=&quot;004209EA&quot;/&gt;&lt;wsp:rsid wsp:val=&quot;00420C86&quot;/&gt;&lt;wsp:rsid wsp:val=&quot;00420DA8&quot;/&gt;&lt;wsp:rsid wsp:val=&quot;004214D1&quot;/&gt;&lt;wsp:rsid wsp:val=&quot;0042172F&quot;/&gt;&lt;wsp:rsid wsp:val=&quot;00421879&quot;/&gt;&lt;wsp:rsid wsp:val=&quot;004226DD&quot;/&gt;&lt;wsp:rsid wsp:val=&quot;00422703&quot;/&gt;&lt;wsp:rsid wsp:val=&quot;004228DB&quot;/&gt;&lt;wsp:rsid wsp:val=&quot;00422CCB&quot;/&gt;&lt;wsp:rsid wsp:val=&quot;00422F61&quot;/&gt;&lt;wsp:rsid wsp:val=&quot;0042399D&quot;/&gt;&lt;wsp:rsid wsp:val=&quot;00423D45&quot;/&gt;&lt;wsp:rsid wsp:val=&quot;004256B2&quot;/&gt;&lt;wsp:rsid wsp:val=&quot;004258EB&quot;/&gt;&lt;wsp:rsid wsp:val=&quot;00425C65&quot;/&gt;&lt;wsp:rsid wsp:val=&quot;00426242&quot;/&gt;&lt;wsp:rsid wsp:val=&quot;004263DD&quot;/&gt;&lt;wsp:rsid wsp:val=&quot;00426B31&quot;/&gt;&lt;wsp:rsid wsp:val=&quot;00426C16&quot;/&gt;&lt;wsp:rsid wsp:val=&quot;00426C3D&quot;/&gt;&lt;wsp:rsid wsp:val=&quot;00426C91&quot;/&gt;&lt;wsp:rsid wsp:val=&quot;004272E7&quot;/&gt;&lt;wsp:rsid wsp:val=&quot;00427382&quot;/&gt;&lt;wsp:rsid wsp:val=&quot;00427A8E&quot;/&gt;&lt;wsp:rsid wsp:val=&quot;00427CBB&quot;/&gt;&lt;wsp:rsid wsp:val=&quot;00427F05&quot;/&gt;&lt;wsp:rsid wsp:val=&quot;0043005A&quot;/&gt;&lt;wsp:rsid wsp:val=&quot;004302FC&quot;/&gt;&lt;wsp:rsid wsp:val=&quot;004306DF&quot;/&gt;&lt;wsp:rsid wsp:val=&quot;00430728&quot;/&gt;&lt;wsp:rsid wsp:val=&quot;00430D53&quot;/&gt;&lt;wsp:rsid wsp:val=&quot;00431053&quot;/&gt;&lt;wsp:rsid wsp:val=&quot;00431166&quot;/&gt;&lt;wsp:rsid wsp:val=&quot;004312AC&quot;/&gt;&lt;wsp:rsid wsp:val=&quot;0043143D&quot;/&gt;&lt;wsp:rsid wsp:val=&quot;0043160B&quot;/&gt;&lt;wsp:rsid wsp:val=&quot;00431BD6&quot;/&gt;&lt;wsp:rsid wsp:val=&quot;00431D5A&quot;/&gt;&lt;wsp:rsid wsp:val=&quot;00432A0F&quot;/&gt;&lt;wsp:rsid wsp:val=&quot;00432B6D&quot;/&gt;&lt;wsp:rsid wsp:val=&quot;00432BD9&quot;/&gt;&lt;wsp:rsid wsp:val=&quot;00432F24&quot;/&gt;&lt;wsp:rsid wsp:val=&quot;00433063&quot;/&gt;&lt;wsp:rsid wsp:val=&quot;00433294&quot;/&gt;&lt;wsp:rsid wsp:val=&quot;00433353&quot;/&gt;&lt;wsp:rsid wsp:val=&quot;004338D5&quot;/&gt;&lt;wsp:rsid wsp:val=&quot;0043394F&quot;/&gt;&lt;wsp:rsid wsp:val=&quot;0043418B&quot;/&gt;&lt;wsp:rsid wsp:val=&quot;00434456&quot;/&gt;&lt;wsp:rsid wsp:val=&quot;0043487C&quot;/&gt;&lt;wsp:rsid wsp:val=&quot;00434B6B&quot;/&gt;&lt;wsp:rsid wsp:val=&quot;00435106&quot;/&gt;&lt;wsp:rsid wsp:val=&quot;00435446&quot;/&gt;&lt;wsp:rsid wsp:val=&quot;00435560&quot;/&gt;&lt;wsp:rsid wsp:val=&quot;00435CC3&quot;/&gt;&lt;wsp:rsid wsp:val=&quot;00435E1B&quot;/&gt;&lt;wsp:rsid wsp:val=&quot;00436526&quot;/&gt;&lt;wsp:rsid wsp:val=&quot;004368E1&quot;/&gt;&lt;wsp:rsid wsp:val=&quot;0043698F&quot;/&gt;&lt;wsp:rsid wsp:val=&quot;00436AE0&quot;/&gt;&lt;wsp:rsid wsp:val=&quot;00436AEF&quot;/&gt;&lt;wsp:rsid wsp:val=&quot;00436CF7&quot;/&gt;&lt;wsp:rsid wsp:val=&quot;00436E5C&quot;/&gt;&lt;wsp:rsid wsp:val=&quot;004371E9&quot;/&gt;&lt;wsp:rsid wsp:val=&quot;004375B1&quot;/&gt;&lt;wsp:rsid wsp:val=&quot;0043778B&quot;/&gt;&lt;wsp:rsid wsp:val=&quot;00437831&quot;/&gt;&lt;wsp:rsid wsp:val=&quot;00437BF6&quot;/&gt;&lt;wsp:rsid wsp:val=&quot;00437CAC&quot;/&gt;&lt;wsp:rsid wsp:val=&quot;00437E9D&quot;/&gt;&lt;wsp:rsid wsp:val=&quot;00440C3D&quot;/&gt;&lt;wsp:rsid wsp:val=&quot;0044147E&quot;/&gt;&lt;wsp:rsid wsp:val=&quot;004417DE&quot;/&gt;&lt;wsp:rsid wsp:val=&quot;00441A53&quot;/&gt;&lt;wsp:rsid wsp:val=&quot;00441B1C&quot;/&gt;&lt;wsp:rsid wsp:val=&quot;00441BC1&quot;/&gt;&lt;wsp:rsid wsp:val=&quot;00441C6D&quot;/&gt;&lt;wsp:rsid wsp:val=&quot;00441E1C&quot;/&gt;&lt;wsp:rsid wsp:val=&quot;00441EA7&quot;/&gt;&lt;wsp:rsid wsp:val=&quot;004420A8&quot;/&gt;&lt;wsp:rsid wsp:val=&quot;00442B06&quot;/&gt;&lt;wsp:rsid wsp:val=&quot;00442D41&quot;/&gt;&lt;wsp:rsid wsp:val=&quot;00442DBF&quot;/&gt;&lt;wsp:rsid wsp:val=&quot;00442E23&quot;/&gt;&lt;wsp:rsid wsp:val=&quot;00443044&quot;/&gt;&lt;wsp:rsid wsp:val=&quot;00443103&quot;/&gt;&lt;wsp:rsid wsp:val=&quot;00443143&quot;/&gt;&lt;wsp:rsid wsp:val=&quot;00443533&quot;/&gt;&lt;wsp:rsid wsp:val=&quot;004438F7&quot;/&gt;&lt;wsp:rsid wsp:val=&quot;00443985&quot;/&gt;&lt;wsp:rsid wsp:val=&quot;00443C76&quot;/&gt;&lt;wsp:rsid wsp:val=&quot;0044419D&quot;/&gt;&lt;wsp:rsid wsp:val=&quot;0044438A&quot;/&gt;&lt;wsp:rsid wsp:val=&quot;00444562&quot;/&gt;&lt;wsp:rsid wsp:val=&quot;0044478E&quot;/&gt;&lt;wsp:rsid wsp:val=&quot;004447EA&quot;/&gt;&lt;wsp:rsid wsp:val=&quot;0044488E&quot;/&gt;&lt;wsp:rsid wsp:val=&quot;00444C19&quot;/&gt;&lt;wsp:rsid wsp:val=&quot;00444F9D&quot;/&gt;&lt;wsp:rsid wsp:val=&quot;004458CA&quot;/&gt;&lt;wsp:rsid wsp:val=&quot;00445AFA&quot;/&gt;&lt;wsp:rsid wsp:val=&quot;00445D01&quot;/&gt;&lt;wsp:rsid wsp:val=&quot;00445E5F&quot;/&gt;&lt;wsp:rsid wsp:val=&quot;00446157&quot;/&gt;&lt;wsp:rsid wsp:val=&quot;004461A4&quot;/&gt;&lt;wsp:rsid wsp:val=&quot;004461D0&quot;/&gt;&lt;wsp:rsid wsp:val=&quot;004462D2&quot;/&gt;&lt;wsp:rsid wsp:val=&quot;00446374&quot;/&gt;&lt;wsp:rsid wsp:val=&quot;00446489&quot;/&gt;&lt;wsp:rsid wsp:val=&quot;00446537&quot;/&gt;&lt;wsp:rsid wsp:val=&quot;00446605&quot;/&gt;&lt;wsp:rsid wsp:val=&quot;004466CD&quot;/&gt;&lt;wsp:rsid wsp:val=&quot;0044671A&quot;/&gt;&lt;wsp:rsid wsp:val=&quot;00446798&quot;/&gt;&lt;wsp:rsid wsp:val=&quot;00446B30&quot;/&gt;&lt;wsp:rsid wsp:val=&quot;00447387&quot;/&gt;&lt;wsp:rsid wsp:val=&quot;00447397&quot;/&gt;&lt;wsp:rsid wsp:val=&quot;0044789A&quot;/&gt;&lt;wsp:rsid wsp:val=&quot;00447CC2&quot;/&gt;&lt;wsp:rsid wsp:val=&quot;00447FCB&quot;/&gt;&lt;wsp:rsid wsp:val=&quot;0045026C&quot;/&gt;&lt;wsp:rsid wsp:val=&quot;00450663&quot;/&gt;&lt;wsp:rsid wsp:val=&quot;004507D7&quot;/&gt;&lt;wsp:rsid wsp:val=&quot;00450BC6&quot;/&gt;&lt;wsp:rsid wsp:val=&quot;00450DAD&quot;/&gt;&lt;wsp:rsid wsp:val=&quot;00450E01&quot;/&gt;&lt;wsp:rsid wsp:val=&quot;00450FA8&quot;/&gt;&lt;wsp:rsid wsp:val=&quot;00451177&quot;/&gt;&lt;wsp:rsid wsp:val=&quot;0045123E&quot;/&gt;&lt;wsp:rsid wsp:val=&quot;004512ED&quot;/&gt;&lt;wsp:rsid wsp:val=&quot;004518D0&quot;/&gt;&lt;wsp:rsid wsp:val=&quot;00452310&quot;/&gt;&lt;wsp:rsid wsp:val=&quot;0045288A&quot;/&gt;&lt;wsp:rsid wsp:val=&quot;00452ACD&quot;/&gt;&lt;wsp:rsid wsp:val=&quot;00452B84&quot;/&gt;&lt;wsp:rsid wsp:val=&quot;00452C80&quot;/&gt;&lt;wsp:rsid wsp:val=&quot;004531A4&quot;/&gt;&lt;wsp:rsid wsp:val=&quot;00453268&quot;/&gt;&lt;wsp:rsid wsp:val=&quot;00453577&quot;/&gt;&lt;wsp:rsid wsp:val=&quot;00453C5D&quot;/&gt;&lt;wsp:rsid wsp:val=&quot;00454170&quot;/&gt;&lt;wsp:rsid wsp:val=&quot;00454832&quot;/&gt;&lt;wsp:rsid wsp:val=&quot;00454890&quot;/&gt;&lt;wsp:rsid wsp:val=&quot;00454A4D&quot;/&gt;&lt;wsp:rsid wsp:val=&quot;00454F20&quot;/&gt;&lt;wsp:rsid wsp:val=&quot;004553C6&quot;/&gt;&lt;wsp:rsid wsp:val=&quot;00455834&quot;/&gt;&lt;wsp:rsid wsp:val=&quot;00455B45&quot;/&gt;&lt;wsp:rsid wsp:val=&quot;00455B9C&quot;/&gt;&lt;wsp:rsid wsp:val=&quot;00455BB7&quot;/&gt;&lt;wsp:rsid wsp:val=&quot;00456165&quot;/&gt;&lt;wsp:rsid wsp:val=&quot;0045649E&quot;/&gt;&lt;wsp:rsid wsp:val=&quot;004565EB&quot;/&gt;&lt;wsp:rsid wsp:val=&quot;00456861&quot;/&gt;&lt;wsp:rsid wsp:val=&quot;004572A3&quot;/&gt;&lt;wsp:rsid wsp:val=&quot;004576F2&quot;/&gt;&lt;wsp:rsid wsp:val=&quot;004577F9&quot;/&gt;&lt;wsp:rsid wsp:val=&quot;00457CC6&quot;/&gt;&lt;wsp:rsid wsp:val=&quot;00457DE2&quot;/&gt;&lt;wsp:rsid wsp:val=&quot;00457FB3&quot;/&gt;&lt;wsp:rsid wsp:val=&quot;004608B6&quot;/&gt;&lt;wsp:rsid wsp:val=&quot;004608EE&quot;/&gt;&lt;wsp:rsid wsp:val=&quot;0046098B&quot;/&gt;&lt;wsp:rsid wsp:val=&quot;004610D7&quot;/&gt;&lt;wsp:rsid wsp:val=&quot;00461155&quot;/&gt;&lt;wsp:rsid wsp:val=&quot;004615C4&quot;/&gt;&lt;wsp:rsid wsp:val=&quot;00461628&quot;/&gt;&lt;wsp:rsid wsp:val=&quot;00461A79&quot;/&gt;&lt;wsp:rsid wsp:val=&quot;0046245E&quot;/&gt;&lt;wsp:rsid wsp:val=&quot;00462996&quot;/&gt;&lt;wsp:rsid wsp:val=&quot;00462A41&quot;/&gt;&lt;wsp:rsid wsp:val=&quot;00462B20&quot;/&gt;&lt;wsp:rsid wsp:val=&quot;00462BD0&quot;/&gt;&lt;wsp:rsid wsp:val=&quot;00462D04&quot;/&gt;&lt;wsp:rsid wsp:val=&quot;00463017&quot;/&gt;&lt;wsp:rsid wsp:val=&quot;00463593&quot;/&gt;&lt;wsp:rsid wsp:val=&quot;004635B6&quot;/&gt;&lt;wsp:rsid wsp:val=&quot;0046376F&quot;/&gt;&lt;wsp:rsid wsp:val=&quot;00463986&quot;/&gt;&lt;wsp:rsid wsp:val=&quot;00463CF2&quot;/&gt;&lt;wsp:rsid wsp:val=&quot;0046420B&quot;/&gt;&lt;wsp:rsid wsp:val=&quot;00464B26&quot;/&gt;&lt;wsp:rsid wsp:val=&quot;00464CC2&quot;/&gt;&lt;wsp:rsid wsp:val=&quot;00464DAA&quot;/&gt;&lt;wsp:rsid wsp:val=&quot;004655C4&quot;/&gt;&lt;wsp:rsid wsp:val=&quot;004657FF&quot;/&gt;&lt;wsp:rsid wsp:val=&quot;00465892&quot;/&gt;&lt;wsp:rsid wsp:val=&quot;00465895&quot;/&gt;&lt;wsp:rsid wsp:val=&quot;00465A53&quot;/&gt;&lt;wsp:rsid wsp:val=&quot;00465CB2&quot;/&gt;&lt;wsp:rsid wsp:val=&quot;00465D75&quot;/&gt;&lt;wsp:rsid wsp:val=&quot;004661B1&quot;/&gt;&lt;wsp:rsid wsp:val=&quot;004663F7&quot;/&gt;&lt;wsp:rsid wsp:val=&quot;00466D7E&quot;/&gt;&lt;wsp:rsid wsp:val=&quot;004674C1&quot;/&gt;&lt;wsp:rsid wsp:val=&quot;00467852&quot;/&gt;&lt;wsp:rsid wsp:val=&quot;004679FD&quot;/&gt;&lt;wsp:rsid wsp:val=&quot;00470019&quot;/&gt;&lt;wsp:rsid wsp:val=&quot;00470308&quot;/&gt;&lt;wsp:rsid wsp:val=&quot;0047046B&quot;/&gt;&lt;wsp:rsid wsp:val=&quot;00470DB4&quot;/&gt;&lt;wsp:rsid wsp:val=&quot;0047107A&quot;/&gt;&lt;wsp:rsid wsp:val=&quot;004710D3&quot;/&gt;&lt;wsp:rsid wsp:val=&quot;004710DF&quot;/&gt;&lt;wsp:rsid wsp:val=&quot;004714D2&quot;/&gt;&lt;wsp:rsid wsp:val=&quot;00471507&quot;/&gt;&lt;wsp:rsid wsp:val=&quot;00471D6C&quot;/&gt;&lt;wsp:rsid wsp:val=&quot;00471E47&quot;/&gt;&lt;wsp:rsid wsp:val=&quot;00471FC5&quot;/&gt;&lt;wsp:rsid wsp:val=&quot;00472074&quot;/&gt;&lt;wsp:rsid wsp:val=&quot;00472AEE&quot;/&gt;&lt;wsp:rsid wsp:val=&quot;00472B3C&quot;/&gt;&lt;wsp:rsid wsp:val=&quot;00472B9D&quot;/&gt;&lt;wsp:rsid wsp:val=&quot;00472D20&quot;/&gt;&lt;wsp:rsid wsp:val=&quot;004737B3&quot;/&gt;&lt;wsp:rsid wsp:val=&quot;004738E4&quot;/&gt;&lt;wsp:rsid wsp:val=&quot;004738E5&quot;/&gt;&lt;wsp:rsid wsp:val=&quot;00473F1D&quot;/&gt;&lt;wsp:rsid wsp:val=&quot;004740CB&quot;/&gt;&lt;wsp:rsid wsp:val=&quot;004743A8&quot;/&gt;&lt;wsp:rsid wsp:val=&quot;0047459B&quot;/&gt;&lt;wsp:rsid wsp:val=&quot;0047466C&quot;/&gt;&lt;wsp:rsid wsp:val=&quot;00474928&quot;/&gt;&lt;wsp:rsid wsp:val=&quot;0047513F&quot;/&gt;&lt;wsp:rsid wsp:val=&quot;0047556E&quot;/&gt;&lt;wsp:rsid wsp:val=&quot;0047565B&quot;/&gt;&lt;wsp:rsid wsp:val=&quot;004757A8&quot;/&gt;&lt;wsp:rsid wsp:val=&quot;0047598B&quot;/&gt;&lt;wsp:rsid wsp:val=&quot;00475DAC&quot;/&gt;&lt;wsp:rsid wsp:val=&quot;004761DC&quot;/&gt;&lt;wsp:rsid wsp:val=&quot;0047633A&quot;/&gt;&lt;wsp:rsid wsp:val=&quot;0047634B&quot;/&gt;&lt;wsp:rsid wsp:val=&quot;00476428&quot;/&gt;&lt;wsp:rsid wsp:val=&quot;00476588&quot;/&gt;&lt;wsp:rsid wsp:val=&quot;00476831&quot;/&gt;&lt;wsp:rsid wsp:val=&quot;00476EBB&quot;/&gt;&lt;wsp:rsid wsp:val=&quot;0047711B&quot;/&gt;&lt;wsp:rsid wsp:val=&quot;00477336&quot;/&gt;&lt;wsp:rsid wsp:val=&quot;00477AA4&quot;/&gt;&lt;wsp:rsid wsp:val=&quot;00477C62&quot;/&gt;&lt;wsp:rsid wsp:val=&quot;00477E82&quot;/&gt;&lt;wsp:rsid wsp:val=&quot;00477FB2&quot;/&gt;&lt;wsp:rsid wsp:val=&quot;0048004E&quot;/&gt;&lt;wsp:rsid wsp:val=&quot;00480129&quot;/&gt;&lt;wsp:rsid wsp:val=&quot;00480575&quot;/&gt;&lt;wsp:rsid wsp:val=&quot;00480F11&quot;/&gt;&lt;wsp:rsid wsp:val=&quot;00482083&quot;/&gt;&lt;wsp:rsid wsp:val=&quot;004823C1&quot;/&gt;&lt;wsp:rsid wsp:val=&quot;004823D0&quot;/&gt;&lt;wsp:rsid wsp:val=&quot;004825D7&quot;/&gt;&lt;wsp:rsid wsp:val=&quot;004831BB&quot;/&gt;&lt;wsp:rsid wsp:val=&quot;00483290&quot;/&gt;&lt;wsp:rsid wsp:val=&quot;004834B7&quot;/&gt;&lt;wsp:rsid wsp:val=&quot;00483841&quot;/&gt;&lt;wsp:rsid wsp:val=&quot;00483914&quot;/&gt;&lt;wsp:rsid wsp:val=&quot;00483C6F&quot;/&gt;&lt;wsp:rsid wsp:val=&quot;00484263&quot;/&gt;&lt;wsp:rsid wsp:val=&quot;004843B5&quot;/&gt;&lt;wsp:rsid wsp:val=&quot;004844FC&quot;/&gt;&lt;wsp:rsid wsp:val=&quot;00484FDF&quot;/&gt;&lt;wsp:rsid wsp:val=&quot;004854A5&quot;/&gt;&lt;wsp:rsid wsp:val=&quot;004855F1&quot;/&gt;&lt;wsp:rsid wsp:val=&quot;00485A07&quot;/&gt;&lt;wsp:rsid wsp:val=&quot;00485A73&quot;/&gt;&lt;wsp:rsid wsp:val=&quot;00485D62&quot;/&gt;&lt;wsp:rsid wsp:val=&quot;00485D6D&quot;/&gt;&lt;wsp:rsid wsp:val=&quot;00485EDD&quot;/&gt;&lt;wsp:rsid wsp:val=&quot;00486243&quot;/&gt;&lt;wsp:rsid wsp:val=&quot;00486319&quot;/&gt;&lt;wsp:rsid wsp:val=&quot;004864A6&quot;/&gt;&lt;wsp:rsid wsp:val=&quot;004865EE&quot;/&gt;&lt;wsp:rsid wsp:val=&quot;004868A0&quot;/&gt;&lt;wsp:rsid wsp:val=&quot;00486B0E&quot;/&gt;&lt;wsp:rsid wsp:val=&quot;00487952&quot;/&gt;&lt;wsp:rsid wsp:val=&quot;00487F97&quot;/&gt;&lt;wsp:rsid wsp:val=&quot;00490235&quot;/&gt;&lt;wsp:rsid wsp:val=&quot;004904F5&quot;/&gt;&lt;wsp:rsid wsp:val=&quot;00490575&quot;/&gt;&lt;wsp:rsid wsp:val=&quot;0049105E&quot;/&gt;&lt;wsp:rsid wsp:val=&quot;0049114B&quot;/&gt;&lt;wsp:rsid wsp:val=&quot;004913BD&quot;/&gt;&lt;wsp:rsid wsp:val=&quot;00491B51&quot;/&gt;&lt;wsp:rsid wsp:val=&quot;0049254E&quot;/&gt;&lt;wsp:rsid wsp:val=&quot;00492B5E&quot;/&gt;&lt;wsp:rsid wsp:val=&quot;00492B75&quot;/&gt;&lt;wsp:rsid wsp:val=&quot;00492BDE&quot;/&gt;&lt;wsp:rsid wsp:val=&quot;00493194&quot;/&gt;&lt;wsp:rsid wsp:val=&quot;004933E0&quot;/&gt;&lt;wsp:rsid wsp:val=&quot;0049407C&quot;/&gt;&lt;wsp:rsid wsp:val=&quot;004947BD&quot;/&gt;&lt;wsp:rsid wsp:val=&quot;004948E4&quot;/&gt;&lt;wsp:rsid wsp:val=&quot;00494D55&quot;/&gt;&lt;wsp:rsid wsp:val=&quot;004953A7&quot;/&gt;&lt;wsp:rsid wsp:val=&quot;00495729&quot;/&gt;&lt;wsp:rsid wsp:val=&quot;00495C08&quot;/&gt;&lt;wsp:rsid wsp:val=&quot;00495C16&quot;/&gt;&lt;wsp:rsid wsp:val=&quot;00495EDB&quot;/&gt;&lt;wsp:rsid wsp:val=&quot;00495FEA&quot;/&gt;&lt;wsp:rsid wsp:val=&quot;004963FD&quot;/&gt;&lt;wsp:rsid wsp:val=&quot;004975DF&quot;/&gt;&lt;wsp:rsid wsp:val=&quot;004976A3&quot;/&gt;&lt;wsp:rsid wsp:val=&quot;00497F41&quot;/&gt;&lt;wsp:rsid wsp:val=&quot;004A0140&quot;/&gt;&lt;wsp:rsid wsp:val=&quot;004A0471&quot;/&gt;&lt;wsp:rsid wsp:val=&quot;004A09B6&quot;/&gt;&lt;wsp:rsid wsp:val=&quot;004A12A2&quot;/&gt;&lt;wsp:rsid wsp:val=&quot;004A1350&quot;/&gt;&lt;wsp:rsid wsp:val=&quot;004A138A&quot;/&gt;&lt;wsp:rsid wsp:val=&quot;004A1B0F&quot;/&gt;&lt;wsp:rsid wsp:val=&quot;004A1CF9&quot;/&gt;&lt;wsp:rsid wsp:val=&quot;004A1FE1&quot;/&gt;&lt;wsp:rsid wsp:val=&quot;004A2013&quot;/&gt;&lt;wsp:rsid wsp:val=&quot;004A228C&quot;/&gt;&lt;wsp:rsid wsp:val=&quot;004A29C1&quot;/&gt;&lt;wsp:rsid wsp:val=&quot;004A29F7&quot;/&gt;&lt;wsp:rsid wsp:val=&quot;004A2FEB&quot;/&gt;&lt;wsp:rsid wsp:val=&quot;004A3467&quot;/&gt;&lt;wsp:rsid wsp:val=&quot;004A34BC&quot;/&gt;&lt;wsp:rsid wsp:val=&quot;004A4183&quot;/&gt;&lt;wsp:rsid wsp:val=&quot;004A460D&quot;/&gt;&lt;wsp:rsid wsp:val=&quot;004A4913&quot;/&gt;&lt;wsp:rsid wsp:val=&quot;004A4985&quot;/&gt;&lt;wsp:rsid wsp:val=&quot;004A49CD&quot;/&gt;&lt;wsp:rsid wsp:val=&quot;004A4D4D&quot;/&gt;&lt;wsp:rsid wsp:val=&quot;004A526B&quot;/&gt;&lt;wsp:rsid wsp:val=&quot;004A52FC&quot;/&gt;&lt;wsp:rsid wsp:val=&quot;004A535F&quot;/&gt;&lt;wsp:rsid wsp:val=&quot;004A55B8&quot;/&gt;&lt;wsp:rsid wsp:val=&quot;004A5826&quot;/&gt;&lt;wsp:rsid wsp:val=&quot;004A6463&quot;/&gt;&lt;wsp:rsid wsp:val=&quot;004A659B&quot;/&gt;&lt;wsp:rsid wsp:val=&quot;004A65E6&quot;/&gt;&lt;wsp:rsid wsp:val=&quot;004A6695&quot;/&gt;&lt;wsp:rsid wsp:val=&quot;004A671E&quot;/&gt;&lt;wsp:rsid wsp:val=&quot;004A673C&quot;/&gt;&lt;wsp:rsid wsp:val=&quot;004A6C23&quot;/&gt;&lt;wsp:rsid wsp:val=&quot;004A7471&quot;/&gt;&lt;wsp:rsid wsp:val=&quot;004A77E1&quot;/&gt;&lt;wsp:rsid wsp:val=&quot;004A783D&quot;/&gt;&lt;wsp:rsid wsp:val=&quot;004B0247&quot;/&gt;&lt;wsp:rsid wsp:val=&quot;004B064C&quot;/&gt;&lt;wsp:rsid wsp:val=&quot;004B1565&quot;/&gt;&lt;wsp:rsid wsp:val=&quot;004B1868&quot;/&gt;&lt;wsp:rsid wsp:val=&quot;004B1AFA&quot;/&gt;&lt;wsp:rsid wsp:val=&quot;004B204C&quot;/&gt;&lt;wsp:rsid wsp:val=&quot;004B208C&quot;/&gt;&lt;wsp:rsid wsp:val=&quot;004B2265&quot;/&gt;&lt;wsp:rsid wsp:val=&quot;004B2807&quot;/&gt;&lt;wsp:rsid wsp:val=&quot;004B2918&quot;/&gt;&lt;wsp:rsid wsp:val=&quot;004B3418&quot;/&gt;&lt;wsp:rsid wsp:val=&quot;004B3574&quot;/&gt;&lt;wsp:rsid wsp:val=&quot;004B3864&quot;/&gt;&lt;wsp:rsid wsp:val=&quot;004B3D7B&quot;/&gt;&lt;wsp:rsid wsp:val=&quot;004B3DD6&quot;/&gt;&lt;wsp:rsid wsp:val=&quot;004B3FD2&quot;/&gt;&lt;wsp:rsid wsp:val=&quot;004B40A6&quot;/&gt;&lt;wsp:rsid wsp:val=&quot;004B4A4D&quot;/&gt;&lt;wsp:rsid wsp:val=&quot;004B4D89&quot;/&gt;&lt;wsp:rsid wsp:val=&quot;004B4EBD&quot;/&gt;&lt;wsp:rsid wsp:val=&quot;004B54E6&quot;/&gt;&lt;wsp:rsid wsp:val=&quot;004B5828&quot;/&gt;&lt;wsp:rsid wsp:val=&quot;004B5884&quot;/&gt;&lt;wsp:rsid wsp:val=&quot;004B5B64&quot;/&gt;&lt;wsp:rsid wsp:val=&quot;004B5B9E&quot;/&gt;&lt;wsp:rsid wsp:val=&quot;004B5CD7&quot;/&gt;&lt;wsp:rsid wsp:val=&quot;004B5D77&quot;/&gt;&lt;wsp:rsid wsp:val=&quot;004B6016&quot;/&gt;&lt;wsp:rsid wsp:val=&quot;004B635B&quot;/&gt;&lt;wsp:rsid wsp:val=&quot;004B665D&quot;/&gt;&lt;wsp:rsid wsp:val=&quot;004B68B5&quot;/&gt;&lt;wsp:rsid wsp:val=&quot;004B69F9&quot;/&gt;&lt;wsp:rsid wsp:val=&quot;004B6C92&quot;/&gt;&lt;wsp:rsid wsp:val=&quot;004B6FBE&quot;/&gt;&lt;wsp:rsid wsp:val=&quot;004B7820&quot;/&gt;&lt;wsp:rsid wsp:val=&quot;004B7D4C&quot;/&gt;&lt;wsp:rsid wsp:val=&quot;004C01AC&quot;/&gt;&lt;wsp:rsid wsp:val=&quot;004C09A9&quot;/&gt;&lt;wsp:rsid wsp:val=&quot;004C0B00&quot;/&gt;&lt;wsp:rsid wsp:val=&quot;004C18D7&quot;/&gt;&lt;wsp:rsid wsp:val=&quot;004C1BEF&quot;/&gt;&lt;wsp:rsid wsp:val=&quot;004C1CB1&quot;/&gt;&lt;wsp:rsid wsp:val=&quot;004C23AD&quot;/&gt;&lt;wsp:rsid wsp:val=&quot;004C250D&quot;/&gt;&lt;wsp:rsid wsp:val=&quot;004C25C6&quot;/&gt;&lt;wsp:rsid wsp:val=&quot;004C2D23&quot;/&gt;&lt;wsp:rsid wsp:val=&quot;004C2E11&quot;/&gt;&lt;wsp:rsid wsp:val=&quot;004C32C2&quot;/&gt;&lt;wsp:rsid wsp:val=&quot;004C333E&quot;/&gt;&lt;wsp:rsid wsp:val=&quot;004C34B9&quot;/&gt;&lt;wsp:rsid wsp:val=&quot;004C4198&quot;/&gt;&lt;wsp:rsid wsp:val=&quot;004C4728&quot;/&gt;&lt;wsp:rsid wsp:val=&quot;004C4B4F&quot;/&gt;&lt;wsp:rsid wsp:val=&quot;004C4B62&quot;/&gt;&lt;wsp:rsid wsp:val=&quot;004C4C89&quot;/&gt;&lt;wsp:rsid wsp:val=&quot;004C599B&quot;/&gt;&lt;wsp:rsid wsp:val=&quot;004C5EBE&quot;/&gt;&lt;wsp:rsid wsp:val=&quot;004C6382&quot;/&gt;&lt;wsp:rsid wsp:val=&quot;004C63EC&quot;/&gt;&lt;wsp:rsid wsp:val=&quot;004C6C36&quot;/&gt;&lt;wsp:rsid wsp:val=&quot;004C6F21&quot;/&gt;&lt;wsp:rsid wsp:val=&quot;004C71AA&quot;/&gt;&lt;wsp:rsid wsp:val=&quot;004C7984&quot;/&gt;&lt;wsp:rsid wsp:val=&quot;004C7A1E&quot;/&gt;&lt;wsp:rsid wsp:val=&quot;004D03BC&quot;/&gt;&lt;wsp:rsid wsp:val=&quot;004D071E&quot;/&gt;&lt;wsp:rsid wsp:val=&quot;004D0B5C&quot;/&gt;&lt;wsp:rsid wsp:val=&quot;004D0D8C&quot;/&gt;&lt;wsp:rsid wsp:val=&quot;004D0EED&quot;/&gt;&lt;wsp:rsid wsp:val=&quot;004D0F83&quot;/&gt;&lt;wsp:rsid wsp:val=&quot;004D10C5&quot;/&gt;&lt;wsp:rsid wsp:val=&quot;004D1891&quot;/&gt;&lt;wsp:rsid wsp:val=&quot;004D1ABA&quot;/&gt;&lt;wsp:rsid wsp:val=&quot;004D1BF0&quot;/&gt;&lt;wsp:rsid wsp:val=&quot;004D1C79&quot;/&gt;&lt;wsp:rsid wsp:val=&quot;004D21E0&quot;/&gt;&lt;wsp:rsid wsp:val=&quot;004D2573&quot;/&gt;&lt;wsp:rsid wsp:val=&quot;004D25A3&quot;/&gt;&lt;wsp:rsid wsp:val=&quot;004D275D&quot;/&gt;&lt;wsp:rsid wsp:val=&quot;004D2765&quot;/&gt;&lt;wsp:rsid wsp:val=&quot;004D277D&quot;/&gt;&lt;wsp:rsid wsp:val=&quot;004D2F4E&quot;/&gt;&lt;wsp:rsid wsp:val=&quot;004D30BB&quot;/&gt;&lt;wsp:rsid wsp:val=&quot;004D33EA&quot;/&gt;&lt;wsp:rsid wsp:val=&quot;004D39E7&quot;/&gt;&lt;wsp:rsid wsp:val=&quot;004D3E26&quot;/&gt;&lt;wsp:rsid wsp:val=&quot;004D3EE1&quot;/&gt;&lt;wsp:rsid wsp:val=&quot;004D3FC0&quot;/&gt;&lt;wsp:rsid wsp:val=&quot;004D4395&quot;/&gt;&lt;wsp:rsid wsp:val=&quot;004D444D&quot;/&gt;&lt;wsp:rsid wsp:val=&quot;004D47AB&quot;/&gt;&lt;wsp:rsid wsp:val=&quot;004D4AC7&quot;/&gt;&lt;wsp:rsid wsp:val=&quot;004D4D68&quot;/&gt;&lt;wsp:rsid wsp:val=&quot;004D5020&quot;/&gt;&lt;wsp:rsid wsp:val=&quot;004D5071&quot;/&gt;&lt;wsp:rsid wsp:val=&quot;004D5804&quot;/&gt;&lt;wsp:rsid wsp:val=&quot;004D5A8D&quot;/&gt;&lt;wsp:rsid wsp:val=&quot;004D5F5C&quot;/&gt;&lt;wsp:rsid wsp:val=&quot;004D5FD4&quot;/&gt;&lt;wsp:rsid wsp:val=&quot;004D6295&quot;/&gt;&lt;wsp:rsid wsp:val=&quot;004D67A6&quot;/&gt;&lt;wsp:rsid wsp:val=&quot;004D77DE&quot;/&gt;&lt;wsp:rsid wsp:val=&quot;004D77FD&quot;/&gt;&lt;wsp:rsid wsp:val=&quot;004D7C39&quot;/&gt;&lt;wsp:rsid wsp:val=&quot;004D7C90&quot;/&gt;&lt;wsp:rsid wsp:val=&quot;004E0426&quot;/&gt;&lt;wsp:rsid wsp:val=&quot;004E05BD&quot;/&gt;&lt;wsp:rsid wsp:val=&quot;004E083A&quot;/&gt;&lt;wsp:rsid wsp:val=&quot;004E0C40&quot;/&gt;&lt;wsp:rsid wsp:val=&quot;004E0DE8&quot;/&gt;&lt;wsp:rsid wsp:val=&quot;004E0F77&quot;/&gt;&lt;wsp:rsid wsp:val=&quot;004E0FF8&quot;/&gt;&lt;wsp:rsid wsp:val=&quot;004E1812&quot;/&gt;&lt;wsp:rsid wsp:val=&quot;004E23F3&quot;/&gt;&lt;wsp:rsid wsp:val=&quot;004E2C7E&quot;/&gt;&lt;wsp:rsid wsp:val=&quot;004E2D66&quot;/&gt;&lt;wsp:rsid wsp:val=&quot;004E2E3E&quot;/&gt;&lt;wsp:rsid wsp:val=&quot;004E335C&quot;/&gt;&lt;wsp:rsid wsp:val=&quot;004E3A87&quot;/&gt;&lt;wsp:rsid wsp:val=&quot;004E3B92&quot;/&gt;&lt;wsp:rsid wsp:val=&quot;004E3D74&quot;/&gt;&lt;wsp:rsid wsp:val=&quot;004E3DDC&quot;/&gt;&lt;wsp:rsid wsp:val=&quot;004E3E91&quot;/&gt;&lt;wsp:rsid wsp:val=&quot;004E4004&quot;/&gt;&lt;wsp:rsid wsp:val=&quot;004E42DB&quot;/&gt;&lt;wsp:rsid wsp:val=&quot;004E43EC&quot;/&gt;&lt;wsp:rsid wsp:val=&quot;004E499A&quot;/&gt;&lt;wsp:rsid wsp:val=&quot;004E4CBB&quot;/&gt;&lt;wsp:rsid wsp:val=&quot;004E4D99&quot;/&gt;&lt;wsp:rsid wsp:val=&quot;004E53BC&quot;/&gt;&lt;wsp:rsid wsp:val=&quot;004E5962&quot;/&gt;&lt;wsp:rsid wsp:val=&quot;004E599D&quot;/&gt;&lt;wsp:rsid wsp:val=&quot;004E59C9&quot;/&gt;&lt;wsp:rsid wsp:val=&quot;004E5BD3&quot;/&gt;&lt;wsp:rsid wsp:val=&quot;004E5D2E&quot;/&gt;&lt;wsp:rsid wsp:val=&quot;004E6536&quot;/&gt;&lt;wsp:rsid wsp:val=&quot;004E6641&quot;/&gt;&lt;wsp:rsid wsp:val=&quot;004E73C7&quot;/&gt;&lt;wsp:rsid wsp:val=&quot;004E7C33&quot;/&gt;&lt;wsp:rsid wsp:val=&quot;004E7D31&quot;/&gt;&lt;wsp:rsid wsp:val=&quot;004F06A5&quot;/&gt;&lt;wsp:rsid wsp:val=&quot;004F079A&quot;/&gt;&lt;wsp:rsid wsp:val=&quot;004F0CB5&quot;/&gt;&lt;wsp:rsid wsp:val=&quot;004F0D68&quot;/&gt;&lt;wsp:rsid wsp:val=&quot;004F0FA8&quot;/&gt;&lt;wsp:rsid wsp:val=&quot;004F1289&quot;/&gt;&lt;wsp:rsid wsp:val=&quot;004F12F9&quot;/&gt;&lt;wsp:rsid wsp:val=&quot;004F13D4&quot;/&gt;&lt;wsp:rsid wsp:val=&quot;004F1476&quot;/&gt;&lt;wsp:rsid wsp:val=&quot;004F1559&quot;/&gt;&lt;wsp:rsid wsp:val=&quot;004F185C&quot;/&gt;&lt;wsp:rsid wsp:val=&quot;004F1E33&quot;/&gt;&lt;wsp:rsid wsp:val=&quot;004F1F62&quot;/&gt;&lt;wsp:rsid wsp:val=&quot;004F2016&quot;/&gt;&lt;wsp:rsid wsp:val=&quot;004F21E8&quot;/&gt;&lt;wsp:rsid wsp:val=&quot;004F2253&quot;/&gt;&lt;wsp:rsid wsp:val=&quot;004F2456&quot;/&gt;&lt;wsp:rsid wsp:val=&quot;004F2B1A&quot;/&gt;&lt;wsp:rsid wsp:val=&quot;004F2C0A&quot;/&gt;&lt;wsp:rsid wsp:val=&quot;004F2CEB&quot;/&gt;&lt;wsp:rsid wsp:val=&quot;004F2E19&quot;/&gt;&lt;wsp:rsid wsp:val=&quot;004F2F6E&quot;/&gt;&lt;wsp:rsid wsp:val=&quot;004F3332&quot;/&gt;&lt;wsp:rsid wsp:val=&quot;004F35E4&quot;/&gt;&lt;wsp:rsid wsp:val=&quot;004F37F2&quot;/&gt;&lt;wsp:rsid wsp:val=&quot;004F3BD5&quot;/&gt;&lt;wsp:rsid wsp:val=&quot;004F3DF1&quot;/&gt;&lt;wsp:rsid wsp:val=&quot;004F3E04&quot;/&gt;&lt;wsp:rsid wsp:val=&quot;004F3EA2&quot;/&gt;&lt;wsp:rsid wsp:val=&quot;004F4149&quot;/&gt;&lt;wsp:rsid wsp:val=&quot;004F459E&quot;/&gt;&lt;wsp:rsid wsp:val=&quot;004F48F8&quot;/&gt;&lt;wsp:rsid wsp:val=&quot;004F493C&quot;/&gt;&lt;wsp:rsid wsp:val=&quot;004F499C&quot;/&gt;&lt;wsp:rsid wsp:val=&quot;004F49A5&quot;/&gt;&lt;wsp:rsid wsp:val=&quot;004F49BE&quot;/&gt;&lt;wsp:rsid wsp:val=&quot;004F4AD3&quot;/&gt;&lt;wsp:rsid wsp:val=&quot;004F4C62&quot;/&gt;&lt;wsp:rsid wsp:val=&quot;004F4E5C&quot;/&gt;&lt;wsp:rsid wsp:val=&quot;004F4FE3&quot;/&gt;&lt;wsp:rsid wsp:val=&quot;004F50D5&quot;/&gt;&lt;wsp:rsid wsp:val=&quot;004F558C&quot;/&gt;&lt;wsp:rsid wsp:val=&quot;004F570C&quot;/&gt;&lt;wsp:rsid wsp:val=&quot;004F5743&quot;/&gt;&lt;wsp:rsid wsp:val=&quot;004F584B&quot;/&gt;&lt;wsp:rsid wsp:val=&quot;004F5EA8&quot;/&gt;&lt;wsp:rsid wsp:val=&quot;004F5F4E&quot;/&gt;&lt;wsp:rsid wsp:val=&quot;004F610E&quot;/&gt;&lt;wsp:rsid wsp:val=&quot;004F614C&quot;/&gt;&lt;wsp:rsid wsp:val=&quot;004F640C&quot;/&gt;&lt;wsp:rsid wsp:val=&quot;004F648F&quot;/&gt;&lt;wsp:rsid wsp:val=&quot;004F661A&quot;/&gt;&lt;wsp:rsid wsp:val=&quot;004F66B1&quot;/&gt;&lt;wsp:rsid wsp:val=&quot;004F6921&quot;/&gt;&lt;wsp:rsid wsp:val=&quot;004F6A7F&quot;/&gt;&lt;wsp:rsid wsp:val=&quot;004F7E50&quot;/&gt;&lt;wsp:rsid wsp:val=&quot;00500024&quot;/&gt;&lt;wsp:rsid wsp:val=&quot;00500107&quot;/&gt;&lt;wsp:rsid wsp:val=&quot;005009D2&quot;/&gt;&lt;wsp:rsid wsp:val=&quot;00500BD8&quot;/&gt;&lt;wsp:rsid wsp:val=&quot;00501096&quot;/&gt;&lt;wsp:rsid wsp:val=&quot;00501673&quot;/&gt;&lt;wsp:rsid wsp:val=&quot;00501987&quot;/&gt;&lt;wsp:rsid wsp:val=&quot;00501B01&quot;/&gt;&lt;wsp:rsid wsp:val=&quot;00501DCB&quot;/&gt;&lt;wsp:rsid wsp:val=&quot;00502AD0&quot;/&gt;&lt;wsp:rsid wsp:val=&quot;00502BB3&quot;/&gt;&lt;wsp:rsid wsp:val=&quot;00502C3F&quot;/&gt;&lt;wsp:rsid wsp:val=&quot;005035A1&quot;/&gt;&lt;wsp:rsid wsp:val=&quot;00503842&quot;/&gt;&lt;wsp:rsid wsp:val=&quot;005044D5&quot;/&gt;&lt;wsp:rsid wsp:val=&quot;00504A51&quot;/&gt;&lt;wsp:rsid wsp:val=&quot;005051ED&quot;/&gt;&lt;wsp:rsid wsp:val=&quot;00505FBE&quot;/&gt;&lt;wsp:rsid wsp:val=&quot;00506378&quot;/&gt;&lt;wsp:rsid wsp:val=&quot;00506592&quot;/&gt;&lt;wsp:rsid wsp:val=&quot;00506747&quot;/&gt;&lt;wsp:rsid wsp:val=&quot;0050687B&quot;/&gt;&lt;wsp:rsid wsp:val=&quot;005069F5&quot;/&gt;&lt;wsp:rsid wsp:val=&quot;00506FD2&quot;/&gt;&lt;wsp:rsid wsp:val=&quot;00507179&quot;/&gt;&lt;wsp:rsid wsp:val=&quot;005072F6&quot;/&gt;&lt;wsp:rsid wsp:val=&quot;00507381&quot;/&gt;&lt;wsp:rsid wsp:val=&quot;0050773C&quot;/&gt;&lt;wsp:rsid wsp:val=&quot;00507779&quot;/&gt;&lt;wsp:rsid wsp:val=&quot;00507D35&quot;/&gt;&lt;wsp:rsid wsp:val=&quot;00507F4E&quot;/&gt;&lt;wsp:rsid wsp:val=&quot;00507F57&quot;/&gt;&lt;wsp:rsid wsp:val=&quot;00510163&quot;/&gt;&lt;wsp:rsid wsp:val=&quot;00510930&quot;/&gt;&lt;wsp:rsid wsp:val=&quot;00510E58&quot;/&gt;&lt;wsp:rsid wsp:val=&quot;00511235&quot;/&gt;&lt;wsp:rsid wsp:val=&quot;00511361&quot;/&gt;&lt;wsp:rsid wsp:val=&quot;00511736&quot;/&gt;&lt;wsp:rsid wsp:val=&quot;0051182C&quot;/&gt;&lt;wsp:rsid wsp:val=&quot;0051189B&quot;/&gt;&lt;wsp:rsid wsp:val=&quot;00512066&quot;/&gt;&lt;wsp:rsid wsp:val=&quot;005120DF&quot;/&gt;&lt;wsp:rsid wsp:val=&quot;0051292A&quot;/&gt;&lt;wsp:rsid wsp:val=&quot;00513042&quot;/&gt;&lt;wsp:rsid wsp:val=&quot;00513388&quot;/&gt;&lt;wsp:rsid wsp:val=&quot;0051363C&quot;/&gt;&lt;wsp:rsid wsp:val=&quot;0051372D&quot;/&gt;&lt;wsp:rsid wsp:val=&quot;0051374C&quot;/&gt;&lt;wsp:rsid wsp:val=&quot;00513BE8&quot;/&gt;&lt;wsp:rsid wsp:val=&quot;00513C79&quot;/&gt;&lt;wsp:rsid wsp:val=&quot;00513DBA&quot;/&gt;&lt;wsp:rsid wsp:val=&quot;00514228&quot;/&gt;&lt;wsp:rsid wsp:val=&quot;00514E5D&quot;/&gt;&lt;wsp:rsid wsp:val=&quot;005151F6&quot;/&gt;&lt;wsp:rsid wsp:val=&quot;005154BA&quot;/&gt;&lt;wsp:rsid wsp:val=&quot;00515673&quot;/&gt;&lt;wsp:rsid wsp:val=&quot;005158CD&quot;/&gt;&lt;wsp:rsid wsp:val=&quot;00515A5C&quot;/&gt;&lt;wsp:rsid wsp:val=&quot;00516006&quot;/&gt;&lt;wsp:rsid wsp:val=&quot;0051654E&quot;/&gt;&lt;wsp:rsid wsp:val=&quot;00516F54&quot;/&gt;&lt;wsp:rsid wsp:val=&quot;00516FB9&quot;/&gt;&lt;wsp:rsid wsp:val=&quot;00517056&quot;/&gt;&lt;wsp:rsid wsp:val=&quot;0051738D&quot;/&gt;&lt;wsp:rsid wsp:val=&quot;005177AA&quot;/&gt;&lt;wsp:rsid wsp:val=&quot;00517F51&quot;/&gt;&lt;wsp:rsid wsp:val=&quot;00520168&quot;/&gt;&lt;wsp:rsid wsp:val=&quot;00520389&quot;/&gt;&lt;wsp:rsid wsp:val=&quot;005205D4&quot;/&gt;&lt;wsp:rsid wsp:val=&quot;00520884&quot;/&gt;&lt;wsp:rsid wsp:val=&quot;00520F1C&quot;/&gt;&lt;wsp:rsid wsp:val=&quot;005212C4&quot;/&gt;&lt;wsp:rsid wsp:val=&quot;0052132B&quot;/&gt;&lt;wsp:rsid wsp:val=&quot;005217F1&quot;/&gt;&lt;wsp:rsid wsp:val=&quot;00521DC4&quot;/&gt;&lt;wsp:rsid wsp:val=&quot;00521EC4&quot;/&gt;&lt;wsp:rsid wsp:val=&quot;0052253C&quot;/&gt;&lt;wsp:rsid wsp:val=&quot;00522688&quot;/&gt;&lt;wsp:rsid wsp:val=&quot;00522804&quot;/&gt;&lt;wsp:rsid wsp:val=&quot;00522A82&quot;/&gt;&lt;wsp:rsid wsp:val=&quot;00522FB4&quot;/&gt;&lt;wsp:rsid wsp:val=&quot;00523487&quot;/&gt;&lt;wsp:rsid wsp:val=&quot;005238EC&quot;/&gt;&lt;wsp:rsid wsp:val=&quot;00523D71&quot;/&gt;&lt;wsp:rsid wsp:val=&quot;00523DA4&quot;/&gt;&lt;wsp:rsid wsp:val=&quot;00523EED&quot;/&gt;&lt;wsp:rsid wsp:val=&quot;00523FBF&quot;/&gt;&lt;wsp:rsid wsp:val=&quot;0052442B&quot;/&gt;&lt;wsp:rsid wsp:val=&quot;005245AE&quot;/&gt;&lt;wsp:rsid wsp:val=&quot;005245C6&quot;/&gt;&lt;wsp:rsid wsp:val=&quot;0052478D&quot;/&gt;&lt;wsp:rsid wsp:val=&quot;005247D8&quot;/&gt;&lt;wsp:rsid wsp:val=&quot;00524D49&quot;/&gt;&lt;wsp:rsid wsp:val=&quot;005254BF&quot;/&gt;&lt;wsp:rsid wsp:val=&quot;005255AF&quot;/&gt;&lt;wsp:rsid wsp:val=&quot;00525B54&quot;/&gt;&lt;wsp:rsid wsp:val=&quot;00525E90&quot;/&gt;&lt;wsp:rsid wsp:val=&quot;00525FFB&quot;/&gt;&lt;wsp:rsid wsp:val=&quot;005260A9&quot;/&gt;&lt;wsp:rsid wsp:val=&quot;00526109&quot;/&gt;&lt;wsp:rsid wsp:val=&quot;00526E53&quot;/&gt;&lt;wsp:rsid wsp:val=&quot;00526EDD&quot;/&gt;&lt;wsp:rsid wsp:val=&quot;0052703E&quot;/&gt;&lt;wsp:rsid wsp:val=&quot;00527289&quot;/&gt;&lt;wsp:rsid wsp:val=&quot;00527CBA&quot;/&gt;&lt;wsp:rsid wsp:val=&quot;00530412&quot;/&gt;&lt;wsp:rsid wsp:val=&quot;005308A3&quot;/&gt;&lt;wsp:rsid wsp:val=&quot;00530BAD&quot;/&gt;&lt;wsp:rsid wsp:val=&quot;00530D07&quot;/&gt;&lt;wsp:rsid wsp:val=&quot;005314D2&quot;/&gt;&lt;wsp:rsid wsp:val=&quot;00531A24&quot;/&gt;&lt;wsp:rsid wsp:val=&quot;00532160&quot;/&gt;&lt;wsp:rsid wsp:val=&quot;0053238B&quot;/&gt;&lt;wsp:rsid wsp:val=&quot;00532486&quot;/&gt;&lt;wsp:rsid wsp:val=&quot;005324E5&quot;/&gt;&lt;wsp:rsid wsp:val=&quot;005329A8&quot;/&gt;&lt;wsp:rsid wsp:val=&quot;00532B2A&quot;/&gt;&lt;wsp:rsid wsp:val=&quot;00532F0D&quot;/&gt;&lt;wsp:rsid wsp:val=&quot;0053335A&quot;/&gt;&lt;wsp:rsid wsp:val=&quot;005335C8&quot;/&gt;&lt;wsp:rsid wsp:val=&quot;00533850&quot;/&gt;&lt;wsp:rsid wsp:val=&quot;00533D2B&quot;/&gt;&lt;wsp:rsid wsp:val=&quot;00533E8C&quot;/&gt;&lt;wsp:rsid wsp:val=&quot;00533F94&quot;/&gt;&lt;wsp:rsid wsp:val=&quot;0053419B&quot;/&gt;&lt;wsp:rsid wsp:val=&quot;005348E7&quot;/&gt;&lt;wsp:rsid wsp:val=&quot;00534921&quot;/&gt;&lt;wsp:rsid wsp:val=&quot;00535204&quot;/&gt;&lt;wsp:rsid wsp:val=&quot;00535364&quot;/&gt;&lt;wsp:rsid wsp:val=&quot;00535D15&quot;/&gt;&lt;wsp:rsid wsp:val=&quot;00535E04&quot;/&gt;&lt;wsp:rsid wsp:val=&quot;005367F3&quot;/&gt;&lt;wsp:rsid wsp:val=&quot;005369FC&quot;/&gt;&lt;wsp:rsid wsp:val=&quot;00536BEA&quot;/&gt;&lt;wsp:rsid wsp:val=&quot;0053739E&quot;/&gt;&lt;wsp:rsid wsp:val=&quot;00537593&quot;/&gt;&lt;wsp:rsid wsp:val=&quot;005376AC&quot;/&gt;&lt;wsp:rsid wsp:val=&quot;00537A5E&quot;/&gt;&lt;wsp:rsid wsp:val=&quot;005401B7&quot;/&gt;&lt;wsp:rsid wsp:val=&quot;00540586&quot;/&gt;&lt;wsp:rsid wsp:val=&quot;00540626&quot;/&gt;&lt;wsp:rsid wsp:val=&quot;00540BBF&quot;/&gt;&lt;wsp:rsid wsp:val=&quot;00540BE8&quot;/&gt;&lt;wsp:rsid wsp:val=&quot;00540CAE&quot;/&gt;&lt;wsp:rsid wsp:val=&quot;00541043&quot;/&gt;&lt;wsp:rsid wsp:val=&quot;00541503&quot;/&gt;&lt;wsp:rsid wsp:val=&quot;00541761&quot;/&gt;&lt;wsp:rsid wsp:val=&quot;00542050&quot;/&gt;&lt;wsp:rsid wsp:val=&quot;00542548&quot;/&gt;&lt;wsp:rsid wsp:val=&quot;00542876&quot;/&gt;&lt;wsp:rsid wsp:val=&quot;00542B60&quot;/&gt;&lt;wsp:rsid wsp:val=&quot;00542BD8&quot;/&gt;&lt;wsp:rsid wsp:val=&quot;00542D44&quot;/&gt;&lt;wsp:rsid wsp:val=&quot;00542E9C&quot;/&gt;&lt;wsp:rsid wsp:val=&quot;00543459&quot;/&gt;&lt;wsp:rsid wsp:val=&quot;00543D53&quot;/&gt;&lt;wsp:rsid wsp:val=&quot;00544120&quot;/&gt;&lt;wsp:rsid wsp:val=&quot;00544895&quot;/&gt;&lt;wsp:rsid wsp:val=&quot;005449D5&quot;/&gt;&lt;wsp:rsid wsp:val=&quot;00545012&quot;/&gt;&lt;wsp:rsid wsp:val=&quot;005454FC&quot;/&gt;&lt;wsp:rsid wsp:val=&quot;0054566F&quot;/&gt;&lt;wsp:rsid wsp:val=&quot;00545D06&quot;/&gt;&lt;wsp:rsid wsp:val=&quot;005463E8&quot;/&gt;&lt;wsp:rsid wsp:val=&quot;0054694F&quot;/&gt;&lt;wsp:rsid wsp:val=&quot;0054697A&quot;/&gt;&lt;wsp:rsid wsp:val=&quot;00546AFD&quot;/&gt;&lt;wsp:rsid wsp:val=&quot;005470B2&quot;/&gt;&lt;wsp:rsid wsp:val=&quot;005470DB&quot;/&gt;&lt;wsp:rsid wsp:val=&quot;00547106&quot;/&gt;&lt;wsp:rsid wsp:val=&quot;00547118&quot;/&gt;&lt;wsp:rsid wsp:val=&quot;00547431&quot;/&gt;&lt;wsp:rsid wsp:val=&quot;00550205&quot;/&gt;&lt;wsp:rsid wsp:val=&quot;005505DC&quot;/&gt;&lt;wsp:rsid wsp:val=&quot;0055192F&quot;/&gt;&lt;wsp:rsid wsp:val=&quot;00551A6E&quot;/&gt;&lt;wsp:rsid wsp:val=&quot;00551D09&quot;/&gt;&lt;wsp:rsid wsp:val=&quot;00552BB8&quot;/&gt;&lt;wsp:rsid wsp:val=&quot;0055306C&quot;/&gt;&lt;wsp:rsid wsp:val=&quot;00553144&quot;/&gt;&lt;wsp:rsid wsp:val=&quot;0055338B&quot;/&gt;&lt;wsp:rsid wsp:val=&quot;00553604&quot;/&gt;&lt;wsp:rsid wsp:val=&quot;0055385F&quot;/&gt;&lt;wsp:rsid wsp:val=&quot;005538D9&quot;/&gt;&lt;wsp:rsid wsp:val=&quot;00553D3E&quot;/&gt;&lt;wsp:rsid wsp:val=&quot;00553EE3&quot;/&gt;&lt;wsp:rsid wsp:val=&quot;00554580&quot;/&gt;&lt;wsp:rsid wsp:val=&quot;00555624&quot;/&gt;&lt;wsp:rsid wsp:val=&quot;00555778&quot;/&gt;&lt;wsp:rsid wsp:val=&quot;00555EC6&quot;/&gt;&lt;wsp:rsid wsp:val=&quot;00555F65&quot;/&gt;&lt;wsp:rsid wsp:val=&quot;00555F66&quot;/&gt;&lt;wsp:rsid wsp:val=&quot;0055620C&quot;/&gt;&lt;wsp:rsid wsp:val=&quot;005568E2&quot;/&gt;&lt;wsp:rsid wsp:val=&quot;0055690E&quot;/&gt;&lt;wsp:rsid wsp:val=&quot;00556A1F&quot;/&gt;&lt;wsp:rsid wsp:val=&quot;00556F2D&quot;/&gt;&lt;wsp:rsid wsp:val=&quot;00557440&quot;/&gt;&lt;wsp:rsid wsp:val=&quot;0055764E&quot;/&gt;&lt;wsp:rsid wsp:val=&quot;0055768F&quot;/&gt;&lt;wsp:rsid wsp:val=&quot;005576C2&quot;/&gt;&lt;wsp:rsid wsp:val=&quot;00557B28&quot;/&gt;&lt;wsp:rsid wsp:val=&quot;00557C49&quot;/&gt;&lt;wsp:rsid wsp:val=&quot;0056031D&quot;/&gt;&lt;wsp:rsid wsp:val=&quot;00560FA8&quot;/&gt;&lt;wsp:rsid wsp:val=&quot;005613BC&quot;/&gt;&lt;wsp:rsid wsp:val=&quot;005615A8&quot;/&gt;&lt;wsp:rsid wsp:val=&quot;00561679&quot;/&gt;&lt;wsp:rsid wsp:val=&quot;00561A9F&quot;/&gt;&lt;wsp:rsid wsp:val=&quot;00561DED&quot;/&gt;&lt;wsp:rsid wsp:val=&quot;0056207D&quot;/&gt;&lt;wsp:rsid wsp:val=&quot;00562272&quot;/&gt;&lt;wsp:rsid wsp:val=&quot;00562A2D&quot;/&gt;&lt;wsp:rsid wsp:val=&quot;00562DC4&quot;/&gt;&lt;wsp:rsid wsp:val=&quot;005636B1&quot;/&gt;&lt;wsp:rsid wsp:val=&quot;0056395C&quot;/&gt;&lt;wsp:rsid wsp:val=&quot;00565155&quot;/&gt;&lt;wsp:rsid wsp:val=&quot;00565317&quot;/&gt;&lt;wsp:rsid wsp:val=&quot;00565367&quot;/&gt;&lt;wsp:rsid wsp:val=&quot;00566368&quot;/&gt;&lt;wsp:rsid wsp:val=&quot;005672F9&quot;/&gt;&lt;wsp:rsid wsp:val=&quot;00567EE4&quot;/&gt;&lt;wsp:rsid wsp:val=&quot;00570032&quot;/&gt;&lt;wsp:rsid wsp:val=&quot;0057047D&quot;/&gt;&lt;wsp:rsid wsp:val=&quot;0057049E&quot;/&gt;&lt;wsp:rsid wsp:val=&quot;00570564&quot;/&gt;&lt;wsp:rsid wsp:val=&quot;00570605&quot;/&gt;&lt;wsp:rsid wsp:val=&quot;005708EC&quot;/&gt;&lt;wsp:rsid wsp:val=&quot;00570F63&quot;/&gt;&lt;wsp:rsid wsp:val=&quot;00571270&quot;/&gt;&lt;wsp:rsid wsp:val=&quot;005713CC&quot;/&gt;&lt;wsp:rsid wsp:val=&quot;00571754&quot;/&gt;&lt;wsp:rsid wsp:val=&quot;0057188B&quot;/&gt;&lt;wsp:rsid wsp:val=&quot;00571BC6&quot;/&gt;&lt;wsp:rsid wsp:val=&quot;00571D1F&quot;/&gt;&lt;wsp:rsid wsp:val=&quot;00571D7A&quot;/&gt;&lt;wsp:rsid wsp:val=&quot;00571E3F&quot;/&gt;&lt;wsp:rsid wsp:val=&quot;00571E5F&quot;/&gt;&lt;wsp:rsid wsp:val=&quot;00571F49&quot;/&gt;&lt;wsp:rsid wsp:val=&quot;00572056&quot;/&gt;&lt;wsp:rsid wsp:val=&quot;005723B6&quot;/&gt;&lt;wsp:rsid wsp:val=&quot;00572832&quot;/&gt;&lt;wsp:rsid wsp:val=&quot;00572B81&quot;/&gt;&lt;wsp:rsid wsp:val=&quot;00572F15&quot;/&gt;&lt;wsp:rsid wsp:val=&quot;00573188&quot;/&gt;&lt;wsp:rsid wsp:val=&quot;005732BD&quot;/&gt;&lt;wsp:rsid wsp:val=&quot;005732EA&quot;/&gt;&lt;wsp:rsid wsp:val=&quot;00573331&quot;/&gt;&lt;wsp:rsid wsp:val=&quot;005739FB&quot;/&gt;&lt;wsp:rsid wsp:val=&quot;00573B41&quot;/&gt;&lt;wsp:rsid wsp:val=&quot;00573F1A&quot;/&gt;&lt;wsp:rsid wsp:val=&quot;005745F8&quot;/&gt;&lt;wsp:rsid wsp:val=&quot;0057470C&quot;/&gt;&lt;wsp:rsid wsp:val=&quot;00574866&quot;/&gt;&lt;wsp:rsid wsp:val=&quot;00574B0F&quot;/&gt;&lt;wsp:rsid wsp:val=&quot;00574EE5&quot;/&gt;&lt;wsp:rsid wsp:val=&quot;0057658C&quot;/&gt;&lt;wsp:rsid wsp:val=&quot;00576ACB&quot;/&gt;&lt;wsp:rsid wsp:val=&quot;00576BF4&quot;/&gt;&lt;wsp:rsid wsp:val=&quot;00576E03&quot;/&gt;&lt;wsp:rsid wsp:val=&quot;005770F1&quot;/&gt;&lt;wsp:rsid wsp:val=&quot;0057714E&quot;/&gt;&lt;wsp:rsid wsp:val=&quot;00577559&quot;/&gt;&lt;wsp:rsid wsp:val=&quot;00577699&quot;/&gt;&lt;wsp:rsid wsp:val=&quot;00577EBD&quot;/&gt;&lt;wsp:rsid wsp:val=&quot;00577F10&quot;/&gt;&lt;wsp:rsid wsp:val=&quot;00580790&quot;/&gt;&lt;wsp:rsid wsp:val=&quot;00581446&quot;/&gt;&lt;wsp:rsid wsp:val=&quot;00581A52&quot;/&gt;&lt;wsp:rsid wsp:val=&quot;00581B3D&quot;/&gt;&lt;wsp:rsid wsp:val=&quot;00581EC4&quot;/&gt;&lt;wsp:rsid wsp:val=&quot;00582109&quot;/&gt;&lt;wsp:rsid wsp:val=&quot;00582153&quot;/&gt;&lt;wsp:rsid wsp:val=&quot;005824B7&quot;/&gt;&lt;wsp:rsid wsp:val=&quot;00582F4D&quot;/&gt;&lt;wsp:rsid wsp:val=&quot;00582FF3&quot;/&gt;&lt;wsp:rsid wsp:val=&quot;00583296&quot;/&gt;&lt;wsp:rsid wsp:val=&quot;0058336C&quot;/&gt;&lt;wsp:rsid wsp:val=&quot;005839B5&quot;/&gt;&lt;wsp:rsid wsp:val=&quot;005839C0&quot;/&gt;&lt;wsp:rsid wsp:val=&quot;00583C7E&quot;/&gt;&lt;wsp:rsid wsp:val=&quot;005842BF&quot;/&gt;&lt;wsp:rsid wsp:val=&quot;005845BE&quot;/&gt;&lt;wsp:rsid wsp:val=&quot;005847DF&quot;/&gt;&lt;wsp:rsid wsp:val=&quot;00584A10&quot;/&gt;&lt;wsp:rsid wsp:val=&quot;00584EB7&quot;/&gt;&lt;wsp:rsid wsp:val=&quot;0058558C&quot;/&gt;&lt;wsp:rsid wsp:val=&quot;00585592&quot;/&gt;&lt;wsp:rsid wsp:val=&quot;005868A0&quot;/&gt;&lt;wsp:rsid wsp:val=&quot;00586A23&quot;/&gt;&lt;wsp:rsid wsp:val=&quot;0058793B&quot;/&gt;&lt;wsp:rsid wsp:val=&quot;0059029B&quot;/&gt;&lt;wsp:rsid wsp:val=&quot;005902CD&quot;/&gt;&lt;wsp:rsid wsp:val=&quot;00590911&quot;/&gt;&lt;wsp:rsid wsp:val=&quot;00590AE1&quot;/&gt;&lt;wsp:rsid wsp:val=&quot;00590BAF&quot;/&gt;&lt;wsp:rsid wsp:val=&quot;00590BB7&quot;/&gt;&lt;wsp:rsid wsp:val=&quot;00590E01&quot;/&gt;&lt;wsp:rsid wsp:val=&quot;00591205&quot;/&gt;&lt;wsp:rsid wsp:val=&quot;005912F3&quot;/&gt;&lt;wsp:rsid wsp:val=&quot;005916F8&quot;/&gt;&lt;wsp:rsid wsp:val=&quot;005919FD&quot;/&gt;&lt;wsp:rsid wsp:val=&quot;00591DF6&quot;/&gt;&lt;wsp:rsid wsp:val=&quot;00591DFA&quot;/&gt;&lt;wsp:rsid wsp:val=&quot;00591F1A&quot;/&gt;&lt;wsp:rsid wsp:val=&quot;00591F7F&quot;/&gt;&lt;wsp:rsid wsp:val=&quot;00592164&quot;/&gt;&lt;wsp:rsid wsp:val=&quot;00592648&quot;/&gt;&lt;wsp:rsid wsp:val=&quot;005926E1&quot;/&gt;&lt;wsp:rsid wsp:val=&quot;005928D4&quot;/&gt;&lt;wsp:rsid wsp:val=&quot;00592A64&quot;/&gt;&lt;wsp:rsid wsp:val=&quot;00592AF3&quot;/&gt;&lt;wsp:rsid wsp:val=&quot;00592C7B&quot;/&gt;&lt;wsp:rsid wsp:val=&quot;00592DD6&quot;/&gt;&lt;wsp:rsid wsp:val=&quot;00592E26&quot;/&gt;&lt;wsp:rsid wsp:val=&quot;00593031&quot;/&gt;&lt;wsp:rsid wsp:val=&quot;005931B9&quot;/&gt;&lt;wsp:rsid wsp:val=&quot;00593609&quot;/&gt;&lt;wsp:rsid wsp:val=&quot;00593CE8&quot;/&gt;&lt;wsp:rsid wsp:val=&quot;00593CE9&quot;/&gt;&lt;wsp:rsid wsp:val=&quot;00593F69&quot;/&gt;&lt;wsp:rsid wsp:val=&quot;00594110&quot;/&gt;&lt;wsp:rsid wsp:val=&quot;00594273&quot;/&gt;&lt;wsp:rsid wsp:val=&quot;00594372&quot;/&gt;&lt;wsp:rsid wsp:val=&quot;00594667&quot;/&gt;&lt;wsp:rsid wsp:val=&quot;00594EBD&quot;/&gt;&lt;wsp:rsid wsp:val=&quot;00595156&quot;/&gt;&lt;wsp:rsid wsp:val=&quot;00595C16&quot;/&gt;&lt;wsp:rsid wsp:val=&quot;00595D5A&quot;/&gt;&lt;wsp:rsid wsp:val=&quot;005963B3&quot;/&gt;&lt;wsp:rsid wsp:val=&quot;0059688E&quot;/&gt;&lt;wsp:rsid wsp:val=&quot;005969ED&quot;/&gt;&lt;wsp:rsid wsp:val=&quot;00596DF9&quot;/&gt;&lt;wsp:rsid wsp:val=&quot;00596E70&quot;/&gt;&lt;wsp:rsid wsp:val=&quot;00597124&quot;/&gt;&lt;wsp:rsid wsp:val=&quot;0059756C&quot;/&gt;&lt;wsp:rsid wsp:val=&quot;00597690&quot;/&gt;&lt;wsp:rsid wsp:val=&quot;005A0231&quot;/&gt;&lt;wsp:rsid wsp:val=&quot;005A0669&quot;/&gt;&lt;wsp:rsid wsp:val=&quot;005A0966&quot;/&gt;&lt;wsp:rsid wsp:val=&quot;005A0A0D&quot;/&gt;&lt;wsp:rsid wsp:val=&quot;005A14E9&quot;/&gt;&lt;wsp:rsid wsp:val=&quot;005A1829&quot;/&gt;&lt;wsp:rsid wsp:val=&quot;005A18BC&quot;/&gt;&lt;wsp:rsid wsp:val=&quot;005A2506&quot;/&gt;&lt;wsp:rsid wsp:val=&quot;005A2BCA&quot;/&gt;&lt;wsp:rsid wsp:val=&quot;005A2CAD&quot;/&gt;&lt;wsp:rsid wsp:val=&quot;005A3105&quot;/&gt;&lt;wsp:rsid wsp:val=&quot;005A33B6&quot;/&gt;&lt;wsp:rsid wsp:val=&quot;005A3C70&quot;/&gt;&lt;wsp:rsid wsp:val=&quot;005A3F1B&quot;/&gt;&lt;wsp:rsid wsp:val=&quot;005A45C2&quot;/&gt;&lt;wsp:rsid wsp:val=&quot;005A47A2&quot;/&gt;&lt;wsp:rsid wsp:val=&quot;005A52A5&quot;/&gt;&lt;wsp:rsid wsp:val=&quot;005A5316&quot;/&gt;&lt;wsp:rsid wsp:val=&quot;005A5863&quot;/&gt;&lt;wsp:rsid wsp:val=&quot;005A5C8A&quot;/&gt;&lt;wsp:rsid wsp:val=&quot;005A5FB0&quot;/&gt;&lt;wsp:rsid wsp:val=&quot;005A620B&quot;/&gt;&lt;wsp:rsid wsp:val=&quot;005A6239&quot;/&gt;&lt;wsp:rsid wsp:val=&quot;005A6529&quot;/&gt;&lt;wsp:rsid wsp:val=&quot;005A6600&quot;/&gt;&lt;wsp:rsid wsp:val=&quot;005A6A04&quot;/&gt;&lt;wsp:rsid wsp:val=&quot;005A6CA1&quot;/&gt;&lt;wsp:rsid wsp:val=&quot;005A72AC&quot;/&gt;&lt;wsp:rsid wsp:val=&quot;005A750D&quot;/&gt;&lt;wsp:rsid wsp:val=&quot;005A75BA&quot;/&gt;&lt;wsp:rsid wsp:val=&quot;005A7D99&quot;/&gt;&lt;wsp:rsid wsp:val=&quot;005B013C&quot;/&gt;&lt;wsp:rsid wsp:val=&quot;005B04AD&quot;/&gt;&lt;wsp:rsid wsp:val=&quot;005B081D&quot;/&gt;&lt;wsp:rsid wsp:val=&quot;005B0EBE&quot;/&gt;&lt;wsp:rsid wsp:val=&quot;005B1086&quot;/&gt;&lt;wsp:rsid wsp:val=&quot;005B11F7&quot;/&gt;&lt;wsp:rsid wsp:val=&quot;005B131E&quot;/&gt;&lt;wsp:rsid wsp:val=&quot;005B183A&quot;/&gt;&lt;wsp:rsid wsp:val=&quot;005B185B&quot;/&gt;&lt;wsp:rsid wsp:val=&quot;005B1D53&quot;/&gt;&lt;wsp:rsid wsp:val=&quot;005B1F1D&quot;/&gt;&lt;wsp:rsid wsp:val=&quot;005B1FA9&quot;/&gt;&lt;wsp:rsid wsp:val=&quot;005B2143&quot;/&gt;&lt;wsp:rsid wsp:val=&quot;005B2191&quot;/&gt;&lt;wsp:rsid wsp:val=&quot;005B244A&quot;/&gt;&lt;wsp:rsid wsp:val=&quot;005B25ED&quot;/&gt;&lt;wsp:rsid wsp:val=&quot;005B320A&quot;/&gt;&lt;wsp:rsid wsp:val=&quot;005B3214&quot;/&gt;&lt;wsp:rsid wsp:val=&quot;005B3327&quot;/&gt;&lt;wsp:rsid wsp:val=&quot;005B397B&quot;/&gt;&lt;wsp:rsid wsp:val=&quot;005B3BE3&quot;/&gt;&lt;wsp:rsid wsp:val=&quot;005B4122&quot;/&gt;&lt;wsp:rsid wsp:val=&quot;005B413F&quot;/&gt;&lt;wsp:rsid wsp:val=&quot;005B42EB&quot;/&gt;&lt;wsp:rsid wsp:val=&quot;005B44E7&quot;/&gt;&lt;wsp:rsid wsp:val=&quot;005B45F3&quot;/&gt;&lt;wsp:rsid wsp:val=&quot;005B481E&quot;/&gt;&lt;wsp:rsid wsp:val=&quot;005B485C&quot;/&gt;&lt;wsp:rsid wsp:val=&quot;005B4892&quot;/&gt;&lt;wsp:rsid wsp:val=&quot;005B48F6&quot;/&gt;&lt;wsp:rsid wsp:val=&quot;005B4F08&quot;/&gt;&lt;wsp:rsid wsp:val=&quot;005B522C&quot;/&gt;&lt;wsp:rsid wsp:val=&quot;005B5589&quot;/&gt;&lt;wsp:rsid wsp:val=&quot;005B57A2&quot;/&gt;&lt;wsp:rsid wsp:val=&quot;005B5822&quot;/&gt;&lt;wsp:rsid wsp:val=&quot;005B5B8F&quot;/&gt;&lt;wsp:rsid wsp:val=&quot;005B5F9D&quot;/&gt;&lt;wsp:rsid wsp:val=&quot;005B673C&quot;/&gt;&lt;wsp:rsid wsp:val=&quot;005B6A0A&quot;/&gt;&lt;wsp:rsid wsp:val=&quot;005B74C4&quot;/&gt;&lt;wsp:rsid wsp:val=&quot;005B7A4F&quot;/&gt;&lt;wsp:rsid wsp:val=&quot;005B7C91&quot;/&gt;&lt;wsp:rsid wsp:val=&quot;005C02CF&quot;/&gt;&lt;wsp:rsid wsp:val=&quot;005C02DF&quot;/&gt;&lt;wsp:rsid wsp:val=&quot;005C03F6&quot;/&gt;&lt;wsp:rsid wsp:val=&quot;005C06D2&quot;/&gt;&lt;wsp:rsid wsp:val=&quot;005C08AC&quot;/&gt;&lt;wsp:rsid wsp:val=&quot;005C12D7&quot;/&gt;&lt;wsp:rsid wsp:val=&quot;005C19D6&quot;/&gt;&lt;wsp:rsid wsp:val=&quot;005C1C02&quot;/&gt;&lt;wsp:rsid wsp:val=&quot;005C1C1E&quot;/&gt;&lt;wsp:rsid wsp:val=&quot;005C2151&quot;/&gt;&lt;wsp:rsid wsp:val=&quot;005C21EE&quot;/&gt;&lt;wsp:rsid wsp:val=&quot;005C272C&quot;/&gt;&lt;wsp:rsid wsp:val=&quot;005C2C42&quot;/&gt;&lt;wsp:rsid wsp:val=&quot;005C2C5C&quot;/&gt;&lt;wsp:rsid wsp:val=&quot;005C2EEA&quot;/&gt;&lt;wsp:rsid wsp:val=&quot;005C34B1&quot;/&gt;&lt;wsp:rsid wsp:val=&quot;005C395F&quot;/&gt;&lt;wsp:rsid wsp:val=&quot;005C3978&quot;/&gt;&lt;wsp:rsid wsp:val=&quot;005C3E21&quot;/&gt;&lt;wsp:rsid wsp:val=&quot;005C4186&quot;/&gt;&lt;wsp:rsid wsp:val=&quot;005C435E&quot;/&gt;&lt;wsp:rsid wsp:val=&quot;005C44AC&quot;/&gt;&lt;wsp:rsid wsp:val=&quot;005C45C1&quot;/&gt;&lt;wsp:rsid wsp:val=&quot;005C45D9&quot;/&gt;&lt;wsp:rsid wsp:val=&quot;005C4930&quot;/&gt;&lt;wsp:rsid wsp:val=&quot;005C4978&quot;/&gt;&lt;wsp:rsid wsp:val=&quot;005C4A43&quot;/&gt;&lt;wsp:rsid wsp:val=&quot;005C4D7A&quot;/&gt;&lt;wsp:rsid wsp:val=&quot;005C50FB&quot;/&gt;&lt;wsp:rsid wsp:val=&quot;005C5659&quot;/&gt;&lt;wsp:rsid wsp:val=&quot;005C570F&quot;/&gt;&lt;wsp:rsid wsp:val=&quot;005C5BA8&quot;/&gt;&lt;wsp:rsid wsp:val=&quot;005C600D&quot;/&gt;&lt;wsp:rsid wsp:val=&quot;005C668A&quot;/&gt;&lt;wsp:rsid wsp:val=&quot;005C67B2&quot;/&gt;&lt;wsp:rsid wsp:val=&quot;005C6AB3&quot;/&gt;&lt;wsp:rsid wsp:val=&quot;005C6C39&quot;/&gt;&lt;wsp:rsid wsp:val=&quot;005C6D1C&quot;/&gt;&lt;wsp:rsid wsp:val=&quot;005C6F75&quot;/&gt;&lt;wsp:rsid wsp:val=&quot;005C7013&quot;/&gt;&lt;wsp:rsid wsp:val=&quot;005C712C&quot;/&gt;&lt;wsp:rsid wsp:val=&quot;005C773C&quot;/&gt;&lt;wsp:rsid wsp:val=&quot;005C789A&quot;/&gt;&lt;wsp:rsid wsp:val=&quot;005C7F12&quot;/&gt;&lt;wsp:rsid wsp:val=&quot;005C7F96&quot;/&gt;&lt;wsp:rsid wsp:val=&quot;005D00AC&quot;/&gt;&lt;wsp:rsid wsp:val=&quot;005D021A&quot;/&gt;&lt;wsp:rsid wsp:val=&quot;005D0682&quot;/&gt;&lt;wsp:rsid wsp:val=&quot;005D0A5B&quot;/&gt;&lt;wsp:rsid wsp:val=&quot;005D0AC2&quot;/&gt;&lt;wsp:rsid wsp:val=&quot;005D10A8&quot;/&gt;&lt;wsp:rsid wsp:val=&quot;005D11F2&quot;/&gt;&lt;wsp:rsid wsp:val=&quot;005D1643&quot;/&gt;&lt;wsp:rsid wsp:val=&quot;005D188E&quot;/&gt;&lt;wsp:rsid wsp:val=&quot;005D18E3&quot;/&gt;&lt;wsp:rsid wsp:val=&quot;005D1CB5&quot;/&gt;&lt;wsp:rsid wsp:val=&quot;005D22D8&quot;/&gt;&lt;wsp:rsid wsp:val=&quot;005D2741&quot;/&gt;&lt;wsp:rsid wsp:val=&quot;005D288B&quot;/&gt;&lt;wsp:rsid wsp:val=&quot;005D28B1&quot;/&gt;&lt;wsp:rsid wsp:val=&quot;005D291C&quot;/&gt;&lt;wsp:rsid wsp:val=&quot;005D2A30&quot;/&gt;&lt;wsp:rsid wsp:val=&quot;005D2B9F&quot;/&gt;&lt;wsp:rsid wsp:val=&quot;005D2F6C&quot;/&gt;&lt;wsp:rsid wsp:val=&quot;005D3491&quot;/&gt;&lt;wsp:rsid wsp:val=&quot;005D3C06&quot;/&gt;&lt;wsp:rsid wsp:val=&quot;005D3F4B&quot;/&gt;&lt;wsp:rsid wsp:val=&quot;005D41A4&quot;/&gt;&lt;wsp:rsid wsp:val=&quot;005D4AF4&quot;/&gt;&lt;wsp:rsid wsp:val=&quot;005D4B83&quot;/&gt;&lt;wsp:rsid wsp:val=&quot;005D4BAC&quot;/&gt;&lt;wsp:rsid wsp:val=&quot;005D4CCB&quot;/&gt;&lt;wsp:rsid wsp:val=&quot;005D51AD&quot;/&gt;&lt;wsp:rsid wsp:val=&quot;005D5B11&quot;/&gt;&lt;wsp:rsid wsp:val=&quot;005D5E04&quot;/&gt;&lt;wsp:rsid wsp:val=&quot;005D6865&quot;/&gt;&lt;wsp:rsid wsp:val=&quot;005D68DC&quot;/&gt;&lt;wsp:rsid wsp:val=&quot;005D69CD&quot;/&gt;&lt;wsp:rsid wsp:val=&quot;005D6BF7&quot;/&gt;&lt;wsp:rsid wsp:val=&quot;005D6D08&quot;/&gt;&lt;wsp:rsid wsp:val=&quot;005D6F58&quot;/&gt;&lt;wsp:rsid wsp:val=&quot;005D72C6&quot;/&gt;&lt;wsp:rsid wsp:val=&quot;005D7728&quot;/&gt;&lt;wsp:rsid wsp:val=&quot;005D7B70&quot;/&gt;&lt;wsp:rsid wsp:val=&quot;005D7CF2&quot;/&gt;&lt;wsp:rsid wsp:val=&quot;005E02A5&quot;/&gt;&lt;wsp:rsid wsp:val=&quot;005E066D&quot;/&gt;&lt;wsp:rsid wsp:val=&quot;005E07B0&quot;/&gt;&lt;wsp:rsid wsp:val=&quot;005E08D6&quot;/&gt;&lt;wsp:rsid wsp:val=&quot;005E0C87&quot;/&gt;&lt;wsp:rsid wsp:val=&quot;005E0CB6&quot;/&gt;&lt;wsp:rsid wsp:val=&quot;005E0FB5&quot;/&gt;&lt;wsp:rsid wsp:val=&quot;005E11CF&quot;/&gt;&lt;wsp:rsid wsp:val=&quot;005E12AB&quot;/&gt;&lt;wsp:rsid wsp:val=&quot;005E12B1&quot;/&gt;&lt;wsp:rsid wsp:val=&quot;005E1470&quot;/&gt;&lt;wsp:rsid wsp:val=&quot;005E149E&quot;/&gt;&lt;wsp:rsid wsp:val=&quot;005E1ECD&quot;/&gt;&lt;wsp:rsid wsp:val=&quot;005E20B7&quot;/&gt;&lt;wsp:rsid wsp:val=&quot;005E21CD&quot;/&gt;&lt;wsp:rsid wsp:val=&quot;005E29AA&quot;/&gt;&lt;wsp:rsid wsp:val=&quot;005E2A00&quot;/&gt;&lt;wsp:rsid wsp:val=&quot;005E39B2&quot;/&gt;&lt;wsp:rsid wsp:val=&quot;005E3CC1&quot;/&gt;&lt;wsp:rsid wsp:val=&quot;005E3F77&quot;/&gt;&lt;wsp:rsid wsp:val=&quot;005E44FA&quot;/&gt;&lt;wsp:rsid wsp:val=&quot;005E4AD3&quot;/&gt;&lt;wsp:rsid wsp:val=&quot;005E4FC9&quot;/&gt;&lt;wsp:rsid wsp:val=&quot;005E518D&quot;/&gt;&lt;wsp:rsid wsp:val=&quot;005E51FE&quot;/&gt;&lt;wsp:rsid wsp:val=&quot;005E541D&quot;/&gt;&lt;wsp:rsid wsp:val=&quot;005E6026&quot;/&gt;&lt;wsp:rsid wsp:val=&quot;005E6678&quot;/&gt;&lt;wsp:rsid wsp:val=&quot;005E6805&quot;/&gt;&lt;wsp:rsid wsp:val=&quot;005E6B35&quot;/&gt;&lt;wsp:rsid wsp:val=&quot;005E6D87&quot;/&gt;&lt;wsp:rsid wsp:val=&quot;005E718A&quot;/&gt;&lt;wsp:rsid wsp:val=&quot;005E7278&quot;/&gt;&lt;wsp:rsid wsp:val=&quot;005E73B5&quot;/&gt;&lt;wsp:rsid wsp:val=&quot;005E7724&quot;/&gt;&lt;wsp:rsid wsp:val=&quot;005E7753&quot;/&gt;&lt;wsp:rsid wsp:val=&quot;005E780A&quot;/&gt;&lt;wsp:rsid wsp:val=&quot;005E7D5E&quot;/&gt;&lt;wsp:rsid wsp:val=&quot;005E7F26&quot;/&gt;&lt;wsp:rsid wsp:val=&quot;005E7F7D&quot;/&gt;&lt;wsp:rsid wsp:val=&quot;005E7FCC&quot;/&gt;&lt;wsp:rsid wsp:val=&quot;005F0579&quot;/&gt;&lt;wsp:rsid wsp:val=&quot;005F0589&quot;/&gt;&lt;wsp:rsid wsp:val=&quot;005F092D&quot;/&gt;&lt;wsp:rsid wsp:val=&quot;005F09C4&quot;/&gt;&lt;wsp:rsid wsp:val=&quot;005F0A2B&quot;/&gt;&lt;wsp:rsid wsp:val=&quot;005F1406&quot;/&gt;&lt;wsp:rsid wsp:val=&quot;005F1444&quot;/&gt;&lt;wsp:rsid wsp:val=&quot;005F19EB&quot;/&gt;&lt;wsp:rsid wsp:val=&quot;005F1DBA&quot;/&gt;&lt;wsp:rsid wsp:val=&quot;005F21C6&quot;/&gt;&lt;wsp:rsid wsp:val=&quot;005F2240&quot;/&gt;&lt;wsp:rsid wsp:val=&quot;005F2482&quot;/&gt;&lt;wsp:rsid wsp:val=&quot;005F2843&quot;/&gt;&lt;wsp:rsid wsp:val=&quot;005F3A48&quot;/&gt;&lt;wsp:rsid wsp:val=&quot;005F3B32&quot;/&gt;&lt;wsp:rsid wsp:val=&quot;005F3CE2&quot;/&gt;&lt;wsp:rsid wsp:val=&quot;005F4064&quot;/&gt;&lt;wsp:rsid wsp:val=&quot;005F4875&quot;/&gt;&lt;wsp:rsid wsp:val=&quot;005F531B&quot;/&gt;&lt;wsp:rsid wsp:val=&quot;005F5794&quot;/&gt;&lt;wsp:rsid wsp:val=&quot;005F5E3B&quot;/&gt;&lt;wsp:rsid wsp:val=&quot;005F66D2&quot;/&gt;&lt;wsp:rsid wsp:val=&quot;005F6859&quot;/&gt;&lt;wsp:rsid wsp:val=&quot;005F6AC9&quot;/&gt;&lt;wsp:rsid wsp:val=&quot;005F6B62&quot;/&gt;&lt;wsp:rsid wsp:val=&quot;005F714D&quot;/&gt;&lt;wsp:rsid wsp:val=&quot;005F7208&quot;/&gt;&lt;wsp:rsid wsp:val=&quot;005F7655&quot;/&gt;&lt;wsp:rsid wsp:val=&quot;005F78C9&quot;/&gt;&lt;wsp:rsid wsp:val=&quot;005F78DB&quot;/&gt;&lt;wsp:rsid wsp:val=&quot;005F79CA&quot;/&gt;&lt;wsp:rsid wsp:val=&quot;005F7A86&quot;/&gt;&lt;wsp:rsid wsp:val=&quot;005F7CC1&quot;/&gt;&lt;wsp:rsid wsp:val=&quot;00600930&quot;/&gt;&lt;wsp:rsid wsp:val=&quot;00600950&quot;/&gt;&lt;wsp:rsid wsp:val=&quot;00600BCC&quot;/&gt;&lt;wsp:rsid wsp:val=&quot;006013E0&quot;/&gt;&lt;wsp:rsid wsp:val=&quot;006016CC&quot;/&gt;&lt;wsp:rsid wsp:val=&quot;006017A0&quot;/&gt;&lt;wsp:rsid wsp:val=&quot;00601803&quot;/&gt;&lt;wsp:rsid wsp:val=&quot;00601E47&quot;/&gt;&lt;wsp:rsid wsp:val=&quot;0060215F&quot;/&gt;&lt;wsp:rsid wsp:val=&quot;00602662&quot;/&gt;&lt;wsp:rsid wsp:val=&quot;00602692&quot;/&gt;&lt;wsp:rsid wsp:val=&quot;00602DBF&quot;/&gt;&lt;wsp:rsid wsp:val=&quot;0060343D&quot;/&gt;&lt;wsp:rsid wsp:val=&quot;00603443&quot;/&gt;&lt;wsp:rsid wsp:val=&quot;0060380F&quot;/&gt;&lt;wsp:rsid wsp:val=&quot;00603D72&quot;/&gt;&lt;wsp:rsid wsp:val=&quot;006041F4&quot;/&gt;&lt;wsp:rsid wsp:val=&quot;00604A70&quot;/&gt;&lt;wsp:rsid wsp:val=&quot;00604F77&quot;/&gt;&lt;wsp:rsid wsp:val=&quot;00605312&quot;/&gt;&lt;wsp:rsid wsp:val=&quot;006053FA&quot;/&gt;&lt;wsp:rsid wsp:val=&quot;00605497&quot;/&gt;&lt;wsp:rsid wsp:val=&quot;0060579C&quot;/&gt;&lt;wsp:rsid wsp:val=&quot;0060599D&quot;/&gt;&lt;wsp:rsid wsp:val=&quot;00605AC6&quot;/&gt;&lt;wsp:rsid wsp:val=&quot;00605F21&quot;/&gt;&lt;wsp:rsid wsp:val=&quot;00605FD5&quot;/&gt;&lt;wsp:rsid wsp:val=&quot;00606495&quot;/&gt;&lt;wsp:rsid wsp:val=&quot;0060692A&quot;/&gt;&lt;wsp:rsid wsp:val=&quot;00606C67&quot;/&gt;&lt;wsp:rsid wsp:val=&quot;00606D91&quot;/&gt;&lt;wsp:rsid wsp:val=&quot;00606EE9&quot;/&gt;&lt;wsp:rsid wsp:val=&quot;006071F8&quot;/&gt;&lt;wsp:rsid wsp:val=&quot;0060750E&quot;/&gt;&lt;wsp:rsid wsp:val=&quot;0060760E&quot;/&gt;&lt;wsp:rsid wsp:val=&quot;00607D2A&quot;/&gt;&lt;wsp:rsid wsp:val=&quot;006104A0&quot;/&gt;&lt;wsp:rsid wsp:val=&quot;006104C4&quot;/&gt;&lt;wsp:rsid wsp:val=&quot;00610B4F&quot;/&gt;&lt;wsp:rsid wsp:val=&quot;00610B60&quot;/&gt;&lt;wsp:rsid wsp:val=&quot;00610DED&quot;/&gt;&lt;wsp:rsid wsp:val=&quot;006110B1&quot;/&gt;&lt;wsp:rsid wsp:val=&quot;006117EC&quot;/&gt;&lt;wsp:rsid wsp:val=&quot;006119F6&quot;/&gt;&lt;wsp:rsid wsp:val=&quot;00611AD8&quot;/&gt;&lt;wsp:rsid wsp:val=&quot;00611BE2&quot;/&gt;&lt;wsp:rsid wsp:val=&quot;00611D1C&quot;/&gt;&lt;wsp:rsid wsp:val=&quot;00611FBB&quot;/&gt;&lt;wsp:rsid wsp:val=&quot;0061247F&quot;/&gt;&lt;wsp:rsid wsp:val=&quot;00612698&quot;/&gt;&lt;wsp:rsid wsp:val=&quot;00612D04&quot;/&gt;&lt;wsp:rsid wsp:val=&quot;00612D9D&quot;/&gt;&lt;wsp:rsid wsp:val=&quot;00612F3C&quot;/&gt;&lt;wsp:rsid wsp:val=&quot;00613568&quot;/&gt;&lt;wsp:rsid wsp:val=&quot;00613A58&quot;/&gt;&lt;wsp:rsid wsp:val=&quot;00614164&quot;/&gt;&lt;wsp:rsid wsp:val=&quot;00614DB8&quot;/&gt;&lt;wsp:rsid wsp:val=&quot;0061523E&quot;/&gt;&lt;wsp:rsid wsp:val=&quot;006155C4&quot;/&gt;&lt;wsp:rsid wsp:val=&quot;006157DD&quot;/&gt;&lt;wsp:rsid wsp:val=&quot;00615934&quot;/&gt;&lt;wsp:rsid wsp:val=&quot;0061673B&quot;/&gt;&lt;wsp:rsid wsp:val=&quot;0061748C&quot;/&gt;&lt;wsp:rsid wsp:val=&quot;006175A1&quot;/&gt;&lt;wsp:rsid wsp:val=&quot;00617905&quot;/&gt;&lt;wsp:rsid wsp:val=&quot;0062018E&quot;/&gt;&lt;wsp:rsid wsp:val=&quot;0062025C&quot;/&gt;&lt;wsp:rsid wsp:val=&quot;0062098F&quot;/&gt;&lt;wsp:rsid wsp:val=&quot;006209F6&quot;/&gt;&lt;wsp:rsid wsp:val=&quot;00620B1B&quot;/&gt;&lt;wsp:rsid wsp:val=&quot;0062139E&quot;/&gt;&lt;wsp:rsid wsp:val=&quot;00621405&quot;/&gt;&lt;wsp:rsid wsp:val=&quot;00621469&quot;/&gt;&lt;wsp:rsid wsp:val=&quot;006217A3&quot;/&gt;&lt;wsp:rsid wsp:val=&quot;00621D04&quot;/&gt;&lt;wsp:rsid wsp:val=&quot;00621EF6&quot;/&gt;&lt;wsp:rsid wsp:val=&quot;0062218E&quot;/&gt;&lt;wsp:rsid wsp:val=&quot;006223C5&quot;/&gt;&lt;wsp:rsid wsp:val=&quot;006226D9&quot;/&gt;&lt;wsp:rsid wsp:val=&quot;006227A3&quot;/&gt;&lt;wsp:rsid wsp:val=&quot;00622857&quot;/&gt;&lt;wsp:rsid wsp:val=&quot;00622DDC&quot;/&gt;&lt;wsp:rsid wsp:val=&quot;00622F55&quot;/&gt;&lt;wsp:rsid wsp:val=&quot;0062392F&quot;/&gt;&lt;wsp:rsid wsp:val=&quot;00623AEA&quot;/&gt;&lt;wsp:rsid wsp:val=&quot;00623EF3&quot;/&gt;&lt;wsp:rsid wsp:val=&quot;0062407A&quot;/&gt;&lt;wsp:rsid wsp:val=&quot;006242F0&quot;/&gt;&lt;wsp:rsid wsp:val=&quot;006243EC&quot;/&gt;&lt;wsp:rsid wsp:val=&quot;006245DD&quot;/&gt;&lt;wsp:rsid wsp:val=&quot;00624D61&quot;/&gt;&lt;wsp:rsid wsp:val=&quot;00624FA7&quot;/&gt;&lt;wsp:rsid wsp:val=&quot;0062577F&quot;/&gt;&lt;wsp:rsid wsp:val=&quot;006259EC&quot;/&gt;&lt;wsp:rsid wsp:val=&quot;00625B1E&quot;/&gt;&lt;wsp:rsid wsp:val=&quot;00625CD1&quot;/&gt;&lt;wsp:rsid wsp:val=&quot;0062612E&quot;/&gt;&lt;wsp:rsid wsp:val=&quot;0062615D&quot;/&gt;&lt;wsp:rsid wsp:val=&quot;00626276&quot;/&gt;&lt;wsp:rsid wsp:val=&quot;006264D5&quot;/&gt;&lt;wsp:rsid wsp:val=&quot;0062667D&quot;/&gt;&lt;wsp:rsid wsp:val=&quot;006267E9&quot;/&gt;&lt;wsp:rsid wsp:val=&quot;00626876&quot;/&gt;&lt;wsp:rsid wsp:val=&quot;00626F72&quot;/&gt;&lt;wsp:rsid wsp:val=&quot;00626FE3&quot;/&gt;&lt;wsp:rsid wsp:val=&quot;006270E2&quot;/&gt;&lt;wsp:rsid wsp:val=&quot;0062713D&quot;/&gt;&lt;wsp:rsid wsp:val=&quot;00627332&quot;/&gt;&lt;wsp:rsid wsp:val=&quot;006278BC&quot;/&gt;&lt;wsp:rsid wsp:val=&quot;00627A09&quot;/&gt;&lt;wsp:rsid wsp:val=&quot;00627DE4&quot;/&gt;&lt;wsp:rsid wsp:val=&quot;006300A5&quot;/&gt;&lt;wsp:rsid wsp:val=&quot;0063069B&quot;/&gt;&lt;wsp:rsid wsp:val=&quot;00630CE0&quot;/&gt;&lt;wsp:rsid wsp:val=&quot;00631241&quot;/&gt;&lt;wsp:rsid wsp:val=&quot;00631489&quot;/&gt;&lt;wsp:rsid wsp:val=&quot;00631D68&quot;/&gt;&lt;wsp:rsid wsp:val=&quot;0063235E&quot;/&gt;&lt;wsp:rsid wsp:val=&quot;00632421&quot;/&gt;&lt;wsp:rsid wsp:val=&quot;00632AE3&quot;/&gt;&lt;wsp:rsid wsp:val=&quot;00632D4E&quot;/&gt;&lt;wsp:rsid wsp:val=&quot;0063345C&quot;/&gt;&lt;wsp:rsid wsp:val=&quot;00633EC5&quot;/&gt;&lt;wsp:rsid wsp:val=&quot;00634545&quot;/&gt;&lt;wsp:rsid wsp:val=&quot;00635069&quot;/&gt;&lt;wsp:rsid wsp:val=&quot;006350B5&quot;/&gt;&lt;wsp:rsid wsp:val=&quot;0063528A&quot;/&gt;&lt;wsp:rsid wsp:val=&quot;0063595F&quot;/&gt;&lt;wsp:rsid wsp:val=&quot;0063596B&quot;/&gt;&lt;wsp:rsid wsp:val=&quot;00635AB7&quot;/&gt;&lt;wsp:rsid wsp:val=&quot;00635EFC&quot;/&gt;&lt;wsp:rsid wsp:val=&quot;00635F4D&quot;/&gt;&lt;wsp:rsid wsp:val=&quot;006360FC&quot;/&gt;&lt;wsp:rsid wsp:val=&quot;006363B0&quot;/&gt;&lt;wsp:rsid wsp:val=&quot;0063654F&quot;/&gt;&lt;wsp:rsid wsp:val=&quot;006369F7&quot;/&gt;&lt;wsp:rsid wsp:val=&quot;00636BE0&quot;/&gt;&lt;wsp:rsid wsp:val=&quot;0063749D&quot;/&gt;&lt;wsp:rsid wsp:val=&quot;0063771D&quot;/&gt;&lt;wsp:rsid wsp:val=&quot;0063795F&quot;/&gt;&lt;wsp:rsid wsp:val=&quot;00637F48&quot;/&gt;&lt;wsp:rsid wsp:val=&quot;00640631&quot;/&gt;&lt;wsp:rsid wsp:val=&quot;00640A8C&quot;/&gt;&lt;wsp:rsid wsp:val=&quot;00640D8C&quot;/&gt;&lt;wsp:rsid wsp:val=&quot;00641490&quot;/&gt;&lt;wsp:rsid wsp:val=&quot;0064184F&quot;/&gt;&lt;wsp:rsid wsp:val=&quot;00641B62&quot;/&gt;&lt;wsp:rsid wsp:val=&quot;00641E49&quot;/&gt;&lt;wsp:rsid wsp:val=&quot;006420AF&quot;/&gt;&lt;wsp:rsid wsp:val=&quot;00642223&quot;/&gt;&lt;wsp:rsid wsp:val=&quot;0064262B&quot;/&gt;&lt;wsp:rsid wsp:val=&quot;00642A27&quot;/&gt;&lt;wsp:rsid wsp:val=&quot;00642B8A&quot;/&gt;&lt;wsp:rsid wsp:val=&quot;00642ECC&quot;/&gt;&lt;wsp:rsid wsp:val=&quot;006431C3&quot;/&gt;&lt;wsp:rsid wsp:val=&quot;006431DB&quot;/&gt;&lt;wsp:rsid wsp:val=&quot;00643392&quot;/&gt;&lt;wsp:rsid wsp:val=&quot;00643447&quot;/&gt;&lt;wsp:rsid wsp:val=&quot;00643462&quot;/&gt;&lt;wsp:rsid wsp:val=&quot;006437F1&quot;/&gt;&lt;wsp:rsid wsp:val=&quot;00643E5F&quot;/&gt;&lt;wsp:rsid wsp:val=&quot;00643F90&quot;/&gt;&lt;wsp:rsid wsp:val=&quot;0064437A&quot;/&gt;&lt;wsp:rsid wsp:val=&quot;00644513&quot;/&gt;&lt;wsp:rsid wsp:val=&quot;00644784&quot;/&gt;&lt;wsp:rsid wsp:val=&quot;00644BFD&quot;/&gt;&lt;wsp:rsid wsp:val=&quot;00645728&quot;/&gt;&lt;wsp:rsid wsp:val=&quot;00645C8E&quot;/&gt;&lt;wsp:rsid wsp:val=&quot;00645FC2&quot;/&gt;&lt;wsp:rsid wsp:val=&quot;00646136&quot;/&gt;&lt;wsp:rsid wsp:val=&quot;0064614D&quot;/&gt;&lt;wsp:rsid wsp:val=&quot;00646159&quot;/&gt;&lt;wsp:rsid wsp:val=&quot;00646ADF&quot;/&gt;&lt;wsp:rsid wsp:val=&quot;00646E98&quot;/&gt;&lt;wsp:rsid wsp:val=&quot;006470E8&quot;/&gt;&lt;wsp:rsid wsp:val=&quot;006471AA&quot;/&gt;&lt;wsp:rsid wsp:val=&quot;0064762B&quot;/&gt;&lt;wsp:rsid wsp:val=&quot;006479FB&quot;/&gt;&lt;wsp:rsid wsp:val=&quot;00647F4E&quot;/&gt;&lt;wsp:rsid wsp:val=&quot;00650673&quot;/&gt;&lt;wsp:rsid wsp:val=&quot;006507BF&quot;/&gt;&lt;wsp:rsid wsp:val=&quot;006509FC&quot;/&gt;&lt;wsp:rsid wsp:val=&quot;00650D4F&quot;/&gt;&lt;wsp:rsid wsp:val=&quot;00650E1F&quot;/&gt;&lt;wsp:rsid wsp:val=&quot;00650F51&quot;/&gt;&lt;wsp:rsid wsp:val=&quot;006510CD&quot;/&gt;&lt;wsp:rsid wsp:val=&quot;00651160&quot;/&gt;&lt;wsp:rsid wsp:val=&quot;0065129C&quot;/&gt;&lt;wsp:rsid wsp:val=&quot;0065174F&quot;/&gt;&lt;wsp:rsid wsp:val=&quot;00651803&quot;/&gt;&lt;wsp:rsid wsp:val=&quot;00651979&quot;/&gt;&lt;wsp:rsid wsp:val=&quot;00651A8A&quot;/&gt;&lt;wsp:rsid wsp:val=&quot;00652017&quot;/&gt;&lt;wsp:rsid wsp:val=&quot;0065251B&quot;/&gt;&lt;wsp:rsid wsp:val=&quot;00652ADE&quot;/&gt;&lt;wsp:rsid wsp:val=&quot;0065368B&quot;/&gt;&lt;wsp:rsid wsp:val=&quot;006537C8&quot;/&gt;&lt;wsp:rsid wsp:val=&quot;00653AEB&quot;/&gt;&lt;wsp:rsid wsp:val=&quot;00654161&quot;/&gt;&lt;wsp:rsid wsp:val=&quot;006543DB&quot;/&gt;&lt;wsp:rsid wsp:val=&quot;00654689&quot;/&gt;&lt;wsp:rsid wsp:val=&quot;00654CE5&quot;/&gt;&lt;wsp:rsid wsp:val=&quot;00654D86&quot;/&gt;&lt;wsp:rsid wsp:val=&quot;006551F9&quot;/&gt;&lt;wsp:rsid wsp:val=&quot;0065540E&quot;/&gt;&lt;wsp:rsid wsp:val=&quot;006559B0&quot;/&gt;&lt;wsp:rsid wsp:val=&quot;006561C5&quot;/&gt;&lt;wsp:rsid wsp:val=&quot;0065623A&quot;/&gt;&lt;wsp:rsid wsp:val=&quot;00656A16&quot;/&gt;&lt;wsp:rsid wsp:val=&quot;00656C07&quot;/&gt;&lt;wsp:rsid wsp:val=&quot;00657224&quot;/&gt;&lt;wsp:rsid wsp:val=&quot;00657298&quot;/&gt;&lt;wsp:rsid wsp:val=&quot;00657E13&quot;/&gt;&lt;wsp:rsid wsp:val=&quot;00660129&quot;/&gt;&lt;wsp:rsid wsp:val=&quot;006602A5&quot;/&gt;&lt;wsp:rsid wsp:val=&quot;00660EA0&quot;/&gt;&lt;wsp:rsid wsp:val=&quot;00660EB5&quot;/&gt;&lt;wsp:rsid wsp:val=&quot;00660F1A&quot;/&gt;&lt;wsp:rsid wsp:val=&quot;00661281&quot;/&gt;&lt;wsp:rsid wsp:val=&quot;006614BB&quot;/&gt;&lt;wsp:rsid wsp:val=&quot;00661BAE&quot;/&gt;&lt;wsp:rsid wsp:val=&quot;00661D4C&quot;/&gt;&lt;wsp:rsid wsp:val=&quot;00661F6A&quot;/&gt;&lt;wsp:rsid wsp:val=&quot;00662647&quot;/&gt;&lt;wsp:rsid wsp:val=&quot;006627B8&quot;/&gt;&lt;wsp:rsid wsp:val=&quot;00662857&quot;/&gt;&lt;wsp:rsid wsp:val=&quot;00662971&quot;/&gt;&lt;wsp:rsid wsp:val=&quot;00662B06&quot;/&gt;&lt;wsp:rsid wsp:val=&quot;00662FAB&quot;/&gt;&lt;wsp:rsid wsp:val=&quot;006632F3&quot;/&gt;&lt;wsp:rsid wsp:val=&quot;006638BE&quot;/&gt;&lt;wsp:rsid wsp:val=&quot;00663B1D&quot;/&gt;&lt;wsp:rsid wsp:val=&quot;00663C31&quot;/&gt;&lt;wsp:rsid wsp:val=&quot;00663C78&quot;/&gt;&lt;wsp:rsid wsp:val=&quot;00663F87&quot;/&gt;&lt;wsp:rsid wsp:val=&quot;00663FF8&quot;/&gt;&lt;wsp:rsid wsp:val=&quot;00664239&quot;/&gt;&lt;wsp:rsid wsp:val=&quot;006642D3&quot;/&gt;&lt;wsp:rsid wsp:val=&quot;006648F8&quot;/&gt;&lt;wsp:rsid wsp:val=&quot;00664930&quot;/&gt;&lt;wsp:rsid wsp:val=&quot;00664A22&quot;/&gt;&lt;wsp:rsid wsp:val=&quot;00664AF8&quot;/&gt;&lt;wsp:rsid wsp:val=&quot;00665012&quot;/&gt;&lt;wsp:rsid wsp:val=&quot;006651FC&quot;/&gt;&lt;wsp:rsid wsp:val=&quot;00665343&quot;/&gt;&lt;wsp:rsid wsp:val=&quot;006655AD&quot;/&gt;&lt;wsp:rsid wsp:val=&quot;006659B7&quot;/&gt;&lt;wsp:rsid wsp:val=&quot;00665B99&quot;/&gt;&lt;wsp:rsid wsp:val=&quot;00666106&quot;/&gt;&lt;wsp:rsid wsp:val=&quot;006662AF&quot;/&gt;&lt;wsp:rsid wsp:val=&quot;0066679D&quot;/&gt;&lt;wsp:rsid wsp:val=&quot;00666B4F&quot;/&gt;&lt;wsp:rsid wsp:val=&quot;00666FA8&quot;/&gt;&lt;wsp:rsid wsp:val=&quot;00667403&quot;/&gt;&lt;wsp:rsid wsp:val=&quot;0066746B&quot;/&gt;&lt;wsp:rsid wsp:val=&quot;006676C5&quot;/&gt;&lt;wsp:rsid wsp:val=&quot;00667AA9&quot;/&gt;&lt;wsp:rsid wsp:val=&quot;00670520&quot;/&gt;&lt;wsp:rsid wsp:val=&quot;006706ED&quot;/&gt;&lt;wsp:rsid wsp:val=&quot;00670865&quot;/&gt;&lt;wsp:rsid wsp:val=&quot;006709EE&quot;/&gt;&lt;wsp:rsid wsp:val=&quot;00670FD3&quot;/&gt;&lt;wsp:rsid wsp:val=&quot;006711C3&quot;/&gt;&lt;wsp:rsid wsp:val=&quot;006714A8&quot;/&gt;&lt;wsp:rsid wsp:val=&quot;006715FA&quot;/&gt;&lt;wsp:rsid wsp:val=&quot;006717A7&quot;/&gt;&lt;wsp:rsid wsp:val=&quot;00671BEC&quot;/&gt;&lt;wsp:rsid wsp:val=&quot;00671C9B&quot;/&gt;&lt;wsp:rsid wsp:val=&quot;00671D4A&quot;/&gt;&lt;wsp:rsid wsp:val=&quot;00672310&quot;/&gt;&lt;wsp:rsid wsp:val=&quot;006723C1&quot;/&gt;&lt;wsp:rsid wsp:val=&quot;006726C5&quot;/&gt;&lt;wsp:rsid wsp:val=&quot;006728DA&quot;/&gt;&lt;wsp:rsid wsp:val=&quot;00672995&quot;/&gt;&lt;wsp:rsid wsp:val=&quot;00672ADD&quot;/&gt;&lt;wsp:rsid wsp:val=&quot;00672BA9&quot;/&gt;&lt;wsp:rsid wsp:val=&quot;00672CCB&quot;/&gt;&lt;wsp:rsid wsp:val=&quot;00672CF8&quot;/&gt;&lt;wsp:rsid wsp:val=&quot;00673040&quot;/&gt;&lt;wsp:rsid wsp:val=&quot;00673567&quot;/&gt;&lt;wsp:rsid wsp:val=&quot;00673DF6&quot;/&gt;&lt;wsp:rsid wsp:val=&quot;00673E3B&quot;/&gt;&lt;wsp:rsid wsp:val=&quot;00673EFD&quot;/&gt;&lt;wsp:rsid wsp:val=&quot;006741C6&quot;/&gt;&lt;wsp:rsid wsp:val=&quot;006742EE&quot;/&gt;&lt;wsp:rsid wsp:val=&quot;006746B9&quot;/&gt;&lt;wsp:rsid wsp:val=&quot;006746BC&quot;/&gt;&lt;wsp:rsid wsp:val=&quot;0067497C&quot;/&gt;&lt;wsp:rsid wsp:val=&quot;006749ED&quot;/&gt;&lt;wsp:rsid wsp:val=&quot;0067515D&quot;/&gt;&lt;wsp:rsid wsp:val=&quot;0067517C&quot;/&gt;&lt;wsp:rsid wsp:val=&quot;0067575D&quot;/&gt;&lt;wsp:rsid wsp:val=&quot;00675FE0&quot;/&gt;&lt;wsp:rsid wsp:val=&quot;00676050&quot;/&gt;&lt;wsp:rsid wsp:val=&quot;006763A3&quot;/&gt;&lt;wsp:rsid wsp:val=&quot;00676663&quot;/&gt;&lt;wsp:rsid wsp:val=&quot;006766B7&quot;/&gt;&lt;wsp:rsid wsp:val=&quot;006768A4&quot;/&gt;&lt;wsp:rsid wsp:val=&quot;00676C34&quot;/&gt;&lt;wsp:rsid wsp:val=&quot;00676E60&quot;/&gt;&lt;wsp:rsid wsp:val=&quot;00677122&quot;/&gt;&lt;wsp:rsid wsp:val=&quot;0067743C&quot;/&gt;&lt;wsp:rsid wsp:val=&quot;006779D8&quot;/&gt;&lt;wsp:rsid wsp:val=&quot;00677A34&quot;/&gt;&lt;wsp:rsid wsp:val=&quot;00677B37&quot;/&gt;&lt;wsp:rsid wsp:val=&quot;00677DEB&quot;/&gt;&lt;wsp:rsid wsp:val=&quot;00680488&quot;/&gt;&lt;wsp:rsid wsp:val=&quot;00680574&quot;/&gt;&lt;wsp:rsid wsp:val=&quot;006805C0&quot;/&gt;&lt;wsp:rsid wsp:val=&quot;00680663&quot;/&gt;&lt;wsp:rsid wsp:val=&quot;00680F3C&quot;/&gt;&lt;wsp:rsid wsp:val=&quot;0068127D&quot;/&gt;&lt;wsp:rsid wsp:val=&quot;00681DBF&quot;/&gt;&lt;wsp:rsid wsp:val=&quot;00682184&quot;/&gt;&lt;wsp:rsid wsp:val=&quot;006829F2&quot;/&gt;&lt;wsp:rsid wsp:val=&quot;0068310B&quot;/&gt;&lt;wsp:rsid wsp:val=&quot;00683281&quot;/&gt;&lt;wsp:rsid wsp:val=&quot;0068357D&quot;/&gt;&lt;wsp:rsid wsp:val=&quot;006835C7&quot;/&gt;&lt;wsp:rsid wsp:val=&quot;00683A27&quot;/&gt;&lt;wsp:rsid wsp:val=&quot;00683AB8&quot;/&gt;&lt;wsp:rsid wsp:val=&quot;00684040&quot;/&gt;&lt;wsp:rsid wsp:val=&quot;0068404B&quot;/&gt;&lt;wsp:rsid wsp:val=&quot;0068405C&quot;/&gt;&lt;wsp:rsid wsp:val=&quot;006841EF&quot;/&gt;&lt;wsp:rsid wsp:val=&quot;006843AB&quot;/&gt;&lt;wsp:rsid wsp:val=&quot;0068457A&quot;/&gt;&lt;wsp:rsid wsp:val=&quot;0068460D&quot;/&gt;&lt;wsp:rsid wsp:val=&quot;0068515F&quot;/&gt;&lt;wsp:rsid wsp:val=&quot;00685188&quot;/&gt;&lt;wsp:rsid wsp:val=&quot;006858CE&quot;/&gt;&lt;wsp:rsid wsp:val=&quot;006859F6&quot;/&gt;&lt;wsp:rsid wsp:val=&quot;00685E06&quot;/&gt;&lt;wsp:rsid wsp:val=&quot;00686281&quot;/&gt;&lt;wsp:rsid wsp:val=&quot;006862C0&quot;/&gt;&lt;wsp:rsid wsp:val=&quot;006862CD&quot;/&gt;&lt;wsp:rsid wsp:val=&quot;00686434&quot;/&gt;&lt;wsp:rsid wsp:val=&quot;00686967&quot;/&gt;&lt;wsp:rsid wsp:val=&quot;00686DF4&quot;/&gt;&lt;wsp:rsid wsp:val=&quot;00686EE2&quot;/&gt;&lt;wsp:rsid wsp:val=&quot;006872CF&quot;/&gt;&lt;wsp:rsid wsp:val=&quot;00687A8A&quot;/&gt;&lt;wsp:rsid wsp:val=&quot;00687BB3&quot;/&gt;&lt;wsp:rsid wsp:val=&quot;00687DDA&quot;/&gt;&lt;wsp:rsid wsp:val=&quot;00687F39&quot;/&gt;&lt;wsp:rsid wsp:val=&quot;006903A9&quot;/&gt;&lt;wsp:rsid wsp:val=&quot;00690466&quot;/&gt;&lt;wsp:rsid wsp:val=&quot;00690684&quot;/&gt;&lt;wsp:rsid wsp:val=&quot;00690D12&quot;/&gt;&lt;wsp:rsid wsp:val=&quot;00691069&quot;/&gt;&lt;wsp:rsid wsp:val=&quot;00691498&quot;/&gt;&lt;wsp:rsid wsp:val=&quot;0069193D&quot;/&gt;&lt;wsp:rsid wsp:val=&quot;00691A80&quot;/&gt;&lt;wsp:rsid wsp:val=&quot;00692016&quot;/&gt;&lt;wsp:rsid wsp:val=&quot;006922A3&quot;/&gt;&lt;wsp:rsid wsp:val=&quot;00692E59&quot;/&gt;&lt;wsp:rsid wsp:val=&quot;0069309E&quot;/&gt;&lt;wsp:rsid wsp:val=&quot;006930A2&quot;/&gt;&lt;wsp:rsid wsp:val=&quot;0069351F&quot;/&gt;&lt;wsp:rsid wsp:val=&quot;00693AD5&quot;/&gt;&lt;wsp:rsid wsp:val=&quot;00693C5D&quot;/&gt;&lt;wsp:rsid wsp:val=&quot;00694C29&quot;/&gt;&lt;wsp:rsid wsp:val=&quot;00695015&quot;/&gt;&lt;wsp:rsid wsp:val=&quot;00695334&quot;/&gt;&lt;wsp:rsid wsp:val=&quot;00695491&quot;/&gt;&lt;wsp:rsid wsp:val=&quot;006955E6&quot;/&gt;&lt;wsp:rsid wsp:val=&quot;00695B0C&quot;/&gt;&lt;wsp:rsid wsp:val=&quot;00695F3C&quot;/&gt;&lt;wsp:rsid wsp:val=&quot;0069625B&quot;/&gt;&lt;wsp:rsid wsp:val=&quot;00696525&quot;/&gt;&lt;wsp:rsid wsp:val=&quot;00696657&quot;/&gt;&lt;wsp:rsid wsp:val=&quot;006966BB&quot;/&gt;&lt;wsp:rsid wsp:val=&quot;00696F99&quot;/&gt;&lt;wsp:rsid wsp:val=&quot;00697280&quot;/&gt;&lt;wsp:rsid wsp:val=&quot;00697553&quot;/&gt;&lt;wsp:rsid wsp:val=&quot;00697731&quot;/&gt;&lt;wsp:rsid wsp:val=&quot;00697D69&quot;/&gt;&lt;wsp:rsid wsp:val=&quot;006A07B0&quot;/&gt;&lt;wsp:rsid wsp:val=&quot;006A0B33&quot;/&gt;&lt;wsp:rsid wsp:val=&quot;006A0D22&quot;/&gt;&lt;wsp:rsid wsp:val=&quot;006A0EE8&quot;/&gt;&lt;wsp:rsid wsp:val=&quot;006A10FD&quot;/&gt;&lt;wsp:rsid wsp:val=&quot;006A154A&quot;/&gt;&lt;wsp:rsid wsp:val=&quot;006A183A&quot;/&gt;&lt;wsp:rsid wsp:val=&quot;006A1BD3&quot;/&gt;&lt;wsp:rsid wsp:val=&quot;006A1F30&quot;/&gt;&lt;wsp:rsid wsp:val=&quot;006A1FCF&quot;/&gt;&lt;wsp:rsid wsp:val=&quot;006A24BD&quot;/&gt;&lt;wsp:rsid wsp:val=&quot;006A2538&quot;/&gt;&lt;wsp:rsid wsp:val=&quot;006A275F&quot;/&gt;&lt;wsp:rsid wsp:val=&quot;006A27D9&quot;/&gt;&lt;wsp:rsid wsp:val=&quot;006A2A5E&quot;/&gt;&lt;wsp:rsid wsp:val=&quot;006A2E58&quot;/&gt;&lt;wsp:rsid wsp:val=&quot;006A2E8D&quot;/&gt;&lt;wsp:rsid wsp:val=&quot;006A3080&quot;/&gt;&lt;wsp:rsid wsp:val=&quot;006A30B7&quot;/&gt;&lt;wsp:rsid wsp:val=&quot;006A3443&quot;/&gt;&lt;wsp:rsid wsp:val=&quot;006A350D&quot;/&gt;&lt;wsp:rsid wsp:val=&quot;006A376F&quot;/&gt;&lt;wsp:rsid wsp:val=&quot;006A3796&quot;/&gt;&lt;wsp:rsid wsp:val=&quot;006A37EF&quot;/&gt;&lt;wsp:rsid wsp:val=&quot;006A3D61&quot;/&gt;&lt;wsp:rsid wsp:val=&quot;006A3D77&quot;/&gt;&lt;wsp:rsid wsp:val=&quot;006A4B64&quot;/&gt;&lt;wsp:rsid wsp:val=&quot;006A4D14&quot;/&gt;&lt;wsp:rsid wsp:val=&quot;006A4E62&quot;/&gt;&lt;wsp:rsid wsp:val=&quot;006A4EB8&quot;/&gt;&lt;wsp:rsid wsp:val=&quot;006A4F4B&quot;/&gt;&lt;wsp:rsid wsp:val=&quot;006A5004&quot;/&gt;&lt;wsp:rsid wsp:val=&quot;006A53B7&quot;/&gt;&lt;wsp:rsid wsp:val=&quot;006A53F0&quot;/&gt;&lt;wsp:rsid wsp:val=&quot;006A5469&quot;/&gt;&lt;wsp:rsid wsp:val=&quot;006A58AA&quot;/&gt;&lt;wsp:rsid wsp:val=&quot;006A6045&quot;/&gt;&lt;wsp:rsid wsp:val=&quot;006A60ED&quot;/&gt;&lt;wsp:rsid wsp:val=&quot;006A68A8&quot;/&gt;&lt;wsp:rsid wsp:val=&quot;006A6A47&quot;/&gt;&lt;wsp:rsid wsp:val=&quot;006A6E30&quot;/&gt;&lt;wsp:rsid wsp:val=&quot;006A6FDC&quot;/&gt;&lt;wsp:rsid wsp:val=&quot;006A706A&quot;/&gt;&lt;wsp:rsid wsp:val=&quot;006A70D8&quot;/&gt;&lt;wsp:rsid wsp:val=&quot;006A76ED&quot;/&gt;&lt;wsp:rsid wsp:val=&quot;006A77CF&quot;/&gt;&lt;wsp:rsid wsp:val=&quot;006A7DEC&quot;/&gt;&lt;wsp:rsid wsp:val=&quot;006B02DE&quot;/&gt;&lt;wsp:rsid wsp:val=&quot;006B034F&quot;/&gt;&lt;wsp:rsid wsp:val=&quot;006B038A&quot;/&gt;&lt;wsp:rsid wsp:val=&quot;006B0F8C&quot;/&gt;&lt;wsp:rsid wsp:val=&quot;006B0FC1&quot;/&gt;&lt;wsp:rsid wsp:val=&quot;006B10BC&quot;/&gt;&lt;wsp:rsid wsp:val=&quot;006B13A5&quot;/&gt;&lt;wsp:rsid wsp:val=&quot;006B18F3&quot;/&gt;&lt;wsp:rsid wsp:val=&quot;006B1927&quot;/&gt;&lt;wsp:rsid wsp:val=&quot;006B1FBD&quot;/&gt;&lt;wsp:rsid wsp:val=&quot;006B259B&quot;/&gt;&lt;wsp:rsid wsp:val=&quot;006B2A8B&quot;/&gt;&lt;wsp:rsid wsp:val=&quot;006B2F9E&quot;/&gt;&lt;wsp:rsid wsp:val=&quot;006B322F&quot;/&gt;&lt;wsp:rsid wsp:val=&quot;006B33D4&quot;/&gt;&lt;wsp:rsid wsp:val=&quot;006B373C&quot;/&gt;&lt;wsp:rsid wsp:val=&quot;006B376E&quot;/&gt;&lt;wsp:rsid wsp:val=&quot;006B3792&quot;/&gt;&lt;wsp:rsid wsp:val=&quot;006B40BB&quot;/&gt;&lt;wsp:rsid wsp:val=&quot;006B40EE&quot;/&gt;&lt;wsp:rsid wsp:val=&quot;006B44A3&quot;/&gt;&lt;wsp:rsid wsp:val=&quot;006B474C&quot;/&gt;&lt;wsp:rsid wsp:val=&quot;006B49F4&quot;/&gt;&lt;wsp:rsid wsp:val=&quot;006B4AB7&quot;/&gt;&lt;wsp:rsid wsp:val=&quot;006B5043&quot;/&gt;&lt;wsp:rsid wsp:val=&quot;006B51AE&quot;/&gt;&lt;wsp:rsid wsp:val=&quot;006B530D&quot;/&gt;&lt;wsp:rsid wsp:val=&quot;006B53EE&quot;/&gt;&lt;wsp:rsid wsp:val=&quot;006B54D5&quot;/&gt;&lt;wsp:rsid wsp:val=&quot;006B595C&quot;/&gt;&lt;wsp:rsid wsp:val=&quot;006B5B02&quot;/&gt;&lt;wsp:rsid wsp:val=&quot;006B5B3E&quot;/&gt;&lt;wsp:rsid wsp:val=&quot;006B6138&quot;/&gt;&lt;wsp:rsid wsp:val=&quot;006B660F&quot;/&gt;&lt;wsp:rsid wsp:val=&quot;006B67A5&quot;/&gt;&lt;wsp:rsid wsp:val=&quot;006B69B9&quot;/&gt;&lt;wsp:rsid wsp:val=&quot;006B6A63&quot;/&gt;&lt;wsp:rsid wsp:val=&quot;006B6C85&quot;/&gt;&lt;wsp:rsid wsp:val=&quot;006B6ECE&quot;/&gt;&lt;wsp:rsid wsp:val=&quot;006B6F30&quot;/&gt;&lt;wsp:rsid wsp:val=&quot;006B76FD&quot;/&gt;&lt;wsp:rsid wsp:val=&quot;006B7AD4&quot;/&gt;&lt;wsp:rsid wsp:val=&quot;006C00BF&quot;/&gt;&lt;wsp:rsid wsp:val=&quot;006C0191&quot;/&gt;&lt;wsp:rsid wsp:val=&quot;006C01B1&quot;/&gt;&lt;wsp:rsid wsp:val=&quot;006C05C4&quot;/&gt;&lt;wsp:rsid wsp:val=&quot;006C062C&quot;/&gt;&lt;wsp:rsid wsp:val=&quot;006C0771&quot;/&gt;&lt;wsp:rsid wsp:val=&quot;006C1095&quot;/&gt;&lt;wsp:rsid wsp:val=&quot;006C12C6&quot;/&gt;&lt;wsp:rsid wsp:val=&quot;006C1522&quot;/&gt;&lt;wsp:rsid wsp:val=&quot;006C1ECD&quot;/&gt;&lt;wsp:rsid wsp:val=&quot;006C20A0&quot;/&gt;&lt;wsp:rsid wsp:val=&quot;006C2549&quot;/&gt;&lt;wsp:rsid wsp:val=&quot;006C254F&quot;/&gt;&lt;wsp:rsid wsp:val=&quot;006C2893&quot;/&gt;&lt;wsp:rsid wsp:val=&quot;006C2AA7&quot;/&gt;&lt;wsp:rsid wsp:val=&quot;006C2BEC&quot;/&gt;&lt;wsp:rsid wsp:val=&quot;006C33CE&quot;/&gt;&lt;wsp:rsid wsp:val=&quot;006C357C&quot;/&gt;&lt;wsp:rsid wsp:val=&quot;006C361E&quot;/&gt;&lt;wsp:rsid wsp:val=&quot;006C3ED3&quot;/&gt;&lt;wsp:rsid wsp:val=&quot;006C5141&quot;/&gt;&lt;wsp:rsid wsp:val=&quot;006C5191&quot;/&gt;&lt;wsp:rsid wsp:val=&quot;006C5F7C&quot;/&gt;&lt;wsp:rsid wsp:val=&quot;006C6093&quot;/&gt;&lt;wsp:rsid wsp:val=&quot;006C669D&quot;/&gt;&lt;wsp:rsid wsp:val=&quot;006C6EC7&quot;/&gt;&lt;wsp:rsid wsp:val=&quot;006C77A2&quot;/&gt;&lt;wsp:rsid wsp:val=&quot;006C7ABE&quot;/&gt;&lt;wsp:rsid wsp:val=&quot;006C7C3B&quot;/&gt;&lt;wsp:rsid wsp:val=&quot;006D0013&quot;/&gt;&lt;wsp:rsid wsp:val=&quot;006D081C&quot;/&gt;&lt;wsp:rsid wsp:val=&quot;006D15EF&quot;/&gt;&lt;wsp:rsid wsp:val=&quot;006D1757&quot;/&gt;&lt;wsp:rsid wsp:val=&quot;006D1C73&quot;/&gt;&lt;wsp:rsid wsp:val=&quot;006D1E4A&quot;/&gt;&lt;wsp:rsid wsp:val=&quot;006D209C&quot;/&gt;&lt;wsp:rsid wsp:val=&quot;006D226C&quot;/&gt;&lt;wsp:rsid wsp:val=&quot;006D26AD&quot;/&gt;&lt;wsp:rsid wsp:val=&quot;006D2947&quot;/&gt;&lt;wsp:rsid wsp:val=&quot;006D2A72&quot;/&gt;&lt;wsp:rsid wsp:val=&quot;006D2A7F&quot;/&gt;&lt;wsp:rsid wsp:val=&quot;006D2B78&quot;/&gt;&lt;wsp:rsid wsp:val=&quot;006D2E52&quot;/&gt;&lt;wsp:rsid wsp:val=&quot;006D36E8&quot;/&gt;&lt;wsp:rsid wsp:val=&quot;006D3E7D&quot;/&gt;&lt;wsp:rsid wsp:val=&quot;006D3F95&quot;/&gt;&lt;wsp:rsid wsp:val=&quot;006D410B&quot;/&gt;&lt;wsp:rsid wsp:val=&quot;006D43AB&quot;/&gt;&lt;wsp:rsid wsp:val=&quot;006D4695&quot;/&gt;&lt;wsp:rsid wsp:val=&quot;006D4746&quot;/&gt;&lt;wsp:rsid wsp:val=&quot;006D54A3&quot;/&gt;&lt;wsp:rsid wsp:val=&quot;006D54E8&quot;/&gt;&lt;wsp:rsid wsp:val=&quot;006D636C&quot;/&gt;&lt;wsp:rsid wsp:val=&quot;006D63D7&quot;/&gt;&lt;wsp:rsid wsp:val=&quot;006D685E&quot;/&gt;&lt;wsp:rsid wsp:val=&quot;006D68DB&quot;/&gt;&lt;wsp:rsid wsp:val=&quot;006D6A1E&quot;/&gt;&lt;wsp:rsid wsp:val=&quot;006D6C69&quot;/&gt;&lt;wsp:rsid wsp:val=&quot;006D6D66&quot;/&gt;&lt;wsp:rsid wsp:val=&quot;006D6EB7&quot;/&gt;&lt;wsp:rsid wsp:val=&quot;006D7689&quot;/&gt;&lt;wsp:rsid wsp:val=&quot;006E0634&quot;/&gt;&lt;wsp:rsid wsp:val=&quot;006E086C&quot;/&gt;&lt;wsp:rsid wsp:val=&quot;006E180D&quot;/&gt;&lt;wsp:rsid wsp:val=&quot;006E18EA&quot;/&gt;&lt;wsp:rsid wsp:val=&quot;006E1DFB&quot;/&gt;&lt;wsp:rsid wsp:val=&quot;006E1E8E&quot;/&gt;&lt;wsp:rsid wsp:val=&quot;006E26A7&quot;/&gt;&lt;wsp:rsid wsp:val=&quot;006E2832&quot;/&gt;&lt;wsp:rsid wsp:val=&quot;006E2EA0&quot;/&gt;&lt;wsp:rsid wsp:val=&quot;006E311D&quot;/&gt;&lt;wsp:rsid wsp:val=&quot;006E320C&quot;/&gt;&lt;wsp:rsid wsp:val=&quot;006E3245&quot;/&gt;&lt;wsp:rsid wsp:val=&quot;006E33A2&quot;/&gt;&lt;wsp:rsid wsp:val=&quot;006E35DA&quot;/&gt;&lt;wsp:rsid wsp:val=&quot;006E371D&quot;/&gt;&lt;wsp:rsid wsp:val=&quot;006E39D3&quot;/&gt;&lt;wsp:rsid wsp:val=&quot;006E3A49&quot;/&gt;&lt;wsp:rsid wsp:val=&quot;006E3C78&quot;/&gt;&lt;wsp:rsid wsp:val=&quot;006E41FB&quot;/&gt;&lt;wsp:rsid wsp:val=&quot;006E4295&quot;/&gt;&lt;wsp:rsid wsp:val=&quot;006E439A&quot;/&gt;&lt;wsp:rsid wsp:val=&quot;006E4844&quot;/&gt;&lt;wsp:rsid wsp:val=&quot;006E4B63&quot;/&gt;&lt;wsp:rsid wsp:val=&quot;006E4CD3&quot;/&gt;&lt;wsp:rsid wsp:val=&quot;006E4F57&quot;/&gt;&lt;wsp:rsid wsp:val=&quot;006E521E&quot;/&gt;&lt;wsp:rsid wsp:val=&quot;006E54C7&quot;/&gt;&lt;wsp:rsid wsp:val=&quot;006E58C0&quot;/&gt;&lt;wsp:rsid wsp:val=&quot;006E5A2F&quot;/&gt;&lt;wsp:rsid wsp:val=&quot;006E5A89&quot;/&gt;&lt;wsp:rsid wsp:val=&quot;006E5C7C&quot;/&gt;&lt;wsp:rsid wsp:val=&quot;006E5D25&quot;/&gt;&lt;wsp:rsid wsp:val=&quot;006E5D9B&quot;/&gt;&lt;wsp:rsid wsp:val=&quot;006E6D4F&quot;/&gt;&lt;wsp:rsid wsp:val=&quot;006E6D51&quot;/&gt;&lt;wsp:rsid wsp:val=&quot;006E6E20&quot;/&gt;&lt;wsp:rsid wsp:val=&quot;006E6E2A&quot;/&gt;&lt;wsp:rsid wsp:val=&quot;006E7567&quot;/&gt;&lt;wsp:rsid wsp:val=&quot;006F00AE&quot;/&gt;&lt;wsp:rsid wsp:val=&quot;006F07E7&quot;/&gt;&lt;wsp:rsid wsp:val=&quot;006F07E8&quot;/&gt;&lt;wsp:rsid wsp:val=&quot;006F0B29&quot;/&gt;&lt;wsp:rsid wsp:val=&quot;006F0BB2&quot;/&gt;&lt;wsp:rsid wsp:val=&quot;006F1257&quot;/&gt;&lt;wsp:rsid wsp:val=&quot;006F130F&quot;/&gt;&lt;wsp:rsid wsp:val=&quot;006F1669&quot;/&gt;&lt;wsp:rsid wsp:val=&quot;006F1828&quot;/&gt;&lt;wsp:rsid wsp:val=&quot;006F18DE&quot;/&gt;&lt;wsp:rsid wsp:val=&quot;006F1C57&quot;/&gt;&lt;wsp:rsid wsp:val=&quot;006F1E5F&quot;/&gt;&lt;wsp:rsid wsp:val=&quot;006F2839&quot;/&gt;&lt;wsp:rsid wsp:val=&quot;006F291C&quot;/&gt;&lt;wsp:rsid wsp:val=&quot;006F2D5F&quot;/&gt;&lt;wsp:rsid wsp:val=&quot;006F3637&quot;/&gt;&lt;wsp:rsid wsp:val=&quot;006F4419&quot;/&gt;&lt;wsp:rsid wsp:val=&quot;006F4495&quot;/&gt;&lt;wsp:rsid wsp:val=&quot;006F4E97&quot;/&gt;&lt;wsp:rsid wsp:val=&quot;006F5710&quot;/&gt;&lt;wsp:rsid wsp:val=&quot;006F5796&quot;/&gt;&lt;wsp:rsid wsp:val=&quot;006F5A23&quot;/&gt;&lt;wsp:rsid wsp:val=&quot;006F5D32&quot;/&gt;&lt;wsp:rsid wsp:val=&quot;006F5E6B&quot;/&gt;&lt;wsp:rsid wsp:val=&quot;006F5F7E&quot;/&gt;&lt;wsp:rsid wsp:val=&quot;006F61A7&quot;/&gt;&lt;wsp:rsid wsp:val=&quot;006F66DD&quot;/&gt;&lt;wsp:rsid wsp:val=&quot;006F6F6C&quot;/&gt;&lt;wsp:rsid wsp:val=&quot;006F74DE&quot;/&gt;&lt;wsp:rsid wsp:val=&quot;006F769C&quot;/&gt;&lt;wsp:rsid wsp:val=&quot;006F7778&quot;/&gt;&lt;wsp:rsid wsp:val=&quot;006F7CA7&quot;/&gt;&lt;wsp:rsid wsp:val=&quot;00700907&quot;/&gt;&lt;wsp:rsid wsp:val=&quot;00700C00&quot;/&gt;&lt;wsp:rsid wsp:val=&quot;00700D1A&quot;/&gt;&lt;wsp:rsid wsp:val=&quot;007013F4&quot;/&gt;&lt;wsp:rsid wsp:val=&quot;00701714&quot;/&gt;&lt;wsp:rsid wsp:val=&quot;007017F4&quot;/&gt;&lt;wsp:rsid wsp:val=&quot;00701BD4&quot;/&gt;&lt;wsp:rsid wsp:val=&quot;00701E52&quot;/&gt;&lt;wsp:rsid wsp:val=&quot;007020AC&quot;/&gt;&lt;wsp:rsid wsp:val=&quot;007027F1&quot;/&gt;&lt;wsp:rsid wsp:val=&quot;00702D57&quot;/&gt;&lt;wsp:rsid wsp:val=&quot;00702EDD&quot;/&gt;&lt;wsp:rsid wsp:val=&quot;00703226&quot;/&gt;&lt;wsp:rsid wsp:val=&quot;00703705&quot;/&gt;&lt;wsp:rsid wsp:val=&quot;0070387D&quot;/&gt;&lt;wsp:rsid wsp:val=&quot;00703A1B&quot;/&gt;&lt;wsp:rsid wsp:val=&quot;0070411E&quot;/&gt;&lt;wsp:rsid wsp:val=&quot;007042E0&quot;/&gt;&lt;wsp:rsid wsp:val=&quot;007044B9&quot;/&gt;&lt;wsp:rsid wsp:val=&quot;00704D54&quot;/&gt;&lt;wsp:rsid wsp:val=&quot;00705021&quot;/&gt;&lt;wsp:rsid wsp:val=&quot;007051F7&quot;/&gt;&lt;wsp:rsid wsp:val=&quot;00705341&quot;/&gt;&lt;wsp:rsid wsp:val=&quot;0070545F&quot;/&gt;&lt;wsp:rsid wsp:val=&quot;00705FC5&quot;/&gt;&lt;wsp:rsid wsp:val=&quot;00705FD4&quot;/&gt;&lt;wsp:rsid wsp:val=&quot;0070670F&quot;/&gt;&lt;wsp:rsid wsp:val=&quot;00707129&quot;/&gt;&lt;wsp:rsid wsp:val=&quot;007075A4&quot;/&gt;&lt;wsp:rsid wsp:val=&quot;00707623&quot;/&gt;&lt;wsp:rsid wsp:val=&quot;00707C79&quot;/&gt;&lt;wsp:rsid wsp:val=&quot;00707E25&quot;/&gt;&lt;wsp:rsid wsp:val=&quot;00707F4F&quot;/&gt;&lt;wsp:rsid wsp:val=&quot;00710A6A&quot;/&gt;&lt;wsp:rsid wsp:val=&quot;00710BE7&quot;/&gt;&lt;wsp:rsid wsp:val=&quot;00711A58&quot;/&gt;&lt;wsp:rsid wsp:val=&quot;00711BB1&quot;/&gt;&lt;wsp:rsid wsp:val=&quot;00712131&quot;/&gt;&lt;wsp:rsid wsp:val=&quot;007125C5&quot;/&gt;&lt;wsp:rsid wsp:val=&quot;007126F3&quot;/&gt;&lt;wsp:rsid wsp:val=&quot;00712CF5&quot;/&gt;&lt;wsp:rsid wsp:val=&quot;007133A4&quot;/&gt;&lt;wsp:rsid wsp:val=&quot;00713762&quot;/&gt;&lt;wsp:rsid wsp:val=&quot;00713A6C&quot;/&gt;&lt;wsp:rsid wsp:val=&quot;00714097&quot;/&gt;&lt;wsp:rsid wsp:val=&quot;007144E2&quot;/&gt;&lt;wsp:rsid wsp:val=&quot;007145A0&quot;/&gt;&lt;wsp:rsid wsp:val=&quot;00714960&quot;/&gt;&lt;wsp:rsid wsp:val=&quot;00714B14&quot;/&gt;&lt;wsp:rsid wsp:val=&quot;00714B81&quot;/&gt;&lt;wsp:rsid wsp:val=&quot;00714BC7&quot;/&gt;&lt;wsp:rsid wsp:val=&quot;00714D74&quot;/&gt;&lt;wsp:rsid wsp:val=&quot;007153E9&quot;/&gt;&lt;wsp:rsid wsp:val=&quot;007156FA&quot;/&gt;&lt;wsp:rsid wsp:val=&quot;007159BC&quot;/&gt;&lt;wsp:rsid wsp:val=&quot;007159D5&quot;/&gt;&lt;wsp:rsid wsp:val=&quot;00715DCF&quot;/&gt;&lt;wsp:rsid wsp:val=&quot;00715E2C&quot;/&gt;&lt;wsp:rsid wsp:val=&quot;00715E71&quot;/&gt;&lt;wsp:rsid wsp:val=&quot;00716358&quot;/&gt;&lt;wsp:rsid wsp:val=&quot;00716B47&quot;/&gt;&lt;wsp:rsid wsp:val=&quot;00716E9F&quot;/&gt;&lt;wsp:rsid wsp:val=&quot;007170C2&quot;/&gt;&lt;wsp:rsid wsp:val=&quot;0071733E&quot;/&gt;&lt;wsp:rsid wsp:val=&quot;00717779&quot;/&gt;&lt;wsp:rsid wsp:val=&quot;00717848&quot;/&gt;&lt;wsp:rsid wsp:val=&quot;00717D5F&quot;/&gt;&lt;wsp:rsid wsp:val=&quot;00717EFA&quot;/&gt;&lt;wsp:rsid wsp:val=&quot;00720301&quot;/&gt;&lt;wsp:rsid wsp:val=&quot;0072051C&quot;/&gt;&lt;wsp:rsid wsp:val=&quot;00720AAA&quot;/&gt;&lt;wsp:rsid wsp:val=&quot;00720D20&quot;/&gt;&lt;wsp:rsid wsp:val=&quot;00720E75&quot;/&gt;&lt;wsp:rsid wsp:val=&quot;00720ECB&quot;/&gt;&lt;wsp:rsid wsp:val=&quot;00720F71&quot;/&gt;&lt;wsp:rsid wsp:val=&quot;00721566&quot;/&gt;&lt;wsp:rsid wsp:val=&quot;00721717&quot;/&gt;&lt;wsp:rsid wsp:val=&quot;007218D9&quot;/&gt;&lt;wsp:rsid wsp:val=&quot;00721DC7&quot;/&gt;&lt;wsp:rsid wsp:val=&quot;0072220F&quot;/&gt;&lt;wsp:rsid wsp:val=&quot;00722AB5&quot;/&gt;&lt;wsp:rsid wsp:val=&quot;00722BBE&quot;/&gt;&lt;wsp:rsid wsp:val=&quot;00722C32&quot;/&gt;&lt;wsp:rsid wsp:val=&quot;00722CA8&quot;/&gt;&lt;wsp:rsid wsp:val=&quot;00723034&quot;/&gt;&lt;wsp:rsid wsp:val=&quot;007231FF&quot;/&gt;&lt;wsp:rsid wsp:val=&quot;00723360&quot;/&gt;&lt;wsp:rsid wsp:val=&quot;007234D9&quot;/&gt;&lt;wsp:rsid wsp:val=&quot;00723698&quot;/&gt;&lt;wsp:rsid wsp:val=&quot;00723858&quot;/&gt;&lt;wsp:rsid wsp:val=&quot;00723DB1&quot;/&gt;&lt;wsp:rsid wsp:val=&quot;00724343&quot;/&gt;&lt;wsp:rsid wsp:val=&quot;007247BE&quot;/&gt;&lt;wsp:rsid wsp:val=&quot;007248AD&quot;/&gt;&lt;wsp:rsid wsp:val=&quot;00724F79&quot;/&gt;&lt;wsp:rsid wsp:val=&quot;00725728&quot;/&gt;&lt;wsp:rsid wsp:val=&quot;007258DE&quot;/&gt;&lt;wsp:rsid wsp:val=&quot;00725C8F&quot;/&gt;&lt;wsp:rsid wsp:val=&quot;00725CB7&quot;/&gt;&lt;wsp:rsid wsp:val=&quot;00726540&quot;/&gt;&lt;wsp:rsid wsp:val=&quot;00726643&quot;/&gt;&lt;wsp:rsid wsp:val=&quot;00726775&quot;/&gt;&lt;wsp:rsid wsp:val=&quot;00726832&quot;/&gt;&lt;wsp:rsid wsp:val=&quot;00726C96&quot;/&gt;&lt;wsp:rsid wsp:val=&quot;00726DEE&quot;/&gt;&lt;wsp:rsid wsp:val=&quot;00726F22&quot;/&gt;&lt;wsp:rsid wsp:val=&quot;0072712D&quot;/&gt;&lt;wsp:rsid wsp:val=&quot;007276D4&quot;/&gt;&lt;wsp:rsid wsp:val=&quot;00727975&quot;/&gt;&lt;wsp:rsid wsp:val=&quot;00727D72&quot;/&gt;&lt;wsp:rsid wsp:val=&quot;00727E44&quot;/&gt;&lt;wsp:rsid wsp:val=&quot;0073045A&quot;/&gt;&lt;wsp:rsid wsp:val=&quot;00730487&quot;/&gt;&lt;wsp:rsid wsp:val=&quot;00730527&quot;/&gt;&lt;wsp:rsid wsp:val=&quot;00730CE2&quot;/&gt;&lt;wsp:rsid wsp:val=&quot;00731069&quot;/&gt;&lt;wsp:rsid wsp:val=&quot;0073158E&quot;/&gt;&lt;wsp:rsid wsp:val=&quot;007316AC&quot;/&gt;&lt;wsp:rsid wsp:val=&quot;00731AB7&quot;/&gt;&lt;wsp:rsid wsp:val=&quot;00731DBA&quot;/&gt;&lt;wsp:rsid wsp:val=&quot;00732375&quot;/&gt;&lt;wsp:rsid wsp:val=&quot;00732535&quot;/&gt;&lt;wsp:rsid wsp:val=&quot;007328C7&quot;/&gt;&lt;wsp:rsid wsp:val=&quot;00732A0B&quot;/&gt;&lt;wsp:rsid wsp:val=&quot;00732AA4&quot;/&gt;&lt;wsp:rsid wsp:val=&quot;00732D14&quot;/&gt;&lt;wsp:rsid wsp:val=&quot;00732ED4&quot;/&gt;&lt;wsp:rsid wsp:val=&quot;007333B4&quot;/&gt;&lt;wsp:rsid wsp:val=&quot;0073364D&quot;/&gt;&lt;wsp:rsid wsp:val=&quot;007336CF&quot;/&gt;&lt;wsp:rsid wsp:val=&quot;00733801&quot;/&gt;&lt;wsp:rsid wsp:val=&quot;00733804&quot;/&gt;&lt;wsp:rsid wsp:val=&quot;00733C32&quot;/&gt;&lt;wsp:rsid wsp:val=&quot;00733D0E&quot;/&gt;&lt;wsp:rsid wsp:val=&quot;00734556&quot;/&gt;&lt;wsp:rsid wsp:val=&quot;0073475A&quot;/&gt;&lt;wsp:rsid wsp:val=&quot;0073476E&quot;/&gt;&lt;wsp:rsid wsp:val=&quot;00734850&quot;/&gt;&lt;wsp:rsid wsp:val=&quot;00734ADF&quot;/&gt;&lt;wsp:rsid wsp:val=&quot;00734E89&quot;/&gt;&lt;wsp:rsid wsp:val=&quot;00734F23&quot;/&gt;&lt;wsp:rsid wsp:val=&quot;0073530E&quot;/&gt;&lt;wsp:rsid wsp:val=&quot;00735DB4&quot;/&gt;&lt;wsp:rsid wsp:val=&quot;00735DE3&quot;/&gt;&lt;wsp:rsid wsp:val=&quot;00736038&quot;/&gt;&lt;wsp:rsid wsp:val=&quot;007362F7&quot;/&gt;&lt;wsp:rsid wsp:val=&quot;0073654D&quot;/&gt;&lt;wsp:rsid wsp:val=&quot;007365A5&quot;/&gt;&lt;wsp:rsid wsp:val=&quot;007369BB&quot;/&gt;&lt;wsp:rsid wsp:val=&quot;007369C1&quot;/&gt;&lt;wsp:rsid wsp:val=&quot;007369D0&quot;/&gt;&lt;wsp:rsid wsp:val=&quot;00736A59&quot;/&gt;&lt;wsp:rsid wsp:val=&quot;0073718A&quot;/&gt;&lt;wsp:rsid wsp:val=&quot;007372BD&quot;/&gt;&lt;wsp:rsid wsp:val=&quot;007372F8&quot;/&gt;&lt;wsp:rsid wsp:val=&quot;007375D7&quot;/&gt;&lt;wsp:rsid wsp:val=&quot;007378B2&quot;/&gt;&lt;wsp:rsid wsp:val=&quot;007378FC&quot;/&gt;&lt;wsp:rsid wsp:val=&quot;00737A1C&quot;/&gt;&lt;wsp:rsid wsp:val=&quot;00737D10&quot;/&gt;&lt;wsp:rsid wsp:val=&quot;00737E00&quot;/&gt;&lt;wsp:rsid wsp:val=&quot;0074009A&quot;/&gt;&lt;wsp:rsid wsp:val=&quot;007401BD&quot;/&gt;&lt;wsp:rsid wsp:val=&quot;00740293&quot;/&gt;&lt;wsp:rsid wsp:val=&quot;00740509&quot;/&gt;&lt;wsp:rsid wsp:val=&quot;00740A70&quot;/&gt;&lt;wsp:rsid wsp:val=&quot;00740CF5&quot;/&gt;&lt;wsp:rsid wsp:val=&quot;007410A8&quot;/&gt;&lt;wsp:rsid wsp:val=&quot;0074117D&quot;/&gt;&lt;wsp:rsid wsp:val=&quot;0074170F&quot;/&gt;&lt;wsp:rsid wsp:val=&quot;007423C7&quot;/&gt;&lt;wsp:rsid wsp:val=&quot;00742573&quot;/&gt;&lt;wsp:rsid wsp:val=&quot;00742AE6&quot;/&gt;&lt;wsp:rsid wsp:val=&quot;00742F23&quot;/&gt;&lt;wsp:rsid wsp:val=&quot;00743205&quot;/&gt;&lt;wsp:rsid wsp:val=&quot;007432C3&quot;/&gt;&lt;wsp:rsid wsp:val=&quot;007436C2&quot;/&gt;&lt;wsp:rsid wsp:val=&quot;00743C1C&quot;/&gt;&lt;wsp:rsid wsp:val=&quot;00744224&quot;/&gt;&lt;wsp:rsid wsp:val=&quot;0074458F&quot;/&gt;&lt;wsp:rsid wsp:val=&quot;00744599&quot;/&gt;&lt;wsp:rsid wsp:val=&quot;0074542A&quot;/&gt;&lt;wsp:rsid wsp:val=&quot;007456B3&quot;/&gt;&lt;wsp:rsid wsp:val=&quot;00745A90&quot;/&gt;&lt;wsp:rsid wsp:val=&quot;00745BB5&quot;/&gt;&lt;wsp:rsid wsp:val=&quot;00745C45&quot;/&gt;&lt;wsp:rsid wsp:val=&quot;00745E43&quot;/&gt;&lt;wsp:rsid wsp:val=&quot;00745E84&quot;/&gt;&lt;wsp:rsid wsp:val=&quot;0074606C&quot;/&gt;&lt;wsp:rsid wsp:val=&quot;00746235&quot;/&gt;&lt;wsp:rsid wsp:val=&quot;007462D6&quot;/&gt;&lt;wsp:rsid wsp:val=&quot;0074641C&quot;/&gt;&lt;wsp:rsid wsp:val=&quot;00746441&quot;/&gt;&lt;wsp:rsid wsp:val=&quot;00746896&quot;/&gt;&lt;wsp:rsid wsp:val=&quot;0074697A&quot;/&gt;&lt;wsp:rsid wsp:val=&quot;00746AD9&quot;/&gt;&lt;wsp:rsid wsp:val=&quot;00747900&quot;/&gt;&lt;wsp:rsid wsp:val=&quot;00747BCE&quot;/&gt;&lt;wsp:rsid wsp:val=&quot;00747E96&quot;/&gt;&lt;wsp:rsid wsp:val=&quot;0075014A&quot;/&gt;&lt;wsp:rsid wsp:val=&quot;007508DC&quot;/&gt;&lt;wsp:rsid wsp:val=&quot;0075112E&quot;/&gt;&lt;wsp:rsid wsp:val=&quot;00751224&quot;/&gt;&lt;wsp:rsid wsp:val=&quot;007512C6&quot;/&gt;&lt;wsp:rsid wsp:val=&quot;00751394&quot;/&gt;&lt;wsp:rsid wsp:val=&quot;007513EF&quot;/&gt;&lt;wsp:rsid wsp:val=&quot;00751753&quot;/&gt;&lt;wsp:rsid wsp:val=&quot;00751B06&quot;/&gt;&lt;wsp:rsid wsp:val=&quot;00751C38&quot;/&gt;&lt;wsp:rsid wsp:val=&quot;00752BAE&quot;/&gt;&lt;wsp:rsid wsp:val=&quot;00752D85&quot;/&gt;&lt;wsp:rsid wsp:val=&quot;0075302E&quot;/&gt;&lt;wsp:rsid wsp:val=&quot;007536D0&quot;/&gt;&lt;wsp:rsid wsp:val=&quot;00753B06&quot;/&gt;&lt;wsp:rsid wsp:val=&quot;00753B30&quot;/&gt;&lt;wsp:rsid wsp:val=&quot;00753F1B&quot;/&gt;&lt;wsp:rsid wsp:val=&quot;00754243&quot;/&gt;&lt;wsp:rsid wsp:val=&quot;00754335&quot;/&gt;&lt;wsp:rsid wsp:val=&quot;00754F43&quot;/&gt;&lt;wsp:rsid wsp:val=&quot;00755225&quot;/&gt;&lt;wsp:rsid wsp:val=&quot;007554A3&quot;/&gt;&lt;wsp:rsid wsp:val=&quot;00755B84&quot;/&gt;&lt;wsp:rsid wsp:val=&quot;00755D24&quot;/&gt;&lt;wsp:rsid wsp:val=&quot;00756554&quot;/&gt;&lt;wsp:rsid wsp:val=&quot;00756F92&quot;/&gt;&lt;wsp:rsid wsp:val=&quot;00757024&quot;/&gt;&lt;wsp:rsid wsp:val=&quot;007571C5&quot;/&gt;&lt;wsp:rsid wsp:val=&quot;00757301&quot;/&gt;&lt;wsp:rsid wsp:val=&quot;0075733E&quot;/&gt;&lt;wsp:rsid wsp:val=&quot;00757D6C&quot;/&gt;&lt;wsp:rsid wsp:val=&quot;00757E2A&quot;/&gt;&lt;wsp:rsid wsp:val=&quot;00757E50&quot;/&gt;&lt;wsp:rsid wsp:val=&quot;0076005D&quot;/&gt;&lt;wsp:rsid wsp:val=&quot;00760420&quot;/&gt;&lt;wsp:rsid wsp:val=&quot;00760BD6&quot;/&gt;&lt;wsp:rsid wsp:val=&quot;00760BE7&quot;/&gt;&lt;wsp:rsid wsp:val=&quot;00760CE4&quot;/&gt;&lt;wsp:rsid wsp:val=&quot;00760EDD&quot;/&gt;&lt;wsp:rsid wsp:val=&quot;00761063&quot;/&gt;&lt;wsp:rsid wsp:val=&quot;00761912&quot;/&gt;&lt;wsp:rsid wsp:val=&quot;00761B07&quot;/&gt;&lt;wsp:rsid wsp:val=&quot;00761F1D&quot;/&gt;&lt;wsp:rsid wsp:val=&quot;00761FED&quot;/&gt;&lt;wsp:rsid wsp:val=&quot;0076227B&quot;/&gt;&lt;wsp:rsid wsp:val=&quot;00762318&quot;/&gt;&lt;wsp:rsid wsp:val=&quot;007623C9&quot;/&gt;&lt;wsp:rsid wsp:val=&quot;0076240E&quot;/&gt;&lt;wsp:rsid wsp:val=&quot;00762612&quot;/&gt;&lt;wsp:rsid wsp:val=&quot;00762CA7&quot;/&gt;&lt;wsp:rsid wsp:val=&quot;00762CF6&quot;/&gt;&lt;wsp:rsid wsp:val=&quot;00762ED6&quot;/&gt;&lt;wsp:rsid wsp:val=&quot;00763055&quot;/&gt;&lt;wsp:rsid wsp:val=&quot;00763252&quot;/&gt;&lt;wsp:rsid wsp:val=&quot;00763A2C&quot;/&gt;&lt;wsp:rsid wsp:val=&quot;00763B3C&quot;/&gt;&lt;wsp:rsid wsp:val=&quot;00763BC7&quot;/&gt;&lt;wsp:rsid wsp:val=&quot;00763D97&quot;/&gt;&lt;wsp:rsid wsp:val=&quot;00763F9F&quot;/&gt;&lt;wsp:rsid wsp:val=&quot;0076423F&quot;/&gt;&lt;wsp:rsid wsp:val=&quot;007643C0&quot;/&gt;&lt;wsp:rsid wsp:val=&quot;007643C5&quot;/&gt;&lt;wsp:rsid wsp:val=&quot;007646D3&quot;/&gt;&lt;wsp:rsid wsp:val=&quot;00764701&quot;/&gt;&lt;wsp:rsid wsp:val=&quot;00764862&quot;/&gt;&lt;wsp:rsid wsp:val=&quot;00764A8F&quot;/&gt;&lt;wsp:rsid wsp:val=&quot;00764B34&quot;/&gt;&lt;wsp:rsid wsp:val=&quot;00764C33&quot;/&gt;&lt;wsp:rsid wsp:val=&quot;00764D51&quot;/&gt;&lt;wsp:rsid wsp:val=&quot;00764D91&quot;/&gt;&lt;wsp:rsid wsp:val=&quot;00764DD5&quot;/&gt;&lt;wsp:rsid wsp:val=&quot;00764E3F&quot;/&gt;&lt;wsp:rsid wsp:val=&quot;00764FCE&quot;/&gt;&lt;wsp:rsid wsp:val=&quot;0076556F&quot;/&gt;&lt;wsp:rsid wsp:val=&quot;00765719&quot;/&gt;&lt;wsp:rsid wsp:val=&quot;00765832&quot;/&gt;&lt;wsp:rsid wsp:val=&quot;0076596A&quot;/&gt;&lt;wsp:rsid wsp:val=&quot;00765DBC&quot;/&gt;&lt;wsp:rsid wsp:val=&quot;0076670C&quot;/&gt;&lt;wsp:rsid wsp:val=&quot;00766EFE&quot;/&gt;&lt;wsp:rsid wsp:val=&quot;00767339&quot;/&gt;&lt;wsp:rsid wsp:val=&quot;00767E15&quot;/&gt;&lt;wsp:rsid wsp:val=&quot;00767EF4&quot;/&gt;&lt;wsp:rsid wsp:val=&quot;0077003D&quot;/&gt;&lt;wsp:rsid wsp:val=&quot;007708BC&quot;/&gt;&lt;wsp:rsid wsp:val=&quot;007712D3&quot;/&gt;&lt;wsp:rsid wsp:val=&quot;007713CB&quot;/&gt;&lt;wsp:rsid wsp:val=&quot;0077174E&quot;/&gt;&lt;wsp:rsid wsp:val=&quot;00771AE3&quot;/&gt;&lt;wsp:rsid wsp:val=&quot;00771B46&quot;/&gt;&lt;wsp:rsid wsp:val=&quot;0077205B&quot;/&gt;&lt;wsp:rsid wsp:val=&quot;007722DE&quot;/&gt;&lt;wsp:rsid wsp:val=&quot;00772770&quot;/&gt;&lt;wsp:rsid wsp:val=&quot;00772A5D&quot;/&gt;&lt;wsp:rsid wsp:val=&quot;00772B4D&quot;/&gt;&lt;wsp:rsid wsp:val=&quot;00772EF5&quot;/&gt;&lt;wsp:rsid wsp:val=&quot;0077325B&quot;/&gt;&lt;wsp:rsid wsp:val=&quot;007733FF&quot;/&gt;&lt;wsp:rsid wsp:val=&quot;0077341D&quot;/&gt;&lt;wsp:rsid wsp:val=&quot;007735EF&quot;/&gt;&lt;wsp:rsid wsp:val=&quot;0077368F&quot;/&gt;&lt;wsp:rsid wsp:val=&quot;007736B1&quot;/&gt;&lt;wsp:rsid wsp:val=&quot;007737C1&quot;/&gt;&lt;wsp:rsid wsp:val=&quot;00773CB5&quot;/&gt;&lt;wsp:rsid wsp:val=&quot;00773EE9&quot;/&gt;&lt;wsp:rsid wsp:val=&quot;00773F92&quot;/&gt;&lt;wsp:rsid wsp:val=&quot;00773FB6&quot;/&gt;&lt;wsp:rsid wsp:val=&quot;0077401E&quot;/&gt;&lt;wsp:rsid wsp:val=&quot;00774436&quot;/&gt;&lt;wsp:rsid wsp:val=&quot;00774BC0&quot;/&gt;&lt;wsp:rsid wsp:val=&quot;00774D56&quot;/&gt;&lt;wsp:rsid wsp:val=&quot;007750CC&quot;/&gt;&lt;wsp:rsid wsp:val=&quot;0077534F&quot;/&gt;&lt;wsp:rsid wsp:val=&quot;00775784&quot;/&gt;&lt;wsp:rsid wsp:val=&quot;007758D1&quot;/&gt;&lt;wsp:rsid wsp:val=&quot;00775A32&quot;/&gt;&lt;wsp:rsid wsp:val=&quot;00775AAA&quot;/&gt;&lt;wsp:rsid wsp:val=&quot;00775E17&quot;/&gt;&lt;wsp:rsid wsp:val=&quot;00775FE1&quot;/&gt;&lt;wsp:rsid wsp:val=&quot;00776037&quot;/&gt;&lt;wsp:rsid wsp:val=&quot;00776370&quot;/&gt;&lt;wsp:rsid wsp:val=&quot;007766CF&quot;/&gt;&lt;wsp:rsid wsp:val=&quot;00776D5E&quot;/&gt;&lt;wsp:rsid wsp:val=&quot;00776D66&quot;/&gt;&lt;wsp:rsid wsp:val=&quot;00777421&quot;/&gt;&lt;wsp:rsid wsp:val=&quot;007777D9&quot;/&gt;&lt;wsp:rsid wsp:val=&quot;007777EA&quot;/&gt;&lt;wsp:rsid wsp:val=&quot;007801B0&quot;/&gt;&lt;wsp:rsid wsp:val=&quot;007803DE&quot;/&gt;&lt;wsp:rsid wsp:val=&quot;00780725&quot;/&gt;&lt;wsp:rsid wsp:val=&quot;00780C90&quot;/&gt;&lt;wsp:rsid wsp:val=&quot;00780F45&quot;/&gt;&lt;wsp:rsid wsp:val=&quot;00780F93&quot;/&gt;&lt;wsp:rsid wsp:val=&quot;00781180&quot;/&gt;&lt;wsp:rsid wsp:val=&quot;007812D4&quot;/&gt;&lt;wsp:rsid wsp:val=&quot;0078134A&quot;/&gt;&lt;wsp:rsid wsp:val=&quot;00781E85&quot;/&gt;&lt;wsp:rsid wsp:val=&quot;007822F1&quot;/&gt;&lt;wsp:rsid wsp:val=&quot;007825AC&quot;/&gt;&lt;wsp:rsid wsp:val=&quot;0078282E&quot;/&gt;&lt;wsp:rsid wsp:val=&quot;0078289F&quot;/&gt;&lt;wsp:rsid wsp:val=&quot;00782E11&quot;/&gt;&lt;wsp:rsid wsp:val=&quot;0078331E&quot;/&gt;&lt;wsp:rsid wsp:val=&quot;00783528&quot;/&gt;&lt;wsp:rsid wsp:val=&quot;0078376F&quot;/&gt;&lt;wsp:rsid wsp:val=&quot;007839B8&quot;/&gt;&lt;wsp:rsid wsp:val=&quot;007847FD&quot;/&gt;&lt;wsp:rsid wsp:val=&quot;0078487F&quot;/&gt;&lt;wsp:rsid wsp:val=&quot;00784AAE&quot;/&gt;&lt;wsp:rsid wsp:val=&quot;007850AF&quot;/&gt;&lt;wsp:rsid wsp:val=&quot;0078552C&quot;/&gt;&lt;wsp:rsid wsp:val=&quot;00785862&quot;/&gt;&lt;wsp:rsid wsp:val=&quot;00785AA9&quot;/&gt;&lt;wsp:rsid wsp:val=&quot;00785AD3&quot;/&gt;&lt;wsp:rsid wsp:val=&quot;00785DA7&quot;/&gt;&lt;wsp:rsid wsp:val=&quot;00785F57&quot;/&gt;&lt;wsp:rsid wsp:val=&quot;00786231&quot;/&gt;&lt;wsp:rsid wsp:val=&quot;00786707&quot;/&gt;&lt;wsp:rsid wsp:val=&quot;00786A04&quot;/&gt;&lt;wsp:rsid wsp:val=&quot;00786BB2&quot;/&gt;&lt;wsp:rsid wsp:val=&quot;00787174&quot;/&gt;&lt;wsp:rsid wsp:val=&quot;007872C0&quot;/&gt;&lt;wsp:rsid wsp:val=&quot;00787318&quot;/&gt;&lt;wsp:rsid wsp:val=&quot;00787440&quot;/&gt;&lt;wsp:rsid wsp:val=&quot;00787935&quot;/&gt;&lt;wsp:rsid wsp:val=&quot;00787A5A&quot;/&gt;&lt;wsp:rsid wsp:val=&quot;00787E07&quot;/&gt;&lt;wsp:rsid wsp:val=&quot;007903D7&quot;/&gt;&lt;wsp:rsid wsp:val=&quot;007907DA&quot;/&gt;&lt;wsp:rsid wsp:val=&quot;00790922&quot;/&gt;&lt;wsp:rsid wsp:val=&quot;00790AD6&quot;/&gt;&lt;wsp:rsid wsp:val=&quot;00790B02&quot;/&gt;&lt;wsp:rsid wsp:val=&quot;00790E0B&quot;/&gt;&lt;wsp:rsid wsp:val=&quot;00791069&quot;/&gt;&lt;wsp:rsid wsp:val=&quot;007922A2&quot;/&gt;&lt;wsp:rsid wsp:val=&quot;00792975&quot;/&gt;&lt;wsp:rsid wsp:val=&quot;00792A32&quot;/&gt;&lt;wsp:rsid wsp:val=&quot;00792BE9&quot;/&gt;&lt;wsp:rsid wsp:val=&quot;00792C66&quot;/&gt;&lt;wsp:rsid wsp:val=&quot;00792F7E&quot;/&gt;&lt;wsp:rsid wsp:val=&quot;00792FEE&quot;/&gt;&lt;wsp:rsid wsp:val=&quot;0079373C&quot;/&gt;&lt;wsp:rsid wsp:val=&quot;00793773&quot;/&gt;&lt;wsp:rsid wsp:val=&quot;00793DA9&quot;/&gt;&lt;wsp:rsid wsp:val=&quot;00794559&quot;/&gt;&lt;wsp:rsid wsp:val=&quot;0079487B&quot;/&gt;&lt;wsp:rsid wsp:val=&quot;00794BC0&quot;/&gt;&lt;wsp:rsid wsp:val=&quot;00794BEC&quot;/&gt;&lt;wsp:rsid wsp:val=&quot;00794EF8&quot;/&gt;&lt;wsp:rsid wsp:val=&quot;00795215&quot;/&gt;&lt;wsp:rsid wsp:val=&quot;0079539F&quot;/&gt;&lt;wsp:rsid wsp:val=&quot;00795433&quot;/&gt;&lt;wsp:rsid wsp:val=&quot;0079573F&quot;/&gt;&lt;wsp:rsid wsp:val=&quot;00795EF8&quot;/&gt;&lt;wsp:rsid wsp:val=&quot;0079662D&quot;/&gt;&lt;wsp:rsid wsp:val=&quot;00796954&quot;/&gt;&lt;wsp:rsid wsp:val=&quot;007969A1&quot;/&gt;&lt;wsp:rsid wsp:val=&quot;00797587&quot;/&gt;&lt;wsp:rsid wsp:val=&quot;0079772A&quot;/&gt;&lt;wsp:rsid wsp:val=&quot;007977EE&quot;/&gt;&lt;wsp:rsid wsp:val=&quot;007A03CB&quot;/&gt;&lt;wsp:rsid wsp:val=&quot;007A046B&quot;/&gt;&lt;wsp:rsid wsp:val=&quot;007A0493&quot;/&gt;&lt;wsp:rsid wsp:val=&quot;007A0658&quot;/&gt;&lt;wsp:rsid wsp:val=&quot;007A0677&quot;/&gt;&lt;wsp:rsid wsp:val=&quot;007A19BF&quot;/&gt;&lt;wsp:rsid wsp:val=&quot;007A1CE1&quot;/&gt;&lt;wsp:rsid wsp:val=&quot;007A209B&quot;/&gt;&lt;wsp:rsid wsp:val=&quot;007A24DC&quot;/&gt;&lt;wsp:rsid wsp:val=&quot;007A29D5&quot;/&gt;&lt;wsp:rsid wsp:val=&quot;007A2AFD&quot;/&gt;&lt;wsp:rsid wsp:val=&quot;007A2E34&quot;/&gt;&lt;wsp:rsid wsp:val=&quot;007A2F54&quot;/&gt;&lt;wsp:rsid wsp:val=&quot;007A340D&quot;/&gt;&lt;wsp:rsid wsp:val=&quot;007A3481&quot;/&gt;&lt;wsp:rsid wsp:val=&quot;007A353A&quot;/&gt;&lt;wsp:rsid wsp:val=&quot;007A39E2&quot;/&gt;&lt;wsp:rsid wsp:val=&quot;007A3A60&quot;/&gt;&lt;wsp:rsid wsp:val=&quot;007A3C15&quot;/&gt;&lt;wsp:rsid wsp:val=&quot;007A4178&quot;/&gt;&lt;wsp:rsid wsp:val=&quot;007A435C&quot;/&gt;&lt;wsp:rsid wsp:val=&quot;007A586B&quot;/&gt;&lt;wsp:rsid wsp:val=&quot;007A6453&quot;/&gt;&lt;wsp:rsid wsp:val=&quot;007A677B&quot;/&gt;&lt;wsp:rsid wsp:val=&quot;007A6A0B&quot;/&gt;&lt;wsp:rsid wsp:val=&quot;007A6E31&quot;/&gt;&lt;wsp:rsid wsp:val=&quot;007A6FE8&quot;/&gt;&lt;wsp:rsid wsp:val=&quot;007A72AA&quot;/&gt;&lt;wsp:rsid wsp:val=&quot;007A72EC&quot;/&gt;&lt;wsp:rsid wsp:val=&quot;007A73A7&quot;/&gt;&lt;wsp:rsid wsp:val=&quot;007A7A17&quot;/&gt;&lt;wsp:rsid wsp:val=&quot;007A7B90&quot;/&gt;&lt;wsp:rsid wsp:val=&quot;007B019A&quot;/&gt;&lt;wsp:rsid wsp:val=&quot;007B0610&quot;/&gt;&lt;wsp:rsid wsp:val=&quot;007B07BD&quot;/&gt;&lt;wsp:rsid wsp:val=&quot;007B0814&quot;/&gt;&lt;wsp:rsid wsp:val=&quot;007B0ABE&quot;/&gt;&lt;wsp:rsid wsp:val=&quot;007B16A9&quot;/&gt;&lt;wsp:rsid wsp:val=&quot;007B211A&quot;/&gt;&lt;wsp:rsid wsp:val=&quot;007B2583&quot;/&gt;&lt;wsp:rsid wsp:val=&quot;007B275C&quot;/&gt;&lt;wsp:rsid wsp:val=&quot;007B307E&quot;/&gt;&lt;wsp:rsid wsp:val=&quot;007B33FF&quot;/&gt;&lt;wsp:rsid wsp:val=&quot;007B3610&quot;/&gt;&lt;wsp:rsid wsp:val=&quot;007B38D1&quot;/&gt;&lt;wsp:rsid wsp:val=&quot;007B3B6A&quot;/&gt;&lt;wsp:rsid wsp:val=&quot;007B3BDC&quot;/&gt;&lt;wsp:rsid wsp:val=&quot;007B3F99&quot;/&gt;&lt;wsp:rsid wsp:val=&quot;007B42E4&quot;/&gt;&lt;wsp:rsid wsp:val=&quot;007B50D5&quot;/&gt;&lt;wsp:rsid wsp:val=&quot;007B50D6&quot;/&gt;&lt;wsp:rsid wsp:val=&quot;007B5141&quot;/&gt;&lt;wsp:rsid wsp:val=&quot;007B5358&quot;/&gt;&lt;wsp:rsid wsp:val=&quot;007B54A0&quot;/&gt;&lt;wsp:rsid wsp:val=&quot;007B580B&quot;/&gt;&lt;wsp:rsid wsp:val=&quot;007B5B44&quot;/&gt;&lt;wsp:rsid wsp:val=&quot;007B5E24&quot;/&gt;&lt;wsp:rsid wsp:val=&quot;007B69CA&quot;/&gt;&lt;wsp:rsid wsp:val=&quot;007B6B46&quot;/&gt;&lt;wsp:rsid wsp:val=&quot;007B741A&quot;/&gt;&lt;wsp:rsid wsp:val=&quot;007B771F&quot;/&gt;&lt;wsp:rsid wsp:val=&quot;007B7D7F&quot;/&gt;&lt;wsp:rsid wsp:val=&quot;007B7E7D&quot;/&gt;&lt;wsp:rsid wsp:val=&quot;007B7FCB&quot;/&gt;&lt;wsp:rsid wsp:val=&quot;007C0CFB&quot;/&gt;&lt;wsp:rsid wsp:val=&quot;007C0FF4&quot;/&gt;&lt;wsp:rsid wsp:val=&quot;007C11C8&quot;/&gt;&lt;wsp:rsid wsp:val=&quot;007C1591&quot;/&gt;&lt;wsp:rsid wsp:val=&quot;007C20DB&quot;/&gt;&lt;wsp:rsid wsp:val=&quot;007C23CA&quot;/&gt;&lt;wsp:rsid wsp:val=&quot;007C29E7&quot;/&gt;&lt;wsp:rsid wsp:val=&quot;007C2ECB&quot;/&gt;&lt;wsp:rsid wsp:val=&quot;007C2EEE&quot;/&gt;&lt;wsp:rsid wsp:val=&quot;007C32BA&quot;/&gt;&lt;wsp:rsid wsp:val=&quot;007C3367&quot;/&gt;&lt;wsp:rsid wsp:val=&quot;007C364E&quot;/&gt;&lt;wsp:rsid wsp:val=&quot;007C36B1&quot;/&gt;&lt;wsp:rsid wsp:val=&quot;007C3722&quot;/&gt;&lt;wsp:rsid wsp:val=&quot;007C3747&quot;/&gt;&lt;wsp:rsid wsp:val=&quot;007C38D9&quot;/&gt;&lt;wsp:rsid wsp:val=&quot;007C3DE5&quot;/&gt;&lt;wsp:rsid wsp:val=&quot;007C4074&quot;/&gt;&lt;wsp:rsid wsp:val=&quot;007C4F5A&quot;/&gt;&lt;wsp:rsid wsp:val=&quot;007C50F4&quot;/&gt;&lt;wsp:rsid wsp:val=&quot;007C5200&quot;/&gt;&lt;wsp:rsid wsp:val=&quot;007C5581&quot;/&gt;&lt;wsp:rsid wsp:val=&quot;007C5732&quot;/&gt;&lt;wsp:rsid wsp:val=&quot;007C5A5A&quot;/&gt;&lt;wsp:rsid wsp:val=&quot;007C5DA4&quot;/&gt;&lt;wsp:rsid wsp:val=&quot;007C5DD1&quot;/&gt;&lt;wsp:rsid wsp:val=&quot;007C6326&quot;/&gt;&lt;wsp:rsid wsp:val=&quot;007C684E&quot;/&gt;&lt;wsp:rsid wsp:val=&quot;007C6C41&quot;/&gt;&lt;wsp:rsid wsp:val=&quot;007C72F0&quot;/&gt;&lt;wsp:rsid wsp:val=&quot;007C73BA&quot;/&gt;&lt;wsp:rsid wsp:val=&quot;007C7797&quot;/&gt;&lt;wsp:rsid wsp:val=&quot;007C7A6B&quot;/&gt;&lt;wsp:rsid wsp:val=&quot;007C7C0D&quot;/&gt;&lt;wsp:rsid wsp:val=&quot;007D0152&quot;/&gt;&lt;wsp:rsid wsp:val=&quot;007D0A4F&quot;/&gt;&lt;wsp:rsid wsp:val=&quot;007D0CEE&quot;/&gt;&lt;wsp:rsid wsp:val=&quot;007D0E99&quot;/&gt;&lt;wsp:rsid wsp:val=&quot;007D0EC3&quot;/&gt;&lt;wsp:rsid wsp:val=&quot;007D124F&quot;/&gt;&lt;wsp:rsid wsp:val=&quot;007D12C0&quot;/&gt;&lt;wsp:rsid wsp:val=&quot;007D150B&quot;/&gt;&lt;wsp:rsid wsp:val=&quot;007D1607&quot;/&gt;&lt;wsp:rsid wsp:val=&quot;007D1645&quot;/&gt;&lt;wsp:rsid wsp:val=&quot;007D18E0&quot;/&gt;&lt;wsp:rsid wsp:val=&quot;007D1BC1&quot;/&gt;&lt;wsp:rsid wsp:val=&quot;007D1C66&quot;/&gt;&lt;wsp:rsid wsp:val=&quot;007D1CC7&quot;/&gt;&lt;wsp:rsid wsp:val=&quot;007D1CFA&quot;/&gt;&lt;wsp:rsid wsp:val=&quot;007D1E39&quot;/&gt;&lt;wsp:rsid wsp:val=&quot;007D2240&quot;/&gt;&lt;wsp:rsid wsp:val=&quot;007D22B0&quot;/&gt;&lt;wsp:rsid wsp:val=&quot;007D2504&quot;/&gt;&lt;wsp:rsid wsp:val=&quot;007D279A&quot;/&gt;&lt;wsp:rsid wsp:val=&quot;007D2ABA&quot;/&gt;&lt;wsp:rsid wsp:val=&quot;007D2ADC&quot;/&gt;&lt;wsp:rsid wsp:val=&quot;007D2D26&quot;/&gt;&lt;wsp:rsid wsp:val=&quot;007D2EB8&quot;/&gt;&lt;wsp:rsid wsp:val=&quot;007D2EC6&quot;/&gt;&lt;wsp:rsid wsp:val=&quot;007D3264&quot;/&gt;&lt;wsp:rsid wsp:val=&quot;007D32FF&quot;/&gt;&lt;wsp:rsid wsp:val=&quot;007D375C&quot;/&gt;&lt;wsp:rsid wsp:val=&quot;007D3C9B&quot;/&gt;&lt;wsp:rsid wsp:val=&quot;007D409B&quot;/&gt;&lt;wsp:rsid wsp:val=&quot;007D41AB&quot;/&gt;&lt;wsp:rsid wsp:val=&quot;007D4587&quot;/&gt;&lt;wsp:rsid wsp:val=&quot;007D47CB&quot;/&gt;&lt;wsp:rsid wsp:val=&quot;007D4BC7&quot;/&gt;&lt;wsp:rsid wsp:val=&quot;007D4C39&quot;/&gt;&lt;wsp:rsid wsp:val=&quot;007D4D48&quot;/&gt;&lt;wsp:rsid wsp:val=&quot;007D4DA5&quot;/&gt;&lt;wsp:rsid wsp:val=&quot;007D5948&quot;/&gt;&lt;wsp:rsid wsp:val=&quot;007D5B4C&quot;/&gt;&lt;wsp:rsid wsp:val=&quot;007D5C25&quot;/&gt;&lt;wsp:rsid wsp:val=&quot;007D5D86&quot;/&gt;&lt;wsp:rsid wsp:val=&quot;007D5EA0&quot;/&gt;&lt;wsp:rsid wsp:val=&quot;007D5FDB&quot;/&gt;&lt;wsp:rsid wsp:val=&quot;007D627E&quot;/&gt;&lt;wsp:rsid wsp:val=&quot;007D62FD&quot;/&gt;&lt;wsp:rsid wsp:val=&quot;007D6494&quot;/&gt;&lt;wsp:rsid wsp:val=&quot;007D64A7&quot;/&gt;&lt;wsp:rsid wsp:val=&quot;007D6508&quot;/&gt;&lt;wsp:rsid wsp:val=&quot;007D6C21&quot;/&gt;&lt;wsp:rsid wsp:val=&quot;007D716E&quot;/&gt;&lt;wsp:rsid wsp:val=&quot;007D7ACF&quot;/&gt;&lt;wsp:rsid wsp:val=&quot;007D7BCF&quot;/&gt;&lt;wsp:rsid wsp:val=&quot;007E00E4&quot;/&gt;&lt;wsp:rsid wsp:val=&quot;007E0268&quot;/&gt;&lt;wsp:rsid wsp:val=&quot;007E060E&quot;/&gt;&lt;wsp:rsid wsp:val=&quot;007E087A&quot;/&gt;&lt;wsp:rsid wsp:val=&quot;007E0969&quot;/&gt;&lt;wsp:rsid wsp:val=&quot;007E09FA&quot;/&gt;&lt;wsp:rsid wsp:val=&quot;007E1244&quot;/&gt;&lt;wsp:rsid wsp:val=&quot;007E1A43&quot;/&gt;&lt;wsp:rsid wsp:val=&quot;007E1A52&quot;/&gt;&lt;wsp:rsid wsp:val=&quot;007E1ADE&quot;/&gt;&lt;wsp:rsid wsp:val=&quot;007E1D43&quot;/&gt;&lt;wsp:rsid wsp:val=&quot;007E1D4D&quot;/&gt;&lt;wsp:rsid wsp:val=&quot;007E2123&quot;/&gt;&lt;wsp:rsid wsp:val=&quot;007E241C&quot;/&gt;&lt;wsp:rsid wsp:val=&quot;007E2834&quot;/&gt;&lt;wsp:rsid wsp:val=&quot;007E2BC4&quot;/&gt;&lt;wsp:rsid wsp:val=&quot;007E2DA6&quot;/&gt;&lt;wsp:rsid wsp:val=&quot;007E2FA4&quot;/&gt;&lt;wsp:rsid wsp:val=&quot;007E30B9&quot;/&gt;&lt;wsp:rsid wsp:val=&quot;007E3370&quot;/&gt;&lt;wsp:rsid wsp:val=&quot;007E3593&quot;/&gt;&lt;wsp:rsid wsp:val=&quot;007E3686&quot;/&gt;&lt;wsp:rsid wsp:val=&quot;007E3EA5&quot;/&gt;&lt;wsp:rsid wsp:val=&quot;007E3F11&quot;/&gt;&lt;wsp:rsid wsp:val=&quot;007E3F9E&quot;/&gt;&lt;wsp:rsid wsp:val=&quot;007E47F7&quot;/&gt;&lt;wsp:rsid wsp:val=&quot;007E48E6&quot;/&gt;&lt;wsp:rsid wsp:val=&quot;007E4A75&quot;/&gt;&lt;wsp:rsid wsp:val=&quot;007E4A99&quot;/&gt;&lt;wsp:rsid wsp:val=&quot;007E4C83&quot;/&gt;&lt;wsp:rsid wsp:val=&quot;007E4FF9&quot;/&gt;&lt;wsp:rsid wsp:val=&quot;007E56C3&quot;/&gt;&lt;wsp:rsid wsp:val=&quot;007E5D09&quot;/&gt;&lt;wsp:rsid wsp:val=&quot;007E5D15&quot;/&gt;&lt;wsp:rsid wsp:val=&quot;007E60E4&quot;/&gt;&lt;wsp:rsid wsp:val=&quot;007E61AF&quot;/&gt;&lt;wsp:rsid wsp:val=&quot;007E61DC&quot;/&gt;&lt;wsp:rsid wsp:val=&quot;007E6348&quot;/&gt;&lt;wsp:rsid wsp:val=&quot;007E63EE&quot;/&gt;&lt;wsp:rsid wsp:val=&quot;007E64B8&quot;/&gt;&lt;wsp:rsid wsp:val=&quot;007E6716&quot;/&gt;&lt;wsp:rsid wsp:val=&quot;007E67E9&quot;/&gt;&lt;wsp:rsid wsp:val=&quot;007E6845&quot;/&gt;&lt;wsp:rsid wsp:val=&quot;007E684D&quot;/&gt;&lt;wsp:rsid wsp:val=&quot;007E6ADF&quot;/&gt;&lt;wsp:rsid wsp:val=&quot;007E6AFE&quot;/&gt;&lt;wsp:rsid wsp:val=&quot;007E6EC8&quot;/&gt;&lt;wsp:rsid wsp:val=&quot;007E710C&quot;/&gt;&lt;wsp:rsid wsp:val=&quot;007E72A0&quot;/&gt;&lt;wsp:rsid wsp:val=&quot;007E7602&quot;/&gt;&lt;wsp:rsid wsp:val=&quot;007E769B&quot;/&gt;&lt;wsp:rsid wsp:val=&quot;007E76D6&quot;/&gt;&lt;wsp:rsid wsp:val=&quot;007E775F&quot;/&gt;&lt;wsp:rsid wsp:val=&quot;007E7799&quot;/&gt;&lt;wsp:rsid wsp:val=&quot;007E7C3A&quot;/&gt;&lt;wsp:rsid wsp:val=&quot;007F0137&quot;/&gt;&lt;wsp:rsid wsp:val=&quot;007F0F44&quot;/&gt;&lt;wsp:rsid wsp:val=&quot;007F13C7&quot;/&gt;&lt;wsp:rsid wsp:val=&quot;007F13E5&quot;/&gt;&lt;wsp:rsid wsp:val=&quot;007F1C37&quot;/&gt;&lt;wsp:rsid wsp:val=&quot;007F1C87&quot;/&gt;&lt;wsp:rsid wsp:val=&quot;007F1EB8&quot;/&gt;&lt;wsp:rsid wsp:val=&quot;007F2148&quot;/&gt;&lt;wsp:rsid wsp:val=&quot;007F2178&quot;/&gt;&lt;wsp:rsid wsp:val=&quot;007F2329&quot;/&gt;&lt;wsp:rsid wsp:val=&quot;007F2475&quot;/&gt;&lt;wsp:rsid wsp:val=&quot;007F28FE&quot;/&gt;&lt;wsp:rsid wsp:val=&quot;007F2C05&quot;/&gt;&lt;wsp:rsid wsp:val=&quot;007F2F0B&quot;/&gt;&lt;wsp:rsid wsp:val=&quot;007F3061&quot;/&gt;&lt;wsp:rsid wsp:val=&quot;007F31BC&quot;/&gt;&lt;wsp:rsid wsp:val=&quot;007F34DE&quot;/&gt;&lt;wsp:rsid wsp:val=&quot;007F390A&quot;/&gt;&lt;wsp:rsid wsp:val=&quot;007F4472&quot;/&gt;&lt;wsp:rsid wsp:val=&quot;007F4B96&quot;/&gt;&lt;wsp:rsid wsp:val=&quot;007F4F74&quot;/&gt;&lt;wsp:rsid wsp:val=&quot;007F5177&quot;/&gt;&lt;wsp:rsid wsp:val=&quot;007F60E6&quot;/&gt;&lt;wsp:rsid wsp:val=&quot;007F6270&quot;/&gt;&lt;wsp:rsid wsp:val=&quot;007F6404&quot;/&gt;&lt;wsp:rsid wsp:val=&quot;007F718E&quot;/&gt;&lt;wsp:rsid wsp:val=&quot;007F771F&quot;/&gt;&lt;wsp:rsid wsp:val=&quot;007F7A4C&quot;/&gt;&lt;wsp:rsid wsp:val=&quot;008001D8&quot;/&gt;&lt;wsp:rsid wsp:val=&quot;008006A8&quot;/&gt;&lt;wsp:rsid wsp:val=&quot;00800BB8&quot;/&gt;&lt;wsp:rsid wsp:val=&quot;00800E2C&quot;/&gt;&lt;wsp:rsid wsp:val=&quot;00800F0F&quot;/&gt;&lt;wsp:rsid wsp:val=&quot;00801002&quot;/&gt;&lt;wsp:rsid wsp:val=&quot;00802450&quot;/&gt;&lt;wsp:rsid wsp:val=&quot;008025B5&quot;/&gt;&lt;wsp:rsid wsp:val=&quot;0080274C&quot;/&gt;&lt;wsp:rsid wsp:val=&quot;00802CB7&quot;/&gt;&lt;wsp:rsid wsp:val=&quot;00802CDF&quot;/&gt;&lt;wsp:rsid wsp:val=&quot;00802E4A&quot;/&gt;&lt;wsp:rsid wsp:val=&quot;00802EE9&quot;/&gt;&lt;wsp:rsid wsp:val=&quot;00803A2E&quot;/&gt;&lt;wsp:rsid wsp:val=&quot;00803FF4&quot;/&gt;&lt;wsp:rsid wsp:val=&quot;0080414C&quot;/&gt;&lt;wsp:rsid wsp:val=&quot;008041B4&quot;/&gt;&lt;wsp:rsid wsp:val=&quot;008043C2&quot;/&gt;&lt;wsp:rsid wsp:val=&quot;00804428&quot;/&gt;&lt;wsp:rsid wsp:val=&quot;00804761&quot;/&gt;&lt;wsp:rsid wsp:val=&quot;008047A2&quot;/&gt;&lt;wsp:rsid wsp:val=&quot;00804A49&quot;/&gt;&lt;wsp:rsid wsp:val=&quot;00804C46&quot;/&gt;&lt;wsp:rsid wsp:val=&quot;008050C6&quot;/&gt;&lt;wsp:rsid wsp:val=&quot;0080576A&quot;/&gt;&lt;wsp:rsid wsp:val=&quot;00805848&quot;/&gt;&lt;wsp:rsid wsp:val=&quot;00806065&quot;/&gt;&lt;wsp:rsid wsp:val=&quot;00806A5A&quot;/&gt;&lt;wsp:rsid wsp:val=&quot;008071B3&quot;/&gt;&lt;wsp:rsid wsp:val=&quot;00807212&quot;/&gt;&lt;wsp:rsid wsp:val=&quot;0080760F&quot;/&gt;&lt;wsp:rsid wsp:val=&quot;00807880&quot;/&gt;&lt;wsp:rsid wsp:val=&quot;00807C26&quot;/&gt;&lt;wsp:rsid wsp:val=&quot;00807F63&quot;/&gt;&lt;wsp:rsid wsp:val=&quot;00810315&quot;/&gt;&lt;wsp:rsid wsp:val=&quot;00810398&quot;/&gt;&lt;wsp:rsid wsp:val=&quot;00810414&quot;/&gt;&lt;wsp:rsid wsp:val=&quot;00810708&quot;/&gt;&lt;wsp:rsid wsp:val=&quot;008108F0&quot;/&gt;&lt;wsp:rsid wsp:val=&quot;008109F5&quot;/&gt;&lt;wsp:rsid wsp:val=&quot;00810C6B&quot;/&gt;&lt;wsp:rsid wsp:val=&quot;00811081&quot;/&gt;&lt;wsp:rsid wsp:val=&quot;008110E1&quot;/&gt;&lt;wsp:rsid wsp:val=&quot;00811601&quot;/&gt;&lt;wsp:rsid wsp:val=&quot;00811852&quot;/&gt;&lt;wsp:rsid wsp:val=&quot;00811902&quot;/&gt;&lt;wsp:rsid wsp:val=&quot;00811A43&quot;/&gt;&lt;wsp:rsid wsp:val=&quot;00811FE4&quot;/&gt;&lt;wsp:rsid wsp:val=&quot;00812170&quot;/&gt;&lt;wsp:rsid wsp:val=&quot;0081258B&quot;/&gt;&lt;wsp:rsid wsp:val=&quot;00812BBB&quot;/&gt;&lt;wsp:rsid wsp:val=&quot;00812C46&quot;/&gt;&lt;wsp:rsid wsp:val=&quot;00812CD9&quot;/&gt;&lt;wsp:rsid wsp:val=&quot;008132A5&quot;/&gt;&lt;wsp:rsid wsp:val=&quot;00813330&quot;/&gt;&lt;wsp:rsid wsp:val=&quot;00813361&quot;/&gt;&lt;wsp:rsid wsp:val=&quot;008134AA&quot;/&gt;&lt;wsp:rsid wsp:val=&quot;008137F2&quot;/&gt;&lt;wsp:rsid wsp:val=&quot;00813849&quot;/&gt;&lt;wsp:rsid wsp:val=&quot;00814082&quot;/&gt;&lt;wsp:rsid wsp:val=&quot;0081486F&quot;/&gt;&lt;wsp:rsid wsp:val=&quot;00814B3B&quot;/&gt;&lt;wsp:rsid wsp:val=&quot;00814B61&quot;/&gt;&lt;wsp:rsid wsp:val=&quot;00815174&quot;/&gt;&lt;wsp:rsid wsp:val=&quot;008155F9&quot;/&gt;&lt;wsp:rsid wsp:val=&quot;008159A1&quot;/&gt;&lt;wsp:rsid wsp:val=&quot;00815B37&quot;/&gt;&lt;wsp:rsid wsp:val=&quot;00815EA7&quot;/&gt;&lt;wsp:rsid wsp:val=&quot;00815EBD&quot;/&gt;&lt;wsp:rsid wsp:val=&quot;008162FE&quot;/&gt;&lt;wsp:rsid wsp:val=&quot;00816398&quot;/&gt;&lt;wsp:rsid wsp:val=&quot;0081654E&quot;/&gt;&lt;wsp:rsid wsp:val=&quot;00816C1E&quot;/&gt;&lt;wsp:rsid wsp:val=&quot;00816C46&quot;/&gt;&lt;wsp:rsid wsp:val=&quot;00816D56&quot;/&gt;&lt;wsp:rsid wsp:val=&quot;008171AB&quot;/&gt;&lt;wsp:rsid wsp:val=&quot;008172B0&quot;/&gt;&lt;wsp:rsid wsp:val=&quot;00817387&quot;/&gt;&lt;wsp:rsid wsp:val=&quot;0081797F&quot;/&gt;&lt;wsp:rsid wsp:val=&quot;008200DC&quot;/&gt;&lt;wsp:rsid wsp:val=&quot;008203C2&quot;/&gt;&lt;wsp:rsid wsp:val=&quot;00821293&quot;/&gt;&lt;wsp:rsid wsp:val=&quot;00821807&quot;/&gt;&lt;wsp:rsid wsp:val=&quot;00821895&quot;/&gt;&lt;wsp:rsid wsp:val=&quot;00821A6B&quot;/&gt;&lt;wsp:rsid wsp:val=&quot;00821CE2&quot;/&gt;&lt;wsp:rsid wsp:val=&quot;008220BB&quot;/&gt;&lt;wsp:rsid wsp:val=&quot;00822539&quot;/&gt;&lt;wsp:rsid wsp:val=&quot;008234B3&quot;/&gt;&lt;wsp:rsid wsp:val=&quot;00823566&quot;/&gt;&lt;wsp:rsid wsp:val=&quot;00823B15&quot;/&gt;&lt;wsp:rsid wsp:val=&quot;00824561&quot;/&gt;&lt;wsp:rsid wsp:val=&quot;0082502E&quot;/&gt;&lt;wsp:rsid wsp:val=&quot;008251CA&quot;/&gt;&lt;wsp:rsid wsp:val=&quot;008253C6&quot;/&gt;&lt;wsp:rsid wsp:val=&quot;008253F0&quot;/&gt;&lt;wsp:rsid wsp:val=&quot;008256F2&quot;/&gt;&lt;wsp:rsid wsp:val=&quot;00825F83&quot;/&gt;&lt;wsp:rsid wsp:val=&quot;0082612E&quot;/&gt;&lt;wsp:rsid wsp:val=&quot;008262C5&quot;/&gt;&lt;wsp:rsid wsp:val=&quot;00826510&quot;/&gt;&lt;wsp:rsid wsp:val=&quot;0082706E&quot;/&gt;&lt;wsp:rsid wsp:val=&quot;0082759B&quot;/&gt;&lt;wsp:rsid wsp:val=&quot;00827BCA&quot;/&gt;&lt;wsp:rsid wsp:val=&quot;00827DAD&quot;/&gt;&lt;wsp:rsid wsp:val=&quot;00827F05&quot;/&gt;&lt;wsp:rsid wsp:val=&quot;00827F6D&quot;/&gt;&lt;wsp:rsid wsp:val=&quot;0083080E&quot;/&gt;&lt;wsp:rsid wsp:val=&quot;0083086C&quot;/&gt;&lt;wsp:rsid wsp:val=&quot;00830CF4&quot;/&gt;&lt;wsp:rsid wsp:val=&quot;00830DAF&quot;/&gt;&lt;wsp:rsid wsp:val=&quot;00830F63&quot;/&gt;&lt;wsp:rsid wsp:val=&quot;00830F77&quot;/&gt;&lt;wsp:rsid wsp:val=&quot;008311D9&quot;/&gt;&lt;wsp:rsid wsp:val=&quot;00831486&quot;/&gt;&lt;wsp:rsid wsp:val=&quot;00831AC1&quot;/&gt;&lt;wsp:rsid wsp:val=&quot;00831F2E&quot;/&gt;&lt;wsp:rsid wsp:val=&quot;008325A4&quot;/&gt;&lt;wsp:rsid wsp:val=&quot;00832ADC&quot;/&gt;&lt;wsp:rsid wsp:val=&quot;00832E81&quot;/&gt;&lt;wsp:rsid wsp:val=&quot;00833A63&quot;/&gt;&lt;wsp:rsid wsp:val=&quot;00833BF2&quot;/&gt;&lt;wsp:rsid wsp:val=&quot;00833D11&quot;/&gt;&lt;wsp:rsid wsp:val=&quot;00833D69&quot;/&gt;&lt;wsp:rsid wsp:val=&quot;00833F52&quot;/&gt;&lt;wsp:rsid wsp:val=&quot;00834120&quot;/&gt;&lt;wsp:rsid wsp:val=&quot;00834185&quot;/&gt;&lt;wsp:rsid wsp:val=&quot;00834541&quot;/&gt;&lt;wsp:rsid wsp:val=&quot;00834920&quot;/&gt;&lt;wsp:rsid wsp:val=&quot;008349E6&quot;/&gt;&lt;wsp:rsid wsp:val=&quot;00834C64&quot;/&gt;&lt;wsp:rsid wsp:val=&quot;00834ECA&quot;/&gt;&lt;wsp:rsid wsp:val=&quot;00834ED1&quot;/&gt;&lt;wsp:rsid wsp:val=&quot;00834EE9&quot;/&gt;&lt;wsp:rsid wsp:val=&quot;00835031&quot;/&gt;&lt;wsp:rsid wsp:val=&quot;008354B6&quot;/&gt;&lt;wsp:rsid wsp:val=&quot;00835797&quot;/&gt;&lt;wsp:rsid wsp:val=&quot;00835A24&quot;/&gt;&lt;wsp:rsid wsp:val=&quot;00835B9C&quot;/&gt;&lt;wsp:rsid wsp:val=&quot;00835BEA&quot;/&gt;&lt;wsp:rsid wsp:val=&quot;00835C42&quot;/&gt;&lt;wsp:rsid wsp:val=&quot;00836133&quot;/&gt;&lt;wsp:rsid wsp:val=&quot;0083635A&quot;/&gt;&lt;wsp:rsid wsp:val=&quot;008365CB&quot;/&gt;&lt;wsp:rsid wsp:val=&quot;00836C7C&quot;/&gt;&lt;wsp:rsid wsp:val=&quot;00836DB2&quot;/&gt;&lt;wsp:rsid wsp:val=&quot;00836F53&quot;/&gt;&lt;wsp:rsid wsp:val=&quot;00837197&quot;/&gt;&lt;wsp:rsid wsp:val=&quot;008375F6&quot;/&gt;&lt;wsp:rsid wsp:val=&quot;008377FE&quot;/&gt;&lt;wsp:rsid wsp:val=&quot;00837A1D&quot;/&gt;&lt;wsp:rsid wsp:val=&quot;00837D64&quot;/&gt;&lt;wsp:rsid wsp:val=&quot;00837E77&quot;/&gt;&lt;wsp:rsid wsp:val=&quot;008400EC&quot;/&gt;&lt;wsp:rsid wsp:val=&quot;0084034A&quot;/&gt;&lt;wsp:rsid wsp:val=&quot;00840447&quot;/&gt;&lt;wsp:rsid wsp:val=&quot;0084099B&quot;/&gt;&lt;wsp:rsid wsp:val=&quot;00840F5A&quot;/&gt;&lt;wsp:rsid wsp:val=&quot;00840FC2&quot;/&gt;&lt;wsp:rsid wsp:val=&quot;0084150B&quot;/&gt;&lt;wsp:rsid wsp:val=&quot;0084178A&quot;/&gt;&lt;wsp:rsid wsp:val=&quot;00841F2F&quot;/&gt;&lt;wsp:rsid wsp:val=&quot;00841F32&quot;/&gt;&lt;wsp:rsid wsp:val=&quot;00841FD5&quot;/&gt;&lt;wsp:rsid wsp:val=&quot;0084207E&quot;/&gt;&lt;wsp:rsid wsp:val=&quot;00843913&quot;/&gt;&lt;wsp:rsid wsp:val=&quot;00843B1E&quot;/&gt;&lt;wsp:rsid wsp:val=&quot;00843B27&quot;/&gt;&lt;wsp:rsid wsp:val=&quot;00844103&quot;/&gt;&lt;wsp:rsid wsp:val=&quot;008441EA&quot;/&gt;&lt;wsp:rsid wsp:val=&quot;00844794&quot;/&gt;&lt;wsp:rsid wsp:val=&quot;008447E6&quot;/&gt;&lt;wsp:rsid wsp:val=&quot;0084482C&quot;/&gt;&lt;wsp:rsid wsp:val=&quot;00845048&quot;/&gt;&lt;wsp:rsid wsp:val=&quot;008452FB&quot;/&gt;&lt;wsp:rsid wsp:val=&quot;008457C9&quot;/&gt;&lt;wsp:rsid wsp:val=&quot;00845898&quot;/&gt;&lt;wsp:rsid wsp:val=&quot;00845C8D&quot;/&gt;&lt;wsp:rsid wsp:val=&quot;00845F37&quot;/&gt;&lt;wsp:rsid wsp:val=&quot;0084642F&quot;/&gt;&lt;wsp:rsid wsp:val=&quot;00846458&quot;/&gt;&lt;wsp:rsid wsp:val=&quot;008465F4&quot;/&gt;&lt;wsp:rsid wsp:val=&quot;00846A80&quot;/&gt;&lt;wsp:rsid wsp:val=&quot;00847162&quot;/&gt;&lt;wsp:rsid wsp:val=&quot;008472BD&quot;/&gt;&lt;wsp:rsid wsp:val=&quot;008473E4&quot;/&gt;&lt;wsp:rsid wsp:val=&quot;008477EC&quot;/&gt;&lt;wsp:rsid wsp:val=&quot;008479D2&quot;/&gt;&lt;wsp:rsid wsp:val=&quot;00847D45&quot;/&gt;&lt;wsp:rsid wsp:val=&quot;00847DFB&quot;/&gt;&lt;wsp:rsid wsp:val=&quot;00847E31&quot;/&gt;&lt;wsp:rsid wsp:val=&quot;00850BAB&quot;/&gt;&lt;wsp:rsid wsp:val=&quot;00851693&quot;/&gt;&lt;wsp:rsid wsp:val=&quot;0085176F&quot;/&gt;&lt;wsp:rsid wsp:val=&quot;0085195C&quot;/&gt;&lt;wsp:rsid wsp:val=&quot;00851F11&quot;/&gt;&lt;wsp:rsid wsp:val=&quot;008521E1&quot;/&gt;&lt;wsp:rsid wsp:val=&quot;0085225F&quot;/&gt;&lt;wsp:rsid wsp:val=&quot;00852400&quot;/&gt;&lt;wsp:rsid wsp:val=&quot;00852D44&quot;/&gt;&lt;wsp:rsid wsp:val=&quot;008530EB&quot;/&gt;&lt;wsp:rsid wsp:val=&quot;0085337D&quot;/&gt;&lt;wsp:rsid wsp:val=&quot;008533E2&quot;/&gt;&lt;wsp:rsid wsp:val=&quot;0085363E&quot;/&gt;&lt;wsp:rsid wsp:val=&quot;00853EC8&quot;/&gt;&lt;wsp:rsid wsp:val=&quot;00853EDE&quot;/&gt;&lt;wsp:rsid wsp:val=&quot;0085402E&quot;/&gt;&lt;wsp:rsid wsp:val=&quot;008541BF&quot;/&gt;&lt;wsp:rsid wsp:val=&quot;008545D3&quot;/&gt;&lt;wsp:rsid wsp:val=&quot;00854628&quot;/&gt;&lt;wsp:rsid wsp:val=&quot;008547C4&quot;/&gt;&lt;wsp:rsid wsp:val=&quot;00854A4F&quot;/&gt;&lt;wsp:rsid wsp:val=&quot;00854D45&quot;/&gt;&lt;wsp:rsid wsp:val=&quot;00854F38&quot;/&gt;&lt;wsp:rsid wsp:val=&quot;00855083&quot;/&gt;&lt;wsp:rsid wsp:val=&quot;00855EDE&quot;/&gt;&lt;wsp:rsid wsp:val=&quot;00855F9C&quot;/&gt;&lt;wsp:rsid wsp:val=&quot;00856487&quot;/&gt;&lt;wsp:rsid wsp:val=&quot;0085684E&quot;/&gt;&lt;wsp:rsid wsp:val=&quot;00856EBC&quot;/&gt;&lt;wsp:rsid wsp:val=&quot;00857644&quot;/&gt;&lt;wsp:rsid wsp:val=&quot;00857B5D&quot;/&gt;&lt;wsp:rsid wsp:val=&quot;00857BD4&quot;/&gt;&lt;wsp:rsid wsp:val=&quot;00857C3A&quot;/&gt;&lt;wsp:rsid wsp:val=&quot;00857F77&quot;/&gt;&lt;wsp:rsid wsp:val=&quot;00860617&quot;/&gt;&lt;wsp:rsid wsp:val=&quot;008606ED&quot;/&gt;&lt;wsp:rsid wsp:val=&quot;0086099B&quot;/&gt;&lt;wsp:rsid wsp:val=&quot;00860CB8&quot;/&gt;&lt;wsp:rsid wsp:val=&quot;00860E78&quot;/&gt;&lt;wsp:rsid wsp:val=&quot;00860F42&quot;/&gt;&lt;wsp:rsid wsp:val=&quot;0086129F&quot;/&gt;&lt;wsp:rsid wsp:val=&quot;00861D60&quot;/&gt;&lt;wsp:rsid wsp:val=&quot;0086286D&quot;/&gt;&lt;wsp:rsid wsp:val=&quot;0086299E&quot;/&gt;&lt;wsp:rsid wsp:val=&quot;00862A79&quot;/&gt;&lt;wsp:rsid wsp:val=&quot;00862B26&quot;/&gt;&lt;wsp:rsid wsp:val=&quot;00862DF6&quot;/&gt;&lt;wsp:rsid wsp:val=&quot;0086306A&quot;/&gt;&lt;wsp:rsid wsp:val=&quot;0086392F&quot;/&gt;&lt;wsp:rsid wsp:val=&quot;00863A18&quot;/&gt;&lt;wsp:rsid wsp:val=&quot;00863A9C&quot;/&gt;&lt;wsp:rsid wsp:val=&quot;00863AAB&quot;/&gt;&lt;wsp:rsid wsp:val=&quot;00863B3E&quot;/&gt;&lt;wsp:rsid wsp:val=&quot;00863BCA&quot;/&gt;&lt;wsp:rsid wsp:val=&quot;00863C5D&quot;/&gt;&lt;wsp:rsid wsp:val=&quot;00864B9C&quot;/&gt;&lt;wsp:rsid wsp:val=&quot;00864DD5&quot;/&gt;&lt;wsp:rsid wsp:val=&quot;00864E60&quot;/&gt;&lt;wsp:rsid wsp:val=&quot;008651C2&quot;/&gt;&lt;wsp:rsid wsp:val=&quot;008656B8&quot;/&gt;&lt;wsp:rsid wsp:val=&quot;0086572F&quot;/&gt;&lt;wsp:rsid wsp:val=&quot;00865818&quot;/&gt;&lt;wsp:rsid wsp:val=&quot;0086582D&quot;/&gt;&lt;wsp:rsid wsp:val=&quot;00865D23&quot;/&gt;&lt;wsp:rsid wsp:val=&quot;00866052&quot;/&gt;&lt;wsp:rsid wsp:val=&quot;00866268&quot;/&gt;&lt;wsp:rsid wsp:val=&quot;008668B7&quot;/&gt;&lt;wsp:rsid wsp:val=&quot;00866EEA&quot;/&gt;&lt;wsp:rsid wsp:val=&quot;0086727A&quot;/&gt;&lt;wsp:rsid wsp:val=&quot;00867798&quot;/&gt;&lt;wsp:rsid wsp:val=&quot;008677CD&quot;/&gt;&lt;wsp:rsid wsp:val=&quot;00867A65&quot;/&gt;&lt;wsp:rsid wsp:val=&quot;00867C5A&quot;/&gt;&lt;wsp:rsid wsp:val=&quot;00867CB4&quot;/&gt;&lt;wsp:rsid wsp:val=&quot;00867CC3&quot;/&gt;&lt;wsp:rsid wsp:val=&quot;00867D03&quot;/&gt;&lt;wsp:rsid wsp:val=&quot;00867D35&quot;/&gt;&lt;wsp:rsid wsp:val=&quot;0087007F&quot;/&gt;&lt;wsp:rsid wsp:val=&quot;0087015A&quot;/&gt;&lt;wsp:rsid wsp:val=&quot;00870441&quot;/&gt;&lt;wsp:rsid wsp:val=&quot;008705CF&quot;/&gt;&lt;wsp:rsid wsp:val=&quot;00870F38&quot;/&gt;&lt;wsp:rsid wsp:val=&quot;00871074&quot;/&gt;&lt;wsp:rsid wsp:val=&quot;00871C8C&quot;/&gt;&lt;wsp:rsid wsp:val=&quot;008720CB&quot;/&gt;&lt;wsp:rsid wsp:val=&quot;008726A9&quot;/&gt;&lt;wsp:rsid wsp:val=&quot;00872787&quot;/&gt;&lt;wsp:rsid wsp:val=&quot;008729D0&quot;/&gt;&lt;wsp:rsid wsp:val=&quot;00872C40&quot;/&gt;&lt;wsp:rsid wsp:val=&quot;00872D7F&quot;/&gt;&lt;wsp:rsid wsp:val=&quot;00872DB3&quot;/&gt;&lt;wsp:rsid wsp:val=&quot;008736C3&quot;/&gt;&lt;wsp:rsid wsp:val=&quot;0087390D&quot;/&gt;&lt;wsp:rsid wsp:val=&quot;00873CBA&quot;/&gt;&lt;wsp:rsid wsp:val=&quot;00874008&quot;/&gt;&lt;wsp:rsid wsp:val=&quot;008740A4&quot;/&gt;&lt;wsp:rsid wsp:val=&quot;00874188&quot;/&gt;&lt;wsp:rsid wsp:val=&quot;0087486B&quot;/&gt;&lt;wsp:rsid wsp:val=&quot;00875314&quot;/&gt;&lt;wsp:rsid wsp:val=&quot;0087532C&quot;/&gt;&lt;wsp:rsid wsp:val=&quot;00875357&quot;/&gt;&lt;wsp:rsid wsp:val=&quot;00875535&quot;/&gt;&lt;wsp:rsid wsp:val=&quot;00875647&quot;/&gt;&lt;wsp:rsid wsp:val=&quot;00875C02&quot;/&gt;&lt;wsp:rsid wsp:val=&quot;00875C95&quot;/&gt;&lt;wsp:rsid wsp:val=&quot;0087627E&quot;/&gt;&lt;wsp:rsid wsp:val=&quot;00876323&quot;/&gt;&lt;wsp:rsid wsp:val=&quot;00876E08&quot;/&gt;&lt;wsp:rsid wsp:val=&quot;008771C4&quot;/&gt;&lt;wsp:rsid wsp:val=&quot;008771E1&quot;/&gt;&lt;wsp:rsid wsp:val=&quot;008772EF&quot;/&gt;&lt;wsp:rsid wsp:val=&quot;00877482&quot;/&gt;&lt;wsp:rsid wsp:val=&quot;0087793A&quot;/&gt;&lt;wsp:rsid wsp:val=&quot;00877A42&quot;/&gt;&lt;wsp:rsid wsp:val=&quot;00877CCA&quot;/&gt;&lt;wsp:rsid wsp:val=&quot;00877E26&quot;/&gt;&lt;wsp:rsid wsp:val=&quot;00877F97&quot;/&gt;&lt;wsp:rsid wsp:val=&quot;00880187&quot;/&gt;&lt;wsp:rsid wsp:val=&quot;008807B2&quot;/&gt;&lt;wsp:rsid wsp:val=&quot;00880B0F&quot;/&gt;&lt;wsp:rsid wsp:val=&quot;00880B38&quot;/&gt;&lt;wsp:rsid wsp:val=&quot;008810ED&quot;/&gt;&lt;wsp:rsid wsp:val=&quot;0088155F&quot;/&gt;&lt;wsp:rsid wsp:val=&quot;00881959&quot;/&gt;&lt;wsp:rsid wsp:val=&quot;00881ABE&quot;/&gt;&lt;wsp:rsid wsp:val=&quot;00881C47&quot;/&gt;&lt;wsp:rsid wsp:val=&quot;00881FA6&quot;/&gt;&lt;wsp:rsid wsp:val=&quot;00881FC5&quot;/&gt;&lt;wsp:rsid wsp:val=&quot;008827B5&quot;/&gt;&lt;wsp:rsid wsp:val=&quot;00882E0E&quot;/&gt;&lt;wsp:rsid wsp:val=&quot;00883479&quot;/&gt;&lt;wsp:rsid wsp:val=&quot;00883601&quot;/&gt;&lt;wsp:rsid wsp:val=&quot;00884438&quot;/&gt;&lt;wsp:rsid wsp:val=&quot;008845D2&quot;/&gt;&lt;wsp:rsid wsp:val=&quot;00884689&quot;/&gt;&lt;wsp:rsid wsp:val=&quot;00884986&quot;/&gt;&lt;wsp:rsid wsp:val=&quot;00884E3A&quot;/&gt;&lt;wsp:rsid wsp:val=&quot;00884F66&quot;/&gt;&lt;wsp:rsid wsp:val=&quot;00885945&quot;/&gt;&lt;wsp:rsid wsp:val=&quot;00886031&quot;/&gt;&lt;wsp:rsid wsp:val=&quot;00886287&quot;/&gt;&lt;wsp:rsid wsp:val=&quot;008865EF&quot;/&gt;&lt;wsp:rsid wsp:val=&quot;00886926&quot;/&gt;&lt;wsp:rsid wsp:val=&quot;008869CD&quot;/&gt;&lt;wsp:rsid wsp:val=&quot;00886C82&quot;/&gt;&lt;wsp:rsid wsp:val=&quot;00886CA9&quot;/&gt;&lt;wsp:rsid wsp:val=&quot;00886F3F&quot;/&gt;&lt;wsp:rsid wsp:val=&quot;00887159&quot;/&gt;&lt;wsp:rsid wsp:val=&quot;008871E3&quot;/&gt;&lt;wsp:rsid wsp:val=&quot;0088732A&quot;/&gt;&lt;wsp:rsid wsp:val=&quot;008876C3&quot;/&gt;&lt;wsp:rsid wsp:val=&quot;0088771E&quot;/&gt;&lt;wsp:rsid wsp:val=&quot;00887E0A&quot;/&gt;&lt;wsp:rsid wsp:val=&quot;00887F79&quot;/&gt;&lt;wsp:rsid wsp:val=&quot;00890178&quot;/&gt;&lt;wsp:rsid wsp:val=&quot;0089018B&quot;/&gt;&lt;wsp:rsid wsp:val=&quot;008908F5&quot;/&gt;&lt;wsp:rsid wsp:val=&quot;00890907&quot;/&gt;&lt;wsp:rsid wsp:val=&quot;00890DFA&quot;/&gt;&lt;wsp:rsid wsp:val=&quot;00890F78&quot;/&gt;&lt;wsp:rsid wsp:val=&quot;0089120C&quot;/&gt;&lt;wsp:rsid wsp:val=&quot;008912E6&quot;/&gt;&lt;wsp:rsid wsp:val=&quot;0089138D&quot;/&gt;&lt;wsp:rsid wsp:val=&quot;00891863&quot;/&gt;&lt;wsp:rsid wsp:val=&quot;00891FAF&quot;/&gt;&lt;wsp:rsid wsp:val=&quot;008925B1&quot;/&gt;&lt;wsp:rsid wsp:val=&quot;0089275F&quot;/&gt;&lt;wsp:rsid wsp:val=&quot;00892A3B&quot;/&gt;&lt;wsp:rsid wsp:val=&quot;00892CA5&quot;/&gt;&lt;wsp:rsid wsp:val=&quot;00892E00&quot;/&gt;&lt;wsp:rsid wsp:val=&quot;00892E48&quot;/&gt;&lt;wsp:rsid wsp:val=&quot;00892E84&quot;/&gt;&lt;wsp:rsid wsp:val=&quot;0089333C&quot;/&gt;&lt;wsp:rsid wsp:val=&quot;00893479&quot;/&gt;&lt;wsp:rsid wsp:val=&quot;00893902&quot;/&gt;&lt;wsp:rsid wsp:val=&quot;00893A12&quot;/&gt;&lt;wsp:rsid wsp:val=&quot;00894712&quot;/&gt;&lt;wsp:rsid wsp:val=&quot;00894888&quot;/&gt;&lt;wsp:rsid wsp:val=&quot;008949DC&quot;/&gt;&lt;wsp:rsid wsp:val=&quot;00894D38&quot;/&gt;&lt;wsp:rsid wsp:val=&quot;00894EB0&quot;/&gt;&lt;wsp:rsid wsp:val=&quot;008950DA&quot;/&gt;&lt;wsp:rsid wsp:val=&quot;00895431&quot;/&gt;&lt;wsp:rsid wsp:val=&quot;00896177&quot;/&gt;&lt;wsp:rsid wsp:val=&quot;0089699E&quot;/&gt;&lt;wsp:rsid wsp:val=&quot;00896A7F&quot;/&gt;&lt;wsp:rsid wsp:val=&quot;00897169&quot;/&gt;&lt;wsp:rsid wsp:val=&quot;00897285&quot;/&gt;&lt;wsp:rsid wsp:val=&quot;00897399&quot;/&gt;&lt;wsp:rsid wsp:val=&quot;00897681&quot;/&gt;&lt;wsp:rsid wsp:val=&quot;0089779C&quot;/&gt;&lt;wsp:rsid wsp:val=&quot;00897D80&quot;/&gt;&lt;wsp:rsid wsp:val=&quot;00897DD2&quot;/&gt;&lt;wsp:rsid wsp:val=&quot;008A0385&quot;/&gt;&lt;wsp:rsid wsp:val=&quot;008A0DCD&quot;/&gt;&lt;wsp:rsid wsp:val=&quot;008A0EDE&quot;/&gt;&lt;wsp:rsid wsp:val=&quot;008A0EE8&quot;/&gt;&lt;wsp:rsid wsp:val=&quot;008A1306&quot;/&gt;&lt;wsp:rsid wsp:val=&quot;008A14C4&quot;/&gt;&lt;wsp:rsid wsp:val=&quot;008A20A1&quot;/&gt;&lt;wsp:rsid wsp:val=&quot;008A241C&quot;/&gt;&lt;wsp:rsid wsp:val=&quot;008A247F&quot;/&gt;&lt;wsp:rsid wsp:val=&quot;008A25DF&quot;/&gt;&lt;wsp:rsid wsp:val=&quot;008A2A7F&quot;/&gt;&lt;wsp:rsid wsp:val=&quot;008A2BC2&quot;/&gt;&lt;wsp:rsid wsp:val=&quot;008A2EED&quot;/&gt;&lt;wsp:rsid wsp:val=&quot;008A3B93&quot;/&gt;&lt;wsp:rsid wsp:val=&quot;008A3C64&quot;/&gt;&lt;wsp:rsid wsp:val=&quot;008A3D0B&quot;/&gt;&lt;wsp:rsid wsp:val=&quot;008A3EBD&quot;/&gt;&lt;wsp:rsid wsp:val=&quot;008A3FE9&quot;/&gt;&lt;wsp:rsid wsp:val=&quot;008A4144&quot;/&gt;&lt;wsp:rsid wsp:val=&quot;008A4E20&quot;/&gt;&lt;wsp:rsid wsp:val=&quot;008A4EA3&quot;/&gt;&lt;wsp:rsid wsp:val=&quot;008A5893&quot;/&gt;&lt;wsp:rsid wsp:val=&quot;008A5F7B&quot;/&gt;&lt;wsp:rsid wsp:val=&quot;008A6419&quot;/&gt;&lt;wsp:rsid wsp:val=&quot;008A6E62&quot;/&gt;&lt;wsp:rsid wsp:val=&quot;008A7024&quot;/&gt;&lt;wsp:rsid wsp:val=&quot;008A760B&quot;/&gt;&lt;wsp:rsid wsp:val=&quot;008A7E5B&quot;/&gt;&lt;wsp:rsid wsp:val=&quot;008A7F16&quot;/&gt;&lt;wsp:rsid wsp:val=&quot;008A7FF1&quot;/&gt;&lt;wsp:rsid wsp:val=&quot;008B03B8&quot;/&gt;&lt;wsp:rsid wsp:val=&quot;008B0AEA&quot;/&gt;&lt;wsp:rsid wsp:val=&quot;008B0CE3&quot;/&gt;&lt;wsp:rsid wsp:val=&quot;008B0CFB&quot;/&gt;&lt;wsp:rsid wsp:val=&quot;008B0D74&quot;/&gt;&lt;wsp:rsid wsp:val=&quot;008B1657&quot;/&gt;&lt;wsp:rsid wsp:val=&quot;008B167F&quot;/&gt;&lt;wsp:rsid wsp:val=&quot;008B1B1E&quot;/&gt;&lt;wsp:rsid wsp:val=&quot;008B1C53&quot;/&gt;&lt;wsp:rsid wsp:val=&quot;008B1EDF&quot;/&gt;&lt;wsp:rsid wsp:val=&quot;008B21D4&quot;/&gt;&lt;wsp:rsid wsp:val=&quot;008B22BA&quot;/&gt;&lt;wsp:rsid wsp:val=&quot;008B2A6C&quot;/&gt;&lt;wsp:rsid wsp:val=&quot;008B2C88&quot;/&gt;&lt;wsp:rsid wsp:val=&quot;008B317E&quot;/&gt;&lt;wsp:rsid wsp:val=&quot;008B3BFC&quot;/&gt;&lt;wsp:rsid wsp:val=&quot;008B417A&quot;/&gt;&lt;wsp:rsid wsp:val=&quot;008B47DF&quot;/&gt;&lt;wsp:rsid wsp:val=&quot;008B4ACB&quot;/&gt;&lt;wsp:rsid wsp:val=&quot;008B4BD6&quot;/&gt;&lt;wsp:rsid wsp:val=&quot;008B4C4F&quot;/&gt;&lt;wsp:rsid wsp:val=&quot;008B4CD5&quot;/&gt;&lt;wsp:rsid wsp:val=&quot;008B4D67&quot;/&gt;&lt;wsp:rsid wsp:val=&quot;008B513C&quot;/&gt;&lt;wsp:rsid wsp:val=&quot;008B515C&quot;/&gt;&lt;wsp:rsid wsp:val=&quot;008B544C&quot;/&gt;&lt;wsp:rsid wsp:val=&quot;008B5962&quot;/&gt;&lt;wsp:rsid wsp:val=&quot;008B62D2&quot;/&gt;&lt;wsp:rsid wsp:val=&quot;008B6326&quot;/&gt;&lt;wsp:rsid wsp:val=&quot;008B6513&quot;/&gt;&lt;wsp:rsid wsp:val=&quot;008B6CC7&quot;/&gt;&lt;wsp:rsid wsp:val=&quot;008B7083&quot;/&gt;&lt;wsp:rsid wsp:val=&quot;008B79F6&quot;/&gt;&lt;wsp:rsid wsp:val=&quot;008B7BA6&quot;/&gt;&lt;wsp:rsid wsp:val=&quot;008B7BDD&quot;/&gt;&lt;wsp:rsid wsp:val=&quot;008C004F&quot;/&gt;&lt;wsp:rsid wsp:val=&quot;008C00FA&quot;/&gt;&lt;wsp:rsid wsp:val=&quot;008C031E&quot;/&gt;&lt;wsp:rsid wsp:val=&quot;008C0496&quot;/&gt;&lt;wsp:rsid wsp:val=&quot;008C0725&quot;/&gt;&lt;wsp:rsid wsp:val=&quot;008C09C3&quot;/&gt;&lt;wsp:rsid wsp:val=&quot;008C0A2C&quot;/&gt;&lt;wsp:rsid wsp:val=&quot;008C0CD1&quot;/&gt;&lt;wsp:rsid wsp:val=&quot;008C0FCD&quot;/&gt;&lt;wsp:rsid wsp:val=&quot;008C141C&quot;/&gt;&lt;wsp:rsid wsp:val=&quot;008C178B&quot;/&gt;&lt;wsp:rsid wsp:val=&quot;008C1CEF&quot;/&gt;&lt;wsp:rsid wsp:val=&quot;008C1FB8&quot;/&gt;&lt;wsp:rsid wsp:val=&quot;008C2188&quot;/&gt;&lt;wsp:rsid wsp:val=&quot;008C28FC&quot;/&gt;&lt;wsp:rsid wsp:val=&quot;008C2B53&quot;/&gt;&lt;wsp:rsid wsp:val=&quot;008C2C5D&quot;/&gt;&lt;wsp:rsid wsp:val=&quot;008C2DF1&quot;/&gt;&lt;wsp:rsid wsp:val=&quot;008C2E09&quot;/&gt;&lt;wsp:rsid wsp:val=&quot;008C2E73&quot;/&gt;&lt;wsp:rsid wsp:val=&quot;008C2F26&quot;/&gt;&lt;wsp:rsid wsp:val=&quot;008C304E&quot;/&gt;&lt;wsp:rsid wsp:val=&quot;008C3341&quot;/&gt;&lt;wsp:rsid wsp:val=&quot;008C3B27&quot;/&gt;&lt;wsp:rsid wsp:val=&quot;008C40F4&quot;/&gt;&lt;wsp:rsid wsp:val=&quot;008C4236&quot;/&gt;&lt;wsp:rsid wsp:val=&quot;008C440D&quot;/&gt;&lt;wsp:rsid wsp:val=&quot;008C45EB&quot;/&gt;&lt;wsp:rsid wsp:val=&quot;008C4AA7&quot;/&gt;&lt;wsp:rsid wsp:val=&quot;008C5370&quot;/&gt;&lt;wsp:rsid wsp:val=&quot;008C53E6&quot;/&gt;&lt;wsp:rsid wsp:val=&quot;008C61E8&quot;/&gt;&lt;wsp:rsid wsp:val=&quot;008C65D8&quot;/&gt;&lt;wsp:rsid wsp:val=&quot;008C6723&quot;/&gt;&lt;wsp:rsid wsp:val=&quot;008C69F0&quot;/&gt;&lt;wsp:rsid wsp:val=&quot;008C6F58&quot;/&gt;&lt;wsp:rsid wsp:val=&quot;008C71C6&quot;/&gt;&lt;wsp:rsid wsp:val=&quot;008C7236&quot;/&gt;&lt;wsp:rsid wsp:val=&quot;008C7457&quot;/&gt;&lt;wsp:rsid wsp:val=&quot;008C765C&quot;/&gt;&lt;wsp:rsid wsp:val=&quot;008C7731&quot;/&gt;&lt;wsp:rsid wsp:val=&quot;008C77E4&quot;/&gt;&lt;wsp:rsid wsp:val=&quot;008C7A0B&quot;/&gt;&lt;wsp:rsid wsp:val=&quot;008C7A60&quot;/&gt;&lt;wsp:rsid wsp:val=&quot;008C7B67&quot;/&gt;&lt;wsp:rsid wsp:val=&quot;008C7F15&quot;/&gt;&lt;wsp:rsid wsp:val=&quot;008D09DE&quot;/&gt;&lt;wsp:rsid wsp:val=&quot;008D0F15&quot;/&gt;&lt;wsp:rsid wsp:val=&quot;008D1621&quot;/&gt;&lt;wsp:rsid wsp:val=&quot;008D172B&quot;/&gt;&lt;wsp:rsid wsp:val=&quot;008D1BA5&quot;/&gt;&lt;wsp:rsid wsp:val=&quot;008D2C98&quot;/&gt;&lt;wsp:rsid wsp:val=&quot;008D3458&quot;/&gt;&lt;wsp:rsid wsp:val=&quot;008D345E&quot;/&gt;&lt;wsp:rsid wsp:val=&quot;008D3466&quot;/&gt;&lt;wsp:rsid wsp:val=&quot;008D3B15&quot;/&gt;&lt;wsp:rsid wsp:val=&quot;008D3B7B&quot;/&gt;&lt;wsp:rsid wsp:val=&quot;008D3C87&quot;/&gt;&lt;wsp:rsid wsp:val=&quot;008D4662&quot;/&gt;&lt;wsp:rsid wsp:val=&quot;008D46B1&quot;/&gt;&lt;wsp:rsid wsp:val=&quot;008D5085&quot;/&gt;&lt;wsp:rsid wsp:val=&quot;008D514A&quot;/&gt;&lt;wsp:rsid wsp:val=&quot;008D55C8&quot;/&gt;&lt;wsp:rsid wsp:val=&quot;008D621C&quot;/&gt;&lt;wsp:rsid wsp:val=&quot;008D656C&quot;/&gt;&lt;wsp:rsid wsp:val=&quot;008D6AB6&quot;/&gt;&lt;wsp:rsid wsp:val=&quot;008D6AEA&quot;/&gt;&lt;wsp:rsid wsp:val=&quot;008D6F9D&quot;/&gt;&lt;wsp:rsid wsp:val=&quot;008D72C8&quot;/&gt;&lt;wsp:rsid wsp:val=&quot;008D770F&quot;/&gt;&lt;wsp:rsid wsp:val=&quot;008D7967&quot;/&gt;&lt;wsp:rsid wsp:val=&quot;008D7A0C&quot;/&gt;&lt;wsp:rsid wsp:val=&quot;008D7B18&quot;/&gt;&lt;wsp:rsid wsp:val=&quot;008E0261&quot;/&gt;&lt;wsp:rsid wsp:val=&quot;008E050A&quot;/&gt;&lt;wsp:rsid wsp:val=&quot;008E06ED&quot;/&gt;&lt;wsp:rsid wsp:val=&quot;008E093D&quot;/&gt;&lt;wsp:rsid wsp:val=&quot;008E14EB&quot;/&gt;&lt;wsp:rsid wsp:val=&quot;008E15B8&quot;/&gt;&lt;wsp:rsid wsp:val=&quot;008E1948&quot;/&gt;&lt;wsp:rsid wsp:val=&quot;008E1BEC&quot;/&gt;&lt;wsp:rsid wsp:val=&quot;008E1CB1&quot;/&gt;&lt;wsp:rsid wsp:val=&quot;008E1F08&quot;/&gt;&lt;wsp:rsid wsp:val=&quot;008E2320&quot;/&gt;&lt;wsp:rsid wsp:val=&quot;008E240F&quot;/&gt;&lt;wsp:rsid wsp:val=&quot;008E2575&quot;/&gt;&lt;wsp:rsid wsp:val=&quot;008E2A9B&quot;/&gt;&lt;wsp:rsid wsp:val=&quot;008E2BD1&quot;/&gt;&lt;wsp:rsid wsp:val=&quot;008E3342&quot;/&gt;&lt;wsp:rsid wsp:val=&quot;008E3398&quot;/&gt;&lt;wsp:rsid wsp:val=&quot;008E39F4&quot;/&gt;&lt;wsp:rsid wsp:val=&quot;008E3B1C&quot;/&gt;&lt;wsp:rsid wsp:val=&quot;008E3EB2&quot;/&gt;&lt;wsp:rsid wsp:val=&quot;008E4C43&quot;/&gt;&lt;wsp:rsid wsp:val=&quot;008E52F2&quot;/&gt;&lt;wsp:rsid wsp:val=&quot;008E539B&quot;/&gt;&lt;wsp:rsid wsp:val=&quot;008E5769&quot;/&gt;&lt;wsp:rsid wsp:val=&quot;008E58ED&quot;/&gt;&lt;wsp:rsid wsp:val=&quot;008E5B55&quot;/&gt;&lt;wsp:rsid wsp:val=&quot;008E5BD6&quot;/&gt;&lt;wsp:rsid wsp:val=&quot;008E5F0C&quot;/&gt;&lt;wsp:rsid wsp:val=&quot;008E6158&quot;/&gt;&lt;wsp:rsid wsp:val=&quot;008E62F9&quot;/&gt;&lt;wsp:rsid wsp:val=&quot;008E6605&quot;/&gt;&lt;wsp:rsid wsp:val=&quot;008E673A&quot;/&gt;&lt;wsp:rsid wsp:val=&quot;008E67E1&quot;/&gt;&lt;wsp:rsid wsp:val=&quot;008E6921&quot;/&gt;&lt;wsp:rsid wsp:val=&quot;008E6AEC&quot;/&gt;&lt;wsp:rsid wsp:val=&quot;008E6BFD&quot;/&gt;&lt;wsp:rsid wsp:val=&quot;008E6CBC&quot;/&gt;&lt;wsp:rsid wsp:val=&quot;008E6F19&quot;/&gt;&lt;wsp:rsid wsp:val=&quot;008E79A0&quot;/&gt;&lt;wsp:rsid wsp:val=&quot;008E7DAA&quot;/&gt;&lt;wsp:rsid wsp:val=&quot;008F0505&quot;/&gt;&lt;wsp:rsid wsp:val=&quot;008F0771&quot;/&gt;&lt;wsp:rsid wsp:val=&quot;008F0966&quot;/&gt;&lt;wsp:rsid wsp:val=&quot;008F0E42&quot;/&gt;&lt;wsp:rsid wsp:val=&quot;008F0E74&quot;/&gt;&lt;wsp:rsid wsp:val=&quot;008F1131&quot;/&gt;&lt;wsp:rsid wsp:val=&quot;008F195C&quot;/&gt;&lt;wsp:rsid wsp:val=&quot;008F1A00&quot;/&gt;&lt;wsp:rsid wsp:val=&quot;008F1AD7&quot;/&gt;&lt;wsp:rsid wsp:val=&quot;008F22D5&quot;/&gt;&lt;wsp:rsid wsp:val=&quot;008F23C5&quot;/&gt;&lt;wsp:rsid wsp:val=&quot;008F26C8&quot;/&gt;&lt;wsp:rsid wsp:val=&quot;008F29EB&quot;/&gt;&lt;wsp:rsid wsp:val=&quot;008F2DDD&quot;/&gt;&lt;wsp:rsid wsp:val=&quot;008F30D9&quot;/&gt;&lt;wsp:rsid wsp:val=&quot;008F359F&quot;/&gt;&lt;wsp:rsid wsp:val=&quot;008F37EC&quot;/&gt;&lt;wsp:rsid wsp:val=&quot;008F3CF8&quot;/&gt;&lt;wsp:rsid wsp:val=&quot;008F3D5C&quot;/&gt;&lt;wsp:rsid wsp:val=&quot;008F3F23&quot;/&gt;&lt;wsp:rsid wsp:val=&quot;008F3F37&quot;/&gt;&lt;wsp:rsid wsp:val=&quot;008F46EB&quot;/&gt;&lt;wsp:rsid wsp:val=&quot;008F4BD8&quot;/&gt;&lt;wsp:rsid wsp:val=&quot;008F4D67&quot;/&gt;&lt;wsp:rsid wsp:val=&quot;008F4E9C&quot;/&gt;&lt;wsp:rsid wsp:val=&quot;008F514D&quot;/&gt;&lt;wsp:rsid wsp:val=&quot;008F546D&quot;/&gt;&lt;wsp:rsid wsp:val=&quot;008F5489&quot;/&gt;&lt;wsp:rsid wsp:val=&quot;008F5BE4&quot;/&gt;&lt;wsp:rsid wsp:val=&quot;008F5C1E&quot;/&gt;&lt;wsp:rsid wsp:val=&quot;008F5C8A&quot;/&gt;&lt;wsp:rsid wsp:val=&quot;008F601F&quot;/&gt;&lt;wsp:rsid wsp:val=&quot;008F6099&quot;/&gt;&lt;wsp:rsid wsp:val=&quot;008F618B&quot;/&gt;&lt;wsp:rsid wsp:val=&quot;008F667B&quot;/&gt;&lt;wsp:rsid wsp:val=&quot;008F6C87&quot;/&gt;&lt;wsp:rsid wsp:val=&quot;008F70CD&quot;/&gt;&lt;wsp:rsid wsp:val=&quot;008F7C27&quot;/&gt;&lt;wsp:rsid wsp:val=&quot;00900513&quot;/&gt;&lt;wsp:rsid wsp:val=&quot;00900E61&quot;/&gt;&lt;wsp:rsid wsp:val=&quot;0090117A&quot;/&gt;&lt;wsp:rsid wsp:val=&quot;0090154D&quot;/&gt;&lt;wsp:rsid wsp:val=&quot;00901580&quot;/&gt;&lt;wsp:rsid wsp:val=&quot;0090189D&quot;/&gt;&lt;wsp:rsid wsp:val=&quot;0090293D&quot;/&gt;&lt;wsp:rsid wsp:val=&quot;00902AC5&quot;/&gt;&lt;wsp:rsid wsp:val=&quot;00902C25&quot;/&gt;&lt;wsp:rsid wsp:val=&quot;0090300A&quot;/&gt;&lt;wsp:rsid wsp:val=&quot;00903216&quot;/&gt;&lt;wsp:rsid wsp:val=&quot;00903272&quot;/&gt;&lt;wsp:rsid wsp:val=&quot;00903532&quot;/&gt;&lt;wsp:rsid wsp:val=&quot;00903794&quot;/&gt;&lt;wsp:rsid wsp:val=&quot;00904FBC&quot;/&gt;&lt;wsp:rsid wsp:val=&quot;009055EB&quot;/&gt;&lt;wsp:rsid wsp:val=&quot;00905B69&quot;/&gt;&lt;wsp:rsid wsp:val=&quot;009060A8&quot;/&gt;&lt;wsp:rsid wsp:val=&quot;00906853&quot;/&gt;&lt;wsp:rsid wsp:val=&quot;00906856&quot;/&gt;&lt;wsp:rsid wsp:val=&quot;00906864&quot;/&gt;&lt;wsp:rsid wsp:val=&quot;00906A15&quot;/&gt;&lt;wsp:rsid wsp:val=&quot;00906ABF&quot;/&gt;&lt;wsp:rsid wsp:val=&quot;00906C11&quot;/&gt;&lt;wsp:rsid wsp:val=&quot;009071AE&quot;/&gt;&lt;wsp:rsid wsp:val=&quot;0090749D&quot;/&gt;&lt;wsp:rsid wsp:val=&quot;00907596&quot;/&gt;&lt;wsp:rsid wsp:val=&quot;0090764B&quot;/&gt;&lt;wsp:rsid wsp:val=&quot;009076CB&quot;/&gt;&lt;wsp:rsid wsp:val=&quot;009078AF&quot;/&gt;&lt;wsp:rsid wsp:val=&quot;00907EB1&quot;/&gt;&lt;wsp:rsid wsp:val=&quot;00907EEC&quot;/&gt;&lt;wsp:rsid wsp:val=&quot;009102C4&quot;/&gt;&lt;wsp:rsid wsp:val=&quot;00910BA2&quot;/&gt;&lt;wsp:rsid wsp:val=&quot;00910D04&quot;/&gt;&lt;wsp:rsid wsp:val=&quot;00910F7B&quot;/&gt;&lt;wsp:rsid wsp:val=&quot;009115C8&quot;/&gt;&lt;wsp:rsid wsp:val=&quot;00911733&quot;/&gt;&lt;wsp:rsid wsp:val=&quot;0091179B&quot;/&gt;&lt;wsp:rsid wsp:val=&quot;0091257C&quot;/&gt;&lt;wsp:rsid wsp:val=&quot;0091271F&quot;/&gt;&lt;wsp:rsid wsp:val=&quot;00912CE0&quot;/&gt;&lt;wsp:rsid wsp:val=&quot;00912DD2&quot;/&gt;&lt;wsp:rsid wsp:val=&quot;00912F07&quot;/&gt;&lt;wsp:rsid wsp:val=&quot;00912F87&quot;/&gt;&lt;wsp:rsid wsp:val=&quot;009132AA&quot;/&gt;&lt;wsp:rsid wsp:val=&quot;009135E5&quot;/&gt;&lt;wsp:rsid wsp:val=&quot;00913717&quot;/&gt;&lt;wsp:rsid wsp:val=&quot;00913790&quot;/&gt;&lt;wsp:rsid wsp:val=&quot;00913C7F&quot;/&gt;&lt;wsp:rsid wsp:val=&quot;00913D47&quot;/&gt;&lt;wsp:rsid wsp:val=&quot;00913E9D&quot;/&gt;&lt;wsp:rsid wsp:val=&quot;009143DF&quot;/&gt;&lt;wsp:rsid wsp:val=&quot;00914437&quot;/&gt;&lt;wsp:rsid wsp:val=&quot;009147CE&quot;/&gt;&lt;wsp:rsid wsp:val=&quot;00914AB9&quot;/&gt;&lt;wsp:rsid wsp:val=&quot;00914F69&quot;/&gt;&lt;wsp:rsid wsp:val=&quot;009157B4&quot;/&gt;&lt;wsp:rsid wsp:val=&quot;0091624C&quot;/&gt;&lt;wsp:rsid wsp:val=&quot;00916658&quot;/&gt;&lt;wsp:rsid wsp:val=&quot;00916E5A&quot;/&gt;&lt;wsp:rsid wsp:val=&quot;00917177&quot;/&gt;&lt;wsp:rsid wsp:val=&quot;009175C8&quot;/&gt;&lt;wsp:rsid wsp:val=&quot;00917B3B&quot;/&gt;&lt;wsp:rsid wsp:val=&quot;0092006C&quot;/&gt;&lt;wsp:rsid wsp:val=&quot;00920473&quot;/&gt;&lt;wsp:rsid wsp:val=&quot;0092088B&quot;/&gt;&lt;wsp:rsid wsp:val=&quot;00920AD2&quot;/&gt;&lt;wsp:rsid wsp:val=&quot;00920FA4&quot;/&gt;&lt;wsp:rsid wsp:val=&quot;0092109F&quot;/&gt;&lt;wsp:rsid wsp:val=&quot;00921510&quot;/&gt;&lt;wsp:rsid wsp:val=&quot;0092193B&quot;/&gt;&lt;wsp:rsid wsp:val=&quot;009219D3&quot;/&gt;&lt;wsp:rsid wsp:val=&quot;00921D32&quot;/&gt;&lt;wsp:rsid wsp:val=&quot;0092209F&quot;/&gt;&lt;wsp:rsid wsp:val=&quot;00922279&quot;/&gt;&lt;wsp:rsid wsp:val=&quot;00922548&quot;/&gt;&lt;wsp:rsid wsp:val=&quot;0092254B&quot;/&gt;&lt;wsp:rsid wsp:val=&quot;00922B18&quot;/&gt;&lt;wsp:rsid wsp:val=&quot;00923118&quot;/&gt;&lt;wsp:rsid wsp:val=&quot;009236E3&quot;/&gt;&lt;wsp:rsid wsp:val=&quot;00923A43&quot;/&gt;&lt;wsp:rsid wsp:val=&quot;00923AE0&quot;/&gt;&lt;wsp:rsid wsp:val=&quot;00923BC3&quot;/&gt;&lt;wsp:rsid wsp:val=&quot;00923E43&quot;/&gt;&lt;wsp:rsid wsp:val=&quot;00923F54&quot;/&gt;&lt;wsp:rsid wsp:val=&quot;00924E02&quot;/&gt;&lt;wsp:rsid wsp:val=&quot;00924E30&quot;/&gt;&lt;wsp:rsid wsp:val=&quot;009251D0&quot;/&gt;&lt;wsp:rsid wsp:val=&quot;00925774&quot;/&gt;&lt;wsp:rsid wsp:val=&quot;00925821&quot;/&gt;&lt;wsp:rsid wsp:val=&quot;00925FF3&quot;/&gt;&lt;wsp:rsid wsp:val=&quot;00926802&quot;/&gt;&lt;wsp:rsid wsp:val=&quot;009269F5&quot;/&gt;&lt;wsp:rsid wsp:val=&quot;00927BAA&quot;/&gt;&lt;wsp:rsid wsp:val=&quot;00927CCF&quot;/&gt;&lt;wsp:rsid wsp:val=&quot;00927DB4&quot;/&gt;&lt;wsp:rsid wsp:val=&quot;00927F77&quot;/&gt;&lt;wsp:rsid wsp:val=&quot;00927FEB&quot;/&gt;&lt;wsp:rsid wsp:val=&quot;009304F1&quot;/&gt;&lt;wsp:rsid wsp:val=&quot;00930641&quot;/&gt;&lt;wsp:rsid wsp:val=&quot;0093088D&quot;/&gt;&lt;wsp:rsid wsp:val=&quot;00930C11&quot;/&gt;&lt;wsp:rsid wsp:val=&quot;00930D0B&quot;/&gt;&lt;wsp:rsid wsp:val=&quot;00930DD3&quot;/&gt;&lt;wsp:rsid wsp:val=&quot;009313EC&quot;/&gt;&lt;wsp:rsid wsp:val=&quot;00931554&quot;/&gt;&lt;wsp:rsid wsp:val=&quot;00931B48&quot;/&gt;&lt;wsp:rsid wsp:val=&quot;00931CE2&quot;/&gt;&lt;wsp:rsid wsp:val=&quot;0093200C&quot;/&gt;&lt;wsp:rsid wsp:val=&quot;009325ED&quot;/&gt;&lt;wsp:rsid wsp:val=&quot;0093275E&quot;/&gt;&lt;wsp:rsid wsp:val=&quot;0093287D&quot;/&gt;&lt;wsp:rsid wsp:val=&quot;00932D4D&quot;/&gt;&lt;wsp:rsid wsp:val=&quot;00932DE2&quot;/&gt;&lt;wsp:rsid wsp:val=&quot;00932E21&quot;/&gt;&lt;wsp:rsid wsp:val=&quot;0093355D&quot;/&gt;&lt;wsp:rsid wsp:val=&quot;00933887&quot;/&gt;&lt;wsp:rsid wsp:val=&quot;009339E0&quot;/&gt;&lt;wsp:rsid wsp:val=&quot;00933DB8&quot;/&gt;&lt;wsp:rsid wsp:val=&quot;00933E9F&quot;/&gt;&lt;wsp:rsid wsp:val=&quot;0093457B&quot;/&gt;&lt;wsp:rsid wsp:val=&quot;00934D3B&quot;/&gt;&lt;wsp:rsid wsp:val=&quot;0093523C&quot;/&gt;&lt;wsp:rsid wsp:val=&quot;009352D1&quot;/&gt;&lt;wsp:rsid wsp:val=&quot;00935CC2&quot;/&gt;&lt;wsp:rsid wsp:val=&quot;00935D23&quot;/&gt;&lt;wsp:rsid wsp:val=&quot;0093605F&quot;/&gt;&lt;wsp:rsid wsp:val=&quot;009360C9&quot;/&gt;&lt;wsp:rsid wsp:val=&quot;00936545&quot;/&gt;&lt;wsp:rsid wsp:val=&quot;00936D64&quot;/&gt;&lt;wsp:rsid wsp:val=&quot;00936F3A&quot;/&gt;&lt;wsp:rsid wsp:val=&quot;00936F68&quot;/&gt;&lt;wsp:rsid wsp:val=&quot;00937205&quot;/&gt;&lt;wsp:rsid wsp:val=&quot;0093729E&quot;/&gt;&lt;wsp:rsid wsp:val=&quot;009378CC&quot;/&gt;&lt;wsp:rsid wsp:val=&quot;00937B53&quot;/&gt;&lt;wsp:rsid wsp:val=&quot;00937BA2&quot;/&gt;&lt;wsp:rsid wsp:val=&quot;00940009&quot;/&gt;&lt;wsp:rsid wsp:val=&quot;009403B1&quot;/&gt;&lt;wsp:rsid wsp:val=&quot;00940992&quot;/&gt;&lt;wsp:rsid wsp:val=&quot;00940B40&quot;/&gt;&lt;wsp:rsid wsp:val=&quot;00940B47&quot;/&gt;&lt;wsp:rsid wsp:val=&quot;00940C7A&quot;/&gt;&lt;wsp:rsid wsp:val=&quot;00940E2E&quot;/&gt;&lt;wsp:rsid wsp:val=&quot;00940ECD&quot;/&gt;&lt;wsp:rsid wsp:val=&quot;00941161&quot;/&gt;&lt;wsp:rsid wsp:val=&quot;0094116E&quot;/&gt;&lt;wsp:rsid wsp:val=&quot;00941302&quot;/&gt;&lt;wsp:rsid wsp:val=&quot;0094131C&quot;/&gt;&lt;wsp:rsid wsp:val=&quot;0094136B&quot;/&gt;&lt;wsp:rsid wsp:val=&quot;00941555&quot;/&gt;&lt;wsp:rsid wsp:val=&quot;00941B19&quot;/&gt;&lt;wsp:rsid wsp:val=&quot;009424BE&quot;/&gt;&lt;wsp:rsid wsp:val=&quot;009426FC&quot;/&gt;&lt;wsp:rsid wsp:val=&quot;009428F9&quot;/&gt;&lt;wsp:rsid wsp:val=&quot;00943268&quot;/&gt;&lt;wsp:rsid wsp:val=&quot;00943605&quot;/&gt;&lt;wsp:rsid wsp:val=&quot;00943812&quot;/&gt;&lt;wsp:rsid wsp:val=&quot;00943923&quot;/&gt;&lt;wsp:rsid wsp:val=&quot;00943EB7&quot;/&gt;&lt;wsp:rsid wsp:val=&quot;00943F71&quot;/&gt;&lt;wsp:rsid wsp:val=&quot;00943FBC&quot;/&gt;&lt;wsp:rsid wsp:val=&quot;009452AE&quot;/&gt;&lt;wsp:rsid wsp:val=&quot;00945548&quot;/&gt;&lt;wsp:rsid wsp:val=&quot;00945834&quot;/&gt;&lt;wsp:rsid wsp:val=&quot;009458E4&quot;/&gt;&lt;wsp:rsid wsp:val=&quot;00945A9F&quot;/&gt;&lt;wsp:rsid wsp:val=&quot;00945CDE&quot;/&gt;&lt;wsp:rsid wsp:val=&quot;00945DD4&quot;/&gt;&lt;wsp:rsid wsp:val=&quot;0094626E&quot;/&gt;&lt;wsp:rsid wsp:val=&quot;009463D7&quot;/&gt;&lt;wsp:rsid wsp:val=&quot;00946B1E&quot;/&gt;&lt;wsp:rsid wsp:val=&quot;00946EC2&quot;/&gt;&lt;wsp:rsid wsp:val=&quot;0094764A&quot;/&gt;&lt;wsp:rsid wsp:val=&quot;009479DB&quot;/&gt;&lt;wsp:rsid wsp:val=&quot;0095016A&quot;/&gt;&lt;wsp:rsid wsp:val=&quot;0095038D&quot;/&gt;&lt;wsp:rsid wsp:val=&quot;00951969&quot;/&gt;&lt;wsp:rsid wsp:val=&quot;00951BB1&quot;/&gt;&lt;wsp:rsid wsp:val=&quot;00951ED8&quot;/&gt;&lt;wsp:rsid wsp:val=&quot;009524C6&quot;/&gt;&lt;wsp:rsid wsp:val=&quot;009527FE&quot;/&gt;&lt;wsp:rsid wsp:val=&quot;00952805&quot;/&gt;&lt;wsp:rsid wsp:val=&quot;00952C7D&quot;/&gt;&lt;wsp:rsid wsp:val=&quot;00952ED4&quot;/&gt;&lt;wsp:rsid wsp:val=&quot;00953062&quot;/&gt;&lt;wsp:rsid wsp:val=&quot;00953263&quot;/&gt;&lt;wsp:rsid wsp:val=&quot;00953AFF&quot;/&gt;&lt;wsp:rsid wsp:val=&quot;00953BA1&quot;/&gt;&lt;wsp:rsid wsp:val=&quot;00953E7D&quot;/&gt;&lt;wsp:rsid wsp:val=&quot;00953FA0&quot;/&gt;&lt;wsp:rsid wsp:val=&quot;00954233&quot;/&gt;&lt;wsp:rsid wsp:val=&quot;00954283&quot;/&gt;&lt;wsp:rsid wsp:val=&quot;0095446D&quot;/&gt;&lt;wsp:rsid wsp:val=&quot;0095452A&quot;/&gt;&lt;wsp:rsid wsp:val=&quot;0095460C&quot;/&gt;&lt;wsp:rsid wsp:val=&quot;0095480E&quot;/&gt;&lt;wsp:rsid wsp:val=&quot;00954BAD&quot;/&gt;&lt;wsp:rsid wsp:val=&quot;00954E91&quot;/&gt;&lt;wsp:rsid wsp:val=&quot;009550C2&quot;/&gt;&lt;wsp:rsid wsp:val=&quot;0095533C&quot;/&gt;&lt;wsp:rsid wsp:val=&quot;009557A8&quot;/&gt;&lt;wsp:rsid wsp:val=&quot;00955DE6&quot;/&gt;&lt;wsp:rsid wsp:val=&quot;00955DF3&quot;/&gt;&lt;wsp:rsid wsp:val=&quot;00955DFE&quot;/&gt;&lt;wsp:rsid wsp:val=&quot;00955F0C&quot;/&gt;&lt;wsp:rsid wsp:val=&quot;009560F5&quot;/&gt;&lt;wsp:rsid wsp:val=&quot;00956C7D&quot;/&gt;&lt;wsp:rsid wsp:val=&quot;00956CDB&quot;/&gt;&lt;wsp:rsid wsp:val=&quot;0095730C&quot;/&gt;&lt;wsp:rsid wsp:val=&quot;00957695&quot;/&gt;&lt;wsp:rsid wsp:val=&quot;009576DE&quot;/&gt;&lt;wsp:rsid wsp:val=&quot;00957CC0&quot;/&gt;&lt;wsp:rsid wsp:val=&quot;00957D47&quot;/&gt;&lt;wsp:rsid wsp:val=&quot;00957EC5&quot;/&gt;&lt;wsp:rsid wsp:val=&quot;00960237&quot;/&gt;&lt;wsp:rsid wsp:val=&quot;0096032B&quot;/&gt;&lt;wsp:rsid wsp:val=&quot;009606AB&quot;/&gt;&lt;wsp:rsid wsp:val=&quot;009609B8&quot;/&gt;&lt;wsp:rsid wsp:val=&quot;00960A1B&quot;/&gt;&lt;wsp:rsid wsp:val=&quot;00960A5B&quot;/&gt;&lt;wsp:rsid wsp:val=&quot;00960DD3&quot;/&gt;&lt;wsp:rsid wsp:val=&quot;00960DF8&quot;/&gt;&lt;wsp:rsid wsp:val=&quot;00960F40&quot;/&gt;&lt;wsp:rsid wsp:val=&quot;00960FA4&quot;/&gt;&lt;wsp:rsid wsp:val=&quot;00961315&quot;/&gt;&lt;wsp:rsid wsp:val=&quot;0096148D&quot;/&gt;&lt;wsp:rsid wsp:val=&quot;00962566&quot;/&gt;&lt;wsp:rsid wsp:val=&quot;00962DEC&quot;/&gt;&lt;wsp:rsid wsp:val=&quot;0096305B&quot;/&gt;&lt;wsp:rsid wsp:val=&quot;00963321&quot;/&gt;&lt;wsp:rsid wsp:val=&quot;0096374E&quot;/&gt;&lt;wsp:rsid wsp:val=&quot;0096384C&quot;/&gt;&lt;wsp:rsid wsp:val=&quot;00963990&quot;/&gt;&lt;wsp:rsid wsp:val=&quot;00963F3E&quot;/&gt;&lt;wsp:rsid wsp:val=&quot;00963FB5&quot;/&gt;&lt;wsp:rsid wsp:val=&quot;00964615&quot;/&gt;&lt;wsp:rsid wsp:val=&quot;00964654&quot;/&gt;&lt;wsp:rsid wsp:val=&quot;009648C7&quot;/&gt;&lt;wsp:rsid wsp:val=&quot;00964F94&quot;/&gt;&lt;wsp:rsid wsp:val=&quot;009655CE&quot;/&gt;&lt;wsp:rsid wsp:val=&quot;00965D54&quot;/&gt;&lt;wsp:rsid wsp:val=&quot;009662CE&quot;/&gt;&lt;wsp:rsid wsp:val=&quot;00966480&quot;/&gt;&lt;wsp:rsid wsp:val=&quot;009667B5&quot;/&gt;&lt;wsp:rsid wsp:val=&quot;0096690C&quot;/&gt;&lt;wsp:rsid wsp:val=&quot;00966956&quot;/&gt;&lt;wsp:rsid wsp:val=&quot;00966A9F&quot;/&gt;&lt;wsp:rsid wsp:val=&quot;0096711A&quot;/&gt;&lt;wsp:rsid wsp:val=&quot;00967304&quot;/&gt;&lt;wsp:rsid wsp:val=&quot;00967551&quot;/&gt;&lt;wsp:rsid wsp:val=&quot;009675E9&quot;/&gt;&lt;wsp:rsid wsp:val=&quot;009677A1&quot;/&gt;&lt;wsp:rsid wsp:val=&quot;00970D50&quot;/&gt;&lt;wsp:rsid wsp:val=&quot;00970FEB&quot;/&gt;&lt;wsp:rsid wsp:val=&quot;00971110&quot;/&gt;&lt;wsp:rsid wsp:val=&quot;0097136E&quot;/&gt;&lt;wsp:rsid wsp:val=&quot;009713D0&quot;/&gt;&lt;wsp:rsid wsp:val=&quot;00971927&quot;/&gt;&lt;wsp:rsid wsp:val=&quot;00971969&quot;/&gt;&lt;wsp:rsid wsp:val=&quot;00971BC7&quot;/&gt;&lt;wsp:rsid wsp:val=&quot;00971C05&quot;/&gt;&lt;wsp:rsid wsp:val=&quot;00971CAA&quot;/&gt;&lt;wsp:rsid wsp:val=&quot;00972210&quot;/&gt;&lt;wsp:rsid wsp:val=&quot;0097343E&quot;/&gt;&lt;wsp:rsid wsp:val=&quot;00973AAB&quot;/&gt;&lt;wsp:rsid wsp:val=&quot;00973C00&quot;/&gt;&lt;wsp:rsid wsp:val=&quot;00973D92&quot;/&gt;&lt;wsp:rsid wsp:val=&quot;00973E53&quot;/&gt;&lt;wsp:rsid wsp:val=&quot;00974110&quot;/&gt;&lt;wsp:rsid wsp:val=&quot;009741DD&quot;/&gt;&lt;wsp:rsid wsp:val=&quot;009742E5&quot;/&gt;&lt;wsp:rsid wsp:val=&quot;00974907&quot;/&gt;&lt;wsp:rsid wsp:val=&quot;00974AE7&quot;/&gt;&lt;wsp:rsid wsp:val=&quot;0097550F&quot;/&gt;&lt;wsp:rsid wsp:val=&quot;0097594A&quot;/&gt;&lt;wsp:rsid wsp:val=&quot;009759C3&quot;/&gt;&lt;wsp:rsid wsp:val=&quot;00975A0E&quot;/&gt;&lt;wsp:rsid wsp:val=&quot;00976090&quot;/&gt;&lt;wsp:rsid wsp:val=&quot;0097735E&quot;/&gt;&lt;wsp:rsid wsp:val=&quot;0097784C&quot;/&gt;&lt;wsp:rsid wsp:val=&quot;009778A0&quot;/&gt;&lt;wsp:rsid wsp:val=&quot;00977B6E&quot;/&gt;&lt;wsp:rsid wsp:val=&quot;00977D78&quot;/&gt;&lt;wsp:rsid wsp:val=&quot;009801FA&quot;/&gt;&lt;wsp:rsid wsp:val=&quot;00980377&quot;/&gt;&lt;wsp:rsid wsp:val=&quot;00980390&quot;/&gt;&lt;wsp:rsid wsp:val=&quot;009803F5&quot;/&gt;&lt;wsp:rsid wsp:val=&quot;00980790&quot;/&gt;&lt;wsp:rsid wsp:val=&quot;00980BB9&quot;/&gt;&lt;wsp:rsid wsp:val=&quot;00980E2A&quot;/&gt;&lt;wsp:rsid wsp:val=&quot;00980EC8&quot;/&gt;&lt;wsp:rsid wsp:val=&quot;009815C2&quot;/&gt;&lt;wsp:rsid wsp:val=&quot;0098278D&quot;/&gt;&lt;wsp:rsid wsp:val=&quot;00982AC4&quot;/&gt;&lt;wsp:rsid wsp:val=&quot;0098346C&quot;/&gt;&lt;wsp:rsid wsp:val=&quot;0098353D&quot;/&gt;&lt;wsp:rsid wsp:val=&quot;009835FB&quot;/&gt;&lt;wsp:rsid wsp:val=&quot;00983797&quot;/&gt;&lt;wsp:rsid wsp:val=&quot;00983827&quot;/&gt;&lt;wsp:rsid wsp:val=&quot;0098488D&quot;/&gt;&lt;wsp:rsid wsp:val=&quot;00984A8C&quot;/&gt;&lt;wsp:rsid wsp:val=&quot;00984AAD&quot;/&gt;&lt;wsp:rsid wsp:val=&quot;00984B8B&quot;/&gt;&lt;wsp:rsid wsp:val=&quot;00984D74&quot;/&gt;&lt;wsp:rsid wsp:val=&quot;00984DD8&quot;/&gt;&lt;wsp:rsid wsp:val=&quot;0098508E&quot;/&gt;&lt;wsp:rsid wsp:val=&quot;009852F4&quot;/&gt;&lt;wsp:rsid wsp:val=&quot;009859BF&quot;/&gt;&lt;wsp:rsid wsp:val=&quot;00987163&quot;/&gt;&lt;wsp:rsid wsp:val=&quot;0098754F&quot;/&gt;&lt;wsp:rsid wsp:val=&quot;00987980&quot;/&gt;&lt;wsp:rsid wsp:val=&quot;00987E89&quot;/&gt;&lt;wsp:rsid wsp:val=&quot;00991459&quot;/&gt;&lt;wsp:rsid wsp:val=&quot;00991671&quot;/&gt;&lt;wsp:rsid wsp:val=&quot;00991782&quot;/&gt;&lt;wsp:rsid wsp:val=&quot;009917E3&quot;/&gt;&lt;wsp:rsid wsp:val=&quot;00991A13&quot;/&gt;&lt;wsp:rsid wsp:val=&quot;00991E2A&quot;/&gt;&lt;wsp:rsid wsp:val=&quot;009921AD&quot;/&gt;&lt;wsp:rsid wsp:val=&quot;009921D4&quot;/&gt;&lt;wsp:rsid wsp:val=&quot;0099278A&quot;/&gt;&lt;wsp:rsid wsp:val=&quot;00992869&quot;/&gt;&lt;wsp:rsid wsp:val=&quot;00992C3D&quot;/&gt;&lt;wsp:rsid wsp:val=&quot;00992DE3&quot;/&gt;&lt;wsp:rsid wsp:val=&quot;0099312A&quot;/&gt;&lt;wsp:rsid wsp:val=&quot;00993200&quot;/&gt;&lt;wsp:rsid wsp:val=&quot;00993249&quot;/&gt;&lt;wsp:rsid wsp:val=&quot;00993475&quot;/&gt;&lt;wsp:rsid wsp:val=&quot;00993B49&quot;/&gt;&lt;wsp:rsid wsp:val=&quot;00993BD3&quot;/&gt;&lt;wsp:rsid wsp:val=&quot;00994D3E&quot;/&gt;&lt;wsp:rsid wsp:val=&quot;009955E0&quot;/&gt;&lt;wsp:rsid wsp:val=&quot;00995611&quot;/&gt;&lt;wsp:rsid wsp:val=&quot;009957D0&quot;/&gt;&lt;wsp:rsid wsp:val=&quot;009958F6&quot;/&gt;&lt;wsp:rsid wsp:val=&quot;00995A30&quot;/&gt;&lt;wsp:rsid wsp:val=&quot;00995C78&quot;/&gt;&lt;wsp:rsid wsp:val=&quot;00995D52&quot;/&gt;&lt;wsp:rsid wsp:val=&quot;00995D62&quot;/&gt;&lt;wsp:rsid wsp:val=&quot;00995EED&quot;/&gt;&lt;wsp:rsid wsp:val=&quot;0099609C&quot;/&gt;&lt;wsp:rsid wsp:val=&quot;009967AD&quot;/&gt;&lt;wsp:rsid wsp:val=&quot;00996821&quot;/&gt;&lt;wsp:rsid wsp:val=&quot;009969C4&quot;/&gt;&lt;wsp:rsid wsp:val=&quot;00996C5E&quot;/&gt;&lt;wsp:rsid wsp:val=&quot;00996E57&quot;/&gt;&lt;wsp:rsid wsp:val=&quot;009972EB&quot;/&gt;&lt;wsp:rsid wsp:val=&quot;00997809&quot;/&gt;&lt;wsp:rsid wsp:val=&quot;009A00EF&quot;/&gt;&lt;wsp:rsid wsp:val=&quot;009A031D&quot;/&gt;&lt;wsp:rsid wsp:val=&quot;009A0546&quot;/&gt;&lt;wsp:rsid wsp:val=&quot;009A0691&quot;/&gt;&lt;wsp:rsid wsp:val=&quot;009A0AA4&quot;/&gt;&lt;wsp:rsid wsp:val=&quot;009A1202&quot;/&gt;&lt;wsp:rsid wsp:val=&quot;009A16E8&quot;/&gt;&lt;wsp:rsid wsp:val=&quot;009A170E&quot;/&gt;&lt;wsp:rsid wsp:val=&quot;009A1756&quot;/&gt;&lt;wsp:rsid wsp:val=&quot;009A179F&quot;/&gt;&lt;wsp:rsid wsp:val=&quot;009A1F5C&quot;/&gt;&lt;wsp:rsid wsp:val=&quot;009A215F&quot;/&gt;&lt;wsp:rsid wsp:val=&quot;009A24E6&quot;/&gt;&lt;wsp:rsid wsp:val=&quot;009A24F6&quot;/&gt;&lt;wsp:rsid wsp:val=&quot;009A2528&quot;/&gt;&lt;wsp:rsid wsp:val=&quot;009A261F&quot;/&gt;&lt;wsp:rsid wsp:val=&quot;009A295F&quot;/&gt;&lt;wsp:rsid wsp:val=&quot;009A2EEB&quot;/&gt;&lt;wsp:rsid wsp:val=&quot;009A3A57&quot;/&gt;&lt;wsp:rsid wsp:val=&quot;009A3CCC&quot;/&gt;&lt;wsp:rsid wsp:val=&quot;009A4396&quot;/&gt;&lt;wsp:rsid wsp:val=&quot;009A452F&quot;/&gt;&lt;wsp:rsid wsp:val=&quot;009A46B8&quot;/&gt;&lt;wsp:rsid wsp:val=&quot;009A4725&quot;/&gt;&lt;wsp:rsid wsp:val=&quot;009A4863&quot;/&gt;&lt;wsp:rsid wsp:val=&quot;009A4996&quot;/&gt;&lt;wsp:rsid wsp:val=&quot;009A4BC2&quot;/&gt;&lt;wsp:rsid wsp:val=&quot;009A4F9A&quot;/&gt;&lt;wsp:rsid wsp:val=&quot;009A5039&quot;/&gt;&lt;wsp:rsid wsp:val=&quot;009A519E&quot;/&gt;&lt;wsp:rsid wsp:val=&quot;009A5423&quot;/&gt;&lt;wsp:rsid wsp:val=&quot;009A5468&quot;/&gt;&lt;wsp:rsid wsp:val=&quot;009A57B5&quot;/&gt;&lt;wsp:rsid wsp:val=&quot;009A5B9A&quot;/&gt;&lt;wsp:rsid wsp:val=&quot;009A5E75&quot;/&gt;&lt;wsp:rsid wsp:val=&quot;009A60AE&quot;/&gt;&lt;wsp:rsid wsp:val=&quot;009A616D&quot;/&gt;&lt;wsp:rsid wsp:val=&quot;009A6712&quot;/&gt;&lt;wsp:rsid wsp:val=&quot;009A68F1&quot;/&gt;&lt;wsp:rsid wsp:val=&quot;009A6A5B&quot;/&gt;&lt;wsp:rsid wsp:val=&quot;009A6B39&quot;/&gt;&lt;wsp:rsid wsp:val=&quot;009A6D9B&quot;/&gt;&lt;wsp:rsid wsp:val=&quot;009A7078&quot;/&gt;&lt;wsp:rsid wsp:val=&quot;009A751C&quot;/&gt;&lt;wsp:rsid wsp:val=&quot;009A7768&quot;/&gt;&lt;wsp:rsid wsp:val=&quot;009A778F&quot;/&gt;&lt;wsp:rsid wsp:val=&quot;009A7BB0&quot;/&gt;&lt;wsp:rsid wsp:val=&quot;009A7BFB&quot;/&gt;&lt;wsp:rsid wsp:val=&quot;009A7C9E&quot;/&gt;&lt;wsp:rsid wsp:val=&quot;009B030A&quot;/&gt;&lt;wsp:rsid wsp:val=&quot;009B0BA0&quot;/&gt;&lt;wsp:rsid wsp:val=&quot;009B0D0E&quot;/&gt;&lt;wsp:rsid wsp:val=&quot;009B0D1C&quot;/&gt;&lt;wsp:rsid wsp:val=&quot;009B1D40&quot;/&gt;&lt;wsp:rsid wsp:val=&quot;009B2453&quot;/&gt;&lt;wsp:rsid wsp:val=&quot;009B25C0&quot;/&gt;&lt;wsp:rsid wsp:val=&quot;009B2649&quot;/&gt;&lt;wsp:rsid wsp:val=&quot;009B27CF&quot;/&gt;&lt;wsp:rsid wsp:val=&quot;009B2818&quot;/&gt;&lt;wsp:rsid wsp:val=&quot;009B2A7E&quot;/&gt;&lt;wsp:rsid wsp:val=&quot;009B2AAF&quot;/&gt;&lt;wsp:rsid wsp:val=&quot;009B2AFC&quot;/&gt;&lt;wsp:rsid wsp:val=&quot;009B2B4B&quot;/&gt;&lt;wsp:rsid wsp:val=&quot;009B2DDF&quot;/&gt;&lt;wsp:rsid wsp:val=&quot;009B3261&quot;/&gt;&lt;wsp:rsid wsp:val=&quot;009B3DE1&quot;/&gt;&lt;wsp:rsid wsp:val=&quot;009B4723&quot;/&gt;&lt;wsp:rsid wsp:val=&quot;009B4B92&quot;/&gt;&lt;wsp:rsid wsp:val=&quot;009B54B4&quot;/&gt;&lt;wsp:rsid wsp:val=&quot;009B5A4D&quot;/&gt;&lt;wsp:rsid wsp:val=&quot;009B5BB6&quot;/&gt;&lt;wsp:rsid wsp:val=&quot;009B6CDE&quot;/&gt;&lt;wsp:rsid wsp:val=&quot;009B7120&quot;/&gt;&lt;wsp:rsid wsp:val=&quot;009B79FA&quot;/&gt;&lt;wsp:rsid wsp:val=&quot;009B7A35&quot;/&gt;&lt;wsp:rsid wsp:val=&quot;009B7B82&quot;/&gt;&lt;wsp:rsid wsp:val=&quot;009B7DC2&quot;/&gt;&lt;wsp:rsid wsp:val=&quot;009C053E&quot;/&gt;&lt;wsp:rsid wsp:val=&quot;009C06B6&quot;/&gt;&lt;wsp:rsid wsp:val=&quot;009C08EA&quot;/&gt;&lt;wsp:rsid wsp:val=&quot;009C09FD&quot;/&gt;&lt;wsp:rsid wsp:val=&quot;009C0D5C&quot;/&gt;&lt;wsp:rsid wsp:val=&quot;009C1451&quot;/&gt;&lt;wsp:rsid wsp:val=&quot;009C1F4F&quot;/&gt;&lt;wsp:rsid wsp:val=&quot;009C2072&quot;/&gt;&lt;wsp:rsid wsp:val=&quot;009C23D6&quot;/&gt;&lt;wsp:rsid wsp:val=&quot;009C2722&quot;/&gt;&lt;wsp:rsid wsp:val=&quot;009C2729&quot;/&gt;&lt;wsp:rsid wsp:val=&quot;009C2784&quot;/&gt;&lt;wsp:rsid wsp:val=&quot;009C2AEA&quot;/&gt;&lt;wsp:rsid wsp:val=&quot;009C2C3F&quot;/&gt;&lt;wsp:rsid wsp:val=&quot;009C2FDD&quot;/&gt;&lt;wsp:rsid wsp:val=&quot;009C34F9&quot;/&gt;&lt;wsp:rsid wsp:val=&quot;009C35E7&quot;/&gt;&lt;wsp:rsid wsp:val=&quot;009C36E7&quot;/&gt;&lt;wsp:rsid wsp:val=&quot;009C38E9&quot;/&gt;&lt;wsp:rsid wsp:val=&quot;009C39F3&quot;/&gt;&lt;wsp:rsid wsp:val=&quot;009C3E94&quot;/&gt;&lt;wsp:rsid wsp:val=&quot;009C3FCC&quot;/&gt;&lt;wsp:rsid wsp:val=&quot;009C4BE5&quot;/&gt;&lt;wsp:rsid wsp:val=&quot;009C4ED7&quot;/&gt;&lt;wsp:rsid wsp:val=&quot;009C4F74&quot;/&gt;&lt;wsp:rsid wsp:val=&quot;009C5115&quot;/&gt;&lt;wsp:rsid wsp:val=&quot;009C517E&quot;/&gt;&lt;wsp:rsid wsp:val=&quot;009C542D&quot;/&gt;&lt;wsp:rsid wsp:val=&quot;009C57E9&quot;/&gt;&lt;wsp:rsid wsp:val=&quot;009C5B1C&quot;/&gt;&lt;wsp:rsid wsp:val=&quot;009C5BC1&quot;/&gt;&lt;wsp:rsid wsp:val=&quot;009C6835&quot;/&gt;&lt;wsp:rsid wsp:val=&quot;009C696A&quot;/&gt;&lt;wsp:rsid wsp:val=&quot;009C6BF5&quot;/&gt;&lt;wsp:rsid wsp:val=&quot;009C708E&quot;/&gt;&lt;wsp:rsid wsp:val=&quot;009C715D&quot;/&gt;&lt;wsp:rsid wsp:val=&quot;009C76B8&quot;/&gt;&lt;wsp:rsid wsp:val=&quot;009C7E16&quot;/&gt;&lt;wsp:rsid wsp:val=&quot;009C7E8B&quot;/&gt;&lt;wsp:rsid wsp:val=&quot;009C7F54&quot;/&gt;&lt;wsp:rsid wsp:val=&quot;009C7F9F&quot;/&gt;&lt;wsp:rsid wsp:val=&quot;009D04EE&quot;/&gt;&lt;wsp:rsid wsp:val=&quot;009D07C5&quot;/&gt;&lt;wsp:rsid wsp:val=&quot;009D0A80&quot;/&gt;&lt;wsp:rsid wsp:val=&quot;009D0AA1&quot;/&gt;&lt;wsp:rsid wsp:val=&quot;009D0AF6&quot;/&gt;&lt;wsp:rsid wsp:val=&quot;009D0B58&quot;/&gt;&lt;wsp:rsid wsp:val=&quot;009D0BEB&quot;/&gt;&lt;wsp:rsid wsp:val=&quot;009D11AD&quot;/&gt;&lt;wsp:rsid wsp:val=&quot;009D1479&quot;/&gt;&lt;wsp:rsid wsp:val=&quot;009D15E4&quot;/&gt;&lt;wsp:rsid wsp:val=&quot;009D162D&quot;/&gt;&lt;wsp:rsid wsp:val=&quot;009D17A0&quot;/&gt;&lt;wsp:rsid wsp:val=&quot;009D19F1&quot;/&gt;&lt;wsp:rsid wsp:val=&quot;009D2125&quot;/&gt;&lt;wsp:rsid wsp:val=&quot;009D227E&quot;/&gt;&lt;wsp:rsid wsp:val=&quot;009D23AA&quot;/&gt;&lt;wsp:rsid wsp:val=&quot;009D23C0&quot;/&gt;&lt;wsp:rsid wsp:val=&quot;009D281F&quot;/&gt;&lt;wsp:rsid wsp:val=&quot;009D298A&quot;/&gt;&lt;wsp:rsid wsp:val=&quot;009D29F0&quot;/&gt;&lt;wsp:rsid wsp:val=&quot;009D2B6B&quot;/&gt;&lt;wsp:rsid wsp:val=&quot;009D2BE3&quot;/&gt;&lt;wsp:rsid wsp:val=&quot;009D2E4A&quot;/&gt;&lt;wsp:rsid wsp:val=&quot;009D2EBB&quot;/&gt;&lt;wsp:rsid wsp:val=&quot;009D2FBB&quot;/&gt;&lt;wsp:rsid wsp:val=&quot;009D31E6&quot;/&gt;&lt;wsp:rsid wsp:val=&quot;009D35BB&quot;/&gt;&lt;wsp:rsid wsp:val=&quot;009D3A39&quot;/&gt;&lt;wsp:rsid wsp:val=&quot;009D3AE1&quot;/&gt;&lt;wsp:rsid wsp:val=&quot;009D3AF5&quot;/&gt;&lt;wsp:rsid wsp:val=&quot;009D461A&quot;/&gt;&lt;wsp:rsid wsp:val=&quot;009D56D5&quot;/&gt;&lt;wsp:rsid wsp:val=&quot;009D57B6&quot;/&gt;&lt;wsp:rsid wsp:val=&quot;009D5916&quot;/&gt;&lt;wsp:rsid wsp:val=&quot;009D5D5E&quot;/&gt;&lt;wsp:rsid wsp:val=&quot;009D6099&quot;/&gt;&lt;wsp:rsid wsp:val=&quot;009D61D7&quot;/&gt;&lt;wsp:rsid wsp:val=&quot;009D61E5&quot;/&gt;&lt;wsp:rsid wsp:val=&quot;009D6605&quot;/&gt;&lt;wsp:rsid wsp:val=&quot;009D67EA&quot;/&gt;&lt;wsp:rsid wsp:val=&quot;009D6ABA&quot;/&gt;&lt;wsp:rsid wsp:val=&quot;009D6ABF&quot;/&gt;&lt;wsp:rsid wsp:val=&quot;009D6D5A&quot;/&gt;&lt;wsp:rsid wsp:val=&quot;009D79DB&quot;/&gt;&lt;wsp:rsid wsp:val=&quot;009D7A84&quot;/&gt;&lt;wsp:rsid wsp:val=&quot;009D7AB4&quot;/&gt;&lt;wsp:rsid wsp:val=&quot;009D7D1E&quot;/&gt;&lt;wsp:rsid wsp:val=&quot;009D7FD1&quot;/&gt;&lt;wsp:rsid wsp:val=&quot;009E037F&quot;/&gt;&lt;wsp:rsid wsp:val=&quot;009E07DE&quot;/&gt;&lt;wsp:rsid wsp:val=&quot;009E0BCD&quot;/&gt;&lt;wsp:rsid wsp:val=&quot;009E0BEF&quot;/&gt;&lt;wsp:rsid wsp:val=&quot;009E0DD7&quot;/&gt;&lt;wsp:rsid wsp:val=&quot;009E0F4D&quot;/&gt;&lt;wsp:rsid wsp:val=&quot;009E0FB4&quot;/&gt;&lt;wsp:rsid wsp:val=&quot;009E1086&quot;/&gt;&lt;wsp:rsid wsp:val=&quot;009E1294&quot;/&gt;&lt;wsp:rsid wsp:val=&quot;009E19F8&quot;/&gt;&lt;wsp:rsid wsp:val=&quot;009E1C77&quot;/&gt;&lt;wsp:rsid wsp:val=&quot;009E2DEE&quot;/&gt;&lt;wsp:rsid wsp:val=&quot;009E36EB&quot;/&gt;&lt;wsp:rsid wsp:val=&quot;009E3E4C&quot;/&gt;&lt;wsp:rsid wsp:val=&quot;009E3FFF&quot;/&gt;&lt;wsp:rsid wsp:val=&quot;009E45F4&quot;/&gt;&lt;wsp:rsid wsp:val=&quot;009E4622&quot;/&gt;&lt;wsp:rsid wsp:val=&quot;009E48F5&quot;/&gt;&lt;wsp:rsid wsp:val=&quot;009E5044&quot;/&gt;&lt;wsp:rsid wsp:val=&quot;009E5060&quot;/&gt;&lt;wsp:rsid wsp:val=&quot;009E53F0&quot;/&gt;&lt;wsp:rsid wsp:val=&quot;009E53F2&quot;/&gt;&lt;wsp:rsid wsp:val=&quot;009E5666&quot;/&gt;&lt;wsp:rsid wsp:val=&quot;009E56C1&quot;/&gt;&lt;wsp:rsid wsp:val=&quot;009E591E&quot;/&gt;&lt;wsp:rsid wsp:val=&quot;009E5D87&quot;/&gt;&lt;wsp:rsid wsp:val=&quot;009E5DE0&quot;/&gt;&lt;wsp:rsid wsp:val=&quot;009E68A8&quot;/&gt;&lt;wsp:rsid wsp:val=&quot;009E6988&quot;/&gt;&lt;wsp:rsid wsp:val=&quot;009E6C73&quot;/&gt;&lt;wsp:rsid wsp:val=&quot;009E6CC9&quot;/&gt;&lt;wsp:rsid wsp:val=&quot;009E71EE&quot;/&gt;&lt;wsp:rsid wsp:val=&quot;009E7D27&quot;/&gt;&lt;wsp:rsid wsp:val=&quot;009F0DAA&quot;/&gt;&lt;wsp:rsid wsp:val=&quot;009F0E30&quot;/&gt;&lt;wsp:rsid wsp:val=&quot;009F1B40&quot;/&gt;&lt;wsp:rsid wsp:val=&quot;009F1C8A&quot;/&gt;&lt;wsp:rsid wsp:val=&quot;009F254F&quot;/&gt;&lt;wsp:rsid wsp:val=&quot;009F26F9&quot;/&gt;&lt;wsp:rsid wsp:val=&quot;009F2846&quot;/&gt;&lt;wsp:rsid wsp:val=&quot;009F2AFA&quot;/&gt;&lt;wsp:rsid wsp:val=&quot;009F2D02&quot;/&gt;&lt;wsp:rsid wsp:val=&quot;009F3060&quot;/&gt;&lt;wsp:rsid wsp:val=&quot;009F37DD&quot;/&gt;&lt;wsp:rsid wsp:val=&quot;009F3857&quot;/&gt;&lt;wsp:rsid wsp:val=&quot;009F3960&quot;/&gt;&lt;wsp:rsid wsp:val=&quot;009F3C41&quot;/&gt;&lt;wsp:rsid wsp:val=&quot;009F426A&quot;/&gt;&lt;wsp:rsid wsp:val=&quot;009F4681&quot;/&gt;&lt;wsp:rsid wsp:val=&quot;009F48C5&quot;/&gt;&lt;wsp:rsid wsp:val=&quot;009F4D8C&quot;/&gt;&lt;wsp:rsid wsp:val=&quot;009F4FFF&quot;/&gt;&lt;wsp:rsid wsp:val=&quot;009F519D&quot;/&gt;&lt;wsp:rsid wsp:val=&quot;009F5232&quot;/&gt;&lt;wsp:rsid wsp:val=&quot;009F52A3&quot;/&gt;&lt;wsp:rsid wsp:val=&quot;009F53C7&quot;/&gt;&lt;wsp:rsid wsp:val=&quot;009F56F5&quot;/&gt;&lt;wsp:rsid wsp:val=&quot;009F590B&quot;/&gt;&lt;wsp:rsid wsp:val=&quot;009F5AF6&quot;/&gt;&lt;wsp:rsid wsp:val=&quot;009F5EC0&quot;/&gt;&lt;wsp:rsid wsp:val=&quot;009F6174&quot;/&gt;&lt;wsp:rsid wsp:val=&quot;009F61F3&quot;/&gt;&lt;wsp:rsid wsp:val=&quot;009F6612&quot;/&gt;&lt;wsp:rsid wsp:val=&quot;009F66D0&quot;/&gt;&lt;wsp:rsid wsp:val=&quot;009F6BFF&quot;/&gt;&lt;wsp:rsid wsp:val=&quot;009F6C12&quot;/&gt;&lt;wsp:rsid wsp:val=&quot;009F6C6F&quot;/&gt;&lt;wsp:rsid wsp:val=&quot;009F6D60&quot;/&gt;&lt;wsp:rsid wsp:val=&quot;009F6E91&quot;/&gt;&lt;wsp:rsid wsp:val=&quot;009F7704&quot;/&gt;&lt;wsp:rsid wsp:val=&quot;009F7E7D&quot;/&gt;&lt;wsp:rsid wsp:val=&quot;00A00108&quot;/&gt;&lt;wsp:rsid wsp:val=&quot;00A0029D&quot;/&gt;&lt;wsp:rsid wsp:val=&quot;00A006E2&quot;/&gt;&lt;wsp:rsid wsp:val=&quot;00A006EE&quot;/&gt;&lt;wsp:rsid wsp:val=&quot;00A0074F&quot;/&gt;&lt;wsp:rsid wsp:val=&quot;00A00F23&quot;/&gt;&lt;wsp:rsid wsp:val=&quot;00A013C1&quot;/&gt;&lt;wsp:rsid wsp:val=&quot;00A01BB7&quot;/&gt;&lt;wsp:rsid wsp:val=&quot;00A01BBC&quot;/&gt;&lt;wsp:rsid wsp:val=&quot;00A01C6B&quot;/&gt;&lt;wsp:rsid wsp:val=&quot;00A01CBE&quot;/&gt;&lt;wsp:rsid wsp:val=&quot;00A0234B&quot;/&gt;&lt;wsp:rsid wsp:val=&quot;00A024CC&quot;/&gt;&lt;wsp:rsid wsp:val=&quot;00A02851&quot;/&gt;&lt;wsp:rsid wsp:val=&quot;00A02878&quot;/&gt;&lt;wsp:rsid wsp:val=&quot;00A02CB7&quot;/&gt;&lt;wsp:rsid wsp:val=&quot;00A0335B&quot;/&gt;&lt;wsp:rsid wsp:val=&quot;00A03B79&quot;/&gt;&lt;wsp:rsid wsp:val=&quot;00A03E14&quot;/&gt;&lt;wsp:rsid wsp:val=&quot;00A04440&quot;/&gt;&lt;wsp:rsid wsp:val=&quot;00A04E5B&quot;/&gt;&lt;wsp:rsid wsp:val=&quot;00A04F29&quot;/&gt;&lt;wsp:rsid wsp:val=&quot;00A05038&quot;/&gt;&lt;wsp:rsid wsp:val=&quot;00A0578A&quot;/&gt;&lt;wsp:rsid wsp:val=&quot;00A05925&quot;/&gt;&lt;wsp:rsid wsp:val=&quot;00A05AA3&quot;/&gt;&lt;wsp:rsid wsp:val=&quot;00A05F18&quot;/&gt;&lt;wsp:rsid wsp:val=&quot;00A06349&quot;/&gt;&lt;wsp:rsid wsp:val=&quot;00A06389&quot;/&gt;&lt;wsp:rsid wsp:val=&quot;00A063D6&quot;/&gt;&lt;wsp:rsid wsp:val=&quot;00A06AF7&quot;/&gt;&lt;wsp:rsid wsp:val=&quot;00A06C3B&quot;/&gt;&lt;wsp:rsid wsp:val=&quot;00A0705C&quot;/&gt;&lt;wsp:rsid wsp:val=&quot;00A071F0&quot;/&gt;&lt;wsp:rsid wsp:val=&quot;00A0795B&quot;/&gt;&lt;wsp:rsid wsp:val=&quot;00A07FD5&quot;/&gt;&lt;wsp:rsid wsp:val=&quot;00A10198&quot;/&gt;&lt;wsp:rsid wsp:val=&quot;00A101C2&quot;/&gt;&lt;wsp:rsid wsp:val=&quot;00A10679&quot;/&gt;&lt;wsp:rsid wsp:val=&quot;00A106EB&quot;/&gt;&lt;wsp:rsid wsp:val=&quot;00A109EE&quot;/&gt;&lt;wsp:rsid wsp:val=&quot;00A112E7&quot;/&gt;&lt;wsp:rsid wsp:val=&quot;00A11859&quot;/&gt;&lt;wsp:rsid wsp:val=&quot;00A11F40&quot;/&gt;&lt;wsp:rsid wsp:val=&quot;00A12240&quot;/&gt;&lt;wsp:rsid wsp:val=&quot;00A12640&quot;/&gt;&lt;wsp:rsid wsp:val=&quot;00A128AA&quot;/&gt;&lt;wsp:rsid wsp:val=&quot;00A12C11&quot;/&gt;&lt;wsp:rsid wsp:val=&quot;00A12C12&quot;/&gt;&lt;wsp:rsid wsp:val=&quot;00A12D6A&quot;/&gt;&lt;wsp:rsid wsp:val=&quot;00A12D7C&quot;/&gt;&lt;wsp:rsid wsp:val=&quot;00A1375D&quot;/&gt;&lt;wsp:rsid wsp:val=&quot;00A1385D&quot;/&gt;&lt;wsp:rsid wsp:val=&quot;00A13B28&quot;/&gt;&lt;wsp:rsid wsp:val=&quot;00A13D39&quot;/&gt;&lt;wsp:rsid wsp:val=&quot;00A13F73&quot;/&gt;&lt;wsp:rsid wsp:val=&quot;00A13F82&quot;/&gt;&lt;wsp:rsid wsp:val=&quot;00A13FED&quot;/&gt;&lt;wsp:rsid wsp:val=&quot;00A14252&quot;/&gt;&lt;wsp:rsid wsp:val=&quot;00A148D1&quot;/&gt;&lt;wsp:rsid wsp:val=&quot;00A148FB&quot;/&gt;&lt;wsp:rsid wsp:val=&quot;00A14FE7&quot;/&gt;&lt;wsp:rsid wsp:val=&quot;00A150D5&quot;/&gt;&lt;wsp:rsid wsp:val=&quot;00A15168&quot;/&gt;&lt;wsp:rsid wsp:val=&quot;00A1543F&quot;/&gt;&lt;wsp:rsid wsp:val=&quot;00A15572&quot;/&gt;&lt;wsp:rsid wsp:val=&quot;00A15783&quot;/&gt;&lt;wsp:rsid wsp:val=&quot;00A15C97&quot;/&gt;&lt;wsp:rsid wsp:val=&quot;00A15CBA&quot;/&gt;&lt;wsp:rsid wsp:val=&quot;00A16141&quot;/&gt;&lt;wsp:rsid wsp:val=&quot;00A166D0&quot;/&gt;&lt;wsp:rsid wsp:val=&quot;00A16A35&quot;/&gt;&lt;wsp:rsid wsp:val=&quot;00A1722D&quot;/&gt;&lt;wsp:rsid wsp:val=&quot;00A1763E&quot;/&gt;&lt;wsp:rsid wsp:val=&quot;00A17B2D&quot;/&gt;&lt;wsp:rsid wsp:val=&quot;00A17C35&quot;/&gt;&lt;wsp:rsid wsp:val=&quot;00A17D80&quot;/&gt;&lt;wsp:rsid wsp:val=&quot;00A17DDB&quot;/&gt;&lt;wsp:rsid wsp:val=&quot;00A17E93&quot;/&gt;&lt;wsp:rsid wsp:val=&quot;00A17FD5&quot;/&gt;&lt;wsp:rsid wsp:val=&quot;00A20378&quot;/&gt;&lt;wsp:rsid wsp:val=&quot;00A209EA&quot;/&gt;&lt;wsp:rsid wsp:val=&quot;00A20D10&quot;/&gt;&lt;wsp:rsid wsp:val=&quot;00A20E6C&quot;/&gt;&lt;wsp:rsid wsp:val=&quot;00A20F11&quot;/&gt;&lt;wsp:rsid wsp:val=&quot;00A21ABD&quot;/&gt;&lt;wsp:rsid wsp:val=&quot;00A21BFA&quot;/&gt;&lt;wsp:rsid wsp:val=&quot;00A21CE4&quot;/&gt;&lt;wsp:rsid wsp:val=&quot;00A2207C&quot;/&gt;&lt;wsp:rsid wsp:val=&quot;00A22137&quot;/&gt;&lt;wsp:rsid wsp:val=&quot;00A226FC&quot;/&gt;&lt;wsp:rsid wsp:val=&quot;00A226FF&quot;/&gt;&lt;wsp:rsid wsp:val=&quot;00A2291F&quot;/&gt;&lt;wsp:rsid wsp:val=&quot;00A22E0D&quot;/&gt;&lt;wsp:rsid wsp:val=&quot;00A22F42&quot;/&gt;&lt;wsp:rsid wsp:val=&quot;00A23506&quot;/&gt;&lt;wsp:rsid wsp:val=&quot;00A23648&quot;/&gt;&lt;wsp:rsid wsp:val=&quot;00A23994&quot;/&gt;&lt;wsp:rsid wsp:val=&quot;00A23B5E&quot;/&gt;&lt;wsp:rsid wsp:val=&quot;00A24233&quot;/&gt;&lt;wsp:rsid wsp:val=&quot;00A24248&quot;/&gt;&lt;wsp:rsid wsp:val=&quot;00A24A2D&quot;/&gt;&lt;wsp:rsid wsp:val=&quot;00A252E7&quot;/&gt;&lt;wsp:rsid wsp:val=&quot;00A2593E&quot;/&gt;&lt;wsp:rsid wsp:val=&quot;00A261A7&quot;/&gt;&lt;wsp:rsid wsp:val=&quot;00A262EE&quot;/&gt;&lt;wsp:rsid wsp:val=&quot;00A270A3&quot;/&gt;&lt;wsp:rsid wsp:val=&quot;00A27218&quot;/&gt;&lt;wsp:rsid wsp:val=&quot;00A272C0&quot;/&gt;&lt;wsp:rsid wsp:val=&quot;00A27335&quot;/&gt;&lt;wsp:rsid wsp:val=&quot;00A27758&quot;/&gt;&lt;wsp:rsid wsp:val=&quot;00A27EF4&quot;/&gt;&lt;wsp:rsid wsp:val=&quot;00A27F1E&quot;/&gt;&lt;wsp:rsid wsp:val=&quot;00A30022&quot;/&gt;&lt;wsp:rsid wsp:val=&quot;00A30405&quot;/&gt;&lt;wsp:rsid wsp:val=&quot;00A30473&quot;/&gt;&lt;wsp:rsid wsp:val=&quot;00A304F6&quot;/&gt;&lt;wsp:rsid wsp:val=&quot;00A30940&quot;/&gt;&lt;wsp:rsid wsp:val=&quot;00A30C79&quot;/&gt;&lt;wsp:rsid wsp:val=&quot;00A30CD9&quot;/&gt;&lt;wsp:rsid wsp:val=&quot;00A30D84&quot;/&gt;&lt;wsp:rsid wsp:val=&quot;00A310F8&quot;/&gt;&lt;wsp:rsid wsp:val=&quot;00A31154&quot;/&gt;&lt;wsp:rsid wsp:val=&quot;00A3124A&quot;/&gt;&lt;wsp:rsid wsp:val=&quot;00A31811&quot;/&gt;&lt;wsp:rsid wsp:val=&quot;00A31CD5&quot;/&gt;&lt;wsp:rsid wsp:val=&quot;00A32633&quot;/&gt;&lt;wsp:rsid wsp:val=&quot;00A32EF9&quot;/&gt;&lt;wsp:rsid wsp:val=&quot;00A3384E&quot;/&gt;&lt;wsp:rsid wsp:val=&quot;00A33D51&quot;/&gt;&lt;wsp:rsid wsp:val=&quot;00A33EAA&quot;/&gt;&lt;wsp:rsid wsp:val=&quot;00A34099&quot;/&gt;&lt;wsp:rsid wsp:val=&quot;00A343F7&quot;/&gt;&lt;wsp:rsid wsp:val=&quot;00A34488&quot;/&gt;&lt;wsp:rsid wsp:val=&quot;00A34787&quot;/&gt;&lt;wsp:rsid wsp:val=&quot;00A3483B&quot;/&gt;&lt;wsp:rsid wsp:val=&quot;00A348E8&quot;/&gt;&lt;wsp:rsid wsp:val=&quot;00A34919&quot;/&gt;&lt;wsp:rsid wsp:val=&quot;00A34AB2&quot;/&gt;&lt;wsp:rsid wsp:val=&quot;00A3521D&quot;/&gt;&lt;wsp:rsid wsp:val=&quot;00A352D6&quot;/&gt;&lt;wsp:rsid wsp:val=&quot;00A35655&quot;/&gt;&lt;wsp:rsid wsp:val=&quot;00A35DA5&quot;/&gt;&lt;wsp:rsid wsp:val=&quot;00A3602A&quot;/&gt;&lt;wsp:rsid wsp:val=&quot;00A3612D&quot;/&gt;&lt;wsp:rsid wsp:val=&quot;00A3687D&quot;/&gt;&lt;wsp:rsid wsp:val=&quot;00A36911&quot;/&gt;&lt;wsp:rsid wsp:val=&quot;00A36FC7&quot;/&gt;&lt;wsp:rsid wsp:val=&quot;00A375E3&quot;/&gt;&lt;wsp:rsid wsp:val=&quot;00A37CCC&quot;/&gt;&lt;wsp:rsid wsp:val=&quot;00A37D0D&quot;/&gt;&lt;wsp:rsid wsp:val=&quot;00A40248&quot;/&gt;&lt;wsp:rsid wsp:val=&quot;00A40A2D&quot;/&gt;&lt;wsp:rsid wsp:val=&quot;00A40C6F&quot;/&gt;&lt;wsp:rsid wsp:val=&quot;00A40F5C&quot;/&gt;&lt;wsp:rsid wsp:val=&quot;00A41847&quot;/&gt;&lt;wsp:rsid wsp:val=&quot;00A41B59&quot;/&gt;&lt;wsp:rsid wsp:val=&quot;00A41EEF&quot;/&gt;&lt;wsp:rsid wsp:val=&quot;00A4240B&quot;/&gt;&lt;wsp:rsid wsp:val=&quot;00A4252A&quot;/&gt;&lt;wsp:rsid wsp:val=&quot;00A429A0&quot;/&gt;&lt;wsp:rsid wsp:val=&quot;00A43176&quot;/&gt;&lt;wsp:rsid wsp:val=&quot;00A43177&quot;/&gt;&lt;wsp:rsid wsp:val=&quot;00A43326&quot;/&gt;&lt;wsp:rsid wsp:val=&quot;00A43637&quot;/&gt;&lt;wsp:rsid wsp:val=&quot;00A4383F&quot;/&gt;&lt;wsp:rsid wsp:val=&quot;00A43F6D&quot;/&gt;&lt;wsp:rsid wsp:val=&quot;00A442DB&quot;/&gt;&lt;wsp:rsid wsp:val=&quot;00A44F49&quot;/&gt;&lt;wsp:rsid wsp:val=&quot;00A465D5&quot;/&gt;&lt;wsp:rsid wsp:val=&quot;00A47257&quot;/&gt;&lt;wsp:rsid wsp:val=&quot;00A4729B&quot;/&gt;&lt;wsp:rsid wsp:val=&quot;00A4778F&quot;/&gt;&lt;wsp:rsid wsp:val=&quot;00A47AEC&quot;/&gt;&lt;wsp:rsid wsp:val=&quot;00A47F2C&quot;/&gt;&lt;wsp:rsid wsp:val=&quot;00A50056&quot;/&gt;&lt;wsp:rsid wsp:val=&quot;00A5053E&quot;/&gt;&lt;wsp:rsid wsp:val=&quot;00A50D97&quot;/&gt;&lt;wsp:rsid wsp:val=&quot;00A51313&quot;/&gt;&lt;wsp:rsid wsp:val=&quot;00A513B8&quot;/&gt;&lt;wsp:rsid wsp:val=&quot;00A51795&quot;/&gt;&lt;wsp:rsid wsp:val=&quot;00A51870&quot;/&gt;&lt;wsp:rsid wsp:val=&quot;00A518ED&quot;/&gt;&lt;wsp:rsid wsp:val=&quot;00A51CA5&quot;/&gt;&lt;wsp:rsid wsp:val=&quot;00A51F41&quot;/&gt;&lt;wsp:rsid wsp:val=&quot;00A51F64&quot;/&gt;&lt;wsp:rsid wsp:val=&quot;00A52270&quot;/&gt;&lt;wsp:rsid wsp:val=&quot;00A526BB&quot;/&gt;&lt;wsp:rsid wsp:val=&quot;00A528FE&quot;/&gt;&lt;wsp:rsid wsp:val=&quot;00A52AB8&quot;/&gt;&lt;wsp:rsid wsp:val=&quot;00A52C16&quot;/&gt;&lt;wsp:rsid wsp:val=&quot;00A52FAE&quot;/&gt;&lt;wsp:rsid wsp:val=&quot;00A53478&quot;/&gt;&lt;wsp:rsid wsp:val=&quot;00A537B8&quot;/&gt;&lt;wsp:rsid wsp:val=&quot;00A537CA&quot;/&gt;&lt;wsp:rsid wsp:val=&quot;00A53809&quot;/&gt;&lt;wsp:rsid wsp:val=&quot;00A53D59&quot;/&gt;&lt;wsp:rsid wsp:val=&quot;00A53E21&quot;/&gt;&lt;wsp:rsid wsp:val=&quot;00A54816&quot;/&gt;&lt;wsp:rsid wsp:val=&quot;00A54971&quot;/&gt;&lt;wsp:rsid wsp:val=&quot;00A54E31&quot;/&gt;&lt;wsp:rsid wsp:val=&quot;00A5553C&quot;/&gt;&lt;wsp:rsid wsp:val=&quot;00A55B82&quot;/&gt;&lt;wsp:rsid wsp:val=&quot;00A56042&quot;/&gt;&lt;wsp:rsid wsp:val=&quot;00A5604E&quot;/&gt;&lt;wsp:rsid wsp:val=&quot;00A56484&quot;/&gt;&lt;wsp:rsid wsp:val=&quot;00A56E0B&quot;/&gt;&lt;wsp:rsid wsp:val=&quot;00A575B8&quot;/&gt;&lt;wsp:rsid wsp:val=&quot;00A57746&quot;/&gt;&lt;wsp:rsid wsp:val=&quot;00A57A97&quot;/&gt;&lt;wsp:rsid wsp:val=&quot;00A57D2D&quot;/&gt;&lt;wsp:rsid wsp:val=&quot;00A6006A&quot;/&gt;&lt;wsp:rsid wsp:val=&quot;00A6014E&quot;/&gt;&lt;wsp:rsid wsp:val=&quot;00A604C0&quot;/&gt;&lt;wsp:rsid wsp:val=&quot;00A607AF&quot;/&gt;&lt;wsp:rsid wsp:val=&quot;00A60DD1&quot;/&gt;&lt;wsp:rsid wsp:val=&quot;00A6113E&quot;/&gt;&lt;wsp:rsid wsp:val=&quot;00A6171A&quot;/&gt;&lt;wsp:rsid wsp:val=&quot;00A61798&quot;/&gt;&lt;wsp:rsid wsp:val=&quot;00A6194C&quot;/&gt;&lt;wsp:rsid wsp:val=&quot;00A61983&quot;/&gt;&lt;wsp:rsid wsp:val=&quot;00A61A8E&quot;/&gt;&lt;wsp:rsid wsp:val=&quot;00A61DB3&quot;/&gt;&lt;wsp:rsid wsp:val=&quot;00A61E69&quot;/&gt;&lt;wsp:rsid wsp:val=&quot;00A62020&quot;/&gt;&lt;wsp:rsid wsp:val=&quot;00A626B2&quot;/&gt;&lt;wsp:rsid wsp:val=&quot;00A627DD&quot;/&gt;&lt;wsp:rsid wsp:val=&quot;00A629DA&quot;/&gt;&lt;wsp:rsid wsp:val=&quot;00A6304F&quot;/&gt;&lt;wsp:rsid wsp:val=&quot;00A63AA4&quot;/&gt;&lt;wsp:rsid wsp:val=&quot;00A63B13&quot;/&gt;&lt;wsp:rsid wsp:val=&quot;00A63D49&quot;/&gt;&lt;wsp:rsid wsp:val=&quot;00A64267&quot;/&gt;&lt;wsp:rsid wsp:val=&quot;00A648AE&quot;/&gt;&lt;wsp:rsid wsp:val=&quot;00A64BC5&quot;/&gt;&lt;wsp:rsid wsp:val=&quot;00A64D66&quot;/&gt;&lt;wsp:rsid wsp:val=&quot;00A65203&quot;/&gt;&lt;wsp:rsid wsp:val=&quot;00A65267&quot;/&gt;&lt;wsp:rsid wsp:val=&quot;00A6539A&quot;/&gt;&lt;wsp:rsid wsp:val=&quot;00A65429&quot;/&gt;&lt;wsp:rsid wsp:val=&quot;00A65763&quot;/&gt;&lt;wsp:rsid wsp:val=&quot;00A65CF2&quot;/&gt;&lt;wsp:rsid wsp:val=&quot;00A65FB1&quot;/&gt;&lt;wsp:rsid wsp:val=&quot;00A660DE&quot;/&gt;&lt;wsp:rsid wsp:val=&quot;00A66337&quot;/&gt;&lt;wsp:rsid wsp:val=&quot;00A66855&quot;/&gt;&lt;wsp:rsid wsp:val=&quot;00A66C91&quot;/&gt;&lt;wsp:rsid wsp:val=&quot;00A66D12&quot;/&gt;&lt;wsp:rsid wsp:val=&quot;00A66D7A&quot;/&gt;&lt;wsp:rsid wsp:val=&quot;00A670D6&quot;/&gt;&lt;wsp:rsid wsp:val=&quot;00A6729D&quot;/&gt;&lt;wsp:rsid wsp:val=&quot;00A67394&quot;/&gt;&lt;wsp:rsid wsp:val=&quot;00A677B5&quot;/&gt;&lt;wsp:rsid wsp:val=&quot;00A6790F&quot;/&gt;&lt;wsp:rsid wsp:val=&quot;00A67912&quot;/&gt;&lt;wsp:rsid wsp:val=&quot;00A67DAC&quot;/&gt;&lt;wsp:rsid wsp:val=&quot;00A701FD&quot;/&gt;&lt;wsp:rsid wsp:val=&quot;00A707D4&quot;/&gt;&lt;wsp:rsid wsp:val=&quot;00A70A5B&quot;/&gt;&lt;wsp:rsid wsp:val=&quot;00A70BDE&quot;/&gt;&lt;wsp:rsid wsp:val=&quot;00A70E8D&quot;/&gt;&lt;wsp:rsid wsp:val=&quot;00A70EC1&quot;/&gt;&lt;wsp:rsid wsp:val=&quot;00A70F52&quot;/&gt;&lt;wsp:rsid wsp:val=&quot;00A710F7&quot;/&gt;&lt;wsp:rsid wsp:val=&quot;00A71124&quot;/&gt;&lt;wsp:rsid wsp:val=&quot;00A7121B&quot;/&gt;&lt;wsp:rsid wsp:val=&quot;00A715C6&quot;/&gt;&lt;wsp:rsid wsp:val=&quot;00A715FD&quot;/&gt;&lt;wsp:rsid wsp:val=&quot;00A71A9A&quot;/&gt;&lt;wsp:rsid wsp:val=&quot;00A71FF8&quot;/&gt;&lt;wsp:rsid wsp:val=&quot;00A7266F&quot;/&gt;&lt;wsp:rsid wsp:val=&quot;00A72C11&quot;/&gt;&lt;wsp:rsid wsp:val=&quot;00A72E7A&quot;/&gt;&lt;wsp:rsid wsp:val=&quot;00A7352C&quot;/&gt;&lt;wsp:rsid wsp:val=&quot;00A73841&quot;/&gt;&lt;wsp:rsid wsp:val=&quot;00A73A59&quot;/&gt;&lt;wsp:rsid wsp:val=&quot;00A73D44&quot;/&gt;&lt;wsp:rsid wsp:val=&quot;00A741C8&quot;/&gt;&lt;wsp:rsid wsp:val=&quot;00A74A9A&quot;/&gt;&lt;wsp:rsid wsp:val=&quot;00A74C38&quot;/&gt;&lt;wsp:rsid wsp:val=&quot;00A75314&quot;/&gt;&lt;wsp:rsid wsp:val=&quot;00A7562A&quot;/&gt;&lt;wsp:rsid wsp:val=&quot;00A75D66&quot;/&gt;&lt;wsp:rsid wsp:val=&quot;00A75E31&quot;/&gt;&lt;wsp:rsid wsp:val=&quot;00A75E76&quot;/&gt;&lt;wsp:rsid wsp:val=&quot;00A76326&quot;/&gt;&lt;wsp:rsid wsp:val=&quot;00A765A2&quot;/&gt;&lt;wsp:rsid wsp:val=&quot;00A765C0&quot;/&gt;&lt;wsp:rsid wsp:val=&quot;00A7686C&quot;/&gt;&lt;wsp:rsid wsp:val=&quot;00A76A08&quot;/&gt;&lt;wsp:rsid wsp:val=&quot;00A76A40&quot;/&gt;&lt;wsp:rsid wsp:val=&quot;00A76B2A&quot;/&gt;&lt;wsp:rsid wsp:val=&quot;00A76D07&quot;/&gt;&lt;wsp:rsid wsp:val=&quot;00A76E3C&quot;/&gt;&lt;wsp:rsid wsp:val=&quot;00A7790D&quot;/&gt;&lt;wsp:rsid wsp:val=&quot;00A77B57&quot;/&gt;&lt;wsp:rsid wsp:val=&quot;00A77BFB&quot;/&gt;&lt;wsp:rsid wsp:val=&quot;00A800B3&quot;/&gt;&lt;wsp:rsid wsp:val=&quot;00A80333&quot;/&gt;&lt;wsp:rsid wsp:val=&quot;00A807B7&quot;/&gt;&lt;wsp:rsid wsp:val=&quot;00A80877&quot;/&gt;&lt;wsp:rsid wsp:val=&quot;00A80892&quot;/&gt;&lt;wsp:rsid wsp:val=&quot;00A80A0E&quot;/&gt;&lt;wsp:rsid wsp:val=&quot;00A80A86&quot;/&gt;&lt;wsp:rsid wsp:val=&quot;00A810F9&quot;/&gt;&lt;wsp:rsid wsp:val=&quot;00A8111C&quot;/&gt;&lt;wsp:rsid wsp:val=&quot;00A8170A&quot;/&gt;&lt;wsp:rsid wsp:val=&quot;00A818A4&quot;/&gt;&lt;wsp:rsid wsp:val=&quot;00A81DD7&quot;/&gt;&lt;wsp:rsid wsp:val=&quot;00A820B4&quot;/&gt;&lt;wsp:rsid wsp:val=&quot;00A82346&quot;/&gt;&lt;wsp:rsid wsp:val=&quot;00A82675&quot;/&gt;&lt;wsp:rsid wsp:val=&quot;00A82773&quot;/&gt;&lt;wsp:rsid wsp:val=&quot;00A8277D&quot;/&gt;&lt;wsp:rsid wsp:val=&quot;00A83BFC&quot;/&gt;&lt;wsp:rsid wsp:val=&quot;00A83DD5&quot;/&gt;&lt;wsp:rsid wsp:val=&quot;00A841A8&quot;/&gt;&lt;wsp:rsid wsp:val=&quot;00A8425B&quot;/&gt;&lt;wsp:rsid wsp:val=&quot;00A84D1E&quot;/&gt;&lt;wsp:rsid wsp:val=&quot;00A85234&quot;/&gt;&lt;wsp:rsid wsp:val=&quot;00A853B5&quot;/&gt;&lt;wsp:rsid wsp:val=&quot;00A855A2&quot;/&gt;&lt;wsp:rsid wsp:val=&quot;00A85755&quot;/&gt;&lt;wsp:rsid wsp:val=&quot;00A858ED&quot;/&gt;&lt;wsp:rsid wsp:val=&quot;00A85A20&quot;/&gt;&lt;wsp:rsid wsp:val=&quot;00A85D90&quot;/&gt;&lt;wsp:rsid wsp:val=&quot;00A85E89&quot;/&gt;&lt;wsp:rsid wsp:val=&quot;00A85EB0&quot;/&gt;&lt;wsp:rsid wsp:val=&quot;00A86531&quot;/&gt;&lt;wsp:rsid wsp:val=&quot;00A867EB&quot;/&gt;&lt;wsp:rsid wsp:val=&quot;00A86B33&quot;/&gt;&lt;wsp:rsid wsp:val=&quot;00A86EEB&quot;/&gt;&lt;wsp:rsid wsp:val=&quot;00A87155&quot;/&gt;&lt;wsp:rsid wsp:val=&quot;00A87208&quot;/&gt;&lt;wsp:rsid wsp:val=&quot;00A87724&quot;/&gt;&lt;wsp:rsid wsp:val=&quot;00A87820&quot;/&gt;&lt;wsp:rsid wsp:val=&quot;00A8788D&quot;/&gt;&lt;wsp:rsid wsp:val=&quot;00A878A4&quot;/&gt;&lt;wsp:rsid wsp:val=&quot;00A879D6&quot;/&gt;&lt;wsp:rsid wsp:val=&quot;00A87C29&quot;/&gt;&lt;wsp:rsid wsp:val=&quot;00A87F41&quot;/&gt;&lt;wsp:rsid wsp:val=&quot;00A903DE&quot;/&gt;&lt;wsp:rsid wsp:val=&quot;00A90584&quot;/&gt;&lt;wsp:rsid wsp:val=&quot;00A90A12&quot;/&gt;&lt;wsp:rsid wsp:val=&quot;00A90F31&quot;/&gt;&lt;wsp:rsid wsp:val=&quot;00A912DD&quot;/&gt;&lt;wsp:rsid wsp:val=&quot;00A915D8&quot;/&gt;&lt;wsp:rsid wsp:val=&quot;00A91839&quot;/&gt;&lt;wsp:rsid wsp:val=&quot;00A91B76&quot;/&gt;&lt;wsp:rsid wsp:val=&quot;00A91B9A&quot;/&gt;&lt;wsp:rsid wsp:val=&quot;00A91E08&quot;/&gt;&lt;wsp:rsid wsp:val=&quot;00A92168&quot;/&gt;&lt;wsp:rsid wsp:val=&quot;00A92513&quot;/&gt;&lt;wsp:rsid wsp:val=&quot;00A928DB&quot;/&gt;&lt;wsp:rsid wsp:val=&quot;00A9295F&quot;/&gt;&lt;wsp:rsid wsp:val=&quot;00A92B87&quot;/&gt;&lt;wsp:rsid wsp:val=&quot;00A9315B&quot;/&gt;&lt;wsp:rsid wsp:val=&quot;00A931F2&quot;/&gt;&lt;wsp:rsid wsp:val=&quot;00A93507&quot;/&gt;&lt;wsp:rsid wsp:val=&quot;00A935C3&quot;/&gt;&lt;wsp:rsid wsp:val=&quot;00A93D4E&quot;/&gt;&lt;wsp:rsid wsp:val=&quot;00A93DE5&quot;/&gt;&lt;wsp:rsid wsp:val=&quot;00A93DE8&quot;/&gt;&lt;wsp:rsid wsp:val=&quot;00A93F76&quot;/&gt;&lt;wsp:rsid wsp:val=&quot;00A94491&quot;/&gt;&lt;wsp:rsid wsp:val=&quot;00A9480B&quot;/&gt;&lt;wsp:rsid wsp:val=&quot;00A94810&quot;/&gt;&lt;wsp:rsid wsp:val=&quot;00A951C6&quot;/&gt;&lt;wsp:rsid wsp:val=&quot;00A95BEC&quot;/&gt;&lt;wsp:rsid wsp:val=&quot;00A961BB&quot;/&gt;&lt;wsp:rsid wsp:val=&quot;00A9681E&quot;/&gt;&lt;wsp:rsid wsp:val=&quot;00A96A52&quot;/&gt;&lt;wsp:rsid wsp:val=&quot;00A96A66&quot;/&gt;&lt;wsp:rsid wsp:val=&quot;00A96AE7&quot;/&gt;&lt;wsp:rsid wsp:val=&quot;00A96EA8&quot;/&gt;&lt;wsp:rsid wsp:val=&quot;00A97920&quot;/&gt;&lt;wsp:rsid wsp:val=&quot;00A97D65&quot;/&gt;&lt;wsp:rsid wsp:val=&quot;00A97F1F&quot;/&gt;&lt;wsp:rsid wsp:val=&quot;00AA02FD&quot;/&gt;&lt;wsp:rsid wsp:val=&quot;00AA042C&quot;/&gt;&lt;wsp:rsid wsp:val=&quot;00AA0584&quot;/&gt;&lt;wsp:rsid wsp:val=&quot;00AA069E&quot;/&gt;&lt;wsp:rsid wsp:val=&quot;00AA0A78&quot;/&gt;&lt;wsp:rsid wsp:val=&quot;00AA0C0C&quot;/&gt;&lt;wsp:rsid wsp:val=&quot;00AA0C45&quot;/&gt;&lt;wsp:rsid wsp:val=&quot;00AA1080&quot;/&gt;&lt;wsp:rsid wsp:val=&quot;00AA1CBC&quot;/&gt;&lt;wsp:rsid wsp:val=&quot;00AA23FC&quot;/&gt;&lt;wsp:rsid wsp:val=&quot;00AA2521&quot;/&gt;&lt;wsp:rsid wsp:val=&quot;00AA2F18&quot;/&gt;&lt;wsp:rsid wsp:val=&quot;00AA314E&quot;/&gt;&lt;wsp:rsid wsp:val=&quot;00AA33A4&quot;/&gt;&lt;wsp:rsid wsp:val=&quot;00AA346B&quot;/&gt;&lt;wsp:rsid wsp:val=&quot;00AA3476&quot;/&gt;&lt;wsp:rsid wsp:val=&quot;00AA3937&quot;/&gt;&lt;wsp:rsid wsp:val=&quot;00AA3B2C&quot;/&gt;&lt;wsp:rsid wsp:val=&quot;00AA3C7A&quot;/&gt;&lt;wsp:rsid wsp:val=&quot;00AA3CBE&quot;/&gt;&lt;wsp:rsid wsp:val=&quot;00AA4246&quot;/&gt;&lt;wsp:rsid wsp:val=&quot;00AA4607&quot;/&gt;&lt;wsp:rsid wsp:val=&quot;00AA47E8&quot;/&gt;&lt;wsp:rsid wsp:val=&quot;00AA48A3&quot;/&gt;&lt;wsp:rsid wsp:val=&quot;00AA4924&quot;/&gt;&lt;wsp:rsid wsp:val=&quot;00AA4D99&quot;/&gt;&lt;wsp:rsid wsp:val=&quot;00AA4E2D&quot;/&gt;&lt;wsp:rsid wsp:val=&quot;00AA510B&quot;/&gt;&lt;wsp:rsid wsp:val=&quot;00AA512E&quot;/&gt;&lt;wsp:rsid wsp:val=&quot;00AA51BB&quot;/&gt;&lt;wsp:rsid wsp:val=&quot;00AA52B0&quot;/&gt;&lt;wsp:rsid wsp:val=&quot;00AA54CF&quot;/&gt;&lt;wsp:rsid wsp:val=&quot;00AA55AC&quot;/&gt;&lt;wsp:rsid wsp:val=&quot;00AA55DC&quot;/&gt;&lt;wsp:rsid wsp:val=&quot;00AA5A0A&quot;/&gt;&lt;wsp:rsid wsp:val=&quot;00AA5D36&quot;/&gt;&lt;wsp:rsid wsp:val=&quot;00AA5F33&quot;/&gt;&lt;wsp:rsid wsp:val=&quot;00AA66CE&quot;/&gt;&lt;wsp:rsid wsp:val=&quot;00AA6F5D&quot;/&gt;&lt;wsp:rsid wsp:val=&quot;00AA7915&quot;/&gt;&lt;wsp:rsid wsp:val=&quot;00AB097D&quot;/&gt;&lt;wsp:rsid wsp:val=&quot;00AB0B87&quot;/&gt;&lt;wsp:rsid wsp:val=&quot;00AB0E1C&quot;/&gt;&lt;wsp:rsid wsp:val=&quot;00AB10CD&quot;/&gt;&lt;wsp:rsid wsp:val=&quot;00AB1244&quot;/&gt;&lt;wsp:rsid wsp:val=&quot;00AB1504&quot;/&gt;&lt;wsp:rsid wsp:val=&quot;00AB20B0&quot;/&gt;&lt;wsp:rsid wsp:val=&quot;00AB2119&quot;/&gt;&lt;wsp:rsid wsp:val=&quot;00AB237C&quot;/&gt;&lt;wsp:rsid wsp:val=&quot;00AB269D&quot;/&gt;&lt;wsp:rsid wsp:val=&quot;00AB274E&quot;/&gt;&lt;wsp:rsid wsp:val=&quot;00AB292A&quot;/&gt;&lt;wsp:rsid wsp:val=&quot;00AB2CF5&quot;/&gt;&lt;wsp:rsid wsp:val=&quot;00AB2E72&quot;/&gt;&lt;wsp:rsid wsp:val=&quot;00AB2F00&quot;/&gt;&lt;wsp:rsid wsp:val=&quot;00AB301B&quot;/&gt;&lt;wsp:rsid wsp:val=&quot;00AB308B&quot;/&gt;&lt;wsp:rsid wsp:val=&quot;00AB3408&quot;/&gt;&lt;wsp:rsid wsp:val=&quot;00AB364B&quot;/&gt;&lt;wsp:rsid wsp:val=&quot;00AB389E&quot;/&gt;&lt;wsp:rsid wsp:val=&quot;00AB3D6A&quot;/&gt;&lt;wsp:rsid wsp:val=&quot;00AB42B0&quot;/&gt;&lt;wsp:rsid wsp:val=&quot;00AB47F0&quot;/&gt;&lt;wsp:rsid wsp:val=&quot;00AB4952&quot;/&gt;&lt;wsp:rsid wsp:val=&quot;00AB4C51&quot;/&gt;&lt;wsp:rsid wsp:val=&quot;00AB4C7F&quot;/&gt;&lt;wsp:rsid wsp:val=&quot;00AB4E24&quot;/&gt;&lt;wsp:rsid wsp:val=&quot;00AB4FE3&quot;/&gt;&lt;wsp:rsid wsp:val=&quot;00AB504C&quot;/&gt;&lt;wsp:rsid wsp:val=&quot;00AB51FA&quot;/&gt;&lt;wsp:rsid wsp:val=&quot;00AB5375&quot;/&gt;&lt;wsp:rsid wsp:val=&quot;00AB5404&quot;/&gt;&lt;wsp:rsid wsp:val=&quot;00AB55DD&quot;/&gt;&lt;wsp:rsid wsp:val=&quot;00AB5747&quot;/&gt;&lt;wsp:rsid wsp:val=&quot;00AB5B35&quot;/&gt;&lt;wsp:rsid wsp:val=&quot;00AB5CE5&quot;/&gt;&lt;wsp:rsid wsp:val=&quot;00AB67B5&quot;/&gt;&lt;wsp:rsid wsp:val=&quot;00AB67F3&quot;/&gt;&lt;wsp:rsid wsp:val=&quot;00AB6D48&quot;/&gt;&lt;wsp:rsid wsp:val=&quot;00AB6EC3&quot;/&gt;&lt;wsp:rsid wsp:val=&quot;00AB7C45&quot;/&gt;&lt;wsp:rsid wsp:val=&quot;00AC0763&quot;/&gt;&lt;wsp:rsid wsp:val=&quot;00AC0967&quot;/&gt;&lt;wsp:rsid wsp:val=&quot;00AC0D90&quot;/&gt;&lt;wsp:rsid wsp:val=&quot;00AC1044&quot;/&gt;&lt;wsp:rsid wsp:val=&quot;00AC1366&quot;/&gt;&lt;wsp:rsid wsp:val=&quot;00AC1455&quot;/&gt;&lt;wsp:rsid wsp:val=&quot;00AC18E9&quot;/&gt;&lt;wsp:rsid wsp:val=&quot;00AC19BD&quot;/&gt;&lt;wsp:rsid wsp:val=&quot;00AC2032&quot;/&gt;&lt;wsp:rsid wsp:val=&quot;00AC20DA&quot;/&gt;&lt;wsp:rsid wsp:val=&quot;00AC22D2&quot;/&gt;&lt;wsp:rsid wsp:val=&quot;00AC2495&quot;/&gt;&lt;wsp:rsid wsp:val=&quot;00AC2652&quot;/&gt;&lt;wsp:rsid wsp:val=&quot;00AC2926&quot;/&gt;&lt;wsp:rsid wsp:val=&quot;00AC2B5B&quot;/&gt;&lt;wsp:rsid wsp:val=&quot;00AC308A&quot;/&gt;&lt;wsp:rsid wsp:val=&quot;00AC358E&quot;/&gt;&lt;wsp:rsid wsp:val=&quot;00AC3903&quot;/&gt;&lt;wsp:rsid wsp:val=&quot;00AC4063&quot;/&gt;&lt;wsp:rsid wsp:val=&quot;00AC40EE&quot;/&gt;&lt;wsp:rsid wsp:val=&quot;00AC4234&quot;/&gt;&lt;wsp:rsid wsp:val=&quot;00AC4D26&quot;/&gt;&lt;wsp:rsid wsp:val=&quot;00AC4E76&quot;/&gt;&lt;wsp:rsid wsp:val=&quot;00AC4F73&quot;/&gt;&lt;wsp:rsid wsp:val=&quot;00AC533B&quot;/&gt;&lt;wsp:rsid wsp:val=&quot;00AC56DD&quot;/&gt;&lt;wsp:rsid wsp:val=&quot;00AC5796&quot;/&gt;&lt;wsp:rsid wsp:val=&quot;00AC650B&quot;/&gt;&lt;wsp:rsid wsp:val=&quot;00AC6598&quot;/&gt;&lt;wsp:rsid wsp:val=&quot;00AC68D8&quot;/&gt;&lt;wsp:rsid wsp:val=&quot;00AC699A&quot;/&gt;&lt;wsp:rsid wsp:val=&quot;00AC6C6D&quot;/&gt;&lt;wsp:rsid wsp:val=&quot;00AC6DC2&quot;/&gt;&lt;wsp:rsid wsp:val=&quot;00AC704A&quot;/&gt;&lt;wsp:rsid wsp:val=&quot;00AC73C4&quot;/&gt;&lt;wsp:rsid wsp:val=&quot;00AC77AC&quot;/&gt;&lt;wsp:rsid wsp:val=&quot;00AC7D8E&quot;/&gt;&lt;wsp:rsid wsp:val=&quot;00AD009D&quot;/&gt;&lt;wsp:rsid wsp:val=&quot;00AD034D&quot;/&gt;&lt;wsp:rsid wsp:val=&quot;00AD040A&quot;/&gt;&lt;wsp:rsid wsp:val=&quot;00AD0684&quot;/&gt;&lt;wsp:rsid wsp:val=&quot;00AD0779&quot;/&gt;&lt;wsp:rsid wsp:val=&quot;00AD08EF&quot;/&gt;&lt;wsp:rsid wsp:val=&quot;00AD1039&quot;/&gt;&lt;wsp:rsid wsp:val=&quot;00AD1BF3&quot;/&gt;&lt;wsp:rsid wsp:val=&quot;00AD1E48&quot;/&gt;&lt;wsp:rsid wsp:val=&quot;00AD2171&quot;/&gt;&lt;wsp:rsid wsp:val=&quot;00AD3062&quot;/&gt;&lt;wsp:rsid wsp:val=&quot;00AD3099&quot;/&gt;&lt;wsp:rsid wsp:val=&quot;00AD312C&quot;/&gt;&lt;wsp:rsid wsp:val=&quot;00AD32CE&quot;/&gt;&lt;wsp:rsid wsp:val=&quot;00AD334F&quot;/&gt;&lt;wsp:rsid wsp:val=&quot;00AD3D3D&quot;/&gt;&lt;wsp:rsid wsp:val=&quot;00AD405F&quot;/&gt;&lt;wsp:rsid wsp:val=&quot;00AD40C2&quot;/&gt;&lt;wsp:rsid wsp:val=&quot;00AD4218&quot;/&gt;&lt;wsp:rsid wsp:val=&quot;00AD4487&quot;/&gt;&lt;wsp:rsid wsp:val=&quot;00AD46B1&quot;/&gt;&lt;wsp:rsid wsp:val=&quot;00AD475B&quot;/&gt;&lt;wsp:rsid wsp:val=&quot;00AD4D3C&quot;/&gt;&lt;wsp:rsid wsp:val=&quot;00AD502A&quot;/&gt;&lt;wsp:rsid wsp:val=&quot;00AD56C8&quot;/&gt;&lt;wsp:rsid wsp:val=&quot;00AD5D9A&quot;/&gt;&lt;wsp:rsid wsp:val=&quot;00AD5DF1&quot;/&gt;&lt;wsp:rsid wsp:val=&quot;00AD63F8&quot;/&gt;&lt;wsp:rsid wsp:val=&quot;00AD67A3&quot;/&gt;&lt;wsp:rsid wsp:val=&quot;00AD67D1&quot;/&gt;&lt;wsp:rsid wsp:val=&quot;00AD6D97&quot;/&gt;&lt;wsp:rsid wsp:val=&quot;00AD6F2C&quot;/&gt;&lt;wsp:rsid wsp:val=&quot;00AD74DE&quot;/&gt;&lt;wsp:rsid wsp:val=&quot;00AD75D9&quot;/&gt;&lt;wsp:rsid wsp:val=&quot;00AD767D&quot;/&gt;&lt;wsp:rsid wsp:val=&quot;00AD79C8&quot;/&gt;&lt;wsp:rsid wsp:val=&quot;00AE024C&quot;/&gt;&lt;wsp:rsid wsp:val=&quot;00AE068F&quot;/&gt;&lt;wsp:rsid wsp:val=&quot;00AE0719&quot;/&gt;&lt;wsp:rsid wsp:val=&quot;00AE084B&quot;/&gt;&lt;wsp:rsid wsp:val=&quot;00AE0FEB&quot;/&gt;&lt;wsp:rsid wsp:val=&quot;00AE0FF8&quot;/&gt;&lt;wsp:rsid wsp:val=&quot;00AE1545&quot;/&gt;&lt;wsp:rsid wsp:val=&quot;00AE15DC&quot;/&gt;&lt;wsp:rsid wsp:val=&quot;00AE1955&quot;/&gt;&lt;wsp:rsid wsp:val=&quot;00AE1B40&quot;/&gt;&lt;wsp:rsid wsp:val=&quot;00AE20EA&quot;/&gt;&lt;wsp:rsid wsp:val=&quot;00AE224C&quot;/&gt;&lt;wsp:rsid wsp:val=&quot;00AE278A&quot;/&gt;&lt;wsp:rsid wsp:val=&quot;00AE2AC4&quot;/&gt;&lt;wsp:rsid wsp:val=&quot;00AE32E1&quot;/&gt;&lt;wsp:rsid wsp:val=&quot;00AE3803&quot;/&gt;&lt;wsp:rsid wsp:val=&quot;00AE3814&quot;/&gt;&lt;wsp:rsid wsp:val=&quot;00AE38C8&quot;/&gt;&lt;wsp:rsid wsp:val=&quot;00AE46DB&quot;/&gt;&lt;wsp:rsid wsp:val=&quot;00AE4840&quot;/&gt;&lt;wsp:rsid wsp:val=&quot;00AE5283&quot;/&gt;&lt;wsp:rsid wsp:val=&quot;00AE542C&quot;/&gt;&lt;wsp:rsid wsp:val=&quot;00AE5D98&quot;/&gt;&lt;wsp:rsid wsp:val=&quot;00AE5E12&quot;/&gt;&lt;wsp:rsid wsp:val=&quot;00AE5E2B&quot;/&gt;&lt;wsp:rsid wsp:val=&quot;00AE5EA0&quot;/&gt;&lt;wsp:rsid wsp:val=&quot;00AE69C5&quot;/&gt;&lt;wsp:rsid wsp:val=&quot;00AE6EB1&quot;/&gt;&lt;wsp:rsid wsp:val=&quot;00AE6F8E&quot;/&gt;&lt;wsp:rsid wsp:val=&quot;00AE76BD&quot;/&gt;&lt;wsp:rsid wsp:val=&quot;00AE794E&quot;/&gt;&lt;wsp:rsid wsp:val=&quot;00AE7B87&quot;/&gt;&lt;wsp:rsid wsp:val=&quot;00AF04F5&quot;/&gt;&lt;wsp:rsid wsp:val=&quot;00AF077C&quot;/&gt;&lt;wsp:rsid wsp:val=&quot;00AF078B&quot;/&gt;&lt;wsp:rsid wsp:val=&quot;00AF0C3E&quot;/&gt;&lt;wsp:rsid wsp:val=&quot;00AF14A8&quot;/&gt;&lt;wsp:rsid wsp:val=&quot;00AF1564&quot;/&gt;&lt;wsp:rsid wsp:val=&quot;00AF1B37&quot;/&gt;&lt;wsp:rsid wsp:val=&quot;00AF2287&quot;/&gt;&lt;wsp:rsid wsp:val=&quot;00AF2712&quot;/&gt;&lt;wsp:rsid wsp:val=&quot;00AF2CC9&quot;/&gt;&lt;wsp:rsid wsp:val=&quot;00AF2D3E&quot;/&gt;&lt;wsp:rsid wsp:val=&quot;00AF2F7A&quot;/&gt;&lt;wsp:rsid wsp:val=&quot;00AF2F9D&quot;/&gt;&lt;wsp:rsid wsp:val=&quot;00AF3149&quot;/&gt;&lt;wsp:rsid wsp:val=&quot;00AF3509&quot;/&gt;&lt;wsp:rsid wsp:val=&quot;00AF3529&quot;/&gt;&lt;wsp:rsid wsp:val=&quot;00AF3B58&quot;/&gt;&lt;wsp:rsid wsp:val=&quot;00AF3E49&quot;/&gt;&lt;wsp:rsid wsp:val=&quot;00AF424F&quot;/&gt;&lt;wsp:rsid wsp:val=&quot;00AF4343&quot;/&gt;&lt;wsp:rsid wsp:val=&quot;00AF55AA&quot;/&gt;&lt;wsp:rsid wsp:val=&quot;00AF56AE&quot;/&gt;&lt;wsp:rsid wsp:val=&quot;00AF5852&quot;/&gt;&lt;wsp:rsid wsp:val=&quot;00AF5A03&quot;/&gt;&lt;wsp:rsid wsp:val=&quot;00AF5B3E&quot;/&gt;&lt;wsp:rsid wsp:val=&quot;00AF5FD0&quot;/&gt;&lt;wsp:rsid wsp:val=&quot;00AF6623&quot;/&gt;&lt;wsp:rsid wsp:val=&quot;00AF6C6E&quot;/&gt;&lt;wsp:rsid wsp:val=&quot;00AF6F3F&quot;/&gt;&lt;wsp:rsid wsp:val=&quot;00AF7725&quot;/&gt;&lt;wsp:rsid wsp:val=&quot;00AF7759&quot;/&gt;&lt;wsp:rsid wsp:val=&quot;00B003B5&quot;/&gt;&lt;wsp:rsid wsp:val=&quot;00B00493&quot;/&gt;&lt;wsp:rsid wsp:val=&quot;00B006EA&quot;/&gt;&lt;wsp:rsid wsp:val=&quot;00B00992&quot;/&gt;&lt;wsp:rsid wsp:val=&quot;00B00A3C&quot;/&gt;&lt;wsp:rsid wsp:val=&quot;00B00DA1&quot;/&gt;&lt;wsp:rsid wsp:val=&quot;00B00DA4&quot;/&gt;&lt;wsp:rsid wsp:val=&quot;00B00DC4&quot;/&gt;&lt;wsp:rsid wsp:val=&quot;00B0124C&quot;/&gt;&lt;wsp:rsid wsp:val=&quot;00B01375&quot;/&gt;&lt;wsp:rsid wsp:val=&quot;00B01420&quot;/&gt;&lt;wsp:rsid wsp:val=&quot;00B016D4&quot;/&gt;&lt;wsp:rsid wsp:val=&quot;00B01D43&quot;/&gt;&lt;wsp:rsid wsp:val=&quot;00B01FC6&quot;/&gt;&lt;wsp:rsid wsp:val=&quot;00B02031&quot;/&gt;&lt;wsp:rsid wsp:val=&quot;00B026F6&quot;/&gt;&lt;wsp:rsid wsp:val=&quot;00B02F28&quot;/&gt;&lt;wsp:rsid wsp:val=&quot;00B0318E&quot;/&gt;&lt;wsp:rsid wsp:val=&quot;00B033E0&quot;/&gt;&lt;wsp:rsid wsp:val=&quot;00B03510&quot;/&gt;&lt;wsp:rsid wsp:val=&quot;00B03804&quot;/&gt;&lt;wsp:rsid wsp:val=&quot;00B03DEE&quot;/&gt;&lt;wsp:rsid wsp:val=&quot;00B045D9&quot;/&gt;&lt;wsp:rsid wsp:val=&quot;00B04A0F&quot;/&gt;&lt;wsp:rsid wsp:val=&quot;00B04AE7&quot;/&gt;&lt;wsp:rsid wsp:val=&quot;00B04EEB&quot;/&gt;&lt;wsp:rsid wsp:val=&quot;00B04F2C&quot;/&gt;&lt;wsp:rsid wsp:val=&quot;00B053A9&quot;/&gt;&lt;wsp:rsid wsp:val=&quot;00B05AC4&quot;/&gt;&lt;wsp:rsid wsp:val=&quot;00B05EA9&quot;/&gt;&lt;wsp:rsid wsp:val=&quot;00B05F50&quot;/&gt;&lt;wsp:rsid wsp:val=&quot;00B0603D&quot;/&gt;&lt;wsp:rsid wsp:val=&quot;00B06108&quot;/&gt;&lt;wsp:rsid wsp:val=&quot;00B06342&quot;/&gt;&lt;wsp:rsid wsp:val=&quot;00B063E9&quot;/&gt;&lt;wsp:rsid wsp:val=&quot;00B066FE&quot;/&gt;&lt;wsp:rsid wsp:val=&quot;00B067B6&quot;/&gt;&lt;wsp:rsid wsp:val=&quot;00B069EB&quot;/&gt;&lt;wsp:rsid wsp:val=&quot;00B06D78&quot;/&gt;&lt;wsp:rsid wsp:val=&quot;00B074B7&quot;/&gt;&lt;wsp:rsid wsp:val=&quot;00B07A34&quot;/&gt;&lt;wsp:rsid wsp:val=&quot;00B07A9B&quot;/&gt;&lt;wsp:rsid wsp:val=&quot;00B07C0E&quot;/&gt;&lt;wsp:rsid wsp:val=&quot;00B101E2&quot;/&gt;&lt;wsp:rsid wsp:val=&quot;00B10273&quot;/&gt;&lt;wsp:rsid wsp:val=&quot;00B102A5&quot;/&gt;&lt;wsp:rsid wsp:val=&quot;00B10437&quot;/&gt;&lt;wsp:rsid wsp:val=&quot;00B105C4&quot;/&gt;&lt;wsp:rsid wsp:val=&quot;00B10857&quot;/&gt;&lt;wsp:rsid wsp:val=&quot;00B114AA&quot;/&gt;&lt;wsp:rsid wsp:val=&quot;00B11588&quot;/&gt;&lt;wsp:rsid wsp:val=&quot;00B11AF5&quot;/&gt;&lt;wsp:rsid wsp:val=&quot;00B11C47&quot;/&gt;&lt;wsp:rsid wsp:val=&quot;00B12253&quot;/&gt;&lt;wsp:rsid wsp:val=&quot;00B1237E&quot;/&gt;&lt;wsp:rsid wsp:val=&quot;00B12763&quot;/&gt;&lt;wsp:rsid wsp:val=&quot;00B12A63&quot;/&gt;&lt;wsp:rsid wsp:val=&quot;00B12BF1&quot;/&gt;&lt;wsp:rsid wsp:val=&quot;00B12CB5&quot;/&gt;&lt;wsp:rsid wsp:val=&quot;00B12D76&quot;/&gt;&lt;wsp:rsid wsp:val=&quot;00B12EAC&quot;/&gt;&lt;wsp:rsid wsp:val=&quot;00B13341&quot;/&gt;&lt;wsp:rsid wsp:val=&quot;00B1351D&quot;/&gt;&lt;wsp:rsid wsp:val=&quot;00B13820&quot;/&gt;&lt;wsp:rsid wsp:val=&quot;00B1420F&quot;/&gt;&lt;wsp:rsid wsp:val=&quot;00B14339&quot;/&gt;&lt;wsp:rsid wsp:val=&quot;00B1488F&quot;/&gt;&lt;wsp:rsid wsp:val=&quot;00B1495C&quot;/&gt;&lt;wsp:rsid wsp:val=&quot;00B14964&quot;/&gt;&lt;wsp:rsid wsp:val=&quot;00B14EC4&quot;/&gt;&lt;wsp:rsid wsp:val=&quot;00B14FB8&quot;/&gt;&lt;wsp:rsid wsp:val=&quot;00B150F3&quot;/&gt;&lt;wsp:rsid wsp:val=&quot;00B1542F&quot;/&gt;&lt;wsp:rsid wsp:val=&quot;00B15BB8&quot;/&gt;&lt;wsp:rsid wsp:val=&quot;00B15BD5&quot;/&gt;&lt;wsp:rsid wsp:val=&quot;00B1658C&quot;/&gt;&lt;wsp:rsid wsp:val=&quot;00B165F4&quot;/&gt;&lt;wsp:rsid wsp:val=&quot;00B16B51&quot;/&gt;&lt;wsp:rsid wsp:val=&quot;00B16CE4&quot;/&gt;&lt;wsp:rsid wsp:val=&quot;00B17267&quot;/&gt;&lt;wsp:rsid wsp:val=&quot;00B17A6F&quot;/&gt;&lt;wsp:rsid wsp:val=&quot;00B17A77&quot;/&gt;&lt;wsp:rsid wsp:val=&quot;00B17F34&quot;/&gt;&lt;wsp:rsid wsp:val=&quot;00B2037C&quot;/&gt;&lt;wsp:rsid wsp:val=&quot;00B206CE&quot;/&gt;&lt;wsp:rsid wsp:val=&quot;00B207CE&quot;/&gt;&lt;wsp:rsid wsp:val=&quot;00B207EC&quot;/&gt;&lt;wsp:rsid wsp:val=&quot;00B208ED&quot;/&gt;&lt;wsp:rsid wsp:val=&quot;00B211C4&quot;/&gt;&lt;wsp:rsid wsp:val=&quot;00B21203&quot;/&gt;&lt;wsp:rsid wsp:val=&quot;00B214B2&quot;/&gt;&lt;wsp:rsid wsp:val=&quot;00B215AA&quot;/&gt;&lt;wsp:rsid wsp:val=&quot;00B215BC&quot;/&gt;&lt;wsp:rsid wsp:val=&quot;00B21620&quot;/&gt;&lt;wsp:rsid wsp:val=&quot;00B22E8F&quot;/&gt;&lt;wsp:rsid wsp:val=&quot;00B22F40&quot;/&gt;&lt;wsp:rsid wsp:val=&quot;00B23200&quot;/&gt;&lt;wsp:rsid wsp:val=&quot;00B2379C&quot;/&gt;&lt;wsp:rsid wsp:val=&quot;00B23892&quot;/&gt;&lt;wsp:rsid wsp:val=&quot;00B23D2B&quot;/&gt;&lt;wsp:rsid wsp:val=&quot;00B246A6&quot;/&gt;&lt;wsp:rsid wsp:val=&quot;00B24E41&quot;/&gt;&lt;wsp:rsid wsp:val=&quot;00B24E66&quot;/&gt;&lt;wsp:rsid wsp:val=&quot;00B25027&quot;/&gt;&lt;wsp:rsid wsp:val=&quot;00B2582C&quot;/&gt;&lt;wsp:rsid wsp:val=&quot;00B25907&quot;/&gt;&lt;wsp:rsid wsp:val=&quot;00B264BA&quot;/&gt;&lt;wsp:rsid wsp:val=&quot;00B267C6&quot;/&gt;&lt;wsp:rsid wsp:val=&quot;00B26F46&quot;/&gt;&lt;wsp:rsid wsp:val=&quot;00B270F2&quot;/&gt;&lt;wsp:rsid wsp:val=&quot;00B271B9&quot;/&gt;&lt;wsp:rsid wsp:val=&quot;00B27380&quot;/&gt;&lt;wsp:rsid wsp:val=&quot;00B274BB&quot;/&gt;&lt;wsp:rsid wsp:val=&quot;00B27520&quot;/&gt;&lt;wsp:rsid wsp:val=&quot;00B275DE&quot;/&gt;&lt;wsp:rsid wsp:val=&quot;00B27710&quot;/&gt;&lt;wsp:rsid wsp:val=&quot;00B2772A&quot;/&gt;&lt;wsp:rsid wsp:val=&quot;00B27B90&quot;/&gt;&lt;wsp:rsid wsp:val=&quot;00B27BDA&quot;/&gt;&lt;wsp:rsid wsp:val=&quot;00B302EC&quot;/&gt;&lt;wsp:rsid wsp:val=&quot;00B304C9&quot;/&gt;&lt;wsp:rsid wsp:val=&quot;00B3096D&quot;/&gt;&lt;wsp:rsid wsp:val=&quot;00B30EC9&quot;/&gt;&lt;wsp:rsid wsp:val=&quot;00B31340&quot;/&gt;&lt;wsp:rsid wsp:val=&quot;00B316E7&quot;/&gt;&lt;wsp:rsid wsp:val=&quot;00B31A7D&quot;/&gt;&lt;wsp:rsid wsp:val=&quot;00B31B75&quot;/&gt;&lt;wsp:rsid wsp:val=&quot;00B31F3B&quot;/&gt;&lt;wsp:rsid wsp:val=&quot;00B3255B&quot;/&gt;&lt;wsp:rsid wsp:val=&quot;00B32722&quot;/&gt;&lt;wsp:rsid wsp:val=&quot;00B32901&quot;/&gt;&lt;wsp:rsid wsp:val=&quot;00B32BC4&quot;/&gt;&lt;wsp:rsid wsp:val=&quot;00B32F30&quot;/&gt;&lt;wsp:rsid wsp:val=&quot;00B334E2&quot;/&gt;&lt;wsp:rsid wsp:val=&quot;00B340D8&quot;/&gt;&lt;wsp:rsid wsp:val=&quot;00B34423&quot;/&gt;&lt;wsp:rsid wsp:val=&quot;00B345E1&quot;/&gt;&lt;wsp:rsid wsp:val=&quot;00B34696&quot;/&gt;&lt;wsp:rsid wsp:val=&quot;00B34A3A&quot;/&gt;&lt;wsp:rsid wsp:val=&quot;00B3508E&quot;/&gt;&lt;wsp:rsid wsp:val=&quot;00B35471&quot;/&gt;&lt;wsp:rsid wsp:val=&quot;00B355F7&quot;/&gt;&lt;wsp:rsid wsp:val=&quot;00B355F9&quot;/&gt;&lt;wsp:rsid wsp:val=&quot;00B357FC&quot;/&gt;&lt;wsp:rsid wsp:val=&quot;00B35891&quot;/&gt;&lt;wsp:rsid wsp:val=&quot;00B358AC&quot;/&gt;&lt;wsp:rsid wsp:val=&quot;00B358E9&quot;/&gt;&lt;wsp:rsid wsp:val=&quot;00B35CC2&quot;/&gt;&lt;wsp:rsid wsp:val=&quot;00B36659&quot;/&gt;&lt;wsp:rsid wsp:val=&quot;00B366D3&quot;/&gt;&lt;wsp:rsid wsp:val=&quot;00B3693E&quot;/&gt;&lt;wsp:rsid wsp:val=&quot;00B37158&quot;/&gt;&lt;wsp:rsid wsp:val=&quot;00B373C5&quot;/&gt;&lt;wsp:rsid wsp:val=&quot;00B373F6&quot;/&gt;&lt;wsp:rsid wsp:val=&quot;00B3753C&quot;/&gt;&lt;wsp:rsid wsp:val=&quot;00B37824&quot;/&gt;&lt;wsp:rsid wsp:val=&quot;00B379CB&quot;/&gt;&lt;wsp:rsid wsp:val=&quot;00B37AB0&quot;/&gt;&lt;wsp:rsid wsp:val=&quot;00B37B1C&quot;/&gt;&lt;wsp:rsid wsp:val=&quot;00B37D83&quot;/&gt;&lt;wsp:rsid wsp:val=&quot;00B4003F&quot;/&gt;&lt;wsp:rsid wsp:val=&quot;00B4027C&quot;/&gt;&lt;wsp:rsid wsp:val=&quot;00B405AA&quot;/&gt;&lt;wsp:rsid wsp:val=&quot;00B41129&quot;/&gt;&lt;wsp:rsid wsp:val=&quot;00B41EB7&quot;/&gt;&lt;wsp:rsid wsp:val=&quot;00B420EF&quot;/&gt;&lt;wsp:rsid wsp:val=&quot;00B4230F&quot;/&gt;&lt;wsp:rsid wsp:val=&quot;00B42619&quot;/&gt;&lt;wsp:rsid wsp:val=&quot;00B42645&quot;/&gt;&lt;wsp:rsid wsp:val=&quot;00B4304B&quot;/&gt;&lt;wsp:rsid wsp:val=&quot;00B43378&quot;/&gt;&lt;wsp:rsid wsp:val=&quot;00B4338C&quot;/&gt;&lt;wsp:rsid wsp:val=&quot;00B43BD7&quot;/&gt;&lt;wsp:rsid wsp:val=&quot;00B43C58&quot;/&gt;&lt;wsp:rsid wsp:val=&quot;00B44956&quot;/&gt;&lt;wsp:rsid wsp:val=&quot;00B4527D&quot;/&gt;&lt;wsp:rsid wsp:val=&quot;00B45F5B&quot;/&gt;&lt;wsp:rsid wsp:val=&quot;00B45F5C&quot;/&gt;&lt;wsp:rsid wsp:val=&quot;00B4613C&quot;/&gt;&lt;wsp:rsid wsp:val=&quot;00B464BF&quot;/&gt;&lt;wsp:rsid wsp:val=&quot;00B47705&quot;/&gt;&lt;wsp:rsid wsp:val=&quot;00B47ABD&quot;/&gt;&lt;wsp:rsid wsp:val=&quot;00B47AD1&quot;/&gt;&lt;wsp:rsid wsp:val=&quot;00B47CF4&quot;/&gt;&lt;wsp:rsid wsp:val=&quot;00B47D36&quot;/&gt;&lt;wsp:rsid wsp:val=&quot;00B502BB&quot;/&gt;&lt;wsp:rsid wsp:val=&quot;00B503FD&quot;/&gt;&lt;wsp:rsid wsp:val=&quot;00B50466&quot;/&gt;&lt;wsp:rsid wsp:val=&quot;00B5046F&quot;/&gt;&lt;wsp:rsid wsp:val=&quot;00B505A0&quot;/&gt;&lt;wsp:rsid wsp:val=&quot;00B5084A&quot;/&gt;&lt;wsp:rsid wsp:val=&quot;00B50D60&quot;/&gt;&lt;wsp:rsid wsp:val=&quot;00B5111F&quot;/&gt;&lt;wsp:rsid wsp:val=&quot;00B5185C&quot;/&gt;&lt;wsp:rsid wsp:val=&quot;00B51AB7&quot;/&gt;&lt;wsp:rsid wsp:val=&quot;00B5203B&quot;/&gt;&lt;wsp:rsid wsp:val=&quot;00B52188&quot;/&gt;&lt;wsp:rsid wsp:val=&quot;00B5250E&quot;/&gt;&lt;wsp:rsid wsp:val=&quot;00B5261C&quot;/&gt;&lt;wsp:rsid wsp:val=&quot;00B526AE&quot;/&gt;&lt;wsp:rsid wsp:val=&quot;00B52770&quot;/&gt;&lt;wsp:rsid wsp:val=&quot;00B52A1C&quot;/&gt;&lt;wsp:rsid wsp:val=&quot;00B52A23&quot;/&gt;&lt;wsp:rsid wsp:val=&quot;00B52B05&quot;/&gt;&lt;wsp:rsid wsp:val=&quot;00B52D02&quot;/&gt;&lt;wsp:rsid wsp:val=&quot;00B5318B&quot;/&gt;&lt;wsp:rsid wsp:val=&quot;00B531BC&quot;/&gt;&lt;wsp:rsid wsp:val=&quot;00B53482&quot;/&gt;&lt;wsp:rsid wsp:val=&quot;00B5387F&quot;/&gt;&lt;wsp:rsid wsp:val=&quot;00B5389B&quot;/&gt;&lt;wsp:rsid wsp:val=&quot;00B538F1&quot;/&gt;&lt;wsp:rsid wsp:val=&quot;00B539E7&quot;/&gt;&lt;wsp:rsid wsp:val=&quot;00B53E93&quot;/&gt;&lt;wsp:rsid wsp:val=&quot;00B54064&quot;/&gt;&lt;wsp:rsid wsp:val=&quot;00B54297&quot;/&gt;&lt;wsp:rsid wsp:val=&quot;00B546F4&quot;/&gt;&lt;wsp:rsid wsp:val=&quot;00B54741&quot;/&gt;&lt;wsp:rsid wsp:val=&quot;00B55036&quot;/&gt;&lt;wsp:rsid wsp:val=&quot;00B55249&quot;/&gt;&lt;wsp:rsid wsp:val=&quot;00B5525F&quot;/&gt;&lt;wsp:rsid wsp:val=&quot;00B55663&quot;/&gt;&lt;wsp:rsid wsp:val=&quot;00B55685&quot;/&gt;&lt;wsp:rsid wsp:val=&quot;00B55912&quot;/&gt;&lt;wsp:rsid wsp:val=&quot;00B561D6&quot;/&gt;&lt;wsp:rsid wsp:val=&quot;00B561F7&quot;/&gt;&lt;wsp:rsid wsp:val=&quot;00B5637B&quot;/&gt;&lt;wsp:rsid wsp:val=&quot;00B56DF4&quot;/&gt;&lt;wsp:rsid wsp:val=&quot;00B57213&quot;/&gt;&lt;wsp:rsid wsp:val=&quot;00B573A4&quot;/&gt;&lt;wsp:rsid wsp:val=&quot;00B5750A&quot;/&gt;&lt;wsp:rsid wsp:val=&quot;00B57E4C&quot;/&gt;&lt;wsp:rsid wsp:val=&quot;00B608C4&quot;/&gt;&lt;wsp:rsid wsp:val=&quot;00B609CB&quot;/&gt;&lt;wsp:rsid wsp:val=&quot;00B61A4B&quot;/&gt;&lt;wsp:rsid wsp:val=&quot;00B61D45&quot;/&gt;&lt;wsp:rsid wsp:val=&quot;00B621BD&quot;/&gt;&lt;wsp:rsid wsp:val=&quot;00B622DE&quot;/&gt;&lt;wsp:rsid wsp:val=&quot;00B6234B&quot;/&gt;&lt;wsp:rsid wsp:val=&quot;00B6240A&quot;/&gt;&lt;wsp:rsid wsp:val=&quot;00B6240F&quot;/&gt;&lt;wsp:rsid wsp:val=&quot;00B626C5&quot;/&gt;&lt;wsp:rsid wsp:val=&quot;00B626D5&quot;/&gt;&lt;wsp:rsid wsp:val=&quot;00B62CEE&quot;/&gt;&lt;wsp:rsid wsp:val=&quot;00B63154&quot;/&gt;&lt;wsp:rsid wsp:val=&quot;00B636AA&quot;/&gt;&lt;wsp:rsid wsp:val=&quot;00B642D8&quot;/&gt;&lt;wsp:rsid wsp:val=&quot;00B647B6&quot;/&gt;&lt;wsp:rsid wsp:val=&quot;00B64D1F&quot;/&gt;&lt;wsp:rsid wsp:val=&quot;00B64D40&quot;/&gt;&lt;wsp:rsid wsp:val=&quot;00B6520B&quot;/&gt;&lt;wsp:rsid wsp:val=&quot;00B657C0&quot;/&gt;&lt;wsp:rsid wsp:val=&quot;00B659C5&quot;/&gt;&lt;wsp:rsid wsp:val=&quot;00B66936&quot;/&gt;&lt;wsp:rsid wsp:val=&quot;00B66BE4&quot;/&gt;&lt;wsp:rsid wsp:val=&quot;00B67407&quot;/&gt;&lt;wsp:rsid wsp:val=&quot;00B674C9&quot;/&gt;&lt;wsp:rsid wsp:val=&quot;00B6750B&quot;/&gt;&lt;wsp:rsid wsp:val=&quot;00B67969&quot;/&gt;&lt;wsp:rsid wsp:val=&quot;00B7024E&quot;/&gt;&lt;wsp:rsid wsp:val=&quot;00B70395&quot;/&gt;&lt;wsp:rsid wsp:val=&quot;00B70444&quot;/&gt;&lt;wsp:rsid wsp:val=&quot;00B70C63&quot;/&gt;&lt;wsp:rsid wsp:val=&quot;00B70D4A&quot;/&gt;&lt;wsp:rsid wsp:val=&quot;00B719DC&quot;/&gt;&lt;wsp:rsid wsp:val=&quot;00B71DF4&quot;/&gt;&lt;wsp:rsid wsp:val=&quot;00B71FF8&quot;/&gt;&lt;wsp:rsid wsp:val=&quot;00B7214D&quot;/&gt;&lt;wsp:rsid wsp:val=&quot;00B7237E&quot;/&gt;&lt;wsp:rsid wsp:val=&quot;00B72491&quot;/&gt;&lt;wsp:rsid wsp:val=&quot;00B72997&quot;/&gt;&lt;wsp:rsid wsp:val=&quot;00B72B2D&quot;/&gt;&lt;wsp:rsid wsp:val=&quot;00B73379&quot;/&gt;&lt;wsp:rsid wsp:val=&quot;00B738A1&quot;/&gt;&lt;wsp:rsid wsp:val=&quot;00B73E83&quot;/&gt;&lt;wsp:rsid wsp:val=&quot;00B73F7D&quot;/&gt;&lt;wsp:rsid wsp:val=&quot;00B7404A&quot;/&gt;&lt;wsp:rsid wsp:val=&quot;00B743DB&quot;/&gt;&lt;wsp:rsid wsp:val=&quot;00B74423&quot;/&gt;&lt;wsp:rsid wsp:val=&quot;00B74642&quot;/&gt;&lt;wsp:rsid wsp:val=&quot;00B74D25&quot;/&gt;&lt;wsp:rsid wsp:val=&quot;00B7536C&quot;/&gt;&lt;wsp:rsid wsp:val=&quot;00B7552C&quot;/&gt;&lt;wsp:rsid wsp:val=&quot;00B757CF&quot;/&gt;&lt;wsp:rsid wsp:val=&quot;00B7595E&quot;/&gt;&lt;wsp:rsid wsp:val=&quot;00B75F42&quot;/&gt;&lt;wsp:rsid wsp:val=&quot;00B766BB&quot;/&gt;&lt;wsp:rsid wsp:val=&quot;00B766D1&quot;/&gt;&lt;wsp:rsid wsp:val=&quot;00B769B6&quot;/&gt;&lt;wsp:rsid wsp:val=&quot;00B76C16&quot;/&gt;&lt;wsp:rsid wsp:val=&quot;00B77226&quot;/&gt;&lt;wsp:rsid wsp:val=&quot;00B7723F&quot;/&gt;&lt;wsp:rsid wsp:val=&quot;00B77294&quot;/&gt;&lt;wsp:rsid wsp:val=&quot;00B77450&quot;/&gt;&lt;wsp:rsid wsp:val=&quot;00B776BA&quot;/&gt;&lt;wsp:rsid wsp:val=&quot;00B77C3D&quot;/&gt;&lt;wsp:rsid wsp:val=&quot;00B803FB&quot;/&gt;&lt;wsp:rsid wsp:val=&quot;00B804AA&quot;/&gt;&lt;wsp:rsid wsp:val=&quot;00B8054A&quot;/&gt;&lt;wsp:rsid wsp:val=&quot;00B8064A&quot;/&gt;&lt;wsp:rsid wsp:val=&quot;00B81830&quot;/&gt;&lt;wsp:rsid wsp:val=&quot;00B81AF0&quot;/&gt;&lt;wsp:rsid wsp:val=&quot;00B81B2D&quot;/&gt;&lt;wsp:rsid wsp:val=&quot;00B82189&quot;/&gt;&lt;wsp:rsid wsp:val=&quot;00B82335&quot;/&gt;&lt;wsp:rsid wsp:val=&quot;00B82367&quot;/&gt;&lt;wsp:rsid wsp:val=&quot;00B825BC&quot;/&gt;&lt;wsp:rsid wsp:val=&quot;00B8299B&quot;/&gt;&lt;wsp:rsid wsp:val=&quot;00B82BB6&quot;/&gt;&lt;wsp:rsid wsp:val=&quot;00B830E9&quot;/&gt;&lt;wsp:rsid wsp:val=&quot;00B8316D&quot;/&gt;&lt;wsp:rsid wsp:val=&quot;00B83687&quot;/&gt;&lt;wsp:rsid wsp:val=&quot;00B83B40&quot;/&gt;&lt;wsp:rsid wsp:val=&quot;00B83E28&quot;/&gt;&lt;wsp:rsid wsp:val=&quot;00B8416F&quot;/&gt;&lt;wsp:rsid wsp:val=&quot;00B84482&quot;/&gt;&lt;wsp:rsid wsp:val=&quot;00B845CB&quot;/&gt;&lt;wsp:rsid wsp:val=&quot;00B8472E&quot;/&gt;&lt;wsp:rsid wsp:val=&quot;00B84801&quot;/&gt;&lt;wsp:rsid wsp:val=&quot;00B8506F&quot;/&gt;&lt;wsp:rsid wsp:val=&quot;00B85311&quot;/&gt;&lt;wsp:rsid wsp:val=&quot;00B859FF&quot;/&gt;&lt;wsp:rsid wsp:val=&quot;00B85A40&quot;/&gt;&lt;wsp:rsid wsp:val=&quot;00B85B95&quot;/&gt;&lt;wsp:rsid wsp:val=&quot;00B85DAE&quot;/&gt;&lt;wsp:rsid wsp:val=&quot;00B85DF7&quot;/&gt;&lt;wsp:rsid wsp:val=&quot;00B85FDF&quot;/&gt;&lt;wsp:rsid wsp:val=&quot;00B86233&quot;/&gt;&lt;wsp:rsid wsp:val=&quot;00B868D1&quot;/&gt;&lt;wsp:rsid wsp:val=&quot;00B870B9&quot;/&gt;&lt;wsp:rsid wsp:val=&quot;00B87548&quot;/&gt;&lt;wsp:rsid wsp:val=&quot;00B87808&quot;/&gt;&lt;wsp:rsid wsp:val=&quot;00B87C05&quot;/&gt;&lt;wsp:rsid wsp:val=&quot;00B87FF0&quot;/&gt;&lt;wsp:rsid wsp:val=&quot;00B90186&quot;/&gt;&lt;wsp:rsid wsp:val=&quot;00B90220&quot;/&gt;&lt;wsp:rsid wsp:val=&quot;00B9055C&quot;/&gt;&lt;wsp:rsid wsp:val=&quot;00B90A24&quot;/&gt;&lt;wsp:rsid wsp:val=&quot;00B90AFB&quot;/&gt;&lt;wsp:rsid wsp:val=&quot;00B91017&quot;/&gt;&lt;wsp:rsid wsp:val=&quot;00B91019&quot;/&gt;&lt;wsp:rsid wsp:val=&quot;00B91898&quot;/&gt;&lt;wsp:rsid wsp:val=&quot;00B91D43&quot;/&gt;&lt;wsp:rsid wsp:val=&quot;00B91FFC&quot;/&gt;&lt;wsp:rsid wsp:val=&quot;00B922CF&quot;/&gt;&lt;wsp:rsid wsp:val=&quot;00B9259B&quot;/&gt;&lt;wsp:rsid wsp:val=&quot;00B925A4&quot;/&gt;&lt;wsp:rsid wsp:val=&quot;00B92867&quot;/&gt;&lt;wsp:rsid wsp:val=&quot;00B92C8B&quot;/&gt;&lt;wsp:rsid wsp:val=&quot;00B92CE3&quot;/&gt;&lt;wsp:rsid wsp:val=&quot;00B92EDF&quot;/&gt;&lt;wsp:rsid wsp:val=&quot;00B933ED&quot;/&gt;&lt;wsp:rsid wsp:val=&quot;00B9374D&quot;/&gt;&lt;wsp:rsid wsp:val=&quot;00B939BE&quot;/&gt;&lt;wsp:rsid wsp:val=&quot;00B93A53&quot;/&gt;&lt;wsp:rsid wsp:val=&quot;00B93E91&quot;/&gt;&lt;wsp:rsid wsp:val=&quot;00B94416&quot;/&gt;&lt;wsp:rsid wsp:val=&quot;00B945F6&quot;/&gt;&lt;wsp:rsid wsp:val=&quot;00B9494F&quot;/&gt;&lt;wsp:rsid wsp:val=&quot;00B949CD&quot;/&gt;&lt;wsp:rsid wsp:val=&quot;00B94DD4&quot;/&gt;&lt;wsp:rsid wsp:val=&quot;00B957E1&quot;/&gt;&lt;wsp:rsid wsp:val=&quot;00B95A70&quot;/&gt;&lt;wsp:rsid wsp:val=&quot;00B95F0E&quot;/&gt;&lt;wsp:rsid wsp:val=&quot;00B96800&quot;/&gt;&lt;wsp:rsid wsp:val=&quot;00B96DC9&quot;/&gt;&lt;wsp:rsid wsp:val=&quot;00B96EA0&quot;/&gt;&lt;wsp:rsid wsp:val=&quot;00B972E9&quot;/&gt;&lt;wsp:rsid wsp:val=&quot;00BA00D0&quot;/&gt;&lt;wsp:rsid wsp:val=&quot;00BA0219&quot;/&gt;&lt;wsp:rsid wsp:val=&quot;00BA0229&quot;/&gt;&lt;wsp:rsid wsp:val=&quot;00BA0362&quot;/&gt;&lt;wsp:rsid wsp:val=&quot;00BA0611&quot;/&gt;&lt;wsp:rsid wsp:val=&quot;00BA0A56&quot;/&gt;&lt;wsp:rsid wsp:val=&quot;00BA149A&quot;/&gt;&lt;wsp:rsid wsp:val=&quot;00BA162E&quot;/&gt;&lt;wsp:rsid wsp:val=&quot;00BA178A&quot;/&gt;&lt;wsp:rsid wsp:val=&quot;00BA2D52&quot;/&gt;&lt;wsp:rsid wsp:val=&quot;00BA2D5D&quot;/&gt;&lt;wsp:rsid wsp:val=&quot;00BA3151&quot;/&gt;&lt;wsp:rsid wsp:val=&quot;00BA34EC&quot;/&gt;&lt;wsp:rsid wsp:val=&quot;00BA38D3&quot;/&gt;&lt;wsp:rsid wsp:val=&quot;00BA3DB2&quot;/&gt;&lt;wsp:rsid wsp:val=&quot;00BA3E49&quot;/&gt;&lt;wsp:rsid wsp:val=&quot;00BA43FA&quot;/&gt;&lt;wsp:rsid wsp:val=&quot;00BA4C42&quot;/&gt;&lt;wsp:rsid wsp:val=&quot;00BA4D6A&quot;/&gt;&lt;wsp:rsid wsp:val=&quot;00BA5CA8&quot;/&gt;&lt;wsp:rsid wsp:val=&quot;00BA5DFF&quot;/&gt;&lt;wsp:rsid wsp:val=&quot;00BA5FEF&quot;/&gt;&lt;wsp:rsid wsp:val=&quot;00BA61E1&quot;/&gt;&lt;wsp:rsid wsp:val=&quot;00BA63A1&quot;/&gt;&lt;wsp:rsid wsp:val=&quot;00BA683E&quot;/&gt;&lt;wsp:rsid wsp:val=&quot;00BA68F0&quot;/&gt;&lt;wsp:rsid wsp:val=&quot;00BA6BF0&quot;/&gt;&lt;wsp:rsid wsp:val=&quot;00BA6EF9&quot;/&gt;&lt;wsp:rsid wsp:val=&quot;00BA6FA4&quot;/&gt;&lt;wsp:rsid wsp:val=&quot;00BA7546&quot;/&gt;&lt;wsp:rsid wsp:val=&quot;00BA7725&quot;/&gt;&lt;wsp:rsid wsp:val=&quot;00BA7AD3&quot;/&gt;&lt;wsp:rsid wsp:val=&quot;00BA7FCF&quot;/&gt;&lt;wsp:rsid wsp:val=&quot;00BB022C&quot;/&gt;&lt;wsp:rsid wsp:val=&quot;00BB06E2&quot;/&gt;&lt;wsp:rsid wsp:val=&quot;00BB0DAB&quot;/&gt;&lt;wsp:rsid wsp:val=&quot;00BB167D&quot;/&gt;&lt;wsp:rsid wsp:val=&quot;00BB2025&quot;/&gt;&lt;wsp:rsid wsp:val=&quot;00BB2060&quot;/&gt;&lt;wsp:rsid wsp:val=&quot;00BB20A4&quot;/&gt;&lt;wsp:rsid wsp:val=&quot;00BB2AF6&quot;/&gt;&lt;wsp:rsid wsp:val=&quot;00BB2FFB&quot;/&gt;&lt;wsp:rsid wsp:val=&quot;00BB311C&quot;/&gt;&lt;wsp:rsid wsp:val=&quot;00BB337E&quot;/&gt;&lt;wsp:rsid wsp:val=&quot;00BB34A9&quot;/&gt;&lt;wsp:rsid wsp:val=&quot;00BB350E&quot;/&gt;&lt;wsp:rsid wsp:val=&quot;00BB36C0&quot;/&gt;&lt;wsp:rsid wsp:val=&quot;00BB3A28&quot;/&gt;&lt;wsp:rsid wsp:val=&quot;00BB3B2D&quot;/&gt;&lt;wsp:rsid wsp:val=&quot;00BB409B&quot;/&gt;&lt;wsp:rsid wsp:val=&quot;00BB40BB&quot;/&gt;&lt;wsp:rsid wsp:val=&quot;00BB4189&quot;/&gt;&lt;wsp:rsid wsp:val=&quot;00BB42C2&quot;/&gt;&lt;wsp:rsid wsp:val=&quot;00BB4456&quot;/&gt;&lt;wsp:rsid wsp:val=&quot;00BB44E6&quot;/&gt;&lt;wsp:rsid wsp:val=&quot;00BB4C96&quot;/&gt;&lt;wsp:rsid wsp:val=&quot;00BB4FFB&quot;/&gt;&lt;wsp:rsid wsp:val=&quot;00BB50AC&quot;/&gt;&lt;wsp:rsid wsp:val=&quot;00BB5B79&quot;/&gt;&lt;wsp:rsid wsp:val=&quot;00BB5B9B&quot;/&gt;&lt;wsp:rsid wsp:val=&quot;00BB5C44&quot;/&gt;&lt;wsp:rsid wsp:val=&quot;00BB5F33&quot;/&gt;&lt;wsp:rsid wsp:val=&quot;00BB6048&quot;/&gt;&lt;wsp:rsid wsp:val=&quot;00BB61AC&quot;/&gt;&lt;wsp:rsid wsp:val=&quot;00BB6470&quot;/&gt;&lt;wsp:rsid wsp:val=&quot;00BB6844&quot;/&gt;&lt;wsp:rsid wsp:val=&quot;00BB6956&quot;/&gt;&lt;wsp:rsid wsp:val=&quot;00BB6A39&quot;/&gt;&lt;wsp:rsid wsp:val=&quot;00BB6A44&quot;/&gt;&lt;wsp:rsid wsp:val=&quot;00BB6A93&quot;/&gt;&lt;wsp:rsid wsp:val=&quot;00BB6D27&quot;/&gt;&lt;wsp:rsid wsp:val=&quot;00BB74DB&quot;/&gt;&lt;wsp:rsid wsp:val=&quot;00BB757B&quot;/&gt;&lt;wsp:rsid wsp:val=&quot;00BB77E4&quot;/&gt;&lt;wsp:rsid wsp:val=&quot;00BB782C&quot;/&gt;&lt;wsp:rsid wsp:val=&quot;00BB786D&quot;/&gt;&lt;wsp:rsid wsp:val=&quot;00BB7993&quot;/&gt;&lt;wsp:rsid wsp:val=&quot;00BB7B40&quot;/&gt;&lt;wsp:rsid wsp:val=&quot;00BB7C66&quot;/&gt;&lt;wsp:rsid wsp:val=&quot;00BC0314&quot;/&gt;&lt;wsp:rsid wsp:val=&quot;00BC05B3&quot;/&gt;&lt;wsp:rsid wsp:val=&quot;00BC073A&quot;/&gt;&lt;wsp:rsid wsp:val=&quot;00BC0F9C&quot;/&gt;&lt;wsp:rsid wsp:val=&quot;00BC106A&quot;/&gt;&lt;wsp:rsid wsp:val=&quot;00BC12BA&quot;/&gt;&lt;wsp:rsid wsp:val=&quot;00BC13B7&quot;/&gt;&lt;wsp:rsid wsp:val=&quot;00BC1604&quot;/&gt;&lt;wsp:rsid wsp:val=&quot;00BC1A09&quot;/&gt;&lt;wsp:rsid wsp:val=&quot;00BC1A9E&quot;/&gt;&lt;wsp:rsid wsp:val=&quot;00BC21DC&quot;/&gt;&lt;wsp:rsid wsp:val=&quot;00BC26BD&quot;/&gt;&lt;wsp:rsid wsp:val=&quot;00BC2834&quot;/&gt;&lt;wsp:rsid wsp:val=&quot;00BC2EB8&quot;/&gt;&lt;wsp:rsid wsp:val=&quot;00BC3404&quot;/&gt;&lt;wsp:rsid wsp:val=&quot;00BC34B3&quot;/&gt;&lt;wsp:rsid wsp:val=&quot;00BC37BB&quot;/&gt;&lt;wsp:rsid wsp:val=&quot;00BC37ED&quot;/&gt;&lt;wsp:rsid wsp:val=&quot;00BC3E79&quot;/&gt;&lt;wsp:rsid wsp:val=&quot;00BC3F4F&quot;/&gt;&lt;wsp:rsid wsp:val=&quot;00BC402B&quot;/&gt;&lt;wsp:rsid wsp:val=&quot;00BC40C2&quot;/&gt;&lt;wsp:rsid wsp:val=&quot;00BC4464&quot;/&gt;&lt;wsp:rsid wsp:val=&quot;00BC4A1C&quot;/&gt;&lt;wsp:rsid wsp:val=&quot;00BC4A5E&quot;/&gt;&lt;wsp:rsid wsp:val=&quot;00BC4CDE&quot;/&gt;&lt;wsp:rsid wsp:val=&quot;00BC4F0F&quot;/&gt;&lt;wsp:rsid wsp:val=&quot;00BC4F86&quot;/&gt;&lt;wsp:rsid wsp:val=&quot;00BC5197&quot;/&gt;&lt;wsp:rsid wsp:val=&quot;00BC51DE&quot;/&gt;&lt;wsp:rsid wsp:val=&quot;00BC569F&quot;/&gt;&lt;wsp:rsid wsp:val=&quot;00BC59F6&quot;/&gt;&lt;wsp:rsid wsp:val=&quot;00BC5B02&quot;/&gt;&lt;wsp:rsid wsp:val=&quot;00BC5E6B&quot;/&gt;&lt;wsp:rsid wsp:val=&quot;00BC645D&quot;/&gt;&lt;wsp:rsid wsp:val=&quot;00BC689E&quot;/&gt;&lt;wsp:rsid wsp:val=&quot;00BC6E57&quot;/&gt;&lt;wsp:rsid wsp:val=&quot;00BC6FF0&quot;/&gt;&lt;wsp:rsid wsp:val=&quot;00BC7003&quot;/&gt;&lt;wsp:rsid wsp:val=&quot;00BC72DF&quot;/&gt;&lt;wsp:rsid wsp:val=&quot;00BC7514&quot;/&gt;&lt;wsp:rsid wsp:val=&quot;00BC7A8A&quot;/&gt;&lt;wsp:rsid wsp:val=&quot;00BC7E36&quot;/&gt;&lt;wsp:rsid wsp:val=&quot;00BD0239&quot;/&gt;&lt;wsp:rsid wsp:val=&quot;00BD028C&quot;/&gt;&lt;wsp:rsid wsp:val=&quot;00BD0665&quot;/&gt;&lt;wsp:rsid wsp:val=&quot;00BD07EF&quot;/&gt;&lt;wsp:rsid wsp:val=&quot;00BD07F5&quot;/&gt;&lt;wsp:rsid wsp:val=&quot;00BD0E05&quot;/&gt;&lt;wsp:rsid wsp:val=&quot;00BD0EC3&quot;/&gt;&lt;wsp:rsid wsp:val=&quot;00BD1044&quot;/&gt;&lt;wsp:rsid wsp:val=&quot;00BD1408&quot;/&gt;&lt;wsp:rsid wsp:val=&quot;00BD15C5&quot;/&gt;&lt;wsp:rsid wsp:val=&quot;00BD16AD&quot;/&gt;&lt;wsp:rsid wsp:val=&quot;00BD183E&quot;/&gt;&lt;wsp:rsid wsp:val=&quot;00BD1966&quot;/&gt;&lt;wsp:rsid wsp:val=&quot;00BD19F8&quot;/&gt;&lt;wsp:rsid wsp:val=&quot;00BD21EF&quot;/&gt;&lt;wsp:rsid wsp:val=&quot;00BD2722&quot;/&gt;&lt;wsp:rsid wsp:val=&quot;00BD290B&quot;/&gt;&lt;wsp:rsid wsp:val=&quot;00BD2A30&quot;/&gt;&lt;wsp:rsid wsp:val=&quot;00BD2C67&quot;/&gt;&lt;wsp:rsid wsp:val=&quot;00BD319D&quot;/&gt;&lt;wsp:rsid wsp:val=&quot;00BD3B1A&quot;/&gt;&lt;wsp:rsid wsp:val=&quot;00BD3CC7&quot;/&gt;&lt;wsp:rsid wsp:val=&quot;00BD47CB&quot;/&gt;&lt;wsp:rsid wsp:val=&quot;00BD4986&quot;/&gt;&lt;wsp:rsid wsp:val=&quot;00BD4A06&quot;/&gt;&lt;wsp:rsid wsp:val=&quot;00BD4D4D&quot;/&gt;&lt;wsp:rsid wsp:val=&quot;00BD4F72&quot;/&gt;&lt;wsp:rsid wsp:val=&quot;00BD5117&quot;/&gt;&lt;wsp:rsid wsp:val=&quot;00BD52AB&quot;/&gt;&lt;wsp:rsid wsp:val=&quot;00BD5483&quot;/&gt;&lt;wsp:rsid wsp:val=&quot;00BD5626&quot;/&gt;&lt;wsp:rsid wsp:val=&quot;00BD57FD&quot;/&gt;&lt;wsp:rsid wsp:val=&quot;00BD5E7B&quot;/&gt;&lt;wsp:rsid wsp:val=&quot;00BD67E2&quot;/&gt;&lt;wsp:rsid wsp:val=&quot;00BD6DBD&quot;/&gt;&lt;wsp:rsid wsp:val=&quot;00BD6E04&quot;/&gt;&lt;wsp:rsid wsp:val=&quot;00BD73E0&quot;/&gt;&lt;wsp:rsid wsp:val=&quot;00BD746B&quot;/&gt;&lt;wsp:rsid wsp:val=&quot;00BD7971&quot;/&gt;&lt;wsp:rsid wsp:val=&quot;00BD7A89&quot;/&gt;&lt;wsp:rsid wsp:val=&quot;00BD7AB5&quot;/&gt;&lt;wsp:rsid wsp:val=&quot;00BD7C5B&quot;/&gt;&lt;wsp:rsid wsp:val=&quot;00BD7CEE&quot;/&gt;&lt;wsp:rsid wsp:val=&quot;00BD7D8E&quot;/&gt;&lt;wsp:rsid wsp:val=&quot;00BE0028&quot;/&gt;&lt;wsp:rsid wsp:val=&quot;00BE06B0&quot;/&gt;&lt;wsp:rsid wsp:val=&quot;00BE06D9&quot;/&gt;&lt;wsp:rsid wsp:val=&quot;00BE09AD&quot;/&gt;&lt;wsp:rsid wsp:val=&quot;00BE0B76&quot;/&gt;&lt;wsp:rsid wsp:val=&quot;00BE18A5&quot;/&gt;&lt;wsp:rsid wsp:val=&quot;00BE19E5&quot;/&gt;&lt;wsp:rsid wsp:val=&quot;00BE1DE4&quot;/&gt;&lt;wsp:rsid wsp:val=&quot;00BE1F06&quot;/&gt;&lt;wsp:rsid wsp:val=&quot;00BE1FDE&quot;/&gt;&lt;wsp:rsid wsp:val=&quot;00BE24B8&quot;/&gt;&lt;wsp:rsid wsp:val=&quot;00BE2516&quot;/&gt;&lt;wsp:rsid wsp:val=&quot;00BE2676&quot;/&gt;&lt;wsp:rsid wsp:val=&quot;00BE27F3&quot;/&gt;&lt;wsp:rsid wsp:val=&quot;00BE2B0C&quot;/&gt;&lt;wsp:rsid wsp:val=&quot;00BE2E84&quot;/&gt;&lt;wsp:rsid wsp:val=&quot;00BE2FC2&quot;/&gt;&lt;wsp:rsid wsp:val=&quot;00BE303E&quot;/&gt;&lt;wsp:rsid wsp:val=&quot;00BE333D&quot;/&gt;&lt;wsp:rsid wsp:val=&quot;00BE3465&quot;/&gt;&lt;wsp:rsid wsp:val=&quot;00BE4325&quot;/&gt;&lt;wsp:rsid wsp:val=&quot;00BE52FA&quot;/&gt;&lt;wsp:rsid wsp:val=&quot;00BE5611&quot;/&gt;&lt;wsp:rsid wsp:val=&quot;00BE56AA&quot;/&gt;&lt;wsp:rsid wsp:val=&quot;00BE56CB&quot;/&gt;&lt;wsp:rsid wsp:val=&quot;00BE58B2&quot;/&gt;&lt;wsp:rsid wsp:val=&quot;00BE6197&quot;/&gt;&lt;wsp:rsid wsp:val=&quot;00BE6510&quot;/&gt;&lt;wsp:rsid wsp:val=&quot;00BE6562&quot;/&gt;&lt;wsp:rsid wsp:val=&quot;00BE6B39&quot;/&gt;&lt;wsp:rsid wsp:val=&quot;00BE6C2F&quot;/&gt;&lt;wsp:rsid wsp:val=&quot;00BE6CE0&quot;/&gt;&lt;wsp:rsid wsp:val=&quot;00BE712C&quot;/&gt;&lt;wsp:rsid wsp:val=&quot;00BE75E1&quot;/&gt;&lt;wsp:rsid wsp:val=&quot;00BE76C2&quot;/&gt;&lt;wsp:rsid wsp:val=&quot;00BE785F&quot;/&gt;&lt;wsp:rsid wsp:val=&quot;00BE78BC&quot;/&gt;&lt;wsp:rsid wsp:val=&quot;00BE7C9B&quot;/&gt;&lt;wsp:rsid wsp:val=&quot;00BF00BE&quot;/&gt;&lt;wsp:rsid wsp:val=&quot;00BF018E&quot;/&gt;&lt;wsp:rsid wsp:val=&quot;00BF04F4&quot;/&gt;&lt;wsp:rsid wsp:val=&quot;00BF07C9&quot;/&gt;&lt;wsp:rsid wsp:val=&quot;00BF092E&quot;/&gt;&lt;wsp:rsid wsp:val=&quot;00BF0D10&quot;/&gt;&lt;wsp:rsid wsp:val=&quot;00BF0E67&quot;/&gt;&lt;wsp:rsid wsp:val=&quot;00BF0F6C&quot;/&gt;&lt;wsp:rsid wsp:val=&quot;00BF14A4&quot;/&gt;&lt;wsp:rsid wsp:val=&quot;00BF1503&quot;/&gt;&lt;wsp:rsid wsp:val=&quot;00BF1995&quot;/&gt;&lt;wsp:rsid wsp:val=&quot;00BF20B3&quot;/&gt;&lt;wsp:rsid wsp:val=&quot;00BF2226&quot;/&gt;&lt;wsp:rsid wsp:val=&quot;00BF2A9A&quot;/&gt;&lt;wsp:rsid wsp:val=&quot;00BF3C18&quot;/&gt;&lt;wsp:rsid wsp:val=&quot;00BF4105&quot;/&gt;&lt;wsp:rsid wsp:val=&quot;00BF418D&quot;/&gt;&lt;wsp:rsid wsp:val=&quot;00BF452F&quot;/&gt;&lt;wsp:rsid wsp:val=&quot;00BF456D&quot;/&gt;&lt;wsp:rsid wsp:val=&quot;00BF55FF&quot;/&gt;&lt;wsp:rsid wsp:val=&quot;00BF571A&quot;/&gt;&lt;wsp:rsid wsp:val=&quot;00BF5A3A&quot;/&gt;&lt;wsp:rsid wsp:val=&quot;00BF5B6E&quot;/&gt;&lt;wsp:rsid wsp:val=&quot;00BF5D51&quot;/&gt;&lt;wsp:rsid wsp:val=&quot;00BF5FB4&quot;/&gt;&lt;wsp:rsid wsp:val=&quot;00BF6487&quot;/&gt;&lt;wsp:rsid wsp:val=&quot;00BF6693&quot;/&gt;&lt;wsp:rsid wsp:val=&quot;00BF66D7&quot;/&gt;&lt;wsp:rsid wsp:val=&quot;00BF6AF7&quot;/&gt;&lt;wsp:rsid wsp:val=&quot;00BF6D3E&quot;/&gt;&lt;wsp:rsid wsp:val=&quot;00BF6F1F&quot;/&gt;&lt;wsp:rsid wsp:val=&quot;00BF7145&quot;/&gt;&lt;wsp:rsid wsp:val=&quot;00BF7221&quot;/&gt;&lt;wsp:rsid wsp:val=&quot;00BF7B8D&quot;/&gt;&lt;wsp:rsid wsp:val=&quot;00BF7EAE&quot;/&gt;&lt;wsp:rsid wsp:val=&quot;00C00180&quot;/&gt;&lt;wsp:rsid wsp:val=&quot;00C002A6&quot;/&gt;&lt;wsp:rsid wsp:val=&quot;00C0040F&quot;/&gt;&lt;wsp:rsid wsp:val=&quot;00C00B97&quot;/&gt;&lt;wsp:rsid wsp:val=&quot;00C00ED8&quot;/&gt;&lt;wsp:rsid wsp:val=&quot;00C011B7&quot;/&gt;&lt;wsp:rsid wsp:val=&quot;00C01350&quot;/&gt;&lt;wsp:rsid wsp:val=&quot;00C017BB&quot;/&gt;&lt;wsp:rsid wsp:val=&quot;00C01DB8&quot;/&gt;&lt;wsp:rsid wsp:val=&quot;00C01E51&quot;/&gt;&lt;wsp:rsid wsp:val=&quot;00C01F8C&quot;/&gt;&lt;wsp:rsid wsp:val=&quot;00C0200B&quot;/&gt;&lt;wsp:rsid wsp:val=&quot;00C020FC&quot;/&gt;&lt;wsp:rsid wsp:val=&quot;00C02143&quot;/&gt;&lt;wsp:rsid wsp:val=&quot;00C02566&quot;/&gt;&lt;wsp:rsid wsp:val=&quot;00C02775&quot;/&gt;&lt;wsp:rsid wsp:val=&quot;00C02AB4&quot;/&gt;&lt;wsp:rsid wsp:val=&quot;00C02B6E&quot;/&gt;&lt;wsp:rsid wsp:val=&quot;00C02C7F&quot;/&gt;&lt;wsp:rsid wsp:val=&quot;00C02FC6&quot;/&gt;&lt;wsp:rsid wsp:val=&quot;00C03236&quot;/&gt;&lt;wsp:rsid wsp:val=&quot;00C03A12&quot;/&gt;&lt;wsp:rsid wsp:val=&quot;00C03E02&quot;/&gt;&lt;wsp:rsid wsp:val=&quot;00C03F80&quot;/&gt;&lt;wsp:rsid wsp:val=&quot;00C04424&quot;/&gt;&lt;wsp:rsid wsp:val=&quot;00C0453D&quot;/&gt;&lt;wsp:rsid wsp:val=&quot;00C05095&quot;/&gt;&lt;wsp:rsid wsp:val=&quot;00C05A2D&quot;/&gt;&lt;wsp:rsid wsp:val=&quot;00C05D31&quot;/&gt;&lt;wsp:rsid wsp:val=&quot;00C05E10&quot;/&gt;&lt;wsp:rsid wsp:val=&quot;00C060E2&quot;/&gt;&lt;wsp:rsid wsp:val=&quot;00C06660&quot;/&gt;&lt;wsp:rsid wsp:val=&quot;00C0691F&quot;/&gt;&lt;wsp:rsid wsp:val=&quot;00C06953&quot;/&gt;&lt;wsp:rsid wsp:val=&quot;00C06CC3&quot;/&gt;&lt;wsp:rsid wsp:val=&quot;00C06DF9&quot;/&gt;&lt;wsp:rsid wsp:val=&quot;00C06FB3&quot;/&gt;&lt;wsp:rsid wsp:val=&quot;00C070C3&quot;/&gt;&lt;wsp:rsid wsp:val=&quot;00C078EE&quot;/&gt;&lt;wsp:rsid wsp:val=&quot;00C07BC7&quot;/&gt;&lt;wsp:rsid wsp:val=&quot;00C10240&quot;/&gt;&lt;wsp:rsid wsp:val=&quot;00C102D6&quot;/&gt;&lt;wsp:rsid wsp:val=&quot;00C104EA&quot;/&gt;&lt;wsp:rsid wsp:val=&quot;00C10512&quot;/&gt;&lt;wsp:rsid wsp:val=&quot;00C10BF8&quot;/&gt;&lt;wsp:rsid wsp:val=&quot;00C10D7B&quot;/&gt;&lt;wsp:rsid wsp:val=&quot;00C10F49&quot;/&gt;&lt;wsp:rsid wsp:val=&quot;00C11443&quot;/&gt;&lt;wsp:rsid wsp:val=&quot;00C11555&quot;/&gt;&lt;wsp:rsid wsp:val=&quot;00C1180F&quot;/&gt;&lt;wsp:rsid wsp:val=&quot;00C11BE8&quot;/&gt;&lt;wsp:rsid wsp:val=&quot;00C11EA5&quot;/&gt;&lt;wsp:rsid wsp:val=&quot;00C11F74&quot;/&gt;&lt;wsp:rsid wsp:val=&quot;00C129E9&quot;/&gt;&lt;wsp:rsid wsp:val=&quot;00C12C11&quot;/&gt;&lt;wsp:rsid wsp:val=&quot;00C12C97&quot;/&gt;&lt;wsp:rsid wsp:val=&quot;00C13509&quot;/&gt;&lt;wsp:rsid wsp:val=&quot;00C13555&quot;/&gt;&lt;wsp:rsid wsp:val=&quot;00C135A5&quot;/&gt;&lt;wsp:rsid wsp:val=&quot;00C137B3&quot;/&gt;&lt;wsp:rsid wsp:val=&quot;00C13AE6&quot;/&gt;&lt;wsp:rsid wsp:val=&quot;00C13EEF&quot;/&gt;&lt;wsp:rsid wsp:val=&quot;00C14134&quot;/&gt;&lt;wsp:rsid wsp:val=&quot;00C1486A&quot;/&gt;&lt;wsp:rsid wsp:val=&quot;00C14D0F&quot;/&gt;&lt;wsp:rsid wsp:val=&quot;00C150B0&quot;/&gt;&lt;wsp:rsid wsp:val=&quot;00C152AF&quot;/&gt;&lt;wsp:rsid wsp:val=&quot;00C15325&quot;/&gt;&lt;wsp:rsid wsp:val=&quot;00C15977&quot;/&gt;&lt;wsp:rsid wsp:val=&quot;00C15C67&quot;/&gt;&lt;wsp:rsid wsp:val=&quot;00C15EE9&quot;/&gt;&lt;wsp:rsid wsp:val=&quot;00C15F3E&quot;/&gt;&lt;wsp:rsid wsp:val=&quot;00C162BB&quot;/&gt;&lt;wsp:rsid wsp:val=&quot;00C1648E&quot;/&gt;&lt;wsp:rsid wsp:val=&quot;00C16B62&quot;/&gt;&lt;wsp:rsid wsp:val=&quot;00C16CD0&quot;/&gt;&lt;wsp:rsid wsp:val=&quot;00C16D8C&quot;/&gt;&lt;wsp:rsid wsp:val=&quot;00C1711A&quot;/&gt;&lt;wsp:rsid wsp:val=&quot;00C174BB&quot;/&gt;&lt;wsp:rsid wsp:val=&quot;00C17BF1&quot;/&gt;&lt;wsp:rsid wsp:val=&quot;00C17C09&quot;/&gt;&lt;wsp:rsid wsp:val=&quot;00C20128&quot;/&gt;&lt;wsp:rsid wsp:val=&quot;00C201C6&quot;/&gt;&lt;wsp:rsid wsp:val=&quot;00C20663&quot;/&gt;&lt;wsp:rsid wsp:val=&quot;00C208B3&quot;/&gt;&lt;wsp:rsid wsp:val=&quot;00C20A81&quot;/&gt;&lt;wsp:rsid wsp:val=&quot;00C20C04&quot;/&gt;&lt;wsp:rsid wsp:val=&quot;00C213C5&quot;/&gt;&lt;wsp:rsid wsp:val=&quot;00C2147C&quot;/&gt;&lt;wsp:rsid wsp:val=&quot;00C21867&quot;/&gt;&lt;wsp:rsid wsp:val=&quot;00C21BF0&quot;/&gt;&lt;wsp:rsid wsp:val=&quot;00C21CA2&quot;/&gt;&lt;wsp:rsid wsp:val=&quot;00C21FB6&quot;/&gt;&lt;wsp:rsid wsp:val=&quot;00C220D9&quot;/&gt;&lt;wsp:rsid wsp:val=&quot;00C22109&quot;/&gt;&lt;wsp:rsid wsp:val=&quot;00C22165&quot;/&gt;&lt;wsp:rsid wsp:val=&quot;00C22178&quot;/&gt;&lt;wsp:rsid wsp:val=&quot;00C22628&quot;/&gt;&lt;wsp:rsid wsp:val=&quot;00C22699&quot;/&gt;&lt;wsp:rsid wsp:val=&quot;00C2292E&quot;/&gt;&lt;wsp:rsid wsp:val=&quot;00C22AA2&quot;/&gt;&lt;wsp:rsid wsp:val=&quot;00C22F8E&quot;/&gt;&lt;wsp:rsid wsp:val=&quot;00C23063&quot;/&gt;&lt;wsp:rsid wsp:val=&quot;00C236A3&quot;/&gt;&lt;wsp:rsid wsp:val=&quot;00C236BB&quot;/&gt;&lt;wsp:rsid wsp:val=&quot;00C23703&quot;/&gt;&lt;wsp:rsid wsp:val=&quot;00C239A2&quot;/&gt;&lt;wsp:rsid wsp:val=&quot;00C23EA5&quot;/&gt;&lt;wsp:rsid wsp:val=&quot;00C23EFC&quot;/&gt;&lt;wsp:rsid wsp:val=&quot;00C23F8F&quot;/&gt;&lt;wsp:rsid wsp:val=&quot;00C24301&quot;/&gt;&lt;wsp:rsid wsp:val=&quot;00C244F8&quot;/&gt;&lt;wsp:rsid wsp:val=&quot;00C24626&quot;/&gt;&lt;wsp:rsid wsp:val=&quot;00C24A64&quot;/&gt;&lt;wsp:rsid wsp:val=&quot;00C24E2A&quot;/&gt;&lt;wsp:rsid wsp:val=&quot;00C24E2B&quot;/&gt;&lt;wsp:rsid wsp:val=&quot;00C24F63&quot;/&gt;&lt;wsp:rsid wsp:val=&quot;00C250B1&quot;/&gt;&lt;wsp:rsid wsp:val=&quot;00C2586A&quot;/&gt;&lt;wsp:rsid wsp:val=&quot;00C25936&quot;/&gt;&lt;wsp:rsid wsp:val=&quot;00C25DE7&quot;/&gt;&lt;wsp:rsid wsp:val=&quot;00C260AE&quot;/&gt;&lt;wsp:rsid wsp:val=&quot;00C26418&quot;/&gt;&lt;wsp:rsid wsp:val=&quot;00C267CE&quot;/&gt;&lt;wsp:rsid wsp:val=&quot;00C27C00&quot;/&gt;&lt;wsp:rsid wsp:val=&quot;00C3012D&quot;/&gt;&lt;wsp:rsid wsp:val=&quot;00C309C4&quot;/&gt;&lt;wsp:rsid wsp:val=&quot;00C30C4F&quot;/&gt;&lt;wsp:rsid wsp:val=&quot;00C30FEC&quot;/&gt;&lt;wsp:rsid wsp:val=&quot;00C310A6&quot;/&gt;&lt;wsp:rsid wsp:val=&quot;00C313EB&quot;/&gt;&lt;wsp:rsid wsp:val=&quot;00C31477&quot;/&gt;&lt;wsp:rsid wsp:val=&quot;00C3163C&quot;/&gt;&lt;wsp:rsid wsp:val=&quot;00C3189B&quot;/&gt;&lt;wsp:rsid wsp:val=&quot;00C31991&quot;/&gt;&lt;wsp:rsid wsp:val=&quot;00C31BF9&quot;/&gt;&lt;wsp:rsid wsp:val=&quot;00C31E68&quot;/&gt;&lt;wsp:rsid wsp:val=&quot;00C31E98&quot;/&gt;&lt;wsp:rsid wsp:val=&quot;00C31F06&quot;/&gt;&lt;wsp:rsid wsp:val=&quot;00C3200E&quot;/&gt;&lt;wsp:rsid wsp:val=&quot;00C32227&quot;/&gt;&lt;wsp:rsid wsp:val=&quot;00C32521&quot;/&gt;&lt;wsp:rsid wsp:val=&quot;00C3256D&quot;/&gt;&lt;wsp:rsid wsp:val=&quot;00C326F5&quot;/&gt;&lt;wsp:rsid wsp:val=&quot;00C328C0&quot;/&gt;&lt;wsp:rsid wsp:val=&quot;00C329BB&quot;/&gt;&lt;wsp:rsid wsp:val=&quot;00C32CD7&quot;/&gt;&lt;wsp:rsid wsp:val=&quot;00C32D73&quot;/&gt;&lt;wsp:rsid wsp:val=&quot;00C33480&quot;/&gt;&lt;wsp:rsid wsp:val=&quot;00C3351E&quot;/&gt;&lt;wsp:rsid wsp:val=&quot;00C33ABF&quot;/&gt;&lt;wsp:rsid wsp:val=&quot;00C33F88&quot;/&gt;&lt;wsp:rsid wsp:val=&quot;00C347EB&quot;/&gt;&lt;wsp:rsid wsp:val=&quot;00C34A8A&quot;/&gt;&lt;wsp:rsid wsp:val=&quot;00C34E96&quot;/&gt;&lt;wsp:rsid wsp:val=&quot;00C34F98&quot;/&gt;&lt;wsp:rsid wsp:val=&quot;00C34FE9&quot;/&gt;&lt;wsp:rsid wsp:val=&quot;00C351F0&quot;/&gt;&lt;wsp:rsid wsp:val=&quot;00C3528E&quot;/&gt;&lt;wsp:rsid wsp:val=&quot;00C3546C&quot;/&gt;&lt;wsp:rsid wsp:val=&quot;00C36345&quot;/&gt;&lt;wsp:rsid wsp:val=&quot;00C36660&quot;/&gt;&lt;wsp:rsid wsp:val=&quot;00C36908&quot;/&gt;&lt;wsp:rsid wsp:val=&quot;00C36A6C&quot;/&gt;&lt;wsp:rsid wsp:val=&quot;00C36D0F&quot;/&gt;&lt;wsp:rsid wsp:val=&quot;00C36F38&quot;/&gt;&lt;wsp:rsid wsp:val=&quot;00C36F53&quot;/&gt;&lt;wsp:rsid wsp:val=&quot;00C375DD&quot;/&gt;&lt;wsp:rsid wsp:val=&quot;00C37B8B&quot;/&gt;&lt;wsp:rsid wsp:val=&quot;00C40486&quot;/&gt;&lt;wsp:rsid wsp:val=&quot;00C405F4&quot;/&gt;&lt;wsp:rsid wsp:val=&quot;00C40609&quot;/&gt;&lt;wsp:rsid wsp:val=&quot;00C40777&quot;/&gt;&lt;wsp:rsid wsp:val=&quot;00C408E3&quot;/&gt;&lt;wsp:rsid wsp:val=&quot;00C409E2&quot;/&gt;&lt;wsp:rsid wsp:val=&quot;00C40A4C&quot;/&gt;&lt;wsp:rsid wsp:val=&quot;00C40A63&quot;/&gt;&lt;wsp:rsid wsp:val=&quot;00C40D3E&quot;/&gt;&lt;wsp:rsid wsp:val=&quot;00C40E93&quot;/&gt;&lt;wsp:rsid wsp:val=&quot;00C40F5C&quot;/&gt;&lt;wsp:rsid wsp:val=&quot;00C40F77&quot;/&gt;&lt;wsp:rsid wsp:val=&quot;00C4136B&quot;/&gt;&lt;wsp:rsid wsp:val=&quot;00C413B2&quot;/&gt;&lt;wsp:rsid wsp:val=&quot;00C413CD&quot;/&gt;&lt;wsp:rsid wsp:val=&quot;00C41992&quot;/&gt;&lt;wsp:rsid wsp:val=&quot;00C419F9&quot;/&gt;&lt;wsp:rsid wsp:val=&quot;00C41CC2&quot;/&gt;&lt;wsp:rsid wsp:val=&quot;00C41DFC&quot;/&gt;&lt;wsp:rsid wsp:val=&quot;00C41E87&quot;/&gt;&lt;wsp:rsid wsp:val=&quot;00C41F13&quot;/&gt;&lt;wsp:rsid wsp:val=&quot;00C42424&quot;/&gt;&lt;wsp:rsid wsp:val=&quot;00C43286&quot;/&gt;&lt;wsp:rsid wsp:val=&quot;00C4358D&quot;/&gt;&lt;wsp:rsid wsp:val=&quot;00C4370D&quot;/&gt;&lt;wsp:rsid wsp:val=&quot;00C44058&quot;/&gt;&lt;wsp:rsid wsp:val=&quot;00C4495F&quot;/&gt;&lt;wsp:rsid wsp:val=&quot;00C45325&quot;/&gt;&lt;wsp:rsid wsp:val=&quot;00C453A3&quot;/&gt;&lt;wsp:rsid wsp:val=&quot;00C45ADF&quot;/&gt;&lt;wsp:rsid wsp:val=&quot;00C45CB8&quot;/&gt;&lt;wsp:rsid wsp:val=&quot;00C46336&quot;/&gt;&lt;wsp:rsid wsp:val=&quot;00C4689A&quot;/&gt;&lt;wsp:rsid wsp:val=&quot;00C46E54&quot;/&gt;&lt;wsp:rsid wsp:val=&quot;00C4703A&quot;/&gt;&lt;wsp:rsid wsp:val=&quot;00C474C1&quot;/&gt;&lt;wsp:rsid wsp:val=&quot;00C47EAC&quot;/&gt;&lt;wsp:rsid wsp:val=&quot;00C47FE1&quot;/&gt;&lt;wsp:rsid wsp:val=&quot;00C5008A&quot;/&gt;&lt;wsp:rsid wsp:val=&quot;00C507B2&quot;/&gt;&lt;wsp:rsid wsp:val=&quot;00C50B28&quot;/&gt;&lt;wsp:rsid wsp:val=&quot;00C50B89&quot;/&gt;&lt;wsp:rsid wsp:val=&quot;00C51397&quot;/&gt;&lt;wsp:rsid wsp:val=&quot;00C516C6&quot;/&gt;&lt;wsp:rsid wsp:val=&quot;00C51953&quot;/&gt;&lt;wsp:rsid wsp:val=&quot;00C52043&quot;/&gt;&lt;wsp:rsid wsp:val=&quot;00C5268A&quot;/&gt;&lt;wsp:rsid wsp:val=&quot;00C529CC&quot;/&gt;&lt;wsp:rsid wsp:val=&quot;00C52D26&quot;/&gt;&lt;wsp:rsid wsp:val=&quot;00C53272&quot;/&gt;&lt;wsp:rsid wsp:val=&quot;00C53E29&quot;/&gt;&lt;wsp:rsid wsp:val=&quot;00C53EAE&quot;/&gt;&lt;wsp:rsid wsp:val=&quot;00C53F85&quot;/&gt;&lt;wsp:rsid wsp:val=&quot;00C54548&quot;/&gt;&lt;wsp:rsid wsp:val=&quot;00C549F3&quot;/&gt;&lt;wsp:rsid wsp:val=&quot;00C54CE5&quot;/&gt;&lt;wsp:rsid wsp:val=&quot;00C54D13&quot;/&gt;&lt;wsp:rsid wsp:val=&quot;00C54EF1&quot;/&gt;&lt;wsp:rsid wsp:val=&quot;00C5502B&quot;/&gt;&lt;wsp:rsid wsp:val=&quot;00C551F8&quot;/&gt;&lt;wsp:rsid wsp:val=&quot;00C552FA&quot;/&gt;&lt;wsp:rsid wsp:val=&quot;00C5557C&quot;/&gt;&lt;wsp:rsid wsp:val=&quot;00C55714&quot;/&gt;&lt;wsp:rsid wsp:val=&quot;00C5571A&quot;/&gt;&lt;wsp:rsid wsp:val=&quot;00C55833&quot;/&gt;&lt;wsp:rsid wsp:val=&quot;00C55ABB&quot;/&gt;&lt;wsp:rsid wsp:val=&quot;00C55C94&quot;/&gt;&lt;wsp:rsid wsp:val=&quot;00C560ED&quot;/&gt;&lt;wsp:rsid wsp:val=&quot;00C56423&quot;/&gt;&lt;wsp:rsid wsp:val=&quot;00C56B2B&quot;/&gt;&lt;wsp:rsid wsp:val=&quot;00C56DFA&quot;/&gt;&lt;wsp:rsid wsp:val=&quot;00C5706C&quot;/&gt;&lt;wsp:rsid wsp:val=&quot;00C5748D&quot;/&gt;&lt;wsp:rsid wsp:val=&quot;00C57495&quot;/&gt;&lt;wsp:rsid wsp:val=&quot;00C5764E&quot;/&gt;&lt;wsp:rsid wsp:val=&quot;00C57724&quot;/&gt;&lt;wsp:rsid wsp:val=&quot;00C578BE&quot;/&gt;&lt;wsp:rsid wsp:val=&quot;00C57A7C&quot;/&gt;&lt;wsp:rsid wsp:val=&quot;00C57ABD&quot;/&gt;&lt;wsp:rsid wsp:val=&quot;00C57E0C&quot;/&gt;&lt;wsp:rsid wsp:val=&quot;00C60420&quot;/&gt;&lt;wsp:rsid wsp:val=&quot;00C608EB&quot;/&gt;&lt;wsp:rsid wsp:val=&quot;00C61442&quot;/&gt;&lt;wsp:rsid wsp:val=&quot;00C6148E&quot;/&gt;&lt;wsp:rsid wsp:val=&quot;00C616DC&quot;/&gt;&lt;wsp:rsid wsp:val=&quot;00C61D53&quot;/&gt;&lt;wsp:rsid wsp:val=&quot;00C628B9&quot;/&gt;&lt;wsp:rsid wsp:val=&quot;00C62D5C&quot;/&gt;&lt;wsp:rsid wsp:val=&quot;00C62D63&quot;/&gt;&lt;wsp:rsid wsp:val=&quot;00C62FD1&quot;/&gt;&lt;wsp:rsid wsp:val=&quot;00C63112&quot;/&gt;&lt;wsp:rsid wsp:val=&quot;00C6323C&quot;/&gt;&lt;wsp:rsid wsp:val=&quot;00C632AB&quot;/&gt;&lt;wsp:rsid wsp:val=&quot;00C635E9&quot;/&gt;&lt;wsp:rsid wsp:val=&quot;00C63676&quot;/&gt;&lt;wsp:rsid wsp:val=&quot;00C638AE&quot;/&gt;&lt;wsp:rsid wsp:val=&quot;00C6396D&quot;/&gt;&lt;wsp:rsid wsp:val=&quot;00C63FC5&quot;/&gt;&lt;wsp:rsid wsp:val=&quot;00C64147&quot;/&gt;&lt;wsp:rsid wsp:val=&quot;00C64212&quot;/&gt;&lt;wsp:rsid wsp:val=&quot;00C64557&quot;/&gt;&lt;wsp:rsid wsp:val=&quot;00C648CB&quot;/&gt;&lt;wsp:rsid wsp:val=&quot;00C64B1E&quot;/&gt;&lt;wsp:rsid wsp:val=&quot;00C64B99&quot;/&gt;&lt;wsp:rsid wsp:val=&quot;00C64FFC&quot;/&gt;&lt;wsp:rsid wsp:val=&quot;00C64FFD&quot;/&gt;&lt;wsp:rsid wsp:val=&quot;00C65030&quot;/&gt;&lt;wsp:rsid wsp:val=&quot;00C655D5&quot;/&gt;&lt;wsp:rsid wsp:val=&quot;00C65CFF&quot;/&gt;&lt;wsp:rsid wsp:val=&quot;00C65EEE&quot;/&gt;&lt;wsp:rsid wsp:val=&quot;00C662BB&quot;/&gt;&lt;wsp:rsid wsp:val=&quot;00C66354&quot;/&gt;&lt;wsp:rsid wsp:val=&quot;00C66A8E&quot;/&gt;&lt;wsp:rsid wsp:val=&quot;00C66B4B&quot;/&gt;&lt;wsp:rsid wsp:val=&quot;00C670A3&quot;/&gt;&lt;wsp:rsid wsp:val=&quot;00C670AE&quot;/&gt;&lt;wsp:rsid wsp:val=&quot;00C671DE&quot;/&gt;&lt;wsp:rsid wsp:val=&quot;00C673C5&quot;/&gt;&lt;wsp:rsid wsp:val=&quot;00C67831&quot;/&gt;&lt;wsp:rsid wsp:val=&quot;00C67EA5&quot;/&gt;&lt;wsp:rsid wsp:val=&quot;00C67F6C&quot;/&gt;&lt;wsp:rsid wsp:val=&quot;00C701DC&quot;/&gt;&lt;wsp:rsid wsp:val=&quot;00C70366&quot;/&gt;&lt;wsp:rsid wsp:val=&quot;00C70A2A&quot;/&gt;&lt;wsp:rsid wsp:val=&quot;00C71651&quot;/&gt;&lt;wsp:rsid wsp:val=&quot;00C71716&quot;/&gt;&lt;wsp:rsid wsp:val=&quot;00C71B9C&quot;/&gt;&lt;wsp:rsid wsp:val=&quot;00C71BAB&quot;/&gt;&lt;wsp:rsid wsp:val=&quot;00C71BCA&quot;/&gt;&lt;wsp:rsid wsp:val=&quot;00C71DA3&quot;/&gt;&lt;wsp:rsid wsp:val=&quot;00C71FEF&quot;/&gt;&lt;wsp:rsid wsp:val=&quot;00C723D3&quot;/&gt;&lt;wsp:rsid wsp:val=&quot;00C7245C&quot;/&gt;&lt;wsp:rsid wsp:val=&quot;00C72BF5&quot;/&gt;&lt;wsp:rsid wsp:val=&quot;00C72E28&quot;/&gt;&lt;wsp:rsid wsp:val=&quot;00C72E48&quot;/&gt;&lt;wsp:rsid wsp:val=&quot;00C72F9F&quot;/&gt;&lt;wsp:rsid wsp:val=&quot;00C730B0&quot;/&gt;&lt;wsp:rsid wsp:val=&quot;00C73AB5&quot;/&gt;&lt;wsp:rsid wsp:val=&quot;00C742F4&quot;/&gt;&lt;wsp:rsid wsp:val=&quot;00C74456&quot;/&gt;&lt;wsp:rsid wsp:val=&quot;00C744F9&quot;/&gt;&lt;wsp:rsid wsp:val=&quot;00C74CB4&quot;/&gt;&lt;wsp:rsid wsp:val=&quot;00C7506D&quot;/&gt;&lt;wsp:rsid wsp:val=&quot;00C75070&quot;/&gt;&lt;wsp:rsid wsp:val=&quot;00C7519E&quot;/&gt;&lt;wsp:rsid wsp:val=&quot;00C755A3&quot;/&gt;&lt;wsp:rsid wsp:val=&quot;00C75D11&quot;/&gt;&lt;wsp:rsid wsp:val=&quot;00C75E9E&quot;/&gt;&lt;wsp:rsid wsp:val=&quot;00C76290&quot;/&gt;&lt;wsp:rsid wsp:val=&quot;00C764DC&quot;/&gt;&lt;wsp:rsid wsp:val=&quot;00C76567&quot;/&gt;&lt;wsp:rsid wsp:val=&quot;00C76946&quot;/&gt;&lt;wsp:rsid wsp:val=&quot;00C76B5E&quot;/&gt;&lt;wsp:rsid wsp:val=&quot;00C76D1B&quot;/&gt;&lt;wsp:rsid wsp:val=&quot;00C770A4&quot;/&gt;&lt;wsp:rsid wsp:val=&quot;00C77201&quot;/&gt;&lt;wsp:rsid wsp:val=&quot;00C7749B&quot;/&gt;&lt;wsp:rsid wsp:val=&quot;00C774E8&quot;/&gt;&lt;wsp:rsid wsp:val=&quot;00C77D52&quot;/&gt;&lt;wsp:rsid wsp:val=&quot;00C804F3&quot;/&gt;&lt;wsp:rsid wsp:val=&quot;00C805E2&quot;/&gt;&lt;wsp:rsid wsp:val=&quot;00C806F4&quot;/&gt;&lt;wsp:rsid wsp:val=&quot;00C80E41&quot;/&gt;&lt;wsp:rsid wsp:val=&quot;00C810E4&quot;/&gt;&lt;wsp:rsid wsp:val=&quot;00C8182A&quot;/&gt;&lt;wsp:rsid wsp:val=&quot;00C81C54&quot;/&gt;&lt;wsp:rsid wsp:val=&quot;00C81D9B&quot;/&gt;&lt;wsp:rsid wsp:val=&quot;00C822FD&quot;/&gt;&lt;wsp:rsid wsp:val=&quot;00C82360&quot;/&gt;&lt;wsp:rsid wsp:val=&quot;00C823D2&quot;/&gt;&lt;wsp:rsid wsp:val=&quot;00C825B6&quot;/&gt;&lt;wsp:rsid wsp:val=&quot;00C82D07&quot;/&gt;&lt;wsp:rsid wsp:val=&quot;00C82EE1&quot;/&gt;&lt;wsp:rsid wsp:val=&quot;00C834B5&quot;/&gt;&lt;wsp:rsid wsp:val=&quot;00C836AB&quot;/&gt;&lt;wsp:rsid wsp:val=&quot;00C83829&quot;/&gt;&lt;wsp:rsid wsp:val=&quot;00C83AB1&quot;/&gt;&lt;wsp:rsid wsp:val=&quot;00C83C0B&quot;/&gt;&lt;wsp:rsid wsp:val=&quot;00C84335&quot;/&gt;&lt;wsp:rsid wsp:val=&quot;00C84382&quot;/&gt;&lt;wsp:rsid wsp:val=&quot;00C846D6&quot;/&gt;&lt;wsp:rsid wsp:val=&quot;00C84879&quot;/&gt;&lt;wsp:rsid wsp:val=&quot;00C8490D&quot;/&gt;&lt;wsp:rsid wsp:val=&quot;00C849C3&quot;/&gt;&lt;wsp:rsid wsp:val=&quot;00C84CA9&quot;/&gt;&lt;wsp:rsid wsp:val=&quot;00C84DAA&quot;/&gt;&lt;wsp:rsid wsp:val=&quot;00C85290&quot;/&gt;&lt;wsp:rsid wsp:val=&quot;00C8537C&quot;/&gt;&lt;wsp:rsid wsp:val=&quot;00C8545B&quot;/&gt;&lt;wsp:rsid wsp:val=&quot;00C85463&quot;/&gt;&lt;wsp:rsid wsp:val=&quot;00C86660&quot;/&gt;&lt;wsp:rsid wsp:val=&quot;00C866CF&quot;/&gt;&lt;wsp:rsid wsp:val=&quot;00C86725&quot;/&gt;&lt;wsp:rsid wsp:val=&quot;00C86798&quot;/&gt;&lt;wsp:rsid wsp:val=&quot;00C869FF&quot;/&gt;&lt;wsp:rsid wsp:val=&quot;00C86B66&quot;/&gt;&lt;wsp:rsid wsp:val=&quot;00C8703E&quot;/&gt;&lt;wsp:rsid wsp:val=&quot;00C87047&quot;/&gt;&lt;wsp:rsid wsp:val=&quot;00C871AB&quot;/&gt;&lt;wsp:rsid wsp:val=&quot;00C8759E&quot;/&gt;&lt;wsp:rsid wsp:val=&quot;00C878DD&quot;/&gt;&lt;wsp:rsid wsp:val=&quot;00C87E7C&quot;/&gt;&lt;wsp:rsid wsp:val=&quot;00C901B8&quot;/&gt;&lt;wsp:rsid wsp:val=&quot;00C901D2&quot;/&gt;&lt;wsp:rsid wsp:val=&quot;00C902BC&quot;/&gt;&lt;wsp:rsid wsp:val=&quot;00C903C5&quot;/&gt;&lt;wsp:rsid wsp:val=&quot;00C90E9F&quot;/&gt;&lt;wsp:rsid wsp:val=&quot;00C90F68&quot;/&gt;&lt;wsp:rsid wsp:val=&quot;00C90FAD&quot;/&gt;&lt;wsp:rsid wsp:val=&quot;00C911C4&quot;/&gt;&lt;wsp:rsid wsp:val=&quot;00C91235&quot;/&gt;&lt;wsp:rsid wsp:val=&quot;00C91579&quot;/&gt;&lt;wsp:rsid wsp:val=&quot;00C91B03&quot;/&gt;&lt;wsp:rsid wsp:val=&quot;00C91B1A&quot;/&gt;&lt;wsp:rsid wsp:val=&quot;00C91B69&quot;/&gt;&lt;wsp:rsid wsp:val=&quot;00C91B6B&quot;/&gt;&lt;wsp:rsid wsp:val=&quot;00C91D6B&quot;/&gt;&lt;wsp:rsid wsp:val=&quot;00C92840&quot;/&gt;&lt;wsp:rsid wsp:val=&quot;00C92C3E&quot;/&gt;&lt;wsp:rsid wsp:val=&quot;00C92C8B&quot;/&gt;&lt;wsp:rsid wsp:val=&quot;00C92FE3&quot;/&gt;&lt;wsp:rsid wsp:val=&quot;00C93213&quot;/&gt;&lt;wsp:rsid wsp:val=&quot;00C9359D&quot;/&gt;&lt;wsp:rsid wsp:val=&quot;00C93794&quot;/&gt;&lt;wsp:rsid wsp:val=&quot;00C93AB1&quot;/&gt;&lt;wsp:rsid wsp:val=&quot;00C93C1C&quot;/&gt;&lt;wsp:rsid wsp:val=&quot;00C93C71&quot;/&gt;&lt;wsp:rsid wsp:val=&quot;00C94BF7&quot;/&gt;&lt;wsp:rsid wsp:val=&quot;00C94FDA&quot;/&gt;&lt;wsp:rsid wsp:val=&quot;00C952F2&quot;/&gt;&lt;wsp:rsid wsp:val=&quot;00C95593&quot;/&gt;&lt;wsp:rsid wsp:val=&quot;00C95601&quot;/&gt;&lt;wsp:rsid wsp:val=&quot;00C95761&quot;/&gt;&lt;wsp:rsid wsp:val=&quot;00C95B50&quot;/&gt;&lt;wsp:rsid wsp:val=&quot;00C95B74&quot;/&gt;&lt;wsp:rsid wsp:val=&quot;00C95DA9&quot;/&gt;&lt;wsp:rsid wsp:val=&quot;00C95FCB&quot;/&gt;&lt;wsp:rsid wsp:val=&quot;00C96008&quot;/&gt;&lt;wsp:rsid wsp:val=&quot;00C96072&quot;/&gt;&lt;wsp:rsid wsp:val=&quot;00C96114&quot;/&gt;&lt;wsp:rsid wsp:val=&quot;00C96342&quot;/&gt;&lt;wsp:rsid wsp:val=&quot;00C96488&quot;/&gt;&lt;wsp:rsid wsp:val=&quot;00C965F4&quot;/&gt;&lt;wsp:rsid wsp:val=&quot;00C966E7&quot;/&gt;&lt;wsp:rsid wsp:val=&quot;00C967C3&quot;/&gt;&lt;wsp:rsid wsp:val=&quot;00C967C7&quot;/&gt;&lt;wsp:rsid wsp:val=&quot;00C967D6&quot;/&gt;&lt;wsp:rsid wsp:val=&quot;00C96A2F&quot;/&gt;&lt;wsp:rsid wsp:val=&quot;00C96F4D&quot;/&gt;&lt;wsp:rsid wsp:val=&quot;00C973B5&quot;/&gt;&lt;wsp:rsid wsp:val=&quot;00C97477&quot;/&gt;&lt;wsp:rsid wsp:val=&quot;00C976FC&quot;/&gt;&lt;wsp:rsid wsp:val=&quot;00C977D5&quot;/&gt;&lt;wsp:rsid wsp:val=&quot;00C97877&quot;/&gt;&lt;wsp:rsid wsp:val=&quot;00C978CE&quot;/&gt;&lt;wsp:rsid wsp:val=&quot;00C97AD6&quot;/&gt;&lt;wsp:rsid wsp:val=&quot;00C97AE1&quot;/&gt;&lt;wsp:rsid wsp:val=&quot;00C97DD6&quot;/&gt;&lt;wsp:rsid wsp:val=&quot;00C97F8E&quot;/&gt;&lt;wsp:rsid wsp:val=&quot;00CA0429&quot;/&gt;&lt;wsp:rsid wsp:val=&quot;00CA05C1&quot;/&gt;&lt;wsp:rsid wsp:val=&quot;00CA0D15&quot;/&gt;&lt;wsp:rsid wsp:val=&quot;00CA0E1C&quot;/&gt;&lt;wsp:rsid wsp:val=&quot;00CA11A6&quot;/&gt;&lt;wsp:rsid wsp:val=&quot;00CA1764&quot;/&gt;&lt;wsp:rsid wsp:val=&quot;00CA184C&quot;/&gt;&lt;wsp:rsid wsp:val=&quot;00CA1A12&quot;/&gt;&lt;wsp:rsid wsp:val=&quot;00CA1A44&quot;/&gt;&lt;wsp:rsid wsp:val=&quot;00CA2208&quot;/&gt;&lt;wsp:rsid wsp:val=&quot;00CA2352&quot;/&gt;&lt;wsp:rsid wsp:val=&quot;00CA27D4&quot;/&gt;&lt;wsp:rsid wsp:val=&quot;00CA28E3&quot;/&gt;&lt;wsp:rsid wsp:val=&quot;00CA3429&quot;/&gt;&lt;wsp:rsid wsp:val=&quot;00CA3A9A&quot;/&gt;&lt;wsp:rsid wsp:val=&quot;00CA3C06&quot;/&gt;&lt;wsp:rsid wsp:val=&quot;00CA42DE&quot;/&gt;&lt;wsp:rsid wsp:val=&quot;00CA4D0F&quot;/&gt;&lt;wsp:rsid wsp:val=&quot;00CA5771&quot;/&gt;&lt;wsp:rsid wsp:val=&quot;00CA57F7&quot;/&gt;&lt;wsp:rsid wsp:val=&quot;00CA5873&quot;/&gt;&lt;wsp:rsid wsp:val=&quot;00CA5DDF&quot;/&gt;&lt;wsp:rsid wsp:val=&quot;00CA6218&quot;/&gt;&lt;wsp:rsid wsp:val=&quot;00CA6293&quot;/&gt;&lt;wsp:rsid wsp:val=&quot;00CA6487&quot;/&gt;&lt;wsp:rsid wsp:val=&quot;00CA6560&quot;/&gt;&lt;wsp:rsid wsp:val=&quot;00CA6A93&quot;/&gt;&lt;wsp:rsid wsp:val=&quot;00CA6BAC&quot;/&gt;&lt;wsp:rsid wsp:val=&quot;00CA6C37&quot;/&gt;&lt;wsp:rsid wsp:val=&quot;00CA6C42&quot;/&gt;&lt;wsp:rsid wsp:val=&quot;00CA76DA&quot;/&gt;&lt;wsp:rsid wsp:val=&quot;00CA7A78&quot;/&gt;&lt;wsp:rsid wsp:val=&quot;00CA7CA6&quot;/&gt;&lt;wsp:rsid wsp:val=&quot;00CB0586&quot;/&gt;&lt;wsp:rsid wsp:val=&quot;00CB08AF&quot;/&gt;&lt;wsp:rsid wsp:val=&quot;00CB0DF6&quot;/&gt;&lt;wsp:rsid wsp:val=&quot;00CB13A4&quot;/&gt;&lt;wsp:rsid wsp:val=&quot;00CB15CF&quot;/&gt;&lt;wsp:rsid wsp:val=&quot;00CB1CF7&quot;/&gt;&lt;wsp:rsid wsp:val=&quot;00CB1DF2&quot;/&gt;&lt;wsp:rsid wsp:val=&quot;00CB1FB6&quot;/&gt;&lt;wsp:rsid wsp:val=&quot;00CB2765&quot;/&gt;&lt;wsp:rsid wsp:val=&quot;00CB279B&quot;/&gt;&lt;wsp:rsid wsp:val=&quot;00CB28F7&quot;/&gt;&lt;wsp:rsid wsp:val=&quot;00CB2CB7&quot;/&gt;&lt;wsp:rsid wsp:val=&quot;00CB2DEC&quot;/&gt;&lt;wsp:rsid wsp:val=&quot;00CB3059&quot;/&gt;&lt;wsp:rsid wsp:val=&quot;00CB30E1&quot;/&gt;&lt;wsp:rsid wsp:val=&quot;00CB3228&quot;/&gt;&lt;wsp:rsid wsp:val=&quot;00CB32CE&quot;/&gt;&lt;wsp:rsid wsp:val=&quot;00CB3560&quot;/&gt;&lt;wsp:rsid wsp:val=&quot;00CB3830&quot;/&gt;&lt;wsp:rsid wsp:val=&quot;00CB3B40&quot;/&gt;&lt;wsp:rsid wsp:val=&quot;00CB3C16&quot;/&gt;&lt;wsp:rsid wsp:val=&quot;00CB3DC2&quot;/&gt;&lt;wsp:rsid wsp:val=&quot;00CB3EBC&quot;/&gt;&lt;wsp:rsid wsp:val=&quot;00CB437F&quot;/&gt;&lt;wsp:rsid wsp:val=&quot;00CB4605&quot;/&gt;&lt;wsp:rsid wsp:val=&quot;00CB4A00&quot;/&gt;&lt;wsp:rsid wsp:val=&quot;00CB4B6A&quot;/&gt;&lt;wsp:rsid wsp:val=&quot;00CB4BB0&quot;/&gt;&lt;wsp:rsid wsp:val=&quot;00CB4F1F&quot;/&gt;&lt;wsp:rsid wsp:val=&quot;00CB51BA&quot;/&gt;&lt;wsp:rsid wsp:val=&quot;00CB52C1&quot;/&gt;&lt;wsp:rsid wsp:val=&quot;00CB55C5&quot;/&gt;&lt;wsp:rsid wsp:val=&quot;00CB570F&quot;/&gt;&lt;wsp:rsid wsp:val=&quot;00CB5D3D&quot;/&gt;&lt;wsp:rsid wsp:val=&quot;00CB5E81&quot;/&gt;&lt;wsp:rsid wsp:val=&quot;00CB602C&quot;/&gt;&lt;wsp:rsid wsp:val=&quot;00CB622A&quot;/&gt;&lt;wsp:rsid wsp:val=&quot;00CB624B&quot;/&gt;&lt;wsp:rsid wsp:val=&quot;00CB70DA&quot;/&gt;&lt;wsp:rsid wsp:val=&quot;00CB71E9&quot;/&gt;&lt;wsp:rsid wsp:val=&quot;00CB731A&quot;/&gt;&lt;wsp:rsid wsp:val=&quot;00CB7C20&quot;/&gt;&lt;wsp:rsid wsp:val=&quot;00CB7F49&quot;/&gt;&lt;wsp:rsid wsp:val=&quot;00CC0290&quot;/&gt;&lt;wsp:rsid wsp:val=&quot;00CC02B8&quot;/&gt;&lt;wsp:rsid wsp:val=&quot;00CC0726&quot;/&gt;&lt;wsp:rsid wsp:val=&quot;00CC0ECB&quot;/&gt;&lt;wsp:rsid wsp:val=&quot;00CC0F0E&quot;/&gt;&lt;wsp:rsid wsp:val=&quot;00CC0F11&quot;/&gt;&lt;wsp:rsid wsp:val=&quot;00CC0FD5&quot;/&gt;&lt;wsp:rsid wsp:val=&quot;00CC122D&quot;/&gt;&lt;wsp:rsid wsp:val=&quot;00CC1355&quot;/&gt;&lt;wsp:rsid wsp:val=&quot;00CC19B5&quot;/&gt;&lt;wsp:rsid wsp:val=&quot;00CC1A4D&quot;/&gt;&lt;wsp:rsid wsp:val=&quot;00CC20E3&quot;/&gt;&lt;wsp:rsid wsp:val=&quot;00CC214D&quot;/&gt;&lt;wsp:rsid wsp:val=&quot;00CC2210&quot;/&gt;&lt;wsp:rsid wsp:val=&quot;00CC2929&quot;/&gt;&lt;wsp:rsid wsp:val=&quot;00CC29E8&quot;/&gt;&lt;wsp:rsid wsp:val=&quot;00CC333D&quot;/&gt;&lt;wsp:rsid wsp:val=&quot;00CC3544&quot;/&gt;&lt;wsp:rsid wsp:val=&quot;00CC4220&quot;/&gt;&lt;wsp:rsid wsp:val=&quot;00CC445D&quot;/&gt;&lt;wsp:rsid wsp:val=&quot;00CC478C&quot;/&gt;&lt;wsp:rsid wsp:val=&quot;00CC4B48&quot;/&gt;&lt;wsp:rsid wsp:val=&quot;00CC4CFB&quot;/&gt;&lt;wsp:rsid wsp:val=&quot;00CC4D82&quot;/&gt;&lt;wsp:rsid wsp:val=&quot;00CC4DB5&quot;/&gt;&lt;wsp:rsid wsp:val=&quot;00CC4F1B&quot;/&gt;&lt;wsp:rsid wsp:val=&quot;00CC4F79&quot;/&gt;&lt;wsp:rsid wsp:val=&quot;00CC5049&quot;/&gt;&lt;wsp:rsid wsp:val=&quot;00CC549F&quot;/&gt;&lt;wsp:rsid wsp:val=&quot;00CC54A5&quot;/&gt;&lt;wsp:rsid wsp:val=&quot;00CC54E7&quot;/&gt;&lt;wsp:rsid wsp:val=&quot;00CC576B&quot;/&gt;&lt;wsp:rsid wsp:val=&quot;00CC6555&quot;/&gt;&lt;wsp:rsid wsp:val=&quot;00CC66D5&quot;/&gt;&lt;wsp:rsid wsp:val=&quot;00CC6A0B&quot;/&gt;&lt;wsp:rsid wsp:val=&quot;00CC6B94&quot;/&gt;&lt;wsp:rsid wsp:val=&quot;00CC6D80&quot;/&gt;&lt;wsp:rsid wsp:val=&quot;00CC6F86&quot;/&gt;&lt;wsp:rsid wsp:val=&quot;00CC74EB&quot;/&gt;&lt;wsp:rsid wsp:val=&quot;00CC769F&quot;/&gt;&lt;wsp:rsid wsp:val=&quot;00CC7BE7&quot;/&gt;&lt;wsp:rsid wsp:val=&quot;00CC7DE4&quot;/&gt;&lt;wsp:rsid wsp:val=&quot;00CC7E5A&quot;/&gt;&lt;wsp:rsid wsp:val=&quot;00CC7F47&quot;/&gt;&lt;wsp:rsid wsp:val=&quot;00CD07B5&quot;/&gt;&lt;wsp:rsid wsp:val=&quot;00CD0B3E&quot;/&gt;&lt;wsp:rsid wsp:val=&quot;00CD183A&quot;/&gt;&lt;wsp:rsid wsp:val=&quot;00CD279A&quot;/&gt;&lt;wsp:rsid wsp:val=&quot;00CD2F2A&quot;/&gt;&lt;wsp:rsid wsp:val=&quot;00CD2FDE&quot;/&gt;&lt;wsp:rsid wsp:val=&quot;00CD3649&quot;/&gt;&lt;wsp:rsid wsp:val=&quot;00CD393A&quot;/&gt;&lt;wsp:rsid wsp:val=&quot;00CD397B&quot;/&gt;&lt;wsp:rsid wsp:val=&quot;00CD3BCE&quot;/&gt;&lt;wsp:rsid wsp:val=&quot;00CD41CE&quot;/&gt;&lt;wsp:rsid wsp:val=&quot;00CD4871&quot;/&gt;&lt;wsp:rsid wsp:val=&quot;00CD4925&quot;/&gt;&lt;wsp:rsid wsp:val=&quot;00CD4A65&quot;/&gt;&lt;wsp:rsid wsp:val=&quot;00CD4FF8&quot;/&gt;&lt;wsp:rsid wsp:val=&quot;00CD53EB&quot;/&gt;&lt;wsp:rsid wsp:val=&quot;00CD5422&quot;/&gt;&lt;wsp:rsid wsp:val=&quot;00CD5490&quot;/&gt;&lt;wsp:rsid wsp:val=&quot;00CD587E&quot;/&gt;&lt;wsp:rsid wsp:val=&quot;00CD5931&quot;/&gt;&lt;wsp:rsid wsp:val=&quot;00CD59DC&quot;/&gt;&lt;wsp:rsid wsp:val=&quot;00CD5AF8&quot;/&gt;&lt;wsp:rsid wsp:val=&quot;00CD5AFE&quot;/&gt;&lt;wsp:rsid wsp:val=&quot;00CD5E2C&quot;/&gt;&lt;wsp:rsid wsp:val=&quot;00CD5EE3&quot;/&gt;&lt;wsp:rsid wsp:val=&quot;00CD61B3&quot;/&gt;&lt;wsp:rsid wsp:val=&quot;00CD6401&quot;/&gt;&lt;wsp:rsid wsp:val=&quot;00CD64FF&quot;/&gt;&lt;wsp:rsid wsp:val=&quot;00CD676D&quot;/&gt;&lt;wsp:rsid wsp:val=&quot;00CD68ED&quot;/&gt;&lt;wsp:rsid wsp:val=&quot;00CD69A9&quot;/&gt;&lt;wsp:rsid wsp:val=&quot;00CD69FB&quot;/&gt;&lt;wsp:rsid wsp:val=&quot;00CD6C45&quot;/&gt;&lt;wsp:rsid wsp:val=&quot;00CD717E&quot;/&gt;&lt;wsp:rsid wsp:val=&quot;00CD742C&quot;/&gt;&lt;wsp:rsid wsp:val=&quot;00CD7497&quot;/&gt;&lt;wsp:rsid wsp:val=&quot;00CD74C0&quot;/&gt;&lt;wsp:rsid wsp:val=&quot;00CD781F&quot;/&gt;&lt;wsp:rsid wsp:val=&quot;00CD7969&quot;/&gt;&lt;wsp:rsid wsp:val=&quot;00CD7BFF&quot;/&gt;&lt;wsp:rsid wsp:val=&quot;00CD7F01&quot;/&gt;&lt;wsp:rsid wsp:val=&quot;00CE011C&quot;/&gt;&lt;wsp:rsid wsp:val=&quot;00CE01CE&quot;/&gt;&lt;wsp:rsid wsp:val=&quot;00CE01E6&quot;/&gt;&lt;wsp:rsid wsp:val=&quot;00CE039C&quot;/&gt;&lt;wsp:rsid wsp:val=&quot;00CE040F&quot;/&gt;&lt;wsp:rsid wsp:val=&quot;00CE0773&quot;/&gt;&lt;wsp:rsid wsp:val=&quot;00CE1129&quot;/&gt;&lt;wsp:rsid wsp:val=&quot;00CE1A13&quot;/&gt;&lt;wsp:rsid wsp:val=&quot;00CE1C38&quot;/&gt;&lt;wsp:rsid wsp:val=&quot;00CE2255&quot;/&gt;&lt;wsp:rsid wsp:val=&quot;00CE2939&quot;/&gt;&lt;wsp:rsid wsp:val=&quot;00CE2A86&quot;/&gt;&lt;wsp:rsid wsp:val=&quot;00CE2CEE&quot;/&gt;&lt;wsp:rsid wsp:val=&quot;00CE2D22&quot;/&gt;&lt;wsp:rsid wsp:val=&quot;00CE30F8&quot;/&gt;&lt;wsp:rsid wsp:val=&quot;00CE38BA&quot;/&gt;&lt;wsp:rsid wsp:val=&quot;00CE4326&quot;/&gt;&lt;wsp:rsid wsp:val=&quot;00CE4A88&quot;/&gt;&lt;wsp:rsid wsp:val=&quot;00CE4E60&quot;/&gt;&lt;wsp:rsid wsp:val=&quot;00CE4E88&quot;/&gt;&lt;wsp:rsid wsp:val=&quot;00CE5060&quot;/&gt;&lt;wsp:rsid wsp:val=&quot;00CE5502&quot;/&gt;&lt;wsp:rsid wsp:val=&quot;00CE57B6&quot;/&gt;&lt;wsp:rsid wsp:val=&quot;00CE5B49&quot;/&gt;&lt;wsp:rsid wsp:val=&quot;00CE5B63&quot;/&gt;&lt;wsp:rsid wsp:val=&quot;00CE5FE4&quot;/&gt;&lt;wsp:rsid wsp:val=&quot;00CE6974&quot;/&gt;&lt;wsp:rsid wsp:val=&quot;00CE6F09&quot;/&gt;&lt;wsp:rsid wsp:val=&quot;00CE6F9A&quot;/&gt;&lt;wsp:rsid wsp:val=&quot;00CE739E&quot;/&gt;&lt;wsp:rsid wsp:val=&quot;00CE775D&quot;/&gt;&lt;wsp:rsid wsp:val=&quot;00CF0D65&quot;/&gt;&lt;wsp:rsid wsp:val=&quot;00CF107E&quot;/&gt;&lt;wsp:rsid wsp:val=&quot;00CF117E&quot;/&gt;&lt;wsp:rsid wsp:val=&quot;00CF1B47&quot;/&gt;&lt;wsp:rsid wsp:val=&quot;00CF26A4&quot;/&gt;&lt;wsp:rsid wsp:val=&quot;00CF27DA&quot;/&gt;&lt;wsp:rsid wsp:val=&quot;00CF3872&quot;/&gt;&lt;wsp:rsid wsp:val=&quot;00CF3924&quot;/&gt;&lt;wsp:rsid wsp:val=&quot;00CF3A0F&quot;/&gt;&lt;wsp:rsid wsp:val=&quot;00CF3A21&quot;/&gt;&lt;wsp:rsid wsp:val=&quot;00CF3B70&quot;/&gt;&lt;wsp:rsid wsp:val=&quot;00CF3E6D&quot;/&gt;&lt;wsp:rsid wsp:val=&quot;00CF42E7&quot;/&gt;&lt;wsp:rsid wsp:val=&quot;00CF4459&quot;/&gt;&lt;wsp:rsid wsp:val=&quot;00CF4689&quot;/&gt;&lt;wsp:rsid wsp:val=&quot;00CF4A56&quot;/&gt;&lt;wsp:rsid wsp:val=&quot;00CF4F93&quot;/&gt;&lt;wsp:rsid wsp:val=&quot;00CF50A0&quot;/&gt;&lt;wsp:rsid wsp:val=&quot;00CF56E8&quot;/&gt;&lt;wsp:rsid wsp:val=&quot;00CF58E7&quot;/&gt;&lt;wsp:rsid wsp:val=&quot;00CF592B&quot;/&gt;&lt;wsp:rsid wsp:val=&quot;00CF59F3&quot;/&gt;&lt;wsp:rsid wsp:val=&quot;00CF5C7A&quot;/&gt;&lt;wsp:rsid wsp:val=&quot;00CF5E35&quot;/&gt;&lt;wsp:rsid wsp:val=&quot;00CF5E51&quot;/&gt;&lt;wsp:rsid wsp:val=&quot;00CF623C&quot;/&gt;&lt;wsp:rsid wsp:val=&quot;00CF6AFF&quot;/&gt;&lt;wsp:rsid wsp:val=&quot;00CF7168&quot;/&gt;&lt;wsp:rsid wsp:val=&quot;00CF73B8&quot;/&gt;&lt;wsp:rsid wsp:val=&quot;00CF7415&quot;/&gt;&lt;wsp:rsid wsp:val=&quot;00CF77B3&quot;/&gt;&lt;wsp:rsid wsp:val=&quot;00CF78B2&quot;/&gt;&lt;wsp:rsid wsp:val=&quot;00D00593&quot;/&gt;&lt;wsp:rsid wsp:val=&quot;00D005B9&quot;/&gt;&lt;wsp:rsid wsp:val=&quot;00D0077A&quot;/&gt;&lt;wsp:rsid wsp:val=&quot;00D00D9A&quot;/&gt;&lt;wsp:rsid wsp:val=&quot;00D0113B&quot;/&gt;&lt;wsp:rsid wsp:val=&quot;00D017A9&quot;/&gt;&lt;wsp:rsid wsp:val=&quot;00D01994&quot;/&gt;&lt;wsp:rsid wsp:val=&quot;00D019B9&quot;/&gt;&lt;wsp:rsid wsp:val=&quot;00D01F4F&quot;/&gt;&lt;wsp:rsid wsp:val=&quot;00D01FA5&quot;/&gt;&lt;wsp:rsid wsp:val=&quot;00D02279&quot;/&gt;&lt;wsp:rsid wsp:val=&quot;00D022B8&quot;/&gt;&lt;wsp:rsid wsp:val=&quot;00D0261F&quot;/&gt;&lt;wsp:rsid wsp:val=&quot;00D02F13&quot;/&gt;&lt;wsp:rsid wsp:val=&quot;00D02FE2&quot;/&gt;&lt;wsp:rsid wsp:val=&quot;00D03302&quot;/&gt;&lt;wsp:rsid wsp:val=&quot;00D03309&quot;/&gt;&lt;wsp:rsid wsp:val=&quot;00D03652&quot;/&gt;&lt;wsp:rsid wsp:val=&quot;00D03900&quot;/&gt;&lt;wsp:rsid wsp:val=&quot;00D03D46&quot;/&gt;&lt;wsp:rsid wsp:val=&quot;00D03E43&quot;/&gt;&lt;wsp:rsid wsp:val=&quot;00D04430&quot;/&gt;&lt;wsp:rsid wsp:val=&quot;00D05571&quot;/&gt;&lt;wsp:rsid wsp:val=&quot;00D0571D&quot;/&gt;&lt;wsp:rsid wsp:val=&quot;00D059EF&quot;/&gt;&lt;wsp:rsid wsp:val=&quot;00D05B66&quot;/&gt;&lt;wsp:rsid wsp:val=&quot;00D05D06&quot;/&gt;&lt;wsp:rsid wsp:val=&quot;00D06000&quot;/&gt;&lt;wsp:rsid wsp:val=&quot;00D0649B&quot;/&gt;&lt;wsp:rsid wsp:val=&quot;00D067F3&quot;/&gt;&lt;wsp:rsid wsp:val=&quot;00D07D78&quot;/&gt;&lt;wsp:rsid wsp:val=&quot;00D07E5C&quot;/&gt;&lt;wsp:rsid wsp:val=&quot;00D07F5A&quot;/&gt;&lt;wsp:rsid wsp:val=&quot;00D07FEA&quot;/&gt;&lt;wsp:rsid wsp:val=&quot;00D10C47&quot;/&gt;&lt;wsp:rsid wsp:val=&quot;00D10F61&quot;/&gt;&lt;wsp:rsid wsp:val=&quot;00D11A47&quot;/&gt;&lt;wsp:rsid wsp:val=&quot;00D11BBE&quot;/&gt;&lt;wsp:rsid wsp:val=&quot;00D11BC5&quot;/&gt;&lt;wsp:rsid wsp:val=&quot;00D120A3&quot;/&gt;&lt;wsp:rsid wsp:val=&quot;00D12124&quot;/&gt;&lt;wsp:rsid wsp:val=&quot;00D1215C&quot;/&gt;&lt;wsp:rsid wsp:val=&quot;00D128A4&quot;/&gt;&lt;wsp:rsid wsp:val=&quot;00D12983&quot;/&gt;&lt;wsp:rsid wsp:val=&quot;00D12D49&quot;/&gt;&lt;wsp:rsid wsp:val=&quot;00D12E4E&quot;/&gt;&lt;wsp:rsid wsp:val=&quot;00D12FE3&quot;/&gt;&lt;wsp:rsid wsp:val=&quot;00D130F2&quot;/&gt;&lt;wsp:rsid wsp:val=&quot;00D13DC3&quot;/&gt;&lt;wsp:rsid wsp:val=&quot;00D143DF&quot;/&gt;&lt;wsp:rsid wsp:val=&quot;00D14B32&quot;/&gt;&lt;wsp:rsid wsp:val=&quot;00D14DFF&quot;/&gt;&lt;wsp:rsid wsp:val=&quot;00D14E96&quot;/&gt;&lt;wsp:rsid wsp:val=&quot;00D1567E&quot;/&gt;&lt;wsp:rsid wsp:val=&quot;00D15732&quot;/&gt;&lt;wsp:rsid wsp:val=&quot;00D164B9&quot;/&gt;&lt;wsp:rsid wsp:val=&quot;00D16750&quot;/&gt;&lt;wsp:rsid wsp:val=&quot;00D16BCA&quot;/&gt;&lt;wsp:rsid wsp:val=&quot;00D16DBD&quot;/&gt;&lt;wsp:rsid wsp:val=&quot;00D16F4D&quot;/&gt;&lt;wsp:rsid wsp:val=&quot;00D17157&quot;/&gt;&lt;wsp:rsid wsp:val=&quot;00D173FA&quot;/&gt;&lt;wsp:rsid wsp:val=&quot;00D17940&quot;/&gt;&lt;wsp:rsid wsp:val=&quot;00D17E8C&quot;/&gt;&lt;wsp:rsid wsp:val=&quot;00D200AD&quot;/&gt;&lt;wsp:rsid wsp:val=&quot;00D209D7&quot;/&gt;&lt;wsp:rsid wsp:val=&quot;00D20C20&quot;/&gt;&lt;wsp:rsid wsp:val=&quot;00D217CF&quot;/&gt;&lt;wsp:rsid wsp:val=&quot;00D21CD2&quot;/&gt;&lt;wsp:rsid wsp:val=&quot;00D21CFA&quot;/&gt;&lt;wsp:rsid wsp:val=&quot;00D22113&quot;/&gt;&lt;wsp:rsid wsp:val=&quot;00D221B7&quot;/&gt;&lt;wsp:rsid wsp:val=&quot;00D222C6&quot;/&gt;&lt;wsp:rsid wsp:val=&quot;00D2283C&quot;/&gt;&lt;wsp:rsid wsp:val=&quot;00D22A80&quot;/&gt;&lt;wsp:rsid wsp:val=&quot;00D22C0A&quot;/&gt;&lt;wsp:rsid wsp:val=&quot;00D22C30&quot;/&gt;&lt;wsp:rsid wsp:val=&quot;00D22D4A&quot;/&gt;&lt;wsp:rsid wsp:val=&quot;00D22F3C&quot;/&gt;&lt;wsp:rsid wsp:val=&quot;00D230A4&quot;/&gt;&lt;wsp:rsid wsp:val=&quot;00D230F3&quot;/&gt;&lt;wsp:rsid wsp:val=&quot;00D23122&quot;/&gt;&lt;wsp:rsid wsp:val=&quot;00D232BF&quot;/&gt;&lt;wsp:rsid wsp:val=&quot;00D235CC&quot;/&gt;&lt;wsp:rsid wsp:val=&quot;00D2386E&quot;/&gt;&lt;wsp:rsid wsp:val=&quot;00D23D5B&quot;/&gt;&lt;wsp:rsid wsp:val=&quot;00D241B0&quot;/&gt;&lt;wsp:rsid wsp:val=&quot;00D2453C&quot;/&gt;&lt;wsp:rsid wsp:val=&quot;00D2459F&quot;/&gt;&lt;wsp:rsid wsp:val=&quot;00D24907&quot;/&gt;&lt;wsp:rsid wsp:val=&quot;00D249D2&quot;/&gt;&lt;wsp:rsid wsp:val=&quot;00D24DE7&quot;/&gt;&lt;wsp:rsid wsp:val=&quot;00D2516D&quot;/&gt;&lt;wsp:rsid wsp:val=&quot;00D25873&quot;/&gt;&lt;wsp:rsid wsp:val=&quot;00D25DAF&quot;/&gt;&lt;wsp:rsid wsp:val=&quot;00D26301&quot;/&gt;&lt;wsp:rsid wsp:val=&quot;00D26D39&quot;/&gt;&lt;wsp:rsid wsp:val=&quot;00D27409&quot;/&gt;&lt;wsp:rsid wsp:val=&quot;00D27540&quot;/&gt;&lt;wsp:rsid wsp:val=&quot;00D27769&quot;/&gt;&lt;wsp:rsid wsp:val=&quot;00D279B8&quot;/&gt;&lt;wsp:rsid wsp:val=&quot;00D27F7C&quot;/&gt;&lt;wsp:rsid wsp:val=&quot;00D30128&quot;/&gt;&lt;wsp:rsid wsp:val=&quot;00D30372&quot;/&gt;&lt;wsp:rsid wsp:val=&quot;00D307D2&quot;/&gt;&lt;wsp:rsid wsp:val=&quot;00D30BD5&quot;/&gt;&lt;wsp:rsid wsp:val=&quot;00D30C40&quot;/&gt;&lt;wsp:rsid wsp:val=&quot;00D310FA&quot;/&gt;&lt;wsp:rsid wsp:val=&quot;00D315BB&quot;/&gt;&lt;wsp:rsid wsp:val=&quot;00D31981&quot;/&gt;&lt;wsp:rsid wsp:val=&quot;00D31BA6&quot;/&gt;&lt;wsp:rsid wsp:val=&quot;00D31CFC&quot;/&gt;&lt;wsp:rsid wsp:val=&quot;00D322C2&quot;/&gt;&lt;wsp:rsid wsp:val=&quot;00D32411&quot;/&gt;&lt;wsp:rsid wsp:val=&quot;00D324ED&quot;/&gt;&lt;wsp:rsid wsp:val=&quot;00D33035&quot;/&gt;&lt;wsp:rsid wsp:val=&quot;00D33038&quot;/&gt;&lt;wsp:rsid wsp:val=&quot;00D33275&quot;/&gt;&lt;wsp:rsid wsp:val=&quot;00D33278&quot;/&gt;&lt;wsp:rsid wsp:val=&quot;00D335C3&quot;/&gt;&lt;wsp:rsid wsp:val=&quot;00D3375E&quot;/&gt;&lt;wsp:rsid wsp:val=&quot;00D33852&quot;/&gt;&lt;wsp:rsid wsp:val=&quot;00D33D31&quot;/&gt;&lt;wsp:rsid wsp:val=&quot;00D344A7&quot;/&gt;&lt;wsp:rsid wsp:val=&quot;00D34757&quot;/&gt;&lt;wsp:rsid wsp:val=&quot;00D34B46&quot;/&gt;&lt;wsp:rsid wsp:val=&quot;00D350C4&quot;/&gt;&lt;wsp:rsid wsp:val=&quot;00D3559B&quot;/&gt;&lt;wsp:rsid wsp:val=&quot;00D35E85&quot;/&gt;&lt;wsp:rsid wsp:val=&quot;00D360F1&quot;/&gt;&lt;wsp:rsid wsp:val=&quot;00D36322&quot;/&gt;&lt;wsp:rsid wsp:val=&quot;00D366D9&quot;/&gt;&lt;wsp:rsid wsp:val=&quot;00D36DF2&quot;/&gt;&lt;wsp:rsid wsp:val=&quot;00D37431&quot;/&gt;&lt;wsp:rsid wsp:val=&quot;00D37733&quot;/&gt;&lt;wsp:rsid wsp:val=&quot;00D37A21&quot;/&gt;&lt;wsp:rsid wsp:val=&quot;00D37AAF&quot;/&gt;&lt;wsp:rsid wsp:val=&quot;00D37B37&quot;/&gt;&lt;wsp:rsid wsp:val=&quot;00D37BFA&quot;/&gt;&lt;wsp:rsid wsp:val=&quot;00D37EA6&quot;/&gt;&lt;wsp:rsid wsp:val=&quot;00D40872&quot;/&gt;&lt;wsp:rsid wsp:val=&quot;00D40E7C&quot;/&gt;&lt;wsp:rsid wsp:val=&quot;00D40F27&quot;/&gt;&lt;wsp:rsid wsp:val=&quot;00D41179&quot;/&gt;&lt;wsp:rsid wsp:val=&quot;00D41803&quot;/&gt;&lt;wsp:rsid wsp:val=&quot;00D41A05&quot;/&gt;&lt;wsp:rsid wsp:val=&quot;00D41A3B&quot;/&gt;&lt;wsp:rsid wsp:val=&quot;00D41A7D&quot;/&gt;&lt;wsp:rsid wsp:val=&quot;00D41C03&quot;/&gt;&lt;wsp:rsid wsp:val=&quot;00D42B7C&quot;/&gt;&lt;wsp:rsid wsp:val=&quot;00D43133&quot;/&gt;&lt;wsp:rsid wsp:val=&quot;00D4322E&quot;/&gt;&lt;wsp:rsid wsp:val=&quot;00D43AFC&quot;/&gt;&lt;wsp:rsid wsp:val=&quot;00D43C8E&quot;/&gt;&lt;wsp:rsid wsp:val=&quot;00D43DA5&quot;/&gt;&lt;wsp:rsid wsp:val=&quot;00D44404&quot;/&gt;&lt;wsp:rsid wsp:val=&quot;00D44638&quot;/&gt;&lt;wsp:rsid wsp:val=&quot;00D4497C&quot;/&gt;&lt;wsp:rsid wsp:val=&quot;00D449A0&quot;/&gt;&lt;wsp:rsid wsp:val=&quot;00D44E88&quot;/&gt;&lt;wsp:rsid wsp:val=&quot;00D450A2&quot;/&gt;&lt;wsp:rsid wsp:val=&quot;00D45419&quot;/&gt;&lt;wsp:rsid wsp:val=&quot;00D457BD&quot;/&gt;&lt;wsp:rsid wsp:val=&quot;00D46514&quot;/&gt;&lt;wsp:rsid wsp:val=&quot;00D46798&quot;/&gt;&lt;wsp:rsid wsp:val=&quot;00D46ADF&quot;/&gt;&lt;wsp:rsid wsp:val=&quot;00D46C81&quot;/&gt;&lt;wsp:rsid wsp:val=&quot;00D47673&quot;/&gt;&lt;wsp:rsid wsp:val=&quot;00D47B77&quot;/&gt;&lt;wsp:rsid wsp:val=&quot;00D50034&quot;/&gt;&lt;wsp:rsid wsp:val=&quot;00D503EC&quot;/&gt;&lt;wsp:rsid wsp:val=&quot;00D50F65&quot;/&gt;&lt;wsp:rsid wsp:val=&quot;00D50F81&quot;/&gt;&lt;wsp:rsid wsp:val=&quot;00D51720&quot;/&gt;&lt;wsp:rsid wsp:val=&quot;00D51B2A&quot;/&gt;&lt;wsp:rsid wsp:val=&quot;00D51D4A&quot;/&gt;&lt;wsp:rsid wsp:val=&quot;00D52209&quot;/&gt;&lt;wsp:rsid wsp:val=&quot;00D5234B&quot;/&gt;&lt;wsp:rsid wsp:val=&quot;00D52395&quot;/&gt;&lt;wsp:rsid wsp:val=&quot;00D52581&quot;/&gt;&lt;wsp:rsid wsp:val=&quot;00D52759&quot;/&gt;&lt;wsp:rsid wsp:val=&quot;00D52769&quot;/&gt;&lt;wsp:rsid wsp:val=&quot;00D52807&quot;/&gt;&lt;wsp:rsid wsp:val=&quot;00D52BB3&quot;/&gt;&lt;wsp:rsid wsp:val=&quot;00D52C1D&quot;/&gt;&lt;wsp:rsid wsp:val=&quot;00D53964&quot;/&gt;&lt;wsp:rsid wsp:val=&quot;00D53984&quot;/&gt;&lt;wsp:rsid wsp:val=&quot;00D53BAC&quot;/&gt;&lt;wsp:rsid wsp:val=&quot;00D53BE1&quot;/&gt;&lt;wsp:rsid wsp:val=&quot;00D53C87&quot;/&gt;&lt;wsp:rsid wsp:val=&quot;00D54868&quot;/&gt;&lt;wsp:rsid wsp:val=&quot;00D54C61&quot;/&gt;&lt;wsp:rsid wsp:val=&quot;00D54D1E&quot;/&gt;&lt;wsp:rsid wsp:val=&quot;00D55266&quot;/&gt;&lt;wsp:rsid wsp:val=&quot;00D55283&quot;/&gt;&lt;wsp:rsid wsp:val=&quot;00D5595E&quot;/&gt;&lt;wsp:rsid wsp:val=&quot;00D55BCE&quot;/&gt;&lt;wsp:rsid wsp:val=&quot;00D5613C&quot;/&gt;&lt;wsp:rsid wsp:val=&quot;00D56253&quot;/&gt;&lt;wsp:rsid wsp:val=&quot;00D56498&quot;/&gt;&lt;wsp:rsid wsp:val=&quot;00D567FE&quot;/&gt;&lt;wsp:rsid wsp:val=&quot;00D56CE8&quot;/&gt;&lt;wsp:rsid wsp:val=&quot;00D5731E&quot;/&gt;&lt;wsp:rsid wsp:val=&quot;00D579C3&quot;/&gt;&lt;wsp:rsid wsp:val=&quot;00D57E09&quot;/&gt;&lt;wsp:rsid wsp:val=&quot;00D6016A&quot;/&gt;&lt;wsp:rsid wsp:val=&quot;00D60191&quot;/&gt;&lt;wsp:rsid wsp:val=&quot;00D61005&quot;/&gt;&lt;wsp:rsid wsp:val=&quot;00D61015&quot;/&gt;&lt;wsp:rsid wsp:val=&quot;00D61131&quot;/&gt;&lt;wsp:rsid wsp:val=&quot;00D611BB&quot;/&gt;&lt;wsp:rsid wsp:val=&quot;00D61829&quot;/&gt;&lt;wsp:rsid wsp:val=&quot;00D61A11&quot;/&gt;&lt;wsp:rsid wsp:val=&quot;00D61ADA&quot;/&gt;&lt;wsp:rsid wsp:val=&quot;00D61BEC&quot;/&gt;&lt;wsp:rsid wsp:val=&quot;00D61EBC&quot;/&gt;&lt;wsp:rsid wsp:val=&quot;00D61F64&quot;/&gt;&lt;wsp:rsid wsp:val=&quot;00D620A2&quot;/&gt;&lt;wsp:rsid wsp:val=&quot;00D622CE&quot;/&gt;&lt;wsp:rsid wsp:val=&quot;00D625F9&quot;/&gt;&lt;wsp:rsid wsp:val=&quot;00D626BE&quot;/&gt;&lt;wsp:rsid wsp:val=&quot;00D627CF&quot;/&gt;&lt;wsp:rsid wsp:val=&quot;00D62824&quot;/&gt;&lt;wsp:rsid wsp:val=&quot;00D6298A&quot;/&gt;&lt;wsp:rsid wsp:val=&quot;00D62A18&quot;/&gt;&lt;wsp:rsid wsp:val=&quot;00D62B58&quot;/&gt;&lt;wsp:rsid wsp:val=&quot;00D630C5&quot;/&gt;&lt;wsp:rsid wsp:val=&quot;00D636AD&quot;/&gt;&lt;wsp:rsid wsp:val=&quot;00D63D63&quot;/&gt;&lt;wsp:rsid wsp:val=&quot;00D64252&quot;/&gt;&lt;wsp:rsid wsp:val=&quot;00D64417&quot;/&gt;&lt;wsp:rsid wsp:val=&quot;00D6444A&quot;/&gt;&lt;wsp:rsid wsp:val=&quot;00D644E7&quot;/&gt;&lt;wsp:rsid wsp:val=&quot;00D646C6&quot;/&gt;&lt;wsp:rsid wsp:val=&quot;00D64822&quot;/&gt;&lt;wsp:rsid wsp:val=&quot;00D652FF&quot;/&gt;&lt;wsp:rsid wsp:val=&quot;00D653DB&quot;/&gt;&lt;wsp:rsid wsp:val=&quot;00D654C8&quot;/&gt;&lt;wsp:rsid wsp:val=&quot;00D6567B&quot;/&gt;&lt;wsp:rsid wsp:val=&quot;00D65AA1&quot;/&gt;&lt;wsp:rsid wsp:val=&quot;00D6638B&quot;/&gt;&lt;wsp:rsid wsp:val=&quot;00D66DD9&quot;/&gt;&lt;wsp:rsid wsp:val=&quot;00D66FA6&quot;/&gt;&lt;wsp:rsid wsp:val=&quot;00D671DD&quot;/&gt;&lt;wsp:rsid wsp:val=&quot;00D67240&quot;/&gt;&lt;wsp:rsid wsp:val=&quot;00D678AC&quot;/&gt;&lt;wsp:rsid wsp:val=&quot;00D67A44&quot;/&gt;&lt;wsp:rsid wsp:val=&quot;00D67C73&quot;/&gt;&lt;wsp:rsid wsp:val=&quot;00D7030E&quot;/&gt;&lt;wsp:rsid wsp:val=&quot;00D703A3&quot;/&gt;&lt;wsp:rsid wsp:val=&quot;00D7040C&quot;/&gt;&lt;wsp:rsid wsp:val=&quot;00D705E7&quot;/&gt;&lt;wsp:rsid wsp:val=&quot;00D7074F&quot;/&gt;&lt;wsp:rsid wsp:val=&quot;00D70CD1&quot;/&gt;&lt;wsp:rsid wsp:val=&quot;00D70E7A&quot;/&gt;&lt;wsp:rsid wsp:val=&quot;00D70F4A&quot;/&gt;&lt;wsp:rsid wsp:val=&quot;00D71546&quot;/&gt;&lt;wsp:rsid wsp:val=&quot;00D716E8&quot;/&gt;&lt;wsp:rsid wsp:val=&quot;00D71916&quot;/&gt;&lt;wsp:rsid wsp:val=&quot;00D719E6&quot;/&gt;&lt;wsp:rsid wsp:val=&quot;00D71CEF&quot;/&gt;&lt;wsp:rsid wsp:val=&quot;00D7218F&quot;/&gt;&lt;wsp:rsid wsp:val=&quot;00D72199&quot;/&gt;&lt;wsp:rsid wsp:val=&quot;00D72232&quot;/&gt;&lt;wsp:rsid wsp:val=&quot;00D722CF&quot;/&gt;&lt;wsp:rsid wsp:val=&quot;00D725DB&quot;/&gt;&lt;wsp:rsid wsp:val=&quot;00D72C5F&quot;/&gt;&lt;wsp:rsid wsp:val=&quot;00D72DA4&quot;/&gt;&lt;wsp:rsid wsp:val=&quot;00D732EE&quot;/&gt;&lt;wsp:rsid wsp:val=&quot;00D73338&quot;/&gt;&lt;wsp:rsid wsp:val=&quot;00D73348&quot;/&gt;&lt;wsp:rsid wsp:val=&quot;00D73FD6&quot;/&gt;&lt;wsp:rsid wsp:val=&quot;00D74262&quot;/&gt;&lt;wsp:rsid wsp:val=&quot;00D7433C&quot;/&gt;&lt;wsp:rsid wsp:val=&quot;00D74575&quot;/&gt;&lt;wsp:rsid wsp:val=&quot;00D7465E&quot;/&gt;&lt;wsp:rsid wsp:val=&quot;00D74A56&quot;/&gt;&lt;wsp:rsid wsp:val=&quot;00D74D31&quot;/&gt;&lt;wsp:rsid wsp:val=&quot;00D74D6F&quot;/&gt;&lt;wsp:rsid wsp:val=&quot;00D74EF6&quot;/&gt;&lt;wsp:rsid wsp:val=&quot;00D74F07&quot;/&gt;&lt;wsp:rsid wsp:val=&quot;00D74F9C&quot;/&gt;&lt;wsp:rsid wsp:val=&quot;00D75012&quot;/&gt;&lt;wsp:rsid wsp:val=&quot;00D75773&quot;/&gt;&lt;wsp:rsid wsp:val=&quot;00D760A9&quot;/&gt;&lt;wsp:rsid wsp:val=&quot;00D760CF&quot;/&gt;&lt;wsp:rsid wsp:val=&quot;00D763C6&quot;/&gt;&lt;wsp:rsid wsp:val=&quot;00D76440&quot;/&gt;&lt;wsp:rsid wsp:val=&quot;00D76731&quot;/&gt;&lt;wsp:rsid wsp:val=&quot;00D7695D&quot;/&gt;&lt;wsp:rsid wsp:val=&quot;00D77746&quot;/&gt;&lt;wsp:rsid wsp:val=&quot;00D778C2&quot;/&gt;&lt;wsp:rsid wsp:val=&quot;00D77CA3&quot;/&gt;&lt;wsp:rsid wsp:val=&quot;00D8038B&quot;/&gt;&lt;wsp:rsid wsp:val=&quot;00D803E5&quot;/&gt;&lt;wsp:rsid wsp:val=&quot;00D80BA3&quot;/&gt;&lt;wsp:rsid wsp:val=&quot;00D80E47&quot;/&gt;&lt;wsp:rsid wsp:val=&quot;00D813D1&quot;/&gt;&lt;wsp:rsid wsp:val=&quot;00D81428&quot;/&gt;&lt;wsp:rsid wsp:val=&quot;00D818D9&quot;/&gt;&lt;wsp:rsid wsp:val=&quot;00D81B53&quot;/&gt;&lt;wsp:rsid wsp:val=&quot;00D81D91&quot;/&gt;&lt;wsp:rsid wsp:val=&quot;00D81E8A&quot;/&gt;&lt;wsp:rsid wsp:val=&quot;00D82675&quot;/&gt;&lt;wsp:rsid wsp:val=&quot;00D8270A&quot;/&gt;&lt;wsp:rsid wsp:val=&quot;00D82A8E&quot;/&gt;&lt;wsp:rsid wsp:val=&quot;00D82DF1&quot;/&gt;&lt;wsp:rsid wsp:val=&quot;00D82EF5&quot;/&gt;&lt;wsp:rsid wsp:val=&quot;00D831D9&quot;/&gt;&lt;wsp:rsid wsp:val=&quot;00D83235&quot;/&gt;&lt;wsp:rsid wsp:val=&quot;00D8393F&quot;/&gt;&lt;wsp:rsid wsp:val=&quot;00D840E6&quot;/&gt;&lt;wsp:rsid wsp:val=&quot;00D8429C&quot;/&gt;&lt;wsp:rsid wsp:val=&quot;00D842D4&quot;/&gt;&lt;wsp:rsid wsp:val=&quot;00D84621&quot;/&gt;&lt;wsp:rsid wsp:val=&quot;00D8462B&quot;/&gt;&lt;wsp:rsid wsp:val=&quot;00D84941&quot;/&gt;&lt;wsp:rsid wsp:val=&quot;00D8521F&quot;/&gt;&lt;wsp:rsid wsp:val=&quot;00D85335&quot;/&gt;&lt;wsp:rsid wsp:val=&quot;00D856EC&quot;/&gt;&lt;wsp:rsid wsp:val=&quot;00D8570C&quot;/&gt;&lt;wsp:rsid wsp:val=&quot;00D85824&quot;/&gt;&lt;wsp:rsid wsp:val=&quot;00D85C69&quot;/&gt;&lt;wsp:rsid wsp:val=&quot;00D85C72&quot;/&gt;&lt;wsp:rsid wsp:val=&quot;00D85DEB&quot;/&gt;&lt;wsp:rsid wsp:val=&quot;00D861F0&quot;/&gt;&lt;wsp:rsid wsp:val=&quot;00D86504&quot;/&gt;&lt;wsp:rsid wsp:val=&quot;00D86DFF&quot;/&gt;&lt;wsp:rsid wsp:val=&quot;00D87212&quot;/&gt;&lt;wsp:rsid wsp:val=&quot;00D87551&quot;/&gt;&lt;wsp:rsid wsp:val=&quot;00D87C1E&quot;/&gt;&lt;wsp:rsid wsp:val=&quot;00D90067&quot;/&gt;&lt;wsp:rsid wsp:val=&quot;00D903FC&quot;/&gt;&lt;wsp:rsid wsp:val=&quot;00D903FF&quot;/&gt;&lt;wsp:rsid wsp:val=&quot;00D9066D&quot;/&gt;&lt;wsp:rsid wsp:val=&quot;00D90844&quot;/&gt;&lt;wsp:rsid wsp:val=&quot;00D90C47&quot;/&gt;&lt;wsp:rsid wsp:val=&quot;00D90CDB&quot;/&gt;&lt;wsp:rsid wsp:val=&quot;00D9124E&quot;/&gt;&lt;wsp:rsid wsp:val=&quot;00D917CA&quot;/&gt;&lt;wsp:rsid wsp:val=&quot;00D918CD&quot;/&gt;&lt;wsp:rsid wsp:val=&quot;00D9196C&quot;/&gt;&lt;wsp:rsid wsp:val=&quot;00D91C21&quot;/&gt;&lt;wsp:rsid wsp:val=&quot;00D91EC6&quot;/&gt;&lt;wsp:rsid wsp:val=&quot;00D91F11&quot;/&gt;&lt;wsp:rsid wsp:val=&quot;00D91FF6&quot;/&gt;&lt;wsp:rsid wsp:val=&quot;00D922E8&quot;/&gt;&lt;wsp:rsid wsp:val=&quot;00D92491&quot;/&gt;&lt;wsp:rsid wsp:val=&quot;00D92AE3&quot;/&gt;&lt;wsp:rsid wsp:val=&quot;00D92CE4&quot;/&gt;&lt;wsp:rsid wsp:val=&quot;00D934D4&quot;/&gt;&lt;wsp:rsid wsp:val=&quot;00D935B0&quot;/&gt;&lt;wsp:rsid wsp:val=&quot;00D93895&quot;/&gt;&lt;wsp:rsid wsp:val=&quot;00D93B30&quot;/&gt;&lt;wsp:rsid wsp:val=&quot;00D93EE5&quot;/&gt;&lt;wsp:rsid wsp:val=&quot;00D9400B&quot;/&gt;&lt;wsp:rsid wsp:val=&quot;00D94351&quot;/&gt;&lt;wsp:rsid wsp:val=&quot;00D9436E&quot;/&gt;&lt;wsp:rsid wsp:val=&quot;00D9442C&quot;/&gt;&lt;wsp:rsid wsp:val=&quot;00D94635&quot;/&gt;&lt;wsp:rsid wsp:val=&quot;00D95228&quot;/&gt;&lt;wsp:rsid wsp:val=&quot;00D957C3&quot;/&gt;&lt;wsp:rsid wsp:val=&quot;00D95AF4&quot;/&gt;&lt;wsp:rsid wsp:val=&quot;00D95CB7&quot;/&gt;&lt;wsp:rsid wsp:val=&quot;00D96247&quot;/&gt;&lt;wsp:rsid wsp:val=&quot;00D9632F&quot;/&gt;&lt;wsp:rsid wsp:val=&quot;00D9690E&quot;/&gt;&lt;wsp:rsid wsp:val=&quot;00D97DC7&quot;/&gt;&lt;wsp:rsid wsp:val=&quot;00D97EE3&quot;/&gt;&lt;wsp:rsid wsp:val=&quot;00DA00AE&quot;/&gt;&lt;wsp:rsid wsp:val=&quot;00DA0108&quot;/&gt;&lt;wsp:rsid wsp:val=&quot;00DA01C4&quot;/&gt;&lt;wsp:rsid wsp:val=&quot;00DA0DD0&quot;/&gt;&lt;wsp:rsid wsp:val=&quot;00DA1876&quot;/&gt;&lt;wsp:rsid wsp:val=&quot;00DA1992&quot;/&gt;&lt;wsp:rsid wsp:val=&quot;00DA1A61&quot;/&gt;&lt;wsp:rsid wsp:val=&quot;00DA1BBD&quot;/&gt;&lt;wsp:rsid wsp:val=&quot;00DA27FD&quot;/&gt;&lt;wsp:rsid wsp:val=&quot;00DA281D&quot;/&gt;&lt;wsp:rsid wsp:val=&quot;00DA2B3F&quot;/&gt;&lt;wsp:rsid wsp:val=&quot;00DA2D48&quot;/&gt;&lt;wsp:rsid wsp:val=&quot;00DA31D6&quot;/&gt;&lt;wsp:rsid wsp:val=&quot;00DA32ED&quot;/&gt;&lt;wsp:rsid wsp:val=&quot;00DA355F&quot;/&gt;&lt;wsp:rsid wsp:val=&quot;00DA3637&quot;/&gt;&lt;wsp:rsid wsp:val=&quot;00DA3DE0&quot;/&gt;&lt;wsp:rsid wsp:val=&quot;00DA452D&quot;/&gt;&lt;wsp:rsid wsp:val=&quot;00DA4785&quot;/&gt;&lt;wsp:rsid wsp:val=&quot;00DA47F3&quot;/&gt;&lt;wsp:rsid wsp:val=&quot;00DA48A9&quot;/&gt;&lt;wsp:rsid wsp:val=&quot;00DA4AAB&quot;/&gt;&lt;wsp:rsid wsp:val=&quot;00DA4BE1&quot;/&gt;&lt;wsp:rsid wsp:val=&quot;00DA4C15&quot;/&gt;&lt;wsp:rsid wsp:val=&quot;00DA4CE7&quot;/&gt;&lt;wsp:rsid wsp:val=&quot;00DA4E26&quot;/&gt;&lt;wsp:rsid wsp:val=&quot;00DA4EDE&quot;/&gt;&lt;wsp:rsid wsp:val=&quot;00DA549C&quot;/&gt;&lt;wsp:rsid wsp:val=&quot;00DA54CD&quot;/&gt;&lt;wsp:rsid wsp:val=&quot;00DA571E&quot;/&gt;&lt;wsp:rsid wsp:val=&quot;00DA5943&quot;/&gt;&lt;wsp:rsid wsp:val=&quot;00DA5F1F&quot;/&gt;&lt;wsp:rsid wsp:val=&quot;00DA61F5&quot;/&gt;&lt;wsp:rsid wsp:val=&quot;00DA6232&quot;/&gt;&lt;wsp:rsid wsp:val=&quot;00DA65B2&quot;/&gt;&lt;wsp:rsid wsp:val=&quot;00DA662D&quot;/&gt;&lt;wsp:rsid wsp:val=&quot;00DA6ABD&quot;/&gt;&lt;wsp:rsid wsp:val=&quot;00DA6E57&quot;/&gt;&lt;wsp:rsid wsp:val=&quot;00DA7056&quot;/&gt;&lt;wsp:rsid wsp:val=&quot;00DA7340&quot;/&gt;&lt;wsp:rsid wsp:val=&quot;00DA7BA4&quot;/&gt;&lt;wsp:rsid wsp:val=&quot;00DA7E61&quot;/&gt;&lt;wsp:rsid wsp:val=&quot;00DA7FCB&quot;/&gt;&lt;wsp:rsid wsp:val=&quot;00DB01DB&quot;/&gt;&lt;wsp:rsid wsp:val=&quot;00DB09AB&quot;/&gt;&lt;wsp:rsid wsp:val=&quot;00DB0A6B&quot;/&gt;&lt;wsp:rsid wsp:val=&quot;00DB0C61&quot;/&gt;&lt;wsp:rsid wsp:val=&quot;00DB0FD0&quot;/&gt;&lt;wsp:rsid wsp:val=&quot;00DB111F&quot;/&gt;&lt;wsp:rsid wsp:val=&quot;00DB1156&quot;/&gt;&lt;wsp:rsid wsp:val=&quot;00DB1ADE&quot;/&gt;&lt;wsp:rsid wsp:val=&quot;00DB21F9&quot;/&gt;&lt;wsp:rsid wsp:val=&quot;00DB23E1&quot;/&gt;&lt;wsp:rsid wsp:val=&quot;00DB242E&quot;/&gt;&lt;wsp:rsid wsp:val=&quot;00DB247B&quot;/&gt;&lt;wsp:rsid wsp:val=&quot;00DB2500&quot;/&gt;&lt;wsp:rsid wsp:val=&quot;00DB25F7&quot;/&gt;&lt;wsp:rsid wsp:val=&quot;00DB2745&quot;/&gt;&lt;wsp:rsid wsp:val=&quot;00DB2810&quot;/&gt;&lt;wsp:rsid wsp:val=&quot;00DB296C&quot;/&gt;&lt;wsp:rsid wsp:val=&quot;00DB2979&quot;/&gt;&lt;wsp:rsid wsp:val=&quot;00DB29FA&quot;/&gt;&lt;wsp:rsid wsp:val=&quot;00DB2B88&quot;/&gt;&lt;wsp:rsid wsp:val=&quot;00DB2C50&quot;/&gt;&lt;wsp:rsid wsp:val=&quot;00DB32C4&quot;/&gt;&lt;wsp:rsid wsp:val=&quot;00DB3873&quot;/&gt;&lt;wsp:rsid wsp:val=&quot;00DB38FF&quot;/&gt;&lt;wsp:rsid wsp:val=&quot;00DB3F39&quot;/&gt;&lt;wsp:rsid wsp:val=&quot;00DB3FF4&quot;/&gt;&lt;wsp:rsid wsp:val=&quot;00DB4EA6&quot;/&gt;&lt;wsp:rsid wsp:val=&quot;00DB51A7&quot;/&gt;&lt;wsp:rsid wsp:val=&quot;00DB5222&quot;/&gt;&lt;wsp:rsid wsp:val=&quot;00DB5A41&quot;/&gt;&lt;wsp:rsid wsp:val=&quot;00DB5DD7&quot;/&gt;&lt;wsp:rsid wsp:val=&quot;00DB64EB&quot;/&gt;&lt;wsp:rsid wsp:val=&quot;00DB6A15&quot;/&gt;&lt;wsp:rsid wsp:val=&quot;00DB6C7B&quot;/&gt;&lt;wsp:rsid wsp:val=&quot;00DB71FD&quot;/&gt;&lt;wsp:rsid wsp:val=&quot;00DB756B&quot;/&gt;&lt;wsp:rsid wsp:val=&quot;00DB7684&quot;/&gt;&lt;wsp:rsid wsp:val=&quot;00DB7D5B&quot;/&gt;&lt;wsp:rsid wsp:val=&quot;00DB7F4C&quot;/&gt;&lt;wsp:rsid wsp:val=&quot;00DC037E&quot;/&gt;&lt;wsp:rsid wsp:val=&quot;00DC0828&quot;/&gt;&lt;wsp:rsid wsp:val=&quot;00DC085B&quot;/&gt;&lt;wsp:rsid wsp:val=&quot;00DC08CF&quot;/&gt;&lt;wsp:rsid wsp:val=&quot;00DC0984&quot;/&gt;&lt;wsp:rsid wsp:val=&quot;00DC0EC9&quot;/&gt;&lt;wsp:rsid wsp:val=&quot;00DC0ECC&quot;/&gt;&lt;wsp:rsid wsp:val=&quot;00DC141E&quot;/&gt;&lt;wsp:rsid wsp:val=&quot;00DC15EC&quot;/&gt;&lt;wsp:rsid wsp:val=&quot;00DC1957&quot;/&gt;&lt;wsp:rsid wsp:val=&quot;00DC1CFE&quot;/&gt;&lt;wsp:rsid wsp:val=&quot;00DC21D5&quot;/&gt;&lt;wsp:rsid wsp:val=&quot;00DC27DA&quot;/&gt;&lt;wsp:rsid wsp:val=&quot;00DC2C4C&quot;/&gt;&lt;wsp:rsid wsp:val=&quot;00DC2EE7&quot;/&gt;&lt;wsp:rsid wsp:val=&quot;00DC3280&quot;/&gt;&lt;wsp:rsid wsp:val=&quot;00DC3341&quot;/&gt;&lt;wsp:rsid wsp:val=&quot;00DC339F&quot;/&gt;&lt;wsp:rsid wsp:val=&quot;00DC33AB&quot;/&gt;&lt;wsp:rsid wsp:val=&quot;00DC3481&quot;/&gt;&lt;wsp:rsid wsp:val=&quot;00DC38A8&quot;/&gt;&lt;wsp:rsid wsp:val=&quot;00DC38BC&quot;/&gt;&lt;wsp:rsid wsp:val=&quot;00DC3992&quot;/&gt;&lt;wsp:rsid wsp:val=&quot;00DC3E04&quot;/&gt;&lt;wsp:rsid wsp:val=&quot;00DC402E&quot;/&gt;&lt;wsp:rsid wsp:val=&quot;00DC4284&quot;/&gt;&lt;wsp:rsid wsp:val=&quot;00DC4376&quot;/&gt;&lt;wsp:rsid wsp:val=&quot;00DC50F1&quot;/&gt;&lt;wsp:rsid wsp:val=&quot;00DC520C&quot;/&gt;&lt;wsp:rsid wsp:val=&quot;00DC535D&quot;/&gt;&lt;wsp:rsid wsp:val=&quot;00DC5445&quot;/&gt;&lt;wsp:rsid wsp:val=&quot;00DC562B&quot;/&gt;&lt;wsp:rsid wsp:val=&quot;00DC5FEC&quot;/&gt;&lt;wsp:rsid wsp:val=&quot;00DC6606&quot;/&gt;&lt;wsp:rsid wsp:val=&quot;00DC673D&quot;/&gt;&lt;wsp:rsid wsp:val=&quot;00DC67C7&quot;/&gt;&lt;wsp:rsid wsp:val=&quot;00DC69E6&quot;/&gt;&lt;wsp:rsid wsp:val=&quot;00DC6EDE&quot;/&gt;&lt;wsp:rsid wsp:val=&quot;00DC6F21&quot;/&gt;&lt;wsp:rsid wsp:val=&quot;00DC741A&quot;/&gt;&lt;wsp:rsid wsp:val=&quot;00DC751E&quot;/&gt;&lt;wsp:rsid wsp:val=&quot;00DC7B73&quot;/&gt;&lt;wsp:rsid wsp:val=&quot;00DC7C4E&quot;/&gt;&lt;wsp:rsid wsp:val=&quot;00DC7E15&quot;/&gt;&lt;wsp:rsid wsp:val=&quot;00DC7E27&quot;/&gt;&lt;wsp:rsid wsp:val=&quot;00DD01DC&quot;/&gt;&lt;wsp:rsid wsp:val=&quot;00DD042E&quot;/&gt;&lt;wsp:rsid wsp:val=&quot;00DD0A18&quot;/&gt;&lt;wsp:rsid wsp:val=&quot;00DD0A2F&quot;/&gt;&lt;wsp:rsid wsp:val=&quot;00DD0B4F&quot;/&gt;&lt;wsp:rsid wsp:val=&quot;00DD0C8C&quot;/&gt;&lt;wsp:rsid wsp:val=&quot;00DD109B&quot;/&gt;&lt;wsp:rsid wsp:val=&quot;00DD16ED&quot;/&gt;&lt;wsp:rsid wsp:val=&quot;00DD17BD&quot;/&gt;&lt;wsp:rsid wsp:val=&quot;00DD1B72&quot;/&gt;&lt;wsp:rsid wsp:val=&quot;00DD1D1C&quot;/&gt;&lt;wsp:rsid wsp:val=&quot;00DD237A&quot;/&gt;&lt;wsp:rsid wsp:val=&quot;00DD397C&quot;/&gt;&lt;wsp:rsid wsp:val=&quot;00DD3CEA&quot;/&gt;&lt;wsp:rsid wsp:val=&quot;00DD4838&quot;/&gt;&lt;wsp:rsid wsp:val=&quot;00DD4C81&quot;/&gt;&lt;wsp:rsid wsp:val=&quot;00DD54F2&quot;/&gt;&lt;wsp:rsid wsp:val=&quot;00DD55B0&quot;/&gt;&lt;wsp:rsid wsp:val=&quot;00DD68AB&quot;/&gt;&lt;wsp:rsid wsp:val=&quot;00DD69F4&quot;/&gt;&lt;wsp:rsid wsp:val=&quot;00DD7431&quot;/&gt;&lt;wsp:rsid wsp:val=&quot;00DD760A&quot;/&gt;&lt;wsp:rsid wsp:val=&quot;00DD7A76&quot;/&gt;&lt;wsp:rsid wsp:val=&quot;00DD7BC2&quot;/&gt;&lt;wsp:rsid wsp:val=&quot;00DD7E50&quot;/&gt;&lt;wsp:rsid wsp:val=&quot;00DE032C&quot;/&gt;&lt;wsp:rsid wsp:val=&quot;00DE0474&quot;/&gt;&lt;wsp:rsid wsp:val=&quot;00DE0727&quot;/&gt;&lt;wsp:rsid wsp:val=&quot;00DE0A01&quot;/&gt;&lt;wsp:rsid wsp:val=&quot;00DE0F9E&quot;/&gt;&lt;wsp:rsid wsp:val=&quot;00DE0FA7&quot;/&gt;&lt;wsp:rsid wsp:val=&quot;00DE1511&quot;/&gt;&lt;wsp:rsid wsp:val=&quot;00DE1522&quot;/&gt;&lt;wsp:rsid wsp:val=&quot;00DE1AC8&quot;/&gt;&lt;wsp:rsid wsp:val=&quot;00DE1F3F&quot;/&gt;&lt;wsp:rsid wsp:val=&quot;00DE2077&quot;/&gt;&lt;wsp:rsid wsp:val=&quot;00DE257A&quot;/&gt;&lt;wsp:rsid wsp:val=&quot;00DE287C&quot;/&gt;&lt;wsp:rsid wsp:val=&quot;00DE31E6&quot;/&gt;&lt;wsp:rsid wsp:val=&quot;00DE3718&quot;/&gt;&lt;wsp:rsid wsp:val=&quot;00DE38C1&quot;/&gt;&lt;wsp:rsid wsp:val=&quot;00DE3990&quot;/&gt;&lt;wsp:rsid wsp:val=&quot;00DE3D4C&quot;/&gt;&lt;wsp:rsid wsp:val=&quot;00DE3F61&quot;/&gt;&lt;wsp:rsid wsp:val=&quot;00DE4264&quot;/&gt;&lt;wsp:rsid wsp:val=&quot;00DE473A&quot;/&gt;&lt;wsp:rsid wsp:val=&quot;00DE47DB&quot;/&gt;&lt;wsp:rsid wsp:val=&quot;00DE4B48&quot;/&gt;&lt;wsp:rsid wsp:val=&quot;00DE4BD2&quot;/&gt;&lt;wsp:rsid wsp:val=&quot;00DE4C60&quot;/&gt;&lt;wsp:rsid wsp:val=&quot;00DE4E7A&quot;/&gt;&lt;wsp:rsid wsp:val=&quot;00DE585A&quot;/&gt;&lt;wsp:rsid wsp:val=&quot;00DE6784&quot;/&gt;&lt;wsp:rsid wsp:val=&quot;00DE6861&quot;/&gt;&lt;wsp:rsid wsp:val=&quot;00DE6C98&quot;/&gt;&lt;wsp:rsid wsp:val=&quot;00DE6F68&quot;/&gt;&lt;wsp:rsid wsp:val=&quot;00DE7C17&quot;/&gt;&lt;wsp:rsid wsp:val=&quot;00DE7CE1&quot;/&gt;&lt;wsp:rsid wsp:val=&quot;00DF02B9&quot;/&gt;&lt;wsp:rsid wsp:val=&quot;00DF043D&quot;/&gt;&lt;wsp:rsid wsp:val=&quot;00DF04F9&quot;/&gt;&lt;wsp:rsid wsp:val=&quot;00DF05F2&quot;/&gt;&lt;wsp:rsid wsp:val=&quot;00DF0C83&quot;/&gt;&lt;wsp:rsid wsp:val=&quot;00DF122E&quot;/&gt;&lt;wsp:rsid wsp:val=&quot;00DF1835&quot;/&gt;&lt;wsp:rsid wsp:val=&quot;00DF1838&quot;/&gt;&lt;wsp:rsid wsp:val=&quot;00DF1BB2&quot;/&gt;&lt;wsp:rsid wsp:val=&quot;00DF1CC0&quot;/&gt;&lt;wsp:rsid wsp:val=&quot;00DF2033&quot;/&gt;&lt;wsp:rsid wsp:val=&quot;00DF22C7&quot;/&gt;&lt;wsp:rsid wsp:val=&quot;00DF2408&quot;/&gt;&lt;wsp:rsid wsp:val=&quot;00DF281A&quot;/&gt;&lt;wsp:rsid wsp:val=&quot;00DF2B2A&quot;/&gt;&lt;wsp:rsid wsp:val=&quot;00DF2B65&quot;/&gt;&lt;wsp:rsid wsp:val=&quot;00DF324D&quot;/&gt;&lt;wsp:rsid wsp:val=&quot;00DF34E6&quot;/&gt;&lt;wsp:rsid wsp:val=&quot;00DF3C68&quot;/&gt;&lt;wsp:rsid wsp:val=&quot;00DF4AAE&quot;/&gt;&lt;wsp:rsid wsp:val=&quot;00DF4BE1&quot;/&gt;&lt;wsp:rsid wsp:val=&quot;00DF4DC9&quot;/&gt;&lt;wsp:rsid wsp:val=&quot;00DF4E74&quot;/&gt;&lt;wsp:rsid wsp:val=&quot;00DF54DF&quot;/&gt;&lt;wsp:rsid wsp:val=&quot;00DF55D6&quot;/&gt;&lt;wsp:rsid wsp:val=&quot;00DF5623&quot;/&gt;&lt;wsp:rsid wsp:val=&quot;00DF5F78&quot;/&gt;&lt;wsp:rsid wsp:val=&quot;00DF5FC0&quot;/&gt;&lt;wsp:rsid wsp:val=&quot;00DF6021&quot;/&gt;&lt;wsp:rsid wsp:val=&quot;00DF6457&quot;/&gt;&lt;wsp:rsid wsp:val=&quot;00DF64F5&quot;/&gt;&lt;wsp:rsid wsp:val=&quot;00DF6B13&quot;/&gt;&lt;wsp:rsid wsp:val=&quot;00DF737B&quot;/&gt;&lt;wsp:rsid wsp:val=&quot;00DF7C16&quot;/&gt;&lt;wsp:rsid wsp:val=&quot;00E00185&quot;/&gt;&lt;wsp:rsid wsp:val=&quot;00E0093C&quot;/&gt;&lt;wsp:rsid wsp:val=&quot;00E01018&quot;/&gt;&lt;wsp:rsid wsp:val=&quot;00E01634&quot;/&gt;&lt;wsp:rsid wsp:val=&quot;00E01C55&quot;/&gt;&lt;wsp:rsid wsp:val=&quot;00E01D5B&quot;/&gt;&lt;wsp:rsid wsp:val=&quot;00E01DC2&quot;/&gt;&lt;wsp:rsid wsp:val=&quot;00E021CD&quot;/&gt;&lt;wsp:rsid wsp:val=&quot;00E02227&quot;/&gt;&lt;wsp:rsid wsp:val=&quot;00E027BD&quot;/&gt;&lt;wsp:rsid wsp:val=&quot;00E02C60&quot;/&gt;&lt;wsp:rsid wsp:val=&quot;00E02EF2&quot;/&gt;&lt;wsp:rsid wsp:val=&quot;00E02FCD&quot;/&gt;&lt;wsp:rsid wsp:val=&quot;00E03172&quot;/&gt;&lt;wsp:rsid wsp:val=&quot;00E0321A&quot;/&gt;&lt;wsp:rsid wsp:val=&quot;00E03563&quot;/&gt;&lt;wsp:rsid wsp:val=&quot;00E037E5&quot;/&gt;&lt;wsp:rsid wsp:val=&quot;00E0384A&quot;/&gt;&lt;wsp:rsid wsp:val=&quot;00E0397E&quot;/&gt;&lt;wsp:rsid wsp:val=&quot;00E03CB0&quot;/&gt;&lt;wsp:rsid wsp:val=&quot;00E043AD&quot;/&gt;&lt;wsp:rsid wsp:val=&quot;00E0468B&quot;/&gt;&lt;wsp:rsid wsp:val=&quot;00E04764&quot;/&gt;&lt;wsp:rsid wsp:val=&quot;00E04C8A&quot;/&gt;&lt;wsp:rsid wsp:val=&quot;00E0514D&quot;/&gt;&lt;wsp:rsid wsp:val=&quot;00E0525B&quot;/&gt;&lt;wsp:rsid wsp:val=&quot;00E0547E&quot;/&gt;&lt;wsp:rsid wsp:val=&quot;00E0548D&quot;/&gt;&lt;wsp:rsid wsp:val=&quot;00E0589C&quot;/&gt;&lt;wsp:rsid wsp:val=&quot;00E05B76&quot;/&gt;&lt;wsp:rsid wsp:val=&quot;00E05E36&quot;/&gt;&lt;wsp:rsid wsp:val=&quot;00E06078&quot;/&gt;&lt;wsp:rsid wsp:val=&quot;00E06183&quot;/&gt;&lt;wsp:rsid wsp:val=&quot;00E06199&quot;/&gt;&lt;wsp:rsid wsp:val=&quot;00E064A1&quot;/&gt;&lt;wsp:rsid wsp:val=&quot;00E064D5&quot;/&gt;&lt;wsp:rsid wsp:val=&quot;00E068E7&quot;/&gt;&lt;wsp:rsid wsp:val=&quot;00E06D23&quot;/&gt;&lt;wsp:rsid wsp:val=&quot;00E07323&quot;/&gt;&lt;wsp:rsid wsp:val=&quot;00E07CED&quot;/&gt;&lt;wsp:rsid wsp:val=&quot;00E10057&quot;/&gt;&lt;wsp:rsid wsp:val=&quot;00E1009B&quot;/&gt;&lt;wsp:rsid wsp:val=&quot;00E10270&quot;/&gt;&lt;wsp:rsid wsp:val=&quot;00E10421&quot;/&gt;&lt;wsp:rsid wsp:val=&quot;00E104FF&quot;/&gt;&lt;wsp:rsid wsp:val=&quot;00E10748&quot;/&gt;&lt;wsp:rsid wsp:val=&quot;00E10E90&quot;/&gt;&lt;wsp:rsid wsp:val=&quot;00E10F69&quot;/&gt;&lt;wsp:rsid wsp:val=&quot;00E1107E&quot;/&gt;&lt;wsp:rsid wsp:val=&quot;00E111E0&quot;/&gt;&lt;wsp:rsid wsp:val=&quot;00E11503&quot;/&gt;&lt;wsp:rsid wsp:val=&quot;00E1151C&quot;/&gt;&lt;wsp:rsid wsp:val=&quot;00E11848&quot;/&gt;&lt;wsp:rsid wsp:val=&quot;00E11B3A&quot;/&gt;&lt;wsp:rsid wsp:val=&quot;00E11E52&quot;/&gt;&lt;wsp:rsid wsp:val=&quot;00E11F1C&quot;/&gt;&lt;wsp:rsid wsp:val=&quot;00E123DD&quot;/&gt;&lt;wsp:rsid wsp:val=&quot;00E126D5&quot;/&gt;&lt;wsp:rsid wsp:val=&quot;00E12E70&quot;/&gt;&lt;wsp:rsid wsp:val=&quot;00E1397B&quot;/&gt;&lt;wsp:rsid wsp:val=&quot;00E13F67&quot;/&gt;&lt;wsp:rsid wsp:val=&quot;00E14087&quot;/&gt;&lt;wsp:rsid wsp:val=&quot;00E140B5&quot;/&gt;&lt;wsp:rsid wsp:val=&quot;00E1418D&quot;/&gt;&lt;wsp:rsid wsp:val=&quot;00E1423A&quot;/&gt;&lt;wsp:rsid wsp:val=&quot;00E1461B&quot;/&gt;&lt;wsp:rsid wsp:val=&quot;00E14BC2&quot;/&gt;&lt;wsp:rsid wsp:val=&quot;00E14C96&quot;/&gt;&lt;wsp:rsid wsp:val=&quot;00E1560A&quot;/&gt;&lt;wsp:rsid wsp:val=&quot;00E1567C&quot;/&gt;&lt;wsp:rsid wsp:val=&quot;00E15869&quot;/&gt;&lt;wsp:rsid wsp:val=&quot;00E1609B&quot;/&gt;&lt;wsp:rsid wsp:val=&quot;00E166C2&quot;/&gt;&lt;wsp:rsid wsp:val=&quot;00E1675A&quot;/&gt;&lt;wsp:rsid wsp:val=&quot;00E167F9&quot;/&gt;&lt;wsp:rsid wsp:val=&quot;00E168A2&quot;/&gt;&lt;wsp:rsid wsp:val=&quot;00E16ADA&quot;/&gt;&lt;wsp:rsid wsp:val=&quot;00E16E47&quot;/&gt;&lt;wsp:rsid wsp:val=&quot;00E2023E&quot;/&gt;&lt;wsp:rsid wsp:val=&quot;00E20289&quot;/&gt;&lt;wsp:rsid wsp:val=&quot;00E20441&quot;/&gt;&lt;wsp:rsid wsp:val=&quot;00E204BF&quot;/&gt;&lt;wsp:rsid wsp:val=&quot;00E20548&quot;/&gt;&lt;wsp:rsid wsp:val=&quot;00E20830&quot;/&gt;&lt;wsp:rsid wsp:val=&quot;00E20A15&quot;/&gt;&lt;wsp:rsid wsp:val=&quot;00E20A70&quot;/&gt;&lt;wsp:rsid wsp:val=&quot;00E20B01&quot;/&gt;&lt;wsp:rsid wsp:val=&quot;00E20E29&quot;/&gt;&lt;wsp:rsid wsp:val=&quot;00E212C2&quot;/&gt;&lt;wsp:rsid wsp:val=&quot;00E21687&quot;/&gt;&lt;wsp:rsid wsp:val=&quot;00E21A4E&quot;/&gt;&lt;wsp:rsid wsp:val=&quot;00E21CCC&quot;/&gt;&lt;wsp:rsid wsp:val=&quot;00E21F08&quot;/&gt;&lt;wsp:rsid wsp:val=&quot;00E22182&quot;/&gt;&lt;wsp:rsid wsp:val=&quot;00E221B8&quot;/&gt;&lt;wsp:rsid wsp:val=&quot;00E227E9&quot;/&gt;&lt;wsp:rsid wsp:val=&quot;00E2290E&quot;/&gt;&lt;wsp:rsid wsp:val=&quot;00E22C48&quot;/&gt;&lt;wsp:rsid wsp:val=&quot;00E22F19&quot;/&gt;&lt;wsp:rsid wsp:val=&quot;00E23299&quot;/&gt;&lt;wsp:rsid wsp:val=&quot;00E237B6&quot;/&gt;&lt;wsp:rsid wsp:val=&quot;00E238DE&quot;/&gt;&lt;wsp:rsid wsp:val=&quot;00E23CC0&quot;/&gt;&lt;wsp:rsid wsp:val=&quot;00E24A62&quot;/&gt;&lt;wsp:rsid wsp:val=&quot;00E24B9B&quot;/&gt;&lt;wsp:rsid wsp:val=&quot;00E24BEA&quot;/&gt;&lt;wsp:rsid wsp:val=&quot;00E24E54&quot;/&gt;&lt;wsp:rsid wsp:val=&quot;00E24EDA&quot;/&gt;&lt;wsp:rsid wsp:val=&quot;00E25072&quot;/&gt;&lt;wsp:rsid wsp:val=&quot;00E25593&quot;/&gt;&lt;wsp:rsid wsp:val=&quot;00E25888&quot;/&gt;&lt;wsp:rsid wsp:val=&quot;00E25E6C&quot;/&gt;&lt;wsp:rsid wsp:val=&quot;00E25E82&quot;/&gt;&lt;wsp:rsid wsp:val=&quot;00E25EB6&quot;/&gt;&lt;wsp:rsid wsp:val=&quot;00E25FFA&quot;/&gt;&lt;wsp:rsid wsp:val=&quot;00E26226&quot;/&gt;&lt;wsp:rsid wsp:val=&quot;00E264E6&quot;/&gt;&lt;wsp:rsid wsp:val=&quot;00E26C3F&quot;/&gt;&lt;wsp:rsid wsp:val=&quot;00E2702B&quot;/&gt;&lt;wsp:rsid wsp:val=&quot;00E271D3&quot;/&gt;&lt;wsp:rsid wsp:val=&quot;00E27479&quot;/&gt;&lt;wsp:rsid wsp:val=&quot;00E30596&quot;/&gt;&lt;wsp:rsid wsp:val=&quot;00E306C3&quot;/&gt;&lt;wsp:rsid wsp:val=&quot;00E307C6&quot;/&gt;&lt;wsp:rsid wsp:val=&quot;00E30AFB&quot;/&gt;&lt;wsp:rsid wsp:val=&quot;00E30BAF&quot;/&gt;&lt;wsp:rsid wsp:val=&quot;00E31856&quot;/&gt;&lt;wsp:rsid wsp:val=&quot;00E31C9C&quot;/&gt;&lt;wsp:rsid wsp:val=&quot;00E31F8E&quot;/&gt;&lt;wsp:rsid wsp:val=&quot;00E3221D&quot;/&gt;&lt;wsp:rsid wsp:val=&quot;00E326FD&quot;/&gt;&lt;wsp:rsid wsp:val=&quot;00E32CF9&quot;/&gt;&lt;wsp:rsid wsp:val=&quot;00E32FF4&quot;/&gt;&lt;wsp:rsid wsp:val=&quot;00E33143&quot;/&gt;&lt;wsp:rsid wsp:val=&quot;00E33356&quot;/&gt;&lt;wsp:rsid wsp:val=&quot;00E3397C&quot;/&gt;&lt;wsp:rsid wsp:val=&quot;00E33D42&quot;/&gt;&lt;wsp:rsid wsp:val=&quot;00E343CE&quot;/&gt;&lt;wsp:rsid wsp:val=&quot;00E344DA&quot;/&gt;&lt;wsp:rsid wsp:val=&quot;00E3491A&quot;/&gt;&lt;wsp:rsid wsp:val=&quot;00E349B8&quot;/&gt;&lt;wsp:rsid wsp:val=&quot;00E34CA7&quot;/&gt;&lt;wsp:rsid wsp:val=&quot;00E352F7&quot;/&gt;&lt;wsp:rsid wsp:val=&quot;00E353D9&quot;/&gt;&lt;wsp:rsid wsp:val=&quot;00E35D66&quot;/&gt;&lt;wsp:rsid wsp:val=&quot;00E35E4B&quot;/&gt;&lt;wsp:rsid wsp:val=&quot;00E360FF&quot;/&gt;&lt;wsp:rsid wsp:val=&quot;00E3611C&quot;/&gt;&lt;wsp:rsid wsp:val=&quot;00E36230&quot;/&gt;&lt;wsp:rsid wsp:val=&quot;00E3631E&quot;/&gt;&lt;wsp:rsid wsp:val=&quot;00E368E4&quot;/&gt;&lt;wsp:rsid wsp:val=&quot;00E36976&quot;/&gt;&lt;wsp:rsid wsp:val=&quot;00E36BAA&quot;/&gt;&lt;wsp:rsid wsp:val=&quot;00E36CFB&quot;/&gt;&lt;wsp:rsid wsp:val=&quot;00E36D5C&quot;/&gt;&lt;wsp:rsid wsp:val=&quot;00E3715C&quot;/&gt;&lt;wsp:rsid wsp:val=&quot;00E37189&quot;/&gt;&lt;wsp:rsid wsp:val=&quot;00E371DE&quot;/&gt;&lt;wsp:rsid wsp:val=&quot;00E375F3&quot;/&gt;&lt;wsp:rsid wsp:val=&quot;00E376AB&quot;/&gt;&lt;wsp:rsid wsp:val=&quot;00E379D1&quot;/&gt;&lt;wsp:rsid wsp:val=&quot;00E37EC0&quot;/&gt;&lt;wsp:rsid wsp:val=&quot;00E408A8&quot;/&gt;&lt;wsp:rsid wsp:val=&quot;00E40E8C&quot;/&gt;&lt;wsp:rsid wsp:val=&quot;00E41B1C&quot;/&gt;&lt;wsp:rsid wsp:val=&quot;00E41C61&quot;/&gt;&lt;wsp:rsid wsp:val=&quot;00E41C86&quot;/&gt;&lt;wsp:rsid wsp:val=&quot;00E42244&quot;/&gt;&lt;wsp:rsid wsp:val=&quot;00E4230D&quot;/&gt;&lt;wsp:rsid wsp:val=&quot;00E42425&quot;/&gt;&lt;wsp:rsid wsp:val=&quot;00E4251A&quot;/&gt;&lt;wsp:rsid wsp:val=&quot;00E42B3F&quot;/&gt;&lt;wsp:rsid wsp:val=&quot;00E42F92&quot;/&gt;&lt;wsp:rsid wsp:val=&quot;00E4306E&quot;/&gt;&lt;wsp:rsid wsp:val=&quot;00E43143&quot;/&gt;&lt;wsp:rsid wsp:val=&quot;00E4319B&quot;/&gt;&lt;wsp:rsid wsp:val=&quot;00E431C0&quot;/&gt;&lt;wsp:rsid wsp:val=&quot;00E435DB&quot;/&gt;&lt;wsp:rsid wsp:val=&quot;00E438F3&quot;/&gt;&lt;wsp:rsid wsp:val=&quot;00E43E10&quot;/&gt;&lt;wsp:rsid wsp:val=&quot;00E44403&quot;/&gt;&lt;wsp:rsid wsp:val=&quot;00E4459E&quot;/&gt;&lt;wsp:rsid wsp:val=&quot;00E44B2F&quot;/&gt;&lt;wsp:rsid wsp:val=&quot;00E44BB0&quot;/&gt;&lt;wsp:rsid wsp:val=&quot;00E44BD4&quot;/&gt;&lt;wsp:rsid wsp:val=&quot;00E44E92&quot;/&gt;&lt;wsp:rsid wsp:val=&quot;00E44F03&quot;/&gt;&lt;wsp:rsid wsp:val=&quot;00E4550C&quot;/&gt;&lt;wsp:rsid wsp:val=&quot;00E455FF&quot;/&gt;&lt;wsp:rsid wsp:val=&quot;00E45677&quot;/&gt;&lt;wsp:rsid wsp:val=&quot;00E4598D&quot;/&gt;&lt;wsp:rsid wsp:val=&quot;00E45A35&quot;/&gt;&lt;wsp:rsid wsp:val=&quot;00E45E51&quot;/&gt;&lt;wsp:rsid wsp:val=&quot;00E46055&quot;/&gt;&lt;wsp:rsid wsp:val=&quot;00E46079&quot;/&gt;&lt;wsp:rsid wsp:val=&quot;00E46636&quot;/&gt;&lt;wsp:rsid wsp:val=&quot;00E467B0&quot;/&gt;&lt;wsp:rsid wsp:val=&quot;00E46983&quot;/&gt;&lt;wsp:rsid wsp:val=&quot;00E47160&quot;/&gt;&lt;wsp:rsid wsp:val=&quot;00E47596&quot;/&gt;&lt;wsp:rsid wsp:val=&quot;00E4778B&quot;/&gt;&lt;wsp:rsid wsp:val=&quot;00E47A0A&quot;/&gt;&lt;wsp:rsid wsp:val=&quot;00E5045D&quot;/&gt;&lt;wsp:rsid wsp:val=&quot;00E5056B&quot;/&gt;&lt;wsp:rsid wsp:val=&quot;00E50844&quot;/&gt;&lt;wsp:rsid wsp:val=&quot;00E50CB4&quot;/&gt;&lt;wsp:rsid wsp:val=&quot;00E50F14&quot;/&gt;&lt;wsp:rsid wsp:val=&quot;00E5122B&quot;/&gt;&lt;wsp:rsid wsp:val=&quot;00E5129B&quot;/&gt;&lt;wsp:rsid wsp:val=&quot;00E513EC&quot;/&gt;&lt;wsp:rsid wsp:val=&quot;00E51579&quot;/&gt;&lt;wsp:rsid wsp:val=&quot;00E51952&quot;/&gt;&lt;wsp:rsid wsp:val=&quot;00E51B97&quot;/&gt;&lt;wsp:rsid wsp:val=&quot;00E51E7C&quot;/&gt;&lt;wsp:rsid wsp:val=&quot;00E51FD7&quot;/&gt;&lt;wsp:rsid wsp:val=&quot;00E5213D&quot;/&gt;&lt;wsp:rsid wsp:val=&quot;00E5219B&quot;/&gt;&lt;wsp:rsid wsp:val=&quot;00E521BE&quot;/&gt;&lt;wsp:rsid wsp:val=&quot;00E52552&quot;/&gt;&lt;wsp:rsid wsp:val=&quot;00E52B77&quot;/&gt;&lt;wsp:rsid wsp:val=&quot;00E52F14&quot;/&gt;&lt;wsp:rsid wsp:val=&quot;00E5310C&quot;/&gt;&lt;wsp:rsid wsp:val=&quot;00E53438&quot;/&gt;&lt;wsp:rsid wsp:val=&quot;00E54149&quot;/&gt;&lt;wsp:rsid wsp:val=&quot;00E546C4&quot;/&gt;&lt;wsp:rsid wsp:val=&quot;00E548E2&quot;/&gt;&lt;wsp:rsid wsp:val=&quot;00E54DE3&quot;/&gt;&lt;wsp:rsid wsp:val=&quot;00E54F4D&quot;/&gt;&lt;wsp:rsid wsp:val=&quot;00E55287&quot;/&gt;&lt;wsp:rsid wsp:val=&quot;00E55299&quot;/&gt;&lt;wsp:rsid wsp:val=&quot;00E55714&quot;/&gt;&lt;wsp:rsid wsp:val=&quot;00E55985&quot;/&gt;&lt;wsp:rsid wsp:val=&quot;00E55B0C&quot;/&gt;&lt;wsp:rsid wsp:val=&quot;00E55F2F&quot;/&gt;&lt;wsp:rsid wsp:val=&quot;00E560A8&quot;/&gt;&lt;wsp:rsid wsp:val=&quot;00E56390&quot;/&gt;&lt;wsp:rsid wsp:val=&quot;00E56D0D&quot;/&gt;&lt;wsp:rsid wsp:val=&quot;00E572E9&quot;/&gt;&lt;wsp:rsid wsp:val=&quot;00E574AC&quot;/&gt;&lt;wsp:rsid wsp:val=&quot;00E57956&quot;/&gt;&lt;wsp:rsid wsp:val=&quot;00E57C5D&quot;/&gt;&lt;wsp:rsid wsp:val=&quot;00E6016A&quot;/&gt;&lt;wsp:rsid wsp:val=&quot;00E605E6&quot;/&gt;&lt;wsp:rsid wsp:val=&quot;00E60873&quot;/&gt;&lt;wsp:rsid wsp:val=&quot;00E6090C&quot;/&gt;&lt;wsp:rsid wsp:val=&quot;00E609AB&quot;/&gt;&lt;wsp:rsid wsp:val=&quot;00E60BB3&quot;/&gt;&lt;wsp:rsid wsp:val=&quot;00E6105C&quot;/&gt;&lt;wsp:rsid wsp:val=&quot;00E61077&quot;/&gt;&lt;wsp:rsid wsp:val=&quot;00E6123A&quot;/&gt;&lt;wsp:rsid wsp:val=&quot;00E6126C&quot;/&gt;&lt;wsp:rsid wsp:val=&quot;00E614BD&quot;/&gt;&lt;wsp:rsid wsp:val=&quot;00E61CE1&quot;/&gt;&lt;wsp:rsid wsp:val=&quot;00E61EF0&quot;/&gt;&lt;wsp:rsid wsp:val=&quot;00E61F27&quot;/&gt;&lt;wsp:rsid wsp:val=&quot;00E624E9&quot;/&gt;&lt;wsp:rsid wsp:val=&quot;00E6252C&quot;/&gt;&lt;wsp:rsid wsp:val=&quot;00E62570&quot;/&gt;&lt;wsp:rsid wsp:val=&quot;00E629E2&quot;/&gt;&lt;wsp:rsid wsp:val=&quot;00E63481&quot;/&gt;&lt;wsp:rsid wsp:val=&quot;00E63590&quot;/&gt;&lt;wsp:rsid wsp:val=&quot;00E63907&quot;/&gt;&lt;wsp:rsid wsp:val=&quot;00E63A14&quot;/&gt;&lt;wsp:rsid wsp:val=&quot;00E63A34&quot;/&gt;&lt;wsp:rsid wsp:val=&quot;00E63B2E&quot;/&gt;&lt;wsp:rsid wsp:val=&quot;00E646AD&quot;/&gt;&lt;wsp:rsid wsp:val=&quot;00E6471A&quot;/&gt;&lt;wsp:rsid wsp:val=&quot;00E64A13&quot;/&gt;&lt;wsp:rsid wsp:val=&quot;00E64A84&quot;/&gt;&lt;wsp:rsid wsp:val=&quot;00E64B4F&quot;/&gt;&lt;wsp:rsid wsp:val=&quot;00E64D9B&quot;/&gt;&lt;wsp:rsid wsp:val=&quot;00E64F93&quot;/&gt;&lt;wsp:rsid wsp:val=&quot;00E651D6&quot;/&gt;&lt;wsp:rsid wsp:val=&quot;00E654FC&quot;/&gt;&lt;wsp:rsid wsp:val=&quot;00E65612&quot;/&gt;&lt;wsp:rsid wsp:val=&quot;00E65743&quot;/&gt;&lt;wsp:rsid wsp:val=&quot;00E6581C&quot;/&gt;&lt;wsp:rsid wsp:val=&quot;00E65BBB&quot;/&gt;&lt;wsp:rsid wsp:val=&quot;00E65C3D&quot;/&gt;&lt;wsp:rsid wsp:val=&quot;00E6616C&quot;/&gt;&lt;wsp:rsid wsp:val=&quot;00E6643A&quot;/&gt;&lt;wsp:rsid wsp:val=&quot;00E66695&quot;/&gt;&lt;wsp:rsid wsp:val=&quot;00E66A8E&quot;/&gt;&lt;wsp:rsid wsp:val=&quot;00E66B7D&quot;/&gt;&lt;wsp:rsid wsp:val=&quot;00E66D4C&quot;/&gt;&lt;wsp:rsid wsp:val=&quot;00E66D4D&quot;/&gt;&lt;wsp:rsid wsp:val=&quot;00E66E8A&quot;/&gt;&lt;wsp:rsid wsp:val=&quot;00E6750E&quot;/&gt;&lt;wsp:rsid wsp:val=&quot;00E6759D&quot;/&gt;&lt;wsp:rsid wsp:val=&quot;00E6772B&quot;/&gt;&lt;wsp:rsid wsp:val=&quot;00E678F9&quot;/&gt;&lt;wsp:rsid wsp:val=&quot;00E67B4B&quot;/&gt;&lt;wsp:rsid wsp:val=&quot;00E7000C&quot;/&gt;&lt;wsp:rsid wsp:val=&quot;00E706FA&quot;/&gt;&lt;wsp:rsid wsp:val=&quot;00E707F8&quot;/&gt;&lt;wsp:rsid wsp:val=&quot;00E713E0&quot;/&gt;&lt;wsp:rsid wsp:val=&quot;00E7152F&quot;/&gt;&lt;wsp:rsid wsp:val=&quot;00E71D13&quot;/&gt;&lt;wsp:rsid wsp:val=&quot;00E71EA7&quot;/&gt;&lt;wsp:rsid wsp:val=&quot;00E7208C&quot;/&gt;&lt;wsp:rsid wsp:val=&quot;00E721CE&quot;/&gt;&lt;wsp:rsid wsp:val=&quot;00E7293A&quot;/&gt;&lt;wsp:rsid wsp:val=&quot;00E72DDA&quot;/&gt;&lt;wsp:rsid wsp:val=&quot;00E72F61&quot;/&gt;&lt;wsp:rsid wsp:val=&quot;00E73885&quot;/&gt;&lt;wsp:rsid wsp:val=&quot;00E73CA7&quot;/&gt;&lt;wsp:rsid wsp:val=&quot;00E742D9&quot;/&gt;&lt;wsp:rsid wsp:val=&quot;00E74854&quot;/&gt;&lt;wsp:rsid wsp:val=&quot;00E748FD&quot;/&gt;&lt;wsp:rsid wsp:val=&quot;00E74DF5&quot;/&gt;&lt;wsp:rsid wsp:val=&quot;00E74ECB&quot;/&gt;&lt;wsp:rsid wsp:val=&quot;00E75347&quot;/&gt;&lt;wsp:rsid wsp:val=&quot;00E75766&quot;/&gt;&lt;wsp:rsid wsp:val=&quot;00E75AF9&quot;/&gt;&lt;wsp:rsid wsp:val=&quot;00E75B4C&quot;/&gt;&lt;wsp:rsid wsp:val=&quot;00E75BC5&quot;/&gt;&lt;wsp:rsid wsp:val=&quot;00E75C95&quot;/&gt;&lt;wsp:rsid wsp:val=&quot;00E76086&quot;/&gt;&lt;wsp:rsid wsp:val=&quot;00E763C9&quot;/&gt;&lt;wsp:rsid wsp:val=&quot;00E76AB5&quot;/&gt;&lt;wsp:rsid wsp:val=&quot;00E76BB2&quot;/&gt;&lt;wsp:rsid wsp:val=&quot;00E76E06&quot;/&gt;&lt;wsp:rsid wsp:val=&quot;00E775A5&quot;/&gt;&lt;wsp:rsid wsp:val=&quot;00E77BBA&quot;/&gt;&lt;wsp:rsid wsp:val=&quot;00E77D22&quot;/&gt;&lt;wsp:rsid wsp:val=&quot;00E77F4D&quot;/&gt;&lt;wsp:rsid wsp:val=&quot;00E8009A&quot;/&gt;&lt;wsp:rsid wsp:val=&quot;00E8096C&quot;/&gt;&lt;wsp:rsid wsp:val=&quot;00E814AB&quot;/&gt;&lt;wsp:rsid wsp:val=&quot;00E81E23&quot;/&gt;&lt;wsp:rsid wsp:val=&quot;00E81EE8&quot;/&gt;&lt;wsp:rsid wsp:val=&quot;00E821AE&quot;/&gt;&lt;wsp:rsid wsp:val=&quot;00E82D72&quot;/&gt;&lt;wsp:rsid wsp:val=&quot;00E832EF&quot;/&gt;&lt;wsp:rsid wsp:val=&quot;00E8379A&quot;/&gt;&lt;wsp:rsid wsp:val=&quot;00E83D45&quot;/&gt;&lt;wsp:rsid wsp:val=&quot;00E842A7&quot;/&gt;&lt;wsp:rsid wsp:val=&quot;00E84ACA&quot;/&gt;&lt;wsp:rsid wsp:val=&quot;00E84CA0&quot;/&gt;&lt;wsp:rsid wsp:val=&quot;00E84CA5&quot;/&gt;&lt;wsp:rsid wsp:val=&quot;00E851D6&quot;/&gt;&lt;wsp:rsid wsp:val=&quot;00E85474&quot;/&gt;&lt;wsp:rsid wsp:val=&quot;00E857D7&quot;/&gt;&lt;wsp:rsid wsp:val=&quot;00E85B41&quot;/&gt;&lt;wsp:rsid wsp:val=&quot;00E85F55&quot;/&gt;&lt;wsp:rsid wsp:val=&quot;00E85FC7&quot;/&gt;&lt;wsp:rsid wsp:val=&quot;00E86086&quot;/&gt;&lt;wsp:rsid wsp:val=&quot;00E86E29&quot;/&gt;&lt;wsp:rsid wsp:val=&quot;00E8751B&quot;/&gt;&lt;wsp:rsid wsp:val=&quot;00E87611&quot;/&gt;&lt;wsp:rsid wsp:val=&quot;00E87F79&quot;/&gt;&lt;wsp:rsid wsp:val=&quot;00E904CE&quot;/&gt;&lt;wsp:rsid wsp:val=&quot;00E90538&quot;/&gt;&lt;wsp:rsid wsp:val=&quot;00E90753&quot;/&gt;&lt;wsp:rsid wsp:val=&quot;00E91093&quot;/&gt;&lt;wsp:rsid wsp:val=&quot;00E910EC&quot;/&gt;&lt;wsp:rsid wsp:val=&quot;00E91341&quot;/&gt;&lt;wsp:rsid wsp:val=&quot;00E91899&quot;/&gt;&lt;wsp:rsid wsp:val=&quot;00E9205E&quot;/&gt;&lt;wsp:rsid wsp:val=&quot;00E921A2&quot;/&gt;&lt;wsp:rsid wsp:val=&quot;00E924FF&quot;/&gt;&lt;wsp:rsid wsp:val=&quot;00E932F1&quot;/&gt;&lt;wsp:rsid wsp:val=&quot;00E939CA&quot;/&gt;&lt;wsp:rsid wsp:val=&quot;00E93C91&quot;/&gt;&lt;wsp:rsid wsp:val=&quot;00E93F4B&quot;/&gt;&lt;wsp:rsid wsp:val=&quot;00E941EC&quot;/&gt;&lt;wsp:rsid wsp:val=&quot;00E94910&quot;/&gt;&lt;wsp:rsid wsp:val=&quot;00E94B53&quot;/&gt;&lt;wsp:rsid wsp:val=&quot;00E94DCE&quot;/&gt;&lt;wsp:rsid wsp:val=&quot;00E94DFA&quot;/&gt;&lt;wsp:rsid wsp:val=&quot;00E94E86&quot;/&gt;&lt;wsp:rsid wsp:val=&quot;00E9518C&quot;/&gt;&lt;wsp:rsid wsp:val=&quot;00E951C0&quot;/&gt;&lt;wsp:rsid wsp:val=&quot;00E952A0&quot;/&gt;&lt;wsp:rsid wsp:val=&quot;00E95571&quot;/&gt;&lt;wsp:rsid wsp:val=&quot;00E955EA&quot;/&gt;&lt;wsp:rsid wsp:val=&quot;00E960BD&quot;/&gt;&lt;wsp:rsid wsp:val=&quot;00E964D1&quot;/&gt;&lt;wsp:rsid wsp:val=&quot;00E96552&quot;/&gt;&lt;wsp:rsid wsp:val=&quot;00E96B7A&quot;/&gt;&lt;wsp:rsid wsp:val=&quot;00E96F4E&quot;/&gt;&lt;wsp:rsid wsp:val=&quot;00E97B42&quot;/&gt;&lt;wsp:rsid wsp:val=&quot;00E97EB7&quot;/&gt;&lt;wsp:rsid wsp:val=&quot;00EA008A&quot;/&gt;&lt;wsp:rsid wsp:val=&quot;00EA0622&quot;/&gt;&lt;wsp:rsid wsp:val=&quot;00EA0A20&quot;/&gt;&lt;wsp:rsid wsp:val=&quot;00EA0A62&quot;/&gt;&lt;wsp:rsid wsp:val=&quot;00EA0A7C&quot;/&gt;&lt;wsp:rsid wsp:val=&quot;00EA0C0E&quot;/&gt;&lt;wsp:rsid wsp:val=&quot;00EA0FB2&quot;/&gt;&lt;wsp:rsid wsp:val=&quot;00EA11C8&quot;/&gt;&lt;wsp:rsid wsp:val=&quot;00EA1508&quot;/&gt;&lt;wsp:rsid wsp:val=&quot;00EA16F8&quot;/&gt;&lt;wsp:rsid wsp:val=&quot;00EA1920&quot;/&gt;&lt;wsp:rsid wsp:val=&quot;00EA1B80&quot;/&gt;&lt;wsp:rsid wsp:val=&quot;00EA1CCE&quot;/&gt;&lt;wsp:rsid wsp:val=&quot;00EA1D6D&quot;/&gt;&lt;wsp:rsid wsp:val=&quot;00EA1DB9&quot;/&gt;&lt;wsp:rsid wsp:val=&quot;00EA2EED&quot;/&gt;&lt;wsp:rsid wsp:val=&quot;00EA3084&quot;/&gt;&lt;wsp:rsid wsp:val=&quot;00EA3C9C&quot;/&gt;&lt;wsp:rsid wsp:val=&quot;00EA3EAD&quot;/&gt;&lt;wsp:rsid wsp:val=&quot;00EA3ECD&quot;/&gt;&lt;wsp:rsid wsp:val=&quot;00EA46CB&quot;/&gt;&lt;wsp:rsid wsp:val=&quot;00EA4758&quot;/&gt;&lt;wsp:rsid wsp:val=&quot;00EA47F2&quot;/&gt;&lt;wsp:rsid wsp:val=&quot;00EA4A67&quot;/&gt;&lt;wsp:rsid wsp:val=&quot;00EA4D1B&quot;/&gt;&lt;wsp:rsid wsp:val=&quot;00EA4F72&quot;/&gt;&lt;wsp:rsid wsp:val=&quot;00EA53C1&quot;/&gt;&lt;wsp:rsid wsp:val=&quot;00EA57CD&quot;/&gt;&lt;wsp:rsid wsp:val=&quot;00EA5AB4&quot;/&gt;&lt;wsp:rsid wsp:val=&quot;00EA5B0F&quot;/&gt;&lt;wsp:rsid wsp:val=&quot;00EA6801&quot;/&gt;&lt;wsp:rsid wsp:val=&quot;00EA682A&quot;/&gt;&lt;wsp:rsid wsp:val=&quot;00EA72CD&quot;/&gt;&lt;wsp:rsid wsp:val=&quot;00EA740E&quot;/&gt;&lt;wsp:rsid wsp:val=&quot;00EA7C1D&quot;/&gt;&lt;wsp:rsid wsp:val=&quot;00EA7E2B&quot;/&gt;&lt;wsp:rsid wsp:val=&quot;00EB0220&quot;/&gt;&lt;wsp:rsid wsp:val=&quot;00EB03FF&quot;/&gt;&lt;wsp:rsid wsp:val=&quot;00EB048D&quot;/&gt;&lt;wsp:rsid wsp:val=&quot;00EB051C&quot;/&gt;&lt;wsp:rsid wsp:val=&quot;00EB13F2&quot;/&gt;&lt;wsp:rsid wsp:val=&quot;00EB1444&quot;/&gt;&lt;wsp:rsid wsp:val=&quot;00EB1A6B&quot;/&gt;&lt;wsp:rsid wsp:val=&quot;00EB2F23&quot;/&gt;&lt;wsp:rsid wsp:val=&quot;00EB3208&quot;/&gt;&lt;wsp:rsid wsp:val=&quot;00EB3D15&quot;/&gt;&lt;wsp:rsid wsp:val=&quot;00EB3D97&quot;/&gt;&lt;wsp:rsid wsp:val=&quot;00EB42BA&quot;/&gt;&lt;wsp:rsid wsp:val=&quot;00EB434F&quot;/&gt;&lt;wsp:rsid wsp:val=&quot;00EB43DE&quot;/&gt;&lt;wsp:rsid wsp:val=&quot;00EB46C9&quot;/&gt;&lt;wsp:rsid wsp:val=&quot;00EB55FB&quot;/&gt;&lt;wsp:rsid wsp:val=&quot;00EB5B27&quot;/&gt;&lt;wsp:rsid wsp:val=&quot;00EB5CD1&quot;/&gt;&lt;wsp:rsid wsp:val=&quot;00EB5EE6&quot;/&gt;&lt;wsp:rsid wsp:val=&quot;00EB6FD3&quot;/&gt;&lt;wsp:rsid wsp:val=&quot;00EB7AC5&quot;/&gt;&lt;wsp:rsid wsp:val=&quot;00EC03A0&quot;/&gt;&lt;wsp:rsid wsp:val=&quot;00EC042C&quot;/&gt;&lt;wsp:rsid wsp:val=&quot;00EC05FB&quot;/&gt;&lt;wsp:rsid wsp:val=&quot;00EC09D2&quot;/&gt;&lt;wsp:rsid wsp:val=&quot;00EC0BB0&quot;/&gt;&lt;wsp:rsid wsp:val=&quot;00EC0D7E&quot;/&gt;&lt;wsp:rsid wsp:val=&quot;00EC0F4A&quot;/&gt;&lt;wsp:rsid wsp:val=&quot;00EC166D&quot;/&gt;&lt;wsp:rsid wsp:val=&quot;00EC1C8B&quot;/&gt;&lt;wsp:rsid wsp:val=&quot;00EC2080&quot;/&gt;&lt;wsp:rsid wsp:val=&quot;00EC209C&quot;/&gt;&lt;wsp:rsid wsp:val=&quot;00EC20D6&quot;/&gt;&lt;wsp:rsid wsp:val=&quot;00EC226E&quot;/&gt;&lt;wsp:rsid wsp:val=&quot;00EC2273&quot;/&gt;&lt;wsp:rsid wsp:val=&quot;00EC24D4&quot;/&gt;&lt;wsp:rsid wsp:val=&quot;00EC254D&quot;/&gt;&lt;wsp:rsid wsp:val=&quot;00EC25D1&quot;/&gt;&lt;wsp:rsid wsp:val=&quot;00EC26F3&quot;/&gt;&lt;wsp:rsid wsp:val=&quot;00EC28C1&quot;/&gt;&lt;wsp:rsid wsp:val=&quot;00EC2B08&quot;/&gt;&lt;wsp:rsid wsp:val=&quot;00EC2B9B&quot;/&gt;&lt;wsp:rsid wsp:val=&quot;00EC2D59&quot;/&gt;&lt;wsp:rsid wsp:val=&quot;00EC2FC8&quot;/&gt;&lt;wsp:rsid wsp:val=&quot;00EC2FF7&quot;/&gt;&lt;wsp:rsid wsp:val=&quot;00EC35E1&quot;/&gt;&lt;wsp:rsid wsp:val=&quot;00EC3CA8&quot;/&gt;&lt;wsp:rsid wsp:val=&quot;00EC3CC4&quot;/&gt;&lt;wsp:rsid wsp:val=&quot;00EC3EC4&quot;/&gt;&lt;wsp:rsid wsp:val=&quot;00EC41DD&quot;/&gt;&lt;wsp:rsid wsp:val=&quot;00EC4332&quot;/&gt;&lt;wsp:rsid wsp:val=&quot;00EC43A5&quot;/&gt;&lt;wsp:rsid wsp:val=&quot;00EC43C6&quot;/&gt;&lt;wsp:rsid wsp:val=&quot;00EC453F&quot;/&gt;&lt;wsp:rsid wsp:val=&quot;00EC4945&quot;/&gt;&lt;wsp:rsid wsp:val=&quot;00EC4BB0&quot;/&gt;&lt;wsp:rsid wsp:val=&quot;00EC4C52&quot;/&gt;&lt;wsp:rsid wsp:val=&quot;00EC4D27&quot;/&gt;&lt;wsp:rsid wsp:val=&quot;00EC4F43&quot;/&gt;&lt;wsp:rsid wsp:val=&quot;00EC5044&quot;/&gt;&lt;wsp:rsid wsp:val=&quot;00EC5293&quot;/&gt;&lt;wsp:rsid wsp:val=&quot;00EC52D4&quot;/&gt;&lt;wsp:rsid wsp:val=&quot;00EC53D6&quot;/&gt;&lt;wsp:rsid wsp:val=&quot;00EC5570&quot;/&gt;&lt;wsp:rsid wsp:val=&quot;00EC5578&quot;/&gt;&lt;wsp:rsid wsp:val=&quot;00EC56B2&quot;/&gt;&lt;wsp:rsid wsp:val=&quot;00EC61BB&quot;/&gt;&lt;wsp:rsid wsp:val=&quot;00EC63AA&quot;/&gt;&lt;wsp:rsid wsp:val=&quot;00EC6858&quot;/&gt;&lt;wsp:rsid wsp:val=&quot;00EC7E56&quot;/&gt;&lt;wsp:rsid wsp:val=&quot;00ED047E&quot;/&gt;&lt;wsp:rsid wsp:val=&quot;00ED0561&quot;/&gt;&lt;wsp:rsid wsp:val=&quot;00ED0BA1&quot;/&gt;&lt;wsp:rsid wsp:val=&quot;00ED0BD8&quot;/&gt;&lt;wsp:rsid wsp:val=&quot;00ED1468&quot;/&gt;&lt;wsp:rsid wsp:val=&quot;00ED166F&quot;/&gt;&lt;wsp:rsid wsp:val=&quot;00ED17B3&quot;/&gt;&lt;wsp:rsid wsp:val=&quot;00ED1C2A&quot;/&gt;&lt;wsp:rsid wsp:val=&quot;00ED21DA&quot;/&gt;&lt;wsp:rsid wsp:val=&quot;00ED2269&quot;/&gt;&lt;wsp:rsid wsp:val=&quot;00ED2590&quot;/&gt;&lt;wsp:rsid wsp:val=&quot;00ED2734&quot;/&gt;&lt;wsp:rsid wsp:val=&quot;00ED2921&quot;/&gt;&lt;wsp:rsid wsp:val=&quot;00ED3167&quot;/&gt;&lt;wsp:rsid wsp:val=&quot;00ED35D4&quot;/&gt;&lt;wsp:rsid wsp:val=&quot;00ED3625&quot;/&gt;&lt;wsp:rsid wsp:val=&quot;00ED3641&quot;/&gt;&lt;wsp:rsid wsp:val=&quot;00ED3669&quot;/&gt;&lt;wsp:rsid wsp:val=&quot;00ED3815&quot;/&gt;&lt;wsp:rsid wsp:val=&quot;00ED3855&quot;/&gt;&lt;wsp:rsid wsp:val=&quot;00ED3DD5&quot;/&gt;&lt;wsp:rsid wsp:val=&quot;00ED4170&quot;/&gt;&lt;wsp:rsid wsp:val=&quot;00ED4A85&quot;/&gt;&lt;wsp:rsid wsp:val=&quot;00ED4C0F&quot;/&gt;&lt;wsp:rsid wsp:val=&quot;00ED4DF4&quot;/&gt;&lt;wsp:rsid wsp:val=&quot;00ED51D0&quot;/&gt;&lt;wsp:rsid wsp:val=&quot;00ED52CD&quot;/&gt;&lt;wsp:rsid wsp:val=&quot;00ED6325&quot;/&gt;&lt;wsp:rsid wsp:val=&quot;00ED6DD9&quot;/&gt;&lt;wsp:rsid wsp:val=&quot;00ED6DFA&quot;/&gt;&lt;wsp:rsid wsp:val=&quot;00ED7202&quot;/&gt;&lt;wsp:rsid wsp:val=&quot;00ED7278&quot;/&gt;&lt;wsp:rsid wsp:val=&quot;00ED77C7&quot;/&gt;&lt;wsp:rsid wsp:val=&quot;00ED79A5&quot;/&gt;&lt;wsp:rsid wsp:val=&quot;00ED79B9&quot;/&gt;&lt;wsp:rsid wsp:val=&quot;00ED7CE8&quot;/&gt;&lt;wsp:rsid wsp:val=&quot;00EE0012&quot;/&gt;&lt;wsp:rsid wsp:val=&quot;00EE0289&quot;/&gt;&lt;wsp:rsid wsp:val=&quot;00EE0771&quot;/&gt;&lt;wsp:rsid wsp:val=&quot;00EE0B99&quot;/&gt;&lt;wsp:rsid wsp:val=&quot;00EE1305&quot;/&gt;&lt;wsp:rsid wsp:val=&quot;00EE1534&quot;/&gt;&lt;wsp:rsid wsp:val=&quot;00EE170F&quot;/&gt;&lt;wsp:rsid wsp:val=&quot;00EE22B5&quot;/&gt;&lt;wsp:rsid wsp:val=&quot;00EE2F95&quot;/&gt;&lt;wsp:rsid wsp:val=&quot;00EE42B5&quot;/&gt;&lt;wsp:rsid wsp:val=&quot;00EE4B84&quot;/&gt;&lt;wsp:rsid wsp:val=&quot;00EE5377&quot;/&gt;&lt;wsp:rsid wsp:val=&quot;00EE54C8&quot;/&gt;&lt;wsp:rsid wsp:val=&quot;00EE560E&quot;/&gt;&lt;wsp:rsid wsp:val=&quot;00EE57F7&quot;/&gt;&lt;wsp:rsid wsp:val=&quot;00EE5ADB&quot;/&gt;&lt;wsp:rsid wsp:val=&quot;00EE5B70&quot;/&gt;&lt;wsp:rsid wsp:val=&quot;00EE5CA9&quot;/&gt;&lt;wsp:rsid wsp:val=&quot;00EE5D08&quot;/&gt;&lt;wsp:rsid wsp:val=&quot;00EE5E7A&quot;/&gt;&lt;wsp:rsid wsp:val=&quot;00EE6247&quot;/&gt;&lt;wsp:rsid wsp:val=&quot;00EE66E8&quot;/&gt;&lt;wsp:rsid wsp:val=&quot;00EE6794&quot;/&gt;&lt;wsp:rsid wsp:val=&quot;00EE6F09&quot;/&gt;&lt;wsp:rsid wsp:val=&quot;00EE703F&quot;/&gt;&lt;wsp:rsid wsp:val=&quot;00EE769A&quot;/&gt;&lt;wsp:rsid wsp:val=&quot;00EE7A07&quot;/&gt;&lt;wsp:rsid wsp:val=&quot;00EE7A8A&quot;/&gt;&lt;wsp:rsid wsp:val=&quot;00EE7B58&quot;/&gt;&lt;wsp:rsid wsp:val=&quot;00EE7C58&quot;/&gt;&lt;wsp:rsid wsp:val=&quot;00EE7D33&quot;/&gt;&lt;wsp:rsid wsp:val=&quot;00EF009B&quot;/&gt;&lt;wsp:rsid wsp:val=&quot;00EF05CB&quot;/&gt;&lt;wsp:rsid wsp:val=&quot;00EF0A27&quot;/&gt;&lt;wsp:rsid wsp:val=&quot;00EF0C5F&quot;/&gt;&lt;wsp:rsid wsp:val=&quot;00EF12B0&quot;/&gt;&lt;wsp:rsid wsp:val=&quot;00EF1519&quot;/&gt;&lt;wsp:rsid wsp:val=&quot;00EF1B12&quot;/&gt;&lt;wsp:rsid wsp:val=&quot;00EF22E0&quot;/&gt;&lt;wsp:rsid wsp:val=&quot;00EF2300&quot;/&gt;&lt;wsp:rsid wsp:val=&quot;00EF234D&quot;/&gt;&lt;wsp:rsid wsp:val=&quot;00EF2557&quot;/&gt;&lt;wsp:rsid wsp:val=&quot;00EF2C3F&quot;/&gt;&lt;wsp:rsid wsp:val=&quot;00EF30CB&quot;/&gt;&lt;wsp:rsid wsp:val=&quot;00EF3151&quot;/&gt;&lt;wsp:rsid wsp:val=&quot;00EF3173&quot;/&gt;&lt;wsp:rsid wsp:val=&quot;00EF331D&quot;/&gt;&lt;wsp:rsid wsp:val=&quot;00EF3355&quot;/&gt;&lt;wsp:rsid wsp:val=&quot;00EF3521&quot;/&gt;&lt;wsp:rsid wsp:val=&quot;00EF3AD9&quot;/&gt;&lt;wsp:rsid wsp:val=&quot;00EF3CC0&quot;/&gt;&lt;wsp:rsid wsp:val=&quot;00EF3D69&quot;/&gt;&lt;wsp:rsid wsp:val=&quot;00EF3E7F&quot;/&gt;&lt;wsp:rsid wsp:val=&quot;00EF3EE3&quot;/&gt;&lt;wsp:rsid wsp:val=&quot;00EF40AE&quot;/&gt;&lt;wsp:rsid wsp:val=&quot;00EF4228&quot;/&gt;&lt;wsp:rsid wsp:val=&quot;00EF4415&quot;/&gt;&lt;wsp:rsid wsp:val=&quot;00EF4AD3&quot;/&gt;&lt;wsp:rsid wsp:val=&quot;00EF4C3A&quot;/&gt;&lt;wsp:rsid wsp:val=&quot;00EF5180&quot;/&gt;&lt;wsp:rsid wsp:val=&quot;00EF5299&quot;/&gt;&lt;wsp:rsid wsp:val=&quot;00EF541D&quot;/&gt;&lt;wsp:rsid wsp:val=&quot;00EF5422&quot;/&gt;&lt;wsp:rsid wsp:val=&quot;00EF55FC&quot;/&gt;&lt;wsp:rsid wsp:val=&quot;00EF5804&quot;/&gt;&lt;wsp:rsid wsp:val=&quot;00EF59F0&quot;/&gt;&lt;wsp:rsid wsp:val=&quot;00EF5ECB&quot;/&gt;&lt;wsp:rsid wsp:val=&quot;00EF60E3&quot;/&gt;&lt;wsp:rsid wsp:val=&quot;00EF65E7&quot;/&gt;&lt;wsp:rsid wsp:val=&quot;00EF673E&quot;/&gt;&lt;wsp:rsid wsp:val=&quot;00EF678C&quot;/&gt;&lt;wsp:rsid wsp:val=&quot;00EF6B9A&quot;/&gt;&lt;wsp:rsid wsp:val=&quot;00EF70AF&quot;/&gt;&lt;wsp:rsid wsp:val=&quot;00EF7734&quot;/&gt;&lt;wsp:rsid wsp:val=&quot;00EF7A85&quot;/&gt;&lt;wsp:rsid wsp:val=&quot;00EF7DA7&quot;/&gt;&lt;wsp:rsid wsp:val=&quot;00EF7F6D&quot;/&gt;&lt;wsp:rsid wsp:val=&quot;00F0035F&quot;/&gt;&lt;wsp:rsid wsp:val=&quot;00F004A9&quot;/&gt;&lt;wsp:rsid wsp:val=&quot;00F0088E&quot;/&gt;&lt;wsp:rsid wsp:val=&quot;00F00996&quot;/&gt;&lt;wsp:rsid wsp:val=&quot;00F00F21&quot;/&gt;&lt;wsp:rsid wsp:val=&quot;00F0144B&quot;/&gt;&lt;wsp:rsid wsp:val=&quot;00F01C83&quot;/&gt;&lt;wsp:rsid wsp:val=&quot;00F01DFC&quot;/&gt;&lt;wsp:rsid wsp:val=&quot;00F01FD5&quot;/&gt;&lt;wsp:rsid wsp:val=&quot;00F02358&quot;/&gt;&lt;wsp:rsid wsp:val=&quot;00F02432&quot;/&gt;&lt;wsp:rsid wsp:val=&quot;00F02483&quot;/&gt;&lt;wsp:rsid wsp:val=&quot;00F025F2&quot;/&gt;&lt;wsp:rsid wsp:val=&quot;00F026D8&quot;/&gt;&lt;wsp:rsid wsp:val=&quot;00F02774&quot;/&gt;&lt;wsp:rsid wsp:val=&quot;00F027A9&quot;/&gt;&lt;wsp:rsid wsp:val=&quot;00F0286E&quot;/&gt;&lt;wsp:rsid wsp:val=&quot;00F02B1B&quot;/&gt;&lt;wsp:rsid wsp:val=&quot;00F02DD4&quot;/&gt;&lt;wsp:rsid wsp:val=&quot;00F02DEE&quot;/&gt;&lt;wsp:rsid wsp:val=&quot;00F0359C&quot;/&gt;&lt;wsp:rsid wsp:val=&quot;00F03916&quot;/&gt;&lt;wsp:rsid wsp:val=&quot;00F03B59&quot;/&gt;&lt;wsp:rsid wsp:val=&quot;00F045D3&quot;/&gt;&lt;wsp:rsid wsp:val=&quot;00F049A0&quot;/&gt;&lt;wsp:rsid wsp:val=&quot;00F04A75&quot;/&gt;&lt;wsp:rsid wsp:val=&quot;00F04BDD&quot;/&gt;&lt;wsp:rsid wsp:val=&quot;00F04E08&quot;/&gt;&lt;wsp:rsid wsp:val=&quot;00F054BD&quot;/&gt;&lt;wsp:rsid wsp:val=&quot;00F057FE&quot;/&gt;&lt;wsp:rsid wsp:val=&quot;00F05D3A&quot;/&gt;&lt;wsp:rsid wsp:val=&quot;00F05E2B&quot;/&gt;&lt;wsp:rsid wsp:val=&quot;00F06E64&quot;/&gt;&lt;wsp:rsid wsp:val=&quot;00F0727B&quot;/&gt;&lt;wsp:rsid wsp:val=&quot;00F074A9&quot;/&gt;&lt;wsp:rsid wsp:val=&quot;00F0755B&quot;/&gt;&lt;wsp:rsid wsp:val=&quot;00F07834&quot;/&gt;&lt;wsp:rsid wsp:val=&quot;00F07C3E&quot;/&gt;&lt;wsp:rsid wsp:val=&quot;00F07F57&quot;/&gt;&lt;wsp:rsid wsp:val=&quot;00F10726&quot;/&gt;&lt;wsp:rsid wsp:val=&quot;00F109A9&quot;/&gt;&lt;wsp:rsid wsp:val=&quot;00F11004&quot;/&gt;&lt;wsp:rsid wsp:val=&quot;00F1123F&quot;/&gt;&lt;wsp:rsid wsp:val=&quot;00F11260&quot;/&gt;&lt;wsp:rsid wsp:val=&quot;00F1126B&quot;/&gt;&lt;wsp:rsid wsp:val=&quot;00F11280&quot;/&gt;&lt;wsp:rsid wsp:val=&quot;00F11782&quot;/&gt;&lt;wsp:rsid wsp:val=&quot;00F11AA8&quot;/&gt;&lt;wsp:rsid wsp:val=&quot;00F11F8D&quot;/&gt;&lt;wsp:rsid wsp:val=&quot;00F12000&quot;/&gt;&lt;wsp:rsid wsp:val=&quot;00F1226F&quot;/&gt;&lt;wsp:rsid wsp:val=&quot;00F1245B&quot;/&gt;&lt;wsp:rsid wsp:val=&quot;00F12540&quot;/&gt;&lt;wsp:rsid wsp:val=&quot;00F1290E&quot;/&gt;&lt;wsp:rsid wsp:val=&quot;00F12BF6&quot;/&gt;&lt;wsp:rsid wsp:val=&quot;00F12F98&quot;/&gt;&lt;wsp:rsid wsp:val=&quot;00F13075&quot;/&gt;&lt;wsp:rsid wsp:val=&quot;00F132A2&quot;/&gt;&lt;wsp:rsid wsp:val=&quot;00F134AF&quot;/&gt;&lt;wsp:rsid wsp:val=&quot;00F13608&quot;/&gt;&lt;wsp:rsid wsp:val=&quot;00F13713&quot;/&gt;&lt;wsp:rsid wsp:val=&quot;00F13AB4&quot;/&gt;&lt;wsp:rsid wsp:val=&quot;00F13C47&quot;/&gt;&lt;wsp:rsid wsp:val=&quot;00F13DB9&quot;/&gt;&lt;wsp:rsid wsp:val=&quot;00F1491B&quot;/&gt;&lt;wsp:rsid wsp:val=&quot;00F14BE6&quot;/&gt;&lt;wsp:rsid wsp:val=&quot;00F153D9&quot;/&gt;&lt;wsp:rsid wsp:val=&quot;00F1544B&quot;/&gt;&lt;wsp:rsid wsp:val=&quot;00F15C05&quot;/&gt;&lt;wsp:rsid wsp:val=&quot;00F15C95&quot;/&gt;&lt;wsp:rsid wsp:val=&quot;00F15D94&quot;/&gt;&lt;wsp:rsid wsp:val=&quot;00F162B0&quot;/&gt;&lt;wsp:rsid wsp:val=&quot;00F16509&quot;/&gt;&lt;wsp:rsid wsp:val=&quot;00F165E8&quot;/&gt;&lt;wsp:rsid wsp:val=&quot;00F16982&quot;/&gt;&lt;wsp:rsid wsp:val=&quot;00F16BBE&quot;/&gt;&lt;wsp:rsid wsp:val=&quot;00F16BE5&quot;/&gt;&lt;wsp:rsid wsp:val=&quot;00F16E3B&quot;/&gt;&lt;wsp:rsid wsp:val=&quot;00F16EBC&quot;/&gt;&lt;wsp:rsid wsp:val=&quot;00F171E9&quot;/&gt;&lt;wsp:rsid wsp:val=&quot;00F17511&quot;/&gt;&lt;wsp:rsid wsp:val=&quot;00F17CED&quot;/&gt;&lt;wsp:rsid wsp:val=&quot;00F20399&quot;/&gt;&lt;wsp:rsid wsp:val=&quot;00F20586&quot;/&gt;&lt;wsp:rsid wsp:val=&quot;00F2069C&quot;/&gt;&lt;wsp:rsid wsp:val=&quot;00F20991&quot;/&gt;&lt;wsp:rsid wsp:val=&quot;00F209DC&quot;/&gt;&lt;wsp:rsid wsp:val=&quot;00F20B5D&quot;/&gt;&lt;wsp:rsid wsp:val=&quot;00F2119F&quot;/&gt;&lt;wsp:rsid wsp:val=&quot;00F214C8&quot;/&gt;&lt;wsp:rsid wsp:val=&quot;00F217BB&quot;/&gt;&lt;wsp:rsid wsp:val=&quot;00F21BB3&quot;/&gt;&lt;wsp:rsid wsp:val=&quot;00F220BD&quot;/&gt;&lt;wsp:rsid wsp:val=&quot;00F22245&quot;/&gt;&lt;wsp:rsid wsp:val=&quot;00F22432&quot;/&gt;&lt;wsp:rsid wsp:val=&quot;00F22D42&quot;/&gt;&lt;wsp:rsid wsp:val=&quot;00F22D63&quot;/&gt;&lt;wsp:rsid wsp:val=&quot;00F23926&quot;/&gt;&lt;wsp:rsid wsp:val=&quot;00F23988&quot;/&gt;&lt;wsp:rsid wsp:val=&quot;00F239DB&quot;/&gt;&lt;wsp:rsid wsp:val=&quot;00F248B6&quot;/&gt;&lt;wsp:rsid wsp:val=&quot;00F25BA1&quot;/&gt;&lt;wsp:rsid wsp:val=&quot;00F25F4F&quot;/&gt;&lt;wsp:rsid wsp:val=&quot;00F25F66&quot;/&gt;&lt;wsp:rsid wsp:val=&quot;00F26186&quot;/&gt;&lt;wsp:rsid wsp:val=&quot;00F26946&quot;/&gt;&lt;wsp:rsid wsp:val=&quot;00F2697D&quot;/&gt;&lt;wsp:rsid wsp:val=&quot;00F26E0B&quot;/&gt;&lt;wsp:rsid wsp:val=&quot;00F26FC9&quot;/&gt;&lt;wsp:rsid wsp:val=&quot;00F270EB&quot;/&gt;&lt;wsp:rsid wsp:val=&quot;00F276A7&quot;/&gt;&lt;wsp:rsid wsp:val=&quot;00F27FFC&quot;/&gt;&lt;wsp:rsid wsp:val=&quot;00F306BB&quot;/&gt;&lt;wsp:rsid wsp:val=&quot;00F30864&quot;/&gt;&lt;wsp:rsid wsp:val=&quot;00F30DB2&quot;/&gt;&lt;wsp:rsid wsp:val=&quot;00F30E0A&quot;/&gt;&lt;wsp:rsid wsp:val=&quot;00F30E1F&quot;/&gt;&lt;wsp:rsid wsp:val=&quot;00F30E53&quot;/&gt;&lt;wsp:rsid wsp:val=&quot;00F30ECA&quot;/&gt;&lt;wsp:rsid wsp:val=&quot;00F30F2F&quot;/&gt;&lt;wsp:rsid wsp:val=&quot;00F3114F&quot;/&gt;&lt;wsp:rsid wsp:val=&quot;00F31374&quot;/&gt;&lt;wsp:rsid wsp:val=&quot;00F31531&quot;/&gt;&lt;wsp:rsid wsp:val=&quot;00F315FD&quot;/&gt;&lt;wsp:rsid wsp:val=&quot;00F32CC9&quot;/&gt;&lt;wsp:rsid wsp:val=&quot;00F32D06&quot;/&gt;&lt;wsp:rsid wsp:val=&quot;00F32F61&quot;/&gt;&lt;wsp:rsid wsp:val=&quot;00F3306C&quot;/&gt;&lt;wsp:rsid wsp:val=&quot;00F330A7&quot;/&gt;&lt;wsp:rsid wsp:val=&quot;00F332C8&quot;/&gt;&lt;wsp:rsid wsp:val=&quot;00F334E2&quot;/&gt;&lt;wsp:rsid wsp:val=&quot;00F33D91&quot;/&gt;&lt;wsp:rsid wsp:val=&quot;00F3452C&quot;/&gt;&lt;wsp:rsid wsp:val=&quot;00F34EFB&quot;/&gt;&lt;wsp:rsid wsp:val=&quot;00F34F7B&quot;/&gt;&lt;wsp:rsid wsp:val=&quot;00F3510B&quot;/&gt;&lt;wsp:rsid wsp:val=&quot;00F35798&quot;/&gt;&lt;wsp:rsid wsp:val=&quot;00F36084&quot;/&gt;&lt;wsp:rsid wsp:val=&quot;00F36644&quot;/&gt;&lt;wsp:rsid wsp:val=&quot;00F3720A&quot;/&gt;&lt;wsp:rsid wsp:val=&quot;00F3737B&quot;/&gt;&lt;wsp:rsid wsp:val=&quot;00F3746E&quot;/&gt;&lt;wsp:rsid wsp:val=&quot;00F378D0&quot;/&gt;&lt;wsp:rsid wsp:val=&quot;00F4014F&quot;/&gt;&lt;wsp:rsid wsp:val=&quot;00F40169&quot;/&gt;&lt;wsp:rsid wsp:val=&quot;00F40E08&quot;/&gt;&lt;wsp:rsid wsp:val=&quot;00F40E6C&quot;/&gt;&lt;wsp:rsid wsp:val=&quot;00F41130&quot;/&gt;&lt;wsp:rsid wsp:val=&quot;00F41547&quot;/&gt;&lt;wsp:rsid wsp:val=&quot;00F41755&quot;/&gt;&lt;wsp:rsid wsp:val=&quot;00F41C49&quot;/&gt;&lt;wsp:rsid wsp:val=&quot;00F42189&quot;/&gt;&lt;wsp:rsid wsp:val=&quot;00F4257D&quot;/&gt;&lt;wsp:rsid wsp:val=&quot;00F425C6&quot;/&gt;&lt;wsp:rsid wsp:val=&quot;00F42938&quot;/&gt;&lt;wsp:rsid wsp:val=&quot;00F429A0&quot;/&gt;&lt;wsp:rsid wsp:val=&quot;00F42A33&quot;/&gt;&lt;wsp:rsid wsp:val=&quot;00F42D66&quot;/&gt;&lt;wsp:rsid wsp:val=&quot;00F4309F&quot;/&gt;&lt;wsp:rsid wsp:val=&quot;00F43281&quot;/&gt;&lt;wsp:rsid wsp:val=&quot;00F4349A&quot;/&gt;&lt;wsp:rsid wsp:val=&quot;00F435B7&quot;/&gt;&lt;wsp:rsid wsp:val=&quot;00F43749&quot;/&gt;&lt;wsp:rsid wsp:val=&quot;00F43B29&quot;/&gt;&lt;wsp:rsid wsp:val=&quot;00F44116&quot;/&gt;&lt;wsp:rsid wsp:val=&quot;00F4420F&quot;/&gt;&lt;wsp:rsid wsp:val=&quot;00F44464&quot;/&gt;&lt;wsp:rsid wsp:val=&quot;00F45A2D&quot;/&gt;&lt;wsp:rsid wsp:val=&quot;00F45B5C&quot;/&gt;&lt;wsp:rsid wsp:val=&quot;00F45E2F&quot;/&gt;&lt;wsp:rsid wsp:val=&quot;00F4666B&quot;/&gt;&lt;wsp:rsid wsp:val=&quot;00F468B3&quot;/&gt;&lt;wsp:rsid wsp:val=&quot;00F46947&quot;/&gt;&lt;wsp:rsid wsp:val=&quot;00F46BBC&quot;/&gt;&lt;wsp:rsid wsp:val=&quot;00F47164&quot;/&gt;&lt;wsp:rsid wsp:val=&quot;00F47605&quot;/&gt;&lt;wsp:rsid wsp:val=&quot;00F4791C&quot;/&gt;&lt;wsp:rsid wsp:val=&quot;00F50B49&quot;/&gt;&lt;wsp:rsid wsp:val=&quot;00F50BFE&quot;/&gt;&lt;wsp:rsid wsp:val=&quot;00F50CB7&quot;/&gt;&lt;wsp:rsid wsp:val=&quot;00F50D52&quot;/&gt;&lt;wsp:rsid wsp:val=&quot;00F50E3D&quot;/&gt;&lt;wsp:rsid wsp:val=&quot;00F510DF&quot;/&gt;&lt;wsp:rsid wsp:val=&quot;00F5130C&quot;/&gt;&lt;wsp:rsid wsp:val=&quot;00F515BE&quot;/&gt;&lt;wsp:rsid wsp:val=&quot;00F51774&quot;/&gt;&lt;wsp:rsid wsp:val=&quot;00F51AE6&quot;/&gt;&lt;wsp:rsid wsp:val=&quot;00F51CB1&quot;/&gt;&lt;wsp:rsid wsp:val=&quot;00F51E79&quot;/&gt;&lt;wsp:rsid wsp:val=&quot;00F51FFA&quot;/&gt;&lt;wsp:rsid wsp:val=&quot;00F52361&quot;/&gt;&lt;wsp:rsid wsp:val=&quot;00F524A7&quot;/&gt;&lt;wsp:rsid wsp:val=&quot;00F533D1&quot;/&gt;&lt;wsp:rsid wsp:val=&quot;00F534D4&quot;/&gt;&lt;wsp:rsid wsp:val=&quot;00F53523&quot;/&gt;&lt;wsp:rsid wsp:val=&quot;00F535F4&quot;/&gt;&lt;wsp:rsid wsp:val=&quot;00F53D3A&quot;/&gt;&lt;wsp:rsid wsp:val=&quot;00F53DD9&quot;/&gt;&lt;wsp:rsid wsp:val=&quot;00F54446&quot;/&gt;&lt;wsp:rsid wsp:val=&quot;00F5463A&quot;/&gt;&lt;wsp:rsid wsp:val=&quot;00F549C9&quot;/&gt;&lt;wsp:rsid wsp:val=&quot;00F54D7E&quot;/&gt;&lt;wsp:rsid wsp:val=&quot;00F54EF2&quot;/&gt;&lt;wsp:rsid wsp:val=&quot;00F553A0&quot;/&gt;&lt;wsp:rsid wsp:val=&quot;00F553F3&quot;/&gt;&lt;wsp:rsid wsp:val=&quot;00F55717&quot;/&gt;&lt;wsp:rsid wsp:val=&quot;00F557A0&quot;/&gt;&lt;wsp:rsid wsp:val=&quot;00F55827&quot;/&gt;&lt;wsp:rsid wsp:val=&quot;00F559F1&quot;/&gt;&lt;wsp:rsid wsp:val=&quot;00F55C4B&quot;/&gt;&lt;wsp:rsid wsp:val=&quot;00F56030&quot;/&gt;&lt;wsp:rsid wsp:val=&quot;00F56198&quot;/&gt;&lt;wsp:rsid wsp:val=&quot;00F56346&quot;/&gt;&lt;wsp:rsid wsp:val=&quot;00F56A8D&quot;/&gt;&lt;wsp:rsid wsp:val=&quot;00F56D1D&quot;/&gt;&lt;wsp:rsid wsp:val=&quot;00F56D8D&quot;/&gt;&lt;wsp:rsid wsp:val=&quot;00F56F57&quot;/&gt;&lt;wsp:rsid wsp:val=&quot;00F57A19&quot;/&gt;&lt;wsp:rsid wsp:val=&quot;00F57AD3&quot;/&gt;&lt;wsp:rsid wsp:val=&quot;00F57DBF&quot;/&gt;&lt;wsp:rsid wsp:val=&quot;00F60254&quot;/&gt;&lt;wsp:rsid wsp:val=&quot;00F60780&quot;/&gt;&lt;wsp:rsid wsp:val=&quot;00F610E2&quot;/&gt;&lt;wsp:rsid wsp:val=&quot;00F611C7&quot;/&gt;&lt;wsp:rsid wsp:val=&quot;00F61226&quot;/&gt;&lt;wsp:rsid wsp:val=&quot;00F614D7&quot;/&gt;&lt;wsp:rsid wsp:val=&quot;00F61649&quot;/&gt;&lt;wsp:rsid wsp:val=&quot;00F6170F&quot;/&gt;&lt;wsp:rsid wsp:val=&quot;00F61B5A&quot;/&gt;&lt;wsp:rsid wsp:val=&quot;00F61EF1&quot;/&gt;&lt;wsp:rsid wsp:val=&quot;00F6263C&quot;/&gt;&lt;wsp:rsid wsp:val=&quot;00F62D8E&quot;/&gt;&lt;wsp:rsid wsp:val=&quot;00F6324B&quot;/&gt;&lt;wsp:rsid wsp:val=&quot;00F632CF&quot;/&gt;&lt;wsp:rsid wsp:val=&quot;00F633DF&quot;/&gt;&lt;wsp:rsid wsp:val=&quot;00F635EB&quot;/&gt;&lt;wsp:rsid wsp:val=&quot;00F636D8&quot;/&gt;&lt;wsp:rsid wsp:val=&quot;00F63B09&quot;/&gt;&lt;wsp:rsid wsp:val=&quot;00F63CD5&quot;/&gt;&lt;wsp:rsid wsp:val=&quot;00F63D5A&quot;/&gt;&lt;wsp:rsid wsp:val=&quot;00F63D6F&quot;/&gt;&lt;wsp:rsid wsp:val=&quot;00F63EE9&quot;/&gt;&lt;wsp:rsid wsp:val=&quot;00F64154&quot;/&gt;&lt;wsp:rsid wsp:val=&quot;00F64265&quot;/&gt;&lt;wsp:rsid wsp:val=&quot;00F64337&quot;/&gt;&lt;wsp:rsid wsp:val=&quot;00F64483&quot;/&gt;&lt;wsp:rsid wsp:val=&quot;00F6553F&quot;/&gt;&lt;wsp:rsid wsp:val=&quot;00F6560A&quot;/&gt;&lt;wsp:rsid wsp:val=&quot;00F65768&quot;/&gt;&lt;wsp:rsid wsp:val=&quot;00F65908&quot;/&gt;&lt;wsp:rsid wsp:val=&quot;00F65A7E&quot;/&gt;&lt;wsp:rsid wsp:val=&quot;00F66318&quot;/&gt;&lt;wsp:rsid wsp:val=&quot;00F66610&quot;/&gt;&lt;wsp:rsid wsp:val=&quot;00F66707&quot;/&gt;&lt;wsp:rsid wsp:val=&quot;00F66708&quot;/&gt;&lt;wsp:rsid wsp:val=&quot;00F66F00&quot;/&gt;&lt;wsp:rsid wsp:val=&quot;00F66FAB&quot;/&gt;&lt;wsp:rsid wsp:val=&quot;00F67415&quot;/&gt;&lt;wsp:rsid wsp:val=&quot;00F6753F&quot;/&gt;&lt;wsp:rsid wsp:val=&quot;00F67AC2&quot;/&gt;&lt;wsp:rsid wsp:val=&quot;00F67CB4&quot;/&gt;&lt;wsp:rsid wsp:val=&quot;00F67CEB&quot;/&gt;&lt;wsp:rsid wsp:val=&quot;00F67D22&quot;/&gt;&lt;wsp:rsid wsp:val=&quot;00F67FFB&quot;/&gt;&lt;wsp:rsid wsp:val=&quot;00F70430&quot;/&gt;&lt;wsp:rsid wsp:val=&quot;00F706B8&quot;/&gt;&lt;wsp:rsid wsp:val=&quot;00F7081B&quot;/&gt;&lt;wsp:rsid wsp:val=&quot;00F70F04&quot;/&gt;&lt;wsp:rsid wsp:val=&quot;00F710CE&quot;/&gt;&lt;wsp:rsid wsp:val=&quot;00F71249&quot;/&gt;&lt;wsp:rsid wsp:val=&quot;00F715F9&quot;/&gt;&lt;wsp:rsid wsp:val=&quot;00F71C31&quot;/&gt;&lt;wsp:rsid wsp:val=&quot;00F71D0F&quot;/&gt;&lt;wsp:rsid wsp:val=&quot;00F7207F&quot;/&gt;&lt;wsp:rsid wsp:val=&quot;00F72142&quot;/&gt;&lt;wsp:rsid wsp:val=&quot;00F72156&quot;/&gt;&lt;wsp:rsid wsp:val=&quot;00F72FB8&quot;/&gt;&lt;wsp:rsid wsp:val=&quot;00F73302&quot;/&gt;&lt;wsp:rsid wsp:val=&quot;00F7366E&quot;/&gt;&lt;wsp:rsid wsp:val=&quot;00F738C0&quot;/&gt;&lt;wsp:rsid wsp:val=&quot;00F74BDB&quot;/&gt;&lt;wsp:rsid wsp:val=&quot;00F74DA1&quot;/&gt;&lt;wsp:rsid wsp:val=&quot;00F74FBC&quot;/&gt;&lt;wsp:rsid wsp:val=&quot;00F75343&quot;/&gt;&lt;wsp:rsid wsp:val=&quot;00F75733&quot;/&gt;&lt;wsp:rsid wsp:val=&quot;00F75983&quot;/&gt;&lt;wsp:rsid wsp:val=&quot;00F75995&quot;/&gt;&lt;wsp:rsid wsp:val=&quot;00F75B2C&quot;/&gt;&lt;wsp:rsid wsp:val=&quot;00F75E73&quot;/&gt;&lt;wsp:rsid wsp:val=&quot;00F75F1C&quot;/&gt;&lt;wsp:rsid wsp:val=&quot;00F76507&quot;/&gt;&lt;wsp:rsid wsp:val=&quot;00F76DE0&quot;/&gt;&lt;wsp:rsid wsp:val=&quot;00F772CB&quot;/&gt;&lt;wsp:rsid wsp:val=&quot;00F77526&quot;/&gt;&lt;wsp:rsid wsp:val=&quot;00F77867&quot;/&gt;&lt;wsp:rsid wsp:val=&quot;00F77A01&quot;/&gt;&lt;wsp:rsid wsp:val=&quot;00F77D4D&quot;/&gt;&lt;wsp:rsid wsp:val=&quot;00F80059&quot;/&gt;&lt;wsp:rsid wsp:val=&quot;00F800B6&quot;/&gt;&lt;wsp:rsid wsp:val=&quot;00F8013D&quot;/&gt;&lt;wsp:rsid wsp:val=&quot;00F8064C&quot;/&gt;&lt;wsp:rsid wsp:val=&quot;00F8097E&quot;/&gt;&lt;wsp:rsid wsp:val=&quot;00F80FD7&quot;/&gt;&lt;wsp:rsid wsp:val=&quot;00F815EB&quot;/&gt;&lt;wsp:rsid wsp:val=&quot;00F81FFE&quot;/&gt;&lt;wsp:rsid wsp:val=&quot;00F8227B&quot;/&gt;&lt;wsp:rsid wsp:val=&quot;00F82E2E&quot;/&gt;&lt;wsp:rsid wsp:val=&quot;00F830B3&quot;/&gt;&lt;wsp:rsid wsp:val=&quot;00F831CE&quot;/&gt;&lt;wsp:rsid wsp:val=&quot;00F83617&quot;/&gt;&lt;wsp:rsid wsp:val=&quot;00F83C98&quot;/&gt;&lt;wsp:rsid wsp:val=&quot;00F84063&quot;/&gt;&lt;wsp:rsid wsp:val=&quot;00F84147&quot;/&gt;&lt;wsp:rsid wsp:val=&quot;00F843A5&quot;/&gt;&lt;wsp:rsid wsp:val=&quot;00F84777&quot;/&gt;&lt;wsp:rsid wsp:val=&quot;00F84B77&quot;/&gt;&lt;wsp:rsid wsp:val=&quot;00F8559F&quot;/&gt;&lt;wsp:rsid wsp:val=&quot;00F85738&quot;/&gt;&lt;wsp:rsid wsp:val=&quot;00F859C5&quot;/&gt;&lt;wsp:rsid wsp:val=&quot;00F85D84&quot;/&gt;&lt;wsp:rsid wsp:val=&quot;00F85E7A&quot;/&gt;&lt;wsp:rsid wsp:val=&quot;00F8609A&quot;/&gt;&lt;wsp:rsid wsp:val=&quot;00F86338&quot;/&gt;&lt;wsp:rsid wsp:val=&quot;00F8693C&quot;/&gt;&lt;wsp:rsid wsp:val=&quot;00F86FFC&quot;/&gt;&lt;wsp:rsid wsp:val=&quot;00F871F6&quot;/&gt;&lt;wsp:rsid wsp:val=&quot;00F87838&quot;/&gt;&lt;wsp:rsid wsp:val=&quot;00F87867&quot;/&gt;&lt;wsp:rsid wsp:val=&quot;00F8786C&quot;/&gt;&lt;wsp:rsid wsp:val=&quot;00F900C4&quot;/&gt;&lt;wsp:rsid wsp:val=&quot;00F90109&quot;/&gt;&lt;wsp:rsid wsp:val=&quot;00F90192&quot;/&gt;&lt;wsp:rsid wsp:val=&quot;00F90A4C&quot;/&gt;&lt;wsp:rsid wsp:val=&quot;00F90A62&quot;/&gt;&lt;wsp:rsid wsp:val=&quot;00F90DE3&quot;/&gt;&lt;wsp:rsid wsp:val=&quot;00F91036&quot;/&gt;&lt;wsp:rsid wsp:val=&quot;00F915B0&quot;/&gt;&lt;wsp:rsid wsp:val=&quot;00F91F1B&quot;/&gt;&lt;wsp:rsid wsp:val=&quot;00F92253&quot;/&gt;&lt;wsp:rsid wsp:val=&quot;00F92447&quot;/&gt;&lt;wsp:rsid wsp:val=&quot;00F92CC4&quot;/&gt;&lt;wsp:rsid wsp:val=&quot;00F92DAA&quot;/&gt;&lt;wsp:rsid wsp:val=&quot;00F92EE6&quot;/&gt;&lt;wsp:rsid wsp:val=&quot;00F92FDD&quot;/&gt;&lt;wsp:rsid wsp:val=&quot;00F930C4&quot;/&gt;&lt;wsp:rsid wsp:val=&quot;00F932FB&quot;/&gt;&lt;wsp:rsid wsp:val=&quot;00F934B8&quot;/&gt;&lt;wsp:rsid wsp:val=&quot;00F9371D&quot;/&gt;&lt;wsp:rsid wsp:val=&quot;00F938A4&quot;/&gt;&lt;wsp:rsid wsp:val=&quot;00F93A2B&quot;/&gt;&lt;wsp:rsid wsp:val=&quot;00F93A8D&quot;/&gt;&lt;wsp:rsid wsp:val=&quot;00F93B83&quot;/&gt;&lt;wsp:rsid wsp:val=&quot;00F93D94&quot;/&gt;&lt;wsp:rsid wsp:val=&quot;00F93E13&quot;/&gt;&lt;wsp:rsid wsp:val=&quot;00F94910&quot;/&gt;&lt;wsp:rsid wsp:val=&quot;00F94927&quot;/&gt;&lt;wsp:rsid wsp:val=&quot;00F94B0C&quot;/&gt;&lt;wsp:rsid wsp:val=&quot;00F94C0B&quot;/&gt;&lt;wsp:rsid wsp:val=&quot;00F95AEB&quot;/&gt;&lt;wsp:rsid wsp:val=&quot;00F95EAF&quot;/&gt;&lt;wsp:rsid wsp:val=&quot;00F95EE3&quot;/&gt;&lt;wsp:rsid wsp:val=&quot;00F96327&quot;/&gt;&lt;wsp:rsid wsp:val=&quot;00F96387&quot;/&gt;&lt;wsp:rsid wsp:val=&quot;00F96ABC&quot;/&gt;&lt;wsp:rsid wsp:val=&quot;00F96C7A&quot;/&gt;&lt;wsp:rsid wsp:val=&quot;00F97541&quot;/&gt;&lt;wsp:rsid wsp:val=&quot;00F9773A&quot;/&gt;&lt;wsp:rsid wsp:val=&quot;00F97F36&quot;/&gt;&lt;wsp:rsid wsp:val=&quot;00FA00A0&quot;/&gt;&lt;wsp:rsid wsp:val=&quot;00FA01C0&quot;/&gt;&lt;wsp:rsid wsp:val=&quot;00FA033C&quot;/&gt;&lt;wsp:rsid wsp:val=&quot;00FA04BE&quot;/&gt;&lt;wsp:rsid wsp:val=&quot;00FA05F4&quot;/&gt;&lt;wsp:rsid wsp:val=&quot;00FA0C1B&quot;/&gt;&lt;wsp:rsid wsp:val=&quot;00FA1B8C&quot;/&gt;&lt;wsp:rsid wsp:val=&quot;00FA1BC3&quot;/&gt;&lt;wsp:rsid wsp:val=&quot;00FA1DE7&quot;/&gt;&lt;wsp:rsid wsp:val=&quot;00FA2244&quot;/&gt;&lt;wsp:rsid wsp:val=&quot;00FA2540&quot;/&gt;&lt;wsp:rsid wsp:val=&quot;00FA26BE&quot;/&gt;&lt;wsp:rsid wsp:val=&quot;00FA2818&quot;/&gt;&lt;wsp:rsid wsp:val=&quot;00FA2A08&quot;/&gt;&lt;wsp:rsid wsp:val=&quot;00FA2A8E&quot;/&gt;&lt;wsp:rsid wsp:val=&quot;00FA30F6&quot;/&gt;&lt;wsp:rsid wsp:val=&quot;00FA32BD&quot;/&gt;&lt;wsp:rsid wsp:val=&quot;00FA34AC&quot;/&gt;&lt;wsp:rsid wsp:val=&quot;00FA3BCD&quot;/&gt;&lt;wsp:rsid wsp:val=&quot;00FA3F2B&quot;/&gt;&lt;wsp:rsid wsp:val=&quot;00FA41C1&quot;/&gt;&lt;wsp:rsid wsp:val=&quot;00FA4765&quot;/&gt;&lt;wsp:rsid wsp:val=&quot;00FA49C8&quot;/&gt;&lt;wsp:rsid wsp:val=&quot;00FA4FBA&quot;/&gt;&lt;wsp:rsid wsp:val=&quot;00FA504F&quot;/&gt;&lt;wsp:rsid wsp:val=&quot;00FA5CE8&quot;/&gt;&lt;wsp:rsid wsp:val=&quot;00FA60DF&quot;/&gt;&lt;wsp:rsid wsp:val=&quot;00FA67C6&quot;/&gt;&lt;wsp:rsid wsp:val=&quot;00FA6C93&quot;/&gt;&lt;wsp:rsid wsp:val=&quot;00FA764F&quot;/&gt;&lt;wsp:rsid wsp:val=&quot;00FA7B49&quot;/&gt;&lt;wsp:rsid wsp:val=&quot;00FA7FD0&quot;/&gt;&lt;wsp:rsid wsp:val=&quot;00FB00AE&quot;/&gt;&lt;wsp:rsid wsp:val=&quot;00FB045A&quot;/&gt;&lt;wsp:rsid wsp:val=&quot;00FB05A8&quot;/&gt;&lt;wsp:rsid wsp:val=&quot;00FB06EE&quot;/&gt;&lt;wsp:rsid wsp:val=&quot;00FB0D00&quot;/&gt;&lt;wsp:rsid wsp:val=&quot;00FB0F95&quot;/&gt;&lt;wsp:rsid wsp:val=&quot;00FB12DD&quot;/&gt;&lt;wsp:rsid wsp:val=&quot;00FB1C96&quot;/&gt;&lt;wsp:rsid wsp:val=&quot;00FB2222&quot;/&gt;&lt;wsp:rsid wsp:val=&quot;00FB230F&quot;/&gt;&lt;wsp:rsid wsp:val=&quot;00FB26CE&quot;/&gt;&lt;wsp:rsid wsp:val=&quot;00FB2C27&quot;/&gt;&lt;wsp:rsid wsp:val=&quot;00FB3464&quot;/&gt;&lt;wsp:rsid wsp:val=&quot;00FB36A0&quot;/&gt;&lt;wsp:rsid wsp:val=&quot;00FB378F&quot;/&gt;&lt;wsp:rsid wsp:val=&quot;00FB3CA8&quot;/&gt;&lt;wsp:rsid wsp:val=&quot;00FB3D65&quot;/&gt;&lt;wsp:rsid wsp:val=&quot;00FB4896&quot;/&gt;&lt;wsp:rsid wsp:val=&quot;00FB49C9&quot;/&gt;&lt;wsp:rsid wsp:val=&quot;00FB5479&quot;/&gt;&lt;wsp:rsid wsp:val=&quot;00FB5BE0&quot;/&gt;&lt;wsp:rsid wsp:val=&quot;00FB66DF&quot;/&gt;&lt;wsp:rsid wsp:val=&quot;00FB67FB&quot;/&gt;&lt;wsp:rsid wsp:val=&quot;00FB68B4&quot;/&gt;&lt;wsp:rsid wsp:val=&quot;00FB6D37&quot;/&gt;&lt;wsp:rsid wsp:val=&quot;00FB6FE3&quot;/&gt;&lt;wsp:rsid wsp:val=&quot;00FB7158&quot;/&gt;&lt;wsp:rsid wsp:val=&quot;00FB726C&quot;/&gt;&lt;wsp:rsid wsp:val=&quot;00FB75F6&quot;/&gt;&lt;wsp:rsid wsp:val=&quot;00FC0929&quot;/&gt;&lt;wsp:rsid wsp:val=&quot;00FC0B69&quot;/&gt;&lt;wsp:rsid wsp:val=&quot;00FC0DD7&quot;/&gt;&lt;wsp:rsid wsp:val=&quot;00FC15A1&quot;/&gt;&lt;wsp:rsid wsp:val=&quot;00FC15B6&quot;/&gt;&lt;wsp:rsid wsp:val=&quot;00FC1E7C&quot;/&gt;&lt;wsp:rsid wsp:val=&quot;00FC211A&quot;/&gt;&lt;wsp:rsid wsp:val=&quot;00FC24EE&quot;/&gt;&lt;wsp:rsid wsp:val=&quot;00FC2522&quot;/&gt;&lt;wsp:rsid wsp:val=&quot;00FC2C55&quot;/&gt;&lt;wsp:rsid wsp:val=&quot;00FC312E&quot;/&gt;&lt;wsp:rsid wsp:val=&quot;00FC346A&quot;/&gt;&lt;wsp:rsid wsp:val=&quot;00FC3BE2&quot;/&gt;&lt;wsp:rsid wsp:val=&quot;00FC3F56&quot;/&gt;&lt;wsp:rsid wsp:val=&quot;00FC42D9&quot;/&gt;&lt;wsp:rsid wsp:val=&quot;00FC49F9&quot;/&gt;&lt;wsp:rsid wsp:val=&quot;00FC4F0F&quot;/&gt;&lt;wsp:rsid wsp:val=&quot;00FC4F67&quot;/&gt;&lt;wsp:rsid wsp:val=&quot;00FC509E&quot;/&gt;&lt;wsp:rsid wsp:val=&quot;00FC525E&quot;/&gt;&lt;wsp:rsid wsp:val=&quot;00FC55B4&quot;/&gt;&lt;wsp:rsid wsp:val=&quot;00FC5ADA&quot;/&gt;&lt;wsp:rsid wsp:val=&quot;00FC60AF&quot;/&gt;&lt;wsp:rsid wsp:val=&quot;00FC6224&quot;/&gt;&lt;wsp:rsid wsp:val=&quot;00FC6496&quot;/&gt;&lt;wsp:rsid wsp:val=&quot;00FC6906&quot;/&gt;&lt;wsp:rsid wsp:val=&quot;00FC69CA&quot;/&gt;&lt;wsp:rsid wsp:val=&quot;00FC6B75&quot;/&gt;&lt;wsp:rsid wsp:val=&quot;00FC7632&quot;/&gt;&lt;wsp:rsid wsp:val=&quot;00FC7807&quot;/&gt;&lt;wsp:rsid wsp:val=&quot;00FC7B72&quot;/&gt;&lt;wsp:rsid wsp:val=&quot;00FC7D2A&quot;/&gt;&lt;wsp:rsid wsp:val=&quot;00FC7F6A&quot;/&gt;&lt;wsp:rsid wsp:val=&quot;00FD01AC&quot;/&gt;&lt;wsp:rsid wsp:val=&quot;00FD01BA&quot;/&gt;&lt;wsp:rsid wsp:val=&quot;00FD06A4&quot;/&gt;&lt;wsp:rsid wsp:val=&quot;00FD0897&quot;/&gt;&lt;wsp:rsid wsp:val=&quot;00FD0912&quot;/&gt;&lt;wsp:rsid wsp:val=&quot;00FD10F6&quot;/&gt;&lt;wsp:rsid wsp:val=&quot;00FD12B2&quot;/&gt;&lt;wsp:rsid wsp:val=&quot;00FD12B3&quot;/&gt;&lt;wsp:rsid wsp:val=&quot;00FD1AE0&quot;/&gt;&lt;wsp:rsid wsp:val=&quot;00FD2D3C&quot;/&gt;&lt;wsp:rsid wsp:val=&quot;00FD375E&quot;/&gt;&lt;wsp:rsid wsp:val=&quot;00FD399B&quot;/&gt;&lt;wsp:rsid wsp:val=&quot;00FD3F7E&quot;/&gt;&lt;wsp:rsid wsp:val=&quot;00FD41C0&quot;/&gt;&lt;wsp:rsid wsp:val=&quot;00FD4CF6&quot;/&gt;&lt;wsp:rsid wsp:val=&quot;00FD5455&quot;/&gt;&lt;wsp:rsid wsp:val=&quot;00FD5531&quot;/&gt;&lt;wsp:rsid wsp:val=&quot;00FD584E&quot;/&gt;&lt;wsp:rsid wsp:val=&quot;00FD5AE7&quot;/&gt;&lt;wsp:rsid wsp:val=&quot;00FD5F9D&quot;/&gt;&lt;wsp:rsid wsp:val=&quot;00FD618D&quot;/&gt;&lt;wsp:rsid wsp:val=&quot;00FD66C9&quot;/&gt;&lt;wsp:rsid wsp:val=&quot;00FD6D27&quot;/&gt;&lt;wsp:rsid wsp:val=&quot;00FD6F86&quot;/&gt;&lt;wsp:rsid wsp:val=&quot;00FD75D7&quot;/&gt;&lt;wsp:rsid wsp:val=&quot;00FD762F&quot;/&gt;&lt;wsp:rsid wsp:val=&quot;00FD76A1&quot;/&gt;&lt;wsp:rsid wsp:val=&quot;00FD7D93&quot;/&gt;&lt;wsp:rsid wsp:val=&quot;00FD7DE1&quot;/&gt;&lt;wsp:rsid wsp:val=&quot;00FE029E&quot;/&gt;&lt;wsp:rsid wsp:val=&quot;00FE036B&quot;/&gt;&lt;wsp:rsid wsp:val=&quot;00FE0473&quot;/&gt;&lt;wsp:rsid wsp:val=&quot;00FE051B&quot;/&gt;&lt;wsp:rsid wsp:val=&quot;00FE05F2&quot;/&gt;&lt;wsp:rsid wsp:val=&quot;00FE0609&quot;/&gt;&lt;wsp:rsid wsp:val=&quot;00FE08A0&quot;/&gt;&lt;wsp:rsid wsp:val=&quot;00FE0BA6&quot;/&gt;&lt;wsp:rsid wsp:val=&quot;00FE0C80&quot;/&gt;&lt;wsp:rsid wsp:val=&quot;00FE0EEB&quot;/&gt;&lt;wsp:rsid wsp:val=&quot;00FE1247&quot;/&gt;&lt;wsp:rsid wsp:val=&quot;00FE13FE&quot;/&gt;&lt;wsp:rsid wsp:val=&quot;00FE1543&quot;/&gt;&lt;wsp:rsid wsp:val=&quot;00FE174B&quot;/&gt;&lt;wsp:rsid wsp:val=&quot;00FE1BF0&quot;/&gt;&lt;wsp:rsid wsp:val=&quot;00FE1C12&quot;/&gt;&lt;wsp:rsid wsp:val=&quot;00FE23D2&quot;/&gt;&lt;wsp:rsid wsp:val=&quot;00FE2C75&quot;/&gt;&lt;wsp:rsid wsp:val=&quot;00FE2EA9&quot;/&gt;&lt;wsp:rsid wsp:val=&quot;00FE2F88&quot;/&gt;&lt;wsp:rsid wsp:val=&quot;00FE3205&quot;/&gt;&lt;wsp:rsid wsp:val=&quot;00FE3508&quot;/&gt;&lt;wsp:rsid wsp:val=&quot;00FE4194&quot;/&gt;&lt;wsp:rsid wsp:val=&quot;00FE4C69&quot;/&gt;&lt;wsp:rsid wsp:val=&quot;00FE50F5&quot;/&gt;&lt;wsp:rsid wsp:val=&quot;00FE5A67&quot;/&gt;&lt;wsp:rsid wsp:val=&quot;00FE5B4E&quot;/&gt;&lt;wsp:rsid wsp:val=&quot;00FE5BB6&quot;/&gt;&lt;wsp:rsid wsp:val=&quot;00FE5FE2&quot;/&gt;&lt;wsp:rsid wsp:val=&quot;00FE68AF&quot;/&gt;&lt;wsp:rsid wsp:val=&quot;00FE69FF&quot;/&gt;&lt;wsp:rsid wsp:val=&quot;00FE6B81&quot;/&gt;&lt;wsp:rsid wsp:val=&quot;00FE6F08&quot;/&gt;&lt;wsp:rsid wsp:val=&quot;00FE73DA&quot;/&gt;&lt;wsp:rsid wsp:val=&quot;00FE7461&quot;/&gt;&lt;wsp:rsid wsp:val=&quot;00FE7AE3&quot;/&gt;&lt;wsp:rsid wsp:val=&quot;00FE7B60&quot;/&gt;&lt;wsp:rsid wsp:val=&quot;00FE7DA7&quot;/&gt;&lt;wsp:rsid wsp:val=&quot;00FF008D&quot;/&gt;&lt;wsp:rsid wsp:val=&quot;00FF035A&quot;/&gt;&lt;wsp:rsid wsp:val=&quot;00FF0673&quot;/&gt;&lt;wsp:rsid wsp:val=&quot;00FF0D10&quot;/&gt;&lt;wsp:rsid wsp:val=&quot;00FF0F50&quot;/&gt;&lt;wsp:rsid wsp:val=&quot;00FF1047&quot;/&gt;&lt;wsp:rsid wsp:val=&quot;00FF14A9&quot;/&gt;&lt;wsp:rsid wsp:val=&quot;00FF1544&quot;/&gt;&lt;wsp:rsid wsp:val=&quot;00FF17EF&quot;/&gt;&lt;wsp:rsid wsp:val=&quot;00FF1913&quot;/&gt;&lt;wsp:rsid wsp:val=&quot;00FF1B3F&quot;/&gt;&lt;wsp:rsid wsp:val=&quot;00FF2053&quot;/&gt;&lt;wsp:rsid wsp:val=&quot;00FF21AF&quot;/&gt;&lt;wsp:rsid wsp:val=&quot;00FF23D4&quot;/&gt;&lt;wsp:rsid wsp:val=&quot;00FF2490&quot;/&gt;&lt;wsp:rsid wsp:val=&quot;00FF24C2&quot;/&gt;&lt;wsp:rsid wsp:val=&quot;00FF2651&quot;/&gt;&lt;wsp:rsid wsp:val=&quot;00FF2697&quot;/&gt;&lt;wsp:rsid wsp:val=&quot;00FF26E2&quot;/&gt;&lt;wsp:rsid wsp:val=&quot;00FF2FA3&quot;/&gt;&lt;wsp:rsid wsp:val=&quot;00FF3527&quot;/&gt;&lt;wsp:rsid wsp:val=&quot;00FF3F2D&quot;/&gt;&lt;wsp:rsid wsp:val=&quot;00FF3FDC&quot;/&gt;&lt;wsp:rsid wsp:val=&quot;00FF418C&quot;/&gt;&lt;wsp:rsid wsp:val=&quot;00FF458A&quot;/&gt;&lt;wsp:rsid wsp:val=&quot;00FF4B3E&quot;/&gt;&lt;wsp:rsid wsp:val=&quot;00FF4BC9&quot;/&gt;&lt;wsp:rsid wsp:val=&quot;00FF4BCD&quot;/&gt;&lt;wsp:rsid wsp:val=&quot;00FF4CE9&quot;/&gt;&lt;wsp:rsid wsp:val=&quot;00FF4F95&quot;/&gt;&lt;wsp:rsid wsp:val=&quot;00FF5096&quot;/&gt;&lt;wsp:rsid wsp:val=&quot;00FF529E&quot;/&gt;&lt;wsp:rsid wsp:val=&quot;00FF549F&quot;/&gt;&lt;wsp:rsid wsp:val=&quot;00FF54B7&quot;/&gt;&lt;wsp:rsid wsp:val=&quot;00FF5666&quot;/&gt;&lt;wsp:rsid wsp:val=&quot;00FF56A5&quot;/&gt;&lt;wsp:rsid wsp:val=&quot;00FF5BF6&quot;/&gt;&lt;wsp:rsid wsp:val=&quot;00FF5C6D&quot;/&gt;&lt;wsp:rsid wsp:val=&quot;00FF5C6E&quot;/&gt;&lt;wsp:rsid wsp:val=&quot;00FF633F&quot;/&gt;&lt;wsp:rsid wsp:val=&quot;00FF66CC&quot;/&gt;&lt;wsp:rsid wsp:val=&quot;00FF67D3&quot;/&gt;&lt;wsp:rsid wsp:val=&quot;00FF6B0E&quot;/&gt;&lt;wsp:rsid wsp:val=&quot;00FF6B43&quot;/&gt;&lt;wsp:rsid wsp:val=&quot;00FF6F3F&quot;/&gt;&lt;wsp:rsid wsp:val=&quot;00FF7328&quot;/&gt;&lt;wsp:rsid wsp:val=&quot;00FF7600&quot;/&gt;&lt;wsp:rsid wsp:val=&quot;00FF77A7&quot;/&gt;&lt;wsp:rsid wsp:val=&quot;00FF7B0F&quot;/&gt;&lt;wsp:rsid wsp:val=&quot;00FF7D42&quot;/&gt;&lt;wsp:rsid wsp:val=&quot;00FF7F25&quot;/&gt;&lt;/wsp:rsids&gt;&lt;/w:docPr&gt;&lt;w:body&gt;&lt;w:p wsp:rsidR=&quot;00000000&quot; wsp:rsidRDefault=&quot;00654689&quot;&gt;&lt;m:oMathPara&gt;&lt;m:oMath&gt;&lt;m:sSub&gt;&lt;m:sSubPr&gt;&lt;m:ctrlPr&gt;&lt;w:rPr&gt;&lt;w:rFonts w:ascii=&quot;Cambria Math&quot; w:fareast=&quot;Times New Roman&quot; w:h-ansi=&quot;Cambria Math&quot;/&gt;&lt;wx:font wx:val=&quot;Cambria Math&quot;/&gt;&lt;w:i/&gt;&lt;w:sz w:val=&quot;28&quot;/&gt;&lt;/w:rPr&gt;&lt;/m:ctrlPr&gt;&lt;/m:sSubPr&gt;&lt;m:e&gt;&lt;m:r&gt;&lt;w:rPr&gt;&lt;w:rFonts w:ascii=&quot;Cambria Math&quot; w:fareast=&quot;Times New Roman&quot; w:h-ansi=&quot;Cambria Math&quot;/&gt;&lt;wx:font wx:val=&quot;Cambria Math&quot;/&gt;&lt;w:i/&gt;&lt;w:sz w:val=&quot;28&quot;/&gt;&lt;/w:rPr&gt;&lt;m:t&gt;K&lt;/m:t&gt;&lt;/m:r&gt;&lt;/m:e&gt;&lt;m:sub&gt;&lt;m:r&gt;&lt;w:rPr&gt;&lt;w:rFonts w:ascii=&quot;Cambria Math&quot; w:fareast=&quot;Times New Roman&quot; w:h-ansi=&quot;Cambria Math&quot;/&gt;&lt;wx:font wx:val=&quot;Cambria Math&quot;/&gt;&lt;w:i/&gt;&lt;w:sz w:val=&quot;28&quot;/&gt;&lt;/w:rPr&gt;&lt;m:t&gt;2&lt;/m:t&gt;&lt;/m:r&gt;&lt;/m:sub&gt;&lt;/m:sSub&gt;&lt;m:r&gt;&lt;w:rPr&gt;&lt;w:rFonts w:ascii=&quot;Cambria Math&quot; w:fareast=&quot;Times New Roman&quot; w:h-ansi=&quot;Cambria Math&quot;/&gt;&lt;wx:font wx:val=&quot;Cambria Math&quot;/&gt;&lt;w:i/&gt;&lt;w:sz w:val=&quot;28&quot;/&gt;&lt;/w:rPr&gt;&lt;m:t&gt;=8,1Г—&lt;/m:t&gt;&lt;/m:r&gt;&lt;m:sSup&gt;&lt;m:sSupPr&gt;&lt;m:ctrlPr&gt;&lt;w:rPr&gt;&lt;w:rFonts w:ascii=&quot;Cambria Math&quot; w:fareast=&quot;Times New Roman&quot; w:h-ansi=&quot;Cambria Math&quot;/&gt;&lt;wx:font wx:val=&quot;Cambria Math&quot;/&gt;&lt;w:i/&gt;&lt;w:sz w:val=&quot;28&quot;/&gt;&lt;/w:rPr&gt;&lt;/m:ctrlPr&gt;&lt;/m:sSupPr&gt;&lt;m:e&gt;&lt;m:r&gt;&lt;w:rPr&gt;&lt;w:rFonts w:ascii=&quot;Cambria Math&quot; w:fareast=&quot;Times New Roman&quot; w:h-ansi=&quot;Cambria Math&quot;/&gt;&lt;wx:font wx:val=&quot;Cambria Math&quot;/&gt;&lt;w:i/&gt;&lt;w:sz w:val=&quot;28&quot;/&gt;&lt;/w:rPr&gt;&lt;m:t&gt;10&lt;/m:t&gt;&lt;/m:r&gt;&lt;/m:e&gt;&lt;m:sup&gt;&lt;m:r&gt;&lt;w:rPr&gt;&lt;w:rFonts w:ascii=&quot;Cambria Math&quot; w:fareast=&quot;Times New Roman&quot; w:h-ansi=&quot;Cambria Math&quot;/&gt;&lt;wx:font wx:val=&quot;Cambria Math&quot;/&gt;&lt;w:i/&gt;&lt;w:sz w:val=&quot;28&quot;/&gt;&lt;/w:rPr&gt;&lt;m:t&gt;-6&lt;/m:t&gt;&lt;/m:r&gt;&lt;/m:sup&gt;&lt;/m:sSup&gt;&lt;m:r&gt;&lt;w:rPr&gt;&lt;w:rFonts w:ascii=&quot;Cambria Math&quot; w:fareast=&quot;Times New Roman&quot; w:h-ansi=&quot;Cambria Math&quot;/&gt;&lt;wx:font wx:val=&quot;Cambria Math&quot;/&gt;&lt;w:i/&gt;&lt;w:sz w:val=&quot;28&quot;/&gt;&lt;/w:rPr&gt;&lt;m:t&gt;Г—&lt;/m:t&gt;&lt;/m:r&gt;&lt;m:r&gt;&lt;w:rPr&gt;&lt;w:rFonts w:ascii=&quot;Cambria Math&quot; w:fareast=&quot;Times New Roman&quot; w:h-ansi=&quot;Cambria Math&quot;/&gt;&lt;wx:font wx:val=&quot;Cambria Math&quot;/&gt;&lt;w:i/&gt;&lt;w:sz w:val=&quot;28&quot;/&gt;&lt;w:lang w:val=&quot;EN-US&quot;/&gt;&lt;/w:rPr&gt;&lt;m:t&gt;PГ—&lt;/m:t&gt;&lt;/m:r&gt;&lt;m:bar&gt;&lt;m:barPr&gt;&lt;m:pos m:val=&quot;top&quot;/&gt;&lt;m:ctrlPr&gt;&lt;w:rPr&gt;&lt;w:rFonts w:ascii=&quot;Cambria Math&quot; w:fareast=&quot;Times New Roman&quot; w:h-ansi=&quot;Cambria Math&quot;/&gt;&lt;wx:font wx:val=&quot;Cambria Math&quot;/&gt;&lt;w:i/&gt;&lt;w:sz w:val=&quot;28&quot;/&gt;&lt;w:lang w:val=&quot;EN-US&quot;/&gt;&lt;/w:rPr&gt;&lt;/m:ctrlPr&gt;&lt;/m:barPr&gt;&lt;m:e&gt;&lt;m:r&gt;&lt;w:rPr&gt;&lt;w:rFonts w:ascii=&quot;Cambria Math&quot; w:fareast=&quot;Times New Roman&quot; w:h-ansi=&quot;Cambria Math&quot;/&gt;&lt;wx:font wx:val=&quot;Cambria Math&quot;/&gt;&lt;w:i/&gt;&lt;w:sz w:val=&quot;28&quot;/&gt;&lt;w:lang w:val=&quot;EN-US&quot;/&gt;&lt;/w:rPr&gt;&lt;m:t&gt;M&lt;/m:t&gt;&lt;/m:r&gt;&lt;/m:e&gt;&lt;/m:ba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6" o:title="" chromakey="white"/>
          </v:shape>
        </w:pict>
      </w:r>
    </w:p>
    <w:p w:rsidR="002D1E45" w:rsidRPr="004D071E" w:rsidRDefault="002D1E45" w:rsidP="004D071E">
      <w:pPr>
        <w:keepNext/>
        <w:widowControl w:val="0"/>
        <w:spacing w:before="161" w:after="0" w:line="240" w:lineRule="auto"/>
        <w:ind w:left="709" w:right="-19"/>
        <w:contextualSpacing/>
        <w:rPr>
          <w:rFonts w:ascii="Times New Roman" w:hAnsi="Times New Roman"/>
          <w:sz w:val="28"/>
          <w:szCs w:val="28"/>
        </w:rPr>
      </w:pPr>
      <w:r w:rsidRPr="004D071E">
        <w:rPr>
          <w:rFonts w:ascii="Times New Roman" w:hAnsi="Times New Roman"/>
          <w:sz w:val="28"/>
          <w:szCs w:val="28"/>
        </w:rPr>
        <w:t xml:space="preserve">где: </w:t>
      </w:r>
    </w:p>
    <w:p w:rsidR="002D1E45" w:rsidRPr="004D071E" w:rsidRDefault="002D1E45" w:rsidP="004D071E">
      <w:pPr>
        <w:keepNext/>
        <w:widowControl w:val="0"/>
        <w:spacing w:after="0" w:line="240" w:lineRule="auto"/>
        <w:ind w:left="709" w:right="-19"/>
        <w:contextualSpacing/>
        <w:rPr>
          <w:rFonts w:ascii="Times New Roman" w:hAnsi="Times New Roman"/>
          <w:sz w:val="28"/>
          <w:szCs w:val="28"/>
        </w:rPr>
      </w:pPr>
      <w:r w:rsidRPr="004D071E">
        <w:rPr>
          <w:rFonts w:ascii="Times New Roman" w:hAnsi="Times New Roman"/>
          <w:sz w:val="28"/>
          <w:szCs w:val="28"/>
        </w:rPr>
        <w:t>Р – давление насыщенного пара вещества при заданной температуре воздуха, мм рт. ст.;</w:t>
      </w:r>
    </w:p>
    <w:p w:rsidR="002D1E45" w:rsidRPr="004D071E" w:rsidRDefault="002D1E45" w:rsidP="004D071E">
      <w:pPr>
        <w:keepNext/>
        <w:widowControl w:val="0"/>
        <w:spacing w:after="0" w:line="240" w:lineRule="auto"/>
        <w:ind w:left="686"/>
        <w:rPr>
          <w:rFonts w:ascii="Times New Roman" w:hAnsi="Times New Roman"/>
          <w:sz w:val="28"/>
          <w:szCs w:val="28"/>
        </w:rPr>
      </w:pPr>
      <w:r w:rsidRPr="004D071E">
        <w:rPr>
          <w:rFonts w:ascii="Times New Roman" w:hAnsi="Times New Roman"/>
          <w:sz w:val="28"/>
          <w:szCs w:val="28"/>
        </w:rPr>
        <w:t>M – молекулярный вес вещества.</w:t>
      </w:r>
    </w:p>
    <w:p w:rsidR="002D1E45" w:rsidRPr="004D071E" w:rsidRDefault="002D1E45" w:rsidP="004D071E">
      <w:pPr>
        <w:spacing w:after="0" w:line="240" w:lineRule="auto"/>
        <w:ind w:firstLine="709"/>
        <w:jc w:val="both"/>
        <w:rPr>
          <w:rFonts w:ascii="Times New Roman" w:hAnsi="Times New Roman"/>
          <w:sz w:val="28"/>
          <w:szCs w:val="24"/>
          <w:lang w:eastAsia="ru-RU"/>
        </w:rPr>
      </w:pPr>
      <w:r w:rsidRPr="004D071E">
        <w:rPr>
          <w:rFonts w:ascii="Times New Roman" w:hAnsi="Times New Roman"/>
          <w:sz w:val="28"/>
          <w:szCs w:val="24"/>
          <w:lang w:eastAsia="ru-RU"/>
        </w:rPr>
        <w:t xml:space="preserve">Расчёт глубин зон заражения первичным (вторичным) облаком АХОВ при авариях на технологических ёмкостях, хранилищах и транспорте ведётся с помощью табл. В.2 </w:t>
      </w:r>
      <w:r w:rsidRPr="004D071E">
        <w:rPr>
          <w:rFonts w:ascii="Times New Roman" w:hAnsi="Times New Roman"/>
          <w:sz w:val="28"/>
          <w:szCs w:val="28"/>
        </w:rPr>
        <w:t xml:space="preserve">приложения В СП 165.1325800.2014 </w:t>
      </w:r>
      <w:r w:rsidRPr="004D071E">
        <w:rPr>
          <w:rFonts w:ascii="Times New Roman" w:hAnsi="Times New Roman"/>
          <w:sz w:val="28"/>
          <w:szCs w:val="24"/>
          <w:lang w:eastAsia="ru-RU"/>
        </w:rPr>
        <w:t xml:space="preserve">и табл. </w:t>
      </w:r>
      <w:r w:rsidRPr="004D071E">
        <w:rPr>
          <w:rFonts w:ascii="Times New Roman" w:hAnsi="Times New Roman"/>
          <w:sz w:val="28"/>
          <w:szCs w:val="24"/>
          <w:lang w:eastAsia="ru-RU"/>
        </w:rPr>
        <w:fldChar w:fldCharType="begin"/>
      </w:r>
      <w:r w:rsidRPr="004D071E">
        <w:rPr>
          <w:rFonts w:ascii="Times New Roman" w:hAnsi="Times New Roman"/>
          <w:sz w:val="28"/>
          <w:szCs w:val="24"/>
          <w:lang w:eastAsia="ru-RU"/>
        </w:rPr>
        <w:instrText xml:space="preserve"> REF TBl_Veter \h </w:instrText>
      </w:r>
      <w:r w:rsidRPr="004D071E">
        <w:rPr>
          <w:rFonts w:ascii="Times New Roman" w:hAnsi="Times New Roman"/>
          <w:sz w:val="28"/>
          <w:szCs w:val="24"/>
          <w:lang w:eastAsia="ru-RU"/>
        </w:rPr>
      </w:r>
      <w:r w:rsidRPr="004D071E">
        <w:rPr>
          <w:rFonts w:ascii="Times New Roman" w:hAnsi="Times New Roman"/>
          <w:sz w:val="28"/>
          <w:szCs w:val="24"/>
          <w:lang w:eastAsia="ru-RU"/>
        </w:rPr>
        <w:fldChar w:fldCharType="separate"/>
      </w:r>
      <w:r>
        <w:rPr>
          <w:rFonts w:ascii="Times New Roman" w:hAnsi="Times New Roman"/>
          <w:noProof/>
          <w:sz w:val="28"/>
          <w:szCs w:val="28"/>
          <w:lang w:eastAsia="ru-RU"/>
        </w:rPr>
        <w:t>35</w:t>
      </w:r>
      <w:r w:rsidRPr="004D071E">
        <w:rPr>
          <w:rFonts w:ascii="Times New Roman" w:hAnsi="Times New Roman"/>
          <w:sz w:val="28"/>
          <w:szCs w:val="24"/>
          <w:lang w:eastAsia="ru-RU"/>
        </w:rPr>
        <w:fldChar w:fldCharType="end"/>
      </w:r>
      <w:r w:rsidRPr="004D071E">
        <w:rPr>
          <w:rFonts w:ascii="Times New Roman" w:hAnsi="Times New Roman"/>
          <w:sz w:val="28"/>
          <w:szCs w:val="24"/>
          <w:lang w:eastAsia="ru-RU"/>
        </w:rPr>
        <w:t>.</w:t>
      </w:r>
    </w:p>
    <w:p w:rsidR="002D1E45" w:rsidRPr="004D071E" w:rsidRDefault="002D1E45" w:rsidP="004D071E">
      <w:pPr>
        <w:spacing w:after="0" w:line="240" w:lineRule="auto"/>
        <w:ind w:firstLine="709"/>
        <w:jc w:val="both"/>
        <w:rPr>
          <w:rFonts w:ascii="Times New Roman" w:hAnsi="Times New Roman"/>
          <w:sz w:val="28"/>
          <w:szCs w:val="28"/>
        </w:rPr>
      </w:pPr>
      <w:r w:rsidRPr="004D071E">
        <w:rPr>
          <w:rFonts w:ascii="Times New Roman" w:hAnsi="Times New Roman"/>
          <w:sz w:val="28"/>
          <w:szCs w:val="24"/>
          <w:lang w:eastAsia="ru-RU"/>
        </w:rPr>
        <w:t xml:space="preserve">В табл. В.2 </w:t>
      </w:r>
      <w:r w:rsidRPr="004D071E">
        <w:rPr>
          <w:rFonts w:ascii="Times New Roman" w:hAnsi="Times New Roman"/>
          <w:sz w:val="28"/>
          <w:szCs w:val="28"/>
        </w:rPr>
        <w:t xml:space="preserve">приложения В СП 165.1325800.2014 </w:t>
      </w:r>
      <w:r w:rsidRPr="004D071E">
        <w:rPr>
          <w:rFonts w:ascii="Times New Roman" w:hAnsi="Times New Roman"/>
          <w:sz w:val="28"/>
          <w:szCs w:val="24"/>
          <w:lang w:eastAsia="ru-RU"/>
        </w:rPr>
        <w:t>приведены максимальные значения глубин зон заражения первичным Г1 или вторичным облаком АХОВ Г2, определяемые в зависимости от эквивалентного количества вещества и скорости ветра. Полная</w:t>
      </w:r>
      <w:r w:rsidRPr="004D071E">
        <w:rPr>
          <w:rFonts w:ascii="Times New Roman" w:hAnsi="Times New Roman"/>
          <w:sz w:val="28"/>
          <w:szCs w:val="28"/>
        </w:rPr>
        <w:t xml:space="preserve"> глубина зоны заражения Г (км), обусловленной воздействием первичного и вторичного облака АХОВ,</w:t>
      </w:r>
      <w:r w:rsidRPr="004D071E">
        <w:rPr>
          <w:rFonts w:ascii="Times New Roman" w:hAnsi="Times New Roman"/>
          <w:spacing w:val="-26"/>
          <w:sz w:val="28"/>
          <w:szCs w:val="28"/>
        </w:rPr>
        <w:t xml:space="preserve"> </w:t>
      </w:r>
      <w:r w:rsidRPr="004D071E">
        <w:rPr>
          <w:rFonts w:ascii="Times New Roman" w:hAnsi="Times New Roman"/>
          <w:sz w:val="28"/>
          <w:szCs w:val="28"/>
        </w:rPr>
        <w:t>определяется:</w:t>
      </w:r>
    </w:p>
    <w:p w:rsidR="002D1E45" w:rsidRPr="004D071E" w:rsidRDefault="002D1E45" w:rsidP="004D071E">
      <w:pPr>
        <w:spacing w:after="0" w:line="240" w:lineRule="auto"/>
        <w:ind w:firstLine="709"/>
        <w:jc w:val="both"/>
        <w:rPr>
          <w:rFonts w:ascii="Times New Roman" w:hAnsi="Times New Roman"/>
          <w:sz w:val="28"/>
          <w:szCs w:val="28"/>
        </w:rPr>
      </w:pPr>
    </w:p>
    <w:p w:rsidR="002D1E45" w:rsidRPr="004D071E" w:rsidRDefault="002D1E45" w:rsidP="004D071E">
      <w:pPr>
        <w:spacing w:after="0" w:line="240" w:lineRule="auto"/>
        <w:jc w:val="center"/>
        <w:rPr>
          <w:rFonts w:ascii="Times New Roman" w:hAnsi="Times New Roman"/>
          <w:i/>
          <w:sz w:val="28"/>
          <w:szCs w:val="28"/>
          <w:lang w:val="en-US"/>
        </w:rPr>
      </w:pPr>
      <w:r>
        <w:pict>
          <v:shape id="_x0000_i1041" type="#_x0000_t75" style="width:103.5pt;height:79.5pt" equationxml="&lt;?xml version=&quot;1.0&quot; encoding=&quot;UTF-8&quot; standalone=&quot;yes&quot;?&gt;&#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stylePaneFormatFilter w:val=&quot;3F01&quot;/&gt;&lt;w:defaultTabStop w:val=&quot;709&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55249&quot;/&gt;&lt;wsp:rsid wsp:val=&quot;00000069&quot;/&gt;&lt;wsp:rsid wsp:val=&quot;0000011C&quot;/&gt;&lt;wsp:rsid wsp:val=&quot;00000437&quot;/&gt;&lt;wsp:rsid wsp:val=&quot;00001379&quot;/&gt;&lt;wsp:rsid wsp:val=&quot;0000148E&quot;/&gt;&lt;wsp:rsid wsp:val=&quot;00001718&quot;/&gt;&lt;wsp:rsid wsp:val=&quot;000017EA&quot;/&gt;&lt;wsp:rsid wsp:val=&quot;00001828&quot;/&gt;&lt;wsp:rsid wsp:val=&quot;00001D98&quot;/&gt;&lt;wsp:rsid wsp:val=&quot;0000229E&quot;/&gt;&lt;wsp:rsid wsp:val=&quot;000027D5&quot;/&gt;&lt;wsp:rsid wsp:val=&quot;00002824&quot;/&gt;&lt;wsp:rsid wsp:val=&quot;00002C12&quot;/&gt;&lt;wsp:rsid wsp:val=&quot;00002C43&quot;/&gt;&lt;wsp:rsid wsp:val=&quot;00002D9C&quot;/&gt;&lt;wsp:rsid wsp:val=&quot;00002F36&quot;/&gt;&lt;wsp:rsid wsp:val=&quot;0000302F&quot;/&gt;&lt;wsp:rsid wsp:val=&quot;00003030&quot;/&gt;&lt;wsp:rsid wsp:val=&quot;00003EFF&quot;/&gt;&lt;wsp:rsid wsp:val=&quot;0000414C&quot;/&gt;&lt;wsp:rsid wsp:val=&quot;0000443D&quot;/&gt;&lt;wsp:rsid wsp:val=&quot;000046CC&quot;/&gt;&lt;wsp:rsid wsp:val=&quot;00004716&quot;/&gt;&lt;wsp:rsid wsp:val=&quot;0000486D&quot;/&gt;&lt;wsp:rsid wsp:val=&quot;000049C0&quot;/&gt;&lt;wsp:rsid wsp:val=&quot;00004D19&quot;/&gt;&lt;wsp:rsid wsp:val=&quot;00004FAE&quot;/&gt;&lt;wsp:rsid wsp:val=&quot;00004FFC&quot;/&gt;&lt;wsp:rsid wsp:val=&quot;00005636&quot;/&gt;&lt;wsp:rsid wsp:val=&quot;000056E1&quot;/&gt;&lt;wsp:rsid wsp:val=&quot;00005DAF&quot;/&gt;&lt;wsp:rsid wsp:val=&quot;00005F1A&quot;/&gt;&lt;wsp:rsid wsp:val=&quot;00005FEB&quot;/&gt;&lt;wsp:rsid wsp:val=&quot;00006392&quot;/&gt;&lt;wsp:rsid wsp:val=&quot;000063D0&quot;/&gt;&lt;wsp:rsid wsp:val=&quot;00006AE8&quot;/&gt;&lt;wsp:rsid wsp:val=&quot;00006D6F&quot;/&gt;&lt;wsp:rsid wsp:val=&quot;00007175&quot;/&gt;&lt;wsp:rsid wsp:val=&quot;00007274&quot;/&gt;&lt;wsp:rsid wsp:val=&quot;00007B99&quot;/&gt;&lt;wsp:rsid wsp:val=&quot;000101C0&quot;/&gt;&lt;wsp:rsid wsp:val=&quot;00010212&quot;/&gt;&lt;wsp:rsid wsp:val=&quot;00010264&quot;/&gt;&lt;wsp:rsid wsp:val=&quot;000102BD&quot;/&gt;&lt;wsp:rsid wsp:val=&quot;000102EA&quot;/&gt;&lt;wsp:rsid wsp:val=&quot;00010466&quot;/&gt;&lt;wsp:rsid wsp:val=&quot;00010AB4&quot;/&gt;&lt;wsp:rsid wsp:val=&quot;00010B0B&quot;/&gt;&lt;wsp:rsid wsp:val=&quot;00010C3B&quot;/&gt;&lt;wsp:rsid wsp:val=&quot;00010F91&quot;/&gt;&lt;wsp:rsid wsp:val=&quot;000112EE&quot;/&gt;&lt;wsp:rsid wsp:val=&quot;0001146D&quot;/&gt;&lt;wsp:rsid wsp:val=&quot;00011665&quot;/&gt;&lt;wsp:rsid wsp:val=&quot;00011B64&quot;/&gt;&lt;wsp:rsid wsp:val=&quot;00011CA8&quot;/&gt;&lt;wsp:rsid wsp:val=&quot;00011DE4&quot;/&gt;&lt;wsp:rsid wsp:val=&quot;000124AE&quot;/&gt;&lt;wsp:rsid wsp:val=&quot;000127BC&quot;/&gt;&lt;wsp:rsid wsp:val=&quot;00012A66&quot;/&gt;&lt;wsp:rsid wsp:val=&quot;00012DA8&quot;/&gt;&lt;wsp:rsid wsp:val=&quot;00013A20&quot;/&gt;&lt;wsp:rsid wsp:val=&quot;00013A8A&quot;/&gt;&lt;wsp:rsid wsp:val=&quot;00013CAF&quot;/&gt;&lt;wsp:rsid wsp:val=&quot;00013FBF&quot;/&gt;&lt;wsp:rsid wsp:val=&quot;00014152&quot;/&gt;&lt;wsp:rsid wsp:val=&quot;00014177&quot;/&gt;&lt;wsp:rsid wsp:val=&quot;0001436E&quot;/&gt;&lt;wsp:rsid wsp:val=&quot;00014640&quot;/&gt;&lt;wsp:rsid wsp:val=&quot;000146AB&quot;/&gt;&lt;wsp:rsid wsp:val=&quot;0001483D&quot;/&gt;&lt;wsp:rsid wsp:val=&quot;00014851&quot;/&gt;&lt;wsp:rsid wsp:val=&quot;00014B97&quot;/&gt;&lt;wsp:rsid wsp:val=&quot;00014CA6&quot;/&gt;&lt;wsp:rsid wsp:val=&quot;00015089&quot;/&gt;&lt;wsp:rsid wsp:val=&quot;00015200&quot;/&gt;&lt;wsp:rsid wsp:val=&quot;00015247&quot;/&gt;&lt;wsp:rsid wsp:val=&quot;00015471&quot;/&gt;&lt;wsp:rsid wsp:val=&quot;00015475&quot;/&gt;&lt;wsp:rsid wsp:val=&quot;000156EB&quot;/&gt;&lt;wsp:rsid wsp:val=&quot;00015CFD&quot;/&gt;&lt;wsp:rsid wsp:val=&quot;00015E89&quot;/&gt;&lt;wsp:rsid wsp:val=&quot;000162CA&quot;/&gt;&lt;wsp:rsid wsp:val=&quot;000168D8&quot;/&gt;&lt;wsp:rsid wsp:val=&quot;00016BF0&quot;/&gt;&lt;wsp:rsid wsp:val=&quot;00016DD4&quot;/&gt;&lt;wsp:rsid wsp:val=&quot;00016F5A&quot;/&gt;&lt;wsp:rsid wsp:val=&quot;000171AD&quot;/&gt;&lt;wsp:rsid wsp:val=&quot;0001725E&quot;/&gt;&lt;wsp:rsid wsp:val=&quot;000173C4&quot;/&gt;&lt;wsp:rsid wsp:val=&quot;0001783F&quot;/&gt;&lt;wsp:rsid wsp:val=&quot;00017B5A&quot;/&gt;&lt;wsp:rsid wsp:val=&quot;00017FC8&quot;/&gt;&lt;wsp:rsid wsp:val=&quot;000200B7&quot;/&gt;&lt;wsp:rsid wsp:val=&quot;00020690&quot;/&gt;&lt;wsp:rsid wsp:val=&quot;000207BC&quot;/&gt;&lt;wsp:rsid wsp:val=&quot;00020B70&quot;/&gt;&lt;wsp:rsid wsp:val=&quot;00020CF2&quot;/&gt;&lt;wsp:rsid wsp:val=&quot;00020D15&quot;/&gt;&lt;wsp:rsid wsp:val=&quot;0002146E&quot;/&gt;&lt;wsp:rsid wsp:val=&quot;000216FC&quot;/&gt;&lt;wsp:rsid wsp:val=&quot;00021808&quot;/&gt;&lt;wsp:rsid wsp:val=&quot;00021864&quot;/&gt;&lt;wsp:rsid wsp:val=&quot;000219DD&quot;/&gt;&lt;wsp:rsid wsp:val=&quot;00021A57&quot;/&gt;&lt;wsp:rsid wsp:val=&quot;00021C1B&quot;/&gt;&lt;wsp:rsid wsp:val=&quot;00021C6A&quot;/&gt;&lt;wsp:rsid wsp:val=&quot;0002261A&quot;/&gt;&lt;wsp:rsid wsp:val=&quot;00022689&quot;/&gt;&lt;wsp:rsid wsp:val=&quot;0002275A&quot;/&gt;&lt;wsp:rsid wsp:val=&quot;00022976&quot;/&gt;&lt;wsp:rsid wsp:val=&quot;00022B13&quot;/&gt;&lt;wsp:rsid wsp:val=&quot;00022C89&quot;/&gt;&lt;wsp:rsid wsp:val=&quot;00022ED3&quot;/&gt;&lt;wsp:rsid wsp:val=&quot;0002310D&quot;/&gt;&lt;wsp:rsid wsp:val=&quot;0002325C&quot;/&gt;&lt;wsp:rsid wsp:val=&quot;000233B5&quot;/&gt;&lt;wsp:rsid wsp:val=&quot;000235C8&quot;/&gt;&lt;wsp:rsid wsp:val=&quot;000237E7&quot;/&gt;&lt;wsp:rsid wsp:val=&quot;000238DD&quot;/&gt;&lt;wsp:rsid wsp:val=&quot;00023B4A&quot;/&gt;&lt;wsp:rsid wsp:val=&quot;00023CDA&quot;/&gt;&lt;wsp:rsid wsp:val=&quot;0002413B&quot;/&gt;&lt;wsp:rsid wsp:val=&quot;000244A8&quot;/&gt;&lt;wsp:rsid wsp:val=&quot;0002487C&quot;/&gt;&lt;wsp:rsid wsp:val=&quot;00024D37&quot;/&gt;&lt;wsp:rsid wsp:val=&quot;00024F28&quot;/&gt;&lt;wsp:rsid wsp:val=&quot;000252B6&quot;/&gt;&lt;wsp:rsid wsp:val=&quot;000254CC&quot;/&gt;&lt;wsp:rsid wsp:val=&quot;00025586&quot;/&gt;&lt;wsp:rsid wsp:val=&quot;000260FE&quot;/&gt;&lt;wsp:rsid wsp:val=&quot;00026294&quot;/&gt;&lt;wsp:rsid wsp:val=&quot;00026338&quot;/&gt;&lt;wsp:rsid wsp:val=&quot;000266C8&quot;/&gt;&lt;wsp:rsid wsp:val=&quot;00026ABE&quot;/&gt;&lt;wsp:rsid wsp:val=&quot;00026FF4&quot;/&gt;&lt;wsp:rsid wsp:val=&quot;0002729C&quot;/&gt;&lt;wsp:rsid wsp:val=&quot;000279E6&quot;/&gt;&lt;wsp:rsid wsp:val=&quot;00027B3A&quot;/&gt;&lt;wsp:rsid wsp:val=&quot;00027C41&quot;/&gt;&lt;wsp:rsid wsp:val=&quot;00027F89&quot;/&gt;&lt;wsp:rsid wsp:val=&quot;0003050D&quot;/&gt;&lt;wsp:rsid wsp:val=&quot;00030523&quot;/&gt;&lt;wsp:rsid wsp:val=&quot;00031209&quot;/&gt;&lt;wsp:rsid wsp:val=&quot;00031883&quot;/&gt;&lt;wsp:rsid wsp:val=&quot;00032460&quot;/&gt;&lt;wsp:rsid wsp:val=&quot;0003252F&quot;/&gt;&lt;wsp:rsid wsp:val=&quot;000325E4&quot;/&gt;&lt;wsp:rsid wsp:val=&quot;000329BA&quot;/&gt;&lt;wsp:rsid wsp:val=&quot;00032F20&quot;/&gt;&lt;wsp:rsid wsp:val=&quot;000330C7&quot;/&gt;&lt;wsp:rsid wsp:val=&quot;00033121&quot;/&gt;&lt;wsp:rsid wsp:val=&quot;000332E2&quot;/&gt;&lt;wsp:rsid wsp:val=&quot;00033895&quot;/&gt;&lt;wsp:rsid wsp:val=&quot;00033D2D&quot;/&gt;&lt;wsp:rsid wsp:val=&quot;0003401B&quot;/&gt;&lt;wsp:rsid wsp:val=&quot;000341CE&quot;/&gt;&lt;wsp:rsid wsp:val=&quot;00034258&quot;/&gt;&lt;wsp:rsid wsp:val=&quot;00034677&quot;/&gt;&lt;wsp:rsid wsp:val=&quot;000355D5&quot;/&gt;&lt;wsp:rsid wsp:val=&quot;0003587E&quot;/&gt;&lt;wsp:rsid wsp:val=&quot;000358E5&quot;/&gt;&lt;wsp:rsid wsp:val=&quot;00035FC8&quot;/&gt;&lt;wsp:rsid wsp:val=&quot;00036085&quot;/&gt;&lt;wsp:rsid wsp:val=&quot;0003610F&quot;/&gt;&lt;wsp:rsid wsp:val=&quot;00036574&quot;/&gt;&lt;wsp:rsid wsp:val=&quot;00036A0C&quot;/&gt;&lt;wsp:rsid wsp:val=&quot;0003741C&quot;/&gt;&lt;wsp:rsid wsp:val=&quot;000375A9&quot;/&gt;&lt;wsp:rsid wsp:val=&quot;000375E4&quot;/&gt;&lt;wsp:rsid wsp:val=&quot;00037990&quot;/&gt;&lt;wsp:rsid wsp:val=&quot;000379E2&quot;/&gt;&lt;wsp:rsid wsp:val=&quot;00037A8B&quot;/&gt;&lt;wsp:rsid wsp:val=&quot;00037B44&quot;/&gt;&lt;wsp:rsid wsp:val=&quot;00037D86&quot;/&gt;&lt;wsp:rsid wsp:val=&quot;000401B5&quot;/&gt;&lt;wsp:rsid wsp:val=&quot;00040704&quot;/&gt;&lt;wsp:rsid wsp:val=&quot;00040747&quot;/&gt;&lt;wsp:rsid wsp:val=&quot;00040937&quot;/&gt;&lt;wsp:rsid wsp:val=&quot;00040B84&quot;/&gt;&lt;wsp:rsid wsp:val=&quot;00040C12&quot;/&gt;&lt;wsp:rsid wsp:val=&quot;00040DA1&quot;/&gt;&lt;wsp:rsid wsp:val=&quot;00040F18&quot;/&gt;&lt;wsp:rsid wsp:val=&quot;0004110F&quot;/&gt;&lt;wsp:rsid wsp:val=&quot;000412EB&quot;/&gt;&lt;wsp:rsid wsp:val=&quot;0004138D&quot;/&gt;&lt;wsp:rsid wsp:val=&quot;000413F1&quot;/&gt;&lt;wsp:rsid wsp:val=&quot;000414C0&quot;/&gt;&lt;wsp:rsid wsp:val=&quot;00041E8F&quot;/&gt;&lt;wsp:rsid wsp:val=&quot;00041F06&quot;/&gt;&lt;wsp:rsid wsp:val=&quot;0004255B&quot;/&gt;&lt;wsp:rsid wsp:val=&quot;00042594&quot;/&gt;&lt;wsp:rsid wsp:val=&quot;0004273E&quot;/&gt;&lt;wsp:rsid wsp:val=&quot;00042764&quot;/&gt;&lt;wsp:rsid wsp:val=&quot;00042F4A&quot;/&gt;&lt;wsp:rsid wsp:val=&quot;000430F4&quot;/&gt;&lt;wsp:rsid wsp:val=&quot;00043921&quot;/&gt;&lt;wsp:rsid wsp:val=&quot;00043935&quot;/&gt;&lt;wsp:rsid wsp:val=&quot;00043EB2&quot;/&gt;&lt;wsp:rsid wsp:val=&quot;0004419F&quot;/&gt;&lt;wsp:rsid wsp:val=&quot;00044391&quot;/&gt;&lt;wsp:rsid wsp:val=&quot;0004446E&quot;/&gt;&lt;wsp:rsid wsp:val=&quot;000444B3&quot;/&gt;&lt;wsp:rsid wsp:val=&quot;00044538&quot;/&gt;&lt;wsp:rsid wsp:val=&quot;0004488A&quot;/&gt;&lt;wsp:rsid wsp:val=&quot;000449CE&quot;/&gt;&lt;wsp:rsid wsp:val=&quot;00044A16&quot;/&gt;&lt;wsp:rsid wsp:val=&quot;00044B5C&quot;/&gt;&lt;wsp:rsid wsp:val=&quot;00044D18&quot;/&gt;&lt;wsp:rsid wsp:val=&quot;00044E73&quot;/&gt;&lt;wsp:rsid wsp:val=&quot;00044F28&quot;/&gt;&lt;wsp:rsid wsp:val=&quot;00044FEF&quot;/&gt;&lt;wsp:rsid wsp:val=&quot;00045598&quot;/&gt;&lt;wsp:rsid wsp:val=&quot;00045B35&quot;/&gt;&lt;wsp:rsid wsp:val=&quot;00045E51&quot;/&gt;&lt;wsp:rsid wsp:val=&quot;00046110&quot;/&gt;&lt;wsp:rsid wsp:val=&quot;00046429&quot;/&gt;&lt;wsp:rsid wsp:val=&quot;0004668C&quot;/&gt;&lt;wsp:rsid wsp:val=&quot;000475D4&quot;/&gt;&lt;wsp:rsid wsp:val=&quot;00047C17&quot;/&gt;&lt;wsp:rsid wsp:val=&quot;00047C27&quot;/&gt;&lt;wsp:rsid wsp:val=&quot;00047C59&quot;/&gt;&lt;wsp:rsid wsp:val=&quot;00047F34&quot;/&gt;&lt;wsp:rsid wsp:val=&quot;000504F0&quot;/&gt;&lt;wsp:rsid wsp:val=&quot;00050664&quot;/&gt;&lt;wsp:rsid wsp:val=&quot;00050880&quot;/&gt;&lt;wsp:rsid wsp:val=&quot;00050993&quot;/&gt;&lt;wsp:rsid wsp:val=&quot;00050FD6&quot;/&gt;&lt;wsp:rsid wsp:val=&quot;00051206&quot;/&gt;&lt;wsp:rsid wsp:val=&quot;000515A2&quot;/&gt;&lt;wsp:rsid wsp:val=&quot;00051F54&quot;/&gt;&lt;wsp:rsid wsp:val=&quot;000520A1&quot;/&gt;&lt;wsp:rsid wsp:val=&quot;000525EB&quot;/&gt;&lt;wsp:rsid wsp:val=&quot;0005266E&quot;/&gt;&lt;wsp:rsid wsp:val=&quot;000527E0&quot;/&gt;&lt;wsp:rsid wsp:val=&quot;00052923&quot;/&gt;&lt;wsp:rsid wsp:val=&quot;00052D26&quot;/&gt;&lt;wsp:rsid wsp:val=&quot;00052E31&quot;/&gt;&lt;wsp:rsid wsp:val=&quot;000535A5&quot;/&gt;&lt;wsp:rsid wsp:val=&quot;000536A3&quot;/&gt;&lt;wsp:rsid wsp:val=&quot;00053D10&quot;/&gt;&lt;wsp:rsid wsp:val=&quot;00053F2B&quot;/&gt;&lt;wsp:rsid wsp:val=&quot;00053F37&quot;/&gt;&lt;wsp:rsid wsp:val=&quot;000546C9&quot;/&gt;&lt;wsp:rsid wsp:val=&quot;000547F3&quot;/&gt;&lt;wsp:rsid wsp:val=&quot;000548C7&quot;/&gt;&lt;wsp:rsid wsp:val=&quot;00054E12&quot;/&gt;&lt;wsp:rsid wsp:val=&quot;00054E32&quot;/&gt;&lt;wsp:rsid wsp:val=&quot;000551DD&quot;/&gt;&lt;wsp:rsid wsp:val=&quot;0005551E&quot;/&gt;&lt;wsp:rsid wsp:val=&quot;00055725&quot;/&gt;&lt;wsp:rsid wsp:val=&quot;0005582F&quot;/&gt;&lt;wsp:rsid wsp:val=&quot;000558B6&quot;/&gt;&lt;wsp:rsid wsp:val=&quot;00055A9A&quot;/&gt;&lt;wsp:rsid wsp:val=&quot;00055D45&quot;/&gt;&lt;wsp:rsid wsp:val=&quot;00055E28&quot;/&gt;&lt;wsp:rsid wsp:val=&quot;000563E2&quot;/&gt;&lt;wsp:rsid wsp:val=&quot;0005646A&quot;/&gt;&lt;wsp:rsid wsp:val=&quot;00056820&quot;/&gt;&lt;wsp:rsid wsp:val=&quot;00056C8F&quot;/&gt;&lt;wsp:rsid wsp:val=&quot;000570B4&quot;/&gt;&lt;wsp:rsid wsp:val=&quot;00057287&quot;/&gt;&lt;wsp:rsid wsp:val=&quot;00057450&quot;/&gt;&lt;wsp:rsid wsp:val=&quot;00057FD1&quot;/&gt;&lt;wsp:rsid wsp:val=&quot;000605C6&quot;/&gt;&lt;wsp:rsid wsp:val=&quot;0006094F&quot;/&gt;&lt;wsp:rsid wsp:val=&quot;00060D9A&quot;/&gt;&lt;wsp:rsid wsp:val=&quot;0006114D&quot;/&gt;&lt;wsp:rsid wsp:val=&quot;00061342&quot;/&gt;&lt;wsp:rsid wsp:val=&quot;000616FB&quot;/&gt;&lt;wsp:rsid wsp:val=&quot;00061D4B&quot;/&gt;&lt;wsp:rsid wsp:val=&quot;0006251F&quot;/&gt;&lt;wsp:rsid wsp:val=&quot;00062BCA&quot;/&gt;&lt;wsp:rsid wsp:val=&quot;00063845&quot;/&gt;&lt;wsp:rsid wsp:val=&quot;00063E7D&quot;/&gt;&lt;wsp:rsid wsp:val=&quot;00063F8C&quot;/&gt;&lt;wsp:rsid wsp:val=&quot;00064336&quot;/&gt;&lt;wsp:rsid wsp:val=&quot;000643A2&quot;/&gt;&lt;wsp:rsid wsp:val=&quot;00064B66&quot;/&gt;&lt;wsp:rsid wsp:val=&quot;00064F9D&quot;/&gt;&lt;wsp:rsid wsp:val=&quot;0006561A&quot;/&gt;&lt;wsp:rsid wsp:val=&quot;000659B9&quot;/&gt;&lt;wsp:rsid wsp:val=&quot;00065B48&quot;/&gt;&lt;wsp:rsid wsp:val=&quot;00065F03&quot;/&gt;&lt;wsp:rsid wsp:val=&quot;00066175&quot;/&gt;&lt;wsp:rsid wsp:val=&quot;000661F0&quot;/&gt;&lt;wsp:rsid wsp:val=&quot;00066384&quot;/&gt;&lt;wsp:rsid wsp:val=&quot;00066556&quot;/&gt;&lt;wsp:rsid wsp:val=&quot;00066C9F&quot;/&gt;&lt;wsp:rsid wsp:val=&quot;00066D83&quot;/&gt;&lt;wsp:rsid wsp:val=&quot;00067045&quot;/&gt;&lt;wsp:rsid wsp:val=&quot;00067A40&quot;/&gt;&lt;wsp:rsid wsp:val=&quot;00067AA3&quot;/&gt;&lt;wsp:rsid wsp:val=&quot;00067AB9&quot;/&gt;&lt;wsp:rsid wsp:val=&quot;00070000&quot;/&gt;&lt;wsp:rsid wsp:val=&quot;00070067&quot;/&gt;&lt;wsp:rsid wsp:val=&quot;0007015F&quot;/&gt;&lt;wsp:rsid wsp:val=&quot;000702C2&quot;/&gt;&lt;wsp:rsid wsp:val=&quot;000702C6&quot;/&gt;&lt;wsp:rsid wsp:val=&quot;00070A24&quot;/&gt;&lt;wsp:rsid wsp:val=&quot;00071628&quot;/&gt;&lt;wsp:rsid wsp:val=&quot;0007185F&quot;/&gt;&lt;wsp:rsid wsp:val=&quot;00072553&quot;/&gt;&lt;wsp:rsid wsp:val=&quot;00072E07&quot;/&gt;&lt;wsp:rsid wsp:val=&quot;00073729&quot;/&gt;&lt;wsp:rsid wsp:val=&quot;000739F2&quot;/&gt;&lt;wsp:rsid wsp:val=&quot;00073E02&quot;/&gt;&lt;wsp:rsid wsp:val=&quot;00074052&quot;/&gt;&lt;wsp:rsid wsp:val=&quot;00074807&quot;/&gt;&lt;wsp:rsid wsp:val=&quot;00075396&quot;/&gt;&lt;wsp:rsid wsp:val=&quot;00075542&quot;/&gt;&lt;wsp:rsid wsp:val=&quot;00075821&quot;/&gt;&lt;wsp:rsid wsp:val=&quot;00075BDC&quot;/&gt;&lt;wsp:rsid wsp:val=&quot;00075C12&quot;/&gt;&lt;wsp:rsid wsp:val=&quot;00076244&quot;/&gt;&lt;wsp:rsid wsp:val=&quot;0007658B&quot;/&gt;&lt;wsp:rsid wsp:val=&quot;000765A5&quot;/&gt;&lt;wsp:rsid wsp:val=&quot;000766B1&quot;/&gt;&lt;wsp:rsid wsp:val=&quot;00076AEC&quot;/&gt;&lt;wsp:rsid wsp:val=&quot;00076B85&quot;/&gt;&lt;wsp:rsid wsp:val=&quot;00077223&quot;/&gt;&lt;wsp:rsid wsp:val=&quot;000775BC&quot;/&gt;&lt;wsp:rsid wsp:val=&quot;00077735&quot;/&gt;&lt;wsp:rsid wsp:val=&quot;00077964&quot;/&gt;&lt;wsp:rsid wsp:val=&quot;00077AC7&quot;/&gt;&lt;wsp:rsid wsp:val=&quot;00080093&quot;/&gt;&lt;wsp:rsid wsp:val=&quot;00080B60&quot;/&gt;&lt;wsp:rsid wsp:val=&quot;00080D86&quot;/&gt;&lt;wsp:rsid wsp:val=&quot;0008123C&quot;/&gt;&lt;wsp:rsid wsp:val=&quot;000815B0&quot;/&gt;&lt;wsp:rsid wsp:val=&quot;000822F8&quot;/&gt;&lt;wsp:rsid wsp:val=&quot;0008289C&quot;/&gt;&lt;wsp:rsid wsp:val=&quot;00082ACC&quot;/&gt;&lt;wsp:rsid wsp:val=&quot;00082EC5&quot;/&gt;&lt;wsp:rsid wsp:val=&quot;00083307&quot;/&gt;&lt;wsp:rsid wsp:val=&quot;0008338D&quot;/&gt;&lt;wsp:rsid wsp:val=&quot;00083405&quot;/&gt;&lt;wsp:rsid wsp:val=&quot;00083653&quot;/&gt;&lt;wsp:rsid wsp:val=&quot;00083ADB&quot;/&gt;&lt;wsp:rsid wsp:val=&quot;00083BC4&quot;/&gt;&lt;wsp:rsid wsp:val=&quot;00083C79&quot;/&gt;&lt;wsp:rsid wsp:val=&quot;000845BC&quot;/&gt;&lt;wsp:rsid wsp:val=&quot;00084681&quot;/&gt;&lt;wsp:rsid wsp:val=&quot;000849E2&quot;/&gt;&lt;wsp:rsid wsp:val=&quot;00085033&quot;/&gt;&lt;wsp:rsid wsp:val=&quot;0008530A&quot;/&gt;&lt;wsp:rsid wsp:val=&quot;00085A95&quot;/&gt;&lt;wsp:rsid wsp:val=&quot;00085CFD&quot;/&gt;&lt;wsp:rsid wsp:val=&quot;0008620C&quot;/&gt;&lt;wsp:rsid wsp:val=&quot;00086329&quot;/&gt;&lt;wsp:rsid wsp:val=&quot;0008638E&quot;/&gt;&lt;wsp:rsid wsp:val=&quot;00086444&quot;/&gt;&lt;wsp:rsid wsp:val=&quot;00086BB9&quot;/&gt;&lt;wsp:rsid wsp:val=&quot;00087727&quot;/&gt;&lt;wsp:rsid wsp:val=&quot;000877E2&quot;/&gt;&lt;wsp:rsid wsp:val=&quot;00087AC4&quot;/&gt;&lt;wsp:rsid wsp:val=&quot;00087E23&quot;/&gt;&lt;wsp:rsid wsp:val=&quot;0009014C&quot;/&gt;&lt;wsp:rsid wsp:val=&quot;0009092E&quot;/&gt;&lt;wsp:rsid wsp:val=&quot;00090D88&quot;/&gt;&lt;wsp:rsid wsp:val=&quot;00091590&quot;/&gt;&lt;wsp:rsid wsp:val=&quot;0009167E&quot;/&gt;&lt;wsp:rsid wsp:val=&quot;00091B44&quot;/&gt;&lt;wsp:rsid wsp:val=&quot;00091DDD&quot;/&gt;&lt;wsp:rsid wsp:val=&quot;00092244&quot;/&gt;&lt;wsp:rsid wsp:val=&quot;000922A0&quot;/&gt;&lt;wsp:rsid wsp:val=&quot;0009250A&quot;/&gt;&lt;wsp:rsid wsp:val=&quot;00092832&quot;/&gt;&lt;wsp:rsid wsp:val=&quot;00092880&quot;/&gt;&lt;wsp:rsid wsp:val=&quot;000928B8&quot;/&gt;&lt;wsp:rsid wsp:val=&quot;00092BDB&quot;/&gt;&lt;wsp:rsid wsp:val=&quot;00092D38&quot;/&gt;&lt;wsp:rsid wsp:val=&quot;00092DF8&quot;/&gt;&lt;wsp:rsid wsp:val=&quot;00093306&quot;/&gt;&lt;wsp:rsid wsp:val=&quot;00093658&quot;/&gt;&lt;wsp:rsid wsp:val=&quot;000936D3&quot;/&gt;&lt;wsp:rsid wsp:val=&quot;00093D53&quot;/&gt;&lt;wsp:rsid wsp:val=&quot;00093FD6&quot;/&gt;&lt;wsp:rsid wsp:val=&quot;000943A3&quot;/&gt;&lt;wsp:rsid wsp:val=&quot;0009494C&quot;/&gt;&lt;wsp:rsid wsp:val=&quot;00094EE1&quot;/&gt;&lt;wsp:rsid wsp:val=&quot;00095196&quot;/&gt;&lt;wsp:rsid wsp:val=&quot;00095C3B&quot;/&gt;&lt;wsp:rsid wsp:val=&quot;00096485&quot;/&gt;&lt;wsp:rsid wsp:val=&quot;000964BF&quot;/&gt;&lt;wsp:rsid wsp:val=&quot;00096807&quot;/&gt;&lt;wsp:rsid wsp:val=&quot;00096843&quot;/&gt;&lt;wsp:rsid wsp:val=&quot;000968B5&quot;/&gt;&lt;wsp:rsid wsp:val=&quot;00096B2F&quot;/&gt;&lt;wsp:rsid wsp:val=&quot;00096F78&quot;/&gt;&lt;wsp:rsid wsp:val=&quot;00097521&quot;/&gt;&lt;wsp:rsid wsp:val=&quot;000978B1&quot;/&gt;&lt;wsp:rsid wsp:val=&quot;000A002B&quot;/&gt;&lt;wsp:rsid wsp:val=&quot;000A0434&quot;/&gt;&lt;wsp:rsid wsp:val=&quot;000A04F0&quot;/&gt;&lt;wsp:rsid wsp:val=&quot;000A08A6&quot;/&gt;&lt;wsp:rsid wsp:val=&quot;000A0932&quot;/&gt;&lt;wsp:rsid wsp:val=&quot;000A0A93&quot;/&gt;&lt;wsp:rsid wsp:val=&quot;000A0BB0&quot;/&gt;&lt;wsp:rsid wsp:val=&quot;000A0DA2&quot;/&gt;&lt;wsp:rsid wsp:val=&quot;000A16CC&quot;/&gt;&lt;wsp:rsid wsp:val=&quot;000A1A46&quot;/&gt;&lt;wsp:rsid wsp:val=&quot;000A1B18&quot;/&gt;&lt;wsp:rsid wsp:val=&quot;000A1C8A&quot;/&gt;&lt;wsp:rsid wsp:val=&quot;000A379F&quot;/&gt;&lt;wsp:rsid wsp:val=&quot;000A38E0&quot;/&gt;&lt;wsp:rsid wsp:val=&quot;000A39DE&quot;/&gt;&lt;wsp:rsid wsp:val=&quot;000A3C68&quot;/&gt;&lt;wsp:rsid wsp:val=&quot;000A3F95&quot;/&gt;&lt;wsp:rsid wsp:val=&quot;000A4373&quot;/&gt;&lt;wsp:rsid wsp:val=&quot;000A4670&quot;/&gt;&lt;wsp:rsid wsp:val=&quot;000A477D&quot;/&gt;&lt;wsp:rsid wsp:val=&quot;000A47CF&quot;/&gt;&lt;wsp:rsid wsp:val=&quot;000A4C05&quot;/&gt;&lt;wsp:rsid wsp:val=&quot;000A4D03&quot;/&gt;&lt;wsp:rsid wsp:val=&quot;000A4FB4&quot;/&gt;&lt;wsp:rsid wsp:val=&quot;000A4FF6&quot;/&gt;&lt;wsp:rsid wsp:val=&quot;000A512E&quot;/&gt;&lt;wsp:rsid wsp:val=&quot;000A525A&quot;/&gt;&lt;wsp:rsid wsp:val=&quot;000A52FF&quot;/&gt;&lt;wsp:rsid wsp:val=&quot;000A57A2&quot;/&gt;&lt;wsp:rsid wsp:val=&quot;000A5EA9&quot;/&gt;&lt;wsp:rsid wsp:val=&quot;000A611E&quot;/&gt;&lt;wsp:rsid wsp:val=&quot;000A6372&quot;/&gt;&lt;wsp:rsid wsp:val=&quot;000A68B1&quot;/&gt;&lt;wsp:rsid wsp:val=&quot;000A6AAC&quot;/&gt;&lt;wsp:rsid wsp:val=&quot;000A6BF9&quot;/&gt;&lt;wsp:rsid wsp:val=&quot;000A6E06&quot;/&gt;&lt;wsp:rsid wsp:val=&quot;000A718C&quot;/&gt;&lt;wsp:rsid wsp:val=&quot;000A741A&quot;/&gt;&lt;wsp:rsid wsp:val=&quot;000A7430&quot;/&gt;&lt;wsp:rsid wsp:val=&quot;000A7482&quot;/&gt;&lt;wsp:rsid wsp:val=&quot;000A7895&quot;/&gt;&lt;wsp:rsid wsp:val=&quot;000A7BD7&quot;/&gt;&lt;wsp:rsid wsp:val=&quot;000A7D80&quot;/&gt;&lt;wsp:rsid wsp:val=&quot;000B1142&quot;/&gt;&lt;wsp:rsid wsp:val=&quot;000B1322&quot;/&gt;&lt;wsp:rsid wsp:val=&quot;000B149A&quot;/&gt;&lt;wsp:rsid wsp:val=&quot;000B14DF&quot;/&gt;&lt;wsp:rsid wsp:val=&quot;000B167D&quot;/&gt;&lt;wsp:rsid wsp:val=&quot;000B1B67&quot;/&gt;&lt;wsp:rsid wsp:val=&quot;000B1E31&quot;/&gt;&lt;wsp:rsid wsp:val=&quot;000B221A&quot;/&gt;&lt;wsp:rsid wsp:val=&quot;000B251B&quot;/&gt;&lt;wsp:rsid wsp:val=&quot;000B25C3&quot;/&gt;&lt;wsp:rsid wsp:val=&quot;000B27FD&quot;/&gt;&lt;wsp:rsid wsp:val=&quot;000B286C&quot;/&gt;&lt;wsp:rsid wsp:val=&quot;000B2B47&quot;/&gt;&lt;wsp:rsid wsp:val=&quot;000B2B6B&quot;/&gt;&lt;wsp:rsid wsp:val=&quot;000B2C1A&quot;/&gt;&lt;wsp:rsid wsp:val=&quot;000B2EB4&quot;/&gt;&lt;wsp:rsid wsp:val=&quot;000B3481&quot;/&gt;&lt;wsp:rsid wsp:val=&quot;000B3B79&quot;/&gt;&lt;wsp:rsid wsp:val=&quot;000B4097&quot;/&gt;&lt;wsp:rsid wsp:val=&quot;000B40D5&quot;/&gt;&lt;wsp:rsid wsp:val=&quot;000B439E&quot;/&gt;&lt;wsp:rsid wsp:val=&quot;000B4880&quot;/&gt;&lt;wsp:rsid wsp:val=&quot;000B4C48&quot;/&gt;&lt;wsp:rsid wsp:val=&quot;000B51E8&quot;/&gt;&lt;wsp:rsid wsp:val=&quot;000B5B75&quot;/&gt;&lt;wsp:rsid wsp:val=&quot;000B5B94&quot;/&gt;&lt;wsp:rsid wsp:val=&quot;000B5C9E&quot;/&gt;&lt;wsp:rsid wsp:val=&quot;000B641C&quot;/&gt;&lt;wsp:rsid wsp:val=&quot;000B6424&quot;/&gt;&lt;wsp:rsid wsp:val=&quot;000B6501&quot;/&gt;&lt;wsp:rsid wsp:val=&quot;000B6618&quot;/&gt;&lt;wsp:rsid wsp:val=&quot;000B693A&quot;/&gt;&lt;wsp:rsid wsp:val=&quot;000B69BA&quot;/&gt;&lt;wsp:rsid wsp:val=&quot;000B6EF4&quot;/&gt;&lt;wsp:rsid wsp:val=&quot;000B6F17&quot;/&gt;&lt;wsp:rsid wsp:val=&quot;000B6F8A&quot;/&gt;&lt;wsp:rsid wsp:val=&quot;000B7311&quot;/&gt;&lt;wsp:rsid wsp:val=&quot;000B7768&quot;/&gt;&lt;wsp:rsid wsp:val=&quot;000B79A3&quot;/&gt;&lt;wsp:rsid wsp:val=&quot;000C060E&quot;/&gt;&lt;wsp:rsid wsp:val=&quot;000C0854&quot;/&gt;&lt;wsp:rsid wsp:val=&quot;000C0E5A&quot;/&gt;&lt;wsp:rsid wsp:val=&quot;000C0F02&quot;/&gt;&lt;wsp:rsid wsp:val=&quot;000C134A&quot;/&gt;&lt;wsp:rsid wsp:val=&quot;000C1706&quot;/&gt;&lt;wsp:rsid wsp:val=&quot;000C1C1D&quot;/&gt;&lt;wsp:rsid wsp:val=&quot;000C1CF9&quot;/&gt;&lt;wsp:rsid wsp:val=&quot;000C1E63&quot;/&gt;&lt;wsp:rsid wsp:val=&quot;000C1FAA&quot;/&gt;&lt;wsp:rsid wsp:val=&quot;000C2A69&quot;/&gt;&lt;wsp:rsid wsp:val=&quot;000C313A&quot;/&gt;&lt;wsp:rsid wsp:val=&quot;000C313D&quot;/&gt;&lt;wsp:rsid wsp:val=&quot;000C324D&quot;/&gt;&lt;wsp:rsid wsp:val=&quot;000C3271&quot;/&gt;&lt;wsp:rsid wsp:val=&quot;000C34E4&quot;/&gt;&lt;wsp:rsid wsp:val=&quot;000C3563&quot;/&gt;&lt;wsp:rsid wsp:val=&quot;000C36F0&quot;/&gt;&lt;wsp:rsid wsp:val=&quot;000C3850&quot;/&gt;&lt;wsp:rsid wsp:val=&quot;000C3B1C&quot;/&gt;&lt;wsp:rsid wsp:val=&quot;000C3D26&quot;/&gt;&lt;wsp:rsid wsp:val=&quot;000C3E41&quot;/&gt;&lt;wsp:rsid wsp:val=&quot;000C40E5&quot;/&gt;&lt;wsp:rsid wsp:val=&quot;000C458C&quot;/&gt;&lt;wsp:rsid wsp:val=&quot;000C4D5D&quot;/&gt;&lt;wsp:rsid wsp:val=&quot;000C55A4&quot;/&gt;&lt;wsp:rsid wsp:val=&quot;000C5DF7&quot;/&gt;&lt;wsp:rsid wsp:val=&quot;000C6617&quot;/&gt;&lt;wsp:rsid wsp:val=&quot;000C68A4&quot;/&gt;&lt;wsp:rsid wsp:val=&quot;000C695C&quot;/&gt;&lt;wsp:rsid wsp:val=&quot;000C7051&quot;/&gt;&lt;wsp:rsid wsp:val=&quot;000C75BD&quot;/&gt;&lt;wsp:rsid wsp:val=&quot;000C771E&quot;/&gt;&lt;wsp:rsid wsp:val=&quot;000C7AF7&quot;/&gt;&lt;wsp:rsid wsp:val=&quot;000C7FDE&quot;/&gt;&lt;wsp:rsid wsp:val=&quot;000D024B&quot;/&gt;&lt;wsp:rsid wsp:val=&quot;000D03D3&quot;/&gt;&lt;wsp:rsid wsp:val=&quot;000D04D2&quot;/&gt;&lt;wsp:rsid wsp:val=&quot;000D05CB&quot;/&gt;&lt;wsp:rsid wsp:val=&quot;000D06AA&quot;/&gt;&lt;wsp:rsid wsp:val=&quot;000D0A5E&quot;/&gt;&lt;wsp:rsid wsp:val=&quot;000D0E34&quot;/&gt;&lt;wsp:rsid wsp:val=&quot;000D123D&quot;/&gt;&lt;wsp:rsid wsp:val=&quot;000D12B2&quot;/&gt;&lt;wsp:rsid wsp:val=&quot;000D1489&quot;/&gt;&lt;wsp:rsid wsp:val=&quot;000D1698&quot;/&gt;&lt;wsp:rsid wsp:val=&quot;000D1A50&quot;/&gt;&lt;wsp:rsid wsp:val=&quot;000D1C03&quot;/&gt;&lt;wsp:rsid wsp:val=&quot;000D1D53&quot;/&gt;&lt;wsp:rsid wsp:val=&quot;000D232C&quot;/&gt;&lt;wsp:rsid wsp:val=&quot;000D285E&quot;/&gt;&lt;wsp:rsid wsp:val=&quot;000D28F0&quot;/&gt;&lt;wsp:rsid wsp:val=&quot;000D296A&quot;/&gt;&lt;wsp:rsid wsp:val=&quot;000D2992&quot;/&gt;&lt;wsp:rsid wsp:val=&quot;000D2C72&quot;/&gt;&lt;wsp:rsid wsp:val=&quot;000D31FD&quot;/&gt;&lt;wsp:rsid wsp:val=&quot;000D3378&quot;/&gt;&lt;wsp:rsid wsp:val=&quot;000D35B2&quot;/&gt;&lt;wsp:rsid wsp:val=&quot;000D3671&quot;/&gt;&lt;wsp:rsid wsp:val=&quot;000D409D&quot;/&gt;&lt;wsp:rsid wsp:val=&quot;000D4513&quot;/&gt;&lt;wsp:rsid wsp:val=&quot;000D4CD0&quot;/&gt;&lt;wsp:rsid wsp:val=&quot;000D4D1D&quot;/&gt;&lt;wsp:rsid wsp:val=&quot;000D4DC6&quot;/&gt;&lt;wsp:rsid wsp:val=&quot;000D4F86&quot;/&gt;&lt;wsp:rsid wsp:val=&quot;000D50D1&quot;/&gt;&lt;wsp:rsid wsp:val=&quot;000D54E7&quot;/&gt;&lt;wsp:rsid wsp:val=&quot;000D5542&quot;/&gt;&lt;wsp:rsid wsp:val=&quot;000D569C&quot;/&gt;&lt;wsp:rsid wsp:val=&quot;000D57B5&quot;/&gt;&lt;wsp:rsid wsp:val=&quot;000D580C&quot;/&gt;&lt;wsp:rsid wsp:val=&quot;000D5848&quot;/&gt;&lt;wsp:rsid wsp:val=&quot;000D59E3&quot;/&gt;&lt;wsp:rsid wsp:val=&quot;000D5ACC&quot;/&gt;&lt;wsp:rsid wsp:val=&quot;000D5E6D&quot;/&gt;&lt;wsp:rsid wsp:val=&quot;000D5ED1&quot;/&gt;&lt;wsp:rsid wsp:val=&quot;000D6903&quot;/&gt;&lt;wsp:rsid wsp:val=&quot;000D6F84&quot;/&gt;&lt;wsp:rsid wsp:val=&quot;000D6FE1&quot;/&gt;&lt;wsp:rsid wsp:val=&quot;000D708D&quot;/&gt;&lt;wsp:rsid wsp:val=&quot;000D753B&quot;/&gt;&lt;wsp:rsid wsp:val=&quot;000D7FBD&quot;/&gt;&lt;wsp:rsid wsp:val=&quot;000E00E8&quot;/&gt;&lt;wsp:rsid wsp:val=&quot;000E013F&quot;/&gt;&lt;wsp:rsid wsp:val=&quot;000E08A7&quot;/&gt;&lt;wsp:rsid wsp:val=&quot;000E0D19&quot;/&gt;&lt;wsp:rsid wsp:val=&quot;000E1064&quot;/&gt;&lt;wsp:rsid wsp:val=&quot;000E1137&quot;/&gt;&lt;wsp:rsid wsp:val=&quot;000E1324&quot;/&gt;&lt;wsp:rsid wsp:val=&quot;000E147C&quot;/&gt;&lt;wsp:rsid wsp:val=&quot;000E16EE&quot;/&gt;&lt;wsp:rsid wsp:val=&quot;000E1736&quot;/&gt;&lt;wsp:rsid wsp:val=&quot;000E1B5F&quot;/&gt;&lt;wsp:rsid wsp:val=&quot;000E20CF&quot;/&gt;&lt;wsp:rsid wsp:val=&quot;000E2277&quot;/&gt;&lt;wsp:rsid wsp:val=&quot;000E22A7&quot;/&gt;&lt;wsp:rsid wsp:val=&quot;000E22ED&quot;/&gt;&lt;wsp:rsid wsp:val=&quot;000E25F1&quot;/&gt;&lt;wsp:rsid wsp:val=&quot;000E2A13&quot;/&gt;&lt;wsp:rsid wsp:val=&quot;000E32F7&quot;/&gt;&lt;wsp:rsid wsp:val=&quot;000E381E&quot;/&gt;&lt;wsp:rsid wsp:val=&quot;000E3AEB&quot;/&gt;&lt;wsp:rsid wsp:val=&quot;000E4019&quot;/&gt;&lt;wsp:rsid wsp:val=&quot;000E4421&quot;/&gt;&lt;wsp:rsid wsp:val=&quot;000E4906&quot;/&gt;&lt;wsp:rsid wsp:val=&quot;000E4CA2&quot;/&gt;&lt;wsp:rsid wsp:val=&quot;000E4F6D&quot;/&gt;&lt;wsp:rsid wsp:val=&quot;000E5496&quot;/&gt;&lt;wsp:rsid wsp:val=&quot;000E56AD&quot;/&gt;&lt;wsp:rsid wsp:val=&quot;000E56C5&quot;/&gt;&lt;wsp:rsid wsp:val=&quot;000E5B04&quot;/&gt;&lt;wsp:rsid wsp:val=&quot;000E64B9&quot;/&gt;&lt;wsp:rsid wsp:val=&quot;000E6562&quot;/&gt;&lt;wsp:rsid wsp:val=&quot;000E6586&quot;/&gt;&lt;wsp:rsid wsp:val=&quot;000E72CA&quot;/&gt;&lt;wsp:rsid wsp:val=&quot;000E7460&quot;/&gt;&lt;wsp:rsid wsp:val=&quot;000E785F&quot;/&gt;&lt;wsp:rsid wsp:val=&quot;000F0095&quot;/&gt;&lt;wsp:rsid wsp:val=&quot;000F0866&quot;/&gt;&lt;wsp:rsid wsp:val=&quot;000F08DE&quot;/&gt;&lt;wsp:rsid wsp:val=&quot;000F0AEA&quot;/&gt;&lt;wsp:rsid wsp:val=&quot;000F0B14&quot;/&gt;&lt;wsp:rsid wsp:val=&quot;000F0D9D&quot;/&gt;&lt;wsp:rsid wsp:val=&quot;000F1187&quot;/&gt;&lt;wsp:rsid wsp:val=&quot;000F13C2&quot;/&gt;&lt;wsp:rsid wsp:val=&quot;000F15F2&quot;/&gt;&lt;wsp:rsid wsp:val=&quot;000F1830&quot;/&gt;&lt;wsp:rsid wsp:val=&quot;000F2759&quot;/&gt;&lt;wsp:rsid wsp:val=&quot;000F317F&quot;/&gt;&lt;wsp:rsid wsp:val=&quot;000F337B&quot;/&gt;&lt;wsp:rsid wsp:val=&quot;000F3CC7&quot;/&gt;&lt;wsp:rsid wsp:val=&quot;000F403D&quot;/&gt;&lt;wsp:rsid wsp:val=&quot;000F4287&quot;/&gt;&lt;wsp:rsid wsp:val=&quot;000F4389&quot;/&gt;&lt;wsp:rsid wsp:val=&quot;000F484B&quot;/&gt;&lt;wsp:rsid wsp:val=&quot;000F4FAE&quot;/&gt;&lt;wsp:rsid wsp:val=&quot;000F5591&quot;/&gt;&lt;wsp:rsid wsp:val=&quot;000F57E4&quot;/&gt;&lt;wsp:rsid wsp:val=&quot;000F5C16&quot;/&gt;&lt;wsp:rsid wsp:val=&quot;000F60E6&quot;/&gt;&lt;wsp:rsid wsp:val=&quot;000F6F5B&quot;/&gt;&lt;wsp:rsid wsp:val=&quot;000F743B&quot;/&gt;&lt;wsp:rsid wsp:val=&quot;000F79ED&quot;/&gt;&lt;wsp:rsid wsp:val=&quot;000F7E8F&quot;/&gt;&lt;wsp:rsid wsp:val=&quot;00100565&quot;/&gt;&lt;wsp:rsid wsp:val=&quot;0010079F&quot;/&gt;&lt;wsp:rsid wsp:val=&quot;001007F6&quot;/&gt;&lt;wsp:rsid wsp:val=&quot;0010085A&quot;/&gt;&lt;wsp:rsid wsp:val=&quot;00100B18&quot;/&gt;&lt;wsp:rsid wsp:val=&quot;00100C0C&quot;/&gt;&lt;wsp:rsid wsp:val=&quot;00100FA1&quot;/&gt;&lt;wsp:rsid wsp:val=&quot;00100FA5&quot;/&gt;&lt;wsp:rsid wsp:val=&quot;0010136D&quot;/&gt;&lt;wsp:rsid wsp:val=&quot;001013C0&quot;/&gt;&lt;wsp:rsid wsp:val=&quot;0010153E&quot;/&gt;&lt;wsp:rsid wsp:val=&quot;001017D1&quot;/&gt;&lt;wsp:rsid wsp:val=&quot;00101889&quot;/&gt;&lt;wsp:rsid wsp:val=&quot;00101BF0&quot;/&gt;&lt;wsp:rsid wsp:val=&quot;00102343&quot;/&gt;&lt;wsp:rsid wsp:val=&quot;00102433&quot;/&gt;&lt;wsp:rsid wsp:val=&quot;00102564&quot;/&gt;&lt;wsp:rsid wsp:val=&quot;001028FB&quot;/&gt;&lt;wsp:rsid wsp:val=&quot;0010291C&quot;/&gt;&lt;wsp:rsid wsp:val=&quot;00102B88&quot;/&gt;&lt;wsp:rsid wsp:val=&quot;00102C99&quot;/&gt;&lt;wsp:rsid wsp:val=&quot;00103887&quot;/&gt;&lt;wsp:rsid wsp:val=&quot;00103962&quot;/&gt;&lt;wsp:rsid wsp:val=&quot;00103D38&quot;/&gt;&lt;wsp:rsid wsp:val=&quot;00104722&quot;/&gt;&lt;wsp:rsid wsp:val=&quot;00104A66&quot;/&gt;&lt;wsp:rsid wsp:val=&quot;00104A96&quot;/&gt;&lt;wsp:rsid wsp:val=&quot;00104DF2&quot;/&gt;&lt;wsp:rsid wsp:val=&quot;00104E38&quot;/&gt;&lt;wsp:rsid wsp:val=&quot;00104E39&quot;/&gt;&lt;wsp:rsid wsp:val=&quot;001053AC&quot;/&gt;&lt;wsp:rsid wsp:val=&quot;001055E1&quot;/&gt;&lt;wsp:rsid wsp:val=&quot;001057A1&quot;/&gt;&lt;wsp:rsid wsp:val=&quot;00105C11&quot;/&gt;&lt;wsp:rsid wsp:val=&quot;00105CA0&quot;/&gt;&lt;wsp:rsid wsp:val=&quot;0010630B&quot;/&gt;&lt;wsp:rsid wsp:val=&quot;0010653D&quot;/&gt;&lt;wsp:rsid wsp:val=&quot;0010728C&quot;/&gt;&lt;wsp:rsid wsp:val=&quot;00107807&quot;/&gt;&lt;wsp:rsid wsp:val=&quot;0010780B&quot;/&gt;&lt;wsp:rsid wsp:val=&quot;0010794E&quot;/&gt;&lt;wsp:rsid wsp:val=&quot;00107B11&quot;/&gt;&lt;wsp:rsid wsp:val=&quot;00107B79&quot;/&gt;&lt;wsp:rsid wsp:val=&quot;00107D7C&quot;/&gt;&lt;wsp:rsid wsp:val=&quot;00107DE6&quot;/&gt;&lt;wsp:rsid wsp:val=&quot;00110460&quot;/&gt;&lt;wsp:rsid wsp:val=&quot;00110AD1&quot;/&gt;&lt;wsp:rsid wsp:val=&quot;00110B44&quot;/&gt;&lt;wsp:rsid wsp:val=&quot;00110C30&quot;/&gt;&lt;wsp:rsid wsp:val=&quot;00110DE8&quot;/&gt;&lt;wsp:rsid wsp:val=&quot;00111278&quot;/&gt;&lt;wsp:rsid wsp:val=&quot;00111481&quot;/&gt;&lt;wsp:rsid wsp:val=&quot;00111703&quot;/&gt;&lt;wsp:rsid wsp:val=&quot;001122D9&quot;/&gt;&lt;wsp:rsid wsp:val=&quot;001125E5&quot;/&gt;&lt;wsp:rsid wsp:val=&quot;001125E7&quot;/&gt;&lt;wsp:rsid wsp:val=&quot;0011327A&quot;/&gt;&lt;wsp:rsid wsp:val=&quot;001132D9&quot;/&gt;&lt;wsp:rsid wsp:val=&quot;00113605&quot;/&gt;&lt;wsp:rsid wsp:val=&quot;00113943&quot;/&gt;&lt;wsp:rsid wsp:val=&quot;00113975&quot;/&gt;&lt;wsp:rsid wsp:val=&quot;00113AE1&quot;/&gt;&lt;wsp:rsid wsp:val=&quot;00113D29&quot;/&gt;&lt;wsp:rsid wsp:val=&quot;0011400E&quot;/&gt;&lt;wsp:rsid wsp:val=&quot;0011403F&quot;/&gt;&lt;wsp:rsid wsp:val=&quot;001144DA&quot;/&gt;&lt;wsp:rsid wsp:val=&quot;0011463D&quot;/&gt;&lt;wsp:rsid wsp:val=&quot;001147C3&quot;/&gt;&lt;wsp:rsid wsp:val=&quot;00115092&quot;/&gt;&lt;wsp:rsid wsp:val=&quot;001151F3&quot;/&gt;&lt;wsp:rsid wsp:val=&quot;001151FC&quot;/&gt;&lt;wsp:rsid wsp:val=&quot;00115369&quot;/&gt;&lt;wsp:rsid wsp:val=&quot;00115564&quot;/&gt;&lt;wsp:rsid wsp:val=&quot;00115E0B&quot;/&gt;&lt;wsp:rsid wsp:val=&quot;00115E7A&quot;/&gt;&lt;wsp:rsid wsp:val=&quot;00115FB8&quot;/&gt;&lt;wsp:rsid wsp:val=&quot;001163B4&quot;/&gt;&lt;wsp:rsid wsp:val=&quot;0011652B&quot;/&gt;&lt;wsp:rsid wsp:val=&quot;0011673A&quot;/&gt;&lt;wsp:rsid wsp:val=&quot;001167F3&quot;/&gt;&lt;wsp:rsid wsp:val=&quot;0011681B&quot;/&gt;&lt;wsp:rsid wsp:val=&quot;00116D9F&quot;/&gt;&lt;wsp:rsid wsp:val=&quot;00117135&quot;/&gt;&lt;wsp:rsid wsp:val=&quot;00117DF4&quot;/&gt;&lt;wsp:rsid wsp:val=&quot;00117E44&quot;/&gt;&lt;wsp:rsid wsp:val=&quot;001208F5&quot;/&gt;&lt;wsp:rsid wsp:val=&quot;00120EEF&quot;/&gt;&lt;wsp:rsid wsp:val=&quot;00121126&quot;/&gt;&lt;wsp:rsid wsp:val=&quot;00121370&quot;/&gt;&lt;wsp:rsid wsp:val=&quot;00121427&quot;/&gt;&lt;wsp:rsid wsp:val=&quot;00121B9F&quot;/&gt;&lt;wsp:rsid wsp:val=&quot;001225E5&quot;/&gt;&lt;wsp:rsid wsp:val=&quot;00123406&quot;/&gt;&lt;wsp:rsid wsp:val=&quot;00124033&quot;/&gt;&lt;wsp:rsid wsp:val=&quot;0012413D&quot;/&gt;&lt;wsp:rsid wsp:val=&quot;0012415F&quot;/&gt;&lt;wsp:rsid wsp:val=&quot;0012466D&quot;/&gt;&lt;wsp:rsid wsp:val=&quot;001246E9&quot;/&gt;&lt;wsp:rsid wsp:val=&quot;00124768&quot;/&gt;&lt;wsp:rsid wsp:val=&quot;0012480C&quot;/&gt;&lt;wsp:rsid wsp:val=&quot;00124B97&quot;/&gt;&lt;wsp:rsid wsp:val=&quot;00124D10&quot;/&gt;&lt;wsp:rsid wsp:val=&quot;00124EFA&quot;/&gt;&lt;wsp:rsid wsp:val=&quot;001253F8&quot;/&gt;&lt;wsp:rsid wsp:val=&quot;001256E6&quot;/&gt;&lt;wsp:rsid wsp:val=&quot;00125704&quot;/&gt;&lt;wsp:rsid wsp:val=&quot;00125993&quot;/&gt;&lt;wsp:rsid wsp:val=&quot;00125E3E&quot;/&gt;&lt;wsp:rsid wsp:val=&quot;00125EC8&quot;/&gt;&lt;wsp:rsid wsp:val=&quot;001267F3&quot;/&gt;&lt;wsp:rsid wsp:val=&quot;00126B33&quot;/&gt;&lt;wsp:rsid wsp:val=&quot;00126B66&quot;/&gt;&lt;wsp:rsid wsp:val=&quot;00126C2D&quot;/&gt;&lt;wsp:rsid wsp:val=&quot;001275D2&quot;/&gt;&lt;wsp:rsid wsp:val=&quot;0012786E&quot;/&gt;&lt;wsp:rsid wsp:val=&quot;00127BAB&quot;/&gt;&lt;wsp:rsid wsp:val=&quot;00127E98&quot;/&gt;&lt;wsp:rsid wsp:val=&quot;00127FB2&quot;/&gt;&lt;wsp:rsid wsp:val=&quot;00127FB5&quot;/&gt;&lt;wsp:rsid wsp:val=&quot;00130A74&quot;/&gt;&lt;wsp:rsid wsp:val=&quot;00130C1F&quot;/&gt;&lt;wsp:rsid wsp:val=&quot;00130DF6&quot;/&gt;&lt;wsp:rsid wsp:val=&quot;001312C9&quot;/&gt;&lt;wsp:rsid wsp:val=&quot;001321C2&quot;/&gt;&lt;wsp:rsid wsp:val=&quot;0013228C&quot;/&gt;&lt;wsp:rsid wsp:val=&quot;00132445&quot;/&gt;&lt;wsp:rsid wsp:val=&quot;001324E1&quot;/&gt;&lt;wsp:rsid wsp:val=&quot;00132A51&quot;/&gt;&lt;wsp:rsid wsp:val=&quot;00132F01&quot;/&gt;&lt;wsp:rsid wsp:val=&quot;001331C9&quot;/&gt;&lt;wsp:rsid wsp:val=&quot;00133252&quot;/&gt;&lt;wsp:rsid wsp:val=&quot;0013329B&quot;/&gt;&lt;wsp:rsid wsp:val=&quot;0013382F&quot;/&gt;&lt;wsp:rsid wsp:val=&quot;00133B6E&quot;/&gt;&lt;wsp:rsid wsp:val=&quot;00133C59&quot;/&gt;&lt;wsp:rsid wsp:val=&quot;001340D6&quot;/&gt;&lt;wsp:rsid wsp:val=&quot;0013449E&quot;/&gt;&lt;wsp:rsid wsp:val=&quot;001348A5&quot;/&gt;&lt;wsp:rsid wsp:val=&quot;00134C65&quot;/&gt;&lt;wsp:rsid wsp:val=&quot;00135B13&quot;/&gt;&lt;wsp:rsid wsp:val=&quot;00135BE2&quot;/&gt;&lt;wsp:rsid wsp:val=&quot;00135E40&quot;/&gt;&lt;wsp:rsid wsp:val=&quot;00136038&quot;/&gt;&lt;wsp:rsid wsp:val=&quot;00136172&quot;/&gt;&lt;wsp:rsid wsp:val=&quot;00136726&quot;/&gt;&lt;wsp:rsid wsp:val=&quot;0013675C&quot;/&gt;&lt;wsp:rsid wsp:val=&quot;00136943&quot;/&gt;&lt;wsp:rsid wsp:val=&quot;00136DD5&quot;/&gt;&lt;wsp:rsid wsp:val=&quot;00137CD1&quot;/&gt;&lt;wsp:rsid wsp:val=&quot;00137DDF&quot;/&gt;&lt;wsp:rsid wsp:val=&quot;00140462&quot;/&gt;&lt;wsp:rsid wsp:val=&quot;001405F2&quot;/&gt;&lt;wsp:rsid wsp:val=&quot;00140671&quot;/&gt;&lt;wsp:rsid wsp:val=&quot;00140930&quot;/&gt;&lt;wsp:rsid wsp:val=&quot;00140D73&quot;/&gt;&lt;wsp:rsid wsp:val=&quot;0014116A&quot;/&gt;&lt;wsp:rsid wsp:val=&quot;0014122E&quot;/&gt;&lt;wsp:rsid wsp:val=&quot;001412BE&quot;/&gt;&lt;wsp:rsid wsp:val=&quot;0014148D&quot;/&gt;&lt;wsp:rsid wsp:val=&quot;00141775&quot;/&gt;&lt;wsp:rsid wsp:val=&quot;001419DB&quot;/&gt;&lt;wsp:rsid wsp:val=&quot;00141C07&quot;/&gt;&lt;wsp:rsid wsp:val=&quot;00141C08&quot;/&gt;&lt;wsp:rsid wsp:val=&quot;00141C38&quot;/&gt;&lt;wsp:rsid wsp:val=&quot;00141EB4&quot;/&gt;&lt;wsp:rsid wsp:val=&quot;00141F2E&quot;/&gt;&lt;wsp:rsid wsp:val=&quot;00141FDD&quot;/&gt;&lt;wsp:rsid wsp:val=&quot;0014294F&quot;/&gt;&lt;wsp:rsid wsp:val=&quot;001429CB&quot;/&gt;&lt;wsp:rsid wsp:val=&quot;00142FE8&quot;/&gt;&lt;wsp:rsid wsp:val=&quot;0014322A&quot;/&gt;&lt;wsp:rsid wsp:val=&quot;001436EE&quot;/&gt;&lt;wsp:rsid wsp:val=&quot;00143B0F&quot;/&gt;&lt;wsp:rsid wsp:val=&quot;00143BC4&quot;/&gt;&lt;wsp:rsid wsp:val=&quot;00143C67&quot;/&gt;&lt;wsp:rsid wsp:val=&quot;00143F7F&quot;/&gt;&lt;wsp:rsid wsp:val=&quot;00144047&quot;/&gt;&lt;wsp:rsid wsp:val=&quot;00144059&quot;/&gt;&lt;wsp:rsid wsp:val=&quot;001440E7&quot;/&gt;&lt;wsp:rsid wsp:val=&quot;00144344&quot;/&gt;&lt;wsp:rsid wsp:val=&quot;00144374&quot;/&gt;&lt;wsp:rsid wsp:val=&quot;0014437D&quot;/&gt;&lt;wsp:rsid wsp:val=&quot;0014466E&quot;/&gt;&lt;wsp:rsid wsp:val=&quot;00144673&quot;/&gt;&lt;wsp:rsid wsp:val=&quot;001446D2&quot;/&gt;&lt;wsp:rsid wsp:val=&quot;00144726&quot;/&gt;&lt;wsp:rsid wsp:val=&quot;00144767&quot;/&gt;&lt;wsp:rsid wsp:val=&quot;0014490D&quot;/&gt;&lt;wsp:rsid wsp:val=&quot;00144F35&quot;/&gt;&lt;wsp:rsid wsp:val=&quot;00145331&quot;/&gt;&lt;wsp:rsid wsp:val=&quot;001455DE&quot;/&gt;&lt;wsp:rsid wsp:val=&quot;00145803&quot;/&gt;&lt;wsp:rsid wsp:val=&quot;00145BF2&quot;/&gt;&lt;wsp:rsid wsp:val=&quot;00145C4D&quot;/&gt;&lt;wsp:rsid wsp:val=&quot;00146184&quot;/&gt;&lt;wsp:rsid wsp:val=&quot;00146391&quot;/&gt;&lt;wsp:rsid wsp:val=&quot;00146607&quot;/&gt;&lt;wsp:rsid wsp:val=&quot;0014699F&quot;/&gt;&lt;wsp:rsid wsp:val=&quot;00146A2F&quot;/&gt;&lt;wsp:rsid wsp:val=&quot;00146B05&quot;/&gt;&lt;wsp:rsid wsp:val=&quot;00146C8A&quot;/&gt;&lt;wsp:rsid wsp:val=&quot;00146D55&quot;/&gt;&lt;wsp:rsid wsp:val=&quot;00146F18&quot;/&gt;&lt;wsp:rsid wsp:val=&quot;00147126&quot;/&gt;&lt;wsp:rsid wsp:val=&quot;0014724F&quot;/&gt;&lt;wsp:rsid wsp:val=&quot;00147295&quot;/&gt;&lt;wsp:rsid wsp:val=&quot;00147818&quot;/&gt;&lt;wsp:rsid wsp:val=&quot;00147FEF&quot;/&gt;&lt;wsp:rsid wsp:val=&quot;00150376&quot;/&gt;&lt;wsp:rsid wsp:val=&quot;001503D0&quot;/&gt;&lt;wsp:rsid wsp:val=&quot;00150521&quot;/&gt;&lt;wsp:rsid wsp:val=&quot;00150814&quot;/&gt;&lt;wsp:rsid wsp:val=&quot;0015087D&quot;/&gt;&lt;wsp:rsid wsp:val=&quot;0015097F&quot;/&gt;&lt;wsp:rsid wsp:val=&quot;001509CA&quot;/&gt;&lt;wsp:rsid wsp:val=&quot;00150C1E&quot;/&gt;&lt;wsp:rsid wsp:val=&quot;0015167F&quot;/&gt;&lt;wsp:rsid wsp:val=&quot;00151943&quot;/&gt;&lt;wsp:rsid wsp:val=&quot;00151F94&quot;/&gt;&lt;wsp:rsid wsp:val=&quot;001524FB&quot;/&gt;&lt;wsp:rsid wsp:val=&quot;00152701&quot;/&gt;&lt;wsp:rsid wsp:val=&quot;00152B08&quot;/&gt;&lt;wsp:rsid wsp:val=&quot;00153540&quot;/&gt;&lt;wsp:rsid wsp:val=&quot;00153976&quot;/&gt;&lt;wsp:rsid wsp:val=&quot;00153DAE&quot;/&gt;&lt;wsp:rsid wsp:val=&quot;00153DC2&quot;/&gt;&lt;wsp:rsid wsp:val=&quot;001540BA&quot;/&gt;&lt;wsp:rsid wsp:val=&quot;00154274&quot;/&gt;&lt;wsp:rsid wsp:val=&quot;001543E0&quot;/&gt;&lt;wsp:rsid wsp:val=&quot;00154653&quot;/&gt;&lt;wsp:rsid wsp:val=&quot;00154F6D&quot;/&gt;&lt;wsp:rsid wsp:val=&quot;001556FC&quot;/&gt;&lt;wsp:rsid wsp:val=&quot;0015573A&quot;/&gt;&lt;wsp:rsid wsp:val=&quot;00155EEA&quot;/&gt;&lt;wsp:rsid wsp:val=&quot;00155FD9&quot;/&gt;&lt;wsp:rsid wsp:val=&quot;00156434&quot;/&gt;&lt;wsp:rsid wsp:val=&quot;00156556&quot;/&gt;&lt;wsp:rsid wsp:val=&quot;00156744&quot;/&gt;&lt;wsp:rsid wsp:val=&quot;00157387&quot;/&gt;&lt;wsp:rsid wsp:val=&quot;00157584&quot;/&gt;&lt;wsp:rsid wsp:val=&quot;001575D4&quot;/&gt;&lt;wsp:rsid wsp:val=&quot;001575F8&quot;/&gt;&lt;wsp:rsid wsp:val=&quot;00157648&quot;/&gt;&lt;wsp:rsid wsp:val=&quot;00157866&quot;/&gt;&lt;wsp:rsid wsp:val=&quot;00157980&quot;/&gt;&lt;wsp:rsid wsp:val=&quot;00157E05&quot;/&gt;&lt;wsp:rsid wsp:val=&quot;00160454&quot;/&gt;&lt;wsp:rsid wsp:val=&quot;0016058D&quot;/&gt;&lt;wsp:rsid wsp:val=&quot;001607E5&quot;/&gt;&lt;wsp:rsid wsp:val=&quot;00160980&quot;/&gt;&lt;wsp:rsid wsp:val=&quot;00160AD4&quot;/&gt;&lt;wsp:rsid wsp:val=&quot;00160BC7&quot;/&gt;&lt;wsp:rsid wsp:val=&quot;0016130B&quot;/&gt;&lt;wsp:rsid wsp:val=&quot;00161353&quot;/&gt;&lt;wsp:rsid wsp:val=&quot;00161462&quot;/&gt;&lt;wsp:rsid wsp:val=&quot;00161490&quot;/&gt;&lt;wsp:rsid wsp:val=&quot;0016182B&quot;/&gt;&lt;wsp:rsid wsp:val=&quot;00161DB9&quot;/&gt;&lt;wsp:rsid wsp:val=&quot;00162104&quot;/&gt;&lt;wsp:rsid wsp:val=&quot;00162740&quot;/&gt;&lt;wsp:rsid wsp:val=&quot;001628A9&quot;/&gt;&lt;wsp:rsid wsp:val=&quot;00162E69&quot;/&gt;&lt;wsp:rsid wsp:val=&quot;00163665&quot;/&gt;&lt;wsp:rsid wsp:val=&quot;00163743&quot;/&gt;&lt;wsp:rsid wsp:val=&quot;00163994&quot;/&gt;&lt;wsp:rsid wsp:val=&quot;001639AB&quot;/&gt;&lt;wsp:rsid wsp:val=&quot;001645C3&quot;/&gt;&lt;wsp:rsid wsp:val=&quot;00164650&quot;/&gt;&lt;wsp:rsid wsp:val=&quot;001649E4&quot;/&gt;&lt;wsp:rsid wsp:val=&quot;00164C4E&quot;/&gt;&lt;wsp:rsid wsp:val=&quot;00164FC4&quot;/&gt;&lt;wsp:rsid wsp:val=&quot;001657A1&quot;/&gt;&lt;wsp:rsid wsp:val=&quot;00165961&quot;/&gt;&lt;wsp:rsid wsp:val=&quot;00165B3A&quot;/&gt;&lt;wsp:rsid wsp:val=&quot;001669D3&quot;/&gt;&lt;wsp:rsid wsp:val=&quot;00166F4B&quot;/&gt;&lt;wsp:rsid wsp:val=&quot;00166FBD&quot;/&gt;&lt;wsp:rsid wsp:val=&quot;0016714B&quot;/&gt;&lt;wsp:rsid wsp:val=&quot;001674EC&quot;/&gt;&lt;wsp:rsid wsp:val=&quot;00167577&quot;/&gt;&lt;wsp:rsid wsp:val=&quot;0017016D&quot;/&gt;&lt;wsp:rsid wsp:val=&quot;001701DB&quot;/&gt;&lt;wsp:rsid wsp:val=&quot;001702AB&quot;/&gt;&lt;wsp:rsid wsp:val=&quot;001702D1&quot;/&gt;&lt;wsp:rsid wsp:val=&quot;001711EE&quot;/&gt;&lt;wsp:rsid wsp:val=&quot;001715F7&quot;/&gt;&lt;wsp:rsid wsp:val=&quot;00171C5B&quot;/&gt;&lt;wsp:rsid wsp:val=&quot;00171D1D&quot;/&gt;&lt;wsp:rsid wsp:val=&quot;00171D8A&quot;/&gt;&lt;wsp:rsid wsp:val=&quot;00172378&quot;/&gt;&lt;wsp:rsid wsp:val=&quot;001727E1&quot;/&gt;&lt;wsp:rsid wsp:val=&quot;0017294C&quot;/&gt;&lt;wsp:rsid wsp:val=&quot;00172971&quot;/&gt;&lt;wsp:rsid wsp:val=&quot;00173011&quot;/&gt;&lt;wsp:rsid wsp:val=&quot;0017323B&quot;/&gt;&lt;wsp:rsid wsp:val=&quot;00173241&quot;/&gt;&lt;wsp:rsid wsp:val=&quot;00173670&quot;/&gt;&lt;wsp:rsid wsp:val=&quot;0017389A&quot;/&gt;&lt;wsp:rsid wsp:val=&quot;00173C4A&quot;/&gt;&lt;wsp:rsid wsp:val=&quot;00173ECC&quot;/&gt;&lt;wsp:rsid wsp:val=&quot;00174454&quot;/&gt;&lt;wsp:rsid wsp:val=&quot;001745DE&quot;/&gt;&lt;wsp:rsid wsp:val=&quot;00175009&quot;/&gt;&lt;wsp:rsid wsp:val=&quot;001751C4&quot;/&gt;&lt;wsp:rsid wsp:val=&quot;00175348&quot;/&gt;&lt;wsp:rsid wsp:val=&quot;00175713&quot;/&gt;&lt;wsp:rsid wsp:val=&quot;00175844&quot;/&gt;&lt;wsp:rsid wsp:val=&quot;001762BD&quot;/&gt;&lt;wsp:rsid wsp:val=&quot;001769AA&quot;/&gt;&lt;wsp:rsid wsp:val=&quot;001773E7&quot;/&gt;&lt;wsp:rsid wsp:val=&quot;001774A5&quot;/&gt;&lt;wsp:rsid wsp:val=&quot;00177518&quot;/&gt;&lt;wsp:rsid wsp:val=&quot;001775EF&quot;/&gt;&lt;wsp:rsid wsp:val=&quot;00177C23&quot;/&gt;&lt;wsp:rsid wsp:val=&quot;00177C63&quot;/&gt;&lt;wsp:rsid wsp:val=&quot;00177D8A&quot;/&gt;&lt;wsp:rsid wsp:val=&quot;0018028C&quot;/&gt;&lt;wsp:rsid wsp:val=&quot;0018034A&quot;/&gt;&lt;wsp:rsid wsp:val=&quot;001804DC&quot;/&gt;&lt;wsp:rsid wsp:val=&quot;0018072A&quot;/&gt;&lt;wsp:rsid wsp:val=&quot;00180756&quot;/&gt;&lt;wsp:rsid wsp:val=&quot;001807D6&quot;/&gt;&lt;wsp:rsid wsp:val=&quot;00180838&quot;/&gt;&lt;wsp:rsid wsp:val=&quot;00180AB2&quot;/&gt;&lt;wsp:rsid wsp:val=&quot;00180AC9&quot;/&gt;&lt;wsp:rsid wsp:val=&quot;00180C62&quot;/&gt;&lt;wsp:rsid wsp:val=&quot;00180CB8&quot;/&gt;&lt;wsp:rsid wsp:val=&quot;0018185E&quot;/&gt;&lt;wsp:rsid wsp:val=&quot;00181916&quot;/&gt;&lt;wsp:rsid wsp:val=&quot;001819E1&quot;/&gt;&lt;wsp:rsid wsp:val=&quot;00181AF5&quot;/&gt;&lt;wsp:rsid wsp:val=&quot;00181D86&quot;/&gt;&lt;wsp:rsid wsp:val=&quot;00182435&quot;/&gt;&lt;wsp:rsid wsp:val=&quot;0018270F&quot;/&gt;&lt;wsp:rsid wsp:val=&quot;00182B5D&quot;/&gt;&lt;wsp:rsid wsp:val=&quot;00182C59&quot;/&gt;&lt;wsp:rsid wsp:val=&quot;00182D3D&quot;/&gt;&lt;wsp:rsid wsp:val=&quot;00182DD9&quot;/&gt;&lt;wsp:rsid wsp:val=&quot;001830E6&quot;/&gt;&lt;wsp:rsid wsp:val=&quot;001833EA&quot;/&gt;&lt;wsp:rsid wsp:val=&quot;0018344F&quot;/&gt;&lt;wsp:rsid wsp:val=&quot;00183C87&quot;/&gt;&lt;wsp:rsid wsp:val=&quot;00184DF4&quot;/&gt;&lt;wsp:rsid wsp:val=&quot;00184E1F&quot;/&gt;&lt;wsp:rsid wsp:val=&quot;00184E5F&quot;/&gt;&lt;wsp:rsid wsp:val=&quot;00184EA7&quot;/&gt;&lt;wsp:rsid wsp:val=&quot;00184F02&quot;/&gt;&lt;wsp:rsid wsp:val=&quot;001851CE&quot;/&gt;&lt;wsp:rsid wsp:val=&quot;001859B1&quot;/&gt;&lt;wsp:rsid wsp:val=&quot;0018645F&quot;/&gt;&lt;wsp:rsid wsp:val=&quot;00186981&quot;/&gt;&lt;wsp:rsid wsp:val=&quot;00186F25&quot;/&gt;&lt;wsp:rsid wsp:val=&quot;00187388&quot;/&gt;&lt;wsp:rsid wsp:val=&quot;00187D3C&quot;/&gt;&lt;wsp:rsid wsp:val=&quot;00187E46&quot;/&gt;&lt;wsp:rsid wsp:val=&quot;00190701&quot;/&gt;&lt;wsp:rsid wsp:val=&quot;00190B5D&quot;/&gt;&lt;wsp:rsid wsp:val=&quot;00190C3E&quot;/&gt;&lt;wsp:rsid wsp:val=&quot;00190EBA&quot;/&gt;&lt;wsp:rsid wsp:val=&quot;00191054&quot;/&gt;&lt;wsp:rsid wsp:val=&quot;0019249F&quot;/&gt;&lt;wsp:rsid wsp:val=&quot;00192717&quot;/&gt;&lt;wsp:rsid wsp:val=&quot;00192EA2&quot;/&gt;&lt;wsp:rsid wsp:val=&quot;00193079&quot;/&gt;&lt;wsp:rsid wsp:val=&quot;0019361F&quot;/&gt;&lt;wsp:rsid wsp:val=&quot;0019383D&quot;/&gt;&lt;wsp:rsid wsp:val=&quot;00194523&quot;/&gt;&lt;wsp:rsid wsp:val=&quot;0019482F&quot;/&gt;&lt;wsp:rsid wsp:val=&quot;00194E37&quot;/&gt;&lt;wsp:rsid wsp:val=&quot;00194EE0&quot;/&gt;&lt;wsp:rsid wsp:val=&quot;00195278&quot;/&gt;&lt;wsp:rsid wsp:val=&quot;001952EF&quot;/&gt;&lt;wsp:rsid wsp:val=&quot;0019531D&quot;/&gt;&lt;wsp:rsid wsp:val=&quot;001959E3&quot;/&gt;&lt;wsp:rsid wsp:val=&quot;00195B86&quot;/&gt;&lt;wsp:rsid wsp:val=&quot;00195F8B&quot;/&gt;&lt;wsp:rsid wsp:val=&quot;00196048&quot;/&gt;&lt;wsp:rsid wsp:val=&quot;00196061&quot;/&gt;&lt;wsp:rsid wsp:val=&quot;00196267&quot;/&gt;&lt;wsp:rsid wsp:val=&quot;001962DB&quot;/&gt;&lt;wsp:rsid wsp:val=&quot;001964A3&quot;/&gt;&lt;wsp:rsid wsp:val=&quot;001965B3&quot;/&gt;&lt;wsp:rsid wsp:val=&quot;0019674E&quot;/&gt;&lt;wsp:rsid wsp:val=&quot;0019686A&quot;/&gt;&lt;wsp:rsid wsp:val=&quot;00196903&quot;/&gt;&lt;wsp:rsid wsp:val=&quot;00196CEE&quot;/&gt;&lt;wsp:rsid wsp:val=&quot;00196D2C&quot;/&gt;&lt;wsp:rsid wsp:val=&quot;00196E61&quot;/&gt;&lt;wsp:rsid wsp:val=&quot;0019781F&quot;/&gt;&lt;wsp:rsid wsp:val=&quot;001978D8&quot;/&gt;&lt;wsp:rsid wsp:val=&quot;0019796F&quot;/&gt;&lt;wsp:rsid wsp:val=&quot;00197ACD&quot;/&gt;&lt;wsp:rsid wsp:val=&quot;00197BD5&quot;/&gt;&lt;wsp:rsid wsp:val=&quot;00197C63&quot;/&gt;&lt;wsp:rsid wsp:val=&quot;00197D10&quot;/&gt;&lt;wsp:rsid wsp:val=&quot;001A01F8&quot;/&gt;&lt;wsp:rsid wsp:val=&quot;001A0910&quot;/&gt;&lt;wsp:rsid wsp:val=&quot;001A0D8A&quot;/&gt;&lt;wsp:rsid wsp:val=&quot;001A1081&quot;/&gt;&lt;wsp:rsid wsp:val=&quot;001A137C&quot;/&gt;&lt;wsp:rsid wsp:val=&quot;001A15C6&quot;/&gt;&lt;wsp:rsid wsp:val=&quot;001A1E78&quot;/&gt;&lt;wsp:rsid wsp:val=&quot;001A24C9&quot;/&gt;&lt;wsp:rsid wsp:val=&quot;001A26BE&quot;/&gt;&lt;wsp:rsid wsp:val=&quot;001A2BC3&quot;/&gt;&lt;wsp:rsid wsp:val=&quot;001A3487&quot;/&gt;&lt;wsp:rsid wsp:val=&quot;001A3995&quot;/&gt;&lt;wsp:rsid wsp:val=&quot;001A4906&quot;/&gt;&lt;wsp:rsid wsp:val=&quot;001A4F58&quot;/&gt;&lt;wsp:rsid wsp:val=&quot;001A58EB&quot;/&gt;&lt;wsp:rsid wsp:val=&quot;001A5E4D&quot;/&gt;&lt;wsp:rsid wsp:val=&quot;001A5F78&quot;/&gt;&lt;wsp:rsid wsp:val=&quot;001A62C8&quot;/&gt;&lt;wsp:rsid wsp:val=&quot;001A642D&quot;/&gt;&lt;wsp:rsid wsp:val=&quot;001A65EA&quot;/&gt;&lt;wsp:rsid wsp:val=&quot;001A66B2&quot;/&gt;&lt;wsp:rsid wsp:val=&quot;001A7199&quot;/&gt;&lt;wsp:rsid wsp:val=&quot;001A7307&quot;/&gt;&lt;wsp:rsid wsp:val=&quot;001A786A&quot;/&gt;&lt;wsp:rsid wsp:val=&quot;001A7B4C&quot;/&gt;&lt;wsp:rsid wsp:val=&quot;001A7BCF&quot;/&gt;&lt;wsp:rsid wsp:val=&quot;001A7D02&quot;/&gt;&lt;wsp:rsid wsp:val=&quot;001A7E5E&quot;/&gt;&lt;wsp:rsid wsp:val=&quot;001A7E73&quot;/&gt;&lt;wsp:rsid wsp:val=&quot;001B0343&quot;/&gt;&lt;wsp:rsid wsp:val=&quot;001B0C29&quot;/&gt;&lt;wsp:rsid wsp:val=&quot;001B143F&quot;/&gt;&lt;wsp:rsid wsp:val=&quot;001B177A&quot;/&gt;&lt;wsp:rsid wsp:val=&quot;001B1E97&quot;/&gt;&lt;wsp:rsid wsp:val=&quot;001B1F9B&quot;/&gt;&lt;wsp:rsid wsp:val=&quot;001B2007&quot;/&gt;&lt;wsp:rsid wsp:val=&quot;001B24B5&quot;/&gt;&lt;wsp:rsid wsp:val=&quot;001B2C07&quot;/&gt;&lt;wsp:rsid wsp:val=&quot;001B2C65&quot;/&gt;&lt;wsp:rsid wsp:val=&quot;001B30B6&quot;/&gt;&lt;wsp:rsid wsp:val=&quot;001B3352&quot;/&gt;&lt;wsp:rsid wsp:val=&quot;001B366C&quot;/&gt;&lt;wsp:rsid wsp:val=&quot;001B480D&quot;/&gt;&lt;wsp:rsid wsp:val=&quot;001B50EC&quot;/&gt;&lt;wsp:rsid wsp:val=&quot;001B5245&quot;/&gt;&lt;wsp:rsid wsp:val=&quot;001B5723&quot;/&gt;&lt;wsp:rsid wsp:val=&quot;001B5778&quot;/&gt;&lt;wsp:rsid wsp:val=&quot;001B59EA&quot;/&gt;&lt;wsp:rsid wsp:val=&quot;001B5CF0&quot;/&gt;&lt;wsp:rsid wsp:val=&quot;001B5F1B&quot;/&gt;&lt;wsp:rsid wsp:val=&quot;001B5FC3&quot;/&gt;&lt;wsp:rsid wsp:val=&quot;001B6134&quot;/&gt;&lt;wsp:rsid wsp:val=&quot;001B62BE&quot;/&gt;&lt;wsp:rsid wsp:val=&quot;001B6449&quot;/&gt;&lt;wsp:rsid wsp:val=&quot;001B6589&quot;/&gt;&lt;wsp:rsid wsp:val=&quot;001B6727&quot;/&gt;&lt;wsp:rsid wsp:val=&quot;001B677A&quot;/&gt;&lt;wsp:rsid wsp:val=&quot;001B6841&quot;/&gt;&lt;wsp:rsid wsp:val=&quot;001B6EA0&quot;/&gt;&lt;wsp:rsid wsp:val=&quot;001B7237&quot;/&gt;&lt;wsp:rsid wsp:val=&quot;001B72A0&quot;/&gt;&lt;wsp:rsid wsp:val=&quot;001B72CE&quot;/&gt;&lt;wsp:rsid wsp:val=&quot;001B7314&quot;/&gt;&lt;wsp:rsid wsp:val=&quot;001B7436&quot;/&gt;&lt;wsp:rsid wsp:val=&quot;001B7EC8&quot;/&gt;&lt;wsp:rsid wsp:val=&quot;001C0401&quot;/&gt;&lt;wsp:rsid wsp:val=&quot;001C04E9&quot;/&gt;&lt;wsp:rsid wsp:val=&quot;001C0961&quot;/&gt;&lt;wsp:rsid wsp:val=&quot;001C0976&quot;/&gt;&lt;wsp:rsid wsp:val=&quot;001C09FF&quot;/&gt;&lt;wsp:rsid wsp:val=&quot;001C0A5F&quot;/&gt;&lt;wsp:rsid wsp:val=&quot;001C0AE9&quot;/&gt;&lt;wsp:rsid wsp:val=&quot;001C0B0E&quot;/&gt;&lt;wsp:rsid wsp:val=&quot;001C0C95&quot;/&gt;&lt;wsp:rsid wsp:val=&quot;001C0CD6&quot;/&gt;&lt;wsp:rsid wsp:val=&quot;001C16B9&quot;/&gt;&lt;wsp:rsid wsp:val=&quot;001C187C&quot;/&gt;&lt;wsp:rsid wsp:val=&quot;001C18C0&quot;/&gt;&lt;wsp:rsid wsp:val=&quot;001C1C58&quot;/&gt;&lt;wsp:rsid wsp:val=&quot;001C1CAC&quot;/&gt;&lt;wsp:rsid wsp:val=&quot;001C1CEE&quot;/&gt;&lt;wsp:rsid wsp:val=&quot;001C1D1F&quot;/&gt;&lt;wsp:rsid wsp:val=&quot;001C1D75&quot;/&gt;&lt;wsp:rsid wsp:val=&quot;001C2147&quot;/&gt;&lt;wsp:rsid wsp:val=&quot;001C26C9&quot;/&gt;&lt;wsp:rsid wsp:val=&quot;001C2A51&quot;/&gt;&lt;wsp:rsid wsp:val=&quot;001C2A5E&quot;/&gt;&lt;wsp:rsid wsp:val=&quot;001C2C7F&quot;/&gt;&lt;wsp:rsid wsp:val=&quot;001C2E20&quot;/&gt;&lt;wsp:rsid wsp:val=&quot;001C3050&quot;/&gt;&lt;wsp:rsid wsp:val=&quot;001C30A9&quot;/&gt;&lt;wsp:rsid wsp:val=&quot;001C3959&quot;/&gt;&lt;wsp:rsid wsp:val=&quot;001C3C48&quot;/&gt;&lt;wsp:rsid wsp:val=&quot;001C3C6C&quot;/&gt;&lt;wsp:rsid wsp:val=&quot;001C3F0F&quot;/&gt;&lt;wsp:rsid wsp:val=&quot;001C4AEA&quot;/&gt;&lt;wsp:rsid wsp:val=&quot;001C58BD&quot;/&gt;&lt;wsp:rsid wsp:val=&quot;001C5C69&quot;/&gt;&lt;wsp:rsid wsp:val=&quot;001C5C94&quot;/&gt;&lt;wsp:rsid wsp:val=&quot;001C5CEE&quot;/&gt;&lt;wsp:rsid wsp:val=&quot;001C5D71&quot;/&gt;&lt;wsp:rsid wsp:val=&quot;001C6447&quot;/&gt;&lt;wsp:rsid wsp:val=&quot;001C654D&quot;/&gt;&lt;wsp:rsid wsp:val=&quot;001C6B80&quot;/&gt;&lt;wsp:rsid wsp:val=&quot;001C70D3&quot;/&gt;&lt;wsp:rsid wsp:val=&quot;001C71F9&quot;/&gt;&lt;wsp:rsid wsp:val=&quot;001C7204&quot;/&gt;&lt;wsp:rsid wsp:val=&quot;001C7629&quot;/&gt;&lt;wsp:rsid wsp:val=&quot;001C7A9C&quot;/&gt;&lt;wsp:rsid wsp:val=&quot;001C7CE1&quot;/&gt;&lt;wsp:rsid wsp:val=&quot;001D00B9&quot;/&gt;&lt;wsp:rsid wsp:val=&quot;001D0A1C&quot;/&gt;&lt;wsp:rsid wsp:val=&quot;001D0B9D&quot;/&gt;&lt;wsp:rsid wsp:val=&quot;001D0C26&quot;/&gt;&lt;wsp:rsid wsp:val=&quot;001D0DE5&quot;/&gt;&lt;wsp:rsid wsp:val=&quot;001D10EF&quot;/&gt;&lt;wsp:rsid wsp:val=&quot;001D1184&quot;/&gt;&lt;wsp:rsid wsp:val=&quot;001D1322&quot;/&gt;&lt;wsp:rsid wsp:val=&quot;001D1489&quot;/&gt;&lt;wsp:rsid wsp:val=&quot;001D1803&quot;/&gt;&lt;wsp:rsid wsp:val=&quot;001D196E&quot;/&gt;&lt;wsp:rsid wsp:val=&quot;001D1F57&quot;/&gt;&lt;wsp:rsid wsp:val=&quot;001D2001&quot;/&gt;&lt;wsp:rsid wsp:val=&quot;001D2179&quot;/&gt;&lt;wsp:rsid wsp:val=&quot;001D23B3&quot;/&gt;&lt;wsp:rsid wsp:val=&quot;001D26B4&quot;/&gt;&lt;wsp:rsid wsp:val=&quot;001D26D4&quot;/&gt;&lt;wsp:rsid wsp:val=&quot;001D29DD&quot;/&gt;&lt;wsp:rsid wsp:val=&quot;001D2F24&quot;/&gt;&lt;wsp:rsid wsp:val=&quot;001D34A9&quot;/&gt;&lt;wsp:rsid wsp:val=&quot;001D38F3&quot;/&gt;&lt;wsp:rsid wsp:val=&quot;001D3900&quot;/&gt;&lt;wsp:rsid wsp:val=&quot;001D3B05&quot;/&gt;&lt;wsp:rsid wsp:val=&quot;001D4033&quot;/&gt;&lt;wsp:rsid wsp:val=&quot;001D40B1&quot;/&gt;&lt;wsp:rsid wsp:val=&quot;001D42F8&quot;/&gt;&lt;wsp:rsid wsp:val=&quot;001D45EE&quot;/&gt;&lt;wsp:rsid wsp:val=&quot;001D4B4C&quot;/&gt;&lt;wsp:rsid wsp:val=&quot;001D4BB6&quot;/&gt;&lt;wsp:rsid wsp:val=&quot;001D4C1E&quot;/&gt;&lt;wsp:rsid wsp:val=&quot;001D509C&quot;/&gt;&lt;wsp:rsid wsp:val=&quot;001D526E&quot;/&gt;&lt;wsp:rsid wsp:val=&quot;001D5701&quot;/&gt;&lt;wsp:rsid wsp:val=&quot;001D57C5&quot;/&gt;&lt;wsp:rsid wsp:val=&quot;001D5C93&quot;/&gt;&lt;wsp:rsid wsp:val=&quot;001D5E01&quot;/&gt;&lt;wsp:rsid wsp:val=&quot;001D5E5D&quot;/&gt;&lt;wsp:rsid wsp:val=&quot;001D5EE4&quot;/&gt;&lt;wsp:rsid wsp:val=&quot;001D6949&quot;/&gt;&lt;wsp:rsid wsp:val=&quot;001D73C5&quot;/&gt;&lt;wsp:rsid wsp:val=&quot;001D76F6&quot;/&gt;&lt;wsp:rsid wsp:val=&quot;001D775D&quot;/&gt;&lt;wsp:rsid wsp:val=&quot;001D786C&quot;/&gt;&lt;wsp:rsid wsp:val=&quot;001D7CC4&quot;/&gt;&lt;wsp:rsid wsp:val=&quot;001D7D2F&quot;/&gt;&lt;wsp:rsid wsp:val=&quot;001E0296&quot;/&gt;&lt;wsp:rsid wsp:val=&quot;001E04E8&quot;/&gt;&lt;wsp:rsid wsp:val=&quot;001E07A2&quot;/&gt;&lt;wsp:rsid wsp:val=&quot;001E08FD&quot;/&gt;&lt;wsp:rsid wsp:val=&quot;001E1354&quot;/&gt;&lt;wsp:rsid wsp:val=&quot;001E14B9&quot;/&gt;&lt;wsp:rsid wsp:val=&quot;001E18D9&quot;/&gt;&lt;wsp:rsid wsp:val=&quot;001E1FCF&quot;/&gt;&lt;wsp:rsid wsp:val=&quot;001E20FD&quot;/&gt;&lt;wsp:rsid wsp:val=&quot;001E2267&quot;/&gt;&lt;wsp:rsid wsp:val=&quot;001E2637&quot;/&gt;&lt;wsp:rsid wsp:val=&quot;001E2A20&quot;/&gt;&lt;wsp:rsid wsp:val=&quot;001E2D8A&quot;/&gt;&lt;wsp:rsid wsp:val=&quot;001E2EB0&quot;/&gt;&lt;wsp:rsid wsp:val=&quot;001E300D&quot;/&gt;&lt;wsp:rsid wsp:val=&quot;001E30B2&quot;/&gt;&lt;wsp:rsid wsp:val=&quot;001E373C&quot;/&gt;&lt;wsp:rsid wsp:val=&quot;001E3D7D&quot;/&gt;&lt;wsp:rsid wsp:val=&quot;001E3F78&quot;/&gt;&lt;wsp:rsid wsp:val=&quot;001E4198&quot;/&gt;&lt;wsp:rsid wsp:val=&quot;001E43ED&quot;/&gt;&lt;wsp:rsid wsp:val=&quot;001E4F2E&quot;/&gt;&lt;wsp:rsid wsp:val=&quot;001E5033&quot;/&gt;&lt;wsp:rsid wsp:val=&quot;001E5217&quot;/&gt;&lt;wsp:rsid wsp:val=&quot;001E572B&quot;/&gt;&lt;wsp:rsid wsp:val=&quot;001E5C1C&quot;/&gt;&lt;wsp:rsid wsp:val=&quot;001E5C97&quot;/&gt;&lt;wsp:rsid wsp:val=&quot;001E5EDA&quot;/&gt;&lt;wsp:rsid wsp:val=&quot;001E6651&quot;/&gt;&lt;wsp:rsid wsp:val=&quot;001E69EF&quot;/&gt;&lt;wsp:rsid wsp:val=&quot;001E6D44&quot;/&gt;&lt;wsp:rsid wsp:val=&quot;001E7750&quot;/&gt;&lt;wsp:rsid wsp:val=&quot;001E7880&quot;/&gt;&lt;wsp:rsid wsp:val=&quot;001E7EF3&quot;/&gt;&lt;wsp:rsid wsp:val=&quot;001E7F09&quot;/&gt;&lt;wsp:rsid wsp:val=&quot;001F059E&quot;/&gt;&lt;wsp:rsid wsp:val=&quot;001F087D&quot;/&gt;&lt;wsp:rsid wsp:val=&quot;001F0A2D&quot;/&gt;&lt;wsp:rsid wsp:val=&quot;001F0AF1&quot;/&gt;&lt;wsp:rsid wsp:val=&quot;001F1028&quot;/&gt;&lt;wsp:rsid wsp:val=&quot;001F1230&quot;/&gt;&lt;wsp:rsid wsp:val=&quot;001F1778&quot;/&gt;&lt;wsp:rsid wsp:val=&quot;001F1A47&quot;/&gt;&lt;wsp:rsid wsp:val=&quot;001F1C7D&quot;/&gt;&lt;wsp:rsid wsp:val=&quot;001F1D47&quot;/&gt;&lt;wsp:rsid wsp:val=&quot;001F2564&quot;/&gt;&lt;wsp:rsid wsp:val=&quot;001F2779&quot;/&gt;&lt;wsp:rsid wsp:val=&quot;001F2E44&quot;/&gt;&lt;wsp:rsid wsp:val=&quot;001F3051&quot;/&gt;&lt;wsp:rsid wsp:val=&quot;001F31D9&quot;/&gt;&lt;wsp:rsid wsp:val=&quot;001F342D&quot;/&gt;&lt;wsp:rsid wsp:val=&quot;001F35B9&quot;/&gt;&lt;wsp:rsid wsp:val=&quot;001F395C&quot;/&gt;&lt;wsp:rsid wsp:val=&quot;001F399A&quot;/&gt;&lt;wsp:rsid wsp:val=&quot;001F3B40&quot;/&gt;&lt;wsp:rsid wsp:val=&quot;001F4026&quot;/&gt;&lt;wsp:rsid wsp:val=&quot;001F42A4&quot;/&gt;&lt;wsp:rsid wsp:val=&quot;001F42DD&quot;/&gt;&lt;wsp:rsid wsp:val=&quot;001F44DE&quot;/&gt;&lt;wsp:rsid wsp:val=&quot;001F4A12&quot;/&gt;&lt;wsp:rsid wsp:val=&quot;001F4A64&quot;/&gt;&lt;wsp:rsid wsp:val=&quot;001F4B50&quot;/&gt;&lt;wsp:rsid wsp:val=&quot;001F591D&quot;/&gt;&lt;wsp:rsid wsp:val=&quot;001F5BFE&quot;/&gt;&lt;wsp:rsid wsp:val=&quot;001F5FAF&quot;/&gt;&lt;wsp:rsid wsp:val=&quot;001F6325&quot;/&gt;&lt;wsp:rsid wsp:val=&quot;001F653B&quot;/&gt;&lt;wsp:rsid wsp:val=&quot;001F678F&quot;/&gt;&lt;wsp:rsid wsp:val=&quot;001F69FE&quot;/&gt;&lt;wsp:rsid wsp:val=&quot;001F6A0A&quot;/&gt;&lt;wsp:rsid wsp:val=&quot;001F6C9D&quot;/&gt;&lt;wsp:rsid wsp:val=&quot;001F71DE&quot;/&gt;&lt;wsp:rsid wsp:val=&quot;001F728E&quot;/&gt;&lt;wsp:rsid wsp:val=&quot;001F7335&quot;/&gt;&lt;wsp:rsid wsp:val=&quot;001F746B&quot;/&gt;&lt;wsp:rsid wsp:val=&quot;001F783B&quot;/&gt;&lt;wsp:rsid wsp:val=&quot;002004B5&quot;/&gt;&lt;wsp:rsid wsp:val=&quot;00200A58&quot;/&gt;&lt;wsp:rsid wsp:val=&quot;0020115B&quot;/&gt;&lt;wsp:rsid wsp:val=&quot;0020118E&quot;/&gt;&lt;wsp:rsid wsp:val=&quot;00201390&quot;/&gt;&lt;wsp:rsid wsp:val=&quot;00201AD3&quot;/&gt;&lt;wsp:rsid wsp:val=&quot;00201B4F&quot;/&gt;&lt;wsp:rsid wsp:val=&quot;00202731&quot;/&gt;&lt;wsp:rsid wsp:val=&quot;00202FF3&quot;/&gt;&lt;wsp:rsid wsp:val=&quot;00203214&quot;/&gt;&lt;wsp:rsid wsp:val=&quot;00203669&quot;/&gt;&lt;wsp:rsid wsp:val=&quot;00203884&quot;/&gt;&lt;wsp:rsid wsp:val=&quot;00203A11&quot;/&gt;&lt;wsp:rsid wsp:val=&quot;00203A3D&quot;/&gt;&lt;wsp:rsid wsp:val=&quot;00203E63&quot;/&gt;&lt;wsp:rsid wsp:val=&quot;00203F61&quot;/&gt;&lt;wsp:rsid wsp:val=&quot;002040BA&quot;/&gt;&lt;wsp:rsid wsp:val=&quot;00204234&quot;/&gt;&lt;wsp:rsid wsp:val=&quot;00204CB2&quot;/&gt;&lt;wsp:rsid wsp:val=&quot;00204EB1&quot;/&gt;&lt;wsp:rsid wsp:val=&quot;002052F6&quot;/&gt;&lt;wsp:rsid wsp:val=&quot;00205787&quot;/&gt;&lt;wsp:rsid wsp:val=&quot;00205C1E&quot;/&gt;&lt;wsp:rsid wsp:val=&quot;002062A1&quot;/&gt;&lt;wsp:rsid wsp:val=&quot;002062ED&quot;/&gt;&lt;wsp:rsid wsp:val=&quot;002063F5&quot;/&gt;&lt;wsp:rsid wsp:val=&quot;00206B0F&quot;/&gt;&lt;wsp:rsid wsp:val=&quot;00206F17&quot;/&gt;&lt;wsp:rsid wsp:val=&quot;002070B9&quot;/&gt;&lt;wsp:rsid wsp:val=&quot;00207292&quot;/&gt;&lt;wsp:rsid wsp:val=&quot;00207A76&quot;/&gt;&lt;wsp:rsid wsp:val=&quot;00207E9C&quot;/&gt;&lt;wsp:rsid wsp:val=&quot;002109EC&quot;/&gt;&lt;wsp:rsid wsp:val=&quot;00210ED5&quot;/&gt;&lt;wsp:rsid wsp:val=&quot;0021131D&quot;/&gt;&lt;wsp:rsid wsp:val=&quot;00211415&quot;/&gt;&lt;wsp:rsid wsp:val=&quot;0021154F&quot;/&gt;&lt;wsp:rsid wsp:val=&quot;00211603&quot;/&gt;&lt;wsp:rsid wsp:val=&quot;0021178A&quot;/&gt;&lt;wsp:rsid wsp:val=&quot;00211A9D&quot;/&gt;&lt;wsp:rsid wsp:val=&quot;00211E3A&quot;/&gt;&lt;wsp:rsid wsp:val=&quot;00212629&quot;/&gt;&lt;wsp:rsid wsp:val=&quot;00212D0A&quot;/&gt;&lt;wsp:rsid wsp:val=&quot;0021342F&quot;/&gt;&lt;wsp:rsid wsp:val=&quot;00213716&quot;/&gt;&lt;wsp:rsid wsp:val=&quot;00213AA3&quot;/&gt;&lt;wsp:rsid wsp:val=&quot;00213AE7&quot;/&gt;&lt;wsp:rsid wsp:val=&quot;00213CD1&quot;/&gt;&lt;wsp:rsid wsp:val=&quot;002144B9&quot;/&gt;&lt;wsp:rsid wsp:val=&quot;002145B2&quot;/&gt;&lt;wsp:rsid wsp:val=&quot;002148B7&quot;/&gt;&lt;wsp:rsid wsp:val=&quot;00215153&quot;/&gt;&lt;wsp:rsid wsp:val=&quot;002152B4&quot;/&gt;&lt;wsp:rsid wsp:val=&quot;00215363&quot;/&gt;&lt;wsp:rsid wsp:val=&quot;002155D5&quot;/&gt;&lt;wsp:rsid wsp:val=&quot;002157D0&quot;/&gt;&lt;wsp:rsid wsp:val=&quot;002158BB&quot;/&gt;&lt;wsp:rsid wsp:val=&quot;00215923&quot;/&gt;&lt;wsp:rsid wsp:val=&quot;00215B16&quot;/&gt;&lt;wsp:rsid wsp:val=&quot;00216252&quot;/&gt;&lt;wsp:rsid wsp:val=&quot;00216A42&quot;/&gt;&lt;wsp:rsid wsp:val=&quot;0021762E&quot;/&gt;&lt;wsp:rsid wsp:val=&quot;00217863&quot;/&gt;&lt;wsp:rsid wsp:val=&quot;00217875&quot;/&gt;&lt;wsp:rsid wsp:val=&quot;00217C16&quot;/&gt;&lt;wsp:rsid wsp:val=&quot;00217CDD&quot;/&gt;&lt;wsp:rsid wsp:val=&quot;00217DF4&quot;/&gt;&lt;wsp:rsid wsp:val=&quot;00217FF3&quot;/&gt;&lt;wsp:rsid wsp:val=&quot;002201D1&quot;/&gt;&lt;wsp:rsid wsp:val=&quot;0022087F&quot;/&gt;&lt;wsp:rsid wsp:val=&quot;00220A70&quot;/&gt;&lt;wsp:rsid wsp:val=&quot;00220E2B&quot;/&gt;&lt;wsp:rsid wsp:val=&quot;00220FF9&quot;/&gt;&lt;wsp:rsid wsp:val=&quot;00221C9E&quot;/&gt;&lt;wsp:rsid wsp:val=&quot;00221CE5&quot;/&gt;&lt;wsp:rsid wsp:val=&quot;00222238&quot;/&gt;&lt;wsp:rsid wsp:val=&quot;002223C9&quot;/&gt;&lt;wsp:rsid wsp:val=&quot;00222500&quot;/&gt;&lt;wsp:rsid wsp:val=&quot;002226AA&quot;/&gt;&lt;wsp:rsid wsp:val=&quot;0022270D&quot;/&gt;&lt;wsp:rsid wsp:val=&quot;00222C43&quot;/&gt;&lt;wsp:rsid wsp:val=&quot;00222D7F&quot;/&gt;&lt;wsp:rsid wsp:val=&quot;00222DC8&quot;/&gt;&lt;wsp:rsid wsp:val=&quot;002231EE&quot;/&gt;&lt;wsp:rsid wsp:val=&quot;002233E3&quot;/&gt;&lt;wsp:rsid wsp:val=&quot;002239B7&quot;/&gt;&lt;wsp:rsid wsp:val=&quot;00223A30&quot;/&gt;&lt;wsp:rsid wsp:val=&quot;00223B60&quot;/&gt;&lt;wsp:rsid wsp:val=&quot;00223DE6&quot;/&gt;&lt;wsp:rsid wsp:val=&quot;00223F62&quot;/&gt;&lt;wsp:rsid wsp:val=&quot;00223F9C&quot;/&gt;&lt;wsp:rsid wsp:val=&quot;00223FFC&quot;/&gt;&lt;wsp:rsid wsp:val=&quot;002249B1&quot;/&gt;&lt;wsp:rsid wsp:val=&quot;00224B87&quot;/&gt;&lt;wsp:rsid wsp:val=&quot;002252A4&quot;/&gt;&lt;wsp:rsid wsp:val=&quot;002256D7&quot;/&gt;&lt;wsp:rsid wsp:val=&quot;002256F8&quot;/&gt;&lt;wsp:rsid wsp:val=&quot;0022588E&quot;/&gt;&lt;wsp:rsid wsp:val=&quot;00226142&quot;/&gt;&lt;wsp:rsid wsp:val=&quot;00226165&quot;/&gt;&lt;wsp:rsid wsp:val=&quot;0022658A&quot;/&gt;&lt;wsp:rsid wsp:val=&quot;00226901&quot;/&gt;&lt;wsp:rsid wsp:val=&quot;00226C9A&quot;/&gt;&lt;wsp:rsid wsp:val=&quot;00226CAA&quot;/&gt;&lt;wsp:rsid wsp:val=&quot;00226E16&quot;/&gt;&lt;wsp:rsid wsp:val=&quot;00226F0D&quot;/&gt;&lt;wsp:rsid wsp:val=&quot;00226FCA&quot;/&gt;&lt;wsp:rsid wsp:val=&quot;00227818&quot;/&gt;&lt;wsp:rsid wsp:val=&quot;0022783D&quot;/&gt;&lt;wsp:rsid wsp:val=&quot;00227A0E&quot;/&gt;&lt;wsp:rsid wsp:val=&quot;00227CA3&quot;/&gt;&lt;wsp:rsid wsp:val=&quot;00227CAC&quot;/&gt;&lt;wsp:rsid wsp:val=&quot;00227F09&quot;/&gt;&lt;wsp:rsid wsp:val=&quot;002300C7&quot;/&gt;&lt;wsp:rsid wsp:val=&quot;002300D2&quot;/&gt;&lt;wsp:rsid wsp:val=&quot;00230153&quot;/&gt;&lt;wsp:rsid wsp:val=&quot;00230303&quot;/&gt;&lt;wsp:rsid wsp:val=&quot;00230718&quot;/&gt;&lt;wsp:rsid wsp:val=&quot;00230D26&quot;/&gt;&lt;wsp:rsid wsp:val=&quot;002314F1&quot;/&gt;&lt;wsp:rsid wsp:val=&quot;00231683&quot;/&gt;&lt;wsp:rsid wsp:val=&quot;00231CB7&quot;/&gt;&lt;wsp:rsid wsp:val=&quot;00231EF3&quot;/&gt;&lt;wsp:rsid wsp:val=&quot;0023208D&quot;/&gt;&lt;wsp:rsid wsp:val=&quot;00232266&quot;/&gt;&lt;wsp:rsid wsp:val=&quot;002324A6&quot;/&gt;&lt;wsp:rsid wsp:val=&quot;002325A1&quot;/&gt;&lt;wsp:rsid wsp:val=&quot;00232989&quot;/&gt;&lt;wsp:rsid wsp:val=&quot;00232A0A&quot;/&gt;&lt;wsp:rsid wsp:val=&quot;00232B15&quot;/&gt;&lt;wsp:rsid wsp:val=&quot;00232B66&quot;/&gt;&lt;wsp:rsid wsp:val=&quot;00232E63&quot;/&gt;&lt;wsp:rsid wsp:val=&quot;00233149&quot;/&gt;&lt;wsp:rsid wsp:val=&quot;0023329A&quot;/&gt;&lt;wsp:rsid wsp:val=&quot;002333DE&quot;/&gt;&lt;wsp:rsid wsp:val=&quot;00233477&quot;/&gt;&lt;wsp:rsid wsp:val=&quot;00233F42&quot;/&gt;&lt;wsp:rsid wsp:val=&quot;002348CB&quot;/&gt;&lt;wsp:rsid wsp:val=&quot;002349BD&quot;/&gt;&lt;wsp:rsid wsp:val=&quot;00234A0C&quot;/&gt;&lt;wsp:rsid wsp:val=&quot;0023556F&quot;/&gt;&lt;wsp:rsid wsp:val=&quot;00235ACA&quot;/&gt;&lt;wsp:rsid wsp:val=&quot;00236590&quot;/&gt;&lt;wsp:rsid wsp:val=&quot;00236846&quot;/&gt;&lt;wsp:rsid wsp:val=&quot;00236C23&quot;/&gt;&lt;wsp:rsid wsp:val=&quot;00236C72&quot;/&gt;&lt;wsp:rsid wsp:val=&quot;00236C7C&quot;/&gt;&lt;wsp:rsid wsp:val=&quot;00236D67&quot;/&gt;&lt;wsp:rsid wsp:val=&quot;0023725F&quot;/&gt;&lt;wsp:rsid wsp:val=&quot;00237F39&quot;/&gt;&lt;wsp:rsid wsp:val=&quot;002402F2&quot;/&gt;&lt;wsp:rsid wsp:val=&quot;002413BD&quot;/&gt;&lt;wsp:rsid wsp:val=&quot;00241542&quot;/&gt;&lt;wsp:rsid wsp:val=&quot;0024185C&quot;/&gt;&lt;wsp:rsid wsp:val=&quot;002418E7&quot;/&gt;&lt;wsp:rsid wsp:val=&quot;00241A04&quot;/&gt;&lt;wsp:rsid wsp:val=&quot;00241A62&quot;/&gt;&lt;wsp:rsid wsp:val=&quot;00241B80&quot;/&gt;&lt;wsp:rsid wsp:val=&quot;00241C03&quot;/&gt;&lt;wsp:rsid wsp:val=&quot;00241F45&quot;/&gt;&lt;wsp:rsid wsp:val=&quot;00241F5F&quot;/&gt;&lt;wsp:rsid wsp:val=&quot;0024244A&quot;/&gt;&lt;wsp:rsid wsp:val=&quot;0024265F&quot;/&gt;&lt;wsp:rsid wsp:val=&quot;002426C6&quot;/&gt;&lt;wsp:rsid wsp:val=&quot;002427E0&quot;/&gt;&lt;wsp:rsid wsp:val=&quot;00242B14&quot;/&gt;&lt;wsp:rsid wsp:val=&quot;00242C0C&quot;/&gt;&lt;wsp:rsid wsp:val=&quot;00242E31&quot;/&gt;&lt;wsp:rsid wsp:val=&quot;0024301C&quot;/&gt;&lt;wsp:rsid wsp:val=&quot;0024379A&quot;/&gt;&lt;wsp:rsid wsp:val=&quot;00243812&quot;/&gt;&lt;wsp:rsid wsp:val=&quot;00243ACD&quot;/&gt;&lt;wsp:rsid wsp:val=&quot;00243BBE&quot;/&gt;&lt;wsp:rsid wsp:val=&quot;00243C6C&quot;/&gt;&lt;wsp:rsid wsp:val=&quot;0024489F&quot;/&gt;&lt;wsp:rsid wsp:val=&quot;00244FD7&quot;/&gt;&lt;wsp:rsid wsp:val=&quot;0024598B&quot;/&gt;&lt;wsp:rsid wsp:val=&quot;00245AEB&quot;/&gt;&lt;wsp:rsid wsp:val=&quot;002461EA&quot;/&gt;&lt;wsp:rsid wsp:val=&quot;002462E4&quot;/&gt;&lt;wsp:rsid wsp:val=&quot;002467DF&quot;/&gt;&lt;wsp:rsid wsp:val=&quot;0024687E&quot;/&gt;&lt;wsp:rsid wsp:val=&quot;002470B2&quot;/&gt;&lt;wsp:rsid wsp:val=&quot;00247351&quot;/&gt;&lt;wsp:rsid wsp:val=&quot;0024791D&quot;/&gt;&lt;wsp:rsid wsp:val=&quot;00247ACC&quot;/&gt;&lt;wsp:rsid wsp:val=&quot;00247FB1&quot;/&gt;&lt;wsp:rsid wsp:val=&quot;00250170&quot;/&gt;&lt;wsp:rsid wsp:val=&quot;0025022B&quot;/&gt;&lt;wsp:rsid wsp:val=&quot;00251027&quot;/&gt;&lt;wsp:rsid wsp:val=&quot;002510E4&quot;/&gt;&lt;wsp:rsid wsp:val=&quot;0025119D&quot;/&gt;&lt;wsp:rsid wsp:val=&quot;002512E4&quot;/&gt;&lt;wsp:rsid wsp:val=&quot;0025156F&quot;/&gt;&lt;wsp:rsid wsp:val=&quot;00251989&quot;/&gt;&lt;wsp:rsid wsp:val=&quot;00251B43&quot;/&gt;&lt;wsp:rsid wsp:val=&quot;00251FAE&quot;/&gt;&lt;wsp:rsid wsp:val=&quot;002520F8&quot;/&gt;&lt;wsp:rsid wsp:val=&quot;0025211D&quot;/&gt;&lt;wsp:rsid wsp:val=&quot;002526AA&quot;/&gt;&lt;wsp:rsid wsp:val=&quot;0025346F&quot;/&gt;&lt;wsp:rsid wsp:val=&quot;002535C1&quot;/&gt;&lt;wsp:rsid wsp:val=&quot;002535F2&quot;/&gt;&lt;wsp:rsid wsp:val=&quot;00253A28&quot;/&gt;&lt;wsp:rsid wsp:val=&quot;00253B29&quot;/&gt;&lt;wsp:rsid wsp:val=&quot;002540E7&quot;/&gt;&lt;wsp:rsid wsp:val=&quot;0025414B&quot;/&gt;&lt;wsp:rsid wsp:val=&quot;002543FB&quot;/&gt;&lt;wsp:rsid wsp:val=&quot;00254992&quot;/&gt;&lt;wsp:rsid wsp:val=&quot;00254A31&quot;/&gt;&lt;wsp:rsid wsp:val=&quot;00254B17&quot;/&gt;&lt;wsp:rsid wsp:val=&quot;0025529C&quot;/&gt;&lt;wsp:rsid wsp:val=&quot;0025553E&quot;/&gt;&lt;wsp:rsid wsp:val=&quot;002559DA&quot;/&gt;&lt;wsp:rsid wsp:val=&quot;00255A5F&quot;/&gt;&lt;wsp:rsid wsp:val=&quot;002567B3&quot;/&gt;&lt;wsp:rsid wsp:val=&quot;002567D9&quot;/&gt;&lt;wsp:rsid wsp:val=&quot;00257074&quot;/&gt;&lt;wsp:rsid wsp:val=&quot;0025716B&quot;/&gt;&lt;wsp:rsid wsp:val=&quot;002572DE&quot;/&gt;&lt;wsp:rsid wsp:val=&quot;002574AB&quot;/&gt;&lt;wsp:rsid wsp:val=&quot;00257710&quot;/&gt;&lt;wsp:rsid wsp:val=&quot;00257D51&quot;/&gt;&lt;wsp:rsid wsp:val=&quot;00260D34&quot;/&gt;&lt;wsp:rsid wsp:val=&quot;00260E55&quot;/&gt;&lt;wsp:rsid wsp:val=&quot;002617C9&quot;/&gt;&lt;wsp:rsid wsp:val=&quot;002618C2&quot;/&gt;&lt;wsp:rsid wsp:val=&quot;00261D85&quot;/&gt;&lt;wsp:rsid wsp:val=&quot;00262087&quot;/&gt;&lt;wsp:rsid wsp:val=&quot;0026227B&quot;/&gt;&lt;wsp:rsid wsp:val=&quot;00262456&quot;/&gt;&lt;wsp:rsid wsp:val=&quot;0026246C&quot;/&gt;&lt;wsp:rsid wsp:val=&quot;002624A1&quot;/&gt;&lt;wsp:rsid wsp:val=&quot;002627F3&quot;/&gt;&lt;wsp:rsid wsp:val=&quot;00262BD7&quot;/&gt;&lt;wsp:rsid wsp:val=&quot;00262C4D&quot;/&gt;&lt;wsp:rsid wsp:val=&quot;0026359A&quot;/&gt;&lt;wsp:rsid wsp:val=&quot;002636A2&quot;/&gt;&lt;wsp:rsid wsp:val=&quot;002636E9&quot;/&gt;&lt;wsp:rsid wsp:val=&quot;0026396F&quot;/&gt;&lt;wsp:rsid wsp:val=&quot;00263A8D&quot;/&gt;&lt;wsp:rsid wsp:val=&quot;00263C47&quot;/&gt;&lt;wsp:rsid wsp:val=&quot;00263C9F&quot;/&gt;&lt;wsp:rsid wsp:val=&quot;00263E47&quot;/&gt;&lt;wsp:rsid wsp:val=&quot;00263FB4&quot;/&gt;&lt;wsp:rsid wsp:val=&quot;002640D0&quot;/&gt;&lt;wsp:rsid wsp:val=&quot;002643DA&quot;/&gt;&lt;wsp:rsid wsp:val=&quot;002644E2&quot;/&gt;&lt;wsp:rsid wsp:val=&quot;0026461E&quot;/&gt;&lt;wsp:rsid wsp:val=&quot;00264E91&quot;/&gt;&lt;wsp:rsid wsp:val=&quot;00264F6D&quot;/&gt;&lt;wsp:rsid wsp:val=&quot;002655F6&quot;/&gt;&lt;wsp:rsid wsp:val=&quot;0026560C&quot;/&gt;&lt;wsp:rsid wsp:val=&quot;00265FF0&quot;/&gt;&lt;wsp:rsid wsp:val=&quot;00266E09&quot;/&gt;&lt;wsp:rsid wsp:val=&quot;0026739F&quot;/&gt;&lt;wsp:rsid wsp:val=&quot;00267640&quot;/&gt;&lt;wsp:rsid wsp:val=&quot;00270029&quot;/&gt;&lt;wsp:rsid wsp:val=&quot;0027018D&quot;/&gt;&lt;wsp:rsid wsp:val=&quot;00270611&quot;/&gt;&lt;wsp:rsid wsp:val=&quot;00270697&quot;/&gt;&lt;wsp:rsid wsp:val=&quot;00270755&quot;/&gt;&lt;wsp:rsid wsp:val=&quot;00270B47&quot;/&gt;&lt;wsp:rsid wsp:val=&quot;00270D59&quot;/&gt;&lt;wsp:rsid wsp:val=&quot;00271289&quot;/&gt;&lt;wsp:rsid wsp:val=&quot;0027134C&quot;/&gt;&lt;wsp:rsid wsp:val=&quot;00271593&quot;/&gt;&lt;wsp:rsid wsp:val=&quot;002715A6&quot;/&gt;&lt;wsp:rsid wsp:val=&quot;0027161F&quot;/&gt;&lt;wsp:rsid wsp:val=&quot;00271D4D&quot;/&gt;&lt;wsp:rsid wsp:val=&quot;00271E47&quot;/&gt;&lt;wsp:rsid wsp:val=&quot;0027224A&quot;/&gt;&lt;wsp:rsid wsp:val=&quot;002724EF&quot;/&gt;&lt;wsp:rsid wsp:val=&quot;002724F4&quot;/&gt;&lt;wsp:rsid wsp:val=&quot;00272C48&quot;/&gt;&lt;wsp:rsid wsp:val=&quot;002732D0&quot;/&gt;&lt;wsp:rsid wsp:val=&quot;002736D7&quot;/&gt;&lt;wsp:rsid wsp:val=&quot;0027373B&quot;/&gt;&lt;wsp:rsid wsp:val=&quot;00274050&quot;/&gt;&lt;wsp:rsid wsp:val=&quot;00274196&quot;/&gt;&lt;wsp:rsid wsp:val=&quot;00274205&quot;/&gt;&lt;wsp:rsid wsp:val=&quot;002744A3&quot;/&gt;&lt;wsp:rsid wsp:val=&quot;002744AA&quot;/&gt;&lt;wsp:rsid wsp:val=&quot;002747BF&quot;/&gt;&lt;wsp:rsid wsp:val=&quot;002747D0&quot;/&gt;&lt;wsp:rsid wsp:val=&quot;002748ED&quot;/&gt;&lt;wsp:rsid wsp:val=&quot;00274955&quot;/&gt;&lt;wsp:rsid wsp:val=&quot;0027499C&quot;/&gt;&lt;wsp:rsid wsp:val=&quot;00274A6C&quot;/&gt;&lt;wsp:rsid wsp:val=&quot;00274C83&quot;/&gt;&lt;wsp:rsid wsp:val=&quot;00274CDA&quot;/&gt;&lt;wsp:rsid wsp:val=&quot;0027513F&quot;/&gt;&lt;wsp:rsid wsp:val=&quot;00275142&quot;/&gt;&lt;wsp:rsid wsp:val=&quot;00275637&quot;/&gt;&lt;wsp:rsid wsp:val=&quot;002757D0&quot;/&gt;&lt;wsp:rsid wsp:val=&quot;00275A5D&quot;/&gt;&lt;wsp:rsid wsp:val=&quot;00275AD2&quot;/&gt;&lt;wsp:rsid wsp:val=&quot;0027613B&quot;/&gt;&lt;wsp:rsid wsp:val=&quot;0027644C&quot;/&gt;&lt;wsp:rsid wsp:val=&quot;002765AD&quot;/&gt;&lt;wsp:rsid wsp:val=&quot;002767D0&quot;/&gt;&lt;wsp:rsid wsp:val=&quot;00276D6C&quot;/&gt;&lt;wsp:rsid wsp:val=&quot;00276F23&quot;/&gt;&lt;wsp:rsid wsp:val=&quot;0027716C&quot;/&gt;&lt;wsp:rsid wsp:val=&quot;002779DD&quot;/&gt;&lt;wsp:rsid wsp:val=&quot;00277F07&quot;/&gt;&lt;wsp:rsid wsp:val=&quot;0028013C&quot;/&gt;&lt;wsp:rsid wsp:val=&quot;002803DE&quot;/&gt;&lt;wsp:rsid wsp:val=&quot;002804A3&quot;/&gt;&lt;wsp:rsid wsp:val=&quot;00280893&quot;/&gt;&lt;wsp:rsid wsp:val=&quot;002812C9&quot;/&gt;&lt;wsp:rsid wsp:val=&quot;002814EC&quot;/&gt;&lt;wsp:rsid wsp:val=&quot;0028166F&quot;/&gt;&lt;wsp:rsid wsp:val=&quot;00281860&quot;/&gt;&lt;wsp:rsid wsp:val=&quot;00281952&quot;/&gt;&lt;wsp:rsid wsp:val=&quot;00282A78&quot;/&gt;&lt;wsp:rsid wsp:val=&quot;00282B4B&quot;/&gt;&lt;wsp:rsid wsp:val=&quot;00282BDA&quot;/&gt;&lt;wsp:rsid wsp:val=&quot;00282E4D&quot;/&gt;&lt;wsp:rsid wsp:val=&quot;002832E0&quot;/&gt;&lt;wsp:rsid wsp:val=&quot;002833BB&quot;/&gt;&lt;wsp:rsid wsp:val=&quot;0028346E&quot;/&gt;&lt;wsp:rsid wsp:val=&quot;002835C7&quot;/&gt;&lt;wsp:rsid wsp:val=&quot;00284392&quot;/&gt;&lt;wsp:rsid wsp:val=&quot;00284567&quot;/&gt;&lt;wsp:rsid wsp:val=&quot;00284A7F&quot;/&gt;&lt;wsp:rsid wsp:val=&quot;00284BC4&quot;/&gt;&lt;wsp:rsid wsp:val=&quot;00284C0D&quot;/&gt;&lt;wsp:rsid wsp:val=&quot;00285346&quot;/&gt;&lt;wsp:rsid wsp:val=&quot;0028553F&quot;/&gt;&lt;wsp:rsid wsp:val=&quot;00285701&quot;/&gt;&lt;wsp:rsid wsp:val=&quot;00285A7F&quot;/&gt;&lt;wsp:rsid wsp:val=&quot;00285AF2&quot;/&gt;&lt;wsp:rsid wsp:val=&quot;00285FC0&quot;/&gt;&lt;wsp:rsid wsp:val=&quot;00285FC5&quot;/&gt;&lt;wsp:rsid wsp:val=&quot;0028641F&quot;/&gt;&lt;wsp:rsid wsp:val=&quot;002867AA&quot;/&gt;&lt;wsp:rsid wsp:val=&quot;002869F5&quot;/&gt;&lt;wsp:rsid wsp:val=&quot;00286F24&quot;/&gt;&lt;wsp:rsid wsp:val=&quot;00286F32&quot;/&gt;&lt;wsp:rsid wsp:val=&quot;00287223&quot;/&gt;&lt;wsp:rsid wsp:val=&quot;00287681&quot;/&gt;&lt;wsp:rsid wsp:val=&quot;00287EBD&quot;/&gt;&lt;wsp:rsid wsp:val=&quot;00287F8E&quot;/&gt;&lt;wsp:rsid wsp:val=&quot;0029008F&quot;/&gt;&lt;wsp:rsid wsp:val=&quot;0029079A&quot;/&gt;&lt;wsp:rsid wsp:val=&quot;00290A2D&quot;/&gt;&lt;wsp:rsid wsp:val=&quot;002910F2&quot;/&gt;&lt;wsp:rsid wsp:val=&quot;002911F5&quot;/&gt;&lt;wsp:rsid wsp:val=&quot;00291250&quot;/&gt;&lt;wsp:rsid wsp:val=&quot;0029135F&quot;/&gt;&lt;wsp:rsid wsp:val=&quot;0029196D&quot;/&gt;&lt;wsp:rsid wsp:val=&quot;00291A01&quot;/&gt;&lt;wsp:rsid wsp:val=&quot;00291A62&quot;/&gt;&lt;wsp:rsid wsp:val=&quot;00291F28&quot;/&gt;&lt;wsp:rsid wsp:val=&quot;00292687&quot;/&gt;&lt;wsp:rsid wsp:val=&quot;002929B3&quot;/&gt;&lt;wsp:rsid wsp:val=&quot;00292B75&quot;/&gt;&lt;wsp:rsid wsp:val=&quot;00292E90&quot;/&gt;&lt;wsp:rsid wsp:val=&quot;00292F01&quot;/&gt;&lt;wsp:rsid wsp:val=&quot;0029342F&quot;/&gt;&lt;wsp:rsid wsp:val=&quot;002934B1&quot;/&gt;&lt;wsp:rsid wsp:val=&quot;00293626&quot;/&gt;&lt;wsp:rsid wsp:val=&quot;00293B87&quot;/&gt;&lt;wsp:rsid wsp:val=&quot;00293C9E&quot;/&gt;&lt;wsp:rsid wsp:val=&quot;00293DAA&quot;/&gt;&lt;wsp:rsid wsp:val=&quot;00293E69&quot;/&gt;&lt;wsp:rsid wsp:val=&quot;00294076&quot;/&gt;&lt;wsp:rsid wsp:val=&quot;00294094&quot;/&gt;&lt;wsp:rsid wsp:val=&quot;002942B9&quot;/&gt;&lt;wsp:rsid wsp:val=&quot;002944AD&quot;/&gt;&lt;wsp:rsid wsp:val=&quot;00294D12&quot;/&gt;&lt;wsp:rsid wsp:val=&quot;00295814&quot;/&gt;&lt;wsp:rsid wsp:val=&quot;00295EBF&quot;/&gt;&lt;wsp:rsid wsp:val=&quot;00295FCC&quot;/&gt;&lt;wsp:rsid wsp:val=&quot;00296318&quot;/&gt;&lt;wsp:rsid wsp:val=&quot;002963ED&quot;/&gt;&lt;wsp:rsid wsp:val=&quot;00296B3C&quot;/&gt;&lt;wsp:rsid wsp:val=&quot;002976EF&quot;/&gt;&lt;wsp:rsid wsp:val=&quot;00297F6D&quot;/&gt;&lt;wsp:rsid wsp:val=&quot;002A017C&quot;/&gt;&lt;wsp:rsid wsp:val=&quot;002A043F&quot;/&gt;&lt;wsp:rsid wsp:val=&quot;002A082D&quot;/&gt;&lt;wsp:rsid wsp:val=&quot;002A0AC1&quot;/&gt;&lt;wsp:rsid wsp:val=&quot;002A1683&quot;/&gt;&lt;wsp:rsid wsp:val=&quot;002A18F0&quot;/&gt;&lt;wsp:rsid wsp:val=&quot;002A195B&quot;/&gt;&lt;wsp:rsid wsp:val=&quot;002A1B4D&quot;/&gt;&lt;wsp:rsid wsp:val=&quot;002A1D8E&quot;/&gt;&lt;wsp:rsid wsp:val=&quot;002A226C&quot;/&gt;&lt;wsp:rsid wsp:val=&quot;002A25D6&quot;/&gt;&lt;wsp:rsid wsp:val=&quot;002A287D&quot;/&gt;&lt;wsp:rsid wsp:val=&quot;002A30A8&quot;/&gt;&lt;wsp:rsid wsp:val=&quot;002A325C&quot;/&gt;&lt;wsp:rsid wsp:val=&quot;002A354B&quot;/&gt;&lt;wsp:rsid wsp:val=&quot;002A3C55&quot;/&gt;&lt;wsp:rsid wsp:val=&quot;002A3E93&quot;/&gt;&lt;wsp:rsid wsp:val=&quot;002A40B5&quot;/&gt;&lt;wsp:rsid wsp:val=&quot;002A40BF&quot;/&gt;&lt;wsp:rsid wsp:val=&quot;002A438B&quot;/&gt;&lt;wsp:rsid wsp:val=&quot;002A43DA&quot;/&gt;&lt;wsp:rsid wsp:val=&quot;002A4413&quot;/&gt;&lt;wsp:rsid wsp:val=&quot;002A47C6&quot;/&gt;&lt;wsp:rsid wsp:val=&quot;002A4B45&quot;/&gt;&lt;wsp:rsid wsp:val=&quot;002A4F64&quot;/&gt;&lt;wsp:rsid wsp:val=&quot;002A4FAA&quot;/&gt;&lt;wsp:rsid wsp:val=&quot;002A543C&quot;/&gt;&lt;wsp:rsid wsp:val=&quot;002A5850&quot;/&gt;&lt;wsp:rsid wsp:val=&quot;002A5E2B&quot;/&gt;&lt;wsp:rsid wsp:val=&quot;002A60AB&quot;/&gt;&lt;wsp:rsid wsp:val=&quot;002A62D4&quot;/&gt;&lt;wsp:rsid wsp:val=&quot;002A6559&quot;/&gt;&lt;wsp:rsid wsp:val=&quot;002A72E4&quot;/&gt;&lt;wsp:rsid wsp:val=&quot;002A7464&quot;/&gt;&lt;wsp:rsid wsp:val=&quot;002A753D&quot;/&gt;&lt;wsp:rsid wsp:val=&quot;002A76F0&quot;/&gt;&lt;wsp:rsid wsp:val=&quot;002A78B2&quot;/&gt;&lt;wsp:rsid wsp:val=&quot;002A7969&quot;/&gt;&lt;wsp:rsid wsp:val=&quot;002A7DE4&quot;/&gt;&lt;wsp:rsid wsp:val=&quot;002B07B5&quot;/&gt;&lt;wsp:rsid wsp:val=&quot;002B07D5&quot;/&gt;&lt;wsp:rsid wsp:val=&quot;002B0B06&quot;/&gt;&lt;wsp:rsid wsp:val=&quot;002B0B36&quot;/&gt;&lt;wsp:rsid wsp:val=&quot;002B1469&quot;/&gt;&lt;wsp:rsid wsp:val=&quot;002B21F2&quot;/&gt;&lt;wsp:rsid wsp:val=&quot;002B22FF&quot;/&gt;&lt;wsp:rsid wsp:val=&quot;002B2487&quot;/&gt;&lt;wsp:rsid wsp:val=&quot;002B2750&quot;/&gt;&lt;wsp:rsid wsp:val=&quot;002B2CDA&quot;/&gt;&lt;wsp:rsid wsp:val=&quot;002B3B40&quot;/&gt;&lt;wsp:rsid wsp:val=&quot;002B3B45&quot;/&gt;&lt;wsp:rsid wsp:val=&quot;002B3C6E&quot;/&gt;&lt;wsp:rsid wsp:val=&quot;002B4636&quot;/&gt;&lt;wsp:rsid wsp:val=&quot;002B5679&quot;/&gt;&lt;wsp:rsid wsp:val=&quot;002B589F&quot;/&gt;&lt;wsp:rsid wsp:val=&quot;002B5CDE&quot;/&gt;&lt;wsp:rsid wsp:val=&quot;002B6271&quot;/&gt;&lt;wsp:rsid wsp:val=&quot;002B63AB&quot;/&gt;&lt;wsp:rsid wsp:val=&quot;002B6969&quot;/&gt;&lt;wsp:rsid wsp:val=&quot;002B6B15&quot;/&gt;&lt;wsp:rsid wsp:val=&quot;002B6C6C&quot;/&gt;&lt;wsp:rsid wsp:val=&quot;002B6E38&quot;/&gt;&lt;wsp:rsid wsp:val=&quot;002B7093&quot;/&gt;&lt;wsp:rsid wsp:val=&quot;002C028F&quot;/&gt;&lt;wsp:rsid wsp:val=&quot;002C02EC&quot;/&gt;&lt;wsp:rsid wsp:val=&quot;002C02EF&quot;/&gt;&lt;wsp:rsid wsp:val=&quot;002C0435&quot;/&gt;&lt;wsp:rsid wsp:val=&quot;002C0475&quot;/&gt;&lt;wsp:rsid wsp:val=&quot;002C049C&quot;/&gt;&lt;wsp:rsid wsp:val=&quot;002C06A2&quot;/&gt;&lt;wsp:rsid wsp:val=&quot;002C0797&quot;/&gt;&lt;wsp:rsid wsp:val=&quot;002C09C9&quot;/&gt;&lt;wsp:rsid wsp:val=&quot;002C1425&quot;/&gt;&lt;wsp:rsid wsp:val=&quot;002C196B&quot;/&gt;&lt;wsp:rsid wsp:val=&quot;002C1A16&quot;/&gt;&lt;wsp:rsid wsp:val=&quot;002C1D69&quot;/&gt;&lt;wsp:rsid wsp:val=&quot;002C2023&quot;/&gt;&lt;wsp:rsid wsp:val=&quot;002C2E78&quot;/&gt;&lt;wsp:rsid wsp:val=&quot;002C341B&quot;/&gt;&lt;wsp:rsid wsp:val=&quot;002C36FF&quot;/&gt;&lt;wsp:rsid wsp:val=&quot;002C3863&quot;/&gt;&lt;wsp:rsid wsp:val=&quot;002C38D3&quot;/&gt;&lt;wsp:rsid wsp:val=&quot;002C399A&quot;/&gt;&lt;wsp:rsid wsp:val=&quot;002C3F6E&quot;/&gt;&lt;wsp:rsid wsp:val=&quot;002C40E3&quot;/&gt;&lt;wsp:rsid wsp:val=&quot;002C426B&quot;/&gt;&lt;wsp:rsid wsp:val=&quot;002C4910&quot;/&gt;&lt;wsp:rsid wsp:val=&quot;002C51F4&quot;/&gt;&lt;wsp:rsid wsp:val=&quot;002C52BD&quot;/&gt;&lt;wsp:rsid wsp:val=&quot;002C5465&quot;/&gt;&lt;wsp:rsid wsp:val=&quot;002C580B&quot;/&gt;&lt;wsp:rsid wsp:val=&quot;002C5A9A&quot;/&gt;&lt;wsp:rsid wsp:val=&quot;002C5D82&quot;/&gt;&lt;wsp:rsid wsp:val=&quot;002C5F99&quot;/&gt;&lt;wsp:rsid wsp:val=&quot;002C6221&quot;/&gt;&lt;wsp:rsid wsp:val=&quot;002C6936&quot;/&gt;&lt;wsp:rsid wsp:val=&quot;002C6EF6&quot;/&gt;&lt;wsp:rsid wsp:val=&quot;002C70A1&quot;/&gt;&lt;wsp:rsid wsp:val=&quot;002C70EB&quot;/&gt;&lt;wsp:rsid wsp:val=&quot;002C71BC&quot;/&gt;&lt;wsp:rsid wsp:val=&quot;002C7CB3&quot;/&gt;&lt;wsp:rsid wsp:val=&quot;002D01B6&quot;/&gt;&lt;wsp:rsid wsp:val=&quot;002D051A&quot;/&gt;&lt;wsp:rsid wsp:val=&quot;002D066C&quot;/&gt;&lt;wsp:rsid wsp:val=&quot;002D0BD7&quot;/&gt;&lt;wsp:rsid wsp:val=&quot;002D0D75&quot;/&gt;&lt;wsp:rsid wsp:val=&quot;002D17A6&quot;/&gt;&lt;wsp:rsid wsp:val=&quot;002D1F87&quot;/&gt;&lt;wsp:rsid wsp:val=&quot;002D2373&quot;/&gt;&lt;wsp:rsid wsp:val=&quot;002D26F6&quot;/&gt;&lt;wsp:rsid wsp:val=&quot;002D2A19&quot;/&gt;&lt;wsp:rsid wsp:val=&quot;002D2A84&quot;/&gt;&lt;wsp:rsid wsp:val=&quot;002D30BE&quot;/&gt;&lt;wsp:rsid wsp:val=&quot;002D325A&quot;/&gt;&lt;wsp:rsid wsp:val=&quot;002D3A06&quot;/&gt;&lt;wsp:rsid wsp:val=&quot;002D3E99&quot;/&gt;&lt;wsp:rsid wsp:val=&quot;002D3FAD&quot;/&gt;&lt;wsp:rsid wsp:val=&quot;002D4667&quot;/&gt;&lt;wsp:rsid wsp:val=&quot;002D48AC&quot;/&gt;&lt;wsp:rsid wsp:val=&quot;002D4A83&quot;/&gt;&lt;wsp:rsid wsp:val=&quot;002D4C2A&quot;/&gt;&lt;wsp:rsid wsp:val=&quot;002D5156&quot;/&gt;&lt;wsp:rsid wsp:val=&quot;002D5221&quot;/&gt;&lt;wsp:rsid wsp:val=&quot;002D54B2&quot;/&gt;&lt;wsp:rsid wsp:val=&quot;002D5AD5&quot;/&gt;&lt;wsp:rsid wsp:val=&quot;002D5F75&quot;/&gt;&lt;wsp:rsid wsp:val=&quot;002D60C7&quot;/&gt;&lt;wsp:rsid wsp:val=&quot;002D6528&quot;/&gt;&lt;wsp:rsid wsp:val=&quot;002D655D&quot;/&gt;&lt;wsp:rsid wsp:val=&quot;002D6810&quot;/&gt;&lt;wsp:rsid wsp:val=&quot;002D68CE&quot;/&gt;&lt;wsp:rsid wsp:val=&quot;002D68D1&quot;/&gt;&lt;wsp:rsid wsp:val=&quot;002D68F0&quot;/&gt;&lt;wsp:rsid wsp:val=&quot;002D6938&quot;/&gt;&lt;wsp:rsid wsp:val=&quot;002D6EA4&quot;/&gt;&lt;wsp:rsid wsp:val=&quot;002D6F4C&quot;/&gt;&lt;wsp:rsid wsp:val=&quot;002D712B&quot;/&gt;&lt;wsp:rsid wsp:val=&quot;002D7489&quot;/&gt;&lt;wsp:rsid wsp:val=&quot;002D75E1&quot;/&gt;&lt;wsp:rsid wsp:val=&quot;002D7852&quot;/&gt;&lt;wsp:rsid wsp:val=&quot;002D7876&quot;/&gt;&lt;wsp:rsid wsp:val=&quot;002D7F7C&quot;/&gt;&lt;wsp:rsid wsp:val=&quot;002E00F5&quot;/&gt;&lt;wsp:rsid wsp:val=&quot;002E0245&quot;/&gt;&lt;wsp:rsid wsp:val=&quot;002E09BB&quot;/&gt;&lt;wsp:rsid wsp:val=&quot;002E10DC&quot;/&gt;&lt;wsp:rsid wsp:val=&quot;002E155F&quot;/&gt;&lt;wsp:rsid wsp:val=&quot;002E1B96&quot;/&gt;&lt;wsp:rsid wsp:val=&quot;002E1D4F&quot;/&gt;&lt;wsp:rsid wsp:val=&quot;002E1F15&quot;/&gt;&lt;wsp:rsid wsp:val=&quot;002E1F17&quot;/&gt;&lt;wsp:rsid wsp:val=&quot;002E205D&quot;/&gt;&lt;wsp:rsid wsp:val=&quot;002E22DB&quot;/&gt;&lt;wsp:rsid wsp:val=&quot;002E28BB&quot;/&gt;&lt;wsp:rsid wsp:val=&quot;002E2C03&quot;/&gt;&lt;wsp:rsid wsp:val=&quot;002E2EC0&quot;/&gt;&lt;wsp:rsid wsp:val=&quot;002E3387&quot;/&gt;&lt;wsp:rsid wsp:val=&quot;002E34D6&quot;/&gt;&lt;wsp:rsid wsp:val=&quot;002E3B88&quot;/&gt;&lt;wsp:rsid wsp:val=&quot;002E3D5B&quot;/&gt;&lt;wsp:rsid wsp:val=&quot;002E3DAD&quot;/&gt;&lt;wsp:rsid wsp:val=&quot;002E3ED7&quot;/&gt;&lt;wsp:rsid wsp:val=&quot;002E4583&quot;/&gt;&lt;wsp:rsid wsp:val=&quot;002E4707&quot;/&gt;&lt;wsp:rsid wsp:val=&quot;002E4B35&quot;/&gt;&lt;wsp:rsid wsp:val=&quot;002E542B&quot;/&gt;&lt;wsp:rsid wsp:val=&quot;002E6D9B&quot;/&gt;&lt;wsp:rsid wsp:val=&quot;002E7A1F&quot;/&gt;&lt;wsp:rsid wsp:val=&quot;002E7AE0&quot;/&gt;&lt;wsp:rsid wsp:val=&quot;002E7B93&quot;/&gt;&lt;wsp:rsid wsp:val=&quot;002E7F73&quot;/&gt;&lt;wsp:rsid wsp:val=&quot;002F0117&quot;/&gt;&lt;wsp:rsid wsp:val=&quot;002F033F&quot;/&gt;&lt;wsp:rsid wsp:val=&quot;002F0447&quot;/&gt;&lt;wsp:rsid wsp:val=&quot;002F046F&quot;/&gt;&lt;wsp:rsid wsp:val=&quot;002F0546&quot;/&gt;&lt;wsp:rsid wsp:val=&quot;002F0E28&quot;/&gt;&lt;wsp:rsid wsp:val=&quot;002F0F50&quot;/&gt;&lt;wsp:rsid wsp:val=&quot;002F0FBF&quot;/&gt;&lt;wsp:rsid wsp:val=&quot;002F12A5&quot;/&gt;&lt;wsp:rsid wsp:val=&quot;002F1589&quot;/&gt;&lt;wsp:rsid wsp:val=&quot;002F17EF&quot;/&gt;&lt;wsp:rsid wsp:val=&quot;002F1969&quot;/&gt;&lt;wsp:rsid wsp:val=&quot;002F1FC7&quot;/&gt;&lt;wsp:rsid wsp:val=&quot;002F2886&quot;/&gt;&lt;wsp:rsid wsp:val=&quot;002F309F&quot;/&gt;&lt;wsp:rsid wsp:val=&quot;002F33C7&quot;/&gt;&lt;wsp:rsid wsp:val=&quot;002F3538&quot;/&gt;&lt;wsp:rsid wsp:val=&quot;002F3CF1&quot;/&gt;&lt;wsp:rsid wsp:val=&quot;002F3D37&quot;/&gt;&lt;wsp:rsid wsp:val=&quot;002F42BA&quot;/&gt;&lt;wsp:rsid wsp:val=&quot;002F452B&quot;/&gt;&lt;wsp:rsid wsp:val=&quot;002F4635&quot;/&gt;&lt;wsp:rsid wsp:val=&quot;002F4CC1&quot;/&gt;&lt;wsp:rsid wsp:val=&quot;002F4E53&quot;/&gt;&lt;wsp:rsid wsp:val=&quot;002F4E82&quot;/&gt;&lt;wsp:rsid wsp:val=&quot;002F4FEE&quot;/&gt;&lt;wsp:rsid wsp:val=&quot;002F50B4&quot;/&gt;&lt;wsp:rsid wsp:val=&quot;002F5550&quot;/&gt;&lt;wsp:rsid wsp:val=&quot;002F57FD&quot;/&gt;&lt;wsp:rsid wsp:val=&quot;002F5DB6&quot;/&gt;&lt;wsp:rsid wsp:val=&quot;002F5EEF&quot;/&gt;&lt;wsp:rsid wsp:val=&quot;002F5FFD&quot;/&gt;&lt;wsp:rsid wsp:val=&quot;002F6510&quot;/&gt;&lt;wsp:rsid wsp:val=&quot;002F6A30&quot;/&gt;&lt;wsp:rsid wsp:val=&quot;002F6C71&quot;/&gt;&lt;wsp:rsid wsp:val=&quot;002F762A&quot;/&gt;&lt;wsp:rsid wsp:val=&quot;002F7CDE&quot;/&gt;&lt;wsp:rsid wsp:val=&quot;00300614&quot;/&gt;&lt;wsp:rsid wsp:val=&quot;0030079A&quot;/&gt;&lt;wsp:rsid wsp:val=&quot;00300A4F&quot;/&gt;&lt;wsp:rsid wsp:val=&quot;003011E0&quot;/&gt;&lt;wsp:rsid wsp:val=&quot;00301AB9&quot;/&gt;&lt;wsp:rsid wsp:val=&quot;00301E31&quot;/&gt;&lt;wsp:rsid wsp:val=&quot;003020F0&quot;/&gt;&lt;wsp:rsid wsp:val=&quot;003021E3&quot;/&gt;&lt;wsp:rsid wsp:val=&quot;003021EB&quot;/&gt;&lt;wsp:rsid wsp:val=&quot;0030234F&quot;/&gt;&lt;wsp:rsid wsp:val=&quot;003024F1&quot;/&gt;&lt;wsp:rsid wsp:val=&quot;00302C47&quot;/&gt;&lt;wsp:rsid wsp:val=&quot;00302DE7&quot;/&gt;&lt;wsp:rsid wsp:val=&quot;00302E2C&quot;/&gt;&lt;wsp:rsid wsp:val=&quot;0030381E&quot;/&gt;&lt;wsp:rsid wsp:val=&quot;00303848&quot;/&gt;&lt;wsp:rsid wsp:val=&quot;00303894&quot;/&gt;&lt;wsp:rsid wsp:val=&quot;00303A13&quot;/&gt;&lt;wsp:rsid wsp:val=&quot;00303D41&quot;/&gt;&lt;wsp:rsid wsp:val=&quot;0030400B&quot;/&gt;&lt;wsp:rsid wsp:val=&quot;003040BB&quot;/&gt;&lt;wsp:rsid wsp:val=&quot;003042E2&quot;/&gt;&lt;wsp:rsid wsp:val=&quot;00304465&quot;/&gt;&lt;wsp:rsid wsp:val=&quot;00304543&quot;/&gt;&lt;wsp:rsid wsp:val=&quot;00304659&quot;/&gt;&lt;wsp:rsid wsp:val=&quot;00304816&quot;/&gt;&lt;wsp:rsid wsp:val=&quot;00305216&quot;/&gt;&lt;wsp:rsid wsp:val=&quot;00305929&quot;/&gt;&lt;wsp:rsid wsp:val=&quot;00305A87&quot;/&gt;&lt;wsp:rsid wsp:val=&quot;003064CB&quot;/&gt;&lt;wsp:rsid wsp:val=&quot;00306A6A&quot;/&gt;&lt;wsp:rsid wsp:val=&quot;00306AA7&quot;/&gt;&lt;wsp:rsid wsp:val=&quot;00306CB1&quot;/&gt;&lt;wsp:rsid wsp:val=&quot;00306F51&quot;/&gt;&lt;wsp:rsid wsp:val=&quot;00306F9A&quot;/&gt;&lt;wsp:rsid wsp:val=&quot;00307117&quot;/&gt;&lt;wsp:rsid wsp:val=&quot;00307711&quot;/&gt;&lt;wsp:rsid wsp:val=&quot;003077AC&quot;/&gt;&lt;wsp:rsid wsp:val=&quot;00307B03&quot;/&gt;&lt;wsp:rsid wsp:val=&quot;0031013A&quot;/&gt;&lt;wsp:rsid wsp:val=&quot;0031018C&quot;/&gt;&lt;wsp:rsid wsp:val=&quot;003105B2&quot;/&gt;&lt;wsp:rsid wsp:val=&quot;00310832&quot;/&gt;&lt;wsp:rsid wsp:val=&quot;00310AC6&quot;/&gt;&lt;wsp:rsid wsp:val=&quot;00310E02&quot;/&gt;&lt;wsp:rsid wsp:val=&quot;003111BD&quot;/&gt;&lt;wsp:rsid wsp:val=&quot;00311355&quot;/&gt;&lt;wsp:rsid wsp:val=&quot;003118E0&quot;/&gt;&lt;wsp:rsid wsp:val=&quot;00311967&quot;/&gt;&lt;wsp:rsid wsp:val=&quot;00311BFF&quot;/&gt;&lt;wsp:rsid wsp:val=&quot;0031201D&quot;/&gt;&lt;wsp:rsid wsp:val=&quot;003124A8&quot;/&gt;&lt;wsp:rsid wsp:val=&quot;0031286E&quot;/&gt;&lt;wsp:rsid wsp:val=&quot;00312EEF&quot;/&gt;&lt;wsp:rsid wsp:val=&quot;00312FD4&quot;/&gt;&lt;wsp:rsid wsp:val=&quot;0031302C&quot;/&gt;&lt;wsp:rsid wsp:val=&quot;00313A91&quot;/&gt;&lt;wsp:rsid wsp:val=&quot;00313C73&quot;/&gt;&lt;wsp:rsid wsp:val=&quot;0031435C&quot;/&gt;&lt;wsp:rsid wsp:val=&quot;003144DA&quot;/&gt;&lt;wsp:rsid wsp:val=&quot;00314577&quot;/&gt;&lt;wsp:rsid wsp:val=&quot;003145BA&quot;/&gt;&lt;wsp:rsid wsp:val=&quot;003146B3&quot;/&gt;&lt;wsp:rsid wsp:val=&quot;003148C5&quot;/&gt;&lt;wsp:rsid wsp:val=&quot;003148E8&quot;/&gt;&lt;wsp:rsid wsp:val=&quot;0031494A&quot;/&gt;&lt;wsp:rsid wsp:val=&quot;00314D64&quot;/&gt;&lt;wsp:rsid wsp:val=&quot;003153AB&quot;/&gt;&lt;wsp:rsid wsp:val=&quot;00315C1F&quot;/&gt;&lt;wsp:rsid wsp:val=&quot;00316A8D&quot;/&gt;&lt;wsp:rsid wsp:val=&quot;00316B3D&quot;/&gt;&lt;wsp:rsid wsp:val=&quot;0031710A&quot;/&gt;&lt;wsp:rsid wsp:val=&quot;0031727B&quot;/&gt;&lt;wsp:rsid wsp:val=&quot;003173FE&quot;/&gt;&lt;wsp:rsid wsp:val=&quot;0031743E&quot;/&gt;&lt;wsp:rsid wsp:val=&quot;003175D3&quot;/&gt;&lt;wsp:rsid wsp:val=&quot;003176EF&quot;/&gt;&lt;wsp:rsid wsp:val=&quot;00317939&quot;/&gt;&lt;wsp:rsid wsp:val=&quot;00317951&quot;/&gt;&lt;wsp:rsid wsp:val=&quot;003179E4&quot;/&gt;&lt;wsp:rsid wsp:val=&quot;00317A5B&quot;/&gt;&lt;wsp:rsid wsp:val=&quot;00317B85&quot;/&gt;&lt;wsp:rsid wsp:val=&quot;00317C82&quot;/&gt;&lt;wsp:rsid wsp:val=&quot;00317C8D&quot;/&gt;&lt;wsp:rsid wsp:val=&quot;00320125&quot;/&gt;&lt;wsp:rsid wsp:val=&quot;00320258&quot;/&gt;&lt;wsp:rsid wsp:val=&quot;00320778&quot;/&gt;&lt;wsp:rsid wsp:val=&quot;003208F1&quot;/&gt;&lt;wsp:rsid wsp:val=&quot;00320B46&quot;/&gt;&lt;wsp:rsid wsp:val=&quot;00321345&quot;/&gt;&lt;wsp:rsid wsp:val=&quot;003219C6&quot;/&gt;&lt;wsp:rsid wsp:val=&quot;00321BAA&quot;/&gt;&lt;wsp:rsid wsp:val=&quot;00321FE8&quot;/&gt;&lt;wsp:rsid wsp:val=&quot;003228E7&quot;/&gt;&lt;wsp:rsid wsp:val=&quot;00322C86&quot;/&gt;&lt;wsp:rsid wsp:val=&quot;00322F9C&quot;/&gt;&lt;wsp:rsid wsp:val=&quot;00323064&quot;/&gt;&lt;wsp:rsid wsp:val=&quot;00323789&quot;/&gt;&lt;wsp:rsid wsp:val=&quot;003237CD&quot;/&gt;&lt;wsp:rsid wsp:val=&quot;003239FE&quot;/&gt;&lt;wsp:rsid wsp:val=&quot;00323A36&quot;/&gt;&lt;wsp:rsid wsp:val=&quot;00323C3F&quot;/&gt;&lt;wsp:rsid wsp:val=&quot;00324043&quot;/&gt;&lt;wsp:rsid wsp:val=&quot;003240C6&quot;/&gt;&lt;wsp:rsid wsp:val=&quot;003240DB&quot;/&gt;&lt;wsp:rsid wsp:val=&quot;00324172&quot;/&gt;&lt;wsp:rsid wsp:val=&quot;003243F1&quot;/&gt;&lt;wsp:rsid wsp:val=&quot;00324811&quot;/&gt;&lt;wsp:rsid wsp:val=&quot;00324D96&quot;/&gt;&lt;wsp:rsid wsp:val=&quot;003251F5&quot;/&gt;&lt;wsp:rsid wsp:val=&quot;003251FD&quot;/&gt;&lt;wsp:rsid wsp:val=&quot;003252DE&quot;/&gt;&lt;wsp:rsid wsp:val=&quot;0032561C&quot;/&gt;&lt;wsp:rsid wsp:val=&quot;003256BF&quot;/&gt;&lt;wsp:rsid wsp:val=&quot;0032627E&quot;/&gt;&lt;wsp:rsid wsp:val=&quot;003263D2&quot;/&gt;&lt;wsp:rsid wsp:val=&quot;003265DD&quot;/&gt;&lt;wsp:rsid wsp:val=&quot;00326D3E&quot;/&gt;&lt;wsp:rsid wsp:val=&quot;0032714F&quot;/&gt;&lt;wsp:rsid wsp:val=&quot;0032737B&quot;/&gt;&lt;wsp:rsid wsp:val=&quot;0032755B&quot;/&gt;&lt;wsp:rsid wsp:val=&quot;0032756B&quot;/&gt;&lt;wsp:rsid wsp:val=&quot;003278B6&quot;/&gt;&lt;wsp:rsid wsp:val=&quot;00327A8B&quot;/&gt;&lt;wsp:rsid wsp:val=&quot;00327CA0&quot;/&gt;&lt;wsp:rsid wsp:val=&quot;00327E04&quot;/&gt;&lt;wsp:rsid wsp:val=&quot;00327E52&quot;/&gt;&lt;wsp:rsid wsp:val=&quot;00330024&quot;/&gt;&lt;wsp:rsid wsp:val=&quot;0033034B&quot;/&gt;&lt;wsp:rsid wsp:val=&quot;00330B34&quot;/&gt;&lt;wsp:rsid wsp:val=&quot;00331365&quot;/&gt;&lt;wsp:rsid wsp:val=&quot;003316ED&quot;/&gt;&lt;wsp:rsid wsp:val=&quot;0033175A&quot;/&gt;&lt;wsp:rsid wsp:val=&quot;003318EC&quot;/&gt;&lt;wsp:rsid wsp:val=&quot;00331ACB&quot;/&gt;&lt;wsp:rsid wsp:val=&quot;0033226E&quot;/&gt;&lt;wsp:rsid wsp:val=&quot;003322C0&quot;/&gt;&lt;wsp:rsid wsp:val=&quot;0033245B&quot;/&gt;&lt;wsp:rsid wsp:val=&quot;003327D1&quot;/&gt;&lt;wsp:rsid wsp:val=&quot;00332A9F&quot;/&gt;&lt;wsp:rsid wsp:val=&quot;00332C11&quot;/&gt;&lt;wsp:rsid wsp:val=&quot;0033316B&quot;/&gt;&lt;wsp:rsid wsp:val=&quot;003331E4&quot;/&gt;&lt;wsp:rsid wsp:val=&quot;003332A5&quot;/&gt;&lt;wsp:rsid wsp:val=&quot;003332B4&quot;/&gt;&lt;wsp:rsid wsp:val=&quot;003332C9&quot;/&gt;&lt;wsp:rsid wsp:val=&quot;00333498&quot;/&gt;&lt;wsp:rsid wsp:val=&quot;00333521&quot;/&gt;&lt;wsp:rsid wsp:val=&quot;00333680&quot;/&gt;&lt;wsp:rsid wsp:val=&quot;00333F62&quot;/&gt;&lt;wsp:rsid wsp:val=&quot;003340C4&quot;/&gt;&lt;wsp:rsid wsp:val=&quot;003342C3&quot;/&gt;&lt;wsp:rsid wsp:val=&quot;00334AB7&quot;/&gt;&lt;wsp:rsid wsp:val=&quot;00334DBD&quot;/&gt;&lt;wsp:rsid wsp:val=&quot;00334F85&quot;/&gt;&lt;wsp:rsid wsp:val=&quot;0033524F&quot;/&gt;&lt;wsp:rsid wsp:val=&quot;003354E8&quot;/&gt;&lt;wsp:rsid wsp:val=&quot;00335704&quot;/&gt;&lt;wsp:rsid wsp:val=&quot;00335B8C&quot;/&gt;&lt;wsp:rsid wsp:val=&quot;00335BEC&quot;/&gt;&lt;wsp:rsid wsp:val=&quot;00335C3B&quot;/&gt;&lt;wsp:rsid wsp:val=&quot;00335FEF&quot;/&gt;&lt;wsp:rsid wsp:val=&quot;00336121&quot;/&gt;&lt;wsp:rsid wsp:val=&quot;00336146&quot;/&gt;&lt;wsp:rsid wsp:val=&quot;003369C1&quot;/&gt;&lt;wsp:rsid wsp:val=&quot;00336D68&quot;/&gt;&lt;wsp:rsid wsp:val=&quot;00336D7E&quot;/&gt;&lt;wsp:rsid wsp:val=&quot;00337075&quot;/&gt;&lt;wsp:rsid wsp:val=&quot;0033707C&quot;/&gt;&lt;wsp:rsid wsp:val=&quot;003373A9&quot;/&gt;&lt;wsp:rsid wsp:val=&quot;003373F7&quot;/&gt;&lt;wsp:rsid wsp:val=&quot;003375F2&quot;/&gt;&lt;wsp:rsid wsp:val=&quot;0033764C&quot;/&gt;&lt;wsp:rsid wsp:val=&quot;003379E1&quot;/&gt;&lt;wsp:rsid wsp:val=&quot;0034005A&quot;/&gt;&lt;wsp:rsid wsp:val=&quot;00340105&quot;/&gt;&lt;wsp:rsid wsp:val=&quot;003405F2&quot;/&gt;&lt;wsp:rsid wsp:val=&quot;0034077B&quot;/&gt;&lt;wsp:rsid wsp:val=&quot;00340B3C&quot;/&gt;&lt;wsp:rsid wsp:val=&quot;00340EA3&quot;/&gt;&lt;wsp:rsid wsp:val=&quot;00340EC3&quot;/&gt;&lt;wsp:rsid wsp:val=&quot;00341352&quot;/&gt;&lt;wsp:rsid wsp:val=&quot;0034136D&quot;/&gt;&lt;wsp:rsid wsp:val=&quot;00341648&quot;/&gt;&lt;wsp:rsid wsp:val=&quot;00341871&quot;/&gt;&lt;wsp:rsid wsp:val=&quot;00341BA2&quot;/&gt;&lt;wsp:rsid wsp:val=&quot;0034246D&quot;/&gt;&lt;wsp:rsid wsp:val=&quot;003426DD&quot;/&gt;&lt;wsp:rsid wsp:val=&quot;003429BB&quot;/&gt;&lt;wsp:rsid wsp:val=&quot;00342C6D&quot;/&gt;&lt;wsp:rsid wsp:val=&quot;00342D91&quot;/&gt;&lt;wsp:rsid wsp:val=&quot;0034360D&quot;/&gt;&lt;wsp:rsid wsp:val=&quot;00343823&quot;/&gt;&lt;wsp:rsid wsp:val=&quot;00343AEB&quot;/&gt;&lt;wsp:rsid wsp:val=&quot;00343B37&quot;/&gt;&lt;wsp:rsid wsp:val=&quot;003441AF&quot;/&gt;&lt;wsp:rsid wsp:val=&quot;0034430C&quot;/&gt;&lt;wsp:rsid wsp:val=&quot;0034477E&quot;/&gt;&lt;wsp:rsid wsp:val=&quot;0034499B&quot;/&gt;&lt;wsp:rsid wsp:val=&quot;003449EE&quot;/&gt;&lt;wsp:rsid wsp:val=&quot;00344C86&quot;/&gt;&lt;wsp:rsid wsp:val=&quot;00345346&quot;/&gt;&lt;wsp:rsid wsp:val=&quot;003459A5&quot;/&gt;&lt;wsp:rsid wsp:val=&quot;00345E3E&quot;/&gt;&lt;wsp:rsid wsp:val=&quot;00345E83&quot;/&gt;&lt;wsp:rsid wsp:val=&quot;003461A8&quot;/&gt;&lt;wsp:rsid wsp:val=&quot;003461B5&quot;/&gt;&lt;wsp:rsid wsp:val=&quot;0034647F&quot;/&gt;&lt;wsp:rsid wsp:val=&quot;003465BD&quot;/&gt;&lt;wsp:rsid wsp:val=&quot;003467BA&quot;/&gt;&lt;wsp:rsid wsp:val=&quot;003472CE&quot;/&gt;&lt;wsp:rsid wsp:val=&quot;003474C7&quot;/&gt;&lt;wsp:rsid wsp:val=&quot;00347AEC&quot;/&gt;&lt;wsp:rsid wsp:val=&quot;00350027&quot;/&gt;&lt;wsp:rsid wsp:val=&quot;003501D8&quot;/&gt;&lt;wsp:rsid wsp:val=&quot;003506E8&quot;/&gt;&lt;wsp:rsid wsp:val=&quot;00350808&quot;/&gt;&lt;wsp:rsid wsp:val=&quot;00350B40&quot;/&gt;&lt;wsp:rsid wsp:val=&quot;00350BE1&quot;/&gt;&lt;wsp:rsid wsp:val=&quot;00350C45&quot;/&gt;&lt;wsp:rsid wsp:val=&quot;00350D37&quot;/&gt;&lt;wsp:rsid wsp:val=&quot;003513D0&quot;/&gt;&lt;wsp:rsid wsp:val=&quot;00351544&quot;/&gt;&lt;wsp:rsid wsp:val=&quot;00351D23&quot;/&gt;&lt;wsp:rsid wsp:val=&quot;00352111&quot;/&gt;&lt;wsp:rsid wsp:val=&quot;0035243E&quot;/&gt;&lt;wsp:rsid wsp:val=&quot;003529B5&quot;/&gt;&lt;wsp:rsid wsp:val=&quot;003529C4&quot;/&gt;&lt;wsp:rsid wsp:val=&quot;00352D51&quot;/&gt;&lt;wsp:rsid wsp:val=&quot;0035318B&quot;/&gt;&lt;wsp:rsid wsp:val=&quot;0035377D&quot;/&gt;&lt;wsp:rsid wsp:val=&quot;00353951&quot;/&gt;&lt;wsp:rsid wsp:val=&quot;00353DEF&quot;/&gt;&lt;wsp:rsid wsp:val=&quot;003548CE&quot;/&gt;&lt;wsp:rsid wsp:val=&quot;003550CB&quot;/&gt;&lt;wsp:rsid wsp:val=&quot;0035532F&quot;/&gt;&lt;wsp:rsid wsp:val=&quot;00355506&quot;/&gt;&lt;wsp:rsid wsp:val=&quot;0035582D&quot;/&gt;&lt;wsp:rsid wsp:val=&quot;003558B6&quot;/&gt;&lt;wsp:rsid wsp:val=&quot;0035596F&quot;/&gt;&lt;wsp:rsid wsp:val=&quot;00355B23&quot;/&gt;&lt;wsp:rsid wsp:val=&quot;003564AF&quot;/&gt;&lt;wsp:rsid wsp:val=&quot;003576FD&quot;/&gt;&lt;wsp:rsid wsp:val=&quot;0035786F&quot;/&gt;&lt;wsp:rsid wsp:val=&quot;00357B2B&quot;/&gt;&lt;wsp:rsid wsp:val=&quot;00357BD4&quot;/&gt;&lt;wsp:rsid wsp:val=&quot;0036002A&quot;/&gt;&lt;wsp:rsid wsp:val=&quot;0036041D&quot;/&gt;&lt;wsp:rsid wsp:val=&quot;00360810&quot;/&gt;&lt;wsp:rsid wsp:val=&quot;00360C9D&quot;/&gt;&lt;wsp:rsid wsp:val=&quot;00360FA1&quot;/&gt;&lt;wsp:rsid wsp:val=&quot;003611FD&quot;/&gt;&lt;wsp:rsid wsp:val=&quot;00361663&quot;/&gt;&lt;wsp:rsid wsp:val=&quot;00361B72&quot;/&gt;&lt;wsp:rsid wsp:val=&quot;00361FD5&quot;/&gt;&lt;wsp:rsid wsp:val=&quot;003620B5&quot;/&gt;&lt;wsp:rsid wsp:val=&quot;003620DB&quot;/&gt;&lt;wsp:rsid wsp:val=&quot;003621B7&quot;/&gt;&lt;wsp:rsid wsp:val=&quot;0036259B&quot;/&gt;&lt;wsp:rsid wsp:val=&quot;00362A92&quot;/&gt;&lt;wsp:rsid wsp:val=&quot;00362BC1&quot;/&gt;&lt;wsp:rsid wsp:val=&quot;00362FE2&quot;/&gt;&lt;wsp:rsid wsp:val=&quot;003630BD&quot;/&gt;&lt;wsp:rsid wsp:val=&quot;0036312A&quot;/&gt;&lt;wsp:rsid wsp:val=&quot;00363568&quot;/&gt;&lt;wsp:rsid wsp:val=&quot;003638A2&quot;/&gt;&lt;wsp:rsid wsp:val=&quot;00363E3B&quot;/&gt;&lt;wsp:rsid wsp:val=&quot;00363E47&quot;/&gt;&lt;wsp:rsid wsp:val=&quot;0036416D&quot;/&gt;&lt;wsp:rsid wsp:val=&quot;00364582&quot;/&gt;&lt;wsp:rsid wsp:val=&quot;003645D7&quot;/&gt;&lt;wsp:rsid wsp:val=&quot;00364A82&quot;/&gt;&lt;wsp:rsid wsp:val=&quot;00365286&quot;/&gt;&lt;wsp:rsid wsp:val=&quot;00365C52&quot;/&gt;&lt;wsp:rsid wsp:val=&quot;00365F41&quot;/&gt;&lt;wsp:rsid wsp:val=&quot;00366017&quot;/&gt;&lt;wsp:rsid wsp:val=&quot;00366401&quot;/&gt;&lt;wsp:rsid wsp:val=&quot;00366520&quot;/&gt;&lt;wsp:rsid wsp:val=&quot;003666EE&quot;/&gt;&lt;wsp:rsid wsp:val=&quot;00366833&quot;/&gt;&lt;wsp:rsid wsp:val=&quot;00366FF4&quot;/&gt;&lt;wsp:rsid wsp:val=&quot;0036702E&quot;/&gt;&lt;wsp:rsid wsp:val=&quot;00367099&quot;/&gt;&lt;wsp:rsid wsp:val=&quot;00367116&quot;/&gt;&lt;wsp:rsid wsp:val=&quot;003671C2&quot;/&gt;&lt;wsp:rsid wsp:val=&quot;003673CB&quot;/&gt;&lt;wsp:rsid wsp:val=&quot;00367508&quot;/&gt;&lt;wsp:rsid wsp:val=&quot;00367CAA&quot;/&gt;&lt;wsp:rsid wsp:val=&quot;00370218&quot;/&gt;&lt;wsp:rsid wsp:val=&quot;00370956&quot;/&gt;&lt;wsp:rsid wsp:val=&quot;00370A0F&quot;/&gt;&lt;wsp:rsid wsp:val=&quot;00370D91&quot;/&gt;&lt;wsp:rsid wsp:val=&quot;00371DDF&quot;/&gt;&lt;wsp:rsid wsp:val=&quot;00371E75&quot;/&gt;&lt;wsp:rsid wsp:val=&quot;00372B2C&quot;/&gt;&lt;wsp:rsid wsp:val=&quot;00372B94&quot;/&gt;&lt;wsp:rsid wsp:val=&quot;00372E1F&quot;/&gt;&lt;wsp:rsid wsp:val=&quot;0037305D&quot;/&gt;&lt;wsp:rsid wsp:val=&quot;00373080&quot;/&gt;&lt;wsp:rsid wsp:val=&quot;0037327A&quot;/&gt;&lt;wsp:rsid wsp:val=&quot;003733B9&quot;/&gt;&lt;wsp:rsid wsp:val=&quot;003734EA&quot;/&gt;&lt;wsp:rsid wsp:val=&quot;00373772&quot;/&gt;&lt;wsp:rsid wsp:val=&quot;0037381A&quot;/&gt;&lt;wsp:rsid wsp:val=&quot;00373863&quot;/&gt;&lt;wsp:rsid wsp:val=&quot;0037417F&quot;/&gt;&lt;wsp:rsid wsp:val=&quot;0037434F&quot;/&gt;&lt;wsp:rsid wsp:val=&quot;003744B2&quot;/&gt;&lt;wsp:rsid wsp:val=&quot;00374A1A&quot;/&gt;&lt;wsp:rsid wsp:val=&quot;00374CFC&quot;/&gt;&lt;wsp:rsid wsp:val=&quot;003751DB&quot;/&gt;&lt;wsp:rsid wsp:val=&quot;00375561&quot;/&gt;&lt;wsp:rsid wsp:val=&quot;0037566E&quot;/&gt;&lt;wsp:rsid wsp:val=&quot;0037573E&quot;/&gt;&lt;wsp:rsid wsp:val=&quot;0037587B&quot;/&gt;&lt;wsp:rsid wsp:val=&quot;00375FE1&quot;/&gt;&lt;wsp:rsid wsp:val=&quot;0037620D&quot;/&gt;&lt;wsp:rsid wsp:val=&quot;00376889&quot;/&gt;&lt;wsp:rsid wsp:val=&quot;0037688C&quot;/&gt;&lt;wsp:rsid wsp:val=&quot;0037736A&quot;/&gt;&lt;wsp:rsid wsp:val=&quot;003778DE&quot;/&gt;&lt;wsp:rsid wsp:val=&quot;00377A92&quot;/&gt;&lt;wsp:rsid wsp:val=&quot;00377CAB&quot;/&gt;&lt;wsp:rsid wsp:val=&quot;00377CCF&quot;/&gt;&lt;wsp:rsid wsp:val=&quot;003800B0&quot;/&gt;&lt;wsp:rsid wsp:val=&quot;00380150&quot;/&gt;&lt;wsp:rsid wsp:val=&quot;0038021F&quot;/&gt;&lt;wsp:rsid wsp:val=&quot;00380627&quot;/&gt;&lt;wsp:rsid wsp:val=&quot;00380A43&quot;/&gt;&lt;wsp:rsid wsp:val=&quot;00380BE5&quot;/&gt;&lt;wsp:rsid wsp:val=&quot;00380D61&quot;/&gt;&lt;wsp:rsid wsp:val=&quot;00380E4F&quot;/&gt;&lt;wsp:rsid wsp:val=&quot;00381580&quot;/&gt;&lt;wsp:rsid wsp:val=&quot;003816B6&quot;/&gt;&lt;wsp:rsid wsp:val=&quot;00381735&quot;/&gt;&lt;wsp:rsid wsp:val=&quot;00381A47&quot;/&gt;&lt;wsp:rsid wsp:val=&quot;00381AE0&quot;/&gt;&lt;wsp:rsid wsp:val=&quot;00381F29&quot;/&gt;&lt;wsp:rsid wsp:val=&quot;003822F0&quot;/&gt;&lt;wsp:rsid wsp:val=&quot;0038263F&quot;/&gt;&lt;wsp:rsid wsp:val=&quot;003829FF&quot;/&gt;&lt;wsp:rsid wsp:val=&quot;00382C25&quot;/&gt;&lt;wsp:rsid wsp:val=&quot;00382E60&quot;/&gt;&lt;wsp:rsid wsp:val=&quot;0038324A&quot;/&gt;&lt;wsp:rsid wsp:val=&quot;00383257&quot;/&gt;&lt;wsp:rsid wsp:val=&quot;003835F4&quot;/&gt;&lt;wsp:rsid wsp:val=&quot;00383A82&quot;/&gt;&lt;wsp:rsid wsp:val=&quot;00383B9A&quot;/&gt;&lt;wsp:rsid wsp:val=&quot;0038426B&quot;/&gt;&lt;wsp:rsid wsp:val=&quot;003843D7&quot;/&gt;&lt;wsp:rsid wsp:val=&quot;003849FB&quot;/&gt;&lt;wsp:rsid wsp:val=&quot;00384B3B&quot;/&gt;&lt;wsp:rsid wsp:val=&quot;00385C5F&quot;/&gt;&lt;wsp:rsid wsp:val=&quot;00385DE1&quot;/&gt;&lt;wsp:rsid wsp:val=&quot;00386363&quot;/&gt;&lt;wsp:rsid wsp:val=&quot;003867F0&quot;/&gt;&lt;wsp:rsid wsp:val=&quot;003871D5&quot;/&gt;&lt;wsp:rsid wsp:val=&quot;00387309&quot;/&gt;&lt;wsp:rsid wsp:val=&quot;0038764F&quot;/&gt;&lt;wsp:rsid wsp:val=&quot;00387679&quot;/&gt;&lt;wsp:rsid wsp:val=&quot;003878E4&quot;/&gt;&lt;wsp:rsid wsp:val=&quot;00387CCC&quot;/&gt;&lt;wsp:rsid wsp:val=&quot;00387D94&quot;/&gt;&lt;wsp:rsid wsp:val=&quot;00390021&quot;/&gt;&lt;wsp:rsid wsp:val=&quot;003902EC&quot;/&gt;&lt;wsp:rsid wsp:val=&quot;0039034E&quot;/&gt;&lt;wsp:rsid wsp:val=&quot;0039053A&quot;/&gt;&lt;wsp:rsid wsp:val=&quot;00390919&quot;/&gt;&lt;wsp:rsid wsp:val=&quot;00390925&quot;/&gt;&lt;wsp:rsid wsp:val=&quot;00390A07&quot;/&gt;&lt;wsp:rsid wsp:val=&quot;00390FA8&quot;/&gt;&lt;wsp:rsid wsp:val=&quot;00391369&quot;/&gt;&lt;wsp:rsid wsp:val=&quot;003917CB&quot;/&gt;&lt;wsp:rsid wsp:val=&quot;00391998&quot;/&gt;&lt;wsp:rsid wsp:val=&quot;00391E4D&quot;/&gt;&lt;wsp:rsid wsp:val=&quot;0039240C&quot;/&gt;&lt;wsp:rsid wsp:val=&quot;0039253A&quot;/&gt;&lt;wsp:rsid wsp:val=&quot;0039272C&quot;/&gt;&lt;wsp:rsid wsp:val=&quot;00392801&quot;/&gt;&lt;wsp:rsid wsp:val=&quot;00392907&quot;/&gt;&lt;wsp:rsid wsp:val=&quot;00392AAD&quot;/&gt;&lt;wsp:rsid wsp:val=&quot;003941C6&quot;/&gt;&lt;wsp:rsid wsp:val=&quot;003941CF&quot;/&gt;&lt;wsp:rsid wsp:val=&quot;003943D7&quot;/&gt;&lt;wsp:rsid wsp:val=&quot;00394690&quot;/&gt;&lt;wsp:rsid wsp:val=&quot;0039499C&quot;/&gt;&lt;wsp:rsid wsp:val=&quot;00394B2F&quot;/&gt;&lt;wsp:rsid wsp:val=&quot;00394D37&quot;/&gt;&lt;wsp:rsid wsp:val=&quot;0039501D&quot;/&gt;&lt;wsp:rsid wsp:val=&quot;00395940&quot;/&gt;&lt;wsp:rsid wsp:val=&quot;00395BC4&quot;/&gt;&lt;wsp:rsid wsp:val=&quot;00395E6F&quot;/&gt;&lt;wsp:rsid wsp:val=&quot;0039633C&quot;/&gt;&lt;wsp:rsid wsp:val=&quot;00396746&quot;/&gt;&lt;wsp:rsid wsp:val=&quot;00396CC7&quot;/&gt;&lt;wsp:rsid wsp:val=&quot;00396FF0&quot;/&gt;&lt;wsp:rsid wsp:val=&quot;003976D0&quot;/&gt;&lt;wsp:rsid wsp:val=&quot;0039784D&quot;/&gt;&lt;wsp:rsid wsp:val=&quot;00397969&quot;/&gt;&lt;wsp:rsid wsp:val=&quot;00397A5E&quot;/&gt;&lt;wsp:rsid wsp:val=&quot;00397AAD&quot;/&gt;&lt;wsp:rsid wsp:val=&quot;00397CB3&quot;/&gt;&lt;wsp:rsid wsp:val=&quot;00397FF2&quot;/&gt;&lt;wsp:rsid wsp:val=&quot;003A0398&quot;/&gt;&lt;wsp:rsid wsp:val=&quot;003A047C&quot;/&gt;&lt;wsp:rsid wsp:val=&quot;003A0DB5&quot;/&gt;&lt;wsp:rsid wsp:val=&quot;003A145B&quot;/&gt;&lt;wsp:rsid wsp:val=&quot;003A157A&quot;/&gt;&lt;wsp:rsid wsp:val=&quot;003A176A&quot;/&gt;&lt;wsp:rsid wsp:val=&quot;003A1844&quot;/&gt;&lt;wsp:rsid wsp:val=&quot;003A184C&quot;/&gt;&lt;wsp:rsid wsp:val=&quot;003A1899&quot;/&gt;&lt;wsp:rsid wsp:val=&quot;003A1926&quot;/&gt;&lt;wsp:rsid wsp:val=&quot;003A1C22&quot;/&gt;&lt;wsp:rsid wsp:val=&quot;003A1C65&quot;/&gt;&lt;wsp:rsid wsp:val=&quot;003A1CF9&quot;/&gt;&lt;wsp:rsid wsp:val=&quot;003A26FA&quot;/&gt;&lt;wsp:rsid wsp:val=&quot;003A287A&quot;/&gt;&lt;wsp:rsid wsp:val=&quot;003A29E9&quot;/&gt;&lt;wsp:rsid wsp:val=&quot;003A2A7F&quot;/&gt;&lt;wsp:rsid wsp:val=&quot;003A33E2&quot;/&gt;&lt;wsp:rsid wsp:val=&quot;003A38DD&quot;/&gt;&lt;wsp:rsid wsp:val=&quot;003A3D24&quot;/&gt;&lt;wsp:rsid wsp:val=&quot;003A3D53&quot;/&gt;&lt;wsp:rsid wsp:val=&quot;003A40F3&quot;/&gt;&lt;wsp:rsid wsp:val=&quot;003A436D&quot;/&gt;&lt;wsp:rsid wsp:val=&quot;003A4A59&quot;/&gt;&lt;wsp:rsid wsp:val=&quot;003A4A81&quot;/&gt;&lt;wsp:rsid wsp:val=&quot;003A4FE4&quot;/&gt;&lt;wsp:rsid wsp:val=&quot;003A5190&quot;/&gt;&lt;wsp:rsid wsp:val=&quot;003A528D&quot;/&gt;&lt;wsp:rsid wsp:val=&quot;003A5646&quot;/&gt;&lt;wsp:rsid wsp:val=&quot;003A566F&quot;/&gt;&lt;wsp:rsid wsp:val=&quot;003A5A32&quot;/&gt;&lt;wsp:rsid wsp:val=&quot;003A5E41&quot;/&gt;&lt;wsp:rsid wsp:val=&quot;003A65B1&quot;/&gt;&lt;wsp:rsid wsp:val=&quot;003A673B&quot;/&gt;&lt;wsp:rsid wsp:val=&quot;003A6859&quot;/&gt;&lt;wsp:rsid wsp:val=&quot;003A68E3&quot;/&gt;&lt;wsp:rsid wsp:val=&quot;003A6912&quot;/&gt;&lt;wsp:rsid wsp:val=&quot;003A70B3&quot;/&gt;&lt;wsp:rsid wsp:val=&quot;003A723C&quot;/&gt;&lt;wsp:rsid wsp:val=&quot;003A7262&quot;/&gt;&lt;wsp:rsid wsp:val=&quot;003A7901&quot;/&gt;&lt;wsp:rsid wsp:val=&quot;003A7925&quot;/&gt;&lt;wsp:rsid wsp:val=&quot;003A7CF6&quot;/&gt;&lt;wsp:rsid wsp:val=&quot;003A7FFD&quot;/&gt;&lt;wsp:rsid wsp:val=&quot;003B01AD&quot;/&gt;&lt;wsp:rsid wsp:val=&quot;003B05ED&quot;/&gt;&lt;wsp:rsid wsp:val=&quot;003B0B3D&quot;/&gt;&lt;wsp:rsid wsp:val=&quot;003B0C2D&quot;/&gt;&lt;wsp:rsid wsp:val=&quot;003B0E52&quot;/&gt;&lt;wsp:rsid wsp:val=&quot;003B132D&quot;/&gt;&lt;wsp:rsid wsp:val=&quot;003B17C5&quot;/&gt;&lt;wsp:rsid wsp:val=&quot;003B1B51&quot;/&gt;&lt;wsp:rsid wsp:val=&quot;003B22F7&quot;/&gt;&lt;wsp:rsid wsp:val=&quot;003B2A75&quot;/&gt;&lt;wsp:rsid wsp:val=&quot;003B2CEE&quot;/&gt;&lt;wsp:rsid wsp:val=&quot;003B2D31&quot;/&gt;&lt;wsp:rsid wsp:val=&quot;003B303C&quot;/&gt;&lt;wsp:rsid wsp:val=&quot;003B304A&quot;/&gt;&lt;wsp:rsid wsp:val=&quot;003B3172&quot;/&gt;&lt;wsp:rsid wsp:val=&quot;003B3279&quot;/&gt;&lt;wsp:rsid wsp:val=&quot;003B357E&quot;/&gt;&lt;wsp:rsid wsp:val=&quot;003B3978&quot;/&gt;&lt;wsp:rsid wsp:val=&quot;003B41AB&quot;/&gt;&lt;wsp:rsid wsp:val=&quot;003B41AF&quot;/&gt;&lt;wsp:rsid wsp:val=&quot;003B44F3&quot;/&gt;&lt;wsp:rsid wsp:val=&quot;003B4F57&quot;/&gt;&lt;wsp:rsid wsp:val=&quot;003B5077&quot;/&gt;&lt;wsp:rsid wsp:val=&quot;003B52A8&quot;/&gt;&lt;wsp:rsid wsp:val=&quot;003B52F7&quot;/&gt;&lt;wsp:rsid wsp:val=&quot;003B578C&quot;/&gt;&lt;wsp:rsid wsp:val=&quot;003B5E36&quot;/&gt;&lt;wsp:rsid wsp:val=&quot;003B5F0A&quot;/&gt;&lt;wsp:rsid wsp:val=&quot;003B61CB&quot;/&gt;&lt;wsp:rsid wsp:val=&quot;003B677D&quot;/&gt;&lt;wsp:rsid wsp:val=&quot;003B6C29&quot;/&gt;&lt;wsp:rsid wsp:val=&quot;003B6DC4&quot;/&gt;&lt;wsp:rsid wsp:val=&quot;003B6E68&quot;/&gt;&lt;wsp:rsid wsp:val=&quot;003B7010&quot;/&gt;&lt;wsp:rsid wsp:val=&quot;003B7D7F&quot;/&gt;&lt;wsp:rsid wsp:val=&quot;003B7FB5&quot;/&gt;&lt;wsp:rsid wsp:val=&quot;003C0009&quot;/&gt;&lt;wsp:rsid wsp:val=&quot;003C048B&quot;/&gt;&lt;wsp:rsid wsp:val=&quot;003C04E1&quot;/&gt;&lt;wsp:rsid wsp:val=&quot;003C0AEF&quot;/&gt;&lt;wsp:rsid wsp:val=&quot;003C0CE2&quot;/&gt;&lt;wsp:rsid wsp:val=&quot;003C1700&quot;/&gt;&lt;wsp:rsid wsp:val=&quot;003C1993&quot;/&gt;&lt;wsp:rsid wsp:val=&quot;003C1E3E&quot;/&gt;&lt;wsp:rsid wsp:val=&quot;003C2055&quot;/&gt;&lt;wsp:rsid wsp:val=&quot;003C270C&quot;/&gt;&lt;wsp:rsid wsp:val=&quot;003C29CB&quot;/&gt;&lt;wsp:rsid wsp:val=&quot;003C2BE4&quot;/&gt;&lt;wsp:rsid wsp:val=&quot;003C2D08&quot;/&gt;&lt;wsp:rsid wsp:val=&quot;003C2E68&quot;/&gt;&lt;wsp:rsid wsp:val=&quot;003C2EE3&quot;/&gt;&lt;wsp:rsid wsp:val=&quot;003C317C&quot;/&gt;&lt;wsp:rsid wsp:val=&quot;003C3719&quot;/&gt;&lt;wsp:rsid wsp:val=&quot;003C38EF&quot;/&gt;&lt;wsp:rsid wsp:val=&quot;003C3FD5&quot;/&gt;&lt;wsp:rsid wsp:val=&quot;003C421F&quot;/&gt;&lt;wsp:rsid wsp:val=&quot;003C44DE&quot;/&gt;&lt;wsp:rsid wsp:val=&quot;003C4928&quot;/&gt;&lt;wsp:rsid wsp:val=&quot;003C4A82&quot;/&gt;&lt;wsp:rsid wsp:val=&quot;003C524F&quot;/&gt;&lt;wsp:rsid wsp:val=&quot;003C57DC&quot;/&gt;&lt;wsp:rsid wsp:val=&quot;003C5C6B&quot;/&gt;&lt;wsp:rsid wsp:val=&quot;003C62E6&quot;/&gt;&lt;wsp:rsid wsp:val=&quot;003C6388&quot;/&gt;&lt;wsp:rsid wsp:val=&quot;003C63E0&quot;/&gt;&lt;wsp:rsid wsp:val=&quot;003C6DC2&quot;/&gt;&lt;wsp:rsid wsp:val=&quot;003C712E&quot;/&gt;&lt;wsp:rsid wsp:val=&quot;003C74EB&quot;/&gt;&lt;wsp:rsid wsp:val=&quot;003C776C&quot;/&gt;&lt;wsp:rsid wsp:val=&quot;003C7E38&quot;/&gt;&lt;wsp:rsid wsp:val=&quot;003C7E92&quot;/&gt;&lt;wsp:rsid wsp:val=&quot;003D022D&quot;/&gt;&lt;wsp:rsid wsp:val=&quot;003D0BB2&quot;/&gt;&lt;wsp:rsid wsp:val=&quot;003D0E03&quot;/&gt;&lt;wsp:rsid wsp:val=&quot;003D1172&quot;/&gt;&lt;wsp:rsid wsp:val=&quot;003D14AF&quot;/&gt;&lt;wsp:rsid wsp:val=&quot;003D1738&quot;/&gt;&lt;wsp:rsid wsp:val=&quot;003D1997&quot;/&gt;&lt;wsp:rsid wsp:val=&quot;003D1A47&quot;/&gt;&lt;wsp:rsid wsp:val=&quot;003D20A7&quot;/&gt;&lt;wsp:rsid wsp:val=&quot;003D23EC&quot;/&gt;&lt;wsp:rsid wsp:val=&quot;003D403E&quot;/&gt;&lt;wsp:rsid wsp:val=&quot;003D42D9&quot;/&gt;&lt;wsp:rsid wsp:val=&quot;003D4367&quot;/&gt;&lt;wsp:rsid wsp:val=&quot;003D4767&quot;/&gt;&lt;wsp:rsid wsp:val=&quot;003D48E3&quot;/&gt;&lt;wsp:rsid wsp:val=&quot;003D49D6&quot;/&gt;&lt;wsp:rsid wsp:val=&quot;003D4B23&quot;/&gt;&lt;wsp:rsid wsp:val=&quot;003D4C60&quot;/&gt;&lt;wsp:rsid wsp:val=&quot;003D4D6B&quot;/&gt;&lt;wsp:rsid wsp:val=&quot;003D50EC&quot;/&gt;&lt;wsp:rsid wsp:val=&quot;003D5179&quot;/&gt;&lt;wsp:rsid wsp:val=&quot;003D5451&quot;/&gt;&lt;wsp:rsid wsp:val=&quot;003D5514&quot;/&gt;&lt;wsp:rsid wsp:val=&quot;003D5668&quot;/&gt;&lt;wsp:rsid wsp:val=&quot;003D57A3&quot;/&gt;&lt;wsp:rsid wsp:val=&quot;003D5AD7&quot;/&gt;&lt;wsp:rsid wsp:val=&quot;003D5CDE&quot;/&gt;&lt;wsp:rsid wsp:val=&quot;003D6174&quot;/&gt;&lt;wsp:rsid wsp:val=&quot;003D6413&quot;/&gt;&lt;wsp:rsid wsp:val=&quot;003D6472&quot;/&gt;&lt;wsp:rsid wsp:val=&quot;003D65C0&quot;/&gt;&lt;wsp:rsid wsp:val=&quot;003D661A&quot;/&gt;&lt;wsp:rsid wsp:val=&quot;003D67A1&quot;/&gt;&lt;wsp:rsid wsp:val=&quot;003D6BB6&quot;/&gt;&lt;wsp:rsid wsp:val=&quot;003D6D7D&quot;/&gt;&lt;wsp:rsid wsp:val=&quot;003D6E42&quot;/&gt;&lt;wsp:rsid wsp:val=&quot;003D6E49&quot;/&gt;&lt;wsp:rsid wsp:val=&quot;003D6E59&quot;/&gt;&lt;wsp:rsid wsp:val=&quot;003D711E&quot;/&gt;&lt;wsp:rsid wsp:val=&quot;003D7374&quot;/&gt;&lt;wsp:rsid wsp:val=&quot;003D779F&quot;/&gt;&lt;wsp:rsid wsp:val=&quot;003D794B&quot;/&gt;&lt;wsp:rsid wsp:val=&quot;003D7975&quot;/&gt;&lt;wsp:rsid wsp:val=&quot;003D7EBB&quot;/&gt;&lt;wsp:rsid wsp:val=&quot;003D7F48&quot;/&gt;&lt;wsp:rsid wsp:val=&quot;003D7F9B&quot;/&gt;&lt;wsp:rsid wsp:val=&quot;003D7FC5&quot;/&gt;&lt;wsp:rsid wsp:val=&quot;003E010D&quot;/&gt;&lt;wsp:rsid wsp:val=&quot;003E07BA&quot;/&gt;&lt;wsp:rsid wsp:val=&quot;003E0BF1&quot;/&gt;&lt;wsp:rsid wsp:val=&quot;003E10D2&quot;/&gt;&lt;wsp:rsid wsp:val=&quot;003E1204&quot;/&gt;&lt;wsp:rsid wsp:val=&quot;003E15D2&quot;/&gt;&lt;wsp:rsid wsp:val=&quot;003E1949&quot;/&gt;&lt;wsp:rsid wsp:val=&quot;003E199F&quot;/&gt;&lt;wsp:rsid wsp:val=&quot;003E1BF0&quot;/&gt;&lt;wsp:rsid wsp:val=&quot;003E1F2C&quot;/&gt;&lt;wsp:rsid wsp:val=&quot;003E2283&quot;/&gt;&lt;wsp:rsid wsp:val=&quot;003E23AB&quot;/&gt;&lt;wsp:rsid wsp:val=&quot;003E25C2&quot;/&gt;&lt;wsp:rsid wsp:val=&quot;003E2B7A&quot;/&gt;&lt;wsp:rsid wsp:val=&quot;003E2C82&quot;/&gt;&lt;wsp:rsid wsp:val=&quot;003E343B&quot;/&gt;&lt;wsp:rsid wsp:val=&quot;003E3710&quot;/&gt;&lt;wsp:rsid wsp:val=&quot;003E3805&quot;/&gt;&lt;wsp:rsid wsp:val=&quot;003E3AC0&quot;/&gt;&lt;wsp:rsid wsp:val=&quot;003E413E&quot;/&gt;&lt;wsp:rsid wsp:val=&quot;003E4553&quot;/&gt;&lt;wsp:rsid wsp:val=&quot;003E483E&quot;/&gt;&lt;wsp:rsid wsp:val=&quot;003E4999&quot;/&gt;&lt;wsp:rsid wsp:val=&quot;003E4DB9&quot;/&gt;&lt;wsp:rsid wsp:val=&quot;003E5106&quot;/&gt;&lt;wsp:rsid wsp:val=&quot;003E5452&quot;/&gt;&lt;wsp:rsid wsp:val=&quot;003E5ED4&quot;/&gt;&lt;wsp:rsid wsp:val=&quot;003E5F64&quot;/&gt;&lt;wsp:rsid wsp:val=&quot;003E6036&quot;/&gt;&lt;wsp:rsid wsp:val=&quot;003E60CA&quot;/&gt;&lt;wsp:rsid wsp:val=&quot;003E6739&quot;/&gt;&lt;wsp:rsid wsp:val=&quot;003E6A00&quot;/&gt;&lt;wsp:rsid wsp:val=&quot;003E6D4C&quot;/&gt;&lt;wsp:rsid wsp:val=&quot;003E6DD0&quot;/&gt;&lt;wsp:rsid wsp:val=&quot;003E6EB5&quot;/&gt;&lt;wsp:rsid wsp:val=&quot;003E738E&quot;/&gt;&lt;wsp:rsid wsp:val=&quot;003E7466&quot;/&gt;&lt;wsp:rsid wsp:val=&quot;003E747E&quot;/&gt;&lt;wsp:rsid wsp:val=&quot;003E75D8&quot;/&gt;&lt;wsp:rsid wsp:val=&quot;003E75DD&quot;/&gt;&lt;wsp:rsid wsp:val=&quot;003E7F03&quot;/&gt;&lt;wsp:rsid wsp:val=&quot;003E7F56&quot;/&gt;&lt;wsp:rsid wsp:val=&quot;003F05A1&quot;/&gt;&lt;wsp:rsid wsp:val=&quot;003F072E&quot;/&gt;&lt;wsp:rsid wsp:val=&quot;003F0A77&quot;/&gt;&lt;wsp:rsid wsp:val=&quot;003F0DC0&quot;/&gt;&lt;wsp:rsid wsp:val=&quot;003F0F06&quot;/&gt;&lt;wsp:rsid wsp:val=&quot;003F10C2&quot;/&gt;&lt;wsp:rsid wsp:val=&quot;003F163B&quot;/&gt;&lt;wsp:rsid wsp:val=&quot;003F1962&quot;/&gt;&lt;wsp:rsid wsp:val=&quot;003F1D3F&quot;/&gt;&lt;wsp:rsid wsp:val=&quot;003F27FE&quot;/&gt;&lt;wsp:rsid wsp:val=&quot;003F2CD6&quot;/&gt;&lt;wsp:rsid wsp:val=&quot;003F2D9D&quot;/&gt;&lt;wsp:rsid wsp:val=&quot;003F2F74&quot;/&gt;&lt;wsp:rsid wsp:val=&quot;003F4232&quot;/&gt;&lt;wsp:rsid wsp:val=&quot;003F535C&quot;/&gt;&lt;wsp:rsid wsp:val=&quot;003F5782&quot;/&gt;&lt;wsp:rsid wsp:val=&quot;003F59F3&quot;/&gt;&lt;wsp:rsid wsp:val=&quot;003F5A09&quot;/&gt;&lt;wsp:rsid wsp:val=&quot;003F5A71&quot;/&gt;&lt;wsp:rsid wsp:val=&quot;003F5AB8&quot;/&gt;&lt;wsp:rsid wsp:val=&quot;003F5BCF&quot;/&gt;&lt;wsp:rsid wsp:val=&quot;003F61F2&quot;/&gt;&lt;wsp:rsid wsp:val=&quot;003F6306&quot;/&gt;&lt;wsp:rsid wsp:val=&quot;003F64A7&quot;/&gt;&lt;wsp:rsid wsp:val=&quot;003F651F&quot;/&gt;&lt;wsp:rsid wsp:val=&quot;003F67D5&quot;/&gt;&lt;wsp:rsid wsp:val=&quot;003F6EDE&quot;/&gt;&lt;wsp:rsid wsp:val=&quot;003F72B3&quot;/&gt;&lt;wsp:rsid wsp:val=&quot;003F77BC&quot;/&gt;&lt;wsp:rsid wsp:val=&quot;00400167&quot;/&gt;&lt;wsp:rsid wsp:val=&quot;00400AD1&quot;/&gt;&lt;wsp:rsid wsp:val=&quot;00401163&quot;/&gt;&lt;wsp:rsid wsp:val=&quot;00401171&quot;/&gt;&lt;wsp:rsid wsp:val=&quot;00402199&quot;/&gt;&lt;wsp:rsid wsp:val=&quot;004021F6&quot;/&gt;&lt;wsp:rsid wsp:val=&quot;00402823&quot;/&gt;&lt;wsp:rsid wsp:val=&quot;00402A93&quot;/&gt;&lt;wsp:rsid wsp:val=&quot;004032F0&quot;/&gt;&lt;wsp:rsid wsp:val=&quot;00403AB8&quot;/&gt;&lt;wsp:rsid wsp:val=&quot;00403EC3&quot;/&gt;&lt;wsp:rsid wsp:val=&quot;004041F7&quot;/&gt;&lt;wsp:rsid wsp:val=&quot;00404D42&quot;/&gt;&lt;wsp:rsid wsp:val=&quot;00404E76&quot;/&gt;&lt;wsp:rsid wsp:val=&quot;00405380&quot;/&gt;&lt;wsp:rsid wsp:val=&quot;00405393&quot;/&gt;&lt;wsp:rsid wsp:val=&quot;00405409&quot;/&gt;&lt;wsp:rsid wsp:val=&quot;00405452&quot;/&gt;&lt;wsp:rsid wsp:val=&quot;00405C6D&quot;/&gt;&lt;wsp:rsid wsp:val=&quot;0040601C&quot;/&gt;&lt;wsp:rsid wsp:val=&quot;0040604D&quot;/&gt;&lt;wsp:rsid wsp:val=&quot;0040662E&quot;/&gt;&lt;wsp:rsid wsp:val=&quot;00406706&quot;/&gt;&lt;wsp:rsid wsp:val=&quot;00406B1B&quot;/&gt;&lt;wsp:rsid wsp:val=&quot;00407073&quot;/&gt;&lt;wsp:rsid wsp:val=&quot;00407C7E&quot;/&gt;&lt;wsp:rsid wsp:val=&quot;00407D27&quot;/&gt;&lt;wsp:rsid wsp:val=&quot;004102C5&quot;/&gt;&lt;wsp:rsid wsp:val=&quot;0041080E&quot;/&gt;&lt;wsp:rsid wsp:val=&quot;004108CF&quot;/&gt;&lt;wsp:rsid wsp:val=&quot;004113CF&quot;/&gt;&lt;wsp:rsid wsp:val=&quot;00411874&quot;/&gt;&lt;wsp:rsid wsp:val=&quot;00411C07&quot;/&gt;&lt;wsp:rsid wsp:val=&quot;00411C3A&quot;/&gt;&lt;wsp:rsid wsp:val=&quot;00411D59&quot;/&gt;&lt;wsp:rsid wsp:val=&quot;00411DBF&quot;/&gt;&lt;wsp:rsid wsp:val=&quot;00412120&quot;/&gt;&lt;wsp:rsid wsp:val=&quot;004122B7&quot;/&gt;&lt;wsp:rsid wsp:val=&quot;004125F8&quot;/&gt;&lt;wsp:rsid wsp:val=&quot;004126D8&quot;/&gt;&lt;wsp:rsid wsp:val=&quot;00412732&quot;/&gt;&lt;wsp:rsid wsp:val=&quot;0041287E&quot;/&gt;&lt;wsp:rsid wsp:val=&quot;00412941&quot;/&gt;&lt;wsp:rsid wsp:val=&quot;00412A1C&quot;/&gt;&lt;wsp:rsid wsp:val=&quot;00412A9A&quot;/&gt;&lt;wsp:rsid wsp:val=&quot;00412B05&quot;/&gt;&lt;wsp:rsid wsp:val=&quot;00412E3E&quot;/&gt;&lt;wsp:rsid wsp:val=&quot;0041306D&quot;/&gt;&lt;wsp:rsid wsp:val=&quot;004137A0&quot;/&gt;&lt;wsp:rsid wsp:val=&quot;00413C4F&quot;/&gt;&lt;wsp:rsid wsp:val=&quot;00413DAA&quot;/&gt;&lt;wsp:rsid wsp:val=&quot;00413DB7&quot;/&gt;&lt;wsp:rsid wsp:val=&quot;00414227&quot;/&gt;&lt;wsp:rsid wsp:val=&quot;00415034&quot;/&gt;&lt;wsp:rsid wsp:val=&quot;00415974&quot;/&gt;&lt;wsp:rsid wsp:val=&quot;00415A40&quot;/&gt;&lt;wsp:rsid wsp:val=&quot;00416097&quot;/&gt;&lt;wsp:rsid wsp:val=&quot;00416277&quot;/&gt;&lt;wsp:rsid wsp:val=&quot;00416715&quot;/&gt;&lt;wsp:rsid wsp:val=&quot;00416D6C&quot;/&gt;&lt;wsp:rsid wsp:val=&quot;00416D9B&quot;/&gt;&lt;wsp:rsid wsp:val=&quot;00416E1D&quot;/&gt;&lt;wsp:rsid wsp:val=&quot;004171AC&quot;/&gt;&lt;wsp:rsid wsp:val=&quot;00417426&quot;/&gt;&lt;wsp:rsid wsp:val=&quot;00417963&quot;/&gt;&lt;wsp:rsid wsp:val=&quot;00417F00&quot;/&gt;&lt;wsp:rsid wsp:val=&quot;004201F9&quot;/&gt;&lt;wsp:rsid wsp:val=&quot;00420691&quot;/&gt;&lt;wsp:rsid wsp:val=&quot;00420919&quot;/&gt;&lt;wsp:rsid wsp:val=&quot;004209EA&quot;/&gt;&lt;wsp:rsid wsp:val=&quot;00420C86&quot;/&gt;&lt;wsp:rsid wsp:val=&quot;00420DA8&quot;/&gt;&lt;wsp:rsid wsp:val=&quot;004214D1&quot;/&gt;&lt;wsp:rsid wsp:val=&quot;0042172F&quot;/&gt;&lt;wsp:rsid wsp:val=&quot;00421879&quot;/&gt;&lt;wsp:rsid wsp:val=&quot;004226DD&quot;/&gt;&lt;wsp:rsid wsp:val=&quot;00422703&quot;/&gt;&lt;wsp:rsid wsp:val=&quot;004228DB&quot;/&gt;&lt;wsp:rsid wsp:val=&quot;00422CCB&quot;/&gt;&lt;wsp:rsid wsp:val=&quot;00422F61&quot;/&gt;&lt;wsp:rsid wsp:val=&quot;0042399D&quot;/&gt;&lt;wsp:rsid wsp:val=&quot;00423D45&quot;/&gt;&lt;wsp:rsid wsp:val=&quot;004256B2&quot;/&gt;&lt;wsp:rsid wsp:val=&quot;004258EB&quot;/&gt;&lt;wsp:rsid wsp:val=&quot;00425C65&quot;/&gt;&lt;wsp:rsid wsp:val=&quot;00426242&quot;/&gt;&lt;wsp:rsid wsp:val=&quot;004263DD&quot;/&gt;&lt;wsp:rsid wsp:val=&quot;00426B31&quot;/&gt;&lt;wsp:rsid wsp:val=&quot;00426C16&quot;/&gt;&lt;wsp:rsid wsp:val=&quot;00426C3D&quot;/&gt;&lt;wsp:rsid wsp:val=&quot;00426C91&quot;/&gt;&lt;wsp:rsid wsp:val=&quot;004272E7&quot;/&gt;&lt;wsp:rsid wsp:val=&quot;00427382&quot;/&gt;&lt;wsp:rsid wsp:val=&quot;00427A8E&quot;/&gt;&lt;wsp:rsid wsp:val=&quot;00427CBB&quot;/&gt;&lt;wsp:rsid wsp:val=&quot;00427F05&quot;/&gt;&lt;wsp:rsid wsp:val=&quot;0043005A&quot;/&gt;&lt;wsp:rsid wsp:val=&quot;004302FC&quot;/&gt;&lt;wsp:rsid wsp:val=&quot;004306DF&quot;/&gt;&lt;wsp:rsid wsp:val=&quot;00430728&quot;/&gt;&lt;wsp:rsid wsp:val=&quot;00430D53&quot;/&gt;&lt;wsp:rsid wsp:val=&quot;00431053&quot;/&gt;&lt;wsp:rsid wsp:val=&quot;00431166&quot;/&gt;&lt;wsp:rsid wsp:val=&quot;004312AC&quot;/&gt;&lt;wsp:rsid wsp:val=&quot;0043143D&quot;/&gt;&lt;wsp:rsid wsp:val=&quot;0043160B&quot;/&gt;&lt;wsp:rsid wsp:val=&quot;00431BD6&quot;/&gt;&lt;wsp:rsid wsp:val=&quot;00431D5A&quot;/&gt;&lt;wsp:rsid wsp:val=&quot;00432A0F&quot;/&gt;&lt;wsp:rsid wsp:val=&quot;00432B6D&quot;/&gt;&lt;wsp:rsid wsp:val=&quot;00432BD9&quot;/&gt;&lt;wsp:rsid wsp:val=&quot;00432F24&quot;/&gt;&lt;wsp:rsid wsp:val=&quot;00433063&quot;/&gt;&lt;wsp:rsid wsp:val=&quot;00433294&quot;/&gt;&lt;wsp:rsid wsp:val=&quot;00433353&quot;/&gt;&lt;wsp:rsid wsp:val=&quot;004338D5&quot;/&gt;&lt;wsp:rsid wsp:val=&quot;0043394F&quot;/&gt;&lt;wsp:rsid wsp:val=&quot;0043418B&quot;/&gt;&lt;wsp:rsid wsp:val=&quot;00434456&quot;/&gt;&lt;wsp:rsid wsp:val=&quot;0043487C&quot;/&gt;&lt;wsp:rsid wsp:val=&quot;00434B6B&quot;/&gt;&lt;wsp:rsid wsp:val=&quot;00435106&quot;/&gt;&lt;wsp:rsid wsp:val=&quot;00435446&quot;/&gt;&lt;wsp:rsid wsp:val=&quot;00435560&quot;/&gt;&lt;wsp:rsid wsp:val=&quot;00435CC3&quot;/&gt;&lt;wsp:rsid wsp:val=&quot;00435E1B&quot;/&gt;&lt;wsp:rsid wsp:val=&quot;00436526&quot;/&gt;&lt;wsp:rsid wsp:val=&quot;004368E1&quot;/&gt;&lt;wsp:rsid wsp:val=&quot;0043698F&quot;/&gt;&lt;wsp:rsid wsp:val=&quot;00436AE0&quot;/&gt;&lt;wsp:rsid wsp:val=&quot;00436AEF&quot;/&gt;&lt;wsp:rsid wsp:val=&quot;00436CF7&quot;/&gt;&lt;wsp:rsid wsp:val=&quot;00436E5C&quot;/&gt;&lt;wsp:rsid wsp:val=&quot;004371E9&quot;/&gt;&lt;wsp:rsid wsp:val=&quot;004375B1&quot;/&gt;&lt;wsp:rsid wsp:val=&quot;0043778B&quot;/&gt;&lt;wsp:rsid wsp:val=&quot;00437831&quot;/&gt;&lt;wsp:rsid wsp:val=&quot;00437BF6&quot;/&gt;&lt;wsp:rsid wsp:val=&quot;00437CAC&quot;/&gt;&lt;wsp:rsid wsp:val=&quot;00437E9D&quot;/&gt;&lt;wsp:rsid wsp:val=&quot;00440C3D&quot;/&gt;&lt;wsp:rsid wsp:val=&quot;0044147E&quot;/&gt;&lt;wsp:rsid wsp:val=&quot;004417DE&quot;/&gt;&lt;wsp:rsid wsp:val=&quot;00441A53&quot;/&gt;&lt;wsp:rsid wsp:val=&quot;00441B1C&quot;/&gt;&lt;wsp:rsid wsp:val=&quot;00441BC1&quot;/&gt;&lt;wsp:rsid wsp:val=&quot;00441C6D&quot;/&gt;&lt;wsp:rsid wsp:val=&quot;00441E1C&quot;/&gt;&lt;wsp:rsid wsp:val=&quot;00441EA7&quot;/&gt;&lt;wsp:rsid wsp:val=&quot;004420A8&quot;/&gt;&lt;wsp:rsid wsp:val=&quot;00442B06&quot;/&gt;&lt;wsp:rsid wsp:val=&quot;00442D41&quot;/&gt;&lt;wsp:rsid wsp:val=&quot;00442DBF&quot;/&gt;&lt;wsp:rsid wsp:val=&quot;00442E23&quot;/&gt;&lt;wsp:rsid wsp:val=&quot;00443044&quot;/&gt;&lt;wsp:rsid wsp:val=&quot;00443103&quot;/&gt;&lt;wsp:rsid wsp:val=&quot;00443143&quot;/&gt;&lt;wsp:rsid wsp:val=&quot;00443533&quot;/&gt;&lt;wsp:rsid wsp:val=&quot;004438F7&quot;/&gt;&lt;wsp:rsid wsp:val=&quot;00443985&quot;/&gt;&lt;wsp:rsid wsp:val=&quot;00443C76&quot;/&gt;&lt;wsp:rsid wsp:val=&quot;0044419D&quot;/&gt;&lt;wsp:rsid wsp:val=&quot;0044438A&quot;/&gt;&lt;wsp:rsid wsp:val=&quot;00444562&quot;/&gt;&lt;wsp:rsid wsp:val=&quot;0044478E&quot;/&gt;&lt;wsp:rsid wsp:val=&quot;004447EA&quot;/&gt;&lt;wsp:rsid wsp:val=&quot;0044488E&quot;/&gt;&lt;wsp:rsid wsp:val=&quot;00444C19&quot;/&gt;&lt;wsp:rsid wsp:val=&quot;00444F9D&quot;/&gt;&lt;wsp:rsid wsp:val=&quot;004458CA&quot;/&gt;&lt;wsp:rsid wsp:val=&quot;00445AFA&quot;/&gt;&lt;wsp:rsid wsp:val=&quot;00445D01&quot;/&gt;&lt;wsp:rsid wsp:val=&quot;00445E5F&quot;/&gt;&lt;wsp:rsid wsp:val=&quot;00446157&quot;/&gt;&lt;wsp:rsid wsp:val=&quot;004461A4&quot;/&gt;&lt;wsp:rsid wsp:val=&quot;004461D0&quot;/&gt;&lt;wsp:rsid wsp:val=&quot;004462D2&quot;/&gt;&lt;wsp:rsid wsp:val=&quot;00446374&quot;/&gt;&lt;wsp:rsid wsp:val=&quot;00446489&quot;/&gt;&lt;wsp:rsid wsp:val=&quot;00446537&quot;/&gt;&lt;wsp:rsid wsp:val=&quot;00446605&quot;/&gt;&lt;wsp:rsid wsp:val=&quot;004466CD&quot;/&gt;&lt;wsp:rsid wsp:val=&quot;0044671A&quot;/&gt;&lt;wsp:rsid wsp:val=&quot;00446798&quot;/&gt;&lt;wsp:rsid wsp:val=&quot;00446B30&quot;/&gt;&lt;wsp:rsid wsp:val=&quot;00447387&quot;/&gt;&lt;wsp:rsid wsp:val=&quot;00447397&quot;/&gt;&lt;wsp:rsid wsp:val=&quot;0044789A&quot;/&gt;&lt;wsp:rsid wsp:val=&quot;00447CC2&quot;/&gt;&lt;wsp:rsid wsp:val=&quot;00447FCB&quot;/&gt;&lt;wsp:rsid wsp:val=&quot;0045026C&quot;/&gt;&lt;wsp:rsid wsp:val=&quot;00450663&quot;/&gt;&lt;wsp:rsid wsp:val=&quot;004507D7&quot;/&gt;&lt;wsp:rsid wsp:val=&quot;00450BC6&quot;/&gt;&lt;wsp:rsid wsp:val=&quot;00450DAD&quot;/&gt;&lt;wsp:rsid wsp:val=&quot;00450E01&quot;/&gt;&lt;wsp:rsid wsp:val=&quot;00450FA8&quot;/&gt;&lt;wsp:rsid wsp:val=&quot;00451177&quot;/&gt;&lt;wsp:rsid wsp:val=&quot;0045123E&quot;/&gt;&lt;wsp:rsid wsp:val=&quot;004512ED&quot;/&gt;&lt;wsp:rsid wsp:val=&quot;004518D0&quot;/&gt;&lt;wsp:rsid wsp:val=&quot;00452310&quot;/&gt;&lt;wsp:rsid wsp:val=&quot;0045288A&quot;/&gt;&lt;wsp:rsid wsp:val=&quot;00452ACD&quot;/&gt;&lt;wsp:rsid wsp:val=&quot;00452B84&quot;/&gt;&lt;wsp:rsid wsp:val=&quot;00452C80&quot;/&gt;&lt;wsp:rsid wsp:val=&quot;004531A4&quot;/&gt;&lt;wsp:rsid wsp:val=&quot;00453268&quot;/&gt;&lt;wsp:rsid wsp:val=&quot;00453577&quot;/&gt;&lt;wsp:rsid wsp:val=&quot;00453C5D&quot;/&gt;&lt;wsp:rsid wsp:val=&quot;00454170&quot;/&gt;&lt;wsp:rsid wsp:val=&quot;00454832&quot;/&gt;&lt;wsp:rsid wsp:val=&quot;00454890&quot;/&gt;&lt;wsp:rsid wsp:val=&quot;00454A4D&quot;/&gt;&lt;wsp:rsid wsp:val=&quot;00454F20&quot;/&gt;&lt;wsp:rsid wsp:val=&quot;004553C6&quot;/&gt;&lt;wsp:rsid wsp:val=&quot;00455834&quot;/&gt;&lt;wsp:rsid wsp:val=&quot;00455B45&quot;/&gt;&lt;wsp:rsid wsp:val=&quot;00455B9C&quot;/&gt;&lt;wsp:rsid wsp:val=&quot;00455BB7&quot;/&gt;&lt;wsp:rsid wsp:val=&quot;00456165&quot;/&gt;&lt;wsp:rsid wsp:val=&quot;0045649E&quot;/&gt;&lt;wsp:rsid wsp:val=&quot;004565EB&quot;/&gt;&lt;wsp:rsid wsp:val=&quot;00456861&quot;/&gt;&lt;wsp:rsid wsp:val=&quot;004572A3&quot;/&gt;&lt;wsp:rsid wsp:val=&quot;004576F2&quot;/&gt;&lt;wsp:rsid wsp:val=&quot;004577F9&quot;/&gt;&lt;wsp:rsid wsp:val=&quot;00457CC6&quot;/&gt;&lt;wsp:rsid wsp:val=&quot;00457DE2&quot;/&gt;&lt;wsp:rsid wsp:val=&quot;00457FB3&quot;/&gt;&lt;wsp:rsid wsp:val=&quot;004608B6&quot;/&gt;&lt;wsp:rsid wsp:val=&quot;004608EE&quot;/&gt;&lt;wsp:rsid wsp:val=&quot;0046098B&quot;/&gt;&lt;wsp:rsid wsp:val=&quot;004610D7&quot;/&gt;&lt;wsp:rsid wsp:val=&quot;00461155&quot;/&gt;&lt;wsp:rsid wsp:val=&quot;004615C4&quot;/&gt;&lt;wsp:rsid wsp:val=&quot;00461628&quot;/&gt;&lt;wsp:rsid wsp:val=&quot;00461A79&quot;/&gt;&lt;wsp:rsid wsp:val=&quot;0046245E&quot;/&gt;&lt;wsp:rsid wsp:val=&quot;00462996&quot;/&gt;&lt;wsp:rsid wsp:val=&quot;00462A41&quot;/&gt;&lt;wsp:rsid wsp:val=&quot;00462B20&quot;/&gt;&lt;wsp:rsid wsp:val=&quot;00462BD0&quot;/&gt;&lt;wsp:rsid wsp:val=&quot;00462D04&quot;/&gt;&lt;wsp:rsid wsp:val=&quot;00463017&quot;/&gt;&lt;wsp:rsid wsp:val=&quot;00463593&quot;/&gt;&lt;wsp:rsid wsp:val=&quot;004635B6&quot;/&gt;&lt;wsp:rsid wsp:val=&quot;0046376F&quot;/&gt;&lt;wsp:rsid wsp:val=&quot;00463986&quot;/&gt;&lt;wsp:rsid wsp:val=&quot;00463CF2&quot;/&gt;&lt;wsp:rsid wsp:val=&quot;0046420B&quot;/&gt;&lt;wsp:rsid wsp:val=&quot;00464B26&quot;/&gt;&lt;wsp:rsid wsp:val=&quot;00464CC2&quot;/&gt;&lt;wsp:rsid wsp:val=&quot;00464DAA&quot;/&gt;&lt;wsp:rsid wsp:val=&quot;004655C4&quot;/&gt;&lt;wsp:rsid wsp:val=&quot;004657FF&quot;/&gt;&lt;wsp:rsid wsp:val=&quot;00465892&quot;/&gt;&lt;wsp:rsid wsp:val=&quot;00465895&quot;/&gt;&lt;wsp:rsid wsp:val=&quot;00465A53&quot;/&gt;&lt;wsp:rsid wsp:val=&quot;00465CB2&quot;/&gt;&lt;wsp:rsid wsp:val=&quot;00465D75&quot;/&gt;&lt;wsp:rsid wsp:val=&quot;004661B1&quot;/&gt;&lt;wsp:rsid wsp:val=&quot;004663F7&quot;/&gt;&lt;wsp:rsid wsp:val=&quot;00466D7E&quot;/&gt;&lt;wsp:rsid wsp:val=&quot;004674C1&quot;/&gt;&lt;wsp:rsid wsp:val=&quot;00467852&quot;/&gt;&lt;wsp:rsid wsp:val=&quot;004679FD&quot;/&gt;&lt;wsp:rsid wsp:val=&quot;00470019&quot;/&gt;&lt;wsp:rsid wsp:val=&quot;00470308&quot;/&gt;&lt;wsp:rsid wsp:val=&quot;0047046B&quot;/&gt;&lt;wsp:rsid wsp:val=&quot;00470DB4&quot;/&gt;&lt;wsp:rsid wsp:val=&quot;0047107A&quot;/&gt;&lt;wsp:rsid wsp:val=&quot;004710D3&quot;/&gt;&lt;wsp:rsid wsp:val=&quot;004710DF&quot;/&gt;&lt;wsp:rsid wsp:val=&quot;004714D2&quot;/&gt;&lt;wsp:rsid wsp:val=&quot;00471507&quot;/&gt;&lt;wsp:rsid wsp:val=&quot;00471D6C&quot;/&gt;&lt;wsp:rsid wsp:val=&quot;00471E47&quot;/&gt;&lt;wsp:rsid wsp:val=&quot;00471FC5&quot;/&gt;&lt;wsp:rsid wsp:val=&quot;00472074&quot;/&gt;&lt;wsp:rsid wsp:val=&quot;00472AEE&quot;/&gt;&lt;wsp:rsid wsp:val=&quot;00472B3C&quot;/&gt;&lt;wsp:rsid wsp:val=&quot;00472B9D&quot;/&gt;&lt;wsp:rsid wsp:val=&quot;00472D20&quot;/&gt;&lt;wsp:rsid wsp:val=&quot;004737B3&quot;/&gt;&lt;wsp:rsid wsp:val=&quot;004738E4&quot;/&gt;&lt;wsp:rsid wsp:val=&quot;004738E5&quot;/&gt;&lt;wsp:rsid wsp:val=&quot;00473F1D&quot;/&gt;&lt;wsp:rsid wsp:val=&quot;004740CB&quot;/&gt;&lt;wsp:rsid wsp:val=&quot;004743A8&quot;/&gt;&lt;wsp:rsid wsp:val=&quot;0047459B&quot;/&gt;&lt;wsp:rsid wsp:val=&quot;0047466C&quot;/&gt;&lt;wsp:rsid wsp:val=&quot;00474928&quot;/&gt;&lt;wsp:rsid wsp:val=&quot;0047513F&quot;/&gt;&lt;wsp:rsid wsp:val=&quot;0047556E&quot;/&gt;&lt;wsp:rsid wsp:val=&quot;0047565B&quot;/&gt;&lt;wsp:rsid wsp:val=&quot;004757A8&quot;/&gt;&lt;wsp:rsid wsp:val=&quot;0047598B&quot;/&gt;&lt;wsp:rsid wsp:val=&quot;00475DAC&quot;/&gt;&lt;wsp:rsid wsp:val=&quot;004761DC&quot;/&gt;&lt;wsp:rsid wsp:val=&quot;0047633A&quot;/&gt;&lt;wsp:rsid wsp:val=&quot;0047634B&quot;/&gt;&lt;wsp:rsid wsp:val=&quot;00476428&quot;/&gt;&lt;wsp:rsid wsp:val=&quot;00476588&quot;/&gt;&lt;wsp:rsid wsp:val=&quot;00476831&quot;/&gt;&lt;wsp:rsid wsp:val=&quot;00476EBB&quot;/&gt;&lt;wsp:rsid wsp:val=&quot;0047711B&quot;/&gt;&lt;wsp:rsid wsp:val=&quot;00477336&quot;/&gt;&lt;wsp:rsid wsp:val=&quot;00477AA4&quot;/&gt;&lt;wsp:rsid wsp:val=&quot;00477C62&quot;/&gt;&lt;wsp:rsid wsp:val=&quot;00477E82&quot;/&gt;&lt;wsp:rsid wsp:val=&quot;00477FB2&quot;/&gt;&lt;wsp:rsid wsp:val=&quot;0048004E&quot;/&gt;&lt;wsp:rsid wsp:val=&quot;00480129&quot;/&gt;&lt;wsp:rsid wsp:val=&quot;00480575&quot;/&gt;&lt;wsp:rsid wsp:val=&quot;00480F11&quot;/&gt;&lt;wsp:rsid wsp:val=&quot;00482083&quot;/&gt;&lt;wsp:rsid wsp:val=&quot;004823C1&quot;/&gt;&lt;wsp:rsid wsp:val=&quot;004823D0&quot;/&gt;&lt;wsp:rsid wsp:val=&quot;004825D7&quot;/&gt;&lt;wsp:rsid wsp:val=&quot;004831BB&quot;/&gt;&lt;wsp:rsid wsp:val=&quot;00483290&quot;/&gt;&lt;wsp:rsid wsp:val=&quot;004834B7&quot;/&gt;&lt;wsp:rsid wsp:val=&quot;00483841&quot;/&gt;&lt;wsp:rsid wsp:val=&quot;00483914&quot;/&gt;&lt;wsp:rsid wsp:val=&quot;00483C6F&quot;/&gt;&lt;wsp:rsid wsp:val=&quot;00484263&quot;/&gt;&lt;wsp:rsid wsp:val=&quot;004843B5&quot;/&gt;&lt;wsp:rsid wsp:val=&quot;004844FC&quot;/&gt;&lt;wsp:rsid wsp:val=&quot;00484FDF&quot;/&gt;&lt;wsp:rsid wsp:val=&quot;004854A5&quot;/&gt;&lt;wsp:rsid wsp:val=&quot;004855F1&quot;/&gt;&lt;wsp:rsid wsp:val=&quot;00485A07&quot;/&gt;&lt;wsp:rsid wsp:val=&quot;00485A73&quot;/&gt;&lt;wsp:rsid wsp:val=&quot;00485D62&quot;/&gt;&lt;wsp:rsid wsp:val=&quot;00485D6D&quot;/&gt;&lt;wsp:rsid wsp:val=&quot;00485EDD&quot;/&gt;&lt;wsp:rsid wsp:val=&quot;00486243&quot;/&gt;&lt;wsp:rsid wsp:val=&quot;00486319&quot;/&gt;&lt;wsp:rsid wsp:val=&quot;004864A6&quot;/&gt;&lt;wsp:rsid wsp:val=&quot;004865EE&quot;/&gt;&lt;wsp:rsid wsp:val=&quot;004868A0&quot;/&gt;&lt;wsp:rsid wsp:val=&quot;00486B0E&quot;/&gt;&lt;wsp:rsid wsp:val=&quot;00487952&quot;/&gt;&lt;wsp:rsid wsp:val=&quot;00487F97&quot;/&gt;&lt;wsp:rsid wsp:val=&quot;00490235&quot;/&gt;&lt;wsp:rsid wsp:val=&quot;004904F5&quot;/&gt;&lt;wsp:rsid wsp:val=&quot;00490575&quot;/&gt;&lt;wsp:rsid wsp:val=&quot;0049105E&quot;/&gt;&lt;wsp:rsid wsp:val=&quot;0049114B&quot;/&gt;&lt;wsp:rsid wsp:val=&quot;004913BD&quot;/&gt;&lt;wsp:rsid wsp:val=&quot;00491B51&quot;/&gt;&lt;wsp:rsid wsp:val=&quot;0049254E&quot;/&gt;&lt;wsp:rsid wsp:val=&quot;00492B5E&quot;/&gt;&lt;wsp:rsid wsp:val=&quot;00492B75&quot;/&gt;&lt;wsp:rsid wsp:val=&quot;00492BDE&quot;/&gt;&lt;wsp:rsid wsp:val=&quot;00493194&quot;/&gt;&lt;wsp:rsid wsp:val=&quot;004933E0&quot;/&gt;&lt;wsp:rsid wsp:val=&quot;0049407C&quot;/&gt;&lt;wsp:rsid wsp:val=&quot;004947BD&quot;/&gt;&lt;wsp:rsid wsp:val=&quot;004948E4&quot;/&gt;&lt;wsp:rsid wsp:val=&quot;00494D55&quot;/&gt;&lt;wsp:rsid wsp:val=&quot;004953A7&quot;/&gt;&lt;wsp:rsid wsp:val=&quot;00495729&quot;/&gt;&lt;wsp:rsid wsp:val=&quot;00495C08&quot;/&gt;&lt;wsp:rsid wsp:val=&quot;00495C16&quot;/&gt;&lt;wsp:rsid wsp:val=&quot;00495EDB&quot;/&gt;&lt;wsp:rsid wsp:val=&quot;00495FEA&quot;/&gt;&lt;wsp:rsid wsp:val=&quot;004963FD&quot;/&gt;&lt;wsp:rsid wsp:val=&quot;004975DF&quot;/&gt;&lt;wsp:rsid wsp:val=&quot;004976A3&quot;/&gt;&lt;wsp:rsid wsp:val=&quot;00497F41&quot;/&gt;&lt;wsp:rsid wsp:val=&quot;004A0140&quot;/&gt;&lt;wsp:rsid wsp:val=&quot;004A0471&quot;/&gt;&lt;wsp:rsid wsp:val=&quot;004A09B6&quot;/&gt;&lt;wsp:rsid wsp:val=&quot;004A12A2&quot;/&gt;&lt;wsp:rsid wsp:val=&quot;004A1350&quot;/&gt;&lt;wsp:rsid wsp:val=&quot;004A138A&quot;/&gt;&lt;wsp:rsid wsp:val=&quot;004A1B0F&quot;/&gt;&lt;wsp:rsid wsp:val=&quot;004A1CF9&quot;/&gt;&lt;wsp:rsid wsp:val=&quot;004A1FE1&quot;/&gt;&lt;wsp:rsid wsp:val=&quot;004A2013&quot;/&gt;&lt;wsp:rsid wsp:val=&quot;004A228C&quot;/&gt;&lt;wsp:rsid wsp:val=&quot;004A29C1&quot;/&gt;&lt;wsp:rsid wsp:val=&quot;004A29F7&quot;/&gt;&lt;wsp:rsid wsp:val=&quot;004A2FEB&quot;/&gt;&lt;wsp:rsid wsp:val=&quot;004A3467&quot;/&gt;&lt;wsp:rsid wsp:val=&quot;004A34BC&quot;/&gt;&lt;wsp:rsid wsp:val=&quot;004A4183&quot;/&gt;&lt;wsp:rsid wsp:val=&quot;004A460D&quot;/&gt;&lt;wsp:rsid wsp:val=&quot;004A4913&quot;/&gt;&lt;wsp:rsid wsp:val=&quot;004A4985&quot;/&gt;&lt;wsp:rsid wsp:val=&quot;004A49CD&quot;/&gt;&lt;wsp:rsid wsp:val=&quot;004A4D4D&quot;/&gt;&lt;wsp:rsid wsp:val=&quot;004A526B&quot;/&gt;&lt;wsp:rsid wsp:val=&quot;004A52FC&quot;/&gt;&lt;wsp:rsid wsp:val=&quot;004A535F&quot;/&gt;&lt;wsp:rsid wsp:val=&quot;004A55B8&quot;/&gt;&lt;wsp:rsid wsp:val=&quot;004A5826&quot;/&gt;&lt;wsp:rsid wsp:val=&quot;004A6463&quot;/&gt;&lt;wsp:rsid wsp:val=&quot;004A659B&quot;/&gt;&lt;wsp:rsid wsp:val=&quot;004A65E6&quot;/&gt;&lt;wsp:rsid wsp:val=&quot;004A6695&quot;/&gt;&lt;wsp:rsid wsp:val=&quot;004A671E&quot;/&gt;&lt;wsp:rsid wsp:val=&quot;004A673C&quot;/&gt;&lt;wsp:rsid wsp:val=&quot;004A6C23&quot;/&gt;&lt;wsp:rsid wsp:val=&quot;004A7471&quot;/&gt;&lt;wsp:rsid wsp:val=&quot;004A77E1&quot;/&gt;&lt;wsp:rsid wsp:val=&quot;004A783D&quot;/&gt;&lt;wsp:rsid wsp:val=&quot;004B0247&quot;/&gt;&lt;wsp:rsid wsp:val=&quot;004B064C&quot;/&gt;&lt;wsp:rsid wsp:val=&quot;004B1565&quot;/&gt;&lt;wsp:rsid wsp:val=&quot;004B1868&quot;/&gt;&lt;wsp:rsid wsp:val=&quot;004B1AFA&quot;/&gt;&lt;wsp:rsid wsp:val=&quot;004B204C&quot;/&gt;&lt;wsp:rsid wsp:val=&quot;004B208C&quot;/&gt;&lt;wsp:rsid wsp:val=&quot;004B2265&quot;/&gt;&lt;wsp:rsid wsp:val=&quot;004B2807&quot;/&gt;&lt;wsp:rsid wsp:val=&quot;004B2918&quot;/&gt;&lt;wsp:rsid wsp:val=&quot;004B3418&quot;/&gt;&lt;wsp:rsid wsp:val=&quot;004B3574&quot;/&gt;&lt;wsp:rsid wsp:val=&quot;004B3864&quot;/&gt;&lt;wsp:rsid wsp:val=&quot;004B3D7B&quot;/&gt;&lt;wsp:rsid wsp:val=&quot;004B3DD6&quot;/&gt;&lt;wsp:rsid wsp:val=&quot;004B3FD2&quot;/&gt;&lt;wsp:rsid wsp:val=&quot;004B40A6&quot;/&gt;&lt;wsp:rsid wsp:val=&quot;004B4A4D&quot;/&gt;&lt;wsp:rsid wsp:val=&quot;004B4D89&quot;/&gt;&lt;wsp:rsid wsp:val=&quot;004B4EBD&quot;/&gt;&lt;wsp:rsid wsp:val=&quot;004B54E6&quot;/&gt;&lt;wsp:rsid wsp:val=&quot;004B5828&quot;/&gt;&lt;wsp:rsid wsp:val=&quot;004B5884&quot;/&gt;&lt;wsp:rsid wsp:val=&quot;004B5B64&quot;/&gt;&lt;wsp:rsid wsp:val=&quot;004B5B9E&quot;/&gt;&lt;wsp:rsid wsp:val=&quot;004B5CD7&quot;/&gt;&lt;wsp:rsid wsp:val=&quot;004B5D77&quot;/&gt;&lt;wsp:rsid wsp:val=&quot;004B6016&quot;/&gt;&lt;wsp:rsid wsp:val=&quot;004B635B&quot;/&gt;&lt;wsp:rsid wsp:val=&quot;004B665D&quot;/&gt;&lt;wsp:rsid wsp:val=&quot;004B68B5&quot;/&gt;&lt;wsp:rsid wsp:val=&quot;004B69F9&quot;/&gt;&lt;wsp:rsid wsp:val=&quot;004B6C92&quot;/&gt;&lt;wsp:rsid wsp:val=&quot;004B6FBE&quot;/&gt;&lt;wsp:rsid wsp:val=&quot;004B7820&quot;/&gt;&lt;wsp:rsid wsp:val=&quot;004B7D4C&quot;/&gt;&lt;wsp:rsid wsp:val=&quot;004C01AC&quot;/&gt;&lt;wsp:rsid wsp:val=&quot;004C09A9&quot;/&gt;&lt;wsp:rsid wsp:val=&quot;004C0B00&quot;/&gt;&lt;wsp:rsid wsp:val=&quot;004C18D7&quot;/&gt;&lt;wsp:rsid wsp:val=&quot;004C1BEF&quot;/&gt;&lt;wsp:rsid wsp:val=&quot;004C1CB1&quot;/&gt;&lt;wsp:rsid wsp:val=&quot;004C23AD&quot;/&gt;&lt;wsp:rsid wsp:val=&quot;004C250D&quot;/&gt;&lt;wsp:rsid wsp:val=&quot;004C25C6&quot;/&gt;&lt;wsp:rsid wsp:val=&quot;004C2D23&quot;/&gt;&lt;wsp:rsid wsp:val=&quot;004C2E11&quot;/&gt;&lt;wsp:rsid wsp:val=&quot;004C32C2&quot;/&gt;&lt;wsp:rsid wsp:val=&quot;004C333E&quot;/&gt;&lt;wsp:rsid wsp:val=&quot;004C34B9&quot;/&gt;&lt;wsp:rsid wsp:val=&quot;004C4198&quot;/&gt;&lt;wsp:rsid wsp:val=&quot;004C4728&quot;/&gt;&lt;wsp:rsid wsp:val=&quot;004C4B4F&quot;/&gt;&lt;wsp:rsid wsp:val=&quot;004C4B62&quot;/&gt;&lt;wsp:rsid wsp:val=&quot;004C4C89&quot;/&gt;&lt;wsp:rsid wsp:val=&quot;004C599B&quot;/&gt;&lt;wsp:rsid wsp:val=&quot;004C5EBE&quot;/&gt;&lt;wsp:rsid wsp:val=&quot;004C6382&quot;/&gt;&lt;wsp:rsid wsp:val=&quot;004C63EC&quot;/&gt;&lt;wsp:rsid wsp:val=&quot;004C6C36&quot;/&gt;&lt;wsp:rsid wsp:val=&quot;004C6F21&quot;/&gt;&lt;wsp:rsid wsp:val=&quot;004C71AA&quot;/&gt;&lt;wsp:rsid wsp:val=&quot;004C7984&quot;/&gt;&lt;wsp:rsid wsp:val=&quot;004C7A1E&quot;/&gt;&lt;wsp:rsid wsp:val=&quot;004D03BC&quot;/&gt;&lt;wsp:rsid wsp:val=&quot;004D071E&quot;/&gt;&lt;wsp:rsid wsp:val=&quot;004D0B5C&quot;/&gt;&lt;wsp:rsid wsp:val=&quot;004D0D8C&quot;/&gt;&lt;wsp:rsid wsp:val=&quot;004D0EED&quot;/&gt;&lt;wsp:rsid wsp:val=&quot;004D0F83&quot;/&gt;&lt;wsp:rsid wsp:val=&quot;004D10C5&quot;/&gt;&lt;wsp:rsid wsp:val=&quot;004D1891&quot;/&gt;&lt;wsp:rsid wsp:val=&quot;004D1ABA&quot;/&gt;&lt;wsp:rsid wsp:val=&quot;004D1BF0&quot;/&gt;&lt;wsp:rsid wsp:val=&quot;004D1C79&quot;/&gt;&lt;wsp:rsid wsp:val=&quot;004D21E0&quot;/&gt;&lt;wsp:rsid wsp:val=&quot;004D2573&quot;/&gt;&lt;wsp:rsid wsp:val=&quot;004D25A3&quot;/&gt;&lt;wsp:rsid wsp:val=&quot;004D275D&quot;/&gt;&lt;wsp:rsid wsp:val=&quot;004D2765&quot;/&gt;&lt;wsp:rsid wsp:val=&quot;004D277D&quot;/&gt;&lt;wsp:rsid wsp:val=&quot;004D2F4E&quot;/&gt;&lt;wsp:rsid wsp:val=&quot;004D30BB&quot;/&gt;&lt;wsp:rsid wsp:val=&quot;004D33EA&quot;/&gt;&lt;wsp:rsid wsp:val=&quot;004D39E7&quot;/&gt;&lt;wsp:rsid wsp:val=&quot;004D3E26&quot;/&gt;&lt;wsp:rsid wsp:val=&quot;004D3EE1&quot;/&gt;&lt;wsp:rsid wsp:val=&quot;004D3FC0&quot;/&gt;&lt;wsp:rsid wsp:val=&quot;004D4395&quot;/&gt;&lt;wsp:rsid wsp:val=&quot;004D444D&quot;/&gt;&lt;wsp:rsid wsp:val=&quot;004D47AB&quot;/&gt;&lt;wsp:rsid wsp:val=&quot;004D4AC7&quot;/&gt;&lt;wsp:rsid wsp:val=&quot;004D4D68&quot;/&gt;&lt;wsp:rsid wsp:val=&quot;004D5020&quot;/&gt;&lt;wsp:rsid wsp:val=&quot;004D5071&quot;/&gt;&lt;wsp:rsid wsp:val=&quot;004D5804&quot;/&gt;&lt;wsp:rsid wsp:val=&quot;004D5A8D&quot;/&gt;&lt;wsp:rsid wsp:val=&quot;004D5F5C&quot;/&gt;&lt;wsp:rsid wsp:val=&quot;004D5FD4&quot;/&gt;&lt;wsp:rsid wsp:val=&quot;004D6295&quot;/&gt;&lt;wsp:rsid wsp:val=&quot;004D67A6&quot;/&gt;&lt;wsp:rsid wsp:val=&quot;004D77DE&quot;/&gt;&lt;wsp:rsid wsp:val=&quot;004D77FD&quot;/&gt;&lt;wsp:rsid wsp:val=&quot;004D7C39&quot;/&gt;&lt;wsp:rsid wsp:val=&quot;004D7C90&quot;/&gt;&lt;wsp:rsid wsp:val=&quot;004E0426&quot;/&gt;&lt;wsp:rsid wsp:val=&quot;004E05BD&quot;/&gt;&lt;wsp:rsid wsp:val=&quot;004E083A&quot;/&gt;&lt;wsp:rsid wsp:val=&quot;004E0C40&quot;/&gt;&lt;wsp:rsid wsp:val=&quot;004E0DE8&quot;/&gt;&lt;wsp:rsid wsp:val=&quot;004E0F77&quot;/&gt;&lt;wsp:rsid wsp:val=&quot;004E0FF8&quot;/&gt;&lt;wsp:rsid wsp:val=&quot;004E1812&quot;/&gt;&lt;wsp:rsid wsp:val=&quot;004E23F3&quot;/&gt;&lt;wsp:rsid wsp:val=&quot;004E2C7E&quot;/&gt;&lt;wsp:rsid wsp:val=&quot;004E2D66&quot;/&gt;&lt;wsp:rsid wsp:val=&quot;004E2E3E&quot;/&gt;&lt;wsp:rsid wsp:val=&quot;004E335C&quot;/&gt;&lt;wsp:rsid wsp:val=&quot;004E3A87&quot;/&gt;&lt;wsp:rsid wsp:val=&quot;004E3B92&quot;/&gt;&lt;wsp:rsid wsp:val=&quot;004E3D74&quot;/&gt;&lt;wsp:rsid wsp:val=&quot;004E3DDC&quot;/&gt;&lt;wsp:rsid wsp:val=&quot;004E3E91&quot;/&gt;&lt;wsp:rsid wsp:val=&quot;004E4004&quot;/&gt;&lt;wsp:rsid wsp:val=&quot;004E42DB&quot;/&gt;&lt;wsp:rsid wsp:val=&quot;004E43EC&quot;/&gt;&lt;wsp:rsid wsp:val=&quot;004E499A&quot;/&gt;&lt;wsp:rsid wsp:val=&quot;004E4CBB&quot;/&gt;&lt;wsp:rsid wsp:val=&quot;004E4D99&quot;/&gt;&lt;wsp:rsid wsp:val=&quot;004E53BC&quot;/&gt;&lt;wsp:rsid wsp:val=&quot;004E5962&quot;/&gt;&lt;wsp:rsid wsp:val=&quot;004E599D&quot;/&gt;&lt;wsp:rsid wsp:val=&quot;004E59C9&quot;/&gt;&lt;wsp:rsid wsp:val=&quot;004E5BD3&quot;/&gt;&lt;wsp:rsid wsp:val=&quot;004E5D2E&quot;/&gt;&lt;wsp:rsid wsp:val=&quot;004E6536&quot;/&gt;&lt;wsp:rsid wsp:val=&quot;004E6641&quot;/&gt;&lt;wsp:rsid wsp:val=&quot;004E73C7&quot;/&gt;&lt;wsp:rsid wsp:val=&quot;004E7C33&quot;/&gt;&lt;wsp:rsid wsp:val=&quot;004E7D31&quot;/&gt;&lt;wsp:rsid wsp:val=&quot;004F06A5&quot;/&gt;&lt;wsp:rsid wsp:val=&quot;004F079A&quot;/&gt;&lt;wsp:rsid wsp:val=&quot;004F0CB5&quot;/&gt;&lt;wsp:rsid wsp:val=&quot;004F0D68&quot;/&gt;&lt;wsp:rsid wsp:val=&quot;004F0FA8&quot;/&gt;&lt;wsp:rsid wsp:val=&quot;004F1289&quot;/&gt;&lt;wsp:rsid wsp:val=&quot;004F12F9&quot;/&gt;&lt;wsp:rsid wsp:val=&quot;004F13D4&quot;/&gt;&lt;wsp:rsid wsp:val=&quot;004F1476&quot;/&gt;&lt;wsp:rsid wsp:val=&quot;004F1559&quot;/&gt;&lt;wsp:rsid wsp:val=&quot;004F185C&quot;/&gt;&lt;wsp:rsid wsp:val=&quot;004F1E33&quot;/&gt;&lt;wsp:rsid wsp:val=&quot;004F1F62&quot;/&gt;&lt;wsp:rsid wsp:val=&quot;004F2016&quot;/&gt;&lt;wsp:rsid wsp:val=&quot;004F21E8&quot;/&gt;&lt;wsp:rsid wsp:val=&quot;004F2253&quot;/&gt;&lt;wsp:rsid wsp:val=&quot;004F2456&quot;/&gt;&lt;wsp:rsid wsp:val=&quot;004F2B1A&quot;/&gt;&lt;wsp:rsid wsp:val=&quot;004F2C0A&quot;/&gt;&lt;wsp:rsid wsp:val=&quot;004F2CEB&quot;/&gt;&lt;wsp:rsid wsp:val=&quot;004F2E19&quot;/&gt;&lt;wsp:rsid wsp:val=&quot;004F2F6E&quot;/&gt;&lt;wsp:rsid wsp:val=&quot;004F3332&quot;/&gt;&lt;wsp:rsid wsp:val=&quot;004F35E4&quot;/&gt;&lt;wsp:rsid wsp:val=&quot;004F37F2&quot;/&gt;&lt;wsp:rsid wsp:val=&quot;004F3BD5&quot;/&gt;&lt;wsp:rsid wsp:val=&quot;004F3DF1&quot;/&gt;&lt;wsp:rsid wsp:val=&quot;004F3E04&quot;/&gt;&lt;wsp:rsid wsp:val=&quot;004F3EA2&quot;/&gt;&lt;wsp:rsid wsp:val=&quot;004F4149&quot;/&gt;&lt;wsp:rsid wsp:val=&quot;004F459E&quot;/&gt;&lt;wsp:rsid wsp:val=&quot;004F48F8&quot;/&gt;&lt;wsp:rsid wsp:val=&quot;004F493C&quot;/&gt;&lt;wsp:rsid wsp:val=&quot;004F499C&quot;/&gt;&lt;wsp:rsid wsp:val=&quot;004F49A5&quot;/&gt;&lt;wsp:rsid wsp:val=&quot;004F49BE&quot;/&gt;&lt;wsp:rsid wsp:val=&quot;004F4AD3&quot;/&gt;&lt;wsp:rsid wsp:val=&quot;004F4C62&quot;/&gt;&lt;wsp:rsid wsp:val=&quot;004F4E5C&quot;/&gt;&lt;wsp:rsid wsp:val=&quot;004F4FE3&quot;/&gt;&lt;wsp:rsid wsp:val=&quot;004F50D5&quot;/&gt;&lt;wsp:rsid wsp:val=&quot;004F558C&quot;/&gt;&lt;wsp:rsid wsp:val=&quot;004F570C&quot;/&gt;&lt;wsp:rsid wsp:val=&quot;004F5743&quot;/&gt;&lt;wsp:rsid wsp:val=&quot;004F584B&quot;/&gt;&lt;wsp:rsid wsp:val=&quot;004F5EA8&quot;/&gt;&lt;wsp:rsid wsp:val=&quot;004F5F4E&quot;/&gt;&lt;wsp:rsid wsp:val=&quot;004F610E&quot;/&gt;&lt;wsp:rsid wsp:val=&quot;004F614C&quot;/&gt;&lt;wsp:rsid wsp:val=&quot;004F640C&quot;/&gt;&lt;wsp:rsid wsp:val=&quot;004F648F&quot;/&gt;&lt;wsp:rsid wsp:val=&quot;004F661A&quot;/&gt;&lt;wsp:rsid wsp:val=&quot;004F66B1&quot;/&gt;&lt;wsp:rsid wsp:val=&quot;004F6921&quot;/&gt;&lt;wsp:rsid wsp:val=&quot;004F6A7F&quot;/&gt;&lt;wsp:rsid wsp:val=&quot;004F7E50&quot;/&gt;&lt;wsp:rsid wsp:val=&quot;00500024&quot;/&gt;&lt;wsp:rsid wsp:val=&quot;00500107&quot;/&gt;&lt;wsp:rsid wsp:val=&quot;005009D2&quot;/&gt;&lt;wsp:rsid wsp:val=&quot;00500BD8&quot;/&gt;&lt;wsp:rsid wsp:val=&quot;00501096&quot;/&gt;&lt;wsp:rsid wsp:val=&quot;00501673&quot;/&gt;&lt;wsp:rsid wsp:val=&quot;00501987&quot;/&gt;&lt;wsp:rsid wsp:val=&quot;00501B01&quot;/&gt;&lt;wsp:rsid wsp:val=&quot;00501DCB&quot;/&gt;&lt;wsp:rsid wsp:val=&quot;00502AD0&quot;/&gt;&lt;wsp:rsid wsp:val=&quot;00502BB3&quot;/&gt;&lt;wsp:rsid wsp:val=&quot;00502C3F&quot;/&gt;&lt;wsp:rsid wsp:val=&quot;005035A1&quot;/&gt;&lt;wsp:rsid wsp:val=&quot;00503842&quot;/&gt;&lt;wsp:rsid wsp:val=&quot;005044D5&quot;/&gt;&lt;wsp:rsid wsp:val=&quot;00504A51&quot;/&gt;&lt;wsp:rsid wsp:val=&quot;005051ED&quot;/&gt;&lt;wsp:rsid wsp:val=&quot;00505FBE&quot;/&gt;&lt;wsp:rsid wsp:val=&quot;00506378&quot;/&gt;&lt;wsp:rsid wsp:val=&quot;00506592&quot;/&gt;&lt;wsp:rsid wsp:val=&quot;00506747&quot;/&gt;&lt;wsp:rsid wsp:val=&quot;0050687B&quot;/&gt;&lt;wsp:rsid wsp:val=&quot;005069F5&quot;/&gt;&lt;wsp:rsid wsp:val=&quot;00506FD2&quot;/&gt;&lt;wsp:rsid wsp:val=&quot;00507179&quot;/&gt;&lt;wsp:rsid wsp:val=&quot;005072F6&quot;/&gt;&lt;wsp:rsid wsp:val=&quot;00507381&quot;/&gt;&lt;wsp:rsid wsp:val=&quot;0050773C&quot;/&gt;&lt;wsp:rsid wsp:val=&quot;00507779&quot;/&gt;&lt;wsp:rsid wsp:val=&quot;00507D35&quot;/&gt;&lt;wsp:rsid wsp:val=&quot;00507F4E&quot;/&gt;&lt;wsp:rsid wsp:val=&quot;00507F57&quot;/&gt;&lt;wsp:rsid wsp:val=&quot;00510163&quot;/&gt;&lt;wsp:rsid wsp:val=&quot;00510930&quot;/&gt;&lt;wsp:rsid wsp:val=&quot;00510E58&quot;/&gt;&lt;wsp:rsid wsp:val=&quot;00511235&quot;/&gt;&lt;wsp:rsid wsp:val=&quot;00511361&quot;/&gt;&lt;wsp:rsid wsp:val=&quot;00511736&quot;/&gt;&lt;wsp:rsid wsp:val=&quot;0051182C&quot;/&gt;&lt;wsp:rsid wsp:val=&quot;0051189B&quot;/&gt;&lt;wsp:rsid wsp:val=&quot;00512066&quot;/&gt;&lt;wsp:rsid wsp:val=&quot;005120DF&quot;/&gt;&lt;wsp:rsid wsp:val=&quot;0051292A&quot;/&gt;&lt;wsp:rsid wsp:val=&quot;00513042&quot;/&gt;&lt;wsp:rsid wsp:val=&quot;00513388&quot;/&gt;&lt;wsp:rsid wsp:val=&quot;0051363C&quot;/&gt;&lt;wsp:rsid wsp:val=&quot;0051372D&quot;/&gt;&lt;wsp:rsid wsp:val=&quot;0051374C&quot;/&gt;&lt;wsp:rsid wsp:val=&quot;00513BE8&quot;/&gt;&lt;wsp:rsid wsp:val=&quot;00513C79&quot;/&gt;&lt;wsp:rsid wsp:val=&quot;00513DBA&quot;/&gt;&lt;wsp:rsid wsp:val=&quot;00514228&quot;/&gt;&lt;wsp:rsid wsp:val=&quot;00514E5D&quot;/&gt;&lt;wsp:rsid wsp:val=&quot;005151F6&quot;/&gt;&lt;wsp:rsid wsp:val=&quot;005154BA&quot;/&gt;&lt;wsp:rsid wsp:val=&quot;00515673&quot;/&gt;&lt;wsp:rsid wsp:val=&quot;005158CD&quot;/&gt;&lt;wsp:rsid wsp:val=&quot;00515A5C&quot;/&gt;&lt;wsp:rsid wsp:val=&quot;00516006&quot;/&gt;&lt;wsp:rsid wsp:val=&quot;0051654E&quot;/&gt;&lt;wsp:rsid wsp:val=&quot;00516F54&quot;/&gt;&lt;wsp:rsid wsp:val=&quot;00516FB9&quot;/&gt;&lt;wsp:rsid wsp:val=&quot;00517056&quot;/&gt;&lt;wsp:rsid wsp:val=&quot;0051738D&quot;/&gt;&lt;wsp:rsid wsp:val=&quot;005177AA&quot;/&gt;&lt;wsp:rsid wsp:val=&quot;00517F51&quot;/&gt;&lt;wsp:rsid wsp:val=&quot;00520168&quot;/&gt;&lt;wsp:rsid wsp:val=&quot;00520389&quot;/&gt;&lt;wsp:rsid wsp:val=&quot;005205D4&quot;/&gt;&lt;wsp:rsid wsp:val=&quot;00520884&quot;/&gt;&lt;wsp:rsid wsp:val=&quot;00520F1C&quot;/&gt;&lt;wsp:rsid wsp:val=&quot;005212C4&quot;/&gt;&lt;wsp:rsid wsp:val=&quot;0052132B&quot;/&gt;&lt;wsp:rsid wsp:val=&quot;005217F1&quot;/&gt;&lt;wsp:rsid wsp:val=&quot;00521DC4&quot;/&gt;&lt;wsp:rsid wsp:val=&quot;00521EC4&quot;/&gt;&lt;wsp:rsid wsp:val=&quot;0052253C&quot;/&gt;&lt;wsp:rsid wsp:val=&quot;00522688&quot;/&gt;&lt;wsp:rsid wsp:val=&quot;00522804&quot;/&gt;&lt;wsp:rsid wsp:val=&quot;00522A82&quot;/&gt;&lt;wsp:rsid wsp:val=&quot;00522FB4&quot;/&gt;&lt;wsp:rsid wsp:val=&quot;00523487&quot;/&gt;&lt;wsp:rsid wsp:val=&quot;005238EC&quot;/&gt;&lt;wsp:rsid wsp:val=&quot;00523D71&quot;/&gt;&lt;wsp:rsid wsp:val=&quot;00523DA4&quot;/&gt;&lt;wsp:rsid wsp:val=&quot;00523EED&quot;/&gt;&lt;wsp:rsid wsp:val=&quot;00523FBF&quot;/&gt;&lt;wsp:rsid wsp:val=&quot;0052442B&quot;/&gt;&lt;wsp:rsid wsp:val=&quot;005245AE&quot;/&gt;&lt;wsp:rsid wsp:val=&quot;005245C6&quot;/&gt;&lt;wsp:rsid wsp:val=&quot;0052478D&quot;/&gt;&lt;wsp:rsid wsp:val=&quot;005247D8&quot;/&gt;&lt;wsp:rsid wsp:val=&quot;00524D49&quot;/&gt;&lt;wsp:rsid wsp:val=&quot;005254BF&quot;/&gt;&lt;wsp:rsid wsp:val=&quot;005255AF&quot;/&gt;&lt;wsp:rsid wsp:val=&quot;00525B54&quot;/&gt;&lt;wsp:rsid wsp:val=&quot;00525E90&quot;/&gt;&lt;wsp:rsid wsp:val=&quot;00525FFB&quot;/&gt;&lt;wsp:rsid wsp:val=&quot;005260A9&quot;/&gt;&lt;wsp:rsid wsp:val=&quot;00526109&quot;/&gt;&lt;wsp:rsid wsp:val=&quot;00526E53&quot;/&gt;&lt;wsp:rsid wsp:val=&quot;00526EDD&quot;/&gt;&lt;wsp:rsid wsp:val=&quot;0052703E&quot;/&gt;&lt;wsp:rsid wsp:val=&quot;00527289&quot;/&gt;&lt;wsp:rsid wsp:val=&quot;00527CBA&quot;/&gt;&lt;wsp:rsid wsp:val=&quot;00530412&quot;/&gt;&lt;wsp:rsid wsp:val=&quot;005308A3&quot;/&gt;&lt;wsp:rsid wsp:val=&quot;00530BAD&quot;/&gt;&lt;wsp:rsid wsp:val=&quot;00530D07&quot;/&gt;&lt;wsp:rsid wsp:val=&quot;005314D2&quot;/&gt;&lt;wsp:rsid wsp:val=&quot;00531A24&quot;/&gt;&lt;wsp:rsid wsp:val=&quot;00532160&quot;/&gt;&lt;wsp:rsid wsp:val=&quot;0053238B&quot;/&gt;&lt;wsp:rsid wsp:val=&quot;00532486&quot;/&gt;&lt;wsp:rsid wsp:val=&quot;005324E5&quot;/&gt;&lt;wsp:rsid wsp:val=&quot;005329A8&quot;/&gt;&lt;wsp:rsid wsp:val=&quot;00532B2A&quot;/&gt;&lt;wsp:rsid wsp:val=&quot;00532F0D&quot;/&gt;&lt;wsp:rsid wsp:val=&quot;0053335A&quot;/&gt;&lt;wsp:rsid wsp:val=&quot;005335C8&quot;/&gt;&lt;wsp:rsid wsp:val=&quot;00533850&quot;/&gt;&lt;wsp:rsid wsp:val=&quot;00533D2B&quot;/&gt;&lt;wsp:rsid wsp:val=&quot;00533E8C&quot;/&gt;&lt;wsp:rsid wsp:val=&quot;00533F94&quot;/&gt;&lt;wsp:rsid wsp:val=&quot;0053419B&quot;/&gt;&lt;wsp:rsid wsp:val=&quot;005348E7&quot;/&gt;&lt;wsp:rsid wsp:val=&quot;00534921&quot;/&gt;&lt;wsp:rsid wsp:val=&quot;00535204&quot;/&gt;&lt;wsp:rsid wsp:val=&quot;00535364&quot;/&gt;&lt;wsp:rsid wsp:val=&quot;00535D15&quot;/&gt;&lt;wsp:rsid wsp:val=&quot;00535E04&quot;/&gt;&lt;wsp:rsid wsp:val=&quot;005367F3&quot;/&gt;&lt;wsp:rsid wsp:val=&quot;005369FC&quot;/&gt;&lt;wsp:rsid wsp:val=&quot;00536BEA&quot;/&gt;&lt;wsp:rsid wsp:val=&quot;0053739E&quot;/&gt;&lt;wsp:rsid wsp:val=&quot;00537593&quot;/&gt;&lt;wsp:rsid wsp:val=&quot;005376AC&quot;/&gt;&lt;wsp:rsid wsp:val=&quot;00537A5E&quot;/&gt;&lt;wsp:rsid wsp:val=&quot;005401B7&quot;/&gt;&lt;wsp:rsid wsp:val=&quot;00540586&quot;/&gt;&lt;wsp:rsid wsp:val=&quot;00540626&quot;/&gt;&lt;wsp:rsid wsp:val=&quot;00540BBF&quot;/&gt;&lt;wsp:rsid wsp:val=&quot;00540BE8&quot;/&gt;&lt;wsp:rsid wsp:val=&quot;00540CAE&quot;/&gt;&lt;wsp:rsid wsp:val=&quot;00541043&quot;/&gt;&lt;wsp:rsid wsp:val=&quot;00541503&quot;/&gt;&lt;wsp:rsid wsp:val=&quot;00541761&quot;/&gt;&lt;wsp:rsid wsp:val=&quot;00542050&quot;/&gt;&lt;wsp:rsid wsp:val=&quot;00542548&quot;/&gt;&lt;wsp:rsid wsp:val=&quot;00542876&quot;/&gt;&lt;wsp:rsid wsp:val=&quot;00542B60&quot;/&gt;&lt;wsp:rsid wsp:val=&quot;00542BD8&quot;/&gt;&lt;wsp:rsid wsp:val=&quot;00542D44&quot;/&gt;&lt;wsp:rsid wsp:val=&quot;00542E9C&quot;/&gt;&lt;wsp:rsid wsp:val=&quot;00543459&quot;/&gt;&lt;wsp:rsid wsp:val=&quot;00543D53&quot;/&gt;&lt;wsp:rsid wsp:val=&quot;00544120&quot;/&gt;&lt;wsp:rsid wsp:val=&quot;00544895&quot;/&gt;&lt;wsp:rsid wsp:val=&quot;005449D5&quot;/&gt;&lt;wsp:rsid wsp:val=&quot;00545012&quot;/&gt;&lt;wsp:rsid wsp:val=&quot;005454FC&quot;/&gt;&lt;wsp:rsid wsp:val=&quot;0054566F&quot;/&gt;&lt;wsp:rsid wsp:val=&quot;00545D06&quot;/&gt;&lt;wsp:rsid wsp:val=&quot;005463E8&quot;/&gt;&lt;wsp:rsid wsp:val=&quot;0054694F&quot;/&gt;&lt;wsp:rsid wsp:val=&quot;0054697A&quot;/&gt;&lt;wsp:rsid wsp:val=&quot;00546AFD&quot;/&gt;&lt;wsp:rsid wsp:val=&quot;005470B2&quot;/&gt;&lt;wsp:rsid wsp:val=&quot;005470DB&quot;/&gt;&lt;wsp:rsid wsp:val=&quot;00547106&quot;/&gt;&lt;wsp:rsid wsp:val=&quot;00547118&quot;/&gt;&lt;wsp:rsid wsp:val=&quot;00547431&quot;/&gt;&lt;wsp:rsid wsp:val=&quot;00550205&quot;/&gt;&lt;wsp:rsid wsp:val=&quot;005505DC&quot;/&gt;&lt;wsp:rsid wsp:val=&quot;0055192F&quot;/&gt;&lt;wsp:rsid wsp:val=&quot;00551A6E&quot;/&gt;&lt;wsp:rsid wsp:val=&quot;00551D09&quot;/&gt;&lt;wsp:rsid wsp:val=&quot;00552BB8&quot;/&gt;&lt;wsp:rsid wsp:val=&quot;0055306C&quot;/&gt;&lt;wsp:rsid wsp:val=&quot;00553144&quot;/&gt;&lt;wsp:rsid wsp:val=&quot;0055338B&quot;/&gt;&lt;wsp:rsid wsp:val=&quot;00553604&quot;/&gt;&lt;wsp:rsid wsp:val=&quot;0055385F&quot;/&gt;&lt;wsp:rsid wsp:val=&quot;005538D9&quot;/&gt;&lt;wsp:rsid wsp:val=&quot;00553D3E&quot;/&gt;&lt;wsp:rsid wsp:val=&quot;00553EE3&quot;/&gt;&lt;wsp:rsid wsp:val=&quot;00554580&quot;/&gt;&lt;wsp:rsid wsp:val=&quot;00555624&quot;/&gt;&lt;wsp:rsid wsp:val=&quot;00555778&quot;/&gt;&lt;wsp:rsid wsp:val=&quot;00555EC6&quot;/&gt;&lt;wsp:rsid wsp:val=&quot;00555F65&quot;/&gt;&lt;wsp:rsid wsp:val=&quot;00555F66&quot;/&gt;&lt;wsp:rsid wsp:val=&quot;0055620C&quot;/&gt;&lt;wsp:rsid wsp:val=&quot;005568E2&quot;/&gt;&lt;wsp:rsid wsp:val=&quot;0055690E&quot;/&gt;&lt;wsp:rsid wsp:val=&quot;00556A1F&quot;/&gt;&lt;wsp:rsid wsp:val=&quot;00556F2D&quot;/&gt;&lt;wsp:rsid wsp:val=&quot;00557440&quot;/&gt;&lt;wsp:rsid wsp:val=&quot;0055764E&quot;/&gt;&lt;wsp:rsid wsp:val=&quot;0055768F&quot;/&gt;&lt;wsp:rsid wsp:val=&quot;005576C2&quot;/&gt;&lt;wsp:rsid wsp:val=&quot;00557B28&quot;/&gt;&lt;wsp:rsid wsp:val=&quot;00557C49&quot;/&gt;&lt;wsp:rsid wsp:val=&quot;0056031D&quot;/&gt;&lt;wsp:rsid wsp:val=&quot;00560FA8&quot;/&gt;&lt;wsp:rsid wsp:val=&quot;005613BC&quot;/&gt;&lt;wsp:rsid wsp:val=&quot;005615A8&quot;/&gt;&lt;wsp:rsid wsp:val=&quot;00561679&quot;/&gt;&lt;wsp:rsid wsp:val=&quot;00561A9F&quot;/&gt;&lt;wsp:rsid wsp:val=&quot;00561DED&quot;/&gt;&lt;wsp:rsid wsp:val=&quot;0056207D&quot;/&gt;&lt;wsp:rsid wsp:val=&quot;00562272&quot;/&gt;&lt;wsp:rsid wsp:val=&quot;00562A2D&quot;/&gt;&lt;wsp:rsid wsp:val=&quot;00562DC4&quot;/&gt;&lt;wsp:rsid wsp:val=&quot;005636B1&quot;/&gt;&lt;wsp:rsid wsp:val=&quot;0056395C&quot;/&gt;&lt;wsp:rsid wsp:val=&quot;00565155&quot;/&gt;&lt;wsp:rsid wsp:val=&quot;00565317&quot;/&gt;&lt;wsp:rsid wsp:val=&quot;00565367&quot;/&gt;&lt;wsp:rsid wsp:val=&quot;00566368&quot;/&gt;&lt;wsp:rsid wsp:val=&quot;005672F9&quot;/&gt;&lt;wsp:rsid wsp:val=&quot;00567EE4&quot;/&gt;&lt;wsp:rsid wsp:val=&quot;00570032&quot;/&gt;&lt;wsp:rsid wsp:val=&quot;0057047D&quot;/&gt;&lt;wsp:rsid wsp:val=&quot;0057049E&quot;/&gt;&lt;wsp:rsid wsp:val=&quot;00570564&quot;/&gt;&lt;wsp:rsid wsp:val=&quot;00570605&quot;/&gt;&lt;wsp:rsid wsp:val=&quot;005708EC&quot;/&gt;&lt;wsp:rsid wsp:val=&quot;00570F63&quot;/&gt;&lt;wsp:rsid wsp:val=&quot;00571270&quot;/&gt;&lt;wsp:rsid wsp:val=&quot;005713CC&quot;/&gt;&lt;wsp:rsid wsp:val=&quot;00571754&quot;/&gt;&lt;wsp:rsid wsp:val=&quot;0057188B&quot;/&gt;&lt;wsp:rsid wsp:val=&quot;00571BC6&quot;/&gt;&lt;wsp:rsid wsp:val=&quot;00571D1F&quot;/&gt;&lt;wsp:rsid wsp:val=&quot;00571D7A&quot;/&gt;&lt;wsp:rsid wsp:val=&quot;00571E3F&quot;/&gt;&lt;wsp:rsid wsp:val=&quot;00571E5F&quot;/&gt;&lt;wsp:rsid wsp:val=&quot;00571F49&quot;/&gt;&lt;wsp:rsid wsp:val=&quot;00572056&quot;/&gt;&lt;wsp:rsid wsp:val=&quot;005723B6&quot;/&gt;&lt;wsp:rsid wsp:val=&quot;00572832&quot;/&gt;&lt;wsp:rsid wsp:val=&quot;00572B81&quot;/&gt;&lt;wsp:rsid wsp:val=&quot;00572F15&quot;/&gt;&lt;wsp:rsid wsp:val=&quot;00573188&quot;/&gt;&lt;wsp:rsid wsp:val=&quot;005732BD&quot;/&gt;&lt;wsp:rsid wsp:val=&quot;005732EA&quot;/&gt;&lt;wsp:rsid wsp:val=&quot;00573331&quot;/&gt;&lt;wsp:rsid wsp:val=&quot;005739FB&quot;/&gt;&lt;wsp:rsid wsp:val=&quot;00573B41&quot;/&gt;&lt;wsp:rsid wsp:val=&quot;00573F1A&quot;/&gt;&lt;wsp:rsid wsp:val=&quot;005745F8&quot;/&gt;&lt;wsp:rsid wsp:val=&quot;0057470C&quot;/&gt;&lt;wsp:rsid wsp:val=&quot;00574866&quot;/&gt;&lt;wsp:rsid wsp:val=&quot;00574B0F&quot;/&gt;&lt;wsp:rsid wsp:val=&quot;00574EE5&quot;/&gt;&lt;wsp:rsid wsp:val=&quot;0057658C&quot;/&gt;&lt;wsp:rsid wsp:val=&quot;00576ACB&quot;/&gt;&lt;wsp:rsid wsp:val=&quot;00576BF4&quot;/&gt;&lt;wsp:rsid wsp:val=&quot;00576E03&quot;/&gt;&lt;wsp:rsid wsp:val=&quot;005770F1&quot;/&gt;&lt;wsp:rsid wsp:val=&quot;0057714E&quot;/&gt;&lt;wsp:rsid wsp:val=&quot;00577559&quot;/&gt;&lt;wsp:rsid wsp:val=&quot;00577699&quot;/&gt;&lt;wsp:rsid wsp:val=&quot;00577EBD&quot;/&gt;&lt;wsp:rsid wsp:val=&quot;00577F10&quot;/&gt;&lt;wsp:rsid wsp:val=&quot;00580790&quot;/&gt;&lt;wsp:rsid wsp:val=&quot;00581446&quot;/&gt;&lt;wsp:rsid wsp:val=&quot;00581A52&quot;/&gt;&lt;wsp:rsid wsp:val=&quot;00581B3D&quot;/&gt;&lt;wsp:rsid wsp:val=&quot;00581EC4&quot;/&gt;&lt;wsp:rsid wsp:val=&quot;00582109&quot;/&gt;&lt;wsp:rsid wsp:val=&quot;00582153&quot;/&gt;&lt;wsp:rsid wsp:val=&quot;005824B7&quot;/&gt;&lt;wsp:rsid wsp:val=&quot;00582F4D&quot;/&gt;&lt;wsp:rsid wsp:val=&quot;00582FF3&quot;/&gt;&lt;wsp:rsid wsp:val=&quot;00583296&quot;/&gt;&lt;wsp:rsid wsp:val=&quot;0058336C&quot;/&gt;&lt;wsp:rsid wsp:val=&quot;005839B5&quot;/&gt;&lt;wsp:rsid wsp:val=&quot;005839C0&quot;/&gt;&lt;wsp:rsid wsp:val=&quot;00583C7E&quot;/&gt;&lt;wsp:rsid wsp:val=&quot;005842BF&quot;/&gt;&lt;wsp:rsid wsp:val=&quot;005845BE&quot;/&gt;&lt;wsp:rsid wsp:val=&quot;005847DF&quot;/&gt;&lt;wsp:rsid wsp:val=&quot;00584A10&quot;/&gt;&lt;wsp:rsid wsp:val=&quot;00584EB7&quot;/&gt;&lt;wsp:rsid wsp:val=&quot;0058558C&quot;/&gt;&lt;wsp:rsid wsp:val=&quot;00585592&quot;/&gt;&lt;wsp:rsid wsp:val=&quot;005868A0&quot;/&gt;&lt;wsp:rsid wsp:val=&quot;00586A23&quot;/&gt;&lt;wsp:rsid wsp:val=&quot;0058793B&quot;/&gt;&lt;wsp:rsid wsp:val=&quot;0059029B&quot;/&gt;&lt;wsp:rsid wsp:val=&quot;005902CD&quot;/&gt;&lt;wsp:rsid wsp:val=&quot;00590911&quot;/&gt;&lt;wsp:rsid wsp:val=&quot;00590AE1&quot;/&gt;&lt;wsp:rsid wsp:val=&quot;00590BAF&quot;/&gt;&lt;wsp:rsid wsp:val=&quot;00590BB7&quot;/&gt;&lt;wsp:rsid wsp:val=&quot;00590E01&quot;/&gt;&lt;wsp:rsid wsp:val=&quot;00591205&quot;/&gt;&lt;wsp:rsid wsp:val=&quot;005912F3&quot;/&gt;&lt;wsp:rsid wsp:val=&quot;005916F8&quot;/&gt;&lt;wsp:rsid wsp:val=&quot;005919FD&quot;/&gt;&lt;wsp:rsid wsp:val=&quot;00591DF6&quot;/&gt;&lt;wsp:rsid wsp:val=&quot;00591DFA&quot;/&gt;&lt;wsp:rsid wsp:val=&quot;00591F1A&quot;/&gt;&lt;wsp:rsid wsp:val=&quot;00591F7F&quot;/&gt;&lt;wsp:rsid wsp:val=&quot;00592032&quot;/&gt;&lt;wsp:rsid wsp:val=&quot;00592164&quot;/&gt;&lt;wsp:rsid wsp:val=&quot;00592648&quot;/&gt;&lt;wsp:rsid wsp:val=&quot;005926E1&quot;/&gt;&lt;wsp:rsid wsp:val=&quot;005928D4&quot;/&gt;&lt;wsp:rsid wsp:val=&quot;00592A64&quot;/&gt;&lt;wsp:rsid wsp:val=&quot;00592AF3&quot;/&gt;&lt;wsp:rsid wsp:val=&quot;00592C7B&quot;/&gt;&lt;wsp:rsid wsp:val=&quot;00592DD6&quot;/&gt;&lt;wsp:rsid wsp:val=&quot;00592E26&quot;/&gt;&lt;wsp:rsid wsp:val=&quot;00593031&quot;/&gt;&lt;wsp:rsid wsp:val=&quot;005931B9&quot;/&gt;&lt;wsp:rsid wsp:val=&quot;00593609&quot;/&gt;&lt;wsp:rsid wsp:val=&quot;00593CE8&quot;/&gt;&lt;wsp:rsid wsp:val=&quot;00593CE9&quot;/&gt;&lt;wsp:rsid wsp:val=&quot;00593F69&quot;/&gt;&lt;wsp:rsid wsp:val=&quot;00594110&quot;/&gt;&lt;wsp:rsid wsp:val=&quot;00594273&quot;/&gt;&lt;wsp:rsid wsp:val=&quot;00594372&quot;/&gt;&lt;wsp:rsid wsp:val=&quot;00594667&quot;/&gt;&lt;wsp:rsid wsp:val=&quot;00594EBD&quot;/&gt;&lt;wsp:rsid wsp:val=&quot;00595156&quot;/&gt;&lt;wsp:rsid wsp:val=&quot;00595C16&quot;/&gt;&lt;wsp:rsid wsp:val=&quot;00595D5A&quot;/&gt;&lt;wsp:rsid wsp:val=&quot;005963B3&quot;/&gt;&lt;wsp:rsid wsp:val=&quot;0059688E&quot;/&gt;&lt;wsp:rsid wsp:val=&quot;005969ED&quot;/&gt;&lt;wsp:rsid wsp:val=&quot;00596DF9&quot;/&gt;&lt;wsp:rsid wsp:val=&quot;00596E70&quot;/&gt;&lt;wsp:rsid wsp:val=&quot;00597124&quot;/&gt;&lt;wsp:rsid wsp:val=&quot;0059756C&quot;/&gt;&lt;wsp:rsid wsp:val=&quot;00597690&quot;/&gt;&lt;wsp:rsid wsp:val=&quot;005A0231&quot;/&gt;&lt;wsp:rsid wsp:val=&quot;005A0669&quot;/&gt;&lt;wsp:rsid wsp:val=&quot;005A0966&quot;/&gt;&lt;wsp:rsid wsp:val=&quot;005A0A0D&quot;/&gt;&lt;wsp:rsid wsp:val=&quot;005A14E9&quot;/&gt;&lt;wsp:rsid wsp:val=&quot;005A1829&quot;/&gt;&lt;wsp:rsid wsp:val=&quot;005A18BC&quot;/&gt;&lt;wsp:rsid wsp:val=&quot;005A2506&quot;/&gt;&lt;wsp:rsid wsp:val=&quot;005A2BCA&quot;/&gt;&lt;wsp:rsid wsp:val=&quot;005A2CAD&quot;/&gt;&lt;wsp:rsid wsp:val=&quot;005A3105&quot;/&gt;&lt;wsp:rsid wsp:val=&quot;005A33B6&quot;/&gt;&lt;wsp:rsid wsp:val=&quot;005A3C70&quot;/&gt;&lt;wsp:rsid wsp:val=&quot;005A3F1B&quot;/&gt;&lt;wsp:rsid wsp:val=&quot;005A45C2&quot;/&gt;&lt;wsp:rsid wsp:val=&quot;005A47A2&quot;/&gt;&lt;wsp:rsid wsp:val=&quot;005A52A5&quot;/&gt;&lt;wsp:rsid wsp:val=&quot;005A5316&quot;/&gt;&lt;wsp:rsid wsp:val=&quot;005A5863&quot;/&gt;&lt;wsp:rsid wsp:val=&quot;005A5C8A&quot;/&gt;&lt;wsp:rsid wsp:val=&quot;005A5FB0&quot;/&gt;&lt;wsp:rsid wsp:val=&quot;005A620B&quot;/&gt;&lt;wsp:rsid wsp:val=&quot;005A6239&quot;/&gt;&lt;wsp:rsid wsp:val=&quot;005A6529&quot;/&gt;&lt;wsp:rsid wsp:val=&quot;005A6600&quot;/&gt;&lt;wsp:rsid wsp:val=&quot;005A6A04&quot;/&gt;&lt;wsp:rsid wsp:val=&quot;005A6CA1&quot;/&gt;&lt;wsp:rsid wsp:val=&quot;005A72AC&quot;/&gt;&lt;wsp:rsid wsp:val=&quot;005A750D&quot;/&gt;&lt;wsp:rsid wsp:val=&quot;005A75BA&quot;/&gt;&lt;wsp:rsid wsp:val=&quot;005A7D99&quot;/&gt;&lt;wsp:rsid wsp:val=&quot;005B013C&quot;/&gt;&lt;wsp:rsid wsp:val=&quot;005B04AD&quot;/&gt;&lt;wsp:rsid wsp:val=&quot;005B081D&quot;/&gt;&lt;wsp:rsid wsp:val=&quot;005B0EBE&quot;/&gt;&lt;wsp:rsid wsp:val=&quot;005B1086&quot;/&gt;&lt;wsp:rsid wsp:val=&quot;005B11F7&quot;/&gt;&lt;wsp:rsid wsp:val=&quot;005B131E&quot;/&gt;&lt;wsp:rsid wsp:val=&quot;005B183A&quot;/&gt;&lt;wsp:rsid wsp:val=&quot;005B185B&quot;/&gt;&lt;wsp:rsid wsp:val=&quot;005B1D53&quot;/&gt;&lt;wsp:rsid wsp:val=&quot;005B1F1D&quot;/&gt;&lt;wsp:rsid wsp:val=&quot;005B1FA9&quot;/&gt;&lt;wsp:rsid wsp:val=&quot;005B2143&quot;/&gt;&lt;wsp:rsid wsp:val=&quot;005B2191&quot;/&gt;&lt;wsp:rsid wsp:val=&quot;005B244A&quot;/&gt;&lt;wsp:rsid wsp:val=&quot;005B25ED&quot;/&gt;&lt;wsp:rsid wsp:val=&quot;005B320A&quot;/&gt;&lt;wsp:rsid wsp:val=&quot;005B3214&quot;/&gt;&lt;wsp:rsid wsp:val=&quot;005B3327&quot;/&gt;&lt;wsp:rsid wsp:val=&quot;005B397B&quot;/&gt;&lt;wsp:rsid wsp:val=&quot;005B3BE3&quot;/&gt;&lt;wsp:rsid wsp:val=&quot;005B4122&quot;/&gt;&lt;wsp:rsid wsp:val=&quot;005B413F&quot;/&gt;&lt;wsp:rsid wsp:val=&quot;005B42EB&quot;/&gt;&lt;wsp:rsid wsp:val=&quot;005B44E7&quot;/&gt;&lt;wsp:rsid wsp:val=&quot;005B45F3&quot;/&gt;&lt;wsp:rsid wsp:val=&quot;005B481E&quot;/&gt;&lt;wsp:rsid wsp:val=&quot;005B485C&quot;/&gt;&lt;wsp:rsid wsp:val=&quot;005B4892&quot;/&gt;&lt;wsp:rsid wsp:val=&quot;005B48F6&quot;/&gt;&lt;wsp:rsid wsp:val=&quot;005B4F08&quot;/&gt;&lt;wsp:rsid wsp:val=&quot;005B522C&quot;/&gt;&lt;wsp:rsid wsp:val=&quot;005B5589&quot;/&gt;&lt;wsp:rsid wsp:val=&quot;005B57A2&quot;/&gt;&lt;wsp:rsid wsp:val=&quot;005B5822&quot;/&gt;&lt;wsp:rsid wsp:val=&quot;005B5B8F&quot;/&gt;&lt;wsp:rsid wsp:val=&quot;005B5F9D&quot;/&gt;&lt;wsp:rsid wsp:val=&quot;005B673C&quot;/&gt;&lt;wsp:rsid wsp:val=&quot;005B6A0A&quot;/&gt;&lt;wsp:rsid wsp:val=&quot;005B74C4&quot;/&gt;&lt;wsp:rsid wsp:val=&quot;005B7A4F&quot;/&gt;&lt;wsp:rsid wsp:val=&quot;005B7C91&quot;/&gt;&lt;wsp:rsid wsp:val=&quot;005C02CF&quot;/&gt;&lt;wsp:rsid wsp:val=&quot;005C02DF&quot;/&gt;&lt;wsp:rsid wsp:val=&quot;005C03F6&quot;/&gt;&lt;wsp:rsid wsp:val=&quot;005C06D2&quot;/&gt;&lt;wsp:rsid wsp:val=&quot;005C08AC&quot;/&gt;&lt;wsp:rsid wsp:val=&quot;005C12D7&quot;/&gt;&lt;wsp:rsid wsp:val=&quot;005C19D6&quot;/&gt;&lt;wsp:rsid wsp:val=&quot;005C1C02&quot;/&gt;&lt;wsp:rsid wsp:val=&quot;005C1C1E&quot;/&gt;&lt;wsp:rsid wsp:val=&quot;005C2151&quot;/&gt;&lt;wsp:rsid wsp:val=&quot;005C21EE&quot;/&gt;&lt;wsp:rsid wsp:val=&quot;005C272C&quot;/&gt;&lt;wsp:rsid wsp:val=&quot;005C2C42&quot;/&gt;&lt;wsp:rsid wsp:val=&quot;005C2C5C&quot;/&gt;&lt;wsp:rsid wsp:val=&quot;005C2EEA&quot;/&gt;&lt;wsp:rsid wsp:val=&quot;005C34B1&quot;/&gt;&lt;wsp:rsid wsp:val=&quot;005C395F&quot;/&gt;&lt;wsp:rsid wsp:val=&quot;005C3978&quot;/&gt;&lt;wsp:rsid wsp:val=&quot;005C3E21&quot;/&gt;&lt;wsp:rsid wsp:val=&quot;005C4186&quot;/&gt;&lt;wsp:rsid wsp:val=&quot;005C435E&quot;/&gt;&lt;wsp:rsid wsp:val=&quot;005C44AC&quot;/&gt;&lt;wsp:rsid wsp:val=&quot;005C45C1&quot;/&gt;&lt;wsp:rsid wsp:val=&quot;005C45D9&quot;/&gt;&lt;wsp:rsid wsp:val=&quot;005C4930&quot;/&gt;&lt;wsp:rsid wsp:val=&quot;005C4978&quot;/&gt;&lt;wsp:rsid wsp:val=&quot;005C4A43&quot;/&gt;&lt;wsp:rsid wsp:val=&quot;005C4D7A&quot;/&gt;&lt;wsp:rsid wsp:val=&quot;005C50FB&quot;/&gt;&lt;wsp:rsid wsp:val=&quot;005C5659&quot;/&gt;&lt;wsp:rsid wsp:val=&quot;005C570F&quot;/&gt;&lt;wsp:rsid wsp:val=&quot;005C5BA8&quot;/&gt;&lt;wsp:rsid wsp:val=&quot;005C600D&quot;/&gt;&lt;wsp:rsid wsp:val=&quot;005C668A&quot;/&gt;&lt;wsp:rsid wsp:val=&quot;005C67B2&quot;/&gt;&lt;wsp:rsid wsp:val=&quot;005C6AB3&quot;/&gt;&lt;wsp:rsid wsp:val=&quot;005C6C39&quot;/&gt;&lt;wsp:rsid wsp:val=&quot;005C6D1C&quot;/&gt;&lt;wsp:rsid wsp:val=&quot;005C6F75&quot;/&gt;&lt;wsp:rsid wsp:val=&quot;005C7013&quot;/&gt;&lt;wsp:rsid wsp:val=&quot;005C712C&quot;/&gt;&lt;wsp:rsid wsp:val=&quot;005C773C&quot;/&gt;&lt;wsp:rsid wsp:val=&quot;005C789A&quot;/&gt;&lt;wsp:rsid wsp:val=&quot;005C7F12&quot;/&gt;&lt;wsp:rsid wsp:val=&quot;005C7F96&quot;/&gt;&lt;wsp:rsid wsp:val=&quot;005D00AC&quot;/&gt;&lt;wsp:rsid wsp:val=&quot;005D021A&quot;/&gt;&lt;wsp:rsid wsp:val=&quot;005D0682&quot;/&gt;&lt;wsp:rsid wsp:val=&quot;005D0A5B&quot;/&gt;&lt;wsp:rsid wsp:val=&quot;005D0AC2&quot;/&gt;&lt;wsp:rsid wsp:val=&quot;005D10A8&quot;/&gt;&lt;wsp:rsid wsp:val=&quot;005D11F2&quot;/&gt;&lt;wsp:rsid wsp:val=&quot;005D1643&quot;/&gt;&lt;wsp:rsid wsp:val=&quot;005D188E&quot;/&gt;&lt;wsp:rsid wsp:val=&quot;005D18E3&quot;/&gt;&lt;wsp:rsid wsp:val=&quot;005D1CB5&quot;/&gt;&lt;wsp:rsid wsp:val=&quot;005D22D8&quot;/&gt;&lt;wsp:rsid wsp:val=&quot;005D2741&quot;/&gt;&lt;wsp:rsid wsp:val=&quot;005D288B&quot;/&gt;&lt;wsp:rsid wsp:val=&quot;005D28B1&quot;/&gt;&lt;wsp:rsid wsp:val=&quot;005D291C&quot;/&gt;&lt;wsp:rsid wsp:val=&quot;005D2A30&quot;/&gt;&lt;wsp:rsid wsp:val=&quot;005D2B9F&quot;/&gt;&lt;wsp:rsid wsp:val=&quot;005D2F6C&quot;/&gt;&lt;wsp:rsid wsp:val=&quot;005D3491&quot;/&gt;&lt;wsp:rsid wsp:val=&quot;005D3C06&quot;/&gt;&lt;wsp:rsid wsp:val=&quot;005D3F4B&quot;/&gt;&lt;wsp:rsid wsp:val=&quot;005D41A4&quot;/&gt;&lt;wsp:rsid wsp:val=&quot;005D4AF4&quot;/&gt;&lt;wsp:rsid wsp:val=&quot;005D4B83&quot;/&gt;&lt;wsp:rsid wsp:val=&quot;005D4BAC&quot;/&gt;&lt;wsp:rsid wsp:val=&quot;005D4CCB&quot;/&gt;&lt;wsp:rsid wsp:val=&quot;005D51AD&quot;/&gt;&lt;wsp:rsid wsp:val=&quot;005D5B11&quot;/&gt;&lt;wsp:rsid wsp:val=&quot;005D5E04&quot;/&gt;&lt;wsp:rsid wsp:val=&quot;005D6865&quot;/&gt;&lt;wsp:rsid wsp:val=&quot;005D68DC&quot;/&gt;&lt;wsp:rsid wsp:val=&quot;005D69CD&quot;/&gt;&lt;wsp:rsid wsp:val=&quot;005D6BF7&quot;/&gt;&lt;wsp:rsid wsp:val=&quot;005D6D08&quot;/&gt;&lt;wsp:rsid wsp:val=&quot;005D6F58&quot;/&gt;&lt;wsp:rsid wsp:val=&quot;005D72C6&quot;/&gt;&lt;wsp:rsid wsp:val=&quot;005D7728&quot;/&gt;&lt;wsp:rsid wsp:val=&quot;005D7B70&quot;/&gt;&lt;wsp:rsid wsp:val=&quot;005D7CF2&quot;/&gt;&lt;wsp:rsid wsp:val=&quot;005E02A5&quot;/&gt;&lt;wsp:rsid wsp:val=&quot;005E066D&quot;/&gt;&lt;wsp:rsid wsp:val=&quot;005E07B0&quot;/&gt;&lt;wsp:rsid wsp:val=&quot;005E08D6&quot;/&gt;&lt;wsp:rsid wsp:val=&quot;005E0C87&quot;/&gt;&lt;wsp:rsid wsp:val=&quot;005E0CB6&quot;/&gt;&lt;wsp:rsid wsp:val=&quot;005E0FB5&quot;/&gt;&lt;wsp:rsid wsp:val=&quot;005E11CF&quot;/&gt;&lt;wsp:rsid wsp:val=&quot;005E12AB&quot;/&gt;&lt;wsp:rsid wsp:val=&quot;005E12B1&quot;/&gt;&lt;wsp:rsid wsp:val=&quot;005E1470&quot;/&gt;&lt;wsp:rsid wsp:val=&quot;005E149E&quot;/&gt;&lt;wsp:rsid wsp:val=&quot;005E1ECD&quot;/&gt;&lt;wsp:rsid wsp:val=&quot;005E20B7&quot;/&gt;&lt;wsp:rsid wsp:val=&quot;005E21CD&quot;/&gt;&lt;wsp:rsid wsp:val=&quot;005E29AA&quot;/&gt;&lt;wsp:rsid wsp:val=&quot;005E2A00&quot;/&gt;&lt;wsp:rsid wsp:val=&quot;005E39B2&quot;/&gt;&lt;wsp:rsid wsp:val=&quot;005E3CC1&quot;/&gt;&lt;wsp:rsid wsp:val=&quot;005E3F77&quot;/&gt;&lt;wsp:rsid wsp:val=&quot;005E44FA&quot;/&gt;&lt;wsp:rsid wsp:val=&quot;005E4AD3&quot;/&gt;&lt;wsp:rsid wsp:val=&quot;005E4FC9&quot;/&gt;&lt;wsp:rsid wsp:val=&quot;005E518D&quot;/&gt;&lt;wsp:rsid wsp:val=&quot;005E51FE&quot;/&gt;&lt;wsp:rsid wsp:val=&quot;005E541D&quot;/&gt;&lt;wsp:rsid wsp:val=&quot;005E6026&quot;/&gt;&lt;wsp:rsid wsp:val=&quot;005E6678&quot;/&gt;&lt;wsp:rsid wsp:val=&quot;005E6805&quot;/&gt;&lt;wsp:rsid wsp:val=&quot;005E6B35&quot;/&gt;&lt;wsp:rsid wsp:val=&quot;005E6D87&quot;/&gt;&lt;wsp:rsid wsp:val=&quot;005E718A&quot;/&gt;&lt;wsp:rsid wsp:val=&quot;005E7278&quot;/&gt;&lt;wsp:rsid wsp:val=&quot;005E73B5&quot;/&gt;&lt;wsp:rsid wsp:val=&quot;005E7724&quot;/&gt;&lt;wsp:rsid wsp:val=&quot;005E7753&quot;/&gt;&lt;wsp:rsid wsp:val=&quot;005E780A&quot;/&gt;&lt;wsp:rsid wsp:val=&quot;005E7D5E&quot;/&gt;&lt;wsp:rsid wsp:val=&quot;005E7F26&quot;/&gt;&lt;wsp:rsid wsp:val=&quot;005E7F7D&quot;/&gt;&lt;wsp:rsid wsp:val=&quot;005E7FCC&quot;/&gt;&lt;wsp:rsid wsp:val=&quot;005F0579&quot;/&gt;&lt;wsp:rsid wsp:val=&quot;005F0589&quot;/&gt;&lt;wsp:rsid wsp:val=&quot;005F092D&quot;/&gt;&lt;wsp:rsid wsp:val=&quot;005F09C4&quot;/&gt;&lt;wsp:rsid wsp:val=&quot;005F0A2B&quot;/&gt;&lt;wsp:rsid wsp:val=&quot;005F1406&quot;/&gt;&lt;wsp:rsid wsp:val=&quot;005F1444&quot;/&gt;&lt;wsp:rsid wsp:val=&quot;005F19EB&quot;/&gt;&lt;wsp:rsid wsp:val=&quot;005F1DBA&quot;/&gt;&lt;wsp:rsid wsp:val=&quot;005F21C6&quot;/&gt;&lt;wsp:rsid wsp:val=&quot;005F2240&quot;/&gt;&lt;wsp:rsid wsp:val=&quot;005F2482&quot;/&gt;&lt;wsp:rsid wsp:val=&quot;005F2843&quot;/&gt;&lt;wsp:rsid wsp:val=&quot;005F3A48&quot;/&gt;&lt;wsp:rsid wsp:val=&quot;005F3B32&quot;/&gt;&lt;wsp:rsid wsp:val=&quot;005F3CE2&quot;/&gt;&lt;wsp:rsid wsp:val=&quot;005F4064&quot;/&gt;&lt;wsp:rsid wsp:val=&quot;005F4875&quot;/&gt;&lt;wsp:rsid wsp:val=&quot;005F531B&quot;/&gt;&lt;wsp:rsid wsp:val=&quot;005F5794&quot;/&gt;&lt;wsp:rsid wsp:val=&quot;005F5E3B&quot;/&gt;&lt;wsp:rsid wsp:val=&quot;005F66D2&quot;/&gt;&lt;wsp:rsid wsp:val=&quot;005F6859&quot;/&gt;&lt;wsp:rsid wsp:val=&quot;005F6AC9&quot;/&gt;&lt;wsp:rsid wsp:val=&quot;005F6B62&quot;/&gt;&lt;wsp:rsid wsp:val=&quot;005F714D&quot;/&gt;&lt;wsp:rsid wsp:val=&quot;005F7208&quot;/&gt;&lt;wsp:rsid wsp:val=&quot;005F7655&quot;/&gt;&lt;wsp:rsid wsp:val=&quot;005F78C9&quot;/&gt;&lt;wsp:rsid wsp:val=&quot;005F78DB&quot;/&gt;&lt;wsp:rsid wsp:val=&quot;005F79CA&quot;/&gt;&lt;wsp:rsid wsp:val=&quot;005F7A86&quot;/&gt;&lt;wsp:rsid wsp:val=&quot;005F7CC1&quot;/&gt;&lt;wsp:rsid wsp:val=&quot;00600930&quot;/&gt;&lt;wsp:rsid wsp:val=&quot;00600950&quot;/&gt;&lt;wsp:rsid wsp:val=&quot;00600BCC&quot;/&gt;&lt;wsp:rsid wsp:val=&quot;006013E0&quot;/&gt;&lt;wsp:rsid wsp:val=&quot;006016CC&quot;/&gt;&lt;wsp:rsid wsp:val=&quot;006017A0&quot;/&gt;&lt;wsp:rsid wsp:val=&quot;00601803&quot;/&gt;&lt;wsp:rsid wsp:val=&quot;00601E47&quot;/&gt;&lt;wsp:rsid wsp:val=&quot;0060215F&quot;/&gt;&lt;wsp:rsid wsp:val=&quot;00602662&quot;/&gt;&lt;wsp:rsid wsp:val=&quot;00602692&quot;/&gt;&lt;wsp:rsid wsp:val=&quot;00602DBF&quot;/&gt;&lt;wsp:rsid wsp:val=&quot;0060343D&quot;/&gt;&lt;wsp:rsid wsp:val=&quot;00603443&quot;/&gt;&lt;wsp:rsid wsp:val=&quot;0060380F&quot;/&gt;&lt;wsp:rsid wsp:val=&quot;00603D72&quot;/&gt;&lt;wsp:rsid wsp:val=&quot;006041F4&quot;/&gt;&lt;wsp:rsid wsp:val=&quot;00604A70&quot;/&gt;&lt;wsp:rsid wsp:val=&quot;00604F77&quot;/&gt;&lt;wsp:rsid wsp:val=&quot;00605312&quot;/&gt;&lt;wsp:rsid wsp:val=&quot;006053FA&quot;/&gt;&lt;wsp:rsid wsp:val=&quot;00605497&quot;/&gt;&lt;wsp:rsid wsp:val=&quot;0060579C&quot;/&gt;&lt;wsp:rsid wsp:val=&quot;0060599D&quot;/&gt;&lt;wsp:rsid wsp:val=&quot;00605AC6&quot;/&gt;&lt;wsp:rsid wsp:val=&quot;00605F21&quot;/&gt;&lt;wsp:rsid wsp:val=&quot;00605FD5&quot;/&gt;&lt;wsp:rsid wsp:val=&quot;00606495&quot;/&gt;&lt;wsp:rsid wsp:val=&quot;0060692A&quot;/&gt;&lt;wsp:rsid wsp:val=&quot;00606C67&quot;/&gt;&lt;wsp:rsid wsp:val=&quot;00606D91&quot;/&gt;&lt;wsp:rsid wsp:val=&quot;00606EE9&quot;/&gt;&lt;wsp:rsid wsp:val=&quot;006071F8&quot;/&gt;&lt;wsp:rsid wsp:val=&quot;0060750E&quot;/&gt;&lt;wsp:rsid wsp:val=&quot;0060760E&quot;/&gt;&lt;wsp:rsid wsp:val=&quot;00607D2A&quot;/&gt;&lt;wsp:rsid wsp:val=&quot;006104A0&quot;/&gt;&lt;wsp:rsid wsp:val=&quot;006104C4&quot;/&gt;&lt;wsp:rsid wsp:val=&quot;00610B4F&quot;/&gt;&lt;wsp:rsid wsp:val=&quot;00610B60&quot;/&gt;&lt;wsp:rsid wsp:val=&quot;00610DED&quot;/&gt;&lt;wsp:rsid wsp:val=&quot;006110B1&quot;/&gt;&lt;wsp:rsid wsp:val=&quot;006117EC&quot;/&gt;&lt;wsp:rsid wsp:val=&quot;006119F6&quot;/&gt;&lt;wsp:rsid wsp:val=&quot;00611AD8&quot;/&gt;&lt;wsp:rsid wsp:val=&quot;00611BE2&quot;/&gt;&lt;wsp:rsid wsp:val=&quot;00611D1C&quot;/&gt;&lt;wsp:rsid wsp:val=&quot;00611FBB&quot;/&gt;&lt;wsp:rsid wsp:val=&quot;0061247F&quot;/&gt;&lt;wsp:rsid wsp:val=&quot;00612698&quot;/&gt;&lt;wsp:rsid wsp:val=&quot;00612D04&quot;/&gt;&lt;wsp:rsid wsp:val=&quot;00612D9D&quot;/&gt;&lt;wsp:rsid wsp:val=&quot;00612F3C&quot;/&gt;&lt;wsp:rsid wsp:val=&quot;00613568&quot;/&gt;&lt;wsp:rsid wsp:val=&quot;00613A58&quot;/&gt;&lt;wsp:rsid wsp:val=&quot;00614164&quot;/&gt;&lt;wsp:rsid wsp:val=&quot;00614DB8&quot;/&gt;&lt;wsp:rsid wsp:val=&quot;0061523E&quot;/&gt;&lt;wsp:rsid wsp:val=&quot;006155C4&quot;/&gt;&lt;wsp:rsid wsp:val=&quot;006157DD&quot;/&gt;&lt;wsp:rsid wsp:val=&quot;00615934&quot;/&gt;&lt;wsp:rsid wsp:val=&quot;0061673B&quot;/&gt;&lt;wsp:rsid wsp:val=&quot;0061748C&quot;/&gt;&lt;wsp:rsid wsp:val=&quot;006175A1&quot;/&gt;&lt;wsp:rsid wsp:val=&quot;00617905&quot;/&gt;&lt;wsp:rsid wsp:val=&quot;0062018E&quot;/&gt;&lt;wsp:rsid wsp:val=&quot;0062025C&quot;/&gt;&lt;wsp:rsid wsp:val=&quot;0062098F&quot;/&gt;&lt;wsp:rsid wsp:val=&quot;006209F6&quot;/&gt;&lt;wsp:rsid wsp:val=&quot;00620B1B&quot;/&gt;&lt;wsp:rsid wsp:val=&quot;0062139E&quot;/&gt;&lt;wsp:rsid wsp:val=&quot;00621405&quot;/&gt;&lt;wsp:rsid wsp:val=&quot;00621469&quot;/&gt;&lt;wsp:rsid wsp:val=&quot;006217A3&quot;/&gt;&lt;wsp:rsid wsp:val=&quot;00621D04&quot;/&gt;&lt;wsp:rsid wsp:val=&quot;00621EF6&quot;/&gt;&lt;wsp:rsid wsp:val=&quot;0062218E&quot;/&gt;&lt;wsp:rsid wsp:val=&quot;006223C5&quot;/&gt;&lt;wsp:rsid wsp:val=&quot;006226D9&quot;/&gt;&lt;wsp:rsid wsp:val=&quot;006227A3&quot;/&gt;&lt;wsp:rsid wsp:val=&quot;00622857&quot;/&gt;&lt;wsp:rsid wsp:val=&quot;00622DDC&quot;/&gt;&lt;wsp:rsid wsp:val=&quot;00622F55&quot;/&gt;&lt;wsp:rsid wsp:val=&quot;0062392F&quot;/&gt;&lt;wsp:rsid wsp:val=&quot;00623AEA&quot;/&gt;&lt;wsp:rsid wsp:val=&quot;00623EF3&quot;/&gt;&lt;wsp:rsid wsp:val=&quot;0062407A&quot;/&gt;&lt;wsp:rsid wsp:val=&quot;006242F0&quot;/&gt;&lt;wsp:rsid wsp:val=&quot;006243EC&quot;/&gt;&lt;wsp:rsid wsp:val=&quot;006245DD&quot;/&gt;&lt;wsp:rsid wsp:val=&quot;00624D61&quot;/&gt;&lt;wsp:rsid wsp:val=&quot;00624FA7&quot;/&gt;&lt;wsp:rsid wsp:val=&quot;0062577F&quot;/&gt;&lt;wsp:rsid wsp:val=&quot;006259EC&quot;/&gt;&lt;wsp:rsid wsp:val=&quot;00625B1E&quot;/&gt;&lt;wsp:rsid wsp:val=&quot;00625CD1&quot;/&gt;&lt;wsp:rsid wsp:val=&quot;0062612E&quot;/&gt;&lt;wsp:rsid wsp:val=&quot;0062615D&quot;/&gt;&lt;wsp:rsid wsp:val=&quot;00626276&quot;/&gt;&lt;wsp:rsid wsp:val=&quot;006264D5&quot;/&gt;&lt;wsp:rsid wsp:val=&quot;0062667D&quot;/&gt;&lt;wsp:rsid wsp:val=&quot;006267E9&quot;/&gt;&lt;wsp:rsid wsp:val=&quot;00626876&quot;/&gt;&lt;wsp:rsid wsp:val=&quot;00626F72&quot;/&gt;&lt;wsp:rsid wsp:val=&quot;00626FE3&quot;/&gt;&lt;wsp:rsid wsp:val=&quot;006270E2&quot;/&gt;&lt;wsp:rsid wsp:val=&quot;0062713D&quot;/&gt;&lt;wsp:rsid wsp:val=&quot;00627332&quot;/&gt;&lt;wsp:rsid wsp:val=&quot;006278BC&quot;/&gt;&lt;wsp:rsid wsp:val=&quot;00627A09&quot;/&gt;&lt;wsp:rsid wsp:val=&quot;00627DE4&quot;/&gt;&lt;wsp:rsid wsp:val=&quot;006300A5&quot;/&gt;&lt;wsp:rsid wsp:val=&quot;0063069B&quot;/&gt;&lt;wsp:rsid wsp:val=&quot;00630CE0&quot;/&gt;&lt;wsp:rsid wsp:val=&quot;00631241&quot;/&gt;&lt;wsp:rsid wsp:val=&quot;00631489&quot;/&gt;&lt;wsp:rsid wsp:val=&quot;00631D68&quot;/&gt;&lt;wsp:rsid wsp:val=&quot;0063235E&quot;/&gt;&lt;wsp:rsid wsp:val=&quot;00632421&quot;/&gt;&lt;wsp:rsid wsp:val=&quot;00632AE3&quot;/&gt;&lt;wsp:rsid wsp:val=&quot;00632D4E&quot;/&gt;&lt;wsp:rsid wsp:val=&quot;0063345C&quot;/&gt;&lt;wsp:rsid wsp:val=&quot;00633EC5&quot;/&gt;&lt;wsp:rsid wsp:val=&quot;00634545&quot;/&gt;&lt;wsp:rsid wsp:val=&quot;00635069&quot;/&gt;&lt;wsp:rsid wsp:val=&quot;006350B5&quot;/&gt;&lt;wsp:rsid wsp:val=&quot;0063528A&quot;/&gt;&lt;wsp:rsid wsp:val=&quot;0063595F&quot;/&gt;&lt;wsp:rsid wsp:val=&quot;0063596B&quot;/&gt;&lt;wsp:rsid wsp:val=&quot;00635AB7&quot;/&gt;&lt;wsp:rsid wsp:val=&quot;00635EFC&quot;/&gt;&lt;wsp:rsid wsp:val=&quot;00635F4D&quot;/&gt;&lt;wsp:rsid wsp:val=&quot;006360FC&quot;/&gt;&lt;wsp:rsid wsp:val=&quot;006363B0&quot;/&gt;&lt;wsp:rsid wsp:val=&quot;0063654F&quot;/&gt;&lt;wsp:rsid wsp:val=&quot;006369F7&quot;/&gt;&lt;wsp:rsid wsp:val=&quot;00636BE0&quot;/&gt;&lt;wsp:rsid wsp:val=&quot;0063749D&quot;/&gt;&lt;wsp:rsid wsp:val=&quot;0063771D&quot;/&gt;&lt;wsp:rsid wsp:val=&quot;0063795F&quot;/&gt;&lt;wsp:rsid wsp:val=&quot;00637F48&quot;/&gt;&lt;wsp:rsid wsp:val=&quot;00640631&quot;/&gt;&lt;wsp:rsid wsp:val=&quot;00640A8C&quot;/&gt;&lt;wsp:rsid wsp:val=&quot;00640D8C&quot;/&gt;&lt;wsp:rsid wsp:val=&quot;00641490&quot;/&gt;&lt;wsp:rsid wsp:val=&quot;0064184F&quot;/&gt;&lt;wsp:rsid wsp:val=&quot;00641B62&quot;/&gt;&lt;wsp:rsid wsp:val=&quot;00641E49&quot;/&gt;&lt;wsp:rsid wsp:val=&quot;006420AF&quot;/&gt;&lt;wsp:rsid wsp:val=&quot;00642223&quot;/&gt;&lt;wsp:rsid wsp:val=&quot;0064262B&quot;/&gt;&lt;wsp:rsid wsp:val=&quot;00642A27&quot;/&gt;&lt;wsp:rsid wsp:val=&quot;00642B8A&quot;/&gt;&lt;wsp:rsid wsp:val=&quot;00642ECC&quot;/&gt;&lt;wsp:rsid wsp:val=&quot;006431C3&quot;/&gt;&lt;wsp:rsid wsp:val=&quot;006431DB&quot;/&gt;&lt;wsp:rsid wsp:val=&quot;00643392&quot;/&gt;&lt;wsp:rsid wsp:val=&quot;00643447&quot;/&gt;&lt;wsp:rsid wsp:val=&quot;00643462&quot;/&gt;&lt;wsp:rsid wsp:val=&quot;006437F1&quot;/&gt;&lt;wsp:rsid wsp:val=&quot;00643E5F&quot;/&gt;&lt;wsp:rsid wsp:val=&quot;00643F90&quot;/&gt;&lt;wsp:rsid wsp:val=&quot;0064437A&quot;/&gt;&lt;wsp:rsid wsp:val=&quot;00644513&quot;/&gt;&lt;wsp:rsid wsp:val=&quot;00644784&quot;/&gt;&lt;wsp:rsid wsp:val=&quot;00644BFD&quot;/&gt;&lt;wsp:rsid wsp:val=&quot;00645728&quot;/&gt;&lt;wsp:rsid wsp:val=&quot;00645C8E&quot;/&gt;&lt;wsp:rsid wsp:val=&quot;00645FC2&quot;/&gt;&lt;wsp:rsid wsp:val=&quot;00646136&quot;/&gt;&lt;wsp:rsid wsp:val=&quot;0064614D&quot;/&gt;&lt;wsp:rsid wsp:val=&quot;00646159&quot;/&gt;&lt;wsp:rsid wsp:val=&quot;00646ADF&quot;/&gt;&lt;wsp:rsid wsp:val=&quot;00646E98&quot;/&gt;&lt;wsp:rsid wsp:val=&quot;006470E8&quot;/&gt;&lt;wsp:rsid wsp:val=&quot;006471AA&quot;/&gt;&lt;wsp:rsid wsp:val=&quot;0064762B&quot;/&gt;&lt;wsp:rsid wsp:val=&quot;006479FB&quot;/&gt;&lt;wsp:rsid wsp:val=&quot;00647F4E&quot;/&gt;&lt;wsp:rsid wsp:val=&quot;00650673&quot;/&gt;&lt;wsp:rsid wsp:val=&quot;006507BF&quot;/&gt;&lt;wsp:rsid wsp:val=&quot;006509FC&quot;/&gt;&lt;wsp:rsid wsp:val=&quot;00650D4F&quot;/&gt;&lt;wsp:rsid wsp:val=&quot;00650E1F&quot;/&gt;&lt;wsp:rsid wsp:val=&quot;00650F51&quot;/&gt;&lt;wsp:rsid wsp:val=&quot;006510CD&quot;/&gt;&lt;wsp:rsid wsp:val=&quot;00651160&quot;/&gt;&lt;wsp:rsid wsp:val=&quot;0065129C&quot;/&gt;&lt;wsp:rsid wsp:val=&quot;0065174F&quot;/&gt;&lt;wsp:rsid wsp:val=&quot;00651803&quot;/&gt;&lt;wsp:rsid wsp:val=&quot;00651979&quot;/&gt;&lt;wsp:rsid wsp:val=&quot;00651A8A&quot;/&gt;&lt;wsp:rsid wsp:val=&quot;00652017&quot;/&gt;&lt;wsp:rsid wsp:val=&quot;0065251B&quot;/&gt;&lt;wsp:rsid wsp:val=&quot;00652ADE&quot;/&gt;&lt;wsp:rsid wsp:val=&quot;0065368B&quot;/&gt;&lt;wsp:rsid wsp:val=&quot;006537C8&quot;/&gt;&lt;wsp:rsid wsp:val=&quot;00653AEB&quot;/&gt;&lt;wsp:rsid wsp:val=&quot;00654161&quot;/&gt;&lt;wsp:rsid wsp:val=&quot;006543DB&quot;/&gt;&lt;wsp:rsid wsp:val=&quot;00654CE5&quot;/&gt;&lt;wsp:rsid wsp:val=&quot;00654D86&quot;/&gt;&lt;wsp:rsid wsp:val=&quot;006551F9&quot;/&gt;&lt;wsp:rsid wsp:val=&quot;0065540E&quot;/&gt;&lt;wsp:rsid wsp:val=&quot;006559B0&quot;/&gt;&lt;wsp:rsid wsp:val=&quot;006561C5&quot;/&gt;&lt;wsp:rsid wsp:val=&quot;0065623A&quot;/&gt;&lt;wsp:rsid wsp:val=&quot;00656A16&quot;/&gt;&lt;wsp:rsid wsp:val=&quot;00656C07&quot;/&gt;&lt;wsp:rsid wsp:val=&quot;00657224&quot;/&gt;&lt;wsp:rsid wsp:val=&quot;00657298&quot;/&gt;&lt;wsp:rsid wsp:val=&quot;00657E13&quot;/&gt;&lt;wsp:rsid wsp:val=&quot;00660129&quot;/&gt;&lt;wsp:rsid wsp:val=&quot;006602A5&quot;/&gt;&lt;wsp:rsid wsp:val=&quot;00660EA0&quot;/&gt;&lt;wsp:rsid wsp:val=&quot;00660EB5&quot;/&gt;&lt;wsp:rsid wsp:val=&quot;00660F1A&quot;/&gt;&lt;wsp:rsid wsp:val=&quot;00661281&quot;/&gt;&lt;wsp:rsid wsp:val=&quot;006614BB&quot;/&gt;&lt;wsp:rsid wsp:val=&quot;00661BAE&quot;/&gt;&lt;wsp:rsid wsp:val=&quot;00661D4C&quot;/&gt;&lt;wsp:rsid wsp:val=&quot;00661F6A&quot;/&gt;&lt;wsp:rsid wsp:val=&quot;00662647&quot;/&gt;&lt;wsp:rsid wsp:val=&quot;006627B8&quot;/&gt;&lt;wsp:rsid wsp:val=&quot;00662857&quot;/&gt;&lt;wsp:rsid wsp:val=&quot;00662971&quot;/&gt;&lt;wsp:rsid wsp:val=&quot;00662B06&quot;/&gt;&lt;wsp:rsid wsp:val=&quot;00662FAB&quot;/&gt;&lt;wsp:rsid wsp:val=&quot;006632F3&quot;/&gt;&lt;wsp:rsid wsp:val=&quot;006638BE&quot;/&gt;&lt;wsp:rsid wsp:val=&quot;00663B1D&quot;/&gt;&lt;wsp:rsid wsp:val=&quot;00663C31&quot;/&gt;&lt;wsp:rsid wsp:val=&quot;00663C78&quot;/&gt;&lt;wsp:rsid wsp:val=&quot;00663F87&quot;/&gt;&lt;wsp:rsid wsp:val=&quot;00663FF8&quot;/&gt;&lt;wsp:rsid wsp:val=&quot;00664239&quot;/&gt;&lt;wsp:rsid wsp:val=&quot;006642D3&quot;/&gt;&lt;wsp:rsid wsp:val=&quot;006648F8&quot;/&gt;&lt;wsp:rsid wsp:val=&quot;00664930&quot;/&gt;&lt;wsp:rsid wsp:val=&quot;00664A22&quot;/&gt;&lt;wsp:rsid wsp:val=&quot;00664AF8&quot;/&gt;&lt;wsp:rsid wsp:val=&quot;00665012&quot;/&gt;&lt;wsp:rsid wsp:val=&quot;006651FC&quot;/&gt;&lt;wsp:rsid wsp:val=&quot;00665343&quot;/&gt;&lt;wsp:rsid wsp:val=&quot;006655AD&quot;/&gt;&lt;wsp:rsid wsp:val=&quot;006659B7&quot;/&gt;&lt;wsp:rsid wsp:val=&quot;00665B99&quot;/&gt;&lt;wsp:rsid wsp:val=&quot;00666106&quot;/&gt;&lt;wsp:rsid wsp:val=&quot;006662AF&quot;/&gt;&lt;wsp:rsid wsp:val=&quot;0066679D&quot;/&gt;&lt;wsp:rsid wsp:val=&quot;00666B4F&quot;/&gt;&lt;wsp:rsid wsp:val=&quot;00666FA8&quot;/&gt;&lt;wsp:rsid wsp:val=&quot;00667403&quot;/&gt;&lt;wsp:rsid wsp:val=&quot;0066746B&quot;/&gt;&lt;wsp:rsid wsp:val=&quot;006676C5&quot;/&gt;&lt;wsp:rsid wsp:val=&quot;00667AA9&quot;/&gt;&lt;wsp:rsid wsp:val=&quot;00670520&quot;/&gt;&lt;wsp:rsid wsp:val=&quot;006706ED&quot;/&gt;&lt;wsp:rsid wsp:val=&quot;00670865&quot;/&gt;&lt;wsp:rsid wsp:val=&quot;006709EE&quot;/&gt;&lt;wsp:rsid wsp:val=&quot;00670FD3&quot;/&gt;&lt;wsp:rsid wsp:val=&quot;006711C3&quot;/&gt;&lt;wsp:rsid wsp:val=&quot;006714A8&quot;/&gt;&lt;wsp:rsid wsp:val=&quot;006715FA&quot;/&gt;&lt;wsp:rsid wsp:val=&quot;006717A7&quot;/&gt;&lt;wsp:rsid wsp:val=&quot;00671BEC&quot;/&gt;&lt;wsp:rsid wsp:val=&quot;00671C9B&quot;/&gt;&lt;wsp:rsid wsp:val=&quot;00671D4A&quot;/&gt;&lt;wsp:rsid wsp:val=&quot;00672310&quot;/&gt;&lt;wsp:rsid wsp:val=&quot;006723C1&quot;/&gt;&lt;wsp:rsid wsp:val=&quot;006726C5&quot;/&gt;&lt;wsp:rsid wsp:val=&quot;006728DA&quot;/&gt;&lt;wsp:rsid wsp:val=&quot;00672995&quot;/&gt;&lt;wsp:rsid wsp:val=&quot;00672ADD&quot;/&gt;&lt;wsp:rsid wsp:val=&quot;00672BA9&quot;/&gt;&lt;wsp:rsid wsp:val=&quot;00672CCB&quot;/&gt;&lt;wsp:rsid wsp:val=&quot;00672CF8&quot;/&gt;&lt;wsp:rsid wsp:val=&quot;00673040&quot;/&gt;&lt;wsp:rsid wsp:val=&quot;00673567&quot;/&gt;&lt;wsp:rsid wsp:val=&quot;00673DF6&quot;/&gt;&lt;wsp:rsid wsp:val=&quot;00673E3B&quot;/&gt;&lt;wsp:rsid wsp:val=&quot;00673EFD&quot;/&gt;&lt;wsp:rsid wsp:val=&quot;006741C6&quot;/&gt;&lt;wsp:rsid wsp:val=&quot;006742EE&quot;/&gt;&lt;wsp:rsid wsp:val=&quot;006746B9&quot;/&gt;&lt;wsp:rsid wsp:val=&quot;006746BC&quot;/&gt;&lt;wsp:rsid wsp:val=&quot;0067497C&quot;/&gt;&lt;wsp:rsid wsp:val=&quot;006749ED&quot;/&gt;&lt;wsp:rsid wsp:val=&quot;0067515D&quot;/&gt;&lt;wsp:rsid wsp:val=&quot;0067517C&quot;/&gt;&lt;wsp:rsid wsp:val=&quot;0067575D&quot;/&gt;&lt;wsp:rsid wsp:val=&quot;00675FE0&quot;/&gt;&lt;wsp:rsid wsp:val=&quot;00676050&quot;/&gt;&lt;wsp:rsid wsp:val=&quot;006763A3&quot;/&gt;&lt;wsp:rsid wsp:val=&quot;00676663&quot;/&gt;&lt;wsp:rsid wsp:val=&quot;006766B7&quot;/&gt;&lt;wsp:rsid wsp:val=&quot;006768A4&quot;/&gt;&lt;wsp:rsid wsp:val=&quot;00676C34&quot;/&gt;&lt;wsp:rsid wsp:val=&quot;00676E60&quot;/&gt;&lt;wsp:rsid wsp:val=&quot;00677122&quot;/&gt;&lt;wsp:rsid wsp:val=&quot;0067743C&quot;/&gt;&lt;wsp:rsid wsp:val=&quot;006779D8&quot;/&gt;&lt;wsp:rsid wsp:val=&quot;00677A34&quot;/&gt;&lt;wsp:rsid wsp:val=&quot;00677B37&quot;/&gt;&lt;wsp:rsid wsp:val=&quot;00677DEB&quot;/&gt;&lt;wsp:rsid wsp:val=&quot;00680488&quot;/&gt;&lt;wsp:rsid wsp:val=&quot;00680574&quot;/&gt;&lt;wsp:rsid wsp:val=&quot;006805C0&quot;/&gt;&lt;wsp:rsid wsp:val=&quot;00680663&quot;/&gt;&lt;wsp:rsid wsp:val=&quot;00680F3C&quot;/&gt;&lt;wsp:rsid wsp:val=&quot;0068127D&quot;/&gt;&lt;wsp:rsid wsp:val=&quot;00681DBF&quot;/&gt;&lt;wsp:rsid wsp:val=&quot;00682184&quot;/&gt;&lt;wsp:rsid wsp:val=&quot;006829F2&quot;/&gt;&lt;wsp:rsid wsp:val=&quot;0068310B&quot;/&gt;&lt;wsp:rsid wsp:val=&quot;00683281&quot;/&gt;&lt;wsp:rsid wsp:val=&quot;0068357D&quot;/&gt;&lt;wsp:rsid wsp:val=&quot;006835C7&quot;/&gt;&lt;wsp:rsid wsp:val=&quot;00683A27&quot;/&gt;&lt;wsp:rsid wsp:val=&quot;00683AB8&quot;/&gt;&lt;wsp:rsid wsp:val=&quot;00684040&quot;/&gt;&lt;wsp:rsid wsp:val=&quot;0068404B&quot;/&gt;&lt;wsp:rsid wsp:val=&quot;0068405C&quot;/&gt;&lt;wsp:rsid wsp:val=&quot;006841EF&quot;/&gt;&lt;wsp:rsid wsp:val=&quot;006843AB&quot;/&gt;&lt;wsp:rsid wsp:val=&quot;0068457A&quot;/&gt;&lt;wsp:rsid wsp:val=&quot;0068460D&quot;/&gt;&lt;wsp:rsid wsp:val=&quot;0068515F&quot;/&gt;&lt;wsp:rsid wsp:val=&quot;00685188&quot;/&gt;&lt;wsp:rsid wsp:val=&quot;006858CE&quot;/&gt;&lt;wsp:rsid wsp:val=&quot;006859F6&quot;/&gt;&lt;wsp:rsid wsp:val=&quot;00685E06&quot;/&gt;&lt;wsp:rsid wsp:val=&quot;00686281&quot;/&gt;&lt;wsp:rsid wsp:val=&quot;006862C0&quot;/&gt;&lt;wsp:rsid wsp:val=&quot;006862CD&quot;/&gt;&lt;wsp:rsid wsp:val=&quot;00686434&quot;/&gt;&lt;wsp:rsid wsp:val=&quot;00686967&quot;/&gt;&lt;wsp:rsid wsp:val=&quot;00686DF4&quot;/&gt;&lt;wsp:rsid wsp:val=&quot;00686EE2&quot;/&gt;&lt;wsp:rsid wsp:val=&quot;006872CF&quot;/&gt;&lt;wsp:rsid wsp:val=&quot;00687A8A&quot;/&gt;&lt;wsp:rsid wsp:val=&quot;00687BB3&quot;/&gt;&lt;wsp:rsid wsp:val=&quot;00687DDA&quot;/&gt;&lt;wsp:rsid wsp:val=&quot;00687F39&quot;/&gt;&lt;wsp:rsid wsp:val=&quot;006903A9&quot;/&gt;&lt;wsp:rsid wsp:val=&quot;00690466&quot;/&gt;&lt;wsp:rsid wsp:val=&quot;00690684&quot;/&gt;&lt;wsp:rsid wsp:val=&quot;00690D12&quot;/&gt;&lt;wsp:rsid wsp:val=&quot;00691069&quot;/&gt;&lt;wsp:rsid wsp:val=&quot;00691498&quot;/&gt;&lt;wsp:rsid wsp:val=&quot;0069193D&quot;/&gt;&lt;wsp:rsid wsp:val=&quot;00691A80&quot;/&gt;&lt;wsp:rsid wsp:val=&quot;00692016&quot;/&gt;&lt;wsp:rsid wsp:val=&quot;006922A3&quot;/&gt;&lt;wsp:rsid wsp:val=&quot;00692E59&quot;/&gt;&lt;wsp:rsid wsp:val=&quot;0069309E&quot;/&gt;&lt;wsp:rsid wsp:val=&quot;006930A2&quot;/&gt;&lt;wsp:rsid wsp:val=&quot;0069351F&quot;/&gt;&lt;wsp:rsid wsp:val=&quot;00693AD5&quot;/&gt;&lt;wsp:rsid wsp:val=&quot;00693C5D&quot;/&gt;&lt;wsp:rsid wsp:val=&quot;00694C29&quot;/&gt;&lt;wsp:rsid wsp:val=&quot;00695015&quot;/&gt;&lt;wsp:rsid wsp:val=&quot;00695334&quot;/&gt;&lt;wsp:rsid wsp:val=&quot;00695491&quot;/&gt;&lt;wsp:rsid wsp:val=&quot;006955E6&quot;/&gt;&lt;wsp:rsid wsp:val=&quot;00695B0C&quot;/&gt;&lt;wsp:rsid wsp:val=&quot;00695F3C&quot;/&gt;&lt;wsp:rsid wsp:val=&quot;0069625B&quot;/&gt;&lt;wsp:rsid wsp:val=&quot;00696525&quot;/&gt;&lt;wsp:rsid wsp:val=&quot;00696657&quot;/&gt;&lt;wsp:rsid wsp:val=&quot;006966BB&quot;/&gt;&lt;wsp:rsid wsp:val=&quot;00696F99&quot;/&gt;&lt;wsp:rsid wsp:val=&quot;00697280&quot;/&gt;&lt;wsp:rsid wsp:val=&quot;00697553&quot;/&gt;&lt;wsp:rsid wsp:val=&quot;00697731&quot;/&gt;&lt;wsp:rsid wsp:val=&quot;00697D69&quot;/&gt;&lt;wsp:rsid wsp:val=&quot;006A07B0&quot;/&gt;&lt;wsp:rsid wsp:val=&quot;006A0B33&quot;/&gt;&lt;wsp:rsid wsp:val=&quot;006A0D22&quot;/&gt;&lt;wsp:rsid wsp:val=&quot;006A0EE8&quot;/&gt;&lt;wsp:rsid wsp:val=&quot;006A10FD&quot;/&gt;&lt;wsp:rsid wsp:val=&quot;006A154A&quot;/&gt;&lt;wsp:rsid wsp:val=&quot;006A183A&quot;/&gt;&lt;wsp:rsid wsp:val=&quot;006A1BD3&quot;/&gt;&lt;wsp:rsid wsp:val=&quot;006A1F30&quot;/&gt;&lt;wsp:rsid wsp:val=&quot;006A1FCF&quot;/&gt;&lt;wsp:rsid wsp:val=&quot;006A24BD&quot;/&gt;&lt;wsp:rsid wsp:val=&quot;006A2538&quot;/&gt;&lt;wsp:rsid wsp:val=&quot;006A275F&quot;/&gt;&lt;wsp:rsid wsp:val=&quot;006A27D9&quot;/&gt;&lt;wsp:rsid wsp:val=&quot;006A2A5E&quot;/&gt;&lt;wsp:rsid wsp:val=&quot;006A2E58&quot;/&gt;&lt;wsp:rsid wsp:val=&quot;006A2E8D&quot;/&gt;&lt;wsp:rsid wsp:val=&quot;006A3080&quot;/&gt;&lt;wsp:rsid wsp:val=&quot;006A30B7&quot;/&gt;&lt;wsp:rsid wsp:val=&quot;006A3443&quot;/&gt;&lt;wsp:rsid wsp:val=&quot;006A350D&quot;/&gt;&lt;wsp:rsid wsp:val=&quot;006A376F&quot;/&gt;&lt;wsp:rsid wsp:val=&quot;006A3796&quot;/&gt;&lt;wsp:rsid wsp:val=&quot;006A37EF&quot;/&gt;&lt;wsp:rsid wsp:val=&quot;006A3D61&quot;/&gt;&lt;wsp:rsid wsp:val=&quot;006A3D77&quot;/&gt;&lt;wsp:rsid wsp:val=&quot;006A4B64&quot;/&gt;&lt;wsp:rsid wsp:val=&quot;006A4D14&quot;/&gt;&lt;wsp:rsid wsp:val=&quot;006A4E62&quot;/&gt;&lt;wsp:rsid wsp:val=&quot;006A4EB8&quot;/&gt;&lt;wsp:rsid wsp:val=&quot;006A4F4B&quot;/&gt;&lt;wsp:rsid wsp:val=&quot;006A5004&quot;/&gt;&lt;wsp:rsid wsp:val=&quot;006A53B7&quot;/&gt;&lt;wsp:rsid wsp:val=&quot;006A53F0&quot;/&gt;&lt;wsp:rsid wsp:val=&quot;006A5469&quot;/&gt;&lt;wsp:rsid wsp:val=&quot;006A58AA&quot;/&gt;&lt;wsp:rsid wsp:val=&quot;006A6045&quot;/&gt;&lt;wsp:rsid wsp:val=&quot;006A60ED&quot;/&gt;&lt;wsp:rsid wsp:val=&quot;006A68A8&quot;/&gt;&lt;wsp:rsid wsp:val=&quot;006A6A47&quot;/&gt;&lt;wsp:rsid wsp:val=&quot;006A6E30&quot;/&gt;&lt;wsp:rsid wsp:val=&quot;006A6FDC&quot;/&gt;&lt;wsp:rsid wsp:val=&quot;006A706A&quot;/&gt;&lt;wsp:rsid wsp:val=&quot;006A70D8&quot;/&gt;&lt;wsp:rsid wsp:val=&quot;006A76ED&quot;/&gt;&lt;wsp:rsid wsp:val=&quot;006A77CF&quot;/&gt;&lt;wsp:rsid wsp:val=&quot;006A7DEC&quot;/&gt;&lt;wsp:rsid wsp:val=&quot;006B02DE&quot;/&gt;&lt;wsp:rsid wsp:val=&quot;006B034F&quot;/&gt;&lt;wsp:rsid wsp:val=&quot;006B038A&quot;/&gt;&lt;wsp:rsid wsp:val=&quot;006B0F8C&quot;/&gt;&lt;wsp:rsid wsp:val=&quot;006B0FC1&quot;/&gt;&lt;wsp:rsid wsp:val=&quot;006B10BC&quot;/&gt;&lt;wsp:rsid wsp:val=&quot;006B13A5&quot;/&gt;&lt;wsp:rsid wsp:val=&quot;006B18F3&quot;/&gt;&lt;wsp:rsid wsp:val=&quot;006B1927&quot;/&gt;&lt;wsp:rsid wsp:val=&quot;006B1FBD&quot;/&gt;&lt;wsp:rsid wsp:val=&quot;006B259B&quot;/&gt;&lt;wsp:rsid wsp:val=&quot;006B2A8B&quot;/&gt;&lt;wsp:rsid wsp:val=&quot;006B2F9E&quot;/&gt;&lt;wsp:rsid wsp:val=&quot;006B322F&quot;/&gt;&lt;wsp:rsid wsp:val=&quot;006B33D4&quot;/&gt;&lt;wsp:rsid wsp:val=&quot;006B373C&quot;/&gt;&lt;wsp:rsid wsp:val=&quot;006B376E&quot;/&gt;&lt;wsp:rsid wsp:val=&quot;006B3792&quot;/&gt;&lt;wsp:rsid wsp:val=&quot;006B40BB&quot;/&gt;&lt;wsp:rsid wsp:val=&quot;006B40EE&quot;/&gt;&lt;wsp:rsid wsp:val=&quot;006B44A3&quot;/&gt;&lt;wsp:rsid wsp:val=&quot;006B474C&quot;/&gt;&lt;wsp:rsid wsp:val=&quot;006B49F4&quot;/&gt;&lt;wsp:rsid wsp:val=&quot;006B4AB7&quot;/&gt;&lt;wsp:rsid wsp:val=&quot;006B5043&quot;/&gt;&lt;wsp:rsid wsp:val=&quot;006B51AE&quot;/&gt;&lt;wsp:rsid wsp:val=&quot;006B530D&quot;/&gt;&lt;wsp:rsid wsp:val=&quot;006B53EE&quot;/&gt;&lt;wsp:rsid wsp:val=&quot;006B54D5&quot;/&gt;&lt;wsp:rsid wsp:val=&quot;006B595C&quot;/&gt;&lt;wsp:rsid wsp:val=&quot;006B5B02&quot;/&gt;&lt;wsp:rsid wsp:val=&quot;006B5B3E&quot;/&gt;&lt;wsp:rsid wsp:val=&quot;006B6138&quot;/&gt;&lt;wsp:rsid wsp:val=&quot;006B660F&quot;/&gt;&lt;wsp:rsid wsp:val=&quot;006B67A5&quot;/&gt;&lt;wsp:rsid wsp:val=&quot;006B69B9&quot;/&gt;&lt;wsp:rsid wsp:val=&quot;006B6A63&quot;/&gt;&lt;wsp:rsid wsp:val=&quot;006B6C85&quot;/&gt;&lt;wsp:rsid wsp:val=&quot;006B6ECE&quot;/&gt;&lt;wsp:rsid wsp:val=&quot;006B6F30&quot;/&gt;&lt;wsp:rsid wsp:val=&quot;006B76FD&quot;/&gt;&lt;wsp:rsid wsp:val=&quot;006B7AD4&quot;/&gt;&lt;wsp:rsid wsp:val=&quot;006C00BF&quot;/&gt;&lt;wsp:rsid wsp:val=&quot;006C0191&quot;/&gt;&lt;wsp:rsid wsp:val=&quot;006C01B1&quot;/&gt;&lt;wsp:rsid wsp:val=&quot;006C05C4&quot;/&gt;&lt;wsp:rsid wsp:val=&quot;006C062C&quot;/&gt;&lt;wsp:rsid wsp:val=&quot;006C0771&quot;/&gt;&lt;wsp:rsid wsp:val=&quot;006C1095&quot;/&gt;&lt;wsp:rsid wsp:val=&quot;006C12C6&quot;/&gt;&lt;wsp:rsid wsp:val=&quot;006C1522&quot;/&gt;&lt;wsp:rsid wsp:val=&quot;006C1ECD&quot;/&gt;&lt;wsp:rsid wsp:val=&quot;006C20A0&quot;/&gt;&lt;wsp:rsid wsp:val=&quot;006C2549&quot;/&gt;&lt;wsp:rsid wsp:val=&quot;006C254F&quot;/&gt;&lt;wsp:rsid wsp:val=&quot;006C2893&quot;/&gt;&lt;wsp:rsid wsp:val=&quot;006C2AA7&quot;/&gt;&lt;wsp:rsid wsp:val=&quot;006C2BEC&quot;/&gt;&lt;wsp:rsid wsp:val=&quot;006C33CE&quot;/&gt;&lt;wsp:rsid wsp:val=&quot;006C357C&quot;/&gt;&lt;wsp:rsid wsp:val=&quot;006C361E&quot;/&gt;&lt;wsp:rsid wsp:val=&quot;006C3ED3&quot;/&gt;&lt;wsp:rsid wsp:val=&quot;006C5141&quot;/&gt;&lt;wsp:rsid wsp:val=&quot;006C5191&quot;/&gt;&lt;wsp:rsid wsp:val=&quot;006C5F7C&quot;/&gt;&lt;wsp:rsid wsp:val=&quot;006C6093&quot;/&gt;&lt;wsp:rsid wsp:val=&quot;006C669D&quot;/&gt;&lt;wsp:rsid wsp:val=&quot;006C6EC7&quot;/&gt;&lt;wsp:rsid wsp:val=&quot;006C77A2&quot;/&gt;&lt;wsp:rsid wsp:val=&quot;006C7ABE&quot;/&gt;&lt;wsp:rsid wsp:val=&quot;006C7C3B&quot;/&gt;&lt;wsp:rsid wsp:val=&quot;006D0013&quot;/&gt;&lt;wsp:rsid wsp:val=&quot;006D081C&quot;/&gt;&lt;wsp:rsid wsp:val=&quot;006D15EF&quot;/&gt;&lt;wsp:rsid wsp:val=&quot;006D1757&quot;/&gt;&lt;wsp:rsid wsp:val=&quot;006D1C73&quot;/&gt;&lt;wsp:rsid wsp:val=&quot;006D1E4A&quot;/&gt;&lt;wsp:rsid wsp:val=&quot;006D209C&quot;/&gt;&lt;wsp:rsid wsp:val=&quot;006D226C&quot;/&gt;&lt;wsp:rsid wsp:val=&quot;006D26AD&quot;/&gt;&lt;wsp:rsid wsp:val=&quot;006D2947&quot;/&gt;&lt;wsp:rsid wsp:val=&quot;006D2A72&quot;/&gt;&lt;wsp:rsid wsp:val=&quot;006D2A7F&quot;/&gt;&lt;wsp:rsid wsp:val=&quot;006D2B78&quot;/&gt;&lt;wsp:rsid wsp:val=&quot;006D2E52&quot;/&gt;&lt;wsp:rsid wsp:val=&quot;006D36E8&quot;/&gt;&lt;wsp:rsid wsp:val=&quot;006D3E7D&quot;/&gt;&lt;wsp:rsid wsp:val=&quot;006D3F95&quot;/&gt;&lt;wsp:rsid wsp:val=&quot;006D410B&quot;/&gt;&lt;wsp:rsid wsp:val=&quot;006D43AB&quot;/&gt;&lt;wsp:rsid wsp:val=&quot;006D4695&quot;/&gt;&lt;wsp:rsid wsp:val=&quot;006D4746&quot;/&gt;&lt;wsp:rsid wsp:val=&quot;006D54A3&quot;/&gt;&lt;wsp:rsid wsp:val=&quot;006D54E8&quot;/&gt;&lt;wsp:rsid wsp:val=&quot;006D636C&quot;/&gt;&lt;wsp:rsid wsp:val=&quot;006D63D7&quot;/&gt;&lt;wsp:rsid wsp:val=&quot;006D685E&quot;/&gt;&lt;wsp:rsid wsp:val=&quot;006D68DB&quot;/&gt;&lt;wsp:rsid wsp:val=&quot;006D6A1E&quot;/&gt;&lt;wsp:rsid wsp:val=&quot;006D6C69&quot;/&gt;&lt;wsp:rsid wsp:val=&quot;006D6D66&quot;/&gt;&lt;wsp:rsid wsp:val=&quot;006D6EB7&quot;/&gt;&lt;wsp:rsid wsp:val=&quot;006D7689&quot;/&gt;&lt;wsp:rsid wsp:val=&quot;006E0634&quot;/&gt;&lt;wsp:rsid wsp:val=&quot;006E086C&quot;/&gt;&lt;wsp:rsid wsp:val=&quot;006E180D&quot;/&gt;&lt;wsp:rsid wsp:val=&quot;006E18EA&quot;/&gt;&lt;wsp:rsid wsp:val=&quot;006E1DFB&quot;/&gt;&lt;wsp:rsid wsp:val=&quot;006E1E8E&quot;/&gt;&lt;wsp:rsid wsp:val=&quot;006E26A7&quot;/&gt;&lt;wsp:rsid wsp:val=&quot;006E2832&quot;/&gt;&lt;wsp:rsid wsp:val=&quot;006E2EA0&quot;/&gt;&lt;wsp:rsid wsp:val=&quot;006E311D&quot;/&gt;&lt;wsp:rsid wsp:val=&quot;006E320C&quot;/&gt;&lt;wsp:rsid wsp:val=&quot;006E3245&quot;/&gt;&lt;wsp:rsid wsp:val=&quot;006E33A2&quot;/&gt;&lt;wsp:rsid wsp:val=&quot;006E35DA&quot;/&gt;&lt;wsp:rsid wsp:val=&quot;006E371D&quot;/&gt;&lt;wsp:rsid wsp:val=&quot;006E39D3&quot;/&gt;&lt;wsp:rsid wsp:val=&quot;006E3A49&quot;/&gt;&lt;wsp:rsid wsp:val=&quot;006E3C78&quot;/&gt;&lt;wsp:rsid wsp:val=&quot;006E41FB&quot;/&gt;&lt;wsp:rsid wsp:val=&quot;006E4295&quot;/&gt;&lt;wsp:rsid wsp:val=&quot;006E439A&quot;/&gt;&lt;wsp:rsid wsp:val=&quot;006E4844&quot;/&gt;&lt;wsp:rsid wsp:val=&quot;006E4B63&quot;/&gt;&lt;wsp:rsid wsp:val=&quot;006E4CD3&quot;/&gt;&lt;wsp:rsid wsp:val=&quot;006E4F57&quot;/&gt;&lt;wsp:rsid wsp:val=&quot;006E521E&quot;/&gt;&lt;wsp:rsid wsp:val=&quot;006E54C7&quot;/&gt;&lt;wsp:rsid wsp:val=&quot;006E58C0&quot;/&gt;&lt;wsp:rsid wsp:val=&quot;006E5A2F&quot;/&gt;&lt;wsp:rsid wsp:val=&quot;006E5A89&quot;/&gt;&lt;wsp:rsid wsp:val=&quot;006E5C7C&quot;/&gt;&lt;wsp:rsid wsp:val=&quot;006E5D25&quot;/&gt;&lt;wsp:rsid wsp:val=&quot;006E5D9B&quot;/&gt;&lt;wsp:rsid wsp:val=&quot;006E6D4F&quot;/&gt;&lt;wsp:rsid wsp:val=&quot;006E6D51&quot;/&gt;&lt;wsp:rsid wsp:val=&quot;006E6E20&quot;/&gt;&lt;wsp:rsid wsp:val=&quot;006E6E2A&quot;/&gt;&lt;wsp:rsid wsp:val=&quot;006E7567&quot;/&gt;&lt;wsp:rsid wsp:val=&quot;006F00AE&quot;/&gt;&lt;wsp:rsid wsp:val=&quot;006F07E7&quot;/&gt;&lt;wsp:rsid wsp:val=&quot;006F07E8&quot;/&gt;&lt;wsp:rsid wsp:val=&quot;006F0B29&quot;/&gt;&lt;wsp:rsid wsp:val=&quot;006F0BB2&quot;/&gt;&lt;wsp:rsid wsp:val=&quot;006F1257&quot;/&gt;&lt;wsp:rsid wsp:val=&quot;006F130F&quot;/&gt;&lt;wsp:rsid wsp:val=&quot;006F1669&quot;/&gt;&lt;wsp:rsid wsp:val=&quot;006F1828&quot;/&gt;&lt;wsp:rsid wsp:val=&quot;006F18DE&quot;/&gt;&lt;wsp:rsid wsp:val=&quot;006F1C57&quot;/&gt;&lt;wsp:rsid wsp:val=&quot;006F1E5F&quot;/&gt;&lt;wsp:rsid wsp:val=&quot;006F2839&quot;/&gt;&lt;wsp:rsid wsp:val=&quot;006F291C&quot;/&gt;&lt;wsp:rsid wsp:val=&quot;006F2D5F&quot;/&gt;&lt;wsp:rsid wsp:val=&quot;006F3637&quot;/&gt;&lt;wsp:rsid wsp:val=&quot;006F4419&quot;/&gt;&lt;wsp:rsid wsp:val=&quot;006F4495&quot;/&gt;&lt;wsp:rsid wsp:val=&quot;006F4E97&quot;/&gt;&lt;wsp:rsid wsp:val=&quot;006F5710&quot;/&gt;&lt;wsp:rsid wsp:val=&quot;006F5796&quot;/&gt;&lt;wsp:rsid wsp:val=&quot;006F5A23&quot;/&gt;&lt;wsp:rsid wsp:val=&quot;006F5D32&quot;/&gt;&lt;wsp:rsid wsp:val=&quot;006F5E6B&quot;/&gt;&lt;wsp:rsid wsp:val=&quot;006F5F7E&quot;/&gt;&lt;wsp:rsid wsp:val=&quot;006F61A7&quot;/&gt;&lt;wsp:rsid wsp:val=&quot;006F66DD&quot;/&gt;&lt;wsp:rsid wsp:val=&quot;006F6F6C&quot;/&gt;&lt;wsp:rsid wsp:val=&quot;006F74DE&quot;/&gt;&lt;wsp:rsid wsp:val=&quot;006F769C&quot;/&gt;&lt;wsp:rsid wsp:val=&quot;006F7778&quot;/&gt;&lt;wsp:rsid wsp:val=&quot;006F7CA7&quot;/&gt;&lt;wsp:rsid wsp:val=&quot;00700907&quot;/&gt;&lt;wsp:rsid wsp:val=&quot;00700C00&quot;/&gt;&lt;wsp:rsid wsp:val=&quot;00700D1A&quot;/&gt;&lt;wsp:rsid wsp:val=&quot;007013F4&quot;/&gt;&lt;wsp:rsid wsp:val=&quot;00701714&quot;/&gt;&lt;wsp:rsid wsp:val=&quot;007017F4&quot;/&gt;&lt;wsp:rsid wsp:val=&quot;00701BD4&quot;/&gt;&lt;wsp:rsid wsp:val=&quot;00701E52&quot;/&gt;&lt;wsp:rsid wsp:val=&quot;007020AC&quot;/&gt;&lt;wsp:rsid wsp:val=&quot;007027F1&quot;/&gt;&lt;wsp:rsid wsp:val=&quot;00702D57&quot;/&gt;&lt;wsp:rsid wsp:val=&quot;00702EDD&quot;/&gt;&lt;wsp:rsid wsp:val=&quot;00703226&quot;/&gt;&lt;wsp:rsid wsp:val=&quot;00703705&quot;/&gt;&lt;wsp:rsid wsp:val=&quot;0070387D&quot;/&gt;&lt;wsp:rsid wsp:val=&quot;00703A1B&quot;/&gt;&lt;wsp:rsid wsp:val=&quot;0070411E&quot;/&gt;&lt;wsp:rsid wsp:val=&quot;007042E0&quot;/&gt;&lt;wsp:rsid wsp:val=&quot;007044B9&quot;/&gt;&lt;wsp:rsid wsp:val=&quot;00704D54&quot;/&gt;&lt;wsp:rsid wsp:val=&quot;00705021&quot;/&gt;&lt;wsp:rsid wsp:val=&quot;007051F7&quot;/&gt;&lt;wsp:rsid wsp:val=&quot;00705341&quot;/&gt;&lt;wsp:rsid wsp:val=&quot;0070545F&quot;/&gt;&lt;wsp:rsid wsp:val=&quot;00705FC5&quot;/&gt;&lt;wsp:rsid wsp:val=&quot;00705FD4&quot;/&gt;&lt;wsp:rsid wsp:val=&quot;0070670F&quot;/&gt;&lt;wsp:rsid wsp:val=&quot;00707129&quot;/&gt;&lt;wsp:rsid wsp:val=&quot;007075A4&quot;/&gt;&lt;wsp:rsid wsp:val=&quot;00707623&quot;/&gt;&lt;wsp:rsid wsp:val=&quot;00707C79&quot;/&gt;&lt;wsp:rsid wsp:val=&quot;00707E25&quot;/&gt;&lt;wsp:rsid wsp:val=&quot;00707F4F&quot;/&gt;&lt;wsp:rsid wsp:val=&quot;00710A6A&quot;/&gt;&lt;wsp:rsid wsp:val=&quot;00710BE7&quot;/&gt;&lt;wsp:rsid wsp:val=&quot;00711A58&quot;/&gt;&lt;wsp:rsid wsp:val=&quot;00711BB1&quot;/&gt;&lt;wsp:rsid wsp:val=&quot;00712131&quot;/&gt;&lt;wsp:rsid wsp:val=&quot;007125C5&quot;/&gt;&lt;wsp:rsid wsp:val=&quot;007126F3&quot;/&gt;&lt;wsp:rsid wsp:val=&quot;00712CF5&quot;/&gt;&lt;wsp:rsid wsp:val=&quot;007133A4&quot;/&gt;&lt;wsp:rsid wsp:val=&quot;00713762&quot;/&gt;&lt;wsp:rsid wsp:val=&quot;00713A6C&quot;/&gt;&lt;wsp:rsid wsp:val=&quot;00714097&quot;/&gt;&lt;wsp:rsid wsp:val=&quot;007144E2&quot;/&gt;&lt;wsp:rsid wsp:val=&quot;007145A0&quot;/&gt;&lt;wsp:rsid wsp:val=&quot;00714960&quot;/&gt;&lt;wsp:rsid wsp:val=&quot;00714B14&quot;/&gt;&lt;wsp:rsid wsp:val=&quot;00714B81&quot;/&gt;&lt;wsp:rsid wsp:val=&quot;00714BC7&quot;/&gt;&lt;wsp:rsid wsp:val=&quot;00714D74&quot;/&gt;&lt;wsp:rsid wsp:val=&quot;007153E9&quot;/&gt;&lt;wsp:rsid wsp:val=&quot;007156FA&quot;/&gt;&lt;wsp:rsid wsp:val=&quot;007159BC&quot;/&gt;&lt;wsp:rsid wsp:val=&quot;007159D5&quot;/&gt;&lt;wsp:rsid wsp:val=&quot;00715DCF&quot;/&gt;&lt;wsp:rsid wsp:val=&quot;00715E2C&quot;/&gt;&lt;wsp:rsid wsp:val=&quot;00715E71&quot;/&gt;&lt;wsp:rsid wsp:val=&quot;00716358&quot;/&gt;&lt;wsp:rsid wsp:val=&quot;00716B47&quot;/&gt;&lt;wsp:rsid wsp:val=&quot;00716E9F&quot;/&gt;&lt;wsp:rsid wsp:val=&quot;007170C2&quot;/&gt;&lt;wsp:rsid wsp:val=&quot;0071733E&quot;/&gt;&lt;wsp:rsid wsp:val=&quot;00717779&quot;/&gt;&lt;wsp:rsid wsp:val=&quot;00717848&quot;/&gt;&lt;wsp:rsid wsp:val=&quot;00717D5F&quot;/&gt;&lt;wsp:rsid wsp:val=&quot;00717EFA&quot;/&gt;&lt;wsp:rsid wsp:val=&quot;00720301&quot;/&gt;&lt;wsp:rsid wsp:val=&quot;0072051C&quot;/&gt;&lt;wsp:rsid wsp:val=&quot;00720AAA&quot;/&gt;&lt;wsp:rsid wsp:val=&quot;00720D20&quot;/&gt;&lt;wsp:rsid wsp:val=&quot;00720E75&quot;/&gt;&lt;wsp:rsid wsp:val=&quot;00720ECB&quot;/&gt;&lt;wsp:rsid wsp:val=&quot;00720F71&quot;/&gt;&lt;wsp:rsid wsp:val=&quot;00721566&quot;/&gt;&lt;wsp:rsid wsp:val=&quot;00721717&quot;/&gt;&lt;wsp:rsid wsp:val=&quot;007218D9&quot;/&gt;&lt;wsp:rsid wsp:val=&quot;00721DC7&quot;/&gt;&lt;wsp:rsid wsp:val=&quot;0072220F&quot;/&gt;&lt;wsp:rsid wsp:val=&quot;00722AB5&quot;/&gt;&lt;wsp:rsid wsp:val=&quot;00722BBE&quot;/&gt;&lt;wsp:rsid wsp:val=&quot;00722C32&quot;/&gt;&lt;wsp:rsid wsp:val=&quot;00722CA8&quot;/&gt;&lt;wsp:rsid wsp:val=&quot;00723034&quot;/&gt;&lt;wsp:rsid wsp:val=&quot;007231FF&quot;/&gt;&lt;wsp:rsid wsp:val=&quot;00723360&quot;/&gt;&lt;wsp:rsid wsp:val=&quot;007234D9&quot;/&gt;&lt;wsp:rsid wsp:val=&quot;00723698&quot;/&gt;&lt;wsp:rsid wsp:val=&quot;00723858&quot;/&gt;&lt;wsp:rsid wsp:val=&quot;00723DB1&quot;/&gt;&lt;wsp:rsid wsp:val=&quot;00724343&quot;/&gt;&lt;wsp:rsid wsp:val=&quot;007247BE&quot;/&gt;&lt;wsp:rsid wsp:val=&quot;007248AD&quot;/&gt;&lt;wsp:rsid wsp:val=&quot;00724F79&quot;/&gt;&lt;wsp:rsid wsp:val=&quot;00725728&quot;/&gt;&lt;wsp:rsid wsp:val=&quot;007258DE&quot;/&gt;&lt;wsp:rsid wsp:val=&quot;00725C8F&quot;/&gt;&lt;wsp:rsid wsp:val=&quot;00725CB7&quot;/&gt;&lt;wsp:rsid wsp:val=&quot;00726540&quot;/&gt;&lt;wsp:rsid wsp:val=&quot;00726643&quot;/&gt;&lt;wsp:rsid wsp:val=&quot;00726775&quot;/&gt;&lt;wsp:rsid wsp:val=&quot;00726832&quot;/&gt;&lt;wsp:rsid wsp:val=&quot;00726C96&quot;/&gt;&lt;wsp:rsid wsp:val=&quot;00726DEE&quot;/&gt;&lt;wsp:rsid wsp:val=&quot;00726F22&quot;/&gt;&lt;wsp:rsid wsp:val=&quot;0072712D&quot;/&gt;&lt;wsp:rsid wsp:val=&quot;007276D4&quot;/&gt;&lt;wsp:rsid wsp:val=&quot;00727975&quot;/&gt;&lt;wsp:rsid wsp:val=&quot;00727D72&quot;/&gt;&lt;wsp:rsid wsp:val=&quot;00727E44&quot;/&gt;&lt;wsp:rsid wsp:val=&quot;0073045A&quot;/&gt;&lt;wsp:rsid wsp:val=&quot;00730487&quot;/&gt;&lt;wsp:rsid wsp:val=&quot;00730527&quot;/&gt;&lt;wsp:rsid wsp:val=&quot;00730CE2&quot;/&gt;&lt;wsp:rsid wsp:val=&quot;00731069&quot;/&gt;&lt;wsp:rsid wsp:val=&quot;0073158E&quot;/&gt;&lt;wsp:rsid wsp:val=&quot;007316AC&quot;/&gt;&lt;wsp:rsid wsp:val=&quot;00731AB7&quot;/&gt;&lt;wsp:rsid wsp:val=&quot;00731DBA&quot;/&gt;&lt;wsp:rsid wsp:val=&quot;00732375&quot;/&gt;&lt;wsp:rsid wsp:val=&quot;00732535&quot;/&gt;&lt;wsp:rsid wsp:val=&quot;007328C7&quot;/&gt;&lt;wsp:rsid wsp:val=&quot;00732A0B&quot;/&gt;&lt;wsp:rsid wsp:val=&quot;00732AA4&quot;/&gt;&lt;wsp:rsid wsp:val=&quot;00732D14&quot;/&gt;&lt;wsp:rsid wsp:val=&quot;00732ED4&quot;/&gt;&lt;wsp:rsid wsp:val=&quot;007333B4&quot;/&gt;&lt;wsp:rsid wsp:val=&quot;0073364D&quot;/&gt;&lt;wsp:rsid wsp:val=&quot;007336CF&quot;/&gt;&lt;wsp:rsid wsp:val=&quot;00733801&quot;/&gt;&lt;wsp:rsid wsp:val=&quot;00733804&quot;/&gt;&lt;wsp:rsid wsp:val=&quot;00733C32&quot;/&gt;&lt;wsp:rsid wsp:val=&quot;00733D0E&quot;/&gt;&lt;wsp:rsid wsp:val=&quot;00734556&quot;/&gt;&lt;wsp:rsid wsp:val=&quot;0073475A&quot;/&gt;&lt;wsp:rsid wsp:val=&quot;0073476E&quot;/&gt;&lt;wsp:rsid wsp:val=&quot;00734850&quot;/&gt;&lt;wsp:rsid wsp:val=&quot;00734ADF&quot;/&gt;&lt;wsp:rsid wsp:val=&quot;00734E89&quot;/&gt;&lt;wsp:rsid wsp:val=&quot;00734F23&quot;/&gt;&lt;wsp:rsid wsp:val=&quot;0073530E&quot;/&gt;&lt;wsp:rsid wsp:val=&quot;00735DB4&quot;/&gt;&lt;wsp:rsid wsp:val=&quot;00735DE3&quot;/&gt;&lt;wsp:rsid wsp:val=&quot;00736038&quot;/&gt;&lt;wsp:rsid wsp:val=&quot;007362F7&quot;/&gt;&lt;wsp:rsid wsp:val=&quot;0073654D&quot;/&gt;&lt;wsp:rsid wsp:val=&quot;007365A5&quot;/&gt;&lt;wsp:rsid wsp:val=&quot;007369BB&quot;/&gt;&lt;wsp:rsid wsp:val=&quot;007369C1&quot;/&gt;&lt;wsp:rsid wsp:val=&quot;007369D0&quot;/&gt;&lt;wsp:rsid wsp:val=&quot;00736A59&quot;/&gt;&lt;wsp:rsid wsp:val=&quot;0073718A&quot;/&gt;&lt;wsp:rsid wsp:val=&quot;007372BD&quot;/&gt;&lt;wsp:rsid wsp:val=&quot;007372F8&quot;/&gt;&lt;wsp:rsid wsp:val=&quot;007375D7&quot;/&gt;&lt;wsp:rsid wsp:val=&quot;007378B2&quot;/&gt;&lt;wsp:rsid wsp:val=&quot;007378FC&quot;/&gt;&lt;wsp:rsid wsp:val=&quot;00737A1C&quot;/&gt;&lt;wsp:rsid wsp:val=&quot;00737D10&quot;/&gt;&lt;wsp:rsid wsp:val=&quot;00737E00&quot;/&gt;&lt;wsp:rsid wsp:val=&quot;0074009A&quot;/&gt;&lt;wsp:rsid wsp:val=&quot;007401BD&quot;/&gt;&lt;wsp:rsid wsp:val=&quot;00740293&quot;/&gt;&lt;wsp:rsid wsp:val=&quot;00740509&quot;/&gt;&lt;wsp:rsid wsp:val=&quot;00740A70&quot;/&gt;&lt;wsp:rsid wsp:val=&quot;00740CF5&quot;/&gt;&lt;wsp:rsid wsp:val=&quot;007410A8&quot;/&gt;&lt;wsp:rsid wsp:val=&quot;0074117D&quot;/&gt;&lt;wsp:rsid wsp:val=&quot;0074170F&quot;/&gt;&lt;wsp:rsid wsp:val=&quot;007423C7&quot;/&gt;&lt;wsp:rsid wsp:val=&quot;00742573&quot;/&gt;&lt;wsp:rsid wsp:val=&quot;00742AE6&quot;/&gt;&lt;wsp:rsid wsp:val=&quot;00742F23&quot;/&gt;&lt;wsp:rsid wsp:val=&quot;00743205&quot;/&gt;&lt;wsp:rsid wsp:val=&quot;007432C3&quot;/&gt;&lt;wsp:rsid wsp:val=&quot;007436C2&quot;/&gt;&lt;wsp:rsid wsp:val=&quot;00743C1C&quot;/&gt;&lt;wsp:rsid wsp:val=&quot;00744224&quot;/&gt;&lt;wsp:rsid wsp:val=&quot;0074458F&quot;/&gt;&lt;wsp:rsid wsp:val=&quot;00744599&quot;/&gt;&lt;wsp:rsid wsp:val=&quot;0074542A&quot;/&gt;&lt;wsp:rsid wsp:val=&quot;007456B3&quot;/&gt;&lt;wsp:rsid wsp:val=&quot;00745A90&quot;/&gt;&lt;wsp:rsid wsp:val=&quot;00745BB5&quot;/&gt;&lt;wsp:rsid wsp:val=&quot;00745C45&quot;/&gt;&lt;wsp:rsid wsp:val=&quot;00745E43&quot;/&gt;&lt;wsp:rsid wsp:val=&quot;00745E84&quot;/&gt;&lt;wsp:rsid wsp:val=&quot;0074606C&quot;/&gt;&lt;wsp:rsid wsp:val=&quot;00746235&quot;/&gt;&lt;wsp:rsid wsp:val=&quot;007462D6&quot;/&gt;&lt;wsp:rsid wsp:val=&quot;0074641C&quot;/&gt;&lt;wsp:rsid wsp:val=&quot;00746441&quot;/&gt;&lt;wsp:rsid wsp:val=&quot;00746896&quot;/&gt;&lt;wsp:rsid wsp:val=&quot;0074697A&quot;/&gt;&lt;wsp:rsid wsp:val=&quot;00746AD9&quot;/&gt;&lt;wsp:rsid wsp:val=&quot;00747900&quot;/&gt;&lt;wsp:rsid wsp:val=&quot;00747BCE&quot;/&gt;&lt;wsp:rsid wsp:val=&quot;00747E96&quot;/&gt;&lt;wsp:rsid wsp:val=&quot;0075014A&quot;/&gt;&lt;wsp:rsid wsp:val=&quot;007508DC&quot;/&gt;&lt;wsp:rsid wsp:val=&quot;0075112E&quot;/&gt;&lt;wsp:rsid wsp:val=&quot;00751224&quot;/&gt;&lt;wsp:rsid wsp:val=&quot;007512C6&quot;/&gt;&lt;wsp:rsid wsp:val=&quot;00751394&quot;/&gt;&lt;wsp:rsid wsp:val=&quot;007513EF&quot;/&gt;&lt;wsp:rsid wsp:val=&quot;00751753&quot;/&gt;&lt;wsp:rsid wsp:val=&quot;00751B06&quot;/&gt;&lt;wsp:rsid wsp:val=&quot;00751C38&quot;/&gt;&lt;wsp:rsid wsp:val=&quot;00752BAE&quot;/&gt;&lt;wsp:rsid wsp:val=&quot;00752D85&quot;/&gt;&lt;wsp:rsid wsp:val=&quot;0075302E&quot;/&gt;&lt;wsp:rsid wsp:val=&quot;007536D0&quot;/&gt;&lt;wsp:rsid wsp:val=&quot;00753B06&quot;/&gt;&lt;wsp:rsid wsp:val=&quot;00753B30&quot;/&gt;&lt;wsp:rsid wsp:val=&quot;00753F1B&quot;/&gt;&lt;wsp:rsid wsp:val=&quot;00754243&quot;/&gt;&lt;wsp:rsid wsp:val=&quot;00754335&quot;/&gt;&lt;wsp:rsid wsp:val=&quot;00754F43&quot;/&gt;&lt;wsp:rsid wsp:val=&quot;00755225&quot;/&gt;&lt;wsp:rsid wsp:val=&quot;007554A3&quot;/&gt;&lt;wsp:rsid wsp:val=&quot;00755B84&quot;/&gt;&lt;wsp:rsid wsp:val=&quot;00755D24&quot;/&gt;&lt;wsp:rsid wsp:val=&quot;00756554&quot;/&gt;&lt;wsp:rsid wsp:val=&quot;00756F92&quot;/&gt;&lt;wsp:rsid wsp:val=&quot;00757024&quot;/&gt;&lt;wsp:rsid wsp:val=&quot;007571C5&quot;/&gt;&lt;wsp:rsid wsp:val=&quot;00757301&quot;/&gt;&lt;wsp:rsid wsp:val=&quot;0075733E&quot;/&gt;&lt;wsp:rsid wsp:val=&quot;00757D6C&quot;/&gt;&lt;wsp:rsid wsp:val=&quot;00757E2A&quot;/&gt;&lt;wsp:rsid wsp:val=&quot;00757E50&quot;/&gt;&lt;wsp:rsid wsp:val=&quot;0076005D&quot;/&gt;&lt;wsp:rsid wsp:val=&quot;00760420&quot;/&gt;&lt;wsp:rsid wsp:val=&quot;00760BD6&quot;/&gt;&lt;wsp:rsid wsp:val=&quot;00760BE7&quot;/&gt;&lt;wsp:rsid wsp:val=&quot;00760CE4&quot;/&gt;&lt;wsp:rsid wsp:val=&quot;00760EDD&quot;/&gt;&lt;wsp:rsid wsp:val=&quot;00761063&quot;/&gt;&lt;wsp:rsid wsp:val=&quot;00761912&quot;/&gt;&lt;wsp:rsid wsp:val=&quot;00761B07&quot;/&gt;&lt;wsp:rsid wsp:val=&quot;00761F1D&quot;/&gt;&lt;wsp:rsid wsp:val=&quot;00761FED&quot;/&gt;&lt;wsp:rsid wsp:val=&quot;0076227B&quot;/&gt;&lt;wsp:rsid wsp:val=&quot;00762318&quot;/&gt;&lt;wsp:rsid wsp:val=&quot;007623C9&quot;/&gt;&lt;wsp:rsid wsp:val=&quot;0076240E&quot;/&gt;&lt;wsp:rsid wsp:val=&quot;00762612&quot;/&gt;&lt;wsp:rsid wsp:val=&quot;00762CA7&quot;/&gt;&lt;wsp:rsid wsp:val=&quot;00762CF6&quot;/&gt;&lt;wsp:rsid wsp:val=&quot;00762ED6&quot;/&gt;&lt;wsp:rsid wsp:val=&quot;00763055&quot;/&gt;&lt;wsp:rsid wsp:val=&quot;00763252&quot;/&gt;&lt;wsp:rsid wsp:val=&quot;00763A2C&quot;/&gt;&lt;wsp:rsid wsp:val=&quot;00763B3C&quot;/&gt;&lt;wsp:rsid wsp:val=&quot;00763BC7&quot;/&gt;&lt;wsp:rsid wsp:val=&quot;00763D97&quot;/&gt;&lt;wsp:rsid wsp:val=&quot;00763F9F&quot;/&gt;&lt;wsp:rsid wsp:val=&quot;0076423F&quot;/&gt;&lt;wsp:rsid wsp:val=&quot;007643C0&quot;/&gt;&lt;wsp:rsid wsp:val=&quot;007643C5&quot;/&gt;&lt;wsp:rsid wsp:val=&quot;007646D3&quot;/&gt;&lt;wsp:rsid wsp:val=&quot;00764701&quot;/&gt;&lt;wsp:rsid wsp:val=&quot;00764862&quot;/&gt;&lt;wsp:rsid wsp:val=&quot;00764A8F&quot;/&gt;&lt;wsp:rsid wsp:val=&quot;00764B34&quot;/&gt;&lt;wsp:rsid wsp:val=&quot;00764C33&quot;/&gt;&lt;wsp:rsid wsp:val=&quot;00764D51&quot;/&gt;&lt;wsp:rsid wsp:val=&quot;00764D91&quot;/&gt;&lt;wsp:rsid wsp:val=&quot;00764DD5&quot;/&gt;&lt;wsp:rsid wsp:val=&quot;00764E3F&quot;/&gt;&lt;wsp:rsid wsp:val=&quot;00764FCE&quot;/&gt;&lt;wsp:rsid wsp:val=&quot;0076556F&quot;/&gt;&lt;wsp:rsid wsp:val=&quot;00765719&quot;/&gt;&lt;wsp:rsid wsp:val=&quot;00765832&quot;/&gt;&lt;wsp:rsid wsp:val=&quot;0076596A&quot;/&gt;&lt;wsp:rsid wsp:val=&quot;00765DBC&quot;/&gt;&lt;wsp:rsid wsp:val=&quot;0076670C&quot;/&gt;&lt;wsp:rsid wsp:val=&quot;00766EFE&quot;/&gt;&lt;wsp:rsid wsp:val=&quot;00767339&quot;/&gt;&lt;wsp:rsid wsp:val=&quot;00767E15&quot;/&gt;&lt;wsp:rsid wsp:val=&quot;00767EF4&quot;/&gt;&lt;wsp:rsid wsp:val=&quot;0077003D&quot;/&gt;&lt;wsp:rsid wsp:val=&quot;007708BC&quot;/&gt;&lt;wsp:rsid wsp:val=&quot;007712D3&quot;/&gt;&lt;wsp:rsid wsp:val=&quot;007713CB&quot;/&gt;&lt;wsp:rsid wsp:val=&quot;0077174E&quot;/&gt;&lt;wsp:rsid wsp:val=&quot;00771AE3&quot;/&gt;&lt;wsp:rsid wsp:val=&quot;00771B46&quot;/&gt;&lt;wsp:rsid wsp:val=&quot;0077205B&quot;/&gt;&lt;wsp:rsid wsp:val=&quot;007722DE&quot;/&gt;&lt;wsp:rsid wsp:val=&quot;00772770&quot;/&gt;&lt;wsp:rsid wsp:val=&quot;00772A5D&quot;/&gt;&lt;wsp:rsid wsp:val=&quot;00772B4D&quot;/&gt;&lt;wsp:rsid wsp:val=&quot;00772EF5&quot;/&gt;&lt;wsp:rsid wsp:val=&quot;0077325B&quot;/&gt;&lt;wsp:rsid wsp:val=&quot;007733FF&quot;/&gt;&lt;wsp:rsid wsp:val=&quot;0077341D&quot;/&gt;&lt;wsp:rsid wsp:val=&quot;007735EF&quot;/&gt;&lt;wsp:rsid wsp:val=&quot;0077368F&quot;/&gt;&lt;wsp:rsid wsp:val=&quot;007736B1&quot;/&gt;&lt;wsp:rsid wsp:val=&quot;007737C1&quot;/&gt;&lt;wsp:rsid wsp:val=&quot;00773CB5&quot;/&gt;&lt;wsp:rsid wsp:val=&quot;00773EE9&quot;/&gt;&lt;wsp:rsid wsp:val=&quot;00773F92&quot;/&gt;&lt;wsp:rsid wsp:val=&quot;00773FB6&quot;/&gt;&lt;wsp:rsid wsp:val=&quot;0077401E&quot;/&gt;&lt;wsp:rsid wsp:val=&quot;00774436&quot;/&gt;&lt;wsp:rsid wsp:val=&quot;00774BC0&quot;/&gt;&lt;wsp:rsid wsp:val=&quot;00774D56&quot;/&gt;&lt;wsp:rsid wsp:val=&quot;007750CC&quot;/&gt;&lt;wsp:rsid wsp:val=&quot;0077534F&quot;/&gt;&lt;wsp:rsid wsp:val=&quot;00775784&quot;/&gt;&lt;wsp:rsid wsp:val=&quot;007758D1&quot;/&gt;&lt;wsp:rsid wsp:val=&quot;00775A32&quot;/&gt;&lt;wsp:rsid wsp:val=&quot;00775AAA&quot;/&gt;&lt;wsp:rsid wsp:val=&quot;00775E17&quot;/&gt;&lt;wsp:rsid wsp:val=&quot;00775FE1&quot;/&gt;&lt;wsp:rsid wsp:val=&quot;00776037&quot;/&gt;&lt;wsp:rsid wsp:val=&quot;00776370&quot;/&gt;&lt;wsp:rsid wsp:val=&quot;007766CF&quot;/&gt;&lt;wsp:rsid wsp:val=&quot;00776D5E&quot;/&gt;&lt;wsp:rsid wsp:val=&quot;00776D66&quot;/&gt;&lt;wsp:rsid wsp:val=&quot;00777421&quot;/&gt;&lt;wsp:rsid wsp:val=&quot;007777D9&quot;/&gt;&lt;wsp:rsid wsp:val=&quot;007777EA&quot;/&gt;&lt;wsp:rsid wsp:val=&quot;007801B0&quot;/&gt;&lt;wsp:rsid wsp:val=&quot;007803DE&quot;/&gt;&lt;wsp:rsid wsp:val=&quot;00780725&quot;/&gt;&lt;wsp:rsid wsp:val=&quot;00780C90&quot;/&gt;&lt;wsp:rsid wsp:val=&quot;00780F45&quot;/&gt;&lt;wsp:rsid wsp:val=&quot;00780F93&quot;/&gt;&lt;wsp:rsid wsp:val=&quot;00781180&quot;/&gt;&lt;wsp:rsid wsp:val=&quot;007812D4&quot;/&gt;&lt;wsp:rsid wsp:val=&quot;0078134A&quot;/&gt;&lt;wsp:rsid wsp:val=&quot;00781E85&quot;/&gt;&lt;wsp:rsid wsp:val=&quot;007822F1&quot;/&gt;&lt;wsp:rsid wsp:val=&quot;007825AC&quot;/&gt;&lt;wsp:rsid wsp:val=&quot;0078282E&quot;/&gt;&lt;wsp:rsid wsp:val=&quot;0078289F&quot;/&gt;&lt;wsp:rsid wsp:val=&quot;00782E11&quot;/&gt;&lt;wsp:rsid wsp:val=&quot;0078331E&quot;/&gt;&lt;wsp:rsid wsp:val=&quot;00783528&quot;/&gt;&lt;wsp:rsid wsp:val=&quot;0078376F&quot;/&gt;&lt;wsp:rsid wsp:val=&quot;007839B8&quot;/&gt;&lt;wsp:rsid wsp:val=&quot;007847FD&quot;/&gt;&lt;wsp:rsid wsp:val=&quot;0078487F&quot;/&gt;&lt;wsp:rsid wsp:val=&quot;00784AAE&quot;/&gt;&lt;wsp:rsid wsp:val=&quot;007850AF&quot;/&gt;&lt;wsp:rsid wsp:val=&quot;0078552C&quot;/&gt;&lt;wsp:rsid wsp:val=&quot;00785862&quot;/&gt;&lt;wsp:rsid wsp:val=&quot;00785AA9&quot;/&gt;&lt;wsp:rsid wsp:val=&quot;00785AD3&quot;/&gt;&lt;wsp:rsid wsp:val=&quot;00785DA7&quot;/&gt;&lt;wsp:rsid wsp:val=&quot;00785F57&quot;/&gt;&lt;wsp:rsid wsp:val=&quot;00786231&quot;/&gt;&lt;wsp:rsid wsp:val=&quot;00786707&quot;/&gt;&lt;wsp:rsid wsp:val=&quot;00786A04&quot;/&gt;&lt;wsp:rsid wsp:val=&quot;00786BB2&quot;/&gt;&lt;wsp:rsid wsp:val=&quot;00787174&quot;/&gt;&lt;wsp:rsid wsp:val=&quot;007872C0&quot;/&gt;&lt;wsp:rsid wsp:val=&quot;00787318&quot;/&gt;&lt;wsp:rsid wsp:val=&quot;00787440&quot;/&gt;&lt;wsp:rsid wsp:val=&quot;00787935&quot;/&gt;&lt;wsp:rsid wsp:val=&quot;00787A5A&quot;/&gt;&lt;wsp:rsid wsp:val=&quot;00787E07&quot;/&gt;&lt;wsp:rsid wsp:val=&quot;007903D7&quot;/&gt;&lt;wsp:rsid wsp:val=&quot;007907DA&quot;/&gt;&lt;wsp:rsid wsp:val=&quot;00790922&quot;/&gt;&lt;wsp:rsid wsp:val=&quot;00790AD6&quot;/&gt;&lt;wsp:rsid wsp:val=&quot;00790B02&quot;/&gt;&lt;wsp:rsid wsp:val=&quot;00790E0B&quot;/&gt;&lt;wsp:rsid wsp:val=&quot;00791069&quot;/&gt;&lt;wsp:rsid wsp:val=&quot;007922A2&quot;/&gt;&lt;wsp:rsid wsp:val=&quot;00792975&quot;/&gt;&lt;wsp:rsid wsp:val=&quot;00792A32&quot;/&gt;&lt;wsp:rsid wsp:val=&quot;00792BE9&quot;/&gt;&lt;wsp:rsid wsp:val=&quot;00792C66&quot;/&gt;&lt;wsp:rsid wsp:val=&quot;00792F7E&quot;/&gt;&lt;wsp:rsid wsp:val=&quot;00792FEE&quot;/&gt;&lt;wsp:rsid wsp:val=&quot;0079373C&quot;/&gt;&lt;wsp:rsid wsp:val=&quot;00793773&quot;/&gt;&lt;wsp:rsid wsp:val=&quot;00793DA9&quot;/&gt;&lt;wsp:rsid wsp:val=&quot;00794559&quot;/&gt;&lt;wsp:rsid wsp:val=&quot;0079487B&quot;/&gt;&lt;wsp:rsid wsp:val=&quot;00794BC0&quot;/&gt;&lt;wsp:rsid wsp:val=&quot;00794BEC&quot;/&gt;&lt;wsp:rsid wsp:val=&quot;00794EF8&quot;/&gt;&lt;wsp:rsid wsp:val=&quot;00795215&quot;/&gt;&lt;wsp:rsid wsp:val=&quot;0079539F&quot;/&gt;&lt;wsp:rsid wsp:val=&quot;00795433&quot;/&gt;&lt;wsp:rsid wsp:val=&quot;0079573F&quot;/&gt;&lt;wsp:rsid wsp:val=&quot;00795EF8&quot;/&gt;&lt;wsp:rsid wsp:val=&quot;0079662D&quot;/&gt;&lt;wsp:rsid wsp:val=&quot;00796954&quot;/&gt;&lt;wsp:rsid wsp:val=&quot;007969A1&quot;/&gt;&lt;wsp:rsid wsp:val=&quot;00797587&quot;/&gt;&lt;wsp:rsid wsp:val=&quot;0079772A&quot;/&gt;&lt;wsp:rsid wsp:val=&quot;007977EE&quot;/&gt;&lt;wsp:rsid wsp:val=&quot;007A03CB&quot;/&gt;&lt;wsp:rsid wsp:val=&quot;007A046B&quot;/&gt;&lt;wsp:rsid wsp:val=&quot;007A0493&quot;/&gt;&lt;wsp:rsid wsp:val=&quot;007A0658&quot;/&gt;&lt;wsp:rsid wsp:val=&quot;007A0677&quot;/&gt;&lt;wsp:rsid wsp:val=&quot;007A19BF&quot;/&gt;&lt;wsp:rsid wsp:val=&quot;007A1CE1&quot;/&gt;&lt;wsp:rsid wsp:val=&quot;007A209B&quot;/&gt;&lt;wsp:rsid wsp:val=&quot;007A24DC&quot;/&gt;&lt;wsp:rsid wsp:val=&quot;007A29D5&quot;/&gt;&lt;wsp:rsid wsp:val=&quot;007A2AFD&quot;/&gt;&lt;wsp:rsid wsp:val=&quot;007A2E34&quot;/&gt;&lt;wsp:rsid wsp:val=&quot;007A2F54&quot;/&gt;&lt;wsp:rsid wsp:val=&quot;007A340D&quot;/&gt;&lt;wsp:rsid wsp:val=&quot;007A3481&quot;/&gt;&lt;wsp:rsid wsp:val=&quot;007A353A&quot;/&gt;&lt;wsp:rsid wsp:val=&quot;007A39E2&quot;/&gt;&lt;wsp:rsid wsp:val=&quot;007A3A60&quot;/&gt;&lt;wsp:rsid wsp:val=&quot;007A3C15&quot;/&gt;&lt;wsp:rsid wsp:val=&quot;007A4178&quot;/&gt;&lt;wsp:rsid wsp:val=&quot;007A435C&quot;/&gt;&lt;wsp:rsid wsp:val=&quot;007A586B&quot;/&gt;&lt;wsp:rsid wsp:val=&quot;007A6453&quot;/&gt;&lt;wsp:rsid wsp:val=&quot;007A677B&quot;/&gt;&lt;wsp:rsid wsp:val=&quot;007A6A0B&quot;/&gt;&lt;wsp:rsid wsp:val=&quot;007A6E31&quot;/&gt;&lt;wsp:rsid wsp:val=&quot;007A6FE8&quot;/&gt;&lt;wsp:rsid wsp:val=&quot;007A72AA&quot;/&gt;&lt;wsp:rsid wsp:val=&quot;007A72EC&quot;/&gt;&lt;wsp:rsid wsp:val=&quot;007A73A7&quot;/&gt;&lt;wsp:rsid wsp:val=&quot;007A7A17&quot;/&gt;&lt;wsp:rsid wsp:val=&quot;007A7B90&quot;/&gt;&lt;wsp:rsid wsp:val=&quot;007B019A&quot;/&gt;&lt;wsp:rsid wsp:val=&quot;007B0610&quot;/&gt;&lt;wsp:rsid wsp:val=&quot;007B07BD&quot;/&gt;&lt;wsp:rsid wsp:val=&quot;007B0814&quot;/&gt;&lt;wsp:rsid wsp:val=&quot;007B0ABE&quot;/&gt;&lt;wsp:rsid wsp:val=&quot;007B16A9&quot;/&gt;&lt;wsp:rsid wsp:val=&quot;007B211A&quot;/&gt;&lt;wsp:rsid wsp:val=&quot;007B2583&quot;/&gt;&lt;wsp:rsid wsp:val=&quot;007B275C&quot;/&gt;&lt;wsp:rsid wsp:val=&quot;007B307E&quot;/&gt;&lt;wsp:rsid wsp:val=&quot;007B33FF&quot;/&gt;&lt;wsp:rsid wsp:val=&quot;007B3610&quot;/&gt;&lt;wsp:rsid wsp:val=&quot;007B38D1&quot;/&gt;&lt;wsp:rsid wsp:val=&quot;007B3B6A&quot;/&gt;&lt;wsp:rsid wsp:val=&quot;007B3BDC&quot;/&gt;&lt;wsp:rsid wsp:val=&quot;007B3F99&quot;/&gt;&lt;wsp:rsid wsp:val=&quot;007B42E4&quot;/&gt;&lt;wsp:rsid wsp:val=&quot;007B50D5&quot;/&gt;&lt;wsp:rsid wsp:val=&quot;007B50D6&quot;/&gt;&lt;wsp:rsid wsp:val=&quot;007B5141&quot;/&gt;&lt;wsp:rsid wsp:val=&quot;007B5358&quot;/&gt;&lt;wsp:rsid wsp:val=&quot;007B54A0&quot;/&gt;&lt;wsp:rsid wsp:val=&quot;007B580B&quot;/&gt;&lt;wsp:rsid wsp:val=&quot;007B5B44&quot;/&gt;&lt;wsp:rsid wsp:val=&quot;007B5E24&quot;/&gt;&lt;wsp:rsid wsp:val=&quot;007B69CA&quot;/&gt;&lt;wsp:rsid wsp:val=&quot;007B6B46&quot;/&gt;&lt;wsp:rsid wsp:val=&quot;007B741A&quot;/&gt;&lt;wsp:rsid wsp:val=&quot;007B771F&quot;/&gt;&lt;wsp:rsid wsp:val=&quot;007B7D7F&quot;/&gt;&lt;wsp:rsid wsp:val=&quot;007B7E7D&quot;/&gt;&lt;wsp:rsid wsp:val=&quot;007B7FCB&quot;/&gt;&lt;wsp:rsid wsp:val=&quot;007C0CFB&quot;/&gt;&lt;wsp:rsid wsp:val=&quot;007C0FF4&quot;/&gt;&lt;wsp:rsid wsp:val=&quot;007C11C8&quot;/&gt;&lt;wsp:rsid wsp:val=&quot;007C1591&quot;/&gt;&lt;wsp:rsid wsp:val=&quot;007C20DB&quot;/&gt;&lt;wsp:rsid wsp:val=&quot;007C23CA&quot;/&gt;&lt;wsp:rsid wsp:val=&quot;007C29E7&quot;/&gt;&lt;wsp:rsid wsp:val=&quot;007C2ECB&quot;/&gt;&lt;wsp:rsid wsp:val=&quot;007C2EEE&quot;/&gt;&lt;wsp:rsid wsp:val=&quot;007C32BA&quot;/&gt;&lt;wsp:rsid wsp:val=&quot;007C3367&quot;/&gt;&lt;wsp:rsid wsp:val=&quot;007C364E&quot;/&gt;&lt;wsp:rsid wsp:val=&quot;007C36B1&quot;/&gt;&lt;wsp:rsid wsp:val=&quot;007C3722&quot;/&gt;&lt;wsp:rsid wsp:val=&quot;007C3747&quot;/&gt;&lt;wsp:rsid wsp:val=&quot;007C38D9&quot;/&gt;&lt;wsp:rsid wsp:val=&quot;007C3DE5&quot;/&gt;&lt;wsp:rsid wsp:val=&quot;007C4074&quot;/&gt;&lt;wsp:rsid wsp:val=&quot;007C4F5A&quot;/&gt;&lt;wsp:rsid wsp:val=&quot;007C50F4&quot;/&gt;&lt;wsp:rsid wsp:val=&quot;007C5200&quot;/&gt;&lt;wsp:rsid wsp:val=&quot;007C5581&quot;/&gt;&lt;wsp:rsid wsp:val=&quot;007C5732&quot;/&gt;&lt;wsp:rsid wsp:val=&quot;007C5A5A&quot;/&gt;&lt;wsp:rsid wsp:val=&quot;007C5DA4&quot;/&gt;&lt;wsp:rsid wsp:val=&quot;007C5DD1&quot;/&gt;&lt;wsp:rsid wsp:val=&quot;007C6326&quot;/&gt;&lt;wsp:rsid wsp:val=&quot;007C684E&quot;/&gt;&lt;wsp:rsid wsp:val=&quot;007C6C41&quot;/&gt;&lt;wsp:rsid wsp:val=&quot;007C72F0&quot;/&gt;&lt;wsp:rsid wsp:val=&quot;007C73BA&quot;/&gt;&lt;wsp:rsid wsp:val=&quot;007C7797&quot;/&gt;&lt;wsp:rsid wsp:val=&quot;007C7A6B&quot;/&gt;&lt;wsp:rsid wsp:val=&quot;007C7C0D&quot;/&gt;&lt;wsp:rsid wsp:val=&quot;007D0152&quot;/&gt;&lt;wsp:rsid wsp:val=&quot;007D0A4F&quot;/&gt;&lt;wsp:rsid wsp:val=&quot;007D0CEE&quot;/&gt;&lt;wsp:rsid wsp:val=&quot;007D0E99&quot;/&gt;&lt;wsp:rsid wsp:val=&quot;007D0EC3&quot;/&gt;&lt;wsp:rsid wsp:val=&quot;007D124F&quot;/&gt;&lt;wsp:rsid wsp:val=&quot;007D12C0&quot;/&gt;&lt;wsp:rsid wsp:val=&quot;007D150B&quot;/&gt;&lt;wsp:rsid wsp:val=&quot;007D1607&quot;/&gt;&lt;wsp:rsid wsp:val=&quot;007D1645&quot;/&gt;&lt;wsp:rsid wsp:val=&quot;007D18E0&quot;/&gt;&lt;wsp:rsid wsp:val=&quot;007D1BC1&quot;/&gt;&lt;wsp:rsid wsp:val=&quot;007D1C66&quot;/&gt;&lt;wsp:rsid wsp:val=&quot;007D1CC7&quot;/&gt;&lt;wsp:rsid wsp:val=&quot;007D1CFA&quot;/&gt;&lt;wsp:rsid wsp:val=&quot;007D1E39&quot;/&gt;&lt;wsp:rsid wsp:val=&quot;007D2240&quot;/&gt;&lt;wsp:rsid wsp:val=&quot;007D22B0&quot;/&gt;&lt;wsp:rsid wsp:val=&quot;007D2504&quot;/&gt;&lt;wsp:rsid wsp:val=&quot;007D279A&quot;/&gt;&lt;wsp:rsid wsp:val=&quot;007D2ABA&quot;/&gt;&lt;wsp:rsid wsp:val=&quot;007D2ADC&quot;/&gt;&lt;wsp:rsid wsp:val=&quot;007D2D26&quot;/&gt;&lt;wsp:rsid wsp:val=&quot;007D2EB8&quot;/&gt;&lt;wsp:rsid wsp:val=&quot;007D2EC6&quot;/&gt;&lt;wsp:rsid wsp:val=&quot;007D3264&quot;/&gt;&lt;wsp:rsid wsp:val=&quot;007D32FF&quot;/&gt;&lt;wsp:rsid wsp:val=&quot;007D375C&quot;/&gt;&lt;wsp:rsid wsp:val=&quot;007D3C9B&quot;/&gt;&lt;wsp:rsid wsp:val=&quot;007D409B&quot;/&gt;&lt;wsp:rsid wsp:val=&quot;007D41AB&quot;/&gt;&lt;wsp:rsid wsp:val=&quot;007D4587&quot;/&gt;&lt;wsp:rsid wsp:val=&quot;007D47CB&quot;/&gt;&lt;wsp:rsid wsp:val=&quot;007D4BC7&quot;/&gt;&lt;wsp:rsid wsp:val=&quot;007D4C39&quot;/&gt;&lt;wsp:rsid wsp:val=&quot;007D4D48&quot;/&gt;&lt;wsp:rsid wsp:val=&quot;007D4DA5&quot;/&gt;&lt;wsp:rsid wsp:val=&quot;007D5948&quot;/&gt;&lt;wsp:rsid wsp:val=&quot;007D5B4C&quot;/&gt;&lt;wsp:rsid wsp:val=&quot;007D5C25&quot;/&gt;&lt;wsp:rsid wsp:val=&quot;007D5D86&quot;/&gt;&lt;wsp:rsid wsp:val=&quot;007D5EA0&quot;/&gt;&lt;wsp:rsid wsp:val=&quot;007D5FDB&quot;/&gt;&lt;wsp:rsid wsp:val=&quot;007D627E&quot;/&gt;&lt;wsp:rsid wsp:val=&quot;007D62FD&quot;/&gt;&lt;wsp:rsid wsp:val=&quot;007D6494&quot;/&gt;&lt;wsp:rsid wsp:val=&quot;007D64A7&quot;/&gt;&lt;wsp:rsid wsp:val=&quot;007D6508&quot;/&gt;&lt;wsp:rsid wsp:val=&quot;007D6C21&quot;/&gt;&lt;wsp:rsid wsp:val=&quot;007D716E&quot;/&gt;&lt;wsp:rsid wsp:val=&quot;007D7ACF&quot;/&gt;&lt;wsp:rsid wsp:val=&quot;007D7BCF&quot;/&gt;&lt;wsp:rsid wsp:val=&quot;007E00E4&quot;/&gt;&lt;wsp:rsid wsp:val=&quot;007E0268&quot;/&gt;&lt;wsp:rsid wsp:val=&quot;007E060E&quot;/&gt;&lt;wsp:rsid wsp:val=&quot;007E087A&quot;/&gt;&lt;wsp:rsid wsp:val=&quot;007E0969&quot;/&gt;&lt;wsp:rsid wsp:val=&quot;007E09FA&quot;/&gt;&lt;wsp:rsid wsp:val=&quot;007E1244&quot;/&gt;&lt;wsp:rsid wsp:val=&quot;007E1A43&quot;/&gt;&lt;wsp:rsid wsp:val=&quot;007E1A52&quot;/&gt;&lt;wsp:rsid wsp:val=&quot;007E1ADE&quot;/&gt;&lt;wsp:rsid wsp:val=&quot;007E1D43&quot;/&gt;&lt;wsp:rsid wsp:val=&quot;007E1D4D&quot;/&gt;&lt;wsp:rsid wsp:val=&quot;007E2123&quot;/&gt;&lt;wsp:rsid wsp:val=&quot;007E241C&quot;/&gt;&lt;wsp:rsid wsp:val=&quot;007E2834&quot;/&gt;&lt;wsp:rsid wsp:val=&quot;007E2BC4&quot;/&gt;&lt;wsp:rsid wsp:val=&quot;007E2DA6&quot;/&gt;&lt;wsp:rsid wsp:val=&quot;007E2FA4&quot;/&gt;&lt;wsp:rsid wsp:val=&quot;007E30B9&quot;/&gt;&lt;wsp:rsid wsp:val=&quot;007E3370&quot;/&gt;&lt;wsp:rsid wsp:val=&quot;007E3593&quot;/&gt;&lt;wsp:rsid wsp:val=&quot;007E3686&quot;/&gt;&lt;wsp:rsid wsp:val=&quot;007E3EA5&quot;/&gt;&lt;wsp:rsid wsp:val=&quot;007E3F11&quot;/&gt;&lt;wsp:rsid wsp:val=&quot;007E3F9E&quot;/&gt;&lt;wsp:rsid wsp:val=&quot;007E47F7&quot;/&gt;&lt;wsp:rsid wsp:val=&quot;007E48E6&quot;/&gt;&lt;wsp:rsid wsp:val=&quot;007E4A75&quot;/&gt;&lt;wsp:rsid wsp:val=&quot;007E4A99&quot;/&gt;&lt;wsp:rsid wsp:val=&quot;007E4C83&quot;/&gt;&lt;wsp:rsid wsp:val=&quot;007E4FF9&quot;/&gt;&lt;wsp:rsid wsp:val=&quot;007E56C3&quot;/&gt;&lt;wsp:rsid wsp:val=&quot;007E5D09&quot;/&gt;&lt;wsp:rsid wsp:val=&quot;007E5D15&quot;/&gt;&lt;wsp:rsid wsp:val=&quot;007E60E4&quot;/&gt;&lt;wsp:rsid wsp:val=&quot;007E61AF&quot;/&gt;&lt;wsp:rsid wsp:val=&quot;007E61DC&quot;/&gt;&lt;wsp:rsid wsp:val=&quot;007E6348&quot;/&gt;&lt;wsp:rsid wsp:val=&quot;007E63EE&quot;/&gt;&lt;wsp:rsid wsp:val=&quot;007E64B8&quot;/&gt;&lt;wsp:rsid wsp:val=&quot;007E6716&quot;/&gt;&lt;wsp:rsid wsp:val=&quot;007E67E9&quot;/&gt;&lt;wsp:rsid wsp:val=&quot;007E6845&quot;/&gt;&lt;wsp:rsid wsp:val=&quot;007E684D&quot;/&gt;&lt;wsp:rsid wsp:val=&quot;007E6ADF&quot;/&gt;&lt;wsp:rsid wsp:val=&quot;007E6AFE&quot;/&gt;&lt;wsp:rsid wsp:val=&quot;007E6EC8&quot;/&gt;&lt;wsp:rsid wsp:val=&quot;007E710C&quot;/&gt;&lt;wsp:rsid wsp:val=&quot;007E72A0&quot;/&gt;&lt;wsp:rsid wsp:val=&quot;007E7602&quot;/&gt;&lt;wsp:rsid wsp:val=&quot;007E769B&quot;/&gt;&lt;wsp:rsid wsp:val=&quot;007E76D6&quot;/&gt;&lt;wsp:rsid wsp:val=&quot;007E775F&quot;/&gt;&lt;wsp:rsid wsp:val=&quot;007E7799&quot;/&gt;&lt;wsp:rsid wsp:val=&quot;007E7C3A&quot;/&gt;&lt;wsp:rsid wsp:val=&quot;007F0137&quot;/&gt;&lt;wsp:rsid wsp:val=&quot;007F0F44&quot;/&gt;&lt;wsp:rsid wsp:val=&quot;007F13C7&quot;/&gt;&lt;wsp:rsid wsp:val=&quot;007F13E5&quot;/&gt;&lt;wsp:rsid wsp:val=&quot;007F1C37&quot;/&gt;&lt;wsp:rsid wsp:val=&quot;007F1C87&quot;/&gt;&lt;wsp:rsid wsp:val=&quot;007F1EB8&quot;/&gt;&lt;wsp:rsid wsp:val=&quot;007F2148&quot;/&gt;&lt;wsp:rsid wsp:val=&quot;007F2178&quot;/&gt;&lt;wsp:rsid wsp:val=&quot;007F2329&quot;/&gt;&lt;wsp:rsid wsp:val=&quot;007F2475&quot;/&gt;&lt;wsp:rsid wsp:val=&quot;007F28FE&quot;/&gt;&lt;wsp:rsid wsp:val=&quot;007F2C05&quot;/&gt;&lt;wsp:rsid wsp:val=&quot;007F2F0B&quot;/&gt;&lt;wsp:rsid wsp:val=&quot;007F3061&quot;/&gt;&lt;wsp:rsid wsp:val=&quot;007F31BC&quot;/&gt;&lt;wsp:rsid wsp:val=&quot;007F34DE&quot;/&gt;&lt;wsp:rsid wsp:val=&quot;007F390A&quot;/&gt;&lt;wsp:rsid wsp:val=&quot;007F4472&quot;/&gt;&lt;wsp:rsid wsp:val=&quot;007F4B96&quot;/&gt;&lt;wsp:rsid wsp:val=&quot;007F4F74&quot;/&gt;&lt;wsp:rsid wsp:val=&quot;007F5177&quot;/&gt;&lt;wsp:rsid wsp:val=&quot;007F60E6&quot;/&gt;&lt;wsp:rsid wsp:val=&quot;007F6270&quot;/&gt;&lt;wsp:rsid wsp:val=&quot;007F6404&quot;/&gt;&lt;wsp:rsid wsp:val=&quot;007F718E&quot;/&gt;&lt;wsp:rsid wsp:val=&quot;007F771F&quot;/&gt;&lt;wsp:rsid wsp:val=&quot;007F7A4C&quot;/&gt;&lt;wsp:rsid wsp:val=&quot;008001D8&quot;/&gt;&lt;wsp:rsid wsp:val=&quot;008006A8&quot;/&gt;&lt;wsp:rsid wsp:val=&quot;00800BB8&quot;/&gt;&lt;wsp:rsid wsp:val=&quot;00800E2C&quot;/&gt;&lt;wsp:rsid wsp:val=&quot;00800F0F&quot;/&gt;&lt;wsp:rsid wsp:val=&quot;00801002&quot;/&gt;&lt;wsp:rsid wsp:val=&quot;00802450&quot;/&gt;&lt;wsp:rsid wsp:val=&quot;008025B5&quot;/&gt;&lt;wsp:rsid wsp:val=&quot;0080274C&quot;/&gt;&lt;wsp:rsid wsp:val=&quot;00802CB7&quot;/&gt;&lt;wsp:rsid wsp:val=&quot;00802CDF&quot;/&gt;&lt;wsp:rsid wsp:val=&quot;00802E4A&quot;/&gt;&lt;wsp:rsid wsp:val=&quot;00802EE9&quot;/&gt;&lt;wsp:rsid wsp:val=&quot;00803A2E&quot;/&gt;&lt;wsp:rsid wsp:val=&quot;00803FF4&quot;/&gt;&lt;wsp:rsid wsp:val=&quot;0080414C&quot;/&gt;&lt;wsp:rsid wsp:val=&quot;008041B4&quot;/&gt;&lt;wsp:rsid wsp:val=&quot;008043C2&quot;/&gt;&lt;wsp:rsid wsp:val=&quot;00804428&quot;/&gt;&lt;wsp:rsid wsp:val=&quot;00804761&quot;/&gt;&lt;wsp:rsid wsp:val=&quot;008047A2&quot;/&gt;&lt;wsp:rsid wsp:val=&quot;00804A49&quot;/&gt;&lt;wsp:rsid wsp:val=&quot;00804C46&quot;/&gt;&lt;wsp:rsid wsp:val=&quot;008050C6&quot;/&gt;&lt;wsp:rsid wsp:val=&quot;0080576A&quot;/&gt;&lt;wsp:rsid wsp:val=&quot;00805848&quot;/&gt;&lt;wsp:rsid wsp:val=&quot;00806065&quot;/&gt;&lt;wsp:rsid wsp:val=&quot;00806A5A&quot;/&gt;&lt;wsp:rsid wsp:val=&quot;008071B3&quot;/&gt;&lt;wsp:rsid wsp:val=&quot;00807212&quot;/&gt;&lt;wsp:rsid wsp:val=&quot;0080760F&quot;/&gt;&lt;wsp:rsid wsp:val=&quot;00807880&quot;/&gt;&lt;wsp:rsid wsp:val=&quot;00807C26&quot;/&gt;&lt;wsp:rsid wsp:val=&quot;00807F63&quot;/&gt;&lt;wsp:rsid wsp:val=&quot;00810315&quot;/&gt;&lt;wsp:rsid wsp:val=&quot;00810398&quot;/&gt;&lt;wsp:rsid wsp:val=&quot;00810414&quot;/&gt;&lt;wsp:rsid wsp:val=&quot;00810708&quot;/&gt;&lt;wsp:rsid wsp:val=&quot;008108F0&quot;/&gt;&lt;wsp:rsid wsp:val=&quot;008109F5&quot;/&gt;&lt;wsp:rsid wsp:val=&quot;00810C6B&quot;/&gt;&lt;wsp:rsid wsp:val=&quot;00811081&quot;/&gt;&lt;wsp:rsid wsp:val=&quot;008110E1&quot;/&gt;&lt;wsp:rsid wsp:val=&quot;00811601&quot;/&gt;&lt;wsp:rsid wsp:val=&quot;00811852&quot;/&gt;&lt;wsp:rsid wsp:val=&quot;00811902&quot;/&gt;&lt;wsp:rsid wsp:val=&quot;00811A43&quot;/&gt;&lt;wsp:rsid wsp:val=&quot;00811FE4&quot;/&gt;&lt;wsp:rsid wsp:val=&quot;00812170&quot;/&gt;&lt;wsp:rsid wsp:val=&quot;0081258B&quot;/&gt;&lt;wsp:rsid wsp:val=&quot;00812BBB&quot;/&gt;&lt;wsp:rsid wsp:val=&quot;00812C46&quot;/&gt;&lt;wsp:rsid wsp:val=&quot;00812CD9&quot;/&gt;&lt;wsp:rsid wsp:val=&quot;008132A5&quot;/&gt;&lt;wsp:rsid wsp:val=&quot;00813330&quot;/&gt;&lt;wsp:rsid wsp:val=&quot;00813361&quot;/&gt;&lt;wsp:rsid wsp:val=&quot;008134AA&quot;/&gt;&lt;wsp:rsid wsp:val=&quot;008137F2&quot;/&gt;&lt;wsp:rsid wsp:val=&quot;00813849&quot;/&gt;&lt;wsp:rsid wsp:val=&quot;00814082&quot;/&gt;&lt;wsp:rsid wsp:val=&quot;0081486F&quot;/&gt;&lt;wsp:rsid wsp:val=&quot;00814B3B&quot;/&gt;&lt;wsp:rsid wsp:val=&quot;00814B61&quot;/&gt;&lt;wsp:rsid wsp:val=&quot;00815174&quot;/&gt;&lt;wsp:rsid wsp:val=&quot;008155F9&quot;/&gt;&lt;wsp:rsid wsp:val=&quot;008159A1&quot;/&gt;&lt;wsp:rsid wsp:val=&quot;00815B37&quot;/&gt;&lt;wsp:rsid wsp:val=&quot;00815EA7&quot;/&gt;&lt;wsp:rsid wsp:val=&quot;00815EBD&quot;/&gt;&lt;wsp:rsid wsp:val=&quot;008162FE&quot;/&gt;&lt;wsp:rsid wsp:val=&quot;00816398&quot;/&gt;&lt;wsp:rsid wsp:val=&quot;0081654E&quot;/&gt;&lt;wsp:rsid wsp:val=&quot;00816C1E&quot;/&gt;&lt;wsp:rsid wsp:val=&quot;00816C46&quot;/&gt;&lt;wsp:rsid wsp:val=&quot;00816D56&quot;/&gt;&lt;wsp:rsid wsp:val=&quot;008171AB&quot;/&gt;&lt;wsp:rsid wsp:val=&quot;008172B0&quot;/&gt;&lt;wsp:rsid wsp:val=&quot;00817387&quot;/&gt;&lt;wsp:rsid wsp:val=&quot;0081797F&quot;/&gt;&lt;wsp:rsid wsp:val=&quot;008200DC&quot;/&gt;&lt;wsp:rsid wsp:val=&quot;008203C2&quot;/&gt;&lt;wsp:rsid wsp:val=&quot;00821293&quot;/&gt;&lt;wsp:rsid wsp:val=&quot;00821807&quot;/&gt;&lt;wsp:rsid wsp:val=&quot;00821895&quot;/&gt;&lt;wsp:rsid wsp:val=&quot;00821A6B&quot;/&gt;&lt;wsp:rsid wsp:val=&quot;00821CE2&quot;/&gt;&lt;wsp:rsid wsp:val=&quot;008220BB&quot;/&gt;&lt;wsp:rsid wsp:val=&quot;00822539&quot;/&gt;&lt;wsp:rsid wsp:val=&quot;008234B3&quot;/&gt;&lt;wsp:rsid wsp:val=&quot;00823566&quot;/&gt;&lt;wsp:rsid wsp:val=&quot;00823B15&quot;/&gt;&lt;wsp:rsid wsp:val=&quot;00824561&quot;/&gt;&lt;wsp:rsid wsp:val=&quot;0082502E&quot;/&gt;&lt;wsp:rsid wsp:val=&quot;008251CA&quot;/&gt;&lt;wsp:rsid wsp:val=&quot;008253C6&quot;/&gt;&lt;wsp:rsid wsp:val=&quot;008253F0&quot;/&gt;&lt;wsp:rsid wsp:val=&quot;008256F2&quot;/&gt;&lt;wsp:rsid wsp:val=&quot;00825F83&quot;/&gt;&lt;wsp:rsid wsp:val=&quot;0082612E&quot;/&gt;&lt;wsp:rsid wsp:val=&quot;008262C5&quot;/&gt;&lt;wsp:rsid wsp:val=&quot;00826510&quot;/&gt;&lt;wsp:rsid wsp:val=&quot;0082706E&quot;/&gt;&lt;wsp:rsid wsp:val=&quot;0082759B&quot;/&gt;&lt;wsp:rsid wsp:val=&quot;00827BCA&quot;/&gt;&lt;wsp:rsid wsp:val=&quot;00827DAD&quot;/&gt;&lt;wsp:rsid wsp:val=&quot;00827F05&quot;/&gt;&lt;wsp:rsid wsp:val=&quot;00827F6D&quot;/&gt;&lt;wsp:rsid wsp:val=&quot;0083080E&quot;/&gt;&lt;wsp:rsid wsp:val=&quot;0083086C&quot;/&gt;&lt;wsp:rsid wsp:val=&quot;00830CF4&quot;/&gt;&lt;wsp:rsid wsp:val=&quot;00830DAF&quot;/&gt;&lt;wsp:rsid wsp:val=&quot;00830F63&quot;/&gt;&lt;wsp:rsid wsp:val=&quot;00830F77&quot;/&gt;&lt;wsp:rsid wsp:val=&quot;008311D9&quot;/&gt;&lt;wsp:rsid wsp:val=&quot;00831486&quot;/&gt;&lt;wsp:rsid wsp:val=&quot;00831AC1&quot;/&gt;&lt;wsp:rsid wsp:val=&quot;00831F2E&quot;/&gt;&lt;wsp:rsid wsp:val=&quot;008325A4&quot;/&gt;&lt;wsp:rsid wsp:val=&quot;00832ADC&quot;/&gt;&lt;wsp:rsid wsp:val=&quot;00832E81&quot;/&gt;&lt;wsp:rsid wsp:val=&quot;00833A63&quot;/&gt;&lt;wsp:rsid wsp:val=&quot;00833BF2&quot;/&gt;&lt;wsp:rsid wsp:val=&quot;00833D11&quot;/&gt;&lt;wsp:rsid wsp:val=&quot;00833D69&quot;/&gt;&lt;wsp:rsid wsp:val=&quot;00833F52&quot;/&gt;&lt;wsp:rsid wsp:val=&quot;00834120&quot;/&gt;&lt;wsp:rsid wsp:val=&quot;00834185&quot;/&gt;&lt;wsp:rsid wsp:val=&quot;00834541&quot;/&gt;&lt;wsp:rsid wsp:val=&quot;00834920&quot;/&gt;&lt;wsp:rsid wsp:val=&quot;008349E6&quot;/&gt;&lt;wsp:rsid wsp:val=&quot;00834C64&quot;/&gt;&lt;wsp:rsid wsp:val=&quot;00834ECA&quot;/&gt;&lt;wsp:rsid wsp:val=&quot;00834ED1&quot;/&gt;&lt;wsp:rsid wsp:val=&quot;00834EE9&quot;/&gt;&lt;wsp:rsid wsp:val=&quot;00835031&quot;/&gt;&lt;wsp:rsid wsp:val=&quot;008354B6&quot;/&gt;&lt;wsp:rsid wsp:val=&quot;00835797&quot;/&gt;&lt;wsp:rsid wsp:val=&quot;00835A24&quot;/&gt;&lt;wsp:rsid wsp:val=&quot;00835B9C&quot;/&gt;&lt;wsp:rsid wsp:val=&quot;00835BEA&quot;/&gt;&lt;wsp:rsid wsp:val=&quot;00835C42&quot;/&gt;&lt;wsp:rsid wsp:val=&quot;00836133&quot;/&gt;&lt;wsp:rsid wsp:val=&quot;0083635A&quot;/&gt;&lt;wsp:rsid wsp:val=&quot;008365CB&quot;/&gt;&lt;wsp:rsid wsp:val=&quot;00836C7C&quot;/&gt;&lt;wsp:rsid wsp:val=&quot;00836DB2&quot;/&gt;&lt;wsp:rsid wsp:val=&quot;00836F53&quot;/&gt;&lt;wsp:rsid wsp:val=&quot;00837197&quot;/&gt;&lt;wsp:rsid wsp:val=&quot;008375F6&quot;/&gt;&lt;wsp:rsid wsp:val=&quot;008377FE&quot;/&gt;&lt;wsp:rsid wsp:val=&quot;00837A1D&quot;/&gt;&lt;wsp:rsid wsp:val=&quot;00837D64&quot;/&gt;&lt;wsp:rsid wsp:val=&quot;00837E77&quot;/&gt;&lt;wsp:rsid wsp:val=&quot;008400EC&quot;/&gt;&lt;wsp:rsid wsp:val=&quot;0084034A&quot;/&gt;&lt;wsp:rsid wsp:val=&quot;00840447&quot;/&gt;&lt;wsp:rsid wsp:val=&quot;0084099B&quot;/&gt;&lt;wsp:rsid wsp:val=&quot;00840F5A&quot;/&gt;&lt;wsp:rsid wsp:val=&quot;00840FC2&quot;/&gt;&lt;wsp:rsid wsp:val=&quot;0084150B&quot;/&gt;&lt;wsp:rsid wsp:val=&quot;0084178A&quot;/&gt;&lt;wsp:rsid wsp:val=&quot;00841F2F&quot;/&gt;&lt;wsp:rsid wsp:val=&quot;00841F32&quot;/&gt;&lt;wsp:rsid wsp:val=&quot;00841FD5&quot;/&gt;&lt;wsp:rsid wsp:val=&quot;0084207E&quot;/&gt;&lt;wsp:rsid wsp:val=&quot;00843913&quot;/&gt;&lt;wsp:rsid wsp:val=&quot;00843B1E&quot;/&gt;&lt;wsp:rsid wsp:val=&quot;00843B27&quot;/&gt;&lt;wsp:rsid wsp:val=&quot;00844103&quot;/&gt;&lt;wsp:rsid wsp:val=&quot;008441EA&quot;/&gt;&lt;wsp:rsid wsp:val=&quot;00844794&quot;/&gt;&lt;wsp:rsid wsp:val=&quot;008447E6&quot;/&gt;&lt;wsp:rsid wsp:val=&quot;0084482C&quot;/&gt;&lt;wsp:rsid wsp:val=&quot;00845048&quot;/&gt;&lt;wsp:rsid wsp:val=&quot;008452FB&quot;/&gt;&lt;wsp:rsid wsp:val=&quot;008457C9&quot;/&gt;&lt;wsp:rsid wsp:val=&quot;00845898&quot;/&gt;&lt;wsp:rsid wsp:val=&quot;00845C8D&quot;/&gt;&lt;wsp:rsid wsp:val=&quot;00845F37&quot;/&gt;&lt;wsp:rsid wsp:val=&quot;0084642F&quot;/&gt;&lt;wsp:rsid wsp:val=&quot;00846458&quot;/&gt;&lt;wsp:rsid wsp:val=&quot;008465F4&quot;/&gt;&lt;wsp:rsid wsp:val=&quot;00846A80&quot;/&gt;&lt;wsp:rsid wsp:val=&quot;00847162&quot;/&gt;&lt;wsp:rsid wsp:val=&quot;008472BD&quot;/&gt;&lt;wsp:rsid wsp:val=&quot;008473E4&quot;/&gt;&lt;wsp:rsid wsp:val=&quot;008477EC&quot;/&gt;&lt;wsp:rsid wsp:val=&quot;008479D2&quot;/&gt;&lt;wsp:rsid wsp:val=&quot;00847D45&quot;/&gt;&lt;wsp:rsid wsp:val=&quot;00847DFB&quot;/&gt;&lt;wsp:rsid wsp:val=&quot;00847E31&quot;/&gt;&lt;wsp:rsid wsp:val=&quot;00850BAB&quot;/&gt;&lt;wsp:rsid wsp:val=&quot;00851693&quot;/&gt;&lt;wsp:rsid wsp:val=&quot;0085176F&quot;/&gt;&lt;wsp:rsid wsp:val=&quot;0085195C&quot;/&gt;&lt;wsp:rsid wsp:val=&quot;00851F11&quot;/&gt;&lt;wsp:rsid wsp:val=&quot;008521E1&quot;/&gt;&lt;wsp:rsid wsp:val=&quot;0085225F&quot;/&gt;&lt;wsp:rsid wsp:val=&quot;00852400&quot;/&gt;&lt;wsp:rsid wsp:val=&quot;00852D44&quot;/&gt;&lt;wsp:rsid wsp:val=&quot;008530EB&quot;/&gt;&lt;wsp:rsid wsp:val=&quot;0085337D&quot;/&gt;&lt;wsp:rsid wsp:val=&quot;008533E2&quot;/&gt;&lt;wsp:rsid wsp:val=&quot;0085363E&quot;/&gt;&lt;wsp:rsid wsp:val=&quot;00853EC8&quot;/&gt;&lt;wsp:rsid wsp:val=&quot;00853EDE&quot;/&gt;&lt;wsp:rsid wsp:val=&quot;0085402E&quot;/&gt;&lt;wsp:rsid wsp:val=&quot;008541BF&quot;/&gt;&lt;wsp:rsid wsp:val=&quot;008545D3&quot;/&gt;&lt;wsp:rsid wsp:val=&quot;00854628&quot;/&gt;&lt;wsp:rsid wsp:val=&quot;008547C4&quot;/&gt;&lt;wsp:rsid wsp:val=&quot;00854A4F&quot;/&gt;&lt;wsp:rsid wsp:val=&quot;00854D45&quot;/&gt;&lt;wsp:rsid wsp:val=&quot;00854F38&quot;/&gt;&lt;wsp:rsid wsp:val=&quot;00855083&quot;/&gt;&lt;wsp:rsid wsp:val=&quot;00855EDE&quot;/&gt;&lt;wsp:rsid wsp:val=&quot;00855F9C&quot;/&gt;&lt;wsp:rsid wsp:val=&quot;00856487&quot;/&gt;&lt;wsp:rsid wsp:val=&quot;0085684E&quot;/&gt;&lt;wsp:rsid wsp:val=&quot;00856EBC&quot;/&gt;&lt;wsp:rsid wsp:val=&quot;00857644&quot;/&gt;&lt;wsp:rsid wsp:val=&quot;00857B5D&quot;/&gt;&lt;wsp:rsid wsp:val=&quot;00857BD4&quot;/&gt;&lt;wsp:rsid wsp:val=&quot;00857C3A&quot;/&gt;&lt;wsp:rsid wsp:val=&quot;00857F77&quot;/&gt;&lt;wsp:rsid wsp:val=&quot;00860617&quot;/&gt;&lt;wsp:rsid wsp:val=&quot;008606ED&quot;/&gt;&lt;wsp:rsid wsp:val=&quot;0086099B&quot;/&gt;&lt;wsp:rsid wsp:val=&quot;00860CB8&quot;/&gt;&lt;wsp:rsid wsp:val=&quot;00860E78&quot;/&gt;&lt;wsp:rsid wsp:val=&quot;00860F42&quot;/&gt;&lt;wsp:rsid wsp:val=&quot;0086129F&quot;/&gt;&lt;wsp:rsid wsp:val=&quot;00861D60&quot;/&gt;&lt;wsp:rsid wsp:val=&quot;0086286D&quot;/&gt;&lt;wsp:rsid wsp:val=&quot;0086299E&quot;/&gt;&lt;wsp:rsid wsp:val=&quot;00862A79&quot;/&gt;&lt;wsp:rsid wsp:val=&quot;00862B26&quot;/&gt;&lt;wsp:rsid wsp:val=&quot;00862DF6&quot;/&gt;&lt;wsp:rsid wsp:val=&quot;0086306A&quot;/&gt;&lt;wsp:rsid wsp:val=&quot;0086392F&quot;/&gt;&lt;wsp:rsid wsp:val=&quot;00863A18&quot;/&gt;&lt;wsp:rsid wsp:val=&quot;00863A9C&quot;/&gt;&lt;wsp:rsid wsp:val=&quot;00863AAB&quot;/&gt;&lt;wsp:rsid wsp:val=&quot;00863B3E&quot;/&gt;&lt;wsp:rsid wsp:val=&quot;00863BCA&quot;/&gt;&lt;wsp:rsid wsp:val=&quot;00863C5D&quot;/&gt;&lt;wsp:rsid wsp:val=&quot;00864B9C&quot;/&gt;&lt;wsp:rsid wsp:val=&quot;00864DD5&quot;/&gt;&lt;wsp:rsid wsp:val=&quot;00864E60&quot;/&gt;&lt;wsp:rsid wsp:val=&quot;008651C2&quot;/&gt;&lt;wsp:rsid wsp:val=&quot;008656B8&quot;/&gt;&lt;wsp:rsid wsp:val=&quot;0086572F&quot;/&gt;&lt;wsp:rsid wsp:val=&quot;00865818&quot;/&gt;&lt;wsp:rsid wsp:val=&quot;0086582D&quot;/&gt;&lt;wsp:rsid wsp:val=&quot;00865D23&quot;/&gt;&lt;wsp:rsid wsp:val=&quot;00866052&quot;/&gt;&lt;wsp:rsid wsp:val=&quot;00866268&quot;/&gt;&lt;wsp:rsid wsp:val=&quot;008668B7&quot;/&gt;&lt;wsp:rsid wsp:val=&quot;00866EEA&quot;/&gt;&lt;wsp:rsid wsp:val=&quot;0086727A&quot;/&gt;&lt;wsp:rsid wsp:val=&quot;00867798&quot;/&gt;&lt;wsp:rsid wsp:val=&quot;008677CD&quot;/&gt;&lt;wsp:rsid wsp:val=&quot;00867A65&quot;/&gt;&lt;wsp:rsid wsp:val=&quot;00867C5A&quot;/&gt;&lt;wsp:rsid wsp:val=&quot;00867CB4&quot;/&gt;&lt;wsp:rsid wsp:val=&quot;00867CC3&quot;/&gt;&lt;wsp:rsid wsp:val=&quot;00867D03&quot;/&gt;&lt;wsp:rsid wsp:val=&quot;00867D35&quot;/&gt;&lt;wsp:rsid wsp:val=&quot;0087007F&quot;/&gt;&lt;wsp:rsid wsp:val=&quot;0087015A&quot;/&gt;&lt;wsp:rsid wsp:val=&quot;00870441&quot;/&gt;&lt;wsp:rsid wsp:val=&quot;008705CF&quot;/&gt;&lt;wsp:rsid wsp:val=&quot;00870F38&quot;/&gt;&lt;wsp:rsid wsp:val=&quot;00871074&quot;/&gt;&lt;wsp:rsid wsp:val=&quot;00871C8C&quot;/&gt;&lt;wsp:rsid wsp:val=&quot;008720CB&quot;/&gt;&lt;wsp:rsid wsp:val=&quot;008726A9&quot;/&gt;&lt;wsp:rsid wsp:val=&quot;00872787&quot;/&gt;&lt;wsp:rsid wsp:val=&quot;008729D0&quot;/&gt;&lt;wsp:rsid wsp:val=&quot;00872C40&quot;/&gt;&lt;wsp:rsid wsp:val=&quot;00872D7F&quot;/&gt;&lt;wsp:rsid wsp:val=&quot;00872DB3&quot;/&gt;&lt;wsp:rsid wsp:val=&quot;008736C3&quot;/&gt;&lt;wsp:rsid wsp:val=&quot;0087390D&quot;/&gt;&lt;wsp:rsid wsp:val=&quot;00873CBA&quot;/&gt;&lt;wsp:rsid wsp:val=&quot;00874008&quot;/&gt;&lt;wsp:rsid wsp:val=&quot;008740A4&quot;/&gt;&lt;wsp:rsid wsp:val=&quot;00874188&quot;/&gt;&lt;wsp:rsid wsp:val=&quot;0087486B&quot;/&gt;&lt;wsp:rsid wsp:val=&quot;00875314&quot;/&gt;&lt;wsp:rsid wsp:val=&quot;0087532C&quot;/&gt;&lt;wsp:rsid wsp:val=&quot;00875357&quot;/&gt;&lt;wsp:rsid wsp:val=&quot;00875535&quot;/&gt;&lt;wsp:rsid wsp:val=&quot;00875647&quot;/&gt;&lt;wsp:rsid wsp:val=&quot;00875C02&quot;/&gt;&lt;wsp:rsid wsp:val=&quot;00875C95&quot;/&gt;&lt;wsp:rsid wsp:val=&quot;0087627E&quot;/&gt;&lt;wsp:rsid wsp:val=&quot;00876323&quot;/&gt;&lt;wsp:rsid wsp:val=&quot;00876E08&quot;/&gt;&lt;wsp:rsid wsp:val=&quot;008771C4&quot;/&gt;&lt;wsp:rsid wsp:val=&quot;008771E1&quot;/&gt;&lt;wsp:rsid wsp:val=&quot;008772EF&quot;/&gt;&lt;wsp:rsid wsp:val=&quot;00877482&quot;/&gt;&lt;wsp:rsid wsp:val=&quot;0087793A&quot;/&gt;&lt;wsp:rsid wsp:val=&quot;00877A42&quot;/&gt;&lt;wsp:rsid wsp:val=&quot;00877CCA&quot;/&gt;&lt;wsp:rsid wsp:val=&quot;00877E26&quot;/&gt;&lt;wsp:rsid wsp:val=&quot;00877F97&quot;/&gt;&lt;wsp:rsid wsp:val=&quot;00880187&quot;/&gt;&lt;wsp:rsid wsp:val=&quot;008807B2&quot;/&gt;&lt;wsp:rsid wsp:val=&quot;00880B0F&quot;/&gt;&lt;wsp:rsid wsp:val=&quot;00880B38&quot;/&gt;&lt;wsp:rsid wsp:val=&quot;008810ED&quot;/&gt;&lt;wsp:rsid wsp:val=&quot;0088155F&quot;/&gt;&lt;wsp:rsid wsp:val=&quot;00881959&quot;/&gt;&lt;wsp:rsid wsp:val=&quot;00881ABE&quot;/&gt;&lt;wsp:rsid wsp:val=&quot;00881C47&quot;/&gt;&lt;wsp:rsid wsp:val=&quot;00881FA6&quot;/&gt;&lt;wsp:rsid wsp:val=&quot;00881FC5&quot;/&gt;&lt;wsp:rsid wsp:val=&quot;008827B5&quot;/&gt;&lt;wsp:rsid wsp:val=&quot;00882E0E&quot;/&gt;&lt;wsp:rsid wsp:val=&quot;00883479&quot;/&gt;&lt;wsp:rsid wsp:val=&quot;00883601&quot;/&gt;&lt;wsp:rsid wsp:val=&quot;00884438&quot;/&gt;&lt;wsp:rsid wsp:val=&quot;008845D2&quot;/&gt;&lt;wsp:rsid wsp:val=&quot;00884689&quot;/&gt;&lt;wsp:rsid wsp:val=&quot;00884986&quot;/&gt;&lt;wsp:rsid wsp:val=&quot;00884E3A&quot;/&gt;&lt;wsp:rsid wsp:val=&quot;00884F66&quot;/&gt;&lt;wsp:rsid wsp:val=&quot;00885945&quot;/&gt;&lt;wsp:rsid wsp:val=&quot;00886031&quot;/&gt;&lt;wsp:rsid wsp:val=&quot;00886287&quot;/&gt;&lt;wsp:rsid wsp:val=&quot;008865EF&quot;/&gt;&lt;wsp:rsid wsp:val=&quot;00886926&quot;/&gt;&lt;wsp:rsid wsp:val=&quot;008869CD&quot;/&gt;&lt;wsp:rsid wsp:val=&quot;00886C82&quot;/&gt;&lt;wsp:rsid wsp:val=&quot;00886CA9&quot;/&gt;&lt;wsp:rsid wsp:val=&quot;00886F3F&quot;/&gt;&lt;wsp:rsid wsp:val=&quot;00887159&quot;/&gt;&lt;wsp:rsid wsp:val=&quot;008871E3&quot;/&gt;&lt;wsp:rsid wsp:val=&quot;0088732A&quot;/&gt;&lt;wsp:rsid wsp:val=&quot;008876C3&quot;/&gt;&lt;wsp:rsid wsp:val=&quot;0088771E&quot;/&gt;&lt;wsp:rsid wsp:val=&quot;00887E0A&quot;/&gt;&lt;wsp:rsid wsp:val=&quot;00887F79&quot;/&gt;&lt;wsp:rsid wsp:val=&quot;00890178&quot;/&gt;&lt;wsp:rsid wsp:val=&quot;0089018B&quot;/&gt;&lt;wsp:rsid wsp:val=&quot;008908F5&quot;/&gt;&lt;wsp:rsid wsp:val=&quot;00890907&quot;/&gt;&lt;wsp:rsid wsp:val=&quot;00890DFA&quot;/&gt;&lt;wsp:rsid wsp:val=&quot;00890F78&quot;/&gt;&lt;wsp:rsid wsp:val=&quot;0089120C&quot;/&gt;&lt;wsp:rsid wsp:val=&quot;008912E6&quot;/&gt;&lt;wsp:rsid wsp:val=&quot;0089138D&quot;/&gt;&lt;wsp:rsid wsp:val=&quot;00891863&quot;/&gt;&lt;wsp:rsid wsp:val=&quot;00891FAF&quot;/&gt;&lt;wsp:rsid wsp:val=&quot;008925B1&quot;/&gt;&lt;wsp:rsid wsp:val=&quot;0089275F&quot;/&gt;&lt;wsp:rsid wsp:val=&quot;00892A3B&quot;/&gt;&lt;wsp:rsid wsp:val=&quot;00892CA5&quot;/&gt;&lt;wsp:rsid wsp:val=&quot;00892E00&quot;/&gt;&lt;wsp:rsid wsp:val=&quot;00892E48&quot;/&gt;&lt;wsp:rsid wsp:val=&quot;00892E84&quot;/&gt;&lt;wsp:rsid wsp:val=&quot;0089333C&quot;/&gt;&lt;wsp:rsid wsp:val=&quot;00893479&quot;/&gt;&lt;wsp:rsid wsp:val=&quot;00893902&quot;/&gt;&lt;wsp:rsid wsp:val=&quot;00893A12&quot;/&gt;&lt;wsp:rsid wsp:val=&quot;00894712&quot;/&gt;&lt;wsp:rsid wsp:val=&quot;00894888&quot;/&gt;&lt;wsp:rsid wsp:val=&quot;008949DC&quot;/&gt;&lt;wsp:rsid wsp:val=&quot;00894D38&quot;/&gt;&lt;wsp:rsid wsp:val=&quot;00894EB0&quot;/&gt;&lt;wsp:rsid wsp:val=&quot;008950DA&quot;/&gt;&lt;wsp:rsid wsp:val=&quot;00895431&quot;/&gt;&lt;wsp:rsid wsp:val=&quot;00896177&quot;/&gt;&lt;wsp:rsid wsp:val=&quot;0089699E&quot;/&gt;&lt;wsp:rsid wsp:val=&quot;00896A7F&quot;/&gt;&lt;wsp:rsid wsp:val=&quot;00897169&quot;/&gt;&lt;wsp:rsid wsp:val=&quot;00897285&quot;/&gt;&lt;wsp:rsid wsp:val=&quot;00897399&quot;/&gt;&lt;wsp:rsid wsp:val=&quot;00897681&quot;/&gt;&lt;wsp:rsid wsp:val=&quot;0089779C&quot;/&gt;&lt;wsp:rsid wsp:val=&quot;00897D80&quot;/&gt;&lt;wsp:rsid wsp:val=&quot;00897DD2&quot;/&gt;&lt;wsp:rsid wsp:val=&quot;008A0385&quot;/&gt;&lt;wsp:rsid wsp:val=&quot;008A0DCD&quot;/&gt;&lt;wsp:rsid wsp:val=&quot;008A0EDE&quot;/&gt;&lt;wsp:rsid wsp:val=&quot;008A0EE8&quot;/&gt;&lt;wsp:rsid wsp:val=&quot;008A1306&quot;/&gt;&lt;wsp:rsid wsp:val=&quot;008A14C4&quot;/&gt;&lt;wsp:rsid wsp:val=&quot;008A20A1&quot;/&gt;&lt;wsp:rsid wsp:val=&quot;008A241C&quot;/&gt;&lt;wsp:rsid wsp:val=&quot;008A247F&quot;/&gt;&lt;wsp:rsid wsp:val=&quot;008A25DF&quot;/&gt;&lt;wsp:rsid wsp:val=&quot;008A2A7F&quot;/&gt;&lt;wsp:rsid wsp:val=&quot;008A2BC2&quot;/&gt;&lt;wsp:rsid wsp:val=&quot;008A2EED&quot;/&gt;&lt;wsp:rsid wsp:val=&quot;008A3B93&quot;/&gt;&lt;wsp:rsid wsp:val=&quot;008A3C64&quot;/&gt;&lt;wsp:rsid wsp:val=&quot;008A3D0B&quot;/&gt;&lt;wsp:rsid wsp:val=&quot;008A3EBD&quot;/&gt;&lt;wsp:rsid wsp:val=&quot;008A3FE9&quot;/&gt;&lt;wsp:rsid wsp:val=&quot;008A4144&quot;/&gt;&lt;wsp:rsid wsp:val=&quot;008A4E20&quot;/&gt;&lt;wsp:rsid wsp:val=&quot;008A4EA3&quot;/&gt;&lt;wsp:rsid wsp:val=&quot;008A5893&quot;/&gt;&lt;wsp:rsid wsp:val=&quot;008A5F7B&quot;/&gt;&lt;wsp:rsid wsp:val=&quot;008A6419&quot;/&gt;&lt;wsp:rsid wsp:val=&quot;008A6E62&quot;/&gt;&lt;wsp:rsid wsp:val=&quot;008A7024&quot;/&gt;&lt;wsp:rsid wsp:val=&quot;008A760B&quot;/&gt;&lt;wsp:rsid wsp:val=&quot;008A7E5B&quot;/&gt;&lt;wsp:rsid wsp:val=&quot;008A7F16&quot;/&gt;&lt;wsp:rsid wsp:val=&quot;008A7FF1&quot;/&gt;&lt;wsp:rsid wsp:val=&quot;008B03B8&quot;/&gt;&lt;wsp:rsid wsp:val=&quot;008B0AEA&quot;/&gt;&lt;wsp:rsid wsp:val=&quot;008B0CE3&quot;/&gt;&lt;wsp:rsid wsp:val=&quot;008B0CFB&quot;/&gt;&lt;wsp:rsid wsp:val=&quot;008B0D74&quot;/&gt;&lt;wsp:rsid wsp:val=&quot;008B1657&quot;/&gt;&lt;wsp:rsid wsp:val=&quot;008B167F&quot;/&gt;&lt;wsp:rsid wsp:val=&quot;008B1B1E&quot;/&gt;&lt;wsp:rsid wsp:val=&quot;008B1C53&quot;/&gt;&lt;wsp:rsid wsp:val=&quot;008B1EDF&quot;/&gt;&lt;wsp:rsid wsp:val=&quot;008B21D4&quot;/&gt;&lt;wsp:rsid wsp:val=&quot;008B22BA&quot;/&gt;&lt;wsp:rsid wsp:val=&quot;008B2A6C&quot;/&gt;&lt;wsp:rsid wsp:val=&quot;008B2C88&quot;/&gt;&lt;wsp:rsid wsp:val=&quot;008B317E&quot;/&gt;&lt;wsp:rsid wsp:val=&quot;008B3BFC&quot;/&gt;&lt;wsp:rsid wsp:val=&quot;008B417A&quot;/&gt;&lt;wsp:rsid wsp:val=&quot;008B47DF&quot;/&gt;&lt;wsp:rsid wsp:val=&quot;008B4ACB&quot;/&gt;&lt;wsp:rsid wsp:val=&quot;008B4BD6&quot;/&gt;&lt;wsp:rsid wsp:val=&quot;008B4C4F&quot;/&gt;&lt;wsp:rsid wsp:val=&quot;008B4CD5&quot;/&gt;&lt;wsp:rsid wsp:val=&quot;008B4D67&quot;/&gt;&lt;wsp:rsid wsp:val=&quot;008B513C&quot;/&gt;&lt;wsp:rsid wsp:val=&quot;008B515C&quot;/&gt;&lt;wsp:rsid wsp:val=&quot;008B544C&quot;/&gt;&lt;wsp:rsid wsp:val=&quot;008B5962&quot;/&gt;&lt;wsp:rsid wsp:val=&quot;008B62D2&quot;/&gt;&lt;wsp:rsid wsp:val=&quot;008B6326&quot;/&gt;&lt;wsp:rsid wsp:val=&quot;008B6513&quot;/&gt;&lt;wsp:rsid wsp:val=&quot;008B6CC7&quot;/&gt;&lt;wsp:rsid wsp:val=&quot;008B7083&quot;/&gt;&lt;wsp:rsid wsp:val=&quot;008B79F6&quot;/&gt;&lt;wsp:rsid wsp:val=&quot;008B7BA6&quot;/&gt;&lt;wsp:rsid wsp:val=&quot;008B7BDD&quot;/&gt;&lt;wsp:rsid wsp:val=&quot;008C004F&quot;/&gt;&lt;wsp:rsid wsp:val=&quot;008C00FA&quot;/&gt;&lt;wsp:rsid wsp:val=&quot;008C031E&quot;/&gt;&lt;wsp:rsid wsp:val=&quot;008C0496&quot;/&gt;&lt;wsp:rsid wsp:val=&quot;008C0725&quot;/&gt;&lt;wsp:rsid wsp:val=&quot;008C09C3&quot;/&gt;&lt;wsp:rsid wsp:val=&quot;008C0A2C&quot;/&gt;&lt;wsp:rsid wsp:val=&quot;008C0CD1&quot;/&gt;&lt;wsp:rsid wsp:val=&quot;008C0FCD&quot;/&gt;&lt;wsp:rsid wsp:val=&quot;008C141C&quot;/&gt;&lt;wsp:rsid wsp:val=&quot;008C178B&quot;/&gt;&lt;wsp:rsid wsp:val=&quot;008C1CEF&quot;/&gt;&lt;wsp:rsid wsp:val=&quot;008C1FB8&quot;/&gt;&lt;wsp:rsid wsp:val=&quot;008C2188&quot;/&gt;&lt;wsp:rsid wsp:val=&quot;008C28FC&quot;/&gt;&lt;wsp:rsid wsp:val=&quot;008C2B53&quot;/&gt;&lt;wsp:rsid wsp:val=&quot;008C2C5D&quot;/&gt;&lt;wsp:rsid wsp:val=&quot;008C2DF1&quot;/&gt;&lt;wsp:rsid wsp:val=&quot;008C2E09&quot;/&gt;&lt;wsp:rsid wsp:val=&quot;008C2E73&quot;/&gt;&lt;wsp:rsid wsp:val=&quot;008C2F26&quot;/&gt;&lt;wsp:rsid wsp:val=&quot;008C304E&quot;/&gt;&lt;wsp:rsid wsp:val=&quot;008C3341&quot;/&gt;&lt;wsp:rsid wsp:val=&quot;008C3B27&quot;/&gt;&lt;wsp:rsid wsp:val=&quot;008C40F4&quot;/&gt;&lt;wsp:rsid wsp:val=&quot;008C4236&quot;/&gt;&lt;wsp:rsid wsp:val=&quot;008C440D&quot;/&gt;&lt;wsp:rsid wsp:val=&quot;008C45EB&quot;/&gt;&lt;wsp:rsid wsp:val=&quot;008C4AA7&quot;/&gt;&lt;wsp:rsid wsp:val=&quot;008C5370&quot;/&gt;&lt;wsp:rsid wsp:val=&quot;008C53E6&quot;/&gt;&lt;wsp:rsid wsp:val=&quot;008C61E8&quot;/&gt;&lt;wsp:rsid wsp:val=&quot;008C65D8&quot;/&gt;&lt;wsp:rsid wsp:val=&quot;008C6723&quot;/&gt;&lt;wsp:rsid wsp:val=&quot;008C69F0&quot;/&gt;&lt;wsp:rsid wsp:val=&quot;008C6F58&quot;/&gt;&lt;wsp:rsid wsp:val=&quot;008C71C6&quot;/&gt;&lt;wsp:rsid wsp:val=&quot;008C7236&quot;/&gt;&lt;wsp:rsid wsp:val=&quot;008C7457&quot;/&gt;&lt;wsp:rsid wsp:val=&quot;008C765C&quot;/&gt;&lt;wsp:rsid wsp:val=&quot;008C7731&quot;/&gt;&lt;wsp:rsid wsp:val=&quot;008C77E4&quot;/&gt;&lt;wsp:rsid wsp:val=&quot;008C7A0B&quot;/&gt;&lt;wsp:rsid wsp:val=&quot;008C7A60&quot;/&gt;&lt;wsp:rsid wsp:val=&quot;008C7B67&quot;/&gt;&lt;wsp:rsid wsp:val=&quot;008C7F15&quot;/&gt;&lt;wsp:rsid wsp:val=&quot;008D09DE&quot;/&gt;&lt;wsp:rsid wsp:val=&quot;008D0F15&quot;/&gt;&lt;wsp:rsid wsp:val=&quot;008D1621&quot;/&gt;&lt;wsp:rsid wsp:val=&quot;008D172B&quot;/&gt;&lt;wsp:rsid wsp:val=&quot;008D1BA5&quot;/&gt;&lt;wsp:rsid wsp:val=&quot;008D2C98&quot;/&gt;&lt;wsp:rsid wsp:val=&quot;008D3458&quot;/&gt;&lt;wsp:rsid wsp:val=&quot;008D345E&quot;/&gt;&lt;wsp:rsid wsp:val=&quot;008D3466&quot;/&gt;&lt;wsp:rsid wsp:val=&quot;008D3B15&quot;/&gt;&lt;wsp:rsid wsp:val=&quot;008D3B7B&quot;/&gt;&lt;wsp:rsid wsp:val=&quot;008D3C87&quot;/&gt;&lt;wsp:rsid wsp:val=&quot;008D4662&quot;/&gt;&lt;wsp:rsid wsp:val=&quot;008D46B1&quot;/&gt;&lt;wsp:rsid wsp:val=&quot;008D5085&quot;/&gt;&lt;wsp:rsid wsp:val=&quot;008D514A&quot;/&gt;&lt;wsp:rsid wsp:val=&quot;008D55C8&quot;/&gt;&lt;wsp:rsid wsp:val=&quot;008D621C&quot;/&gt;&lt;wsp:rsid wsp:val=&quot;008D656C&quot;/&gt;&lt;wsp:rsid wsp:val=&quot;008D6AB6&quot;/&gt;&lt;wsp:rsid wsp:val=&quot;008D6AEA&quot;/&gt;&lt;wsp:rsid wsp:val=&quot;008D6F9D&quot;/&gt;&lt;wsp:rsid wsp:val=&quot;008D72C8&quot;/&gt;&lt;wsp:rsid wsp:val=&quot;008D770F&quot;/&gt;&lt;wsp:rsid wsp:val=&quot;008D7967&quot;/&gt;&lt;wsp:rsid wsp:val=&quot;008D7A0C&quot;/&gt;&lt;wsp:rsid wsp:val=&quot;008D7B18&quot;/&gt;&lt;wsp:rsid wsp:val=&quot;008E0261&quot;/&gt;&lt;wsp:rsid wsp:val=&quot;008E050A&quot;/&gt;&lt;wsp:rsid wsp:val=&quot;008E06ED&quot;/&gt;&lt;wsp:rsid wsp:val=&quot;008E093D&quot;/&gt;&lt;wsp:rsid wsp:val=&quot;008E14EB&quot;/&gt;&lt;wsp:rsid wsp:val=&quot;008E15B8&quot;/&gt;&lt;wsp:rsid wsp:val=&quot;008E1948&quot;/&gt;&lt;wsp:rsid wsp:val=&quot;008E1BEC&quot;/&gt;&lt;wsp:rsid wsp:val=&quot;008E1CB1&quot;/&gt;&lt;wsp:rsid wsp:val=&quot;008E1F08&quot;/&gt;&lt;wsp:rsid wsp:val=&quot;008E2320&quot;/&gt;&lt;wsp:rsid wsp:val=&quot;008E240F&quot;/&gt;&lt;wsp:rsid wsp:val=&quot;008E2575&quot;/&gt;&lt;wsp:rsid wsp:val=&quot;008E2A9B&quot;/&gt;&lt;wsp:rsid wsp:val=&quot;008E2BD1&quot;/&gt;&lt;wsp:rsid wsp:val=&quot;008E3342&quot;/&gt;&lt;wsp:rsid wsp:val=&quot;008E3398&quot;/&gt;&lt;wsp:rsid wsp:val=&quot;008E39F4&quot;/&gt;&lt;wsp:rsid wsp:val=&quot;008E3B1C&quot;/&gt;&lt;wsp:rsid wsp:val=&quot;008E3EB2&quot;/&gt;&lt;wsp:rsid wsp:val=&quot;008E4C43&quot;/&gt;&lt;wsp:rsid wsp:val=&quot;008E52F2&quot;/&gt;&lt;wsp:rsid wsp:val=&quot;008E539B&quot;/&gt;&lt;wsp:rsid wsp:val=&quot;008E5769&quot;/&gt;&lt;wsp:rsid wsp:val=&quot;008E58ED&quot;/&gt;&lt;wsp:rsid wsp:val=&quot;008E5B55&quot;/&gt;&lt;wsp:rsid wsp:val=&quot;008E5BD6&quot;/&gt;&lt;wsp:rsid wsp:val=&quot;008E5F0C&quot;/&gt;&lt;wsp:rsid wsp:val=&quot;008E6158&quot;/&gt;&lt;wsp:rsid wsp:val=&quot;008E62F9&quot;/&gt;&lt;wsp:rsid wsp:val=&quot;008E6605&quot;/&gt;&lt;wsp:rsid wsp:val=&quot;008E673A&quot;/&gt;&lt;wsp:rsid wsp:val=&quot;008E67E1&quot;/&gt;&lt;wsp:rsid wsp:val=&quot;008E6921&quot;/&gt;&lt;wsp:rsid wsp:val=&quot;008E6AEC&quot;/&gt;&lt;wsp:rsid wsp:val=&quot;008E6BFD&quot;/&gt;&lt;wsp:rsid wsp:val=&quot;008E6CBC&quot;/&gt;&lt;wsp:rsid wsp:val=&quot;008E6F19&quot;/&gt;&lt;wsp:rsid wsp:val=&quot;008E79A0&quot;/&gt;&lt;wsp:rsid wsp:val=&quot;008E7DAA&quot;/&gt;&lt;wsp:rsid wsp:val=&quot;008F0505&quot;/&gt;&lt;wsp:rsid wsp:val=&quot;008F0771&quot;/&gt;&lt;wsp:rsid wsp:val=&quot;008F0966&quot;/&gt;&lt;wsp:rsid wsp:val=&quot;008F0E42&quot;/&gt;&lt;wsp:rsid wsp:val=&quot;008F0E74&quot;/&gt;&lt;wsp:rsid wsp:val=&quot;008F1131&quot;/&gt;&lt;wsp:rsid wsp:val=&quot;008F195C&quot;/&gt;&lt;wsp:rsid wsp:val=&quot;008F1A00&quot;/&gt;&lt;wsp:rsid wsp:val=&quot;008F1AD7&quot;/&gt;&lt;wsp:rsid wsp:val=&quot;008F22D5&quot;/&gt;&lt;wsp:rsid wsp:val=&quot;008F23C5&quot;/&gt;&lt;wsp:rsid wsp:val=&quot;008F26C8&quot;/&gt;&lt;wsp:rsid wsp:val=&quot;008F29EB&quot;/&gt;&lt;wsp:rsid wsp:val=&quot;008F2DDD&quot;/&gt;&lt;wsp:rsid wsp:val=&quot;008F30D9&quot;/&gt;&lt;wsp:rsid wsp:val=&quot;008F359F&quot;/&gt;&lt;wsp:rsid wsp:val=&quot;008F37EC&quot;/&gt;&lt;wsp:rsid wsp:val=&quot;008F3CF8&quot;/&gt;&lt;wsp:rsid wsp:val=&quot;008F3D5C&quot;/&gt;&lt;wsp:rsid wsp:val=&quot;008F3F23&quot;/&gt;&lt;wsp:rsid wsp:val=&quot;008F3F37&quot;/&gt;&lt;wsp:rsid wsp:val=&quot;008F46EB&quot;/&gt;&lt;wsp:rsid wsp:val=&quot;008F4BD8&quot;/&gt;&lt;wsp:rsid wsp:val=&quot;008F4D67&quot;/&gt;&lt;wsp:rsid wsp:val=&quot;008F4E9C&quot;/&gt;&lt;wsp:rsid wsp:val=&quot;008F514D&quot;/&gt;&lt;wsp:rsid wsp:val=&quot;008F546D&quot;/&gt;&lt;wsp:rsid wsp:val=&quot;008F5489&quot;/&gt;&lt;wsp:rsid wsp:val=&quot;008F5BE4&quot;/&gt;&lt;wsp:rsid wsp:val=&quot;008F5C1E&quot;/&gt;&lt;wsp:rsid wsp:val=&quot;008F5C8A&quot;/&gt;&lt;wsp:rsid wsp:val=&quot;008F601F&quot;/&gt;&lt;wsp:rsid wsp:val=&quot;008F6099&quot;/&gt;&lt;wsp:rsid wsp:val=&quot;008F618B&quot;/&gt;&lt;wsp:rsid wsp:val=&quot;008F667B&quot;/&gt;&lt;wsp:rsid wsp:val=&quot;008F6C87&quot;/&gt;&lt;wsp:rsid wsp:val=&quot;008F70CD&quot;/&gt;&lt;wsp:rsid wsp:val=&quot;008F7C27&quot;/&gt;&lt;wsp:rsid wsp:val=&quot;00900513&quot;/&gt;&lt;wsp:rsid wsp:val=&quot;00900E61&quot;/&gt;&lt;wsp:rsid wsp:val=&quot;0090117A&quot;/&gt;&lt;wsp:rsid wsp:val=&quot;0090154D&quot;/&gt;&lt;wsp:rsid wsp:val=&quot;00901580&quot;/&gt;&lt;wsp:rsid wsp:val=&quot;0090189D&quot;/&gt;&lt;wsp:rsid wsp:val=&quot;0090293D&quot;/&gt;&lt;wsp:rsid wsp:val=&quot;00902AC5&quot;/&gt;&lt;wsp:rsid wsp:val=&quot;00902C25&quot;/&gt;&lt;wsp:rsid wsp:val=&quot;0090300A&quot;/&gt;&lt;wsp:rsid wsp:val=&quot;00903216&quot;/&gt;&lt;wsp:rsid wsp:val=&quot;00903272&quot;/&gt;&lt;wsp:rsid wsp:val=&quot;00903532&quot;/&gt;&lt;wsp:rsid wsp:val=&quot;00903794&quot;/&gt;&lt;wsp:rsid wsp:val=&quot;00904FBC&quot;/&gt;&lt;wsp:rsid wsp:val=&quot;009055EB&quot;/&gt;&lt;wsp:rsid wsp:val=&quot;00905B69&quot;/&gt;&lt;wsp:rsid wsp:val=&quot;009060A8&quot;/&gt;&lt;wsp:rsid wsp:val=&quot;00906853&quot;/&gt;&lt;wsp:rsid wsp:val=&quot;00906856&quot;/&gt;&lt;wsp:rsid wsp:val=&quot;00906864&quot;/&gt;&lt;wsp:rsid wsp:val=&quot;00906A15&quot;/&gt;&lt;wsp:rsid wsp:val=&quot;00906ABF&quot;/&gt;&lt;wsp:rsid wsp:val=&quot;00906C11&quot;/&gt;&lt;wsp:rsid wsp:val=&quot;009071AE&quot;/&gt;&lt;wsp:rsid wsp:val=&quot;0090749D&quot;/&gt;&lt;wsp:rsid wsp:val=&quot;00907596&quot;/&gt;&lt;wsp:rsid wsp:val=&quot;0090764B&quot;/&gt;&lt;wsp:rsid wsp:val=&quot;009076CB&quot;/&gt;&lt;wsp:rsid wsp:val=&quot;009078AF&quot;/&gt;&lt;wsp:rsid wsp:val=&quot;00907EB1&quot;/&gt;&lt;wsp:rsid wsp:val=&quot;00907EEC&quot;/&gt;&lt;wsp:rsid wsp:val=&quot;009102C4&quot;/&gt;&lt;wsp:rsid wsp:val=&quot;00910BA2&quot;/&gt;&lt;wsp:rsid wsp:val=&quot;00910D04&quot;/&gt;&lt;wsp:rsid wsp:val=&quot;00910F7B&quot;/&gt;&lt;wsp:rsid wsp:val=&quot;009115C8&quot;/&gt;&lt;wsp:rsid wsp:val=&quot;00911733&quot;/&gt;&lt;wsp:rsid wsp:val=&quot;0091179B&quot;/&gt;&lt;wsp:rsid wsp:val=&quot;0091257C&quot;/&gt;&lt;wsp:rsid wsp:val=&quot;0091271F&quot;/&gt;&lt;wsp:rsid wsp:val=&quot;00912CE0&quot;/&gt;&lt;wsp:rsid wsp:val=&quot;00912DD2&quot;/&gt;&lt;wsp:rsid wsp:val=&quot;00912F07&quot;/&gt;&lt;wsp:rsid wsp:val=&quot;00912F87&quot;/&gt;&lt;wsp:rsid wsp:val=&quot;009132AA&quot;/&gt;&lt;wsp:rsid wsp:val=&quot;009135E5&quot;/&gt;&lt;wsp:rsid wsp:val=&quot;00913717&quot;/&gt;&lt;wsp:rsid wsp:val=&quot;00913790&quot;/&gt;&lt;wsp:rsid wsp:val=&quot;00913C7F&quot;/&gt;&lt;wsp:rsid wsp:val=&quot;00913D47&quot;/&gt;&lt;wsp:rsid wsp:val=&quot;00913E9D&quot;/&gt;&lt;wsp:rsid wsp:val=&quot;009143DF&quot;/&gt;&lt;wsp:rsid wsp:val=&quot;00914437&quot;/&gt;&lt;wsp:rsid wsp:val=&quot;009147CE&quot;/&gt;&lt;wsp:rsid wsp:val=&quot;00914AB9&quot;/&gt;&lt;wsp:rsid wsp:val=&quot;00914F69&quot;/&gt;&lt;wsp:rsid wsp:val=&quot;009157B4&quot;/&gt;&lt;wsp:rsid wsp:val=&quot;0091624C&quot;/&gt;&lt;wsp:rsid wsp:val=&quot;00916658&quot;/&gt;&lt;wsp:rsid wsp:val=&quot;00916E5A&quot;/&gt;&lt;wsp:rsid wsp:val=&quot;00917177&quot;/&gt;&lt;wsp:rsid wsp:val=&quot;009175C8&quot;/&gt;&lt;wsp:rsid wsp:val=&quot;00917B3B&quot;/&gt;&lt;wsp:rsid wsp:val=&quot;0092006C&quot;/&gt;&lt;wsp:rsid wsp:val=&quot;00920473&quot;/&gt;&lt;wsp:rsid wsp:val=&quot;0092088B&quot;/&gt;&lt;wsp:rsid wsp:val=&quot;00920AD2&quot;/&gt;&lt;wsp:rsid wsp:val=&quot;00920FA4&quot;/&gt;&lt;wsp:rsid wsp:val=&quot;0092109F&quot;/&gt;&lt;wsp:rsid wsp:val=&quot;00921510&quot;/&gt;&lt;wsp:rsid wsp:val=&quot;0092193B&quot;/&gt;&lt;wsp:rsid wsp:val=&quot;009219D3&quot;/&gt;&lt;wsp:rsid wsp:val=&quot;00921D32&quot;/&gt;&lt;wsp:rsid wsp:val=&quot;0092209F&quot;/&gt;&lt;wsp:rsid wsp:val=&quot;00922279&quot;/&gt;&lt;wsp:rsid wsp:val=&quot;00922548&quot;/&gt;&lt;wsp:rsid wsp:val=&quot;0092254B&quot;/&gt;&lt;wsp:rsid wsp:val=&quot;00922B18&quot;/&gt;&lt;wsp:rsid wsp:val=&quot;00923118&quot;/&gt;&lt;wsp:rsid wsp:val=&quot;009236E3&quot;/&gt;&lt;wsp:rsid wsp:val=&quot;00923A43&quot;/&gt;&lt;wsp:rsid wsp:val=&quot;00923AE0&quot;/&gt;&lt;wsp:rsid wsp:val=&quot;00923BC3&quot;/&gt;&lt;wsp:rsid wsp:val=&quot;00923E43&quot;/&gt;&lt;wsp:rsid wsp:val=&quot;00923F54&quot;/&gt;&lt;wsp:rsid wsp:val=&quot;00924E02&quot;/&gt;&lt;wsp:rsid wsp:val=&quot;00924E30&quot;/&gt;&lt;wsp:rsid wsp:val=&quot;009251D0&quot;/&gt;&lt;wsp:rsid wsp:val=&quot;00925774&quot;/&gt;&lt;wsp:rsid wsp:val=&quot;00925821&quot;/&gt;&lt;wsp:rsid wsp:val=&quot;00925FF3&quot;/&gt;&lt;wsp:rsid wsp:val=&quot;00926802&quot;/&gt;&lt;wsp:rsid wsp:val=&quot;009269F5&quot;/&gt;&lt;wsp:rsid wsp:val=&quot;00927BAA&quot;/&gt;&lt;wsp:rsid wsp:val=&quot;00927CCF&quot;/&gt;&lt;wsp:rsid wsp:val=&quot;00927DB4&quot;/&gt;&lt;wsp:rsid wsp:val=&quot;00927F77&quot;/&gt;&lt;wsp:rsid wsp:val=&quot;00927FEB&quot;/&gt;&lt;wsp:rsid wsp:val=&quot;009304F1&quot;/&gt;&lt;wsp:rsid wsp:val=&quot;00930641&quot;/&gt;&lt;wsp:rsid wsp:val=&quot;0093088D&quot;/&gt;&lt;wsp:rsid wsp:val=&quot;00930C11&quot;/&gt;&lt;wsp:rsid wsp:val=&quot;00930D0B&quot;/&gt;&lt;wsp:rsid wsp:val=&quot;00930DD3&quot;/&gt;&lt;wsp:rsid wsp:val=&quot;009313EC&quot;/&gt;&lt;wsp:rsid wsp:val=&quot;00931554&quot;/&gt;&lt;wsp:rsid wsp:val=&quot;00931B48&quot;/&gt;&lt;wsp:rsid wsp:val=&quot;00931CE2&quot;/&gt;&lt;wsp:rsid wsp:val=&quot;0093200C&quot;/&gt;&lt;wsp:rsid wsp:val=&quot;009325ED&quot;/&gt;&lt;wsp:rsid wsp:val=&quot;0093275E&quot;/&gt;&lt;wsp:rsid wsp:val=&quot;0093287D&quot;/&gt;&lt;wsp:rsid wsp:val=&quot;00932D4D&quot;/&gt;&lt;wsp:rsid wsp:val=&quot;00932DE2&quot;/&gt;&lt;wsp:rsid wsp:val=&quot;00932E21&quot;/&gt;&lt;wsp:rsid wsp:val=&quot;0093355D&quot;/&gt;&lt;wsp:rsid wsp:val=&quot;00933887&quot;/&gt;&lt;wsp:rsid wsp:val=&quot;009339E0&quot;/&gt;&lt;wsp:rsid wsp:val=&quot;00933DB8&quot;/&gt;&lt;wsp:rsid wsp:val=&quot;00933E9F&quot;/&gt;&lt;wsp:rsid wsp:val=&quot;0093457B&quot;/&gt;&lt;wsp:rsid wsp:val=&quot;00934D3B&quot;/&gt;&lt;wsp:rsid wsp:val=&quot;0093523C&quot;/&gt;&lt;wsp:rsid wsp:val=&quot;009352D1&quot;/&gt;&lt;wsp:rsid wsp:val=&quot;00935CC2&quot;/&gt;&lt;wsp:rsid wsp:val=&quot;00935D23&quot;/&gt;&lt;wsp:rsid wsp:val=&quot;0093605F&quot;/&gt;&lt;wsp:rsid wsp:val=&quot;009360C9&quot;/&gt;&lt;wsp:rsid wsp:val=&quot;00936545&quot;/&gt;&lt;wsp:rsid wsp:val=&quot;00936D64&quot;/&gt;&lt;wsp:rsid wsp:val=&quot;00936F3A&quot;/&gt;&lt;wsp:rsid wsp:val=&quot;00936F68&quot;/&gt;&lt;wsp:rsid wsp:val=&quot;00937205&quot;/&gt;&lt;wsp:rsid wsp:val=&quot;0093729E&quot;/&gt;&lt;wsp:rsid wsp:val=&quot;009378CC&quot;/&gt;&lt;wsp:rsid wsp:val=&quot;00937B53&quot;/&gt;&lt;wsp:rsid wsp:val=&quot;00937BA2&quot;/&gt;&lt;wsp:rsid wsp:val=&quot;00940009&quot;/&gt;&lt;wsp:rsid wsp:val=&quot;009403B1&quot;/&gt;&lt;wsp:rsid wsp:val=&quot;00940992&quot;/&gt;&lt;wsp:rsid wsp:val=&quot;00940B40&quot;/&gt;&lt;wsp:rsid wsp:val=&quot;00940B47&quot;/&gt;&lt;wsp:rsid wsp:val=&quot;00940C7A&quot;/&gt;&lt;wsp:rsid wsp:val=&quot;00940E2E&quot;/&gt;&lt;wsp:rsid wsp:val=&quot;00940ECD&quot;/&gt;&lt;wsp:rsid wsp:val=&quot;00941161&quot;/&gt;&lt;wsp:rsid wsp:val=&quot;0094116E&quot;/&gt;&lt;wsp:rsid wsp:val=&quot;00941302&quot;/&gt;&lt;wsp:rsid wsp:val=&quot;0094131C&quot;/&gt;&lt;wsp:rsid wsp:val=&quot;0094136B&quot;/&gt;&lt;wsp:rsid wsp:val=&quot;00941555&quot;/&gt;&lt;wsp:rsid wsp:val=&quot;00941B19&quot;/&gt;&lt;wsp:rsid wsp:val=&quot;009424BE&quot;/&gt;&lt;wsp:rsid wsp:val=&quot;009426FC&quot;/&gt;&lt;wsp:rsid wsp:val=&quot;009428F9&quot;/&gt;&lt;wsp:rsid wsp:val=&quot;00943268&quot;/&gt;&lt;wsp:rsid wsp:val=&quot;00943605&quot;/&gt;&lt;wsp:rsid wsp:val=&quot;00943812&quot;/&gt;&lt;wsp:rsid wsp:val=&quot;00943923&quot;/&gt;&lt;wsp:rsid wsp:val=&quot;00943EB7&quot;/&gt;&lt;wsp:rsid wsp:val=&quot;00943F71&quot;/&gt;&lt;wsp:rsid wsp:val=&quot;00943FBC&quot;/&gt;&lt;wsp:rsid wsp:val=&quot;009452AE&quot;/&gt;&lt;wsp:rsid wsp:val=&quot;00945548&quot;/&gt;&lt;wsp:rsid wsp:val=&quot;00945834&quot;/&gt;&lt;wsp:rsid wsp:val=&quot;009458E4&quot;/&gt;&lt;wsp:rsid wsp:val=&quot;00945A9F&quot;/&gt;&lt;wsp:rsid wsp:val=&quot;00945CDE&quot;/&gt;&lt;wsp:rsid wsp:val=&quot;00945DD4&quot;/&gt;&lt;wsp:rsid wsp:val=&quot;0094626E&quot;/&gt;&lt;wsp:rsid wsp:val=&quot;009463D7&quot;/&gt;&lt;wsp:rsid wsp:val=&quot;00946B1E&quot;/&gt;&lt;wsp:rsid wsp:val=&quot;00946EC2&quot;/&gt;&lt;wsp:rsid wsp:val=&quot;0094764A&quot;/&gt;&lt;wsp:rsid wsp:val=&quot;009479DB&quot;/&gt;&lt;wsp:rsid wsp:val=&quot;0095016A&quot;/&gt;&lt;wsp:rsid wsp:val=&quot;0095038D&quot;/&gt;&lt;wsp:rsid wsp:val=&quot;00951969&quot;/&gt;&lt;wsp:rsid wsp:val=&quot;00951BB1&quot;/&gt;&lt;wsp:rsid wsp:val=&quot;00951ED8&quot;/&gt;&lt;wsp:rsid wsp:val=&quot;009524C6&quot;/&gt;&lt;wsp:rsid wsp:val=&quot;009527FE&quot;/&gt;&lt;wsp:rsid wsp:val=&quot;00952805&quot;/&gt;&lt;wsp:rsid wsp:val=&quot;00952C7D&quot;/&gt;&lt;wsp:rsid wsp:val=&quot;00952ED4&quot;/&gt;&lt;wsp:rsid wsp:val=&quot;00953062&quot;/&gt;&lt;wsp:rsid wsp:val=&quot;00953263&quot;/&gt;&lt;wsp:rsid wsp:val=&quot;00953AFF&quot;/&gt;&lt;wsp:rsid wsp:val=&quot;00953BA1&quot;/&gt;&lt;wsp:rsid wsp:val=&quot;00953E7D&quot;/&gt;&lt;wsp:rsid wsp:val=&quot;00953FA0&quot;/&gt;&lt;wsp:rsid wsp:val=&quot;00954233&quot;/&gt;&lt;wsp:rsid wsp:val=&quot;00954283&quot;/&gt;&lt;wsp:rsid wsp:val=&quot;0095446D&quot;/&gt;&lt;wsp:rsid wsp:val=&quot;0095452A&quot;/&gt;&lt;wsp:rsid wsp:val=&quot;0095460C&quot;/&gt;&lt;wsp:rsid wsp:val=&quot;0095480E&quot;/&gt;&lt;wsp:rsid wsp:val=&quot;00954BAD&quot;/&gt;&lt;wsp:rsid wsp:val=&quot;00954E91&quot;/&gt;&lt;wsp:rsid wsp:val=&quot;009550C2&quot;/&gt;&lt;wsp:rsid wsp:val=&quot;0095533C&quot;/&gt;&lt;wsp:rsid wsp:val=&quot;009557A8&quot;/&gt;&lt;wsp:rsid wsp:val=&quot;00955DE6&quot;/&gt;&lt;wsp:rsid wsp:val=&quot;00955DF3&quot;/&gt;&lt;wsp:rsid wsp:val=&quot;00955DFE&quot;/&gt;&lt;wsp:rsid wsp:val=&quot;00955F0C&quot;/&gt;&lt;wsp:rsid wsp:val=&quot;009560F5&quot;/&gt;&lt;wsp:rsid wsp:val=&quot;00956C7D&quot;/&gt;&lt;wsp:rsid wsp:val=&quot;00956CDB&quot;/&gt;&lt;wsp:rsid wsp:val=&quot;0095730C&quot;/&gt;&lt;wsp:rsid wsp:val=&quot;00957695&quot;/&gt;&lt;wsp:rsid wsp:val=&quot;009576DE&quot;/&gt;&lt;wsp:rsid wsp:val=&quot;00957CC0&quot;/&gt;&lt;wsp:rsid wsp:val=&quot;00957D47&quot;/&gt;&lt;wsp:rsid wsp:val=&quot;00957EC5&quot;/&gt;&lt;wsp:rsid wsp:val=&quot;00960237&quot;/&gt;&lt;wsp:rsid wsp:val=&quot;0096032B&quot;/&gt;&lt;wsp:rsid wsp:val=&quot;009606AB&quot;/&gt;&lt;wsp:rsid wsp:val=&quot;009609B8&quot;/&gt;&lt;wsp:rsid wsp:val=&quot;00960A1B&quot;/&gt;&lt;wsp:rsid wsp:val=&quot;00960A5B&quot;/&gt;&lt;wsp:rsid wsp:val=&quot;00960DD3&quot;/&gt;&lt;wsp:rsid wsp:val=&quot;00960DF8&quot;/&gt;&lt;wsp:rsid wsp:val=&quot;00960F40&quot;/&gt;&lt;wsp:rsid wsp:val=&quot;00960FA4&quot;/&gt;&lt;wsp:rsid wsp:val=&quot;00961315&quot;/&gt;&lt;wsp:rsid wsp:val=&quot;0096148D&quot;/&gt;&lt;wsp:rsid wsp:val=&quot;00962566&quot;/&gt;&lt;wsp:rsid wsp:val=&quot;00962DEC&quot;/&gt;&lt;wsp:rsid wsp:val=&quot;0096305B&quot;/&gt;&lt;wsp:rsid wsp:val=&quot;00963321&quot;/&gt;&lt;wsp:rsid wsp:val=&quot;0096374E&quot;/&gt;&lt;wsp:rsid wsp:val=&quot;0096384C&quot;/&gt;&lt;wsp:rsid wsp:val=&quot;00963990&quot;/&gt;&lt;wsp:rsid wsp:val=&quot;00963F3E&quot;/&gt;&lt;wsp:rsid wsp:val=&quot;00963FB5&quot;/&gt;&lt;wsp:rsid wsp:val=&quot;00964615&quot;/&gt;&lt;wsp:rsid wsp:val=&quot;00964654&quot;/&gt;&lt;wsp:rsid wsp:val=&quot;009648C7&quot;/&gt;&lt;wsp:rsid wsp:val=&quot;00964F94&quot;/&gt;&lt;wsp:rsid wsp:val=&quot;009655CE&quot;/&gt;&lt;wsp:rsid wsp:val=&quot;00965D54&quot;/&gt;&lt;wsp:rsid wsp:val=&quot;009662CE&quot;/&gt;&lt;wsp:rsid wsp:val=&quot;00966480&quot;/&gt;&lt;wsp:rsid wsp:val=&quot;009667B5&quot;/&gt;&lt;wsp:rsid wsp:val=&quot;0096690C&quot;/&gt;&lt;wsp:rsid wsp:val=&quot;00966956&quot;/&gt;&lt;wsp:rsid wsp:val=&quot;00966A9F&quot;/&gt;&lt;wsp:rsid wsp:val=&quot;0096711A&quot;/&gt;&lt;wsp:rsid wsp:val=&quot;00967304&quot;/&gt;&lt;wsp:rsid wsp:val=&quot;00967551&quot;/&gt;&lt;wsp:rsid wsp:val=&quot;009675E9&quot;/&gt;&lt;wsp:rsid wsp:val=&quot;009677A1&quot;/&gt;&lt;wsp:rsid wsp:val=&quot;00970D50&quot;/&gt;&lt;wsp:rsid wsp:val=&quot;00970FEB&quot;/&gt;&lt;wsp:rsid wsp:val=&quot;00971110&quot;/&gt;&lt;wsp:rsid wsp:val=&quot;0097136E&quot;/&gt;&lt;wsp:rsid wsp:val=&quot;009713D0&quot;/&gt;&lt;wsp:rsid wsp:val=&quot;00971927&quot;/&gt;&lt;wsp:rsid wsp:val=&quot;00971969&quot;/&gt;&lt;wsp:rsid wsp:val=&quot;00971BC7&quot;/&gt;&lt;wsp:rsid wsp:val=&quot;00971C05&quot;/&gt;&lt;wsp:rsid wsp:val=&quot;00971CAA&quot;/&gt;&lt;wsp:rsid wsp:val=&quot;00972210&quot;/&gt;&lt;wsp:rsid wsp:val=&quot;0097343E&quot;/&gt;&lt;wsp:rsid wsp:val=&quot;00973AAB&quot;/&gt;&lt;wsp:rsid wsp:val=&quot;00973C00&quot;/&gt;&lt;wsp:rsid wsp:val=&quot;00973D92&quot;/&gt;&lt;wsp:rsid wsp:val=&quot;00973E53&quot;/&gt;&lt;wsp:rsid wsp:val=&quot;00974110&quot;/&gt;&lt;wsp:rsid wsp:val=&quot;009741DD&quot;/&gt;&lt;wsp:rsid wsp:val=&quot;009742E5&quot;/&gt;&lt;wsp:rsid wsp:val=&quot;00974907&quot;/&gt;&lt;wsp:rsid wsp:val=&quot;00974AE7&quot;/&gt;&lt;wsp:rsid wsp:val=&quot;0097550F&quot;/&gt;&lt;wsp:rsid wsp:val=&quot;0097594A&quot;/&gt;&lt;wsp:rsid wsp:val=&quot;009759C3&quot;/&gt;&lt;wsp:rsid wsp:val=&quot;00975A0E&quot;/&gt;&lt;wsp:rsid wsp:val=&quot;00976090&quot;/&gt;&lt;wsp:rsid wsp:val=&quot;0097735E&quot;/&gt;&lt;wsp:rsid wsp:val=&quot;0097784C&quot;/&gt;&lt;wsp:rsid wsp:val=&quot;009778A0&quot;/&gt;&lt;wsp:rsid wsp:val=&quot;00977B6E&quot;/&gt;&lt;wsp:rsid wsp:val=&quot;00977D78&quot;/&gt;&lt;wsp:rsid wsp:val=&quot;009801FA&quot;/&gt;&lt;wsp:rsid wsp:val=&quot;00980377&quot;/&gt;&lt;wsp:rsid wsp:val=&quot;00980390&quot;/&gt;&lt;wsp:rsid wsp:val=&quot;009803F5&quot;/&gt;&lt;wsp:rsid wsp:val=&quot;00980790&quot;/&gt;&lt;wsp:rsid wsp:val=&quot;00980BB9&quot;/&gt;&lt;wsp:rsid wsp:val=&quot;00980E2A&quot;/&gt;&lt;wsp:rsid wsp:val=&quot;00980EC8&quot;/&gt;&lt;wsp:rsid wsp:val=&quot;009815C2&quot;/&gt;&lt;wsp:rsid wsp:val=&quot;0098278D&quot;/&gt;&lt;wsp:rsid wsp:val=&quot;00982AC4&quot;/&gt;&lt;wsp:rsid wsp:val=&quot;0098346C&quot;/&gt;&lt;wsp:rsid wsp:val=&quot;0098353D&quot;/&gt;&lt;wsp:rsid wsp:val=&quot;009835FB&quot;/&gt;&lt;wsp:rsid wsp:val=&quot;00983797&quot;/&gt;&lt;wsp:rsid wsp:val=&quot;00983827&quot;/&gt;&lt;wsp:rsid wsp:val=&quot;0098488D&quot;/&gt;&lt;wsp:rsid wsp:val=&quot;00984A8C&quot;/&gt;&lt;wsp:rsid wsp:val=&quot;00984AAD&quot;/&gt;&lt;wsp:rsid wsp:val=&quot;00984B8B&quot;/&gt;&lt;wsp:rsid wsp:val=&quot;00984D74&quot;/&gt;&lt;wsp:rsid wsp:val=&quot;00984DD8&quot;/&gt;&lt;wsp:rsid wsp:val=&quot;0098508E&quot;/&gt;&lt;wsp:rsid wsp:val=&quot;009852F4&quot;/&gt;&lt;wsp:rsid wsp:val=&quot;009859BF&quot;/&gt;&lt;wsp:rsid wsp:val=&quot;00987163&quot;/&gt;&lt;wsp:rsid wsp:val=&quot;0098754F&quot;/&gt;&lt;wsp:rsid wsp:val=&quot;00987980&quot;/&gt;&lt;wsp:rsid wsp:val=&quot;00987E89&quot;/&gt;&lt;wsp:rsid wsp:val=&quot;00991459&quot;/&gt;&lt;wsp:rsid wsp:val=&quot;00991671&quot;/&gt;&lt;wsp:rsid wsp:val=&quot;00991782&quot;/&gt;&lt;wsp:rsid wsp:val=&quot;009917E3&quot;/&gt;&lt;wsp:rsid wsp:val=&quot;00991A13&quot;/&gt;&lt;wsp:rsid wsp:val=&quot;00991E2A&quot;/&gt;&lt;wsp:rsid wsp:val=&quot;009921AD&quot;/&gt;&lt;wsp:rsid wsp:val=&quot;009921D4&quot;/&gt;&lt;wsp:rsid wsp:val=&quot;0099278A&quot;/&gt;&lt;wsp:rsid wsp:val=&quot;00992869&quot;/&gt;&lt;wsp:rsid wsp:val=&quot;00992C3D&quot;/&gt;&lt;wsp:rsid wsp:val=&quot;00992DE3&quot;/&gt;&lt;wsp:rsid wsp:val=&quot;0099312A&quot;/&gt;&lt;wsp:rsid wsp:val=&quot;00993200&quot;/&gt;&lt;wsp:rsid wsp:val=&quot;00993249&quot;/&gt;&lt;wsp:rsid wsp:val=&quot;00993475&quot;/&gt;&lt;wsp:rsid wsp:val=&quot;00993B49&quot;/&gt;&lt;wsp:rsid wsp:val=&quot;00993BD3&quot;/&gt;&lt;wsp:rsid wsp:val=&quot;00994D3E&quot;/&gt;&lt;wsp:rsid wsp:val=&quot;009955E0&quot;/&gt;&lt;wsp:rsid wsp:val=&quot;00995611&quot;/&gt;&lt;wsp:rsid wsp:val=&quot;009957D0&quot;/&gt;&lt;wsp:rsid wsp:val=&quot;009958F6&quot;/&gt;&lt;wsp:rsid wsp:val=&quot;00995A30&quot;/&gt;&lt;wsp:rsid wsp:val=&quot;00995C78&quot;/&gt;&lt;wsp:rsid wsp:val=&quot;00995D52&quot;/&gt;&lt;wsp:rsid wsp:val=&quot;00995D62&quot;/&gt;&lt;wsp:rsid wsp:val=&quot;00995EED&quot;/&gt;&lt;wsp:rsid wsp:val=&quot;0099609C&quot;/&gt;&lt;wsp:rsid wsp:val=&quot;009967AD&quot;/&gt;&lt;wsp:rsid wsp:val=&quot;00996821&quot;/&gt;&lt;wsp:rsid wsp:val=&quot;009969C4&quot;/&gt;&lt;wsp:rsid wsp:val=&quot;00996C5E&quot;/&gt;&lt;wsp:rsid wsp:val=&quot;00996E57&quot;/&gt;&lt;wsp:rsid wsp:val=&quot;009972EB&quot;/&gt;&lt;wsp:rsid wsp:val=&quot;00997809&quot;/&gt;&lt;wsp:rsid wsp:val=&quot;009A00EF&quot;/&gt;&lt;wsp:rsid wsp:val=&quot;009A031D&quot;/&gt;&lt;wsp:rsid wsp:val=&quot;009A0546&quot;/&gt;&lt;wsp:rsid wsp:val=&quot;009A0691&quot;/&gt;&lt;wsp:rsid wsp:val=&quot;009A0AA4&quot;/&gt;&lt;wsp:rsid wsp:val=&quot;009A1202&quot;/&gt;&lt;wsp:rsid wsp:val=&quot;009A16E8&quot;/&gt;&lt;wsp:rsid wsp:val=&quot;009A170E&quot;/&gt;&lt;wsp:rsid wsp:val=&quot;009A1756&quot;/&gt;&lt;wsp:rsid wsp:val=&quot;009A179F&quot;/&gt;&lt;wsp:rsid wsp:val=&quot;009A1F5C&quot;/&gt;&lt;wsp:rsid wsp:val=&quot;009A215F&quot;/&gt;&lt;wsp:rsid wsp:val=&quot;009A24E6&quot;/&gt;&lt;wsp:rsid wsp:val=&quot;009A24F6&quot;/&gt;&lt;wsp:rsid wsp:val=&quot;009A2528&quot;/&gt;&lt;wsp:rsid wsp:val=&quot;009A261F&quot;/&gt;&lt;wsp:rsid wsp:val=&quot;009A295F&quot;/&gt;&lt;wsp:rsid wsp:val=&quot;009A2EEB&quot;/&gt;&lt;wsp:rsid wsp:val=&quot;009A3A57&quot;/&gt;&lt;wsp:rsid wsp:val=&quot;009A3CCC&quot;/&gt;&lt;wsp:rsid wsp:val=&quot;009A4396&quot;/&gt;&lt;wsp:rsid wsp:val=&quot;009A452F&quot;/&gt;&lt;wsp:rsid wsp:val=&quot;009A46B8&quot;/&gt;&lt;wsp:rsid wsp:val=&quot;009A4725&quot;/&gt;&lt;wsp:rsid wsp:val=&quot;009A4863&quot;/&gt;&lt;wsp:rsid wsp:val=&quot;009A4996&quot;/&gt;&lt;wsp:rsid wsp:val=&quot;009A4BC2&quot;/&gt;&lt;wsp:rsid wsp:val=&quot;009A4F9A&quot;/&gt;&lt;wsp:rsid wsp:val=&quot;009A5039&quot;/&gt;&lt;wsp:rsid wsp:val=&quot;009A519E&quot;/&gt;&lt;wsp:rsid wsp:val=&quot;009A5423&quot;/&gt;&lt;wsp:rsid wsp:val=&quot;009A5468&quot;/&gt;&lt;wsp:rsid wsp:val=&quot;009A57B5&quot;/&gt;&lt;wsp:rsid wsp:val=&quot;009A5B9A&quot;/&gt;&lt;wsp:rsid wsp:val=&quot;009A5E75&quot;/&gt;&lt;wsp:rsid wsp:val=&quot;009A60AE&quot;/&gt;&lt;wsp:rsid wsp:val=&quot;009A616D&quot;/&gt;&lt;wsp:rsid wsp:val=&quot;009A6712&quot;/&gt;&lt;wsp:rsid wsp:val=&quot;009A68F1&quot;/&gt;&lt;wsp:rsid wsp:val=&quot;009A6A5B&quot;/&gt;&lt;wsp:rsid wsp:val=&quot;009A6B39&quot;/&gt;&lt;wsp:rsid wsp:val=&quot;009A6D9B&quot;/&gt;&lt;wsp:rsid wsp:val=&quot;009A7078&quot;/&gt;&lt;wsp:rsid wsp:val=&quot;009A751C&quot;/&gt;&lt;wsp:rsid wsp:val=&quot;009A7768&quot;/&gt;&lt;wsp:rsid wsp:val=&quot;009A778F&quot;/&gt;&lt;wsp:rsid wsp:val=&quot;009A7BB0&quot;/&gt;&lt;wsp:rsid wsp:val=&quot;009A7BFB&quot;/&gt;&lt;wsp:rsid wsp:val=&quot;009A7C9E&quot;/&gt;&lt;wsp:rsid wsp:val=&quot;009B030A&quot;/&gt;&lt;wsp:rsid wsp:val=&quot;009B0BA0&quot;/&gt;&lt;wsp:rsid wsp:val=&quot;009B0D0E&quot;/&gt;&lt;wsp:rsid wsp:val=&quot;009B0D1C&quot;/&gt;&lt;wsp:rsid wsp:val=&quot;009B1D40&quot;/&gt;&lt;wsp:rsid wsp:val=&quot;009B2453&quot;/&gt;&lt;wsp:rsid wsp:val=&quot;009B25C0&quot;/&gt;&lt;wsp:rsid wsp:val=&quot;009B2649&quot;/&gt;&lt;wsp:rsid wsp:val=&quot;009B27CF&quot;/&gt;&lt;wsp:rsid wsp:val=&quot;009B2818&quot;/&gt;&lt;wsp:rsid wsp:val=&quot;009B2A7E&quot;/&gt;&lt;wsp:rsid wsp:val=&quot;009B2AAF&quot;/&gt;&lt;wsp:rsid wsp:val=&quot;009B2AFC&quot;/&gt;&lt;wsp:rsid wsp:val=&quot;009B2B4B&quot;/&gt;&lt;wsp:rsid wsp:val=&quot;009B2DDF&quot;/&gt;&lt;wsp:rsid wsp:val=&quot;009B3261&quot;/&gt;&lt;wsp:rsid wsp:val=&quot;009B3DE1&quot;/&gt;&lt;wsp:rsid wsp:val=&quot;009B4723&quot;/&gt;&lt;wsp:rsid wsp:val=&quot;009B4B92&quot;/&gt;&lt;wsp:rsid wsp:val=&quot;009B54B4&quot;/&gt;&lt;wsp:rsid wsp:val=&quot;009B5A4D&quot;/&gt;&lt;wsp:rsid wsp:val=&quot;009B5BB6&quot;/&gt;&lt;wsp:rsid wsp:val=&quot;009B6CDE&quot;/&gt;&lt;wsp:rsid wsp:val=&quot;009B7120&quot;/&gt;&lt;wsp:rsid wsp:val=&quot;009B79FA&quot;/&gt;&lt;wsp:rsid wsp:val=&quot;009B7A35&quot;/&gt;&lt;wsp:rsid wsp:val=&quot;009B7B82&quot;/&gt;&lt;wsp:rsid wsp:val=&quot;009B7DC2&quot;/&gt;&lt;wsp:rsid wsp:val=&quot;009C053E&quot;/&gt;&lt;wsp:rsid wsp:val=&quot;009C06B6&quot;/&gt;&lt;wsp:rsid wsp:val=&quot;009C08EA&quot;/&gt;&lt;wsp:rsid wsp:val=&quot;009C09FD&quot;/&gt;&lt;wsp:rsid wsp:val=&quot;009C0D5C&quot;/&gt;&lt;wsp:rsid wsp:val=&quot;009C1451&quot;/&gt;&lt;wsp:rsid wsp:val=&quot;009C1F4F&quot;/&gt;&lt;wsp:rsid wsp:val=&quot;009C2072&quot;/&gt;&lt;wsp:rsid wsp:val=&quot;009C23D6&quot;/&gt;&lt;wsp:rsid wsp:val=&quot;009C2722&quot;/&gt;&lt;wsp:rsid wsp:val=&quot;009C2729&quot;/&gt;&lt;wsp:rsid wsp:val=&quot;009C2784&quot;/&gt;&lt;wsp:rsid wsp:val=&quot;009C2AEA&quot;/&gt;&lt;wsp:rsid wsp:val=&quot;009C2C3F&quot;/&gt;&lt;wsp:rsid wsp:val=&quot;009C2FDD&quot;/&gt;&lt;wsp:rsid wsp:val=&quot;009C34F9&quot;/&gt;&lt;wsp:rsid wsp:val=&quot;009C35E7&quot;/&gt;&lt;wsp:rsid wsp:val=&quot;009C36E7&quot;/&gt;&lt;wsp:rsid wsp:val=&quot;009C38E9&quot;/&gt;&lt;wsp:rsid wsp:val=&quot;009C39F3&quot;/&gt;&lt;wsp:rsid wsp:val=&quot;009C3E94&quot;/&gt;&lt;wsp:rsid wsp:val=&quot;009C3FCC&quot;/&gt;&lt;wsp:rsid wsp:val=&quot;009C4BE5&quot;/&gt;&lt;wsp:rsid wsp:val=&quot;009C4ED7&quot;/&gt;&lt;wsp:rsid wsp:val=&quot;009C4F74&quot;/&gt;&lt;wsp:rsid wsp:val=&quot;009C5115&quot;/&gt;&lt;wsp:rsid wsp:val=&quot;009C517E&quot;/&gt;&lt;wsp:rsid wsp:val=&quot;009C542D&quot;/&gt;&lt;wsp:rsid wsp:val=&quot;009C57E9&quot;/&gt;&lt;wsp:rsid wsp:val=&quot;009C5B1C&quot;/&gt;&lt;wsp:rsid wsp:val=&quot;009C5BC1&quot;/&gt;&lt;wsp:rsid wsp:val=&quot;009C6835&quot;/&gt;&lt;wsp:rsid wsp:val=&quot;009C696A&quot;/&gt;&lt;wsp:rsid wsp:val=&quot;009C6BF5&quot;/&gt;&lt;wsp:rsid wsp:val=&quot;009C708E&quot;/&gt;&lt;wsp:rsid wsp:val=&quot;009C715D&quot;/&gt;&lt;wsp:rsid wsp:val=&quot;009C76B8&quot;/&gt;&lt;wsp:rsid wsp:val=&quot;009C7E16&quot;/&gt;&lt;wsp:rsid wsp:val=&quot;009C7E8B&quot;/&gt;&lt;wsp:rsid wsp:val=&quot;009C7F54&quot;/&gt;&lt;wsp:rsid wsp:val=&quot;009C7F9F&quot;/&gt;&lt;wsp:rsid wsp:val=&quot;009D04EE&quot;/&gt;&lt;wsp:rsid wsp:val=&quot;009D07C5&quot;/&gt;&lt;wsp:rsid wsp:val=&quot;009D0A80&quot;/&gt;&lt;wsp:rsid wsp:val=&quot;009D0AA1&quot;/&gt;&lt;wsp:rsid wsp:val=&quot;009D0AF6&quot;/&gt;&lt;wsp:rsid wsp:val=&quot;009D0B58&quot;/&gt;&lt;wsp:rsid wsp:val=&quot;009D0BEB&quot;/&gt;&lt;wsp:rsid wsp:val=&quot;009D11AD&quot;/&gt;&lt;wsp:rsid wsp:val=&quot;009D1479&quot;/&gt;&lt;wsp:rsid wsp:val=&quot;009D15E4&quot;/&gt;&lt;wsp:rsid wsp:val=&quot;009D162D&quot;/&gt;&lt;wsp:rsid wsp:val=&quot;009D17A0&quot;/&gt;&lt;wsp:rsid wsp:val=&quot;009D19F1&quot;/&gt;&lt;wsp:rsid wsp:val=&quot;009D2125&quot;/&gt;&lt;wsp:rsid wsp:val=&quot;009D227E&quot;/&gt;&lt;wsp:rsid wsp:val=&quot;009D23AA&quot;/&gt;&lt;wsp:rsid wsp:val=&quot;009D23C0&quot;/&gt;&lt;wsp:rsid wsp:val=&quot;009D281F&quot;/&gt;&lt;wsp:rsid wsp:val=&quot;009D298A&quot;/&gt;&lt;wsp:rsid wsp:val=&quot;009D29F0&quot;/&gt;&lt;wsp:rsid wsp:val=&quot;009D2B6B&quot;/&gt;&lt;wsp:rsid wsp:val=&quot;009D2BE3&quot;/&gt;&lt;wsp:rsid wsp:val=&quot;009D2E4A&quot;/&gt;&lt;wsp:rsid wsp:val=&quot;009D2EBB&quot;/&gt;&lt;wsp:rsid wsp:val=&quot;009D2FBB&quot;/&gt;&lt;wsp:rsid wsp:val=&quot;009D31E6&quot;/&gt;&lt;wsp:rsid wsp:val=&quot;009D35BB&quot;/&gt;&lt;wsp:rsid wsp:val=&quot;009D3A39&quot;/&gt;&lt;wsp:rsid wsp:val=&quot;009D3AE1&quot;/&gt;&lt;wsp:rsid wsp:val=&quot;009D3AF5&quot;/&gt;&lt;wsp:rsid wsp:val=&quot;009D461A&quot;/&gt;&lt;wsp:rsid wsp:val=&quot;009D56D5&quot;/&gt;&lt;wsp:rsid wsp:val=&quot;009D57B6&quot;/&gt;&lt;wsp:rsid wsp:val=&quot;009D5916&quot;/&gt;&lt;wsp:rsid wsp:val=&quot;009D5D5E&quot;/&gt;&lt;wsp:rsid wsp:val=&quot;009D6099&quot;/&gt;&lt;wsp:rsid wsp:val=&quot;009D61D7&quot;/&gt;&lt;wsp:rsid wsp:val=&quot;009D61E5&quot;/&gt;&lt;wsp:rsid wsp:val=&quot;009D6605&quot;/&gt;&lt;wsp:rsid wsp:val=&quot;009D67EA&quot;/&gt;&lt;wsp:rsid wsp:val=&quot;009D6ABA&quot;/&gt;&lt;wsp:rsid wsp:val=&quot;009D6ABF&quot;/&gt;&lt;wsp:rsid wsp:val=&quot;009D6D5A&quot;/&gt;&lt;wsp:rsid wsp:val=&quot;009D79DB&quot;/&gt;&lt;wsp:rsid wsp:val=&quot;009D7A84&quot;/&gt;&lt;wsp:rsid wsp:val=&quot;009D7AB4&quot;/&gt;&lt;wsp:rsid wsp:val=&quot;009D7D1E&quot;/&gt;&lt;wsp:rsid wsp:val=&quot;009D7FD1&quot;/&gt;&lt;wsp:rsid wsp:val=&quot;009E037F&quot;/&gt;&lt;wsp:rsid wsp:val=&quot;009E07DE&quot;/&gt;&lt;wsp:rsid wsp:val=&quot;009E0BCD&quot;/&gt;&lt;wsp:rsid wsp:val=&quot;009E0BEF&quot;/&gt;&lt;wsp:rsid wsp:val=&quot;009E0DD7&quot;/&gt;&lt;wsp:rsid wsp:val=&quot;009E0F4D&quot;/&gt;&lt;wsp:rsid wsp:val=&quot;009E0FB4&quot;/&gt;&lt;wsp:rsid wsp:val=&quot;009E1086&quot;/&gt;&lt;wsp:rsid wsp:val=&quot;009E1294&quot;/&gt;&lt;wsp:rsid wsp:val=&quot;009E19F8&quot;/&gt;&lt;wsp:rsid wsp:val=&quot;009E1C77&quot;/&gt;&lt;wsp:rsid wsp:val=&quot;009E2DEE&quot;/&gt;&lt;wsp:rsid wsp:val=&quot;009E36EB&quot;/&gt;&lt;wsp:rsid wsp:val=&quot;009E3E4C&quot;/&gt;&lt;wsp:rsid wsp:val=&quot;009E3FFF&quot;/&gt;&lt;wsp:rsid wsp:val=&quot;009E45F4&quot;/&gt;&lt;wsp:rsid wsp:val=&quot;009E4622&quot;/&gt;&lt;wsp:rsid wsp:val=&quot;009E48F5&quot;/&gt;&lt;wsp:rsid wsp:val=&quot;009E5044&quot;/&gt;&lt;wsp:rsid wsp:val=&quot;009E5060&quot;/&gt;&lt;wsp:rsid wsp:val=&quot;009E53F0&quot;/&gt;&lt;wsp:rsid wsp:val=&quot;009E53F2&quot;/&gt;&lt;wsp:rsid wsp:val=&quot;009E5666&quot;/&gt;&lt;wsp:rsid wsp:val=&quot;009E56C1&quot;/&gt;&lt;wsp:rsid wsp:val=&quot;009E591E&quot;/&gt;&lt;wsp:rsid wsp:val=&quot;009E5D87&quot;/&gt;&lt;wsp:rsid wsp:val=&quot;009E5DE0&quot;/&gt;&lt;wsp:rsid wsp:val=&quot;009E68A8&quot;/&gt;&lt;wsp:rsid wsp:val=&quot;009E6988&quot;/&gt;&lt;wsp:rsid wsp:val=&quot;009E6C73&quot;/&gt;&lt;wsp:rsid wsp:val=&quot;009E6CC9&quot;/&gt;&lt;wsp:rsid wsp:val=&quot;009E71EE&quot;/&gt;&lt;wsp:rsid wsp:val=&quot;009E7D27&quot;/&gt;&lt;wsp:rsid wsp:val=&quot;009F0DAA&quot;/&gt;&lt;wsp:rsid wsp:val=&quot;009F0E30&quot;/&gt;&lt;wsp:rsid wsp:val=&quot;009F1B40&quot;/&gt;&lt;wsp:rsid wsp:val=&quot;009F1C8A&quot;/&gt;&lt;wsp:rsid wsp:val=&quot;009F254F&quot;/&gt;&lt;wsp:rsid wsp:val=&quot;009F26F9&quot;/&gt;&lt;wsp:rsid wsp:val=&quot;009F2846&quot;/&gt;&lt;wsp:rsid wsp:val=&quot;009F2AFA&quot;/&gt;&lt;wsp:rsid wsp:val=&quot;009F2D02&quot;/&gt;&lt;wsp:rsid wsp:val=&quot;009F3060&quot;/&gt;&lt;wsp:rsid wsp:val=&quot;009F37DD&quot;/&gt;&lt;wsp:rsid wsp:val=&quot;009F3857&quot;/&gt;&lt;wsp:rsid wsp:val=&quot;009F3960&quot;/&gt;&lt;wsp:rsid wsp:val=&quot;009F3C41&quot;/&gt;&lt;wsp:rsid wsp:val=&quot;009F426A&quot;/&gt;&lt;wsp:rsid wsp:val=&quot;009F4681&quot;/&gt;&lt;wsp:rsid wsp:val=&quot;009F48C5&quot;/&gt;&lt;wsp:rsid wsp:val=&quot;009F4D8C&quot;/&gt;&lt;wsp:rsid wsp:val=&quot;009F4FFF&quot;/&gt;&lt;wsp:rsid wsp:val=&quot;009F519D&quot;/&gt;&lt;wsp:rsid wsp:val=&quot;009F5232&quot;/&gt;&lt;wsp:rsid wsp:val=&quot;009F52A3&quot;/&gt;&lt;wsp:rsid wsp:val=&quot;009F53C7&quot;/&gt;&lt;wsp:rsid wsp:val=&quot;009F56F5&quot;/&gt;&lt;wsp:rsid wsp:val=&quot;009F590B&quot;/&gt;&lt;wsp:rsid wsp:val=&quot;009F5AF6&quot;/&gt;&lt;wsp:rsid wsp:val=&quot;009F5EC0&quot;/&gt;&lt;wsp:rsid wsp:val=&quot;009F6174&quot;/&gt;&lt;wsp:rsid wsp:val=&quot;009F61F3&quot;/&gt;&lt;wsp:rsid wsp:val=&quot;009F6612&quot;/&gt;&lt;wsp:rsid wsp:val=&quot;009F66D0&quot;/&gt;&lt;wsp:rsid wsp:val=&quot;009F6BFF&quot;/&gt;&lt;wsp:rsid wsp:val=&quot;009F6C12&quot;/&gt;&lt;wsp:rsid wsp:val=&quot;009F6C6F&quot;/&gt;&lt;wsp:rsid wsp:val=&quot;009F6D60&quot;/&gt;&lt;wsp:rsid wsp:val=&quot;009F6E91&quot;/&gt;&lt;wsp:rsid wsp:val=&quot;009F7704&quot;/&gt;&lt;wsp:rsid wsp:val=&quot;009F7E7D&quot;/&gt;&lt;wsp:rsid wsp:val=&quot;00A00108&quot;/&gt;&lt;wsp:rsid wsp:val=&quot;00A0029D&quot;/&gt;&lt;wsp:rsid wsp:val=&quot;00A006E2&quot;/&gt;&lt;wsp:rsid wsp:val=&quot;00A006EE&quot;/&gt;&lt;wsp:rsid wsp:val=&quot;00A0074F&quot;/&gt;&lt;wsp:rsid wsp:val=&quot;00A00F23&quot;/&gt;&lt;wsp:rsid wsp:val=&quot;00A013C1&quot;/&gt;&lt;wsp:rsid wsp:val=&quot;00A01BB7&quot;/&gt;&lt;wsp:rsid wsp:val=&quot;00A01BBC&quot;/&gt;&lt;wsp:rsid wsp:val=&quot;00A01C6B&quot;/&gt;&lt;wsp:rsid wsp:val=&quot;00A01CBE&quot;/&gt;&lt;wsp:rsid wsp:val=&quot;00A0234B&quot;/&gt;&lt;wsp:rsid wsp:val=&quot;00A024CC&quot;/&gt;&lt;wsp:rsid wsp:val=&quot;00A02851&quot;/&gt;&lt;wsp:rsid wsp:val=&quot;00A02878&quot;/&gt;&lt;wsp:rsid wsp:val=&quot;00A02CB7&quot;/&gt;&lt;wsp:rsid wsp:val=&quot;00A0335B&quot;/&gt;&lt;wsp:rsid wsp:val=&quot;00A03B79&quot;/&gt;&lt;wsp:rsid wsp:val=&quot;00A03E14&quot;/&gt;&lt;wsp:rsid wsp:val=&quot;00A04440&quot;/&gt;&lt;wsp:rsid wsp:val=&quot;00A04E5B&quot;/&gt;&lt;wsp:rsid wsp:val=&quot;00A04F29&quot;/&gt;&lt;wsp:rsid wsp:val=&quot;00A05038&quot;/&gt;&lt;wsp:rsid wsp:val=&quot;00A0578A&quot;/&gt;&lt;wsp:rsid wsp:val=&quot;00A05925&quot;/&gt;&lt;wsp:rsid wsp:val=&quot;00A05AA3&quot;/&gt;&lt;wsp:rsid wsp:val=&quot;00A05F18&quot;/&gt;&lt;wsp:rsid wsp:val=&quot;00A06349&quot;/&gt;&lt;wsp:rsid wsp:val=&quot;00A06389&quot;/&gt;&lt;wsp:rsid wsp:val=&quot;00A063D6&quot;/&gt;&lt;wsp:rsid wsp:val=&quot;00A06AF7&quot;/&gt;&lt;wsp:rsid wsp:val=&quot;00A06C3B&quot;/&gt;&lt;wsp:rsid wsp:val=&quot;00A0705C&quot;/&gt;&lt;wsp:rsid wsp:val=&quot;00A071F0&quot;/&gt;&lt;wsp:rsid wsp:val=&quot;00A0795B&quot;/&gt;&lt;wsp:rsid wsp:val=&quot;00A07FD5&quot;/&gt;&lt;wsp:rsid wsp:val=&quot;00A10198&quot;/&gt;&lt;wsp:rsid wsp:val=&quot;00A101C2&quot;/&gt;&lt;wsp:rsid wsp:val=&quot;00A10679&quot;/&gt;&lt;wsp:rsid wsp:val=&quot;00A106EB&quot;/&gt;&lt;wsp:rsid wsp:val=&quot;00A109EE&quot;/&gt;&lt;wsp:rsid wsp:val=&quot;00A112E7&quot;/&gt;&lt;wsp:rsid wsp:val=&quot;00A11859&quot;/&gt;&lt;wsp:rsid wsp:val=&quot;00A11F40&quot;/&gt;&lt;wsp:rsid wsp:val=&quot;00A12240&quot;/&gt;&lt;wsp:rsid wsp:val=&quot;00A12640&quot;/&gt;&lt;wsp:rsid wsp:val=&quot;00A128AA&quot;/&gt;&lt;wsp:rsid wsp:val=&quot;00A12C11&quot;/&gt;&lt;wsp:rsid wsp:val=&quot;00A12C12&quot;/&gt;&lt;wsp:rsid wsp:val=&quot;00A12D6A&quot;/&gt;&lt;wsp:rsid wsp:val=&quot;00A12D7C&quot;/&gt;&lt;wsp:rsid wsp:val=&quot;00A1375D&quot;/&gt;&lt;wsp:rsid wsp:val=&quot;00A1385D&quot;/&gt;&lt;wsp:rsid wsp:val=&quot;00A13B28&quot;/&gt;&lt;wsp:rsid wsp:val=&quot;00A13D39&quot;/&gt;&lt;wsp:rsid wsp:val=&quot;00A13F73&quot;/&gt;&lt;wsp:rsid wsp:val=&quot;00A13F82&quot;/&gt;&lt;wsp:rsid wsp:val=&quot;00A13FED&quot;/&gt;&lt;wsp:rsid wsp:val=&quot;00A14252&quot;/&gt;&lt;wsp:rsid wsp:val=&quot;00A148D1&quot;/&gt;&lt;wsp:rsid wsp:val=&quot;00A148FB&quot;/&gt;&lt;wsp:rsid wsp:val=&quot;00A14FE7&quot;/&gt;&lt;wsp:rsid wsp:val=&quot;00A150D5&quot;/&gt;&lt;wsp:rsid wsp:val=&quot;00A15168&quot;/&gt;&lt;wsp:rsid wsp:val=&quot;00A1543F&quot;/&gt;&lt;wsp:rsid wsp:val=&quot;00A15572&quot;/&gt;&lt;wsp:rsid wsp:val=&quot;00A15783&quot;/&gt;&lt;wsp:rsid wsp:val=&quot;00A15C97&quot;/&gt;&lt;wsp:rsid wsp:val=&quot;00A15CBA&quot;/&gt;&lt;wsp:rsid wsp:val=&quot;00A16141&quot;/&gt;&lt;wsp:rsid wsp:val=&quot;00A166D0&quot;/&gt;&lt;wsp:rsid wsp:val=&quot;00A16A35&quot;/&gt;&lt;wsp:rsid wsp:val=&quot;00A1722D&quot;/&gt;&lt;wsp:rsid wsp:val=&quot;00A1763E&quot;/&gt;&lt;wsp:rsid wsp:val=&quot;00A17B2D&quot;/&gt;&lt;wsp:rsid wsp:val=&quot;00A17C35&quot;/&gt;&lt;wsp:rsid wsp:val=&quot;00A17D80&quot;/&gt;&lt;wsp:rsid wsp:val=&quot;00A17DDB&quot;/&gt;&lt;wsp:rsid wsp:val=&quot;00A17E93&quot;/&gt;&lt;wsp:rsid wsp:val=&quot;00A17FD5&quot;/&gt;&lt;wsp:rsid wsp:val=&quot;00A20378&quot;/&gt;&lt;wsp:rsid wsp:val=&quot;00A209EA&quot;/&gt;&lt;wsp:rsid wsp:val=&quot;00A20D10&quot;/&gt;&lt;wsp:rsid wsp:val=&quot;00A20E6C&quot;/&gt;&lt;wsp:rsid wsp:val=&quot;00A20F11&quot;/&gt;&lt;wsp:rsid wsp:val=&quot;00A21ABD&quot;/&gt;&lt;wsp:rsid wsp:val=&quot;00A21BFA&quot;/&gt;&lt;wsp:rsid wsp:val=&quot;00A21CE4&quot;/&gt;&lt;wsp:rsid wsp:val=&quot;00A2207C&quot;/&gt;&lt;wsp:rsid wsp:val=&quot;00A22137&quot;/&gt;&lt;wsp:rsid wsp:val=&quot;00A226FC&quot;/&gt;&lt;wsp:rsid wsp:val=&quot;00A226FF&quot;/&gt;&lt;wsp:rsid wsp:val=&quot;00A2291F&quot;/&gt;&lt;wsp:rsid wsp:val=&quot;00A22E0D&quot;/&gt;&lt;wsp:rsid wsp:val=&quot;00A22F42&quot;/&gt;&lt;wsp:rsid wsp:val=&quot;00A23506&quot;/&gt;&lt;wsp:rsid wsp:val=&quot;00A23648&quot;/&gt;&lt;wsp:rsid wsp:val=&quot;00A23994&quot;/&gt;&lt;wsp:rsid wsp:val=&quot;00A23B5E&quot;/&gt;&lt;wsp:rsid wsp:val=&quot;00A24233&quot;/&gt;&lt;wsp:rsid wsp:val=&quot;00A24248&quot;/&gt;&lt;wsp:rsid wsp:val=&quot;00A24A2D&quot;/&gt;&lt;wsp:rsid wsp:val=&quot;00A252E7&quot;/&gt;&lt;wsp:rsid wsp:val=&quot;00A2593E&quot;/&gt;&lt;wsp:rsid wsp:val=&quot;00A261A7&quot;/&gt;&lt;wsp:rsid wsp:val=&quot;00A262EE&quot;/&gt;&lt;wsp:rsid wsp:val=&quot;00A270A3&quot;/&gt;&lt;wsp:rsid wsp:val=&quot;00A27218&quot;/&gt;&lt;wsp:rsid wsp:val=&quot;00A272C0&quot;/&gt;&lt;wsp:rsid wsp:val=&quot;00A27335&quot;/&gt;&lt;wsp:rsid wsp:val=&quot;00A27758&quot;/&gt;&lt;wsp:rsid wsp:val=&quot;00A27EF4&quot;/&gt;&lt;wsp:rsid wsp:val=&quot;00A27F1E&quot;/&gt;&lt;wsp:rsid wsp:val=&quot;00A30022&quot;/&gt;&lt;wsp:rsid wsp:val=&quot;00A30405&quot;/&gt;&lt;wsp:rsid wsp:val=&quot;00A30473&quot;/&gt;&lt;wsp:rsid wsp:val=&quot;00A304F6&quot;/&gt;&lt;wsp:rsid wsp:val=&quot;00A30940&quot;/&gt;&lt;wsp:rsid wsp:val=&quot;00A30C79&quot;/&gt;&lt;wsp:rsid wsp:val=&quot;00A30CD9&quot;/&gt;&lt;wsp:rsid wsp:val=&quot;00A30D84&quot;/&gt;&lt;wsp:rsid wsp:val=&quot;00A310F8&quot;/&gt;&lt;wsp:rsid wsp:val=&quot;00A31154&quot;/&gt;&lt;wsp:rsid wsp:val=&quot;00A3124A&quot;/&gt;&lt;wsp:rsid wsp:val=&quot;00A31811&quot;/&gt;&lt;wsp:rsid wsp:val=&quot;00A31CD5&quot;/&gt;&lt;wsp:rsid wsp:val=&quot;00A32633&quot;/&gt;&lt;wsp:rsid wsp:val=&quot;00A32EF9&quot;/&gt;&lt;wsp:rsid wsp:val=&quot;00A3384E&quot;/&gt;&lt;wsp:rsid wsp:val=&quot;00A33D51&quot;/&gt;&lt;wsp:rsid wsp:val=&quot;00A33EAA&quot;/&gt;&lt;wsp:rsid wsp:val=&quot;00A34099&quot;/&gt;&lt;wsp:rsid wsp:val=&quot;00A343F7&quot;/&gt;&lt;wsp:rsid wsp:val=&quot;00A34488&quot;/&gt;&lt;wsp:rsid wsp:val=&quot;00A34787&quot;/&gt;&lt;wsp:rsid wsp:val=&quot;00A3483B&quot;/&gt;&lt;wsp:rsid wsp:val=&quot;00A348E8&quot;/&gt;&lt;wsp:rsid wsp:val=&quot;00A34919&quot;/&gt;&lt;wsp:rsid wsp:val=&quot;00A34AB2&quot;/&gt;&lt;wsp:rsid wsp:val=&quot;00A3521D&quot;/&gt;&lt;wsp:rsid wsp:val=&quot;00A352D6&quot;/&gt;&lt;wsp:rsid wsp:val=&quot;00A35655&quot;/&gt;&lt;wsp:rsid wsp:val=&quot;00A35DA5&quot;/&gt;&lt;wsp:rsid wsp:val=&quot;00A3602A&quot;/&gt;&lt;wsp:rsid wsp:val=&quot;00A3612D&quot;/&gt;&lt;wsp:rsid wsp:val=&quot;00A3687D&quot;/&gt;&lt;wsp:rsid wsp:val=&quot;00A36911&quot;/&gt;&lt;wsp:rsid wsp:val=&quot;00A36FC7&quot;/&gt;&lt;wsp:rsid wsp:val=&quot;00A375E3&quot;/&gt;&lt;wsp:rsid wsp:val=&quot;00A37CCC&quot;/&gt;&lt;wsp:rsid wsp:val=&quot;00A37D0D&quot;/&gt;&lt;wsp:rsid wsp:val=&quot;00A40248&quot;/&gt;&lt;wsp:rsid wsp:val=&quot;00A40A2D&quot;/&gt;&lt;wsp:rsid wsp:val=&quot;00A40C6F&quot;/&gt;&lt;wsp:rsid wsp:val=&quot;00A40F5C&quot;/&gt;&lt;wsp:rsid wsp:val=&quot;00A41847&quot;/&gt;&lt;wsp:rsid wsp:val=&quot;00A41B59&quot;/&gt;&lt;wsp:rsid wsp:val=&quot;00A41EEF&quot;/&gt;&lt;wsp:rsid wsp:val=&quot;00A4240B&quot;/&gt;&lt;wsp:rsid wsp:val=&quot;00A4252A&quot;/&gt;&lt;wsp:rsid wsp:val=&quot;00A429A0&quot;/&gt;&lt;wsp:rsid wsp:val=&quot;00A43176&quot;/&gt;&lt;wsp:rsid wsp:val=&quot;00A43177&quot;/&gt;&lt;wsp:rsid wsp:val=&quot;00A43326&quot;/&gt;&lt;wsp:rsid wsp:val=&quot;00A43637&quot;/&gt;&lt;wsp:rsid wsp:val=&quot;00A4383F&quot;/&gt;&lt;wsp:rsid wsp:val=&quot;00A43F6D&quot;/&gt;&lt;wsp:rsid wsp:val=&quot;00A442DB&quot;/&gt;&lt;wsp:rsid wsp:val=&quot;00A44F49&quot;/&gt;&lt;wsp:rsid wsp:val=&quot;00A465D5&quot;/&gt;&lt;wsp:rsid wsp:val=&quot;00A47257&quot;/&gt;&lt;wsp:rsid wsp:val=&quot;00A4729B&quot;/&gt;&lt;wsp:rsid wsp:val=&quot;00A4778F&quot;/&gt;&lt;wsp:rsid wsp:val=&quot;00A47AEC&quot;/&gt;&lt;wsp:rsid wsp:val=&quot;00A47F2C&quot;/&gt;&lt;wsp:rsid wsp:val=&quot;00A50056&quot;/&gt;&lt;wsp:rsid wsp:val=&quot;00A5053E&quot;/&gt;&lt;wsp:rsid wsp:val=&quot;00A50D97&quot;/&gt;&lt;wsp:rsid wsp:val=&quot;00A51313&quot;/&gt;&lt;wsp:rsid wsp:val=&quot;00A513B8&quot;/&gt;&lt;wsp:rsid wsp:val=&quot;00A51795&quot;/&gt;&lt;wsp:rsid wsp:val=&quot;00A51870&quot;/&gt;&lt;wsp:rsid wsp:val=&quot;00A518ED&quot;/&gt;&lt;wsp:rsid wsp:val=&quot;00A51CA5&quot;/&gt;&lt;wsp:rsid wsp:val=&quot;00A51F41&quot;/&gt;&lt;wsp:rsid wsp:val=&quot;00A51F64&quot;/&gt;&lt;wsp:rsid wsp:val=&quot;00A52270&quot;/&gt;&lt;wsp:rsid wsp:val=&quot;00A526BB&quot;/&gt;&lt;wsp:rsid wsp:val=&quot;00A528FE&quot;/&gt;&lt;wsp:rsid wsp:val=&quot;00A52AB8&quot;/&gt;&lt;wsp:rsid wsp:val=&quot;00A52C16&quot;/&gt;&lt;wsp:rsid wsp:val=&quot;00A52FAE&quot;/&gt;&lt;wsp:rsid wsp:val=&quot;00A53478&quot;/&gt;&lt;wsp:rsid wsp:val=&quot;00A537B8&quot;/&gt;&lt;wsp:rsid wsp:val=&quot;00A537CA&quot;/&gt;&lt;wsp:rsid wsp:val=&quot;00A53809&quot;/&gt;&lt;wsp:rsid wsp:val=&quot;00A53D59&quot;/&gt;&lt;wsp:rsid wsp:val=&quot;00A53E21&quot;/&gt;&lt;wsp:rsid wsp:val=&quot;00A54816&quot;/&gt;&lt;wsp:rsid wsp:val=&quot;00A54971&quot;/&gt;&lt;wsp:rsid wsp:val=&quot;00A54E31&quot;/&gt;&lt;wsp:rsid wsp:val=&quot;00A5553C&quot;/&gt;&lt;wsp:rsid wsp:val=&quot;00A55B82&quot;/&gt;&lt;wsp:rsid wsp:val=&quot;00A56042&quot;/&gt;&lt;wsp:rsid wsp:val=&quot;00A5604E&quot;/&gt;&lt;wsp:rsid wsp:val=&quot;00A56484&quot;/&gt;&lt;wsp:rsid wsp:val=&quot;00A56E0B&quot;/&gt;&lt;wsp:rsid wsp:val=&quot;00A575B8&quot;/&gt;&lt;wsp:rsid wsp:val=&quot;00A57746&quot;/&gt;&lt;wsp:rsid wsp:val=&quot;00A57A97&quot;/&gt;&lt;wsp:rsid wsp:val=&quot;00A57D2D&quot;/&gt;&lt;wsp:rsid wsp:val=&quot;00A6006A&quot;/&gt;&lt;wsp:rsid wsp:val=&quot;00A6014E&quot;/&gt;&lt;wsp:rsid wsp:val=&quot;00A604C0&quot;/&gt;&lt;wsp:rsid wsp:val=&quot;00A607AF&quot;/&gt;&lt;wsp:rsid wsp:val=&quot;00A60DD1&quot;/&gt;&lt;wsp:rsid wsp:val=&quot;00A6113E&quot;/&gt;&lt;wsp:rsid wsp:val=&quot;00A6171A&quot;/&gt;&lt;wsp:rsid wsp:val=&quot;00A61798&quot;/&gt;&lt;wsp:rsid wsp:val=&quot;00A6194C&quot;/&gt;&lt;wsp:rsid wsp:val=&quot;00A61983&quot;/&gt;&lt;wsp:rsid wsp:val=&quot;00A61A8E&quot;/&gt;&lt;wsp:rsid wsp:val=&quot;00A61DB3&quot;/&gt;&lt;wsp:rsid wsp:val=&quot;00A61E69&quot;/&gt;&lt;wsp:rsid wsp:val=&quot;00A62020&quot;/&gt;&lt;wsp:rsid wsp:val=&quot;00A626B2&quot;/&gt;&lt;wsp:rsid wsp:val=&quot;00A627DD&quot;/&gt;&lt;wsp:rsid wsp:val=&quot;00A629DA&quot;/&gt;&lt;wsp:rsid wsp:val=&quot;00A6304F&quot;/&gt;&lt;wsp:rsid wsp:val=&quot;00A63AA4&quot;/&gt;&lt;wsp:rsid wsp:val=&quot;00A63B13&quot;/&gt;&lt;wsp:rsid wsp:val=&quot;00A63D49&quot;/&gt;&lt;wsp:rsid wsp:val=&quot;00A64267&quot;/&gt;&lt;wsp:rsid wsp:val=&quot;00A648AE&quot;/&gt;&lt;wsp:rsid wsp:val=&quot;00A64BC5&quot;/&gt;&lt;wsp:rsid wsp:val=&quot;00A64D66&quot;/&gt;&lt;wsp:rsid wsp:val=&quot;00A65203&quot;/&gt;&lt;wsp:rsid wsp:val=&quot;00A65267&quot;/&gt;&lt;wsp:rsid wsp:val=&quot;00A6539A&quot;/&gt;&lt;wsp:rsid wsp:val=&quot;00A65429&quot;/&gt;&lt;wsp:rsid wsp:val=&quot;00A65763&quot;/&gt;&lt;wsp:rsid wsp:val=&quot;00A65CF2&quot;/&gt;&lt;wsp:rsid wsp:val=&quot;00A65FB1&quot;/&gt;&lt;wsp:rsid wsp:val=&quot;00A660DE&quot;/&gt;&lt;wsp:rsid wsp:val=&quot;00A66337&quot;/&gt;&lt;wsp:rsid wsp:val=&quot;00A66855&quot;/&gt;&lt;wsp:rsid wsp:val=&quot;00A66C91&quot;/&gt;&lt;wsp:rsid wsp:val=&quot;00A66D12&quot;/&gt;&lt;wsp:rsid wsp:val=&quot;00A66D7A&quot;/&gt;&lt;wsp:rsid wsp:val=&quot;00A670D6&quot;/&gt;&lt;wsp:rsid wsp:val=&quot;00A6729D&quot;/&gt;&lt;wsp:rsid wsp:val=&quot;00A67394&quot;/&gt;&lt;wsp:rsid wsp:val=&quot;00A677B5&quot;/&gt;&lt;wsp:rsid wsp:val=&quot;00A6790F&quot;/&gt;&lt;wsp:rsid wsp:val=&quot;00A67912&quot;/&gt;&lt;wsp:rsid wsp:val=&quot;00A67DAC&quot;/&gt;&lt;wsp:rsid wsp:val=&quot;00A701FD&quot;/&gt;&lt;wsp:rsid wsp:val=&quot;00A707D4&quot;/&gt;&lt;wsp:rsid wsp:val=&quot;00A70A5B&quot;/&gt;&lt;wsp:rsid wsp:val=&quot;00A70BDE&quot;/&gt;&lt;wsp:rsid wsp:val=&quot;00A70E8D&quot;/&gt;&lt;wsp:rsid wsp:val=&quot;00A70EC1&quot;/&gt;&lt;wsp:rsid wsp:val=&quot;00A70F52&quot;/&gt;&lt;wsp:rsid wsp:val=&quot;00A710F7&quot;/&gt;&lt;wsp:rsid wsp:val=&quot;00A71124&quot;/&gt;&lt;wsp:rsid wsp:val=&quot;00A7121B&quot;/&gt;&lt;wsp:rsid wsp:val=&quot;00A715C6&quot;/&gt;&lt;wsp:rsid wsp:val=&quot;00A715FD&quot;/&gt;&lt;wsp:rsid wsp:val=&quot;00A71A9A&quot;/&gt;&lt;wsp:rsid wsp:val=&quot;00A71FF8&quot;/&gt;&lt;wsp:rsid wsp:val=&quot;00A7266F&quot;/&gt;&lt;wsp:rsid wsp:val=&quot;00A72C11&quot;/&gt;&lt;wsp:rsid wsp:val=&quot;00A72E7A&quot;/&gt;&lt;wsp:rsid wsp:val=&quot;00A7352C&quot;/&gt;&lt;wsp:rsid wsp:val=&quot;00A73841&quot;/&gt;&lt;wsp:rsid wsp:val=&quot;00A73A59&quot;/&gt;&lt;wsp:rsid wsp:val=&quot;00A73D44&quot;/&gt;&lt;wsp:rsid wsp:val=&quot;00A741C8&quot;/&gt;&lt;wsp:rsid wsp:val=&quot;00A74A9A&quot;/&gt;&lt;wsp:rsid wsp:val=&quot;00A74C38&quot;/&gt;&lt;wsp:rsid wsp:val=&quot;00A75314&quot;/&gt;&lt;wsp:rsid wsp:val=&quot;00A7562A&quot;/&gt;&lt;wsp:rsid wsp:val=&quot;00A75D66&quot;/&gt;&lt;wsp:rsid wsp:val=&quot;00A75E31&quot;/&gt;&lt;wsp:rsid wsp:val=&quot;00A75E76&quot;/&gt;&lt;wsp:rsid wsp:val=&quot;00A76326&quot;/&gt;&lt;wsp:rsid wsp:val=&quot;00A765A2&quot;/&gt;&lt;wsp:rsid wsp:val=&quot;00A765C0&quot;/&gt;&lt;wsp:rsid wsp:val=&quot;00A7686C&quot;/&gt;&lt;wsp:rsid wsp:val=&quot;00A76A08&quot;/&gt;&lt;wsp:rsid wsp:val=&quot;00A76A40&quot;/&gt;&lt;wsp:rsid wsp:val=&quot;00A76B2A&quot;/&gt;&lt;wsp:rsid wsp:val=&quot;00A76D07&quot;/&gt;&lt;wsp:rsid wsp:val=&quot;00A76E3C&quot;/&gt;&lt;wsp:rsid wsp:val=&quot;00A7790D&quot;/&gt;&lt;wsp:rsid wsp:val=&quot;00A77B57&quot;/&gt;&lt;wsp:rsid wsp:val=&quot;00A77BFB&quot;/&gt;&lt;wsp:rsid wsp:val=&quot;00A800B3&quot;/&gt;&lt;wsp:rsid wsp:val=&quot;00A80333&quot;/&gt;&lt;wsp:rsid wsp:val=&quot;00A807B7&quot;/&gt;&lt;wsp:rsid wsp:val=&quot;00A80877&quot;/&gt;&lt;wsp:rsid wsp:val=&quot;00A80892&quot;/&gt;&lt;wsp:rsid wsp:val=&quot;00A80A0E&quot;/&gt;&lt;wsp:rsid wsp:val=&quot;00A80A86&quot;/&gt;&lt;wsp:rsid wsp:val=&quot;00A810F9&quot;/&gt;&lt;wsp:rsid wsp:val=&quot;00A8111C&quot;/&gt;&lt;wsp:rsid wsp:val=&quot;00A8170A&quot;/&gt;&lt;wsp:rsid wsp:val=&quot;00A818A4&quot;/&gt;&lt;wsp:rsid wsp:val=&quot;00A81DD7&quot;/&gt;&lt;wsp:rsid wsp:val=&quot;00A820B4&quot;/&gt;&lt;wsp:rsid wsp:val=&quot;00A82346&quot;/&gt;&lt;wsp:rsid wsp:val=&quot;00A82675&quot;/&gt;&lt;wsp:rsid wsp:val=&quot;00A82773&quot;/&gt;&lt;wsp:rsid wsp:val=&quot;00A8277D&quot;/&gt;&lt;wsp:rsid wsp:val=&quot;00A83BFC&quot;/&gt;&lt;wsp:rsid wsp:val=&quot;00A83DD5&quot;/&gt;&lt;wsp:rsid wsp:val=&quot;00A841A8&quot;/&gt;&lt;wsp:rsid wsp:val=&quot;00A8425B&quot;/&gt;&lt;wsp:rsid wsp:val=&quot;00A84D1E&quot;/&gt;&lt;wsp:rsid wsp:val=&quot;00A85234&quot;/&gt;&lt;wsp:rsid wsp:val=&quot;00A853B5&quot;/&gt;&lt;wsp:rsid wsp:val=&quot;00A855A2&quot;/&gt;&lt;wsp:rsid wsp:val=&quot;00A85755&quot;/&gt;&lt;wsp:rsid wsp:val=&quot;00A858ED&quot;/&gt;&lt;wsp:rsid wsp:val=&quot;00A85A20&quot;/&gt;&lt;wsp:rsid wsp:val=&quot;00A85D90&quot;/&gt;&lt;wsp:rsid wsp:val=&quot;00A85E89&quot;/&gt;&lt;wsp:rsid wsp:val=&quot;00A85EB0&quot;/&gt;&lt;wsp:rsid wsp:val=&quot;00A86531&quot;/&gt;&lt;wsp:rsid wsp:val=&quot;00A867EB&quot;/&gt;&lt;wsp:rsid wsp:val=&quot;00A86B33&quot;/&gt;&lt;wsp:rsid wsp:val=&quot;00A86EEB&quot;/&gt;&lt;wsp:rsid wsp:val=&quot;00A87155&quot;/&gt;&lt;wsp:rsid wsp:val=&quot;00A87208&quot;/&gt;&lt;wsp:rsid wsp:val=&quot;00A87724&quot;/&gt;&lt;wsp:rsid wsp:val=&quot;00A87820&quot;/&gt;&lt;wsp:rsid wsp:val=&quot;00A8788D&quot;/&gt;&lt;wsp:rsid wsp:val=&quot;00A878A4&quot;/&gt;&lt;wsp:rsid wsp:val=&quot;00A879D6&quot;/&gt;&lt;wsp:rsid wsp:val=&quot;00A87C29&quot;/&gt;&lt;wsp:rsid wsp:val=&quot;00A87F41&quot;/&gt;&lt;wsp:rsid wsp:val=&quot;00A903DE&quot;/&gt;&lt;wsp:rsid wsp:val=&quot;00A90584&quot;/&gt;&lt;wsp:rsid wsp:val=&quot;00A90A12&quot;/&gt;&lt;wsp:rsid wsp:val=&quot;00A90F31&quot;/&gt;&lt;wsp:rsid wsp:val=&quot;00A912DD&quot;/&gt;&lt;wsp:rsid wsp:val=&quot;00A915D8&quot;/&gt;&lt;wsp:rsid wsp:val=&quot;00A91839&quot;/&gt;&lt;wsp:rsid wsp:val=&quot;00A91B76&quot;/&gt;&lt;wsp:rsid wsp:val=&quot;00A91B9A&quot;/&gt;&lt;wsp:rsid wsp:val=&quot;00A91E08&quot;/&gt;&lt;wsp:rsid wsp:val=&quot;00A92168&quot;/&gt;&lt;wsp:rsid wsp:val=&quot;00A92513&quot;/&gt;&lt;wsp:rsid wsp:val=&quot;00A928DB&quot;/&gt;&lt;wsp:rsid wsp:val=&quot;00A9295F&quot;/&gt;&lt;wsp:rsid wsp:val=&quot;00A92B87&quot;/&gt;&lt;wsp:rsid wsp:val=&quot;00A9315B&quot;/&gt;&lt;wsp:rsid wsp:val=&quot;00A931F2&quot;/&gt;&lt;wsp:rsid wsp:val=&quot;00A93507&quot;/&gt;&lt;wsp:rsid wsp:val=&quot;00A935C3&quot;/&gt;&lt;wsp:rsid wsp:val=&quot;00A93D4E&quot;/&gt;&lt;wsp:rsid wsp:val=&quot;00A93DE5&quot;/&gt;&lt;wsp:rsid wsp:val=&quot;00A93DE8&quot;/&gt;&lt;wsp:rsid wsp:val=&quot;00A93F76&quot;/&gt;&lt;wsp:rsid wsp:val=&quot;00A94491&quot;/&gt;&lt;wsp:rsid wsp:val=&quot;00A9480B&quot;/&gt;&lt;wsp:rsid wsp:val=&quot;00A94810&quot;/&gt;&lt;wsp:rsid wsp:val=&quot;00A951C6&quot;/&gt;&lt;wsp:rsid wsp:val=&quot;00A95BEC&quot;/&gt;&lt;wsp:rsid wsp:val=&quot;00A961BB&quot;/&gt;&lt;wsp:rsid wsp:val=&quot;00A9681E&quot;/&gt;&lt;wsp:rsid wsp:val=&quot;00A96A52&quot;/&gt;&lt;wsp:rsid wsp:val=&quot;00A96A66&quot;/&gt;&lt;wsp:rsid wsp:val=&quot;00A96AE7&quot;/&gt;&lt;wsp:rsid wsp:val=&quot;00A96EA8&quot;/&gt;&lt;wsp:rsid wsp:val=&quot;00A97920&quot;/&gt;&lt;wsp:rsid wsp:val=&quot;00A97D65&quot;/&gt;&lt;wsp:rsid wsp:val=&quot;00A97F1F&quot;/&gt;&lt;wsp:rsid wsp:val=&quot;00AA02FD&quot;/&gt;&lt;wsp:rsid wsp:val=&quot;00AA042C&quot;/&gt;&lt;wsp:rsid wsp:val=&quot;00AA0584&quot;/&gt;&lt;wsp:rsid wsp:val=&quot;00AA069E&quot;/&gt;&lt;wsp:rsid wsp:val=&quot;00AA0A78&quot;/&gt;&lt;wsp:rsid wsp:val=&quot;00AA0C0C&quot;/&gt;&lt;wsp:rsid wsp:val=&quot;00AA0C45&quot;/&gt;&lt;wsp:rsid wsp:val=&quot;00AA1080&quot;/&gt;&lt;wsp:rsid wsp:val=&quot;00AA1CBC&quot;/&gt;&lt;wsp:rsid wsp:val=&quot;00AA23FC&quot;/&gt;&lt;wsp:rsid wsp:val=&quot;00AA2521&quot;/&gt;&lt;wsp:rsid wsp:val=&quot;00AA2F18&quot;/&gt;&lt;wsp:rsid wsp:val=&quot;00AA314E&quot;/&gt;&lt;wsp:rsid wsp:val=&quot;00AA33A4&quot;/&gt;&lt;wsp:rsid wsp:val=&quot;00AA346B&quot;/&gt;&lt;wsp:rsid wsp:val=&quot;00AA3476&quot;/&gt;&lt;wsp:rsid wsp:val=&quot;00AA3937&quot;/&gt;&lt;wsp:rsid wsp:val=&quot;00AA3B2C&quot;/&gt;&lt;wsp:rsid wsp:val=&quot;00AA3C7A&quot;/&gt;&lt;wsp:rsid wsp:val=&quot;00AA3CBE&quot;/&gt;&lt;wsp:rsid wsp:val=&quot;00AA4246&quot;/&gt;&lt;wsp:rsid wsp:val=&quot;00AA4607&quot;/&gt;&lt;wsp:rsid wsp:val=&quot;00AA47E8&quot;/&gt;&lt;wsp:rsid wsp:val=&quot;00AA48A3&quot;/&gt;&lt;wsp:rsid wsp:val=&quot;00AA4924&quot;/&gt;&lt;wsp:rsid wsp:val=&quot;00AA4D99&quot;/&gt;&lt;wsp:rsid wsp:val=&quot;00AA4E2D&quot;/&gt;&lt;wsp:rsid wsp:val=&quot;00AA510B&quot;/&gt;&lt;wsp:rsid wsp:val=&quot;00AA512E&quot;/&gt;&lt;wsp:rsid wsp:val=&quot;00AA51BB&quot;/&gt;&lt;wsp:rsid wsp:val=&quot;00AA52B0&quot;/&gt;&lt;wsp:rsid wsp:val=&quot;00AA54CF&quot;/&gt;&lt;wsp:rsid wsp:val=&quot;00AA55AC&quot;/&gt;&lt;wsp:rsid wsp:val=&quot;00AA55DC&quot;/&gt;&lt;wsp:rsid wsp:val=&quot;00AA5A0A&quot;/&gt;&lt;wsp:rsid wsp:val=&quot;00AA5D36&quot;/&gt;&lt;wsp:rsid wsp:val=&quot;00AA5F33&quot;/&gt;&lt;wsp:rsid wsp:val=&quot;00AA66CE&quot;/&gt;&lt;wsp:rsid wsp:val=&quot;00AA6F5D&quot;/&gt;&lt;wsp:rsid wsp:val=&quot;00AA7915&quot;/&gt;&lt;wsp:rsid wsp:val=&quot;00AB097D&quot;/&gt;&lt;wsp:rsid wsp:val=&quot;00AB0B87&quot;/&gt;&lt;wsp:rsid wsp:val=&quot;00AB0E1C&quot;/&gt;&lt;wsp:rsid wsp:val=&quot;00AB10CD&quot;/&gt;&lt;wsp:rsid wsp:val=&quot;00AB1244&quot;/&gt;&lt;wsp:rsid wsp:val=&quot;00AB1504&quot;/&gt;&lt;wsp:rsid wsp:val=&quot;00AB20B0&quot;/&gt;&lt;wsp:rsid wsp:val=&quot;00AB2119&quot;/&gt;&lt;wsp:rsid wsp:val=&quot;00AB237C&quot;/&gt;&lt;wsp:rsid wsp:val=&quot;00AB269D&quot;/&gt;&lt;wsp:rsid wsp:val=&quot;00AB274E&quot;/&gt;&lt;wsp:rsid wsp:val=&quot;00AB292A&quot;/&gt;&lt;wsp:rsid wsp:val=&quot;00AB2CF5&quot;/&gt;&lt;wsp:rsid wsp:val=&quot;00AB2E72&quot;/&gt;&lt;wsp:rsid wsp:val=&quot;00AB2F00&quot;/&gt;&lt;wsp:rsid wsp:val=&quot;00AB301B&quot;/&gt;&lt;wsp:rsid wsp:val=&quot;00AB308B&quot;/&gt;&lt;wsp:rsid wsp:val=&quot;00AB3408&quot;/&gt;&lt;wsp:rsid wsp:val=&quot;00AB364B&quot;/&gt;&lt;wsp:rsid wsp:val=&quot;00AB389E&quot;/&gt;&lt;wsp:rsid wsp:val=&quot;00AB3D6A&quot;/&gt;&lt;wsp:rsid wsp:val=&quot;00AB42B0&quot;/&gt;&lt;wsp:rsid wsp:val=&quot;00AB47F0&quot;/&gt;&lt;wsp:rsid wsp:val=&quot;00AB4952&quot;/&gt;&lt;wsp:rsid wsp:val=&quot;00AB4C51&quot;/&gt;&lt;wsp:rsid wsp:val=&quot;00AB4C7F&quot;/&gt;&lt;wsp:rsid wsp:val=&quot;00AB4E24&quot;/&gt;&lt;wsp:rsid wsp:val=&quot;00AB4FE3&quot;/&gt;&lt;wsp:rsid wsp:val=&quot;00AB504C&quot;/&gt;&lt;wsp:rsid wsp:val=&quot;00AB51FA&quot;/&gt;&lt;wsp:rsid wsp:val=&quot;00AB5375&quot;/&gt;&lt;wsp:rsid wsp:val=&quot;00AB5404&quot;/&gt;&lt;wsp:rsid wsp:val=&quot;00AB55DD&quot;/&gt;&lt;wsp:rsid wsp:val=&quot;00AB5747&quot;/&gt;&lt;wsp:rsid wsp:val=&quot;00AB5B35&quot;/&gt;&lt;wsp:rsid wsp:val=&quot;00AB5CE5&quot;/&gt;&lt;wsp:rsid wsp:val=&quot;00AB67B5&quot;/&gt;&lt;wsp:rsid wsp:val=&quot;00AB67F3&quot;/&gt;&lt;wsp:rsid wsp:val=&quot;00AB6D48&quot;/&gt;&lt;wsp:rsid wsp:val=&quot;00AB6EC3&quot;/&gt;&lt;wsp:rsid wsp:val=&quot;00AB7C45&quot;/&gt;&lt;wsp:rsid wsp:val=&quot;00AC0763&quot;/&gt;&lt;wsp:rsid wsp:val=&quot;00AC0967&quot;/&gt;&lt;wsp:rsid wsp:val=&quot;00AC0D90&quot;/&gt;&lt;wsp:rsid wsp:val=&quot;00AC1044&quot;/&gt;&lt;wsp:rsid wsp:val=&quot;00AC1366&quot;/&gt;&lt;wsp:rsid wsp:val=&quot;00AC1455&quot;/&gt;&lt;wsp:rsid wsp:val=&quot;00AC18E9&quot;/&gt;&lt;wsp:rsid wsp:val=&quot;00AC19BD&quot;/&gt;&lt;wsp:rsid wsp:val=&quot;00AC2032&quot;/&gt;&lt;wsp:rsid wsp:val=&quot;00AC20DA&quot;/&gt;&lt;wsp:rsid wsp:val=&quot;00AC22D2&quot;/&gt;&lt;wsp:rsid wsp:val=&quot;00AC2495&quot;/&gt;&lt;wsp:rsid wsp:val=&quot;00AC2652&quot;/&gt;&lt;wsp:rsid wsp:val=&quot;00AC2926&quot;/&gt;&lt;wsp:rsid wsp:val=&quot;00AC2B5B&quot;/&gt;&lt;wsp:rsid wsp:val=&quot;00AC308A&quot;/&gt;&lt;wsp:rsid wsp:val=&quot;00AC358E&quot;/&gt;&lt;wsp:rsid wsp:val=&quot;00AC3903&quot;/&gt;&lt;wsp:rsid wsp:val=&quot;00AC4063&quot;/&gt;&lt;wsp:rsid wsp:val=&quot;00AC40EE&quot;/&gt;&lt;wsp:rsid wsp:val=&quot;00AC4234&quot;/&gt;&lt;wsp:rsid wsp:val=&quot;00AC4D26&quot;/&gt;&lt;wsp:rsid wsp:val=&quot;00AC4E76&quot;/&gt;&lt;wsp:rsid wsp:val=&quot;00AC4F73&quot;/&gt;&lt;wsp:rsid wsp:val=&quot;00AC533B&quot;/&gt;&lt;wsp:rsid wsp:val=&quot;00AC56DD&quot;/&gt;&lt;wsp:rsid wsp:val=&quot;00AC5796&quot;/&gt;&lt;wsp:rsid wsp:val=&quot;00AC650B&quot;/&gt;&lt;wsp:rsid wsp:val=&quot;00AC6598&quot;/&gt;&lt;wsp:rsid wsp:val=&quot;00AC68D8&quot;/&gt;&lt;wsp:rsid wsp:val=&quot;00AC699A&quot;/&gt;&lt;wsp:rsid wsp:val=&quot;00AC6C6D&quot;/&gt;&lt;wsp:rsid wsp:val=&quot;00AC6DC2&quot;/&gt;&lt;wsp:rsid wsp:val=&quot;00AC704A&quot;/&gt;&lt;wsp:rsid wsp:val=&quot;00AC73C4&quot;/&gt;&lt;wsp:rsid wsp:val=&quot;00AC77AC&quot;/&gt;&lt;wsp:rsid wsp:val=&quot;00AC7D8E&quot;/&gt;&lt;wsp:rsid wsp:val=&quot;00AD009D&quot;/&gt;&lt;wsp:rsid wsp:val=&quot;00AD034D&quot;/&gt;&lt;wsp:rsid wsp:val=&quot;00AD040A&quot;/&gt;&lt;wsp:rsid wsp:val=&quot;00AD0684&quot;/&gt;&lt;wsp:rsid wsp:val=&quot;00AD0779&quot;/&gt;&lt;wsp:rsid wsp:val=&quot;00AD08EF&quot;/&gt;&lt;wsp:rsid wsp:val=&quot;00AD1039&quot;/&gt;&lt;wsp:rsid wsp:val=&quot;00AD1BF3&quot;/&gt;&lt;wsp:rsid wsp:val=&quot;00AD1E48&quot;/&gt;&lt;wsp:rsid wsp:val=&quot;00AD2171&quot;/&gt;&lt;wsp:rsid wsp:val=&quot;00AD3062&quot;/&gt;&lt;wsp:rsid wsp:val=&quot;00AD3099&quot;/&gt;&lt;wsp:rsid wsp:val=&quot;00AD312C&quot;/&gt;&lt;wsp:rsid wsp:val=&quot;00AD32CE&quot;/&gt;&lt;wsp:rsid wsp:val=&quot;00AD334F&quot;/&gt;&lt;wsp:rsid wsp:val=&quot;00AD3D3D&quot;/&gt;&lt;wsp:rsid wsp:val=&quot;00AD405F&quot;/&gt;&lt;wsp:rsid wsp:val=&quot;00AD40C2&quot;/&gt;&lt;wsp:rsid wsp:val=&quot;00AD4218&quot;/&gt;&lt;wsp:rsid wsp:val=&quot;00AD4487&quot;/&gt;&lt;wsp:rsid wsp:val=&quot;00AD46B1&quot;/&gt;&lt;wsp:rsid wsp:val=&quot;00AD475B&quot;/&gt;&lt;wsp:rsid wsp:val=&quot;00AD4D3C&quot;/&gt;&lt;wsp:rsid wsp:val=&quot;00AD502A&quot;/&gt;&lt;wsp:rsid wsp:val=&quot;00AD56C8&quot;/&gt;&lt;wsp:rsid wsp:val=&quot;00AD5D9A&quot;/&gt;&lt;wsp:rsid wsp:val=&quot;00AD5DF1&quot;/&gt;&lt;wsp:rsid wsp:val=&quot;00AD63F8&quot;/&gt;&lt;wsp:rsid wsp:val=&quot;00AD67A3&quot;/&gt;&lt;wsp:rsid wsp:val=&quot;00AD67D1&quot;/&gt;&lt;wsp:rsid wsp:val=&quot;00AD6D97&quot;/&gt;&lt;wsp:rsid wsp:val=&quot;00AD6F2C&quot;/&gt;&lt;wsp:rsid wsp:val=&quot;00AD74DE&quot;/&gt;&lt;wsp:rsid wsp:val=&quot;00AD75D9&quot;/&gt;&lt;wsp:rsid wsp:val=&quot;00AD767D&quot;/&gt;&lt;wsp:rsid wsp:val=&quot;00AD79C8&quot;/&gt;&lt;wsp:rsid wsp:val=&quot;00AE024C&quot;/&gt;&lt;wsp:rsid wsp:val=&quot;00AE068F&quot;/&gt;&lt;wsp:rsid wsp:val=&quot;00AE0719&quot;/&gt;&lt;wsp:rsid wsp:val=&quot;00AE084B&quot;/&gt;&lt;wsp:rsid wsp:val=&quot;00AE0FEB&quot;/&gt;&lt;wsp:rsid wsp:val=&quot;00AE0FF8&quot;/&gt;&lt;wsp:rsid wsp:val=&quot;00AE1545&quot;/&gt;&lt;wsp:rsid wsp:val=&quot;00AE15DC&quot;/&gt;&lt;wsp:rsid wsp:val=&quot;00AE1955&quot;/&gt;&lt;wsp:rsid wsp:val=&quot;00AE1B40&quot;/&gt;&lt;wsp:rsid wsp:val=&quot;00AE20EA&quot;/&gt;&lt;wsp:rsid wsp:val=&quot;00AE224C&quot;/&gt;&lt;wsp:rsid wsp:val=&quot;00AE278A&quot;/&gt;&lt;wsp:rsid wsp:val=&quot;00AE2AC4&quot;/&gt;&lt;wsp:rsid wsp:val=&quot;00AE32E1&quot;/&gt;&lt;wsp:rsid wsp:val=&quot;00AE3803&quot;/&gt;&lt;wsp:rsid wsp:val=&quot;00AE3814&quot;/&gt;&lt;wsp:rsid wsp:val=&quot;00AE38C8&quot;/&gt;&lt;wsp:rsid wsp:val=&quot;00AE46DB&quot;/&gt;&lt;wsp:rsid wsp:val=&quot;00AE4840&quot;/&gt;&lt;wsp:rsid wsp:val=&quot;00AE5283&quot;/&gt;&lt;wsp:rsid wsp:val=&quot;00AE542C&quot;/&gt;&lt;wsp:rsid wsp:val=&quot;00AE5D98&quot;/&gt;&lt;wsp:rsid wsp:val=&quot;00AE5E12&quot;/&gt;&lt;wsp:rsid wsp:val=&quot;00AE5E2B&quot;/&gt;&lt;wsp:rsid wsp:val=&quot;00AE5EA0&quot;/&gt;&lt;wsp:rsid wsp:val=&quot;00AE69C5&quot;/&gt;&lt;wsp:rsid wsp:val=&quot;00AE6EB1&quot;/&gt;&lt;wsp:rsid wsp:val=&quot;00AE6F8E&quot;/&gt;&lt;wsp:rsid wsp:val=&quot;00AE76BD&quot;/&gt;&lt;wsp:rsid wsp:val=&quot;00AE794E&quot;/&gt;&lt;wsp:rsid wsp:val=&quot;00AE7B87&quot;/&gt;&lt;wsp:rsid wsp:val=&quot;00AF04F5&quot;/&gt;&lt;wsp:rsid wsp:val=&quot;00AF077C&quot;/&gt;&lt;wsp:rsid wsp:val=&quot;00AF078B&quot;/&gt;&lt;wsp:rsid wsp:val=&quot;00AF0C3E&quot;/&gt;&lt;wsp:rsid wsp:val=&quot;00AF14A8&quot;/&gt;&lt;wsp:rsid wsp:val=&quot;00AF1564&quot;/&gt;&lt;wsp:rsid wsp:val=&quot;00AF1B37&quot;/&gt;&lt;wsp:rsid wsp:val=&quot;00AF2287&quot;/&gt;&lt;wsp:rsid wsp:val=&quot;00AF2712&quot;/&gt;&lt;wsp:rsid wsp:val=&quot;00AF2CC9&quot;/&gt;&lt;wsp:rsid wsp:val=&quot;00AF2D3E&quot;/&gt;&lt;wsp:rsid wsp:val=&quot;00AF2F7A&quot;/&gt;&lt;wsp:rsid wsp:val=&quot;00AF2F9D&quot;/&gt;&lt;wsp:rsid wsp:val=&quot;00AF3149&quot;/&gt;&lt;wsp:rsid wsp:val=&quot;00AF3509&quot;/&gt;&lt;wsp:rsid wsp:val=&quot;00AF3529&quot;/&gt;&lt;wsp:rsid wsp:val=&quot;00AF3B58&quot;/&gt;&lt;wsp:rsid wsp:val=&quot;00AF3E49&quot;/&gt;&lt;wsp:rsid wsp:val=&quot;00AF424F&quot;/&gt;&lt;wsp:rsid wsp:val=&quot;00AF4343&quot;/&gt;&lt;wsp:rsid wsp:val=&quot;00AF55AA&quot;/&gt;&lt;wsp:rsid wsp:val=&quot;00AF56AE&quot;/&gt;&lt;wsp:rsid wsp:val=&quot;00AF5852&quot;/&gt;&lt;wsp:rsid wsp:val=&quot;00AF5A03&quot;/&gt;&lt;wsp:rsid wsp:val=&quot;00AF5B3E&quot;/&gt;&lt;wsp:rsid wsp:val=&quot;00AF5FD0&quot;/&gt;&lt;wsp:rsid wsp:val=&quot;00AF6623&quot;/&gt;&lt;wsp:rsid wsp:val=&quot;00AF6C6E&quot;/&gt;&lt;wsp:rsid wsp:val=&quot;00AF6F3F&quot;/&gt;&lt;wsp:rsid wsp:val=&quot;00AF7725&quot;/&gt;&lt;wsp:rsid wsp:val=&quot;00AF7759&quot;/&gt;&lt;wsp:rsid wsp:val=&quot;00B003B5&quot;/&gt;&lt;wsp:rsid wsp:val=&quot;00B00493&quot;/&gt;&lt;wsp:rsid wsp:val=&quot;00B006EA&quot;/&gt;&lt;wsp:rsid wsp:val=&quot;00B00992&quot;/&gt;&lt;wsp:rsid wsp:val=&quot;00B00A3C&quot;/&gt;&lt;wsp:rsid wsp:val=&quot;00B00DA1&quot;/&gt;&lt;wsp:rsid wsp:val=&quot;00B00DA4&quot;/&gt;&lt;wsp:rsid wsp:val=&quot;00B00DC4&quot;/&gt;&lt;wsp:rsid wsp:val=&quot;00B0124C&quot;/&gt;&lt;wsp:rsid wsp:val=&quot;00B01375&quot;/&gt;&lt;wsp:rsid wsp:val=&quot;00B01420&quot;/&gt;&lt;wsp:rsid wsp:val=&quot;00B016D4&quot;/&gt;&lt;wsp:rsid wsp:val=&quot;00B01D43&quot;/&gt;&lt;wsp:rsid wsp:val=&quot;00B01FC6&quot;/&gt;&lt;wsp:rsid wsp:val=&quot;00B02031&quot;/&gt;&lt;wsp:rsid wsp:val=&quot;00B026F6&quot;/&gt;&lt;wsp:rsid wsp:val=&quot;00B02F28&quot;/&gt;&lt;wsp:rsid wsp:val=&quot;00B0318E&quot;/&gt;&lt;wsp:rsid wsp:val=&quot;00B033E0&quot;/&gt;&lt;wsp:rsid wsp:val=&quot;00B03510&quot;/&gt;&lt;wsp:rsid wsp:val=&quot;00B03804&quot;/&gt;&lt;wsp:rsid wsp:val=&quot;00B03DEE&quot;/&gt;&lt;wsp:rsid wsp:val=&quot;00B045D9&quot;/&gt;&lt;wsp:rsid wsp:val=&quot;00B04A0F&quot;/&gt;&lt;wsp:rsid wsp:val=&quot;00B04AE7&quot;/&gt;&lt;wsp:rsid wsp:val=&quot;00B04EEB&quot;/&gt;&lt;wsp:rsid wsp:val=&quot;00B04F2C&quot;/&gt;&lt;wsp:rsid wsp:val=&quot;00B053A9&quot;/&gt;&lt;wsp:rsid wsp:val=&quot;00B05AC4&quot;/&gt;&lt;wsp:rsid wsp:val=&quot;00B05EA9&quot;/&gt;&lt;wsp:rsid wsp:val=&quot;00B05F50&quot;/&gt;&lt;wsp:rsid wsp:val=&quot;00B0603D&quot;/&gt;&lt;wsp:rsid wsp:val=&quot;00B06108&quot;/&gt;&lt;wsp:rsid wsp:val=&quot;00B06342&quot;/&gt;&lt;wsp:rsid wsp:val=&quot;00B063E9&quot;/&gt;&lt;wsp:rsid wsp:val=&quot;00B066FE&quot;/&gt;&lt;wsp:rsid wsp:val=&quot;00B067B6&quot;/&gt;&lt;wsp:rsid wsp:val=&quot;00B069EB&quot;/&gt;&lt;wsp:rsid wsp:val=&quot;00B06D78&quot;/&gt;&lt;wsp:rsid wsp:val=&quot;00B074B7&quot;/&gt;&lt;wsp:rsid wsp:val=&quot;00B07A34&quot;/&gt;&lt;wsp:rsid wsp:val=&quot;00B07A9B&quot;/&gt;&lt;wsp:rsid wsp:val=&quot;00B07C0E&quot;/&gt;&lt;wsp:rsid wsp:val=&quot;00B101E2&quot;/&gt;&lt;wsp:rsid wsp:val=&quot;00B10273&quot;/&gt;&lt;wsp:rsid wsp:val=&quot;00B102A5&quot;/&gt;&lt;wsp:rsid wsp:val=&quot;00B10437&quot;/&gt;&lt;wsp:rsid wsp:val=&quot;00B105C4&quot;/&gt;&lt;wsp:rsid wsp:val=&quot;00B10857&quot;/&gt;&lt;wsp:rsid wsp:val=&quot;00B114AA&quot;/&gt;&lt;wsp:rsid wsp:val=&quot;00B11588&quot;/&gt;&lt;wsp:rsid wsp:val=&quot;00B11AF5&quot;/&gt;&lt;wsp:rsid wsp:val=&quot;00B11C47&quot;/&gt;&lt;wsp:rsid wsp:val=&quot;00B12253&quot;/&gt;&lt;wsp:rsid wsp:val=&quot;00B1237E&quot;/&gt;&lt;wsp:rsid wsp:val=&quot;00B12763&quot;/&gt;&lt;wsp:rsid wsp:val=&quot;00B12A63&quot;/&gt;&lt;wsp:rsid wsp:val=&quot;00B12BF1&quot;/&gt;&lt;wsp:rsid wsp:val=&quot;00B12CB5&quot;/&gt;&lt;wsp:rsid wsp:val=&quot;00B12D76&quot;/&gt;&lt;wsp:rsid wsp:val=&quot;00B12EAC&quot;/&gt;&lt;wsp:rsid wsp:val=&quot;00B13341&quot;/&gt;&lt;wsp:rsid wsp:val=&quot;00B1351D&quot;/&gt;&lt;wsp:rsid wsp:val=&quot;00B13820&quot;/&gt;&lt;wsp:rsid wsp:val=&quot;00B1420F&quot;/&gt;&lt;wsp:rsid wsp:val=&quot;00B14339&quot;/&gt;&lt;wsp:rsid wsp:val=&quot;00B1488F&quot;/&gt;&lt;wsp:rsid wsp:val=&quot;00B1495C&quot;/&gt;&lt;wsp:rsid wsp:val=&quot;00B14964&quot;/&gt;&lt;wsp:rsid wsp:val=&quot;00B14EC4&quot;/&gt;&lt;wsp:rsid wsp:val=&quot;00B14FB8&quot;/&gt;&lt;wsp:rsid wsp:val=&quot;00B150F3&quot;/&gt;&lt;wsp:rsid wsp:val=&quot;00B1542F&quot;/&gt;&lt;wsp:rsid wsp:val=&quot;00B15BB8&quot;/&gt;&lt;wsp:rsid wsp:val=&quot;00B15BD5&quot;/&gt;&lt;wsp:rsid wsp:val=&quot;00B1658C&quot;/&gt;&lt;wsp:rsid wsp:val=&quot;00B165F4&quot;/&gt;&lt;wsp:rsid wsp:val=&quot;00B16B51&quot;/&gt;&lt;wsp:rsid wsp:val=&quot;00B16CE4&quot;/&gt;&lt;wsp:rsid wsp:val=&quot;00B17267&quot;/&gt;&lt;wsp:rsid wsp:val=&quot;00B17A6F&quot;/&gt;&lt;wsp:rsid wsp:val=&quot;00B17A77&quot;/&gt;&lt;wsp:rsid wsp:val=&quot;00B17F34&quot;/&gt;&lt;wsp:rsid wsp:val=&quot;00B2037C&quot;/&gt;&lt;wsp:rsid wsp:val=&quot;00B206CE&quot;/&gt;&lt;wsp:rsid wsp:val=&quot;00B207CE&quot;/&gt;&lt;wsp:rsid wsp:val=&quot;00B207EC&quot;/&gt;&lt;wsp:rsid wsp:val=&quot;00B208ED&quot;/&gt;&lt;wsp:rsid wsp:val=&quot;00B211C4&quot;/&gt;&lt;wsp:rsid wsp:val=&quot;00B21203&quot;/&gt;&lt;wsp:rsid wsp:val=&quot;00B214B2&quot;/&gt;&lt;wsp:rsid wsp:val=&quot;00B215AA&quot;/&gt;&lt;wsp:rsid wsp:val=&quot;00B215BC&quot;/&gt;&lt;wsp:rsid wsp:val=&quot;00B21620&quot;/&gt;&lt;wsp:rsid wsp:val=&quot;00B22E8F&quot;/&gt;&lt;wsp:rsid wsp:val=&quot;00B22F40&quot;/&gt;&lt;wsp:rsid wsp:val=&quot;00B23200&quot;/&gt;&lt;wsp:rsid wsp:val=&quot;00B2379C&quot;/&gt;&lt;wsp:rsid wsp:val=&quot;00B23892&quot;/&gt;&lt;wsp:rsid wsp:val=&quot;00B23D2B&quot;/&gt;&lt;wsp:rsid wsp:val=&quot;00B246A6&quot;/&gt;&lt;wsp:rsid wsp:val=&quot;00B24E41&quot;/&gt;&lt;wsp:rsid wsp:val=&quot;00B24E66&quot;/&gt;&lt;wsp:rsid wsp:val=&quot;00B25027&quot;/&gt;&lt;wsp:rsid wsp:val=&quot;00B2582C&quot;/&gt;&lt;wsp:rsid wsp:val=&quot;00B25907&quot;/&gt;&lt;wsp:rsid wsp:val=&quot;00B264BA&quot;/&gt;&lt;wsp:rsid wsp:val=&quot;00B267C6&quot;/&gt;&lt;wsp:rsid wsp:val=&quot;00B26F46&quot;/&gt;&lt;wsp:rsid wsp:val=&quot;00B270F2&quot;/&gt;&lt;wsp:rsid wsp:val=&quot;00B271B9&quot;/&gt;&lt;wsp:rsid wsp:val=&quot;00B27380&quot;/&gt;&lt;wsp:rsid wsp:val=&quot;00B274BB&quot;/&gt;&lt;wsp:rsid wsp:val=&quot;00B27520&quot;/&gt;&lt;wsp:rsid wsp:val=&quot;00B275DE&quot;/&gt;&lt;wsp:rsid wsp:val=&quot;00B27710&quot;/&gt;&lt;wsp:rsid wsp:val=&quot;00B2772A&quot;/&gt;&lt;wsp:rsid wsp:val=&quot;00B27B90&quot;/&gt;&lt;wsp:rsid wsp:val=&quot;00B27BDA&quot;/&gt;&lt;wsp:rsid wsp:val=&quot;00B302EC&quot;/&gt;&lt;wsp:rsid wsp:val=&quot;00B304C9&quot;/&gt;&lt;wsp:rsid wsp:val=&quot;00B3096D&quot;/&gt;&lt;wsp:rsid wsp:val=&quot;00B30EC9&quot;/&gt;&lt;wsp:rsid wsp:val=&quot;00B31340&quot;/&gt;&lt;wsp:rsid wsp:val=&quot;00B316E7&quot;/&gt;&lt;wsp:rsid wsp:val=&quot;00B31A7D&quot;/&gt;&lt;wsp:rsid wsp:val=&quot;00B31B75&quot;/&gt;&lt;wsp:rsid wsp:val=&quot;00B31F3B&quot;/&gt;&lt;wsp:rsid wsp:val=&quot;00B3255B&quot;/&gt;&lt;wsp:rsid wsp:val=&quot;00B32722&quot;/&gt;&lt;wsp:rsid wsp:val=&quot;00B32901&quot;/&gt;&lt;wsp:rsid wsp:val=&quot;00B32BC4&quot;/&gt;&lt;wsp:rsid wsp:val=&quot;00B32F30&quot;/&gt;&lt;wsp:rsid wsp:val=&quot;00B334E2&quot;/&gt;&lt;wsp:rsid wsp:val=&quot;00B340D8&quot;/&gt;&lt;wsp:rsid wsp:val=&quot;00B34423&quot;/&gt;&lt;wsp:rsid wsp:val=&quot;00B345E1&quot;/&gt;&lt;wsp:rsid wsp:val=&quot;00B34696&quot;/&gt;&lt;wsp:rsid wsp:val=&quot;00B34A3A&quot;/&gt;&lt;wsp:rsid wsp:val=&quot;00B3508E&quot;/&gt;&lt;wsp:rsid wsp:val=&quot;00B35471&quot;/&gt;&lt;wsp:rsid wsp:val=&quot;00B355F7&quot;/&gt;&lt;wsp:rsid wsp:val=&quot;00B355F9&quot;/&gt;&lt;wsp:rsid wsp:val=&quot;00B357FC&quot;/&gt;&lt;wsp:rsid wsp:val=&quot;00B35891&quot;/&gt;&lt;wsp:rsid wsp:val=&quot;00B358AC&quot;/&gt;&lt;wsp:rsid wsp:val=&quot;00B358E9&quot;/&gt;&lt;wsp:rsid wsp:val=&quot;00B35CC2&quot;/&gt;&lt;wsp:rsid wsp:val=&quot;00B36659&quot;/&gt;&lt;wsp:rsid wsp:val=&quot;00B366D3&quot;/&gt;&lt;wsp:rsid wsp:val=&quot;00B3693E&quot;/&gt;&lt;wsp:rsid wsp:val=&quot;00B37158&quot;/&gt;&lt;wsp:rsid wsp:val=&quot;00B373C5&quot;/&gt;&lt;wsp:rsid wsp:val=&quot;00B373F6&quot;/&gt;&lt;wsp:rsid wsp:val=&quot;00B3753C&quot;/&gt;&lt;wsp:rsid wsp:val=&quot;00B37824&quot;/&gt;&lt;wsp:rsid wsp:val=&quot;00B379CB&quot;/&gt;&lt;wsp:rsid wsp:val=&quot;00B37AB0&quot;/&gt;&lt;wsp:rsid wsp:val=&quot;00B37B1C&quot;/&gt;&lt;wsp:rsid wsp:val=&quot;00B37D83&quot;/&gt;&lt;wsp:rsid wsp:val=&quot;00B4003F&quot;/&gt;&lt;wsp:rsid wsp:val=&quot;00B4027C&quot;/&gt;&lt;wsp:rsid wsp:val=&quot;00B405AA&quot;/&gt;&lt;wsp:rsid wsp:val=&quot;00B41129&quot;/&gt;&lt;wsp:rsid wsp:val=&quot;00B41EB7&quot;/&gt;&lt;wsp:rsid wsp:val=&quot;00B420EF&quot;/&gt;&lt;wsp:rsid wsp:val=&quot;00B4230F&quot;/&gt;&lt;wsp:rsid wsp:val=&quot;00B42619&quot;/&gt;&lt;wsp:rsid wsp:val=&quot;00B42645&quot;/&gt;&lt;wsp:rsid wsp:val=&quot;00B4304B&quot;/&gt;&lt;wsp:rsid wsp:val=&quot;00B43378&quot;/&gt;&lt;wsp:rsid wsp:val=&quot;00B4338C&quot;/&gt;&lt;wsp:rsid wsp:val=&quot;00B43BD7&quot;/&gt;&lt;wsp:rsid wsp:val=&quot;00B43C58&quot;/&gt;&lt;wsp:rsid wsp:val=&quot;00B44956&quot;/&gt;&lt;wsp:rsid wsp:val=&quot;00B4527D&quot;/&gt;&lt;wsp:rsid wsp:val=&quot;00B45F5B&quot;/&gt;&lt;wsp:rsid wsp:val=&quot;00B45F5C&quot;/&gt;&lt;wsp:rsid wsp:val=&quot;00B4613C&quot;/&gt;&lt;wsp:rsid wsp:val=&quot;00B464BF&quot;/&gt;&lt;wsp:rsid wsp:val=&quot;00B47705&quot;/&gt;&lt;wsp:rsid wsp:val=&quot;00B47ABD&quot;/&gt;&lt;wsp:rsid wsp:val=&quot;00B47AD1&quot;/&gt;&lt;wsp:rsid wsp:val=&quot;00B47CF4&quot;/&gt;&lt;wsp:rsid wsp:val=&quot;00B47D36&quot;/&gt;&lt;wsp:rsid wsp:val=&quot;00B502BB&quot;/&gt;&lt;wsp:rsid wsp:val=&quot;00B503FD&quot;/&gt;&lt;wsp:rsid wsp:val=&quot;00B50466&quot;/&gt;&lt;wsp:rsid wsp:val=&quot;00B5046F&quot;/&gt;&lt;wsp:rsid wsp:val=&quot;00B505A0&quot;/&gt;&lt;wsp:rsid wsp:val=&quot;00B5084A&quot;/&gt;&lt;wsp:rsid wsp:val=&quot;00B50D60&quot;/&gt;&lt;wsp:rsid wsp:val=&quot;00B5111F&quot;/&gt;&lt;wsp:rsid wsp:val=&quot;00B5185C&quot;/&gt;&lt;wsp:rsid wsp:val=&quot;00B51AB7&quot;/&gt;&lt;wsp:rsid wsp:val=&quot;00B5203B&quot;/&gt;&lt;wsp:rsid wsp:val=&quot;00B52188&quot;/&gt;&lt;wsp:rsid wsp:val=&quot;00B5250E&quot;/&gt;&lt;wsp:rsid wsp:val=&quot;00B5261C&quot;/&gt;&lt;wsp:rsid wsp:val=&quot;00B526AE&quot;/&gt;&lt;wsp:rsid wsp:val=&quot;00B52770&quot;/&gt;&lt;wsp:rsid wsp:val=&quot;00B52A1C&quot;/&gt;&lt;wsp:rsid wsp:val=&quot;00B52A23&quot;/&gt;&lt;wsp:rsid wsp:val=&quot;00B52B05&quot;/&gt;&lt;wsp:rsid wsp:val=&quot;00B52D02&quot;/&gt;&lt;wsp:rsid wsp:val=&quot;00B5318B&quot;/&gt;&lt;wsp:rsid wsp:val=&quot;00B531BC&quot;/&gt;&lt;wsp:rsid wsp:val=&quot;00B53482&quot;/&gt;&lt;wsp:rsid wsp:val=&quot;00B5387F&quot;/&gt;&lt;wsp:rsid wsp:val=&quot;00B5389B&quot;/&gt;&lt;wsp:rsid wsp:val=&quot;00B538F1&quot;/&gt;&lt;wsp:rsid wsp:val=&quot;00B539E7&quot;/&gt;&lt;wsp:rsid wsp:val=&quot;00B53E93&quot;/&gt;&lt;wsp:rsid wsp:val=&quot;00B54064&quot;/&gt;&lt;wsp:rsid wsp:val=&quot;00B54297&quot;/&gt;&lt;wsp:rsid wsp:val=&quot;00B546F4&quot;/&gt;&lt;wsp:rsid wsp:val=&quot;00B54741&quot;/&gt;&lt;wsp:rsid wsp:val=&quot;00B55036&quot;/&gt;&lt;wsp:rsid wsp:val=&quot;00B55249&quot;/&gt;&lt;wsp:rsid wsp:val=&quot;00B5525F&quot;/&gt;&lt;wsp:rsid wsp:val=&quot;00B55663&quot;/&gt;&lt;wsp:rsid wsp:val=&quot;00B55685&quot;/&gt;&lt;wsp:rsid wsp:val=&quot;00B55912&quot;/&gt;&lt;wsp:rsid wsp:val=&quot;00B561D6&quot;/&gt;&lt;wsp:rsid wsp:val=&quot;00B561F7&quot;/&gt;&lt;wsp:rsid wsp:val=&quot;00B5637B&quot;/&gt;&lt;wsp:rsid wsp:val=&quot;00B56DF4&quot;/&gt;&lt;wsp:rsid wsp:val=&quot;00B57213&quot;/&gt;&lt;wsp:rsid wsp:val=&quot;00B573A4&quot;/&gt;&lt;wsp:rsid wsp:val=&quot;00B5750A&quot;/&gt;&lt;wsp:rsid wsp:val=&quot;00B57E4C&quot;/&gt;&lt;wsp:rsid wsp:val=&quot;00B608C4&quot;/&gt;&lt;wsp:rsid wsp:val=&quot;00B609CB&quot;/&gt;&lt;wsp:rsid wsp:val=&quot;00B61A4B&quot;/&gt;&lt;wsp:rsid wsp:val=&quot;00B61D45&quot;/&gt;&lt;wsp:rsid wsp:val=&quot;00B621BD&quot;/&gt;&lt;wsp:rsid wsp:val=&quot;00B622DE&quot;/&gt;&lt;wsp:rsid wsp:val=&quot;00B6234B&quot;/&gt;&lt;wsp:rsid wsp:val=&quot;00B6240A&quot;/&gt;&lt;wsp:rsid wsp:val=&quot;00B6240F&quot;/&gt;&lt;wsp:rsid wsp:val=&quot;00B626C5&quot;/&gt;&lt;wsp:rsid wsp:val=&quot;00B626D5&quot;/&gt;&lt;wsp:rsid wsp:val=&quot;00B62CEE&quot;/&gt;&lt;wsp:rsid wsp:val=&quot;00B63154&quot;/&gt;&lt;wsp:rsid wsp:val=&quot;00B636AA&quot;/&gt;&lt;wsp:rsid wsp:val=&quot;00B642D8&quot;/&gt;&lt;wsp:rsid wsp:val=&quot;00B647B6&quot;/&gt;&lt;wsp:rsid wsp:val=&quot;00B64D1F&quot;/&gt;&lt;wsp:rsid wsp:val=&quot;00B64D40&quot;/&gt;&lt;wsp:rsid wsp:val=&quot;00B6520B&quot;/&gt;&lt;wsp:rsid wsp:val=&quot;00B657C0&quot;/&gt;&lt;wsp:rsid wsp:val=&quot;00B659C5&quot;/&gt;&lt;wsp:rsid wsp:val=&quot;00B66936&quot;/&gt;&lt;wsp:rsid wsp:val=&quot;00B66BE4&quot;/&gt;&lt;wsp:rsid wsp:val=&quot;00B67407&quot;/&gt;&lt;wsp:rsid wsp:val=&quot;00B674C9&quot;/&gt;&lt;wsp:rsid wsp:val=&quot;00B6750B&quot;/&gt;&lt;wsp:rsid wsp:val=&quot;00B67969&quot;/&gt;&lt;wsp:rsid wsp:val=&quot;00B7024E&quot;/&gt;&lt;wsp:rsid wsp:val=&quot;00B70395&quot;/&gt;&lt;wsp:rsid wsp:val=&quot;00B70444&quot;/&gt;&lt;wsp:rsid wsp:val=&quot;00B70C63&quot;/&gt;&lt;wsp:rsid wsp:val=&quot;00B70D4A&quot;/&gt;&lt;wsp:rsid wsp:val=&quot;00B719DC&quot;/&gt;&lt;wsp:rsid wsp:val=&quot;00B71DF4&quot;/&gt;&lt;wsp:rsid wsp:val=&quot;00B71FF8&quot;/&gt;&lt;wsp:rsid wsp:val=&quot;00B7214D&quot;/&gt;&lt;wsp:rsid wsp:val=&quot;00B7237E&quot;/&gt;&lt;wsp:rsid wsp:val=&quot;00B72491&quot;/&gt;&lt;wsp:rsid wsp:val=&quot;00B72997&quot;/&gt;&lt;wsp:rsid wsp:val=&quot;00B72B2D&quot;/&gt;&lt;wsp:rsid wsp:val=&quot;00B73379&quot;/&gt;&lt;wsp:rsid wsp:val=&quot;00B738A1&quot;/&gt;&lt;wsp:rsid wsp:val=&quot;00B73E83&quot;/&gt;&lt;wsp:rsid wsp:val=&quot;00B73F7D&quot;/&gt;&lt;wsp:rsid wsp:val=&quot;00B7404A&quot;/&gt;&lt;wsp:rsid wsp:val=&quot;00B743DB&quot;/&gt;&lt;wsp:rsid wsp:val=&quot;00B74423&quot;/&gt;&lt;wsp:rsid wsp:val=&quot;00B74642&quot;/&gt;&lt;wsp:rsid wsp:val=&quot;00B74D25&quot;/&gt;&lt;wsp:rsid wsp:val=&quot;00B7536C&quot;/&gt;&lt;wsp:rsid wsp:val=&quot;00B7552C&quot;/&gt;&lt;wsp:rsid wsp:val=&quot;00B757CF&quot;/&gt;&lt;wsp:rsid wsp:val=&quot;00B7595E&quot;/&gt;&lt;wsp:rsid wsp:val=&quot;00B75F42&quot;/&gt;&lt;wsp:rsid wsp:val=&quot;00B766BB&quot;/&gt;&lt;wsp:rsid wsp:val=&quot;00B766D1&quot;/&gt;&lt;wsp:rsid wsp:val=&quot;00B769B6&quot;/&gt;&lt;wsp:rsid wsp:val=&quot;00B76C16&quot;/&gt;&lt;wsp:rsid wsp:val=&quot;00B77226&quot;/&gt;&lt;wsp:rsid wsp:val=&quot;00B7723F&quot;/&gt;&lt;wsp:rsid wsp:val=&quot;00B77294&quot;/&gt;&lt;wsp:rsid wsp:val=&quot;00B77450&quot;/&gt;&lt;wsp:rsid wsp:val=&quot;00B776BA&quot;/&gt;&lt;wsp:rsid wsp:val=&quot;00B77C3D&quot;/&gt;&lt;wsp:rsid wsp:val=&quot;00B803FB&quot;/&gt;&lt;wsp:rsid wsp:val=&quot;00B804AA&quot;/&gt;&lt;wsp:rsid wsp:val=&quot;00B8054A&quot;/&gt;&lt;wsp:rsid wsp:val=&quot;00B8064A&quot;/&gt;&lt;wsp:rsid wsp:val=&quot;00B81830&quot;/&gt;&lt;wsp:rsid wsp:val=&quot;00B81AF0&quot;/&gt;&lt;wsp:rsid wsp:val=&quot;00B81B2D&quot;/&gt;&lt;wsp:rsid wsp:val=&quot;00B82189&quot;/&gt;&lt;wsp:rsid wsp:val=&quot;00B82335&quot;/&gt;&lt;wsp:rsid wsp:val=&quot;00B82367&quot;/&gt;&lt;wsp:rsid wsp:val=&quot;00B825BC&quot;/&gt;&lt;wsp:rsid wsp:val=&quot;00B8299B&quot;/&gt;&lt;wsp:rsid wsp:val=&quot;00B82BB6&quot;/&gt;&lt;wsp:rsid wsp:val=&quot;00B830E9&quot;/&gt;&lt;wsp:rsid wsp:val=&quot;00B8316D&quot;/&gt;&lt;wsp:rsid wsp:val=&quot;00B83687&quot;/&gt;&lt;wsp:rsid wsp:val=&quot;00B83B40&quot;/&gt;&lt;wsp:rsid wsp:val=&quot;00B83E28&quot;/&gt;&lt;wsp:rsid wsp:val=&quot;00B8416F&quot;/&gt;&lt;wsp:rsid wsp:val=&quot;00B84482&quot;/&gt;&lt;wsp:rsid wsp:val=&quot;00B845CB&quot;/&gt;&lt;wsp:rsid wsp:val=&quot;00B8472E&quot;/&gt;&lt;wsp:rsid wsp:val=&quot;00B84801&quot;/&gt;&lt;wsp:rsid wsp:val=&quot;00B8506F&quot;/&gt;&lt;wsp:rsid wsp:val=&quot;00B85311&quot;/&gt;&lt;wsp:rsid wsp:val=&quot;00B859FF&quot;/&gt;&lt;wsp:rsid wsp:val=&quot;00B85A40&quot;/&gt;&lt;wsp:rsid wsp:val=&quot;00B85B95&quot;/&gt;&lt;wsp:rsid wsp:val=&quot;00B85DAE&quot;/&gt;&lt;wsp:rsid wsp:val=&quot;00B85DF7&quot;/&gt;&lt;wsp:rsid wsp:val=&quot;00B85FDF&quot;/&gt;&lt;wsp:rsid wsp:val=&quot;00B86233&quot;/&gt;&lt;wsp:rsid wsp:val=&quot;00B868D1&quot;/&gt;&lt;wsp:rsid wsp:val=&quot;00B870B9&quot;/&gt;&lt;wsp:rsid wsp:val=&quot;00B87548&quot;/&gt;&lt;wsp:rsid wsp:val=&quot;00B87808&quot;/&gt;&lt;wsp:rsid wsp:val=&quot;00B87C05&quot;/&gt;&lt;wsp:rsid wsp:val=&quot;00B87FF0&quot;/&gt;&lt;wsp:rsid wsp:val=&quot;00B90186&quot;/&gt;&lt;wsp:rsid wsp:val=&quot;00B90220&quot;/&gt;&lt;wsp:rsid wsp:val=&quot;00B9055C&quot;/&gt;&lt;wsp:rsid wsp:val=&quot;00B90A24&quot;/&gt;&lt;wsp:rsid wsp:val=&quot;00B90AFB&quot;/&gt;&lt;wsp:rsid wsp:val=&quot;00B91017&quot;/&gt;&lt;wsp:rsid wsp:val=&quot;00B91019&quot;/&gt;&lt;wsp:rsid wsp:val=&quot;00B91898&quot;/&gt;&lt;wsp:rsid wsp:val=&quot;00B91D43&quot;/&gt;&lt;wsp:rsid wsp:val=&quot;00B91FFC&quot;/&gt;&lt;wsp:rsid wsp:val=&quot;00B922CF&quot;/&gt;&lt;wsp:rsid wsp:val=&quot;00B9259B&quot;/&gt;&lt;wsp:rsid wsp:val=&quot;00B925A4&quot;/&gt;&lt;wsp:rsid wsp:val=&quot;00B92867&quot;/&gt;&lt;wsp:rsid wsp:val=&quot;00B92C8B&quot;/&gt;&lt;wsp:rsid wsp:val=&quot;00B92CE3&quot;/&gt;&lt;wsp:rsid wsp:val=&quot;00B92EDF&quot;/&gt;&lt;wsp:rsid wsp:val=&quot;00B933ED&quot;/&gt;&lt;wsp:rsid wsp:val=&quot;00B9374D&quot;/&gt;&lt;wsp:rsid wsp:val=&quot;00B939BE&quot;/&gt;&lt;wsp:rsid wsp:val=&quot;00B93A53&quot;/&gt;&lt;wsp:rsid wsp:val=&quot;00B93E91&quot;/&gt;&lt;wsp:rsid wsp:val=&quot;00B94416&quot;/&gt;&lt;wsp:rsid wsp:val=&quot;00B945F6&quot;/&gt;&lt;wsp:rsid wsp:val=&quot;00B9494F&quot;/&gt;&lt;wsp:rsid wsp:val=&quot;00B949CD&quot;/&gt;&lt;wsp:rsid wsp:val=&quot;00B94DD4&quot;/&gt;&lt;wsp:rsid wsp:val=&quot;00B957E1&quot;/&gt;&lt;wsp:rsid wsp:val=&quot;00B95A70&quot;/&gt;&lt;wsp:rsid wsp:val=&quot;00B95F0E&quot;/&gt;&lt;wsp:rsid wsp:val=&quot;00B96800&quot;/&gt;&lt;wsp:rsid wsp:val=&quot;00B96DC9&quot;/&gt;&lt;wsp:rsid wsp:val=&quot;00B96EA0&quot;/&gt;&lt;wsp:rsid wsp:val=&quot;00B972E9&quot;/&gt;&lt;wsp:rsid wsp:val=&quot;00BA00D0&quot;/&gt;&lt;wsp:rsid wsp:val=&quot;00BA0219&quot;/&gt;&lt;wsp:rsid wsp:val=&quot;00BA0229&quot;/&gt;&lt;wsp:rsid wsp:val=&quot;00BA0362&quot;/&gt;&lt;wsp:rsid wsp:val=&quot;00BA0611&quot;/&gt;&lt;wsp:rsid wsp:val=&quot;00BA0A56&quot;/&gt;&lt;wsp:rsid wsp:val=&quot;00BA149A&quot;/&gt;&lt;wsp:rsid wsp:val=&quot;00BA162E&quot;/&gt;&lt;wsp:rsid wsp:val=&quot;00BA178A&quot;/&gt;&lt;wsp:rsid wsp:val=&quot;00BA2D52&quot;/&gt;&lt;wsp:rsid wsp:val=&quot;00BA2D5D&quot;/&gt;&lt;wsp:rsid wsp:val=&quot;00BA3151&quot;/&gt;&lt;wsp:rsid wsp:val=&quot;00BA34EC&quot;/&gt;&lt;wsp:rsid wsp:val=&quot;00BA38D3&quot;/&gt;&lt;wsp:rsid wsp:val=&quot;00BA3DB2&quot;/&gt;&lt;wsp:rsid wsp:val=&quot;00BA3E49&quot;/&gt;&lt;wsp:rsid wsp:val=&quot;00BA43FA&quot;/&gt;&lt;wsp:rsid wsp:val=&quot;00BA4C42&quot;/&gt;&lt;wsp:rsid wsp:val=&quot;00BA4D6A&quot;/&gt;&lt;wsp:rsid wsp:val=&quot;00BA5CA8&quot;/&gt;&lt;wsp:rsid wsp:val=&quot;00BA5DFF&quot;/&gt;&lt;wsp:rsid wsp:val=&quot;00BA5FEF&quot;/&gt;&lt;wsp:rsid wsp:val=&quot;00BA61E1&quot;/&gt;&lt;wsp:rsid wsp:val=&quot;00BA63A1&quot;/&gt;&lt;wsp:rsid wsp:val=&quot;00BA683E&quot;/&gt;&lt;wsp:rsid wsp:val=&quot;00BA68F0&quot;/&gt;&lt;wsp:rsid wsp:val=&quot;00BA6BF0&quot;/&gt;&lt;wsp:rsid wsp:val=&quot;00BA6EF9&quot;/&gt;&lt;wsp:rsid wsp:val=&quot;00BA6FA4&quot;/&gt;&lt;wsp:rsid wsp:val=&quot;00BA7546&quot;/&gt;&lt;wsp:rsid wsp:val=&quot;00BA7725&quot;/&gt;&lt;wsp:rsid wsp:val=&quot;00BA7AD3&quot;/&gt;&lt;wsp:rsid wsp:val=&quot;00BA7FCF&quot;/&gt;&lt;wsp:rsid wsp:val=&quot;00BB022C&quot;/&gt;&lt;wsp:rsid wsp:val=&quot;00BB06E2&quot;/&gt;&lt;wsp:rsid wsp:val=&quot;00BB0DAB&quot;/&gt;&lt;wsp:rsid wsp:val=&quot;00BB167D&quot;/&gt;&lt;wsp:rsid wsp:val=&quot;00BB2025&quot;/&gt;&lt;wsp:rsid wsp:val=&quot;00BB2060&quot;/&gt;&lt;wsp:rsid wsp:val=&quot;00BB20A4&quot;/&gt;&lt;wsp:rsid wsp:val=&quot;00BB2AF6&quot;/&gt;&lt;wsp:rsid wsp:val=&quot;00BB2FFB&quot;/&gt;&lt;wsp:rsid wsp:val=&quot;00BB311C&quot;/&gt;&lt;wsp:rsid wsp:val=&quot;00BB337E&quot;/&gt;&lt;wsp:rsid wsp:val=&quot;00BB34A9&quot;/&gt;&lt;wsp:rsid wsp:val=&quot;00BB350E&quot;/&gt;&lt;wsp:rsid wsp:val=&quot;00BB36C0&quot;/&gt;&lt;wsp:rsid wsp:val=&quot;00BB3A28&quot;/&gt;&lt;wsp:rsid wsp:val=&quot;00BB3B2D&quot;/&gt;&lt;wsp:rsid wsp:val=&quot;00BB409B&quot;/&gt;&lt;wsp:rsid wsp:val=&quot;00BB40BB&quot;/&gt;&lt;wsp:rsid wsp:val=&quot;00BB4189&quot;/&gt;&lt;wsp:rsid wsp:val=&quot;00BB42C2&quot;/&gt;&lt;wsp:rsid wsp:val=&quot;00BB4456&quot;/&gt;&lt;wsp:rsid wsp:val=&quot;00BB44E6&quot;/&gt;&lt;wsp:rsid wsp:val=&quot;00BB4C96&quot;/&gt;&lt;wsp:rsid wsp:val=&quot;00BB4FFB&quot;/&gt;&lt;wsp:rsid wsp:val=&quot;00BB50AC&quot;/&gt;&lt;wsp:rsid wsp:val=&quot;00BB5B79&quot;/&gt;&lt;wsp:rsid wsp:val=&quot;00BB5B9B&quot;/&gt;&lt;wsp:rsid wsp:val=&quot;00BB5C44&quot;/&gt;&lt;wsp:rsid wsp:val=&quot;00BB5F33&quot;/&gt;&lt;wsp:rsid wsp:val=&quot;00BB6048&quot;/&gt;&lt;wsp:rsid wsp:val=&quot;00BB61AC&quot;/&gt;&lt;wsp:rsid wsp:val=&quot;00BB6470&quot;/&gt;&lt;wsp:rsid wsp:val=&quot;00BB6844&quot;/&gt;&lt;wsp:rsid wsp:val=&quot;00BB6956&quot;/&gt;&lt;wsp:rsid wsp:val=&quot;00BB6A39&quot;/&gt;&lt;wsp:rsid wsp:val=&quot;00BB6A44&quot;/&gt;&lt;wsp:rsid wsp:val=&quot;00BB6A93&quot;/&gt;&lt;wsp:rsid wsp:val=&quot;00BB6D27&quot;/&gt;&lt;wsp:rsid wsp:val=&quot;00BB74DB&quot;/&gt;&lt;wsp:rsid wsp:val=&quot;00BB757B&quot;/&gt;&lt;wsp:rsid wsp:val=&quot;00BB77E4&quot;/&gt;&lt;wsp:rsid wsp:val=&quot;00BB782C&quot;/&gt;&lt;wsp:rsid wsp:val=&quot;00BB786D&quot;/&gt;&lt;wsp:rsid wsp:val=&quot;00BB7993&quot;/&gt;&lt;wsp:rsid wsp:val=&quot;00BB7B40&quot;/&gt;&lt;wsp:rsid wsp:val=&quot;00BB7C66&quot;/&gt;&lt;wsp:rsid wsp:val=&quot;00BC0314&quot;/&gt;&lt;wsp:rsid wsp:val=&quot;00BC05B3&quot;/&gt;&lt;wsp:rsid wsp:val=&quot;00BC073A&quot;/&gt;&lt;wsp:rsid wsp:val=&quot;00BC0F9C&quot;/&gt;&lt;wsp:rsid wsp:val=&quot;00BC106A&quot;/&gt;&lt;wsp:rsid wsp:val=&quot;00BC12BA&quot;/&gt;&lt;wsp:rsid wsp:val=&quot;00BC13B7&quot;/&gt;&lt;wsp:rsid wsp:val=&quot;00BC1604&quot;/&gt;&lt;wsp:rsid wsp:val=&quot;00BC1A09&quot;/&gt;&lt;wsp:rsid wsp:val=&quot;00BC1A9E&quot;/&gt;&lt;wsp:rsid wsp:val=&quot;00BC21DC&quot;/&gt;&lt;wsp:rsid wsp:val=&quot;00BC26BD&quot;/&gt;&lt;wsp:rsid wsp:val=&quot;00BC2834&quot;/&gt;&lt;wsp:rsid wsp:val=&quot;00BC2EB8&quot;/&gt;&lt;wsp:rsid wsp:val=&quot;00BC3404&quot;/&gt;&lt;wsp:rsid wsp:val=&quot;00BC34B3&quot;/&gt;&lt;wsp:rsid wsp:val=&quot;00BC37BB&quot;/&gt;&lt;wsp:rsid wsp:val=&quot;00BC37ED&quot;/&gt;&lt;wsp:rsid wsp:val=&quot;00BC3E79&quot;/&gt;&lt;wsp:rsid wsp:val=&quot;00BC3F4F&quot;/&gt;&lt;wsp:rsid wsp:val=&quot;00BC402B&quot;/&gt;&lt;wsp:rsid wsp:val=&quot;00BC40C2&quot;/&gt;&lt;wsp:rsid wsp:val=&quot;00BC4464&quot;/&gt;&lt;wsp:rsid wsp:val=&quot;00BC4A1C&quot;/&gt;&lt;wsp:rsid wsp:val=&quot;00BC4A5E&quot;/&gt;&lt;wsp:rsid wsp:val=&quot;00BC4CDE&quot;/&gt;&lt;wsp:rsid wsp:val=&quot;00BC4F0F&quot;/&gt;&lt;wsp:rsid wsp:val=&quot;00BC4F86&quot;/&gt;&lt;wsp:rsid wsp:val=&quot;00BC5197&quot;/&gt;&lt;wsp:rsid wsp:val=&quot;00BC51DE&quot;/&gt;&lt;wsp:rsid wsp:val=&quot;00BC569F&quot;/&gt;&lt;wsp:rsid wsp:val=&quot;00BC59F6&quot;/&gt;&lt;wsp:rsid wsp:val=&quot;00BC5B02&quot;/&gt;&lt;wsp:rsid wsp:val=&quot;00BC5E6B&quot;/&gt;&lt;wsp:rsid wsp:val=&quot;00BC645D&quot;/&gt;&lt;wsp:rsid wsp:val=&quot;00BC689E&quot;/&gt;&lt;wsp:rsid wsp:val=&quot;00BC6E57&quot;/&gt;&lt;wsp:rsid wsp:val=&quot;00BC6FF0&quot;/&gt;&lt;wsp:rsid wsp:val=&quot;00BC7003&quot;/&gt;&lt;wsp:rsid wsp:val=&quot;00BC72DF&quot;/&gt;&lt;wsp:rsid wsp:val=&quot;00BC7514&quot;/&gt;&lt;wsp:rsid wsp:val=&quot;00BC7A8A&quot;/&gt;&lt;wsp:rsid wsp:val=&quot;00BC7E36&quot;/&gt;&lt;wsp:rsid wsp:val=&quot;00BD0239&quot;/&gt;&lt;wsp:rsid wsp:val=&quot;00BD028C&quot;/&gt;&lt;wsp:rsid wsp:val=&quot;00BD0665&quot;/&gt;&lt;wsp:rsid wsp:val=&quot;00BD07EF&quot;/&gt;&lt;wsp:rsid wsp:val=&quot;00BD07F5&quot;/&gt;&lt;wsp:rsid wsp:val=&quot;00BD0E05&quot;/&gt;&lt;wsp:rsid wsp:val=&quot;00BD0EC3&quot;/&gt;&lt;wsp:rsid wsp:val=&quot;00BD1044&quot;/&gt;&lt;wsp:rsid wsp:val=&quot;00BD1408&quot;/&gt;&lt;wsp:rsid wsp:val=&quot;00BD15C5&quot;/&gt;&lt;wsp:rsid wsp:val=&quot;00BD16AD&quot;/&gt;&lt;wsp:rsid wsp:val=&quot;00BD183E&quot;/&gt;&lt;wsp:rsid wsp:val=&quot;00BD1966&quot;/&gt;&lt;wsp:rsid wsp:val=&quot;00BD19F8&quot;/&gt;&lt;wsp:rsid wsp:val=&quot;00BD21EF&quot;/&gt;&lt;wsp:rsid wsp:val=&quot;00BD2722&quot;/&gt;&lt;wsp:rsid wsp:val=&quot;00BD290B&quot;/&gt;&lt;wsp:rsid wsp:val=&quot;00BD2A30&quot;/&gt;&lt;wsp:rsid wsp:val=&quot;00BD2C67&quot;/&gt;&lt;wsp:rsid wsp:val=&quot;00BD319D&quot;/&gt;&lt;wsp:rsid wsp:val=&quot;00BD3B1A&quot;/&gt;&lt;wsp:rsid wsp:val=&quot;00BD3CC7&quot;/&gt;&lt;wsp:rsid wsp:val=&quot;00BD47CB&quot;/&gt;&lt;wsp:rsid wsp:val=&quot;00BD4986&quot;/&gt;&lt;wsp:rsid wsp:val=&quot;00BD4A06&quot;/&gt;&lt;wsp:rsid wsp:val=&quot;00BD4D4D&quot;/&gt;&lt;wsp:rsid wsp:val=&quot;00BD4F72&quot;/&gt;&lt;wsp:rsid wsp:val=&quot;00BD5117&quot;/&gt;&lt;wsp:rsid wsp:val=&quot;00BD52AB&quot;/&gt;&lt;wsp:rsid wsp:val=&quot;00BD5483&quot;/&gt;&lt;wsp:rsid wsp:val=&quot;00BD5626&quot;/&gt;&lt;wsp:rsid wsp:val=&quot;00BD57FD&quot;/&gt;&lt;wsp:rsid wsp:val=&quot;00BD5E7B&quot;/&gt;&lt;wsp:rsid wsp:val=&quot;00BD67E2&quot;/&gt;&lt;wsp:rsid wsp:val=&quot;00BD6DBD&quot;/&gt;&lt;wsp:rsid wsp:val=&quot;00BD6E04&quot;/&gt;&lt;wsp:rsid wsp:val=&quot;00BD73E0&quot;/&gt;&lt;wsp:rsid wsp:val=&quot;00BD746B&quot;/&gt;&lt;wsp:rsid wsp:val=&quot;00BD7971&quot;/&gt;&lt;wsp:rsid wsp:val=&quot;00BD7A89&quot;/&gt;&lt;wsp:rsid wsp:val=&quot;00BD7AB5&quot;/&gt;&lt;wsp:rsid wsp:val=&quot;00BD7C5B&quot;/&gt;&lt;wsp:rsid wsp:val=&quot;00BD7CEE&quot;/&gt;&lt;wsp:rsid wsp:val=&quot;00BD7D8E&quot;/&gt;&lt;wsp:rsid wsp:val=&quot;00BE0028&quot;/&gt;&lt;wsp:rsid wsp:val=&quot;00BE06B0&quot;/&gt;&lt;wsp:rsid wsp:val=&quot;00BE06D9&quot;/&gt;&lt;wsp:rsid wsp:val=&quot;00BE09AD&quot;/&gt;&lt;wsp:rsid wsp:val=&quot;00BE0B76&quot;/&gt;&lt;wsp:rsid wsp:val=&quot;00BE18A5&quot;/&gt;&lt;wsp:rsid wsp:val=&quot;00BE19E5&quot;/&gt;&lt;wsp:rsid wsp:val=&quot;00BE1DE4&quot;/&gt;&lt;wsp:rsid wsp:val=&quot;00BE1F06&quot;/&gt;&lt;wsp:rsid wsp:val=&quot;00BE1FDE&quot;/&gt;&lt;wsp:rsid wsp:val=&quot;00BE24B8&quot;/&gt;&lt;wsp:rsid wsp:val=&quot;00BE2516&quot;/&gt;&lt;wsp:rsid wsp:val=&quot;00BE2676&quot;/&gt;&lt;wsp:rsid wsp:val=&quot;00BE27F3&quot;/&gt;&lt;wsp:rsid wsp:val=&quot;00BE2B0C&quot;/&gt;&lt;wsp:rsid wsp:val=&quot;00BE2E84&quot;/&gt;&lt;wsp:rsid wsp:val=&quot;00BE2FC2&quot;/&gt;&lt;wsp:rsid wsp:val=&quot;00BE303E&quot;/&gt;&lt;wsp:rsid wsp:val=&quot;00BE333D&quot;/&gt;&lt;wsp:rsid wsp:val=&quot;00BE3465&quot;/&gt;&lt;wsp:rsid wsp:val=&quot;00BE4325&quot;/&gt;&lt;wsp:rsid wsp:val=&quot;00BE52FA&quot;/&gt;&lt;wsp:rsid wsp:val=&quot;00BE5611&quot;/&gt;&lt;wsp:rsid wsp:val=&quot;00BE56AA&quot;/&gt;&lt;wsp:rsid wsp:val=&quot;00BE56CB&quot;/&gt;&lt;wsp:rsid wsp:val=&quot;00BE58B2&quot;/&gt;&lt;wsp:rsid wsp:val=&quot;00BE6197&quot;/&gt;&lt;wsp:rsid wsp:val=&quot;00BE6510&quot;/&gt;&lt;wsp:rsid wsp:val=&quot;00BE6562&quot;/&gt;&lt;wsp:rsid wsp:val=&quot;00BE6B39&quot;/&gt;&lt;wsp:rsid wsp:val=&quot;00BE6C2F&quot;/&gt;&lt;wsp:rsid wsp:val=&quot;00BE6CE0&quot;/&gt;&lt;wsp:rsid wsp:val=&quot;00BE712C&quot;/&gt;&lt;wsp:rsid wsp:val=&quot;00BE75E1&quot;/&gt;&lt;wsp:rsid wsp:val=&quot;00BE76C2&quot;/&gt;&lt;wsp:rsid wsp:val=&quot;00BE785F&quot;/&gt;&lt;wsp:rsid wsp:val=&quot;00BE78BC&quot;/&gt;&lt;wsp:rsid wsp:val=&quot;00BE7C9B&quot;/&gt;&lt;wsp:rsid wsp:val=&quot;00BF00BE&quot;/&gt;&lt;wsp:rsid wsp:val=&quot;00BF018E&quot;/&gt;&lt;wsp:rsid wsp:val=&quot;00BF04F4&quot;/&gt;&lt;wsp:rsid wsp:val=&quot;00BF07C9&quot;/&gt;&lt;wsp:rsid wsp:val=&quot;00BF092E&quot;/&gt;&lt;wsp:rsid wsp:val=&quot;00BF0D10&quot;/&gt;&lt;wsp:rsid wsp:val=&quot;00BF0E67&quot;/&gt;&lt;wsp:rsid wsp:val=&quot;00BF0F6C&quot;/&gt;&lt;wsp:rsid wsp:val=&quot;00BF14A4&quot;/&gt;&lt;wsp:rsid wsp:val=&quot;00BF1503&quot;/&gt;&lt;wsp:rsid wsp:val=&quot;00BF1995&quot;/&gt;&lt;wsp:rsid wsp:val=&quot;00BF20B3&quot;/&gt;&lt;wsp:rsid wsp:val=&quot;00BF2226&quot;/&gt;&lt;wsp:rsid wsp:val=&quot;00BF2A9A&quot;/&gt;&lt;wsp:rsid wsp:val=&quot;00BF3C18&quot;/&gt;&lt;wsp:rsid wsp:val=&quot;00BF4105&quot;/&gt;&lt;wsp:rsid wsp:val=&quot;00BF418D&quot;/&gt;&lt;wsp:rsid wsp:val=&quot;00BF452F&quot;/&gt;&lt;wsp:rsid wsp:val=&quot;00BF456D&quot;/&gt;&lt;wsp:rsid wsp:val=&quot;00BF55FF&quot;/&gt;&lt;wsp:rsid wsp:val=&quot;00BF571A&quot;/&gt;&lt;wsp:rsid wsp:val=&quot;00BF5A3A&quot;/&gt;&lt;wsp:rsid wsp:val=&quot;00BF5B6E&quot;/&gt;&lt;wsp:rsid wsp:val=&quot;00BF5D51&quot;/&gt;&lt;wsp:rsid wsp:val=&quot;00BF5FB4&quot;/&gt;&lt;wsp:rsid wsp:val=&quot;00BF6487&quot;/&gt;&lt;wsp:rsid wsp:val=&quot;00BF6693&quot;/&gt;&lt;wsp:rsid wsp:val=&quot;00BF66D7&quot;/&gt;&lt;wsp:rsid wsp:val=&quot;00BF6AF7&quot;/&gt;&lt;wsp:rsid wsp:val=&quot;00BF6D3E&quot;/&gt;&lt;wsp:rsid wsp:val=&quot;00BF6F1F&quot;/&gt;&lt;wsp:rsid wsp:val=&quot;00BF7145&quot;/&gt;&lt;wsp:rsid wsp:val=&quot;00BF7221&quot;/&gt;&lt;wsp:rsid wsp:val=&quot;00BF7B8D&quot;/&gt;&lt;wsp:rsid wsp:val=&quot;00BF7EAE&quot;/&gt;&lt;wsp:rsid wsp:val=&quot;00C00180&quot;/&gt;&lt;wsp:rsid wsp:val=&quot;00C002A6&quot;/&gt;&lt;wsp:rsid wsp:val=&quot;00C0040F&quot;/&gt;&lt;wsp:rsid wsp:val=&quot;00C00B97&quot;/&gt;&lt;wsp:rsid wsp:val=&quot;00C00ED8&quot;/&gt;&lt;wsp:rsid wsp:val=&quot;00C011B7&quot;/&gt;&lt;wsp:rsid wsp:val=&quot;00C01350&quot;/&gt;&lt;wsp:rsid wsp:val=&quot;00C017BB&quot;/&gt;&lt;wsp:rsid wsp:val=&quot;00C01DB8&quot;/&gt;&lt;wsp:rsid wsp:val=&quot;00C01E51&quot;/&gt;&lt;wsp:rsid wsp:val=&quot;00C01F8C&quot;/&gt;&lt;wsp:rsid wsp:val=&quot;00C0200B&quot;/&gt;&lt;wsp:rsid wsp:val=&quot;00C020FC&quot;/&gt;&lt;wsp:rsid wsp:val=&quot;00C02143&quot;/&gt;&lt;wsp:rsid wsp:val=&quot;00C02566&quot;/&gt;&lt;wsp:rsid wsp:val=&quot;00C02775&quot;/&gt;&lt;wsp:rsid wsp:val=&quot;00C02AB4&quot;/&gt;&lt;wsp:rsid wsp:val=&quot;00C02B6E&quot;/&gt;&lt;wsp:rsid wsp:val=&quot;00C02C7F&quot;/&gt;&lt;wsp:rsid wsp:val=&quot;00C02FC6&quot;/&gt;&lt;wsp:rsid wsp:val=&quot;00C03236&quot;/&gt;&lt;wsp:rsid wsp:val=&quot;00C03A12&quot;/&gt;&lt;wsp:rsid wsp:val=&quot;00C03E02&quot;/&gt;&lt;wsp:rsid wsp:val=&quot;00C03F80&quot;/&gt;&lt;wsp:rsid wsp:val=&quot;00C04424&quot;/&gt;&lt;wsp:rsid wsp:val=&quot;00C0453D&quot;/&gt;&lt;wsp:rsid wsp:val=&quot;00C05095&quot;/&gt;&lt;wsp:rsid wsp:val=&quot;00C05A2D&quot;/&gt;&lt;wsp:rsid wsp:val=&quot;00C05D31&quot;/&gt;&lt;wsp:rsid wsp:val=&quot;00C05E10&quot;/&gt;&lt;wsp:rsid wsp:val=&quot;00C060E2&quot;/&gt;&lt;wsp:rsid wsp:val=&quot;00C06660&quot;/&gt;&lt;wsp:rsid wsp:val=&quot;00C0691F&quot;/&gt;&lt;wsp:rsid wsp:val=&quot;00C06953&quot;/&gt;&lt;wsp:rsid wsp:val=&quot;00C06CC3&quot;/&gt;&lt;wsp:rsid wsp:val=&quot;00C06DF9&quot;/&gt;&lt;wsp:rsid wsp:val=&quot;00C06FB3&quot;/&gt;&lt;wsp:rsid wsp:val=&quot;00C070C3&quot;/&gt;&lt;wsp:rsid wsp:val=&quot;00C078EE&quot;/&gt;&lt;wsp:rsid wsp:val=&quot;00C07BC7&quot;/&gt;&lt;wsp:rsid wsp:val=&quot;00C10240&quot;/&gt;&lt;wsp:rsid wsp:val=&quot;00C102D6&quot;/&gt;&lt;wsp:rsid wsp:val=&quot;00C104EA&quot;/&gt;&lt;wsp:rsid wsp:val=&quot;00C10512&quot;/&gt;&lt;wsp:rsid wsp:val=&quot;00C10BF8&quot;/&gt;&lt;wsp:rsid wsp:val=&quot;00C10D7B&quot;/&gt;&lt;wsp:rsid wsp:val=&quot;00C10F49&quot;/&gt;&lt;wsp:rsid wsp:val=&quot;00C11443&quot;/&gt;&lt;wsp:rsid wsp:val=&quot;00C11555&quot;/&gt;&lt;wsp:rsid wsp:val=&quot;00C1180F&quot;/&gt;&lt;wsp:rsid wsp:val=&quot;00C11BE8&quot;/&gt;&lt;wsp:rsid wsp:val=&quot;00C11EA5&quot;/&gt;&lt;wsp:rsid wsp:val=&quot;00C11F74&quot;/&gt;&lt;wsp:rsid wsp:val=&quot;00C129E9&quot;/&gt;&lt;wsp:rsid wsp:val=&quot;00C12C11&quot;/&gt;&lt;wsp:rsid wsp:val=&quot;00C12C97&quot;/&gt;&lt;wsp:rsid wsp:val=&quot;00C13509&quot;/&gt;&lt;wsp:rsid wsp:val=&quot;00C13555&quot;/&gt;&lt;wsp:rsid wsp:val=&quot;00C135A5&quot;/&gt;&lt;wsp:rsid wsp:val=&quot;00C137B3&quot;/&gt;&lt;wsp:rsid wsp:val=&quot;00C13AE6&quot;/&gt;&lt;wsp:rsid wsp:val=&quot;00C13EEF&quot;/&gt;&lt;wsp:rsid wsp:val=&quot;00C14134&quot;/&gt;&lt;wsp:rsid wsp:val=&quot;00C1486A&quot;/&gt;&lt;wsp:rsid wsp:val=&quot;00C14D0F&quot;/&gt;&lt;wsp:rsid wsp:val=&quot;00C150B0&quot;/&gt;&lt;wsp:rsid wsp:val=&quot;00C152AF&quot;/&gt;&lt;wsp:rsid wsp:val=&quot;00C15325&quot;/&gt;&lt;wsp:rsid wsp:val=&quot;00C15977&quot;/&gt;&lt;wsp:rsid wsp:val=&quot;00C15C67&quot;/&gt;&lt;wsp:rsid wsp:val=&quot;00C15EE9&quot;/&gt;&lt;wsp:rsid wsp:val=&quot;00C15F3E&quot;/&gt;&lt;wsp:rsid wsp:val=&quot;00C162BB&quot;/&gt;&lt;wsp:rsid wsp:val=&quot;00C1648E&quot;/&gt;&lt;wsp:rsid wsp:val=&quot;00C16B62&quot;/&gt;&lt;wsp:rsid wsp:val=&quot;00C16CD0&quot;/&gt;&lt;wsp:rsid wsp:val=&quot;00C16D8C&quot;/&gt;&lt;wsp:rsid wsp:val=&quot;00C1711A&quot;/&gt;&lt;wsp:rsid wsp:val=&quot;00C174BB&quot;/&gt;&lt;wsp:rsid wsp:val=&quot;00C17BF1&quot;/&gt;&lt;wsp:rsid wsp:val=&quot;00C17C09&quot;/&gt;&lt;wsp:rsid wsp:val=&quot;00C20128&quot;/&gt;&lt;wsp:rsid wsp:val=&quot;00C201C6&quot;/&gt;&lt;wsp:rsid wsp:val=&quot;00C20663&quot;/&gt;&lt;wsp:rsid wsp:val=&quot;00C208B3&quot;/&gt;&lt;wsp:rsid wsp:val=&quot;00C20A81&quot;/&gt;&lt;wsp:rsid wsp:val=&quot;00C20C04&quot;/&gt;&lt;wsp:rsid wsp:val=&quot;00C213C5&quot;/&gt;&lt;wsp:rsid wsp:val=&quot;00C2147C&quot;/&gt;&lt;wsp:rsid wsp:val=&quot;00C21867&quot;/&gt;&lt;wsp:rsid wsp:val=&quot;00C21BF0&quot;/&gt;&lt;wsp:rsid wsp:val=&quot;00C21CA2&quot;/&gt;&lt;wsp:rsid wsp:val=&quot;00C21FB6&quot;/&gt;&lt;wsp:rsid wsp:val=&quot;00C220D9&quot;/&gt;&lt;wsp:rsid wsp:val=&quot;00C22109&quot;/&gt;&lt;wsp:rsid wsp:val=&quot;00C22165&quot;/&gt;&lt;wsp:rsid wsp:val=&quot;00C22178&quot;/&gt;&lt;wsp:rsid wsp:val=&quot;00C22628&quot;/&gt;&lt;wsp:rsid wsp:val=&quot;00C22699&quot;/&gt;&lt;wsp:rsid wsp:val=&quot;00C2292E&quot;/&gt;&lt;wsp:rsid wsp:val=&quot;00C22AA2&quot;/&gt;&lt;wsp:rsid wsp:val=&quot;00C22F8E&quot;/&gt;&lt;wsp:rsid wsp:val=&quot;00C23063&quot;/&gt;&lt;wsp:rsid wsp:val=&quot;00C236A3&quot;/&gt;&lt;wsp:rsid wsp:val=&quot;00C236BB&quot;/&gt;&lt;wsp:rsid wsp:val=&quot;00C23703&quot;/&gt;&lt;wsp:rsid wsp:val=&quot;00C239A2&quot;/&gt;&lt;wsp:rsid wsp:val=&quot;00C23EA5&quot;/&gt;&lt;wsp:rsid wsp:val=&quot;00C23EFC&quot;/&gt;&lt;wsp:rsid wsp:val=&quot;00C23F8F&quot;/&gt;&lt;wsp:rsid wsp:val=&quot;00C24301&quot;/&gt;&lt;wsp:rsid wsp:val=&quot;00C244F8&quot;/&gt;&lt;wsp:rsid wsp:val=&quot;00C24626&quot;/&gt;&lt;wsp:rsid wsp:val=&quot;00C24A64&quot;/&gt;&lt;wsp:rsid wsp:val=&quot;00C24E2A&quot;/&gt;&lt;wsp:rsid wsp:val=&quot;00C24E2B&quot;/&gt;&lt;wsp:rsid wsp:val=&quot;00C24F63&quot;/&gt;&lt;wsp:rsid wsp:val=&quot;00C250B1&quot;/&gt;&lt;wsp:rsid wsp:val=&quot;00C2586A&quot;/&gt;&lt;wsp:rsid wsp:val=&quot;00C25936&quot;/&gt;&lt;wsp:rsid wsp:val=&quot;00C25DE7&quot;/&gt;&lt;wsp:rsid wsp:val=&quot;00C260AE&quot;/&gt;&lt;wsp:rsid wsp:val=&quot;00C26418&quot;/&gt;&lt;wsp:rsid wsp:val=&quot;00C267CE&quot;/&gt;&lt;wsp:rsid wsp:val=&quot;00C27C00&quot;/&gt;&lt;wsp:rsid wsp:val=&quot;00C3012D&quot;/&gt;&lt;wsp:rsid wsp:val=&quot;00C309C4&quot;/&gt;&lt;wsp:rsid wsp:val=&quot;00C30C4F&quot;/&gt;&lt;wsp:rsid wsp:val=&quot;00C30FEC&quot;/&gt;&lt;wsp:rsid wsp:val=&quot;00C310A6&quot;/&gt;&lt;wsp:rsid wsp:val=&quot;00C313EB&quot;/&gt;&lt;wsp:rsid wsp:val=&quot;00C31477&quot;/&gt;&lt;wsp:rsid wsp:val=&quot;00C3163C&quot;/&gt;&lt;wsp:rsid wsp:val=&quot;00C3189B&quot;/&gt;&lt;wsp:rsid wsp:val=&quot;00C31991&quot;/&gt;&lt;wsp:rsid wsp:val=&quot;00C31BF9&quot;/&gt;&lt;wsp:rsid wsp:val=&quot;00C31E68&quot;/&gt;&lt;wsp:rsid wsp:val=&quot;00C31E98&quot;/&gt;&lt;wsp:rsid wsp:val=&quot;00C31F06&quot;/&gt;&lt;wsp:rsid wsp:val=&quot;00C3200E&quot;/&gt;&lt;wsp:rsid wsp:val=&quot;00C32227&quot;/&gt;&lt;wsp:rsid wsp:val=&quot;00C32521&quot;/&gt;&lt;wsp:rsid wsp:val=&quot;00C3256D&quot;/&gt;&lt;wsp:rsid wsp:val=&quot;00C326F5&quot;/&gt;&lt;wsp:rsid wsp:val=&quot;00C328C0&quot;/&gt;&lt;wsp:rsid wsp:val=&quot;00C329BB&quot;/&gt;&lt;wsp:rsid wsp:val=&quot;00C32CD7&quot;/&gt;&lt;wsp:rsid wsp:val=&quot;00C32D73&quot;/&gt;&lt;wsp:rsid wsp:val=&quot;00C33480&quot;/&gt;&lt;wsp:rsid wsp:val=&quot;00C3351E&quot;/&gt;&lt;wsp:rsid wsp:val=&quot;00C33ABF&quot;/&gt;&lt;wsp:rsid wsp:val=&quot;00C33F88&quot;/&gt;&lt;wsp:rsid wsp:val=&quot;00C347EB&quot;/&gt;&lt;wsp:rsid wsp:val=&quot;00C34A8A&quot;/&gt;&lt;wsp:rsid wsp:val=&quot;00C34E96&quot;/&gt;&lt;wsp:rsid wsp:val=&quot;00C34F98&quot;/&gt;&lt;wsp:rsid wsp:val=&quot;00C34FE9&quot;/&gt;&lt;wsp:rsid wsp:val=&quot;00C351F0&quot;/&gt;&lt;wsp:rsid wsp:val=&quot;00C3528E&quot;/&gt;&lt;wsp:rsid wsp:val=&quot;00C3546C&quot;/&gt;&lt;wsp:rsid wsp:val=&quot;00C36345&quot;/&gt;&lt;wsp:rsid wsp:val=&quot;00C36660&quot;/&gt;&lt;wsp:rsid wsp:val=&quot;00C36908&quot;/&gt;&lt;wsp:rsid wsp:val=&quot;00C36A6C&quot;/&gt;&lt;wsp:rsid wsp:val=&quot;00C36D0F&quot;/&gt;&lt;wsp:rsid wsp:val=&quot;00C36F38&quot;/&gt;&lt;wsp:rsid wsp:val=&quot;00C36F53&quot;/&gt;&lt;wsp:rsid wsp:val=&quot;00C375DD&quot;/&gt;&lt;wsp:rsid wsp:val=&quot;00C37B8B&quot;/&gt;&lt;wsp:rsid wsp:val=&quot;00C40486&quot;/&gt;&lt;wsp:rsid wsp:val=&quot;00C405F4&quot;/&gt;&lt;wsp:rsid wsp:val=&quot;00C40609&quot;/&gt;&lt;wsp:rsid wsp:val=&quot;00C40777&quot;/&gt;&lt;wsp:rsid wsp:val=&quot;00C408E3&quot;/&gt;&lt;wsp:rsid wsp:val=&quot;00C409E2&quot;/&gt;&lt;wsp:rsid wsp:val=&quot;00C40A4C&quot;/&gt;&lt;wsp:rsid wsp:val=&quot;00C40A63&quot;/&gt;&lt;wsp:rsid wsp:val=&quot;00C40D3E&quot;/&gt;&lt;wsp:rsid wsp:val=&quot;00C40E93&quot;/&gt;&lt;wsp:rsid wsp:val=&quot;00C40F5C&quot;/&gt;&lt;wsp:rsid wsp:val=&quot;00C40F77&quot;/&gt;&lt;wsp:rsid wsp:val=&quot;00C4136B&quot;/&gt;&lt;wsp:rsid wsp:val=&quot;00C413B2&quot;/&gt;&lt;wsp:rsid wsp:val=&quot;00C413CD&quot;/&gt;&lt;wsp:rsid wsp:val=&quot;00C41992&quot;/&gt;&lt;wsp:rsid wsp:val=&quot;00C419F9&quot;/&gt;&lt;wsp:rsid wsp:val=&quot;00C41CC2&quot;/&gt;&lt;wsp:rsid wsp:val=&quot;00C41DFC&quot;/&gt;&lt;wsp:rsid wsp:val=&quot;00C41E87&quot;/&gt;&lt;wsp:rsid wsp:val=&quot;00C41F13&quot;/&gt;&lt;wsp:rsid wsp:val=&quot;00C42424&quot;/&gt;&lt;wsp:rsid wsp:val=&quot;00C43286&quot;/&gt;&lt;wsp:rsid wsp:val=&quot;00C4358D&quot;/&gt;&lt;wsp:rsid wsp:val=&quot;00C4370D&quot;/&gt;&lt;wsp:rsid wsp:val=&quot;00C44058&quot;/&gt;&lt;wsp:rsid wsp:val=&quot;00C4495F&quot;/&gt;&lt;wsp:rsid wsp:val=&quot;00C45325&quot;/&gt;&lt;wsp:rsid wsp:val=&quot;00C453A3&quot;/&gt;&lt;wsp:rsid wsp:val=&quot;00C45ADF&quot;/&gt;&lt;wsp:rsid wsp:val=&quot;00C45CB8&quot;/&gt;&lt;wsp:rsid wsp:val=&quot;00C46336&quot;/&gt;&lt;wsp:rsid wsp:val=&quot;00C4689A&quot;/&gt;&lt;wsp:rsid wsp:val=&quot;00C46E54&quot;/&gt;&lt;wsp:rsid wsp:val=&quot;00C4703A&quot;/&gt;&lt;wsp:rsid wsp:val=&quot;00C474C1&quot;/&gt;&lt;wsp:rsid wsp:val=&quot;00C47EAC&quot;/&gt;&lt;wsp:rsid wsp:val=&quot;00C47FE1&quot;/&gt;&lt;wsp:rsid wsp:val=&quot;00C5008A&quot;/&gt;&lt;wsp:rsid wsp:val=&quot;00C507B2&quot;/&gt;&lt;wsp:rsid wsp:val=&quot;00C50B28&quot;/&gt;&lt;wsp:rsid wsp:val=&quot;00C50B89&quot;/&gt;&lt;wsp:rsid wsp:val=&quot;00C51397&quot;/&gt;&lt;wsp:rsid wsp:val=&quot;00C516C6&quot;/&gt;&lt;wsp:rsid wsp:val=&quot;00C51953&quot;/&gt;&lt;wsp:rsid wsp:val=&quot;00C52043&quot;/&gt;&lt;wsp:rsid wsp:val=&quot;00C5268A&quot;/&gt;&lt;wsp:rsid wsp:val=&quot;00C529CC&quot;/&gt;&lt;wsp:rsid wsp:val=&quot;00C52D26&quot;/&gt;&lt;wsp:rsid wsp:val=&quot;00C53272&quot;/&gt;&lt;wsp:rsid wsp:val=&quot;00C53E29&quot;/&gt;&lt;wsp:rsid wsp:val=&quot;00C53EAE&quot;/&gt;&lt;wsp:rsid wsp:val=&quot;00C53F85&quot;/&gt;&lt;wsp:rsid wsp:val=&quot;00C54548&quot;/&gt;&lt;wsp:rsid wsp:val=&quot;00C549F3&quot;/&gt;&lt;wsp:rsid wsp:val=&quot;00C54CE5&quot;/&gt;&lt;wsp:rsid wsp:val=&quot;00C54D13&quot;/&gt;&lt;wsp:rsid wsp:val=&quot;00C54EF1&quot;/&gt;&lt;wsp:rsid wsp:val=&quot;00C5502B&quot;/&gt;&lt;wsp:rsid wsp:val=&quot;00C551F8&quot;/&gt;&lt;wsp:rsid wsp:val=&quot;00C552FA&quot;/&gt;&lt;wsp:rsid wsp:val=&quot;00C5557C&quot;/&gt;&lt;wsp:rsid wsp:val=&quot;00C55714&quot;/&gt;&lt;wsp:rsid wsp:val=&quot;00C5571A&quot;/&gt;&lt;wsp:rsid wsp:val=&quot;00C55833&quot;/&gt;&lt;wsp:rsid wsp:val=&quot;00C55ABB&quot;/&gt;&lt;wsp:rsid wsp:val=&quot;00C55C94&quot;/&gt;&lt;wsp:rsid wsp:val=&quot;00C560ED&quot;/&gt;&lt;wsp:rsid wsp:val=&quot;00C56423&quot;/&gt;&lt;wsp:rsid wsp:val=&quot;00C56B2B&quot;/&gt;&lt;wsp:rsid wsp:val=&quot;00C56DFA&quot;/&gt;&lt;wsp:rsid wsp:val=&quot;00C5706C&quot;/&gt;&lt;wsp:rsid wsp:val=&quot;00C5748D&quot;/&gt;&lt;wsp:rsid wsp:val=&quot;00C57495&quot;/&gt;&lt;wsp:rsid wsp:val=&quot;00C5764E&quot;/&gt;&lt;wsp:rsid wsp:val=&quot;00C57724&quot;/&gt;&lt;wsp:rsid wsp:val=&quot;00C578BE&quot;/&gt;&lt;wsp:rsid wsp:val=&quot;00C57A7C&quot;/&gt;&lt;wsp:rsid wsp:val=&quot;00C57ABD&quot;/&gt;&lt;wsp:rsid wsp:val=&quot;00C57E0C&quot;/&gt;&lt;wsp:rsid wsp:val=&quot;00C60420&quot;/&gt;&lt;wsp:rsid wsp:val=&quot;00C608EB&quot;/&gt;&lt;wsp:rsid wsp:val=&quot;00C61442&quot;/&gt;&lt;wsp:rsid wsp:val=&quot;00C6148E&quot;/&gt;&lt;wsp:rsid wsp:val=&quot;00C616DC&quot;/&gt;&lt;wsp:rsid wsp:val=&quot;00C61D53&quot;/&gt;&lt;wsp:rsid wsp:val=&quot;00C628B9&quot;/&gt;&lt;wsp:rsid wsp:val=&quot;00C62D5C&quot;/&gt;&lt;wsp:rsid wsp:val=&quot;00C62D63&quot;/&gt;&lt;wsp:rsid wsp:val=&quot;00C62FD1&quot;/&gt;&lt;wsp:rsid wsp:val=&quot;00C63112&quot;/&gt;&lt;wsp:rsid wsp:val=&quot;00C6323C&quot;/&gt;&lt;wsp:rsid wsp:val=&quot;00C632AB&quot;/&gt;&lt;wsp:rsid wsp:val=&quot;00C635E9&quot;/&gt;&lt;wsp:rsid wsp:val=&quot;00C63676&quot;/&gt;&lt;wsp:rsid wsp:val=&quot;00C638AE&quot;/&gt;&lt;wsp:rsid wsp:val=&quot;00C6396D&quot;/&gt;&lt;wsp:rsid wsp:val=&quot;00C63FC5&quot;/&gt;&lt;wsp:rsid wsp:val=&quot;00C64147&quot;/&gt;&lt;wsp:rsid wsp:val=&quot;00C64212&quot;/&gt;&lt;wsp:rsid wsp:val=&quot;00C64557&quot;/&gt;&lt;wsp:rsid wsp:val=&quot;00C648CB&quot;/&gt;&lt;wsp:rsid wsp:val=&quot;00C64B1E&quot;/&gt;&lt;wsp:rsid wsp:val=&quot;00C64B99&quot;/&gt;&lt;wsp:rsid wsp:val=&quot;00C64FFC&quot;/&gt;&lt;wsp:rsid wsp:val=&quot;00C64FFD&quot;/&gt;&lt;wsp:rsid wsp:val=&quot;00C65030&quot;/&gt;&lt;wsp:rsid wsp:val=&quot;00C655D5&quot;/&gt;&lt;wsp:rsid wsp:val=&quot;00C65CFF&quot;/&gt;&lt;wsp:rsid wsp:val=&quot;00C65EEE&quot;/&gt;&lt;wsp:rsid wsp:val=&quot;00C662BB&quot;/&gt;&lt;wsp:rsid wsp:val=&quot;00C66354&quot;/&gt;&lt;wsp:rsid wsp:val=&quot;00C66A8E&quot;/&gt;&lt;wsp:rsid wsp:val=&quot;00C66B4B&quot;/&gt;&lt;wsp:rsid wsp:val=&quot;00C670A3&quot;/&gt;&lt;wsp:rsid wsp:val=&quot;00C670AE&quot;/&gt;&lt;wsp:rsid wsp:val=&quot;00C671DE&quot;/&gt;&lt;wsp:rsid wsp:val=&quot;00C673C5&quot;/&gt;&lt;wsp:rsid wsp:val=&quot;00C67831&quot;/&gt;&lt;wsp:rsid wsp:val=&quot;00C67EA5&quot;/&gt;&lt;wsp:rsid wsp:val=&quot;00C67F6C&quot;/&gt;&lt;wsp:rsid wsp:val=&quot;00C701DC&quot;/&gt;&lt;wsp:rsid wsp:val=&quot;00C70366&quot;/&gt;&lt;wsp:rsid wsp:val=&quot;00C70A2A&quot;/&gt;&lt;wsp:rsid wsp:val=&quot;00C71651&quot;/&gt;&lt;wsp:rsid wsp:val=&quot;00C71716&quot;/&gt;&lt;wsp:rsid wsp:val=&quot;00C71B9C&quot;/&gt;&lt;wsp:rsid wsp:val=&quot;00C71BAB&quot;/&gt;&lt;wsp:rsid wsp:val=&quot;00C71BCA&quot;/&gt;&lt;wsp:rsid wsp:val=&quot;00C71DA3&quot;/&gt;&lt;wsp:rsid wsp:val=&quot;00C71FEF&quot;/&gt;&lt;wsp:rsid wsp:val=&quot;00C723D3&quot;/&gt;&lt;wsp:rsid wsp:val=&quot;00C7245C&quot;/&gt;&lt;wsp:rsid wsp:val=&quot;00C72BF5&quot;/&gt;&lt;wsp:rsid wsp:val=&quot;00C72E28&quot;/&gt;&lt;wsp:rsid wsp:val=&quot;00C72E48&quot;/&gt;&lt;wsp:rsid wsp:val=&quot;00C72F9F&quot;/&gt;&lt;wsp:rsid wsp:val=&quot;00C730B0&quot;/&gt;&lt;wsp:rsid wsp:val=&quot;00C73AB5&quot;/&gt;&lt;wsp:rsid wsp:val=&quot;00C742F4&quot;/&gt;&lt;wsp:rsid wsp:val=&quot;00C74456&quot;/&gt;&lt;wsp:rsid wsp:val=&quot;00C744F9&quot;/&gt;&lt;wsp:rsid wsp:val=&quot;00C74CB4&quot;/&gt;&lt;wsp:rsid wsp:val=&quot;00C7506D&quot;/&gt;&lt;wsp:rsid wsp:val=&quot;00C75070&quot;/&gt;&lt;wsp:rsid wsp:val=&quot;00C7519E&quot;/&gt;&lt;wsp:rsid wsp:val=&quot;00C755A3&quot;/&gt;&lt;wsp:rsid wsp:val=&quot;00C75D11&quot;/&gt;&lt;wsp:rsid wsp:val=&quot;00C75E9E&quot;/&gt;&lt;wsp:rsid wsp:val=&quot;00C76290&quot;/&gt;&lt;wsp:rsid wsp:val=&quot;00C764DC&quot;/&gt;&lt;wsp:rsid wsp:val=&quot;00C76567&quot;/&gt;&lt;wsp:rsid wsp:val=&quot;00C76946&quot;/&gt;&lt;wsp:rsid wsp:val=&quot;00C76B5E&quot;/&gt;&lt;wsp:rsid wsp:val=&quot;00C76D1B&quot;/&gt;&lt;wsp:rsid wsp:val=&quot;00C770A4&quot;/&gt;&lt;wsp:rsid wsp:val=&quot;00C77201&quot;/&gt;&lt;wsp:rsid wsp:val=&quot;00C7749B&quot;/&gt;&lt;wsp:rsid wsp:val=&quot;00C774E8&quot;/&gt;&lt;wsp:rsid wsp:val=&quot;00C77D52&quot;/&gt;&lt;wsp:rsid wsp:val=&quot;00C804F3&quot;/&gt;&lt;wsp:rsid wsp:val=&quot;00C805E2&quot;/&gt;&lt;wsp:rsid wsp:val=&quot;00C806F4&quot;/&gt;&lt;wsp:rsid wsp:val=&quot;00C80E41&quot;/&gt;&lt;wsp:rsid wsp:val=&quot;00C810E4&quot;/&gt;&lt;wsp:rsid wsp:val=&quot;00C8182A&quot;/&gt;&lt;wsp:rsid wsp:val=&quot;00C81C54&quot;/&gt;&lt;wsp:rsid wsp:val=&quot;00C81D9B&quot;/&gt;&lt;wsp:rsid wsp:val=&quot;00C822FD&quot;/&gt;&lt;wsp:rsid wsp:val=&quot;00C82360&quot;/&gt;&lt;wsp:rsid wsp:val=&quot;00C823D2&quot;/&gt;&lt;wsp:rsid wsp:val=&quot;00C825B6&quot;/&gt;&lt;wsp:rsid wsp:val=&quot;00C82D07&quot;/&gt;&lt;wsp:rsid wsp:val=&quot;00C82EE1&quot;/&gt;&lt;wsp:rsid wsp:val=&quot;00C834B5&quot;/&gt;&lt;wsp:rsid wsp:val=&quot;00C836AB&quot;/&gt;&lt;wsp:rsid wsp:val=&quot;00C83829&quot;/&gt;&lt;wsp:rsid wsp:val=&quot;00C83AB1&quot;/&gt;&lt;wsp:rsid wsp:val=&quot;00C83C0B&quot;/&gt;&lt;wsp:rsid wsp:val=&quot;00C84335&quot;/&gt;&lt;wsp:rsid wsp:val=&quot;00C84382&quot;/&gt;&lt;wsp:rsid wsp:val=&quot;00C846D6&quot;/&gt;&lt;wsp:rsid wsp:val=&quot;00C84879&quot;/&gt;&lt;wsp:rsid wsp:val=&quot;00C8490D&quot;/&gt;&lt;wsp:rsid wsp:val=&quot;00C849C3&quot;/&gt;&lt;wsp:rsid wsp:val=&quot;00C84CA9&quot;/&gt;&lt;wsp:rsid wsp:val=&quot;00C84DAA&quot;/&gt;&lt;wsp:rsid wsp:val=&quot;00C85290&quot;/&gt;&lt;wsp:rsid wsp:val=&quot;00C8537C&quot;/&gt;&lt;wsp:rsid wsp:val=&quot;00C8545B&quot;/&gt;&lt;wsp:rsid wsp:val=&quot;00C85463&quot;/&gt;&lt;wsp:rsid wsp:val=&quot;00C86660&quot;/&gt;&lt;wsp:rsid wsp:val=&quot;00C866CF&quot;/&gt;&lt;wsp:rsid wsp:val=&quot;00C86725&quot;/&gt;&lt;wsp:rsid wsp:val=&quot;00C86798&quot;/&gt;&lt;wsp:rsid wsp:val=&quot;00C869FF&quot;/&gt;&lt;wsp:rsid wsp:val=&quot;00C86B66&quot;/&gt;&lt;wsp:rsid wsp:val=&quot;00C8703E&quot;/&gt;&lt;wsp:rsid wsp:val=&quot;00C87047&quot;/&gt;&lt;wsp:rsid wsp:val=&quot;00C871AB&quot;/&gt;&lt;wsp:rsid wsp:val=&quot;00C8759E&quot;/&gt;&lt;wsp:rsid wsp:val=&quot;00C878DD&quot;/&gt;&lt;wsp:rsid wsp:val=&quot;00C87E7C&quot;/&gt;&lt;wsp:rsid wsp:val=&quot;00C901B8&quot;/&gt;&lt;wsp:rsid wsp:val=&quot;00C901D2&quot;/&gt;&lt;wsp:rsid wsp:val=&quot;00C902BC&quot;/&gt;&lt;wsp:rsid wsp:val=&quot;00C903C5&quot;/&gt;&lt;wsp:rsid wsp:val=&quot;00C90E9F&quot;/&gt;&lt;wsp:rsid wsp:val=&quot;00C90F68&quot;/&gt;&lt;wsp:rsid wsp:val=&quot;00C90FAD&quot;/&gt;&lt;wsp:rsid wsp:val=&quot;00C911C4&quot;/&gt;&lt;wsp:rsid wsp:val=&quot;00C91235&quot;/&gt;&lt;wsp:rsid wsp:val=&quot;00C91579&quot;/&gt;&lt;wsp:rsid wsp:val=&quot;00C91B03&quot;/&gt;&lt;wsp:rsid wsp:val=&quot;00C91B1A&quot;/&gt;&lt;wsp:rsid wsp:val=&quot;00C91B69&quot;/&gt;&lt;wsp:rsid wsp:val=&quot;00C91B6B&quot;/&gt;&lt;wsp:rsid wsp:val=&quot;00C91D6B&quot;/&gt;&lt;wsp:rsid wsp:val=&quot;00C92840&quot;/&gt;&lt;wsp:rsid wsp:val=&quot;00C92C3E&quot;/&gt;&lt;wsp:rsid wsp:val=&quot;00C92C8B&quot;/&gt;&lt;wsp:rsid wsp:val=&quot;00C92FE3&quot;/&gt;&lt;wsp:rsid wsp:val=&quot;00C93213&quot;/&gt;&lt;wsp:rsid wsp:val=&quot;00C9359D&quot;/&gt;&lt;wsp:rsid wsp:val=&quot;00C93794&quot;/&gt;&lt;wsp:rsid wsp:val=&quot;00C93AB1&quot;/&gt;&lt;wsp:rsid wsp:val=&quot;00C93C1C&quot;/&gt;&lt;wsp:rsid wsp:val=&quot;00C93C71&quot;/&gt;&lt;wsp:rsid wsp:val=&quot;00C94BF7&quot;/&gt;&lt;wsp:rsid wsp:val=&quot;00C94FDA&quot;/&gt;&lt;wsp:rsid wsp:val=&quot;00C952F2&quot;/&gt;&lt;wsp:rsid wsp:val=&quot;00C95593&quot;/&gt;&lt;wsp:rsid wsp:val=&quot;00C95601&quot;/&gt;&lt;wsp:rsid wsp:val=&quot;00C95761&quot;/&gt;&lt;wsp:rsid wsp:val=&quot;00C95B50&quot;/&gt;&lt;wsp:rsid wsp:val=&quot;00C95B74&quot;/&gt;&lt;wsp:rsid wsp:val=&quot;00C95DA9&quot;/&gt;&lt;wsp:rsid wsp:val=&quot;00C95FCB&quot;/&gt;&lt;wsp:rsid wsp:val=&quot;00C96008&quot;/&gt;&lt;wsp:rsid wsp:val=&quot;00C96072&quot;/&gt;&lt;wsp:rsid wsp:val=&quot;00C96114&quot;/&gt;&lt;wsp:rsid wsp:val=&quot;00C96342&quot;/&gt;&lt;wsp:rsid wsp:val=&quot;00C96488&quot;/&gt;&lt;wsp:rsid wsp:val=&quot;00C965F4&quot;/&gt;&lt;wsp:rsid wsp:val=&quot;00C966E7&quot;/&gt;&lt;wsp:rsid wsp:val=&quot;00C967C3&quot;/&gt;&lt;wsp:rsid wsp:val=&quot;00C967C7&quot;/&gt;&lt;wsp:rsid wsp:val=&quot;00C967D6&quot;/&gt;&lt;wsp:rsid wsp:val=&quot;00C96A2F&quot;/&gt;&lt;wsp:rsid wsp:val=&quot;00C96F4D&quot;/&gt;&lt;wsp:rsid wsp:val=&quot;00C973B5&quot;/&gt;&lt;wsp:rsid wsp:val=&quot;00C97477&quot;/&gt;&lt;wsp:rsid wsp:val=&quot;00C976FC&quot;/&gt;&lt;wsp:rsid wsp:val=&quot;00C977D5&quot;/&gt;&lt;wsp:rsid wsp:val=&quot;00C97877&quot;/&gt;&lt;wsp:rsid wsp:val=&quot;00C978CE&quot;/&gt;&lt;wsp:rsid wsp:val=&quot;00C97AD6&quot;/&gt;&lt;wsp:rsid wsp:val=&quot;00C97AE1&quot;/&gt;&lt;wsp:rsid wsp:val=&quot;00C97DD6&quot;/&gt;&lt;wsp:rsid wsp:val=&quot;00C97F8E&quot;/&gt;&lt;wsp:rsid wsp:val=&quot;00CA0429&quot;/&gt;&lt;wsp:rsid wsp:val=&quot;00CA05C1&quot;/&gt;&lt;wsp:rsid wsp:val=&quot;00CA0D15&quot;/&gt;&lt;wsp:rsid wsp:val=&quot;00CA0E1C&quot;/&gt;&lt;wsp:rsid wsp:val=&quot;00CA11A6&quot;/&gt;&lt;wsp:rsid wsp:val=&quot;00CA1764&quot;/&gt;&lt;wsp:rsid wsp:val=&quot;00CA184C&quot;/&gt;&lt;wsp:rsid wsp:val=&quot;00CA1A12&quot;/&gt;&lt;wsp:rsid wsp:val=&quot;00CA1A44&quot;/&gt;&lt;wsp:rsid wsp:val=&quot;00CA2208&quot;/&gt;&lt;wsp:rsid wsp:val=&quot;00CA2352&quot;/&gt;&lt;wsp:rsid wsp:val=&quot;00CA27D4&quot;/&gt;&lt;wsp:rsid wsp:val=&quot;00CA28E3&quot;/&gt;&lt;wsp:rsid wsp:val=&quot;00CA3429&quot;/&gt;&lt;wsp:rsid wsp:val=&quot;00CA3A9A&quot;/&gt;&lt;wsp:rsid wsp:val=&quot;00CA3C06&quot;/&gt;&lt;wsp:rsid wsp:val=&quot;00CA42DE&quot;/&gt;&lt;wsp:rsid wsp:val=&quot;00CA4D0F&quot;/&gt;&lt;wsp:rsid wsp:val=&quot;00CA5771&quot;/&gt;&lt;wsp:rsid wsp:val=&quot;00CA57F7&quot;/&gt;&lt;wsp:rsid wsp:val=&quot;00CA5873&quot;/&gt;&lt;wsp:rsid wsp:val=&quot;00CA5DDF&quot;/&gt;&lt;wsp:rsid wsp:val=&quot;00CA6218&quot;/&gt;&lt;wsp:rsid wsp:val=&quot;00CA6293&quot;/&gt;&lt;wsp:rsid wsp:val=&quot;00CA6487&quot;/&gt;&lt;wsp:rsid wsp:val=&quot;00CA6560&quot;/&gt;&lt;wsp:rsid wsp:val=&quot;00CA6A93&quot;/&gt;&lt;wsp:rsid wsp:val=&quot;00CA6BAC&quot;/&gt;&lt;wsp:rsid wsp:val=&quot;00CA6C37&quot;/&gt;&lt;wsp:rsid wsp:val=&quot;00CA6C42&quot;/&gt;&lt;wsp:rsid wsp:val=&quot;00CA76DA&quot;/&gt;&lt;wsp:rsid wsp:val=&quot;00CA7A78&quot;/&gt;&lt;wsp:rsid wsp:val=&quot;00CA7CA6&quot;/&gt;&lt;wsp:rsid wsp:val=&quot;00CB0586&quot;/&gt;&lt;wsp:rsid wsp:val=&quot;00CB08AF&quot;/&gt;&lt;wsp:rsid wsp:val=&quot;00CB0DF6&quot;/&gt;&lt;wsp:rsid wsp:val=&quot;00CB13A4&quot;/&gt;&lt;wsp:rsid wsp:val=&quot;00CB15CF&quot;/&gt;&lt;wsp:rsid wsp:val=&quot;00CB1CF7&quot;/&gt;&lt;wsp:rsid wsp:val=&quot;00CB1DF2&quot;/&gt;&lt;wsp:rsid wsp:val=&quot;00CB1FB6&quot;/&gt;&lt;wsp:rsid wsp:val=&quot;00CB2765&quot;/&gt;&lt;wsp:rsid wsp:val=&quot;00CB279B&quot;/&gt;&lt;wsp:rsid wsp:val=&quot;00CB28F7&quot;/&gt;&lt;wsp:rsid wsp:val=&quot;00CB2CB7&quot;/&gt;&lt;wsp:rsid wsp:val=&quot;00CB2DEC&quot;/&gt;&lt;wsp:rsid wsp:val=&quot;00CB3059&quot;/&gt;&lt;wsp:rsid wsp:val=&quot;00CB30E1&quot;/&gt;&lt;wsp:rsid wsp:val=&quot;00CB3228&quot;/&gt;&lt;wsp:rsid wsp:val=&quot;00CB32CE&quot;/&gt;&lt;wsp:rsid wsp:val=&quot;00CB3560&quot;/&gt;&lt;wsp:rsid wsp:val=&quot;00CB3830&quot;/&gt;&lt;wsp:rsid wsp:val=&quot;00CB3B40&quot;/&gt;&lt;wsp:rsid wsp:val=&quot;00CB3C16&quot;/&gt;&lt;wsp:rsid wsp:val=&quot;00CB3DC2&quot;/&gt;&lt;wsp:rsid wsp:val=&quot;00CB3EBC&quot;/&gt;&lt;wsp:rsid wsp:val=&quot;00CB437F&quot;/&gt;&lt;wsp:rsid wsp:val=&quot;00CB4605&quot;/&gt;&lt;wsp:rsid wsp:val=&quot;00CB4A00&quot;/&gt;&lt;wsp:rsid wsp:val=&quot;00CB4B6A&quot;/&gt;&lt;wsp:rsid wsp:val=&quot;00CB4BB0&quot;/&gt;&lt;wsp:rsid wsp:val=&quot;00CB4F1F&quot;/&gt;&lt;wsp:rsid wsp:val=&quot;00CB51BA&quot;/&gt;&lt;wsp:rsid wsp:val=&quot;00CB52C1&quot;/&gt;&lt;wsp:rsid wsp:val=&quot;00CB55C5&quot;/&gt;&lt;wsp:rsid wsp:val=&quot;00CB570F&quot;/&gt;&lt;wsp:rsid wsp:val=&quot;00CB5D3D&quot;/&gt;&lt;wsp:rsid wsp:val=&quot;00CB5E81&quot;/&gt;&lt;wsp:rsid wsp:val=&quot;00CB602C&quot;/&gt;&lt;wsp:rsid wsp:val=&quot;00CB622A&quot;/&gt;&lt;wsp:rsid wsp:val=&quot;00CB624B&quot;/&gt;&lt;wsp:rsid wsp:val=&quot;00CB70DA&quot;/&gt;&lt;wsp:rsid wsp:val=&quot;00CB71E9&quot;/&gt;&lt;wsp:rsid wsp:val=&quot;00CB731A&quot;/&gt;&lt;wsp:rsid wsp:val=&quot;00CB7C20&quot;/&gt;&lt;wsp:rsid wsp:val=&quot;00CB7F49&quot;/&gt;&lt;wsp:rsid wsp:val=&quot;00CC0290&quot;/&gt;&lt;wsp:rsid wsp:val=&quot;00CC02B8&quot;/&gt;&lt;wsp:rsid wsp:val=&quot;00CC0726&quot;/&gt;&lt;wsp:rsid wsp:val=&quot;00CC0ECB&quot;/&gt;&lt;wsp:rsid wsp:val=&quot;00CC0F0E&quot;/&gt;&lt;wsp:rsid wsp:val=&quot;00CC0F11&quot;/&gt;&lt;wsp:rsid wsp:val=&quot;00CC0FD5&quot;/&gt;&lt;wsp:rsid wsp:val=&quot;00CC122D&quot;/&gt;&lt;wsp:rsid wsp:val=&quot;00CC1355&quot;/&gt;&lt;wsp:rsid wsp:val=&quot;00CC19B5&quot;/&gt;&lt;wsp:rsid wsp:val=&quot;00CC1A4D&quot;/&gt;&lt;wsp:rsid wsp:val=&quot;00CC20E3&quot;/&gt;&lt;wsp:rsid wsp:val=&quot;00CC214D&quot;/&gt;&lt;wsp:rsid wsp:val=&quot;00CC2210&quot;/&gt;&lt;wsp:rsid wsp:val=&quot;00CC2929&quot;/&gt;&lt;wsp:rsid wsp:val=&quot;00CC29E8&quot;/&gt;&lt;wsp:rsid wsp:val=&quot;00CC333D&quot;/&gt;&lt;wsp:rsid wsp:val=&quot;00CC3544&quot;/&gt;&lt;wsp:rsid wsp:val=&quot;00CC4220&quot;/&gt;&lt;wsp:rsid wsp:val=&quot;00CC445D&quot;/&gt;&lt;wsp:rsid wsp:val=&quot;00CC478C&quot;/&gt;&lt;wsp:rsid wsp:val=&quot;00CC4B48&quot;/&gt;&lt;wsp:rsid wsp:val=&quot;00CC4CFB&quot;/&gt;&lt;wsp:rsid wsp:val=&quot;00CC4D82&quot;/&gt;&lt;wsp:rsid wsp:val=&quot;00CC4DB5&quot;/&gt;&lt;wsp:rsid wsp:val=&quot;00CC4F1B&quot;/&gt;&lt;wsp:rsid wsp:val=&quot;00CC4F79&quot;/&gt;&lt;wsp:rsid wsp:val=&quot;00CC5049&quot;/&gt;&lt;wsp:rsid wsp:val=&quot;00CC549F&quot;/&gt;&lt;wsp:rsid wsp:val=&quot;00CC54A5&quot;/&gt;&lt;wsp:rsid wsp:val=&quot;00CC54E7&quot;/&gt;&lt;wsp:rsid wsp:val=&quot;00CC576B&quot;/&gt;&lt;wsp:rsid wsp:val=&quot;00CC6555&quot;/&gt;&lt;wsp:rsid wsp:val=&quot;00CC66D5&quot;/&gt;&lt;wsp:rsid wsp:val=&quot;00CC6A0B&quot;/&gt;&lt;wsp:rsid wsp:val=&quot;00CC6B94&quot;/&gt;&lt;wsp:rsid wsp:val=&quot;00CC6D80&quot;/&gt;&lt;wsp:rsid wsp:val=&quot;00CC6F86&quot;/&gt;&lt;wsp:rsid wsp:val=&quot;00CC74EB&quot;/&gt;&lt;wsp:rsid wsp:val=&quot;00CC769F&quot;/&gt;&lt;wsp:rsid wsp:val=&quot;00CC7BE7&quot;/&gt;&lt;wsp:rsid wsp:val=&quot;00CC7DE4&quot;/&gt;&lt;wsp:rsid wsp:val=&quot;00CC7E5A&quot;/&gt;&lt;wsp:rsid wsp:val=&quot;00CC7F47&quot;/&gt;&lt;wsp:rsid wsp:val=&quot;00CD07B5&quot;/&gt;&lt;wsp:rsid wsp:val=&quot;00CD0B3E&quot;/&gt;&lt;wsp:rsid wsp:val=&quot;00CD183A&quot;/&gt;&lt;wsp:rsid wsp:val=&quot;00CD279A&quot;/&gt;&lt;wsp:rsid wsp:val=&quot;00CD2F2A&quot;/&gt;&lt;wsp:rsid wsp:val=&quot;00CD2FDE&quot;/&gt;&lt;wsp:rsid wsp:val=&quot;00CD3649&quot;/&gt;&lt;wsp:rsid wsp:val=&quot;00CD393A&quot;/&gt;&lt;wsp:rsid wsp:val=&quot;00CD397B&quot;/&gt;&lt;wsp:rsid wsp:val=&quot;00CD3BCE&quot;/&gt;&lt;wsp:rsid wsp:val=&quot;00CD41CE&quot;/&gt;&lt;wsp:rsid wsp:val=&quot;00CD4871&quot;/&gt;&lt;wsp:rsid wsp:val=&quot;00CD4925&quot;/&gt;&lt;wsp:rsid wsp:val=&quot;00CD4A65&quot;/&gt;&lt;wsp:rsid wsp:val=&quot;00CD4FF8&quot;/&gt;&lt;wsp:rsid wsp:val=&quot;00CD53EB&quot;/&gt;&lt;wsp:rsid wsp:val=&quot;00CD5422&quot;/&gt;&lt;wsp:rsid wsp:val=&quot;00CD5490&quot;/&gt;&lt;wsp:rsid wsp:val=&quot;00CD587E&quot;/&gt;&lt;wsp:rsid wsp:val=&quot;00CD5931&quot;/&gt;&lt;wsp:rsid wsp:val=&quot;00CD59DC&quot;/&gt;&lt;wsp:rsid wsp:val=&quot;00CD5AF8&quot;/&gt;&lt;wsp:rsid wsp:val=&quot;00CD5AFE&quot;/&gt;&lt;wsp:rsid wsp:val=&quot;00CD5E2C&quot;/&gt;&lt;wsp:rsid wsp:val=&quot;00CD5EE3&quot;/&gt;&lt;wsp:rsid wsp:val=&quot;00CD61B3&quot;/&gt;&lt;wsp:rsid wsp:val=&quot;00CD6401&quot;/&gt;&lt;wsp:rsid wsp:val=&quot;00CD64FF&quot;/&gt;&lt;wsp:rsid wsp:val=&quot;00CD676D&quot;/&gt;&lt;wsp:rsid wsp:val=&quot;00CD68ED&quot;/&gt;&lt;wsp:rsid wsp:val=&quot;00CD69A9&quot;/&gt;&lt;wsp:rsid wsp:val=&quot;00CD69FB&quot;/&gt;&lt;wsp:rsid wsp:val=&quot;00CD6C45&quot;/&gt;&lt;wsp:rsid wsp:val=&quot;00CD717E&quot;/&gt;&lt;wsp:rsid wsp:val=&quot;00CD742C&quot;/&gt;&lt;wsp:rsid wsp:val=&quot;00CD7497&quot;/&gt;&lt;wsp:rsid wsp:val=&quot;00CD74C0&quot;/&gt;&lt;wsp:rsid wsp:val=&quot;00CD781F&quot;/&gt;&lt;wsp:rsid wsp:val=&quot;00CD7969&quot;/&gt;&lt;wsp:rsid wsp:val=&quot;00CD7BFF&quot;/&gt;&lt;wsp:rsid wsp:val=&quot;00CD7F01&quot;/&gt;&lt;wsp:rsid wsp:val=&quot;00CE011C&quot;/&gt;&lt;wsp:rsid wsp:val=&quot;00CE01CE&quot;/&gt;&lt;wsp:rsid wsp:val=&quot;00CE01E6&quot;/&gt;&lt;wsp:rsid wsp:val=&quot;00CE039C&quot;/&gt;&lt;wsp:rsid wsp:val=&quot;00CE040F&quot;/&gt;&lt;wsp:rsid wsp:val=&quot;00CE0773&quot;/&gt;&lt;wsp:rsid wsp:val=&quot;00CE1129&quot;/&gt;&lt;wsp:rsid wsp:val=&quot;00CE1A13&quot;/&gt;&lt;wsp:rsid wsp:val=&quot;00CE1C38&quot;/&gt;&lt;wsp:rsid wsp:val=&quot;00CE2255&quot;/&gt;&lt;wsp:rsid wsp:val=&quot;00CE2939&quot;/&gt;&lt;wsp:rsid wsp:val=&quot;00CE2A86&quot;/&gt;&lt;wsp:rsid wsp:val=&quot;00CE2CEE&quot;/&gt;&lt;wsp:rsid wsp:val=&quot;00CE2D22&quot;/&gt;&lt;wsp:rsid wsp:val=&quot;00CE30F8&quot;/&gt;&lt;wsp:rsid wsp:val=&quot;00CE38BA&quot;/&gt;&lt;wsp:rsid wsp:val=&quot;00CE4326&quot;/&gt;&lt;wsp:rsid wsp:val=&quot;00CE4A88&quot;/&gt;&lt;wsp:rsid wsp:val=&quot;00CE4E60&quot;/&gt;&lt;wsp:rsid wsp:val=&quot;00CE4E88&quot;/&gt;&lt;wsp:rsid wsp:val=&quot;00CE5060&quot;/&gt;&lt;wsp:rsid wsp:val=&quot;00CE5502&quot;/&gt;&lt;wsp:rsid wsp:val=&quot;00CE57B6&quot;/&gt;&lt;wsp:rsid wsp:val=&quot;00CE5B49&quot;/&gt;&lt;wsp:rsid wsp:val=&quot;00CE5B63&quot;/&gt;&lt;wsp:rsid wsp:val=&quot;00CE5FE4&quot;/&gt;&lt;wsp:rsid wsp:val=&quot;00CE6974&quot;/&gt;&lt;wsp:rsid wsp:val=&quot;00CE6F09&quot;/&gt;&lt;wsp:rsid wsp:val=&quot;00CE6F9A&quot;/&gt;&lt;wsp:rsid wsp:val=&quot;00CE739E&quot;/&gt;&lt;wsp:rsid wsp:val=&quot;00CE775D&quot;/&gt;&lt;wsp:rsid wsp:val=&quot;00CF0D65&quot;/&gt;&lt;wsp:rsid wsp:val=&quot;00CF107E&quot;/&gt;&lt;wsp:rsid wsp:val=&quot;00CF117E&quot;/&gt;&lt;wsp:rsid wsp:val=&quot;00CF1B47&quot;/&gt;&lt;wsp:rsid wsp:val=&quot;00CF26A4&quot;/&gt;&lt;wsp:rsid wsp:val=&quot;00CF27DA&quot;/&gt;&lt;wsp:rsid wsp:val=&quot;00CF3872&quot;/&gt;&lt;wsp:rsid wsp:val=&quot;00CF3924&quot;/&gt;&lt;wsp:rsid wsp:val=&quot;00CF3A0F&quot;/&gt;&lt;wsp:rsid wsp:val=&quot;00CF3A21&quot;/&gt;&lt;wsp:rsid wsp:val=&quot;00CF3B70&quot;/&gt;&lt;wsp:rsid wsp:val=&quot;00CF3E6D&quot;/&gt;&lt;wsp:rsid wsp:val=&quot;00CF42E7&quot;/&gt;&lt;wsp:rsid wsp:val=&quot;00CF4459&quot;/&gt;&lt;wsp:rsid wsp:val=&quot;00CF4689&quot;/&gt;&lt;wsp:rsid wsp:val=&quot;00CF4A56&quot;/&gt;&lt;wsp:rsid wsp:val=&quot;00CF4F93&quot;/&gt;&lt;wsp:rsid wsp:val=&quot;00CF50A0&quot;/&gt;&lt;wsp:rsid wsp:val=&quot;00CF56E8&quot;/&gt;&lt;wsp:rsid wsp:val=&quot;00CF58E7&quot;/&gt;&lt;wsp:rsid wsp:val=&quot;00CF592B&quot;/&gt;&lt;wsp:rsid wsp:val=&quot;00CF59F3&quot;/&gt;&lt;wsp:rsid wsp:val=&quot;00CF5C7A&quot;/&gt;&lt;wsp:rsid wsp:val=&quot;00CF5E35&quot;/&gt;&lt;wsp:rsid wsp:val=&quot;00CF5E51&quot;/&gt;&lt;wsp:rsid wsp:val=&quot;00CF623C&quot;/&gt;&lt;wsp:rsid wsp:val=&quot;00CF6AFF&quot;/&gt;&lt;wsp:rsid wsp:val=&quot;00CF7168&quot;/&gt;&lt;wsp:rsid wsp:val=&quot;00CF73B8&quot;/&gt;&lt;wsp:rsid wsp:val=&quot;00CF7415&quot;/&gt;&lt;wsp:rsid wsp:val=&quot;00CF77B3&quot;/&gt;&lt;wsp:rsid wsp:val=&quot;00CF78B2&quot;/&gt;&lt;wsp:rsid wsp:val=&quot;00D00593&quot;/&gt;&lt;wsp:rsid wsp:val=&quot;00D005B9&quot;/&gt;&lt;wsp:rsid wsp:val=&quot;00D0077A&quot;/&gt;&lt;wsp:rsid wsp:val=&quot;00D00D9A&quot;/&gt;&lt;wsp:rsid wsp:val=&quot;00D0113B&quot;/&gt;&lt;wsp:rsid wsp:val=&quot;00D017A9&quot;/&gt;&lt;wsp:rsid wsp:val=&quot;00D01994&quot;/&gt;&lt;wsp:rsid wsp:val=&quot;00D019B9&quot;/&gt;&lt;wsp:rsid wsp:val=&quot;00D01F4F&quot;/&gt;&lt;wsp:rsid wsp:val=&quot;00D01FA5&quot;/&gt;&lt;wsp:rsid wsp:val=&quot;00D02279&quot;/&gt;&lt;wsp:rsid wsp:val=&quot;00D022B8&quot;/&gt;&lt;wsp:rsid wsp:val=&quot;00D0261F&quot;/&gt;&lt;wsp:rsid wsp:val=&quot;00D02F13&quot;/&gt;&lt;wsp:rsid wsp:val=&quot;00D02FE2&quot;/&gt;&lt;wsp:rsid wsp:val=&quot;00D03302&quot;/&gt;&lt;wsp:rsid wsp:val=&quot;00D03309&quot;/&gt;&lt;wsp:rsid wsp:val=&quot;00D03652&quot;/&gt;&lt;wsp:rsid wsp:val=&quot;00D03900&quot;/&gt;&lt;wsp:rsid wsp:val=&quot;00D03D46&quot;/&gt;&lt;wsp:rsid wsp:val=&quot;00D03E43&quot;/&gt;&lt;wsp:rsid wsp:val=&quot;00D04430&quot;/&gt;&lt;wsp:rsid wsp:val=&quot;00D05571&quot;/&gt;&lt;wsp:rsid wsp:val=&quot;00D0571D&quot;/&gt;&lt;wsp:rsid wsp:val=&quot;00D059EF&quot;/&gt;&lt;wsp:rsid wsp:val=&quot;00D05B66&quot;/&gt;&lt;wsp:rsid wsp:val=&quot;00D05D06&quot;/&gt;&lt;wsp:rsid wsp:val=&quot;00D06000&quot;/&gt;&lt;wsp:rsid wsp:val=&quot;00D0649B&quot;/&gt;&lt;wsp:rsid wsp:val=&quot;00D067F3&quot;/&gt;&lt;wsp:rsid wsp:val=&quot;00D07D78&quot;/&gt;&lt;wsp:rsid wsp:val=&quot;00D07E5C&quot;/&gt;&lt;wsp:rsid wsp:val=&quot;00D07F5A&quot;/&gt;&lt;wsp:rsid wsp:val=&quot;00D07FEA&quot;/&gt;&lt;wsp:rsid wsp:val=&quot;00D10C47&quot;/&gt;&lt;wsp:rsid wsp:val=&quot;00D10F61&quot;/&gt;&lt;wsp:rsid wsp:val=&quot;00D11A47&quot;/&gt;&lt;wsp:rsid wsp:val=&quot;00D11BBE&quot;/&gt;&lt;wsp:rsid wsp:val=&quot;00D11BC5&quot;/&gt;&lt;wsp:rsid wsp:val=&quot;00D120A3&quot;/&gt;&lt;wsp:rsid wsp:val=&quot;00D12124&quot;/&gt;&lt;wsp:rsid wsp:val=&quot;00D1215C&quot;/&gt;&lt;wsp:rsid wsp:val=&quot;00D128A4&quot;/&gt;&lt;wsp:rsid wsp:val=&quot;00D12983&quot;/&gt;&lt;wsp:rsid wsp:val=&quot;00D12D49&quot;/&gt;&lt;wsp:rsid wsp:val=&quot;00D12E4E&quot;/&gt;&lt;wsp:rsid wsp:val=&quot;00D12FE3&quot;/&gt;&lt;wsp:rsid wsp:val=&quot;00D130F2&quot;/&gt;&lt;wsp:rsid wsp:val=&quot;00D13DC3&quot;/&gt;&lt;wsp:rsid wsp:val=&quot;00D143DF&quot;/&gt;&lt;wsp:rsid wsp:val=&quot;00D14B32&quot;/&gt;&lt;wsp:rsid wsp:val=&quot;00D14DFF&quot;/&gt;&lt;wsp:rsid wsp:val=&quot;00D14E96&quot;/&gt;&lt;wsp:rsid wsp:val=&quot;00D1567E&quot;/&gt;&lt;wsp:rsid wsp:val=&quot;00D15732&quot;/&gt;&lt;wsp:rsid wsp:val=&quot;00D164B9&quot;/&gt;&lt;wsp:rsid wsp:val=&quot;00D16750&quot;/&gt;&lt;wsp:rsid wsp:val=&quot;00D16BCA&quot;/&gt;&lt;wsp:rsid wsp:val=&quot;00D16DBD&quot;/&gt;&lt;wsp:rsid wsp:val=&quot;00D16F4D&quot;/&gt;&lt;wsp:rsid wsp:val=&quot;00D17157&quot;/&gt;&lt;wsp:rsid wsp:val=&quot;00D173FA&quot;/&gt;&lt;wsp:rsid wsp:val=&quot;00D17940&quot;/&gt;&lt;wsp:rsid wsp:val=&quot;00D17E8C&quot;/&gt;&lt;wsp:rsid wsp:val=&quot;00D200AD&quot;/&gt;&lt;wsp:rsid wsp:val=&quot;00D209D7&quot;/&gt;&lt;wsp:rsid wsp:val=&quot;00D20C20&quot;/&gt;&lt;wsp:rsid wsp:val=&quot;00D217CF&quot;/&gt;&lt;wsp:rsid wsp:val=&quot;00D21CD2&quot;/&gt;&lt;wsp:rsid wsp:val=&quot;00D21CFA&quot;/&gt;&lt;wsp:rsid wsp:val=&quot;00D22113&quot;/&gt;&lt;wsp:rsid wsp:val=&quot;00D221B7&quot;/&gt;&lt;wsp:rsid wsp:val=&quot;00D222C6&quot;/&gt;&lt;wsp:rsid wsp:val=&quot;00D2283C&quot;/&gt;&lt;wsp:rsid wsp:val=&quot;00D22A80&quot;/&gt;&lt;wsp:rsid wsp:val=&quot;00D22C0A&quot;/&gt;&lt;wsp:rsid wsp:val=&quot;00D22C30&quot;/&gt;&lt;wsp:rsid wsp:val=&quot;00D22D4A&quot;/&gt;&lt;wsp:rsid wsp:val=&quot;00D22F3C&quot;/&gt;&lt;wsp:rsid wsp:val=&quot;00D230A4&quot;/&gt;&lt;wsp:rsid wsp:val=&quot;00D230F3&quot;/&gt;&lt;wsp:rsid wsp:val=&quot;00D23122&quot;/&gt;&lt;wsp:rsid wsp:val=&quot;00D232BF&quot;/&gt;&lt;wsp:rsid wsp:val=&quot;00D235CC&quot;/&gt;&lt;wsp:rsid wsp:val=&quot;00D2386E&quot;/&gt;&lt;wsp:rsid wsp:val=&quot;00D23D5B&quot;/&gt;&lt;wsp:rsid wsp:val=&quot;00D241B0&quot;/&gt;&lt;wsp:rsid wsp:val=&quot;00D2453C&quot;/&gt;&lt;wsp:rsid wsp:val=&quot;00D2459F&quot;/&gt;&lt;wsp:rsid wsp:val=&quot;00D24907&quot;/&gt;&lt;wsp:rsid wsp:val=&quot;00D249D2&quot;/&gt;&lt;wsp:rsid wsp:val=&quot;00D24DE7&quot;/&gt;&lt;wsp:rsid wsp:val=&quot;00D2516D&quot;/&gt;&lt;wsp:rsid wsp:val=&quot;00D25873&quot;/&gt;&lt;wsp:rsid wsp:val=&quot;00D25DAF&quot;/&gt;&lt;wsp:rsid wsp:val=&quot;00D26301&quot;/&gt;&lt;wsp:rsid wsp:val=&quot;00D26D39&quot;/&gt;&lt;wsp:rsid wsp:val=&quot;00D27409&quot;/&gt;&lt;wsp:rsid wsp:val=&quot;00D27540&quot;/&gt;&lt;wsp:rsid wsp:val=&quot;00D27769&quot;/&gt;&lt;wsp:rsid wsp:val=&quot;00D279B8&quot;/&gt;&lt;wsp:rsid wsp:val=&quot;00D27F7C&quot;/&gt;&lt;wsp:rsid wsp:val=&quot;00D30128&quot;/&gt;&lt;wsp:rsid wsp:val=&quot;00D30372&quot;/&gt;&lt;wsp:rsid wsp:val=&quot;00D307D2&quot;/&gt;&lt;wsp:rsid wsp:val=&quot;00D30BD5&quot;/&gt;&lt;wsp:rsid wsp:val=&quot;00D30C40&quot;/&gt;&lt;wsp:rsid wsp:val=&quot;00D310FA&quot;/&gt;&lt;wsp:rsid wsp:val=&quot;00D315BB&quot;/&gt;&lt;wsp:rsid wsp:val=&quot;00D31981&quot;/&gt;&lt;wsp:rsid wsp:val=&quot;00D31BA6&quot;/&gt;&lt;wsp:rsid wsp:val=&quot;00D31CFC&quot;/&gt;&lt;wsp:rsid wsp:val=&quot;00D322C2&quot;/&gt;&lt;wsp:rsid wsp:val=&quot;00D32411&quot;/&gt;&lt;wsp:rsid wsp:val=&quot;00D324ED&quot;/&gt;&lt;wsp:rsid wsp:val=&quot;00D33035&quot;/&gt;&lt;wsp:rsid wsp:val=&quot;00D33038&quot;/&gt;&lt;wsp:rsid wsp:val=&quot;00D33275&quot;/&gt;&lt;wsp:rsid wsp:val=&quot;00D33278&quot;/&gt;&lt;wsp:rsid wsp:val=&quot;00D335C3&quot;/&gt;&lt;wsp:rsid wsp:val=&quot;00D3375E&quot;/&gt;&lt;wsp:rsid wsp:val=&quot;00D33852&quot;/&gt;&lt;wsp:rsid wsp:val=&quot;00D33D31&quot;/&gt;&lt;wsp:rsid wsp:val=&quot;00D344A7&quot;/&gt;&lt;wsp:rsid wsp:val=&quot;00D34757&quot;/&gt;&lt;wsp:rsid wsp:val=&quot;00D34B46&quot;/&gt;&lt;wsp:rsid wsp:val=&quot;00D350C4&quot;/&gt;&lt;wsp:rsid wsp:val=&quot;00D3559B&quot;/&gt;&lt;wsp:rsid wsp:val=&quot;00D35E85&quot;/&gt;&lt;wsp:rsid wsp:val=&quot;00D360F1&quot;/&gt;&lt;wsp:rsid wsp:val=&quot;00D36322&quot;/&gt;&lt;wsp:rsid wsp:val=&quot;00D366D9&quot;/&gt;&lt;wsp:rsid wsp:val=&quot;00D36DF2&quot;/&gt;&lt;wsp:rsid wsp:val=&quot;00D37431&quot;/&gt;&lt;wsp:rsid wsp:val=&quot;00D37733&quot;/&gt;&lt;wsp:rsid wsp:val=&quot;00D37A21&quot;/&gt;&lt;wsp:rsid wsp:val=&quot;00D37AAF&quot;/&gt;&lt;wsp:rsid wsp:val=&quot;00D37B37&quot;/&gt;&lt;wsp:rsid wsp:val=&quot;00D37BFA&quot;/&gt;&lt;wsp:rsid wsp:val=&quot;00D37EA6&quot;/&gt;&lt;wsp:rsid wsp:val=&quot;00D40872&quot;/&gt;&lt;wsp:rsid wsp:val=&quot;00D40E7C&quot;/&gt;&lt;wsp:rsid wsp:val=&quot;00D40F27&quot;/&gt;&lt;wsp:rsid wsp:val=&quot;00D41179&quot;/&gt;&lt;wsp:rsid wsp:val=&quot;00D41803&quot;/&gt;&lt;wsp:rsid wsp:val=&quot;00D41A05&quot;/&gt;&lt;wsp:rsid wsp:val=&quot;00D41A3B&quot;/&gt;&lt;wsp:rsid wsp:val=&quot;00D41A7D&quot;/&gt;&lt;wsp:rsid wsp:val=&quot;00D41C03&quot;/&gt;&lt;wsp:rsid wsp:val=&quot;00D42B7C&quot;/&gt;&lt;wsp:rsid wsp:val=&quot;00D43133&quot;/&gt;&lt;wsp:rsid wsp:val=&quot;00D4322E&quot;/&gt;&lt;wsp:rsid wsp:val=&quot;00D43AFC&quot;/&gt;&lt;wsp:rsid wsp:val=&quot;00D43C8E&quot;/&gt;&lt;wsp:rsid wsp:val=&quot;00D43DA5&quot;/&gt;&lt;wsp:rsid wsp:val=&quot;00D44404&quot;/&gt;&lt;wsp:rsid wsp:val=&quot;00D44638&quot;/&gt;&lt;wsp:rsid wsp:val=&quot;00D4497C&quot;/&gt;&lt;wsp:rsid wsp:val=&quot;00D449A0&quot;/&gt;&lt;wsp:rsid wsp:val=&quot;00D44E88&quot;/&gt;&lt;wsp:rsid wsp:val=&quot;00D450A2&quot;/&gt;&lt;wsp:rsid wsp:val=&quot;00D45419&quot;/&gt;&lt;wsp:rsid wsp:val=&quot;00D457BD&quot;/&gt;&lt;wsp:rsid wsp:val=&quot;00D46514&quot;/&gt;&lt;wsp:rsid wsp:val=&quot;00D46798&quot;/&gt;&lt;wsp:rsid wsp:val=&quot;00D46ADF&quot;/&gt;&lt;wsp:rsid wsp:val=&quot;00D46C81&quot;/&gt;&lt;wsp:rsid wsp:val=&quot;00D47673&quot;/&gt;&lt;wsp:rsid wsp:val=&quot;00D47B77&quot;/&gt;&lt;wsp:rsid wsp:val=&quot;00D50034&quot;/&gt;&lt;wsp:rsid wsp:val=&quot;00D503EC&quot;/&gt;&lt;wsp:rsid wsp:val=&quot;00D50F65&quot;/&gt;&lt;wsp:rsid wsp:val=&quot;00D50F81&quot;/&gt;&lt;wsp:rsid wsp:val=&quot;00D51720&quot;/&gt;&lt;wsp:rsid wsp:val=&quot;00D51B2A&quot;/&gt;&lt;wsp:rsid wsp:val=&quot;00D51D4A&quot;/&gt;&lt;wsp:rsid wsp:val=&quot;00D52209&quot;/&gt;&lt;wsp:rsid wsp:val=&quot;00D5234B&quot;/&gt;&lt;wsp:rsid wsp:val=&quot;00D52395&quot;/&gt;&lt;wsp:rsid wsp:val=&quot;00D52581&quot;/&gt;&lt;wsp:rsid wsp:val=&quot;00D52759&quot;/&gt;&lt;wsp:rsid wsp:val=&quot;00D52769&quot;/&gt;&lt;wsp:rsid wsp:val=&quot;00D52807&quot;/&gt;&lt;wsp:rsid wsp:val=&quot;00D52BB3&quot;/&gt;&lt;wsp:rsid wsp:val=&quot;00D52C1D&quot;/&gt;&lt;wsp:rsid wsp:val=&quot;00D53964&quot;/&gt;&lt;wsp:rsid wsp:val=&quot;00D53984&quot;/&gt;&lt;wsp:rsid wsp:val=&quot;00D53BAC&quot;/&gt;&lt;wsp:rsid wsp:val=&quot;00D53BE1&quot;/&gt;&lt;wsp:rsid wsp:val=&quot;00D53C87&quot;/&gt;&lt;wsp:rsid wsp:val=&quot;00D54868&quot;/&gt;&lt;wsp:rsid wsp:val=&quot;00D54C61&quot;/&gt;&lt;wsp:rsid wsp:val=&quot;00D54D1E&quot;/&gt;&lt;wsp:rsid wsp:val=&quot;00D55266&quot;/&gt;&lt;wsp:rsid wsp:val=&quot;00D55283&quot;/&gt;&lt;wsp:rsid wsp:val=&quot;00D5595E&quot;/&gt;&lt;wsp:rsid wsp:val=&quot;00D55BCE&quot;/&gt;&lt;wsp:rsid wsp:val=&quot;00D5613C&quot;/&gt;&lt;wsp:rsid wsp:val=&quot;00D56253&quot;/&gt;&lt;wsp:rsid wsp:val=&quot;00D56498&quot;/&gt;&lt;wsp:rsid wsp:val=&quot;00D567FE&quot;/&gt;&lt;wsp:rsid wsp:val=&quot;00D56CE8&quot;/&gt;&lt;wsp:rsid wsp:val=&quot;00D5731E&quot;/&gt;&lt;wsp:rsid wsp:val=&quot;00D579C3&quot;/&gt;&lt;wsp:rsid wsp:val=&quot;00D57E09&quot;/&gt;&lt;wsp:rsid wsp:val=&quot;00D6016A&quot;/&gt;&lt;wsp:rsid wsp:val=&quot;00D60191&quot;/&gt;&lt;wsp:rsid wsp:val=&quot;00D61005&quot;/&gt;&lt;wsp:rsid wsp:val=&quot;00D61015&quot;/&gt;&lt;wsp:rsid wsp:val=&quot;00D61131&quot;/&gt;&lt;wsp:rsid wsp:val=&quot;00D611BB&quot;/&gt;&lt;wsp:rsid wsp:val=&quot;00D61829&quot;/&gt;&lt;wsp:rsid wsp:val=&quot;00D61A11&quot;/&gt;&lt;wsp:rsid wsp:val=&quot;00D61ADA&quot;/&gt;&lt;wsp:rsid wsp:val=&quot;00D61BEC&quot;/&gt;&lt;wsp:rsid wsp:val=&quot;00D61EBC&quot;/&gt;&lt;wsp:rsid wsp:val=&quot;00D61F64&quot;/&gt;&lt;wsp:rsid wsp:val=&quot;00D620A2&quot;/&gt;&lt;wsp:rsid wsp:val=&quot;00D622CE&quot;/&gt;&lt;wsp:rsid wsp:val=&quot;00D625F9&quot;/&gt;&lt;wsp:rsid wsp:val=&quot;00D626BE&quot;/&gt;&lt;wsp:rsid wsp:val=&quot;00D627CF&quot;/&gt;&lt;wsp:rsid wsp:val=&quot;00D62824&quot;/&gt;&lt;wsp:rsid wsp:val=&quot;00D6298A&quot;/&gt;&lt;wsp:rsid wsp:val=&quot;00D62A18&quot;/&gt;&lt;wsp:rsid wsp:val=&quot;00D62B58&quot;/&gt;&lt;wsp:rsid wsp:val=&quot;00D630C5&quot;/&gt;&lt;wsp:rsid wsp:val=&quot;00D636AD&quot;/&gt;&lt;wsp:rsid wsp:val=&quot;00D63D63&quot;/&gt;&lt;wsp:rsid wsp:val=&quot;00D64252&quot;/&gt;&lt;wsp:rsid wsp:val=&quot;00D64417&quot;/&gt;&lt;wsp:rsid wsp:val=&quot;00D6444A&quot;/&gt;&lt;wsp:rsid wsp:val=&quot;00D644E7&quot;/&gt;&lt;wsp:rsid wsp:val=&quot;00D646C6&quot;/&gt;&lt;wsp:rsid wsp:val=&quot;00D64822&quot;/&gt;&lt;wsp:rsid wsp:val=&quot;00D652FF&quot;/&gt;&lt;wsp:rsid wsp:val=&quot;00D653DB&quot;/&gt;&lt;wsp:rsid wsp:val=&quot;00D654C8&quot;/&gt;&lt;wsp:rsid wsp:val=&quot;00D6567B&quot;/&gt;&lt;wsp:rsid wsp:val=&quot;00D65AA1&quot;/&gt;&lt;wsp:rsid wsp:val=&quot;00D6638B&quot;/&gt;&lt;wsp:rsid wsp:val=&quot;00D66DD9&quot;/&gt;&lt;wsp:rsid wsp:val=&quot;00D66FA6&quot;/&gt;&lt;wsp:rsid wsp:val=&quot;00D671DD&quot;/&gt;&lt;wsp:rsid wsp:val=&quot;00D67240&quot;/&gt;&lt;wsp:rsid wsp:val=&quot;00D678AC&quot;/&gt;&lt;wsp:rsid wsp:val=&quot;00D67A44&quot;/&gt;&lt;wsp:rsid wsp:val=&quot;00D67C73&quot;/&gt;&lt;wsp:rsid wsp:val=&quot;00D7030E&quot;/&gt;&lt;wsp:rsid wsp:val=&quot;00D703A3&quot;/&gt;&lt;wsp:rsid wsp:val=&quot;00D7040C&quot;/&gt;&lt;wsp:rsid wsp:val=&quot;00D705E7&quot;/&gt;&lt;wsp:rsid wsp:val=&quot;00D7074F&quot;/&gt;&lt;wsp:rsid wsp:val=&quot;00D70CD1&quot;/&gt;&lt;wsp:rsid wsp:val=&quot;00D70E7A&quot;/&gt;&lt;wsp:rsid wsp:val=&quot;00D70F4A&quot;/&gt;&lt;wsp:rsid wsp:val=&quot;00D71546&quot;/&gt;&lt;wsp:rsid wsp:val=&quot;00D716E8&quot;/&gt;&lt;wsp:rsid wsp:val=&quot;00D71916&quot;/&gt;&lt;wsp:rsid wsp:val=&quot;00D719E6&quot;/&gt;&lt;wsp:rsid wsp:val=&quot;00D71CEF&quot;/&gt;&lt;wsp:rsid wsp:val=&quot;00D7218F&quot;/&gt;&lt;wsp:rsid wsp:val=&quot;00D72199&quot;/&gt;&lt;wsp:rsid wsp:val=&quot;00D72232&quot;/&gt;&lt;wsp:rsid wsp:val=&quot;00D722CF&quot;/&gt;&lt;wsp:rsid wsp:val=&quot;00D725DB&quot;/&gt;&lt;wsp:rsid wsp:val=&quot;00D72C5F&quot;/&gt;&lt;wsp:rsid wsp:val=&quot;00D72DA4&quot;/&gt;&lt;wsp:rsid wsp:val=&quot;00D732EE&quot;/&gt;&lt;wsp:rsid wsp:val=&quot;00D73338&quot;/&gt;&lt;wsp:rsid wsp:val=&quot;00D73348&quot;/&gt;&lt;wsp:rsid wsp:val=&quot;00D73FD6&quot;/&gt;&lt;wsp:rsid wsp:val=&quot;00D74262&quot;/&gt;&lt;wsp:rsid wsp:val=&quot;00D7433C&quot;/&gt;&lt;wsp:rsid wsp:val=&quot;00D74575&quot;/&gt;&lt;wsp:rsid wsp:val=&quot;00D7465E&quot;/&gt;&lt;wsp:rsid wsp:val=&quot;00D74A56&quot;/&gt;&lt;wsp:rsid wsp:val=&quot;00D74D31&quot;/&gt;&lt;wsp:rsid wsp:val=&quot;00D74D6F&quot;/&gt;&lt;wsp:rsid wsp:val=&quot;00D74EF6&quot;/&gt;&lt;wsp:rsid wsp:val=&quot;00D74F07&quot;/&gt;&lt;wsp:rsid wsp:val=&quot;00D74F9C&quot;/&gt;&lt;wsp:rsid wsp:val=&quot;00D75012&quot;/&gt;&lt;wsp:rsid wsp:val=&quot;00D75773&quot;/&gt;&lt;wsp:rsid wsp:val=&quot;00D760A9&quot;/&gt;&lt;wsp:rsid wsp:val=&quot;00D760CF&quot;/&gt;&lt;wsp:rsid wsp:val=&quot;00D763C6&quot;/&gt;&lt;wsp:rsid wsp:val=&quot;00D76440&quot;/&gt;&lt;wsp:rsid wsp:val=&quot;00D76731&quot;/&gt;&lt;wsp:rsid wsp:val=&quot;00D7695D&quot;/&gt;&lt;wsp:rsid wsp:val=&quot;00D77746&quot;/&gt;&lt;wsp:rsid wsp:val=&quot;00D778C2&quot;/&gt;&lt;wsp:rsid wsp:val=&quot;00D77CA3&quot;/&gt;&lt;wsp:rsid wsp:val=&quot;00D8038B&quot;/&gt;&lt;wsp:rsid wsp:val=&quot;00D803E5&quot;/&gt;&lt;wsp:rsid wsp:val=&quot;00D80BA3&quot;/&gt;&lt;wsp:rsid wsp:val=&quot;00D80E47&quot;/&gt;&lt;wsp:rsid wsp:val=&quot;00D813D1&quot;/&gt;&lt;wsp:rsid wsp:val=&quot;00D81428&quot;/&gt;&lt;wsp:rsid wsp:val=&quot;00D818D9&quot;/&gt;&lt;wsp:rsid wsp:val=&quot;00D81B53&quot;/&gt;&lt;wsp:rsid wsp:val=&quot;00D81D91&quot;/&gt;&lt;wsp:rsid wsp:val=&quot;00D81E8A&quot;/&gt;&lt;wsp:rsid wsp:val=&quot;00D82675&quot;/&gt;&lt;wsp:rsid wsp:val=&quot;00D8270A&quot;/&gt;&lt;wsp:rsid wsp:val=&quot;00D82A8E&quot;/&gt;&lt;wsp:rsid wsp:val=&quot;00D82DF1&quot;/&gt;&lt;wsp:rsid wsp:val=&quot;00D82EF5&quot;/&gt;&lt;wsp:rsid wsp:val=&quot;00D831D9&quot;/&gt;&lt;wsp:rsid wsp:val=&quot;00D83235&quot;/&gt;&lt;wsp:rsid wsp:val=&quot;00D8393F&quot;/&gt;&lt;wsp:rsid wsp:val=&quot;00D840E6&quot;/&gt;&lt;wsp:rsid wsp:val=&quot;00D8429C&quot;/&gt;&lt;wsp:rsid wsp:val=&quot;00D842D4&quot;/&gt;&lt;wsp:rsid wsp:val=&quot;00D84621&quot;/&gt;&lt;wsp:rsid wsp:val=&quot;00D8462B&quot;/&gt;&lt;wsp:rsid wsp:val=&quot;00D84941&quot;/&gt;&lt;wsp:rsid wsp:val=&quot;00D8521F&quot;/&gt;&lt;wsp:rsid wsp:val=&quot;00D85335&quot;/&gt;&lt;wsp:rsid wsp:val=&quot;00D856EC&quot;/&gt;&lt;wsp:rsid wsp:val=&quot;00D8570C&quot;/&gt;&lt;wsp:rsid wsp:val=&quot;00D85824&quot;/&gt;&lt;wsp:rsid wsp:val=&quot;00D85C69&quot;/&gt;&lt;wsp:rsid wsp:val=&quot;00D85C72&quot;/&gt;&lt;wsp:rsid wsp:val=&quot;00D85DEB&quot;/&gt;&lt;wsp:rsid wsp:val=&quot;00D861F0&quot;/&gt;&lt;wsp:rsid wsp:val=&quot;00D86504&quot;/&gt;&lt;wsp:rsid wsp:val=&quot;00D86DFF&quot;/&gt;&lt;wsp:rsid wsp:val=&quot;00D87212&quot;/&gt;&lt;wsp:rsid wsp:val=&quot;00D87551&quot;/&gt;&lt;wsp:rsid wsp:val=&quot;00D87C1E&quot;/&gt;&lt;wsp:rsid wsp:val=&quot;00D90067&quot;/&gt;&lt;wsp:rsid wsp:val=&quot;00D903FC&quot;/&gt;&lt;wsp:rsid wsp:val=&quot;00D903FF&quot;/&gt;&lt;wsp:rsid wsp:val=&quot;00D9066D&quot;/&gt;&lt;wsp:rsid wsp:val=&quot;00D90844&quot;/&gt;&lt;wsp:rsid wsp:val=&quot;00D90C47&quot;/&gt;&lt;wsp:rsid wsp:val=&quot;00D90CDB&quot;/&gt;&lt;wsp:rsid wsp:val=&quot;00D9124E&quot;/&gt;&lt;wsp:rsid wsp:val=&quot;00D917CA&quot;/&gt;&lt;wsp:rsid wsp:val=&quot;00D918CD&quot;/&gt;&lt;wsp:rsid wsp:val=&quot;00D9196C&quot;/&gt;&lt;wsp:rsid wsp:val=&quot;00D91C21&quot;/&gt;&lt;wsp:rsid wsp:val=&quot;00D91EC6&quot;/&gt;&lt;wsp:rsid wsp:val=&quot;00D91F11&quot;/&gt;&lt;wsp:rsid wsp:val=&quot;00D91FF6&quot;/&gt;&lt;wsp:rsid wsp:val=&quot;00D922E8&quot;/&gt;&lt;wsp:rsid wsp:val=&quot;00D92491&quot;/&gt;&lt;wsp:rsid wsp:val=&quot;00D92AE3&quot;/&gt;&lt;wsp:rsid wsp:val=&quot;00D92CE4&quot;/&gt;&lt;wsp:rsid wsp:val=&quot;00D934D4&quot;/&gt;&lt;wsp:rsid wsp:val=&quot;00D935B0&quot;/&gt;&lt;wsp:rsid wsp:val=&quot;00D93895&quot;/&gt;&lt;wsp:rsid wsp:val=&quot;00D93B30&quot;/&gt;&lt;wsp:rsid wsp:val=&quot;00D93EE5&quot;/&gt;&lt;wsp:rsid wsp:val=&quot;00D9400B&quot;/&gt;&lt;wsp:rsid wsp:val=&quot;00D94351&quot;/&gt;&lt;wsp:rsid wsp:val=&quot;00D9436E&quot;/&gt;&lt;wsp:rsid wsp:val=&quot;00D9442C&quot;/&gt;&lt;wsp:rsid wsp:val=&quot;00D94635&quot;/&gt;&lt;wsp:rsid wsp:val=&quot;00D95228&quot;/&gt;&lt;wsp:rsid wsp:val=&quot;00D957C3&quot;/&gt;&lt;wsp:rsid wsp:val=&quot;00D95AF4&quot;/&gt;&lt;wsp:rsid wsp:val=&quot;00D95CB7&quot;/&gt;&lt;wsp:rsid wsp:val=&quot;00D96247&quot;/&gt;&lt;wsp:rsid wsp:val=&quot;00D9632F&quot;/&gt;&lt;wsp:rsid wsp:val=&quot;00D9690E&quot;/&gt;&lt;wsp:rsid wsp:val=&quot;00D97DC7&quot;/&gt;&lt;wsp:rsid wsp:val=&quot;00D97EE3&quot;/&gt;&lt;wsp:rsid wsp:val=&quot;00DA00AE&quot;/&gt;&lt;wsp:rsid wsp:val=&quot;00DA0108&quot;/&gt;&lt;wsp:rsid wsp:val=&quot;00DA01C4&quot;/&gt;&lt;wsp:rsid wsp:val=&quot;00DA0DD0&quot;/&gt;&lt;wsp:rsid wsp:val=&quot;00DA1876&quot;/&gt;&lt;wsp:rsid wsp:val=&quot;00DA1992&quot;/&gt;&lt;wsp:rsid wsp:val=&quot;00DA1A61&quot;/&gt;&lt;wsp:rsid wsp:val=&quot;00DA1BBD&quot;/&gt;&lt;wsp:rsid wsp:val=&quot;00DA27FD&quot;/&gt;&lt;wsp:rsid wsp:val=&quot;00DA281D&quot;/&gt;&lt;wsp:rsid wsp:val=&quot;00DA2B3F&quot;/&gt;&lt;wsp:rsid wsp:val=&quot;00DA2D48&quot;/&gt;&lt;wsp:rsid wsp:val=&quot;00DA31D6&quot;/&gt;&lt;wsp:rsid wsp:val=&quot;00DA32ED&quot;/&gt;&lt;wsp:rsid wsp:val=&quot;00DA355F&quot;/&gt;&lt;wsp:rsid wsp:val=&quot;00DA3637&quot;/&gt;&lt;wsp:rsid wsp:val=&quot;00DA3DE0&quot;/&gt;&lt;wsp:rsid wsp:val=&quot;00DA452D&quot;/&gt;&lt;wsp:rsid wsp:val=&quot;00DA4785&quot;/&gt;&lt;wsp:rsid wsp:val=&quot;00DA47F3&quot;/&gt;&lt;wsp:rsid wsp:val=&quot;00DA48A9&quot;/&gt;&lt;wsp:rsid wsp:val=&quot;00DA4AAB&quot;/&gt;&lt;wsp:rsid wsp:val=&quot;00DA4BE1&quot;/&gt;&lt;wsp:rsid wsp:val=&quot;00DA4C15&quot;/&gt;&lt;wsp:rsid wsp:val=&quot;00DA4CE7&quot;/&gt;&lt;wsp:rsid wsp:val=&quot;00DA4E26&quot;/&gt;&lt;wsp:rsid wsp:val=&quot;00DA4EDE&quot;/&gt;&lt;wsp:rsid wsp:val=&quot;00DA549C&quot;/&gt;&lt;wsp:rsid wsp:val=&quot;00DA54CD&quot;/&gt;&lt;wsp:rsid wsp:val=&quot;00DA571E&quot;/&gt;&lt;wsp:rsid wsp:val=&quot;00DA5943&quot;/&gt;&lt;wsp:rsid wsp:val=&quot;00DA5F1F&quot;/&gt;&lt;wsp:rsid wsp:val=&quot;00DA61F5&quot;/&gt;&lt;wsp:rsid wsp:val=&quot;00DA6232&quot;/&gt;&lt;wsp:rsid wsp:val=&quot;00DA65B2&quot;/&gt;&lt;wsp:rsid wsp:val=&quot;00DA662D&quot;/&gt;&lt;wsp:rsid wsp:val=&quot;00DA6ABD&quot;/&gt;&lt;wsp:rsid wsp:val=&quot;00DA6E57&quot;/&gt;&lt;wsp:rsid wsp:val=&quot;00DA7056&quot;/&gt;&lt;wsp:rsid wsp:val=&quot;00DA7340&quot;/&gt;&lt;wsp:rsid wsp:val=&quot;00DA7BA4&quot;/&gt;&lt;wsp:rsid wsp:val=&quot;00DA7E61&quot;/&gt;&lt;wsp:rsid wsp:val=&quot;00DA7FCB&quot;/&gt;&lt;wsp:rsid wsp:val=&quot;00DB01DB&quot;/&gt;&lt;wsp:rsid wsp:val=&quot;00DB09AB&quot;/&gt;&lt;wsp:rsid wsp:val=&quot;00DB0A6B&quot;/&gt;&lt;wsp:rsid wsp:val=&quot;00DB0C61&quot;/&gt;&lt;wsp:rsid wsp:val=&quot;00DB0FD0&quot;/&gt;&lt;wsp:rsid wsp:val=&quot;00DB111F&quot;/&gt;&lt;wsp:rsid wsp:val=&quot;00DB1156&quot;/&gt;&lt;wsp:rsid wsp:val=&quot;00DB1ADE&quot;/&gt;&lt;wsp:rsid wsp:val=&quot;00DB21F9&quot;/&gt;&lt;wsp:rsid wsp:val=&quot;00DB23E1&quot;/&gt;&lt;wsp:rsid wsp:val=&quot;00DB242E&quot;/&gt;&lt;wsp:rsid wsp:val=&quot;00DB247B&quot;/&gt;&lt;wsp:rsid wsp:val=&quot;00DB2500&quot;/&gt;&lt;wsp:rsid wsp:val=&quot;00DB25F7&quot;/&gt;&lt;wsp:rsid wsp:val=&quot;00DB2745&quot;/&gt;&lt;wsp:rsid wsp:val=&quot;00DB2810&quot;/&gt;&lt;wsp:rsid wsp:val=&quot;00DB296C&quot;/&gt;&lt;wsp:rsid wsp:val=&quot;00DB2979&quot;/&gt;&lt;wsp:rsid wsp:val=&quot;00DB29FA&quot;/&gt;&lt;wsp:rsid wsp:val=&quot;00DB2B88&quot;/&gt;&lt;wsp:rsid wsp:val=&quot;00DB2C50&quot;/&gt;&lt;wsp:rsid wsp:val=&quot;00DB32C4&quot;/&gt;&lt;wsp:rsid wsp:val=&quot;00DB3873&quot;/&gt;&lt;wsp:rsid wsp:val=&quot;00DB38FF&quot;/&gt;&lt;wsp:rsid wsp:val=&quot;00DB3F39&quot;/&gt;&lt;wsp:rsid wsp:val=&quot;00DB3FF4&quot;/&gt;&lt;wsp:rsid wsp:val=&quot;00DB4EA6&quot;/&gt;&lt;wsp:rsid wsp:val=&quot;00DB51A7&quot;/&gt;&lt;wsp:rsid wsp:val=&quot;00DB5222&quot;/&gt;&lt;wsp:rsid wsp:val=&quot;00DB5A41&quot;/&gt;&lt;wsp:rsid wsp:val=&quot;00DB5DD7&quot;/&gt;&lt;wsp:rsid wsp:val=&quot;00DB64EB&quot;/&gt;&lt;wsp:rsid wsp:val=&quot;00DB6A15&quot;/&gt;&lt;wsp:rsid wsp:val=&quot;00DB6C7B&quot;/&gt;&lt;wsp:rsid wsp:val=&quot;00DB71FD&quot;/&gt;&lt;wsp:rsid wsp:val=&quot;00DB756B&quot;/&gt;&lt;wsp:rsid wsp:val=&quot;00DB7684&quot;/&gt;&lt;wsp:rsid wsp:val=&quot;00DB7D5B&quot;/&gt;&lt;wsp:rsid wsp:val=&quot;00DB7F4C&quot;/&gt;&lt;wsp:rsid wsp:val=&quot;00DC037E&quot;/&gt;&lt;wsp:rsid wsp:val=&quot;00DC0828&quot;/&gt;&lt;wsp:rsid wsp:val=&quot;00DC085B&quot;/&gt;&lt;wsp:rsid wsp:val=&quot;00DC08CF&quot;/&gt;&lt;wsp:rsid wsp:val=&quot;00DC0984&quot;/&gt;&lt;wsp:rsid wsp:val=&quot;00DC0EC9&quot;/&gt;&lt;wsp:rsid wsp:val=&quot;00DC0ECC&quot;/&gt;&lt;wsp:rsid wsp:val=&quot;00DC141E&quot;/&gt;&lt;wsp:rsid wsp:val=&quot;00DC15EC&quot;/&gt;&lt;wsp:rsid wsp:val=&quot;00DC1957&quot;/&gt;&lt;wsp:rsid wsp:val=&quot;00DC1CFE&quot;/&gt;&lt;wsp:rsid wsp:val=&quot;00DC21D5&quot;/&gt;&lt;wsp:rsid wsp:val=&quot;00DC27DA&quot;/&gt;&lt;wsp:rsid wsp:val=&quot;00DC2C4C&quot;/&gt;&lt;wsp:rsid wsp:val=&quot;00DC2EE7&quot;/&gt;&lt;wsp:rsid wsp:val=&quot;00DC3280&quot;/&gt;&lt;wsp:rsid wsp:val=&quot;00DC3341&quot;/&gt;&lt;wsp:rsid wsp:val=&quot;00DC339F&quot;/&gt;&lt;wsp:rsid wsp:val=&quot;00DC33AB&quot;/&gt;&lt;wsp:rsid wsp:val=&quot;00DC3481&quot;/&gt;&lt;wsp:rsid wsp:val=&quot;00DC38A8&quot;/&gt;&lt;wsp:rsid wsp:val=&quot;00DC38BC&quot;/&gt;&lt;wsp:rsid wsp:val=&quot;00DC3992&quot;/&gt;&lt;wsp:rsid wsp:val=&quot;00DC3E04&quot;/&gt;&lt;wsp:rsid wsp:val=&quot;00DC402E&quot;/&gt;&lt;wsp:rsid wsp:val=&quot;00DC4284&quot;/&gt;&lt;wsp:rsid wsp:val=&quot;00DC4376&quot;/&gt;&lt;wsp:rsid wsp:val=&quot;00DC50F1&quot;/&gt;&lt;wsp:rsid wsp:val=&quot;00DC520C&quot;/&gt;&lt;wsp:rsid wsp:val=&quot;00DC535D&quot;/&gt;&lt;wsp:rsid wsp:val=&quot;00DC5445&quot;/&gt;&lt;wsp:rsid wsp:val=&quot;00DC562B&quot;/&gt;&lt;wsp:rsid wsp:val=&quot;00DC5FEC&quot;/&gt;&lt;wsp:rsid wsp:val=&quot;00DC6606&quot;/&gt;&lt;wsp:rsid wsp:val=&quot;00DC673D&quot;/&gt;&lt;wsp:rsid wsp:val=&quot;00DC67C7&quot;/&gt;&lt;wsp:rsid wsp:val=&quot;00DC69E6&quot;/&gt;&lt;wsp:rsid wsp:val=&quot;00DC6EDE&quot;/&gt;&lt;wsp:rsid wsp:val=&quot;00DC6F21&quot;/&gt;&lt;wsp:rsid wsp:val=&quot;00DC741A&quot;/&gt;&lt;wsp:rsid wsp:val=&quot;00DC751E&quot;/&gt;&lt;wsp:rsid wsp:val=&quot;00DC7B73&quot;/&gt;&lt;wsp:rsid wsp:val=&quot;00DC7C4E&quot;/&gt;&lt;wsp:rsid wsp:val=&quot;00DC7E15&quot;/&gt;&lt;wsp:rsid wsp:val=&quot;00DC7E27&quot;/&gt;&lt;wsp:rsid wsp:val=&quot;00DD01DC&quot;/&gt;&lt;wsp:rsid wsp:val=&quot;00DD042E&quot;/&gt;&lt;wsp:rsid wsp:val=&quot;00DD0A18&quot;/&gt;&lt;wsp:rsid wsp:val=&quot;00DD0A2F&quot;/&gt;&lt;wsp:rsid wsp:val=&quot;00DD0B4F&quot;/&gt;&lt;wsp:rsid wsp:val=&quot;00DD0C8C&quot;/&gt;&lt;wsp:rsid wsp:val=&quot;00DD109B&quot;/&gt;&lt;wsp:rsid wsp:val=&quot;00DD16ED&quot;/&gt;&lt;wsp:rsid wsp:val=&quot;00DD17BD&quot;/&gt;&lt;wsp:rsid wsp:val=&quot;00DD1B72&quot;/&gt;&lt;wsp:rsid wsp:val=&quot;00DD1D1C&quot;/&gt;&lt;wsp:rsid wsp:val=&quot;00DD237A&quot;/&gt;&lt;wsp:rsid wsp:val=&quot;00DD397C&quot;/&gt;&lt;wsp:rsid wsp:val=&quot;00DD3CEA&quot;/&gt;&lt;wsp:rsid wsp:val=&quot;00DD4838&quot;/&gt;&lt;wsp:rsid wsp:val=&quot;00DD4C81&quot;/&gt;&lt;wsp:rsid wsp:val=&quot;00DD54F2&quot;/&gt;&lt;wsp:rsid wsp:val=&quot;00DD55B0&quot;/&gt;&lt;wsp:rsid wsp:val=&quot;00DD68AB&quot;/&gt;&lt;wsp:rsid wsp:val=&quot;00DD69F4&quot;/&gt;&lt;wsp:rsid wsp:val=&quot;00DD7431&quot;/&gt;&lt;wsp:rsid wsp:val=&quot;00DD760A&quot;/&gt;&lt;wsp:rsid wsp:val=&quot;00DD7A76&quot;/&gt;&lt;wsp:rsid wsp:val=&quot;00DD7BC2&quot;/&gt;&lt;wsp:rsid wsp:val=&quot;00DD7E50&quot;/&gt;&lt;wsp:rsid wsp:val=&quot;00DE032C&quot;/&gt;&lt;wsp:rsid wsp:val=&quot;00DE0474&quot;/&gt;&lt;wsp:rsid wsp:val=&quot;00DE0727&quot;/&gt;&lt;wsp:rsid wsp:val=&quot;00DE0A01&quot;/&gt;&lt;wsp:rsid wsp:val=&quot;00DE0F9E&quot;/&gt;&lt;wsp:rsid wsp:val=&quot;00DE0FA7&quot;/&gt;&lt;wsp:rsid wsp:val=&quot;00DE1511&quot;/&gt;&lt;wsp:rsid wsp:val=&quot;00DE1522&quot;/&gt;&lt;wsp:rsid wsp:val=&quot;00DE1AC8&quot;/&gt;&lt;wsp:rsid wsp:val=&quot;00DE1F3F&quot;/&gt;&lt;wsp:rsid wsp:val=&quot;00DE2077&quot;/&gt;&lt;wsp:rsid wsp:val=&quot;00DE257A&quot;/&gt;&lt;wsp:rsid wsp:val=&quot;00DE287C&quot;/&gt;&lt;wsp:rsid wsp:val=&quot;00DE31E6&quot;/&gt;&lt;wsp:rsid wsp:val=&quot;00DE3718&quot;/&gt;&lt;wsp:rsid wsp:val=&quot;00DE38C1&quot;/&gt;&lt;wsp:rsid wsp:val=&quot;00DE3990&quot;/&gt;&lt;wsp:rsid wsp:val=&quot;00DE3D4C&quot;/&gt;&lt;wsp:rsid wsp:val=&quot;00DE3F61&quot;/&gt;&lt;wsp:rsid wsp:val=&quot;00DE4264&quot;/&gt;&lt;wsp:rsid wsp:val=&quot;00DE473A&quot;/&gt;&lt;wsp:rsid wsp:val=&quot;00DE47DB&quot;/&gt;&lt;wsp:rsid wsp:val=&quot;00DE4B48&quot;/&gt;&lt;wsp:rsid wsp:val=&quot;00DE4BD2&quot;/&gt;&lt;wsp:rsid wsp:val=&quot;00DE4C60&quot;/&gt;&lt;wsp:rsid wsp:val=&quot;00DE4E7A&quot;/&gt;&lt;wsp:rsid wsp:val=&quot;00DE585A&quot;/&gt;&lt;wsp:rsid wsp:val=&quot;00DE6784&quot;/&gt;&lt;wsp:rsid wsp:val=&quot;00DE6861&quot;/&gt;&lt;wsp:rsid wsp:val=&quot;00DE6C98&quot;/&gt;&lt;wsp:rsid wsp:val=&quot;00DE6F68&quot;/&gt;&lt;wsp:rsid wsp:val=&quot;00DE7C17&quot;/&gt;&lt;wsp:rsid wsp:val=&quot;00DE7CE1&quot;/&gt;&lt;wsp:rsid wsp:val=&quot;00DF02B9&quot;/&gt;&lt;wsp:rsid wsp:val=&quot;00DF043D&quot;/&gt;&lt;wsp:rsid wsp:val=&quot;00DF04F9&quot;/&gt;&lt;wsp:rsid wsp:val=&quot;00DF05F2&quot;/&gt;&lt;wsp:rsid wsp:val=&quot;00DF0C83&quot;/&gt;&lt;wsp:rsid wsp:val=&quot;00DF122E&quot;/&gt;&lt;wsp:rsid wsp:val=&quot;00DF1835&quot;/&gt;&lt;wsp:rsid wsp:val=&quot;00DF1838&quot;/&gt;&lt;wsp:rsid wsp:val=&quot;00DF1BB2&quot;/&gt;&lt;wsp:rsid wsp:val=&quot;00DF1CC0&quot;/&gt;&lt;wsp:rsid wsp:val=&quot;00DF2033&quot;/&gt;&lt;wsp:rsid wsp:val=&quot;00DF22C7&quot;/&gt;&lt;wsp:rsid wsp:val=&quot;00DF2408&quot;/&gt;&lt;wsp:rsid wsp:val=&quot;00DF281A&quot;/&gt;&lt;wsp:rsid wsp:val=&quot;00DF2B2A&quot;/&gt;&lt;wsp:rsid wsp:val=&quot;00DF2B65&quot;/&gt;&lt;wsp:rsid wsp:val=&quot;00DF324D&quot;/&gt;&lt;wsp:rsid wsp:val=&quot;00DF34E6&quot;/&gt;&lt;wsp:rsid wsp:val=&quot;00DF3C68&quot;/&gt;&lt;wsp:rsid wsp:val=&quot;00DF4AAE&quot;/&gt;&lt;wsp:rsid wsp:val=&quot;00DF4BE1&quot;/&gt;&lt;wsp:rsid wsp:val=&quot;00DF4DC9&quot;/&gt;&lt;wsp:rsid wsp:val=&quot;00DF4E74&quot;/&gt;&lt;wsp:rsid wsp:val=&quot;00DF54DF&quot;/&gt;&lt;wsp:rsid wsp:val=&quot;00DF55D6&quot;/&gt;&lt;wsp:rsid wsp:val=&quot;00DF5623&quot;/&gt;&lt;wsp:rsid wsp:val=&quot;00DF5F78&quot;/&gt;&lt;wsp:rsid wsp:val=&quot;00DF5FC0&quot;/&gt;&lt;wsp:rsid wsp:val=&quot;00DF6021&quot;/&gt;&lt;wsp:rsid wsp:val=&quot;00DF6457&quot;/&gt;&lt;wsp:rsid wsp:val=&quot;00DF64F5&quot;/&gt;&lt;wsp:rsid wsp:val=&quot;00DF6B13&quot;/&gt;&lt;wsp:rsid wsp:val=&quot;00DF737B&quot;/&gt;&lt;wsp:rsid wsp:val=&quot;00DF7C16&quot;/&gt;&lt;wsp:rsid wsp:val=&quot;00E00185&quot;/&gt;&lt;wsp:rsid wsp:val=&quot;00E0093C&quot;/&gt;&lt;wsp:rsid wsp:val=&quot;00E01018&quot;/&gt;&lt;wsp:rsid wsp:val=&quot;00E01634&quot;/&gt;&lt;wsp:rsid wsp:val=&quot;00E01C55&quot;/&gt;&lt;wsp:rsid wsp:val=&quot;00E01D5B&quot;/&gt;&lt;wsp:rsid wsp:val=&quot;00E01DC2&quot;/&gt;&lt;wsp:rsid wsp:val=&quot;00E021CD&quot;/&gt;&lt;wsp:rsid wsp:val=&quot;00E02227&quot;/&gt;&lt;wsp:rsid wsp:val=&quot;00E027BD&quot;/&gt;&lt;wsp:rsid wsp:val=&quot;00E02C60&quot;/&gt;&lt;wsp:rsid wsp:val=&quot;00E02EF2&quot;/&gt;&lt;wsp:rsid wsp:val=&quot;00E02FCD&quot;/&gt;&lt;wsp:rsid wsp:val=&quot;00E03172&quot;/&gt;&lt;wsp:rsid wsp:val=&quot;00E0321A&quot;/&gt;&lt;wsp:rsid wsp:val=&quot;00E03563&quot;/&gt;&lt;wsp:rsid wsp:val=&quot;00E037E5&quot;/&gt;&lt;wsp:rsid wsp:val=&quot;00E0384A&quot;/&gt;&lt;wsp:rsid wsp:val=&quot;00E0397E&quot;/&gt;&lt;wsp:rsid wsp:val=&quot;00E03CB0&quot;/&gt;&lt;wsp:rsid wsp:val=&quot;00E043AD&quot;/&gt;&lt;wsp:rsid wsp:val=&quot;00E0468B&quot;/&gt;&lt;wsp:rsid wsp:val=&quot;00E04764&quot;/&gt;&lt;wsp:rsid wsp:val=&quot;00E04C8A&quot;/&gt;&lt;wsp:rsid wsp:val=&quot;00E0514D&quot;/&gt;&lt;wsp:rsid wsp:val=&quot;00E0525B&quot;/&gt;&lt;wsp:rsid wsp:val=&quot;00E0547E&quot;/&gt;&lt;wsp:rsid wsp:val=&quot;00E0548D&quot;/&gt;&lt;wsp:rsid wsp:val=&quot;00E0589C&quot;/&gt;&lt;wsp:rsid wsp:val=&quot;00E05B76&quot;/&gt;&lt;wsp:rsid wsp:val=&quot;00E05E36&quot;/&gt;&lt;wsp:rsid wsp:val=&quot;00E06078&quot;/&gt;&lt;wsp:rsid wsp:val=&quot;00E06183&quot;/&gt;&lt;wsp:rsid wsp:val=&quot;00E06199&quot;/&gt;&lt;wsp:rsid wsp:val=&quot;00E064A1&quot;/&gt;&lt;wsp:rsid wsp:val=&quot;00E064D5&quot;/&gt;&lt;wsp:rsid wsp:val=&quot;00E068E7&quot;/&gt;&lt;wsp:rsid wsp:val=&quot;00E06D23&quot;/&gt;&lt;wsp:rsid wsp:val=&quot;00E07323&quot;/&gt;&lt;wsp:rsid wsp:val=&quot;00E07CED&quot;/&gt;&lt;wsp:rsid wsp:val=&quot;00E10057&quot;/&gt;&lt;wsp:rsid wsp:val=&quot;00E1009B&quot;/&gt;&lt;wsp:rsid wsp:val=&quot;00E10270&quot;/&gt;&lt;wsp:rsid wsp:val=&quot;00E10421&quot;/&gt;&lt;wsp:rsid wsp:val=&quot;00E104FF&quot;/&gt;&lt;wsp:rsid wsp:val=&quot;00E10748&quot;/&gt;&lt;wsp:rsid wsp:val=&quot;00E10E90&quot;/&gt;&lt;wsp:rsid wsp:val=&quot;00E10F69&quot;/&gt;&lt;wsp:rsid wsp:val=&quot;00E1107E&quot;/&gt;&lt;wsp:rsid wsp:val=&quot;00E111E0&quot;/&gt;&lt;wsp:rsid wsp:val=&quot;00E11503&quot;/&gt;&lt;wsp:rsid wsp:val=&quot;00E1151C&quot;/&gt;&lt;wsp:rsid wsp:val=&quot;00E11848&quot;/&gt;&lt;wsp:rsid wsp:val=&quot;00E11B3A&quot;/&gt;&lt;wsp:rsid wsp:val=&quot;00E11E52&quot;/&gt;&lt;wsp:rsid wsp:val=&quot;00E11F1C&quot;/&gt;&lt;wsp:rsid wsp:val=&quot;00E123DD&quot;/&gt;&lt;wsp:rsid wsp:val=&quot;00E126D5&quot;/&gt;&lt;wsp:rsid wsp:val=&quot;00E12E70&quot;/&gt;&lt;wsp:rsid wsp:val=&quot;00E1397B&quot;/&gt;&lt;wsp:rsid wsp:val=&quot;00E13F67&quot;/&gt;&lt;wsp:rsid wsp:val=&quot;00E14087&quot;/&gt;&lt;wsp:rsid wsp:val=&quot;00E140B5&quot;/&gt;&lt;wsp:rsid wsp:val=&quot;00E1418D&quot;/&gt;&lt;wsp:rsid wsp:val=&quot;00E1423A&quot;/&gt;&lt;wsp:rsid wsp:val=&quot;00E1461B&quot;/&gt;&lt;wsp:rsid wsp:val=&quot;00E14BC2&quot;/&gt;&lt;wsp:rsid wsp:val=&quot;00E14C96&quot;/&gt;&lt;wsp:rsid wsp:val=&quot;00E1560A&quot;/&gt;&lt;wsp:rsid wsp:val=&quot;00E1567C&quot;/&gt;&lt;wsp:rsid wsp:val=&quot;00E15869&quot;/&gt;&lt;wsp:rsid wsp:val=&quot;00E1609B&quot;/&gt;&lt;wsp:rsid wsp:val=&quot;00E166C2&quot;/&gt;&lt;wsp:rsid wsp:val=&quot;00E1675A&quot;/&gt;&lt;wsp:rsid wsp:val=&quot;00E167F9&quot;/&gt;&lt;wsp:rsid wsp:val=&quot;00E168A2&quot;/&gt;&lt;wsp:rsid wsp:val=&quot;00E16ADA&quot;/&gt;&lt;wsp:rsid wsp:val=&quot;00E16E47&quot;/&gt;&lt;wsp:rsid wsp:val=&quot;00E2023E&quot;/&gt;&lt;wsp:rsid wsp:val=&quot;00E20289&quot;/&gt;&lt;wsp:rsid wsp:val=&quot;00E20441&quot;/&gt;&lt;wsp:rsid wsp:val=&quot;00E204BF&quot;/&gt;&lt;wsp:rsid wsp:val=&quot;00E20548&quot;/&gt;&lt;wsp:rsid wsp:val=&quot;00E20830&quot;/&gt;&lt;wsp:rsid wsp:val=&quot;00E20A15&quot;/&gt;&lt;wsp:rsid wsp:val=&quot;00E20A70&quot;/&gt;&lt;wsp:rsid wsp:val=&quot;00E20B01&quot;/&gt;&lt;wsp:rsid wsp:val=&quot;00E20E29&quot;/&gt;&lt;wsp:rsid wsp:val=&quot;00E212C2&quot;/&gt;&lt;wsp:rsid wsp:val=&quot;00E21687&quot;/&gt;&lt;wsp:rsid wsp:val=&quot;00E21A4E&quot;/&gt;&lt;wsp:rsid wsp:val=&quot;00E21CCC&quot;/&gt;&lt;wsp:rsid wsp:val=&quot;00E21F08&quot;/&gt;&lt;wsp:rsid wsp:val=&quot;00E22182&quot;/&gt;&lt;wsp:rsid wsp:val=&quot;00E221B8&quot;/&gt;&lt;wsp:rsid wsp:val=&quot;00E227E9&quot;/&gt;&lt;wsp:rsid wsp:val=&quot;00E2290E&quot;/&gt;&lt;wsp:rsid wsp:val=&quot;00E22C48&quot;/&gt;&lt;wsp:rsid wsp:val=&quot;00E22F19&quot;/&gt;&lt;wsp:rsid wsp:val=&quot;00E23299&quot;/&gt;&lt;wsp:rsid wsp:val=&quot;00E237B6&quot;/&gt;&lt;wsp:rsid wsp:val=&quot;00E238DE&quot;/&gt;&lt;wsp:rsid wsp:val=&quot;00E23CC0&quot;/&gt;&lt;wsp:rsid wsp:val=&quot;00E24A62&quot;/&gt;&lt;wsp:rsid wsp:val=&quot;00E24B9B&quot;/&gt;&lt;wsp:rsid wsp:val=&quot;00E24BEA&quot;/&gt;&lt;wsp:rsid wsp:val=&quot;00E24E54&quot;/&gt;&lt;wsp:rsid wsp:val=&quot;00E24EDA&quot;/&gt;&lt;wsp:rsid wsp:val=&quot;00E25072&quot;/&gt;&lt;wsp:rsid wsp:val=&quot;00E25593&quot;/&gt;&lt;wsp:rsid wsp:val=&quot;00E25888&quot;/&gt;&lt;wsp:rsid wsp:val=&quot;00E25E6C&quot;/&gt;&lt;wsp:rsid wsp:val=&quot;00E25E82&quot;/&gt;&lt;wsp:rsid wsp:val=&quot;00E25EB6&quot;/&gt;&lt;wsp:rsid wsp:val=&quot;00E25FFA&quot;/&gt;&lt;wsp:rsid wsp:val=&quot;00E26226&quot;/&gt;&lt;wsp:rsid wsp:val=&quot;00E264E6&quot;/&gt;&lt;wsp:rsid wsp:val=&quot;00E26C3F&quot;/&gt;&lt;wsp:rsid wsp:val=&quot;00E2702B&quot;/&gt;&lt;wsp:rsid wsp:val=&quot;00E271D3&quot;/&gt;&lt;wsp:rsid wsp:val=&quot;00E27479&quot;/&gt;&lt;wsp:rsid wsp:val=&quot;00E30596&quot;/&gt;&lt;wsp:rsid wsp:val=&quot;00E306C3&quot;/&gt;&lt;wsp:rsid wsp:val=&quot;00E307C6&quot;/&gt;&lt;wsp:rsid wsp:val=&quot;00E30AFB&quot;/&gt;&lt;wsp:rsid wsp:val=&quot;00E30BAF&quot;/&gt;&lt;wsp:rsid wsp:val=&quot;00E31856&quot;/&gt;&lt;wsp:rsid wsp:val=&quot;00E31C9C&quot;/&gt;&lt;wsp:rsid wsp:val=&quot;00E31F8E&quot;/&gt;&lt;wsp:rsid wsp:val=&quot;00E3221D&quot;/&gt;&lt;wsp:rsid wsp:val=&quot;00E326FD&quot;/&gt;&lt;wsp:rsid wsp:val=&quot;00E32CF9&quot;/&gt;&lt;wsp:rsid wsp:val=&quot;00E32FF4&quot;/&gt;&lt;wsp:rsid wsp:val=&quot;00E33143&quot;/&gt;&lt;wsp:rsid wsp:val=&quot;00E33356&quot;/&gt;&lt;wsp:rsid wsp:val=&quot;00E3397C&quot;/&gt;&lt;wsp:rsid wsp:val=&quot;00E33D42&quot;/&gt;&lt;wsp:rsid wsp:val=&quot;00E343CE&quot;/&gt;&lt;wsp:rsid wsp:val=&quot;00E344DA&quot;/&gt;&lt;wsp:rsid wsp:val=&quot;00E3491A&quot;/&gt;&lt;wsp:rsid wsp:val=&quot;00E349B8&quot;/&gt;&lt;wsp:rsid wsp:val=&quot;00E34CA7&quot;/&gt;&lt;wsp:rsid wsp:val=&quot;00E352F7&quot;/&gt;&lt;wsp:rsid wsp:val=&quot;00E353D9&quot;/&gt;&lt;wsp:rsid wsp:val=&quot;00E35D66&quot;/&gt;&lt;wsp:rsid wsp:val=&quot;00E35E4B&quot;/&gt;&lt;wsp:rsid wsp:val=&quot;00E360FF&quot;/&gt;&lt;wsp:rsid wsp:val=&quot;00E3611C&quot;/&gt;&lt;wsp:rsid wsp:val=&quot;00E36230&quot;/&gt;&lt;wsp:rsid wsp:val=&quot;00E3631E&quot;/&gt;&lt;wsp:rsid wsp:val=&quot;00E368E4&quot;/&gt;&lt;wsp:rsid wsp:val=&quot;00E36976&quot;/&gt;&lt;wsp:rsid wsp:val=&quot;00E36BAA&quot;/&gt;&lt;wsp:rsid wsp:val=&quot;00E36CFB&quot;/&gt;&lt;wsp:rsid wsp:val=&quot;00E36D5C&quot;/&gt;&lt;wsp:rsid wsp:val=&quot;00E3715C&quot;/&gt;&lt;wsp:rsid wsp:val=&quot;00E37189&quot;/&gt;&lt;wsp:rsid wsp:val=&quot;00E371DE&quot;/&gt;&lt;wsp:rsid wsp:val=&quot;00E375F3&quot;/&gt;&lt;wsp:rsid wsp:val=&quot;00E376AB&quot;/&gt;&lt;wsp:rsid wsp:val=&quot;00E379D1&quot;/&gt;&lt;wsp:rsid wsp:val=&quot;00E37EC0&quot;/&gt;&lt;wsp:rsid wsp:val=&quot;00E408A8&quot;/&gt;&lt;wsp:rsid wsp:val=&quot;00E40E8C&quot;/&gt;&lt;wsp:rsid wsp:val=&quot;00E41B1C&quot;/&gt;&lt;wsp:rsid wsp:val=&quot;00E41C61&quot;/&gt;&lt;wsp:rsid wsp:val=&quot;00E41C86&quot;/&gt;&lt;wsp:rsid wsp:val=&quot;00E42244&quot;/&gt;&lt;wsp:rsid wsp:val=&quot;00E4230D&quot;/&gt;&lt;wsp:rsid wsp:val=&quot;00E42425&quot;/&gt;&lt;wsp:rsid wsp:val=&quot;00E4251A&quot;/&gt;&lt;wsp:rsid wsp:val=&quot;00E42B3F&quot;/&gt;&lt;wsp:rsid wsp:val=&quot;00E42F92&quot;/&gt;&lt;wsp:rsid wsp:val=&quot;00E4306E&quot;/&gt;&lt;wsp:rsid wsp:val=&quot;00E43143&quot;/&gt;&lt;wsp:rsid wsp:val=&quot;00E4319B&quot;/&gt;&lt;wsp:rsid wsp:val=&quot;00E431C0&quot;/&gt;&lt;wsp:rsid wsp:val=&quot;00E435DB&quot;/&gt;&lt;wsp:rsid wsp:val=&quot;00E438F3&quot;/&gt;&lt;wsp:rsid wsp:val=&quot;00E43E10&quot;/&gt;&lt;wsp:rsid wsp:val=&quot;00E44403&quot;/&gt;&lt;wsp:rsid wsp:val=&quot;00E4459E&quot;/&gt;&lt;wsp:rsid wsp:val=&quot;00E44B2F&quot;/&gt;&lt;wsp:rsid wsp:val=&quot;00E44BB0&quot;/&gt;&lt;wsp:rsid wsp:val=&quot;00E44BD4&quot;/&gt;&lt;wsp:rsid wsp:val=&quot;00E44E92&quot;/&gt;&lt;wsp:rsid wsp:val=&quot;00E44F03&quot;/&gt;&lt;wsp:rsid wsp:val=&quot;00E4550C&quot;/&gt;&lt;wsp:rsid wsp:val=&quot;00E455FF&quot;/&gt;&lt;wsp:rsid wsp:val=&quot;00E45677&quot;/&gt;&lt;wsp:rsid wsp:val=&quot;00E4598D&quot;/&gt;&lt;wsp:rsid wsp:val=&quot;00E45A35&quot;/&gt;&lt;wsp:rsid wsp:val=&quot;00E45E51&quot;/&gt;&lt;wsp:rsid wsp:val=&quot;00E46055&quot;/&gt;&lt;wsp:rsid wsp:val=&quot;00E46079&quot;/&gt;&lt;wsp:rsid wsp:val=&quot;00E46636&quot;/&gt;&lt;wsp:rsid wsp:val=&quot;00E467B0&quot;/&gt;&lt;wsp:rsid wsp:val=&quot;00E46983&quot;/&gt;&lt;wsp:rsid wsp:val=&quot;00E47160&quot;/&gt;&lt;wsp:rsid wsp:val=&quot;00E47596&quot;/&gt;&lt;wsp:rsid wsp:val=&quot;00E4778B&quot;/&gt;&lt;wsp:rsid wsp:val=&quot;00E47A0A&quot;/&gt;&lt;wsp:rsid wsp:val=&quot;00E5045D&quot;/&gt;&lt;wsp:rsid wsp:val=&quot;00E5056B&quot;/&gt;&lt;wsp:rsid wsp:val=&quot;00E50844&quot;/&gt;&lt;wsp:rsid wsp:val=&quot;00E50CB4&quot;/&gt;&lt;wsp:rsid wsp:val=&quot;00E50F14&quot;/&gt;&lt;wsp:rsid wsp:val=&quot;00E5122B&quot;/&gt;&lt;wsp:rsid wsp:val=&quot;00E5129B&quot;/&gt;&lt;wsp:rsid wsp:val=&quot;00E513EC&quot;/&gt;&lt;wsp:rsid wsp:val=&quot;00E51579&quot;/&gt;&lt;wsp:rsid wsp:val=&quot;00E51952&quot;/&gt;&lt;wsp:rsid wsp:val=&quot;00E51B97&quot;/&gt;&lt;wsp:rsid wsp:val=&quot;00E51E7C&quot;/&gt;&lt;wsp:rsid wsp:val=&quot;00E51FD7&quot;/&gt;&lt;wsp:rsid wsp:val=&quot;00E5213D&quot;/&gt;&lt;wsp:rsid wsp:val=&quot;00E5219B&quot;/&gt;&lt;wsp:rsid wsp:val=&quot;00E521BE&quot;/&gt;&lt;wsp:rsid wsp:val=&quot;00E52552&quot;/&gt;&lt;wsp:rsid wsp:val=&quot;00E52B77&quot;/&gt;&lt;wsp:rsid wsp:val=&quot;00E52F14&quot;/&gt;&lt;wsp:rsid wsp:val=&quot;00E5310C&quot;/&gt;&lt;wsp:rsid wsp:val=&quot;00E53438&quot;/&gt;&lt;wsp:rsid wsp:val=&quot;00E54149&quot;/&gt;&lt;wsp:rsid wsp:val=&quot;00E546C4&quot;/&gt;&lt;wsp:rsid wsp:val=&quot;00E548E2&quot;/&gt;&lt;wsp:rsid wsp:val=&quot;00E54DE3&quot;/&gt;&lt;wsp:rsid wsp:val=&quot;00E54F4D&quot;/&gt;&lt;wsp:rsid wsp:val=&quot;00E55287&quot;/&gt;&lt;wsp:rsid wsp:val=&quot;00E55299&quot;/&gt;&lt;wsp:rsid wsp:val=&quot;00E55714&quot;/&gt;&lt;wsp:rsid wsp:val=&quot;00E55985&quot;/&gt;&lt;wsp:rsid wsp:val=&quot;00E55B0C&quot;/&gt;&lt;wsp:rsid wsp:val=&quot;00E55F2F&quot;/&gt;&lt;wsp:rsid wsp:val=&quot;00E560A8&quot;/&gt;&lt;wsp:rsid wsp:val=&quot;00E56390&quot;/&gt;&lt;wsp:rsid wsp:val=&quot;00E56D0D&quot;/&gt;&lt;wsp:rsid wsp:val=&quot;00E572E9&quot;/&gt;&lt;wsp:rsid wsp:val=&quot;00E574AC&quot;/&gt;&lt;wsp:rsid wsp:val=&quot;00E57956&quot;/&gt;&lt;wsp:rsid wsp:val=&quot;00E57C5D&quot;/&gt;&lt;wsp:rsid wsp:val=&quot;00E6016A&quot;/&gt;&lt;wsp:rsid wsp:val=&quot;00E605E6&quot;/&gt;&lt;wsp:rsid wsp:val=&quot;00E60873&quot;/&gt;&lt;wsp:rsid wsp:val=&quot;00E6090C&quot;/&gt;&lt;wsp:rsid wsp:val=&quot;00E609AB&quot;/&gt;&lt;wsp:rsid wsp:val=&quot;00E60BB3&quot;/&gt;&lt;wsp:rsid wsp:val=&quot;00E6105C&quot;/&gt;&lt;wsp:rsid wsp:val=&quot;00E61077&quot;/&gt;&lt;wsp:rsid wsp:val=&quot;00E6123A&quot;/&gt;&lt;wsp:rsid wsp:val=&quot;00E6126C&quot;/&gt;&lt;wsp:rsid wsp:val=&quot;00E614BD&quot;/&gt;&lt;wsp:rsid wsp:val=&quot;00E61CE1&quot;/&gt;&lt;wsp:rsid wsp:val=&quot;00E61EF0&quot;/&gt;&lt;wsp:rsid wsp:val=&quot;00E61F27&quot;/&gt;&lt;wsp:rsid wsp:val=&quot;00E624E9&quot;/&gt;&lt;wsp:rsid wsp:val=&quot;00E6252C&quot;/&gt;&lt;wsp:rsid wsp:val=&quot;00E62570&quot;/&gt;&lt;wsp:rsid wsp:val=&quot;00E629E2&quot;/&gt;&lt;wsp:rsid wsp:val=&quot;00E63481&quot;/&gt;&lt;wsp:rsid wsp:val=&quot;00E63590&quot;/&gt;&lt;wsp:rsid wsp:val=&quot;00E63907&quot;/&gt;&lt;wsp:rsid wsp:val=&quot;00E63A14&quot;/&gt;&lt;wsp:rsid wsp:val=&quot;00E63A34&quot;/&gt;&lt;wsp:rsid wsp:val=&quot;00E63B2E&quot;/&gt;&lt;wsp:rsid wsp:val=&quot;00E646AD&quot;/&gt;&lt;wsp:rsid wsp:val=&quot;00E6471A&quot;/&gt;&lt;wsp:rsid wsp:val=&quot;00E64A13&quot;/&gt;&lt;wsp:rsid wsp:val=&quot;00E64A84&quot;/&gt;&lt;wsp:rsid wsp:val=&quot;00E64B4F&quot;/&gt;&lt;wsp:rsid wsp:val=&quot;00E64D9B&quot;/&gt;&lt;wsp:rsid wsp:val=&quot;00E64F93&quot;/&gt;&lt;wsp:rsid wsp:val=&quot;00E651D6&quot;/&gt;&lt;wsp:rsid wsp:val=&quot;00E654FC&quot;/&gt;&lt;wsp:rsid wsp:val=&quot;00E65612&quot;/&gt;&lt;wsp:rsid wsp:val=&quot;00E65743&quot;/&gt;&lt;wsp:rsid wsp:val=&quot;00E6581C&quot;/&gt;&lt;wsp:rsid wsp:val=&quot;00E65BBB&quot;/&gt;&lt;wsp:rsid wsp:val=&quot;00E65C3D&quot;/&gt;&lt;wsp:rsid wsp:val=&quot;00E6616C&quot;/&gt;&lt;wsp:rsid wsp:val=&quot;00E6643A&quot;/&gt;&lt;wsp:rsid wsp:val=&quot;00E66695&quot;/&gt;&lt;wsp:rsid wsp:val=&quot;00E66A8E&quot;/&gt;&lt;wsp:rsid wsp:val=&quot;00E66B7D&quot;/&gt;&lt;wsp:rsid wsp:val=&quot;00E66D4C&quot;/&gt;&lt;wsp:rsid wsp:val=&quot;00E66D4D&quot;/&gt;&lt;wsp:rsid wsp:val=&quot;00E66E8A&quot;/&gt;&lt;wsp:rsid wsp:val=&quot;00E6750E&quot;/&gt;&lt;wsp:rsid wsp:val=&quot;00E6759D&quot;/&gt;&lt;wsp:rsid wsp:val=&quot;00E6772B&quot;/&gt;&lt;wsp:rsid wsp:val=&quot;00E678F9&quot;/&gt;&lt;wsp:rsid wsp:val=&quot;00E67B4B&quot;/&gt;&lt;wsp:rsid wsp:val=&quot;00E7000C&quot;/&gt;&lt;wsp:rsid wsp:val=&quot;00E706FA&quot;/&gt;&lt;wsp:rsid wsp:val=&quot;00E707F8&quot;/&gt;&lt;wsp:rsid wsp:val=&quot;00E713E0&quot;/&gt;&lt;wsp:rsid wsp:val=&quot;00E7152F&quot;/&gt;&lt;wsp:rsid wsp:val=&quot;00E71D13&quot;/&gt;&lt;wsp:rsid wsp:val=&quot;00E71EA7&quot;/&gt;&lt;wsp:rsid wsp:val=&quot;00E7208C&quot;/&gt;&lt;wsp:rsid wsp:val=&quot;00E721CE&quot;/&gt;&lt;wsp:rsid wsp:val=&quot;00E7293A&quot;/&gt;&lt;wsp:rsid wsp:val=&quot;00E72DDA&quot;/&gt;&lt;wsp:rsid wsp:val=&quot;00E72F61&quot;/&gt;&lt;wsp:rsid wsp:val=&quot;00E73885&quot;/&gt;&lt;wsp:rsid wsp:val=&quot;00E73CA7&quot;/&gt;&lt;wsp:rsid wsp:val=&quot;00E742D9&quot;/&gt;&lt;wsp:rsid wsp:val=&quot;00E74854&quot;/&gt;&lt;wsp:rsid wsp:val=&quot;00E748FD&quot;/&gt;&lt;wsp:rsid wsp:val=&quot;00E74DF5&quot;/&gt;&lt;wsp:rsid wsp:val=&quot;00E74ECB&quot;/&gt;&lt;wsp:rsid wsp:val=&quot;00E75347&quot;/&gt;&lt;wsp:rsid wsp:val=&quot;00E75766&quot;/&gt;&lt;wsp:rsid wsp:val=&quot;00E75AF9&quot;/&gt;&lt;wsp:rsid wsp:val=&quot;00E75B4C&quot;/&gt;&lt;wsp:rsid wsp:val=&quot;00E75BC5&quot;/&gt;&lt;wsp:rsid wsp:val=&quot;00E75C95&quot;/&gt;&lt;wsp:rsid wsp:val=&quot;00E76086&quot;/&gt;&lt;wsp:rsid wsp:val=&quot;00E763C9&quot;/&gt;&lt;wsp:rsid wsp:val=&quot;00E76AB5&quot;/&gt;&lt;wsp:rsid wsp:val=&quot;00E76BB2&quot;/&gt;&lt;wsp:rsid wsp:val=&quot;00E76E06&quot;/&gt;&lt;wsp:rsid wsp:val=&quot;00E775A5&quot;/&gt;&lt;wsp:rsid wsp:val=&quot;00E77BBA&quot;/&gt;&lt;wsp:rsid wsp:val=&quot;00E77D22&quot;/&gt;&lt;wsp:rsid wsp:val=&quot;00E77F4D&quot;/&gt;&lt;wsp:rsid wsp:val=&quot;00E8009A&quot;/&gt;&lt;wsp:rsid wsp:val=&quot;00E8096C&quot;/&gt;&lt;wsp:rsid wsp:val=&quot;00E814AB&quot;/&gt;&lt;wsp:rsid wsp:val=&quot;00E81E23&quot;/&gt;&lt;wsp:rsid wsp:val=&quot;00E81EE8&quot;/&gt;&lt;wsp:rsid wsp:val=&quot;00E821AE&quot;/&gt;&lt;wsp:rsid wsp:val=&quot;00E82D72&quot;/&gt;&lt;wsp:rsid wsp:val=&quot;00E832EF&quot;/&gt;&lt;wsp:rsid wsp:val=&quot;00E8379A&quot;/&gt;&lt;wsp:rsid wsp:val=&quot;00E83D45&quot;/&gt;&lt;wsp:rsid wsp:val=&quot;00E842A7&quot;/&gt;&lt;wsp:rsid wsp:val=&quot;00E84ACA&quot;/&gt;&lt;wsp:rsid wsp:val=&quot;00E84CA0&quot;/&gt;&lt;wsp:rsid wsp:val=&quot;00E84CA5&quot;/&gt;&lt;wsp:rsid wsp:val=&quot;00E851D6&quot;/&gt;&lt;wsp:rsid wsp:val=&quot;00E85474&quot;/&gt;&lt;wsp:rsid wsp:val=&quot;00E857D7&quot;/&gt;&lt;wsp:rsid wsp:val=&quot;00E85B41&quot;/&gt;&lt;wsp:rsid wsp:val=&quot;00E85F55&quot;/&gt;&lt;wsp:rsid wsp:val=&quot;00E85FC7&quot;/&gt;&lt;wsp:rsid wsp:val=&quot;00E86086&quot;/&gt;&lt;wsp:rsid wsp:val=&quot;00E86E29&quot;/&gt;&lt;wsp:rsid wsp:val=&quot;00E8751B&quot;/&gt;&lt;wsp:rsid wsp:val=&quot;00E87611&quot;/&gt;&lt;wsp:rsid wsp:val=&quot;00E87F79&quot;/&gt;&lt;wsp:rsid wsp:val=&quot;00E904CE&quot;/&gt;&lt;wsp:rsid wsp:val=&quot;00E90538&quot;/&gt;&lt;wsp:rsid wsp:val=&quot;00E90753&quot;/&gt;&lt;wsp:rsid wsp:val=&quot;00E91093&quot;/&gt;&lt;wsp:rsid wsp:val=&quot;00E910EC&quot;/&gt;&lt;wsp:rsid wsp:val=&quot;00E91341&quot;/&gt;&lt;wsp:rsid wsp:val=&quot;00E91899&quot;/&gt;&lt;wsp:rsid wsp:val=&quot;00E9205E&quot;/&gt;&lt;wsp:rsid wsp:val=&quot;00E921A2&quot;/&gt;&lt;wsp:rsid wsp:val=&quot;00E924FF&quot;/&gt;&lt;wsp:rsid wsp:val=&quot;00E932F1&quot;/&gt;&lt;wsp:rsid wsp:val=&quot;00E939CA&quot;/&gt;&lt;wsp:rsid wsp:val=&quot;00E93C91&quot;/&gt;&lt;wsp:rsid wsp:val=&quot;00E93F4B&quot;/&gt;&lt;wsp:rsid wsp:val=&quot;00E941EC&quot;/&gt;&lt;wsp:rsid wsp:val=&quot;00E94910&quot;/&gt;&lt;wsp:rsid wsp:val=&quot;00E94B53&quot;/&gt;&lt;wsp:rsid wsp:val=&quot;00E94DCE&quot;/&gt;&lt;wsp:rsid wsp:val=&quot;00E94DFA&quot;/&gt;&lt;wsp:rsid wsp:val=&quot;00E94E86&quot;/&gt;&lt;wsp:rsid wsp:val=&quot;00E9518C&quot;/&gt;&lt;wsp:rsid wsp:val=&quot;00E951C0&quot;/&gt;&lt;wsp:rsid wsp:val=&quot;00E952A0&quot;/&gt;&lt;wsp:rsid wsp:val=&quot;00E95571&quot;/&gt;&lt;wsp:rsid wsp:val=&quot;00E955EA&quot;/&gt;&lt;wsp:rsid wsp:val=&quot;00E960BD&quot;/&gt;&lt;wsp:rsid wsp:val=&quot;00E964D1&quot;/&gt;&lt;wsp:rsid wsp:val=&quot;00E96552&quot;/&gt;&lt;wsp:rsid wsp:val=&quot;00E96B7A&quot;/&gt;&lt;wsp:rsid wsp:val=&quot;00E96F4E&quot;/&gt;&lt;wsp:rsid wsp:val=&quot;00E97B42&quot;/&gt;&lt;wsp:rsid wsp:val=&quot;00E97EB7&quot;/&gt;&lt;wsp:rsid wsp:val=&quot;00EA008A&quot;/&gt;&lt;wsp:rsid wsp:val=&quot;00EA0622&quot;/&gt;&lt;wsp:rsid wsp:val=&quot;00EA0A20&quot;/&gt;&lt;wsp:rsid wsp:val=&quot;00EA0A62&quot;/&gt;&lt;wsp:rsid wsp:val=&quot;00EA0A7C&quot;/&gt;&lt;wsp:rsid wsp:val=&quot;00EA0C0E&quot;/&gt;&lt;wsp:rsid wsp:val=&quot;00EA0FB2&quot;/&gt;&lt;wsp:rsid wsp:val=&quot;00EA11C8&quot;/&gt;&lt;wsp:rsid wsp:val=&quot;00EA1508&quot;/&gt;&lt;wsp:rsid wsp:val=&quot;00EA16F8&quot;/&gt;&lt;wsp:rsid wsp:val=&quot;00EA1920&quot;/&gt;&lt;wsp:rsid wsp:val=&quot;00EA1B80&quot;/&gt;&lt;wsp:rsid wsp:val=&quot;00EA1CCE&quot;/&gt;&lt;wsp:rsid wsp:val=&quot;00EA1D6D&quot;/&gt;&lt;wsp:rsid wsp:val=&quot;00EA1DB9&quot;/&gt;&lt;wsp:rsid wsp:val=&quot;00EA2EED&quot;/&gt;&lt;wsp:rsid wsp:val=&quot;00EA3084&quot;/&gt;&lt;wsp:rsid wsp:val=&quot;00EA3C9C&quot;/&gt;&lt;wsp:rsid wsp:val=&quot;00EA3EAD&quot;/&gt;&lt;wsp:rsid wsp:val=&quot;00EA3ECD&quot;/&gt;&lt;wsp:rsid wsp:val=&quot;00EA46CB&quot;/&gt;&lt;wsp:rsid wsp:val=&quot;00EA4758&quot;/&gt;&lt;wsp:rsid wsp:val=&quot;00EA47F2&quot;/&gt;&lt;wsp:rsid wsp:val=&quot;00EA4A67&quot;/&gt;&lt;wsp:rsid wsp:val=&quot;00EA4D1B&quot;/&gt;&lt;wsp:rsid wsp:val=&quot;00EA4F72&quot;/&gt;&lt;wsp:rsid wsp:val=&quot;00EA53C1&quot;/&gt;&lt;wsp:rsid wsp:val=&quot;00EA57CD&quot;/&gt;&lt;wsp:rsid wsp:val=&quot;00EA5AB4&quot;/&gt;&lt;wsp:rsid wsp:val=&quot;00EA5B0F&quot;/&gt;&lt;wsp:rsid wsp:val=&quot;00EA6801&quot;/&gt;&lt;wsp:rsid wsp:val=&quot;00EA682A&quot;/&gt;&lt;wsp:rsid wsp:val=&quot;00EA72CD&quot;/&gt;&lt;wsp:rsid wsp:val=&quot;00EA740E&quot;/&gt;&lt;wsp:rsid wsp:val=&quot;00EA7C1D&quot;/&gt;&lt;wsp:rsid wsp:val=&quot;00EA7E2B&quot;/&gt;&lt;wsp:rsid wsp:val=&quot;00EB0220&quot;/&gt;&lt;wsp:rsid wsp:val=&quot;00EB03FF&quot;/&gt;&lt;wsp:rsid wsp:val=&quot;00EB048D&quot;/&gt;&lt;wsp:rsid wsp:val=&quot;00EB051C&quot;/&gt;&lt;wsp:rsid wsp:val=&quot;00EB13F2&quot;/&gt;&lt;wsp:rsid wsp:val=&quot;00EB1444&quot;/&gt;&lt;wsp:rsid wsp:val=&quot;00EB1A6B&quot;/&gt;&lt;wsp:rsid wsp:val=&quot;00EB2F23&quot;/&gt;&lt;wsp:rsid wsp:val=&quot;00EB3208&quot;/&gt;&lt;wsp:rsid wsp:val=&quot;00EB3D15&quot;/&gt;&lt;wsp:rsid wsp:val=&quot;00EB3D97&quot;/&gt;&lt;wsp:rsid wsp:val=&quot;00EB42BA&quot;/&gt;&lt;wsp:rsid wsp:val=&quot;00EB434F&quot;/&gt;&lt;wsp:rsid wsp:val=&quot;00EB43DE&quot;/&gt;&lt;wsp:rsid wsp:val=&quot;00EB46C9&quot;/&gt;&lt;wsp:rsid wsp:val=&quot;00EB55FB&quot;/&gt;&lt;wsp:rsid wsp:val=&quot;00EB5B27&quot;/&gt;&lt;wsp:rsid wsp:val=&quot;00EB5CD1&quot;/&gt;&lt;wsp:rsid wsp:val=&quot;00EB5EE6&quot;/&gt;&lt;wsp:rsid wsp:val=&quot;00EB6FD3&quot;/&gt;&lt;wsp:rsid wsp:val=&quot;00EB7AC5&quot;/&gt;&lt;wsp:rsid wsp:val=&quot;00EC03A0&quot;/&gt;&lt;wsp:rsid wsp:val=&quot;00EC042C&quot;/&gt;&lt;wsp:rsid wsp:val=&quot;00EC05FB&quot;/&gt;&lt;wsp:rsid wsp:val=&quot;00EC09D2&quot;/&gt;&lt;wsp:rsid wsp:val=&quot;00EC0BB0&quot;/&gt;&lt;wsp:rsid wsp:val=&quot;00EC0D7E&quot;/&gt;&lt;wsp:rsid wsp:val=&quot;00EC0F4A&quot;/&gt;&lt;wsp:rsid wsp:val=&quot;00EC166D&quot;/&gt;&lt;wsp:rsid wsp:val=&quot;00EC1C8B&quot;/&gt;&lt;wsp:rsid wsp:val=&quot;00EC2080&quot;/&gt;&lt;wsp:rsid wsp:val=&quot;00EC209C&quot;/&gt;&lt;wsp:rsid wsp:val=&quot;00EC20D6&quot;/&gt;&lt;wsp:rsid wsp:val=&quot;00EC226E&quot;/&gt;&lt;wsp:rsid wsp:val=&quot;00EC2273&quot;/&gt;&lt;wsp:rsid wsp:val=&quot;00EC24D4&quot;/&gt;&lt;wsp:rsid wsp:val=&quot;00EC254D&quot;/&gt;&lt;wsp:rsid wsp:val=&quot;00EC25D1&quot;/&gt;&lt;wsp:rsid wsp:val=&quot;00EC26F3&quot;/&gt;&lt;wsp:rsid wsp:val=&quot;00EC28C1&quot;/&gt;&lt;wsp:rsid wsp:val=&quot;00EC2B08&quot;/&gt;&lt;wsp:rsid wsp:val=&quot;00EC2B9B&quot;/&gt;&lt;wsp:rsid wsp:val=&quot;00EC2D59&quot;/&gt;&lt;wsp:rsid wsp:val=&quot;00EC2FC8&quot;/&gt;&lt;wsp:rsid wsp:val=&quot;00EC2FF7&quot;/&gt;&lt;wsp:rsid wsp:val=&quot;00EC35E1&quot;/&gt;&lt;wsp:rsid wsp:val=&quot;00EC3CA8&quot;/&gt;&lt;wsp:rsid wsp:val=&quot;00EC3CC4&quot;/&gt;&lt;wsp:rsid wsp:val=&quot;00EC3EC4&quot;/&gt;&lt;wsp:rsid wsp:val=&quot;00EC41DD&quot;/&gt;&lt;wsp:rsid wsp:val=&quot;00EC4332&quot;/&gt;&lt;wsp:rsid wsp:val=&quot;00EC43A5&quot;/&gt;&lt;wsp:rsid wsp:val=&quot;00EC43C6&quot;/&gt;&lt;wsp:rsid wsp:val=&quot;00EC453F&quot;/&gt;&lt;wsp:rsid wsp:val=&quot;00EC4945&quot;/&gt;&lt;wsp:rsid wsp:val=&quot;00EC4BB0&quot;/&gt;&lt;wsp:rsid wsp:val=&quot;00EC4C52&quot;/&gt;&lt;wsp:rsid wsp:val=&quot;00EC4D27&quot;/&gt;&lt;wsp:rsid wsp:val=&quot;00EC4F43&quot;/&gt;&lt;wsp:rsid wsp:val=&quot;00EC5044&quot;/&gt;&lt;wsp:rsid wsp:val=&quot;00EC5293&quot;/&gt;&lt;wsp:rsid wsp:val=&quot;00EC52D4&quot;/&gt;&lt;wsp:rsid wsp:val=&quot;00EC53D6&quot;/&gt;&lt;wsp:rsid wsp:val=&quot;00EC5570&quot;/&gt;&lt;wsp:rsid wsp:val=&quot;00EC5578&quot;/&gt;&lt;wsp:rsid wsp:val=&quot;00EC56B2&quot;/&gt;&lt;wsp:rsid wsp:val=&quot;00EC61BB&quot;/&gt;&lt;wsp:rsid wsp:val=&quot;00EC63AA&quot;/&gt;&lt;wsp:rsid wsp:val=&quot;00EC6858&quot;/&gt;&lt;wsp:rsid wsp:val=&quot;00EC7E56&quot;/&gt;&lt;wsp:rsid wsp:val=&quot;00ED047E&quot;/&gt;&lt;wsp:rsid wsp:val=&quot;00ED0561&quot;/&gt;&lt;wsp:rsid wsp:val=&quot;00ED0BA1&quot;/&gt;&lt;wsp:rsid wsp:val=&quot;00ED0BD8&quot;/&gt;&lt;wsp:rsid wsp:val=&quot;00ED1468&quot;/&gt;&lt;wsp:rsid wsp:val=&quot;00ED166F&quot;/&gt;&lt;wsp:rsid wsp:val=&quot;00ED17B3&quot;/&gt;&lt;wsp:rsid wsp:val=&quot;00ED1C2A&quot;/&gt;&lt;wsp:rsid wsp:val=&quot;00ED21DA&quot;/&gt;&lt;wsp:rsid wsp:val=&quot;00ED2269&quot;/&gt;&lt;wsp:rsid wsp:val=&quot;00ED2590&quot;/&gt;&lt;wsp:rsid wsp:val=&quot;00ED2734&quot;/&gt;&lt;wsp:rsid wsp:val=&quot;00ED2921&quot;/&gt;&lt;wsp:rsid wsp:val=&quot;00ED3167&quot;/&gt;&lt;wsp:rsid wsp:val=&quot;00ED35D4&quot;/&gt;&lt;wsp:rsid wsp:val=&quot;00ED3625&quot;/&gt;&lt;wsp:rsid wsp:val=&quot;00ED3641&quot;/&gt;&lt;wsp:rsid wsp:val=&quot;00ED3669&quot;/&gt;&lt;wsp:rsid wsp:val=&quot;00ED3815&quot;/&gt;&lt;wsp:rsid wsp:val=&quot;00ED3855&quot;/&gt;&lt;wsp:rsid wsp:val=&quot;00ED3DD5&quot;/&gt;&lt;wsp:rsid wsp:val=&quot;00ED4170&quot;/&gt;&lt;wsp:rsid wsp:val=&quot;00ED4A85&quot;/&gt;&lt;wsp:rsid wsp:val=&quot;00ED4C0F&quot;/&gt;&lt;wsp:rsid wsp:val=&quot;00ED4DF4&quot;/&gt;&lt;wsp:rsid wsp:val=&quot;00ED51D0&quot;/&gt;&lt;wsp:rsid wsp:val=&quot;00ED52CD&quot;/&gt;&lt;wsp:rsid wsp:val=&quot;00ED6325&quot;/&gt;&lt;wsp:rsid wsp:val=&quot;00ED6DD9&quot;/&gt;&lt;wsp:rsid wsp:val=&quot;00ED6DFA&quot;/&gt;&lt;wsp:rsid wsp:val=&quot;00ED7202&quot;/&gt;&lt;wsp:rsid wsp:val=&quot;00ED7278&quot;/&gt;&lt;wsp:rsid wsp:val=&quot;00ED77C7&quot;/&gt;&lt;wsp:rsid wsp:val=&quot;00ED79A5&quot;/&gt;&lt;wsp:rsid wsp:val=&quot;00ED79B9&quot;/&gt;&lt;wsp:rsid wsp:val=&quot;00ED7CE8&quot;/&gt;&lt;wsp:rsid wsp:val=&quot;00EE0012&quot;/&gt;&lt;wsp:rsid wsp:val=&quot;00EE0289&quot;/&gt;&lt;wsp:rsid wsp:val=&quot;00EE0771&quot;/&gt;&lt;wsp:rsid wsp:val=&quot;00EE0B99&quot;/&gt;&lt;wsp:rsid wsp:val=&quot;00EE1305&quot;/&gt;&lt;wsp:rsid wsp:val=&quot;00EE1534&quot;/&gt;&lt;wsp:rsid wsp:val=&quot;00EE170F&quot;/&gt;&lt;wsp:rsid wsp:val=&quot;00EE22B5&quot;/&gt;&lt;wsp:rsid wsp:val=&quot;00EE2F95&quot;/&gt;&lt;wsp:rsid wsp:val=&quot;00EE42B5&quot;/&gt;&lt;wsp:rsid wsp:val=&quot;00EE4B84&quot;/&gt;&lt;wsp:rsid wsp:val=&quot;00EE5377&quot;/&gt;&lt;wsp:rsid wsp:val=&quot;00EE54C8&quot;/&gt;&lt;wsp:rsid wsp:val=&quot;00EE560E&quot;/&gt;&lt;wsp:rsid wsp:val=&quot;00EE57F7&quot;/&gt;&lt;wsp:rsid wsp:val=&quot;00EE5ADB&quot;/&gt;&lt;wsp:rsid wsp:val=&quot;00EE5B70&quot;/&gt;&lt;wsp:rsid wsp:val=&quot;00EE5CA9&quot;/&gt;&lt;wsp:rsid wsp:val=&quot;00EE5D08&quot;/&gt;&lt;wsp:rsid wsp:val=&quot;00EE5E7A&quot;/&gt;&lt;wsp:rsid wsp:val=&quot;00EE6247&quot;/&gt;&lt;wsp:rsid wsp:val=&quot;00EE66E8&quot;/&gt;&lt;wsp:rsid wsp:val=&quot;00EE6794&quot;/&gt;&lt;wsp:rsid wsp:val=&quot;00EE6F09&quot;/&gt;&lt;wsp:rsid wsp:val=&quot;00EE703F&quot;/&gt;&lt;wsp:rsid wsp:val=&quot;00EE769A&quot;/&gt;&lt;wsp:rsid wsp:val=&quot;00EE7A07&quot;/&gt;&lt;wsp:rsid wsp:val=&quot;00EE7A8A&quot;/&gt;&lt;wsp:rsid wsp:val=&quot;00EE7B58&quot;/&gt;&lt;wsp:rsid wsp:val=&quot;00EE7C58&quot;/&gt;&lt;wsp:rsid wsp:val=&quot;00EE7D33&quot;/&gt;&lt;wsp:rsid wsp:val=&quot;00EF009B&quot;/&gt;&lt;wsp:rsid wsp:val=&quot;00EF05CB&quot;/&gt;&lt;wsp:rsid wsp:val=&quot;00EF0A27&quot;/&gt;&lt;wsp:rsid wsp:val=&quot;00EF0C5F&quot;/&gt;&lt;wsp:rsid wsp:val=&quot;00EF12B0&quot;/&gt;&lt;wsp:rsid wsp:val=&quot;00EF1519&quot;/&gt;&lt;wsp:rsid wsp:val=&quot;00EF1B12&quot;/&gt;&lt;wsp:rsid wsp:val=&quot;00EF22E0&quot;/&gt;&lt;wsp:rsid wsp:val=&quot;00EF2300&quot;/&gt;&lt;wsp:rsid wsp:val=&quot;00EF234D&quot;/&gt;&lt;wsp:rsid wsp:val=&quot;00EF2557&quot;/&gt;&lt;wsp:rsid wsp:val=&quot;00EF2C3F&quot;/&gt;&lt;wsp:rsid wsp:val=&quot;00EF30CB&quot;/&gt;&lt;wsp:rsid wsp:val=&quot;00EF3151&quot;/&gt;&lt;wsp:rsid wsp:val=&quot;00EF3173&quot;/&gt;&lt;wsp:rsid wsp:val=&quot;00EF331D&quot;/&gt;&lt;wsp:rsid wsp:val=&quot;00EF3355&quot;/&gt;&lt;wsp:rsid wsp:val=&quot;00EF3521&quot;/&gt;&lt;wsp:rsid wsp:val=&quot;00EF3AD9&quot;/&gt;&lt;wsp:rsid wsp:val=&quot;00EF3CC0&quot;/&gt;&lt;wsp:rsid wsp:val=&quot;00EF3D69&quot;/&gt;&lt;wsp:rsid wsp:val=&quot;00EF3E7F&quot;/&gt;&lt;wsp:rsid wsp:val=&quot;00EF3EE3&quot;/&gt;&lt;wsp:rsid wsp:val=&quot;00EF40AE&quot;/&gt;&lt;wsp:rsid wsp:val=&quot;00EF4228&quot;/&gt;&lt;wsp:rsid wsp:val=&quot;00EF4415&quot;/&gt;&lt;wsp:rsid wsp:val=&quot;00EF4AD3&quot;/&gt;&lt;wsp:rsid wsp:val=&quot;00EF4C3A&quot;/&gt;&lt;wsp:rsid wsp:val=&quot;00EF5180&quot;/&gt;&lt;wsp:rsid wsp:val=&quot;00EF5299&quot;/&gt;&lt;wsp:rsid wsp:val=&quot;00EF541D&quot;/&gt;&lt;wsp:rsid wsp:val=&quot;00EF5422&quot;/&gt;&lt;wsp:rsid wsp:val=&quot;00EF55FC&quot;/&gt;&lt;wsp:rsid wsp:val=&quot;00EF5804&quot;/&gt;&lt;wsp:rsid wsp:val=&quot;00EF59F0&quot;/&gt;&lt;wsp:rsid wsp:val=&quot;00EF5ECB&quot;/&gt;&lt;wsp:rsid wsp:val=&quot;00EF60E3&quot;/&gt;&lt;wsp:rsid wsp:val=&quot;00EF65E7&quot;/&gt;&lt;wsp:rsid wsp:val=&quot;00EF673E&quot;/&gt;&lt;wsp:rsid wsp:val=&quot;00EF678C&quot;/&gt;&lt;wsp:rsid wsp:val=&quot;00EF6B9A&quot;/&gt;&lt;wsp:rsid wsp:val=&quot;00EF70AF&quot;/&gt;&lt;wsp:rsid wsp:val=&quot;00EF7734&quot;/&gt;&lt;wsp:rsid wsp:val=&quot;00EF7A85&quot;/&gt;&lt;wsp:rsid wsp:val=&quot;00EF7DA7&quot;/&gt;&lt;wsp:rsid wsp:val=&quot;00EF7F6D&quot;/&gt;&lt;wsp:rsid wsp:val=&quot;00F0035F&quot;/&gt;&lt;wsp:rsid wsp:val=&quot;00F004A9&quot;/&gt;&lt;wsp:rsid wsp:val=&quot;00F0088E&quot;/&gt;&lt;wsp:rsid wsp:val=&quot;00F00996&quot;/&gt;&lt;wsp:rsid wsp:val=&quot;00F00F21&quot;/&gt;&lt;wsp:rsid wsp:val=&quot;00F0144B&quot;/&gt;&lt;wsp:rsid wsp:val=&quot;00F01C83&quot;/&gt;&lt;wsp:rsid wsp:val=&quot;00F01DFC&quot;/&gt;&lt;wsp:rsid wsp:val=&quot;00F01FD5&quot;/&gt;&lt;wsp:rsid wsp:val=&quot;00F02358&quot;/&gt;&lt;wsp:rsid wsp:val=&quot;00F02432&quot;/&gt;&lt;wsp:rsid wsp:val=&quot;00F02483&quot;/&gt;&lt;wsp:rsid wsp:val=&quot;00F025F2&quot;/&gt;&lt;wsp:rsid wsp:val=&quot;00F026D8&quot;/&gt;&lt;wsp:rsid wsp:val=&quot;00F02774&quot;/&gt;&lt;wsp:rsid wsp:val=&quot;00F027A9&quot;/&gt;&lt;wsp:rsid wsp:val=&quot;00F0286E&quot;/&gt;&lt;wsp:rsid wsp:val=&quot;00F02B1B&quot;/&gt;&lt;wsp:rsid wsp:val=&quot;00F02DD4&quot;/&gt;&lt;wsp:rsid wsp:val=&quot;00F02DEE&quot;/&gt;&lt;wsp:rsid wsp:val=&quot;00F0359C&quot;/&gt;&lt;wsp:rsid wsp:val=&quot;00F03916&quot;/&gt;&lt;wsp:rsid wsp:val=&quot;00F03B59&quot;/&gt;&lt;wsp:rsid wsp:val=&quot;00F045D3&quot;/&gt;&lt;wsp:rsid wsp:val=&quot;00F049A0&quot;/&gt;&lt;wsp:rsid wsp:val=&quot;00F04A75&quot;/&gt;&lt;wsp:rsid wsp:val=&quot;00F04BDD&quot;/&gt;&lt;wsp:rsid wsp:val=&quot;00F04E08&quot;/&gt;&lt;wsp:rsid wsp:val=&quot;00F054BD&quot;/&gt;&lt;wsp:rsid wsp:val=&quot;00F057FE&quot;/&gt;&lt;wsp:rsid wsp:val=&quot;00F05D3A&quot;/&gt;&lt;wsp:rsid wsp:val=&quot;00F05E2B&quot;/&gt;&lt;wsp:rsid wsp:val=&quot;00F06E64&quot;/&gt;&lt;wsp:rsid wsp:val=&quot;00F0727B&quot;/&gt;&lt;wsp:rsid wsp:val=&quot;00F074A9&quot;/&gt;&lt;wsp:rsid wsp:val=&quot;00F0755B&quot;/&gt;&lt;wsp:rsid wsp:val=&quot;00F07834&quot;/&gt;&lt;wsp:rsid wsp:val=&quot;00F07C3E&quot;/&gt;&lt;wsp:rsid wsp:val=&quot;00F07F57&quot;/&gt;&lt;wsp:rsid wsp:val=&quot;00F10726&quot;/&gt;&lt;wsp:rsid wsp:val=&quot;00F109A9&quot;/&gt;&lt;wsp:rsid wsp:val=&quot;00F11004&quot;/&gt;&lt;wsp:rsid wsp:val=&quot;00F1123F&quot;/&gt;&lt;wsp:rsid wsp:val=&quot;00F11260&quot;/&gt;&lt;wsp:rsid wsp:val=&quot;00F1126B&quot;/&gt;&lt;wsp:rsid wsp:val=&quot;00F11280&quot;/&gt;&lt;wsp:rsid wsp:val=&quot;00F11782&quot;/&gt;&lt;wsp:rsid wsp:val=&quot;00F11AA8&quot;/&gt;&lt;wsp:rsid wsp:val=&quot;00F11F8D&quot;/&gt;&lt;wsp:rsid wsp:val=&quot;00F12000&quot;/&gt;&lt;wsp:rsid wsp:val=&quot;00F1226F&quot;/&gt;&lt;wsp:rsid wsp:val=&quot;00F1245B&quot;/&gt;&lt;wsp:rsid wsp:val=&quot;00F12540&quot;/&gt;&lt;wsp:rsid wsp:val=&quot;00F1290E&quot;/&gt;&lt;wsp:rsid wsp:val=&quot;00F12BF6&quot;/&gt;&lt;wsp:rsid wsp:val=&quot;00F12F98&quot;/&gt;&lt;wsp:rsid wsp:val=&quot;00F13075&quot;/&gt;&lt;wsp:rsid wsp:val=&quot;00F132A2&quot;/&gt;&lt;wsp:rsid wsp:val=&quot;00F134AF&quot;/&gt;&lt;wsp:rsid wsp:val=&quot;00F13608&quot;/&gt;&lt;wsp:rsid wsp:val=&quot;00F13713&quot;/&gt;&lt;wsp:rsid wsp:val=&quot;00F13AB4&quot;/&gt;&lt;wsp:rsid wsp:val=&quot;00F13C47&quot;/&gt;&lt;wsp:rsid wsp:val=&quot;00F13DB9&quot;/&gt;&lt;wsp:rsid wsp:val=&quot;00F1491B&quot;/&gt;&lt;wsp:rsid wsp:val=&quot;00F14BE6&quot;/&gt;&lt;wsp:rsid wsp:val=&quot;00F153D9&quot;/&gt;&lt;wsp:rsid wsp:val=&quot;00F1544B&quot;/&gt;&lt;wsp:rsid wsp:val=&quot;00F15C05&quot;/&gt;&lt;wsp:rsid wsp:val=&quot;00F15C95&quot;/&gt;&lt;wsp:rsid wsp:val=&quot;00F15D94&quot;/&gt;&lt;wsp:rsid wsp:val=&quot;00F162B0&quot;/&gt;&lt;wsp:rsid wsp:val=&quot;00F16509&quot;/&gt;&lt;wsp:rsid wsp:val=&quot;00F165E8&quot;/&gt;&lt;wsp:rsid wsp:val=&quot;00F16982&quot;/&gt;&lt;wsp:rsid wsp:val=&quot;00F16BBE&quot;/&gt;&lt;wsp:rsid wsp:val=&quot;00F16BE5&quot;/&gt;&lt;wsp:rsid wsp:val=&quot;00F16E3B&quot;/&gt;&lt;wsp:rsid wsp:val=&quot;00F16EBC&quot;/&gt;&lt;wsp:rsid wsp:val=&quot;00F171E9&quot;/&gt;&lt;wsp:rsid wsp:val=&quot;00F17511&quot;/&gt;&lt;wsp:rsid wsp:val=&quot;00F17CED&quot;/&gt;&lt;wsp:rsid wsp:val=&quot;00F20399&quot;/&gt;&lt;wsp:rsid wsp:val=&quot;00F20586&quot;/&gt;&lt;wsp:rsid wsp:val=&quot;00F2069C&quot;/&gt;&lt;wsp:rsid wsp:val=&quot;00F20991&quot;/&gt;&lt;wsp:rsid wsp:val=&quot;00F209DC&quot;/&gt;&lt;wsp:rsid wsp:val=&quot;00F20B5D&quot;/&gt;&lt;wsp:rsid wsp:val=&quot;00F2119F&quot;/&gt;&lt;wsp:rsid wsp:val=&quot;00F214C8&quot;/&gt;&lt;wsp:rsid wsp:val=&quot;00F217BB&quot;/&gt;&lt;wsp:rsid wsp:val=&quot;00F21BB3&quot;/&gt;&lt;wsp:rsid wsp:val=&quot;00F220BD&quot;/&gt;&lt;wsp:rsid wsp:val=&quot;00F22245&quot;/&gt;&lt;wsp:rsid wsp:val=&quot;00F22432&quot;/&gt;&lt;wsp:rsid wsp:val=&quot;00F22D42&quot;/&gt;&lt;wsp:rsid wsp:val=&quot;00F22D63&quot;/&gt;&lt;wsp:rsid wsp:val=&quot;00F23926&quot;/&gt;&lt;wsp:rsid wsp:val=&quot;00F23988&quot;/&gt;&lt;wsp:rsid wsp:val=&quot;00F239DB&quot;/&gt;&lt;wsp:rsid wsp:val=&quot;00F248B6&quot;/&gt;&lt;wsp:rsid wsp:val=&quot;00F25BA1&quot;/&gt;&lt;wsp:rsid wsp:val=&quot;00F25F4F&quot;/&gt;&lt;wsp:rsid wsp:val=&quot;00F25F66&quot;/&gt;&lt;wsp:rsid wsp:val=&quot;00F26186&quot;/&gt;&lt;wsp:rsid wsp:val=&quot;00F26946&quot;/&gt;&lt;wsp:rsid wsp:val=&quot;00F2697D&quot;/&gt;&lt;wsp:rsid wsp:val=&quot;00F26E0B&quot;/&gt;&lt;wsp:rsid wsp:val=&quot;00F26FC9&quot;/&gt;&lt;wsp:rsid wsp:val=&quot;00F270EB&quot;/&gt;&lt;wsp:rsid wsp:val=&quot;00F276A7&quot;/&gt;&lt;wsp:rsid wsp:val=&quot;00F27FFC&quot;/&gt;&lt;wsp:rsid wsp:val=&quot;00F306BB&quot;/&gt;&lt;wsp:rsid wsp:val=&quot;00F30864&quot;/&gt;&lt;wsp:rsid wsp:val=&quot;00F30DB2&quot;/&gt;&lt;wsp:rsid wsp:val=&quot;00F30E0A&quot;/&gt;&lt;wsp:rsid wsp:val=&quot;00F30E1F&quot;/&gt;&lt;wsp:rsid wsp:val=&quot;00F30E53&quot;/&gt;&lt;wsp:rsid wsp:val=&quot;00F30ECA&quot;/&gt;&lt;wsp:rsid wsp:val=&quot;00F30F2F&quot;/&gt;&lt;wsp:rsid wsp:val=&quot;00F3114F&quot;/&gt;&lt;wsp:rsid wsp:val=&quot;00F31374&quot;/&gt;&lt;wsp:rsid wsp:val=&quot;00F31531&quot;/&gt;&lt;wsp:rsid wsp:val=&quot;00F315FD&quot;/&gt;&lt;wsp:rsid wsp:val=&quot;00F32CC9&quot;/&gt;&lt;wsp:rsid wsp:val=&quot;00F32D06&quot;/&gt;&lt;wsp:rsid wsp:val=&quot;00F32F61&quot;/&gt;&lt;wsp:rsid wsp:val=&quot;00F3306C&quot;/&gt;&lt;wsp:rsid wsp:val=&quot;00F330A7&quot;/&gt;&lt;wsp:rsid wsp:val=&quot;00F332C8&quot;/&gt;&lt;wsp:rsid wsp:val=&quot;00F334E2&quot;/&gt;&lt;wsp:rsid wsp:val=&quot;00F33D91&quot;/&gt;&lt;wsp:rsid wsp:val=&quot;00F3452C&quot;/&gt;&lt;wsp:rsid wsp:val=&quot;00F34EFB&quot;/&gt;&lt;wsp:rsid wsp:val=&quot;00F34F7B&quot;/&gt;&lt;wsp:rsid wsp:val=&quot;00F3510B&quot;/&gt;&lt;wsp:rsid wsp:val=&quot;00F35798&quot;/&gt;&lt;wsp:rsid wsp:val=&quot;00F36084&quot;/&gt;&lt;wsp:rsid wsp:val=&quot;00F36644&quot;/&gt;&lt;wsp:rsid wsp:val=&quot;00F3720A&quot;/&gt;&lt;wsp:rsid wsp:val=&quot;00F3737B&quot;/&gt;&lt;wsp:rsid wsp:val=&quot;00F3746E&quot;/&gt;&lt;wsp:rsid wsp:val=&quot;00F378D0&quot;/&gt;&lt;wsp:rsid wsp:val=&quot;00F4014F&quot;/&gt;&lt;wsp:rsid wsp:val=&quot;00F40169&quot;/&gt;&lt;wsp:rsid wsp:val=&quot;00F40E08&quot;/&gt;&lt;wsp:rsid wsp:val=&quot;00F40E6C&quot;/&gt;&lt;wsp:rsid wsp:val=&quot;00F41130&quot;/&gt;&lt;wsp:rsid wsp:val=&quot;00F41547&quot;/&gt;&lt;wsp:rsid wsp:val=&quot;00F41755&quot;/&gt;&lt;wsp:rsid wsp:val=&quot;00F41C49&quot;/&gt;&lt;wsp:rsid wsp:val=&quot;00F42189&quot;/&gt;&lt;wsp:rsid wsp:val=&quot;00F4257D&quot;/&gt;&lt;wsp:rsid wsp:val=&quot;00F425C6&quot;/&gt;&lt;wsp:rsid wsp:val=&quot;00F42938&quot;/&gt;&lt;wsp:rsid wsp:val=&quot;00F429A0&quot;/&gt;&lt;wsp:rsid wsp:val=&quot;00F42A33&quot;/&gt;&lt;wsp:rsid wsp:val=&quot;00F42D66&quot;/&gt;&lt;wsp:rsid wsp:val=&quot;00F4309F&quot;/&gt;&lt;wsp:rsid wsp:val=&quot;00F43281&quot;/&gt;&lt;wsp:rsid wsp:val=&quot;00F4349A&quot;/&gt;&lt;wsp:rsid wsp:val=&quot;00F435B7&quot;/&gt;&lt;wsp:rsid wsp:val=&quot;00F43749&quot;/&gt;&lt;wsp:rsid wsp:val=&quot;00F43B29&quot;/&gt;&lt;wsp:rsid wsp:val=&quot;00F44116&quot;/&gt;&lt;wsp:rsid wsp:val=&quot;00F4420F&quot;/&gt;&lt;wsp:rsid wsp:val=&quot;00F44464&quot;/&gt;&lt;wsp:rsid wsp:val=&quot;00F45A2D&quot;/&gt;&lt;wsp:rsid wsp:val=&quot;00F45B5C&quot;/&gt;&lt;wsp:rsid wsp:val=&quot;00F45E2F&quot;/&gt;&lt;wsp:rsid wsp:val=&quot;00F4666B&quot;/&gt;&lt;wsp:rsid wsp:val=&quot;00F468B3&quot;/&gt;&lt;wsp:rsid wsp:val=&quot;00F46947&quot;/&gt;&lt;wsp:rsid wsp:val=&quot;00F46BBC&quot;/&gt;&lt;wsp:rsid wsp:val=&quot;00F47164&quot;/&gt;&lt;wsp:rsid wsp:val=&quot;00F47605&quot;/&gt;&lt;wsp:rsid wsp:val=&quot;00F4791C&quot;/&gt;&lt;wsp:rsid wsp:val=&quot;00F50B49&quot;/&gt;&lt;wsp:rsid wsp:val=&quot;00F50BFE&quot;/&gt;&lt;wsp:rsid wsp:val=&quot;00F50CB7&quot;/&gt;&lt;wsp:rsid wsp:val=&quot;00F50D52&quot;/&gt;&lt;wsp:rsid wsp:val=&quot;00F50E3D&quot;/&gt;&lt;wsp:rsid wsp:val=&quot;00F510DF&quot;/&gt;&lt;wsp:rsid wsp:val=&quot;00F5130C&quot;/&gt;&lt;wsp:rsid wsp:val=&quot;00F515BE&quot;/&gt;&lt;wsp:rsid wsp:val=&quot;00F51774&quot;/&gt;&lt;wsp:rsid wsp:val=&quot;00F51AE6&quot;/&gt;&lt;wsp:rsid wsp:val=&quot;00F51CB1&quot;/&gt;&lt;wsp:rsid wsp:val=&quot;00F51E79&quot;/&gt;&lt;wsp:rsid wsp:val=&quot;00F51FFA&quot;/&gt;&lt;wsp:rsid wsp:val=&quot;00F52361&quot;/&gt;&lt;wsp:rsid wsp:val=&quot;00F524A7&quot;/&gt;&lt;wsp:rsid wsp:val=&quot;00F533D1&quot;/&gt;&lt;wsp:rsid wsp:val=&quot;00F534D4&quot;/&gt;&lt;wsp:rsid wsp:val=&quot;00F53523&quot;/&gt;&lt;wsp:rsid wsp:val=&quot;00F535F4&quot;/&gt;&lt;wsp:rsid wsp:val=&quot;00F53D3A&quot;/&gt;&lt;wsp:rsid wsp:val=&quot;00F53DD9&quot;/&gt;&lt;wsp:rsid wsp:val=&quot;00F54446&quot;/&gt;&lt;wsp:rsid wsp:val=&quot;00F5463A&quot;/&gt;&lt;wsp:rsid wsp:val=&quot;00F549C9&quot;/&gt;&lt;wsp:rsid wsp:val=&quot;00F54D7E&quot;/&gt;&lt;wsp:rsid wsp:val=&quot;00F54EF2&quot;/&gt;&lt;wsp:rsid wsp:val=&quot;00F553A0&quot;/&gt;&lt;wsp:rsid wsp:val=&quot;00F553F3&quot;/&gt;&lt;wsp:rsid wsp:val=&quot;00F55717&quot;/&gt;&lt;wsp:rsid wsp:val=&quot;00F557A0&quot;/&gt;&lt;wsp:rsid wsp:val=&quot;00F55827&quot;/&gt;&lt;wsp:rsid wsp:val=&quot;00F559F1&quot;/&gt;&lt;wsp:rsid wsp:val=&quot;00F55C4B&quot;/&gt;&lt;wsp:rsid wsp:val=&quot;00F56030&quot;/&gt;&lt;wsp:rsid wsp:val=&quot;00F56198&quot;/&gt;&lt;wsp:rsid wsp:val=&quot;00F56346&quot;/&gt;&lt;wsp:rsid wsp:val=&quot;00F56A8D&quot;/&gt;&lt;wsp:rsid wsp:val=&quot;00F56D1D&quot;/&gt;&lt;wsp:rsid wsp:val=&quot;00F56D8D&quot;/&gt;&lt;wsp:rsid wsp:val=&quot;00F56F57&quot;/&gt;&lt;wsp:rsid wsp:val=&quot;00F57A19&quot;/&gt;&lt;wsp:rsid wsp:val=&quot;00F57AD3&quot;/&gt;&lt;wsp:rsid wsp:val=&quot;00F57DBF&quot;/&gt;&lt;wsp:rsid wsp:val=&quot;00F60254&quot;/&gt;&lt;wsp:rsid wsp:val=&quot;00F60780&quot;/&gt;&lt;wsp:rsid wsp:val=&quot;00F610E2&quot;/&gt;&lt;wsp:rsid wsp:val=&quot;00F611C7&quot;/&gt;&lt;wsp:rsid wsp:val=&quot;00F61226&quot;/&gt;&lt;wsp:rsid wsp:val=&quot;00F614D7&quot;/&gt;&lt;wsp:rsid wsp:val=&quot;00F61649&quot;/&gt;&lt;wsp:rsid wsp:val=&quot;00F6170F&quot;/&gt;&lt;wsp:rsid wsp:val=&quot;00F61B5A&quot;/&gt;&lt;wsp:rsid wsp:val=&quot;00F61EF1&quot;/&gt;&lt;wsp:rsid wsp:val=&quot;00F6263C&quot;/&gt;&lt;wsp:rsid wsp:val=&quot;00F62D8E&quot;/&gt;&lt;wsp:rsid wsp:val=&quot;00F6324B&quot;/&gt;&lt;wsp:rsid wsp:val=&quot;00F632CF&quot;/&gt;&lt;wsp:rsid wsp:val=&quot;00F633DF&quot;/&gt;&lt;wsp:rsid wsp:val=&quot;00F635EB&quot;/&gt;&lt;wsp:rsid wsp:val=&quot;00F636D8&quot;/&gt;&lt;wsp:rsid wsp:val=&quot;00F63B09&quot;/&gt;&lt;wsp:rsid wsp:val=&quot;00F63CD5&quot;/&gt;&lt;wsp:rsid wsp:val=&quot;00F63D5A&quot;/&gt;&lt;wsp:rsid wsp:val=&quot;00F63D6F&quot;/&gt;&lt;wsp:rsid wsp:val=&quot;00F63EE9&quot;/&gt;&lt;wsp:rsid wsp:val=&quot;00F64154&quot;/&gt;&lt;wsp:rsid wsp:val=&quot;00F64265&quot;/&gt;&lt;wsp:rsid wsp:val=&quot;00F64337&quot;/&gt;&lt;wsp:rsid wsp:val=&quot;00F64483&quot;/&gt;&lt;wsp:rsid wsp:val=&quot;00F6553F&quot;/&gt;&lt;wsp:rsid wsp:val=&quot;00F6560A&quot;/&gt;&lt;wsp:rsid wsp:val=&quot;00F65768&quot;/&gt;&lt;wsp:rsid wsp:val=&quot;00F65908&quot;/&gt;&lt;wsp:rsid wsp:val=&quot;00F65A7E&quot;/&gt;&lt;wsp:rsid wsp:val=&quot;00F66318&quot;/&gt;&lt;wsp:rsid wsp:val=&quot;00F66610&quot;/&gt;&lt;wsp:rsid wsp:val=&quot;00F66707&quot;/&gt;&lt;wsp:rsid wsp:val=&quot;00F66708&quot;/&gt;&lt;wsp:rsid wsp:val=&quot;00F66F00&quot;/&gt;&lt;wsp:rsid wsp:val=&quot;00F66FAB&quot;/&gt;&lt;wsp:rsid wsp:val=&quot;00F67415&quot;/&gt;&lt;wsp:rsid wsp:val=&quot;00F6753F&quot;/&gt;&lt;wsp:rsid wsp:val=&quot;00F67AC2&quot;/&gt;&lt;wsp:rsid wsp:val=&quot;00F67CB4&quot;/&gt;&lt;wsp:rsid wsp:val=&quot;00F67CEB&quot;/&gt;&lt;wsp:rsid wsp:val=&quot;00F67D22&quot;/&gt;&lt;wsp:rsid wsp:val=&quot;00F67FFB&quot;/&gt;&lt;wsp:rsid wsp:val=&quot;00F70430&quot;/&gt;&lt;wsp:rsid wsp:val=&quot;00F706B8&quot;/&gt;&lt;wsp:rsid wsp:val=&quot;00F7081B&quot;/&gt;&lt;wsp:rsid wsp:val=&quot;00F70F04&quot;/&gt;&lt;wsp:rsid wsp:val=&quot;00F710CE&quot;/&gt;&lt;wsp:rsid wsp:val=&quot;00F71249&quot;/&gt;&lt;wsp:rsid wsp:val=&quot;00F715F9&quot;/&gt;&lt;wsp:rsid wsp:val=&quot;00F71C31&quot;/&gt;&lt;wsp:rsid wsp:val=&quot;00F71D0F&quot;/&gt;&lt;wsp:rsid wsp:val=&quot;00F7207F&quot;/&gt;&lt;wsp:rsid wsp:val=&quot;00F72142&quot;/&gt;&lt;wsp:rsid wsp:val=&quot;00F72156&quot;/&gt;&lt;wsp:rsid wsp:val=&quot;00F72FB8&quot;/&gt;&lt;wsp:rsid wsp:val=&quot;00F73302&quot;/&gt;&lt;wsp:rsid wsp:val=&quot;00F7366E&quot;/&gt;&lt;wsp:rsid wsp:val=&quot;00F738C0&quot;/&gt;&lt;wsp:rsid wsp:val=&quot;00F74BDB&quot;/&gt;&lt;wsp:rsid wsp:val=&quot;00F74DA1&quot;/&gt;&lt;wsp:rsid wsp:val=&quot;00F74FBC&quot;/&gt;&lt;wsp:rsid wsp:val=&quot;00F75343&quot;/&gt;&lt;wsp:rsid wsp:val=&quot;00F75733&quot;/&gt;&lt;wsp:rsid wsp:val=&quot;00F75983&quot;/&gt;&lt;wsp:rsid wsp:val=&quot;00F75995&quot;/&gt;&lt;wsp:rsid wsp:val=&quot;00F75B2C&quot;/&gt;&lt;wsp:rsid wsp:val=&quot;00F75E73&quot;/&gt;&lt;wsp:rsid wsp:val=&quot;00F75F1C&quot;/&gt;&lt;wsp:rsid wsp:val=&quot;00F76507&quot;/&gt;&lt;wsp:rsid wsp:val=&quot;00F76DE0&quot;/&gt;&lt;wsp:rsid wsp:val=&quot;00F772CB&quot;/&gt;&lt;wsp:rsid wsp:val=&quot;00F77526&quot;/&gt;&lt;wsp:rsid wsp:val=&quot;00F77867&quot;/&gt;&lt;wsp:rsid wsp:val=&quot;00F77A01&quot;/&gt;&lt;wsp:rsid wsp:val=&quot;00F77D4D&quot;/&gt;&lt;wsp:rsid wsp:val=&quot;00F80059&quot;/&gt;&lt;wsp:rsid wsp:val=&quot;00F800B6&quot;/&gt;&lt;wsp:rsid wsp:val=&quot;00F8013D&quot;/&gt;&lt;wsp:rsid wsp:val=&quot;00F8064C&quot;/&gt;&lt;wsp:rsid wsp:val=&quot;00F8097E&quot;/&gt;&lt;wsp:rsid wsp:val=&quot;00F80FD7&quot;/&gt;&lt;wsp:rsid wsp:val=&quot;00F815EB&quot;/&gt;&lt;wsp:rsid wsp:val=&quot;00F81FFE&quot;/&gt;&lt;wsp:rsid wsp:val=&quot;00F8227B&quot;/&gt;&lt;wsp:rsid wsp:val=&quot;00F82E2E&quot;/&gt;&lt;wsp:rsid wsp:val=&quot;00F830B3&quot;/&gt;&lt;wsp:rsid wsp:val=&quot;00F831CE&quot;/&gt;&lt;wsp:rsid wsp:val=&quot;00F83617&quot;/&gt;&lt;wsp:rsid wsp:val=&quot;00F83C98&quot;/&gt;&lt;wsp:rsid wsp:val=&quot;00F84063&quot;/&gt;&lt;wsp:rsid wsp:val=&quot;00F84147&quot;/&gt;&lt;wsp:rsid wsp:val=&quot;00F843A5&quot;/&gt;&lt;wsp:rsid wsp:val=&quot;00F84777&quot;/&gt;&lt;wsp:rsid wsp:val=&quot;00F84B77&quot;/&gt;&lt;wsp:rsid wsp:val=&quot;00F8559F&quot;/&gt;&lt;wsp:rsid wsp:val=&quot;00F85738&quot;/&gt;&lt;wsp:rsid wsp:val=&quot;00F859C5&quot;/&gt;&lt;wsp:rsid wsp:val=&quot;00F85D84&quot;/&gt;&lt;wsp:rsid wsp:val=&quot;00F85E7A&quot;/&gt;&lt;wsp:rsid wsp:val=&quot;00F8609A&quot;/&gt;&lt;wsp:rsid wsp:val=&quot;00F86338&quot;/&gt;&lt;wsp:rsid wsp:val=&quot;00F8693C&quot;/&gt;&lt;wsp:rsid wsp:val=&quot;00F86FFC&quot;/&gt;&lt;wsp:rsid wsp:val=&quot;00F871F6&quot;/&gt;&lt;wsp:rsid wsp:val=&quot;00F87838&quot;/&gt;&lt;wsp:rsid wsp:val=&quot;00F87867&quot;/&gt;&lt;wsp:rsid wsp:val=&quot;00F8786C&quot;/&gt;&lt;wsp:rsid wsp:val=&quot;00F900C4&quot;/&gt;&lt;wsp:rsid wsp:val=&quot;00F90109&quot;/&gt;&lt;wsp:rsid wsp:val=&quot;00F90192&quot;/&gt;&lt;wsp:rsid wsp:val=&quot;00F90A4C&quot;/&gt;&lt;wsp:rsid wsp:val=&quot;00F90A62&quot;/&gt;&lt;wsp:rsid wsp:val=&quot;00F90DE3&quot;/&gt;&lt;wsp:rsid wsp:val=&quot;00F91036&quot;/&gt;&lt;wsp:rsid wsp:val=&quot;00F915B0&quot;/&gt;&lt;wsp:rsid wsp:val=&quot;00F91F1B&quot;/&gt;&lt;wsp:rsid wsp:val=&quot;00F92253&quot;/&gt;&lt;wsp:rsid wsp:val=&quot;00F92447&quot;/&gt;&lt;wsp:rsid wsp:val=&quot;00F92CC4&quot;/&gt;&lt;wsp:rsid wsp:val=&quot;00F92DAA&quot;/&gt;&lt;wsp:rsid wsp:val=&quot;00F92EE6&quot;/&gt;&lt;wsp:rsid wsp:val=&quot;00F92FDD&quot;/&gt;&lt;wsp:rsid wsp:val=&quot;00F930C4&quot;/&gt;&lt;wsp:rsid wsp:val=&quot;00F932FB&quot;/&gt;&lt;wsp:rsid wsp:val=&quot;00F934B8&quot;/&gt;&lt;wsp:rsid wsp:val=&quot;00F9371D&quot;/&gt;&lt;wsp:rsid wsp:val=&quot;00F938A4&quot;/&gt;&lt;wsp:rsid wsp:val=&quot;00F93A2B&quot;/&gt;&lt;wsp:rsid wsp:val=&quot;00F93A8D&quot;/&gt;&lt;wsp:rsid wsp:val=&quot;00F93B83&quot;/&gt;&lt;wsp:rsid wsp:val=&quot;00F93D94&quot;/&gt;&lt;wsp:rsid wsp:val=&quot;00F93E13&quot;/&gt;&lt;wsp:rsid wsp:val=&quot;00F94910&quot;/&gt;&lt;wsp:rsid wsp:val=&quot;00F94927&quot;/&gt;&lt;wsp:rsid wsp:val=&quot;00F94B0C&quot;/&gt;&lt;wsp:rsid wsp:val=&quot;00F94C0B&quot;/&gt;&lt;wsp:rsid wsp:val=&quot;00F95AEB&quot;/&gt;&lt;wsp:rsid wsp:val=&quot;00F95EAF&quot;/&gt;&lt;wsp:rsid wsp:val=&quot;00F95EE3&quot;/&gt;&lt;wsp:rsid wsp:val=&quot;00F96327&quot;/&gt;&lt;wsp:rsid wsp:val=&quot;00F96387&quot;/&gt;&lt;wsp:rsid wsp:val=&quot;00F96ABC&quot;/&gt;&lt;wsp:rsid wsp:val=&quot;00F96C7A&quot;/&gt;&lt;wsp:rsid wsp:val=&quot;00F97541&quot;/&gt;&lt;wsp:rsid wsp:val=&quot;00F9773A&quot;/&gt;&lt;wsp:rsid wsp:val=&quot;00F97F36&quot;/&gt;&lt;wsp:rsid wsp:val=&quot;00FA00A0&quot;/&gt;&lt;wsp:rsid wsp:val=&quot;00FA01C0&quot;/&gt;&lt;wsp:rsid wsp:val=&quot;00FA033C&quot;/&gt;&lt;wsp:rsid wsp:val=&quot;00FA04BE&quot;/&gt;&lt;wsp:rsid wsp:val=&quot;00FA05F4&quot;/&gt;&lt;wsp:rsid wsp:val=&quot;00FA0C1B&quot;/&gt;&lt;wsp:rsid wsp:val=&quot;00FA1B8C&quot;/&gt;&lt;wsp:rsid wsp:val=&quot;00FA1BC3&quot;/&gt;&lt;wsp:rsid wsp:val=&quot;00FA1DE7&quot;/&gt;&lt;wsp:rsid wsp:val=&quot;00FA2244&quot;/&gt;&lt;wsp:rsid wsp:val=&quot;00FA2540&quot;/&gt;&lt;wsp:rsid wsp:val=&quot;00FA26BE&quot;/&gt;&lt;wsp:rsid wsp:val=&quot;00FA2818&quot;/&gt;&lt;wsp:rsid wsp:val=&quot;00FA2A08&quot;/&gt;&lt;wsp:rsid wsp:val=&quot;00FA2A8E&quot;/&gt;&lt;wsp:rsid wsp:val=&quot;00FA30F6&quot;/&gt;&lt;wsp:rsid wsp:val=&quot;00FA32BD&quot;/&gt;&lt;wsp:rsid wsp:val=&quot;00FA34AC&quot;/&gt;&lt;wsp:rsid wsp:val=&quot;00FA3BCD&quot;/&gt;&lt;wsp:rsid wsp:val=&quot;00FA3F2B&quot;/&gt;&lt;wsp:rsid wsp:val=&quot;00FA41C1&quot;/&gt;&lt;wsp:rsid wsp:val=&quot;00FA4765&quot;/&gt;&lt;wsp:rsid wsp:val=&quot;00FA49C8&quot;/&gt;&lt;wsp:rsid wsp:val=&quot;00FA4FBA&quot;/&gt;&lt;wsp:rsid wsp:val=&quot;00FA504F&quot;/&gt;&lt;wsp:rsid wsp:val=&quot;00FA5CE8&quot;/&gt;&lt;wsp:rsid wsp:val=&quot;00FA60DF&quot;/&gt;&lt;wsp:rsid wsp:val=&quot;00FA67C6&quot;/&gt;&lt;wsp:rsid wsp:val=&quot;00FA6C93&quot;/&gt;&lt;wsp:rsid wsp:val=&quot;00FA764F&quot;/&gt;&lt;wsp:rsid wsp:val=&quot;00FA7B49&quot;/&gt;&lt;wsp:rsid wsp:val=&quot;00FA7FD0&quot;/&gt;&lt;wsp:rsid wsp:val=&quot;00FB00AE&quot;/&gt;&lt;wsp:rsid wsp:val=&quot;00FB045A&quot;/&gt;&lt;wsp:rsid wsp:val=&quot;00FB05A8&quot;/&gt;&lt;wsp:rsid wsp:val=&quot;00FB06EE&quot;/&gt;&lt;wsp:rsid wsp:val=&quot;00FB0D00&quot;/&gt;&lt;wsp:rsid wsp:val=&quot;00FB0F95&quot;/&gt;&lt;wsp:rsid wsp:val=&quot;00FB12DD&quot;/&gt;&lt;wsp:rsid wsp:val=&quot;00FB1C96&quot;/&gt;&lt;wsp:rsid wsp:val=&quot;00FB2222&quot;/&gt;&lt;wsp:rsid wsp:val=&quot;00FB230F&quot;/&gt;&lt;wsp:rsid wsp:val=&quot;00FB26CE&quot;/&gt;&lt;wsp:rsid wsp:val=&quot;00FB2C27&quot;/&gt;&lt;wsp:rsid wsp:val=&quot;00FB3464&quot;/&gt;&lt;wsp:rsid wsp:val=&quot;00FB36A0&quot;/&gt;&lt;wsp:rsid wsp:val=&quot;00FB378F&quot;/&gt;&lt;wsp:rsid wsp:val=&quot;00FB3CA8&quot;/&gt;&lt;wsp:rsid wsp:val=&quot;00FB3D65&quot;/&gt;&lt;wsp:rsid wsp:val=&quot;00FB4896&quot;/&gt;&lt;wsp:rsid wsp:val=&quot;00FB49C9&quot;/&gt;&lt;wsp:rsid wsp:val=&quot;00FB5479&quot;/&gt;&lt;wsp:rsid wsp:val=&quot;00FB5BE0&quot;/&gt;&lt;wsp:rsid wsp:val=&quot;00FB66DF&quot;/&gt;&lt;wsp:rsid wsp:val=&quot;00FB67FB&quot;/&gt;&lt;wsp:rsid wsp:val=&quot;00FB68B4&quot;/&gt;&lt;wsp:rsid wsp:val=&quot;00FB6D37&quot;/&gt;&lt;wsp:rsid wsp:val=&quot;00FB6FE3&quot;/&gt;&lt;wsp:rsid wsp:val=&quot;00FB7158&quot;/&gt;&lt;wsp:rsid wsp:val=&quot;00FB726C&quot;/&gt;&lt;wsp:rsid wsp:val=&quot;00FB75F6&quot;/&gt;&lt;wsp:rsid wsp:val=&quot;00FC0929&quot;/&gt;&lt;wsp:rsid wsp:val=&quot;00FC0B69&quot;/&gt;&lt;wsp:rsid wsp:val=&quot;00FC0DD7&quot;/&gt;&lt;wsp:rsid wsp:val=&quot;00FC15A1&quot;/&gt;&lt;wsp:rsid wsp:val=&quot;00FC15B6&quot;/&gt;&lt;wsp:rsid wsp:val=&quot;00FC1E7C&quot;/&gt;&lt;wsp:rsid wsp:val=&quot;00FC211A&quot;/&gt;&lt;wsp:rsid wsp:val=&quot;00FC24EE&quot;/&gt;&lt;wsp:rsid wsp:val=&quot;00FC2522&quot;/&gt;&lt;wsp:rsid wsp:val=&quot;00FC2C55&quot;/&gt;&lt;wsp:rsid wsp:val=&quot;00FC312E&quot;/&gt;&lt;wsp:rsid wsp:val=&quot;00FC346A&quot;/&gt;&lt;wsp:rsid wsp:val=&quot;00FC3BE2&quot;/&gt;&lt;wsp:rsid wsp:val=&quot;00FC3F56&quot;/&gt;&lt;wsp:rsid wsp:val=&quot;00FC42D9&quot;/&gt;&lt;wsp:rsid wsp:val=&quot;00FC49F9&quot;/&gt;&lt;wsp:rsid wsp:val=&quot;00FC4F0F&quot;/&gt;&lt;wsp:rsid wsp:val=&quot;00FC4F67&quot;/&gt;&lt;wsp:rsid wsp:val=&quot;00FC509E&quot;/&gt;&lt;wsp:rsid wsp:val=&quot;00FC525E&quot;/&gt;&lt;wsp:rsid wsp:val=&quot;00FC55B4&quot;/&gt;&lt;wsp:rsid wsp:val=&quot;00FC5ADA&quot;/&gt;&lt;wsp:rsid wsp:val=&quot;00FC60AF&quot;/&gt;&lt;wsp:rsid wsp:val=&quot;00FC6224&quot;/&gt;&lt;wsp:rsid wsp:val=&quot;00FC6496&quot;/&gt;&lt;wsp:rsid wsp:val=&quot;00FC6906&quot;/&gt;&lt;wsp:rsid wsp:val=&quot;00FC69CA&quot;/&gt;&lt;wsp:rsid wsp:val=&quot;00FC6B75&quot;/&gt;&lt;wsp:rsid wsp:val=&quot;00FC7632&quot;/&gt;&lt;wsp:rsid wsp:val=&quot;00FC7807&quot;/&gt;&lt;wsp:rsid wsp:val=&quot;00FC7B72&quot;/&gt;&lt;wsp:rsid wsp:val=&quot;00FC7D2A&quot;/&gt;&lt;wsp:rsid wsp:val=&quot;00FC7F6A&quot;/&gt;&lt;wsp:rsid wsp:val=&quot;00FD01AC&quot;/&gt;&lt;wsp:rsid wsp:val=&quot;00FD01BA&quot;/&gt;&lt;wsp:rsid wsp:val=&quot;00FD06A4&quot;/&gt;&lt;wsp:rsid wsp:val=&quot;00FD0897&quot;/&gt;&lt;wsp:rsid wsp:val=&quot;00FD0912&quot;/&gt;&lt;wsp:rsid wsp:val=&quot;00FD10F6&quot;/&gt;&lt;wsp:rsid wsp:val=&quot;00FD12B2&quot;/&gt;&lt;wsp:rsid wsp:val=&quot;00FD12B3&quot;/&gt;&lt;wsp:rsid wsp:val=&quot;00FD1AE0&quot;/&gt;&lt;wsp:rsid wsp:val=&quot;00FD2D3C&quot;/&gt;&lt;wsp:rsid wsp:val=&quot;00FD375E&quot;/&gt;&lt;wsp:rsid wsp:val=&quot;00FD399B&quot;/&gt;&lt;wsp:rsid wsp:val=&quot;00FD3F7E&quot;/&gt;&lt;wsp:rsid wsp:val=&quot;00FD41C0&quot;/&gt;&lt;wsp:rsid wsp:val=&quot;00FD4CF6&quot;/&gt;&lt;wsp:rsid wsp:val=&quot;00FD5455&quot;/&gt;&lt;wsp:rsid wsp:val=&quot;00FD5531&quot;/&gt;&lt;wsp:rsid wsp:val=&quot;00FD584E&quot;/&gt;&lt;wsp:rsid wsp:val=&quot;00FD5AE7&quot;/&gt;&lt;wsp:rsid wsp:val=&quot;00FD5F9D&quot;/&gt;&lt;wsp:rsid wsp:val=&quot;00FD618D&quot;/&gt;&lt;wsp:rsid wsp:val=&quot;00FD66C9&quot;/&gt;&lt;wsp:rsid wsp:val=&quot;00FD6D27&quot;/&gt;&lt;wsp:rsid wsp:val=&quot;00FD6F86&quot;/&gt;&lt;wsp:rsid wsp:val=&quot;00FD75D7&quot;/&gt;&lt;wsp:rsid wsp:val=&quot;00FD762F&quot;/&gt;&lt;wsp:rsid wsp:val=&quot;00FD76A1&quot;/&gt;&lt;wsp:rsid wsp:val=&quot;00FD7D93&quot;/&gt;&lt;wsp:rsid wsp:val=&quot;00FD7DE1&quot;/&gt;&lt;wsp:rsid wsp:val=&quot;00FE029E&quot;/&gt;&lt;wsp:rsid wsp:val=&quot;00FE036B&quot;/&gt;&lt;wsp:rsid wsp:val=&quot;00FE0473&quot;/&gt;&lt;wsp:rsid wsp:val=&quot;00FE051B&quot;/&gt;&lt;wsp:rsid wsp:val=&quot;00FE05F2&quot;/&gt;&lt;wsp:rsid wsp:val=&quot;00FE0609&quot;/&gt;&lt;wsp:rsid wsp:val=&quot;00FE08A0&quot;/&gt;&lt;wsp:rsid wsp:val=&quot;00FE0BA6&quot;/&gt;&lt;wsp:rsid wsp:val=&quot;00FE0C80&quot;/&gt;&lt;wsp:rsid wsp:val=&quot;00FE0EEB&quot;/&gt;&lt;wsp:rsid wsp:val=&quot;00FE1247&quot;/&gt;&lt;wsp:rsid wsp:val=&quot;00FE13FE&quot;/&gt;&lt;wsp:rsid wsp:val=&quot;00FE1543&quot;/&gt;&lt;wsp:rsid wsp:val=&quot;00FE174B&quot;/&gt;&lt;wsp:rsid wsp:val=&quot;00FE1BF0&quot;/&gt;&lt;wsp:rsid wsp:val=&quot;00FE1C12&quot;/&gt;&lt;wsp:rsid wsp:val=&quot;00FE23D2&quot;/&gt;&lt;wsp:rsid wsp:val=&quot;00FE2C75&quot;/&gt;&lt;wsp:rsid wsp:val=&quot;00FE2EA9&quot;/&gt;&lt;wsp:rsid wsp:val=&quot;00FE2F88&quot;/&gt;&lt;wsp:rsid wsp:val=&quot;00FE3205&quot;/&gt;&lt;wsp:rsid wsp:val=&quot;00FE3508&quot;/&gt;&lt;wsp:rsid wsp:val=&quot;00FE4194&quot;/&gt;&lt;wsp:rsid wsp:val=&quot;00FE4C69&quot;/&gt;&lt;wsp:rsid wsp:val=&quot;00FE50F5&quot;/&gt;&lt;wsp:rsid wsp:val=&quot;00FE5A67&quot;/&gt;&lt;wsp:rsid wsp:val=&quot;00FE5B4E&quot;/&gt;&lt;wsp:rsid wsp:val=&quot;00FE5BB6&quot;/&gt;&lt;wsp:rsid wsp:val=&quot;00FE5FE2&quot;/&gt;&lt;wsp:rsid wsp:val=&quot;00FE68AF&quot;/&gt;&lt;wsp:rsid wsp:val=&quot;00FE69FF&quot;/&gt;&lt;wsp:rsid wsp:val=&quot;00FE6B81&quot;/&gt;&lt;wsp:rsid wsp:val=&quot;00FE6F08&quot;/&gt;&lt;wsp:rsid wsp:val=&quot;00FE73DA&quot;/&gt;&lt;wsp:rsid wsp:val=&quot;00FE7461&quot;/&gt;&lt;wsp:rsid wsp:val=&quot;00FE7AE3&quot;/&gt;&lt;wsp:rsid wsp:val=&quot;00FE7B60&quot;/&gt;&lt;wsp:rsid wsp:val=&quot;00FE7DA7&quot;/&gt;&lt;wsp:rsid wsp:val=&quot;00FF008D&quot;/&gt;&lt;wsp:rsid wsp:val=&quot;00FF035A&quot;/&gt;&lt;wsp:rsid wsp:val=&quot;00FF0673&quot;/&gt;&lt;wsp:rsid wsp:val=&quot;00FF0D10&quot;/&gt;&lt;wsp:rsid wsp:val=&quot;00FF0F50&quot;/&gt;&lt;wsp:rsid wsp:val=&quot;00FF1047&quot;/&gt;&lt;wsp:rsid wsp:val=&quot;00FF14A9&quot;/&gt;&lt;wsp:rsid wsp:val=&quot;00FF1544&quot;/&gt;&lt;wsp:rsid wsp:val=&quot;00FF17EF&quot;/&gt;&lt;wsp:rsid wsp:val=&quot;00FF1913&quot;/&gt;&lt;wsp:rsid wsp:val=&quot;00FF1B3F&quot;/&gt;&lt;wsp:rsid wsp:val=&quot;00FF2053&quot;/&gt;&lt;wsp:rsid wsp:val=&quot;00FF21AF&quot;/&gt;&lt;wsp:rsid wsp:val=&quot;00FF23D4&quot;/&gt;&lt;wsp:rsid wsp:val=&quot;00FF2490&quot;/&gt;&lt;wsp:rsid wsp:val=&quot;00FF24C2&quot;/&gt;&lt;wsp:rsid wsp:val=&quot;00FF2651&quot;/&gt;&lt;wsp:rsid wsp:val=&quot;00FF2697&quot;/&gt;&lt;wsp:rsid wsp:val=&quot;00FF26E2&quot;/&gt;&lt;wsp:rsid wsp:val=&quot;00FF2FA3&quot;/&gt;&lt;wsp:rsid wsp:val=&quot;00FF3527&quot;/&gt;&lt;wsp:rsid wsp:val=&quot;00FF3F2D&quot;/&gt;&lt;wsp:rsid wsp:val=&quot;00FF3FDC&quot;/&gt;&lt;wsp:rsid wsp:val=&quot;00FF418C&quot;/&gt;&lt;wsp:rsid wsp:val=&quot;00FF458A&quot;/&gt;&lt;wsp:rsid wsp:val=&quot;00FF4B3E&quot;/&gt;&lt;wsp:rsid wsp:val=&quot;00FF4BC9&quot;/&gt;&lt;wsp:rsid wsp:val=&quot;00FF4BCD&quot;/&gt;&lt;wsp:rsid wsp:val=&quot;00FF4CE9&quot;/&gt;&lt;wsp:rsid wsp:val=&quot;00FF4F95&quot;/&gt;&lt;wsp:rsid wsp:val=&quot;00FF5096&quot;/&gt;&lt;wsp:rsid wsp:val=&quot;00FF529E&quot;/&gt;&lt;wsp:rsid wsp:val=&quot;00FF549F&quot;/&gt;&lt;wsp:rsid wsp:val=&quot;00FF54B7&quot;/&gt;&lt;wsp:rsid wsp:val=&quot;00FF5666&quot;/&gt;&lt;wsp:rsid wsp:val=&quot;00FF56A5&quot;/&gt;&lt;wsp:rsid wsp:val=&quot;00FF5BF6&quot;/&gt;&lt;wsp:rsid wsp:val=&quot;00FF5C6D&quot;/&gt;&lt;wsp:rsid wsp:val=&quot;00FF5C6E&quot;/&gt;&lt;wsp:rsid wsp:val=&quot;00FF633F&quot;/&gt;&lt;wsp:rsid wsp:val=&quot;00FF66CC&quot;/&gt;&lt;wsp:rsid wsp:val=&quot;00FF67D3&quot;/&gt;&lt;wsp:rsid wsp:val=&quot;00FF6B0E&quot;/&gt;&lt;wsp:rsid wsp:val=&quot;00FF6B43&quot;/&gt;&lt;wsp:rsid wsp:val=&quot;00FF6F3F&quot;/&gt;&lt;wsp:rsid wsp:val=&quot;00FF7328&quot;/&gt;&lt;wsp:rsid wsp:val=&quot;00FF7600&quot;/&gt;&lt;wsp:rsid wsp:val=&quot;00FF77A7&quot;/&gt;&lt;wsp:rsid wsp:val=&quot;00FF7B0F&quot;/&gt;&lt;wsp:rsid wsp:val=&quot;00FF7D42&quot;/&gt;&lt;wsp:rsid wsp:val=&quot;00FF7F25&quot;/&gt;&lt;/wsp:rsids&gt;&lt;/w:docPr&gt;&lt;w:body&gt;&lt;w:p wsp:rsidR=&quot;00000000&quot; wsp:rsidRDefault=&quot;00592032&quot;&gt;&lt;m:oMathPara&gt;&lt;m:oMath&gt;&lt;m:r&gt;&lt;w:rPr&gt;&lt;w:rFonts w:ascii=&quot;Cambria Math&quot; w:fareast=&quot;Times New Roman&quot; w:h-ansi=&quot;Cambria Math&quot;/&gt;&lt;wx:font wx:val=&quot;Cambria Math&quot;/&gt;&lt;w:i/&gt;&lt;w:sz w:val=&quot;28&quot;/&gt;&lt;w:sz-cs w:val=&quot;28&quot;/&gt;&lt;/w:rPr&gt;&lt;m:t&gt;Р“=&lt;/m:t&gt;&lt;/m:r&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Р“&lt;/m:t&gt;&lt;/m:r&gt;&lt;/m:e&gt;&lt;m:sup&gt;&lt;m:r&gt;&lt;w:rPr&gt;&lt;w:rFonts w:ascii=&quot;Cambria Math&quot; w:fareast=&quot;Times New Roman&quot; w:h-ansi=&quot;Cambria Math&quot;/&gt;&lt;wx:font wx:val=&quot;Cambria Math&quot;/&gt;&lt;w:i/&gt;&lt;w:sz w:val=&quot;28&quot;/&gt;&lt;w:sz-cs w:val=&quot;28&quot;/&gt;&lt;w:lang w:val=&quot;EN-US&quot;/&gt;&lt;/w:rPr&gt;&lt;m:t&gt;'&lt;/m:t&gt;&lt;/m:r&gt;&lt;/m:sup&gt;&lt;/m:sSup&gt;&lt;m:r&gt;&lt;w:rPr&gt;&lt;w:rFonts w:ascii=&quot;Cambria Math&quot; w:fareast=&quot;Times New Roman&quot; w:h-ansi=&quot;Cambria Math&quot;/&gt;&lt;wx:font wx:val=&quot;Cambria Math&quot;/&gt;&lt;w:i/&gt;&lt;w:sz w:val=&quot;28&quot;/&gt;&lt;w:sz-cs w:val=&quot;28&quot;/&gt;&lt;/w:rPr&gt;&lt;m:t&gt;+0.5Р“&lt;/m:t&gt;&lt;/m:r&gt;&lt;m:r&gt;&lt;w:rPr&gt;&lt;w:rFonts w:ascii=&quot;Cambria Math&quot; w:fareast=&quot;Times New Roman&quot; w:h-ansi=&quot;Cambria Math&quot;/&gt;&lt;wx:font wx:val=&quot;Cambria Math&quot;/&gt;&lt;w:i/&gt;&lt;w:sz w:val=&quot;28&quot;/&gt;&lt;w:sz-cs w:val=&quot;28&quot;/&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7" o:title="" chromakey="white"/>
          </v:shape>
        </w:pict>
      </w:r>
    </w:p>
    <w:p w:rsidR="002D1E45" w:rsidRPr="004D071E" w:rsidRDefault="002D1E45" w:rsidP="004D071E">
      <w:pPr>
        <w:spacing w:after="0" w:line="240" w:lineRule="auto"/>
        <w:jc w:val="center"/>
        <w:rPr>
          <w:rFonts w:ascii="Times New Roman" w:hAnsi="Times New Roman"/>
          <w:sz w:val="28"/>
          <w:szCs w:val="28"/>
        </w:rPr>
      </w:pPr>
    </w:p>
    <w:p w:rsidR="002D1E45" w:rsidRPr="004D071E" w:rsidRDefault="002D1E45" w:rsidP="004D071E">
      <w:pPr>
        <w:keepNext/>
        <w:widowControl w:val="0"/>
        <w:spacing w:after="0" w:line="240" w:lineRule="auto"/>
        <w:ind w:left="686"/>
        <w:jc w:val="both"/>
        <w:rPr>
          <w:rFonts w:ascii="Times New Roman" w:hAnsi="Times New Roman"/>
          <w:sz w:val="28"/>
          <w:szCs w:val="28"/>
        </w:rPr>
      </w:pPr>
      <w:r w:rsidRPr="004D071E">
        <w:rPr>
          <w:rFonts w:ascii="Times New Roman" w:hAnsi="Times New Roman"/>
          <w:sz w:val="28"/>
          <w:szCs w:val="28"/>
        </w:rPr>
        <w:t>где: Г' – наибольший, Г'' – наименьший из размеров Г1 и Г2. Полученное значение Г сравнивается с предельно возможным значением глубины переноса воздушных масс Г</w:t>
      </w:r>
      <w:r w:rsidRPr="004D071E">
        <w:rPr>
          <w:rFonts w:ascii="Times New Roman" w:hAnsi="Times New Roman"/>
          <w:sz w:val="28"/>
          <w:szCs w:val="28"/>
          <w:vertAlign w:val="subscript"/>
        </w:rPr>
        <w:t>п</w:t>
      </w:r>
      <w:r w:rsidRPr="004D071E">
        <w:rPr>
          <w:rFonts w:ascii="Times New Roman" w:hAnsi="Times New Roman"/>
          <w:sz w:val="28"/>
          <w:szCs w:val="28"/>
        </w:rPr>
        <w:t>, определяемым по формуле:</w:t>
      </w:r>
    </w:p>
    <w:p w:rsidR="002D1E45" w:rsidRPr="004D071E" w:rsidRDefault="002D1E45" w:rsidP="004D071E">
      <w:pPr>
        <w:keepNext/>
        <w:widowControl w:val="0"/>
        <w:spacing w:after="0" w:line="240" w:lineRule="auto"/>
        <w:ind w:left="686"/>
        <w:jc w:val="both"/>
        <w:rPr>
          <w:rFonts w:ascii="Times New Roman" w:hAnsi="Times New Roman"/>
          <w:sz w:val="28"/>
          <w:szCs w:val="28"/>
        </w:rPr>
      </w:pPr>
    </w:p>
    <w:p w:rsidR="002D1E45" w:rsidRPr="004D071E" w:rsidRDefault="002D1E45" w:rsidP="004D071E">
      <w:pPr>
        <w:keepNext/>
        <w:widowControl w:val="0"/>
        <w:spacing w:after="0" w:line="240" w:lineRule="auto"/>
        <w:jc w:val="center"/>
        <w:rPr>
          <w:rFonts w:ascii="Times New Roman" w:hAnsi="Times New Roman"/>
          <w:i/>
          <w:sz w:val="28"/>
          <w:szCs w:val="28"/>
          <w:lang w:val="en-US"/>
        </w:rPr>
      </w:pPr>
      <w:r>
        <w:pict>
          <v:shape id="_x0000_i1042" type="#_x0000_t75" style="width:54pt;height:79.5pt" equationxml="&lt;?xml version=&quot;1.0&quot; encoding=&quot;UTF-8&quot; standalone=&quot;yes&quot;?&gt;&#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stylePaneFormatFilter w:val=&quot;3F01&quot;/&gt;&lt;w:defaultTabStop w:val=&quot;709&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55249&quot;/&gt;&lt;wsp:rsid wsp:val=&quot;00000069&quot;/&gt;&lt;wsp:rsid wsp:val=&quot;0000011C&quot;/&gt;&lt;wsp:rsid wsp:val=&quot;00000437&quot;/&gt;&lt;wsp:rsid wsp:val=&quot;00001379&quot;/&gt;&lt;wsp:rsid wsp:val=&quot;0000148E&quot;/&gt;&lt;wsp:rsid wsp:val=&quot;00001718&quot;/&gt;&lt;wsp:rsid wsp:val=&quot;000017EA&quot;/&gt;&lt;wsp:rsid wsp:val=&quot;00001828&quot;/&gt;&lt;wsp:rsid wsp:val=&quot;00001D98&quot;/&gt;&lt;wsp:rsid wsp:val=&quot;0000229E&quot;/&gt;&lt;wsp:rsid wsp:val=&quot;000027D5&quot;/&gt;&lt;wsp:rsid wsp:val=&quot;00002824&quot;/&gt;&lt;wsp:rsid wsp:val=&quot;00002C12&quot;/&gt;&lt;wsp:rsid wsp:val=&quot;00002C43&quot;/&gt;&lt;wsp:rsid wsp:val=&quot;00002D9C&quot;/&gt;&lt;wsp:rsid wsp:val=&quot;00002F36&quot;/&gt;&lt;wsp:rsid wsp:val=&quot;0000302F&quot;/&gt;&lt;wsp:rsid wsp:val=&quot;00003030&quot;/&gt;&lt;wsp:rsid wsp:val=&quot;00003EFF&quot;/&gt;&lt;wsp:rsid wsp:val=&quot;0000414C&quot;/&gt;&lt;wsp:rsid wsp:val=&quot;0000443D&quot;/&gt;&lt;wsp:rsid wsp:val=&quot;000046CC&quot;/&gt;&lt;wsp:rsid wsp:val=&quot;00004716&quot;/&gt;&lt;wsp:rsid wsp:val=&quot;0000486D&quot;/&gt;&lt;wsp:rsid wsp:val=&quot;000049C0&quot;/&gt;&lt;wsp:rsid wsp:val=&quot;00004D19&quot;/&gt;&lt;wsp:rsid wsp:val=&quot;00004FAE&quot;/&gt;&lt;wsp:rsid wsp:val=&quot;00004FFC&quot;/&gt;&lt;wsp:rsid wsp:val=&quot;00005636&quot;/&gt;&lt;wsp:rsid wsp:val=&quot;000056E1&quot;/&gt;&lt;wsp:rsid wsp:val=&quot;00005DAF&quot;/&gt;&lt;wsp:rsid wsp:val=&quot;00005F1A&quot;/&gt;&lt;wsp:rsid wsp:val=&quot;00005FEB&quot;/&gt;&lt;wsp:rsid wsp:val=&quot;00006392&quot;/&gt;&lt;wsp:rsid wsp:val=&quot;000063D0&quot;/&gt;&lt;wsp:rsid wsp:val=&quot;00006AE8&quot;/&gt;&lt;wsp:rsid wsp:val=&quot;00006D6F&quot;/&gt;&lt;wsp:rsid wsp:val=&quot;00007175&quot;/&gt;&lt;wsp:rsid wsp:val=&quot;00007274&quot;/&gt;&lt;wsp:rsid wsp:val=&quot;00007B99&quot;/&gt;&lt;wsp:rsid wsp:val=&quot;000101C0&quot;/&gt;&lt;wsp:rsid wsp:val=&quot;00010212&quot;/&gt;&lt;wsp:rsid wsp:val=&quot;00010264&quot;/&gt;&lt;wsp:rsid wsp:val=&quot;000102BD&quot;/&gt;&lt;wsp:rsid wsp:val=&quot;000102EA&quot;/&gt;&lt;wsp:rsid wsp:val=&quot;00010466&quot;/&gt;&lt;wsp:rsid wsp:val=&quot;00010AB4&quot;/&gt;&lt;wsp:rsid wsp:val=&quot;00010B0B&quot;/&gt;&lt;wsp:rsid wsp:val=&quot;00010C3B&quot;/&gt;&lt;wsp:rsid wsp:val=&quot;00010F91&quot;/&gt;&lt;wsp:rsid wsp:val=&quot;000112EE&quot;/&gt;&lt;wsp:rsid wsp:val=&quot;0001146D&quot;/&gt;&lt;wsp:rsid wsp:val=&quot;00011665&quot;/&gt;&lt;wsp:rsid wsp:val=&quot;00011B64&quot;/&gt;&lt;wsp:rsid wsp:val=&quot;00011CA8&quot;/&gt;&lt;wsp:rsid wsp:val=&quot;00011DE4&quot;/&gt;&lt;wsp:rsid wsp:val=&quot;000124AE&quot;/&gt;&lt;wsp:rsid wsp:val=&quot;000127BC&quot;/&gt;&lt;wsp:rsid wsp:val=&quot;00012A66&quot;/&gt;&lt;wsp:rsid wsp:val=&quot;00012DA8&quot;/&gt;&lt;wsp:rsid wsp:val=&quot;00013A20&quot;/&gt;&lt;wsp:rsid wsp:val=&quot;00013A8A&quot;/&gt;&lt;wsp:rsid wsp:val=&quot;00013CAF&quot;/&gt;&lt;wsp:rsid wsp:val=&quot;00013FBF&quot;/&gt;&lt;wsp:rsid wsp:val=&quot;00014152&quot;/&gt;&lt;wsp:rsid wsp:val=&quot;00014177&quot;/&gt;&lt;wsp:rsid wsp:val=&quot;0001436E&quot;/&gt;&lt;wsp:rsid wsp:val=&quot;00014640&quot;/&gt;&lt;wsp:rsid wsp:val=&quot;000146AB&quot;/&gt;&lt;wsp:rsid wsp:val=&quot;0001483D&quot;/&gt;&lt;wsp:rsid wsp:val=&quot;00014851&quot;/&gt;&lt;wsp:rsid wsp:val=&quot;00014B97&quot;/&gt;&lt;wsp:rsid wsp:val=&quot;00014CA6&quot;/&gt;&lt;wsp:rsid wsp:val=&quot;00015089&quot;/&gt;&lt;wsp:rsid wsp:val=&quot;00015200&quot;/&gt;&lt;wsp:rsid wsp:val=&quot;00015247&quot;/&gt;&lt;wsp:rsid wsp:val=&quot;00015471&quot;/&gt;&lt;wsp:rsid wsp:val=&quot;00015475&quot;/&gt;&lt;wsp:rsid wsp:val=&quot;000156EB&quot;/&gt;&lt;wsp:rsid wsp:val=&quot;00015CFD&quot;/&gt;&lt;wsp:rsid wsp:val=&quot;00015E89&quot;/&gt;&lt;wsp:rsid wsp:val=&quot;000162CA&quot;/&gt;&lt;wsp:rsid wsp:val=&quot;000168D8&quot;/&gt;&lt;wsp:rsid wsp:val=&quot;00016BF0&quot;/&gt;&lt;wsp:rsid wsp:val=&quot;00016DD4&quot;/&gt;&lt;wsp:rsid wsp:val=&quot;00016F5A&quot;/&gt;&lt;wsp:rsid wsp:val=&quot;000171AD&quot;/&gt;&lt;wsp:rsid wsp:val=&quot;0001725E&quot;/&gt;&lt;wsp:rsid wsp:val=&quot;000173C4&quot;/&gt;&lt;wsp:rsid wsp:val=&quot;0001783F&quot;/&gt;&lt;wsp:rsid wsp:val=&quot;00017B5A&quot;/&gt;&lt;wsp:rsid wsp:val=&quot;00017FC8&quot;/&gt;&lt;wsp:rsid wsp:val=&quot;000200B7&quot;/&gt;&lt;wsp:rsid wsp:val=&quot;00020690&quot;/&gt;&lt;wsp:rsid wsp:val=&quot;000207BC&quot;/&gt;&lt;wsp:rsid wsp:val=&quot;00020B70&quot;/&gt;&lt;wsp:rsid wsp:val=&quot;00020CF2&quot;/&gt;&lt;wsp:rsid wsp:val=&quot;00020D15&quot;/&gt;&lt;wsp:rsid wsp:val=&quot;0002146E&quot;/&gt;&lt;wsp:rsid wsp:val=&quot;000216FC&quot;/&gt;&lt;wsp:rsid wsp:val=&quot;00021808&quot;/&gt;&lt;wsp:rsid wsp:val=&quot;00021864&quot;/&gt;&lt;wsp:rsid wsp:val=&quot;000219DD&quot;/&gt;&lt;wsp:rsid wsp:val=&quot;00021A57&quot;/&gt;&lt;wsp:rsid wsp:val=&quot;00021C1B&quot;/&gt;&lt;wsp:rsid wsp:val=&quot;00021C6A&quot;/&gt;&lt;wsp:rsid wsp:val=&quot;0002261A&quot;/&gt;&lt;wsp:rsid wsp:val=&quot;00022689&quot;/&gt;&lt;wsp:rsid wsp:val=&quot;0002275A&quot;/&gt;&lt;wsp:rsid wsp:val=&quot;00022976&quot;/&gt;&lt;wsp:rsid wsp:val=&quot;00022B13&quot;/&gt;&lt;wsp:rsid wsp:val=&quot;00022C89&quot;/&gt;&lt;wsp:rsid wsp:val=&quot;00022ED3&quot;/&gt;&lt;wsp:rsid wsp:val=&quot;0002310D&quot;/&gt;&lt;wsp:rsid wsp:val=&quot;0002325C&quot;/&gt;&lt;wsp:rsid wsp:val=&quot;000233B5&quot;/&gt;&lt;wsp:rsid wsp:val=&quot;000235C8&quot;/&gt;&lt;wsp:rsid wsp:val=&quot;000237E7&quot;/&gt;&lt;wsp:rsid wsp:val=&quot;000238DD&quot;/&gt;&lt;wsp:rsid wsp:val=&quot;00023B4A&quot;/&gt;&lt;wsp:rsid wsp:val=&quot;00023CDA&quot;/&gt;&lt;wsp:rsid wsp:val=&quot;0002413B&quot;/&gt;&lt;wsp:rsid wsp:val=&quot;000244A8&quot;/&gt;&lt;wsp:rsid wsp:val=&quot;0002487C&quot;/&gt;&lt;wsp:rsid wsp:val=&quot;00024D37&quot;/&gt;&lt;wsp:rsid wsp:val=&quot;00024F28&quot;/&gt;&lt;wsp:rsid wsp:val=&quot;000252B6&quot;/&gt;&lt;wsp:rsid wsp:val=&quot;000254CC&quot;/&gt;&lt;wsp:rsid wsp:val=&quot;00025586&quot;/&gt;&lt;wsp:rsid wsp:val=&quot;000260FE&quot;/&gt;&lt;wsp:rsid wsp:val=&quot;00026294&quot;/&gt;&lt;wsp:rsid wsp:val=&quot;00026338&quot;/&gt;&lt;wsp:rsid wsp:val=&quot;000266C8&quot;/&gt;&lt;wsp:rsid wsp:val=&quot;00026ABE&quot;/&gt;&lt;wsp:rsid wsp:val=&quot;00026FF4&quot;/&gt;&lt;wsp:rsid wsp:val=&quot;0002729C&quot;/&gt;&lt;wsp:rsid wsp:val=&quot;000279E6&quot;/&gt;&lt;wsp:rsid wsp:val=&quot;00027B3A&quot;/&gt;&lt;wsp:rsid wsp:val=&quot;00027C41&quot;/&gt;&lt;wsp:rsid wsp:val=&quot;00027F89&quot;/&gt;&lt;wsp:rsid wsp:val=&quot;0003050D&quot;/&gt;&lt;wsp:rsid wsp:val=&quot;00030523&quot;/&gt;&lt;wsp:rsid wsp:val=&quot;00031209&quot;/&gt;&lt;wsp:rsid wsp:val=&quot;00031883&quot;/&gt;&lt;wsp:rsid wsp:val=&quot;00032460&quot;/&gt;&lt;wsp:rsid wsp:val=&quot;0003252F&quot;/&gt;&lt;wsp:rsid wsp:val=&quot;000325E4&quot;/&gt;&lt;wsp:rsid wsp:val=&quot;000329BA&quot;/&gt;&lt;wsp:rsid wsp:val=&quot;00032F20&quot;/&gt;&lt;wsp:rsid wsp:val=&quot;000330C7&quot;/&gt;&lt;wsp:rsid wsp:val=&quot;00033121&quot;/&gt;&lt;wsp:rsid wsp:val=&quot;000332E2&quot;/&gt;&lt;wsp:rsid wsp:val=&quot;00033895&quot;/&gt;&lt;wsp:rsid wsp:val=&quot;00033D2D&quot;/&gt;&lt;wsp:rsid wsp:val=&quot;0003401B&quot;/&gt;&lt;wsp:rsid wsp:val=&quot;000341CE&quot;/&gt;&lt;wsp:rsid wsp:val=&quot;00034258&quot;/&gt;&lt;wsp:rsid wsp:val=&quot;00034677&quot;/&gt;&lt;wsp:rsid wsp:val=&quot;000355D5&quot;/&gt;&lt;wsp:rsid wsp:val=&quot;0003587E&quot;/&gt;&lt;wsp:rsid wsp:val=&quot;000358E5&quot;/&gt;&lt;wsp:rsid wsp:val=&quot;00035FC8&quot;/&gt;&lt;wsp:rsid wsp:val=&quot;00036085&quot;/&gt;&lt;wsp:rsid wsp:val=&quot;0003610F&quot;/&gt;&lt;wsp:rsid wsp:val=&quot;00036574&quot;/&gt;&lt;wsp:rsid wsp:val=&quot;00036A0C&quot;/&gt;&lt;wsp:rsid wsp:val=&quot;0003741C&quot;/&gt;&lt;wsp:rsid wsp:val=&quot;000375A9&quot;/&gt;&lt;wsp:rsid wsp:val=&quot;000375E4&quot;/&gt;&lt;wsp:rsid wsp:val=&quot;00037990&quot;/&gt;&lt;wsp:rsid wsp:val=&quot;000379E2&quot;/&gt;&lt;wsp:rsid wsp:val=&quot;00037A8B&quot;/&gt;&lt;wsp:rsid wsp:val=&quot;00037B44&quot;/&gt;&lt;wsp:rsid wsp:val=&quot;00037D86&quot;/&gt;&lt;wsp:rsid wsp:val=&quot;000401B5&quot;/&gt;&lt;wsp:rsid wsp:val=&quot;00040704&quot;/&gt;&lt;wsp:rsid wsp:val=&quot;00040747&quot;/&gt;&lt;wsp:rsid wsp:val=&quot;00040937&quot;/&gt;&lt;wsp:rsid wsp:val=&quot;00040B84&quot;/&gt;&lt;wsp:rsid wsp:val=&quot;00040C12&quot;/&gt;&lt;wsp:rsid wsp:val=&quot;00040DA1&quot;/&gt;&lt;wsp:rsid wsp:val=&quot;00040F18&quot;/&gt;&lt;wsp:rsid wsp:val=&quot;0004110F&quot;/&gt;&lt;wsp:rsid wsp:val=&quot;000412EB&quot;/&gt;&lt;wsp:rsid wsp:val=&quot;0004138D&quot;/&gt;&lt;wsp:rsid wsp:val=&quot;000413F1&quot;/&gt;&lt;wsp:rsid wsp:val=&quot;000414C0&quot;/&gt;&lt;wsp:rsid wsp:val=&quot;00041E8F&quot;/&gt;&lt;wsp:rsid wsp:val=&quot;00041F06&quot;/&gt;&lt;wsp:rsid wsp:val=&quot;0004255B&quot;/&gt;&lt;wsp:rsid wsp:val=&quot;00042594&quot;/&gt;&lt;wsp:rsid wsp:val=&quot;0004273E&quot;/&gt;&lt;wsp:rsid wsp:val=&quot;00042764&quot;/&gt;&lt;wsp:rsid wsp:val=&quot;00042F4A&quot;/&gt;&lt;wsp:rsid wsp:val=&quot;000430F4&quot;/&gt;&lt;wsp:rsid wsp:val=&quot;00043921&quot;/&gt;&lt;wsp:rsid wsp:val=&quot;00043935&quot;/&gt;&lt;wsp:rsid wsp:val=&quot;00043EB2&quot;/&gt;&lt;wsp:rsid wsp:val=&quot;0004419F&quot;/&gt;&lt;wsp:rsid wsp:val=&quot;00044391&quot;/&gt;&lt;wsp:rsid wsp:val=&quot;0004446E&quot;/&gt;&lt;wsp:rsid wsp:val=&quot;000444B3&quot;/&gt;&lt;wsp:rsid wsp:val=&quot;00044538&quot;/&gt;&lt;wsp:rsid wsp:val=&quot;0004488A&quot;/&gt;&lt;wsp:rsid wsp:val=&quot;000449CE&quot;/&gt;&lt;wsp:rsid wsp:val=&quot;00044A16&quot;/&gt;&lt;wsp:rsid wsp:val=&quot;00044B5C&quot;/&gt;&lt;wsp:rsid wsp:val=&quot;00044D18&quot;/&gt;&lt;wsp:rsid wsp:val=&quot;00044E73&quot;/&gt;&lt;wsp:rsid wsp:val=&quot;00044F28&quot;/&gt;&lt;wsp:rsid wsp:val=&quot;00044FEF&quot;/&gt;&lt;wsp:rsid wsp:val=&quot;00045598&quot;/&gt;&lt;wsp:rsid wsp:val=&quot;00045B35&quot;/&gt;&lt;wsp:rsid wsp:val=&quot;00045E51&quot;/&gt;&lt;wsp:rsid wsp:val=&quot;00046110&quot;/&gt;&lt;wsp:rsid wsp:val=&quot;00046429&quot;/&gt;&lt;wsp:rsid wsp:val=&quot;0004668C&quot;/&gt;&lt;wsp:rsid wsp:val=&quot;000475D4&quot;/&gt;&lt;wsp:rsid wsp:val=&quot;00047C17&quot;/&gt;&lt;wsp:rsid wsp:val=&quot;00047C27&quot;/&gt;&lt;wsp:rsid wsp:val=&quot;00047C59&quot;/&gt;&lt;wsp:rsid wsp:val=&quot;00047F34&quot;/&gt;&lt;wsp:rsid wsp:val=&quot;000504F0&quot;/&gt;&lt;wsp:rsid wsp:val=&quot;00050664&quot;/&gt;&lt;wsp:rsid wsp:val=&quot;00050880&quot;/&gt;&lt;wsp:rsid wsp:val=&quot;00050993&quot;/&gt;&lt;wsp:rsid wsp:val=&quot;00050FD6&quot;/&gt;&lt;wsp:rsid wsp:val=&quot;00051206&quot;/&gt;&lt;wsp:rsid wsp:val=&quot;000515A2&quot;/&gt;&lt;wsp:rsid wsp:val=&quot;00051F54&quot;/&gt;&lt;wsp:rsid wsp:val=&quot;000520A1&quot;/&gt;&lt;wsp:rsid wsp:val=&quot;000525EB&quot;/&gt;&lt;wsp:rsid wsp:val=&quot;0005266E&quot;/&gt;&lt;wsp:rsid wsp:val=&quot;000527E0&quot;/&gt;&lt;wsp:rsid wsp:val=&quot;00052923&quot;/&gt;&lt;wsp:rsid wsp:val=&quot;00052D26&quot;/&gt;&lt;wsp:rsid wsp:val=&quot;00052E31&quot;/&gt;&lt;wsp:rsid wsp:val=&quot;000535A5&quot;/&gt;&lt;wsp:rsid wsp:val=&quot;000536A3&quot;/&gt;&lt;wsp:rsid wsp:val=&quot;00053D10&quot;/&gt;&lt;wsp:rsid wsp:val=&quot;00053F2B&quot;/&gt;&lt;wsp:rsid wsp:val=&quot;00053F37&quot;/&gt;&lt;wsp:rsid wsp:val=&quot;000546C9&quot;/&gt;&lt;wsp:rsid wsp:val=&quot;000547F3&quot;/&gt;&lt;wsp:rsid wsp:val=&quot;000548C7&quot;/&gt;&lt;wsp:rsid wsp:val=&quot;00054E12&quot;/&gt;&lt;wsp:rsid wsp:val=&quot;00054E32&quot;/&gt;&lt;wsp:rsid wsp:val=&quot;000551DD&quot;/&gt;&lt;wsp:rsid wsp:val=&quot;0005551E&quot;/&gt;&lt;wsp:rsid wsp:val=&quot;00055725&quot;/&gt;&lt;wsp:rsid wsp:val=&quot;0005582F&quot;/&gt;&lt;wsp:rsid wsp:val=&quot;000558B6&quot;/&gt;&lt;wsp:rsid wsp:val=&quot;00055A9A&quot;/&gt;&lt;wsp:rsid wsp:val=&quot;00055D45&quot;/&gt;&lt;wsp:rsid wsp:val=&quot;00055E28&quot;/&gt;&lt;wsp:rsid wsp:val=&quot;000563E2&quot;/&gt;&lt;wsp:rsid wsp:val=&quot;0005646A&quot;/&gt;&lt;wsp:rsid wsp:val=&quot;00056820&quot;/&gt;&lt;wsp:rsid wsp:val=&quot;00056C8F&quot;/&gt;&lt;wsp:rsid wsp:val=&quot;000570B4&quot;/&gt;&lt;wsp:rsid wsp:val=&quot;00057287&quot;/&gt;&lt;wsp:rsid wsp:val=&quot;00057450&quot;/&gt;&lt;wsp:rsid wsp:val=&quot;00057FD1&quot;/&gt;&lt;wsp:rsid wsp:val=&quot;000605C6&quot;/&gt;&lt;wsp:rsid wsp:val=&quot;0006094F&quot;/&gt;&lt;wsp:rsid wsp:val=&quot;00060D9A&quot;/&gt;&lt;wsp:rsid wsp:val=&quot;0006114D&quot;/&gt;&lt;wsp:rsid wsp:val=&quot;00061342&quot;/&gt;&lt;wsp:rsid wsp:val=&quot;000616FB&quot;/&gt;&lt;wsp:rsid wsp:val=&quot;00061D4B&quot;/&gt;&lt;wsp:rsid wsp:val=&quot;0006251F&quot;/&gt;&lt;wsp:rsid wsp:val=&quot;00062BCA&quot;/&gt;&lt;wsp:rsid wsp:val=&quot;00063845&quot;/&gt;&lt;wsp:rsid wsp:val=&quot;00063E7D&quot;/&gt;&lt;wsp:rsid wsp:val=&quot;00063F8C&quot;/&gt;&lt;wsp:rsid wsp:val=&quot;00064336&quot;/&gt;&lt;wsp:rsid wsp:val=&quot;000643A2&quot;/&gt;&lt;wsp:rsid wsp:val=&quot;00064B66&quot;/&gt;&lt;wsp:rsid wsp:val=&quot;00064F9D&quot;/&gt;&lt;wsp:rsid wsp:val=&quot;0006561A&quot;/&gt;&lt;wsp:rsid wsp:val=&quot;000659B9&quot;/&gt;&lt;wsp:rsid wsp:val=&quot;00065B48&quot;/&gt;&lt;wsp:rsid wsp:val=&quot;00065F03&quot;/&gt;&lt;wsp:rsid wsp:val=&quot;00066175&quot;/&gt;&lt;wsp:rsid wsp:val=&quot;000661F0&quot;/&gt;&lt;wsp:rsid wsp:val=&quot;00066384&quot;/&gt;&lt;wsp:rsid wsp:val=&quot;00066556&quot;/&gt;&lt;wsp:rsid wsp:val=&quot;00066C9F&quot;/&gt;&lt;wsp:rsid wsp:val=&quot;00066D83&quot;/&gt;&lt;wsp:rsid wsp:val=&quot;00067045&quot;/&gt;&lt;wsp:rsid wsp:val=&quot;00067A40&quot;/&gt;&lt;wsp:rsid wsp:val=&quot;00067AA3&quot;/&gt;&lt;wsp:rsid wsp:val=&quot;00067AB9&quot;/&gt;&lt;wsp:rsid wsp:val=&quot;00070000&quot;/&gt;&lt;wsp:rsid wsp:val=&quot;00070067&quot;/&gt;&lt;wsp:rsid wsp:val=&quot;0007015F&quot;/&gt;&lt;wsp:rsid wsp:val=&quot;000702C2&quot;/&gt;&lt;wsp:rsid wsp:val=&quot;000702C6&quot;/&gt;&lt;wsp:rsid wsp:val=&quot;00070A24&quot;/&gt;&lt;wsp:rsid wsp:val=&quot;00071628&quot;/&gt;&lt;wsp:rsid wsp:val=&quot;0007185F&quot;/&gt;&lt;wsp:rsid wsp:val=&quot;00072553&quot;/&gt;&lt;wsp:rsid wsp:val=&quot;00072E07&quot;/&gt;&lt;wsp:rsid wsp:val=&quot;00073729&quot;/&gt;&lt;wsp:rsid wsp:val=&quot;000739F2&quot;/&gt;&lt;wsp:rsid wsp:val=&quot;00073E02&quot;/&gt;&lt;wsp:rsid wsp:val=&quot;00074052&quot;/&gt;&lt;wsp:rsid wsp:val=&quot;00074807&quot;/&gt;&lt;wsp:rsid wsp:val=&quot;00075396&quot;/&gt;&lt;wsp:rsid wsp:val=&quot;00075542&quot;/&gt;&lt;wsp:rsid wsp:val=&quot;00075821&quot;/&gt;&lt;wsp:rsid wsp:val=&quot;00075BDC&quot;/&gt;&lt;wsp:rsid wsp:val=&quot;00075C12&quot;/&gt;&lt;wsp:rsid wsp:val=&quot;00076244&quot;/&gt;&lt;wsp:rsid wsp:val=&quot;0007658B&quot;/&gt;&lt;wsp:rsid wsp:val=&quot;000765A5&quot;/&gt;&lt;wsp:rsid wsp:val=&quot;000766B1&quot;/&gt;&lt;wsp:rsid wsp:val=&quot;00076AEC&quot;/&gt;&lt;wsp:rsid wsp:val=&quot;00076B85&quot;/&gt;&lt;wsp:rsid wsp:val=&quot;00077223&quot;/&gt;&lt;wsp:rsid wsp:val=&quot;000775BC&quot;/&gt;&lt;wsp:rsid wsp:val=&quot;00077735&quot;/&gt;&lt;wsp:rsid wsp:val=&quot;00077964&quot;/&gt;&lt;wsp:rsid wsp:val=&quot;00077AC7&quot;/&gt;&lt;wsp:rsid wsp:val=&quot;00080093&quot;/&gt;&lt;wsp:rsid wsp:val=&quot;00080B60&quot;/&gt;&lt;wsp:rsid wsp:val=&quot;00080D86&quot;/&gt;&lt;wsp:rsid wsp:val=&quot;0008123C&quot;/&gt;&lt;wsp:rsid wsp:val=&quot;000815B0&quot;/&gt;&lt;wsp:rsid wsp:val=&quot;000822F8&quot;/&gt;&lt;wsp:rsid wsp:val=&quot;0008289C&quot;/&gt;&lt;wsp:rsid wsp:val=&quot;00082ACC&quot;/&gt;&lt;wsp:rsid wsp:val=&quot;00082EC5&quot;/&gt;&lt;wsp:rsid wsp:val=&quot;00083307&quot;/&gt;&lt;wsp:rsid wsp:val=&quot;0008338D&quot;/&gt;&lt;wsp:rsid wsp:val=&quot;00083405&quot;/&gt;&lt;wsp:rsid wsp:val=&quot;00083653&quot;/&gt;&lt;wsp:rsid wsp:val=&quot;00083ADB&quot;/&gt;&lt;wsp:rsid wsp:val=&quot;00083BC4&quot;/&gt;&lt;wsp:rsid wsp:val=&quot;00083C79&quot;/&gt;&lt;wsp:rsid wsp:val=&quot;000845BC&quot;/&gt;&lt;wsp:rsid wsp:val=&quot;00084681&quot;/&gt;&lt;wsp:rsid wsp:val=&quot;000849E2&quot;/&gt;&lt;wsp:rsid wsp:val=&quot;00085033&quot;/&gt;&lt;wsp:rsid wsp:val=&quot;0008530A&quot;/&gt;&lt;wsp:rsid wsp:val=&quot;00085A95&quot;/&gt;&lt;wsp:rsid wsp:val=&quot;00085CFD&quot;/&gt;&lt;wsp:rsid wsp:val=&quot;0008620C&quot;/&gt;&lt;wsp:rsid wsp:val=&quot;00086329&quot;/&gt;&lt;wsp:rsid wsp:val=&quot;0008638E&quot;/&gt;&lt;wsp:rsid wsp:val=&quot;00086444&quot;/&gt;&lt;wsp:rsid wsp:val=&quot;00086BB9&quot;/&gt;&lt;wsp:rsid wsp:val=&quot;00087727&quot;/&gt;&lt;wsp:rsid wsp:val=&quot;000877E2&quot;/&gt;&lt;wsp:rsid wsp:val=&quot;00087AC4&quot;/&gt;&lt;wsp:rsid wsp:val=&quot;00087E23&quot;/&gt;&lt;wsp:rsid wsp:val=&quot;0009014C&quot;/&gt;&lt;wsp:rsid wsp:val=&quot;0009092E&quot;/&gt;&lt;wsp:rsid wsp:val=&quot;00090D88&quot;/&gt;&lt;wsp:rsid wsp:val=&quot;00091590&quot;/&gt;&lt;wsp:rsid wsp:val=&quot;0009167E&quot;/&gt;&lt;wsp:rsid wsp:val=&quot;00091B44&quot;/&gt;&lt;wsp:rsid wsp:val=&quot;00091DDD&quot;/&gt;&lt;wsp:rsid wsp:val=&quot;00092244&quot;/&gt;&lt;wsp:rsid wsp:val=&quot;000922A0&quot;/&gt;&lt;wsp:rsid wsp:val=&quot;0009250A&quot;/&gt;&lt;wsp:rsid wsp:val=&quot;00092832&quot;/&gt;&lt;wsp:rsid wsp:val=&quot;00092880&quot;/&gt;&lt;wsp:rsid wsp:val=&quot;000928B8&quot;/&gt;&lt;wsp:rsid wsp:val=&quot;00092BDB&quot;/&gt;&lt;wsp:rsid wsp:val=&quot;00092D38&quot;/&gt;&lt;wsp:rsid wsp:val=&quot;00092DF8&quot;/&gt;&lt;wsp:rsid wsp:val=&quot;00093306&quot;/&gt;&lt;wsp:rsid wsp:val=&quot;00093658&quot;/&gt;&lt;wsp:rsid wsp:val=&quot;000936D3&quot;/&gt;&lt;wsp:rsid wsp:val=&quot;00093D53&quot;/&gt;&lt;wsp:rsid wsp:val=&quot;00093FD6&quot;/&gt;&lt;wsp:rsid wsp:val=&quot;000943A3&quot;/&gt;&lt;wsp:rsid wsp:val=&quot;0009494C&quot;/&gt;&lt;wsp:rsid wsp:val=&quot;00094EE1&quot;/&gt;&lt;wsp:rsid wsp:val=&quot;00095196&quot;/&gt;&lt;wsp:rsid wsp:val=&quot;00095C3B&quot;/&gt;&lt;wsp:rsid wsp:val=&quot;00096485&quot;/&gt;&lt;wsp:rsid wsp:val=&quot;000964BF&quot;/&gt;&lt;wsp:rsid wsp:val=&quot;00096807&quot;/&gt;&lt;wsp:rsid wsp:val=&quot;00096843&quot;/&gt;&lt;wsp:rsid wsp:val=&quot;000968B5&quot;/&gt;&lt;wsp:rsid wsp:val=&quot;00096B2F&quot;/&gt;&lt;wsp:rsid wsp:val=&quot;00096F78&quot;/&gt;&lt;wsp:rsid wsp:val=&quot;00097521&quot;/&gt;&lt;wsp:rsid wsp:val=&quot;000978B1&quot;/&gt;&lt;wsp:rsid wsp:val=&quot;000A002B&quot;/&gt;&lt;wsp:rsid wsp:val=&quot;000A0434&quot;/&gt;&lt;wsp:rsid wsp:val=&quot;000A04F0&quot;/&gt;&lt;wsp:rsid wsp:val=&quot;000A08A6&quot;/&gt;&lt;wsp:rsid wsp:val=&quot;000A0932&quot;/&gt;&lt;wsp:rsid wsp:val=&quot;000A0A93&quot;/&gt;&lt;wsp:rsid wsp:val=&quot;000A0BB0&quot;/&gt;&lt;wsp:rsid wsp:val=&quot;000A0DA2&quot;/&gt;&lt;wsp:rsid wsp:val=&quot;000A16CC&quot;/&gt;&lt;wsp:rsid wsp:val=&quot;000A1A46&quot;/&gt;&lt;wsp:rsid wsp:val=&quot;000A1B18&quot;/&gt;&lt;wsp:rsid wsp:val=&quot;000A1C8A&quot;/&gt;&lt;wsp:rsid wsp:val=&quot;000A379F&quot;/&gt;&lt;wsp:rsid wsp:val=&quot;000A38E0&quot;/&gt;&lt;wsp:rsid wsp:val=&quot;000A39DE&quot;/&gt;&lt;wsp:rsid wsp:val=&quot;000A3C68&quot;/&gt;&lt;wsp:rsid wsp:val=&quot;000A3F95&quot;/&gt;&lt;wsp:rsid wsp:val=&quot;000A4373&quot;/&gt;&lt;wsp:rsid wsp:val=&quot;000A4670&quot;/&gt;&lt;wsp:rsid wsp:val=&quot;000A477D&quot;/&gt;&lt;wsp:rsid wsp:val=&quot;000A47CF&quot;/&gt;&lt;wsp:rsid wsp:val=&quot;000A4C05&quot;/&gt;&lt;wsp:rsid wsp:val=&quot;000A4D03&quot;/&gt;&lt;wsp:rsid wsp:val=&quot;000A4FB4&quot;/&gt;&lt;wsp:rsid wsp:val=&quot;000A4FF6&quot;/&gt;&lt;wsp:rsid wsp:val=&quot;000A512E&quot;/&gt;&lt;wsp:rsid wsp:val=&quot;000A525A&quot;/&gt;&lt;wsp:rsid wsp:val=&quot;000A52FF&quot;/&gt;&lt;wsp:rsid wsp:val=&quot;000A57A2&quot;/&gt;&lt;wsp:rsid wsp:val=&quot;000A5EA9&quot;/&gt;&lt;wsp:rsid wsp:val=&quot;000A611E&quot;/&gt;&lt;wsp:rsid wsp:val=&quot;000A6372&quot;/&gt;&lt;wsp:rsid wsp:val=&quot;000A68B1&quot;/&gt;&lt;wsp:rsid wsp:val=&quot;000A6AAC&quot;/&gt;&lt;wsp:rsid wsp:val=&quot;000A6BF9&quot;/&gt;&lt;wsp:rsid wsp:val=&quot;000A6E06&quot;/&gt;&lt;wsp:rsid wsp:val=&quot;000A718C&quot;/&gt;&lt;wsp:rsid wsp:val=&quot;000A741A&quot;/&gt;&lt;wsp:rsid wsp:val=&quot;000A7430&quot;/&gt;&lt;wsp:rsid wsp:val=&quot;000A7482&quot;/&gt;&lt;wsp:rsid wsp:val=&quot;000A7895&quot;/&gt;&lt;wsp:rsid wsp:val=&quot;000A7BD7&quot;/&gt;&lt;wsp:rsid wsp:val=&quot;000A7D80&quot;/&gt;&lt;wsp:rsid wsp:val=&quot;000B1142&quot;/&gt;&lt;wsp:rsid wsp:val=&quot;000B1322&quot;/&gt;&lt;wsp:rsid wsp:val=&quot;000B149A&quot;/&gt;&lt;wsp:rsid wsp:val=&quot;000B14DF&quot;/&gt;&lt;wsp:rsid wsp:val=&quot;000B167D&quot;/&gt;&lt;wsp:rsid wsp:val=&quot;000B1B67&quot;/&gt;&lt;wsp:rsid wsp:val=&quot;000B1E31&quot;/&gt;&lt;wsp:rsid wsp:val=&quot;000B221A&quot;/&gt;&lt;wsp:rsid wsp:val=&quot;000B251B&quot;/&gt;&lt;wsp:rsid wsp:val=&quot;000B25C3&quot;/&gt;&lt;wsp:rsid wsp:val=&quot;000B27FD&quot;/&gt;&lt;wsp:rsid wsp:val=&quot;000B286C&quot;/&gt;&lt;wsp:rsid wsp:val=&quot;000B2B47&quot;/&gt;&lt;wsp:rsid wsp:val=&quot;000B2B6B&quot;/&gt;&lt;wsp:rsid wsp:val=&quot;000B2C1A&quot;/&gt;&lt;wsp:rsid wsp:val=&quot;000B2EB4&quot;/&gt;&lt;wsp:rsid wsp:val=&quot;000B3481&quot;/&gt;&lt;wsp:rsid wsp:val=&quot;000B3B79&quot;/&gt;&lt;wsp:rsid wsp:val=&quot;000B4097&quot;/&gt;&lt;wsp:rsid wsp:val=&quot;000B40D5&quot;/&gt;&lt;wsp:rsid wsp:val=&quot;000B439E&quot;/&gt;&lt;wsp:rsid wsp:val=&quot;000B4880&quot;/&gt;&lt;wsp:rsid wsp:val=&quot;000B4C48&quot;/&gt;&lt;wsp:rsid wsp:val=&quot;000B51E8&quot;/&gt;&lt;wsp:rsid wsp:val=&quot;000B5B75&quot;/&gt;&lt;wsp:rsid wsp:val=&quot;000B5B94&quot;/&gt;&lt;wsp:rsid wsp:val=&quot;000B5C9E&quot;/&gt;&lt;wsp:rsid wsp:val=&quot;000B641C&quot;/&gt;&lt;wsp:rsid wsp:val=&quot;000B6424&quot;/&gt;&lt;wsp:rsid wsp:val=&quot;000B6501&quot;/&gt;&lt;wsp:rsid wsp:val=&quot;000B6618&quot;/&gt;&lt;wsp:rsid wsp:val=&quot;000B693A&quot;/&gt;&lt;wsp:rsid wsp:val=&quot;000B69BA&quot;/&gt;&lt;wsp:rsid wsp:val=&quot;000B6EF4&quot;/&gt;&lt;wsp:rsid wsp:val=&quot;000B6F17&quot;/&gt;&lt;wsp:rsid wsp:val=&quot;000B6F8A&quot;/&gt;&lt;wsp:rsid wsp:val=&quot;000B7311&quot;/&gt;&lt;wsp:rsid wsp:val=&quot;000B7768&quot;/&gt;&lt;wsp:rsid wsp:val=&quot;000B79A3&quot;/&gt;&lt;wsp:rsid wsp:val=&quot;000C060E&quot;/&gt;&lt;wsp:rsid wsp:val=&quot;000C0854&quot;/&gt;&lt;wsp:rsid wsp:val=&quot;000C0E5A&quot;/&gt;&lt;wsp:rsid wsp:val=&quot;000C0F02&quot;/&gt;&lt;wsp:rsid wsp:val=&quot;000C134A&quot;/&gt;&lt;wsp:rsid wsp:val=&quot;000C1706&quot;/&gt;&lt;wsp:rsid wsp:val=&quot;000C1C1D&quot;/&gt;&lt;wsp:rsid wsp:val=&quot;000C1CF9&quot;/&gt;&lt;wsp:rsid wsp:val=&quot;000C1E63&quot;/&gt;&lt;wsp:rsid wsp:val=&quot;000C1FAA&quot;/&gt;&lt;wsp:rsid wsp:val=&quot;000C2A69&quot;/&gt;&lt;wsp:rsid wsp:val=&quot;000C313A&quot;/&gt;&lt;wsp:rsid wsp:val=&quot;000C313D&quot;/&gt;&lt;wsp:rsid wsp:val=&quot;000C324D&quot;/&gt;&lt;wsp:rsid wsp:val=&quot;000C3271&quot;/&gt;&lt;wsp:rsid wsp:val=&quot;000C34E4&quot;/&gt;&lt;wsp:rsid wsp:val=&quot;000C3563&quot;/&gt;&lt;wsp:rsid wsp:val=&quot;000C36F0&quot;/&gt;&lt;wsp:rsid wsp:val=&quot;000C3850&quot;/&gt;&lt;wsp:rsid wsp:val=&quot;000C3B1C&quot;/&gt;&lt;wsp:rsid wsp:val=&quot;000C3D26&quot;/&gt;&lt;wsp:rsid wsp:val=&quot;000C3E41&quot;/&gt;&lt;wsp:rsid wsp:val=&quot;000C40E5&quot;/&gt;&lt;wsp:rsid wsp:val=&quot;000C458C&quot;/&gt;&lt;wsp:rsid wsp:val=&quot;000C4D5D&quot;/&gt;&lt;wsp:rsid wsp:val=&quot;000C55A4&quot;/&gt;&lt;wsp:rsid wsp:val=&quot;000C5DF7&quot;/&gt;&lt;wsp:rsid wsp:val=&quot;000C6617&quot;/&gt;&lt;wsp:rsid wsp:val=&quot;000C68A4&quot;/&gt;&lt;wsp:rsid wsp:val=&quot;000C695C&quot;/&gt;&lt;wsp:rsid wsp:val=&quot;000C7051&quot;/&gt;&lt;wsp:rsid wsp:val=&quot;000C75BD&quot;/&gt;&lt;wsp:rsid wsp:val=&quot;000C771E&quot;/&gt;&lt;wsp:rsid wsp:val=&quot;000C7AF7&quot;/&gt;&lt;wsp:rsid wsp:val=&quot;000C7FDE&quot;/&gt;&lt;wsp:rsid wsp:val=&quot;000D024B&quot;/&gt;&lt;wsp:rsid wsp:val=&quot;000D03D3&quot;/&gt;&lt;wsp:rsid wsp:val=&quot;000D04D2&quot;/&gt;&lt;wsp:rsid wsp:val=&quot;000D05CB&quot;/&gt;&lt;wsp:rsid wsp:val=&quot;000D06AA&quot;/&gt;&lt;wsp:rsid wsp:val=&quot;000D0A5E&quot;/&gt;&lt;wsp:rsid wsp:val=&quot;000D0E34&quot;/&gt;&lt;wsp:rsid wsp:val=&quot;000D123D&quot;/&gt;&lt;wsp:rsid wsp:val=&quot;000D12B2&quot;/&gt;&lt;wsp:rsid wsp:val=&quot;000D1489&quot;/&gt;&lt;wsp:rsid wsp:val=&quot;000D1698&quot;/&gt;&lt;wsp:rsid wsp:val=&quot;000D1A50&quot;/&gt;&lt;wsp:rsid wsp:val=&quot;000D1C03&quot;/&gt;&lt;wsp:rsid wsp:val=&quot;000D1D53&quot;/&gt;&lt;wsp:rsid wsp:val=&quot;000D232C&quot;/&gt;&lt;wsp:rsid wsp:val=&quot;000D285E&quot;/&gt;&lt;wsp:rsid wsp:val=&quot;000D28F0&quot;/&gt;&lt;wsp:rsid wsp:val=&quot;000D296A&quot;/&gt;&lt;wsp:rsid wsp:val=&quot;000D2992&quot;/&gt;&lt;wsp:rsid wsp:val=&quot;000D2C72&quot;/&gt;&lt;wsp:rsid wsp:val=&quot;000D31FD&quot;/&gt;&lt;wsp:rsid wsp:val=&quot;000D3378&quot;/&gt;&lt;wsp:rsid wsp:val=&quot;000D35B2&quot;/&gt;&lt;wsp:rsid wsp:val=&quot;000D3671&quot;/&gt;&lt;wsp:rsid wsp:val=&quot;000D409D&quot;/&gt;&lt;wsp:rsid wsp:val=&quot;000D4513&quot;/&gt;&lt;wsp:rsid wsp:val=&quot;000D4CD0&quot;/&gt;&lt;wsp:rsid wsp:val=&quot;000D4D1D&quot;/&gt;&lt;wsp:rsid wsp:val=&quot;000D4DC6&quot;/&gt;&lt;wsp:rsid wsp:val=&quot;000D4F86&quot;/&gt;&lt;wsp:rsid wsp:val=&quot;000D50D1&quot;/&gt;&lt;wsp:rsid wsp:val=&quot;000D54E7&quot;/&gt;&lt;wsp:rsid wsp:val=&quot;000D5542&quot;/&gt;&lt;wsp:rsid wsp:val=&quot;000D569C&quot;/&gt;&lt;wsp:rsid wsp:val=&quot;000D57B5&quot;/&gt;&lt;wsp:rsid wsp:val=&quot;000D580C&quot;/&gt;&lt;wsp:rsid wsp:val=&quot;000D5848&quot;/&gt;&lt;wsp:rsid wsp:val=&quot;000D59E3&quot;/&gt;&lt;wsp:rsid wsp:val=&quot;000D5ACC&quot;/&gt;&lt;wsp:rsid wsp:val=&quot;000D5E6D&quot;/&gt;&lt;wsp:rsid wsp:val=&quot;000D5ED1&quot;/&gt;&lt;wsp:rsid wsp:val=&quot;000D6903&quot;/&gt;&lt;wsp:rsid wsp:val=&quot;000D6F84&quot;/&gt;&lt;wsp:rsid wsp:val=&quot;000D6FE1&quot;/&gt;&lt;wsp:rsid wsp:val=&quot;000D708D&quot;/&gt;&lt;wsp:rsid wsp:val=&quot;000D753B&quot;/&gt;&lt;wsp:rsid wsp:val=&quot;000D7FBD&quot;/&gt;&lt;wsp:rsid wsp:val=&quot;000E00E8&quot;/&gt;&lt;wsp:rsid wsp:val=&quot;000E013F&quot;/&gt;&lt;wsp:rsid wsp:val=&quot;000E08A7&quot;/&gt;&lt;wsp:rsid wsp:val=&quot;000E0D19&quot;/&gt;&lt;wsp:rsid wsp:val=&quot;000E1064&quot;/&gt;&lt;wsp:rsid wsp:val=&quot;000E1137&quot;/&gt;&lt;wsp:rsid wsp:val=&quot;000E1324&quot;/&gt;&lt;wsp:rsid wsp:val=&quot;000E147C&quot;/&gt;&lt;wsp:rsid wsp:val=&quot;000E16EE&quot;/&gt;&lt;wsp:rsid wsp:val=&quot;000E1736&quot;/&gt;&lt;wsp:rsid wsp:val=&quot;000E1B5F&quot;/&gt;&lt;wsp:rsid wsp:val=&quot;000E20CF&quot;/&gt;&lt;wsp:rsid wsp:val=&quot;000E2277&quot;/&gt;&lt;wsp:rsid wsp:val=&quot;000E22A7&quot;/&gt;&lt;wsp:rsid wsp:val=&quot;000E22ED&quot;/&gt;&lt;wsp:rsid wsp:val=&quot;000E25F1&quot;/&gt;&lt;wsp:rsid wsp:val=&quot;000E2A13&quot;/&gt;&lt;wsp:rsid wsp:val=&quot;000E32F7&quot;/&gt;&lt;wsp:rsid wsp:val=&quot;000E381E&quot;/&gt;&lt;wsp:rsid wsp:val=&quot;000E3AEB&quot;/&gt;&lt;wsp:rsid wsp:val=&quot;000E4019&quot;/&gt;&lt;wsp:rsid wsp:val=&quot;000E4421&quot;/&gt;&lt;wsp:rsid wsp:val=&quot;000E4906&quot;/&gt;&lt;wsp:rsid wsp:val=&quot;000E4CA2&quot;/&gt;&lt;wsp:rsid wsp:val=&quot;000E4F6D&quot;/&gt;&lt;wsp:rsid wsp:val=&quot;000E5496&quot;/&gt;&lt;wsp:rsid wsp:val=&quot;000E56AD&quot;/&gt;&lt;wsp:rsid wsp:val=&quot;000E56C5&quot;/&gt;&lt;wsp:rsid wsp:val=&quot;000E5B04&quot;/&gt;&lt;wsp:rsid wsp:val=&quot;000E64B9&quot;/&gt;&lt;wsp:rsid wsp:val=&quot;000E6562&quot;/&gt;&lt;wsp:rsid wsp:val=&quot;000E6586&quot;/&gt;&lt;wsp:rsid wsp:val=&quot;000E72CA&quot;/&gt;&lt;wsp:rsid wsp:val=&quot;000E7460&quot;/&gt;&lt;wsp:rsid wsp:val=&quot;000E785F&quot;/&gt;&lt;wsp:rsid wsp:val=&quot;000F0095&quot;/&gt;&lt;wsp:rsid wsp:val=&quot;000F0866&quot;/&gt;&lt;wsp:rsid wsp:val=&quot;000F08DE&quot;/&gt;&lt;wsp:rsid wsp:val=&quot;000F0AEA&quot;/&gt;&lt;wsp:rsid wsp:val=&quot;000F0B14&quot;/&gt;&lt;wsp:rsid wsp:val=&quot;000F0D9D&quot;/&gt;&lt;wsp:rsid wsp:val=&quot;000F1187&quot;/&gt;&lt;wsp:rsid wsp:val=&quot;000F13C2&quot;/&gt;&lt;wsp:rsid wsp:val=&quot;000F15F2&quot;/&gt;&lt;wsp:rsid wsp:val=&quot;000F1830&quot;/&gt;&lt;wsp:rsid wsp:val=&quot;000F2759&quot;/&gt;&lt;wsp:rsid wsp:val=&quot;000F317F&quot;/&gt;&lt;wsp:rsid wsp:val=&quot;000F337B&quot;/&gt;&lt;wsp:rsid wsp:val=&quot;000F3CC7&quot;/&gt;&lt;wsp:rsid wsp:val=&quot;000F403D&quot;/&gt;&lt;wsp:rsid wsp:val=&quot;000F4287&quot;/&gt;&lt;wsp:rsid wsp:val=&quot;000F4389&quot;/&gt;&lt;wsp:rsid wsp:val=&quot;000F484B&quot;/&gt;&lt;wsp:rsid wsp:val=&quot;000F4FAE&quot;/&gt;&lt;wsp:rsid wsp:val=&quot;000F5591&quot;/&gt;&lt;wsp:rsid wsp:val=&quot;000F57E4&quot;/&gt;&lt;wsp:rsid wsp:val=&quot;000F5C16&quot;/&gt;&lt;wsp:rsid wsp:val=&quot;000F60E6&quot;/&gt;&lt;wsp:rsid wsp:val=&quot;000F6F5B&quot;/&gt;&lt;wsp:rsid wsp:val=&quot;000F743B&quot;/&gt;&lt;wsp:rsid wsp:val=&quot;000F79ED&quot;/&gt;&lt;wsp:rsid wsp:val=&quot;000F7E8F&quot;/&gt;&lt;wsp:rsid wsp:val=&quot;00100565&quot;/&gt;&lt;wsp:rsid wsp:val=&quot;0010079F&quot;/&gt;&lt;wsp:rsid wsp:val=&quot;001007F6&quot;/&gt;&lt;wsp:rsid wsp:val=&quot;0010085A&quot;/&gt;&lt;wsp:rsid wsp:val=&quot;00100B18&quot;/&gt;&lt;wsp:rsid wsp:val=&quot;00100C0C&quot;/&gt;&lt;wsp:rsid wsp:val=&quot;00100FA1&quot;/&gt;&lt;wsp:rsid wsp:val=&quot;00100FA5&quot;/&gt;&lt;wsp:rsid wsp:val=&quot;0010136D&quot;/&gt;&lt;wsp:rsid wsp:val=&quot;001013C0&quot;/&gt;&lt;wsp:rsid wsp:val=&quot;0010153E&quot;/&gt;&lt;wsp:rsid wsp:val=&quot;001017D1&quot;/&gt;&lt;wsp:rsid wsp:val=&quot;00101889&quot;/&gt;&lt;wsp:rsid wsp:val=&quot;00101BF0&quot;/&gt;&lt;wsp:rsid wsp:val=&quot;00102343&quot;/&gt;&lt;wsp:rsid wsp:val=&quot;00102433&quot;/&gt;&lt;wsp:rsid wsp:val=&quot;00102564&quot;/&gt;&lt;wsp:rsid wsp:val=&quot;001028FB&quot;/&gt;&lt;wsp:rsid wsp:val=&quot;0010291C&quot;/&gt;&lt;wsp:rsid wsp:val=&quot;00102B88&quot;/&gt;&lt;wsp:rsid wsp:val=&quot;00102C99&quot;/&gt;&lt;wsp:rsid wsp:val=&quot;00103887&quot;/&gt;&lt;wsp:rsid wsp:val=&quot;00103962&quot;/&gt;&lt;wsp:rsid wsp:val=&quot;00103D38&quot;/&gt;&lt;wsp:rsid wsp:val=&quot;00104722&quot;/&gt;&lt;wsp:rsid wsp:val=&quot;00104A66&quot;/&gt;&lt;wsp:rsid wsp:val=&quot;00104A96&quot;/&gt;&lt;wsp:rsid wsp:val=&quot;00104DF2&quot;/&gt;&lt;wsp:rsid wsp:val=&quot;00104E38&quot;/&gt;&lt;wsp:rsid wsp:val=&quot;00104E39&quot;/&gt;&lt;wsp:rsid wsp:val=&quot;001053AC&quot;/&gt;&lt;wsp:rsid wsp:val=&quot;001055E1&quot;/&gt;&lt;wsp:rsid wsp:val=&quot;001057A1&quot;/&gt;&lt;wsp:rsid wsp:val=&quot;00105C11&quot;/&gt;&lt;wsp:rsid wsp:val=&quot;00105CA0&quot;/&gt;&lt;wsp:rsid wsp:val=&quot;0010630B&quot;/&gt;&lt;wsp:rsid wsp:val=&quot;0010653D&quot;/&gt;&lt;wsp:rsid wsp:val=&quot;0010728C&quot;/&gt;&lt;wsp:rsid wsp:val=&quot;00107807&quot;/&gt;&lt;wsp:rsid wsp:val=&quot;0010780B&quot;/&gt;&lt;wsp:rsid wsp:val=&quot;0010794E&quot;/&gt;&lt;wsp:rsid wsp:val=&quot;00107B11&quot;/&gt;&lt;wsp:rsid wsp:val=&quot;00107B79&quot;/&gt;&lt;wsp:rsid wsp:val=&quot;00107D7C&quot;/&gt;&lt;wsp:rsid wsp:val=&quot;00107DE6&quot;/&gt;&lt;wsp:rsid wsp:val=&quot;00110460&quot;/&gt;&lt;wsp:rsid wsp:val=&quot;00110AD1&quot;/&gt;&lt;wsp:rsid wsp:val=&quot;00110B44&quot;/&gt;&lt;wsp:rsid wsp:val=&quot;00110C30&quot;/&gt;&lt;wsp:rsid wsp:val=&quot;00110DE8&quot;/&gt;&lt;wsp:rsid wsp:val=&quot;00111278&quot;/&gt;&lt;wsp:rsid wsp:val=&quot;00111481&quot;/&gt;&lt;wsp:rsid wsp:val=&quot;00111703&quot;/&gt;&lt;wsp:rsid wsp:val=&quot;001122D9&quot;/&gt;&lt;wsp:rsid wsp:val=&quot;001125E5&quot;/&gt;&lt;wsp:rsid wsp:val=&quot;001125E7&quot;/&gt;&lt;wsp:rsid wsp:val=&quot;0011327A&quot;/&gt;&lt;wsp:rsid wsp:val=&quot;001132D9&quot;/&gt;&lt;wsp:rsid wsp:val=&quot;00113605&quot;/&gt;&lt;wsp:rsid wsp:val=&quot;00113943&quot;/&gt;&lt;wsp:rsid wsp:val=&quot;00113975&quot;/&gt;&lt;wsp:rsid wsp:val=&quot;00113AE1&quot;/&gt;&lt;wsp:rsid wsp:val=&quot;00113D29&quot;/&gt;&lt;wsp:rsid wsp:val=&quot;0011400E&quot;/&gt;&lt;wsp:rsid wsp:val=&quot;0011403F&quot;/&gt;&lt;wsp:rsid wsp:val=&quot;001144DA&quot;/&gt;&lt;wsp:rsid wsp:val=&quot;0011463D&quot;/&gt;&lt;wsp:rsid wsp:val=&quot;001147C3&quot;/&gt;&lt;wsp:rsid wsp:val=&quot;00115092&quot;/&gt;&lt;wsp:rsid wsp:val=&quot;001151F3&quot;/&gt;&lt;wsp:rsid wsp:val=&quot;001151FC&quot;/&gt;&lt;wsp:rsid wsp:val=&quot;00115369&quot;/&gt;&lt;wsp:rsid wsp:val=&quot;00115564&quot;/&gt;&lt;wsp:rsid wsp:val=&quot;00115E0B&quot;/&gt;&lt;wsp:rsid wsp:val=&quot;00115E7A&quot;/&gt;&lt;wsp:rsid wsp:val=&quot;00115FB8&quot;/&gt;&lt;wsp:rsid wsp:val=&quot;001163B4&quot;/&gt;&lt;wsp:rsid wsp:val=&quot;0011652B&quot;/&gt;&lt;wsp:rsid wsp:val=&quot;0011673A&quot;/&gt;&lt;wsp:rsid wsp:val=&quot;001167F3&quot;/&gt;&lt;wsp:rsid wsp:val=&quot;0011681B&quot;/&gt;&lt;wsp:rsid wsp:val=&quot;00116D9F&quot;/&gt;&lt;wsp:rsid wsp:val=&quot;00117135&quot;/&gt;&lt;wsp:rsid wsp:val=&quot;00117DF4&quot;/&gt;&lt;wsp:rsid wsp:val=&quot;00117E44&quot;/&gt;&lt;wsp:rsid wsp:val=&quot;001208F5&quot;/&gt;&lt;wsp:rsid wsp:val=&quot;00120EEF&quot;/&gt;&lt;wsp:rsid wsp:val=&quot;00121126&quot;/&gt;&lt;wsp:rsid wsp:val=&quot;00121370&quot;/&gt;&lt;wsp:rsid wsp:val=&quot;00121427&quot;/&gt;&lt;wsp:rsid wsp:val=&quot;00121B9F&quot;/&gt;&lt;wsp:rsid wsp:val=&quot;001225E5&quot;/&gt;&lt;wsp:rsid wsp:val=&quot;00123406&quot;/&gt;&lt;wsp:rsid wsp:val=&quot;00124033&quot;/&gt;&lt;wsp:rsid wsp:val=&quot;0012413D&quot;/&gt;&lt;wsp:rsid wsp:val=&quot;0012415F&quot;/&gt;&lt;wsp:rsid wsp:val=&quot;0012466D&quot;/&gt;&lt;wsp:rsid wsp:val=&quot;001246E9&quot;/&gt;&lt;wsp:rsid wsp:val=&quot;00124768&quot;/&gt;&lt;wsp:rsid wsp:val=&quot;0012480C&quot;/&gt;&lt;wsp:rsid wsp:val=&quot;00124B97&quot;/&gt;&lt;wsp:rsid wsp:val=&quot;00124D10&quot;/&gt;&lt;wsp:rsid wsp:val=&quot;00124EFA&quot;/&gt;&lt;wsp:rsid wsp:val=&quot;001253F8&quot;/&gt;&lt;wsp:rsid wsp:val=&quot;001256E6&quot;/&gt;&lt;wsp:rsid wsp:val=&quot;00125704&quot;/&gt;&lt;wsp:rsid wsp:val=&quot;00125993&quot;/&gt;&lt;wsp:rsid wsp:val=&quot;00125E3E&quot;/&gt;&lt;wsp:rsid wsp:val=&quot;00125EC8&quot;/&gt;&lt;wsp:rsid wsp:val=&quot;001267F3&quot;/&gt;&lt;wsp:rsid wsp:val=&quot;00126B33&quot;/&gt;&lt;wsp:rsid wsp:val=&quot;00126B66&quot;/&gt;&lt;wsp:rsid wsp:val=&quot;00126C2D&quot;/&gt;&lt;wsp:rsid wsp:val=&quot;001275D2&quot;/&gt;&lt;wsp:rsid wsp:val=&quot;0012786E&quot;/&gt;&lt;wsp:rsid wsp:val=&quot;00127BAB&quot;/&gt;&lt;wsp:rsid wsp:val=&quot;00127E98&quot;/&gt;&lt;wsp:rsid wsp:val=&quot;00127FB2&quot;/&gt;&lt;wsp:rsid wsp:val=&quot;00127FB5&quot;/&gt;&lt;wsp:rsid wsp:val=&quot;00130A74&quot;/&gt;&lt;wsp:rsid wsp:val=&quot;00130C1F&quot;/&gt;&lt;wsp:rsid wsp:val=&quot;00130DF6&quot;/&gt;&lt;wsp:rsid wsp:val=&quot;001312C9&quot;/&gt;&lt;wsp:rsid wsp:val=&quot;001321C2&quot;/&gt;&lt;wsp:rsid wsp:val=&quot;0013228C&quot;/&gt;&lt;wsp:rsid wsp:val=&quot;00132445&quot;/&gt;&lt;wsp:rsid wsp:val=&quot;001324E1&quot;/&gt;&lt;wsp:rsid wsp:val=&quot;00132A51&quot;/&gt;&lt;wsp:rsid wsp:val=&quot;00132F01&quot;/&gt;&lt;wsp:rsid wsp:val=&quot;001331C9&quot;/&gt;&lt;wsp:rsid wsp:val=&quot;00133252&quot;/&gt;&lt;wsp:rsid wsp:val=&quot;0013329B&quot;/&gt;&lt;wsp:rsid wsp:val=&quot;0013382F&quot;/&gt;&lt;wsp:rsid wsp:val=&quot;00133B6E&quot;/&gt;&lt;wsp:rsid wsp:val=&quot;00133C59&quot;/&gt;&lt;wsp:rsid wsp:val=&quot;001340D6&quot;/&gt;&lt;wsp:rsid wsp:val=&quot;0013449E&quot;/&gt;&lt;wsp:rsid wsp:val=&quot;001348A5&quot;/&gt;&lt;wsp:rsid wsp:val=&quot;00134C65&quot;/&gt;&lt;wsp:rsid wsp:val=&quot;00135B13&quot;/&gt;&lt;wsp:rsid wsp:val=&quot;00135BE2&quot;/&gt;&lt;wsp:rsid wsp:val=&quot;00135E40&quot;/&gt;&lt;wsp:rsid wsp:val=&quot;00136038&quot;/&gt;&lt;wsp:rsid wsp:val=&quot;00136172&quot;/&gt;&lt;wsp:rsid wsp:val=&quot;00136726&quot;/&gt;&lt;wsp:rsid wsp:val=&quot;0013675C&quot;/&gt;&lt;wsp:rsid wsp:val=&quot;00136943&quot;/&gt;&lt;wsp:rsid wsp:val=&quot;00136DD5&quot;/&gt;&lt;wsp:rsid wsp:val=&quot;00137CD1&quot;/&gt;&lt;wsp:rsid wsp:val=&quot;00137DDF&quot;/&gt;&lt;wsp:rsid wsp:val=&quot;00140462&quot;/&gt;&lt;wsp:rsid wsp:val=&quot;001405F2&quot;/&gt;&lt;wsp:rsid wsp:val=&quot;00140671&quot;/&gt;&lt;wsp:rsid wsp:val=&quot;00140930&quot;/&gt;&lt;wsp:rsid wsp:val=&quot;00140D73&quot;/&gt;&lt;wsp:rsid wsp:val=&quot;0014116A&quot;/&gt;&lt;wsp:rsid wsp:val=&quot;0014122E&quot;/&gt;&lt;wsp:rsid wsp:val=&quot;001412BE&quot;/&gt;&lt;wsp:rsid wsp:val=&quot;0014148D&quot;/&gt;&lt;wsp:rsid wsp:val=&quot;00141775&quot;/&gt;&lt;wsp:rsid wsp:val=&quot;001419DB&quot;/&gt;&lt;wsp:rsid wsp:val=&quot;00141C07&quot;/&gt;&lt;wsp:rsid wsp:val=&quot;00141C08&quot;/&gt;&lt;wsp:rsid wsp:val=&quot;00141C38&quot;/&gt;&lt;wsp:rsid wsp:val=&quot;00141EB4&quot;/&gt;&lt;wsp:rsid wsp:val=&quot;00141F2E&quot;/&gt;&lt;wsp:rsid wsp:val=&quot;00141FDD&quot;/&gt;&lt;wsp:rsid wsp:val=&quot;0014294F&quot;/&gt;&lt;wsp:rsid wsp:val=&quot;001429CB&quot;/&gt;&lt;wsp:rsid wsp:val=&quot;00142FE8&quot;/&gt;&lt;wsp:rsid wsp:val=&quot;0014322A&quot;/&gt;&lt;wsp:rsid wsp:val=&quot;001436EE&quot;/&gt;&lt;wsp:rsid wsp:val=&quot;00143B0F&quot;/&gt;&lt;wsp:rsid wsp:val=&quot;00143BC4&quot;/&gt;&lt;wsp:rsid wsp:val=&quot;00143C67&quot;/&gt;&lt;wsp:rsid wsp:val=&quot;00143F7F&quot;/&gt;&lt;wsp:rsid wsp:val=&quot;00144047&quot;/&gt;&lt;wsp:rsid wsp:val=&quot;00144059&quot;/&gt;&lt;wsp:rsid wsp:val=&quot;001440E7&quot;/&gt;&lt;wsp:rsid wsp:val=&quot;00144344&quot;/&gt;&lt;wsp:rsid wsp:val=&quot;00144374&quot;/&gt;&lt;wsp:rsid wsp:val=&quot;0014437D&quot;/&gt;&lt;wsp:rsid wsp:val=&quot;0014466E&quot;/&gt;&lt;wsp:rsid wsp:val=&quot;00144673&quot;/&gt;&lt;wsp:rsid wsp:val=&quot;001446D2&quot;/&gt;&lt;wsp:rsid wsp:val=&quot;00144726&quot;/&gt;&lt;wsp:rsid wsp:val=&quot;00144767&quot;/&gt;&lt;wsp:rsid wsp:val=&quot;0014490D&quot;/&gt;&lt;wsp:rsid wsp:val=&quot;00144F35&quot;/&gt;&lt;wsp:rsid wsp:val=&quot;00145331&quot;/&gt;&lt;wsp:rsid wsp:val=&quot;001455DE&quot;/&gt;&lt;wsp:rsid wsp:val=&quot;00145803&quot;/&gt;&lt;wsp:rsid wsp:val=&quot;00145BF2&quot;/&gt;&lt;wsp:rsid wsp:val=&quot;00145C4D&quot;/&gt;&lt;wsp:rsid wsp:val=&quot;00146184&quot;/&gt;&lt;wsp:rsid wsp:val=&quot;00146391&quot;/&gt;&lt;wsp:rsid wsp:val=&quot;00146607&quot;/&gt;&lt;wsp:rsid wsp:val=&quot;0014699F&quot;/&gt;&lt;wsp:rsid wsp:val=&quot;00146A2F&quot;/&gt;&lt;wsp:rsid wsp:val=&quot;00146B05&quot;/&gt;&lt;wsp:rsid wsp:val=&quot;00146C8A&quot;/&gt;&lt;wsp:rsid wsp:val=&quot;00146D55&quot;/&gt;&lt;wsp:rsid wsp:val=&quot;00146F18&quot;/&gt;&lt;wsp:rsid wsp:val=&quot;00147126&quot;/&gt;&lt;wsp:rsid wsp:val=&quot;0014724F&quot;/&gt;&lt;wsp:rsid wsp:val=&quot;00147295&quot;/&gt;&lt;wsp:rsid wsp:val=&quot;00147818&quot;/&gt;&lt;wsp:rsid wsp:val=&quot;00147FEF&quot;/&gt;&lt;wsp:rsid wsp:val=&quot;00150376&quot;/&gt;&lt;wsp:rsid wsp:val=&quot;001503D0&quot;/&gt;&lt;wsp:rsid wsp:val=&quot;00150521&quot;/&gt;&lt;wsp:rsid wsp:val=&quot;00150814&quot;/&gt;&lt;wsp:rsid wsp:val=&quot;0015087D&quot;/&gt;&lt;wsp:rsid wsp:val=&quot;0015097F&quot;/&gt;&lt;wsp:rsid wsp:val=&quot;001509CA&quot;/&gt;&lt;wsp:rsid wsp:val=&quot;00150C1E&quot;/&gt;&lt;wsp:rsid wsp:val=&quot;0015167F&quot;/&gt;&lt;wsp:rsid wsp:val=&quot;00151943&quot;/&gt;&lt;wsp:rsid wsp:val=&quot;00151F94&quot;/&gt;&lt;wsp:rsid wsp:val=&quot;001524FB&quot;/&gt;&lt;wsp:rsid wsp:val=&quot;00152701&quot;/&gt;&lt;wsp:rsid wsp:val=&quot;00152B08&quot;/&gt;&lt;wsp:rsid wsp:val=&quot;00153540&quot;/&gt;&lt;wsp:rsid wsp:val=&quot;00153976&quot;/&gt;&lt;wsp:rsid wsp:val=&quot;00153DAE&quot;/&gt;&lt;wsp:rsid wsp:val=&quot;00153DC2&quot;/&gt;&lt;wsp:rsid wsp:val=&quot;001540BA&quot;/&gt;&lt;wsp:rsid wsp:val=&quot;00154274&quot;/&gt;&lt;wsp:rsid wsp:val=&quot;001543E0&quot;/&gt;&lt;wsp:rsid wsp:val=&quot;00154653&quot;/&gt;&lt;wsp:rsid wsp:val=&quot;00154F6D&quot;/&gt;&lt;wsp:rsid wsp:val=&quot;001556FC&quot;/&gt;&lt;wsp:rsid wsp:val=&quot;0015573A&quot;/&gt;&lt;wsp:rsid wsp:val=&quot;00155EEA&quot;/&gt;&lt;wsp:rsid wsp:val=&quot;00155FD9&quot;/&gt;&lt;wsp:rsid wsp:val=&quot;00156434&quot;/&gt;&lt;wsp:rsid wsp:val=&quot;00156556&quot;/&gt;&lt;wsp:rsid wsp:val=&quot;00156744&quot;/&gt;&lt;wsp:rsid wsp:val=&quot;00157387&quot;/&gt;&lt;wsp:rsid wsp:val=&quot;00157584&quot;/&gt;&lt;wsp:rsid wsp:val=&quot;001575D4&quot;/&gt;&lt;wsp:rsid wsp:val=&quot;001575F8&quot;/&gt;&lt;wsp:rsid wsp:val=&quot;00157648&quot;/&gt;&lt;wsp:rsid wsp:val=&quot;00157866&quot;/&gt;&lt;wsp:rsid wsp:val=&quot;00157980&quot;/&gt;&lt;wsp:rsid wsp:val=&quot;00157E05&quot;/&gt;&lt;wsp:rsid wsp:val=&quot;00160454&quot;/&gt;&lt;wsp:rsid wsp:val=&quot;0016058D&quot;/&gt;&lt;wsp:rsid wsp:val=&quot;001607E5&quot;/&gt;&lt;wsp:rsid wsp:val=&quot;00160980&quot;/&gt;&lt;wsp:rsid wsp:val=&quot;00160AD4&quot;/&gt;&lt;wsp:rsid wsp:val=&quot;00160BC7&quot;/&gt;&lt;wsp:rsid wsp:val=&quot;0016130B&quot;/&gt;&lt;wsp:rsid wsp:val=&quot;00161353&quot;/&gt;&lt;wsp:rsid wsp:val=&quot;00161462&quot;/&gt;&lt;wsp:rsid wsp:val=&quot;00161490&quot;/&gt;&lt;wsp:rsid wsp:val=&quot;0016182B&quot;/&gt;&lt;wsp:rsid wsp:val=&quot;00161DB9&quot;/&gt;&lt;wsp:rsid wsp:val=&quot;00162104&quot;/&gt;&lt;wsp:rsid wsp:val=&quot;00162740&quot;/&gt;&lt;wsp:rsid wsp:val=&quot;001628A9&quot;/&gt;&lt;wsp:rsid wsp:val=&quot;00162E69&quot;/&gt;&lt;wsp:rsid wsp:val=&quot;00163665&quot;/&gt;&lt;wsp:rsid wsp:val=&quot;00163743&quot;/&gt;&lt;wsp:rsid wsp:val=&quot;00163994&quot;/&gt;&lt;wsp:rsid wsp:val=&quot;001639AB&quot;/&gt;&lt;wsp:rsid wsp:val=&quot;001645C3&quot;/&gt;&lt;wsp:rsid wsp:val=&quot;00164650&quot;/&gt;&lt;wsp:rsid wsp:val=&quot;001649E4&quot;/&gt;&lt;wsp:rsid wsp:val=&quot;00164C4E&quot;/&gt;&lt;wsp:rsid wsp:val=&quot;00164FC4&quot;/&gt;&lt;wsp:rsid wsp:val=&quot;001657A1&quot;/&gt;&lt;wsp:rsid wsp:val=&quot;00165961&quot;/&gt;&lt;wsp:rsid wsp:val=&quot;00165B3A&quot;/&gt;&lt;wsp:rsid wsp:val=&quot;001669D3&quot;/&gt;&lt;wsp:rsid wsp:val=&quot;00166F4B&quot;/&gt;&lt;wsp:rsid wsp:val=&quot;00166FBD&quot;/&gt;&lt;wsp:rsid wsp:val=&quot;0016714B&quot;/&gt;&lt;wsp:rsid wsp:val=&quot;001674EC&quot;/&gt;&lt;wsp:rsid wsp:val=&quot;00167577&quot;/&gt;&lt;wsp:rsid wsp:val=&quot;0017016D&quot;/&gt;&lt;wsp:rsid wsp:val=&quot;001701DB&quot;/&gt;&lt;wsp:rsid wsp:val=&quot;001702AB&quot;/&gt;&lt;wsp:rsid wsp:val=&quot;001702D1&quot;/&gt;&lt;wsp:rsid wsp:val=&quot;001711EE&quot;/&gt;&lt;wsp:rsid wsp:val=&quot;001715F7&quot;/&gt;&lt;wsp:rsid wsp:val=&quot;00171C5B&quot;/&gt;&lt;wsp:rsid wsp:val=&quot;00171D1D&quot;/&gt;&lt;wsp:rsid wsp:val=&quot;00171D8A&quot;/&gt;&lt;wsp:rsid wsp:val=&quot;00172378&quot;/&gt;&lt;wsp:rsid wsp:val=&quot;001727E1&quot;/&gt;&lt;wsp:rsid wsp:val=&quot;0017294C&quot;/&gt;&lt;wsp:rsid wsp:val=&quot;00172971&quot;/&gt;&lt;wsp:rsid wsp:val=&quot;00173011&quot;/&gt;&lt;wsp:rsid wsp:val=&quot;0017323B&quot;/&gt;&lt;wsp:rsid wsp:val=&quot;00173241&quot;/&gt;&lt;wsp:rsid wsp:val=&quot;00173670&quot;/&gt;&lt;wsp:rsid wsp:val=&quot;0017389A&quot;/&gt;&lt;wsp:rsid wsp:val=&quot;00173C4A&quot;/&gt;&lt;wsp:rsid wsp:val=&quot;00173ECC&quot;/&gt;&lt;wsp:rsid wsp:val=&quot;00174454&quot;/&gt;&lt;wsp:rsid wsp:val=&quot;001745DE&quot;/&gt;&lt;wsp:rsid wsp:val=&quot;00175009&quot;/&gt;&lt;wsp:rsid wsp:val=&quot;001751C4&quot;/&gt;&lt;wsp:rsid wsp:val=&quot;00175348&quot;/&gt;&lt;wsp:rsid wsp:val=&quot;00175713&quot;/&gt;&lt;wsp:rsid wsp:val=&quot;00175844&quot;/&gt;&lt;wsp:rsid wsp:val=&quot;001762BD&quot;/&gt;&lt;wsp:rsid wsp:val=&quot;001769AA&quot;/&gt;&lt;wsp:rsid wsp:val=&quot;001773E7&quot;/&gt;&lt;wsp:rsid wsp:val=&quot;001774A5&quot;/&gt;&lt;wsp:rsid wsp:val=&quot;00177518&quot;/&gt;&lt;wsp:rsid wsp:val=&quot;001775EF&quot;/&gt;&lt;wsp:rsid wsp:val=&quot;00177C23&quot;/&gt;&lt;wsp:rsid wsp:val=&quot;00177C63&quot;/&gt;&lt;wsp:rsid wsp:val=&quot;00177D8A&quot;/&gt;&lt;wsp:rsid wsp:val=&quot;0018028C&quot;/&gt;&lt;wsp:rsid wsp:val=&quot;0018034A&quot;/&gt;&lt;wsp:rsid wsp:val=&quot;001804DC&quot;/&gt;&lt;wsp:rsid wsp:val=&quot;0018072A&quot;/&gt;&lt;wsp:rsid wsp:val=&quot;00180756&quot;/&gt;&lt;wsp:rsid wsp:val=&quot;001807D6&quot;/&gt;&lt;wsp:rsid wsp:val=&quot;00180838&quot;/&gt;&lt;wsp:rsid wsp:val=&quot;00180AB2&quot;/&gt;&lt;wsp:rsid wsp:val=&quot;00180AC9&quot;/&gt;&lt;wsp:rsid wsp:val=&quot;00180C62&quot;/&gt;&lt;wsp:rsid wsp:val=&quot;00180CB8&quot;/&gt;&lt;wsp:rsid wsp:val=&quot;0018185E&quot;/&gt;&lt;wsp:rsid wsp:val=&quot;00181916&quot;/&gt;&lt;wsp:rsid wsp:val=&quot;001819E1&quot;/&gt;&lt;wsp:rsid wsp:val=&quot;00181AF5&quot;/&gt;&lt;wsp:rsid wsp:val=&quot;00181D86&quot;/&gt;&lt;wsp:rsid wsp:val=&quot;00182435&quot;/&gt;&lt;wsp:rsid wsp:val=&quot;0018270F&quot;/&gt;&lt;wsp:rsid wsp:val=&quot;00182B5D&quot;/&gt;&lt;wsp:rsid wsp:val=&quot;00182C59&quot;/&gt;&lt;wsp:rsid wsp:val=&quot;00182D3D&quot;/&gt;&lt;wsp:rsid wsp:val=&quot;00182DD9&quot;/&gt;&lt;wsp:rsid wsp:val=&quot;001830E6&quot;/&gt;&lt;wsp:rsid wsp:val=&quot;001833EA&quot;/&gt;&lt;wsp:rsid wsp:val=&quot;0018344F&quot;/&gt;&lt;wsp:rsid wsp:val=&quot;00183C87&quot;/&gt;&lt;wsp:rsid wsp:val=&quot;00184DF4&quot;/&gt;&lt;wsp:rsid wsp:val=&quot;00184E1F&quot;/&gt;&lt;wsp:rsid wsp:val=&quot;00184E5F&quot;/&gt;&lt;wsp:rsid wsp:val=&quot;00184EA7&quot;/&gt;&lt;wsp:rsid wsp:val=&quot;00184F02&quot;/&gt;&lt;wsp:rsid wsp:val=&quot;001851CE&quot;/&gt;&lt;wsp:rsid wsp:val=&quot;001859B1&quot;/&gt;&lt;wsp:rsid wsp:val=&quot;0018645F&quot;/&gt;&lt;wsp:rsid wsp:val=&quot;00186981&quot;/&gt;&lt;wsp:rsid wsp:val=&quot;00186F25&quot;/&gt;&lt;wsp:rsid wsp:val=&quot;00187388&quot;/&gt;&lt;wsp:rsid wsp:val=&quot;00187D3C&quot;/&gt;&lt;wsp:rsid wsp:val=&quot;00187E46&quot;/&gt;&lt;wsp:rsid wsp:val=&quot;00190701&quot;/&gt;&lt;wsp:rsid wsp:val=&quot;00190B5D&quot;/&gt;&lt;wsp:rsid wsp:val=&quot;00190C3E&quot;/&gt;&lt;wsp:rsid wsp:val=&quot;00190EBA&quot;/&gt;&lt;wsp:rsid wsp:val=&quot;00191054&quot;/&gt;&lt;wsp:rsid wsp:val=&quot;0019249F&quot;/&gt;&lt;wsp:rsid wsp:val=&quot;00192717&quot;/&gt;&lt;wsp:rsid wsp:val=&quot;00192EA2&quot;/&gt;&lt;wsp:rsid wsp:val=&quot;00193079&quot;/&gt;&lt;wsp:rsid wsp:val=&quot;0019361F&quot;/&gt;&lt;wsp:rsid wsp:val=&quot;0019383D&quot;/&gt;&lt;wsp:rsid wsp:val=&quot;00194523&quot;/&gt;&lt;wsp:rsid wsp:val=&quot;0019482F&quot;/&gt;&lt;wsp:rsid wsp:val=&quot;00194E37&quot;/&gt;&lt;wsp:rsid wsp:val=&quot;00194EE0&quot;/&gt;&lt;wsp:rsid wsp:val=&quot;00195278&quot;/&gt;&lt;wsp:rsid wsp:val=&quot;001952EF&quot;/&gt;&lt;wsp:rsid wsp:val=&quot;0019531D&quot;/&gt;&lt;wsp:rsid wsp:val=&quot;001959E3&quot;/&gt;&lt;wsp:rsid wsp:val=&quot;00195B86&quot;/&gt;&lt;wsp:rsid wsp:val=&quot;00195F8B&quot;/&gt;&lt;wsp:rsid wsp:val=&quot;00196048&quot;/&gt;&lt;wsp:rsid wsp:val=&quot;00196061&quot;/&gt;&lt;wsp:rsid wsp:val=&quot;00196267&quot;/&gt;&lt;wsp:rsid wsp:val=&quot;001962DB&quot;/&gt;&lt;wsp:rsid wsp:val=&quot;001964A3&quot;/&gt;&lt;wsp:rsid wsp:val=&quot;001965B3&quot;/&gt;&lt;wsp:rsid wsp:val=&quot;0019674E&quot;/&gt;&lt;wsp:rsid wsp:val=&quot;0019686A&quot;/&gt;&lt;wsp:rsid wsp:val=&quot;00196903&quot;/&gt;&lt;wsp:rsid wsp:val=&quot;00196CEE&quot;/&gt;&lt;wsp:rsid wsp:val=&quot;00196D2C&quot;/&gt;&lt;wsp:rsid wsp:val=&quot;00196E61&quot;/&gt;&lt;wsp:rsid wsp:val=&quot;0019781F&quot;/&gt;&lt;wsp:rsid wsp:val=&quot;001978D8&quot;/&gt;&lt;wsp:rsid wsp:val=&quot;0019796F&quot;/&gt;&lt;wsp:rsid wsp:val=&quot;00197ACD&quot;/&gt;&lt;wsp:rsid wsp:val=&quot;00197BD5&quot;/&gt;&lt;wsp:rsid wsp:val=&quot;00197C63&quot;/&gt;&lt;wsp:rsid wsp:val=&quot;00197D10&quot;/&gt;&lt;wsp:rsid wsp:val=&quot;001A01F8&quot;/&gt;&lt;wsp:rsid wsp:val=&quot;001A0910&quot;/&gt;&lt;wsp:rsid wsp:val=&quot;001A0D8A&quot;/&gt;&lt;wsp:rsid wsp:val=&quot;001A1081&quot;/&gt;&lt;wsp:rsid wsp:val=&quot;001A137C&quot;/&gt;&lt;wsp:rsid wsp:val=&quot;001A15C6&quot;/&gt;&lt;wsp:rsid wsp:val=&quot;001A1E78&quot;/&gt;&lt;wsp:rsid wsp:val=&quot;001A24C9&quot;/&gt;&lt;wsp:rsid wsp:val=&quot;001A26BE&quot;/&gt;&lt;wsp:rsid wsp:val=&quot;001A2BC3&quot;/&gt;&lt;wsp:rsid wsp:val=&quot;001A3487&quot;/&gt;&lt;wsp:rsid wsp:val=&quot;001A3995&quot;/&gt;&lt;wsp:rsid wsp:val=&quot;001A4906&quot;/&gt;&lt;wsp:rsid wsp:val=&quot;001A4F58&quot;/&gt;&lt;wsp:rsid wsp:val=&quot;001A58EB&quot;/&gt;&lt;wsp:rsid wsp:val=&quot;001A5E4D&quot;/&gt;&lt;wsp:rsid wsp:val=&quot;001A5F78&quot;/&gt;&lt;wsp:rsid wsp:val=&quot;001A62C8&quot;/&gt;&lt;wsp:rsid wsp:val=&quot;001A642D&quot;/&gt;&lt;wsp:rsid wsp:val=&quot;001A65EA&quot;/&gt;&lt;wsp:rsid wsp:val=&quot;001A66B2&quot;/&gt;&lt;wsp:rsid wsp:val=&quot;001A7199&quot;/&gt;&lt;wsp:rsid wsp:val=&quot;001A7307&quot;/&gt;&lt;wsp:rsid wsp:val=&quot;001A786A&quot;/&gt;&lt;wsp:rsid wsp:val=&quot;001A7B4C&quot;/&gt;&lt;wsp:rsid wsp:val=&quot;001A7BCF&quot;/&gt;&lt;wsp:rsid wsp:val=&quot;001A7D02&quot;/&gt;&lt;wsp:rsid wsp:val=&quot;001A7E5E&quot;/&gt;&lt;wsp:rsid wsp:val=&quot;001A7E73&quot;/&gt;&lt;wsp:rsid wsp:val=&quot;001B0343&quot;/&gt;&lt;wsp:rsid wsp:val=&quot;001B0C29&quot;/&gt;&lt;wsp:rsid wsp:val=&quot;001B143F&quot;/&gt;&lt;wsp:rsid wsp:val=&quot;001B177A&quot;/&gt;&lt;wsp:rsid wsp:val=&quot;001B1E97&quot;/&gt;&lt;wsp:rsid wsp:val=&quot;001B1F9B&quot;/&gt;&lt;wsp:rsid wsp:val=&quot;001B2007&quot;/&gt;&lt;wsp:rsid wsp:val=&quot;001B24B5&quot;/&gt;&lt;wsp:rsid wsp:val=&quot;001B2C07&quot;/&gt;&lt;wsp:rsid wsp:val=&quot;001B2C65&quot;/&gt;&lt;wsp:rsid wsp:val=&quot;001B30B6&quot;/&gt;&lt;wsp:rsid wsp:val=&quot;001B3352&quot;/&gt;&lt;wsp:rsid wsp:val=&quot;001B366C&quot;/&gt;&lt;wsp:rsid wsp:val=&quot;001B480D&quot;/&gt;&lt;wsp:rsid wsp:val=&quot;001B50EC&quot;/&gt;&lt;wsp:rsid wsp:val=&quot;001B5245&quot;/&gt;&lt;wsp:rsid wsp:val=&quot;001B5723&quot;/&gt;&lt;wsp:rsid wsp:val=&quot;001B5778&quot;/&gt;&lt;wsp:rsid wsp:val=&quot;001B59EA&quot;/&gt;&lt;wsp:rsid wsp:val=&quot;001B5CF0&quot;/&gt;&lt;wsp:rsid wsp:val=&quot;001B5F1B&quot;/&gt;&lt;wsp:rsid wsp:val=&quot;001B5FC3&quot;/&gt;&lt;wsp:rsid wsp:val=&quot;001B6134&quot;/&gt;&lt;wsp:rsid wsp:val=&quot;001B62BE&quot;/&gt;&lt;wsp:rsid wsp:val=&quot;001B6449&quot;/&gt;&lt;wsp:rsid wsp:val=&quot;001B6589&quot;/&gt;&lt;wsp:rsid wsp:val=&quot;001B6727&quot;/&gt;&lt;wsp:rsid wsp:val=&quot;001B677A&quot;/&gt;&lt;wsp:rsid wsp:val=&quot;001B6841&quot;/&gt;&lt;wsp:rsid wsp:val=&quot;001B6EA0&quot;/&gt;&lt;wsp:rsid wsp:val=&quot;001B7237&quot;/&gt;&lt;wsp:rsid wsp:val=&quot;001B72A0&quot;/&gt;&lt;wsp:rsid wsp:val=&quot;001B72CE&quot;/&gt;&lt;wsp:rsid wsp:val=&quot;001B7314&quot;/&gt;&lt;wsp:rsid wsp:val=&quot;001B7436&quot;/&gt;&lt;wsp:rsid wsp:val=&quot;001B7EC8&quot;/&gt;&lt;wsp:rsid wsp:val=&quot;001C0401&quot;/&gt;&lt;wsp:rsid wsp:val=&quot;001C04E9&quot;/&gt;&lt;wsp:rsid wsp:val=&quot;001C0961&quot;/&gt;&lt;wsp:rsid wsp:val=&quot;001C0976&quot;/&gt;&lt;wsp:rsid wsp:val=&quot;001C09FF&quot;/&gt;&lt;wsp:rsid wsp:val=&quot;001C0A5F&quot;/&gt;&lt;wsp:rsid wsp:val=&quot;001C0AE9&quot;/&gt;&lt;wsp:rsid wsp:val=&quot;001C0B0E&quot;/&gt;&lt;wsp:rsid wsp:val=&quot;001C0C95&quot;/&gt;&lt;wsp:rsid wsp:val=&quot;001C0CD6&quot;/&gt;&lt;wsp:rsid wsp:val=&quot;001C16B9&quot;/&gt;&lt;wsp:rsid wsp:val=&quot;001C187C&quot;/&gt;&lt;wsp:rsid wsp:val=&quot;001C18C0&quot;/&gt;&lt;wsp:rsid wsp:val=&quot;001C1C58&quot;/&gt;&lt;wsp:rsid wsp:val=&quot;001C1CAC&quot;/&gt;&lt;wsp:rsid wsp:val=&quot;001C1CEE&quot;/&gt;&lt;wsp:rsid wsp:val=&quot;001C1D1F&quot;/&gt;&lt;wsp:rsid wsp:val=&quot;001C1D75&quot;/&gt;&lt;wsp:rsid wsp:val=&quot;001C2147&quot;/&gt;&lt;wsp:rsid wsp:val=&quot;001C26C9&quot;/&gt;&lt;wsp:rsid wsp:val=&quot;001C2A51&quot;/&gt;&lt;wsp:rsid wsp:val=&quot;001C2A5E&quot;/&gt;&lt;wsp:rsid wsp:val=&quot;001C2C7F&quot;/&gt;&lt;wsp:rsid wsp:val=&quot;001C2E20&quot;/&gt;&lt;wsp:rsid wsp:val=&quot;001C3050&quot;/&gt;&lt;wsp:rsid wsp:val=&quot;001C30A9&quot;/&gt;&lt;wsp:rsid wsp:val=&quot;001C3959&quot;/&gt;&lt;wsp:rsid wsp:val=&quot;001C3C48&quot;/&gt;&lt;wsp:rsid wsp:val=&quot;001C3C6C&quot;/&gt;&lt;wsp:rsid wsp:val=&quot;001C3F0F&quot;/&gt;&lt;wsp:rsid wsp:val=&quot;001C4AEA&quot;/&gt;&lt;wsp:rsid wsp:val=&quot;001C58BD&quot;/&gt;&lt;wsp:rsid wsp:val=&quot;001C5C69&quot;/&gt;&lt;wsp:rsid wsp:val=&quot;001C5C94&quot;/&gt;&lt;wsp:rsid wsp:val=&quot;001C5CEE&quot;/&gt;&lt;wsp:rsid wsp:val=&quot;001C5D71&quot;/&gt;&lt;wsp:rsid wsp:val=&quot;001C6447&quot;/&gt;&lt;wsp:rsid wsp:val=&quot;001C654D&quot;/&gt;&lt;wsp:rsid wsp:val=&quot;001C6B80&quot;/&gt;&lt;wsp:rsid wsp:val=&quot;001C70D3&quot;/&gt;&lt;wsp:rsid wsp:val=&quot;001C71F9&quot;/&gt;&lt;wsp:rsid wsp:val=&quot;001C7204&quot;/&gt;&lt;wsp:rsid wsp:val=&quot;001C7629&quot;/&gt;&lt;wsp:rsid wsp:val=&quot;001C7A9C&quot;/&gt;&lt;wsp:rsid wsp:val=&quot;001C7CE1&quot;/&gt;&lt;wsp:rsid wsp:val=&quot;001D00B9&quot;/&gt;&lt;wsp:rsid wsp:val=&quot;001D0A1C&quot;/&gt;&lt;wsp:rsid wsp:val=&quot;001D0B9D&quot;/&gt;&lt;wsp:rsid wsp:val=&quot;001D0C26&quot;/&gt;&lt;wsp:rsid wsp:val=&quot;001D0DE5&quot;/&gt;&lt;wsp:rsid wsp:val=&quot;001D10EF&quot;/&gt;&lt;wsp:rsid wsp:val=&quot;001D1184&quot;/&gt;&lt;wsp:rsid wsp:val=&quot;001D1322&quot;/&gt;&lt;wsp:rsid wsp:val=&quot;001D1489&quot;/&gt;&lt;wsp:rsid wsp:val=&quot;001D1803&quot;/&gt;&lt;wsp:rsid wsp:val=&quot;001D196E&quot;/&gt;&lt;wsp:rsid wsp:val=&quot;001D1F57&quot;/&gt;&lt;wsp:rsid wsp:val=&quot;001D2001&quot;/&gt;&lt;wsp:rsid wsp:val=&quot;001D2179&quot;/&gt;&lt;wsp:rsid wsp:val=&quot;001D23B3&quot;/&gt;&lt;wsp:rsid wsp:val=&quot;001D26B4&quot;/&gt;&lt;wsp:rsid wsp:val=&quot;001D26D4&quot;/&gt;&lt;wsp:rsid wsp:val=&quot;001D29DD&quot;/&gt;&lt;wsp:rsid wsp:val=&quot;001D2F24&quot;/&gt;&lt;wsp:rsid wsp:val=&quot;001D34A9&quot;/&gt;&lt;wsp:rsid wsp:val=&quot;001D38F3&quot;/&gt;&lt;wsp:rsid wsp:val=&quot;001D3900&quot;/&gt;&lt;wsp:rsid wsp:val=&quot;001D3B05&quot;/&gt;&lt;wsp:rsid wsp:val=&quot;001D4033&quot;/&gt;&lt;wsp:rsid wsp:val=&quot;001D40B1&quot;/&gt;&lt;wsp:rsid wsp:val=&quot;001D42F8&quot;/&gt;&lt;wsp:rsid wsp:val=&quot;001D45EE&quot;/&gt;&lt;wsp:rsid wsp:val=&quot;001D4B4C&quot;/&gt;&lt;wsp:rsid wsp:val=&quot;001D4BB6&quot;/&gt;&lt;wsp:rsid wsp:val=&quot;001D4C1E&quot;/&gt;&lt;wsp:rsid wsp:val=&quot;001D509C&quot;/&gt;&lt;wsp:rsid wsp:val=&quot;001D526E&quot;/&gt;&lt;wsp:rsid wsp:val=&quot;001D5701&quot;/&gt;&lt;wsp:rsid wsp:val=&quot;001D57C5&quot;/&gt;&lt;wsp:rsid wsp:val=&quot;001D5C93&quot;/&gt;&lt;wsp:rsid wsp:val=&quot;001D5E01&quot;/&gt;&lt;wsp:rsid wsp:val=&quot;001D5E5D&quot;/&gt;&lt;wsp:rsid wsp:val=&quot;001D5EE4&quot;/&gt;&lt;wsp:rsid wsp:val=&quot;001D6949&quot;/&gt;&lt;wsp:rsid wsp:val=&quot;001D73C5&quot;/&gt;&lt;wsp:rsid wsp:val=&quot;001D76F6&quot;/&gt;&lt;wsp:rsid wsp:val=&quot;001D775D&quot;/&gt;&lt;wsp:rsid wsp:val=&quot;001D786C&quot;/&gt;&lt;wsp:rsid wsp:val=&quot;001D7CC4&quot;/&gt;&lt;wsp:rsid wsp:val=&quot;001D7D2F&quot;/&gt;&lt;wsp:rsid wsp:val=&quot;001E0296&quot;/&gt;&lt;wsp:rsid wsp:val=&quot;001E04E8&quot;/&gt;&lt;wsp:rsid wsp:val=&quot;001E07A2&quot;/&gt;&lt;wsp:rsid wsp:val=&quot;001E08FD&quot;/&gt;&lt;wsp:rsid wsp:val=&quot;001E1354&quot;/&gt;&lt;wsp:rsid wsp:val=&quot;001E14B9&quot;/&gt;&lt;wsp:rsid wsp:val=&quot;001E18D9&quot;/&gt;&lt;wsp:rsid wsp:val=&quot;001E1FCF&quot;/&gt;&lt;wsp:rsid wsp:val=&quot;001E20FD&quot;/&gt;&lt;wsp:rsid wsp:val=&quot;001E2267&quot;/&gt;&lt;wsp:rsid wsp:val=&quot;001E2637&quot;/&gt;&lt;wsp:rsid wsp:val=&quot;001E2A20&quot;/&gt;&lt;wsp:rsid wsp:val=&quot;001E2D8A&quot;/&gt;&lt;wsp:rsid wsp:val=&quot;001E2EB0&quot;/&gt;&lt;wsp:rsid wsp:val=&quot;001E300D&quot;/&gt;&lt;wsp:rsid wsp:val=&quot;001E30B2&quot;/&gt;&lt;wsp:rsid wsp:val=&quot;001E373C&quot;/&gt;&lt;wsp:rsid wsp:val=&quot;001E3D7D&quot;/&gt;&lt;wsp:rsid wsp:val=&quot;001E3F78&quot;/&gt;&lt;wsp:rsid wsp:val=&quot;001E4198&quot;/&gt;&lt;wsp:rsid wsp:val=&quot;001E43ED&quot;/&gt;&lt;wsp:rsid wsp:val=&quot;001E4F2E&quot;/&gt;&lt;wsp:rsid wsp:val=&quot;001E5033&quot;/&gt;&lt;wsp:rsid wsp:val=&quot;001E5217&quot;/&gt;&lt;wsp:rsid wsp:val=&quot;001E572B&quot;/&gt;&lt;wsp:rsid wsp:val=&quot;001E5C1C&quot;/&gt;&lt;wsp:rsid wsp:val=&quot;001E5C97&quot;/&gt;&lt;wsp:rsid wsp:val=&quot;001E5EDA&quot;/&gt;&lt;wsp:rsid wsp:val=&quot;001E6651&quot;/&gt;&lt;wsp:rsid wsp:val=&quot;001E69EF&quot;/&gt;&lt;wsp:rsid wsp:val=&quot;001E6D44&quot;/&gt;&lt;wsp:rsid wsp:val=&quot;001E7750&quot;/&gt;&lt;wsp:rsid wsp:val=&quot;001E7880&quot;/&gt;&lt;wsp:rsid wsp:val=&quot;001E7EF3&quot;/&gt;&lt;wsp:rsid wsp:val=&quot;001E7F09&quot;/&gt;&lt;wsp:rsid wsp:val=&quot;001F059E&quot;/&gt;&lt;wsp:rsid wsp:val=&quot;001F087D&quot;/&gt;&lt;wsp:rsid wsp:val=&quot;001F0A2D&quot;/&gt;&lt;wsp:rsid wsp:val=&quot;001F0AF1&quot;/&gt;&lt;wsp:rsid wsp:val=&quot;001F1028&quot;/&gt;&lt;wsp:rsid wsp:val=&quot;001F1230&quot;/&gt;&lt;wsp:rsid wsp:val=&quot;001F1778&quot;/&gt;&lt;wsp:rsid wsp:val=&quot;001F1A47&quot;/&gt;&lt;wsp:rsid wsp:val=&quot;001F1C7D&quot;/&gt;&lt;wsp:rsid wsp:val=&quot;001F1D47&quot;/&gt;&lt;wsp:rsid wsp:val=&quot;001F2564&quot;/&gt;&lt;wsp:rsid wsp:val=&quot;001F2779&quot;/&gt;&lt;wsp:rsid wsp:val=&quot;001F2E44&quot;/&gt;&lt;wsp:rsid wsp:val=&quot;001F3051&quot;/&gt;&lt;wsp:rsid wsp:val=&quot;001F31D9&quot;/&gt;&lt;wsp:rsid wsp:val=&quot;001F342D&quot;/&gt;&lt;wsp:rsid wsp:val=&quot;001F35B9&quot;/&gt;&lt;wsp:rsid wsp:val=&quot;001F395C&quot;/&gt;&lt;wsp:rsid wsp:val=&quot;001F399A&quot;/&gt;&lt;wsp:rsid wsp:val=&quot;001F3B40&quot;/&gt;&lt;wsp:rsid wsp:val=&quot;001F4026&quot;/&gt;&lt;wsp:rsid wsp:val=&quot;001F42A4&quot;/&gt;&lt;wsp:rsid wsp:val=&quot;001F42DD&quot;/&gt;&lt;wsp:rsid wsp:val=&quot;001F44DE&quot;/&gt;&lt;wsp:rsid wsp:val=&quot;001F4A12&quot;/&gt;&lt;wsp:rsid wsp:val=&quot;001F4A64&quot;/&gt;&lt;wsp:rsid wsp:val=&quot;001F4B50&quot;/&gt;&lt;wsp:rsid wsp:val=&quot;001F591D&quot;/&gt;&lt;wsp:rsid wsp:val=&quot;001F5BFE&quot;/&gt;&lt;wsp:rsid wsp:val=&quot;001F5FAF&quot;/&gt;&lt;wsp:rsid wsp:val=&quot;001F6325&quot;/&gt;&lt;wsp:rsid wsp:val=&quot;001F653B&quot;/&gt;&lt;wsp:rsid wsp:val=&quot;001F678F&quot;/&gt;&lt;wsp:rsid wsp:val=&quot;001F69FE&quot;/&gt;&lt;wsp:rsid wsp:val=&quot;001F6A0A&quot;/&gt;&lt;wsp:rsid wsp:val=&quot;001F6C9D&quot;/&gt;&lt;wsp:rsid wsp:val=&quot;001F71DE&quot;/&gt;&lt;wsp:rsid wsp:val=&quot;001F728E&quot;/&gt;&lt;wsp:rsid wsp:val=&quot;001F7335&quot;/&gt;&lt;wsp:rsid wsp:val=&quot;001F746B&quot;/&gt;&lt;wsp:rsid wsp:val=&quot;001F783B&quot;/&gt;&lt;wsp:rsid wsp:val=&quot;002004B5&quot;/&gt;&lt;wsp:rsid wsp:val=&quot;00200A58&quot;/&gt;&lt;wsp:rsid wsp:val=&quot;0020115B&quot;/&gt;&lt;wsp:rsid wsp:val=&quot;0020118E&quot;/&gt;&lt;wsp:rsid wsp:val=&quot;00201390&quot;/&gt;&lt;wsp:rsid wsp:val=&quot;00201AD3&quot;/&gt;&lt;wsp:rsid wsp:val=&quot;00201B4F&quot;/&gt;&lt;wsp:rsid wsp:val=&quot;00202731&quot;/&gt;&lt;wsp:rsid wsp:val=&quot;00202FF3&quot;/&gt;&lt;wsp:rsid wsp:val=&quot;00203214&quot;/&gt;&lt;wsp:rsid wsp:val=&quot;00203669&quot;/&gt;&lt;wsp:rsid wsp:val=&quot;00203884&quot;/&gt;&lt;wsp:rsid wsp:val=&quot;00203A11&quot;/&gt;&lt;wsp:rsid wsp:val=&quot;00203A3D&quot;/&gt;&lt;wsp:rsid wsp:val=&quot;00203E63&quot;/&gt;&lt;wsp:rsid wsp:val=&quot;00203F61&quot;/&gt;&lt;wsp:rsid wsp:val=&quot;002040BA&quot;/&gt;&lt;wsp:rsid wsp:val=&quot;00204234&quot;/&gt;&lt;wsp:rsid wsp:val=&quot;00204CB2&quot;/&gt;&lt;wsp:rsid wsp:val=&quot;00204EB1&quot;/&gt;&lt;wsp:rsid wsp:val=&quot;002052F6&quot;/&gt;&lt;wsp:rsid wsp:val=&quot;00205787&quot;/&gt;&lt;wsp:rsid wsp:val=&quot;00205C1E&quot;/&gt;&lt;wsp:rsid wsp:val=&quot;002062A1&quot;/&gt;&lt;wsp:rsid wsp:val=&quot;002062ED&quot;/&gt;&lt;wsp:rsid wsp:val=&quot;002063F5&quot;/&gt;&lt;wsp:rsid wsp:val=&quot;00206B0F&quot;/&gt;&lt;wsp:rsid wsp:val=&quot;00206F17&quot;/&gt;&lt;wsp:rsid wsp:val=&quot;002070B9&quot;/&gt;&lt;wsp:rsid wsp:val=&quot;00207292&quot;/&gt;&lt;wsp:rsid wsp:val=&quot;00207A76&quot;/&gt;&lt;wsp:rsid wsp:val=&quot;00207E9C&quot;/&gt;&lt;wsp:rsid wsp:val=&quot;002109EC&quot;/&gt;&lt;wsp:rsid wsp:val=&quot;00210ED5&quot;/&gt;&lt;wsp:rsid wsp:val=&quot;0021131D&quot;/&gt;&lt;wsp:rsid wsp:val=&quot;00211415&quot;/&gt;&lt;wsp:rsid wsp:val=&quot;0021154F&quot;/&gt;&lt;wsp:rsid wsp:val=&quot;00211603&quot;/&gt;&lt;wsp:rsid wsp:val=&quot;0021178A&quot;/&gt;&lt;wsp:rsid wsp:val=&quot;00211A9D&quot;/&gt;&lt;wsp:rsid wsp:val=&quot;00211E3A&quot;/&gt;&lt;wsp:rsid wsp:val=&quot;00212629&quot;/&gt;&lt;wsp:rsid wsp:val=&quot;00212D0A&quot;/&gt;&lt;wsp:rsid wsp:val=&quot;0021342F&quot;/&gt;&lt;wsp:rsid wsp:val=&quot;00213716&quot;/&gt;&lt;wsp:rsid wsp:val=&quot;00213AA3&quot;/&gt;&lt;wsp:rsid wsp:val=&quot;00213AE7&quot;/&gt;&lt;wsp:rsid wsp:val=&quot;00213CD1&quot;/&gt;&lt;wsp:rsid wsp:val=&quot;002144B9&quot;/&gt;&lt;wsp:rsid wsp:val=&quot;002145B2&quot;/&gt;&lt;wsp:rsid wsp:val=&quot;002148B7&quot;/&gt;&lt;wsp:rsid wsp:val=&quot;00215153&quot;/&gt;&lt;wsp:rsid wsp:val=&quot;002152B4&quot;/&gt;&lt;wsp:rsid wsp:val=&quot;00215363&quot;/&gt;&lt;wsp:rsid wsp:val=&quot;002155D5&quot;/&gt;&lt;wsp:rsid wsp:val=&quot;002157D0&quot;/&gt;&lt;wsp:rsid wsp:val=&quot;002158BB&quot;/&gt;&lt;wsp:rsid wsp:val=&quot;00215923&quot;/&gt;&lt;wsp:rsid wsp:val=&quot;00215B16&quot;/&gt;&lt;wsp:rsid wsp:val=&quot;00216252&quot;/&gt;&lt;wsp:rsid wsp:val=&quot;00216A42&quot;/&gt;&lt;wsp:rsid wsp:val=&quot;0021762E&quot;/&gt;&lt;wsp:rsid wsp:val=&quot;00217863&quot;/&gt;&lt;wsp:rsid wsp:val=&quot;00217875&quot;/&gt;&lt;wsp:rsid wsp:val=&quot;00217C16&quot;/&gt;&lt;wsp:rsid wsp:val=&quot;00217CDD&quot;/&gt;&lt;wsp:rsid wsp:val=&quot;00217DF4&quot;/&gt;&lt;wsp:rsid wsp:val=&quot;00217FF3&quot;/&gt;&lt;wsp:rsid wsp:val=&quot;002201D1&quot;/&gt;&lt;wsp:rsid wsp:val=&quot;0022087F&quot;/&gt;&lt;wsp:rsid wsp:val=&quot;00220A70&quot;/&gt;&lt;wsp:rsid wsp:val=&quot;00220E2B&quot;/&gt;&lt;wsp:rsid wsp:val=&quot;00220FF9&quot;/&gt;&lt;wsp:rsid wsp:val=&quot;00221C9E&quot;/&gt;&lt;wsp:rsid wsp:val=&quot;00221CE5&quot;/&gt;&lt;wsp:rsid wsp:val=&quot;00222238&quot;/&gt;&lt;wsp:rsid wsp:val=&quot;002223C9&quot;/&gt;&lt;wsp:rsid wsp:val=&quot;00222500&quot;/&gt;&lt;wsp:rsid wsp:val=&quot;002226AA&quot;/&gt;&lt;wsp:rsid wsp:val=&quot;0022270D&quot;/&gt;&lt;wsp:rsid wsp:val=&quot;00222C43&quot;/&gt;&lt;wsp:rsid wsp:val=&quot;00222D7F&quot;/&gt;&lt;wsp:rsid wsp:val=&quot;00222DC8&quot;/&gt;&lt;wsp:rsid wsp:val=&quot;002231EE&quot;/&gt;&lt;wsp:rsid wsp:val=&quot;002233E3&quot;/&gt;&lt;wsp:rsid wsp:val=&quot;002239B7&quot;/&gt;&lt;wsp:rsid wsp:val=&quot;00223A30&quot;/&gt;&lt;wsp:rsid wsp:val=&quot;00223B60&quot;/&gt;&lt;wsp:rsid wsp:val=&quot;00223DE6&quot;/&gt;&lt;wsp:rsid wsp:val=&quot;00223F62&quot;/&gt;&lt;wsp:rsid wsp:val=&quot;00223F9C&quot;/&gt;&lt;wsp:rsid wsp:val=&quot;00223FFC&quot;/&gt;&lt;wsp:rsid wsp:val=&quot;002249B1&quot;/&gt;&lt;wsp:rsid wsp:val=&quot;00224B87&quot;/&gt;&lt;wsp:rsid wsp:val=&quot;002252A4&quot;/&gt;&lt;wsp:rsid wsp:val=&quot;002256D7&quot;/&gt;&lt;wsp:rsid wsp:val=&quot;002256F8&quot;/&gt;&lt;wsp:rsid wsp:val=&quot;0022588E&quot;/&gt;&lt;wsp:rsid wsp:val=&quot;00226142&quot;/&gt;&lt;wsp:rsid wsp:val=&quot;00226165&quot;/&gt;&lt;wsp:rsid wsp:val=&quot;0022658A&quot;/&gt;&lt;wsp:rsid wsp:val=&quot;00226901&quot;/&gt;&lt;wsp:rsid wsp:val=&quot;00226C9A&quot;/&gt;&lt;wsp:rsid wsp:val=&quot;00226CAA&quot;/&gt;&lt;wsp:rsid wsp:val=&quot;00226E16&quot;/&gt;&lt;wsp:rsid wsp:val=&quot;00226F0D&quot;/&gt;&lt;wsp:rsid wsp:val=&quot;00226FCA&quot;/&gt;&lt;wsp:rsid wsp:val=&quot;00227818&quot;/&gt;&lt;wsp:rsid wsp:val=&quot;0022783D&quot;/&gt;&lt;wsp:rsid wsp:val=&quot;00227A0E&quot;/&gt;&lt;wsp:rsid wsp:val=&quot;00227CA3&quot;/&gt;&lt;wsp:rsid wsp:val=&quot;00227CAC&quot;/&gt;&lt;wsp:rsid wsp:val=&quot;00227F09&quot;/&gt;&lt;wsp:rsid wsp:val=&quot;002300C7&quot;/&gt;&lt;wsp:rsid wsp:val=&quot;002300D2&quot;/&gt;&lt;wsp:rsid wsp:val=&quot;00230153&quot;/&gt;&lt;wsp:rsid wsp:val=&quot;00230303&quot;/&gt;&lt;wsp:rsid wsp:val=&quot;00230718&quot;/&gt;&lt;wsp:rsid wsp:val=&quot;00230D26&quot;/&gt;&lt;wsp:rsid wsp:val=&quot;002314F1&quot;/&gt;&lt;wsp:rsid wsp:val=&quot;00231683&quot;/&gt;&lt;wsp:rsid wsp:val=&quot;00231CB7&quot;/&gt;&lt;wsp:rsid wsp:val=&quot;00231EF3&quot;/&gt;&lt;wsp:rsid wsp:val=&quot;0023208D&quot;/&gt;&lt;wsp:rsid wsp:val=&quot;00232266&quot;/&gt;&lt;wsp:rsid wsp:val=&quot;002324A6&quot;/&gt;&lt;wsp:rsid wsp:val=&quot;002325A1&quot;/&gt;&lt;wsp:rsid wsp:val=&quot;00232989&quot;/&gt;&lt;wsp:rsid wsp:val=&quot;00232A0A&quot;/&gt;&lt;wsp:rsid wsp:val=&quot;00232B15&quot;/&gt;&lt;wsp:rsid wsp:val=&quot;00232B66&quot;/&gt;&lt;wsp:rsid wsp:val=&quot;00232E63&quot;/&gt;&lt;wsp:rsid wsp:val=&quot;00233149&quot;/&gt;&lt;wsp:rsid wsp:val=&quot;0023329A&quot;/&gt;&lt;wsp:rsid wsp:val=&quot;002333DE&quot;/&gt;&lt;wsp:rsid wsp:val=&quot;00233477&quot;/&gt;&lt;wsp:rsid wsp:val=&quot;00233F42&quot;/&gt;&lt;wsp:rsid wsp:val=&quot;002348CB&quot;/&gt;&lt;wsp:rsid wsp:val=&quot;002349BD&quot;/&gt;&lt;wsp:rsid wsp:val=&quot;00234A0C&quot;/&gt;&lt;wsp:rsid wsp:val=&quot;0023556F&quot;/&gt;&lt;wsp:rsid wsp:val=&quot;00235ACA&quot;/&gt;&lt;wsp:rsid wsp:val=&quot;00236590&quot;/&gt;&lt;wsp:rsid wsp:val=&quot;00236846&quot;/&gt;&lt;wsp:rsid wsp:val=&quot;00236C23&quot;/&gt;&lt;wsp:rsid wsp:val=&quot;00236C72&quot;/&gt;&lt;wsp:rsid wsp:val=&quot;00236C7C&quot;/&gt;&lt;wsp:rsid wsp:val=&quot;00236D67&quot;/&gt;&lt;wsp:rsid wsp:val=&quot;0023725F&quot;/&gt;&lt;wsp:rsid wsp:val=&quot;00237F39&quot;/&gt;&lt;wsp:rsid wsp:val=&quot;002402F2&quot;/&gt;&lt;wsp:rsid wsp:val=&quot;002413BD&quot;/&gt;&lt;wsp:rsid wsp:val=&quot;00241542&quot;/&gt;&lt;wsp:rsid wsp:val=&quot;0024185C&quot;/&gt;&lt;wsp:rsid wsp:val=&quot;002418E7&quot;/&gt;&lt;wsp:rsid wsp:val=&quot;00241A04&quot;/&gt;&lt;wsp:rsid wsp:val=&quot;00241A62&quot;/&gt;&lt;wsp:rsid wsp:val=&quot;00241B80&quot;/&gt;&lt;wsp:rsid wsp:val=&quot;00241C03&quot;/&gt;&lt;wsp:rsid wsp:val=&quot;00241F45&quot;/&gt;&lt;wsp:rsid wsp:val=&quot;00241F5F&quot;/&gt;&lt;wsp:rsid wsp:val=&quot;0024244A&quot;/&gt;&lt;wsp:rsid wsp:val=&quot;0024265F&quot;/&gt;&lt;wsp:rsid wsp:val=&quot;002426C6&quot;/&gt;&lt;wsp:rsid wsp:val=&quot;002427E0&quot;/&gt;&lt;wsp:rsid wsp:val=&quot;00242B14&quot;/&gt;&lt;wsp:rsid wsp:val=&quot;00242C0C&quot;/&gt;&lt;wsp:rsid wsp:val=&quot;00242E31&quot;/&gt;&lt;wsp:rsid wsp:val=&quot;0024301C&quot;/&gt;&lt;wsp:rsid wsp:val=&quot;0024379A&quot;/&gt;&lt;wsp:rsid wsp:val=&quot;00243812&quot;/&gt;&lt;wsp:rsid wsp:val=&quot;00243ACD&quot;/&gt;&lt;wsp:rsid wsp:val=&quot;00243BBE&quot;/&gt;&lt;wsp:rsid wsp:val=&quot;00243C6C&quot;/&gt;&lt;wsp:rsid wsp:val=&quot;0024489F&quot;/&gt;&lt;wsp:rsid wsp:val=&quot;00244FD7&quot;/&gt;&lt;wsp:rsid wsp:val=&quot;0024598B&quot;/&gt;&lt;wsp:rsid wsp:val=&quot;00245AEB&quot;/&gt;&lt;wsp:rsid wsp:val=&quot;002461EA&quot;/&gt;&lt;wsp:rsid wsp:val=&quot;002462E4&quot;/&gt;&lt;wsp:rsid wsp:val=&quot;002467DF&quot;/&gt;&lt;wsp:rsid wsp:val=&quot;0024687E&quot;/&gt;&lt;wsp:rsid wsp:val=&quot;002470B2&quot;/&gt;&lt;wsp:rsid wsp:val=&quot;00247351&quot;/&gt;&lt;wsp:rsid wsp:val=&quot;0024791D&quot;/&gt;&lt;wsp:rsid wsp:val=&quot;00247ACC&quot;/&gt;&lt;wsp:rsid wsp:val=&quot;00247FB1&quot;/&gt;&lt;wsp:rsid wsp:val=&quot;00250170&quot;/&gt;&lt;wsp:rsid wsp:val=&quot;0025022B&quot;/&gt;&lt;wsp:rsid wsp:val=&quot;00251027&quot;/&gt;&lt;wsp:rsid wsp:val=&quot;002510E4&quot;/&gt;&lt;wsp:rsid wsp:val=&quot;0025119D&quot;/&gt;&lt;wsp:rsid wsp:val=&quot;002512E4&quot;/&gt;&lt;wsp:rsid wsp:val=&quot;0025156F&quot;/&gt;&lt;wsp:rsid wsp:val=&quot;00251989&quot;/&gt;&lt;wsp:rsid wsp:val=&quot;00251B43&quot;/&gt;&lt;wsp:rsid wsp:val=&quot;00251FAE&quot;/&gt;&lt;wsp:rsid wsp:val=&quot;002520F8&quot;/&gt;&lt;wsp:rsid wsp:val=&quot;0025211D&quot;/&gt;&lt;wsp:rsid wsp:val=&quot;002526AA&quot;/&gt;&lt;wsp:rsid wsp:val=&quot;0025346F&quot;/&gt;&lt;wsp:rsid wsp:val=&quot;002535C1&quot;/&gt;&lt;wsp:rsid wsp:val=&quot;002535F2&quot;/&gt;&lt;wsp:rsid wsp:val=&quot;00253A28&quot;/&gt;&lt;wsp:rsid wsp:val=&quot;00253B29&quot;/&gt;&lt;wsp:rsid wsp:val=&quot;002540E7&quot;/&gt;&lt;wsp:rsid wsp:val=&quot;0025414B&quot;/&gt;&lt;wsp:rsid wsp:val=&quot;002543FB&quot;/&gt;&lt;wsp:rsid wsp:val=&quot;00254992&quot;/&gt;&lt;wsp:rsid wsp:val=&quot;00254A31&quot;/&gt;&lt;wsp:rsid wsp:val=&quot;00254B17&quot;/&gt;&lt;wsp:rsid wsp:val=&quot;0025529C&quot;/&gt;&lt;wsp:rsid wsp:val=&quot;0025553E&quot;/&gt;&lt;wsp:rsid wsp:val=&quot;002559DA&quot;/&gt;&lt;wsp:rsid wsp:val=&quot;00255A5F&quot;/&gt;&lt;wsp:rsid wsp:val=&quot;002567B3&quot;/&gt;&lt;wsp:rsid wsp:val=&quot;002567D9&quot;/&gt;&lt;wsp:rsid wsp:val=&quot;00257074&quot;/&gt;&lt;wsp:rsid wsp:val=&quot;0025716B&quot;/&gt;&lt;wsp:rsid wsp:val=&quot;002572DE&quot;/&gt;&lt;wsp:rsid wsp:val=&quot;002574AB&quot;/&gt;&lt;wsp:rsid wsp:val=&quot;00257710&quot;/&gt;&lt;wsp:rsid wsp:val=&quot;00257D51&quot;/&gt;&lt;wsp:rsid wsp:val=&quot;00260D34&quot;/&gt;&lt;wsp:rsid wsp:val=&quot;00260E55&quot;/&gt;&lt;wsp:rsid wsp:val=&quot;002617C9&quot;/&gt;&lt;wsp:rsid wsp:val=&quot;002618C2&quot;/&gt;&lt;wsp:rsid wsp:val=&quot;00261D85&quot;/&gt;&lt;wsp:rsid wsp:val=&quot;00262087&quot;/&gt;&lt;wsp:rsid wsp:val=&quot;0026227B&quot;/&gt;&lt;wsp:rsid wsp:val=&quot;00262456&quot;/&gt;&lt;wsp:rsid wsp:val=&quot;0026246C&quot;/&gt;&lt;wsp:rsid wsp:val=&quot;002624A1&quot;/&gt;&lt;wsp:rsid wsp:val=&quot;002627F3&quot;/&gt;&lt;wsp:rsid wsp:val=&quot;00262BD7&quot;/&gt;&lt;wsp:rsid wsp:val=&quot;00262C4D&quot;/&gt;&lt;wsp:rsid wsp:val=&quot;0026359A&quot;/&gt;&lt;wsp:rsid wsp:val=&quot;002636A2&quot;/&gt;&lt;wsp:rsid wsp:val=&quot;002636E9&quot;/&gt;&lt;wsp:rsid wsp:val=&quot;0026396F&quot;/&gt;&lt;wsp:rsid wsp:val=&quot;00263A8D&quot;/&gt;&lt;wsp:rsid wsp:val=&quot;00263C47&quot;/&gt;&lt;wsp:rsid wsp:val=&quot;00263C9F&quot;/&gt;&lt;wsp:rsid wsp:val=&quot;00263E47&quot;/&gt;&lt;wsp:rsid wsp:val=&quot;00263FB4&quot;/&gt;&lt;wsp:rsid wsp:val=&quot;002640D0&quot;/&gt;&lt;wsp:rsid wsp:val=&quot;002643DA&quot;/&gt;&lt;wsp:rsid wsp:val=&quot;002644E2&quot;/&gt;&lt;wsp:rsid wsp:val=&quot;0026461E&quot;/&gt;&lt;wsp:rsid wsp:val=&quot;00264E91&quot;/&gt;&lt;wsp:rsid wsp:val=&quot;00264F6D&quot;/&gt;&lt;wsp:rsid wsp:val=&quot;002655F6&quot;/&gt;&lt;wsp:rsid wsp:val=&quot;0026560C&quot;/&gt;&lt;wsp:rsid wsp:val=&quot;00265FF0&quot;/&gt;&lt;wsp:rsid wsp:val=&quot;00266E09&quot;/&gt;&lt;wsp:rsid wsp:val=&quot;0026739F&quot;/&gt;&lt;wsp:rsid wsp:val=&quot;00267640&quot;/&gt;&lt;wsp:rsid wsp:val=&quot;00270029&quot;/&gt;&lt;wsp:rsid wsp:val=&quot;0027018D&quot;/&gt;&lt;wsp:rsid wsp:val=&quot;00270611&quot;/&gt;&lt;wsp:rsid wsp:val=&quot;00270697&quot;/&gt;&lt;wsp:rsid wsp:val=&quot;00270755&quot;/&gt;&lt;wsp:rsid wsp:val=&quot;00270B47&quot;/&gt;&lt;wsp:rsid wsp:val=&quot;00270D59&quot;/&gt;&lt;wsp:rsid wsp:val=&quot;00271289&quot;/&gt;&lt;wsp:rsid wsp:val=&quot;0027134C&quot;/&gt;&lt;wsp:rsid wsp:val=&quot;00271593&quot;/&gt;&lt;wsp:rsid wsp:val=&quot;002715A6&quot;/&gt;&lt;wsp:rsid wsp:val=&quot;0027161F&quot;/&gt;&lt;wsp:rsid wsp:val=&quot;00271D4D&quot;/&gt;&lt;wsp:rsid wsp:val=&quot;00271E47&quot;/&gt;&lt;wsp:rsid wsp:val=&quot;0027224A&quot;/&gt;&lt;wsp:rsid wsp:val=&quot;002724EF&quot;/&gt;&lt;wsp:rsid wsp:val=&quot;002724F4&quot;/&gt;&lt;wsp:rsid wsp:val=&quot;00272C48&quot;/&gt;&lt;wsp:rsid wsp:val=&quot;002732D0&quot;/&gt;&lt;wsp:rsid wsp:val=&quot;002736D7&quot;/&gt;&lt;wsp:rsid wsp:val=&quot;0027373B&quot;/&gt;&lt;wsp:rsid wsp:val=&quot;00274050&quot;/&gt;&lt;wsp:rsid wsp:val=&quot;00274196&quot;/&gt;&lt;wsp:rsid wsp:val=&quot;00274205&quot;/&gt;&lt;wsp:rsid wsp:val=&quot;002744A3&quot;/&gt;&lt;wsp:rsid wsp:val=&quot;002744AA&quot;/&gt;&lt;wsp:rsid wsp:val=&quot;002747BF&quot;/&gt;&lt;wsp:rsid wsp:val=&quot;002747D0&quot;/&gt;&lt;wsp:rsid wsp:val=&quot;002748ED&quot;/&gt;&lt;wsp:rsid wsp:val=&quot;00274955&quot;/&gt;&lt;wsp:rsid wsp:val=&quot;0027499C&quot;/&gt;&lt;wsp:rsid wsp:val=&quot;00274A6C&quot;/&gt;&lt;wsp:rsid wsp:val=&quot;00274C83&quot;/&gt;&lt;wsp:rsid wsp:val=&quot;00274CDA&quot;/&gt;&lt;wsp:rsid wsp:val=&quot;0027513F&quot;/&gt;&lt;wsp:rsid wsp:val=&quot;00275142&quot;/&gt;&lt;wsp:rsid wsp:val=&quot;00275637&quot;/&gt;&lt;wsp:rsid wsp:val=&quot;002757D0&quot;/&gt;&lt;wsp:rsid wsp:val=&quot;00275A5D&quot;/&gt;&lt;wsp:rsid wsp:val=&quot;00275AD2&quot;/&gt;&lt;wsp:rsid wsp:val=&quot;0027613B&quot;/&gt;&lt;wsp:rsid wsp:val=&quot;0027644C&quot;/&gt;&lt;wsp:rsid wsp:val=&quot;002765AD&quot;/&gt;&lt;wsp:rsid wsp:val=&quot;002767D0&quot;/&gt;&lt;wsp:rsid wsp:val=&quot;00276D6C&quot;/&gt;&lt;wsp:rsid wsp:val=&quot;00276F23&quot;/&gt;&lt;wsp:rsid wsp:val=&quot;0027716C&quot;/&gt;&lt;wsp:rsid wsp:val=&quot;002779DD&quot;/&gt;&lt;wsp:rsid wsp:val=&quot;00277F07&quot;/&gt;&lt;wsp:rsid wsp:val=&quot;0028013C&quot;/&gt;&lt;wsp:rsid wsp:val=&quot;002803DE&quot;/&gt;&lt;wsp:rsid wsp:val=&quot;002804A3&quot;/&gt;&lt;wsp:rsid wsp:val=&quot;00280893&quot;/&gt;&lt;wsp:rsid wsp:val=&quot;002812C9&quot;/&gt;&lt;wsp:rsid wsp:val=&quot;002814EC&quot;/&gt;&lt;wsp:rsid wsp:val=&quot;0028166F&quot;/&gt;&lt;wsp:rsid wsp:val=&quot;00281860&quot;/&gt;&lt;wsp:rsid wsp:val=&quot;00281952&quot;/&gt;&lt;wsp:rsid wsp:val=&quot;00282A78&quot;/&gt;&lt;wsp:rsid wsp:val=&quot;00282B4B&quot;/&gt;&lt;wsp:rsid wsp:val=&quot;00282BDA&quot;/&gt;&lt;wsp:rsid wsp:val=&quot;00282E4D&quot;/&gt;&lt;wsp:rsid wsp:val=&quot;002832E0&quot;/&gt;&lt;wsp:rsid wsp:val=&quot;002833BB&quot;/&gt;&lt;wsp:rsid wsp:val=&quot;0028346E&quot;/&gt;&lt;wsp:rsid wsp:val=&quot;002835C7&quot;/&gt;&lt;wsp:rsid wsp:val=&quot;00284392&quot;/&gt;&lt;wsp:rsid wsp:val=&quot;00284567&quot;/&gt;&lt;wsp:rsid wsp:val=&quot;00284A7F&quot;/&gt;&lt;wsp:rsid wsp:val=&quot;00284BC4&quot;/&gt;&lt;wsp:rsid wsp:val=&quot;00284C0D&quot;/&gt;&lt;wsp:rsid wsp:val=&quot;00285346&quot;/&gt;&lt;wsp:rsid wsp:val=&quot;0028553F&quot;/&gt;&lt;wsp:rsid wsp:val=&quot;00285701&quot;/&gt;&lt;wsp:rsid wsp:val=&quot;00285A7F&quot;/&gt;&lt;wsp:rsid wsp:val=&quot;00285AF2&quot;/&gt;&lt;wsp:rsid wsp:val=&quot;00285FC0&quot;/&gt;&lt;wsp:rsid wsp:val=&quot;00285FC5&quot;/&gt;&lt;wsp:rsid wsp:val=&quot;0028641F&quot;/&gt;&lt;wsp:rsid wsp:val=&quot;002867AA&quot;/&gt;&lt;wsp:rsid wsp:val=&quot;002869F5&quot;/&gt;&lt;wsp:rsid wsp:val=&quot;00286F24&quot;/&gt;&lt;wsp:rsid wsp:val=&quot;00286F32&quot;/&gt;&lt;wsp:rsid wsp:val=&quot;00287223&quot;/&gt;&lt;wsp:rsid wsp:val=&quot;00287681&quot;/&gt;&lt;wsp:rsid wsp:val=&quot;00287EBD&quot;/&gt;&lt;wsp:rsid wsp:val=&quot;00287F8E&quot;/&gt;&lt;wsp:rsid wsp:val=&quot;0029008F&quot;/&gt;&lt;wsp:rsid wsp:val=&quot;0029079A&quot;/&gt;&lt;wsp:rsid wsp:val=&quot;00290A2D&quot;/&gt;&lt;wsp:rsid wsp:val=&quot;002910F2&quot;/&gt;&lt;wsp:rsid wsp:val=&quot;002911F5&quot;/&gt;&lt;wsp:rsid wsp:val=&quot;00291250&quot;/&gt;&lt;wsp:rsid wsp:val=&quot;0029135F&quot;/&gt;&lt;wsp:rsid wsp:val=&quot;0029196D&quot;/&gt;&lt;wsp:rsid wsp:val=&quot;00291A01&quot;/&gt;&lt;wsp:rsid wsp:val=&quot;00291A62&quot;/&gt;&lt;wsp:rsid wsp:val=&quot;00291F28&quot;/&gt;&lt;wsp:rsid wsp:val=&quot;00292687&quot;/&gt;&lt;wsp:rsid wsp:val=&quot;002929B3&quot;/&gt;&lt;wsp:rsid wsp:val=&quot;00292B75&quot;/&gt;&lt;wsp:rsid wsp:val=&quot;00292E90&quot;/&gt;&lt;wsp:rsid wsp:val=&quot;00292F01&quot;/&gt;&lt;wsp:rsid wsp:val=&quot;0029342F&quot;/&gt;&lt;wsp:rsid wsp:val=&quot;002934B1&quot;/&gt;&lt;wsp:rsid wsp:val=&quot;00293626&quot;/&gt;&lt;wsp:rsid wsp:val=&quot;00293B87&quot;/&gt;&lt;wsp:rsid wsp:val=&quot;00293C9E&quot;/&gt;&lt;wsp:rsid wsp:val=&quot;00293DAA&quot;/&gt;&lt;wsp:rsid wsp:val=&quot;00293E69&quot;/&gt;&lt;wsp:rsid wsp:val=&quot;00294076&quot;/&gt;&lt;wsp:rsid wsp:val=&quot;00294094&quot;/&gt;&lt;wsp:rsid wsp:val=&quot;002942B9&quot;/&gt;&lt;wsp:rsid wsp:val=&quot;002944AD&quot;/&gt;&lt;wsp:rsid wsp:val=&quot;00294D12&quot;/&gt;&lt;wsp:rsid wsp:val=&quot;00295814&quot;/&gt;&lt;wsp:rsid wsp:val=&quot;00295EBF&quot;/&gt;&lt;wsp:rsid wsp:val=&quot;00295FCC&quot;/&gt;&lt;wsp:rsid wsp:val=&quot;00296318&quot;/&gt;&lt;wsp:rsid wsp:val=&quot;002963ED&quot;/&gt;&lt;wsp:rsid wsp:val=&quot;00296B3C&quot;/&gt;&lt;wsp:rsid wsp:val=&quot;002976EF&quot;/&gt;&lt;wsp:rsid wsp:val=&quot;00297F6D&quot;/&gt;&lt;wsp:rsid wsp:val=&quot;002A017C&quot;/&gt;&lt;wsp:rsid wsp:val=&quot;002A043F&quot;/&gt;&lt;wsp:rsid wsp:val=&quot;002A082D&quot;/&gt;&lt;wsp:rsid wsp:val=&quot;002A0AC1&quot;/&gt;&lt;wsp:rsid wsp:val=&quot;002A1683&quot;/&gt;&lt;wsp:rsid wsp:val=&quot;002A18F0&quot;/&gt;&lt;wsp:rsid wsp:val=&quot;002A195B&quot;/&gt;&lt;wsp:rsid wsp:val=&quot;002A1B4D&quot;/&gt;&lt;wsp:rsid wsp:val=&quot;002A1D8E&quot;/&gt;&lt;wsp:rsid wsp:val=&quot;002A226C&quot;/&gt;&lt;wsp:rsid wsp:val=&quot;002A25D6&quot;/&gt;&lt;wsp:rsid wsp:val=&quot;002A287D&quot;/&gt;&lt;wsp:rsid wsp:val=&quot;002A30A8&quot;/&gt;&lt;wsp:rsid wsp:val=&quot;002A325C&quot;/&gt;&lt;wsp:rsid wsp:val=&quot;002A354B&quot;/&gt;&lt;wsp:rsid wsp:val=&quot;002A3C55&quot;/&gt;&lt;wsp:rsid wsp:val=&quot;002A3E93&quot;/&gt;&lt;wsp:rsid wsp:val=&quot;002A40B5&quot;/&gt;&lt;wsp:rsid wsp:val=&quot;002A40BF&quot;/&gt;&lt;wsp:rsid wsp:val=&quot;002A438B&quot;/&gt;&lt;wsp:rsid wsp:val=&quot;002A43DA&quot;/&gt;&lt;wsp:rsid wsp:val=&quot;002A4413&quot;/&gt;&lt;wsp:rsid wsp:val=&quot;002A47C6&quot;/&gt;&lt;wsp:rsid wsp:val=&quot;002A4B45&quot;/&gt;&lt;wsp:rsid wsp:val=&quot;002A4F64&quot;/&gt;&lt;wsp:rsid wsp:val=&quot;002A4FAA&quot;/&gt;&lt;wsp:rsid wsp:val=&quot;002A543C&quot;/&gt;&lt;wsp:rsid wsp:val=&quot;002A5850&quot;/&gt;&lt;wsp:rsid wsp:val=&quot;002A5E2B&quot;/&gt;&lt;wsp:rsid wsp:val=&quot;002A60AB&quot;/&gt;&lt;wsp:rsid wsp:val=&quot;002A62D4&quot;/&gt;&lt;wsp:rsid wsp:val=&quot;002A6559&quot;/&gt;&lt;wsp:rsid wsp:val=&quot;002A72E4&quot;/&gt;&lt;wsp:rsid wsp:val=&quot;002A7464&quot;/&gt;&lt;wsp:rsid wsp:val=&quot;002A753D&quot;/&gt;&lt;wsp:rsid wsp:val=&quot;002A76F0&quot;/&gt;&lt;wsp:rsid wsp:val=&quot;002A78B2&quot;/&gt;&lt;wsp:rsid wsp:val=&quot;002A7969&quot;/&gt;&lt;wsp:rsid wsp:val=&quot;002A7DE4&quot;/&gt;&lt;wsp:rsid wsp:val=&quot;002B07B5&quot;/&gt;&lt;wsp:rsid wsp:val=&quot;002B07D5&quot;/&gt;&lt;wsp:rsid wsp:val=&quot;002B0B06&quot;/&gt;&lt;wsp:rsid wsp:val=&quot;002B0B36&quot;/&gt;&lt;wsp:rsid wsp:val=&quot;002B1469&quot;/&gt;&lt;wsp:rsid wsp:val=&quot;002B21F2&quot;/&gt;&lt;wsp:rsid wsp:val=&quot;002B22FF&quot;/&gt;&lt;wsp:rsid wsp:val=&quot;002B2487&quot;/&gt;&lt;wsp:rsid wsp:val=&quot;002B2750&quot;/&gt;&lt;wsp:rsid wsp:val=&quot;002B2CDA&quot;/&gt;&lt;wsp:rsid wsp:val=&quot;002B3B40&quot;/&gt;&lt;wsp:rsid wsp:val=&quot;002B3B45&quot;/&gt;&lt;wsp:rsid wsp:val=&quot;002B3C6E&quot;/&gt;&lt;wsp:rsid wsp:val=&quot;002B4636&quot;/&gt;&lt;wsp:rsid wsp:val=&quot;002B5679&quot;/&gt;&lt;wsp:rsid wsp:val=&quot;002B589F&quot;/&gt;&lt;wsp:rsid wsp:val=&quot;002B5CDE&quot;/&gt;&lt;wsp:rsid wsp:val=&quot;002B6271&quot;/&gt;&lt;wsp:rsid wsp:val=&quot;002B63AB&quot;/&gt;&lt;wsp:rsid wsp:val=&quot;002B6969&quot;/&gt;&lt;wsp:rsid wsp:val=&quot;002B6B15&quot;/&gt;&lt;wsp:rsid wsp:val=&quot;002B6C6C&quot;/&gt;&lt;wsp:rsid wsp:val=&quot;002B6E38&quot;/&gt;&lt;wsp:rsid wsp:val=&quot;002B7093&quot;/&gt;&lt;wsp:rsid wsp:val=&quot;002C028F&quot;/&gt;&lt;wsp:rsid wsp:val=&quot;002C02EC&quot;/&gt;&lt;wsp:rsid wsp:val=&quot;002C02EF&quot;/&gt;&lt;wsp:rsid wsp:val=&quot;002C0435&quot;/&gt;&lt;wsp:rsid wsp:val=&quot;002C0475&quot;/&gt;&lt;wsp:rsid wsp:val=&quot;002C049C&quot;/&gt;&lt;wsp:rsid wsp:val=&quot;002C06A2&quot;/&gt;&lt;wsp:rsid wsp:val=&quot;002C0797&quot;/&gt;&lt;wsp:rsid wsp:val=&quot;002C09C9&quot;/&gt;&lt;wsp:rsid wsp:val=&quot;002C1425&quot;/&gt;&lt;wsp:rsid wsp:val=&quot;002C196B&quot;/&gt;&lt;wsp:rsid wsp:val=&quot;002C1A16&quot;/&gt;&lt;wsp:rsid wsp:val=&quot;002C1D69&quot;/&gt;&lt;wsp:rsid wsp:val=&quot;002C2023&quot;/&gt;&lt;wsp:rsid wsp:val=&quot;002C2E78&quot;/&gt;&lt;wsp:rsid wsp:val=&quot;002C341B&quot;/&gt;&lt;wsp:rsid wsp:val=&quot;002C36FF&quot;/&gt;&lt;wsp:rsid wsp:val=&quot;002C3863&quot;/&gt;&lt;wsp:rsid wsp:val=&quot;002C38D3&quot;/&gt;&lt;wsp:rsid wsp:val=&quot;002C399A&quot;/&gt;&lt;wsp:rsid wsp:val=&quot;002C3F6E&quot;/&gt;&lt;wsp:rsid wsp:val=&quot;002C40E3&quot;/&gt;&lt;wsp:rsid wsp:val=&quot;002C426B&quot;/&gt;&lt;wsp:rsid wsp:val=&quot;002C4910&quot;/&gt;&lt;wsp:rsid wsp:val=&quot;002C51F4&quot;/&gt;&lt;wsp:rsid wsp:val=&quot;002C52BD&quot;/&gt;&lt;wsp:rsid wsp:val=&quot;002C5465&quot;/&gt;&lt;wsp:rsid wsp:val=&quot;002C580B&quot;/&gt;&lt;wsp:rsid wsp:val=&quot;002C5A9A&quot;/&gt;&lt;wsp:rsid wsp:val=&quot;002C5D82&quot;/&gt;&lt;wsp:rsid wsp:val=&quot;002C5F99&quot;/&gt;&lt;wsp:rsid wsp:val=&quot;002C6221&quot;/&gt;&lt;wsp:rsid wsp:val=&quot;002C6936&quot;/&gt;&lt;wsp:rsid wsp:val=&quot;002C6EF6&quot;/&gt;&lt;wsp:rsid wsp:val=&quot;002C70A1&quot;/&gt;&lt;wsp:rsid wsp:val=&quot;002C70EB&quot;/&gt;&lt;wsp:rsid wsp:val=&quot;002C71BC&quot;/&gt;&lt;wsp:rsid wsp:val=&quot;002C7CB3&quot;/&gt;&lt;wsp:rsid wsp:val=&quot;002D01B6&quot;/&gt;&lt;wsp:rsid wsp:val=&quot;002D051A&quot;/&gt;&lt;wsp:rsid wsp:val=&quot;002D066C&quot;/&gt;&lt;wsp:rsid wsp:val=&quot;002D0BD7&quot;/&gt;&lt;wsp:rsid wsp:val=&quot;002D0D75&quot;/&gt;&lt;wsp:rsid wsp:val=&quot;002D17A6&quot;/&gt;&lt;wsp:rsid wsp:val=&quot;002D1F87&quot;/&gt;&lt;wsp:rsid wsp:val=&quot;002D2373&quot;/&gt;&lt;wsp:rsid wsp:val=&quot;002D26F6&quot;/&gt;&lt;wsp:rsid wsp:val=&quot;002D2A19&quot;/&gt;&lt;wsp:rsid wsp:val=&quot;002D2A84&quot;/&gt;&lt;wsp:rsid wsp:val=&quot;002D30BE&quot;/&gt;&lt;wsp:rsid wsp:val=&quot;002D325A&quot;/&gt;&lt;wsp:rsid wsp:val=&quot;002D3A06&quot;/&gt;&lt;wsp:rsid wsp:val=&quot;002D3E99&quot;/&gt;&lt;wsp:rsid wsp:val=&quot;002D3FAD&quot;/&gt;&lt;wsp:rsid wsp:val=&quot;002D4667&quot;/&gt;&lt;wsp:rsid wsp:val=&quot;002D48AC&quot;/&gt;&lt;wsp:rsid wsp:val=&quot;002D4A83&quot;/&gt;&lt;wsp:rsid wsp:val=&quot;002D4C2A&quot;/&gt;&lt;wsp:rsid wsp:val=&quot;002D5156&quot;/&gt;&lt;wsp:rsid wsp:val=&quot;002D5221&quot;/&gt;&lt;wsp:rsid wsp:val=&quot;002D54B2&quot;/&gt;&lt;wsp:rsid wsp:val=&quot;002D5AD5&quot;/&gt;&lt;wsp:rsid wsp:val=&quot;002D5F75&quot;/&gt;&lt;wsp:rsid wsp:val=&quot;002D60C7&quot;/&gt;&lt;wsp:rsid wsp:val=&quot;002D6528&quot;/&gt;&lt;wsp:rsid wsp:val=&quot;002D655D&quot;/&gt;&lt;wsp:rsid wsp:val=&quot;002D6810&quot;/&gt;&lt;wsp:rsid wsp:val=&quot;002D68CE&quot;/&gt;&lt;wsp:rsid wsp:val=&quot;002D68D1&quot;/&gt;&lt;wsp:rsid wsp:val=&quot;002D68F0&quot;/&gt;&lt;wsp:rsid wsp:val=&quot;002D6938&quot;/&gt;&lt;wsp:rsid wsp:val=&quot;002D6EA4&quot;/&gt;&lt;wsp:rsid wsp:val=&quot;002D6F4C&quot;/&gt;&lt;wsp:rsid wsp:val=&quot;002D712B&quot;/&gt;&lt;wsp:rsid wsp:val=&quot;002D7489&quot;/&gt;&lt;wsp:rsid wsp:val=&quot;002D75E1&quot;/&gt;&lt;wsp:rsid wsp:val=&quot;002D7852&quot;/&gt;&lt;wsp:rsid wsp:val=&quot;002D7876&quot;/&gt;&lt;wsp:rsid wsp:val=&quot;002D7F7C&quot;/&gt;&lt;wsp:rsid wsp:val=&quot;002E00F5&quot;/&gt;&lt;wsp:rsid wsp:val=&quot;002E0245&quot;/&gt;&lt;wsp:rsid wsp:val=&quot;002E09BB&quot;/&gt;&lt;wsp:rsid wsp:val=&quot;002E10DC&quot;/&gt;&lt;wsp:rsid wsp:val=&quot;002E155F&quot;/&gt;&lt;wsp:rsid wsp:val=&quot;002E1B96&quot;/&gt;&lt;wsp:rsid wsp:val=&quot;002E1D4F&quot;/&gt;&lt;wsp:rsid wsp:val=&quot;002E1F15&quot;/&gt;&lt;wsp:rsid wsp:val=&quot;002E1F17&quot;/&gt;&lt;wsp:rsid wsp:val=&quot;002E205D&quot;/&gt;&lt;wsp:rsid wsp:val=&quot;002E22DB&quot;/&gt;&lt;wsp:rsid wsp:val=&quot;002E28BB&quot;/&gt;&lt;wsp:rsid wsp:val=&quot;002E2C03&quot;/&gt;&lt;wsp:rsid wsp:val=&quot;002E2EC0&quot;/&gt;&lt;wsp:rsid wsp:val=&quot;002E3387&quot;/&gt;&lt;wsp:rsid wsp:val=&quot;002E34D6&quot;/&gt;&lt;wsp:rsid wsp:val=&quot;002E3B88&quot;/&gt;&lt;wsp:rsid wsp:val=&quot;002E3D5B&quot;/&gt;&lt;wsp:rsid wsp:val=&quot;002E3DAD&quot;/&gt;&lt;wsp:rsid wsp:val=&quot;002E3ED7&quot;/&gt;&lt;wsp:rsid wsp:val=&quot;002E4583&quot;/&gt;&lt;wsp:rsid wsp:val=&quot;002E4707&quot;/&gt;&lt;wsp:rsid wsp:val=&quot;002E4B35&quot;/&gt;&lt;wsp:rsid wsp:val=&quot;002E542B&quot;/&gt;&lt;wsp:rsid wsp:val=&quot;002E6D9B&quot;/&gt;&lt;wsp:rsid wsp:val=&quot;002E7A1F&quot;/&gt;&lt;wsp:rsid wsp:val=&quot;002E7AE0&quot;/&gt;&lt;wsp:rsid wsp:val=&quot;002E7B93&quot;/&gt;&lt;wsp:rsid wsp:val=&quot;002E7F73&quot;/&gt;&lt;wsp:rsid wsp:val=&quot;002F0117&quot;/&gt;&lt;wsp:rsid wsp:val=&quot;002F033F&quot;/&gt;&lt;wsp:rsid wsp:val=&quot;002F0447&quot;/&gt;&lt;wsp:rsid wsp:val=&quot;002F046F&quot;/&gt;&lt;wsp:rsid wsp:val=&quot;002F0546&quot;/&gt;&lt;wsp:rsid wsp:val=&quot;002F0E28&quot;/&gt;&lt;wsp:rsid wsp:val=&quot;002F0F50&quot;/&gt;&lt;wsp:rsid wsp:val=&quot;002F0FBF&quot;/&gt;&lt;wsp:rsid wsp:val=&quot;002F12A5&quot;/&gt;&lt;wsp:rsid wsp:val=&quot;002F1589&quot;/&gt;&lt;wsp:rsid wsp:val=&quot;002F17EF&quot;/&gt;&lt;wsp:rsid wsp:val=&quot;002F1969&quot;/&gt;&lt;wsp:rsid wsp:val=&quot;002F1FC7&quot;/&gt;&lt;wsp:rsid wsp:val=&quot;002F2886&quot;/&gt;&lt;wsp:rsid wsp:val=&quot;002F309F&quot;/&gt;&lt;wsp:rsid wsp:val=&quot;002F33C7&quot;/&gt;&lt;wsp:rsid wsp:val=&quot;002F3538&quot;/&gt;&lt;wsp:rsid wsp:val=&quot;002F3CF1&quot;/&gt;&lt;wsp:rsid wsp:val=&quot;002F3D37&quot;/&gt;&lt;wsp:rsid wsp:val=&quot;002F42BA&quot;/&gt;&lt;wsp:rsid wsp:val=&quot;002F452B&quot;/&gt;&lt;wsp:rsid wsp:val=&quot;002F4635&quot;/&gt;&lt;wsp:rsid wsp:val=&quot;002F4CC1&quot;/&gt;&lt;wsp:rsid wsp:val=&quot;002F4E53&quot;/&gt;&lt;wsp:rsid wsp:val=&quot;002F4E82&quot;/&gt;&lt;wsp:rsid wsp:val=&quot;002F4FEE&quot;/&gt;&lt;wsp:rsid wsp:val=&quot;002F50B4&quot;/&gt;&lt;wsp:rsid wsp:val=&quot;002F5550&quot;/&gt;&lt;wsp:rsid wsp:val=&quot;002F57FD&quot;/&gt;&lt;wsp:rsid wsp:val=&quot;002F5DB6&quot;/&gt;&lt;wsp:rsid wsp:val=&quot;002F5EEF&quot;/&gt;&lt;wsp:rsid wsp:val=&quot;002F5FFD&quot;/&gt;&lt;wsp:rsid wsp:val=&quot;002F6510&quot;/&gt;&lt;wsp:rsid wsp:val=&quot;002F6A30&quot;/&gt;&lt;wsp:rsid wsp:val=&quot;002F6C71&quot;/&gt;&lt;wsp:rsid wsp:val=&quot;002F762A&quot;/&gt;&lt;wsp:rsid wsp:val=&quot;002F7CDE&quot;/&gt;&lt;wsp:rsid wsp:val=&quot;00300614&quot;/&gt;&lt;wsp:rsid wsp:val=&quot;0030079A&quot;/&gt;&lt;wsp:rsid wsp:val=&quot;00300A4F&quot;/&gt;&lt;wsp:rsid wsp:val=&quot;003011E0&quot;/&gt;&lt;wsp:rsid wsp:val=&quot;00301AB9&quot;/&gt;&lt;wsp:rsid wsp:val=&quot;00301E31&quot;/&gt;&lt;wsp:rsid wsp:val=&quot;003020F0&quot;/&gt;&lt;wsp:rsid wsp:val=&quot;003021E3&quot;/&gt;&lt;wsp:rsid wsp:val=&quot;003021EB&quot;/&gt;&lt;wsp:rsid wsp:val=&quot;0030234F&quot;/&gt;&lt;wsp:rsid wsp:val=&quot;003024F1&quot;/&gt;&lt;wsp:rsid wsp:val=&quot;00302C47&quot;/&gt;&lt;wsp:rsid wsp:val=&quot;00302DE7&quot;/&gt;&lt;wsp:rsid wsp:val=&quot;00302E2C&quot;/&gt;&lt;wsp:rsid wsp:val=&quot;0030381E&quot;/&gt;&lt;wsp:rsid wsp:val=&quot;00303848&quot;/&gt;&lt;wsp:rsid wsp:val=&quot;00303894&quot;/&gt;&lt;wsp:rsid wsp:val=&quot;00303A13&quot;/&gt;&lt;wsp:rsid wsp:val=&quot;00303D41&quot;/&gt;&lt;wsp:rsid wsp:val=&quot;0030400B&quot;/&gt;&lt;wsp:rsid wsp:val=&quot;003040BB&quot;/&gt;&lt;wsp:rsid wsp:val=&quot;003042E2&quot;/&gt;&lt;wsp:rsid wsp:val=&quot;00304465&quot;/&gt;&lt;wsp:rsid wsp:val=&quot;00304543&quot;/&gt;&lt;wsp:rsid wsp:val=&quot;00304659&quot;/&gt;&lt;wsp:rsid wsp:val=&quot;00304816&quot;/&gt;&lt;wsp:rsid wsp:val=&quot;00305216&quot;/&gt;&lt;wsp:rsid wsp:val=&quot;00305929&quot;/&gt;&lt;wsp:rsid wsp:val=&quot;00305A87&quot;/&gt;&lt;wsp:rsid wsp:val=&quot;003064CB&quot;/&gt;&lt;wsp:rsid wsp:val=&quot;00306A6A&quot;/&gt;&lt;wsp:rsid wsp:val=&quot;00306AA7&quot;/&gt;&lt;wsp:rsid wsp:val=&quot;00306CB1&quot;/&gt;&lt;wsp:rsid wsp:val=&quot;00306F51&quot;/&gt;&lt;wsp:rsid wsp:val=&quot;00306F9A&quot;/&gt;&lt;wsp:rsid wsp:val=&quot;00307117&quot;/&gt;&lt;wsp:rsid wsp:val=&quot;00307711&quot;/&gt;&lt;wsp:rsid wsp:val=&quot;003077AC&quot;/&gt;&lt;wsp:rsid wsp:val=&quot;00307B03&quot;/&gt;&lt;wsp:rsid wsp:val=&quot;0031013A&quot;/&gt;&lt;wsp:rsid wsp:val=&quot;0031018C&quot;/&gt;&lt;wsp:rsid wsp:val=&quot;003105B2&quot;/&gt;&lt;wsp:rsid wsp:val=&quot;00310832&quot;/&gt;&lt;wsp:rsid wsp:val=&quot;00310AC6&quot;/&gt;&lt;wsp:rsid wsp:val=&quot;00310E02&quot;/&gt;&lt;wsp:rsid wsp:val=&quot;003111BD&quot;/&gt;&lt;wsp:rsid wsp:val=&quot;00311355&quot;/&gt;&lt;wsp:rsid wsp:val=&quot;003118E0&quot;/&gt;&lt;wsp:rsid wsp:val=&quot;00311967&quot;/&gt;&lt;wsp:rsid wsp:val=&quot;00311BFF&quot;/&gt;&lt;wsp:rsid wsp:val=&quot;0031201D&quot;/&gt;&lt;wsp:rsid wsp:val=&quot;003124A8&quot;/&gt;&lt;wsp:rsid wsp:val=&quot;0031286E&quot;/&gt;&lt;wsp:rsid wsp:val=&quot;00312EEF&quot;/&gt;&lt;wsp:rsid wsp:val=&quot;00312FD4&quot;/&gt;&lt;wsp:rsid wsp:val=&quot;0031302C&quot;/&gt;&lt;wsp:rsid wsp:val=&quot;00313A91&quot;/&gt;&lt;wsp:rsid wsp:val=&quot;00313C73&quot;/&gt;&lt;wsp:rsid wsp:val=&quot;0031435C&quot;/&gt;&lt;wsp:rsid wsp:val=&quot;003144DA&quot;/&gt;&lt;wsp:rsid wsp:val=&quot;00314577&quot;/&gt;&lt;wsp:rsid wsp:val=&quot;003145BA&quot;/&gt;&lt;wsp:rsid wsp:val=&quot;003146B3&quot;/&gt;&lt;wsp:rsid wsp:val=&quot;003148C5&quot;/&gt;&lt;wsp:rsid wsp:val=&quot;003148E8&quot;/&gt;&lt;wsp:rsid wsp:val=&quot;0031494A&quot;/&gt;&lt;wsp:rsid wsp:val=&quot;00314D64&quot;/&gt;&lt;wsp:rsid wsp:val=&quot;003153AB&quot;/&gt;&lt;wsp:rsid wsp:val=&quot;00315C1F&quot;/&gt;&lt;wsp:rsid wsp:val=&quot;00316A8D&quot;/&gt;&lt;wsp:rsid wsp:val=&quot;00316B3D&quot;/&gt;&lt;wsp:rsid wsp:val=&quot;0031710A&quot;/&gt;&lt;wsp:rsid wsp:val=&quot;0031727B&quot;/&gt;&lt;wsp:rsid wsp:val=&quot;003173FE&quot;/&gt;&lt;wsp:rsid wsp:val=&quot;0031743E&quot;/&gt;&lt;wsp:rsid wsp:val=&quot;003175D3&quot;/&gt;&lt;wsp:rsid wsp:val=&quot;003176EF&quot;/&gt;&lt;wsp:rsid wsp:val=&quot;00317939&quot;/&gt;&lt;wsp:rsid wsp:val=&quot;00317951&quot;/&gt;&lt;wsp:rsid wsp:val=&quot;003179E4&quot;/&gt;&lt;wsp:rsid wsp:val=&quot;00317A5B&quot;/&gt;&lt;wsp:rsid wsp:val=&quot;00317B85&quot;/&gt;&lt;wsp:rsid wsp:val=&quot;00317C82&quot;/&gt;&lt;wsp:rsid wsp:val=&quot;00317C8D&quot;/&gt;&lt;wsp:rsid wsp:val=&quot;00320125&quot;/&gt;&lt;wsp:rsid wsp:val=&quot;00320258&quot;/&gt;&lt;wsp:rsid wsp:val=&quot;00320778&quot;/&gt;&lt;wsp:rsid wsp:val=&quot;003208F1&quot;/&gt;&lt;wsp:rsid wsp:val=&quot;00320B46&quot;/&gt;&lt;wsp:rsid wsp:val=&quot;00321345&quot;/&gt;&lt;wsp:rsid wsp:val=&quot;003219C6&quot;/&gt;&lt;wsp:rsid wsp:val=&quot;00321BAA&quot;/&gt;&lt;wsp:rsid wsp:val=&quot;00321FE8&quot;/&gt;&lt;wsp:rsid wsp:val=&quot;003228E7&quot;/&gt;&lt;wsp:rsid wsp:val=&quot;00322C86&quot;/&gt;&lt;wsp:rsid wsp:val=&quot;00322F9C&quot;/&gt;&lt;wsp:rsid wsp:val=&quot;00323064&quot;/&gt;&lt;wsp:rsid wsp:val=&quot;00323789&quot;/&gt;&lt;wsp:rsid wsp:val=&quot;003237CD&quot;/&gt;&lt;wsp:rsid wsp:val=&quot;003239FE&quot;/&gt;&lt;wsp:rsid wsp:val=&quot;00323A36&quot;/&gt;&lt;wsp:rsid wsp:val=&quot;00323C3F&quot;/&gt;&lt;wsp:rsid wsp:val=&quot;00324043&quot;/&gt;&lt;wsp:rsid wsp:val=&quot;003240C6&quot;/&gt;&lt;wsp:rsid wsp:val=&quot;003240DB&quot;/&gt;&lt;wsp:rsid wsp:val=&quot;00324172&quot;/&gt;&lt;wsp:rsid wsp:val=&quot;003243F1&quot;/&gt;&lt;wsp:rsid wsp:val=&quot;00324811&quot;/&gt;&lt;wsp:rsid wsp:val=&quot;00324D96&quot;/&gt;&lt;wsp:rsid wsp:val=&quot;003251F5&quot;/&gt;&lt;wsp:rsid wsp:val=&quot;003251FD&quot;/&gt;&lt;wsp:rsid wsp:val=&quot;003252DE&quot;/&gt;&lt;wsp:rsid wsp:val=&quot;0032561C&quot;/&gt;&lt;wsp:rsid wsp:val=&quot;003256BF&quot;/&gt;&lt;wsp:rsid wsp:val=&quot;0032627E&quot;/&gt;&lt;wsp:rsid wsp:val=&quot;003263D2&quot;/&gt;&lt;wsp:rsid wsp:val=&quot;003265DD&quot;/&gt;&lt;wsp:rsid wsp:val=&quot;00326D3E&quot;/&gt;&lt;wsp:rsid wsp:val=&quot;0032714F&quot;/&gt;&lt;wsp:rsid wsp:val=&quot;0032737B&quot;/&gt;&lt;wsp:rsid wsp:val=&quot;0032755B&quot;/&gt;&lt;wsp:rsid wsp:val=&quot;0032756B&quot;/&gt;&lt;wsp:rsid wsp:val=&quot;003278B6&quot;/&gt;&lt;wsp:rsid wsp:val=&quot;00327A8B&quot;/&gt;&lt;wsp:rsid wsp:val=&quot;00327CA0&quot;/&gt;&lt;wsp:rsid wsp:val=&quot;00327E04&quot;/&gt;&lt;wsp:rsid wsp:val=&quot;00327E52&quot;/&gt;&lt;wsp:rsid wsp:val=&quot;00330024&quot;/&gt;&lt;wsp:rsid wsp:val=&quot;0033034B&quot;/&gt;&lt;wsp:rsid wsp:val=&quot;00330B34&quot;/&gt;&lt;wsp:rsid wsp:val=&quot;00331365&quot;/&gt;&lt;wsp:rsid wsp:val=&quot;003316ED&quot;/&gt;&lt;wsp:rsid wsp:val=&quot;0033175A&quot;/&gt;&lt;wsp:rsid wsp:val=&quot;003318EC&quot;/&gt;&lt;wsp:rsid wsp:val=&quot;00331ACB&quot;/&gt;&lt;wsp:rsid wsp:val=&quot;0033226E&quot;/&gt;&lt;wsp:rsid wsp:val=&quot;003322C0&quot;/&gt;&lt;wsp:rsid wsp:val=&quot;0033245B&quot;/&gt;&lt;wsp:rsid wsp:val=&quot;003327D1&quot;/&gt;&lt;wsp:rsid wsp:val=&quot;00332A9F&quot;/&gt;&lt;wsp:rsid wsp:val=&quot;00332C11&quot;/&gt;&lt;wsp:rsid wsp:val=&quot;0033316B&quot;/&gt;&lt;wsp:rsid wsp:val=&quot;003331E4&quot;/&gt;&lt;wsp:rsid wsp:val=&quot;003332A5&quot;/&gt;&lt;wsp:rsid wsp:val=&quot;003332B4&quot;/&gt;&lt;wsp:rsid wsp:val=&quot;003332C9&quot;/&gt;&lt;wsp:rsid wsp:val=&quot;00333498&quot;/&gt;&lt;wsp:rsid wsp:val=&quot;00333521&quot;/&gt;&lt;wsp:rsid wsp:val=&quot;00333680&quot;/&gt;&lt;wsp:rsid wsp:val=&quot;00333F62&quot;/&gt;&lt;wsp:rsid wsp:val=&quot;003340C4&quot;/&gt;&lt;wsp:rsid wsp:val=&quot;003342C3&quot;/&gt;&lt;wsp:rsid wsp:val=&quot;00334AB7&quot;/&gt;&lt;wsp:rsid wsp:val=&quot;00334DBD&quot;/&gt;&lt;wsp:rsid wsp:val=&quot;00334F85&quot;/&gt;&lt;wsp:rsid wsp:val=&quot;0033524F&quot;/&gt;&lt;wsp:rsid wsp:val=&quot;003354E8&quot;/&gt;&lt;wsp:rsid wsp:val=&quot;00335704&quot;/&gt;&lt;wsp:rsid wsp:val=&quot;00335B8C&quot;/&gt;&lt;wsp:rsid wsp:val=&quot;00335BEC&quot;/&gt;&lt;wsp:rsid wsp:val=&quot;00335C3B&quot;/&gt;&lt;wsp:rsid wsp:val=&quot;00335FEF&quot;/&gt;&lt;wsp:rsid wsp:val=&quot;00336121&quot;/&gt;&lt;wsp:rsid wsp:val=&quot;00336146&quot;/&gt;&lt;wsp:rsid wsp:val=&quot;003369C1&quot;/&gt;&lt;wsp:rsid wsp:val=&quot;00336D68&quot;/&gt;&lt;wsp:rsid wsp:val=&quot;00336D7E&quot;/&gt;&lt;wsp:rsid wsp:val=&quot;00337075&quot;/&gt;&lt;wsp:rsid wsp:val=&quot;0033707C&quot;/&gt;&lt;wsp:rsid wsp:val=&quot;003373A9&quot;/&gt;&lt;wsp:rsid wsp:val=&quot;003373F7&quot;/&gt;&lt;wsp:rsid wsp:val=&quot;003375F2&quot;/&gt;&lt;wsp:rsid wsp:val=&quot;0033764C&quot;/&gt;&lt;wsp:rsid wsp:val=&quot;003379E1&quot;/&gt;&lt;wsp:rsid wsp:val=&quot;0034005A&quot;/&gt;&lt;wsp:rsid wsp:val=&quot;00340105&quot;/&gt;&lt;wsp:rsid wsp:val=&quot;003405F2&quot;/&gt;&lt;wsp:rsid wsp:val=&quot;0034077B&quot;/&gt;&lt;wsp:rsid wsp:val=&quot;00340B3C&quot;/&gt;&lt;wsp:rsid wsp:val=&quot;00340EA3&quot;/&gt;&lt;wsp:rsid wsp:val=&quot;00340EC3&quot;/&gt;&lt;wsp:rsid wsp:val=&quot;00341352&quot;/&gt;&lt;wsp:rsid wsp:val=&quot;0034136D&quot;/&gt;&lt;wsp:rsid wsp:val=&quot;00341648&quot;/&gt;&lt;wsp:rsid wsp:val=&quot;00341871&quot;/&gt;&lt;wsp:rsid wsp:val=&quot;00341BA2&quot;/&gt;&lt;wsp:rsid wsp:val=&quot;0034246D&quot;/&gt;&lt;wsp:rsid wsp:val=&quot;003426DD&quot;/&gt;&lt;wsp:rsid wsp:val=&quot;003429BB&quot;/&gt;&lt;wsp:rsid wsp:val=&quot;00342C6D&quot;/&gt;&lt;wsp:rsid wsp:val=&quot;00342D91&quot;/&gt;&lt;wsp:rsid wsp:val=&quot;0034360D&quot;/&gt;&lt;wsp:rsid wsp:val=&quot;00343823&quot;/&gt;&lt;wsp:rsid wsp:val=&quot;00343AEB&quot;/&gt;&lt;wsp:rsid wsp:val=&quot;00343B37&quot;/&gt;&lt;wsp:rsid wsp:val=&quot;003441AF&quot;/&gt;&lt;wsp:rsid wsp:val=&quot;0034430C&quot;/&gt;&lt;wsp:rsid wsp:val=&quot;0034477E&quot;/&gt;&lt;wsp:rsid wsp:val=&quot;0034499B&quot;/&gt;&lt;wsp:rsid wsp:val=&quot;003449EE&quot;/&gt;&lt;wsp:rsid wsp:val=&quot;00344C86&quot;/&gt;&lt;wsp:rsid wsp:val=&quot;00345346&quot;/&gt;&lt;wsp:rsid wsp:val=&quot;003459A5&quot;/&gt;&lt;wsp:rsid wsp:val=&quot;00345E3E&quot;/&gt;&lt;wsp:rsid wsp:val=&quot;00345E83&quot;/&gt;&lt;wsp:rsid wsp:val=&quot;003461A8&quot;/&gt;&lt;wsp:rsid wsp:val=&quot;003461B5&quot;/&gt;&lt;wsp:rsid wsp:val=&quot;0034647F&quot;/&gt;&lt;wsp:rsid wsp:val=&quot;003465BD&quot;/&gt;&lt;wsp:rsid wsp:val=&quot;003467BA&quot;/&gt;&lt;wsp:rsid wsp:val=&quot;003472CE&quot;/&gt;&lt;wsp:rsid wsp:val=&quot;003474C7&quot;/&gt;&lt;wsp:rsid wsp:val=&quot;00347AEC&quot;/&gt;&lt;wsp:rsid wsp:val=&quot;00350027&quot;/&gt;&lt;wsp:rsid wsp:val=&quot;003501D8&quot;/&gt;&lt;wsp:rsid wsp:val=&quot;003506E8&quot;/&gt;&lt;wsp:rsid wsp:val=&quot;00350808&quot;/&gt;&lt;wsp:rsid wsp:val=&quot;00350B40&quot;/&gt;&lt;wsp:rsid wsp:val=&quot;00350BE1&quot;/&gt;&lt;wsp:rsid wsp:val=&quot;00350C45&quot;/&gt;&lt;wsp:rsid wsp:val=&quot;00350D37&quot;/&gt;&lt;wsp:rsid wsp:val=&quot;003513D0&quot;/&gt;&lt;wsp:rsid wsp:val=&quot;00351544&quot;/&gt;&lt;wsp:rsid wsp:val=&quot;00351D23&quot;/&gt;&lt;wsp:rsid wsp:val=&quot;00352111&quot;/&gt;&lt;wsp:rsid wsp:val=&quot;0035243E&quot;/&gt;&lt;wsp:rsid wsp:val=&quot;003529B5&quot;/&gt;&lt;wsp:rsid wsp:val=&quot;003529C4&quot;/&gt;&lt;wsp:rsid wsp:val=&quot;00352D51&quot;/&gt;&lt;wsp:rsid wsp:val=&quot;0035318B&quot;/&gt;&lt;wsp:rsid wsp:val=&quot;0035377D&quot;/&gt;&lt;wsp:rsid wsp:val=&quot;00353951&quot;/&gt;&lt;wsp:rsid wsp:val=&quot;00353DEF&quot;/&gt;&lt;wsp:rsid wsp:val=&quot;003548CE&quot;/&gt;&lt;wsp:rsid wsp:val=&quot;003550CB&quot;/&gt;&lt;wsp:rsid wsp:val=&quot;0035532F&quot;/&gt;&lt;wsp:rsid wsp:val=&quot;00355506&quot;/&gt;&lt;wsp:rsid wsp:val=&quot;0035582D&quot;/&gt;&lt;wsp:rsid wsp:val=&quot;003558B6&quot;/&gt;&lt;wsp:rsid wsp:val=&quot;0035596F&quot;/&gt;&lt;wsp:rsid wsp:val=&quot;00355B23&quot;/&gt;&lt;wsp:rsid wsp:val=&quot;003564AF&quot;/&gt;&lt;wsp:rsid wsp:val=&quot;003576FD&quot;/&gt;&lt;wsp:rsid wsp:val=&quot;0035786F&quot;/&gt;&lt;wsp:rsid wsp:val=&quot;00357B2B&quot;/&gt;&lt;wsp:rsid wsp:val=&quot;00357BD4&quot;/&gt;&lt;wsp:rsid wsp:val=&quot;0036002A&quot;/&gt;&lt;wsp:rsid wsp:val=&quot;0036041D&quot;/&gt;&lt;wsp:rsid wsp:val=&quot;00360810&quot;/&gt;&lt;wsp:rsid wsp:val=&quot;00360C9D&quot;/&gt;&lt;wsp:rsid wsp:val=&quot;00360FA1&quot;/&gt;&lt;wsp:rsid wsp:val=&quot;003611FD&quot;/&gt;&lt;wsp:rsid wsp:val=&quot;00361663&quot;/&gt;&lt;wsp:rsid wsp:val=&quot;00361B72&quot;/&gt;&lt;wsp:rsid wsp:val=&quot;00361FD5&quot;/&gt;&lt;wsp:rsid wsp:val=&quot;003620B5&quot;/&gt;&lt;wsp:rsid wsp:val=&quot;003620DB&quot;/&gt;&lt;wsp:rsid wsp:val=&quot;003621B7&quot;/&gt;&lt;wsp:rsid wsp:val=&quot;0036259B&quot;/&gt;&lt;wsp:rsid wsp:val=&quot;00362A92&quot;/&gt;&lt;wsp:rsid wsp:val=&quot;00362BC1&quot;/&gt;&lt;wsp:rsid wsp:val=&quot;00362FE2&quot;/&gt;&lt;wsp:rsid wsp:val=&quot;003630BD&quot;/&gt;&lt;wsp:rsid wsp:val=&quot;0036312A&quot;/&gt;&lt;wsp:rsid wsp:val=&quot;00363568&quot;/&gt;&lt;wsp:rsid wsp:val=&quot;003638A2&quot;/&gt;&lt;wsp:rsid wsp:val=&quot;00363E3B&quot;/&gt;&lt;wsp:rsid wsp:val=&quot;00363E47&quot;/&gt;&lt;wsp:rsid wsp:val=&quot;0036416D&quot;/&gt;&lt;wsp:rsid wsp:val=&quot;00364582&quot;/&gt;&lt;wsp:rsid wsp:val=&quot;003645D7&quot;/&gt;&lt;wsp:rsid wsp:val=&quot;00364A82&quot;/&gt;&lt;wsp:rsid wsp:val=&quot;00365286&quot;/&gt;&lt;wsp:rsid wsp:val=&quot;00365C52&quot;/&gt;&lt;wsp:rsid wsp:val=&quot;00365F41&quot;/&gt;&lt;wsp:rsid wsp:val=&quot;00366017&quot;/&gt;&lt;wsp:rsid wsp:val=&quot;00366401&quot;/&gt;&lt;wsp:rsid wsp:val=&quot;00366520&quot;/&gt;&lt;wsp:rsid wsp:val=&quot;003666EE&quot;/&gt;&lt;wsp:rsid wsp:val=&quot;00366833&quot;/&gt;&lt;wsp:rsid wsp:val=&quot;00366FF4&quot;/&gt;&lt;wsp:rsid wsp:val=&quot;0036702E&quot;/&gt;&lt;wsp:rsid wsp:val=&quot;00367099&quot;/&gt;&lt;wsp:rsid wsp:val=&quot;00367116&quot;/&gt;&lt;wsp:rsid wsp:val=&quot;003671C2&quot;/&gt;&lt;wsp:rsid wsp:val=&quot;003673CB&quot;/&gt;&lt;wsp:rsid wsp:val=&quot;00367508&quot;/&gt;&lt;wsp:rsid wsp:val=&quot;00367CAA&quot;/&gt;&lt;wsp:rsid wsp:val=&quot;00370218&quot;/&gt;&lt;wsp:rsid wsp:val=&quot;00370956&quot;/&gt;&lt;wsp:rsid wsp:val=&quot;00370A0F&quot;/&gt;&lt;wsp:rsid wsp:val=&quot;00370D91&quot;/&gt;&lt;wsp:rsid wsp:val=&quot;00371DDF&quot;/&gt;&lt;wsp:rsid wsp:val=&quot;00371E75&quot;/&gt;&lt;wsp:rsid wsp:val=&quot;00372B2C&quot;/&gt;&lt;wsp:rsid wsp:val=&quot;00372B94&quot;/&gt;&lt;wsp:rsid wsp:val=&quot;00372E1F&quot;/&gt;&lt;wsp:rsid wsp:val=&quot;0037305D&quot;/&gt;&lt;wsp:rsid wsp:val=&quot;00373080&quot;/&gt;&lt;wsp:rsid wsp:val=&quot;0037327A&quot;/&gt;&lt;wsp:rsid wsp:val=&quot;003733B9&quot;/&gt;&lt;wsp:rsid wsp:val=&quot;003734EA&quot;/&gt;&lt;wsp:rsid wsp:val=&quot;00373772&quot;/&gt;&lt;wsp:rsid wsp:val=&quot;0037381A&quot;/&gt;&lt;wsp:rsid wsp:val=&quot;00373863&quot;/&gt;&lt;wsp:rsid wsp:val=&quot;0037417F&quot;/&gt;&lt;wsp:rsid wsp:val=&quot;0037434F&quot;/&gt;&lt;wsp:rsid wsp:val=&quot;003744B2&quot;/&gt;&lt;wsp:rsid wsp:val=&quot;00374A1A&quot;/&gt;&lt;wsp:rsid wsp:val=&quot;00374CFC&quot;/&gt;&lt;wsp:rsid wsp:val=&quot;003751DB&quot;/&gt;&lt;wsp:rsid wsp:val=&quot;00375561&quot;/&gt;&lt;wsp:rsid wsp:val=&quot;0037566E&quot;/&gt;&lt;wsp:rsid wsp:val=&quot;0037573E&quot;/&gt;&lt;wsp:rsid wsp:val=&quot;0037587B&quot;/&gt;&lt;wsp:rsid wsp:val=&quot;00375FE1&quot;/&gt;&lt;wsp:rsid wsp:val=&quot;0037620D&quot;/&gt;&lt;wsp:rsid wsp:val=&quot;00376889&quot;/&gt;&lt;wsp:rsid wsp:val=&quot;0037688C&quot;/&gt;&lt;wsp:rsid wsp:val=&quot;0037736A&quot;/&gt;&lt;wsp:rsid wsp:val=&quot;003778DE&quot;/&gt;&lt;wsp:rsid wsp:val=&quot;00377A92&quot;/&gt;&lt;wsp:rsid wsp:val=&quot;00377CAB&quot;/&gt;&lt;wsp:rsid wsp:val=&quot;00377CCF&quot;/&gt;&lt;wsp:rsid wsp:val=&quot;003800B0&quot;/&gt;&lt;wsp:rsid wsp:val=&quot;00380150&quot;/&gt;&lt;wsp:rsid wsp:val=&quot;0038021F&quot;/&gt;&lt;wsp:rsid wsp:val=&quot;00380627&quot;/&gt;&lt;wsp:rsid wsp:val=&quot;00380A43&quot;/&gt;&lt;wsp:rsid wsp:val=&quot;00380BE5&quot;/&gt;&lt;wsp:rsid wsp:val=&quot;00380D61&quot;/&gt;&lt;wsp:rsid wsp:val=&quot;00380E4F&quot;/&gt;&lt;wsp:rsid wsp:val=&quot;00381580&quot;/&gt;&lt;wsp:rsid wsp:val=&quot;003816B6&quot;/&gt;&lt;wsp:rsid wsp:val=&quot;00381735&quot;/&gt;&lt;wsp:rsid wsp:val=&quot;00381A47&quot;/&gt;&lt;wsp:rsid wsp:val=&quot;00381AE0&quot;/&gt;&lt;wsp:rsid wsp:val=&quot;00381F29&quot;/&gt;&lt;wsp:rsid wsp:val=&quot;003822F0&quot;/&gt;&lt;wsp:rsid wsp:val=&quot;0038263F&quot;/&gt;&lt;wsp:rsid wsp:val=&quot;003829FF&quot;/&gt;&lt;wsp:rsid wsp:val=&quot;00382C25&quot;/&gt;&lt;wsp:rsid wsp:val=&quot;00382E60&quot;/&gt;&lt;wsp:rsid wsp:val=&quot;0038324A&quot;/&gt;&lt;wsp:rsid wsp:val=&quot;00383257&quot;/&gt;&lt;wsp:rsid wsp:val=&quot;003835F4&quot;/&gt;&lt;wsp:rsid wsp:val=&quot;00383A82&quot;/&gt;&lt;wsp:rsid wsp:val=&quot;00383B9A&quot;/&gt;&lt;wsp:rsid wsp:val=&quot;0038426B&quot;/&gt;&lt;wsp:rsid wsp:val=&quot;003843D7&quot;/&gt;&lt;wsp:rsid wsp:val=&quot;003849FB&quot;/&gt;&lt;wsp:rsid wsp:val=&quot;00384B3B&quot;/&gt;&lt;wsp:rsid wsp:val=&quot;00385C5F&quot;/&gt;&lt;wsp:rsid wsp:val=&quot;00385DE1&quot;/&gt;&lt;wsp:rsid wsp:val=&quot;00386363&quot;/&gt;&lt;wsp:rsid wsp:val=&quot;003867F0&quot;/&gt;&lt;wsp:rsid wsp:val=&quot;003871D5&quot;/&gt;&lt;wsp:rsid wsp:val=&quot;00387309&quot;/&gt;&lt;wsp:rsid wsp:val=&quot;0038764F&quot;/&gt;&lt;wsp:rsid wsp:val=&quot;00387679&quot;/&gt;&lt;wsp:rsid wsp:val=&quot;003878E4&quot;/&gt;&lt;wsp:rsid wsp:val=&quot;00387CCC&quot;/&gt;&lt;wsp:rsid wsp:val=&quot;00387D94&quot;/&gt;&lt;wsp:rsid wsp:val=&quot;00390021&quot;/&gt;&lt;wsp:rsid wsp:val=&quot;003902EC&quot;/&gt;&lt;wsp:rsid wsp:val=&quot;0039034E&quot;/&gt;&lt;wsp:rsid wsp:val=&quot;0039053A&quot;/&gt;&lt;wsp:rsid wsp:val=&quot;00390919&quot;/&gt;&lt;wsp:rsid wsp:val=&quot;00390925&quot;/&gt;&lt;wsp:rsid wsp:val=&quot;00390A07&quot;/&gt;&lt;wsp:rsid wsp:val=&quot;00390FA8&quot;/&gt;&lt;wsp:rsid wsp:val=&quot;00391369&quot;/&gt;&lt;wsp:rsid wsp:val=&quot;003917CB&quot;/&gt;&lt;wsp:rsid wsp:val=&quot;00391998&quot;/&gt;&lt;wsp:rsid wsp:val=&quot;00391E4D&quot;/&gt;&lt;wsp:rsid wsp:val=&quot;0039240C&quot;/&gt;&lt;wsp:rsid wsp:val=&quot;0039253A&quot;/&gt;&lt;wsp:rsid wsp:val=&quot;0039272C&quot;/&gt;&lt;wsp:rsid wsp:val=&quot;00392801&quot;/&gt;&lt;wsp:rsid wsp:val=&quot;00392907&quot;/&gt;&lt;wsp:rsid wsp:val=&quot;00392AAD&quot;/&gt;&lt;wsp:rsid wsp:val=&quot;003941C6&quot;/&gt;&lt;wsp:rsid wsp:val=&quot;003941CF&quot;/&gt;&lt;wsp:rsid wsp:val=&quot;003943D7&quot;/&gt;&lt;wsp:rsid wsp:val=&quot;00394690&quot;/&gt;&lt;wsp:rsid wsp:val=&quot;0039499C&quot;/&gt;&lt;wsp:rsid wsp:val=&quot;00394B2F&quot;/&gt;&lt;wsp:rsid wsp:val=&quot;00394D37&quot;/&gt;&lt;wsp:rsid wsp:val=&quot;0039501D&quot;/&gt;&lt;wsp:rsid wsp:val=&quot;00395940&quot;/&gt;&lt;wsp:rsid wsp:val=&quot;00395BC4&quot;/&gt;&lt;wsp:rsid wsp:val=&quot;00395E6F&quot;/&gt;&lt;wsp:rsid wsp:val=&quot;0039633C&quot;/&gt;&lt;wsp:rsid wsp:val=&quot;00396746&quot;/&gt;&lt;wsp:rsid wsp:val=&quot;00396CC7&quot;/&gt;&lt;wsp:rsid wsp:val=&quot;00396FF0&quot;/&gt;&lt;wsp:rsid wsp:val=&quot;003976D0&quot;/&gt;&lt;wsp:rsid wsp:val=&quot;0039784D&quot;/&gt;&lt;wsp:rsid wsp:val=&quot;00397969&quot;/&gt;&lt;wsp:rsid wsp:val=&quot;00397A5E&quot;/&gt;&lt;wsp:rsid wsp:val=&quot;00397AAD&quot;/&gt;&lt;wsp:rsid wsp:val=&quot;00397CB3&quot;/&gt;&lt;wsp:rsid wsp:val=&quot;00397FF2&quot;/&gt;&lt;wsp:rsid wsp:val=&quot;003A0398&quot;/&gt;&lt;wsp:rsid wsp:val=&quot;003A047C&quot;/&gt;&lt;wsp:rsid wsp:val=&quot;003A0DB5&quot;/&gt;&lt;wsp:rsid wsp:val=&quot;003A145B&quot;/&gt;&lt;wsp:rsid wsp:val=&quot;003A157A&quot;/&gt;&lt;wsp:rsid wsp:val=&quot;003A176A&quot;/&gt;&lt;wsp:rsid wsp:val=&quot;003A1844&quot;/&gt;&lt;wsp:rsid wsp:val=&quot;003A184C&quot;/&gt;&lt;wsp:rsid wsp:val=&quot;003A1899&quot;/&gt;&lt;wsp:rsid wsp:val=&quot;003A1926&quot;/&gt;&lt;wsp:rsid wsp:val=&quot;003A1C22&quot;/&gt;&lt;wsp:rsid wsp:val=&quot;003A1C65&quot;/&gt;&lt;wsp:rsid wsp:val=&quot;003A1CF9&quot;/&gt;&lt;wsp:rsid wsp:val=&quot;003A26FA&quot;/&gt;&lt;wsp:rsid wsp:val=&quot;003A287A&quot;/&gt;&lt;wsp:rsid wsp:val=&quot;003A29E9&quot;/&gt;&lt;wsp:rsid wsp:val=&quot;003A2A7F&quot;/&gt;&lt;wsp:rsid wsp:val=&quot;003A33E2&quot;/&gt;&lt;wsp:rsid wsp:val=&quot;003A38DD&quot;/&gt;&lt;wsp:rsid wsp:val=&quot;003A3D24&quot;/&gt;&lt;wsp:rsid wsp:val=&quot;003A3D53&quot;/&gt;&lt;wsp:rsid wsp:val=&quot;003A40F3&quot;/&gt;&lt;wsp:rsid wsp:val=&quot;003A436D&quot;/&gt;&lt;wsp:rsid wsp:val=&quot;003A4A59&quot;/&gt;&lt;wsp:rsid wsp:val=&quot;003A4A81&quot;/&gt;&lt;wsp:rsid wsp:val=&quot;003A4FE4&quot;/&gt;&lt;wsp:rsid wsp:val=&quot;003A5190&quot;/&gt;&lt;wsp:rsid wsp:val=&quot;003A528D&quot;/&gt;&lt;wsp:rsid wsp:val=&quot;003A5646&quot;/&gt;&lt;wsp:rsid wsp:val=&quot;003A566F&quot;/&gt;&lt;wsp:rsid wsp:val=&quot;003A5A32&quot;/&gt;&lt;wsp:rsid wsp:val=&quot;003A5E41&quot;/&gt;&lt;wsp:rsid wsp:val=&quot;003A65B1&quot;/&gt;&lt;wsp:rsid wsp:val=&quot;003A673B&quot;/&gt;&lt;wsp:rsid wsp:val=&quot;003A6859&quot;/&gt;&lt;wsp:rsid wsp:val=&quot;003A68E3&quot;/&gt;&lt;wsp:rsid wsp:val=&quot;003A6912&quot;/&gt;&lt;wsp:rsid wsp:val=&quot;003A70B3&quot;/&gt;&lt;wsp:rsid wsp:val=&quot;003A723C&quot;/&gt;&lt;wsp:rsid wsp:val=&quot;003A7262&quot;/&gt;&lt;wsp:rsid wsp:val=&quot;003A7901&quot;/&gt;&lt;wsp:rsid wsp:val=&quot;003A7925&quot;/&gt;&lt;wsp:rsid wsp:val=&quot;003A7CF6&quot;/&gt;&lt;wsp:rsid wsp:val=&quot;003A7FFD&quot;/&gt;&lt;wsp:rsid wsp:val=&quot;003B01AD&quot;/&gt;&lt;wsp:rsid wsp:val=&quot;003B05ED&quot;/&gt;&lt;wsp:rsid wsp:val=&quot;003B0B3D&quot;/&gt;&lt;wsp:rsid wsp:val=&quot;003B0C2D&quot;/&gt;&lt;wsp:rsid wsp:val=&quot;003B0E52&quot;/&gt;&lt;wsp:rsid wsp:val=&quot;003B132D&quot;/&gt;&lt;wsp:rsid wsp:val=&quot;003B17C5&quot;/&gt;&lt;wsp:rsid wsp:val=&quot;003B1B51&quot;/&gt;&lt;wsp:rsid wsp:val=&quot;003B22F7&quot;/&gt;&lt;wsp:rsid wsp:val=&quot;003B2A75&quot;/&gt;&lt;wsp:rsid wsp:val=&quot;003B2CEE&quot;/&gt;&lt;wsp:rsid wsp:val=&quot;003B2D31&quot;/&gt;&lt;wsp:rsid wsp:val=&quot;003B303C&quot;/&gt;&lt;wsp:rsid wsp:val=&quot;003B304A&quot;/&gt;&lt;wsp:rsid wsp:val=&quot;003B3172&quot;/&gt;&lt;wsp:rsid wsp:val=&quot;003B3279&quot;/&gt;&lt;wsp:rsid wsp:val=&quot;003B357E&quot;/&gt;&lt;wsp:rsid wsp:val=&quot;003B3978&quot;/&gt;&lt;wsp:rsid wsp:val=&quot;003B41AB&quot;/&gt;&lt;wsp:rsid wsp:val=&quot;003B41AF&quot;/&gt;&lt;wsp:rsid wsp:val=&quot;003B44F3&quot;/&gt;&lt;wsp:rsid wsp:val=&quot;003B4F57&quot;/&gt;&lt;wsp:rsid wsp:val=&quot;003B5077&quot;/&gt;&lt;wsp:rsid wsp:val=&quot;003B52A8&quot;/&gt;&lt;wsp:rsid wsp:val=&quot;003B52F7&quot;/&gt;&lt;wsp:rsid wsp:val=&quot;003B578C&quot;/&gt;&lt;wsp:rsid wsp:val=&quot;003B5E36&quot;/&gt;&lt;wsp:rsid wsp:val=&quot;003B5F0A&quot;/&gt;&lt;wsp:rsid wsp:val=&quot;003B61CB&quot;/&gt;&lt;wsp:rsid wsp:val=&quot;003B677D&quot;/&gt;&lt;wsp:rsid wsp:val=&quot;003B6C29&quot;/&gt;&lt;wsp:rsid wsp:val=&quot;003B6DC4&quot;/&gt;&lt;wsp:rsid wsp:val=&quot;003B6E68&quot;/&gt;&lt;wsp:rsid wsp:val=&quot;003B7010&quot;/&gt;&lt;wsp:rsid wsp:val=&quot;003B7D7F&quot;/&gt;&lt;wsp:rsid wsp:val=&quot;003B7FB5&quot;/&gt;&lt;wsp:rsid wsp:val=&quot;003C0009&quot;/&gt;&lt;wsp:rsid wsp:val=&quot;003C048B&quot;/&gt;&lt;wsp:rsid wsp:val=&quot;003C04E1&quot;/&gt;&lt;wsp:rsid wsp:val=&quot;003C0AEF&quot;/&gt;&lt;wsp:rsid wsp:val=&quot;003C0CE2&quot;/&gt;&lt;wsp:rsid wsp:val=&quot;003C1700&quot;/&gt;&lt;wsp:rsid wsp:val=&quot;003C1993&quot;/&gt;&lt;wsp:rsid wsp:val=&quot;003C1E3E&quot;/&gt;&lt;wsp:rsid wsp:val=&quot;003C2055&quot;/&gt;&lt;wsp:rsid wsp:val=&quot;003C270C&quot;/&gt;&lt;wsp:rsid wsp:val=&quot;003C29CB&quot;/&gt;&lt;wsp:rsid wsp:val=&quot;003C2BE4&quot;/&gt;&lt;wsp:rsid wsp:val=&quot;003C2D08&quot;/&gt;&lt;wsp:rsid wsp:val=&quot;003C2E68&quot;/&gt;&lt;wsp:rsid wsp:val=&quot;003C2EE3&quot;/&gt;&lt;wsp:rsid wsp:val=&quot;003C317C&quot;/&gt;&lt;wsp:rsid wsp:val=&quot;003C3719&quot;/&gt;&lt;wsp:rsid wsp:val=&quot;003C38EF&quot;/&gt;&lt;wsp:rsid wsp:val=&quot;003C3FD5&quot;/&gt;&lt;wsp:rsid wsp:val=&quot;003C421F&quot;/&gt;&lt;wsp:rsid wsp:val=&quot;003C44DE&quot;/&gt;&lt;wsp:rsid wsp:val=&quot;003C4928&quot;/&gt;&lt;wsp:rsid wsp:val=&quot;003C4A82&quot;/&gt;&lt;wsp:rsid wsp:val=&quot;003C524F&quot;/&gt;&lt;wsp:rsid wsp:val=&quot;003C57DC&quot;/&gt;&lt;wsp:rsid wsp:val=&quot;003C5C6B&quot;/&gt;&lt;wsp:rsid wsp:val=&quot;003C62E6&quot;/&gt;&lt;wsp:rsid wsp:val=&quot;003C6388&quot;/&gt;&lt;wsp:rsid wsp:val=&quot;003C63E0&quot;/&gt;&lt;wsp:rsid wsp:val=&quot;003C6DC2&quot;/&gt;&lt;wsp:rsid wsp:val=&quot;003C712E&quot;/&gt;&lt;wsp:rsid wsp:val=&quot;003C74EB&quot;/&gt;&lt;wsp:rsid wsp:val=&quot;003C776C&quot;/&gt;&lt;wsp:rsid wsp:val=&quot;003C7E38&quot;/&gt;&lt;wsp:rsid wsp:val=&quot;003C7E92&quot;/&gt;&lt;wsp:rsid wsp:val=&quot;003D022D&quot;/&gt;&lt;wsp:rsid wsp:val=&quot;003D0BB2&quot;/&gt;&lt;wsp:rsid wsp:val=&quot;003D0E03&quot;/&gt;&lt;wsp:rsid wsp:val=&quot;003D1172&quot;/&gt;&lt;wsp:rsid wsp:val=&quot;003D14AF&quot;/&gt;&lt;wsp:rsid wsp:val=&quot;003D1738&quot;/&gt;&lt;wsp:rsid wsp:val=&quot;003D1997&quot;/&gt;&lt;wsp:rsid wsp:val=&quot;003D1A47&quot;/&gt;&lt;wsp:rsid wsp:val=&quot;003D20A7&quot;/&gt;&lt;wsp:rsid wsp:val=&quot;003D23EC&quot;/&gt;&lt;wsp:rsid wsp:val=&quot;003D403E&quot;/&gt;&lt;wsp:rsid wsp:val=&quot;003D42D9&quot;/&gt;&lt;wsp:rsid wsp:val=&quot;003D4367&quot;/&gt;&lt;wsp:rsid wsp:val=&quot;003D4767&quot;/&gt;&lt;wsp:rsid wsp:val=&quot;003D48E3&quot;/&gt;&lt;wsp:rsid wsp:val=&quot;003D49D6&quot;/&gt;&lt;wsp:rsid wsp:val=&quot;003D4B23&quot;/&gt;&lt;wsp:rsid wsp:val=&quot;003D4C60&quot;/&gt;&lt;wsp:rsid wsp:val=&quot;003D4D6B&quot;/&gt;&lt;wsp:rsid wsp:val=&quot;003D50EC&quot;/&gt;&lt;wsp:rsid wsp:val=&quot;003D5179&quot;/&gt;&lt;wsp:rsid wsp:val=&quot;003D5451&quot;/&gt;&lt;wsp:rsid wsp:val=&quot;003D5514&quot;/&gt;&lt;wsp:rsid wsp:val=&quot;003D5668&quot;/&gt;&lt;wsp:rsid wsp:val=&quot;003D57A3&quot;/&gt;&lt;wsp:rsid wsp:val=&quot;003D5AD7&quot;/&gt;&lt;wsp:rsid wsp:val=&quot;003D5CDE&quot;/&gt;&lt;wsp:rsid wsp:val=&quot;003D6174&quot;/&gt;&lt;wsp:rsid wsp:val=&quot;003D6413&quot;/&gt;&lt;wsp:rsid wsp:val=&quot;003D6472&quot;/&gt;&lt;wsp:rsid wsp:val=&quot;003D65C0&quot;/&gt;&lt;wsp:rsid wsp:val=&quot;003D661A&quot;/&gt;&lt;wsp:rsid wsp:val=&quot;003D67A1&quot;/&gt;&lt;wsp:rsid wsp:val=&quot;003D6BB6&quot;/&gt;&lt;wsp:rsid wsp:val=&quot;003D6D7D&quot;/&gt;&lt;wsp:rsid wsp:val=&quot;003D6E42&quot;/&gt;&lt;wsp:rsid wsp:val=&quot;003D6E49&quot;/&gt;&lt;wsp:rsid wsp:val=&quot;003D6E59&quot;/&gt;&lt;wsp:rsid wsp:val=&quot;003D711E&quot;/&gt;&lt;wsp:rsid wsp:val=&quot;003D7374&quot;/&gt;&lt;wsp:rsid wsp:val=&quot;003D779F&quot;/&gt;&lt;wsp:rsid wsp:val=&quot;003D794B&quot;/&gt;&lt;wsp:rsid wsp:val=&quot;003D7975&quot;/&gt;&lt;wsp:rsid wsp:val=&quot;003D7EBB&quot;/&gt;&lt;wsp:rsid wsp:val=&quot;003D7F48&quot;/&gt;&lt;wsp:rsid wsp:val=&quot;003D7F9B&quot;/&gt;&lt;wsp:rsid wsp:val=&quot;003D7FC5&quot;/&gt;&lt;wsp:rsid wsp:val=&quot;003E010D&quot;/&gt;&lt;wsp:rsid wsp:val=&quot;003E07BA&quot;/&gt;&lt;wsp:rsid wsp:val=&quot;003E0BF1&quot;/&gt;&lt;wsp:rsid wsp:val=&quot;003E10D2&quot;/&gt;&lt;wsp:rsid wsp:val=&quot;003E1204&quot;/&gt;&lt;wsp:rsid wsp:val=&quot;003E15D2&quot;/&gt;&lt;wsp:rsid wsp:val=&quot;003E1949&quot;/&gt;&lt;wsp:rsid wsp:val=&quot;003E199F&quot;/&gt;&lt;wsp:rsid wsp:val=&quot;003E1BF0&quot;/&gt;&lt;wsp:rsid wsp:val=&quot;003E1F2C&quot;/&gt;&lt;wsp:rsid wsp:val=&quot;003E2283&quot;/&gt;&lt;wsp:rsid wsp:val=&quot;003E23AB&quot;/&gt;&lt;wsp:rsid wsp:val=&quot;003E25C2&quot;/&gt;&lt;wsp:rsid wsp:val=&quot;003E2B7A&quot;/&gt;&lt;wsp:rsid wsp:val=&quot;003E2C82&quot;/&gt;&lt;wsp:rsid wsp:val=&quot;003E343B&quot;/&gt;&lt;wsp:rsid wsp:val=&quot;003E3710&quot;/&gt;&lt;wsp:rsid wsp:val=&quot;003E3805&quot;/&gt;&lt;wsp:rsid wsp:val=&quot;003E3AC0&quot;/&gt;&lt;wsp:rsid wsp:val=&quot;003E413E&quot;/&gt;&lt;wsp:rsid wsp:val=&quot;003E4553&quot;/&gt;&lt;wsp:rsid wsp:val=&quot;003E483E&quot;/&gt;&lt;wsp:rsid wsp:val=&quot;003E4999&quot;/&gt;&lt;wsp:rsid wsp:val=&quot;003E4DB9&quot;/&gt;&lt;wsp:rsid wsp:val=&quot;003E5106&quot;/&gt;&lt;wsp:rsid wsp:val=&quot;003E5452&quot;/&gt;&lt;wsp:rsid wsp:val=&quot;003E5ED4&quot;/&gt;&lt;wsp:rsid wsp:val=&quot;003E5F64&quot;/&gt;&lt;wsp:rsid wsp:val=&quot;003E6036&quot;/&gt;&lt;wsp:rsid wsp:val=&quot;003E60CA&quot;/&gt;&lt;wsp:rsid wsp:val=&quot;003E6739&quot;/&gt;&lt;wsp:rsid wsp:val=&quot;003E6A00&quot;/&gt;&lt;wsp:rsid wsp:val=&quot;003E6D4C&quot;/&gt;&lt;wsp:rsid wsp:val=&quot;003E6DD0&quot;/&gt;&lt;wsp:rsid wsp:val=&quot;003E6EB5&quot;/&gt;&lt;wsp:rsid wsp:val=&quot;003E738E&quot;/&gt;&lt;wsp:rsid wsp:val=&quot;003E7466&quot;/&gt;&lt;wsp:rsid wsp:val=&quot;003E747E&quot;/&gt;&lt;wsp:rsid wsp:val=&quot;003E75D8&quot;/&gt;&lt;wsp:rsid wsp:val=&quot;003E75DD&quot;/&gt;&lt;wsp:rsid wsp:val=&quot;003E7F03&quot;/&gt;&lt;wsp:rsid wsp:val=&quot;003E7F56&quot;/&gt;&lt;wsp:rsid wsp:val=&quot;003F05A1&quot;/&gt;&lt;wsp:rsid wsp:val=&quot;003F072E&quot;/&gt;&lt;wsp:rsid wsp:val=&quot;003F0A77&quot;/&gt;&lt;wsp:rsid wsp:val=&quot;003F0DC0&quot;/&gt;&lt;wsp:rsid wsp:val=&quot;003F0F06&quot;/&gt;&lt;wsp:rsid wsp:val=&quot;003F10C2&quot;/&gt;&lt;wsp:rsid wsp:val=&quot;003F163B&quot;/&gt;&lt;wsp:rsid wsp:val=&quot;003F1962&quot;/&gt;&lt;wsp:rsid wsp:val=&quot;003F1D3F&quot;/&gt;&lt;wsp:rsid wsp:val=&quot;003F27FE&quot;/&gt;&lt;wsp:rsid wsp:val=&quot;003F2CD6&quot;/&gt;&lt;wsp:rsid wsp:val=&quot;003F2D9D&quot;/&gt;&lt;wsp:rsid wsp:val=&quot;003F2F74&quot;/&gt;&lt;wsp:rsid wsp:val=&quot;003F4232&quot;/&gt;&lt;wsp:rsid wsp:val=&quot;003F535C&quot;/&gt;&lt;wsp:rsid wsp:val=&quot;003F5782&quot;/&gt;&lt;wsp:rsid wsp:val=&quot;003F59F3&quot;/&gt;&lt;wsp:rsid wsp:val=&quot;003F5A09&quot;/&gt;&lt;wsp:rsid wsp:val=&quot;003F5A71&quot;/&gt;&lt;wsp:rsid wsp:val=&quot;003F5AB8&quot;/&gt;&lt;wsp:rsid wsp:val=&quot;003F5BCF&quot;/&gt;&lt;wsp:rsid wsp:val=&quot;003F61F2&quot;/&gt;&lt;wsp:rsid wsp:val=&quot;003F6306&quot;/&gt;&lt;wsp:rsid wsp:val=&quot;003F64A7&quot;/&gt;&lt;wsp:rsid wsp:val=&quot;003F651F&quot;/&gt;&lt;wsp:rsid wsp:val=&quot;003F67D5&quot;/&gt;&lt;wsp:rsid wsp:val=&quot;003F6EDE&quot;/&gt;&lt;wsp:rsid wsp:val=&quot;003F72B3&quot;/&gt;&lt;wsp:rsid wsp:val=&quot;003F77BC&quot;/&gt;&lt;wsp:rsid wsp:val=&quot;00400167&quot;/&gt;&lt;wsp:rsid wsp:val=&quot;00400AD1&quot;/&gt;&lt;wsp:rsid wsp:val=&quot;00401163&quot;/&gt;&lt;wsp:rsid wsp:val=&quot;00401171&quot;/&gt;&lt;wsp:rsid wsp:val=&quot;00402199&quot;/&gt;&lt;wsp:rsid wsp:val=&quot;004021F6&quot;/&gt;&lt;wsp:rsid wsp:val=&quot;00402823&quot;/&gt;&lt;wsp:rsid wsp:val=&quot;00402A93&quot;/&gt;&lt;wsp:rsid wsp:val=&quot;004032F0&quot;/&gt;&lt;wsp:rsid wsp:val=&quot;00403AB8&quot;/&gt;&lt;wsp:rsid wsp:val=&quot;00403EC3&quot;/&gt;&lt;wsp:rsid wsp:val=&quot;004041F7&quot;/&gt;&lt;wsp:rsid wsp:val=&quot;00404D42&quot;/&gt;&lt;wsp:rsid wsp:val=&quot;00404E76&quot;/&gt;&lt;wsp:rsid wsp:val=&quot;00405380&quot;/&gt;&lt;wsp:rsid wsp:val=&quot;00405393&quot;/&gt;&lt;wsp:rsid wsp:val=&quot;00405409&quot;/&gt;&lt;wsp:rsid wsp:val=&quot;00405452&quot;/&gt;&lt;wsp:rsid wsp:val=&quot;00405C6D&quot;/&gt;&lt;wsp:rsid wsp:val=&quot;0040601C&quot;/&gt;&lt;wsp:rsid wsp:val=&quot;0040604D&quot;/&gt;&lt;wsp:rsid wsp:val=&quot;0040662E&quot;/&gt;&lt;wsp:rsid wsp:val=&quot;00406706&quot;/&gt;&lt;wsp:rsid wsp:val=&quot;00406B1B&quot;/&gt;&lt;wsp:rsid wsp:val=&quot;00407073&quot;/&gt;&lt;wsp:rsid wsp:val=&quot;00407C7E&quot;/&gt;&lt;wsp:rsid wsp:val=&quot;00407D27&quot;/&gt;&lt;wsp:rsid wsp:val=&quot;004102C5&quot;/&gt;&lt;wsp:rsid wsp:val=&quot;0041080E&quot;/&gt;&lt;wsp:rsid wsp:val=&quot;004108CF&quot;/&gt;&lt;wsp:rsid wsp:val=&quot;004113CF&quot;/&gt;&lt;wsp:rsid wsp:val=&quot;00411874&quot;/&gt;&lt;wsp:rsid wsp:val=&quot;00411C07&quot;/&gt;&lt;wsp:rsid wsp:val=&quot;00411C3A&quot;/&gt;&lt;wsp:rsid wsp:val=&quot;00411D59&quot;/&gt;&lt;wsp:rsid wsp:val=&quot;00411DBF&quot;/&gt;&lt;wsp:rsid wsp:val=&quot;00412120&quot;/&gt;&lt;wsp:rsid wsp:val=&quot;004122B7&quot;/&gt;&lt;wsp:rsid wsp:val=&quot;004125F8&quot;/&gt;&lt;wsp:rsid wsp:val=&quot;004126D8&quot;/&gt;&lt;wsp:rsid wsp:val=&quot;00412732&quot;/&gt;&lt;wsp:rsid wsp:val=&quot;0041287E&quot;/&gt;&lt;wsp:rsid wsp:val=&quot;00412941&quot;/&gt;&lt;wsp:rsid wsp:val=&quot;00412A1C&quot;/&gt;&lt;wsp:rsid wsp:val=&quot;00412A9A&quot;/&gt;&lt;wsp:rsid wsp:val=&quot;00412B05&quot;/&gt;&lt;wsp:rsid wsp:val=&quot;00412E3E&quot;/&gt;&lt;wsp:rsid wsp:val=&quot;0041306D&quot;/&gt;&lt;wsp:rsid wsp:val=&quot;004137A0&quot;/&gt;&lt;wsp:rsid wsp:val=&quot;00413C4F&quot;/&gt;&lt;wsp:rsid wsp:val=&quot;00413DAA&quot;/&gt;&lt;wsp:rsid wsp:val=&quot;00413DB7&quot;/&gt;&lt;wsp:rsid wsp:val=&quot;00414227&quot;/&gt;&lt;wsp:rsid wsp:val=&quot;00415034&quot;/&gt;&lt;wsp:rsid wsp:val=&quot;00415974&quot;/&gt;&lt;wsp:rsid wsp:val=&quot;00415A40&quot;/&gt;&lt;wsp:rsid wsp:val=&quot;00416097&quot;/&gt;&lt;wsp:rsid wsp:val=&quot;00416277&quot;/&gt;&lt;wsp:rsid wsp:val=&quot;00416715&quot;/&gt;&lt;wsp:rsid wsp:val=&quot;00416D6C&quot;/&gt;&lt;wsp:rsid wsp:val=&quot;00416D9B&quot;/&gt;&lt;wsp:rsid wsp:val=&quot;00416E1D&quot;/&gt;&lt;wsp:rsid wsp:val=&quot;004171AC&quot;/&gt;&lt;wsp:rsid wsp:val=&quot;00417426&quot;/&gt;&lt;wsp:rsid wsp:val=&quot;00417963&quot;/&gt;&lt;wsp:rsid wsp:val=&quot;00417F00&quot;/&gt;&lt;wsp:rsid wsp:val=&quot;004201F9&quot;/&gt;&lt;wsp:rsid wsp:val=&quot;00420691&quot;/&gt;&lt;wsp:rsid wsp:val=&quot;00420919&quot;/&gt;&lt;wsp:rsid wsp:val=&quot;004209EA&quot;/&gt;&lt;wsp:rsid wsp:val=&quot;00420C86&quot;/&gt;&lt;wsp:rsid wsp:val=&quot;00420DA8&quot;/&gt;&lt;wsp:rsid wsp:val=&quot;004214D1&quot;/&gt;&lt;wsp:rsid wsp:val=&quot;0042172F&quot;/&gt;&lt;wsp:rsid wsp:val=&quot;00421879&quot;/&gt;&lt;wsp:rsid wsp:val=&quot;004226DD&quot;/&gt;&lt;wsp:rsid wsp:val=&quot;00422703&quot;/&gt;&lt;wsp:rsid wsp:val=&quot;004228DB&quot;/&gt;&lt;wsp:rsid wsp:val=&quot;00422CCB&quot;/&gt;&lt;wsp:rsid wsp:val=&quot;00422F61&quot;/&gt;&lt;wsp:rsid wsp:val=&quot;0042399D&quot;/&gt;&lt;wsp:rsid wsp:val=&quot;00423D45&quot;/&gt;&lt;wsp:rsid wsp:val=&quot;004256B2&quot;/&gt;&lt;wsp:rsid wsp:val=&quot;004258EB&quot;/&gt;&lt;wsp:rsid wsp:val=&quot;00425C65&quot;/&gt;&lt;wsp:rsid wsp:val=&quot;00426242&quot;/&gt;&lt;wsp:rsid wsp:val=&quot;004263DD&quot;/&gt;&lt;wsp:rsid wsp:val=&quot;00426B31&quot;/&gt;&lt;wsp:rsid wsp:val=&quot;00426C16&quot;/&gt;&lt;wsp:rsid wsp:val=&quot;00426C3D&quot;/&gt;&lt;wsp:rsid wsp:val=&quot;00426C91&quot;/&gt;&lt;wsp:rsid wsp:val=&quot;004272E7&quot;/&gt;&lt;wsp:rsid wsp:val=&quot;00427382&quot;/&gt;&lt;wsp:rsid wsp:val=&quot;00427A8E&quot;/&gt;&lt;wsp:rsid wsp:val=&quot;00427CBB&quot;/&gt;&lt;wsp:rsid wsp:val=&quot;00427F05&quot;/&gt;&lt;wsp:rsid wsp:val=&quot;0043005A&quot;/&gt;&lt;wsp:rsid wsp:val=&quot;004302FC&quot;/&gt;&lt;wsp:rsid wsp:val=&quot;004306DF&quot;/&gt;&lt;wsp:rsid wsp:val=&quot;00430728&quot;/&gt;&lt;wsp:rsid wsp:val=&quot;00430D53&quot;/&gt;&lt;wsp:rsid wsp:val=&quot;00431053&quot;/&gt;&lt;wsp:rsid wsp:val=&quot;00431166&quot;/&gt;&lt;wsp:rsid wsp:val=&quot;004312AC&quot;/&gt;&lt;wsp:rsid wsp:val=&quot;0043143D&quot;/&gt;&lt;wsp:rsid wsp:val=&quot;0043160B&quot;/&gt;&lt;wsp:rsid wsp:val=&quot;00431BD6&quot;/&gt;&lt;wsp:rsid wsp:val=&quot;00431D5A&quot;/&gt;&lt;wsp:rsid wsp:val=&quot;00432A0F&quot;/&gt;&lt;wsp:rsid wsp:val=&quot;00432B6D&quot;/&gt;&lt;wsp:rsid wsp:val=&quot;00432BD9&quot;/&gt;&lt;wsp:rsid wsp:val=&quot;00432F24&quot;/&gt;&lt;wsp:rsid wsp:val=&quot;00433063&quot;/&gt;&lt;wsp:rsid wsp:val=&quot;00433294&quot;/&gt;&lt;wsp:rsid wsp:val=&quot;00433353&quot;/&gt;&lt;wsp:rsid wsp:val=&quot;004338D5&quot;/&gt;&lt;wsp:rsid wsp:val=&quot;0043394F&quot;/&gt;&lt;wsp:rsid wsp:val=&quot;0043418B&quot;/&gt;&lt;wsp:rsid wsp:val=&quot;00434456&quot;/&gt;&lt;wsp:rsid wsp:val=&quot;0043487C&quot;/&gt;&lt;wsp:rsid wsp:val=&quot;00434B6B&quot;/&gt;&lt;wsp:rsid wsp:val=&quot;00435106&quot;/&gt;&lt;wsp:rsid wsp:val=&quot;00435446&quot;/&gt;&lt;wsp:rsid wsp:val=&quot;00435560&quot;/&gt;&lt;wsp:rsid wsp:val=&quot;00435CC3&quot;/&gt;&lt;wsp:rsid wsp:val=&quot;00435E1B&quot;/&gt;&lt;wsp:rsid wsp:val=&quot;00436526&quot;/&gt;&lt;wsp:rsid wsp:val=&quot;004368E1&quot;/&gt;&lt;wsp:rsid wsp:val=&quot;0043698F&quot;/&gt;&lt;wsp:rsid wsp:val=&quot;00436AE0&quot;/&gt;&lt;wsp:rsid wsp:val=&quot;00436AEF&quot;/&gt;&lt;wsp:rsid wsp:val=&quot;00436CF7&quot;/&gt;&lt;wsp:rsid wsp:val=&quot;00436E5C&quot;/&gt;&lt;wsp:rsid wsp:val=&quot;004371E9&quot;/&gt;&lt;wsp:rsid wsp:val=&quot;004375B1&quot;/&gt;&lt;wsp:rsid wsp:val=&quot;0043778B&quot;/&gt;&lt;wsp:rsid wsp:val=&quot;00437831&quot;/&gt;&lt;wsp:rsid wsp:val=&quot;00437BF6&quot;/&gt;&lt;wsp:rsid wsp:val=&quot;00437CAC&quot;/&gt;&lt;wsp:rsid wsp:val=&quot;00437E9D&quot;/&gt;&lt;wsp:rsid wsp:val=&quot;00440C3D&quot;/&gt;&lt;wsp:rsid wsp:val=&quot;0044147E&quot;/&gt;&lt;wsp:rsid wsp:val=&quot;004417DE&quot;/&gt;&lt;wsp:rsid wsp:val=&quot;00441A53&quot;/&gt;&lt;wsp:rsid wsp:val=&quot;00441B1C&quot;/&gt;&lt;wsp:rsid wsp:val=&quot;00441BC1&quot;/&gt;&lt;wsp:rsid wsp:val=&quot;00441C6D&quot;/&gt;&lt;wsp:rsid wsp:val=&quot;00441E1C&quot;/&gt;&lt;wsp:rsid wsp:val=&quot;00441EA7&quot;/&gt;&lt;wsp:rsid wsp:val=&quot;004420A8&quot;/&gt;&lt;wsp:rsid wsp:val=&quot;00442B06&quot;/&gt;&lt;wsp:rsid wsp:val=&quot;00442D41&quot;/&gt;&lt;wsp:rsid wsp:val=&quot;00442DBF&quot;/&gt;&lt;wsp:rsid wsp:val=&quot;00442E23&quot;/&gt;&lt;wsp:rsid wsp:val=&quot;00443044&quot;/&gt;&lt;wsp:rsid wsp:val=&quot;00443103&quot;/&gt;&lt;wsp:rsid wsp:val=&quot;00443143&quot;/&gt;&lt;wsp:rsid wsp:val=&quot;00443533&quot;/&gt;&lt;wsp:rsid wsp:val=&quot;004438F7&quot;/&gt;&lt;wsp:rsid wsp:val=&quot;00443985&quot;/&gt;&lt;wsp:rsid wsp:val=&quot;00443C76&quot;/&gt;&lt;wsp:rsid wsp:val=&quot;0044419D&quot;/&gt;&lt;wsp:rsid wsp:val=&quot;0044438A&quot;/&gt;&lt;wsp:rsid wsp:val=&quot;00444562&quot;/&gt;&lt;wsp:rsid wsp:val=&quot;0044478E&quot;/&gt;&lt;wsp:rsid wsp:val=&quot;004447EA&quot;/&gt;&lt;wsp:rsid wsp:val=&quot;0044488E&quot;/&gt;&lt;wsp:rsid wsp:val=&quot;00444C19&quot;/&gt;&lt;wsp:rsid wsp:val=&quot;00444F9D&quot;/&gt;&lt;wsp:rsid wsp:val=&quot;004458CA&quot;/&gt;&lt;wsp:rsid wsp:val=&quot;00445AFA&quot;/&gt;&lt;wsp:rsid wsp:val=&quot;00445D01&quot;/&gt;&lt;wsp:rsid wsp:val=&quot;00445E5F&quot;/&gt;&lt;wsp:rsid wsp:val=&quot;00446157&quot;/&gt;&lt;wsp:rsid wsp:val=&quot;004461A4&quot;/&gt;&lt;wsp:rsid wsp:val=&quot;004461D0&quot;/&gt;&lt;wsp:rsid wsp:val=&quot;004462D2&quot;/&gt;&lt;wsp:rsid wsp:val=&quot;00446374&quot;/&gt;&lt;wsp:rsid wsp:val=&quot;00446489&quot;/&gt;&lt;wsp:rsid wsp:val=&quot;00446537&quot;/&gt;&lt;wsp:rsid wsp:val=&quot;00446605&quot;/&gt;&lt;wsp:rsid wsp:val=&quot;004466CD&quot;/&gt;&lt;wsp:rsid wsp:val=&quot;0044671A&quot;/&gt;&lt;wsp:rsid wsp:val=&quot;00446798&quot;/&gt;&lt;wsp:rsid wsp:val=&quot;00446B30&quot;/&gt;&lt;wsp:rsid wsp:val=&quot;00447387&quot;/&gt;&lt;wsp:rsid wsp:val=&quot;00447397&quot;/&gt;&lt;wsp:rsid wsp:val=&quot;0044789A&quot;/&gt;&lt;wsp:rsid wsp:val=&quot;00447CC2&quot;/&gt;&lt;wsp:rsid wsp:val=&quot;00447FCB&quot;/&gt;&lt;wsp:rsid wsp:val=&quot;0045026C&quot;/&gt;&lt;wsp:rsid wsp:val=&quot;00450663&quot;/&gt;&lt;wsp:rsid wsp:val=&quot;004507D7&quot;/&gt;&lt;wsp:rsid wsp:val=&quot;00450BC6&quot;/&gt;&lt;wsp:rsid wsp:val=&quot;00450DAD&quot;/&gt;&lt;wsp:rsid wsp:val=&quot;00450E01&quot;/&gt;&lt;wsp:rsid wsp:val=&quot;00450FA8&quot;/&gt;&lt;wsp:rsid wsp:val=&quot;00451177&quot;/&gt;&lt;wsp:rsid wsp:val=&quot;0045123E&quot;/&gt;&lt;wsp:rsid wsp:val=&quot;004512ED&quot;/&gt;&lt;wsp:rsid wsp:val=&quot;004518D0&quot;/&gt;&lt;wsp:rsid wsp:val=&quot;00452310&quot;/&gt;&lt;wsp:rsid wsp:val=&quot;0045288A&quot;/&gt;&lt;wsp:rsid wsp:val=&quot;00452ACD&quot;/&gt;&lt;wsp:rsid wsp:val=&quot;00452B84&quot;/&gt;&lt;wsp:rsid wsp:val=&quot;00452C80&quot;/&gt;&lt;wsp:rsid wsp:val=&quot;004531A4&quot;/&gt;&lt;wsp:rsid wsp:val=&quot;00453268&quot;/&gt;&lt;wsp:rsid wsp:val=&quot;00453577&quot;/&gt;&lt;wsp:rsid wsp:val=&quot;00453C5D&quot;/&gt;&lt;wsp:rsid wsp:val=&quot;00454170&quot;/&gt;&lt;wsp:rsid wsp:val=&quot;00454832&quot;/&gt;&lt;wsp:rsid wsp:val=&quot;00454890&quot;/&gt;&lt;wsp:rsid wsp:val=&quot;00454A4D&quot;/&gt;&lt;wsp:rsid wsp:val=&quot;00454F20&quot;/&gt;&lt;wsp:rsid wsp:val=&quot;004553C6&quot;/&gt;&lt;wsp:rsid wsp:val=&quot;00455834&quot;/&gt;&lt;wsp:rsid wsp:val=&quot;00455B45&quot;/&gt;&lt;wsp:rsid wsp:val=&quot;00455B9C&quot;/&gt;&lt;wsp:rsid wsp:val=&quot;00455BB7&quot;/&gt;&lt;wsp:rsid wsp:val=&quot;00456165&quot;/&gt;&lt;wsp:rsid wsp:val=&quot;0045649E&quot;/&gt;&lt;wsp:rsid wsp:val=&quot;004565EB&quot;/&gt;&lt;wsp:rsid wsp:val=&quot;00456861&quot;/&gt;&lt;wsp:rsid wsp:val=&quot;004572A3&quot;/&gt;&lt;wsp:rsid wsp:val=&quot;004576F2&quot;/&gt;&lt;wsp:rsid wsp:val=&quot;004577F9&quot;/&gt;&lt;wsp:rsid wsp:val=&quot;00457CC6&quot;/&gt;&lt;wsp:rsid wsp:val=&quot;00457DE2&quot;/&gt;&lt;wsp:rsid wsp:val=&quot;00457FB3&quot;/&gt;&lt;wsp:rsid wsp:val=&quot;004608B6&quot;/&gt;&lt;wsp:rsid wsp:val=&quot;004608EE&quot;/&gt;&lt;wsp:rsid wsp:val=&quot;0046098B&quot;/&gt;&lt;wsp:rsid wsp:val=&quot;004610D7&quot;/&gt;&lt;wsp:rsid wsp:val=&quot;00461155&quot;/&gt;&lt;wsp:rsid wsp:val=&quot;004615C4&quot;/&gt;&lt;wsp:rsid wsp:val=&quot;00461628&quot;/&gt;&lt;wsp:rsid wsp:val=&quot;00461A79&quot;/&gt;&lt;wsp:rsid wsp:val=&quot;0046245E&quot;/&gt;&lt;wsp:rsid wsp:val=&quot;00462996&quot;/&gt;&lt;wsp:rsid wsp:val=&quot;00462A41&quot;/&gt;&lt;wsp:rsid wsp:val=&quot;00462B20&quot;/&gt;&lt;wsp:rsid wsp:val=&quot;00462BD0&quot;/&gt;&lt;wsp:rsid wsp:val=&quot;00462D04&quot;/&gt;&lt;wsp:rsid wsp:val=&quot;00463017&quot;/&gt;&lt;wsp:rsid wsp:val=&quot;00463593&quot;/&gt;&lt;wsp:rsid wsp:val=&quot;004635B6&quot;/&gt;&lt;wsp:rsid wsp:val=&quot;0046376F&quot;/&gt;&lt;wsp:rsid wsp:val=&quot;00463986&quot;/&gt;&lt;wsp:rsid wsp:val=&quot;00463CF2&quot;/&gt;&lt;wsp:rsid wsp:val=&quot;0046420B&quot;/&gt;&lt;wsp:rsid wsp:val=&quot;00464B26&quot;/&gt;&lt;wsp:rsid wsp:val=&quot;00464CC2&quot;/&gt;&lt;wsp:rsid wsp:val=&quot;00464DAA&quot;/&gt;&lt;wsp:rsid wsp:val=&quot;004655C4&quot;/&gt;&lt;wsp:rsid wsp:val=&quot;004657FF&quot;/&gt;&lt;wsp:rsid wsp:val=&quot;00465892&quot;/&gt;&lt;wsp:rsid wsp:val=&quot;00465895&quot;/&gt;&lt;wsp:rsid wsp:val=&quot;00465A53&quot;/&gt;&lt;wsp:rsid wsp:val=&quot;00465CB2&quot;/&gt;&lt;wsp:rsid wsp:val=&quot;00465D75&quot;/&gt;&lt;wsp:rsid wsp:val=&quot;004661B1&quot;/&gt;&lt;wsp:rsid wsp:val=&quot;004663F7&quot;/&gt;&lt;wsp:rsid wsp:val=&quot;00466D7E&quot;/&gt;&lt;wsp:rsid wsp:val=&quot;004674C1&quot;/&gt;&lt;wsp:rsid wsp:val=&quot;00467852&quot;/&gt;&lt;wsp:rsid wsp:val=&quot;004679FD&quot;/&gt;&lt;wsp:rsid wsp:val=&quot;00470019&quot;/&gt;&lt;wsp:rsid wsp:val=&quot;00470308&quot;/&gt;&lt;wsp:rsid wsp:val=&quot;0047046B&quot;/&gt;&lt;wsp:rsid wsp:val=&quot;00470DB4&quot;/&gt;&lt;wsp:rsid wsp:val=&quot;0047107A&quot;/&gt;&lt;wsp:rsid wsp:val=&quot;004710D3&quot;/&gt;&lt;wsp:rsid wsp:val=&quot;004710DF&quot;/&gt;&lt;wsp:rsid wsp:val=&quot;004714D2&quot;/&gt;&lt;wsp:rsid wsp:val=&quot;00471507&quot;/&gt;&lt;wsp:rsid wsp:val=&quot;00471D6C&quot;/&gt;&lt;wsp:rsid wsp:val=&quot;00471E47&quot;/&gt;&lt;wsp:rsid wsp:val=&quot;00471FC5&quot;/&gt;&lt;wsp:rsid wsp:val=&quot;00472074&quot;/&gt;&lt;wsp:rsid wsp:val=&quot;00472AEE&quot;/&gt;&lt;wsp:rsid wsp:val=&quot;00472B3C&quot;/&gt;&lt;wsp:rsid wsp:val=&quot;00472B9D&quot;/&gt;&lt;wsp:rsid wsp:val=&quot;00472D20&quot;/&gt;&lt;wsp:rsid wsp:val=&quot;004737B3&quot;/&gt;&lt;wsp:rsid wsp:val=&quot;004738E4&quot;/&gt;&lt;wsp:rsid wsp:val=&quot;004738E5&quot;/&gt;&lt;wsp:rsid wsp:val=&quot;00473F1D&quot;/&gt;&lt;wsp:rsid wsp:val=&quot;004740CB&quot;/&gt;&lt;wsp:rsid wsp:val=&quot;004743A8&quot;/&gt;&lt;wsp:rsid wsp:val=&quot;0047459B&quot;/&gt;&lt;wsp:rsid wsp:val=&quot;0047466C&quot;/&gt;&lt;wsp:rsid wsp:val=&quot;00474928&quot;/&gt;&lt;wsp:rsid wsp:val=&quot;0047513F&quot;/&gt;&lt;wsp:rsid wsp:val=&quot;0047556E&quot;/&gt;&lt;wsp:rsid wsp:val=&quot;0047565B&quot;/&gt;&lt;wsp:rsid wsp:val=&quot;004757A8&quot;/&gt;&lt;wsp:rsid wsp:val=&quot;0047598B&quot;/&gt;&lt;wsp:rsid wsp:val=&quot;00475DAC&quot;/&gt;&lt;wsp:rsid wsp:val=&quot;004761DC&quot;/&gt;&lt;wsp:rsid wsp:val=&quot;0047633A&quot;/&gt;&lt;wsp:rsid wsp:val=&quot;0047634B&quot;/&gt;&lt;wsp:rsid wsp:val=&quot;00476428&quot;/&gt;&lt;wsp:rsid wsp:val=&quot;00476588&quot;/&gt;&lt;wsp:rsid wsp:val=&quot;00476831&quot;/&gt;&lt;wsp:rsid wsp:val=&quot;00476EBB&quot;/&gt;&lt;wsp:rsid wsp:val=&quot;0047711B&quot;/&gt;&lt;wsp:rsid wsp:val=&quot;00477336&quot;/&gt;&lt;wsp:rsid wsp:val=&quot;00477AA4&quot;/&gt;&lt;wsp:rsid wsp:val=&quot;00477C62&quot;/&gt;&lt;wsp:rsid wsp:val=&quot;00477E82&quot;/&gt;&lt;wsp:rsid wsp:val=&quot;00477FB2&quot;/&gt;&lt;wsp:rsid wsp:val=&quot;0048004E&quot;/&gt;&lt;wsp:rsid wsp:val=&quot;00480129&quot;/&gt;&lt;wsp:rsid wsp:val=&quot;00480575&quot;/&gt;&lt;wsp:rsid wsp:val=&quot;00480F11&quot;/&gt;&lt;wsp:rsid wsp:val=&quot;00482083&quot;/&gt;&lt;wsp:rsid wsp:val=&quot;004823C1&quot;/&gt;&lt;wsp:rsid wsp:val=&quot;004823D0&quot;/&gt;&lt;wsp:rsid wsp:val=&quot;004825D7&quot;/&gt;&lt;wsp:rsid wsp:val=&quot;004831BB&quot;/&gt;&lt;wsp:rsid wsp:val=&quot;00483290&quot;/&gt;&lt;wsp:rsid wsp:val=&quot;004834B7&quot;/&gt;&lt;wsp:rsid wsp:val=&quot;00483841&quot;/&gt;&lt;wsp:rsid wsp:val=&quot;00483914&quot;/&gt;&lt;wsp:rsid wsp:val=&quot;00483C6F&quot;/&gt;&lt;wsp:rsid wsp:val=&quot;00484263&quot;/&gt;&lt;wsp:rsid wsp:val=&quot;004843B5&quot;/&gt;&lt;wsp:rsid wsp:val=&quot;004844FC&quot;/&gt;&lt;wsp:rsid wsp:val=&quot;00484FDF&quot;/&gt;&lt;wsp:rsid wsp:val=&quot;004854A5&quot;/&gt;&lt;wsp:rsid wsp:val=&quot;004855F1&quot;/&gt;&lt;wsp:rsid wsp:val=&quot;00485A07&quot;/&gt;&lt;wsp:rsid wsp:val=&quot;00485A73&quot;/&gt;&lt;wsp:rsid wsp:val=&quot;00485D62&quot;/&gt;&lt;wsp:rsid wsp:val=&quot;00485D6D&quot;/&gt;&lt;wsp:rsid wsp:val=&quot;00485EDD&quot;/&gt;&lt;wsp:rsid wsp:val=&quot;00486243&quot;/&gt;&lt;wsp:rsid wsp:val=&quot;00486319&quot;/&gt;&lt;wsp:rsid wsp:val=&quot;004864A6&quot;/&gt;&lt;wsp:rsid wsp:val=&quot;004865EE&quot;/&gt;&lt;wsp:rsid wsp:val=&quot;004868A0&quot;/&gt;&lt;wsp:rsid wsp:val=&quot;00486B0E&quot;/&gt;&lt;wsp:rsid wsp:val=&quot;00487952&quot;/&gt;&lt;wsp:rsid wsp:val=&quot;00487F97&quot;/&gt;&lt;wsp:rsid wsp:val=&quot;00490235&quot;/&gt;&lt;wsp:rsid wsp:val=&quot;004904F5&quot;/&gt;&lt;wsp:rsid wsp:val=&quot;00490575&quot;/&gt;&lt;wsp:rsid wsp:val=&quot;0049105E&quot;/&gt;&lt;wsp:rsid wsp:val=&quot;0049114B&quot;/&gt;&lt;wsp:rsid wsp:val=&quot;004913BD&quot;/&gt;&lt;wsp:rsid wsp:val=&quot;00491B51&quot;/&gt;&lt;wsp:rsid wsp:val=&quot;0049254E&quot;/&gt;&lt;wsp:rsid wsp:val=&quot;00492B5E&quot;/&gt;&lt;wsp:rsid wsp:val=&quot;00492B75&quot;/&gt;&lt;wsp:rsid wsp:val=&quot;00492BDE&quot;/&gt;&lt;wsp:rsid wsp:val=&quot;00493194&quot;/&gt;&lt;wsp:rsid wsp:val=&quot;004933E0&quot;/&gt;&lt;wsp:rsid wsp:val=&quot;0049407C&quot;/&gt;&lt;wsp:rsid wsp:val=&quot;004947BD&quot;/&gt;&lt;wsp:rsid wsp:val=&quot;004948E4&quot;/&gt;&lt;wsp:rsid wsp:val=&quot;00494D55&quot;/&gt;&lt;wsp:rsid wsp:val=&quot;004953A7&quot;/&gt;&lt;wsp:rsid wsp:val=&quot;00495729&quot;/&gt;&lt;wsp:rsid wsp:val=&quot;00495C08&quot;/&gt;&lt;wsp:rsid wsp:val=&quot;00495C16&quot;/&gt;&lt;wsp:rsid wsp:val=&quot;00495EDB&quot;/&gt;&lt;wsp:rsid wsp:val=&quot;00495FEA&quot;/&gt;&lt;wsp:rsid wsp:val=&quot;004963FD&quot;/&gt;&lt;wsp:rsid wsp:val=&quot;004975DF&quot;/&gt;&lt;wsp:rsid wsp:val=&quot;004976A3&quot;/&gt;&lt;wsp:rsid wsp:val=&quot;00497F41&quot;/&gt;&lt;wsp:rsid wsp:val=&quot;004A0140&quot;/&gt;&lt;wsp:rsid wsp:val=&quot;004A0471&quot;/&gt;&lt;wsp:rsid wsp:val=&quot;004A09B6&quot;/&gt;&lt;wsp:rsid wsp:val=&quot;004A12A2&quot;/&gt;&lt;wsp:rsid wsp:val=&quot;004A1350&quot;/&gt;&lt;wsp:rsid wsp:val=&quot;004A138A&quot;/&gt;&lt;wsp:rsid wsp:val=&quot;004A1B0F&quot;/&gt;&lt;wsp:rsid wsp:val=&quot;004A1CF9&quot;/&gt;&lt;wsp:rsid wsp:val=&quot;004A1FE1&quot;/&gt;&lt;wsp:rsid wsp:val=&quot;004A2013&quot;/&gt;&lt;wsp:rsid wsp:val=&quot;004A228C&quot;/&gt;&lt;wsp:rsid wsp:val=&quot;004A29C1&quot;/&gt;&lt;wsp:rsid wsp:val=&quot;004A29F7&quot;/&gt;&lt;wsp:rsid wsp:val=&quot;004A2FEB&quot;/&gt;&lt;wsp:rsid wsp:val=&quot;004A3467&quot;/&gt;&lt;wsp:rsid wsp:val=&quot;004A34BC&quot;/&gt;&lt;wsp:rsid wsp:val=&quot;004A4183&quot;/&gt;&lt;wsp:rsid wsp:val=&quot;004A460D&quot;/&gt;&lt;wsp:rsid wsp:val=&quot;004A4913&quot;/&gt;&lt;wsp:rsid wsp:val=&quot;004A4985&quot;/&gt;&lt;wsp:rsid wsp:val=&quot;004A49CD&quot;/&gt;&lt;wsp:rsid wsp:val=&quot;004A4D4D&quot;/&gt;&lt;wsp:rsid wsp:val=&quot;004A526B&quot;/&gt;&lt;wsp:rsid wsp:val=&quot;004A52FC&quot;/&gt;&lt;wsp:rsid wsp:val=&quot;004A535F&quot;/&gt;&lt;wsp:rsid wsp:val=&quot;004A55B8&quot;/&gt;&lt;wsp:rsid wsp:val=&quot;004A5826&quot;/&gt;&lt;wsp:rsid wsp:val=&quot;004A6463&quot;/&gt;&lt;wsp:rsid wsp:val=&quot;004A659B&quot;/&gt;&lt;wsp:rsid wsp:val=&quot;004A65E6&quot;/&gt;&lt;wsp:rsid wsp:val=&quot;004A6695&quot;/&gt;&lt;wsp:rsid wsp:val=&quot;004A671E&quot;/&gt;&lt;wsp:rsid wsp:val=&quot;004A673C&quot;/&gt;&lt;wsp:rsid wsp:val=&quot;004A6C23&quot;/&gt;&lt;wsp:rsid wsp:val=&quot;004A7471&quot;/&gt;&lt;wsp:rsid wsp:val=&quot;004A77E1&quot;/&gt;&lt;wsp:rsid wsp:val=&quot;004A783D&quot;/&gt;&lt;wsp:rsid wsp:val=&quot;004B0247&quot;/&gt;&lt;wsp:rsid wsp:val=&quot;004B064C&quot;/&gt;&lt;wsp:rsid wsp:val=&quot;004B1565&quot;/&gt;&lt;wsp:rsid wsp:val=&quot;004B1868&quot;/&gt;&lt;wsp:rsid wsp:val=&quot;004B1AFA&quot;/&gt;&lt;wsp:rsid wsp:val=&quot;004B204C&quot;/&gt;&lt;wsp:rsid wsp:val=&quot;004B208C&quot;/&gt;&lt;wsp:rsid wsp:val=&quot;004B2265&quot;/&gt;&lt;wsp:rsid wsp:val=&quot;004B2807&quot;/&gt;&lt;wsp:rsid wsp:val=&quot;004B2918&quot;/&gt;&lt;wsp:rsid wsp:val=&quot;004B3418&quot;/&gt;&lt;wsp:rsid wsp:val=&quot;004B3574&quot;/&gt;&lt;wsp:rsid wsp:val=&quot;004B3864&quot;/&gt;&lt;wsp:rsid wsp:val=&quot;004B3D7B&quot;/&gt;&lt;wsp:rsid wsp:val=&quot;004B3DD6&quot;/&gt;&lt;wsp:rsid wsp:val=&quot;004B3FD2&quot;/&gt;&lt;wsp:rsid wsp:val=&quot;004B40A6&quot;/&gt;&lt;wsp:rsid wsp:val=&quot;004B4A4D&quot;/&gt;&lt;wsp:rsid wsp:val=&quot;004B4D89&quot;/&gt;&lt;wsp:rsid wsp:val=&quot;004B4EBD&quot;/&gt;&lt;wsp:rsid wsp:val=&quot;004B54E6&quot;/&gt;&lt;wsp:rsid wsp:val=&quot;004B5828&quot;/&gt;&lt;wsp:rsid wsp:val=&quot;004B5884&quot;/&gt;&lt;wsp:rsid wsp:val=&quot;004B5B64&quot;/&gt;&lt;wsp:rsid wsp:val=&quot;004B5B9E&quot;/&gt;&lt;wsp:rsid wsp:val=&quot;004B5CD7&quot;/&gt;&lt;wsp:rsid wsp:val=&quot;004B5D77&quot;/&gt;&lt;wsp:rsid wsp:val=&quot;004B6016&quot;/&gt;&lt;wsp:rsid wsp:val=&quot;004B635B&quot;/&gt;&lt;wsp:rsid wsp:val=&quot;004B665D&quot;/&gt;&lt;wsp:rsid wsp:val=&quot;004B68B5&quot;/&gt;&lt;wsp:rsid wsp:val=&quot;004B69F9&quot;/&gt;&lt;wsp:rsid wsp:val=&quot;004B6C92&quot;/&gt;&lt;wsp:rsid wsp:val=&quot;004B6FBE&quot;/&gt;&lt;wsp:rsid wsp:val=&quot;004B7820&quot;/&gt;&lt;wsp:rsid wsp:val=&quot;004B7D4C&quot;/&gt;&lt;wsp:rsid wsp:val=&quot;004C01AC&quot;/&gt;&lt;wsp:rsid wsp:val=&quot;004C09A9&quot;/&gt;&lt;wsp:rsid wsp:val=&quot;004C0B00&quot;/&gt;&lt;wsp:rsid wsp:val=&quot;004C18D7&quot;/&gt;&lt;wsp:rsid wsp:val=&quot;004C1BEF&quot;/&gt;&lt;wsp:rsid wsp:val=&quot;004C1CB1&quot;/&gt;&lt;wsp:rsid wsp:val=&quot;004C23AD&quot;/&gt;&lt;wsp:rsid wsp:val=&quot;004C250D&quot;/&gt;&lt;wsp:rsid wsp:val=&quot;004C25C6&quot;/&gt;&lt;wsp:rsid wsp:val=&quot;004C2D23&quot;/&gt;&lt;wsp:rsid wsp:val=&quot;004C2E11&quot;/&gt;&lt;wsp:rsid wsp:val=&quot;004C32C2&quot;/&gt;&lt;wsp:rsid wsp:val=&quot;004C333E&quot;/&gt;&lt;wsp:rsid wsp:val=&quot;004C34B9&quot;/&gt;&lt;wsp:rsid wsp:val=&quot;004C4198&quot;/&gt;&lt;wsp:rsid wsp:val=&quot;004C4728&quot;/&gt;&lt;wsp:rsid wsp:val=&quot;004C4B4F&quot;/&gt;&lt;wsp:rsid wsp:val=&quot;004C4B62&quot;/&gt;&lt;wsp:rsid wsp:val=&quot;004C4C89&quot;/&gt;&lt;wsp:rsid wsp:val=&quot;004C599B&quot;/&gt;&lt;wsp:rsid wsp:val=&quot;004C5EBE&quot;/&gt;&lt;wsp:rsid wsp:val=&quot;004C6382&quot;/&gt;&lt;wsp:rsid wsp:val=&quot;004C63EC&quot;/&gt;&lt;wsp:rsid wsp:val=&quot;004C6C36&quot;/&gt;&lt;wsp:rsid wsp:val=&quot;004C6F21&quot;/&gt;&lt;wsp:rsid wsp:val=&quot;004C71AA&quot;/&gt;&lt;wsp:rsid wsp:val=&quot;004C7984&quot;/&gt;&lt;wsp:rsid wsp:val=&quot;004C7A1E&quot;/&gt;&lt;wsp:rsid wsp:val=&quot;004D03BC&quot;/&gt;&lt;wsp:rsid wsp:val=&quot;004D071E&quot;/&gt;&lt;wsp:rsid wsp:val=&quot;004D0B5C&quot;/&gt;&lt;wsp:rsid wsp:val=&quot;004D0D8C&quot;/&gt;&lt;wsp:rsid wsp:val=&quot;004D0EED&quot;/&gt;&lt;wsp:rsid wsp:val=&quot;004D0F83&quot;/&gt;&lt;wsp:rsid wsp:val=&quot;004D10C5&quot;/&gt;&lt;wsp:rsid wsp:val=&quot;004D1891&quot;/&gt;&lt;wsp:rsid wsp:val=&quot;004D1ABA&quot;/&gt;&lt;wsp:rsid wsp:val=&quot;004D1BF0&quot;/&gt;&lt;wsp:rsid wsp:val=&quot;004D1C79&quot;/&gt;&lt;wsp:rsid wsp:val=&quot;004D21E0&quot;/&gt;&lt;wsp:rsid wsp:val=&quot;004D2573&quot;/&gt;&lt;wsp:rsid wsp:val=&quot;004D25A3&quot;/&gt;&lt;wsp:rsid wsp:val=&quot;004D275D&quot;/&gt;&lt;wsp:rsid wsp:val=&quot;004D2765&quot;/&gt;&lt;wsp:rsid wsp:val=&quot;004D277D&quot;/&gt;&lt;wsp:rsid wsp:val=&quot;004D2F4E&quot;/&gt;&lt;wsp:rsid wsp:val=&quot;004D30BB&quot;/&gt;&lt;wsp:rsid wsp:val=&quot;004D33EA&quot;/&gt;&lt;wsp:rsid wsp:val=&quot;004D39E7&quot;/&gt;&lt;wsp:rsid wsp:val=&quot;004D3E26&quot;/&gt;&lt;wsp:rsid wsp:val=&quot;004D3EE1&quot;/&gt;&lt;wsp:rsid wsp:val=&quot;004D3FC0&quot;/&gt;&lt;wsp:rsid wsp:val=&quot;004D4395&quot;/&gt;&lt;wsp:rsid wsp:val=&quot;004D444D&quot;/&gt;&lt;wsp:rsid wsp:val=&quot;004D47AB&quot;/&gt;&lt;wsp:rsid wsp:val=&quot;004D4AC7&quot;/&gt;&lt;wsp:rsid wsp:val=&quot;004D4D68&quot;/&gt;&lt;wsp:rsid wsp:val=&quot;004D5020&quot;/&gt;&lt;wsp:rsid wsp:val=&quot;004D5071&quot;/&gt;&lt;wsp:rsid wsp:val=&quot;004D5804&quot;/&gt;&lt;wsp:rsid wsp:val=&quot;004D5A8D&quot;/&gt;&lt;wsp:rsid wsp:val=&quot;004D5F5C&quot;/&gt;&lt;wsp:rsid wsp:val=&quot;004D5FD4&quot;/&gt;&lt;wsp:rsid wsp:val=&quot;004D6295&quot;/&gt;&lt;wsp:rsid wsp:val=&quot;004D67A6&quot;/&gt;&lt;wsp:rsid wsp:val=&quot;004D77DE&quot;/&gt;&lt;wsp:rsid wsp:val=&quot;004D77FD&quot;/&gt;&lt;wsp:rsid wsp:val=&quot;004D7C39&quot;/&gt;&lt;wsp:rsid wsp:val=&quot;004D7C90&quot;/&gt;&lt;wsp:rsid wsp:val=&quot;004E0426&quot;/&gt;&lt;wsp:rsid wsp:val=&quot;004E05BD&quot;/&gt;&lt;wsp:rsid wsp:val=&quot;004E083A&quot;/&gt;&lt;wsp:rsid wsp:val=&quot;004E0C40&quot;/&gt;&lt;wsp:rsid wsp:val=&quot;004E0DE8&quot;/&gt;&lt;wsp:rsid wsp:val=&quot;004E0F77&quot;/&gt;&lt;wsp:rsid wsp:val=&quot;004E0FF8&quot;/&gt;&lt;wsp:rsid wsp:val=&quot;004E1812&quot;/&gt;&lt;wsp:rsid wsp:val=&quot;004E23F3&quot;/&gt;&lt;wsp:rsid wsp:val=&quot;004E2C7E&quot;/&gt;&lt;wsp:rsid wsp:val=&quot;004E2D66&quot;/&gt;&lt;wsp:rsid wsp:val=&quot;004E2E3E&quot;/&gt;&lt;wsp:rsid wsp:val=&quot;004E335C&quot;/&gt;&lt;wsp:rsid wsp:val=&quot;004E3A87&quot;/&gt;&lt;wsp:rsid wsp:val=&quot;004E3B92&quot;/&gt;&lt;wsp:rsid wsp:val=&quot;004E3D74&quot;/&gt;&lt;wsp:rsid wsp:val=&quot;004E3DDC&quot;/&gt;&lt;wsp:rsid wsp:val=&quot;004E3E91&quot;/&gt;&lt;wsp:rsid wsp:val=&quot;004E4004&quot;/&gt;&lt;wsp:rsid wsp:val=&quot;004E42DB&quot;/&gt;&lt;wsp:rsid wsp:val=&quot;004E43EC&quot;/&gt;&lt;wsp:rsid wsp:val=&quot;004E499A&quot;/&gt;&lt;wsp:rsid wsp:val=&quot;004E4CBB&quot;/&gt;&lt;wsp:rsid wsp:val=&quot;004E4D99&quot;/&gt;&lt;wsp:rsid wsp:val=&quot;004E53BC&quot;/&gt;&lt;wsp:rsid wsp:val=&quot;004E5962&quot;/&gt;&lt;wsp:rsid wsp:val=&quot;004E599D&quot;/&gt;&lt;wsp:rsid wsp:val=&quot;004E59C9&quot;/&gt;&lt;wsp:rsid wsp:val=&quot;004E5BD3&quot;/&gt;&lt;wsp:rsid wsp:val=&quot;004E5D2E&quot;/&gt;&lt;wsp:rsid wsp:val=&quot;004E6536&quot;/&gt;&lt;wsp:rsid wsp:val=&quot;004E6641&quot;/&gt;&lt;wsp:rsid wsp:val=&quot;004E73C7&quot;/&gt;&lt;wsp:rsid wsp:val=&quot;004E7C33&quot;/&gt;&lt;wsp:rsid wsp:val=&quot;004E7D31&quot;/&gt;&lt;wsp:rsid wsp:val=&quot;004F06A5&quot;/&gt;&lt;wsp:rsid wsp:val=&quot;004F079A&quot;/&gt;&lt;wsp:rsid wsp:val=&quot;004F0CB5&quot;/&gt;&lt;wsp:rsid wsp:val=&quot;004F0D68&quot;/&gt;&lt;wsp:rsid wsp:val=&quot;004F0FA8&quot;/&gt;&lt;wsp:rsid wsp:val=&quot;004F1289&quot;/&gt;&lt;wsp:rsid wsp:val=&quot;004F12F9&quot;/&gt;&lt;wsp:rsid wsp:val=&quot;004F13D4&quot;/&gt;&lt;wsp:rsid wsp:val=&quot;004F1476&quot;/&gt;&lt;wsp:rsid wsp:val=&quot;004F1559&quot;/&gt;&lt;wsp:rsid wsp:val=&quot;004F185C&quot;/&gt;&lt;wsp:rsid wsp:val=&quot;004F1E33&quot;/&gt;&lt;wsp:rsid wsp:val=&quot;004F1F62&quot;/&gt;&lt;wsp:rsid wsp:val=&quot;004F2016&quot;/&gt;&lt;wsp:rsid wsp:val=&quot;004F21E8&quot;/&gt;&lt;wsp:rsid wsp:val=&quot;004F2253&quot;/&gt;&lt;wsp:rsid wsp:val=&quot;004F2456&quot;/&gt;&lt;wsp:rsid wsp:val=&quot;004F2B1A&quot;/&gt;&lt;wsp:rsid wsp:val=&quot;004F2C0A&quot;/&gt;&lt;wsp:rsid wsp:val=&quot;004F2CEB&quot;/&gt;&lt;wsp:rsid wsp:val=&quot;004F2E19&quot;/&gt;&lt;wsp:rsid wsp:val=&quot;004F2F6E&quot;/&gt;&lt;wsp:rsid wsp:val=&quot;004F3332&quot;/&gt;&lt;wsp:rsid wsp:val=&quot;004F35E4&quot;/&gt;&lt;wsp:rsid wsp:val=&quot;004F37F2&quot;/&gt;&lt;wsp:rsid wsp:val=&quot;004F3BD5&quot;/&gt;&lt;wsp:rsid wsp:val=&quot;004F3DF1&quot;/&gt;&lt;wsp:rsid wsp:val=&quot;004F3E04&quot;/&gt;&lt;wsp:rsid wsp:val=&quot;004F3EA2&quot;/&gt;&lt;wsp:rsid wsp:val=&quot;004F4149&quot;/&gt;&lt;wsp:rsid wsp:val=&quot;004F459E&quot;/&gt;&lt;wsp:rsid wsp:val=&quot;004F48F8&quot;/&gt;&lt;wsp:rsid wsp:val=&quot;004F493C&quot;/&gt;&lt;wsp:rsid wsp:val=&quot;004F499C&quot;/&gt;&lt;wsp:rsid wsp:val=&quot;004F49A5&quot;/&gt;&lt;wsp:rsid wsp:val=&quot;004F49BE&quot;/&gt;&lt;wsp:rsid wsp:val=&quot;004F4AD3&quot;/&gt;&lt;wsp:rsid wsp:val=&quot;004F4C62&quot;/&gt;&lt;wsp:rsid wsp:val=&quot;004F4E5C&quot;/&gt;&lt;wsp:rsid wsp:val=&quot;004F4FE3&quot;/&gt;&lt;wsp:rsid wsp:val=&quot;004F50D5&quot;/&gt;&lt;wsp:rsid wsp:val=&quot;004F558C&quot;/&gt;&lt;wsp:rsid wsp:val=&quot;004F570C&quot;/&gt;&lt;wsp:rsid wsp:val=&quot;004F5743&quot;/&gt;&lt;wsp:rsid wsp:val=&quot;004F584B&quot;/&gt;&lt;wsp:rsid wsp:val=&quot;004F5EA8&quot;/&gt;&lt;wsp:rsid wsp:val=&quot;004F5F4E&quot;/&gt;&lt;wsp:rsid wsp:val=&quot;004F610E&quot;/&gt;&lt;wsp:rsid wsp:val=&quot;004F614C&quot;/&gt;&lt;wsp:rsid wsp:val=&quot;004F640C&quot;/&gt;&lt;wsp:rsid wsp:val=&quot;004F648F&quot;/&gt;&lt;wsp:rsid wsp:val=&quot;004F661A&quot;/&gt;&lt;wsp:rsid wsp:val=&quot;004F66B1&quot;/&gt;&lt;wsp:rsid wsp:val=&quot;004F6921&quot;/&gt;&lt;wsp:rsid wsp:val=&quot;004F6A7F&quot;/&gt;&lt;wsp:rsid wsp:val=&quot;004F7E50&quot;/&gt;&lt;wsp:rsid wsp:val=&quot;00500024&quot;/&gt;&lt;wsp:rsid wsp:val=&quot;00500107&quot;/&gt;&lt;wsp:rsid wsp:val=&quot;005009D2&quot;/&gt;&lt;wsp:rsid wsp:val=&quot;00500BD8&quot;/&gt;&lt;wsp:rsid wsp:val=&quot;00501096&quot;/&gt;&lt;wsp:rsid wsp:val=&quot;00501673&quot;/&gt;&lt;wsp:rsid wsp:val=&quot;00501987&quot;/&gt;&lt;wsp:rsid wsp:val=&quot;00501B01&quot;/&gt;&lt;wsp:rsid wsp:val=&quot;00501DCB&quot;/&gt;&lt;wsp:rsid wsp:val=&quot;00502AD0&quot;/&gt;&lt;wsp:rsid wsp:val=&quot;00502BB3&quot;/&gt;&lt;wsp:rsid wsp:val=&quot;00502C3F&quot;/&gt;&lt;wsp:rsid wsp:val=&quot;005035A1&quot;/&gt;&lt;wsp:rsid wsp:val=&quot;00503842&quot;/&gt;&lt;wsp:rsid wsp:val=&quot;005044D5&quot;/&gt;&lt;wsp:rsid wsp:val=&quot;00504A51&quot;/&gt;&lt;wsp:rsid wsp:val=&quot;005051ED&quot;/&gt;&lt;wsp:rsid wsp:val=&quot;00505FBE&quot;/&gt;&lt;wsp:rsid wsp:val=&quot;00506378&quot;/&gt;&lt;wsp:rsid wsp:val=&quot;00506592&quot;/&gt;&lt;wsp:rsid wsp:val=&quot;00506747&quot;/&gt;&lt;wsp:rsid wsp:val=&quot;0050687B&quot;/&gt;&lt;wsp:rsid wsp:val=&quot;005069F5&quot;/&gt;&lt;wsp:rsid wsp:val=&quot;00506FD2&quot;/&gt;&lt;wsp:rsid wsp:val=&quot;00507179&quot;/&gt;&lt;wsp:rsid wsp:val=&quot;005072F6&quot;/&gt;&lt;wsp:rsid wsp:val=&quot;00507381&quot;/&gt;&lt;wsp:rsid wsp:val=&quot;0050773C&quot;/&gt;&lt;wsp:rsid wsp:val=&quot;00507779&quot;/&gt;&lt;wsp:rsid wsp:val=&quot;00507D35&quot;/&gt;&lt;wsp:rsid wsp:val=&quot;00507F4E&quot;/&gt;&lt;wsp:rsid wsp:val=&quot;00507F57&quot;/&gt;&lt;wsp:rsid wsp:val=&quot;00510163&quot;/&gt;&lt;wsp:rsid wsp:val=&quot;00510930&quot;/&gt;&lt;wsp:rsid wsp:val=&quot;00510E58&quot;/&gt;&lt;wsp:rsid wsp:val=&quot;00511235&quot;/&gt;&lt;wsp:rsid wsp:val=&quot;00511361&quot;/&gt;&lt;wsp:rsid wsp:val=&quot;00511736&quot;/&gt;&lt;wsp:rsid wsp:val=&quot;0051182C&quot;/&gt;&lt;wsp:rsid wsp:val=&quot;0051189B&quot;/&gt;&lt;wsp:rsid wsp:val=&quot;00512066&quot;/&gt;&lt;wsp:rsid wsp:val=&quot;005120DF&quot;/&gt;&lt;wsp:rsid wsp:val=&quot;0051292A&quot;/&gt;&lt;wsp:rsid wsp:val=&quot;00513042&quot;/&gt;&lt;wsp:rsid wsp:val=&quot;00513388&quot;/&gt;&lt;wsp:rsid wsp:val=&quot;0051363C&quot;/&gt;&lt;wsp:rsid wsp:val=&quot;0051372D&quot;/&gt;&lt;wsp:rsid wsp:val=&quot;0051374C&quot;/&gt;&lt;wsp:rsid wsp:val=&quot;00513BE8&quot;/&gt;&lt;wsp:rsid wsp:val=&quot;00513C79&quot;/&gt;&lt;wsp:rsid wsp:val=&quot;00513DBA&quot;/&gt;&lt;wsp:rsid wsp:val=&quot;00514228&quot;/&gt;&lt;wsp:rsid wsp:val=&quot;00514E5D&quot;/&gt;&lt;wsp:rsid wsp:val=&quot;005151F6&quot;/&gt;&lt;wsp:rsid wsp:val=&quot;005154BA&quot;/&gt;&lt;wsp:rsid wsp:val=&quot;00515673&quot;/&gt;&lt;wsp:rsid wsp:val=&quot;005158CD&quot;/&gt;&lt;wsp:rsid wsp:val=&quot;00515A5C&quot;/&gt;&lt;wsp:rsid wsp:val=&quot;00516006&quot;/&gt;&lt;wsp:rsid wsp:val=&quot;0051654E&quot;/&gt;&lt;wsp:rsid wsp:val=&quot;00516F54&quot;/&gt;&lt;wsp:rsid wsp:val=&quot;00516FB9&quot;/&gt;&lt;wsp:rsid wsp:val=&quot;00517056&quot;/&gt;&lt;wsp:rsid wsp:val=&quot;0051738D&quot;/&gt;&lt;wsp:rsid wsp:val=&quot;005177AA&quot;/&gt;&lt;wsp:rsid wsp:val=&quot;00517F51&quot;/&gt;&lt;wsp:rsid wsp:val=&quot;00520168&quot;/&gt;&lt;wsp:rsid wsp:val=&quot;00520389&quot;/&gt;&lt;wsp:rsid wsp:val=&quot;005205D4&quot;/&gt;&lt;wsp:rsid wsp:val=&quot;00520884&quot;/&gt;&lt;wsp:rsid wsp:val=&quot;00520F1C&quot;/&gt;&lt;wsp:rsid wsp:val=&quot;005212C4&quot;/&gt;&lt;wsp:rsid wsp:val=&quot;0052132B&quot;/&gt;&lt;wsp:rsid wsp:val=&quot;005217F1&quot;/&gt;&lt;wsp:rsid wsp:val=&quot;00521DC4&quot;/&gt;&lt;wsp:rsid wsp:val=&quot;00521EC4&quot;/&gt;&lt;wsp:rsid wsp:val=&quot;0052253C&quot;/&gt;&lt;wsp:rsid wsp:val=&quot;00522688&quot;/&gt;&lt;wsp:rsid wsp:val=&quot;00522804&quot;/&gt;&lt;wsp:rsid wsp:val=&quot;00522A82&quot;/&gt;&lt;wsp:rsid wsp:val=&quot;00522FB4&quot;/&gt;&lt;wsp:rsid wsp:val=&quot;00523487&quot;/&gt;&lt;wsp:rsid wsp:val=&quot;005238EC&quot;/&gt;&lt;wsp:rsid wsp:val=&quot;00523D71&quot;/&gt;&lt;wsp:rsid wsp:val=&quot;00523DA4&quot;/&gt;&lt;wsp:rsid wsp:val=&quot;00523EED&quot;/&gt;&lt;wsp:rsid wsp:val=&quot;00523FBF&quot;/&gt;&lt;wsp:rsid wsp:val=&quot;0052442B&quot;/&gt;&lt;wsp:rsid wsp:val=&quot;005245AE&quot;/&gt;&lt;wsp:rsid wsp:val=&quot;005245C6&quot;/&gt;&lt;wsp:rsid wsp:val=&quot;0052478D&quot;/&gt;&lt;wsp:rsid wsp:val=&quot;005247D8&quot;/&gt;&lt;wsp:rsid wsp:val=&quot;00524D49&quot;/&gt;&lt;wsp:rsid wsp:val=&quot;005254BF&quot;/&gt;&lt;wsp:rsid wsp:val=&quot;005255AF&quot;/&gt;&lt;wsp:rsid wsp:val=&quot;00525B54&quot;/&gt;&lt;wsp:rsid wsp:val=&quot;00525E90&quot;/&gt;&lt;wsp:rsid wsp:val=&quot;00525FFB&quot;/&gt;&lt;wsp:rsid wsp:val=&quot;005260A9&quot;/&gt;&lt;wsp:rsid wsp:val=&quot;00526109&quot;/&gt;&lt;wsp:rsid wsp:val=&quot;00526E53&quot;/&gt;&lt;wsp:rsid wsp:val=&quot;00526EDD&quot;/&gt;&lt;wsp:rsid wsp:val=&quot;0052703E&quot;/&gt;&lt;wsp:rsid wsp:val=&quot;00527289&quot;/&gt;&lt;wsp:rsid wsp:val=&quot;00527CBA&quot;/&gt;&lt;wsp:rsid wsp:val=&quot;00530412&quot;/&gt;&lt;wsp:rsid wsp:val=&quot;005308A3&quot;/&gt;&lt;wsp:rsid wsp:val=&quot;00530BAD&quot;/&gt;&lt;wsp:rsid wsp:val=&quot;00530D07&quot;/&gt;&lt;wsp:rsid wsp:val=&quot;005314D2&quot;/&gt;&lt;wsp:rsid wsp:val=&quot;00531A24&quot;/&gt;&lt;wsp:rsid wsp:val=&quot;00532160&quot;/&gt;&lt;wsp:rsid wsp:val=&quot;0053238B&quot;/&gt;&lt;wsp:rsid wsp:val=&quot;00532486&quot;/&gt;&lt;wsp:rsid wsp:val=&quot;005324E5&quot;/&gt;&lt;wsp:rsid wsp:val=&quot;005329A8&quot;/&gt;&lt;wsp:rsid wsp:val=&quot;00532B2A&quot;/&gt;&lt;wsp:rsid wsp:val=&quot;00532F0D&quot;/&gt;&lt;wsp:rsid wsp:val=&quot;0053335A&quot;/&gt;&lt;wsp:rsid wsp:val=&quot;005335C8&quot;/&gt;&lt;wsp:rsid wsp:val=&quot;00533850&quot;/&gt;&lt;wsp:rsid wsp:val=&quot;00533D2B&quot;/&gt;&lt;wsp:rsid wsp:val=&quot;00533E8C&quot;/&gt;&lt;wsp:rsid wsp:val=&quot;00533F94&quot;/&gt;&lt;wsp:rsid wsp:val=&quot;0053419B&quot;/&gt;&lt;wsp:rsid wsp:val=&quot;005348E7&quot;/&gt;&lt;wsp:rsid wsp:val=&quot;00534921&quot;/&gt;&lt;wsp:rsid wsp:val=&quot;00535204&quot;/&gt;&lt;wsp:rsid wsp:val=&quot;00535364&quot;/&gt;&lt;wsp:rsid wsp:val=&quot;00535D15&quot;/&gt;&lt;wsp:rsid wsp:val=&quot;00535E04&quot;/&gt;&lt;wsp:rsid wsp:val=&quot;005367F3&quot;/&gt;&lt;wsp:rsid wsp:val=&quot;005369FC&quot;/&gt;&lt;wsp:rsid wsp:val=&quot;00536BEA&quot;/&gt;&lt;wsp:rsid wsp:val=&quot;0053739E&quot;/&gt;&lt;wsp:rsid wsp:val=&quot;00537593&quot;/&gt;&lt;wsp:rsid wsp:val=&quot;005376AC&quot;/&gt;&lt;wsp:rsid wsp:val=&quot;00537A5E&quot;/&gt;&lt;wsp:rsid wsp:val=&quot;005401B7&quot;/&gt;&lt;wsp:rsid wsp:val=&quot;00540586&quot;/&gt;&lt;wsp:rsid wsp:val=&quot;00540626&quot;/&gt;&lt;wsp:rsid wsp:val=&quot;00540BBF&quot;/&gt;&lt;wsp:rsid wsp:val=&quot;00540BE8&quot;/&gt;&lt;wsp:rsid wsp:val=&quot;00540CAE&quot;/&gt;&lt;wsp:rsid wsp:val=&quot;00541043&quot;/&gt;&lt;wsp:rsid wsp:val=&quot;00541503&quot;/&gt;&lt;wsp:rsid wsp:val=&quot;00541761&quot;/&gt;&lt;wsp:rsid wsp:val=&quot;00542050&quot;/&gt;&lt;wsp:rsid wsp:val=&quot;00542548&quot;/&gt;&lt;wsp:rsid wsp:val=&quot;00542876&quot;/&gt;&lt;wsp:rsid wsp:val=&quot;00542B60&quot;/&gt;&lt;wsp:rsid wsp:val=&quot;00542BD8&quot;/&gt;&lt;wsp:rsid wsp:val=&quot;00542D44&quot;/&gt;&lt;wsp:rsid wsp:val=&quot;00542E9C&quot;/&gt;&lt;wsp:rsid wsp:val=&quot;00543459&quot;/&gt;&lt;wsp:rsid wsp:val=&quot;00543D53&quot;/&gt;&lt;wsp:rsid wsp:val=&quot;00544120&quot;/&gt;&lt;wsp:rsid wsp:val=&quot;00544895&quot;/&gt;&lt;wsp:rsid wsp:val=&quot;005449D5&quot;/&gt;&lt;wsp:rsid wsp:val=&quot;00545012&quot;/&gt;&lt;wsp:rsid wsp:val=&quot;005454FC&quot;/&gt;&lt;wsp:rsid wsp:val=&quot;0054566F&quot;/&gt;&lt;wsp:rsid wsp:val=&quot;00545D06&quot;/&gt;&lt;wsp:rsid wsp:val=&quot;005463E8&quot;/&gt;&lt;wsp:rsid wsp:val=&quot;0054694F&quot;/&gt;&lt;wsp:rsid wsp:val=&quot;0054697A&quot;/&gt;&lt;wsp:rsid wsp:val=&quot;00546AFD&quot;/&gt;&lt;wsp:rsid wsp:val=&quot;005470B2&quot;/&gt;&lt;wsp:rsid wsp:val=&quot;005470DB&quot;/&gt;&lt;wsp:rsid wsp:val=&quot;00547106&quot;/&gt;&lt;wsp:rsid wsp:val=&quot;00547118&quot;/&gt;&lt;wsp:rsid wsp:val=&quot;00547431&quot;/&gt;&lt;wsp:rsid wsp:val=&quot;00550205&quot;/&gt;&lt;wsp:rsid wsp:val=&quot;005505DC&quot;/&gt;&lt;wsp:rsid wsp:val=&quot;0055192F&quot;/&gt;&lt;wsp:rsid wsp:val=&quot;00551A6E&quot;/&gt;&lt;wsp:rsid wsp:val=&quot;00551D09&quot;/&gt;&lt;wsp:rsid wsp:val=&quot;00552BB8&quot;/&gt;&lt;wsp:rsid wsp:val=&quot;0055306C&quot;/&gt;&lt;wsp:rsid wsp:val=&quot;00553144&quot;/&gt;&lt;wsp:rsid wsp:val=&quot;0055338B&quot;/&gt;&lt;wsp:rsid wsp:val=&quot;00553604&quot;/&gt;&lt;wsp:rsid wsp:val=&quot;0055385F&quot;/&gt;&lt;wsp:rsid wsp:val=&quot;005538D9&quot;/&gt;&lt;wsp:rsid wsp:val=&quot;00553D3E&quot;/&gt;&lt;wsp:rsid wsp:val=&quot;00553EE3&quot;/&gt;&lt;wsp:rsid wsp:val=&quot;00554580&quot;/&gt;&lt;wsp:rsid wsp:val=&quot;00555624&quot;/&gt;&lt;wsp:rsid wsp:val=&quot;00555778&quot;/&gt;&lt;wsp:rsid wsp:val=&quot;00555EC6&quot;/&gt;&lt;wsp:rsid wsp:val=&quot;00555F65&quot;/&gt;&lt;wsp:rsid wsp:val=&quot;00555F66&quot;/&gt;&lt;wsp:rsid wsp:val=&quot;0055620C&quot;/&gt;&lt;wsp:rsid wsp:val=&quot;005568E2&quot;/&gt;&lt;wsp:rsid wsp:val=&quot;0055690E&quot;/&gt;&lt;wsp:rsid wsp:val=&quot;00556A1F&quot;/&gt;&lt;wsp:rsid wsp:val=&quot;00556F2D&quot;/&gt;&lt;wsp:rsid wsp:val=&quot;00557440&quot;/&gt;&lt;wsp:rsid wsp:val=&quot;0055764E&quot;/&gt;&lt;wsp:rsid wsp:val=&quot;0055768F&quot;/&gt;&lt;wsp:rsid wsp:val=&quot;005576C2&quot;/&gt;&lt;wsp:rsid wsp:val=&quot;00557B28&quot;/&gt;&lt;wsp:rsid wsp:val=&quot;00557C49&quot;/&gt;&lt;wsp:rsid wsp:val=&quot;0056031D&quot;/&gt;&lt;wsp:rsid wsp:val=&quot;00560FA8&quot;/&gt;&lt;wsp:rsid wsp:val=&quot;005613BC&quot;/&gt;&lt;wsp:rsid wsp:val=&quot;005615A8&quot;/&gt;&lt;wsp:rsid wsp:val=&quot;00561679&quot;/&gt;&lt;wsp:rsid wsp:val=&quot;00561A9F&quot;/&gt;&lt;wsp:rsid wsp:val=&quot;00561DED&quot;/&gt;&lt;wsp:rsid wsp:val=&quot;0056207D&quot;/&gt;&lt;wsp:rsid wsp:val=&quot;00562272&quot;/&gt;&lt;wsp:rsid wsp:val=&quot;00562A2D&quot;/&gt;&lt;wsp:rsid wsp:val=&quot;00562DC4&quot;/&gt;&lt;wsp:rsid wsp:val=&quot;005636B1&quot;/&gt;&lt;wsp:rsid wsp:val=&quot;0056395C&quot;/&gt;&lt;wsp:rsid wsp:val=&quot;00565155&quot;/&gt;&lt;wsp:rsid wsp:val=&quot;00565317&quot;/&gt;&lt;wsp:rsid wsp:val=&quot;00565367&quot;/&gt;&lt;wsp:rsid wsp:val=&quot;00566368&quot;/&gt;&lt;wsp:rsid wsp:val=&quot;005672F9&quot;/&gt;&lt;wsp:rsid wsp:val=&quot;00567EE4&quot;/&gt;&lt;wsp:rsid wsp:val=&quot;00570032&quot;/&gt;&lt;wsp:rsid wsp:val=&quot;0057047D&quot;/&gt;&lt;wsp:rsid wsp:val=&quot;0057049E&quot;/&gt;&lt;wsp:rsid wsp:val=&quot;00570564&quot;/&gt;&lt;wsp:rsid wsp:val=&quot;00570605&quot;/&gt;&lt;wsp:rsid wsp:val=&quot;005708EC&quot;/&gt;&lt;wsp:rsid wsp:val=&quot;00570F63&quot;/&gt;&lt;wsp:rsid wsp:val=&quot;00571270&quot;/&gt;&lt;wsp:rsid wsp:val=&quot;005713CC&quot;/&gt;&lt;wsp:rsid wsp:val=&quot;00571754&quot;/&gt;&lt;wsp:rsid wsp:val=&quot;0057188B&quot;/&gt;&lt;wsp:rsid wsp:val=&quot;00571BC6&quot;/&gt;&lt;wsp:rsid wsp:val=&quot;00571D1F&quot;/&gt;&lt;wsp:rsid wsp:val=&quot;00571D7A&quot;/&gt;&lt;wsp:rsid wsp:val=&quot;00571E3F&quot;/&gt;&lt;wsp:rsid wsp:val=&quot;00571E5F&quot;/&gt;&lt;wsp:rsid wsp:val=&quot;00571F49&quot;/&gt;&lt;wsp:rsid wsp:val=&quot;00572056&quot;/&gt;&lt;wsp:rsid wsp:val=&quot;005723B6&quot;/&gt;&lt;wsp:rsid wsp:val=&quot;00572832&quot;/&gt;&lt;wsp:rsid wsp:val=&quot;00572B81&quot;/&gt;&lt;wsp:rsid wsp:val=&quot;00572F15&quot;/&gt;&lt;wsp:rsid wsp:val=&quot;00573188&quot;/&gt;&lt;wsp:rsid wsp:val=&quot;005732BD&quot;/&gt;&lt;wsp:rsid wsp:val=&quot;005732EA&quot;/&gt;&lt;wsp:rsid wsp:val=&quot;00573331&quot;/&gt;&lt;wsp:rsid wsp:val=&quot;005739FB&quot;/&gt;&lt;wsp:rsid wsp:val=&quot;00573B41&quot;/&gt;&lt;wsp:rsid wsp:val=&quot;00573F1A&quot;/&gt;&lt;wsp:rsid wsp:val=&quot;005745F8&quot;/&gt;&lt;wsp:rsid wsp:val=&quot;0057470C&quot;/&gt;&lt;wsp:rsid wsp:val=&quot;00574866&quot;/&gt;&lt;wsp:rsid wsp:val=&quot;00574B0F&quot;/&gt;&lt;wsp:rsid wsp:val=&quot;00574EE5&quot;/&gt;&lt;wsp:rsid wsp:val=&quot;0057658C&quot;/&gt;&lt;wsp:rsid wsp:val=&quot;00576ACB&quot;/&gt;&lt;wsp:rsid wsp:val=&quot;00576BF4&quot;/&gt;&lt;wsp:rsid wsp:val=&quot;00576E03&quot;/&gt;&lt;wsp:rsid wsp:val=&quot;005770F1&quot;/&gt;&lt;wsp:rsid wsp:val=&quot;0057714E&quot;/&gt;&lt;wsp:rsid wsp:val=&quot;00577559&quot;/&gt;&lt;wsp:rsid wsp:val=&quot;00577699&quot;/&gt;&lt;wsp:rsid wsp:val=&quot;00577EBD&quot;/&gt;&lt;wsp:rsid wsp:val=&quot;00577F10&quot;/&gt;&lt;wsp:rsid wsp:val=&quot;00580790&quot;/&gt;&lt;wsp:rsid wsp:val=&quot;00581446&quot;/&gt;&lt;wsp:rsid wsp:val=&quot;00581A52&quot;/&gt;&lt;wsp:rsid wsp:val=&quot;00581B3D&quot;/&gt;&lt;wsp:rsid wsp:val=&quot;00581EC4&quot;/&gt;&lt;wsp:rsid wsp:val=&quot;00582109&quot;/&gt;&lt;wsp:rsid wsp:val=&quot;00582153&quot;/&gt;&lt;wsp:rsid wsp:val=&quot;005824B7&quot;/&gt;&lt;wsp:rsid wsp:val=&quot;00582F4D&quot;/&gt;&lt;wsp:rsid wsp:val=&quot;00582FF3&quot;/&gt;&lt;wsp:rsid wsp:val=&quot;00583296&quot;/&gt;&lt;wsp:rsid wsp:val=&quot;0058336C&quot;/&gt;&lt;wsp:rsid wsp:val=&quot;005839B5&quot;/&gt;&lt;wsp:rsid wsp:val=&quot;005839C0&quot;/&gt;&lt;wsp:rsid wsp:val=&quot;00583C7E&quot;/&gt;&lt;wsp:rsid wsp:val=&quot;005842BF&quot;/&gt;&lt;wsp:rsid wsp:val=&quot;005845BE&quot;/&gt;&lt;wsp:rsid wsp:val=&quot;005847DF&quot;/&gt;&lt;wsp:rsid wsp:val=&quot;00584A10&quot;/&gt;&lt;wsp:rsid wsp:val=&quot;00584EB7&quot;/&gt;&lt;wsp:rsid wsp:val=&quot;0058558C&quot;/&gt;&lt;wsp:rsid wsp:val=&quot;00585592&quot;/&gt;&lt;wsp:rsid wsp:val=&quot;005868A0&quot;/&gt;&lt;wsp:rsid wsp:val=&quot;00586A23&quot;/&gt;&lt;wsp:rsid wsp:val=&quot;0058793B&quot;/&gt;&lt;wsp:rsid wsp:val=&quot;0059029B&quot;/&gt;&lt;wsp:rsid wsp:val=&quot;005902CD&quot;/&gt;&lt;wsp:rsid wsp:val=&quot;00590911&quot;/&gt;&lt;wsp:rsid wsp:val=&quot;00590AE1&quot;/&gt;&lt;wsp:rsid wsp:val=&quot;00590BAF&quot;/&gt;&lt;wsp:rsid wsp:val=&quot;00590BB7&quot;/&gt;&lt;wsp:rsid wsp:val=&quot;00590E01&quot;/&gt;&lt;wsp:rsid wsp:val=&quot;00591205&quot;/&gt;&lt;wsp:rsid wsp:val=&quot;005912F3&quot;/&gt;&lt;wsp:rsid wsp:val=&quot;005916F8&quot;/&gt;&lt;wsp:rsid wsp:val=&quot;005919FD&quot;/&gt;&lt;wsp:rsid wsp:val=&quot;00591DF6&quot;/&gt;&lt;wsp:rsid wsp:val=&quot;00591DFA&quot;/&gt;&lt;wsp:rsid wsp:val=&quot;00591F1A&quot;/&gt;&lt;wsp:rsid wsp:val=&quot;00591F7F&quot;/&gt;&lt;wsp:rsid wsp:val=&quot;00592164&quot;/&gt;&lt;wsp:rsid wsp:val=&quot;00592648&quot;/&gt;&lt;wsp:rsid wsp:val=&quot;005926E1&quot;/&gt;&lt;wsp:rsid wsp:val=&quot;005928D4&quot;/&gt;&lt;wsp:rsid wsp:val=&quot;00592A64&quot;/&gt;&lt;wsp:rsid wsp:val=&quot;00592AF3&quot;/&gt;&lt;wsp:rsid wsp:val=&quot;00592C7B&quot;/&gt;&lt;wsp:rsid wsp:val=&quot;00592DD6&quot;/&gt;&lt;wsp:rsid wsp:val=&quot;00592E26&quot;/&gt;&lt;wsp:rsid wsp:val=&quot;00593031&quot;/&gt;&lt;wsp:rsid wsp:val=&quot;005931B9&quot;/&gt;&lt;wsp:rsid wsp:val=&quot;00593609&quot;/&gt;&lt;wsp:rsid wsp:val=&quot;00593CE8&quot;/&gt;&lt;wsp:rsid wsp:val=&quot;00593CE9&quot;/&gt;&lt;wsp:rsid wsp:val=&quot;00593F69&quot;/&gt;&lt;wsp:rsid wsp:val=&quot;00594110&quot;/&gt;&lt;wsp:rsid wsp:val=&quot;00594273&quot;/&gt;&lt;wsp:rsid wsp:val=&quot;00594372&quot;/&gt;&lt;wsp:rsid wsp:val=&quot;00594667&quot;/&gt;&lt;wsp:rsid wsp:val=&quot;00594EBD&quot;/&gt;&lt;wsp:rsid wsp:val=&quot;00595156&quot;/&gt;&lt;wsp:rsid wsp:val=&quot;00595C16&quot;/&gt;&lt;wsp:rsid wsp:val=&quot;00595D5A&quot;/&gt;&lt;wsp:rsid wsp:val=&quot;005963B3&quot;/&gt;&lt;wsp:rsid wsp:val=&quot;0059688E&quot;/&gt;&lt;wsp:rsid wsp:val=&quot;005969ED&quot;/&gt;&lt;wsp:rsid wsp:val=&quot;00596DF9&quot;/&gt;&lt;wsp:rsid wsp:val=&quot;00596E70&quot;/&gt;&lt;wsp:rsid wsp:val=&quot;00597124&quot;/&gt;&lt;wsp:rsid wsp:val=&quot;0059756C&quot;/&gt;&lt;wsp:rsid wsp:val=&quot;00597690&quot;/&gt;&lt;wsp:rsid wsp:val=&quot;005A0231&quot;/&gt;&lt;wsp:rsid wsp:val=&quot;005A0669&quot;/&gt;&lt;wsp:rsid wsp:val=&quot;005A0966&quot;/&gt;&lt;wsp:rsid wsp:val=&quot;005A0A0D&quot;/&gt;&lt;wsp:rsid wsp:val=&quot;005A14E9&quot;/&gt;&lt;wsp:rsid wsp:val=&quot;005A1829&quot;/&gt;&lt;wsp:rsid wsp:val=&quot;005A18BC&quot;/&gt;&lt;wsp:rsid wsp:val=&quot;005A2506&quot;/&gt;&lt;wsp:rsid wsp:val=&quot;005A2BCA&quot;/&gt;&lt;wsp:rsid wsp:val=&quot;005A2CAD&quot;/&gt;&lt;wsp:rsid wsp:val=&quot;005A3105&quot;/&gt;&lt;wsp:rsid wsp:val=&quot;005A33B6&quot;/&gt;&lt;wsp:rsid wsp:val=&quot;005A3C70&quot;/&gt;&lt;wsp:rsid wsp:val=&quot;005A3F1B&quot;/&gt;&lt;wsp:rsid wsp:val=&quot;005A45C2&quot;/&gt;&lt;wsp:rsid wsp:val=&quot;005A47A2&quot;/&gt;&lt;wsp:rsid wsp:val=&quot;005A52A5&quot;/&gt;&lt;wsp:rsid wsp:val=&quot;005A5316&quot;/&gt;&lt;wsp:rsid wsp:val=&quot;005A5863&quot;/&gt;&lt;wsp:rsid wsp:val=&quot;005A5C8A&quot;/&gt;&lt;wsp:rsid wsp:val=&quot;005A5FB0&quot;/&gt;&lt;wsp:rsid wsp:val=&quot;005A620B&quot;/&gt;&lt;wsp:rsid wsp:val=&quot;005A6239&quot;/&gt;&lt;wsp:rsid wsp:val=&quot;005A6529&quot;/&gt;&lt;wsp:rsid wsp:val=&quot;005A6600&quot;/&gt;&lt;wsp:rsid wsp:val=&quot;005A6A04&quot;/&gt;&lt;wsp:rsid wsp:val=&quot;005A6CA1&quot;/&gt;&lt;wsp:rsid wsp:val=&quot;005A72AC&quot;/&gt;&lt;wsp:rsid wsp:val=&quot;005A750D&quot;/&gt;&lt;wsp:rsid wsp:val=&quot;005A75BA&quot;/&gt;&lt;wsp:rsid wsp:val=&quot;005A7D99&quot;/&gt;&lt;wsp:rsid wsp:val=&quot;005B013C&quot;/&gt;&lt;wsp:rsid wsp:val=&quot;005B04AD&quot;/&gt;&lt;wsp:rsid wsp:val=&quot;005B081D&quot;/&gt;&lt;wsp:rsid wsp:val=&quot;005B0EBE&quot;/&gt;&lt;wsp:rsid wsp:val=&quot;005B1086&quot;/&gt;&lt;wsp:rsid wsp:val=&quot;005B11F7&quot;/&gt;&lt;wsp:rsid wsp:val=&quot;005B131E&quot;/&gt;&lt;wsp:rsid wsp:val=&quot;005B183A&quot;/&gt;&lt;wsp:rsid wsp:val=&quot;005B185B&quot;/&gt;&lt;wsp:rsid wsp:val=&quot;005B1D53&quot;/&gt;&lt;wsp:rsid wsp:val=&quot;005B1F1D&quot;/&gt;&lt;wsp:rsid wsp:val=&quot;005B1FA9&quot;/&gt;&lt;wsp:rsid wsp:val=&quot;005B2143&quot;/&gt;&lt;wsp:rsid wsp:val=&quot;005B2191&quot;/&gt;&lt;wsp:rsid wsp:val=&quot;005B244A&quot;/&gt;&lt;wsp:rsid wsp:val=&quot;005B25ED&quot;/&gt;&lt;wsp:rsid wsp:val=&quot;005B320A&quot;/&gt;&lt;wsp:rsid wsp:val=&quot;005B3214&quot;/&gt;&lt;wsp:rsid wsp:val=&quot;005B3327&quot;/&gt;&lt;wsp:rsid wsp:val=&quot;005B397B&quot;/&gt;&lt;wsp:rsid wsp:val=&quot;005B3BE3&quot;/&gt;&lt;wsp:rsid wsp:val=&quot;005B4122&quot;/&gt;&lt;wsp:rsid wsp:val=&quot;005B413F&quot;/&gt;&lt;wsp:rsid wsp:val=&quot;005B42EB&quot;/&gt;&lt;wsp:rsid wsp:val=&quot;005B44E7&quot;/&gt;&lt;wsp:rsid wsp:val=&quot;005B45F3&quot;/&gt;&lt;wsp:rsid wsp:val=&quot;005B481E&quot;/&gt;&lt;wsp:rsid wsp:val=&quot;005B485C&quot;/&gt;&lt;wsp:rsid wsp:val=&quot;005B4892&quot;/&gt;&lt;wsp:rsid wsp:val=&quot;005B48F6&quot;/&gt;&lt;wsp:rsid wsp:val=&quot;005B4F08&quot;/&gt;&lt;wsp:rsid wsp:val=&quot;005B522C&quot;/&gt;&lt;wsp:rsid wsp:val=&quot;005B5589&quot;/&gt;&lt;wsp:rsid wsp:val=&quot;005B57A2&quot;/&gt;&lt;wsp:rsid wsp:val=&quot;005B5822&quot;/&gt;&lt;wsp:rsid wsp:val=&quot;005B5B8F&quot;/&gt;&lt;wsp:rsid wsp:val=&quot;005B5F9D&quot;/&gt;&lt;wsp:rsid wsp:val=&quot;005B673C&quot;/&gt;&lt;wsp:rsid wsp:val=&quot;005B6A0A&quot;/&gt;&lt;wsp:rsid wsp:val=&quot;005B74C4&quot;/&gt;&lt;wsp:rsid wsp:val=&quot;005B7A4F&quot;/&gt;&lt;wsp:rsid wsp:val=&quot;005B7C91&quot;/&gt;&lt;wsp:rsid wsp:val=&quot;005C02CF&quot;/&gt;&lt;wsp:rsid wsp:val=&quot;005C02DF&quot;/&gt;&lt;wsp:rsid wsp:val=&quot;005C03F6&quot;/&gt;&lt;wsp:rsid wsp:val=&quot;005C06D2&quot;/&gt;&lt;wsp:rsid wsp:val=&quot;005C08AC&quot;/&gt;&lt;wsp:rsid wsp:val=&quot;005C12D7&quot;/&gt;&lt;wsp:rsid wsp:val=&quot;005C19D6&quot;/&gt;&lt;wsp:rsid wsp:val=&quot;005C1C02&quot;/&gt;&lt;wsp:rsid wsp:val=&quot;005C1C1E&quot;/&gt;&lt;wsp:rsid wsp:val=&quot;005C2151&quot;/&gt;&lt;wsp:rsid wsp:val=&quot;005C21EE&quot;/&gt;&lt;wsp:rsid wsp:val=&quot;005C272C&quot;/&gt;&lt;wsp:rsid wsp:val=&quot;005C2C42&quot;/&gt;&lt;wsp:rsid wsp:val=&quot;005C2C5C&quot;/&gt;&lt;wsp:rsid wsp:val=&quot;005C2EEA&quot;/&gt;&lt;wsp:rsid wsp:val=&quot;005C34B1&quot;/&gt;&lt;wsp:rsid wsp:val=&quot;005C395F&quot;/&gt;&lt;wsp:rsid wsp:val=&quot;005C3978&quot;/&gt;&lt;wsp:rsid wsp:val=&quot;005C3E21&quot;/&gt;&lt;wsp:rsid wsp:val=&quot;005C4186&quot;/&gt;&lt;wsp:rsid wsp:val=&quot;005C435E&quot;/&gt;&lt;wsp:rsid wsp:val=&quot;005C44AC&quot;/&gt;&lt;wsp:rsid wsp:val=&quot;005C45C1&quot;/&gt;&lt;wsp:rsid wsp:val=&quot;005C45D9&quot;/&gt;&lt;wsp:rsid wsp:val=&quot;005C4930&quot;/&gt;&lt;wsp:rsid wsp:val=&quot;005C4978&quot;/&gt;&lt;wsp:rsid wsp:val=&quot;005C4A43&quot;/&gt;&lt;wsp:rsid wsp:val=&quot;005C4D7A&quot;/&gt;&lt;wsp:rsid wsp:val=&quot;005C50FB&quot;/&gt;&lt;wsp:rsid wsp:val=&quot;005C5659&quot;/&gt;&lt;wsp:rsid wsp:val=&quot;005C570F&quot;/&gt;&lt;wsp:rsid wsp:val=&quot;005C5BA8&quot;/&gt;&lt;wsp:rsid wsp:val=&quot;005C600D&quot;/&gt;&lt;wsp:rsid wsp:val=&quot;005C668A&quot;/&gt;&lt;wsp:rsid wsp:val=&quot;005C67B2&quot;/&gt;&lt;wsp:rsid wsp:val=&quot;005C6AB3&quot;/&gt;&lt;wsp:rsid wsp:val=&quot;005C6C39&quot;/&gt;&lt;wsp:rsid wsp:val=&quot;005C6D1C&quot;/&gt;&lt;wsp:rsid wsp:val=&quot;005C6F75&quot;/&gt;&lt;wsp:rsid wsp:val=&quot;005C7013&quot;/&gt;&lt;wsp:rsid wsp:val=&quot;005C712C&quot;/&gt;&lt;wsp:rsid wsp:val=&quot;005C773C&quot;/&gt;&lt;wsp:rsid wsp:val=&quot;005C789A&quot;/&gt;&lt;wsp:rsid wsp:val=&quot;005C7F12&quot;/&gt;&lt;wsp:rsid wsp:val=&quot;005C7F96&quot;/&gt;&lt;wsp:rsid wsp:val=&quot;005D00AC&quot;/&gt;&lt;wsp:rsid wsp:val=&quot;005D021A&quot;/&gt;&lt;wsp:rsid wsp:val=&quot;005D0682&quot;/&gt;&lt;wsp:rsid wsp:val=&quot;005D0A5B&quot;/&gt;&lt;wsp:rsid wsp:val=&quot;005D0AC2&quot;/&gt;&lt;wsp:rsid wsp:val=&quot;005D10A8&quot;/&gt;&lt;wsp:rsid wsp:val=&quot;005D11F2&quot;/&gt;&lt;wsp:rsid wsp:val=&quot;005D1643&quot;/&gt;&lt;wsp:rsid wsp:val=&quot;005D188E&quot;/&gt;&lt;wsp:rsid wsp:val=&quot;005D18E3&quot;/&gt;&lt;wsp:rsid wsp:val=&quot;005D1CB5&quot;/&gt;&lt;wsp:rsid wsp:val=&quot;005D22D8&quot;/&gt;&lt;wsp:rsid wsp:val=&quot;005D2741&quot;/&gt;&lt;wsp:rsid wsp:val=&quot;005D288B&quot;/&gt;&lt;wsp:rsid wsp:val=&quot;005D28B1&quot;/&gt;&lt;wsp:rsid wsp:val=&quot;005D291C&quot;/&gt;&lt;wsp:rsid wsp:val=&quot;005D2A30&quot;/&gt;&lt;wsp:rsid wsp:val=&quot;005D2B9F&quot;/&gt;&lt;wsp:rsid wsp:val=&quot;005D2F6C&quot;/&gt;&lt;wsp:rsid wsp:val=&quot;005D3491&quot;/&gt;&lt;wsp:rsid wsp:val=&quot;005D3C06&quot;/&gt;&lt;wsp:rsid wsp:val=&quot;005D3F4B&quot;/&gt;&lt;wsp:rsid wsp:val=&quot;005D41A4&quot;/&gt;&lt;wsp:rsid wsp:val=&quot;005D4AF4&quot;/&gt;&lt;wsp:rsid wsp:val=&quot;005D4B83&quot;/&gt;&lt;wsp:rsid wsp:val=&quot;005D4BAC&quot;/&gt;&lt;wsp:rsid wsp:val=&quot;005D4CCB&quot;/&gt;&lt;wsp:rsid wsp:val=&quot;005D51AD&quot;/&gt;&lt;wsp:rsid wsp:val=&quot;005D5B11&quot;/&gt;&lt;wsp:rsid wsp:val=&quot;005D5E04&quot;/&gt;&lt;wsp:rsid wsp:val=&quot;005D6865&quot;/&gt;&lt;wsp:rsid wsp:val=&quot;005D68DC&quot;/&gt;&lt;wsp:rsid wsp:val=&quot;005D69CD&quot;/&gt;&lt;wsp:rsid wsp:val=&quot;005D6BF7&quot;/&gt;&lt;wsp:rsid wsp:val=&quot;005D6D08&quot;/&gt;&lt;wsp:rsid wsp:val=&quot;005D6F58&quot;/&gt;&lt;wsp:rsid wsp:val=&quot;005D72C6&quot;/&gt;&lt;wsp:rsid wsp:val=&quot;005D7728&quot;/&gt;&lt;wsp:rsid wsp:val=&quot;005D7B70&quot;/&gt;&lt;wsp:rsid wsp:val=&quot;005D7CF2&quot;/&gt;&lt;wsp:rsid wsp:val=&quot;005E02A5&quot;/&gt;&lt;wsp:rsid wsp:val=&quot;005E066D&quot;/&gt;&lt;wsp:rsid wsp:val=&quot;005E07B0&quot;/&gt;&lt;wsp:rsid wsp:val=&quot;005E08D6&quot;/&gt;&lt;wsp:rsid wsp:val=&quot;005E0C87&quot;/&gt;&lt;wsp:rsid wsp:val=&quot;005E0CB6&quot;/&gt;&lt;wsp:rsid wsp:val=&quot;005E0FB5&quot;/&gt;&lt;wsp:rsid wsp:val=&quot;005E11CF&quot;/&gt;&lt;wsp:rsid wsp:val=&quot;005E12AB&quot;/&gt;&lt;wsp:rsid wsp:val=&quot;005E12B1&quot;/&gt;&lt;wsp:rsid wsp:val=&quot;005E1470&quot;/&gt;&lt;wsp:rsid wsp:val=&quot;005E149E&quot;/&gt;&lt;wsp:rsid wsp:val=&quot;005E1ECD&quot;/&gt;&lt;wsp:rsid wsp:val=&quot;005E20B7&quot;/&gt;&lt;wsp:rsid wsp:val=&quot;005E21CD&quot;/&gt;&lt;wsp:rsid wsp:val=&quot;005E29AA&quot;/&gt;&lt;wsp:rsid wsp:val=&quot;005E2A00&quot;/&gt;&lt;wsp:rsid wsp:val=&quot;005E39B2&quot;/&gt;&lt;wsp:rsid wsp:val=&quot;005E3CC1&quot;/&gt;&lt;wsp:rsid wsp:val=&quot;005E3F77&quot;/&gt;&lt;wsp:rsid wsp:val=&quot;005E44FA&quot;/&gt;&lt;wsp:rsid wsp:val=&quot;005E4AD3&quot;/&gt;&lt;wsp:rsid wsp:val=&quot;005E4FC9&quot;/&gt;&lt;wsp:rsid wsp:val=&quot;005E518D&quot;/&gt;&lt;wsp:rsid wsp:val=&quot;005E51FE&quot;/&gt;&lt;wsp:rsid wsp:val=&quot;005E541D&quot;/&gt;&lt;wsp:rsid wsp:val=&quot;005E6026&quot;/&gt;&lt;wsp:rsid wsp:val=&quot;005E6678&quot;/&gt;&lt;wsp:rsid wsp:val=&quot;005E6805&quot;/&gt;&lt;wsp:rsid wsp:val=&quot;005E6B35&quot;/&gt;&lt;wsp:rsid wsp:val=&quot;005E6D87&quot;/&gt;&lt;wsp:rsid wsp:val=&quot;005E718A&quot;/&gt;&lt;wsp:rsid wsp:val=&quot;005E7278&quot;/&gt;&lt;wsp:rsid wsp:val=&quot;005E73B5&quot;/&gt;&lt;wsp:rsid wsp:val=&quot;005E7724&quot;/&gt;&lt;wsp:rsid wsp:val=&quot;005E7753&quot;/&gt;&lt;wsp:rsid wsp:val=&quot;005E780A&quot;/&gt;&lt;wsp:rsid wsp:val=&quot;005E7D5E&quot;/&gt;&lt;wsp:rsid wsp:val=&quot;005E7F26&quot;/&gt;&lt;wsp:rsid wsp:val=&quot;005E7F7D&quot;/&gt;&lt;wsp:rsid wsp:val=&quot;005E7FCC&quot;/&gt;&lt;wsp:rsid wsp:val=&quot;005F0579&quot;/&gt;&lt;wsp:rsid wsp:val=&quot;005F0589&quot;/&gt;&lt;wsp:rsid wsp:val=&quot;005F092D&quot;/&gt;&lt;wsp:rsid wsp:val=&quot;005F09C4&quot;/&gt;&lt;wsp:rsid wsp:val=&quot;005F0A2B&quot;/&gt;&lt;wsp:rsid wsp:val=&quot;005F1406&quot;/&gt;&lt;wsp:rsid wsp:val=&quot;005F1444&quot;/&gt;&lt;wsp:rsid wsp:val=&quot;005F19EB&quot;/&gt;&lt;wsp:rsid wsp:val=&quot;005F1DBA&quot;/&gt;&lt;wsp:rsid wsp:val=&quot;005F21C6&quot;/&gt;&lt;wsp:rsid wsp:val=&quot;005F2240&quot;/&gt;&lt;wsp:rsid wsp:val=&quot;005F2482&quot;/&gt;&lt;wsp:rsid wsp:val=&quot;005F2843&quot;/&gt;&lt;wsp:rsid wsp:val=&quot;005F3A48&quot;/&gt;&lt;wsp:rsid wsp:val=&quot;005F3B32&quot;/&gt;&lt;wsp:rsid wsp:val=&quot;005F3CE2&quot;/&gt;&lt;wsp:rsid wsp:val=&quot;005F4064&quot;/&gt;&lt;wsp:rsid wsp:val=&quot;005F4875&quot;/&gt;&lt;wsp:rsid wsp:val=&quot;005F531B&quot;/&gt;&lt;wsp:rsid wsp:val=&quot;005F5794&quot;/&gt;&lt;wsp:rsid wsp:val=&quot;005F5E3B&quot;/&gt;&lt;wsp:rsid wsp:val=&quot;005F66D2&quot;/&gt;&lt;wsp:rsid wsp:val=&quot;005F6859&quot;/&gt;&lt;wsp:rsid wsp:val=&quot;005F6AC9&quot;/&gt;&lt;wsp:rsid wsp:val=&quot;005F6B62&quot;/&gt;&lt;wsp:rsid wsp:val=&quot;005F714D&quot;/&gt;&lt;wsp:rsid wsp:val=&quot;005F7208&quot;/&gt;&lt;wsp:rsid wsp:val=&quot;005F7655&quot;/&gt;&lt;wsp:rsid wsp:val=&quot;005F78C9&quot;/&gt;&lt;wsp:rsid wsp:val=&quot;005F78DB&quot;/&gt;&lt;wsp:rsid wsp:val=&quot;005F79CA&quot;/&gt;&lt;wsp:rsid wsp:val=&quot;005F7A86&quot;/&gt;&lt;wsp:rsid wsp:val=&quot;005F7CC1&quot;/&gt;&lt;wsp:rsid wsp:val=&quot;00600930&quot;/&gt;&lt;wsp:rsid wsp:val=&quot;00600950&quot;/&gt;&lt;wsp:rsid wsp:val=&quot;00600BCC&quot;/&gt;&lt;wsp:rsid wsp:val=&quot;006013E0&quot;/&gt;&lt;wsp:rsid wsp:val=&quot;006016CC&quot;/&gt;&lt;wsp:rsid wsp:val=&quot;006017A0&quot;/&gt;&lt;wsp:rsid wsp:val=&quot;00601803&quot;/&gt;&lt;wsp:rsid wsp:val=&quot;00601E47&quot;/&gt;&lt;wsp:rsid wsp:val=&quot;0060215F&quot;/&gt;&lt;wsp:rsid wsp:val=&quot;00602662&quot;/&gt;&lt;wsp:rsid wsp:val=&quot;00602692&quot;/&gt;&lt;wsp:rsid wsp:val=&quot;00602DBF&quot;/&gt;&lt;wsp:rsid wsp:val=&quot;0060343D&quot;/&gt;&lt;wsp:rsid wsp:val=&quot;00603443&quot;/&gt;&lt;wsp:rsid wsp:val=&quot;0060380F&quot;/&gt;&lt;wsp:rsid wsp:val=&quot;00603D72&quot;/&gt;&lt;wsp:rsid wsp:val=&quot;006041F4&quot;/&gt;&lt;wsp:rsid wsp:val=&quot;00604A70&quot;/&gt;&lt;wsp:rsid wsp:val=&quot;00604F77&quot;/&gt;&lt;wsp:rsid wsp:val=&quot;00605312&quot;/&gt;&lt;wsp:rsid wsp:val=&quot;006053FA&quot;/&gt;&lt;wsp:rsid wsp:val=&quot;00605497&quot;/&gt;&lt;wsp:rsid wsp:val=&quot;0060579C&quot;/&gt;&lt;wsp:rsid wsp:val=&quot;0060599D&quot;/&gt;&lt;wsp:rsid wsp:val=&quot;00605AC6&quot;/&gt;&lt;wsp:rsid wsp:val=&quot;00605F21&quot;/&gt;&lt;wsp:rsid wsp:val=&quot;00605FD5&quot;/&gt;&lt;wsp:rsid wsp:val=&quot;00606495&quot;/&gt;&lt;wsp:rsid wsp:val=&quot;0060692A&quot;/&gt;&lt;wsp:rsid wsp:val=&quot;00606C67&quot;/&gt;&lt;wsp:rsid wsp:val=&quot;00606D91&quot;/&gt;&lt;wsp:rsid wsp:val=&quot;00606EE9&quot;/&gt;&lt;wsp:rsid wsp:val=&quot;006071F8&quot;/&gt;&lt;wsp:rsid wsp:val=&quot;0060750E&quot;/&gt;&lt;wsp:rsid wsp:val=&quot;0060760E&quot;/&gt;&lt;wsp:rsid wsp:val=&quot;00607D2A&quot;/&gt;&lt;wsp:rsid wsp:val=&quot;006104A0&quot;/&gt;&lt;wsp:rsid wsp:val=&quot;006104C4&quot;/&gt;&lt;wsp:rsid wsp:val=&quot;00610B4F&quot;/&gt;&lt;wsp:rsid wsp:val=&quot;00610B60&quot;/&gt;&lt;wsp:rsid wsp:val=&quot;00610DED&quot;/&gt;&lt;wsp:rsid wsp:val=&quot;006110B1&quot;/&gt;&lt;wsp:rsid wsp:val=&quot;006117EC&quot;/&gt;&lt;wsp:rsid wsp:val=&quot;006119F6&quot;/&gt;&lt;wsp:rsid wsp:val=&quot;00611AD8&quot;/&gt;&lt;wsp:rsid wsp:val=&quot;00611BE2&quot;/&gt;&lt;wsp:rsid wsp:val=&quot;00611D1C&quot;/&gt;&lt;wsp:rsid wsp:val=&quot;00611FBB&quot;/&gt;&lt;wsp:rsid wsp:val=&quot;0061247F&quot;/&gt;&lt;wsp:rsid wsp:val=&quot;00612698&quot;/&gt;&lt;wsp:rsid wsp:val=&quot;00612D04&quot;/&gt;&lt;wsp:rsid wsp:val=&quot;00612D9D&quot;/&gt;&lt;wsp:rsid wsp:val=&quot;00612F3C&quot;/&gt;&lt;wsp:rsid wsp:val=&quot;00613568&quot;/&gt;&lt;wsp:rsid wsp:val=&quot;00613A58&quot;/&gt;&lt;wsp:rsid wsp:val=&quot;00614164&quot;/&gt;&lt;wsp:rsid wsp:val=&quot;00614DB8&quot;/&gt;&lt;wsp:rsid wsp:val=&quot;0061523E&quot;/&gt;&lt;wsp:rsid wsp:val=&quot;006155C4&quot;/&gt;&lt;wsp:rsid wsp:val=&quot;006157DD&quot;/&gt;&lt;wsp:rsid wsp:val=&quot;00615934&quot;/&gt;&lt;wsp:rsid wsp:val=&quot;0061673B&quot;/&gt;&lt;wsp:rsid wsp:val=&quot;0061748C&quot;/&gt;&lt;wsp:rsid wsp:val=&quot;006175A1&quot;/&gt;&lt;wsp:rsid wsp:val=&quot;00617905&quot;/&gt;&lt;wsp:rsid wsp:val=&quot;0062018E&quot;/&gt;&lt;wsp:rsid wsp:val=&quot;0062025C&quot;/&gt;&lt;wsp:rsid wsp:val=&quot;0062098F&quot;/&gt;&lt;wsp:rsid wsp:val=&quot;006209F6&quot;/&gt;&lt;wsp:rsid wsp:val=&quot;00620B1B&quot;/&gt;&lt;wsp:rsid wsp:val=&quot;0062139E&quot;/&gt;&lt;wsp:rsid wsp:val=&quot;00621405&quot;/&gt;&lt;wsp:rsid wsp:val=&quot;00621469&quot;/&gt;&lt;wsp:rsid wsp:val=&quot;006217A3&quot;/&gt;&lt;wsp:rsid wsp:val=&quot;00621D04&quot;/&gt;&lt;wsp:rsid wsp:val=&quot;00621EF6&quot;/&gt;&lt;wsp:rsid wsp:val=&quot;0062218E&quot;/&gt;&lt;wsp:rsid wsp:val=&quot;006223C5&quot;/&gt;&lt;wsp:rsid wsp:val=&quot;006226D9&quot;/&gt;&lt;wsp:rsid wsp:val=&quot;006227A3&quot;/&gt;&lt;wsp:rsid wsp:val=&quot;00622857&quot;/&gt;&lt;wsp:rsid wsp:val=&quot;00622DDC&quot;/&gt;&lt;wsp:rsid wsp:val=&quot;00622F55&quot;/&gt;&lt;wsp:rsid wsp:val=&quot;0062392F&quot;/&gt;&lt;wsp:rsid wsp:val=&quot;00623AEA&quot;/&gt;&lt;wsp:rsid wsp:val=&quot;00623EF3&quot;/&gt;&lt;wsp:rsid wsp:val=&quot;0062407A&quot;/&gt;&lt;wsp:rsid wsp:val=&quot;006242F0&quot;/&gt;&lt;wsp:rsid wsp:val=&quot;006243EC&quot;/&gt;&lt;wsp:rsid wsp:val=&quot;006245DD&quot;/&gt;&lt;wsp:rsid wsp:val=&quot;00624D61&quot;/&gt;&lt;wsp:rsid wsp:val=&quot;00624FA7&quot;/&gt;&lt;wsp:rsid wsp:val=&quot;0062577F&quot;/&gt;&lt;wsp:rsid wsp:val=&quot;006259EC&quot;/&gt;&lt;wsp:rsid wsp:val=&quot;00625B1E&quot;/&gt;&lt;wsp:rsid wsp:val=&quot;00625CD1&quot;/&gt;&lt;wsp:rsid wsp:val=&quot;0062612E&quot;/&gt;&lt;wsp:rsid wsp:val=&quot;0062615D&quot;/&gt;&lt;wsp:rsid wsp:val=&quot;00626276&quot;/&gt;&lt;wsp:rsid wsp:val=&quot;006264D5&quot;/&gt;&lt;wsp:rsid wsp:val=&quot;0062667D&quot;/&gt;&lt;wsp:rsid wsp:val=&quot;006267E9&quot;/&gt;&lt;wsp:rsid wsp:val=&quot;00626876&quot;/&gt;&lt;wsp:rsid wsp:val=&quot;00626F72&quot;/&gt;&lt;wsp:rsid wsp:val=&quot;00626FE3&quot;/&gt;&lt;wsp:rsid wsp:val=&quot;006270E2&quot;/&gt;&lt;wsp:rsid wsp:val=&quot;0062713D&quot;/&gt;&lt;wsp:rsid wsp:val=&quot;00627332&quot;/&gt;&lt;wsp:rsid wsp:val=&quot;006278BC&quot;/&gt;&lt;wsp:rsid wsp:val=&quot;00627A09&quot;/&gt;&lt;wsp:rsid wsp:val=&quot;00627DE4&quot;/&gt;&lt;wsp:rsid wsp:val=&quot;006300A5&quot;/&gt;&lt;wsp:rsid wsp:val=&quot;0063069B&quot;/&gt;&lt;wsp:rsid wsp:val=&quot;00630CE0&quot;/&gt;&lt;wsp:rsid wsp:val=&quot;00631241&quot;/&gt;&lt;wsp:rsid wsp:val=&quot;00631489&quot;/&gt;&lt;wsp:rsid wsp:val=&quot;00631D68&quot;/&gt;&lt;wsp:rsid wsp:val=&quot;0063235E&quot;/&gt;&lt;wsp:rsid wsp:val=&quot;00632421&quot;/&gt;&lt;wsp:rsid wsp:val=&quot;00632AE3&quot;/&gt;&lt;wsp:rsid wsp:val=&quot;00632D4E&quot;/&gt;&lt;wsp:rsid wsp:val=&quot;0063345C&quot;/&gt;&lt;wsp:rsid wsp:val=&quot;00633EC5&quot;/&gt;&lt;wsp:rsid wsp:val=&quot;00634545&quot;/&gt;&lt;wsp:rsid wsp:val=&quot;00635069&quot;/&gt;&lt;wsp:rsid wsp:val=&quot;006350B5&quot;/&gt;&lt;wsp:rsid wsp:val=&quot;0063528A&quot;/&gt;&lt;wsp:rsid wsp:val=&quot;0063595F&quot;/&gt;&lt;wsp:rsid wsp:val=&quot;0063596B&quot;/&gt;&lt;wsp:rsid wsp:val=&quot;00635AB7&quot;/&gt;&lt;wsp:rsid wsp:val=&quot;00635EFC&quot;/&gt;&lt;wsp:rsid wsp:val=&quot;00635F4D&quot;/&gt;&lt;wsp:rsid wsp:val=&quot;006360FC&quot;/&gt;&lt;wsp:rsid wsp:val=&quot;006363B0&quot;/&gt;&lt;wsp:rsid wsp:val=&quot;0063654F&quot;/&gt;&lt;wsp:rsid wsp:val=&quot;006369F7&quot;/&gt;&lt;wsp:rsid wsp:val=&quot;00636BE0&quot;/&gt;&lt;wsp:rsid wsp:val=&quot;0063749D&quot;/&gt;&lt;wsp:rsid wsp:val=&quot;0063771D&quot;/&gt;&lt;wsp:rsid wsp:val=&quot;0063795F&quot;/&gt;&lt;wsp:rsid wsp:val=&quot;00637F48&quot;/&gt;&lt;wsp:rsid wsp:val=&quot;00640631&quot;/&gt;&lt;wsp:rsid wsp:val=&quot;00640A8C&quot;/&gt;&lt;wsp:rsid wsp:val=&quot;00640D8C&quot;/&gt;&lt;wsp:rsid wsp:val=&quot;00641490&quot;/&gt;&lt;wsp:rsid wsp:val=&quot;0064184F&quot;/&gt;&lt;wsp:rsid wsp:val=&quot;00641B62&quot;/&gt;&lt;wsp:rsid wsp:val=&quot;00641E49&quot;/&gt;&lt;wsp:rsid wsp:val=&quot;006420AF&quot;/&gt;&lt;wsp:rsid wsp:val=&quot;00642223&quot;/&gt;&lt;wsp:rsid wsp:val=&quot;0064262B&quot;/&gt;&lt;wsp:rsid wsp:val=&quot;00642A27&quot;/&gt;&lt;wsp:rsid wsp:val=&quot;00642B8A&quot;/&gt;&lt;wsp:rsid wsp:val=&quot;00642ECC&quot;/&gt;&lt;wsp:rsid wsp:val=&quot;006431C3&quot;/&gt;&lt;wsp:rsid wsp:val=&quot;006431DB&quot;/&gt;&lt;wsp:rsid wsp:val=&quot;00643392&quot;/&gt;&lt;wsp:rsid wsp:val=&quot;00643447&quot;/&gt;&lt;wsp:rsid wsp:val=&quot;00643462&quot;/&gt;&lt;wsp:rsid wsp:val=&quot;006437F1&quot;/&gt;&lt;wsp:rsid wsp:val=&quot;00643E5F&quot;/&gt;&lt;wsp:rsid wsp:val=&quot;00643F90&quot;/&gt;&lt;wsp:rsid wsp:val=&quot;0064437A&quot;/&gt;&lt;wsp:rsid wsp:val=&quot;00644513&quot;/&gt;&lt;wsp:rsid wsp:val=&quot;00644784&quot;/&gt;&lt;wsp:rsid wsp:val=&quot;00644BFD&quot;/&gt;&lt;wsp:rsid wsp:val=&quot;00645728&quot;/&gt;&lt;wsp:rsid wsp:val=&quot;00645C8E&quot;/&gt;&lt;wsp:rsid wsp:val=&quot;00645FC2&quot;/&gt;&lt;wsp:rsid wsp:val=&quot;00646136&quot;/&gt;&lt;wsp:rsid wsp:val=&quot;0064614D&quot;/&gt;&lt;wsp:rsid wsp:val=&quot;00646159&quot;/&gt;&lt;wsp:rsid wsp:val=&quot;00646ADF&quot;/&gt;&lt;wsp:rsid wsp:val=&quot;00646E98&quot;/&gt;&lt;wsp:rsid wsp:val=&quot;006470E8&quot;/&gt;&lt;wsp:rsid wsp:val=&quot;006471AA&quot;/&gt;&lt;wsp:rsid wsp:val=&quot;0064762B&quot;/&gt;&lt;wsp:rsid wsp:val=&quot;006479FB&quot;/&gt;&lt;wsp:rsid wsp:val=&quot;00647F4E&quot;/&gt;&lt;wsp:rsid wsp:val=&quot;00650673&quot;/&gt;&lt;wsp:rsid wsp:val=&quot;006507BF&quot;/&gt;&lt;wsp:rsid wsp:val=&quot;006509FC&quot;/&gt;&lt;wsp:rsid wsp:val=&quot;00650D4F&quot;/&gt;&lt;wsp:rsid wsp:val=&quot;00650E1F&quot;/&gt;&lt;wsp:rsid wsp:val=&quot;00650F51&quot;/&gt;&lt;wsp:rsid wsp:val=&quot;006510CD&quot;/&gt;&lt;wsp:rsid wsp:val=&quot;00651160&quot;/&gt;&lt;wsp:rsid wsp:val=&quot;0065129C&quot;/&gt;&lt;wsp:rsid wsp:val=&quot;0065174F&quot;/&gt;&lt;wsp:rsid wsp:val=&quot;00651803&quot;/&gt;&lt;wsp:rsid wsp:val=&quot;00651979&quot;/&gt;&lt;wsp:rsid wsp:val=&quot;00651A8A&quot;/&gt;&lt;wsp:rsid wsp:val=&quot;00652017&quot;/&gt;&lt;wsp:rsid wsp:val=&quot;0065251B&quot;/&gt;&lt;wsp:rsid wsp:val=&quot;00652ADE&quot;/&gt;&lt;wsp:rsid wsp:val=&quot;0065368B&quot;/&gt;&lt;wsp:rsid wsp:val=&quot;006537C8&quot;/&gt;&lt;wsp:rsid wsp:val=&quot;00653AEB&quot;/&gt;&lt;wsp:rsid wsp:val=&quot;00654161&quot;/&gt;&lt;wsp:rsid wsp:val=&quot;006543DB&quot;/&gt;&lt;wsp:rsid wsp:val=&quot;00654CE5&quot;/&gt;&lt;wsp:rsid wsp:val=&quot;00654D86&quot;/&gt;&lt;wsp:rsid wsp:val=&quot;006551F9&quot;/&gt;&lt;wsp:rsid wsp:val=&quot;0065540E&quot;/&gt;&lt;wsp:rsid wsp:val=&quot;006559B0&quot;/&gt;&lt;wsp:rsid wsp:val=&quot;006561C5&quot;/&gt;&lt;wsp:rsid wsp:val=&quot;0065623A&quot;/&gt;&lt;wsp:rsid wsp:val=&quot;00656A16&quot;/&gt;&lt;wsp:rsid wsp:val=&quot;00656C07&quot;/&gt;&lt;wsp:rsid wsp:val=&quot;00657224&quot;/&gt;&lt;wsp:rsid wsp:val=&quot;00657298&quot;/&gt;&lt;wsp:rsid wsp:val=&quot;00657E13&quot;/&gt;&lt;wsp:rsid wsp:val=&quot;00660129&quot;/&gt;&lt;wsp:rsid wsp:val=&quot;006602A5&quot;/&gt;&lt;wsp:rsid wsp:val=&quot;00660EA0&quot;/&gt;&lt;wsp:rsid wsp:val=&quot;00660EB5&quot;/&gt;&lt;wsp:rsid wsp:val=&quot;00660F1A&quot;/&gt;&lt;wsp:rsid wsp:val=&quot;00661281&quot;/&gt;&lt;wsp:rsid wsp:val=&quot;006614BB&quot;/&gt;&lt;wsp:rsid wsp:val=&quot;00661BAE&quot;/&gt;&lt;wsp:rsid wsp:val=&quot;00661D4C&quot;/&gt;&lt;wsp:rsid wsp:val=&quot;00661F6A&quot;/&gt;&lt;wsp:rsid wsp:val=&quot;00662647&quot;/&gt;&lt;wsp:rsid wsp:val=&quot;006627B8&quot;/&gt;&lt;wsp:rsid wsp:val=&quot;00662857&quot;/&gt;&lt;wsp:rsid wsp:val=&quot;00662971&quot;/&gt;&lt;wsp:rsid wsp:val=&quot;00662B06&quot;/&gt;&lt;wsp:rsid wsp:val=&quot;00662FAB&quot;/&gt;&lt;wsp:rsid wsp:val=&quot;006632F3&quot;/&gt;&lt;wsp:rsid wsp:val=&quot;006638BE&quot;/&gt;&lt;wsp:rsid wsp:val=&quot;00663B1D&quot;/&gt;&lt;wsp:rsid wsp:val=&quot;00663C31&quot;/&gt;&lt;wsp:rsid wsp:val=&quot;00663C78&quot;/&gt;&lt;wsp:rsid wsp:val=&quot;00663F87&quot;/&gt;&lt;wsp:rsid wsp:val=&quot;00663FF8&quot;/&gt;&lt;wsp:rsid wsp:val=&quot;00664239&quot;/&gt;&lt;wsp:rsid wsp:val=&quot;006642D3&quot;/&gt;&lt;wsp:rsid wsp:val=&quot;006648F8&quot;/&gt;&lt;wsp:rsid wsp:val=&quot;00664930&quot;/&gt;&lt;wsp:rsid wsp:val=&quot;00664A22&quot;/&gt;&lt;wsp:rsid wsp:val=&quot;00664AF8&quot;/&gt;&lt;wsp:rsid wsp:val=&quot;00665012&quot;/&gt;&lt;wsp:rsid wsp:val=&quot;006651FC&quot;/&gt;&lt;wsp:rsid wsp:val=&quot;00665343&quot;/&gt;&lt;wsp:rsid wsp:val=&quot;006655AD&quot;/&gt;&lt;wsp:rsid wsp:val=&quot;006659B7&quot;/&gt;&lt;wsp:rsid wsp:val=&quot;00665B99&quot;/&gt;&lt;wsp:rsid wsp:val=&quot;00666106&quot;/&gt;&lt;wsp:rsid wsp:val=&quot;006662AF&quot;/&gt;&lt;wsp:rsid wsp:val=&quot;0066679D&quot;/&gt;&lt;wsp:rsid wsp:val=&quot;00666B4F&quot;/&gt;&lt;wsp:rsid wsp:val=&quot;00666FA8&quot;/&gt;&lt;wsp:rsid wsp:val=&quot;00667403&quot;/&gt;&lt;wsp:rsid wsp:val=&quot;0066746B&quot;/&gt;&lt;wsp:rsid wsp:val=&quot;006676C5&quot;/&gt;&lt;wsp:rsid wsp:val=&quot;00667AA9&quot;/&gt;&lt;wsp:rsid wsp:val=&quot;00670520&quot;/&gt;&lt;wsp:rsid wsp:val=&quot;006706ED&quot;/&gt;&lt;wsp:rsid wsp:val=&quot;00670865&quot;/&gt;&lt;wsp:rsid wsp:val=&quot;006709EE&quot;/&gt;&lt;wsp:rsid wsp:val=&quot;00670FD3&quot;/&gt;&lt;wsp:rsid wsp:val=&quot;006711C3&quot;/&gt;&lt;wsp:rsid wsp:val=&quot;006714A8&quot;/&gt;&lt;wsp:rsid wsp:val=&quot;006715FA&quot;/&gt;&lt;wsp:rsid wsp:val=&quot;006717A7&quot;/&gt;&lt;wsp:rsid wsp:val=&quot;00671BEC&quot;/&gt;&lt;wsp:rsid wsp:val=&quot;00671C9B&quot;/&gt;&lt;wsp:rsid wsp:val=&quot;00671D4A&quot;/&gt;&lt;wsp:rsid wsp:val=&quot;00672310&quot;/&gt;&lt;wsp:rsid wsp:val=&quot;006723C1&quot;/&gt;&lt;wsp:rsid wsp:val=&quot;006726C5&quot;/&gt;&lt;wsp:rsid wsp:val=&quot;006728DA&quot;/&gt;&lt;wsp:rsid wsp:val=&quot;00672995&quot;/&gt;&lt;wsp:rsid wsp:val=&quot;00672ADD&quot;/&gt;&lt;wsp:rsid wsp:val=&quot;00672BA9&quot;/&gt;&lt;wsp:rsid wsp:val=&quot;00672CCB&quot;/&gt;&lt;wsp:rsid wsp:val=&quot;00672CF8&quot;/&gt;&lt;wsp:rsid wsp:val=&quot;00673040&quot;/&gt;&lt;wsp:rsid wsp:val=&quot;00673567&quot;/&gt;&lt;wsp:rsid wsp:val=&quot;00673DF6&quot;/&gt;&lt;wsp:rsid wsp:val=&quot;00673E3B&quot;/&gt;&lt;wsp:rsid wsp:val=&quot;00673EFD&quot;/&gt;&lt;wsp:rsid wsp:val=&quot;006741C6&quot;/&gt;&lt;wsp:rsid wsp:val=&quot;006742EE&quot;/&gt;&lt;wsp:rsid wsp:val=&quot;006746B9&quot;/&gt;&lt;wsp:rsid wsp:val=&quot;006746BC&quot;/&gt;&lt;wsp:rsid wsp:val=&quot;0067497C&quot;/&gt;&lt;wsp:rsid wsp:val=&quot;006749ED&quot;/&gt;&lt;wsp:rsid wsp:val=&quot;0067515D&quot;/&gt;&lt;wsp:rsid wsp:val=&quot;0067517C&quot;/&gt;&lt;wsp:rsid wsp:val=&quot;0067575D&quot;/&gt;&lt;wsp:rsid wsp:val=&quot;00675FE0&quot;/&gt;&lt;wsp:rsid wsp:val=&quot;00676050&quot;/&gt;&lt;wsp:rsid wsp:val=&quot;006763A3&quot;/&gt;&lt;wsp:rsid wsp:val=&quot;00676663&quot;/&gt;&lt;wsp:rsid wsp:val=&quot;006766B7&quot;/&gt;&lt;wsp:rsid wsp:val=&quot;006768A4&quot;/&gt;&lt;wsp:rsid wsp:val=&quot;00676C34&quot;/&gt;&lt;wsp:rsid wsp:val=&quot;00676E60&quot;/&gt;&lt;wsp:rsid wsp:val=&quot;00677122&quot;/&gt;&lt;wsp:rsid wsp:val=&quot;0067743C&quot;/&gt;&lt;wsp:rsid wsp:val=&quot;006779D8&quot;/&gt;&lt;wsp:rsid wsp:val=&quot;00677A34&quot;/&gt;&lt;wsp:rsid wsp:val=&quot;00677B37&quot;/&gt;&lt;wsp:rsid wsp:val=&quot;00677DEB&quot;/&gt;&lt;wsp:rsid wsp:val=&quot;00680488&quot;/&gt;&lt;wsp:rsid wsp:val=&quot;00680574&quot;/&gt;&lt;wsp:rsid wsp:val=&quot;006805C0&quot;/&gt;&lt;wsp:rsid wsp:val=&quot;00680663&quot;/&gt;&lt;wsp:rsid wsp:val=&quot;00680F3C&quot;/&gt;&lt;wsp:rsid wsp:val=&quot;0068127D&quot;/&gt;&lt;wsp:rsid wsp:val=&quot;00681DBF&quot;/&gt;&lt;wsp:rsid wsp:val=&quot;00682184&quot;/&gt;&lt;wsp:rsid wsp:val=&quot;006829F2&quot;/&gt;&lt;wsp:rsid wsp:val=&quot;0068310B&quot;/&gt;&lt;wsp:rsid wsp:val=&quot;00683281&quot;/&gt;&lt;wsp:rsid wsp:val=&quot;0068357D&quot;/&gt;&lt;wsp:rsid wsp:val=&quot;006835C7&quot;/&gt;&lt;wsp:rsid wsp:val=&quot;00683A27&quot;/&gt;&lt;wsp:rsid wsp:val=&quot;00683AB8&quot;/&gt;&lt;wsp:rsid wsp:val=&quot;00684040&quot;/&gt;&lt;wsp:rsid wsp:val=&quot;0068404B&quot;/&gt;&lt;wsp:rsid wsp:val=&quot;0068405C&quot;/&gt;&lt;wsp:rsid wsp:val=&quot;006841EF&quot;/&gt;&lt;wsp:rsid wsp:val=&quot;006843AB&quot;/&gt;&lt;wsp:rsid wsp:val=&quot;0068457A&quot;/&gt;&lt;wsp:rsid wsp:val=&quot;0068460D&quot;/&gt;&lt;wsp:rsid wsp:val=&quot;0068515F&quot;/&gt;&lt;wsp:rsid wsp:val=&quot;00685188&quot;/&gt;&lt;wsp:rsid wsp:val=&quot;006858CE&quot;/&gt;&lt;wsp:rsid wsp:val=&quot;006859F6&quot;/&gt;&lt;wsp:rsid wsp:val=&quot;00685E06&quot;/&gt;&lt;wsp:rsid wsp:val=&quot;00686281&quot;/&gt;&lt;wsp:rsid wsp:val=&quot;006862C0&quot;/&gt;&lt;wsp:rsid wsp:val=&quot;006862CD&quot;/&gt;&lt;wsp:rsid wsp:val=&quot;00686434&quot;/&gt;&lt;wsp:rsid wsp:val=&quot;00686967&quot;/&gt;&lt;wsp:rsid wsp:val=&quot;00686DF4&quot;/&gt;&lt;wsp:rsid wsp:val=&quot;00686EE2&quot;/&gt;&lt;wsp:rsid wsp:val=&quot;006872CF&quot;/&gt;&lt;wsp:rsid wsp:val=&quot;00687A8A&quot;/&gt;&lt;wsp:rsid wsp:val=&quot;00687BB3&quot;/&gt;&lt;wsp:rsid wsp:val=&quot;00687DDA&quot;/&gt;&lt;wsp:rsid wsp:val=&quot;00687F39&quot;/&gt;&lt;wsp:rsid wsp:val=&quot;006903A9&quot;/&gt;&lt;wsp:rsid wsp:val=&quot;00690466&quot;/&gt;&lt;wsp:rsid wsp:val=&quot;00690684&quot;/&gt;&lt;wsp:rsid wsp:val=&quot;00690D12&quot;/&gt;&lt;wsp:rsid wsp:val=&quot;00691069&quot;/&gt;&lt;wsp:rsid wsp:val=&quot;00691498&quot;/&gt;&lt;wsp:rsid wsp:val=&quot;0069193D&quot;/&gt;&lt;wsp:rsid wsp:val=&quot;00691A80&quot;/&gt;&lt;wsp:rsid wsp:val=&quot;00692016&quot;/&gt;&lt;wsp:rsid wsp:val=&quot;006922A3&quot;/&gt;&lt;wsp:rsid wsp:val=&quot;00692E59&quot;/&gt;&lt;wsp:rsid wsp:val=&quot;0069309E&quot;/&gt;&lt;wsp:rsid wsp:val=&quot;006930A2&quot;/&gt;&lt;wsp:rsid wsp:val=&quot;0069351F&quot;/&gt;&lt;wsp:rsid wsp:val=&quot;00693AD5&quot;/&gt;&lt;wsp:rsid wsp:val=&quot;00693C5D&quot;/&gt;&lt;wsp:rsid wsp:val=&quot;00694C29&quot;/&gt;&lt;wsp:rsid wsp:val=&quot;00695015&quot;/&gt;&lt;wsp:rsid wsp:val=&quot;00695334&quot;/&gt;&lt;wsp:rsid wsp:val=&quot;00695491&quot;/&gt;&lt;wsp:rsid wsp:val=&quot;006955E6&quot;/&gt;&lt;wsp:rsid wsp:val=&quot;00695B0C&quot;/&gt;&lt;wsp:rsid wsp:val=&quot;00695F3C&quot;/&gt;&lt;wsp:rsid wsp:val=&quot;0069625B&quot;/&gt;&lt;wsp:rsid wsp:val=&quot;00696525&quot;/&gt;&lt;wsp:rsid wsp:val=&quot;00696657&quot;/&gt;&lt;wsp:rsid wsp:val=&quot;006966BB&quot;/&gt;&lt;wsp:rsid wsp:val=&quot;00696F99&quot;/&gt;&lt;wsp:rsid wsp:val=&quot;00697280&quot;/&gt;&lt;wsp:rsid wsp:val=&quot;00697553&quot;/&gt;&lt;wsp:rsid wsp:val=&quot;00697731&quot;/&gt;&lt;wsp:rsid wsp:val=&quot;00697D69&quot;/&gt;&lt;wsp:rsid wsp:val=&quot;006A07B0&quot;/&gt;&lt;wsp:rsid wsp:val=&quot;006A0B33&quot;/&gt;&lt;wsp:rsid wsp:val=&quot;006A0D22&quot;/&gt;&lt;wsp:rsid wsp:val=&quot;006A0EE8&quot;/&gt;&lt;wsp:rsid wsp:val=&quot;006A10FD&quot;/&gt;&lt;wsp:rsid wsp:val=&quot;006A154A&quot;/&gt;&lt;wsp:rsid wsp:val=&quot;006A183A&quot;/&gt;&lt;wsp:rsid wsp:val=&quot;006A1BD3&quot;/&gt;&lt;wsp:rsid wsp:val=&quot;006A1F30&quot;/&gt;&lt;wsp:rsid wsp:val=&quot;006A1FCF&quot;/&gt;&lt;wsp:rsid wsp:val=&quot;006A24BD&quot;/&gt;&lt;wsp:rsid wsp:val=&quot;006A2538&quot;/&gt;&lt;wsp:rsid wsp:val=&quot;006A275F&quot;/&gt;&lt;wsp:rsid wsp:val=&quot;006A27D9&quot;/&gt;&lt;wsp:rsid wsp:val=&quot;006A2A5E&quot;/&gt;&lt;wsp:rsid wsp:val=&quot;006A2E58&quot;/&gt;&lt;wsp:rsid wsp:val=&quot;006A2E8D&quot;/&gt;&lt;wsp:rsid wsp:val=&quot;006A3080&quot;/&gt;&lt;wsp:rsid wsp:val=&quot;006A30B7&quot;/&gt;&lt;wsp:rsid wsp:val=&quot;006A3443&quot;/&gt;&lt;wsp:rsid wsp:val=&quot;006A350D&quot;/&gt;&lt;wsp:rsid wsp:val=&quot;006A376F&quot;/&gt;&lt;wsp:rsid wsp:val=&quot;006A3796&quot;/&gt;&lt;wsp:rsid wsp:val=&quot;006A37EF&quot;/&gt;&lt;wsp:rsid wsp:val=&quot;006A3D61&quot;/&gt;&lt;wsp:rsid wsp:val=&quot;006A3D77&quot;/&gt;&lt;wsp:rsid wsp:val=&quot;006A4B64&quot;/&gt;&lt;wsp:rsid wsp:val=&quot;006A4D14&quot;/&gt;&lt;wsp:rsid wsp:val=&quot;006A4E62&quot;/&gt;&lt;wsp:rsid wsp:val=&quot;006A4EB8&quot;/&gt;&lt;wsp:rsid wsp:val=&quot;006A4F4B&quot;/&gt;&lt;wsp:rsid wsp:val=&quot;006A5004&quot;/&gt;&lt;wsp:rsid wsp:val=&quot;006A53B7&quot;/&gt;&lt;wsp:rsid wsp:val=&quot;006A53F0&quot;/&gt;&lt;wsp:rsid wsp:val=&quot;006A5469&quot;/&gt;&lt;wsp:rsid wsp:val=&quot;006A58AA&quot;/&gt;&lt;wsp:rsid wsp:val=&quot;006A6045&quot;/&gt;&lt;wsp:rsid wsp:val=&quot;006A60ED&quot;/&gt;&lt;wsp:rsid wsp:val=&quot;006A68A8&quot;/&gt;&lt;wsp:rsid wsp:val=&quot;006A6A47&quot;/&gt;&lt;wsp:rsid wsp:val=&quot;006A6E30&quot;/&gt;&lt;wsp:rsid wsp:val=&quot;006A6FDC&quot;/&gt;&lt;wsp:rsid wsp:val=&quot;006A706A&quot;/&gt;&lt;wsp:rsid wsp:val=&quot;006A70D8&quot;/&gt;&lt;wsp:rsid wsp:val=&quot;006A76ED&quot;/&gt;&lt;wsp:rsid wsp:val=&quot;006A77CF&quot;/&gt;&lt;wsp:rsid wsp:val=&quot;006A7DEC&quot;/&gt;&lt;wsp:rsid wsp:val=&quot;006B02DE&quot;/&gt;&lt;wsp:rsid wsp:val=&quot;006B034F&quot;/&gt;&lt;wsp:rsid wsp:val=&quot;006B038A&quot;/&gt;&lt;wsp:rsid wsp:val=&quot;006B0F8C&quot;/&gt;&lt;wsp:rsid wsp:val=&quot;006B0FC1&quot;/&gt;&lt;wsp:rsid wsp:val=&quot;006B10BC&quot;/&gt;&lt;wsp:rsid wsp:val=&quot;006B13A5&quot;/&gt;&lt;wsp:rsid wsp:val=&quot;006B18F3&quot;/&gt;&lt;wsp:rsid wsp:val=&quot;006B1927&quot;/&gt;&lt;wsp:rsid wsp:val=&quot;006B1FBD&quot;/&gt;&lt;wsp:rsid wsp:val=&quot;006B259B&quot;/&gt;&lt;wsp:rsid wsp:val=&quot;006B2A8B&quot;/&gt;&lt;wsp:rsid wsp:val=&quot;006B2F9E&quot;/&gt;&lt;wsp:rsid wsp:val=&quot;006B322F&quot;/&gt;&lt;wsp:rsid wsp:val=&quot;006B33D4&quot;/&gt;&lt;wsp:rsid wsp:val=&quot;006B373C&quot;/&gt;&lt;wsp:rsid wsp:val=&quot;006B376E&quot;/&gt;&lt;wsp:rsid wsp:val=&quot;006B3792&quot;/&gt;&lt;wsp:rsid wsp:val=&quot;006B40BB&quot;/&gt;&lt;wsp:rsid wsp:val=&quot;006B40EE&quot;/&gt;&lt;wsp:rsid wsp:val=&quot;006B44A3&quot;/&gt;&lt;wsp:rsid wsp:val=&quot;006B474C&quot;/&gt;&lt;wsp:rsid wsp:val=&quot;006B49F4&quot;/&gt;&lt;wsp:rsid wsp:val=&quot;006B4AB7&quot;/&gt;&lt;wsp:rsid wsp:val=&quot;006B5043&quot;/&gt;&lt;wsp:rsid wsp:val=&quot;006B51AE&quot;/&gt;&lt;wsp:rsid wsp:val=&quot;006B530D&quot;/&gt;&lt;wsp:rsid wsp:val=&quot;006B53EE&quot;/&gt;&lt;wsp:rsid wsp:val=&quot;006B54D5&quot;/&gt;&lt;wsp:rsid wsp:val=&quot;006B595C&quot;/&gt;&lt;wsp:rsid wsp:val=&quot;006B5B02&quot;/&gt;&lt;wsp:rsid wsp:val=&quot;006B5B3E&quot;/&gt;&lt;wsp:rsid wsp:val=&quot;006B6138&quot;/&gt;&lt;wsp:rsid wsp:val=&quot;006B660F&quot;/&gt;&lt;wsp:rsid wsp:val=&quot;006B67A5&quot;/&gt;&lt;wsp:rsid wsp:val=&quot;006B69B9&quot;/&gt;&lt;wsp:rsid wsp:val=&quot;006B6A63&quot;/&gt;&lt;wsp:rsid wsp:val=&quot;006B6C85&quot;/&gt;&lt;wsp:rsid wsp:val=&quot;006B6ECE&quot;/&gt;&lt;wsp:rsid wsp:val=&quot;006B6F30&quot;/&gt;&lt;wsp:rsid wsp:val=&quot;006B76FD&quot;/&gt;&lt;wsp:rsid wsp:val=&quot;006B7AD4&quot;/&gt;&lt;wsp:rsid wsp:val=&quot;006C00BF&quot;/&gt;&lt;wsp:rsid wsp:val=&quot;006C0191&quot;/&gt;&lt;wsp:rsid wsp:val=&quot;006C01B1&quot;/&gt;&lt;wsp:rsid wsp:val=&quot;006C05C4&quot;/&gt;&lt;wsp:rsid wsp:val=&quot;006C062C&quot;/&gt;&lt;wsp:rsid wsp:val=&quot;006C0771&quot;/&gt;&lt;wsp:rsid wsp:val=&quot;006C1095&quot;/&gt;&lt;wsp:rsid wsp:val=&quot;006C12C6&quot;/&gt;&lt;wsp:rsid wsp:val=&quot;006C1522&quot;/&gt;&lt;wsp:rsid wsp:val=&quot;006C1ECD&quot;/&gt;&lt;wsp:rsid wsp:val=&quot;006C20A0&quot;/&gt;&lt;wsp:rsid wsp:val=&quot;006C2549&quot;/&gt;&lt;wsp:rsid wsp:val=&quot;006C254F&quot;/&gt;&lt;wsp:rsid wsp:val=&quot;006C2893&quot;/&gt;&lt;wsp:rsid wsp:val=&quot;006C2AA7&quot;/&gt;&lt;wsp:rsid wsp:val=&quot;006C2BEC&quot;/&gt;&lt;wsp:rsid wsp:val=&quot;006C33CE&quot;/&gt;&lt;wsp:rsid wsp:val=&quot;006C357C&quot;/&gt;&lt;wsp:rsid wsp:val=&quot;006C361E&quot;/&gt;&lt;wsp:rsid wsp:val=&quot;006C3ED3&quot;/&gt;&lt;wsp:rsid wsp:val=&quot;006C5141&quot;/&gt;&lt;wsp:rsid wsp:val=&quot;006C5191&quot;/&gt;&lt;wsp:rsid wsp:val=&quot;006C5F7C&quot;/&gt;&lt;wsp:rsid wsp:val=&quot;006C6093&quot;/&gt;&lt;wsp:rsid wsp:val=&quot;006C669D&quot;/&gt;&lt;wsp:rsid wsp:val=&quot;006C6EC7&quot;/&gt;&lt;wsp:rsid wsp:val=&quot;006C77A2&quot;/&gt;&lt;wsp:rsid wsp:val=&quot;006C7ABE&quot;/&gt;&lt;wsp:rsid wsp:val=&quot;006C7C3B&quot;/&gt;&lt;wsp:rsid wsp:val=&quot;006D0013&quot;/&gt;&lt;wsp:rsid wsp:val=&quot;006D081C&quot;/&gt;&lt;wsp:rsid wsp:val=&quot;006D15EF&quot;/&gt;&lt;wsp:rsid wsp:val=&quot;006D1757&quot;/&gt;&lt;wsp:rsid wsp:val=&quot;006D1C73&quot;/&gt;&lt;wsp:rsid wsp:val=&quot;006D1E4A&quot;/&gt;&lt;wsp:rsid wsp:val=&quot;006D209C&quot;/&gt;&lt;wsp:rsid wsp:val=&quot;006D226C&quot;/&gt;&lt;wsp:rsid wsp:val=&quot;006D26AD&quot;/&gt;&lt;wsp:rsid wsp:val=&quot;006D2947&quot;/&gt;&lt;wsp:rsid wsp:val=&quot;006D2A72&quot;/&gt;&lt;wsp:rsid wsp:val=&quot;006D2A7F&quot;/&gt;&lt;wsp:rsid wsp:val=&quot;006D2B78&quot;/&gt;&lt;wsp:rsid wsp:val=&quot;006D2E52&quot;/&gt;&lt;wsp:rsid wsp:val=&quot;006D36E8&quot;/&gt;&lt;wsp:rsid wsp:val=&quot;006D3E7D&quot;/&gt;&lt;wsp:rsid wsp:val=&quot;006D3F95&quot;/&gt;&lt;wsp:rsid wsp:val=&quot;006D410B&quot;/&gt;&lt;wsp:rsid wsp:val=&quot;006D43AB&quot;/&gt;&lt;wsp:rsid wsp:val=&quot;006D4695&quot;/&gt;&lt;wsp:rsid wsp:val=&quot;006D4746&quot;/&gt;&lt;wsp:rsid wsp:val=&quot;006D54A3&quot;/&gt;&lt;wsp:rsid wsp:val=&quot;006D54E8&quot;/&gt;&lt;wsp:rsid wsp:val=&quot;006D636C&quot;/&gt;&lt;wsp:rsid wsp:val=&quot;006D63D7&quot;/&gt;&lt;wsp:rsid wsp:val=&quot;006D685E&quot;/&gt;&lt;wsp:rsid wsp:val=&quot;006D68DB&quot;/&gt;&lt;wsp:rsid wsp:val=&quot;006D6A1E&quot;/&gt;&lt;wsp:rsid wsp:val=&quot;006D6C69&quot;/&gt;&lt;wsp:rsid wsp:val=&quot;006D6D66&quot;/&gt;&lt;wsp:rsid wsp:val=&quot;006D6EB7&quot;/&gt;&lt;wsp:rsid wsp:val=&quot;006D7689&quot;/&gt;&lt;wsp:rsid wsp:val=&quot;006E0634&quot;/&gt;&lt;wsp:rsid wsp:val=&quot;006E086C&quot;/&gt;&lt;wsp:rsid wsp:val=&quot;006E180D&quot;/&gt;&lt;wsp:rsid wsp:val=&quot;006E18EA&quot;/&gt;&lt;wsp:rsid wsp:val=&quot;006E1DFB&quot;/&gt;&lt;wsp:rsid wsp:val=&quot;006E1E8E&quot;/&gt;&lt;wsp:rsid wsp:val=&quot;006E26A7&quot;/&gt;&lt;wsp:rsid wsp:val=&quot;006E2832&quot;/&gt;&lt;wsp:rsid wsp:val=&quot;006E2EA0&quot;/&gt;&lt;wsp:rsid wsp:val=&quot;006E311D&quot;/&gt;&lt;wsp:rsid wsp:val=&quot;006E320C&quot;/&gt;&lt;wsp:rsid wsp:val=&quot;006E3245&quot;/&gt;&lt;wsp:rsid wsp:val=&quot;006E33A2&quot;/&gt;&lt;wsp:rsid wsp:val=&quot;006E35DA&quot;/&gt;&lt;wsp:rsid wsp:val=&quot;006E371D&quot;/&gt;&lt;wsp:rsid wsp:val=&quot;006E39D3&quot;/&gt;&lt;wsp:rsid wsp:val=&quot;006E3A49&quot;/&gt;&lt;wsp:rsid wsp:val=&quot;006E3C78&quot;/&gt;&lt;wsp:rsid wsp:val=&quot;006E41FB&quot;/&gt;&lt;wsp:rsid wsp:val=&quot;006E4295&quot;/&gt;&lt;wsp:rsid wsp:val=&quot;006E439A&quot;/&gt;&lt;wsp:rsid wsp:val=&quot;006E4844&quot;/&gt;&lt;wsp:rsid wsp:val=&quot;006E4B63&quot;/&gt;&lt;wsp:rsid wsp:val=&quot;006E4CD3&quot;/&gt;&lt;wsp:rsid wsp:val=&quot;006E4F57&quot;/&gt;&lt;wsp:rsid wsp:val=&quot;006E521E&quot;/&gt;&lt;wsp:rsid wsp:val=&quot;006E54C7&quot;/&gt;&lt;wsp:rsid wsp:val=&quot;006E58C0&quot;/&gt;&lt;wsp:rsid wsp:val=&quot;006E5A2F&quot;/&gt;&lt;wsp:rsid wsp:val=&quot;006E5A89&quot;/&gt;&lt;wsp:rsid wsp:val=&quot;006E5C7C&quot;/&gt;&lt;wsp:rsid wsp:val=&quot;006E5D25&quot;/&gt;&lt;wsp:rsid wsp:val=&quot;006E5D9B&quot;/&gt;&lt;wsp:rsid wsp:val=&quot;006E6D4F&quot;/&gt;&lt;wsp:rsid wsp:val=&quot;006E6D51&quot;/&gt;&lt;wsp:rsid wsp:val=&quot;006E6E20&quot;/&gt;&lt;wsp:rsid wsp:val=&quot;006E6E2A&quot;/&gt;&lt;wsp:rsid wsp:val=&quot;006E7567&quot;/&gt;&lt;wsp:rsid wsp:val=&quot;006F00AE&quot;/&gt;&lt;wsp:rsid wsp:val=&quot;006F07E7&quot;/&gt;&lt;wsp:rsid wsp:val=&quot;006F07E8&quot;/&gt;&lt;wsp:rsid wsp:val=&quot;006F0B29&quot;/&gt;&lt;wsp:rsid wsp:val=&quot;006F0BB2&quot;/&gt;&lt;wsp:rsid wsp:val=&quot;006F1257&quot;/&gt;&lt;wsp:rsid wsp:val=&quot;006F130F&quot;/&gt;&lt;wsp:rsid wsp:val=&quot;006F1669&quot;/&gt;&lt;wsp:rsid wsp:val=&quot;006F1828&quot;/&gt;&lt;wsp:rsid wsp:val=&quot;006F18DE&quot;/&gt;&lt;wsp:rsid wsp:val=&quot;006F1C57&quot;/&gt;&lt;wsp:rsid wsp:val=&quot;006F1E5F&quot;/&gt;&lt;wsp:rsid wsp:val=&quot;006F2839&quot;/&gt;&lt;wsp:rsid wsp:val=&quot;006F291C&quot;/&gt;&lt;wsp:rsid wsp:val=&quot;006F2D5F&quot;/&gt;&lt;wsp:rsid wsp:val=&quot;006F3637&quot;/&gt;&lt;wsp:rsid wsp:val=&quot;006F4419&quot;/&gt;&lt;wsp:rsid wsp:val=&quot;006F4495&quot;/&gt;&lt;wsp:rsid wsp:val=&quot;006F4E97&quot;/&gt;&lt;wsp:rsid wsp:val=&quot;006F5710&quot;/&gt;&lt;wsp:rsid wsp:val=&quot;006F5796&quot;/&gt;&lt;wsp:rsid wsp:val=&quot;006F5A23&quot;/&gt;&lt;wsp:rsid wsp:val=&quot;006F5D32&quot;/&gt;&lt;wsp:rsid wsp:val=&quot;006F5E6B&quot;/&gt;&lt;wsp:rsid wsp:val=&quot;006F5F7E&quot;/&gt;&lt;wsp:rsid wsp:val=&quot;006F61A7&quot;/&gt;&lt;wsp:rsid wsp:val=&quot;006F66DD&quot;/&gt;&lt;wsp:rsid wsp:val=&quot;006F6F6C&quot;/&gt;&lt;wsp:rsid wsp:val=&quot;006F74DE&quot;/&gt;&lt;wsp:rsid wsp:val=&quot;006F769C&quot;/&gt;&lt;wsp:rsid wsp:val=&quot;006F7778&quot;/&gt;&lt;wsp:rsid wsp:val=&quot;006F7CA7&quot;/&gt;&lt;wsp:rsid wsp:val=&quot;00700907&quot;/&gt;&lt;wsp:rsid wsp:val=&quot;00700C00&quot;/&gt;&lt;wsp:rsid wsp:val=&quot;00700D1A&quot;/&gt;&lt;wsp:rsid wsp:val=&quot;007013F4&quot;/&gt;&lt;wsp:rsid wsp:val=&quot;00701714&quot;/&gt;&lt;wsp:rsid wsp:val=&quot;007017F4&quot;/&gt;&lt;wsp:rsid wsp:val=&quot;00701BD4&quot;/&gt;&lt;wsp:rsid wsp:val=&quot;00701E52&quot;/&gt;&lt;wsp:rsid wsp:val=&quot;007020AC&quot;/&gt;&lt;wsp:rsid wsp:val=&quot;007027F1&quot;/&gt;&lt;wsp:rsid wsp:val=&quot;00702D57&quot;/&gt;&lt;wsp:rsid wsp:val=&quot;00702EDD&quot;/&gt;&lt;wsp:rsid wsp:val=&quot;00703226&quot;/&gt;&lt;wsp:rsid wsp:val=&quot;00703705&quot;/&gt;&lt;wsp:rsid wsp:val=&quot;0070387D&quot;/&gt;&lt;wsp:rsid wsp:val=&quot;00703A1B&quot;/&gt;&lt;wsp:rsid wsp:val=&quot;0070411E&quot;/&gt;&lt;wsp:rsid wsp:val=&quot;007042E0&quot;/&gt;&lt;wsp:rsid wsp:val=&quot;007044B9&quot;/&gt;&lt;wsp:rsid wsp:val=&quot;00704D54&quot;/&gt;&lt;wsp:rsid wsp:val=&quot;00705021&quot;/&gt;&lt;wsp:rsid wsp:val=&quot;007051F7&quot;/&gt;&lt;wsp:rsid wsp:val=&quot;00705341&quot;/&gt;&lt;wsp:rsid wsp:val=&quot;0070545F&quot;/&gt;&lt;wsp:rsid wsp:val=&quot;00705FC5&quot;/&gt;&lt;wsp:rsid wsp:val=&quot;00705FD4&quot;/&gt;&lt;wsp:rsid wsp:val=&quot;0070670F&quot;/&gt;&lt;wsp:rsid wsp:val=&quot;00707129&quot;/&gt;&lt;wsp:rsid wsp:val=&quot;007075A4&quot;/&gt;&lt;wsp:rsid wsp:val=&quot;00707623&quot;/&gt;&lt;wsp:rsid wsp:val=&quot;00707C79&quot;/&gt;&lt;wsp:rsid wsp:val=&quot;00707E25&quot;/&gt;&lt;wsp:rsid wsp:val=&quot;00707F4F&quot;/&gt;&lt;wsp:rsid wsp:val=&quot;00710A6A&quot;/&gt;&lt;wsp:rsid wsp:val=&quot;00710BE7&quot;/&gt;&lt;wsp:rsid wsp:val=&quot;00711A58&quot;/&gt;&lt;wsp:rsid wsp:val=&quot;00711BB1&quot;/&gt;&lt;wsp:rsid wsp:val=&quot;00712131&quot;/&gt;&lt;wsp:rsid wsp:val=&quot;007125C5&quot;/&gt;&lt;wsp:rsid wsp:val=&quot;007126F3&quot;/&gt;&lt;wsp:rsid wsp:val=&quot;00712CF5&quot;/&gt;&lt;wsp:rsid wsp:val=&quot;007133A4&quot;/&gt;&lt;wsp:rsid wsp:val=&quot;00713762&quot;/&gt;&lt;wsp:rsid wsp:val=&quot;00713A6C&quot;/&gt;&lt;wsp:rsid wsp:val=&quot;00714097&quot;/&gt;&lt;wsp:rsid wsp:val=&quot;007144E2&quot;/&gt;&lt;wsp:rsid wsp:val=&quot;007145A0&quot;/&gt;&lt;wsp:rsid wsp:val=&quot;00714960&quot;/&gt;&lt;wsp:rsid wsp:val=&quot;00714B14&quot;/&gt;&lt;wsp:rsid wsp:val=&quot;00714B81&quot;/&gt;&lt;wsp:rsid wsp:val=&quot;00714BC7&quot;/&gt;&lt;wsp:rsid wsp:val=&quot;00714D74&quot;/&gt;&lt;wsp:rsid wsp:val=&quot;007153E9&quot;/&gt;&lt;wsp:rsid wsp:val=&quot;007156FA&quot;/&gt;&lt;wsp:rsid wsp:val=&quot;007159BC&quot;/&gt;&lt;wsp:rsid wsp:val=&quot;007159D5&quot;/&gt;&lt;wsp:rsid wsp:val=&quot;00715DCF&quot;/&gt;&lt;wsp:rsid wsp:val=&quot;00715E2C&quot;/&gt;&lt;wsp:rsid wsp:val=&quot;00715E71&quot;/&gt;&lt;wsp:rsid wsp:val=&quot;00716358&quot;/&gt;&lt;wsp:rsid wsp:val=&quot;00716B47&quot;/&gt;&lt;wsp:rsid wsp:val=&quot;00716E9F&quot;/&gt;&lt;wsp:rsid wsp:val=&quot;007170C2&quot;/&gt;&lt;wsp:rsid wsp:val=&quot;0071733E&quot;/&gt;&lt;wsp:rsid wsp:val=&quot;00717779&quot;/&gt;&lt;wsp:rsid wsp:val=&quot;00717848&quot;/&gt;&lt;wsp:rsid wsp:val=&quot;00717D5F&quot;/&gt;&lt;wsp:rsid wsp:val=&quot;00717EFA&quot;/&gt;&lt;wsp:rsid wsp:val=&quot;00720301&quot;/&gt;&lt;wsp:rsid wsp:val=&quot;0072051C&quot;/&gt;&lt;wsp:rsid wsp:val=&quot;00720AAA&quot;/&gt;&lt;wsp:rsid wsp:val=&quot;00720D20&quot;/&gt;&lt;wsp:rsid wsp:val=&quot;00720E75&quot;/&gt;&lt;wsp:rsid wsp:val=&quot;00720ECB&quot;/&gt;&lt;wsp:rsid wsp:val=&quot;00720F71&quot;/&gt;&lt;wsp:rsid wsp:val=&quot;00721566&quot;/&gt;&lt;wsp:rsid wsp:val=&quot;00721717&quot;/&gt;&lt;wsp:rsid wsp:val=&quot;007218D9&quot;/&gt;&lt;wsp:rsid wsp:val=&quot;00721DC7&quot;/&gt;&lt;wsp:rsid wsp:val=&quot;0072220F&quot;/&gt;&lt;wsp:rsid wsp:val=&quot;00722AB5&quot;/&gt;&lt;wsp:rsid wsp:val=&quot;00722BBE&quot;/&gt;&lt;wsp:rsid wsp:val=&quot;00722C32&quot;/&gt;&lt;wsp:rsid wsp:val=&quot;00722CA8&quot;/&gt;&lt;wsp:rsid wsp:val=&quot;00723034&quot;/&gt;&lt;wsp:rsid wsp:val=&quot;007231FF&quot;/&gt;&lt;wsp:rsid wsp:val=&quot;00723360&quot;/&gt;&lt;wsp:rsid wsp:val=&quot;007234D9&quot;/&gt;&lt;wsp:rsid wsp:val=&quot;00723698&quot;/&gt;&lt;wsp:rsid wsp:val=&quot;00723858&quot;/&gt;&lt;wsp:rsid wsp:val=&quot;00723DB1&quot;/&gt;&lt;wsp:rsid wsp:val=&quot;00724343&quot;/&gt;&lt;wsp:rsid wsp:val=&quot;007247BE&quot;/&gt;&lt;wsp:rsid wsp:val=&quot;007248AD&quot;/&gt;&lt;wsp:rsid wsp:val=&quot;00724F79&quot;/&gt;&lt;wsp:rsid wsp:val=&quot;00725728&quot;/&gt;&lt;wsp:rsid wsp:val=&quot;007258DE&quot;/&gt;&lt;wsp:rsid wsp:val=&quot;00725C8F&quot;/&gt;&lt;wsp:rsid wsp:val=&quot;00725CB7&quot;/&gt;&lt;wsp:rsid wsp:val=&quot;00726540&quot;/&gt;&lt;wsp:rsid wsp:val=&quot;00726643&quot;/&gt;&lt;wsp:rsid wsp:val=&quot;00726775&quot;/&gt;&lt;wsp:rsid wsp:val=&quot;00726832&quot;/&gt;&lt;wsp:rsid wsp:val=&quot;00726C96&quot;/&gt;&lt;wsp:rsid wsp:val=&quot;00726DEE&quot;/&gt;&lt;wsp:rsid wsp:val=&quot;00726F22&quot;/&gt;&lt;wsp:rsid wsp:val=&quot;0072712D&quot;/&gt;&lt;wsp:rsid wsp:val=&quot;007276D4&quot;/&gt;&lt;wsp:rsid wsp:val=&quot;00727975&quot;/&gt;&lt;wsp:rsid wsp:val=&quot;00727D72&quot;/&gt;&lt;wsp:rsid wsp:val=&quot;00727E44&quot;/&gt;&lt;wsp:rsid wsp:val=&quot;0073045A&quot;/&gt;&lt;wsp:rsid wsp:val=&quot;00730487&quot;/&gt;&lt;wsp:rsid wsp:val=&quot;00730527&quot;/&gt;&lt;wsp:rsid wsp:val=&quot;00730CE2&quot;/&gt;&lt;wsp:rsid wsp:val=&quot;00731069&quot;/&gt;&lt;wsp:rsid wsp:val=&quot;0073158E&quot;/&gt;&lt;wsp:rsid wsp:val=&quot;007316AC&quot;/&gt;&lt;wsp:rsid wsp:val=&quot;00731AB7&quot;/&gt;&lt;wsp:rsid wsp:val=&quot;00731DBA&quot;/&gt;&lt;wsp:rsid wsp:val=&quot;00732375&quot;/&gt;&lt;wsp:rsid wsp:val=&quot;00732535&quot;/&gt;&lt;wsp:rsid wsp:val=&quot;007328C7&quot;/&gt;&lt;wsp:rsid wsp:val=&quot;00732A0B&quot;/&gt;&lt;wsp:rsid wsp:val=&quot;00732AA4&quot;/&gt;&lt;wsp:rsid wsp:val=&quot;00732D14&quot;/&gt;&lt;wsp:rsid wsp:val=&quot;00732ED4&quot;/&gt;&lt;wsp:rsid wsp:val=&quot;007333B4&quot;/&gt;&lt;wsp:rsid wsp:val=&quot;0073364D&quot;/&gt;&lt;wsp:rsid wsp:val=&quot;007336CF&quot;/&gt;&lt;wsp:rsid wsp:val=&quot;00733801&quot;/&gt;&lt;wsp:rsid wsp:val=&quot;00733804&quot;/&gt;&lt;wsp:rsid wsp:val=&quot;00733C32&quot;/&gt;&lt;wsp:rsid wsp:val=&quot;00733D0E&quot;/&gt;&lt;wsp:rsid wsp:val=&quot;00734556&quot;/&gt;&lt;wsp:rsid wsp:val=&quot;0073475A&quot;/&gt;&lt;wsp:rsid wsp:val=&quot;0073476E&quot;/&gt;&lt;wsp:rsid wsp:val=&quot;00734850&quot;/&gt;&lt;wsp:rsid wsp:val=&quot;00734ADF&quot;/&gt;&lt;wsp:rsid wsp:val=&quot;00734E89&quot;/&gt;&lt;wsp:rsid wsp:val=&quot;00734F23&quot;/&gt;&lt;wsp:rsid wsp:val=&quot;0073530E&quot;/&gt;&lt;wsp:rsid wsp:val=&quot;00735DB4&quot;/&gt;&lt;wsp:rsid wsp:val=&quot;00735DE3&quot;/&gt;&lt;wsp:rsid wsp:val=&quot;00736038&quot;/&gt;&lt;wsp:rsid wsp:val=&quot;007362F7&quot;/&gt;&lt;wsp:rsid wsp:val=&quot;0073654D&quot;/&gt;&lt;wsp:rsid wsp:val=&quot;007365A5&quot;/&gt;&lt;wsp:rsid wsp:val=&quot;007369BB&quot;/&gt;&lt;wsp:rsid wsp:val=&quot;007369C1&quot;/&gt;&lt;wsp:rsid wsp:val=&quot;007369D0&quot;/&gt;&lt;wsp:rsid wsp:val=&quot;00736A59&quot;/&gt;&lt;wsp:rsid wsp:val=&quot;0073718A&quot;/&gt;&lt;wsp:rsid wsp:val=&quot;007372BD&quot;/&gt;&lt;wsp:rsid wsp:val=&quot;007372F8&quot;/&gt;&lt;wsp:rsid wsp:val=&quot;007375D7&quot;/&gt;&lt;wsp:rsid wsp:val=&quot;007378B2&quot;/&gt;&lt;wsp:rsid wsp:val=&quot;007378FC&quot;/&gt;&lt;wsp:rsid wsp:val=&quot;00737A1C&quot;/&gt;&lt;wsp:rsid wsp:val=&quot;00737D10&quot;/&gt;&lt;wsp:rsid wsp:val=&quot;00737E00&quot;/&gt;&lt;wsp:rsid wsp:val=&quot;0074009A&quot;/&gt;&lt;wsp:rsid wsp:val=&quot;007401BD&quot;/&gt;&lt;wsp:rsid wsp:val=&quot;00740293&quot;/&gt;&lt;wsp:rsid wsp:val=&quot;00740509&quot;/&gt;&lt;wsp:rsid wsp:val=&quot;00740A70&quot;/&gt;&lt;wsp:rsid wsp:val=&quot;00740CF5&quot;/&gt;&lt;wsp:rsid wsp:val=&quot;007410A8&quot;/&gt;&lt;wsp:rsid wsp:val=&quot;0074117D&quot;/&gt;&lt;wsp:rsid wsp:val=&quot;0074170F&quot;/&gt;&lt;wsp:rsid wsp:val=&quot;007423C7&quot;/&gt;&lt;wsp:rsid wsp:val=&quot;00742573&quot;/&gt;&lt;wsp:rsid wsp:val=&quot;00742AE6&quot;/&gt;&lt;wsp:rsid wsp:val=&quot;00742F23&quot;/&gt;&lt;wsp:rsid wsp:val=&quot;00743205&quot;/&gt;&lt;wsp:rsid wsp:val=&quot;007432C3&quot;/&gt;&lt;wsp:rsid wsp:val=&quot;007436C2&quot;/&gt;&lt;wsp:rsid wsp:val=&quot;00743C1C&quot;/&gt;&lt;wsp:rsid wsp:val=&quot;00744224&quot;/&gt;&lt;wsp:rsid wsp:val=&quot;0074458F&quot;/&gt;&lt;wsp:rsid wsp:val=&quot;00744599&quot;/&gt;&lt;wsp:rsid wsp:val=&quot;0074542A&quot;/&gt;&lt;wsp:rsid wsp:val=&quot;007456B3&quot;/&gt;&lt;wsp:rsid wsp:val=&quot;00745A90&quot;/&gt;&lt;wsp:rsid wsp:val=&quot;00745BB5&quot;/&gt;&lt;wsp:rsid wsp:val=&quot;00745C45&quot;/&gt;&lt;wsp:rsid wsp:val=&quot;00745E43&quot;/&gt;&lt;wsp:rsid wsp:val=&quot;00745E84&quot;/&gt;&lt;wsp:rsid wsp:val=&quot;0074606C&quot;/&gt;&lt;wsp:rsid wsp:val=&quot;00746235&quot;/&gt;&lt;wsp:rsid wsp:val=&quot;007462D6&quot;/&gt;&lt;wsp:rsid wsp:val=&quot;0074641C&quot;/&gt;&lt;wsp:rsid wsp:val=&quot;00746441&quot;/&gt;&lt;wsp:rsid wsp:val=&quot;00746896&quot;/&gt;&lt;wsp:rsid wsp:val=&quot;0074697A&quot;/&gt;&lt;wsp:rsid wsp:val=&quot;00746AD9&quot;/&gt;&lt;wsp:rsid wsp:val=&quot;00747900&quot;/&gt;&lt;wsp:rsid wsp:val=&quot;00747BCE&quot;/&gt;&lt;wsp:rsid wsp:val=&quot;00747E96&quot;/&gt;&lt;wsp:rsid wsp:val=&quot;0075014A&quot;/&gt;&lt;wsp:rsid wsp:val=&quot;007508DC&quot;/&gt;&lt;wsp:rsid wsp:val=&quot;0075112E&quot;/&gt;&lt;wsp:rsid wsp:val=&quot;00751224&quot;/&gt;&lt;wsp:rsid wsp:val=&quot;007512C6&quot;/&gt;&lt;wsp:rsid wsp:val=&quot;00751394&quot;/&gt;&lt;wsp:rsid wsp:val=&quot;007513EF&quot;/&gt;&lt;wsp:rsid wsp:val=&quot;00751753&quot;/&gt;&lt;wsp:rsid wsp:val=&quot;00751B06&quot;/&gt;&lt;wsp:rsid wsp:val=&quot;00751C38&quot;/&gt;&lt;wsp:rsid wsp:val=&quot;00752BAE&quot;/&gt;&lt;wsp:rsid wsp:val=&quot;00752D85&quot;/&gt;&lt;wsp:rsid wsp:val=&quot;0075302E&quot;/&gt;&lt;wsp:rsid wsp:val=&quot;007536D0&quot;/&gt;&lt;wsp:rsid wsp:val=&quot;00753B06&quot;/&gt;&lt;wsp:rsid wsp:val=&quot;00753B30&quot;/&gt;&lt;wsp:rsid wsp:val=&quot;00753F1B&quot;/&gt;&lt;wsp:rsid wsp:val=&quot;00754243&quot;/&gt;&lt;wsp:rsid wsp:val=&quot;00754335&quot;/&gt;&lt;wsp:rsid wsp:val=&quot;00754F43&quot;/&gt;&lt;wsp:rsid wsp:val=&quot;00755225&quot;/&gt;&lt;wsp:rsid wsp:val=&quot;007554A3&quot;/&gt;&lt;wsp:rsid wsp:val=&quot;00755B84&quot;/&gt;&lt;wsp:rsid wsp:val=&quot;00755D24&quot;/&gt;&lt;wsp:rsid wsp:val=&quot;00756554&quot;/&gt;&lt;wsp:rsid wsp:val=&quot;00756F92&quot;/&gt;&lt;wsp:rsid wsp:val=&quot;00757024&quot;/&gt;&lt;wsp:rsid wsp:val=&quot;007571C5&quot;/&gt;&lt;wsp:rsid wsp:val=&quot;00757301&quot;/&gt;&lt;wsp:rsid wsp:val=&quot;0075733E&quot;/&gt;&lt;wsp:rsid wsp:val=&quot;00757D6C&quot;/&gt;&lt;wsp:rsid wsp:val=&quot;00757E2A&quot;/&gt;&lt;wsp:rsid wsp:val=&quot;00757E50&quot;/&gt;&lt;wsp:rsid wsp:val=&quot;0076005D&quot;/&gt;&lt;wsp:rsid wsp:val=&quot;00760420&quot;/&gt;&lt;wsp:rsid wsp:val=&quot;00760BD6&quot;/&gt;&lt;wsp:rsid wsp:val=&quot;00760BE7&quot;/&gt;&lt;wsp:rsid wsp:val=&quot;00760CE4&quot;/&gt;&lt;wsp:rsid wsp:val=&quot;00760EDD&quot;/&gt;&lt;wsp:rsid wsp:val=&quot;00761063&quot;/&gt;&lt;wsp:rsid wsp:val=&quot;00761912&quot;/&gt;&lt;wsp:rsid wsp:val=&quot;00761B07&quot;/&gt;&lt;wsp:rsid wsp:val=&quot;00761F1D&quot;/&gt;&lt;wsp:rsid wsp:val=&quot;00761FED&quot;/&gt;&lt;wsp:rsid wsp:val=&quot;0076227B&quot;/&gt;&lt;wsp:rsid wsp:val=&quot;00762318&quot;/&gt;&lt;wsp:rsid wsp:val=&quot;007623C9&quot;/&gt;&lt;wsp:rsid wsp:val=&quot;0076240E&quot;/&gt;&lt;wsp:rsid wsp:val=&quot;00762612&quot;/&gt;&lt;wsp:rsid wsp:val=&quot;00762CA7&quot;/&gt;&lt;wsp:rsid wsp:val=&quot;00762CF6&quot;/&gt;&lt;wsp:rsid wsp:val=&quot;00762ED6&quot;/&gt;&lt;wsp:rsid wsp:val=&quot;00763055&quot;/&gt;&lt;wsp:rsid wsp:val=&quot;00763252&quot;/&gt;&lt;wsp:rsid wsp:val=&quot;00763A2C&quot;/&gt;&lt;wsp:rsid wsp:val=&quot;00763B3C&quot;/&gt;&lt;wsp:rsid wsp:val=&quot;00763BC7&quot;/&gt;&lt;wsp:rsid wsp:val=&quot;00763D97&quot;/&gt;&lt;wsp:rsid wsp:val=&quot;00763F9F&quot;/&gt;&lt;wsp:rsid wsp:val=&quot;0076423F&quot;/&gt;&lt;wsp:rsid wsp:val=&quot;007643C0&quot;/&gt;&lt;wsp:rsid wsp:val=&quot;007643C5&quot;/&gt;&lt;wsp:rsid wsp:val=&quot;007646D3&quot;/&gt;&lt;wsp:rsid wsp:val=&quot;00764701&quot;/&gt;&lt;wsp:rsid wsp:val=&quot;00764862&quot;/&gt;&lt;wsp:rsid wsp:val=&quot;00764A8F&quot;/&gt;&lt;wsp:rsid wsp:val=&quot;00764B34&quot;/&gt;&lt;wsp:rsid wsp:val=&quot;00764C33&quot;/&gt;&lt;wsp:rsid wsp:val=&quot;00764D51&quot;/&gt;&lt;wsp:rsid wsp:val=&quot;00764D91&quot;/&gt;&lt;wsp:rsid wsp:val=&quot;00764DD5&quot;/&gt;&lt;wsp:rsid wsp:val=&quot;00764E3F&quot;/&gt;&lt;wsp:rsid wsp:val=&quot;00764FCE&quot;/&gt;&lt;wsp:rsid wsp:val=&quot;0076556F&quot;/&gt;&lt;wsp:rsid wsp:val=&quot;00765719&quot;/&gt;&lt;wsp:rsid wsp:val=&quot;00765832&quot;/&gt;&lt;wsp:rsid wsp:val=&quot;0076596A&quot;/&gt;&lt;wsp:rsid wsp:val=&quot;00765DBC&quot;/&gt;&lt;wsp:rsid wsp:val=&quot;0076670C&quot;/&gt;&lt;wsp:rsid wsp:val=&quot;00766EFE&quot;/&gt;&lt;wsp:rsid wsp:val=&quot;00767339&quot;/&gt;&lt;wsp:rsid wsp:val=&quot;00767E15&quot;/&gt;&lt;wsp:rsid wsp:val=&quot;00767EF4&quot;/&gt;&lt;wsp:rsid wsp:val=&quot;0077003D&quot;/&gt;&lt;wsp:rsid wsp:val=&quot;007708BC&quot;/&gt;&lt;wsp:rsid wsp:val=&quot;007712D3&quot;/&gt;&lt;wsp:rsid wsp:val=&quot;007713CB&quot;/&gt;&lt;wsp:rsid wsp:val=&quot;0077174E&quot;/&gt;&lt;wsp:rsid wsp:val=&quot;00771AE3&quot;/&gt;&lt;wsp:rsid wsp:val=&quot;00771B46&quot;/&gt;&lt;wsp:rsid wsp:val=&quot;0077205B&quot;/&gt;&lt;wsp:rsid wsp:val=&quot;007722DE&quot;/&gt;&lt;wsp:rsid wsp:val=&quot;00772770&quot;/&gt;&lt;wsp:rsid wsp:val=&quot;00772A5D&quot;/&gt;&lt;wsp:rsid wsp:val=&quot;00772B4D&quot;/&gt;&lt;wsp:rsid wsp:val=&quot;00772EF5&quot;/&gt;&lt;wsp:rsid wsp:val=&quot;0077325B&quot;/&gt;&lt;wsp:rsid wsp:val=&quot;007733FF&quot;/&gt;&lt;wsp:rsid wsp:val=&quot;0077341D&quot;/&gt;&lt;wsp:rsid wsp:val=&quot;007735EF&quot;/&gt;&lt;wsp:rsid wsp:val=&quot;0077368F&quot;/&gt;&lt;wsp:rsid wsp:val=&quot;007736B1&quot;/&gt;&lt;wsp:rsid wsp:val=&quot;007737C1&quot;/&gt;&lt;wsp:rsid wsp:val=&quot;00773CB5&quot;/&gt;&lt;wsp:rsid wsp:val=&quot;00773EE9&quot;/&gt;&lt;wsp:rsid wsp:val=&quot;00773F92&quot;/&gt;&lt;wsp:rsid wsp:val=&quot;00773FB6&quot;/&gt;&lt;wsp:rsid wsp:val=&quot;0077401E&quot;/&gt;&lt;wsp:rsid wsp:val=&quot;00774436&quot;/&gt;&lt;wsp:rsid wsp:val=&quot;00774BC0&quot;/&gt;&lt;wsp:rsid wsp:val=&quot;00774D56&quot;/&gt;&lt;wsp:rsid wsp:val=&quot;007750CC&quot;/&gt;&lt;wsp:rsid wsp:val=&quot;0077534F&quot;/&gt;&lt;wsp:rsid wsp:val=&quot;00775784&quot;/&gt;&lt;wsp:rsid wsp:val=&quot;007758D1&quot;/&gt;&lt;wsp:rsid wsp:val=&quot;00775A32&quot;/&gt;&lt;wsp:rsid wsp:val=&quot;00775AAA&quot;/&gt;&lt;wsp:rsid wsp:val=&quot;00775E17&quot;/&gt;&lt;wsp:rsid wsp:val=&quot;00775FE1&quot;/&gt;&lt;wsp:rsid wsp:val=&quot;00776037&quot;/&gt;&lt;wsp:rsid wsp:val=&quot;00776370&quot;/&gt;&lt;wsp:rsid wsp:val=&quot;007766CF&quot;/&gt;&lt;wsp:rsid wsp:val=&quot;00776D5E&quot;/&gt;&lt;wsp:rsid wsp:val=&quot;00776D66&quot;/&gt;&lt;wsp:rsid wsp:val=&quot;00777421&quot;/&gt;&lt;wsp:rsid wsp:val=&quot;007777D9&quot;/&gt;&lt;wsp:rsid wsp:val=&quot;007777EA&quot;/&gt;&lt;wsp:rsid wsp:val=&quot;007801B0&quot;/&gt;&lt;wsp:rsid wsp:val=&quot;007803DE&quot;/&gt;&lt;wsp:rsid wsp:val=&quot;00780725&quot;/&gt;&lt;wsp:rsid wsp:val=&quot;00780C90&quot;/&gt;&lt;wsp:rsid wsp:val=&quot;00780F45&quot;/&gt;&lt;wsp:rsid wsp:val=&quot;00780F93&quot;/&gt;&lt;wsp:rsid wsp:val=&quot;00781180&quot;/&gt;&lt;wsp:rsid wsp:val=&quot;007812D4&quot;/&gt;&lt;wsp:rsid wsp:val=&quot;0078134A&quot;/&gt;&lt;wsp:rsid wsp:val=&quot;00781E85&quot;/&gt;&lt;wsp:rsid wsp:val=&quot;007822F1&quot;/&gt;&lt;wsp:rsid wsp:val=&quot;007825AC&quot;/&gt;&lt;wsp:rsid wsp:val=&quot;0078282E&quot;/&gt;&lt;wsp:rsid wsp:val=&quot;0078289F&quot;/&gt;&lt;wsp:rsid wsp:val=&quot;00782E11&quot;/&gt;&lt;wsp:rsid wsp:val=&quot;0078331E&quot;/&gt;&lt;wsp:rsid wsp:val=&quot;00783528&quot;/&gt;&lt;wsp:rsid wsp:val=&quot;0078376F&quot;/&gt;&lt;wsp:rsid wsp:val=&quot;007839B8&quot;/&gt;&lt;wsp:rsid wsp:val=&quot;007847FD&quot;/&gt;&lt;wsp:rsid wsp:val=&quot;0078487F&quot;/&gt;&lt;wsp:rsid wsp:val=&quot;00784AAE&quot;/&gt;&lt;wsp:rsid wsp:val=&quot;007850AF&quot;/&gt;&lt;wsp:rsid wsp:val=&quot;0078552C&quot;/&gt;&lt;wsp:rsid wsp:val=&quot;00785862&quot;/&gt;&lt;wsp:rsid wsp:val=&quot;00785AA9&quot;/&gt;&lt;wsp:rsid wsp:val=&quot;00785AD3&quot;/&gt;&lt;wsp:rsid wsp:val=&quot;00785DA7&quot;/&gt;&lt;wsp:rsid wsp:val=&quot;00785F57&quot;/&gt;&lt;wsp:rsid wsp:val=&quot;00786231&quot;/&gt;&lt;wsp:rsid wsp:val=&quot;00786707&quot;/&gt;&lt;wsp:rsid wsp:val=&quot;00786A04&quot;/&gt;&lt;wsp:rsid wsp:val=&quot;00786BB2&quot;/&gt;&lt;wsp:rsid wsp:val=&quot;00787174&quot;/&gt;&lt;wsp:rsid wsp:val=&quot;007872C0&quot;/&gt;&lt;wsp:rsid wsp:val=&quot;00787318&quot;/&gt;&lt;wsp:rsid wsp:val=&quot;00787440&quot;/&gt;&lt;wsp:rsid wsp:val=&quot;00787935&quot;/&gt;&lt;wsp:rsid wsp:val=&quot;00787A5A&quot;/&gt;&lt;wsp:rsid wsp:val=&quot;00787E07&quot;/&gt;&lt;wsp:rsid wsp:val=&quot;007903D7&quot;/&gt;&lt;wsp:rsid wsp:val=&quot;007907DA&quot;/&gt;&lt;wsp:rsid wsp:val=&quot;00790922&quot;/&gt;&lt;wsp:rsid wsp:val=&quot;00790AD6&quot;/&gt;&lt;wsp:rsid wsp:val=&quot;00790B02&quot;/&gt;&lt;wsp:rsid wsp:val=&quot;00790E0B&quot;/&gt;&lt;wsp:rsid wsp:val=&quot;00791069&quot;/&gt;&lt;wsp:rsid wsp:val=&quot;007922A2&quot;/&gt;&lt;wsp:rsid wsp:val=&quot;00792975&quot;/&gt;&lt;wsp:rsid wsp:val=&quot;00792A32&quot;/&gt;&lt;wsp:rsid wsp:val=&quot;00792BE9&quot;/&gt;&lt;wsp:rsid wsp:val=&quot;00792C66&quot;/&gt;&lt;wsp:rsid wsp:val=&quot;00792F7E&quot;/&gt;&lt;wsp:rsid wsp:val=&quot;00792FEE&quot;/&gt;&lt;wsp:rsid wsp:val=&quot;0079373C&quot;/&gt;&lt;wsp:rsid wsp:val=&quot;00793773&quot;/&gt;&lt;wsp:rsid wsp:val=&quot;00793DA9&quot;/&gt;&lt;wsp:rsid wsp:val=&quot;00794559&quot;/&gt;&lt;wsp:rsid wsp:val=&quot;0079487B&quot;/&gt;&lt;wsp:rsid wsp:val=&quot;00794BC0&quot;/&gt;&lt;wsp:rsid wsp:val=&quot;00794BEC&quot;/&gt;&lt;wsp:rsid wsp:val=&quot;00794EF8&quot;/&gt;&lt;wsp:rsid wsp:val=&quot;00795215&quot;/&gt;&lt;wsp:rsid wsp:val=&quot;0079539F&quot;/&gt;&lt;wsp:rsid wsp:val=&quot;00795433&quot;/&gt;&lt;wsp:rsid wsp:val=&quot;0079573F&quot;/&gt;&lt;wsp:rsid wsp:val=&quot;00795EF8&quot;/&gt;&lt;wsp:rsid wsp:val=&quot;0079662D&quot;/&gt;&lt;wsp:rsid wsp:val=&quot;00796954&quot;/&gt;&lt;wsp:rsid wsp:val=&quot;007969A1&quot;/&gt;&lt;wsp:rsid wsp:val=&quot;00797587&quot;/&gt;&lt;wsp:rsid wsp:val=&quot;0079772A&quot;/&gt;&lt;wsp:rsid wsp:val=&quot;007977EE&quot;/&gt;&lt;wsp:rsid wsp:val=&quot;007A03CB&quot;/&gt;&lt;wsp:rsid wsp:val=&quot;007A046B&quot;/&gt;&lt;wsp:rsid wsp:val=&quot;007A0493&quot;/&gt;&lt;wsp:rsid wsp:val=&quot;007A0658&quot;/&gt;&lt;wsp:rsid wsp:val=&quot;007A0677&quot;/&gt;&lt;wsp:rsid wsp:val=&quot;007A19BF&quot;/&gt;&lt;wsp:rsid wsp:val=&quot;007A1CE1&quot;/&gt;&lt;wsp:rsid wsp:val=&quot;007A209B&quot;/&gt;&lt;wsp:rsid wsp:val=&quot;007A24DC&quot;/&gt;&lt;wsp:rsid wsp:val=&quot;007A29D5&quot;/&gt;&lt;wsp:rsid wsp:val=&quot;007A2AFD&quot;/&gt;&lt;wsp:rsid wsp:val=&quot;007A2E34&quot;/&gt;&lt;wsp:rsid wsp:val=&quot;007A2F54&quot;/&gt;&lt;wsp:rsid wsp:val=&quot;007A340D&quot;/&gt;&lt;wsp:rsid wsp:val=&quot;007A3481&quot;/&gt;&lt;wsp:rsid wsp:val=&quot;007A353A&quot;/&gt;&lt;wsp:rsid wsp:val=&quot;007A39E2&quot;/&gt;&lt;wsp:rsid wsp:val=&quot;007A3A60&quot;/&gt;&lt;wsp:rsid wsp:val=&quot;007A3C15&quot;/&gt;&lt;wsp:rsid wsp:val=&quot;007A4178&quot;/&gt;&lt;wsp:rsid wsp:val=&quot;007A435C&quot;/&gt;&lt;wsp:rsid wsp:val=&quot;007A586B&quot;/&gt;&lt;wsp:rsid wsp:val=&quot;007A6453&quot;/&gt;&lt;wsp:rsid wsp:val=&quot;007A677B&quot;/&gt;&lt;wsp:rsid wsp:val=&quot;007A6A0B&quot;/&gt;&lt;wsp:rsid wsp:val=&quot;007A6E31&quot;/&gt;&lt;wsp:rsid wsp:val=&quot;007A6FE8&quot;/&gt;&lt;wsp:rsid wsp:val=&quot;007A72AA&quot;/&gt;&lt;wsp:rsid wsp:val=&quot;007A72EC&quot;/&gt;&lt;wsp:rsid wsp:val=&quot;007A73A7&quot;/&gt;&lt;wsp:rsid wsp:val=&quot;007A7A17&quot;/&gt;&lt;wsp:rsid wsp:val=&quot;007A7B90&quot;/&gt;&lt;wsp:rsid wsp:val=&quot;007B019A&quot;/&gt;&lt;wsp:rsid wsp:val=&quot;007B0610&quot;/&gt;&lt;wsp:rsid wsp:val=&quot;007B07BD&quot;/&gt;&lt;wsp:rsid wsp:val=&quot;007B0814&quot;/&gt;&lt;wsp:rsid wsp:val=&quot;007B0ABE&quot;/&gt;&lt;wsp:rsid wsp:val=&quot;007B16A9&quot;/&gt;&lt;wsp:rsid wsp:val=&quot;007B211A&quot;/&gt;&lt;wsp:rsid wsp:val=&quot;007B2583&quot;/&gt;&lt;wsp:rsid wsp:val=&quot;007B275C&quot;/&gt;&lt;wsp:rsid wsp:val=&quot;007B307E&quot;/&gt;&lt;wsp:rsid wsp:val=&quot;007B33FF&quot;/&gt;&lt;wsp:rsid wsp:val=&quot;007B3610&quot;/&gt;&lt;wsp:rsid wsp:val=&quot;007B38D1&quot;/&gt;&lt;wsp:rsid wsp:val=&quot;007B3B6A&quot;/&gt;&lt;wsp:rsid wsp:val=&quot;007B3BDC&quot;/&gt;&lt;wsp:rsid wsp:val=&quot;007B3F99&quot;/&gt;&lt;wsp:rsid wsp:val=&quot;007B42E4&quot;/&gt;&lt;wsp:rsid wsp:val=&quot;007B50D5&quot;/&gt;&lt;wsp:rsid wsp:val=&quot;007B50D6&quot;/&gt;&lt;wsp:rsid wsp:val=&quot;007B5141&quot;/&gt;&lt;wsp:rsid wsp:val=&quot;007B5358&quot;/&gt;&lt;wsp:rsid wsp:val=&quot;007B54A0&quot;/&gt;&lt;wsp:rsid wsp:val=&quot;007B580B&quot;/&gt;&lt;wsp:rsid wsp:val=&quot;007B5B44&quot;/&gt;&lt;wsp:rsid wsp:val=&quot;007B5E24&quot;/&gt;&lt;wsp:rsid wsp:val=&quot;007B69CA&quot;/&gt;&lt;wsp:rsid wsp:val=&quot;007B6B46&quot;/&gt;&lt;wsp:rsid wsp:val=&quot;007B741A&quot;/&gt;&lt;wsp:rsid wsp:val=&quot;007B771F&quot;/&gt;&lt;wsp:rsid wsp:val=&quot;007B7D7F&quot;/&gt;&lt;wsp:rsid wsp:val=&quot;007B7E7D&quot;/&gt;&lt;wsp:rsid wsp:val=&quot;007B7FCB&quot;/&gt;&lt;wsp:rsid wsp:val=&quot;007C0CFB&quot;/&gt;&lt;wsp:rsid wsp:val=&quot;007C0FF4&quot;/&gt;&lt;wsp:rsid wsp:val=&quot;007C11C8&quot;/&gt;&lt;wsp:rsid wsp:val=&quot;007C1591&quot;/&gt;&lt;wsp:rsid wsp:val=&quot;007C20DB&quot;/&gt;&lt;wsp:rsid wsp:val=&quot;007C23CA&quot;/&gt;&lt;wsp:rsid wsp:val=&quot;007C29E7&quot;/&gt;&lt;wsp:rsid wsp:val=&quot;007C2ECB&quot;/&gt;&lt;wsp:rsid wsp:val=&quot;007C2EEE&quot;/&gt;&lt;wsp:rsid wsp:val=&quot;007C32BA&quot;/&gt;&lt;wsp:rsid wsp:val=&quot;007C3367&quot;/&gt;&lt;wsp:rsid wsp:val=&quot;007C364E&quot;/&gt;&lt;wsp:rsid wsp:val=&quot;007C36B1&quot;/&gt;&lt;wsp:rsid wsp:val=&quot;007C3722&quot;/&gt;&lt;wsp:rsid wsp:val=&quot;007C3747&quot;/&gt;&lt;wsp:rsid wsp:val=&quot;007C38D9&quot;/&gt;&lt;wsp:rsid wsp:val=&quot;007C3DE5&quot;/&gt;&lt;wsp:rsid wsp:val=&quot;007C4074&quot;/&gt;&lt;wsp:rsid wsp:val=&quot;007C4F5A&quot;/&gt;&lt;wsp:rsid wsp:val=&quot;007C50F4&quot;/&gt;&lt;wsp:rsid wsp:val=&quot;007C5200&quot;/&gt;&lt;wsp:rsid wsp:val=&quot;007C5581&quot;/&gt;&lt;wsp:rsid wsp:val=&quot;007C5732&quot;/&gt;&lt;wsp:rsid wsp:val=&quot;007C5A5A&quot;/&gt;&lt;wsp:rsid wsp:val=&quot;007C5DA4&quot;/&gt;&lt;wsp:rsid wsp:val=&quot;007C5DD1&quot;/&gt;&lt;wsp:rsid wsp:val=&quot;007C6326&quot;/&gt;&lt;wsp:rsid wsp:val=&quot;007C684E&quot;/&gt;&lt;wsp:rsid wsp:val=&quot;007C6C41&quot;/&gt;&lt;wsp:rsid wsp:val=&quot;007C72F0&quot;/&gt;&lt;wsp:rsid wsp:val=&quot;007C73BA&quot;/&gt;&lt;wsp:rsid wsp:val=&quot;007C7797&quot;/&gt;&lt;wsp:rsid wsp:val=&quot;007C7A6B&quot;/&gt;&lt;wsp:rsid wsp:val=&quot;007C7C0D&quot;/&gt;&lt;wsp:rsid wsp:val=&quot;007D0152&quot;/&gt;&lt;wsp:rsid wsp:val=&quot;007D0A4F&quot;/&gt;&lt;wsp:rsid wsp:val=&quot;007D0CEE&quot;/&gt;&lt;wsp:rsid wsp:val=&quot;007D0E99&quot;/&gt;&lt;wsp:rsid wsp:val=&quot;007D0EC3&quot;/&gt;&lt;wsp:rsid wsp:val=&quot;007D124F&quot;/&gt;&lt;wsp:rsid wsp:val=&quot;007D12C0&quot;/&gt;&lt;wsp:rsid wsp:val=&quot;007D150B&quot;/&gt;&lt;wsp:rsid wsp:val=&quot;007D1607&quot;/&gt;&lt;wsp:rsid wsp:val=&quot;007D1645&quot;/&gt;&lt;wsp:rsid wsp:val=&quot;007D18E0&quot;/&gt;&lt;wsp:rsid wsp:val=&quot;007D1BC1&quot;/&gt;&lt;wsp:rsid wsp:val=&quot;007D1C66&quot;/&gt;&lt;wsp:rsid wsp:val=&quot;007D1CC7&quot;/&gt;&lt;wsp:rsid wsp:val=&quot;007D1CFA&quot;/&gt;&lt;wsp:rsid wsp:val=&quot;007D1E39&quot;/&gt;&lt;wsp:rsid wsp:val=&quot;007D2240&quot;/&gt;&lt;wsp:rsid wsp:val=&quot;007D22B0&quot;/&gt;&lt;wsp:rsid wsp:val=&quot;007D2504&quot;/&gt;&lt;wsp:rsid wsp:val=&quot;007D279A&quot;/&gt;&lt;wsp:rsid wsp:val=&quot;007D2ABA&quot;/&gt;&lt;wsp:rsid wsp:val=&quot;007D2ADC&quot;/&gt;&lt;wsp:rsid wsp:val=&quot;007D2D26&quot;/&gt;&lt;wsp:rsid wsp:val=&quot;007D2EB8&quot;/&gt;&lt;wsp:rsid wsp:val=&quot;007D2EC6&quot;/&gt;&lt;wsp:rsid wsp:val=&quot;007D3264&quot;/&gt;&lt;wsp:rsid wsp:val=&quot;007D32FF&quot;/&gt;&lt;wsp:rsid wsp:val=&quot;007D375C&quot;/&gt;&lt;wsp:rsid wsp:val=&quot;007D3C9B&quot;/&gt;&lt;wsp:rsid wsp:val=&quot;007D409B&quot;/&gt;&lt;wsp:rsid wsp:val=&quot;007D41AB&quot;/&gt;&lt;wsp:rsid wsp:val=&quot;007D4587&quot;/&gt;&lt;wsp:rsid wsp:val=&quot;007D47CB&quot;/&gt;&lt;wsp:rsid wsp:val=&quot;007D4BC7&quot;/&gt;&lt;wsp:rsid wsp:val=&quot;007D4C39&quot;/&gt;&lt;wsp:rsid wsp:val=&quot;007D4D48&quot;/&gt;&lt;wsp:rsid wsp:val=&quot;007D4DA5&quot;/&gt;&lt;wsp:rsid wsp:val=&quot;007D5948&quot;/&gt;&lt;wsp:rsid wsp:val=&quot;007D5B4C&quot;/&gt;&lt;wsp:rsid wsp:val=&quot;007D5C25&quot;/&gt;&lt;wsp:rsid wsp:val=&quot;007D5D86&quot;/&gt;&lt;wsp:rsid wsp:val=&quot;007D5EA0&quot;/&gt;&lt;wsp:rsid wsp:val=&quot;007D5FDB&quot;/&gt;&lt;wsp:rsid wsp:val=&quot;007D627E&quot;/&gt;&lt;wsp:rsid wsp:val=&quot;007D62FD&quot;/&gt;&lt;wsp:rsid wsp:val=&quot;007D6494&quot;/&gt;&lt;wsp:rsid wsp:val=&quot;007D64A7&quot;/&gt;&lt;wsp:rsid wsp:val=&quot;007D6508&quot;/&gt;&lt;wsp:rsid wsp:val=&quot;007D6C21&quot;/&gt;&lt;wsp:rsid wsp:val=&quot;007D716E&quot;/&gt;&lt;wsp:rsid wsp:val=&quot;007D7ACF&quot;/&gt;&lt;wsp:rsid wsp:val=&quot;007D7BCF&quot;/&gt;&lt;wsp:rsid wsp:val=&quot;007E00E4&quot;/&gt;&lt;wsp:rsid wsp:val=&quot;007E0268&quot;/&gt;&lt;wsp:rsid wsp:val=&quot;007E060E&quot;/&gt;&lt;wsp:rsid wsp:val=&quot;007E087A&quot;/&gt;&lt;wsp:rsid wsp:val=&quot;007E0969&quot;/&gt;&lt;wsp:rsid wsp:val=&quot;007E09FA&quot;/&gt;&lt;wsp:rsid wsp:val=&quot;007E1244&quot;/&gt;&lt;wsp:rsid wsp:val=&quot;007E1A43&quot;/&gt;&lt;wsp:rsid wsp:val=&quot;007E1A52&quot;/&gt;&lt;wsp:rsid wsp:val=&quot;007E1ADE&quot;/&gt;&lt;wsp:rsid wsp:val=&quot;007E1D43&quot;/&gt;&lt;wsp:rsid wsp:val=&quot;007E1D4D&quot;/&gt;&lt;wsp:rsid wsp:val=&quot;007E2123&quot;/&gt;&lt;wsp:rsid wsp:val=&quot;007E241C&quot;/&gt;&lt;wsp:rsid wsp:val=&quot;007E2834&quot;/&gt;&lt;wsp:rsid wsp:val=&quot;007E2BC4&quot;/&gt;&lt;wsp:rsid wsp:val=&quot;007E2DA6&quot;/&gt;&lt;wsp:rsid wsp:val=&quot;007E2FA4&quot;/&gt;&lt;wsp:rsid wsp:val=&quot;007E30B9&quot;/&gt;&lt;wsp:rsid wsp:val=&quot;007E3370&quot;/&gt;&lt;wsp:rsid wsp:val=&quot;007E3593&quot;/&gt;&lt;wsp:rsid wsp:val=&quot;007E3686&quot;/&gt;&lt;wsp:rsid wsp:val=&quot;007E3EA5&quot;/&gt;&lt;wsp:rsid wsp:val=&quot;007E3F11&quot;/&gt;&lt;wsp:rsid wsp:val=&quot;007E3F9E&quot;/&gt;&lt;wsp:rsid wsp:val=&quot;007E47F7&quot;/&gt;&lt;wsp:rsid wsp:val=&quot;007E48E6&quot;/&gt;&lt;wsp:rsid wsp:val=&quot;007E4A75&quot;/&gt;&lt;wsp:rsid wsp:val=&quot;007E4A99&quot;/&gt;&lt;wsp:rsid wsp:val=&quot;007E4C83&quot;/&gt;&lt;wsp:rsid wsp:val=&quot;007E4FF9&quot;/&gt;&lt;wsp:rsid wsp:val=&quot;007E56C3&quot;/&gt;&lt;wsp:rsid wsp:val=&quot;007E5D09&quot;/&gt;&lt;wsp:rsid wsp:val=&quot;007E5D15&quot;/&gt;&lt;wsp:rsid wsp:val=&quot;007E60E4&quot;/&gt;&lt;wsp:rsid wsp:val=&quot;007E61AF&quot;/&gt;&lt;wsp:rsid wsp:val=&quot;007E61DC&quot;/&gt;&lt;wsp:rsid wsp:val=&quot;007E6348&quot;/&gt;&lt;wsp:rsid wsp:val=&quot;007E63EE&quot;/&gt;&lt;wsp:rsid wsp:val=&quot;007E64B8&quot;/&gt;&lt;wsp:rsid wsp:val=&quot;007E6716&quot;/&gt;&lt;wsp:rsid wsp:val=&quot;007E67E9&quot;/&gt;&lt;wsp:rsid wsp:val=&quot;007E6845&quot;/&gt;&lt;wsp:rsid wsp:val=&quot;007E684D&quot;/&gt;&lt;wsp:rsid wsp:val=&quot;007E6ADF&quot;/&gt;&lt;wsp:rsid wsp:val=&quot;007E6AFE&quot;/&gt;&lt;wsp:rsid wsp:val=&quot;007E6EC8&quot;/&gt;&lt;wsp:rsid wsp:val=&quot;007E710C&quot;/&gt;&lt;wsp:rsid wsp:val=&quot;007E72A0&quot;/&gt;&lt;wsp:rsid wsp:val=&quot;007E7602&quot;/&gt;&lt;wsp:rsid wsp:val=&quot;007E769B&quot;/&gt;&lt;wsp:rsid wsp:val=&quot;007E76D6&quot;/&gt;&lt;wsp:rsid wsp:val=&quot;007E775F&quot;/&gt;&lt;wsp:rsid wsp:val=&quot;007E7799&quot;/&gt;&lt;wsp:rsid wsp:val=&quot;007E7C3A&quot;/&gt;&lt;wsp:rsid wsp:val=&quot;007F0137&quot;/&gt;&lt;wsp:rsid wsp:val=&quot;007F0F44&quot;/&gt;&lt;wsp:rsid wsp:val=&quot;007F13C7&quot;/&gt;&lt;wsp:rsid wsp:val=&quot;007F13E5&quot;/&gt;&lt;wsp:rsid wsp:val=&quot;007F1C37&quot;/&gt;&lt;wsp:rsid wsp:val=&quot;007F1C87&quot;/&gt;&lt;wsp:rsid wsp:val=&quot;007F1EB8&quot;/&gt;&lt;wsp:rsid wsp:val=&quot;007F2148&quot;/&gt;&lt;wsp:rsid wsp:val=&quot;007F2178&quot;/&gt;&lt;wsp:rsid wsp:val=&quot;007F2329&quot;/&gt;&lt;wsp:rsid wsp:val=&quot;007F2475&quot;/&gt;&lt;wsp:rsid wsp:val=&quot;007F28FE&quot;/&gt;&lt;wsp:rsid wsp:val=&quot;007F2C05&quot;/&gt;&lt;wsp:rsid wsp:val=&quot;007F2F0B&quot;/&gt;&lt;wsp:rsid wsp:val=&quot;007F3061&quot;/&gt;&lt;wsp:rsid wsp:val=&quot;007F31BC&quot;/&gt;&lt;wsp:rsid wsp:val=&quot;007F34DE&quot;/&gt;&lt;wsp:rsid wsp:val=&quot;007F390A&quot;/&gt;&lt;wsp:rsid wsp:val=&quot;007F4472&quot;/&gt;&lt;wsp:rsid wsp:val=&quot;007F4B96&quot;/&gt;&lt;wsp:rsid wsp:val=&quot;007F4F74&quot;/&gt;&lt;wsp:rsid wsp:val=&quot;007F5177&quot;/&gt;&lt;wsp:rsid wsp:val=&quot;007F60E6&quot;/&gt;&lt;wsp:rsid wsp:val=&quot;007F6270&quot;/&gt;&lt;wsp:rsid wsp:val=&quot;007F6404&quot;/&gt;&lt;wsp:rsid wsp:val=&quot;007F718E&quot;/&gt;&lt;wsp:rsid wsp:val=&quot;007F771F&quot;/&gt;&lt;wsp:rsid wsp:val=&quot;007F7A4C&quot;/&gt;&lt;wsp:rsid wsp:val=&quot;008001D8&quot;/&gt;&lt;wsp:rsid wsp:val=&quot;008006A8&quot;/&gt;&lt;wsp:rsid wsp:val=&quot;00800BB8&quot;/&gt;&lt;wsp:rsid wsp:val=&quot;00800E2C&quot;/&gt;&lt;wsp:rsid wsp:val=&quot;00800F0F&quot;/&gt;&lt;wsp:rsid wsp:val=&quot;00801002&quot;/&gt;&lt;wsp:rsid wsp:val=&quot;00802450&quot;/&gt;&lt;wsp:rsid wsp:val=&quot;008025B5&quot;/&gt;&lt;wsp:rsid wsp:val=&quot;0080274C&quot;/&gt;&lt;wsp:rsid wsp:val=&quot;00802CB7&quot;/&gt;&lt;wsp:rsid wsp:val=&quot;00802CDF&quot;/&gt;&lt;wsp:rsid wsp:val=&quot;00802E4A&quot;/&gt;&lt;wsp:rsid wsp:val=&quot;00802EE9&quot;/&gt;&lt;wsp:rsid wsp:val=&quot;00803A2E&quot;/&gt;&lt;wsp:rsid wsp:val=&quot;00803FF4&quot;/&gt;&lt;wsp:rsid wsp:val=&quot;0080414C&quot;/&gt;&lt;wsp:rsid wsp:val=&quot;008041B4&quot;/&gt;&lt;wsp:rsid wsp:val=&quot;008043C2&quot;/&gt;&lt;wsp:rsid wsp:val=&quot;00804428&quot;/&gt;&lt;wsp:rsid wsp:val=&quot;00804761&quot;/&gt;&lt;wsp:rsid wsp:val=&quot;008047A2&quot;/&gt;&lt;wsp:rsid wsp:val=&quot;00804A49&quot;/&gt;&lt;wsp:rsid wsp:val=&quot;00804C46&quot;/&gt;&lt;wsp:rsid wsp:val=&quot;008050C6&quot;/&gt;&lt;wsp:rsid wsp:val=&quot;0080576A&quot;/&gt;&lt;wsp:rsid wsp:val=&quot;00805848&quot;/&gt;&lt;wsp:rsid wsp:val=&quot;00806065&quot;/&gt;&lt;wsp:rsid wsp:val=&quot;00806A5A&quot;/&gt;&lt;wsp:rsid wsp:val=&quot;008071B3&quot;/&gt;&lt;wsp:rsid wsp:val=&quot;00807212&quot;/&gt;&lt;wsp:rsid wsp:val=&quot;0080760F&quot;/&gt;&lt;wsp:rsid wsp:val=&quot;00807880&quot;/&gt;&lt;wsp:rsid wsp:val=&quot;00807C26&quot;/&gt;&lt;wsp:rsid wsp:val=&quot;00807F63&quot;/&gt;&lt;wsp:rsid wsp:val=&quot;00810315&quot;/&gt;&lt;wsp:rsid wsp:val=&quot;00810398&quot;/&gt;&lt;wsp:rsid wsp:val=&quot;00810414&quot;/&gt;&lt;wsp:rsid wsp:val=&quot;00810708&quot;/&gt;&lt;wsp:rsid wsp:val=&quot;008108F0&quot;/&gt;&lt;wsp:rsid wsp:val=&quot;008109F5&quot;/&gt;&lt;wsp:rsid wsp:val=&quot;00810C6B&quot;/&gt;&lt;wsp:rsid wsp:val=&quot;00811081&quot;/&gt;&lt;wsp:rsid wsp:val=&quot;008110E1&quot;/&gt;&lt;wsp:rsid wsp:val=&quot;00811601&quot;/&gt;&lt;wsp:rsid wsp:val=&quot;00811852&quot;/&gt;&lt;wsp:rsid wsp:val=&quot;00811902&quot;/&gt;&lt;wsp:rsid wsp:val=&quot;00811A43&quot;/&gt;&lt;wsp:rsid wsp:val=&quot;00811FE4&quot;/&gt;&lt;wsp:rsid wsp:val=&quot;00812170&quot;/&gt;&lt;wsp:rsid wsp:val=&quot;0081258B&quot;/&gt;&lt;wsp:rsid wsp:val=&quot;00812BBB&quot;/&gt;&lt;wsp:rsid wsp:val=&quot;00812C46&quot;/&gt;&lt;wsp:rsid wsp:val=&quot;00812CD9&quot;/&gt;&lt;wsp:rsid wsp:val=&quot;008132A5&quot;/&gt;&lt;wsp:rsid wsp:val=&quot;00813330&quot;/&gt;&lt;wsp:rsid wsp:val=&quot;00813361&quot;/&gt;&lt;wsp:rsid wsp:val=&quot;008134AA&quot;/&gt;&lt;wsp:rsid wsp:val=&quot;008137F2&quot;/&gt;&lt;wsp:rsid wsp:val=&quot;00813849&quot;/&gt;&lt;wsp:rsid wsp:val=&quot;00814082&quot;/&gt;&lt;wsp:rsid wsp:val=&quot;0081486F&quot;/&gt;&lt;wsp:rsid wsp:val=&quot;00814B3B&quot;/&gt;&lt;wsp:rsid wsp:val=&quot;00814B61&quot;/&gt;&lt;wsp:rsid wsp:val=&quot;00815174&quot;/&gt;&lt;wsp:rsid wsp:val=&quot;008155F9&quot;/&gt;&lt;wsp:rsid wsp:val=&quot;008159A1&quot;/&gt;&lt;wsp:rsid wsp:val=&quot;00815B37&quot;/&gt;&lt;wsp:rsid wsp:val=&quot;00815EA7&quot;/&gt;&lt;wsp:rsid wsp:val=&quot;00815EBD&quot;/&gt;&lt;wsp:rsid wsp:val=&quot;008162FE&quot;/&gt;&lt;wsp:rsid wsp:val=&quot;00816398&quot;/&gt;&lt;wsp:rsid wsp:val=&quot;0081654E&quot;/&gt;&lt;wsp:rsid wsp:val=&quot;00816C1E&quot;/&gt;&lt;wsp:rsid wsp:val=&quot;00816C46&quot;/&gt;&lt;wsp:rsid wsp:val=&quot;00816D56&quot;/&gt;&lt;wsp:rsid wsp:val=&quot;008171AB&quot;/&gt;&lt;wsp:rsid wsp:val=&quot;008172B0&quot;/&gt;&lt;wsp:rsid wsp:val=&quot;00817387&quot;/&gt;&lt;wsp:rsid wsp:val=&quot;0081797F&quot;/&gt;&lt;wsp:rsid wsp:val=&quot;008200DC&quot;/&gt;&lt;wsp:rsid wsp:val=&quot;008203C2&quot;/&gt;&lt;wsp:rsid wsp:val=&quot;00821293&quot;/&gt;&lt;wsp:rsid wsp:val=&quot;00821807&quot;/&gt;&lt;wsp:rsid wsp:val=&quot;00821895&quot;/&gt;&lt;wsp:rsid wsp:val=&quot;00821A6B&quot;/&gt;&lt;wsp:rsid wsp:val=&quot;00821CE2&quot;/&gt;&lt;wsp:rsid wsp:val=&quot;008220BB&quot;/&gt;&lt;wsp:rsid wsp:val=&quot;00822539&quot;/&gt;&lt;wsp:rsid wsp:val=&quot;008234B3&quot;/&gt;&lt;wsp:rsid wsp:val=&quot;00823566&quot;/&gt;&lt;wsp:rsid wsp:val=&quot;00823B15&quot;/&gt;&lt;wsp:rsid wsp:val=&quot;00824561&quot;/&gt;&lt;wsp:rsid wsp:val=&quot;0082502E&quot;/&gt;&lt;wsp:rsid wsp:val=&quot;008251CA&quot;/&gt;&lt;wsp:rsid wsp:val=&quot;008253C6&quot;/&gt;&lt;wsp:rsid wsp:val=&quot;008253F0&quot;/&gt;&lt;wsp:rsid wsp:val=&quot;008256F2&quot;/&gt;&lt;wsp:rsid wsp:val=&quot;00825F83&quot;/&gt;&lt;wsp:rsid wsp:val=&quot;0082612E&quot;/&gt;&lt;wsp:rsid wsp:val=&quot;008262C5&quot;/&gt;&lt;wsp:rsid wsp:val=&quot;00826510&quot;/&gt;&lt;wsp:rsid wsp:val=&quot;0082706E&quot;/&gt;&lt;wsp:rsid wsp:val=&quot;0082759B&quot;/&gt;&lt;wsp:rsid wsp:val=&quot;00827BCA&quot;/&gt;&lt;wsp:rsid wsp:val=&quot;00827DAD&quot;/&gt;&lt;wsp:rsid wsp:val=&quot;00827F05&quot;/&gt;&lt;wsp:rsid wsp:val=&quot;00827F6D&quot;/&gt;&lt;wsp:rsid wsp:val=&quot;0083080E&quot;/&gt;&lt;wsp:rsid wsp:val=&quot;0083086C&quot;/&gt;&lt;wsp:rsid wsp:val=&quot;00830CF4&quot;/&gt;&lt;wsp:rsid wsp:val=&quot;00830DAF&quot;/&gt;&lt;wsp:rsid wsp:val=&quot;00830F63&quot;/&gt;&lt;wsp:rsid wsp:val=&quot;00830F77&quot;/&gt;&lt;wsp:rsid wsp:val=&quot;008311D9&quot;/&gt;&lt;wsp:rsid wsp:val=&quot;00831486&quot;/&gt;&lt;wsp:rsid wsp:val=&quot;00831AC1&quot;/&gt;&lt;wsp:rsid wsp:val=&quot;00831F2E&quot;/&gt;&lt;wsp:rsid wsp:val=&quot;008325A4&quot;/&gt;&lt;wsp:rsid wsp:val=&quot;00832ADC&quot;/&gt;&lt;wsp:rsid wsp:val=&quot;00832E81&quot;/&gt;&lt;wsp:rsid wsp:val=&quot;00833A63&quot;/&gt;&lt;wsp:rsid wsp:val=&quot;00833BF2&quot;/&gt;&lt;wsp:rsid wsp:val=&quot;00833D11&quot;/&gt;&lt;wsp:rsid wsp:val=&quot;00833D69&quot;/&gt;&lt;wsp:rsid wsp:val=&quot;00833F52&quot;/&gt;&lt;wsp:rsid wsp:val=&quot;00834120&quot;/&gt;&lt;wsp:rsid wsp:val=&quot;00834185&quot;/&gt;&lt;wsp:rsid wsp:val=&quot;00834541&quot;/&gt;&lt;wsp:rsid wsp:val=&quot;00834920&quot;/&gt;&lt;wsp:rsid wsp:val=&quot;008349E6&quot;/&gt;&lt;wsp:rsid wsp:val=&quot;00834C64&quot;/&gt;&lt;wsp:rsid wsp:val=&quot;00834ECA&quot;/&gt;&lt;wsp:rsid wsp:val=&quot;00834ED1&quot;/&gt;&lt;wsp:rsid wsp:val=&quot;00834EE9&quot;/&gt;&lt;wsp:rsid wsp:val=&quot;00835031&quot;/&gt;&lt;wsp:rsid wsp:val=&quot;008354B6&quot;/&gt;&lt;wsp:rsid wsp:val=&quot;00835797&quot;/&gt;&lt;wsp:rsid wsp:val=&quot;00835A24&quot;/&gt;&lt;wsp:rsid wsp:val=&quot;00835B9C&quot;/&gt;&lt;wsp:rsid wsp:val=&quot;00835BEA&quot;/&gt;&lt;wsp:rsid wsp:val=&quot;00835C42&quot;/&gt;&lt;wsp:rsid wsp:val=&quot;00836133&quot;/&gt;&lt;wsp:rsid wsp:val=&quot;0083635A&quot;/&gt;&lt;wsp:rsid wsp:val=&quot;008365CB&quot;/&gt;&lt;wsp:rsid wsp:val=&quot;00836C7C&quot;/&gt;&lt;wsp:rsid wsp:val=&quot;00836DB2&quot;/&gt;&lt;wsp:rsid wsp:val=&quot;00836F53&quot;/&gt;&lt;wsp:rsid wsp:val=&quot;00837197&quot;/&gt;&lt;wsp:rsid wsp:val=&quot;008375F6&quot;/&gt;&lt;wsp:rsid wsp:val=&quot;008377FE&quot;/&gt;&lt;wsp:rsid wsp:val=&quot;00837A1D&quot;/&gt;&lt;wsp:rsid wsp:val=&quot;00837D64&quot;/&gt;&lt;wsp:rsid wsp:val=&quot;00837E77&quot;/&gt;&lt;wsp:rsid wsp:val=&quot;008400EC&quot;/&gt;&lt;wsp:rsid wsp:val=&quot;0084034A&quot;/&gt;&lt;wsp:rsid wsp:val=&quot;00840447&quot;/&gt;&lt;wsp:rsid wsp:val=&quot;0084099B&quot;/&gt;&lt;wsp:rsid wsp:val=&quot;00840F5A&quot;/&gt;&lt;wsp:rsid wsp:val=&quot;00840FC2&quot;/&gt;&lt;wsp:rsid wsp:val=&quot;0084150B&quot;/&gt;&lt;wsp:rsid wsp:val=&quot;0084178A&quot;/&gt;&lt;wsp:rsid wsp:val=&quot;00841F2F&quot;/&gt;&lt;wsp:rsid wsp:val=&quot;00841F32&quot;/&gt;&lt;wsp:rsid wsp:val=&quot;00841FD5&quot;/&gt;&lt;wsp:rsid wsp:val=&quot;0084207E&quot;/&gt;&lt;wsp:rsid wsp:val=&quot;00843913&quot;/&gt;&lt;wsp:rsid wsp:val=&quot;00843B1E&quot;/&gt;&lt;wsp:rsid wsp:val=&quot;00843B27&quot;/&gt;&lt;wsp:rsid wsp:val=&quot;00844103&quot;/&gt;&lt;wsp:rsid wsp:val=&quot;008441EA&quot;/&gt;&lt;wsp:rsid wsp:val=&quot;00844794&quot;/&gt;&lt;wsp:rsid wsp:val=&quot;008447E6&quot;/&gt;&lt;wsp:rsid wsp:val=&quot;0084482C&quot;/&gt;&lt;wsp:rsid wsp:val=&quot;00845048&quot;/&gt;&lt;wsp:rsid wsp:val=&quot;008452FB&quot;/&gt;&lt;wsp:rsid wsp:val=&quot;008457C9&quot;/&gt;&lt;wsp:rsid wsp:val=&quot;00845898&quot;/&gt;&lt;wsp:rsid wsp:val=&quot;00845C8D&quot;/&gt;&lt;wsp:rsid wsp:val=&quot;00845F37&quot;/&gt;&lt;wsp:rsid wsp:val=&quot;0084642F&quot;/&gt;&lt;wsp:rsid wsp:val=&quot;00846458&quot;/&gt;&lt;wsp:rsid wsp:val=&quot;008465F4&quot;/&gt;&lt;wsp:rsid wsp:val=&quot;00846A80&quot;/&gt;&lt;wsp:rsid wsp:val=&quot;00847162&quot;/&gt;&lt;wsp:rsid wsp:val=&quot;008472BD&quot;/&gt;&lt;wsp:rsid wsp:val=&quot;008473E4&quot;/&gt;&lt;wsp:rsid wsp:val=&quot;008477EC&quot;/&gt;&lt;wsp:rsid wsp:val=&quot;008479D2&quot;/&gt;&lt;wsp:rsid wsp:val=&quot;00847D45&quot;/&gt;&lt;wsp:rsid wsp:val=&quot;00847DFB&quot;/&gt;&lt;wsp:rsid wsp:val=&quot;00847E31&quot;/&gt;&lt;wsp:rsid wsp:val=&quot;00850BAB&quot;/&gt;&lt;wsp:rsid wsp:val=&quot;00851693&quot;/&gt;&lt;wsp:rsid wsp:val=&quot;0085176F&quot;/&gt;&lt;wsp:rsid wsp:val=&quot;0085195C&quot;/&gt;&lt;wsp:rsid wsp:val=&quot;00851F11&quot;/&gt;&lt;wsp:rsid wsp:val=&quot;008521E1&quot;/&gt;&lt;wsp:rsid wsp:val=&quot;0085225F&quot;/&gt;&lt;wsp:rsid wsp:val=&quot;00852400&quot;/&gt;&lt;wsp:rsid wsp:val=&quot;00852D44&quot;/&gt;&lt;wsp:rsid wsp:val=&quot;008530EB&quot;/&gt;&lt;wsp:rsid wsp:val=&quot;0085337D&quot;/&gt;&lt;wsp:rsid wsp:val=&quot;008533E2&quot;/&gt;&lt;wsp:rsid wsp:val=&quot;0085363E&quot;/&gt;&lt;wsp:rsid wsp:val=&quot;00853EC8&quot;/&gt;&lt;wsp:rsid wsp:val=&quot;00853EDE&quot;/&gt;&lt;wsp:rsid wsp:val=&quot;0085402E&quot;/&gt;&lt;wsp:rsid wsp:val=&quot;008541BF&quot;/&gt;&lt;wsp:rsid wsp:val=&quot;008545D3&quot;/&gt;&lt;wsp:rsid wsp:val=&quot;00854628&quot;/&gt;&lt;wsp:rsid wsp:val=&quot;008547C4&quot;/&gt;&lt;wsp:rsid wsp:val=&quot;00854A4F&quot;/&gt;&lt;wsp:rsid wsp:val=&quot;00854D45&quot;/&gt;&lt;wsp:rsid wsp:val=&quot;00854F38&quot;/&gt;&lt;wsp:rsid wsp:val=&quot;00855083&quot;/&gt;&lt;wsp:rsid wsp:val=&quot;00855EDE&quot;/&gt;&lt;wsp:rsid wsp:val=&quot;00855F9C&quot;/&gt;&lt;wsp:rsid wsp:val=&quot;00856487&quot;/&gt;&lt;wsp:rsid wsp:val=&quot;0085684E&quot;/&gt;&lt;wsp:rsid wsp:val=&quot;00856EBC&quot;/&gt;&lt;wsp:rsid wsp:val=&quot;00857644&quot;/&gt;&lt;wsp:rsid wsp:val=&quot;00857B5D&quot;/&gt;&lt;wsp:rsid wsp:val=&quot;00857BD4&quot;/&gt;&lt;wsp:rsid wsp:val=&quot;00857C3A&quot;/&gt;&lt;wsp:rsid wsp:val=&quot;00857F77&quot;/&gt;&lt;wsp:rsid wsp:val=&quot;00860617&quot;/&gt;&lt;wsp:rsid wsp:val=&quot;008606ED&quot;/&gt;&lt;wsp:rsid wsp:val=&quot;0086099B&quot;/&gt;&lt;wsp:rsid wsp:val=&quot;00860CB8&quot;/&gt;&lt;wsp:rsid wsp:val=&quot;00860E78&quot;/&gt;&lt;wsp:rsid wsp:val=&quot;00860F42&quot;/&gt;&lt;wsp:rsid wsp:val=&quot;0086129F&quot;/&gt;&lt;wsp:rsid wsp:val=&quot;00861D60&quot;/&gt;&lt;wsp:rsid wsp:val=&quot;0086286D&quot;/&gt;&lt;wsp:rsid wsp:val=&quot;0086299E&quot;/&gt;&lt;wsp:rsid wsp:val=&quot;00862A79&quot;/&gt;&lt;wsp:rsid wsp:val=&quot;00862B26&quot;/&gt;&lt;wsp:rsid wsp:val=&quot;00862DF6&quot;/&gt;&lt;wsp:rsid wsp:val=&quot;0086306A&quot;/&gt;&lt;wsp:rsid wsp:val=&quot;0086392F&quot;/&gt;&lt;wsp:rsid wsp:val=&quot;00863A18&quot;/&gt;&lt;wsp:rsid wsp:val=&quot;00863A9C&quot;/&gt;&lt;wsp:rsid wsp:val=&quot;00863AAB&quot;/&gt;&lt;wsp:rsid wsp:val=&quot;00863B3E&quot;/&gt;&lt;wsp:rsid wsp:val=&quot;00863BCA&quot;/&gt;&lt;wsp:rsid wsp:val=&quot;00863C5D&quot;/&gt;&lt;wsp:rsid wsp:val=&quot;00864B9C&quot;/&gt;&lt;wsp:rsid wsp:val=&quot;00864DD5&quot;/&gt;&lt;wsp:rsid wsp:val=&quot;00864E60&quot;/&gt;&lt;wsp:rsid wsp:val=&quot;008651C2&quot;/&gt;&lt;wsp:rsid wsp:val=&quot;008656B8&quot;/&gt;&lt;wsp:rsid wsp:val=&quot;0086572F&quot;/&gt;&lt;wsp:rsid wsp:val=&quot;00865818&quot;/&gt;&lt;wsp:rsid wsp:val=&quot;0086582D&quot;/&gt;&lt;wsp:rsid wsp:val=&quot;00865D23&quot;/&gt;&lt;wsp:rsid wsp:val=&quot;00866052&quot;/&gt;&lt;wsp:rsid wsp:val=&quot;00866268&quot;/&gt;&lt;wsp:rsid wsp:val=&quot;008668B7&quot;/&gt;&lt;wsp:rsid wsp:val=&quot;00866EEA&quot;/&gt;&lt;wsp:rsid wsp:val=&quot;0086727A&quot;/&gt;&lt;wsp:rsid wsp:val=&quot;00867798&quot;/&gt;&lt;wsp:rsid wsp:val=&quot;008677CD&quot;/&gt;&lt;wsp:rsid wsp:val=&quot;00867A65&quot;/&gt;&lt;wsp:rsid wsp:val=&quot;00867C5A&quot;/&gt;&lt;wsp:rsid wsp:val=&quot;00867CB4&quot;/&gt;&lt;wsp:rsid wsp:val=&quot;00867CC3&quot;/&gt;&lt;wsp:rsid wsp:val=&quot;00867D03&quot;/&gt;&lt;wsp:rsid wsp:val=&quot;00867D35&quot;/&gt;&lt;wsp:rsid wsp:val=&quot;0087007F&quot;/&gt;&lt;wsp:rsid wsp:val=&quot;0087015A&quot;/&gt;&lt;wsp:rsid wsp:val=&quot;00870441&quot;/&gt;&lt;wsp:rsid wsp:val=&quot;008705CF&quot;/&gt;&lt;wsp:rsid wsp:val=&quot;00870F38&quot;/&gt;&lt;wsp:rsid wsp:val=&quot;00871074&quot;/&gt;&lt;wsp:rsid wsp:val=&quot;00871C8C&quot;/&gt;&lt;wsp:rsid wsp:val=&quot;008720CB&quot;/&gt;&lt;wsp:rsid wsp:val=&quot;008726A9&quot;/&gt;&lt;wsp:rsid wsp:val=&quot;00872787&quot;/&gt;&lt;wsp:rsid wsp:val=&quot;008729D0&quot;/&gt;&lt;wsp:rsid wsp:val=&quot;00872C40&quot;/&gt;&lt;wsp:rsid wsp:val=&quot;00872D7F&quot;/&gt;&lt;wsp:rsid wsp:val=&quot;00872DB3&quot;/&gt;&lt;wsp:rsid wsp:val=&quot;008736C3&quot;/&gt;&lt;wsp:rsid wsp:val=&quot;0087390D&quot;/&gt;&lt;wsp:rsid wsp:val=&quot;00873CBA&quot;/&gt;&lt;wsp:rsid wsp:val=&quot;00874008&quot;/&gt;&lt;wsp:rsid wsp:val=&quot;008740A4&quot;/&gt;&lt;wsp:rsid wsp:val=&quot;00874188&quot;/&gt;&lt;wsp:rsid wsp:val=&quot;0087486B&quot;/&gt;&lt;wsp:rsid wsp:val=&quot;00875314&quot;/&gt;&lt;wsp:rsid wsp:val=&quot;0087532C&quot;/&gt;&lt;wsp:rsid wsp:val=&quot;00875357&quot;/&gt;&lt;wsp:rsid wsp:val=&quot;00875535&quot;/&gt;&lt;wsp:rsid wsp:val=&quot;00875647&quot;/&gt;&lt;wsp:rsid wsp:val=&quot;00875C02&quot;/&gt;&lt;wsp:rsid wsp:val=&quot;00875C95&quot;/&gt;&lt;wsp:rsid wsp:val=&quot;0087627E&quot;/&gt;&lt;wsp:rsid wsp:val=&quot;00876323&quot;/&gt;&lt;wsp:rsid wsp:val=&quot;00876E08&quot;/&gt;&lt;wsp:rsid wsp:val=&quot;008771C4&quot;/&gt;&lt;wsp:rsid wsp:val=&quot;008771E1&quot;/&gt;&lt;wsp:rsid wsp:val=&quot;008772EF&quot;/&gt;&lt;wsp:rsid wsp:val=&quot;00877482&quot;/&gt;&lt;wsp:rsid wsp:val=&quot;0087793A&quot;/&gt;&lt;wsp:rsid wsp:val=&quot;00877A42&quot;/&gt;&lt;wsp:rsid wsp:val=&quot;00877CCA&quot;/&gt;&lt;wsp:rsid wsp:val=&quot;00877E26&quot;/&gt;&lt;wsp:rsid wsp:val=&quot;00877F97&quot;/&gt;&lt;wsp:rsid wsp:val=&quot;00880187&quot;/&gt;&lt;wsp:rsid wsp:val=&quot;008807B2&quot;/&gt;&lt;wsp:rsid wsp:val=&quot;00880B0F&quot;/&gt;&lt;wsp:rsid wsp:val=&quot;00880B38&quot;/&gt;&lt;wsp:rsid wsp:val=&quot;008810ED&quot;/&gt;&lt;wsp:rsid wsp:val=&quot;0088155F&quot;/&gt;&lt;wsp:rsid wsp:val=&quot;00881959&quot;/&gt;&lt;wsp:rsid wsp:val=&quot;00881ABE&quot;/&gt;&lt;wsp:rsid wsp:val=&quot;00881C47&quot;/&gt;&lt;wsp:rsid wsp:val=&quot;00881FA6&quot;/&gt;&lt;wsp:rsid wsp:val=&quot;00881FC5&quot;/&gt;&lt;wsp:rsid wsp:val=&quot;008827B5&quot;/&gt;&lt;wsp:rsid wsp:val=&quot;00882E0E&quot;/&gt;&lt;wsp:rsid wsp:val=&quot;00883479&quot;/&gt;&lt;wsp:rsid wsp:val=&quot;00883601&quot;/&gt;&lt;wsp:rsid wsp:val=&quot;00884438&quot;/&gt;&lt;wsp:rsid wsp:val=&quot;008845D2&quot;/&gt;&lt;wsp:rsid wsp:val=&quot;00884689&quot;/&gt;&lt;wsp:rsid wsp:val=&quot;00884986&quot;/&gt;&lt;wsp:rsid wsp:val=&quot;00884E3A&quot;/&gt;&lt;wsp:rsid wsp:val=&quot;00884F66&quot;/&gt;&lt;wsp:rsid wsp:val=&quot;00885945&quot;/&gt;&lt;wsp:rsid wsp:val=&quot;00886031&quot;/&gt;&lt;wsp:rsid wsp:val=&quot;00886287&quot;/&gt;&lt;wsp:rsid wsp:val=&quot;008865EF&quot;/&gt;&lt;wsp:rsid wsp:val=&quot;00886926&quot;/&gt;&lt;wsp:rsid wsp:val=&quot;008869CD&quot;/&gt;&lt;wsp:rsid wsp:val=&quot;00886C82&quot;/&gt;&lt;wsp:rsid wsp:val=&quot;00886CA9&quot;/&gt;&lt;wsp:rsid wsp:val=&quot;00886F3F&quot;/&gt;&lt;wsp:rsid wsp:val=&quot;00887159&quot;/&gt;&lt;wsp:rsid wsp:val=&quot;008871E3&quot;/&gt;&lt;wsp:rsid wsp:val=&quot;0088732A&quot;/&gt;&lt;wsp:rsid wsp:val=&quot;008876C3&quot;/&gt;&lt;wsp:rsid wsp:val=&quot;0088771E&quot;/&gt;&lt;wsp:rsid wsp:val=&quot;00887E0A&quot;/&gt;&lt;wsp:rsid wsp:val=&quot;00887F79&quot;/&gt;&lt;wsp:rsid wsp:val=&quot;00890178&quot;/&gt;&lt;wsp:rsid wsp:val=&quot;0089018B&quot;/&gt;&lt;wsp:rsid wsp:val=&quot;008908F5&quot;/&gt;&lt;wsp:rsid wsp:val=&quot;00890907&quot;/&gt;&lt;wsp:rsid wsp:val=&quot;00890DFA&quot;/&gt;&lt;wsp:rsid wsp:val=&quot;00890F78&quot;/&gt;&lt;wsp:rsid wsp:val=&quot;0089120C&quot;/&gt;&lt;wsp:rsid wsp:val=&quot;008912E6&quot;/&gt;&lt;wsp:rsid wsp:val=&quot;0089138D&quot;/&gt;&lt;wsp:rsid wsp:val=&quot;00891863&quot;/&gt;&lt;wsp:rsid wsp:val=&quot;00891FAF&quot;/&gt;&lt;wsp:rsid wsp:val=&quot;008925B1&quot;/&gt;&lt;wsp:rsid wsp:val=&quot;0089275F&quot;/&gt;&lt;wsp:rsid wsp:val=&quot;00892A3B&quot;/&gt;&lt;wsp:rsid wsp:val=&quot;00892CA5&quot;/&gt;&lt;wsp:rsid wsp:val=&quot;00892E00&quot;/&gt;&lt;wsp:rsid wsp:val=&quot;00892E48&quot;/&gt;&lt;wsp:rsid wsp:val=&quot;00892E84&quot;/&gt;&lt;wsp:rsid wsp:val=&quot;0089333C&quot;/&gt;&lt;wsp:rsid wsp:val=&quot;00893479&quot;/&gt;&lt;wsp:rsid wsp:val=&quot;00893902&quot;/&gt;&lt;wsp:rsid wsp:val=&quot;00893A12&quot;/&gt;&lt;wsp:rsid wsp:val=&quot;00894712&quot;/&gt;&lt;wsp:rsid wsp:val=&quot;00894888&quot;/&gt;&lt;wsp:rsid wsp:val=&quot;008949DC&quot;/&gt;&lt;wsp:rsid wsp:val=&quot;00894D38&quot;/&gt;&lt;wsp:rsid wsp:val=&quot;00894EB0&quot;/&gt;&lt;wsp:rsid wsp:val=&quot;008950DA&quot;/&gt;&lt;wsp:rsid wsp:val=&quot;00895431&quot;/&gt;&lt;wsp:rsid wsp:val=&quot;00896177&quot;/&gt;&lt;wsp:rsid wsp:val=&quot;0089699E&quot;/&gt;&lt;wsp:rsid wsp:val=&quot;00896A7F&quot;/&gt;&lt;wsp:rsid wsp:val=&quot;00897169&quot;/&gt;&lt;wsp:rsid wsp:val=&quot;00897285&quot;/&gt;&lt;wsp:rsid wsp:val=&quot;00897399&quot;/&gt;&lt;wsp:rsid wsp:val=&quot;00897681&quot;/&gt;&lt;wsp:rsid wsp:val=&quot;0089779C&quot;/&gt;&lt;wsp:rsid wsp:val=&quot;00897D80&quot;/&gt;&lt;wsp:rsid wsp:val=&quot;00897DD2&quot;/&gt;&lt;wsp:rsid wsp:val=&quot;008A0385&quot;/&gt;&lt;wsp:rsid wsp:val=&quot;008A0DCD&quot;/&gt;&lt;wsp:rsid wsp:val=&quot;008A0EDE&quot;/&gt;&lt;wsp:rsid wsp:val=&quot;008A0EE8&quot;/&gt;&lt;wsp:rsid wsp:val=&quot;008A1306&quot;/&gt;&lt;wsp:rsid wsp:val=&quot;008A14C4&quot;/&gt;&lt;wsp:rsid wsp:val=&quot;008A20A1&quot;/&gt;&lt;wsp:rsid wsp:val=&quot;008A241C&quot;/&gt;&lt;wsp:rsid wsp:val=&quot;008A247F&quot;/&gt;&lt;wsp:rsid wsp:val=&quot;008A25DF&quot;/&gt;&lt;wsp:rsid wsp:val=&quot;008A2A7F&quot;/&gt;&lt;wsp:rsid wsp:val=&quot;008A2BC2&quot;/&gt;&lt;wsp:rsid wsp:val=&quot;008A2EED&quot;/&gt;&lt;wsp:rsid wsp:val=&quot;008A3B93&quot;/&gt;&lt;wsp:rsid wsp:val=&quot;008A3C64&quot;/&gt;&lt;wsp:rsid wsp:val=&quot;008A3D0B&quot;/&gt;&lt;wsp:rsid wsp:val=&quot;008A3EBD&quot;/&gt;&lt;wsp:rsid wsp:val=&quot;008A3FE9&quot;/&gt;&lt;wsp:rsid wsp:val=&quot;008A4144&quot;/&gt;&lt;wsp:rsid wsp:val=&quot;008A4E20&quot;/&gt;&lt;wsp:rsid wsp:val=&quot;008A4EA3&quot;/&gt;&lt;wsp:rsid wsp:val=&quot;008A5893&quot;/&gt;&lt;wsp:rsid wsp:val=&quot;008A5F7B&quot;/&gt;&lt;wsp:rsid wsp:val=&quot;008A6419&quot;/&gt;&lt;wsp:rsid wsp:val=&quot;008A6E62&quot;/&gt;&lt;wsp:rsid wsp:val=&quot;008A7024&quot;/&gt;&lt;wsp:rsid wsp:val=&quot;008A760B&quot;/&gt;&lt;wsp:rsid wsp:val=&quot;008A7E5B&quot;/&gt;&lt;wsp:rsid wsp:val=&quot;008A7F16&quot;/&gt;&lt;wsp:rsid wsp:val=&quot;008A7FF1&quot;/&gt;&lt;wsp:rsid wsp:val=&quot;008B03B8&quot;/&gt;&lt;wsp:rsid wsp:val=&quot;008B0AEA&quot;/&gt;&lt;wsp:rsid wsp:val=&quot;008B0CE3&quot;/&gt;&lt;wsp:rsid wsp:val=&quot;008B0CFB&quot;/&gt;&lt;wsp:rsid wsp:val=&quot;008B0D74&quot;/&gt;&lt;wsp:rsid wsp:val=&quot;008B1657&quot;/&gt;&lt;wsp:rsid wsp:val=&quot;008B167F&quot;/&gt;&lt;wsp:rsid wsp:val=&quot;008B1B1E&quot;/&gt;&lt;wsp:rsid wsp:val=&quot;008B1C53&quot;/&gt;&lt;wsp:rsid wsp:val=&quot;008B1EDF&quot;/&gt;&lt;wsp:rsid wsp:val=&quot;008B21D4&quot;/&gt;&lt;wsp:rsid wsp:val=&quot;008B22BA&quot;/&gt;&lt;wsp:rsid wsp:val=&quot;008B2A6C&quot;/&gt;&lt;wsp:rsid wsp:val=&quot;008B2C88&quot;/&gt;&lt;wsp:rsid wsp:val=&quot;008B317E&quot;/&gt;&lt;wsp:rsid wsp:val=&quot;008B3BFC&quot;/&gt;&lt;wsp:rsid wsp:val=&quot;008B417A&quot;/&gt;&lt;wsp:rsid wsp:val=&quot;008B47DF&quot;/&gt;&lt;wsp:rsid wsp:val=&quot;008B4ACB&quot;/&gt;&lt;wsp:rsid wsp:val=&quot;008B4BD6&quot;/&gt;&lt;wsp:rsid wsp:val=&quot;008B4C4F&quot;/&gt;&lt;wsp:rsid wsp:val=&quot;008B4CD5&quot;/&gt;&lt;wsp:rsid wsp:val=&quot;008B4D67&quot;/&gt;&lt;wsp:rsid wsp:val=&quot;008B513C&quot;/&gt;&lt;wsp:rsid wsp:val=&quot;008B515C&quot;/&gt;&lt;wsp:rsid wsp:val=&quot;008B544C&quot;/&gt;&lt;wsp:rsid wsp:val=&quot;008B5962&quot;/&gt;&lt;wsp:rsid wsp:val=&quot;008B62D2&quot;/&gt;&lt;wsp:rsid wsp:val=&quot;008B6326&quot;/&gt;&lt;wsp:rsid wsp:val=&quot;008B6513&quot;/&gt;&lt;wsp:rsid wsp:val=&quot;008B6CC7&quot;/&gt;&lt;wsp:rsid wsp:val=&quot;008B7083&quot;/&gt;&lt;wsp:rsid wsp:val=&quot;008B79F6&quot;/&gt;&lt;wsp:rsid wsp:val=&quot;008B7BA6&quot;/&gt;&lt;wsp:rsid wsp:val=&quot;008B7BDD&quot;/&gt;&lt;wsp:rsid wsp:val=&quot;008C004F&quot;/&gt;&lt;wsp:rsid wsp:val=&quot;008C00FA&quot;/&gt;&lt;wsp:rsid wsp:val=&quot;008C031E&quot;/&gt;&lt;wsp:rsid wsp:val=&quot;008C0496&quot;/&gt;&lt;wsp:rsid wsp:val=&quot;008C0725&quot;/&gt;&lt;wsp:rsid wsp:val=&quot;008C09C3&quot;/&gt;&lt;wsp:rsid wsp:val=&quot;008C0A2C&quot;/&gt;&lt;wsp:rsid wsp:val=&quot;008C0CD1&quot;/&gt;&lt;wsp:rsid wsp:val=&quot;008C0FCD&quot;/&gt;&lt;wsp:rsid wsp:val=&quot;008C141C&quot;/&gt;&lt;wsp:rsid wsp:val=&quot;008C178B&quot;/&gt;&lt;wsp:rsid wsp:val=&quot;008C1CEF&quot;/&gt;&lt;wsp:rsid wsp:val=&quot;008C1FB8&quot;/&gt;&lt;wsp:rsid wsp:val=&quot;008C2188&quot;/&gt;&lt;wsp:rsid wsp:val=&quot;008C28FC&quot;/&gt;&lt;wsp:rsid wsp:val=&quot;008C2B53&quot;/&gt;&lt;wsp:rsid wsp:val=&quot;008C2C5D&quot;/&gt;&lt;wsp:rsid wsp:val=&quot;008C2DF1&quot;/&gt;&lt;wsp:rsid wsp:val=&quot;008C2E09&quot;/&gt;&lt;wsp:rsid wsp:val=&quot;008C2E73&quot;/&gt;&lt;wsp:rsid wsp:val=&quot;008C2F26&quot;/&gt;&lt;wsp:rsid wsp:val=&quot;008C304E&quot;/&gt;&lt;wsp:rsid wsp:val=&quot;008C3341&quot;/&gt;&lt;wsp:rsid wsp:val=&quot;008C3B27&quot;/&gt;&lt;wsp:rsid wsp:val=&quot;008C40F4&quot;/&gt;&lt;wsp:rsid wsp:val=&quot;008C4236&quot;/&gt;&lt;wsp:rsid wsp:val=&quot;008C440D&quot;/&gt;&lt;wsp:rsid wsp:val=&quot;008C45EB&quot;/&gt;&lt;wsp:rsid wsp:val=&quot;008C4AA7&quot;/&gt;&lt;wsp:rsid wsp:val=&quot;008C5370&quot;/&gt;&lt;wsp:rsid wsp:val=&quot;008C53E6&quot;/&gt;&lt;wsp:rsid wsp:val=&quot;008C61E8&quot;/&gt;&lt;wsp:rsid wsp:val=&quot;008C65D8&quot;/&gt;&lt;wsp:rsid wsp:val=&quot;008C6723&quot;/&gt;&lt;wsp:rsid wsp:val=&quot;008C69F0&quot;/&gt;&lt;wsp:rsid wsp:val=&quot;008C6F58&quot;/&gt;&lt;wsp:rsid wsp:val=&quot;008C71C6&quot;/&gt;&lt;wsp:rsid wsp:val=&quot;008C7236&quot;/&gt;&lt;wsp:rsid wsp:val=&quot;008C7457&quot;/&gt;&lt;wsp:rsid wsp:val=&quot;008C765C&quot;/&gt;&lt;wsp:rsid wsp:val=&quot;008C7731&quot;/&gt;&lt;wsp:rsid wsp:val=&quot;008C77E4&quot;/&gt;&lt;wsp:rsid wsp:val=&quot;008C7A0B&quot;/&gt;&lt;wsp:rsid wsp:val=&quot;008C7A60&quot;/&gt;&lt;wsp:rsid wsp:val=&quot;008C7B67&quot;/&gt;&lt;wsp:rsid wsp:val=&quot;008C7F15&quot;/&gt;&lt;wsp:rsid wsp:val=&quot;008D09DE&quot;/&gt;&lt;wsp:rsid wsp:val=&quot;008D0F15&quot;/&gt;&lt;wsp:rsid wsp:val=&quot;008D1621&quot;/&gt;&lt;wsp:rsid wsp:val=&quot;008D172B&quot;/&gt;&lt;wsp:rsid wsp:val=&quot;008D1BA5&quot;/&gt;&lt;wsp:rsid wsp:val=&quot;008D2C98&quot;/&gt;&lt;wsp:rsid wsp:val=&quot;008D3458&quot;/&gt;&lt;wsp:rsid wsp:val=&quot;008D345E&quot;/&gt;&lt;wsp:rsid wsp:val=&quot;008D3466&quot;/&gt;&lt;wsp:rsid wsp:val=&quot;008D3B15&quot;/&gt;&lt;wsp:rsid wsp:val=&quot;008D3B7B&quot;/&gt;&lt;wsp:rsid wsp:val=&quot;008D3C87&quot;/&gt;&lt;wsp:rsid wsp:val=&quot;008D4662&quot;/&gt;&lt;wsp:rsid wsp:val=&quot;008D46B1&quot;/&gt;&lt;wsp:rsid wsp:val=&quot;008D5085&quot;/&gt;&lt;wsp:rsid wsp:val=&quot;008D514A&quot;/&gt;&lt;wsp:rsid wsp:val=&quot;008D55C8&quot;/&gt;&lt;wsp:rsid wsp:val=&quot;008D621C&quot;/&gt;&lt;wsp:rsid wsp:val=&quot;008D656C&quot;/&gt;&lt;wsp:rsid wsp:val=&quot;008D6AB6&quot;/&gt;&lt;wsp:rsid wsp:val=&quot;008D6AEA&quot;/&gt;&lt;wsp:rsid wsp:val=&quot;008D6F9D&quot;/&gt;&lt;wsp:rsid wsp:val=&quot;008D72C8&quot;/&gt;&lt;wsp:rsid wsp:val=&quot;008D770F&quot;/&gt;&lt;wsp:rsid wsp:val=&quot;008D7967&quot;/&gt;&lt;wsp:rsid wsp:val=&quot;008D7A0C&quot;/&gt;&lt;wsp:rsid wsp:val=&quot;008D7B18&quot;/&gt;&lt;wsp:rsid wsp:val=&quot;008E0261&quot;/&gt;&lt;wsp:rsid wsp:val=&quot;008E050A&quot;/&gt;&lt;wsp:rsid wsp:val=&quot;008E06ED&quot;/&gt;&lt;wsp:rsid wsp:val=&quot;008E093D&quot;/&gt;&lt;wsp:rsid wsp:val=&quot;008E14EB&quot;/&gt;&lt;wsp:rsid wsp:val=&quot;008E15B8&quot;/&gt;&lt;wsp:rsid wsp:val=&quot;008E1948&quot;/&gt;&lt;wsp:rsid wsp:val=&quot;008E1BEC&quot;/&gt;&lt;wsp:rsid wsp:val=&quot;008E1CB1&quot;/&gt;&lt;wsp:rsid wsp:val=&quot;008E1F08&quot;/&gt;&lt;wsp:rsid wsp:val=&quot;008E2320&quot;/&gt;&lt;wsp:rsid wsp:val=&quot;008E240F&quot;/&gt;&lt;wsp:rsid wsp:val=&quot;008E2575&quot;/&gt;&lt;wsp:rsid wsp:val=&quot;008E2A9B&quot;/&gt;&lt;wsp:rsid wsp:val=&quot;008E2BD1&quot;/&gt;&lt;wsp:rsid wsp:val=&quot;008E3342&quot;/&gt;&lt;wsp:rsid wsp:val=&quot;008E3398&quot;/&gt;&lt;wsp:rsid wsp:val=&quot;008E39F4&quot;/&gt;&lt;wsp:rsid wsp:val=&quot;008E3B1C&quot;/&gt;&lt;wsp:rsid wsp:val=&quot;008E3EB2&quot;/&gt;&lt;wsp:rsid wsp:val=&quot;008E4C43&quot;/&gt;&lt;wsp:rsid wsp:val=&quot;008E52F2&quot;/&gt;&lt;wsp:rsid wsp:val=&quot;008E539B&quot;/&gt;&lt;wsp:rsid wsp:val=&quot;008E5769&quot;/&gt;&lt;wsp:rsid wsp:val=&quot;008E58ED&quot;/&gt;&lt;wsp:rsid wsp:val=&quot;008E5B55&quot;/&gt;&lt;wsp:rsid wsp:val=&quot;008E5BD6&quot;/&gt;&lt;wsp:rsid wsp:val=&quot;008E5F0C&quot;/&gt;&lt;wsp:rsid wsp:val=&quot;008E6158&quot;/&gt;&lt;wsp:rsid wsp:val=&quot;008E62F9&quot;/&gt;&lt;wsp:rsid wsp:val=&quot;008E6605&quot;/&gt;&lt;wsp:rsid wsp:val=&quot;008E673A&quot;/&gt;&lt;wsp:rsid wsp:val=&quot;008E67E1&quot;/&gt;&lt;wsp:rsid wsp:val=&quot;008E6921&quot;/&gt;&lt;wsp:rsid wsp:val=&quot;008E6AEC&quot;/&gt;&lt;wsp:rsid wsp:val=&quot;008E6BFD&quot;/&gt;&lt;wsp:rsid wsp:val=&quot;008E6CBC&quot;/&gt;&lt;wsp:rsid wsp:val=&quot;008E6F19&quot;/&gt;&lt;wsp:rsid wsp:val=&quot;008E79A0&quot;/&gt;&lt;wsp:rsid wsp:val=&quot;008E7DAA&quot;/&gt;&lt;wsp:rsid wsp:val=&quot;008F0505&quot;/&gt;&lt;wsp:rsid wsp:val=&quot;008F0771&quot;/&gt;&lt;wsp:rsid wsp:val=&quot;008F0966&quot;/&gt;&lt;wsp:rsid wsp:val=&quot;008F0E42&quot;/&gt;&lt;wsp:rsid wsp:val=&quot;008F0E74&quot;/&gt;&lt;wsp:rsid wsp:val=&quot;008F1131&quot;/&gt;&lt;wsp:rsid wsp:val=&quot;008F195C&quot;/&gt;&lt;wsp:rsid wsp:val=&quot;008F1A00&quot;/&gt;&lt;wsp:rsid wsp:val=&quot;008F1AD7&quot;/&gt;&lt;wsp:rsid wsp:val=&quot;008F22D5&quot;/&gt;&lt;wsp:rsid wsp:val=&quot;008F23C5&quot;/&gt;&lt;wsp:rsid wsp:val=&quot;008F26C8&quot;/&gt;&lt;wsp:rsid wsp:val=&quot;008F29EB&quot;/&gt;&lt;wsp:rsid wsp:val=&quot;008F2DDD&quot;/&gt;&lt;wsp:rsid wsp:val=&quot;008F30D9&quot;/&gt;&lt;wsp:rsid wsp:val=&quot;008F359F&quot;/&gt;&lt;wsp:rsid wsp:val=&quot;008F37EC&quot;/&gt;&lt;wsp:rsid wsp:val=&quot;008F3CF8&quot;/&gt;&lt;wsp:rsid wsp:val=&quot;008F3D5C&quot;/&gt;&lt;wsp:rsid wsp:val=&quot;008F3F23&quot;/&gt;&lt;wsp:rsid wsp:val=&quot;008F3F37&quot;/&gt;&lt;wsp:rsid wsp:val=&quot;008F46EB&quot;/&gt;&lt;wsp:rsid wsp:val=&quot;008F4BD8&quot;/&gt;&lt;wsp:rsid wsp:val=&quot;008F4D67&quot;/&gt;&lt;wsp:rsid wsp:val=&quot;008F4E9C&quot;/&gt;&lt;wsp:rsid wsp:val=&quot;008F514D&quot;/&gt;&lt;wsp:rsid wsp:val=&quot;008F546D&quot;/&gt;&lt;wsp:rsid wsp:val=&quot;008F5489&quot;/&gt;&lt;wsp:rsid wsp:val=&quot;008F5BE4&quot;/&gt;&lt;wsp:rsid wsp:val=&quot;008F5C1E&quot;/&gt;&lt;wsp:rsid wsp:val=&quot;008F5C8A&quot;/&gt;&lt;wsp:rsid wsp:val=&quot;008F601F&quot;/&gt;&lt;wsp:rsid wsp:val=&quot;008F6099&quot;/&gt;&lt;wsp:rsid wsp:val=&quot;008F618B&quot;/&gt;&lt;wsp:rsid wsp:val=&quot;008F667B&quot;/&gt;&lt;wsp:rsid wsp:val=&quot;008F6C87&quot;/&gt;&lt;wsp:rsid wsp:val=&quot;008F70CD&quot;/&gt;&lt;wsp:rsid wsp:val=&quot;008F7C27&quot;/&gt;&lt;wsp:rsid wsp:val=&quot;00900513&quot;/&gt;&lt;wsp:rsid wsp:val=&quot;00900E61&quot;/&gt;&lt;wsp:rsid wsp:val=&quot;0090117A&quot;/&gt;&lt;wsp:rsid wsp:val=&quot;0090154D&quot;/&gt;&lt;wsp:rsid wsp:val=&quot;00901580&quot;/&gt;&lt;wsp:rsid wsp:val=&quot;0090189D&quot;/&gt;&lt;wsp:rsid wsp:val=&quot;0090293D&quot;/&gt;&lt;wsp:rsid wsp:val=&quot;00902AC5&quot;/&gt;&lt;wsp:rsid wsp:val=&quot;00902C25&quot;/&gt;&lt;wsp:rsid wsp:val=&quot;0090300A&quot;/&gt;&lt;wsp:rsid wsp:val=&quot;00903216&quot;/&gt;&lt;wsp:rsid wsp:val=&quot;00903272&quot;/&gt;&lt;wsp:rsid wsp:val=&quot;00903532&quot;/&gt;&lt;wsp:rsid wsp:val=&quot;00903794&quot;/&gt;&lt;wsp:rsid wsp:val=&quot;00904FBC&quot;/&gt;&lt;wsp:rsid wsp:val=&quot;009055EB&quot;/&gt;&lt;wsp:rsid wsp:val=&quot;00905B69&quot;/&gt;&lt;wsp:rsid wsp:val=&quot;009060A8&quot;/&gt;&lt;wsp:rsid wsp:val=&quot;00906853&quot;/&gt;&lt;wsp:rsid wsp:val=&quot;00906856&quot;/&gt;&lt;wsp:rsid wsp:val=&quot;00906864&quot;/&gt;&lt;wsp:rsid wsp:val=&quot;00906A15&quot;/&gt;&lt;wsp:rsid wsp:val=&quot;00906ABF&quot;/&gt;&lt;wsp:rsid wsp:val=&quot;00906C11&quot;/&gt;&lt;wsp:rsid wsp:val=&quot;009071AE&quot;/&gt;&lt;wsp:rsid wsp:val=&quot;0090749D&quot;/&gt;&lt;wsp:rsid wsp:val=&quot;00907596&quot;/&gt;&lt;wsp:rsid wsp:val=&quot;0090764B&quot;/&gt;&lt;wsp:rsid wsp:val=&quot;009076CB&quot;/&gt;&lt;wsp:rsid wsp:val=&quot;009078AF&quot;/&gt;&lt;wsp:rsid wsp:val=&quot;00907EB1&quot;/&gt;&lt;wsp:rsid wsp:val=&quot;00907EEC&quot;/&gt;&lt;wsp:rsid wsp:val=&quot;009102C4&quot;/&gt;&lt;wsp:rsid wsp:val=&quot;00910BA2&quot;/&gt;&lt;wsp:rsid wsp:val=&quot;00910D04&quot;/&gt;&lt;wsp:rsid wsp:val=&quot;00910F7B&quot;/&gt;&lt;wsp:rsid wsp:val=&quot;009115C8&quot;/&gt;&lt;wsp:rsid wsp:val=&quot;00911733&quot;/&gt;&lt;wsp:rsid wsp:val=&quot;0091179B&quot;/&gt;&lt;wsp:rsid wsp:val=&quot;0091257C&quot;/&gt;&lt;wsp:rsid wsp:val=&quot;0091271F&quot;/&gt;&lt;wsp:rsid wsp:val=&quot;00912CE0&quot;/&gt;&lt;wsp:rsid wsp:val=&quot;00912DD2&quot;/&gt;&lt;wsp:rsid wsp:val=&quot;00912F07&quot;/&gt;&lt;wsp:rsid wsp:val=&quot;00912F87&quot;/&gt;&lt;wsp:rsid wsp:val=&quot;009132AA&quot;/&gt;&lt;wsp:rsid wsp:val=&quot;009135E5&quot;/&gt;&lt;wsp:rsid wsp:val=&quot;00913717&quot;/&gt;&lt;wsp:rsid wsp:val=&quot;00913790&quot;/&gt;&lt;wsp:rsid wsp:val=&quot;00913C7F&quot;/&gt;&lt;wsp:rsid wsp:val=&quot;00913D47&quot;/&gt;&lt;wsp:rsid wsp:val=&quot;00913E9D&quot;/&gt;&lt;wsp:rsid wsp:val=&quot;009143DF&quot;/&gt;&lt;wsp:rsid wsp:val=&quot;00914437&quot;/&gt;&lt;wsp:rsid wsp:val=&quot;009147CE&quot;/&gt;&lt;wsp:rsid wsp:val=&quot;00914AB9&quot;/&gt;&lt;wsp:rsid wsp:val=&quot;00914F69&quot;/&gt;&lt;wsp:rsid wsp:val=&quot;009157B4&quot;/&gt;&lt;wsp:rsid wsp:val=&quot;0091624C&quot;/&gt;&lt;wsp:rsid wsp:val=&quot;00916658&quot;/&gt;&lt;wsp:rsid wsp:val=&quot;00916E5A&quot;/&gt;&lt;wsp:rsid wsp:val=&quot;00917177&quot;/&gt;&lt;wsp:rsid wsp:val=&quot;009175C8&quot;/&gt;&lt;wsp:rsid wsp:val=&quot;00917B3B&quot;/&gt;&lt;wsp:rsid wsp:val=&quot;0092006C&quot;/&gt;&lt;wsp:rsid wsp:val=&quot;00920473&quot;/&gt;&lt;wsp:rsid wsp:val=&quot;0092088B&quot;/&gt;&lt;wsp:rsid wsp:val=&quot;00920AD2&quot;/&gt;&lt;wsp:rsid wsp:val=&quot;00920FA4&quot;/&gt;&lt;wsp:rsid wsp:val=&quot;0092109F&quot;/&gt;&lt;wsp:rsid wsp:val=&quot;00921510&quot;/&gt;&lt;wsp:rsid wsp:val=&quot;0092193B&quot;/&gt;&lt;wsp:rsid wsp:val=&quot;009219D3&quot;/&gt;&lt;wsp:rsid wsp:val=&quot;00921D32&quot;/&gt;&lt;wsp:rsid wsp:val=&quot;0092209F&quot;/&gt;&lt;wsp:rsid wsp:val=&quot;00922279&quot;/&gt;&lt;wsp:rsid wsp:val=&quot;00922548&quot;/&gt;&lt;wsp:rsid wsp:val=&quot;0092254B&quot;/&gt;&lt;wsp:rsid wsp:val=&quot;00922B18&quot;/&gt;&lt;wsp:rsid wsp:val=&quot;00923118&quot;/&gt;&lt;wsp:rsid wsp:val=&quot;009236E3&quot;/&gt;&lt;wsp:rsid wsp:val=&quot;00923A43&quot;/&gt;&lt;wsp:rsid wsp:val=&quot;00923AE0&quot;/&gt;&lt;wsp:rsid wsp:val=&quot;00923BC3&quot;/&gt;&lt;wsp:rsid wsp:val=&quot;00923E43&quot;/&gt;&lt;wsp:rsid wsp:val=&quot;00923F54&quot;/&gt;&lt;wsp:rsid wsp:val=&quot;00924E02&quot;/&gt;&lt;wsp:rsid wsp:val=&quot;00924E30&quot;/&gt;&lt;wsp:rsid wsp:val=&quot;009251D0&quot;/&gt;&lt;wsp:rsid wsp:val=&quot;00925774&quot;/&gt;&lt;wsp:rsid wsp:val=&quot;00925821&quot;/&gt;&lt;wsp:rsid wsp:val=&quot;00925FF3&quot;/&gt;&lt;wsp:rsid wsp:val=&quot;00926802&quot;/&gt;&lt;wsp:rsid wsp:val=&quot;009269F5&quot;/&gt;&lt;wsp:rsid wsp:val=&quot;00927BAA&quot;/&gt;&lt;wsp:rsid wsp:val=&quot;00927CCF&quot;/&gt;&lt;wsp:rsid wsp:val=&quot;00927DB4&quot;/&gt;&lt;wsp:rsid wsp:val=&quot;00927F77&quot;/&gt;&lt;wsp:rsid wsp:val=&quot;00927FEB&quot;/&gt;&lt;wsp:rsid wsp:val=&quot;009304F1&quot;/&gt;&lt;wsp:rsid wsp:val=&quot;00930641&quot;/&gt;&lt;wsp:rsid wsp:val=&quot;0093088D&quot;/&gt;&lt;wsp:rsid wsp:val=&quot;00930C11&quot;/&gt;&lt;wsp:rsid wsp:val=&quot;00930D0B&quot;/&gt;&lt;wsp:rsid wsp:val=&quot;00930DD3&quot;/&gt;&lt;wsp:rsid wsp:val=&quot;009313EC&quot;/&gt;&lt;wsp:rsid wsp:val=&quot;00931554&quot;/&gt;&lt;wsp:rsid wsp:val=&quot;00931B48&quot;/&gt;&lt;wsp:rsid wsp:val=&quot;00931CE2&quot;/&gt;&lt;wsp:rsid wsp:val=&quot;0093200C&quot;/&gt;&lt;wsp:rsid wsp:val=&quot;009325ED&quot;/&gt;&lt;wsp:rsid wsp:val=&quot;0093275E&quot;/&gt;&lt;wsp:rsid wsp:val=&quot;0093287D&quot;/&gt;&lt;wsp:rsid wsp:val=&quot;00932D4D&quot;/&gt;&lt;wsp:rsid wsp:val=&quot;00932DE2&quot;/&gt;&lt;wsp:rsid wsp:val=&quot;00932E21&quot;/&gt;&lt;wsp:rsid wsp:val=&quot;0093355D&quot;/&gt;&lt;wsp:rsid wsp:val=&quot;00933887&quot;/&gt;&lt;wsp:rsid wsp:val=&quot;009339E0&quot;/&gt;&lt;wsp:rsid wsp:val=&quot;00933DB8&quot;/&gt;&lt;wsp:rsid wsp:val=&quot;00933E9F&quot;/&gt;&lt;wsp:rsid wsp:val=&quot;0093457B&quot;/&gt;&lt;wsp:rsid wsp:val=&quot;00934D3B&quot;/&gt;&lt;wsp:rsid wsp:val=&quot;0093523C&quot;/&gt;&lt;wsp:rsid wsp:val=&quot;009352D1&quot;/&gt;&lt;wsp:rsid wsp:val=&quot;00935CC2&quot;/&gt;&lt;wsp:rsid wsp:val=&quot;00935D23&quot;/&gt;&lt;wsp:rsid wsp:val=&quot;0093605F&quot;/&gt;&lt;wsp:rsid wsp:val=&quot;009360C9&quot;/&gt;&lt;wsp:rsid wsp:val=&quot;00936545&quot;/&gt;&lt;wsp:rsid wsp:val=&quot;00936D64&quot;/&gt;&lt;wsp:rsid wsp:val=&quot;00936F3A&quot;/&gt;&lt;wsp:rsid wsp:val=&quot;00936F68&quot;/&gt;&lt;wsp:rsid wsp:val=&quot;00937205&quot;/&gt;&lt;wsp:rsid wsp:val=&quot;0093729E&quot;/&gt;&lt;wsp:rsid wsp:val=&quot;009378CC&quot;/&gt;&lt;wsp:rsid wsp:val=&quot;00937B53&quot;/&gt;&lt;wsp:rsid wsp:val=&quot;00937BA2&quot;/&gt;&lt;wsp:rsid wsp:val=&quot;00940009&quot;/&gt;&lt;wsp:rsid wsp:val=&quot;009403B1&quot;/&gt;&lt;wsp:rsid wsp:val=&quot;00940992&quot;/&gt;&lt;wsp:rsid wsp:val=&quot;00940B40&quot;/&gt;&lt;wsp:rsid wsp:val=&quot;00940B47&quot;/&gt;&lt;wsp:rsid wsp:val=&quot;00940C7A&quot;/&gt;&lt;wsp:rsid wsp:val=&quot;00940E2E&quot;/&gt;&lt;wsp:rsid wsp:val=&quot;00940ECD&quot;/&gt;&lt;wsp:rsid wsp:val=&quot;00941161&quot;/&gt;&lt;wsp:rsid wsp:val=&quot;0094116E&quot;/&gt;&lt;wsp:rsid wsp:val=&quot;00941302&quot;/&gt;&lt;wsp:rsid wsp:val=&quot;0094131C&quot;/&gt;&lt;wsp:rsid wsp:val=&quot;0094136B&quot;/&gt;&lt;wsp:rsid wsp:val=&quot;00941555&quot;/&gt;&lt;wsp:rsid wsp:val=&quot;00941B19&quot;/&gt;&lt;wsp:rsid wsp:val=&quot;009424BE&quot;/&gt;&lt;wsp:rsid wsp:val=&quot;009426FC&quot;/&gt;&lt;wsp:rsid wsp:val=&quot;009428F9&quot;/&gt;&lt;wsp:rsid wsp:val=&quot;00943268&quot;/&gt;&lt;wsp:rsid wsp:val=&quot;00943605&quot;/&gt;&lt;wsp:rsid wsp:val=&quot;00943812&quot;/&gt;&lt;wsp:rsid wsp:val=&quot;00943923&quot;/&gt;&lt;wsp:rsid wsp:val=&quot;00943EB7&quot;/&gt;&lt;wsp:rsid wsp:val=&quot;00943F71&quot;/&gt;&lt;wsp:rsid wsp:val=&quot;00943FBC&quot;/&gt;&lt;wsp:rsid wsp:val=&quot;009452AE&quot;/&gt;&lt;wsp:rsid wsp:val=&quot;00945548&quot;/&gt;&lt;wsp:rsid wsp:val=&quot;00945834&quot;/&gt;&lt;wsp:rsid wsp:val=&quot;009458E4&quot;/&gt;&lt;wsp:rsid wsp:val=&quot;00945A9F&quot;/&gt;&lt;wsp:rsid wsp:val=&quot;00945CDE&quot;/&gt;&lt;wsp:rsid wsp:val=&quot;00945DD4&quot;/&gt;&lt;wsp:rsid wsp:val=&quot;0094626E&quot;/&gt;&lt;wsp:rsid wsp:val=&quot;009463D7&quot;/&gt;&lt;wsp:rsid wsp:val=&quot;00946B1E&quot;/&gt;&lt;wsp:rsid wsp:val=&quot;00946EC2&quot;/&gt;&lt;wsp:rsid wsp:val=&quot;0094764A&quot;/&gt;&lt;wsp:rsid wsp:val=&quot;009479DB&quot;/&gt;&lt;wsp:rsid wsp:val=&quot;0095016A&quot;/&gt;&lt;wsp:rsid wsp:val=&quot;0095038D&quot;/&gt;&lt;wsp:rsid wsp:val=&quot;00951969&quot;/&gt;&lt;wsp:rsid wsp:val=&quot;00951BB1&quot;/&gt;&lt;wsp:rsid wsp:val=&quot;00951ED8&quot;/&gt;&lt;wsp:rsid wsp:val=&quot;009524C6&quot;/&gt;&lt;wsp:rsid wsp:val=&quot;009527FE&quot;/&gt;&lt;wsp:rsid wsp:val=&quot;00952805&quot;/&gt;&lt;wsp:rsid wsp:val=&quot;00952C7D&quot;/&gt;&lt;wsp:rsid wsp:val=&quot;00952ED4&quot;/&gt;&lt;wsp:rsid wsp:val=&quot;00953062&quot;/&gt;&lt;wsp:rsid wsp:val=&quot;00953263&quot;/&gt;&lt;wsp:rsid wsp:val=&quot;00953AFF&quot;/&gt;&lt;wsp:rsid wsp:val=&quot;00953BA1&quot;/&gt;&lt;wsp:rsid wsp:val=&quot;00953E7D&quot;/&gt;&lt;wsp:rsid wsp:val=&quot;00953FA0&quot;/&gt;&lt;wsp:rsid wsp:val=&quot;00954233&quot;/&gt;&lt;wsp:rsid wsp:val=&quot;00954283&quot;/&gt;&lt;wsp:rsid wsp:val=&quot;0095446D&quot;/&gt;&lt;wsp:rsid wsp:val=&quot;0095452A&quot;/&gt;&lt;wsp:rsid wsp:val=&quot;0095460C&quot;/&gt;&lt;wsp:rsid wsp:val=&quot;0095480E&quot;/&gt;&lt;wsp:rsid wsp:val=&quot;00954BAD&quot;/&gt;&lt;wsp:rsid wsp:val=&quot;00954E91&quot;/&gt;&lt;wsp:rsid wsp:val=&quot;009550C2&quot;/&gt;&lt;wsp:rsid wsp:val=&quot;0095533C&quot;/&gt;&lt;wsp:rsid wsp:val=&quot;009557A8&quot;/&gt;&lt;wsp:rsid wsp:val=&quot;00955DE6&quot;/&gt;&lt;wsp:rsid wsp:val=&quot;00955DF3&quot;/&gt;&lt;wsp:rsid wsp:val=&quot;00955DFE&quot;/&gt;&lt;wsp:rsid wsp:val=&quot;00955F0C&quot;/&gt;&lt;wsp:rsid wsp:val=&quot;009560F5&quot;/&gt;&lt;wsp:rsid wsp:val=&quot;00956C7D&quot;/&gt;&lt;wsp:rsid wsp:val=&quot;00956CDB&quot;/&gt;&lt;wsp:rsid wsp:val=&quot;0095730C&quot;/&gt;&lt;wsp:rsid wsp:val=&quot;00957695&quot;/&gt;&lt;wsp:rsid wsp:val=&quot;009576DE&quot;/&gt;&lt;wsp:rsid wsp:val=&quot;00957CC0&quot;/&gt;&lt;wsp:rsid wsp:val=&quot;00957D47&quot;/&gt;&lt;wsp:rsid wsp:val=&quot;00957EC5&quot;/&gt;&lt;wsp:rsid wsp:val=&quot;00960237&quot;/&gt;&lt;wsp:rsid wsp:val=&quot;0096032B&quot;/&gt;&lt;wsp:rsid wsp:val=&quot;009606AB&quot;/&gt;&lt;wsp:rsid wsp:val=&quot;009609B8&quot;/&gt;&lt;wsp:rsid wsp:val=&quot;00960A1B&quot;/&gt;&lt;wsp:rsid wsp:val=&quot;00960A5B&quot;/&gt;&lt;wsp:rsid wsp:val=&quot;00960DD3&quot;/&gt;&lt;wsp:rsid wsp:val=&quot;00960DF8&quot;/&gt;&lt;wsp:rsid wsp:val=&quot;00960F40&quot;/&gt;&lt;wsp:rsid wsp:val=&quot;00960FA4&quot;/&gt;&lt;wsp:rsid wsp:val=&quot;00961315&quot;/&gt;&lt;wsp:rsid wsp:val=&quot;0096148D&quot;/&gt;&lt;wsp:rsid wsp:val=&quot;00962566&quot;/&gt;&lt;wsp:rsid wsp:val=&quot;00962DEC&quot;/&gt;&lt;wsp:rsid wsp:val=&quot;0096305B&quot;/&gt;&lt;wsp:rsid wsp:val=&quot;00963321&quot;/&gt;&lt;wsp:rsid wsp:val=&quot;0096374E&quot;/&gt;&lt;wsp:rsid wsp:val=&quot;0096384C&quot;/&gt;&lt;wsp:rsid wsp:val=&quot;00963990&quot;/&gt;&lt;wsp:rsid wsp:val=&quot;00963F3E&quot;/&gt;&lt;wsp:rsid wsp:val=&quot;00963FB5&quot;/&gt;&lt;wsp:rsid wsp:val=&quot;00964615&quot;/&gt;&lt;wsp:rsid wsp:val=&quot;00964654&quot;/&gt;&lt;wsp:rsid wsp:val=&quot;009648C7&quot;/&gt;&lt;wsp:rsid wsp:val=&quot;00964F94&quot;/&gt;&lt;wsp:rsid wsp:val=&quot;009655CE&quot;/&gt;&lt;wsp:rsid wsp:val=&quot;00965D54&quot;/&gt;&lt;wsp:rsid wsp:val=&quot;009662CE&quot;/&gt;&lt;wsp:rsid wsp:val=&quot;00966480&quot;/&gt;&lt;wsp:rsid wsp:val=&quot;009667B5&quot;/&gt;&lt;wsp:rsid wsp:val=&quot;0096690C&quot;/&gt;&lt;wsp:rsid wsp:val=&quot;00966956&quot;/&gt;&lt;wsp:rsid wsp:val=&quot;00966A9F&quot;/&gt;&lt;wsp:rsid wsp:val=&quot;0096711A&quot;/&gt;&lt;wsp:rsid wsp:val=&quot;00967304&quot;/&gt;&lt;wsp:rsid wsp:val=&quot;00967551&quot;/&gt;&lt;wsp:rsid wsp:val=&quot;009675E9&quot;/&gt;&lt;wsp:rsid wsp:val=&quot;009677A1&quot;/&gt;&lt;wsp:rsid wsp:val=&quot;00970D50&quot;/&gt;&lt;wsp:rsid wsp:val=&quot;00970FEB&quot;/&gt;&lt;wsp:rsid wsp:val=&quot;00971110&quot;/&gt;&lt;wsp:rsid wsp:val=&quot;0097136E&quot;/&gt;&lt;wsp:rsid wsp:val=&quot;009713D0&quot;/&gt;&lt;wsp:rsid wsp:val=&quot;00971927&quot;/&gt;&lt;wsp:rsid wsp:val=&quot;00971969&quot;/&gt;&lt;wsp:rsid wsp:val=&quot;00971BC7&quot;/&gt;&lt;wsp:rsid wsp:val=&quot;00971C05&quot;/&gt;&lt;wsp:rsid wsp:val=&quot;00971CAA&quot;/&gt;&lt;wsp:rsid wsp:val=&quot;00972210&quot;/&gt;&lt;wsp:rsid wsp:val=&quot;0097343E&quot;/&gt;&lt;wsp:rsid wsp:val=&quot;00973AAB&quot;/&gt;&lt;wsp:rsid wsp:val=&quot;00973C00&quot;/&gt;&lt;wsp:rsid wsp:val=&quot;00973D92&quot;/&gt;&lt;wsp:rsid wsp:val=&quot;00973E53&quot;/&gt;&lt;wsp:rsid wsp:val=&quot;00974110&quot;/&gt;&lt;wsp:rsid wsp:val=&quot;009741DD&quot;/&gt;&lt;wsp:rsid wsp:val=&quot;009742E5&quot;/&gt;&lt;wsp:rsid wsp:val=&quot;00974907&quot;/&gt;&lt;wsp:rsid wsp:val=&quot;00974AE7&quot;/&gt;&lt;wsp:rsid wsp:val=&quot;0097550F&quot;/&gt;&lt;wsp:rsid wsp:val=&quot;0097594A&quot;/&gt;&lt;wsp:rsid wsp:val=&quot;009759C3&quot;/&gt;&lt;wsp:rsid wsp:val=&quot;00975A0E&quot;/&gt;&lt;wsp:rsid wsp:val=&quot;00976090&quot;/&gt;&lt;wsp:rsid wsp:val=&quot;0097735E&quot;/&gt;&lt;wsp:rsid wsp:val=&quot;0097784C&quot;/&gt;&lt;wsp:rsid wsp:val=&quot;009778A0&quot;/&gt;&lt;wsp:rsid wsp:val=&quot;00977B6E&quot;/&gt;&lt;wsp:rsid wsp:val=&quot;00977D78&quot;/&gt;&lt;wsp:rsid wsp:val=&quot;009801FA&quot;/&gt;&lt;wsp:rsid wsp:val=&quot;00980377&quot;/&gt;&lt;wsp:rsid wsp:val=&quot;00980390&quot;/&gt;&lt;wsp:rsid wsp:val=&quot;009803F5&quot;/&gt;&lt;wsp:rsid wsp:val=&quot;00980790&quot;/&gt;&lt;wsp:rsid wsp:val=&quot;00980BB9&quot;/&gt;&lt;wsp:rsid wsp:val=&quot;00980E2A&quot;/&gt;&lt;wsp:rsid wsp:val=&quot;00980EC8&quot;/&gt;&lt;wsp:rsid wsp:val=&quot;009815C2&quot;/&gt;&lt;wsp:rsid wsp:val=&quot;0098278D&quot;/&gt;&lt;wsp:rsid wsp:val=&quot;00982AC4&quot;/&gt;&lt;wsp:rsid wsp:val=&quot;0098346C&quot;/&gt;&lt;wsp:rsid wsp:val=&quot;0098353D&quot;/&gt;&lt;wsp:rsid wsp:val=&quot;009835FB&quot;/&gt;&lt;wsp:rsid wsp:val=&quot;00983797&quot;/&gt;&lt;wsp:rsid wsp:val=&quot;00983827&quot;/&gt;&lt;wsp:rsid wsp:val=&quot;0098488D&quot;/&gt;&lt;wsp:rsid wsp:val=&quot;00984A8C&quot;/&gt;&lt;wsp:rsid wsp:val=&quot;00984AAD&quot;/&gt;&lt;wsp:rsid wsp:val=&quot;00984B8B&quot;/&gt;&lt;wsp:rsid wsp:val=&quot;00984D74&quot;/&gt;&lt;wsp:rsid wsp:val=&quot;00984DD8&quot;/&gt;&lt;wsp:rsid wsp:val=&quot;0098508E&quot;/&gt;&lt;wsp:rsid wsp:val=&quot;009852F4&quot;/&gt;&lt;wsp:rsid wsp:val=&quot;009859BF&quot;/&gt;&lt;wsp:rsid wsp:val=&quot;00987163&quot;/&gt;&lt;wsp:rsid wsp:val=&quot;0098754F&quot;/&gt;&lt;wsp:rsid wsp:val=&quot;00987980&quot;/&gt;&lt;wsp:rsid wsp:val=&quot;00987E89&quot;/&gt;&lt;wsp:rsid wsp:val=&quot;00991459&quot;/&gt;&lt;wsp:rsid wsp:val=&quot;00991671&quot;/&gt;&lt;wsp:rsid wsp:val=&quot;00991782&quot;/&gt;&lt;wsp:rsid wsp:val=&quot;009917E3&quot;/&gt;&lt;wsp:rsid wsp:val=&quot;00991A13&quot;/&gt;&lt;wsp:rsid wsp:val=&quot;00991E2A&quot;/&gt;&lt;wsp:rsid wsp:val=&quot;009921AD&quot;/&gt;&lt;wsp:rsid wsp:val=&quot;009921D4&quot;/&gt;&lt;wsp:rsid wsp:val=&quot;0099278A&quot;/&gt;&lt;wsp:rsid wsp:val=&quot;00992869&quot;/&gt;&lt;wsp:rsid wsp:val=&quot;00992C3D&quot;/&gt;&lt;wsp:rsid wsp:val=&quot;00992DE3&quot;/&gt;&lt;wsp:rsid wsp:val=&quot;0099312A&quot;/&gt;&lt;wsp:rsid wsp:val=&quot;00993200&quot;/&gt;&lt;wsp:rsid wsp:val=&quot;00993249&quot;/&gt;&lt;wsp:rsid wsp:val=&quot;00993475&quot;/&gt;&lt;wsp:rsid wsp:val=&quot;00993B49&quot;/&gt;&lt;wsp:rsid wsp:val=&quot;00993BD3&quot;/&gt;&lt;wsp:rsid wsp:val=&quot;00994D3E&quot;/&gt;&lt;wsp:rsid wsp:val=&quot;009955E0&quot;/&gt;&lt;wsp:rsid wsp:val=&quot;00995611&quot;/&gt;&lt;wsp:rsid wsp:val=&quot;009957D0&quot;/&gt;&lt;wsp:rsid wsp:val=&quot;009958F6&quot;/&gt;&lt;wsp:rsid wsp:val=&quot;00995A30&quot;/&gt;&lt;wsp:rsid wsp:val=&quot;00995C78&quot;/&gt;&lt;wsp:rsid wsp:val=&quot;00995D52&quot;/&gt;&lt;wsp:rsid wsp:val=&quot;00995D62&quot;/&gt;&lt;wsp:rsid wsp:val=&quot;00995EED&quot;/&gt;&lt;wsp:rsid wsp:val=&quot;0099609C&quot;/&gt;&lt;wsp:rsid wsp:val=&quot;009967AD&quot;/&gt;&lt;wsp:rsid wsp:val=&quot;00996821&quot;/&gt;&lt;wsp:rsid wsp:val=&quot;009969C4&quot;/&gt;&lt;wsp:rsid wsp:val=&quot;00996C5E&quot;/&gt;&lt;wsp:rsid wsp:val=&quot;00996E57&quot;/&gt;&lt;wsp:rsid wsp:val=&quot;009972EB&quot;/&gt;&lt;wsp:rsid wsp:val=&quot;00997809&quot;/&gt;&lt;wsp:rsid wsp:val=&quot;009A00EF&quot;/&gt;&lt;wsp:rsid wsp:val=&quot;009A031D&quot;/&gt;&lt;wsp:rsid wsp:val=&quot;009A0546&quot;/&gt;&lt;wsp:rsid wsp:val=&quot;009A0691&quot;/&gt;&lt;wsp:rsid wsp:val=&quot;009A0AA4&quot;/&gt;&lt;wsp:rsid wsp:val=&quot;009A1202&quot;/&gt;&lt;wsp:rsid wsp:val=&quot;009A16E8&quot;/&gt;&lt;wsp:rsid wsp:val=&quot;009A170E&quot;/&gt;&lt;wsp:rsid wsp:val=&quot;009A1756&quot;/&gt;&lt;wsp:rsid wsp:val=&quot;009A179F&quot;/&gt;&lt;wsp:rsid wsp:val=&quot;009A1F5C&quot;/&gt;&lt;wsp:rsid wsp:val=&quot;009A215F&quot;/&gt;&lt;wsp:rsid wsp:val=&quot;009A24E6&quot;/&gt;&lt;wsp:rsid wsp:val=&quot;009A24F6&quot;/&gt;&lt;wsp:rsid wsp:val=&quot;009A2528&quot;/&gt;&lt;wsp:rsid wsp:val=&quot;009A261F&quot;/&gt;&lt;wsp:rsid wsp:val=&quot;009A295F&quot;/&gt;&lt;wsp:rsid wsp:val=&quot;009A2EEB&quot;/&gt;&lt;wsp:rsid wsp:val=&quot;009A3A57&quot;/&gt;&lt;wsp:rsid wsp:val=&quot;009A3CCC&quot;/&gt;&lt;wsp:rsid wsp:val=&quot;009A4396&quot;/&gt;&lt;wsp:rsid wsp:val=&quot;009A452F&quot;/&gt;&lt;wsp:rsid wsp:val=&quot;009A46B8&quot;/&gt;&lt;wsp:rsid wsp:val=&quot;009A4725&quot;/&gt;&lt;wsp:rsid wsp:val=&quot;009A4863&quot;/&gt;&lt;wsp:rsid wsp:val=&quot;009A4996&quot;/&gt;&lt;wsp:rsid wsp:val=&quot;009A4BC2&quot;/&gt;&lt;wsp:rsid wsp:val=&quot;009A4F9A&quot;/&gt;&lt;wsp:rsid wsp:val=&quot;009A5039&quot;/&gt;&lt;wsp:rsid wsp:val=&quot;009A519E&quot;/&gt;&lt;wsp:rsid wsp:val=&quot;009A5423&quot;/&gt;&lt;wsp:rsid wsp:val=&quot;009A5468&quot;/&gt;&lt;wsp:rsid wsp:val=&quot;009A57B5&quot;/&gt;&lt;wsp:rsid wsp:val=&quot;009A5B9A&quot;/&gt;&lt;wsp:rsid wsp:val=&quot;009A5E75&quot;/&gt;&lt;wsp:rsid wsp:val=&quot;009A60AE&quot;/&gt;&lt;wsp:rsid wsp:val=&quot;009A616D&quot;/&gt;&lt;wsp:rsid wsp:val=&quot;009A6712&quot;/&gt;&lt;wsp:rsid wsp:val=&quot;009A68F1&quot;/&gt;&lt;wsp:rsid wsp:val=&quot;009A6A5B&quot;/&gt;&lt;wsp:rsid wsp:val=&quot;009A6B39&quot;/&gt;&lt;wsp:rsid wsp:val=&quot;009A6D9B&quot;/&gt;&lt;wsp:rsid wsp:val=&quot;009A7078&quot;/&gt;&lt;wsp:rsid wsp:val=&quot;009A751C&quot;/&gt;&lt;wsp:rsid wsp:val=&quot;009A7768&quot;/&gt;&lt;wsp:rsid wsp:val=&quot;009A778F&quot;/&gt;&lt;wsp:rsid wsp:val=&quot;009A7BB0&quot;/&gt;&lt;wsp:rsid wsp:val=&quot;009A7BFB&quot;/&gt;&lt;wsp:rsid wsp:val=&quot;009A7C9E&quot;/&gt;&lt;wsp:rsid wsp:val=&quot;009B030A&quot;/&gt;&lt;wsp:rsid wsp:val=&quot;009B0BA0&quot;/&gt;&lt;wsp:rsid wsp:val=&quot;009B0D0E&quot;/&gt;&lt;wsp:rsid wsp:val=&quot;009B0D1C&quot;/&gt;&lt;wsp:rsid wsp:val=&quot;009B1D40&quot;/&gt;&lt;wsp:rsid wsp:val=&quot;009B2453&quot;/&gt;&lt;wsp:rsid wsp:val=&quot;009B25C0&quot;/&gt;&lt;wsp:rsid wsp:val=&quot;009B2649&quot;/&gt;&lt;wsp:rsid wsp:val=&quot;009B27CF&quot;/&gt;&lt;wsp:rsid wsp:val=&quot;009B2818&quot;/&gt;&lt;wsp:rsid wsp:val=&quot;009B2A7E&quot;/&gt;&lt;wsp:rsid wsp:val=&quot;009B2AAF&quot;/&gt;&lt;wsp:rsid wsp:val=&quot;009B2AFC&quot;/&gt;&lt;wsp:rsid wsp:val=&quot;009B2B4B&quot;/&gt;&lt;wsp:rsid wsp:val=&quot;009B2DDF&quot;/&gt;&lt;wsp:rsid wsp:val=&quot;009B3261&quot;/&gt;&lt;wsp:rsid wsp:val=&quot;009B3DE1&quot;/&gt;&lt;wsp:rsid wsp:val=&quot;009B4723&quot;/&gt;&lt;wsp:rsid wsp:val=&quot;009B4B92&quot;/&gt;&lt;wsp:rsid wsp:val=&quot;009B54B4&quot;/&gt;&lt;wsp:rsid wsp:val=&quot;009B5A4D&quot;/&gt;&lt;wsp:rsid wsp:val=&quot;009B5BB6&quot;/&gt;&lt;wsp:rsid wsp:val=&quot;009B6CDE&quot;/&gt;&lt;wsp:rsid wsp:val=&quot;009B7120&quot;/&gt;&lt;wsp:rsid wsp:val=&quot;009B79FA&quot;/&gt;&lt;wsp:rsid wsp:val=&quot;009B7A35&quot;/&gt;&lt;wsp:rsid wsp:val=&quot;009B7B82&quot;/&gt;&lt;wsp:rsid wsp:val=&quot;009B7DC2&quot;/&gt;&lt;wsp:rsid wsp:val=&quot;009C053E&quot;/&gt;&lt;wsp:rsid wsp:val=&quot;009C06B6&quot;/&gt;&lt;wsp:rsid wsp:val=&quot;009C08EA&quot;/&gt;&lt;wsp:rsid wsp:val=&quot;009C09FD&quot;/&gt;&lt;wsp:rsid wsp:val=&quot;009C0D5C&quot;/&gt;&lt;wsp:rsid wsp:val=&quot;009C1451&quot;/&gt;&lt;wsp:rsid wsp:val=&quot;009C1F4F&quot;/&gt;&lt;wsp:rsid wsp:val=&quot;009C2072&quot;/&gt;&lt;wsp:rsid wsp:val=&quot;009C23D6&quot;/&gt;&lt;wsp:rsid wsp:val=&quot;009C2722&quot;/&gt;&lt;wsp:rsid wsp:val=&quot;009C2729&quot;/&gt;&lt;wsp:rsid wsp:val=&quot;009C2784&quot;/&gt;&lt;wsp:rsid wsp:val=&quot;009C2AEA&quot;/&gt;&lt;wsp:rsid wsp:val=&quot;009C2C3F&quot;/&gt;&lt;wsp:rsid wsp:val=&quot;009C2FDD&quot;/&gt;&lt;wsp:rsid wsp:val=&quot;009C34F9&quot;/&gt;&lt;wsp:rsid wsp:val=&quot;009C35E7&quot;/&gt;&lt;wsp:rsid wsp:val=&quot;009C36E7&quot;/&gt;&lt;wsp:rsid wsp:val=&quot;009C38E9&quot;/&gt;&lt;wsp:rsid wsp:val=&quot;009C39F3&quot;/&gt;&lt;wsp:rsid wsp:val=&quot;009C3E94&quot;/&gt;&lt;wsp:rsid wsp:val=&quot;009C3FCC&quot;/&gt;&lt;wsp:rsid wsp:val=&quot;009C4BE5&quot;/&gt;&lt;wsp:rsid wsp:val=&quot;009C4ED7&quot;/&gt;&lt;wsp:rsid wsp:val=&quot;009C4F74&quot;/&gt;&lt;wsp:rsid wsp:val=&quot;009C5115&quot;/&gt;&lt;wsp:rsid wsp:val=&quot;009C517E&quot;/&gt;&lt;wsp:rsid wsp:val=&quot;009C542D&quot;/&gt;&lt;wsp:rsid wsp:val=&quot;009C57E9&quot;/&gt;&lt;wsp:rsid wsp:val=&quot;009C5B1C&quot;/&gt;&lt;wsp:rsid wsp:val=&quot;009C5BC1&quot;/&gt;&lt;wsp:rsid wsp:val=&quot;009C6835&quot;/&gt;&lt;wsp:rsid wsp:val=&quot;009C696A&quot;/&gt;&lt;wsp:rsid wsp:val=&quot;009C6BF5&quot;/&gt;&lt;wsp:rsid wsp:val=&quot;009C708E&quot;/&gt;&lt;wsp:rsid wsp:val=&quot;009C715D&quot;/&gt;&lt;wsp:rsid wsp:val=&quot;009C76B8&quot;/&gt;&lt;wsp:rsid wsp:val=&quot;009C7E16&quot;/&gt;&lt;wsp:rsid wsp:val=&quot;009C7E8B&quot;/&gt;&lt;wsp:rsid wsp:val=&quot;009C7F54&quot;/&gt;&lt;wsp:rsid wsp:val=&quot;009C7F9F&quot;/&gt;&lt;wsp:rsid wsp:val=&quot;009D04EE&quot;/&gt;&lt;wsp:rsid wsp:val=&quot;009D07C5&quot;/&gt;&lt;wsp:rsid wsp:val=&quot;009D0A80&quot;/&gt;&lt;wsp:rsid wsp:val=&quot;009D0AA1&quot;/&gt;&lt;wsp:rsid wsp:val=&quot;009D0AF6&quot;/&gt;&lt;wsp:rsid wsp:val=&quot;009D0B58&quot;/&gt;&lt;wsp:rsid wsp:val=&quot;009D0BEB&quot;/&gt;&lt;wsp:rsid wsp:val=&quot;009D11AD&quot;/&gt;&lt;wsp:rsid wsp:val=&quot;009D1479&quot;/&gt;&lt;wsp:rsid wsp:val=&quot;009D15E4&quot;/&gt;&lt;wsp:rsid wsp:val=&quot;009D162D&quot;/&gt;&lt;wsp:rsid wsp:val=&quot;009D17A0&quot;/&gt;&lt;wsp:rsid wsp:val=&quot;009D19F1&quot;/&gt;&lt;wsp:rsid wsp:val=&quot;009D2125&quot;/&gt;&lt;wsp:rsid wsp:val=&quot;009D227E&quot;/&gt;&lt;wsp:rsid wsp:val=&quot;009D23AA&quot;/&gt;&lt;wsp:rsid wsp:val=&quot;009D23C0&quot;/&gt;&lt;wsp:rsid wsp:val=&quot;009D281F&quot;/&gt;&lt;wsp:rsid wsp:val=&quot;009D298A&quot;/&gt;&lt;wsp:rsid wsp:val=&quot;009D29F0&quot;/&gt;&lt;wsp:rsid wsp:val=&quot;009D2B6B&quot;/&gt;&lt;wsp:rsid wsp:val=&quot;009D2BE3&quot;/&gt;&lt;wsp:rsid wsp:val=&quot;009D2E4A&quot;/&gt;&lt;wsp:rsid wsp:val=&quot;009D2EBB&quot;/&gt;&lt;wsp:rsid wsp:val=&quot;009D2FBB&quot;/&gt;&lt;wsp:rsid wsp:val=&quot;009D31E6&quot;/&gt;&lt;wsp:rsid wsp:val=&quot;009D35BB&quot;/&gt;&lt;wsp:rsid wsp:val=&quot;009D3A39&quot;/&gt;&lt;wsp:rsid wsp:val=&quot;009D3AE1&quot;/&gt;&lt;wsp:rsid wsp:val=&quot;009D3AF5&quot;/&gt;&lt;wsp:rsid wsp:val=&quot;009D461A&quot;/&gt;&lt;wsp:rsid wsp:val=&quot;009D56D5&quot;/&gt;&lt;wsp:rsid wsp:val=&quot;009D57B6&quot;/&gt;&lt;wsp:rsid wsp:val=&quot;009D5916&quot;/&gt;&lt;wsp:rsid wsp:val=&quot;009D5D5E&quot;/&gt;&lt;wsp:rsid wsp:val=&quot;009D6099&quot;/&gt;&lt;wsp:rsid wsp:val=&quot;009D61D7&quot;/&gt;&lt;wsp:rsid wsp:val=&quot;009D61E5&quot;/&gt;&lt;wsp:rsid wsp:val=&quot;009D6605&quot;/&gt;&lt;wsp:rsid wsp:val=&quot;009D67EA&quot;/&gt;&lt;wsp:rsid wsp:val=&quot;009D6ABA&quot;/&gt;&lt;wsp:rsid wsp:val=&quot;009D6ABF&quot;/&gt;&lt;wsp:rsid wsp:val=&quot;009D6D5A&quot;/&gt;&lt;wsp:rsid wsp:val=&quot;009D79DB&quot;/&gt;&lt;wsp:rsid wsp:val=&quot;009D7A84&quot;/&gt;&lt;wsp:rsid wsp:val=&quot;009D7AB4&quot;/&gt;&lt;wsp:rsid wsp:val=&quot;009D7D1E&quot;/&gt;&lt;wsp:rsid wsp:val=&quot;009D7FD1&quot;/&gt;&lt;wsp:rsid wsp:val=&quot;009E037F&quot;/&gt;&lt;wsp:rsid wsp:val=&quot;009E07DE&quot;/&gt;&lt;wsp:rsid wsp:val=&quot;009E0BCD&quot;/&gt;&lt;wsp:rsid wsp:val=&quot;009E0BEF&quot;/&gt;&lt;wsp:rsid wsp:val=&quot;009E0DD7&quot;/&gt;&lt;wsp:rsid wsp:val=&quot;009E0F4D&quot;/&gt;&lt;wsp:rsid wsp:val=&quot;009E0FB4&quot;/&gt;&lt;wsp:rsid wsp:val=&quot;009E1086&quot;/&gt;&lt;wsp:rsid wsp:val=&quot;009E1294&quot;/&gt;&lt;wsp:rsid wsp:val=&quot;009E19F8&quot;/&gt;&lt;wsp:rsid wsp:val=&quot;009E1C77&quot;/&gt;&lt;wsp:rsid wsp:val=&quot;009E2DEE&quot;/&gt;&lt;wsp:rsid wsp:val=&quot;009E36EB&quot;/&gt;&lt;wsp:rsid wsp:val=&quot;009E3E4C&quot;/&gt;&lt;wsp:rsid wsp:val=&quot;009E3FFF&quot;/&gt;&lt;wsp:rsid wsp:val=&quot;009E45F4&quot;/&gt;&lt;wsp:rsid wsp:val=&quot;009E4622&quot;/&gt;&lt;wsp:rsid wsp:val=&quot;009E48F5&quot;/&gt;&lt;wsp:rsid wsp:val=&quot;009E5044&quot;/&gt;&lt;wsp:rsid wsp:val=&quot;009E5060&quot;/&gt;&lt;wsp:rsid wsp:val=&quot;009E53F0&quot;/&gt;&lt;wsp:rsid wsp:val=&quot;009E53F2&quot;/&gt;&lt;wsp:rsid wsp:val=&quot;009E5666&quot;/&gt;&lt;wsp:rsid wsp:val=&quot;009E56C1&quot;/&gt;&lt;wsp:rsid wsp:val=&quot;009E591E&quot;/&gt;&lt;wsp:rsid wsp:val=&quot;009E5D87&quot;/&gt;&lt;wsp:rsid wsp:val=&quot;009E5DE0&quot;/&gt;&lt;wsp:rsid wsp:val=&quot;009E68A8&quot;/&gt;&lt;wsp:rsid wsp:val=&quot;009E6988&quot;/&gt;&lt;wsp:rsid wsp:val=&quot;009E6C73&quot;/&gt;&lt;wsp:rsid wsp:val=&quot;009E6CC9&quot;/&gt;&lt;wsp:rsid wsp:val=&quot;009E71EE&quot;/&gt;&lt;wsp:rsid wsp:val=&quot;009E7D27&quot;/&gt;&lt;wsp:rsid wsp:val=&quot;009F0DAA&quot;/&gt;&lt;wsp:rsid wsp:val=&quot;009F0E30&quot;/&gt;&lt;wsp:rsid wsp:val=&quot;009F1B40&quot;/&gt;&lt;wsp:rsid wsp:val=&quot;009F1C8A&quot;/&gt;&lt;wsp:rsid wsp:val=&quot;009F254F&quot;/&gt;&lt;wsp:rsid wsp:val=&quot;009F26F9&quot;/&gt;&lt;wsp:rsid wsp:val=&quot;009F2846&quot;/&gt;&lt;wsp:rsid wsp:val=&quot;009F2AFA&quot;/&gt;&lt;wsp:rsid wsp:val=&quot;009F2D02&quot;/&gt;&lt;wsp:rsid wsp:val=&quot;009F3060&quot;/&gt;&lt;wsp:rsid wsp:val=&quot;009F37DD&quot;/&gt;&lt;wsp:rsid wsp:val=&quot;009F3857&quot;/&gt;&lt;wsp:rsid wsp:val=&quot;009F3960&quot;/&gt;&lt;wsp:rsid wsp:val=&quot;009F3C41&quot;/&gt;&lt;wsp:rsid wsp:val=&quot;009F426A&quot;/&gt;&lt;wsp:rsid wsp:val=&quot;009F4681&quot;/&gt;&lt;wsp:rsid wsp:val=&quot;009F48C5&quot;/&gt;&lt;wsp:rsid wsp:val=&quot;009F4D8C&quot;/&gt;&lt;wsp:rsid wsp:val=&quot;009F4FFF&quot;/&gt;&lt;wsp:rsid wsp:val=&quot;009F519D&quot;/&gt;&lt;wsp:rsid wsp:val=&quot;009F5232&quot;/&gt;&lt;wsp:rsid wsp:val=&quot;009F52A3&quot;/&gt;&lt;wsp:rsid wsp:val=&quot;009F53C7&quot;/&gt;&lt;wsp:rsid wsp:val=&quot;009F56F5&quot;/&gt;&lt;wsp:rsid wsp:val=&quot;009F590B&quot;/&gt;&lt;wsp:rsid wsp:val=&quot;009F5AF6&quot;/&gt;&lt;wsp:rsid wsp:val=&quot;009F5EC0&quot;/&gt;&lt;wsp:rsid wsp:val=&quot;009F6174&quot;/&gt;&lt;wsp:rsid wsp:val=&quot;009F61F3&quot;/&gt;&lt;wsp:rsid wsp:val=&quot;009F6612&quot;/&gt;&lt;wsp:rsid wsp:val=&quot;009F66D0&quot;/&gt;&lt;wsp:rsid wsp:val=&quot;009F6BFF&quot;/&gt;&lt;wsp:rsid wsp:val=&quot;009F6C12&quot;/&gt;&lt;wsp:rsid wsp:val=&quot;009F6C6F&quot;/&gt;&lt;wsp:rsid wsp:val=&quot;009F6D60&quot;/&gt;&lt;wsp:rsid wsp:val=&quot;009F6E91&quot;/&gt;&lt;wsp:rsid wsp:val=&quot;009F7704&quot;/&gt;&lt;wsp:rsid wsp:val=&quot;009F7E7D&quot;/&gt;&lt;wsp:rsid wsp:val=&quot;00A00108&quot;/&gt;&lt;wsp:rsid wsp:val=&quot;00A0029D&quot;/&gt;&lt;wsp:rsid wsp:val=&quot;00A006E2&quot;/&gt;&lt;wsp:rsid wsp:val=&quot;00A006EE&quot;/&gt;&lt;wsp:rsid wsp:val=&quot;00A0074F&quot;/&gt;&lt;wsp:rsid wsp:val=&quot;00A00F23&quot;/&gt;&lt;wsp:rsid wsp:val=&quot;00A013C1&quot;/&gt;&lt;wsp:rsid wsp:val=&quot;00A01BB7&quot;/&gt;&lt;wsp:rsid wsp:val=&quot;00A01BBC&quot;/&gt;&lt;wsp:rsid wsp:val=&quot;00A01C6B&quot;/&gt;&lt;wsp:rsid wsp:val=&quot;00A01CBE&quot;/&gt;&lt;wsp:rsid wsp:val=&quot;00A0234B&quot;/&gt;&lt;wsp:rsid wsp:val=&quot;00A024CC&quot;/&gt;&lt;wsp:rsid wsp:val=&quot;00A02851&quot;/&gt;&lt;wsp:rsid wsp:val=&quot;00A02878&quot;/&gt;&lt;wsp:rsid wsp:val=&quot;00A02CB7&quot;/&gt;&lt;wsp:rsid wsp:val=&quot;00A0335B&quot;/&gt;&lt;wsp:rsid wsp:val=&quot;00A03B79&quot;/&gt;&lt;wsp:rsid wsp:val=&quot;00A03E14&quot;/&gt;&lt;wsp:rsid wsp:val=&quot;00A04440&quot;/&gt;&lt;wsp:rsid wsp:val=&quot;00A04E5B&quot;/&gt;&lt;wsp:rsid wsp:val=&quot;00A04F29&quot;/&gt;&lt;wsp:rsid wsp:val=&quot;00A05038&quot;/&gt;&lt;wsp:rsid wsp:val=&quot;00A0578A&quot;/&gt;&lt;wsp:rsid wsp:val=&quot;00A05925&quot;/&gt;&lt;wsp:rsid wsp:val=&quot;00A05AA3&quot;/&gt;&lt;wsp:rsid wsp:val=&quot;00A05F18&quot;/&gt;&lt;wsp:rsid wsp:val=&quot;00A06349&quot;/&gt;&lt;wsp:rsid wsp:val=&quot;00A06389&quot;/&gt;&lt;wsp:rsid wsp:val=&quot;00A063D6&quot;/&gt;&lt;wsp:rsid wsp:val=&quot;00A06AF7&quot;/&gt;&lt;wsp:rsid wsp:val=&quot;00A06C3B&quot;/&gt;&lt;wsp:rsid wsp:val=&quot;00A0705C&quot;/&gt;&lt;wsp:rsid wsp:val=&quot;00A071F0&quot;/&gt;&lt;wsp:rsid wsp:val=&quot;00A0795B&quot;/&gt;&lt;wsp:rsid wsp:val=&quot;00A07FD5&quot;/&gt;&lt;wsp:rsid wsp:val=&quot;00A10198&quot;/&gt;&lt;wsp:rsid wsp:val=&quot;00A101C2&quot;/&gt;&lt;wsp:rsid wsp:val=&quot;00A10679&quot;/&gt;&lt;wsp:rsid wsp:val=&quot;00A106EB&quot;/&gt;&lt;wsp:rsid wsp:val=&quot;00A109EE&quot;/&gt;&lt;wsp:rsid wsp:val=&quot;00A112E7&quot;/&gt;&lt;wsp:rsid wsp:val=&quot;00A11859&quot;/&gt;&lt;wsp:rsid wsp:val=&quot;00A11F40&quot;/&gt;&lt;wsp:rsid wsp:val=&quot;00A12240&quot;/&gt;&lt;wsp:rsid wsp:val=&quot;00A12640&quot;/&gt;&lt;wsp:rsid wsp:val=&quot;00A128AA&quot;/&gt;&lt;wsp:rsid wsp:val=&quot;00A12C11&quot;/&gt;&lt;wsp:rsid wsp:val=&quot;00A12C12&quot;/&gt;&lt;wsp:rsid wsp:val=&quot;00A12D6A&quot;/&gt;&lt;wsp:rsid wsp:val=&quot;00A12D7C&quot;/&gt;&lt;wsp:rsid wsp:val=&quot;00A1375D&quot;/&gt;&lt;wsp:rsid wsp:val=&quot;00A1385D&quot;/&gt;&lt;wsp:rsid wsp:val=&quot;00A13B28&quot;/&gt;&lt;wsp:rsid wsp:val=&quot;00A13D39&quot;/&gt;&lt;wsp:rsid wsp:val=&quot;00A13F73&quot;/&gt;&lt;wsp:rsid wsp:val=&quot;00A13F82&quot;/&gt;&lt;wsp:rsid wsp:val=&quot;00A13FED&quot;/&gt;&lt;wsp:rsid wsp:val=&quot;00A14252&quot;/&gt;&lt;wsp:rsid wsp:val=&quot;00A148D1&quot;/&gt;&lt;wsp:rsid wsp:val=&quot;00A148FB&quot;/&gt;&lt;wsp:rsid wsp:val=&quot;00A14FE7&quot;/&gt;&lt;wsp:rsid wsp:val=&quot;00A150D5&quot;/&gt;&lt;wsp:rsid wsp:val=&quot;00A15168&quot;/&gt;&lt;wsp:rsid wsp:val=&quot;00A1543F&quot;/&gt;&lt;wsp:rsid wsp:val=&quot;00A15572&quot;/&gt;&lt;wsp:rsid wsp:val=&quot;00A15783&quot;/&gt;&lt;wsp:rsid wsp:val=&quot;00A15C97&quot;/&gt;&lt;wsp:rsid wsp:val=&quot;00A15CBA&quot;/&gt;&lt;wsp:rsid wsp:val=&quot;00A16141&quot;/&gt;&lt;wsp:rsid wsp:val=&quot;00A166D0&quot;/&gt;&lt;wsp:rsid wsp:val=&quot;00A16A35&quot;/&gt;&lt;wsp:rsid wsp:val=&quot;00A1722D&quot;/&gt;&lt;wsp:rsid wsp:val=&quot;00A1763E&quot;/&gt;&lt;wsp:rsid wsp:val=&quot;00A17B2D&quot;/&gt;&lt;wsp:rsid wsp:val=&quot;00A17C35&quot;/&gt;&lt;wsp:rsid wsp:val=&quot;00A17D80&quot;/&gt;&lt;wsp:rsid wsp:val=&quot;00A17DDB&quot;/&gt;&lt;wsp:rsid wsp:val=&quot;00A17E93&quot;/&gt;&lt;wsp:rsid wsp:val=&quot;00A17FD5&quot;/&gt;&lt;wsp:rsid wsp:val=&quot;00A20378&quot;/&gt;&lt;wsp:rsid wsp:val=&quot;00A209EA&quot;/&gt;&lt;wsp:rsid wsp:val=&quot;00A20D10&quot;/&gt;&lt;wsp:rsid wsp:val=&quot;00A20E6C&quot;/&gt;&lt;wsp:rsid wsp:val=&quot;00A20F11&quot;/&gt;&lt;wsp:rsid wsp:val=&quot;00A21ABD&quot;/&gt;&lt;wsp:rsid wsp:val=&quot;00A21BFA&quot;/&gt;&lt;wsp:rsid wsp:val=&quot;00A21CE4&quot;/&gt;&lt;wsp:rsid wsp:val=&quot;00A2207C&quot;/&gt;&lt;wsp:rsid wsp:val=&quot;00A22137&quot;/&gt;&lt;wsp:rsid wsp:val=&quot;00A226FC&quot;/&gt;&lt;wsp:rsid wsp:val=&quot;00A226FF&quot;/&gt;&lt;wsp:rsid wsp:val=&quot;00A2291F&quot;/&gt;&lt;wsp:rsid wsp:val=&quot;00A22E0D&quot;/&gt;&lt;wsp:rsid wsp:val=&quot;00A22F42&quot;/&gt;&lt;wsp:rsid wsp:val=&quot;00A23506&quot;/&gt;&lt;wsp:rsid wsp:val=&quot;00A23648&quot;/&gt;&lt;wsp:rsid wsp:val=&quot;00A23994&quot;/&gt;&lt;wsp:rsid wsp:val=&quot;00A23B5E&quot;/&gt;&lt;wsp:rsid wsp:val=&quot;00A24233&quot;/&gt;&lt;wsp:rsid wsp:val=&quot;00A24248&quot;/&gt;&lt;wsp:rsid wsp:val=&quot;00A24A2D&quot;/&gt;&lt;wsp:rsid wsp:val=&quot;00A252E7&quot;/&gt;&lt;wsp:rsid wsp:val=&quot;00A2593E&quot;/&gt;&lt;wsp:rsid wsp:val=&quot;00A261A7&quot;/&gt;&lt;wsp:rsid wsp:val=&quot;00A262EE&quot;/&gt;&lt;wsp:rsid wsp:val=&quot;00A270A3&quot;/&gt;&lt;wsp:rsid wsp:val=&quot;00A27218&quot;/&gt;&lt;wsp:rsid wsp:val=&quot;00A272C0&quot;/&gt;&lt;wsp:rsid wsp:val=&quot;00A27335&quot;/&gt;&lt;wsp:rsid wsp:val=&quot;00A27758&quot;/&gt;&lt;wsp:rsid wsp:val=&quot;00A27EF4&quot;/&gt;&lt;wsp:rsid wsp:val=&quot;00A27F1E&quot;/&gt;&lt;wsp:rsid wsp:val=&quot;00A30022&quot;/&gt;&lt;wsp:rsid wsp:val=&quot;00A30405&quot;/&gt;&lt;wsp:rsid wsp:val=&quot;00A30473&quot;/&gt;&lt;wsp:rsid wsp:val=&quot;00A304F6&quot;/&gt;&lt;wsp:rsid wsp:val=&quot;00A30940&quot;/&gt;&lt;wsp:rsid wsp:val=&quot;00A30C79&quot;/&gt;&lt;wsp:rsid wsp:val=&quot;00A30CD9&quot;/&gt;&lt;wsp:rsid wsp:val=&quot;00A30D84&quot;/&gt;&lt;wsp:rsid wsp:val=&quot;00A310F8&quot;/&gt;&lt;wsp:rsid wsp:val=&quot;00A31154&quot;/&gt;&lt;wsp:rsid wsp:val=&quot;00A3124A&quot;/&gt;&lt;wsp:rsid wsp:val=&quot;00A31811&quot;/&gt;&lt;wsp:rsid wsp:val=&quot;00A31CD5&quot;/&gt;&lt;wsp:rsid wsp:val=&quot;00A32633&quot;/&gt;&lt;wsp:rsid wsp:val=&quot;00A32EF9&quot;/&gt;&lt;wsp:rsid wsp:val=&quot;00A3384E&quot;/&gt;&lt;wsp:rsid wsp:val=&quot;00A33D51&quot;/&gt;&lt;wsp:rsid wsp:val=&quot;00A33EAA&quot;/&gt;&lt;wsp:rsid wsp:val=&quot;00A34099&quot;/&gt;&lt;wsp:rsid wsp:val=&quot;00A343F7&quot;/&gt;&lt;wsp:rsid wsp:val=&quot;00A34488&quot;/&gt;&lt;wsp:rsid wsp:val=&quot;00A34787&quot;/&gt;&lt;wsp:rsid wsp:val=&quot;00A3483B&quot;/&gt;&lt;wsp:rsid wsp:val=&quot;00A348E8&quot;/&gt;&lt;wsp:rsid wsp:val=&quot;00A34919&quot;/&gt;&lt;wsp:rsid wsp:val=&quot;00A34AB2&quot;/&gt;&lt;wsp:rsid wsp:val=&quot;00A3521D&quot;/&gt;&lt;wsp:rsid wsp:val=&quot;00A352D6&quot;/&gt;&lt;wsp:rsid wsp:val=&quot;00A35655&quot;/&gt;&lt;wsp:rsid wsp:val=&quot;00A35DA5&quot;/&gt;&lt;wsp:rsid wsp:val=&quot;00A3602A&quot;/&gt;&lt;wsp:rsid wsp:val=&quot;00A3612D&quot;/&gt;&lt;wsp:rsid wsp:val=&quot;00A3687D&quot;/&gt;&lt;wsp:rsid wsp:val=&quot;00A36911&quot;/&gt;&lt;wsp:rsid wsp:val=&quot;00A36FC7&quot;/&gt;&lt;wsp:rsid wsp:val=&quot;00A375E3&quot;/&gt;&lt;wsp:rsid wsp:val=&quot;00A37CCC&quot;/&gt;&lt;wsp:rsid wsp:val=&quot;00A37D0D&quot;/&gt;&lt;wsp:rsid wsp:val=&quot;00A40248&quot;/&gt;&lt;wsp:rsid wsp:val=&quot;00A40A2D&quot;/&gt;&lt;wsp:rsid wsp:val=&quot;00A40C6F&quot;/&gt;&lt;wsp:rsid wsp:val=&quot;00A40F5C&quot;/&gt;&lt;wsp:rsid wsp:val=&quot;00A41847&quot;/&gt;&lt;wsp:rsid wsp:val=&quot;00A41B59&quot;/&gt;&lt;wsp:rsid wsp:val=&quot;00A41EEF&quot;/&gt;&lt;wsp:rsid wsp:val=&quot;00A4240B&quot;/&gt;&lt;wsp:rsid wsp:val=&quot;00A4252A&quot;/&gt;&lt;wsp:rsid wsp:val=&quot;00A429A0&quot;/&gt;&lt;wsp:rsid wsp:val=&quot;00A43176&quot;/&gt;&lt;wsp:rsid wsp:val=&quot;00A43177&quot;/&gt;&lt;wsp:rsid wsp:val=&quot;00A43326&quot;/&gt;&lt;wsp:rsid wsp:val=&quot;00A43637&quot;/&gt;&lt;wsp:rsid wsp:val=&quot;00A4383F&quot;/&gt;&lt;wsp:rsid wsp:val=&quot;00A43F6D&quot;/&gt;&lt;wsp:rsid wsp:val=&quot;00A442DB&quot;/&gt;&lt;wsp:rsid wsp:val=&quot;00A44F49&quot;/&gt;&lt;wsp:rsid wsp:val=&quot;00A465D5&quot;/&gt;&lt;wsp:rsid wsp:val=&quot;00A47257&quot;/&gt;&lt;wsp:rsid wsp:val=&quot;00A4729B&quot;/&gt;&lt;wsp:rsid wsp:val=&quot;00A4778F&quot;/&gt;&lt;wsp:rsid wsp:val=&quot;00A47AEC&quot;/&gt;&lt;wsp:rsid wsp:val=&quot;00A47F2C&quot;/&gt;&lt;wsp:rsid wsp:val=&quot;00A50056&quot;/&gt;&lt;wsp:rsid wsp:val=&quot;00A5053E&quot;/&gt;&lt;wsp:rsid wsp:val=&quot;00A50D97&quot;/&gt;&lt;wsp:rsid wsp:val=&quot;00A51313&quot;/&gt;&lt;wsp:rsid wsp:val=&quot;00A513B8&quot;/&gt;&lt;wsp:rsid wsp:val=&quot;00A51795&quot;/&gt;&lt;wsp:rsid wsp:val=&quot;00A51870&quot;/&gt;&lt;wsp:rsid wsp:val=&quot;00A518ED&quot;/&gt;&lt;wsp:rsid wsp:val=&quot;00A51CA5&quot;/&gt;&lt;wsp:rsid wsp:val=&quot;00A51F41&quot;/&gt;&lt;wsp:rsid wsp:val=&quot;00A51F64&quot;/&gt;&lt;wsp:rsid wsp:val=&quot;00A52270&quot;/&gt;&lt;wsp:rsid wsp:val=&quot;00A526BB&quot;/&gt;&lt;wsp:rsid wsp:val=&quot;00A528FE&quot;/&gt;&lt;wsp:rsid wsp:val=&quot;00A52AB8&quot;/&gt;&lt;wsp:rsid wsp:val=&quot;00A52C16&quot;/&gt;&lt;wsp:rsid wsp:val=&quot;00A52FAE&quot;/&gt;&lt;wsp:rsid wsp:val=&quot;00A53478&quot;/&gt;&lt;wsp:rsid wsp:val=&quot;00A537B8&quot;/&gt;&lt;wsp:rsid wsp:val=&quot;00A537CA&quot;/&gt;&lt;wsp:rsid wsp:val=&quot;00A53809&quot;/&gt;&lt;wsp:rsid wsp:val=&quot;00A53D59&quot;/&gt;&lt;wsp:rsid wsp:val=&quot;00A53E21&quot;/&gt;&lt;wsp:rsid wsp:val=&quot;00A54816&quot;/&gt;&lt;wsp:rsid wsp:val=&quot;00A54971&quot;/&gt;&lt;wsp:rsid wsp:val=&quot;00A54E31&quot;/&gt;&lt;wsp:rsid wsp:val=&quot;00A5553C&quot;/&gt;&lt;wsp:rsid wsp:val=&quot;00A55B82&quot;/&gt;&lt;wsp:rsid wsp:val=&quot;00A56042&quot;/&gt;&lt;wsp:rsid wsp:val=&quot;00A5604E&quot;/&gt;&lt;wsp:rsid wsp:val=&quot;00A56484&quot;/&gt;&lt;wsp:rsid wsp:val=&quot;00A56E0B&quot;/&gt;&lt;wsp:rsid wsp:val=&quot;00A575B8&quot;/&gt;&lt;wsp:rsid wsp:val=&quot;00A57746&quot;/&gt;&lt;wsp:rsid wsp:val=&quot;00A57A97&quot;/&gt;&lt;wsp:rsid wsp:val=&quot;00A57D2D&quot;/&gt;&lt;wsp:rsid wsp:val=&quot;00A6006A&quot;/&gt;&lt;wsp:rsid wsp:val=&quot;00A6014E&quot;/&gt;&lt;wsp:rsid wsp:val=&quot;00A604C0&quot;/&gt;&lt;wsp:rsid wsp:val=&quot;00A607AF&quot;/&gt;&lt;wsp:rsid wsp:val=&quot;00A60DD1&quot;/&gt;&lt;wsp:rsid wsp:val=&quot;00A6113E&quot;/&gt;&lt;wsp:rsid wsp:val=&quot;00A6171A&quot;/&gt;&lt;wsp:rsid wsp:val=&quot;00A61798&quot;/&gt;&lt;wsp:rsid wsp:val=&quot;00A6194C&quot;/&gt;&lt;wsp:rsid wsp:val=&quot;00A61983&quot;/&gt;&lt;wsp:rsid wsp:val=&quot;00A61A8E&quot;/&gt;&lt;wsp:rsid wsp:val=&quot;00A61DB3&quot;/&gt;&lt;wsp:rsid wsp:val=&quot;00A61E69&quot;/&gt;&lt;wsp:rsid wsp:val=&quot;00A62020&quot;/&gt;&lt;wsp:rsid wsp:val=&quot;00A626B2&quot;/&gt;&lt;wsp:rsid wsp:val=&quot;00A627DD&quot;/&gt;&lt;wsp:rsid wsp:val=&quot;00A629DA&quot;/&gt;&lt;wsp:rsid wsp:val=&quot;00A6304F&quot;/&gt;&lt;wsp:rsid wsp:val=&quot;00A63AA4&quot;/&gt;&lt;wsp:rsid wsp:val=&quot;00A63B13&quot;/&gt;&lt;wsp:rsid wsp:val=&quot;00A63D49&quot;/&gt;&lt;wsp:rsid wsp:val=&quot;00A64267&quot;/&gt;&lt;wsp:rsid wsp:val=&quot;00A648AE&quot;/&gt;&lt;wsp:rsid wsp:val=&quot;00A64BC5&quot;/&gt;&lt;wsp:rsid wsp:val=&quot;00A64D66&quot;/&gt;&lt;wsp:rsid wsp:val=&quot;00A65203&quot;/&gt;&lt;wsp:rsid wsp:val=&quot;00A65267&quot;/&gt;&lt;wsp:rsid wsp:val=&quot;00A6539A&quot;/&gt;&lt;wsp:rsid wsp:val=&quot;00A65429&quot;/&gt;&lt;wsp:rsid wsp:val=&quot;00A65763&quot;/&gt;&lt;wsp:rsid wsp:val=&quot;00A65CF2&quot;/&gt;&lt;wsp:rsid wsp:val=&quot;00A65FB1&quot;/&gt;&lt;wsp:rsid wsp:val=&quot;00A660DE&quot;/&gt;&lt;wsp:rsid wsp:val=&quot;00A66337&quot;/&gt;&lt;wsp:rsid wsp:val=&quot;00A66855&quot;/&gt;&lt;wsp:rsid wsp:val=&quot;00A66C91&quot;/&gt;&lt;wsp:rsid wsp:val=&quot;00A66D12&quot;/&gt;&lt;wsp:rsid wsp:val=&quot;00A66D7A&quot;/&gt;&lt;wsp:rsid wsp:val=&quot;00A670D6&quot;/&gt;&lt;wsp:rsid wsp:val=&quot;00A6729D&quot;/&gt;&lt;wsp:rsid wsp:val=&quot;00A67394&quot;/&gt;&lt;wsp:rsid wsp:val=&quot;00A677B5&quot;/&gt;&lt;wsp:rsid wsp:val=&quot;00A6790F&quot;/&gt;&lt;wsp:rsid wsp:val=&quot;00A67912&quot;/&gt;&lt;wsp:rsid wsp:val=&quot;00A67DAC&quot;/&gt;&lt;wsp:rsid wsp:val=&quot;00A701FD&quot;/&gt;&lt;wsp:rsid wsp:val=&quot;00A707D4&quot;/&gt;&lt;wsp:rsid wsp:val=&quot;00A70A5B&quot;/&gt;&lt;wsp:rsid wsp:val=&quot;00A70BDE&quot;/&gt;&lt;wsp:rsid wsp:val=&quot;00A70E8D&quot;/&gt;&lt;wsp:rsid wsp:val=&quot;00A70EC1&quot;/&gt;&lt;wsp:rsid wsp:val=&quot;00A70F52&quot;/&gt;&lt;wsp:rsid wsp:val=&quot;00A710F7&quot;/&gt;&lt;wsp:rsid wsp:val=&quot;00A71124&quot;/&gt;&lt;wsp:rsid wsp:val=&quot;00A7121B&quot;/&gt;&lt;wsp:rsid wsp:val=&quot;00A715C6&quot;/&gt;&lt;wsp:rsid wsp:val=&quot;00A715FD&quot;/&gt;&lt;wsp:rsid wsp:val=&quot;00A71A9A&quot;/&gt;&lt;wsp:rsid wsp:val=&quot;00A71FF8&quot;/&gt;&lt;wsp:rsid wsp:val=&quot;00A7266F&quot;/&gt;&lt;wsp:rsid wsp:val=&quot;00A72C11&quot;/&gt;&lt;wsp:rsid wsp:val=&quot;00A72E7A&quot;/&gt;&lt;wsp:rsid wsp:val=&quot;00A7352C&quot;/&gt;&lt;wsp:rsid wsp:val=&quot;00A73841&quot;/&gt;&lt;wsp:rsid wsp:val=&quot;00A73A59&quot;/&gt;&lt;wsp:rsid wsp:val=&quot;00A73D44&quot;/&gt;&lt;wsp:rsid wsp:val=&quot;00A741C8&quot;/&gt;&lt;wsp:rsid wsp:val=&quot;00A74A9A&quot;/&gt;&lt;wsp:rsid wsp:val=&quot;00A74C38&quot;/&gt;&lt;wsp:rsid wsp:val=&quot;00A75314&quot;/&gt;&lt;wsp:rsid wsp:val=&quot;00A7562A&quot;/&gt;&lt;wsp:rsid wsp:val=&quot;00A75D66&quot;/&gt;&lt;wsp:rsid wsp:val=&quot;00A75E31&quot;/&gt;&lt;wsp:rsid wsp:val=&quot;00A75E76&quot;/&gt;&lt;wsp:rsid wsp:val=&quot;00A76326&quot;/&gt;&lt;wsp:rsid wsp:val=&quot;00A765A2&quot;/&gt;&lt;wsp:rsid wsp:val=&quot;00A765C0&quot;/&gt;&lt;wsp:rsid wsp:val=&quot;00A7686C&quot;/&gt;&lt;wsp:rsid wsp:val=&quot;00A76A08&quot;/&gt;&lt;wsp:rsid wsp:val=&quot;00A76A40&quot;/&gt;&lt;wsp:rsid wsp:val=&quot;00A76B2A&quot;/&gt;&lt;wsp:rsid wsp:val=&quot;00A76D07&quot;/&gt;&lt;wsp:rsid wsp:val=&quot;00A76E3C&quot;/&gt;&lt;wsp:rsid wsp:val=&quot;00A7790D&quot;/&gt;&lt;wsp:rsid wsp:val=&quot;00A77B57&quot;/&gt;&lt;wsp:rsid wsp:val=&quot;00A77BFB&quot;/&gt;&lt;wsp:rsid wsp:val=&quot;00A800B3&quot;/&gt;&lt;wsp:rsid wsp:val=&quot;00A80333&quot;/&gt;&lt;wsp:rsid wsp:val=&quot;00A807B7&quot;/&gt;&lt;wsp:rsid wsp:val=&quot;00A80877&quot;/&gt;&lt;wsp:rsid wsp:val=&quot;00A80892&quot;/&gt;&lt;wsp:rsid wsp:val=&quot;00A80A0E&quot;/&gt;&lt;wsp:rsid wsp:val=&quot;00A80A86&quot;/&gt;&lt;wsp:rsid wsp:val=&quot;00A810F9&quot;/&gt;&lt;wsp:rsid wsp:val=&quot;00A8111C&quot;/&gt;&lt;wsp:rsid wsp:val=&quot;00A8170A&quot;/&gt;&lt;wsp:rsid wsp:val=&quot;00A818A4&quot;/&gt;&lt;wsp:rsid wsp:val=&quot;00A81DD7&quot;/&gt;&lt;wsp:rsid wsp:val=&quot;00A820B4&quot;/&gt;&lt;wsp:rsid wsp:val=&quot;00A82346&quot;/&gt;&lt;wsp:rsid wsp:val=&quot;00A82675&quot;/&gt;&lt;wsp:rsid wsp:val=&quot;00A82773&quot;/&gt;&lt;wsp:rsid wsp:val=&quot;00A8277D&quot;/&gt;&lt;wsp:rsid wsp:val=&quot;00A83BFC&quot;/&gt;&lt;wsp:rsid wsp:val=&quot;00A83DD5&quot;/&gt;&lt;wsp:rsid wsp:val=&quot;00A841A8&quot;/&gt;&lt;wsp:rsid wsp:val=&quot;00A8425B&quot;/&gt;&lt;wsp:rsid wsp:val=&quot;00A84D1E&quot;/&gt;&lt;wsp:rsid wsp:val=&quot;00A85234&quot;/&gt;&lt;wsp:rsid wsp:val=&quot;00A853B5&quot;/&gt;&lt;wsp:rsid wsp:val=&quot;00A855A2&quot;/&gt;&lt;wsp:rsid wsp:val=&quot;00A85755&quot;/&gt;&lt;wsp:rsid wsp:val=&quot;00A858ED&quot;/&gt;&lt;wsp:rsid wsp:val=&quot;00A85A20&quot;/&gt;&lt;wsp:rsid wsp:val=&quot;00A85D90&quot;/&gt;&lt;wsp:rsid wsp:val=&quot;00A85E89&quot;/&gt;&lt;wsp:rsid wsp:val=&quot;00A85EB0&quot;/&gt;&lt;wsp:rsid wsp:val=&quot;00A86531&quot;/&gt;&lt;wsp:rsid wsp:val=&quot;00A867EB&quot;/&gt;&lt;wsp:rsid wsp:val=&quot;00A86B33&quot;/&gt;&lt;wsp:rsid wsp:val=&quot;00A86EEB&quot;/&gt;&lt;wsp:rsid wsp:val=&quot;00A87155&quot;/&gt;&lt;wsp:rsid wsp:val=&quot;00A87208&quot;/&gt;&lt;wsp:rsid wsp:val=&quot;00A87724&quot;/&gt;&lt;wsp:rsid wsp:val=&quot;00A87820&quot;/&gt;&lt;wsp:rsid wsp:val=&quot;00A8788D&quot;/&gt;&lt;wsp:rsid wsp:val=&quot;00A878A4&quot;/&gt;&lt;wsp:rsid wsp:val=&quot;00A879D6&quot;/&gt;&lt;wsp:rsid wsp:val=&quot;00A87C29&quot;/&gt;&lt;wsp:rsid wsp:val=&quot;00A87F41&quot;/&gt;&lt;wsp:rsid wsp:val=&quot;00A903DE&quot;/&gt;&lt;wsp:rsid wsp:val=&quot;00A90584&quot;/&gt;&lt;wsp:rsid wsp:val=&quot;00A90A12&quot;/&gt;&lt;wsp:rsid wsp:val=&quot;00A90F31&quot;/&gt;&lt;wsp:rsid wsp:val=&quot;00A912DD&quot;/&gt;&lt;wsp:rsid wsp:val=&quot;00A915D8&quot;/&gt;&lt;wsp:rsid wsp:val=&quot;00A91839&quot;/&gt;&lt;wsp:rsid wsp:val=&quot;00A91B76&quot;/&gt;&lt;wsp:rsid wsp:val=&quot;00A91B9A&quot;/&gt;&lt;wsp:rsid wsp:val=&quot;00A91E08&quot;/&gt;&lt;wsp:rsid wsp:val=&quot;00A92168&quot;/&gt;&lt;wsp:rsid wsp:val=&quot;00A92513&quot;/&gt;&lt;wsp:rsid wsp:val=&quot;00A928DB&quot;/&gt;&lt;wsp:rsid wsp:val=&quot;00A9295F&quot;/&gt;&lt;wsp:rsid wsp:val=&quot;00A92B87&quot;/&gt;&lt;wsp:rsid wsp:val=&quot;00A9315B&quot;/&gt;&lt;wsp:rsid wsp:val=&quot;00A931F2&quot;/&gt;&lt;wsp:rsid wsp:val=&quot;00A93507&quot;/&gt;&lt;wsp:rsid wsp:val=&quot;00A935C3&quot;/&gt;&lt;wsp:rsid wsp:val=&quot;00A93D4E&quot;/&gt;&lt;wsp:rsid wsp:val=&quot;00A93DE5&quot;/&gt;&lt;wsp:rsid wsp:val=&quot;00A93DE8&quot;/&gt;&lt;wsp:rsid wsp:val=&quot;00A93F76&quot;/&gt;&lt;wsp:rsid wsp:val=&quot;00A94491&quot;/&gt;&lt;wsp:rsid wsp:val=&quot;00A9480B&quot;/&gt;&lt;wsp:rsid wsp:val=&quot;00A94810&quot;/&gt;&lt;wsp:rsid wsp:val=&quot;00A951C6&quot;/&gt;&lt;wsp:rsid wsp:val=&quot;00A95BEC&quot;/&gt;&lt;wsp:rsid wsp:val=&quot;00A961BB&quot;/&gt;&lt;wsp:rsid wsp:val=&quot;00A9681E&quot;/&gt;&lt;wsp:rsid wsp:val=&quot;00A96A52&quot;/&gt;&lt;wsp:rsid wsp:val=&quot;00A96A66&quot;/&gt;&lt;wsp:rsid wsp:val=&quot;00A96AE7&quot;/&gt;&lt;wsp:rsid wsp:val=&quot;00A96EA8&quot;/&gt;&lt;wsp:rsid wsp:val=&quot;00A97920&quot;/&gt;&lt;wsp:rsid wsp:val=&quot;00A97D65&quot;/&gt;&lt;wsp:rsid wsp:val=&quot;00A97F1F&quot;/&gt;&lt;wsp:rsid wsp:val=&quot;00AA02FD&quot;/&gt;&lt;wsp:rsid wsp:val=&quot;00AA042C&quot;/&gt;&lt;wsp:rsid wsp:val=&quot;00AA0584&quot;/&gt;&lt;wsp:rsid wsp:val=&quot;00AA069E&quot;/&gt;&lt;wsp:rsid wsp:val=&quot;00AA0A78&quot;/&gt;&lt;wsp:rsid wsp:val=&quot;00AA0C0C&quot;/&gt;&lt;wsp:rsid wsp:val=&quot;00AA0C45&quot;/&gt;&lt;wsp:rsid wsp:val=&quot;00AA1080&quot;/&gt;&lt;wsp:rsid wsp:val=&quot;00AA1CBC&quot;/&gt;&lt;wsp:rsid wsp:val=&quot;00AA23FC&quot;/&gt;&lt;wsp:rsid wsp:val=&quot;00AA2521&quot;/&gt;&lt;wsp:rsid wsp:val=&quot;00AA2F18&quot;/&gt;&lt;wsp:rsid wsp:val=&quot;00AA314E&quot;/&gt;&lt;wsp:rsid wsp:val=&quot;00AA33A4&quot;/&gt;&lt;wsp:rsid wsp:val=&quot;00AA346B&quot;/&gt;&lt;wsp:rsid wsp:val=&quot;00AA3476&quot;/&gt;&lt;wsp:rsid wsp:val=&quot;00AA3937&quot;/&gt;&lt;wsp:rsid wsp:val=&quot;00AA3B2C&quot;/&gt;&lt;wsp:rsid wsp:val=&quot;00AA3C7A&quot;/&gt;&lt;wsp:rsid wsp:val=&quot;00AA3CBE&quot;/&gt;&lt;wsp:rsid wsp:val=&quot;00AA4246&quot;/&gt;&lt;wsp:rsid wsp:val=&quot;00AA4607&quot;/&gt;&lt;wsp:rsid wsp:val=&quot;00AA47E8&quot;/&gt;&lt;wsp:rsid wsp:val=&quot;00AA48A3&quot;/&gt;&lt;wsp:rsid wsp:val=&quot;00AA4924&quot;/&gt;&lt;wsp:rsid wsp:val=&quot;00AA4D99&quot;/&gt;&lt;wsp:rsid wsp:val=&quot;00AA4E2D&quot;/&gt;&lt;wsp:rsid wsp:val=&quot;00AA510B&quot;/&gt;&lt;wsp:rsid wsp:val=&quot;00AA512E&quot;/&gt;&lt;wsp:rsid wsp:val=&quot;00AA51BB&quot;/&gt;&lt;wsp:rsid wsp:val=&quot;00AA52B0&quot;/&gt;&lt;wsp:rsid wsp:val=&quot;00AA54CF&quot;/&gt;&lt;wsp:rsid wsp:val=&quot;00AA55AC&quot;/&gt;&lt;wsp:rsid wsp:val=&quot;00AA55DC&quot;/&gt;&lt;wsp:rsid wsp:val=&quot;00AA5A0A&quot;/&gt;&lt;wsp:rsid wsp:val=&quot;00AA5D36&quot;/&gt;&lt;wsp:rsid wsp:val=&quot;00AA5F33&quot;/&gt;&lt;wsp:rsid wsp:val=&quot;00AA66CE&quot;/&gt;&lt;wsp:rsid wsp:val=&quot;00AA6F5D&quot;/&gt;&lt;wsp:rsid wsp:val=&quot;00AA7915&quot;/&gt;&lt;wsp:rsid wsp:val=&quot;00AB097D&quot;/&gt;&lt;wsp:rsid wsp:val=&quot;00AB0B87&quot;/&gt;&lt;wsp:rsid wsp:val=&quot;00AB0E1C&quot;/&gt;&lt;wsp:rsid wsp:val=&quot;00AB10CD&quot;/&gt;&lt;wsp:rsid wsp:val=&quot;00AB1244&quot;/&gt;&lt;wsp:rsid wsp:val=&quot;00AB1504&quot;/&gt;&lt;wsp:rsid wsp:val=&quot;00AB20B0&quot;/&gt;&lt;wsp:rsid wsp:val=&quot;00AB2119&quot;/&gt;&lt;wsp:rsid wsp:val=&quot;00AB237C&quot;/&gt;&lt;wsp:rsid wsp:val=&quot;00AB269D&quot;/&gt;&lt;wsp:rsid wsp:val=&quot;00AB274E&quot;/&gt;&lt;wsp:rsid wsp:val=&quot;00AB292A&quot;/&gt;&lt;wsp:rsid wsp:val=&quot;00AB2CF5&quot;/&gt;&lt;wsp:rsid wsp:val=&quot;00AB2E72&quot;/&gt;&lt;wsp:rsid wsp:val=&quot;00AB2F00&quot;/&gt;&lt;wsp:rsid wsp:val=&quot;00AB301B&quot;/&gt;&lt;wsp:rsid wsp:val=&quot;00AB308B&quot;/&gt;&lt;wsp:rsid wsp:val=&quot;00AB3408&quot;/&gt;&lt;wsp:rsid wsp:val=&quot;00AB364B&quot;/&gt;&lt;wsp:rsid wsp:val=&quot;00AB389E&quot;/&gt;&lt;wsp:rsid wsp:val=&quot;00AB3D6A&quot;/&gt;&lt;wsp:rsid wsp:val=&quot;00AB42B0&quot;/&gt;&lt;wsp:rsid wsp:val=&quot;00AB47F0&quot;/&gt;&lt;wsp:rsid wsp:val=&quot;00AB4952&quot;/&gt;&lt;wsp:rsid wsp:val=&quot;00AB4C51&quot;/&gt;&lt;wsp:rsid wsp:val=&quot;00AB4C7F&quot;/&gt;&lt;wsp:rsid wsp:val=&quot;00AB4E24&quot;/&gt;&lt;wsp:rsid wsp:val=&quot;00AB4FE3&quot;/&gt;&lt;wsp:rsid wsp:val=&quot;00AB504C&quot;/&gt;&lt;wsp:rsid wsp:val=&quot;00AB51FA&quot;/&gt;&lt;wsp:rsid wsp:val=&quot;00AB5375&quot;/&gt;&lt;wsp:rsid wsp:val=&quot;00AB5404&quot;/&gt;&lt;wsp:rsid wsp:val=&quot;00AB55DD&quot;/&gt;&lt;wsp:rsid wsp:val=&quot;00AB5747&quot;/&gt;&lt;wsp:rsid wsp:val=&quot;00AB5B35&quot;/&gt;&lt;wsp:rsid wsp:val=&quot;00AB5CE5&quot;/&gt;&lt;wsp:rsid wsp:val=&quot;00AB67B5&quot;/&gt;&lt;wsp:rsid wsp:val=&quot;00AB67F3&quot;/&gt;&lt;wsp:rsid wsp:val=&quot;00AB6D48&quot;/&gt;&lt;wsp:rsid wsp:val=&quot;00AB6EC3&quot;/&gt;&lt;wsp:rsid wsp:val=&quot;00AB7C45&quot;/&gt;&lt;wsp:rsid wsp:val=&quot;00AC0763&quot;/&gt;&lt;wsp:rsid wsp:val=&quot;00AC0967&quot;/&gt;&lt;wsp:rsid wsp:val=&quot;00AC0D90&quot;/&gt;&lt;wsp:rsid wsp:val=&quot;00AC1044&quot;/&gt;&lt;wsp:rsid wsp:val=&quot;00AC1366&quot;/&gt;&lt;wsp:rsid wsp:val=&quot;00AC1455&quot;/&gt;&lt;wsp:rsid wsp:val=&quot;00AC18E9&quot;/&gt;&lt;wsp:rsid wsp:val=&quot;00AC19BD&quot;/&gt;&lt;wsp:rsid wsp:val=&quot;00AC2032&quot;/&gt;&lt;wsp:rsid wsp:val=&quot;00AC20DA&quot;/&gt;&lt;wsp:rsid wsp:val=&quot;00AC22D2&quot;/&gt;&lt;wsp:rsid wsp:val=&quot;00AC2495&quot;/&gt;&lt;wsp:rsid wsp:val=&quot;00AC2652&quot;/&gt;&lt;wsp:rsid wsp:val=&quot;00AC2926&quot;/&gt;&lt;wsp:rsid wsp:val=&quot;00AC2B5B&quot;/&gt;&lt;wsp:rsid wsp:val=&quot;00AC308A&quot;/&gt;&lt;wsp:rsid wsp:val=&quot;00AC358E&quot;/&gt;&lt;wsp:rsid wsp:val=&quot;00AC3903&quot;/&gt;&lt;wsp:rsid wsp:val=&quot;00AC4063&quot;/&gt;&lt;wsp:rsid wsp:val=&quot;00AC40EE&quot;/&gt;&lt;wsp:rsid wsp:val=&quot;00AC4234&quot;/&gt;&lt;wsp:rsid wsp:val=&quot;00AC4D26&quot;/&gt;&lt;wsp:rsid wsp:val=&quot;00AC4E76&quot;/&gt;&lt;wsp:rsid wsp:val=&quot;00AC4F73&quot;/&gt;&lt;wsp:rsid wsp:val=&quot;00AC533B&quot;/&gt;&lt;wsp:rsid wsp:val=&quot;00AC56DD&quot;/&gt;&lt;wsp:rsid wsp:val=&quot;00AC5796&quot;/&gt;&lt;wsp:rsid wsp:val=&quot;00AC650B&quot;/&gt;&lt;wsp:rsid wsp:val=&quot;00AC6598&quot;/&gt;&lt;wsp:rsid wsp:val=&quot;00AC68D8&quot;/&gt;&lt;wsp:rsid wsp:val=&quot;00AC699A&quot;/&gt;&lt;wsp:rsid wsp:val=&quot;00AC6C6D&quot;/&gt;&lt;wsp:rsid wsp:val=&quot;00AC6DC2&quot;/&gt;&lt;wsp:rsid wsp:val=&quot;00AC704A&quot;/&gt;&lt;wsp:rsid wsp:val=&quot;00AC73C4&quot;/&gt;&lt;wsp:rsid wsp:val=&quot;00AC77AC&quot;/&gt;&lt;wsp:rsid wsp:val=&quot;00AC7D8E&quot;/&gt;&lt;wsp:rsid wsp:val=&quot;00AD009D&quot;/&gt;&lt;wsp:rsid wsp:val=&quot;00AD034D&quot;/&gt;&lt;wsp:rsid wsp:val=&quot;00AD040A&quot;/&gt;&lt;wsp:rsid wsp:val=&quot;00AD0684&quot;/&gt;&lt;wsp:rsid wsp:val=&quot;00AD0779&quot;/&gt;&lt;wsp:rsid wsp:val=&quot;00AD08EF&quot;/&gt;&lt;wsp:rsid wsp:val=&quot;00AD1039&quot;/&gt;&lt;wsp:rsid wsp:val=&quot;00AD1BF3&quot;/&gt;&lt;wsp:rsid wsp:val=&quot;00AD1E48&quot;/&gt;&lt;wsp:rsid wsp:val=&quot;00AD2171&quot;/&gt;&lt;wsp:rsid wsp:val=&quot;00AD3062&quot;/&gt;&lt;wsp:rsid wsp:val=&quot;00AD3099&quot;/&gt;&lt;wsp:rsid wsp:val=&quot;00AD312C&quot;/&gt;&lt;wsp:rsid wsp:val=&quot;00AD32CE&quot;/&gt;&lt;wsp:rsid wsp:val=&quot;00AD334F&quot;/&gt;&lt;wsp:rsid wsp:val=&quot;00AD3D3D&quot;/&gt;&lt;wsp:rsid wsp:val=&quot;00AD405F&quot;/&gt;&lt;wsp:rsid wsp:val=&quot;00AD40C2&quot;/&gt;&lt;wsp:rsid wsp:val=&quot;00AD4218&quot;/&gt;&lt;wsp:rsid wsp:val=&quot;00AD4487&quot;/&gt;&lt;wsp:rsid wsp:val=&quot;00AD46B1&quot;/&gt;&lt;wsp:rsid wsp:val=&quot;00AD475B&quot;/&gt;&lt;wsp:rsid wsp:val=&quot;00AD4D3C&quot;/&gt;&lt;wsp:rsid wsp:val=&quot;00AD502A&quot;/&gt;&lt;wsp:rsid wsp:val=&quot;00AD56C8&quot;/&gt;&lt;wsp:rsid wsp:val=&quot;00AD5D9A&quot;/&gt;&lt;wsp:rsid wsp:val=&quot;00AD5DF1&quot;/&gt;&lt;wsp:rsid wsp:val=&quot;00AD63F8&quot;/&gt;&lt;wsp:rsid wsp:val=&quot;00AD67A3&quot;/&gt;&lt;wsp:rsid wsp:val=&quot;00AD67D1&quot;/&gt;&lt;wsp:rsid wsp:val=&quot;00AD6D97&quot;/&gt;&lt;wsp:rsid wsp:val=&quot;00AD6F2C&quot;/&gt;&lt;wsp:rsid wsp:val=&quot;00AD74DE&quot;/&gt;&lt;wsp:rsid wsp:val=&quot;00AD75D9&quot;/&gt;&lt;wsp:rsid wsp:val=&quot;00AD767D&quot;/&gt;&lt;wsp:rsid wsp:val=&quot;00AD79C8&quot;/&gt;&lt;wsp:rsid wsp:val=&quot;00AE024C&quot;/&gt;&lt;wsp:rsid wsp:val=&quot;00AE068F&quot;/&gt;&lt;wsp:rsid wsp:val=&quot;00AE0719&quot;/&gt;&lt;wsp:rsid wsp:val=&quot;00AE084B&quot;/&gt;&lt;wsp:rsid wsp:val=&quot;00AE0FEB&quot;/&gt;&lt;wsp:rsid wsp:val=&quot;00AE0FF8&quot;/&gt;&lt;wsp:rsid wsp:val=&quot;00AE1545&quot;/&gt;&lt;wsp:rsid wsp:val=&quot;00AE15DC&quot;/&gt;&lt;wsp:rsid wsp:val=&quot;00AE1955&quot;/&gt;&lt;wsp:rsid wsp:val=&quot;00AE1B40&quot;/&gt;&lt;wsp:rsid wsp:val=&quot;00AE20EA&quot;/&gt;&lt;wsp:rsid wsp:val=&quot;00AE224C&quot;/&gt;&lt;wsp:rsid wsp:val=&quot;00AE278A&quot;/&gt;&lt;wsp:rsid wsp:val=&quot;00AE2AC4&quot;/&gt;&lt;wsp:rsid wsp:val=&quot;00AE32E1&quot;/&gt;&lt;wsp:rsid wsp:val=&quot;00AE3803&quot;/&gt;&lt;wsp:rsid wsp:val=&quot;00AE3814&quot;/&gt;&lt;wsp:rsid wsp:val=&quot;00AE38C8&quot;/&gt;&lt;wsp:rsid wsp:val=&quot;00AE46DB&quot;/&gt;&lt;wsp:rsid wsp:val=&quot;00AE4840&quot;/&gt;&lt;wsp:rsid wsp:val=&quot;00AE5283&quot;/&gt;&lt;wsp:rsid wsp:val=&quot;00AE542C&quot;/&gt;&lt;wsp:rsid wsp:val=&quot;00AE5D98&quot;/&gt;&lt;wsp:rsid wsp:val=&quot;00AE5E12&quot;/&gt;&lt;wsp:rsid wsp:val=&quot;00AE5E2B&quot;/&gt;&lt;wsp:rsid wsp:val=&quot;00AE5EA0&quot;/&gt;&lt;wsp:rsid wsp:val=&quot;00AE69C5&quot;/&gt;&lt;wsp:rsid wsp:val=&quot;00AE6EB1&quot;/&gt;&lt;wsp:rsid wsp:val=&quot;00AE6F8E&quot;/&gt;&lt;wsp:rsid wsp:val=&quot;00AE76BD&quot;/&gt;&lt;wsp:rsid wsp:val=&quot;00AE794E&quot;/&gt;&lt;wsp:rsid wsp:val=&quot;00AE7B87&quot;/&gt;&lt;wsp:rsid wsp:val=&quot;00AF04F5&quot;/&gt;&lt;wsp:rsid wsp:val=&quot;00AF077C&quot;/&gt;&lt;wsp:rsid wsp:val=&quot;00AF078B&quot;/&gt;&lt;wsp:rsid wsp:val=&quot;00AF0C3E&quot;/&gt;&lt;wsp:rsid wsp:val=&quot;00AF14A8&quot;/&gt;&lt;wsp:rsid wsp:val=&quot;00AF1564&quot;/&gt;&lt;wsp:rsid wsp:val=&quot;00AF1B37&quot;/&gt;&lt;wsp:rsid wsp:val=&quot;00AF2287&quot;/&gt;&lt;wsp:rsid wsp:val=&quot;00AF2712&quot;/&gt;&lt;wsp:rsid wsp:val=&quot;00AF2CC9&quot;/&gt;&lt;wsp:rsid wsp:val=&quot;00AF2D3E&quot;/&gt;&lt;wsp:rsid wsp:val=&quot;00AF2F7A&quot;/&gt;&lt;wsp:rsid wsp:val=&quot;00AF2F9D&quot;/&gt;&lt;wsp:rsid wsp:val=&quot;00AF3149&quot;/&gt;&lt;wsp:rsid wsp:val=&quot;00AF3509&quot;/&gt;&lt;wsp:rsid wsp:val=&quot;00AF3529&quot;/&gt;&lt;wsp:rsid wsp:val=&quot;00AF3B58&quot;/&gt;&lt;wsp:rsid wsp:val=&quot;00AF3E49&quot;/&gt;&lt;wsp:rsid wsp:val=&quot;00AF424F&quot;/&gt;&lt;wsp:rsid wsp:val=&quot;00AF4343&quot;/&gt;&lt;wsp:rsid wsp:val=&quot;00AF55AA&quot;/&gt;&lt;wsp:rsid wsp:val=&quot;00AF56AE&quot;/&gt;&lt;wsp:rsid wsp:val=&quot;00AF5852&quot;/&gt;&lt;wsp:rsid wsp:val=&quot;00AF5A03&quot;/&gt;&lt;wsp:rsid wsp:val=&quot;00AF5B3E&quot;/&gt;&lt;wsp:rsid wsp:val=&quot;00AF5FD0&quot;/&gt;&lt;wsp:rsid wsp:val=&quot;00AF6623&quot;/&gt;&lt;wsp:rsid wsp:val=&quot;00AF6C6E&quot;/&gt;&lt;wsp:rsid wsp:val=&quot;00AF6F3F&quot;/&gt;&lt;wsp:rsid wsp:val=&quot;00AF7725&quot;/&gt;&lt;wsp:rsid wsp:val=&quot;00AF7759&quot;/&gt;&lt;wsp:rsid wsp:val=&quot;00B003B5&quot;/&gt;&lt;wsp:rsid wsp:val=&quot;00B00493&quot;/&gt;&lt;wsp:rsid wsp:val=&quot;00B006EA&quot;/&gt;&lt;wsp:rsid wsp:val=&quot;00B00992&quot;/&gt;&lt;wsp:rsid wsp:val=&quot;00B00A3C&quot;/&gt;&lt;wsp:rsid wsp:val=&quot;00B00DA1&quot;/&gt;&lt;wsp:rsid wsp:val=&quot;00B00DA4&quot;/&gt;&lt;wsp:rsid wsp:val=&quot;00B00DC4&quot;/&gt;&lt;wsp:rsid wsp:val=&quot;00B0124C&quot;/&gt;&lt;wsp:rsid wsp:val=&quot;00B01375&quot;/&gt;&lt;wsp:rsid wsp:val=&quot;00B01420&quot;/&gt;&lt;wsp:rsid wsp:val=&quot;00B016D4&quot;/&gt;&lt;wsp:rsid wsp:val=&quot;00B01D43&quot;/&gt;&lt;wsp:rsid wsp:val=&quot;00B01FC6&quot;/&gt;&lt;wsp:rsid wsp:val=&quot;00B02031&quot;/&gt;&lt;wsp:rsid wsp:val=&quot;00B026F6&quot;/&gt;&lt;wsp:rsid wsp:val=&quot;00B02F28&quot;/&gt;&lt;wsp:rsid wsp:val=&quot;00B0318E&quot;/&gt;&lt;wsp:rsid wsp:val=&quot;00B033E0&quot;/&gt;&lt;wsp:rsid wsp:val=&quot;00B03510&quot;/&gt;&lt;wsp:rsid wsp:val=&quot;00B03804&quot;/&gt;&lt;wsp:rsid wsp:val=&quot;00B03DEE&quot;/&gt;&lt;wsp:rsid wsp:val=&quot;00B045D9&quot;/&gt;&lt;wsp:rsid wsp:val=&quot;00B04A0F&quot;/&gt;&lt;wsp:rsid wsp:val=&quot;00B04AE7&quot;/&gt;&lt;wsp:rsid wsp:val=&quot;00B04EEB&quot;/&gt;&lt;wsp:rsid wsp:val=&quot;00B04F2C&quot;/&gt;&lt;wsp:rsid wsp:val=&quot;00B053A9&quot;/&gt;&lt;wsp:rsid wsp:val=&quot;00B05AC4&quot;/&gt;&lt;wsp:rsid wsp:val=&quot;00B05EA9&quot;/&gt;&lt;wsp:rsid wsp:val=&quot;00B05F50&quot;/&gt;&lt;wsp:rsid wsp:val=&quot;00B0603D&quot;/&gt;&lt;wsp:rsid wsp:val=&quot;00B06108&quot;/&gt;&lt;wsp:rsid wsp:val=&quot;00B06342&quot;/&gt;&lt;wsp:rsid wsp:val=&quot;00B063E9&quot;/&gt;&lt;wsp:rsid wsp:val=&quot;00B066FE&quot;/&gt;&lt;wsp:rsid wsp:val=&quot;00B067B6&quot;/&gt;&lt;wsp:rsid wsp:val=&quot;00B069EB&quot;/&gt;&lt;wsp:rsid wsp:val=&quot;00B06D78&quot;/&gt;&lt;wsp:rsid wsp:val=&quot;00B074B7&quot;/&gt;&lt;wsp:rsid wsp:val=&quot;00B07A34&quot;/&gt;&lt;wsp:rsid wsp:val=&quot;00B07A9B&quot;/&gt;&lt;wsp:rsid wsp:val=&quot;00B07C0E&quot;/&gt;&lt;wsp:rsid wsp:val=&quot;00B101E2&quot;/&gt;&lt;wsp:rsid wsp:val=&quot;00B10273&quot;/&gt;&lt;wsp:rsid wsp:val=&quot;00B102A5&quot;/&gt;&lt;wsp:rsid wsp:val=&quot;00B10437&quot;/&gt;&lt;wsp:rsid wsp:val=&quot;00B105C4&quot;/&gt;&lt;wsp:rsid wsp:val=&quot;00B10857&quot;/&gt;&lt;wsp:rsid wsp:val=&quot;00B114AA&quot;/&gt;&lt;wsp:rsid wsp:val=&quot;00B11588&quot;/&gt;&lt;wsp:rsid wsp:val=&quot;00B11AF5&quot;/&gt;&lt;wsp:rsid wsp:val=&quot;00B11C47&quot;/&gt;&lt;wsp:rsid wsp:val=&quot;00B12253&quot;/&gt;&lt;wsp:rsid wsp:val=&quot;00B1237E&quot;/&gt;&lt;wsp:rsid wsp:val=&quot;00B12763&quot;/&gt;&lt;wsp:rsid wsp:val=&quot;00B12A63&quot;/&gt;&lt;wsp:rsid wsp:val=&quot;00B12BF1&quot;/&gt;&lt;wsp:rsid wsp:val=&quot;00B12CB5&quot;/&gt;&lt;wsp:rsid wsp:val=&quot;00B12D76&quot;/&gt;&lt;wsp:rsid wsp:val=&quot;00B12EAC&quot;/&gt;&lt;wsp:rsid wsp:val=&quot;00B13341&quot;/&gt;&lt;wsp:rsid wsp:val=&quot;00B1351D&quot;/&gt;&lt;wsp:rsid wsp:val=&quot;00B13820&quot;/&gt;&lt;wsp:rsid wsp:val=&quot;00B1420F&quot;/&gt;&lt;wsp:rsid wsp:val=&quot;00B14339&quot;/&gt;&lt;wsp:rsid wsp:val=&quot;00B1488F&quot;/&gt;&lt;wsp:rsid wsp:val=&quot;00B1495C&quot;/&gt;&lt;wsp:rsid wsp:val=&quot;00B14964&quot;/&gt;&lt;wsp:rsid wsp:val=&quot;00B14EC4&quot;/&gt;&lt;wsp:rsid wsp:val=&quot;00B14FB8&quot;/&gt;&lt;wsp:rsid wsp:val=&quot;00B150F3&quot;/&gt;&lt;wsp:rsid wsp:val=&quot;00B1542F&quot;/&gt;&lt;wsp:rsid wsp:val=&quot;00B15BB8&quot;/&gt;&lt;wsp:rsid wsp:val=&quot;00B15BD5&quot;/&gt;&lt;wsp:rsid wsp:val=&quot;00B1658C&quot;/&gt;&lt;wsp:rsid wsp:val=&quot;00B165F4&quot;/&gt;&lt;wsp:rsid wsp:val=&quot;00B16B51&quot;/&gt;&lt;wsp:rsid wsp:val=&quot;00B16CE4&quot;/&gt;&lt;wsp:rsid wsp:val=&quot;00B17267&quot;/&gt;&lt;wsp:rsid wsp:val=&quot;00B17A6F&quot;/&gt;&lt;wsp:rsid wsp:val=&quot;00B17A77&quot;/&gt;&lt;wsp:rsid wsp:val=&quot;00B17F34&quot;/&gt;&lt;wsp:rsid wsp:val=&quot;00B2037C&quot;/&gt;&lt;wsp:rsid wsp:val=&quot;00B206CE&quot;/&gt;&lt;wsp:rsid wsp:val=&quot;00B207CE&quot;/&gt;&lt;wsp:rsid wsp:val=&quot;00B207EC&quot;/&gt;&lt;wsp:rsid wsp:val=&quot;00B208ED&quot;/&gt;&lt;wsp:rsid wsp:val=&quot;00B211C4&quot;/&gt;&lt;wsp:rsid wsp:val=&quot;00B21203&quot;/&gt;&lt;wsp:rsid wsp:val=&quot;00B214B2&quot;/&gt;&lt;wsp:rsid wsp:val=&quot;00B215AA&quot;/&gt;&lt;wsp:rsid wsp:val=&quot;00B215BC&quot;/&gt;&lt;wsp:rsid wsp:val=&quot;00B21620&quot;/&gt;&lt;wsp:rsid wsp:val=&quot;00B22E8F&quot;/&gt;&lt;wsp:rsid wsp:val=&quot;00B22F40&quot;/&gt;&lt;wsp:rsid wsp:val=&quot;00B23200&quot;/&gt;&lt;wsp:rsid wsp:val=&quot;00B2379C&quot;/&gt;&lt;wsp:rsid wsp:val=&quot;00B23892&quot;/&gt;&lt;wsp:rsid wsp:val=&quot;00B23D2B&quot;/&gt;&lt;wsp:rsid wsp:val=&quot;00B246A6&quot;/&gt;&lt;wsp:rsid wsp:val=&quot;00B24E41&quot;/&gt;&lt;wsp:rsid wsp:val=&quot;00B24E66&quot;/&gt;&lt;wsp:rsid wsp:val=&quot;00B25027&quot;/&gt;&lt;wsp:rsid wsp:val=&quot;00B2582C&quot;/&gt;&lt;wsp:rsid wsp:val=&quot;00B25907&quot;/&gt;&lt;wsp:rsid wsp:val=&quot;00B264BA&quot;/&gt;&lt;wsp:rsid wsp:val=&quot;00B267C6&quot;/&gt;&lt;wsp:rsid wsp:val=&quot;00B26F46&quot;/&gt;&lt;wsp:rsid wsp:val=&quot;00B270F2&quot;/&gt;&lt;wsp:rsid wsp:val=&quot;00B271B9&quot;/&gt;&lt;wsp:rsid wsp:val=&quot;00B27380&quot;/&gt;&lt;wsp:rsid wsp:val=&quot;00B274BB&quot;/&gt;&lt;wsp:rsid wsp:val=&quot;00B27520&quot;/&gt;&lt;wsp:rsid wsp:val=&quot;00B275DE&quot;/&gt;&lt;wsp:rsid wsp:val=&quot;00B27710&quot;/&gt;&lt;wsp:rsid wsp:val=&quot;00B2772A&quot;/&gt;&lt;wsp:rsid wsp:val=&quot;00B27B90&quot;/&gt;&lt;wsp:rsid wsp:val=&quot;00B27BDA&quot;/&gt;&lt;wsp:rsid wsp:val=&quot;00B302EC&quot;/&gt;&lt;wsp:rsid wsp:val=&quot;00B304C9&quot;/&gt;&lt;wsp:rsid wsp:val=&quot;00B3096D&quot;/&gt;&lt;wsp:rsid wsp:val=&quot;00B30EC9&quot;/&gt;&lt;wsp:rsid wsp:val=&quot;00B31340&quot;/&gt;&lt;wsp:rsid wsp:val=&quot;00B316E7&quot;/&gt;&lt;wsp:rsid wsp:val=&quot;00B31A7D&quot;/&gt;&lt;wsp:rsid wsp:val=&quot;00B31B75&quot;/&gt;&lt;wsp:rsid wsp:val=&quot;00B31F3B&quot;/&gt;&lt;wsp:rsid wsp:val=&quot;00B3255B&quot;/&gt;&lt;wsp:rsid wsp:val=&quot;00B32722&quot;/&gt;&lt;wsp:rsid wsp:val=&quot;00B32901&quot;/&gt;&lt;wsp:rsid wsp:val=&quot;00B32BC4&quot;/&gt;&lt;wsp:rsid wsp:val=&quot;00B32F30&quot;/&gt;&lt;wsp:rsid wsp:val=&quot;00B334E2&quot;/&gt;&lt;wsp:rsid wsp:val=&quot;00B340D8&quot;/&gt;&lt;wsp:rsid wsp:val=&quot;00B34423&quot;/&gt;&lt;wsp:rsid wsp:val=&quot;00B345E1&quot;/&gt;&lt;wsp:rsid wsp:val=&quot;00B34696&quot;/&gt;&lt;wsp:rsid wsp:val=&quot;00B34A3A&quot;/&gt;&lt;wsp:rsid wsp:val=&quot;00B3508E&quot;/&gt;&lt;wsp:rsid wsp:val=&quot;00B35471&quot;/&gt;&lt;wsp:rsid wsp:val=&quot;00B355F7&quot;/&gt;&lt;wsp:rsid wsp:val=&quot;00B355F9&quot;/&gt;&lt;wsp:rsid wsp:val=&quot;00B357FC&quot;/&gt;&lt;wsp:rsid wsp:val=&quot;00B35891&quot;/&gt;&lt;wsp:rsid wsp:val=&quot;00B358AC&quot;/&gt;&lt;wsp:rsid wsp:val=&quot;00B358E9&quot;/&gt;&lt;wsp:rsid wsp:val=&quot;00B35CC2&quot;/&gt;&lt;wsp:rsid wsp:val=&quot;00B36659&quot;/&gt;&lt;wsp:rsid wsp:val=&quot;00B366D3&quot;/&gt;&lt;wsp:rsid wsp:val=&quot;00B3693E&quot;/&gt;&lt;wsp:rsid wsp:val=&quot;00B37158&quot;/&gt;&lt;wsp:rsid wsp:val=&quot;00B373C5&quot;/&gt;&lt;wsp:rsid wsp:val=&quot;00B373F6&quot;/&gt;&lt;wsp:rsid wsp:val=&quot;00B3753C&quot;/&gt;&lt;wsp:rsid wsp:val=&quot;00B37824&quot;/&gt;&lt;wsp:rsid wsp:val=&quot;00B379CB&quot;/&gt;&lt;wsp:rsid wsp:val=&quot;00B37AB0&quot;/&gt;&lt;wsp:rsid wsp:val=&quot;00B37B1C&quot;/&gt;&lt;wsp:rsid wsp:val=&quot;00B37D83&quot;/&gt;&lt;wsp:rsid wsp:val=&quot;00B4003F&quot;/&gt;&lt;wsp:rsid wsp:val=&quot;00B4027C&quot;/&gt;&lt;wsp:rsid wsp:val=&quot;00B405AA&quot;/&gt;&lt;wsp:rsid wsp:val=&quot;00B41129&quot;/&gt;&lt;wsp:rsid wsp:val=&quot;00B41EB7&quot;/&gt;&lt;wsp:rsid wsp:val=&quot;00B420EF&quot;/&gt;&lt;wsp:rsid wsp:val=&quot;00B4230F&quot;/&gt;&lt;wsp:rsid wsp:val=&quot;00B42619&quot;/&gt;&lt;wsp:rsid wsp:val=&quot;00B42645&quot;/&gt;&lt;wsp:rsid wsp:val=&quot;00B4304B&quot;/&gt;&lt;wsp:rsid wsp:val=&quot;00B43378&quot;/&gt;&lt;wsp:rsid wsp:val=&quot;00B4338C&quot;/&gt;&lt;wsp:rsid wsp:val=&quot;00B43BD7&quot;/&gt;&lt;wsp:rsid wsp:val=&quot;00B43C58&quot;/&gt;&lt;wsp:rsid wsp:val=&quot;00B44956&quot;/&gt;&lt;wsp:rsid wsp:val=&quot;00B4527D&quot;/&gt;&lt;wsp:rsid wsp:val=&quot;00B45F5B&quot;/&gt;&lt;wsp:rsid wsp:val=&quot;00B45F5C&quot;/&gt;&lt;wsp:rsid wsp:val=&quot;00B4613C&quot;/&gt;&lt;wsp:rsid wsp:val=&quot;00B464BF&quot;/&gt;&lt;wsp:rsid wsp:val=&quot;00B47705&quot;/&gt;&lt;wsp:rsid wsp:val=&quot;00B47ABD&quot;/&gt;&lt;wsp:rsid wsp:val=&quot;00B47AD1&quot;/&gt;&lt;wsp:rsid wsp:val=&quot;00B47CF4&quot;/&gt;&lt;wsp:rsid wsp:val=&quot;00B47D36&quot;/&gt;&lt;wsp:rsid wsp:val=&quot;00B502BB&quot;/&gt;&lt;wsp:rsid wsp:val=&quot;00B503FD&quot;/&gt;&lt;wsp:rsid wsp:val=&quot;00B50466&quot;/&gt;&lt;wsp:rsid wsp:val=&quot;00B5046F&quot;/&gt;&lt;wsp:rsid wsp:val=&quot;00B505A0&quot;/&gt;&lt;wsp:rsid wsp:val=&quot;00B5084A&quot;/&gt;&lt;wsp:rsid wsp:val=&quot;00B50D60&quot;/&gt;&lt;wsp:rsid wsp:val=&quot;00B5111F&quot;/&gt;&lt;wsp:rsid wsp:val=&quot;00B5185C&quot;/&gt;&lt;wsp:rsid wsp:val=&quot;00B51AB7&quot;/&gt;&lt;wsp:rsid wsp:val=&quot;00B5203B&quot;/&gt;&lt;wsp:rsid wsp:val=&quot;00B52188&quot;/&gt;&lt;wsp:rsid wsp:val=&quot;00B5250E&quot;/&gt;&lt;wsp:rsid wsp:val=&quot;00B5261C&quot;/&gt;&lt;wsp:rsid wsp:val=&quot;00B526AE&quot;/&gt;&lt;wsp:rsid wsp:val=&quot;00B52770&quot;/&gt;&lt;wsp:rsid wsp:val=&quot;00B52A1C&quot;/&gt;&lt;wsp:rsid wsp:val=&quot;00B52A23&quot;/&gt;&lt;wsp:rsid wsp:val=&quot;00B52B05&quot;/&gt;&lt;wsp:rsid wsp:val=&quot;00B52D02&quot;/&gt;&lt;wsp:rsid wsp:val=&quot;00B5318B&quot;/&gt;&lt;wsp:rsid wsp:val=&quot;00B531BC&quot;/&gt;&lt;wsp:rsid wsp:val=&quot;00B53482&quot;/&gt;&lt;wsp:rsid wsp:val=&quot;00B5387F&quot;/&gt;&lt;wsp:rsid wsp:val=&quot;00B5389B&quot;/&gt;&lt;wsp:rsid wsp:val=&quot;00B538F1&quot;/&gt;&lt;wsp:rsid wsp:val=&quot;00B539E7&quot;/&gt;&lt;wsp:rsid wsp:val=&quot;00B53E93&quot;/&gt;&lt;wsp:rsid wsp:val=&quot;00B54064&quot;/&gt;&lt;wsp:rsid wsp:val=&quot;00B54297&quot;/&gt;&lt;wsp:rsid wsp:val=&quot;00B546F4&quot;/&gt;&lt;wsp:rsid wsp:val=&quot;00B54741&quot;/&gt;&lt;wsp:rsid wsp:val=&quot;00B55036&quot;/&gt;&lt;wsp:rsid wsp:val=&quot;00B55249&quot;/&gt;&lt;wsp:rsid wsp:val=&quot;00B5525F&quot;/&gt;&lt;wsp:rsid wsp:val=&quot;00B55663&quot;/&gt;&lt;wsp:rsid wsp:val=&quot;00B55685&quot;/&gt;&lt;wsp:rsid wsp:val=&quot;00B55912&quot;/&gt;&lt;wsp:rsid wsp:val=&quot;00B561D6&quot;/&gt;&lt;wsp:rsid wsp:val=&quot;00B561F7&quot;/&gt;&lt;wsp:rsid wsp:val=&quot;00B5637B&quot;/&gt;&lt;wsp:rsid wsp:val=&quot;00B56DF4&quot;/&gt;&lt;wsp:rsid wsp:val=&quot;00B57213&quot;/&gt;&lt;wsp:rsid wsp:val=&quot;00B573A4&quot;/&gt;&lt;wsp:rsid wsp:val=&quot;00B5750A&quot;/&gt;&lt;wsp:rsid wsp:val=&quot;00B57E4C&quot;/&gt;&lt;wsp:rsid wsp:val=&quot;00B608C4&quot;/&gt;&lt;wsp:rsid wsp:val=&quot;00B609CB&quot;/&gt;&lt;wsp:rsid wsp:val=&quot;00B61A4B&quot;/&gt;&lt;wsp:rsid wsp:val=&quot;00B61D45&quot;/&gt;&lt;wsp:rsid wsp:val=&quot;00B621BD&quot;/&gt;&lt;wsp:rsid wsp:val=&quot;00B622DE&quot;/&gt;&lt;wsp:rsid wsp:val=&quot;00B6234B&quot;/&gt;&lt;wsp:rsid wsp:val=&quot;00B6240A&quot;/&gt;&lt;wsp:rsid wsp:val=&quot;00B6240F&quot;/&gt;&lt;wsp:rsid wsp:val=&quot;00B626C5&quot;/&gt;&lt;wsp:rsid wsp:val=&quot;00B626D5&quot;/&gt;&lt;wsp:rsid wsp:val=&quot;00B62CEE&quot;/&gt;&lt;wsp:rsid wsp:val=&quot;00B63154&quot;/&gt;&lt;wsp:rsid wsp:val=&quot;00B636AA&quot;/&gt;&lt;wsp:rsid wsp:val=&quot;00B642D8&quot;/&gt;&lt;wsp:rsid wsp:val=&quot;00B647B6&quot;/&gt;&lt;wsp:rsid wsp:val=&quot;00B64D1F&quot;/&gt;&lt;wsp:rsid wsp:val=&quot;00B64D40&quot;/&gt;&lt;wsp:rsid wsp:val=&quot;00B6520B&quot;/&gt;&lt;wsp:rsid wsp:val=&quot;00B657C0&quot;/&gt;&lt;wsp:rsid wsp:val=&quot;00B659C5&quot;/&gt;&lt;wsp:rsid wsp:val=&quot;00B66936&quot;/&gt;&lt;wsp:rsid wsp:val=&quot;00B66BE4&quot;/&gt;&lt;wsp:rsid wsp:val=&quot;00B67407&quot;/&gt;&lt;wsp:rsid wsp:val=&quot;00B674C9&quot;/&gt;&lt;wsp:rsid wsp:val=&quot;00B6750B&quot;/&gt;&lt;wsp:rsid wsp:val=&quot;00B67969&quot;/&gt;&lt;wsp:rsid wsp:val=&quot;00B7024E&quot;/&gt;&lt;wsp:rsid wsp:val=&quot;00B70395&quot;/&gt;&lt;wsp:rsid wsp:val=&quot;00B70444&quot;/&gt;&lt;wsp:rsid wsp:val=&quot;00B70C63&quot;/&gt;&lt;wsp:rsid wsp:val=&quot;00B70D4A&quot;/&gt;&lt;wsp:rsid wsp:val=&quot;00B719DC&quot;/&gt;&lt;wsp:rsid wsp:val=&quot;00B71DF4&quot;/&gt;&lt;wsp:rsid wsp:val=&quot;00B71FF8&quot;/&gt;&lt;wsp:rsid wsp:val=&quot;00B7214D&quot;/&gt;&lt;wsp:rsid wsp:val=&quot;00B7237E&quot;/&gt;&lt;wsp:rsid wsp:val=&quot;00B72491&quot;/&gt;&lt;wsp:rsid wsp:val=&quot;00B72997&quot;/&gt;&lt;wsp:rsid wsp:val=&quot;00B72B2D&quot;/&gt;&lt;wsp:rsid wsp:val=&quot;00B73379&quot;/&gt;&lt;wsp:rsid wsp:val=&quot;00B738A1&quot;/&gt;&lt;wsp:rsid wsp:val=&quot;00B73E83&quot;/&gt;&lt;wsp:rsid wsp:val=&quot;00B73F7D&quot;/&gt;&lt;wsp:rsid wsp:val=&quot;00B7404A&quot;/&gt;&lt;wsp:rsid wsp:val=&quot;00B743DB&quot;/&gt;&lt;wsp:rsid wsp:val=&quot;00B74423&quot;/&gt;&lt;wsp:rsid wsp:val=&quot;00B74642&quot;/&gt;&lt;wsp:rsid wsp:val=&quot;00B74D25&quot;/&gt;&lt;wsp:rsid wsp:val=&quot;00B7536C&quot;/&gt;&lt;wsp:rsid wsp:val=&quot;00B7552C&quot;/&gt;&lt;wsp:rsid wsp:val=&quot;00B757CF&quot;/&gt;&lt;wsp:rsid wsp:val=&quot;00B7595E&quot;/&gt;&lt;wsp:rsid wsp:val=&quot;00B75F42&quot;/&gt;&lt;wsp:rsid wsp:val=&quot;00B766BB&quot;/&gt;&lt;wsp:rsid wsp:val=&quot;00B766D1&quot;/&gt;&lt;wsp:rsid wsp:val=&quot;00B769B6&quot;/&gt;&lt;wsp:rsid wsp:val=&quot;00B76C16&quot;/&gt;&lt;wsp:rsid wsp:val=&quot;00B77226&quot;/&gt;&lt;wsp:rsid wsp:val=&quot;00B7723F&quot;/&gt;&lt;wsp:rsid wsp:val=&quot;00B77294&quot;/&gt;&lt;wsp:rsid wsp:val=&quot;00B77450&quot;/&gt;&lt;wsp:rsid wsp:val=&quot;00B776BA&quot;/&gt;&lt;wsp:rsid wsp:val=&quot;00B77C3D&quot;/&gt;&lt;wsp:rsid wsp:val=&quot;00B803FB&quot;/&gt;&lt;wsp:rsid wsp:val=&quot;00B804AA&quot;/&gt;&lt;wsp:rsid wsp:val=&quot;00B8054A&quot;/&gt;&lt;wsp:rsid wsp:val=&quot;00B8064A&quot;/&gt;&lt;wsp:rsid wsp:val=&quot;00B81830&quot;/&gt;&lt;wsp:rsid wsp:val=&quot;00B81AF0&quot;/&gt;&lt;wsp:rsid wsp:val=&quot;00B81B2D&quot;/&gt;&lt;wsp:rsid wsp:val=&quot;00B82189&quot;/&gt;&lt;wsp:rsid wsp:val=&quot;00B82335&quot;/&gt;&lt;wsp:rsid wsp:val=&quot;00B82367&quot;/&gt;&lt;wsp:rsid wsp:val=&quot;00B825BC&quot;/&gt;&lt;wsp:rsid wsp:val=&quot;00B8299B&quot;/&gt;&lt;wsp:rsid wsp:val=&quot;00B82BB6&quot;/&gt;&lt;wsp:rsid wsp:val=&quot;00B830E9&quot;/&gt;&lt;wsp:rsid wsp:val=&quot;00B8316D&quot;/&gt;&lt;wsp:rsid wsp:val=&quot;00B83687&quot;/&gt;&lt;wsp:rsid wsp:val=&quot;00B83B40&quot;/&gt;&lt;wsp:rsid wsp:val=&quot;00B83E28&quot;/&gt;&lt;wsp:rsid wsp:val=&quot;00B8416F&quot;/&gt;&lt;wsp:rsid wsp:val=&quot;00B84482&quot;/&gt;&lt;wsp:rsid wsp:val=&quot;00B845CB&quot;/&gt;&lt;wsp:rsid wsp:val=&quot;00B8472E&quot;/&gt;&lt;wsp:rsid wsp:val=&quot;00B84801&quot;/&gt;&lt;wsp:rsid wsp:val=&quot;00B8506F&quot;/&gt;&lt;wsp:rsid wsp:val=&quot;00B85311&quot;/&gt;&lt;wsp:rsid wsp:val=&quot;00B859FF&quot;/&gt;&lt;wsp:rsid wsp:val=&quot;00B85A40&quot;/&gt;&lt;wsp:rsid wsp:val=&quot;00B85B95&quot;/&gt;&lt;wsp:rsid wsp:val=&quot;00B85DAE&quot;/&gt;&lt;wsp:rsid wsp:val=&quot;00B85DF7&quot;/&gt;&lt;wsp:rsid wsp:val=&quot;00B85FDF&quot;/&gt;&lt;wsp:rsid wsp:val=&quot;00B86233&quot;/&gt;&lt;wsp:rsid wsp:val=&quot;00B868D1&quot;/&gt;&lt;wsp:rsid wsp:val=&quot;00B870B9&quot;/&gt;&lt;wsp:rsid wsp:val=&quot;00B87548&quot;/&gt;&lt;wsp:rsid wsp:val=&quot;00B87808&quot;/&gt;&lt;wsp:rsid wsp:val=&quot;00B87C05&quot;/&gt;&lt;wsp:rsid wsp:val=&quot;00B87FF0&quot;/&gt;&lt;wsp:rsid wsp:val=&quot;00B90186&quot;/&gt;&lt;wsp:rsid wsp:val=&quot;00B90220&quot;/&gt;&lt;wsp:rsid wsp:val=&quot;00B9055C&quot;/&gt;&lt;wsp:rsid wsp:val=&quot;00B90A24&quot;/&gt;&lt;wsp:rsid wsp:val=&quot;00B90AFB&quot;/&gt;&lt;wsp:rsid wsp:val=&quot;00B91017&quot;/&gt;&lt;wsp:rsid wsp:val=&quot;00B91019&quot;/&gt;&lt;wsp:rsid wsp:val=&quot;00B91898&quot;/&gt;&lt;wsp:rsid wsp:val=&quot;00B91D43&quot;/&gt;&lt;wsp:rsid wsp:val=&quot;00B91FFC&quot;/&gt;&lt;wsp:rsid wsp:val=&quot;00B922CF&quot;/&gt;&lt;wsp:rsid wsp:val=&quot;00B9259B&quot;/&gt;&lt;wsp:rsid wsp:val=&quot;00B925A4&quot;/&gt;&lt;wsp:rsid wsp:val=&quot;00B92867&quot;/&gt;&lt;wsp:rsid wsp:val=&quot;00B92C8B&quot;/&gt;&lt;wsp:rsid wsp:val=&quot;00B92CE3&quot;/&gt;&lt;wsp:rsid wsp:val=&quot;00B92EDF&quot;/&gt;&lt;wsp:rsid wsp:val=&quot;00B933ED&quot;/&gt;&lt;wsp:rsid wsp:val=&quot;00B9374D&quot;/&gt;&lt;wsp:rsid wsp:val=&quot;00B939BE&quot;/&gt;&lt;wsp:rsid wsp:val=&quot;00B93A53&quot;/&gt;&lt;wsp:rsid wsp:val=&quot;00B93E91&quot;/&gt;&lt;wsp:rsid wsp:val=&quot;00B94416&quot;/&gt;&lt;wsp:rsid wsp:val=&quot;00B945F6&quot;/&gt;&lt;wsp:rsid wsp:val=&quot;00B9494F&quot;/&gt;&lt;wsp:rsid wsp:val=&quot;00B949CD&quot;/&gt;&lt;wsp:rsid wsp:val=&quot;00B94DD4&quot;/&gt;&lt;wsp:rsid wsp:val=&quot;00B957E1&quot;/&gt;&lt;wsp:rsid wsp:val=&quot;00B95A70&quot;/&gt;&lt;wsp:rsid wsp:val=&quot;00B95F0E&quot;/&gt;&lt;wsp:rsid wsp:val=&quot;00B96800&quot;/&gt;&lt;wsp:rsid wsp:val=&quot;00B96DC9&quot;/&gt;&lt;wsp:rsid wsp:val=&quot;00B96EA0&quot;/&gt;&lt;wsp:rsid wsp:val=&quot;00B972E9&quot;/&gt;&lt;wsp:rsid wsp:val=&quot;00BA00D0&quot;/&gt;&lt;wsp:rsid wsp:val=&quot;00BA0219&quot;/&gt;&lt;wsp:rsid wsp:val=&quot;00BA0229&quot;/&gt;&lt;wsp:rsid wsp:val=&quot;00BA0362&quot;/&gt;&lt;wsp:rsid wsp:val=&quot;00BA0611&quot;/&gt;&lt;wsp:rsid wsp:val=&quot;00BA0A56&quot;/&gt;&lt;wsp:rsid wsp:val=&quot;00BA149A&quot;/&gt;&lt;wsp:rsid wsp:val=&quot;00BA162E&quot;/&gt;&lt;wsp:rsid wsp:val=&quot;00BA178A&quot;/&gt;&lt;wsp:rsid wsp:val=&quot;00BA2D52&quot;/&gt;&lt;wsp:rsid wsp:val=&quot;00BA2D5D&quot;/&gt;&lt;wsp:rsid wsp:val=&quot;00BA3151&quot;/&gt;&lt;wsp:rsid wsp:val=&quot;00BA34EC&quot;/&gt;&lt;wsp:rsid wsp:val=&quot;00BA38D3&quot;/&gt;&lt;wsp:rsid wsp:val=&quot;00BA3DB2&quot;/&gt;&lt;wsp:rsid wsp:val=&quot;00BA3E49&quot;/&gt;&lt;wsp:rsid wsp:val=&quot;00BA43FA&quot;/&gt;&lt;wsp:rsid wsp:val=&quot;00BA4C42&quot;/&gt;&lt;wsp:rsid wsp:val=&quot;00BA4D6A&quot;/&gt;&lt;wsp:rsid wsp:val=&quot;00BA5CA8&quot;/&gt;&lt;wsp:rsid wsp:val=&quot;00BA5DFF&quot;/&gt;&lt;wsp:rsid wsp:val=&quot;00BA5FEF&quot;/&gt;&lt;wsp:rsid wsp:val=&quot;00BA61E1&quot;/&gt;&lt;wsp:rsid wsp:val=&quot;00BA63A1&quot;/&gt;&lt;wsp:rsid wsp:val=&quot;00BA683E&quot;/&gt;&lt;wsp:rsid wsp:val=&quot;00BA68F0&quot;/&gt;&lt;wsp:rsid wsp:val=&quot;00BA6BF0&quot;/&gt;&lt;wsp:rsid wsp:val=&quot;00BA6EF9&quot;/&gt;&lt;wsp:rsid wsp:val=&quot;00BA6FA4&quot;/&gt;&lt;wsp:rsid wsp:val=&quot;00BA7546&quot;/&gt;&lt;wsp:rsid wsp:val=&quot;00BA7725&quot;/&gt;&lt;wsp:rsid wsp:val=&quot;00BA7AD3&quot;/&gt;&lt;wsp:rsid wsp:val=&quot;00BA7FCF&quot;/&gt;&lt;wsp:rsid wsp:val=&quot;00BB022C&quot;/&gt;&lt;wsp:rsid wsp:val=&quot;00BB06E2&quot;/&gt;&lt;wsp:rsid wsp:val=&quot;00BB0DAB&quot;/&gt;&lt;wsp:rsid wsp:val=&quot;00BB167D&quot;/&gt;&lt;wsp:rsid wsp:val=&quot;00BB2025&quot;/&gt;&lt;wsp:rsid wsp:val=&quot;00BB2060&quot;/&gt;&lt;wsp:rsid wsp:val=&quot;00BB20A4&quot;/&gt;&lt;wsp:rsid wsp:val=&quot;00BB2AF6&quot;/&gt;&lt;wsp:rsid wsp:val=&quot;00BB2FFB&quot;/&gt;&lt;wsp:rsid wsp:val=&quot;00BB311C&quot;/&gt;&lt;wsp:rsid wsp:val=&quot;00BB337E&quot;/&gt;&lt;wsp:rsid wsp:val=&quot;00BB34A9&quot;/&gt;&lt;wsp:rsid wsp:val=&quot;00BB350E&quot;/&gt;&lt;wsp:rsid wsp:val=&quot;00BB36C0&quot;/&gt;&lt;wsp:rsid wsp:val=&quot;00BB3A28&quot;/&gt;&lt;wsp:rsid wsp:val=&quot;00BB3B2D&quot;/&gt;&lt;wsp:rsid wsp:val=&quot;00BB409B&quot;/&gt;&lt;wsp:rsid wsp:val=&quot;00BB40BB&quot;/&gt;&lt;wsp:rsid wsp:val=&quot;00BB4189&quot;/&gt;&lt;wsp:rsid wsp:val=&quot;00BB42C2&quot;/&gt;&lt;wsp:rsid wsp:val=&quot;00BB4456&quot;/&gt;&lt;wsp:rsid wsp:val=&quot;00BB44E6&quot;/&gt;&lt;wsp:rsid wsp:val=&quot;00BB4C96&quot;/&gt;&lt;wsp:rsid wsp:val=&quot;00BB4FFB&quot;/&gt;&lt;wsp:rsid wsp:val=&quot;00BB50AC&quot;/&gt;&lt;wsp:rsid wsp:val=&quot;00BB5B79&quot;/&gt;&lt;wsp:rsid wsp:val=&quot;00BB5B9B&quot;/&gt;&lt;wsp:rsid wsp:val=&quot;00BB5C44&quot;/&gt;&lt;wsp:rsid wsp:val=&quot;00BB5F33&quot;/&gt;&lt;wsp:rsid wsp:val=&quot;00BB6048&quot;/&gt;&lt;wsp:rsid wsp:val=&quot;00BB61AC&quot;/&gt;&lt;wsp:rsid wsp:val=&quot;00BB6470&quot;/&gt;&lt;wsp:rsid wsp:val=&quot;00BB6844&quot;/&gt;&lt;wsp:rsid wsp:val=&quot;00BB6956&quot;/&gt;&lt;wsp:rsid wsp:val=&quot;00BB6A39&quot;/&gt;&lt;wsp:rsid wsp:val=&quot;00BB6A44&quot;/&gt;&lt;wsp:rsid wsp:val=&quot;00BB6A93&quot;/&gt;&lt;wsp:rsid wsp:val=&quot;00BB6D27&quot;/&gt;&lt;wsp:rsid wsp:val=&quot;00BB74DB&quot;/&gt;&lt;wsp:rsid wsp:val=&quot;00BB757B&quot;/&gt;&lt;wsp:rsid wsp:val=&quot;00BB77E4&quot;/&gt;&lt;wsp:rsid wsp:val=&quot;00BB782C&quot;/&gt;&lt;wsp:rsid wsp:val=&quot;00BB786D&quot;/&gt;&lt;wsp:rsid wsp:val=&quot;00BB7993&quot;/&gt;&lt;wsp:rsid wsp:val=&quot;00BB7B40&quot;/&gt;&lt;wsp:rsid wsp:val=&quot;00BB7C66&quot;/&gt;&lt;wsp:rsid wsp:val=&quot;00BC0314&quot;/&gt;&lt;wsp:rsid wsp:val=&quot;00BC05B3&quot;/&gt;&lt;wsp:rsid wsp:val=&quot;00BC073A&quot;/&gt;&lt;wsp:rsid wsp:val=&quot;00BC0F9C&quot;/&gt;&lt;wsp:rsid wsp:val=&quot;00BC106A&quot;/&gt;&lt;wsp:rsid wsp:val=&quot;00BC12BA&quot;/&gt;&lt;wsp:rsid wsp:val=&quot;00BC13B7&quot;/&gt;&lt;wsp:rsid wsp:val=&quot;00BC1604&quot;/&gt;&lt;wsp:rsid wsp:val=&quot;00BC1A09&quot;/&gt;&lt;wsp:rsid wsp:val=&quot;00BC1A9E&quot;/&gt;&lt;wsp:rsid wsp:val=&quot;00BC21DC&quot;/&gt;&lt;wsp:rsid wsp:val=&quot;00BC26BD&quot;/&gt;&lt;wsp:rsid wsp:val=&quot;00BC2834&quot;/&gt;&lt;wsp:rsid wsp:val=&quot;00BC2EB8&quot;/&gt;&lt;wsp:rsid wsp:val=&quot;00BC3404&quot;/&gt;&lt;wsp:rsid wsp:val=&quot;00BC34B3&quot;/&gt;&lt;wsp:rsid wsp:val=&quot;00BC37BB&quot;/&gt;&lt;wsp:rsid wsp:val=&quot;00BC37ED&quot;/&gt;&lt;wsp:rsid wsp:val=&quot;00BC3E79&quot;/&gt;&lt;wsp:rsid wsp:val=&quot;00BC3F4F&quot;/&gt;&lt;wsp:rsid wsp:val=&quot;00BC402B&quot;/&gt;&lt;wsp:rsid wsp:val=&quot;00BC40C2&quot;/&gt;&lt;wsp:rsid wsp:val=&quot;00BC4464&quot;/&gt;&lt;wsp:rsid wsp:val=&quot;00BC4A1C&quot;/&gt;&lt;wsp:rsid wsp:val=&quot;00BC4A5E&quot;/&gt;&lt;wsp:rsid wsp:val=&quot;00BC4CDE&quot;/&gt;&lt;wsp:rsid wsp:val=&quot;00BC4F0F&quot;/&gt;&lt;wsp:rsid wsp:val=&quot;00BC4F86&quot;/&gt;&lt;wsp:rsid wsp:val=&quot;00BC5197&quot;/&gt;&lt;wsp:rsid wsp:val=&quot;00BC51DE&quot;/&gt;&lt;wsp:rsid wsp:val=&quot;00BC569F&quot;/&gt;&lt;wsp:rsid wsp:val=&quot;00BC59F6&quot;/&gt;&lt;wsp:rsid wsp:val=&quot;00BC5B02&quot;/&gt;&lt;wsp:rsid wsp:val=&quot;00BC5E6B&quot;/&gt;&lt;wsp:rsid wsp:val=&quot;00BC645D&quot;/&gt;&lt;wsp:rsid wsp:val=&quot;00BC689E&quot;/&gt;&lt;wsp:rsid wsp:val=&quot;00BC6E57&quot;/&gt;&lt;wsp:rsid wsp:val=&quot;00BC6FF0&quot;/&gt;&lt;wsp:rsid wsp:val=&quot;00BC7003&quot;/&gt;&lt;wsp:rsid wsp:val=&quot;00BC72DF&quot;/&gt;&lt;wsp:rsid wsp:val=&quot;00BC7514&quot;/&gt;&lt;wsp:rsid wsp:val=&quot;00BC7A8A&quot;/&gt;&lt;wsp:rsid wsp:val=&quot;00BC7E36&quot;/&gt;&lt;wsp:rsid wsp:val=&quot;00BD0239&quot;/&gt;&lt;wsp:rsid wsp:val=&quot;00BD028C&quot;/&gt;&lt;wsp:rsid wsp:val=&quot;00BD0665&quot;/&gt;&lt;wsp:rsid wsp:val=&quot;00BD07EF&quot;/&gt;&lt;wsp:rsid wsp:val=&quot;00BD07F5&quot;/&gt;&lt;wsp:rsid wsp:val=&quot;00BD0E05&quot;/&gt;&lt;wsp:rsid wsp:val=&quot;00BD0EC3&quot;/&gt;&lt;wsp:rsid wsp:val=&quot;00BD1044&quot;/&gt;&lt;wsp:rsid wsp:val=&quot;00BD1408&quot;/&gt;&lt;wsp:rsid wsp:val=&quot;00BD15C5&quot;/&gt;&lt;wsp:rsid wsp:val=&quot;00BD16AD&quot;/&gt;&lt;wsp:rsid wsp:val=&quot;00BD183E&quot;/&gt;&lt;wsp:rsid wsp:val=&quot;00BD1966&quot;/&gt;&lt;wsp:rsid wsp:val=&quot;00BD19F8&quot;/&gt;&lt;wsp:rsid wsp:val=&quot;00BD21EF&quot;/&gt;&lt;wsp:rsid wsp:val=&quot;00BD2722&quot;/&gt;&lt;wsp:rsid wsp:val=&quot;00BD290B&quot;/&gt;&lt;wsp:rsid wsp:val=&quot;00BD2A30&quot;/&gt;&lt;wsp:rsid wsp:val=&quot;00BD2C67&quot;/&gt;&lt;wsp:rsid wsp:val=&quot;00BD319D&quot;/&gt;&lt;wsp:rsid wsp:val=&quot;00BD3B1A&quot;/&gt;&lt;wsp:rsid wsp:val=&quot;00BD3CC7&quot;/&gt;&lt;wsp:rsid wsp:val=&quot;00BD47CB&quot;/&gt;&lt;wsp:rsid wsp:val=&quot;00BD4986&quot;/&gt;&lt;wsp:rsid wsp:val=&quot;00BD4A06&quot;/&gt;&lt;wsp:rsid wsp:val=&quot;00BD4D4D&quot;/&gt;&lt;wsp:rsid wsp:val=&quot;00BD4F72&quot;/&gt;&lt;wsp:rsid wsp:val=&quot;00BD5117&quot;/&gt;&lt;wsp:rsid wsp:val=&quot;00BD52AB&quot;/&gt;&lt;wsp:rsid wsp:val=&quot;00BD5483&quot;/&gt;&lt;wsp:rsid wsp:val=&quot;00BD5626&quot;/&gt;&lt;wsp:rsid wsp:val=&quot;00BD57FD&quot;/&gt;&lt;wsp:rsid wsp:val=&quot;00BD5E7B&quot;/&gt;&lt;wsp:rsid wsp:val=&quot;00BD67E2&quot;/&gt;&lt;wsp:rsid wsp:val=&quot;00BD6DBD&quot;/&gt;&lt;wsp:rsid wsp:val=&quot;00BD6E04&quot;/&gt;&lt;wsp:rsid wsp:val=&quot;00BD73E0&quot;/&gt;&lt;wsp:rsid wsp:val=&quot;00BD746B&quot;/&gt;&lt;wsp:rsid wsp:val=&quot;00BD7971&quot;/&gt;&lt;wsp:rsid wsp:val=&quot;00BD7A89&quot;/&gt;&lt;wsp:rsid wsp:val=&quot;00BD7AB5&quot;/&gt;&lt;wsp:rsid wsp:val=&quot;00BD7C5B&quot;/&gt;&lt;wsp:rsid wsp:val=&quot;00BD7CEE&quot;/&gt;&lt;wsp:rsid wsp:val=&quot;00BD7D8E&quot;/&gt;&lt;wsp:rsid wsp:val=&quot;00BE0028&quot;/&gt;&lt;wsp:rsid wsp:val=&quot;00BE06B0&quot;/&gt;&lt;wsp:rsid wsp:val=&quot;00BE06D9&quot;/&gt;&lt;wsp:rsid wsp:val=&quot;00BE09AD&quot;/&gt;&lt;wsp:rsid wsp:val=&quot;00BE0B76&quot;/&gt;&lt;wsp:rsid wsp:val=&quot;00BE18A5&quot;/&gt;&lt;wsp:rsid wsp:val=&quot;00BE19E5&quot;/&gt;&lt;wsp:rsid wsp:val=&quot;00BE1DE4&quot;/&gt;&lt;wsp:rsid wsp:val=&quot;00BE1F06&quot;/&gt;&lt;wsp:rsid wsp:val=&quot;00BE1FDE&quot;/&gt;&lt;wsp:rsid wsp:val=&quot;00BE24B8&quot;/&gt;&lt;wsp:rsid wsp:val=&quot;00BE2516&quot;/&gt;&lt;wsp:rsid wsp:val=&quot;00BE2676&quot;/&gt;&lt;wsp:rsid wsp:val=&quot;00BE27F3&quot;/&gt;&lt;wsp:rsid wsp:val=&quot;00BE2B0C&quot;/&gt;&lt;wsp:rsid wsp:val=&quot;00BE2E84&quot;/&gt;&lt;wsp:rsid wsp:val=&quot;00BE2FC2&quot;/&gt;&lt;wsp:rsid wsp:val=&quot;00BE303E&quot;/&gt;&lt;wsp:rsid wsp:val=&quot;00BE333D&quot;/&gt;&lt;wsp:rsid wsp:val=&quot;00BE3465&quot;/&gt;&lt;wsp:rsid wsp:val=&quot;00BE4325&quot;/&gt;&lt;wsp:rsid wsp:val=&quot;00BE52FA&quot;/&gt;&lt;wsp:rsid wsp:val=&quot;00BE5611&quot;/&gt;&lt;wsp:rsid wsp:val=&quot;00BE56AA&quot;/&gt;&lt;wsp:rsid wsp:val=&quot;00BE56CB&quot;/&gt;&lt;wsp:rsid wsp:val=&quot;00BE58B2&quot;/&gt;&lt;wsp:rsid wsp:val=&quot;00BE6197&quot;/&gt;&lt;wsp:rsid wsp:val=&quot;00BE6510&quot;/&gt;&lt;wsp:rsid wsp:val=&quot;00BE6562&quot;/&gt;&lt;wsp:rsid wsp:val=&quot;00BE6B39&quot;/&gt;&lt;wsp:rsid wsp:val=&quot;00BE6C2F&quot;/&gt;&lt;wsp:rsid wsp:val=&quot;00BE6CE0&quot;/&gt;&lt;wsp:rsid wsp:val=&quot;00BE712C&quot;/&gt;&lt;wsp:rsid wsp:val=&quot;00BE75E1&quot;/&gt;&lt;wsp:rsid wsp:val=&quot;00BE76C2&quot;/&gt;&lt;wsp:rsid wsp:val=&quot;00BE785F&quot;/&gt;&lt;wsp:rsid wsp:val=&quot;00BE78BC&quot;/&gt;&lt;wsp:rsid wsp:val=&quot;00BE7C9B&quot;/&gt;&lt;wsp:rsid wsp:val=&quot;00BF00BE&quot;/&gt;&lt;wsp:rsid wsp:val=&quot;00BF018E&quot;/&gt;&lt;wsp:rsid wsp:val=&quot;00BF04F4&quot;/&gt;&lt;wsp:rsid wsp:val=&quot;00BF07C9&quot;/&gt;&lt;wsp:rsid wsp:val=&quot;00BF092E&quot;/&gt;&lt;wsp:rsid wsp:val=&quot;00BF0D10&quot;/&gt;&lt;wsp:rsid wsp:val=&quot;00BF0E67&quot;/&gt;&lt;wsp:rsid wsp:val=&quot;00BF0F6C&quot;/&gt;&lt;wsp:rsid wsp:val=&quot;00BF14A4&quot;/&gt;&lt;wsp:rsid wsp:val=&quot;00BF1503&quot;/&gt;&lt;wsp:rsid wsp:val=&quot;00BF1995&quot;/&gt;&lt;wsp:rsid wsp:val=&quot;00BF20B3&quot;/&gt;&lt;wsp:rsid wsp:val=&quot;00BF2226&quot;/&gt;&lt;wsp:rsid wsp:val=&quot;00BF2A9A&quot;/&gt;&lt;wsp:rsid wsp:val=&quot;00BF3C18&quot;/&gt;&lt;wsp:rsid wsp:val=&quot;00BF4105&quot;/&gt;&lt;wsp:rsid wsp:val=&quot;00BF418D&quot;/&gt;&lt;wsp:rsid wsp:val=&quot;00BF452F&quot;/&gt;&lt;wsp:rsid wsp:val=&quot;00BF456D&quot;/&gt;&lt;wsp:rsid wsp:val=&quot;00BF55FF&quot;/&gt;&lt;wsp:rsid wsp:val=&quot;00BF571A&quot;/&gt;&lt;wsp:rsid wsp:val=&quot;00BF5A3A&quot;/&gt;&lt;wsp:rsid wsp:val=&quot;00BF5B6E&quot;/&gt;&lt;wsp:rsid wsp:val=&quot;00BF5D51&quot;/&gt;&lt;wsp:rsid wsp:val=&quot;00BF5FB4&quot;/&gt;&lt;wsp:rsid wsp:val=&quot;00BF6487&quot;/&gt;&lt;wsp:rsid wsp:val=&quot;00BF6693&quot;/&gt;&lt;wsp:rsid wsp:val=&quot;00BF66D7&quot;/&gt;&lt;wsp:rsid wsp:val=&quot;00BF6AF7&quot;/&gt;&lt;wsp:rsid wsp:val=&quot;00BF6D3E&quot;/&gt;&lt;wsp:rsid wsp:val=&quot;00BF6F1F&quot;/&gt;&lt;wsp:rsid wsp:val=&quot;00BF7145&quot;/&gt;&lt;wsp:rsid wsp:val=&quot;00BF7221&quot;/&gt;&lt;wsp:rsid wsp:val=&quot;00BF7B8D&quot;/&gt;&lt;wsp:rsid wsp:val=&quot;00BF7EAE&quot;/&gt;&lt;wsp:rsid wsp:val=&quot;00C00180&quot;/&gt;&lt;wsp:rsid wsp:val=&quot;00C002A6&quot;/&gt;&lt;wsp:rsid wsp:val=&quot;00C0040F&quot;/&gt;&lt;wsp:rsid wsp:val=&quot;00C00B97&quot;/&gt;&lt;wsp:rsid wsp:val=&quot;00C00ED8&quot;/&gt;&lt;wsp:rsid wsp:val=&quot;00C011B7&quot;/&gt;&lt;wsp:rsid wsp:val=&quot;00C01350&quot;/&gt;&lt;wsp:rsid wsp:val=&quot;00C017BB&quot;/&gt;&lt;wsp:rsid wsp:val=&quot;00C01DB8&quot;/&gt;&lt;wsp:rsid wsp:val=&quot;00C01E51&quot;/&gt;&lt;wsp:rsid wsp:val=&quot;00C01F8C&quot;/&gt;&lt;wsp:rsid wsp:val=&quot;00C0200B&quot;/&gt;&lt;wsp:rsid wsp:val=&quot;00C020FC&quot;/&gt;&lt;wsp:rsid wsp:val=&quot;00C02143&quot;/&gt;&lt;wsp:rsid wsp:val=&quot;00C02566&quot;/&gt;&lt;wsp:rsid wsp:val=&quot;00C02775&quot;/&gt;&lt;wsp:rsid wsp:val=&quot;00C02AB4&quot;/&gt;&lt;wsp:rsid wsp:val=&quot;00C02B6E&quot;/&gt;&lt;wsp:rsid wsp:val=&quot;00C02C7F&quot;/&gt;&lt;wsp:rsid wsp:val=&quot;00C02FC6&quot;/&gt;&lt;wsp:rsid wsp:val=&quot;00C03236&quot;/&gt;&lt;wsp:rsid wsp:val=&quot;00C03A12&quot;/&gt;&lt;wsp:rsid wsp:val=&quot;00C03E02&quot;/&gt;&lt;wsp:rsid wsp:val=&quot;00C03F80&quot;/&gt;&lt;wsp:rsid wsp:val=&quot;00C04424&quot;/&gt;&lt;wsp:rsid wsp:val=&quot;00C0453D&quot;/&gt;&lt;wsp:rsid wsp:val=&quot;00C05095&quot;/&gt;&lt;wsp:rsid wsp:val=&quot;00C05A2D&quot;/&gt;&lt;wsp:rsid wsp:val=&quot;00C05D31&quot;/&gt;&lt;wsp:rsid wsp:val=&quot;00C05E10&quot;/&gt;&lt;wsp:rsid wsp:val=&quot;00C060E2&quot;/&gt;&lt;wsp:rsid wsp:val=&quot;00C06660&quot;/&gt;&lt;wsp:rsid wsp:val=&quot;00C0691F&quot;/&gt;&lt;wsp:rsid wsp:val=&quot;00C06953&quot;/&gt;&lt;wsp:rsid wsp:val=&quot;00C06CC3&quot;/&gt;&lt;wsp:rsid wsp:val=&quot;00C06DF9&quot;/&gt;&lt;wsp:rsid wsp:val=&quot;00C06FB3&quot;/&gt;&lt;wsp:rsid wsp:val=&quot;00C070C3&quot;/&gt;&lt;wsp:rsid wsp:val=&quot;00C078EE&quot;/&gt;&lt;wsp:rsid wsp:val=&quot;00C07BC7&quot;/&gt;&lt;wsp:rsid wsp:val=&quot;00C10240&quot;/&gt;&lt;wsp:rsid wsp:val=&quot;00C102D6&quot;/&gt;&lt;wsp:rsid wsp:val=&quot;00C104EA&quot;/&gt;&lt;wsp:rsid wsp:val=&quot;00C10512&quot;/&gt;&lt;wsp:rsid wsp:val=&quot;00C10BF8&quot;/&gt;&lt;wsp:rsid wsp:val=&quot;00C10D7B&quot;/&gt;&lt;wsp:rsid wsp:val=&quot;00C10F49&quot;/&gt;&lt;wsp:rsid wsp:val=&quot;00C11443&quot;/&gt;&lt;wsp:rsid wsp:val=&quot;00C11555&quot;/&gt;&lt;wsp:rsid wsp:val=&quot;00C1180F&quot;/&gt;&lt;wsp:rsid wsp:val=&quot;00C11BE8&quot;/&gt;&lt;wsp:rsid wsp:val=&quot;00C11EA5&quot;/&gt;&lt;wsp:rsid wsp:val=&quot;00C11F74&quot;/&gt;&lt;wsp:rsid wsp:val=&quot;00C129E9&quot;/&gt;&lt;wsp:rsid wsp:val=&quot;00C12C11&quot;/&gt;&lt;wsp:rsid wsp:val=&quot;00C12C97&quot;/&gt;&lt;wsp:rsid wsp:val=&quot;00C13509&quot;/&gt;&lt;wsp:rsid wsp:val=&quot;00C13555&quot;/&gt;&lt;wsp:rsid wsp:val=&quot;00C135A5&quot;/&gt;&lt;wsp:rsid wsp:val=&quot;00C137B3&quot;/&gt;&lt;wsp:rsid wsp:val=&quot;00C13AE6&quot;/&gt;&lt;wsp:rsid wsp:val=&quot;00C13EEF&quot;/&gt;&lt;wsp:rsid wsp:val=&quot;00C14134&quot;/&gt;&lt;wsp:rsid wsp:val=&quot;00C1486A&quot;/&gt;&lt;wsp:rsid wsp:val=&quot;00C14D0F&quot;/&gt;&lt;wsp:rsid wsp:val=&quot;00C150B0&quot;/&gt;&lt;wsp:rsid wsp:val=&quot;00C152AF&quot;/&gt;&lt;wsp:rsid wsp:val=&quot;00C15325&quot;/&gt;&lt;wsp:rsid wsp:val=&quot;00C15977&quot;/&gt;&lt;wsp:rsid wsp:val=&quot;00C15C67&quot;/&gt;&lt;wsp:rsid wsp:val=&quot;00C15EE9&quot;/&gt;&lt;wsp:rsid wsp:val=&quot;00C15F3E&quot;/&gt;&lt;wsp:rsid wsp:val=&quot;00C162BB&quot;/&gt;&lt;wsp:rsid wsp:val=&quot;00C1648E&quot;/&gt;&lt;wsp:rsid wsp:val=&quot;00C16B62&quot;/&gt;&lt;wsp:rsid wsp:val=&quot;00C16CD0&quot;/&gt;&lt;wsp:rsid wsp:val=&quot;00C16D8C&quot;/&gt;&lt;wsp:rsid wsp:val=&quot;00C1711A&quot;/&gt;&lt;wsp:rsid wsp:val=&quot;00C174BB&quot;/&gt;&lt;wsp:rsid wsp:val=&quot;00C17BF1&quot;/&gt;&lt;wsp:rsid wsp:val=&quot;00C17C09&quot;/&gt;&lt;wsp:rsid wsp:val=&quot;00C20128&quot;/&gt;&lt;wsp:rsid wsp:val=&quot;00C201C6&quot;/&gt;&lt;wsp:rsid wsp:val=&quot;00C20663&quot;/&gt;&lt;wsp:rsid wsp:val=&quot;00C208B3&quot;/&gt;&lt;wsp:rsid wsp:val=&quot;00C20A81&quot;/&gt;&lt;wsp:rsid wsp:val=&quot;00C20C04&quot;/&gt;&lt;wsp:rsid wsp:val=&quot;00C213C5&quot;/&gt;&lt;wsp:rsid wsp:val=&quot;00C2147C&quot;/&gt;&lt;wsp:rsid wsp:val=&quot;00C21867&quot;/&gt;&lt;wsp:rsid wsp:val=&quot;00C21BF0&quot;/&gt;&lt;wsp:rsid wsp:val=&quot;00C21CA2&quot;/&gt;&lt;wsp:rsid wsp:val=&quot;00C21FB6&quot;/&gt;&lt;wsp:rsid wsp:val=&quot;00C220D9&quot;/&gt;&lt;wsp:rsid wsp:val=&quot;00C22109&quot;/&gt;&lt;wsp:rsid wsp:val=&quot;00C22165&quot;/&gt;&lt;wsp:rsid wsp:val=&quot;00C22178&quot;/&gt;&lt;wsp:rsid wsp:val=&quot;00C22628&quot;/&gt;&lt;wsp:rsid wsp:val=&quot;00C22699&quot;/&gt;&lt;wsp:rsid wsp:val=&quot;00C2292E&quot;/&gt;&lt;wsp:rsid wsp:val=&quot;00C22AA2&quot;/&gt;&lt;wsp:rsid wsp:val=&quot;00C22F8E&quot;/&gt;&lt;wsp:rsid wsp:val=&quot;00C23063&quot;/&gt;&lt;wsp:rsid wsp:val=&quot;00C236A3&quot;/&gt;&lt;wsp:rsid wsp:val=&quot;00C236BB&quot;/&gt;&lt;wsp:rsid wsp:val=&quot;00C23703&quot;/&gt;&lt;wsp:rsid wsp:val=&quot;00C239A2&quot;/&gt;&lt;wsp:rsid wsp:val=&quot;00C23EA5&quot;/&gt;&lt;wsp:rsid wsp:val=&quot;00C23EFC&quot;/&gt;&lt;wsp:rsid wsp:val=&quot;00C23F8F&quot;/&gt;&lt;wsp:rsid wsp:val=&quot;00C24301&quot;/&gt;&lt;wsp:rsid wsp:val=&quot;00C244F8&quot;/&gt;&lt;wsp:rsid wsp:val=&quot;00C24626&quot;/&gt;&lt;wsp:rsid wsp:val=&quot;00C24A64&quot;/&gt;&lt;wsp:rsid wsp:val=&quot;00C24E2A&quot;/&gt;&lt;wsp:rsid wsp:val=&quot;00C24E2B&quot;/&gt;&lt;wsp:rsid wsp:val=&quot;00C24F63&quot;/&gt;&lt;wsp:rsid wsp:val=&quot;00C250B1&quot;/&gt;&lt;wsp:rsid wsp:val=&quot;00C2586A&quot;/&gt;&lt;wsp:rsid wsp:val=&quot;00C25936&quot;/&gt;&lt;wsp:rsid wsp:val=&quot;00C25DE7&quot;/&gt;&lt;wsp:rsid wsp:val=&quot;00C260AE&quot;/&gt;&lt;wsp:rsid wsp:val=&quot;00C26418&quot;/&gt;&lt;wsp:rsid wsp:val=&quot;00C267CE&quot;/&gt;&lt;wsp:rsid wsp:val=&quot;00C27C00&quot;/&gt;&lt;wsp:rsid wsp:val=&quot;00C3012D&quot;/&gt;&lt;wsp:rsid wsp:val=&quot;00C309C4&quot;/&gt;&lt;wsp:rsid wsp:val=&quot;00C30C4F&quot;/&gt;&lt;wsp:rsid wsp:val=&quot;00C30FEC&quot;/&gt;&lt;wsp:rsid wsp:val=&quot;00C310A6&quot;/&gt;&lt;wsp:rsid wsp:val=&quot;00C313EB&quot;/&gt;&lt;wsp:rsid wsp:val=&quot;00C31477&quot;/&gt;&lt;wsp:rsid wsp:val=&quot;00C3163C&quot;/&gt;&lt;wsp:rsid wsp:val=&quot;00C3189B&quot;/&gt;&lt;wsp:rsid wsp:val=&quot;00C31991&quot;/&gt;&lt;wsp:rsid wsp:val=&quot;00C31BF9&quot;/&gt;&lt;wsp:rsid wsp:val=&quot;00C31E68&quot;/&gt;&lt;wsp:rsid wsp:val=&quot;00C31E98&quot;/&gt;&lt;wsp:rsid wsp:val=&quot;00C31F06&quot;/&gt;&lt;wsp:rsid wsp:val=&quot;00C3200E&quot;/&gt;&lt;wsp:rsid wsp:val=&quot;00C32227&quot;/&gt;&lt;wsp:rsid wsp:val=&quot;00C32521&quot;/&gt;&lt;wsp:rsid wsp:val=&quot;00C3256D&quot;/&gt;&lt;wsp:rsid wsp:val=&quot;00C326F5&quot;/&gt;&lt;wsp:rsid wsp:val=&quot;00C328C0&quot;/&gt;&lt;wsp:rsid wsp:val=&quot;00C329BB&quot;/&gt;&lt;wsp:rsid wsp:val=&quot;00C32CD7&quot;/&gt;&lt;wsp:rsid wsp:val=&quot;00C32D73&quot;/&gt;&lt;wsp:rsid wsp:val=&quot;00C33480&quot;/&gt;&lt;wsp:rsid wsp:val=&quot;00C3351E&quot;/&gt;&lt;wsp:rsid wsp:val=&quot;00C33ABF&quot;/&gt;&lt;wsp:rsid wsp:val=&quot;00C33F88&quot;/&gt;&lt;wsp:rsid wsp:val=&quot;00C347EB&quot;/&gt;&lt;wsp:rsid wsp:val=&quot;00C34A8A&quot;/&gt;&lt;wsp:rsid wsp:val=&quot;00C34E96&quot;/&gt;&lt;wsp:rsid wsp:val=&quot;00C34F98&quot;/&gt;&lt;wsp:rsid wsp:val=&quot;00C34FE9&quot;/&gt;&lt;wsp:rsid wsp:val=&quot;00C351F0&quot;/&gt;&lt;wsp:rsid wsp:val=&quot;00C3528E&quot;/&gt;&lt;wsp:rsid wsp:val=&quot;00C3546C&quot;/&gt;&lt;wsp:rsid wsp:val=&quot;00C36345&quot;/&gt;&lt;wsp:rsid wsp:val=&quot;00C36660&quot;/&gt;&lt;wsp:rsid wsp:val=&quot;00C36908&quot;/&gt;&lt;wsp:rsid wsp:val=&quot;00C36A6C&quot;/&gt;&lt;wsp:rsid wsp:val=&quot;00C36D0F&quot;/&gt;&lt;wsp:rsid wsp:val=&quot;00C36F38&quot;/&gt;&lt;wsp:rsid wsp:val=&quot;00C36F53&quot;/&gt;&lt;wsp:rsid wsp:val=&quot;00C375DD&quot;/&gt;&lt;wsp:rsid wsp:val=&quot;00C37B8B&quot;/&gt;&lt;wsp:rsid wsp:val=&quot;00C40486&quot;/&gt;&lt;wsp:rsid wsp:val=&quot;00C405F4&quot;/&gt;&lt;wsp:rsid wsp:val=&quot;00C40609&quot;/&gt;&lt;wsp:rsid wsp:val=&quot;00C40777&quot;/&gt;&lt;wsp:rsid wsp:val=&quot;00C408E3&quot;/&gt;&lt;wsp:rsid wsp:val=&quot;00C409E2&quot;/&gt;&lt;wsp:rsid wsp:val=&quot;00C40A4C&quot;/&gt;&lt;wsp:rsid wsp:val=&quot;00C40A63&quot;/&gt;&lt;wsp:rsid wsp:val=&quot;00C40D3E&quot;/&gt;&lt;wsp:rsid wsp:val=&quot;00C40E93&quot;/&gt;&lt;wsp:rsid wsp:val=&quot;00C40F5C&quot;/&gt;&lt;wsp:rsid wsp:val=&quot;00C40F77&quot;/&gt;&lt;wsp:rsid wsp:val=&quot;00C4136B&quot;/&gt;&lt;wsp:rsid wsp:val=&quot;00C413B2&quot;/&gt;&lt;wsp:rsid wsp:val=&quot;00C413CD&quot;/&gt;&lt;wsp:rsid wsp:val=&quot;00C41992&quot;/&gt;&lt;wsp:rsid wsp:val=&quot;00C419F9&quot;/&gt;&lt;wsp:rsid wsp:val=&quot;00C41CC2&quot;/&gt;&lt;wsp:rsid wsp:val=&quot;00C41DFC&quot;/&gt;&lt;wsp:rsid wsp:val=&quot;00C41E87&quot;/&gt;&lt;wsp:rsid wsp:val=&quot;00C41F13&quot;/&gt;&lt;wsp:rsid wsp:val=&quot;00C42424&quot;/&gt;&lt;wsp:rsid wsp:val=&quot;00C43286&quot;/&gt;&lt;wsp:rsid wsp:val=&quot;00C4358D&quot;/&gt;&lt;wsp:rsid wsp:val=&quot;00C4370D&quot;/&gt;&lt;wsp:rsid wsp:val=&quot;00C44058&quot;/&gt;&lt;wsp:rsid wsp:val=&quot;00C4495F&quot;/&gt;&lt;wsp:rsid wsp:val=&quot;00C45325&quot;/&gt;&lt;wsp:rsid wsp:val=&quot;00C453A3&quot;/&gt;&lt;wsp:rsid wsp:val=&quot;00C45ADF&quot;/&gt;&lt;wsp:rsid wsp:val=&quot;00C45CB8&quot;/&gt;&lt;wsp:rsid wsp:val=&quot;00C46336&quot;/&gt;&lt;wsp:rsid wsp:val=&quot;00C4689A&quot;/&gt;&lt;wsp:rsid wsp:val=&quot;00C46E54&quot;/&gt;&lt;wsp:rsid wsp:val=&quot;00C4703A&quot;/&gt;&lt;wsp:rsid wsp:val=&quot;00C474C1&quot;/&gt;&lt;wsp:rsid wsp:val=&quot;00C47EAC&quot;/&gt;&lt;wsp:rsid wsp:val=&quot;00C47FE1&quot;/&gt;&lt;wsp:rsid wsp:val=&quot;00C5008A&quot;/&gt;&lt;wsp:rsid wsp:val=&quot;00C507B2&quot;/&gt;&lt;wsp:rsid wsp:val=&quot;00C50B28&quot;/&gt;&lt;wsp:rsid wsp:val=&quot;00C50B89&quot;/&gt;&lt;wsp:rsid wsp:val=&quot;00C51397&quot;/&gt;&lt;wsp:rsid wsp:val=&quot;00C516C6&quot;/&gt;&lt;wsp:rsid wsp:val=&quot;00C51953&quot;/&gt;&lt;wsp:rsid wsp:val=&quot;00C52043&quot;/&gt;&lt;wsp:rsid wsp:val=&quot;00C5268A&quot;/&gt;&lt;wsp:rsid wsp:val=&quot;00C529CC&quot;/&gt;&lt;wsp:rsid wsp:val=&quot;00C52D26&quot;/&gt;&lt;wsp:rsid wsp:val=&quot;00C53272&quot;/&gt;&lt;wsp:rsid wsp:val=&quot;00C53E29&quot;/&gt;&lt;wsp:rsid wsp:val=&quot;00C53EAE&quot;/&gt;&lt;wsp:rsid wsp:val=&quot;00C53F85&quot;/&gt;&lt;wsp:rsid wsp:val=&quot;00C54548&quot;/&gt;&lt;wsp:rsid wsp:val=&quot;00C549F3&quot;/&gt;&lt;wsp:rsid wsp:val=&quot;00C54CE5&quot;/&gt;&lt;wsp:rsid wsp:val=&quot;00C54D13&quot;/&gt;&lt;wsp:rsid wsp:val=&quot;00C54EF1&quot;/&gt;&lt;wsp:rsid wsp:val=&quot;00C5502B&quot;/&gt;&lt;wsp:rsid wsp:val=&quot;00C551F8&quot;/&gt;&lt;wsp:rsid wsp:val=&quot;00C552FA&quot;/&gt;&lt;wsp:rsid wsp:val=&quot;00C5557C&quot;/&gt;&lt;wsp:rsid wsp:val=&quot;00C55714&quot;/&gt;&lt;wsp:rsid wsp:val=&quot;00C5571A&quot;/&gt;&lt;wsp:rsid wsp:val=&quot;00C55833&quot;/&gt;&lt;wsp:rsid wsp:val=&quot;00C55ABB&quot;/&gt;&lt;wsp:rsid wsp:val=&quot;00C55C94&quot;/&gt;&lt;wsp:rsid wsp:val=&quot;00C560ED&quot;/&gt;&lt;wsp:rsid wsp:val=&quot;00C56423&quot;/&gt;&lt;wsp:rsid wsp:val=&quot;00C56B2B&quot;/&gt;&lt;wsp:rsid wsp:val=&quot;00C56DFA&quot;/&gt;&lt;wsp:rsid wsp:val=&quot;00C5706C&quot;/&gt;&lt;wsp:rsid wsp:val=&quot;00C5748D&quot;/&gt;&lt;wsp:rsid wsp:val=&quot;00C57495&quot;/&gt;&lt;wsp:rsid wsp:val=&quot;00C5764E&quot;/&gt;&lt;wsp:rsid wsp:val=&quot;00C57724&quot;/&gt;&lt;wsp:rsid wsp:val=&quot;00C578BE&quot;/&gt;&lt;wsp:rsid wsp:val=&quot;00C57A7C&quot;/&gt;&lt;wsp:rsid wsp:val=&quot;00C57ABD&quot;/&gt;&lt;wsp:rsid wsp:val=&quot;00C57E0C&quot;/&gt;&lt;wsp:rsid wsp:val=&quot;00C60420&quot;/&gt;&lt;wsp:rsid wsp:val=&quot;00C608EB&quot;/&gt;&lt;wsp:rsid wsp:val=&quot;00C61442&quot;/&gt;&lt;wsp:rsid wsp:val=&quot;00C6148E&quot;/&gt;&lt;wsp:rsid wsp:val=&quot;00C616DC&quot;/&gt;&lt;wsp:rsid wsp:val=&quot;00C61D53&quot;/&gt;&lt;wsp:rsid wsp:val=&quot;00C628B9&quot;/&gt;&lt;wsp:rsid wsp:val=&quot;00C62D5C&quot;/&gt;&lt;wsp:rsid wsp:val=&quot;00C62D63&quot;/&gt;&lt;wsp:rsid wsp:val=&quot;00C62FD1&quot;/&gt;&lt;wsp:rsid wsp:val=&quot;00C63112&quot;/&gt;&lt;wsp:rsid wsp:val=&quot;00C6323C&quot;/&gt;&lt;wsp:rsid wsp:val=&quot;00C632AB&quot;/&gt;&lt;wsp:rsid wsp:val=&quot;00C635E9&quot;/&gt;&lt;wsp:rsid wsp:val=&quot;00C63676&quot;/&gt;&lt;wsp:rsid wsp:val=&quot;00C638AE&quot;/&gt;&lt;wsp:rsid wsp:val=&quot;00C6396D&quot;/&gt;&lt;wsp:rsid wsp:val=&quot;00C63FC5&quot;/&gt;&lt;wsp:rsid wsp:val=&quot;00C64147&quot;/&gt;&lt;wsp:rsid wsp:val=&quot;00C64212&quot;/&gt;&lt;wsp:rsid wsp:val=&quot;00C64557&quot;/&gt;&lt;wsp:rsid wsp:val=&quot;00C648CB&quot;/&gt;&lt;wsp:rsid wsp:val=&quot;00C64B1E&quot;/&gt;&lt;wsp:rsid wsp:val=&quot;00C64B99&quot;/&gt;&lt;wsp:rsid wsp:val=&quot;00C64FFC&quot;/&gt;&lt;wsp:rsid wsp:val=&quot;00C64FFD&quot;/&gt;&lt;wsp:rsid wsp:val=&quot;00C65030&quot;/&gt;&lt;wsp:rsid wsp:val=&quot;00C655D5&quot;/&gt;&lt;wsp:rsid wsp:val=&quot;00C65CFF&quot;/&gt;&lt;wsp:rsid wsp:val=&quot;00C65EEE&quot;/&gt;&lt;wsp:rsid wsp:val=&quot;00C662BB&quot;/&gt;&lt;wsp:rsid wsp:val=&quot;00C66354&quot;/&gt;&lt;wsp:rsid wsp:val=&quot;00C66A8E&quot;/&gt;&lt;wsp:rsid wsp:val=&quot;00C66B4B&quot;/&gt;&lt;wsp:rsid wsp:val=&quot;00C670A3&quot;/&gt;&lt;wsp:rsid wsp:val=&quot;00C670AE&quot;/&gt;&lt;wsp:rsid wsp:val=&quot;00C671DE&quot;/&gt;&lt;wsp:rsid wsp:val=&quot;00C673C5&quot;/&gt;&lt;wsp:rsid wsp:val=&quot;00C67831&quot;/&gt;&lt;wsp:rsid wsp:val=&quot;00C67EA5&quot;/&gt;&lt;wsp:rsid wsp:val=&quot;00C67F6C&quot;/&gt;&lt;wsp:rsid wsp:val=&quot;00C701DC&quot;/&gt;&lt;wsp:rsid wsp:val=&quot;00C70366&quot;/&gt;&lt;wsp:rsid wsp:val=&quot;00C70A2A&quot;/&gt;&lt;wsp:rsid wsp:val=&quot;00C71651&quot;/&gt;&lt;wsp:rsid wsp:val=&quot;00C71716&quot;/&gt;&lt;wsp:rsid wsp:val=&quot;00C71B9C&quot;/&gt;&lt;wsp:rsid wsp:val=&quot;00C71BAB&quot;/&gt;&lt;wsp:rsid wsp:val=&quot;00C71BCA&quot;/&gt;&lt;wsp:rsid wsp:val=&quot;00C71DA3&quot;/&gt;&lt;wsp:rsid wsp:val=&quot;00C71FEF&quot;/&gt;&lt;wsp:rsid wsp:val=&quot;00C723D3&quot;/&gt;&lt;wsp:rsid wsp:val=&quot;00C7245C&quot;/&gt;&lt;wsp:rsid wsp:val=&quot;00C72BF5&quot;/&gt;&lt;wsp:rsid wsp:val=&quot;00C72E28&quot;/&gt;&lt;wsp:rsid wsp:val=&quot;00C72E48&quot;/&gt;&lt;wsp:rsid wsp:val=&quot;00C72F9F&quot;/&gt;&lt;wsp:rsid wsp:val=&quot;00C730B0&quot;/&gt;&lt;wsp:rsid wsp:val=&quot;00C73AB5&quot;/&gt;&lt;wsp:rsid wsp:val=&quot;00C742F4&quot;/&gt;&lt;wsp:rsid wsp:val=&quot;00C74456&quot;/&gt;&lt;wsp:rsid wsp:val=&quot;00C744F9&quot;/&gt;&lt;wsp:rsid wsp:val=&quot;00C74CB4&quot;/&gt;&lt;wsp:rsid wsp:val=&quot;00C7506D&quot;/&gt;&lt;wsp:rsid wsp:val=&quot;00C75070&quot;/&gt;&lt;wsp:rsid wsp:val=&quot;00C7519E&quot;/&gt;&lt;wsp:rsid wsp:val=&quot;00C755A3&quot;/&gt;&lt;wsp:rsid wsp:val=&quot;00C75D11&quot;/&gt;&lt;wsp:rsid wsp:val=&quot;00C75E9E&quot;/&gt;&lt;wsp:rsid wsp:val=&quot;00C76290&quot;/&gt;&lt;wsp:rsid wsp:val=&quot;00C764DC&quot;/&gt;&lt;wsp:rsid wsp:val=&quot;00C76567&quot;/&gt;&lt;wsp:rsid wsp:val=&quot;00C76946&quot;/&gt;&lt;wsp:rsid wsp:val=&quot;00C76B5E&quot;/&gt;&lt;wsp:rsid wsp:val=&quot;00C76D1B&quot;/&gt;&lt;wsp:rsid wsp:val=&quot;00C770A4&quot;/&gt;&lt;wsp:rsid wsp:val=&quot;00C77201&quot;/&gt;&lt;wsp:rsid wsp:val=&quot;00C7749B&quot;/&gt;&lt;wsp:rsid wsp:val=&quot;00C774E8&quot;/&gt;&lt;wsp:rsid wsp:val=&quot;00C77D52&quot;/&gt;&lt;wsp:rsid wsp:val=&quot;00C804F3&quot;/&gt;&lt;wsp:rsid wsp:val=&quot;00C805E2&quot;/&gt;&lt;wsp:rsid wsp:val=&quot;00C806F4&quot;/&gt;&lt;wsp:rsid wsp:val=&quot;00C80E41&quot;/&gt;&lt;wsp:rsid wsp:val=&quot;00C810E4&quot;/&gt;&lt;wsp:rsid wsp:val=&quot;00C8182A&quot;/&gt;&lt;wsp:rsid wsp:val=&quot;00C81C54&quot;/&gt;&lt;wsp:rsid wsp:val=&quot;00C81D9B&quot;/&gt;&lt;wsp:rsid wsp:val=&quot;00C822FD&quot;/&gt;&lt;wsp:rsid wsp:val=&quot;00C82360&quot;/&gt;&lt;wsp:rsid wsp:val=&quot;00C823D2&quot;/&gt;&lt;wsp:rsid wsp:val=&quot;00C825B6&quot;/&gt;&lt;wsp:rsid wsp:val=&quot;00C82D07&quot;/&gt;&lt;wsp:rsid wsp:val=&quot;00C82EE1&quot;/&gt;&lt;wsp:rsid wsp:val=&quot;00C834B5&quot;/&gt;&lt;wsp:rsid wsp:val=&quot;00C836AB&quot;/&gt;&lt;wsp:rsid wsp:val=&quot;00C83829&quot;/&gt;&lt;wsp:rsid wsp:val=&quot;00C83AB1&quot;/&gt;&lt;wsp:rsid wsp:val=&quot;00C83C0B&quot;/&gt;&lt;wsp:rsid wsp:val=&quot;00C84335&quot;/&gt;&lt;wsp:rsid wsp:val=&quot;00C84382&quot;/&gt;&lt;wsp:rsid wsp:val=&quot;00C846D6&quot;/&gt;&lt;wsp:rsid wsp:val=&quot;00C84879&quot;/&gt;&lt;wsp:rsid wsp:val=&quot;00C8490D&quot;/&gt;&lt;wsp:rsid wsp:val=&quot;00C849C3&quot;/&gt;&lt;wsp:rsid wsp:val=&quot;00C84CA9&quot;/&gt;&lt;wsp:rsid wsp:val=&quot;00C84DAA&quot;/&gt;&lt;wsp:rsid wsp:val=&quot;00C85290&quot;/&gt;&lt;wsp:rsid wsp:val=&quot;00C8537C&quot;/&gt;&lt;wsp:rsid wsp:val=&quot;00C8545B&quot;/&gt;&lt;wsp:rsid wsp:val=&quot;00C85463&quot;/&gt;&lt;wsp:rsid wsp:val=&quot;00C86660&quot;/&gt;&lt;wsp:rsid wsp:val=&quot;00C866CF&quot;/&gt;&lt;wsp:rsid wsp:val=&quot;00C86725&quot;/&gt;&lt;wsp:rsid wsp:val=&quot;00C86798&quot;/&gt;&lt;wsp:rsid wsp:val=&quot;00C869FF&quot;/&gt;&lt;wsp:rsid wsp:val=&quot;00C86B66&quot;/&gt;&lt;wsp:rsid wsp:val=&quot;00C8703E&quot;/&gt;&lt;wsp:rsid wsp:val=&quot;00C87047&quot;/&gt;&lt;wsp:rsid wsp:val=&quot;00C871AB&quot;/&gt;&lt;wsp:rsid wsp:val=&quot;00C8759E&quot;/&gt;&lt;wsp:rsid wsp:val=&quot;00C878DD&quot;/&gt;&lt;wsp:rsid wsp:val=&quot;00C87E7C&quot;/&gt;&lt;wsp:rsid wsp:val=&quot;00C901B8&quot;/&gt;&lt;wsp:rsid wsp:val=&quot;00C901D2&quot;/&gt;&lt;wsp:rsid wsp:val=&quot;00C902BC&quot;/&gt;&lt;wsp:rsid wsp:val=&quot;00C903C5&quot;/&gt;&lt;wsp:rsid wsp:val=&quot;00C90E9F&quot;/&gt;&lt;wsp:rsid wsp:val=&quot;00C90F68&quot;/&gt;&lt;wsp:rsid wsp:val=&quot;00C90FAD&quot;/&gt;&lt;wsp:rsid wsp:val=&quot;00C911C4&quot;/&gt;&lt;wsp:rsid wsp:val=&quot;00C91235&quot;/&gt;&lt;wsp:rsid wsp:val=&quot;00C91579&quot;/&gt;&lt;wsp:rsid wsp:val=&quot;00C91B03&quot;/&gt;&lt;wsp:rsid wsp:val=&quot;00C91B1A&quot;/&gt;&lt;wsp:rsid wsp:val=&quot;00C91B69&quot;/&gt;&lt;wsp:rsid wsp:val=&quot;00C91B6B&quot;/&gt;&lt;wsp:rsid wsp:val=&quot;00C91D6B&quot;/&gt;&lt;wsp:rsid wsp:val=&quot;00C92840&quot;/&gt;&lt;wsp:rsid wsp:val=&quot;00C92C3E&quot;/&gt;&lt;wsp:rsid wsp:val=&quot;00C92C8B&quot;/&gt;&lt;wsp:rsid wsp:val=&quot;00C92FE3&quot;/&gt;&lt;wsp:rsid wsp:val=&quot;00C93213&quot;/&gt;&lt;wsp:rsid wsp:val=&quot;00C9359D&quot;/&gt;&lt;wsp:rsid wsp:val=&quot;00C93794&quot;/&gt;&lt;wsp:rsid wsp:val=&quot;00C93AB1&quot;/&gt;&lt;wsp:rsid wsp:val=&quot;00C93C1C&quot;/&gt;&lt;wsp:rsid wsp:val=&quot;00C93C71&quot;/&gt;&lt;wsp:rsid wsp:val=&quot;00C94BF7&quot;/&gt;&lt;wsp:rsid wsp:val=&quot;00C94FDA&quot;/&gt;&lt;wsp:rsid wsp:val=&quot;00C952F2&quot;/&gt;&lt;wsp:rsid wsp:val=&quot;00C95593&quot;/&gt;&lt;wsp:rsid wsp:val=&quot;00C95601&quot;/&gt;&lt;wsp:rsid wsp:val=&quot;00C95761&quot;/&gt;&lt;wsp:rsid wsp:val=&quot;00C95B50&quot;/&gt;&lt;wsp:rsid wsp:val=&quot;00C95B74&quot;/&gt;&lt;wsp:rsid wsp:val=&quot;00C95DA9&quot;/&gt;&lt;wsp:rsid wsp:val=&quot;00C95FCB&quot;/&gt;&lt;wsp:rsid wsp:val=&quot;00C96008&quot;/&gt;&lt;wsp:rsid wsp:val=&quot;00C96072&quot;/&gt;&lt;wsp:rsid wsp:val=&quot;00C96114&quot;/&gt;&lt;wsp:rsid wsp:val=&quot;00C96342&quot;/&gt;&lt;wsp:rsid wsp:val=&quot;00C96488&quot;/&gt;&lt;wsp:rsid wsp:val=&quot;00C965F4&quot;/&gt;&lt;wsp:rsid wsp:val=&quot;00C966E7&quot;/&gt;&lt;wsp:rsid wsp:val=&quot;00C967C3&quot;/&gt;&lt;wsp:rsid wsp:val=&quot;00C967C7&quot;/&gt;&lt;wsp:rsid wsp:val=&quot;00C967D6&quot;/&gt;&lt;wsp:rsid wsp:val=&quot;00C96A2F&quot;/&gt;&lt;wsp:rsid wsp:val=&quot;00C96F4D&quot;/&gt;&lt;wsp:rsid wsp:val=&quot;00C973B5&quot;/&gt;&lt;wsp:rsid wsp:val=&quot;00C97477&quot;/&gt;&lt;wsp:rsid wsp:val=&quot;00C976FC&quot;/&gt;&lt;wsp:rsid wsp:val=&quot;00C977D5&quot;/&gt;&lt;wsp:rsid wsp:val=&quot;00C97877&quot;/&gt;&lt;wsp:rsid wsp:val=&quot;00C978CE&quot;/&gt;&lt;wsp:rsid wsp:val=&quot;00C97AD6&quot;/&gt;&lt;wsp:rsid wsp:val=&quot;00C97AE1&quot;/&gt;&lt;wsp:rsid wsp:val=&quot;00C97DD6&quot;/&gt;&lt;wsp:rsid wsp:val=&quot;00C97F8E&quot;/&gt;&lt;wsp:rsid wsp:val=&quot;00CA0429&quot;/&gt;&lt;wsp:rsid wsp:val=&quot;00CA05C1&quot;/&gt;&lt;wsp:rsid wsp:val=&quot;00CA0D15&quot;/&gt;&lt;wsp:rsid wsp:val=&quot;00CA0E1C&quot;/&gt;&lt;wsp:rsid wsp:val=&quot;00CA11A6&quot;/&gt;&lt;wsp:rsid wsp:val=&quot;00CA1764&quot;/&gt;&lt;wsp:rsid wsp:val=&quot;00CA184C&quot;/&gt;&lt;wsp:rsid wsp:val=&quot;00CA1A12&quot;/&gt;&lt;wsp:rsid wsp:val=&quot;00CA1A44&quot;/&gt;&lt;wsp:rsid wsp:val=&quot;00CA2208&quot;/&gt;&lt;wsp:rsid wsp:val=&quot;00CA2352&quot;/&gt;&lt;wsp:rsid wsp:val=&quot;00CA27D4&quot;/&gt;&lt;wsp:rsid wsp:val=&quot;00CA28E3&quot;/&gt;&lt;wsp:rsid wsp:val=&quot;00CA3429&quot;/&gt;&lt;wsp:rsid wsp:val=&quot;00CA3A9A&quot;/&gt;&lt;wsp:rsid wsp:val=&quot;00CA3C06&quot;/&gt;&lt;wsp:rsid wsp:val=&quot;00CA42DE&quot;/&gt;&lt;wsp:rsid wsp:val=&quot;00CA4D0F&quot;/&gt;&lt;wsp:rsid wsp:val=&quot;00CA5771&quot;/&gt;&lt;wsp:rsid wsp:val=&quot;00CA57F7&quot;/&gt;&lt;wsp:rsid wsp:val=&quot;00CA5873&quot;/&gt;&lt;wsp:rsid wsp:val=&quot;00CA5DDF&quot;/&gt;&lt;wsp:rsid wsp:val=&quot;00CA6218&quot;/&gt;&lt;wsp:rsid wsp:val=&quot;00CA6293&quot;/&gt;&lt;wsp:rsid wsp:val=&quot;00CA6487&quot;/&gt;&lt;wsp:rsid wsp:val=&quot;00CA6560&quot;/&gt;&lt;wsp:rsid wsp:val=&quot;00CA6A93&quot;/&gt;&lt;wsp:rsid wsp:val=&quot;00CA6BAC&quot;/&gt;&lt;wsp:rsid wsp:val=&quot;00CA6C37&quot;/&gt;&lt;wsp:rsid wsp:val=&quot;00CA6C42&quot;/&gt;&lt;wsp:rsid wsp:val=&quot;00CA76DA&quot;/&gt;&lt;wsp:rsid wsp:val=&quot;00CA7A78&quot;/&gt;&lt;wsp:rsid wsp:val=&quot;00CA7CA6&quot;/&gt;&lt;wsp:rsid wsp:val=&quot;00CB0586&quot;/&gt;&lt;wsp:rsid wsp:val=&quot;00CB08AF&quot;/&gt;&lt;wsp:rsid wsp:val=&quot;00CB0DF6&quot;/&gt;&lt;wsp:rsid wsp:val=&quot;00CB13A4&quot;/&gt;&lt;wsp:rsid wsp:val=&quot;00CB15CF&quot;/&gt;&lt;wsp:rsid wsp:val=&quot;00CB1CF7&quot;/&gt;&lt;wsp:rsid wsp:val=&quot;00CB1DF2&quot;/&gt;&lt;wsp:rsid wsp:val=&quot;00CB1FB6&quot;/&gt;&lt;wsp:rsid wsp:val=&quot;00CB2765&quot;/&gt;&lt;wsp:rsid wsp:val=&quot;00CB279B&quot;/&gt;&lt;wsp:rsid wsp:val=&quot;00CB28F7&quot;/&gt;&lt;wsp:rsid wsp:val=&quot;00CB2CB7&quot;/&gt;&lt;wsp:rsid wsp:val=&quot;00CB2DEC&quot;/&gt;&lt;wsp:rsid wsp:val=&quot;00CB3059&quot;/&gt;&lt;wsp:rsid wsp:val=&quot;00CB30E1&quot;/&gt;&lt;wsp:rsid wsp:val=&quot;00CB3228&quot;/&gt;&lt;wsp:rsid wsp:val=&quot;00CB32CE&quot;/&gt;&lt;wsp:rsid wsp:val=&quot;00CB3560&quot;/&gt;&lt;wsp:rsid wsp:val=&quot;00CB3830&quot;/&gt;&lt;wsp:rsid wsp:val=&quot;00CB3B40&quot;/&gt;&lt;wsp:rsid wsp:val=&quot;00CB3C16&quot;/&gt;&lt;wsp:rsid wsp:val=&quot;00CB3DC2&quot;/&gt;&lt;wsp:rsid wsp:val=&quot;00CB3EBC&quot;/&gt;&lt;wsp:rsid wsp:val=&quot;00CB437F&quot;/&gt;&lt;wsp:rsid wsp:val=&quot;00CB4605&quot;/&gt;&lt;wsp:rsid wsp:val=&quot;00CB4A00&quot;/&gt;&lt;wsp:rsid wsp:val=&quot;00CB4B6A&quot;/&gt;&lt;wsp:rsid wsp:val=&quot;00CB4BB0&quot;/&gt;&lt;wsp:rsid wsp:val=&quot;00CB4F1F&quot;/&gt;&lt;wsp:rsid wsp:val=&quot;00CB51BA&quot;/&gt;&lt;wsp:rsid wsp:val=&quot;00CB52C1&quot;/&gt;&lt;wsp:rsid wsp:val=&quot;00CB55C5&quot;/&gt;&lt;wsp:rsid wsp:val=&quot;00CB570F&quot;/&gt;&lt;wsp:rsid wsp:val=&quot;00CB5D3D&quot;/&gt;&lt;wsp:rsid wsp:val=&quot;00CB5E81&quot;/&gt;&lt;wsp:rsid wsp:val=&quot;00CB602C&quot;/&gt;&lt;wsp:rsid wsp:val=&quot;00CB622A&quot;/&gt;&lt;wsp:rsid wsp:val=&quot;00CB624B&quot;/&gt;&lt;wsp:rsid wsp:val=&quot;00CB70DA&quot;/&gt;&lt;wsp:rsid wsp:val=&quot;00CB71E9&quot;/&gt;&lt;wsp:rsid wsp:val=&quot;00CB731A&quot;/&gt;&lt;wsp:rsid wsp:val=&quot;00CB7C20&quot;/&gt;&lt;wsp:rsid wsp:val=&quot;00CB7F49&quot;/&gt;&lt;wsp:rsid wsp:val=&quot;00CC0290&quot;/&gt;&lt;wsp:rsid wsp:val=&quot;00CC02B8&quot;/&gt;&lt;wsp:rsid wsp:val=&quot;00CC0726&quot;/&gt;&lt;wsp:rsid wsp:val=&quot;00CC0ECB&quot;/&gt;&lt;wsp:rsid wsp:val=&quot;00CC0F0E&quot;/&gt;&lt;wsp:rsid wsp:val=&quot;00CC0F11&quot;/&gt;&lt;wsp:rsid wsp:val=&quot;00CC0FD5&quot;/&gt;&lt;wsp:rsid wsp:val=&quot;00CC122D&quot;/&gt;&lt;wsp:rsid wsp:val=&quot;00CC1355&quot;/&gt;&lt;wsp:rsid wsp:val=&quot;00CC19B5&quot;/&gt;&lt;wsp:rsid wsp:val=&quot;00CC1A4D&quot;/&gt;&lt;wsp:rsid wsp:val=&quot;00CC20E3&quot;/&gt;&lt;wsp:rsid wsp:val=&quot;00CC214D&quot;/&gt;&lt;wsp:rsid wsp:val=&quot;00CC2210&quot;/&gt;&lt;wsp:rsid wsp:val=&quot;00CC2929&quot;/&gt;&lt;wsp:rsid wsp:val=&quot;00CC29E8&quot;/&gt;&lt;wsp:rsid wsp:val=&quot;00CC333D&quot;/&gt;&lt;wsp:rsid wsp:val=&quot;00CC3544&quot;/&gt;&lt;wsp:rsid wsp:val=&quot;00CC4220&quot;/&gt;&lt;wsp:rsid wsp:val=&quot;00CC445D&quot;/&gt;&lt;wsp:rsid wsp:val=&quot;00CC478C&quot;/&gt;&lt;wsp:rsid wsp:val=&quot;00CC4B48&quot;/&gt;&lt;wsp:rsid wsp:val=&quot;00CC4CFB&quot;/&gt;&lt;wsp:rsid wsp:val=&quot;00CC4D82&quot;/&gt;&lt;wsp:rsid wsp:val=&quot;00CC4DB5&quot;/&gt;&lt;wsp:rsid wsp:val=&quot;00CC4F1B&quot;/&gt;&lt;wsp:rsid wsp:val=&quot;00CC4F79&quot;/&gt;&lt;wsp:rsid wsp:val=&quot;00CC5049&quot;/&gt;&lt;wsp:rsid wsp:val=&quot;00CC549F&quot;/&gt;&lt;wsp:rsid wsp:val=&quot;00CC54A5&quot;/&gt;&lt;wsp:rsid wsp:val=&quot;00CC54E7&quot;/&gt;&lt;wsp:rsid wsp:val=&quot;00CC576B&quot;/&gt;&lt;wsp:rsid wsp:val=&quot;00CC6555&quot;/&gt;&lt;wsp:rsid wsp:val=&quot;00CC66D5&quot;/&gt;&lt;wsp:rsid wsp:val=&quot;00CC6A0B&quot;/&gt;&lt;wsp:rsid wsp:val=&quot;00CC6B94&quot;/&gt;&lt;wsp:rsid wsp:val=&quot;00CC6D80&quot;/&gt;&lt;wsp:rsid wsp:val=&quot;00CC6F86&quot;/&gt;&lt;wsp:rsid wsp:val=&quot;00CC74EB&quot;/&gt;&lt;wsp:rsid wsp:val=&quot;00CC769F&quot;/&gt;&lt;wsp:rsid wsp:val=&quot;00CC7BE7&quot;/&gt;&lt;wsp:rsid wsp:val=&quot;00CC7DE4&quot;/&gt;&lt;wsp:rsid wsp:val=&quot;00CC7E5A&quot;/&gt;&lt;wsp:rsid wsp:val=&quot;00CC7F47&quot;/&gt;&lt;wsp:rsid wsp:val=&quot;00CD07B5&quot;/&gt;&lt;wsp:rsid wsp:val=&quot;00CD0B3E&quot;/&gt;&lt;wsp:rsid wsp:val=&quot;00CD183A&quot;/&gt;&lt;wsp:rsid wsp:val=&quot;00CD279A&quot;/&gt;&lt;wsp:rsid wsp:val=&quot;00CD2F2A&quot;/&gt;&lt;wsp:rsid wsp:val=&quot;00CD2FDE&quot;/&gt;&lt;wsp:rsid wsp:val=&quot;00CD3649&quot;/&gt;&lt;wsp:rsid wsp:val=&quot;00CD393A&quot;/&gt;&lt;wsp:rsid wsp:val=&quot;00CD397B&quot;/&gt;&lt;wsp:rsid wsp:val=&quot;00CD3BCE&quot;/&gt;&lt;wsp:rsid wsp:val=&quot;00CD41CE&quot;/&gt;&lt;wsp:rsid wsp:val=&quot;00CD4871&quot;/&gt;&lt;wsp:rsid wsp:val=&quot;00CD4925&quot;/&gt;&lt;wsp:rsid wsp:val=&quot;00CD4A65&quot;/&gt;&lt;wsp:rsid wsp:val=&quot;00CD4FF8&quot;/&gt;&lt;wsp:rsid wsp:val=&quot;00CD53EB&quot;/&gt;&lt;wsp:rsid wsp:val=&quot;00CD5422&quot;/&gt;&lt;wsp:rsid wsp:val=&quot;00CD5490&quot;/&gt;&lt;wsp:rsid wsp:val=&quot;00CD587E&quot;/&gt;&lt;wsp:rsid wsp:val=&quot;00CD5931&quot;/&gt;&lt;wsp:rsid wsp:val=&quot;00CD59DC&quot;/&gt;&lt;wsp:rsid wsp:val=&quot;00CD5AF8&quot;/&gt;&lt;wsp:rsid wsp:val=&quot;00CD5AFE&quot;/&gt;&lt;wsp:rsid wsp:val=&quot;00CD5E2C&quot;/&gt;&lt;wsp:rsid wsp:val=&quot;00CD5EE3&quot;/&gt;&lt;wsp:rsid wsp:val=&quot;00CD61B3&quot;/&gt;&lt;wsp:rsid wsp:val=&quot;00CD6401&quot;/&gt;&lt;wsp:rsid wsp:val=&quot;00CD64FF&quot;/&gt;&lt;wsp:rsid wsp:val=&quot;00CD676D&quot;/&gt;&lt;wsp:rsid wsp:val=&quot;00CD68ED&quot;/&gt;&lt;wsp:rsid wsp:val=&quot;00CD69A9&quot;/&gt;&lt;wsp:rsid wsp:val=&quot;00CD69FB&quot;/&gt;&lt;wsp:rsid wsp:val=&quot;00CD6C45&quot;/&gt;&lt;wsp:rsid wsp:val=&quot;00CD717E&quot;/&gt;&lt;wsp:rsid wsp:val=&quot;00CD742C&quot;/&gt;&lt;wsp:rsid wsp:val=&quot;00CD7497&quot;/&gt;&lt;wsp:rsid wsp:val=&quot;00CD74C0&quot;/&gt;&lt;wsp:rsid wsp:val=&quot;00CD781F&quot;/&gt;&lt;wsp:rsid wsp:val=&quot;00CD7969&quot;/&gt;&lt;wsp:rsid wsp:val=&quot;00CD7BFF&quot;/&gt;&lt;wsp:rsid wsp:val=&quot;00CD7F01&quot;/&gt;&lt;wsp:rsid wsp:val=&quot;00CE011C&quot;/&gt;&lt;wsp:rsid wsp:val=&quot;00CE01CE&quot;/&gt;&lt;wsp:rsid wsp:val=&quot;00CE01E6&quot;/&gt;&lt;wsp:rsid wsp:val=&quot;00CE039C&quot;/&gt;&lt;wsp:rsid wsp:val=&quot;00CE040F&quot;/&gt;&lt;wsp:rsid wsp:val=&quot;00CE0773&quot;/&gt;&lt;wsp:rsid wsp:val=&quot;00CE1129&quot;/&gt;&lt;wsp:rsid wsp:val=&quot;00CE1A13&quot;/&gt;&lt;wsp:rsid wsp:val=&quot;00CE1C38&quot;/&gt;&lt;wsp:rsid wsp:val=&quot;00CE2255&quot;/&gt;&lt;wsp:rsid wsp:val=&quot;00CE2939&quot;/&gt;&lt;wsp:rsid wsp:val=&quot;00CE2A86&quot;/&gt;&lt;wsp:rsid wsp:val=&quot;00CE2CEE&quot;/&gt;&lt;wsp:rsid wsp:val=&quot;00CE2D22&quot;/&gt;&lt;wsp:rsid wsp:val=&quot;00CE30F8&quot;/&gt;&lt;wsp:rsid wsp:val=&quot;00CE38BA&quot;/&gt;&lt;wsp:rsid wsp:val=&quot;00CE4326&quot;/&gt;&lt;wsp:rsid wsp:val=&quot;00CE4A88&quot;/&gt;&lt;wsp:rsid wsp:val=&quot;00CE4E60&quot;/&gt;&lt;wsp:rsid wsp:val=&quot;00CE4E88&quot;/&gt;&lt;wsp:rsid wsp:val=&quot;00CE5060&quot;/&gt;&lt;wsp:rsid wsp:val=&quot;00CE5502&quot;/&gt;&lt;wsp:rsid wsp:val=&quot;00CE57B6&quot;/&gt;&lt;wsp:rsid wsp:val=&quot;00CE5B49&quot;/&gt;&lt;wsp:rsid wsp:val=&quot;00CE5B63&quot;/&gt;&lt;wsp:rsid wsp:val=&quot;00CE5FE4&quot;/&gt;&lt;wsp:rsid wsp:val=&quot;00CE6974&quot;/&gt;&lt;wsp:rsid wsp:val=&quot;00CE6F09&quot;/&gt;&lt;wsp:rsid wsp:val=&quot;00CE6F9A&quot;/&gt;&lt;wsp:rsid wsp:val=&quot;00CE739E&quot;/&gt;&lt;wsp:rsid wsp:val=&quot;00CE775D&quot;/&gt;&lt;wsp:rsid wsp:val=&quot;00CF0D65&quot;/&gt;&lt;wsp:rsid wsp:val=&quot;00CF107E&quot;/&gt;&lt;wsp:rsid wsp:val=&quot;00CF117E&quot;/&gt;&lt;wsp:rsid wsp:val=&quot;00CF1B47&quot;/&gt;&lt;wsp:rsid wsp:val=&quot;00CF26A4&quot;/&gt;&lt;wsp:rsid wsp:val=&quot;00CF27DA&quot;/&gt;&lt;wsp:rsid wsp:val=&quot;00CF3872&quot;/&gt;&lt;wsp:rsid wsp:val=&quot;00CF3924&quot;/&gt;&lt;wsp:rsid wsp:val=&quot;00CF3A0F&quot;/&gt;&lt;wsp:rsid wsp:val=&quot;00CF3A21&quot;/&gt;&lt;wsp:rsid wsp:val=&quot;00CF3B70&quot;/&gt;&lt;wsp:rsid wsp:val=&quot;00CF3E6D&quot;/&gt;&lt;wsp:rsid wsp:val=&quot;00CF42E7&quot;/&gt;&lt;wsp:rsid wsp:val=&quot;00CF4459&quot;/&gt;&lt;wsp:rsid wsp:val=&quot;00CF4689&quot;/&gt;&lt;wsp:rsid wsp:val=&quot;00CF4A56&quot;/&gt;&lt;wsp:rsid wsp:val=&quot;00CF4F93&quot;/&gt;&lt;wsp:rsid wsp:val=&quot;00CF50A0&quot;/&gt;&lt;wsp:rsid wsp:val=&quot;00CF56E8&quot;/&gt;&lt;wsp:rsid wsp:val=&quot;00CF58E7&quot;/&gt;&lt;wsp:rsid wsp:val=&quot;00CF592B&quot;/&gt;&lt;wsp:rsid wsp:val=&quot;00CF59F3&quot;/&gt;&lt;wsp:rsid wsp:val=&quot;00CF5C7A&quot;/&gt;&lt;wsp:rsid wsp:val=&quot;00CF5E35&quot;/&gt;&lt;wsp:rsid wsp:val=&quot;00CF5E51&quot;/&gt;&lt;wsp:rsid wsp:val=&quot;00CF623C&quot;/&gt;&lt;wsp:rsid wsp:val=&quot;00CF6AFF&quot;/&gt;&lt;wsp:rsid wsp:val=&quot;00CF7168&quot;/&gt;&lt;wsp:rsid wsp:val=&quot;00CF73B8&quot;/&gt;&lt;wsp:rsid wsp:val=&quot;00CF7415&quot;/&gt;&lt;wsp:rsid wsp:val=&quot;00CF77B3&quot;/&gt;&lt;wsp:rsid wsp:val=&quot;00CF78B2&quot;/&gt;&lt;wsp:rsid wsp:val=&quot;00D00593&quot;/&gt;&lt;wsp:rsid wsp:val=&quot;00D005B9&quot;/&gt;&lt;wsp:rsid wsp:val=&quot;00D0077A&quot;/&gt;&lt;wsp:rsid wsp:val=&quot;00D00D9A&quot;/&gt;&lt;wsp:rsid wsp:val=&quot;00D0113B&quot;/&gt;&lt;wsp:rsid wsp:val=&quot;00D017A9&quot;/&gt;&lt;wsp:rsid wsp:val=&quot;00D01994&quot;/&gt;&lt;wsp:rsid wsp:val=&quot;00D019B9&quot;/&gt;&lt;wsp:rsid wsp:val=&quot;00D01F4F&quot;/&gt;&lt;wsp:rsid wsp:val=&quot;00D01FA5&quot;/&gt;&lt;wsp:rsid wsp:val=&quot;00D02279&quot;/&gt;&lt;wsp:rsid wsp:val=&quot;00D022B8&quot;/&gt;&lt;wsp:rsid wsp:val=&quot;00D0261F&quot;/&gt;&lt;wsp:rsid wsp:val=&quot;00D02F13&quot;/&gt;&lt;wsp:rsid wsp:val=&quot;00D02FE2&quot;/&gt;&lt;wsp:rsid wsp:val=&quot;00D03302&quot;/&gt;&lt;wsp:rsid wsp:val=&quot;00D03309&quot;/&gt;&lt;wsp:rsid wsp:val=&quot;00D03652&quot;/&gt;&lt;wsp:rsid wsp:val=&quot;00D03900&quot;/&gt;&lt;wsp:rsid wsp:val=&quot;00D03D46&quot;/&gt;&lt;wsp:rsid wsp:val=&quot;00D03E43&quot;/&gt;&lt;wsp:rsid wsp:val=&quot;00D04430&quot;/&gt;&lt;wsp:rsid wsp:val=&quot;00D05571&quot;/&gt;&lt;wsp:rsid wsp:val=&quot;00D0571D&quot;/&gt;&lt;wsp:rsid wsp:val=&quot;00D059EF&quot;/&gt;&lt;wsp:rsid wsp:val=&quot;00D05B66&quot;/&gt;&lt;wsp:rsid wsp:val=&quot;00D05D06&quot;/&gt;&lt;wsp:rsid wsp:val=&quot;00D06000&quot;/&gt;&lt;wsp:rsid wsp:val=&quot;00D0649B&quot;/&gt;&lt;wsp:rsid wsp:val=&quot;00D067F3&quot;/&gt;&lt;wsp:rsid wsp:val=&quot;00D07D78&quot;/&gt;&lt;wsp:rsid wsp:val=&quot;00D07E5C&quot;/&gt;&lt;wsp:rsid wsp:val=&quot;00D07F5A&quot;/&gt;&lt;wsp:rsid wsp:val=&quot;00D07FEA&quot;/&gt;&lt;wsp:rsid wsp:val=&quot;00D10C47&quot;/&gt;&lt;wsp:rsid wsp:val=&quot;00D10F61&quot;/&gt;&lt;wsp:rsid wsp:val=&quot;00D11A47&quot;/&gt;&lt;wsp:rsid wsp:val=&quot;00D11BBE&quot;/&gt;&lt;wsp:rsid wsp:val=&quot;00D11BC5&quot;/&gt;&lt;wsp:rsid wsp:val=&quot;00D120A3&quot;/&gt;&lt;wsp:rsid wsp:val=&quot;00D12124&quot;/&gt;&lt;wsp:rsid wsp:val=&quot;00D1215C&quot;/&gt;&lt;wsp:rsid wsp:val=&quot;00D128A4&quot;/&gt;&lt;wsp:rsid wsp:val=&quot;00D12983&quot;/&gt;&lt;wsp:rsid wsp:val=&quot;00D12D49&quot;/&gt;&lt;wsp:rsid wsp:val=&quot;00D12E4E&quot;/&gt;&lt;wsp:rsid wsp:val=&quot;00D12FE3&quot;/&gt;&lt;wsp:rsid wsp:val=&quot;00D130F2&quot;/&gt;&lt;wsp:rsid wsp:val=&quot;00D13DC3&quot;/&gt;&lt;wsp:rsid wsp:val=&quot;00D143DF&quot;/&gt;&lt;wsp:rsid wsp:val=&quot;00D14B32&quot;/&gt;&lt;wsp:rsid wsp:val=&quot;00D14DFF&quot;/&gt;&lt;wsp:rsid wsp:val=&quot;00D14E96&quot;/&gt;&lt;wsp:rsid wsp:val=&quot;00D1567E&quot;/&gt;&lt;wsp:rsid wsp:val=&quot;00D15732&quot;/&gt;&lt;wsp:rsid wsp:val=&quot;00D164B9&quot;/&gt;&lt;wsp:rsid wsp:val=&quot;00D16750&quot;/&gt;&lt;wsp:rsid wsp:val=&quot;00D16BCA&quot;/&gt;&lt;wsp:rsid wsp:val=&quot;00D16DBD&quot;/&gt;&lt;wsp:rsid wsp:val=&quot;00D16F4D&quot;/&gt;&lt;wsp:rsid wsp:val=&quot;00D17157&quot;/&gt;&lt;wsp:rsid wsp:val=&quot;00D173FA&quot;/&gt;&lt;wsp:rsid wsp:val=&quot;00D17940&quot;/&gt;&lt;wsp:rsid wsp:val=&quot;00D17E8C&quot;/&gt;&lt;wsp:rsid wsp:val=&quot;00D200AD&quot;/&gt;&lt;wsp:rsid wsp:val=&quot;00D209D7&quot;/&gt;&lt;wsp:rsid wsp:val=&quot;00D20C20&quot;/&gt;&lt;wsp:rsid wsp:val=&quot;00D217CF&quot;/&gt;&lt;wsp:rsid wsp:val=&quot;00D21CD2&quot;/&gt;&lt;wsp:rsid wsp:val=&quot;00D21CFA&quot;/&gt;&lt;wsp:rsid wsp:val=&quot;00D22113&quot;/&gt;&lt;wsp:rsid wsp:val=&quot;00D221B7&quot;/&gt;&lt;wsp:rsid wsp:val=&quot;00D222C6&quot;/&gt;&lt;wsp:rsid wsp:val=&quot;00D2283C&quot;/&gt;&lt;wsp:rsid wsp:val=&quot;00D22A80&quot;/&gt;&lt;wsp:rsid wsp:val=&quot;00D22C0A&quot;/&gt;&lt;wsp:rsid wsp:val=&quot;00D22C30&quot;/&gt;&lt;wsp:rsid wsp:val=&quot;00D22D4A&quot;/&gt;&lt;wsp:rsid wsp:val=&quot;00D22F3C&quot;/&gt;&lt;wsp:rsid wsp:val=&quot;00D230A4&quot;/&gt;&lt;wsp:rsid wsp:val=&quot;00D230F3&quot;/&gt;&lt;wsp:rsid wsp:val=&quot;00D23122&quot;/&gt;&lt;wsp:rsid wsp:val=&quot;00D232BF&quot;/&gt;&lt;wsp:rsid wsp:val=&quot;00D235CC&quot;/&gt;&lt;wsp:rsid wsp:val=&quot;00D2386E&quot;/&gt;&lt;wsp:rsid wsp:val=&quot;00D23D5B&quot;/&gt;&lt;wsp:rsid wsp:val=&quot;00D241B0&quot;/&gt;&lt;wsp:rsid wsp:val=&quot;00D2453C&quot;/&gt;&lt;wsp:rsid wsp:val=&quot;00D2459F&quot;/&gt;&lt;wsp:rsid wsp:val=&quot;00D24907&quot;/&gt;&lt;wsp:rsid wsp:val=&quot;00D249D2&quot;/&gt;&lt;wsp:rsid wsp:val=&quot;00D24DE7&quot;/&gt;&lt;wsp:rsid wsp:val=&quot;00D2516D&quot;/&gt;&lt;wsp:rsid wsp:val=&quot;00D25873&quot;/&gt;&lt;wsp:rsid wsp:val=&quot;00D25DAF&quot;/&gt;&lt;wsp:rsid wsp:val=&quot;00D26301&quot;/&gt;&lt;wsp:rsid wsp:val=&quot;00D26D39&quot;/&gt;&lt;wsp:rsid wsp:val=&quot;00D27409&quot;/&gt;&lt;wsp:rsid wsp:val=&quot;00D27540&quot;/&gt;&lt;wsp:rsid wsp:val=&quot;00D27769&quot;/&gt;&lt;wsp:rsid wsp:val=&quot;00D279B8&quot;/&gt;&lt;wsp:rsid wsp:val=&quot;00D27F7C&quot;/&gt;&lt;wsp:rsid wsp:val=&quot;00D30128&quot;/&gt;&lt;wsp:rsid wsp:val=&quot;00D30372&quot;/&gt;&lt;wsp:rsid wsp:val=&quot;00D307D2&quot;/&gt;&lt;wsp:rsid wsp:val=&quot;00D30BD5&quot;/&gt;&lt;wsp:rsid wsp:val=&quot;00D30C40&quot;/&gt;&lt;wsp:rsid wsp:val=&quot;00D310FA&quot;/&gt;&lt;wsp:rsid wsp:val=&quot;00D315BB&quot;/&gt;&lt;wsp:rsid wsp:val=&quot;00D31981&quot;/&gt;&lt;wsp:rsid wsp:val=&quot;00D31BA6&quot;/&gt;&lt;wsp:rsid wsp:val=&quot;00D31CFC&quot;/&gt;&lt;wsp:rsid wsp:val=&quot;00D322C2&quot;/&gt;&lt;wsp:rsid wsp:val=&quot;00D32411&quot;/&gt;&lt;wsp:rsid wsp:val=&quot;00D324ED&quot;/&gt;&lt;wsp:rsid wsp:val=&quot;00D33035&quot;/&gt;&lt;wsp:rsid wsp:val=&quot;00D33038&quot;/&gt;&lt;wsp:rsid wsp:val=&quot;00D33275&quot;/&gt;&lt;wsp:rsid wsp:val=&quot;00D33278&quot;/&gt;&lt;wsp:rsid wsp:val=&quot;00D335C3&quot;/&gt;&lt;wsp:rsid wsp:val=&quot;00D3375E&quot;/&gt;&lt;wsp:rsid wsp:val=&quot;00D33852&quot;/&gt;&lt;wsp:rsid wsp:val=&quot;00D33D31&quot;/&gt;&lt;wsp:rsid wsp:val=&quot;00D344A7&quot;/&gt;&lt;wsp:rsid wsp:val=&quot;00D34757&quot;/&gt;&lt;wsp:rsid wsp:val=&quot;00D34B46&quot;/&gt;&lt;wsp:rsid wsp:val=&quot;00D350C4&quot;/&gt;&lt;wsp:rsid wsp:val=&quot;00D3559B&quot;/&gt;&lt;wsp:rsid wsp:val=&quot;00D35E85&quot;/&gt;&lt;wsp:rsid wsp:val=&quot;00D360F1&quot;/&gt;&lt;wsp:rsid wsp:val=&quot;00D36322&quot;/&gt;&lt;wsp:rsid wsp:val=&quot;00D366D9&quot;/&gt;&lt;wsp:rsid wsp:val=&quot;00D36DF2&quot;/&gt;&lt;wsp:rsid wsp:val=&quot;00D37431&quot;/&gt;&lt;wsp:rsid wsp:val=&quot;00D37733&quot;/&gt;&lt;wsp:rsid wsp:val=&quot;00D37A21&quot;/&gt;&lt;wsp:rsid wsp:val=&quot;00D37AAF&quot;/&gt;&lt;wsp:rsid wsp:val=&quot;00D37B37&quot;/&gt;&lt;wsp:rsid wsp:val=&quot;00D37BFA&quot;/&gt;&lt;wsp:rsid wsp:val=&quot;00D37EA6&quot;/&gt;&lt;wsp:rsid wsp:val=&quot;00D40872&quot;/&gt;&lt;wsp:rsid wsp:val=&quot;00D40E7C&quot;/&gt;&lt;wsp:rsid wsp:val=&quot;00D40F27&quot;/&gt;&lt;wsp:rsid wsp:val=&quot;00D41179&quot;/&gt;&lt;wsp:rsid wsp:val=&quot;00D41803&quot;/&gt;&lt;wsp:rsid wsp:val=&quot;00D41A05&quot;/&gt;&lt;wsp:rsid wsp:val=&quot;00D41A3B&quot;/&gt;&lt;wsp:rsid wsp:val=&quot;00D41A7D&quot;/&gt;&lt;wsp:rsid wsp:val=&quot;00D41C03&quot;/&gt;&lt;wsp:rsid wsp:val=&quot;00D42B7C&quot;/&gt;&lt;wsp:rsid wsp:val=&quot;00D43133&quot;/&gt;&lt;wsp:rsid wsp:val=&quot;00D4322E&quot;/&gt;&lt;wsp:rsid wsp:val=&quot;00D43AFC&quot;/&gt;&lt;wsp:rsid wsp:val=&quot;00D43C8E&quot;/&gt;&lt;wsp:rsid wsp:val=&quot;00D43DA5&quot;/&gt;&lt;wsp:rsid wsp:val=&quot;00D44404&quot;/&gt;&lt;wsp:rsid wsp:val=&quot;00D44638&quot;/&gt;&lt;wsp:rsid wsp:val=&quot;00D4497C&quot;/&gt;&lt;wsp:rsid wsp:val=&quot;00D449A0&quot;/&gt;&lt;wsp:rsid wsp:val=&quot;00D44E88&quot;/&gt;&lt;wsp:rsid wsp:val=&quot;00D450A2&quot;/&gt;&lt;wsp:rsid wsp:val=&quot;00D45419&quot;/&gt;&lt;wsp:rsid wsp:val=&quot;00D457BD&quot;/&gt;&lt;wsp:rsid wsp:val=&quot;00D46514&quot;/&gt;&lt;wsp:rsid wsp:val=&quot;00D46798&quot;/&gt;&lt;wsp:rsid wsp:val=&quot;00D46ADF&quot;/&gt;&lt;wsp:rsid wsp:val=&quot;00D46C81&quot;/&gt;&lt;wsp:rsid wsp:val=&quot;00D47673&quot;/&gt;&lt;wsp:rsid wsp:val=&quot;00D47B77&quot;/&gt;&lt;wsp:rsid wsp:val=&quot;00D50034&quot;/&gt;&lt;wsp:rsid wsp:val=&quot;00D503EC&quot;/&gt;&lt;wsp:rsid wsp:val=&quot;00D50F65&quot;/&gt;&lt;wsp:rsid wsp:val=&quot;00D50F81&quot;/&gt;&lt;wsp:rsid wsp:val=&quot;00D51720&quot;/&gt;&lt;wsp:rsid wsp:val=&quot;00D51B2A&quot;/&gt;&lt;wsp:rsid wsp:val=&quot;00D51D4A&quot;/&gt;&lt;wsp:rsid wsp:val=&quot;00D52209&quot;/&gt;&lt;wsp:rsid wsp:val=&quot;00D5234B&quot;/&gt;&lt;wsp:rsid wsp:val=&quot;00D52395&quot;/&gt;&lt;wsp:rsid wsp:val=&quot;00D52581&quot;/&gt;&lt;wsp:rsid wsp:val=&quot;00D52759&quot;/&gt;&lt;wsp:rsid wsp:val=&quot;00D52769&quot;/&gt;&lt;wsp:rsid wsp:val=&quot;00D52807&quot;/&gt;&lt;wsp:rsid wsp:val=&quot;00D52BB3&quot;/&gt;&lt;wsp:rsid wsp:val=&quot;00D52C1D&quot;/&gt;&lt;wsp:rsid wsp:val=&quot;00D53964&quot;/&gt;&lt;wsp:rsid wsp:val=&quot;00D53984&quot;/&gt;&lt;wsp:rsid wsp:val=&quot;00D53BAC&quot;/&gt;&lt;wsp:rsid wsp:val=&quot;00D53BE1&quot;/&gt;&lt;wsp:rsid wsp:val=&quot;00D53C87&quot;/&gt;&lt;wsp:rsid wsp:val=&quot;00D54868&quot;/&gt;&lt;wsp:rsid wsp:val=&quot;00D54C61&quot;/&gt;&lt;wsp:rsid wsp:val=&quot;00D54D1E&quot;/&gt;&lt;wsp:rsid wsp:val=&quot;00D55266&quot;/&gt;&lt;wsp:rsid wsp:val=&quot;00D55283&quot;/&gt;&lt;wsp:rsid wsp:val=&quot;00D5595E&quot;/&gt;&lt;wsp:rsid wsp:val=&quot;00D55BCE&quot;/&gt;&lt;wsp:rsid wsp:val=&quot;00D5613C&quot;/&gt;&lt;wsp:rsid wsp:val=&quot;00D56253&quot;/&gt;&lt;wsp:rsid wsp:val=&quot;00D56498&quot;/&gt;&lt;wsp:rsid wsp:val=&quot;00D567FE&quot;/&gt;&lt;wsp:rsid wsp:val=&quot;00D56CE8&quot;/&gt;&lt;wsp:rsid wsp:val=&quot;00D5731E&quot;/&gt;&lt;wsp:rsid wsp:val=&quot;00D579C3&quot;/&gt;&lt;wsp:rsid wsp:val=&quot;00D57E09&quot;/&gt;&lt;wsp:rsid wsp:val=&quot;00D6016A&quot;/&gt;&lt;wsp:rsid wsp:val=&quot;00D60191&quot;/&gt;&lt;wsp:rsid wsp:val=&quot;00D61005&quot;/&gt;&lt;wsp:rsid wsp:val=&quot;00D61015&quot;/&gt;&lt;wsp:rsid wsp:val=&quot;00D61131&quot;/&gt;&lt;wsp:rsid wsp:val=&quot;00D611BB&quot;/&gt;&lt;wsp:rsid wsp:val=&quot;00D61829&quot;/&gt;&lt;wsp:rsid wsp:val=&quot;00D61A11&quot;/&gt;&lt;wsp:rsid wsp:val=&quot;00D61ADA&quot;/&gt;&lt;wsp:rsid wsp:val=&quot;00D61BEC&quot;/&gt;&lt;wsp:rsid wsp:val=&quot;00D61EBC&quot;/&gt;&lt;wsp:rsid wsp:val=&quot;00D61F64&quot;/&gt;&lt;wsp:rsid wsp:val=&quot;00D620A2&quot;/&gt;&lt;wsp:rsid wsp:val=&quot;00D622CE&quot;/&gt;&lt;wsp:rsid wsp:val=&quot;00D625F9&quot;/&gt;&lt;wsp:rsid wsp:val=&quot;00D626BE&quot;/&gt;&lt;wsp:rsid wsp:val=&quot;00D627CF&quot;/&gt;&lt;wsp:rsid wsp:val=&quot;00D62824&quot;/&gt;&lt;wsp:rsid wsp:val=&quot;00D6298A&quot;/&gt;&lt;wsp:rsid wsp:val=&quot;00D62A18&quot;/&gt;&lt;wsp:rsid wsp:val=&quot;00D62B58&quot;/&gt;&lt;wsp:rsid wsp:val=&quot;00D630C5&quot;/&gt;&lt;wsp:rsid wsp:val=&quot;00D636AD&quot;/&gt;&lt;wsp:rsid wsp:val=&quot;00D63D63&quot;/&gt;&lt;wsp:rsid wsp:val=&quot;00D64252&quot;/&gt;&lt;wsp:rsid wsp:val=&quot;00D64417&quot;/&gt;&lt;wsp:rsid wsp:val=&quot;00D6444A&quot;/&gt;&lt;wsp:rsid wsp:val=&quot;00D644E7&quot;/&gt;&lt;wsp:rsid wsp:val=&quot;00D646C6&quot;/&gt;&lt;wsp:rsid wsp:val=&quot;00D64822&quot;/&gt;&lt;wsp:rsid wsp:val=&quot;00D652FF&quot;/&gt;&lt;wsp:rsid wsp:val=&quot;00D653DB&quot;/&gt;&lt;wsp:rsid wsp:val=&quot;00D654C8&quot;/&gt;&lt;wsp:rsid wsp:val=&quot;00D6567B&quot;/&gt;&lt;wsp:rsid wsp:val=&quot;00D65AA1&quot;/&gt;&lt;wsp:rsid wsp:val=&quot;00D6638B&quot;/&gt;&lt;wsp:rsid wsp:val=&quot;00D66DD9&quot;/&gt;&lt;wsp:rsid wsp:val=&quot;00D66FA6&quot;/&gt;&lt;wsp:rsid wsp:val=&quot;00D671DD&quot;/&gt;&lt;wsp:rsid wsp:val=&quot;00D67240&quot;/&gt;&lt;wsp:rsid wsp:val=&quot;00D678AC&quot;/&gt;&lt;wsp:rsid wsp:val=&quot;00D67A44&quot;/&gt;&lt;wsp:rsid wsp:val=&quot;00D67C73&quot;/&gt;&lt;wsp:rsid wsp:val=&quot;00D7030E&quot;/&gt;&lt;wsp:rsid wsp:val=&quot;00D703A3&quot;/&gt;&lt;wsp:rsid wsp:val=&quot;00D7040C&quot;/&gt;&lt;wsp:rsid wsp:val=&quot;00D705E7&quot;/&gt;&lt;wsp:rsid wsp:val=&quot;00D7074F&quot;/&gt;&lt;wsp:rsid wsp:val=&quot;00D70CD1&quot;/&gt;&lt;wsp:rsid wsp:val=&quot;00D70E7A&quot;/&gt;&lt;wsp:rsid wsp:val=&quot;00D70F4A&quot;/&gt;&lt;wsp:rsid wsp:val=&quot;00D71546&quot;/&gt;&lt;wsp:rsid wsp:val=&quot;00D716E8&quot;/&gt;&lt;wsp:rsid wsp:val=&quot;00D71916&quot;/&gt;&lt;wsp:rsid wsp:val=&quot;00D719E6&quot;/&gt;&lt;wsp:rsid wsp:val=&quot;00D71CEF&quot;/&gt;&lt;wsp:rsid wsp:val=&quot;00D7218F&quot;/&gt;&lt;wsp:rsid wsp:val=&quot;00D72199&quot;/&gt;&lt;wsp:rsid wsp:val=&quot;00D72232&quot;/&gt;&lt;wsp:rsid wsp:val=&quot;00D722CF&quot;/&gt;&lt;wsp:rsid wsp:val=&quot;00D725DB&quot;/&gt;&lt;wsp:rsid wsp:val=&quot;00D72C5F&quot;/&gt;&lt;wsp:rsid wsp:val=&quot;00D72DA4&quot;/&gt;&lt;wsp:rsid wsp:val=&quot;00D732EE&quot;/&gt;&lt;wsp:rsid wsp:val=&quot;00D73338&quot;/&gt;&lt;wsp:rsid wsp:val=&quot;00D73348&quot;/&gt;&lt;wsp:rsid wsp:val=&quot;00D73FD6&quot;/&gt;&lt;wsp:rsid wsp:val=&quot;00D74262&quot;/&gt;&lt;wsp:rsid wsp:val=&quot;00D7433C&quot;/&gt;&lt;wsp:rsid wsp:val=&quot;00D74575&quot;/&gt;&lt;wsp:rsid wsp:val=&quot;00D7465E&quot;/&gt;&lt;wsp:rsid wsp:val=&quot;00D74A56&quot;/&gt;&lt;wsp:rsid wsp:val=&quot;00D74D31&quot;/&gt;&lt;wsp:rsid wsp:val=&quot;00D74D6F&quot;/&gt;&lt;wsp:rsid wsp:val=&quot;00D74EF6&quot;/&gt;&lt;wsp:rsid wsp:val=&quot;00D74F07&quot;/&gt;&lt;wsp:rsid wsp:val=&quot;00D74F9C&quot;/&gt;&lt;wsp:rsid wsp:val=&quot;00D75012&quot;/&gt;&lt;wsp:rsid wsp:val=&quot;00D75773&quot;/&gt;&lt;wsp:rsid wsp:val=&quot;00D760A9&quot;/&gt;&lt;wsp:rsid wsp:val=&quot;00D760CF&quot;/&gt;&lt;wsp:rsid wsp:val=&quot;00D763C6&quot;/&gt;&lt;wsp:rsid wsp:val=&quot;00D76440&quot;/&gt;&lt;wsp:rsid wsp:val=&quot;00D76731&quot;/&gt;&lt;wsp:rsid wsp:val=&quot;00D7695D&quot;/&gt;&lt;wsp:rsid wsp:val=&quot;00D77746&quot;/&gt;&lt;wsp:rsid wsp:val=&quot;00D778C2&quot;/&gt;&lt;wsp:rsid wsp:val=&quot;00D77CA3&quot;/&gt;&lt;wsp:rsid wsp:val=&quot;00D8038B&quot;/&gt;&lt;wsp:rsid wsp:val=&quot;00D803E5&quot;/&gt;&lt;wsp:rsid wsp:val=&quot;00D80BA3&quot;/&gt;&lt;wsp:rsid wsp:val=&quot;00D80E47&quot;/&gt;&lt;wsp:rsid wsp:val=&quot;00D813D1&quot;/&gt;&lt;wsp:rsid wsp:val=&quot;00D81428&quot;/&gt;&lt;wsp:rsid wsp:val=&quot;00D818D9&quot;/&gt;&lt;wsp:rsid wsp:val=&quot;00D81B53&quot;/&gt;&lt;wsp:rsid wsp:val=&quot;00D81D91&quot;/&gt;&lt;wsp:rsid wsp:val=&quot;00D81E8A&quot;/&gt;&lt;wsp:rsid wsp:val=&quot;00D82675&quot;/&gt;&lt;wsp:rsid wsp:val=&quot;00D8270A&quot;/&gt;&lt;wsp:rsid wsp:val=&quot;00D82A8E&quot;/&gt;&lt;wsp:rsid wsp:val=&quot;00D82DF1&quot;/&gt;&lt;wsp:rsid wsp:val=&quot;00D82EF5&quot;/&gt;&lt;wsp:rsid wsp:val=&quot;00D831D9&quot;/&gt;&lt;wsp:rsid wsp:val=&quot;00D83235&quot;/&gt;&lt;wsp:rsid wsp:val=&quot;00D8393F&quot;/&gt;&lt;wsp:rsid wsp:val=&quot;00D840E6&quot;/&gt;&lt;wsp:rsid wsp:val=&quot;00D8429C&quot;/&gt;&lt;wsp:rsid wsp:val=&quot;00D842D4&quot;/&gt;&lt;wsp:rsid wsp:val=&quot;00D84621&quot;/&gt;&lt;wsp:rsid wsp:val=&quot;00D8462B&quot;/&gt;&lt;wsp:rsid wsp:val=&quot;00D84941&quot;/&gt;&lt;wsp:rsid wsp:val=&quot;00D8521F&quot;/&gt;&lt;wsp:rsid wsp:val=&quot;00D85335&quot;/&gt;&lt;wsp:rsid wsp:val=&quot;00D856EC&quot;/&gt;&lt;wsp:rsid wsp:val=&quot;00D8570C&quot;/&gt;&lt;wsp:rsid wsp:val=&quot;00D85824&quot;/&gt;&lt;wsp:rsid wsp:val=&quot;00D85C69&quot;/&gt;&lt;wsp:rsid wsp:val=&quot;00D85C72&quot;/&gt;&lt;wsp:rsid wsp:val=&quot;00D85DEB&quot;/&gt;&lt;wsp:rsid wsp:val=&quot;00D861F0&quot;/&gt;&lt;wsp:rsid wsp:val=&quot;00D86504&quot;/&gt;&lt;wsp:rsid wsp:val=&quot;00D86DFF&quot;/&gt;&lt;wsp:rsid wsp:val=&quot;00D87212&quot;/&gt;&lt;wsp:rsid wsp:val=&quot;00D87551&quot;/&gt;&lt;wsp:rsid wsp:val=&quot;00D87C1E&quot;/&gt;&lt;wsp:rsid wsp:val=&quot;00D90067&quot;/&gt;&lt;wsp:rsid wsp:val=&quot;00D903FC&quot;/&gt;&lt;wsp:rsid wsp:val=&quot;00D903FF&quot;/&gt;&lt;wsp:rsid wsp:val=&quot;00D9066D&quot;/&gt;&lt;wsp:rsid wsp:val=&quot;00D90844&quot;/&gt;&lt;wsp:rsid wsp:val=&quot;00D90C47&quot;/&gt;&lt;wsp:rsid wsp:val=&quot;00D90CDB&quot;/&gt;&lt;wsp:rsid wsp:val=&quot;00D9124E&quot;/&gt;&lt;wsp:rsid wsp:val=&quot;00D917CA&quot;/&gt;&lt;wsp:rsid wsp:val=&quot;00D918CD&quot;/&gt;&lt;wsp:rsid wsp:val=&quot;00D9196C&quot;/&gt;&lt;wsp:rsid wsp:val=&quot;00D91C21&quot;/&gt;&lt;wsp:rsid wsp:val=&quot;00D91EC6&quot;/&gt;&lt;wsp:rsid wsp:val=&quot;00D91F11&quot;/&gt;&lt;wsp:rsid wsp:val=&quot;00D91FF6&quot;/&gt;&lt;wsp:rsid wsp:val=&quot;00D922E8&quot;/&gt;&lt;wsp:rsid wsp:val=&quot;00D92491&quot;/&gt;&lt;wsp:rsid wsp:val=&quot;00D92AE3&quot;/&gt;&lt;wsp:rsid wsp:val=&quot;00D92CE4&quot;/&gt;&lt;wsp:rsid wsp:val=&quot;00D934D4&quot;/&gt;&lt;wsp:rsid wsp:val=&quot;00D935B0&quot;/&gt;&lt;wsp:rsid wsp:val=&quot;00D93895&quot;/&gt;&lt;wsp:rsid wsp:val=&quot;00D93B30&quot;/&gt;&lt;wsp:rsid wsp:val=&quot;00D93EE5&quot;/&gt;&lt;wsp:rsid wsp:val=&quot;00D9400B&quot;/&gt;&lt;wsp:rsid wsp:val=&quot;00D94351&quot;/&gt;&lt;wsp:rsid wsp:val=&quot;00D9436E&quot;/&gt;&lt;wsp:rsid wsp:val=&quot;00D9442C&quot;/&gt;&lt;wsp:rsid wsp:val=&quot;00D94635&quot;/&gt;&lt;wsp:rsid wsp:val=&quot;00D95228&quot;/&gt;&lt;wsp:rsid wsp:val=&quot;00D957C3&quot;/&gt;&lt;wsp:rsid wsp:val=&quot;00D95AF4&quot;/&gt;&lt;wsp:rsid wsp:val=&quot;00D95CB7&quot;/&gt;&lt;wsp:rsid wsp:val=&quot;00D96247&quot;/&gt;&lt;wsp:rsid wsp:val=&quot;00D9632F&quot;/&gt;&lt;wsp:rsid wsp:val=&quot;00D9690E&quot;/&gt;&lt;wsp:rsid wsp:val=&quot;00D97DC7&quot;/&gt;&lt;wsp:rsid wsp:val=&quot;00D97EE3&quot;/&gt;&lt;wsp:rsid wsp:val=&quot;00DA00AE&quot;/&gt;&lt;wsp:rsid wsp:val=&quot;00DA0108&quot;/&gt;&lt;wsp:rsid wsp:val=&quot;00DA01C4&quot;/&gt;&lt;wsp:rsid wsp:val=&quot;00DA0DD0&quot;/&gt;&lt;wsp:rsid wsp:val=&quot;00DA1876&quot;/&gt;&lt;wsp:rsid wsp:val=&quot;00DA1992&quot;/&gt;&lt;wsp:rsid wsp:val=&quot;00DA1A61&quot;/&gt;&lt;wsp:rsid wsp:val=&quot;00DA1BBD&quot;/&gt;&lt;wsp:rsid wsp:val=&quot;00DA27FD&quot;/&gt;&lt;wsp:rsid wsp:val=&quot;00DA281D&quot;/&gt;&lt;wsp:rsid wsp:val=&quot;00DA2B3F&quot;/&gt;&lt;wsp:rsid wsp:val=&quot;00DA2D48&quot;/&gt;&lt;wsp:rsid wsp:val=&quot;00DA31D6&quot;/&gt;&lt;wsp:rsid wsp:val=&quot;00DA32ED&quot;/&gt;&lt;wsp:rsid wsp:val=&quot;00DA355F&quot;/&gt;&lt;wsp:rsid wsp:val=&quot;00DA3637&quot;/&gt;&lt;wsp:rsid wsp:val=&quot;00DA3DE0&quot;/&gt;&lt;wsp:rsid wsp:val=&quot;00DA452D&quot;/&gt;&lt;wsp:rsid wsp:val=&quot;00DA4785&quot;/&gt;&lt;wsp:rsid wsp:val=&quot;00DA47F3&quot;/&gt;&lt;wsp:rsid wsp:val=&quot;00DA48A9&quot;/&gt;&lt;wsp:rsid wsp:val=&quot;00DA4AAB&quot;/&gt;&lt;wsp:rsid wsp:val=&quot;00DA4BE1&quot;/&gt;&lt;wsp:rsid wsp:val=&quot;00DA4C15&quot;/&gt;&lt;wsp:rsid wsp:val=&quot;00DA4CE7&quot;/&gt;&lt;wsp:rsid wsp:val=&quot;00DA4E26&quot;/&gt;&lt;wsp:rsid wsp:val=&quot;00DA4EDE&quot;/&gt;&lt;wsp:rsid wsp:val=&quot;00DA549C&quot;/&gt;&lt;wsp:rsid wsp:val=&quot;00DA54CD&quot;/&gt;&lt;wsp:rsid wsp:val=&quot;00DA571E&quot;/&gt;&lt;wsp:rsid wsp:val=&quot;00DA5943&quot;/&gt;&lt;wsp:rsid wsp:val=&quot;00DA5F1F&quot;/&gt;&lt;wsp:rsid wsp:val=&quot;00DA61F5&quot;/&gt;&lt;wsp:rsid wsp:val=&quot;00DA6232&quot;/&gt;&lt;wsp:rsid wsp:val=&quot;00DA65B2&quot;/&gt;&lt;wsp:rsid wsp:val=&quot;00DA662D&quot;/&gt;&lt;wsp:rsid wsp:val=&quot;00DA6ABD&quot;/&gt;&lt;wsp:rsid wsp:val=&quot;00DA6E57&quot;/&gt;&lt;wsp:rsid wsp:val=&quot;00DA7056&quot;/&gt;&lt;wsp:rsid wsp:val=&quot;00DA7340&quot;/&gt;&lt;wsp:rsid wsp:val=&quot;00DA7BA4&quot;/&gt;&lt;wsp:rsid wsp:val=&quot;00DA7E61&quot;/&gt;&lt;wsp:rsid wsp:val=&quot;00DA7FCB&quot;/&gt;&lt;wsp:rsid wsp:val=&quot;00DB01DB&quot;/&gt;&lt;wsp:rsid wsp:val=&quot;00DB09AB&quot;/&gt;&lt;wsp:rsid wsp:val=&quot;00DB0A6B&quot;/&gt;&lt;wsp:rsid wsp:val=&quot;00DB0C61&quot;/&gt;&lt;wsp:rsid wsp:val=&quot;00DB0FD0&quot;/&gt;&lt;wsp:rsid wsp:val=&quot;00DB111F&quot;/&gt;&lt;wsp:rsid wsp:val=&quot;00DB1156&quot;/&gt;&lt;wsp:rsid wsp:val=&quot;00DB1ADE&quot;/&gt;&lt;wsp:rsid wsp:val=&quot;00DB21F9&quot;/&gt;&lt;wsp:rsid wsp:val=&quot;00DB23E1&quot;/&gt;&lt;wsp:rsid wsp:val=&quot;00DB242E&quot;/&gt;&lt;wsp:rsid wsp:val=&quot;00DB247B&quot;/&gt;&lt;wsp:rsid wsp:val=&quot;00DB2500&quot;/&gt;&lt;wsp:rsid wsp:val=&quot;00DB25F7&quot;/&gt;&lt;wsp:rsid wsp:val=&quot;00DB2745&quot;/&gt;&lt;wsp:rsid wsp:val=&quot;00DB2810&quot;/&gt;&lt;wsp:rsid wsp:val=&quot;00DB296C&quot;/&gt;&lt;wsp:rsid wsp:val=&quot;00DB2979&quot;/&gt;&lt;wsp:rsid wsp:val=&quot;00DB29FA&quot;/&gt;&lt;wsp:rsid wsp:val=&quot;00DB2B88&quot;/&gt;&lt;wsp:rsid wsp:val=&quot;00DB2C50&quot;/&gt;&lt;wsp:rsid wsp:val=&quot;00DB32C4&quot;/&gt;&lt;wsp:rsid wsp:val=&quot;00DB3873&quot;/&gt;&lt;wsp:rsid wsp:val=&quot;00DB38FF&quot;/&gt;&lt;wsp:rsid wsp:val=&quot;00DB3F39&quot;/&gt;&lt;wsp:rsid wsp:val=&quot;00DB3FF4&quot;/&gt;&lt;wsp:rsid wsp:val=&quot;00DB4EA6&quot;/&gt;&lt;wsp:rsid wsp:val=&quot;00DB51A7&quot;/&gt;&lt;wsp:rsid wsp:val=&quot;00DB5222&quot;/&gt;&lt;wsp:rsid wsp:val=&quot;00DB5A41&quot;/&gt;&lt;wsp:rsid wsp:val=&quot;00DB5DD7&quot;/&gt;&lt;wsp:rsid wsp:val=&quot;00DB64EB&quot;/&gt;&lt;wsp:rsid wsp:val=&quot;00DB6A15&quot;/&gt;&lt;wsp:rsid wsp:val=&quot;00DB6C7B&quot;/&gt;&lt;wsp:rsid wsp:val=&quot;00DB71FD&quot;/&gt;&lt;wsp:rsid wsp:val=&quot;00DB756B&quot;/&gt;&lt;wsp:rsid wsp:val=&quot;00DB7684&quot;/&gt;&lt;wsp:rsid wsp:val=&quot;00DB7D5B&quot;/&gt;&lt;wsp:rsid wsp:val=&quot;00DB7F4C&quot;/&gt;&lt;wsp:rsid wsp:val=&quot;00DC037E&quot;/&gt;&lt;wsp:rsid wsp:val=&quot;00DC0828&quot;/&gt;&lt;wsp:rsid wsp:val=&quot;00DC085B&quot;/&gt;&lt;wsp:rsid wsp:val=&quot;00DC08CF&quot;/&gt;&lt;wsp:rsid wsp:val=&quot;00DC0984&quot;/&gt;&lt;wsp:rsid wsp:val=&quot;00DC0EC9&quot;/&gt;&lt;wsp:rsid wsp:val=&quot;00DC0ECC&quot;/&gt;&lt;wsp:rsid wsp:val=&quot;00DC141E&quot;/&gt;&lt;wsp:rsid wsp:val=&quot;00DC15EC&quot;/&gt;&lt;wsp:rsid wsp:val=&quot;00DC1957&quot;/&gt;&lt;wsp:rsid wsp:val=&quot;00DC1CFE&quot;/&gt;&lt;wsp:rsid wsp:val=&quot;00DC21D5&quot;/&gt;&lt;wsp:rsid wsp:val=&quot;00DC27DA&quot;/&gt;&lt;wsp:rsid wsp:val=&quot;00DC2C4C&quot;/&gt;&lt;wsp:rsid wsp:val=&quot;00DC2EE7&quot;/&gt;&lt;wsp:rsid wsp:val=&quot;00DC3280&quot;/&gt;&lt;wsp:rsid wsp:val=&quot;00DC3341&quot;/&gt;&lt;wsp:rsid wsp:val=&quot;00DC339F&quot;/&gt;&lt;wsp:rsid wsp:val=&quot;00DC33AB&quot;/&gt;&lt;wsp:rsid wsp:val=&quot;00DC3481&quot;/&gt;&lt;wsp:rsid wsp:val=&quot;00DC38A8&quot;/&gt;&lt;wsp:rsid wsp:val=&quot;00DC38BC&quot;/&gt;&lt;wsp:rsid wsp:val=&quot;00DC3992&quot;/&gt;&lt;wsp:rsid wsp:val=&quot;00DC3E04&quot;/&gt;&lt;wsp:rsid wsp:val=&quot;00DC402E&quot;/&gt;&lt;wsp:rsid wsp:val=&quot;00DC4284&quot;/&gt;&lt;wsp:rsid wsp:val=&quot;00DC4376&quot;/&gt;&lt;wsp:rsid wsp:val=&quot;00DC50F1&quot;/&gt;&lt;wsp:rsid wsp:val=&quot;00DC520C&quot;/&gt;&lt;wsp:rsid wsp:val=&quot;00DC535D&quot;/&gt;&lt;wsp:rsid wsp:val=&quot;00DC5445&quot;/&gt;&lt;wsp:rsid wsp:val=&quot;00DC562B&quot;/&gt;&lt;wsp:rsid wsp:val=&quot;00DC5FEC&quot;/&gt;&lt;wsp:rsid wsp:val=&quot;00DC6606&quot;/&gt;&lt;wsp:rsid wsp:val=&quot;00DC673D&quot;/&gt;&lt;wsp:rsid wsp:val=&quot;00DC67C7&quot;/&gt;&lt;wsp:rsid wsp:val=&quot;00DC69E6&quot;/&gt;&lt;wsp:rsid wsp:val=&quot;00DC6EDE&quot;/&gt;&lt;wsp:rsid wsp:val=&quot;00DC6F21&quot;/&gt;&lt;wsp:rsid wsp:val=&quot;00DC741A&quot;/&gt;&lt;wsp:rsid wsp:val=&quot;00DC751E&quot;/&gt;&lt;wsp:rsid wsp:val=&quot;00DC7B73&quot;/&gt;&lt;wsp:rsid wsp:val=&quot;00DC7C4E&quot;/&gt;&lt;wsp:rsid wsp:val=&quot;00DC7E15&quot;/&gt;&lt;wsp:rsid wsp:val=&quot;00DC7E27&quot;/&gt;&lt;wsp:rsid wsp:val=&quot;00DD01DC&quot;/&gt;&lt;wsp:rsid wsp:val=&quot;00DD042E&quot;/&gt;&lt;wsp:rsid wsp:val=&quot;00DD0A18&quot;/&gt;&lt;wsp:rsid wsp:val=&quot;00DD0A2F&quot;/&gt;&lt;wsp:rsid wsp:val=&quot;00DD0B4F&quot;/&gt;&lt;wsp:rsid wsp:val=&quot;00DD0C8C&quot;/&gt;&lt;wsp:rsid wsp:val=&quot;00DD109B&quot;/&gt;&lt;wsp:rsid wsp:val=&quot;00DD16ED&quot;/&gt;&lt;wsp:rsid wsp:val=&quot;00DD17BD&quot;/&gt;&lt;wsp:rsid wsp:val=&quot;00DD1B72&quot;/&gt;&lt;wsp:rsid wsp:val=&quot;00DD1D1C&quot;/&gt;&lt;wsp:rsid wsp:val=&quot;00DD237A&quot;/&gt;&lt;wsp:rsid wsp:val=&quot;00DD397C&quot;/&gt;&lt;wsp:rsid wsp:val=&quot;00DD3CEA&quot;/&gt;&lt;wsp:rsid wsp:val=&quot;00DD4838&quot;/&gt;&lt;wsp:rsid wsp:val=&quot;00DD4C81&quot;/&gt;&lt;wsp:rsid wsp:val=&quot;00DD54F2&quot;/&gt;&lt;wsp:rsid wsp:val=&quot;00DD55B0&quot;/&gt;&lt;wsp:rsid wsp:val=&quot;00DD68AB&quot;/&gt;&lt;wsp:rsid wsp:val=&quot;00DD69F4&quot;/&gt;&lt;wsp:rsid wsp:val=&quot;00DD7431&quot;/&gt;&lt;wsp:rsid wsp:val=&quot;00DD760A&quot;/&gt;&lt;wsp:rsid wsp:val=&quot;00DD7A76&quot;/&gt;&lt;wsp:rsid wsp:val=&quot;00DD7BC2&quot;/&gt;&lt;wsp:rsid wsp:val=&quot;00DD7E50&quot;/&gt;&lt;wsp:rsid wsp:val=&quot;00DE032C&quot;/&gt;&lt;wsp:rsid wsp:val=&quot;00DE0474&quot;/&gt;&lt;wsp:rsid wsp:val=&quot;00DE0727&quot;/&gt;&lt;wsp:rsid wsp:val=&quot;00DE0A01&quot;/&gt;&lt;wsp:rsid wsp:val=&quot;00DE0F9E&quot;/&gt;&lt;wsp:rsid wsp:val=&quot;00DE0FA7&quot;/&gt;&lt;wsp:rsid wsp:val=&quot;00DE1511&quot;/&gt;&lt;wsp:rsid wsp:val=&quot;00DE1522&quot;/&gt;&lt;wsp:rsid wsp:val=&quot;00DE1AC8&quot;/&gt;&lt;wsp:rsid wsp:val=&quot;00DE1F3F&quot;/&gt;&lt;wsp:rsid wsp:val=&quot;00DE2077&quot;/&gt;&lt;wsp:rsid wsp:val=&quot;00DE257A&quot;/&gt;&lt;wsp:rsid wsp:val=&quot;00DE287C&quot;/&gt;&lt;wsp:rsid wsp:val=&quot;00DE31E6&quot;/&gt;&lt;wsp:rsid wsp:val=&quot;00DE3718&quot;/&gt;&lt;wsp:rsid wsp:val=&quot;00DE38C1&quot;/&gt;&lt;wsp:rsid wsp:val=&quot;00DE3990&quot;/&gt;&lt;wsp:rsid wsp:val=&quot;00DE3D4C&quot;/&gt;&lt;wsp:rsid wsp:val=&quot;00DE3F61&quot;/&gt;&lt;wsp:rsid wsp:val=&quot;00DE4264&quot;/&gt;&lt;wsp:rsid wsp:val=&quot;00DE473A&quot;/&gt;&lt;wsp:rsid wsp:val=&quot;00DE47DB&quot;/&gt;&lt;wsp:rsid wsp:val=&quot;00DE4B48&quot;/&gt;&lt;wsp:rsid wsp:val=&quot;00DE4BD2&quot;/&gt;&lt;wsp:rsid wsp:val=&quot;00DE4C60&quot;/&gt;&lt;wsp:rsid wsp:val=&quot;00DE4E7A&quot;/&gt;&lt;wsp:rsid wsp:val=&quot;00DE585A&quot;/&gt;&lt;wsp:rsid wsp:val=&quot;00DE6784&quot;/&gt;&lt;wsp:rsid wsp:val=&quot;00DE6861&quot;/&gt;&lt;wsp:rsid wsp:val=&quot;00DE6C98&quot;/&gt;&lt;wsp:rsid wsp:val=&quot;00DE6F68&quot;/&gt;&lt;wsp:rsid wsp:val=&quot;00DE7C17&quot;/&gt;&lt;wsp:rsid wsp:val=&quot;00DE7CE1&quot;/&gt;&lt;wsp:rsid wsp:val=&quot;00DF02B9&quot;/&gt;&lt;wsp:rsid wsp:val=&quot;00DF043D&quot;/&gt;&lt;wsp:rsid wsp:val=&quot;00DF04F9&quot;/&gt;&lt;wsp:rsid wsp:val=&quot;00DF05F2&quot;/&gt;&lt;wsp:rsid wsp:val=&quot;00DF0C83&quot;/&gt;&lt;wsp:rsid wsp:val=&quot;00DF122E&quot;/&gt;&lt;wsp:rsid wsp:val=&quot;00DF1835&quot;/&gt;&lt;wsp:rsid wsp:val=&quot;00DF1838&quot;/&gt;&lt;wsp:rsid wsp:val=&quot;00DF1BB2&quot;/&gt;&lt;wsp:rsid wsp:val=&quot;00DF1CC0&quot;/&gt;&lt;wsp:rsid wsp:val=&quot;00DF2033&quot;/&gt;&lt;wsp:rsid wsp:val=&quot;00DF22C7&quot;/&gt;&lt;wsp:rsid wsp:val=&quot;00DF2408&quot;/&gt;&lt;wsp:rsid wsp:val=&quot;00DF281A&quot;/&gt;&lt;wsp:rsid wsp:val=&quot;00DF2B2A&quot;/&gt;&lt;wsp:rsid wsp:val=&quot;00DF2B65&quot;/&gt;&lt;wsp:rsid wsp:val=&quot;00DF324D&quot;/&gt;&lt;wsp:rsid wsp:val=&quot;00DF34E6&quot;/&gt;&lt;wsp:rsid wsp:val=&quot;00DF3C68&quot;/&gt;&lt;wsp:rsid wsp:val=&quot;00DF4AAE&quot;/&gt;&lt;wsp:rsid wsp:val=&quot;00DF4BE1&quot;/&gt;&lt;wsp:rsid wsp:val=&quot;00DF4DC9&quot;/&gt;&lt;wsp:rsid wsp:val=&quot;00DF4E74&quot;/&gt;&lt;wsp:rsid wsp:val=&quot;00DF54DF&quot;/&gt;&lt;wsp:rsid wsp:val=&quot;00DF55D6&quot;/&gt;&lt;wsp:rsid wsp:val=&quot;00DF5623&quot;/&gt;&lt;wsp:rsid wsp:val=&quot;00DF5F78&quot;/&gt;&lt;wsp:rsid wsp:val=&quot;00DF5FC0&quot;/&gt;&lt;wsp:rsid wsp:val=&quot;00DF6021&quot;/&gt;&lt;wsp:rsid wsp:val=&quot;00DF6457&quot;/&gt;&lt;wsp:rsid wsp:val=&quot;00DF64F5&quot;/&gt;&lt;wsp:rsid wsp:val=&quot;00DF6B13&quot;/&gt;&lt;wsp:rsid wsp:val=&quot;00DF737B&quot;/&gt;&lt;wsp:rsid wsp:val=&quot;00DF7C16&quot;/&gt;&lt;wsp:rsid wsp:val=&quot;00E00185&quot;/&gt;&lt;wsp:rsid wsp:val=&quot;00E0093C&quot;/&gt;&lt;wsp:rsid wsp:val=&quot;00E01018&quot;/&gt;&lt;wsp:rsid wsp:val=&quot;00E01634&quot;/&gt;&lt;wsp:rsid wsp:val=&quot;00E01C55&quot;/&gt;&lt;wsp:rsid wsp:val=&quot;00E01D5B&quot;/&gt;&lt;wsp:rsid wsp:val=&quot;00E01DC2&quot;/&gt;&lt;wsp:rsid wsp:val=&quot;00E021CD&quot;/&gt;&lt;wsp:rsid wsp:val=&quot;00E02227&quot;/&gt;&lt;wsp:rsid wsp:val=&quot;00E027BD&quot;/&gt;&lt;wsp:rsid wsp:val=&quot;00E02C60&quot;/&gt;&lt;wsp:rsid wsp:val=&quot;00E02EF2&quot;/&gt;&lt;wsp:rsid wsp:val=&quot;00E02FCD&quot;/&gt;&lt;wsp:rsid wsp:val=&quot;00E03172&quot;/&gt;&lt;wsp:rsid wsp:val=&quot;00E0321A&quot;/&gt;&lt;wsp:rsid wsp:val=&quot;00E03563&quot;/&gt;&lt;wsp:rsid wsp:val=&quot;00E037E5&quot;/&gt;&lt;wsp:rsid wsp:val=&quot;00E0384A&quot;/&gt;&lt;wsp:rsid wsp:val=&quot;00E0397E&quot;/&gt;&lt;wsp:rsid wsp:val=&quot;00E03CB0&quot;/&gt;&lt;wsp:rsid wsp:val=&quot;00E043AD&quot;/&gt;&lt;wsp:rsid wsp:val=&quot;00E0468B&quot;/&gt;&lt;wsp:rsid wsp:val=&quot;00E04764&quot;/&gt;&lt;wsp:rsid wsp:val=&quot;00E04C8A&quot;/&gt;&lt;wsp:rsid wsp:val=&quot;00E0514D&quot;/&gt;&lt;wsp:rsid wsp:val=&quot;00E0525B&quot;/&gt;&lt;wsp:rsid wsp:val=&quot;00E0547E&quot;/&gt;&lt;wsp:rsid wsp:val=&quot;00E0548D&quot;/&gt;&lt;wsp:rsid wsp:val=&quot;00E0589C&quot;/&gt;&lt;wsp:rsid wsp:val=&quot;00E05B76&quot;/&gt;&lt;wsp:rsid wsp:val=&quot;00E05E36&quot;/&gt;&lt;wsp:rsid wsp:val=&quot;00E06078&quot;/&gt;&lt;wsp:rsid wsp:val=&quot;00E06183&quot;/&gt;&lt;wsp:rsid wsp:val=&quot;00E06199&quot;/&gt;&lt;wsp:rsid wsp:val=&quot;00E064A1&quot;/&gt;&lt;wsp:rsid wsp:val=&quot;00E064D5&quot;/&gt;&lt;wsp:rsid wsp:val=&quot;00E068E7&quot;/&gt;&lt;wsp:rsid wsp:val=&quot;00E06D23&quot;/&gt;&lt;wsp:rsid wsp:val=&quot;00E07323&quot;/&gt;&lt;wsp:rsid wsp:val=&quot;00E07CED&quot;/&gt;&lt;wsp:rsid wsp:val=&quot;00E10057&quot;/&gt;&lt;wsp:rsid wsp:val=&quot;00E1009B&quot;/&gt;&lt;wsp:rsid wsp:val=&quot;00E10270&quot;/&gt;&lt;wsp:rsid wsp:val=&quot;00E10421&quot;/&gt;&lt;wsp:rsid wsp:val=&quot;00E104FF&quot;/&gt;&lt;wsp:rsid wsp:val=&quot;00E10748&quot;/&gt;&lt;wsp:rsid wsp:val=&quot;00E10E90&quot;/&gt;&lt;wsp:rsid wsp:val=&quot;00E10F69&quot;/&gt;&lt;wsp:rsid wsp:val=&quot;00E1107E&quot;/&gt;&lt;wsp:rsid wsp:val=&quot;00E111E0&quot;/&gt;&lt;wsp:rsid wsp:val=&quot;00E11503&quot;/&gt;&lt;wsp:rsid wsp:val=&quot;00E1151C&quot;/&gt;&lt;wsp:rsid wsp:val=&quot;00E11848&quot;/&gt;&lt;wsp:rsid wsp:val=&quot;00E11B3A&quot;/&gt;&lt;wsp:rsid wsp:val=&quot;00E11E52&quot;/&gt;&lt;wsp:rsid wsp:val=&quot;00E11F1C&quot;/&gt;&lt;wsp:rsid wsp:val=&quot;00E123DD&quot;/&gt;&lt;wsp:rsid wsp:val=&quot;00E126D5&quot;/&gt;&lt;wsp:rsid wsp:val=&quot;00E12E70&quot;/&gt;&lt;wsp:rsid wsp:val=&quot;00E1397B&quot;/&gt;&lt;wsp:rsid wsp:val=&quot;00E13F67&quot;/&gt;&lt;wsp:rsid wsp:val=&quot;00E14087&quot;/&gt;&lt;wsp:rsid wsp:val=&quot;00E140B5&quot;/&gt;&lt;wsp:rsid wsp:val=&quot;00E1418D&quot;/&gt;&lt;wsp:rsid wsp:val=&quot;00E1423A&quot;/&gt;&lt;wsp:rsid wsp:val=&quot;00E1461B&quot;/&gt;&lt;wsp:rsid wsp:val=&quot;00E14BC2&quot;/&gt;&lt;wsp:rsid wsp:val=&quot;00E14C96&quot;/&gt;&lt;wsp:rsid wsp:val=&quot;00E1560A&quot;/&gt;&lt;wsp:rsid wsp:val=&quot;00E1567C&quot;/&gt;&lt;wsp:rsid wsp:val=&quot;00E15869&quot;/&gt;&lt;wsp:rsid wsp:val=&quot;00E1609B&quot;/&gt;&lt;wsp:rsid wsp:val=&quot;00E166C2&quot;/&gt;&lt;wsp:rsid wsp:val=&quot;00E1675A&quot;/&gt;&lt;wsp:rsid wsp:val=&quot;00E167F9&quot;/&gt;&lt;wsp:rsid wsp:val=&quot;00E168A2&quot;/&gt;&lt;wsp:rsid wsp:val=&quot;00E16ADA&quot;/&gt;&lt;wsp:rsid wsp:val=&quot;00E16E47&quot;/&gt;&lt;wsp:rsid wsp:val=&quot;00E2023E&quot;/&gt;&lt;wsp:rsid wsp:val=&quot;00E20289&quot;/&gt;&lt;wsp:rsid wsp:val=&quot;00E20441&quot;/&gt;&lt;wsp:rsid wsp:val=&quot;00E204BF&quot;/&gt;&lt;wsp:rsid wsp:val=&quot;00E20548&quot;/&gt;&lt;wsp:rsid wsp:val=&quot;00E20830&quot;/&gt;&lt;wsp:rsid wsp:val=&quot;00E20A15&quot;/&gt;&lt;wsp:rsid wsp:val=&quot;00E20A70&quot;/&gt;&lt;wsp:rsid wsp:val=&quot;00E20B01&quot;/&gt;&lt;wsp:rsid wsp:val=&quot;00E20E29&quot;/&gt;&lt;wsp:rsid wsp:val=&quot;00E212C2&quot;/&gt;&lt;wsp:rsid wsp:val=&quot;00E21687&quot;/&gt;&lt;wsp:rsid wsp:val=&quot;00E21A4E&quot;/&gt;&lt;wsp:rsid wsp:val=&quot;00E21CCC&quot;/&gt;&lt;wsp:rsid wsp:val=&quot;00E21F08&quot;/&gt;&lt;wsp:rsid wsp:val=&quot;00E22182&quot;/&gt;&lt;wsp:rsid wsp:val=&quot;00E221B8&quot;/&gt;&lt;wsp:rsid wsp:val=&quot;00E227E9&quot;/&gt;&lt;wsp:rsid wsp:val=&quot;00E2290E&quot;/&gt;&lt;wsp:rsid wsp:val=&quot;00E22C48&quot;/&gt;&lt;wsp:rsid wsp:val=&quot;00E22F19&quot;/&gt;&lt;wsp:rsid wsp:val=&quot;00E23299&quot;/&gt;&lt;wsp:rsid wsp:val=&quot;00E237B6&quot;/&gt;&lt;wsp:rsid wsp:val=&quot;00E238DE&quot;/&gt;&lt;wsp:rsid wsp:val=&quot;00E23CC0&quot;/&gt;&lt;wsp:rsid wsp:val=&quot;00E24A62&quot;/&gt;&lt;wsp:rsid wsp:val=&quot;00E24B9B&quot;/&gt;&lt;wsp:rsid wsp:val=&quot;00E24BEA&quot;/&gt;&lt;wsp:rsid wsp:val=&quot;00E24E54&quot;/&gt;&lt;wsp:rsid wsp:val=&quot;00E24EDA&quot;/&gt;&lt;wsp:rsid wsp:val=&quot;00E25072&quot;/&gt;&lt;wsp:rsid wsp:val=&quot;00E25593&quot;/&gt;&lt;wsp:rsid wsp:val=&quot;00E25888&quot;/&gt;&lt;wsp:rsid wsp:val=&quot;00E25E6C&quot;/&gt;&lt;wsp:rsid wsp:val=&quot;00E25E82&quot;/&gt;&lt;wsp:rsid wsp:val=&quot;00E25EB6&quot;/&gt;&lt;wsp:rsid wsp:val=&quot;00E25FFA&quot;/&gt;&lt;wsp:rsid wsp:val=&quot;00E26226&quot;/&gt;&lt;wsp:rsid wsp:val=&quot;00E264E6&quot;/&gt;&lt;wsp:rsid wsp:val=&quot;00E26C3F&quot;/&gt;&lt;wsp:rsid wsp:val=&quot;00E2702B&quot;/&gt;&lt;wsp:rsid wsp:val=&quot;00E271D3&quot;/&gt;&lt;wsp:rsid wsp:val=&quot;00E27479&quot;/&gt;&lt;wsp:rsid wsp:val=&quot;00E30596&quot;/&gt;&lt;wsp:rsid wsp:val=&quot;00E306C3&quot;/&gt;&lt;wsp:rsid wsp:val=&quot;00E307C6&quot;/&gt;&lt;wsp:rsid wsp:val=&quot;00E30AFB&quot;/&gt;&lt;wsp:rsid wsp:val=&quot;00E30BAF&quot;/&gt;&lt;wsp:rsid wsp:val=&quot;00E31856&quot;/&gt;&lt;wsp:rsid wsp:val=&quot;00E31C9C&quot;/&gt;&lt;wsp:rsid wsp:val=&quot;00E31F8E&quot;/&gt;&lt;wsp:rsid wsp:val=&quot;00E3221D&quot;/&gt;&lt;wsp:rsid wsp:val=&quot;00E326FD&quot;/&gt;&lt;wsp:rsid wsp:val=&quot;00E32CF9&quot;/&gt;&lt;wsp:rsid wsp:val=&quot;00E32FF4&quot;/&gt;&lt;wsp:rsid wsp:val=&quot;00E33143&quot;/&gt;&lt;wsp:rsid wsp:val=&quot;00E33356&quot;/&gt;&lt;wsp:rsid wsp:val=&quot;00E3397C&quot;/&gt;&lt;wsp:rsid wsp:val=&quot;00E33D42&quot;/&gt;&lt;wsp:rsid wsp:val=&quot;00E343CE&quot;/&gt;&lt;wsp:rsid wsp:val=&quot;00E344DA&quot;/&gt;&lt;wsp:rsid wsp:val=&quot;00E3491A&quot;/&gt;&lt;wsp:rsid wsp:val=&quot;00E349B8&quot;/&gt;&lt;wsp:rsid wsp:val=&quot;00E34CA7&quot;/&gt;&lt;wsp:rsid wsp:val=&quot;00E352F7&quot;/&gt;&lt;wsp:rsid wsp:val=&quot;00E353D9&quot;/&gt;&lt;wsp:rsid wsp:val=&quot;00E35D66&quot;/&gt;&lt;wsp:rsid wsp:val=&quot;00E35E4B&quot;/&gt;&lt;wsp:rsid wsp:val=&quot;00E360FF&quot;/&gt;&lt;wsp:rsid wsp:val=&quot;00E3611C&quot;/&gt;&lt;wsp:rsid wsp:val=&quot;00E36230&quot;/&gt;&lt;wsp:rsid wsp:val=&quot;00E3631E&quot;/&gt;&lt;wsp:rsid wsp:val=&quot;00E368E4&quot;/&gt;&lt;wsp:rsid wsp:val=&quot;00E36976&quot;/&gt;&lt;wsp:rsid wsp:val=&quot;00E36BAA&quot;/&gt;&lt;wsp:rsid wsp:val=&quot;00E36CFB&quot;/&gt;&lt;wsp:rsid wsp:val=&quot;00E36D5C&quot;/&gt;&lt;wsp:rsid wsp:val=&quot;00E3715C&quot;/&gt;&lt;wsp:rsid wsp:val=&quot;00E37189&quot;/&gt;&lt;wsp:rsid wsp:val=&quot;00E371DE&quot;/&gt;&lt;wsp:rsid wsp:val=&quot;00E375F3&quot;/&gt;&lt;wsp:rsid wsp:val=&quot;00E376AB&quot;/&gt;&lt;wsp:rsid wsp:val=&quot;00E379D1&quot;/&gt;&lt;wsp:rsid wsp:val=&quot;00E37EC0&quot;/&gt;&lt;wsp:rsid wsp:val=&quot;00E408A8&quot;/&gt;&lt;wsp:rsid wsp:val=&quot;00E40E8C&quot;/&gt;&lt;wsp:rsid wsp:val=&quot;00E41B1C&quot;/&gt;&lt;wsp:rsid wsp:val=&quot;00E41C61&quot;/&gt;&lt;wsp:rsid wsp:val=&quot;00E41C86&quot;/&gt;&lt;wsp:rsid wsp:val=&quot;00E42244&quot;/&gt;&lt;wsp:rsid wsp:val=&quot;00E4230D&quot;/&gt;&lt;wsp:rsid wsp:val=&quot;00E42425&quot;/&gt;&lt;wsp:rsid wsp:val=&quot;00E4251A&quot;/&gt;&lt;wsp:rsid wsp:val=&quot;00E42B3F&quot;/&gt;&lt;wsp:rsid wsp:val=&quot;00E42F92&quot;/&gt;&lt;wsp:rsid wsp:val=&quot;00E4306E&quot;/&gt;&lt;wsp:rsid wsp:val=&quot;00E43143&quot;/&gt;&lt;wsp:rsid wsp:val=&quot;00E4319B&quot;/&gt;&lt;wsp:rsid wsp:val=&quot;00E431C0&quot;/&gt;&lt;wsp:rsid wsp:val=&quot;00E435DB&quot;/&gt;&lt;wsp:rsid wsp:val=&quot;00E438F3&quot;/&gt;&lt;wsp:rsid wsp:val=&quot;00E43E10&quot;/&gt;&lt;wsp:rsid wsp:val=&quot;00E44403&quot;/&gt;&lt;wsp:rsid wsp:val=&quot;00E4459E&quot;/&gt;&lt;wsp:rsid wsp:val=&quot;00E44B2F&quot;/&gt;&lt;wsp:rsid wsp:val=&quot;00E44BB0&quot;/&gt;&lt;wsp:rsid wsp:val=&quot;00E44BD4&quot;/&gt;&lt;wsp:rsid wsp:val=&quot;00E44E92&quot;/&gt;&lt;wsp:rsid wsp:val=&quot;00E44F03&quot;/&gt;&lt;wsp:rsid wsp:val=&quot;00E4550C&quot;/&gt;&lt;wsp:rsid wsp:val=&quot;00E455FF&quot;/&gt;&lt;wsp:rsid wsp:val=&quot;00E45677&quot;/&gt;&lt;wsp:rsid wsp:val=&quot;00E4598D&quot;/&gt;&lt;wsp:rsid wsp:val=&quot;00E45A35&quot;/&gt;&lt;wsp:rsid wsp:val=&quot;00E45E51&quot;/&gt;&lt;wsp:rsid wsp:val=&quot;00E46055&quot;/&gt;&lt;wsp:rsid wsp:val=&quot;00E46079&quot;/&gt;&lt;wsp:rsid wsp:val=&quot;00E46636&quot;/&gt;&lt;wsp:rsid wsp:val=&quot;00E467B0&quot;/&gt;&lt;wsp:rsid wsp:val=&quot;00E46983&quot;/&gt;&lt;wsp:rsid wsp:val=&quot;00E47160&quot;/&gt;&lt;wsp:rsid wsp:val=&quot;00E47596&quot;/&gt;&lt;wsp:rsid wsp:val=&quot;00E4778B&quot;/&gt;&lt;wsp:rsid wsp:val=&quot;00E47A0A&quot;/&gt;&lt;wsp:rsid wsp:val=&quot;00E5045D&quot;/&gt;&lt;wsp:rsid wsp:val=&quot;00E5056B&quot;/&gt;&lt;wsp:rsid wsp:val=&quot;00E50732&quot;/&gt;&lt;wsp:rsid wsp:val=&quot;00E50844&quot;/&gt;&lt;wsp:rsid wsp:val=&quot;00E50CB4&quot;/&gt;&lt;wsp:rsid wsp:val=&quot;00E50F14&quot;/&gt;&lt;wsp:rsid wsp:val=&quot;00E5122B&quot;/&gt;&lt;wsp:rsid wsp:val=&quot;00E5129B&quot;/&gt;&lt;wsp:rsid wsp:val=&quot;00E513EC&quot;/&gt;&lt;wsp:rsid wsp:val=&quot;00E51579&quot;/&gt;&lt;wsp:rsid wsp:val=&quot;00E51952&quot;/&gt;&lt;wsp:rsid wsp:val=&quot;00E51B97&quot;/&gt;&lt;wsp:rsid wsp:val=&quot;00E51E7C&quot;/&gt;&lt;wsp:rsid wsp:val=&quot;00E51FD7&quot;/&gt;&lt;wsp:rsid wsp:val=&quot;00E5213D&quot;/&gt;&lt;wsp:rsid wsp:val=&quot;00E5219B&quot;/&gt;&lt;wsp:rsid wsp:val=&quot;00E521BE&quot;/&gt;&lt;wsp:rsid wsp:val=&quot;00E52552&quot;/&gt;&lt;wsp:rsid wsp:val=&quot;00E52B77&quot;/&gt;&lt;wsp:rsid wsp:val=&quot;00E52F14&quot;/&gt;&lt;wsp:rsid wsp:val=&quot;00E5310C&quot;/&gt;&lt;wsp:rsid wsp:val=&quot;00E53438&quot;/&gt;&lt;wsp:rsid wsp:val=&quot;00E54149&quot;/&gt;&lt;wsp:rsid wsp:val=&quot;00E546C4&quot;/&gt;&lt;wsp:rsid wsp:val=&quot;00E548E2&quot;/&gt;&lt;wsp:rsid wsp:val=&quot;00E54DE3&quot;/&gt;&lt;wsp:rsid wsp:val=&quot;00E54F4D&quot;/&gt;&lt;wsp:rsid wsp:val=&quot;00E55287&quot;/&gt;&lt;wsp:rsid wsp:val=&quot;00E55299&quot;/&gt;&lt;wsp:rsid wsp:val=&quot;00E55714&quot;/&gt;&lt;wsp:rsid wsp:val=&quot;00E55985&quot;/&gt;&lt;wsp:rsid wsp:val=&quot;00E55B0C&quot;/&gt;&lt;wsp:rsid wsp:val=&quot;00E55F2F&quot;/&gt;&lt;wsp:rsid wsp:val=&quot;00E560A8&quot;/&gt;&lt;wsp:rsid wsp:val=&quot;00E56390&quot;/&gt;&lt;wsp:rsid wsp:val=&quot;00E56D0D&quot;/&gt;&lt;wsp:rsid wsp:val=&quot;00E572E9&quot;/&gt;&lt;wsp:rsid wsp:val=&quot;00E574AC&quot;/&gt;&lt;wsp:rsid wsp:val=&quot;00E57956&quot;/&gt;&lt;wsp:rsid wsp:val=&quot;00E57C5D&quot;/&gt;&lt;wsp:rsid wsp:val=&quot;00E6016A&quot;/&gt;&lt;wsp:rsid wsp:val=&quot;00E605E6&quot;/&gt;&lt;wsp:rsid wsp:val=&quot;00E60873&quot;/&gt;&lt;wsp:rsid wsp:val=&quot;00E6090C&quot;/&gt;&lt;wsp:rsid wsp:val=&quot;00E609AB&quot;/&gt;&lt;wsp:rsid wsp:val=&quot;00E60BB3&quot;/&gt;&lt;wsp:rsid wsp:val=&quot;00E6105C&quot;/&gt;&lt;wsp:rsid wsp:val=&quot;00E61077&quot;/&gt;&lt;wsp:rsid wsp:val=&quot;00E6123A&quot;/&gt;&lt;wsp:rsid wsp:val=&quot;00E6126C&quot;/&gt;&lt;wsp:rsid wsp:val=&quot;00E614BD&quot;/&gt;&lt;wsp:rsid wsp:val=&quot;00E61CE1&quot;/&gt;&lt;wsp:rsid wsp:val=&quot;00E61EF0&quot;/&gt;&lt;wsp:rsid wsp:val=&quot;00E61F27&quot;/&gt;&lt;wsp:rsid wsp:val=&quot;00E624E9&quot;/&gt;&lt;wsp:rsid wsp:val=&quot;00E6252C&quot;/&gt;&lt;wsp:rsid wsp:val=&quot;00E62570&quot;/&gt;&lt;wsp:rsid wsp:val=&quot;00E629E2&quot;/&gt;&lt;wsp:rsid wsp:val=&quot;00E63481&quot;/&gt;&lt;wsp:rsid wsp:val=&quot;00E63590&quot;/&gt;&lt;wsp:rsid wsp:val=&quot;00E63907&quot;/&gt;&lt;wsp:rsid wsp:val=&quot;00E63A14&quot;/&gt;&lt;wsp:rsid wsp:val=&quot;00E63A34&quot;/&gt;&lt;wsp:rsid wsp:val=&quot;00E63B2E&quot;/&gt;&lt;wsp:rsid wsp:val=&quot;00E646AD&quot;/&gt;&lt;wsp:rsid wsp:val=&quot;00E6471A&quot;/&gt;&lt;wsp:rsid wsp:val=&quot;00E64A13&quot;/&gt;&lt;wsp:rsid wsp:val=&quot;00E64A84&quot;/&gt;&lt;wsp:rsid wsp:val=&quot;00E64B4F&quot;/&gt;&lt;wsp:rsid wsp:val=&quot;00E64D9B&quot;/&gt;&lt;wsp:rsid wsp:val=&quot;00E64F93&quot;/&gt;&lt;wsp:rsid wsp:val=&quot;00E651D6&quot;/&gt;&lt;wsp:rsid wsp:val=&quot;00E654FC&quot;/&gt;&lt;wsp:rsid wsp:val=&quot;00E65612&quot;/&gt;&lt;wsp:rsid wsp:val=&quot;00E65743&quot;/&gt;&lt;wsp:rsid wsp:val=&quot;00E6581C&quot;/&gt;&lt;wsp:rsid wsp:val=&quot;00E65BBB&quot;/&gt;&lt;wsp:rsid wsp:val=&quot;00E65C3D&quot;/&gt;&lt;wsp:rsid wsp:val=&quot;00E6616C&quot;/&gt;&lt;wsp:rsid wsp:val=&quot;00E6643A&quot;/&gt;&lt;wsp:rsid wsp:val=&quot;00E66695&quot;/&gt;&lt;wsp:rsid wsp:val=&quot;00E66A8E&quot;/&gt;&lt;wsp:rsid wsp:val=&quot;00E66B7D&quot;/&gt;&lt;wsp:rsid wsp:val=&quot;00E66D4C&quot;/&gt;&lt;wsp:rsid wsp:val=&quot;00E66D4D&quot;/&gt;&lt;wsp:rsid wsp:val=&quot;00E66E8A&quot;/&gt;&lt;wsp:rsid wsp:val=&quot;00E6750E&quot;/&gt;&lt;wsp:rsid wsp:val=&quot;00E6759D&quot;/&gt;&lt;wsp:rsid wsp:val=&quot;00E6772B&quot;/&gt;&lt;wsp:rsid wsp:val=&quot;00E678F9&quot;/&gt;&lt;wsp:rsid wsp:val=&quot;00E67B4B&quot;/&gt;&lt;wsp:rsid wsp:val=&quot;00E7000C&quot;/&gt;&lt;wsp:rsid wsp:val=&quot;00E706FA&quot;/&gt;&lt;wsp:rsid wsp:val=&quot;00E707F8&quot;/&gt;&lt;wsp:rsid wsp:val=&quot;00E713E0&quot;/&gt;&lt;wsp:rsid wsp:val=&quot;00E7152F&quot;/&gt;&lt;wsp:rsid wsp:val=&quot;00E71D13&quot;/&gt;&lt;wsp:rsid wsp:val=&quot;00E71EA7&quot;/&gt;&lt;wsp:rsid wsp:val=&quot;00E7208C&quot;/&gt;&lt;wsp:rsid wsp:val=&quot;00E721CE&quot;/&gt;&lt;wsp:rsid wsp:val=&quot;00E7293A&quot;/&gt;&lt;wsp:rsid wsp:val=&quot;00E72DDA&quot;/&gt;&lt;wsp:rsid wsp:val=&quot;00E72F61&quot;/&gt;&lt;wsp:rsid wsp:val=&quot;00E73885&quot;/&gt;&lt;wsp:rsid wsp:val=&quot;00E73CA7&quot;/&gt;&lt;wsp:rsid wsp:val=&quot;00E742D9&quot;/&gt;&lt;wsp:rsid wsp:val=&quot;00E74854&quot;/&gt;&lt;wsp:rsid wsp:val=&quot;00E748FD&quot;/&gt;&lt;wsp:rsid wsp:val=&quot;00E74DF5&quot;/&gt;&lt;wsp:rsid wsp:val=&quot;00E74ECB&quot;/&gt;&lt;wsp:rsid wsp:val=&quot;00E75347&quot;/&gt;&lt;wsp:rsid wsp:val=&quot;00E75766&quot;/&gt;&lt;wsp:rsid wsp:val=&quot;00E75AF9&quot;/&gt;&lt;wsp:rsid wsp:val=&quot;00E75B4C&quot;/&gt;&lt;wsp:rsid wsp:val=&quot;00E75BC5&quot;/&gt;&lt;wsp:rsid wsp:val=&quot;00E75C95&quot;/&gt;&lt;wsp:rsid wsp:val=&quot;00E76086&quot;/&gt;&lt;wsp:rsid wsp:val=&quot;00E763C9&quot;/&gt;&lt;wsp:rsid wsp:val=&quot;00E76AB5&quot;/&gt;&lt;wsp:rsid wsp:val=&quot;00E76BB2&quot;/&gt;&lt;wsp:rsid wsp:val=&quot;00E76E06&quot;/&gt;&lt;wsp:rsid wsp:val=&quot;00E775A5&quot;/&gt;&lt;wsp:rsid wsp:val=&quot;00E77BBA&quot;/&gt;&lt;wsp:rsid wsp:val=&quot;00E77D22&quot;/&gt;&lt;wsp:rsid wsp:val=&quot;00E77F4D&quot;/&gt;&lt;wsp:rsid wsp:val=&quot;00E8009A&quot;/&gt;&lt;wsp:rsid wsp:val=&quot;00E8096C&quot;/&gt;&lt;wsp:rsid wsp:val=&quot;00E814AB&quot;/&gt;&lt;wsp:rsid wsp:val=&quot;00E81E23&quot;/&gt;&lt;wsp:rsid wsp:val=&quot;00E81EE8&quot;/&gt;&lt;wsp:rsid wsp:val=&quot;00E821AE&quot;/&gt;&lt;wsp:rsid wsp:val=&quot;00E82D72&quot;/&gt;&lt;wsp:rsid wsp:val=&quot;00E832EF&quot;/&gt;&lt;wsp:rsid wsp:val=&quot;00E8379A&quot;/&gt;&lt;wsp:rsid wsp:val=&quot;00E83D45&quot;/&gt;&lt;wsp:rsid wsp:val=&quot;00E842A7&quot;/&gt;&lt;wsp:rsid wsp:val=&quot;00E84ACA&quot;/&gt;&lt;wsp:rsid wsp:val=&quot;00E84CA0&quot;/&gt;&lt;wsp:rsid wsp:val=&quot;00E84CA5&quot;/&gt;&lt;wsp:rsid wsp:val=&quot;00E851D6&quot;/&gt;&lt;wsp:rsid wsp:val=&quot;00E85474&quot;/&gt;&lt;wsp:rsid wsp:val=&quot;00E857D7&quot;/&gt;&lt;wsp:rsid wsp:val=&quot;00E85B41&quot;/&gt;&lt;wsp:rsid wsp:val=&quot;00E85F55&quot;/&gt;&lt;wsp:rsid wsp:val=&quot;00E85FC7&quot;/&gt;&lt;wsp:rsid wsp:val=&quot;00E86086&quot;/&gt;&lt;wsp:rsid wsp:val=&quot;00E86E29&quot;/&gt;&lt;wsp:rsid wsp:val=&quot;00E8751B&quot;/&gt;&lt;wsp:rsid wsp:val=&quot;00E87611&quot;/&gt;&lt;wsp:rsid wsp:val=&quot;00E87F79&quot;/&gt;&lt;wsp:rsid wsp:val=&quot;00E904CE&quot;/&gt;&lt;wsp:rsid wsp:val=&quot;00E90538&quot;/&gt;&lt;wsp:rsid wsp:val=&quot;00E90753&quot;/&gt;&lt;wsp:rsid wsp:val=&quot;00E91093&quot;/&gt;&lt;wsp:rsid wsp:val=&quot;00E910EC&quot;/&gt;&lt;wsp:rsid wsp:val=&quot;00E91341&quot;/&gt;&lt;wsp:rsid wsp:val=&quot;00E91899&quot;/&gt;&lt;wsp:rsid wsp:val=&quot;00E9205E&quot;/&gt;&lt;wsp:rsid wsp:val=&quot;00E921A2&quot;/&gt;&lt;wsp:rsid wsp:val=&quot;00E924FF&quot;/&gt;&lt;wsp:rsid wsp:val=&quot;00E932F1&quot;/&gt;&lt;wsp:rsid wsp:val=&quot;00E939CA&quot;/&gt;&lt;wsp:rsid wsp:val=&quot;00E93C91&quot;/&gt;&lt;wsp:rsid wsp:val=&quot;00E93F4B&quot;/&gt;&lt;wsp:rsid wsp:val=&quot;00E941EC&quot;/&gt;&lt;wsp:rsid wsp:val=&quot;00E94910&quot;/&gt;&lt;wsp:rsid wsp:val=&quot;00E94B53&quot;/&gt;&lt;wsp:rsid wsp:val=&quot;00E94DCE&quot;/&gt;&lt;wsp:rsid wsp:val=&quot;00E94DFA&quot;/&gt;&lt;wsp:rsid wsp:val=&quot;00E94E86&quot;/&gt;&lt;wsp:rsid wsp:val=&quot;00E9518C&quot;/&gt;&lt;wsp:rsid wsp:val=&quot;00E951C0&quot;/&gt;&lt;wsp:rsid wsp:val=&quot;00E952A0&quot;/&gt;&lt;wsp:rsid wsp:val=&quot;00E95571&quot;/&gt;&lt;wsp:rsid wsp:val=&quot;00E955EA&quot;/&gt;&lt;wsp:rsid wsp:val=&quot;00E960BD&quot;/&gt;&lt;wsp:rsid wsp:val=&quot;00E964D1&quot;/&gt;&lt;wsp:rsid wsp:val=&quot;00E96552&quot;/&gt;&lt;wsp:rsid wsp:val=&quot;00E96B7A&quot;/&gt;&lt;wsp:rsid wsp:val=&quot;00E96F4E&quot;/&gt;&lt;wsp:rsid wsp:val=&quot;00E97B42&quot;/&gt;&lt;wsp:rsid wsp:val=&quot;00E97EB7&quot;/&gt;&lt;wsp:rsid wsp:val=&quot;00EA008A&quot;/&gt;&lt;wsp:rsid wsp:val=&quot;00EA0622&quot;/&gt;&lt;wsp:rsid wsp:val=&quot;00EA0A20&quot;/&gt;&lt;wsp:rsid wsp:val=&quot;00EA0A62&quot;/&gt;&lt;wsp:rsid wsp:val=&quot;00EA0A7C&quot;/&gt;&lt;wsp:rsid wsp:val=&quot;00EA0C0E&quot;/&gt;&lt;wsp:rsid wsp:val=&quot;00EA0FB2&quot;/&gt;&lt;wsp:rsid wsp:val=&quot;00EA11C8&quot;/&gt;&lt;wsp:rsid wsp:val=&quot;00EA1508&quot;/&gt;&lt;wsp:rsid wsp:val=&quot;00EA16F8&quot;/&gt;&lt;wsp:rsid wsp:val=&quot;00EA1920&quot;/&gt;&lt;wsp:rsid wsp:val=&quot;00EA1B80&quot;/&gt;&lt;wsp:rsid wsp:val=&quot;00EA1CCE&quot;/&gt;&lt;wsp:rsid wsp:val=&quot;00EA1D6D&quot;/&gt;&lt;wsp:rsid wsp:val=&quot;00EA1DB9&quot;/&gt;&lt;wsp:rsid wsp:val=&quot;00EA2EED&quot;/&gt;&lt;wsp:rsid wsp:val=&quot;00EA3084&quot;/&gt;&lt;wsp:rsid wsp:val=&quot;00EA3C9C&quot;/&gt;&lt;wsp:rsid wsp:val=&quot;00EA3EAD&quot;/&gt;&lt;wsp:rsid wsp:val=&quot;00EA3ECD&quot;/&gt;&lt;wsp:rsid wsp:val=&quot;00EA46CB&quot;/&gt;&lt;wsp:rsid wsp:val=&quot;00EA4758&quot;/&gt;&lt;wsp:rsid wsp:val=&quot;00EA47F2&quot;/&gt;&lt;wsp:rsid wsp:val=&quot;00EA4A67&quot;/&gt;&lt;wsp:rsid wsp:val=&quot;00EA4D1B&quot;/&gt;&lt;wsp:rsid wsp:val=&quot;00EA4F72&quot;/&gt;&lt;wsp:rsid wsp:val=&quot;00EA53C1&quot;/&gt;&lt;wsp:rsid wsp:val=&quot;00EA57CD&quot;/&gt;&lt;wsp:rsid wsp:val=&quot;00EA5AB4&quot;/&gt;&lt;wsp:rsid wsp:val=&quot;00EA5B0F&quot;/&gt;&lt;wsp:rsid wsp:val=&quot;00EA6801&quot;/&gt;&lt;wsp:rsid wsp:val=&quot;00EA682A&quot;/&gt;&lt;wsp:rsid wsp:val=&quot;00EA72CD&quot;/&gt;&lt;wsp:rsid wsp:val=&quot;00EA740E&quot;/&gt;&lt;wsp:rsid wsp:val=&quot;00EA7C1D&quot;/&gt;&lt;wsp:rsid wsp:val=&quot;00EA7E2B&quot;/&gt;&lt;wsp:rsid wsp:val=&quot;00EB0220&quot;/&gt;&lt;wsp:rsid wsp:val=&quot;00EB03FF&quot;/&gt;&lt;wsp:rsid wsp:val=&quot;00EB048D&quot;/&gt;&lt;wsp:rsid wsp:val=&quot;00EB051C&quot;/&gt;&lt;wsp:rsid wsp:val=&quot;00EB13F2&quot;/&gt;&lt;wsp:rsid wsp:val=&quot;00EB1444&quot;/&gt;&lt;wsp:rsid wsp:val=&quot;00EB1A6B&quot;/&gt;&lt;wsp:rsid wsp:val=&quot;00EB2F23&quot;/&gt;&lt;wsp:rsid wsp:val=&quot;00EB3208&quot;/&gt;&lt;wsp:rsid wsp:val=&quot;00EB3D15&quot;/&gt;&lt;wsp:rsid wsp:val=&quot;00EB3D97&quot;/&gt;&lt;wsp:rsid wsp:val=&quot;00EB42BA&quot;/&gt;&lt;wsp:rsid wsp:val=&quot;00EB434F&quot;/&gt;&lt;wsp:rsid wsp:val=&quot;00EB43DE&quot;/&gt;&lt;wsp:rsid wsp:val=&quot;00EB46C9&quot;/&gt;&lt;wsp:rsid wsp:val=&quot;00EB55FB&quot;/&gt;&lt;wsp:rsid wsp:val=&quot;00EB5B27&quot;/&gt;&lt;wsp:rsid wsp:val=&quot;00EB5CD1&quot;/&gt;&lt;wsp:rsid wsp:val=&quot;00EB5EE6&quot;/&gt;&lt;wsp:rsid wsp:val=&quot;00EB6FD3&quot;/&gt;&lt;wsp:rsid wsp:val=&quot;00EB7AC5&quot;/&gt;&lt;wsp:rsid wsp:val=&quot;00EC03A0&quot;/&gt;&lt;wsp:rsid wsp:val=&quot;00EC042C&quot;/&gt;&lt;wsp:rsid wsp:val=&quot;00EC05FB&quot;/&gt;&lt;wsp:rsid wsp:val=&quot;00EC09D2&quot;/&gt;&lt;wsp:rsid wsp:val=&quot;00EC0BB0&quot;/&gt;&lt;wsp:rsid wsp:val=&quot;00EC0D7E&quot;/&gt;&lt;wsp:rsid wsp:val=&quot;00EC0F4A&quot;/&gt;&lt;wsp:rsid wsp:val=&quot;00EC166D&quot;/&gt;&lt;wsp:rsid wsp:val=&quot;00EC1C8B&quot;/&gt;&lt;wsp:rsid wsp:val=&quot;00EC2080&quot;/&gt;&lt;wsp:rsid wsp:val=&quot;00EC209C&quot;/&gt;&lt;wsp:rsid wsp:val=&quot;00EC20D6&quot;/&gt;&lt;wsp:rsid wsp:val=&quot;00EC226E&quot;/&gt;&lt;wsp:rsid wsp:val=&quot;00EC2273&quot;/&gt;&lt;wsp:rsid wsp:val=&quot;00EC24D4&quot;/&gt;&lt;wsp:rsid wsp:val=&quot;00EC254D&quot;/&gt;&lt;wsp:rsid wsp:val=&quot;00EC25D1&quot;/&gt;&lt;wsp:rsid wsp:val=&quot;00EC26F3&quot;/&gt;&lt;wsp:rsid wsp:val=&quot;00EC28C1&quot;/&gt;&lt;wsp:rsid wsp:val=&quot;00EC2B08&quot;/&gt;&lt;wsp:rsid wsp:val=&quot;00EC2B9B&quot;/&gt;&lt;wsp:rsid wsp:val=&quot;00EC2D59&quot;/&gt;&lt;wsp:rsid wsp:val=&quot;00EC2FC8&quot;/&gt;&lt;wsp:rsid wsp:val=&quot;00EC2FF7&quot;/&gt;&lt;wsp:rsid wsp:val=&quot;00EC35E1&quot;/&gt;&lt;wsp:rsid wsp:val=&quot;00EC3CA8&quot;/&gt;&lt;wsp:rsid wsp:val=&quot;00EC3CC4&quot;/&gt;&lt;wsp:rsid wsp:val=&quot;00EC3EC4&quot;/&gt;&lt;wsp:rsid wsp:val=&quot;00EC41DD&quot;/&gt;&lt;wsp:rsid wsp:val=&quot;00EC4332&quot;/&gt;&lt;wsp:rsid wsp:val=&quot;00EC43A5&quot;/&gt;&lt;wsp:rsid wsp:val=&quot;00EC43C6&quot;/&gt;&lt;wsp:rsid wsp:val=&quot;00EC453F&quot;/&gt;&lt;wsp:rsid wsp:val=&quot;00EC4945&quot;/&gt;&lt;wsp:rsid wsp:val=&quot;00EC4BB0&quot;/&gt;&lt;wsp:rsid wsp:val=&quot;00EC4C52&quot;/&gt;&lt;wsp:rsid wsp:val=&quot;00EC4D27&quot;/&gt;&lt;wsp:rsid wsp:val=&quot;00EC4F43&quot;/&gt;&lt;wsp:rsid wsp:val=&quot;00EC5044&quot;/&gt;&lt;wsp:rsid wsp:val=&quot;00EC5293&quot;/&gt;&lt;wsp:rsid wsp:val=&quot;00EC52D4&quot;/&gt;&lt;wsp:rsid wsp:val=&quot;00EC53D6&quot;/&gt;&lt;wsp:rsid wsp:val=&quot;00EC5570&quot;/&gt;&lt;wsp:rsid wsp:val=&quot;00EC5578&quot;/&gt;&lt;wsp:rsid wsp:val=&quot;00EC56B2&quot;/&gt;&lt;wsp:rsid wsp:val=&quot;00EC61BB&quot;/&gt;&lt;wsp:rsid wsp:val=&quot;00EC63AA&quot;/&gt;&lt;wsp:rsid wsp:val=&quot;00EC6858&quot;/&gt;&lt;wsp:rsid wsp:val=&quot;00EC7E56&quot;/&gt;&lt;wsp:rsid wsp:val=&quot;00ED047E&quot;/&gt;&lt;wsp:rsid wsp:val=&quot;00ED0561&quot;/&gt;&lt;wsp:rsid wsp:val=&quot;00ED0BA1&quot;/&gt;&lt;wsp:rsid wsp:val=&quot;00ED0BD8&quot;/&gt;&lt;wsp:rsid wsp:val=&quot;00ED1468&quot;/&gt;&lt;wsp:rsid wsp:val=&quot;00ED166F&quot;/&gt;&lt;wsp:rsid wsp:val=&quot;00ED17B3&quot;/&gt;&lt;wsp:rsid wsp:val=&quot;00ED1C2A&quot;/&gt;&lt;wsp:rsid wsp:val=&quot;00ED21DA&quot;/&gt;&lt;wsp:rsid wsp:val=&quot;00ED2269&quot;/&gt;&lt;wsp:rsid wsp:val=&quot;00ED2590&quot;/&gt;&lt;wsp:rsid wsp:val=&quot;00ED2734&quot;/&gt;&lt;wsp:rsid wsp:val=&quot;00ED2921&quot;/&gt;&lt;wsp:rsid wsp:val=&quot;00ED3167&quot;/&gt;&lt;wsp:rsid wsp:val=&quot;00ED35D4&quot;/&gt;&lt;wsp:rsid wsp:val=&quot;00ED3625&quot;/&gt;&lt;wsp:rsid wsp:val=&quot;00ED3641&quot;/&gt;&lt;wsp:rsid wsp:val=&quot;00ED3669&quot;/&gt;&lt;wsp:rsid wsp:val=&quot;00ED3815&quot;/&gt;&lt;wsp:rsid wsp:val=&quot;00ED3855&quot;/&gt;&lt;wsp:rsid wsp:val=&quot;00ED3DD5&quot;/&gt;&lt;wsp:rsid wsp:val=&quot;00ED4170&quot;/&gt;&lt;wsp:rsid wsp:val=&quot;00ED4A85&quot;/&gt;&lt;wsp:rsid wsp:val=&quot;00ED4C0F&quot;/&gt;&lt;wsp:rsid wsp:val=&quot;00ED4DF4&quot;/&gt;&lt;wsp:rsid wsp:val=&quot;00ED51D0&quot;/&gt;&lt;wsp:rsid wsp:val=&quot;00ED52CD&quot;/&gt;&lt;wsp:rsid wsp:val=&quot;00ED6325&quot;/&gt;&lt;wsp:rsid wsp:val=&quot;00ED6DD9&quot;/&gt;&lt;wsp:rsid wsp:val=&quot;00ED6DFA&quot;/&gt;&lt;wsp:rsid wsp:val=&quot;00ED7202&quot;/&gt;&lt;wsp:rsid wsp:val=&quot;00ED7278&quot;/&gt;&lt;wsp:rsid wsp:val=&quot;00ED77C7&quot;/&gt;&lt;wsp:rsid wsp:val=&quot;00ED79A5&quot;/&gt;&lt;wsp:rsid wsp:val=&quot;00ED79B9&quot;/&gt;&lt;wsp:rsid wsp:val=&quot;00ED7CE8&quot;/&gt;&lt;wsp:rsid wsp:val=&quot;00EE0012&quot;/&gt;&lt;wsp:rsid wsp:val=&quot;00EE0289&quot;/&gt;&lt;wsp:rsid wsp:val=&quot;00EE0771&quot;/&gt;&lt;wsp:rsid wsp:val=&quot;00EE0B99&quot;/&gt;&lt;wsp:rsid wsp:val=&quot;00EE1305&quot;/&gt;&lt;wsp:rsid wsp:val=&quot;00EE1534&quot;/&gt;&lt;wsp:rsid wsp:val=&quot;00EE170F&quot;/&gt;&lt;wsp:rsid wsp:val=&quot;00EE22B5&quot;/&gt;&lt;wsp:rsid wsp:val=&quot;00EE2F95&quot;/&gt;&lt;wsp:rsid wsp:val=&quot;00EE42B5&quot;/&gt;&lt;wsp:rsid wsp:val=&quot;00EE4B84&quot;/&gt;&lt;wsp:rsid wsp:val=&quot;00EE5377&quot;/&gt;&lt;wsp:rsid wsp:val=&quot;00EE54C8&quot;/&gt;&lt;wsp:rsid wsp:val=&quot;00EE560E&quot;/&gt;&lt;wsp:rsid wsp:val=&quot;00EE57F7&quot;/&gt;&lt;wsp:rsid wsp:val=&quot;00EE5ADB&quot;/&gt;&lt;wsp:rsid wsp:val=&quot;00EE5B70&quot;/&gt;&lt;wsp:rsid wsp:val=&quot;00EE5CA9&quot;/&gt;&lt;wsp:rsid wsp:val=&quot;00EE5D08&quot;/&gt;&lt;wsp:rsid wsp:val=&quot;00EE5E7A&quot;/&gt;&lt;wsp:rsid wsp:val=&quot;00EE6247&quot;/&gt;&lt;wsp:rsid wsp:val=&quot;00EE66E8&quot;/&gt;&lt;wsp:rsid wsp:val=&quot;00EE6794&quot;/&gt;&lt;wsp:rsid wsp:val=&quot;00EE6F09&quot;/&gt;&lt;wsp:rsid wsp:val=&quot;00EE703F&quot;/&gt;&lt;wsp:rsid wsp:val=&quot;00EE769A&quot;/&gt;&lt;wsp:rsid wsp:val=&quot;00EE7A07&quot;/&gt;&lt;wsp:rsid wsp:val=&quot;00EE7A8A&quot;/&gt;&lt;wsp:rsid wsp:val=&quot;00EE7B58&quot;/&gt;&lt;wsp:rsid wsp:val=&quot;00EE7C58&quot;/&gt;&lt;wsp:rsid wsp:val=&quot;00EE7D33&quot;/&gt;&lt;wsp:rsid wsp:val=&quot;00EF009B&quot;/&gt;&lt;wsp:rsid wsp:val=&quot;00EF05CB&quot;/&gt;&lt;wsp:rsid wsp:val=&quot;00EF0A27&quot;/&gt;&lt;wsp:rsid wsp:val=&quot;00EF0C5F&quot;/&gt;&lt;wsp:rsid wsp:val=&quot;00EF12B0&quot;/&gt;&lt;wsp:rsid wsp:val=&quot;00EF1519&quot;/&gt;&lt;wsp:rsid wsp:val=&quot;00EF1B12&quot;/&gt;&lt;wsp:rsid wsp:val=&quot;00EF22E0&quot;/&gt;&lt;wsp:rsid wsp:val=&quot;00EF2300&quot;/&gt;&lt;wsp:rsid wsp:val=&quot;00EF234D&quot;/&gt;&lt;wsp:rsid wsp:val=&quot;00EF2557&quot;/&gt;&lt;wsp:rsid wsp:val=&quot;00EF2C3F&quot;/&gt;&lt;wsp:rsid wsp:val=&quot;00EF30CB&quot;/&gt;&lt;wsp:rsid wsp:val=&quot;00EF3151&quot;/&gt;&lt;wsp:rsid wsp:val=&quot;00EF3173&quot;/&gt;&lt;wsp:rsid wsp:val=&quot;00EF331D&quot;/&gt;&lt;wsp:rsid wsp:val=&quot;00EF3355&quot;/&gt;&lt;wsp:rsid wsp:val=&quot;00EF3521&quot;/&gt;&lt;wsp:rsid wsp:val=&quot;00EF3AD9&quot;/&gt;&lt;wsp:rsid wsp:val=&quot;00EF3CC0&quot;/&gt;&lt;wsp:rsid wsp:val=&quot;00EF3D69&quot;/&gt;&lt;wsp:rsid wsp:val=&quot;00EF3E7F&quot;/&gt;&lt;wsp:rsid wsp:val=&quot;00EF3EE3&quot;/&gt;&lt;wsp:rsid wsp:val=&quot;00EF40AE&quot;/&gt;&lt;wsp:rsid wsp:val=&quot;00EF4228&quot;/&gt;&lt;wsp:rsid wsp:val=&quot;00EF4415&quot;/&gt;&lt;wsp:rsid wsp:val=&quot;00EF4AD3&quot;/&gt;&lt;wsp:rsid wsp:val=&quot;00EF4C3A&quot;/&gt;&lt;wsp:rsid wsp:val=&quot;00EF5180&quot;/&gt;&lt;wsp:rsid wsp:val=&quot;00EF5299&quot;/&gt;&lt;wsp:rsid wsp:val=&quot;00EF541D&quot;/&gt;&lt;wsp:rsid wsp:val=&quot;00EF5422&quot;/&gt;&lt;wsp:rsid wsp:val=&quot;00EF55FC&quot;/&gt;&lt;wsp:rsid wsp:val=&quot;00EF5804&quot;/&gt;&lt;wsp:rsid wsp:val=&quot;00EF59F0&quot;/&gt;&lt;wsp:rsid wsp:val=&quot;00EF5ECB&quot;/&gt;&lt;wsp:rsid wsp:val=&quot;00EF60E3&quot;/&gt;&lt;wsp:rsid wsp:val=&quot;00EF65E7&quot;/&gt;&lt;wsp:rsid wsp:val=&quot;00EF673E&quot;/&gt;&lt;wsp:rsid wsp:val=&quot;00EF678C&quot;/&gt;&lt;wsp:rsid wsp:val=&quot;00EF6B9A&quot;/&gt;&lt;wsp:rsid wsp:val=&quot;00EF70AF&quot;/&gt;&lt;wsp:rsid wsp:val=&quot;00EF7734&quot;/&gt;&lt;wsp:rsid wsp:val=&quot;00EF7A85&quot;/&gt;&lt;wsp:rsid wsp:val=&quot;00EF7DA7&quot;/&gt;&lt;wsp:rsid wsp:val=&quot;00EF7F6D&quot;/&gt;&lt;wsp:rsid wsp:val=&quot;00F0035F&quot;/&gt;&lt;wsp:rsid wsp:val=&quot;00F004A9&quot;/&gt;&lt;wsp:rsid wsp:val=&quot;00F0088E&quot;/&gt;&lt;wsp:rsid wsp:val=&quot;00F00996&quot;/&gt;&lt;wsp:rsid wsp:val=&quot;00F00F21&quot;/&gt;&lt;wsp:rsid wsp:val=&quot;00F0144B&quot;/&gt;&lt;wsp:rsid wsp:val=&quot;00F01C83&quot;/&gt;&lt;wsp:rsid wsp:val=&quot;00F01DFC&quot;/&gt;&lt;wsp:rsid wsp:val=&quot;00F01FD5&quot;/&gt;&lt;wsp:rsid wsp:val=&quot;00F02358&quot;/&gt;&lt;wsp:rsid wsp:val=&quot;00F02432&quot;/&gt;&lt;wsp:rsid wsp:val=&quot;00F02483&quot;/&gt;&lt;wsp:rsid wsp:val=&quot;00F025F2&quot;/&gt;&lt;wsp:rsid wsp:val=&quot;00F026D8&quot;/&gt;&lt;wsp:rsid wsp:val=&quot;00F02774&quot;/&gt;&lt;wsp:rsid wsp:val=&quot;00F027A9&quot;/&gt;&lt;wsp:rsid wsp:val=&quot;00F0286E&quot;/&gt;&lt;wsp:rsid wsp:val=&quot;00F02B1B&quot;/&gt;&lt;wsp:rsid wsp:val=&quot;00F02DD4&quot;/&gt;&lt;wsp:rsid wsp:val=&quot;00F02DEE&quot;/&gt;&lt;wsp:rsid wsp:val=&quot;00F0359C&quot;/&gt;&lt;wsp:rsid wsp:val=&quot;00F03916&quot;/&gt;&lt;wsp:rsid wsp:val=&quot;00F03B59&quot;/&gt;&lt;wsp:rsid wsp:val=&quot;00F045D3&quot;/&gt;&lt;wsp:rsid wsp:val=&quot;00F049A0&quot;/&gt;&lt;wsp:rsid wsp:val=&quot;00F04A75&quot;/&gt;&lt;wsp:rsid wsp:val=&quot;00F04BDD&quot;/&gt;&lt;wsp:rsid wsp:val=&quot;00F04E08&quot;/&gt;&lt;wsp:rsid wsp:val=&quot;00F054BD&quot;/&gt;&lt;wsp:rsid wsp:val=&quot;00F057FE&quot;/&gt;&lt;wsp:rsid wsp:val=&quot;00F05D3A&quot;/&gt;&lt;wsp:rsid wsp:val=&quot;00F05E2B&quot;/&gt;&lt;wsp:rsid wsp:val=&quot;00F06E64&quot;/&gt;&lt;wsp:rsid wsp:val=&quot;00F0727B&quot;/&gt;&lt;wsp:rsid wsp:val=&quot;00F074A9&quot;/&gt;&lt;wsp:rsid wsp:val=&quot;00F0755B&quot;/&gt;&lt;wsp:rsid wsp:val=&quot;00F07834&quot;/&gt;&lt;wsp:rsid wsp:val=&quot;00F07C3E&quot;/&gt;&lt;wsp:rsid wsp:val=&quot;00F07F57&quot;/&gt;&lt;wsp:rsid wsp:val=&quot;00F10726&quot;/&gt;&lt;wsp:rsid wsp:val=&quot;00F109A9&quot;/&gt;&lt;wsp:rsid wsp:val=&quot;00F11004&quot;/&gt;&lt;wsp:rsid wsp:val=&quot;00F1123F&quot;/&gt;&lt;wsp:rsid wsp:val=&quot;00F11260&quot;/&gt;&lt;wsp:rsid wsp:val=&quot;00F1126B&quot;/&gt;&lt;wsp:rsid wsp:val=&quot;00F11280&quot;/&gt;&lt;wsp:rsid wsp:val=&quot;00F11782&quot;/&gt;&lt;wsp:rsid wsp:val=&quot;00F11AA8&quot;/&gt;&lt;wsp:rsid wsp:val=&quot;00F11F8D&quot;/&gt;&lt;wsp:rsid wsp:val=&quot;00F12000&quot;/&gt;&lt;wsp:rsid wsp:val=&quot;00F1226F&quot;/&gt;&lt;wsp:rsid wsp:val=&quot;00F1245B&quot;/&gt;&lt;wsp:rsid wsp:val=&quot;00F12540&quot;/&gt;&lt;wsp:rsid wsp:val=&quot;00F1290E&quot;/&gt;&lt;wsp:rsid wsp:val=&quot;00F12BF6&quot;/&gt;&lt;wsp:rsid wsp:val=&quot;00F12F98&quot;/&gt;&lt;wsp:rsid wsp:val=&quot;00F13075&quot;/&gt;&lt;wsp:rsid wsp:val=&quot;00F132A2&quot;/&gt;&lt;wsp:rsid wsp:val=&quot;00F134AF&quot;/&gt;&lt;wsp:rsid wsp:val=&quot;00F13608&quot;/&gt;&lt;wsp:rsid wsp:val=&quot;00F13713&quot;/&gt;&lt;wsp:rsid wsp:val=&quot;00F13AB4&quot;/&gt;&lt;wsp:rsid wsp:val=&quot;00F13C47&quot;/&gt;&lt;wsp:rsid wsp:val=&quot;00F13DB9&quot;/&gt;&lt;wsp:rsid wsp:val=&quot;00F1491B&quot;/&gt;&lt;wsp:rsid wsp:val=&quot;00F14BE6&quot;/&gt;&lt;wsp:rsid wsp:val=&quot;00F153D9&quot;/&gt;&lt;wsp:rsid wsp:val=&quot;00F1544B&quot;/&gt;&lt;wsp:rsid wsp:val=&quot;00F15C05&quot;/&gt;&lt;wsp:rsid wsp:val=&quot;00F15C95&quot;/&gt;&lt;wsp:rsid wsp:val=&quot;00F15D94&quot;/&gt;&lt;wsp:rsid wsp:val=&quot;00F162B0&quot;/&gt;&lt;wsp:rsid wsp:val=&quot;00F16509&quot;/&gt;&lt;wsp:rsid wsp:val=&quot;00F165E8&quot;/&gt;&lt;wsp:rsid wsp:val=&quot;00F16982&quot;/&gt;&lt;wsp:rsid wsp:val=&quot;00F16BBE&quot;/&gt;&lt;wsp:rsid wsp:val=&quot;00F16BE5&quot;/&gt;&lt;wsp:rsid wsp:val=&quot;00F16E3B&quot;/&gt;&lt;wsp:rsid wsp:val=&quot;00F16EBC&quot;/&gt;&lt;wsp:rsid wsp:val=&quot;00F171E9&quot;/&gt;&lt;wsp:rsid wsp:val=&quot;00F17511&quot;/&gt;&lt;wsp:rsid wsp:val=&quot;00F17CED&quot;/&gt;&lt;wsp:rsid wsp:val=&quot;00F20399&quot;/&gt;&lt;wsp:rsid wsp:val=&quot;00F20586&quot;/&gt;&lt;wsp:rsid wsp:val=&quot;00F2069C&quot;/&gt;&lt;wsp:rsid wsp:val=&quot;00F20991&quot;/&gt;&lt;wsp:rsid wsp:val=&quot;00F209DC&quot;/&gt;&lt;wsp:rsid wsp:val=&quot;00F20B5D&quot;/&gt;&lt;wsp:rsid wsp:val=&quot;00F2119F&quot;/&gt;&lt;wsp:rsid wsp:val=&quot;00F214C8&quot;/&gt;&lt;wsp:rsid wsp:val=&quot;00F217BB&quot;/&gt;&lt;wsp:rsid wsp:val=&quot;00F21BB3&quot;/&gt;&lt;wsp:rsid wsp:val=&quot;00F220BD&quot;/&gt;&lt;wsp:rsid wsp:val=&quot;00F22245&quot;/&gt;&lt;wsp:rsid wsp:val=&quot;00F22432&quot;/&gt;&lt;wsp:rsid wsp:val=&quot;00F22D42&quot;/&gt;&lt;wsp:rsid wsp:val=&quot;00F22D63&quot;/&gt;&lt;wsp:rsid wsp:val=&quot;00F23926&quot;/&gt;&lt;wsp:rsid wsp:val=&quot;00F23988&quot;/&gt;&lt;wsp:rsid wsp:val=&quot;00F239DB&quot;/&gt;&lt;wsp:rsid wsp:val=&quot;00F248B6&quot;/&gt;&lt;wsp:rsid wsp:val=&quot;00F25BA1&quot;/&gt;&lt;wsp:rsid wsp:val=&quot;00F25F4F&quot;/&gt;&lt;wsp:rsid wsp:val=&quot;00F25F66&quot;/&gt;&lt;wsp:rsid wsp:val=&quot;00F26186&quot;/&gt;&lt;wsp:rsid wsp:val=&quot;00F26946&quot;/&gt;&lt;wsp:rsid wsp:val=&quot;00F2697D&quot;/&gt;&lt;wsp:rsid wsp:val=&quot;00F26E0B&quot;/&gt;&lt;wsp:rsid wsp:val=&quot;00F26FC9&quot;/&gt;&lt;wsp:rsid wsp:val=&quot;00F270EB&quot;/&gt;&lt;wsp:rsid wsp:val=&quot;00F276A7&quot;/&gt;&lt;wsp:rsid wsp:val=&quot;00F27FFC&quot;/&gt;&lt;wsp:rsid wsp:val=&quot;00F306BB&quot;/&gt;&lt;wsp:rsid wsp:val=&quot;00F30864&quot;/&gt;&lt;wsp:rsid wsp:val=&quot;00F30DB2&quot;/&gt;&lt;wsp:rsid wsp:val=&quot;00F30E0A&quot;/&gt;&lt;wsp:rsid wsp:val=&quot;00F30E1F&quot;/&gt;&lt;wsp:rsid wsp:val=&quot;00F30E53&quot;/&gt;&lt;wsp:rsid wsp:val=&quot;00F30ECA&quot;/&gt;&lt;wsp:rsid wsp:val=&quot;00F30F2F&quot;/&gt;&lt;wsp:rsid wsp:val=&quot;00F3114F&quot;/&gt;&lt;wsp:rsid wsp:val=&quot;00F31374&quot;/&gt;&lt;wsp:rsid wsp:val=&quot;00F31531&quot;/&gt;&lt;wsp:rsid wsp:val=&quot;00F315FD&quot;/&gt;&lt;wsp:rsid wsp:val=&quot;00F32CC9&quot;/&gt;&lt;wsp:rsid wsp:val=&quot;00F32D06&quot;/&gt;&lt;wsp:rsid wsp:val=&quot;00F32F61&quot;/&gt;&lt;wsp:rsid wsp:val=&quot;00F3306C&quot;/&gt;&lt;wsp:rsid wsp:val=&quot;00F330A7&quot;/&gt;&lt;wsp:rsid wsp:val=&quot;00F332C8&quot;/&gt;&lt;wsp:rsid wsp:val=&quot;00F334E2&quot;/&gt;&lt;wsp:rsid wsp:val=&quot;00F33D91&quot;/&gt;&lt;wsp:rsid wsp:val=&quot;00F3452C&quot;/&gt;&lt;wsp:rsid wsp:val=&quot;00F34EFB&quot;/&gt;&lt;wsp:rsid wsp:val=&quot;00F34F7B&quot;/&gt;&lt;wsp:rsid wsp:val=&quot;00F3510B&quot;/&gt;&lt;wsp:rsid wsp:val=&quot;00F35798&quot;/&gt;&lt;wsp:rsid wsp:val=&quot;00F36084&quot;/&gt;&lt;wsp:rsid wsp:val=&quot;00F36644&quot;/&gt;&lt;wsp:rsid wsp:val=&quot;00F3720A&quot;/&gt;&lt;wsp:rsid wsp:val=&quot;00F3737B&quot;/&gt;&lt;wsp:rsid wsp:val=&quot;00F3746E&quot;/&gt;&lt;wsp:rsid wsp:val=&quot;00F378D0&quot;/&gt;&lt;wsp:rsid wsp:val=&quot;00F4014F&quot;/&gt;&lt;wsp:rsid wsp:val=&quot;00F40169&quot;/&gt;&lt;wsp:rsid wsp:val=&quot;00F40E08&quot;/&gt;&lt;wsp:rsid wsp:val=&quot;00F40E6C&quot;/&gt;&lt;wsp:rsid wsp:val=&quot;00F41130&quot;/&gt;&lt;wsp:rsid wsp:val=&quot;00F41547&quot;/&gt;&lt;wsp:rsid wsp:val=&quot;00F41755&quot;/&gt;&lt;wsp:rsid wsp:val=&quot;00F41C49&quot;/&gt;&lt;wsp:rsid wsp:val=&quot;00F42189&quot;/&gt;&lt;wsp:rsid wsp:val=&quot;00F4257D&quot;/&gt;&lt;wsp:rsid wsp:val=&quot;00F425C6&quot;/&gt;&lt;wsp:rsid wsp:val=&quot;00F42938&quot;/&gt;&lt;wsp:rsid wsp:val=&quot;00F429A0&quot;/&gt;&lt;wsp:rsid wsp:val=&quot;00F42A33&quot;/&gt;&lt;wsp:rsid wsp:val=&quot;00F42D66&quot;/&gt;&lt;wsp:rsid wsp:val=&quot;00F4309F&quot;/&gt;&lt;wsp:rsid wsp:val=&quot;00F43281&quot;/&gt;&lt;wsp:rsid wsp:val=&quot;00F4349A&quot;/&gt;&lt;wsp:rsid wsp:val=&quot;00F435B7&quot;/&gt;&lt;wsp:rsid wsp:val=&quot;00F43749&quot;/&gt;&lt;wsp:rsid wsp:val=&quot;00F43B29&quot;/&gt;&lt;wsp:rsid wsp:val=&quot;00F44116&quot;/&gt;&lt;wsp:rsid wsp:val=&quot;00F4420F&quot;/&gt;&lt;wsp:rsid wsp:val=&quot;00F44464&quot;/&gt;&lt;wsp:rsid wsp:val=&quot;00F45A2D&quot;/&gt;&lt;wsp:rsid wsp:val=&quot;00F45B5C&quot;/&gt;&lt;wsp:rsid wsp:val=&quot;00F45E2F&quot;/&gt;&lt;wsp:rsid wsp:val=&quot;00F4666B&quot;/&gt;&lt;wsp:rsid wsp:val=&quot;00F468B3&quot;/&gt;&lt;wsp:rsid wsp:val=&quot;00F46947&quot;/&gt;&lt;wsp:rsid wsp:val=&quot;00F46BBC&quot;/&gt;&lt;wsp:rsid wsp:val=&quot;00F47164&quot;/&gt;&lt;wsp:rsid wsp:val=&quot;00F47605&quot;/&gt;&lt;wsp:rsid wsp:val=&quot;00F4791C&quot;/&gt;&lt;wsp:rsid wsp:val=&quot;00F50B49&quot;/&gt;&lt;wsp:rsid wsp:val=&quot;00F50BFE&quot;/&gt;&lt;wsp:rsid wsp:val=&quot;00F50CB7&quot;/&gt;&lt;wsp:rsid wsp:val=&quot;00F50D52&quot;/&gt;&lt;wsp:rsid wsp:val=&quot;00F50E3D&quot;/&gt;&lt;wsp:rsid wsp:val=&quot;00F510DF&quot;/&gt;&lt;wsp:rsid wsp:val=&quot;00F5130C&quot;/&gt;&lt;wsp:rsid wsp:val=&quot;00F515BE&quot;/&gt;&lt;wsp:rsid wsp:val=&quot;00F51774&quot;/&gt;&lt;wsp:rsid wsp:val=&quot;00F51AE6&quot;/&gt;&lt;wsp:rsid wsp:val=&quot;00F51CB1&quot;/&gt;&lt;wsp:rsid wsp:val=&quot;00F51E79&quot;/&gt;&lt;wsp:rsid wsp:val=&quot;00F51FFA&quot;/&gt;&lt;wsp:rsid wsp:val=&quot;00F52361&quot;/&gt;&lt;wsp:rsid wsp:val=&quot;00F524A7&quot;/&gt;&lt;wsp:rsid wsp:val=&quot;00F533D1&quot;/&gt;&lt;wsp:rsid wsp:val=&quot;00F534D4&quot;/&gt;&lt;wsp:rsid wsp:val=&quot;00F53523&quot;/&gt;&lt;wsp:rsid wsp:val=&quot;00F535F4&quot;/&gt;&lt;wsp:rsid wsp:val=&quot;00F53D3A&quot;/&gt;&lt;wsp:rsid wsp:val=&quot;00F53DD9&quot;/&gt;&lt;wsp:rsid wsp:val=&quot;00F54446&quot;/&gt;&lt;wsp:rsid wsp:val=&quot;00F5463A&quot;/&gt;&lt;wsp:rsid wsp:val=&quot;00F549C9&quot;/&gt;&lt;wsp:rsid wsp:val=&quot;00F54D7E&quot;/&gt;&lt;wsp:rsid wsp:val=&quot;00F54EF2&quot;/&gt;&lt;wsp:rsid wsp:val=&quot;00F553A0&quot;/&gt;&lt;wsp:rsid wsp:val=&quot;00F553F3&quot;/&gt;&lt;wsp:rsid wsp:val=&quot;00F55717&quot;/&gt;&lt;wsp:rsid wsp:val=&quot;00F557A0&quot;/&gt;&lt;wsp:rsid wsp:val=&quot;00F55827&quot;/&gt;&lt;wsp:rsid wsp:val=&quot;00F559F1&quot;/&gt;&lt;wsp:rsid wsp:val=&quot;00F55C4B&quot;/&gt;&lt;wsp:rsid wsp:val=&quot;00F56030&quot;/&gt;&lt;wsp:rsid wsp:val=&quot;00F56198&quot;/&gt;&lt;wsp:rsid wsp:val=&quot;00F56346&quot;/&gt;&lt;wsp:rsid wsp:val=&quot;00F56A8D&quot;/&gt;&lt;wsp:rsid wsp:val=&quot;00F56D1D&quot;/&gt;&lt;wsp:rsid wsp:val=&quot;00F56D8D&quot;/&gt;&lt;wsp:rsid wsp:val=&quot;00F56F57&quot;/&gt;&lt;wsp:rsid wsp:val=&quot;00F57A19&quot;/&gt;&lt;wsp:rsid wsp:val=&quot;00F57AD3&quot;/&gt;&lt;wsp:rsid wsp:val=&quot;00F57DBF&quot;/&gt;&lt;wsp:rsid wsp:val=&quot;00F60254&quot;/&gt;&lt;wsp:rsid wsp:val=&quot;00F60780&quot;/&gt;&lt;wsp:rsid wsp:val=&quot;00F610E2&quot;/&gt;&lt;wsp:rsid wsp:val=&quot;00F611C7&quot;/&gt;&lt;wsp:rsid wsp:val=&quot;00F61226&quot;/&gt;&lt;wsp:rsid wsp:val=&quot;00F614D7&quot;/&gt;&lt;wsp:rsid wsp:val=&quot;00F61649&quot;/&gt;&lt;wsp:rsid wsp:val=&quot;00F6170F&quot;/&gt;&lt;wsp:rsid wsp:val=&quot;00F61B5A&quot;/&gt;&lt;wsp:rsid wsp:val=&quot;00F61EF1&quot;/&gt;&lt;wsp:rsid wsp:val=&quot;00F6263C&quot;/&gt;&lt;wsp:rsid wsp:val=&quot;00F62D8E&quot;/&gt;&lt;wsp:rsid wsp:val=&quot;00F6324B&quot;/&gt;&lt;wsp:rsid wsp:val=&quot;00F632CF&quot;/&gt;&lt;wsp:rsid wsp:val=&quot;00F633DF&quot;/&gt;&lt;wsp:rsid wsp:val=&quot;00F635EB&quot;/&gt;&lt;wsp:rsid wsp:val=&quot;00F636D8&quot;/&gt;&lt;wsp:rsid wsp:val=&quot;00F63B09&quot;/&gt;&lt;wsp:rsid wsp:val=&quot;00F63CD5&quot;/&gt;&lt;wsp:rsid wsp:val=&quot;00F63D5A&quot;/&gt;&lt;wsp:rsid wsp:val=&quot;00F63D6F&quot;/&gt;&lt;wsp:rsid wsp:val=&quot;00F63EE9&quot;/&gt;&lt;wsp:rsid wsp:val=&quot;00F64154&quot;/&gt;&lt;wsp:rsid wsp:val=&quot;00F64265&quot;/&gt;&lt;wsp:rsid wsp:val=&quot;00F64337&quot;/&gt;&lt;wsp:rsid wsp:val=&quot;00F64483&quot;/&gt;&lt;wsp:rsid wsp:val=&quot;00F6553F&quot;/&gt;&lt;wsp:rsid wsp:val=&quot;00F6560A&quot;/&gt;&lt;wsp:rsid wsp:val=&quot;00F65768&quot;/&gt;&lt;wsp:rsid wsp:val=&quot;00F65908&quot;/&gt;&lt;wsp:rsid wsp:val=&quot;00F65A7E&quot;/&gt;&lt;wsp:rsid wsp:val=&quot;00F66318&quot;/&gt;&lt;wsp:rsid wsp:val=&quot;00F66610&quot;/&gt;&lt;wsp:rsid wsp:val=&quot;00F66707&quot;/&gt;&lt;wsp:rsid wsp:val=&quot;00F66708&quot;/&gt;&lt;wsp:rsid wsp:val=&quot;00F66F00&quot;/&gt;&lt;wsp:rsid wsp:val=&quot;00F66FAB&quot;/&gt;&lt;wsp:rsid wsp:val=&quot;00F67415&quot;/&gt;&lt;wsp:rsid wsp:val=&quot;00F6753F&quot;/&gt;&lt;wsp:rsid wsp:val=&quot;00F67AC2&quot;/&gt;&lt;wsp:rsid wsp:val=&quot;00F67CB4&quot;/&gt;&lt;wsp:rsid wsp:val=&quot;00F67CEB&quot;/&gt;&lt;wsp:rsid wsp:val=&quot;00F67D22&quot;/&gt;&lt;wsp:rsid wsp:val=&quot;00F67FFB&quot;/&gt;&lt;wsp:rsid wsp:val=&quot;00F70430&quot;/&gt;&lt;wsp:rsid wsp:val=&quot;00F706B8&quot;/&gt;&lt;wsp:rsid wsp:val=&quot;00F7081B&quot;/&gt;&lt;wsp:rsid wsp:val=&quot;00F70F04&quot;/&gt;&lt;wsp:rsid wsp:val=&quot;00F710CE&quot;/&gt;&lt;wsp:rsid wsp:val=&quot;00F71249&quot;/&gt;&lt;wsp:rsid wsp:val=&quot;00F715F9&quot;/&gt;&lt;wsp:rsid wsp:val=&quot;00F71C31&quot;/&gt;&lt;wsp:rsid wsp:val=&quot;00F71D0F&quot;/&gt;&lt;wsp:rsid wsp:val=&quot;00F7207F&quot;/&gt;&lt;wsp:rsid wsp:val=&quot;00F72142&quot;/&gt;&lt;wsp:rsid wsp:val=&quot;00F72156&quot;/&gt;&lt;wsp:rsid wsp:val=&quot;00F72FB8&quot;/&gt;&lt;wsp:rsid wsp:val=&quot;00F73302&quot;/&gt;&lt;wsp:rsid wsp:val=&quot;00F7366E&quot;/&gt;&lt;wsp:rsid wsp:val=&quot;00F738C0&quot;/&gt;&lt;wsp:rsid wsp:val=&quot;00F74BDB&quot;/&gt;&lt;wsp:rsid wsp:val=&quot;00F74DA1&quot;/&gt;&lt;wsp:rsid wsp:val=&quot;00F74FBC&quot;/&gt;&lt;wsp:rsid wsp:val=&quot;00F75343&quot;/&gt;&lt;wsp:rsid wsp:val=&quot;00F75733&quot;/&gt;&lt;wsp:rsid wsp:val=&quot;00F75983&quot;/&gt;&lt;wsp:rsid wsp:val=&quot;00F75995&quot;/&gt;&lt;wsp:rsid wsp:val=&quot;00F75B2C&quot;/&gt;&lt;wsp:rsid wsp:val=&quot;00F75E73&quot;/&gt;&lt;wsp:rsid wsp:val=&quot;00F75F1C&quot;/&gt;&lt;wsp:rsid wsp:val=&quot;00F76507&quot;/&gt;&lt;wsp:rsid wsp:val=&quot;00F76DE0&quot;/&gt;&lt;wsp:rsid wsp:val=&quot;00F772CB&quot;/&gt;&lt;wsp:rsid wsp:val=&quot;00F77526&quot;/&gt;&lt;wsp:rsid wsp:val=&quot;00F77867&quot;/&gt;&lt;wsp:rsid wsp:val=&quot;00F77A01&quot;/&gt;&lt;wsp:rsid wsp:val=&quot;00F77D4D&quot;/&gt;&lt;wsp:rsid wsp:val=&quot;00F80059&quot;/&gt;&lt;wsp:rsid wsp:val=&quot;00F800B6&quot;/&gt;&lt;wsp:rsid wsp:val=&quot;00F8013D&quot;/&gt;&lt;wsp:rsid wsp:val=&quot;00F8064C&quot;/&gt;&lt;wsp:rsid wsp:val=&quot;00F8097E&quot;/&gt;&lt;wsp:rsid wsp:val=&quot;00F80FD7&quot;/&gt;&lt;wsp:rsid wsp:val=&quot;00F815EB&quot;/&gt;&lt;wsp:rsid wsp:val=&quot;00F81FFE&quot;/&gt;&lt;wsp:rsid wsp:val=&quot;00F8227B&quot;/&gt;&lt;wsp:rsid wsp:val=&quot;00F82E2E&quot;/&gt;&lt;wsp:rsid wsp:val=&quot;00F830B3&quot;/&gt;&lt;wsp:rsid wsp:val=&quot;00F831CE&quot;/&gt;&lt;wsp:rsid wsp:val=&quot;00F83617&quot;/&gt;&lt;wsp:rsid wsp:val=&quot;00F83C98&quot;/&gt;&lt;wsp:rsid wsp:val=&quot;00F84063&quot;/&gt;&lt;wsp:rsid wsp:val=&quot;00F84147&quot;/&gt;&lt;wsp:rsid wsp:val=&quot;00F843A5&quot;/&gt;&lt;wsp:rsid wsp:val=&quot;00F84777&quot;/&gt;&lt;wsp:rsid wsp:val=&quot;00F84B77&quot;/&gt;&lt;wsp:rsid wsp:val=&quot;00F8559F&quot;/&gt;&lt;wsp:rsid wsp:val=&quot;00F85738&quot;/&gt;&lt;wsp:rsid wsp:val=&quot;00F859C5&quot;/&gt;&lt;wsp:rsid wsp:val=&quot;00F85D84&quot;/&gt;&lt;wsp:rsid wsp:val=&quot;00F85E7A&quot;/&gt;&lt;wsp:rsid wsp:val=&quot;00F8609A&quot;/&gt;&lt;wsp:rsid wsp:val=&quot;00F86338&quot;/&gt;&lt;wsp:rsid wsp:val=&quot;00F8693C&quot;/&gt;&lt;wsp:rsid wsp:val=&quot;00F86FFC&quot;/&gt;&lt;wsp:rsid wsp:val=&quot;00F871F6&quot;/&gt;&lt;wsp:rsid wsp:val=&quot;00F87838&quot;/&gt;&lt;wsp:rsid wsp:val=&quot;00F87867&quot;/&gt;&lt;wsp:rsid wsp:val=&quot;00F8786C&quot;/&gt;&lt;wsp:rsid wsp:val=&quot;00F900C4&quot;/&gt;&lt;wsp:rsid wsp:val=&quot;00F90109&quot;/&gt;&lt;wsp:rsid wsp:val=&quot;00F90192&quot;/&gt;&lt;wsp:rsid wsp:val=&quot;00F90A4C&quot;/&gt;&lt;wsp:rsid wsp:val=&quot;00F90A62&quot;/&gt;&lt;wsp:rsid wsp:val=&quot;00F90DE3&quot;/&gt;&lt;wsp:rsid wsp:val=&quot;00F91036&quot;/&gt;&lt;wsp:rsid wsp:val=&quot;00F915B0&quot;/&gt;&lt;wsp:rsid wsp:val=&quot;00F91F1B&quot;/&gt;&lt;wsp:rsid wsp:val=&quot;00F92253&quot;/&gt;&lt;wsp:rsid wsp:val=&quot;00F92447&quot;/&gt;&lt;wsp:rsid wsp:val=&quot;00F92CC4&quot;/&gt;&lt;wsp:rsid wsp:val=&quot;00F92DAA&quot;/&gt;&lt;wsp:rsid wsp:val=&quot;00F92EE6&quot;/&gt;&lt;wsp:rsid wsp:val=&quot;00F92FDD&quot;/&gt;&lt;wsp:rsid wsp:val=&quot;00F930C4&quot;/&gt;&lt;wsp:rsid wsp:val=&quot;00F932FB&quot;/&gt;&lt;wsp:rsid wsp:val=&quot;00F934B8&quot;/&gt;&lt;wsp:rsid wsp:val=&quot;00F9371D&quot;/&gt;&lt;wsp:rsid wsp:val=&quot;00F938A4&quot;/&gt;&lt;wsp:rsid wsp:val=&quot;00F93A2B&quot;/&gt;&lt;wsp:rsid wsp:val=&quot;00F93A8D&quot;/&gt;&lt;wsp:rsid wsp:val=&quot;00F93B83&quot;/&gt;&lt;wsp:rsid wsp:val=&quot;00F93D94&quot;/&gt;&lt;wsp:rsid wsp:val=&quot;00F93E13&quot;/&gt;&lt;wsp:rsid wsp:val=&quot;00F94910&quot;/&gt;&lt;wsp:rsid wsp:val=&quot;00F94927&quot;/&gt;&lt;wsp:rsid wsp:val=&quot;00F94B0C&quot;/&gt;&lt;wsp:rsid wsp:val=&quot;00F94C0B&quot;/&gt;&lt;wsp:rsid wsp:val=&quot;00F95AEB&quot;/&gt;&lt;wsp:rsid wsp:val=&quot;00F95EAF&quot;/&gt;&lt;wsp:rsid wsp:val=&quot;00F95EE3&quot;/&gt;&lt;wsp:rsid wsp:val=&quot;00F96327&quot;/&gt;&lt;wsp:rsid wsp:val=&quot;00F96387&quot;/&gt;&lt;wsp:rsid wsp:val=&quot;00F96ABC&quot;/&gt;&lt;wsp:rsid wsp:val=&quot;00F96C7A&quot;/&gt;&lt;wsp:rsid wsp:val=&quot;00F97541&quot;/&gt;&lt;wsp:rsid wsp:val=&quot;00F9773A&quot;/&gt;&lt;wsp:rsid wsp:val=&quot;00F97F36&quot;/&gt;&lt;wsp:rsid wsp:val=&quot;00FA00A0&quot;/&gt;&lt;wsp:rsid wsp:val=&quot;00FA01C0&quot;/&gt;&lt;wsp:rsid wsp:val=&quot;00FA033C&quot;/&gt;&lt;wsp:rsid wsp:val=&quot;00FA04BE&quot;/&gt;&lt;wsp:rsid wsp:val=&quot;00FA05F4&quot;/&gt;&lt;wsp:rsid wsp:val=&quot;00FA0C1B&quot;/&gt;&lt;wsp:rsid wsp:val=&quot;00FA1B8C&quot;/&gt;&lt;wsp:rsid wsp:val=&quot;00FA1BC3&quot;/&gt;&lt;wsp:rsid wsp:val=&quot;00FA1DE7&quot;/&gt;&lt;wsp:rsid wsp:val=&quot;00FA2244&quot;/&gt;&lt;wsp:rsid wsp:val=&quot;00FA2540&quot;/&gt;&lt;wsp:rsid wsp:val=&quot;00FA26BE&quot;/&gt;&lt;wsp:rsid wsp:val=&quot;00FA2818&quot;/&gt;&lt;wsp:rsid wsp:val=&quot;00FA2A08&quot;/&gt;&lt;wsp:rsid wsp:val=&quot;00FA2A8E&quot;/&gt;&lt;wsp:rsid wsp:val=&quot;00FA30F6&quot;/&gt;&lt;wsp:rsid wsp:val=&quot;00FA32BD&quot;/&gt;&lt;wsp:rsid wsp:val=&quot;00FA34AC&quot;/&gt;&lt;wsp:rsid wsp:val=&quot;00FA3BCD&quot;/&gt;&lt;wsp:rsid wsp:val=&quot;00FA3F2B&quot;/&gt;&lt;wsp:rsid wsp:val=&quot;00FA41C1&quot;/&gt;&lt;wsp:rsid wsp:val=&quot;00FA4765&quot;/&gt;&lt;wsp:rsid wsp:val=&quot;00FA49C8&quot;/&gt;&lt;wsp:rsid wsp:val=&quot;00FA4FBA&quot;/&gt;&lt;wsp:rsid wsp:val=&quot;00FA504F&quot;/&gt;&lt;wsp:rsid wsp:val=&quot;00FA5CE8&quot;/&gt;&lt;wsp:rsid wsp:val=&quot;00FA60DF&quot;/&gt;&lt;wsp:rsid wsp:val=&quot;00FA67C6&quot;/&gt;&lt;wsp:rsid wsp:val=&quot;00FA6C93&quot;/&gt;&lt;wsp:rsid wsp:val=&quot;00FA764F&quot;/&gt;&lt;wsp:rsid wsp:val=&quot;00FA7B49&quot;/&gt;&lt;wsp:rsid wsp:val=&quot;00FA7FD0&quot;/&gt;&lt;wsp:rsid wsp:val=&quot;00FB00AE&quot;/&gt;&lt;wsp:rsid wsp:val=&quot;00FB045A&quot;/&gt;&lt;wsp:rsid wsp:val=&quot;00FB05A8&quot;/&gt;&lt;wsp:rsid wsp:val=&quot;00FB06EE&quot;/&gt;&lt;wsp:rsid wsp:val=&quot;00FB0D00&quot;/&gt;&lt;wsp:rsid wsp:val=&quot;00FB0F95&quot;/&gt;&lt;wsp:rsid wsp:val=&quot;00FB12DD&quot;/&gt;&lt;wsp:rsid wsp:val=&quot;00FB1C96&quot;/&gt;&lt;wsp:rsid wsp:val=&quot;00FB2222&quot;/&gt;&lt;wsp:rsid wsp:val=&quot;00FB230F&quot;/&gt;&lt;wsp:rsid wsp:val=&quot;00FB26CE&quot;/&gt;&lt;wsp:rsid wsp:val=&quot;00FB2C27&quot;/&gt;&lt;wsp:rsid wsp:val=&quot;00FB3464&quot;/&gt;&lt;wsp:rsid wsp:val=&quot;00FB36A0&quot;/&gt;&lt;wsp:rsid wsp:val=&quot;00FB378F&quot;/&gt;&lt;wsp:rsid wsp:val=&quot;00FB3CA8&quot;/&gt;&lt;wsp:rsid wsp:val=&quot;00FB3D65&quot;/&gt;&lt;wsp:rsid wsp:val=&quot;00FB4896&quot;/&gt;&lt;wsp:rsid wsp:val=&quot;00FB49C9&quot;/&gt;&lt;wsp:rsid wsp:val=&quot;00FB5479&quot;/&gt;&lt;wsp:rsid wsp:val=&quot;00FB5BE0&quot;/&gt;&lt;wsp:rsid wsp:val=&quot;00FB66DF&quot;/&gt;&lt;wsp:rsid wsp:val=&quot;00FB67FB&quot;/&gt;&lt;wsp:rsid wsp:val=&quot;00FB68B4&quot;/&gt;&lt;wsp:rsid wsp:val=&quot;00FB6D37&quot;/&gt;&lt;wsp:rsid wsp:val=&quot;00FB6FE3&quot;/&gt;&lt;wsp:rsid wsp:val=&quot;00FB7158&quot;/&gt;&lt;wsp:rsid wsp:val=&quot;00FB726C&quot;/&gt;&lt;wsp:rsid wsp:val=&quot;00FB75F6&quot;/&gt;&lt;wsp:rsid wsp:val=&quot;00FC0929&quot;/&gt;&lt;wsp:rsid wsp:val=&quot;00FC0B69&quot;/&gt;&lt;wsp:rsid wsp:val=&quot;00FC0DD7&quot;/&gt;&lt;wsp:rsid wsp:val=&quot;00FC15A1&quot;/&gt;&lt;wsp:rsid wsp:val=&quot;00FC15B6&quot;/&gt;&lt;wsp:rsid wsp:val=&quot;00FC1E7C&quot;/&gt;&lt;wsp:rsid wsp:val=&quot;00FC211A&quot;/&gt;&lt;wsp:rsid wsp:val=&quot;00FC24EE&quot;/&gt;&lt;wsp:rsid wsp:val=&quot;00FC2522&quot;/&gt;&lt;wsp:rsid wsp:val=&quot;00FC2C55&quot;/&gt;&lt;wsp:rsid wsp:val=&quot;00FC312E&quot;/&gt;&lt;wsp:rsid wsp:val=&quot;00FC346A&quot;/&gt;&lt;wsp:rsid wsp:val=&quot;00FC3BE2&quot;/&gt;&lt;wsp:rsid wsp:val=&quot;00FC3F56&quot;/&gt;&lt;wsp:rsid wsp:val=&quot;00FC42D9&quot;/&gt;&lt;wsp:rsid wsp:val=&quot;00FC49F9&quot;/&gt;&lt;wsp:rsid wsp:val=&quot;00FC4F0F&quot;/&gt;&lt;wsp:rsid wsp:val=&quot;00FC4F67&quot;/&gt;&lt;wsp:rsid wsp:val=&quot;00FC509E&quot;/&gt;&lt;wsp:rsid wsp:val=&quot;00FC525E&quot;/&gt;&lt;wsp:rsid wsp:val=&quot;00FC55B4&quot;/&gt;&lt;wsp:rsid wsp:val=&quot;00FC5ADA&quot;/&gt;&lt;wsp:rsid wsp:val=&quot;00FC60AF&quot;/&gt;&lt;wsp:rsid wsp:val=&quot;00FC6224&quot;/&gt;&lt;wsp:rsid wsp:val=&quot;00FC6496&quot;/&gt;&lt;wsp:rsid wsp:val=&quot;00FC6906&quot;/&gt;&lt;wsp:rsid wsp:val=&quot;00FC69CA&quot;/&gt;&lt;wsp:rsid wsp:val=&quot;00FC6B75&quot;/&gt;&lt;wsp:rsid wsp:val=&quot;00FC7632&quot;/&gt;&lt;wsp:rsid wsp:val=&quot;00FC7807&quot;/&gt;&lt;wsp:rsid wsp:val=&quot;00FC7B72&quot;/&gt;&lt;wsp:rsid wsp:val=&quot;00FC7D2A&quot;/&gt;&lt;wsp:rsid wsp:val=&quot;00FC7F6A&quot;/&gt;&lt;wsp:rsid wsp:val=&quot;00FD01AC&quot;/&gt;&lt;wsp:rsid wsp:val=&quot;00FD01BA&quot;/&gt;&lt;wsp:rsid wsp:val=&quot;00FD06A4&quot;/&gt;&lt;wsp:rsid wsp:val=&quot;00FD0897&quot;/&gt;&lt;wsp:rsid wsp:val=&quot;00FD0912&quot;/&gt;&lt;wsp:rsid wsp:val=&quot;00FD10F6&quot;/&gt;&lt;wsp:rsid wsp:val=&quot;00FD12B2&quot;/&gt;&lt;wsp:rsid wsp:val=&quot;00FD12B3&quot;/&gt;&lt;wsp:rsid wsp:val=&quot;00FD1AE0&quot;/&gt;&lt;wsp:rsid wsp:val=&quot;00FD2D3C&quot;/&gt;&lt;wsp:rsid wsp:val=&quot;00FD375E&quot;/&gt;&lt;wsp:rsid wsp:val=&quot;00FD399B&quot;/&gt;&lt;wsp:rsid wsp:val=&quot;00FD3F7E&quot;/&gt;&lt;wsp:rsid wsp:val=&quot;00FD41C0&quot;/&gt;&lt;wsp:rsid wsp:val=&quot;00FD4CF6&quot;/&gt;&lt;wsp:rsid wsp:val=&quot;00FD5455&quot;/&gt;&lt;wsp:rsid wsp:val=&quot;00FD5531&quot;/&gt;&lt;wsp:rsid wsp:val=&quot;00FD584E&quot;/&gt;&lt;wsp:rsid wsp:val=&quot;00FD5AE7&quot;/&gt;&lt;wsp:rsid wsp:val=&quot;00FD5F9D&quot;/&gt;&lt;wsp:rsid wsp:val=&quot;00FD618D&quot;/&gt;&lt;wsp:rsid wsp:val=&quot;00FD66C9&quot;/&gt;&lt;wsp:rsid wsp:val=&quot;00FD6D27&quot;/&gt;&lt;wsp:rsid wsp:val=&quot;00FD6F86&quot;/&gt;&lt;wsp:rsid wsp:val=&quot;00FD75D7&quot;/&gt;&lt;wsp:rsid wsp:val=&quot;00FD762F&quot;/&gt;&lt;wsp:rsid wsp:val=&quot;00FD76A1&quot;/&gt;&lt;wsp:rsid wsp:val=&quot;00FD7D93&quot;/&gt;&lt;wsp:rsid wsp:val=&quot;00FD7DE1&quot;/&gt;&lt;wsp:rsid wsp:val=&quot;00FE029E&quot;/&gt;&lt;wsp:rsid wsp:val=&quot;00FE036B&quot;/&gt;&lt;wsp:rsid wsp:val=&quot;00FE0473&quot;/&gt;&lt;wsp:rsid wsp:val=&quot;00FE051B&quot;/&gt;&lt;wsp:rsid wsp:val=&quot;00FE05F2&quot;/&gt;&lt;wsp:rsid wsp:val=&quot;00FE0609&quot;/&gt;&lt;wsp:rsid wsp:val=&quot;00FE08A0&quot;/&gt;&lt;wsp:rsid wsp:val=&quot;00FE0BA6&quot;/&gt;&lt;wsp:rsid wsp:val=&quot;00FE0C80&quot;/&gt;&lt;wsp:rsid wsp:val=&quot;00FE0EEB&quot;/&gt;&lt;wsp:rsid wsp:val=&quot;00FE1247&quot;/&gt;&lt;wsp:rsid wsp:val=&quot;00FE13FE&quot;/&gt;&lt;wsp:rsid wsp:val=&quot;00FE1543&quot;/&gt;&lt;wsp:rsid wsp:val=&quot;00FE174B&quot;/&gt;&lt;wsp:rsid wsp:val=&quot;00FE1BF0&quot;/&gt;&lt;wsp:rsid wsp:val=&quot;00FE1C12&quot;/&gt;&lt;wsp:rsid wsp:val=&quot;00FE23D2&quot;/&gt;&lt;wsp:rsid wsp:val=&quot;00FE2C75&quot;/&gt;&lt;wsp:rsid wsp:val=&quot;00FE2EA9&quot;/&gt;&lt;wsp:rsid wsp:val=&quot;00FE2F88&quot;/&gt;&lt;wsp:rsid wsp:val=&quot;00FE3205&quot;/&gt;&lt;wsp:rsid wsp:val=&quot;00FE3508&quot;/&gt;&lt;wsp:rsid wsp:val=&quot;00FE4194&quot;/&gt;&lt;wsp:rsid wsp:val=&quot;00FE4C69&quot;/&gt;&lt;wsp:rsid wsp:val=&quot;00FE50F5&quot;/&gt;&lt;wsp:rsid wsp:val=&quot;00FE5A67&quot;/&gt;&lt;wsp:rsid wsp:val=&quot;00FE5B4E&quot;/&gt;&lt;wsp:rsid wsp:val=&quot;00FE5BB6&quot;/&gt;&lt;wsp:rsid wsp:val=&quot;00FE5FE2&quot;/&gt;&lt;wsp:rsid wsp:val=&quot;00FE68AF&quot;/&gt;&lt;wsp:rsid wsp:val=&quot;00FE69FF&quot;/&gt;&lt;wsp:rsid wsp:val=&quot;00FE6B81&quot;/&gt;&lt;wsp:rsid wsp:val=&quot;00FE6F08&quot;/&gt;&lt;wsp:rsid wsp:val=&quot;00FE73DA&quot;/&gt;&lt;wsp:rsid wsp:val=&quot;00FE7461&quot;/&gt;&lt;wsp:rsid wsp:val=&quot;00FE7AE3&quot;/&gt;&lt;wsp:rsid wsp:val=&quot;00FE7B60&quot;/&gt;&lt;wsp:rsid wsp:val=&quot;00FE7DA7&quot;/&gt;&lt;wsp:rsid wsp:val=&quot;00FF008D&quot;/&gt;&lt;wsp:rsid wsp:val=&quot;00FF035A&quot;/&gt;&lt;wsp:rsid wsp:val=&quot;00FF0673&quot;/&gt;&lt;wsp:rsid wsp:val=&quot;00FF0D10&quot;/&gt;&lt;wsp:rsid wsp:val=&quot;00FF0F50&quot;/&gt;&lt;wsp:rsid wsp:val=&quot;00FF1047&quot;/&gt;&lt;wsp:rsid wsp:val=&quot;00FF14A9&quot;/&gt;&lt;wsp:rsid wsp:val=&quot;00FF1544&quot;/&gt;&lt;wsp:rsid wsp:val=&quot;00FF17EF&quot;/&gt;&lt;wsp:rsid wsp:val=&quot;00FF1913&quot;/&gt;&lt;wsp:rsid wsp:val=&quot;00FF1B3F&quot;/&gt;&lt;wsp:rsid wsp:val=&quot;00FF2053&quot;/&gt;&lt;wsp:rsid wsp:val=&quot;00FF21AF&quot;/&gt;&lt;wsp:rsid wsp:val=&quot;00FF23D4&quot;/&gt;&lt;wsp:rsid wsp:val=&quot;00FF2490&quot;/&gt;&lt;wsp:rsid wsp:val=&quot;00FF24C2&quot;/&gt;&lt;wsp:rsid wsp:val=&quot;00FF2651&quot;/&gt;&lt;wsp:rsid wsp:val=&quot;00FF2697&quot;/&gt;&lt;wsp:rsid wsp:val=&quot;00FF26E2&quot;/&gt;&lt;wsp:rsid wsp:val=&quot;00FF2FA3&quot;/&gt;&lt;wsp:rsid wsp:val=&quot;00FF3527&quot;/&gt;&lt;wsp:rsid wsp:val=&quot;00FF3F2D&quot;/&gt;&lt;wsp:rsid wsp:val=&quot;00FF3FDC&quot;/&gt;&lt;wsp:rsid wsp:val=&quot;00FF418C&quot;/&gt;&lt;wsp:rsid wsp:val=&quot;00FF458A&quot;/&gt;&lt;wsp:rsid wsp:val=&quot;00FF4B3E&quot;/&gt;&lt;wsp:rsid wsp:val=&quot;00FF4BC9&quot;/&gt;&lt;wsp:rsid wsp:val=&quot;00FF4BCD&quot;/&gt;&lt;wsp:rsid wsp:val=&quot;00FF4CE9&quot;/&gt;&lt;wsp:rsid wsp:val=&quot;00FF4F95&quot;/&gt;&lt;wsp:rsid wsp:val=&quot;00FF5096&quot;/&gt;&lt;wsp:rsid wsp:val=&quot;00FF529E&quot;/&gt;&lt;wsp:rsid wsp:val=&quot;00FF549F&quot;/&gt;&lt;wsp:rsid wsp:val=&quot;00FF54B7&quot;/&gt;&lt;wsp:rsid wsp:val=&quot;00FF5666&quot;/&gt;&lt;wsp:rsid wsp:val=&quot;00FF56A5&quot;/&gt;&lt;wsp:rsid wsp:val=&quot;00FF5BF6&quot;/&gt;&lt;wsp:rsid wsp:val=&quot;00FF5C6D&quot;/&gt;&lt;wsp:rsid wsp:val=&quot;00FF5C6E&quot;/&gt;&lt;wsp:rsid wsp:val=&quot;00FF633F&quot;/&gt;&lt;wsp:rsid wsp:val=&quot;00FF66CC&quot;/&gt;&lt;wsp:rsid wsp:val=&quot;00FF67D3&quot;/&gt;&lt;wsp:rsid wsp:val=&quot;00FF6B0E&quot;/&gt;&lt;wsp:rsid wsp:val=&quot;00FF6B43&quot;/&gt;&lt;wsp:rsid wsp:val=&quot;00FF6F3F&quot;/&gt;&lt;wsp:rsid wsp:val=&quot;00FF7328&quot;/&gt;&lt;wsp:rsid wsp:val=&quot;00FF7600&quot;/&gt;&lt;wsp:rsid wsp:val=&quot;00FF77A7&quot;/&gt;&lt;wsp:rsid wsp:val=&quot;00FF7B0F&quot;/&gt;&lt;wsp:rsid wsp:val=&quot;00FF7D42&quot;/&gt;&lt;wsp:rsid wsp:val=&quot;00FF7F25&quot;/&gt;&lt;/wsp:rsids&gt;&lt;/w:docPr&gt;&lt;w:body&gt;&lt;w:p wsp:rsidR=&quot;00000000&quot; wsp:rsidRDefault=&quot;00E50732&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Р“&lt;/m:t&gt;&lt;/m:r&gt;&lt;/m:e&gt;&lt;m:sub&gt;&lt;m:r&gt;&lt;w:rPr&gt;&lt;w:rFonts w:ascii=&quot;Cambria Math&quot; w:fareast=&quot;Times New Roman&quot; w:h-ansi=&quot;Cambria Math&quot;/&gt;&lt;wx:font wx:val=&quot;Cambria Math&quot;/&gt;&lt;w:i/&gt;&lt;w:sz w:val=&quot;28&quot;/&gt;&lt;w:sz-cs w:val=&quot;28&quot;/&gt;&lt;/w:rPr&gt;&lt;m:t&gt;Рї&lt;/m:t&gt;&lt;/m:r&gt;&lt;/m:sub&gt;&lt;/m:sSub&gt;&lt;m:r&gt;&lt;w:rPr&gt;&lt;w:rFonts w:ascii=&quot;Cambria Math&quot; w:fareast=&quot;Times New Roman&quot; w:h-ansi=&quot;Cambria Math&quot;/&gt;&lt;wx:font wx:val=&quot;Cambria Math&quot;/&gt;&lt;w:i/&gt;&lt;w:sz w:val=&quot;28&quot;/&gt;&lt;w:sz-cs w:val=&quot;28&quot;/&gt;&lt;/w:rPr&gt;&lt;m:t&gt;=&lt;/m:t&gt;&lt;/m:r&gt;&lt;m:r&gt;&lt;w:rPr&gt;&lt;w:rFonts w:ascii=&quot;Cambria Math&quot; w:fareast=&quot;Times New Roman&quot; w:h-ansi=&quot;Cambria Math&quot;/&gt;&lt;wx:font wx:val=&quot;Cambria Math&quot;/&gt;&lt;w:i/&gt;&lt;w:sz w:val=&quot;28&quot;/&gt;&lt;w:sz-cs w:val=&quot;28&quot;/&gt;&lt;w:lang w:val=&quot;EN-US&quot;/&gt;&lt;/w:rPr&gt;&lt;m:t&gt;NГ—V&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8" o:title="" chromakey="white"/>
          </v:shape>
        </w:pict>
      </w:r>
    </w:p>
    <w:p w:rsidR="002D1E45" w:rsidRPr="004D071E" w:rsidRDefault="002D1E45" w:rsidP="004D071E">
      <w:pPr>
        <w:keepNext/>
        <w:widowControl w:val="0"/>
        <w:spacing w:after="0" w:line="240" w:lineRule="auto"/>
        <w:ind w:left="686"/>
        <w:rPr>
          <w:rFonts w:ascii="Times New Roman" w:hAnsi="Times New Roman"/>
          <w:sz w:val="28"/>
          <w:szCs w:val="28"/>
        </w:rPr>
      </w:pPr>
      <w:r w:rsidRPr="004D071E">
        <w:rPr>
          <w:rFonts w:ascii="Times New Roman" w:hAnsi="Times New Roman"/>
          <w:sz w:val="28"/>
          <w:szCs w:val="28"/>
        </w:rPr>
        <w:t>где:</w:t>
      </w:r>
    </w:p>
    <w:p w:rsidR="002D1E45" w:rsidRPr="004D071E" w:rsidRDefault="002D1E45" w:rsidP="004D071E">
      <w:pPr>
        <w:keepNext/>
        <w:widowControl w:val="0"/>
        <w:spacing w:after="0" w:line="240" w:lineRule="auto"/>
        <w:ind w:left="686"/>
        <w:rPr>
          <w:rFonts w:ascii="Times New Roman" w:hAnsi="Times New Roman"/>
          <w:sz w:val="28"/>
          <w:szCs w:val="28"/>
        </w:rPr>
      </w:pPr>
      <w:r w:rsidRPr="004D071E">
        <w:rPr>
          <w:rFonts w:ascii="Times New Roman" w:hAnsi="Times New Roman"/>
          <w:sz w:val="28"/>
          <w:szCs w:val="28"/>
        </w:rPr>
        <w:t>N – время от начала аварии, ч;</w:t>
      </w:r>
    </w:p>
    <w:p w:rsidR="002D1E45" w:rsidRPr="004D071E" w:rsidRDefault="002D1E45" w:rsidP="004D071E">
      <w:pPr>
        <w:keepNext/>
        <w:widowControl w:val="0"/>
        <w:spacing w:after="0" w:line="240" w:lineRule="auto"/>
        <w:ind w:left="686"/>
        <w:rPr>
          <w:rFonts w:ascii="Times New Roman" w:hAnsi="Times New Roman"/>
          <w:sz w:val="28"/>
          <w:szCs w:val="28"/>
        </w:rPr>
      </w:pPr>
      <w:r w:rsidRPr="004D071E">
        <w:rPr>
          <w:rFonts w:ascii="Times New Roman" w:hAnsi="Times New Roman"/>
          <w:sz w:val="28"/>
          <w:szCs w:val="28"/>
        </w:rPr>
        <w:t xml:space="preserve">V – скорость переноса переднего фронта заражённого воздуха при данных скорости ветра и степени вертикальной устойчивости воздуха, км/ч (табл. </w:t>
      </w:r>
      <w:r w:rsidRPr="004D071E">
        <w:rPr>
          <w:rFonts w:ascii="Times New Roman" w:hAnsi="Times New Roman"/>
          <w:sz w:val="28"/>
          <w:szCs w:val="28"/>
        </w:rPr>
        <w:fldChar w:fldCharType="begin"/>
      </w:r>
      <w:r w:rsidRPr="004D071E">
        <w:rPr>
          <w:rFonts w:ascii="Times New Roman" w:hAnsi="Times New Roman"/>
          <w:sz w:val="28"/>
          <w:szCs w:val="28"/>
        </w:rPr>
        <w:instrText xml:space="preserve"> REF TBl_Veter \h </w:instrText>
      </w:r>
      <w:r w:rsidRPr="004D071E">
        <w:rPr>
          <w:rFonts w:ascii="Times New Roman" w:hAnsi="Times New Roman"/>
          <w:sz w:val="28"/>
          <w:szCs w:val="28"/>
        </w:rPr>
      </w:r>
      <w:r w:rsidRPr="004D071E">
        <w:rPr>
          <w:rFonts w:ascii="Times New Roman" w:hAnsi="Times New Roman"/>
          <w:sz w:val="28"/>
          <w:szCs w:val="28"/>
        </w:rPr>
        <w:fldChar w:fldCharType="separate"/>
      </w:r>
      <w:r>
        <w:rPr>
          <w:rFonts w:ascii="Times New Roman" w:hAnsi="Times New Roman"/>
          <w:noProof/>
          <w:sz w:val="28"/>
          <w:szCs w:val="28"/>
          <w:lang w:eastAsia="ru-RU"/>
        </w:rPr>
        <w:t>35</w:t>
      </w:r>
      <w:r w:rsidRPr="004D071E">
        <w:rPr>
          <w:rFonts w:ascii="Times New Roman" w:hAnsi="Times New Roman"/>
          <w:sz w:val="28"/>
          <w:szCs w:val="28"/>
        </w:rPr>
        <w:fldChar w:fldCharType="end"/>
      </w:r>
      <w:r w:rsidRPr="004D071E">
        <w:rPr>
          <w:rFonts w:ascii="Times New Roman" w:hAnsi="Times New Roman"/>
          <w:sz w:val="28"/>
          <w:szCs w:val="28"/>
        </w:rPr>
        <w:t>).</w:t>
      </w:r>
    </w:p>
    <w:p w:rsidR="002D1E45" w:rsidRPr="004D071E" w:rsidRDefault="002D1E45" w:rsidP="004D071E">
      <w:pPr>
        <w:spacing w:after="0" w:line="240" w:lineRule="auto"/>
        <w:ind w:firstLine="709"/>
        <w:jc w:val="both"/>
        <w:rPr>
          <w:rFonts w:ascii="Times New Roman" w:hAnsi="Times New Roman"/>
          <w:sz w:val="28"/>
          <w:szCs w:val="28"/>
        </w:rPr>
      </w:pPr>
      <w:r w:rsidRPr="004D071E">
        <w:rPr>
          <w:rFonts w:ascii="Times New Roman" w:hAnsi="Times New Roman"/>
          <w:sz w:val="28"/>
          <w:szCs w:val="28"/>
        </w:rPr>
        <w:t xml:space="preserve">За </w:t>
      </w:r>
      <w:r w:rsidRPr="004D071E">
        <w:rPr>
          <w:rFonts w:ascii="Times New Roman" w:hAnsi="Times New Roman"/>
          <w:sz w:val="28"/>
          <w:szCs w:val="24"/>
          <w:lang w:eastAsia="ru-RU"/>
        </w:rPr>
        <w:t>окончательную</w:t>
      </w:r>
      <w:r w:rsidRPr="004D071E">
        <w:rPr>
          <w:rFonts w:ascii="Times New Roman" w:hAnsi="Times New Roman"/>
          <w:sz w:val="28"/>
          <w:szCs w:val="28"/>
        </w:rPr>
        <w:t xml:space="preserve"> расчётную глубину зоны заражения принимается меньшее из 2-х сравниваемых между собой</w:t>
      </w:r>
      <w:r w:rsidRPr="004D071E">
        <w:rPr>
          <w:rFonts w:ascii="Times New Roman" w:hAnsi="Times New Roman"/>
          <w:spacing w:val="-14"/>
          <w:sz w:val="28"/>
          <w:szCs w:val="28"/>
        </w:rPr>
        <w:t xml:space="preserve"> </w:t>
      </w:r>
      <w:r w:rsidRPr="004D071E">
        <w:rPr>
          <w:rFonts w:ascii="Times New Roman" w:hAnsi="Times New Roman"/>
          <w:sz w:val="28"/>
          <w:szCs w:val="28"/>
        </w:rPr>
        <w:t>значений.</w:t>
      </w:r>
    </w:p>
    <w:p w:rsidR="002D1E45" w:rsidRDefault="002D1E45" w:rsidP="004D071E">
      <w:pPr>
        <w:spacing w:after="0" w:line="240" w:lineRule="auto"/>
        <w:ind w:firstLine="567"/>
        <w:jc w:val="right"/>
        <w:rPr>
          <w:rFonts w:ascii="Times New Roman" w:hAnsi="Times New Roman"/>
          <w:sz w:val="28"/>
          <w:szCs w:val="28"/>
          <w:lang w:eastAsia="ru-RU"/>
        </w:rPr>
      </w:pPr>
    </w:p>
    <w:p w:rsidR="002D1E45" w:rsidRDefault="002D1E45" w:rsidP="004D071E">
      <w:pPr>
        <w:spacing w:after="0" w:line="240" w:lineRule="auto"/>
        <w:ind w:firstLine="567"/>
        <w:jc w:val="right"/>
        <w:rPr>
          <w:rFonts w:ascii="Times New Roman" w:hAnsi="Times New Roman"/>
          <w:sz w:val="28"/>
          <w:szCs w:val="28"/>
          <w:lang w:eastAsia="ru-RU"/>
        </w:rPr>
      </w:pPr>
    </w:p>
    <w:p w:rsidR="002D1E45" w:rsidRDefault="002D1E45" w:rsidP="004D071E">
      <w:pPr>
        <w:spacing w:after="0" w:line="240" w:lineRule="auto"/>
        <w:ind w:firstLine="567"/>
        <w:jc w:val="right"/>
        <w:rPr>
          <w:rFonts w:ascii="Times New Roman" w:hAnsi="Times New Roman"/>
          <w:sz w:val="28"/>
          <w:szCs w:val="28"/>
          <w:lang w:eastAsia="ru-RU"/>
        </w:rPr>
      </w:pPr>
    </w:p>
    <w:p w:rsidR="002D1E45" w:rsidRDefault="002D1E45" w:rsidP="004D071E">
      <w:pPr>
        <w:spacing w:after="0" w:line="240" w:lineRule="auto"/>
        <w:ind w:firstLine="567"/>
        <w:jc w:val="right"/>
        <w:rPr>
          <w:rFonts w:ascii="Times New Roman" w:hAnsi="Times New Roman"/>
          <w:sz w:val="28"/>
          <w:szCs w:val="28"/>
          <w:lang w:eastAsia="ru-RU"/>
        </w:rPr>
      </w:pPr>
    </w:p>
    <w:p w:rsidR="002D1E45" w:rsidRPr="004D071E" w:rsidRDefault="002D1E45" w:rsidP="004D071E">
      <w:pPr>
        <w:spacing w:after="0" w:line="240" w:lineRule="auto"/>
        <w:ind w:firstLine="567"/>
        <w:jc w:val="right"/>
        <w:rPr>
          <w:rFonts w:ascii="Times New Roman" w:hAnsi="Times New Roman"/>
          <w:sz w:val="28"/>
          <w:szCs w:val="28"/>
          <w:lang w:eastAsia="ru-RU"/>
        </w:rPr>
      </w:pPr>
      <w:r w:rsidRPr="004D071E">
        <w:rPr>
          <w:rFonts w:ascii="Times New Roman" w:hAnsi="Times New Roman"/>
          <w:sz w:val="28"/>
          <w:szCs w:val="28"/>
          <w:lang w:eastAsia="ru-RU"/>
        </w:rPr>
        <w:t xml:space="preserve">Таблица </w:t>
      </w:r>
      <w:bookmarkStart w:id="181" w:name="TBl_Veter"/>
      <w:r w:rsidRPr="004D071E">
        <w:rPr>
          <w:rFonts w:ascii="Times New Roman" w:hAnsi="Times New Roman"/>
          <w:sz w:val="28"/>
          <w:szCs w:val="28"/>
          <w:lang w:eastAsia="ru-RU"/>
        </w:rPr>
        <w:fldChar w:fldCharType="begin"/>
      </w:r>
      <w:r w:rsidRPr="004D071E">
        <w:rPr>
          <w:rFonts w:ascii="Times New Roman" w:hAnsi="Times New Roman"/>
          <w:sz w:val="28"/>
          <w:szCs w:val="28"/>
          <w:lang w:eastAsia="ru-RU"/>
        </w:rPr>
        <w:instrText xml:space="preserve"> SEQ Таблица \* ARABIC </w:instrText>
      </w:r>
      <w:r w:rsidRPr="004D071E">
        <w:rPr>
          <w:rFonts w:ascii="Times New Roman" w:hAnsi="Times New Roman"/>
          <w:sz w:val="28"/>
          <w:szCs w:val="28"/>
          <w:lang w:eastAsia="ru-RU"/>
        </w:rPr>
        <w:fldChar w:fldCharType="separate"/>
      </w:r>
      <w:r>
        <w:rPr>
          <w:rFonts w:ascii="Times New Roman" w:hAnsi="Times New Roman"/>
          <w:noProof/>
          <w:sz w:val="28"/>
          <w:szCs w:val="28"/>
          <w:lang w:eastAsia="ru-RU"/>
        </w:rPr>
        <w:t>35</w:t>
      </w:r>
      <w:r w:rsidRPr="004D071E">
        <w:rPr>
          <w:rFonts w:ascii="Times New Roman" w:hAnsi="Times New Roman"/>
          <w:sz w:val="28"/>
          <w:szCs w:val="28"/>
          <w:lang w:eastAsia="ru-RU"/>
        </w:rPr>
        <w:fldChar w:fldCharType="end"/>
      </w:r>
      <w:bookmarkEnd w:id="181"/>
    </w:p>
    <w:p w:rsidR="002D1E45" w:rsidRPr="004D071E" w:rsidRDefault="002D1E45" w:rsidP="004D071E">
      <w:pPr>
        <w:spacing w:after="120" w:line="240" w:lineRule="auto"/>
        <w:jc w:val="center"/>
        <w:rPr>
          <w:rFonts w:ascii="Times New Roman" w:hAnsi="Times New Roman"/>
          <w:sz w:val="28"/>
          <w:szCs w:val="28"/>
          <w:lang w:eastAsia="ru-RU"/>
        </w:rPr>
      </w:pPr>
      <w:r w:rsidRPr="004D071E">
        <w:rPr>
          <w:rFonts w:ascii="Times New Roman" w:hAnsi="Times New Roman"/>
          <w:sz w:val="28"/>
          <w:szCs w:val="28"/>
          <w:lang w:eastAsia="ru-RU"/>
        </w:rPr>
        <w:t>Скорость переноса переднего фронта облака заражённого воздуха в зависимости от скорости ветра</w:t>
      </w:r>
    </w:p>
    <w:tbl>
      <w:tblPr>
        <w:tblW w:w="962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61"/>
        <w:gridCol w:w="539"/>
        <w:gridCol w:w="544"/>
        <w:gridCol w:w="541"/>
        <w:gridCol w:w="541"/>
        <w:gridCol w:w="541"/>
        <w:gridCol w:w="544"/>
        <w:gridCol w:w="542"/>
        <w:gridCol w:w="541"/>
        <w:gridCol w:w="541"/>
        <w:gridCol w:w="541"/>
        <w:gridCol w:w="542"/>
        <w:gridCol w:w="544"/>
        <w:gridCol w:w="541"/>
        <w:gridCol w:w="541"/>
        <w:gridCol w:w="678"/>
        <w:gridCol w:w="7"/>
      </w:tblGrid>
      <w:tr w:rsidR="002D1E45" w:rsidRPr="004D071E" w:rsidTr="00433063">
        <w:trPr>
          <w:gridAfter w:val="1"/>
          <w:wAfter w:w="7" w:type="dxa"/>
          <w:trHeight w:val="295"/>
        </w:trPr>
        <w:tc>
          <w:tcPr>
            <w:tcW w:w="1361" w:type="dxa"/>
          </w:tcPr>
          <w:p w:rsidR="002D1E45" w:rsidRPr="004D071E" w:rsidRDefault="002D1E45" w:rsidP="004D071E">
            <w:pPr>
              <w:widowControl w:val="0"/>
              <w:spacing w:after="0" w:line="240" w:lineRule="auto"/>
              <w:ind w:left="120" w:right="106" w:firstLine="21"/>
              <w:jc w:val="center"/>
              <w:rPr>
                <w:rFonts w:ascii="Times New Roman" w:hAnsi="Times New Roman"/>
                <w:sz w:val="20"/>
                <w:szCs w:val="20"/>
              </w:rPr>
            </w:pPr>
            <w:r w:rsidRPr="004D071E">
              <w:rPr>
                <w:rFonts w:ascii="Times New Roman" w:hAnsi="Times New Roman"/>
                <w:sz w:val="20"/>
                <w:szCs w:val="20"/>
              </w:rPr>
              <w:t>Скорость ветра, м/с</w:t>
            </w:r>
          </w:p>
        </w:tc>
        <w:tc>
          <w:tcPr>
            <w:tcW w:w="539" w:type="dxa"/>
            <w:vAlign w:val="center"/>
          </w:tcPr>
          <w:p w:rsidR="002D1E45" w:rsidRPr="004D071E" w:rsidRDefault="002D1E45" w:rsidP="00433063">
            <w:pPr>
              <w:widowControl w:val="0"/>
              <w:spacing w:after="0" w:line="240" w:lineRule="auto"/>
              <w:ind w:right="2"/>
              <w:jc w:val="center"/>
              <w:rPr>
                <w:rFonts w:ascii="Times New Roman" w:hAnsi="Times New Roman"/>
                <w:sz w:val="20"/>
                <w:szCs w:val="20"/>
              </w:rPr>
            </w:pPr>
            <w:r w:rsidRPr="004D071E">
              <w:rPr>
                <w:rFonts w:ascii="Times New Roman" w:hAnsi="Times New Roman"/>
                <w:sz w:val="20"/>
                <w:szCs w:val="20"/>
              </w:rPr>
              <w:t>1</w:t>
            </w:r>
          </w:p>
        </w:tc>
        <w:tc>
          <w:tcPr>
            <w:tcW w:w="544" w:type="dxa"/>
            <w:vAlign w:val="center"/>
          </w:tcPr>
          <w:p w:rsidR="002D1E45" w:rsidRPr="004D071E" w:rsidRDefault="002D1E45" w:rsidP="00433063">
            <w:pPr>
              <w:widowControl w:val="0"/>
              <w:spacing w:after="0" w:line="240" w:lineRule="auto"/>
              <w:ind w:right="2"/>
              <w:jc w:val="center"/>
              <w:rPr>
                <w:rFonts w:ascii="Times New Roman" w:hAnsi="Times New Roman"/>
                <w:sz w:val="20"/>
                <w:szCs w:val="20"/>
              </w:rPr>
            </w:pPr>
            <w:r w:rsidRPr="004D071E">
              <w:rPr>
                <w:rFonts w:ascii="Times New Roman" w:hAnsi="Times New Roman"/>
                <w:sz w:val="20"/>
                <w:szCs w:val="20"/>
              </w:rPr>
              <w:t>2</w:t>
            </w:r>
          </w:p>
        </w:tc>
        <w:tc>
          <w:tcPr>
            <w:tcW w:w="541" w:type="dxa"/>
            <w:vAlign w:val="center"/>
          </w:tcPr>
          <w:p w:rsidR="002D1E45" w:rsidRPr="004D071E" w:rsidRDefault="002D1E45" w:rsidP="00433063">
            <w:pPr>
              <w:widowControl w:val="0"/>
              <w:spacing w:after="0" w:line="240" w:lineRule="auto"/>
              <w:ind w:right="2"/>
              <w:jc w:val="center"/>
              <w:rPr>
                <w:rFonts w:ascii="Times New Roman" w:hAnsi="Times New Roman"/>
                <w:sz w:val="20"/>
                <w:szCs w:val="20"/>
              </w:rPr>
            </w:pPr>
            <w:r w:rsidRPr="004D071E">
              <w:rPr>
                <w:rFonts w:ascii="Times New Roman" w:hAnsi="Times New Roman"/>
                <w:sz w:val="20"/>
                <w:szCs w:val="20"/>
              </w:rPr>
              <w:t>3</w:t>
            </w:r>
          </w:p>
        </w:tc>
        <w:tc>
          <w:tcPr>
            <w:tcW w:w="541" w:type="dxa"/>
            <w:vAlign w:val="center"/>
          </w:tcPr>
          <w:p w:rsidR="002D1E45" w:rsidRPr="004D071E" w:rsidRDefault="002D1E45" w:rsidP="00433063">
            <w:pPr>
              <w:widowControl w:val="0"/>
              <w:spacing w:after="0" w:line="240" w:lineRule="auto"/>
              <w:ind w:right="2"/>
              <w:jc w:val="center"/>
              <w:rPr>
                <w:rFonts w:ascii="Times New Roman" w:hAnsi="Times New Roman"/>
                <w:sz w:val="20"/>
                <w:szCs w:val="20"/>
              </w:rPr>
            </w:pPr>
            <w:r w:rsidRPr="004D071E">
              <w:rPr>
                <w:rFonts w:ascii="Times New Roman" w:hAnsi="Times New Roman"/>
                <w:sz w:val="20"/>
                <w:szCs w:val="20"/>
              </w:rPr>
              <w:t>4</w:t>
            </w:r>
          </w:p>
        </w:tc>
        <w:tc>
          <w:tcPr>
            <w:tcW w:w="541" w:type="dxa"/>
            <w:vAlign w:val="center"/>
          </w:tcPr>
          <w:p w:rsidR="002D1E45" w:rsidRPr="004D071E" w:rsidRDefault="002D1E45" w:rsidP="00433063">
            <w:pPr>
              <w:widowControl w:val="0"/>
              <w:spacing w:after="0" w:line="240" w:lineRule="auto"/>
              <w:ind w:right="2"/>
              <w:jc w:val="center"/>
              <w:rPr>
                <w:rFonts w:ascii="Times New Roman" w:hAnsi="Times New Roman"/>
                <w:sz w:val="20"/>
                <w:szCs w:val="20"/>
              </w:rPr>
            </w:pPr>
            <w:r w:rsidRPr="004D071E">
              <w:rPr>
                <w:rFonts w:ascii="Times New Roman" w:hAnsi="Times New Roman"/>
                <w:sz w:val="20"/>
                <w:szCs w:val="20"/>
              </w:rPr>
              <w:t>5</w:t>
            </w:r>
          </w:p>
        </w:tc>
        <w:tc>
          <w:tcPr>
            <w:tcW w:w="544" w:type="dxa"/>
            <w:vAlign w:val="center"/>
          </w:tcPr>
          <w:p w:rsidR="002D1E45" w:rsidRPr="004D071E" w:rsidRDefault="002D1E45" w:rsidP="00433063">
            <w:pPr>
              <w:widowControl w:val="0"/>
              <w:spacing w:after="0" w:line="240" w:lineRule="auto"/>
              <w:ind w:right="2"/>
              <w:jc w:val="center"/>
              <w:rPr>
                <w:rFonts w:ascii="Times New Roman" w:hAnsi="Times New Roman"/>
                <w:sz w:val="20"/>
                <w:szCs w:val="20"/>
              </w:rPr>
            </w:pPr>
            <w:r w:rsidRPr="004D071E">
              <w:rPr>
                <w:rFonts w:ascii="Times New Roman" w:hAnsi="Times New Roman"/>
                <w:sz w:val="20"/>
                <w:szCs w:val="20"/>
              </w:rPr>
              <w:t>6</w:t>
            </w:r>
          </w:p>
        </w:tc>
        <w:tc>
          <w:tcPr>
            <w:tcW w:w="542" w:type="dxa"/>
            <w:vAlign w:val="center"/>
          </w:tcPr>
          <w:p w:rsidR="002D1E45" w:rsidRPr="004D071E" w:rsidRDefault="002D1E45" w:rsidP="00433063">
            <w:pPr>
              <w:widowControl w:val="0"/>
              <w:spacing w:after="0" w:line="240" w:lineRule="auto"/>
              <w:ind w:right="2"/>
              <w:jc w:val="center"/>
              <w:rPr>
                <w:rFonts w:ascii="Times New Roman" w:hAnsi="Times New Roman"/>
                <w:sz w:val="20"/>
                <w:szCs w:val="20"/>
              </w:rPr>
            </w:pPr>
            <w:r w:rsidRPr="004D071E">
              <w:rPr>
                <w:rFonts w:ascii="Times New Roman" w:hAnsi="Times New Roman"/>
                <w:sz w:val="20"/>
                <w:szCs w:val="20"/>
              </w:rPr>
              <w:t>7</w:t>
            </w:r>
          </w:p>
        </w:tc>
        <w:tc>
          <w:tcPr>
            <w:tcW w:w="541" w:type="dxa"/>
            <w:vAlign w:val="center"/>
          </w:tcPr>
          <w:p w:rsidR="002D1E45" w:rsidRPr="004D071E" w:rsidRDefault="002D1E45" w:rsidP="00433063">
            <w:pPr>
              <w:widowControl w:val="0"/>
              <w:spacing w:after="0" w:line="240" w:lineRule="auto"/>
              <w:ind w:right="2"/>
              <w:jc w:val="center"/>
              <w:rPr>
                <w:rFonts w:ascii="Times New Roman" w:hAnsi="Times New Roman"/>
                <w:sz w:val="20"/>
                <w:szCs w:val="20"/>
              </w:rPr>
            </w:pPr>
            <w:r w:rsidRPr="004D071E">
              <w:rPr>
                <w:rFonts w:ascii="Times New Roman" w:hAnsi="Times New Roman"/>
                <w:sz w:val="20"/>
                <w:szCs w:val="20"/>
              </w:rPr>
              <w:t>8</w:t>
            </w:r>
          </w:p>
        </w:tc>
        <w:tc>
          <w:tcPr>
            <w:tcW w:w="541" w:type="dxa"/>
            <w:vAlign w:val="center"/>
          </w:tcPr>
          <w:p w:rsidR="002D1E45" w:rsidRPr="004D071E" w:rsidRDefault="002D1E45" w:rsidP="00433063">
            <w:pPr>
              <w:widowControl w:val="0"/>
              <w:spacing w:after="0" w:line="240" w:lineRule="auto"/>
              <w:ind w:right="2"/>
              <w:jc w:val="center"/>
              <w:rPr>
                <w:rFonts w:ascii="Times New Roman" w:hAnsi="Times New Roman"/>
                <w:sz w:val="20"/>
                <w:szCs w:val="20"/>
              </w:rPr>
            </w:pPr>
            <w:r w:rsidRPr="004D071E">
              <w:rPr>
                <w:rFonts w:ascii="Times New Roman" w:hAnsi="Times New Roman"/>
                <w:sz w:val="20"/>
                <w:szCs w:val="20"/>
              </w:rPr>
              <w:t>9</w:t>
            </w:r>
          </w:p>
        </w:tc>
        <w:tc>
          <w:tcPr>
            <w:tcW w:w="541" w:type="dxa"/>
            <w:vAlign w:val="center"/>
          </w:tcPr>
          <w:p w:rsidR="002D1E45" w:rsidRPr="004D071E" w:rsidRDefault="002D1E45" w:rsidP="00433063">
            <w:pPr>
              <w:widowControl w:val="0"/>
              <w:spacing w:after="0" w:line="240" w:lineRule="auto"/>
              <w:ind w:right="2"/>
              <w:jc w:val="center"/>
              <w:rPr>
                <w:rFonts w:ascii="Times New Roman" w:hAnsi="Times New Roman"/>
                <w:sz w:val="20"/>
                <w:szCs w:val="20"/>
              </w:rPr>
            </w:pPr>
            <w:r w:rsidRPr="004D071E">
              <w:rPr>
                <w:rFonts w:ascii="Times New Roman" w:hAnsi="Times New Roman"/>
                <w:sz w:val="20"/>
                <w:szCs w:val="20"/>
              </w:rPr>
              <w:t>10</w:t>
            </w:r>
          </w:p>
        </w:tc>
        <w:tc>
          <w:tcPr>
            <w:tcW w:w="542" w:type="dxa"/>
            <w:vAlign w:val="center"/>
          </w:tcPr>
          <w:p w:rsidR="002D1E45" w:rsidRPr="004D071E" w:rsidRDefault="002D1E45" w:rsidP="00433063">
            <w:pPr>
              <w:widowControl w:val="0"/>
              <w:spacing w:after="0" w:line="240" w:lineRule="auto"/>
              <w:ind w:right="2"/>
              <w:jc w:val="center"/>
              <w:rPr>
                <w:rFonts w:ascii="Times New Roman" w:hAnsi="Times New Roman"/>
                <w:sz w:val="20"/>
                <w:szCs w:val="20"/>
              </w:rPr>
            </w:pPr>
            <w:r w:rsidRPr="004D071E">
              <w:rPr>
                <w:rFonts w:ascii="Times New Roman" w:hAnsi="Times New Roman"/>
                <w:sz w:val="20"/>
                <w:szCs w:val="20"/>
              </w:rPr>
              <w:t>11</w:t>
            </w:r>
          </w:p>
        </w:tc>
        <w:tc>
          <w:tcPr>
            <w:tcW w:w="544" w:type="dxa"/>
            <w:vAlign w:val="center"/>
          </w:tcPr>
          <w:p w:rsidR="002D1E45" w:rsidRPr="004D071E" w:rsidRDefault="002D1E45" w:rsidP="00433063">
            <w:pPr>
              <w:widowControl w:val="0"/>
              <w:spacing w:after="0" w:line="240" w:lineRule="auto"/>
              <w:ind w:right="2"/>
              <w:jc w:val="center"/>
              <w:rPr>
                <w:rFonts w:ascii="Times New Roman" w:hAnsi="Times New Roman"/>
                <w:sz w:val="20"/>
                <w:szCs w:val="20"/>
              </w:rPr>
            </w:pPr>
            <w:r w:rsidRPr="004D071E">
              <w:rPr>
                <w:rFonts w:ascii="Times New Roman" w:hAnsi="Times New Roman"/>
                <w:sz w:val="20"/>
                <w:szCs w:val="20"/>
              </w:rPr>
              <w:t>12</w:t>
            </w:r>
          </w:p>
        </w:tc>
        <w:tc>
          <w:tcPr>
            <w:tcW w:w="541" w:type="dxa"/>
            <w:vAlign w:val="center"/>
          </w:tcPr>
          <w:p w:rsidR="002D1E45" w:rsidRPr="004D071E" w:rsidRDefault="002D1E45" w:rsidP="00433063">
            <w:pPr>
              <w:widowControl w:val="0"/>
              <w:spacing w:after="0" w:line="240" w:lineRule="auto"/>
              <w:ind w:right="2"/>
              <w:jc w:val="center"/>
              <w:rPr>
                <w:rFonts w:ascii="Times New Roman" w:hAnsi="Times New Roman"/>
                <w:sz w:val="20"/>
                <w:szCs w:val="20"/>
              </w:rPr>
            </w:pPr>
            <w:r w:rsidRPr="004D071E">
              <w:rPr>
                <w:rFonts w:ascii="Times New Roman" w:hAnsi="Times New Roman"/>
                <w:sz w:val="20"/>
                <w:szCs w:val="20"/>
              </w:rPr>
              <w:t>13</w:t>
            </w:r>
          </w:p>
        </w:tc>
        <w:tc>
          <w:tcPr>
            <w:tcW w:w="541" w:type="dxa"/>
            <w:vAlign w:val="center"/>
          </w:tcPr>
          <w:p w:rsidR="002D1E45" w:rsidRPr="004D071E" w:rsidRDefault="002D1E45" w:rsidP="00433063">
            <w:pPr>
              <w:widowControl w:val="0"/>
              <w:spacing w:after="0" w:line="240" w:lineRule="auto"/>
              <w:ind w:right="2"/>
              <w:jc w:val="center"/>
              <w:rPr>
                <w:rFonts w:ascii="Times New Roman" w:hAnsi="Times New Roman"/>
                <w:sz w:val="20"/>
                <w:szCs w:val="20"/>
              </w:rPr>
            </w:pPr>
            <w:r w:rsidRPr="004D071E">
              <w:rPr>
                <w:rFonts w:ascii="Times New Roman" w:hAnsi="Times New Roman"/>
                <w:sz w:val="20"/>
                <w:szCs w:val="20"/>
              </w:rPr>
              <w:t>14</w:t>
            </w:r>
          </w:p>
        </w:tc>
        <w:tc>
          <w:tcPr>
            <w:tcW w:w="678" w:type="dxa"/>
            <w:vAlign w:val="center"/>
          </w:tcPr>
          <w:p w:rsidR="002D1E45" w:rsidRPr="004D071E" w:rsidRDefault="002D1E45" w:rsidP="00433063">
            <w:pPr>
              <w:widowControl w:val="0"/>
              <w:spacing w:after="0" w:line="240" w:lineRule="auto"/>
              <w:ind w:right="2"/>
              <w:jc w:val="center"/>
              <w:rPr>
                <w:rFonts w:ascii="Times New Roman" w:hAnsi="Times New Roman"/>
                <w:sz w:val="20"/>
                <w:szCs w:val="20"/>
              </w:rPr>
            </w:pPr>
            <w:r w:rsidRPr="004D071E">
              <w:rPr>
                <w:rFonts w:ascii="Times New Roman" w:hAnsi="Times New Roman"/>
                <w:sz w:val="20"/>
                <w:szCs w:val="20"/>
              </w:rPr>
              <w:t>15</w:t>
            </w:r>
          </w:p>
        </w:tc>
      </w:tr>
      <w:tr w:rsidR="002D1E45" w:rsidRPr="004D071E" w:rsidTr="00433063">
        <w:trPr>
          <w:trHeight w:val="295"/>
        </w:trPr>
        <w:tc>
          <w:tcPr>
            <w:tcW w:w="1361" w:type="dxa"/>
            <w:vMerge w:val="restart"/>
            <w:vAlign w:val="center"/>
          </w:tcPr>
          <w:p w:rsidR="002D1E45" w:rsidRPr="004D071E" w:rsidRDefault="002D1E45" w:rsidP="004D071E">
            <w:pPr>
              <w:widowControl w:val="0"/>
              <w:spacing w:after="0" w:line="240" w:lineRule="auto"/>
              <w:ind w:left="57" w:right="57"/>
              <w:jc w:val="center"/>
              <w:rPr>
                <w:rFonts w:ascii="Times New Roman" w:hAnsi="Times New Roman"/>
                <w:sz w:val="20"/>
                <w:szCs w:val="20"/>
              </w:rPr>
            </w:pPr>
            <w:r w:rsidRPr="004D071E">
              <w:rPr>
                <w:rFonts w:ascii="Times New Roman" w:hAnsi="Times New Roman"/>
                <w:sz w:val="20"/>
                <w:szCs w:val="20"/>
              </w:rPr>
              <w:t>Скорость переноса, км/ч</w:t>
            </w:r>
          </w:p>
        </w:tc>
        <w:tc>
          <w:tcPr>
            <w:tcW w:w="8268" w:type="dxa"/>
            <w:gridSpan w:val="16"/>
            <w:vAlign w:val="center"/>
          </w:tcPr>
          <w:p w:rsidR="002D1E45" w:rsidRPr="004D071E" w:rsidRDefault="002D1E45" w:rsidP="00433063">
            <w:pPr>
              <w:widowControl w:val="0"/>
              <w:spacing w:after="0" w:line="240" w:lineRule="auto"/>
              <w:ind w:left="57" w:right="57"/>
              <w:jc w:val="center"/>
              <w:rPr>
                <w:rFonts w:ascii="Times New Roman" w:hAnsi="Times New Roman"/>
                <w:sz w:val="20"/>
                <w:szCs w:val="20"/>
              </w:rPr>
            </w:pPr>
            <w:r w:rsidRPr="004D071E">
              <w:rPr>
                <w:rFonts w:ascii="Times New Roman" w:hAnsi="Times New Roman"/>
                <w:sz w:val="20"/>
                <w:szCs w:val="20"/>
              </w:rPr>
              <w:t>Инверсия</w:t>
            </w:r>
          </w:p>
        </w:tc>
      </w:tr>
      <w:tr w:rsidR="002D1E45" w:rsidRPr="004D071E" w:rsidTr="00433063">
        <w:trPr>
          <w:gridAfter w:val="1"/>
          <w:wAfter w:w="7" w:type="dxa"/>
          <w:trHeight w:val="295"/>
        </w:trPr>
        <w:tc>
          <w:tcPr>
            <w:tcW w:w="1361" w:type="dxa"/>
            <w:vMerge/>
          </w:tcPr>
          <w:p w:rsidR="002D1E45" w:rsidRPr="004D071E" w:rsidRDefault="002D1E45" w:rsidP="004D071E">
            <w:pPr>
              <w:widowControl w:val="0"/>
              <w:spacing w:after="0" w:line="240" w:lineRule="auto"/>
              <w:ind w:left="57" w:right="57"/>
              <w:jc w:val="center"/>
              <w:rPr>
                <w:rFonts w:ascii="Times New Roman" w:hAnsi="Times New Roman"/>
                <w:sz w:val="20"/>
                <w:szCs w:val="20"/>
              </w:rPr>
            </w:pPr>
          </w:p>
        </w:tc>
        <w:tc>
          <w:tcPr>
            <w:tcW w:w="539" w:type="dxa"/>
            <w:vAlign w:val="center"/>
          </w:tcPr>
          <w:p w:rsidR="002D1E45" w:rsidRPr="004D071E" w:rsidRDefault="002D1E45" w:rsidP="00433063">
            <w:pPr>
              <w:widowControl w:val="0"/>
              <w:spacing w:after="0" w:line="240" w:lineRule="auto"/>
              <w:ind w:left="57" w:right="57"/>
              <w:jc w:val="center"/>
              <w:rPr>
                <w:rFonts w:ascii="Times New Roman" w:hAnsi="Times New Roman"/>
                <w:sz w:val="20"/>
                <w:szCs w:val="20"/>
              </w:rPr>
            </w:pPr>
            <w:r w:rsidRPr="004D071E">
              <w:rPr>
                <w:rFonts w:ascii="Times New Roman" w:hAnsi="Times New Roman"/>
                <w:sz w:val="20"/>
                <w:szCs w:val="20"/>
              </w:rPr>
              <w:t>5</w:t>
            </w:r>
          </w:p>
        </w:tc>
        <w:tc>
          <w:tcPr>
            <w:tcW w:w="544" w:type="dxa"/>
            <w:vAlign w:val="center"/>
          </w:tcPr>
          <w:p w:rsidR="002D1E45" w:rsidRPr="004D071E" w:rsidRDefault="002D1E45" w:rsidP="00433063">
            <w:pPr>
              <w:widowControl w:val="0"/>
              <w:spacing w:after="0" w:line="240" w:lineRule="auto"/>
              <w:ind w:left="57" w:right="57"/>
              <w:jc w:val="center"/>
              <w:rPr>
                <w:rFonts w:ascii="Times New Roman" w:hAnsi="Times New Roman"/>
                <w:sz w:val="20"/>
                <w:szCs w:val="20"/>
              </w:rPr>
            </w:pPr>
            <w:r w:rsidRPr="004D071E">
              <w:rPr>
                <w:rFonts w:ascii="Times New Roman" w:hAnsi="Times New Roman"/>
                <w:sz w:val="20"/>
                <w:szCs w:val="20"/>
              </w:rPr>
              <w:t>10</w:t>
            </w:r>
          </w:p>
        </w:tc>
        <w:tc>
          <w:tcPr>
            <w:tcW w:w="541" w:type="dxa"/>
            <w:vAlign w:val="center"/>
          </w:tcPr>
          <w:p w:rsidR="002D1E45" w:rsidRPr="004D071E" w:rsidRDefault="002D1E45" w:rsidP="00433063">
            <w:pPr>
              <w:widowControl w:val="0"/>
              <w:spacing w:after="0" w:line="240" w:lineRule="auto"/>
              <w:ind w:left="57" w:right="57"/>
              <w:jc w:val="center"/>
              <w:rPr>
                <w:rFonts w:ascii="Times New Roman" w:hAnsi="Times New Roman"/>
                <w:sz w:val="20"/>
                <w:szCs w:val="20"/>
              </w:rPr>
            </w:pPr>
            <w:r w:rsidRPr="004D071E">
              <w:rPr>
                <w:rFonts w:ascii="Times New Roman" w:hAnsi="Times New Roman"/>
                <w:sz w:val="20"/>
                <w:szCs w:val="20"/>
              </w:rPr>
              <w:t>16</w:t>
            </w:r>
          </w:p>
        </w:tc>
        <w:tc>
          <w:tcPr>
            <w:tcW w:w="541" w:type="dxa"/>
            <w:vAlign w:val="center"/>
          </w:tcPr>
          <w:p w:rsidR="002D1E45" w:rsidRPr="004D071E" w:rsidRDefault="002D1E45" w:rsidP="00433063">
            <w:pPr>
              <w:widowControl w:val="0"/>
              <w:spacing w:after="0" w:line="240" w:lineRule="auto"/>
              <w:ind w:left="57" w:right="57"/>
              <w:jc w:val="center"/>
              <w:rPr>
                <w:rFonts w:ascii="Times New Roman" w:hAnsi="Times New Roman"/>
                <w:sz w:val="20"/>
                <w:szCs w:val="20"/>
              </w:rPr>
            </w:pPr>
            <w:r w:rsidRPr="004D071E">
              <w:rPr>
                <w:rFonts w:ascii="Times New Roman" w:hAnsi="Times New Roman"/>
                <w:sz w:val="20"/>
                <w:szCs w:val="20"/>
              </w:rPr>
              <w:t>21</w:t>
            </w:r>
          </w:p>
        </w:tc>
        <w:tc>
          <w:tcPr>
            <w:tcW w:w="541" w:type="dxa"/>
            <w:vAlign w:val="center"/>
          </w:tcPr>
          <w:p w:rsidR="002D1E45" w:rsidRPr="004D071E" w:rsidRDefault="002D1E45" w:rsidP="00433063">
            <w:pPr>
              <w:widowControl w:val="0"/>
              <w:spacing w:after="0" w:line="240" w:lineRule="auto"/>
              <w:ind w:left="57" w:right="57"/>
              <w:jc w:val="center"/>
              <w:rPr>
                <w:rFonts w:ascii="Times New Roman" w:hAnsi="Times New Roman"/>
                <w:sz w:val="20"/>
                <w:szCs w:val="20"/>
              </w:rPr>
            </w:pPr>
            <w:r w:rsidRPr="004D071E">
              <w:rPr>
                <w:rFonts w:ascii="Times New Roman" w:hAnsi="Times New Roman"/>
                <w:w w:val="99"/>
                <w:sz w:val="20"/>
                <w:szCs w:val="20"/>
              </w:rPr>
              <w:t>–</w:t>
            </w:r>
          </w:p>
        </w:tc>
        <w:tc>
          <w:tcPr>
            <w:tcW w:w="544" w:type="dxa"/>
            <w:vAlign w:val="center"/>
          </w:tcPr>
          <w:p w:rsidR="002D1E45" w:rsidRPr="004D071E" w:rsidRDefault="002D1E45" w:rsidP="00433063">
            <w:pPr>
              <w:widowControl w:val="0"/>
              <w:spacing w:after="0" w:line="240" w:lineRule="auto"/>
              <w:ind w:left="57" w:right="57"/>
              <w:jc w:val="center"/>
              <w:rPr>
                <w:rFonts w:ascii="Times New Roman" w:hAnsi="Times New Roman"/>
                <w:sz w:val="20"/>
                <w:szCs w:val="20"/>
              </w:rPr>
            </w:pPr>
            <w:r w:rsidRPr="004D071E">
              <w:rPr>
                <w:rFonts w:ascii="Times New Roman" w:hAnsi="Times New Roman"/>
                <w:w w:val="99"/>
                <w:sz w:val="20"/>
                <w:szCs w:val="20"/>
              </w:rPr>
              <w:t>–</w:t>
            </w:r>
          </w:p>
        </w:tc>
        <w:tc>
          <w:tcPr>
            <w:tcW w:w="542" w:type="dxa"/>
            <w:vAlign w:val="center"/>
          </w:tcPr>
          <w:p w:rsidR="002D1E45" w:rsidRPr="004D071E" w:rsidRDefault="002D1E45" w:rsidP="00433063">
            <w:pPr>
              <w:widowControl w:val="0"/>
              <w:spacing w:after="0" w:line="240" w:lineRule="auto"/>
              <w:ind w:left="57" w:right="57"/>
              <w:jc w:val="center"/>
              <w:rPr>
                <w:rFonts w:ascii="Times New Roman" w:hAnsi="Times New Roman"/>
                <w:sz w:val="20"/>
                <w:szCs w:val="20"/>
              </w:rPr>
            </w:pPr>
            <w:r w:rsidRPr="004D071E">
              <w:rPr>
                <w:rFonts w:ascii="Times New Roman" w:hAnsi="Times New Roman"/>
                <w:w w:val="99"/>
                <w:sz w:val="20"/>
                <w:szCs w:val="20"/>
              </w:rPr>
              <w:t>–</w:t>
            </w:r>
          </w:p>
        </w:tc>
        <w:tc>
          <w:tcPr>
            <w:tcW w:w="541" w:type="dxa"/>
            <w:vAlign w:val="center"/>
          </w:tcPr>
          <w:p w:rsidR="002D1E45" w:rsidRPr="004D071E" w:rsidRDefault="002D1E45" w:rsidP="00433063">
            <w:pPr>
              <w:widowControl w:val="0"/>
              <w:spacing w:after="0" w:line="240" w:lineRule="auto"/>
              <w:ind w:left="57" w:right="57"/>
              <w:jc w:val="center"/>
              <w:rPr>
                <w:rFonts w:ascii="Times New Roman" w:hAnsi="Times New Roman"/>
                <w:sz w:val="20"/>
                <w:szCs w:val="20"/>
              </w:rPr>
            </w:pPr>
            <w:r w:rsidRPr="004D071E">
              <w:rPr>
                <w:rFonts w:ascii="Times New Roman" w:hAnsi="Times New Roman"/>
                <w:w w:val="99"/>
                <w:sz w:val="20"/>
                <w:szCs w:val="20"/>
              </w:rPr>
              <w:t>–</w:t>
            </w:r>
          </w:p>
        </w:tc>
        <w:tc>
          <w:tcPr>
            <w:tcW w:w="541" w:type="dxa"/>
            <w:vAlign w:val="center"/>
          </w:tcPr>
          <w:p w:rsidR="002D1E45" w:rsidRPr="004D071E" w:rsidRDefault="002D1E45" w:rsidP="00433063">
            <w:pPr>
              <w:widowControl w:val="0"/>
              <w:spacing w:after="0" w:line="240" w:lineRule="auto"/>
              <w:ind w:left="57" w:right="57"/>
              <w:jc w:val="center"/>
              <w:rPr>
                <w:rFonts w:ascii="Times New Roman" w:hAnsi="Times New Roman"/>
                <w:sz w:val="20"/>
                <w:szCs w:val="20"/>
              </w:rPr>
            </w:pPr>
            <w:r w:rsidRPr="004D071E">
              <w:rPr>
                <w:rFonts w:ascii="Times New Roman" w:hAnsi="Times New Roman"/>
                <w:w w:val="99"/>
                <w:sz w:val="20"/>
                <w:szCs w:val="20"/>
              </w:rPr>
              <w:t>–</w:t>
            </w:r>
          </w:p>
        </w:tc>
        <w:tc>
          <w:tcPr>
            <w:tcW w:w="541" w:type="dxa"/>
            <w:vAlign w:val="center"/>
          </w:tcPr>
          <w:p w:rsidR="002D1E45" w:rsidRPr="004D071E" w:rsidRDefault="002D1E45" w:rsidP="00433063">
            <w:pPr>
              <w:widowControl w:val="0"/>
              <w:spacing w:after="0" w:line="240" w:lineRule="auto"/>
              <w:ind w:left="57" w:right="57"/>
              <w:jc w:val="center"/>
              <w:rPr>
                <w:rFonts w:ascii="Times New Roman" w:hAnsi="Times New Roman"/>
                <w:sz w:val="20"/>
                <w:szCs w:val="20"/>
              </w:rPr>
            </w:pPr>
            <w:r w:rsidRPr="004D071E">
              <w:rPr>
                <w:rFonts w:ascii="Times New Roman" w:hAnsi="Times New Roman"/>
                <w:w w:val="99"/>
                <w:sz w:val="20"/>
                <w:szCs w:val="20"/>
              </w:rPr>
              <w:t>–</w:t>
            </w:r>
          </w:p>
        </w:tc>
        <w:tc>
          <w:tcPr>
            <w:tcW w:w="542" w:type="dxa"/>
            <w:vAlign w:val="center"/>
          </w:tcPr>
          <w:p w:rsidR="002D1E45" w:rsidRPr="004D071E" w:rsidRDefault="002D1E45" w:rsidP="00433063">
            <w:pPr>
              <w:widowControl w:val="0"/>
              <w:spacing w:after="0" w:line="240" w:lineRule="auto"/>
              <w:ind w:left="57" w:right="57"/>
              <w:jc w:val="center"/>
              <w:rPr>
                <w:rFonts w:ascii="Times New Roman" w:hAnsi="Times New Roman"/>
                <w:sz w:val="20"/>
                <w:szCs w:val="20"/>
              </w:rPr>
            </w:pPr>
            <w:r w:rsidRPr="004D071E">
              <w:rPr>
                <w:rFonts w:ascii="Times New Roman" w:hAnsi="Times New Roman"/>
                <w:w w:val="99"/>
                <w:sz w:val="20"/>
                <w:szCs w:val="20"/>
              </w:rPr>
              <w:t>–</w:t>
            </w:r>
          </w:p>
        </w:tc>
        <w:tc>
          <w:tcPr>
            <w:tcW w:w="544" w:type="dxa"/>
            <w:vAlign w:val="center"/>
          </w:tcPr>
          <w:p w:rsidR="002D1E45" w:rsidRPr="004D071E" w:rsidRDefault="002D1E45" w:rsidP="00433063">
            <w:pPr>
              <w:widowControl w:val="0"/>
              <w:spacing w:after="0" w:line="240" w:lineRule="auto"/>
              <w:ind w:left="57" w:right="57"/>
              <w:jc w:val="center"/>
              <w:rPr>
                <w:rFonts w:ascii="Times New Roman" w:hAnsi="Times New Roman"/>
                <w:sz w:val="20"/>
                <w:szCs w:val="20"/>
              </w:rPr>
            </w:pPr>
            <w:r w:rsidRPr="004D071E">
              <w:rPr>
                <w:rFonts w:ascii="Times New Roman" w:hAnsi="Times New Roman"/>
                <w:w w:val="99"/>
                <w:sz w:val="20"/>
                <w:szCs w:val="20"/>
              </w:rPr>
              <w:t>–</w:t>
            </w:r>
          </w:p>
        </w:tc>
        <w:tc>
          <w:tcPr>
            <w:tcW w:w="541" w:type="dxa"/>
            <w:vAlign w:val="center"/>
          </w:tcPr>
          <w:p w:rsidR="002D1E45" w:rsidRPr="004D071E" w:rsidRDefault="002D1E45" w:rsidP="00433063">
            <w:pPr>
              <w:widowControl w:val="0"/>
              <w:spacing w:after="0" w:line="240" w:lineRule="auto"/>
              <w:ind w:left="57" w:right="57"/>
              <w:jc w:val="center"/>
              <w:rPr>
                <w:rFonts w:ascii="Times New Roman" w:hAnsi="Times New Roman"/>
                <w:sz w:val="20"/>
                <w:szCs w:val="20"/>
              </w:rPr>
            </w:pPr>
            <w:r w:rsidRPr="004D071E">
              <w:rPr>
                <w:rFonts w:ascii="Times New Roman" w:hAnsi="Times New Roman"/>
                <w:w w:val="99"/>
                <w:sz w:val="20"/>
                <w:szCs w:val="20"/>
              </w:rPr>
              <w:t>–</w:t>
            </w:r>
          </w:p>
        </w:tc>
        <w:tc>
          <w:tcPr>
            <w:tcW w:w="541" w:type="dxa"/>
            <w:vAlign w:val="center"/>
          </w:tcPr>
          <w:p w:rsidR="002D1E45" w:rsidRPr="004D071E" w:rsidRDefault="002D1E45" w:rsidP="00433063">
            <w:pPr>
              <w:widowControl w:val="0"/>
              <w:spacing w:after="0" w:line="240" w:lineRule="auto"/>
              <w:ind w:left="57" w:right="57"/>
              <w:jc w:val="center"/>
              <w:rPr>
                <w:rFonts w:ascii="Times New Roman" w:hAnsi="Times New Roman"/>
                <w:sz w:val="20"/>
                <w:szCs w:val="20"/>
              </w:rPr>
            </w:pPr>
            <w:r w:rsidRPr="004D071E">
              <w:rPr>
                <w:rFonts w:ascii="Times New Roman" w:hAnsi="Times New Roman"/>
                <w:w w:val="99"/>
                <w:sz w:val="20"/>
                <w:szCs w:val="20"/>
              </w:rPr>
              <w:t>–</w:t>
            </w:r>
          </w:p>
        </w:tc>
        <w:tc>
          <w:tcPr>
            <w:tcW w:w="678" w:type="dxa"/>
            <w:vAlign w:val="center"/>
          </w:tcPr>
          <w:p w:rsidR="002D1E45" w:rsidRPr="004D071E" w:rsidRDefault="002D1E45" w:rsidP="00433063">
            <w:pPr>
              <w:widowControl w:val="0"/>
              <w:spacing w:after="0" w:line="240" w:lineRule="auto"/>
              <w:ind w:left="57" w:right="57"/>
              <w:jc w:val="center"/>
              <w:rPr>
                <w:rFonts w:ascii="Times New Roman" w:hAnsi="Times New Roman"/>
                <w:sz w:val="20"/>
                <w:szCs w:val="20"/>
              </w:rPr>
            </w:pPr>
            <w:r w:rsidRPr="004D071E">
              <w:rPr>
                <w:rFonts w:ascii="Times New Roman" w:hAnsi="Times New Roman"/>
                <w:w w:val="99"/>
                <w:sz w:val="20"/>
                <w:szCs w:val="20"/>
              </w:rPr>
              <w:t>–</w:t>
            </w:r>
          </w:p>
        </w:tc>
      </w:tr>
      <w:tr w:rsidR="002D1E45" w:rsidRPr="004D071E" w:rsidTr="00433063">
        <w:trPr>
          <w:trHeight w:val="295"/>
        </w:trPr>
        <w:tc>
          <w:tcPr>
            <w:tcW w:w="1361" w:type="dxa"/>
            <w:vMerge/>
          </w:tcPr>
          <w:p w:rsidR="002D1E45" w:rsidRPr="004D071E" w:rsidRDefault="002D1E45" w:rsidP="004D071E">
            <w:pPr>
              <w:widowControl w:val="0"/>
              <w:spacing w:after="0" w:line="240" w:lineRule="auto"/>
              <w:ind w:left="57" w:right="57"/>
              <w:jc w:val="center"/>
              <w:rPr>
                <w:rFonts w:ascii="Times New Roman" w:hAnsi="Times New Roman"/>
                <w:sz w:val="20"/>
                <w:szCs w:val="20"/>
              </w:rPr>
            </w:pPr>
          </w:p>
        </w:tc>
        <w:tc>
          <w:tcPr>
            <w:tcW w:w="8268" w:type="dxa"/>
            <w:gridSpan w:val="16"/>
            <w:vAlign w:val="center"/>
          </w:tcPr>
          <w:p w:rsidR="002D1E45" w:rsidRPr="004D071E" w:rsidRDefault="002D1E45" w:rsidP="00433063">
            <w:pPr>
              <w:widowControl w:val="0"/>
              <w:spacing w:after="0" w:line="240" w:lineRule="auto"/>
              <w:ind w:left="57" w:right="57"/>
              <w:jc w:val="center"/>
              <w:rPr>
                <w:rFonts w:ascii="Times New Roman" w:hAnsi="Times New Roman"/>
                <w:sz w:val="20"/>
                <w:szCs w:val="20"/>
              </w:rPr>
            </w:pPr>
            <w:r w:rsidRPr="004D071E">
              <w:rPr>
                <w:rFonts w:ascii="Times New Roman" w:hAnsi="Times New Roman"/>
                <w:sz w:val="20"/>
                <w:szCs w:val="20"/>
              </w:rPr>
              <w:t>Изотермия</w:t>
            </w:r>
          </w:p>
        </w:tc>
      </w:tr>
      <w:tr w:rsidR="002D1E45" w:rsidRPr="004D071E" w:rsidTr="00433063">
        <w:trPr>
          <w:gridAfter w:val="1"/>
          <w:wAfter w:w="7" w:type="dxa"/>
          <w:trHeight w:val="295"/>
        </w:trPr>
        <w:tc>
          <w:tcPr>
            <w:tcW w:w="1361" w:type="dxa"/>
            <w:vMerge/>
          </w:tcPr>
          <w:p w:rsidR="002D1E45" w:rsidRPr="004D071E" w:rsidRDefault="002D1E45" w:rsidP="004D071E">
            <w:pPr>
              <w:widowControl w:val="0"/>
              <w:spacing w:after="0" w:line="240" w:lineRule="auto"/>
              <w:ind w:left="57" w:right="57"/>
              <w:jc w:val="center"/>
              <w:rPr>
                <w:rFonts w:ascii="Times New Roman" w:hAnsi="Times New Roman"/>
                <w:sz w:val="20"/>
                <w:szCs w:val="20"/>
              </w:rPr>
            </w:pPr>
          </w:p>
        </w:tc>
        <w:tc>
          <w:tcPr>
            <w:tcW w:w="539" w:type="dxa"/>
            <w:vAlign w:val="center"/>
          </w:tcPr>
          <w:p w:rsidR="002D1E45" w:rsidRPr="004D071E" w:rsidRDefault="002D1E45" w:rsidP="00433063">
            <w:pPr>
              <w:widowControl w:val="0"/>
              <w:spacing w:after="0" w:line="240" w:lineRule="auto"/>
              <w:ind w:left="57" w:right="57"/>
              <w:jc w:val="center"/>
              <w:rPr>
                <w:rFonts w:ascii="Times New Roman" w:hAnsi="Times New Roman"/>
                <w:sz w:val="20"/>
                <w:szCs w:val="20"/>
              </w:rPr>
            </w:pPr>
            <w:r w:rsidRPr="004D071E">
              <w:rPr>
                <w:rFonts w:ascii="Times New Roman" w:hAnsi="Times New Roman"/>
                <w:sz w:val="20"/>
                <w:szCs w:val="20"/>
              </w:rPr>
              <w:t>6</w:t>
            </w:r>
          </w:p>
        </w:tc>
        <w:tc>
          <w:tcPr>
            <w:tcW w:w="544" w:type="dxa"/>
            <w:vAlign w:val="center"/>
          </w:tcPr>
          <w:p w:rsidR="002D1E45" w:rsidRPr="004D071E" w:rsidRDefault="002D1E45" w:rsidP="00433063">
            <w:pPr>
              <w:widowControl w:val="0"/>
              <w:spacing w:after="0" w:line="240" w:lineRule="auto"/>
              <w:ind w:left="57" w:right="57"/>
              <w:jc w:val="center"/>
              <w:rPr>
                <w:rFonts w:ascii="Times New Roman" w:hAnsi="Times New Roman"/>
                <w:sz w:val="20"/>
                <w:szCs w:val="20"/>
              </w:rPr>
            </w:pPr>
            <w:r w:rsidRPr="004D071E">
              <w:rPr>
                <w:rFonts w:ascii="Times New Roman" w:hAnsi="Times New Roman"/>
                <w:sz w:val="20"/>
                <w:szCs w:val="20"/>
              </w:rPr>
              <w:t>12</w:t>
            </w:r>
          </w:p>
        </w:tc>
        <w:tc>
          <w:tcPr>
            <w:tcW w:w="541" w:type="dxa"/>
            <w:vAlign w:val="center"/>
          </w:tcPr>
          <w:p w:rsidR="002D1E45" w:rsidRPr="004D071E" w:rsidRDefault="002D1E45" w:rsidP="00433063">
            <w:pPr>
              <w:widowControl w:val="0"/>
              <w:spacing w:after="0" w:line="240" w:lineRule="auto"/>
              <w:ind w:left="57" w:right="57"/>
              <w:jc w:val="center"/>
              <w:rPr>
                <w:rFonts w:ascii="Times New Roman" w:hAnsi="Times New Roman"/>
                <w:sz w:val="20"/>
                <w:szCs w:val="20"/>
              </w:rPr>
            </w:pPr>
            <w:r w:rsidRPr="004D071E">
              <w:rPr>
                <w:rFonts w:ascii="Times New Roman" w:hAnsi="Times New Roman"/>
                <w:sz w:val="20"/>
                <w:szCs w:val="20"/>
              </w:rPr>
              <w:t>18</w:t>
            </w:r>
          </w:p>
        </w:tc>
        <w:tc>
          <w:tcPr>
            <w:tcW w:w="541" w:type="dxa"/>
            <w:vAlign w:val="center"/>
          </w:tcPr>
          <w:p w:rsidR="002D1E45" w:rsidRPr="004D071E" w:rsidRDefault="002D1E45" w:rsidP="00433063">
            <w:pPr>
              <w:widowControl w:val="0"/>
              <w:spacing w:after="0" w:line="240" w:lineRule="auto"/>
              <w:ind w:left="57" w:right="57"/>
              <w:jc w:val="center"/>
              <w:rPr>
                <w:rFonts w:ascii="Times New Roman" w:hAnsi="Times New Roman"/>
                <w:sz w:val="20"/>
                <w:szCs w:val="20"/>
              </w:rPr>
            </w:pPr>
            <w:r w:rsidRPr="004D071E">
              <w:rPr>
                <w:rFonts w:ascii="Times New Roman" w:hAnsi="Times New Roman"/>
                <w:sz w:val="20"/>
                <w:szCs w:val="20"/>
              </w:rPr>
              <w:t>24</w:t>
            </w:r>
          </w:p>
        </w:tc>
        <w:tc>
          <w:tcPr>
            <w:tcW w:w="541" w:type="dxa"/>
            <w:vAlign w:val="center"/>
          </w:tcPr>
          <w:p w:rsidR="002D1E45" w:rsidRPr="004D071E" w:rsidRDefault="002D1E45" w:rsidP="00433063">
            <w:pPr>
              <w:widowControl w:val="0"/>
              <w:spacing w:after="0" w:line="240" w:lineRule="auto"/>
              <w:ind w:left="57" w:right="57"/>
              <w:jc w:val="center"/>
              <w:rPr>
                <w:rFonts w:ascii="Times New Roman" w:hAnsi="Times New Roman"/>
                <w:sz w:val="20"/>
                <w:szCs w:val="20"/>
              </w:rPr>
            </w:pPr>
            <w:r w:rsidRPr="004D071E">
              <w:rPr>
                <w:rFonts w:ascii="Times New Roman" w:hAnsi="Times New Roman"/>
                <w:sz w:val="20"/>
                <w:szCs w:val="20"/>
              </w:rPr>
              <w:t>29</w:t>
            </w:r>
          </w:p>
        </w:tc>
        <w:tc>
          <w:tcPr>
            <w:tcW w:w="544" w:type="dxa"/>
            <w:vAlign w:val="center"/>
          </w:tcPr>
          <w:p w:rsidR="002D1E45" w:rsidRPr="004D071E" w:rsidRDefault="002D1E45" w:rsidP="00433063">
            <w:pPr>
              <w:widowControl w:val="0"/>
              <w:spacing w:after="0" w:line="240" w:lineRule="auto"/>
              <w:ind w:left="57" w:right="57"/>
              <w:jc w:val="center"/>
              <w:rPr>
                <w:rFonts w:ascii="Times New Roman" w:hAnsi="Times New Roman"/>
                <w:sz w:val="20"/>
                <w:szCs w:val="20"/>
              </w:rPr>
            </w:pPr>
            <w:r w:rsidRPr="004D071E">
              <w:rPr>
                <w:rFonts w:ascii="Times New Roman" w:hAnsi="Times New Roman"/>
                <w:sz w:val="20"/>
                <w:szCs w:val="20"/>
              </w:rPr>
              <w:t>35</w:t>
            </w:r>
          </w:p>
        </w:tc>
        <w:tc>
          <w:tcPr>
            <w:tcW w:w="542" w:type="dxa"/>
            <w:vAlign w:val="center"/>
          </w:tcPr>
          <w:p w:rsidR="002D1E45" w:rsidRPr="004D071E" w:rsidRDefault="002D1E45" w:rsidP="00433063">
            <w:pPr>
              <w:widowControl w:val="0"/>
              <w:spacing w:after="0" w:line="240" w:lineRule="auto"/>
              <w:ind w:left="57" w:right="57"/>
              <w:jc w:val="center"/>
              <w:rPr>
                <w:rFonts w:ascii="Times New Roman" w:hAnsi="Times New Roman"/>
                <w:sz w:val="20"/>
                <w:szCs w:val="20"/>
              </w:rPr>
            </w:pPr>
            <w:r w:rsidRPr="004D071E">
              <w:rPr>
                <w:rFonts w:ascii="Times New Roman" w:hAnsi="Times New Roman"/>
                <w:sz w:val="20"/>
                <w:szCs w:val="20"/>
              </w:rPr>
              <w:t>41</w:t>
            </w:r>
          </w:p>
        </w:tc>
        <w:tc>
          <w:tcPr>
            <w:tcW w:w="541" w:type="dxa"/>
            <w:vAlign w:val="center"/>
          </w:tcPr>
          <w:p w:rsidR="002D1E45" w:rsidRPr="004D071E" w:rsidRDefault="002D1E45" w:rsidP="00433063">
            <w:pPr>
              <w:widowControl w:val="0"/>
              <w:spacing w:after="0" w:line="240" w:lineRule="auto"/>
              <w:ind w:left="57" w:right="57"/>
              <w:jc w:val="center"/>
              <w:rPr>
                <w:rFonts w:ascii="Times New Roman" w:hAnsi="Times New Roman"/>
                <w:sz w:val="20"/>
                <w:szCs w:val="20"/>
              </w:rPr>
            </w:pPr>
            <w:r w:rsidRPr="004D071E">
              <w:rPr>
                <w:rFonts w:ascii="Times New Roman" w:hAnsi="Times New Roman"/>
                <w:sz w:val="20"/>
                <w:szCs w:val="20"/>
              </w:rPr>
              <w:t>47</w:t>
            </w:r>
          </w:p>
        </w:tc>
        <w:tc>
          <w:tcPr>
            <w:tcW w:w="541" w:type="dxa"/>
            <w:vAlign w:val="center"/>
          </w:tcPr>
          <w:p w:rsidR="002D1E45" w:rsidRPr="004D071E" w:rsidRDefault="002D1E45" w:rsidP="00433063">
            <w:pPr>
              <w:widowControl w:val="0"/>
              <w:spacing w:after="0" w:line="240" w:lineRule="auto"/>
              <w:ind w:left="57" w:right="57"/>
              <w:jc w:val="center"/>
              <w:rPr>
                <w:rFonts w:ascii="Times New Roman" w:hAnsi="Times New Roman"/>
                <w:sz w:val="20"/>
                <w:szCs w:val="20"/>
              </w:rPr>
            </w:pPr>
            <w:r w:rsidRPr="004D071E">
              <w:rPr>
                <w:rFonts w:ascii="Times New Roman" w:hAnsi="Times New Roman"/>
                <w:sz w:val="20"/>
                <w:szCs w:val="20"/>
              </w:rPr>
              <w:t>53</w:t>
            </w:r>
          </w:p>
        </w:tc>
        <w:tc>
          <w:tcPr>
            <w:tcW w:w="541" w:type="dxa"/>
            <w:vAlign w:val="center"/>
          </w:tcPr>
          <w:p w:rsidR="002D1E45" w:rsidRPr="004D071E" w:rsidRDefault="002D1E45" w:rsidP="00433063">
            <w:pPr>
              <w:widowControl w:val="0"/>
              <w:spacing w:after="0" w:line="240" w:lineRule="auto"/>
              <w:ind w:left="57" w:right="57"/>
              <w:jc w:val="center"/>
              <w:rPr>
                <w:rFonts w:ascii="Times New Roman" w:hAnsi="Times New Roman"/>
                <w:sz w:val="20"/>
                <w:szCs w:val="20"/>
              </w:rPr>
            </w:pPr>
            <w:r w:rsidRPr="004D071E">
              <w:rPr>
                <w:rFonts w:ascii="Times New Roman" w:hAnsi="Times New Roman"/>
                <w:sz w:val="20"/>
                <w:szCs w:val="20"/>
              </w:rPr>
              <w:t>59</w:t>
            </w:r>
          </w:p>
        </w:tc>
        <w:tc>
          <w:tcPr>
            <w:tcW w:w="542" w:type="dxa"/>
            <w:vAlign w:val="center"/>
          </w:tcPr>
          <w:p w:rsidR="002D1E45" w:rsidRPr="004D071E" w:rsidRDefault="002D1E45" w:rsidP="00433063">
            <w:pPr>
              <w:widowControl w:val="0"/>
              <w:spacing w:after="0" w:line="240" w:lineRule="auto"/>
              <w:ind w:left="57" w:right="57"/>
              <w:jc w:val="center"/>
              <w:rPr>
                <w:rFonts w:ascii="Times New Roman" w:hAnsi="Times New Roman"/>
                <w:sz w:val="20"/>
                <w:szCs w:val="20"/>
              </w:rPr>
            </w:pPr>
            <w:r w:rsidRPr="004D071E">
              <w:rPr>
                <w:rFonts w:ascii="Times New Roman" w:hAnsi="Times New Roman"/>
                <w:sz w:val="20"/>
                <w:szCs w:val="20"/>
              </w:rPr>
              <w:t>65</w:t>
            </w:r>
          </w:p>
        </w:tc>
        <w:tc>
          <w:tcPr>
            <w:tcW w:w="544" w:type="dxa"/>
            <w:vAlign w:val="center"/>
          </w:tcPr>
          <w:p w:rsidR="002D1E45" w:rsidRPr="004D071E" w:rsidRDefault="002D1E45" w:rsidP="00433063">
            <w:pPr>
              <w:widowControl w:val="0"/>
              <w:spacing w:after="0" w:line="240" w:lineRule="auto"/>
              <w:ind w:left="57" w:right="57"/>
              <w:jc w:val="center"/>
              <w:rPr>
                <w:rFonts w:ascii="Times New Roman" w:hAnsi="Times New Roman"/>
                <w:sz w:val="20"/>
                <w:szCs w:val="20"/>
              </w:rPr>
            </w:pPr>
            <w:r w:rsidRPr="004D071E">
              <w:rPr>
                <w:rFonts w:ascii="Times New Roman" w:hAnsi="Times New Roman"/>
                <w:sz w:val="20"/>
                <w:szCs w:val="20"/>
              </w:rPr>
              <w:t>71</w:t>
            </w:r>
          </w:p>
        </w:tc>
        <w:tc>
          <w:tcPr>
            <w:tcW w:w="541" w:type="dxa"/>
            <w:vAlign w:val="center"/>
          </w:tcPr>
          <w:p w:rsidR="002D1E45" w:rsidRPr="004D071E" w:rsidRDefault="002D1E45" w:rsidP="00433063">
            <w:pPr>
              <w:widowControl w:val="0"/>
              <w:spacing w:after="0" w:line="240" w:lineRule="auto"/>
              <w:ind w:left="57" w:right="57"/>
              <w:jc w:val="center"/>
              <w:rPr>
                <w:rFonts w:ascii="Times New Roman" w:hAnsi="Times New Roman"/>
                <w:sz w:val="20"/>
                <w:szCs w:val="20"/>
              </w:rPr>
            </w:pPr>
            <w:r w:rsidRPr="004D071E">
              <w:rPr>
                <w:rFonts w:ascii="Times New Roman" w:hAnsi="Times New Roman"/>
                <w:sz w:val="20"/>
                <w:szCs w:val="20"/>
              </w:rPr>
              <w:t>76</w:t>
            </w:r>
          </w:p>
        </w:tc>
        <w:tc>
          <w:tcPr>
            <w:tcW w:w="541" w:type="dxa"/>
            <w:vAlign w:val="center"/>
          </w:tcPr>
          <w:p w:rsidR="002D1E45" w:rsidRPr="004D071E" w:rsidRDefault="002D1E45" w:rsidP="00433063">
            <w:pPr>
              <w:widowControl w:val="0"/>
              <w:spacing w:after="0" w:line="240" w:lineRule="auto"/>
              <w:ind w:left="57" w:right="57"/>
              <w:jc w:val="center"/>
              <w:rPr>
                <w:rFonts w:ascii="Times New Roman" w:hAnsi="Times New Roman"/>
                <w:sz w:val="20"/>
                <w:szCs w:val="20"/>
              </w:rPr>
            </w:pPr>
            <w:r w:rsidRPr="004D071E">
              <w:rPr>
                <w:rFonts w:ascii="Times New Roman" w:hAnsi="Times New Roman"/>
                <w:sz w:val="20"/>
                <w:szCs w:val="20"/>
              </w:rPr>
              <w:t>82</w:t>
            </w:r>
          </w:p>
        </w:tc>
        <w:tc>
          <w:tcPr>
            <w:tcW w:w="678" w:type="dxa"/>
            <w:vAlign w:val="center"/>
          </w:tcPr>
          <w:p w:rsidR="002D1E45" w:rsidRPr="004D071E" w:rsidRDefault="002D1E45" w:rsidP="00433063">
            <w:pPr>
              <w:widowControl w:val="0"/>
              <w:spacing w:after="0" w:line="240" w:lineRule="auto"/>
              <w:ind w:left="57" w:right="57"/>
              <w:jc w:val="center"/>
              <w:rPr>
                <w:rFonts w:ascii="Times New Roman" w:hAnsi="Times New Roman"/>
                <w:sz w:val="20"/>
                <w:szCs w:val="20"/>
              </w:rPr>
            </w:pPr>
            <w:r w:rsidRPr="004D071E">
              <w:rPr>
                <w:rFonts w:ascii="Times New Roman" w:hAnsi="Times New Roman"/>
                <w:sz w:val="20"/>
                <w:szCs w:val="20"/>
              </w:rPr>
              <w:t>88</w:t>
            </w:r>
          </w:p>
        </w:tc>
      </w:tr>
      <w:tr w:rsidR="002D1E45" w:rsidRPr="004D071E" w:rsidTr="00433063">
        <w:trPr>
          <w:trHeight w:val="295"/>
        </w:trPr>
        <w:tc>
          <w:tcPr>
            <w:tcW w:w="1361" w:type="dxa"/>
            <w:vMerge/>
          </w:tcPr>
          <w:p w:rsidR="002D1E45" w:rsidRPr="004D071E" w:rsidRDefault="002D1E45" w:rsidP="004D071E">
            <w:pPr>
              <w:widowControl w:val="0"/>
              <w:spacing w:after="0" w:line="240" w:lineRule="auto"/>
              <w:ind w:left="57" w:right="57"/>
              <w:jc w:val="center"/>
              <w:rPr>
                <w:rFonts w:ascii="Times New Roman" w:hAnsi="Times New Roman"/>
                <w:sz w:val="20"/>
                <w:szCs w:val="20"/>
              </w:rPr>
            </w:pPr>
          </w:p>
        </w:tc>
        <w:tc>
          <w:tcPr>
            <w:tcW w:w="8268" w:type="dxa"/>
            <w:gridSpan w:val="16"/>
            <w:vAlign w:val="center"/>
          </w:tcPr>
          <w:p w:rsidR="002D1E45" w:rsidRPr="004D071E" w:rsidRDefault="002D1E45" w:rsidP="00433063">
            <w:pPr>
              <w:widowControl w:val="0"/>
              <w:spacing w:after="0" w:line="240" w:lineRule="auto"/>
              <w:ind w:left="57" w:right="57"/>
              <w:jc w:val="center"/>
              <w:rPr>
                <w:rFonts w:ascii="Times New Roman" w:hAnsi="Times New Roman"/>
                <w:sz w:val="20"/>
                <w:szCs w:val="20"/>
              </w:rPr>
            </w:pPr>
            <w:r w:rsidRPr="004D071E">
              <w:rPr>
                <w:rFonts w:ascii="Times New Roman" w:hAnsi="Times New Roman"/>
                <w:sz w:val="20"/>
                <w:szCs w:val="20"/>
              </w:rPr>
              <w:t>Конвекция</w:t>
            </w:r>
          </w:p>
        </w:tc>
      </w:tr>
      <w:tr w:rsidR="002D1E45" w:rsidRPr="004D071E" w:rsidTr="00433063">
        <w:trPr>
          <w:gridAfter w:val="1"/>
          <w:wAfter w:w="7" w:type="dxa"/>
          <w:trHeight w:val="295"/>
        </w:trPr>
        <w:tc>
          <w:tcPr>
            <w:tcW w:w="1361" w:type="dxa"/>
            <w:vMerge/>
          </w:tcPr>
          <w:p w:rsidR="002D1E45" w:rsidRPr="004D071E" w:rsidRDefault="002D1E45" w:rsidP="004D071E">
            <w:pPr>
              <w:widowControl w:val="0"/>
              <w:spacing w:after="0" w:line="240" w:lineRule="auto"/>
              <w:ind w:left="57" w:right="57"/>
              <w:jc w:val="center"/>
              <w:rPr>
                <w:rFonts w:ascii="Times New Roman" w:hAnsi="Times New Roman"/>
                <w:sz w:val="20"/>
                <w:szCs w:val="20"/>
              </w:rPr>
            </w:pPr>
          </w:p>
        </w:tc>
        <w:tc>
          <w:tcPr>
            <w:tcW w:w="539" w:type="dxa"/>
            <w:vAlign w:val="center"/>
          </w:tcPr>
          <w:p w:rsidR="002D1E45" w:rsidRPr="004D071E" w:rsidRDefault="002D1E45" w:rsidP="00433063">
            <w:pPr>
              <w:widowControl w:val="0"/>
              <w:spacing w:after="0" w:line="240" w:lineRule="auto"/>
              <w:ind w:left="57" w:right="57"/>
              <w:jc w:val="center"/>
              <w:rPr>
                <w:rFonts w:ascii="Times New Roman" w:hAnsi="Times New Roman"/>
                <w:sz w:val="20"/>
                <w:szCs w:val="20"/>
              </w:rPr>
            </w:pPr>
            <w:r w:rsidRPr="004D071E">
              <w:rPr>
                <w:rFonts w:ascii="Times New Roman" w:hAnsi="Times New Roman"/>
                <w:sz w:val="20"/>
                <w:szCs w:val="20"/>
              </w:rPr>
              <w:t>7</w:t>
            </w:r>
          </w:p>
        </w:tc>
        <w:tc>
          <w:tcPr>
            <w:tcW w:w="544" w:type="dxa"/>
            <w:vAlign w:val="center"/>
          </w:tcPr>
          <w:p w:rsidR="002D1E45" w:rsidRPr="004D071E" w:rsidRDefault="002D1E45" w:rsidP="00433063">
            <w:pPr>
              <w:widowControl w:val="0"/>
              <w:spacing w:after="0" w:line="240" w:lineRule="auto"/>
              <w:ind w:left="57" w:right="57"/>
              <w:jc w:val="center"/>
              <w:rPr>
                <w:rFonts w:ascii="Times New Roman" w:hAnsi="Times New Roman"/>
                <w:sz w:val="20"/>
                <w:szCs w:val="20"/>
              </w:rPr>
            </w:pPr>
            <w:r w:rsidRPr="004D071E">
              <w:rPr>
                <w:rFonts w:ascii="Times New Roman" w:hAnsi="Times New Roman"/>
                <w:sz w:val="20"/>
                <w:szCs w:val="20"/>
              </w:rPr>
              <w:t>14</w:t>
            </w:r>
          </w:p>
        </w:tc>
        <w:tc>
          <w:tcPr>
            <w:tcW w:w="541" w:type="dxa"/>
            <w:vAlign w:val="center"/>
          </w:tcPr>
          <w:p w:rsidR="002D1E45" w:rsidRPr="004D071E" w:rsidRDefault="002D1E45" w:rsidP="00433063">
            <w:pPr>
              <w:widowControl w:val="0"/>
              <w:spacing w:after="0" w:line="240" w:lineRule="auto"/>
              <w:ind w:left="57" w:right="57"/>
              <w:jc w:val="center"/>
              <w:rPr>
                <w:rFonts w:ascii="Times New Roman" w:hAnsi="Times New Roman"/>
                <w:sz w:val="20"/>
                <w:szCs w:val="20"/>
              </w:rPr>
            </w:pPr>
            <w:r w:rsidRPr="004D071E">
              <w:rPr>
                <w:rFonts w:ascii="Times New Roman" w:hAnsi="Times New Roman"/>
                <w:sz w:val="20"/>
                <w:szCs w:val="20"/>
              </w:rPr>
              <w:t>21</w:t>
            </w:r>
          </w:p>
        </w:tc>
        <w:tc>
          <w:tcPr>
            <w:tcW w:w="541" w:type="dxa"/>
            <w:vAlign w:val="center"/>
          </w:tcPr>
          <w:p w:rsidR="002D1E45" w:rsidRPr="004D071E" w:rsidRDefault="002D1E45" w:rsidP="00433063">
            <w:pPr>
              <w:widowControl w:val="0"/>
              <w:spacing w:after="0" w:line="240" w:lineRule="auto"/>
              <w:ind w:left="57" w:right="57"/>
              <w:jc w:val="center"/>
              <w:rPr>
                <w:rFonts w:ascii="Times New Roman" w:hAnsi="Times New Roman"/>
                <w:sz w:val="20"/>
                <w:szCs w:val="20"/>
              </w:rPr>
            </w:pPr>
            <w:r w:rsidRPr="004D071E">
              <w:rPr>
                <w:rFonts w:ascii="Times New Roman" w:hAnsi="Times New Roman"/>
                <w:sz w:val="20"/>
                <w:szCs w:val="20"/>
              </w:rPr>
              <w:t>28</w:t>
            </w:r>
          </w:p>
        </w:tc>
        <w:tc>
          <w:tcPr>
            <w:tcW w:w="541" w:type="dxa"/>
            <w:vAlign w:val="center"/>
          </w:tcPr>
          <w:p w:rsidR="002D1E45" w:rsidRPr="004D071E" w:rsidRDefault="002D1E45" w:rsidP="00433063">
            <w:pPr>
              <w:widowControl w:val="0"/>
              <w:spacing w:after="0" w:line="240" w:lineRule="auto"/>
              <w:ind w:left="57" w:right="57"/>
              <w:jc w:val="center"/>
              <w:rPr>
                <w:rFonts w:ascii="Times New Roman" w:hAnsi="Times New Roman"/>
                <w:sz w:val="20"/>
                <w:szCs w:val="20"/>
              </w:rPr>
            </w:pPr>
          </w:p>
        </w:tc>
        <w:tc>
          <w:tcPr>
            <w:tcW w:w="544" w:type="dxa"/>
            <w:vAlign w:val="center"/>
          </w:tcPr>
          <w:p w:rsidR="002D1E45" w:rsidRPr="004D071E" w:rsidRDefault="002D1E45" w:rsidP="00433063">
            <w:pPr>
              <w:widowControl w:val="0"/>
              <w:spacing w:after="0" w:line="240" w:lineRule="auto"/>
              <w:ind w:left="57" w:right="57"/>
              <w:jc w:val="center"/>
              <w:rPr>
                <w:rFonts w:ascii="Times New Roman" w:hAnsi="Times New Roman"/>
                <w:sz w:val="20"/>
                <w:szCs w:val="20"/>
              </w:rPr>
            </w:pPr>
          </w:p>
        </w:tc>
        <w:tc>
          <w:tcPr>
            <w:tcW w:w="542" w:type="dxa"/>
            <w:vAlign w:val="center"/>
          </w:tcPr>
          <w:p w:rsidR="002D1E45" w:rsidRPr="004D071E" w:rsidRDefault="002D1E45" w:rsidP="00433063">
            <w:pPr>
              <w:widowControl w:val="0"/>
              <w:spacing w:after="0" w:line="240" w:lineRule="auto"/>
              <w:ind w:left="57" w:right="57"/>
              <w:jc w:val="center"/>
              <w:rPr>
                <w:rFonts w:ascii="Times New Roman" w:hAnsi="Times New Roman"/>
                <w:sz w:val="20"/>
                <w:szCs w:val="20"/>
              </w:rPr>
            </w:pPr>
          </w:p>
        </w:tc>
        <w:tc>
          <w:tcPr>
            <w:tcW w:w="541" w:type="dxa"/>
            <w:vAlign w:val="center"/>
          </w:tcPr>
          <w:p w:rsidR="002D1E45" w:rsidRPr="004D071E" w:rsidRDefault="002D1E45" w:rsidP="00433063">
            <w:pPr>
              <w:widowControl w:val="0"/>
              <w:spacing w:after="0" w:line="240" w:lineRule="auto"/>
              <w:ind w:left="57" w:right="57"/>
              <w:jc w:val="center"/>
              <w:rPr>
                <w:rFonts w:ascii="Times New Roman" w:hAnsi="Times New Roman"/>
                <w:sz w:val="20"/>
                <w:szCs w:val="20"/>
              </w:rPr>
            </w:pPr>
          </w:p>
        </w:tc>
        <w:tc>
          <w:tcPr>
            <w:tcW w:w="541" w:type="dxa"/>
            <w:vAlign w:val="center"/>
          </w:tcPr>
          <w:p w:rsidR="002D1E45" w:rsidRPr="004D071E" w:rsidRDefault="002D1E45" w:rsidP="00433063">
            <w:pPr>
              <w:widowControl w:val="0"/>
              <w:spacing w:after="0" w:line="240" w:lineRule="auto"/>
              <w:ind w:left="57" w:right="57"/>
              <w:jc w:val="center"/>
              <w:rPr>
                <w:rFonts w:ascii="Times New Roman" w:hAnsi="Times New Roman"/>
                <w:sz w:val="20"/>
                <w:szCs w:val="20"/>
              </w:rPr>
            </w:pPr>
          </w:p>
        </w:tc>
        <w:tc>
          <w:tcPr>
            <w:tcW w:w="541" w:type="dxa"/>
            <w:vAlign w:val="center"/>
          </w:tcPr>
          <w:p w:rsidR="002D1E45" w:rsidRPr="004D071E" w:rsidRDefault="002D1E45" w:rsidP="00433063">
            <w:pPr>
              <w:widowControl w:val="0"/>
              <w:spacing w:after="0" w:line="240" w:lineRule="auto"/>
              <w:ind w:left="57" w:right="57"/>
              <w:jc w:val="center"/>
              <w:rPr>
                <w:rFonts w:ascii="Times New Roman" w:hAnsi="Times New Roman"/>
                <w:sz w:val="20"/>
                <w:szCs w:val="20"/>
              </w:rPr>
            </w:pPr>
          </w:p>
        </w:tc>
        <w:tc>
          <w:tcPr>
            <w:tcW w:w="542" w:type="dxa"/>
            <w:vAlign w:val="center"/>
          </w:tcPr>
          <w:p w:rsidR="002D1E45" w:rsidRPr="004D071E" w:rsidRDefault="002D1E45" w:rsidP="00433063">
            <w:pPr>
              <w:widowControl w:val="0"/>
              <w:spacing w:after="0" w:line="240" w:lineRule="auto"/>
              <w:ind w:left="57" w:right="57"/>
              <w:jc w:val="center"/>
              <w:rPr>
                <w:rFonts w:ascii="Times New Roman" w:hAnsi="Times New Roman"/>
                <w:sz w:val="20"/>
                <w:szCs w:val="20"/>
              </w:rPr>
            </w:pPr>
          </w:p>
        </w:tc>
        <w:tc>
          <w:tcPr>
            <w:tcW w:w="544" w:type="dxa"/>
            <w:vAlign w:val="center"/>
          </w:tcPr>
          <w:p w:rsidR="002D1E45" w:rsidRPr="004D071E" w:rsidRDefault="002D1E45" w:rsidP="00433063">
            <w:pPr>
              <w:widowControl w:val="0"/>
              <w:spacing w:after="0" w:line="240" w:lineRule="auto"/>
              <w:ind w:left="57" w:right="57"/>
              <w:jc w:val="center"/>
              <w:rPr>
                <w:rFonts w:ascii="Times New Roman" w:hAnsi="Times New Roman"/>
                <w:sz w:val="20"/>
                <w:szCs w:val="20"/>
              </w:rPr>
            </w:pPr>
          </w:p>
        </w:tc>
        <w:tc>
          <w:tcPr>
            <w:tcW w:w="541" w:type="dxa"/>
            <w:vAlign w:val="center"/>
          </w:tcPr>
          <w:p w:rsidR="002D1E45" w:rsidRPr="004D071E" w:rsidRDefault="002D1E45" w:rsidP="00433063">
            <w:pPr>
              <w:widowControl w:val="0"/>
              <w:spacing w:after="0" w:line="240" w:lineRule="auto"/>
              <w:ind w:left="57" w:right="57"/>
              <w:jc w:val="center"/>
              <w:rPr>
                <w:rFonts w:ascii="Times New Roman" w:hAnsi="Times New Roman"/>
                <w:sz w:val="20"/>
                <w:szCs w:val="20"/>
              </w:rPr>
            </w:pPr>
          </w:p>
        </w:tc>
        <w:tc>
          <w:tcPr>
            <w:tcW w:w="541" w:type="dxa"/>
            <w:vAlign w:val="center"/>
          </w:tcPr>
          <w:p w:rsidR="002D1E45" w:rsidRPr="004D071E" w:rsidRDefault="002D1E45" w:rsidP="00433063">
            <w:pPr>
              <w:widowControl w:val="0"/>
              <w:spacing w:after="0" w:line="240" w:lineRule="auto"/>
              <w:ind w:left="57" w:right="57"/>
              <w:jc w:val="center"/>
              <w:rPr>
                <w:rFonts w:ascii="Times New Roman" w:hAnsi="Times New Roman"/>
                <w:sz w:val="20"/>
                <w:szCs w:val="20"/>
              </w:rPr>
            </w:pPr>
          </w:p>
        </w:tc>
        <w:tc>
          <w:tcPr>
            <w:tcW w:w="678" w:type="dxa"/>
            <w:vAlign w:val="center"/>
          </w:tcPr>
          <w:p w:rsidR="002D1E45" w:rsidRPr="004D071E" w:rsidRDefault="002D1E45" w:rsidP="00433063">
            <w:pPr>
              <w:widowControl w:val="0"/>
              <w:spacing w:after="0" w:line="240" w:lineRule="auto"/>
              <w:ind w:left="57" w:right="57"/>
              <w:jc w:val="center"/>
              <w:rPr>
                <w:rFonts w:ascii="Times New Roman" w:hAnsi="Times New Roman"/>
                <w:sz w:val="20"/>
                <w:szCs w:val="20"/>
              </w:rPr>
            </w:pPr>
          </w:p>
        </w:tc>
      </w:tr>
    </w:tbl>
    <w:p w:rsidR="002D1E45" w:rsidRPr="004D071E" w:rsidRDefault="002D1E45" w:rsidP="004D071E">
      <w:pPr>
        <w:spacing w:after="0" w:line="240" w:lineRule="auto"/>
        <w:ind w:left="360"/>
        <w:contextualSpacing/>
        <w:jc w:val="both"/>
        <w:rPr>
          <w:rFonts w:ascii="Times New Roman" w:hAnsi="Times New Roman"/>
          <w:sz w:val="28"/>
          <w:szCs w:val="24"/>
        </w:rPr>
      </w:pPr>
    </w:p>
    <w:p w:rsidR="002D1E45" w:rsidRPr="004D071E" w:rsidRDefault="002D1E45" w:rsidP="004D071E">
      <w:pPr>
        <w:spacing w:after="0" w:line="240" w:lineRule="auto"/>
        <w:ind w:firstLine="709"/>
        <w:jc w:val="both"/>
        <w:rPr>
          <w:rFonts w:ascii="Times New Roman" w:hAnsi="Times New Roman"/>
          <w:sz w:val="28"/>
          <w:szCs w:val="28"/>
        </w:rPr>
      </w:pPr>
      <w:r w:rsidRPr="004D071E">
        <w:rPr>
          <w:rFonts w:ascii="Times New Roman" w:hAnsi="Times New Roman"/>
          <w:sz w:val="28"/>
          <w:szCs w:val="28"/>
        </w:rPr>
        <w:t>Площадь зоны возможного заражения первичным (вторичным) облаком АХОВ определяется по формуле:</w:t>
      </w:r>
    </w:p>
    <w:p w:rsidR="002D1E45" w:rsidRPr="004D071E" w:rsidRDefault="002D1E45" w:rsidP="004D071E">
      <w:pPr>
        <w:spacing w:after="0" w:line="240" w:lineRule="auto"/>
        <w:jc w:val="center"/>
        <w:rPr>
          <w:rFonts w:ascii="Times New Roman" w:hAnsi="Times New Roman"/>
          <w:sz w:val="28"/>
          <w:szCs w:val="28"/>
        </w:rPr>
      </w:pPr>
    </w:p>
    <w:p w:rsidR="002D1E45" w:rsidRPr="004D071E" w:rsidRDefault="002D1E45" w:rsidP="004D071E">
      <w:pPr>
        <w:spacing w:after="0" w:line="240" w:lineRule="auto"/>
        <w:jc w:val="center"/>
        <w:rPr>
          <w:rFonts w:ascii="Times New Roman" w:hAnsi="Times New Roman"/>
          <w:sz w:val="28"/>
          <w:szCs w:val="28"/>
        </w:rPr>
      </w:pPr>
      <w:r>
        <w:pict>
          <v:shape id="_x0000_i1043" type="#_x0000_t75" style="width:145.5pt;height:17.25pt" equationxml="&lt;?xml version=&quot;1.0&quot; encoding=&quot;UTF-8&quot; standalone=&quot;yes&quot;?&gt;&#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stylePaneFormatFilter w:val=&quot;3F01&quot;/&gt;&lt;w:defaultTabStop w:val=&quot;709&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55249&quot;/&gt;&lt;wsp:rsid wsp:val=&quot;00000069&quot;/&gt;&lt;wsp:rsid wsp:val=&quot;0000011C&quot;/&gt;&lt;wsp:rsid wsp:val=&quot;00000437&quot;/&gt;&lt;wsp:rsid wsp:val=&quot;00001379&quot;/&gt;&lt;wsp:rsid wsp:val=&quot;0000148E&quot;/&gt;&lt;wsp:rsid wsp:val=&quot;00001718&quot;/&gt;&lt;wsp:rsid wsp:val=&quot;000017EA&quot;/&gt;&lt;wsp:rsid wsp:val=&quot;00001828&quot;/&gt;&lt;wsp:rsid wsp:val=&quot;00001D98&quot;/&gt;&lt;wsp:rsid wsp:val=&quot;0000229E&quot;/&gt;&lt;wsp:rsid wsp:val=&quot;000027D5&quot;/&gt;&lt;wsp:rsid wsp:val=&quot;00002824&quot;/&gt;&lt;wsp:rsid wsp:val=&quot;00002C12&quot;/&gt;&lt;wsp:rsid wsp:val=&quot;00002C43&quot;/&gt;&lt;wsp:rsid wsp:val=&quot;00002D9C&quot;/&gt;&lt;wsp:rsid wsp:val=&quot;00002F36&quot;/&gt;&lt;wsp:rsid wsp:val=&quot;0000302F&quot;/&gt;&lt;wsp:rsid wsp:val=&quot;00003030&quot;/&gt;&lt;wsp:rsid wsp:val=&quot;00003EFF&quot;/&gt;&lt;wsp:rsid wsp:val=&quot;0000414C&quot;/&gt;&lt;wsp:rsid wsp:val=&quot;0000443D&quot;/&gt;&lt;wsp:rsid wsp:val=&quot;000046CC&quot;/&gt;&lt;wsp:rsid wsp:val=&quot;00004716&quot;/&gt;&lt;wsp:rsid wsp:val=&quot;0000486D&quot;/&gt;&lt;wsp:rsid wsp:val=&quot;000049C0&quot;/&gt;&lt;wsp:rsid wsp:val=&quot;00004D19&quot;/&gt;&lt;wsp:rsid wsp:val=&quot;00004FAE&quot;/&gt;&lt;wsp:rsid wsp:val=&quot;00004FFC&quot;/&gt;&lt;wsp:rsid wsp:val=&quot;00005636&quot;/&gt;&lt;wsp:rsid wsp:val=&quot;000056E1&quot;/&gt;&lt;wsp:rsid wsp:val=&quot;00005DAF&quot;/&gt;&lt;wsp:rsid wsp:val=&quot;00005F1A&quot;/&gt;&lt;wsp:rsid wsp:val=&quot;00005FEB&quot;/&gt;&lt;wsp:rsid wsp:val=&quot;00006392&quot;/&gt;&lt;wsp:rsid wsp:val=&quot;000063D0&quot;/&gt;&lt;wsp:rsid wsp:val=&quot;00006AE8&quot;/&gt;&lt;wsp:rsid wsp:val=&quot;00006D6F&quot;/&gt;&lt;wsp:rsid wsp:val=&quot;00007175&quot;/&gt;&lt;wsp:rsid wsp:val=&quot;00007274&quot;/&gt;&lt;wsp:rsid wsp:val=&quot;00007B99&quot;/&gt;&lt;wsp:rsid wsp:val=&quot;000101C0&quot;/&gt;&lt;wsp:rsid wsp:val=&quot;00010212&quot;/&gt;&lt;wsp:rsid wsp:val=&quot;00010264&quot;/&gt;&lt;wsp:rsid wsp:val=&quot;000102BD&quot;/&gt;&lt;wsp:rsid wsp:val=&quot;000102EA&quot;/&gt;&lt;wsp:rsid wsp:val=&quot;00010466&quot;/&gt;&lt;wsp:rsid wsp:val=&quot;00010AB4&quot;/&gt;&lt;wsp:rsid wsp:val=&quot;00010B0B&quot;/&gt;&lt;wsp:rsid wsp:val=&quot;00010C3B&quot;/&gt;&lt;wsp:rsid wsp:val=&quot;00010F91&quot;/&gt;&lt;wsp:rsid wsp:val=&quot;000112EE&quot;/&gt;&lt;wsp:rsid wsp:val=&quot;0001146D&quot;/&gt;&lt;wsp:rsid wsp:val=&quot;00011665&quot;/&gt;&lt;wsp:rsid wsp:val=&quot;00011B64&quot;/&gt;&lt;wsp:rsid wsp:val=&quot;00011CA8&quot;/&gt;&lt;wsp:rsid wsp:val=&quot;00011DE4&quot;/&gt;&lt;wsp:rsid wsp:val=&quot;000124AE&quot;/&gt;&lt;wsp:rsid wsp:val=&quot;000127BC&quot;/&gt;&lt;wsp:rsid wsp:val=&quot;00012A66&quot;/&gt;&lt;wsp:rsid wsp:val=&quot;00012DA8&quot;/&gt;&lt;wsp:rsid wsp:val=&quot;00013A20&quot;/&gt;&lt;wsp:rsid wsp:val=&quot;00013A8A&quot;/&gt;&lt;wsp:rsid wsp:val=&quot;00013CAF&quot;/&gt;&lt;wsp:rsid wsp:val=&quot;00013FBF&quot;/&gt;&lt;wsp:rsid wsp:val=&quot;00014152&quot;/&gt;&lt;wsp:rsid wsp:val=&quot;00014177&quot;/&gt;&lt;wsp:rsid wsp:val=&quot;0001436E&quot;/&gt;&lt;wsp:rsid wsp:val=&quot;00014640&quot;/&gt;&lt;wsp:rsid wsp:val=&quot;000146AB&quot;/&gt;&lt;wsp:rsid wsp:val=&quot;0001483D&quot;/&gt;&lt;wsp:rsid wsp:val=&quot;00014851&quot;/&gt;&lt;wsp:rsid wsp:val=&quot;00014B97&quot;/&gt;&lt;wsp:rsid wsp:val=&quot;00014CA6&quot;/&gt;&lt;wsp:rsid wsp:val=&quot;00015089&quot;/&gt;&lt;wsp:rsid wsp:val=&quot;00015200&quot;/&gt;&lt;wsp:rsid wsp:val=&quot;00015247&quot;/&gt;&lt;wsp:rsid wsp:val=&quot;00015471&quot;/&gt;&lt;wsp:rsid wsp:val=&quot;00015475&quot;/&gt;&lt;wsp:rsid wsp:val=&quot;000156EB&quot;/&gt;&lt;wsp:rsid wsp:val=&quot;00015CFD&quot;/&gt;&lt;wsp:rsid wsp:val=&quot;00015E89&quot;/&gt;&lt;wsp:rsid wsp:val=&quot;000162CA&quot;/&gt;&lt;wsp:rsid wsp:val=&quot;000168D8&quot;/&gt;&lt;wsp:rsid wsp:val=&quot;00016BF0&quot;/&gt;&lt;wsp:rsid wsp:val=&quot;00016DD4&quot;/&gt;&lt;wsp:rsid wsp:val=&quot;00016F5A&quot;/&gt;&lt;wsp:rsid wsp:val=&quot;000171AD&quot;/&gt;&lt;wsp:rsid wsp:val=&quot;0001725E&quot;/&gt;&lt;wsp:rsid wsp:val=&quot;000173C4&quot;/&gt;&lt;wsp:rsid wsp:val=&quot;0001783F&quot;/&gt;&lt;wsp:rsid wsp:val=&quot;00017B5A&quot;/&gt;&lt;wsp:rsid wsp:val=&quot;00017FC8&quot;/&gt;&lt;wsp:rsid wsp:val=&quot;000200B7&quot;/&gt;&lt;wsp:rsid wsp:val=&quot;00020690&quot;/&gt;&lt;wsp:rsid wsp:val=&quot;000207BC&quot;/&gt;&lt;wsp:rsid wsp:val=&quot;00020B70&quot;/&gt;&lt;wsp:rsid wsp:val=&quot;00020CF2&quot;/&gt;&lt;wsp:rsid wsp:val=&quot;00020D15&quot;/&gt;&lt;wsp:rsid wsp:val=&quot;0002146E&quot;/&gt;&lt;wsp:rsid wsp:val=&quot;000216FC&quot;/&gt;&lt;wsp:rsid wsp:val=&quot;00021808&quot;/&gt;&lt;wsp:rsid wsp:val=&quot;00021864&quot;/&gt;&lt;wsp:rsid wsp:val=&quot;000219DD&quot;/&gt;&lt;wsp:rsid wsp:val=&quot;00021A57&quot;/&gt;&lt;wsp:rsid wsp:val=&quot;00021C1B&quot;/&gt;&lt;wsp:rsid wsp:val=&quot;00021C6A&quot;/&gt;&lt;wsp:rsid wsp:val=&quot;0002261A&quot;/&gt;&lt;wsp:rsid wsp:val=&quot;00022689&quot;/&gt;&lt;wsp:rsid wsp:val=&quot;0002275A&quot;/&gt;&lt;wsp:rsid wsp:val=&quot;00022976&quot;/&gt;&lt;wsp:rsid wsp:val=&quot;00022B13&quot;/&gt;&lt;wsp:rsid wsp:val=&quot;00022C89&quot;/&gt;&lt;wsp:rsid wsp:val=&quot;00022ED3&quot;/&gt;&lt;wsp:rsid wsp:val=&quot;0002310D&quot;/&gt;&lt;wsp:rsid wsp:val=&quot;0002325C&quot;/&gt;&lt;wsp:rsid wsp:val=&quot;000233B5&quot;/&gt;&lt;wsp:rsid wsp:val=&quot;000235C8&quot;/&gt;&lt;wsp:rsid wsp:val=&quot;000237E7&quot;/&gt;&lt;wsp:rsid wsp:val=&quot;000238DD&quot;/&gt;&lt;wsp:rsid wsp:val=&quot;00023B4A&quot;/&gt;&lt;wsp:rsid wsp:val=&quot;00023CDA&quot;/&gt;&lt;wsp:rsid wsp:val=&quot;0002413B&quot;/&gt;&lt;wsp:rsid wsp:val=&quot;000244A8&quot;/&gt;&lt;wsp:rsid wsp:val=&quot;0002487C&quot;/&gt;&lt;wsp:rsid wsp:val=&quot;00024D37&quot;/&gt;&lt;wsp:rsid wsp:val=&quot;00024F28&quot;/&gt;&lt;wsp:rsid wsp:val=&quot;000252B6&quot;/&gt;&lt;wsp:rsid wsp:val=&quot;000254CC&quot;/&gt;&lt;wsp:rsid wsp:val=&quot;00025586&quot;/&gt;&lt;wsp:rsid wsp:val=&quot;000260FE&quot;/&gt;&lt;wsp:rsid wsp:val=&quot;00026294&quot;/&gt;&lt;wsp:rsid wsp:val=&quot;00026338&quot;/&gt;&lt;wsp:rsid wsp:val=&quot;000266C8&quot;/&gt;&lt;wsp:rsid wsp:val=&quot;00026ABE&quot;/&gt;&lt;wsp:rsid wsp:val=&quot;00026FF4&quot;/&gt;&lt;wsp:rsid wsp:val=&quot;0002729C&quot;/&gt;&lt;wsp:rsid wsp:val=&quot;000279E6&quot;/&gt;&lt;wsp:rsid wsp:val=&quot;00027B3A&quot;/&gt;&lt;wsp:rsid wsp:val=&quot;00027C41&quot;/&gt;&lt;wsp:rsid wsp:val=&quot;00027F89&quot;/&gt;&lt;wsp:rsid wsp:val=&quot;0003050D&quot;/&gt;&lt;wsp:rsid wsp:val=&quot;00030523&quot;/&gt;&lt;wsp:rsid wsp:val=&quot;00031209&quot;/&gt;&lt;wsp:rsid wsp:val=&quot;00031883&quot;/&gt;&lt;wsp:rsid wsp:val=&quot;00032460&quot;/&gt;&lt;wsp:rsid wsp:val=&quot;0003252F&quot;/&gt;&lt;wsp:rsid wsp:val=&quot;000325E4&quot;/&gt;&lt;wsp:rsid wsp:val=&quot;000329BA&quot;/&gt;&lt;wsp:rsid wsp:val=&quot;00032F20&quot;/&gt;&lt;wsp:rsid wsp:val=&quot;000330C7&quot;/&gt;&lt;wsp:rsid wsp:val=&quot;00033121&quot;/&gt;&lt;wsp:rsid wsp:val=&quot;000332E2&quot;/&gt;&lt;wsp:rsid wsp:val=&quot;00033895&quot;/&gt;&lt;wsp:rsid wsp:val=&quot;00033D2D&quot;/&gt;&lt;wsp:rsid wsp:val=&quot;0003401B&quot;/&gt;&lt;wsp:rsid wsp:val=&quot;000341CE&quot;/&gt;&lt;wsp:rsid wsp:val=&quot;00034258&quot;/&gt;&lt;wsp:rsid wsp:val=&quot;00034677&quot;/&gt;&lt;wsp:rsid wsp:val=&quot;000355D5&quot;/&gt;&lt;wsp:rsid wsp:val=&quot;0003587E&quot;/&gt;&lt;wsp:rsid wsp:val=&quot;000358E5&quot;/&gt;&lt;wsp:rsid wsp:val=&quot;00035FC8&quot;/&gt;&lt;wsp:rsid wsp:val=&quot;00036085&quot;/&gt;&lt;wsp:rsid wsp:val=&quot;0003610F&quot;/&gt;&lt;wsp:rsid wsp:val=&quot;00036574&quot;/&gt;&lt;wsp:rsid wsp:val=&quot;00036A0C&quot;/&gt;&lt;wsp:rsid wsp:val=&quot;0003741C&quot;/&gt;&lt;wsp:rsid wsp:val=&quot;000375A9&quot;/&gt;&lt;wsp:rsid wsp:val=&quot;000375E4&quot;/&gt;&lt;wsp:rsid wsp:val=&quot;00037990&quot;/&gt;&lt;wsp:rsid wsp:val=&quot;000379E2&quot;/&gt;&lt;wsp:rsid wsp:val=&quot;00037A8B&quot;/&gt;&lt;wsp:rsid wsp:val=&quot;00037B44&quot;/&gt;&lt;wsp:rsid wsp:val=&quot;00037D86&quot;/&gt;&lt;wsp:rsid wsp:val=&quot;000401B5&quot;/&gt;&lt;wsp:rsid wsp:val=&quot;00040704&quot;/&gt;&lt;wsp:rsid wsp:val=&quot;00040747&quot;/&gt;&lt;wsp:rsid wsp:val=&quot;00040937&quot;/&gt;&lt;wsp:rsid wsp:val=&quot;00040B84&quot;/&gt;&lt;wsp:rsid wsp:val=&quot;00040C12&quot;/&gt;&lt;wsp:rsid wsp:val=&quot;00040DA1&quot;/&gt;&lt;wsp:rsid wsp:val=&quot;00040F18&quot;/&gt;&lt;wsp:rsid wsp:val=&quot;0004110F&quot;/&gt;&lt;wsp:rsid wsp:val=&quot;000412EB&quot;/&gt;&lt;wsp:rsid wsp:val=&quot;0004138D&quot;/&gt;&lt;wsp:rsid wsp:val=&quot;000413F1&quot;/&gt;&lt;wsp:rsid wsp:val=&quot;000414C0&quot;/&gt;&lt;wsp:rsid wsp:val=&quot;00041E8F&quot;/&gt;&lt;wsp:rsid wsp:val=&quot;00041F06&quot;/&gt;&lt;wsp:rsid wsp:val=&quot;0004255B&quot;/&gt;&lt;wsp:rsid wsp:val=&quot;00042594&quot;/&gt;&lt;wsp:rsid wsp:val=&quot;0004273E&quot;/&gt;&lt;wsp:rsid wsp:val=&quot;00042764&quot;/&gt;&lt;wsp:rsid wsp:val=&quot;00042F4A&quot;/&gt;&lt;wsp:rsid wsp:val=&quot;000430F4&quot;/&gt;&lt;wsp:rsid wsp:val=&quot;00043921&quot;/&gt;&lt;wsp:rsid wsp:val=&quot;00043935&quot;/&gt;&lt;wsp:rsid wsp:val=&quot;00043EB2&quot;/&gt;&lt;wsp:rsid wsp:val=&quot;0004419F&quot;/&gt;&lt;wsp:rsid wsp:val=&quot;00044391&quot;/&gt;&lt;wsp:rsid wsp:val=&quot;0004446E&quot;/&gt;&lt;wsp:rsid wsp:val=&quot;000444B3&quot;/&gt;&lt;wsp:rsid wsp:val=&quot;00044538&quot;/&gt;&lt;wsp:rsid wsp:val=&quot;0004488A&quot;/&gt;&lt;wsp:rsid wsp:val=&quot;000449CE&quot;/&gt;&lt;wsp:rsid wsp:val=&quot;00044A16&quot;/&gt;&lt;wsp:rsid wsp:val=&quot;00044B5C&quot;/&gt;&lt;wsp:rsid wsp:val=&quot;00044D18&quot;/&gt;&lt;wsp:rsid wsp:val=&quot;00044E73&quot;/&gt;&lt;wsp:rsid wsp:val=&quot;00044F28&quot;/&gt;&lt;wsp:rsid wsp:val=&quot;00044FEF&quot;/&gt;&lt;wsp:rsid wsp:val=&quot;00045598&quot;/&gt;&lt;wsp:rsid wsp:val=&quot;00045B35&quot;/&gt;&lt;wsp:rsid wsp:val=&quot;00045E51&quot;/&gt;&lt;wsp:rsid wsp:val=&quot;00046110&quot;/&gt;&lt;wsp:rsid wsp:val=&quot;00046429&quot;/&gt;&lt;wsp:rsid wsp:val=&quot;0004668C&quot;/&gt;&lt;wsp:rsid wsp:val=&quot;000475D4&quot;/&gt;&lt;wsp:rsid wsp:val=&quot;00047C17&quot;/&gt;&lt;wsp:rsid wsp:val=&quot;00047C27&quot;/&gt;&lt;wsp:rsid wsp:val=&quot;00047C59&quot;/&gt;&lt;wsp:rsid wsp:val=&quot;00047F34&quot;/&gt;&lt;wsp:rsid wsp:val=&quot;000504F0&quot;/&gt;&lt;wsp:rsid wsp:val=&quot;00050664&quot;/&gt;&lt;wsp:rsid wsp:val=&quot;00050880&quot;/&gt;&lt;wsp:rsid wsp:val=&quot;00050993&quot;/&gt;&lt;wsp:rsid wsp:val=&quot;00050FD6&quot;/&gt;&lt;wsp:rsid wsp:val=&quot;00051206&quot;/&gt;&lt;wsp:rsid wsp:val=&quot;000515A2&quot;/&gt;&lt;wsp:rsid wsp:val=&quot;00051F54&quot;/&gt;&lt;wsp:rsid wsp:val=&quot;000520A1&quot;/&gt;&lt;wsp:rsid wsp:val=&quot;000525EB&quot;/&gt;&lt;wsp:rsid wsp:val=&quot;0005266E&quot;/&gt;&lt;wsp:rsid wsp:val=&quot;000527E0&quot;/&gt;&lt;wsp:rsid wsp:val=&quot;00052923&quot;/&gt;&lt;wsp:rsid wsp:val=&quot;00052D26&quot;/&gt;&lt;wsp:rsid wsp:val=&quot;00052E31&quot;/&gt;&lt;wsp:rsid wsp:val=&quot;000535A5&quot;/&gt;&lt;wsp:rsid wsp:val=&quot;000536A3&quot;/&gt;&lt;wsp:rsid wsp:val=&quot;00053D10&quot;/&gt;&lt;wsp:rsid wsp:val=&quot;00053F2B&quot;/&gt;&lt;wsp:rsid wsp:val=&quot;00053F37&quot;/&gt;&lt;wsp:rsid wsp:val=&quot;000546C9&quot;/&gt;&lt;wsp:rsid wsp:val=&quot;000547F3&quot;/&gt;&lt;wsp:rsid wsp:val=&quot;000548C7&quot;/&gt;&lt;wsp:rsid wsp:val=&quot;00054E12&quot;/&gt;&lt;wsp:rsid wsp:val=&quot;00054E32&quot;/&gt;&lt;wsp:rsid wsp:val=&quot;000551DD&quot;/&gt;&lt;wsp:rsid wsp:val=&quot;0005551E&quot;/&gt;&lt;wsp:rsid wsp:val=&quot;00055725&quot;/&gt;&lt;wsp:rsid wsp:val=&quot;0005582F&quot;/&gt;&lt;wsp:rsid wsp:val=&quot;000558B6&quot;/&gt;&lt;wsp:rsid wsp:val=&quot;00055A9A&quot;/&gt;&lt;wsp:rsid wsp:val=&quot;00055D45&quot;/&gt;&lt;wsp:rsid wsp:val=&quot;00055E28&quot;/&gt;&lt;wsp:rsid wsp:val=&quot;000563E2&quot;/&gt;&lt;wsp:rsid wsp:val=&quot;0005646A&quot;/&gt;&lt;wsp:rsid wsp:val=&quot;00056820&quot;/&gt;&lt;wsp:rsid wsp:val=&quot;00056C8F&quot;/&gt;&lt;wsp:rsid wsp:val=&quot;000570B4&quot;/&gt;&lt;wsp:rsid wsp:val=&quot;00057287&quot;/&gt;&lt;wsp:rsid wsp:val=&quot;00057450&quot;/&gt;&lt;wsp:rsid wsp:val=&quot;00057FD1&quot;/&gt;&lt;wsp:rsid wsp:val=&quot;000605C6&quot;/&gt;&lt;wsp:rsid wsp:val=&quot;0006094F&quot;/&gt;&lt;wsp:rsid wsp:val=&quot;00060D9A&quot;/&gt;&lt;wsp:rsid wsp:val=&quot;0006114D&quot;/&gt;&lt;wsp:rsid wsp:val=&quot;00061342&quot;/&gt;&lt;wsp:rsid wsp:val=&quot;000616FB&quot;/&gt;&lt;wsp:rsid wsp:val=&quot;00061D4B&quot;/&gt;&lt;wsp:rsid wsp:val=&quot;0006251F&quot;/&gt;&lt;wsp:rsid wsp:val=&quot;00062BCA&quot;/&gt;&lt;wsp:rsid wsp:val=&quot;00063845&quot;/&gt;&lt;wsp:rsid wsp:val=&quot;00063E7D&quot;/&gt;&lt;wsp:rsid wsp:val=&quot;00063F8C&quot;/&gt;&lt;wsp:rsid wsp:val=&quot;00064336&quot;/&gt;&lt;wsp:rsid wsp:val=&quot;000643A2&quot;/&gt;&lt;wsp:rsid wsp:val=&quot;00064B66&quot;/&gt;&lt;wsp:rsid wsp:val=&quot;00064F9D&quot;/&gt;&lt;wsp:rsid wsp:val=&quot;0006561A&quot;/&gt;&lt;wsp:rsid wsp:val=&quot;000659B9&quot;/&gt;&lt;wsp:rsid wsp:val=&quot;00065B48&quot;/&gt;&lt;wsp:rsid wsp:val=&quot;00065F03&quot;/&gt;&lt;wsp:rsid wsp:val=&quot;00066175&quot;/&gt;&lt;wsp:rsid wsp:val=&quot;000661F0&quot;/&gt;&lt;wsp:rsid wsp:val=&quot;00066384&quot;/&gt;&lt;wsp:rsid wsp:val=&quot;00066556&quot;/&gt;&lt;wsp:rsid wsp:val=&quot;00066C9F&quot;/&gt;&lt;wsp:rsid wsp:val=&quot;00066D83&quot;/&gt;&lt;wsp:rsid wsp:val=&quot;00067045&quot;/&gt;&lt;wsp:rsid wsp:val=&quot;00067A40&quot;/&gt;&lt;wsp:rsid wsp:val=&quot;00067AA3&quot;/&gt;&lt;wsp:rsid wsp:val=&quot;00067AB9&quot;/&gt;&lt;wsp:rsid wsp:val=&quot;00070000&quot;/&gt;&lt;wsp:rsid wsp:val=&quot;00070067&quot;/&gt;&lt;wsp:rsid wsp:val=&quot;0007015F&quot;/&gt;&lt;wsp:rsid wsp:val=&quot;000702C2&quot;/&gt;&lt;wsp:rsid wsp:val=&quot;000702C6&quot;/&gt;&lt;wsp:rsid wsp:val=&quot;00070A24&quot;/&gt;&lt;wsp:rsid wsp:val=&quot;00071628&quot;/&gt;&lt;wsp:rsid wsp:val=&quot;0007185F&quot;/&gt;&lt;wsp:rsid wsp:val=&quot;00072553&quot;/&gt;&lt;wsp:rsid wsp:val=&quot;00072E07&quot;/&gt;&lt;wsp:rsid wsp:val=&quot;00073729&quot;/&gt;&lt;wsp:rsid wsp:val=&quot;000739F2&quot;/&gt;&lt;wsp:rsid wsp:val=&quot;00073E02&quot;/&gt;&lt;wsp:rsid wsp:val=&quot;00074052&quot;/&gt;&lt;wsp:rsid wsp:val=&quot;00074807&quot;/&gt;&lt;wsp:rsid wsp:val=&quot;00075396&quot;/&gt;&lt;wsp:rsid wsp:val=&quot;00075542&quot;/&gt;&lt;wsp:rsid wsp:val=&quot;00075821&quot;/&gt;&lt;wsp:rsid wsp:val=&quot;00075BDC&quot;/&gt;&lt;wsp:rsid wsp:val=&quot;00075C12&quot;/&gt;&lt;wsp:rsid wsp:val=&quot;00076244&quot;/&gt;&lt;wsp:rsid wsp:val=&quot;0007658B&quot;/&gt;&lt;wsp:rsid wsp:val=&quot;000765A5&quot;/&gt;&lt;wsp:rsid wsp:val=&quot;000766B1&quot;/&gt;&lt;wsp:rsid wsp:val=&quot;00076AEC&quot;/&gt;&lt;wsp:rsid wsp:val=&quot;00076B85&quot;/&gt;&lt;wsp:rsid wsp:val=&quot;00077223&quot;/&gt;&lt;wsp:rsid wsp:val=&quot;000775BC&quot;/&gt;&lt;wsp:rsid wsp:val=&quot;00077735&quot;/&gt;&lt;wsp:rsid wsp:val=&quot;00077964&quot;/&gt;&lt;wsp:rsid wsp:val=&quot;00077AC7&quot;/&gt;&lt;wsp:rsid wsp:val=&quot;00080093&quot;/&gt;&lt;wsp:rsid wsp:val=&quot;00080B60&quot;/&gt;&lt;wsp:rsid wsp:val=&quot;00080D86&quot;/&gt;&lt;wsp:rsid wsp:val=&quot;0008123C&quot;/&gt;&lt;wsp:rsid wsp:val=&quot;000815B0&quot;/&gt;&lt;wsp:rsid wsp:val=&quot;000822F8&quot;/&gt;&lt;wsp:rsid wsp:val=&quot;0008289C&quot;/&gt;&lt;wsp:rsid wsp:val=&quot;00082ACC&quot;/&gt;&lt;wsp:rsid wsp:val=&quot;00082EC5&quot;/&gt;&lt;wsp:rsid wsp:val=&quot;00083307&quot;/&gt;&lt;wsp:rsid wsp:val=&quot;0008338D&quot;/&gt;&lt;wsp:rsid wsp:val=&quot;00083405&quot;/&gt;&lt;wsp:rsid wsp:val=&quot;00083653&quot;/&gt;&lt;wsp:rsid wsp:val=&quot;00083ADB&quot;/&gt;&lt;wsp:rsid wsp:val=&quot;00083BC4&quot;/&gt;&lt;wsp:rsid wsp:val=&quot;00083C79&quot;/&gt;&lt;wsp:rsid wsp:val=&quot;000845BC&quot;/&gt;&lt;wsp:rsid wsp:val=&quot;00084681&quot;/&gt;&lt;wsp:rsid wsp:val=&quot;000849E2&quot;/&gt;&lt;wsp:rsid wsp:val=&quot;00085033&quot;/&gt;&lt;wsp:rsid wsp:val=&quot;0008530A&quot;/&gt;&lt;wsp:rsid wsp:val=&quot;00085A95&quot;/&gt;&lt;wsp:rsid wsp:val=&quot;00085CFD&quot;/&gt;&lt;wsp:rsid wsp:val=&quot;0008620C&quot;/&gt;&lt;wsp:rsid wsp:val=&quot;00086329&quot;/&gt;&lt;wsp:rsid wsp:val=&quot;0008638E&quot;/&gt;&lt;wsp:rsid wsp:val=&quot;00086444&quot;/&gt;&lt;wsp:rsid wsp:val=&quot;00086BB9&quot;/&gt;&lt;wsp:rsid wsp:val=&quot;00087727&quot;/&gt;&lt;wsp:rsid wsp:val=&quot;000877E2&quot;/&gt;&lt;wsp:rsid wsp:val=&quot;00087AC4&quot;/&gt;&lt;wsp:rsid wsp:val=&quot;00087E23&quot;/&gt;&lt;wsp:rsid wsp:val=&quot;0009014C&quot;/&gt;&lt;wsp:rsid wsp:val=&quot;0009092E&quot;/&gt;&lt;wsp:rsid wsp:val=&quot;00090D88&quot;/&gt;&lt;wsp:rsid wsp:val=&quot;00091590&quot;/&gt;&lt;wsp:rsid wsp:val=&quot;0009167E&quot;/&gt;&lt;wsp:rsid wsp:val=&quot;00091B44&quot;/&gt;&lt;wsp:rsid wsp:val=&quot;00091DDD&quot;/&gt;&lt;wsp:rsid wsp:val=&quot;00092244&quot;/&gt;&lt;wsp:rsid wsp:val=&quot;000922A0&quot;/&gt;&lt;wsp:rsid wsp:val=&quot;0009250A&quot;/&gt;&lt;wsp:rsid wsp:val=&quot;00092832&quot;/&gt;&lt;wsp:rsid wsp:val=&quot;00092880&quot;/&gt;&lt;wsp:rsid wsp:val=&quot;000928B8&quot;/&gt;&lt;wsp:rsid wsp:val=&quot;00092BDB&quot;/&gt;&lt;wsp:rsid wsp:val=&quot;00092D38&quot;/&gt;&lt;wsp:rsid wsp:val=&quot;00092DF8&quot;/&gt;&lt;wsp:rsid wsp:val=&quot;00093306&quot;/&gt;&lt;wsp:rsid wsp:val=&quot;00093658&quot;/&gt;&lt;wsp:rsid wsp:val=&quot;000936D3&quot;/&gt;&lt;wsp:rsid wsp:val=&quot;00093D53&quot;/&gt;&lt;wsp:rsid wsp:val=&quot;00093FD6&quot;/&gt;&lt;wsp:rsid wsp:val=&quot;000943A3&quot;/&gt;&lt;wsp:rsid wsp:val=&quot;0009494C&quot;/&gt;&lt;wsp:rsid wsp:val=&quot;00094EE1&quot;/&gt;&lt;wsp:rsid wsp:val=&quot;00095196&quot;/&gt;&lt;wsp:rsid wsp:val=&quot;00095C3B&quot;/&gt;&lt;wsp:rsid wsp:val=&quot;00096485&quot;/&gt;&lt;wsp:rsid wsp:val=&quot;000964BF&quot;/&gt;&lt;wsp:rsid wsp:val=&quot;00096807&quot;/&gt;&lt;wsp:rsid wsp:val=&quot;00096843&quot;/&gt;&lt;wsp:rsid wsp:val=&quot;000968B5&quot;/&gt;&lt;wsp:rsid wsp:val=&quot;00096B2F&quot;/&gt;&lt;wsp:rsid wsp:val=&quot;00096F78&quot;/&gt;&lt;wsp:rsid wsp:val=&quot;00097521&quot;/&gt;&lt;wsp:rsid wsp:val=&quot;000978B1&quot;/&gt;&lt;wsp:rsid wsp:val=&quot;000A002B&quot;/&gt;&lt;wsp:rsid wsp:val=&quot;000A0434&quot;/&gt;&lt;wsp:rsid wsp:val=&quot;000A04F0&quot;/&gt;&lt;wsp:rsid wsp:val=&quot;000A08A6&quot;/&gt;&lt;wsp:rsid wsp:val=&quot;000A0932&quot;/&gt;&lt;wsp:rsid wsp:val=&quot;000A0A93&quot;/&gt;&lt;wsp:rsid wsp:val=&quot;000A0BB0&quot;/&gt;&lt;wsp:rsid wsp:val=&quot;000A0DA2&quot;/&gt;&lt;wsp:rsid wsp:val=&quot;000A16CC&quot;/&gt;&lt;wsp:rsid wsp:val=&quot;000A1A46&quot;/&gt;&lt;wsp:rsid wsp:val=&quot;000A1B18&quot;/&gt;&lt;wsp:rsid wsp:val=&quot;000A1C8A&quot;/&gt;&lt;wsp:rsid wsp:val=&quot;000A379F&quot;/&gt;&lt;wsp:rsid wsp:val=&quot;000A38E0&quot;/&gt;&lt;wsp:rsid wsp:val=&quot;000A39DE&quot;/&gt;&lt;wsp:rsid wsp:val=&quot;000A3C68&quot;/&gt;&lt;wsp:rsid wsp:val=&quot;000A3F95&quot;/&gt;&lt;wsp:rsid wsp:val=&quot;000A4373&quot;/&gt;&lt;wsp:rsid wsp:val=&quot;000A4670&quot;/&gt;&lt;wsp:rsid wsp:val=&quot;000A477D&quot;/&gt;&lt;wsp:rsid wsp:val=&quot;000A47CF&quot;/&gt;&lt;wsp:rsid wsp:val=&quot;000A4C05&quot;/&gt;&lt;wsp:rsid wsp:val=&quot;000A4D03&quot;/&gt;&lt;wsp:rsid wsp:val=&quot;000A4FB4&quot;/&gt;&lt;wsp:rsid wsp:val=&quot;000A4FF6&quot;/&gt;&lt;wsp:rsid wsp:val=&quot;000A512E&quot;/&gt;&lt;wsp:rsid wsp:val=&quot;000A525A&quot;/&gt;&lt;wsp:rsid wsp:val=&quot;000A52FF&quot;/&gt;&lt;wsp:rsid wsp:val=&quot;000A57A2&quot;/&gt;&lt;wsp:rsid wsp:val=&quot;000A5EA9&quot;/&gt;&lt;wsp:rsid wsp:val=&quot;000A611E&quot;/&gt;&lt;wsp:rsid wsp:val=&quot;000A6372&quot;/&gt;&lt;wsp:rsid wsp:val=&quot;000A68B1&quot;/&gt;&lt;wsp:rsid wsp:val=&quot;000A6AAC&quot;/&gt;&lt;wsp:rsid wsp:val=&quot;000A6BF9&quot;/&gt;&lt;wsp:rsid wsp:val=&quot;000A6E06&quot;/&gt;&lt;wsp:rsid wsp:val=&quot;000A718C&quot;/&gt;&lt;wsp:rsid wsp:val=&quot;000A741A&quot;/&gt;&lt;wsp:rsid wsp:val=&quot;000A7430&quot;/&gt;&lt;wsp:rsid wsp:val=&quot;000A7482&quot;/&gt;&lt;wsp:rsid wsp:val=&quot;000A7895&quot;/&gt;&lt;wsp:rsid wsp:val=&quot;000A7BD7&quot;/&gt;&lt;wsp:rsid wsp:val=&quot;000A7D80&quot;/&gt;&lt;wsp:rsid wsp:val=&quot;000B1142&quot;/&gt;&lt;wsp:rsid wsp:val=&quot;000B1322&quot;/&gt;&lt;wsp:rsid wsp:val=&quot;000B149A&quot;/&gt;&lt;wsp:rsid wsp:val=&quot;000B14DF&quot;/&gt;&lt;wsp:rsid wsp:val=&quot;000B167D&quot;/&gt;&lt;wsp:rsid wsp:val=&quot;000B1B67&quot;/&gt;&lt;wsp:rsid wsp:val=&quot;000B1E31&quot;/&gt;&lt;wsp:rsid wsp:val=&quot;000B221A&quot;/&gt;&lt;wsp:rsid wsp:val=&quot;000B251B&quot;/&gt;&lt;wsp:rsid wsp:val=&quot;000B25C3&quot;/&gt;&lt;wsp:rsid wsp:val=&quot;000B27FD&quot;/&gt;&lt;wsp:rsid wsp:val=&quot;000B286C&quot;/&gt;&lt;wsp:rsid wsp:val=&quot;000B2B47&quot;/&gt;&lt;wsp:rsid wsp:val=&quot;000B2B6B&quot;/&gt;&lt;wsp:rsid wsp:val=&quot;000B2C1A&quot;/&gt;&lt;wsp:rsid wsp:val=&quot;000B2EB4&quot;/&gt;&lt;wsp:rsid wsp:val=&quot;000B3481&quot;/&gt;&lt;wsp:rsid wsp:val=&quot;000B3B79&quot;/&gt;&lt;wsp:rsid wsp:val=&quot;000B4097&quot;/&gt;&lt;wsp:rsid wsp:val=&quot;000B40D5&quot;/&gt;&lt;wsp:rsid wsp:val=&quot;000B439E&quot;/&gt;&lt;wsp:rsid wsp:val=&quot;000B4880&quot;/&gt;&lt;wsp:rsid wsp:val=&quot;000B4C48&quot;/&gt;&lt;wsp:rsid wsp:val=&quot;000B51E8&quot;/&gt;&lt;wsp:rsid wsp:val=&quot;000B5B75&quot;/&gt;&lt;wsp:rsid wsp:val=&quot;000B5B94&quot;/&gt;&lt;wsp:rsid wsp:val=&quot;000B5C9E&quot;/&gt;&lt;wsp:rsid wsp:val=&quot;000B641C&quot;/&gt;&lt;wsp:rsid wsp:val=&quot;000B6424&quot;/&gt;&lt;wsp:rsid wsp:val=&quot;000B6501&quot;/&gt;&lt;wsp:rsid wsp:val=&quot;000B6618&quot;/&gt;&lt;wsp:rsid wsp:val=&quot;000B693A&quot;/&gt;&lt;wsp:rsid wsp:val=&quot;000B69BA&quot;/&gt;&lt;wsp:rsid wsp:val=&quot;000B6EF4&quot;/&gt;&lt;wsp:rsid wsp:val=&quot;000B6F17&quot;/&gt;&lt;wsp:rsid wsp:val=&quot;000B6F8A&quot;/&gt;&lt;wsp:rsid wsp:val=&quot;000B7311&quot;/&gt;&lt;wsp:rsid wsp:val=&quot;000B7768&quot;/&gt;&lt;wsp:rsid wsp:val=&quot;000B79A3&quot;/&gt;&lt;wsp:rsid wsp:val=&quot;000C060E&quot;/&gt;&lt;wsp:rsid wsp:val=&quot;000C0854&quot;/&gt;&lt;wsp:rsid wsp:val=&quot;000C0E5A&quot;/&gt;&lt;wsp:rsid wsp:val=&quot;000C0F02&quot;/&gt;&lt;wsp:rsid wsp:val=&quot;000C134A&quot;/&gt;&lt;wsp:rsid wsp:val=&quot;000C1706&quot;/&gt;&lt;wsp:rsid wsp:val=&quot;000C1C1D&quot;/&gt;&lt;wsp:rsid wsp:val=&quot;000C1CF9&quot;/&gt;&lt;wsp:rsid wsp:val=&quot;000C1E63&quot;/&gt;&lt;wsp:rsid wsp:val=&quot;000C1FAA&quot;/&gt;&lt;wsp:rsid wsp:val=&quot;000C2A69&quot;/&gt;&lt;wsp:rsid wsp:val=&quot;000C313A&quot;/&gt;&lt;wsp:rsid wsp:val=&quot;000C313D&quot;/&gt;&lt;wsp:rsid wsp:val=&quot;000C324D&quot;/&gt;&lt;wsp:rsid wsp:val=&quot;000C3271&quot;/&gt;&lt;wsp:rsid wsp:val=&quot;000C34E4&quot;/&gt;&lt;wsp:rsid wsp:val=&quot;000C3563&quot;/&gt;&lt;wsp:rsid wsp:val=&quot;000C36F0&quot;/&gt;&lt;wsp:rsid wsp:val=&quot;000C3850&quot;/&gt;&lt;wsp:rsid wsp:val=&quot;000C3B1C&quot;/&gt;&lt;wsp:rsid wsp:val=&quot;000C3D26&quot;/&gt;&lt;wsp:rsid wsp:val=&quot;000C3E41&quot;/&gt;&lt;wsp:rsid wsp:val=&quot;000C40E5&quot;/&gt;&lt;wsp:rsid wsp:val=&quot;000C458C&quot;/&gt;&lt;wsp:rsid wsp:val=&quot;000C4D5D&quot;/&gt;&lt;wsp:rsid wsp:val=&quot;000C55A4&quot;/&gt;&lt;wsp:rsid wsp:val=&quot;000C5DF7&quot;/&gt;&lt;wsp:rsid wsp:val=&quot;000C6617&quot;/&gt;&lt;wsp:rsid wsp:val=&quot;000C68A4&quot;/&gt;&lt;wsp:rsid wsp:val=&quot;000C695C&quot;/&gt;&lt;wsp:rsid wsp:val=&quot;000C7051&quot;/&gt;&lt;wsp:rsid wsp:val=&quot;000C75BD&quot;/&gt;&lt;wsp:rsid wsp:val=&quot;000C771E&quot;/&gt;&lt;wsp:rsid wsp:val=&quot;000C7AF7&quot;/&gt;&lt;wsp:rsid wsp:val=&quot;000C7FDE&quot;/&gt;&lt;wsp:rsid wsp:val=&quot;000D024B&quot;/&gt;&lt;wsp:rsid wsp:val=&quot;000D03D3&quot;/&gt;&lt;wsp:rsid wsp:val=&quot;000D04D2&quot;/&gt;&lt;wsp:rsid wsp:val=&quot;000D05CB&quot;/&gt;&lt;wsp:rsid wsp:val=&quot;000D06AA&quot;/&gt;&lt;wsp:rsid wsp:val=&quot;000D0A5E&quot;/&gt;&lt;wsp:rsid wsp:val=&quot;000D0E34&quot;/&gt;&lt;wsp:rsid wsp:val=&quot;000D123D&quot;/&gt;&lt;wsp:rsid wsp:val=&quot;000D12B2&quot;/&gt;&lt;wsp:rsid wsp:val=&quot;000D1489&quot;/&gt;&lt;wsp:rsid wsp:val=&quot;000D1698&quot;/&gt;&lt;wsp:rsid wsp:val=&quot;000D1A50&quot;/&gt;&lt;wsp:rsid wsp:val=&quot;000D1C03&quot;/&gt;&lt;wsp:rsid wsp:val=&quot;000D1D53&quot;/&gt;&lt;wsp:rsid wsp:val=&quot;000D232C&quot;/&gt;&lt;wsp:rsid wsp:val=&quot;000D285E&quot;/&gt;&lt;wsp:rsid wsp:val=&quot;000D28F0&quot;/&gt;&lt;wsp:rsid wsp:val=&quot;000D296A&quot;/&gt;&lt;wsp:rsid wsp:val=&quot;000D2992&quot;/&gt;&lt;wsp:rsid wsp:val=&quot;000D2C72&quot;/&gt;&lt;wsp:rsid wsp:val=&quot;000D31FD&quot;/&gt;&lt;wsp:rsid wsp:val=&quot;000D3378&quot;/&gt;&lt;wsp:rsid wsp:val=&quot;000D35B2&quot;/&gt;&lt;wsp:rsid wsp:val=&quot;000D3671&quot;/&gt;&lt;wsp:rsid wsp:val=&quot;000D409D&quot;/&gt;&lt;wsp:rsid wsp:val=&quot;000D4513&quot;/&gt;&lt;wsp:rsid wsp:val=&quot;000D4CD0&quot;/&gt;&lt;wsp:rsid wsp:val=&quot;000D4D1D&quot;/&gt;&lt;wsp:rsid wsp:val=&quot;000D4DC6&quot;/&gt;&lt;wsp:rsid wsp:val=&quot;000D4F86&quot;/&gt;&lt;wsp:rsid wsp:val=&quot;000D50D1&quot;/&gt;&lt;wsp:rsid wsp:val=&quot;000D54E7&quot;/&gt;&lt;wsp:rsid wsp:val=&quot;000D5542&quot;/&gt;&lt;wsp:rsid wsp:val=&quot;000D569C&quot;/&gt;&lt;wsp:rsid wsp:val=&quot;000D57B5&quot;/&gt;&lt;wsp:rsid wsp:val=&quot;000D580C&quot;/&gt;&lt;wsp:rsid wsp:val=&quot;000D5848&quot;/&gt;&lt;wsp:rsid wsp:val=&quot;000D59E3&quot;/&gt;&lt;wsp:rsid wsp:val=&quot;000D5ACC&quot;/&gt;&lt;wsp:rsid wsp:val=&quot;000D5E6D&quot;/&gt;&lt;wsp:rsid wsp:val=&quot;000D5ED1&quot;/&gt;&lt;wsp:rsid wsp:val=&quot;000D6903&quot;/&gt;&lt;wsp:rsid wsp:val=&quot;000D6F84&quot;/&gt;&lt;wsp:rsid wsp:val=&quot;000D6FE1&quot;/&gt;&lt;wsp:rsid wsp:val=&quot;000D708D&quot;/&gt;&lt;wsp:rsid wsp:val=&quot;000D753B&quot;/&gt;&lt;wsp:rsid wsp:val=&quot;000D7FBD&quot;/&gt;&lt;wsp:rsid wsp:val=&quot;000E00E8&quot;/&gt;&lt;wsp:rsid wsp:val=&quot;000E013F&quot;/&gt;&lt;wsp:rsid wsp:val=&quot;000E08A7&quot;/&gt;&lt;wsp:rsid wsp:val=&quot;000E0D19&quot;/&gt;&lt;wsp:rsid wsp:val=&quot;000E1064&quot;/&gt;&lt;wsp:rsid wsp:val=&quot;000E1137&quot;/&gt;&lt;wsp:rsid wsp:val=&quot;000E1324&quot;/&gt;&lt;wsp:rsid wsp:val=&quot;000E147C&quot;/&gt;&lt;wsp:rsid wsp:val=&quot;000E16EE&quot;/&gt;&lt;wsp:rsid wsp:val=&quot;000E1736&quot;/&gt;&lt;wsp:rsid wsp:val=&quot;000E1B5F&quot;/&gt;&lt;wsp:rsid wsp:val=&quot;000E20CF&quot;/&gt;&lt;wsp:rsid wsp:val=&quot;000E2277&quot;/&gt;&lt;wsp:rsid wsp:val=&quot;000E22A7&quot;/&gt;&lt;wsp:rsid wsp:val=&quot;000E22ED&quot;/&gt;&lt;wsp:rsid wsp:val=&quot;000E25F1&quot;/&gt;&lt;wsp:rsid wsp:val=&quot;000E2A13&quot;/&gt;&lt;wsp:rsid wsp:val=&quot;000E32F7&quot;/&gt;&lt;wsp:rsid wsp:val=&quot;000E381E&quot;/&gt;&lt;wsp:rsid wsp:val=&quot;000E3AEB&quot;/&gt;&lt;wsp:rsid wsp:val=&quot;000E4019&quot;/&gt;&lt;wsp:rsid wsp:val=&quot;000E4421&quot;/&gt;&lt;wsp:rsid wsp:val=&quot;000E4906&quot;/&gt;&lt;wsp:rsid wsp:val=&quot;000E4CA2&quot;/&gt;&lt;wsp:rsid wsp:val=&quot;000E4F6D&quot;/&gt;&lt;wsp:rsid wsp:val=&quot;000E5496&quot;/&gt;&lt;wsp:rsid wsp:val=&quot;000E56AD&quot;/&gt;&lt;wsp:rsid wsp:val=&quot;000E56C5&quot;/&gt;&lt;wsp:rsid wsp:val=&quot;000E5B04&quot;/&gt;&lt;wsp:rsid wsp:val=&quot;000E64B9&quot;/&gt;&lt;wsp:rsid wsp:val=&quot;000E6562&quot;/&gt;&lt;wsp:rsid wsp:val=&quot;000E6586&quot;/&gt;&lt;wsp:rsid wsp:val=&quot;000E72CA&quot;/&gt;&lt;wsp:rsid wsp:val=&quot;000E7460&quot;/&gt;&lt;wsp:rsid wsp:val=&quot;000E785F&quot;/&gt;&lt;wsp:rsid wsp:val=&quot;000F0095&quot;/&gt;&lt;wsp:rsid wsp:val=&quot;000F0866&quot;/&gt;&lt;wsp:rsid wsp:val=&quot;000F08DE&quot;/&gt;&lt;wsp:rsid wsp:val=&quot;000F0AEA&quot;/&gt;&lt;wsp:rsid wsp:val=&quot;000F0B14&quot;/&gt;&lt;wsp:rsid wsp:val=&quot;000F0D9D&quot;/&gt;&lt;wsp:rsid wsp:val=&quot;000F1187&quot;/&gt;&lt;wsp:rsid wsp:val=&quot;000F13C2&quot;/&gt;&lt;wsp:rsid wsp:val=&quot;000F15F2&quot;/&gt;&lt;wsp:rsid wsp:val=&quot;000F1830&quot;/&gt;&lt;wsp:rsid wsp:val=&quot;000F2759&quot;/&gt;&lt;wsp:rsid wsp:val=&quot;000F317F&quot;/&gt;&lt;wsp:rsid wsp:val=&quot;000F337B&quot;/&gt;&lt;wsp:rsid wsp:val=&quot;000F3CC7&quot;/&gt;&lt;wsp:rsid wsp:val=&quot;000F403D&quot;/&gt;&lt;wsp:rsid wsp:val=&quot;000F4287&quot;/&gt;&lt;wsp:rsid wsp:val=&quot;000F4389&quot;/&gt;&lt;wsp:rsid wsp:val=&quot;000F484B&quot;/&gt;&lt;wsp:rsid wsp:val=&quot;000F4FAE&quot;/&gt;&lt;wsp:rsid wsp:val=&quot;000F5591&quot;/&gt;&lt;wsp:rsid wsp:val=&quot;000F57E4&quot;/&gt;&lt;wsp:rsid wsp:val=&quot;000F5C16&quot;/&gt;&lt;wsp:rsid wsp:val=&quot;000F60E6&quot;/&gt;&lt;wsp:rsid wsp:val=&quot;000F6F5B&quot;/&gt;&lt;wsp:rsid wsp:val=&quot;000F743B&quot;/&gt;&lt;wsp:rsid wsp:val=&quot;000F79ED&quot;/&gt;&lt;wsp:rsid wsp:val=&quot;000F7E8F&quot;/&gt;&lt;wsp:rsid wsp:val=&quot;00100565&quot;/&gt;&lt;wsp:rsid wsp:val=&quot;0010079F&quot;/&gt;&lt;wsp:rsid wsp:val=&quot;001007F6&quot;/&gt;&lt;wsp:rsid wsp:val=&quot;0010085A&quot;/&gt;&lt;wsp:rsid wsp:val=&quot;00100B18&quot;/&gt;&lt;wsp:rsid wsp:val=&quot;00100C0C&quot;/&gt;&lt;wsp:rsid wsp:val=&quot;00100FA1&quot;/&gt;&lt;wsp:rsid wsp:val=&quot;00100FA5&quot;/&gt;&lt;wsp:rsid wsp:val=&quot;0010136D&quot;/&gt;&lt;wsp:rsid wsp:val=&quot;001013C0&quot;/&gt;&lt;wsp:rsid wsp:val=&quot;0010153E&quot;/&gt;&lt;wsp:rsid wsp:val=&quot;001017D1&quot;/&gt;&lt;wsp:rsid wsp:val=&quot;00101889&quot;/&gt;&lt;wsp:rsid wsp:val=&quot;00101BF0&quot;/&gt;&lt;wsp:rsid wsp:val=&quot;00102343&quot;/&gt;&lt;wsp:rsid wsp:val=&quot;00102433&quot;/&gt;&lt;wsp:rsid wsp:val=&quot;00102564&quot;/&gt;&lt;wsp:rsid wsp:val=&quot;001028FB&quot;/&gt;&lt;wsp:rsid wsp:val=&quot;0010291C&quot;/&gt;&lt;wsp:rsid wsp:val=&quot;00102B88&quot;/&gt;&lt;wsp:rsid wsp:val=&quot;00102C99&quot;/&gt;&lt;wsp:rsid wsp:val=&quot;00103887&quot;/&gt;&lt;wsp:rsid wsp:val=&quot;00103962&quot;/&gt;&lt;wsp:rsid wsp:val=&quot;00103D38&quot;/&gt;&lt;wsp:rsid wsp:val=&quot;00104722&quot;/&gt;&lt;wsp:rsid wsp:val=&quot;00104A66&quot;/&gt;&lt;wsp:rsid wsp:val=&quot;00104A96&quot;/&gt;&lt;wsp:rsid wsp:val=&quot;00104DF2&quot;/&gt;&lt;wsp:rsid wsp:val=&quot;00104E38&quot;/&gt;&lt;wsp:rsid wsp:val=&quot;00104E39&quot;/&gt;&lt;wsp:rsid wsp:val=&quot;001053AC&quot;/&gt;&lt;wsp:rsid wsp:val=&quot;001055E1&quot;/&gt;&lt;wsp:rsid wsp:val=&quot;001057A1&quot;/&gt;&lt;wsp:rsid wsp:val=&quot;00105C11&quot;/&gt;&lt;wsp:rsid wsp:val=&quot;00105CA0&quot;/&gt;&lt;wsp:rsid wsp:val=&quot;0010630B&quot;/&gt;&lt;wsp:rsid wsp:val=&quot;0010653D&quot;/&gt;&lt;wsp:rsid wsp:val=&quot;0010728C&quot;/&gt;&lt;wsp:rsid wsp:val=&quot;00107807&quot;/&gt;&lt;wsp:rsid wsp:val=&quot;0010780B&quot;/&gt;&lt;wsp:rsid wsp:val=&quot;0010794E&quot;/&gt;&lt;wsp:rsid wsp:val=&quot;00107B11&quot;/&gt;&lt;wsp:rsid wsp:val=&quot;00107B79&quot;/&gt;&lt;wsp:rsid wsp:val=&quot;00107D7C&quot;/&gt;&lt;wsp:rsid wsp:val=&quot;00107DE6&quot;/&gt;&lt;wsp:rsid wsp:val=&quot;00110460&quot;/&gt;&lt;wsp:rsid wsp:val=&quot;00110AD1&quot;/&gt;&lt;wsp:rsid wsp:val=&quot;00110B44&quot;/&gt;&lt;wsp:rsid wsp:val=&quot;00110C30&quot;/&gt;&lt;wsp:rsid wsp:val=&quot;00110DE8&quot;/&gt;&lt;wsp:rsid wsp:val=&quot;00111278&quot;/&gt;&lt;wsp:rsid wsp:val=&quot;00111481&quot;/&gt;&lt;wsp:rsid wsp:val=&quot;00111703&quot;/&gt;&lt;wsp:rsid wsp:val=&quot;001122D9&quot;/&gt;&lt;wsp:rsid wsp:val=&quot;001125E5&quot;/&gt;&lt;wsp:rsid wsp:val=&quot;001125E7&quot;/&gt;&lt;wsp:rsid wsp:val=&quot;0011327A&quot;/&gt;&lt;wsp:rsid wsp:val=&quot;001132D9&quot;/&gt;&lt;wsp:rsid wsp:val=&quot;00113605&quot;/&gt;&lt;wsp:rsid wsp:val=&quot;00113943&quot;/&gt;&lt;wsp:rsid wsp:val=&quot;00113975&quot;/&gt;&lt;wsp:rsid wsp:val=&quot;00113AE1&quot;/&gt;&lt;wsp:rsid wsp:val=&quot;00113D29&quot;/&gt;&lt;wsp:rsid wsp:val=&quot;0011400E&quot;/&gt;&lt;wsp:rsid wsp:val=&quot;0011403F&quot;/&gt;&lt;wsp:rsid wsp:val=&quot;001144DA&quot;/&gt;&lt;wsp:rsid wsp:val=&quot;0011463D&quot;/&gt;&lt;wsp:rsid wsp:val=&quot;001147C3&quot;/&gt;&lt;wsp:rsid wsp:val=&quot;00115092&quot;/&gt;&lt;wsp:rsid wsp:val=&quot;001151F3&quot;/&gt;&lt;wsp:rsid wsp:val=&quot;001151FC&quot;/&gt;&lt;wsp:rsid wsp:val=&quot;00115369&quot;/&gt;&lt;wsp:rsid wsp:val=&quot;00115564&quot;/&gt;&lt;wsp:rsid wsp:val=&quot;00115E0B&quot;/&gt;&lt;wsp:rsid wsp:val=&quot;00115E7A&quot;/&gt;&lt;wsp:rsid wsp:val=&quot;00115FB8&quot;/&gt;&lt;wsp:rsid wsp:val=&quot;001163B4&quot;/&gt;&lt;wsp:rsid wsp:val=&quot;0011652B&quot;/&gt;&lt;wsp:rsid wsp:val=&quot;0011673A&quot;/&gt;&lt;wsp:rsid wsp:val=&quot;001167F3&quot;/&gt;&lt;wsp:rsid wsp:val=&quot;0011681B&quot;/&gt;&lt;wsp:rsid wsp:val=&quot;00116D9F&quot;/&gt;&lt;wsp:rsid wsp:val=&quot;00117135&quot;/&gt;&lt;wsp:rsid wsp:val=&quot;00117DF4&quot;/&gt;&lt;wsp:rsid wsp:val=&quot;00117E44&quot;/&gt;&lt;wsp:rsid wsp:val=&quot;001208F5&quot;/&gt;&lt;wsp:rsid wsp:val=&quot;00120EEF&quot;/&gt;&lt;wsp:rsid wsp:val=&quot;00121126&quot;/&gt;&lt;wsp:rsid wsp:val=&quot;00121370&quot;/&gt;&lt;wsp:rsid wsp:val=&quot;00121427&quot;/&gt;&lt;wsp:rsid wsp:val=&quot;00121B9F&quot;/&gt;&lt;wsp:rsid wsp:val=&quot;001225E5&quot;/&gt;&lt;wsp:rsid wsp:val=&quot;00123406&quot;/&gt;&lt;wsp:rsid wsp:val=&quot;00124033&quot;/&gt;&lt;wsp:rsid wsp:val=&quot;0012413D&quot;/&gt;&lt;wsp:rsid wsp:val=&quot;0012415F&quot;/&gt;&lt;wsp:rsid wsp:val=&quot;0012466D&quot;/&gt;&lt;wsp:rsid wsp:val=&quot;001246E9&quot;/&gt;&lt;wsp:rsid wsp:val=&quot;00124768&quot;/&gt;&lt;wsp:rsid wsp:val=&quot;0012480C&quot;/&gt;&lt;wsp:rsid wsp:val=&quot;00124B97&quot;/&gt;&lt;wsp:rsid wsp:val=&quot;00124D10&quot;/&gt;&lt;wsp:rsid wsp:val=&quot;00124EFA&quot;/&gt;&lt;wsp:rsid wsp:val=&quot;001253F8&quot;/&gt;&lt;wsp:rsid wsp:val=&quot;001256E6&quot;/&gt;&lt;wsp:rsid wsp:val=&quot;00125704&quot;/&gt;&lt;wsp:rsid wsp:val=&quot;00125993&quot;/&gt;&lt;wsp:rsid wsp:val=&quot;00125E3E&quot;/&gt;&lt;wsp:rsid wsp:val=&quot;00125EC8&quot;/&gt;&lt;wsp:rsid wsp:val=&quot;001267F3&quot;/&gt;&lt;wsp:rsid wsp:val=&quot;00126B33&quot;/&gt;&lt;wsp:rsid wsp:val=&quot;00126B66&quot;/&gt;&lt;wsp:rsid wsp:val=&quot;00126C2D&quot;/&gt;&lt;wsp:rsid wsp:val=&quot;001275D2&quot;/&gt;&lt;wsp:rsid wsp:val=&quot;0012786E&quot;/&gt;&lt;wsp:rsid wsp:val=&quot;00127BAB&quot;/&gt;&lt;wsp:rsid wsp:val=&quot;00127E98&quot;/&gt;&lt;wsp:rsid wsp:val=&quot;00127FB2&quot;/&gt;&lt;wsp:rsid wsp:val=&quot;00127FB5&quot;/&gt;&lt;wsp:rsid wsp:val=&quot;00130A74&quot;/&gt;&lt;wsp:rsid wsp:val=&quot;00130C1F&quot;/&gt;&lt;wsp:rsid wsp:val=&quot;00130DF6&quot;/&gt;&lt;wsp:rsid wsp:val=&quot;001312C9&quot;/&gt;&lt;wsp:rsid wsp:val=&quot;001321C2&quot;/&gt;&lt;wsp:rsid wsp:val=&quot;0013228C&quot;/&gt;&lt;wsp:rsid wsp:val=&quot;00132445&quot;/&gt;&lt;wsp:rsid wsp:val=&quot;001324E1&quot;/&gt;&lt;wsp:rsid wsp:val=&quot;00132A51&quot;/&gt;&lt;wsp:rsid wsp:val=&quot;00132F01&quot;/&gt;&lt;wsp:rsid wsp:val=&quot;001331C9&quot;/&gt;&lt;wsp:rsid wsp:val=&quot;00133252&quot;/&gt;&lt;wsp:rsid wsp:val=&quot;0013329B&quot;/&gt;&lt;wsp:rsid wsp:val=&quot;0013382F&quot;/&gt;&lt;wsp:rsid wsp:val=&quot;00133B6E&quot;/&gt;&lt;wsp:rsid wsp:val=&quot;00133C59&quot;/&gt;&lt;wsp:rsid wsp:val=&quot;001340D6&quot;/&gt;&lt;wsp:rsid wsp:val=&quot;0013449E&quot;/&gt;&lt;wsp:rsid wsp:val=&quot;001348A5&quot;/&gt;&lt;wsp:rsid wsp:val=&quot;00134C65&quot;/&gt;&lt;wsp:rsid wsp:val=&quot;00135B13&quot;/&gt;&lt;wsp:rsid wsp:val=&quot;00135BE2&quot;/&gt;&lt;wsp:rsid wsp:val=&quot;00135E40&quot;/&gt;&lt;wsp:rsid wsp:val=&quot;00136038&quot;/&gt;&lt;wsp:rsid wsp:val=&quot;00136172&quot;/&gt;&lt;wsp:rsid wsp:val=&quot;00136726&quot;/&gt;&lt;wsp:rsid wsp:val=&quot;0013675C&quot;/&gt;&lt;wsp:rsid wsp:val=&quot;00136943&quot;/&gt;&lt;wsp:rsid wsp:val=&quot;00136DD5&quot;/&gt;&lt;wsp:rsid wsp:val=&quot;00137CD1&quot;/&gt;&lt;wsp:rsid wsp:val=&quot;00137DDF&quot;/&gt;&lt;wsp:rsid wsp:val=&quot;00140462&quot;/&gt;&lt;wsp:rsid wsp:val=&quot;001405F2&quot;/&gt;&lt;wsp:rsid wsp:val=&quot;00140671&quot;/&gt;&lt;wsp:rsid wsp:val=&quot;00140930&quot;/&gt;&lt;wsp:rsid wsp:val=&quot;00140D73&quot;/&gt;&lt;wsp:rsid wsp:val=&quot;0014116A&quot;/&gt;&lt;wsp:rsid wsp:val=&quot;0014122E&quot;/&gt;&lt;wsp:rsid wsp:val=&quot;001412BE&quot;/&gt;&lt;wsp:rsid wsp:val=&quot;0014148D&quot;/&gt;&lt;wsp:rsid wsp:val=&quot;00141775&quot;/&gt;&lt;wsp:rsid wsp:val=&quot;001419DB&quot;/&gt;&lt;wsp:rsid wsp:val=&quot;00141C07&quot;/&gt;&lt;wsp:rsid wsp:val=&quot;00141C08&quot;/&gt;&lt;wsp:rsid wsp:val=&quot;00141C38&quot;/&gt;&lt;wsp:rsid wsp:val=&quot;00141EB4&quot;/&gt;&lt;wsp:rsid wsp:val=&quot;00141F2E&quot;/&gt;&lt;wsp:rsid wsp:val=&quot;00141FDD&quot;/&gt;&lt;wsp:rsid wsp:val=&quot;0014294F&quot;/&gt;&lt;wsp:rsid wsp:val=&quot;001429CB&quot;/&gt;&lt;wsp:rsid wsp:val=&quot;00142FE8&quot;/&gt;&lt;wsp:rsid wsp:val=&quot;0014322A&quot;/&gt;&lt;wsp:rsid wsp:val=&quot;001436EE&quot;/&gt;&lt;wsp:rsid wsp:val=&quot;00143B0F&quot;/&gt;&lt;wsp:rsid wsp:val=&quot;00143BC4&quot;/&gt;&lt;wsp:rsid wsp:val=&quot;00143C67&quot;/&gt;&lt;wsp:rsid wsp:val=&quot;00143F7F&quot;/&gt;&lt;wsp:rsid wsp:val=&quot;00144047&quot;/&gt;&lt;wsp:rsid wsp:val=&quot;00144059&quot;/&gt;&lt;wsp:rsid wsp:val=&quot;001440E7&quot;/&gt;&lt;wsp:rsid wsp:val=&quot;00144344&quot;/&gt;&lt;wsp:rsid wsp:val=&quot;00144374&quot;/&gt;&lt;wsp:rsid wsp:val=&quot;0014437D&quot;/&gt;&lt;wsp:rsid wsp:val=&quot;0014466E&quot;/&gt;&lt;wsp:rsid wsp:val=&quot;00144673&quot;/&gt;&lt;wsp:rsid wsp:val=&quot;001446D2&quot;/&gt;&lt;wsp:rsid wsp:val=&quot;00144726&quot;/&gt;&lt;wsp:rsid wsp:val=&quot;00144767&quot;/&gt;&lt;wsp:rsid wsp:val=&quot;0014490D&quot;/&gt;&lt;wsp:rsid wsp:val=&quot;00144F35&quot;/&gt;&lt;wsp:rsid wsp:val=&quot;00145331&quot;/&gt;&lt;wsp:rsid wsp:val=&quot;001455DE&quot;/&gt;&lt;wsp:rsid wsp:val=&quot;00145803&quot;/&gt;&lt;wsp:rsid wsp:val=&quot;00145BF2&quot;/&gt;&lt;wsp:rsid wsp:val=&quot;00145C4D&quot;/&gt;&lt;wsp:rsid wsp:val=&quot;00146184&quot;/&gt;&lt;wsp:rsid wsp:val=&quot;00146391&quot;/&gt;&lt;wsp:rsid wsp:val=&quot;00146607&quot;/&gt;&lt;wsp:rsid wsp:val=&quot;0014699F&quot;/&gt;&lt;wsp:rsid wsp:val=&quot;00146A2F&quot;/&gt;&lt;wsp:rsid wsp:val=&quot;00146B05&quot;/&gt;&lt;wsp:rsid wsp:val=&quot;00146C8A&quot;/&gt;&lt;wsp:rsid wsp:val=&quot;00146D55&quot;/&gt;&lt;wsp:rsid wsp:val=&quot;00146F18&quot;/&gt;&lt;wsp:rsid wsp:val=&quot;00147126&quot;/&gt;&lt;wsp:rsid wsp:val=&quot;0014724F&quot;/&gt;&lt;wsp:rsid wsp:val=&quot;00147295&quot;/&gt;&lt;wsp:rsid wsp:val=&quot;00147818&quot;/&gt;&lt;wsp:rsid wsp:val=&quot;00147FEF&quot;/&gt;&lt;wsp:rsid wsp:val=&quot;00150376&quot;/&gt;&lt;wsp:rsid wsp:val=&quot;001503D0&quot;/&gt;&lt;wsp:rsid wsp:val=&quot;00150521&quot;/&gt;&lt;wsp:rsid wsp:val=&quot;00150814&quot;/&gt;&lt;wsp:rsid wsp:val=&quot;0015087D&quot;/&gt;&lt;wsp:rsid wsp:val=&quot;0015097F&quot;/&gt;&lt;wsp:rsid wsp:val=&quot;001509CA&quot;/&gt;&lt;wsp:rsid wsp:val=&quot;00150C1E&quot;/&gt;&lt;wsp:rsid wsp:val=&quot;0015167F&quot;/&gt;&lt;wsp:rsid wsp:val=&quot;00151943&quot;/&gt;&lt;wsp:rsid wsp:val=&quot;00151F94&quot;/&gt;&lt;wsp:rsid wsp:val=&quot;001524FB&quot;/&gt;&lt;wsp:rsid wsp:val=&quot;00152701&quot;/&gt;&lt;wsp:rsid wsp:val=&quot;00152B08&quot;/&gt;&lt;wsp:rsid wsp:val=&quot;00153540&quot;/&gt;&lt;wsp:rsid wsp:val=&quot;00153976&quot;/&gt;&lt;wsp:rsid wsp:val=&quot;00153DAE&quot;/&gt;&lt;wsp:rsid wsp:val=&quot;00153DC2&quot;/&gt;&lt;wsp:rsid wsp:val=&quot;001540BA&quot;/&gt;&lt;wsp:rsid wsp:val=&quot;00154274&quot;/&gt;&lt;wsp:rsid wsp:val=&quot;001543E0&quot;/&gt;&lt;wsp:rsid wsp:val=&quot;00154653&quot;/&gt;&lt;wsp:rsid wsp:val=&quot;00154F6D&quot;/&gt;&lt;wsp:rsid wsp:val=&quot;001556FC&quot;/&gt;&lt;wsp:rsid wsp:val=&quot;0015573A&quot;/&gt;&lt;wsp:rsid wsp:val=&quot;00155EEA&quot;/&gt;&lt;wsp:rsid wsp:val=&quot;00155FD9&quot;/&gt;&lt;wsp:rsid wsp:val=&quot;00156434&quot;/&gt;&lt;wsp:rsid wsp:val=&quot;00156556&quot;/&gt;&lt;wsp:rsid wsp:val=&quot;00156744&quot;/&gt;&lt;wsp:rsid wsp:val=&quot;00157387&quot;/&gt;&lt;wsp:rsid wsp:val=&quot;00157584&quot;/&gt;&lt;wsp:rsid wsp:val=&quot;001575D4&quot;/&gt;&lt;wsp:rsid wsp:val=&quot;001575F8&quot;/&gt;&lt;wsp:rsid wsp:val=&quot;00157648&quot;/&gt;&lt;wsp:rsid wsp:val=&quot;00157866&quot;/&gt;&lt;wsp:rsid wsp:val=&quot;00157980&quot;/&gt;&lt;wsp:rsid wsp:val=&quot;00157E05&quot;/&gt;&lt;wsp:rsid wsp:val=&quot;00160454&quot;/&gt;&lt;wsp:rsid wsp:val=&quot;0016058D&quot;/&gt;&lt;wsp:rsid wsp:val=&quot;001607E5&quot;/&gt;&lt;wsp:rsid wsp:val=&quot;00160980&quot;/&gt;&lt;wsp:rsid wsp:val=&quot;00160AD4&quot;/&gt;&lt;wsp:rsid wsp:val=&quot;00160BC7&quot;/&gt;&lt;wsp:rsid wsp:val=&quot;0016130B&quot;/&gt;&lt;wsp:rsid wsp:val=&quot;00161353&quot;/&gt;&lt;wsp:rsid wsp:val=&quot;00161462&quot;/&gt;&lt;wsp:rsid wsp:val=&quot;00161490&quot;/&gt;&lt;wsp:rsid wsp:val=&quot;0016182B&quot;/&gt;&lt;wsp:rsid wsp:val=&quot;00161DB9&quot;/&gt;&lt;wsp:rsid wsp:val=&quot;00162104&quot;/&gt;&lt;wsp:rsid wsp:val=&quot;00162740&quot;/&gt;&lt;wsp:rsid wsp:val=&quot;001628A9&quot;/&gt;&lt;wsp:rsid wsp:val=&quot;00162E69&quot;/&gt;&lt;wsp:rsid wsp:val=&quot;00163665&quot;/&gt;&lt;wsp:rsid wsp:val=&quot;00163743&quot;/&gt;&lt;wsp:rsid wsp:val=&quot;00163994&quot;/&gt;&lt;wsp:rsid wsp:val=&quot;001639AB&quot;/&gt;&lt;wsp:rsid wsp:val=&quot;001645C3&quot;/&gt;&lt;wsp:rsid wsp:val=&quot;00164650&quot;/&gt;&lt;wsp:rsid wsp:val=&quot;001649E4&quot;/&gt;&lt;wsp:rsid wsp:val=&quot;00164C4E&quot;/&gt;&lt;wsp:rsid wsp:val=&quot;00164FC4&quot;/&gt;&lt;wsp:rsid wsp:val=&quot;001657A1&quot;/&gt;&lt;wsp:rsid wsp:val=&quot;00165961&quot;/&gt;&lt;wsp:rsid wsp:val=&quot;00165B3A&quot;/&gt;&lt;wsp:rsid wsp:val=&quot;001669D3&quot;/&gt;&lt;wsp:rsid wsp:val=&quot;00166F4B&quot;/&gt;&lt;wsp:rsid wsp:val=&quot;00166FBD&quot;/&gt;&lt;wsp:rsid wsp:val=&quot;0016714B&quot;/&gt;&lt;wsp:rsid wsp:val=&quot;001674EC&quot;/&gt;&lt;wsp:rsid wsp:val=&quot;00167577&quot;/&gt;&lt;wsp:rsid wsp:val=&quot;0017016D&quot;/&gt;&lt;wsp:rsid wsp:val=&quot;001701DB&quot;/&gt;&lt;wsp:rsid wsp:val=&quot;001702AB&quot;/&gt;&lt;wsp:rsid wsp:val=&quot;001702D1&quot;/&gt;&lt;wsp:rsid wsp:val=&quot;001711EE&quot;/&gt;&lt;wsp:rsid wsp:val=&quot;001715F7&quot;/&gt;&lt;wsp:rsid wsp:val=&quot;00171C5B&quot;/&gt;&lt;wsp:rsid wsp:val=&quot;00171D1D&quot;/&gt;&lt;wsp:rsid wsp:val=&quot;00171D8A&quot;/&gt;&lt;wsp:rsid wsp:val=&quot;00172378&quot;/&gt;&lt;wsp:rsid wsp:val=&quot;001727E1&quot;/&gt;&lt;wsp:rsid wsp:val=&quot;0017294C&quot;/&gt;&lt;wsp:rsid wsp:val=&quot;00172971&quot;/&gt;&lt;wsp:rsid wsp:val=&quot;00173011&quot;/&gt;&lt;wsp:rsid wsp:val=&quot;0017323B&quot;/&gt;&lt;wsp:rsid wsp:val=&quot;00173241&quot;/&gt;&lt;wsp:rsid wsp:val=&quot;00173670&quot;/&gt;&lt;wsp:rsid wsp:val=&quot;0017389A&quot;/&gt;&lt;wsp:rsid wsp:val=&quot;00173C4A&quot;/&gt;&lt;wsp:rsid wsp:val=&quot;00173ECC&quot;/&gt;&lt;wsp:rsid wsp:val=&quot;00174454&quot;/&gt;&lt;wsp:rsid wsp:val=&quot;001745DE&quot;/&gt;&lt;wsp:rsid wsp:val=&quot;001747E3&quot;/&gt;&lt;wsp:rsid wsp:val=&quot;00175009&quot;/&gt;&lt;wsp:rsid wsp:val=&quot;001751C4&quot;/&gt;&lt;wsp:rsid wsp:val=&quot;00175348&quot;/&gt;&lt;wsp:rsid wsp:val=&quot;00175713&quot;/&gt;&lt;wsp:rsid wsp:val=&quot;00175844&quot;/&gt;&lt;wsp:rsid wsp:val=&quot;001762BD&quot;/&gt;&lt;wsp:rsid wsp:val=&quot;001769AA&quot;/&gt;&lt;wsp:rsid wsp:val=&quot;001773E7&quot;/&gt;&lt;wsp:rsid wsp:val=&quot;001774A5&quot;/&gt;&lt;wsp:rsid wsp:val=&quot;00177518&quot;/&gt;&lt;wsp:rsid wsp:val=&quot;001775EF&quot;/&gt;&lt;wsp:rsid wsp:val=&quot;00177C23&quot;/&gt;&lt;wsp:rsid wsp:val=&quot;00177C63&quot;/&gt;&lt;wsp:rsid wsp:val=&quot;00177D8A&quot;/&gt;&lt;wsp:rsid wsp:val=&quot;0018028C&quot;/&gt;&lt;wsp:rsid wsp:val=&quot;0018034A&quot;/&gt;&lt;wsp:rsid wsp:val=&quot;001804DC&quot;/&gt;&lt;wsp:rsid wsp:val=&quot;0018072A&quot;/&gt;&lt;wsp:rsid wsp:val=&quot;00180756&quot;/&gt;&lt;wsp:rsid wsp:val=&quot;001807D6&quot;/&gt;&lt;wsp:rsid wsp:val=&quot;00180838&quot;/&gt;&lt;wsp:rsid wsp:val=&quot;00180AB2&quot;/&gt;&lt;wsp:rsid wsp:val=&quot;00180AC9&quot;/&gt;&lt;wsp:rsid wsp:val=&quot;00180C62&quot;/&gt;&lt;wsp:rsid wsp:val=&quot;00180CB8&quot;/&gt;&lt;wsp:rsid wsp:val=&quot;0018185E&quot;/&gt;&lt;wsp:rsid wsp:val=&quot;00181916&quot;/&gt;&lt;wsp:rsid wsp:val=&quot;001819E1&quot;/&gt;&lt;wsp:rsid wsp:val=&quot;00181AF5&quot;/&gt;&lt;wsp:rsid wsp:val=&quot;00181D86&quot;/&gt;&lt;wsp:rsid wsp:val=&quot;00182435&quot;/&gt;&lt;wsp:rsid wsp:val=&quot;0018270F&quot;/&gt;&lt;wsp:rsid wsp:val=&quot;00182B5D&quot;/&gt;&lt;wsp:rsid wsp:val=&quot;00182C59&quot;/&gt;&lt;wsp:rsid wsp:val=&quot;00182D3D&quot;/&gt;&lt;wsp:rsid wsp:val=&quot;00182DD9&quot;/&gt;&lt;wsp:rsid wsp:val=&quot;001830E6&quot;/&gt;&lt;wsp:rsid wsp:val=&quot;001833EA&quot;/&gt;&lt;wsp:rsid wsp:val=&quot;0018344F&quot;/&gt;&lt;wsp:rsid wsp:val=&quot;00183C87&quot;/&gt;&lt;wsp:rsid wsp:val=&quot;00184DF4&quot;/&gt;&lt;wsp:rsid wsp:val=&quot;00184E1F&quot;/&gt;&lt;wsp:rsid wsp:val=&quot;00184E5F&quot;/&gt;&lt;wsp:rsid wsp:val=&quot;00184EA7&quot;/&gt;&lt;wsp:rsid wsp:val=&quot;00184F02&quot;/&gt;&lt;wsp:rsid wsp:val=&quot;001851CE&quot;/&gt;&lt;wsp:rsid wsp:val=&quot;001859B1&quot;/&gt;&lt;wsp:rsid wsp:val=&quot;0018645F&quot;/&gt;&lt;wsp:rsid wsp:val=&quot;00186981&quot;/&gt;&lt;wsp:rsid wsp:val=&quot;00186F25&quot;/&gt;&lt;wsp:rsid wsp:val=&quot;00187388&quot;/&gt;&lt;wsp:rsid wsp:val=&quot;00187D3C&quot;/&gt;&lt;wsp:rsid wsp:val=&quot;00187E46&quot;/&gt;&lt;wsp:rsid wsp:val=&quot;00190701&quot;/&gt;&lt;wsp:rsid wsp:val=&quot;00190B5D&quot;/&gt;&lt;wsp:rsid wsp:val=&quot;00190C3E&quot;/&gt;&lt;wsp:rsid wsp:val=&quot;00190EBA&quot;/&gt;&lt;wsp:rsid wsp:val=&quot;00191054&quot;/&gt;&lt;wsp:rsid wsp:val=&quot;0019249F&quot;/&gt;&lt;wsp:rsid wsp:val=&quot;00192717&quot;/&gt;&lt;wsp:rsid wsp:val=&quot;00192EA2&quot;/&gt;&lt;wsp:rsid wsp:val=&quot;00193079&quot;/&gt;&lt;wsp:rsid wsp:val=&quot;0019361F&quot;/&gt;&lt;wsp:rsid wsp:val=&quot;0019383D&quot;/&gt;&lt;wsp:rsid wsp:val=&quot;00194523&quot;/&gt;&lt;wsp:rsid wsp:val=&quot;0019482F&quot;/&gt;&lt;wsp:rsid wsp:val=&quot;00194E37&quot;/&gt;&lt;wsp:rsid wsp:val=&quot;00194EE0&quot;/&gt;&lt;wsp:rsid wsp:val=&quot;00195278&quot;/&gt;&lt;wsp:rsid wsp:val=&quot;001952EF&quot;/&gt;&lt;wsp:rsid wsp:val=&quot;0019531D&quot;/&gt;&lt;wsp:rsid wsp:val=&quot;001959E3&quot;/&gt;&lt;wsp:rsid wsp:val=&quot;00195B86&quot;/&gt;&lt;wsp:rsid wsp:val=&quot;00195F8B&quot;/&gt;&lt;wsp:rsid wsp:val=&quot;00196048&quot;/&gt;&lt;wsp:rsid wsp:val=&quot;00196061&quot;/&gt;&lt;wsp:rsid wsp:val=&quot;00196267&quot;/&gt;&lt;wsp:rsid wsp:val=&quot;001962DB&quot;/&gt;&lt;wsp:rsid wsp:val=&quot;001964A3&quot;/&gt;&lt;wsp:rsid wsp:val=&quot;001965B3&quot;/&gt;&lt;wsp:rsid wsp:val=&quot;0019674E&quot;/&gt;&lt;wsp:rsid wsp:val=&quot;0019686A&quot;/&gt;&lt;wsp:rsid wsp:val=&quot;00196903&quot;/&gt;&lt;wsp:rsid wsp:val=&quot;00196CEE&quot;/&gt;&lt;wsp:rsid wsp:val=&quot;00196D2C&quot;/&gt;&lt;wsp:rsid wsp:val=&quot;00196E61&quot;/&gt;&lt;wsp:rsid wsp:val=&quot;0019781F&quot;/&gt;&lt;wsp:rsid wsp:val=&quot;001978D8&quot;/&gt;&lt;wsp:rsid wsp:val=&quot;0019796F&quot;/&gt;&lt;wsp:rsid wsp:val=&quot;00197ACD&quot;/&gt;&lt;wsp:rsid wsp:val=&quot;00197BD5&quot;/&gt;&lt;wsp:rsid wsp:val=&quot;00197C63&quot;/&gt;&lt;wsp:rsid wsp:val=&quot;00197D10&quot;/&gt;&lt;wsp:rsid wsp:val=&quot;001A01F8&quot;/&gt;&lt;wsp:rsid wsp:val=&quot;001A0910&quot;/&gt;&lt;wsp:rsid wsp:val=&quot;001A0D8A&quot;/&gt;&lt;wsp:rsid wsp:val=&quot;001A1081&quot;/&gt;&lt;wsp:rsid wsp:val=&quot;001A137C&quot;/&gt;&lt;wsp:rsid wsp:val=&quot;001A15C6&quot;/&gt;&lt;wsp:rsid wsp:val=&quot;001A1E78&quot;/&gt;&lt;wsp:rsid wsp:val=&quot;001A24C9&quot;/&gt;&lt;wsp:rsid wsp:val=&quot;001A26BE&quot;/&gt;&lt;wsp:rsid wsp:val=&quot;001A2BC3&quot;/&gt;&lt;wsp:rsid wsp:val=&quot;001A3487&quot;/&gt;&lt;wsp:rsid wsp:val=&quot;001A3995&quot;/&gt;&lt;wsp:rsid wsp:val=&quot;001A4906&quot;/&gt;&lt;wsp:rsid wsp:val=&quot;001A4F58&quot;/&gt;&lt;wsp:rsid wsp:val=&quot;001A58EB&quot;/&gt;&lt;wsp:rsid wsp:val=&quot;001A5E4D&quot;/&gt;&lt;wsp:rsid wsp:val=&quot;001A5F78&quot;/&gt;&lt;wsp:rsid wsp:val=&quot;001A62C8&quot;/&gt;&lt;wsp:rsid wsp:val=&quot;001A642D&quot;/&gt;&lt;wsp:rsid wsp:val=&quot;001A65EA&quot;/&gt;&lt;wsp:rsid wsp:val=&quot;001A66B2&quot;/&gt;&lt;wsp:rsid wsp:val=&quot;001A7199&quot;/&gt;&lt;wsp:rsid wsp:val=&quot;001A7307&quot;/&gt;&lt;wsp:rsid wsp:val=&quot;001A786A&quot;/&gt;&lt;wsp:rsid wsp:val=&quot;001A7B4C&quot;/&gt;&lt;wsp:rsid wsp:val=&quot;001A7BCF&quot;/&gt;&lt;wsp:rsid wsp:val=&quot;001A7D02&quot;/&gt;&lt;wsp:rsid wsp:val=&quot;001A7E5E&quot;/&gt;&lt;wsp:rsid wsp:val=&quot;001A7E73&quot;/&gt;&lt;wsp:rsid wsp:val=&quot;001B0343&quot;/&gt;&lt;wsp:rsid wsp:val=&quot;001B0C29&quot;/&gt;&lt;wsp:rsid wsp:val=&quot;001B143F&quot;/&gt;&lt;wsp:rsid wsp:val=&quot;001B177A&quot;/&gt;&lt;wsp:rsid wsp:val=&quot;001B1E97&quot;/&gt;&lt;wsp:rsid wsp:val=&quot;001B1F9B&quot;/&gt;&lt;wsp:rsid wsp:val=&quot;001B2007&quot;/&gt;&lt;wsp:rsid wsp:val=&quot;001B24B5&quot;/&gt;&lt;wsp:rsid wsp:val=&quot;001B2C07&quot;/&gt;&lt;wsp:rsid wsp:val=&quot;001B2C65&quot;/&gt;&lt;wsp:rsid wsp:val=&quot;001B30B6&quot;/&gt;&lt;wsp:rsid wsp:val=&quot;001B3352&quot;/&gt;&lt;wsp:rsid wsp:val=&quot;001B366C&quot;/&gt;&lt;wsp:rsid wsp:val=&quot;001B480D&quot;/&gt;&lt;wsp:rsid wsp:val=&quot;001B50EC&quot;/&gt;&lt;wsp:rsid wsp:val=&quot;001B5245&quot;/&gt;&lt;wsp:rsid wsp:val=&quot;001B5723&quot;/&gt;&lt;wsp:rsid wsp:val=&quot;001B5778&quot;/&gt;&lt;wsp:rsid wsp:val=&quot;001B59EA&quot;/&gt;&lt;wsp:rsid wsp:val=&quot;001B5CF0&quot;/&gt;&lt;wsp:rsid wsp:val=&quot;001B5F1B&quot;/&gt;&lt;wsp:rsid wsp:val=&quot;001B5FC3&quot;/&gt;&lt;wsp:rsid wsp:val=&quot;001B6134&quot;/&gt;&lt;wsp:rsid wsp:val=&quot;001B62BE&quot;/&gt;&lt;wsp:rsid wsp:val=&quot;001B6449&quot;/&gt;&lt;wsp:rsid wsp:val=&quot;001B6589&quot;/&gt;&lt;wsp:rsid wsp:val=&quot;001B6727&quot;/&gt;&lt;wsp:rsid wsp:val=&quot;001B677A&quot;/&gt;&lt;wsp:rsid wsp:val=&quot;001B6841&quot;/&gt;&lt;wsp:rsid wsp:val=&quot;001B6EA0&quot;/&gt;&lt;wsp:rsid wsp:val=&quot;001B7237&quot;/&gt;&lt;wsp:rsid wsp:val=&quot;001B72A0&quot;/&gt;&lt;wsp:rsid wsp:val=&quot;001B72CE&quot;/&gt;&lt;wsp:rsid wsp:val=&quot;001B7314&quot;/&gt;&lt;wsp:rsid wsp:val=&quot;001B7436&quot;/&gt;&lt;wsp:rsid wsp:val=&quot;001B7EC8&quot;/&gt;&lt;wsp:rsid wsp:val=&quot;001C0401&quot;/&gt;&lt;wsp:rsid wsp:val=&quot;001C04E9&quot;/&gt;&lt;wsp:rsid wsp:val=&quot;001C0961&quot;/&gt;&lt;wsp:rsid wsp:val=&quot;001C0976&quot;/&gt;&lt;wsp:rsid wsp:val=&quot;001C09FF&quot;/&gt;&lt;wsp:rsid wsp:val=&quot;001C0A5F&quot;/&gt;&lt;wsp:rsid wsp:val=&quot;001C0AE9&quot;/&gt;&lt;wsp:rsid wsp:val=&quot;001C0B0E&quot;/&gt;&lt;wsp:rsid wsp:val=&quot;001C0C95&quot;/&gt;&lt;wsp:rsid wsp:val=&quot;001C0CD6&quot;/&gt;&lt;wsp:rsid wsp:val=&quot;001C16B9&quot;/&gt;&lt;wsp:rsid wsp:val=&quot;001C187C&quot;/&gt;&lt;wsp:rsid wsp:val=&quot;001C18C0&quot;/&gt;&lt;wsp:rsid wsp:val=&quot;001C1C58&quot;/&gt;&lt;wsp:rsid wsp:val=&quot;001C1CAC&quot;/&gt;&lt;wsp:rsid wsp:val=&quot;001C1CEE&quot;/&gt;&lt;wsp:rsid wsp:val=&quot;001C1D1F&quot;/&gt;&lt;wsp:rsid wsp:val=&quot;001C1D75&quot;/&gt;&lt;wsp:rsid wsp:val=&quot;001C2147&quot;/&gt;&lt;wsp:rsid wsp:val=&quot;001C26C9&quot;/&gt;&lt;wsp:rsid wsp:val=&quot;001C2A51&quot;/&gt;&lt;wsp:rsid wsp:val=&quot;001C2A5E&quot;/&gt;&lt;wsp:rsid wsp:val=&quot;001C2C7F&quot;/&gt;&lt;wsp:rsid wsp:val=&quot;001C2E20&quot;/&gt;&lt;wsp:rsid wsp:val=&quot;001C3050&quot;/&gt;&lt;wsp:rsid wsp:val=&quot;001C30A9&quot;/&gt;&lt;wsp:rsid wsp:val=&quot;001C3959&quot;/&gt;&lt;wsp:rsid wsp:val=&quot;001C3C48&quot;/&gt;&lt;wsp:rsid wsp:val=&quot;001C3C6C&quot;/&gt;&lt;wsp:rsid wsp:val=&quot;001C3F0F&quot;/&gt;&lt;wsp:rsid wsp:val=&quot;001C4AEA&quot;/&gt;&lt;wsp:rsid wsp:val=&quot;001C58BD&quot;/&gt;&lt;wsp:rsid wsp:val=&quot;001C5C69&quot;/&gt;&lt;wsp:rsid wsp:val=&quot;001C5C94&quot;/&gt;&lt;wsp:rsid wsp:val=&quot;001C5CEE&quot;/&gt;&lt;wsp:rsid wsp:val=&quot;001C5D71&quot;/&gt;&lt;wsp:rsid wsp:val=&quot;001C6447&quot;/&gt;&lt;wsp:rsid wsp:val=&quot;001C654D&quot;/&gt;&lt;wsp:rsid wsp:val=&quot;001C6B80&quot;/&gt;&lt;wsp:rsid wsp:val=&quot;001C70D3&quot;/&gt;&lt;wsp:rsid wsp:val=&quot;001C71F9&quot;/&gt;&lt;wsp:rsid wsp:val=&quot;001C7204&quot;/&gt;&lt;wsp:rsid wsp:val=&quot;001C7629&quot;/&gt;&lt;wsp:rsid wsp:val=&quot;001C7A9C&quot;/&gt;&lt;wsp:rsid wsp:val=&quot;001C7CE1&quot;/&gt;&lt;wsp:rsid wsp:val=&quot;001D00B9&quot;/&gt;&lt;wsp:rsid wsp:val=&quot;001D0A1C&quot;/&gt;&lt;wsp:rsid wsp:val=&quot;001D0B9D&quot;/&gt;&lt;wsp:rsid wsp:val=&quot;001D0C26&quot;/&gt;&lt;wsp:rsid wsp:val=&quot;001D0DE5&quot;/&gt;&lt;wsp:rsid wsp:val=&quot;001D10EF&quot;/&gt;&lt;wsp:rsid wsp:val=&quot;001D1184&quot;/&gt;&lt;wsp:rsid wsp:val=&quot;001D1322&quot;/&gt;&lt;wsp:rsid wsp:val=&quot;001D1489&quot;/&gt;&lt;wsp:rsid wsp:val=&quot;001D1803&quot;/&gt;&lt;wsp:rsid wsp:val=&quot;001D196E&quot;/&gt;&lt;wsp:rsid wsp:val=&quot;001D1F57&quot;/&gt;&lt;wsp:rsid wsp:val=&quot;001D2001&quot;/&gt;&lt;wsp:rsid wsp:val=&quot;001D2179&quot;/&gt;&lt;wsp:rsid wsp:val=&quot;001D23B3&quot;/&gt;&lt;wsp:rsid wsp:val=&quot;001D26B4&quot;/&gt;&lt;wsp:rsid wsp:val=&quot;001D26D4&quot;/&gt;&lt;wsp:rsid wsp:val=&quot;001D29DD&quot;/&gt;&lt;wsp:rsid wsp:val=&quot;001D2F24&quot;/&gt;&lt;wsp:rsid wsp:val=&quot;001D34A9&quot;/&gt;&lt;wsp:rsid wsp:val=&quot;001D38F3&quot;/&gt;&lt;wsp:rsid wsp:val=&quot;001D3900&quot;/&gt;&lt;wsp:rsid wsp:val=&quot;001D3B05&quot;/&gt;&lt;wsp:rsid wsp:val=&quot;001D4033&quot;/&gt;&lt;wsp:rsid wsp:val=&quot;001D40B1&quot;/&gt;&lt;wsp:rsid wsp:val=&quot;001D42F8&quot;/&gt;&lt;wsp:rsid wsp:val=&quot;001D45EE&quot;/&gt;&lt;wsp:rsid wsp:val=&quot;001D4B4C&quot;/&gt;&lt;wsp:rsid wsp:val=&quot;001D4BB6&quot;/&gt;&lt;wsp:rsid wsp:val=&quot;001D4C1E&quot;/&gt;&lt;wsp:rsid wsp:val=&quot;001D509C&quot;/&gt;&lt;wsp:rsid wsp:val=&quot;001D526E&quot;/&gt;&lt;wsp:rsid wsp:val=&quot;001D5701&quot;/&gt;&lt;wsp:rsid wsp:val=&quot;001D57C5&quot;/&gt;&lt;wsp:rsid wsp:val=&quot;001D5C93&quot;/&gt;&lt;wsp:rsid wsp:val=&quot;001D5E01&quot;/&gt;&lt;wsp:rsid wsp:val=&quot;001D5E5D&quot;/&gt;&lt;wsp:rsid wsp:val=&quot;001D5EE4&quot;/&gt;&lt;wsp:rsid wsp:val=&quot;001D6949&quot;/&gt;&lt;wsp:rsid wsp:val=&quot;001D73C5&quot;/&gt;&lt;wsp:rsid wsp:val=&quot;001D76F6&quot;/&gt;&lt;wsp:rsid wsp:val=&quot;001D775D&quot;/&gt;&lt;wsp:rsid wsp:val=&quot;001D786C&quot;/&gt;&lt;wsp:rsid wsp:val=&quot;001D7CC4&quot;/&gt;&lt;wsp:rsid wsp:val=&quot;001D7D2F&quot;/&gt;&lt;wsp:rsid wsp:val=&quot;001E0296&quot;/&gt;&lt;wsp:rsid wsp:val=&quot;001E04E8&quot;/&gt;&lt;wsp:rsid wsp:val=&quot;001E07A2&quot;/&gt;&lt;wsp:rsid wsp:val=&quot;001E08FD&quot;/&gt;&lt;wsp:rsid wsp:val=&quot;001E1354&quot;/&gt;&lt;wsp:rsid wsp:val=&quot;001E14B9&quot;/&gt;&lt;wsp:rsid wsp:val=&quot;001E18D9&quot;/&gt;&lt;wsp:rsid wsp:val=&quot;001E1FCF&quot;/&gt;&lt;wsp:rsid wsp:val=&quot;001E20FD&quot;/&gt;&lt;wsp:rsid wsp:val=&quot;001E2267&quot;/&gt;&lt;wsp:rsid wsp:val=&quot;001E2637&quot;/&gt;&lt;wsp:rsid wsp:val=&quot;001E2A20&quot;/&gt;&lt;wsp:rsid wsp:val=&quot;001E2D8A&quot;/&gt;&lt;wsp:rsid wsp:val=&quot;001E2EB0&quot;/&gt;&lt;wsp:rsid wsp:val=&quot;001E300D&quot;/&gt;&lt;wsp:rsid wsp:val=&quot;001E30B2&quot;/&gt;&lt;wsp:rsid wsp:val=&quot;001E373C&quot;/&gt;&lt;wsp:rsid wsp:val=&quot;001E3D7D&quot;/&gt;&lt;wsp:rsid wsp:val=&quot;001E3F78&quot;/&gt;&lt;wsp:rsid wsp:val=&quot;001E4198&quot;/&gt;&lt;wsp:rsid wsp:val=&quot;001E43ED&quot;/&gt;&lt;wsp:rsid wsp:val=&quot;001E4F2E&quot;/&gt;&lt;wsp:rsid wsp:val=&quot;001E5033&quot;/&gt;&lt;wsp:rsid wsp:val=&quot;001E5217&quot;/&gt;&lt;wsp:rsid wsp:val=&quot;001E572B&quot;/&gt;&lt;wsp:rsid wsp:val=&quot;001E5C1C&quot;/&gt;&lt;wsp:rsid wsp:val=&quot;001E5C97&quot;/&gt;&lt;wsp:rsid wsp:val=&quot;001E5EDA&quot;/&gt;&lt;wsp:rsid wsp:val=&quot;001E6651&quot;/&gt;&lt;wsp:rsid wsp:val=&quot;001E69EF&quot;/&gt;&lt;wsp:rsid wsp:val=&quot;001E6D44&quot;/&gt;&lt;wsp:rsid wsp:val=&quot;001E7750&quot;/&gt;&lt;wsp:rsid wsp:val=&quot;001E7880&quot;/&gt;&lt;wsp:rsid wsp:val=&quot;001E7EF3&quot;/&gt;&lt;wsp:rsid wsp:val=&quot;001E7F09&quot;/&gt;&lt;wsp:rsid wsp:val=&quot;001F059E&quot;/&gt;&lt;wsp:rsid wsp:val=&quot;001F087D&quot;/&gt;&lt;wsp:rsid wsp:val=&quot;001F0A2D&quot;/&gt;&lt;wsp:rsid wsp:val=&quot;001F0AF1&quot;/&gt;&lt;wsp:rsid wsp:val=&quot;001F1028&quot;/&gt;&lt;wsp:rsid wsp:val=&quot;001F1230&quot;/&gt;&lt;wsp:rsid wsp:val=&quot;001F1778&quot;/&gt;&lt;wsp:rsid wsp:val=&quot;001F1A47&quot;/&gt;&lt;wsp:rsid wsp:val=&quot;001F1C7D&quot;/&gt;&lt;wsp:rsid wsp:val=&quot;001F1D47&quot;/&gt;&lt;wsp:rsid wsp:val=&quot;001F2564&quot;/&gt;&lt;wsp:rsid wsp:val=&quot;001F2779&quot;/&gt;&lt;wsp:rsid wsp:val=&quot;001F2E44&quot;/&gt;&lt;wsp:rsid wsp:val=&quot;001F3051&quot;/&gt;&lt;wsp:rsid wsp:val=&quot;001F31D9&quot;/&gt;&lt;wsp:rsid wsp:val=&quot;001F342D&quot;/&gt;&lt;wsp:rsid wsp:val=&quot;001F35B9&quot;/&gt;&lt;wsp:rsid wsp:val=&quot;001F395C&quot;/&gt;&lt;wsp:rsid wsp:val=&quot;001F399A&quot;/&gt;&lt;wsp:rsid wsp:val=&quot;001F3B40&quot;/&gt;&lt;wsp:rsid wsp:val=&quot;001F4026&quot;/&gt;&lt;wsp:rsid wsp:val=&quot;001F42A4&quot;/&gt;&lt;wsp:rsid wsp:val=&quot;001F42DD&quot;/&gt;&lt;wsp:rsid wsp:val=&quot;001F44DE&quot;/&gt;&lt;wsp:rsid wsp:val=&quot;001F4A12&quot;/&gt;&lt;wsp:rsid wsp:val=&quot;001F4A64&quot;/&gt;&lt;wsp:rsid wsp:val=&quot;001F4B50&quot;/&gt;&lt;wsp:rsid wsp:val=&quot;001F591D&quot;/&gt;&lt;wsp:rsid wsp:val=&quot;001F5BFE&quot;/&gt;&lt;wsp:rsid wsp:val=&quot;001F5FAF&quot;/&gt;&lt;wsp:rsid wsp:val=&quot;001F6325&quot;/&gt;&lt;wsp:rsid wsp:val=&quot;001F653B&quot;/&gt;&lt;wsp:rsid wsp:val=&quot;001F678F&quot;/&gt;&lt;wsp:rsid wsp:val=&quot;001F69FE&quot;/&gt;&lt;wsp:rsid wsp:val=&quot;001F6A0A&quot;/&gt;&lt;wsp:rsid wsp:val=&quot;001F6C9D&quot;/&gt;&lt;wsp:rsid wsp:val=&quot;001F71DE&quot;/&gt;&lt;wsp:rsid wsp:val=&quot;001F728E&quot;/&gt;&lt;wsp:rsid wsp:val=&quot;001F7335&quot;/&gt;&lt;wsp:rsid wsp:val=&quot;001F746B&quot;/&gt;&lt;wsp:rsid wsp:val=&quot;001F783B&quot;/&gt;&lt;wsp:rsid wsp:val=&quot;002004B5&quot;/&gt;&lt;wsp:rsid wsp:val=&quot;00200A58&quot;/&gt;&lt;wsp:rsid wsp:val=&quot;0020115B&quot;/&gt;&lt;wsp:rsid wsp:val=&quot;0020118E&quot;/&gt;&lt;wsp:rsid wsp:val=&quot;00201390&quot;/&gt;&lt;wsp:rsid wsp:val=&quot;00201AD3&quot;/&gt;&lt;wsp:rsid wsp:val=&quot;00201B4F&quot;/&gt;&lt;wsp:rsid wsp:val=&quot;00202731&quot;/&gt;&lt;wsp:rsid wsp:val=&quot;00202FF3&quot;/&gt;&lt;wsp:rsid wsp:val=&quot;00203214&quot;/&gt;&lt;wsp:rsid wsp:val=&quot;00203669&quot;/&gt;&lt;wsp:rsid wsp:val=&quot;00203884&quot;/&gt;&lt;wsp:rsid wsp:val=&quot;00203A11&quot;/&gt;&lt;wsp:rsid wsp:val=&quot;00203A3D&quot;/&gt;&lt;wsp:rsid wsp:val=&quot;00203E63&quot;/&gt;&lt;wsp:rsid wsp:val=&quot;00203F61&quot;/&gt;&lt;wsp:rsid wsp:val=&quot;002040BA&quot;/&gt;&lt;wsp:rsid wsp:val=&quot;00204234&quot;/&gt;&lt;wsp:rsid wsp:val=&quot;00204CB2&quot;/&gt;&lt;wsp:rsid wsp:val=&quot;00204EB1&quot;/&gt;&lt;wsp:rsid wsp:val=&quot;002052F6&quot;/&gt;&lt;wsp:rsid wsp:val=&quot;00205787&quot;/&gt;&lt;wsp:rsid wsp:val=&quot;00205C1E&quot;/&gt;&lt;wsp:rsid wsp:val=&quot;002062A1&quot;/&gt;&lt;wsp:rsid wsp:val=&quot;002062ED&quot;/&gt;&lt;wsp:rsid wsp:val=&quot;002063F5&quot;/&gt;&lt;wsp:rsid wsp:val=&quot;00206B0F&quot;/&gt;&lt;wsp:rsid wsp:val=&quot;00206F17&quot;/&gt;&lt;wsp:rsid wsp:val=&quot;002070B9&quot;/&gt;&lt;wsp:rsid wsp:val=&quot;00207292&quot;/&gt;&lt;wsp:rsid wsp:val=&quot;00207A76&quot;/&gt;&lt;wsp:rsid wsp:val=&quot;00207E9C&quot;/&gt;&lt;wsp:rsid wsp:val=&quot;002109EC&quot;/&gt;&lt;wsp:rsid wsp:val=&quot;00210ED5&quot;/&gt;&lt;wsp:rsid wsp:val=&quot;0021131D&quot;/&gt;&lt;wsp:rsid wsp:val=&quot;00211415&quot;/&gt;&lt;wsp:rsid wsp:val=&quot;0021154F&quot;/&gt;&lt;wsp:rsid wsp:val=&quot;00211603&quot;/&gt;&lt;wsp:rsid wsp:val=&quot;0021178A&quot;/&gt;&lt;wsp:rsid wsp:val=&quot;00211A9D&quot;/&gt;&lt;wsp:rsid wsp:val=&quot;00211E3A&quot;/&gt;&lt;wsp:rsid wsp:val=&quot;00212629&quot;/&gt;&lt;wsp:rsid wsp:val=&quot;00212D0A&quot;/&gt;&lt;wsp:rsid wsp:val=&quot;0021342F&quot;/&gt;&lt;wsp:rsid wsp:val=&quot;00213716&quot;/&gt;&lt;wsp:rsid wsp:val=&quot;00213AA3&quot;/&gt;&lt;wsp:rsid wsp:val=&quot;00213AE7&quot;/&gt;&lt;wsp:rsid wsp:val=&quot;00213CD1&quot;/&gt;&lt;wsp:rsid wsp:val=&quot;002144B9&quot;/&gt;&lt;wsp:rsid wsp:val=&quot;002145B2&quot;/&gt;&lt;wsp:rsid wsp:val=&quot;002148B7&quot;/&gt;&lt;wsp:rsid wsp:val=&quot;00215153&quot;/&gt;&lt;wsp:rsid wsp:val=&quot;002152B4&quot;/&gt;&lt;wsp:rsid wsp:val=&quot;00215363&quot;/&gt;&lt;wsp:rsid wsp:val=&quot;002155D5&quot;/&gt;&lt;wsp:rsid wsp:val=&quot;002157D0&quot;/&gt;&lt;wsp:rsid wsp:val=&quot;002158BB&quot;/&gt;&lt;wsp:rsid wsp:val=&quot;00215923&quot;/&gt;&lt;wsp:rsid wsp:val=&quot;00215B16&quot;/&gt;&lt;wsp:rsid wsp:val=&quot;00216252&quot;/&gt;&lt;wsp:rsid wsp:val=&quot;00216A42&quot;/&gt;&lt;wsp:rsid wsp:val=&quot;0021762E&quot;/&gt;&lt;wsp:rsid wsp:val=&quot;00217863&quot;/&gt;&lt;wsp:rsid wsp:val=&quot;00217875&quot;/&gt;&lt;wsp:rsid wsp:val=&quot;00217C16&quot;/&gt;&lt;wsp:rsid wsp:val=&quot;00217CDD&quot;/&gt;&lt;wsp:rsid wsp:val=&quot;00217DF4&quot;/&gt;&lt;wsp:rsid wsp:val=&quot;00217FF3&quot;/&gt;&lt;wsp:rsid wsp:val=&quot;002201D1&quot;/&gt;&lt;wsp:rsid wsp:val=&quot;0022087F&quot;/&gt;&lt;wsp:rsid wsp:val=&quot;00220A70&quot;/&gt;&lt;wsp:rsid wsp:val=&quot;00220E2B&quot;/&gt;&lt;wsp:rsid wsp:val=&quot;00220FF9&quot;/&gt;&lt;wsp:rsid wsp:val=&quot;00221C9E&quot;/&gt;&lt;wsp:rsid wsp:val=&quot;00221CE5&quot;/&gt;&lt;wsp:rsid wsp:val=&quot;00222238&quot;/&gt;&lt;wsp:rsid wsp:val=&quot;002223C9&quot;/&gt;&lt;wsp:rsid wsp:val=&quot;00222500&quot;/&gt;&lt;wsp:rsid wsp:val=&quot;002226AA&quot;/&gt;&lt;wsp:rsid wsp:val=&quot;0022270D&quot;/&gt;&lt;wsp:rsid wsp:val=&quot;00222C43&quot;/&gt;&lt;wsp:rsid wsp:val=&quot;00222D7F&quot;/&gt;&lt;wsp:rsid wsp:val=&quot;00222DC8&quot;/&gt;&lt;wsp:rsid wsp:val=&quot;002231EE&quot;/&gt;&lt;wsp:rsid wsp:val=&quot;002233E3&quot;/&gt;&lt;wsp:rsid wsp:val=&quot;002239B7&quot;/&gt;&lt;wsp:rsid wsp:val=&quot;00223A30&quot;/&gt;&lt;wsp:rsid wsp:val=&quot;00223B60&quot;/&gt;&lt;wsp:rsid wsp:val=&quot;00223DE6&quot;/&gt;&lt;wsp:rsid wsp:val=&quot;00223F62&quot;/&gt;&lt;wsp:rsid wsp:val=&quot;00223F9C&quot;/&gt;&lt;wsp:rsid wsp:val=&quot;00223FFC&quot;/&gt;&lt;wsp:rsid wsp:val=&quot;002249B1&quot;/&gt;&lt;wsp:rsid wsp:val=&quot;00224B87&quot;/&gt;&lt;wsp:rsid wsp:val=&quot;002252A4&quot;/&gt;&lt;wsp:rsid wsp:val=&quot;002256D7&quot;/&gt;&lt;wsp:rsid wsp:val=&quot;002256F8&quot;/&gt;&lt;wsp:rsid wsp:val=&quot;0022588E&quot;/&gt;&lt;wsp:rsid wsp:val=&quot;00226142&quot;/&gt;&lt;wsp:rsid wsp:val=&quot;00226165&quot;/&gt;&lt;wsp:rsid wsp:val=&quot;0022658A&quot;/&gt;&lt;wsp:rsid wsp:val=&quot;00226901&quot;/&gt;&lt;wsp:rsid wsp:val=&quot;00226C9A&quot;/&gt;&lt;wsp:rsid wsp:val=&quot;00226CAA&quot;/&gt;&lt;wsp:rsid wsp:val=&quot;00226E16&quot;/&gt;&lt;wsp:rsid wsp:val=&quot;00226F0D&quot;/&gt;&lt;wsp:rsid wsp:val=&quot;00226FCA&quot;/&gt;&lt;wsp:rsid wsp:val=&quot;00227818&quot;/&gt;&lt;wsp:rsid wsp:val=&quot;0022783D&quot;/&gt;&lt;wsp:rsid wsp:val=&quot;00227A0E&quot;/&gt;&lt;wsp:rsid wsp:val=&quot;00227CA3&quot;/&gt;&lt;wsp:rsid wsp:val=&quot;00227CAC&quot;/&gt;&lt;wsp:rsid wsp:val=&quot;00227F09&quot;/&gt;&lt;wsp:rsid wsp:val=&quot;002300C7&quot;/&gt;&lt;wsp:rsid wsp:val=&quot;002300D2&quot;/&gt;&lt;wsp:rsid wsp:val=&quot;00230153&quot;/&gt;&lt;wsp:rsid wsp:val=&quot;00230303&quot;/&gt;&lt;wsp:rsid wsp:val=&quot;00230718&quot;/&gt;&lt;wsp:rsid wsp:val=&quot;00230D26&quot;/&gt;&lt;wsp:rsid wsp:val=&quot;002314F1&quot;/&gt;&lt;wsp:rsid wsp:val=&quot;00231683&quot;/&gt;&lt;wsp:rsid wsp:val=&quot;00231CB7&quot;/&gt;&lt;wsp:rsid wsp:val=&quot;00231EF3&quot;/&gt;&lt;wsp:rsid wsp:val=&quot;0023208D&quot;/&gt;&lt;wsp:rsid wsp:val=&quot;00232266&quot;/&gt;&lt;wsp:rsid wsp:val=&quot;002324A6&quot;/&gt;&lt;wsp:rsid wsp:val=&quot;002325A1&quot;/&gt;&lt;wsp:rsid wsp:val=&quot;00232989&quot;/&gt;&lt;wsp:rsid wsp:val=&quot;00232A0A&quot;/&gt;&lt;wsp:rsid wsp:val=&quot;00232B15&quot;/&gt;&lt;wsp:rsid wsp:val=&quot;00232B66&quot;/&gt;&lt;wsp:rsid wsp:val=&quot;00232E63&quot;/&gt;&lt;wsp:rsid wsp:val=&quot;00233149&quot;/&gt;&lt;wsp:rsid wsp:val=&quot;0023329A&quot;/&gt;&lt;wsp:rsid wsp:val=&quot;002333DE&quot;/&gt;&lt;wsp:rsid wsp:val=&quot;00233477&quot;/&gt;&lt;wsp:rsid wsp:val=&quot;00233F42&quot;/&gt;&lt;wsp:rsid wsp:val=&quot;002348CB&quot;/&gt;&lt;wsp:rsid wsp:val=&quot;002349BD&quot;/&gt;&lt;wsp:rsid wsp:val=&quot;00234A0C&quot;/&gt;&lt;wsp:rsid wsp:val=&quot;0023556F&quot;/&gt;&lt;wsp:rsid wsp:val=&quot;00235ACA&quot;/&gt;&lt;wsp:rsid wsp:val=&quot;00236590&quot;/&gt;&lt;wsp:rsid wsp:val=&quot;00236846&quot;/&gt;&lt;wsp:rsid wsp:val=&quot;00236C23&quot;/&gt;&lt;wsp:rsid wsp:val=&quot;00236C72&quot;/&gt;&lt;wsp:rsid wsp:val=&quot;00236C7C&quot;/&gt;&lt;wsp:rsid wsp:val=&quot;00236D67&quot;/&gt;&lt;wsp:rsid wsp:val=&quot;0023725F&quot;/&gt;&lt;wsp:rsid wsp:val=&quot;00237F39&quot;/&gt;&lt;wsp:rsid wsp:val=&quot;002402F2&quot;/&gt;&lt;wsp:rsid wsp:val=&quot;002413BD&quot;/&gt;&lt;wsp:rsid wsp:val=&quot;00241542&quot;/&gt;&lt;wsp:rsid wsp:val=&quot;0024185C&quot;/&gt;&lt;wsp:rsid wsp:val=&quot;002418E7&quot;/&gt;&lt;wsp:rsid wsp:val=&quot;00241A04&quot;/&gt;&lt;wsp:rsid wsp:val=&quot;00241A62&quot;/&gt;&lt;wsp:rsid wsp:val=&quot;00241B80&quot;/&gt;&lt;wsp:rsid wsp:val=&quot;00241C03&quot;/&gt;&lt;wsp:rsid wsp:val=&quot;00241F45&quot;/&gt;&lt;wsp:rsid wsp:val=&quot;00241F5F&quot;/&gt;&lt;wsp:rsid wsp:val=&quot;0024244A&quot;/&gt;&lt;wsp:rsid wsp:val=&quot;0024265F&quot;/&gt;&lt;wsp:rsid wsp:val=&quot;002426C6&quot;/&gt;&lt;wsp:rsid wsp:val=&quot;002427E0&quot;/&gt;&lt;wsp:rsid wsp:val=&quot;00242B14&quot;/&gt;&lt;wsp:rsid wsp:val=&quot;00242C0C&quot;/&gt;&lt;wsp:rsid wsp:val=&quot;00242E31&quot;/&gt;&lt;wsp:rsid wsp:val=&quot;0024301C&quot;/&gt;&lt;wsp:rsid wsp:val=&quot;0024379A&quot;/&gt;&lt;wsp:rsid wsp:val=&quot;00243812&quot;/&gt;&lt;wsp:rsid wsp:val=&quot;00243ACD&quot;/&gt;&lt;wsp:rsid wsp:val=&quot;00243BBE&quot;/&gt;&lt;wsp:rsid wsp:val=&quot;00243C6C&quot;/&gt;&lt;wsp:rsid wsp:val=&quot;0024489F&quot;/&gt;&lt;wsp:rsid wsp:val=&quot;00244FD7&quot;/&gt;&lt;wsp:rsid wsp:val=&quot;0024598B&quot;/&gt;&lt;wsp:rsid wsp:val=&quot;00245AEB&quot;/&gt;&lt;wsp:rsid wsp:val=&quot;002461EA&quot;/&gt;&lt;wsp:rsid wsp:val=&quot;002462E4&quot;/&gt;&lt;wsp:rsid wsp:val=&quot;002467DF&quot;/&gt;&lt;wsp:rsid wsp:val=&quot;0024687E&quot;/&gt;&lt;wsp:rsid wsp:val=&quot;002470B2&quot;/&gt;&lt;wsp:rsid wsp:val=&quot;00247351&quot;/&gt;&lt;wsp:rsid wsp:val=&quot;0024791D&quot;/&gt;&lt;wsp:rsid wsp:val=&quot;00247ACC&quot;/&gt;&lt;wsp:rsid wsp:val=&quot;00247FB1&quot;/&gt;&lt;wsp:rsid wsp:val=&quot;00250170&quot;/&gt;&lt;wsp:rsid wsp:val=&quot;0025022B&quot;/&gt;&lt;wsp:rsid wsp:val=&quot;00251027&quot;/&gt;&lt;wsp:rsid wsp:val=&quot;002510E4&quot;/&gt;&lt;wsp:rsid wsp:val=&quot;0025119D&quot;/&gt;&lt;wsp:rsid wsp:val=&quot;002512E4&quot;/&gt;&lt;wsp:rsid wsp:val=&quot;0025156F&quot;/&gt;&lt;wsp:rsid wsp:val=&quot;00251989&quot;/&gt;&lt;wsp:rsid wsp:val=&quot;00251B43&quot;/&gt;&lt;wsp:rsid wsp:val=&quot;00251FAE&quot;/&gt;&lt;wsp:rsid wsp:val=&quot;002520F8&quot;/&gt;&lt;wsp:rsid wsp:val=&quot;0025211D&quot;/&gt;&lt;wsp:rsid wsp:val=&quot;002526AA&quot;/&gt;&lt;wsp:rsid wsp:val=&quot;0025346F&quot;/&gt;&lt;wsp:rsid wsp:val=&quot;002535C1&quot;/&gt;&lt;wsp:rsid wsp:val=&quot;002535F2&quot;/&gt;&lt;wsp:rsid wsp:val=&quot;00253A28&quot;/&gt;&lt;wsp:rsid wsp:val=&quot;00253B29&quot;/&gt;&lt;wsp:rsid wsp:val=&quot;002540E7&quot;/&gt;&lt;wsp:rsid wsp:val=&quot;0025414B&quot;/&gt;&lt;wsp:rsid wsp:val=&quot;002543FB&quot;/&gt;&lt;wsp:rsid wsp:val=&quot;00254992&quot;/&gt;&lt;wsp:rsid wsp:val=&quot;00254A31&quot;/&gt;&lt;wsp:rsid wsp:val=&quot;00254B17&quot;/&gt;&lt;wsp:rsid wsp:val=&quot;0025529C&quot;/&gt;&lt;wsp:rsid wsp:val=&quot;0025553E&quot;/&gt;&lt;wsp:rsid wsp:val=&quot;002559DA&quot;/&gt;&lt;wsp:rsid wsp:val=&quot;00255A5F&quot;/&gt;&lt;wsp:rsid wsp:val=&quot;002567B3&quot;/&gt;&lt;wsp:rsid wsp:val=&quot;002567D9&quot;/&gt;&lt;wsp:rsid wsp:val=&quot;00257074&quot;/&gt;&lt;wsp:rsid wsp:val=&quot;0025716B&quot;/&gt;&lt;wsp:rsid wsp:val=&quot;002572DE&quot;/&gt;&lt;wsp:rsid wsp:val=&quot;002574AB&quot;/&gt;&lt;wsp:rsid wsp:val=&quot;00257710&quot;/&gt;&lt;wsp:rsid wsp:val=&quot;00257D51&quot;/&gt;&lt;wsp:rsid wsp:val=&quot;00260D34&quot;/&gt;&lt;wsp:rsid wsp:val=&quot;00260E55&quot;/&gt;&lt;wsp:rsid wsp:val=&quot;002617C9&quot;/&gt;&lt;wsp:rsid wsp:val=&quot;002618C2&quot;/&gt;&lt;wsp:rsid wsp:val=&quot;00261D85&quot;/&gt;&lt;wsp:rsid wsp:val=&quot;00262087&quot;/&gt;&lt;wsp:rsid wsp:val=&quot;0026227B&quot;/&gt;&lt;wsp:rsid wsp:val=&quot;00262456&quot;/&gt;&lt;wsp:rsid wsp:val=&quot;0026246C&quot;/&gt;&lt;wsp:rsid wsp:val=&quot;002624A1&quot;/&gt;&lt;wsp:rsid wsp:val=&quot;002627F3&quot;/&gt;&lt;wsp:rsid wsp:val=&quot;00262BD7&quot;/&gt;&lt;wsp:rsid wsp:val=&quot;00262C4D&quot;/&gt;&lt;wsp:rsid wsp:val=&quot;0026359A&quot;/&gt;&lt;wsp:rsid wsp:val=&quot;002636A2&quot;/&gt;&lt;wsp:rsid wsp:val=&quot;002636E9&quot;/&gt;&lt;wsp:rsid wsp:val=&quot;0026396F&quot;/&gt;&lt;wsp:rsid wsp:val=&quot;00263A8D&quot;/&gt;&lt;wsp:rsid wsp:val=&quot;00263C47&quot;/&gt;&lt;wsp:rsid wsp:val=&quot;00263C9F&quot;/&gt;&lt;wsp:rsid wsp:val=&quot;00263E47&quot;/&gt;&lt;wsp:rsid wsp:val=&quot;00263FB4&quot;/&gt;&lt;wsp:rsid wsp:val=&quot;002640D0&quot;/&gt;&lt;wsp:rsid wsp:val=&quot;002643DA&quot;/&gt;&lt;wsp:rsid wsp:val=&quot;002644E2&quot;/&gt;&lt;wsp:rsid wsp:val=&quot;0026461E&quot;/&gt;&lt;wsp:rsid wsp:val=&quot;00264E91&quot;/&gt;&lt;wsp:rsid wsp:val=&quot;00264F6D&quot;/&gt;&lt;wsp:rsid wsp:val=&quot;002655F6&quot;/&gt;&lt;wsp:rsid wsp:val=&quot;0026560C&quot;/&gt;&lt;wsp:rsid wsp:val=&quot;00265FF0&quot;/&gt;&lt;wsp:rsid wsp:val=&quot;00266E09&quot;/&gt;&lt;wsp:rsid wsp:val=&quot;0026739F&quot;/&gt;&lt;wsp:rsid wsp:val=&quot;00267640&quot;/&gt;&lt;wsp:rsid wsp:val=&quot;00270029&quot;/&gt;&lt;wsp:rsid wsp:val=&quot;0027018D&quot;/&gt;&lt;wsp:rsid wsp:val=&quot;00270611&quot;/&gt;&lt;wsp:rsid wsp:val=&quot;00270697&quot;/&gt;&lt;wsp:rsid wsp:val=&quot;00270755&quot;/&gt;&lt;wsp:rsid wsp:val=&quot;00270B47&quot;/&gt;&lt;wsp:rsid wsp:val=&quot;00270D59&quot;/&gt;&lt;wsp:rsid wsp:val=&quot;00271289&quot;/&gt;&lt;wsp:rsid wsp:val=&quot;0027134C&quot;/&gt;&lt;wsp:rsid wsp:val=&quot;00271593&quot;/&gt;&lt;wsp:rsid wsp:val=&quot;002715A6&quot;/&gt;&lt;wsp:rsid wsp:val=&quot;0027161F&quot;/&gt;&lt;wsp:rsid wsp:val=&quot;00271D4D&quot;/&gt;&lt;wsp:rsid wsp:val=&quot;00271E47&quot;/&gt;&lt;wsp:rsid wsp:val=&quot;0027224A&quot;/&gt;&lt;wsp:rsid wsp:val=&quot;002724EF&quot;/&gt;&lt;wsp:rsid wsp:val=&quot;002724F4&quot;/&gt;&lt;wsp:rsid wsp:val=&quot;00272C48&quot;/&gt;&lt;wsp:rsid wsp:val=&quot;002732D0&quot;/&gt;&lt;wsp:rsid wsp:val=&quot;002736D7&quot;/&gt;&lt;wsp:rsid wsp:val=&quot;0027373B&quot;/&gt;&lt;wsp:rsid wsp:val=&quot;00274050&quot;/&gt;&lt;wsp:rsid wsp:val=&quot;00274196&quot;/&gt;&lt;wsp:rsid wsp:val=&quot;00274205&quot;/&gt;&lt;wsp:rsid wsp:val=&quot;002744A3&quot;/&gt;&lt;wsp:rsid wsp:val=&quot;002744AA&quot;/&gt;&lt;wsp:rsid wsp:val=&quot;002747BF&quot;/&gt;&lt;wsp:rsid wsp:val=&quot;002747D0&quot;/&gt;&lt;wsp:rsid wsp:val=&quot;002748ED&quot;/&gt;&lt;wsp:rsid wsp:val=&quot;00274955&quot;/&gt;&lt;wsp:rsid wsp:val=&quot;0027499C&quot;/&gt;&lt;wsp:rsid wsp:val=&quot;00274A6C&quot;/&gt;&lt;wsp:rsid wsp:val=&quot;00274C83&quot;/&gt;&lt;wsp:rsid wsp:val=&quot;00274CDA&quot;/&gt;&lt;wsp:rsid wsp:val=&quot;0027513F&quot;/&gt;&lt;wsp:rsid wsp:val=&quot;00275142&quot;/&gt;&lt;wsp:rsid wsp:val=&quot;00275637&quot;/&gt;&lt;wsp:rsid wsp:val=&quot;002757D0&quot;/&gt;&lt;wsp:rsid wsp:val=&quot;00275A5D&quot;/&gt;&lt;wsp:rsid wsp:val=&quot;00275AD2&quot;/&gt;&lt;wsp:rsid wsp:val=&quot;0027613B&quot;/&gt;&lt;wsp:rsid wsp:val=&quot;0027644C&quot;/&gt;&lt;wsp:rsid wsp:val=&quot;002765AD&quot;/&gt;&lt;wsp:rsid wsp:val=&quot;002767D0&quot;/&gt;&lt;wsp:rsid wsp:val=&quot;00276D6C&quot;/&gt;&lt;wsp:rsid wsp:val=&quot;00276F23&quot;/&gt;&lt;wsp:rsid wsp:val=&quot;0027716C&quot;/&gt;&lt;wsp:rsid wsp:val=&quot;002779DD&quot;/&gt;&lt;wsp:rsid wsp:val=&quot;00277F07&quot;/&gt;&lt;wsp:rsid wsp:val=&quot;0028013C&quot;/&gt;&lt;wsp:rsid wsp:val=&quot;002803DE&quot;/&gt;&lt;wsp:rsid wsp:val=&quot;002804A3&quot;/&gt;&lt;wsp:rsid wsp:val=&quot;00280893&quot;/&gt;&lt;wsp:rsid wsp:val=&quot;002812C9&quot;/&gt;&lt;wsp:rsid wsp:val=&quot;002814EC&quot;/&gt;&lt;wsp:rsid wsp:val=&quot;0028166F&quot;/&gt;&lt;wsp:rsid wsp:val=&quot;00281860&quot;/&gt;&lt;wsp:rsid wsp:val=&quot;00281952&quot;/&gt;&lt;wsp:rsid wsp:val=&quot;00282A78&quot;/&gt;&lt;wsp:rsid wsp:val=&quot;00282B4B&quot;/&gt;&lt;wsp:rsid wsp:val=&quot;00282BDA&quot;/&gt;&lt;wsp:rsid wsp:val=&quot;00282E4D&quot;/&gt;&lt;wsp:rsid wsp:val=&quot;002832E0&quot;/&gt;&lt;wsp:rsid wsp:val=&quot;002833BB&quot;/&gt;&lt;wsp:rsid wsp:val=&quot;0028346E&quot;/&gt;&lt;wsp:rsid wsp:val=&quot;002835C7&quot;/&gt;&lt;wsp:rsid wsp:val=&quot;00284392&quot;/&gt;&lt;wsp:rsid wsp:val=&quot;00284567&quot;/&gt;&lt;wsp:rsid wsp:val=&quot;00284A7F&quot;/&gt;&lt;wsp:rsid wsp:val=&quot;00284BC4&quot;/&gt;&lt;wsp:rsid wsp:val=&quot;00284C0D&quot;/&gt;&lt;wsp:rsid wsp:val=&quot;00285346&quot;/&gt;&lt;wsp:rsid wsp:val=&quot;0028553F&quot;/&gt;&lt;wsp:rsid wsp:val=&quot;00285701&quot;/&gt;&lt;wsp:rsid wsp:val=&quot;00285A7F&quot;/&gt;&lt;wsp:rsid wsp:val=&quot;00285AF2&quot;/&gt;&lt;wsp:rsid wsp:val=&quot;00285FC0&quot;/&gt;&lt;wsp:rsid wsp:val=&quot;00285FC5&quot;/&gt;&lt;wsp:rsid wsp:val=&quot;0028641F&quot;/&gt;&lt;wsp:rsid wsp:val=&quot;002867AA&quot;/&gt;&lt;wsp:rsid wsp:val=&quot;002869F5&quot;/&gt;&lt;wsp:rsid wsp:val=&quot;00286F24&quot;/&gt;&lt;wsp:rsid wsp:val=&quot;00286F32&quot;/&gt;&lt;wsp:rsid wsp:val=&quot;00287223&quot;/&gt;&lt;wsp:rsid wsp:val=&quot;00287681&quot;/&gt;&lt;wsp:rsid wsp:val=&quot;00287EBD&quot;/&gt;&lt;wsp:rsid wsp:val=&quot;00287F8E&quot;/&gt;&lt;wsp:rsid wsp:val=&quot;0029008F&quot;/&gt;&lt;wsp:rsid wsp:val=&quot;0029079A&quot;/&gt;&lt;wsp:rsid wsp:val=&quot;00290A2D&quot;/&gt;&lt;wsp:rsid wsp:val=&quot;002910F2&quot;/&gt;&lt;wsp:rsid wsp:val=&quot;002911F5&quot;/&gt;&lt;wsp:rsid wsp:val=&quot;00291250&quot;/&gt;&lt;wsp:rsid wsp:val=&quot;0029135F&quot;/&gt;&lt;wsp:rsid wsp:val=&quot;0029196D&quot;/&gt;&lt;wsp:rsid wsp:val=&quot;00291A01&quot;/&gt;&lt;wsp:rsid wsp:val=&quot;00291A62&quot;/&gt;&lt;wsp:rsid wsp:val=&quot;00291F28&quot;/&gt;&lt;wsp:rsid wsp:val=&quot;00292687&quot;/&gt;&lt;wsp:rsid wsp:val=&quot;002929B3&quot;/&gt;&lt;wsp:rsid wsp:val=&quot;00292B75&quot;/&gt;&lt;wsp:rsid wsp:val=&quot;00292E90&quot;/&gt;&lt;wsp:rsid wsp:val=&quot;00292F01&quot;/&gt;&lt;wsp:rsid wsp:val=&quot;0029342F&quot;/&gt;&lt;wsp:rsid wsp:val=&quot;002934B1&quot;/&gt;&lt;wsp:rsid wsp:val=&quot;00293626&quot;/&gt;&lt;wsp:rsid wsp:val=&quot;00293B87&quot;/&gt;&lt;wsp:rsid wsp:val=&quot;00293C9E&quot;/&gt;&lt;wsp:rsid wsp:val=&quot;00293DAA&quot;/&gt;&lt;wsp:rsid wsp:val=&quot;00293E69&quot;/&gt;&lt;wsp:rsid wsp:val=&quot;00294076&quot;/&gt;&lt;wsp:rsid wsp:val=&quot;00294094&quot;/&gt;&lt;wsp:rsid wsp:val=&quot;002942B9&quot;/&gt;&lt;wsp:rsid wsp:val=&quot;002944AD&quot;/&gt;&lt;wsp:rsid wsp:val=&quot;00294D12&quot;/&gt;&lt;wsp:rsid wsp:val=&quot;00295814&quot;/&gt;&lt;wsp:rsid wsp:val=&quot;00295EBF&quot;/&gt;&lt;wsp:rsid wsp:val=&quot;00295FCC&quot;/&gt;&lt;wsp:rsid wsp:val=&quot;00296318&quot;/&gt;&lt;wsp:rsid wsp:val=&quot;002963ED&quot;/&gt;&lt;wsp:rsid wsp:val=&quot;00296B3C&quot;/&gt;&lt;wsp:rsid wsp:val=&quot;002976EF&quot;/&gt;&lt;wsp:rsid wsp:val=&quot;00297F6D&quot;/&gt;&lt;wsp:rsid wsp:val=&quot;002A017C&quot;/&gt;&lt;wsp:rsid wsp:val=&quot;002A043F&quot;/&gt;&lt;wsp:rsid wsp:val=&quot;002A082D&quot;/&gt;&lt;wsp:rsid wsp:val=&quot;002A0AC1&quot;/&gt;&lt;wsp:rsid wsp:val=&quot;002A1683&quot;/&gt;&lt;wsp:rsid wsp:val=&quot;002A18F0&quot;/&gt;&lt;wsp:rsid wsp:val=&quot;002A195B&quot;/&gt;&lt;wsp:rsid wsp:val=&quot;002A1B4D&quot;/&gt;&lt;wsp:rsid wsp:val=&quot;002A1D8E&quot;/&gt;&lt;wsp:rsid wsp:val=&quot;002A226C&quot;/&gt;&lt;wsp:rsid wsp:val=&quot;002A25D6&quot;/&gt;&lt;wsp:rsid wsp:val=&quot;002A287D&quot;/&gt;&lt;wsp:rsid wsp:val=&quot;002A30A8&quot;/&gt;&lt;wsp:rsid wsp:val=&quot;002A325C&quot;/&gt;&lt;wsp:rsid wsp:val=&quot;002A354B&quot;/&gt;&lt;wsp:rsid wsp:val=&quot;002A3C55&quot;/&gt;&lt;wsp:rsid wsp:val=&quot;002A3E93&quot;/&gt;&lt;wsp:rsid wsp:val=&quot;002A40B5&quot;/&gt;&lt;wsp:rsid wsp:val=&quot;002A40BF&quot;/&gt;&lt;wsp:rsid wsp:val=&quot;002A438B&quot;/&gt;&lt;wsp:rsid wsp:val=&quot;002A43DA&quot;/&gt;&lt;wsp:rsid wsp:val=&quot;002A4413&quot;/&gt;&lt;wsp:rsid wsp:val=&quot;002A47C6&quot;/&gt;&lt;wsp:rsid wsp:val=&quot;002A4B45&quot;/&gt;&lt;wsp:rsid wsp:val=&quot;002A4F64&quot;/&gt;&lt;wsp:rsid wsp:val=&quot;002A4FAA&quot;/&gt;&lt;wsp:rsid wsp:val=&quot;002A543C&quot;/&gt;&lt;wsp:rsid wsp:val=&quot;002A5850&quot;/&gt;&lt;wsp:rsid wsp:val=&quot;002A5E2B&quot;/&gt;&lt;wsp:rsid wsp:val=&quot;002A60AB&quot;/&gt;&lt;wsp:rsid wsp:val=&quot;002A62D4&quot;/&gt;&lt;wsp:rsid wsp:val=&quot;002A6559&quot;/&gt;&lt;wsp:rsid wsp:val=&quot;002A72E4&quot;/&gt;&lt;wsp:rsid wsp:val=&quot;002A7464&quot;/&gt;&lt;wsp:rsid wsp:val=&quot;002A753D&quot;/&gt;&lt;wsp:rsid wsp:val=&quot;002A76F0&quot;/&gt;&lt;wsp:rsid wsp:val=&quot;002A78B2&quot;/&gt;&lt;wsp:rsid wsp:val=&quot;002A7969&quot;/&gt;&lt;wsp:rsid wsp:val=&quot;002A7DE4&quot;/&gt;&lt;wsp:rsid wsp:val=&quot;002B07B5&quot;/&gt;&lt;wsp:rsid wsp:val=&quot;002B07D5&quot;/&gt;&lt;wsp:rsid wsp:val=&quot;002B0B06&quot;/&gt;&lt;wsp:rsid wsp:val=&quot;002B0B36&quot;/&gt;&lt;wsp:rsid wsp:val=&quot;002B1469&quot;/&gt;&lt;wsp:rsid wsp:val=&quot;002B21F2&quot;/&gt;&lt;wsp:rsid wsp:val=&quot;002B22FF&quot;/&gt;&lt;wsp:rsid wsp:val=&quot;002B2487&quot;/&gt;&lt;wsp:rsid wsp:val=&quot;002B2750&quot;/&gt;&lt;wsp:rsid wsp:val=&quot;002B2CDA&quot;/&gt;&lt;wsp:rsid wsp:val=&quot;002B3B40&quot;/&gt;&lt;wsp:rsid wsp:val=&quot;002B3B45&quot;/&gt;&lt;wsp:rsid wsp:val=&quot;002B3C6E&quot;/&gt;&lt;wsp:rsid wsp:val=&quot;002B4636&quot;/&gt;&lt;wsp:rsid wsp:val=&quot;002B5679&quot;/&gt;&lt;wsp:rsid wsp:val=&quot;002B589F&quot;/&gt;&lt;wsp:rsid wsp:val=&quot;002B5CDE&quot;/&gt;&lt;wsp:rsid wsp:val=&quot;002B6271&quot;/&gt;&lt;wsp:rsid wsp:val=&quot;002B63AB&quot;/&gt;&lt;wsp:rsid wsp:val=&quot;002B6969&quot;/&gt;&lt;wsp:rsid wsp:val=&quot;002B6B15&quot;/&gt;&lt;wsp:rsid wsp:val=&quot;002B6C6C&quot;/&gt;&lt;wsp:rsid wsp:val=&quot;002B6E38&quot;/&gt;&lt;wsp:rsid wsp:val=&quot;002B7093&quot;/&gt;&lt;wsp:rsid wsp:val=&quot;002C028F&quot;/&gt;&lt;wsp:rsid wsp:val=&quot;002C02EC&quot;/&gt;&lt;wsp:rsid wsp:val=&quot;002C02EF&quot;/&gt;&lt;wsp:rsid wsp:val=&quot;002C0435&quot;/&gt;&lt;wsp:rsid wsp:val=&quot;002C0475&quot;/&gt;&lt;wsp:rsid wsp:val=&quot;002C049C&quot;/&gt;&lt;wsp:rsid wsp:val=&quot;002C06A2&quot;/&gt;&lt;wsp:rsid wsp:val=&quot;002C0797&quot;/&gt;&lt;wsp:rsid wsp:val=&quot;002C09C9&quot;/&gt;&lt;wsp:rsid wsp:val=&quot;002C1425&quot;/&gt;&lt;wsp:rsid wsp:val=&quot;002C196B&quot;/&gt;&lt;wsp:rsid wsp:val=&quot;002C1A16&quot;/&gt;&lt;wsp:rsid wsp:val=&quot;002C1D69&quot;/&gt;&lt;wsp:rsid wsp:val=&quot;002C2023&quot;/&gt;&lt;wsp:rsid wsp:val=&quot;002C2E78&quot;/&gt;&lt;wsp:rsid wsp:val=&quot;002C341B&quot;/&gt;&lt;wsp:rsid wsp:val=&quot;002C36FF&quot;/&gt;&lt;wsp:rsid wsp:val=&quot;002C3863&quot;/&gt;&lt;wsp:rsid wsp:val=&quot;002C38D3&quot;/&gt;&lt;wsp:rsid wsp:val=&quot;002C399A&quot;/&gt;&lt;wsp:rsid wsp:val=&quot;002C3F6E&quot;/&gt;&lt;wsp:rsid wsp:val=&quot;002C40E3&quot;/&gt;&lt;wsp:rsid wsp:val=&quot;002C426B&quot;/&gt;&lt;wsp:rsid wsp:val=&quot;002C4910&quot;/&gt;&lt;wsp:rsid wsp:val=&quot;002C51F4&quot;/&gt;&lt;wsp:rsid wsp:val=&quot;002C52BD&quot;/&gt;&lt;wsp:rsid wsp:val=&quot;002C5465&quot;/&gt;&lt;wsp:rsid wsp:val=&quot;002C580B&quot;/&gt;&lt;wsp:rsid wsp:val=&quot;002C5A9A&quot;/&gt;&lt;wsp:rsid wsp:val=&quot;002C5D82&quot;/&gt;&lt;wsp:rsid wsp:val=&quot;002C5F99&quot;/&gt;&lt;wsp:rsid wsp:val=&quot;002C6221&quot;/&gt;&lt;wsp:rsid wsp:val=&quot;002C6936&quot;/&gt;&lt;wsp:rsid wsp:val=&quot;002C6EF6&quot;/&gt;&lt;wsp:rsid wsp:val=&quot;002C70A1&quot;/&gt;&lt;wsp:rsid wsp:val=&quot;002C70EB&quot;/&gt;&lt;wsp:rsid wsp:val=&quot;002C71BC&quot;/&gt;&lt;wsp:rsid wsp:val=&quot;002C7CB3&quot;/&gt;&lt;wsp:rsid wsp:val=&quot;002D01B6&quot;/&gt;&lt;wsp:rsid wsp:val=&quot;002D051A&quot;/&gt;&lt;wsp:rsid wsp:val=&quot;002D066C&quot;/&gt;&lt;wsp:rsid wsp:val=&quot;002D0BD7&quot;/&gt;&lt;wsp:rsid wsp:val=&quot;002D0D75&quot;/&gt;&lt;wsp:rsid wsp:val=&quot;002D17A6&quot;/&gt;&lt;wsp:rsid wsp:val=&quot;002D1F87&quot;/&gt;&lt;wsp:rsid wsp:val=&quot;002D2373&quot;/&gt;&lt;wsp:rsid wsp:val=&quot;002D26F6&quot;/&gt;&lt;wsp:rsid wsp:val=&quot;002D2A19&quot;/&gt;&lt;wsp:rsid wsp:val=&quot;002D2A84&quot;/&gt;&lt;wsp:rsid wsp:val=&quot;002D30BE&quot;/&gt;&lt;wsp:rsid wsp:val=&quot;002D325A&quot;/&gt;&lt;wsp:rsid wsp:val=&quot;002D3A06&quot;/&gt;&lt;wsp:rsid wsp:val=&quot;002D3E99&quot;/&gt;&lt;wsp:rsid wsp:val=&quot;002D3FAD&quot;/&gt;&lt;wsp:rsid wsp:val=&quot;002D4667&quot;/&gt;&lt;wsp:rsid wsp:val=&quot;002D48AC&quot;/&gt;&lt;wsp:rsid wsp:val=&quot;002D4A83&quot;/&gt;&lt;wsp:rsid wsp:val=&quot;002D4C2A&quot;/&gt;&lt;wsp:rsid wsp:val=&quot;002D5156&quot;/&gt;&lt;wsp:rsid wsp:val=&quot;002D5221&quot;/&gt;&lt;wsp:rsid wsp:val=&quot;002D54B2&quot;/&gt;&lt;wsp:rsid wsp:val=&quot;002D5AD5&quot;/&gt;&lt;wsp:rsid wsp:val=&quot;002D5F75&quot;/&gt;&lt;wsp:rsid wsp:val=&quot;002D60C7&quot;/&gt;&lt;wsp:rsid wsp:val=&quot;002D6528&quot;/&gt;&lt;wsp:rsid wsp:val=&quot;002D655D&quot;/&gt;&lt;wsp:rsid wsp:val=&quot;002D6810&quot;/&gt;&lt;wsp:rsid wsp:val=&quot;002D68CE&quot;/&gt;&lt;wsp:rsid wsp:val=&quot;002D68D1&quot;/&gt;&lt;wsp:rsid wsp:val=&quot;002D68F0&quot;/&gt;&lt;wsp:rsid wsp:val=&quot;002D6938&quot;/&gt;&lt;wsp:rsid wsp:val=&quot;002D6EA4&quot;/&gt;&lt;wsp:rsid wsp:val=&quot;002D6F4C&quot;/&gt;&lt;wsp:rsid wsp:val=&quot;002D712B&quot;/&gt;&lt;wsp:rsid wsp:val=&quot;002D7489&quot;/&gt;&lt;wsp:rsid wsp:val=&quot;002D75E1&quot;/&gt;&lt;wsp:rsid wsp:val=&quot;002D7852&quot;/&gt;&lt;wsp:rsid wsp:val=&quot;002D7876&quot;/&gt;&lt;wsp:rsid wsp:val=&quot;002D7F7C&quot;/&gt;&lt;wsp:rsid wsp:val=&quot;002E00F5&quot;/&gt;&lt;wsp:rsid wsp:val=&quot;002E0245&quot;/&gt;&lt;wsp:rsid wsp:val=&quot;002E09BB&quot;/&gt;&lt;wsp:rsid wsp:val=&quot;002E10DC&quot;/&gt;&lt;wsp:rsid wsp:val=&quot;002E155F&quot;/&gt;&lt;wsp:rsid wsp:val=&quot;002E1B96&quot;/&gt;&lt;wsp:rsid wsp:val=&quot;002E1D4F&quot;/&gt;&lt;wsp:rsid wsp:val=&quot;002E1F15&quot;/&gt;&lt;wsp:rsid wsp:val=&quot;002E1F17&quot;/&gt;&lt;wsp:rsid wsp:val=&quot;002E205D&quot;/&gt;&lt;wsp:rsid wsp:val=&quot;002E22DB&quot;/&gt;&lt;wsp:rsid wsp:val=&quot;002E28BB&quot;/&gt;&lt;wsp:rsid wsp:val=&quot;002E2C03&quot;/&gt;&lt;wsp:rsid wsp:val=&quot;002E2EC0&quot;/&gt;&lt;wsp:rsid wsp:val=&quot;002E3387&quot;/&gt;&lt;wsp:rsid wsp:val=&quot;002E34D6&quot;/&gt;&lt;wsp:rsid wsp:val=&quot;002E3B88&quot;/&gt;&lt;wsp:rsid wsp:val=&quot;002E3D5B&quot;/&gt;&lt;wsp:rsid wsp:val=&quot;002E3DAD&quot;/&gt;&lt;wsp:rsid wsp:val=&quot;002E3ED7&quot;/&gt;&lt;wsp:rsid wsp:val=&quot;002E4583&quot;/&gt;&lt;wsp:rsid wsp:val=&quot;002E4707&quot;/&gt;&lt;wsp:rsid wsp:val=&quot;002E4B35&quot;/&gt;&lt;wsp:rsid wsp:val=&quot;002E542B&quot;/&gt;&lt;wsp:rsid wsp:val=&quot;002E6D9B&quot;/&gt;&lt;wsp:rsid wsp:val=&quot;002E7A1F&quot;/&gt;&lt;wsp:rsid wsp:val=&quot;002E7AE0&quot;/&gt;&lt;wsp:rsid wsp:val=&quot;002E7B93&quot;/&gt;&lt;wsp:rsid wsp:val=&quot;002E7F73&quot;/&gt;&lt;wsp:rsid wsp:val=&quot;002F0117&quot;/&gt;&lt;wsp:rsid wsp:val=&quot;002F033F&quot;/&gt;&lt;wsp:rsid wsp:val=&quot;002F0447&quot;/&gt;&lt;wsp:rsid wsp:val=&quot;002F046F&quot;/&gt;&lt;wsp:rsid wsp:val=&quot;002F0546&quot;/&gt;&lt;wsp:rsid wsp:val=&quot;002F0E28&quot;/&gt;&lt;wsp:rsid wsp:val=&quot;002F0F50&quot;/&gt;&lt;wsp:rsid wsp:val=&quot;002F0FBF&quot;/&gt;&lt;wsp:rsid wsp:val=&quot;002F12A5&quot;/&gt;&lt;wsp:rsid wsp:val=&quot;002F1589&quot;/&gt;&lt;wsp:rsid wsp:val=&quot;002F17EF&quot;/&gt;&lt;wsp:rsid wsp:val=&quot;002F1969&quot;/&gt;&lt;wsp:rsid wsp:val=&quot;002F1FC7&quot;/&gt;&lt;wsp:rsid wsp:val=&quot;002F2886&quot;/&gt;&lt;wsp:rsid wsp:val=&quot;002F309F&quot;/&gt;&lt;wsp:rsid wsp:val=&quot;002F33C7&quot;/&gt;&lt;wsp:rsid wsp:val=&quot;002F3538&quot;/&gt;&lt;wsp:rsid wsp:val=&quot;002F3CF1&quot;/&gt;&lt;wsp:rsid wsp:val=&quot;002F3D37&quot;/&gt;&lt;wsp:rsid wsp:val=&quot;002F42BA&quot;/&gt;&lt;wsp:rsid wsp:val=&quot;002F452B&quot;/&gt;&lt;wsp:rsid wsp:val=&quot;002F4635&quot;/&gt;&lt;wsp:rsid wsp:val=&quot;002F4CC1&quot;/&gt;&lt;wsp:rsid wsp:val=&quot;002F4E53&quot;/&gt;&lt;wsp:rsid wsp:val=&quot;002F4E82&quot;/&gt;&lt;wsp:rsid wsp:val=&quot;002F4FEE&quot;/&gt;&lt;wsp:rsid wsp:val=&quot;002F50B4&quot;/&gt;&lt;wsp:rsid wsp:val=&quot;002F5550&quot;/&gt;&lt;wsp:rsid wsp:val=&quot;002F57FD&quot;/&gt;&lt;wsp:rsid wsp:val=&quot;002F5DB6&quot;/&gt;&lt;wsp:rsid wsp:val=&quot;002F5EEF&quot;/&gt;&lt;wsp:rsid wsp:val=&quot;002F5FFD&quot;/&gt;&lt;wsp:rsid wsp:val=&quot;002F6510&quot;/&gt;&lt;wsp:rsid wsp:val=&quot;002F6A30&quot;/&gt;&lt;wsp:rsid wsp:val=&quot;002F6C71&quot;/&gt;&lt;wsp:rsid wsp:val=&quot;002F762A&quot;/&gt;&lt;wsp:rsid wsp:val=&quot;002F7CDE&quot;/&gt;&lt;wsp:rsid wsp:val=&quot;00300614&quot;/&gt;&lt;wsp:rsid wsp:val=&quot;0030079A&quot;/&gt;&lt;wsp:rsid wsp:val=&quot;00300A4F&quot;/&gt;&lt;wsp:rsid wsp:val=&quot;003011E0&quot;/&gt;&lt;wsp:rsid wsp:val=&quot;00301AB9&quot;/&gt;&lt;wsp:rsid wsp:val=&quot;00301E31&quot;/&gt;&lt;wsp:rsid wsp:val=&quot;003020F0&quot;/&gt;&lt;wsp:rsid wsp:val=&quot;003021E3&quot;/&gt;&lt;wsp:rsid wsp:val=&quot;003021EB&quot;/&gt;&lt;wsp:rsid wsp:val=&quot;0030234F&quot;/&gt;&lt;wsp:rsid wsp:val=&quot;003024F1&quot;/&gt;&lt;wsp:rsid wsp:val=&quot;00302C47&quot;/&gt;&lt;wsp:rsid wsp:val=&quot;00302DE7&quot;/&gt;&lt;wsp:rsid wsp:val=&quot;00302E2C&quot;/&gt;&lt;wsp:rsid wsp:val=&quot;0030381E&quot;/&gt;&lt;wsp:rsid wsp:val=&quot;00303848&quot;/&gt;&lt;wsp:rsid wsp:val=&quot;00303894&quot;/&gt;&lt;wsp:rsid wsp:val=&quot;00303A13&quot;/&gt;&lt;wsp:rsid wsp:val=&quot;00303D41&quot;/&gt;&lt;wsp:rsid wsp:val=&quot;0030400B&quot;/&gt;&lt;wsp:rsid wsp:val=&quot;003040BB&quot;/&gt;&lt;wsp:rsid wsp:val=&quot;003042E2&quot;/&gt;&lt;wsp:rsid wsp:val=&quot;00304465&quot;/&gt;&lt;wsp:rsid wsp:val=&quot;00304543&quot;/&gt;&lt;wsp:rsid wsp:val=&quot;00304659&quot;/&gt;&lt;wsp:rsid wsp:val=&quot;00304816&quot;/&gt;&lt;wsp:rsid wsp:val=&quot;00305216&quot;/&gt;&lt;wsp:rsid wsp:val=&quot;00305929&quot;/&gt;&lt;wsp:rsid wsp:val=&quot;00305A87&quot;/&gt;&lt;wsp:rsid wsp:val=&quot;003064CB&quot;/&gt;&lt;wsp:rsid wsp:val=&quot;00306A6A&quot;/&gt;&lt;wsp:rsid wsp:val=&quot;00306AA7&quot;/&gt;&lt;wsp:rsid wsp:val=&quot;00306CB1&quot;/&gt;&lt;wsp:rsid wsp:val=&quot;00306F51&quot;/&gt;&lt;wsp:rsid wsp:val=&quot;00306F9A&quot;/&gt;&lt;wsp:rsid wsp:val=&quot;00307117&quot;/&gt;&lt;wsp:rsid wsp:val=&quot;00307711&quot;/&gt;&lt;wsp:rsid wsp:val=&quot;003077AC&quot;/&gt;&lt;wsp:rsid wsp:val=&quot;00307B03&quot;/&gt;&lt;wsp:rsid wsp:val=&quot;0031013A&quot;/&gt;&lt;wsp:rsid wsp:val=&quot;0031018C&quot;/&gt;&lt;wsp:rsid wsp:val=&quot;003105B2&quot;/&gt;&lt;wsp:rsid wsp:val=&quot;00310832&quot;/&gt;&lt;wsp:rsid wsp:val=&quot;00310AC6&quot;/&gt;&lt;wsp:rsid wsp:val=&quot;00310E02&quot;/&gt;&lt;wsp:rsid wsp:val=&quot;003111BD&quot;/&gt;&lt;wsp:rsid wsp:val=&quot;00311355&quot;/&gt;&lt;wsp:rsid wsp:val=&quot;003118E0&quot;/&gt;&lt;wsp:rsid wsp:val=&quot;00311967&quot;/&gt;&lt;wsp:rsid wsp:val=&quot;00311BFF&quot;/&gt;&lt;wsp:rsid wsp:val=&quot;0031201D&quot;/&gt;&lt;wsp:rsid wsp:val=&quot;003124A8&quot;/&gt;&lt;wsp:rsid wsp:val=&quot;0031286E&quot;/&gt;&lt;wsp:rsid wsp:val=&quot;00312EEF&quot;/&gt;&lt;wsp:rsid wsp:val=&quot;00312FD4&quot;/&gt;&lt;wsp:rsid wsp:val=&quot;0031302C&quot;/&gt;&lt;wsp:rsid wsp:val=&quot;00313A91&quot;/&gt;&lt;wsp:rsid wsp:val=&quot;00313C73&quot;/&gt;&lt;wsp:rsid wsp:val=&quot;0031435C&quot;/&gt;&lt;wsp:rsid wsp:val=&quot;003144DA&quot;/&gt;&lt;wsp:rsid wsp:val=&quot;00314577&quot;/&gt;&lt;wsp:rsid wsp:val=&quot;003145BA&quot;/&gt;&lt;wsp:rsid wsp:val=&quot;003146B3&quot;/&gt;&lt;wsp:rsid wsp:val=&quot;003148C5&quot;/&gt;&lt;wsp:rsid wsp:val=&quot;003148E8&quot;/&gt;&lt;wsp:rsid wsp:val=&quot;0031494A&quot;/&gt;&lt;wsp:rsid wsp:val=&quot;00314D64&quot;/&gt;&lt;wsp:rsid wsp:val=&quot;003153AB&quot;/&gt;&lt;wsp:rsid wsp:val=&quot;00315C1F&quot;/&gt;&lt;wsp:rsid wsp:val=&quot;00316A8D&quot;/&gt;&lt;wsp:rsid wsp:val=&quot;00316B3D&quot;/&gt;&lt;wsp:rsid wsp:val=&quot;0031710A&quot;/&gt;&lt;wsp:rsid wsp:val=&quot;0031727B&quot;/&gt;&lt;wsp:rsid wsp:val=&quot;003173FE&quot;/&gt;&lt;wsp:rsid wsp:val=&quot;0031743E&quot;/&gt;&lt;wsp:rsid wsp:val=&quot;003175D3&quot;/&gt;&lt;wsp:rsid wsp:val=&quot;003176EF&quot;/&gt;&lt;wsp:rsid wsp:val=&quot;00317939&quot;/&gt;&lt;wsp:rsid wsp:val=&quot;00317951&quot;/&gt;&lt;wsp:rsid wsp:val=&quot;003179E4&quot;/&gt;&lt;wsp:rsid wsp:val=&quot;00317A5B&quot;/&gt;&lt;wsp:rsid wsp:val=&quot;00317B85&quot;/&gt;&lt;wsp:rsid wsp:val=&quot;00317C82&quot;/&gt;&lt;wsp:rsid wsp:val=&quot;00317C8D&quot;/&gt;&lt;wsp:rsid wsp:val=&quot;00320125&quot;/&gt;&lt;wsp:rsid wsp:val=&quot;00320258&quot;/&gt;&lt;wsp:rsid wsp:val=&quot;00320778&quot;/&gt;&lt;wsp:rsid wsp:val=&quot;003208F1&quot;/&gt;&lt;wsp:rsid wsp:val=&quot;00320B46&quot;/&gt;&lt;wsp:rsid wsp:val=&quot;00321345&quot;/&gt;&lt;wsp:rsid wsp:val=&quot;003219C6&quot;/&gt;&lt;wsp:rsid wsp:val=&quot;00321BAA&quot;/&gt;&lt;wsp:rsid wsp:val=&quot;00321FE8&quot;/&gt;&lt;wsp:rsid wsp:val=&quot;003228E7&quot;/&gt;&lt;wsp:rsid wsp:val=&quot;00322C86&quot;/&gt;&lt;wsp:rsid wsp:val=&quot;00322F9C&quot;/&gt;&lt;wsp:rsid wsp:val=&quot;00323064&quot;/&gt;&lt;wsp:rsid wsp:val=&quot;00323789&quot;/&gt;&lt;wsp:rsid wsp:val=&quot;003237CD&quot;/&gt;&lt;wsp:rsid wsp:val=&quot;003239FE&quot;/&gt;&lt;wsp:rsid wsp:val=&quot;00323A36&quot;/&gt;&lt;wsp:rsid wsp:val=&quot;00323C3F&quot;/&gt;&lt;wsp:rsid wsp:val=&quot;00324043&quot;/&gt;&lt;wsp:rsid wsp:val=&quot;003240C6&quot;/&gt;&lt;wsp:rsid wsp:val=&quot;003240DB&quot;/&gt;&lt;wsp:rsid wsp:val=&quot;00324172&quot;/&gt;&lt;wsp:rsid wsp:val=&quot;003243F1&quot;/&gt;&lt;wsp:rsid wsp:val=&quot;00324811&quot;/&gt;&lt;wsp:rsid wsp:val=&quot;00324D96&quot;/&gt;&lt;wsp:rsid wsp:val=&quot;003251F5&quot;/&gt;&lt;wsp:rsid wsp:val=&quot;003251FD&quot;/&gt;&lt;wsp:rsid wsp:val=&quot;003252DE&quot;/&gt;&lt;wsp:rsid wsp:val=&quot;0032561C&quot;/&gt;&lt;wsp:rsid wsp:val=&quot;003256BF&quot;/&gt;&lt;wsp:rsid wsp:val=&quot;0032627E&quot;/&gt;&lt;wsp:rsid wsp:val=&quot;003263D2&quot;/&gt;&lt;wsp:rsid wsp:val=&quot;003265DD&quot;/&gt;&lt;wsp:rsid wsp:val=&quot;00326D3E&quot;/&gt;&lt;wsp:rsid wsp:val=&quot;0032714F&quot;/&gt;&lt;wsp:rsid wsp:val=&quot;0032737B&quot;/&gt;&lt;wsp:rsid wsp:val=&quot;0032755B&quot;/&gt;&lt;wsp:rsid wsp:val=&quot;0032756B&quot;/&gt;&lt;wsp:rsid wsp:val=&quot;003278B6&quot;/&gt;&lt;wsp:rsid wsp:val=&quot;00327A8B&quot;/&gt;&lt;wsp:rsid wsp:val=&quot;00327CA0&quot;/&gt;&lt;wsp:rsid wsp:val=&quot;00327E04&quot;/&gt;&lt;wsp:rsid wsp:val=&quot;00327E52&quot;/&gt;&lt;wsp:rsid wsp:val=&quot;00330024&quot;/&gt;&lt;wsp:rsid wsp:val=&quot;0033034B&quot;/&gt;&lt;wsp:rsid wsp:val=&quot;00330B34&quot;/&gt;&lt;wsp:rsid wsp:val=&quot;00331365&quot;/&gt;&lt;wsp:rsid wsp:val=&quot;003316ED&quot;/&gt;&lt;wsp:rsid wsp:val=&quot;0033175A&quot;/&gt;&lt;wsp:rsid wsp:val=&quot;003318EC&quot;/&gt;&lt;wsp:rsid wsp:val=&quot;00331ACB&quot;/&gt;&lt;wsp:rsid wsp:val=&quot;0033226E&quot;/&gt;&lt;wsp:rsid wsp:val=&quot;003322C0&quot;/&gt;&lt;wsp:rsid wsp:val=&quot;0033245B&quot;/&gt;&lt;wsp:rsid wsp:val=&quot;003327D1&quot;/&gt;&lt;wsp:rsid wsp:val=&quot;00332A9F&quot;/&gt;&lt;wsp:rsid wsp:val=&quot;00332C11&quot;/&gt;&lt;wsp:rsid wsp:val=&quot;0033316B&quot;/&gt;&lt;wsp:rsid wsp:val=&quot;003331E4&quot;/&gt;&lt;wsp:rsid wsp:val=&quot;003332A5&quot;/&gt;&lt;wsp:rsid wsp:val=&quot;003332B4&quot;/&gt;&lt;wsp:rsid wsp:val=&quot;003332C9&quot;/&gt;&lt;wsp:rsid wsp:val=&quot;00333498&quot;/&gt;&lt;wsp:rsid wsp:val=&quot;00333521&quot;/&gt;&lt;wsp:rsid wsp:val=&quot;00333680&quot;/&gt;&lt;wsp:rsid wsp:val=&quot;00333F62&quot;/&gt;&lt;wsp:rsid wsp:val=&quot;003340C4&quot;/&gt;&lt;wsp:rsid wsp:val=&quot;003342C3&quot;/&gt;&lt;wsp:rsid wsp:val=&quot;00334AB7&quot;/&gt;&lt;wsp:rsid wsp:val=&quot;00334DBD&quot;/&gt;&lt;wsp:rsid wsp:val=&quot;00334F85&quot;/&gt;&lt;wsp:rsid wsp:val=&quot;0033524F&quot;/&gt;&lt;wsp:rsid wsp:val=&quot;003354E8&quot;/&gt;&lt;wsp:rsid wsp:val=&quot;00335704&quot;/&gt;&lt;wsp:rsid wsp:val=&quot;00335B8C&quot;/&gt;&lt;wsp:rsid wsp:val=&quot;00335BEC&quot;/&gt;&lt;wsp:rsid wsp:val=&quot;00335C3B&quot;/&gt;&lt;wsp:rsid wsp:val=&quot;00335FEF&quot;/&gt;&lt;wsp:rsid wsp:val=&quot;00336121&quot;/&gt;&lt;wsp:rsid wsp:val=&quot;00336146&quot;/&gt;&lt;wsp:rsid wsp:val=&quot;003369C1&quot;/&gt;&lt;wsp:rsid wsp:val=&quot;00336D68&quot;/&gt;&lt;wsp:rsid wsp:val=&quot;00336D7E&quot;/&gt;&lt;wsp:rsid wsp:val=&quot;00337075&quot;/&gt;&lt;wsp:rsid wsp:val=&quot;0033707C&quot;/&gt;&lt;wsp:rsid wsp:val=&quot;003373A9&quot;/&gt;&lt;wsp:rsid wsp:val=&quot;003373F7&quot;/&gt;&lt;wsp:rsid wsp:val=&quot;003375F2&quot;/&gt;&lt;wsp:rsid wsp:val=&quot;0033764C&quot;/&gt;&lt;wsp:rsid wsp:val=&quot;003379E1&quot;/&gt;&lt;wsp:rsid wsp:val=&quot;0034005A&quot;/&gt;&lt;wsp:rsid wsp:val=&quot;00340105&quot;/&gt;&lt;wsp:rsid wsp:val=&quot;003405F2&quot;/&gt;&lt;wsp:rsid wsp:val=&quot;0034077B&quot;/&gt;&lt;wsp:rsid wsp:val=&quot;00340B3C&quot;/&gt;&lt;wsp:rsid wsp:val=&quot;00340EA3&quot;/&gt;&lt;wsp:rsid wsp:val=&quot;00340EC3&quot;/&gt;&lt;wsp:rsid wsp:val=&quot;00341352&quot;/&gt;&lt;wsp:rsid wsp:val=&quot;0034136D&quot;/&gt;&lt;wsp:rsid wsp:val=&quot;00341648&quot;/&gt;&lt;wsp:rsid wsp:val=&quot;00341871&quot;/&gt;&lt;wsp:rsid wsp:val=&quot;00341BA2&quot;/&gt;&lt;wsp:rsid wsp:val=&quot;0034246D&quot;/&gt;&lt;wsp:rsid wsp:val=&quot;003426DD&quot;/&gt;&lt;wsp:rsid wsp:val=&quot;003429BB&quot;/&gt;&lt;wsp:rsid wsp:val=&quot;00342C6D&quot;/&gt;&lt;wsp:rsid wsp:val=&quot;00342D91&quot;/&gt;&lt;wsp:rsid wsp:val=&quot;0034360D&quot;/&gt;&lt;wsp:rsid wsp:val=&quot;00343823&quot;/&gt;&lt;wsp:rsid wsp:val=&quot;00343AEB&quot;/&gt;&lt;wsp:rsid wsp:val=&quot;00343B37&quot;/&gt;&lt;wsp:rsid wsp:val=&quot;003441AF&quot;/&gt;&lt;wsp:rsid wsp:val=&quot;0034430C&quot;/&gt;&lt;wsp:rsid wsp:val=&quot;0034477E&quot;/&gt;&lt;wsp:rsid wsp:val=&quot;0034499B&quot;/&gt;&lt;wsp:rsid wsp:val=&quot;003449EE&quot;/&gt;&lt;wsp:rsid wsp:val=&quot;00344C86&quot;/&gt;&lt;wsp:rsid wsp:val=&quot;00345346&quot;/&gt;&lt;wsp:rsid wsp:val=&quot;003459A5&quot;/&gt;&lt;wsp:rsid wsp:val=&quot;00345E3E&quot;/&gt;&lt;wsp:rsid wsp:val=&quot;00345E83&quot;/&gt;&lt;wsp:rsid wsp:val=&quot;003461A8&quot;/&gt;&lt;wsp:rsid wsp:val=&quot;003461B5&quot;/&gt;&lt;wsp:rsid wsp:val=&quot;0034647F&quot;/&gt;&lt;wsp:rsid wsp:val=&quot;003465BD&quot;/&gt;&lt;wsp:rsid wsp:val=&quot;003467BA&quot;/&gt;&lt;wsp:rsid wsp:val=&quot;003472CE&quot;/&gt;&lt;wsp:rsid wsp:val=&quot;003474C7&quot;/&gt;&lt;wsp:rsid wsp:val=&quot;00347AEC&quot;/&gt;&lt;wsp:rsid wsp:val=&quot;00350027&quot;/&gt;&lt;wsp:rsid wsp:val=&quot;003501D8&quot;/&gt;&lt;wsp:rsid wsp:val=&quot;003506E8&quot;/&gt;&lt;wsp:rsid wsp:val=&quot;00350808&quot;/&gt;&lt;wsp:rsid wsp:val=&quot;00350B40&quot;/&gt;&lt;wsp:rsid wsp:val=&quot;00350BE1&quot;/&gt;&lt;wsp:rsid wsp:val=&quot;00350C45&quot;/&gt;&lt;wsp:rsid wsp:val=&quot;00350D37&quot;/&gt;&lt;wsp:rsid wsp:val=&quot;003513D0&quot;/&gt;&lt;wsp:rsid wsp:val=&quot;00351544&quot;/&gt;&lt;wsp:rsid wsp:val=&quot;00351D23&quot;/&gt;&lt;wsp:rsid wsp:val=&quot;00352111&quot;/&gt;&lt;wsp:rsid wsp:val=&quot;0035243E&quot;/&gt;&lt;wsp:rsid wsp:val=&quot;003529B5&quot;/&gt;&lt;wsp:rsid wsp:val=&quot;003529C4&quot;/&gt;&lt;wsp:rsid wsp:val=&quot;00352D51&quot;/&gt;&lt;wsp:rsid wsp:val=&quot;0035318B&quot;/&gt;&lt;wsp:rsid wsp:val=&quot;0035377D&quot;/&gt;&lt;wsp:rsid wsp:val=&quot;00353951&quot;/&gt;&lt;wsp:rsid wsp:val=&quot;00353DEF&quot;/&gt;&lt;wsp:rsid wsp:val=&quot;003548CE&quot;/&gt;&lt;wsp:rsid wsp:val=&quot;003550CB&quot;/&gt;&lt;wsp:rsid wsp:val=&quot;0035532F&quot;/&gt;&lt;wsp:rsid wsp:val=&quot;00355506&quot;/&gt;&lt;wsp:rsid wsp:val=&quot;0035582D&quot;/&gt;&lt;wsp:rsid wsp:val=&quot;003558B6&quot;/&gt;&lt;wsp:rsid wsp:val=&quot;0035596F&quot;/&gt;&lt;wsp:rsid wsp:val=&quot;00355B23&quot;/&gt;&lt;wsp:rsid wsp:val=&quot;003564AF&quot;/&gt;&lt;wsp:rsid wsp:val=&quot;003576FD&quot;/&gt;&lt;wsp:rsid wsp:val=&quot;0035786F&quot;/&gt;&lt;wsp:rsid wsp:val=&quot;00357B2B&quot;/&gt;&lt;wsp:rsid wsp:val=&quot;00357BD4&quot;/&gt;&lt;wsp:rsid wsp:val=&quot;0036002A&quot;/&gt;&lt;wsp:rsid wsp:val=&quot;0036041D&quot;/&gt;&lt;wsp:rsid wsp:val=&quot;00360810&quot;/&gt;&lt;wsp:rsid wsp:val=&quot;00360C9D&quot;/&gt;&lt;wsp:rsid wsp:val=&quot;00360FA1&quot;/&gt;&lt;wsp:rsid wsp:val=&quot;003611FD&quot;/&gt;&lt;wsp:rsid wsp:val=&quot;00361663&quot;/&gt;&lt;wsp:rsid wsp:val=&quot;00361B72&quot;/&gt;&lt;wsp:rsid wsp:val=&quot;00361FD5&quot;/&gt;&lt;wsp:rsid wsp:val=&quot;003620B5&quot;/&gt;&lt;wsp:rsid wsp:val=&quot;003620DB&quot;/&gt;&lt;wsp:rsid wsp:val=&quot;003621B7&quot;/&gt;&lt;wsp:rsid wsp:val=&quot;0036259B&quot;/&gt;&lt;wsp:rsid wsp:val=&quot;00362A92&quot;/&gt;&lt;wsp:rsid wsp:val=&quot;00362BC1&quot;/&gt;&lt;wsp:rsid wsp:val=&quot;00362FE2&quot;/&gt;&lt;wsp:rsid wsp:val=&quot;003630BD&quot;/&gt;&lt;wsp:rsid wsp:val=&quot;0036312A&quot;/&gt;&lt;wsp:rsid wsp:val=&quot;00363568&quot;/&gt;&lt;wsp:rsid wsp:val=&quot;003638A2&quot;/&gt;&lt;wsp:rsid wsp:val=&quot;00363E3B&quot;/&gt;&lt;wsp:rsid wsp:val=&quot;00363E47&quot;/&gt;&lt;wsp:rsid wsp:val=&quot;0036416D&quot;/&gt;&lt;wsp:rsid wsp:val=&quot;00364582&quot;/&gt;&lt;wsp:rsid wsp:val=&quot;003645D7&quot;/&gt;&lt;wsp:rsid wsp:val=&quot;00364A82&quot;/&gt;&lt;wsp:rsid wsp:val=&quot;00365286&quot;/&gt;&lt;wsp:rsid wsp:val=&quot;00365C52&quot;/&gt;&lt;wsp:rsid wsp:val=&quot;00365F41&quot;/&gt;&lt;wsp:rsid wsp:val=&quot;00366017&quot;/&gt;&lt;wsp:rsid wsp:val=&quot;00366401&quot;/&gt;&lt;wsp:rsid wsp:val=&quot;00366520&quot;/&gt;&lt;wsp:rsid wsp:val=&quot;003666EE&quot;/&gt;&lt;wsp:rsid wsp:val=&quot;00366833&quot;/&gt;&lt;wsp:rsid wsp:val=&quot;00366FF4&quot;/&gt;&lt;wsp:rsid wsp:val=&quot;0036702E&quot;/&gt;&lt;wsp:rsid wsp:val=&quot;00367099&quot;/&gt;&lt;wsp:rsid wsp:val=&quot;00367116&quot;/&gt;&lt;wsp:rsid wsp:val=&quot;003671C2&quot;/&gt;&lt;wsp:rsid wsp:val=&quot;003673CB&quot;/&gt;&lt;wsp:rsid wsp:val=&quot;00367508&quot;/&gt;&lt;wsp:rsid wsp:val=&quot;00367CAA&quot;/&gt;&lt;wsp:rsid wsp:val=&quot;00370218&quot;/&gt;&lt;wsp:rsid wsp:val=&quot;00370956&quot;/&gt;&lt;wsp:rsid wsp:val=&quot;00370A0F&quot;/&gt;&lt;wsp:rsid wsp:val=&quot;00370D91&quot;/&gt;&lt;wsp:rsid wsp:val=&quot;00371DDF&quot;/&gt;&lt;wsp:rsid wsp:val=&quot;00371E75&quot;/&gt;&lt;wsp:rsid wsp:val=&quot;00372B2C&quot;/&gt;&lt;wsp:rsid wsp:val=&quot;00372B94&quot;/&gt;&lt;wsp:rsid wsp:val=&quot;00372E1F&quot;/&gt;&lt;wsp:rsid wsp:val=&quot;0037305D&quot;/&gt;&lt;wsp:rsid wsp:val=&quot;00373080&quot;/&gt;&lt;wsp:rsid wsp:val=&quot;0037327A&quot;/&gt;&lt;wsp:rsid wsp:val=&quot;003733B9&quot;/&gt;&lt;wsp:rsid wsp:val=&quot;003734EA&quot;/&gt;&lt;wsp:rsid wsp:val=&quot;00373772&quot;/&gt;&lt;wsp:rsid wsp:val=&quot;0037381A&quot;/&gt;&lt;wsp:rsid wsp:val=&quot;00373863&quot;/&gt;&lt;wsp:rsid wsp:val=&quot;0037417F&quot;/&gt;&lt;wsp:rsid wsp:val=&quot;0037434F&quot;/&gt;&lt;wsp:rsid wsp:val=&quot;003744B2&quot;/&gt;&lt;wsp:rsid wsp:val=&quot;00374A1A&quot;/&gt;&lt;wsp:rsid wsp:val=&quot;00374CFC&quot;/&gt;&lt;wsp:rsid wsp:val=&quot;003751DB&quot;/&gt;&lt;wsp:rsid wsp:val=&quot;00375561&quot;/&gt;&lt;wsp:rsid wsp:val=&quot;0037566E&quot;/&gt;&lt;wsp:rsid wsp:val=&quot;0037573E&quot;/&gt;&lt;wsp:rsid wsp:val=&quot;0037587B&quot;/&gt;&lt;wsp:rsid wsp:val=&quot;00375FE1&quot;/&gt;&lt;wsp:rsid wsp:val=&quot;0037620D&quot;/&gt;&lt;wsp:rsid wsp:val=&quot;00376889&quot;/&gt;&lt;wsp:rsid wsp:val=&quot;0037688C&quot;/&gt;&lt;wsp:rsid wsp:val=&quot;0037736A&quot;/&gt;&lt;wsp:rsid wsp:val=&quot;003778DE&quot;/&gt;&lt;wsp:rsid wsp:val=&quot;00377A92&quot;/&gt;&lt;wsp:rsid wsp:val=&quot;00377CAB&quot;/&gt;&lt;wsp:rsid wsp:val=&quot;00377CCF&quot;/&gt;&lt;wsp:rsid wsp:val=&quot;003800B0&quot;/&gt;&lt;wsp:rsid wsp:val=&quot;00380150&quot;/&gt;&lt;wsp:rsid wsp:val=&quot;0038021F&quot;/&gt;&lt;wsp:rsid wsp:val=&quot;00380627&quot;/&gt;&lt;wsp:rsid wsp:val=&quot;00380A43&quot;/&gt;&lt;wsp:rsid wsp:val=&quot;00380BE5&quot;/&gt;&lt;wsp:rsid wsp:val=&quot;00380D61&quot;/&gt;&lt;wsp:rsid wsp:val=&quot;00380E4F&quot;/&gt;&lt;wsp:rsid wsp:val=&quot;00381580&quot;/&gt;&lt;wsp:rsid wsp:val=&quot;003816B6&quot;/&gt;&lt;wsp:rsid wsp:val=&quot;00381735&quot;/&gt;&lt;wsp:rsid wsp:val=&quot;00381A47&quot;/&gt;&lt;wsp:rsid wsp:val=&quot;00381AE0&quot;/&gt;&lt;wsp:rsid wsp:val=&quot;00381F29&quot;/&gt;&lt;wsp:rsid wsp:val=&quot;003822F0&quot;/&gt;&lt;wsp:rsid wsp:val=&quot;0038263F&quot;/&gt;&lt;wsp:rsid wsp:val=&quot;003829FF&quot;/&gt;&lt;wsp:rsid wsp:val=&quot;00382C25&quot;/&gt;&lt;wsp:rsid wsp:val=&quot;00382E60&quot;/&gt;&lt;wsp:rsid wsp:val=&quot;0038324A&quot;/&gt;&lt;wsp:rsid wsp:val=&quot;00383257&quot;/&gt;&lt;wsp:rsid wsp:val=&quot;003835F4&quot;/&gt;&lt;wsp:rsid wsp:val=&quot;00383A82&quot;/&gt;&lt;wsp:rsid wsp:val=&quot;00383B9A&quot;/&gt;&lt;wsp:rsid wsp:val=&quot;0038426B&quot;/&gt;&lt;wsp:rsid wsp:val=&quot;003843D7&quot;/&gt;&lt;wsp:rsid wsp:val=&quot;003849FB&quot;/&gt;&lt;wsp:rsid wsp:val=&quot;00384B3B&quot;/&gt;&lt;wsp:rsid wsp:val=&quot;00385C5F&quot;/&gt;&lt;wsp:rsid wsp:val=&quot;00385DE1&quot;/&gt;&lt;wsp:rsid wsp:val=&quot;00386363&quot;/&gt;&lt;wsp:rsid wsp:val=&quot;003867F0&quot;/&gt;&lt;wsp:rsid wsp:val=&quot;003871D5&quot;/&gt;&lt;wsp:rsid wsp:val=&quot;00387309&quot;/&gt;&lt;wsp:rsid wsp:val=&quot;0038764F&quot;/&gt;&lt;wsp:rsid wsp:val=&quot;00387679&quot;/&gt;&lt;wsp:rsid wsp:val=&quot;003878E4&quot;/&gt;&lt;wsp:rsid wsp:val=&quot;00387CCC&quot;/&gt;&lt;wsp:rsid wsp:val=&quot;00387D94&quot;/&gt;&lt;wsp:rsid wsp:val=&quot;00390021&quot;/&gt;&lt;wsp:rsid wsp:val=&quot;003902EC&quot;/&gt;&lt;wsp:rsid wsp:val=&quot;0039034E&quot;/&gt;&lt;wsp:rsid wsp:val=&quot;0039053A&quot;/&gt;&lt;wsp:rsid wsp:val=&quot;00390919&quot;/&gt;&lt;wsp:rsid wsp:val=&quot;00390925&quot;/&gt;&lt;wsp:rsid wsp:val=&quot;00390A07&quot;/&gt;&lt;wsp:rsid wsp:val=&quot;00390FA8&quot;/&gt;&lt;wsp:rsid wsp:val=&quot;00391369&quot;/&gt;&lt;wsp:rsid wsp:val=&quot;003917CB&quot;/&gt;&lt;wsp:rsid wsp:val=&quot;00391998&quot;/&gt;&lt;wsp:rsid wsp:val=&quot;00391E4D&quot;/&gt;&lt;wsp:rsid wsp:val=&quot;0039240C&quot;/&gt;&lt;wsp:rsid wsp:val=&quot;0039253A&quot;/&gt;&lt;wsp:rsid wsp:val=&quot;0039272C&quot;/&gt;&lt;wsp:rsid wsp:val=&quot;00392801&quot;/&gt;&lt;wsp:rsid wsp:val=&quot;00392907&quot;/&gt;&lt;wsp:rsid wsp:val=&quot;00392AAD&quot;/&gt;&lt;wsp:rsid wsp:val=&quot;003941C6&quot;/&gt;&lt;wsp:rsid wsp:val=&quot;003941CF&quot;/&gt;&lt;wsp:rsid wsp:val=&quot;003943D7&quot;/&gt;&lt;wsp:rsid wsp:val=&quot;00394690&quot;/&gt;&lt;wsp:rsid wsp:val=&quot;0039499C&quot;/&gt;&lt;wsp:rsid wsp:val=&quot;00394B2F&quot;/&gt;&lt;wsp:rsid wsp:val=&quot;00394D37&quot;/&gt;&lt;wsp:rsid wsp:val=&quot;0039501D&quot;/&gt;&lt;wsp:rsid wsp:val=&quot;00395940&quot;/&gt;&lt;wsp:rsid wsp:val=&quot;00395BC4&quot;/&gt;&lt;wsp:rsid wsp:val=&quot;00395E6F&quot;/&gt;&lt;wsp:rsid wsp:val=&quot;0039633C&quot;/&gt;&lt;wsp:rsid wsp:val=&quot;00396746&quot;/&gt;&lt;wsp:rsid wsp:val=&quot;00396CC7&quot;/&gt;&lt;wsp:rsid wsp:val=&quot;00396FF0&quot;/&gt;&lt;wsp:rsid wsp:val=&quot;003976D0&quot;/&gt;&lt;wsp:rsid wsp:val=&quot;0039784D&quot;/&gt;&lt;wsp:rsid wsp:val=&quot;00397969&quot;/&gt;&lt;wsp:rsid wsp:val=&quot;00397A5E&quot;/&gt;&lt;wsp:rsid wsp:val=&quot;00397AAD&quot;/&gt;&lt;wsp:rsid wsp:val=&quot;00397CB3&quot;/&gt;&lt;wsp:rsid wsp:val=&quot;00397FF2&quot;/&gt;&lt;wsp:rsid wsp:val=&quot;003A0398&quot;/&gt;&lt;wsp:rsid wsp:val=&quot;003A047C&quot;/&gt;&lt;wsp:rsid wsp:val=&quot;003A0DB5&quot;/&gt;&lt;wsp:rsid wsp:val=&quot;003A145B&quot;/&gt;&lt;wsp:rsid wsp:val=&quot;003A157A&quot;/&gt;&lt;wsp:rsid wsp:val=&quot;003A176A&quot;/&gt;&lt;wsp:rsid wsp:val=&quot;003A1844&quot;/&gt;&lt;wsp:rsid wsp:val=&quot;003A184C&quot;/&gt;&lt;wsp:rsid wsp:val=&quot;003A1899&quot;/&gt;&lt;wsp:rsid wsp:val=&quot;003A1926&quot;/&gt;&lt;wsp:rsid wsp:val=&quot;003A1C22&quot;/&gt;&lt;wsp:rsid wsp:val=&quot;003A1C65&quot;/&gt;&lt;wsp:rsid wsp:val=&quot;003A1CF9&quot;/&gt;&lt;wsp:rsid wsp:val=&quot;003A26FA&quot;/&gt;&lt;wsp:rsid wsp:val=&quot;003A287A&quot;/&gt;&lt;wsp:rsid wsp:val=&quot;003A29E9&quot;/&gt;&lt;wsp:rsid wsp:val=&quot;003A2A7F&quot;/&gt;&lt;wsp:rsid wsp:val=&quot;003A33E2&quot;/&gt;&lt;wsp:rsid wsp:val=&quot;003A38DD&quot;/&gt;&lt;wsp:rsid wsp:val=&quot;003A3D24&quot;/&gt;&lt;wsp:rsid wsp:val=&quot;003A3D53&quot;/&gt;&lt;wsp:rsid wsp:val=&quot;003A40F3&quot;/&gt;&lt;wsp:rsid wsp:val=&quot;003A436D&quot;/&gt;&lt;wsp:rsid wsp:val=&quot;003A4A59&quot;/&gt;&lt;wsp:rsid wsp:val=&quot;003A4A81&quot;/&gt;&lt;wsp:rsid wsp:val=&quot;003A4FE4&quot;/&gt;&lt;wsp:rsid wsp:val=&quot;003A5190&quot;/&gt;&lt;wsp:rsid wsp:val=&quot;003A528D&quot;/&gt;&lt;wsp:rsid wsp:val=&quot;003A5646&quot;/&gt;&lt;wsp:rsid wsp:val=&quot;003A566F&quot;/&gt;&lt;wsp:rsid wsp:val=&quot;003A5A32&quot;/&gt;&lt;wsp:rsid wsp:val=&quot;003A5E41&quot;/&gt;&lt;wsp:rsid wsp:val=&quot;003A65B1&quot;/&gt;&lt;wsp:rsid wsp:val=&quot;003A673B&quot;/&gt;&lt;wsp:rsid wsp:val=&quot;003A6859&quot;/&gt;&lt;wsp:rsid wsp:val=&quot;003A68E3&quot;/&gt;&lt;wsp:rsid wsp:val=&quot;003A6912&quot;/&gt;&lt;wsp:rsid wsp:val=&quot;003A70B3&quot;/&gt;&lt;wsp:rsid wsp:val=&quot;003A723C&quot;/&gt;&lt;wsp:rsid wsp:val=&quot;003A7262&quot;/&gt;&lt;wsp:rsid wsp:val=&quot;003A7901&quot;/&gt;&lt;wsp:rsid wsp:val=&quot;003A7925&quot;/&gt;&lt;wsp:rsid wsp:val=&quot;003A7CF6&quot;/&gt;&lt;wsp:rsid wsp:val=&quot;003A7FFD&quot;/&gt;&lt;wsp:rsid wsp:val=&quot;003B01AD&quot;/&gt;&lt;wsp:rsid wsp:val=&quot;003B05ED&quot;/&gt;&lt;wsp:rsid wsp:val=&quot;003B0B3D&quot;/&gt;&lt;wsp:rsid wsp:val=&quot;003B0C2D&quot;/&gt;&lt;wsp:rsid wsp:val=&quot;003B0E52&quot;/&gt;&lt;wsp:rsid wsp:val=&quot;003B132D&quot;/&gt;&lt;wsp:rsid wsp:val=&quot;003B17C5&quot;/&gt;&lt;wsp:rsid wsp:val=&quot;003B1B51&quot;/&gt;&lt;wsp:rsid wsp:val=&quot;003B22F7&quot;/&gt;&lt;wsp:rsid wsp:val=&quot;003B2A75&quot;/&gt;&lt;wsp:rsid wsp:val=&quot;003B2CEE&quot;/&gt;&lt;wsp:rsid wsp:val=&quot;003B2D31&quot;/&gt;&lt;wsp:rsid wsp:val=&quot;003B303C&quot;/&gt;&lt;wsp:rsid wsp:val=&quot;003B304A&quot;/&gt;&lt;wsp:rsid wsp:val=&quot;003B3172&quot;/&gt;&lt;wsp:rsid wsp:val=&quot;003B3279&quot;/&gt;&lt;wsp:rsid wsp:val=&quot;003B357E&quot;/&gt;&lt;wsp:rsid wsp:val=&quot;003B3978&quot;/&gt;&lt;wsp:rsid wsp:val=&quot;003B41AB&quot;/&gt;&lt;wsp:rsid wsp:val=&quot;003B41AF&quot;/&gt;&lt;wsp:rsid wsp:val=&quot;003B44F3&quot;/&gt;&lt;wsp:rsid wsp:val=&quot;003B4F57&quot;/&gt;&lt;wsp:rsid wsp:val=&quot;003B5077&quot;/&gt;&lt;wsp:rsid wsp:val=&quot;003B52A8&quot;/&gt;&lt;wsp:rsid wsp:val=&quot;003B52F7&quot;/&gt;&lt;wsp:rsid wsp:val=&quot;003B578C&quot;/&gt;&lt;wsp:rsid wsp:val=&quot;003B5E36&quot;/&gt;&lt;wsp:rsid wsp:val=&quot;003B5F0A&quot;/&gt;&lt;wsp:rsid wsp:val=&quot;003B61CB&quot;/&gt;&lt;wsp:rsid wsp:val=&quot;003B677D&quot;/&gt;&lt;wsp:rsid wsp:val=&quot;003B6C29&quot;/&gt;&lt;wsp:rsid wsp:val=&quot;003B6DC4&quot;/&gt;&lt;wsp:rsid wsp:val=&quot;003B6E68&quot;/&gt;&lt;wsp:rsid wsp:val=&quot;003B7010&quot;/&gt;&lt;wsp:rsid wsp:val=&quot;003B7D7F&quot;/&gt;&lt;wsp:rsid wsp:val=&quot;003B7FB5&quot;/&gt;&lt;wsp:rsid wsp:val=&quot;003C0009&quot;/&gt;&lt;wsp:rsid wsp:val=&quot;003C048B&quot;/&gt;&lt;wsp:rsid wsp:val=&quot;003C04E1&quot;/&gt;&lt;wsp:rsid wsp:val=&quot;003C0AEF&quot;/&gt;&lt;wsp:rsid wsp:val=&quot;003C0CE2&quot;/&gt;&lt;wsp:rsid wsp:val=&quot;003C1700&quot;/&gt;&lt;wsp:rsid wsp:val=&quot;003C1993&quot;/&gt;&lt;wsp:rsid wsp:val=&quot;003C1E3E&quot;/&gt;&lt;wsp:rsid wsp:val=&quot;003C2055&quot;/&gt;&lt;wsp:rsid wsp:val=&quot;003C270C&quot;/&gt;&lt;wsp:rsid wsp:val=&quot;003C29CB&quot;/&gt;&lt;wsp:rsid wsp:val=&quot;003C2BE4&quot;/&gt;&lt;wsp:rsid wsp:val=&quot;003C2D08&quot;/&gt;&lt;wsp:rsid wsp:val=&quot;003C2E68&quot;/&gt;&lt;wsp:rsid wsp:val=&quot;003C2EE3&quot;/&gt;&lt;wsp:rsid wsp:val=&quot;003C317C&quot;/&gt;&lt;wsp:rsid wsp:val=&quot;003C3719&quot;/&gt;&lt;wsp:rsid wsp:val=&quot;003C38EF&quot;/&gt;&lt;wsp:rsid wsp:val=&quot;003C3FD5&quot;/&gt;&lt;wsp:rsid wsp:val=&quot;003C421F&quot;/&gt;&lt;wsp:rsid wsp:val=&quot;003C44DE&quot;/&gt;&lt;wsp:rsid wsp:val=&quot;003C4928&quot;/&gt;&lt;wsp:rsid wsp:val=&quot;003C4A82&quot;/&gt;&lt;wsp:rsid wsp:val=&quot;003C524F&quot;/&gt;&lt;wsp:rsid wsp:val=&quot;003C57DC&quot;/&gt;&lt;wsp:rsid wsp:val=&quot;003C5C6B&quot;/&gt;&lt;wsp:rsid wsp:val=&quot;003C62E6&quot;/&gt;&lt;wsp:rsid wsp:val=&quot;003C6388&quot;/&gt;&lt;wsp:rsid wsp:val=&quot;003C63E0&quot;/&gt;&lt;wsp:rsid wsp:val=&quot;003C6DC2&quot;/&gt;&lt;wsp:rsid wsp:val=&quot;003C712E&quot;/&gt;&lt;wsp:rsid wsp:val=&quot;003C74EB&quot;/&gt;&lt;wsp:rsid wsp:val=&quot;003C776C&quot;/&gt;&lt;wsp:rsid wsp:val=&quot;003C7E38&quot;/&gt;&lt;wsp:rsid wsp:val=&quot;003C7E92&quot;/&gt;&lt;wsp:rsid wsp:val=&quot;003D022D&quot;/&gt;&lt;wsp:rsid wsp:val=&quot;003D0BB2&quot;/&gt;&lt;wsp:rsid wsp:val=&quot;003D0E03&quot;/&gt;&lt;wsp:rsid wsp:val=&quot;003D1172&quot;/&gt;&lt;wsp:rsid wsp:val=&quot;003D14AF&quot;/&gt;&lt;wsp:rsid wsp:val=&quot;003D1738&quot;/&gt;&lt;wsp:rsid wsp:val=&quot;003D1997&quot;/&gt;&lt;wsp:rsid wsp:val=&quot;003D1A47&quot;/&gt;&lt;wsp:rsid wsp:val=&quot;003D20A7&quot;/&gt;&lt;wsp:rsid wsp:val=&quot;003D23EC&quot;/&gt;&lt;wsp:rsid wsp:val=&quot;003D403E&quot;/&gt;&lt;wsp:rsid wsp:val=&quot;003D42D9&quot;/&gt;&lt;wsp:rsid wsp:val=&quot;003D4367&quot;/&gt;&lt;wsp:rsid wsp:val=&quot;003D4767&quot;/&gt;&lt;wsp:rsid wsp:val=&quot;003D48E3&quot;/&gt;&lt;wsp:rsid wsp:val=&quot;003D49D6&quot;/&gt;&lt;wsp:rsid wsp:val=&quot;003D4B23&quot;/&gt;&lt;wsp:rsid wsp:val=&quot;003D4C60&quot;/&gt;&lt;wsp:rsid wsp:val=&quot;003D4D6B&quot;/&gt;&lt;wsp:rsid wsp:val=&quot;003D50EC&quot;/&gt;&lt;wsp:rsid wsp:val=&quot;003D5179&quot;/&gt;&lt;wsp:rsid wsp:val=&quot;003D5451&quot;/&gt;&lt;wsp:rsid wsp:val=&quot;003D5514&quot;/&gt;&lt;wsp:rsid wsp:val=&quot;003D5668&quot;/&gt;&lt;wsp:rsid wsp:val=&quot;003D57A3&quot;/&gt;&lt;wsp:rsid wsp:val=&quot;003D5AD7&quot;/&gt;&lt;wsp:rsid wsp:val=&quot;003D5CDE&quot;/&gt;&lt;wsp:rsid wsp:val=&quot;003D6174&quot;/&gt;&lt;wsp:rsid wsp:val=&quot;003D6413&quot;/&gt;&lt;wsp:rsid wsp:val=&quot;003D6472&quot;/&gt;&lt;wsp:rsid wsp:val=&quot;003D65C0&quot;/&gt;&lt;wsp:rsid wsp:val=&quot;003D661A&quot;/&gt;&lt;wsp:rsid wsp:val=&quot;003D67A1&quot;/&gt;&lt;wsp:rsid wsp:val=&quot;003D6BB6&quot;/&gt;&lt;wsp:rsid wsp:val=&quot;003D6D7D&quot;/&gt;&lt;wsp:rsid wsp:val=&quot;003D6E42&quot;/&gt;&lt;wsp:rsid wsp:val=&quot;003D6E49&quot;/&gt;&lt;wsp:rsid wsp:val=&quot;003D6E59&quot;/&gt;&lt;wsp:rsid wsp:val=&quot;003D711E&quot;/&gt;&lt;wsp:rsid wsp:val=&quot;003D7374&quot;/&gt;&lt;wsp:rsid wsp:val=&quot;003D779F&quot;/&gt;&lt;wsp:rsid wsp:val=&quot;003D794B&quot;/&gt;&lt;wsp:rsid wsp:val=&quot;003D7975&quot;/&gt;&lt;wsp:rsid wsp:val=&quot;003D7EBB&quot;/&gt;&lt;wsp:rsid wsp:val=&quot;003D7F48&quot;/&gt;&lt;wsp:rsid wsp:val=&quot;003D7F9B&quot;/&gt;&lt;wsp:rsid wsp:val=&quot;003D7FC5&quot;/&gt;&lt;wsp:rsid wsp:val=&quot;003E010D&quot;/&gt;&lt;wsp:rsid wsp:val=&quot;003E07BA&quot;/&gt;&lt;wsp:rsid wsp:val=&quot;003E0BF1&quot;/&gt;&lt;wsp:rsid wsp:val=&quot;003E10D2&quot;/&gt;&lt;wsp:rsid wsp:val=&quot;003E1204&quot;/&gt;&lt;wsp:rsid wsp:val=&quot;003E15D2&quot;/&gt;&lt;wsp:rsid wsp:val=&quot;003E1949&quot;/&gt;&lt;wsp:rsid wsp:val=&quot;003E199F&quot;/&gt;&lt;wsp:rsid wsp:val=&quot;003E1BF0&quot;/&gt;&lt;wsp:rsid wsp:val=&quot;003E1F2C&quot;/&gt;&lt;wsp:rsid wsp:val=&quot;003E2283&quot;/&gt;&lt;wsp:rsid wsp:val=&quot;003E23AB&quot;/&gt;&lt;wsp:rsid wsp:val=&quot;003E25C2&quot;/&gt;&lt;wsp:rsid wsp:val=&quot;003E2B7A&quot;/&gt;&lt;wsp:rsid wsp:val=&quot;003E2C82&quot;/&gt;&lt;wsp:rsid wsp:val=&quot;003E343B&quot;/&gt;&lt;wsp:rsid wsp:val=&quot;003E3710&quot;/&gt;&lt;wsp:rsid wsp:val=&quot;003E3805&quot;/&gt;&lt;wsp:rsid wsp:val=&quot;003E3AC0&quot;/&gt;&lt;wsp:rsid wsp:val=&quot;003E413E&quot;/&gt;&lt;wsp:rsid wsp:val=&quot;003E4553&quot;/&gt;&lt;wsp:rsid wsp:val=&quot;003E483E&quot;/&gt;&lt;wsp:rsid wsp:val=&quot;003E4999&quot;/&gt;&lt;wsp:rsid wsp:val=&quot;003E4DB9&quot;/&gt;&lt;wsp:rsid wsp:val=&quot;003E5106&quot;/&gt;&lt;wsp:rsid wsp:val=&quot;003E5452&quot;/&gt;&lt;wsp:rsid wsp:val=&quot;003E5ED4&quot;/&gt;&lt;wsp:rsid wsp:val=&quot;003E5F64&quot;/&gt;&lt;wsp:rsid wsp:val=&quot;003E6036&quot;/&gt;&lt;wsp:rsid wsp:val=&quot;003E60CA&quot;/&gt;&lt;wsp:rsid wsp:val=&quot;003E6739&quot;/&gt;&lt;wsp:rsid wsp:val=&quot;003E6A00&quot;/&gt;&lt;wsp:rsid wsp:val=&quot;003E6D4C&quot;/&gt;&lt;wsp:rsid wsp:val=&quot;003E6DD0&quot;/&gt;&lt;wsp:rsid wsp:val=&quot;003E6EB5&quot;/&gt;&lt;wsp:rsid wsp:val=&quot;003E738E&quot;/&gt;&lt;wsp:rsid wsp:val=&quot;003E7466&quot;/&gt;&lt;wsp:rsid wsp:val=&quot;003E747E&quot;/&gt;&lt;wsp:rsid wsp:val=&quot;003E75D8&quot;/&gt;&lt;wsp:rsid wsp:val=&quot;003E75DD&quot;/&gt;&lt;wsp:rsid wsp:val=&quot;003E7F03&quot;/&gt;&lt;wsp:rsid wsp:val=&quot;003E7F56&quot;/&gt;&lt;wsp:rsid wsp:val=&quot;003F05A1&quot;/&gt;&lt;wsp:rsid wsp:val=&quot;003F072E&quot;/&gt;&lt;wsp:rsid wsp:val=&quot;003F0A77&quot;/&gt;&lt;wsp:rsid wsp:val=&quot;003F0DC0&quot;/&gt;&lt;wsp:rsid wsp:val=&quot;003F0F06&quot;/&gt;&lt;wsp:rsid wsp:val=&quot;003F10C2&quot;/&gt;&lt;wsp:rsid wsp:val=&quot;003F163B&quot;/&gt;&lt;wsp:rsid wsp:val=&quot;003F1962&quot;/&gt;&lt;wsp:rsid wsp:val=&quot;003F1D3F&quot;/&gt;&lt;wsp:rsid wsp:val=&quot;003F27FE&quot;/&gt;&lt;wsp:rsid wsp:val=&quot;003F2CD6&quot;/&gt;&lt;wsp:rsid wsp:val=&quot;003F2D9D&quot;/&gt;&lt;wsp:rsid wsp:val=&quot;003F2F74&quot;/&gt;&lt;wsp:rsid wsp:val=&quot;003F4232&quot;/&gt;&lt;wsp:rsid wsp:val=&quot;003F535C&quot;/&gt;&lt;wsp:rsid wsp:val=&quot;003F5782&quot;/&gt;&lt;wsp:rsid wsp:val=&quot;003F59F3&quot;/&gt;&lt;wsp:rsid wsp:val=&quot;003F5A09&quot;/&gt;&lt;wsp:rsid wsp:val=&quot;003F5A71&quot;/&gt;&lt;wsp:rsid wsp:val=&quot;003F5AB8&quot;/&gt;&lt;wsp:rsid wsp:val=&quot;003F5BCF&quot;/&gt;&lt;wsp:rsid wsp:val=&quot;003F61F2&quot;/&gt;&lt;wsp:rsid wsp:val=&quot;003F6306&quot;/&gt;&lt;wsp:rsid wsp:val=&quot;003F64A7&quot;/&gt;&lt;wsp:rsid wsp:val=&quot;003F651F&quot;/&gt;&lt;wsp:rsid wsp:val=&quot;003F67D5&quot;/&gt;&lt;wsp:rsid wsp:val=&quot;003F6EDE&quot;/&gt;&lt;wsp:rsid wsp:val=&quot;003F72B3&quot;/&gt;&lt;wsp:rsid wsp:val=&quot;003F77BC&quot;/&gt;&lt;wsp:rsid wsp:val=&quot;00400167&quot;/&gt;&lt;wsp:rsid wsp:val=&quot;00400AD1&quot;/&gt;&lt;wsp:rsid wsp:val=&quot;00401163&quot;/&gt;&lt;wsp:rsid wsp:val=&quot;00401171&quot;/&gt;&lt;wsp:rsid wsp:val=&quot;00402199&quot;/&gt;&lt;wsp:rsid wsp:val=&quot;004021F6&quot;/&gt;&lt;wsp:rsid wsp:val=&quot;00402823&quot;/&gt;&lt;wsp:rsid wsp:val=&quot;00402A93&quot;/&gt;&lt;wsp:rsid wsp:val=&quot;004032F0&quot;/&gt;&lt;wsp:rsid wsp:val=&quot;00403AB8&quot;/&gt;&lt;wsp:rsid wsp:val=&quot;00403EC3&quot;/&gt;&lt;wsp:rsid wsp:val=&quot;004041F7&quot;/&gt;&lt;wsp:rsid wsp:val=&quot;00404D42&quot;/&gt;&lt;wsp:rsid wsp:val=&quot;00404E76&quot;/&gt;&lt;wsp:rsid wsp:val=&quot;00405380&quot;/&gt;&lt;wsp:rsid wsp:val=&quot;00405393&quot;/&gt;&lt;wsp:rsid wsp:val=&quot;00405409&quot;/&gt;&lt;wsp:rsid wsp:val=&quot;00405452&quot;/&gt;&lt;wsp:rsid wsp:val=&quot;00405C6D&quot;/&gt;&lt;wsp:rsid wsp:val=&quot;0040601C&quot;/&gt;&lt;wsp:rsid wsp:val=&quot;0040604D&quot;/&gt;&lt;wsp:rsid wsp:val=&quot;0040662E&quot;/&gt;&lt;wsp:rsid wsp:val=&quot;00406706&quot;/&gt;&lt;wsp:rsid wsp:val=&quot;00406B1B&quot;/&gt;&lt;wsp:rsid wsp:val=&quot;00407073&quot;/&gt;&lt;wsp:rsid wsp:val=&quot;00407C7E&quot;/&gt;&lt;wsp:rsid wsp:val=&quot;00407D27&quot;/&gt;&lt;wsp:rsid wsp:val=&quot;004102C5&quot;/&gt;&lt;wsp:rsid wsp:val=&quot;0041080E&quot;/&gt;&lt;wsp:rsid wsp:val=&quot;004108CF&quot;/&gt;&lt;wsp:rsid wsp:val=&quot;004113CF&quot;/&gt;&lt;wsp:rsid wsp:val=&quot;00411874&quot;/&gt;&lt;wsp:rsid wsp:val=&quot;00411C07&quot;/&gt;&lt;wsp:rsid wsp:val=&quot;00411C3A&quot;/&gt;&lt;wsp:rsid wsp:val=&quot;00411D59&quot;/&gt;&lt;wsp:rsid wsp:val=&quot;00411DBF&quot;/&gt;&lt;wsp:rsid wsp:val=&quot;00412120&quot;/&gt;&lt;wsp:rsid wsp:val=&quot;004122B7&quot;/&gt;&lt;wsp:rsid wsp:val=&quot;004125F8&quot;/&gt;&lt;wsp:rsid wsp:val=&quot;004126D8&quot;/&gt;&lt;wsp:rsid wsp:val=&quot;00412732&quot;/&gt;&lt;wsp:rsid wsp:val=&quot;0041287E&quot;/&gt;&lt;wsp:rsid wsp:val=&quot;00412941&quot;/&gt;&lt;wsp:rsid wsp:val=&quot;00412A1C&quot;/&gt;&lt;wsp:rsid wsp:val=&quot;00412A9A&quot;/&gt;&lt;wsp:rsid wsp:val=&quot;00412B05&quot;/&gt;&lt;wsp:rsid wsp:val=&quot;00412E3E&quot;/&gt;&lt;wsp:rsid wsp:val=&quot;0041306D&quot;/&gt;&lt;wsp:rsid wsp:val=&quot;004137A0&quot;/&gt;&lt;wsp:rsid wsp:val=&quot;00413C4F&quot;/&gt;&lt;wsp:rsid wsp:val=&quot;00413DAA&quot;/&gt;&lt;wsp:rsid wsp:val=&quot;00413DB7&quot;/&gt;&lt;wsp:rsid wsp:val=&quot;00414227&quot;/&gt;&lt;wsp:rsid wsp:val=&quot;00415034&quot;/&gt;&lt;wsp:rsid wsp:val=&quot;00415974&quot;/&gt;&lt;wsp:rsid wsp:val=&quot;00415A40&quot;/&gt;&lt;wsp:rsid wsp:val=&quot;00416097&quot;/&gt;&lt;wsp:rsid wsp:val=&quot;00416277&quot;/&gt;&lt;wsp:rsid wsp:val=&quot;00416715&quot;/&gt;&lt;wsp:rsid wsp:val=&quot;00416D6C&quot;/&gt;&lt;wsp:rsid wsp:val=&quot;00416D9B&quot;/&gt;&lt;wsp:rsid wsp:val=&quot;00416E1D&quot;/&gt;&lt;wsp:rsid wsp:val=&quot;004171AC&quot;/&gt;&lt;wsp:rsid wsp:val=&quot;00417426&quot;/&gt;&lt;wsp:rsid wsp:val=&quot;00417963&quot;/&gt;&lt;wsp:rsid wsp:val=&quot;00417F00&quot;/&gt;&lt;wsp:rsid wsp:val=&quot;004201F9&quot;/&gt;&lt;wsp:rsid wsp:val=&quot;00420691&quot;/&gt;&lt;wsp:rsid wsp:val=&quot;00420919&quot;/&gt;&lt;wsp:rsid wsp:val=&quot;004209EA&quot;/&gt;&lt;wsp:rsid wsp:val=&quot;00420C86&quot;/&gt;&lt;wsp:rsid wsp:val=&quot;00420DA8&quot;/&gt;&lt;wsp:rsid wsp:val=&quot;004214D1&quot;/&gt;&lt;wsp:rsid wsp:val=&quot;0042172F&quot;/&gt;&lt;wsp:rsid wsp:val=&quot;00421879&quot;/&gt;&lt;wsp:rsid wsp:val=&quot;004226DD&quot;/&gt;&lt;wsp:rsid wsp:val=&quot;00422703&quot;/&gt;&lt;wsp:rsid wsp:val=&quot;004228DB&quot;/&gt;&lt;wsp:rsid wsp:val=&quot;00422CCB&quot;/&gt;&lt;wsp:rsid wsp:val=&quot;00422F61&quot;/&gt;&lt;wsp:rsid wsp:val=&quot;0042399D&quot;/&gt;&lt;wsp:rsid wsp:val=&quot;00423D45&quot;/&gt;&lt;wsp:rsid wsp:val=&quot;004256B2&quot;/&gt;&lt;wsp:rsid wsp:val=&quot;004258EB&quot;/&gt;&lt;wsp:rsid wsp:val=&quot;00425C65&quot;/&gt;&lt;wsp:rsid wsp:val=&quot;00426242&quot;/&gt;&lt;wsp:rsid wsp:val=&quot;004263DD&quot;/&gt;&lt;wsp:rsid wsp:val=&quot;00426B31&quot;/&gt;&lt;wsp:rsid wsp:val=&quot;00426C16&quot;/&gt;&lt;wsp:rsid wsp:val=&quot;00426C3D&quot;/&gt;&lt;wsp:rsid wsp:val=&quot;00426C91&quot;/&gt;&lt;wsp:rsid wsp:val=&quot;004272E7&quot;/&gt;&lt;wsp:rsid wsp:val=&quot;00427382&quot;/&gt;&lt;wsp:rsid wsp:val=&quot;00427A8E&quot;/&gt;&lt;wsp:rsid wsp:val=&quot;00427CBB&quot;/&gt;&lt;wsp:rsid wsp:val=&quot;00427F05&quot;/&gt;&lt;wsp:rsid wsp:val=&quot;0043005A&quot;/&gt;&lt;wsp:rsid wsp:val=&quot;004302FC&quot;/&gt;&lt;wsp:rsid wsp:val=&quot;004306DF&quot;/&gt;&lt;wsp:rsid wsp:val=&quot;00430728&quot;/&gt;&lt;wsp:rsid wsp:val=&quot;00430D53&quot;/&gt;&lt;wsp:rsid wsp:val=&quot;00431053&quot;/&gt;&lt;wsp:rsid wsp:val=&quot;00431166&quot;/&gt;&lt;wsp:rsid wsp:val=&quot;004312AC&quot;/&gt;&lt;wsp:rsid wsp:val=&quot;0043143D&quot;/&gt;&lt;wsp:rsid wsp:val=&quot;0043160B&quot;/&gt;&lt;wsp:rsid wsp:val=&quot;00431BD6&quot;/&gt;&lt;wsp:rsid wsp:val=&quot;00431D5A&quot;/&gt;&lt;wsp:rsid wsp:val=&quot;00432A0F&quot;/&gt;&lt;wsp:rsid wsp:val=&quot;00432B6D&quot;/&gt;&lt;wsp:rsid wsp:val=&quot;00432BD9&quot;/&gt;&lt;wsp:rsid wsp:val=&quot;00432F24&quot;/&gt;&lt;wsp:rsid wsp:val=&quot;00433063&quot;/&gt;&lt;wsp:rsid wsp:val=&quot;00433294&quot;/&gt;&lt;wsp:rsid wsp:val=&quot;00433353&quot;/&gt;&lt;wsp:rsid wsp:val=&quot;004338D5&quot;/&gt;&lt;wsp:rsid wsp:val=&quot;0043394F&quot;/&gt;&lt;wsp:rsid wsp:val=&quot;0043418B&quot;/&gt;&lt;wsp:rsid wsp:val=&quot;00434456&quot;/&gt;&lt;wsp:rsid wsp:val=&quot;0043487C&quot;/&gt;&lt;wsp:rsid wsp:val=&quot;00434B6B&quot;/&gt;&lt;wsp:rsid wsp:val=&quot;00435106&quot;/&gt;&lt;wsp:rsid wsp:val=&quot;00435446&quot;/&gt;&lt;wsp:rsid wsp:val=&quot;00435560&quot;/&gt;&lt;wsp:rsid wsp:val=&quot;00435CC3&quot;/&gt;&lt;wsp:rsid wsp:val=&quot;00435E1B&quot;/&gt;&lt;wsp:rsid wsp:val=&quot;00436526&quot;/&gt;&lt;wsp:rsid wsp:val=&quot;004368E1&quot;/&gt;&lt;wsp:rsid wsp:val=&quot;0043698F&quot;/&gt;&lt;wsp:rsid wsp:val=&quot;00436AE0&quot;/&gt;&lt;wsp:rsid wsp:val=&quot;00436AEF&quot;/&gt;&lt;wsp:rsid wsp:val=&quot;00436CF7&quot;/&gt;&lt;wsp:rsid wsp:val=&quot;00436E5C&quot;/&gt;&lt;wsp:rsid wsp:val=&quot;004371E9&quot;/&gt;&lt;wsp:rsid wsp:val=&quot;004375B1&quot;/&gt;&lt;wsp:rsid wsp:val=&quot;0043778B&quot;/&gt;&lt;wsp:rsid wsp:val=&quot;00437831&quot;/&gt;&lt;wsp:rsid wsp:val=&quot;00437BF6&quot;/&gt;&lt;wsp:rsid wsp:val=&quot;00437CAC&quot;/&gt;&lt;wsp:rsid wsp:val=&quot;00437E9D&quot;/&gt;&lt;wsp:rsid wsp:val=&quot;00440C3D&quot;/&gt;&lt;wsp:rsid wsp:val=&quot;0044147E&quot;/&gt;&lt;wsp:rsid wsp:val=&quot;004417DE&quot;/&gt;&lt;wsp:rsid wsp:val=&quot;00441A53&quot;/&gt;&lt;wsp:rsid wsp:val=&quot;00441B1C&quot;/&gt;&lt;wsp:rsid wsp:val=&quot;00441BC1&quot;/&gt;&lt;wsp:rsid wsp:val=&quot;00441C6D&quot;/&gt;&lt;wsp:rsid wsp:val=&quot;00441E1C&quot;/&gt;&lt;wsp:rsid wsp:val=&quot;00441EA7&quot;/&gt;&lt;wsp:rsid wsp:val=&quot;004420A8&quot;/&gt;&lt;wsp:rsid wsp:val=&quot;00442B06&quot;/&gt;&lt;wsp:rsid wsp:val=&quot;00442D41&quot;/&gt;&lt;wsp:rsid wsp:val=&quot;00442DBF&quot;/&gt;&lt;wsp:rsid wsp:val=&quot;00442E23&quot;/&gt;&lt;wsp:rsid wsp:val=&quot;00443044&quot;/&gt;&lt;wsp:rsid wsp:val=&quot;00443103&quot;/&gt;&lt;wsp:rsid wsp:val=&quot;00443143&quot;/&gt;&lt;wsp:rsid wsp:val=&quot;00443533&quot;/&gt;&lt;wsp:rsid wsp:val=&quot;004438F7&quot;/&gt;&lt;wsp:rsid wsp:val=&quot;00443985&quot;/&gt;&lt;wsp:rsid wsp:val=&quot;00443C76&quot;/&gt;&lt;wsp:rsid wsp:val=&quot;0044419D&quot;/&gt;&lt;wsp:rsid wsp:val=&quot;0044438A&quot;/&gt;&lt;wsp:rsid wsp:val=&quot;00444562&quot;/&gt;&lt;wsp:rsid wsp:val=&quot;0044478E&quot;/&gt;&lt;wsp:rsid wsp:val=&quot;004447EA&quot;/&gt;&lt;wsp:rsid wsp:val=&quot;0044488E&quot;/&gt;&lt;wsp:rsid wsp:val=&quot;00444C19&quot;/&gt;&lt;wsp:rsid wsp:val=&quot;00444F9D&quot;/&gt;&lt;wsp:rsid wsp:val=&quot;004458CA&quot;/&gt;&lt;wsp:rsid wsp:val=&quot;00445AFA&quot;/&gt;&lt;wsp:rsid wsp:val=&quot;00445D01&quot;/&gt;&lt;wsp:rsid wsp:val=&quot;00445E5F&quot;/&gt;&lt;wsp:rsid wsp:val=&quot;00446157&quot;/&gt;&lt;wsp:rsid wsp:val=&quot;004461A4&quot;/&gt;&lt;wsp:rsid wsp:val=&quot;004461D0&quot;/&gt;&lt;wsp:rsid wsp:val=&quot;004462D2&quot;/&gt;&lt;wsp:rsid wsp:val=&quot;00446374&quot;/&gt;&lt;wsp:rsid wsp:val=&quot;00446489&quot;/&gt;&lt;wsp:rsid wsp:val=&quot;00446537&quot;/&gt;&lt;wsp:rsid wsp:val=&quot;00446605&quot;/&gt;&lt;wsp:rsid wsp:val=&quot;004466CD&quot;/&gt;&lt;wsp:rsid wsp:val=&quot;0044671A&quot;/&gt;&lt;wsp:rsid wsp:val=&quot;00446798&quot;/&gt;&lt;wsp:rsid wsp:val=&quot;00446B30&quot;/&gt;&lt;wsp:rsid wsp:val=&quot;00447387&quot;/&gt;&lt;wsp:rsid wsp:val=&quot;00447397&quot;/&gt;&lt;wsp:rsid wsp:val=&quot;0044789A&quot;/&gt;&lt;wsp:rsid wsp:val=&quot;00447CC2&quot;/&gt;&lt;wsp:rsid wsp:val=&quot;00447FCB&quot;/&gt;&lt;wsp:rsid wsp:val=&quot;0045026C&quot;/&gt;&lt;wsp:rsid wsp:val=&quot;00450663&quot;/&gt;&lt;wsp:rsid wsp:val=&quot;004507D7&quot;/&gt;&lt;wsp:rsid wsp:val=&quot;00450BC6&quot;/&gt;&lt;wsp:rsid wsp:val=&quot;00450DAD&quot;/&gt;&lt;wsp:rsid wsp:val=&quot;00450E01&quot;/&gt;&lt;wsp:rsid wsp:val=&quot;00450FA8&quot;/&gt;&lt;wsp:rsid wsp:val=&quot;00451177&quot;/&gt;&lt;wsp:rsid wsp:val=&quot;0045123E&quot;/&gt;&lt;wsp:rsid wsp:val=&quot;004512ED&quot;/&gt;&lt;wsp:rsid wsp:val=&quot;004518D0&quot;/&gt;&lt;wsp:rsid wsp:val=&quot;00452310&quot;/&gt;&lt;wsp:rsid wsp:val=&quot;0045288A&quot;/&gt;&lt;wsp:rsid wsp:val=&quot;00452ACD&quot;/&gt;&lt;wsp:rsid wsp:val=&quot;00452B84&quot;/&gt;&lt;wsp:rsid wsp:val=&quot;00452C80&quot;/&gt;&lt;wsp:rsid wsp:val=&quot;004531A4&quot;/&gt;&lt;wsp:rsid wsp:val=&quot;00453268&quot;/&gt;&lt;wsp:rsid wsp:val=&quot;00453577&quot;/&gt;&lt;wsp:rsid wsp:val=&quot;00453C5D&quot;/&gt;&lt;wsp:rsid wsp:val=&quot;00454170&quot;/&gt;&lt;wsp:rsid wsp:val=&quot;00454832&quot;/&gt;&lt;wsp:rsid wsp:val=&quot;00454890&quot;/&gt;&lt;wsp:rsid wsp:val=&quot;00454A4D&quot;/&gt;&lt;wsp:rsid wsp:val=&quot;00454F20&quot;/&gt;&lt;wsp:rsid wsp:val=&quot;004553C6&quot;/&gt;&lt;wsp:rsid wsp:val=&quot;00455834&quot;/&gt;&lt;wsp:rsid wsp:val=&quot;00455B45&quot;/&gt;&lt;wsp:rsid wsp:val=&quot;00455B9C&quot;/&gt;&lt;wsp:rsid wsp:val=&quot;00455BB7&quot;/&gt;&lt;wsp:rsid wsp:val=&quot;00456165&quot;/&gt;&lt;wsp:rsid wsp:val=&quot;0045649E&quot;/&gt;&lt;wsp:rsid wsp:val=&quot;004565EB&quot;/&gt;&lt;wsp:rsid wsp:val=&quot;00456861&quot;/&gt;&lt;wsp:rsid wsp:val=&quot;004572A3&quot;/&gt;&lt;wsp:rsid wsp:val=&quot;004576F2&quot;/&gt;&lt;wsp:rsid wsp:val=&quot;004577F9&quot;/&gt;&lt;wsp:rsid wsp:val=&quot;00457CC6&quot;/&gt;&lt;wsp:rsid wsp:val=&quot;00457DE2&quot;/&gt;&lt;wsp:rsid wsp:val=&quot;00457FB3&quot;/&gt;&lt;wsp:rsid wsp:val=&quot;004608B6&quot;/&gt;&lt;wsp:rsid wsp:val=&quot;004608EE&quot;/&gt;&lt;wsp:rsid wsp:val=&quot;0046098B&quot;/&gt;&lt;wsp:rsid wsp:val=&quot;004610D7&quot;/&gt;&lt;wsp:rsid wsp:val=&quot;00461155&quot;/&gt;&lt;wsp:rsid wsp:val=&quot;004615C4&quot;/&gt;&lt;wsp:rsid wsp:val=&quot;00461628&quot;/&gt;&lt;wsp:rsid wsp:val=&quot;00461A79&quot;/&gt;&lt;wsp:rsid wsp:val=&quot;0046245E&quot;/&gt;&lt;wsp:rsid wsp:val=&quot;00462996&quot;/&gt;&lt;wsp:rsid wsp:val=&quot;00462A41&quot;/&gt;&lt;wsp:rsid wsp:val=&quot;00462B20&quot;/&gt;&lt;wsp:rsid wsp:val=&quot;00462BD0&quot;/&gt;&lt;wsp:rsid wsp:val=&quot;00462D04&quot;/&gt;&lt;wsp:rsid wsp:val=&quot;00463017&quot;/&gt;&lt;wsp:rsid wsp:val=&quot;00463593&quot;/&gt;&lt;wsp:rsid wsp:val=&quot;004635B6&quot;/&gt;&lt;wsp:rsid wsp:val=&quot;0046376F&quot;/&gt;&lt;wsp:rsid wsp:val=&quot;00463986&quot;/&gt;&lt;wsp:rsid wsp:val=&quot;00463CF2&quot;/&gt;&lt;wsp:rsid wsp:val=&quot;0046420B&quot;/&gt;&lt;wsp:rsid wsp:val=&quot;00464B26&quot;/&gt;&lt;wsp:rsid wsp:val=&quot;00464CC2&quot;/&gt;&lt;wsp:rsid wsp:val=&quot;00464DAA&quot;/&gt;&lt;wsp:rsid wsp:val=&quot;004655C4&quot;/&gt;&lt;wsp:rsid wsp:val=&quot;004657FF&quot;/&gt;&lt;wsp:rsid wsp:val=&quot;00465892&quot;/&gt;&lt;wsp:rsid wsp:val=&quot;00465895&quot;/&gt;&lt;wsp:rsid wsp:val=&quot;00465A53&quot;/&gt;&lt;wsp:rsid wsp:val=&quot;00465CB2&quot;/&gt;&lt;wsp:rsid wsp:val=&quot;00465D75&quot;/&gt;&lt;wsp:rsid wsp:val=&quot;004661B1&quot;/&gt;&lt;wsp:rsid wsp:val=&quot;004663F7&quot;/&gt;&lt;wsp:rsid wsp:val=&quot;00466D7E&quot;/&gt;&lt;wsp:rsid wsp:val=&quot;004674C1&quot;/&gt;&lt;wsp:rsid wsp:val=&quot;00467852&quot;/&gt;&lt;wsp:rsid wsp:val=&quot;004679FD&quot;/&gt;&lt;wsp:rsid wsp:val=&quot;00470019&quot;/&gt;&lt;wsp:rsid wsp:val=&quot;00470308&quot;/&gt;&lt;wsp:rsid wsp:val=&quot;0047046B&quot;/&gt;&lt;wsp:rsid wsp:val=&quot;00470DB4&quot;/&gt;&lt;wsp:rsid wsp:val=&quot;0047107A&quot;/&gt;&lt;wsp:rsid wsp:val=&quot;004710D3&quot;/&gt;&lt;wsp:rsid wsp:val=&quot;004710DF&quot;/&gt;&lt;wsp:rsid wsp:val=&quot;004714D2&quot;/&gt;&lt;wsp:rsid wsp:val=&quot;00471507&quot;/&gt;&lt;wsp:rsid wsp:val=&quot;00471D6C&quot;/&gt;&lt;wsp:rsid wsp:val=&quot;00471E47&quot;/&gt;&lt;wsp:rsid wsp:val=&quot;00471FC5&quot;/&gt;&lt;wsp:rsid wsp:val=&quot;00472074&quot;/&gt;&lt;wsp:rsid wsp:val=&quot;00472AEE&quot;/&gt;&lt;wsp:rsid wsp:val=&quot;00472B3C&quot;/&gt;&lt;wsp:rsid wsp:val=&quot;00472B9D&quot;/&gt;&lt;wsp:rsid wsp:val=&quot;00472D20&quot;/&gt;&lt;wsp:rsid wsp:val=&quot;004737B3&quot;/&gt;&lt;wsp:rsid wsp:val=&quot;004738E4&quot;/&gt;&lt;wsp:rsid wsp:val=&quot;004738E5&quot;/&gt;&lt;wsp:rsid wsp:val=&quot;00473F1D&quot;/&gt;&lt;wsp:rsid wsp:val=&quot;004740CB&quot;/&gt;&lt;wsp:rsid wsp:val=&quot;004743A8&quot;/&gt;&lt;wsp:rsid wsp:val=&quot;0047459B&quot;/&gt;&lt;wsp:rsid wsp:val=&quot;0047466C&quot;/&gt;&lt;wsp:rsid wsp:val=&quot;00474928&quot;/&gt;&lt;wsp:rsid wsp:val=&quot;0047513F&quot;/&gt;&lt;wsp:rsid wsp:val=&quot;0047556E&quot;/&gt;&lt;wsp:rsid wsp:val=&quot;0047565B&quot;/&gt;&lt;wsp:rsid wsp:val=&quot;004757A8&quot;/&gt;&lt;wsp:rsid wsp:val=&quot;0047598B&quot;/&gt;&lt;wsp:rsid wsp:val=&quot;00475DAC&quot;/&gt;&lt;wsp:rsid wsp:val=&quot;004761DC&quot;/&gt;&lt;wsp:rsid wsp:val=&quot;0047633A&quot;/&gt;&lt;wsp:rsid wsp:val=&quot;0047634B&quot;/&gt;&lt;wsp:rsid wsp:val=&quot;00476428&quot;/&gt;&lt;wsp:rsid wsp:val=&quot;00476588&quot;/&gt;&lt;wsp:rsid wsp:val=&quot;00476831&quot;/&gt;&lt;wsp:rsid wsp:val=&quot;00476EBB&quot;/&gt;&lt;wsp:rsid wsp:val=&quot;0047711B&quot;/&gt;&lt;wsp:rsid wsp:val=&quot;00477336&quot;/&gt;&lt;wsp:rsid wsp:val=&quot;00477AA4&quot;/&gt;&lt;wsp:rsid wsp:val=&quot;00477C62&quot;/&gt;&lt;wsp:rsid wsp:val=&quot;00477E82&quot;/&gt;&lt;wsp:rsid wsp:val=&quot;00477FB2&quot;/&gt;&lt;wsp:rsid wsp:val=&quot;0048004E&quot;/&gt;&lt;wsp:rsid wsp:val=&quot;00480129&quot;/&gt;&lt;wsp:rsid wsp:val=&quot;00480575&quot;/&gt;&lt;wsp:rsid wsp:val=&quot;00480F11&quot;/&gt;&lt;wsp:rsid wsp:val=&quot;00482083&quot;/&gt;&lt;wsp:rsid wsp:val=&quot;004823C1&quot;/&gt;&lt;wsp:rsid wsp:val=&quot;004823D0&quot;/&gt;&lt;wsp:rsid wsp:val=&quot;004825D7&quot;/&gt;&lt;wsp:rsid wsp:val=&quot;004831BB&quot;/&gt;&lt;wsp:rsid wsp:val=&quot;00483290&quot;/&gt;&lt;wsp:rsid wsp:val=&quot;004834B7&quot;/&gt;&lt;wsp:rsid wsp:val=&quot;00483841&quot;/&gt;&lt;wsp:rsid wsp:val=&quot;00483914&quot;/&gt;&lt;wsp:rsid wsp:val=&quot;00483C6F&quot;/&gt;&lt;wsp:rsid wsp:val=&quot;00484263&quot;/&gt;&lt;wsp:rsid wsp:val=&quot;004843B5&quot;/&gt;&lt;wsp:rsid wsp:val=&quot;004844FC&quot;/&gt;&lt;wsp:rsid wsp:val=&quot;00484FDF&quot;/&gt;&lt;wsp:rsid wsp:val=&quot;004854A5&quot;/&gt;&lt;wsp:rsid wsp:val=&quot;004855F1&quot;/&gt;&lt;wsp:rsid wsp:val=&quot;00485A07&quot;/&gt;&lt;wsp:rsid wsp:val=&quot;00485A73&quot;/&gt;&lt;wsp:rsid wsp:val=&quot;00485D62&quot;/&gt;&lt;wsp:rsid wsp:val=&quot;00485D6D&quot;/&gt;&lt;wsp:rsid wsp:val=&quot;00485EDD&quot;/&gt;&lt;wsp:rsid wsp:val=&quot;00486243&quot;/&gt;&lt;wsp:rsid wsp:val=&quot;00486319&quot;/&gt;&lt;wsp:rsid wsp:val=&quot;004864A6&quot;/&gt;&lt;wsp:rsid wsp:val=&quot;004865EE&quot;/&gt;&lt;wsp:rsid wsp:val=&quot;004868A0&quot;/&gt;&lt;wsp:rsid wsp:val=&quot;00486B0E&quot;/&gt;&lt;wsp:rsid wsp:val=&quot;00487952&quot;/&gt;&lt;wsp:rsid wsp:val=&quot;00487F97&quot;/&gt;&lt;wsp:rsid wsp:val=&quot;00490235&quot;/&gt;&lt;wsp:rsid wsp:val=&quot;004904F5&quot;/&gt;&lt;wsp:rsid wsp:val=&quot;00490575&quot;/&gt;&lt;wsp:rsid wsp:val=&quot;0049105E&quot;/&gt;&lt;wsp:rsid wsp:val=&quot;0049114B&quot;/&gt;&lt;wsp:rsid wsp:val=&quot;004913BD&quot;/&gt;&lt;wsp:rsid wsp:val=&quot;00491B51&quot;/&gt;&lt;wsp:rsid wsp:val=&quot;0049254E&quot;/&gt;&lt;wsp:rsid wsp:val=&quot;00492B5E&quot;/&gt;&lt;wsp:rsid wsp:val=&quot;00492B75&quot;/&gt;&lt;wsp:rsid wsp:val=&quot;00492BDE&quot;/&gt;&lt;wsp:rsid wsp:val=&quot;00493194&quot;/&gt;&lt;wsp:rsid wsp:val=&quot;004933E0&quot;/&gt;&lt;wsp:rsid wsp:val=&quot;0049407C&quot;/&gt;&lt;wsp:rsid wsp:val=&quot;004947BD&quot;/&gt;&lt;wsp:rsid wsp:val=&quot;004948E4&quot;/&gt;&lt;wsp:rsid wsp:val=&quot;00494D55&quot;/&gt;&lt;wsp:rsid wsp:val=&quot;004953A7&quot;/&gt;&lt;wsp:rsid wsp:val=&quot;00495729&quot;/&gt;&lt;wsp:rsid wsp:val=&quot;00495C08&quot;/&gt;&lt;wsp:rsid wsp:val=&quot;00495C16&quot;/&gt;&lt;wsp:rsid wsp:val=&quot;00495EDB&quot;/&gt;&lt;wsp:rsid wsp:val=&quot;00495FEA&quot;/&gt;&lt;wsp:rsid wsp:val=&quot;004963FD&quot;/&gt;&lt;wsp:rsid wsp:val=&quot;004975DF&quot;/&gt;&lt;wsp:rsid wsp:val=&quot;004976A3&quot;/&gt;&lt;wsp:rsid wsp:val=&quot;00497F41&quot;/&gt;&lt;wsp:rsid wsp:val=&quot;004A0140&quot;/&gt;&lt;wsp:rsid wsp:val=&quot;004A0471&quot;/&gt;&lt;wsp:rsid wsp:val=&quot;004A09B6&quot;/&gt;&lt;wsp:rsid wsp:val=&quot;004A12A2&quot;/&gt;&lt;wsp:rsid wsp:val=&quot;004A1350&quot;/&gt;&lt;wsp:rsid wsp:val=&quot;004A138A&quot;/&gt;&lt;wsp:rsid wsp:val=&quot;004A1B0F&quot;/&gt;&lt;wsp:rsid wsp:val=&quot;004A1CF9&quot;/&gt;&lt;wsp:rsid wsp:val=&quot;004A1FE1&quot;/&gt;&lt;wsp:rsid wsp:val=&quot;004A2013&quot;/&gt;&lt;wsp:rsid wsp:val=&quot;004A228C&quot;/&gt;&lt;wsp:rsid wsp:val=&quot;004A29C1&quot;/&gt;&lt;wsp:rsid wsp:val=&quot;004A29F7&quot;/&gt;&lt;wsp:rsid wsp:val=&quot;004A2FEB&quot;/&gt;&lt;wsp:rsid wsp:val=&quot;004A3467&quot;/&gt;&lt;wsp:rsid wsp:val=&quot;004A34BC&quot;/&gt;&lt;wsp:rsid wsp:val=&quot;004A4183&quot;/&gt;&lt;wsp:rsid wsp:val=&quot;004A460D&quot;/&gt;&lt;wsp:rsid wsp:val=&quot;004A4913&quot;/&gt;&lt;wsp:rsid wsp:val=&quot;004A4985&quot;/&gt;&lt;wsp:rsid wsp:val=&quot;004A49CD&quot;/&gt;&lt;wsp:rsid wsp:val=&quot;004A4D4D&quot;/&gt;&lt;wsp:rsid wsp:val=&quot;004A526B&quot;/&gt;&lt;wsp:rsid wsp:val=&quot;004A52FC&quot;/&gt;&lt;wsp:rsid wsp:val=&quot;004A535F&quot;/&gt;&lt;wsp:rsid wsp:val=&quot;004A55B8&quot;/&gt;&lt;wsp:rsid wsp:val=&quot;004A5826&quot;/&gt;&lt;wsp:rsid wsp:val=&quot;004A6463&quot;/&gt;&lt;wsp:rsid wsp:val=&quot;004A659B&quot;/&gt;&lt;wsp:rsid wsp:val=&quot;004A65E6&quot;/&gt;&lt;wsp:rsid wsp:val=&quot;004A6695&quot;/&gt;&lt;wsp:rsid wsp:val=&quot;004A671E&quot;/&gt;&lt;wsp:rsid wsp:val=&quot;004A673C&quot;/&gt;&lt;wsp:rsid wsp:val=&quot;004A6C23&quot;/&gt;&lt;wsp:rsid wsp:val=&quot;004A7471&quot;/&gt;&lt;wsp:rsid wsp:val=&quot;004A77E1&quot;/&gt;&lt;wsp:rsid wsp:val=&quot;004A783D&quot;/&gt;&lt;wsp:rsid wsp:val=&quot;004B0247&quot;/&gt;&lt;wsp:rsid wsp:val=&quot;004B064C&quot;/&gt;&lt;wsp:rsid wsp:val=&quot;004B1565&quot;/&gt;&lt;wsp:rsid wsp:val=&quot;004B1868&quot;/&gt;&lt;wsp:rsid wsp:val=&quot;004B1AFA&quot;/&gt;&lt;wsp:rsid wsp:val=&quot;004B204C&quot;/&gt;&lt;wsp:rsid wsp:val=&quot;004B208C&quot;/&gt;&lt;wsp:rsid wsp:val=&quot;004B2265&quot;/&gt;&lt;wsp:rsid wsp:val=&quot;004B2807&quot;/&gt;&lt;wsp:rsid wsp:val=&quot;004B2918&quot;/&gt;&lt;wsp:rsid wsp:val=&quot;004B3418&quot;/&gt;&lt;wsp:rsid wsp:val=&quot;004B3574&quot;/&gt;&lt;wsp:rsid wsp:val=&quot;004B3864&quot;/&gt;&lt;wsp:rsid wsp:val=&quot;004B3D7B&quot;/&gt;&lt;wsp:rsid wsp:val=&quot;004B3DD6&quot;/&gt;&lt;wsp:rsid wsp:val=&quot;004B3FD2&quot;/&gt;&lt;wsp:rsid wsp:val=&quot;004B40A6&quot;/&gt;&lt;wsp:rsid wsp:val=&quot;004B4A4D&quot;/&gt;&lt;wsp:rsid wsp:val=&quot;004B4D89&quot;/&gt;&lt;wsp:rsid wsp:val=&quot;004B4EBD&quot;/&gt;&lt;wsp:rsid wsp:val=&quot;004B54E6&quot;/&gt;&lt;wsp:rsid wsp:val=&quot;004B5828&quot;/&gt;&lt;wsp:rsid wsp:val=&quot;004B5884&quot;/&gt;&lt;wsp:rsid wsp:val=&quot;004B5B64&quot;/&gt;&lt;wsp:rsid wsp:val=&quot;004B5B9E&quot;/&gt;&lt;wsp:rsid wsp:val=&quot;004B5CD7&quot;/&gt;&lt;wsp:rsid wsp:val=&quot;004B5D77&quot;/&gt;&lt;wsp:rsid wsp:val=&quot;004B6016&quot;/&gt;&lt;wsp:rsid wsp:val=&quot;004B635B&quot;/&gt;&lt;wsp:rsid wsp:val=&quot;004B665D&quot;/&gt;&lt;wsp:rsid wsp:val=&quot;004B68B5&quot;/&gt;&lt;wsp:rsid wsp:val=&quot;004B69F9&quot;/&gt;&lt;wsp:rsid wsp:val=&quot;004B6C92&quot;/&gt;&lt;wsp:rsid wsp:val=&quot;004B6FBE&quot;/&gt;&lt;wsp:rsid wsp:val=&quot;004B7820&quot;/&gt;&lt;wsp:rsid wsp:val=&quot;004B7D4C&quot;/&gt;&lt;wsp:rsid wsp:val=&quot;004C01AC&quot;/&gt;&lt;wsp:rsid wsp:val=&quot;004C09A9&quot;/&gt;&lt;wsp:rsid wsp:val=&quot;004C0B00&quot;/&gt;&lt;wsp:rsid wsp:val=&quot;004C18D7&quot;/&gt;&lt;wsp:rsid wsp:val=&quot;004C1BEF&quot;/&gt;&lt;wsp:rsid wsp:val=&quot;004C1CB1&quot;/&gt;&lt;wsp:rsid wsp:val=&quot;004C23AD&quot;/&gt;&lt;wsp:rsid wsp:val=&quot;004C250D&quot;/&gt;&lt;wsp:rsid wsp:val=&quot;004C25C6&quot;/&gt;&lt;wsp:rsid wsp:val=&quot;004C2D23&quot;/&gt;&lt;wsp:rsid wsp:val=&quot;004C2E11&quot;/&gt;&lt;wsp:rsid wsp:val=&quot;004C32C2&quot;/&gt;&lt;wsp:rsid wsp:val=&quot;004C333E&quot;/&gt;&lt;wsp:rsid wsp:val=&quot;004C34B9&quot;/&gt;&lt;wsp:rsid wsp:val=&quot;004C4198&quot;/&gt;&lt;wsp:rsid wsp:val=&quot;004C4728&quot;/&gt;&lt;wsp:rsid wsp:val=&quot;004C4B4F&quot;/&gt;&lt;wsp:rsid wsp:val=&quot;004C4B62&quot;/&gt;&lt;wsp:rsid wsp:val=&quot;004C4C89&quot;/&gt;&lt;wsp:rsid wsp:val=&quot;004C599B&quot;/&gt;&lt;wsp:rsid wsp:val=&quot;004C5EBE&quot;/&gt;&lt;wsp:rsid wsp:val=&quot;004C6382&quot;/&gt;&lt;wsp:rsid wsp:val=&quot;004C63EC&quot;/&gt;&lt;wsp:rsid wsp:val=&quot;004C6C36&quot;/&gt;&lt;wsp:rsid wsp:val=&quot;004C6F21&quot;/&gt;&lt;wsp:rsid wsp:val=&quot;004C71AA&quot;/&gt;&lt;wsp:rsid wsp:val=&quot;004C7984&quot;/&gt;&lt;wsp:rsid wsp:val=&quot;004C7A1E&quot;/&gt;&lt;wsp:rsid wsp:val=&quot;004D03BC&quot;/&gt;&lt;wsp:rsid wsp:val=&quot;004D071E&quot;/&gt;&lt;wsp:rsid wsp:val=&quot;004D0B5C&quot;/&gt;&lt;wsp:rsid wsp:val=&quot;004D0D8C&quot;/&gt;&lt;wsp:rsid wsp:val=&quot;004D0EED&quot;/&gt;&lt;wsp:rsid wsp:val=&quot;004D0F83&quot;/&gt;&lt;wsp:rsid wsp:val=&quot;004D10C5&quot;/&gt;&lt;wsp:rsid wsp:val=&quot;004D1891&quot;/&gt;&lt;wsp:rsid wsp:val=&quot;004D1ABA&quot;/&gt;&lt;wsp:rsid wsp:val=&quot;004D1BF0&quot;/&gt;&lt;wsp:rsid wsp:val=&quot;004D1C79&quot;/&gt;&lt;wsp:rsid wsp:val=&quot;004D21E0&quot;/&gt;&lt;wsp:rsid wsp:val=&quot;004D2573&quot;/&gt;&lt;wsp:rsid wsp:val=&quot;004D25A3&quot;/&gt;&lt;wsp:rsid wsp:val=&quot;004D275D&quot;/&gt;&lt;wsp:rsid wsp:val=&quot;004D2765&quot;/&gt;&lt;wsp:rsid wsp:val=&quot;004D277D&quot;/&gt;&lt;wsp:rsid wsp:val=&quot;004D2F4E&quot;/&gt;&lt;wsp:rsid wsp:val=&quot;004D30BB&quot;/&gt;&lt;wsp:rsid wsp:val=&quot;004D33EA&quot;/&gt;&lt;wsp:rsid wsp:val=&quot;004D39E7&quot;/&gt;&lt;wsp:rsid wsp:val=&quot;004D3E26&quot;/&gt;&lt;wsp:rsid wsp:val=&quot;004D3EE1&quot;/&gt;&lt;wsp:rsid wsp:val=&quot;004D3FC0&quot;/&gt;&lt;wsp:rsid wsp:val=&quot;004D4395&quot;/&gt;&lt;wsp:rsid wsp:val=&quot;004D444D&quot;/&gt;&lt;wsp:rsid wsp:val=&quot;004D47AB&quot;/&gt;&lt;wsp:rsid wsp:val=&quot;004D4AC7&quot;/&gt;&lt;wsp:rsid wsp:val=&quot;004D4D68&quot;/&gt;&lt;wsp:rsid wsp:val=&quot;004D5020&quot;/&gt;&lt;wsp:rsid wsp:val=&quot;004D5071&quot;/&gt;&lt;wsp:rsid wsp:val=&quot;004D5804&quot;/&gt;&lt;wsp:rsid wsp:val=&quot;004D5A8D&quot;/&gt;&lt;wsp:rsid wsp:val=&quot;004D5F5C&quot;/&gt;&lt;wsp:rsid wsp:val=&quot;004D5FD4&quot;/&gt;&lt;wsp:rsid wsp:val=&quot;004D6295&quot;/&gt;&lt;wsp:rsid wsp:val=&quot;004D67A6&quot;/&gt;&lt;wsp:rsid wsp:val=&quot;004D77DE&quot;/&gt;&lt;wsp:rsid wsp:val=&quot;004D77FD&quot;/&gt;&lt;wsp:rsid wsp:val=&quot;004D7C39&quot;/&gt;&lt;wsp:rsid wsp:val=&quot;004D7C90&quot;/&gt;&lt;wsp:rsid wsp:val=&quot;004E0426&quot;/&gt;&lt;wsp:rsid wsp:val=&quot;004E05BD&quot;/&gt;&lt;wsp:rsid wsp:val=&quot;004E083A&quot;/&gt;&lt;wsp:rsid wsp:val=&quot;004E0C40&quot;/&gt;&lt;wsp:rsid wsp:val=&quot;004E0DE8&quot;/&gt;&lt;wsp:rsid wsp:val=&quot;004E0F77&quot;/&gt;&lt;wsp:rsid wsp:val=&quot;004E0FF8&quot;/&gt;&lt;wsp:rsid wsp:val=&quot;004E1812&quot;/&gt;&lt;wsp:rsid wsp:val=&quot;004E23F3&quot;/&gt;&lt;wsp:rsid wsp:val=&quot;004E2C7E&quot;/&gt;&lt;wsp:rsid wsp:val=&quot;004E2D66&quot;/&gt;&lt;wsp:rsid wsp:val=&quot;004E2E3E&quot;/&gt;&lt;wsp:rsid wsp:val=&quot;004E335C&quot;/&gt;&lt;wsp:rsid wsp:val=&quot;004E3A87&quot;/&gt;&lt;wsp:rsid wsp:val=&quot;004E3B92&quot;/&gt;&lt;wsp:rsid wsp:val=&quot;004E3D74&quot;/&gt;&lt;wsp:rsid wsp:val=&quot;004E3DDC&quot;/&gt;&lt;wsp:rsid wsp:val=&quot;004E3E91&quot;/&gt;&lt;wsp:rsid wsp:val=&quot;004E4004&quot;/&gt;&lt;wsp:rsid wsp:val=&quot;004E42DB&quot;/&gt;&lt;wsp:rsid wsp:val=&quot;004E43EC&quot;/&gt;&lt;wsp:rsid wsp:val=&quot;004E499A&quot;/&gt;&lt;wsp:rsid wsp:val=&quot;004E4CBB&quot;/&gt;&lt;wsp:rsid wsp:val=&quot;004E4D99&quot;/&gt;&lt;wsp:rsid wsp:val=&quot;004E53BC&quot;/&gt;&lt;wsp:rsid wsp:val=&quot;004E5962&quot;/&gt;&lt;wsp:rsid wsp:val=&quot;004E599D&quot;/&gt;&lt;wsp:rsid wsp:val=&quot;004E59C9&quot;/&gt;&lt;wsp:rsid wsp:val=&quot;004E5BD3&quot;/&gt;&lt;wsp:rsid wsp:val=&quot;004E5D2E&quot;/&gt;&lt;wsp:rsid wsp:val=&quot;004E6536&quot;/&gt;&lt;wsp:rsid wsp:val=&quot;004E6641&quot;/&gt;&lt;wsp:rsid wsp:val=&quot;004E73C7&quot;/&gt;&lt;wsp:rsid wsp:val=&quot;004E7C33&quot;/&gt;&lt;wsp:rsid wsp:val=&quot;004E7D31&quot;/&gt;&lt;wsp:rsid wsp:val=&quot;004F06A5&quot;/&gt;&lt;wsp:rsid wsp:val=&quot;004F079A&quot;/&gt;&lt;wsp:rsid wsp:val=&quot;004F0CB5&quot;/&gt;&lt;wsp:rsid wsp:val=&quot;004F0D68&quot;/&gt;&lt;wsp:rsid wsp:val=&quot;004F0FA8&quot;/&gt;&lt;wsp:rsid wsp:val=&quot;004F1289&quot;/&gt;&lt;wsp:rsid wsp:val=&quot;004F12F9&quot;/&gt;&lt;wsp:rsid wsp:val=&quot;004F13D4&quot;/&gt;&lt;wsp:rsid wsp:val=&quot;004F1476&quot;/&gt;&lt;wsp:rsid wsp:val=&quot;004F1559&quot;/&gt;&lt;wsp:rsid wsp:val=&quot;004F185C&quot;/&gt;&lt;wsp:rsid wsp:val=&quot;004F1E33&quot;/&gt;&lt;wsp:rsid wsp:val=&quot;004F1F62&quot;/&gt;&lt;wsp:rsid wsp:val=&quot;004F2016&quot;/&gt;&lt;wsp:rsid wsp:val=&quot;004F21E8&quot;/&gt;&lt;wsp:rsid wsp:val=&quot;004F2253&quot;/&gt;&lt;wsp:rsid wsp:val=&quot;004F2456&quot;/&gt;&lt;wsp:rsid wsp:val=&quot;004F2B1A&quot;/&gt;&lt;wsp:rsid wsp:val=&quot;004F2C0A&quot;/&gt;&lt;wsp:rsid wsp:val=&quot;004F2CEB&quot;/&gt;&lt;wsp:rsid wsp:val=&quot;004F2E19&quot;/&gt;&lt;wsp:rsid wsp:val=&quot;004F2F6E&quot;/&gt;&lt;wsp:rsid wsp:val=&quot;004F3332&quot;/&gt;&lt;wsp:rsid wsp:val=&quot;004F35E4&quot;/&gt;&lt;wsp:rsid wsp:val=&quot;004F37F2&quot;/&gt;&lt;wsp:rsid wsp:val=&quot;004F3BD5&quot;/&gt;&lt;wsp:rsid wsp:val=&quot;004F3DF1&quot;/&gt;&lt;wsp:rsid wsp:val=&quot;004F3E04&quot;/&gt;&lt;wsp:rsid wsp:val=&quot;004F3EA2&quot;/&gt;&lt;wsp:rsid wsp:val=&quot;004F4149&quot;/&gt;&lt;wsp:rsid wsp:val=&quot;004F459E&quot;/&gt;&lt;wsp:rsid wsp:val=&quot;004F48F8&quot;/&gt;&lt;wsp:rsid wsp:val=&quot;004F493C&quot;/&gt;&lt;wsp:rsid wsp:val=&quot;004F499C&quot;/&gt;&lt;wsp:rsid wsp:val=&quot;004F49A5&quot;/&gt;&lt;wsp:rsid wsp:val=&quot;004F49BE&quot;/&gt;&lt;wsp:rsid wsp:val=&quot;004F4AD3&quot;/&gt;&lt;wsp:rsid wsp:val=&quot;004F4C62&quot;/&gt;&lt;wsp:rsid wsp:val=&quot;004F4E5C&quot;/&gt;&lt;wsp:rsid wsp:val=&quot;004F4FE3&quot;/&gt;&lt;wsp:rsid wsp:val=&quot;004F50D5&quot;/&gt;&lt;wsp:rsid wsp:val=&quot;004F558C&quot;/&gt;&lt;wsp:rsid wsp:val=&quot;004F570C&quot;/&gt;&lt;wsp:rsid wsp:val=&quot;004F5743&quot;/&gt;&lt;wsp:rsid wsp:val=&quot;004F584B&quot;/&gt;&lt;wsp:rsid wsp:val=&quot;004F5EA8&quot;/&gt;&lt;wsp:rsid wsp:val=&quot;004F5F4E&quot;/&gt;&lt;wsp:rsid wsp:val=&quot;004F610E&quot;/&gt;&lt;wsp:rsid wsp:val=&quot;004F614C&quot;/&gt;&lt;wsp:rsid wsp:val=&quot;004F640C&quot;/&gt;&lt;wsp:rsid wsp:val=&quot;004F648F&quot;/&gt;&lt;wsp:rsid wsp:val=&quot;004F661A&quot;/&gt;&lt;wsp:rsid wsp:val=&quot;004F66B1&quot;/&gt;&lt;wsp:rsid wsp:val=&quot;004F6921&quot;/&gt;&lt;wsp:rsid wsp:val=&quot;004F6A7F&quot;/&gt;&lt;wsp:rsid wsp:val=&quot;004F7E50&quot;/&gt;&lt;wsp:rsid wsp:val=&quot;00500024&quot;/&gt;&lt;wsp:rsid wsp:val=&quot;00500107&quot;/&gt;&lt;wsp:rsid wsp:val=&quot;005009D2&quot;/&gt;&lt;wsp:rsid wsp:val=&quot;00500BD8&quot;/&gt;&lt;wsp:rsid wsp:val=&quot;00501096&quot;/&gt;&lt;wsp:rsid wsp:val=&quot;00501673&quot;/&gt;&lt;wsp:rsid wsp:val=&quot;00501987&quot;/&gt;&lt;wsp:rsid wsp:val=&quot;00501B01&quot;/&gt;&lt;wsp:rsid wsp:val=&quot;00501DCB&quot;/&gt;&lt;wsp:rsid wsp:val=&quot;00502AD0&quot;/&gt;&lt;wsp:rsid wsp:val=&quot;00502BB3&quot;/&gt;&lt;wsp:rsid wsp:val=&quot;00502C3F&quot;/&gt;&lt;wsp:rsid wsp:val=&quot;005035A1&quot;/&gt;&lt;wsp:rsid wsp:val=&quot;00503842&quot;/&gt;&lt;wsp:rsid wsp:val=&quot;005044D5&quot;/&gt;&lt;wsp:rsid wsp:val=&quot;00504A51&quot;/&gt;&lt;wsp:rsid wsp:val=&quot;005051ED&quot;/&gt;&lt;wsp:rsid wsp:val=&quot;00505FBE&quot;/&gt;&lt;wsp:rsid wsp:val=&quot;00506378&quot;/&gt;&lt;wsp:rsid wsp:val=&quot;00506592&quot;/&gt;&lt;wsp:rsid wsp:val=&quot;00506747&quot;/&gt;&lt;wsp:rsid wsp:val=&quot;0050687B&quot;/&gt;&lt;wsp:rsid wsp:val=&quot;005069F5&quot;/&gt;&lt;wsp:rsid wsp:val=&quot;00506FD2&quot;/&gt;&lt;wsp:rsid wsp:val=&quot;00507179&quot;/&gt;&lt;wsp:rsid wsp:val=&quot;005072F6&quot;/&gt;&lt;wsp:rsid wsp:val=&quot;00507381&quot;/&gt;&lt;wsp:rsid wsp:val=&quot;0050773C&quot;/&gt;&lt;wsp:rsid wsp:val=&quot;00507779&quot;/&gt;&lt;wsp:rsid wsp:val=&quot;00507D35&quot;/&gt;&lt;wsp:rsid wsp:val=&quot;00507F4E&quot;/&gt;&lt;wsp:rsid wsp:val=&quot;00507F57&quot;/&gt;&lt;wsp:rsid wsp:val=&quot;00510163&quot;/&gt;&lt;wsp:rsid wsp:val=&quot;00510930&quot;/&gt;&lt;wsp:rsid wsp:val=&quot;00510E58&quot;/&gt;&lt;wsp:rsid wsp:val=&quot;00511235&quot;/&gt;&lt;wsp:rsid wsp:val=&quot;00511361&quot;/&gt;&lt;wsp:rsid wsp:val=&quot;00511736&quot;/&gt;&lt;wsp:rsid wsp:val=&quot;0051182C&quot;/&gt;&lt;wsp:rsid wsp:val=&quot;0051189B&quot;/&gt;&lt;wsp:rsid wsp:val=&quot;00512066&quot;/&gt;&lt;wsp:rsid wsp:val=&quot;005120DF&quot;/&gt;&lt;wsp:rsid wsp:val=&quot;0051292A&quot;/&gt;&lt;wsp:rsid wsp:val=&quot;00513042&quot;/&gt;&lt;wsp:rsid wsp:val=&quot;00513388&quot;/&gt;&lt;wsp:rsid wsp:val=&quot;0051363C&quot;/&gt;&lt;wsp:rsid wsp:val=&quot;0051372D&quot;/&gt;&lt;wsp:rsid wsp:val=&quot;0051374C&quot;/&gt;&lt;wsp:rsid wsp:val=&quot;00513BE8&quot;/&gt;&lt;wsp:rsid wsp:val=&quot;00513C79&quot;/&gt;&lt;wsp:rsid wsp:val=&quot;00513DBA&quot;/&gt;&lt;wsp:rsid wsp:val=&quot;00514228&quot;/&gt;&lt;wsp:rsid wsp:val=&quot;00514E5D&quot;/&gt;&lt;wsp:rsid wsp:val=&quot;005151F6&quot;/&gt;&lt;wsp:rsid wsp:val=&quot;005154BA&quot;/&gt;&lt;wsp:rsid wsp:val=&quot;00515673&quot;/&gt;&lt;wsp:rsid wsp:val=&quot;005158CD&quot;/&gt;&lt;wsp:rsid wsp:val=&quot;00515A5C&quot;/&gt;&lt;wsp:rsid wsp:val=&quot;00516006&quot;/&gt;&lt;wsp:rsid wsp:val=&quot;0051654E&quot;/&gt;&lt;wsp:rsid wsp:val=&quot;00516F54&quot;/&gt;&lt;wsp:rsid wsp:val=&quot;00516FB9&quot;/&gt;&lt;wsp:rsid wsp:val=&quot;00517056&quot;/&gt;&lt;wsp:rsid wsp:val=&quot;0051738D&quot;/&gt;&lt;wsp:rsid wsp:val=&quot;005177AA&quot;/&gt;&lt;wsp:rsid wsp:val=&quot;00517F51&quot;/&gt;&lt;wsp:rsid wsp:val=&quot;00520168&quot;/&gt;&lt;wsp:rsid wsp:val=&quot;00520389&quot;/&gt;&lt;wsp:rsid wsp:val=&quot;005205D4&quot;/&gt;&lt;wsp:rsid wsp:val=&quot;00520884&quot;/&gt;&lt;wsp:rsid wsp:val=&quot;00520F1C&quot;/&gt;&lt;wsp:rsid wsp:val=&quot;005212C4&quot;/&gt;&lt;wsp:rsid wsp:val=&quot;0052132B&quot;/&gt;&lt;wsp:rsid wsp:val=&quot;005217F1&quot;/&gt;&lt;wsp:rsid wsp:val=&quot;00521DC4&quot;/&gt;&lt;wsp:rsid wsp:val=&quot;00521EC4&quot;/&gt;&lt;wsp:rsid wsp:val=&quot;0052253C&quot;/&gt;&lt;wsp:rsid wsp:val=&quot;00522688&quot;/&gt;&lt;wsp:rsid wsp:val=&quot;00522804&quot;/&gt;&lt;wsp:rsid wsp:val=&quot;00522A82&quot;/&gt;&lt;wsp:rsid wsp:val=&quot;00522FB4&quot;/&gt;&lt;wsp:rsid wsp:val=&quot;00523487&quot;/&gt;&lt;wsp:rsid wsp:val=&quot;005238EC&quot;/&gt;&lt;wsp:rsid wsp:val=&quot;00523D71&quot;/&gt;&lt;wsp:rsid wsp:val=&quot;00523DA4&quot;/&gt;&lt;wsp:rsid wsp:val=&quot;00523EED&quot;/&gt;&lt;wsp:rsid wsp:val=&quot;00523FBF&quot;/&gt;&lt;wsp:rsid wsp:val=&quot;0052442B&quot;/&gt;&lt;wsp:rsid wsp:val=&quot;005245AE&quot;/&gt;&lt;wsp:rsid wsp:val=&quot;005245C6&quot;/&gt;&lt;wsp:rsid wsp:val=&quot;0052478D&quot;/&gt;&lt;wsp:rsid wsp:val=&quot;005247D8&quot;/&gt;&lt;wsp:rsid wsp:val=&quot;00524D49&quot;/&gt;&lt;wsp:rsid wsp:val=&quot;005254BF&quot;/&gt;&lt;wsp:rsid wsp:val=&quot;005255AF&quot;/&gt;&lt;wsp:rsid wsp:val=&quot;00525B54&quot;/&gt;&lt;wsp:rsid wsp:val=&quot;00525E90&quot;/&gt;&lt;wsp:rsid wsp:val=&quot;00525FFB&quot;/&gt;&lt;wsp:rsid wsp:val=&quot;005260A9&quot;/&gt;&lt;wsp:rsid wsp:val=&quot;00526109&quot;/&gt;&lt;wsp:rsid wsp:val=&quot;00526E53&quot;/&gt;&lt;wsp:rsid wsp:val=&quot;00526EDD&quot;/&gt;&lt;wsp:rsid wsp:val=&quot;0052703E&quot;/&gt;&lt;wsp:rsid wsp:val=&quot;00527289&quot;/&gt;&lt;wsp:rsid wsp:val=&quot;00527CBA&quot;/&gt;&lt;wsp:rsid wsp:val=&quot;00530412&quot;/&gt;&lt;wsp:rsid wsp:val=&quot;005308A3&quot;/&gt;&lt;wsp:rsid wsp:val=&quot;00530BAD&quot;/&gt;&lt;wsp:rsid wsp:val=&quot;00530D07&quot;/&gt;&lt;wsp:rsid wsp:val=&quot;005314D2&quot;/&gt;&lt;wsp:rsid wsp:val=&quot;00531A24&quot;/&gt;&lt;wsp:rsid wsp:val=&quot;00532160&quot;/&gt;&lt;wsp:rsid wsp:val=&quot;0053238B&quot;/&gt;&lt;wsp:rsid wsp:val=&quot;00532486&quot;/&gt;&lt;wsp:rsid wsp:val=&quot;005324E5&quot;/&gt;&lt;wsp:rsid wsp:val=&quot;005329A8&quot;/&gt;&lt;wsp:rsid wsp:val=&quot;00532B2A&quot;/&gt;&lt;wsp:rsid wsp:val=&quot;00532F0D&quot;/&gt;&lt;wsp:rsid wsp:val=&quot;0053335A&quot;/&gt;&lt;wsp:rsid wsp:val=&quot;005335C8&quot;/&gt;&lt;wsp:rsid wsp:val=&quot;00533850&quot;/&gt;&lt;wsp:rsid wsp:val=&quot;00533D2B&quot;/&gt;&lt;wsp:rsid wsp:val=&quot;00533E8C&quot;/&gt;&lt;wsp:rsid wsp:val=&quot;00533F94&quot;/&gt;&lt;wsp:rsid wsp:val=&quot;0053419B&quot;/&gt;&lt;wsp:rsid wsp:val=&quot;005348E7&quot;/&gt;&lt;wsp:rsid wsp:val=&quot;00534921&quot;/&gt;&lt;wsp:rsid wsp:val=&quot;00535204&quot;/&gt;&lt;wsp:rsid wsp:val=&quot;00535364&quot;/&gt;&lt;wsp:rsid wsp:val=&quot;00535D15&quot;/&gt;&lt;wsp:rsid wsp:val=&quot;00535E04&quot;/&gt;&lt;wsp:rsid wsp:val=&quot;005367F3&quot;/&gt;&lt;wsp:rsid wsp:val=&quot;005369FC&quot;/&gt;&lt;wsp:rsid wsp:val=&quot;00536BEA&quot;/&gt;&lt;wsp:rsid wsp:val=&quot;0053739E&quot;/&gt;&lt;wsp:rsid wsp:val=&quot;00537593&quot;/&gt;&lt;wsp:rsid wsp:val=&quot;005376AC&quot;/&gt;&lt;wsp:rsid wsp:val=&quot;00537A5E&quot;/&gt;&lt;wsp:rsid wsp:val=&quot;005401B7&quot;/&gt;&lt;wsp:rsid wsp:val=&quot;00540586&quot;/&gt;&lt;wsp:rsid wsp:val=&quot;00540626&quot;/&gt;&lt;wsp:rsid wsp:val=&quot;00540BBF&quot;/&gt;&lt;wsp:rsid wsp:val=&quot;00540BE8&quot;/&gt;&lt;wsp:rsid wsp:val=&quot;00540CAE&quot;/&gt;&lt;wsp:rsid wsp:val=&quot;00541043&quot;/&gt;&lt;wsp:rsid wsp:val=&quot;00541503&quot;/&gt;&lt;wsp:rsid wsp:val=&quot;00541761&quot;/&gt;&lt;wsp:rsid wsp:val=&quot;00542050&quot;/&gt;&lt;wsp:rsid wsp:val=&quot;00542548&quot;/&gt;&lt;wsp:rsid wsp:val=&quot;00542876&quot;/&gt;&lt;wsp:rsid wsp:val=&quot;00542B60&quot;/&gt;&lt;wsp:rsid wsp:val=&quot;00542BD8&quot;/&gt;&lt;wsp:rsid wsp:val=&quot;00542D44&quot;/&gt;&lt;wsp:rsid wsp:val=&quot;00542E9C&quot;/&gt;&lt;wsp:rsid wsp:val=&quot;00543459&quot;/&gt;&lt;wsp:rsid wsp:val=&quot;00543D53&quot;/&gt;&lt;wsp:rsid wsp:val=&quot;00544120&quot;/&gt;&lt;wsp:rsid wsp:val=&quot;00544895&quot;/&gt;&lt;wsp:rsid wsp:val=&quot;005449D5&quot;/&gt;&lt;wsp:rsid wsp:val=&quot;00545012&quot;/&gt;&lt;wsp:rsid wsp:val=&quot;005454FC&quot;/&gt;&lt;wsp:rsid wsp:val=&quot;0054566F&quot;/&gt;&lt;wsp:rsid wsp:val=&quot;00545D06&quot;/&gt;&lt;wsp:rsid wsp:val=&quot;005463E8&quot;/&gt;&lt;wsp:rsid wsp:val=&quot;0054694F&quot;/&gt;&lt;wsp:rsid wsp:val=&quot;0054697A&quot;/&gt;&lt;wsp:rsid wsp:val=&quot;00546AFD&quot;/&gt;&lt;wsp:rsid wsp:val=&quot;005470B2&quot;/&gt;&lt;wsp:rsid wsp:val=&quot;005470DB&quot;/&gt;&lt;wsp:rsid wsp:val=&quot;00547106&quot;/&gt;&lt;wsp:rsid wsp:val=&quot;00547118&quot;/&gt;&lt;wsp:rsid wsp:val=&quot;00547431&quot;/&gt;&lt;wsp:rsid wsp:val=&quot;00550205&quot;/&gt;&lt;wsp:rsid wsp:val=&quot;005505DC&quot;/&gt;&lt;wsp:rsid wsp:val=&quot;0055192F&quot;/&gt;&lt;wsp:rsid wsp:val=&quot;00551A6E&quot;/&gt;&lt;wsp:rsid wsp:val=&quot;00551D09&quot;/&gt;&lt;wsp:rsid wsp:val=&quot;00552BB8&quot;/&gt;&lt;wsp:rsid wsp:val=&quot;0055306C&quot;/&gt;&lt;wsp:rsid wsp:val=&quot;00553144&quot;/&gt;&lt;wsp:rsid wsp:val=&quot;0055338B&quot;/&gt;&lt;wsp:rsid wsp:val=&quot;00553604&quot;/&gt;&lt;wsp:rsid wsp:val=&quot;0055385F&quot;/&gt;&lt;wsp:rsid wsp:val=&quot;005538D9&quot;/&gt;&lt;wsp:rsid wsp:val=&quot;00553D3E&quot;/&gt;&lt;wsp:rsid wsp:val=&quot;00553EE3&quot;/&gt;&lt;wsp:rsid wsp:val=&quot;00554580&quot;/&gt;&lt;wsp:rsid wsp:val=&quot;00555624&quot;/&gt;&lt;wsp:rsid wsp:val=&quot;00555778&quot;/&gt;&lt;wsp:rsid wsp:val=&quot;00555EC6&quot;/&gt;&lt;wsp:rsid wsp:val=&quot;00555F65&quot;/&gt;&lt;wsp:rsid wsp:val=&quot;00555F66&quot;/&gt;&lt;wsp:rsid wsp:val=&quot;0055620C&quot;/&gt;&lt;wsp:rsid wsp:val=&quot;005568E2&quot;/&gt;&lt;wsp:rsid wsp:val=&quot;0055690E&quot;/&gt;&lt;wsp:rsid wsp:val=&quot;00556A1F&quot;/&gt;&lt;wsp:rsid wsp:val=&quot;00556F2D&quot;/&gt;&lt;wsp:rsid wsp:val=&quot;00557440&quot;/&gt;&lt;wsp:rsid wsp:val=&quot;0055764E&quot;/&gt;&lt;wsp:rsid wsp:val=&quot;0055768F&quot;/&gt;&lt;wsp:rsid wsp:val=&quot;005576C2&quot;/&gt;&lt;wsp:rsid wsp:val=&quot;00557B28&quot;/&gt;&lt;wsp:rsid wsp:val=&quot;00557C49&quot;/&gt;&lt;wsp:rsid wsp:val=&quot;0056031D&quot;/&gt;&lt;wsp:rsid wsp:val=&quot;00560FA8&quot;/&gt;&lt;wsp:rsid wsp:val=&quot;005613BC&quot;/&gt;&lt;wsp:rsid wsp:val=&quot;005615A8&quot;/&gt;&lt;wsp:rsid wsp:val=&quot;00561679&quot;/&gt;&lt;wsp:rsid wsp:val=&quot;00561A9F&quot;/&gt;&lt;wsp:rsid wsp:val=&quot;00561DED&quot;/&gt;&lt;wsp:rsid wsp:val=&quot;0056207D&quot;/&gt;&lt;wsp:rsid wsp:val=&quot;00562272&quot;/&gt;&lt;wsp:rsid wsp:val=&quot;00562A2D&quot;/&gt;&lt;wsp:rsid wsp:val=&quot;00562DC4&quot;/&gt;&lt;wsp:rsid wsp:val=&quot;005636B1&quot;/&gt;&lt;wsp:rsid wsp:val=&quot;0056395C&quot;/&gt;&lt;wsp:rsid wsp:val=&quot;00565155&quot;/&gt;&lt;wsp:rsid wsp:val=&quot;00565317&quot;/&gt;&lt;wsp:rsid wsp:val=&quot;00565367&quot;/&gt;&lt;wsp:rsid wsp:val=&quot;00566368&quot;/&gt;&lt;wsp:rsid wsp:val=&quot;005672F9&quot;/&gt;&lt;wsp:rsid wsp:val=&quot;00567EE4&quot;/&gt;&lt;wsp:rsid wsp:val=&quot;00570032&quot;/&gt;&lt;wsp:rsid wsp:val=&quot;0057047D&quot;/&gt;&lt;wsp:rsid wsp:val=&quot;0057049E&quot;/&gt;&lt;wsp:rsid wsp:val=&quot;00570564&quot;/&gt;&lt;wsp:rsid wsp:val=&quot;00570605&quot;/&gt;&lt;wsp:rsid wsp:val=&quot;005708EC&quot;/&gt;&lt;wsp:rsid wsp:val=&quot;00570F63&quot;/&gt;&lt;wsp:rsid wsp:val=&quot;00571270&quot;/&gt;&lt;wsp:rsid wsp:val=&quot;005713CC&quot;/&gt;&lt;wsp:rsid wsp:val=&quot;00571754&quot;/&gt;&lt;wsp:rsid wsp:val=&quot;0057188B&quot;/&gt;&lt;wsp:rsid wsp:val=&quot;00571BC6&quot;/&gt;&lt;wsp:rsid wsp:val=&quot;00571D1F&quot;/&gt;&lt;wsp:rsid wsp:val=&quot;00571D7A&quot;/&gt;&lt;wsp:rsid wsp:val=&quot;00571E3F&quot;/&gt;&lt;wsp:rsid wsp:val=&quot;00571E5F&quot;/&gt;&lt;wsp:rsid wsp:val=&quot;00571F49&quot;/&gt;&lt;wsp:rsid wsp:val=&quot;00572056&quot;/&gt;&lt;wsp:rsid wsp:val=&quot;005723B6&quot;/&gt;&lt;wsp:rsid wsp:val=&quot;00572832&quot;/&gt;&lt;wsp:rsid wsp:val=&quot;00572B81&quot;/&gt;&lt;wsp:rsid wsp:val=&quot;00572F15&quot;/&gt;&lt;wsp:rsid wsp:val=&quot;00573188&quot;/&gt;&lt;wsp:rsid wsp:val=&quot;005732BD&quot;/&gt;&lt;wsp:rsid wsp:val=&quot;005732EA&quot;/&gt;&lt;wsp:rsid wsp:val=&quot;00573331&quot;/&gt;&lt;wsp:rsid wsp:val=&quot;005739FB&quot;/&gt;&lt;wsp:rsid wsp:val=&quot;00573B41&quot;/&gt;&lt;wsp:rsid wsp:val=&quot;00573F1A&quot;/&gt;&lt;wsp:rsid wsp:val=&quot;005745F8&quot;/&gt;&lt;wsp:rsid wsp:val=&quot;0057470C&quot;/&gt;&lt;wsp:rsid wsp:val=&quot;00574866&quot;/&gt;&lt;wsp:rsid wsp:val=&quot;00574B0F&quot;/&gt;&lt;wsp:rsid wsp:val=&quot;00574EE5&quot;/&gt;&lt;wsp:rsid wsp:val=&quot;0057658C&quot;/&gt;&lt;wsp:rsid wsp:val=&quot;00576ACB&quot;/&gt;&lt;wsp:rsid wsp:val=&quot;00576BF4&quot;/&gt;&lt;wsp:rsid wsp:val=&quot;00576E03&quot;/&gt;&lt;wsp:rsid wsp:val=&quot;005770F1&quot;/&gt;&lt;wsp:rsid wsp:val=&quot;0057714E&quot;/&gt;&lt;wsp:rsid wsp:val=&quot;00577559&quot;/&gt;&lt;wsp:rsid wsp:val=&quot;00577699&quot;/&gt;&lt;wsp:rsid wsp:val=&quot;00577EBD&quot;/&gt;&lt;wsp:rsid wsp:val=&quot;00577F10&quot;/&gt;&lt;wsp:rsid wsp:val=&quot;00580790&quot;/&gt;&lt;wsp:rsid wsp:val=&quot;00581446&quot;/&gt;&lt;wsp:rsid wsp:val=&quot;00581A52&quot;/&gt;&lt;wsp:rsid wsp:val=&quot;00581B3D&quot;/&gt;&lt;wsp:rsid wsp:val=&quot;00581EC4&quot;/&gt;&lt;wsp:rsid wsp:val=&quot;00582109&quot;/&gt;&lt;wsp:rsid wsp:val=&quot;00582153&quot;/&gt;&lt;wsp:rsid wsp:val=&quot;005824B7&quot;/&gt;&lt;wsp:rsid wsp:val=&quot;00582F4D&quot;/&gt;&lt;wsp:rsid wsp:val=&quot;00582FF3&quot;/&gt;&lt;wsp:rsid wsp:val=&quot;00583296&quot;/&gt;&lt;wsp:rsid wsp:val=&quot;0058336C&quot;/&gt;&lt;wsp:rsid wsp:val=&quot;005839B5&quot;/&gt;&lt;wsp:rsid wsp:val=&quot;005839C0&quot;/&gt;&lt;wsp:rsid wsp:val=&quot;00583C7E&quot;/&gt;&lt;wsp:rsid wsp:val=&quot;005842BF&quot;/&gt;&lt;wsp:rsid wsp:val=&quot;005845BE&quot;/&gt;&lt;wsp:rsid wsp:val=&quot;005847DF&quot;/&gt;&lt;wsp:rsid wsp:val=&quot;00584A10&quot;/&gt;&lt;wsp:rsid wsp:val=&quot;00584EB7&quot;/&gt;&lt;wsp:rsid wsp:val=&quot;0058558C&quot;/&gt;&lt;wsp:rsid wsp:val=&quot;00585592&quot;/&gt;&lt;wsp:rsid wsp:val=&quot;005868A0&quot;/&gt;&lt;wsp:rsid wsp:val=&quot;00586A23&quot;/&gt;&lt;wsp:rsid wsp:val=&quot;0058793B&quot;/&gt;&lt;wsp:rsid wsp:val=&quot;0059029B&quot;/&gt;&lt;wsp:rsid wsp:val=&quot;005902CD&quot;/&gt;&lt;wsp:rsid wsp:val=&quot;00590911&quot;/&gt;&lt;wsp:rsid wsp:val=&quot;00590AE1&quot;/&gt;&lt;wsp:rsid wsp:val=&quot;00590BAF&quot;/&gt;&lt;wsp:rsid wsp:val=&quot;00590BB7&quot;/&gt;&lt;wsp:rsid wsp:val=&quot;00590E01&quot;/&gt;&lt;wsp:rsid wsp:val=&quot;00591205&quot;/&gt;&lt;wsp:rsid wsp:val=&quot;005912F3&quot;/&gt;&lt;wsp:rsid wsp:val=&quot;005916F8&quot;/&gt;&lt;wsp:rsid wsp:val=&quot;005919FD&quot;/&gt;&lt;wsp:rsid wsp:val=&quot;00591DF6&quot;/&gt;&lt;wsp:rsid wsp:val=&quot;00591DFA&quot;/&gt;&lt;wsp:rsid wsp:val=&quot;00591F1A&quot;/&gt;&lt;wsp:rsid wsp:val=&quot;00591F7F&quot;/&gt;&lt;wsp:rsid wsp:val=&quot;00592164&quot;/&gt;&lt;wsp:rsid wsp:val=&quot;00592648&quot;/&gt;&lt;wsp:rsid wsp:val=&quot;005926E1&quot;/&gt;&lt;wsp:rsid wsp:val=&quot;005928D4&quot;/&gt;&lt;wsp:rsid wsp:val=&quot;00592A64&quot;/&gt;&lt;wsp:rsid wsp:val=&quot;00592AF3&quot;/&gt;&lt;wsp:rsid wsp:val=&quot;00592C7B&quot;/&gt;&lt;wsp:rsid wsp:val=&quot;00592DD6&quot;/&gt;&lt;wsp:rsid wsp:val=&quot;00592E26&quot;/&gt;&lt;wsp:rsid wsp:val=&quot;00593031&quot;/&gt;&lt;wsp:rsid wsp:val=&quot;005931B9&quot;/&gt;&lt;wsp:rsid wsp:val=&quot;00593609&quot;/&gt;&lt;wsp:rsid wsp:val=&quot;00593CE8&quot;/&gt;&lt;wsp:rsid wsp:val=&quot;00593CE9&quot;/&gt;&lt;wsp:rsid wsp:val=&quot;00593F69&quot;/&gt;&lt;wsp:rsid wsp:val=&quot;00594110&quot;/&gt;&lt;wsp:rsid wsp:val=&quot;00594273&quot;/&gt;&lt;wsp:rsid wsp:val=&quot;00594372&quot;/&gt;&lt;wsp:rsid wsp:val=&quot;00594667&quot;/&gt;&lt;wsp:rsid wsp:val=&quot;00594EBD&quot;/&gt;&lt;wsp:rsid wsp:val=&quot;00595156&quot;/&gt;&lt;wsp:rsid wsp:val=&quot;00595C16&quot;/&gt;&lt;wsp:rsid wsp:val=&quot;00595D5A&quot;/&gt;&lt;wsp:rsid wsp:val=&quot;005963B3&quot;/&gt;&lt;wsp:rsid wsp:val=&quot;0059688E&quot;/&gt;&lt;wsp:rsid wsp:val=&quot;005969ED&quot;/&gt;&lt;wsp:rsid wsp:val=&quot;00596DF9&quot;/&gt;&lt;wsp:rsid wsp:val=&quot;00596E70&quot;/&gt;&lt;wsp:rsid wsp:val=&quot;00597124&quot;/&gt;&lt;wsp:rsid wsp:val=&quot;0059756C&quot;/&gt;&lt;wsp:rsid wsp:val=&quot;00597690&quot;/&gt;&lt;wsp:rsid wsp:val=&quot;005A0231&quot;/&gt;&lt;wsp:rsid wsp:val=&quot;005A0669&quot;/&gt;&lt;wsp:rsid wsp:val=&quot;005A0966&quot;/&gt;&lt;wsp:rsid wsp:val=&quot;005A0A0D&quot;/&gt;&lt;wsp:rsid wsp:val=&quot;005A14E9&quot;/&gt;&lt;wsp:rsid wsp:val=&quot;005A1829&quot;/&gt;&lt;wsp:rsid wsp:val=&quot;005A18BC&quot;/&gt;&lt;wsp:rsid wsp:val=&quot;005A2506&quot;/&gt;&lt;wsp:rsid wsp:val=&quot;005A2BCA&quot;/&gt;&lt;wsp:rsid wsp:val=&quot;005A2CAD&quot;/&gt;&lt;wsp:rsid wsp:val=&quot;005A3105&quot;/&gt;&lt;wsp:rsid wsp:val=&quot;005A33B6&quot;/&gt;&lt;wsp:rsid wsp:val=&quot;005A3C70&quot;/&gt;&lt;wsp:rsid wsp:val=&quot;005A3F1B&quot;/&gt;&lt;wsp:rsid wsp:val=&quot;005A45C2&quot;/&gt;&lt;wsp:rsid wsp:val=&quot;005A47A2&quot;/&gt;&lt;wsp:rsid wsp:val=&quot;005A52A5&quot;/&gt;&lt;wsp:rsid wsp:val=&quot;005A5316&quot;/&gt;&lt;wsp:rsid wsp:val=&quot;005A5863&quot;/&gt;&lt;wsp:rsid wsp:val=&quot;005A5C8A&quot;/&gt;&lt;wsp:rsid wsp:val=&quot;005A5FB0&quot;/&gt;&lt;wsp:rsid wsp:val=&quot;005A620B&quot;/&gt;&lt;wsp:rsid wsp:val=&quot;005A6239&quot;/&gt;&lt;wsp:rsid wsp:val=&quot;005A6529&quot;/&gt;&lt;wsp:rsid wsp:val=&quot;005A6600&quot;/&gt;&lt;wsp:rsid wsp:val=&quot;005A6A04&quot;/&gt;&lt;wsp:rsid wsp:val=&quot;005A6CA1&quot;/&gt;&lt;wsp:rsid wsp:val=&quot;005A72AC&quot;/&gt;&lt;wsp:rsid wsp:val=&quot;005A750D&quot;/&gt;&lt;wsp:rsid wsp:val=&quot;005A75BA&quot;/&gt;&lt;wsp:rsid wsp:val=&quot;005A7D99&quot;/&gt;&lt;wsp:rsid wsp:val=&quot;005B013C&quot;/&gt;&lt;wsp:rsid wsp:val=&quot;005B04AD&quot;/&gt;&lt;wsp:rsid wsp:val=&quot;005B081D&quot;/&gt;&lt;wsp:rsid wsp:val=&quot;005B0EBE&quot;/&gt;&lt;wsp:rsid wsp:val=&quot;005B1086&quot;/&gt;&lt;wsp:rsid wsp:val=&quot;005B11F7&quot;/&gt;&lt;wsp:rsid wsp:val=&quot;005B131E&quot;/&gt;&lt;wsp:rsid wsp:val=&quot;005B183A&quot;/&gt;&lt;wsp:rsid wsp:val=&quot;005B185B&quot;/&gt;&lt;wsp:rsid wsp:val=&quot;005B1D53&quot;/&gt;&lt;wsp:rsid wsp:val=&quot;005B1F1D&quot;/&gt;&lt;wsp:rsid wsp:val=&quot;005B1FA9&quot;/&gt;&lt;wsp:rsid wsp:val=&quot;005B2143&quot;/&gt;&lt;wsp:rsid wsp:val=&quot;005B2191&quot;/&gt;&lt;wsp:rsid wsp:val=&quot;005B244A&quot;/&gt;&lt;wsp:rsid wsp:val=&quot;005B25ED&quot;/&gt;&lt;wsp:rsid wsp:val=&quot;005B320A&quot;/&gt;&lt;wsp:rsid wsp:val=&quot;005B3214&quot;/&gt;&lt;wsp:rsid wsp:val=&quot;005B3327&quot;/&gt;&lt;wsp:rsid wsp:val=&quot;005B397B&quot;/&gt;&lt;wsp:rsid wsp:val=&quot;005B3BE3&quot;/&gt;&lt;wsp:rsid wsp:val=&quot;005B4122&quot;/&gt;&lt;wsp:rsid wsp:val=&quot;005B413F&quot;/&gt;&lt;wsp:rsid wsp:val=&quot;005B42EB&quot;/&gt;&lt;wsp:rsid wsp:val=&quot;005B44E7&quot;/&gt;&lt;wsp:rsid wsp:val=&quot;005B45F3&quot;/&gt;&lt;wsp:rsid wsp:val=&quot;005B481E&quot;/&gt;&lt;wsp:rsid wsp:val=&quot;005B485C&quot;/&gt;&lt;wsp:rsid wsp:val=&quot;005B4892&quot;/&gt;&lt;wsp:rsid wsp:val=&quot;005B48F6&quot;/&gt;&lt;wsp:rsid wsp:val=&quot;005B4F08&quot;/&gt;&lt;wsp:rsid wsp:val=&quot;005B522C&quot;/&gt;&lt;wsp:rsid wsp:val=&quot;005B5589&quot;/&gt;&lt;wsp:rsid wsp:val=&quot;005B57A2&quot;/&gt;&lt;wsp:rsid wsp:val=&quot;005B5822&quot;/&gt;&lt;wsp:rsid wsp:val=&quot;005B5B8F&quot;/&gt;&lt;wsp:rsid wsp:val=&quot;005B5F9D&quot;/&gt;&lt;wsp:rsid wsp:val=&quot;005B673C&quot;/&gt;&lt;wsp:rsid wsp:val=&quot;005B6A0A&quot;/&gt;&lt;wsp:rsid wsp:val=&quot;005B74C4&quot;/&gt;&lt;wsp:rsid wsp:val=&quot;005B7A4F&quot;/&gt;&lt;wsp:rsid wsp:val=&quot;005B7C91&quot;/&gt;&lt;wsp:rsid wsp:val=&quot;005C02CF&quot;/&gt;&lt;wsp:rsid wsp:val=&quot;005C02DF&quot;/&gt;&lt;wsp:rsid wsp:val=&quot;005C03F6&quot;/&gt;&lt;wsp:rsid wsp:val=&quot;005C06D2&quot;/&gt;&lt;wsp:rsid wsp:val=&quot;005C08AC&quot;/&gt;&lt;wsp:rsid wsp:val=&quot;005C12D7&quot;/&gt;&lt;wsp:rsid wsp:val=&quot;005C19D6&quot;/&gt;&lt;wsp:rsid wsp:val=&quot;005C1C02&quot;/&gt;&lt;wsp:rsid wsp:val=&quot;005C1C1E&quot;/&gt;&lt;wsp:rsid wsp:val=&quot;005C2151&quot;/&gt;&lt;wsp:rsid wsp:val=&quot;005C21EE&quot;/&gt;&lt;wsp:rsid wsp:val=&quot;005C272C&quot;/&gt;&lt;wsp:rsid wsp:val=&quot;005C2C42&quot;/&gt;&lt;wsp:rsid wsp:val=&quot;005C2C5C&quot;/&gt;&lt;wsp:rsid wsp:val=&quot;005C2EEA&quot;/&gt;&lt;wsp:rsid wsp:val=&quot;005C34B1&quot;/&gt;&lt;wsp:rsid wsp:val=&quot;005C395F&quot;/&gt;&lt;wsp:rsid wsp:val=&quot;005C3978&quot;/&gt;&lt;wsp:rsid wsp:val=&quot;005C3E21&quot;/&gt;&lt;wsp:rsid wsp:val=&quot;005C4186&quot;/&gt;&lt;wsp:rsid wsp:val=&quot;005C435E&quot;/&gt;&lt;wsp:rsid wsp:val=&quot;005C44AC&quot;/&gt;&lt;wsp:rsid wsp:val=&quot;005C45C1&quot;/&gt;&lt;wsp:rsid wsp:val=&quot;005C45D9&quot;/&gt;&lt;wsp:rsid wsp:val=&quot;005C4930&quot;/&gt;&lt;wsp:rsid wsp:val=&quot;005C4978&quot;/&gt;&lt;wsp:rsid wsp:val=&quot;005C4A43&quot;/&gt;&lt;wsp:rsid wsp:val=&quot;005C4D7A&quot;/&gt;&lt;wsp:rsid wsp:val=&quot;005C50FB&quot;/&gt;&lt;wsp:rsid wsp:val=&quot;005C5659&quot;/&gt;&lt;wsp:rsid wsp:val=&quot;005C570F&quot;/&gt;&lt;wsp:rsid wsp:val=&quot;005C5BA8&quot;/&gt;&lt;wsp:rsid wsp:val=&quot;005C600D&quot;/&gt;&lt;wsp:rsid wsp:val=&quot;005C668A&quot;/&gt;&lt;wsp:rsid wsp:val=&quot;005C67B2&quot;/&gt;&lt;wsp:rsid wsp:val=&quot;005C6AB3&quot;/&gt;&lt;wsp:rsid wsp:val=&quot;005C6C39&quot;/&gt;&lt;wsp:rsid wsp:val=&quot;005C6D1C&quot;/&gt;&lt;wsp:rsid wsp:val=&quot;005C6F75&quot;/&gt;&lt;wsp:rsid wsp:val=&quot;005C7013&quot;/&gt;&lt;wsp:rsid wsp:val=&quot;005C712C&quot;/&gt;&lt;wsp:rsid wsp:val=&quot;005C773C&quot;/&gt;&lt;wsp:rsid wsp:val=&quot;005C789A&quot;/&gt;&lt;wsp:rsid wsp:val=&quot;005C7F12&quot;/&gt;&lt;wsp:rsid wsp:val=&quot;005C7F96&quot;/&gt;&lt;wsp:rsid wsp:val=&quot;005D00AC&quot;/&gt;&lt;wsp:rsid wsp:val=&quot;005D021A&quot;/&gt;&lt;wsp:rsid wsp:val=&quot;005D0682&quot;/&gt;&lt;wsp:rsid wsp:val=&quot;005D0A5B&quot;/&gt;&lt;wsp:rsid wsp:val=&quot;005D0AC2&quot;/&gt;&lt;wsp:rsid wsp:val=&quot;005D10A8&quot;/&gt;&lt;wsp:rsid wsp:val=&quot;005D11F2&quot;/&gt;&lt;wsp:rsid wsp:val=&quot;005D1643&quot;/&gt;&lt;wsp:rsid wsp:val=&quot;005D188E&quot;/&gt;&lt;wsp:rsid wsp:val=&quot;005D18E3&quot;/&gt;&lt;wsp:rsid wsp:val=&quot;005D1CB5&quot;/&gt;&lt;wsp:rsid wsp:val=&quot;005D22D8&quot;/&gt;&lt;wsp:rsid wsp:val=&quot;005D2741&quot;/&gt;&lt;wsp:rsid wsp:val=&quot;005D288B&quot;/&gt;&lt;wsp:rsid wsp:val=&quot;005D28B1&quot;/&gt;&lt;wsp:rsid wsp:val=&quot;005D291C&quot;/&gt;&lt;wsp:rsid wsp:val=&quot;005D2A30&quot;/&gt;&lt;wsp:rsid wsp:val=&quot;005D2B9F&quot;/&gt;&lt;wsp:rsid wsp:val=&quot;005D2F6C&quot;/&gt;&lt;wsp:rsid wsp:val=&quot;005D3491&quot;/&gt;&lt;wsp:rsid wsp:val=&quot;005D3C06&quot;/&gt;&lt;wsp:rsid wsp:val=&quot;005D3F4B&quot;/&gt;&lt;wsp:rsid wsp:val=&quot;005D41A4&quot;/&gt;&lt;wsp:rsid wsp:val=&quot;005D4AF4&quot;/&gt;&lt;wsp:rsid wsp:val=&quot;005D4B83&quot;/&gt;&lt;wsp:rsid wsp:val=&quot;005D4BAC&quot;/&gt;&lt;wsp:rsid wsp:val=&quot;005D4CCB&quot;/&gt;&lt;wsp:rsid wsp:val=&quot;005D51AD&quot;/&gt;&lt;wsp:rsid wsp:val=&quot;005D5B11&quot;/&gt;&lt;wsp:rsid wsp:val=&quot;005D5E04&quot;/&gt;&lt;wsp:rsid wsp:val=&quot;005D6865&quot;/&gt;&lt;wsp:rsid wsp:val=&quot;005D68DC&quot;/&gt;&lt;wsp:rsid wsp:val=&quot;005D69CD&quot;/&gt;&lt;wsp:rsid wsp:val=&quot;005D6BF7&quot;/&gt;&lt;wsp:rsid wsp:val=&quot;005D6D08&quot;/&gt;&lt;wsp:rsid wsp:val=&quot;005D6F58&quot;/&gt;&lt;wsp:rsid wsp:val=&quot;005D72C6&quot;/&gt;&lt;wsp:rsid wsp:val=&quot;005D7728&quot;/&gt;&lt;wsp:rsid wsp:val=&quot;005D7B70&quot;/&gt;&lt;wsp:rsid wsp:val=&quot;005D7CF2&quot;/&gt;&lt;wsp:rsid wsp:val=&quot;005E02A5&quot;/&gt;&lt;wsp:rsid wsp:val=&quot;005E066D&quot;/&gt;&lt;wsp:rsid wsp:val=&quot;005E07B0&quot;/&gt;&lt;wsp:rsid wsp:val=&quot;005E08D6&quot;/&gt;&lt;wsp:rsid wsp:val=&quot;005E0C87&quot;/&gt;&lt;wsp:rsid wsp:val=&quot;005E0CB6&quot;/&gt;&lt;wsp:rsid wsp:val=&quot;005E0FB5&quot;/&gt;&lt;wsp:rsid wsp:val=&quot;005E11CF&quot;/&gt;&lt;wsp:rsid wsp:val=&quot;005E12AB&quot;/&gt;&lt;wsp:rsid wsp:val=&quot;005E12B1&quot;/&gt;&lt;wsp:rsid wsp:val=&quot;005E1470&quot;/&gt;&lt;wsp:rsid wsp:val=&quot;005E149E&quot;/&gt;&lt;wsp:rsid wsp:val=&quot;005E1ECD&quot;/&gt;&lt;wsp:rsid wsp:val=&quot;005E20B7&quot;/&gt;&lt;wsp:rsid wsp:val=&quot;005E21CD&quot;/&gt;&lt;wsp:rsid wsp:val=&quot;005E29AA&quot;/&gt;&lt;wsp:rsid wsp:val=&quot;005E2A00&quot;/&gt;&lt;wsp:rsid wsp:val=&quot;005E39B2&quot;/&gt;&lt;wsp:rsid wsp:val=&quot;005E3CC1&quot;/&gt;&lt;wsp:rsid wsp:val=&quot;005E3F77&quot;/&gt;&lt;wsp:rsid wsp:val=&quot;005E44FA&quot;/&gt;&lt;wsp:rsid wsp:val=&quot;005E4AD3&quot;/&gt;&lt;wsp:rsid wsp:val=&quot;005E4FC9&quot;/&gt;&lt;wsp:rsid wsp:val=&quot;005E518D&quot;/&gt;&lt;wsp:rsid wsp:val=&quot;005E51FE&quot;/&gt;&lt;wsp:rsid wsp:val=&quot;005E541D&quot;/&gt;&lt;wsp:rsid wsp:val=&quot;005E6026&quot;/&gt;&lt;wsp:rsid wsp:val=&quot;005E6678&quot;/&gt;&lt;wsp:rsid wsp:val=&quot;005E6805&quot;/&gt;&lt;wsp:rsid wsp:val=&quot;005E6B35&quot;/&gt;&lt;wsp:rsid wsp:val=&quot;005E6D87&quot;/&gt;&lt;wsp:rsid wsp:val=&quot;005E718A&quot;/&gt;&lt;wsp:rsid wsp:val=&quot;005E7278&quot;/&gt;&lt;wsp:rsid wsp:val=&quot;005E73B5&quot;/&gt;&lt;wsp:rsid wsp:val=&quot;005E7724&quot;/&gt;&lt;wsp:rsid wsp:val=&quot;005E7753&quot;/&gt;&lt;wsp:rsid wsp:val=&quot;005E780A&quot;/&gt;&lt;wsp:rsid wsp:val=&quot;005E7D5E&quot;/&gt;&lt;wsp:rsid wsp:val=&quot;005E7F26&quot;/&gt;&lt;wsp:rsid wsp:val=&quot;005E7F7D&quot;/&gt;&lt;wsp:rsid wsp:val=&quot;005E7FCC&quot;/&gt;&lt;wsp:rsid wsp:val=&quot;005F0579&quot;/&gt;&lt;wsp:rsid wsp:val=&quot;005F0589&quot;/&gt;&lt;wsp:rsid wsp:val=&quot;005F092D&quot;/&gt;&lt;wsp:rsid wsp:val=&quot;005F09C4&quot;/&gt;&lt;wsp:rsid wsp:val=&quot;005F0A2B&quot;/&gt;&lt;wsp:rsid wsp:val=&quot;005F1406&quot;/&gt;&lt;wsp:rsid wsp:val=&quot;005F1444&quot;/&gt;&lt;wsp:rsid wsp:val=&quot;005F19EB&quot;/&gt;&lt;wsp:rsid wsp:val=&quot;005F1DBA&quot;/&gt;&lt;wsp:rsid wsp:val=&quot;005F21C6&quot;/&gt;&lt;wsp:rsid wsp:val=&quot;005F2240&quot;/&gt;&lt;wsp:rsid wsp:val=&quot;005F2482&quot;/&gt;&lt;wsp:rsid wsp:val=&quot;005F2843&quot;/&gt;&lt;wsp:rsid wsp:val=&quot;005F3A48&quot;/&gt;&lt;wsp:rsid wsp:val=&quot;005F3B32&quot;/&gt;&lt;wsp:rsid wsp:val=&quot;005F3CE2&quot;/&gt;&lt;wsp:rsid wsp:val=&quot;005F4064&quot;/&gt;&lt;wsp:rsid wsp:val=&quot;005F4875&quot;/&gt;&lt;wsp:rsid wsp:val=&quot;005F531B&quot;/&gt;&lt;wsp:rsid wsp:val=&quot;005F5794&quot;/&gt;&lt;wsp:rsid wsp:val=&quot;005F5E3B&quot;/&gt;&lt;wsp:rsid wsp:val=&quot;005F66D2&quot;/&gt;&lt;wsp:rsid wsp:val=&quot;005F6859&quot;/&gt;&lt;wsp:rsid wsp:val=&quot;005F6AC9&quot;/&gt;&lt;wsp:rsid wsp:val=&quot;005F6B62&quot;/&gt;&lt;wsp:rsid wsp:val=&quot;005F714D&quot;/&gt;&lt;wsp:rsid wsp:val=&quot;005F7208&quot;/&gt;&lt;wsp:rsid wsp:val=&quot;005F7655&quot;/&gt;&lt;wsp:rsid wsp:val=&quot;005F78C9&quot;/&gt;&lt;wsp:rsid wsp:val=&quot;005F78DB&quot;/&gt;&lt;wsp:rsid wsp:val=&quot;005F79CA&quot;/&gt;&lt;wsp:rsid wsp:val=&quot;005F7A86&quot;/&gt;&lt;wsp:rsid wsp:val=&quot;005F7CC1&quot;/&gt;&lt;wsp:rsid wsp:val=&quot;00600930&quot;/&gt;&lt;wsp:rsid wsp:val=&quot;00600950&quot;/&gt;&lt;wsp:rsid wsp:val=&quot;00600BCC&quot;/&gt;&lt;wsp:rsid wsp:val=&quot;006013E0&quot;/&gt;&lt;wsp:rsid wsp:val=&quot;006016CC&quot;/&gt;&lt;wsp:rsid wsp:val=&quot;006017A0&quot;/&gt;&lt;wsp:rsid wsp:val=&quot;00601803&quot;/&gt;&lt;wsp:rsid wsp:val=&quot;00601E47&quot;/&gt;&lt;wsp:rsid wsp:val=&quot;0060215F&quot;/&gt;&lt;wsp:rsid wsp:val=&quot;00602662&quot;/&gt;&lt;wsp:rsid wsp:val=&quot;00602692&quot;/&gt;&lt;wsp:rsid wsp:val=&quot;00602DBF&quot;/&gt;&lt;wsp:rsid wsp:val=&quot;0060343D&quot;/&gt;&lt;wsp:rsid wsp:val=&quot;00603443&quot;/&gt;&lt;wsp:rsid wsp:val=&quot;0060380F&quot;/&gt;&lt;wsp:rsid wsp:val=&quot;00603D72&quot;/&gt;&lt;wsp:rsid wsp:val=&quot;006041F4&quot;/&gt;&lt;wsp:rsid wsp:val=&quot;00604A70&quot;/&gt;&lt;wsp:rsid wsp:val=&quot;00604F77&quot;/&gt;&lt;wsp:rsid wsp:val=&quot;00605312&quot;/&gt;&lt;wsp:rsid wsp:val=&quot;006053FA&quot;/&gt;&lt;wsp:rsid wsp:val=&quot;00605497&quot;/&gt;&lt;wsp:rsid wsp:val=&quot;0060579C&quot;/&gt;&lt;wsp:rsid wsp:val=&quot;0060599D&quot;/&gt;&lt;wsp:rsid wsp:val=&quot;00605AC6&quot;/&gt;&lt;wsp:rsid wsp:val=&quot;00605F21&quot;/&gt;&lt;wsp:rsid wsp:val=&quot;00605FD5&quot;/&gt;&lt;wsp:rsid wsp:val=&quot;00606495&quot;/&gt;&lt;wsp:rsid wsp:val=&quot;0060692A&quot;/&gt;&lt;wsp:rsid wsp:val=&quot;00606C67&quot;/&gt;&lt;wsp:rsid wsp:val=&quot;00606D91&quot;/&gt;&lt;wsp:rsid wsp:val=&quot;00606EE9&quot;/&gt;&lt;wsp:rsid wsp:val=&quot;006071F8&quot;/&gt;&lt;wsp:rsid wsp:val=&quot;0060750E&quot;/&gt;&lt;wsp:rsid wsp:val=&quot;0060760E&quot;/&gt;&lt;wsp:rsid wsp:val=&quot;00607D2A&quot;/&gt;&lt;wsp:rsid wsp:val=&quot;006104A0&quot;/&gt;&lt;wsp:rsid wsp:val=&quot;006104C4&quot;/&gt;&lt;wsp:rsid wsp:val=&quot;00610B4F&quot;/&gt;&lt;wsp:rsid wsp:val=&quot;00610B60&quot;/&gt;&lt;wsp:rsid wsp:val=&quot;00610DED&quot;/&gt;&lt;wsp:rsid wsp:val=&quot;006110B1&quot;/&gt;&lt;wsp:rsid wsp:val=&quot;006117EC&quot;/&gt;&lt;wsp:rsid wsp:val=&quot;006119F6&quot;/&gt;&lt;wsp:rsid wsp:val=&quot;00611AD8&quot;/&gt;&lt;wsp:rsid wsp:val=&quot;00611BE2&quot;/&gt;&lt;wsp:rsid wsp:val=&quot;00611D1C&quot;/&gt;&lt;wsp:rsid wsp:val=&quot;00611FBB&quot;/&gt;&lt;wsp:rsid wsp:val=&quot;0061247F&quot;/&gt;&lt;wsp:rsid wsp:val=&quot;00612698&quot;/&gt;&lt;wsp:rsid wsp:val=&quot;00612D04&quot;/&gt;&lt;wsp:rsid wsp:val=&quot;00612D9D&quot;/&gt;&lt;wsp:rsid wsp:val=&quot;00612F3C&quot;/&gt;&lt;wsp:rsid wsp:val=&quot;00613568&quot;/&gt;&lt;wsp:rsid wsp:val=&quot;00613A58&quot;/&gt;&lt;wsp:rsid wsp:val=&quot;00614164&quot;/&gt;&lt;wsp:rsid wsp:val=&quot;00614DB8&quot;/&gt;&lt;wsp:rsid wsp:val=&quot;0061523E&quot;/&gt;&lt;wsp:rsid wsp:val=&quot;006155C4&quot;/&gt;&lt;wsp:rsid wsp:val=&quot;006157DD&quot;/&gt;&lt;wsp:rsid wsp:val=&quot;00615934&quot;/&gt;&lt;wsp:rsid wsp:val=&quot;0061673B&quot;/&gt;&lt;wsp:rsid wsp:val=&quot;0061748C&quot;/&gt;&lt;wsp:rsid wsp:val=&quot;006175A1&quot;/&gt;&lt;wsp:rsid wsp:val=&quot;00617905&quot;/&gt;&lt;wsp:rsid wsp:val=&quot;0062018E&quot;/&gt;&lt;wsp:rsid wsp:val=&quot;0062025C&quot;/&gt;&lt;wsp:rsid wsp:val=&quot;0062098F&quot;/&gt;&lt;wsp:rsid wsp:val=&quot;006209F6&quot;/&gt;&lt;wsp:rsid wsp:val=&quot;00620B1B&quot;/&gt;&lt;wsp:rsid wsp:val=&quot;0062139E&quot;/&gt;&lt;wsp:rsid wsp:val=&quot;00621405&quot;/&gt;&lt;wsp:rsid wsp:val=&quot;00621469&quot;/&gt;&lt;wsp:rsid wsp:val=&quot;006217A3&quot;/&gt;&lt;wsp:rsid wsp:val=&quot;00621D04&quot;/&gt;&lt;wsp:rsid wsp:val=&quot;00621EF6&quot;/&gt;&lt;wsp:rsid wsp:val=&quot;0062218E&quot;/&gt;&lt;wsp:rsid wsp:val=&quot;006223C5&quot;/&gt;&lt;wsp:rsid wsp:val=&quot;006226D9&quot;/&gt;&lt;wsp:rsid wsp:val=&quot;006227A3&quot;/&gt;&lt;wsp:rsid wsp:val=&quot;00622857&quot;/&gt;&lt;wsp:rsid wsp:val=&quot;00622DDC&quot;/&gt;&lt;wsp:rsid wsp:val=&quot;00622F55&quot;/&gt;&lt;wsp:rsid wsp:val=&quot;0062392F&quot;/&gt;&lt;wsp:rsid wsp:val=&quot;00623AEA&quot;/&gt;&lt;wsp:rsid wsp:val=&quot;00623EF3&quot;/&gt;&lt;wsp:rsid wsp:val=&quot;0062407A&quot;/&gt;&lt;wsp:rsid wsp:val=&quot;006242F0&quot;/&gt;&lt;wsp:rsid wsp:val=&quot;006243EC&quot;/&gt;&lt;wsp:rsid wsp:val=&quot;006245DD&quot;/&gt;&lt;wsp:rsid wsp:val=&quot;00624D61&quot;/&gt;&lt;wsp:rsid wsp:val=&quot;00624FA7&quot;/&gt;&lt;wsp:rsid wsp:val=&quot;0062577F&quot;/&gt;&lt;wsp:rsid wsp:val=&quot;006259EC&quot;/&gt;&lt;wsp:rsid wsp:val=&quot;00625B1E&quot;/&gt;&lt;wsp:rsid wsp:val=&quot;00625CD1&quot;/&gt;&lt;wsp:rsid wsp:val=&quot;0062612E&quot;/&gt;&lt;wsp:rsid wsp:val=&quot;0062615D&quot;/&gt;&lt;wsp:rsid wsp:val=&quot;00626276&quot;/&gt;&lt;wsp:rsid wsp:val=&quot;006264D5&quot;/&gt;&lt;wsp:rsid wsp:val=&quot;0062667D&quot;/&gt;&lt;wsp:rsid wsp:val=&quot;006267E9&quot;/&gt;&lt;wsp:rsid wsp:val=&quot;00626876&quot;/&gt;&lt;wsp:rsid wsp:val=&quot;00626F72&quot;/&gt;&lt;wsp:rsid wsp:val=&quot;00626FE3&quot;/&gt;&lt;wsp:rsid wsp:val=&quot;006270E2&quot;/&gt;&lt;wsp:rsid wsp:val=&quot;0062713D&quot;/&gt;&lt;wsp:rsid wsp:val=&quot;00627332&quot;/&gt;&lt;wsp:rsid wsp:val=&quot;006278BC&quot;/&gt;&lt;wsp:rsid wsp:val=&quot;00627A09&quot;/&gt;&lt;wsp:rsid wsp:val=&quot;00627DE4&quot;/&gt;&lt;wsp:rsid wsp:val=&quot;006300A5&quot;/&gt;&lt;wsp:rsid wsp:val=&quot;0063069B&quot;/&gt;&lt;wsp:rsid wsp:val=&quot;00630CE0&quot;/&gt;&lt;wsp:rsid wsp:val=&quot;00631241&quot;/&gt;&lt;wsp:rsid wsp:val=&quot;00631489&quot;/&gt;&lt;wsp:rsid wsp:val=&quot;00631D68&quot;/&gt;&lt;wsp:rsid wsp:val=&quot;0063235E&quot;/&gt;&lt;wsp:rsid wsp:val=&quot;00632421&quot;/&gt;&lt;wsp:rsid wsp:val=&quot;00632AE3&quot;/&gt;&lt;wsp:rsid wsp:val=&quot;00632D4E&quot;/&gt;&lt;wsp:rsid wsp:val=&quot;0063345C&quot;/&gt;&lt;wsp:rsid wsp:val=&quot;00633EC5&quot;/&gt;&lt;wsp:rsid wsp:val=&quot;00634545&quot;/&gt;&lt;wsp:rsid wsp:val=&quot;00635069&quot;/&gt;&lt;wsp:rsid wsp:val=&quot;006350B5&quot;/&gt;&lt;wsp:rsid wsp:val=&quot;0063528A&quot;/&gt;&lt;wsp:rsid wsp:val=&quot;0063595F&quot;/&gt;&lt;wsp:rsid wsp:val=&quot;0063596B&quot;/&gt;&lt;wsp:rsid wsp:val=&quot;00635AB7&quot;/&gt;&lt;wsp:rsid wsp:val=&quot;00635EFC&quot;/&gt;&lt;wsp:rsid wsp:val=&quot;00635F4D&quot;/&gt;&lt;wsp:rsid wsp:val=&quot;006360FC&quot;/&gt;&lt;wsp:rsid wsp:val=&quot;006363B0&quot;/&gt;&lt;wsp:rsid wsp:val=&quot;0063654F&quot;/&gt;&lt;wsp:rsid wsp:val=&quot;006369F7&quot;/&gt;&lt;wsp:rsid wsp:val=&quot;00636BE0&quot;/&gt;&lt;wsp:rsid wsp:val=&quot;0063749D&quot;/&gt;&lt;wsp:rsid wsp:val=&quot;0063771D&quot;/&gt;&lt;wsp:rsid wsp:val=&quot;0063795F&quot;/&gt;&lt;wsp:rsid wsp:val=&quot;00637F48&quot;/&gt;&lt;wsp:rsid wsp:val=&quot;00640631&quot;/&gt;&lt;wsp:rsid wsp:val=&quot;00640A8C&quot;/&gt;&lt;wsp:rsid wsp:val=&quot;00640D8C&quot;/&gt;&lt;wsp:rsid wsp:val=&quot;00641490&quot;/&gt;&lt;wsp:rsid wsp:val=&quot;0064184F&quot;/&gt;&lt;wsp:rsid wsp:val=&quot;00641B62&quot;/&gt;&lt;wsp:rsid wsp:val=&quot;00641E49&quot;/&gt;&lt;wsp:rsid wsp:val=&quot;006420AF&quot;/&gt;&lt;wsp:rsid wsp:val=&quot;00642223&quot;/&gt;&lt;wsp:rsid wsp:val=&quot;0064262B&quot;/&gt;&lt;wsp:rsid wsp:val=&quot;00642A27&quot;/&gt;&lt;wsp:rsid wsp:val=&quot;00642B8A&quot;/&gt;&lt;wsp:rsid wsp:val=&quot;00642ECC&quot;/&gt;&lt;wsp:rsid wsp:val=&quot;006431C3&quot;/&gt;&lt;wsp:rsid wsp:val=&quot;006431DB&quot;/&gt;&lt;wsp:rsid wsp:val=&quot;00643392&quot;/&gt;&lt;wsp:rsid wsp:val=&quot;00643447&quot;/&gt;&lt;wsp:rsid wsp:val=&quot;00643462&quot;/&gt;&lt;wsp:rsid wsp:val=&quot;006437F1&quot;/&gt;&lt;wsp:rsid wsp:val=&quot;00643E5F&quot;/&gt;&lt;wsp:rsid wsp:val=&quot;00643F90&quot;/&gt;&lt;wsp:rsid wsp:val=&quot;0064437A&quot;/&gt;&lt;wsp:rsid wsp:val=&quot;00644513&quot;/&gt;&lt;wsp:rsid wsp:val=&quot;00644784&quot;/&gt;&lt;wsp:rsid wsp:val=&quot;00644BFD&quot;/&gt;&lt;wsp:rsid wsp:val=&quot;00645728&quot;/&gt;&lt;wsp:rsid wsp:val=&quot;00645C8E&quot;/&gt;&lt;wsp:rsid wsp:val=&quot;00645FC2&quot;/&gt;&lt;wsp:rsid wsp:val=&quot;00646136&quot;/&gt;&lt;wsp:rsid wsp:val=&quot;0064614D&quot;/&gt;&lt;wsp:rsid wsp:val=&quot;00646159&quot;/&gt;&lt;wsp:rsid wsp:val=&quot;00646ADF&quot;/&gt;&lt;wsp:rsid wsp:val=&quot;00646E98&quot;/&gt;&lt;wsp:rsid wsp:val=&quot;006470E8&quot;/&gt;&lt;wsp:rsid wsp:val=&quot;006471AA&quot;/&gt;&lt;wsp:rsid wsp:val=&quot;0064762B&quot;/&gt;&lt;wsp:rsid wsp:val=&quot;006479FB&quot;/&gt;&lt;wsp:rsid wsp:val=&quot;00647F4E&quot;/&gt;&lt;wsp:rsid wsp:val=&quot;00650673&quot;/&gt;&lt;wsp:rsid wsp:val=&quot;006507BF&quot;/&gt;&lt;wsp:rsid wsp:val=&quot;006509FC&quot;/&gt;&lt;wsp:rsid wsp:val=&quot;00650D4F&quot;/&gt;&lt;wsp:rsid wsp:val=&quot;00650E1F&quot;/&gt;&lt;wsp:rsid wsp:val=&quot;00650F51&quot;/&gt;&lt;wsp:rsid wsp:val=&quot;006510CD&quot;/&gt;&lt;wsp:rsid wsp:val=&quot;00651160&quot;/&gt;&lt;wsp:rsid wsp:val=&quot;0065129C&quot;/&gt;&lt;wsp:rsid wsp:val=&quot;0065174F&quot;/&gt;&lt;wsp:rsid wsp:val=&quot;00651803&quot;/&gt;&lt;wsp:rsid wsp:val=&quot;00651979&quot;/&gt;&lt;wsp:rsid wsp:val=&quot;00651A8A&quot;/&gt;&lt;wsp:rsid wsp:val=&quot;00652017&quot;/&gt;&lt;wsp:rsid wsp:val=&quot;0065251B&quot;/&gt;&lt;wsp:rsid wsp:val=&quot;00652ADE&quot;/&gt;&lt;wsp:rsid wsp:val=&quot;0065368B&quot;/&gt;&lt;wsp:rsid wsp:val=&quot;006537C8&quot;/&gt;&lt;wsp:rsid wsp:val=&quot;00653AEB&quot;/&gt;&lt;wsp:rsid wsp:val=&quot;00654161&quot;/&gt;&lt;wsp:rsid wsp:val=&quot;006543DB&quot;/&gt;&lt;wsp:rsid wsp:val=&quot;00654CE5&quot;/&gt;&lt;wsp:rsid wsp:val=&quot;00654D86&quot;/&gt;&lt;wsp:rsid wsp:val=&quot;006551F9&quot;/&gt;&lt;wsp:rsid wsp:val=&quot;0065540E&quot;/&gt;&lt;wsp:rsid wsp:val=&quot;006559B0&quot;/&gt;&lt;wsp:rsid wsp:val=&quot;006561C5&quot;/&gt;&lt;wsp:rsid wsp:val=&quot;0065623A&quot;/&gt;&lt;wsp:rsid wsp:val=&quot;00656A16&quot;/&gt;&lt;wsp:rsid wsp:val=&quot;00656C07&quot;/&gt;&lt;wsp:rsid wsp:val=&quot;00657224&quot;/&gt;&lt;wsp:rsid wsp:val=&quot;00657298&quot;/&gt;&lt;wsp:rsid wsp:val=&quot;00657E13&quot;/&gt;&lt;wsp:rsid wsp:val=&quot;00660129&quot;/&gt;&lt;wsp:rsid wsp:val=&quot;006602A5&quot;/&gt;&lt;wsp:rsid wsp:val=&quot;00660EA0&quot;/&gt;&lt;wsp:rsid wsp:val=&quot;00660EB5&quot;/&gt;&lt;wsp:rsid wsp:val=&quot;00660F1A&quot;/&gt;&lt;wsp:rsid wsp:val=&quot;00661281&quot;/&gt;&lt;wsp:rsid wsp:val=&quot;006614BB&quot;/&gt;&lt;wsp:rsid wsp:val=&quot;00661BAE&quot;/&gt;&lt;wsp:rsid wsp:val=&quot;00661D4C&quot;/&gt;&lt;wsp:rsid wsp:val=&quot;00661F6A&quot;/&gt;&lt;wsp:rsid wsp:val=&quot;00662647&quot;/&gt;&lt;wsp:rsid wsp:val=&quot;006627B8&quot;/&gt;&lt;wsp:rsid wsp:val=&quot;00662857&quot;/&gt;&lt;wsp:rsid wsp:val=&quot;00662971&quot;/&gt;&lt;wsp:rsid wsp:val=&quot;00662B06&quot;/&gt;&lt;wsp:rsid wsp:val=&quot;00662FAB&quot;/&gt;&lt;wsp:rsid wsp:val=&quot;006632F3&quot;/&gt;&lt;wsp:rsid wsp:val=&quot;006638BE&quot;/&gt;&lt;wsp:rsid wsp:val=&quot;00663B1D&quot;/&gt;&lt;wsp:rsid wsp:val=&quot;00663C31&quot;/&gt;&lt;wsp:rsid wsp:val=&quot;00663C78&quot;/&gt;&lt;wsp:rsid wsp:val=&quot;00663F87&quot;/&gt;&lt;wsp:rsid wsp:val=&quot;00663FF8&quot;/&gt;&lt;wsp:rsid wsp:val=&quot;00664239&quot;/&gt;&lt;wsp:rsid wsp:val=&quot;006642D3&quot;/&gt;&lt;wsp:rsid wsp:val=&quot;006648F8&quot;/&gt;&lt;wsp:rsid wsp:val=&quot;00664930&quot;/&gt;&lt;wsp:rsid wsp:val=&quot;00664A22&quot;/&gt;&lt;wsp:rsid wsp:val=&quot;00664AF8&quot;/&gt;&lt;wsp:rsid wsp:val=&quot;00665012&quot;/&gt;&lt;wsp:rsid wsp:val=&quot;006651FC&quot;/&gt;&lt;wsp:rsid wsp:val=&quot;00665343&quot;/&gt;&lt;wsp:rsid wsp:val=&quot;006655AD&quot;/&gt;&lt;wsp:rsid wsp:val=&quot;006659B7&quot;/&gt;&lt;wsp:rsid wsp:val=&quot;00665B99&quot;/&gt;&lt;wsp:rsid wsp:val=&quot;00666106&quot;/&gt;&lt;wsp:rsid wsp:val=&quot;006662AF&quot;/&gt;&lt;wsp:rsid wsp:val=&quot;0066679D&quot;/&gt;&lt;wsp:rsid wsp:val=&quot;00666B4F&quot;/&gt;&lt;wsp:rsid wsp:val=&quot;00666FA8&quot;/&gt;&lt;wsp:rsid wsp:val=&quot;00667403&quot;/&gt;&lt;wsp:rsid wsp:val=&quot;0066746B&quot;/&gt;&lt;wsp:rsid wsp:val=&quot;006676C5&quot;/&gt;&lt;wsp:rsid wsp:val=&quot;00667AA9&quot;/&gt;&lt;wsp:rsid wsp:val=&quot;00670520&quot;/&gt;&lt;wsp:rsid wsp:val=&quot;006706ED&quot;/&gt;&lt;wsp:rsid wsp:val=&quot;00670865&quot;/&gt;&lt;wsp:rsid wsp:val=&quot;006709EE&quot;/&gt;&lt;wsp:rsid wsp:val=&quot;00670FD3&quot;/&gt;&lt;wsp:rsid wsp:val=&quot;006711C3&quot;/&gt;&lt;wsp:rsid wsp:val=&quot;006714A8&quot;/&gt;&lt;wsp:rsid wsp:val=&quot;006715FA&quot;/&gt;&lt;wsp:rsid wsp:val=&quot;006717A7&quot;/&gt;&lt;wsp:rsid wsp:val=&quot;00671BEC&quot;/&gt;&lt;wsp:rsid wsp:val=&quot;00671C9B&quot;/&gt;&lt;wsp:rsid wsp:val=&quot;00671D4A&quot;/&gt;&lt;wsp:rsid wsp:val=&quot;00672310&quot;/&gt;&lt;wsp:rsid wsp:val=&quot;006723C1&quot;/&gt;&lt;wsp:rsid wsp:val=&quot;006726C5&quot;/&gt;&lt;wsp:rsid wsp:val=&quot;006728DA&quot;/&gt;&lt;wsp:rsid wsp:val=&quot;00672995&quot;/&gt;&lt;wsp:rsid wsp:val=&quot;00672ADD&quot;/&gt;&lt;wsp:rsid wsp:val=&quot;00672BA9&quot;/&gt;&lt;wsp:rsid wsp:val=&quot;00672CCB&quot;/&gt;&lt;wsp:rsid wsp:val=&quot;00672CF8&quot;/&gt;&lt;wsp:rsid wsp:val=&quot;00673040&quot;/&gt;&lt;wsp:rsid wsp:val=&quot;00673567&quot;/&gt;&lt;wsp:rsid wsp:val=&quot;00673DF6&quot;/&gt;&lt;wsp:rsid wsp:val=&quot;00673E3B&quot;/&gt;&lt;wsp:rsid wsp:val=&quot;00673EFD&quot;/&gt;&lt;wsp:rsid wsp:val=&quot;006741C6&quot;/&gt;&lt;wsp:rsid wsp:val=&quot;006742EE&quot;/&gt;&lt;wsp:rsid wsp:val=&quot;006746B9&quot;/&gt;&lt;wsp:rsid wsp:val=&quot;006746BC&quot;/&gt;&lt;wsp:rsid wsp:val=&quot;0067497C&quot;/&gt;&lt;wsp:rsid wsp:val=&quot;006749ED&quot;/&gt;&lt;wsp:rsid wsp:val=&quot;0067515D&quot;/&gt;&lt;wsp:rsid wsp:val=&quot;0067517C&quot;/&gt;&lt;wsp:rsid wsp:val=&quot;0067575D&quot;/&gt;&lt;wsp:rsid wsp:val=&quot;00675FE0&quot;/&gt;&lt;wsp:rsid wsp:val=&quot;00676050&quot;/&gt;&lt;wsp:rsid wsp:val=&quot;006763A3&quot;/&gt;&lt;wsp:rsid wsp:val=&quot;00676663&quot;/&gt;&lt;wsp:rsid wsp:val=&quot;006766B7&quot;/&gt;&lt;wsp:rsid wsp:val=&quot;006768A4&quot;/&gt;&lt;wsp:rsid wsp:val=&quot;00676C34&quot;/&gt;&lt;wsp:rsid wsp:val=&quot;00676E60&quot;/&gt;&lt;wsp:rsid wsp:val=&quot;00677122&quot;/&gt;&lt;wsp:rsid wsp:val=&quot;0067743C&quot;/&gt;&lt;wsp:rsid wsp:val=&quot;006779D8&quot;/&gt;&lt;wsp:rsid wsp:val=&quot;00677A34&quot;/&gt;&lt;wsp:rsid wsp:val=&quot;00677B37&quot;/&gt;&lt;wsp:rsid wsp:val=&quot;00677DEB&quot;/&gt;&lt;wsp:rsid wsp:val=&quot;00680488&quot;/&gt;&lt;wsp:rsid wsp:val=&quot;00680574&quot;/&gt;&lt;wsp:rsid wsp:val=&quot;006805C0&quot;/&gt;&lt;wsp:rsid wsp:val=&quot;00680663&quot;/&gt;&lt;wsp:rsid wsp:val=&quot;00680F3C&quot;/&gt;&lt;wsp:rsid wsp:val=&quot;0068127D&quot;/&gt;&lt;wsp:rsid wsp:val=&quot;00681DBF&quot;/&gt;&lt;wsp:rsid wsp:val=&quot;00682184&quot;/&gt;&lt;wsp:rsid wsp:val=&quot;006829F2&quot;/&gt;&lt;wsp:rsid wsp:val=&quot;0068310B&quot;/&gt;&lt;wsp:rsid wsp:val=&quot;00683281&quot;/&gt;&lt;wsp:rsid wsp:val=&quot;0068357D&quot;/&gt;&lt;wsp:rsid wsp:val=&quot;006835C7&quot;/&gt;&lt;wsp:rsid wsp:val=&quot;00683A27&quot;/&gt;&lt;wsp:rsid wsp:val=&quot;00683AB8&quot;/&gt;&lt;wsp:rsid wsp:val=&quot;00684040&quot;/&gt;&lt;wsp:rsid wsp:val=&quot;0068404B&quot;/&gt;&lt;wsp:rsid wsp:val=&quot;0068405C&quot;/&gt;&lt;wsp:rsid wsp:val=&quot;006841EF&quot;/&gt;&lt;wsp:rsid wsp:val=&quot;006843AB&quot;/&gt;&lt;wsp:rsid wsp:val=&quot;0068457A&quot;/&gt;&lt;wsp:rsid wsp:val=&quot;0068460D&quot;/&gt;&lt;wsp:rsid wsp:val=&quot;0068515F&quot;/&gt;&lt;wsp:rsid wsp:val=&quot;00685188&quot;/&gt;&lt;wsp:rsid wsp:val=&quot;006858CE&quot;/&gt;&lt;wsp:rsid wsp:val=&quot;006859F6&quot;/&gt;&lt;wsp:rsid wsp:val=&quot;00685E06&quot;/&gt;&lt;wsp:rsid wsp:val=&quot;00686281&quot;/&gt;&lt;wsp:rsid wsp:val=&quot;006862C0&quot;/&gt;&lt;wsp:rsid wsp:val=&quot;006862CD&quot;/&gt;&lt;wsp:rsid wsp:val=&quot;00686434&quot;/&gt;&lt;wsp:rsid wsp:val=&quot;00686967&quot;/&gt;&lt;wsp:rsid wsp:val=&quot;00686DF4&quot;/&gt;&lt;wsp:rsid wsp:val=&quot;00686EE2&quot;/&gt;&lt;wsp:rsid wsp:val=&quot;006872CF&quot;/&gt;&lt;wsp:rsid wsp:val=&quot;00687A8A&quot;/&gt;&lt;wsp:rsid wsp:val=&quot;00687BB3&quot;/&gt;&lt;wsp:rsid wsp:val=&quot;00687DDA&quot;/&gt;&lt;wsp:rsid wsp:val=&quot;00687F39&quot;/&gt;&lt;wsp:rsid wsp:val=&quot;006903A9&quot;/&gt;&lt;wsp:rsid wsp:val=&quot;00690466&quot;/&gt;&lt;wsp:rsid wsp:val=&quot;00690684&quot;/&gt;&lt;wsp:rsid wsp:val=&quot;00690D12&quot;/&gt;&lt;wsp:rsid wsp:val=&quot;00691069&quot;/&gt;&lt;wsp:rsid wsp:val=&quot;00691498&quot;/&gt;&lt;wsp:rsid wsp:val=&quot;0069193D&quot;/&gt;&lt;wsp:rsid wsp:val=&quot;00691A80&quot;/&gt;&lt;wsp:rsid wsp:val=&quot;00692016&quot;/&gt;&lt;wsp:rsid wsp:val=&quot;006922A3&quot;/&gt;&lt;wsp:rsid wsp:val=&quot;00692E59&quot;/&gt;&lt;wsp:rsid wsp:val=&quot;0069309E&quot;/&gt;&lt;wsp:rsid wsp:val=&quot;006930A2&quot;/&gt;&lt;wsp:rsid wsp:val=&quot;0069351F&quot;/&gt;&lt;wsp:rsid wsp:val=&quot;00693AD5&quot;/&gt;&lt;wsp:rsid wsp:val=&quot;00693C5D&quot;/&gt;&lt;wsp:rsid wsp:val=&quot;00694C29&quot;/&gt;&lt;wsp:rsid wsp:val=&quot;00695015&quot;/&gt;&lt;wsp:rsid wsp:val=&quot;00695334&quot;/&gt;&lt;wsp:rsid wsp:val=&quot;00695491&quot;/&gt;&lt;wsp:rsid wsp:val=&quot;006955E6&quot;/&gt;&lt;wsp:rsid wsp:val=&quot;00695B0C&quot;/&gt;&lt;wsp:rsid wsp:val=&quot;00695F3C&quot;/&gt;&lt;wsp:rsid wsp:val=&quot;0069625B&quot;/&gt;&lt;wsp:rsid wsp:val=&quot;00696525&quot;/&gt;&lt;wsp:rsid wsp:val=&quot;00696657&quot;/&gt;&lt;wsp:rsid wsp:val=&quot;006966BB&quot;/&gt;&lt;wsp:rsid wsp:val=&quot;00696F99&quot;/&gt;&lt;wsp:rsid wsp:val=&quot;00697280&quot;/&gt;&lt;wsp:rsid wsp:val=&quot;00697553&quot;/&gt;&lt;wsp:rsid wsp:val=&quot;00697731&quot;/&gt;&lt;wsp:rsid wsp:val=&quot;00697D69&quot;/&gt;&lt;wsp:rsid wsp:val=&quot;006A07B0&quot;/&gt;&lt;wsp:rsid wsp:val=&quot;006A0B33&quot;/&gt;&lt;wsp:rsid wsp:val=&quot;006A0D22&quot;/&gt;&lt;wsp:rsid wsp:val=&quot;006A0EE8&quot;/&gt;&lt;wsp:rsid wsp:val=&quot;006A10FD&quot;/&gt;&lt;wsp:rsid wsp:val=&quot;006A154A&quot;/&gt;&lt;wsp:rsid wsp:val=&quot;006A183A&quot;/&gt;&lt;wsp:rsid wsp:val=&quot;006A1BD3&quot;/&gt;&lt;wsp:rsid wsp:val=&quot;006A1F30&quot;/&gt;&lt;wsp:rsid wsp:val=&quot;006A1FCF&quot;/&gt;&lt;wsp:rsid wsp:val=&quot;006A24BD&quot;/&gt;&lt;wsp:rsid wsp:val=&quot;006A2538&quot;/&gt;&lt;wsp:rsid wsp:val=&quot;006A275F&quot;/&gt;&lt;wsp:rsid wsp:val=&quot;006A27D9&quot;/&gt;&lt;wsp:rsid wsp:val=&quot;006A2A5E&quot;/&gt;&lt;wsp:rsid wsp:val=&quot;006A2E58&quot;/&gt;&lt;wsp:rsid wsp:val=&quot;006A2E8D&quot;/&gt;&lt;wsp:rsid wsp:val=&quot;006A3080&quot;/&gt;&lt;wsp:rsid wsp:val=&quot;006A30B7&quot;/&gt;&lt;wsp:rsid wsp:val=&quot;006A3443&quot;/&gt;&lt;wsp:rsid wsp:val=&quot;006A350D&quot;/&gt;&lt;wsp:rsid wsp:val=&quot;006A376F&quot;/&gt;&lt;wsp:rsid wsp:val=&quot;006A3796&quot;/&gt;&lt;wsp:rsid wsp:val=&quot;006A37EF&quot;/&gt;&lt;wsp:rsid wsp:val=&quot;006A3D61&quot;/&gt;&lt;wsp:rsid wsp:val=&quot;006A3D77&quot;/&gt;&lt;wsp:rsid wsp:val=&quot;006A4B64&quot;/&gt;&lt;wsp:rsid wsp:val=&quot;006A4D14&quot;/&gt;&lt;wsp:rsid wsp:val=&quot;006A4E62&quot;/&gt;&lt;wsp:rsid wsp:val=&quot;006A4EB8&quot;/&gt;&lt;wsp:rsid wsp:val=&quot;006A4F4B&quot;/&gt;&lt;wsp:rsid wsp:val=&quot;006A5004&quot;/&gt;&lt;wsp:rsid wsp:val=&quot;006A53B7&quot;/&gt;&lt;wsp:rsid wsp:val=&quot;006A53F0&quot;/&gt;&lt;wsp:rsid wsp:val=&quot;006A5469&quot;/&gt;&lt;wsp:rsid wsp:val=&quot;006A58AA&quot;/&gt;&lt;wsp:rsid wsp:val=&quot;006A6045&quot;/&gt;&lt;wsp:rsid wsp:val=&quot;006A60ED&quot;/&gt;&lt;wsp:rsid wsp:val=&quot;006A68A8&quot;/&gt;&lt;wsp:rsid wsp:val=&quot;006A6A47&quot;/&gt;&lt;wsp:rsid wsp:val=&quot;006A6E30&quot;/&gt;&lt;wsp:rsid wsp:val=&quot;006A6FDC&quot;/&gt;&lt;wsp:rsid wsp:val=&quot;006A706A&quot;/&gt;&lt;wsp:rsid wsp:val=&quot;006A70D8&quot;/&gt;&lt;wsp:rsid wsp:val=&quot;006A76ED&quot;/&gt;&lt;wsp:rsid wsp:val=&quot;006A77CF&quot;/&gt;&lt;wsp:rsid wsp:val=&quot;006A7DEC&quot;/&gt;&lt;wsp:rsid wsp:val=&quot;006B02DE&quot;/&gt;&lt;wsp:rsid wsp:val=&quot;006B034F&quot;/&gt;&lt;wsp:rsid wsp:val=&quot;006B038A&quot;/&gt;&lt;wsp:rsid wsp:val=&quot;006B0F8C&quot;/&gt;&lt;wsp:rsid wsp:val=&quot;006B0FC1&quot;/&gt;&lt;wsp:rsid wsp:val=&quot;006B10BC&quot;/&gt;&lt;wsp:rsid wsp:val=&quot;006B13A5&quot;/&gt;&lt;wsp:rsid wsp:val=&quot;006B18F3&quot;/&gt;&lt;wsp:rsid wsp:val=&quot;006B1927&quot;/&gt;&lt;wsp:rsid wsp:val=&quot;006B1FBD&quot;/&gt;&lt;wsp:rsid wsp:val=&quot;006B259B&quot;/&gt;&lt;wsp:rsid wsp:val=&quot;006B2A8B&quot;/&gt;&lt;wsp:rsid wsp:val=&quot;006B2F9E&quot;/&gt;&lt;wsp:rsid wsp:val=&quot;006B322F&quot;/&gt;&lt;wsp:rsid wsp:val=&quot;006B33D4&quot;/&gt;&lt;wsp:rsid wsp:val=&quot;006B373C&quot;/&gt;&lt;wsp:rsid wsp:val=&quot;006B376E&quot;/&gt;&lt;wsp:rsid wsp:val=&quot;006B3792&quot;/&gt;&lt;wsp:rsid wsp:val=&quot;006B40BB&quot;/&gt;&lt;wsp:rsid wsp:val=&quot;006B40EE&quot;/&gt;&lt;wsp:rsid wsp:val=&quot;006B44A3&quot;/&gt;&lt;wsp:rsid wsp:val=&quot;006B474C&quot;/&gt;&lt;wsp:rsid wsp:val=&quot;006B49F4&quot;/&gt;&lt;wsp:rsid wsp:val=&quot;006B4AB7&quot;/&gt;&lt;wsp:rsid wsp:val=&quot;006B5043&quot;/&gt;&lt;wsp:rsid wsp:val=&quot;006B51AE&quot;/&gt;&lt;wsp:rsid wsp:val=&quot;006B530D&quot;/&gt;&lt;wsp:rsid wsp:val=&quot;006B53EE&quot;/&gt;&lt;wsp:rsid wsp:val=&quot;006B54D5&quot;/&gt;&lt;wsp:rsid wsp:val=&quot;006B595C&quot;/&gt;&lt;wsp:rsid wsp:val=&quot;006B5B02&quot;/&gt;&lt;wsp:rsid wsp:val=&quot;006B5B3E&quot;/&gt;&lt;wsp:rsid wsp:val=&quot;006B6138&quot;/&gt;&lt;wsp:rsid wsp:val=&quot;006B660F&quot;/&gt;&lt;wsp:rsid wsp:val=&quot;006B67A5&quot;/&gt;&lt;wsp:rsid wsp:val=&quot;006B69B9&quot;/&gt;&lt;wsp:rsid wsp:val=&quot;006B6A63&quot;/&gt;&lt;wsp:rsid wsp:val=&quot;006B6C85&quot;/&gt;&lt;wsp:rsid wsp:val=&quot;006B6ECE&quot;/&gt;&lt;wsp:rsid wsp:val=&quot;006B6F30&quot;/&gt;&lt;wsp:rsid wsp:val=&quot;006B76FD&quot;/&gt;&lt;wsp:rsid wsp:val=&quot;006B7AD4&quot;/&gt;&lt;wsp:rsid wsp:val=&quot;006C00BF&quot;/&gt;&lt;wsp:rsid wsp:val=&quot;006C0191&quot;/&gt;&lt;wsp:rsid wsp:val=&quot;006C01B1&quot;/&gt;&lt;wsp:rsid wsp:val=&quot;006C05C4&quot;/&gt;&lt;wsp:rsid wsp:val=&quot;006C062C&quot;/&gt;&lt;wsp:rsid wsp:val=&quot;006C0771&quot;/&gt;&lt;wsp:rsid wsp:val=&quot;006C1095&quot;/&gt;&lt;wsp:rsid wsp:val=&quot;006C12C6&quot;/&gt;&lt;wsp:rsid wsp:val=&quot;006C1522&quot;/&gt;&lt;wsp:rsid wsp:val=&quot;006C1ECD&quot;/&gt;&lt;wsp:rsid wsp:val=&quot;006C20A0&quot;/&gt;&lt;wsp:rsid wsp:val=&quot;006C2549&quot;/&gt;&lt;wsp:rsid wsp:val=&quot;006C254F&quot;/&gt;&lt;wsp:rsid wsp:val=&quot;006C2893&quot;/&gt;&lt;wsp:rsid wsp:val=&quot;006C2AA7&quot;/&gt;&lt;wsp:rsid wsp:val=&quot;006C2BEC&quot;/&gt;&lt;wsp:rsid wsp:val=&quot;006C33CE&quot;/&gt;&lt;wsp:rsid wsp:val=&quot;006C357C&quot;/&gt;&lt;wsp:rsid wsp:val=&quot;006C361E&quot;/&gt;&lt;wsp:rsid wsp:val=&quot;006C3ED3&quot;/&gt;&lt;wsp:rsid wsp:val=&quot;006C5141&quot;/&gt;&lt;wsp:rsid wsp:val=&quot;006C5191&quot;/&gt;&lt;wsp:rsid wsp:val=&quot;006C5F7C&quot;/&gt;&lt;wsp:rsid wsp:val=&quot;006C6093&quot;/&gt;&lt;wsp:rsid wsp:val=&quot;006C669D&quot;/&gt;&lt;wsp:rsid wsp:val=&quot;006C6EC7&quot;/&gt;&lt;wsp:rsid wsp:val=&quot;006C77A2&quot;/&gt;&lt;wsp:rsid wsp:val=&quot;006C7ABE&quot;/&gt;&lt;wsp:rsid wsp:val=&quot;006C7C3B&quot;/&gt;&lt;wsp:rsid wsp:val=&quot;006D0013&quot;/&gt;&lt;wsp:rsid wsp:val=&quot;006D081C&quot;/&gt;&lt;wsp:rsid wsp:val=&quot;006D15EF&quot;/&gt;&lt;wsp:rsid wsp:val=&quot;006D1757&quot;/&gt;&lt;wsp:rsid wsp:val=&quot;006D1C73&quot;/&gt;&lt;wsp:rsid wsp:val=&quot;006D1E4A&quot;/&gt;&lt;wsp:rsid wsp:val=&quot;006D209C&quot;/&gt;&lt;wsp:rsid wsp:val=&quot;006D226C&quot;/&gt;&lt;wsp:rsid wsp:val=&quot;006D26AD&quot;/&gt;&lt;wsp:rsid wsp:val=&quot;006D2947&quot;/&gt;&lt;wsp:rsid wsp:val=&quot;006D2A72&quot;/&gt;&lt;wsp:rsid wsp:val=&quot;006D2A7F&quot;/&gt;&lt;wsp:rsid wsp:val=&quot;006D2B78&quot;/&gt;&lt;wsp:rsid wsp:val=&quot;006D2E52&quot;/&gt;&lt;wsp:rsid wsp:val=&quot;006D36E8&quot;/&gt;&lt;wsp:rsid wsp:val=&quot;006D3E7D&quot;/&gt;&lt;wsp:rsid wsp:val=&quot;006D3F95&quot;/&gt;&lt;wsp:rsid wsp:val=&quot;006D410B&quot;/&gt;&lt;wsp:rsid wsp:val=&quot;006D43AB&quot;/&gt;&lt;wsp:rsid wsp:val=&quot;006D4695&quot;/&gt;&lt;wsp:rsid wsp:val=&quot;006D4746&quot;/&gt;&lt;wsp:rsid wsp:val=&quot;006D54A3&quot;/&gt;&lt;wsp:rsid wsp:val=&quot;006D54E8&quot;/&gt;&lt;wsp:rsid wsp:val=&quot;006D636C&quot;/&gt;&lt;wsp:rsid wsp:val=&quot;006D63D7&quot;/&gt;&lt;wsp:rsid wsp:val=&quot;006D685E&quot;/&gt;&lt;wsp:rsid wsp:val=&quot;006D68DB&quot;/&gt;&lt;wsp:rsid wsp:val=&quot;006D6A1E&quot;/&gt;&lt;wsp:rsid wsp:val=&quot;006D6C69&quot;/&gt;&lt;wsp:rsid wsp:val=&quot;006D6D66&quot;/&gt;&lt;wsp:rsid wsp:val=&quot;006D6EB7&quot;/&gt;&lt;wsp:rsid wsp:val=&quot;006D7689&quot;/&gt;&lt;wsp:rsid wsp:val=&quot;006E0634&quot;/&gt;&lt;wsp:rsid wsp:val=&quot;006E086C&quot;/&gt;&lt;wsp:rsid wsp:val=&quot;006E180D&quot;/&gt;&lt;wsp:rsid wsp:val=&quot;006E18EA&quot;/&gt;&lt;wsp:rsid wsp:val=&quot;006E1DFB&quot;/&gt;&lt;wsp:rsid wsp:val=&quot;006E1E8E&quot;/&gt;&lt;wsp:rsid wsp:val=&quot;006E26A7&quot;/&gt;&lt;wsp:rsid wsp:val=&quot;006E2832&quot;/&gt;&lt;wsp:rsid wsp:val=&quot;006E2EA0&quot;/&gt;&lt;wsp:rsid wsp:val=&quot;006E311D&quot;/&gt;&lt;wsp:rsid wsp:val=&quot;006E320C&quot;/&gt;&lt;wsp:rsid wsp:val=&quot;006E3245&quot;/&gt;&lt;wsp:rsid wsp:val=&quot;006E33A2&quot;/&gt;&lt;wsp:rsid wsp:val=&quot;006E35DA&quot;/&gt;&lt;wsp:rsid wsp:val=&quot;006E371D&quot;/&gt;&lt;wsp:rsid wsp:val=&quot;006E39D3&quot;/&gt;&lt;wsp:rsid wsp:val=&quot;006E3A49&quot;/&gt;&lt;wsp:rsid wsp:val=&quot;006E3C78&quot;/&gt;&lt;wsp:rsid wsp:val=&quot;006E41FB&quot;/&gt;&lt;wsp:rsid wsp:val=&quot;006E4295&quot;/&gt;&lt;wsp:rsid wsp:val=&quot;006E439A&quot;/&gt;&lt;wsp:rsid wsp:val=&quot;006E4844&quot;/&gt;&lt;wsp:rsid wsp:val=&quot;006E4B63&quot;/&gt;&lt;wsp:rsid wsp:val=&quot;006E4CD3&quot;/&gt;&lt;wsp:rsid wsp:val=&quot;006E4F57&quot;/&gt;&lt;wsp:rsid wsp:val=&quot;006E521E&quot;/&gt;&lt;wsp:rsid wsp:val=&quot;006E54C7&quot;/&gt;&lt;wsp:rsid wsp:val=&quot;006E58C0&quot;/&gt;&lt;wsp:rsid wsp:val=&quot;006E5A2F&quot;/&gt;&lt;wsp:rsid wsp:val=&quot;006E5A89&quot;/&gt;&lt;wsp:rsid wsp:val=&quot;006E5C7C&quot;/&gt;&lt;wsp:rsid wsp:val=&quot;006E5D25&quot;/&gt;&lt;wsp:rsid wsp:val=&quot;006E5D9B&quot;/&gt;&lt;wsp:rsid wsp:val=&quot;006E6D4F&quot;/&gt;&lt;wsp:rsid wsp:val=&quot;006E6D51&quot;/&gt;&lt;wsp:rsid wsp:val=&quot;006E6E20&quot;/&gt;&lt;wsp:rsid wsp:val=&quot;006E6E2A&quot;/&gt;&lt;wsp:rsid wsp:val=&quot;006E7567&quot;/&gt;&lt;wsp:rsid wsp:val=&quot;006F00AE&quot;/&gt;&lt;wsp:rsid wsp:val=&quot;006F07E7&quot;/&gt;&lt;wsp:rsid wsp:val=&quot;006F07E8&quot;/&gt;&lt;wsp:rsid wsp:val=&quot;006F0B29&quot;/&gt;&lt;wsp:rsid wsp:val=&quot;006F0BB2&quot;/&gt;&lt;wsp:rsid wsp:val=&quot;006F1257&quot;/&gt;&lt;wsp:rsid wsp:val=&quot;006F130F&quot;/&gt;&lt;wsp:rsid wsp:val=&quot;006F1669&quot;/&gt;&lt;wsp:rsid wsp:val=&quot;006F1828&quot;/&gt;&lt;wsp:rsid wsp:val=&quot;006F18DE&quot;/&gt;&lt;wsp:rsid wsp:val=&quot;006F1C57&quot;/&gt;&lt;wsp:rsid wsp:val=&quot;006F1E5F&quot;/&gt;&lt;wsp:rsid wsp:val=&quot;006F2839&quot;/&gt;&lt;wsp:rsid wsp:val=&quot;006F291C&quot;/&gt;&lt;wsp:rsid wsp:val=&quot;006F2D5F&quot;/&gt;&lt;wsp:rsid wsp:val=&quot;006F3637&quot;/&gt;&lt;wsp:rsid wsp:val=&quot;006F4419&quot;/&gt;&lt;wsp:rsid wsp:val=&quot;006F4495&quot;/&gt;&lt;wsp:rsid wsp:val=&quot;006F4E97&quot;/&gt;&lt;wsp:rsid wsp:val=&quot;006F5710&quot;/&gt;&lt;wsp:rsid wsp:val=&quot;006F5796&quot;/&gt;&lt;wsp:rsid wsp:val=&quot;006F5A23&quot;/&gt;&lt;wsp:rsid wsp:val=&quot;006F5D32&quot;/&gt;&lt;wsp:rsid wsp:val=&quot;006F5E6B&quot;/&gt;&lt;wsp:rsid wsp:val=&quot;006F5F7E&quot;/&gt;&lt;wsp:rsid wsp:val=&quot;006F61A7&quot;/&gt;&lt;wsp:rsid wsp:val=&quot;006F66DD&quot;/&gt;&lt;wsp:rsid wsp:val=&quot;006F6F6C&quot;/&gt;&lt;wsp:rsid wsp:val=&quot;006F74DE&quot;/&gt;&lt;wsp:rsid wsp:val=&quot;006F769C&quot;/&gt;&lt;wsp:rsid wsp:val=&quot;006F7778&quot;/&gt;&lt;wsp:rsid wsp:val=&quot;006F7CA7&quot;/&gt;&lt;wsp:rsid wsp:val=&quot;00700907&quot;/&gt;&lt;wsp:rsid wsp:val=&quot;00700C00&quot;/&gt;&lt;wsp:rsid wsp:val=&quot;00700D1A&quot;/&gt;&lt;wsp:rsid wsp:val=&quot;007013F4&quot;/&gt;&lt;wsp:rsid wsp:val=&quot;00701714&quot;/&gt;&lt;wsp:rsid wsp:val=&quot;007017F4&quot;/&gt;&lt;wsp:rsid wsp:val=&quot;00701BD4&quot;/&gt;&lt;wsp:rsid wsp:val=&quot;00701E52&quot;/&gt;&lt;wsp:rsid wsp:val=&quot;007020AC&quot;/&gt;&lt;wsp:rsid wsp:val=&quot;007027F1&quot;/&gt;&lt;wsp:rsid wsp:val=&quot;00702D57&quot;/&gt;&lt;wsp:rsid wsp:val=&quot;00702EDD&quot;/&gt;&lt;wsp:rsid wsp:val=&quot;00703226&quot;/&gt;&lt;wsp:rsid wsp:val=&quot;00703705&quot;/&gt;&lt;wsp:rsid wsp:val=&quot;0070387D&quot;/&gt;&lt;wsp:rsid wsp:val=&quot;00703A1B&quot;/&gt;&lt;wsp:rsid wsp:val=&quot;0070411E&quot;/&gt;&lt;wsp:rsid wsp:val=&quot;007042E0&quot;/&gt;&lt;wsp:rsid wsp:val=&quot;007044B9&quot;/&gt;&lt;wsp:rsid wsp:val=&quot;00704D54&quot;/&gt;&lt;wsp:rsid wsp:val=&quot;00705021&quot;/&gt;&lt;wsp:rsid wsp:val=&quot;007051F7&quot;/&gt;&lt;wsp:rsid wsp:val=&quot;00705341&quot;/&gt;&lt;wsp:rsid wsp:val=&quot;0070545F&quot;/&gt;&lt;wsp:rsid wsp:val=&quot;00705FC5&quot;/&gt;&lt;wsp:rsid wsp:val=&quot;00705FD4&quot;/&gt;&lt;wsp:rsid wsp:val=&quot;0070670F&quot;/&gt;&lt;wsp:rsid wsp:val=&quot;00707129&quot;/&gt;&lt;wsp:rsid wsp:val=&quot;007075A4&quot;/&gt;&lt;wsp:rsid wsp:val=&quot;00707623&quot;/&gt;&lt;wsp:rsid wsp:val=&quot;00707C79&quot;/&gt;&lt;wsp:rsid wsp:val=&quot;00707E25&quot;/&gt;&lt;wsp:rsid wsp:val=&quot;00707F4F&quot;/&gt;&lt;wsp:rsid wsp:val=&quot;00710A6A&quot;/&gt;&lt;wsp:rsid wsp:val=&quot;00710BE7&quot;/&gt;&lt;wsp:rsid wsp:val=&quot;00711A58&quot;/&gt;&lt;wsp:rsid wsp:val=&quot;00711BB1&quot;/&gt;&lt;wsp:rsid wsp:val=&quot;00712131&quot;/&gt;&lt;wsp:rsid wsp:val=&quot;007125C5&quot;/&gt;&lt;wsp:rsid wsp:val=&quot;007126F3&quot;/&gt;&lt;wsp:rsid wsp:val=&quot;00712CF5&quot;/&gt;&lt;wsp:rsid wsp:val=&quot;007133A4&quot;/&gt;&lt;wsp:rsid wsp:val=&quot;00713762&quot;/&gt;&lt;wsp:rsid wsp:val=&quot;00713A6C&quot;/&gt;&lt;wsp:rsid wsp:val=&quot;00714097&quot;/&gt;&lt;wsp:rsid wsp:val=&quot;007144E2&quot;/&gt;&lt;wsp:rsid wsp:val=&quot;007145A0&quot;/&gt;&lt;wsp:rsid wsp:val=&quot;00714960&quot;/&gt;&lt;wsp:rsid wsp:val=&quot;00714B14&quot;/&gt;&lt;wsp:rsid wsp:val=&quot;00714B81&quot;/&gt;&lt;wsp:rsid wsp:val=&quot;00714BC7&quot;/&gt;&lt;wsp:rsid wsp:val=&quot;00714D74&quot;/&gt;&lt;wsp:rsid wsp:val=&quot;007153E9&quot;/&gt;&lt;wsp:rsid wsp:val=&quot;007156FA&quot;/&gt;&lt;wsp:rsid wsp:val=&quot;007159BC&quot;/&gt;&lt;wsp:rsid wsp:val=&quot;007159D5&quot;/&gt;&lt;wsp:rsid wsp:val=&quot;00715DCF&quot;/&gt;&lt;wsp:rsid wsp:val=&quot;00715E2C&quot;/&gt;&lt;wsp:rsid wsp:val=&quot;00715E71&quot;/&gt;&lt;wsp:rsid wsp:val=&quot;00716358&quot;/&gt;&lt;wsp:rsid wsp:val=&quot;00716B47&quot;/&gt;&lt;wsp:rsid wsp:val=&quot;00716E9F&quot;/&gt;&lt;wsp:rsid wsp:val=&quot;007170C2&quot;/&gt;&lt;wsp:rsid wsp:val=&quot;0071733E&quot;/&gt;&lt;wsp:rsid wsp:val=&quot;00717779&quot;/&gt;&lt;wsp:rsid wsp:val=&quot;00717848&quot;/&gt;&lt;wsp:rsid wsp:val=&quot;00717D5F&quot;/&gt;&lt;wsp:rsid wsp:val=&quot;00717EFA&quot;/&gt;&lt;wsp:rsid wsp:val=&quot;00720301&quot;/&gt;&lt;wsp:rsid wsp:val=&quot;0072051C&quot;/&gt;&lt;wsp:rsid wsp:val=&quot;00720AAA&quot;/&gt;&lt;wsp:rsid wsp:val=&quot;00720D20&quot;/&gt;&lt;wsp:rsid wsp:val=&quot;00720E75&quot;/&gt;&lt;wsp:rsid wsp:val=&quot;00720ECB&quot;/&gt;&lt;wsp:rsid wsp:val=&quot;00720F71&quot;/&gt;&lt;wsp:rsid wsp:val=&quot;00721566&quot;/&gt;&lt;wsp:rsid wsp:val=&quot;00721717&quot;/&gt;&lt;wsp:rsid wsp:val=&quot;007218D9&quot;/&gt;&lt;wsp:rsid wsp:val=&quot;00721DC7&quot;/&gt;&lt;wsp:rsid wsp:val=&quot;0072220F&quot;/&gt;&lt;wsp:rsid wsp:val=&quot;00722AB5&quot;/&gt;&lt;wsp:rsid wsp:val=&quot;00722BBE&quot;/&gt;&lt;wsp:rsid wsp:val=&quot;00722C32&quot;/&gt;&lt;wsp:rsid wsp:val=&quot;00722CA8&quot;/&gt;&lt;wsp:rsid wsp:val=&quot;00723034&quot;/&gt;&lt;wsp:rsid wsp:val=&quot;007231FF&quot;/&gt;&lt;wsp:rsid wsp:val=&quot;00723360&quot;/&gt;&lt;wsp:rsid wsp:val=&quot;007234D9&quot;/&gt;&lt;wsp:rsid wsp:val=&quot;00723698&quot;/&gt;&lt;wsp:rsid wsp:val=&quot;00723858&quot;/&gt;&lt;wsp:rsid wsp:val=&quot;00723DB1&quot;/&gt;&lt;wsp:rsid wsp:val=&quot;00724343&quot;/&gt;&lt;wsp:rsid wsp:val=&quot;007247BE&quot;/&gt;&lt;wsp:rsid wsp:val=&quot;007248AD&quot;/&gt;&lt;wsp:rsid wsp:val=&quot;00724F79&quot;/&gt;&lt;wsp:rsid wsp:val=&quot;00725728&quot;/&gt;&lt;wsp:rsid wsp:val=&quot;007258DE&quot;/&gt;&lt;wsp:rsid wsp:val=&quot;00725C8F&quot;/&gt;&lt;wsp:rsid wsp:val=&quot;00725CB7&quot;/&gt;&lt;wsp:rsid wsp:val=&quot;00726540&quot;/&gt;&lt;wsp:rsid wsp:val=&quot;00726643&quot;/&gt;&lt;wsp:rsid wsp:val=&quot;00726775&quot;/&gt;&lt;wsp:rsid wsp:val=&quot;00726832&quot;/&gt;&lt;wsp:rsid wsp:val=&quot;00726C96&quot;/&gt;&lt;wsp:rsid wsp:val=&quot;00726DEE&quot;/&gt;&lt;wsp:rsid wsp:val=&quot;00726F22&quot;/&gt;&lt;wsp:rsid wsp:val=&quot;0072712D&quot;/&gt;&lt;wsp:rsid wsp:val=&quot;007276D4&quot;/&gt;&lt;wsp:rsid wsp:val=&quot;00727975&quot;/&gt;&lt;wsp:rsid wsp:val=&quot;00727D72&quot;/&gt;&lt;wsp:rsid wsp:val=&quot;00727E44&quot;/&gt;&lt;wsp:rsid wsp:val=&quot;0073045A&quot;/&gt;&lt;wsp:rsid wsp:val=&quot;00730487&quot;/&gt;&lt;wsp:rsid wsp:val=&quot;00730527&quot;/&gt;&lt;wsp:rsid wsp:val=&quot;00730CE2&quot;/&gt;&lt;wsp:rsid wsp:val=&quot;00731069&quot;/&gt;&lt;wsp:rsid wsp:val=&quot;0073158E&quot;/&gt;&lt;wsp:rsid wsp:val=&quot;007316AC&quot;/&gt;&lt;wsp:rsid wsp:val=&quot;00731AB7&quot;/&gt;&lt;wsp:rsid wsp:val=&quot;00731DBA&quot;/&gt;&lt;wsp:rsid wsp:val=&quot;00732375&quot;/&gt;&lt;wsp:rsid wsp:val=&quot;00732535&quot;/&gt;&lt;wsp:rsid wsp:val=&quot;007328C7&quot;/&gt;&lt;wsp:rsid wsp:val=&quot;00732A0B&quot;/&gt;&lt;wsp:rsid wsp:val=&quot;00732AA4&quot;/&gt;&lt;wsp:rsid wsp:val=&quot;00732D14&quot;/&gt;&lt;wsp:rsid wsp:val=&quot;00732ED4&quot;/&gt;&lt;wsp:rsid wsp:val=&quot;007333B4&quot;/&gt;&lt;wsp:rsid wsp:val=&quot;0073364D&quot;/&gt;&lt;wsp:rsid wsp:val=&quot;007336CF&quot;/&gt;&lt;wsp:rsid wsp:val=&quot;00733801&quot;/&gt;&lt;wsp:rsid wsp:val=&quot;00733804&quot;/&gt;&lt;wsp:rsid wsp:val=&quot;00733C32&quot;/&gt;&lt;wsp:rsid wsp:val=&quot;00733D0E&quot;/&gt;&lt;wsp:rsid wsp:val=&quot;00734556&quot;/&gt;&lt;wsp:rsid wsp:val=&quot;0073475A&quot;/&gt;&lt;wsp:rsid wsp:val=&quot;0073476E&quot;/&gt;&lt;wsp:rsid wsp:val=&quot;00734850&quot;/&gt;&lt;wsp:rsid wsp:val=&quot;00734ADF&quot;/&gt;&lt;wsp:rsid wsp:val=&quot;00734E89&quot;/&gt;&lt;wsp:rsid wsp:val=&quot;00734F23&quot;/&gt;&lt;wsp:rsid wsp:val=&quot;0073530E&quot;/&gt;&lt;wsp:rsid wsp:val=&quot;00735DB4&quot;/&gt;&lt;wsp:rsid wsp:val=&quot;00735DE3&quot;/&gt;&lt;wsp:rsid wsp:val=&quot;00736038&quot;/&gt;&lt;wsp:rsid wsp:val=&quot;007362F7&quot;/&gt;&lt;wsp:rsid wsp:val=&quot;0073654D&quot;/&gt;&lt;wsp:rsid wsp:val=&quot;007365A5&quot;/&gt;&lt;wsp:rsid wsp:val=&quot;007369BB&quot;/&gt;&lt;wsp:rsid wsp:val=&quot;007369C1&quot;/&gt;&lt;wsp:rsid wsp:val=&quot;007369D0&quot;/&gt;&lt;wsp:rsid wsp:val=&quot;00736A59&quot;/&gt;&lt;wsp:rsid wsp:val=&quot;0073718A&quot;/&gt;&lt;wsp:rsid wsp:val=&quot;007372BD&quot;/&gt;&lt;wsp:rsid wsp:val=&quot;007372F8&quot;/&gt;&lt;wsp:rsid wsp:val=&quot;007375D7&quot;/&gt;&lt;wsp:rsid wsp:val=&quot;007378B2&quot;/&gt;&lt;wsp:rsid wsp:val=&quot;007378FC&quot;/&gt;&lt;wsp:rsid wsp:val=&quot;00737A1C&quot;/&gt;&lt;wsp:rsid wsp:val=&quot;00737D10&quot;/&gt;&lt;wsp:rsid wsp:val=&quot;00737E00&quot;/&gt;&lt;wsp:rsid wsp:val=&quot;0074009A&quot;/&gt;&lt;wsp:rsid wsp:val=&quot;007401BD&quot;/&gt;&lt;wsp:rsid wsp:val=&quot;00740293&quot;/&gt;&lt;wsp:rsid wsp:val=&quot;00740509&quot;/&gt;&lt;wsp:rsid wsp:val=&quot;00740A70&quot;/&gt;&lt;wsp:rsid wsp:val=&quot;00740CF5&quot;/&gt;&lt;wsp:rsid wsp:val=&quot;007410A8&quot;/&gt;&lt;wsp:rsid wsp:val=&quot;0074117D&quot;/&gt;&lt;wsp:rsid wsp:val=&quot;0074170F&quot;/&gt;&lt;wsp:rsid wsp:val=&quot;007423C7&quot;/&gt;&lt;wsp:rsid wsp:val=&quot;00742573&quot;/&gt;&lt;wsp:rsid wsp:val=&quot;00742AE6&quot;/&gt;&lt;wsp:rsid wsp:val=&quot;00742F23&quot;/&gt;&lt;wsp:rsid wsp:val=&quot;00743205&quot;/&gt;&lt;wsp:rsid wsp:val=&quot;007432C3&quot;/&gt;&lt;wsp:rsid wsp:val=&quot;007436C2&quot;/&gt;&lt;wsp:rsid wsp:val=&quot;00743C1C&quot;/&gt;&lt;wsp:rsid wsp:val=&quot;00744224&quot;/&gt;&lt;wsp:rsid wsp:val=&quot;0074458F&quot;/&gt;&lt;wsp:rsid wsp:val=&quot;00744599&quot;/&gt;&lt;wsp:rsid wsp:val=&quot;0074542A&quot;/&gt;&lt;wsp:rsid wsp:val=&quot;007456B3&quot;/&gt;&lt;wsp:rsid wsp:val=&quot;00745A90&quot;/&gt;&lt;wsp:rsid wsp:val=&quot;00745BB5&quot;/&gt;&lt;wsp:rsid wsp:val=&quot;00745C45&quot;/&gt;&lt;wsp:rsid wsp:val=&quot;00745E43&quot;/&gt;&lt;wsp:rsid wsp:val=&quot;00745E84&quot;/&gt;&lt;wsp:rsid wsp:val=&quot;0074606C&quot;/&gt;&lt;wsp:rsid wsp:val=&quot;00746235&quot;/&gt;&lt;wsp:rsid wsp:val=&quot;007462D6&quot;/&gt;&lt;wsp:rsid wsp:val=&quot;0074641C&quot;/&gt;&lt;wsp:rsid wsp:val=&quot;00746441&quot;/&gt;&lt;wsp:rsid wsp:val=&quot;00746896&quot;/&gt;&lt;wsp:rsid wsp:val=&quot;0074697A&quot;/&gt;&lt;wsp:rsid wsp:val=&quot;00746AD9&quot;/&gt;&lt;wsp:rsid wsp:val=&quot;00747900&quot;/&gt;&lt;wsp:rsid wsp:val=&quot;00747BCE&quot;/&gt;&lt;wsp:rsid wsp:val=&quot;00747E96&quot;/&gt;&lt;wsp:rsid wsp:val=&quot;0075014A&quot;/&gt;&lt;wsp:rsid wsp:val=&quot;007508DC&quot;/&gt;&lt;wsp:rsid wsp:val=&quot;0075112E&quot;/&gt;&lt;wsp:rsid wsp:val=&quot;00751224&quot;/&gt;&lt;wsp:rsid wsp:val=&quot;007512C6&quot;/&gt;&lt;wsp:rsid wsp:val=&quot;00751394&quot;/&gt;&lt;wsp:rsid wsp:val=&quot;007513EF&quot;/&gt;&lt;wsp:rsid wsp:val=&quot;00751753&quot;/&gt;&lt;wsp:rsid wsp:val=&quot;00751B06&quot;/&gt;&lt;wsp:rsid wsp:val=&quot;00751C38&quot;/&gt;&lt;wsp:rsid wsp:val=&quot;00752BAE&quot;/&gt;&lt;wsp:rsid wsp:val=&quot;00752D85&quot;/&gt;&lt;wsp:rsid wsp:val=&quot;0075302E&quot;/&gt;&lt;wsp:rsid wsp:val=&quot;007536D0&quot;/&gt;&lt;wsp:rsid wsp:val=&quot;00753B06&quot;/&gt;&lt;wsp:rsid wsp:val=&quot;00753B30&quot;/&gt;&lt;wsp:rsid wsp:val=&quot;00753F1B&quot;/&gt;&lt;wsp:rsid wsp:val=&quot;00754243&quot;/&gt;&lt;wsp:rsid wsp:val=&quot;00754335&quot;/&gt;&lt;wsp:rsid wsp:val=&quot;00754F43&quot;/&gt;&lt;wsp:rsid wsp:val=&quot;00755225&quot;/&gt;&lt;wsp:rsid wsp:val=&quot;007554A3&quot;/&gt;&lt;wsp:rsid wsp:val=&quot;00755B84&quot;/&gt;&lt;wsp:rsid wsp:val=&quot;00755D24&quot;/&gt;&lt;wsp:rsid wsp:val=&quot;00756554&quot;/&gt;&lt;wsp:rsid wsp:val=&quot;00756F92&quot;/&gt;&lt;wsp:rsid wsp:val=&quot;00757024&quot;/&gt;&lt;wsp:rsid wsp:val=&quot;007571C5&quot;/&gt;&lt;wsp:rsid wsp:val=&quot;00757301&quot;/&gt;&lt;wsp:rsid wsp:val=&quot;0075733E&quot;/&gt;&lt;wsp:rsid wsp:val=&quot;00757D6C&quot;/&gt;&lt;wsp:rsid wsp:val=&quot;00757E2A&quot;/&gt;&lt;wsp:rsid wsp:val=&quot;00757E50&quot;/&gt;&lt;wsp:rsid wsp:val=&quot;0076005D&quot;/&gt;&lt;wsp:rsid wsp:val=&quot;00760420&quot;/&gt;&lt;wsp:rsid wsp:val=&quot;00760BD6&quot;/&gt;&lt;wsp:rsid wsp:val=&quot;00760BE7&quot;/&gt;&lt;wsp:rsid wsp:val=&quot;00760CE4&quot;/&gt;&lt;wsp:rsid wsp:val=&quot;00760EDD&quot;/&gt;&lt;wsp:rsid wsp:val=&quot;00761063&quot;/&gt;&lt;wsp:rsid wsp:val=&quot;00761912&quot;/&gt;&lt;wsp:rsid wsp:val=&quot;00761B07&quot;/&gt;&lt;wsp:rsid wsp:val=&quot;00761F1D&quot;/&gt;&lt;wsp:rsid wsp:val=&quot;00761FED&quot;/&gt;&lt;wsp:rsid wsp:val=&quot;0076227B&quot;/&gt;&lt;wsp:rsid wsp:val=&quot;00762318&quot;/&gt;&lt;wsp:rsid wsp:val=&quot;007623C9&quot;/&gt;&lt;wsp:rsid wsp:val=&quot;0076240E&quot;/&gt;&lt;wsp:rsid wsp:val=&quot;00762612&quot;/&gt;&lt;wsp:rsid wsp:val=&quot;00762CA7&quot;/&gt;&lt;wsp:rsid wsp:val=&quot;00762CF6&quot;/&gt;&lt;wsp:rsid wsp:val=&quot;00762ED6&quot;/&gt;&lt;wsp:rsid wsp:val=&quot;00763055&quot;/&gt;&lt;wsp:rsid wsp:val=&quot;00763252&quot;/&gt;&lt;wsp:rsid wsp:val=&quot;00763A2C&quot;/&gt;&lt;wsp:rsid wsp:val=&quot;00763B3C&quot;/&gt;&lt;wsp:rsid wsp:val=&quot;00763BC7&quot;/&gt;&lt;wsp:rsid wsp:val=&quot;00763D97&quot;/&gt;&lt;wsp:rsid wsp:val=&quot;00763F9F&quot;/&gt;&lt;wsp:rsid wsp:val=&quot;0076423F&quot;/&gt;&lt;wsp:rsid wsp:val=&quot;007643C0&quot;/&gt;&lt;wsp:rsid wsp:val=&quot;007643C5&quot;/&gt;&lt;wsp:rsid wsp:val=&quot;007646D3&quot;/&gt;&lt;wsp:rsid wsp:val=&quot;00764701&quot;/&gt;&lt;wsp:rsid wsp:val=&quot;00764862&quot;/&gt;&lt;wsp:rsid wsp:val=&quot;00764A8F&quot;/&gt;&lt;wsp:rsid wsp:val=&quot;00764B34&quot;/&gt;&lt;wsp:rsid wsp:val=&quot;00764C33&quot;/&gt;&lt;wsp:rsid wsp:val=&quot;00764D51&quot;/&gt;&lt;wsp:rsid wsp:val=&quot;00764D91&quot;/&gt;&lt;wsp:rsid wsp:val=&quot;00764DD5&quot;/&gt;&lt;wsp:rsid wsp:val=&quot;00764E3F&quot;/&gt;&lt;wsp:rsid wsp:val=&quot;00764FCE&quot;/&gt;&lt;wsp:rsid wsp:val=&quot;0076556F&quot;/&gt;&lt;wsp:rsid wsp:val=&quot;00765719&quot;/&gt;&lt;wsp:rsid wsp:val=&quot;00765832&quot;/&gt;&lt;wsp:rsid wsp:val=&quot;0076596A&quot;/&gt;&lt;wsp:rsid wsp:val=&quot;00765DBC&quot;/&gt;&lt;wsp:rsid wsp:val=&quot;0076670C&quot;/&gt;&lt;wsp:rsid wsp:val=&quot;00766EFE&quot;/&gt;&lt;wsp:rsid wsp:val=&quot;00767339&quot;/&gt;&lt;wsp:rsid wsp:val=&quot;00767E15&quot;/&gt;&lt;wsp:rsid wsp:val=&quot;00767EF4&quot;/&gt;&lt;wsp:rsid wsp:val=&quot;0077003D&quot;/&gt;&lt;wsp:rsid wsp:val=&quot;007708BC&quot;/&gt;&lt;wsp:rsid wsp:val=&quot;007712D3&quot;/&gt;&lt;wsp:rsid wsp:val=&quot;007713CB&quot;/&gt;&lt;wsp:rsid wsp:val=&quot;0077174E&quot;/&gt;&lt;wsp:rsid wsp:val=&quot;00771AE3&quot;/&gt;&lt;wsp:rsid wsp:val=&quot;00771B46&quot;/&gt;&lt;wsp:rsid wsp:val=&quot;0077205B&quot;/&gt;&lt;wsp:rsid wsp:val=&quot;007722DE&quot;/&gt;&lt;wsp:rsid wsp:val=&quot;00772770&quot;/&gt;&lt;wsp:rsid wsp:val=&quot;00772A5D&quot;/&gt;&lt;wsp:rsid wsp:val=&quot;00772B4D&quot;/&gt;&lt;wsp:rsid wsp:val=&quot;00772EF5&quot;/&gt;&lt;wsp:rsid wsp:val=&quot;0077325B&quot;/&gt;&lt;wsp:rsid wsp:val=&quot;007733FF&quot;/&gt;&lt;wsp:rsid wsp:val=&quot;0077341D&quot;/&gt;&lt;wsp:rsid wsp:val=&quot;007735EF&quot;/&gt;&lt;wsp:rsid wsp:val=&quot;0077368F&quot;/&gt;&lt;wsp:rsid wsp:val=&quot;007736B1&quot;/&gt;&lt;wsp:rsid wsp:val=&quot;007737C1&quot;/&gt;&lt;wsp:rsid wsp:val=&quot;00773CB5&quot;/&gt;&lt;wsp:rsid wsp:val=&quot;00773EE9&quot;/&gt;&lt;wsp:rsid wsp:val=&quot;00773F92&quot;/&gt;&lt;wsp:rsid wsp:val=&quot;00773FB6&quot;/&gt;&lt;wsp:rsid wsp:val=&quot;0077401E&quot;/&gt;&lt;wsp:rsid wsp:val=&quot;00774436&quot;/&gt;&lt;wsp:rsid wsp:val=&quot;00774BC0&quot;/&gt;&lt;wsp:rsid wsp:val=&quot;00774D56&quot;/&gt;&lt;wsp:rsid wsp:val=&quot;007750CC&quot;/&gt;&lt;wsp:rsid wsp:val=&quot;0077534F&quot;/&gt;&lt;wsp:rsid wsp:val=&quot;00775784&quot;/&gt;&lt;wsp:rsid wsp:val=&quot;007758D1&quot;/&gt;&lt;wsp:rsid wsp:val=&quot;00775A32&quot;/&gt;&lt;wsp:rsid wsp:val=&quot;00775AAA&quot;/&gt;&lt;wsp:rsid wsp:val=&quot;00775E17&quot;/&gt;&lt;wsp:rsid wsp:val=&quot;00775FE1&quot;/&gt;&lt;wsp:rsid wsp:val=&quot;00776037&quot;/&gt;&lt;wsp:rsid wsp:val=&quot;00776370&quot;/&gt;&lt;wsp:rsid wsp:val=&quot;007766CF&quot;/&gt;&lt;wsp:rsid wsp:val=&quot;00776D5E&quot;/&gt;&lt;wsp:rsid wsp:val=&quot;00776D66&quot;/&gt;&lt;wsp:rsid wsp:val=&quot;00777421&quot;/&gt;&lt;wsp:rsid wsp:val=&quot;007777D9&quot;/&gt;&lt;wsp:rsid wsp:val=&quot;007777EA&quot;/&gt;&lt;wsp:rsid wsp:val=&quot;007801B0&quot;/&gt;&lt;wsp:rsid wsp:val=&quot;007803DE&quot;/&gt;&lt;wsp:rsid wsp:val=&quot;00780725&quot;/&gt;&lt;wsp:rsid wsp:val=&quot;00780C90&quot;/&gt;&lt;wsp:rsid wsp:val=&quot;00780F45&quot;/&gt;&lt;wsp:rsid wsp:val=&quot;00780F93&quot;/&gt;&lt;wsp:rsid wsp:val=&quot;00781180&quot;/&gt;&lt;wsp:rsid wsp:val=&quot;007812D4&quot;/&gt;&lt;wsp:rsid wsp:val=&quot;0078134A&quot;/&gt;&lt;wsp:rsid wsp:val=&quot;00781E85&quot;/&gt;&lt;wsp:rsid wsp:val=&quot;007822F1&quot;/&gt;&lt;wsp:rsid wsp:val=&quot;007825AC&quot;/&gt;&lt;wsp:rsid wsp:val=&quot;0078282E&quot;/&gt;&lt;wsp:rsid wsp:val=&quot;0078289F&quot;/&gt;&lt;wsp:rsid wsp:val=&quot;00782E11&quot;/&gt;&lt;wsp:rsid wsp:val=&quot;0078331E&quot;/&gt;&lt;wsp:rsid wsp:val=&quot;00783528&quot;/&gt;&lt;wsp:rsid wsp:val=&quot;0078376F&quot;/&gt;&lt;wsp:rsid wsp:val=&quot;007839B8&quot;/&gt;&lt;wsp:rsid wsp:val=&quot;007847FD&quot;/&gt;&lt;wsp:rsid wsp:val=&quot;0078487F&quot;/&gt;&lt;wsp:rsid wsp:val=&quot;00784AAE&quot;/&gt;&lt;wsp:rsid wsp:val=&quot;007850AF&quot;/&gt;&lt;wsp:rsid wsp:val=&quot;0078552C&quot;/&gt;&lt;wsp:rsid wsp:val=&quot;00785862&quot;/&gt;&lt;wsp:rsid wsp:val=&quot;00785AA9&quot;/&gt;&lt;wsp:rsid wsp:val=&quot;00785AD3&quot;/&gt;&lt;wsp:rsid wsp:val=&quot;00785DA7&quot;/&gt;&lt;wsp:rsid wsp:val=&quot;00785F57&quot;/&gt;&lt;wsp:rsid wsp:val=&quot;00786231&quot;/&gt;&lt;wsp:rsid wsp:val=&quot;00786707&quot;/&gt;&lt;wsp:rsid wsp:val=&quot;00786A04&quot;/&gt;&lt;wsp:rsid wsp:val=&quot;00786BB2&quot;/&gt;&lt;wsp:rsid wsp:val=&quot;00787174&quot;/&gt;&lt;wsp:rsid wsp:val=&quot;007872C0&quot;/&gt;&lt;wsp:rsid wsp:val=&quot;00787318&quot;/&gt;&lt;wsp:rsid wsp:val=&quot;00787440&quot;/&gt;&lt;wsp:rsid wsp:val=&quot;00787935&quot;/&gt;&lt;wsp:rsid wsp:val=&quot;00787A5A&quot;/&gt;&lt;wsp:rsid wsp:val=&quot;00787E07&quot;/&gt;&lt;wsp:rsid wsp:val=&quot;007903D7&quot;/&gt;&lt;wsp:rsid wsp:val=&quot;007907DA&quot;/&gt;&lt;wsp:rsid wsp:val=&quot;00790922&quot;/&gt;&lt;wsp:rsid wsp:val=&quot;00790AD6&quot;/&gt;&lt;wsp:rsid wsp:val=&quot;00790B02&quot;/&gt;&lt;wsp:rsid wsp:val=&quot;00790E0B&quot;/&gt;&lt;wsp:rsid wsp:val=&quot;00791069&quot;/&gt;&lt;wsp:rsid wsp:val=&quot;007922A2&quot;/&gt;&lt;wsp:rsid wsp:val=&quot;00792975&quot;/&gt;&lt;wsp:rsid wsp:val=&quot;00792A32&quot;/&gt;&lt;wsp:rsid wsp:val=&quot;00792BE9&quot;/&gt;&lt;wsp:rsid wsp:val=&quot;00792C66&quot;/&gt;&lt;wsp:rsid wsp:val=&quot;00792F7E&quot;/&gt;&lt;wsp:rsid wsp:val=&quot;00792FEE&quot;/&gt;&lt;wsp:rsid wsp:val=&quot;0079373C&quot;/&gt;&lt;wsp:rsid wsp:val=&quot;00793773&quot;/&gt;&lt;wsp:rsid wsp:val=&quot;00793DA9&quot;/&gt;&lt;wsp:rsid wsp:val=&quot;00794559&quot;/&gt;&lt;wsp:rsid wsp:val=&quot;0079487B&quot;/&gt;&lt;wsp:rsid wsp:val=&quot;00794BC0&quot;/&gt;&lt;wsp:rsid wsp:val=&quot;00794BEC&quot;/&gt;&lt;wsp:rsid wsp:val=&quot;00794EF8&quot;/&gt;&lt;wsp:rsid wsp:val=&quot;00795215&quot;/&gt;&lt;wsp:rsid wsp:val=&quot;0079539F&quot;/&gt;&lt;wsp:rsid wsp:val=&quot;00795433&quot;/&gt;&lt;wsp:rsid wsp:val=&quot;0079573F&quot;/&gt;&lt;wsp:rsid wsp:val=&quot;00795EF8&quot;/&gt;&lt;wsp:rsid wsp:val=&quot;0079662D&quot;/&gt;&lt;wsp:rsid wsp:val=&quot;00796954&quot;/&gt;&lt;wsp:rsid wsp:val=&quot;007969A1&quot;/&gt;&lt;wsp:rsid wsp:val=&quot;00797587&quot;/&gt;&lt;wsp:rsid wsp:val=&quot;0079772A&quot;/&gt;&lt;wsp:rsid wsp:val=&quot;007977EE&quot;/&gt;&lt;wsp:rsid wsp:val=&quot;007A03CB&quot;/&gt;&lt;wsp:rsid wsp:val=&quot;007A046B&quot;/&gt;&lt;wsp:rsid wsp:val=&quot;007A0493&quot;/&gt;&lt;wsp:rsid wsp:val=&quot;007A0658&quot;/&gt;&lt;wsp:rsid wsp:val=&quot;007A0677&quot;/&gt;&lt;wsp:rsid wsp:val=&quot;007A19BF&quot;/&gt;&lt;wsp:rsid wsp:val=&quot;007A1CE1&quot;/&gt;&lt;wsp:rsid wsp:val=&quot;007A209B&quot;/&gt;&lt;wsp:rsid wsp:val=&quot;007A24DC&quot;/&gt;&lt;wsp:rsid wsp:val=&quot;007A29D5&quot;/&gt;&lt;wsp:rsid wsp:val=&quot;007A2AFD&quot;/&gt;&lt;wsp:rsid wsp:val=&quot;007A2E34&quot;/&gt;&lt;wsp:rsid wsp:val=&quot;007A2F54&quot;/&gt;&lt;wsp:rsid wsp:val=&quot;007A340D&quot;/&gt;&lt;wsp:rsid wsp:val=&quot;007A3481&quot;/&gt;&lt;wsp:rsid wsp:val=&quot;007A353A&quot;/&gt;&lt;wsp:rsid wsp:val=&quot;007A39E2&quot;/&gt;&lt;wsp:rsid wsp:val=&quot;007A3A60&quot;/&gt;&lt;wsp:rsid wsp:val=&quot;007A3C15&quot;/&gt;&lt;wsp:rsid wsp:val=&quot;007A4178&quot;/&gt;&lt;wsp:rsid wsp:val=&quot;007A435C&quot;/&gt;&lt;wsp:rsid wsp:val=&quot;007A586B&quot;/&gt;&lt;wsp:rsid wsp:val=&quot;007A6453&quot;/&gt;&lt;wsp:rsid wsp:val=&quot;007A677B&quot;/&gt;&lt;wsp:rsid wsp:val=&quot;007A6A0B&quot;/&gt;&lt;wsp:rsid wsp:val=&quot;007A6E31&quot;/&gt;&lt;wsp:rsid wsp:val=&quot;007A6FE8&quot;/&gt;&lt;wsp:rsid wsp:val=&quot;007A72AA&quot;/&gt;&lt;wsp:rsid wsp:val=&quot;007A72EC&quot;/&gt;&lt;wsp:rsid wsp:val=&quot;007A73A7&quot;/&gt;&lt;wsp:rsid wsp:val=&quot;007A7A17&quot;/&gt;&lt;wsp:rsid wsp:val=&quot;007A7B90&quot;/&gt;&lt;wsp:rsid wsp:val=&quot;007B019A&quot;/&gt;&lt;wsp:rsid wsp:val=&quot;007B0610&quot;/&gt;&lt;wsp:rsid wsp:val=&quot;007B07BD&quot;/&gt;&lt;wsp:rsid wsp:val=&quot;007B0814&quot;/&gt;&lt;wsp:rsid wsp:val=&quot;007B0ABE&quot;/&gt;&lt;wsp:rsid wsp:val=&quot;007B16A9&quot;/&gt;&lt;wsp:rsid wsp:val=&quot;007B211A&quot;/&gt;&lt;wsp:rsid wsp:val=&quot;007B2583&quot;/&gt;&lt;wsp:rsid wsp:val=&quot;007B275C&quot;/&gt;&lt;wsp:rsid wsp:val=&quot;007B307E&quot;/&gt;&lt;wsp:rsid wsp:val=&quot;007B33FF&quot;/&gt;&lt;wsp:rsid wsp:val=&quot;007B3610&quot;/&gt;&lt;wsp:rsid wsp:val=&quot;007B38D1&quot;/&gt;&lt;wsp:rsid wsp:val=&quot;007B3B6A&quot;/&gt;&lt;wsp:rsid wsp:val=&quot;007B3BDC&quot;/&gt;&lt;wsp:rsid wsp:val=&quot;007B3F99&quot;/&gt;&lt;wsp:rsid wsp:val=&quot;007B42E4&quot;/&gt;&lt;wsp:rsid wsp:val=&quot;007B50D5&quot;/&gt;&lt;wsp:rsid wsp:val=&quot;007B50D6&quot;/&gt;&lt;wsp:rsid wsp:val=&quot;007B5141&quot;/&gt;&lt;wsp:rsid wsp:val=&quot;007B5358&quot;/&gt;&lt;wsp:rsid wsp:val=&quot;007B54A0&quot;/&gt;&lt;wsp:rsid wsp:val=&quot;007B580B&quot;/&gt;&lt;wsp:rsid wsp:val=&quot;007B5B44&quot;/&gt;&lt;wsp:rsid wsp:val=&quot;007B5E24&quot;/&gt;&lt;wsp:rsid wsp:val=&quot;007B69CA&quot;/&gt;&lt;wsp:rsid wsp:val=&quot;007B6B46&quot;/&gt;&lt;wsp:rsid wsp:val=&quot;007B741A&quot;/&gt;&lt;wsp:rsid wsp:val=&quot;007B771F&quot;/&gt;&lt;wsp:rsid wsp:val=&quot;007B7D7F&quot;/&gt;&lt;wsp:rsid wsp:val=&quot;007B7E7D&quot;/&gt;&lt;wsp:rsid wsp:val=&quot;007B7FCB&quot;/&gt;&lt;wsp:rsid wsp:val=&quot;007C0CFB&quot;/&gt;&lt;wsp:rsid wsp:val=&quot;007C0FF4&quot;/&gt;&lt;wsp:rsid wsp:val=&quot;007C11C8&quot;/&gt;&lt;wsp:rsid wsp:val=&quot;007C1591&quot;/&gt;&lt;wsp:rsid wsp:val=&quot;007C20DB&quot;/&gt;&lt;wsp:rsid wsp:val=&quot;007C23CA&quot;/&gt;&lt;wsp:rsid wsp:val=&quot;007C29E7&quot;/&gt;&lt;wsp:rsid wsp:val=&quot;007C2ECB&quot;/&gt;&lt;wsp:rsid wsp:val=&quot;007C2EEE&quot;/&gt;&lt;wsp:rsid wsp:val=&quot;007C32BA&quot;/&gt;&lt;wsp:rsid wsp:val=&quot;007C3367&quot;/&gt;&lt;wsp:rsid wsp:val=&quot;007C364E&quot;/&gt;&lt;wsp:rsid wsp:val=&quot;007C36B1&quot;/&gt;&lt;wsp:rsid wsp:val=&quot;007C3722&quot;/&gt;&lt;wsp:rsid wsp:val=&quot;007C3747&quot;/&gt;&lt;wsp:rsid wsp:val=&quot;007C38D9&quot;/&gt;&lt;wsp:rsid wsp:val=&quot;007C3DE5&quot;/&gt;&lt;wsp:rsid wsp:val=&quot;007C4074&quot;/&gt;&lt;wsp:rsid wsp:val=&quot;007C4F5A&quot;/&gt;&lt;wsp:rsid wsp:val=&quot;007C50F4&quot;/&gt;&lt;wsp:rsid wsp:val=&quot;007C5200&quot;/&gt;&lt;wsp:rsid wsp:val=&quot;007C5581&quot;/&gt;&lt;wsp:rsid wsp:val=&quot;007C5732&quot;/&gt;&lt;wsp:rsid wsp:val=&quot;007C5A5A&quot;/&gt;&lt;wsp:rsid wsp:val=&quot;007C5DA4&quot;/&gt;&lt;wsp:rsid wsp:val=&quot;007C5DD1&quot;/&gt;&lt;wsp:rsid wsp:val=&quot;007C6326&quot;/&gt;&lt;wsp:rsid wsp:val=&quot;007C684E&quot;/&gt;&lt;wsp:rsid wsp:val=&quot;007C6C41&quot;/&gt;&lt;wsp:rsid wsp:val=&quot;007C72F0&quot;/&gt;&lt;wsp:rsid wsp:val=&quot;007C73BA&quot;/&gt;&lt;wsp:rsid wsp:val=&quot;007C7797&quot;/&gt;&lt;wsp:rsid wsp:val=&quot;007C7A6B&quot;/&gt;&lt;wsp:rsid wsp:val=&quot;007C7C0D&quot;/&gt;&lt;wsp:rsid wsp:val=&quot;007D0152&quot;/&gt;&lt;wsp:rsid wsp:val=&quot;007D0A4F&quot;/&gt;&lt;wsp:rsid wsp:val=&quot;007D0CEE&quot;/&gt;&lt;wsp:rsid wsp:val=&quot;007D0E99&quot;/&gt;&lt;wsp:rsid wsp:val=&quot;007D0EC3&quot;/&gt;&lt;wsp:rsid wsp:val=&quot;007D124F&quot;/&gt;&lt;wsp:rsid wsp:val=&quot;007D12C0&quot;/&gt;&lt;wsp:rsid wsp:val=&quot;007D150B&quot;/&gt;&lt;wsp:rsid wsp:val=&quot;007D1607&quot;/&gt;&lt;wsp:rsid wsp:val=&quot;007D1645&quot;/&gt;&lt;wsp:rsid wsp:val=&quot;007D18E0&quot;/&gt;&lt;wsp:rsid wsp:val=&quot;007D1BC1&quot;/&gt;&lt;wsp:rsid wsp:val=&quot;007D1C66&quot;/&gt;&lt;wsp:rsid wsp:val=&quot;007D1CC7&quot;/&gt;&lt;wsp:rsid wsp:val=&quot;007D1CFA&quot;/&gt;&lt;wsp:rsid wsp:val=&quot;007D1E39&quot;/&gt;&lt;wsp:rsid wsp:val=&quot;007D2240&quot;/&gt;&lt;wsp:rsid wsp:val=&quot;007D22B0&quot;/&gt;&lt;wsp:rsid wsp:val=&quot;007D2504&quot;/&gt;&lt;wsp:rsid wsp:val=&quot;007D279A&quot;/&gt;&lt;wsp:rsid wsp:val=&quot;007D2ABA&quot;/&gt;&lt;wsp:rsid wsp:val=&quot;007D2ADC&quot;/&gt;&lt;wsp:rsid wsp:val=&quot;007D2D26&quot;/&gt;&lt;wsp:rsid wsp:val=&quot;007D2EB8&quot;/&gt;&lt;wsp:rsid wsp:val=&quot;007D2EC6&quot;/&gt;&lt;wsp:rsid wsp:val=&quot;007D3264&quot;/&gt;&lt;wsp:rsid wsp:val=&quot;007D32FF&quot;/&gt;&lt;wsp:rsid wsp:val=&quot;007D375C&quot;/&gt;&lt;wsp:rsid wsp:val=&quot;007D3C9B&quot;/&gt;&lt;wsp:rsid wsp:val=&quot;007D409B&quot;/&gt;&lt;wsp:rsid wsp:val=&quot;007D41AB&quot;/&gt;&lt;wsp:rsid wsp:val=&quot;007D4587&quot;/&gt;&lt;wsp:rsid wsp:val=&quot;007D47CB&quot;/&gt;&lt;wsp:rsid wsp:val=&quot;007D4BC7&quot;/&gt;&lt;wsp:rsid wsp:val=&quot;007D4C39&quot;/&gt;&lt;wsp:rsid wsp:val=&quot;007D4D48&quot;/&gt;&lt;wsp:rsid wsp:val=&quot;007D4DA5&quot;/&gt;&lt;wsp:rsid wsp:val=&quot;007D5948&quot;/&gt;&lt;wsp:rsid wsp:val=&quot;007D5B4C&quot;/&gt;&lt;wsp:rsid wsp:val=&quot;007D5C25&quot;/&gt;&lt;wsp:rsid wsp:val=&quot;007D5D86&quot;/&gt;&lt;wsp:rsid wsp:val=&quot;007D5EA0&quot;/&gt;&lt;wsp:rsid wsp:val=&quot;007D5FDB&quot;/&gt;&lt;wsp:rsid wsp:val=&quot;007D627E&quot;/&gt;&lt;wsp:rsid wsp:val=&quot;007D62FD&quot;/&gt;&lt;wsp:rsid wsp:val=&quot;007D6494&quot;/&gt;&lt;wsp:rsid wsp:val=&quot;007D64A7&quot;/&gt;&lt;wsp:rsid wsp:val=&quot;007D6508&quot;/&gt;&lt;wsp:rsid wsp:val=&quot;007D6C21&quot;/&gt;&lt;wsp:rsid wsp:val=&quot;007D716E&quot;/&gt;&lt;wsp:rsid wsp:val=&quot;007D7ACF&quot;/&gt;&lt;wsp:rsid wsp:val=&quot;007D7BCF&quot;/&gt;&lt;wsp:rsid wsp:val=&quot;007E00E4&quot;/&gt;&lt;wsp:rsid wsp:val=&quot;007E0268&quot;/&gt;&lt;wsp:rsid wsp:val=&quot;007E060E&quot;/&gt;&lt;wsp:rsid wsp:val=&quot;007E087A&quot;/&gt;&lt;wsp:rsid wsp:val=&quot;007E0969&quot;/&gt;&lt;wsp:rsid wsp:val=&quot;007E09FA&quot;/&gt;&lt;wsp:rsid wsp:val=&quot;007E1244&quot;/&gt;&lt;wsp:rsid wsp:val=&quot;007E1A43&quot;/&gt;&lt;wsp:rsid wsp:val=&quot;007E1A52&quot;/&gt;&lt;wsp:rsid wsp:val=&quot;007E1ADE&quot;/&gt;&lt;wsp:rsid wsp:val=&quot;007E1D43&quot;/&gt;&lt;wsp:rsid wsp:val=&quot;007E1D4D&quot;/&gt;&lt;wsp:rsid wsp:val=&quot;007E2123&quot;/&gt;&lt;wsp:rsid wsp:val=&quot;007E241C&quot;/&gt;&lt;wsp:rsid wsp:val=&quot;007E2834&quot;/&gt;&lt;wsp:rsid wsp:val=&quot;007E2BC4&quot;/&gt;&lt;wsp:rsid wsp:val=&quot;007E2DA6&quot;/&gt;&lt;wsp:rsid wsp:val=&quot;007E2FA4&quot;/&gt;&lt;wsp:rsid wsp:val=&quot;007E30B9&quot;/&gt;&lt;wsp:rsid wsp:val=&quot;007E3370&quot;/&gt;&lt;wsp:rsid wsp:val=&quot;007E3593&quot;/&gt;&lt;wsp:rsid wsp:val=&quot;007E3686&quot;/&gt;&lt;wsp:rsid wsp:val=&quot;007E3EA5&quot;/&gt;&lt;wsp:rsid wsp:val=&quot;007E3F11&quot;/&gt;&lt;wsp:rsid wsp:val=&quot;007E3F9E&quot;/&gt;&lt;wsp:rsid wsp:val=&quot;007E47F7&quot;/&gt;&lt;wsp:rsid wsp:val=&quot;007E48E6&quot;/&gt;&lt;wsp:rsid wsp:val=&quot;007E4A75&quot;/&gt;&lt;wsp:rsid wsp:val=&quot;007E4A99&quot;/&gt;&lt;wsp:rsid wsp:val=&quot;007E4C83&quot;/&gt;&lt;wsp:rsid wsp:val=&quot;007E4FF9&quot;/&gt;&lt;wsp:rsid wsp:val=&quot;007E56C3&quot;/&gt;&lt;wsp:rsid wsp:val=&quot;007E5D09&quot;/&gt;&lt;wsp:rsid wsp:val=&quot;007E5D15&quot;/&gt;&lt;wsp:rsid wsp:val=&quot;007E60E4&quot;/&gt;&lt;wsp:rsid wsp:val=&quot;007E61AF&quot;/&gt;&lt;wsp:rsid wsp:val=&quot;007E61DC&quot;/&gt;&lt;wsp:rsid wsp:val=&quot;007E6348&quot;/&gt;&lt;wsp:rsid wsp:val=&quot;007E63EE&quot;/&gt;&lt;wsp:rsid wsp:val=&quot;007E64B8&quot;/&gt;&lt;wsp:rsid wsp:val=&quot;007E6716&quot;/&gt;&lt;wsp:rsid wsp:val=&quot;007E67E9&quot;/&gt;&lt;wsp:rsid wsp:val=&quot;007E6845&quot;/&gt;&lt;wsp:rsid wsp:val=&quot;007E684D&quot;/&gt;&lt;wsp:rsid wsp:val=&quot;007E6ADF&quot;/&gt;&lt;wsp:rsid wsp:val=&quot;007E6AFE&quot;/&gt;&lt;wsp:rsid wsp:val=&quot;007E6EC8&quot;/&gt;&lt;wsp:rsid wsp:val=&quot;007E710C&quot;/&gt;&lt;wsp:rsid wsp:val=&quot;007E72A0&quot;/&gt;&lt;wsp:rsid wsp:val=&quot;007E7602&quot;/&gt;&lt;wsp:rsid wsp:val=&quot;007E769B&quot;/&gt;&lt;wsp:rsid wsp:val=&quot;007E76D6&quot;/&gt;&lt;wsp:rsid wsp:val=&quot;007E775F&quot;/&gt;&lt;wsp:rsid wsp:val=&quot;007E7799&quot;/&gt;&lt;wsp:rsid wsp:val=&quot;007E7C3A&quot;/&gt;&lt;wsp:rsid wsp:val=&quot;007F0137&quot;/&gt;&lt;wsp:rsid wsp:val=&quot;007F0F44&quot;/&gt;&lt;wsp:rsid wsp:val=&quot;007F13C7&quot;/&gt;&lt;wsp:rsid wsp:val=&quot;007F13E5&quot;/&gt;&lt;wsp:rsid wsp:val=&quot;007F1C37&quot;/&gt;&lt;wsp:rsid wsp:val=&quot;007F1C87&quot;/&gt;&lt;wsp:rsid wsp:val=&quot;007F1EB8&quot;/&gt;&lt;wsp:rsid wsp:val=&quot;007F2148&quot;/&gt;&lt;wsp:rsid wsp:val=&quot;007F2178&quot;/&gt;&lt;wsp:rsid wsp:val=&quot;007F2329&quot;/&gt;&lt;wsp:rsid wsp:val=&quot;007F2475&quot;/&gt;&lt;wsp:rsid wsp:val=&quot;007F28FE&quot;/&gt;&lt;wsp:rsid wsp:val=&quot;007F2C05&quot;/&gt;&lt;wsp:rsid wsp:val=&quot;007F2F0B&quot;/&gt;&lt;wsp:rsid wsp:val=&quot;007F3061&quot;/&gt;&lt;wsp:rsid wsp:val=&quot;007F31BC&quot;/&gt;&lt;wsp:rsid wsp:val=&quot;007F34DE&quot;/&gt;&lt;wsp:rsid wsp:val=&quot;007F390A&quot;/&gt;&lt;wsp:rsid wsp:val=&quot;007F4472&quot;/&gt;&lt;wsp:rsid wsp:val=&quot;007F4B96&quot;/&gt;&lt;wsp:rsid wsp:val=&quot;007F4F74&quot;/&gt;&lt;wsp:rsid wsp:val=&quot;007F5177&quot;/&gt;&lt;wsp:rsid wsp:val=&quot;007F60E6&quot;/&gt;&lt;wsp:rsid wsp:val=&quot;007F6270&quot;/&gt;&lt;wsp:rsid wsp:val=&quot;007F6404&quot;/&gt;&lt;wsp:rsid wsp:val=&quot;007F718E&quot;/&gt;&lt;wsp:rsid wsp:val=&quot;007F771F&quot;/&gt;&lt;wsp:rsid wsp:val=&quot;007F7A4C&quot;/&gt;&lt;wsp:rsid wsp:val=&quot;008001D8&quot;/&gt;&lt;wsp:rsid wsp:val=&quot;008006A8&quot;/&gt;&lt;wsp:rsid wsp:val=&quot;00800BB8&quot;/&gt;&lt;wsp:rsid wsp:val=&quot;00800E2C&quot;/&gt;&lt;wsp:rsid wsp:val=&quot;00800F0F&quot;/&gt;&lt;wsp:rsid wsp:val=&quot;00801002&quot;/&gt;&lt;wsp:rsid wsp:val=&quot;00802450&quot;/&gt;&lt;wsp:rsid wsp:val=&quot;008025B5&quot;/&gt;&lt;wsp:rsid wsp:val=&quot;0080274C&quot;/&gt;&lt;wsp:rsid wsp:val=&quot;00802CB7&quot;/&gt;&lt;wsp:rsid wsp:val=&quot;00802CDF&quot;/&gt;&lt;wsp:rsid wsp:val=&quot;00802E4A&quot;/&gt;&lt;wsp:rsid wsp:val=&quot;00802EE9&quot;/&gt;&lt;wsp:rsid wsp:val=&quot;00803A2E&quot;/&gt;&lt;wsp:rsid wsp:val=&quot;00803FF4&quot;/&gt;&lt;wsp:rsid wsp:val=&quot;0080414C&quot;/&gt;&lt;wsp:rsid wsp:val=&quot;008041B4&quot;/&gt;&lt;wsp:rsid wsp:val=&quot;008043C2&quot;/&gt;&lt;wsp:rsid wsp:val=&quot;00804428&quot;/&gt;&lt;wsp:rsid wsp:val=&quot;00804761&quot;/&gt;&lt;wsp:rsid wsp:val=&quot;008047A2&quot;/&gt;&lt;wsp:rsid wsp:val=&quot;00804A49&quot;/&gt;&lt;wsp:rsid wsp:val=&quot;00804C46&quot;/&gt;&lt;wsp:rsid wsp:val=&quot;008050C6&quot;/&gt;&lt;wsp:rsid wsp:val=&quot;0080576A&quot;/&gt;&lt;wsp:rsid wsp:val=&quot;00805848&quot;/&gt;&lt;wsp:rsid wsp:val=&quot;00806065&quot;/&gt;&lt;wsp:rsid wsp:val=&quot;00806A5A&quot;/&gt;&lt;wsp:rsid wsp:val=&quot;008071B3&quot;/&gt;&lt;wsp:rsid wsp:val=&quot;00807212&quot;/&gt;&lt;wsp:rsid wsp:val=&quot;0080760F&quot;/&gt;&lt;wsp:rsid wsp:val=&quot;00807880&quot;/&gt;&lt;wsp:rsid wsp:val=&quot;00807C26&quot;/&gt;&lt;wsp:rsid wsp:val=&quot;00807F63&quot;/&gt;&lt;wsp:rsid wsp:val=&quot;00810315&quot;/&gt;&lt;wsp:rsid wsp:val=&quot;00810398&quot;/&gt;&lt;wsp:rsid wsp:val=&quot;00810414&quot;/&gt;&lt;wsp:rsid wsp:val=&quot;00810708&quot;/&gt;&lt;wsp:rsid wsp:val=&quot;008108F0&quot;/&gt;&lt;wsp:rsid wsp:val=&quot;008109F5&quot;/&gt;&lt;wsp:rsid wsp:val=&quot;00810C6B&quot;/&gt;&lt;wsp:rsid wsp:val=&quot;00811081&quot;/&gt;&lt;wsp:rsid wsp:val=&quot;008110E1&quot;/&gt;&lt;wsp:rsid wsp:val=&quot;00811601&quot;/&gt;&lt;wsp:rsid wsp:val=&quot;00811852&quot;/&gt;&lt;wsp:rsid wsp:val=&quot;00811902&quot;/&gt;&lt;wsp:rsid wsp:val=&quot;00811A43&quot;/&gt;&lt;wsp:rsid wsp:val=&quot;00811FE4&quot;/&gt;&lt;wsp:rsid wsp:val=&quot;00812170&quot;/&gt;&lt;wsp:rsid wsp:val=&quot;0081258B&quot;/&gt;&lt;wsp:rsid wsp:val=&quot;00812BBB&quot;/&gt;&lt;wsp:rsid wsp:val=&quot;00812C46&quot;/&gt;&lt;wsp:rsid wsp:val=&quot;00812CD9&quot;/&gt;&lt;wsp:rsid wsp:val=&quot;008132A5&quot;/&gt;&lt;wsp:rsid wsp:val=&quot;00813330&quot;/&gt;&lt;wsp:rsid wsp:val=&quot;00813361&quot;/&gt;&lt;wsp:rsid wsp:val=&quot;008134AA&quot;/&gt;&lt;wsp:rsid wsp:val=&quot;008137F2&quot;/&gt;&lt;wsp:rsid wsp:val=&quot;00813849&quot;/&gt;&lt;wsp:rsid wsp:val=&quot;00814082&quot;/&gt;&lt;wsp:rsid wsp:val=&quot;0081486F&quot;/&gt;&lt;wsp:rsid wsp:val=&quot;00814B3B&quot;/&gt;&lt;wsp:rsid wsp:val=&quot;00814B61&quot;/&gt;&lt;wsp:rsid wsp:val=&quot;00815174&quot;/&gt;&lt;wsp:rsid wsp:val=&quot;008155F9&quot;/&gt;&lt;wsp:rsid wsp:val=&quot;008159A1&quot;/&gt;&lt;wsp:rsid wsp:val=&quot;00815B37&quot;/&gt;&lt;wsp:rsid wsp:val=&quot;00815EA7&quot;/&gt;&lt;wsp:rsid wsp:val=&quot;00815EBD&quot;/&gt;&lt;wsp:rsid wsp:val=&quot;008162FE&quot;/&gt;&lt;wsp:rsid wsp:val=&quot;00816398&quot;/&gt;&lt;wsp:rsid wsp:val=&quot;0081654E&quot;/&gt;&lt;wsp:rsid wsp:val=&quot;00816C1E&quot;/&gt;&lt;wsp:rsid wsp:val=&quot;00816C46&quot;/&gt;&lt;wsp:rsid wsp:val=&quot;00816D56&quot;/&gt;&lt;wsp:rsid wsp:val=&quot;008171AB&quot;/&gt;&lt;wsp:rsid wsp:val=&quot;008172B0&quot;/&gt;&lt;wsp:rsid wsp:val=&quot;00817387&quot;/&gt;&lt;wsp:rsid wsp:val=&quot;0081797F&quot;/&gt;&lt;wsp:rsid wsp:val=&quot;008200DC&quot;/&gt;&lt;wsp:rsid wsp:val=&quot;008203C2&quot;/&gt;&lt;wsp:rsid wsp:val=&quot;00821293&quot;/&gt;&lt;wsp:rsid wsp:val=&quot;00821807&quot;/&gt;&lt;wsp:rsid wsp:val=&quot;00821895&quot;/&gt;&lt;wsp:rsid wsp:val=&quot;00821A6B&quot;/&gt;&lt;wsp:rsid wsp:val=&quot;00821CE2&quot;/&gt;&lt;wsp:rsid wsp:val=&quot;008220BB&quot;/&gt;&lt;wsp:rsid wsp:val=&quot;00822539&quot;/&gt;&lt;wsp:rsid wsp:val=&quot;008234B3&quot;/&gt;&lt;wsp:rsid wsp:val=&quot;00823566&quot;/&gt;&lt;wsp:rsid wsp:val=&quot;00823B15&quot;/&gt;&lt;wsp:rsid wsp:val=&quot;00824561&quot;/&gt;&lt;wsp:rsid wsp:val=&quot;0082502E&quot;/&gt;&lt;wsp:rsid wsp:val=&quot;008251CA&quot;/&gt;&lt;wsp:rsid wsp:val=&quot;008253C6&quot;/&gt;&lt;wsp:rsid wsp:val=&quot;008253F0&quot;/&gt;&lt;wsp:rsid wsp:val=&quot;008256F2&quot;/&gt;&lt;wsp:rsid wsp:val=&quot;00825F83&quot;/&gt;&lt;wsp:rsid wsp:val=&quot;0082612E&quot;/&gt;&lt;wsp:rsid wsp:val=&quot;008262C5&quot;/&gt;&lt;wsp:rsid wsp:val=&quot;00826510&quot;/&gt;&lt;wsp:rsid wsp:val=&quot;0082706E&quot;/&gt;&lt;wsp:rsid wsp:val=&quot;0082759B&quot;/&gt;&lt;wsp:rsid wsp:val=&quot;00827BCA&quot;/&gt;&lt;wsp:rsid wsp:val=&quot;00827DAD&quot;/&gt;&lt;wsp:rsid wsp:val=&quot;00827F05&quot;/&gt;&lt;wsp:rsid wsp:val=&quot;00827F6D&quot;/&gt;&lt;wsp:rsid wsp:val=&quot;0083080E&quot;/&gt;&lt;wsp:rsid wsp:val=&quot;0083086C&quot;/&gt;&lt;wsp:rsid wsp:val=&quot;00830CF4&quot;/&gt;&lt;wsp:rsid wsp:val=&quot;00830DAF&quot;/&gt;&lt;wsp:rsid wsp:val=&quot;00830F63&quot;/&gt;&lt;wsp:rsid wsp:val=&quot;00830F77&quot;/&gt;&lt;wsp:rsid wsp:val=&quot;008311D9&quot;/&gt;&lt;wsp:rsid wsp:val=&quot;00831486&quot;/&gt;&lt;wsp:rsid wsp:val=&quot;00831AC1&quot;/&gt;&lt;wsp:rsid wsp:val=&quot;00831F2E&quot;/&gt;&lt;wsp:rsid wsp:val=&quot;008325A4&quot;/&gt;&lt;wsp:rsid wsp:val=&quot;00832ADC&quot;/&gt;&lt;wsp:rsid wsp:val=&quot;00832E81&quot;/&gt;&lt;wsp:rsid wsp:val=&quot;00833A63&quot;/&gt;&lt;wsp:rsid wsp:val=&quot;00833BF2&quot;/&gt;&lt;wsp:rsid wsp:val=&quot;00833D11&quot;/&gt;&lt;wsp:rsid wsp:val=&quot;00833D69&quot;/&gt;&lt;wsp:rsid wsp:val=&quot;00833F52&quot;/&gt;&lt;wsp:rsid wsp:val=&quot;00834120&quot;/&gt;&lt;wsp:rsid wsp:val=&quot;00834185&quot;/&gt;&lt;wsp:rsid wsp:val=&quot;00834541&quot;/&gt;&lt;wsp:rsid wsp:val=&quot;00834920&quot;/&gt;&lt;wsp:rsid wsp:val=&quot;008349E6&quot;/&gt;&lt;wsp:rsid wsp:val=&quot;00834C64&quot;/&gt;&lt;wsp:rsid wsp:val=&quot;00834ECA&quot;/&gt;&lt;wsp:rsid wsp:val=&quot;00834ED1&quot;/&gt;&lt;wsp:rsid wsp:val=&quot;00834EE9&quot;/&gt;&lt;wsp:rsid wsp:val=&quot;00835031&quot;/&gt;&lt;wsp:rsid wsp:val=&quot;008354B6&quot;/&gt;&lt;wsp:rsid wsp:val=&quot;00835797&quot;/&gt;&lt;wsp:rsid wsp:val=&quot;00835A24&quot;/&gt;&lt;wsp:rsid wsp:val=&quot;00835B9C&quot;/&gt;&lt;wsp:rsid wsp:val=&quot;00835BEA&quot;/&gt;&lt;wsp:rsid wsp:val=&quot;00835C42&quot;/&gt;&lt;wsp:rsid wsp:val=&quot;00836133&quot;/&gt;&lt;wsp:rsid wsp:val=&quot;0083635A&quot;/&gt;&lt;wsp:rsid wsp:val=&quot;008365CB&quot;/&gt;&lt;wsp:rsid wsp:val=&quot;00836C7C&quot;/&gt;&lt;wsp:rsid wsp:val=&quot;00836DB2&quot;/&gt;&lt;wsp:rsid wsp:val=&quot;00836F53&quot;/&gt;&lt;wsp:rsid wsp:val=&quot;00837197&quot;/&gt;&lt;wsp:rsid wsp:val=&quot;008375F6&quot;/&gt;&lt;wsp:rsid wsp:val=&quot;008377FE&quot;/&gt;&lt;wsp:rsid wsp:val=&quot;00837A1D&quot;/&gt;&lt;wsp:rsid wsp:val=&quot;00837D64&quot;/&gt;&lt;wsp:rsid wsp:val=&quot;00837E77&quot;/&gt;&lt;wsp:rsid wsp:val=&quot;008400EC&quot;/&gt;&lt;wsp:rsid wsp:val=&quot;0084034A&quot;/&gt;&lt;wsp:rsid wsp:val=&quot;00840447&quot;/&gt;&lt;wsp:rsid wsp:val=&quot;0084099B&quot;/&gt;&lt;wsp:rsid wsp:val=&quot;00840F5A&quot;/&gt;&lt;wsp:rsid wsp:val=&quot;00840FC2&quot;/&gt;&lt;wsp:rsid wsp:val=&quot;0084150B&quot;/&gt;&lt;wsp:rsid wsp:val=&quot;0084178A&quot;/&gt;&lt;wsp:rsid wsp:val=&quot;00841F2F&quot;/&gt;&lt;wsp:rsid wsp:val=&quot;00841F32&quot;/&gt;&lt;wsp:rsid wsp:val=&quot;00841FD5&quot;/&gt;&lt;wsp:rsid wsp:val=&quot;0084207E&quot;/&gt;&lt;wsp:rsid wsp:val=&quot;00843913&quot;/&gt;&lt;wsp:rsid wsp:val=&quot;00843B1E&quot;/&gt;&lt;wsp:rsid wsp:val=&quot;00843B27&quot;/&gt;&lt;wsp:rsid wsp:val=&quot;00844103&quot;/&gt;&lt;wsp:rsid wsp:val=&quot;008441EA&quot;/&gt;&lt;wsp:rsid wsp:val=&quot;00844794&quot;/&gt;&lt;wsp:rsid wsp:val=&quot;008447E6&quot;/&gt;&lt;wsp:rsid wsp:val=&quot;0084482C&quot;/&gt;&lt;wsp:rsid wsp:val=&quot;00845048&quot;/&gt;&lt;wsp:rsid wsp:val=&quot;008452FB&quot;/&gt;&lt;wsp:rsid wsp:val=&quot;008457C9&quot;/&gt;&lt;wsp:rsid wsp:val=&quot;00845898&quot;/&gt;&lt;wsp:rsid wsp:val=&quot;00845C8D&quot;/&gt;&lt;wsp:rsid wsp:val=&quot;00845F37&quot;/&gt;&lt;wsp:rsid wsp:val=&quot;0084642F&quot;/&gt;&lt;wsp:rsid wsp:val=&quot;00846458&quot;/&gt;&lt;wsp:rsid wsp:val=&quot;008465F4&quot;/&gt;&lt;wsp:rsid wsp:val=&quot;00846A80&quot;/&gt;&lt;wsp:rsid wsp:val=&quot;00847162&quot;/&gt;&lt;wsp:rsid wsp:val=&quot;008472BD&quot;/&gt;&lt;wsp:rsid wsp:val=&quot;008473E4&quot;/&gt;&lt;wsp:rsid wsp:val=&quot;008477EC&quot;/&gt;&lt;wsp:rsid wsp:val=&quot;008479D2&quot;/&gt;&lt;wsp:rsid wsp:val=&quot;00847D45&quot;/&gt;&lt;wsp:rsid wsp:val=&quot;00847DFB&quot;/&gt;&lt;wsp:rsid wsp:val=&quot;00847E31&quot;/&gt;&lt;wsp:rsid wsp:val=&quot;00850BAB&quot;/&gt;&lt;wsp:rsid wsp:val=&quot;00851693&quot;/&gt;&lt;wsp:rsid wsp:val=&quot;0085176F&quot;/&gt;&lt;wsp:rsid wsp:val=&quot;0085195C&quot;/&gt;&lt;wsp:rsid wsp:val=&quot;00851F11&quot;/&gt;&lt;wsp:rsid wsp:val=&quot;008521E1&quot;/&gt;&lt;wsp:rsid wsp:val=&quot;0085225F&quot;/&gt;&lt;wsp:rsid wsp:val=&quot;00852400&quot;/&gt;&lt;wsp:rsid wsp:val=&quot;00852D44&quot;/&gt;&lt;wsp:rsid wsp:val=&quot;008530EB&quot;/&gt;&lt;wsp:rsid wsp:val=&quot;0085337D&quot;/&gt;&lt;wsp:rsid wsp:val=&quot;008533E2&quot;/&gt;&lt;wsp:rsid wsp:val=&quot;0085363E&quot;/&gt;&lt;wsp:rsid wsp:val=&quot;00853EC8&quot;/&gt;&lt;wsp:rsid wsp:val=&quot;00853EDE&quot;/&gt;&lt;wsp:rsid wsp:val=&quot;0085402E&quot;/&gt;&lt;wsp:rsid wsp:val=&quot;008541BF&quot;/&gt;&lt;wsp:rsid wsp:val=&quot;008545D3&quot;/&gt;&lt;wsp:rsid wsp:val=&quot;00854628&quot;/&gt;&lt;wsp:rsid wsp:val=&quot;008547C4&quot;/&gt;&lt;wsp:rsid wsp:val=&quot;00854A4F&quot;/&gt;&lt;wsp:rsid wsp:val=&quot;00854D45&quot;/&gt;&lt;wsp:rsid wsp:val=&quot;00854F38&quot;/&gt;&lt;wsp:rsid wsp:val=&quot;00855083&quot;/&gt;&lt;wsp:rsid wsp:val=&quot;00855EDE&quot;/&gt;&lt;wsp:rsid wsp:val=&quot;00855F9C&quot;/&gt;&lt;wsp:rsid wsp:val=&quot;00856487&quot;/&gt;&lt;wsp:rsid wsp:val=&quot;0085684E&quot;/&gt;&lt;wsp:rsid wsp:val=&quot;00856EBC&quot;/&gt;&lt;wsp:rsid wsp:val=&quot;00857644&quot;/&gt;&lt;wsp:rsid wsp:val=&quot;00857B5D&quot;/&gt;&lt;wsp:rsid wsp:val=&quot;00857BD4&quot;/&gt;&lt;wsp:rsid wsp:val=&quot;00857C3A&quot;/&gt;&lt;wsp:rsid wsp:val=&quot;00857F77&quot;/&gt;&lt;wsp:rsid wsp:val=&quot;00860617&quot;/&gt;&lt;wsp:rsid wsp:val=&quot;008606ED&quot;/&gt;&lt;wsp:rsid wsp:val=&quot;0086099B&quot;/&gt;&lt;wsp:rsid wsp:val=&quot;00860CB8&quot;/&gt;&lt;wsp:rsid wsp:val=&quot;00860E78&quot;/&gt;&lt;wsp:rsid wsp:val=&quot;00860F42&quot;/&gt;&lt;wsp:rsid wsp:val=&quot;0086129F&quot;/&gt;&lt;wsp:rsid wsp:val=&quot;00861D60&quot;/&gt;&lt;wsp:rsid wsp:val=&quot;0086286D&quot;/&gt;&lt;wsp:rsid wsp:val=&quot;0086299E&quot;/&gt;&lt;wsp:rsid wsp:val=&quot;00862A79&quot;/&gt;&lt;wsp:rsid wsp:val=&quot;00862B26&quot;/&gt;&lt;wsp:rsid wsp:val=&quot;00862DF6&quot;/&gt;&lt;wsp:rsid wsp:val=&quot;0086306A&quot;/&gt;&lt;wsp:rsid wsp:val=&quot;0086392F&quot;/&gt;&lt;wsp:rsid wsp:val=&quot;00863A18&quot;/&gt;&lt;wsp:rsid wsp:val=&quot;00863A9C&quot;/&gt;&lt;wsp:rsid wsp:val=&quot;00863AAB&quot;/&gt;&lt;wsp:rsid wsp:val=&quot;00863B3E&quot;/&gt;&lt;wsp:rsid wsp:val=&quot;00863BCA&quot;/&gt;&lt;wsp:rsid wsp:val=&quot;00863C5D&quot;/&gt;&lt;wsp:rsid wsp:val=&quot;00864B9C&quot;/&gt;&lt;wsp:rsid wsp:val=&quot;00864DD5&quot;/&gt;&lt;wsp:rsid wsp:val=&quot;00864E60&quot;/&gt;&lt;wsp:rsid wsp:val=&quot;008651C2&quot;/&gt;&lt;wsp:rsid wsp:val=&quot;008656B8&quot;/&gt;&lt;wsp:rsid wsp:val=&quot;0086572F&quot;/&gt;&lt;wsp:rsid wsp:val=&quot;00865818&quot;/&gt;&lt;wsp:rsid wsp:val=&quot;0086582D&quot;/&gt;&lt;wsp:rsid wsp:val=&quot;00865D23&quot;/&gt;&lt;wsp:rsid wsp:val=&quot;00866052&quot;/&gt;&lt;wsp:rsid wsp:val=&quot;00866268&quot;/&gt;&lt;wsp:rsid wsp:val=&quot;008668B7&quot;/&gt;&lt;wsp:rsid wsp:val=&quot;00866EEA&quot;/&gt;&lt;wsp:rsid wsp:val=&quot;0086727A&quot;/&gt;&lt;wsp:rsid wsp:val=&quot;00867798&quot;/&gt;&lt;wsp:rsid wsp:val=&quot;008677CD&quot;/&gt;&lt;wsp:rsid wsp:val=&quot;00867A65&quot;/&gt;&lt;wsp:rsid wsp:val=&quot;00867C5A&quot;/&gt;&lt;wsp:rsid wsp:val=&quot;00867CB4&quot;/&gt;&lt;wsp:rsid wsp:val=&quot;00867CC3&quot;/&gt;&lt;wsp:rsid wsp:val=&quot;00867D03&quot;/&gt;&lt;wsp:rsid wsp:val=&quot;00867D35&quot;/&gt;&lt;wsp:rsid wsp:val=&quot;0087007F&quot;/&gt;&lt;wsp:rsid wsp:val=&quot;0087015A&quot;/&gt;&lt;wsp:rsid wsp:val=&quot;00870441&quot;/&gt;&lt;wsp:rsid wsp:val=&quot;008705CF&quot;/&gt;&lt;wsp:rsid wsp:val=&quot;00870F38&quot;/&gt;&lt;wsp:rsid wsp:val=&quot;00871074&quot;/&gt;&lt;wsp:rsid wsp:val=&quot;00871C8C&quot;/&gt;&lt;wsp:rsid wsp:val=&quot;008720CB&quot;/&gt;&lt;wsp:rsid wsp:val=&quot;008726A9&quot;/&gt;&lt;wsp:rsid wsp:val=&quot;00872787&quot;/&gt;&lt;wsp:rsid wsp:val=&quot;008729D0&quot;/&gt;&lt;wsp:rsid wsp:val=&quot;00872C40&quot;/&gt;&lt;wsp:rsid wsp:val=&quot;00872D7F&quot;/&gt;&lt;wsp:rsid wsp:val=&quot;00872DB3&quot;/&gt;&lt;wsp:rsid wsp:val=&quot;008736C3&quot;/&gt;&lt;wsp:rsid wsp:val=&quot;0087390D&quot;/&gt;&lt;wsp:rsid wsp:val=&quot;00873CBA&quot;/&gt;&lt;wsp:rsid wsp:val=&quot;00874008&quot;/&gt;&lt;wsp:rsid wsp:val=&quot;008740A4&quot;/&gt;&lt;wsp:rsid wsp:val=&quot;00874188&quot;/&gt;&lt;wsp:rsid wsp:val=&quot;0087486B&quot;/&gt;&lt;wsp:rsid wsp:val=&quot;00875314&quot;/&gt;&lt;wsp:rsid wsp:val=&quot;0087532C&quot;/&gt;&lt;wsp:rsid wsp:val=&quot;00875357&quot;/&gt;&lt;wsp:rsid wsp:val=&quot;00875535&quot;/&gt;&lt;wsp:rsid wsp:val=&quot;00875647&quot;/&gt;&lt;wsp:rsid wsp:val=&quot;00875C02&quot;/&gt;&lt;wsp:rsid wsp:val=&quot;00875C95&quot;/&gt;&lt;wsp:rsid wsp:val=&quot;0087627E&quot;/&gt;&lt;wsp:rsid wsp:val=&quot;00876323&quot;/&gt;&lt;wsp:rsid wsp:val=&quot;00876E08&quot;/&gt;&lt;wsp:rsid wsp:val=&quot;008771C4&quot;/&gt;&lt;wsp:rsid wsp:val=&quot;008771E1&quot;/&gt;&lt;wsp:rsid wsp:val=&quot;008772EF&quot;/&gt;&lt;wsp:rsid wsp:val=&quot;00877482&quot;/&gt;&lt;wsp:rsid wsp:val=&quot;0087793A&quot;/&gt;&lt;wsp:rsid wsp:val=&quot;00877A42&quot;/&gt;&lt;wsp:rsid wsp:val=&quot;00877CCA&quot;/&gt;&lt;wsp:rsid wsp:val=&quot;00877E26&quot;/&gt;&lt;wsp:rsid wsp:val=&quot;00877F97&quot;/&gt;&lt;wsp:rsid wsp:val=&quot;00880187&quot;/&gt;&lt;wsp:rsid wsp:val=&quot;008807B2&quot;/&gt;&lt;wsp:rsid wsp:val=&quot;00880B0F&quot;/&gt;&lt;wsp:rsid wsp:val=&quot;00880B38&quot;/&gt;&lt;wsp:rsid wsp:val=&quot;008810ED&quot;/&gt;&lt;wsp:rsid wsp:val=&quot;0088155F&quot;/&gt;&lt;wsp:rsid wsp:val=&quot;00881959&quot;/&gt;&lt;wsp:rsid wsp:val=&quot;00881ABE&quot;/&gt;&lt;wsp:rsid wsp:val=&quot;00881C47&quot;/&gt;&lt;wsp:rsid wsp:val=&quot;00881FA6&quot;/&gt;&lt;wsp:rsid wsp:val=&quot;00881FC5&quot;/&gt;&lt;wsp:rsid wsp:val=&quot;008827B5&quot;/&gt;&lt;wsp:rsid wsp:val=&quot;00882E0E&quot;/&gt;&lt;wsp:rsid wsp:val=&quot;00883479&quot;/&gt;&lt;wsp:rsid wsp:val=&quot;00883601&quot;/&gt;&lt;wsp:rsid wsp:val=&quot;00884438&quot;/&gt;&lt;wsp:rsid wsp:val=&quot;008845D2&quot;/&gt;&lt;wsp:rsid wsp:val=&quot;00884689&quot;/&gt;&lt;wsp:rsid wsp:val=&quot;00884986&quot;/&gt;&lt;wsp:rsid wsp:val=&quot;00884E3A&quot;/&gt;&lt;wsp:rsid wsp:val=&quot;00884F66&quot;/&gt;&lt;wsp:rsid wsp:val=&quot;00885945&quot;/&gt;&lt;wsp:rsid wsp:val=&quot;00886031&quot;/&gt;&lt;wsp:rsid wsp:val=&quot;00886287&quot;/&gt;&lt;wsp:rsid wsp:val=&quot;008865EF&quot;/&gt;&lt;wsp:rsid wsp:val=&quot;00886926&quot;/&gt;&lt;wsp:rsid wsp:val=&quot;008869CD&quot;/&gt;&lt;wsp:rsid wsp:val=&quot;00886C82&quot;/&gt;&lt;wsp:rsid wsp:val=&quot;00886CA9&quot;/&gt;&lt;wsp:rsid wsp:val=&quot;00886F3F&quot;/&gt;&lt;wsp:rsid wsp:val=&quot;00887159&quot;/&gt;&lt;wsp:rsid wsp:val=&quot;008871E3&quot;/&gt;&lt;wsp:rsid wsp:val=&quot;0088732A&quot;/&gt;&lt;wsp:rsid wsp:val=&quot;008876C3&quot;/&gt;&lt;wsp:rsid wsp:val=&quot;0088771E&quot;/&gt;&lt;wsp:rsid wsp:val=&quot;00887E0A&quot;/&gt;&lt;wsp:rsid wsp:val=&quot;00887F79&quot;/&gt;&lt;wsp:rsid wsp:val=&quot;00890178&quot;/&gt;&lt;wsp:rsid wsp:val=&quot;0089018B&quot;/&gt;&lt;wsp:rsid wsp:val=&quot;008908F5&quot;/&gt;&lt;wsp:rsid wsp:val=&quot;00890907&quot;/&gt;&lt;wsp:rsid wsp:val=&quot;00890DFA&quot;/&gt;&lt;wsp:rsid wsp:val=&quot;00890F78&quot;/&gt;&lt;wsp:rsid wsp:val=&quot;0089120C&quot;/&gt;&lt;wsp:rsid wsp:val=&quot;008912E6&quot;/&gt;&lt;wsp:rsid wsp:val=&quot;0089138D&quot;/&gt;&lt;wsp:rsid wsp:val=&quot;00891863&quot;/&gt;&lt;wsp:rsid wsp:val=&quot;00891FAF&quot;/&gt;&lt;wsp:rsid wsp:val=&quot;008925B1&quot;/&gt;&lt;wsp:rsid wsp:val=&quot;0089275F&quot;/&gt;&lt;wsp:rsid wsp:val=&quot;00892A3B&quot;/&gt;&lt;wsp:rsid wsp:val=&quot;00892CA5&quot;/&gt;&lt;wsp:rsid wsp:val=&quot;00892E00&quot;/&gt;&lt;wsp:rsid wsp:val=&quot;00892E48&quot;/&gt;&lt;wsp:rsid wsp:val=&quot;00892E84&quot;/&gt;&lt;wsp:rsid wsp:val=&quot;0089333C&quot;/&gt;&lt;wsp:rsid wsp:val=&quot;00893479&quot;/&gt;&lt;wsp:rsid wsp:val=&quot;00893902&quot;/&gt;&lt;wsp:rsid wsp:val=&quot;00893A12&quot;/&gt;&lt;wsp:rsid wsp:val=&quot;00894712&quot;/&gt;&lt;wsp:rsid wsp:val=&quot;00894888&quot;/&gt;&lt;wsp:rsid wsp:val=&quot;008949DC&quot;/&gt;&lt;wsp:rsid wsp:val=&quot;00894D38&quot;/&gt;&lt;wsp:rsid wsp:val=&quot;00894EB0&quot;/&gt;&lt;wsp:rsid wsp:val=&quot;008950DA&quot;/&gt;&lt;wsp:rsid wsp:val=&quot;00895431&quot;/&gt;&lt;wsp:rsid wsp:val=&quot;00896177&quot;/&gt;&lt;wsp:rsid wsp:val=&quot;0089699E&quot;/&gt;&lt;wsp:rsid wsp:val=&quot;00896A7F&quot;/&gt;&lt;wsp:rsid wsp:val=&quot;00897169&quot;/&gt;&lt;wsp:rsid wsp:val=&quot;00897285&quot;/&gt;&lt;wsp:rsid wsp:val=&quot;00897399&quot;/&gt;&lt;wsp:rsid wsp:val=&quot;00897681&quot;/&gt;&lt;wsp:rsid wsp:val=&quot;0089779C&quot;/&gt;&lt;wsp:rsid wsp:val=&quot;00897D80&quot;/&gt;&lt;wsp:rsid wsp:val=&quot;00897DD2&quot;/&gt;&lt;wsp:rsid wsp:val=&quot;008A0385&quot;/&gt;&lt;wsp:rsid wsp:val=&quot;008A0DCD&quot;/&gt;&lt;wsp:rsid wsp:val=&quot;008A0EDE&quot;/&gt;&lt;wsp:rsid wsp:val=&quot;008A0EE8&quot;/&gt;&lt;wsp:rsid wsp:val=&quot;008A1306&quot;/&gt;&lt;wsp:rsid wsp:val=&quot;008A14C4&quot;/&gt;&lt;wsp:rsid wsp:val=&quot;008A20A1&quot;/&gt;&lt;wsp:rsid wsp:val=&quot;008A241C&quot;/&gt;&lt;wsp:rsid wsp:val=&quot;008A247F&quot;/&gt;&lt;wsp:rsid wsp:val=&quot;008A25DF&quot;/&gt;&lt;wsp:rsid wsp:val=&quot;008A2A7F&quot;/&gt;&lt;wsp:rsid wsp:val=&quot;008A2BC2&quot;/&gt;&lt;wsp:rsid wsp:val=&quot;008A2EED&quot;/&gt;&lt;wsp:rsid wsp:val=&quot;008A3B93&quot;/&gt;&lt;wsp:rsid wsp:val=&quot;008A3C64&quot;/&gt;&lt;wsp:rsid wsp:val=&quot;008A3D0B&quot;/&gt;&lt;wsp:rsid wsp:val=&quot;008A3EBD&quot;/&gt;&lt;wsp:rsid wsp:val=&quot;008A3FE9&quot;/&gt;&lt;wsp:rsid wsp:val=&quot;008A4144&quot;/&gt;&lt;wsp:rsid wsp:val=&quot;008A4E20&quot;/&gt;&lt;wsp:rsid wsp:val=&quot;008A4EA3&quot;/&gt;&lt;wsp:rsid wsp:val=&quot;008A5893&quot;/&gt;&lt;wsp:rsid wsp:val=&quot;008A5F7B&quot;/&gt;&lt;wsp:rsid wsp:val=&quot;008A6419&quot;/&gt;&lt;wsp:rsid wsp:val=&quot;008A6E62&quot;/&gt;&lt;wsp:rsid wsp:val=&quot;008A7024&quot;/&gt;&lt;wsp:rsid wsp:val=&quot;008A760B&quot;/&gt;&lt;wsp:rsid wsp:val=&quot;008A7E5B&quot;/&gt;&lt;wsp:rsid wsp:val=&quot;008A7F16&quot;/&gt;&lt;wsp:rsid wsp:val=&quot;008A7FF1&quot;/&gt;&lt;wsp:rsid wsp:val=&quot;008B03B8&quot;/&gt;&lt;wsp:rsid wsp:val=&quot;008B0AEA&quot;/&gt;&lt;wsp:rsid wsp:val=&quot;008B0CE3&quot;/&gt;&lt;wsp:rsid wsp:val=&quot;008B0CFB&quot;/&gt;&lt;wsp:rsid wsp:val=&quot;008B0D74&quot;/&gt;&lt;wsp:rsid wsp:val=&quot;008B1657&quot;/&gt;&lt;wsp:rsid wsp:val=&quot;008B167F&quot;/&gt;&lt;wsp:rsid wsp:val=&quot;008B1B1E&quot;/&gt;&lt;wsp:rsid wsp:val=&quot;008B1C53&quot;/&gt;&lt;wsp:rsid wsp:val=&quot;008B1EDF&quot;/&gt;&lt;wsp:rsid wsp:val=&quot;008B21D4&quot;/&gt;&lt;wsp:rsid wsp:val=&quot;008B22BA&quot;/&gt;&lt;wsp:rsid wsp:val=&quot;008B2A6C&quot;/&gt;&lt;wsp:rsid wsp:val=&quot;008B2C88&quot;/&gt;&lt;wsp:rsid wsp:val=&quot;008B317E&quot;/&gt;&lt;wsp:rsid wsp:val=&quot;008B3BFC&quot;/&gt;&lt;wsp:rsid wsp:val=&quot;008B417A&quot;/&gt;&lt;wsp:rsid wsp:val=&quot;008B47DF&quot;/&gt;&lt;wsp:rsid wsp:val=&quot;008B4ACB&quot;/&gt;&lt;wsp:rsid wsp:val=&quot;008B4BD6&quot;/&gt;&lt;wsp:rsid wsp:val=&quot;008B4C4F&quot;/&gt;&lt;wsp:rsid wsp:val=&quot;008B4CD5&quot;/&gt;&lt;wsp:rsid wsp:val=&quot;008B4D67&quot;/&gt;&lt;wsp:rsid wsp:val=&quot;008B513C&quot;/&gt;&lt;wsp:rsid wsp:val=&quot;008B515C&quot;/&gt;&lt;wsp:rsid wsp:val=&quot;008B544C&quot;/&gt;&lt;wsp:rsid wsp:val=&quot;008B5962&quot;/&gt;&lt;wsp:rsid wsp:val=&quot;008B62D2&quot;/&gt;&lt;wsp:rsid wsp:val=&quot;008B6326&quot;/&gt;&lt;wsp:rsid wsp:val=&quot;008B6513&quot;/&gt;&lt;wsp:rsid wsp:val=&quot;008B6CC7&quot;/&gt;&lt;wsp:rsid wsp:val=&quot;008B7083&quot;/&gt;&lt;wsp:rsid wsp:val=&quot;008B79F6&quot;/&gt;&lt;wsp:rsid wsp:val=&quot;008B7BA6&quot;/&gt;&lt;wsp:rsid wsp:val=&quot;008B7BDD&quot;/&gt;&lt;wsp:rsid wsp:val=&quot;008C004F&quot;/&gt;&lt;wsp:rsid wsp:val=&quot;008C00FA&quot;/&gt;&lt;wsp:rsid wsp:val=&quot;008C031E&quot;/&gt;&lt;wsp:rsid wsp:val=&quot;008C0496&quot;/&gt;&lt;wsp:rsid wsp:val=&quot;008C0725&quot;/&gt;&lt;wsp:rsid wsp:val=&quot;008C09C3&quot;/&gt;&lt;wsp:rsid wsp:val=&quot;008C0A2C&quot;/&gt;&lt;wsp:rsid wsp:val=&quot;008C0CD1&quot;/&gt;&lt;wsp:rsid wsp:val=&quot;008C0FCD&quot;/&gt;&lt;wsp:rsid wsp:val=&quot;008C141C&quot;/&gt;&lt;wsp:rsid wsp:val=&quot;008C178B&quot;/&gt;&lt;wsp:rsid wsp:val=&quot;008C1CEF&quot;/&gt;&lt;wsp:rsid wsp:val=&quot;008C1FB8&quot;/&gt;&lt;wsp:rsid wsp:val=&quot;008C2188&quot;/&gt;&lt;wsp:rsid wsp:val=&quot;008C28FC&quot;/&gt;&lt;wsp:rsid wsp:val=&quot;008C2B53&quot;/&gt;&lt;wsp:rsid wsp:val=&quot;008C2C5D&quot;/&gt;&lt;wsp:rsid wsp:val=&quot;008C2DF1&quot;/&gt;&lt;wsp:rsid wsp:val=&quot;008C2E09&quot;/&gt;&lt;wsp:rsid wsp:val=&quot;008C2E73&quot;/&gt;&lt;wsp:rsid wsp:val=&quot;008C2F26&quot;/&gt;&lt;wsp:rsid wsp:val=&quot;008C304E&quot;/&gt;&lt;wsp:rsid wsp:val=&quot;008C3341&quot;/&gt;&lt;wsp:rsid wsp:val=&quot;008C3B27&quot;/&gt;&lt;wsp:rsid wsp:val=&quot;008C40F4&quot;/&gt;&lt;wsp:rsid wsp:val=&quot;008C4236&quot;/&gt;&lt;wsp:rsid wsp:val=&quot;008C440D&quot;/&gt;&lt;wsp:rsid wsp:val=&quot;008C45EB&quot;/&gt;&lt;wsp:rsid wsp:val=&quot;008C4AA7&quot;/&gt;&lt;wsp:rsid wsp:val=&quot;008C5370&quot;/&gt;&lt;wsp:rsid wsp:val=&quot;008C53E6&quot;/&gt;&lt;wsp:rsid wsp:val=&quot;008C61E8&quot;/&gt;&lt;wsp:rsid wsp:val=&quot;008C65D8&quot;/&gt;&lt;wsp:rsid wsp:val=&quot;008C6723&quot;/&gt;&lt;wsp:rsid wsp:val=&quot;008C69F0&quot;/&gt;&lt;wsp:rsid wsp:val=&quot;008C6F58&quot;/&gt;&lt;wsp:rsid wsp:val=&quot;008C71C6&quot;/&gt;&lt;wsp:rsid wsp:val=&quot;008C7236&quot;/&gt;&lt;wsp:rsid wsp:val=&quot;008C7457&quot;/&gt;&lt;wsp:rsid wsp:val=&quot;008C765C&quot;/&gt;&lt;wsp:rsid wsp:val=&quot;008C7731&quot;/&gt;&lt;wsp:rsid wsp:val=&quot;008C77E4&quot;/&gt;&lt;wsp:rsid wsp:val=&quot;008C7A0B&quot;/&gt;&lt;wsp:rsid wsp:val=&quot;008C7A60&quot;/&gt;&lt;wsp:rsid wsp:val=&quot;008C7B67&quot;/&gt;&lt;wsp:rsid wsp:val=&quot;008C7F15&quot;/&gt;&lt;wsp:rsid wsp:val=&quot;008D09DE&quot;/&gt;&lt;wsp:rsid wsp:val=&quot;008D0F15&quot;/&gt;&lt;wsp:rsid wsp:val=&quot;008D1621&quot;/&gt;&lt;wsp:rsid wsp:val=&quot;008D172B&quot;/&gt;&lt;wsp:rsid wsp:val=&quot;008D1BA5&quot;/&gt;&lt;wsp:rsid wsp:val=&quot;008D2C98&quot;/&gt;&lt;wsp:rsid wsp:val=&quot;008D3458&quot;/&gt;&lt;wsp:rsid wsp:val=&quot;008D345E&quot;/&gt;&lt;wsp:rsid wsp:val=&quot;008D3466&quot;/&gt;&lt;wsp:rsid wsp:val=&quot;008D3B15&quot;/&gt;&lt;wsp:rsid wsp:val=&quot;008D3B7B&quot;/&gt;&lt;wsp:rsid wsp:val=&quot;008D3C87&quot;/&gt;&lt;wsp:rsid wsp:val=&quot;008D4662&quot;/&gt;&lt;wsp:rsid wsp:val=&quot;008D46B1&quot;/&gt;&lt;wsp:rsid wsp:val=&quot;008D5085&quot;/&gt;&lt;wsp:rsid wsp:val=&quot;008D514A&quot;/&gt;&lt;wsp:rsid wsp:val=&quot;008D55C8&quot;/&gt;&lt;wsp:rsid wsp:val=&quot;008D621C&quot;/&gt;&lt;wsp:rsid wsp:val=&quot;008D656C&quot;/&gt;&lt;wsp:rsid wsp:val=&quot;008D6AB6&quot;/&gt;&lt;wsp:rsid wsp:val=&quot;008D6AEA&quot;/&gt;&lt;wsp:rsid wsp:val=&quot;008D6F9D&quot;/&gt;&lt;wsp:rsid wsp:val=&quot;008D72C8&quot;/&gt;&lt;wsp:rsid wsp:val=&quot;008D770F&quot;/&gt;&lt;wsp:rsid wsp:val=&quot;008D7967&quot;/&gt;&lt;wsp:rsid wsp:val=&quot;008D7A0C&quot;/&gt;&lt;wsp:rsid wsp:val=&quot;008D7B18&quot;/&gt;&lt;wsp:rsid wsp:val=&quot;008E0261&quot;/&gt;&lt;wsp:rsid wsp:val=&quot;008E050A&quot;/&gt;&lt;wsp:rsid wsp:val=&quot;008E06ED&quot;/&gt;&lt;wsp:rsid wsp:val=&quot;008E093D&quot;/&gt;&lt;wsp:rsid wsp:val=&quot;008E14EB&quot;/&gt;&lt;wsp:rsid wsp:val=&quot;008E15B8&quot;/&gt;&lt;wsp:rsid wsp:val=&quot;008E1948&quot;/&gt;&lt;wsp:rsid wsp:val=&quot;008E1BEC&quot;/&gt;&lt;wsp:rsid wsp:val=&quot;008E1CB1&quot;/&gt;&lt;wsp:rsid wsp:val=&quot;008E1F08&quot;/&gt;&lt;wsp:rsid wsp:val=&quot;008E2320&quot;/&gt;&lt;wsp:rsid wsp:val=&quot;008E240F&quot;/&gt;&lt;wsp:rsid wsp:val=&quot;008E2575&quot;/&gt;&lt;wsp:rsid wsp:val=&quot;008E2A9B&quot;/&gt;&lt;wsp:rsid wsp:val=&quot;008E2BD1&quot;/&gt;&lt;wsp:rsid wsp:val=&quot;008E3342&quot;/&gt;&lt;wsp:rsid wsp:val=&quot;008E3398&quot;/&gt;&lt;wsp:rsid wsp:val=&quot;008E39F4&quot;/&gt;&lt;wsp:rsid wsp:val=&quot;008E3B1C&quot;/&gt;&lt;wsp:rsid wsp:val=&quot;008E3EB2&quot;/&gt;&lt;wsp:rsid wsp:val=&quot;008E4C43&quot;/&gt;&lt;wsp:rsid wsp:val=&quot;008E52F2&quot;/&gt;&lt;wsp:rsid wsp:val=&quot;008E539B&quot;/&gt;&lt;wsp:rsid wsp:val=&quot;008E5769&quot;/&gt;&lt;wsp:rsid wsp:val=&quot;008E58ED&quot;/&gt;&lt;wsp:rsid wsp:val=&quot;008E5B55&quot;/&gt;&lt;wsp:rsid wsp:val=&quot;008E5BD6&quot;/&gt;&lt;wsp:rsid wsp:val=&quot;008E5F0C&quot;/&gt;&lt;wsp:rsid wsp:val=&quot;008E6158&quot;/&gt;&lt;wsp:rsid wsp:val=&quot;008E62F9&quot;/&gt;&lt;wsp:rsid wsp:val=&quot;008E6605&quot;/&gt;&lt;wsp:rsid wsp:val=&quot;008E673A&quot;/&gt;&lt;wsp:rsid wsp:val=&quot;008E67E1&quot;/&gt;&lt;wsp:rsid wsp:val=&quot;008E6921&quot;/&gt;&lt;wsp:rsid wsp:val=&quot;008E6AEC&quot;/&gt;&lt;wsp:rsid wsp:val=&quot;008E6BFD&quot;/&gt;&lt;wsp:rsid wsp:val=&quot;008E6CBC&quot;/&gt;&lt;wsp:rsid wsp:val=&quot;008E6F19&quot;/&gt;&lt;wsp:rsid wsp:val=&quot;008E79A0&quot;/&gt;&lt;wsp:rsid wsp:val=&quot;008E7DAA&quot;/&gt;&lt;wsp:rsid wsp:val=&quot;008F0505&quot;/&gt;&lt;wsp:rsid wsp:val=&quot;008F0771&quot;/&gt;&lt;wsp:rsid wsp:val=&quot;008F0966&quot;/&gt;&lt;wsp:rsid wsp:val=&quot;008F0E42&quot;/&gt;&lt;wsp:rsid wsp:val=&quot;008F0E74&quot;/&gt;&lt;wsp:rsid wsp:val=&quot;008F1131&quot;/&gt;&lt;wsp:rsid wsp:val=&quot;008F195C&quot;/&gt;&lt;wsp:rsid wsp:val=&quot;008F1A00&quot;/&gt;&lt;wsp:rsid wsp:val=&quot;008F1AD7&quot;/&gt;&lt;wsp:rsid wsp:val=&quot;008F22D5&quot;/&gt;&lt;wsp:rsid wsp:val=&quot;008F23C5&quot;/&gt;&lt;wsp:rsid wsp:val=&quot;008F26C8&quot;/&gt;&lt;wsp:rsid wsp:val=&quot;008F29EB&quot;/&gt;&lt;wsp:rsid wsp:val=&quot;008F2DDD&quot;/&gt;&lt;wsp:rsid wsp:val=&quot;008F30D9&quot;/&gt;&lt;wsp:rsid wsp:val=&quot;008F359F&quot;/&gt;&lt;wsp:rsid wsp:val=&quot;008F37EC&quot;/&gt;&lt;wsp:rsid wsp:val=&quot;008F3CF8&quot;/&gt;&lt;wsp:rsid wsp:val=&quot;008F3D5C&quot;/&gt;&lt;wsp:rsid wsp:val=&quot;008F3F23&quot;/&gt;&lt;wsp:rsid wsp:val=&quot;008F3F37&quot;/&gt;&lt;wsp:rsid wsp:val=&quot;008F46EB&quot;/&gt;&lt;wsp:rsid wsp:val=&quot;008F4BD8&quot;/&gt;&lt;wsp:rsid wsp:val=&quot;008F4D67&quot;/&gt;&lt;wsp:rsid wsp:val=&quot;008F4E9C&quot;/&gt;&lt;wsp:rsid wsp:val=&quot;008F514D&quot;/&gt;&lt;wsp:rsid wsp:val=&quot;008F546D&quot;/&gt;&lt;wsp:rsid wsp:val=&quot;008F5489&quot;/&gt;&lt;wsp:rsid wsp:val=&quot;008F5BE4&quot;/&gt;&lt;wsp:rsid wsp:val=&quot;008F5C1E&quot;/&gt;&lt;wsp:rsid wsp:val=&quot;008F5C8A&quot;/&gt;&lt;wsp:rsid wsp:val=&quot;008F601F&quot;/&gt;&lt;wsp:rsid wsp:val=&quot;008F6099&quot;/&gt;&lt;wsp:rsid wsp:val=&quot;008F618B&quot;/&gt;&lt;wsp:rsid wsp:val=&quot;008F667B&quot;/&gt;&lt;wsp:rsid wsp:val=&quot;008F6C87&quot;/&gt;&lt;wsp:rsid wsp:val=&quot;008F70CD&quot;/&gt;&lt;wsp:rsid wsp:val=&quot;008F7C27&quot;/&gt;&lt;wsp:rsid wsp:val=&quot;00900513&quot;/&gt;&lt;wsp:rsid wsp:val=&quot;00900E61&quot;/&gt;&lt;wsp:rsid wsp:val=&quot;0090117A&quot;/&gt;&lt;wsp:rsid wsp:val=&quot;0090154D&quot;/&gt;&lt;wsp:rsid wsp:val=&quot;00901580&quot;/&gt;&lt;wsp:rsid wsp:val=&quot;0090189D&quot;/&gt;&lt;wsp:rsid wsp:val=&quot;0090293D&quot;/&gt;&lt;wsp:rsid wsp:val=&quot;00902AC5&quot;/&gt;&lt;wsp:rsid wsp:val=&quot;00902C25&quot;/&gt;&lt;wsp:rsid wsp:val=&quot;0090300A&quot;/&gt;&lt;wsp:rsid wsp:val=&quot;00903216&quot;/&gt;&lt;wsp:rsid wsp:val=&quot;00903272&quot;/&gt;&lt;wsp:rsid wsp:val=&quot;00903532&quot;/&gt;&lt;wsp:rsid wsp:val=&quot;00903794&quot;/&gt;&lt;wsp:rsid wsp:val=&quot;00904FBC&quot;/&gt;&lt;wsp:rsid wsp:val=&quot;009055EB&quot;/&gt;&lt;wsp:rsid wsp:val=&quot;00905B69&quot;/&gt;&lt;wsp:rsid wsp:val=&quot;009060A8&quot;/&gt;&lt;wsp:rsid wsp:val=&quot;00906853&quot;/&gt;&lt;wsp:rsid wsp:val=&quot;00906856&quot;/&gt;&lt;wsp:rsid wsp:val=&quot;00906864&quot;/&gt;&lt;wsp:rsid wsp:val=&quot;00906A15&quot;/&gt;&lt;wsp:rsid wsp:val=&quot;00906ABF&quot;/&gt;&lt;wsp:rsid wsp:val=&quot;00906C11&quot;/&gt;&lt;wsp:rsid wsp:val=&quot;009071AE&quot;/&gt;&lt;wsp:rsid wsp:val=&quot;0090749D&quot;/&gt;&lt;wsp:rsid wsp:val=&quot;00907596&quot;/&gt;&lt;wsp:rsid wsp:val=&quot;0090764B&quot;/&gt;&lt;wsp:rsid wsp:val=&quot;009076CB&quot;/&gt;&lt;wsp:rsid wsp:val=&quot;009078AF&quot;/&gt;&lt;wsp:rsid wsp:val=&quot;00907EB1&quot;/&gt;&lt;wsp:rsid wsp:val=&quot;00907EEC&quot;/&gt;&lt;wsp:rsid wsp:val=&quot;009102C4&quot;/&gt;&lt;wsp:rsid wsp:val=&quot;00910BA2&quot;/&gt;&lt;wsp:rsid wsp:val=&quot;00910D04&quot;/&gt;&lt;wsp:rsid wsp:val=&quot;00910F7B&quot;/&gt;&lt;wsp:rsid wsp:val=&quot;009115C8&quot;/&gt;&lt;wsp:rsid wsp:val=&quot;00911733&quot;/&gt;&lt;wsp:rsid wsp:val=&quot;0091179B&quot;/&gt;&lt;wsp:rsid wsp:val=&quot;0091257C&quot;/&gt;&lt;wsp:rsid wsp:val=&quot;0091271F&quot;/&gt;&lt;wsp:rsid wsp:val=&quot;00912CE0&quot;/&gt;&lt;wsp:rsid wsp:val=&quot;00912DD2&quot;/&gt;&lt;wsp:rsid wsp:val=&quot;00912F07&quot;/&gt;&lt;wsp:rsid wsp:val=&quot;00912F87&quot;/&gt;&lt;wsp:rsid wsp:val=&quot;009132AA&quot;/&gt;&lt;wsp:rsid wsp:val=&quot;009135E5&quot;/&gt;&lt;wsp:rsid wsp:val=&quot;00913717&quot;/&gt;&lt;wsp:rsid wsp:val=&quot;00913790&quot;/&gt;&lt;wsp:rsid wsp:val=&quot;00913C7F&quot;/&gt;&lt;wsp:rsid wsp:val=&quot;00913D47&quot;/&gt;&lt;wsp:rsid wsp:val=&quot;00913E9D&quot;/&gt;&lt;wsp:rsid wsp:val=&quot;009143DF&quot;/&gt;&lt;wsp:rsid wsp:val=&quot;00914437&quot;/&gt;&lt;wsp:rsid wsp:val=&quot;009147CE&quot;/&gt;&lt;wsp:rsid wsp:val=&quot;00914AB9&quot;/&gt;&lt;wsp:rsid wsp:val=&quot;00914F69&quot;/&gt;&lt;wsp:rsid wsp:val=&quot;009157B4&quot;/&gt;&lt;wsp:rsid wsp:val=&quot;0091624C&quot;/&gt;&lt;wsp:rsid wsp:val=&quot;00916658&quot;/&gt;&lt;wsp:rsid wsp:val=&quot;00916E5A&quot;/&gt;&lt;wsp:rsid wsp:val=&quot;00917177&quot;/&gt;&lt;wsp:rsid wsp:val=&quot;009175C8&quot;/&gt;&lt;wsp:rsid wsp:val=&quot;00917B3B&quot;/&gt;&lt;wsp:rsid wsp:val=&quot;0092006C&quot;/&gt;&lt;wsp:rsid wsp:val=&quot;00920473&quot;/&gt;&lt;wsp:rsid wsp:val=&quot;0092088B&quot;/&gt;&lt;wsp:rsid wsp:val=&quot;00920AD2&quot;/&gt;&lt;wsp:rsid wsp:val=&quot;00920FA4&quot;/&gt;&lt;wsp:rsid wsp:val=&quot;0092109F&quot;/&gt;&lt;wsp:rsid wsp:val=&quot;00921510&quot;/&gt;&lt;wsp:rsid wsp:val=&quot;0092193B&quot;/&gt;&lt;wsp:rsid wsp:val=&quot;009219D3&quot;/&gt;&lt;wsp:rsid wsp:val=&quot;00921D32&quot;/&gt;&lt;wsp:rsid wsp:val=&quot;0092209F&quot;/&gt;&lt;wsp:rsid wsp:val=&quot;00922279&quot;/&gt;&lt;wsp:rsid wsp:val=&quot;00922548&quot;/&gt;&lt;wsp:rsid wsp:val=&quot;0092254B&quot;/&gt;&lt;wsp:rsid wsp:val=&quot;00922B18&quot;/&gt;&lt;wsp:rsid wsp:val=&quot;00923118&quot;/&gt;&lt;wsp:rsid wsp:val=&quot;009236E3&quot;/&gt;&lt;wsp:rsid wsp:val=&quot;00923A43&quot;/&gt;&lt;wsp:rsid wsp:val=&quot;00923AE0&quot;/&gt;&lt;wsp:rsid wsp:val=&quot;00923BC3&quot;/&gt;&lt;wsp:rsid wsp:val=&quot;00923E43&quot;/&gt;&lt;wsp:rsid wsp:val=&quot;00923F54&quot;/&gt;&lt;wsp:rsid wsp:val=&quot;00924E02&quot;/&gt;&lt;wsp:rsid wsp:val=&quot;00924E30&quot;/&gt;&lt;wsp:rsid wsp:val=&quot;009251D0&quot;/&gt;&lt;wsp:rsid wsp:val=&quot;00925774&quot;/&gt;&lt;wsp:rsid wsp:val=&quot;00925821&quot;/&gt;&lt;wsp:rsid wsp:val=&quot;00925FF3&quot;/&gt;&lt;wsp:rsid wsp:val=&quot;00926802&quot;/&gt;&lt;wsp:rsid wsp:val=&quot;009269F5&quot;/&gt;&lt;wsp:rsid wsp:val=&quot;00927BAA&quot;/&gt;&lt;wsp:rsid wsp:val=&quot;00927CCF&quot;/&gt;&lt;wsp:rsid wsp:val=&quot;00927DB4&quot;/&gt;&lt;wsp:rsid wsp:val=&quot;00927F77&quot;/&gt;&lt;wsp:rsid wsp:val=&quot;00927FEB&quot;/&gt;&lt;wsp:rsid wsp:val=&quot;009304F1&quot;/&gt;&lt;wsp:rsid wsp:val=&quot;00930641&quot;/&gt;&lt;wsp:rsid wsp:val=&quot;0093088D&quot;/&gt;&lt;wsp:rsid wsp:val=&quot;00930C11&quot;/&gt;&lt;wsp:rsid wsp:val=&quot;00930D0B&quot;/&gt;&lt;wsp:rsid wsp:val=&quot;00930DD3&quot;/&gt;&lt;wsp:rsid wsp:val=&quot;009313EC&quot;/&gt;&lt;wsp:rsid wsp:val=&quot;00931554&quot;/&gt;&lt;wsp:rsid wsp:val=&quot;00931B48&quot;/&gt;&lt;wsp:rsid wsp:val=&quot;00931CE2&quot;/&gt;&lt;wsp:rsid wsp:val=&quot;0093200C&quot;/&gt;&lt;wsp:rsid wsp:val=&quot;009325ED&quot;/&gt;&lt;wsp:rsid wsp:val=&quot;0093275E&quot;/&gt;&lt;wsp:rsid wsp:val=&quot;0093287D&quot;/&gt;&lt;wsp:rsid wsp:val=&quot;00932D4D&quot;/&gt;&lt;wsp:rsid wsp:val=&quot;00932DE2&quot;/&gt;&lt;wsp:rsid wsp:val=&quot;00932E21&quot;/&gt;&lt;wsp:rsid wsp:val=&quot;0093355D&quot;/&gt;&lt;wsp:rsid wsp:val=&quot;00933887&quot;/&gt;&lt;wsp:rsid wsp:val=&quot;009339E0&quot;/&gt;&lt;wsp:rsid wsp:val=&quot;00933DB8&quot;/&gt;&lt;wsp:rsid wsp:val=&quot;00933E9F&quot;/&gt;&lt;wsp:rsid wsp:val=&quot;0093457B&quot;/&gt;&lt;wsp:rsid wsp:val=&quot;00934D3B&quot;/&gt;&lt;wsp:rsid wsp:val=&quot;0093523C&quot;/&gt;&lt;wsp:rsid wsp:val=&quot;009352D1&quot;/&gt;&lt;wsp:rsid wsp:val=&quot;00935CC2&quot;/&gt;&lt;wsp:rsid wsp:val=&quot;00935D23&quot;/&gt;&lt;wsp:rsid wsp:val=&quot;0093605F&quot;/&gt;&lt;wsp:rsid wsp:val=&quot;009360C9&quot;/&gt;&lt;wsp:rsid wsp:val=&quot;00936545&quot;/&gt;&lt;wsp:rsid wsp:val=&quot;00936D64&quot;/&gt;&lt;wsp:rsid wsp:val=&quot;00936F3A&quot;/&gt;&lt;wsp:rsid wsp:val=&quot;00936F68&quot;/&gt;&lt;wsp:rsid wsp:val=&quot;00937205&quot;/&gt;&lt;wsp:rsid wsp:val=&quot;0093729E&quot;/&gt;&lt;wsp:rsid wsp:val=&quot;009378CC&quot;/&gt;&lt;wsp:rsid wsp:val=&quot;00937B53&quot;/&gt;&lt;wsp:rsid wsp:val=&quot;00937BA2&quot;/&gt;&lt;wsp:rsid wsp:val=&quot;00940009&quot;/&gt;&lt;wsp:rsid wsp:val=&quot;009403B1&quot;/&gt;&lt;wsp:rsid wsp:val=&quot;00940992&quot;/&gt;&lt;wsp:rsid wsp:val=&quot;00940B40&quot;/&gt;&lt;wsp:rsid wsp:val=&quot;00940B47&quot;/&gt;&lt;wsp:rsid wsp:val=&quot;00940C7A&quot;/&gt;&lt;wsp:rsid wsp:val=&quot;00940E2E&quot;/&gt;&lt;wsp:rsid wsp:val=&quot;00940ECD&quot;/&gt;&lt;wsp:rsid wsp:val=&quot;00941161&quot;/&gt;&lt;wsp:rsid wsp:val=&quot;0094116E&quot;/&gt;&lt;wsp:rsid wsp:val=&quot;00941302&quot;/&gt;&lt;wsp:rsid wsp:val=&quot;0094131C&quot;/&gt;&lt;wsp:rsid wsp:val=&quot;0094136B&quot;/&gt;&lt;wsp:rsid wsp:val=&quot;00941555&quot;/&gt;&lt;wsp:rsid wsp:val=&quot;00941B19&quot;/&gt;&lt;wsp:rsid wsp:val=&quot;009424BE&quot;/&gt;&lt;wsp:rsid wsp:val=&quot;009426FC&quot;/&gt;&lt;wsp:rsid wsp:val=&quot;009428F9&quot;/&gt;&lt;wsp:rsid wsp:val=&quot;00943268&quot;/&gt;&lt;wsp:rsid wsp:val=&quot;00943605&quot;/&gt;&lt;wsp:rsid wsp:val=&quot;00943812&quot;/&gt;&lt;wsp:rsid wsp:val=&quot;00943923&quot;/&gt;&lt;wsp:rsid wsp:val=&quot;00943EB7&quot;/&gt;&lt;wsp:rsid wsp:val=&quot;00943F71&quot;/&gt;&lt;wsp:rsid wsp:val=&quot;00943FBC&quot;/&gt;&lt;wsp:rsid wsp:val=&quot;009452AE&quot;/&gt;&lt;wsp:rsid wsp:val=&quot;00945548&quot;/&gt;&lt;wsp:rsid wsp:val=&quot;00945834&quot;/&gt;&lt;wsp:rsid wsp:val=&quot;009458E4&quot;/&gt;&lt;wsp:rsid wsp:val=&quot;00945A9F&quot;/&gt;&lt;wsp:rsid wsp:val=&quot;00945CDE&quot;/&gt;&lt;wsp:rsid wsp:val=&quot;00945DD4&quot;/&gt;&lt;wsp:rsid wsp:val=&quot;0094626E&quot;/&gt;&lt;wsp:rsid wsp:val=&quot;009463D7&quot;/&gt;&lt;wsp:rsid wsp:val=&quot;00946B1E&quot;/&gt;&lt;wsp:rsid wsp:val=&quot;00946EC2&quot;/&gt;&lt;wsp:rsid wsp:val=&quot;0094764A&quot;/&gt;&lt;wsp:rsid wsp:val=&quot;009479DB&quot;/&gt;&lt;wsp:rsid wsp:val=&quot;0095016A&quot;/&gt;&lt;wsp:rsid wsp:val=&quot;0095038D&quot;/&gt;&lt;wsp:rsid wsp:val=&quot;00951969&quot;/&gt;&lt;wsp:rsid wsp:val=&quot;00951BB1&quot;/&gt;&lt;wsp:rsid wsp:val=&quot;00951ED8&quot;/&gt;&lt;wsp:rsid wsp:val=&quot;009524C6&quot;/&gt;&lt;wsp:rsid wsp:val=&quot;009527FE&quot;/&gt;&lt;wsp:rsid wsp:val=&quot;00952805&quot;/&gt;&lt;wsp:rsid wsp:val=&quot;00952C7D&quot;/&gt;&lt;wsp:rsid wsp:val=&quot;00952ED4&quot;/&gt;&lt;wsp:rsid wsp:val=&quot;00953062&quot;/&gt;&lt;wsp:rsid wsp:val=&quot;00953263&quot;/&gt;&lt;wsp:rsid wsp:val=&quot;00953AFF&quot;/&gt;&lt;wsp:rsid wsp:val=&quot;00953BA1&quot;/&gt;&lt;wsp:rsid wsp:val=&quot;00953E7D&quot;/&gt;&lt;wsp:rsid wsp:val=&quot;00953FA0&quot;/&gt;&lt;wsp:rsid wsp:val=&quot;00954233&quot;/&gt;&lt;wsp:rsid wsp:val=&quot;00954283&quot;/&gt;&lt;wsp:rsid wsp:val=&quot;0095446D&quot;/&gt;&lt;wsp:rsid wsp:val=&quot;0095452A&quot;/&gt;&lt;wsp:rsid wsp:val=&quot;0095460C&quot;/&gt;&lt;wsp:rsid wsp:val=&quot;0095480E&quot;/&gt;&lt;wsp:rsid wsp:val=&quot;00954BAD&quot;/&gt;&lt;wsp:rsid wsp:val=&quot;00954E91&quot;/&gt;&lt;wsp:rsid wsp:val=&quot;009550C2&quot;/&gt;&lt;wsp:rsid wsp:val=&quot;0095533C&quot;/&gt;&lt;wsp:rsid wsp:val=&quot;009557A8&quot;/&gt;&lt;wsp:rsid wsp:val=&quot;00955DE6&quot;/&gt;&lt;wsp:rsid wsp:val=&quot;00955DF3&quot;/&gt;&lt;wsp:rsid wsp:val=&quot;00955DFE&quot;/&gt;&lt;wsp:rsid wsp:val=&quot;00955F0C&quot;/&gt;&lt;wsp:rsid wsp:val=&quot;009560F5&quot;/&gt;&lt;wsp:rsid wsp:val=&quot;00956C7D&quot;/&gt;&lt;wsp:rsid wsp:val=&quot;00956CDB&quot;/&gt;&lt;wsp:rsid wsp:val=&quot;0095730C&quot;/&gt;&lt;wsp:rsid wsp:val=&quot;00957695&quot;/&gt;&lt;wsp:rsid wsp:val=&quot;009576DE&quot;/&gt;&lt;wsp:rsid wsp:val=&quot;00957CC0&quot;/&gt;&lt;wsp:rsid wsp:val=&quot;00957D47&quot;/&gt;&lt;wsp:rsid wsp:val=&quot;00957EC5&quot;/&gt;&lt;wsp:rsid wsp:val=&quot;00960237&quot;/&gt;&lt;wsp:rsid wsp:val=&quot;0096032B&quot;/&gt;&lt;wsp:rsid wsp:val=&quot;009606AB&quot;/&gt;&lt;wsp:rsid wsp:val=&quot;009609B8&quot;/&gt;&lt;wsp:rsid wsp:val=&quot;00960A1B&quot;/&gt;&lt;wsp:rsid wsp:val=&quot;00960A5B&quot;/&gt;&lt;wsp:rsid wsp:val=&quot;00960DD3&quot;/&gt;&lt;wsp:rsid wsp:val=&quot;00960DF8&quot;/&gt;&lt;wsp:rsid wsp:val=&quot;00960F40&quot;/&gt;&lt;wsp:rsid wsp:val=&quot;00960FA4&quot;/&gt;&lt;wsp:rsid wsp:val=&quot;00961315&quot;/&gt;&lt;wsp:rsid wsp:val=&quot;0096148D&quot;/&gt;&lt;wsp:rsid wsp:val=&quot;00962566&quot;/&gt;&lt;wsp:rsid wsp:val=&quot;00962DEC&quot;/&gt;&lt;wsp:rsid wsp:val=&quot;0096305B&quot;/&gt;&lt;wsp:rsid wsp:val=&quot;00963321&quot;/&gt;&lt;wsp:rsid wsp:val=&quot;0096374E&quot;/&gt;&lt;wsp:rsid wsp:val=&quot;0096384C&quot;/&gt;&lt;wsp:rsid wsp:val=&quot;00963990&quot;/&gt;&lt;wsp:rsid wsp:val=&quot;00963F3E&quot;/&gt;&lt;wsp:rsid wsp:val=&quot;00963FB5&quot;/&gt;&lt;wsp:rsid wsp:val=&quot;00964615&quot;/&gt;&lt;wsp:rsid wsp:val=&quot;00964654&quot;/&gt;&lt;wsp:rsid wsp:val=&quot;009648C7&quot;/&gt;&lt;wsp:rsid wsp:val=&quot;00964F94&quot;/&gt;&lt;wsp:rsid wsp:val=&quot;009655CE&quot;/&gt;&lt;wsp:rsid wsp:val=&quot;00965D54&quot;/&gt;&lt;wsp:rsid wsp:val=&quot;009662CE&quot;/&gt;&lt;wsp:rsid wsp:val=&quot;00966480&quot;/&gt;&lt;wsp:rsid wsp:val=&quot;009667B5&quot;/&gt;&lt;wsp:rsid wsp:val=&quot;0096690C&quot;/&gt;&lt;wsp:rsid wsp:val=&quot;00966956&quot;/&gt;&lt;wsp:rsid wsp:val=&quot;00966A9F&quot;/&gt;&lt;wsp:rsid wsp:val=&quot;0096711A&quot;/&gt;&lt;wsp:rsid wsp:val=&quot;00967304&quot;/&gt;&lt;wsp:rsid wsp:val=&quot;00967551&quot;/&gt;&lt;wsp:rsid wsp:val=&quot;009675E9&quot;/&gt;&lt;wsp:rsid wsp:val=&quot;009677A1&quot;/&gt;&lt;wsp:rsid wsp:val=&quot;00970D50&quot;/&gt;&lt;wsp:rsid wsp:val=&quot;00970FEB&quot;/&gt;&lt;wsp:rsid wsp:val=&quot;00971110&quot;/&gt;&lt;wsp:rsid wsp:val=&quot;0097136E&quot;/&gt;&lt;wsp:rsid wsp:val=&quot;009713D0&quot;/&gt;&lt;wsp:rsid wsp:val=&quot;00971927&quot;/&gt;&lt;wsp:rsid wsp:val=&quot;00971969&quot;/&gt;&lt;wsp:rsid wsp:val=&quot;00971BC7&quot;/&gt;&lt;wsp:rsid wsp:val=&quot;00971C05&quot;/&gt;&lt;wsp:rsid wsp:val=&quot;00971CAA&quot;/&gt;&lt;wsp:rsid wsp:val=&quot;00972210&quot;/&gt;&lt;wsp:rsid wsp:val=&quot;0097343E&quot;/&gt;&lt;wsp:rsid wsp:val=&quot;00973AAB&quot;/&gt;&lt;wsp:rsid wsp:val=&quot;00973C00&quot;/&gt;&lt;wsp:rsid wsp:val=&quot;00973D92&quot;/&gt;&lt;wsp:rsid wsp:val=&quot;00973E53&quot;/&gt;&lt;wsp:rsid wsp:val=&quot;00974110&quot;/&gt;&lt;wsp:rsid wsp:val=&quot;009741DD&quot;/&gt;&lt;wsp:rsid wsp:val=&quot;009742E5&quot;/&gt;&lt;wsp:rsid wsp:val=&quot;00974907&quot;/&gt;&lt;wsp:rsid wsp:val=&quot;00974AE7&quot;/&gt;&lt;wsp:rsid wsp:val=&quot;0097550F&quot;/&gt;&lt;wsp:rsid wsp:val=&quot;0097594A&quot;/&gt;&lt;wsp:rsid wsp:val=&quot;009759C3&quot;/&gt;&lt;wsp:rsid wsp:val=&quot;00975A0E&quot;/&gt;&lt;wsp:rsid wsp:val=&quot;00976090&quot;/&gt;&lt;wsp:rsid wsp:val=&quot;0097735E&quot;/&gt;&lt;wsp:rsid wsp:val=&quot;0097784C&quot;/&gt;&lt;wsp:rsid wsp:val=&quot;009778A0&quot;/&gt;&lt;wsp:rsid wsp:val=&quot;00977B6E&quot;/&gt;&lt;wsp:rsid wsp:val=&quot;00977D78&quot;/&gt;&lt;wsp:rsid wsp:val=&quot;009801FA&quot;/&gt;&lt;wsp:rsid wsp:val=&quot;00980377&quot;/&gt;&lt;wsp:rsid wsp:val=&quot;00980390&quot;/&gt;&lt;wsp:rsid wsp:val=&quot;009803F5&quot;/&gt;&lt;wsp:rsid wsp:val=&quot;00980790&quot;/&gt;&lt;wsp:rsid wsp:val=&quot;00980BB9&quot;/&gt;&lt;wsp:rsid wsp:val=&quot;00980E2A&quot;/&gt;&lt;wsp:rsid wsp:val=&quot;00980EC8&quot;/&gt;&lt;wsp:rsid wsp:val=&quot;009815C2&quot;/&gt;&lt;wsp:rsid wsp:val=&quot;0098278D&quot;/&gt;&lt;wsp:rsid wsp:val=&quot;00982AC4&quot;/&gt;&lt;wsp:rsid wsp:val=&quot;0098346C&quot;/&gt;&lt;wsp:rsid wsp:val=&quot;0098353D&quot;/&gt;&lt;wsp:rsid wsp:val=&quot;009835FB&quot;/&gt;&lt;wsp:rsid wsp:val=&quot;00983797&quot;/&gt;&lt;wsp:rsid wsp:val=&quot;00983827&quot;/&gt;&lt;wsp:rsid wsp:val=&quot;0098488D&quot;/&gt;&lt;wsp:rsid wsp:val=&quot;00984A8C&quot;/&gt;&lt;wsp:rsid wsp:val=&quot;00984AAD&quot;/&gt;&lt;wsp:rsid wsp:val=&quot;00984B8B&quot;/&gt;&lt;wsp:rsid wsp:val=&quot;00984D74&quot;/&gt;&lt;wsp:rsid wsp:val=&quot;00984DD8&quot;/&gt;&lt;wsp:rsid wsp:val=&quot;0098508E&quot;/&gt;&lt;wsp:rsid wsp:val=&quot;009852F4&quot;/&gt;&lt;wsp:rsid wsp:val=&quot;009859BF&quot;/&gt;&lt;wsp:rsid wsp:val=&quot;00987163&quot;/&gt;&lt;wsp:rsid wsp:val=&quot;0098754F&quot;/&gt;&lt;wsp:rsid wsp:val=&quot;00987980&quot;/&gt;&lt;wsp:rsid wsp:val=&quot;00987E89&quot;/&gt;&lt;wsp:rsid wsp:val=&quot;00991459&quot;/&gt;&lt;wsp:rsid wsp:val=&quot;00991671&quot;/&gt;&lt;wsp:rsid wsp:val=&quot;00991782&quot;/&gt;&lt;wsp:rsid wsp:val=&quot;009917E3&quot;/&gt;&lt;wsp:rsid wsp:val=&quot;00991A13&quot;/&gt;&lt;wsp:rsid wsp:val=&quot;00991E2A&quot;/&gt;&lt;wsp:rsid wsp:val=&quot;009921AD&quot;/&gt;&lt;wsp:rsid wsp:val=&quot;009921D4&quot;/&gt;&lt;wsp:rsid wsp:val=&quot;0099278A&quot;/&gt;&lt;wsp:rsid wsp:val=&quot;00992869&quot;/&gt;&lt;wsp:rsid wsp:val=&quot;00992C3D&quot;/&gt;&lt;wsp:rsid wsp:val=&quot;00992DE3&quot;/&gt;&lt;wsp:rsid wsp:val=&quot;0099312A&quot;/&gt;&lt;wsp:rsid wsp:val=&quot;00993200&quot;/&gt;&lt;wsp:rsid wsp:val=&quot;00993249&quot;/&gt;&lt;wsp:rsid wsp:val=&quot;00993475&quot;/&gt;&lt;wsp:rsid wsp:val=&quot;00993B49&quot;/&gt;&lt;wsp:rsid wsp:val=&quot;00993BD3&quot;/&gt;&lt;wsp:rsid wsp:val=&quot;00994D3E&quot;/&gt;&lt;wsp:rsid wsp:val=&quot;009955E0&quot;/&gt;&lt;wsp:rsid wsp:val=&quot;00995611&quot;/&gt;&lt;wsp:rsid wsp:val=&quot;009957D0&quot;/&gt;&lt;wsp:rsid wsp:val=&quot;009958F6&quot;/&gt;&lt;wsp:rsid wsp:val=&quot;00995A30&quot;/&gt;&lt;wsp:rsid wsp:val=&quot;00995C78&quot;/&gt;&lt;wsp:rsid wsp:val=&quot;00995D52&quot;/&gt;&lt;wsp:rsid wsp:val=&quot;00995D62&quot;/&gt;&lt;wsp:rsid wsp:val=&quot;00995EED&quot;/&gt;&lt;wsp:rsid wsp:val=&quot;0099609C&quot;/&gt;&lt;wsp:rsid wsp:val=&quot;009967AD&quot;/&gt;&lt;wsp:rsid wsp:val=&quot;00996821&quot;/&gt;&lt;wsp:rsid wsp:val=&quot;009969C4&quot;/&gt;&lt;wsp:rsid wsp:val=&quot;00996C5E&quot;/&gt;&lt;wsp:rsid wsp:val=&quot;00996E57&quot;/&gt;&lt;wsp:rsid wsp:val=&quot;009972EB&quot;/&gt;&lt;wsp:rsid wsp:val=&quot;00997809&quot;/&gt;&lt;wsp:rsid wsp:val=&quot;009A00EF&quot;/&gt;&lt;wsp:rsid wsp:val=&quot;009A031D&quot;/&gt;&lt;wsp:rsid wsp:val=&quot;009A0546&quot;/&gt;&lt;wsp:rsid wsp:val=&quot;009A0691&quot;/&gt;&lt;wsp:rsid wsp:val=&quot;009A0AA4&quot;/&gt;&lt;wsp:rsid wsp:val=&quot;009A1202&quot;/&gt;&lt;wsp:rsid wsp:val=&quot;009A16E8&quot;/&gt;&lt;wsp:rsid wsp:val=&quot;009A170E&quot;/&gt;&lt;wsp:rsid wsp:val=&quot;009A1756&quot;/&gt;&lt;wsp:rsid wsp:val=&quot;009A179F&quot;/&gt;&lt;wsp:rsid wsp:val=&quot;009A1F5C&quot;/&gt;&lt;wsp:rsid wsp:val=&quot;009A215F&quot;/&gt;&lt;wsp:rsid wsp:val=&quot;009A24E6&quot;/&gt;&lt;wsp:rsid wsp:val=&quot;009A24F6&quot;/&gt;&lt;wsp:rsid wsp:val=&quot;009A2528&quot;/&gt;&lt;wsp:rsid wsp:val=&quot;009A261F&quot;/&gt;&lt;wsp:rsid wsp:val=&quot;009A295F&quot;/&gt;&lt;wsp:rsid wsp:val=&quot;009A2EEB&quot;/&gt;&lt;wsp:rsid wsp:val=&quot;009A3A57&quot;/&gt;&lt;wsp:rsid wsp:val=&quot;009A3CCC&quot;/&gt;&lt;wsp:rsid wsp:val=&quot;009A4396&quot;/&gt;&lt;wsp:rsid wsp:val=&quot;009A452F&quot;/&gt;&lt;wsp:rsid wsp:val=&quot;009A46B8&quot;/&gt;&lt;wsp:rsid wsp:val=&quot;009A4725&quot;/&gt;&lt;wsp:rsid wsp:val=&quot;009A4863&quot;/&gt;&lt;wsp:rsid wsp:val=&quot;009A4996&quot;/&gt;&lt;wsp:rsid wsp:val=&quot;009A4BC2&quot;/&gt;&lt;wsp:rsid wsp:val=&quot;009A4F9A&quot;/&gt;&lt;wsp:rsid wsp:val=&quot;009A5039&quot;/&gt;&lt;wsp:rsid wsp:val=&quot;009A519E&quot;/&gt;&lt;wsp:rsid wsp:val=&quot;009A5423&quot;/&gt;&lt;wsp:rsid wsp:val=&quot;009A5468&quot;/&gt;&lt;wsp:rsid wsp:val=&quot;009A57B5&quot;/&gt;&lt;wsp:rsid wsp:val=&quot;009A5B9A&quot;/&gt;&lt;wsp:rsid wsp:val=&quot;009A5E75&quot;/&gt;&lt;wsp:rsid wsp:val=&quot;009A60AE&quot;/&gt;&lt;wsp:rsid wsp:val=&quot;009A616D&quot;/&gt;&lt;wsp:rsid wsp:val=&quot;009A6712&quot;/&gt;&lt;wsp:rsid wsp:val=&quot;009A68F1&quot;/&gt;&lt;wsp:rsid wsp:val=&quot;009A6A5B&quot;/&gt;&lt;wsp:rsid wsp:val=&quot;009A6B39&quot;/&gt;&lt;wsp:rsid wsp:val=&quot;009A6D9B&quot;/&gt;&lt;wsp:rsid wsp:val=&quot;009A7078&quot;/&gt;&lt;wsp:rsid wsp:val=&quot;009A751C&quot;/&gt;&lt;wsp:rsid wsp:val=&quot;009A7768&quot;/&gt;&lt;wsp:rsid wsp:val=&quot;009A778F&quot;/&gt;&lt;wsp:rsid wsp:val=&quot;009A7BB0&quot;/&gt;&lt;wsp:rsid wsp:val=&quot;009A7BFB&quot;/&gt;&lt;wsp:rsid wsp:val=&quot;009A7C9E&quot;/&gt;&lt;wsp:rsid wsp:val=&quot;009B030A&quot;/&gt;&lt;wsp:rsid wsp:val=&quot;009B0BA0&quot;/&gt;&lt;wsp:rsid wsp:val=&quot;009B0D0E&quot;/&gt;&lt;wsp:rsid wsp:val=&quot;009B0D1C&quot;/&gt;&lt;wsp:rsid wsp:val=&quot;009B1D40&quot;/&gt;&lt;wsp:rsid wsp:val=&quot;009B2453&quot;/&gt;&lt;wsp:rsid wsp:val=&quot;009B25C0&quot;/&gt;&lt;wsp:rsid wsp:val=&quot;009B2649&quot;/&gt;&lt;wsp:rsid wsp:val=&quot;009B27CF&quot;/&gt;&lt;wsp:rsid wsp:val=&quot;009B2818&quot;/&gt;&lt;wsp:rsid wsp:val=&quot;009B2A7E&quot;/&gt;&lt;wsp:rsid wsp:val=&quot;009B2AAF&quot;/&gt;&lt;wsp:rsid wsp:val=&quot;009B2AFC&quot;/&gt;&lt;wsp:rsid wsp:val=&quot;009B2B4B&quot;/&gt;&lt;wsp:rsid wsp:val=&quot;009B2DDF&quot;/&gt;&lt;wsp:rsid wsp:val=&quot;009B3261&quot;/&gt;&lt;wsp:rsid wsp:val=&quot;009B3DE1&quot;/&gt;&lt;wsp:rsid wsp:val=&quot;009B4723&quot;/&gt;&lt;wsp:rsid wsp:val=&quot;009B4B92&quot;/&gt;&lt;wsp:rsid wsp:val=&quot;009B54B4&quot;/&gt;&lt;wsp:rsid wsp:val=&quot;009B5A4D&quot;/&gt;&lt;wsp:rsid wsp:val=&quot;009B5BB6&quot;/&gt;&lt;wsp:rsid wsp:val=&quot;009B6CDE&quot;/&gt;&lt;wsp:rsid wsp:val=&quot;009B7120&quot;/&gt;&lt;wsp:rsid wsp:val=&quot;009B79FA&quot;/&gt;&lt;wsp:rsid wsp:val=&quot;009B7A35&quot;/&gt;&lt;wsp:rsid wsp:val=&quot;009B7B82&quot;/&gt;&lt;wsp:rsid wsp:val=&quot;009B7DC2&quot;/&gt;&lt;wsp:rsid wsp:val=&quot;009C053E&quot;/&gt;&lt;wsp:rsid wsp:val=&quot;009C06B6&quot;/&gt;&lt;wsp:rsid wsp:val=&quot;009C08EA&quot;/&gt;&lt;wsp:rsid wsp:val=&quot;009C09FD&quot;/&gt;&lt;wsp:rsid wsp:val=&quot;009C0D5C&quot;/&gt;&lt;wsp:rsid wsp:val=&quot;009C1451&quot;/&gt;&lt;wsp:rsid wsp:val=&quot;009C1F4F&quot;/&gt;&lt;wsp:rsid wsp:val=&quot;009C2072&quot;/&gt;&lt;wsp:rsid wsp:val=&quot;009C23D6&quot;/&gt;&lt;wsp:rsid wsp:val=&quot;009C2722&quot;/&gt;&lt;wsp:rsid wsp:val=&quot;009C2729&quot;/&gt;&lt;wsp:rsid wsp:val=&quot;009C2784&quot;/&gt;&lt;wsp:rsid wsp:val=&quot;009C2AEA&quot;/&gt;&lt;wsp:rsid wsp:val=&quot;009C2C3F&quot;/&gt;&lt;wsp:rsid wsp:val=&quot;009C2FDD&quot;/&gt;&lt;wsp:rsid wsp:val=&quot;009C34F9&quot;/&gt;&lt;wsp:rsid wsp:val=&quot;009C35E7&quot;/&gt;&lt;wsp:rsid wsp:val=&quot;009C36E7&quot;/&gt;&lt;wsp:rsid wsp:val=&quot;009C38E9&quot;/&gt;&lt;wsp:rsid wsp:val=&quot;009C39F3&quot;/&gt;&lt;wsp:rsid wsp:val=&quot;009C3E94&quot;/&gt;&lt;wsp:rsid wsp:val=&quot;009C3FCC&quot;/&gt;&lt;wsp:rsid wsp:val=&quot;009C4BE5&quot;/&gt;&lt;wsp:rsid wsp:val=&quot;009C4ED7&quot;/&gt;&lt;wsp:rsid wsp:val=&quot;009C4F74&quot;/&gt;&lt;wsp:rsid wsp:val=&quot;009C5115&quot;/&gt;&lt;wsp:rsid wsp:val=&quot;009C517E&quot;/&gt;&lt;wsp:rsid wsp:val=&quot;009C542D&quot;/&gt;&lt;wsp:rsid wsp:val=&quot;009C57E9&quot;/&gt;&lt;wsp:rsid wsp:val=&quot;009C5B1C&quot;/&gt;&lt;wsp:rsid wsp:val=&quot;009C5BC1&quot;/&gt;&lt;wsp:rsid wsp:val=&quot;009C6835&quot;/&gt;&lt;wsp:rsid wsp:val=&quot;009C696A&quot;/&gt;&lt;wsp:rsid wsp:val=&quot;009C6BF5&quot;/&gt;&lt;wsp:rsid wsp:val=&quot;009C708E&quot;/&gt;&lt;wsp:rsid wsp:val=&quot;009C715D&quot;/&gt;&lt;wsp:rsid wsp:val=&quot;009C76B8&quot;/&gt;&lt;wsp:rsid wsp:val=&quot;009C7E16&quot;/&gt;&lt;wsp:rsid wsp:val=&quot;009C7E8B&quot;/&gt;&lt;wsp:rsid wsp:val=&quot;009C7F54&quot;/&gt;&lt;wsp:rsid wsp:val=&quot;009C7F9F&quot;/&gt;&lt;wsp:rsid wsp:val=&quot;009D04EE&quot;/&gt;&lt;wsp:rsid wsp:val=&quot;009D07C5&quot;/&gt;&lt;wsp:rsid wsp:val=&quot;009D0A80&quot;/&gt;&lt;wsp:rsid wsp:val=&quot;009D0AA1&quot;/&gt;&lt;wsp:rsid wsp:val=&quot;009D0AF6&quot;/&gt;&lt;wsp:rsid wsp:val=&quot;009D0B58&quot;/&gt;&lt;wsp:rsid wsp:val=&quot;009D0BEB&quot;/&gt;&lt;wsp:rsid wsp:val=&quot;009D11AD&quot;/&gt;&lt;wsp:rsid wsp:val=&quot;009D1479&quot;/&gt;&lt;wsp:rsid wsp:val=&quot;009D15E4&quot;/&gt;&lt;wsp:rsid wsp:val=&quot;009D162D&quot;/&gt;&lt;wsp:rsid wsp:val=&quot;009D17A0&quot;/&gt;&lt;wsp:rsid wsp:val=&quot;009D19F1&quot;/&gt;&lt;wsp:rsid wsp:val=&quot;009D2125&quot;/&gt;&lt;wsp:rsid wsp:val=&quot;009D227E&quot;/&gt;&lt;wsp:rsid wsp:val=&quot;009D23AA&quot;/&gt;&lt;wsp:rsid wsp:val=&quot;009D23C0&quot;/&gt;&lt;wsp:rsid wsp:val=&quot;009D281F&quot;/&gt;&lt;wsp:rsid wsp:val=&quot;009D298A&quot;/&gt;&lt;wsp:rsid wsp:val=&quot;009D29F0&quot;/&gt;&lt;wsp:rsid wsp:val=&quot;009D2B6B&quot;/&gt;&lt;wsp:rsid wsp:val=&quot;009D2BE3&quot;/&gt;&lt;wsp:rsid wsp:val=&quot;009D2E4A&quot;/&gt;&lt;wsp:rsid wsp:val=&quot;009D2EBB&quot;/&gt;&lt;wsp:rsid wsp:val=&quot;009D2FBB&quot;/&gt;&lt;wsp:rsid wsp:val=&quot;009D31E6&quot;/&gt;&lt;wsp:rsid wsp:val=&quot;009D35BB&quot;/&gt;&lt;wsp:rsid wsp:val=&quot;009D3A39&quot;/&gt;&lt;wsp:rsid wsp:val=&quot;009D3AE1&quot;/&gt;&lt;wsp:rsid wsp:val=&quot;009D3AF5&quot;/&gt;&lt;wsp:rsid wsp:val=&quot;009D461A&quot;/&gt;&lt;wsp:rsid wsp:val=&quot;009D56D5&quot;/&gt;&lt;wsp:rsid wsp:val=&quot;009D57B6&quot;/&gt;&lt;wsp:rsid wsp:val=&quot;009D5916&quot;/&gt;&lt;wsp:rsid wsp:val=&quot;009D5D5E&quot;/&gt;&lt;wsp:rsid wsp:val=&quot;009D6099&quot;/&gt;&lt;wsp:rsid wsp:val=&quot;009D61D7&quot;/&gt;&lt;wsp:rsid wsp:val=&quot;009D61E5&quot;/&gt;&lt;wsp:rsid wsp:val=&quot;009D6605&quot;/&gt;&lt;wsp:rsid wsp:val=&quot;009D67EA&quot;/&gt;&lt;wsp:rsid wsp:val=&quot;009D6ABA&quot;/&gt;&lt;wsp:rsid wsp:val=&quot;009D6ABF&quot;/&gt;&lt;wsp:rsid wsp:val=&quot;009D6D5A&quot;/&gt;&lt;wsp:rsid wsp:val=&quot;009D79DB&quot;/&gt;&lt;wsp:rsid wsp:val=&quot;009D7A84&quot;/&gt;&lt;wsp:rsid wsp:val=&quot;009D7AB4&quot;/&gt;&lt;wsp:rsid wsp:val=&quot;009D7D1E&quot;/&gt;&lt;wsp:rsid wsp:val=&quot;009D7FD1&quot;/&gt;&lt;wsp:rsid wsp:val=&quot;009E037F&quot;/&gt;&lt;wsp:rsid wsp:val=&quot;009E07DE&quot;/&gt;&lt;wsp:rsid wsp:val=&quot;009E0BCD&quot;/&gt;&lt;wsp:rsid wsp:val=&quot;009E0BEF&quot;/&gt;&lt;wsp:rsid wsp:val=&quot;009E0DD7&quot;/&gt;&lt;wsp:rsid wsp:val=&quot;009E0F4D&quot;/&gt;&lt;wsp:rsid wsp:val=&quot;009E0FB4&quot;/&gt;&lt;wsp:rsid wsp:val=&quot;009E1086&quot;/&gt;&lt;wsp:rsid wsp:val=&quot;009E1294&quot;/&gt;&lt;wsp:rsid wsp:val=&quot;009E19F8&quot;/&gt;&lt;wsp:rsid wsp:val=&quot;009E1C77&quot;/&gt;&lt;wsp:rsid wsp:val=&quot;009E2DEE&quot;/&gt;&lt;wsp:rsid wsp:val=&quot;009E36EB&quot;/&gt;&lt;wsp:rsid wsp:val=&quot;009E3E4C&quot;/&gt;&lt;wsp:rsid wsp:val=&quot;009E3FFF&quot;/&gt;&lt;wsp:rsid wsp:val=&quot;009E45F4&quot;/&gt;&lt;wsp:rsid wsp:val=&quot;009E4622&quot;/&gt;&lt;wsp:rsid wsp:val=&quot;009E48F5&quot;/&gt;&lt;wsp:rsid wsp:val=&quot;009E5044&quot;/&gt;&lt;wsp:rsid wsp:val=&quot;009E5060&quot;/&gt;&lt;wsp:rsid wsp:val=&quot;009E53F0&quot;/&gt;&lt;wsp:rsid wsp:val=&quot;009E53F2&quot;/&gt;&lt;wsp:rsid wsp:val=&quot;009E5666&quot;/&gt;&lt;wsp:rsid wsp:val=&quot;009E56C1&quot;/&gt;&lt;wsp:rsid wsp:val=&quot;009E591E&quot;/&gt;&lt;wsp:rsid wsp:val=&quot;009E5D87&quot;/&gt;&lt;wsp:rsid wsp:val=&quot;009E5DE0&quot;/&gt;&lt;wsp:rsid wsp:val=&quot;009E68A8&quot;/&gt;&lt;wsp:rsid wsp:val=&quot;009E6988&quot;/&gt;&lt;wsp:rsid wsp:val=&quot;009E6C73&quot;/&gt;&lt;wsp:rsid wsp:val=&quot;009E6CC9&quot;/&gt;&lt;wsp:rsid wsp:val=&quot;009E71EE&quot;/&gt;&lt;wsp:rsid wsp:val=&quot;009E7D27&quot;/&gt;&lt;wsp:rsid wsp:val=&quot;009F0DAA&quot;/&gt;&lt;wsp:rsid wsp:val=&quot;009F0E30&quot;/&gt;&lt;wsp:rsid wsp:val=&quot;009F1B40&quot;/&gt;&lt;wsp:rsid wsp:val=&quot;009F1C8A&quot;/&gt;&lt;wsp:rsid wsp:val=&quot;009F254F&quot;/&gt;&lt;wsp:rsid wsp:val=&quot;009F26F9&quot;/&gt;&lt;wsp:rsid wsp:val=&quot;009F2846&quot;/&gt;&lt;wsp:rsid wsp:val=&quot;009F2AFA&quot;/&gt;&lt;wsp:rsid wsp:val=&quot;009F2D02&quot;/&gt;&lt;wsp:rsid wsp:val=&quot;009F3060&quot;/&gt;&lt;wsp:rsid wsp:val=&quot;009F37DD&quot;/&gt;&lt;wsp:rsid wsp:val=&quot;009F3857&quot;/&gt;&lt;wsp:rsid wsp:val=&quot;009F3960&quot;/&gt;&lt;wsp:rsid wsp:val=&quot;009F3C41&quot;/&gt;&lt;wsp:rsid wsp:val=&quot;009F426A&quot;/&gt;&lt;wsp:rsid wsp:val=&quot;009F4681&quot;/&gt;&lt;wsp:rsid wsp:val=&quot;009F48C5&quot;/&gt;&lt;wsp:rsid wsp:val=&quot;009F4D8C&quot;/&gt;&lt;wsp:rsid wsp:val=&quot;009F4FFF&quot;/&gt;&lt;wsp:rsid wsp:val=&quot;009F519D&quot;/&gt;&lt;wsp:rsid wsp:val=&quot;009F5232&quot;/&gt;&lt;wsp:rsid wsp:val=&quot;009F52A3&quot;/&gt;&lt;wsp:rsid wsp:val=&quot;009F53C7&quot;/&gt;&lt;wsp:rsid wsp:val=&quot;009F56F5&quot;/&gt;&lt;wsp:rsid wsp:val=&quot;009F590B&quot;/&gt;&lt;wsp:rsid wsp:val=&quot;009F5AF6&quot;/&gt;&lt;wsp:rsid wsp:val=&quot;009F5EC0&quot;/&gt;&lt;wsp:rsid wsp:val=&quot;009F6174&quot;/&gt;&lt;wsp:rsid wsp:val=&quot;009F61F3&quot;/&gt;&lt;wsp:rsid wsp:val=&quot;009F6612&quot;/&gt;&lt;wsp:rsid wsp:val=&quot;009F66D0&quot;/&gt;&lt;wsp:rsid wsp:val=&quot;009F6BFF&quot;/&gt;&lt;wsp:rsid wsp:val=&quot;009F6C12&quot;/&gt;&lt;wsp:rsid wsp:val=&quot;009F6C6F&quot;/&gt;&lt;wsp:rsid wsp:val=&quot;009F6D60&quot;/&gt;&lt;wsp:rsid wsp:val=&quot;009F6E91&quot;/&gt;&lt;wsp:rsid wsp:val=&quot;009F7704&quot;/&gt;&lt;wsp:rsid wsp:val=&quot;009F7E7D&quot;/&gt;&lt;wsp:rsid wsp:val=&quot;00A00108&quot;/&gt;&lt;wsp:rsid wsp:val=&quot;00A0029D&quot;/&gt;&lt;wsp:rsid wsp:val=&quot;00A006E2&quot;/&gt;&lt;wsp:rsid wsp:val=&quot;00A006EE&quot;/&gt;&lt;wsp:rsid wsp:val=&quot;00A0074F&quot;/&gt;&lt;wsp:rsid wsp:val=&quot;00A00F23&quot;/&gt;&lt;wsp:rsid wsp:val=&quot;00A013C1&quot;/&gt;&lt;wsp:rsid wsp:val=&quot;00A01BB7&quot;/&gt;&lt;wsp:rsid wsp:val=&quot;00A01BBC&quot;/&gt;&lt;wsp:rsid wsp:val=&quot;00A01C6B&quot;/&gt;&lt;wsp:rsid wsp:val=&quot;00A01CBE&quot;/&gt;&lt;wsp:rsid wsp:val=&quot;00A0234B&quot;/&gt;&lt;wsp:rsid wsp:val=&quot;00A024CC&quot;/&gt;&lt;wsp:rsid wsp:val=&quot;00A02851&quot;/&gt;&lt;wsp:rsid wsp:val=&quot;00A02878&quot;/&gt;&lt;wsp:rsid wsp:val=&quot;00A02CB7&quot;/&gt;&lt;wsp:rsid wsp:val=&quot;00A0335B&quot;/&gt;&lt;wsp:rsid wsp:val=&quot;00A03B79&quot;/&gt;&lt;wsp:rsid wsp:val=&quot;00A03E14&quot;/&gt;&lt;wsp:rsid wsp:val=&quot;00A04440&quot;/&gt;&lt;wsp:rsid wsp:val=&quot;00A04E5B&quot;/&gt;&lt;wsp:rsid wsp:val=&quot;00A04F29&quot;/&gt;&lt;wsp:rsid wsp:val=&quot;00A05038&quot;/&gt;&lt;wsp:rsid wsp:val=&quot;00A0578A&quot;/&gt;&lt;wsp:rsid wsp:val=&quot;00A05925&quot;/&gt;&lt;wsp:rsid wsp:val=&quot;00A05AA3&quot;/&gt;&lt;wsp:rsid wsp:val=&quot;00A05F18&quot;/&gt;&lt;wsp:rsid wsp:val=&quot;00A06349&quot;/&gt;&lt;wsp:rsid wsp:val=&quot;00A06389&quot;/&gt;&lt;wsp:rsid wsp:val=&quot;00A063D6&quot;/&gt;&lt;wsp:rsid wsp:val=&quot;00A06AF7&quot;/&gt;&lt;wsp:rsid wsp:val=&quot;00A06C3B&quot;/&gt;&lt;wsp:rsid wsp:val=&quot;00A0705C&quot;/&gt;&lt;wsp:rsid wsp:val=&quot;00A071F0&quot;/&gt;&lt;wsp:rsid wsp:val=&quot;00A0795B&quot;/&gt;&lt;wsp:rsid wsp:val=&quot;00A07FD5&quot;/&gt;&lt;wsp:rsid wsp:val=&quot;00A10198&quot;/&gt;&lt;wsp:rsid wsp:val=&quot;00A101C2&quot;/&gt;&lt;wsp:rsid wsp:val=&quot;00A10679&quot;/&gt;&lt;wsp:rsid wsp:val=&quot;00A106EB&quot;/&gt;&lt;wsp:rsid wsp:val=&quot;00A109EE&quot;/&gt;&lt;wsp:rsid wsp:val=&quot;00A112E7&quot;/&gt;&lt;wsp:rsid wsp:val=&quot;00A11859&quot;/&gt;&lt;wsp:rsid wsp:val=&quot;00A11F40&quot;/&gt;&lt;wsp:rsid wsp:val=&quot;00A12240&quot;/&gt;&lt;wsp:rsid wsp:val=&quot;00A12640&quot;/&gt;&lt;wsp:rsid wsp:val=&quot;00A128AA&quot;/&gt;&lt;wsp:rsid wsp:val=&quot;00A12C11&quot;/&gt;&lt;wsp:rsid wsp:val=&quot;00A12C12&quot;/&gt;&lt;wsp:rsid wsp:val=&quot;00A12D6A&quot;/&gt;&lt;wsp:rsid wsp:val=&quot;00A12D7C&quot;/&gt;&lt;wsp:rsid wsp:val=&quot;00A1375D&quot;/&gt;&lt;wsp:rsid wsp:val=&quot;00A1385D&quot;/&gt;&lt;wsp:rsid wsp:val=&quot;00A13B28&quot;/&gt;&lt;wsp:rsid wsp:val=&quot;00A13D39&quot;/&gt;&lt;wsp:rsid wsp:val=&quot;00A13F73&quot;/&gt;&lt;wsp:rsid wsp:val=&quot;00A13F82&quot;/&gt;&lt;wsp:rsid wsp:val=&quot;00A13FED&quot;/&gt;&lt;wsp:rsid wsp:val=&quot;00A14252&quot;/&gt;&lt;wsp:rsid wsp:val=&quot;00A148D1&quot;/&gt;&lt;wsp:rsid wsp:val=&quot;00A148FB&quot;/&gt;&lt;wsp:rsid wsp:val=&quot;00A14FE7&quot;/&gt;&lt;wsp:rsid wsp:val=&quot;00A150D5&quot;/&gt;&lt;wsp:rsid wsp:val=&quot;00A15168&quot;/&gt;&lt;wsp:rsid wsp:val=&quot;00A1543F&quot;/&gt;&lt;wsp:rsid wsp:val=&quot;00A15572&quot;/&gt;&lt;wsp:rsid wsp:val=&quot;00A15783&quot;/&gt;&lt;wsp:rsid wsp:val=&quot;00A15C97&quot;/&gt;&lt;wsp:rsid wsp:val=&quot;00A15CBA&quot;/&gt;&lt;wsp:rsid wsp:val=&quot;00A16141&quot;/&gt;&lt;wsp:rsid wsp:val=&quot;00A166D0&quot;/&gt;&lt;wsp:rsid wsp:val=&quot;00A16A35&quot;/&gt;&lt;wsp:rsid wsp:val=&quot;00A1722D&quot;/&gt;&lt;wsp:rsid wsp:val=&quot;00A1763E&quot;/&gt;&lt;wsp:rsid wsp:val=&quot;00A17B2D&quot;/&gt;&lt;wsp:rsid wsp:val=&quot;00A17C35&quot;/&gt;&lt;wsp:rsid wsp:val=&quot;00A17D80&quot;/&gt;&lt;wsp:rsid wsp:val=&quot;00A17DDB&quot;/&gt;&lt;wsp:rsid wsp:val=&quot;00A17E93&quot;/&gt;&lt;wsp:rsid wsp:val=&quot;00A17FD5&quot;/&gt;&lt;wsp:rsid wsp:val=&quot;00A20378&quot;/&gt;&lt;wsp:rsid wsp:val=&quot;00A209EA&quot;/&gt;&lt;wsp:rsid wsp:val=&quot;00A20D10&quot;/&gt;&lt;wsp:rsid wsp:val=&quot;00A20E6C&quot;/&gt;&lt;wsp:rsid wsp:val=&quot;00A20F11&quot;/&gt;&lt;wsp:rsid wsp:val=&quot;00A21ABD&quot;/&gt;&lt;wsp:rsid wsp:val=&quot;00A21BFA&quot;/&gt;&lt;wsp:rsid wsp:val=&quot;00A21CE4&quot;/&gt;&lt;wsp:rsid wsp:val=&quot;00A2207C&quot;/&gt;&lt;wsp:rsid wsp:val=&quot;00A22137&quot;/&gt;&lt;wsp:rsid wsp:val=&quot;00A226FC&quot;/&gt;&lt;wsp:rsid wsp:val=&quot;00A226FF&quot;/&gt;&lt;wsp:rsid wsp:val=&quot;00A2291F&quot;/&gt;&lt;wsp:rsid wsp:val=&quot;00A22E0D&quot;/&gt;&lt;wsp:rsid wsp:val=&quot;00A22F42&quot;/&gt;&lt;wsp:rsid wsp:val=&quot;00A23506&quot;/&gt;&lt;wsp:rsid wsp:val=&quot;00A23648&quot;/&gt;&lt;wsp:rsid wsp:val=&quot;00A23994&quot;/&gt;&lt;wsp:rsid wsp:val=&quot;00A23B5E&quot;/&gt;&lt;wsp:rsid wsp:val=&quot;00A24233&quot;/&gt;&lt;wsp:rsid wsp:val=&quot;00A24248&quot;/&gt;&lt;wsp:rsid wsp:val=&quot;00A24A2D&quot;/&gt;&lt;wsp:rsid wsp:val=&quot;00A252E7&quot;/&gt;&lt;wsp:rsid wsp:val=&quot;00A2593E&quot;/&gt;&lt;wsp:rsid wsp:val=&quot;00A261A7&quot;/&gt;&lt;wsp:rsid wsp:val=&quot;00A262EE&quot;/&gt;&lt;wsp:rsid wsp:val=&quot;00A270A3&quot;/&gt;&lt;wsp:rsid wsp:val=&quot;00A27218&quot;/&gt;&lt;wsp:rsid wsp:val=&quot;00A272C0&quot;/&gt;&lt;wsp:rsid wsp:val=&quot;00A27335&quot;/&gt;&lt;wsp:rsid wsp:val=&quot;00A27758&quot;/&gt;&lt;wsp:rsid wsp:val=&quot;00A27EF4&quot;/&gt;&lt;wsp:rsid wsp:val=&quot;00A27F1E&quot;/&gt;&lt;wsp:rsid wsp:val=&quot;00A30022&quot;/&gt;&lt;wsp:rsid wsp:val=&quot;00A30405&quot;/&gt;&lt;wsp:rsid wsp:val=&quot;00A30473&quot;/&gt;&lt;wsp:rsid wsp:val=&quot;00A304F6&quot;/&gt;&lt;wsp:rsid wsp:val=&quot;00A30940&quot;/&gt;&lt;wsp:rsid wsp:val=&quot;00A30C79&quot;/&gt;&lt;wsp:rsid wsp:val=&quot;00A30CD9&quot;/&gt;&lt;wsp:rsid wsp:val=&quot;00A30D84&quot;/&gt;&lt;wsp:rsid wsp:val=&quot;00A310F8&quot;/&gt;&lt;wsp:rsid wsp:val=&quot;00A31154&quot;/&gt;&lt;wsp:rsid wsp:val=&quot;00A3124A&quot;/&gt;&lt;wsp:rsid wsp:val=&quot;00A31811&quot;/&gt;&lt;wsp:rsid wsp:val=&quot;00A31CD5&quot;/&gt;&lt;wsp:rsid wsp:val=&quot;00A32633&quot;/&gt;&lt;wsp:rsid wsp:val=&quot;00A32EF9&quot;/&gt;&lt;wsp:rsid wsp:val=&quot;00A3384E&quot;/&gt;&lt;wsp:rsid wsp:val=&quot;00A33D51&quot;/&gt;&lt;wsp:rsid wsp:val=&quot;00A33EAA&quot;/&gt;&lt;wsp:rsid wsp:val=&quot;00A34099&quot;/&gt;&lt;wsp:rsid wsp:val=&quot;00A343F7&quot;/&gt;&lt;wsp:rsid wsp:val=&quot;00A34488&quot;/&gt;&lt;wsp:rsid wsp:val=&quot;00A34787&quot;/&gt;&lt;wsp:rsid wsp:val=&quot;00A3483B&quot;/&gt;&lt;wsp:rsid wsp:val=&quot;00A348E8&quot;/&gt;&lt;wsp:rsid wsp:val=&quot;00A34919&quot;/&gt;&lt;wsp:rsid wsp:val=&quot;00A34AB2&quot;/&gt;&lt;wsp:rsid wsp:val=&quot;00A3521D&quot;/&gt;&lt;wsp:rsid wsp:val=&quot;00A352D6&quot;/&gt;&lt;wsp:rsid wsp:val=&quot;00A35655&quot;/&gt;&lt;wsp:rsid wsp:val=&quot;00A35DA5&quot;/&gt;&lt;wsp:rsid wsp:val=&quot;00A3602A&quot;/&gt;&lt;wsp:rsid wsp:val=&quot;00A3612D&quot;/&gt;&lt;wsp:rsid wsp:val=&quot;00A3687D&quot;/&gt;&lt;wsp:rsid wsp:val=&quot;00A36911&quot;/&gt;&lt;wsp:rsid wsp:val=&quot;00A36FC7&quot;/&gt;&lt;wsp:rsid wsp:val=&quot;00A375E3&quot;/&gt;&lt;wsp:rsid wsp:val=&quot;00A37CCC&quot;/&gt;&lt;wsp:rsid wsp:val=&quot;00A37D0D&quot;/&gt;&lt;wsp:rsid wsp:val=&quot;00A40248&quot;/&gt;&lt;wsp:rsid wsp:val=&quot;00A40A2D&quot;/&gt;&lt;wsp:rsid wsp:val=&quot;00A40C6F&quot;/&gt;&lt;wsp:rsid wsp:val=&quot;00A40F5C&quot;/&gt;&lt;wsp:rsid wsp:val=&quot;00A41847&quot;/&gt;&lt;wsp:rsid wsp:val=&quot;00A41B59&quot;/&gt;&lt;wsp:rsid wsp:val=&quot;00A41EEF&quot;/&gt;&lt;wsp:rsid wsp:val=&quot;00A4240B&quot;/&gt;&lt;wsp:rsid wsp:val=&quot;00A4252A&quot;/&gt;&lt;wsp:rsid wsp:val=&quot;00A429A0&quot;/&gt;&lt;wsp:rsid wsp:val=&quot;00A43176&quot;/&gt;&lt;wsp:rsid wsp:val=&quot;00A43177&quot;/&gt;&lt;wsp:rsid wsp:val=&quot;00A43326&quot;/&gt;&lt;wsp:rsid wsp:val=&quot;00A43637&quot;/&gt;&lt;wsp:rsid wsp:val=&quot;00A4383F&quot;/&gt;&lt;wsp:rsid wsp:val=&quot;00A43F6D&quot;/&gt;&lt;wsp:rsid wsp:val=&quot;00A442DB&quot;/&gt;&lt;wsp:rsid wsp:val=&quot;00A44F49&quot;/&gt;&lt;wsp:rsid wsp:val=&quot;00A465D5&quot;/&gt;&lt;wsp:rsid wsp:val=&quot;00A47257&quot;/&gt;&lt;wsp:rsid wsp:val=&quot;00A4729B&quot;/&gt;&lt;wsp:rsid wsp:val=&quot;00A4778F&quot;/&gt;&lt;wsp:rsid wsp:val=&quot;00A47AEC&quot;/&gt;&lt;wsp:rsid wsp:val=&quot;00A47F2C&quot;/&gt;&lt;wsp:rsid wsp:val=&quot;00A50056&quot;/&gt;&lt;wsp:rsid wsp:val=&quot;00A5053E&quot;/&gt;&lt;wsp:rsid wsp:val=&quot;00A50D97&quot;/&gt;&lt;wsp:rsid wsp:val=&quot;00A51313&quot;/&gt;&lt;wsp:rsid wsp:val=&quot;00A513B8&quot;/&gt;&lt;wsp:rsid wsp:val=&quot;00A51795&quot;/&gt;&lt;wsp:rsid wsp:val=&quot;00A51870&quot;/&gt;&lt;wsp:rsid wsp:val=&quot;00A518ED&quot;/&gt;&lt;wsp:rsid wsp:val=&quot;00A51CA5&quot;/&gt;&lt;wsp:rsid wsp:val=&quot;00A51F41&quot;/&gt;&lt;wsp:rsid wsp:val=&quot;00A51F64&quot;/&gt;&lt;wsp:rsid wsp:val=&quot;00A52270&quot;/&gt;&lt;wsp:rsid wsp:val=&quot;00A526BB&quot;/&gt;&lt;wsp:rsid wsp:val=&quot;00A528FE&quot;/&gt;&lt;wsp:rsid wsp:val=&quot;00A52AB8&quot;/&gt;&lt;wsp:rsid wsp:val=&quot;00A52C16&quot;/&gt;&lt;wsp:rsid wsp:val=&quot;00A52FAE&quot;/&gt;&lt;wsp:rsid wsp:val=&quot;00A53478&quot;/&gt;&lt;wsp:rsid wsp:val=&quot;00A537B8&quot;/&gt;&lt;wsp:rsid wsp:val=&quot;00A537CA&quot;/&gt;&lt;wsp:rsid wsp:val=&quot;00A53809&quot;/&gt;&lt;wsp:rsid wsp:val=&quot;00A53D59&quot;/&gt;&lt;wsp:rsid wsp:val=&quot;00A53E21&quot;/&gt;&lt;wsp:rsid wsp:val=&quot;00A54816&quot;/&gt;&lt;wsp:rsid wsp:val=&quot;00A54971&quot;/&gt;&lt;wsp:rsid wsp:val=&quot;00A54E31&quot;/&gt;&lt;wsp:rsid wsp:val=&quot;00A5553C&quot;/&gt;&lt;wsp:rsid wsp:val=&quot;00A55B82&quot;/&gt;&lt;wsp:rsid wsp:val=&quot;00A56042&quot;/&gt;&lt;wsp:rsid wsp:val=&quot;00A5604E&quot;/&gt;&lt;wsp:rsid wsp:val=&quot;00A56484&quot;/&gt;&lt;wsp:rsid wsp:val=&quot;00A56E0B&quot;/&gt;&lt;wsp:rsid wsp:val=&quot;00A575B8&quot;/&gt;&lt;wsp:rsid wsp:val=&quot;00A57746&quot;/&gt;&lt;wsp:rsid wsp:val=&quot;00A57A97&quot;/&gt;&lt;wsp:rsid wsp:val=&quot;00A57D2D&quot;/&gt;&lt;wsp:rsid wsp:val=&quot;00A6006A&quot;/&gt;&lt;wsp:rsid wsp:val=&quot;00A6014E&quot;/&gt;&lt;wsp:rsid wsp:val=&quot;00A604C0&quot;/&gt;&lt;wsp:rsid wsp:val=&quot;00A607AF&quot;/&gt;&lt;wsp:rsid wsp:val=&quot;00A60DD1&quot;/&gt;&lt;wsp:rsid wsp:val=&quot;00A6113E&quot;/&gt;&lt;wsp:rsid wsp:val=&quot;00A6171A&quot;/&gt;&lt;wsp:rsid wsp:val=&quot;00A61798&quot;/&gt;&lt;wsp:rsid wsp:val=&quot;00A6194C&quot;/&gt;&lt;wsp:rsid wsp:val=&quot;00A61983&quot;/&gt;&lt;wsp:rsid wsp:val=&quot;00A61A8E&quot;/&gt;&lt;wsp:rsid wsp:val=&quot;00A61DB3&quot;/&gt;&lt;wsp:rsid wsp:val=&quot;00A61E69&quot;/&gt;&lt;wsp:rsid wsp:val=&quot;00A62020&quot;/&gt;&lt;wsp:rsid wsp:val=&quot;00A626B2&quot;/&gt;&lt;wsp:rsid wsp:val=&quot;00A627DD&quot;/&gt;&lt;wsp:rsid wsp:val=&quot;00A629DA&quot;/&gt;&lt;wsp:rsid wsp:val=&quot;00A6304F&quot;/&gt;&lt;wsp:rsid wsp:val=&quot;00A63AA4&quot;/&gt;&lt;wsp:rsid wsp:val=&quot;00A63B13&quot;/&gt;&lt;wsp:rsid wsp:val=&quot;00A63D49&quot;/&gt;&lt;wsp:rsid wsp:val=&quot;00A64267&quot;/&gt;&lt;wsp:rsid wsp:val=&quot;00A648AE&quot;/&gt;&lt;wsp:rsid wsp:val=&quot;00A64BC5&quot;/&gt;&lt;wsp:rsid wsp:val=&quot;00A64D66&quot;/&gt;&lt;wsp:rsid wsp:val=&quot;00A65203&quot;/&gt;&lt;wsp:rsid wsp:val=&quot;00A65267&quot;/&gt;&lt;wsp:rsid wsp:val=&quot;00A6539A&quot;/&gt;&lt;wsp:rsid wsp:val=&quot;00A65429&quot;/&gt;&lt;wsp:rsid wsp:val=&quot;00A65763&quot;/&gt;&lt;wsp:rsid wsp:val=&quot;00A65CF2&quot;/&gt;&lt;wsp:rsid wsp:val=&quot;00A65FB1&quot;/&gt;&lt;wsp:rsid wsp:val=&quot;00A660DE&quot;/&gt;&lt;wsp:rsid wsp:val=&quot;00A66337&quot;/&gt;&lt;wsp:rsid wsp:val=&quot;00A66855&quot;/&gt;&lt;wsp:rsid wsp:val=&quot;00A66C91&quot;/&gt;&lt;wsp:rsid wsp:val=&quot;00A66D12&quot;/&gt;&lt;wsp:rsid wsp:val=&quot;00A66D7A&quot;/&gt;&lt;wsp:rsid wsp:val=&quot;00A670D6&quot;/&gt;&lt;wsp:rsid wsp:val=&quot;00A6729D&quot;/&gt;&lt;wsp:rsid wsp:val=&quot;00A67394&quot;/&gt;&lt;wsp:rsid wsp:val=&quot;00A677B5&quot;/&gt;&lt;wsp:rsid wsp:val=&quot;00A6790F&quot;/&gt;&lt;wsp:rsid wsp:val=&quot;00A67912&quot;/&gt;&lt;wsp:rsid wsp:val=&quot;00A67DAC&quot;/&gt;&lt;wsp:rsid wsp:val=&quot;00A701FD&quot;/&gt;&lt;wsp:rsid wsp:val=&quot;00A707D4&quot;/&gt;&lt;wsp:rsid wsp:val=&quot;00A70A5B&quot;/&gt;&lt;wsp:rsid wsp:val=&quot;00A70BDE&quot;/&gt;&lt;wsp:rsid wsp:val=&quot;00A70E8D&quot;/&gt;&lt;wsp:rsid wsp:val=&quot;00A70EC1&quot;/&gt;&lt;wsp:rsid wsp:val=&quot;00A70F52&quot;/&gt;&lt;wsp:rsid wsp:val=&quot;00A710F7&quot;/&gt;&lt;wsp:rsid wsp:val=&quot;00A71124&quot;/&gt;&lt;wsp:rsid wsp:val=&quot;00A7121B&quot;/&gt;&lt;wsp:rsid wsp:val=&quot;00A715C6&quot;/&gt;&lt;wsp:rsid wsp:val=&quot;00A715FD&quot;/&gt;&lt;wsp:rsid wsp:val=&quot;00A71A9A&quot;/&gt;&lt;wsp:rsid wsp:val=&quot;00A71FF8&quot;/&gt;&lt;wsp:rsid wsp:val=&quot;00A7266F&quot;/&gt;&lt;wsp:rsid wsp:val=&quot;00A72C11&quot;/&gt;&lt;wsp:rsid wsp:val=&quot;00A72E7A&quot;/&gt;&lt;wsp:rsid wsp:val=&quot;00A7352C&quot;/&gt;&lt;wsp:rsid wsp:val=&quot;00A73841&quot;/&gt;&lt;wsp:rsid wsp:val=&quot;00A73A59&quot;/&gt;&lt;wsp:rsid wsp:val=&quot;00A73D44&quot;/&gt;&lt;wsp:rsid wsp:val=&quot;00A741C8&quot;/&gt;&lt;wsp:rsid wsp:val=&quot;00A74A9A&quot;/&gt;&lt;wsp:rsid wsp:val=&quot;00A74C38&quot;/&gt;&lt;wsp:rsid wsp:val=&quot;00A75314&quot;/&gt;&lt;wsp:rsid wsp:val=&quot;00A7562A&quot;/&gt;&lt;wsp:rsid wsp:val=&quot;00A75D66&quot;/&gt;&lt;wsp:rsid wsp:val=&quot;00A75E31&quot;/&gt;&lt;wsp:rsid wsp:val=&quot;00A75E76&quot;/&gt;&lt;wsp:rsid wsp:val=&quot;00A76326&quot;/&gt;&lt;wsp:rsid wsp:val=&quot;00A765A2&quot;/&gt;&lt;wsp:rsid wsp:val=&quot;00A765C0&quot;/&gt;&lt;wsp:rsid wsp:val=&quot;00A7686C&quot;/&gt;&lt;wsp:rsid wsp:val=&quot;00A76A08&quot;/&gt;&lt;wsp:rsid wsp:val=&quot;00A76A40&quot;/&gt;&lt;wsp:rsid wsp:val=&quot;00A76B2A&quot;/&gt;&lt;wsp:rsid wsp:val=&quot;00A76D07&quot;/&gt;&lt;wsp:rsid wsp:val=&quot;00A76E3C&quot;/&gt;&lt;wsp:rsid wsp:val=&quot;00A7790D&quot;/&gt;&lt;wsp:rsid wsp:val=&quot;00A77B57&quot;/&gt;&lt;wsp:rsid wsp:val=&quot;00A77BFB&quot;/&gt;&lt;wsp:rsid wsp:val=&quot;00A800B3&quot;/&gt;&lt;wsp:rsid wsp:val=&quot;00A80333&quot;/&gt;&lt;wsp:rsid wsp:val=&quot;00A807B7&quot;/&gt;&lt;wsp:rsid wsp:val=&quot;00A80877&quot;/&gt;&lt;wsp:rsid wsp:val=&quot;00A80892&quot;/&gt;&lt;wsp:rsid wsp:val=&quot;00A80A0E&quot;/&gt;&lt;wsp:rsid wsp:val=&quot;00A80A86&quot;/&gt;&lt;wsp:rsid wsp:val=&quot;00A810F9&quot;/&gt;&lt;wsp:rsid wsp:val=&quot;00A8111C&quot;/&gt;&lt;wsp:rsid wsp:val=&quot;00A8170A&quot;/&gt;&lt;wsp:rsid wsp:val=&quot;00A818A4&quot;/&gt;&lt;wsp:rsid wsp:val=&quot;00A81DD7&quot;/&gt;&lt;wsp:rsid wsp:val=&quot;00A820B4&quot;/&gt;&lt;wsp:rsid wsp:val=&quot;00A82346&quot;/&gt;&lt;wsp:rsid wsp:val=&quot;00A82675&quot;/&gt;&lt;wsp:rsid wsp:val=&quot;00A82773&quot;/&gt;&lt;wsp:rsid wsp:val=&quot;00A8277D&quot;/&gt;&lt;wsp:rsid wsp:val=&quot;00A83BFC&quot;/&gt;&lt;wsp:rsid wsp:val=&quot;00A83DD5&quot;/&gt;&lt;wsp:rsid wsp:val=&quot;00A841A8&quot;/&gt;&lt;wsp:rsid wsp:val=&quot;00A8425B&quot;/&gt;&lt;wsp:rsid wsp:val=&quot;00A84D1E&quot;/&gt;&lt;wsp:rsid wsp:val=&quot;00A85234&quot;/&gt;&lt;wsp:rsid wsp:val=&quot;00A853B5&quot;/&gt;&lt;wsp:rsid wsp:val=&quot;00A855A2&quot;/&gt;&lt;wsp:rsid wsp:val=&quot;00A85755&quot;/&gt;&lt;wsp:rsid wsp:val=&quot;00A858ED&quot;/&gt;&lt;wsp:rsid wsp:val=&quot;00A85A20&quot;/&gt;&lt;wsp:rsid wsp:val=&quot;00A85D90&quot;/&gt;&lt;wsp:rsid wsp:val=&quot;00A85E89&quot;/&gt;&lt;wsp:rsid wsp:val=&quot;00A85EB0&quot;/&gt;&lt;wsp:rsid wsp:val=&quot;00A86531&quot;/&gt;&lt;wsp:rsid wsp:val=&quot;00A867EB&quot;/&gt;&lt;wsp:rsid wsp:val=&quot;00A86B33&quot;/&gt;&lt;wsp:rsid wsp:val=&quot;00A86EEB&quot;/&gt;&lt;wsp:rsid wsp:val=&quot;00A87155&quot;/&gt;&lt;wsp:rsid wsp:val=&quot;00A87208&quot;/&gt;&lt;wsp:rsid wsp:val=&quot;00A87724&quot;/&gt;&lt;wsp:rsid wsp:val=&quot;00A87820&quot;/&gt;&lt;wsp:rsid wsp:val=&quot;00A8788D&quot;/&gt;&lt;wsp:rsid wsp:val=&quot;00A878A4&quot;/&gt;&lt;wsp:rsid wsp:val=&quot;00A879D6&quot;/&gt;&lt;wsp:rsid wsp:val=&quot;00A87C29&quot;/&gt;&lt;wsp:rsid wsp:val=&quot;00A87F41&quot;/&gt;&lt;wsp:rsid wsp:val=&quot;00A903DE&quot;/&gt;&lt;wsp:rsid wsp:val=&quot;00A90584&quot;/&gt;&lt;wsp:rsid wsp:val=&quot;00A90A12&quot;/&gt;&lt;wsp:rsid wsp:val=&quot;00A90F31&quot;/&gt;&lt;wsp:rsid wsp:val=&quot;00A912DD&quot;/&gt;&lt;wsp:rsid wsp:val=&quot;00A915D8&quot;/&gt;&lt;wsp:rsid wsp:val=&quot;00A91839&quot;/&gt;&lt;wsp:rsid wsp:val=&quot;00A91B76&quot;/&gt;&lt;wsp:rsid wsp:val=&quot;00A91B9A&quot;/&gt;&lt;wsp:rsid wsp:val=&quot;00A91E08&quot;/&gt;&lt;wsp:rsid wsp:val=&quot;00A92168&quot;/&gt;&lt;wsp:rsid wsp:val=&quot;00A92513&quot;/&gt;&lt;wsp:rsid wsp:val=&quot;00A928DB&quot;/&gt;&lt;wsp:rsid wsp:val=&quot;00A9295F&quot;/&gt;&lt;wsp:rsid wsp:val=&quot;00A92B87&quot;/&gt;&lt;wsp:rsid wsp:val=&quot;00A9315B&quot;/&gt;&lt;wsp:rsid wsp:val=&quot;00A931F2&quot;/&gt;&lt;wsp:rsid wsp:val=&quot;00A93507&quot;/&gt;&lt;wsp:rsid wsp:val=&quot;00A935C3&quot;/&gt;&lt;wsp:rsid wsp:val=&quot;00A93D4E&quot;/&gt;&lt;wsp:rsid wsp:val=&quot;00A93DE5&quot;/&gt;&lt;wsp:rsid wsp:val=&quot;00A93DE8&quot;/&gt;&lt;wsp:rsid wsp:val=&quot;00A93F76&quot;/&gt;&lt;wsp:rsid wsp:val=&quot;00A94491&quot;/&gt;&lt;wsp:rsid wsp:val=&quot;00A9480B&quot;/&gt;&lt;wsp:rsid wsp:val=&quot;00A94810&quot;/&gt;&lt;wsp:rsid wsp:val=&quot;00A951C6&quot;/&gt;&lt;wsp:rsid wsp:val=&quot;00A95BEC&quot;/&gt;&lt;wsp:rsid wsp:val=&quot;00A961BB&quot;/&gt;&lt;wsp:rsid wsp:val=&quot;00A9681E&quot;/&gt;&lt;wsp:rsid wsp:val=&quot;00A96A52&quot;/&gt;&lt;wsp:rsid wsp:val=&quot;00A96A66&quot;/&gt;&lt;wsp:rsid wsp:val=&quot;00A96AE7&quot;/&gt;&lt;wsp:rsid wsp:val=&quot;00A96EA8&quot;/&gt;&lt;wsp:rsid wsp:val=&quot;00A97920&quot;/&gt;&lt;wsp:rsid wsp:val=&quot;00A97D65&quot;/&gt;&lt;wsp:rsid wsp:val=&quot;00A97F1F&quot;/&gt;&lt;wsp:rsid wsp:val=&quot;00AA02FD&quot;/&gt;&lt;wsp:rsid wsp:val=&quot;00AA042C&quot;/&gt;&lt;wsp:rsid wsp:val=&quot;00AA0584&quot;/&gt;&lt;wsp:rsid wsp:val=&quot;00AA069E&quot;/&gt;&lt;wsp:rsid wsp:val=&quot;00AA0A78&quot;/&gt;&lt;wsp:rsid wsp:val=&quot;00AA0C0C&quot;/&gt;&lt;wsp:rsid wsp:val=&quot;00AA0C45&quot;/&gt;&lt;wsp:rsid wsp:val=&quot;00AA1080&quot;/&gt;&lt;wsp:rsid wsp:val=&quot;00AA1CBC&quot;/&gt;&lt;wsp:rsid wsp:val=&quot;00AA23FC&quot;/&gt;&lt;wsp:rsid wsp:val=&quot;00AA2521&quot;/&gt;&lt;wsp:rsid wsp:val=&quot;00AA2F18&quot;/&gt;&lt;wsp:rsid wsp:val=&quot;00AA314E&quot;/&gt;&lt;wsp:rsid wsp:val=&quot;00AA33A4&quot;/&gt;&lt;wsp:rsid wsp:val=&quot;00AA346B&quot;/&gt;&lt;wsp:rsid wsp:val=&quot;00AA3476&quot;/&gt;&lt;wsp:rsid wsp:val=&quot;00AA3937&quot;/&gt;&lt;wsp:rsid wsp:val=&quot;00AA3B2C&quot;/&gt;&lt;wsp:rsid wsp:val=&quot;00AA3C7A&quot;/&gt;&lt;wsp:rsid wsp:val=&quot;00AA3CBE&quot;/&gt;&lt;wsp:rsid wsp:val=&quot;00AA4246&quot;/&gt;&lt;wsp:rsid wsp:val=&quot;00AA4607&quot;/&gt;&lt;wsp:rsid wsp:val=&quot;00AA47E8&quot;/&gt;&lt;wsp:rsid wsp:val=&quot;00AA48A3&quot;/&gt;&lt;wsp:rsid wsp:val=&quot;00AA4924&quot;/&gt;&lt;wsp:rsid wsp:val=&quot;00AA4D99&quot;/&gt;&lt;wsp:rsid wsp:val=&quot;00AA4E2D&quot;/&gt;&lt;wsp:rsid wsp:val=&quot;00AA510B&quot;/&gt;&lt;wsp:rsid wsp:val=&quot;00AA512E&quot;/&gt;&lt;wsp:rsid wsp:val=&quot;00AA51BB&quot;/&gt;&lt;wsp:rsid wsp:val=&quot;00AA52B0&quot;/&gt;&lt;wsp:rsid wsp:val=&quot;00AA54CF&quot;/&gt;&lt;wsp:rsid wsp:val=&quot;00AA55AC&quot;/&gt;&lt;wsp:rsid wsp:val=&quot;00AA55DC&quot;/&gt;&lt;wsp:rsid wsp:val=&quot;00AA5A0A&quot;/&gt;&lt;wsp:rsid wsp:val=&quot;00AA5D36&quot;/&gt;&lt;wsp:rsid wsp:val=&quot;00AA5F33&quot;/&gt;&lt;wsp:rsid wsp:val=&quot;00AA66CE&quot;/&gt;&lt;wsp:rsid wsp:val=&quot;00AA6F5D&quot;/&gt;&lt;wsp:rsid wsp:val=&quot;00AA7915&quot;/&gt;&lt;wsp:rsid wsp:val=&quot;00AB097D&quot;/&gt;&lt;wsp:rsid wsp:val=&quot;00AB0B87&quot;/&gt;&lt;wsp:rsid wsp:val=&quot;00AB0E1C&quot;/&gt;&lt;wsp:rsid wsp:val=&quot;00AB10CD&quot;/&gt;&lt;wsp:rsid wsp:val=&quot;00AB1244&quot;/&gt;&lt;wsp:rsid wsp:val=&quot;00AB1504&quot;/&gt;&lt;wsp:rsid wsp:val=&quot;00AB20B0&quot;/&gt;&lt;wsp:rsid wsp:val=&quot;00AB2119&quot;/&gt;&lt;wsp:rsid wsp:val=&quot;00AB237C&quot;/&gt;&lt;wsp:rsid wsp:val=&quot;00AB269D&quot;/&gt;&lt;wsp:rsid wsp:val=&quot;00AB274E&quot;/&gt;&lt;wsp:rsid wsp:val=&quot;00AB292A&quot;/&gt;&lt;wsp:rsid wsp:val=&quot;00AB2CF5&quot;/&gt;&lt;wsp:rsid wsp:val=&quot;00AB2E72&quot;/&gt;&lt;wsp:rsid wsp:val=&quot;00AB2F00&quot;/&gt;&lt;wsp:rsid wsp:val=&quot;00AB301B&quot;/&gt;&lt;wsp:rsid wsp:val=&quot;00AB308B&quot;/&gt;&lt;wsp:rsid wsp:val=&quot;00AB3408&quot;/&gt;&lt;wsp:rsid wsp:val=&quot;00AB364B&quot;/&gt;&lt;wsp:rsid wsp:val=&quot;00AB389E&quot;/&gt;&lt;wsp:rsid wsp:val=&quot;00AB3D6A&quot;/&gt;&lt;wsp:rsid wsp:val=&quot;00AB42B0&quot;/&gt;&lt;wsp:rsid wsp:val=&quot;00AB47F0&quot;/&gt;&lt;wsp:rsid wsp:val=&quot;00AB4952&quot;/&gt;&lt;wsp:rsid wsp:val=&quot;00AB4C51&quot;/&gt;&lt;wsp:rsid wsp:val=&quot;00AB4C7F&quot;/&gt;&lt;wsp:rsid wsp:val=&quot;00AB4E24&quot;/&gt;&lt;wsp:rsid wsp:val=&quot;00AB4FE3&quot;/&gt;&lt;wsp:rsid wsp:val=&quot;00AB504C&quot;/&gt;&lt;wsp:rsid wsp:val=&quot;00AB51FA&quot;/&gt;&lt;wsp:rsid wsp:val=&quot;00AB5375&quot;/&gt;&lt;wsp:rsid wsp:val=&quot;00AB5404&quot;/&gt;&lt;wsp:rsid wsp:val=&quot;00AB55DD&quot;/&gt;&lt;wsp:rsid wsp:val=&quot;00AB5747&quot;/&gt;&lt;wsp:rsid wsp:val=&quot;00AB5B35&quot;/&gt;&lt;wsp:rsid wsp:val=&quot;00AB5CE5&quot;/&gt;&lt;wsp:rsid wsp:val=&quot;00AB67B5&quot;/&gt;&lt;wsp:rsid wsp:val=&quot;00AB67F3&quot;/&gt;&lt;wsp:rsid wsp:val=&quot;00AB6D48&quot;/&gt;&lt;wsp:rsid wsp:val=&quot;00AB6EC3&quot;/&gt;&lt;wsp:rsid wsp:val=&quot;00AB7C45&quot;/&gt;&lt;wsp:rsid wsp:val=&quot;00AC0763&quot;/&gt;&lt;wsp:rsid wsp:val=&quot;00AC0967&quot;/&gt;&lt;wsp:rsid wsp:val=&quot;00AC0D90&quot;/&gt;&lt;wsp:rsid wsp:val=&quot;00AC1044&quot;/&gt;&lt;wsp:rsid wsp:val=&quot;00AC1366&quot;/&gt;&lt;wsp:rsid wsp:val=&quot;00AC1455&quot;/&gt;&lt;wsp:rsid wsp:val=&quot;00AC18E9&quot;/&gt;&lt;wsp:rsid wsp:val=&quot;00AC19BD&quot;/&gt;&lt;wsp:rsid wsp:val=&quot;00AC2032&quot;/&gt;&lt;wsp:rsid wsp:val=&quot;00AC20DA&quot;/&gt;&lt;wsp:rsid wsp:val=&quot;00AC22D2&quot;/&gt;&lt;wsp:rsid wsp:val=&quot;00AC2495&quot;/&gt;&lt;wsp:rsid wsp:val=&quot;00AC2652&quot;/&gt;&lt;wsp:rsid wsp:val=&quot;00AC2926&quot;/&gt;&lt;wsp:rsid wsp:val=&quot;00AC2B5B&quot;/&gt;&lt;wsp:rsid wsp:val=&quot;00AC308A&quot;/&gt;&lt;wsp:rsid wsp:val=&quot;00AC358E&quot;/&gt;&lt;wsp:rsid wsp:val=&quot;00AC3903&quot;/&gt;&lt;wsp:rsid wsp:val=&quot;00AC4063&quot;/&gt;&lt;wsp:rsid wsp:val=&quot;00AC40EE&quot;/&gt;&lt;wsp:rsid wsp:val=&quot;00AC4234&quot;/&gt;&lt;wsp:rsid wsp:val=&quot;00AC4D26&quot;/&gt;&lt;wsp:rsid wsp:val=&quot;00AC4E76&quot;/&gt;&lt;wsp:rsid wsp:val=&quot;00AC4F73&quot;/&gt;&lt;wsp:rsid wsp:val=&quot;00AC533B&quot;/&gt;&lt;wsp:rsid wsp:val=&quot;00AC56DD&quot;/&gt;&lt;wsp:rsid wsp:val=&quot;00AC5796&quot;/&gt;&lt;wsp:rsid wsp:val=&quot;00AC650B&quot;/&gt;&lt;wsp:rsid wsp:val=&quot;00AC6598&quot;/&gt;&lt;wsp:rsid wsp:val=&quot;00AC68D8&quot;/&gt;&lt;wsp:rsid wsp:val=&quot;00AC699A&quot;/&gt;&lt;wsp:rsid wsp:val=&quot;00AC6C6D&quot;/&gt;&lt;wsp:rsid wsp:val=&quot;00AC6DC2&quot;/&gt;&lt;wsp:rsid wsp:val=&quot;00AC704A&quot;/&gt;&lt;wsp:rsid wsp:val=&quot;00AC73C4&quot;/&gt;&lt;wsp:rsid wsp:val=&quot;00AC77AC&quot;/&gt;&lt;wsp:rsid wsp:val=&quot;00AC7D8E&quot;/&gt;&lt;wsp:rsid wsp:val=&quot;00AD009D&quot;/&gt;&lt;wsp:rsid wsp:val=&quot;00AD034D&quot;/&gt;&lt;wsp:rsid wsp:val=&quot;00AD040A&quot;/&gt;&lt;wsp:rsid wsp:val=&quot;00AD0684&quot;/&gt;&lt;wsp:rsid wsp:val=&quot;00AD0779&quot;/&gt;&lt;wsp:rsid wsp:val=&quot;00AD08EF&quot;/&gt;&lt;wsp:rsid wsp:val=&quot;00AD1039&quot;/&gt;&lt;wsp:rsid wsp:val=&quot;00AD1BF3&quot;/&gt;&lt;wsp:rsid wsp:val=&quot;00AD1E48&quot;/&gt;&lt;wsp:rsid wsp:val=&quot;00AD2171&quot;/&gt;&lt;wsp:rsid wsp:val=&quot;00AD3062&quot;/&gt;&lt;wsp:rsid wsp:val=&quot;00AD3099&quot;/&gt;&lt;wsp:rsid wsp:val=&quot;00AD312C&quot;/&gt;&lt;wsp:rsid wsp:val=&quot;00AD32CE&quot;/&gt;&lt;wsp:rsid wsp:val=&quot;00AD334F&quot;/&gt;&lt;wsp:rsid wsp:val=&quot;00AD3D3D&quot;/&gt;&lt;wsp:rsid wsp:val=&quot;00AD405F&quot;/&gt;&lt;wsp:rsid wsp:val=&quot;00AD40C2&quot;/&gt;&lt;wsp:rsid wsp:val=&quot;00AD4218&quot;/&gt;&lt;wsp:rsid wsp:val=&quot;00AD4487&quot;/&gt;&lt;wsp:rsid wsp:val=&quot;00AD46B1&quot;/&gt;&lt;wsp:rsid wsp:val=&quot;00AD475B&quot;/&gt;&lt;wsp:rsid wsp:val=&quot;00AD4D3C&quot;/&gt;&lt;wsp:rsid wsp:val=&quot;00AD502A&quot;/&gt;&lt;wsp:rsid wsp:val=&quot;00AD56C8&quot;/&gt;&lt;wsp:rsid wsp:val=&quot;00AD5D9A&quot;/&gt;&lt;wsp:rsid wsp:val=&quot;00AD5DF1&quot;/&gt;&lt;wsp:rsid wsp:val=&quot;00AD63F8&quot;/&gt;&lt;wsp:rsid wsp:val=&quot;00AD67A3&quot;/&gt;&lt;wsp:rsid wsp:val=&quot;00AD67D1&quot;/&gt;&lt;wsp:rsid wsp:val=&quot;00AD6D97&quot;/&gt;&lt;wsp:rsid wsp:val=&quot;00AD6F2C&quot;/&gt;&lt;wsp:rsid wsp:val=&quot;00AD74DE&quot;/&gt;&lt;wsp:rsid wsp:val=&quot;00AD75D9&quot;/&gt;&lt;wsp:rsid wsp:val=&quot;00AD767D&quot;/&gt;&lt;wsp:rsid wsp:val=&quot;00AD79C8&quot;/&gt;&lt;wsp:rsid wsp:val=&quot;00AE024C&quot;/&gt;&lt;wsp:rsid wsp:val=&quot;00AE068F&quot;/&gt;&lt;wsp:rsid wsp:val=&quot;00AE0719&quot;/&gt;&lt;wsp:rsid wsp:val=&quot;00AE084B&quot;/&gt;&lt;wsp:rsid wsp:val=&quot;00AE0FEB&quot;/&gt;&lt;wsp:rsid wsp:val=&quot;00AE0FF8&quot;/&gt;&lt;wsp:rsid wsp:val=&quot;00AE1545&quot;/&gt;&lt;wsp:rsid wsp:val=&quot;00AE15DC&quot;/&gt;&lt;wsp:rsid wsp:val=&quot;00AE1955&quot;/&gt;&lt;wsp:rsid wsp:val=&quot;00AE1B40&quot;/&gt;&lt;wsp:rsid wsp:val=&quot;00AE20EA&quot;/&gt;&lt;wsp:rsid wsp:val=&quot;00AE224C&quot;/&gt;&lt;wsp:rsid wsp:val=&quot;00AE278A&quot;/&gt;&lt;wsp:rsid wsp:val=&quot;00AE2AC4&quot;/&gt;&lt;wsp:rsid wsp:val=&quot;00AE32E1&quot;/&gt;&lt;wsp:rsid wsp:val=&quot;00AE3803&quot;/&gt;&lt;wsp:rsid wsp:val=&quot;00AE3814&quot;/&gt;&lt;wsp:rsid wsp:val=&quot;00AE38C8&quot;/&gt;&lt;wsp:rsid wsp:val=&quot;00AE46DB&quot;/&gt;&lt;wsp:rsid wsp:val=&quot;00AE4840&quot;/&gt;&lt;wsp:rsid wsp:val=&quot;00AE5283&quot;/&gt;&lt;wsp:rsid wsp:val=&quot;00AE542C&quot;/&gt;&lt;wsp:rsid wsp:val=&quot;00AE5D98&quot;/&gt;&lt;wsp:rsid wsp:val=&quot;00AE5E12&quot;/&gt;&lt;wsp:rsid wsp:val=&quot;00AE5E2B&quot;/&gt;&lt;wsp:rsid wsp:val=&quot;00AE5EA0&quot;/&gt;&lt;wsp:rsid wsp:val=&quot;00AE69C5&quot;/&gt;&lt;wsp:rsid wsp:val=&quot;00AE6EB1&quot;/&gt;&lt;wsp:rsid wsp:val=&quot;00AE6F8E&quot;/&gt;&lt;wsp:rsid wsp:val=&quot;00AE76BD&quot;/&gt;&lt;wsp:rsid wsp:val=&quot;00AE794E&quot;/&gt;&lt;wsp:rsid wsp:val=&quot;00AE7B87&quot;/&gt;&lt;wsp:rsid wsp:val=&quot;00AF04F5&quot;/&gt;&lt;wsp:rsid wsp:val=&quot;00AF077C&quot;/&gt;&lt;wsp:rsid wsp:val=&quot;00AF078B&quot;/&gt;&lt;wsp:rsid wsp:val=&quot;00AF0C3E&quot;/&gt;&lt;wsp:rsid wsp:val=&quot;00AF14A8&quot;/&gt;&lt;wsp:rsid wsp:val=&quot;00AF1564&quot;/&gt;&lt;wsp:rsid wsp:val=&quot;00AF1B37&quot;/&gt;&lt;wsp:rsid wsp:val=&quot;00AF2287&quot;/&gt;&lt;wsp:rsid wsp:val=&quot;00AF2712&quot;/&gt;&lt;wsp:rsid wsp:val=&quot;00AF2CC9&quot;/&gt;&lt;wsp:rsid wsp:val=&quot;00AF2D3E&quot;/&gt;&lt;wsp:rsid wsp:val=&quot;00AF2F7A&quot;/&gt;&lt;wsp:rsid wsp:val=&quot;00AF2F9D&quot;/&gt;&lt;wsp:rsid wsp:val=&quot;00AF3149&quot;/&gt;&lt;wsp:rsid wsp:val=&quot;00AF3509&quot;/&gt;&lt;wsp:rsid wsp:val=&quot;00AF3529&quot;/&gt;&lt;wsp:rsid wsp:val=&quot;00AF3B58&quot;/&gt;&lt;wsp:rsid wsp:val=&quot;00AF3E49&quot;/&gt;&lt;wsp:rsid wsp:val=&quot;00AF424F&quot;/&gt;&lt;wsp:rsid wsp:val=&quot;00AF4343&quot;/&gt;&lt;wsp:rsid wsp:val=&quot;00AF55AA&quot;/&gt;&lt;wsp:rsid wsp:val=&quot;00AF56AE&quot;/&gt;&lt;wsp:rsid wsp:val=&quot;00AF5852&quot;/&gt;&lt;wsp:rsid wsp:val=&quot;00AF5A03&quot;/&gt;&lt;wsp:rsid wsp:val=&quot;00AF5B3E&quot;/&gt;&lt;wsp:rsid wsp:val=&quot;00AF5FD0&quot;/&gt;&lt;wsp:rsid wsp:val=&quot;00AF6623&quot;/&gt;&lt;wsp:rsid wsp:val=&quot;00AF6C6E&quot;/&gt;&lt;wsp:rsid wsp:val=&quot;00AF6F3F&quot;/&gt;&lt;wsp:rsid wsp:val=&quot;00AF7725&quot;/&gt;&lt;wsp:rsid wsp:val=&quot;00AF7759&quot;/&gt;&lt;wsp:rsid wsp:val=&quot;00B003B5&quot;/&gt;&lt;wsp:rsid wsp:val=&quot;00B00493&quot;/&gt;&lt;wsp:rsid wsp:val=&quot;00B006EA&quot;/&gt;&lt;wsp:rsid wsp:val=&quot;00B00992&quot;/&gt;&lt;wsp:rsid wsp:val=&quot;00B00A3C&quot;/&gt;&lt;wsp:rsid wsp:val=&quot;00B00DA1&quot;/&gt;&lt;wsp:rsid wsp:val=&quot;00B00DA4&quot;/&gt;&lt;wsp:rsid wsp:val=&quot;00B00DC4&quot;/&gt;&lt;wsp:rsid wsp:val=&quot;00B0124C&quot;/&gt;&lt;wsp:rsid wsp:val=&quot;00B01375&quot;/&gt;&lt;wsp:rsid wsp:val=&quot;00B01420&quot;/&gt;&lt;wsp:rsid wsp:val=&quot;00B016D4&quot;/&gt;&lt;wsp:rsid wsp:val=&quot;00B01D43&quot;/&gt;&lt;wsp:rsid wsp:val=&quot;00B01FC6&quot;/&gt;&lt;wsp:rsid wsp:val=&quot;00B02031&quot;/&gt;&lt;wsp:rsid wsp:val=&quot;00B026F6&quot;/&gt;&lt;wsp:rsid wsp:val=&quot;00B02F28&quot;/&gt;&lt;wsp:rsid wsp:val=&quot;00B0318E&quot;/&gt;&lt;wsp:rsid wsp:val=&quot;00B033E0&quot;/&gt;&lt;wsp:rsid wsp:val=&quot;00B03510&quot;/&gt;&lt;wsp:rsid wsp:val=&quot;00B03804&quot;/&gt;&lt;wsp:rsid wsp:val=&quot;00B03DEE&quot;/&gt;&lt;wsp:rsid wsp:val=&quot;00B045D9&quot;/&gt;&lt;wsp:rsid wsp:val=&quot;00B04A0F&quot;/&gt;&lt;wsp:rsid wsp:val=&quot;00B04AE7&quot;/&gt;&lt;wsp:rsid wsp:val=&quot;00B04EEB&quot;/&gt;&lt;wsp:rsid wsp:val=&quot;00B04F2C&quot;/&gt;&lt;wsp:rsid wsp:val=&quot;00B053A9&quot;/&gt;&lt;wsp:rsid wsp:val=&quot;00B05AC4&quot;/&gt;&lt;wsp:rsid wsp:val=&quot;00B05EA9&quot;/&gt;&lt;wsp:rsid wsp:val=&quot;00B05F50&quot;/&gt;&lt;wsp:rsid wsp:val=&quot;00B0603D&quot;/&gt;&lt;wsp:rsid wsp:val=&quot;00B06108&quot;/&gt;&lt;wsp:rsid wsp:val=&quot;00B06342&quot;/&gt;&lt;wsp:rsid wsp:val=&quot;00B063E9&quot;/&gt;&lt;wsp:rsid wsp:val=&quot;00B066FE&quot;/&gt;&lt;wsp:rsid wsp:val=&quot;00B067B6&quot;/&gt;&lt;wsp:rsid wsp:val=&quot;00B069EB&quot;/&gt;&lt;wsp:rsid wsp:val=&quot;00B06D78&quot;/&gt;&lt;wsp:rsid wsp:val=&quot;00B074B7&quot;/&gt;&lt;wsp:rsid wsp:val=&quot;00B07A34&quot;/&gt;&lt;wsp:rsid wsp:val=&quot;00B07A9B&quot;/&gt;&lt;wsp:rsid wsp:val=&quot;00B07C0E&quot;/&gt;&lt;wsp:rsid wsp:val=&quot;00B101E2&quot;/&gt;&lt;wsp:rsid wsp:val=&quot;00B10273&quot;/&gt;&lt;wsp:rsid wsp:val=&quot;00B102A5&quot;/&gt;&lt;wsp:rsid wsp:val=&quot;00B10437&quot;/&gt;&lt;wsp:rsid wsp:val=&quot;00B105C4&quot;/&gt;&lt;wsp:rsid wsp:val=&quot;00B10857&quot;/&gt;&lt;wsp:rsid wsp:val=&quot;00B114AA&quot;/&gt;&lt;wsp:rsid wsp:val=&quot;00B11588&quot;/&gt;&lt;wsp:rsid wsp:val=&quot;00B11AF5&quot;/&gt;&lt;wsp:rsid wsp:val=&quot;00B11C47&quot;/&gt;&lt;wsp:rsid wsp:val=&quot;00B12253&quot;/&gt;&lt;wsp:rsid wsp:val=&quot;00B1237E&quot;/&gt;&lt;wsp:rsid wsp:val=&quot;00B12763&quot;/&gt;&lt;wsp:rsid wsp:val=&quot;00B12A63&quot;/&gt;&lt;wsp:rsid wsp:val=&quot;00B12BF1&quot;/&gt;&lt;wsp:rsid wsp:val=&quot;00B12CB5&quot;/&gt;&lt;wsp:rsid wsp:val=&quot;00B12D76&quot;/&gt;&lt;wsp:rsid wsp:val=&quot;00B12EAC&quot;/&gt;&lt;wsp:rsid wsp:val=&quot;00B13341&quot;/&gt;&lt;wsp:rsid wsp:val=&quot;00B1351D&quot;/&gt;&lt;wsp:rsid wsp:val=&quot;00B13820&quot;/&gt;&lt;wsp:rsid wsp:val=&quot;00B1420F&quot;/&gt;&lt;wsp:rsid wsp:val=&quot;00B14339&quot;/&gt;&lt;wsp:rsid wsp:val=&quot;00B1488F&quot;/&gt;&lt;wsp:rsid wsp:val=&quot;00B1495C&quot;/&gt;&lt;wsp:rsid wsp:val=&quot;00B14964&quot;/&gt;&lt;wsp:rsid wsp:val=&quot;00B14EC4&quot;/&gt;&lt;wsp:rsid wsp:val=&quot;00B14FB8&quot;/&gt;&lt;wsp:rsid wsp:val=&quot;00B150F3&quot;/&gt;&lt;wsp:rsid wsp:val=&quot;00B1542F&quot;/&gt;&lt;wsp:rsid wsp:val=&quot;00B15BB8&quot;/&gt;&lt;wsp:rsid wsp:val=&quot;00B15BD5&quot;/&gt;&lt;wsp:rsid wsp:val=&quot;00B1658C&quot;/&gt;&lt;wsp:rsid wsp:val=&quot;00B165F4&quot;/&gt;&lt;wsp:rsid wsp:val=&quot;00B16B51&quot;/&gt;&lt;wsp:rsid wsp:val=&quot;00B16CE4&quot;/&gt;&lt;wsp:rsid wsp:val=&quot;00B17267&quot;/&gt;&lt;wsp:rsid wsp:val=&quot;00B17A6F&quot;/&gt;&lt;wsp:rsid wsp:val=&quot;00B17A77&quot;/&gt;&lt;wsp:rsid wsp:val=&quot;00B17F34&quot;/&gt;&lt;wsp:rsid wsp:val=&quot;00B2037C&quot;/&gt;&lt;wsp:rsid wsp:val=&quot;00B206CE&quot;/&gt;&lt;wsp:rsid wsp:val=&quot;00B207CE&quot;/&gt;&lt;wsp:rsid wsp:val=&quot;00B207EC&quot;/&gt;&lt;wsp:rsid wsp:val=&quot;00B208ED&quot;/&gt;&lt;wsp:rsid wsp:val=&quot;00B211C4&quot;/&gt;&lt;wsp:rsid wsp:val=&quot;00B21203&quot;/&gt;&lt;wsp:rsid wsp:val=&quot;00B214B2&quot;/&gt;&lt;wsp:rsid wsp:val=&quot;00B215AA&quot;/&gt;&lt;wsp:rsid wsp:val=&quot;00B215BC&quot;/&gt;&lt;wsp:rsid wsp:val=&quot;00B21620&quot;/&gt;&lt;wsp:rsid wsp:val=&quot;00B22E8F&quot;/&gt;&lt;wsp:rsid wsp:val=&quot;00B22F40&quot;/&gt;&lt;wsp:rsid wsp:val=&quot;00B23200&quot;/&gt;&lt;wsp:rsid wsp:val=&quot;00B2379C&quot;/&gt;&lt;wsp:rsid wsp:val=&quot;00B23892&quot;/&gt;&lt;wsp:rsid wsp:val=&quot;00B23D2B&quot;/&gt;&lt;wsp:rsid wsp:val=&quot;00B246A6&quot;/&gt;&lt;wsp:rsid wsp:val=&quot;00B24E41&quot;/&gt;&lt;wsp:rsid wsp:val=&quot;00B24E66&quot;/&gt;&lt;wsp:rsid wsp:val=&quot;00B25027&quot;/&gt;&lt;wsp:rsid wsp:val=&quot;00B2582C&quot;/&gt;&lt;wsp:rsid wsp:val=&quot;00B25907&quot;/&gt;&lt;wsp:rsid wsp:val=&quot;00B264BA&quot;/&gt;&lt;wsp:rsid wsp:val=&quot;00B267C6&quot;/&gt;&lt;wsp:rsid wsp:val=&quot;00B26F46&quot;/&gt;&lt;wsp:rsid wsp:val=&quot;00B270F2&quot;/&gt;&lt;wsp:rsid wsp:val=&quot;00B271B9&quot;/&gt;&lt;wsp:rsid wsp:val=&quot;00B27380&quot;/&gt;&lt;wsp:rsid wsp:val=&quot;00B274BB&quot;/&gt;&lt;wsp:rsid wsp:val=&quot;00B27520&quot;/&gt;&lt;wsp:rsid wsp:val=&quot;00B275DE&quot;/&gt;&lt;wsp:rsid wsp:val=&quot;00B27710&quot;/&gt;&lt;wsp:rsid wsp:val=&quot;00B2772A&quot;/&gt;&lt;wsp:rsid wsp:val=&quot;00B27B90&quot;/&gt;&lt;wsp:rsid wsp:val=&quot;00B27BDA&quot;/&gt;&lt;wsp:rsid wsp:val=&quot;00B302EC&quot;/&gt;&lt;wsp:rsid wsp:val=&quot;00B304C9&quot;/&gt;&lt;wsp:rsid wsp:val=&quot;00B3096D&quot;/&gt;&lt;wsp:rsid wsp:val=&quot;00B30EC9&quot;/&gt;&lt;wsp:rsid wsp:val=&quot;00B31340&quot;/&gt;&lt;wsp:rsid wsp:val=&quot;00B316E7&quot;/&gt;&lt;wsp:rsid wsp:val=&quot;00B31A7D&quot;/&gt;&lt;wsp:rsid wsp:val=&quot;00B31B75&quot;/&gt;&lt;wsp:rsid wsp:val=&quot;00B31F3B&quot;/&gt;&lt;wsp:rsid wsp:val=&quot;00B3255B&quot;/&gt;&lt;wsp:rsid wsp:val=&quot;00B32722&quot;/&gt;&lt;wsp:rsid wsp:val=&quot;00B32901&quot;/&gt;&lt;wsp:rsid wsp:val=&quot;00B32BC4&quot;/&gt;&lt;wsp:rsid wsp:val=&quot;00B32F30&quot;/&gt;&lt;wsp:rsid wsp:val=&quot;00B334E2&quot;/&gt;&lt;wsp:rsid wsp:val=&quot;00B340D8&quot;/&gt;&lt;wsp:rsid wsp:val=&quot;00B34423&quot;/&gt;&lt;wsp:rsid wsp:val=&quot;00B345E1&quot;/&gt;&lt;wsp:rsid wsp:val=&quot;00B34696&quot;/&gt;&lt;wsp:rsid wsp:val=&quot;00B34A3A&quot;/&gt;&lt;wsp:rsid wsp:val=&quot;00B3508E&quot;/&gt;&lt;wsp:rsid wsp:val=&quot;00B35471&quot;/&gt;&lt;wsp:rsid wsp:val=&quot;00B355F7&quot;/&gt;&lt;wsp:rsid wsp:val=&quot;00B355F9&quot;/&gt;&lt;wsp:rsid wsp:val=&quot;00B357FC&quot;/&gt;&lt;wsp:rsid wsp:val=&quot;00B35891&quot;/&gt;&lt;wsp:rsid wsp:val=&quot;00B358AC&quot;/&gt;&lt;wsp:rsid wsp:val=&quot;00B358E9&quot;/&gt;&lt;wsp:rsid wsp:val=&quot;00B35CC2&quot;/&gt;&lt;wsp:rsid wsp:val=&quot;00B36659&quot;/&gt;&lt;wsp:rsid wsp:val=&quot;00B366D3&quot;/&gt;&lt;wsp:rsid wsp:val=&quot;00B3693E&quot;/&gt;&lt;wsp:rsid wsp:val=&quot;00B37158&quot;/&gt;&lt;wsp:rsid wsp:val=&quot;00B373C5&quot;/&gt;&lt;wsp:rsid wsp:val=&quot;00B373F6&quot;/&gt;&lt;wsp:rsid wsp:val=&quot;00B3753C&quot;/&gt;&lt;wsp:rsid wsp:val=&quot;00B37824&quot;/&gt;&lt;wsp:rsid wsp:val=&quot;00B379CB&quot;/&gt;&lt;wsp:rsid wsp:val=&quot;00B37AB0&quot;/&gt;&lt;wsp:rsid wsp:val=&quot;00B37B1C&quot;/&gt;&lt;wsp:rsid wsp:val=&quot;00B37D83&quot;/&gt;&lt;wsp:rsid wsp:val=&quot;00B4003F&quot;/&gt;&lt;wsp:rsid wsp:val=&quot;00B4027C&quot;/&gt;&lt;wsp:rsid wsp:val=&quot;00B405AA&quot;/&gt;&lt;wsp:rsid wsp:val=&quot;00B41129&quot;/&gt;&lt;wsp:rsid wsp:val=&quot;00B41EB7&quot;/&gt;&lt;wsp:rsid wsp:val=&quot;00B420EF&quot;/&gt;&lt;wsp:rsid wsp:val=&quot;00B4230F&quot;/&gt;&lt;wsp:rsid wsp:val=&quot;00B42619&quot;/&gt;&lt;wsp:rsid wsp:val=&quot;00B42645&quot;/&gt;&lt;wsp:rsid wsp:val=&quot;00B4304B&quot;/&gt;&lt;wsp:rsid wsp:val=&quot;00B43378&quot;/&gt;&lt;wsp:rsid wsp:val=&quot;00B4338C&quot;/&gt;&lt;wsp:rsid wsp:val=&quot;00B43BD7&quot;/&gt;&lt;wsp:rsid wsp:val=&quot;00B43C58&quot;/&gt;&lt;wsp:rsid wsp:val=&quot;00B44956&quot;/&gt;&lt;wsp:rsid wsp:val=&quot;00B4527D&quot;/&gt;&lt;wsp:rsid wsp:val=&quot;00B45F5B&quot;/&gt;&lt;wsp:rsid wsp:val=&quot;00B45F5C&quot;/&gt;&lt;wsp:rsid wsp:val=&quot;00B4613C&quot;/&gt;&lt;wsp:rsid wsp:val=&quot;00B464BF&quot;/&gt;&lt;wsp:rsid wsp:val=&quot;00B47705&quot;/&gt;&lt;wsp:rsid wsp:val=&quot;00B47ABD&quot;/&gt;&lt;wsp:rsid wsp:val=&quot;00B47AD1&quot;/&gt;&lt;wsp:rsid wsp:val=&quot;00B47CF4&quot;/&gt;&lt;wsp:rsid wsp:val=&quot;00B47D36&quot;/&gt;&lt;wsp:rsid wsp:val=&quot;00B502BB&quot;/&gt;&lt;wsp:rsid wsp:val=&quot;00B503FD&quot;/&gt;&lt;wsp:rsid wsp:val=&quot;00B50466&quot;/&gt;&lt;wsp:rsid wsp:val=&quot;00B5046F&quot;/&gt;&lt;wsp:rsid wsp:val=&quot;00B505A0&quot;/&gt;&lt;wsp:rsid wsp:val=&quot;00B5084A&quot;/&gt;&lt;wsp:rsid wsp:val=&quot;00B50D60&quot;/&gt;&lt;wsp:rsid wsp:val=&quot;00B5111F&quot;/&gt;&lt;wsp:rsid wsp:val=&quot;00B5185C&quot;/&gt;&lt;wsp:rsid wsp:val=&quot;00B51AB7&quot;/&gt;&lt;wsp:rsid wsp:val=&quot;00B5203B&quot;/&gt;&lt;wsp:rsid wsp:val=&quot;00B52188&quot;/&gt;&lt;wsp:rsid wsp:val=&quot;00B5250E&quot;/&gt;&lt;wsp:rsid wsp:val=&quot;00B5261C&quot;/&gt;&lt;wsp:rsid wsp:val=&quot;00B526AE&quot;/&gt;&lt;wsp:rsid wsp:val=&quot;00B52770&quot;/&gt;&lt;wsp:rsid wsp:val=&quot;00B52A1C&quot;/&gt;&lt;wsp:rsid wsp:val=&quot;00B52A23&quot;/&gt;&lt;wsp:rsid wsp:val=&quot;00B52B05&quot;/&gt;&lt;wsp:rsid wsp:val=&quot;00B52D02&quot;/&gt;&lt;wsp:rsid wsp:val=&quot;00B5318B&quot;/&gt;&lt;wsp:rsid wsp:val=&quot;00B531BC&quot;/&gt;&lt;wsp:rsid wsp:val=&quot;00B53482&quot;/&gt;&lt;wsp:rsid wsp:val=&quot;00B5387F&quot;/&gt;&lt;wsp:rsid wsp:val=&quot;00B5389B&quot;/&gt;&lt;wsp:rsid wsp:val=&quot;00B538F1&quot;/&gt;&lt;wsp:rsid wsp:val=&quot;00B539E7&quot;/&gt;&lt;wsp:rsid wsp:val=&quot;00B53E93&quot;/&gt;&lt;wsp:rsid wsp:val=&quot;00B54064&quot;/&gt;&lt;wsp:rsid wsp:val=&quot;00B54297&quot;/&gt;&lt;wsp:rsid wsp:val=&quot;00B546F4&quot;/&gt;&lt;wsp:rsid wsp:val=&quot;00B54741&quot;/&gt;&lt;wsp:rsid wsp:val=&quot;00B55036&quot;/&gt;&lt;wsp:rsid wsp:val=&quot;00B55249&quot;/&gt;&lt;wsp:rsid wsp:val=&quot;00B5525F&quot;/&gt;&lt;wsp:rsid wsp:val=&quot;00B55663&quot;/&gt;&lt;wsp:rsid wsp:val=&quot;00B55685&quot;/&gt;&lt;wsp:rsid wsp:val=&quot;00B55912&quot;/&gt;&lt;wsp:rsid wsp:val=&quot;00B561D6&quot;/&gt;&lt;wsp:rsid wsp:val=&quot;00B561F7&quot;/&gt;&lt;wsp:rsid wsp:val=&quot;00B5637B&quot;/&gt;&lt;wsp:rsid wsp:val=&quot;00B56DF4&quot;/&gt;&lt;wsp:rsid wsp:val=&quot;00B57213&quot;/&gt;&lt;wsp:rsid wsp:val=&quot;00B573A4&quot;/&gt;&lt;wsp:rsid wsp:val=&quot;00B5750A&quot;/&gt;&lt;wsp:rsid wsp:val=&quot;00B57E4C&quot;/&gt;&lt;wsp:rsid wsp:val=&quot;00B608C4&quot;/&gt;&lt;wsp:rsid wsp:val=&quot;00B609CB&quot;/&gt;&lt;wsp:rsid wsp:val=&quot;00B61A4B&quot;/&gt;&lt;wsp:rsid wsp:val=&quot;00B61D45&quot;/&gt;&lt;wsp:rsid wsp:val=&quot;00B621BD&quot;/&gt;&lt;wsp:rsid wsp:val=&quot;00B622DE&quot;/&gt;&lt;wsp:rsid wsp:val=&quot;00B6234B&quot;/&gt;&lt;wsp:rsid wsp:val=&quot;00B6240A&quot;/&gt;&lt;wsp:rsid wsp:val=&quot;00B6240F&quot;/&gt;&lt;wsp:rsid wsp:val=&quot;00B626C5&quot;/&gt;&lt;wsp:rsid wsp:val=&quot;00B626D5&quot;/&gt;&lt;wsp:rsid wsp:val=&quot;00B62CEE&quot;/&gt;&lt;wsp:rsid wsp:val=&quot;00B63154&quot;/&gt;&lt;wsp:rsid wsp:val=&quot;00B636AA&quot;/&gt;&lt;wsp:rsid wsp:val=&quot;00B642D8&quot;/&gt;&lt;wsp:rsid wsp:val=&quot;00B647B6&quot;/&gt;&lt;wsp:rsid wsp:val=&quot;00B64D1F&quot;/&gt;&lt;wsp:rsid wsp:val=&quot;00B64D40&quot;/&gt;&lt;wsp:rsid wsp:val=&quot;00B6520B&quot;/&gt;&lt;wsp:rsid wsp:val=&quot;00B657C0&quot;/&gt;&lt;wsp:rsid wsp:val=&quot;00B659C5&quot;/&gt;&lt;wsp:rsid wsp:val=&quot;00B66936&quot;/&gt;&lt;wsp:rsid wsp:val=&quot;00B66BE4&quot;/&gt;&lt;wsp:rsid wsp:val=&quot;00B67407&quot;/&gt;&lt;wsp:rsid wsp:val=&quot;00B674C9&quot;/&gt;&lt;wsp:rsid wsp:val=&quot;00B6750B&quot;/&gt;&lt;wsp:rsid wsp:val=&quot;00B67969&quot;/&gt;&lt;wsp:rsid wsp:val=&quot;00B7024E&quot;/&gt;&lt;wsp:rsid wsp:val=&quot;00B70395&quot;/&gt;&lt;wsp:rsid wsp:val=&quot;00B70444&quot;/&gt;&lt;wsp:rsid wsp:val=&quot;00B70C63&quot;/&gt;&lt;wsp:rsid wsp:val=&quot;00B70D4A&quot;/&gt;&lt;wsp:rsid wsp:val=&quot;00B719DC&quot;/&gt;&lt;wsp:rsid wsp:val=&quot;00B71DF4&quot;/&gt;&lt;wsp:rsid wsp:val=&quot;00B71FF8&quot;/&gt;&lt;wsp:rsid wsp:val=&quot;00B7214D&quot;/&gt;&lt;wsp:rsid wsp:val=&quot;00B7237E&quot;/&gt;&lt;wsp:rsid wsp:val=&quot;00B72491&quot;/&gt;&lt;wsp:rsid wsp:val=&quot;00B72997&quot;/&gt;&lt;wsp:rsid wsp:val=&quot;00B72B2D&quot;/&gt;&lt;wsp:rsid wsp:val=&quot;00B73379&quot;/&gt;&lt;wsp:rsid wsp:val=&quot;00B738A1&quot;/&gt;&lt;wsp:rsid wsp:val=&quot;00B73E83&quot;/&gt;&lt;wsp:rsid wsp:val=&quot;00B73F7D&quot;/&gt;&lt;wsp:rsid wsp:val=&quot;00B7404A&quot;/&gt;&lt;wsp:rsid wsp:val=&quot;00B743DB&quot;/&gt;&lt;wsp:rsid wsp:val=&quot;00B74423&quot;/&gt;&lt;wsp:rsid wsp:val=&quot;00B74642&quot;/&gt;&lt;wsp:rsid wsp:val=&quot;00B74D25&quot;/&gt;&lt;wsp:rsid wsp:val=&quot;00B7536C&quot;/&gt;&lt;wsp:rsid wsp:val=&quot;00B7552C&quot;/&gt;&lt;wsp:rsid wsp:val=&quot;00B757CF&quot;/&gt;&lt;wsp:rsid wsp:val=&quot;00B7595E&quot;/&gt;&lt;wsp:rsid wsp:val=&quot;00B75F42&quot;/&gt;&lt;wsp:rsid wsp:val=&quot;00B766BB&quot;/&gt;&lt;wsp:rsid wsp:val=&quot;00B766D1&quot;/&gt;&lt;wsp:rsid wsp:val=&quot;00B769B6&quot;/&gt;&lt;wsp:rsid wsp:val=&quot;00B76C16&quot;/&gt;&lt;wsp:rsid wsp:val=&quot;00B77226&quot;/&gt;&lt;wsp:rsid wsp:val=&quot;00B7723F&quot;/&gt;&lt;wsp:rsid wsp:val=&quot;00B77294&quot;/&gt;&lt;wsp:rsid wsp:val=&quot;00B77450&quot;/&gt;&lt;wsp:rsid wsp:val=&quot;00B776BA&quot;/&gt;&lt;wsp:rsid wsp:val=&quot;00B77C3D&quot;/&gt;&lt;wsp:rsid wsp:val=&quot;00B803FB&quot;/&gt;&lt;wsp:rsid wsp:val=&quot;00B804AA&quot;/&gt;&lt;wsp:rsid wsp:val=&quot;00B8054A&quot;/&gt;&lt;wsp:rsid wsp:val=&quot;00B8064A&quot;/&gt;&lt;wsp:rsid wsp:val=&quot;00B81830&quot;/&gt;&lt;wsp:rsid wsp:val=&quot;00B81AF0&quot;/&gt;&lt;wsp:rsid wsp:val=&quot;00B81B2D&quot;/&gt;&lt;wsp:rsid wsp:val=&quot;00B82189&quot;/&gt;&lt;wsp:rsid wsp:val=&quot;00B82335&quot;/&gt;&lt;wsp:rsid wsp:val=&quot;00B82367&quot;/&gt;&lt;wsp:rsid wsp:val=&quot;00B825BC&quot;/&gt;&lt;wsp:rsid wsp:val=&quot;00B8299B&quot;/&gt;&lt;wsp:rsid wsp:val=&quot;00B82BB6&quot;/&gt;&lt;wsp:rsid wsp:val=&quot;00B830E9&quot;/&gt;&lt;wsp:rsid wsp:val=&quot;00B8316D&quot;/&gt;&lt;wsp:rsid wsp:val=&quot;00B83687&quot;/&gt;&lt;wsp:rsid wsp:val=&quot;00B83B40&quot;/&gt;&lt;wsp:rsid wsp:val=&quot;00B83E28&quot;/&gt;&lt;wsp:rsid wsp:val=&quot;00B8416F&quot;/&gt;&lt;wsp:rsid wsp:val=&quot;00B84482&quot;/&gt;&lt;wsp:rsid wsp:val=&quot;00B845CB&quot;/&gt;&lt;wsp:rsid wsp:val=&quot;00B8472E&quot;/&gt;&lt;wsp:rsid wsp:val=&quot;00B84801&quot;/&gt;&lt;wsp:rsid wsp:val=&quot;00B8506F&quot;/&gt;&lt;wsp:rsid wsp:val=&quot;00B85311&quot;/&gt;&lt;wsp:rsid wsp:val=&quot;00B859FF&quot;/&gt;&lt;wsp:rsid wsp:val=&quot;00B85A40&quot;/&gt;&lt;wsp:rsid wsp:val=&quot;00B85B95&quot;/&gt;&lt;wsp:rsid wsp:val=&quot;00B85DAE&quot;/&gt;&lt;wsp:rsid wsp:val=&quot;00B85DF7&quot;/&gt;&lt;wsp:rsid wsp:val=&quot;00B85FDF&quot;/&gt;&lt;wsp:rsid wsp:val=&quot;00B86233&quot;/&gt;&lt;wsp:rsid wsp:val=&quot;00B868D1&quot;/&gt;&lt;wsp:rsid wsp:val=&quot;00B870B9&quot;/&gt;&lt;wsp:rsid wsp:val=&quot;00B87548&quot;/&gt;&lt;wsp:rsid wsp:val=&quot;00B87808&quot;/&gt;&lt;wsp:rsid wsp:val=&quot;00B87C05&quot;/&gt;&lt;wsp:rsid wsp:val=&quot;00B87FF0&quot;/&gt;&lt;wsp:rsid wsp:val=&quot;00B90186&quot;/&gt;&lt;wsp:rsid wsp:val=&quot;00B90220&quot;/&gt;&lt;wsp:rsid wsp:val=&quot;00B9055C&quot;/&gt;&lt;wsp:rsid wsp:val=&quot;00B90A24&quot;/&gt;&lt;wsp:rsid wsp:val=&quot;00B90AFB&quot;/&gt;&lt;wsp:rsid wsp:val=&quot;00B91017&quot;/&gt;&lt;wsp:rsid wsp:val=&quot;00B91019&quot;/&gt;&lt;wsp:rsid wsp:val=&quot;00B91898&quot;/&gt;&lt;wsp:rsid wsp:val=&quot;00B91D43&quot;/&gt;&lt;wsp:rsid wsp:val=&quot;00B91FFC&quot;/&gt;&lt;wsp:rsid wsp:val=&quot;00B922CF&quot;/&gt;&lt;wsp:rsid wsp:val=&quot;00B9259B&quot;/&gt;&lt;wsp:rsid wsp:val=&quot;00B925A4&quot;/&gt;&lt;wsp:rsid wsp:val=&quot;00B92867&quot;/&gt;&lt;wsp:rsid wsp:val=&quot;00B92C8B&quot;/&gt;&lt;wsp:rsid wsp:val=&quot;00B92CE3&quot;/&gt;&lt;wsp:rsid wsp:val=&quot;00B92EDF&quot;/&gt;&lt;wsp:rsid wsp:val=&quot;00B933ED&quot;/&gt;&lt;wsp:rsid wsp:val=&quot;00B9374D&quot;/&gt;&lt;wsp:rsid wsp:val=&quot;00B939BE&quot;/&gt;&lt;wsp:rsid wsp:val=&quot;00B93A53&quot;/&gt;&lt;wsp:rsid wsp:val=&quot;00B93E91&quot;/&gt;&lt;wsp:rsid wsp:val=&quot;00B94416&quot;/&gt;&lt;wsp:rsid wsp:val=&quot;00B945F6&quot;/&gt;&lt;wsp:rsid wsp:val=&quot;00B9494F&quot;/&gt;&lt;wsp:rsid wsp:val=&quot;00B949CD&quot;/&gt;&lt;wsp:rsid wsp:val=&quot;00B94DD4&quot;/&gt;&lt;wsp:rsid wsp:val=&quot;00B957E1&quot;/&gt;&lt;wsp:rsid wsp:val=&quot;00B95A70&quot;/&gt;&lt;wsp:rsid wsp:val=&quot;00B95F0E&quot;/&gt;&lt;wsp:rsid wsp:val=&quot;00B96800&quot;/&gt;&lt;wsp:rsid wsp:val=&quot;00B96DC9&quot;/&gt;&lt;wsp:rsid wsp:val=&quot;00B96EA0&quot;/&gt;&lt;wsp:rsid wsp:val=&quot;00B972E9&quot;/&gt;&lt;wsp:rsid wsp:val=&quot;00BA00D0&quot;/&gt;&lt;wsp:rsid wsp:val=&quot;00BA0219&quot;/&gt;&lt;wsp:rsid wsp:val=&quot;00BA0229&quot;/&gt;&lt;wsp:rsid wsp:val=&quot;00BA0362&quot;/&gt;&lt;wsp:rsid wsp:val=&quot;00BA0611&quot;/&gt;&lt;wsp:rsid wsp:val=&quot;00BA0A56&quot;/&gt;&lt;wsp:rsid wsp:val=&quot;00BA149A&quot;/&gt;&lt;wsp:rsid wsp:val=&quot;00BA162E&quot;/&gt;&lt;wsp:rsid wsp:val=&quot;00BA178A&quot;/&gt;&lt;wsp:rsid wsp:val=&quot;00BA2D52&quot;/&gt;&lt;wsp:rsid wsp:val=&quot;00BA2D5D&quot;/&gt;&lt;wsp:rsid wsp:val=&quot;00BA3151&quot;/&gt;&lt;wsp:rsid wsp:val=&quot;00BA34EC&quot;/&gt;&lt;wsp:rsid wsp:val=&quot;00BA38D3&quot;/&gt;&lt;wsp:rsid wsp:val=&quot;00BA3DB2&quot;/&gt;&lt;wsp:rsid wsp:val=&quot;00BA3E49&quot;/&gt;&lt;wsp:rsid wsp:val=&quot;00BA43FA&quot;/&gt;&lt;wsp:rsid wsp:val=&quot;00BA4C42&quot;/&gt;&lt;wsp:rsid wsp:val=&quot;00BA4D6A&quot;/&gt;&lt;wsp:rsid wsp:val=&quot;00BA5CA8&quot;/&gt;&lt;wsp:rsid wsp:val=&quot;00BA5DFF&quot;/&gt;&lt;wsp:rsid wsp:val=&quot;00BA5FEF&quot;/&gt;&lt;wsp:rsid wsp:val=&quot;00BA61E1&quot;/&gt;&lt;wsp:rsid wsp:val=&quot;00BA63A1&quot;/&gt;&lt;wsp:rsid wsp:val=&quot;00BA683E&quot;/&gt;&lt;wsp:rsid wsp:val=&quot;00BA68F0&quot;/&gt;&lt;wsp:rsid wsp:val=&quot;00BA6BF0&quot;/&gt;&lt;wsp:rsid wsp:val=&quot;00BA6EF9&quot;/&gt;&lt;wsp:rsid wsp:val=&quot;00BA6FA4&quot;/&gt;&lt;wsp:rsid wsp:val=&quot;00BA7546&quot;/&gt;&lt;wsp:rsid wsp:val=&quot;00BA7725&quot;/&gt;&lt;wsp:rsid wsp:val=&quot;00BA7AD3&quot;/&gt;&lt;wsp:rsid wsp:val=&quot;00BA7FCF&quot;/&gt;&lt;wsp:rsid wsp:val=&quot;00BB022C&quot;/&gt;&lt;wsp:rsid wsp:val=&quot;00BB06E2&quot;/&gt;&lt;wsp:rsid wsp:val=&quot;00BB0DAB&quot;/&gt;&lt;wsp:rsid wsp:val=&quot;00BB167D&quot;/&gt;&lt;wsp:rsid wsp:val=&quot;00BB2025&quot;/&gt;&lt;wsp:rsid wsp:val=&quot;00BB2060&quot;/&gt;&lt;wsp:rsid wsp:val=&quot;00BB20A4&quot;/&gt;&lt;wsp:rsid wsp:val=&quot;00BB2AF6&quot;/&gt;&lt;wsp:rsid wsp:val=&quot;00BB2FFB&quot;/&gt;&lt;wsp:rsid wsp:val=&quot;00BB311C&quot;/&gt;&lt;wsp:rsid wsp:val=&quot;00BB337E&quot;/&gt;&lt;wsp:rsid wsp:val=&quot;00BB34A9&quot;/&gt;&lt;wsp:rsid wsp:val=&quot;00BB350E&quot;/&gt;&lt;wsp:rsid wsp:val=&quot;00BB36C0&quot;/&gt;&lt;wsp:rsid wsp:val=&quot;00BB3A28&quot;/&gt;&lt;wsp:rsid wsp:val=&quot;00BB3B2D&quot;/&gt;&lt;wsp:rsid wsp:val=&quot;00BB409B&quot;/&gt;&lt;wsp:rsid wsp:val=&quot;00BB40BB&quot;/&gt;&lt;wsp:rsid wsp:val=&quot;00BB4189&quot;/&gt;&lt;wsp:rsid wsp:val=&quot;00BB42C2&quot;/&gt;&lt;wsp:rsid wsp:val=&quot;00BB4456&quot;/&gt;&lt;wsp:rsid wsp:val=&quot;00BB44E6&quot;/&gt;&lt;wsp:rsid wsp:val=&quot;00BB4C96&quot;/&gt;&lt;wsp:rsid wsp:val=&quot;00BB4FFB&quot;/&gt;&lt;wsp:rsid wsp:val=&quot;00BB50AC&quot;/&gt;&lt;wsp:rsid wsp:val=&quot;00BB5B79&quot;/&gt;&lt;wsp:rsid wsp:val=&quot;00BB5B9B&quot;/&gt;&lt;wsp:rsid wsp:val=&quot;00BB5C44&quot;/&gt;&lt;wsp:rsid wsp:val=&quot;00BB5F33&quot;/&gt;&lt;wsp:rsid wsp:val=&quot;00BB6048&quot;/&gt;&lt;wsp:rsid wsp:val=&quot;00BB61AC&quot;/&gt;&lt;wsp:rsid wsp:val=&quot;00BB6470&quot;/&gt;&lt;wsp:rsid wsp:val=&quot;00BB6844&quot;/&gt;&lt;wsp:rsid wsp:val=&quot;00BB6956&quot;/&gt;&lt;wsp:rsid wsp:val=&quot;00BB6A39&quot;/&gt;&lt;wsp:rsid wsp:val=&quot;00BB6A44&quot;/&gt;&lt;wsp:rsid wsp:val=&quot;00BB6A93&quot;/&gt;&lt;wsp:rsid wsp:val=&quot;00BB6D27&quot;/&gt;&lt;wsp:rsid wsp:val=&quot;00BB74DB&quot;/&gt;&lt;wsp:rsid wsp:val=&quot;00BB757B&quot;/&gt;&lt;wsp:rsid wsp:val=&quot;00BB77E4&quot;/&gt;&lt;wsp:rsid wsp:val=&quot;00BB782C&quot;/&gt;&lt;wsp:rsid wsp:val=&quot;00BB786D&quot;/&gt;&lt;wsp:rsid wsp:val=&quot;00BB7993&quot;/&gt;&lt;wsp:rsid wsp:val=&quot;00BB7B40&quot;/&gt;&lt;wsp:rsid wsp:val=&quot;00BB7C66&quot;/&gt;&lt;wsp:rsid wsp:val=&quot;00BC0314&quot;/&gt;&lt;wsp:rsid wsp:val=&quot;00BC05B3&quot;/&gt;&lt;wsp:rsid wsp:val=&quot;00BC073A&quot;/&gt;&lt;wsp:rsid wsp:val=&quot;00BC0F9C&quot;/&gt;&lt;wsp:rsid wsp:val=&quot;00BC106A&quot;/&gt;&lt;wsp:rsid wsp:val=&quot;00BC12BA&quot;/&gt;&lt;wsp:rsid wsp:val=&quot;00BC13B7&quot;/&gt;&lt;wsp:rsid wsp:val=&quot;00BC1604&quot;/&gt;&lt;wsp:rsid wsp:val=&quot;00BC1A09&quot;/&gt;&lt;wsp:rsid wsp:val=&quot;00BC1A9E&quot;/&gt;&lt;wsp:rsid wsp:val=&quot;00BC21DC&quot;/&gt;&lt;wsp:rsid wsp:val=&quot;00BC26BD&quot;/&gt;&lt;wsp:rsid wsp:val=&quot;00BC2834&quot;/&gt;&lt;wsp:rsid wsp:val=&quot;00BC2EB8&quot;/&gt;&lt;wsp:rsid wsp:val=&quot;00BC3404&quot;/&gt;&lt;wsp:rsid wsp:val=&quot;00BC34B3&quot;/&gt;&lt;wsp:rsid wsp:val=&quot;00BC37BB&quot;/&gt;&lt;wsp:rsid wsp:val=&quot;00BC37ED&quot;/&gt;&lt;wsp:rsid wsp:val=&quot;00BC3E79&quot;/&gt;&lt;wsp:rsid wsp:val=&quot;00BC3F4F&quot;/&gt;&lt;wsp:rsid wsp:val=&quot;00BC402B&quot;/&gt;&lt;wsp:rsid wsp:val=&quot;00BC40C2&quot;/&gt;&lt;wsp:rsid wsp:val=&quot;00BC4464&quot;/&gt;&lt;wsp:rsid wsp:val=&quot;00BC4A1C&quot;/&gt;&lt;wsp:rsid wsp:val=&quot;00BC4A5E&quot;/&gt;&lt;wsp:rsid wsp:val=&quot;00BC4CDE&quot;/&gt;&lt;wsp:rsid wsp:val=&quot;00BC4F0F&quot;/&gt;&lt;wsp:rsid wsp:val=&quot;00BC4F86&quot;/&gt;&lt;wsp:rsid wsp:val=&quot;00BC5197&quot;/&gt;&lt;wsp:rsid wsp:val=&quot;00BC51DE&quot;/&gt;&lt;wsp:rsid wsp:val=&quot;00BC569F&quot;/&gt;&lt;wsp:rsid wsp:val=&quot;00BC59F6&quot;/&gt;&lt;wsp:rsid wsp:val=&quot;00BC5B02&quot;/&gt;&lt;wsp:rsid wsp:val=&quot;00BC5E6B&quot;/&gt;&lt;wsp:rsid wsp:val=&quot;00BC645D&quot;/&gt;&lt;wsp:rsid wsp:val=&quot;00BC689E&quot;/&gt;&lt;wsp:rsid wsp:val=&quot;00BC6E57&quot;/&gt;&lt;wsp:rsid wsp:val=&quot;00BC6FF0&quot;/&gt;&lt;wsp:rsid wsp:val=&quot;00BC7003&quot;/&gt;&lt;wsp:rsid wsp:val=&quot;00BC72DF&quot;/&gt;&lt;wsp:rsid wsp:val=&quot;00BC7514&quot;/&gt;&lt;wsp:rsid wsp:val=&quot;00BC7A8A&quot;/&gt;&lt;wsp:rsid wsp:val=&quot;00BC7E36&quot;/&gt;&lt;wsp:rsid wsp:val=&quot;00BD0239&quot;/&gt;&lt;wsp:rsid wsp:val=&quot;00BD028C&quot;/&gt;&lt;wsp:rsid wsp:val=&quot;00BD0665&quot;/&gt;&lt;wsp:rsid wsp:val=&quot;00BD07EF&quot;/&gt;&lt;wsp:rsid wsp:val=&quot;00BD07F5&quot;/&gt;&lt;wsp:rsid wsp:val=&quot;00BD0E05&quot;/&gt;&lt;wsp:rsid wsp:val=&quot;00BD0EC3&quot;/&gt;&lt;wsp:rsid wsp:val=&quot;00BD1044&quot;/&gt;&lt;wsp:rsid wsp:val=&quot;00BD1408&quot;/&gt;&lt;wsp:rsid wsp:val=&quot;00BD15C5&quot;/&gt;&lt;wsp:rsid wsp:val=&quot;00BD16AD&quot;/&gt;&lt;wsp:rsid wsp:val=&quot;00BD183E&quot;/&gt;&lt;wsp:rsid wsp:val=&quot;00BD1966&quot;/&gt;&lt;wsp:rsid wsp:val=&quot;00BD19F8&quot;/&gt;&lt;wsp:rsid wsp:val=&quot;00BD21EF&quot;/&gt;&lt;wsp:rsid wsp:val=&quot;00BD2722&quot;/&gt;&lt;wsp:rsid wsp:val=&quot;00BD290B&quot;/&gt;&lt;wsp:rsid wsp:val=&quot;00BD2A30&quot;/&gt;&lt;wsp:rsid wsp:val=&quot;00BD2C67&quot;/&gt;&lt;wsp:rsid wsp:val=&quot;00BD319D&quot;/&gt;&lt;wsp:rsid wsp:val=&quot;00BD3B1A&quot;/&gt;&lt;wsp:rsid wsp:val=&quot;00BD3CC7&quot;/&gt;&lt;wsp:rsid wsp:val=&quot;00BD47CB&quot;/&gt;&lt;wsp:rsid wsp:val=&quot;00BD4986&quot;/&gt;&lt;wsp:rsid wsp:val=&quot;00BD4A06&quot;/&gt;&lt;wsp:rsid wsp:val=&quot;00BD4D4D&quot;/&gt;&lt;wsp:rsid wsp:val=&quot;00BD4F72&quot;/&gt;&lt;wsp:rsid wsp:val=&quot;00BD5117&quot;/&gt;&lt;wsp:rsid wsp:val=&quot;00BD52AB&quot;/&gt;&lt;wsp:rsid wsp:val=&quot;00BD5483&quot;/&gt;&lt;wsp:rsid wsp:val=&quot;00BD5626&quot;/&gt;&lt;wsp:rsid wsp:val=&quot;00BD57FD&quot;/&gt;&lt;wsp:rsid wsp:val=&quot;00BD5E7B&quot;/&gt;&lt;wsp:rsid wsp:val=&quot;00BD67E2&quot;/&gt;&lt;wsp:rsid wsp:val=&quot;00BD6DBD&quot;/&gt;&lt;wsp:rsid wsp:val=&quot;00BD6E04&quot;/&gt;&lt;wsp:rsid wsp:val=&quot;00BD73E0&quot;/&gt;&lt;wsp:rsid wsp:val=&quot;00BD746B&quot;/&gt;&lt;wsp:rsid wsp:val=&quot;00BD7971&quot;/&gt;&lt;wsp:rsid wsp:val=&quot;00BD7A89&quot;/&gt;&lt;wsp:rsid wsp:val=&quot;00BD7AB5&quot;/&gt;&lt;wsp:rsid wsp:val=&quot;00BD7C5B&quot;/&gt;&lt;wsp:rsid wsp:val=&quot;00BD7CEE&quot;/&gt;&lt;wsp:rsid wsp:val=&quot;00BD7D8E&quot;/&gt;&lt;wsp:rsid wsp:val=&quot;00BE0028&quot;/&gt;&lt;wsp:rsid wsp:val=&quot;00BE06B0&quot;/&gt;&lt;wsp:rsid wsp:val=&quot;00BE06D9&quot;/&gt;&lt;wsp:rsid wsp:val=&quot;00BE09AD&quot;/&gt;&lt;wsp:rsid wsp:val=&quot;00BE0B76&quot;/&gt;&lt;wsp:rsid wsp:val=&quot;00BE18A5&quot;/&gt;&lt;wsp:rsid wsp:val=&quot;00BE19E5&quot;/&gt;&lt;wsp:rsid wsp:val=&quot;00BE1DE4&quot;/&gt;&lt;wsp:rsid wsp:val=&quot;00BE1F06&quot;/&gt;&lt;wsp:rsid wsp:val=&quot;00BE1FDE&quot;/&gt;&lt;wsp:rsid wsp:val=&quot;00BE24B8&quot;/&gt;&lt;wsp:rsid wsp:val=&quot;00BE2516&quot;/&gt;&lt;wsp:rsid wsp:val=&quot;00BE2676&quot;/&gt;&lt;wsp:rsid wsp:val=&quot;00BE27F3&quot;/&gt;&lt;wsp:rsid wsp:val=&quot;00BE2B0C&quot;/&gt;&lt;wsp:rsid wsp:val=&quot;00BE2E84&quot;/&gt;&lt;wsp:rsid wsp:val=&quot;00BE2FC2&quot;/&gt;&lt;wsp:rsid wsp:val=&quot;00BE303E&quot;/&gt;&lt;wsp:rsid wsp:val=&quot;00BE333D&quot;/&gt;&lt;wsp:rsid wsp:val=&quot;00BE3465&quot;/&gt;&lt;wsp:rsid wsp:val=&quot;00BE4325&quot;/&gt;&lt;wsp:rsid wsp:val=&quot;00BE52FA&quot;/&gt;&lt;wsp:rsid wsp:val=&quot;00BE5611&quot;/&gt;&lt;wsp:rsid wsp:val=&quot;00BE56AA&quot;/&gt;&lt;wsp:rsid wsp:val=&quot;00BE56CB&quot;/&gt;&lt;wsp:rsid wsp:val=&quot;00BE58B2&quot;/&gt;&lt;wsp:rsid wsp:val=&quot;00BE6197&quot;/&gt;&lt;wsp:rsid wsp:val=&quot;00BE6510&quot;/&gt;&lt;wsp:rsid wsp:val=&quot;00BE6562&quot;/&gt;&lt;wsp:rsid wsp:val=&quot;00BE6B39&quot;/&gt;&lt;wsp:rsid wsp:val=&quot;00BE6C2F&quot;/&gt;&lt;wsp:rsid wsp:val=&quot;00BE6CE0&quot;/&gt;&lt;wsp:rsid wsp:val=&quot;00BE712C&quot;/&gt;&lt;wsp:rsid wsp:val=&quot;00BE75E1&quot;/&gt;&lt;wsp:rsid wsp:val=&quot;00BE76C2&quot;/&gt;&lt;wsp:rsid wsp:val=&quot;00BE785F&quot;/&gt;&lt;wsp:rsid wsp:val=&quot;00BE78BC&quot;/&gt;&lt;wsp:rsid wsp:val=&quot;00BE7C9B&quot;/&gt;&lt;wsp:rsid wsp:val=&quot;00BF00BE&quot;/&gt;&lt;wsp:rsid wsp:val=&quot;00BF018E&quot;/&gt;&lt;wsp:rsid wsp:val=&quot;00BF04F4&quot;/&gt;&lt;wsp:rsid wsp:val=&quot;00BF07C9&quot;/&gt;&lt;wsp:rsid wsp:val=&quot;00BF092E&quot;/&gt;&lt;wsp:rsid wsp:val=&quot;00BF0D10&quot;/&gt;&lt;wsp:rsid wsp:val=&quot;00BF0E67&quot;/&gt;&lt;wsp:rsid wsp:val=&quot;00BF0F6C&quot;/&gt;&lt;wsp:rsid wsp:val=&quot;00BF14A4&quot;/&gt;&lt;wsp:rsid wsp:val=&quot;00BF1503&quot;/&gt;&lt;wsp:rsid wsp:val=&quot;00BF1995&quot;/&gt;&lt;wsp:rsid wsp:val=&quot;00BF20B3&quot;/&gt;&lt;wsp:rsid wsp:val=&quot;00BF2226&quot;/&gt;&lt;wsp:rsid wsp:val=&quot;00BF2A9A&quot;/&gt;&lt;wsp:rsid wsp:val=&quot;00BF3C18&quot;/&gt;&lt;wsp:rsid wsp:val=&quot;00BF4105&quot;/&gt;&lt;wsp:rsid wsp:val=&quot;00BF418D&quot;/&gt;&lt;wsp:rsid wsp:val=&quot;00BF452F&quot;/&gt;&lt;wsp:rsid wsp:val=&quot;00BF456D&quot;/&gt;&lt;wsp:rsid wsp:val=&quot;00BF55FF&quot;/&gt;&lt;wsp:rsid wsp:val=&quot;00BF571A&quot;/&gt;&lt;wsp:rsid wsp:val=&quot;00BF5A3A&quot;/&gt;&lt;wsp:rsid wsp:val=&quot;00BF5B6E&quot;/&gt;&lt;wsp:rsid wsp:val=&quot;00BF5D51&quot;/&gt;&lt;wsp:rsid wsp:val=&quot;00BF5FB4&quot;/&gt;&lt;wsp:rsid wsp:val=&quot;00BF6487&quot;/&gt;&lt;wsp:rsid wsp:val=&quot;00BF6693&quot;/&gt;&lt;wsp:rsid wsp:val=&quot;00BF66D7&quot;/&gt;&lt;wsp:rsid wsp:val=&quot;00BF6AF7&quot;/&gt;&lt;wsp:rsid wsp:val=&quot;00BF6D3E&quot;/&gt;&lt;wsp:rsid wsp:val=&quot;00BF6F1F&quot;/&gt;&lt;wsp:rsid wsp:val=&quot;00BF7145&quot;/&gt;&lt;wsp:rsid wsp:val=&quot;00BF7221&quot;/&gt;&lt;wsp:rsid wsp:val=&quot;00BF7B8D&quot;/&gt;&lt;wsp:rsid wsp:val=&quot;00BF7EAE&quot;/&gt;&lt;wsp:rsid wsp:val=&quot;00C00180&quot;/&gt;&lt;wsp:rsid wsp:val=&quot;00C002A6&quot;/&gt;&lt;wsp:rsid wsp:val=&quot;00C0040F&quot;/&gt;&lt;wsp:rsid wsp:val=&quot;00C00B97&quot;/&gt;&lt;wsp:rsid wsp:val=&quot;00C00ED8&quot;/&gt;&lt;wsp:rsid wsp:val=&quot;00C011B7&quot;/&gt;&lt;wsp:rsid wsp:val=&quot;00C01350&quot;/&gt;&lt;wsp:rsid wsp:val=&quot;00C017BB&quot;/&gt;&lt;wsp:rsid wsp:val=&quot;00C01DB8&quot;/&gt;&lt;wsp:rsid wsp:val=&quot;00C01E51&quot;/&gt;&lt;wsp:rsid wsp:val=&quot;00C01F8C&quot;/&gt;&lt;wsp:rsid wsp:val=&quot;00C0200B&quot;/&gt;&lt;wsp:rsid wsp:val=&quot;00C020FC&quot;/&gt;&lt;wsp:rsid wsp:val=&quot;00C02143&quot;/&gt;&lt;wsp:rsid wsp:val=&quot;00C02566&quot;/&gt;&lt;wsp:rsid wsp:val=&quot;00C02775&quot;/&gt;&lt;wsp:rsid wsp:val=&quot;00C02AB4&quot;/&gt;&lt;wsp:rsid wsp:val=&quot;00C02B6E&quot;/&gt;&lt;wsp:rsid wsp:val=&quot;00C02C7F&quot;/&gt;&lt;wsp:rsid wsp:val=&quot;00C02FC6&quot;/&gt;&lt;wsp:rsid wsp:val=&quot;00C03236&quot;/&gt;&lt;wsp:rsid wsp:val=&quot;00C03A12&quot;/&gt;&lt;wsp:rsid wsp:val=&quot;00C03E02&quot;/&gt;&lt;wsp:rsid wsp:val=&quot;00C03F80&quot;/&gt;&lt;wsp:rsid wsp:val=&quot;00C04424&quot;/&gt;&lt;wsp:rsid wsp:val=&quot;00C0453D&quot;/&gt;&lt;wsp:rsid wsp:val=&quot;00C05095&quot;/&gt;&lt;wsp:rsid wsp:val=&quot;00C05A2D&quot;/&gt;&lt;wsp:rsid wsp:val=&quot;00C05D31&quot;/&gt;&lt;wsp:rsid wsp:val=&quot;00C05E10&quot;/&gt;&lt;wsp:rsid wsp:val=&quot;00C060E2&quot;/&gt;&lt;wsp:rsid wsp:val=&quot;00C06660&quot;/&gt;&lt;wsp:rsid wsp:val=&quot;00C0691F&quot;/&gt;&lt;wsp:rsid wsp:val=&quot;00C06953&quot;/&gt;&lt;wsp:rsid wsp:val=&quot;00C06CC3&quot;/&gt;&lt;wsp:rsid wsp:val=&quot;00C06DF9&quot;/&gt;&lt;wsp:rsid wsp:val=&quot;00C06FB3&quot;/&gt;&lt;wsp:rsid wsp:val=&quot;00C070C3&quot;/&gt;&lt;wsp:rsid wsp:val=&quot;00C078EE&quot;/&gt;&lt;wsp:rsid wsp:val=&quot;00C07BC7&quot;/&gt;&lt;wsp:rsid wsp:val=&quot;00C10240&quot;/&gt;&lt;wsp:rsid wsp:val=&quot;00C102D6&quot;/&gt;&lt;wsp:rsid wsp:val=&quot;00C104EA&quot;/&gt;&lt;wsp:rsid wsp:val=&quot;00C10512&quot;/&gt;&lt;wsp:rsid wsp:val=&quot;00C10BF8&quot;/&gt;&lt;wsp:rsid wsp:val=&quot;00C10D7B&quot;/&gt;&lt;wsp:rsid wsp:val=&quot;00C10F49&quot;/&gt;&lt;wsp:rsid wsp:val=&quot;00C11443&quot;/&gt;&lt;wsp:rsid wsp:val=&quot;00C11555&quot;/&gt;&lt;wsp:rsid wsp:val=&quot;00C1180F&quot;/&gt;&lt;wsp:rsid wsp:val=&quot;00C11BE8&quot;/&gt;&lt;wsp:rsid wsp:val=&quot;00C11EA5&quot;/&gt;&lt;wsp:rsid wsp:val=&quot;00C11F74&quot;/&gt;&lt;wsp:rsid wsp:val=&quot;00C129E9&quot;/&gt;&lt;wsp:rsid wsp:val=&quot;00C12C11&quot;/&gt;&lt;wsp:rsid wsp:val=&quot;00C12C97&quot;/&gt;&lt;wsp:rsid wsp:val=&quot;00C13509&quot;/&gt;&lt;wsp:rsid wsp:val=&quot;00C13555&quot;/&gt;&lt;wsp:rsid wsp:val=&quot;00C135A5&quot;/&gt;&lt;wsp:rsid wsp:val=&quot;00C137B3&quot;/&gt;&lt;wsp:rsid wsp:val=&quot;00C13AE6&quot;/&gt;&lt;wsp:rsid wsp:val=&quot;00C13EEF&quot;/&gt;&lt;wsp:rsid wsp:val=&quot;00C14134&quot;/&gt;&lt;wsp:rsid wsp:val=&quot;00C1486A&quot;/&gt;&lt;wsp:rsid wsp:val=&quot;00C14D0F&quot;/&gt;&lt;wsp:rsid wsp:val=&quot;00C150B0&quot;/&gt;&lt;wsp:rsid wsp:val=&quot;00C152AF&quot;/&gt;&lt;wsp:rsid wsp:val=&quot;00C15325&quot;/&gt;&lt;wsp:rsid wsp:val=&quot;00C15977&quot;/&gt;&lt;wsp:rsid wsp:val=&quot;00C15C67&quot;/&gt;&lt;wsp:rsid wsp:val=&quot;00C15EE9&quot;/&gt;&lt;wsp:rsid wsp:val=&quot;00C15F3E&quot;/&gt;&lt;wsp:rsid wsp:val=&quot;00C162BB&quot;/&gt;&lt;wsp:rsid wsp:val=&quot;00C1648E&quot;/&gt;&lt;wsp:rsid wsp:val=&quot;00C16B62&quot;/&gt;&lt;wsp:rsid wsp:val=&quot;00C16CD0&quot;/&gt;&lt;wsp:rsid wsp:val=&quot;00C16D8C&quot;/&gt;&lt;wsp:rsid wsp:val=&quot;00C1711A&quot;/&gt;&lt;wsp:rsid wsp:val=&quot;00C174BB&quot;/&gt;&lt;wsp:rsid wsp:val=&quot;00C17BF1&quot;/&gt;&lt;wsp:rsid wsp:val=&quot;00C17C09&quot;/&gt;&lt;wsp:rsid wsp:val=&quot;00C20128&quot;/&gt;&lt;wsp:rsid wsp:val=&quot;00C201C6&quot;/&gt;&lt;wsp:rsid wsp:val=&quot;00C20663&quot;/&gt;&lt;wsp:rsid wsp:val=&quot;00C208B3&quot;/&gt;&lt;wsp:rsid wsp:val=&quot;00C20A81&quot;/&gt;&lt;wsp:rsid wsp:val=&quot;00C20C04&quot;/&gt;&lt;wsp:rsid wsp:val=&quot;00C213C5&quot;/&gt;&lt;wsp:rsid wsp:val=&quot;00C2147C&quot;/&gt;&lt;wsp:rsid wsp:val=&quot;00C21867&quot;/&gt;&lt;wsp:rsid wsp:val=&quot;00C21BF0&quot;/&gt;&lt;wsp:rsid wsp:val=&quot;00C21CA2&quot;/&gt;&lt;wsp:rsid wsp:val=&quot;00C21FB6&quot;/&gt;&lt;wsp:rsid wsp:val=&quot;00C220D9&quot;/&gt;&lt;wsp:rsid wsp:val=&quot;00C22109&quot;/&gt;&lt;wsp:rsid wsp:val=&quot;00C22165&quot;/&gt;&lt;wsp:rsid wsp:val=&quot;00C22178&quot;/&gt;&lt;wsp:rsid wsp:val=&quot;00C22628&quot;/&gt;&lt;wsp:rsid wsp:val=&quot;00C22699&quot;/&gt;&lt;wsp:rsid wsp:val=&quot;00C2292E&quot;/&gt;&lt;wsp:rsid wsp:val=&quot;00C22AA2&quot;/&gt;&lt;wsp:rsid wsp:val=&quot;00C22F8E&quot;/&gt;&lt;wsp:rsid wsp:val=&quot;00C23063&quot;/&gt;&lt;wsp:rsid wsp:val=&quot;00C236A3&quot;/&gt;&lt;wsp:rsid wsp:val=&quot;00C236BB&quot;/&gt;&lt;wsp:rsid wsp:val=&quot;00C23703&quot;/&gt;&lt;wsp:rsid wsp:val=&quot;00C239A2&quot;/&gt;&lt;wsp:rsid wsp:val=&quot;00C23EA5&quot;/&gt;&lt;wsp:rsid wsp:val=&quot;00C23EFC&quot;/&gt;&lt;wsp:rsid wsp:val=&quot;00C23F8F&quot;/&gt;&lt;wsp:rsid wsp:val=&quot;00C24301&quot;/&gt;&lt;wsp:rsid wsp:val=&quot;00C244F8&quot;/&gt;&lt;wsp:rsid wsp:val=&quot;00C24626&quot;/&gt;&lt;wsp:rsid wsp:val=&quot;00C24A64&quot;/&gt;&lt;wsp:rsid wsp:val=&quot;00C24E2A&quot;/&gt;&lt;wsp:rsid wsp:val=&quot;00C24E2B&quot;/&gt;&lt;wsp:rsid wsp:val=&quot;00C24F63&quot;/&gt;&lt;wsp:rsid wsp:val=&quot;00C250B1&quot;/&gt;&lt;wsp:rsid wsp:val=&quot;00C2586A&quot;/&gt;&lt;wsp:rsid wsp:val=&quot;00C25936&quot;/&gt;&lt;wsp:rsid wsp:val=&quot;00C25DE7&quot;/&gt;&lt;wsp:rsid wsp:val=&quot;00C260AE&quot;/&gt;&lt;wsp:rsid wsp:val=&quot;00C26418&quot;/&gt;&lt;wsp:rsid wsp:val=&quot;00C267CE&quot;/&gt;&lt;wsp:rsid wsp:val=&quot;00C27C00&quot;/&gt;&lt;wsp:rsid wsp:val=&quot;00C3012D&quot;/&gt;&lt;wsp:rsid wsp:val=&quot;00C309C4&quot;/&gt;&lt;wsp:rsid wsp:val=&quot;00C30C4F&quot;/&gt;&lt;wsp:rsid wsp:val=&quot;00C30FEC&quot;/&gt;&lt;wsp:rsid wsp:val=&quot;00C310A6&quot;/&gt;&lt;wsp:rsid wsp:val=&quot;00C313EB&quot;/&gt;&lt;wsp:rsid wsp:val=&quot;00C31477&quot;/&gt;&lt;wsp:rsid wsp:val=&quot;00C3163C&quot;/&gt;&lt;wsp:rsid wsp:val=&quot;00C3189B&quot;/&gt;&lt;wsp:rsid wsp:val=&quot;00C31991&quot;/&gt;&lt;wsp:rsid wsp:val=&quot;00C31BF9&quot;/&gt;&lt;wsp:rsid wsp:val=&quot;00C31E68&quot;/&gt;&lt;wsp:rsid wsp:val=&quot;00C31E98&quot;/&gt;&lt;wsp:rsid wsp:val=&quot;00C31F06&quot;/&gt;&lt;wsp:rsid wsp:val=&quot;00C3200E&quot;/&gt;&lt;wsp:rsid wsp:val=&quot;00C32227&quot;/&gt;&lt;wsp:rsid wsp:val=&quot;00C32521&quot;/&gt;&lt;wsp:rsid wsp:val=&quot;00C3256D&quot;/&gt;&lt;wsp:rsid wsp:val=&quot;00C326F5&quot;/&gt;&lt;wsp:rsid wsp:val=&quot;00C328C0&quot;/&gt;&lt;wsp:rsid wsp:val=&quot;00C329BB&quot;/&gt;&lt;wsp:rsid wsp:val=&quot;00C32CD7&quot;/&gt;&lt;wsp:rsid wsp:val=&quot;00C32D73&quot;/&gt;&lt;wsp:rsid wsp:val=&quot;00C33480&quot;/&gt;&lt;wsp:rsid wsp:val=&quot;00C3351E&quot;/&gt;&lt;wsp:rsid wsp:val=&quot;00C33ABF&quot;/&gt;&lt;wsp:rsid wsp:val=&quot;00C33F88&quot;/&gt;&lt;wsp:rsid wsp:val=&quot;00C347EB&quot;/&gt;&lt;wsp:rsid wsp:val=&quot;00C34A8A&quot;/&gt;&lt;wsp:rsid wsp:val=&quot;00C34E96&quot;/&gt;&lt;wsp:rsid wsp:val=&quot;00C34F98&quot;/&gt;&lt;wsp:rsid wsp:val=&quot;00C34FE9&quot;/&gt;&lt;wsp:rsid wsp:val=&quot;00C351F0&quot;/&gt;&lt;wsp:rsid wsp:val=&quot;00C3528E&quot;/&gt;&lt;wsp:rsid wsp:val=&quot;00C3546C&quot;/&gt;&lt;wsp:rsid wsp:val=&quot;00C36345&quot;/&gt;&lt;wsp:rsid wsp:val=&quot;00C36660&quot;/&gt;&lt;wsp:rsid wsp:val=&quot;00C36908&quot;/&gt;&lt;wsp:rsid wsp:val=&quot;00C36A6C&quot;/&gt;&lt;wsp:rsid wsp:val=&quot;00C36D0F&quot;/&gt;&lt;wsp:rsid wsp:val=&quot;00C36F38&quot;/&gt;&lt;wsp:rsid wsp:val=&quot;00C36F53&quot;/&gt;&lt;wsp:rsid wsp:val=&quot;00C375DD&quot;/&gt;&lt;wsp:rsid wsp:val=&quot;00C37B8B&quot;/&gt;&lt;wsp:rsid wsp:val=&quot;00C40486&quot;/&gt;&lt;wsp:rsid wsp:val=&quot;00C405F4&quot;/&gt;&lt;wsp:rsid wsp:val=&quot;00C40609&quot;/&gt;&lt;wsp:rsid wsp:val=&quot;00C40777&quot;/&gt;&lt;wsp:rsid wsp:val=&quot;00C408E3&quot;/&gt;&lt;wsp:rsid wsp:val=&quot;00C409E2&quot;/&gt;&lt;wsp:rsid wsp:val=&quot;00C40A4C&quot;/&gt;&lt;wsp:rsid wsp:val=&quot;00C40A63&quot;/&gt;&lt;wsp:rsid wsp:val=&quot;00C40D3E&quot;/&gt;&lt;wsp:rsid wsp:val=&quot;00C40E93&quot;/&gt;&lt;wsp:rsid wsp:val=&quot;00C40F5C&quot;/&gt;&lt;wsp:rsid wsp:val=&quot;00C40F77&quot;/&gt;&lt;wsp:rsid wsp:val=&quot;00C4136B&quot;/&gt;&lt;wsp:rsid wsp:val=&quot;00C413B2&quot;/&gt;&lt;wsp:rsid wsp:val=&quot;00C413CD&quot;/&gt;&lt;wsp:rsid wsp:val=&quot;00C41992&quot;/&gt;&lt;wsp:rsid wsp:val=&quot;00C419F9&quot;/&gt;&lt;wsp:rsid wsp:val=&quot;00C41CC2&quot;/&gt;&lt;wsp:rsid wsp:val=&quot;00C41DFC&quot;/&gt;&lt;wsp:rsid wsp:val=&quot;00C41E87&quot;/&gt;&lt;wsp:rsid wsp:val=&quot;00C41F13&quot;/&gt;&lt;wsp:rsid wsp:val=&quot;00C42424&quot;/&gt;&lt;wsp:rsid wsp:val=&quot;00C43286&quot;/&gt;&lt;wsp:rsid wsp:val=&quot;00C4358D&quot;/&gt;&lt;wsp:rsid wsp:val=&quot;00C4370D&quot;/&gt;&lt;wsp:rsid wsp:val=&quot;00C44058&quot;/&gt;&lt;wsp:rsid wsp:val=&quot;00C4495F&quot;/&gt;&lt;wsp:rsid wsp:val=&quot;00C45325&quot;/&gt;&lt;wsp:rsid wsp:val=&quot;00C453A3&quot;/&gt;&lt;wsp:rsid wsp:val=&quot;00C45ADF&quot;/&gt;&lt;wsp:rsid wsp:val=&quot;00C45CB8&quot;/&gt;&lt;wsp:rsid wsp:val=&quot;00C46336&quot;/&gt;&lt;wsp:rsid wsp:val=&quot;00C4689A&quot;/&gt;&lt;wsp:rsid wsp:val=&quot;00C46E54&quot;/&gt;&lt;wsp:rsid wsp:val=&quot;00C4703A&quot;/&gt;&lt;wsp:rsid wsp:val=&quot;00C474C1&quot;/&gt;&lt;wsp:rsid wsp:val=&quot;00C47EAC&quot;/&gt;&lt;wsp:rsid wsp:val=&quot;00C47FE1&quot;/&gt;&lt;wsp:rsid wsp:val=&quot;00C5008A&quot;/&gt;&lt;wsp:rsid wsp:val=&quot;00C507B2&quot;/&gt;&lt;wsp:rsid wsp:val=&quot;00C50B28&quot;/&gt;&lt;wsp:rsid wsp:val=&quot;00C50B89&quot;/&gt;&lt;wsp:rsid wsp:val=&quot;00C51397&quot;/&gt;&lt;wsp:rsid wsp:val=&quot;00C516C6&quot;/&gt;&lt;wsp:rsid wsp:val=&quot;00C51953&quot;/&gt;&lt;wsp:rsid wsp:val=&quot;00C52043&quot;/&gt;&lt;wsp:rsid wsp:val=&quot;00C5268A&quot;/&gt;&lt;wsp:rsid wsp:val=&quot;00C529CC&quot;/&gt;&lt;wsp:rsid wsp:val=&quot;00C52D26&quot;/&gt;&lt;wsp:rsid wsp:val=&quot;00C53272&quot;/&gt;&lt;wsp:rsid wsp:val=&quot;00C53E29&quot;/&gt;&lt;wsp:rsid wsp:val=&quot;00C53EAE&quot;/&gt;&lt;wsp:rsid wsp:val=&quot;00C53F85&quot;/&gt;&lt;wsp:rsid wsp:val=&quot;00C54548&quot;/&gt;&lt;wsp:rsid wsp:val=&quot;00C549F3&quot;/&gt;&lt;wsp:rsid wsp:val=&quot;00C54CE5&quot;/&gt;&lt;wsp:rsid wsp:val=&quot;00C54D13&quot;/&gt;&lt;wsp:rsid wsp:val=&quot;00C54EF1&quot;/&gt;&lt;wsp:rsid wsp:val=&quot;00C5502B&quot;/&gt;&lt;wsp:rsid wsp:val=&quot;00C551F8&quot;/&gt;&lt;wsp:rsid wsp:val=&quot;00C552FA&quot;/&gt;&lt;wsp:rsid wsp:val=&quot;00C5557C&quot;/&gt;&lt;wsp:rsid wsp:val=&quot;00C55714&quot;/&gt;&lt;wsp:rsid wsp:val=&quot;00C5571A&quot;/&gt;&lt;wsp:rsid wsp:val=&quot;00C55833&quot;/&gt;&lt;wsp:rsid wsp:val=&quot;00C55ABB&quot;/&gt;&lt;wsp:rsid wsp:val=&quot;00C55C94&quot;/&gt;&lt;wsp:rsid wsp:val=&quot;00C560ED&quot;/&gt;&lt;wsp:rsid wsp:val=&quot;00C56423&quot;/&gt;&lt;wsp:rsid wsp:val=&quot;00C56B2B&quot;/&gt;&lt;wsp:rsid wsp:val=&quot;00C56DFA&quot;/&gt;&lt;wsp:rsid wsp:val=&quot;00C5706C&quot;/&gt;&lt;wsp:rsid wsp:val=&quot;00C5748D&quot;/&gt;&lt;wsp:rsid wsp:val=&quot;00C57495&quot;/&gt;&lt;wsp:rsid wsp:val=&quot;00C5764E&quot;/&gt;&lt;wsp:rsid wsp:val=&quot;00C57724&quot;/&gt;&lt;wsp:rsid wsp:val=&quot;00C578BE&quot;/&gt;&lt;wsp:rsid wsp:val=&quot;00C57A7C&quot;/&gt;&lt;wsp:rsid wsp:val=&quot;00C57ABD&quot;/&gt;&lt;wsp:rsid wsp:val=&quot;00C57E0C&quot;/&gt;&lt;wsp:rsid wsp:val=&quot;00C60420&quot;/&gt;&lt;wsp:rsid wsp:val=&quot;00C608EB&quot;/&gt;&lt;wsp:rsid wsp:val=&quot;00C61442&quot;/&gt;&lt;wsp:rsid wsp:val=&quot;00C6148E&quot;/&gt;&lt;wsp:rsid wsp:val=&quot;00C616DC&quot;/&gt;&lt;wsp:rsid wsp:val=&quot;00C61D53&quot;/&gt;&lt;wsp:rsid wsp:val=&quot;00C628B9&quot;/&gt;&lt;wsp:rsid wsp:val=&quot;00C62D5C&quot;/&gt;&lt;wsp:rsid wsp:val=&quot;00C62D63&quot;/&gt;&lt;wsp:rsid wsp:val=&quot;00C62FD1&quot;/&gt;&lt;wsp:rsid wsp:val=&quot;00C63112&quot;/&gt;&lt;wsp:rsid wsp:val=&quot;00C6323C&quot;/&gt;&lt;wsp:rsid wsp:val=&quot;00C632AB&quot;/&gt;&lt;wsp:rsid wsp:val=&quot;00C635E9&quot;/&gt;&lt;wsp:rsid wsp:val=&quot;00C63676&quot;/&gt;&lt;wsp:rsid wsp:val=&quot;00C638AE&quot;/&gt;&lt;wsp:rsid wsp:val=&quot;00C6396D&quot;/&gt;&lt;wsp:rsid wsp:val=&quot;00C63FC5&quot;/&gt;&lt;wsp:rsid wsp:val=&quot;00C64147&quot;/&gt;&lt;wsp:rsid wsp:val=&quot;00C64212&quot;/&gt;&lt;wsp:rsid wsp:val=&quot;00C64557&quot;/&gt;&lt;wsp:rsid wsp:val=&quot;00C648CB&quot;/&gt;&lt;wsp:rsid wsp:val=&quot;00C64B1E&quot;/&gt;&lt;wsp:rsid wsp:val=&quot;00C64B99&quot;/&gt;&lt;wsp:rsid wsp:val=&quot;00C64FFC&quot;/&gt;&lt;wsp:rsid wsp:val=&quot;00C64FFD&quot;/&gt;&lt;wsp:rsid wsp:val=&quot;00C65030&quot;/&gt;&lt;wsp:rsid wsp:val=&quot;00C655D5&quot;/&gt;&lt;wsp:rsid wsp:val=&quot;00C65CFF&quot;/&gt;&lt;wsp:rsid wsp:val=&quot;00C65EEE&quot;/&gt;&lt;wsp:rsid wsp:val=&quot;00C662BB&quot;/&gt;&lt;wsp:rsid wsp:val=&quot;00C66354&quot;/&gt;&lt;wsp:rsid wsp:val=&quot;00C66A8E&quot;/&gt;&lt;wsp:rsid wsp:val=&quot;00C66B4B&quot;/&gt;&lt;wsp:rsid wsp:val=&quot;00C670A3&quot;/&gt;&lt;wsp:rsid wsp:val=&quot;00C670AE&quot;/&gt;&lt;wsp:rsid wsp:val=&quot;00C671DE&quot;/&gt;&lt;wsp:rsid wsp:val=&quot;00C673C5&quot;/&gt;&lt;wsp:rsid wsp:val=&quot;00C67831&quot;/&gt;&lt;wsp:rsid wsp:val=&quot;00C67EA5&quot;/&gt;&lt;wsp:rsid wsp:val=&quot;00C67F6C&quot;/&gt;&lt;wsp:rsid wsp:val=&quot;00C701DC&quot;/&gt;&lt;wsp:rsid wsp:val=&quot;00C70366&quot;/&gt;&lt;wsp:rsid wsp:val=&quot;00C70A2A&quot;/&gt;&lt;wsp:rsid wsp:val=&quot;00C71651&quot;/&gt;&lt;wsp:rsid wsp:val=&quot;00C71716&quot;/&gt;&lt;wsp:rsid wsp:val=&quot;00C71B9C&quot;/&gt;&lt;wsp:rsid wsp:val=&quot;00C71BAB&quot;/&gt;&lt;wsp:rsid wsp:val=&quot;00C71BCA&quot;/&gt;&lt;wsp:rsid wsp:val=&quot;00C71DA3&quot;/&gt;&lt;wsp:rsid wsp:val=&quot;00C71FEF&quot;/&gt;&lt;wsp:rsid wsp:val=&quot;00C723D3&quot;/&gt;&lt;wsp:rsid wsp:val=&quot;00C7245C&quot;/&gt;&lt;wsp:rsid wsp:val=&quot;00C72BF5&quot;/&gt;&lt;wsp:rsid wsp:val=&quot;00C72E28&quot;/&gt;&lt;wsp:rsid wsp:val=&quot;00C72E48&quot;/&gt;&lt;wsp:rsid wsp:val=&quot;00C72F9F&quot;/&gt;&lt;wsp:rsid wsp:val=&quot;00C730B0&quot;/&gt;&lt;wsp:rsid wsp:val=&quot;00C73AB5&quot;/&gt;&lt;wsp:rsid wsp:val=&quot;00C742F4&quot;/&gt;&lt;wsp:rsid wsp:val=&quot;00C74456&quot;/&gt;&lt;wsp:rsid wsp:val=&quot;00C744F9&quot;/&gt;&lt;wsp:rsid wsp:val=&quot;00C74CB4&quot;/&gt;&lt;wsp:rsid wsp:val=&quot;00C7506D&quot;/&gt;&lt;wsp:rsid wsp:val=&quot;00C75070&quot;/&gt;&lt;wsp:rsid wsp:val=&quot;00C7519E&quot;/&gt;&lt;wsp:rsid wsp:val=&quot;00C755A3&quot;/&gt;&lt;wsp:rsid wsp:val=&quot;00C75D11&quot;/&gt;&lt;wsp:rsid wsp:val=&quot;00C75E9E&quot;/&gt;&lt;wsp:rsid wsp:val=&quot;00C76290&quot;/&gt;&lt;wsp:rsid wsp:val=&quot;00C764DC&quot;/&gt;&lt;wsp:rsid wsp:val=&quot;00C76567&quot;/&gt;&lt;wsp:rsid wsp:val=&quot;00C76946&quot;/&gt;&lt;wsp:rsid wsp:val=&quot;00C76B5E&quot;/&gt;&lt;wsp:rsid wsp:val=&quot;00C76D1B&quot;/&gt;&lt;wsp:rsid wsp:val=&quot;00C770A4&quot;/&gt;&lt;wsp:rsid wsp:val=&quot;00C77201&quot;/&gt;&lt;wsp:rsid wsp:val=&quot;00C7749B&quot;/&gt;&lt;wsp:rsid wsp:val=&quot;00C774E8&quot;/&gt;&lt;wsp:rsid wsp:val=&quot;00C77D52&quot;/&gt;&lt;wsp:rsid wsp:val=&quot;00C804F3&quot;/&gt;&lt;wsp:rsid wsp:val=&quot;00C805E2&quot;/&gt;&lt;wsp:rsid wsp:val=&quot;00C806F4&quot;/&gt;&lt;wsp:rsid wsp:val=&quot;00C80E41&quot;/&gt;&lt;wsp:rsid wsp:val=&quot;00C810E4&quot;/&gt;&lt;wsp:rsid wsp:val=&quot;00C8182A&quot;/&gt;&lt;wsp:rsid wsp:val=&quot;00C81C54&quot;/&gt;&lt;wsp:rsid wsp:val=&quot;00C81D9B&quot;/&gt;&lt;wsp:rsid wsp:val=&quot;00C822FD&quot;/&gt;&lt;wsp:rsid wsp:val=&quot;00C82360&quot;/&gt;&lt;wsp:rsid wsp:val=&quot;00C823D2&quot;/&gt;&lt;wsp:rsid wsp:val=&quot;00C825B6&quot;/&gt;&lt;wsp:rsid wsp:val=&quot;00C82D07&quot;/&gt;&lt;wsp:rsid wsp:val=&quot;00C82EE1&quot;/&gt;&lt;wsp:rsid wsp:val=&quot;00C834B5&quot;/&gt;&lt;wsp:rsid wsp:val=&quot;00C836AB&quot;/&gt;&lt;wsp:rsid wsp:val=&quot;00C83829&quot;/&gt;&lt;wsp:rsid wsp:val=&quot;00C83AB1&quot;/&gt;&lt;wsp:rsid wsp:val=&quot;00C83C0B&quot;/&gt;&lt;wsp:rsid wsp:val=&quot;00C84335&quot;/&gt;&lt;wsp:rsid wsp:val=&quot;00C84382&quot;/&gt;&lt;wsp:rsid wsp:val=&quot;00C846D6&quot;/&gt;&lt;wsp:rsid wsp:val=&quot;00C84879&quot;/&gt;&lt;wsp:rsid wsp:val=&quot;00C8490D&quot;/&gt;&lt;wsp:rsid wsp:val=&quot;00C849C3&quot;/&gt;&lt;wsp:rsid wsp:val=&quot;00C84CA9&quot;/&gt;&lt;wsp:rsid wsp:val=&quot;00C84DAA&quot;/&gt;&lt;wsp:rsid wsp:val=&quot;00C85290&quot;/&gt;&lt;wsp:rsid wsp:val=&quot;00C8537C&quot;/&gt;&lt;wsp:rsid wsp:val=&quot;00C8545B&quot;/&gt;&lt;wsp:rsid wsp:val=&quot;00C85463&quot;/&gt;&lt;wsp:rsid wsp:val=&quot;00C86660&quot;/&gt;&lt;wsp:rsid wsp:val=&quot;00C866CF&quot;/&gt;&lt;wsp:rsid wsp:val=&quot;00C86725&quot;/&gt;&lt;wsp:rsid wsp:val=&quot;00C86798&quot;/&gt;&lt;wsp:rsid wsp:val=&quot;00C869FF&quot;/&gt;&lt;wsp:rsid wsp:val=&quot;00C86B66&quot;/&gt;&lt;wsp:rsid wsp:val=&quot;00C8703E&quot;/&gt;&lt;wsp:rsid wsp:val=&quot;00C87047&quot;/&gt;&lt;wsp:rsid wsp:val=&quot;00C871AB&quot;/&gt;&lt;wsp:rsid wsp:val=&quot;00C8759E&quot;/&gt;&lt;wsp:rsid wsp:val=&quot;00C878DD&quot;/&gt;&lt;wsp:rsid wsp:val=&quot;00C87E7C&quot;/&gt;&lt;wsp:rsid wsp:val=&quot;00C901B8&quot;/&gt;&lt;wsp:rsid wsp:val=&quot;00C901D2&quot;/&gt;&lt;wsp:rsid wsp:val=&quot;00C902BC&quot;/&gt;&lt;wsp:rsid wsp:val=&quot;00C903C5&quot;/&gt;&lt;wsp:rsid wsp:val=&quot;00C90E9F&quot;/&gt;&lt;wsp:rsid wsp:val=&quot;00C90F68&quot;/&gt;&lt;wsp:rsid wsp:val=&quot;00C90FAD&quot;/&gt;&lt;wsp:rsid wsp:val=&quot;00C911C4&quot;/&gt;&lt;wsp:rsid wsp:val=&quot;00C91235&quot;/&gt;&lt;wsp:rsid wsp:val=&quot;00C91579&quot;/&gt;&lt;wsp:rsid wsp:val=&quot;00C91B03&quot;/&gt;&lt;wsp:rsid wsp:val=&quot;00C91B1A&quot;/&gt;&lt;wsp:rsid wsp:val=&quot;00C91B69&quot;/&gt;&lt;wsp:rsid wsp:val=&quot;00C91B6B&quot;/&gt;&lt;wsp:rsid wsp:val=&quot;00C91D6B&quot;/&gt;&lt;wsp:rsid wsp:val=&quot;00C92840&quot;/&gt;&lt;wsp:rsid wsp:val=&quot;00C92C3E&quot;/&gt;&lt;wsp:rsid wsp:val=&quot;00C92C8B&quot;/&gt;&lt;wsp:rsid wsp:val=&quot;00C92FE3&quot;/&gt;&lt;wsp:rsid wsp:val=&quot;00C93213&quot;/&gt;&lt;wsp:rsid wsp:val=&quot;00C9359D&quot;/&gt;&lt;wsp:rsid wsp:val=&quot;00C93794&quot;/&gt;&lt;wsp:rsid wsp:val=&quot;00C93AB1&quot;/&gt;&lt;wsp:rsid wsp:val=&quot;00C93C1C&quot;/&gt;&lt;wsp:rsid wsp:val=&quot;00C93C71&quot;/&gt;&lt;wsp:rsid wsp:val=&quot;00C94BF7&quot;/&gt;&lt;wsp:rsid wsp:val=&quot;00C94FDA&quot;/&gt;&lt;wsp:rsid wsp:val=&quot;00C952F2&quot;/&gt;&lt;wsp:rsid wsp:val=&quot;00C95593&quot;/&gt;&lt;wsp:rsid wsp:val=&quot;00C95601&quot;/&gt;&lt;wsp:rsid wsp:val=&quot;00C95761&quot;/&gt;&lt;wsp:rsid wsp:val=&quot;00C95B50&quot;/&gt;&lt;wsp:rsid wsp:val=&quot;00C95B74&quot;/&gt;&lt;wsp:rsid wsp:val=&quot;00C95DA9&quot;/&gt;&lt;wsp:rsid wsp:val=&quot;00C95FCB&quot;/&gt;&lt;wsp:rsid wsp:val=&quot;00C96008&quot;/&gt;&lt;wsp:rsid wsp:val=&quot;00C96072&quot;/&gt;&lt;wsp:rsid wsp:val=&quot;00C96114&quot;/&gt;&lt;wsp:rsid wsp:val=&quot;00C96342&quot;/&gt;&lt;wsp:rsid wsp:val=&quot;00C96488&quot;/&gt;&lt;wsp:rsid wsp:val=&quot;00C965F4&quot;/&gt;&lt;wsp:rsid wsp:val=&quot;00C966E7&quot;/&gt;&lt;wsp:rsid wsp:val=&quot;00C967C3&quot;/&gt;&lt;wsp:rsid wsp:val=&quot;00C967C7&quot;/&gt;&lt;wsp:rsid wsp:val=&quot;00C967D6&quot;/&gt;&lt;wsp:rsid wsp:val=&quot;00C96A2F&quot;/&gt;&lt;wsp:rsid wsp:val=&quot;00C96F4D&quot;/&gt;&lt;wsp:rsid wsp:val=&quot;00C973B5&quot;/&gt;&lt;wsp:rsid wsp:val=&quot;00C97477&quot;/&gt;&lt;wsp:rsid wsp:val=&quot;00C976FC&quot;/&gt;&lt;wsp:rsid wsp:val=&quot;00C977D5&quot;/&gt;&lt;wsp:rsid wsp:val=&quot;00C97877&quot;/&gt;&lt;wsp:rsid wsp:val=&quot;00C978CE&quot;/&gt;&lt;wsp:rsid wsp:val=&quot;00C97AD6&quot;/&gt;&lt;wsp:rsid wsp:val=&quot;00C97AE1&quot;/&gt;&lt;wsp:rsid wsp:val=&quot;00C97DD6&quot;/&gt;&lt;wsp:rsid wsp:val=&quot;00C97F8E&quot;/&gt;&lt;wsp:rsid wsp:val=&quot;00CA0429&quot;/&gt;&lt;wsp:rsid wsp:val=&quot;00CA05C1&quot;/&gt;&lt;wsp:rsid wsp:val=&quot;00CA0D15&quot;/&gt;&lt;wsp:rsid wsp:val=&quot;00CA0E1C&quot;/&gt;&lt;wsp:rsid wsp:val=&quot;00CA11A6&quot;/&gt;&lt;wsp:rsid wsp:val=&quot;00CA1764&quot;/&gt;&lt;wsp:rsid wsp:val=&quot;00CA184C&quot;/&gt;&lt;wsp:rsid wsp:val=&quot;00CA1A12&quot;/&gt;&lt;wsp:rsid wsp:val=&quot;00CA1A44&quot;/&gt;&lt;wsp:rsid wsp:val=&quot;00CA2208&quot;/&gt;&lt;wsp:rsid wsp:val=&quot;00CA2352&quot;/&gt;&lt;wsp:rsid wsp:val=&quot;00CA27D4&quot;/&gt;&lt;wsp:rsid wsp:val=&quot;00CA28E3&quot;/&gt;&lt;wsp:rsid wsp:val=&quot;00CA3429&quot;/&gt;&lt;wsp:rsid wsp:val=&quot;00CA3A9A&quot;/&gt;&lt;wsp:rsid wsp:val=&quot;00CA3C06&quot;/&gt;&lt;wsp:rsid wsp:val=&quot;00CA42DE&quot;/&gt;&lt;wsp:rsid wsp:val=&quot;00CA4D0F&quot;/&gt;&lt;wsp:rsid wsp:val=&quot;00CA5771&quot;/&gt;&lt;wsp:rsid wsp:val=&quot;00CA57F7&quot;/&gt;&lt;wsp:rsid wsp:val=&quot;00CA5873&quot;/&gt;&lt;wsp:rsid wsp:val=&quot;00CA5DDF&quot;/&gt;&lt;wsp:rsid wsp:val=&quot;00CA6218&quot;/&gt;&lt;wsp:rsid wsp:val=&quot;00CA6293&quot;/&gt;&lt;wsp:rsid wsp:val=&quot;00CA6487&quot;/&gt;&lt;wsp:rsid wsp:val=&quot;00CA6560&quot;/&gt;&lt;wsp:rsid wsp:val=&quot;00CA6A93&quot;/&gt;&lt;wsp:rsid wsp:val=&quot;00CA6BAC&quot;/&gt;&lt;wsp:rsid wsp:val=&quot;00CA6C37&quot;/&gt;&lt;wsp:rsid wsp:val=&quot;00CA6C42&quot;/&gt;&lt;wsp:rsid wsp:val=&quot;00CA76DA&quot;/&gt;&lt;wsp:rsid wsp:val=&quot;00CA7A78&quot;/&gt;&lt;wsp:rsid wsp:val=&quot;00CA7CA6&quot;/&gt;&lt;wsp:rsid wsp:val=&quot;00CB0586&quot;/&gt;&lt;wsp:rsid wsp:val=&quot;00CB08AF&quot;/&gt;&lt;wsp:rsid wsp:val=&quot;00CB0DF6&quot;/&gt;&lt;wsp:rsid wsp:val=&quot;00CB13A4&quot;/&gt;&lt;wsp:rsid wsp:val=&quot;00CB15CF&quot;/&gt;&lt;wsp:rsid wsp:val=&quot;00CB1CF7&quot;/&gt;&lt;wsp:rsid wsp:val=&quot;00CB1DF2&quot;/&gt;&lt;wsp:rsid wsp:val=&quot;00CB1FB6&quot;/&gt;&lt;wsp:rsid wsp:val=&quot;00CB2765&quot;/&gt;&lt;wsp:rsid wsp:val=&quot;00CB279B&quot;/&gt;&lt;wsp:rsid wsp:val=&quot;00CB28F7&quot;/&gt;&lt;wsp:rsid wsp:val=&quot;00CB2CB7&quot;/&gt;&lt;wsp:rsid wsp:val=&quot;00CB2DEC&quot;/&gt;&lt;wsp:rsid wsp:val=&quot;00CB3059&quot;/&gt;&lt;wsp:rsid wsp:val=&quot;00CB30E1&quot;/&gt;&lt;wsp:rsid wsp:val=&quot;00CB3228&quot;/&gt;&lt;wsp:rsid wsp:val=&quot;00CB32CE&quot;/&gt;&lt;wsp:rsid wsp:val=&quot;00CB3560&quot;/&gt;&lt;wsp:rsid wsp:val=&quot;00CB3830&quot;/&gt;&lt;wsp:rsid wsp:val=&quot;00CB3B40&quot;/&gt;&lt;wsp:rsid wsp:val=&quot;00CB3C16&quot;/&gt;&lt;wsp:rsid wsp:val=&quot;00CB3DC2&quot;/&gt;&lt;wsp:rsid wsp:val=&quot;00CB3EBC&quot;/&gt;&lt;wsp:rsid wsp:val=&quot;00CB437F&quot;/&gt;&lt;wsp:rsid wsp:val=&quot;00CB4605&quot;/&gt;&lt;wsp:rsid wsp:val=&quot;00CB4A00&quot;/&gt;&lt;wsp:rsid wsp:val=&quot;00CB4B6A&quot;/&gt;&lt;wsp:rsid wsp:val=&quot;00CB4BB0&quot;/&gt;&lt;wsp:rsid wsp:val=&quot;00CB4F1F&quot;/&gt;&lt;wsp:rsid wsp:val=&quot;00CB51BA&quot;/&gt;&lt;wsp:rsid wsp:val=&quot;00CB52C1&quot;/&gt;&lt;wsp:rsid wsp:val=&quot;00CB55C5&quot;/&gt;&lt;wsp:rsid wsp:val=&quot;00CB570F&quot;/&gt;&lt;wsp:rsid wsp:val=&quot;00CB5D3D&quot;/&gt;&lt;wsp:rsid wsp:val=&quot;00CB5E81&quot;/&gt;&lt;wsp:rsid wsp:val=&quot;00CB602C&quot;/&gt;&lt;wsp:rsid wsp:val=&quot;00CB622A&quot;/&gt;&lt;wsp:rsid wsp:val=&quot;00CB624B&quot;/&gt;&lt;wsp:rsid wsp:val=&quot;00CB70DA&quot;/&gt;&lt;wsp:rsid wsp:val=&quot;00CB71E9&quot;/&gt;&lt;wsp:rsid wsp:val=&quot;00CB731A&quot;/&gt;&lt;wsp:rsid wsp:val=&quot;00CB7C20&quot;/&gt;&lt;wsp:rsid wsp:val=&quot;00CB7F49&quot;/&gt;&lt;wsp:rsid wsp:val=&quot;00CC0290&quot;/&gt;&lt;wsp:rsid wsp:val=&quot;00CC02B8&quot;/&gt;&lt;wsp:rsid wsp:val=&quot;00CC0726&quot;/&gt;&lt;wsp:rsid wsp:val=&quot;00CC0ECB&quot;/&gt;&lt;wsp:rsid wsp:val=&quot;00CC0F0E&quot;/&gt;&lt;wsp:rsid wsp:val=&quot;00CC0F11&quot;/&gt;&lt;wsp:rsid wsp:val=&quot;00CC0FD5&quot;/&gt;&lt;wsp:rsid wsp:val=&quot;00CC122D&quot;/&gt;&lt;wsp:rsid wsp:val=&quot;00CC1355&quot;/&gt;&lt;wsp:rsid wsp:val=&quot;00CC19B5&quot;/&gt;&lt;wsp:rsid wsp:val=&quot;00CC1A4D&quot;/&gt;&lt;wsp:rsid wsp:val=&quot;00CC20E3&quot;/&gt;&lt;wsp:rsid wsp:val=&quot;00CC214D&quot;/&gt;&lt;wsp:rsid wsp:val=&quot;00CC2210&quot;/&gt;&lt;wsp:rsid wsp:val=&quot;00CC2929&quot;/&gt;&lt;wsp:rsid wsp:val=&quot;00CC29E8&quot;/&gt;&lt;wsp:rsid wsp:val=&quot;00CC333D&quot;/&gt;&lt;wsp:rsid wsp:val=&quot;00CC3544&quot;/&gt;&lt;wsp:rsid wsp:val=&quot;00CC4220&quot;/&gt;&lt;wsp:rsid wsp:val=&quot;00CC445D&quot;/&gt;&lt;wsp:rsid wsp:val=&quot;00CC478C&quot;/&gt;&lt;wsp:rsid wsp:val=&quot;00CC4B48&quot;/&gt;&lt;wsp:rsid wsp:val=&quot;00CC4CFB&quot;/&gt;&lt;wsp:rsid wsp:val=&quot;00CC4D82&quot;/&gt;&lt;wsp:rsid wsp:val=&quot;00CC4DB5&quot;/&gt;&lt;wsp:rsid wsp:val=&quot;00CC4F1B&quot;/&gt;&lt;wsp:rsid wsp:val=&quot;00CC4F79&quot;/&gt;&lt;wsp:rsid wsp:val=&quot;00CC5049&quot;/&gt;&lt;wsp:rsid wsp:val=&quot;00CC549F&quot;/&gt;&lt;wsp:rsid wsp:val=&quot;00CC54A5&quot;/&gt;&lt;wsp:rsid wsp:val=&quot;00CC54E7&quot;/&gt;&lt;wsp:rsid wsp:val=&quot;00CC576B&quot;/&gt;&lt;wsp:rsid wsp:val=&quot;00CC6555&quot;/&gt;&lt;wsp:rsid wsp:val=&quot;00CC66D5&quot;/&gt;&lt;wsp:rsid wsp:val=&quot;00CC6A0B&quot;/&gt;&lt;wsp:rsid wsp:val=&quot;00CC6B94&quot;/&gt;&lt;wsp:rsid wsp:val=&quot;00CC6D80&quot;/&gt;&lt;wsp:rsid wsp:val=&quot;00CC6F86&quot;/&gt;&lt;wsp:rsid wsp:val=&quot;00CC74EB&quot;/&gt;&lt;wsp:rsid wsp:val=&quot;00CC769F&quot;/&gt;&lt;wsp:rsid wsp:val=&quot;00CC7BE7&quot;/&gt;&lt;wsp:rsid wsp:val=&quot;00CC7DE4&quot;/&gt;&lt;wsp:rsid wsp:val=&quot;00CC7E5A&quot;/&gt;&lt;wsp:rsid wsp:val=&quot;00CC7F47&quot;/&gt;&lt;wsp:rsid wsp:val=&quot;00CD07B5&quot;/&gt;&lt;wsp:rsid wsp:val=&quot;00CD0B3E&quot;/&gt;&lt;wsp:rsid wsp:val=&quot;00CD183A&quot;/&gt;&lt;wsp:rsid wsp:val=&quot;00CD279A&quot;/&gt;&lt;wsp:rsid wsp:val=&quot;00CD2F2A&quot;/&gt;&lt;wsp:rsid wsp:val=&quot;00CD2FDE&quot;/&gt;&lt;wsp:rsid wsp:val=&quot;00CD3649&quot;/&gt;&lt;wsp:rsid wsp:val=&quot;00CD393A&quot;/&gt;&lt;wsp:rsid wsp:val=&quot;00CD397B&quot;/&gt;&lt;wsp:rsid wsp:val=&quot;00CD3BCE&quot;/&gt;&lt;wsp:rsid wsp:val=&quot;00CD41CE&quot;/&gt;&lt;wsp:rsid wsp:val=&quot;00CD4871&quot;/&gt;&lt;wsp:rsid wsp:val=&quot;00CD4925&quot;/&gt;&lt;wsp:rsid wsp:val=&quot;00CD4A65&quot;/&gt;&lt;wsp:rsid wsp:val=&quot;00CD4FF8&quot;/&gt;&lt;wsp:rsid wsp:val=&quot;00CD53EB&quot;/&gt;&lt;wsp:rsid wsp:val=&quot;00CD5422&quot;/&gt;&lt;wsp:rsid wsp:val=&quot;00CD5490&quot;/&gt;&lt;wsp:rsid wsp:val=&quot;00CD587E&quot;/&gt;&lt;wsp:rsid wsp:val=&quot;00CD5931&quot;/&gt;&lt;wsp:rsid wsp:val=&quot;00CD59DC&quot;/&gt;&lt;wsp:rsid wsp:val=&quot;00CD5AF8&quot;/&gt;&lt;wsp:rsid wsp:val=&quot;00CD5AFE&quot;/&gt;&lt;wsp:rsid wsp:val=&quot;00CD5E2C&quot;/&gt;&lt;wsp:rsid wsp:val=&quot;00CD5EE3&quot;/&gt;&lt;wsp:rsid wsp:val=&quot;00CD61B3&quot;/&gt;&lt;wsp:rsid wsp:val=&quot;00CD6401&quot;/&gt;&lt;wsp:rsid wsp:val=&quot;00CD64FF&quot;/&gt;&lt;wsp:rsid wsp:val=&quot;00CD676D&quot;/&gt;&lt;wsp:rsid wsp:val=&quot;00CD68ED&quot;/&gt;&lt;wsp:rsid wsp:val=&quot;00CD69A9&quot;/&gt;&lt;wsp:rsid wsp:val=&quot;00CD69FB&quot;/&gt;&lt;wsp:rsid wsp:val=&quot;00CD6C45&quot;/&gt;&lt;wsp:rsid wsp:val=&quot;00CD717E&quot;/&gt;&lt;wsp:rsid wsp:val=&quot;00CD742C&quot;/&gt;&lt;wsp:rsid wsp:val=&quot;00CD7497&quot;/&gt;&lt;wsp:rsid wsp:val=&quot;00CD74C0&quot;/&gt;&lt;wsp:rsid wsp:val=&quot;00CD781F&quot;/&gt;&lt;wsp:rsid wsp:val=&quot;00CD7969&quot;/&gt;&lt;wsp:rsid wsp:val=&quot;00CD7BFF&quot;/&gt;&lt;wsp:rsid wsp:val=&quot;00CD7F01&quot;/&gt;&lt;wsp:rsid wsp:val=&quot;00CE011C&quot;/&gt;&lt;wsp:rsid wsp:val=&quot;00CE01CE&quot;/&gt;&lt;wsp:rsid wsp:val=&quot;00CE01E6&quot;/&gt;&lt;wsp:rsid wsp:val=&quot;00CE039C&quot;/&gt;&lt;wsp:rsid wsp:val=&quot;00CE040F&quot;/&gt;&lt;wsp:rsid wsp:val=&quot;00CE0773&quot;/&gt;&lt;wsp:rsid wsp:val=&quot;00CE1129&quot;/&gt;&lt;wsp:rsid wsp:val=&quot;00CE1A13&quot;/&gt;&lt;wsp:rsid wsp:val=&quot;00CE1C38&quot;/&gt;&lt;wsp:rsid wsp:val=&quot;00CE2255&quot;/&gt;&lt;wsp:rsid wsp:val=&quot;00CE2939&quot;/&gt;&lt;wsp:rsid wsp:val=&quot;00CE2A86&quot;/&gt;&lt;wsp:rsid wsp:val=&quot;00CE2CEE&quot;/&gt;&lt;wsp:rsid wsp:val=&quot;00CE2D22&quot;/&gt;&lt;wsp:rsid wsp:val=&quot;00CE30F8&quot;/&gt;&lt;wsp:rsid wsp:val=&quot;00CE38BA&quot;/&gt;&lt;wsp:rsid wsp:val=&quot;00CE4326&quot;/&gt;&lt;wsp:rsid wsp:val=&quot;00CE4A88&quot;/&gt;&lt;wsp:rsid wsp:val=&quot;00CE4E60&quot;/&gt;&lt;wsp:rsid wsp:val=&quot;00CE4E88&quot;/&gt;&lt;wsp:rsid wsp:val=&quot;00CE5060&quot;/&gt;&lt;wsp:rsid wsp:val=&quot;00CE5502&quot;/&gt;&lt;wsp:rsid wsp:val=&quot;00CE57B6&quot;/&gt;&lt;wsp:rsid wsp:val=&quot;00CE5B49&quot;/&gt;&lt;wsp:rsid wsp:val=&quot;00CE5B63&quot;/&gt;&lt;wsp:rsid wsp:val=&quot;00CE5FE4&quot;/&gt;&lt;wsp:rsid wsp:val=&quot;00CE6974&quot;/&gt;&lt;wsp:rsid wsp:val=&quot;00CE6F09&quot;/&gt;&lt;wsp:rsid wsp:val=&quot;00CE6F9A&quot;/&gt;&lt;wsp:rsid wsp:val=&quot;00CE739E&quot;/&gt;&lt;wsp:rsid wsp:val=&quot;00CE775D&quot;/&gt;&lt;wsp:rsid wsp:val=&quot;00CF0D65&quot;/&gt;&lt;wsp:rsid wsp:val=&quot;00CF107E&quot;/&gt;&lt;wsp:rsid wsp:val=&quot;00CF117E&quot;/&gt;&lt;wsp:rsid wsp:val=&quot;00CF1B47&quot;/&gt;&lt;wsp:rsid wsp:val=&quot;00CF26A4&quot;/&gt;&lt;wsp:rsid wsp:val=&quot;00CF27DA&quot;/&gt;&lt;wsp:rsid wsp:val=&quot;00CF3872&quot;/&gt;&lt;wsp:rsid wsp:val=&quot;00CF3924&quot;/&gt;&lt;wsp:rsid wsp:val=&quot;00CF3A0F&quot;/&gt;&lt;wsp:rsid wsp:val=&quot;00CF3A21&quot;/&gt;&lt;wsp:rsid wsp:val=&quot;00CF3B70&quot;/&gt;&lt;wsp:rsid wsp:val=&quot;00CF3E6D&quot;/&gt;&lt;wsp:rsid wsp:val=&quot;00CF42E7&quot;/&gt;&lt;wsp:rsid wsp:val=&quot;00CF4459&quot;/&gt;&lt;wsp:rsid wsp:val=&quot;00CF4689&quot;/&gt;&lt;wsp:rsid wsp:val=&quot;00CF4A56&quot;/&gt;&lt;wsp:rsid wsp:val=&quot;00CF4F93&quot;/&gt;&lt;wsp:rsid wsp:val=&quot;00CF50A0&quot;/&gt;&lt;wsp:rsid wsp:val=&quot;00CF56E8&quot;/&gt;&lt;wsp:rsid wsp:val=&quot;00CF58E7&quot;/&gt;&lt;wsp:rsid wsp:val=&quot;00CF592B&quot;/&gt;&lt;wsp:rsid wsp:val=&quot;00CF59F3&quot;/&gt;&lt;wsp:rsid wsp:val=&quot;00CF5C7A&quot;/&gt;&lt;wsp:rsid wsp:val=&quot;00CF5E35&quot;/&gt;&lt;wsp:rsid wsp:val=&quot;00CF5E51&quot;/&gt;&lt;wsp:rsid wsp:val=&quot;00CF623C&quot;/&gt;&lt;wsp:rsid wsp:val=&quot;00CF6AFF&quot;/&gt;&lt;wsp:rsid wsp:val=&quot;00CF7168&quot;/&gt;&lt;wsp:rsid wsp:val=&quot;00CF73B8&quot;/&gt;&lt;wsp:rsid wsp:val=&quot;00CF7415&quot;/&gt;&lt;wsp:rsid wsp:val=&quot;00CF77B3&quot;/&gt;&lt;wsp:rsid wsp:val=&quot;00CF78B2&quot;/&gt;&lt;wsp:rsid wsp:val=&quot;00D00593&quot;/&gt;&lt;wsp:rsid wsp:val=&quot;00D005B9&quot;/&gt;&lt;wsp:rsid wsp:val=&quot;00D0077A&quot;/&gt;&lt;wsp:rsid wsp:val=&quot;00D00D9A&quot;/&gt;&lt;wsp:rsid wsp:val=&quot;00D0113B&quot;/&gt;&lt;wsp:rsid wsp:val=&quot;00D017A9&quot;/&gt;&lt;wsp:rsid wsp:val=&quot;00D01994&quot;/&gt;&lt;wsp:rsid wsp:val=&quot;00D019B9&quot;/&gt;&lt;wsp:rsid wsp:val=&quot;00D01F4F&quot;/&gt;&lt;wsp:rsid wsp:val=&quot;00D01FA5&quot;/&gt;&lt;wsp:rsid wsp:val=&quot;00D02279&quot;/&gt;&lt;wsp:rsid wsp:val=&quot;00D022B8&quot;/&gt;&lt;wsp:rsid wsp:val=&quot;00D0261F&quot;/&gt;&lt;wsp:rsid wsp:val=&quot;00D02F13&quot;/&gt;&lt;wsp:rsid wsp:val=&quot;00D02FE2&quot;/&gt;&lt;wsp:rsid wsp:val=&quot;00D03302&quot;/&gt;&lt;wsp:rsid wsp:val=&quot;00D03309&quot;/&gt;&lt;wsp:rsid wsp:val=&quot;00D03652&quot;/&gt;&lt;wsp:rsid wsp:val=&quot;00D03900&quot;/&gt;&lt;wsp:rsid wsp:val=&quot;00D03D46&quot;/&gt;&lt;wsp:rsid wsp:val=&quot;00D03E43&quot;/&gt;&lt;wsp:rsid wsp:val=&quot;00D04430&quot;/&gt;&lt;wsp:rsid wsp:val=&quot;00D05571&quot;/&gt;&lt;wsp:rsid wsp:val=&quot;00D0571D&quot;/&gt;&lt;wsp:rsid wsp:val=&quot;00D059EF&quot;/&gt;&lt;wsp:rsid wsp:val=&quot;00D05B66&quot;/&gt;&lt;wsp:rsid wsp:val=&quot;00D05D06&quot;/&gt;&lt;wsp:rsid wsp:val=&quot;00D06000&quot;/&gt;&lt;wsp:rsid wsp:val=&quot;00D0649B&quot;/&gt;&lt;wsp:rsid wsp:val=&quot;00D067F3&quot;/&gt;&lt;wsp:rsid wsp:val=&quot;00D07D78&quot;/&gt;&lt;wsp:rsid wsp:val=&quot;00D07E5C&quot;/&gt;&lt;wsp:rsid wsp:val=&quot;00D07F5A&quot;/&gt;&lt;wsp:rsid wsp:val=&quot;00D07FEA&quot;/&gt;&lt;wsp:rsid wsp:val=&quot;00D10C47&quot;/&gt;&lt;wsp:rsid wsp:val=&quot;00D10F61&quot;/&gt;&lt;wsp:rsid wsp:val=&quot;00D11A47&quot;/&gt;&lt;wsp:rsid wsp:val=&quot;00D11BBE&quot;/&gt;&lt;wsp:rsid wsp:val=&quot;00D11BC5&quot;/&gt;&lt;wsp:rsid wsp:val=&quot;00D120A3&quot;/&gt;&lt;wsp:rsid wsp:val=&quot;00D12124&quot;/&gt;&lt;wsp:rsid wsp:val=&quot;00D1215C&quot;/&gt;&lt;wsp:rsid wsp:val=&quot;00D128A4&quot;/&gt;&lt;wsp:rsid wsp:val=&quot;00D12983&quot;/&gt;&lt;wsp:rsid wsp:val=&quot;00D12D49&quot;/&gt;&lt;wsp:rsid wsp:val=&quot;00D12E4E&quot;/&gt;&lt;wsp:rsid wsp:val=&quot;00D12FE3&quot;/&gt;&lt;wsp:rsid wsp:val=&quot;00D130F2&quot;/&gt;&lt;wsp:rsid wsp:val=&quot;00D13DC3&quot;/&gt;&lt;wsp:rsid wsp:val=&quot;00D143DF&quot;/&gt;&lt;wsp:rsid wsp:val=&quot;00D14B32&quot;/&gt;&lt;wsp:rsid wsp:val=&quot;00D14DFF&quot;/&gt;&lt;wsp:rsid wsp:val=&quot;00D14E96&quot;/&gt;&lt;wsp:rsid wsp:val=&quot;00D1567E&quot;/&gt;&lt;wsp:rsid wsp:val=&quot;00D15732&quot;/&gt;&lt;wsp:rsid wsp:val=&quot;00D164B9&quot;/&gt;&lt;wsp:rsid wsp:val=&quot;00D16750&quot;/&gt;&lt;wsp:rsid wsp:val=&quot;00D16BCA&quot;/&gt;&lt;wsp:rsid wsp:val=&quot;00D16DBD&quot;/&gt;&lt;wsp:rsid wsp:val=&quot;00D16F4D&quot;/&gt;&lt;wsp:rsid wsp:val=&quot;00D17157&quot;/&gt;&lt;wsp:rsid wsp:val=&quot;00D173FA&quot;/&gt;&lt;wsp:rsid wsp:val=&quot;00D17940&quot;/&gt;&lt;wsp:rsid wsp:val=&quot;00D17E8C&quot;/&gt;&lt;wsp:rsid wsp:val=&quot;00D200AD&quot;/&gt;&lt;wsp:rsid wsp:val=&quot;00D209D7&quot;/&gt;&lt;wsp:rsid wsp:val=&quot;00D20C20&quot;/&gt;&lt;wsp:rsid wsp:val=&quot;00D217CF&quot;/&gt;&lt;wsp:rsid wsp:val=&quot;00D21CD2&quot;/&gt;&lt;wsp:rsid wsp:val=&quot;00D21CFA&quot;/&gt;&lt;wsp:rsid wsp:val=&quot;00D22113&quot;/&gt;&lt;wsp:rsid wsp:val=&quot;00D221B7&quot;/&gt;&lt;wsp:rsid wsp:val=&quot;00D222C6&quot;/&gt;&lt;wsp:rsid wsp:val=&quot;00D2283C&quot;/&gt;&lt;wsp:rsid wsp:val=&quot;00D22A80&quot;/&gt;&lt;wsp:rsid wsp:val=&quot;00D22C0A&quot;/&gt;&lt;wsp:rsid wsp:val=&quot;00D22C30&quot;/&gt;&lt;wsp:rsid wsp:val=&quot;00D22D4A&quot;/&gt;&lt;wsp:rsid wsp:val=&quot;00D22F3C&quot;/&gt;&lt;wsp:rsid wsp:val=&quot;00D230A4&quot;/&gt;&lt;wsp:rsid wsp:val=&quot;00D230F3&quot;/&gt;&lt;wsp:rsid wsp:val=&quot;00D23122&quot;/&gt;&lt;wsp:rsid wsp:val=&quot;00D232BF&quot;/&gt;&lt;wsp:rsid wsp:val=&quot;00D235CC&quot;/&gt;&lt;wsp:rsid wsp:val=&quot;00D2386E&quot;/&gt;&lt;wsp:rsid wsp:val=&quot;00D23D5B&quot;/&gt;&lt;wsp:rsid wsp:val=&quot;00D241B0&quot;/&gt;&lt;wsp:rsid wsp:val=&quot;00D2453C&quot;/&gt;&lt;wsp:rsid wsp:val=&quot;00D2459F&quot;/&gt;&lt;wsp:rsid wsp:val=&quot;00D24907&quot;/&gt;&lt;wsp:rsid wsp:val=&quot;00D249D2&quot;/&gt;&lt;wsp:rsid wsp:val=&quot;00D24DE7&quot;/&gt;&lt;wsp:rsid wsp:val=&quot;00D2516D&quot;/&gt;&lt;wsp:rsid wsp:val=&quot;00D25873&quot;/&gt;&lt;wsp:rsid wsp:val=&quot;00D25DAF&quot;/&gt;&lt;wsp:rsid wsp:val=&quot;00D26301&quot;/&gt;&lt;wsp:rsid wsp:val=&quot;00D26D39&quot;/&gt;&lt;wsp:rsid wsp:val=&quot;00D27409&quot;/&gt;&lt;wsp:rsid wsp:val=&quot;00D27540&quot;/&gt;&lt;wsp:rsid wsp:val=&quot;00D27769&quot;/&gt;&lt;wsp:rsid wsp:val=&quot;00D279B8&quot;/&gt;&lt;wsp:rsid wsp:val=&quot;00D27F7C&quot;/&gt;&lt;wsp:rsid wsp:val=&quot;00D30128&quot;/&gt;&lt;wsp:rsid wsp:val=&quot;00D30372&quot;/&gt;&lt;wsp:rsid wsp:val=&quot;00D307D2&quot;/&gt;&lt;wsp:rsid wsp:val=&quot;00D30BD5&quot;/&gt;&lt;wsp:rsid wsp:val=&quot;00D30C40&quot;/&gt;&lt;wsp:rsid wsp:val=&quot;00D310FA&quot;/&gt;&lt;wsp:rsid wsp:val=&quot;00D315BB&quot;/&gt;&lt;wsp:rsid wsp:val=&quot;00D31981&quot;/&gt;&lt;wsp:rsid wsp:val=&quot;00D31BA6&quot;/&gt;&lt;wsp:rsid wsp:val=&quot;00D31CFC&quot;/&gt;&lt;wsp:rsid wsp:val=&quot;00D322C2&quot;/&gt;&lt;wsp:rsid wsp:val=&quot;00D32411&quot;/&gt;&lt;wsp:rsid wsp:val=&quot;00D324ED&quot;/&gt;&lt;wsp:rsid wsp:val=&quot;00D33035&quot;/&gt;&lt;wsp:rsid wsp:val=&quot;00D33038&quot;/&gt;&lt;wsp:rsid wsp:val=&quot;00D33275&quot;/&gt;&lt;wsp:rsid wsp:val=&quot;00D33278&quot;/&gt;&lt;wsp:rsid wsp:val=&quot;00D335C3&quot;/&gt;&lt;wsp:rsid wsp:val=&quot;00D3375E&quot;/&gt;&lt;wsp:rsid wsp:val=&quot;00D33852&quot;/&gt;&lt;wsp:rsid wsp:val=&quot;00D33D31&quot;/&gt;&lt;wsp:rsid wsp:val=&quot;00D344A7&quot;/&gt;&lt;wsp:rsid wsp:val=&quot;00D34757&quot;/&gt;&lt;wsp:rsid wsp:val=&quot;00D34B46&quot;/&gt;&lt;wsp:rsid wsp:val=&quot;00D350C4&quot;/&gt;&lt;wsp:rsid wsp:val=&quot;00D3559B&quot;/&gt;&lt;wsp:rsid wsp:val=&quot;00D35E85&quot;/&gt;&lt;wsp:rsid wsp:val=&quot;00D360F1&quot;/&gt;&lt;wsp:rsid wsp:val=&quot;00D36322&quot;/&gt;&lt;wsp:rsid wsp:val=&quot;00D366D9&quot;/&gt;&lt;wsp:rsid wsp:val=&quot;00D36DF2&quot;/&gt;&lt;wsp:rsid wsp:val=&quot;00D37431&quot;/&gt;&lt;wsp:rsid wsp:val=&quot;00D37733&quot;/&gt;&lt;wsp:rsid wsp:val=&quot;00D37A21&quot;/&gt;&lt;wsp:rsid wsp:val=&quot;00D37AAF&quot;/&gt;&lt;wsp:rsid wsp:val=&quot;00D37B37&quot;/&gt;&lt;wsp:rsid wsp:val=&quot;00D37BFA&quot;/&gt;&lt;wsp:rsid wsp:val=&quot;00D37EA6&quot;/&gt;&lt;wsp:rsid wsp:val=&quot;00D40872&quot;/&gt;&lt;wsp:rsid wsp:val=&quot;00D40E7C&quot;/&gt;&lt;wsp:rsid wsp:val=&quot;00D40F27&quot;/&gt;&lt;wsp:rsid wsp:val=&quot;00D41179&quot;/&gt;&lt;wsp:rsid wsp:val=&quot;00D41803&quot;/&gt;&lt;wsp:rsid wsp:val=&quot;00D41A05&quot;/&gt;&lt;wsp:rsid wsp:val=&quot;00D41A3B&quot;/&gt;&lt;wsp:rsid wsp:val=&quot;00D41A7D&quot;/&gt;&lt;wsp:rsid wsp:val=&quot;00D41C03&quot;/&gt;&lt;wsp:rsid wsp:val=&quot;00D42B7C&quot;/&gt;&lt;wsp:rsid wsp:val=&quot;00D43133&quot;/&gt;&lt;wsp:rsid wsp:val=&quot;00D4322E&quot;/&gt;&lt;wsp:rsid wsp:val=&quot;00D43AFC&quot;/&gt;&lt;wsp:rsid wsp:val=&quot;00D43C8E&quot;/&gt;&lt;wsp:rsid wsp:val=&quot;00D43DA5&quot;/&gt;&lt;wsp:rsid wsp:val=&quot;00D44404&quot;/&gt;&lt;wsp:rsid wsp:val=&quot;00D44638&quot;/&gt;&lt;wsp:rsid wsp:val=&quot;00D4497C&quot;/&gt;&lt;wsp:rsid wsp:val=&quot;00D449A0&quot;/&gt;&lt;wsp:rsid wsp:val=&quot;00D44E88&quot;/&gt;&lt;wsp:rsid wsp:val=&quot;00D450A2&quot;/&gt;&lt;wsp:rsid wsp:val=&quot;00D45419&quot;/&gt;&lt;wsp:rsid wsp:val=&quot;00D457BD&quot;/&gt;&lt;wsp:rsid wsp:val=&quot;00D46514&quot;/&gt;&lt;wsp:rsid wsp:val=&quot;00D46798&quot;/&gt;&lt;wsp:rsid wsp:val=&quot;00D46ADF&quot;/&gt;&lt;wsp:rsid wsp:val=&quot;00D46C81&quot;/&gt;&lt;wsp:rsid wsp:val=&quot;00D47673&quot;/&gt;&lt;wsp:rsid wsp:val=&quot;00D47B77&quot;/&gt;&lt;wsp:rsid wsp:val=&quot;00D50034&quot;/&gt;&lt;wsp:rsid wsp:val=&quot;00D503EC&quot;/&gt;&lt;wsp:rsid wsp:val=&quot;00D50F65&quot;/&gt;&lt;wsp:rsid wsp:val=&quot;00D50F81&quot;/&gt;&lt;wsp:rsid wsp:val=&quot;00D51720&quot;/&gt;&lt;wsp:rsid wsp:val=&quot;00D51B2A&quot;/&gt;&lt;wsp:rsid wsp:val=&quot;00D51D4A&quot;/&gt;&lt;wsp:rsid wsp:val=&quot;00D52209&quot;/&gt;&lt;wsp:rsid wsp:val=&quot;00D5234B&quot;/&gt;&lt;wsp:rsid wsp:val=&quot;00D52395&quot;/&gt;&lt;wsp:rsid wsp:val=&quot;00D52581&quot;/&gt;&lt;wsp:rsid wsp:val=&quot;00D52759&quot;/&gt;&lt;wsp:rsid wsp:val=&quot;00D52769&quot;/&gt;&lt;wsp:rsid wsp:val=&quot;00D52807&quot;/&gt;&lt;wsp:rsid wsp:val=&quot;00D52BB3&quot;/&gt;&lt;wsp:rsid wsp:val=&quot;00D52C1D&quot;/&gt;&lt;wsp:rsid wsp:val=&quot;00D53964&quot;/&gt;&lt;wsp:rsid wsp:val=&quot;00D53984&quot;/&gt;&lt;wsp:rsid wsp:val=&quot;00D53BAC&quot;/&gt;&lt;wsp:rsid wsp:val=&quot;00D53BE1&quot;/&gt;&lt;wsp:rsid wsp:val=&quot;00D53C87&quot;/&gt;&lt;wsp:rsid wsp:val=&quot;00D54868&quot;/&gt;&lt;wsp:rsid wsp:val=&quot;00D54C61&quot;/&gt;&lt;wsp:rsid wsp:val=&quot;00D54D1E&quot;/&gt;&lt;wsp:rsid wsp:val=&quot;00D55266&quot;/&gt;&lt;wsp:rsid wsp:val=&quot;00D55283&quot;/&gt;&lt;wsp:rsid wsp:val=&quot;00D5595E&quot;/&gt;&lt;wsp:rsid wsp:val=&quot;00D55BCE&quot;/&gt;&lt;wsp:rsid wsp:val=&quot;00D5613C&quot;/&gt;&lt;wsp:rsid wsp:val=&quot;00D56253&quot;/&gt;&lt;wsp:rsid wsp:val=&quot;00D56498&quot;/&gt;&lt;wsp:rsid wsp:val=&quot;00D567FE&quot;/&gt;&lt;wsp:rsid wsp:val=&quot;00D56CE8&quot;/&gt;&lt;wsp:rsid wsp:val=&quot;00D5731E&quot;/&gt;&lt;wsp:rsid wsp:val=&quot;00D579C3&quot;/&gt;&lt;wsp:rsid wsp:val=&quot;00D57E09&quot;/&gt;&lt;wsp:rsid wsp:val=&quot;00D6016A&quot;/&gt;&lt;wsp:rsid wsp:val=&quot;00D60191&quot;/&gt;&lt;wsp:rsid wsp:val=&quot;00D61005&quot;/&gt;&lt;wsp:rsid wsp:val=&quot;00D61015&quot;/&gt;&lt;wsp:rsid wsp:val=&quot;00D61131&quot;/&gt;&lt;wsp:rsid wsp:val=&quot;00D611BB&quot;/&gt;&lt;wsp:rsid wsp:val=&quot;00D61829&quot;/&gt;&lt;wsp:rsid wsp:val=&quot;00D61A11&quot;/&gt;&lt;wsp:rsid wsp:val=&quot;00D61ADA&quot;/&gt;&lt;wsp:rsid wsp:val=&quot;00D61BEC&quot;/&gt;&lt;wsp:rsid wsp:val=&quot;00D61EBC&quot;/&gt;&lt;wsp:rsid wsp:val=&quot;00D61F64&quot;/&gt;&lt;wsp:rsid wsp:val=&quot;00D620A2&quot;/&gt;&lt;wsp:rsid wsp:val=&quot;00D622CE&quot;/&gt;&lt;wsp:rsid wsp:val=&quot;00D625F9&quot;/&gt;&lt;wsp:rsid wsp:val=&quot;00D626BE&quot;/&gt;&lt;wsp:rsid wsp:val=&quot;00D627CF&quot;/&gt;&lt;wsp:rsid wsp:val=&quot;00D62824&quot;/&gt;&lt;wsp:rsid wsp:val=&quot;00D6298A&quot;/&gt;&lt;wsp:rsid wsp:val=&quot;00D62A18&quot;/&gt;&lt;wsp:rsid wsp:val=&quot;00D62B58&quot;/&gt;&lt;wsp:rsid wsp:val=&quot;00D630C5&quot;/&gt;&lt;wsp:rsid wsp:val=&quot;00D636AD&quot;/&gt;&lt;wsp:rsid wsp:val=&quot;00D63D63&quot;/&gt;&lt;wsp:rsid wsp:val=&quot;00D64252&quot;/&gt;&lt;wsp:rsid wsp:val=&quot;00D64417&quot;/&gt;&lt;wsp:rsid wsp:val=&quot;00D6444A&quot;/&gt;&lt;wsp:rsid wsp:val=&quot;00D644E7&quot;/&gt;&lt;wsp:rsid wsp:val=&quot;00D646C6&quot;/&gt;&lt;wsp:rsid wsp:val=&quot;00D64822&quot;/&gt;&lt;wsp:rsid wsp:val=&quot;00D652FF&quot;/&gt;&lt;wsp:rsid wsp:val=&quot;00D653DB&quot;/&gt;&lt;wsp:rsid wsp:val=&quot;00D654C8&quot;/&gt;&lt;wsp:rsid wsp:val=&quot;00D6567B&quot;/&gt;&lt;wsp:rsid wsp:val=&quot;00D65AA1&quot;/&gt;&lt;wsp:rsid wsp:val=&quot;00D6638B&quot;/&gt;&lt;wsp:rsid wsp:val=&quot;00D66DD9&quot;/&gt;&lt;wsp:rsid wsp:val=&quot;00D66FA6&quot;/&gt;&lt;wsp:rsid wsp:val=&quot;00D671DD&quot;/&gt;&lt;wsp:rsid wsp:val=&quot;00D67240&quot;/&gt;&lt;wsp:rsid wsp:val=&quot;00D678AC&quot;/&gt;&lt;wsp:rsid wsp:val=&quot;00D67A44&quot;/&gt;&lt;wsp:rsid wsp:val=&quot;00D67C73&quot;/&gt;&lt;wsp:rsid wsp:val=&quot;00D7030E&quot;/&gt;&lt;wsp:rsid wsp:val=&quot;00D703A3&quot;/&gt;&lt;wsp:rsid wsp:val=&quot;00D7040C&quot;/&gt;&lt;wsp:rsid wsp:val=&quot;00D705E7&quot;/&gt;&lt;wsp:rsid wsp:val=&quot;00D7074F&quot;/&gt;&lt;wsp:rsid wsp:val=&quot;00D70CD1&quot;/&gt;&lt;wsp:rsid wsp:val=&quot;00D70E7A&quot;/&gt;&lt;wsp:rsid wsp:val=&quot;00D70F4A&quot;/&gt;&lt;wsp:rsid wsp:val=&quot;00D71546&quot;/&gt;&lt;wsp:rsid wsp:val=&quot;00D716E8&quot;/&gt;&lt;wsp:rsid wsp:val=&quot;00D71916&quot;/&gt;&lt;wsp:rsid wsp:val=&quot;00D719E6&quot;/&gt;&lt;wsp:rsid wsp:val=&quot;00D71CEF&quot;/&gt;&lt;wsp:rsid wsp:val=&quot;00D7218F&quot;/&gt;&lt;wsp:rsid wsp:val=&quot;00D72199&quot;/&gt;&lt;wsp:rsid wsp:val=&quot;00D72232&quot;/&gt;&lt;wsp:rsid wsp:val=&quot;00D722CF&quot;/&gt;&lt;wsp:rsid wsp:val=&quot;00D725DB&quot;/&gt;&lt;wsp:rsid wsp:val=&quot;00D72C5F&quot;/&gt;&lt;wsp:rsid wsp:val=&quot;00D72DA4&quot;/&gt;&lt;wsp:rsid wsp:val=&quot;00D732EE&quot;/&gt;&lt;wsp:rsid wsp:val=&quot;00D73338&quot;/&gt;&lt;wsp:rsid wsp:val=&quot;00D73348&quot;/&gt;&lt;wsp:rsid wsp:val=&quot;00D73FD6&quot;/&gt;&lt;wsp:rsid wsp:val=&quot;00D74262&quot;/&gt;&lt;wsp:rsid wsp:val=&quot;00D7433C&quot;/&gt;&lt;wsp:rsid wsp:val=&quot;00D74575&quot;/&gt;&lt;wsp:rsid wsp:val=&quot;00D7465E&quot;/&gt;&lt;wsp:rsid wsp:val=&quot;00D74A56&quot;/&gt;&lt;wsp:rsid wsp:val=&quot;00D74D31&quot;/&gt;&lt;wsp:rsid wsp:val=&quot;00D74D6F&quot;/&gt;&lt;wsp:rsid wsp:val=&quot;00D74EF6&quot;/&gt;&lt;wsp:rsid wsp:val=&quot;00D74F07&quot;/&gt;&lt;wsp:rsid wsp:val=&quot;00D74F9C&quot;/&gt;&lt;wsp:rsid wsp:val=&quot;00D75012&quot;/&gt;&lt;wsp:rsid wsp:val=&quot;00D75773&quot;/&gt;&lt;wsp:rsid wsp:val=&quot;00D760A9&quot;/&gt;&lt;wsp:rsid wsp:val=&quot;00D760CF&quot;/&gt;&lt;wsp:rsid wsp:val=&quot;00D763C6&quot;/&gt;&lt;wsp:rsid wsp:val=&quot;00D76440&quot;/&gt;&lt;wsp:rsid wsp:val=&quot;00D76731&quot;/&gt;&lt;wsp:rsid wsp:val=&quot;00D7695D&quot;/&gt;&lt;wsp:rsid wsp:val=&quot;00D77746&quot;/&gt;&lt;wsp:rsid wsp:val=&quot;00D778C2&quot;/&gt;&lt;wsp:rsid wsp:val=&quot;00D77CA3&quot;/&gt;&lt;wsp:rsid wsp:val=&quot;00D8038B&quot;/&gt;&lt;wsp:rsid wsp:val=&quot;00D803E5&quot;/&gt;&lt;wsp:rsid wsp:val=&quot;00D80BA3&quot;/&gt;&lt;wsp:rsid wsp:val=&quot;00D80E47&quot;/&gt;&lt;wsp:rsid wsp:val=&quot;00D813D1&quot;/&gt;&lt;wsp:rsid wsp:val=&quot;00D81428&quot;/&gt;&lt;wsp:rsid wsp:val=&quot;00D818D9&quot;/&gt;&lt;wsp:rsid wsp:val=&quot;00D81B53&quot;/&gt;&lt;wsp:rsid wsp:val=&quot;00D81D91&quot;/&gt;&lt;wsp:rsid wsp:val=&quot;00D81E8A&quot;/&gt;&lt;wsp:rsid wsp:val=&quot;00D82675&quot;/&gt;&lt;wsp:rsid wsp:val=&quot;00D8270A&quot;/&gt;&lt;wsp:rsid wsp:val=&quot;00D82A8E&quot;/&gt;&lt;wsp:rsid wsp:val=&quot;00D82DF1&quot;/&gt;&lt;wsp:rsid wsp:val=&quot;00D82EF5&quot;/&gt;&lt;wsp:rsid wsp:val=&quot;00D831D9&quot;/&gt;&lt;wsp:rsid wsp:val=&quot;00D83235&quot;/&gt;&lt;wsp:rsid wsp:val=&quot;00D8393F&quot;/&gt;&lt;wsp:rsid wsp:val=&quot;00D840E6&quot;/&gt;&lt;wsp:rsid wsp:val=&quot;00D8429C&quot;/&gt;&lt;wsp:rsid wsp:val=&quot;00D842D4&quot;/&gt;&lt;wsp:rsid wsp:val=&quot;00D84621&quot;/&gt;&lt;wsp:rsid wsp:val=&quot;00D8462B&quot;/&gt;&lt;wsp:rsid wsp:val=&quot;00D84941&quot;/&gt;&lt;wsp:rsid wsp:val=&quot;00D8521F&quot;/&gt;&lt;wsp:rsid wsp:val=&quot;00D85335&quot;/&gt;&lt;wsp:rsid wsp:val=&quot;00D856EC&quot;/&gt;&lt;wsp:rsid wsp:val=&quot;00D8570C&quot;/&gt;&lt;wsp:rsid wsp:val=&quot;00D85824&quot;/&gt;&lt;wsp:rsid wsp:val=&quot;00D85C69&quot;/&gt;&lt;wsp:rsid wsp:val=&quot;00D85C72&quot;/&gt;&lt;wsp:rsid wsp:val=&quot;00D85DEB&quot;/&gt;&lt;wsp:rsid wsp:val=&quot;00D861F0&quot;/&gt;&lt;wsp:rsid wsp:val=&quot;00D86504&quot;/&gt;&lt;wsp:rsid wsp:val=&quot;00D86DFF&quot;/&gt;&lt;wsp:rsid wsp:val=&quot;00D87212&quot;/&gt;&lt;wsp:rsid wsp:val=&quot;00D87551&quot;/&gt;&lt;wsp:rsid wsp:val=&quot;00D87C1E&quot;/&gt;&lt;wsp:rsid wsp:val=&quot;00D90067&quot;/&gt;&lt;wsp:rsid wsp:val=&quot;00D903FC&quot;/&gt;&lt;wsp:rsid wsp:val=&quot;00D903FF&quot;/&gt;&lt;wsp:rsid wsp:val=&quot;00D9066D&quot;/&gt;&lt;wsp:rsid wsp:val=&quot;00D90844&quot;/&gt;&lt;wsp:rsid wsp:val=&quot;00D90C47&quot;/&gt;&lt;wsp:rsid wsp:val=&quot;00D90CDB&quot;/&gt;&lt;wsp:rsid wsp:val=&quot;00D9124E&quot;/&gt;&lt;wsp:rsid wsp:val=&quot;00D917CA&quot;/&gt;&lt;wsp:rsid wsp:val=&quot;00D918CD&quot;/&gt;&lt;wsp:rsid wsp:val=&quot;00D9196C&quot;/&gt;&lt;wsp:rsid wsp:val=&quot;00D91C21&quot;/&gt;&lt;wsp:rsid wsp:val=&quot;00D91EC6&quot;/&gt;&lt;wsp:rsid wsp:val=&quot;00D91F11&quot;/&gt;&lt;wsp:rsid wsp:val=&quot;00D91FF6&quot;/&gt;&lt;wsp:rsid wsp:val=&quot;00D922E8&quot;/&gt;&lt;wsp:rsid wsp:val=&quot;00D92491&quot;/&gt;&lt;wsp:rsid wsp:val=&quot;00D92AE3&quot;/&gt;&lt;wsp:rsid wsp:val=&quot;00D92CE4&quot;/&gt;&lt;wsp:rsid wsp:val=&quot;00D934D4&quot;/&gt;&lt;wsp:rsid wsp:val=&quot;00D935B0&quot;/&gt;&lt;wsp:rsid wsp:val=&quot;00D93895&quot;/&gt;&lt;wsp:rsid wsp:val=&quot;00D93B30&quot;/&gt;&lt;wsp:rsid wsp:val=&quot;00D93EE5&quot;/&gt;&lt;wsp:rsid wsp:val=&quot;00D9400B&quot;/&gt;&lt;wsp:rsid wsp:val=&quot;00D94351&quot;/&gt;&lt;wsp:rsid wsp:val=&quot;00D9436E&quot;/&gt;&lt;wsp:rsid wsp:val=&quot;00D9442C&quot;/&gt;&lt;wsp:rsid wsp:val=&quot;00D94635&quot;/&gt;&lt;wsp:rsid wsp:val=&quot;00D95228&quot;/&gt;&lt;wsp:rsid wsp:val=&quot;00D957C3&quot;/&gt;&lt;wsp:rsid wsp:val=&quot;00D95AF4&quot;/&gt;&lt;wsp:rsid wsp:val=&quot;00D95CB7&quot;/&gt;&lt;wsp:rsid wsp:val=&quot;00D96247&quot;/&gt;&lt;wsp:rsid wsp:val=&quot;00D9632F&quot;/&gt;&lt;wsp:rsid wsp:val=&quot;00D9690E&quot;/&gt;&lt;wsp:rsid wsp:val=&quot;00D97DC7&quot;/&gt;&lt;wsp:rsid wsp:val=&quot;00D97EE3&quot;/&gt;&lt;wsp:rsid wsp:val=&quot;00DA00AE&quot;/&gt;&lt;wsp:rsid wsp:val=&quot;00DA0108&quot;/&gt;&lt;wsp:rsid wsp:val=&quot;00DA01C4&quot;/&gt;&lt;wsp:rsid wsp:val=&quot;00DA0DD0&quot;/&gt;&lt;wsp:rsid wsp:val=&quot;00DA1876&quot;/&gt;&lt;wsp:rsid wsp:val=&quot;00DA1992&quot;/&gt;&lt;wsp:rsid wsp:val=&quot;00DA1A61&quot;/&gt;&lt;wsp:rsid wsp:val=&quot;00DA1BBD&quot;/&gt;&lt;wsp:rsid wsp:val=&quot;00DA27FD&quot;/&gt;&lt;wsp:rsid wsp:val=&quot;00DA281D&quot;/&gt;&lt;wsp:rsid wsp:val=&quot;00DA2B3F&quot;/&gt;&lt;wsp:rsid wsp:val=&quot;00DA2D48&quot;/&gt;&lt;wsp:rsid wsp:val=&quot;00DA31D6&quot;/&gt;&lt;wsp:rsid wsp:val=&quot;00DA32ED&quot;/&gt;&lt;wsp:rsid wsp:val=&quot;00DA355F&quot;/&gt;&lt;wsp:rsid wsp:val=&quot;00DA3637&quot;/&gt;&lt;wsp:rsid wsp:val=&quot;00DA3DE0&quot;/&gt;&lt;wsp:rsid wsp:val=&quot;00DA452D&quot;/&gt;&lt;wsp:rsid wsp:val=&quot;00DA4785&quot;/&gt;&lt;wsp:rsid wsp:val=&quot;00DA47F3&quot;/&gt;&lt;wsp:rsid wsp:val=&quot;00DA48A9&quot;/&gt;&lt;wsp:rsid wsp:val=&quot;00DA4AAB&quot;/&gt;&lt;wsp:rsid wsp:val=&quot;00DA4BE1&quot;/&gt;&lt;wsp:rsid wsp:val=&quot;00DA4C15&quot;/&gt;&lt;wsp:rsid wsp:val=&quot;00DA4CE7&quot;/&gt;&lt;wsp:rsid wsp:val=&quot;00DA4E26&quot;/&gt;&lt;wsp:rsid wsp:val=&quot;00DA4EDE&quot;/&gt;&lt;wsp:rsid wsp:val=&quot;00DA549C&quot;/&gt;&lt;wsp:rsid wsp:val=&quot;00DA54CD&quot;/&gt;&lt;wsp:rsid wsp:val=&quot;00DA571E&quot;/&gt;&lt;wsp:rsid wsp:val=&quot;00DA5943&quot;/&gt;&lt;wsp:rsid wsp:val=&quot;00DA5F1F&quot;/&gt;&lt;wsp:rsid wsp:val=&quot;00DA61F5&quot;/&gt;&lt;wsp:rsid wsp:val=&quot;00DA6232&quot;/&gt;&lt;wsp:rsid wsp:val=&quot;00DA65B2&quot;/&gt;&lt;wsp:rsid wsp:val=&quot;00DA662D&quot;/&gt;&lt;wsp:rsid wsp:val=&quot;00DA6ABD&quot;/&gt;&lt;wsp:rsid wsp:val=&quot;00DA6E57&quot;/&gt;&lt;wsp:rsid wsp:val=&quot;00DA7056&quot;/&gt;&lt;wsp:rsid wsp:val=&quot;00DA7340&quot;/&gt;&lt;wsp:rsid wsp:val=&quot;00DA7BA4&quot;/&gt;&lt;wsp:rsid wsp:val=&quot;00DA7E61&quot;/&gt;&lt;wsp:rsid wsp:val=&quot;00DA7FCB&quot;/&gt;&lt;wsp:rsid wsp:val=&quot;00DB01DB&quot;/&gt;&lt;wsp:rsid wsp:val=&quot;00DB09AB&quot;/&gt;&lt;wsp:rsid wsp:val=&quot;00DB0A6B&quot;/&gt;&lt;wsp:rsid wsp:val=&quot;00DB0C61&quot;/&gt;&lt;wsp:rsid wsp:val=&quot;00DB0FD0&quot;/&gt;&lt;wsp:rsid wsp:val=&quot;00DB111F&quot;/&gt;&lt;wsp:rsid wsp:val=&quot;00DB1156&quot;/&gt;&lt;wsp:rsid wsp:val=&quot;00DB1ADE&quot;/&gt;&lt;wsp:rsid wsp:val=&quot;00DB21F9&quot;/&gt;&lt;wsp:rsid wsp:val=&quot;00DB23E1&quot;/&gt;&lt;wsp:rsid wsp:val=&quot;00DB242E&quot;/&gt;&lt;wsp:rsid wsp:val=&quot;00DB247B&quot;/&gt;&lt;wsp:rsid wsp:val=&quot;00DB2500&quot;/&gt;&lt;wsp:rsid wsp:val=&quot;00DB25F7&quot;/&gt;&lt;wsp:rsid wsp:val=&quot;00DB2745&quot;/&gt;&lt;wsp:rsid wsp:val=&quot;00DB2810&quot;/&gt;&lt;wsp:rsid wsp:val=&quot;00DB296C&quot;/&gt;&lt;wsp:rsid wsp:val=&quot;00DB2979&quot;/&gt;&lt;wsp:rsid wsp:val=&quot;00DB29FA&quot;/&gt;&lt;wsp:rsid wsp:val=&quot;00DB2B88&quot;/&gt;&lt;wsp:rsid wsp:val=&quot;00DB2C50&quot;/&gt;&lt;wsp:rsid wsp:val=&quot;00DB32C4&quot;/&gt;&lt;wsp:rsid wsp:val=&quot;00DB3873&quot;/&gt;&lt;wsp:rsid wsp:val=&quot;00DB38FF&quot;/&gt;&lt;wsp:rsid wsp:val=&quot;00DB3F39&quot;/&gt;&lt;wsp:rsid wsp:val=&quot;00DB3FF4&quot;/&gt;&lt;wsp:rsid wsp:val=&quot;00DB4EA6&quot;/&gt;&lt;wsp:rsid wsp:val=&quot;00DB51A7&quot;/&gt;&lt;wsp:rsid wsp:val=&quot;00DB5222&quot;/&gt;&lt;wsp:rsid wsp:val=&quot;00DB5A41&quot;/&gt;&lt;wsp:rsid wsp:val=&quot;00DB5DD7&quot;/&gt;&lt;wsp:rsid wsp:val=&quot;00DB64EB&quot;/&gt;&lt;wsp:rsid wsp:val=&quot;00DB6A15&quot;/&gt;&lt;wsp:rsid wsp:val=&quot;00DB6C7B&quot;/&gt;&lt;wsp:rsid wsp:val=&quot;00DB71FD&quot;/&gt;&lt;wsp:rsid wsp:val=&quot;00DB756B&quot;/&gt;&lt;wsp:rsid wsp:val=&quot;00DB7684&quot;/&gt;&lt;wsp:rsid wsp:val=&quot;00DB7D5B&quot;/&gt;&lt;wsp:rsid wsp:val=&quot;00DB7F4C&quot;/&gt;&lt;wsp:rsid wsp:val=&quot;00DC037E&quot;/&gt;&lt;wsp:rsid wsp:val=&quot;00DC0828&quot;/&gt;&lt;wsp:rsid wsp:val=&quot;00DC085B&quot;/&gt;&lt;wsp:rsid wsp:val=&quot;00DC08CF&quot;/&gt;&lt;wsp:rsid wsp:val=&quot;00DC0984&quot;/&gt;&lt;wsp:rsid wsp:val=&quot;00DC0EC9&quot;/&gt;&lt;wsp:rsid wsp:val=&quot;00DC0ECC&quot;/&gt;&lt;wsp:rsid wsp:val=&quot;00DC141E&quot;/&gt;&lt;wsp:rsid wsp:val=&quot;00DC15EC&quot;/&gt;&lt;wsp:rsid wsp:val=&quot;00DC1957&quot;/&gt;&lt;wsp:rsid wsp:val=&quot;00DC1CFE&quot;/&gt;&lt;wsp:rsid wsp:val=&quot;00DC21D5&quot;/&gt;&lt;wsp:rsid wsp:val=&quot;00DC27DA&quot;/&gt;&lt;wsp:rsid wsp:val=&quot;00DC2C4C&quot;/&gt;&lt;wsp:rsid wsp:val=&quot;00DC2EE7&quot;/&gt;&lt;wsp:rsid wsp:val=&quot;00DC3280&quot;/&gt;&lt;wsp:rsid wsp:val=&quot;00DC3341&quot;/&gt;&lt;wsp:rsid wsp:val=&quot;00DC339F&quot;/&gt;&lt;wsp:rsid wsp:val=&quot;00DC33AB&quot;/&gt;&lt;wsp:rsid wsp:val=&quot;00DC3481&quot;/&gt;&lt;wsp:rsid wsp:val=&quot;00DC38A8&quot;/&gt;&lt;wsp:rsid wsp:val=&quot;00DC38BC&quot;/&gt;&lt;wsp:rsid wsp:val=&quot;00DC3992&quot;/&gt;&lt;wsp:rsid wsp:val=&quot;00DC3E04&quot;/&gt;&lt;wsp:rsid wsp:val=&quot;00DC402E&quot;/&gt;&lt;wsp:rsid wsp:val=&quot;00DC4284&quot;/&gt;&lt;wsp:rsid wsp:val=&quot;00DC4376&quot;/&gt;&lt;wsp:rsid wsp:val=&quot;00DC50F1&quot;/&gt;&lt;wsp:rsid wsp:val=&quot;00DC520C&quot;/&gt;&lt;wsp:rsid wsp:val=&quot;00DC535D&quot;/&gt;&lt;wsp:rsid wsp:val=&quot;00DC5445&quot;/&gt;&lt;wsp:rsid wsp:val=&quot;00DC562B&quot;/&gt;&lt;wsp:rsid wsp:val=&quot;00DC5FEC&quot;/&gt;&lt;wsp:rsid wsp:val=&quot;00DC6606&quot;/&gt;&lt;wsp:rsid wsp:val=&quot;00DC673D&quot;/&gt;&lt;wsp:rsid wsp:val=&quot;00DC67C7&quot;/&gt;&lt;wsp:rsid wsp:val=&quot;00DC69E6&quot;/&gt;&lt;wsp:rsid wsp:val=&quot;00DC6EDE&quot;/&gt;&lt;wsp:rsid wsp:val=&quot;00DC6F21&quot;/&gt;&lt;wsp:rsid wsp:val=&quot;00DC741A&quot;/&gt;&lt;wsp:rsid wsp:val=&quot;00DC751E&quot;/&gt;&lt;wsp:rsid wsp:val=&quot;00DC7B73&quot;/&gt;&lt;wsp:rsid wsp:val=&quot;00DC7C4E&quot;/&gt;&lt;wsp:rsid wsp:val=&quot;00DC7E15&quot;/&gt;&lt;wsp:rsid wsp:val=&quot;00DC7E27&quot;/&gt;&lt;wsp:rsid wsp:val=&quot;00DD01DC&quot;/&gt;&lt;wsp:rsid wsp:val=&quot;00DD042E&quot;/&gt;&lt;wsp:rsid wsp:val=&quot;00DD0A18&quot;/&gt;&lt;wsp:rsid wsp:val=&quot;00DD0A2F&quot;/&gt;&lt;wsp:rsid wsp:val=&quot;00DD0B4F&quot;/&gt;&lt;wsp:rsid wsp:val=&quot;00DD0C8C&quot;/&gt;&lt;wsp:rsid wsp:val=&quot;00DD109B&quot;/&gt;&lt;wsp:rsid wsp:val=&quot;00DD16ED&quot;/&gt;&lt;wsp:rsid wsp:val=&quot;00DD17BD&quot;/&gt;&lt;wsp:rsid wsp:val=&quot;00DD1B72&quot;/&gt;&lt;wsp:rsid wsp:val=&quot;00DD1D1C&quot;/&gt;&lt;wsp:rsid wsp:val=&quot;00DD237A&quot;/&gt;&lt;wsp:rsid wsp:val=&quot;00DD397C&quot;/&gt;&lt;wsp:rsid wsp:val=&quot;00DD3CEA&quot;/&gt;&lt;wsp:rsid wsp:val=&quot;00DD4838&quot;/&gt;&lt;wsp:rsid wsp:val=&quot;00DD4C81&quot;/&gt;&lt;wsp:rsid wsp:val=&quot;00DD54F2&quot;/&gt;&lt;wsp:rsid wsp:val=&quot;00DD55B0&quot;/&gt;&lt;wsp:rsid wsp:val=&quot;00DD68AB&quot;/&gt;&lt;wsp:rsid wsp:val=&quot;00DD69F4&quot;/&gt;&lt;wsp:rsid wsp:val=&quot;00DD7431&quot;/&gt;&lt;wsp:rsid wsp:val=&quot;00DD760A&quot;/&gt;&lt;wsp:rsid wsp:val=&quot;00DD7A76&quot;/&gt;&lt;wsp:rsid wsp:val=&quot;00DD7BC2&quot;/&gt;&lt;wsp:rsid wsp:val=&quot;00DD7E50&quot;/&gt;&lt;wsp:rsid wsp:val=&quot;00DE032C&quot;/&gt;&lt;wsp:rsid wsp:val=&quot;00DE0474&quot;/&gt;&lt;wsp:rsid wsp:val=&quot;00DE0727&quot;/&gt;&lt;wsp:rsid wsp:val=&quot;00DE0A01&quot;/&gt;&lt;wsp:rsid wsp:val=&quot;00DE0F9E&quot;/&gt;&lt;wsp:rsid wsp:val=&quot;00DE0FA7&quot;/&gt;&lt;wsp:rsid wsp:val=&quot;00DE1511&quot;/&gt;&lt;wsp:rsid wsp:val=&quot;00DE1522&quot;/&gt;&lt;wsp:rsid wsp:val=&quot;00DE1AC8&quot;/&gt;&lt;wsp:rsid wsp:val=&quot;00DE1F3F&quot;/&gt;&lt;wsp:rsid wsp:val=&quot;00DE2077&quot;/&gt;&lt;wsp:rsid wsp:val=&quot;00DE257A&quot;/&gt;&lt;wsp:rsid wsp:val=&quot;00DE287C&quot;/&gt;&lt;wsp:rsid wsp:val=&quot;00DE31E6&quot;/&gt;&lt;wsp:rsid wsp:val=&quot;00DE3718&quot;/&gt;&lt;wsp:rsid wsp:val=&quot;00DE38C1&quot;/&gt;&lt;wsp:rsid wsp:val=&quot;00DE3990&quot;/&gt;&lt;wsp:rsid wsp:val=&quot;00DE3D4C&quot;/&gt;&lt;wsp:rsid wsp:val=&quot;00DE3F61&quot;/&gt;&lt;wsp:rsid wsp:val=&quot;00DE4264&quot;/&gt;&lt;wsp:rsid wsp:val=&quot;00DE473A&quot;/&gt;&lt;wsp:rsid wsp:val=&quot;00DE47DB&quot;/&gt;&lt;wsp:rsid wsp:val=&quot;00DE4B48&quot;/&gt;&lt;wsp:rsid wsp:val=&quot;00DE4BD2&quot;/&gt;&lt;wsp:rsid wsp:val=&quot;00DE4C60&quot;/&gt;&lt;wsp:rsid wsp:val=&quot;00DE4E7A&quot;/&gt;&lt;wsp:rsid wsp:val=&quot;00DE585A&quot;/&gt;&lt;wsp:rsid wsp:val=&quot;00DE6784&quot;/&gt;&lt;wsp:rsid wsp:val=&quot;00DE6861&quot;/&gt;&lt;wsp:rsid wsp:val=&quot;00DE6C98&quot;/&gt;&lt;wsp:rsid wsp:val=&quot;00DE6F68&quot;/&gt;&lt;wsp:rsid wsp:val=&quot;00DE7C17&quot;/&gt;&lt;wsp:rsid wsp:val=&quot;00DE7CE1&quot;/&gt;&lt;wsp:rsid wsp:val=&quot;00DF02B9&quot;/&gt;&lt;wsp:rsid wsp:val=&quot;00DF043D&quot;/&gt;&lt;wsp:rsid wsp:val=&quot;00DF04F9&quot;/&gt;&lt;wsp:rsid wsp:val=&quot;00DF05F2&quot;/&gt;&lt;wsp:rsid wsp:val=&quot;00DF0C83&quot;/&gt;&lt;wsp:rsid wsp:val=&quot;00DF122E&quot;/&gt;&lt;wsp:rsid wsp:val=&quot;00DF1835&quot;/&gt;&lt;wsp:rsid wsp:val=&quot;00DF1838&quot;/&gt;&lt;wsp:rsid wsp:val=&quot;00DF1BB2&quot;/&gt;&lt;wsp:rsid wsp:val=&quot;00DF1CC0&quot;/&gt;&lt;wsp:rsid wsp:val=&quot;00DF2033&quot;/&gt;&lt;wsp:rsid wsp:val=&quot;00DF22C7&quot;/&gt;&lt;wsp:rsid wsp:val=&quot;00DF2408&quot;/&gt;&lt;wsp:rsid wsp:val=&quot;00DF281A&quot;/&gt;&lt;wsp:rsid wsp:val=&quot;00DF2B2A&quot;/&gt;&lt;wsp:rsid wsp:val=&quot;00DF2B65&quot;/&gt;&lt;wsp:rsid wsp:val=&quot;00DF324D&quot;/&gt;&lt;wsp:rsid wsp:val=&quot;00DF34E6&quot;/&gt;&lt;wsp:rsid wsp:val=&quot;00DF3C68&quot;/&gt;&lt;wsp:rsid wsp:val=&quot;00DF4AAE&quot;/&gt;&lt;wsp:rsid wsp:val=&quot;00DF4BE1&quot;/&gt;&lt;wsp:rsid wsp:val=&quot;00DF4DC9&quot;/&gt;&lt;wsp:rsid wsp:val=&quot;00DF4E74&quot;/&gt;&lt;wsp:rsid wsp:val=&quot;00DF54DF&quot;/&gt;&lt;wsp:rsid wsp:val=&quot;00DF55D6&quot;/&gt;&lt;wsp:rsid wsp:val=&quot;00DF5623&quot;/&gt;&lt;wsp:rsid wsp:val=&quot;00DF5F78&quot;/&gt;&lt;wsp:rsid wsp:val=&quot;00DF5FC0&quot;/&gt;&lt;wsp:rsid wsp:val=&quot;00DF6021&quot;/&gt;&lt;wsp:rsid wsp:val=&quot;00DF6457&quot;/&gt;&lt;wsp:rsid wsp:val=&quot;00DF64F5&quot;/&gt;&lt;wsp:rsid wsp:val=&quot;00DF6B13&quot;/&gt;&lt;wsp:rsid wsp:val=&quot;00DF737B&quot;/&gt;&lt;wsp:rsid wsp:val=&quot;00DF7C16&quot;/&gt;&lt;wsp:rsid wsp:val=&quot;00E00185&quot;/&gt;&lt;wsp:rsid wsp:val=&quot;00E0093C&quot;/&gt;&lt;wsp:rsid wsp:val=&quot;00E01018&quot;/&gt;&lt;wsp:rsid wsp:val=&quot;00E01634&quot;/&gt;&lt;wsp:rsid wsp:val=&quot;00E01C55&quot;/&gt;&lt;wsp:rsid wsp:val=&quot;00E01D5B&quot;/&gt;&lt;wsp:rsid wsp:val=&quot;00E01DC2&quot;/&gt;&lt;wsp:rsid wsp:val=&quot;00E021CD&quot;/&gt;&lt;wsp:rsid wsp:val=&quot;00E02227&quot;/&gt;&lt;wsp:rsid wsp:val=&quot;00E027BD&quot;/&gt;&lt;wsp:rsid wsp:val=&quot;00E02C60&quot;/&gt;&lt;wsp:rsid wsp:val=&quot;00E02EF2&quot;/&gt;&lt;wsp:rsid wsp:val=&quot;00E02FCD&quot;/&gt;&lt;wsp:rsid wsp:val=&quot;00E03172&quot;/&gt;&lt;wsp:rsid wsp:val=&quot;00E0321A&quot;/&gt;&lt;wsp:rsid wsp:val=&quot;00E03563&quot;/&gt;&lt;wsp:rsid wsp:val=&quot;00E037E5&quot;/&gt;&lt;wsp:rsid wsp:val=&quot;00E0384A&quot;/&gt;&lt;wsp:rsid wsp:val=&quot;00E0397E&quot;/&gt;&lt;wsp:rsid wsp:val=&quot;00E03CB0&quot;/&gt;&lt;wsp:rsid wsp:val=&quot;00E043AD&quot;/&gt;&lt;wsp:rsid wsp:val=&quot;00E0468B&quot;/&gt;&lt;wsp:rsid wsp:val=&quot;00E04764&quot;/&gt;&lt;wsp:rsid wsp:val=&quot;00E04C8A&quot;/&gt;&lt;wsp:rsid wsp:val=&quot;00E0514D&quot;/&gt;&lt;wsp:rsid wsp:val=&quot;00E0525B&quot;/&gt;&lt;wsp:rsid wsp:val=&quot;00E0547E&quot;/&gt;&lt;wsp:rsid wsp:val=&quot;00E0548D&quot;/&gt;&lt;wsp:rsid wsp:val=&quot;00E0589C&quot;/&gt;&lt;wsp:rsid wsp:val=&quot;00E05B76&quot;/&gt;&lt;wsp:rsid wsp:val=&quot;00E05E36&quot;/&gt;&lt;wsp:rsid wsp:val=&quot;00E06078&quot;/&gt;&lt;wsp:rsid wsp:val=&quot;00E06183&quot;/&gt;&lt;wsp:rsid wsp:val=&quot;00E06199&quot;/&gt;&lt;wsp:rsid wsp:val=&quot;00E064A1&quot;/&gt;&lt;wsp:rsid wsp:val=&quot;00E064D5&quot;/&gt;&lt;wsp:rsid wsp:val=&quot;00E068E7&quot;/&gt;&lt;wsp:rsid wsp:val=&quot;00E06D23&quot;/&gt;&lt;wsp:rsid wsp:val=&quot;00E07323&quot;/&gt;&lt;wsp:rsid wsp:val=&quot;00E07CED&quot;/&gt;&lt;wsp:rsid wsp:val=&quot;00E10057&quot;/&gt;&lt;wsp:rsid wsp:val=&quot;00E1009B&quot;/&gt;&lt;wsp:rsid wsp:val=&quot;00E10270&quot;/&gt;&lt;wsp:rsid wsp:val=&quot;00E10421&quot;/&gt;&lt;wsp:rsid wsp:val=&quot;00E104FF&quot;/&gt;&lt;wsp:rsid wsp:val=&quot;00E10748&quot;/&gt;&lt;wsp:rsid wsp:val=&quot;00E10E90&quot;/&gt;&lt;wsp:rsid wsp:val=&quot;00E10F69&quot;/&gt;&lt;wsp:rsid wsp:val=&quot;00E1107E&quot;/&gt;&lt;wsp:rsid wsp:val=&quot;00E111E0&quot;/&gt;&lt;wsp:rsid wsp:val=&quot;00E11503&quot;/&gt;&lt;wsp:rsid wsp:val=&quot;00E1151C&quot;/&gt;&lt;wsp:rsid wsp:val=&quot;00E11848&quot;/&gt;&lt;wsp:rsid wsp:val=&quot;00E11B3A&quot;/&gt;&lt;wsp:rsid wsp:val=&quot;00E11E52&quot;/&gt;&lt;wsp:rsid wsp:val=&quot;00E11F1C&quot;/&gt;&lt;wsp:rsid wsp:val=&quot;00E123DD&quot;/&gt;&lt;wsp:rsid wsp:val=&quot;00E126D5&quot;/&gt;&lt;wsp:rsid wsp:val=&quot;00E12E70&quot;/&gt;&lt;wsp:rsid wsp:val=&quot;00E1397B&quot;/&gt;&lt;wsp:rsid wsp:val=&quot;00E13F67&quot;/&gt;&lt;wsp:rsid wsp:val=&quot;00E14087&quot;/&gt;&lt;wsp:rsid wsp:val=&quot;00E140B5&quot;/&gt;&lt;wsp:rsid wsp:val=&quot;00E1418D&quot;/&gt;&lt;wsp:rsid wsp:val=&quot;00E1423A&quot;/&gt;&lt;wsp:rsid wsp:val=&quot;00E1461B&quot;/&gt;&lt;wsp:rsid wsp:val=&quot;00E14BC2&quot;/&gt;&lt;wsp:rsid wsp:val=&quot;00E14C96&quot;/&gt;&lt;wsp:rsid wsp:val=&quot;00E1560A&quot;/&gt;&lt;wsp:rsid wsp:val=&quot;00E1567C&quot;/&gt;&lt;wsp:rsid wsp:val=&quot;00E15869&quot;/&gt;&lt;wsp:rsid wsp:val=&quot;00E1609B&quot;/&gt;&lt;wsp:rsid wsp:val=&quot;00E166C2&quot;/&gt;&lt;wsp:rsid wsp:val=&quot;00E1675A&quot;/&gt;&lt;wsp:rsid wsp:val=&quot;00E167F9&quot;/&gt;&lt;wsp:rsid wsp:val=&quot;00E168A2&quot;/&gt;&lt;wsp:rsid wsp:val=&quot;00E16ADA&quot;/&gt;&lt;wsp:rsid wsp:val=&quot;00E16E47&quot;/&gt;&lt;wsp:rsid wsp:val=&quot;00E2023E&quot;/&gt;&lt;wsp:rsid wsp:val=&quot;00E20289&quot;/&gt;&lt;wsp:rsid wsp:val=&quot;00E20441&quot;/&gt;&lt;wsp:rsid wsp:val=&quot;00E204BF&quot;/&gt;&lt;wsp:rsid wsp:val=&quot;00E20548&quot;/&gt;&lt;wsp:rsid wsp:val=&quot;00E20830&quot;/&gt;&lt;wsp:rsid wsp:val=&quot;00E20A15&quot;/&gt;&lt;wsp:rsid wsp:val=&quot;00E20A70&quot;/&gt;&lt;wsp:rsid wsp:val=&quot;00E20B01&quot;/&gt;&lt;wsp:rsid wsp:val=&quot;00E20E29&quot;/&gt;&lt;wsp:rsid wsp:val=&quot;00E212C2&quot;/&gt;&lt;wsp:rsid wsp:val=&quot;00E21687&quot;/&gt;&lt;wsp:rsid wsp:val=&quot;00E21A4E&quot;/&gt;&lt;wsp:rsid wsp:val=&quot;00E21CCC&quot;/&gt;&lt;wsp:rsid wsp:val=&quot;00E21F08&quot;/&gt;&lt;wsp:rsid wsp:val=&quot;00E22182&quot;/&gt;&lt;wsp:rsid wsp:val=&quot;00E221B8&quot;/&gt;&lt;wsp:rsid wsp:val=&quot;00E227E9&quot;/&gt;&lt;wsp:rsid wsp:val=&quot;00E2290E&quot;/&gt;&lt;wsp:rsid wsp:val=&quot;00E22C48&quot;/&gt;&lt;wsp:rsid wsp:val=&quot;00E22F19&quot;/&gt;&lt;wsp:rsid wsp:val=&quot;00E23299&quot;/&gt;&lt;wsp:rsid wsp:val=&quot;00E237B6&quot;/&gt;&lt;wsp:rsid wsp:val=&quot;00E238DE&quot;/&gt;&lt;wsp:rsid wsp:val=&quot;00E23CC0&quot;/&gt;&lt;wsp:rsid wsp:val=&quot;00E24A62&quot;/&gt;&lt;wsp:rsid wsp:val=&quot;00E24B9B&quot;/&gt;&lt;wsp:rsid wsp:val=&quot;00E24BEA&quot;/&gt;&lt;wsp:rsid wsp:val=&quot;00E24E54&quot;/&gt;&lt;wsp:rsid wsp:val=&quot;00E24EDA&quot;/&gt;&lt;wsp:rsid wsp:val=&quot;00E25072&quot;/&gt;&lt;wsp:rsid wsp:val=&quot;00E25593&quot;/&gt;&lt;wsp:rsid wsp:val=&quot;00E25888&quot;/&gt;&lt;wsp:rsid wsp:val=&quot;00E25E6C&quot;/&gt;&lt;wsp:rsid wsp:val=&quot;00E25E82&quot;/&gt;&lt;wsp:rsid wsp:val=&quot;00E25EB6&quot;/&gt;&lt;wsp:rsid wsp:val=&quot;00E25FFA&quot;/&gt;&lt;wsp:rsid wsp:val=&quot;00E26226&quot;/&gt;&lt;wsp:rsid wsp:val=&quot;00E264E6&quot;/&gt;&lt;wsp:rsid wsp:val=&quot;00E26C3F&quot;/&gt;&lt;wsp:rsid wsp:val=&quot;00E2702B&quot;/&gt;&lt;wsp:rsid wsp:val=&quot;00E271D3&quot;/&gt;&lt;wsp:rsid wsp:val=&quot;00E27479&quot;/&gt;&lt;wsp:rsid wsp:val=&quot;00E30596&quot;/&gt;&lt;wsp:rsid wsp:val=&quot;00E306C3&quot;/&gt;&lt;wsp:rsid wsp:val=&quot;00E307C6&quot;/&gt;&lt;wsp:rsid wsp:val=&quot;00E30AFB&quot;/&gt;&lt;wsp:rsid wsp:val=&quot;00E30BAF&quot;/&gt;&lt;wsp:rsid wsp:val=&quot;00E31856&quot;/&gt;&lt;wsp:rsid wsp:val=&quot;00E31C9C&quot;/&gt;&lt;wsp:rsid wsp:val=&quot;00E31F8E&quot;/&gt;&lt;wsp:rsid wsp:val=&quot;00E3221D&quot;/&gt;&lt;wsp:rsid wsp:val=&quot;00E326FD&quot;/&gt;&lt;wsp:rsid wsp:val=&quot;00E32CF9&quot;/&gt;&lt;wsp:rsid wsp:val=&quot;00E32FF4&quot;/&gt;&lt;wsp:rsid wsp:val=&quot;00E33143&quot;/&gt;&lt;wsp:rsid wsp:val=&quot;00E33356&quot;/&gt;&lt;wsp:rsid wsp:val=&quot;00E3397C&quot;/&gt;&lt;wsp:rsid wsp:val=&quot;00E33D42&quot;/&gt;&lt;wsp:rsid wsp:val=&quot;00E343CE&quot;/&gt;&lt;wsp:rsid wsp:val=&quot;00E344DA&quot;/&gt;&lt;wsp:rsid wsp:val=&quot;00E3491A&quot;/&gt;&lt;wsp:rsid wsp:val=&quot;00E349B8&quot;/&gt;&lt;wsp:rsid wsp:val=&quot;00E34CA7&quot;/&gt;&lt;wsp:rsid wsp:val=&quot;00E352F7&quot;/&gt;&lt;wsp:rsid wsp:val=&quot;00E353D9&quot;/&gt;&lt;wsp:rsid wsp:val=&quot;00E35D66&quot;/&gt;&lt;wsp:rsid wsp:val=&quot;00E35E4B&quot;/&gt;&lt;wsp:rsid wsp:val=&quot;00E360FF&quot;/&gt;&lt;wsp:rsid wsp:val=&quot;00E3611C&quot;/&gt;&lt;wsp:rsid wsp:val=&quot;00E36230&quot;/&gt;&lt;wsp:rsid wsp:val=&quot;00E3631E&quot;/&gt;&lt;wsp:rsid wsp:val=&quot;00E368E4&quot;/&gt;&lt;wsp:rsid wsp:val=&quot;00E36976&quot;/&gt;&lt;wsp:rsid wsp:val=&quot;00E36BAA&quot;/&gt;&lt;wsp:rsid wsp:val=&quot;00E36CFB&quot;/&gt;&lt;wsp:rsid wsp:val=&quot;00E36D5C&quot;/&gt;&lt;wsp:rsid wsp:val=&quot;00E3715C&quot;/&gt;&lt;wsp:rsid wsp:val=&quot;00E37189&quot;/&gt;&lt;wsp:rsid wsp:val=&quot;00E371DE&quot;/&gt;&lt;wsp:rsid wsp:val=&quot;00E375F3&quot;/&gt;&lt;wsp:rsid wsp:val=&quot;00E376AB&quot;/&gt;&lt;wsp:rsid wsp:val=&quot;00E379D1&quot;/&gt;&lt;wsp:rsid wsp:val=&quot;00E37EC0&quot;/&gt;&lt;wsp:rsid wsp:val=&quot;00E408A8&quot;/&gt;&lt;wsp:rsid wsp:val=&quot;00E40E8C&quot;/&gt;&lt;wsp:rsid wsp:val=&quot;00E41B1C&quot;/&gt;&lt;wsp:rsid wsp:val=&quot;00E41C61&quot;/&gt;&lt;wsp:rsid wsp:val=&quot;00E41C86&quot;/&gt;&lt;wsp:rsid wsp:val=&quot;00E42244&quot;/&gt;&lt;wsp:rsid wsp:val=&quot;00E4230D&quot;/&gt;&lt;wsp:rsid wsp:val=&quot;00E42425&quot;/&gt;&lt;wsp:rsid wsp:val=&quot;00E4251A&quot;/&gt;&lt;wsp:rsid wsp:val=&quot;00E42B3F&quot;/&gt;&lt;wsp:rsid wsp:val=&quot;00E42F92&quot;/&gt;&lt;wsp:rsid wsp:val=&quot;00E4306E&quot;/&gt;&lt;wsp:rsid wsp:val=&quot;00E43143&quot;/&gt;&lt;wsp:rsid wsp:val=&quot;00E4319B&quot;/&gt;&lt;wsp:rsid wsp:val=&quot;00E431C0&quot;/&gt;&lt;wsp:rsid wsp:val=&quot;00E435DB&quot;/&gt;&lt;wsp:rsid wsp:val=&quot;00E438F3&quot;/&gt;&lt;wsp:rsid wsp:val=&quot;00E43E10&quot;/&gt;&lt;wsp:rsid wsp:val=&quot;00E44403&quot;/&gt;&lt;wsp:rsid wsp:val=&quot;00E4459E&quot;/&gt;&lt;wsp:rsid wsp:val=&quot;00E44B2F&quot;/&gt;&lt;wsp:rsid wsp:val=&quot;00E44BB0&quot;/&gt;&lt;wsp:rsid wsp:val=&quot;00E44BD4&quot;/&gt;&lt;wsp:rsid wsp:val=&quot;00E44E92&quot;/&gt;&lt;wsp:rsid wsp:val=&quot;00E44F03&quot;/&gt;&lt;wsp:rsid wsp:val=&quot;00E4550C&quot;/&gt;&lt;wsp:rsid wsp:val=&quot;00E455FF&quot;/&gt;&lt;wsp:rsid wsp:val=&quot;00E45677&quot;/&gt;&lt;wsp:rsid wsp:val=&quot;00E4598D&quot;/&gt;&lt;wsp:rsid wsp:val=&quot;00E45A35&quot;/&gt;&lt;wsp:rsid wsp:val=&quot;00E45E51&quot;/&gt;&lt;wsp:rsid wsp:val=&quot;00E46055&quot;/&gt;&lt;wsp:rsid wsp:val=&quot;00E46079&quot;/&gt;&lt;wsp:rsid wsp:val=&quot;00E46636&quot;/&gt;&lt;wsp:rsid wsp:val=&quot;00E467B0&quot;/&gt;&lt;wsp:rsid wsp:val=&quot;00E46983&quot;/&gt;&lt;wsp:rsid wsp:val=&quot;00E47160&quot;/&gt;&lt;wsp:rsid wsp:val=&quot;00E47596&quot;/&gt;&lt;wsp:rsid wsp:val=&quot;00E4778B&quot;/&gt;&lt;wsp:rsid wsp:val=&quot;00E47A0A&quot;/&gt;&lt;wsp:rsid wsp:val=&quot;00E5045D&quot;/&gt;&lt;wsp:rsid wsp:val=&quot;00E5056B&quot;/&gt;&lt;wsp:rsid wsp:val=&quot;00E50844&quot;/&gt;&lt;wsp:rsid wsp:val=&quot;00E50CB4&quot;/&gt;&lt;wsp:rsid wsp:val=&quot;00E50F14&quot;/&gt;&lt;wsp:rsid wsp:val=&quot;00E5122B&quot;/&gt;&lt;wsp:rsid wsp:val=&quot;00E5129B&quot;/&gt;&lt;wsp:rsid wsp:val=&quot;00E513EC&quot;/&gt;&lt;wsp:rsid wsp:val=&quot;00E51579&quot;/&gt;&lt;wsp:rsid wsp:val=&quot;00E51952&quot;/&gt;&lt;wsp:rsid wsp:val=&quot;00E51B97&quot;/&gt;&lt;wsp:rsid wsp:val=&quot;00E51E7C&quot;/&gt;&lt;wsp:rsid wsp:val=&quot;00E51FD7&quot;/&gt;&lt;wsp:rsid wsp:val=&quot;00E5213D&quot;/&gt;&lt;wsp:rsid wsp:val=&quot;00E5219B&quot;/&gt;&lt;wsp:rsid wsp:val=&quot;00E521BE&quot;/&gt;&lt;wsp:rsid wsp:val=&quot;00E52552&quot;/&gt;&lt;wsp:rsid wsp:val=&quot;00E52B77&quot;/&gt;&lt;wsp:rsid wsp:val=&quot;00E52F14&quot;/&gt;&lt;wsp:rsid wsp:val=&quot;00E5310C&quot;/&gt;&lt;wsp:rsid wsp:val=&quot;00E53438&quot;/&gt;&lt;wsp:rsid wsp:val=&quot;00E54149&quot;/&gt;&lt;wsp:rsid wsp:val=&quot;00E546C4&quot;/&gt;&lt;wsp:rsid wsp:val=&quot;00E548E2&quot;/&gt;&lt;wsp:rsid wsp:val=&quot;00E54DE3&quot;/&gt;&lt;wsp:rsid wsp:val=&quot;00E54F4D&quot;/&gt;&lt;wsp:rsid wsp:val=&quot;00E55287&quot;/&gt;&lt;wsp:rsid wsp:val=&quot;00E55299&quot;/&gt;&lt;wsp:rsid wsp:val=&quot;00E55714&quot;/&gt;&lt;wsp:rsid wsp:val=&quot;00E55985&quot;/&gt;&lt;wsp:rsid wsp:val=&quot;00E55B0C&quot;/&gt;&lt;wsp:rsid wsp:val=&quot;00E55F2F&quot;/&gt;&lt;wsp:rsid wsp:val=&quot;00E560A8&quot;/&gt;&lt;wsp:rsid wsp:val=&quot;00E56390&quot;/&gt;&lt;wsp:rsid wsp:val=&quot;00E56D0D&quot;/&gt;&lt;wsp:rsid wsp:val=&quot;00E572E9&quot;/&gt;&lt;wsp:rsid wsp:val=&quot;00E574AC&quot;/&gt;&lt;wsp:rsid wsp:val=&quot;00E57956&quot;/&gt;&lt;wsp:rsid wsp:val=&quot;00E57C5D&quot;/&gt;&lt;wsp:rsid wsp:val=&quot;00E6016A&quot;/&gt;&lt;wsp:rsid wsp:val=&quot;00E605E6&quot;/&gt;&lt;wsp:rsid wsp:val=&quot;00E60873&quot;/&gt;&lt;wsp:rsid wsp:val=&quot;00E6090C&quot;/&gt;&lt;wsp:rsid wsp:val=&quot;00E609AB&quot;/&gt;&lt;wsp:rsid wsp:val=&quot;00E60BB3&quot;/&gt;&lt;wsp:rsid wsp:val=&quot;00E6105C&quot;/&gt;&lt;wsp:rsid wsp:val=&quot;00E61077&quot;/&gt;&lt;wsp:rsid wsp:val=&quot;00E6123A&quot;/&gt;&lt;wsp:rsid wsp:val=&quot;00E6126C&quot;/&gt;&lt;wsp:rsid wsp:val=&quot;00E614BD&quot;/&gt;&lt;wsp:rsid wsp:val=&quot;00E61CE1&quot;/&gt;&lt;wsp:rsid wsp:val=&quot;00E61EF0&quot;/&gt;&lt;wsp:rsid wsp:val=&quot;00E61F27&quot;/&gt;&lt;wsp:rsid wsp:val=&quot;00E624E9&quot;/&gt;&lt;wsp:rsid wsp:val=&quot;00E6252C&quot;/&gt;&lt;wsp:rsid wsp:val=&quot;00E62570&quot;/&gt;&lt;wsp:rsid wsp:val=&quot;00E629E2&quot;/&gt;&lt;wsp:rsid wsp:val=&quot;00E63481&quot;/&gt;&lt;wsp:rsid wsp:val=&quot;00E63590&quot;/&gt;&lt;wsp:rsid wsp:val=&quot;00E63907&quot;/&gt;&lt;wsp:rsid wsp:val=&quot;00E63A14&quot;/&gt;&lt;wsp:rsid wsp:val=&quot;00E63A34&quot;/&gt;&lt;wsp:rsid wsp:val=&quot;00E63B2E&quot;/&gt;&lt;wsp:rsid wsp:val=&quot;00E646AD&quot;/&gt;&lt;wsp:rsid wsp:val=&quot;00E6471A&quot;/&gt;&lt;wsp:rsid wsp:val=&quot;00E64A13&quot;/&gt;&lt;wsp:rsid wsp:val=&quot;00E64A84&quot;/&gt;&lt;wsp:rsid wsp:val=&quot;00E64B4F&quot;/&gt;&lt;wsp:rsid wsp:val=&quot;00E64D9B&quot;/&gt;&lt;wsp:rsid wsp:val=&quot;00E64F93&quot;/&gt;&lt;wsp:rsid wsp:val=&quot;00E651D6&quot;/&gt;&lt;wsp:rsid wsp:val=&quot;00E654FC&quot;/&gt;&lt;wsp:rsid wsp:val=&quot;00E65612&quot;/&gt;&lt;wsp:rsid wsp:val=&quot;00E65743&quot;/&gt;&lt;wsp:rsid wsp:val=&quot;00E6581C&quot;/&gt;&lt;wsp:rsid wsp:val=&quot;00E65BBB&quot;/&gt;&lt;wsp:rsid wsp:val=&quot;00E65C3D&quot;/&gt;&lt;wsp:rsid wsp:val=&quot;00E6616C&quot;/&gt;&lt;wsp:rsid wsp:val=&quot;00E6643A&quot;/&gt;&lt;wsp:rsid wsp:val=&quot;00E66695&quot;/&gt;&lt;wsp:rsid wsp:val=&quot;00E66A8E&quot;/&gt;&lt;wsp:rsid wsp:val=&quot;00E66B7D&quot;/&gt;&lt;wsp:rsid wsp:val=&quot;00E66D4C&quot;/&gt;&lt;wsp:rsid wsp:val=&quot;00E66D4D&quot;/&gt;&lt;wsp:rsid wsp:val=&quot;00E66E8A&quot;/&gt;&lt;wsp:rsid wsp:val=&quot;00E6750E&quot;/&gt;&lt;wsp:rsid wsp:val=&quot;00E6759D&quot;/&gt;&lt;wsp:rsid wsp:val=&quot;00E6772B&quot;/&gt;&lt;wsp:rsid wsp:val=&quot;00E678F9&quot;/&gt;&lt;wsp:rsid wsp:val=&quot;00E67B4B&quot;/&gt;&lt;wsp:rsid wsp:val=&quot;00E7000C&quot;/&gt;&lt;wsp:rsid wsp:val=&quot;00E706FA&quot;/&gt;&lt;wsp:rsid wsp:val=&quot;00E707F8&quot;/&gt;&lt;wsp:rsid wsp:val=&quot;00E713E0&quot;/&gt;&lt;wsp:rsid wsp:val=&quot;00E7152F&quot;/&gt;&lt;wsp:rsid wsp:val=&quot;00E71D13&quot;/&gt;&lt;wsp:rsid wsp:val=&quot;00E71EA7&quot;/&gt;&lt;wsp:rsid wsp:val=&quot;00E7208C&quot;/&gt;&lt;wsp:rsid wsp:val=&quot;00E721CE&quot;/&gt;&lt;wsp:rsid wsp:val=&quot;00E7293A&quot;/&gt;&lt;wsp:rsid wsp:val=&quot;00E72DDA&quot;/&gt;&lt;wsp:rsid wsp:val=&quot;00E72F61&quot;/&gt;&lt;wsp:rsid wsp:val=&quot;00E73885&quot;/&gt;&lt;wsp:rsid wsp:val=&quot;00E73CA7&quot;/&gt;&lt;wsp:rsid wsp:val=&quot;00E742D9&quot;/&gt;&lt;wsp:rsid wsp:val=&quot;00E74854&quot;/&gt;&lt;wsp:rsid wsp:val=&quot;00E748FD&quot;/&gt;&lt;wsp:rsid wsp:val=&quot;00E74DF5&quot;/&gt;&lt;wsp:rsid wsp:val=&quot;00E74ECB&quot;/&gt;&lt;wsp:rsid wsp:val=&quot;00E75347&quot;/&gt;&lt;wsp:rsid wsp:val=&quot;00E75766&quot;/&gt;&lt;wsp:rsid wsp:val=&quot;00E75AF9&quot;/&gt;&lt;wsp:rsid wsp:val=&quot;00E75B4C&quot;/&gt;&lt;wsp:rsid wsp:val=&quot;00E75BC5&quot;/&gt;&lt;wsp:rsid wsp:val=&quot;00E75C95&quot;/&gt;&lt;wsp:rsid wsp:val=&quot;00E76086&quot;/&gt;&lt;wsp:rsid wsp:val=&quot;00E763C9&quot;/&gt;&lt;wsp:rsid wsp:val=&quot;00E76AB5&quot;/&gt;&lt;wsp:rsid wsp:val=&quot;00E76BB2&quot;/&gt;&lt;wsp:rsid wsp:val=&quot;00E76E06&quot;/&gt;&lt;wsp:rsid wsp:val=&quot;00E775A5&quot;/&gt;&lt;wsp:rsid wsp:val=&quot;00E77BBA&quot;/&gt;&lt;wsp:rsid wsp:val=&quot;00E77D22&quot;/&gt;&lt;wsp:rsid wsp:val=&quot;00E77F4D&quot;/&gt;&lt;wsp:rsid wsp:val=&quot;00E8009A&quot;/&gt;&lt;wsp:rsid wsp:val=&quot;00E8096C&quot;/&gt;&lt;wsp:rsid wsp:val=&quot;00E814AB&quot;/&gt;&lt;wsp:rsid wsp:val=&quot;00E81E23&quot;/&gt;&lt;wsp:rsid wsp:val=&quot;00E81EE8&quot;/&gt;&lt;wsp:rsid wsp:val=&quot;00E821AE&quot;/&gt;&lt;wsp:rsid wsp:val=&quot;00E82D72&quot;/&gt;&lt;wsp:rsid wsp:val=&quot;00E832EF&quot;/&gt;&lt;wsp:rsid wsp:val=&quot;00E8379A&quot;/&gt;&lt;wsp:rsid wsp:val=&quot;00E83D45&quot;/&gt;&lt;wsp:rsid wsp:val=&quot;00E842A7&quot;/&gt;&lt;wsp:rsid wsp:val=&quot;00E84ACA&quot;/&gt;&lt;wsp:rsid wsp:val=&quot;00E84CA0&quot;/&gt;&lt;wsp:rsid wsp:val=&quot;00E84CA5&quot;/&gt;&lt;wsp:rsid wsp:val=&quot;00E851D6&quot;/&gt;&lt;wsp:rsid wsp:val=&quot;00E85474&quot;/&gt;&lt;wsp:rsid wsp:val=&quot;00E857D7&quot;/&gt;&lt;wsp:rsid wsp:val=&quot;00E85B41&quot;/&gt;&lt;wsp:rsid wsp:val=&quot;00E85F55&quot;/&gt;&lt;wsp:rsid wsp:val=&quot;00E85FC7&quot;/&gt;&lt;wsp:rsid wsp:val=&quot;00E86086&quot;/&gt;&lt;wsp:rsid wsp:val=&quot;00E86E29&quot;/&gt;&lt;wsp:rsid wsp:val=&quot;00E8751B&quot;/&gt;&lt;wsp:rsid wsp:val=&quot;00E87611&quot;/&gt;&lt;wsp:rsid wsp:val=&quot;00E87F79&quot;/&gt;&lt;wsp:rsid wsp:val=&quot;00E904CE&quot;/&gt;&lt;wsp:rsid wsp:val=&quot;00E90538&quot;/&gt;&lt;wsp:rsid wsp:val=&quot;00E90753&quot;/&gt;&lt;wsp:rsid wsp:val=&quot;00E91093&quot;/&gt;&lt;wsp:rsid wsp:val=&quot;00E910EC&quot;/&gt;&lt;wsp:rsid wsp:val=&quot;00E91341&quot;/&gt;&lt;wsp:rsid wsp:val=&quot;00E91899&quot;/&gt;&lt;wsp:rsid wsp:val=&quot;00E9205E&quot;/&gt;&lt;wsp:rsid wsp:val=&quot;00E921A2&quot;/&gt;&lt;wsp:rsid wsp:val=&quot;00E924FF&quot;/&gt;&lt;wsp:rsid wsp:val=&quot;00E932F1&quot;/&gt;&lt;wsp:rsid wsp:val=&quot;00E939CA&quot;/&gt;&lt;wsp:rsid wsp:val=&quot;00E93C91&quot;/&gt;&lt;wsp:rsid wsp:val=&quot;00E93F4B&quot;/&gt;&lt;wsp:rsid wsp:val=&quot;00E941EC&quot;/&gt;&lt;wsp:rsid wsp:val=&quot;00E94910&quot;/&gt;&lt;wsp:rsid wsp:val=&quot;00E94B53&quot;/&gt;&lt;wsp:rsid wsp:val=&quot;00E94DCE&quot;/&gt;&lt;wsp:rsid wsp:val=&quot;00E94DFA&quot;/&gt;&lt;wsp:rsid wsp:val=&quot;00E94E86&quot;/&gt;&lt;wsp:rsid wsp:val=&quot;00E9518C&quot;/&gt;&lt;wsp:rsid wsp:val=&quot;00E951C0&quot;/&gt;&lt;wsp:rsid wsp:val=&quot;00E952A0&quot;/&gt;&lt;wsp:rsid wsp:val=&quot;00E95571&quot;/&gt;&lt;wsp:rsid wsp:val=&quot;00E955EA&quot;/&gt;&lt;wsp:rsid wsp:val=&quot;00E960BD&quot;/&gt;&lt;wsp:rsid wsp:val=&quot;00E964D1&quot;/&gt;&lt;wsp:rsid wsp:val=&quot;00E96552&quot;/&gt;&lt;wsp:rsid wsp:val=&quot;00E96B7A&quot;/&gt;&lt;wsp:rsid wsp:val=&quot;00E96F4E&quot;/&gt;&lt;wsp:rsid wsp:val=&quot;00E97B42&quot;/&gt;&lt;wsp:rsid wsp:val=&quot;00E97EB7&quot;/&gt;&lt;wsp:rsid wsp:val=&quot;00EA008A&quot;/&gt;&lt;wsp:rsid wsp:val=&quot;00EA0622&quot;/&gt;&lt;wsp:rsid wsp:val=&quot;00EA0A20&quot;/&gt;&lt;wsp:rsid wsp:val=&quot;00EA0A62&quot;/&gt;&lt;wsp:rsid wsp:val=&quot;00EA0A7C&quot;/&gt;&lt;wsp:rsid wsp:val=&quot;00EA0C0E&quot;/&gt;&lt;wsp:rsid wsp:val=&quot;00EA0FB2&quot;/&gt;&lt;wsp:rsid wsp:val=&quot;00EA11C8&quot;/&gt;&lt;wsp:rsid wsp:val=&quot;00EA1508&quot;/&gt;&lt;wsp:rsid wsp:val=&quot;00EA16F8&quot;/&gt;&lt;wsp:rsid wsp:val=&quot;00EA1920&quot;/&gt;&lt;wsp:rsid wsp:val=&quot;00EA1B80&quot;/&gt;&lt;wsp:rsid wsp:val=&quot;00EA1CCE&quot;/&gt;&lt;wsp:rsid wsp:val=&quot;00EA1D6D&quot;/&gt;&lt;wsp:rsid wsp:val=&quot;00EA1DB9&quot;/&gt;&lt;wsp:rsid wsp:val=&quot;00EA2EED&quot;/&gt;&lt;wsp:rsid wsp:val=&quot;00EA3084&quot;/&gt;&lt;wsp:rsid wsp:val=&quot;00EA3C9C&quot;/&gt;&lt;wsp:rsid wsp:val=&quot;00EA3EAD&quot;/&gt;&lt;wsp:rsid wsp:val=&quot;00EA3ECD&quot;/&gt;&lt;wsp:rsid wsp:val=&quot;00EA46CB&quot;/&gt;&lt;wsp:rsid wsp:val=&quot;00EA4758&quot;/&gt;&lt;wsp:rsid wsp:val=&quot;00EA47F2&quot;/&gt;&lt;wsp:rsid wsp:val=&quot;00EA4A67&quot;/&gt;&lt;wsp:rsid wsp:val=&quot;00EA4D1B&quot;/&gt;&lt;wsp:rsid wsp:val=&quot;00EA4F72&quot;/&gt;&lt;wsp:rsid wsp:val=&quot;00EA53C1&quot;/&gt;&lt;wsp:rsid wsp:val=&quot;00EA57CD&quot;/&gt;&lt;wsp:rsid wsp:val=&quot;00EA5AB4&quot;/&gt;&lt;wsp:rsid wsp:val=&quot;00EA5B0F&quot;/&gt;&lt;wsp:rsid wsp:val=&quot;00EA6801&quot;/&gt;&lt;wsp:rsid wsp:val=&quot;00EA682A&quot;/&gt;&lt;wsp:rsid wsp:val=&quot;00EA72CD&quot;/&gt;&lt;wsp:rsid wsp:val=&quot;00EA740E&quot;/&gt;&lt;wsp:rsid wsp:val=&quot;00EA7C1D&quot;/&gt;&lt;wsp:rsid wsp:val=&quot;00EA7E2B&quot;/&gt;&lt;wsp:rsid wsp:val=&quot;00EB0220&quot;/&gt;&lt;wsp:rsid wsp:val=&quot;00EB03FF&quot;/&gt;&lt;wsp:rsid wsp:val=&quot;00EB048D&quot;/&gt;&lt;wsp:rsid wsp:val=&quot;00EB051C&quot;/&gt;&lt;wsp:rsid wsp:val=&quot;00EB13F2&quot;/&gt;&lt;wsp:rsid wsp:val=&quot;00EB1444&quot;/&gt;&lt;wsp:rsid wsp:val=&quot;00EB1A6B&quot;/&gt;&lt;wsp:rsid wsp:val=&quot;00EB2F23&quot;/&gt;&lt;wsp:rsid wsp:val=&quot;00EB3208&quot;/&gt;&lt;wsp:rsid wsp:val=&quot;00EB3D15&quot;/&gt;&lt;wsp:rsid wsp:val=&quot;00EB3D97&quot;/&gt;&lt;wsp:rsid wsp:val=&quot;00EB42BA&quot;/&gt;&lt;wsp:rsid wsp:val=&quot;00EB434F&quot;/&gt;&lt;wsp:rsid wsp:val=&quot;00EB43DE&quot;/&gt;&lt;wsp:rsid wsp:val=&quot;00EB46C9&quot;/&gt;&lt;wsp:rsid wsp:val=&quot;00EB55FB&quot;/&gt;&lt;wsp:rsid wsp:val=&quot;00EB5B27&quot;/&gt;&lt;wsp:rsid wsp:val=&quot;00EB5CD1&quot;/&gt;&lt;wsp:rsid wsp:val=&quot;00EB5EE6&quot;/&gt;&lt;wsp:rsid wsp:val=&quot;00EB6FD3&quot;/&gt;&lt;wsp:rsid wsp:val=&quot;00EB7AC5&quot;/&gt;&lt;wsp:rsid wsp:val=&quot;00EC03A0&quot;/&gt;&lt;wsp:rsid wsp:val=&quot;00EC042C&quot;/&gt;&lt;wsp:rsid wsp:val=&quot;00EC05FB&quot;/&gt;&lt;wsp:rsid wsp:val=&quot;00EC09D2&quot;/&gt;&lt;wsp:rsid wsp:val=&quot;00EC0BB0&quot;/&gt;&lt;wsp:rsid wsp:val=&quot;00EC0D7E&quot;/&gt;&lt;wsp:rsid wsp:val=&quot;00EC0F4A&quot;/&gt;&lt;wsp:rsid wsp:val=&quot;00EC166D&quot;/&gt;&lt;wsp:rsid wsp:val=&quot;00EC1C8B&quot;/&gt;&lt;wsp:rsid wsp:val=&quot;00EC2080&quot;/&gt;&lt;wsp:rsid wsp:val=&quot;00EC209C&quot;/&gt;&lt;wsp:rsid wsp:val=&quot;00EC20D6&quot;/&gt;&lt;wsp:rsid wsp:val=&quot;00EC226E&quot;/&gt;&lt;wsp:rsid wsp:val=&quot;00EC2273&quot;/&gt;&lt;wsp:rsid wsp:val=&quot;00EC24D4&quot;/&gt;&lt;wsp:rsid wsp:val=&quot;00EC254D&quot;/&gt;&lt;wsp:rsid wsp:val=&quot;00EC25D1&quot;/&gt;&lt;wsp:rsid wsp:val=&quot;00EC26F3&quot;/&gt;&lt;wsp:rsid wsp:val=&quot;00EC28C1&quot;/&gt;&lt;wsp:rsid wsp:val=&quot;00EC2B08&quot;/&gt;&lt;wsp:rsid wsp:val=&quot;00EC2B9B&quot;/&gt;&lt;wsp:rsid wsp:val=&quot;00EC2D59&quot;/&gt;&lt;wsp:rsid wsp:val=&quot;00EC2FC8&quot;/&gt;&lt;wsp:rsid wsp:val=&quot;00EC2FF7&quot;/&gt;&lt;wsp:rsid wsp:val=&quot;00EC35E1&quot;/&gt;&lt;wsp:rsid wsp:val=&quot;00EC3CA8&quot;/&gt;&lt;wsp:rsid wsp:val=&quot;00EC3CC4&quot;/&gt;&lt;wsp:rsid wsp:val=&quot;00EC3EC4&quot;/&gt;&lt;wsp:rsid wsp:val=&quot;00EC41DD&quot;/&gt;&lt;wsp:rsid wsp:val=&quot;00EC4332&quot;/&gt;&lt;wsp:rsid wsp:val=&quot;00EC43A5&quot;/&gt;&lt;wsp:rsid wsp:val=&quot;00EC43C6&quot;/&gt;&lt;wsp:rsid wsp:val=&quot;00EC453F&quot;/&gt;&lt;wsp:rsid wsp:val=&quot;00EC4945&quot;/&gt;&lt;wsp:rsid wsp:val=&quot;00EC4BB0&quot;/&gt;&lt;wsp:rsid wsp:val=&quot;00EC4C52&quot;/&gt;&lt;wsp:rsid wsp:val=&quot;00EC4D27&quot;/&gt;&lt;wsp:rsid wsp:val=&quot;00EC4F43&quot;/&gt;&lt;wsp:rsid wsp:val=&quot;00EC5044&quot;/&gt;&lt;wsp:rsid wsp:val=&quot;00EC5293&quot;/&gt;&lt;wsp:rsid wsp:val=&quot;00EC52D4&quot;/&gt;&lt;wsp:rsid wsp:val=&quot;00EC53D6&quot;/&gt;&lt;wsp:rsid wsp:val=&quot;00EC5570&quot;/&gt;&lt;wsp:rsid wsp:val=&quot;00EC5578&quot;/&gt;&lt;wsp:rsid wsp:val=&quot;00EC56B2&quot;/&gt;&lt;wsp:rsid wsp:val=&quot;00EC61BB&quot;/&gt;&lt;wsp:rsid wsp:val=&quot;00EC63AA&quot;/&gt;&lt;wsp:rsid wsp:val=&quot;00EC6858&quot;/&gt;&lt;wsp:rsid wsp:val=&quot;00EC7E56&quot;/&gt;&lt;wsp:rsid wsp:val=&quot;00ED047E&quot;/&gt;&lt;wsp:rsid wsp:val=&quot;00ED0561&quot;/&gt;&lt;wsp:rsid wsp:val=&quot;00ED0BA1&quot;/&gt;&lt;wsp:rsid wsp:val=&quot;00ED0BD8&quot;/&gt;&lt;wsp:rsid wsp:val=&quot;00ED1468&quot;/&gt;&lt;wsp:rsid wsp:val=&quot;00ED166F&quot;/&gt;&lt;wsp:rsid wsp:val=&quot;00ED17B3&quot;/&gt;&lt;wsp:rsid wsp:val=&quot;00ED1C2A&quot;/&gt;&lt;wsp:rsid wsp:val=&quot;00ED21DA&quot;/&gt;&lt;wsp:rsid wsp:val=&quot;00ED2269&quot;/&gt;&lt;wsp:rsid wsp:val=&quot;00ED2590&quot;/&gt;&lt;wsp:rsid wsp:val=&quot;00ED2734&quot;/&gt;&lt;wsp:rsid wsp:val=&quot;00ED2921&quot;/&gt;&lt;wsp:rsid wsp:val=&quot;00ED3167&quot;/&gt;&lt;wsp:rsid wsp:val=&quot;00ED35D4&quot;/&gt;&lt;wsp:rsid wsp:val=&quot;00ED3625&quot;/&gt;&lt;wsp:rsid wsp:val=&quot;00ED3641&quot;/&gt;&lt;wsp:rsid wsp:val=&quot;00ED3669&quot;/&gt;&lt;wsp:rsid wsp:val=&quot;00ED3815&quot;/&gt;&lt;wsp:rsid wsp:val=&quot;00ED3855&quot;/&gt;&lt;wsp:rsid wsp:val=&quot;00ED3DD5&quot;/&gt;&lt;wsp:rsid wsp:val=&quot;00ED4170&quot;/&gt;&lt;wsp:rsid wsp:val=&quot;00ED4A85&quot;/&gt;&lt;wsp:rsid wsp:val=&quot;00ED4C0F&quot;/&gt;&lt;wsp:rsid wsp:val=&quot;00ED4DF4&quot;/&gt;&lt;wsp:rsid wsp:val=&quot;00ED51D0&quot;/&gt;&lt;wsp:rsid wsp:val=&quot;00ED52CD&quot;/&gt;&lt;wsp:rsid wsp:val=&quot;00ED6325&quot;/&gt;&lt;wsp:rsid wsp:val=&quot;00ED6DD9&quot;/&gt;&lt;wsp:rsid wsp:val=&quot;00ED6DFA&quot;/&gt;&lt;wsp:rsid wsp:val=&quot;00ED7202&quot;/&gt;&lt;wsp:rsid wsp:val=&quot;00ED7278&quot;/&gt;&lt;wsp:rsid wsp:val=&quot;00ED77C7&quot;/&gt;&lt;wsp:rsid wsp:val=&quot;00ED79A5&quot;/&gt;&lt;wsp:rsid wsp:val=&quot;00ED79B9&quot;/&gt;&lt;wsp:rsid wsp:val=&quot;00ED7CE8&quot;/&gt;&lt;wsp:rsid wsp:val=&quot;00EE0012&quot;/&gt;&lt;wsp:rsid wsp:val=&quot;00EE0289&quot;/&gt;&lt;wsp:rsid wsp:val=&quot;00EE0771&quot;/&gt;&lt;wsp:rsid wsp:val=&quot;00EE0B99&quot;/&gt;&lt;wsp:rsid wsp:val=&quot;00EE1305&quot;/&gt;&lt;wsp:rsid wsp:val=&quot;00EE1534&quot;/&gt;&lt;wsp:rsid wsp:val=&quot;00EE170F&quot;/&gt;&lt;wsp:rsid wsp:val=&quot;00EE22B5&quot;/&gt;&lt;wsp:rsid wsp:val=&quot;00EE2F95&quot;/&gt;&lt;wsp:rsid wsp:val=&quot;00EE42B5&quot;/&gt;&lt;wsp:rsid wsp:val=&quot;00EE4B84&quot;/&gt;&lt;wsp:rsid wsp:val=&quot;00EE5377&quot;/&gt;&lt;wsp:rsid wsp:val=&quot;00EE54C8&quot;/&gt;&lt;wsp:rsid wsp:val=&quot;00EE560E&quot;/&gt;&lt;wsp:rsid wsp:val=&quot;00EE57F7&quot;/&gt;&lt;wsp:rsid wsp:val=&quot;00EE5ADB&quot;/&gt;&lt;wsp:rsid wsp:val=&quot;00EE5B70&quot;/&gt;&lt;wsp:rsid wsp:val=&quot;00EE5CA9&quot;/&gt;&lt;wsp:rsid wsp:val=&quot;00EE5D08&quot;/&gt;&lt;wsp:rsid wsp:val=&quot;00EE5E7A&quot;/&gt;&lt;wsp:rsid wsp:val=&quot;00EE6247&quot;/&gt;&lt;wsp:rsid wsp:val=&quot;00EE66E8&quot;/&gt;&lt;wsp:rsid wsp:val=&quot;00EE6794&quot;/&gt;&lt;wsp:rsid wsp:val=&quot;00EE6F09&quot;/&gt;&lt;wsp:rsid wsp:val=&quot;00EE703F&quot;/&gt;&lt;wsp:rsid wsp:val=&quot;00EE769A&quot;/&gt;&lt;wsp:rsid wsp:val=&quot;00EE7A07&quot;/&gt;&lt;wsp:rsid wsp:val=&quot;00EE7A8A&quot;/&gt;&lt;wsp:rsid wsp:val=&quot;00EE7B58&quot;/&gt;&lt;wsp:rsid wsp:val=&quot;00EE7C58&quot;/&gt;&lt;wsp:rsid wsp:val=&quot;00EE7D33&quot;/&gt;&lt;wsp:rsid wsp:val=&quot;00EF009B&quot;/&gt;&lt;wsp:rsid wsp:val=&quot;00EF05CB&quot;/&gt;&lt;wsp:rsid wsp:val=&quot;00EF0A27&quot;/&gt;&lt;wsp:rsid wsp:val=&quot;00EF0C5F&quot;/&gt;&lt;wsp:rsid wsp:val=&quot;00EF12B0&quot;/&gt;&lt;wsp:rsid wsp:val=&quot;00EF1519&quot;/&gt;&lt;wsp:rsid wsp:val=&quot;00EF1B12&quot;/&gt;&lt;wsp:rsid wsp:val=&quot;00EF22E0&quot;/&gt;&lt;wsp:rsid wsp:val=&quot;00EF2300&quot;/&gt;&lt;wsp:rsid wsp:val=&quot;00EF234D&quot;/&gt;&lt;wsp:rsid wsp:val=&quot;00EF2557&quot;/&gt;&lt;wsp:rsid wsp:val=&quot;00EF2C3F&quot;/&gt;&lt;wsp:rsid wsp:val=&quot;00EF30CB&quot;/&gt;&lt;wsp:rsid wsp:val=&quot;00EF3151&quot;/&gt;&lt;wsp:rsid wsp:val=&quot;00EF3173&quot;/&gt;&lt;wsp:rsid wsp:val=&quot;00EF331D&quot;/&gt;&lt;wsp:rsid wsp:val=&quot;00EF3355&quot;/&gt;&lt;wsp:rsid wsp:val=&quot;00EF3521&quot;/&gt;&lt;wsp:rsid wsp:val=&quot;00EF3AD9&quot;/&gt;&lt;wsp:rsid wsp:val=&quot;00EF3CC0&quot;/&gt;&lt;wsp:rsid wsp:val=&quot;00EF3D69&quot;/&gt;&lt;wsp:rsid wsp:val=&quot;00EF3E7F&quot;/&gt;&lt;wsp:rsid wsp:val=&quot;00EF3EE3&quot;/&gt;&lt;wsp:rsid wsp:val=&quot;00EF40AE&quot;/&gt;&lt;wsp:rsid wsp:val=&quot;00EF4228&quot;/&gt;&lt;wsp:rsid wsp:val=&quot;00EF4415&quot;/&gt;&lt;wsp:rsid wsp:val=&quot;00EF4AD3&quot;/&gt;&lt;wsp:rsid wsp:val=&quot;00EF4C3A&quot;/&gt;&lt;wsp:rsid wsp:val=&quot;00EF5180&quot;/&gt;&lt;wsp:rsid wsp:val=&quot;00EF5299&quot;/&gt;&lt;wsp:rsid wsp:val=&quot;00EF541D&quot;/&gt;&lt;wsp:rsid wsp:val=&quot;00EF5422&quot;/&gt;&lt;wsp:rsid wsp:val=&quot;00EF55FC&quot;/&gt;&lt;wsp:rsid wsp:val=&quot;00EF5804&quot;/&gt;&lt;wsp:rsid wsp:val=&quot;00EF59F0&quot;/&gt;&lt;wsp:rsid wsp:val=&quot;00EF5ECB&quot;/&gt;&lt;wsp:rsid wsp:val=&quot;00EF60E3&quot;/&gt;&lt;wsp:rsid wsp:val=&quot;00EF65E7&quot;/&gt;&lt;wsp:rsid wsp:val=&quot;00EF673E&quot;/&gt;&lt;wsp:rsid wsp:val=&quot;00EF678C&quot;/&gt;&lt;wsp:rsid wsp:val=&quot;00EF6B9A&quot;/&gt;&lt;wsp:rsid wsp:val=&quot;00EF70AF&quot;/&gt;&lt;wsp:rsid wsp:val=&quot;00EF7734&quot;/&gt;&lt;wsp:rsid wsp:val=&quot;00EF7A85&quot;/&gt;&lt;wsp:rsid wsp:val=&quot;00EF7DA7&quot;/&gt;&lt;wsp:rsid wsp:val=&quot;00EF7F6D&quot;/&gt;&lt;wsp:rsid wsp:val=&quot;00F0035F&quot;/&gt;&lt;wsp:rsid wsp:val=&quot;00F004A9&quot;/&gt;&lt;wsp:rsid wsp:val=&quot;00F0088E&quot;/&gt;&lt;wsp:rsid wsp:val=&quot;00F00996&quot;/&gt;&lt;wsp:rsid wsp:val=&quot;00F00F21&quot;/&gt;&lt;wsp:rsid wsp:val=&quot;00F0144B&quot;/&gt;&lt;wsp:rsid wsp:val=&quot;00F01C83&quot;/&gt;&lt;wsp:rsid wsp:val=&quot;00F01DFC&quot;/&gt;&lt;wsp:rsid wsp:val=&quot;00F01FD5&quot;/&gt;&lt;wsp:rsid wsp:val=&quot;00F02358&quot;/&gt;&lt;wsp:rsid wsp:val=&quot;00F02432&quot;/&gt;&lt;wsp:rsid wsp:val=&quot;00F02483&quot;/&gt;&lt;wsp:rsid wsp:val=&quot;00F025F2&quot;/&gt;&lt;wsp:rsid wsp:val=&quot;00F026D8&quot;/&gt;&lt;wsp:rsid wsp:val=&quot;00F02774&quot;/&gt;&lt;wsp:rsid wsp:val=&quot;00F027A9&quot;/&gt;&lt;wsp:rsid wsp:val=&quot;00F0286E&quot;/&gt;&lt;wsp:rsid wsp:val=&quot;00F02B1B&quot;/&gt;&lt;wsp:rsid wsp:val=&quot;00F02DD4&quot;/&gt;&lt;wsp:rsid wsp:val=&quot;00F02DEE&quot;/&gt;&lt;wsp:rsid wsp:val=&quot;00F0359C&quot;/&gt;&lt;wsp:rsid wsp:val=&quot;00F03916&quot;/&gt;&lt;wsp:rsid wsp:val=&quot;00F03B59&quot;/&gt;&lt;wsp:rsid wsp:val=&quot;00F045D3&quot;/&gt;&lt;wsp:rsid wsp:val=&quot;00F049A0&quot;/&gt;&lt;wsp:rsid wsp:val=&quot;00F04A75&quot;/&gt;&lt;wsp:rsid wsp:val=&quot;00F04BDD&quot;/&gt;&lt;wsp:rsid wsp:val=&quot;00F04E08&quot;/&gt;&lt;wsp:rsid wsp:val=&quot;00F054BD&quot;/&gt;&lt;wsp:rsid wsp:val=&quot;00F057FE&quot;/&gt;&lt;wsp:rsid wsp:val=&quot;00F05D3A&quot;/&gt;&lt;wsp:rsid wsp:val=&quot;00F05E2B&quot;/&gt;&lt;wsp:rsid wsp:val=&quot;00F06E64&quot;/&gt;&lt;wsp:rsid wsp:val=&quot;00F0727B&quot;/&gt;&lt;wsp:rsid wsp:val=&quot;00F074A9&quot;/&gt;&lt;wsp:rsid wsp:val=&quot;00F0755B&quot;/&gt;&lt;wsp:rsid wsp:val=&quot;00F07834&quot;/&gt;&lt;wsp:rsid wsp:val=&quot;00F07C3E&quot;/&gt;&lt;wsp:rsid wsp:val=&quot;00F07F57&quot;/&gt;&lt;wsp:rsid wsp:val=&quot;00F10726&quot;/&gt;&lt;wsp:rsid wsp:val=&quot;00F109A9&quot;/&gt;&lt;wsp:rsid wsp:val=&quot;00F11004&quot;/&gt;&lt;wsp:rsid wsp:val=&quot;00F1123F&quot;/&gt;&lt;wsp:rsid wsp:val=&quot;00F11260&quot;/&gt;&lt;wsp:rsid wsp:val=&quot;00F1126B&quot;/&gt;&lt;wsp:rsid wsp:val=&quot;00F11280&quot;/&gt;&lt;wsp:rsid wsp:val=&quot;00F11782&quot;/&gt;&lt;wsp:rsid wsp:val=&quot;00F11AA8&quot;/&gt;&lt;wsp:rsid wsp:val=&quot;00F11F8D&quot;/&gt;&lt;wsp:rsid wsp:val=&quot;00F12000&quot;/&gt;&lt;wsp:rsid wsp:val=&quot;00F1226F&quot;/&gt;&lt;wsp:rsid wsp:val=&quot;00F1245B&quot;/&gt;&lt;wsp:rsid wsp:val=&quot;00F12540&quot;/&gt;&lt;wsp:rsid wsp:val=&quot;00F1290E&quot;/&gt;&lt;wsp:rsid wsp:val=&quot;00F12BF6&quot;/&gt;&lt;wsp:rsid wsp:val=&quot;00F12F98&quot;/&gt;&lt;wsp:rsid wsp:val=&quot;00F13075&quot;/&gt;&lt;wsp:rsid wsp:val=&quot;00F132A2&quot;/&gt;&lt;wsp:rsid wsp:val=&quot;00F134AF&quot;/&gt;&lt;wsp:rsid wsp:val=&quot;00F13608&quot;/&gt;&lt;wsp:rsid wsp:val=&quot;00F13713&quot;/&gt;&lt;wsp:rsid wsp:val=&quot;00F13AB4&quot;/&gt;&lt;wsp:rsid wsp:val=&quot;00F13C47&quot;/&gt;&lt;wsp:rsid wsp:val=&quot;00F13DB9&quot;/&gt;&lt;wsp:rsid wsp:val=&quot;00F1491B&quot;/&gt;&lt;wsp:rsid wsp:val=&quot;00F14BE6&quot;/&gt;&lt;wsp:rsid wsp:val=&quot;00F153D9&quot;/&gt;&lt;wsp:rsid wsp:val=&quot;00F1544B&quot;/&gt;&lt;wsp:rsid wsp:val=&quot;00F15C05&quot;/&gt;&lt;wsp:rsid wsp:val=&quot;00F15C95&quot;/&gt;&lt;wsp:rsid wsp:val=&quot;00F15D94&quot;/&gt;&lt;wsp:rsid wsp:val=&quot;00F162B0&quot;/&gt;&lt;wsp:rsid wsp:val=&quot;00F16509&quot;/&gt;&lt;wsp:rsid wsp:val=&quot;00F165E8&quot;/&gt;&lt;wsp:rsid wsp:val=&quot;00F16982&quot;/&gt;&lt;wsp:rsid wsp:val=&quot;00F16BBE&quot;/&gt;&lt;wsp:rsid wsp:val=&quot;00F16BE5&quot;/&gt;&lt;wsp:rsid wsp:val=&quot;00F16E3B&quot;/&gt;&lt;wsp:rsid wsp:val=&quot;00F16EBC&quot;/&gt;&lt;wsp:rsid wsp:val=&quot;00F171E9&quot;/&gt;&lt;wsp:rsid wsp:val=&quot;00F17511&quot;/&gt;&lt;wsp:rsid wsp:val=&quot;00F17CED&quot;/&gt;&lt;wsp:rsid wsp:val=&quot;00F20399&quot;/&gt;&lt;wsp:rsid wsp:val=&quot;00F20586&quot;/&gt;&lt;wsp:rsid wsp:val=&quot;00F2069C&quot;/&gt;&lt;wsp:rsid wsp:val=&quot;00F20991&quot;/&gt;&lt;wsp:rsid wsp:val=&quot;00F209DC&quot;/&gt;&lt;wsp:rsid wsp:val=&quot;00F20B5D&quot;/&gt;&lt;wsp:rsid wsp:val=&quot;00F2119F&quot;/&gt;&lt;wsp:rsid wsp:val=&quot;00F214C8&quot;/&gt;&lt;wsp:rsid wsp:val=&quot;00F217BB&quot;/&gt;&lt;wsp:rsid wsp:val=&quot;00F21BB3&quot;/&gt;&lt;wsp:rsid wsp:val=&quot;00F220BD&quot;/&gt;&lt;wsp:rsid wsp:val=&quot;00F22245&quot;/&gt;&lt;wsp:rsid wsp:val=&quot;00F22432&quot;/&gt;&lt;wsp:rsid wsp:val=&quot;00F22D42&quot;/&gt;&lt;wsp:rsid wsp:val=&quot;00F22D63&quot;/&gt;&lt;wsp:rsid wsp:val=&quot;00F23926&quot;/&gt;&lt;wsp:rsid wsp:val=&quot;00F23988&quot;/&gt;&lt;wsp:rsid wsp:val=&quot;00F239DB&quot;/&gt;&lt;wsp:rsid wsp:val=&quot;00F248B6&quot;/&gt;&lt;wsp:rsid wsp:val=&quot;00F25BA1&quot;/&gt;&lt;wsp:rsid wsp:val=&quot;00F25F4F&quot;/&gt;&lt;wsp:rsid wsp:val=&quot;00F25F66&quot;/&gt;&lt;wsp:rsid wsp:val=&quot;00F26186&quot;/&gt;&lt;wsp:rsid wsp:val=&quot;00F26946&quot;/&gt;&lt;wsp:rsid wsp:val=&quot;00F2697D&quot;/&gt;&lt;wsp:rsid wsp:val=&quot;00F26E0B&quot;/&gt;&lt;wsp:rsid wsp:val=&quot;00F26FC9&quot;/&gt;&lt;wsp:rsid wsp:val=&quot;00F270EB&quot;/&gt;&lt;wsp:rsid wsp:val=&quot;00F276A7&quot;/&gt;&lt;wsp:rsid wsp:val=&quot;00F27FFC&quot;/&gt;&lt;wsp:rsid wsp:val=&quot;00F306BB&quot;/&gt;&lt;wsp:rsid wsp:val=&quot;00F30864&quot;/&gt;&lt;wsp:rsid wsp:val=&quot;00F30DB2&quot;/&gt;&lt;wsp:rsid wsp:val=&quot;00F30E0A&quot;/&gt;&lt;wsp:rsid wsp:val=&quot;00F30E1F&quot;/&gt;&lt;wsp:rsid wsp:val=&quot;00F30E53&quot;/&gt;&lt;wsp:rsid wsp:val=&quot;00F30ECA&quot;/&gt;&lt;wsp:rsid wsp:val=&quot;00F30F2F&quot;/&gt;&lt;wsp:rsid wsp:val=&quot;00F3114F&quot;/&gt;&lt;wsp:rsid wsp:val=&quot;00F31374&quot;/&gt;&lt;wsp:rsid wsp:val=&quot;00F31531&quot;/&gt;&lt;wsp:rsid wsp:val=&quot;00F315FD&quot;/&gt;&lt;wsp:rsid wsp:val=&quot;00F32CC9&quot;/&gt;&lt;wsp:rsid wsp:val=&quot;00F32D06&quot;/&gt;&lt;wsp:rsid wsp:val=&quot;00F32F61&quot;/&gt;&lt;wsp:rsid wsp:val=&quot;00F3306C&quot;/&gt;&lt;wsp:rsid wsp:val=&quot;00F330A7&quot;/&gt;&lt;wsp:rsid wsp:val=&quot;00F332C8&quot;/&gt;&lt;wsp:rsid wsp:val=&quot;00F334E2&quot;/&gt;&lt;wsp:rsid wsp:val=&quot;00F33D91&quot;/&gt;&lt;wsp:rsid wsp:val=&quot;00F3452C&quot;/&gt;&lt;wsp:rsid wsp:val=&quot;00F34EFB&quot;/&gt;&lt;wsp:rsid wsp:val=&quot;00F34F7B&quot;/&gt;&lt;wsp:rsid wsp:val=&quot;00F3510B&quot;/&gt;&lt;wsp:rsid wsp:val=&quot;00F35798&quot;/&gt;&lt;wsp:rsid wsp:val=&quot;00F36084&quot;/&gt;&lt;wsp:rsid wsp:val=&quot;00F36644&quot;/&gt;&lt;wsp:rsid wsp:val=&quot;00F3720A&quot;/&gt;&lt;wsp:rsid wsp:val=&quot;00F3737B&quot;/&gt;&lt;wsp:rsid wsp:val=&quot;00F3746E&quot;/&gt;&lt;wsp:rsid wsp:val=&quot;00F378D0&quot;/&gt;&lt;wsp:rsid wsp:val=&quot;00F4014F&quot;/&gt;&lt;wsp:rsid wsp:val=&quot;00F40169&quot;/&gt;&lt;wsp:rsid wsp:val=&quot;00F40E08&quot;/&gt;&lt;wsp:rsid wsp:val=&quot;00F40E6C&quot;/&gt;&lt;wsp:rsid wsp:val=&quot;00F41130&quot;/&gt;&lt;wsp:rsid wsp:val=&quot;00F41547&quot;/&gt;&lt;wsp:rsid wsp:val=&quot;00F41755&quot;/&gt;&lt;wsp:rsid wsp:val=&quot;00F41C49&quot;/&gt;&lt;wsp:rsid wsp:val=&quot;00F42189&quot;/&gt;&lt;wsp:rsid wsp:val=&quot;00F4257D&quot;/&gt;&lt;wsp:rsid wsp:val=&quot;00F425C6&quot;/&gt;&lt;wsp:rsid wsp:val=&quot;00F42938&quot;/&gt;&lt;wsp:rsid wsp:val=&quot;00F429A0&quot;/&gt;&lt;wsp:rsid wsp:val=&quot;00F42A33&quot;/&gt;&lt;wsp:rsid wsp:val=&quot;00F42D66&quot;/&gt;&lt;wsp:rsid wsp:val=&quot;00F4309F&quot;/&gt;&lt;wsp:rsid wsp:val=&quot;00F43281&quot;/&gt;&lt;wsp:rsid wsp:val=&quot;00F4349A&quot;/&gt;&lt;wsp:rsid wsp:val=&quot;00F435B7&quot;/&gt;&lt;wsp:rsid wsp:val=&quot;00F43749&quot;/&gt;&lt;wsp:rsid wsp:val=&quot;00F43B29&quot;/&gt;&lt;wsp:rsid wsp:val=&quot;00F44116&quot;/&gt;&lt;wsp:rsid wsp:val=&quot;00F4420F&quot;/&gt;&lt;wsp:rsid wsp:val=&quot;00F44464&quot;/&gt;&lt;wsp:rsid wsp:val=&quot;00F45A2D&quot;/&gt;&lt;wsp:rsid wsp:val=&quot;00F45B5C&quot;/&gt;&lt;wsp:rsid wsp:val=&quot;00F45E2F&quot;/&gt;&lt;wsp:rsid wsp:val=&quot;00F4666B&quot;/&gt;&lt;wsp:rsid wsp:val=&quot;00F468B3&quot;/&gt;&lt;wsp:rsid wsp:val=&quot;00F46947&quot;/&gt;&lt;wsp:rsid wsp:val=&quot;00F46BBC&quot;/&gt;&lt;wsp:rsid wsp:val=&quot;00F47164&quot;/&gt;&lt;wsp:rsid wsp:val=&quot;00F47605&quot;/&gt;&lt;wsp:rsid wsp:val=&quot;00F4791C&quot;/&gt;&lt;wsp:rsid wsp:val=&quot;00F50B49&quot;/&gt;&lt;wsp:rsid wsp:val=&quot;00F50BFE&quot;/&gt;&lt;wsp:rsid wsp:val=&quot;00F50CB7&quot;/&gt;&lt;wsp:rsid wsp:val=&quot;00F50D52&quot;/&gt;&lt;wsp:rsid wsp:val=&quot;00F50E3D&quot;/&gt;&lt;wsp:rsid wsp:val=&quot;00F510DF&quot;/&gt;&lt;wsp:rsid wsp:val=&quot;00F5130C&quot;/&gt;&lt;wsp:rsid wsp:val=&quot;00F515BE&quot;/&gt;&lt;wsp:rsid wsp:val=&quot;00F51774&quot;/&gt;&lt;wsp:rsid wsp:val=&quot;00F51AE6&quot;/&gt;&lt;wsp:rsid wsp:val=&quot;00F51CB1&quot;/&gt;&lt;wsp:rsid wsp:val=&quot;00F51E79&quot;/&gt;&lt;wsp:rsid wsp:val=&quot;00F51FFA&quot;/&gt;&lt;wsp:rsid wsp:val=&quot;00F52361&quot;/&gt;&lt;wsp:rsid wsp:val=&quot;00F524A7&quot;/&gt;&lt;wsp:rsid wsp:val=&quot;00F533D1&quot;/&gt;&lt;wsp:rsid wsp:val=&quot;00F534D4&quot;/&gt;&lt;wsp:rsid wsp:val=&quot;00F53523&quot;/&gt;&lt;wsp:rsid wsp:val=&quot;00F535F4&quot;/&gt;&lt;wsp:rsid wsp:val=&quot;00F53D3A&quot;/&gt;&lt;wsp:rsid wsp:val=&quot;00F53DD9&quot;/&gt;&lt;wsp:rsid wsp:val=&quot;00F54446&quot;/&gt;&lt;wsp:rsid wsp:val=&quot;00F5463A&quot;/&gt;&lt;wsp:rsid wsp:val=&quot;00F549C9&quot;/&gt;&lt;wsp:rsid wsp:val=&quot;00F54D7E&quot;/&gt;&lt;wsp:rsid wsp:val=&quot;00F54EF2&quot;/&gt;&lt;wsp:rsid wsp:val=&quot;00F553A0&quot;/&gt;&lt;wsp:rsid wsp:val=&quot;00F553F3&quot;/&gt;&lt;wsp:rsid wsp:val=&quot;00F55717&quot;/&gt;&lt;wsp:rsid wsp:val=&quot;00F557A0&quot;/&gt;&lt;wsp:rsid wsp:val=&quot;00F55827&quot;/&gt;&lt;wsp:rsid wsp:val=&quot;00F559F1&quot;/&gt;&lt;wsp:rsid wsp:val=&quot;00F55C4B&quot;/&gt;&lt;wsp:rsid wsp:val=&quot;00F56030&quot;/&gt;&lt;wsp:rsid wsp:val=&quot;00F56198&quot;/&gt;&lt;wsp:rsid wsp:val=&quot;00F56346&quot;/&gt;&lt;wsp:rsid wsp:val=&quot;00F56A8D&quot;/&gt;&lt;wsp:rsid wsp:val=&quot;00F56D1D&quot;/&gt;&lt;wsp:rsid wsp:val=&quot;00F56D8D&quot;/&gt;&lt;wsp:rsid wsp:val=&quot;00F56F57&quot;/&gt;&lt;wsp:rsid wsp:val=&quot;00F57A19&quot;/&gt;&lt;wsp:rsid wsp:val=&quot;00F57AD3&quot;/&gt;&lt;wsp:rsid wsp:val=&quot;00F57DBF&quot;/&gt;&lt;wsp:rsid wsp:val=&quot;00F60254&quot;/&gt;&lt;wsp:rsid wsp:val=&quot;00F60780&quot;/&gt;&lt;wsp:rsid wsp:val=&quot;00F610E2&quot;/&gt;&lt;wsp:rsid wsp:val=&quot;00F611C7&quot;/&gt;&lt;wsp:rsid wsp:val=&quot;00F61226&quot;/&gt;&lt;wsp:rsid wsp:val=&quot;00F614D7&quot;/&gt;&lt;wsp:rsid wsp:val=&quot;00F61649&quot;/&gt;&lt;wsp:rsid wsp:val=&quot;00F6170F&quot;/&gt;&lt;wsp:rsid wsp:val=&quot;00F61B5A&quot;/&gt;&lt;wsp:rsid wsp:val=&quot;00F61EF1&quot;/&gt;&lt;wsp:rsid wsp:val=&quot;00F6263C&quot;/&gt;&lt;wsp:rsid wsp:val=&quot;00F62D8E&quot;/&gt;&lt;wsp:rsid wsp:val=&quot;00F6324B&quot;/&gt;&lt;wsp:rsid wsp:val=&quot;00F632CF&quot;/&gt;&lt;wsp:rsid wsp:val=&quot;00F633DF&quot;/&gt;&lt;wsp:rsid wsp:val=&quot;00F635EB&quot;/&gt;&lt;wsp:rsid wsp:val=&quot;00F636D8&quot;/&gt;&lt;wsp:rsid wsp:val=&quot;00F63B09&quot;/&gt;&lt;wsp:rsid wsp:val=&quot;00F63CD5&quot;/&gt;&lt;wsp:rsid wsp:val=&quot;00F63D5A&quot;/&gt;&lt;wsp:rsid wsp:val=&quot;00F63D6F&quot;/&gt;&lt;wsp:rsid wsp:val=&quot;00F63EE9&quot;/&gt;&lt;wsp:rsid wsp:val=&quot;00F64154&quot;/&gt;&lt;wsp:rsid wsp:val=&quot;00F64265&quot;/&gt;&lt;wsp:rsid wsp:val=&quot;00F64337&quot;/&gt;&lt;wsp:rsid wsp:val=&quot;00F64483&quot;/&gt;&lt;wsp:rsid wsp:val=&quot;00F6553F&quot;/&gt;&lt;wsp:rsid wsp:val=&quot;00F6560A&quot;/&gt;&lt;wsp:rsid wsp:val=&quot;00F65768&quot;/&gt;&lt;wsp:rsid wsp:val=&quot;00F65908&quot;/&gt;&lt;wsp:rsid wsp:val=&quot;00F65A7E&quot;/&gt;&lt;wsp:rsid wsp:val=&quot;00F66318&quot;/&gt;&lt;wsp:rsid wsp:val=&quot;00F66610&quot;/&gt;&lt;wsp:rsid wsp:val=&quot;00F66707&quot;/&gt;&lt;wsp:rsid wsp:val=&quot;00F66708&quot;/&gt;&lt;wsp:rsid wsp:val=&quot;00F66F00&quot;/&gt;&lt;wsp:rsid wsp:val=&quot;00F66FAB&quot;/&gt;&lt;wsp:rsid wsp:val=&quot;00F67415&quot;/&gt;&lt;wsp:rsid wsp:val=&quot;00F6753F&quot;/&gt;&lt;wsp:rsid wsp:val=&quot;00F67AC2&quot;/&gt;&lt;wsp:rsid wsp:val=&quot;00F67CB4&quot;/&gt;&lt;wsp:rsid wsp:val=&quot;00F67CEB&quot;/&gt;&lt;wsp:rsid wsp:val=&quot;00F67D22&quot;/&gt;&lt;wsp:rsid wsp:val=&quot;00F67FFB&quot;/&gt;&lt;wsp:rsid wsp:val=&quot;00F70430&quot;/&gt;&lt;wsp:rsid wsp:val=&quot;00F706B8&quot;/&gt;&lt;wsp:rsid wsp:val=&quot;00F7081B&quot;/&gt;&lt;wsp:rsid wsp:val=&quot;00F70F04&quot;/&gt;&lt;wsp:rsid wsp:val=&quot;00F710CE&quot;/&gt;&lt;wsp:rsid wsp:val=&quot;00F71249&quot;/&gt;&lt;wsp:rsid wsp:val=&quot;00F715F9&quot;/&gt;&lt;wsp:rsid wsp:val=&quot;00F71C31&quot;/&gt;&lt;wsp:rsid wsp:val=&quot;00F71D0F&quot;/&gt;&lt;wsp:rsid wsp:val=&quot;00F7207F&quot;/&gt;&lt;wsp:rsid wsp:val=&quot;00F72142&quot;/&gt;&lt;wsp:rsid wsp:val=&quot;00F72156&quot;/&gt;&lt;wsp:rsid wsp:val=&quot;00F72FB8&quot;/&gt;&lt;wsp:rsid wsp:val=&quot;00F73302&quot;/&gt;&lt;wsp:rsid wsp:val=&quot;00F7366E&quot;/&gt;&lt;wsp:rsid wsp:val=&quot;00F738C0&quot;/&gt;&lt;wsp:rsid wsp:val=&quot;00F74BDB&quot;/&gt;&lt;wsp:rsid wsp:val=&quot;00F74DA1&quot;/&gt;&lt;wsp:rsid wsp:val=&quot;00F74FBC&quot;/&gt;&lt;wsp:rsid wsp:val=&quot;00F75343&quot;/&gt;&lt;wsp:rsid wsp:val=&quot;00F75733&quot;/&gt;&lt;wsp:rsid wsp:val=&quot;00F75983&quot;/&gt;&lt;wsp:rsid wsp:val=&quot;00F75995&quot;/&gt;&lt;wsp:rsid wsp:val=&quot;00F75B2C&quot;/&gt;&lt;wsp:rsid wsp:val=&quot;00F75E73&quot;/&gt;&lt;wsp:rsid wsp:val=&quot;00F75F1C&quot;/&gt;&lt;wsp:rsid wsp:val=&quot;00F76507&quot;/&gt;&lt;wsp:rsid wsp:val=&quot;00F76DE0&quot;/&gt;&lt;wsp:rsid wsp:val=&quot;00F772CB&quot;/&gt;&lt;wsp:rsid wsp:val=&quot;00F77526&quot;/&gt;&lt;wsp:rsid wsp:val=&quot;00F77867&quot;/&gt;&lt;wsp:rsid wsp:val=&quot;00F77A01&quot;/&gt;&lt;wsp:rsid wsp:val=&quot;00F77D4D&quot;/&gt;&lt;wsp:rsid wsp:val=&quot;00F80059&quot;/&gt;&lt;wsp:rsid wsp:val=&quot;00F800B6&quot;/&gt;&lt;wsp:rsid wsp:val=&quot;00F8013D&quot;/&gt;&lt;wsp:rsid wsp:val=&quot;00F8064C&quot;/&gt;&lt;wsp:rsid wsp:val=&quot;00F8097E&quot;/&gt;&lt;wsp:rsid wsp:val=&quot;00F80FD7&quot;/&gt;&lt;wsp:rsid wsp:val=&quot;00F815EB&quot;/&gt;&lt;wsp:rsid wsp:val=&quot;00F81FFE&quot;/&gt;&lt;wsp:rsid wsp:val=&quot;00F8227B&quot;/&gt;&lt;wsp:rsid wsp:val=&quot;00F82E2E&quot;/&gt;&lt;wsp:rsid wsp:val=&quot;00F830B3&quot;/&gt;&lt;wsp:rsid wsp:val=&quot;00F831CE&quot;/&gt;&lt;wsp:rsid wsp:val=&quot;00F83617&quot;/&gt;&lt;wsp:rsid wsp:val=&quot;00F83C98&quot;/&gt;&lt;wsp:rsid wsp:val=&quot;00F84063&quot;/&gt;&lt;wsp:rsid wsp:val=&quot;00F84147&quot;/&gt;&lt;wsp:rsid wsp:val=&quot;00F843A5&quot;/&gt;&lt;wsp:rsid wsp:val=&quot;00F84777&quot;/&gt;&lt;wsp:rsid wsp:val=&quot;00F84B77&quot;/&gt;&lt;wsp:rsid wsp:val=&quot;00F8559F&quot;/&gt;&lt;wsp:rsid wsp:val=&quot;00F85738&quot;/&gt;&lt;wsp:rsid wsp:val=&quot;00F859C5&quot;/&gt;&lt;wsp:rsid wsp:val=&quot;00F85D84&quot;/&gt;&lt;wsp:rsid wsp:val=&quot;00F85E7A&quot;/&gt;&lt;wsp:rsid wsp:val=&quot;00F8609A&quot;/&gt;&lt;wsp:rsid wsp:val=&quot;00F86338&quot;/&gt;&lt;wsp:rsid wsp:val=&quot;00F8693C&quot;/&gt;&lt;wsp:rsid wsp:val=&quot;00F86FFC&quot;/&gt;&lt;wsp:rsid wsp:val=&quot;00F871F6&quot;/&gt;&lt;wsp:rsid wsp:val=&quot;00F87838&quot;/&gt;&lt;wsp:rsid wsp:val=&quot;00F87867&quot;/&gt;&lt;wsp:rsid wsp:val=&quot;00F8786C&quot;/&gt;&lt;wsp:rsid wsp:val=&quot;00F900C4&quot;/&gt;&lt;wsp:rsid wsp:val=&quot;00F90109&quot;/&gt;&lt;wsp:rsid wsp:val=&quot;00F90192&quot;/&gt;&lt;wsp:rsid wsp:val=&quot;00F90A4C&quot;/&gt;&lt;wsp:rsid wsp:val=&quot;00F90A62&quot;/&gt;&lt;wsp:rsid wsp:val=&quot;00F90DE3&quot;/&gt;&lt;wsp:rsid wsp:val=&quot;00F91036&quot;/&gt;&lt;wsp:rsid wsp:val=&quot;00F915B0&quot;/&gt;&lt;wsp:rsid wsp:val=&quot;00F91F1B&quot;/&gt;&lt;wsp:rsid wsp:val=&quot;00F92253&quot;/&gt;&lt;wsp:rsid wsp:val=&quot;00F92447&quot;/&gt;&lt;wsp:rsid wsp:val=&quot;00F92CC4&quot;/&gt;&lt;wsp:rsid wsp:val=&quot;00F92DAA&quot;/&gt;&lt;wsp:rsid wsp:val=&quot;00F92EE6&quot;/&gt;&lt;wsp:rsid wsp:val=&quot;00F92FDD&quot;/&gt;&lt;wsp:rsid wsp:val=&quot;00F930C4&quot;/&gt;&lt;wsp:rsid wsp:val=&quot;00F932FB&quot;/&gt;&lt;wsp:rsid wsp:val=&quot;00F934B8&quot;/&gt;&lt;wsp:rsid wsp:val=&quot;00F9371D&quot;/&gt;&lt;wsp:rsid wsp:val=&quot;00F938A4&quot;/&gt;&lt;wsp:rsid wsp:val=&quot;00F93A2B&quot;/&gt;&lt;wsp:rsid wsp:val=&quot;00F93A8D&quot;/&gt;&lt;wsp:rsid wsp:val=&quot;00F93B83&quot;/&gt;&lt;wsp:rsid wsp:val=&quot;00F93D94&quot;/&gt;&lt;wsp:rsid wsp:val=&quot;00F93E13&quot;/&gt;&lt;wsp:rsid wsp:val=&quot;00F94910&quot;/&gt;&lt;wsp:rsid wsp:val=&quot;00F94927&quot;/&gt;&lt;wsp:rsid wsp:val=&quot;00F94B0C&quot;/&gt;&lt;wsp:rsid wsp:val=&quot;00F94C0B&quot;/&gt;&lt;wsp:rsid wsp:val=&quot;00F95AEB&quot;/&gt;&lt;wsp:rsid wsp:val=&quot;00F95EAF&quot;/&gt;&lt;wsp:rsid wsp:val=&quot;00F95EE3&quot;/&gt;&lt;wsp:rsid wsp:val=&quot;00F96327&quot;/&gt;&lt;wsp:rsid wsp:val=&quot;00F96387&quot;/&gt;&lt;wsp:rsid wsp:val=&quot;00F96ABC&quot;/&gt;&lt;wsp:rsid wsp:val=&quot;00F96C7A&quot;/&gt;&lt;wsp:rsid wsp:val=&quot;00F97541&quot;/&gt;&lt;wsp:rsid wsp:val=&quot;00F9773A&quot;/&gt;&lt;wsp:rsid wsp:val=&quot;00F97F36&quot;/&gt;&lt;wsp:rsid wsp:val=&quot;00FA00A0&quot;/&gt;&lt;wsp:rsid wsp:val=&quot;00FA01C0&quot;/&gt;&lt;wsp:rsid wsp:val=&quot;00FA033C&quot;/&gt;&lt;wsp:rsid wsp:val=&quot;00FA04BE&quot;/&gt;&lt;wsp:rsid wsp:val=&quot;00FA05F4&quot;/&gt;&lt;wsp:rsid wsp:val=&quot;00FA0C1B&quot;/&gt;&lt;wsp:rsid wsp:val=&quot;00FA1B8C&quot;/&gt;&lt;wsp:rsid wsp:val=&quot;00FA1BC3&quot;/&gt;&lt;wsp:rsid wsp:val=&quot;00FA1DE7&quot;/&gt;&lt;wsp:rsid wsp:val=&quot;00FA2244&quot;/&gt;&lt;wsp:rsid wsp:val=&quot;00FA2540&quot;/&gt;&lt;wsp:rsid wsp:val=&quot;00FA26BE&quot;/&gt;&lt;wsp:rsid wsp:val=&quot;00FA2818&quot;/&gt;&lt;wsp:rsid wsp:val=&quot;00FA2A08&quot;/&gt;&lt;wsp:rsid wsp:val=&quot;00FA2A8E&quot;/&gt;&lt;wsp:rsid wsp:val=&quot;00FA30F6&quot;/&gt;&lt;wsp:rsid wsp:val=&quot;00FA32BD&quot;/&gt;&lt;wsp:rsid wsp:val=&quot;00FA34AC&quot;/&gt;&lt;wsp:rsid wsp:val=&quot;00FA3BCD&quot;/&gt;&lt;wsp:rsid wsp:val=&quot;00FA3F2B&quot;/&gt;&lt;wsp:rsid wsp:val=&quot;00FA41C1&quot;/&gt;&lt;wsp:rsid wsp:val=&quot;00FA4765&quot;/&gt;&lt;wsp:rsid wsp:val=&quot;00FA49C8&quot;/&gt;&lt;wsp:rsid wsp:val=&quot;00FA4FBA&quot;/&gt;&lt;wsp:rsid wsp:val=&quot;00FA504F&quot;/&gt;&lt;wsp:rsid wsp:val=&quot;00FA5CE8&quot;/&gt;&lt;wsp:rsid wsp:val=&quot;00FA60DF&quot;/&gt;&lt;wsp:rsid wsp:val=&quot;00FA67C6&quot;/&gt;&lt;wsp:rsid wsp:val=&quot;00FA6C93&quot;/&gt;&lt;wsp:rsid wsp:val=&quot;00FA764F&quot;/&gt;&lt;wsp:rsid wsp:val=&quot;00FA7B49&quot;/&gt;&lt;wsp:rsid wsp:val=&quot;00FA7FD0&quot;/&gt;&lt;wsp:rsid wsp:val=&quot;00FB00AE&quot;/&gt;&lt;wsp:rsid wsp:val=&quot;00FB045A&quot;/&gt;&lt;wsp:rsid wsp:val=&quot;00FB05A8&quot;/&gt;&lt;wsp:rsid wsp:val=&quot;00FB06EE&quot;/&gt;&lt;wsp:rsid wsp:val=&quot;00FB0D00&quot;/&gt;&lt;wsp:rsid wsp:val=&quot;00FB0F95&quot;/&gt;&lt;wsp:rsid wsp:val=&quot;00FB12DD&quot;/&gt;&lt;wsp:rsid wsp:val=&quot;00FB1C96&quot;/&gt;&lt;wsp:rsid wsp:val=&quot;00FB2222&quot;/&gt;&lt;wsp:rsid wsp:val=&quot;00FB230F&quot;/&gt;&lt;wsp:rsid wsp:val=&quot;00FB26CE&quot;/&gt;&lt;wsp:rsid wsp:val=&quot;00FB2C27&quot;/&gt;&lt;wsp:rsid wsp:val=&quot;00FB3464&quot;/&gt;&lt;wsp:rsid wsp:val=&quot;00FB36A0&quot;/&gt;&lt;wsp:rsid wsp:val=&quot;00FB378F&quot;/&gt;&lt;wsp:rsid wsp:val=&quot;00FB3CA8&quot;/&gt;&lt;wsp:rsid wsp:val=&quot;00FB3D65&quot;/&gt;&lt;wsp:rsid wsp:val=&quot;00FB4896&quot;/&gt;&lt;wsp:rsid wsp:val=&quot;00FB49C9&quot;/&gt;&lt;wsp:rsid wsp:val=&quot;00FB5479&quot;/&gt;&lt;wsp:rsid wsp:val=&quot;00FB5BE0&quot;/&gt;&lt;wsp:rsid wsp:val=&quot;00FB66DF&quot;/&gt;&lt;wsp:rsid wsp:val=&quot;00FB67FB&quot;/&gt;&lt;wsp:rsid wsp:val=&quot;00FB68B4&quot;/&gt;&lt;wsp:rsid wsp:val=&quot;00FB6D37&quot;/&gt;&lt;wsp:rsid wsp:val=&quot;00FB6FE3&quot;/&gt;&lt;wsp:rsid wsp:val=&quot;00FB7158&quot;/&gt;&lt;wsp:rsid wsp:val=&quot;00FB726C&quot;/&gt;&lt;wsp:rsid wsp:val=&quot;00FB75F6&quot;/&gt;&lt;wsp:rsid wsp:val=&quot;00FC0929&quot;/&gt;&lt;wsp:rsid wsp:val=&quot;00FC0B69&quot;/&gt;&lt;wsp:rsid wsp:val=&quot;00FC0DD7&quot;/&gt;&lt;wsp:rsid wsp:val=&quot;00FC15A1&quot;/&gt;&lt;wsp:rsid wsp:val=&quot;00FC15B6&quot;/&gt;&lt;wsp:rsid wsp:val=&quot;00FC1E7C&quot;/&gt;&lt;wsp:rsid wsp:val=&quot;00FC211A&quot;/&gt;&lt;wsp:rsid wsp:val=&quot;00FC24EE&quot;/&gt;&lt;wsp:rsid wsp:val=&quot;00FC2522&quot;/&gt;&lt;wsp:rsid wsp:val=&quot;00FC2C55&quot;/&gt;&lt;wsp:rsid wsp:val=&quot;00FC312E&quot;/&gt;&lt;wsp:rsid wsp:val=&quot;00FC346A&quot;/&gt;&lt;wsp:rsid wsp:val=&quot;00FC3BE2&quot;/&gt;&lt;wsp:rsid wsp:val=&quot;00FC3F56&quot;/&gt;&lt;wsp:rsid wsp:val=&quot;00FC42D9&quot;/&gt;&lt;wsp:rsid wsp:val=&quot;00FC49F9&quot;/&gt;&lt;wsp:rsid wsp:val=&quot;00FC4F0F&quot;/&gt;&lt;wsp:rsid wsp:val=&quot;00FC4F67&quot;/&gt;&lt;wsp:rsid wsp:val=&quot;00FC509E&quot;/&gt;&lt;wsp:rsid wsp:val=&quot;00FC525E&quot;/&gt;&lt;wsp:rsid wsp:val=&quot;00FC55B4&quot;/&gt;&lt;wsp:rsid wsp:val=&quot;00FC5ADA&quot;/&gt;&lt;wsp:rsid wsp:val=&quot;00FC60AF&quot;/&gt;&lt;wsp:rsid wsp:val=&quot;00FC6224&quot;/&gt;&lt;wsp:rsid wsp:val=&quot;00FC6496&quot;/&gt;&lt;wsp:rsid wsp:val=&quot;00FC6906&quot;/&gt;&lt;wsp:rsid wsp:val=&quot;00FC69CA&quot;/&gt;&lt;wsp:rsid wsp:val=&quot;00FC6B75&quot;/&gt;&lt;wsp:rsid wsp:val=&quot;00FC7632&quot;/&gt;&lt;wsp:rsid wsp:val=&quot;00FC7807&quot;/&gt;&lt;wsp:rsid wsp:val=&quot;00FC7B72&quot;/&gt;&lt;wsp:rsid wsp:val=&quot;00FC7D2A&quot;/&gt;&lt;wsp:rsid wsp:val=&quot;00FC7F6A&quot;/&gt;&lt;wsp:rsid wsp:val=&quot;00FD01AC&quot;/&gt;&lt;wsp:rsid wsp:val=&quot;00FD01BA&quot;/&gt;&lt;wsp:rsid wsp:val=&quot;00FD06A4&quot;/&gt;&lt;wsp:rsid wsp:val=&quot;00FD0897&quot;/&gt;&lt;wsp:rsid wsp:val=&quot;00FD0912&quot;/&gt;&lt;wsp:rsid wsp:val=&quot;00FD10F6&quot;/&gt;&lt;wsp:rsid wsp:val=&quot;00FD12B2&quot;/&gt;&lt;wsp:rsid wsp:val=&quot;00FD12B3&quot;/&gt;&lt;wsp:rsid wsp:val=&quot;00FD1AE0&quot;/&gt;&lt;wsp:rsid wsp:val=&quot;00FD2D3C&quot;/&gt;&lt;wsp:rsid wsp:val=&quot;00FD375E&quot;/&gt;&lt;wsp:rsid wsp:val=&quot;00FD399B&quot;/&gt;&lt;wsp:rsid wsp:val=&quot;00FD3F7E&quot;/&gt;&lt;wsp:rsid wsp:val=&quot;00FD41C0&quot;/&gt;&lt;wsp:rsid wsp:val=&quot;00FD4CF6&quot;/&gt;&lt;wsp:rsid wsp:val=&quot;00FD5455&quot;/&gt;&lt;wsp:rsid wsp:val=&quot;00FD5531&quot;/&gt;&lt;wsp:rsid wsp:val=&quot;00FD584E&quot;/&gt;&lt;wsp:rsid wsp:val=&quot;00FD5AE7&quot;/&gt;&lt;wsp:rsid wsp:val=&quot;00FD5F9D&quot;/&gt;&lt;wsp:rsid wsp:val=&quot;00FD618D&quot;/&gt;&lt;wsp:rsid wsp:val=&quot;00FD66C9&quot;/&gt;&lt;wsp:rsid wsp:val=&quot;00FD6D27&quot;/&gt;&lt;wsp:rsid wsp:val=&quot;00FD6F86&quot;/&gt;&lt;wsp:rsid wsp:val=&quot;00FD75D7&quot;/&gt;&lt;wsp:rsid wsp:val=&quot;00FD762F&quot;/&gt;&lt;wsp:rsid wsp:val=&quot;00FD76A1&quot;/&gt;&lt;wsp:rsid wsp:val=&quot;00FD7D93&quot;/&gt;&lt;wsp:rsid wsp:val=&quot;00FD7DE1&quot;/&gt;&lt;wsp:rsid wsp:val=&quot;00FE029E&quot;/&gt;&lt;wsp:rsid wsp:val=&quot;00FE036B&quot;/&gt;&lt;wsp:rsid wsp:val=&quot;00FE0473&quot;/&gt;&lt;wsp:rsid wsp:val=&quot;00FE051B&quot;/&gt;&lt;wsp:rsid wsp:val=&quot;00FE05F2&quot;/&gt;&lt;wsp:rsid wsp:val=&quot;00FE0609&quot;/&gt;&lt;wsp:rsid wsp:val=&quot;00FE08A0&quot;/&gt;&lt;wsp:rsid wsp:val=&quot;00FE0BA6&quot;/&gt;&lt;wsp:rsid wsp:val=&quot;00FE0C80&quot;/&gt;&lt;wsp:rsid wsp:val=&quot;00FE0EEB&quot;/&gt;&lt;wsp:rsid wsp:val=&quot;00FE1247&quot;/&gt;&lt;wsp:rsid wsp:val=&quot;00FE13FE&quot;/&gt;&lt;wsp:rsid wsp:val=&quot;00FE1543&quot;/&gt;&lt;wsp:rsid wsp:val=&quot;00FE174B&quot;/&gt;&lt;wsp:rsid wsp:val=&quot;00FE1BF0&quot;/&gt;&lt;wsp:rsid wsp:val=&quot;00FE1C12&quot;/&gt;&lt;wsp:rsid wsp:val=&quot;00FE23D2&quot;/&gt;&lt;wsp:rsid wsp:val=&quot;00FE2C75&quot;/&gt;&lt;wsp:rsid wsp:val=&quot;00FE2EA9&quot;/&gt;&lt;wsp:rsid wsp:val=&quot;00FE2F88&quot;/&gt;&lt;wsp:rsid wsp:val=&quot;00FE3205&quot;/&gt;&lt;wsp:rsid wsp:val=&quot;00FE3508&quot;/&gt;&lt;wsp:rsid wsp:val=&quot;00FE4194&quot;/&gt;&lt;wsp:rsid wsp:val=&quot;00FE4C69&quot;/&gt;&lt;wsp:rsid wsp:val=&quot;00FE50F5&quot;/&gt;&lt;wsp:rsid wsp:val=&quot;00FE5A67&quot;/&gt;&lt;wsp:rsid wsp:val=&quot;00FE5B4E&quot;/&gt;&lt;wsp:rsid wsp:val=&quot;00FE5BB6&quot;/&gt;&lt;wsp:rsid wsp:val=&quot;00FE5FE2&quot;/&gt;&lt;wsp:rsid wsp:val=&quot;00FE68AF&quot;/&gt;&lt;wsp:rsid wsp:val=&quot;00FE69FF&quot;/&gt;&lt;wsp:rsid wsp:val=&quot;00FE6B81&quot;/&gt;&lt;wsp:rsid wsp:val=&quot;00FE6F08&quot;/&gt;&lt;wsp:rsid wsp:val=&quot;00FE73DA&quot;/&gt;&lt;wsp:rsid wsp:val=&quot;00FE7461&quot;/&gt;&lt;wsp:rsid wsp:val=&quot;00FE7AE3&quot;/&gt;&lt;wsp:rsid wsp:val=&quot;00FE7B60&quot;/&gt;&lt;wsp:rsid wsp:val=&quot;00FE7DA7&quot;/&gt;&lt;wsp:rsid wsp:val=&quot;00FF008D&quot;/&gt;&lt;wsp:rsid wsp:val=&quot;00FF035A&quot;/&gt;&lt;wsp:rsid wsp:val=&quot;00FF0673&quot;/&gt;&lt;wsp:rsid wsp:val=&quot;00FF0D10&quot;/&gt;&lt;wsp:rsid wsp:val=&quot;00FF0F50&quot;/&gt;&lt;wsp:rsid wsp:val=&quot;00FF1047&quot;/&gt;&lt;wsp:rsid wsp:val=&quot;00FF14A9&quot;/&gt;&lt;wsp:rsid wsp:val=&quot;00FF1544&quot;/&gt;&lt;wsp:rsid wsp:val=&quot;00FF17EF&quot;/&gt;&lt;wsp:rsid wsp:val=&quot;00FF1913&quot;/&gt;&lt;wsp:rsid wsp:val=&quot;00FF1B3F&quot;/&gt;&lt;wsp:rsid wsp:val=&quot;00FF2053&quot;/&gt;&lt;wsp:rsid wsp:val=&quot;00FF21AF&quot;/&gt;&lt;wsp:rsid wsp:val=&quot;00FF23D4&quot;/&gt;&lt;wsp:rsid wsp:val=&quot;00FF2490&quot;/&gt;&lt;wsp:rsid wsp:val=&quot;00FF24C2&quot;/&gt;&lt;wsp:rsid wsp:val=&quot;00FF2651&quot;/&gt;&lt;wsp:rsid wsp:val=&quot;00FF2697&quot;/&gt;&lt;wsp:rsid wsp:val=&quot;00FF26E2&quot;/&gt;&lt;wsp:rsid wsp:val=&quot;00FF2FA3&quot;/&gt;&lt;wsp:rsid wsp:val=&quot;00FF3527&quot;/&gt;&lt;wsp:rsid wsp:val=&quot;00FF3F2D&quot;/&gt;&lt;wsp:rsid wsp:val=&quot;00FF3FDC&quot;/&gt;&lt;wsp:rsid wsp:val=&quot;00FF418C&quot;/&gt;&lt;wsp:rsid wsp:val=&quot;00FF458A&quot;/&gt;&lt;wsp:rsid wsp:val=&quot;00FF4B3E&quot;/&gt;&lt;wsp:rsid wsp:val=&quot;00FF4BC9&quot;/&gt;&lt;wsp:rsid wsp:val=&quot;00FF4BCD&quot;/&gt;&lt;wsp:rsid wsp:val=&quot;00FF4CE9&quot;/&gt;&lt;wsp:rsid wsp:val=&quot;00FF4F95&quot;/&gt;&lt;wsp:rsid wsp:val=&quot;00FF5096&quot;/&gt;&lt;wsp:rsid wsp:val=&quot;00FF529E&quot;/&gt;&lt;wsp:rsid wsp:val=&quot;00FF549F&quot;/&gt;&lt;wsp:rsid wsp:val=&quot;00FF54B7&quot;/&gt;&lt;wsp:rsid wsp:val=&quot;00FF5666&quot;/&gt;&lt;wsp:rsid wsp:val=&quot;00FF56A5&quot;/&gt;&lt;wsp:rsid wsp:val=&quot;00FF5BF6&quot;/&gt;&lt;wsp:rsid wsp:val=&quot;00FF5C6D&quot;/&gt;&lt;wsp:rsid wsp:val=&quot;00FF5C6E&quot;/&gt;&lt;wsp:rsid wsp:val=&quot;00FF633F&quot;/&gt;&lt;wsp:rsid wsp:val=&quot;00FF66CC&quot;/&gt;&lt;wsp:rsid wsp:val=&quot;00FF67D3&quot;/&gt;&lt;wsp:rsid wsp:val=&quot;00FF6B0E&quot;/&gt;&lt;wsp:rsid wsp:val=&quot;00FF6B43&quot;/&gt;&lt;wsp:rsid wsp:val=&quot;00FF6F3F&quot;/&gt;&lt;wsp:rsid wsp:val=&quot;00FF7328&quot;/&gt;&lt;wsp:rsid wsp:val=&quot;00FF7600&quot;/&gt;&lt;wsp:rsid wsp:val=&quot;00FF77A7&quot;/&gt;&lt;wsp:rsid wsp:val=&quot;00FF7B0F&quot;/&gt;&lt;wsp:rsid wsp:val=&quot;00FF7D42&quot;/&gt;&lt;wsp:rsid wsp:val=&quot;00FF7F25&quot;/&gt;&lt;/wsp:rsids&gt;&lt;/w:docPr&gt;&lt;w:body&gt;&lt;w:p wsp:rsidR=&quot;00000000&quot; wsp:rsidRDefault=&quot;001747E3&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S&lt;/m:t&gt;&lt;/m:r&gt;&lt;/m:e&gt;&lt;m:sub&gt;&lt;m:r&gt;&lt;w:rPr&gt;&lt;w:rFonts w:ascii=&quot;Cambria Math&quot; w:fareast=&quot;Times New Roman&quot; w:h-ansi=&quot;Cambria Math&quot;/&gt;&lt;wx:font wx:val=&quot;Cambria Math&quot;/&gt;&lt;w:i/&gt;&lt;w:sz w:val=&quot;28&quot;/&gt;&lt;w:sz-cs w:val=&quot;28&quot;/&gt;&lt;/w:rPr&gt;&lt;m:t&gt;РІ&lt;/m:t&gt;&lt;/m:r&gt;&lt;/m:sub&gt;&lt;/m:sSub&gt;&lt;m:r&gt;&lt;w:rPr&gt;&lt;w:rFonts w:ascii=&quot;Cambria Math&quot; w:fareast=&quot;Times New Roman&quot; w:h-ansi=&quot;Cambria Math&quot;/&gt;&lt;wx:font wx:val=&quot;Cambria Math&quot;/&gt;&lt;w:i/&gt;&lt;w:sz w:val=&quot;28&quot;/&gt;&lt;w:sz-cs w:val=&quot;28&quot;/&gt;&lt;/w:rPr&gt;&lt;m:t&gt;=8,72Г—&lt;/m:t&gt;&lt;/m:r&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10&lt;/m:t&gt;&lt;/m:r&gt;&lt;/m:e&gt;&lt;m:sup&gt;&lt;m:r&gt;&lt;w:rPr&gt;&lt;w:rFonts w:ascii=&quot;Cambria Math&quot; w:fareast=&quot;Times New Roman&quot; w:h-ansi=&quot;Cambria Math&quot;/&gt;&lt;wx:font wx:val=&quot;Cambria Math&quot;/&gt;&lt;w:i/&gt;&lt;w:sz w:val=&quot;28&quot;/&gt;&lt;w:sz-cs w:val=&quot;28&quot;/&gt;&lt;/w:rPr&gt;&lt;m:t&gt;-3&lt;/m:t&gt;&lt;/m:r&gt;&lt;/m:sup&gt;&lt;/m:sSup&gt;&lt;m:r&gt;&lt;w:rPr&gt;&lt;w:rFonts w:ascii=&quot;Cambria Math&quot; w:fareast=&quot;Times New Roman&quot; w:h-ansi=&quot;Cambria Math&quot;/&gt;&lt;wx:font wx:val=&quot;Cambria Math&quot;/&gt;&lt;w:i/&gt;&lt;w:sz w:val=&quot;28&quot;/&gt;&lt;w:sz-cs w:val=&quot;28&quot;/&gt;&lt;/w:rPr&gt;&lt;m:t&gt;Г—&lt;/m:t&gt;&lt;/m:r&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Р“&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rPr&gt;&lt;m:t&gt;Г—П†&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9" o:title="" chromakey="white"/>
          </v:shape>
        </w:pict>
      </w:r>
    </w:p>
    <w:p w:rsidR="002D1E45" w:rsidRPr="004D071E" w:rsidRDefault="002D1E45" w:rsidP="004D071E">
      <w:pPr>
        <w:spacing w:after="0" w:line="240" w:lineRule="auto"/>
        <w:ind w:firstLine="709"/>
        <w:jc w:val="both"/>
        <w:rPr>
          <w:rFonts w:ascii="Times New Roman" w:hAnsi="Times New Roman"/>
          <w:sz w:val="28"/>
          <w:szCs w:val="28"/>
        </w:rPr>
      </w:pPr>
    </w:p>
    <w:p w:rsidR="002D1E45" w:rsidRPr="004D071E" w:rsidRDefault="002D1E45" w:rsidP="004D071E">
      <w:pPr>
        <w:keepNext/>
        <w:widowControl w:val="0"/>
        <w:spacing w:after="0" w:line="240" w:lineRule="auto"/>
        <w:ind w:left="686"/>
        <w:rPr>
          <w:rFonts w:ascii="Times New Roman" w:hAnsi="Times New Roman"/>
          <w:sz w:val="28"/>
          <w:szCs w:val="28"/>
        </w:rPr>
      </w:pPr>
      <w:r w:rsidRPr="004D071E">
        <w:rPr>
          <w:rFonts w:ascii="Times New Roman" w:hAnsi="Times New Roman"/>
          <w:sz w:val="28"/>
          <w:szCs w:val="28"/>
        </w:rPr>
        <w:t xml:space="preserve">где: </w:t>
      </w:r>
    </w:p>
    <w:p w:rsidR="002D1E45" w:rsidRPr="004D071E" w:rsidRDefault="002D1E45" w:rsidP="004D071E">
      <w:pPr>
        <w:keepNext/>
        <w:widowControl w:val="0"/>
        <w:spacing w:after="0" w:line="240" w:lineRule="auto"/>
        <w:ind w:left="686"/>
        <w:rPr>
          <w:rFonts w:ascii="Times New Roman" w:hAnsi="Times New Roman"/>
          <w:sz w:val="28"/>
          <w:szCs w:val="28"/>
        </w:rPr>
      </w:pPr>
      <w:r w:rsidRPr="004D071E">
        <w:rPr>
          <w:rFonts w:ascii="Times New Roman" w:hAnsi="Times New Roman"/>
          <w:sz w:val="28"/>
          <w:szCs w:val="28"/>
        </w:rPr>
        <w:t>S</w:t>
      </w:r>
      <w:r w:rsidRPr="004D071E">
        <w:rPr>
          <w:rFonts w:ascii="Times New Roman" w:hAnsi="Times New Roman"/>
          <w:position w:val="-3"/>
          <w:sz w:val="18"/>
          <w:szCs w:val="28"/>
        </w:rPr>
        <w:t xml:space="preserve">в </w:t>
      </w:r>
      <w:r w:rsidRPr="004D071E">
        <w:rPr>
          <w:rFonts w:ascii="Times New Roman" w:hAnsi="Times New Roman"/>
          <w:sz w:val="28"/>
          <w:szCs w:val="28"/>
        </w:rPr>
        <w:t>– площадь зоны возможного заражения АХОВ, км</w:t>
      </w:r>
      <w:r w:rsidRPr="004D071E">
        <w:rPr>
          <w:rFonts w:ascii="Times New Roman" w:hAnsi="Times New Roman"/>
          <w:sz w:val="28"/>
          <w:szCs w:val="28"/>
          <w:vertAlign w:val="superscript"/>
        </w:rPr>
        <w:t>2</w:t>
      </w:r>
      <w:r w:rsidRPr="004D071E">
        <w:rPr>
          <w:rFonts w:ascii="Times New Roman" w:hAnsi="Times New Roman"/>
          <w:sz w:val="28"/>
          <w:szCs w:val="28"/>
        </w:rPr>
        <w:t>;</w:t>
      </w:r>
    </w:p>
    <w:p w:rsidR="002D1E45" w:rsidRPr="004D071E" w:rsidRDefault="002D1E45" w:rsidP="004D071E">
      <w:pPr>
        <w:keepNext/>
        <w:widowControl w:val="0"/>
        <w:spacing w:after="0" w:line="240" w:lineRule="auto"/>
        <w:ind w:left="686"/>
        <w:rPr>
          <w:rFonts w:ascii="Times New Roman" w:hAnsi="Times New Roman"/>
          <w:sz w:val="28"/>
          <w:szCs w:val="28"/>
        </w:rPr>
      </w:pPr>
      <w:r w:rsidRPr="004D071E">
        <w:rPr>
          <w:rFonts w:ascii="Times New Roman" w:hAnsi="Times New Roman"/>
          <w:sz w:val="28"/>
          <w:szCs w:val="28"/>
        </w:rPr>
        <w:t>Г – глубина зоны заражения, км;</w:t>
      </w:r>
    </w:p>
    <w:p w:rsidR="002D1E45" w:rsidRPr="004D071E" w:rsidRDefault="002D1E45" w:rsidP="004D071E">
      <w:pPr>
        <w:keepNext/>
        <w:widowControl w:val="0"/>
        <w:spacing w:after="0" w:line="240" w:lineRule="auto"/>
        <w:ind w:left="686"/>
        <w:rPr>
          <w:rFonts w:ascii="Times New Roman" w:hAnsi="Times New Roman"/>
          <w:sz w:val="28"/>
          <w:szCs w:val="28"/>
        </w:rPr>
      </w:pPr>
      <w:r w:rsidRPr="004D071E">
        <w:rPr>
          <w:rFonts w:ascii="Times New Roman" w:hAnsi="Times New Roman"/>
          <w:sz w:val="28"/>
          <w:szCs w:val="28"/>
        </w:rPr>
        <w:t>φ – угловые размеры зоны возможного заражения, град.</w:t>
      </w:r>
    </w:p>
    <w:p w:rsidR="002D1E45" w:rsidRPr="004D071E" w:rsidRDefault="002D1E45" w:rsidP="004D071E">
      <w:pPr>
        <w:keepNext/>
        <w:widowControl w:val="0"/>
        <w:spacing w:before="10" w:after="0" w:line="240" w:lineRule="auto"/>
        <w:rPr>
          <w:rFonts w:ascii="Times New Roman" w:hAnsi="Times New Roman"/>
          <w:sz w:val="14"/>
          <w:szCs w:val="28"/>
        </w:rPr>
      </w:pPr>
    </w:p>
    <w:p w:rsidR="002D1E45" w:rsidRPr="004D071E" w:rsidRDefault="002D1E45" w:rsidP="004D071E">
      <w:pPr>
        <w:spacing w:after="0" w:line="240" w:lineRule="auto"/>
        <w:ind w:firstLine="567"/>
        <w:jc w:val="right"/>
        <w:rPr>
          <w:rFonts w:ascii="Times New Roman" w:hAnsi="Times New Roman"/>
          <w:sz w:val="28"/>
          <w:szCs w:val="28"/>
          <w:lang w:eastAsia="ru-RU"/>
        </w:rPr>
      </w:pPr>
      <w:r w:rsidRPr="004D071E">
        <w:rPr>
          <w:rFonts w:ascii="Times New Roman" w:hAnsi="Times New Roman"/>
          <w:sz w:val="28"/>
          <w:szCs w:val="28"/>
          <w:lang w:eastAsia="ru-RU"/>
        </w:rPr>
        <w:t xml:space="preserve">Таблица </w:t>
      </w:r>
      <w:r w:rsidRPr="004D071E">
        <w:rPr>
          <w:rFonts w:ascii="Times New Roman" w:hAnsi="Times New Roman"/>
          <w:sz w:val="28"/>
          <w:szCs w:val="28"/>
          <w:lang w:eastAsia="ru-RU"/>
        </w:rPr>
        <w:fldChar w:fldCharType="begin"/>
      </w:r>
      <w:r w:rsidRPr="004D071E">
        <w:rPr>
          <w:rFonts w:ascii="Times New Roman" w:hAnsi="Times New Roman"/>
          <w:sz w:val="28"/>
          <w:szCs w:val="28"/>
          <w:lang w:eastAsia="ru-RU"/>
        </w:rPr>
        <w:instrText xml:space="preserve"> SEQ Таблица \* ARABIC </w:instrText>
      </w:r>
      <w:r w:rsidRPr="004D071E">
        <w:rPr>
          <w:rFonts w:ascii="Times New Roman" w:hAnsi="Times New Roman"/>
          <w:sz w:val="28"/>
          <w:szCs w:val="28"/>
          <w:lang w:eastAsia="ru-RU"/>
        </w:rPr>
        <w:fldChar w:fldCharType="separate"/>
      </w:r>
      <w:r>
        <w:rPr>
          <w:rFonts w:ascii="Times New Roman" w:hAnsi="Times New Roman"/>
          <w:noProof/>
          <w:sz w:val="28"/>
          <w:szCs w:val="28"/>
          <w:lang w:eastAsia="ru-RU"/>
        </w:rPr>
        <w:t>36</w:t>
      </w:r>
      <w:r w:rsidRPr="004D071E">
        <w:rPr>
          <w:rFonts w:ascii="Times New Roman" w:hAnsi="Times New Roman"/>
          <w:sz w:val="28"/>
          <w:szCs w:val="28"/>
          <w:lang w:eastAsia="ru-RU"/>
        </w:rPr>
        <w:fldChar w:fldCharType="end"/>
      </w:r>
    </w:p>
    <w:p w:rsidR="002D1E45" w:rsidRPr="004D071E" w:rsidRDefault="002D1E45" w:rsidP="004D071E">
      <w:pPr>
        <w:spacing w:after="120" w:line="240" w:lineRule="auto"/>
        <w:jc w:val="center"/>
        <w:rPr>
          <w:rFonts w:ascii="Times New Roman" w:hAnsi="Times New Roman"/>
          <w:sz w:val="28"/>
          <w:szCs w:val="28"/>
          <w:lang w:eastAsia="ru-RU"/>
        </w:rPr>
      </w:pPr>
      <w:r w:rsidRPr="004D071E">
        <w:rPr>
          <w:rFonts w:ascii="Times New Roman" w:hAnsi="Times New Roman"/>
          <w:sz w:val="28"/>
          <w:szCs w:val="28"/>
          <w:lang w:eastAsia="ru-RU"/>
        </w:rPr>
        <w:t>Угловые размеры зоны возможного заражения ахов в зависимости от скорости ветра, U</w:t>
      </w:r>
    </w:p>
    <w:tbl>
      <w:tblPr>
        <w:tblW w:w="5000" w:type="pct"/>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604"/>
        <w:gridCol w:w="1796"/>
        <w:gridCol w:w="2270"/>
        <w:gridCol w:w="2270"/>
        <w:gridCol w:w="1275"/>
      </w:tblGrid>
      <w:tr w:rsidR="002D1E45" w:rsidRPr="004D071E" w:rsidTr="001D0C26">
        <w:trPr>
          <w:trHeight w:val="283"/>
        </w:trPr>
        <w:tc>
          <w:tcPr>
            <w:tcW w:w="1275" w:type="pct"/>
            <w:vAlign w:val="center"/>
          </w:tcPr>
          <w:p w:rsidR="002D1E45" w:rsidRPr="004D071E" w:rsidRDefault="002D1E45" w:rsidP="004D071E">
            <w:pPr>
              <w:keepNext/>
              <w:widowControl w:val="0"/>
              <w:spacing w:after="0" w:line="240" w:lineRule="auto"/>
              <w:ind w:left="103"/>
              <w:jc w:val="center"/>
              <w:rPr>
                <w:rFonts w:ascii="Times New Roman" w:hAnsi="Times New Roman"/>
                <w:sz w:val="20"/>
                <w:lang w:val="en-US"/>
              </w:rPr>
            </w:pPr>
            <w:r w:rsidRPr="004D071E">
              <w:rPr>
                <w:rFonts w:ascii="Times New Roman" w:hAnsi="Times New Roman"/>
                <w:sz w:val="20"/>
                <w:lang w:val="en-US"/>
              </w:rPr>
              <w:t>U, м/с</w:t>
            </w:r>
          </w:p>
        </w:tc>
        <w:tc>
          <w:tcPr>
            <w:tcW w:w="879" w:type="pct"/>
            <w:vAlign w:val="center"/>
          </w:tcPr>
          <w:p w:rsidR="002D1E45" w:rsidRPr="004D071E" w:rsidRDefault="002D1E45" w:rsidP="004D071E">
            <w:pPr>
              <w:keepNext/>
              <w:widowControl w:val="0"/>
              <w:spacing w:after="0" w:line="240" w:lineRule="auto"/>
              <w:ind w:left="95"/>
              <w:jc w:val="center"/>
              <w:rPr>
                <w:rFonts w:ascii="Times New Roman" w:hAnsi="Times New Roman"/>
                <w:sz w:val="20"/>
                <w:lang w:val="en-US"/>
              </w:rPr>
            </w:pPr>
            <w:r w:rsidRPr="004D071E">
              <w:rPr>
                <w:rFonts w:ascii="Times New Roman" w:hAnsi="Times New Roman"/>
                <w:sz w:val="20"/>
                <w:lang w:val="en-US"/>
              </w:rPr>
              <w:t>&lt; 0,5</w:t>
            </w:r>
          </w:p>
        </w:tc>
        <w:tc>
          <w:tcPr>
            <w:tcW w:w="1111" w:type="pct"/>
            <w:vAlign w:val="center"/>
          </w:tcPr>
          <w:p w:rsidR="002D1E45" w:rsidRPr="004D071E" w:rsidRDefault="002D1E45" w:rsidP="004D071E">
            <w:pPr>
              <w:keepNext/>
              <w:widowControl w:val="0"/>
              <w:spacing w:after="0" w:line="240" w:lineRule="auto"/>
              <w:ind w:left="95"/>
              <w:jc w:val="center"/>
              <w:rPr>
                <w:rFonts w:ascii="Times New Roman" w:hAnsi="Times New Roman"/>
                <w:sz w:val="20"/>
                <w:lang w:val="en-US"/>
              </w:rPr>
            </w:pPr>
            <w:r w:rsidRPr="004D071E">
              <w:rPr>
                <w:rFonts w:ascii="Times New Roman" w:hAnsi="Times New Roman"/>
                <w:sz w:val="20"/>
                <w:lang w:val="en-US"/>
              </w:rPr>
              <w:t>0,6 – 1</w:t>
            </w:r>
          </w:p>
        </w:tc>
        <w:tc>
          <w:tcPr>
            <w:tcW w:w="1111" w:type="pct"/>
            <w:vAlign w:val="center"/>
          </w:tcPr>
          <w:p w:rsidR="002D1E45" w:rsidRPr="004D071E" w:rsidRDefault="002D1E45" w:rsidP="004D071E">
            <w:pPr>
              <w:keepNext/>
              <w:widowControl w:val="0"/>
              <w:spacing w:after="0" w:line="240" w:lineRule="auto"/>
              <w:ind w:left="95"/>
              <w:jc w:val="center"/>
              <w:rPr>
                <w:rFonts w:ascii="Times New Roman" w:hAnsi="Times New Roman"/>
                <w:sz w:val="20"/>
                <w:lang w:val="en-US"/>
              </w:rPr>
            </w:pPr>
            <w:r w:rsidRPr="004D071E">
              <w:rPr>
                <w:rFonts w:ascii="Times New Roman" w:hAnsi="Times New Roman"/>
                <w:sz w:val="20"/>
                <w:lang w:val="en-US"/>
              </w:rPr>
              <w:t>1,1 – 2</w:t>
            </w:r>
          </w:p>
        </w:tc>
        <w:tc>
          <w:tcPr>
            <w:tcW w:w="624" w:type="pct"/>
            <w:vAlign w:val="center"/>
          </w:tcPr>
          <w:p w:rsidR="002D1E45" w:rsidRPr="004D071E" w:rsidRDefault="002D1E45" w:rsidP="004D071E">
            <w:pPr>
              <w:keepNext/>
              <w:widowControl w:val="0"/>
              <w:spacing w:after="0" w:line="240" w:lineRule="auto"/>
              <w:ind w:left="95"/>
              <w:jc w:val="center"/>
              <w:rPr>
                <w:rFonts w:ascii="Times New Roman" w:hAnsi="Times New Roman"/>
                <w:sz w:val="20"/>
                <w:lang w:val="en-US"/>
              </w:rPr>
            </w:pPr>
            <w:r w:rsidRPr="004D071E">
              <w:rPr>
                <w:rFonts w:ascii="Times New Roman" w:hAnsi="Times New Roman"/>
                <w:sz w:val="20"/>
                <w:lang w:val="en-US"/>
              </w:rPr>
              <w:t>&gt; 2</w:t>
            </w:r>
          </w:p>
        </w:tc>
      </w:tr>
      <w:tr w:rsidR="002D1E45" w:rsidRPr="004D071E" w:rsidTr="001D0C26">
        <w:trPr>
          <w:trHeight w:val="283"/>
        </w:trPr>
        <w:tc>
          <w:tcPr>
            <w:tcW w:w="1275" w:type="pct"/>
            <w:vAlign w:val="center"/>
          </w:tcPr>
          <w:p w:rsidR="002D1E45" w:rsidRPr="004D071E" w:rsidRDefault="002D1E45" w:rsidP="004D071E">
            <w:pPr>
              <w:keepNext/>
              <w:widowControl w:val="0"/>
              <w:spacing w:after="0" w:line="240" w:lineRule="auto"/>
              <w:ind w:left="103"/>
              <w:jc w:val="center"/>
              <w:rPr>
                <w:rFonts w:ascii="Times New Roman" w:hAnsi="Times New Roman"/>
                <w:sz w:val="20"/>
                <w:lang w:val="en-US"/>
              </w:rPr>
            </w:pPr>
            <w:r w:rsidRPr="004D071E">
              <w:rPr>
                <w:rFonts w:ascii="Times New Roman" w:hAnsi="Times New Roman"/>
                <w:sz w:val="20"/>
                <w:lang w:val="en-US"/>
              </w:rPr>
              <w:t>φ, град.</w:t>
            </w:r>
          </w:p>
        </w:tc>
        <w:tc>
          <w:tcPr>
            <w:tcW w:w="879" w:type="pct"/>
            <w:vAlign w:val="center"/>
          </w:tcPr>
          <w:p w:rsidR="002D1E45" w:rsidRPr="004D071E" w:rsidRDefault="002D1E45" w:rsidP="004D071E">
            <w:pPr>
              <w:keepNext/>
              <w:widowControl w:val="0"/>
              <w:spacing w:after="0" w:line="240" w:lineRule="auto"/>
              <w:ind w:left="95"/>
              <w:jc w:val="center"/>
              <w:rPr>
                <w:rFonts w:ascii="Times New Roman" w:hAnsi="Times New Roman"/>
                <w:sz w:val="20"/>
                <w:lang w:val="en-US"/>
              </w:rPr>
            </w:pPr>
            <w:r w:rsidRPr="004D071E">
              <w:rPr>
                <w:rFonts w:ascii="Times New Roman" w:hAnsi="Times New Roman"/>
                <w:sz w:val="20"/>
                <w:lang w:val="en-US"/>
              </w:rPr>
              <w:t>360</w:t>
            </w:r>
          </w:p>
        </w:tc>
        <w:tc>
          <w:tcPr>
            <w:tcW w:w="1111" w:type="pct"/>
            <w:vAlign w:val="center"/>
          </w:tcPr>
          <w:p w:rsidR="002D1E45" w:rsidRPr="004D071E" w:rsidRDefault="002D1E45" w:rsidP="004D071E">
            <w:pPr>
              <w:keepNext/>
              <w:widowControl w:val="0"/>
              <w:spacing w:after="0" w:line="240" w:lineRule="auto"/>
              <w:ind w:left="95"/>
              <w:jc w:val="center"/>
              <w:rPr>
                <w:rFonts w:ascii="Times New Roman" w:hAnsi="Times New Roman"/>
                <w:sz w:val="20"/>
                <w:lang w:val="en-US"/>
              </w:rPr>
            </w:pPr>
            <w:r w:rsidRPr="004D071E">
              <w:rPr>
                <w:rFonts w:ascii="Times New Roman" w:hAnsi="Times New Roman"/>
                <w:sz w:val="20"/>
                <w:lang w:val="en-US"/>
              </w:rPr>
              <w:t>180</w:t>
            </w:r>
          </w:p>
        </w:tc>
        <w:tc>
          <w:tcPr>
            <w:tcW w:w="1111" w:type="pct"/>
            <w:vAlign w:val="center"/>
          </w:tcPr>
          <w:p w:rsidR="002D1E45" w:rsidRPr="004D071E" w:rsidRDefault="002D1E45" w:rsidP="004D071E">
            <w:pPr>
              <w:keepNext/>
              <w:widowControl w:val="0"/>
              <w:spacing w:after="0" w:line="240" w:lineRule="auto"/>
              <w:ind w:left="95"/>
              <w:jc w:val="center"/>
              <w:rPr>
                <w:rFonts w:ascii="Times New Roman" w:hAnsi="Times New Roman"/>
                <w:sz w:val="20"/>
                <w:lang w:val="en-US"/>
              </w:rPr>
            </w:pPr>
            <w:r w:rsidRPr="004D071E">
              <w:rPr>
                <w:rFonts w:ascii="Times New Roman" w:hAnsi="Times New Roman"/>
                <w:sz w:val="20"/>
                <w:lang w:val="en-US"/>
              </w:rPr>
              <w:t>90</w:t>
            </w:r>
          </w:p>
        </w:tc>
        <w:tc>
          <w:tcPr>
            <w:tcW w:w="624" w:type="pct"/>
            <w:vAlign w:val="center"/>
          </w:tcPr>
          <w:p w:rsidR="002D1E45" w:rsidRPr="004D071E" w:rsidRDefault="002D1E45" w:rsidP="004D071E">
            <w:pPr>
              <w:keepNext/>
              <w:widowControl w:val="0"/>
              <w:spacing w:after="0" w:line="240" w:lineRule="auto"/>
              <w:ind w:left="95"/>
              <w:jc w:val="center"/>
              <w:rPr>
                <w:rFonts w:ascii="Times New Roman" w:hAnsi="Times New Roman"/>
                <w:sz w:val="20"/>
                <w:lang w:val="en-US"/>
              </w:rPr>
            </w:pPr>
            <w:r w:rsidRPr="004D071E">
              <w:rPr>
                <w:rFonts w:ascii="Times New Roman" w:hAnsi="Times New Roman"/>
                <w:sz w:val="20"/>
                <w:lang w:val="en-US"/>
              </w:rPr>
              <w:t>45</w:t>
            </w:r>
          </w:p>
        </w:tc>
      </w:tr>
    </w:tbl>
    <w:p w:rsidR="002D1E45" w:rsidRPr="004D071E" w:rsidRDefault="002D1E45" w:rsidP="004D071E">
      <w:pPr>
        <w:spacing w:after="0" w:line="240" w:lineRule="auto"/>
        <w:ind w:firstLine="709"/>
        <w:jc w:val="both"/>
        <w:rPr>
          <w:rFonts w:ascii="Times New Roman" w:hAnsi="Times New Roman"/>
          <w:sz w:val="28"/>
          <w:szCs w:val="28"/>
        </w:rPr>
      </w:pPr>
    </w:p>
    <w:p w:rsidR="002D1E45" w:rsidRPr="004D071E" w:rsidRDefault="002D1E45" w:rsidP="004D071E">
      <w:pPr>
        <w:spacing w:after="0" w:line="240" w:lineRule="auto"/>
        <w:ind w:firstLine="709"/>
        <w:jc w:val="both"/>
        <w:rPr>
          <w:rFonts w:ascii="Times New Roman" w:hAnsi="Times New Roman"/>
          <w:sz w:val="28"/>
          <w:szCs w:val="28"/>
        </w:rPr>
      </w:pPr>
      <w:r w:rsidRPr="004D071E">
        <w:rPr>
          <w:rFonts w:ascii="Times New Roman" w:hAnsi="Times New Roman"/>
          <w:sz w:val="28"/>
          <w:szCs w:val="28"/>
        </w:rPr>
        <w:t>Площадь зоны фактического заражения S</w:t>
      </w:r>
      <w:r w:rsidRPr="004D071E">
        <w:rPr>
          <w:rFonts w:ascii="Times New Roman" w:hAnsi="Times New Roman"/>
          <w:position w:val="-3"/>
          <w:sz w:val="18"/>
          <w:szCs w:val="28"/>
        </w:rPr>
        <w:t xml:space="preserve">ф </w:t>
      </w:r>
      <w:r w:rsidRPr="004D071E">
        <w:rPr>
          <w:rFonts w:ascii="Times New Roman" w:hAnsi="Times New Roman"/>
          <w:sz w:val="28"/>
          <w:szCs w:val="28"/>
        </w:rPr>
        <w:t>в км</w:t>
      </w:r>
      <w:r w:rsidRPr="004D071E">
        <w:rPr>
          <w:rFonts w:ascii="Times New Roman" w:hAnsi="Times New Roman"/>
          <w:sz w:val="28"/>
          <w:szCs w:val="28"/>
          <w:vertAlign w:val="superscript"/>
        </w:rPr>
        <w:t>2</w:t>
      </w:r>
      <w:r w:rsidRPr="004D071E">
        <w:rPr>
          <w:rFonts w:ascii="Times New Roman" w:hAnsi="Times New Roman"/>
          <w:sz w:val="28"/>
          <w:szCs w:val="28"/>
        </w:rPr>
        <w:t xml:space="preserve"> рассчитывается по формуле:</w:t>
      </w:r>
    </w:p>
    <w:p w:rsidR="002D1E45" w:rsidRPr="004D071E" w:rsidRDefault="002D1E45" w:rsidP="004D071E">
      <w:pPr>
        <w:spacing w:after="0" w:line="240" w:lineRule="auto"/>
        <w:ind w:firstLine="709"/>
        <w:jc w:val="both"/>
        <w:rPr>
          <w:rFonts w:ascii="Times New Roman" w:hAnsi="Times New Roman"/>
          <w:sz w:val="28"/>
          <w:szCs w:val="28"/>
        </w:rPr>
      </w:pPr>
    </w:p>
    <w:p w:rsidR="002D1E45" w:rsidRPr="004D071E" w:rsidRDefault="002D1E45" w:rsidP="004D071E">
      <w:pPr>
        <w:spacing w:after="0" w:line="240" w:lineRule="auto"/>
        <w:jc w:val="center"/>
        <w:rPr>
          <w:rFonts w:ascii="Times New Roman" w:hAnsi="Times New Roman"/>
          <w:sz w:val="28"/>
          <w:szCs w:val="28"/>
        </w:rPr>
      </w:pPr>
      <w:r>
        <w:pict>
          <v:shape id="_x0000_i1044" type="#_x0000_t75" style="width:109.5pt;height:19.5pt" equationxml="&lt;?xml version=&quot;1.0&quot; encoding=&quot;UTF-8&quot; standalone=&quot;yes&quot;?&gt;&#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stylePaneFormatFilter w:val=&quot;3F01&quot;/&gt;&lt;w:defaultTabStop w:val=&quot;709&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55249&quot;/&gt;&lt;wsp:rsid wsp:val=&quot;00000069&quot;/&gt;&lt;wsp:rsid wsp:val=&quot;0000011C&quot;/&gt;&lt;wsp:rsid wsp:val=&quot;00000437&quot;/&gt;&lt;wsp:rsid wsp:val=&quot;00001379&quot;/&gt;&lt;wsp:rsid wsp:val=&quot;0000148E&quot;/&gt;&lt;wsp:rsid wsp:val=&quot;00001718&quot;/&gt;&lt;wsp:rsid wsp:val=&quot;000017EA&quot;/&gt;&lt;wsp:rsid wsp:val=&quot;00001828&quot;/&gt;&lt;wsp:rsid wsp:val=&quot;00001D98&quot;/&gt;&lt;wsp:rsid wsp:val=&quot;0000229E&quot;/&gt;&lt;wsp:rsid wsp:val=&quot;000027D5&quot;/&gt;&lt;wsp:rsid wsp:val=&quot;00002824&quot;/&gt;&lt;wsp:rsid wsp:val=&quot;00002C12&quot;/&gt;&lt;wsp:rsid wsp:val=&quot;00002C43&quot;/&gt;&lt;wsp:rsid wsp:val=&quot;00002D9C&quot;/&gt;&lt;wsp:rsid wsp:val=&quot;00002F36&quot;/&gt;&lt;wsp:rsid wsp:val=&quot;0000302F&quot;/&gt;&lt;wsp:rsid wsp:val=&quot;00003030&quot;/&gt;&lt;wsp:rsid wsp:val=&quot;00003EFF&quot;/&gt;&lt;wsp:rsid wsp:val=&quot;0000414C&quot;/&gt;&lt;wsp:rsid wsp:val=&quot;0000443D&quot;/&gt;&lt;wsp:rsid wsp:val=&quot;000046CC&quot;/&gt;&lt;wsp:rsid wsp:val=&quot;00004716&quot;/&gt;&lt;wsp:rsid wsp:val=&quot;0000486D&quot;/&gt;&lt;wsp:rsid wsp:val=&quot;000049C0&quot;/&gt;&lt;wsp:rsid wsp:val=&quot;00004D19&quot;/&gt;&lt;wsp:rsid wsp:val=&quot;00004FAE&quot;/&gt;&lt;wsp:rsid wsp:val=&quot;00004FFC&quot;/&gt;&lt;wsp:rsid wsp:val=&quot;00005636&quot;/&gt;&lt;wsp:rsid wsp:val=&quot;000056E1&quot;/&gt;&lt;wsp:rsid wsp:val=&quot;00005DAF&quot;/&gt;&lt;wsp:rsid wsp:val=&quot;00005F1A&quot;/&gt;&lt;wsp:rsid wsp:val=&quot;00005FEB&quot;/&gt;&lt;wsp:rsid wsp:val=&quot;00006392&quot;/&gt;&lt;wsp:rsid wsp:val=&quot;000063D0&quot;/&gt;&lt;wsp:rsid wsp:val=&quot;00006AE8&quot;/&gt;&lt;wsp:rsid wsp:val=&quot;00006D6F&quot;/&gt;&lt;wsp:rsid wsp:val=&quot;00007175&quot;/&gt;&lt;wsp:rsid wsp:val=&quot;00007274&quot;/&gt;&lt;wsp:rsid wsp:val=&quot;00007B99&quot;/&gt;&lt;wsp:rsid wsp:val=&quot;000101C0&quot;/&gt;&lt;wsp:rsid wsp:val=&quot;00010212&quot;/&gt;&lt;wsp:rsid wsp:val=&quot;00010264&quot;/&gt;&lt;wsp:rsid wsp:val=&quot;000102BD&quot;/&gt;&lt;wsp:rsid wsp:val=&quot;000102EA&quot;/&gt;&lt;wsp:rsid wsp:val=&quot;00010466&quot;/&gt;&lt;wsp:rsid wsp:val=&quot;00010AB4&quot;/&gt;&lt;wsp:rsid wsp:val=&quot;00010B0B&quot;/&gt;&lt;wsp:rsid wsp:val=&quot;00010C3B&quot;/&gt;&lt;wsp:rsid wsp:val=&quot;00010F91&quot;/&gt;&lt;wsp:rsid wsp:val=&quot;000112EE&quot;/&gt;&lt;wsp:rsid wsp:val=&quot;0001146D&quot;/&gt;&lt;wsp:rsid wsp:val=&quot;00011665&quot;/&gt;&lt;wsp:rsid wsp:val=&quot;00011B64&quot;/&gt;&lt;wsp:rsid wsp:val=&quot;00011CA8&quot;/&gt;&lt;wsp:rsid wsp:val=&quot;00011DE4&quot;/&gt;&lt;wsp:rsid wsp:val=&quot;000124AE&quot;/&gt;&lt;wsp:rsid wsp:val=&quot;000127BC&quot;/&gt;&lt;wsp:rsid wsp:val=&quot;00012A66&quot;/&gt;&lt;wsp:rsid wsp:val=&quot;00012DA8&quot;/&gt;&lt;wsp:rsid wsp:val=&quot;00013A20&quot;/&gt;&lt;wsp:rsid wsp:val=&quot;00013A8A&quot;/&gt;&lt;wsp:rsid wsp:val=&quot;00013CAF&quot;/&gt;&lt;wsp:rsid wsp:val=&quot;00013FBF&quot;/&gt;&lt;wsp:rsid wsp:val=&quot;00014152&quot;/&gt;&lt;wsp:rsid wsp:val=&quot;00014177&quot;/&gt;&lt;wsp:rsid wsp:val=&quot;0001436E&quot;/&gt;&lt;wsp:rsid wsp:val=&quot;00014640&quot;/&gt;&lt;wsp:rsid wsp:val=&quot;000146AB&quot;/&gt;&lt;wsp:rsid wsp:val=&quot;0001483D&quot;/&gt;&lt;wsp:rsid wsp:val=&quot;00014851&quot;/&gt;&lt;wsp:rsid wsp:val=&quot;00014B97&quot;/&gt;&lt;wsp:rsid wsp:val=&quot;00014CA6&quot;/&gt;&lt;wsp:rsid wsp:val=&quot;00015089&quot;/&gt;&lt;wsp:rsid wsp:val=&quot;00015200&quot;/&gt;&lt;wsp:rsid wsp:val=&quot;00015247&quot;/&gt;&lt;wsp:rsid wsp:val=&quot;00015471&quot;/&gt;&lt;wsp:rsid wsp:val=&quot;00015475&quot;/&gt;&lt;wsp:rsid wsp:val=&quot;000156EB&quot;/&gt;&lt;wsp:rsid wsp:val=&quot;00015CFD&quot;/&gt;&lt;wsp:rsid wsp:val=&quot;00015E89&quot;/&gt;&lt;wsp:rsid wsp:val=&quot;000162CA&quot;/&gt;&lt;wsp:rsid wsp:val=&quot;000168D8&quot;/&gt;&lt;wsp:rsid wsp:val=&quot;00016BF0&quot;/&gt;&lt;wsp:rsid wsp:val=&quot;00016DD4&quot;/&gt;&lt;wsp:rsid wsp:val=&quot;00016F5A&quot;/&gt;&lt;wsp:rsid wsp:val=&quot;000171AD&quot;/&gt;&lt;wsp:rsid wsp:val=&quot;0001725E&quot;/&gt;&lt;wsp:rsid wsp:val=&quot;000173C4&quot;/&gt;&lt;wsp:rsid wsp:val=&quot;0001783F&quot;/&gt;&lt;wsp:rsid wsp:val=&quot;00017B5A&quot;/&gt;&lt;wsp:rsid wsp:val=&quot;00017FC8&quot;/&gt;&lt;wsp:rsid wsp:val=&quot;000200B7&quot;/&gt;&lt;wsp:rsid wsp:val=&quot;00020690&quot;/&gt;&lt;wsp:rsid wsp:val=&quot;000207BC&quot;/&gt;&lt;wsp:rsid wsp:val=&quot;00020B70&quot;/&gt;&lt;wsp:rsid wsp:val=&quot;00020CF2&quot;/&gt;&lt;wsp:rsid wsp:val=&quot;00020D15&quot;/&gt;&lt;wsp:rsid wsp:val=&quot;0002146E&quot;/&gt;&lt;wsp:rsid wsp:val=&quot;000216FC&quot;/&gt;&lt;wsp:rsid wsp:val=&quot;00021808&quot;/&gt;&lt;wsp:rsid wsp:val=&quot;00021864&quot;/&gt;&lt;wsp:rsid wsp:val=&quot;000219DD&quot;/&gt;&lt;wsp:rsid wsp:val=&quot;00021A57&quot;/&gt;&lt;wsp:rsid wsp:val=&quot;00021C1B&quot;/&gt;&lt;wsp:rsid wsp:val=&quot;00021C6A&quot;/&gt;&lt;wsp:rsid wsp:val=&quot;0002261A&quot;/&gt;&lt;wsp:rsid wsp:val=&quot;00022689&quot;/&gt;&lt;wsp:rsid wsp:val=&quot;0002275A&quot;/&gt;&lt;wsp:rsid wsp:val=&quot;00022976&quot;/&gt;&lt;wsp:rsid wsp:val=&quot;00022B13&quot;/&gt;&lt;wsp:rsid wsp:val=&quot;00022C89&quot;/&gt;&lt;wsp:rsid wsp:val=&quot;00022ED3&quot;/&gt;&lt;wsp:rsid wsp:val=&quot;0002310D&quot;/&gt;&lt;wsp:rsid wsp:val=&quot;0002325C&quot;/&gt;&lt;wsp:rsid wsp:val=&quot;000233B5&quot;/&gt;&lt;wsp:rsid wsp:val=&quot;000235C8&quot;/&gt;&lt;wsp:rsid wsp:val=&quot;000237E7&quot;/&gt;&lt;wsp:rsid wsp:val=&quot;000238DD&quot;/&gt;&lt;wsp:rsid wsp:val=&quot;00023B4A&quot;/&gt;&lt;wsp:rsid wsp:val=&quot;00023CDA&quot;/&gt;&lt;wsp:rsid wsp:val=&quot;0002413B&quot;/&gt;&lt;wsp:rsid wsp:val=&quot;000244A8&quot;/&gt;&lt;wsp:rsid wsp:val=&quot;0002487C&quot;/&gt;&lt;wsp:rsid wsp:val=&quot;00024D37&quot;/&gt;&lt;wsp:rsid wsp:val=&quot;00024F28&quot;/&gt;&lt;wsp:rsid wsp:val=&quot;000252B6&quot;/&gt;&lt;wsp:rsid wsp:val=&quot;000254CC&quot;/&gt;&lt;wsp:rsid wsp:val=&quot;00025586&quot;/&gt;&lt;wsp:rsid wsp:val=&quot;000260FE&quot;/&gt;&lt;wsp:rsid wsp:val=&quot;00026294&quot;/&gt;&lt;wsp:rsid wsp:val=&quot;00026338&quot;/&gt;&lt;wsp:rsid wsp:val=&quot;000266C8&quot;/&gt;&lt;wsp:rsid wsp:val=&quot;00026ABE&quot;/&gt;&lt;wsp:rsid wsp:val=&quot;00026FF4&quot;/&gt;&lt;wsp:rsid wsp:val=&quot;0002729C&quot;/&gt;&lt;wsp:rsid wsp:val=&quot;000279E6&quot;/&gt;&lt;wsp:rsid wsp:val=&quot;00027B3A&quot;/&gt;&lt;wsp:rsid wsp:val=&quot;00027C41&quot;/&gt;&lt;wsp:rsid wsp:val=&quot;00027F89&quot;/&gt;&lt;wsp:rsid wsp:val=&quot;0003050D&quot;/&gt;&lt;wsp:rsid wsp:val=&quot;00030523&quot;/&gt;&lt;wsp:rsid wsp:val=&quot;00031209&quot;/&gt;&lt;wsp:rsid wsp:val=&quot;00031883&quot;/&gt;&lt;wsp:rsid wsp:val=&quot;00032460&quot;/&gt;&lt;wsp:rsid wsp:val=&quot;0003252F&quot;/&gt;&lt;wsp:rsid wsp:val=&quot;000325E4&quot;/&gt;&lt;wsp:rsid wsp:val=&quot;000329BA&quot;/&gt;&lt;wsp:rsid wsp:val=&quot;00032F20&quot;/&gt;&lt;wsp:rsid wsp:val=&quot;000330C7&quot;/&gt;&lt;wsp:rsid wsp:val=&quot;00033121&quot;/&gt;&lt;wsp:rsid wsp:val=&quot;000332E2&quot;/&gt;&lt;wsp:rsid wsp:val=&quot;00033895&quot;/&gt;&lt;wsp:rsid wsp:val=&quot;00033D2D&quot;/&gt;&lt;wsp:rsid wsp:val=&quot;0003401B&quot;/&gt;&lt;wsp:rsid wsp:val=&quot;000341CE&quot;/&gt;&lt;wsp:rsid wsp:val=&quot;00034258&quot;/&gt;&lt;wsp:rsid wsp:val=&quot;00034677&quot;/&gt;&lt;wsp:rsid wsp:val=&quot;000355D5&quot;/&gt;&lt;wsp:rsid wsp:val=&quot;0003587E&quot;/&gt;&lt;wsp:rsid wsp:val=&quot;000358E5&quot;/&gt;&lt;wsp:rsid wsp:val=&quot;00035FC8&quot;/&gt;&lt;wsp:rsid wsp:val=&quot;00036085&quot;/&gt;&lt;wsp:rsid wsp:val=&quot;0003610F&quot;/&gt;&lt;wsp:rsid wsp:val=&quot;00036574&quot;/&gt;&lt;wsp:rsid wsp:val=&quot;00036A0C&quot;/&gt;&lt;wsp:rsid wsp:val=&quot;0003741C&quot;/&gt;&lt;wsp:rsid wsp:val=&quot;000375A9&quot;/&gt;&lt;wsp:rsid wsp:val=&quot;000375E4&quot;/&gt;&lt;wsp:rsid wsp:val=&quot;00037990&quot;/&gt;&lt;wsp:rsid wsp:val=&quot;000379E2&quot;/&gt;&lt;wsp:rsid wsp:val=&quot;00037A8B&quot;/&gt;&lt;wsp:rsid wsp:val=&quot;00037B44&quot;/&gt;&lt;wsp:rsid wsp:val=&quot;00037D86&quot;/&gt;&lt;wsp:rsid wsp:val=&quot;000401B5&quot;/&gt;&lt;wsp:rsid wsp:val=&quot;00040704&quot;/&gt;&lt;wsp:rsid wsp:val=&quot;00040747&quot;/&gt;&lt;wsp:rsid wsp:val=&quot;00040937&quot;/&gt;&lt;wsp:rsid wsp:val=&quot;00040B84&quot;/&gt;&lt;wsp:rsid wsp:val=&quot;00040C12&quot;/&gt;&lt;wsp:rsid wsp:val=&quot;00040DA1&quot;/&gt;&lt;wsp:rsid wsp:val=&quot;00040F18&quot;/&gt;&lt;wsp:rsid wsp:val=&quot;0004110F&quot;/&gt;&lt;wsp:rsid wsp:val=&quot;000412EB&quot;/&gt;&lt;wsp:rsid wsp:val=&quot;0004138D&quot;/&gt;&lt;wsp:rsid wsp:val=&quot;000413F1&quot;/&gt;&lt;wsp:rsid wsp:val=&quot;000414C0&quot;/&gt;&lt;wsp:rsid wsp:val=&quot;00041E8F&quot;/&gt;&lt;wsp:rsid wsp:val=&quot;00041F06&quot;/&gt;&lt;wsp:rsid wsp:val=&quot;0004255B&quot;/&gt;&lt;wsp:rsid wsp:val=&quot;00042594&quot;/&gt;&lt;wsp:rsid wsp:val=&quot;0004273E&quot;/&gt;&lt;wsp:rsid wsp:val=&quot;00042764&quot;/&gt;&lt;wsp:rsid wsp:val=&quot;00042F4A&quot;/&gt;&lt;wsp:rsid wsp:val=&quot;000430F4&quot;/&gt;&lt;wsp:rsid wsp:val=&quot;00043921&quot;/&gt;&lt;wsp:rsid wsp:val=&quot;00043935&quot;/&gt;&lt;wsp:rsid wsp:val=&quot;00043EB2&quot;/&gt;&lt;wsp:rsid wsp:val=&quot;0004419F&quot;/&gt;&lt;wsp:rsid wsp:val=&quot;00044391&quot;/&gt;&lt;wsp:rsid wsp:val=&quot;0004446E&quot;/&gt;&lt;wsp:rsid wsp:val=&quot;000444B3&quot;/&gt;&lt;wsp:rsid wsp:val=&quot;00044538&quot;/&gt;&lt;wsp:rsid wsp:val=&quot;0004488A&quot;/&gt;&lt;wsp:rsid wsp:val=&quot;000449CE&quot;/&gt;&lt;wsp:rsid wsp:val=&quot;00044A16&quot;/&gt;&lt;wsp:rsid wsp:val=&quot;00044B5C&quot;/&gt;&lt;wsp:rsid wsp:val=&quot;00044D18&quot;/&gt;&lt;wsp:rsid wsp:val=&quot;00044E73&quot;/&gt;&lt;wsp:rsid wsp:val=&quot;00044F28&quot;/&gt;&lt;wsp:rsid wsp:val=&quot;00044FEF&quot;/&gt;&lt;wsp:rsid wsp:val=&quot;00045598&quot;/&gt;&lt;wsp:rsid wsp:val=&quot;00045B35&quot;/&gt;&lt;wsp:rsid wsp:val=&quot;00045E51&quot;/&gt;&lt;wsp:rsid wsp:val=&quot;00046110&quot;/&gt;&lt;wsp:rsid wsp:val=&quot;00046429&quot;/&gt;&lt;wsp:rsid wsp:val=&quot;0004668C&quot;/&gt;&lt;wsp:rsid wsp:val=&quot;000475D4&quot;/&gt;&lt;wsp:rsid wsp:val=&quot;00047C17&quot;/&gt;&lt;wsp:rsid wsp:val=&quot;00047C27&quot;/&gt;&lt;wsp:rsid wsp:val=&quot;00047C59&quot;/&gt;&lt;wsp:rsid wsp:val=&quot;00047F34&quot;/&gt;&lt;wsp:rsid wsp:val=&quot;000504F0&quot;/&gt;&lt;wsp:rsid wsp:val=&quot;00050664&quot;/&gt;&lt;wsp:rsid wsp:val=&quot;00050880&quot;/&gt;&lt;wsp:rsid wsp:val=&quot;00050993&quot;/&gt;&lt;wsp:rsid wsp:val=&quot;00050FD6&quot;/&gt;&lt;wsp:rsid wsp:val=&quot;00051206&quot;/&gt;&lt;wsp:rsid wsp:val=&quot;000515A2&quot;/&gt;&lt;wsp:rsid wsp:val=&quot;00051F54&quot;/&gt;&lt;wsp:rsid wsp:val=&quot;000520A1&quot;/&gt;&lt;wsp:rsid wsp:val=&quot;000525EB&quot;/&gt;&lt;wsp:rsid wsp:val=&quot;0005266E&quot;/&gt;&lt;wsp:rsid wsp:val=&quot;000527E0&quot;/&gt;&lt;wsp:rsid wsp:val=&quot;00052923&quot;/&gt;&lt;wsp:rsid wsp:val=&quot;00052D26&quot;/&gt;&lt;wsp:rsid wsp:val=&quot;00052E31&quot;/&gt;&lt;wsp:rsid wsp:val=&quot;000535A5&quot;/&gt;&lt;wsp:rsid wsp:val=&quot;000536A3&quot;/&gt;&lt;wsp:rsid wsp:val=&quot;00053D10&quot;/&gt;&lt;wsp:rsid wsp:val=&quot;00053F2B&quot;/&gt;&lt;wsp:rsid wsp:val=&quot;00053F37&quot;/&gt;&lt;wsp:rsid wsp:val=&quot;000546C9&quot;/&gt;&lt;wsp:rsid wsp:val=&quot;000547F3&quot;/&gt;&lt;wsp:rsid wsp:val=&quot;000548C7&quot;/&gt;&lt;wsp:rsid wsp:val=&quot;00054E12&quot;/&gt;&lt;wsp:rsid wsp:val=&quot;00054E32&quot;/&gt;&lt;wsp:rsid wsp:val=&quot;000551DD&quot;/&gt;&lt;wsp:rsid wsp:val=&quot;0005551E&quot;/&gt;&lt;wsp:rsid wsp:val=&quot;00055725&quot;/&gt;&lt;wsp:rsid wsp:val=&quot;0005582F&quot;/&gt;&lt;wsp:rsid wsp:val=&quot;000558B6&quot;/&gt;&lt;wsp:rsid wsp:val=&quot;00055A9A&quot;/&gt;&lt;wsp:rsid wsp:val=&quot;00055D45&quot;/&gt;&lt;wsp:rsid wsp:val=&quot;00055E28&quot;/&gt;&lt;wsp:rsid wsp:val=&quot;000563E2&quot;/&gt;&lt;wsp:rsid wsp:val=&quot;0005646A&quot;/&gt;&lt;wsp:rsid wsp:val=&quot;00056820&quot;/&gt;&lt;wsp:rsid wsp:val=&quot;00056C8F&quot;/&gt;&lt;wsp:rsid wsp:val=&quot;000570B4&quot;/&gt;&lt;wsp:rsid wsp:val=&quot;00057287&quot;/&gt;&lt;wsp:rsid wsp:val=&quot;00057450&quot;/&gt;&lt;wsp:rsid wsp:val=&quot;00057FD1&quot;/&gt;&lt;wsp:rsid wsp:val=&quot;000605C6&quot;/&gt;&lt;wsp:rsid wsp:val=&quot;0006094F&quot;/&gt;&lt;wsp:rsid wsp:val=&quot;00060D9A&quot;/&gt;&lt;wsp:rsid wsp:val=&quot;0006114D&quot;/&gt;&lt;wsp:rsid wsp:val=&quot;00061342&quot;/&gt;&lt;wsp:rsid wsp:val=&quot;000616FB&quot;/&gt;&lt;wsp:rsid wsp:val=&quot;00061D4B&quot;/&gt;&lt;wsp:rsid wsp:val=&quot;0006251F&quot;/&gt;&lt;wsp:rsid wsp:val=&quot;00062BCA&quot;/&gt;&lt;wsp:rsid wsp:val=&quot;00063845&quot;/&gt;&lt;wsp:rsid wsp:val=&quot;00063E7D&quot;/&gt;&lt;wsp:rsid wsp:val=&quot;00063F8C&quot;/&gt;&lt;wsp:rsid wsp:val=&quot;00064336&quot;/&gt;&lt;wsp:rsid wsp:val=&quot;000643A2&quot;/&gt;&lt;wsp:rsid wsp:val=&quot;00064B66&quot;/&gt;&lt;wsp:rsid wsp:val=&quot;00064F9D&quot;/&gt;&lt;wsp:rsid wsp:val=&quot;0006561A&quot;/&gt;&lt;wsp:rsid wsp:val=&quot;000659B9&quot;/&gt;&lt;wsp:rsid wsp:val=&quot;00065B48&quot;/&gt;&lt;wsp:rsid wsp:val=&quot;00065F03&quot;/&gt;&lt;wsp:rsid wsp:val=&quot;00066175&quot;/&gt;&lt;wsp:rsid wsp:val=&quot;000661F0&quot;/&gt;&lt;wsp:rsid wsp:val=&quot;00066384&quot;/&gt;&lt;wsp:rsid wsp:val=&quot;00066556&quot;/&gt;&lt;wsp:rsid wsp:val=&quot;00066C9F&quot;/&gt;&lt;wsp:rsid wsp:val=&quot;00066D83&quot;/&gt;&lt;wsp:rsid wsp:val=&quot;00067045&quot;/&gt;&lt;wsp:rsid wsp:val=&quot;00067A40&quot;/&gt;&lt;wsp:rsid wsp:val=&quot;00067AA3&quot;/&gt;&lt;wsp:rsid wsp:val=&quot;00067AB9&quot;/&gt;&lt;wsp:rsid wsp:val=&quot;00070000&quot;/&gt;&lt;wsp:rsid wsp:val=&quot;00070067&quot;/&gt;&lt;wsp:rsid wsp:val=&quot;0007015F&quot;/&gt;&lt;wsp:rsid wsp:val=&quot;000702C2&quot;/&gt;&lt;wsp:rsid wsp:val=&quot;000702C6&quot;/&gt;&lt;wsp:rsid wsp:val=&quot;00070A24&quot;/&gt;&lt;wsp:rsid wsp:val=&quot;00071628&quot;/&gt;&lt;wsp:rsid wsp:val=&quot;0007185F&quot;/&gt;&lt;wsp:rsid wsp:val=&quot;00072553&quot;/&gt;&lt;wsp:rsid wsp:val=&quot;00072E07&quot;/&gt;&lt;wsp:rsid wsp:val=&quot;00073729&quot;/&gt;&lt;wsp:rsid wsp:val=&quot;000739F2&quot;/&gt;&lt;wsp:rsid wsp:val=&quot;00073E02&quot;/&gt;&lt;wsp:rsid wsp:val=&quot;00074052&quot;/&gt;&lt;wsp:rsid wsp:val=&quot;00074807&quot;/&gt;&lt;wsp:rsid wsp:val=&quot;00075396&quot;/&gt;&lt;wsp:rsid wsp:val=&quot;00075542&quot;/&gt;&lt;wsp:rsid wsp:val=&quot;00075821&quot;/&gt;&lt;wsp:rsid wsp:val=&quot;00075BDC&quot;/&gt;&lt;wsp:rsid wsp:val=&quot;00075C12&quot;/&gt;&lt;wsp:rsid wsp:val=&quot;00076244&quot;/&gt;&lt;wsp:rsid wsp:val=&quot;0007658B&quot;/&gt;&lt;wsp:rsid wsp:val=&quot;000765A5&quot;/&gt;&lt;wsp:rsid wsp:val=&quot;000766B1&quot;/&gt;&lt;wsp:rsid wsp:val=&quot;00076AEC&quot;/&gt;&lt;wsp:rsid wsp:val=&quot;00076B85&quot;/&gt;&lt;wsp:rsid wsp:val=&quot;00077223&quot;/&gt;&lt;wsp:rsid wsp:val=&quot;000775BC&quot;/&gt;&lt;wsp:rsid wsp:val=&quot;00077735&quot;/&gt;&lt;wsp:rsid wsp:val=&quot;00077964&quot;/&gt;&lt;wsp:rsid wsp:val=&quot;00077AC7&quot;/&gt;&lt;wsp:rsid wsp:val=&quot;00080093&quot;/&gt;&lt;wsp:rsid wsp:val=&quot;00080B60&quot;/&gt;&lt;wsp:rsid wsp:val=&quot;00080D86&quot;/&gt;&lt;wsp:rsid wsp:val=&quot;0008123C&quot;/&gt;&lt;wsp:rsid wsp:val=&quot;000815B0&quot;/&gt;&lt;wsp:rsid wsp:val=&quot;000822F8&quot;/&gt;&lt;wsp:rsid wsp:val=&quot;0008289C&quot;/&gt;&lt;wsp:rsid wsp:val=&quot;00082ACC&quot;/&gt;&lt;wsp:rsid wsp:val=&quot;00082EC5&quot;/&gt;&lt;wsp:rsid wsp:val=&quot;00083307&quot;/&gt;&lt;wsp:rsid wsp:val=&quot;0008338D&quot;/&gt;&lt;wsp:rsid wsp:val=&quot;00083405&quot;/&gt;&lt;wsp:rsid wsp:val=&quot;00083653&quot;/&gt;&lt;wsp:rsid wsp:val=&quot;00083ADB&quot;/&gt;&lt;wsp:rsid wsp:val=&quot;00083BC4&quot;/&gt;&lt;wsp:rsid wsp:val=&quot;00083C79&quot;/&gt;&lt;wsp:rsid wsp:val=&quot;000845BC&quot;/&gt;&lt;wsp:rsid wsp:val=&quot;00084681&quot;/&gt;&lt;wsp:rsid wsp:val=&quot;000849E2&quot;/&gt;&lt;wsp:rsid wsp:val=&quot;00085033&quot;/&gt;&lt;wsp:rsid wsp:val=&quot;0008530A&quot;/&gt;&lt;wsp:rsid wsp:val=&quot;00085A95&quot;/&gt;&lt;wsp:rsid wsp:val=&quot;00085CFD&quot;/&gt;&lt;wsp:rsid wsp:val=&quot;0008620C&quot;/&gt;&lt;wsp:rsid wsp:val=&quot;00086329&quot;/&gt;&lt;wsp:rsid wsp:val=&quot;0008638E&quot;/&gt;&lt;wsp:rsid wsp:val=&quot;00086444&quot;/&gt;&lt;wsp:rsid wsp:val=&quot;00086BB9&quot;/&gt;&lt;wsp:rsid wsp:val=&quot;00087727&quot;/&gt;&lt;wsp:rsid wsp:val=&quot;000877E2&quot;/&gt;&lt;wsp:rsid wsp:val=&quot;00087AC4&quot;/&gt;&lt;wsp:rsid wsp:val=&quot;00087E23&quot;/&gt;&lt;wsp:rsid wsp:val=&quot;0009014C&quot;/&gt;&lt;wsp:rsid wsp:val=&quot;0009092E&quot;/&gt;&lt;wsp:rsid wsp:val=&quot;00090D88&quot;/&gt;&lt;wsp:rsid wsp:val=&quot;00091590&quot;/&gt;&lt;wsp:rsid wsp:val=&quot;0009167E&quot;/&gt;&lt;wsp:rsid wsp:val=&quot;00091B44&quot;/&gt;&lt;wsp:rsid wsp:val=&quot;00091DDD&quot;/&gt;&lt;wsp:rsid wsp:val=&quot;00092244&quot;/&gt;&lt;wsp:rsid wsp:val=&quot;000922A0&quot;/&gt;&lt;wsp:rsid wsp:val=&quot;0009250A&quot;/&gt;&lt;wsp:rsid wsp:val=&quot;00092832&quot;/&gt;&lt;wsp:rsid wsp:val=&quot;00092880&quot;/&gt;&lt;wsp:rsid wsp:val=&quot;000928B8&quot;/&gt;&lt;wsp:rsid wsp:val=&quot;00092BDB&quot;/&gt;&lt;wsp:rsid wsp:val=&quot;00092D38&quot;/&gt;&lt;wsp:rsid wsp:val=&quot;00092DF8&quot;/&gt;&lt;wsp:rsid wsp:val=&quot;00093306&quot;/&gt;&lt;wsp:rsid wsp:val=&quot;00093658&quot;/&gt;&lt;wsp:rsid wsp:val=&quot;000936D3&quot;/&gt;&lt;wsp:rsid wsp:val=&quot;00093D53&quot;/&gt;&lt;wsp:rsid wsp:val=&quot;00093FD6&quot;/&gt;&lt;wsp:rsid wsp:val=&quot;000943A3&quot;/&gt;&lt;wsp:rsid wsp:val=&quot;0009494C&quot;/&gt;&lt;wsp:rsid wsp:val=&quot;00094EE1&quot;/&gt;&lt;wsp:rsid wsp:val=&quot;00095196&quot;/&gt;&lt;wsp:rsid wsp:val=&quot;00095C3B&quot;/&gt;&lt;wsp:rsid wsp:val=&quot;00096485&quot;/&gt;&lt;wsp:rsid wsp:val=&quot;000964BF&quot;/&gt;&lt;wsp:rsid wsp:val=&quot;00096807&quot;/&gt;&lt;wsp:rsid wsp:val=&quot;00096843&quot;/&gt;&lt;wsp:rsid wsp:val=&quot;000968B5&quot;/&gt;&lt;wsp:rsid wsp:val=&quot;00096B2F&quot;/&gt;&lt;wsp:rsid wsp:val=&quot;00096F78&quot;/&gt;&lt;wsp:rsid wsp:val=&quot;00097521&quot;/&gt;&lt;wsp:rsid wsp:val=&quot;000978B1&quot;/&gt;&lt;wsp:rsid wsp:val=&quot;000A002B&quot;/&gt;&lt;wsp:rsid wsp:val=&quot;000A0434&quot;/&gt;&lt;wsp:rsid wsp:val=&quot;000A04F0&quot;/&gt;&lt;wsp:rsid wsp:val=&quot;000A08A6&quot;/&gt;&lt;wsp:rsid wsp:val=&quot;000A0932&quot;/&gt;&lt;wsp:rsid wsp:val=&quot;000A0A93&quot;/&gt;&lt;wsp:rsid wsp:val=&quot;000A0BB0&quot;/&gt;&lt;wsp:rsid wsp:val=&quot;000A0DA2&quot;/&gt;&lt;wsp:rsid wsp:val=&quot;000A16CC&quot;/&gt;&lt;wsp:rsid wsp:val=&quot;000A1A46&quot;/&gt;&lt;wsp:rsid wsp:val=&quot;000A1B18&quot;/&gt;&lt;wsp:rsid wsp:val=&quot;000A1C8A&quot;/&gt;&lt;wsp:rsid wsp:val=&quot;000A379F&quot;/&gt;&lt;wsp:rsid wsp:val=&quot;000A38E0&quot;/&gt;&lt;wsp:rsid wsp:val=&quot;000A39DE&quot;/&gt;&lt;wsp:rsid wsp:val=&quot;000A3C68&quot;/&gt;&lt;wsp:rsid wsp:val=&quot;000A3F95&quot;/&gt;&lt;wsp:rsid wsp:val=&quot;000A4373&quot;/&gt;&lt;wsp:rsid wsp:val=&quot;000A4670&quot;/&gt;&lt;wsp:rsid wsp:val=&quot;000A477D&quot;/&gt;&lt;wsp:rsid wsp:val=&quot;000A47CF&quot;/&gt;&lt;wsp:rsid wsp:val=&quot;000A4C05&quot;/&gt;&lt;wsp:rsid wsp:val=&quot;000A4D03&quot;/&gt;&lt;wsp:rsid wsp:val=&quot;000A4FB4&quot;/&gt;&lt;wsp:rsid wsp:val=&quot;000A4FF6&quot;/&gt;&lt;wsp:rsid wsp:val=&quot;000A512E&quot;/&gt;&lt;wsp:rsid wsp:val=&quot;000A525A&quot;/&gt;&lt;wsp:rsid wsp:val=&quot;000A52FF&quot;/&gt;&lt;wsp:rsid wsp:val=&quot;000A57A2&quot;/&gt;&lt;wsp:rsid wsp:val=&quot;000A5EA9&quot;/&gt;&lt;wsp:rsid wsp:val=&quot;000A611E&quot;/&gt;&lt;wsp:rsid wsp:val=&quot;000A6372&quot;/&gt;&lt;wsp:rsid wsp:val=&quot;000A68B1&quot;/&gt;&lt;wsp:rsid wsp:val=&quot;000A6AAC&quot;/&gt;&lt;wsp:rsid wsp:val=&quot;000A6BF9&quot;/&gt;&lt;wsp:rsid wsp:val=&quot;000A6E06&quot;/&gt;&lt;wsp:rsid wsp:val=&quot;000A718C&quot;/&gt;&lt;wsp:rsid wsp:val=&quot;000A741A&quot;/&gt;&lt;wsp:rsid wsp:val=&quot;000A7430&quot;/&gt;&lt;wsp:rsid wsp:val=&quot;000A7482&quot;/&gt;&lt;wsp:rsid wsp:val=&quot;000A7895&quot;/&gt;&lt;wsp:rsid wsp:val=&quot;000A7BD7&quot;/&gt;&lt;wsp:rsid wsp:val=&quot;000A7D80&quot;/&gt;&lt;wsp:rsid wsp:val=&quot;000B1142&quot;/&gt;&lt;wsp:rsid wsp:val=&quot;000B1322&quot;/&gt;&lt;wsp:rsid wsp:val=&quot;000B149A&quot;/&gt;&lt;wsp:rsid wsp:val=&quot;000B14DF&quot;/&gt;&lt;wsp:rsid wsp:val=&quot;000B167D&quot;/&gt;&lt;wsp:rsid wsp:val=&quot;000B1B67&quot;/&gt;&lt;wsp:rsid wsp:val=&quot;000B1E31&quot;/&gt;&lt;wsp:rsid wsp:val=&quot;000B221A&quot;/&gt;&lt;wsp:rsid wsp:val=&quot;000B251B&quot;/&gt;&lt;wsp:rsid wsp:val=&quot;000B25C3&quot;/&gt;&lt;wsp:rsid wsp:val=&quot;000B27FD&quot;/&gt;&lt;wsp:rsid wsp:val=&quot;000B286C&quot;/&gt;&lt;wsp:rsid wsp:val=&quot;000B2B47&quot;/&gt;&lt;wsp:rsid wsp:val=&quot;000B2B6B&quot;/&gt;&lt;wsp:rsid wsp:val=&quot;000B2C1A&quot;/&gt;&lt;wsp:rsid wsp:val=&quot;000B2EB4&quot;/&gt;&lt;wsp:rsid wsp:val=&quot;000B3481&quot;/&gt;&lt;wsp:rsid wsp:val=&quot;000B3B79&quot;/&gt;&lt;wsp:rsid wsp:val=&quot;000B4097&quot;/&gt;&lt;wsp:rsid wsp:val=&quot;000B40D5&quot;/&gt;&lt;wsp:rsid wsp:val=&quot;000B439E&quot;/&gt;&lt;wsp:rsid wsp:val=&quot;000B4880&quot;/&gt;&lt;wsp:rsid wsp:val=&quot;000B4C48&quot;/&gt;&lt;wsp:rsid wsp:val=&quot;000B51E8&quot;/&gt;&lt;wsp:rsid wsp:val=&quot;000B5B75&quot;/&gt;&lt;wsp:rsid wsp:val=&quot;000B5B94&quot;/&gt;&lt;wsp:rsid wsp:val=&quot;000B5C9E&quot;/&gt;&lt;wsp:rsid wsp:val=&quot;000B641C&quot;/&gt;&lt;wsp:rsid wsp:val=&quot;000B6424&quot;/&gt;&lt;wsp:rsid wsp:val=&quot;000B6501&quot;/&gt;&lt;wsp:rsid wsp:val=&quot;000B6618&quot;/&gt;&lt;wsp:rsid wsp:val=&quot;000B693A&quot;/&gt;&lt;wsp:rsid wsp:val=&quot;000B69BA&quot;/&gt;&lt;wsp:rsid wsp:val=&quot;000B6EF4&quot;/&gt;&lt;wsp:rsid wsp:val=&quot;000B6F17&quot;/&gt;&lt;wsp:rsid wsp:val=&quot;000B6F8A&quot;/&gt;&lt;wsp:rsid wsp:val=&quot;000B7311&quot;/&gt;&lt;wsp:rsid wsp:val=&quot;000B7768&quot;/&gt;&lt;wsp:rsid wsp:val=&quot;000B79A3&quot;/&gt;&lt;wsp:rsid wsp:val=&quot;000C060E&quot;/&gt;&lt;wsp:rsid wsp:val=&quot;000C0854&quot;/&gt;&lt;wsp:rsid wsp:val=&quot;000C0E5A&quot;/&gt;&lt;wsp:rsid wsp:val=&quot;000C0F02&quot;/&gt;&lt;wsp:rsid wsp:val=&quot;000C134A&quot;/&gt;&lt;wsp:rsid wsp:val=&quot;000C1706&quot;/&gt;&lt;wsp:rsid wsp:val=&quot;000C1C1D&quot;/&gt;&lt;wsp:rsid wsp:val=&quot;000C1CF9&quot;/&gt;&lt;wsp:rsid wsp:val=&quot;000C1E63&quot;/&gt;&lt;wsp:rsid wsp:val=&quot;000C1FAA&quot;/&gt;&lt;wsp:rsid wsp:val=&quot;000C2A69&quot;/&gt;&lt;wsp:rsid wsp:val=&quot;000C313A&quot;/&gt;&lt;wsp:rsid wsp:val=&quot;000C313D&quot;/&gt;&lt;wsp:rsid wsp:val=&quot;000C324D&quot;/&gt;&lt;wsp:rsid wsp:val=&quot;000C3271&quot;/&gt;&lt;wsp:rsid wsp:val=&quot;000C34E4&quot;/&gt;&lt;wsp:rsid wsp:val=&quot;000C3563&quot;/&gt;&lt;wsp:rsid wsp:val=&quot;000C36F0&quot;/&gt;&lt;wsp:rsid wsp:val=&quot;000C3850&quot;/&gt;&lt;wsp:rsid wsp:val=&quot;000C3B1C&quot;/&gt;&lt;wsp:rsid wsp:val=&quot;000C3D26&quot;/&gt;&lt;wsp:rsid wsp:val=&quot;000C3E41&quot;/&gt;&lt;wsp:rsid wsp:val=&quot;000C40E5&quot;/&gt;&lt;wsp:rsid wsp:val=&quot;000C458C&quot;/&gt;&lt;wsp:rsid wsp:val=&quot;000C4D5D&quot;/&gt;&lt;wsp:rsid wsp:val=&quot;000C55A4&quot;/&gt;&lt;wsp:rsid wsp:val=&quot;000C5DF7&quot;/&gt;&lt;wsp:rsid wsp:val=&quot;000C6617&quot;/&gt;&lt;wsp:rsid wsp:val=&quot;000C68A4&quot;/&gt;&lt;wsp:rsid wsp:val=&quot;000C695C&quot;/&gt;&lt;wsp:rsid wsp:val=&quot;000C7051&quot;/&gt;&lt;wsp:rsid wsp:val=&quot;000C75BD&quot;/&gt;&lt;wsp:rsid wsp:val=&quot;000C771E&quot;/&gt;&lt;wsp:rsid wsp:val=&quot;000C7AF7&quot;/&gt;&lt;wsp:rsid wsp:val=&quot;000C7FDE&quot;/&gt;&lt;wsp:rsid wsp:val=&quot;000D024B&quot;/&gt;&lt;wsp:rsid wsp:val=&quot;000D03D3&quot;/&gt;&lt;wsp:rsid wsp:val=&quot;000D04D2&quot;/&gt;&lt;wsp:rsid wsp:val=&quot;000D05CB&quot;/&gt;&lt;wsp:rsid wsp:val=&quot;000D06AA&quot;/&gt;&lt;wsp:rsid wsp:val=&quot;000D0A5E&quot;/&gt;&lt;wsp:rsid wsp:val=&quot;000D0E34&quot;/&gt;&lt;wsp:rsid wsp:val=&quot;000D123D&quot;/&gt;&lt;wsp:rsid wsp:val=&quot;000D12B2&quot;/&gt;&lt;wsp:rsid wsp:val=&quot;000D1489&quot;/&gt;&lt;wsp:rsid wsp:val=&quot;000D1698&quot;/&gt;&lt;wsp:rsid wsp:val=&quot;000D1A50&quot;/&gt;&lt;wsp:rsid wsp:val=&quot;000D1C03&quot;/&gt;&lt;wsp:rsid wsp:val=&quot;000D1D53&quot;/&gt;&lt;wsp:rsid wsp:val=&quot;000D232C&quot;/&gt;&lt;wsp:rsid wsp:val=&quot;000D285E&quot;/&gt;&lt;wsp:rsid wsp:val=&quot;000D28F0&quot;/&gt;&lt;wsp:rsid wsp:val=&quot;000D296A&quot;/&gt;&lt;wsp:rsid wsp:val=&quot;000D2992&quot;/&gt;&lt;wsp:rsid wsp:val=&quot;000D2C72&quot;/&gt;&lt;wsp:rsid wsp:val=&quot;000D31FD&quot;/&gt;&lt;wsp:rsid wsp:val=&quot;000D3378&quot;/&gt;&lt;wsp:rsid wsp:val=&quot;000D35B2&quot;/&gt;&lt;wsp:rsid wsp:val=&quot;000D3671&quot;/&gt;&lt;wsp:rsid wsp:val=&quot;000D409D&quot;/&gt;&lt;wsp:rsid wsp:val=&quot;000D4513&quot;/&gt;&lt;wsp:rsid wsp:val=&quot;000D4CD0&quot;/&gt;&lt;wsp:rsid wsp:val=&quot;000D4D1D&quot;/&gt;&lt;wsp:rsid wsp:val=&quot;000D4DC6&quot;/&gt;&lt;wsp:rsid wsp:val=&quot;000D4F86&quot;/&gt;&lt;wsp:rsid wsp:val=&quot;000D50D1&quot;/&gt;&lt;wsp:rsid wsp:val=&quot;000D54E7&quot;/&gt;&lt;wsp:rsid wsp:val=&quot;000D5542&quot;/&gt;&lt;wsp:rsid wsp:val=&quot;000D569C&quot;/&gt;&lt;wsp:rsid wsp:val=&quot;000D57B5&quot;/&gt;&lt;wsp:rsid wsp:val=&quot;000D580C&quot;/&gt;&lt;wsp:rsid wsp:val=&quot;000D5848&quot;/&gt;&lt;wsp:rsid wsp:val=&quot;000D59E3&quot;/&gt;&lt;wsp:rsid wsp:val=&quot;000D5ACC&quot;/&gt;&lt;wsp:rsid wsp:val=&quot;000D5E6D&quot;/&gt;&lt;wsp:rsid wsp:val=&quot;000D5ED1&quot;/&gt;&lt;wsp:rsid wsp:val=&quot;000D6903&quot;/&gt;&lt;wsp:rsid wsp:val=&quot;000D6F84&quot;/&gt;&lt;wsp:rsid wsp:val=&quot;000D6FE1&quot;/&gt;&lt;wsp:rsid wsp:val=&quot;000D708D&quot;/&gt;&lt;wsp:rsid wsp:val=&quot;000D753B&quot;/&gt;&lt;wsp:rsid wsp:val=&quot;000D7FBD&quot;/&gt;&lt;wsp:rsid wsp:val=&quot;000E00E8&quot;/&gt;&lt;wsp:rsid wsp:val=&quot;000E013F&quot;/&gt;&lt;wsp:rsid wsp:val=&quot;000E08A7&quot;/&gt;&lt;wsp:rsid wsp:val=&quot;000E0D19&quot;/&gt;&lt;wsp:rsid wsp:val=&quot;000E1064&quot;/&gt;&lt;wsp:rsid wsp:val=&quot;000E1137&quot;/&gt;&lt;wsp:rsid wsp:val=&quot;000E1324&quot;/&gt;&lt;wsp:rsid wsp:val=&quot;000E147C&quot;/&gt;&lt;wsp:rsid wsp:val=&quot;000E16EE&quot;/&gt;&lt;wsp:rsid wsp:val=&quot;000E1736&quot;/&gt;&lt;wsp:rsid wsp:val=&quot;000E1B5F&quot;/&gt;&lt;wsp:rsid wsp:val=&quot;000E20CF&quot;/&gt;&lt;wsp:rsid wsp:val=&quot;000E2277&quot;/&gt;&lt;wsp:rsid wsp:val=&quot;000E22A7&quot;/&gt;&lt;wsp:rsid wsp:val=&quot;000E22ED&quot;/&gt;&lt;wsp:rsid wsp:val=&quot;000E25F1&quot;/&gt;&lt;wsp:rsid wsp:val=&quot;000E2A13&quot;/&gt;&lt;wsp:rsid wsp:val=&quot;000E32F7&quot;/&gt;&lt;wsp:rsid wsp:val=&quot;000E381E&quot;/&gt;&lt;wsp:rsid wsp:val=&quot;000E3AEB&quot;/&gt;&lt;wsp:rsid wsp:val=&quot;000E4019&quot;/&gt;&lt;wsp:rsid wsp:val=&quot;000E4421&quot;/&gt;&lt;wsp:rsid wsp:val=&quot;000E4906&quot;/&gt;&lt;wsp:rsid wsp:val=&quot;000E4CA2&quot;/&gt;&lt;wsp:rsid wsp:val=&quot;000E4F6D&quot;/&gt;&lt;wsp:rsid wsp:val=&quot;000E5496&quot;/&gt;&lt;wsp:rsid wsp:val=&quot;000E56AD&quot;/&gt;&lt;wsp:rsid wsp:val=&quot;000E56C5&quot;/&gt;&lt;wsp:rsid wsp:val=&quot;000E5B04&quot;/&gt;&lt;wsp:rsid wsp:val=&quot;000E64B9&quot;/&gt;&lt;wsp:rsid wsp:val=&quot;000E6562&quot;/&gt;&lt;wsp:rsid wsp:val=&quot;000E6586&quot;/&gt;&lt;wsp:rsid wsp:val=&quot;000E72CA&quot;/&gt;&lt;wsp:rsid wsp:val=&quot;000E7460&quot;/&gt;&lt;wsp:rsid wsp:val=&quot;000E785F&quot;/&gt;&lt;wsp:rsid wsp:val=&quot;000F0095&quot;/&gt;&lt;wsp:rsid wsp:val=&quot;000F0866&quot;/&gt;&lt;wsp:rsid wsp:val=&quot;000F08DE&quot;/&gt;&lt;wsp:rsid wsp:val=&quot;000F0AEA&quot;/&gt;&lt;wsp:rsid wsp:val=&quot;000F0B14&quot;/&gt;&lt;wsp:rsid wsp:val=&quot;000F0D9D&quot;/&gt;&lt;wsp:rsid wsp:val=&quot;000F1187&quot;/&gt;&lt;wsp:rsid wsp:val=&quot;000F13C2&quot;/&gt;&lt;wsp:rsid wsp:val=&quot;000F15F2&quot;/&gt;&lt;wsp:rsid wsp:val=&quot;000F1830&quot;/&gt;&lt;wsp:rsid wsp:val=&quot;000F2759&quot;/&gt;&lt;wsp:rsid wsp:val=&quot;000F317F&quot;/&gt;&lt;wsp:rsid wsp:val=&quot;000F337B&quot;/&gt;&lt;wsp:rsid wsp:val=&quot;000F3CC7&quot;/&gt;&lt;wsp:rsid wsp:val=&quot;000F403D&quot;/&gt;&lt;wsp:rsid wsp:val=&quot;000F4287&quot;/&gt;&lt;wsp:rsid wsp:val=&quot;000F4389&quot;/&gt;&lt;wsp:rsid wsp:val=&quot;000F484B&quot;/&gt;&lt;wsp:rsid wsp:val=&quot;000F4FAE&quot;/&gt;&lt;wsp:rsid wsp:val=&quot;000F5591&quot;/&gt;&lt;wsp:rsid wsp:val=&quot;000F57E4&quot;/&gt;&lt;wsp:rsid wsp:val=&quot;000F5C16&quot;/&gt;&lt;wsp:rsid wsp:val=&quot;000F60E6&quot;/&gt;&lt;wsp:rsid wsp:val=&quot;000F6F5B&quot;/&gt;&lt;wsp:rsid wsp:val=&quot;000F743B&quot;/&gt;&lt;wsp:rsid wsp:val=&quot;000F79ED&quot;/&gt;&lt;wsp:rsid wsp:val=&quot;000F7E8F&quot;/&gt;&lt;wsp:rsid wsp:val=&quot;00100565&quot;/&gt;&lt;wsp:rsid wsp:val=&quot;0010079F&quot;/&gt;&lt;wsp:rsid wsp:val=&quot;001007F6&quot;/&gt;&lt;wsp:rsid wsp:val=&quot;0010085A&quot;/&gt;&lt;wsp:rsid wsp:val=&quot;00100B18&quot;/&gt;&lt;wsp:rsid wsp:val=&quot;00100C0C&quot;/&gt;&lt;wsp:rsid wsp:val=&quot;00100FA1&quot;/&gt;&lt;wsp:rsid wsp:val=&quot;00100FA5&quot;/&gt;&lt;wsp:rsid wsp:val=&quot;0010136D&quot;/&gt;&lt;wsp:rsid wsp:val=&quot;001013C0&quot;/&gt;&lt;wsp:rsid wsp:val=&quot;0010153E&quot;/&gt;&lt;wsp:rsid wsp:val=&quot;001017D1&quot;/&gt;&lt;wsp:rsid wsp:val=&quot;00101889&quot;/&gt;&lt;wsp:rsid wsp:val=&quot;00101BF0&quot;/&gt;&lt;wsp:rsid wsp:val=&quot;00102343&quot;/&gt;&lt;wsp:rsid wsp:val=&quot;00102433&quot;/&gt;&lt;wsp:rsid wsp:val=&quot;00102564&quot;/&gt;&lt;wsp:rsid wsp:val=&quot;001028FB&quot;/&gt;&lt;wsp:rsid wsp:val=&quot;0010291C&quot;/&gt;&lt;wsp:rsid wsp:val=&quot;00102B88&quot;/&gt;&lt;wsp:rsid wsp:val=&quot;00102C99&quot;/&gt;&lt;wsp:rsid wsp:val=&quot;00103887&quot;/&gt;&lt;wsp:rsid wsp:val=&quot;00103962&quot;/&gt;&lt;wsp:rsid wsp:val=&quot;00103D38&quot;/&gt;&lt;wsp:rsid wsp:val=&quot;00104722&quot;/&gt;&lt;wsp:rsid wsp:val=&quot;00104A66&quot;/&gt;&lt;wsp:rsid wsp:val=&quot;00104A96&quot;/&gt;&lt;wsp:rsid wsp:val=&quot;00104DF2&quot;/&gt;&lt;wsp:rsid wsp:val=&quot;00104E38&quot;/&gt;&lt;wsp:rsid wsp:val=&quot;00104E39&quot;/&gt;&lt;wsp:rsid wsp:val=&quot;001053AC&quot;/&gt;&lt;wsp:rsid wsp:val=&quot;001055E1&quot;/&gt;&lt;wsp:rsid wsp:val=&quot;001057A1&quot;/&gt;&lt;wsp:rsid wsp:val=&quot;00105C11&quot;/&gt;&lt;wsp:rsid wsp:val=&quot;00105CA0&quot;/&gt;&lt;wsp:rsid wsp:val=&quot;0010630B&quot;/&gt;&lt;wsp:rsid wsp:val=&quot;0010653D&quot;/&gt;&lt;wsp:rsid wsp:val=&quot;0010728C&quot;/&gt;&lt;wsp:rsid wsp:val=&quot;00107807&quot;/&gt;&lt;wsp:rsid wsp:val=&quot;0010780B&quot;/&gt;&lt;wsp:rsid wsp:val=&quot;0010794E&quot;/&gt;&lt;wsp:rsid wsp:val=&quot;00107B11&quot;/&gt;&lt;wsp:rsid wsp:val=&quot;00107B79&quot;/&gt;&lt;wsp:rsid wsp:val=&quot;00107D7C&quot;/&gt;&lt;wsp:rsid wsp:val=&quot;00107DE6&quot;/&gt;&lt;wsp:rsid wsp:val=&quot;00110460&quot;/&gt;&lt;wsp:rsid wsp:val=&quot;00110AD1&quot;/&gt;&lt;wsp:rsid wsp:val=&quot;00110B44&quot;/&gt;&lt;wsp:rsid wsp:val=&quot;00110C30&quot;/&gt;&lt;wsp:rsid wsp:val=&quot;00110DE8&quot;/&gt;&lt;wsp:rsid wsp:val=&quot;00111278&quot;/&gt;&lt;wsp:rsid wsp:val=&quot;00111481&quot;/&gt;&lt;wsp:rsid wsp:val=&quot;00111703&quot;/&gt;&lt;wsp:rsid wsp:val=&quot;001122D9&quot;/&gt;&lt;wsp:rsid wsp:val=&quot;001125E5&quot;/&gt;&lt;wsp:rsid wsp:val=&quot;001125E7&quot;/&gt;&lt;wsp:rsid wsp:val=&quot;0011327A&quot;/&gt;&lt;wsp:rsid wsp:val=&quot;001132D9&quot;/&gt;&lt;wsp:rsid wsp:val=&quot;00113605&quot;/&gt;&lt;wsp:rsid wsp:val=&quot;00113943&quot;/&gt;&lt;wsp:rsid wsp:val=&quot;00113975&quot;/&gt;&lt;wsp:rsid wsp:val=&quot;00113AE1&quot;/&gt;&lt;wsp:rsid wsp:val=&quot;00113D29&quot;/&gt;&lt;wsp:rsid wsp:val=&quot;0011400E&quot;/&gt;&lt;wsp:rsid wsp:val=&quot;0011403F&quot;/&gt;&lt;wsp:rsid wsp:val=&quot;001144DA&quot;/&gt;&lt;wsp:rsid wsp:val=&quot;0011463D&quot;/&gt;&lt;wsp:rsid wsp:val=&quot;001147C3&quot;/&gt;&lt;wsp:rsid wsp:val=&quot;00115092&quot;/&gt;&lt;wsp:rsid wsp:val=&quot;001151F3&quot;/&gt;&lt;wsp:rsid wsp:val=&quot;001151FC&quot;/&gt;&lt;wsp:rsid wsp:val=&quot;00115369&quot;/&gt;&lt;wsp:rsid wsp:val=&quot;00115564&quot;/&gt;&lt;wsp:rsid wsp:val=&quot;00115E0B&quot;/&gt;&lt;wsp:rsid wsp:val=&quot;00115E7A&quot;/&gt;&lt;wsp:rsid wsp:val=&quot;00115FB8&quot;/&gt;&lt;wsp:rsid wsp:val=&quot;001163B4&quot;/&gt;&lt;wsp:rsid wsp:val=&quot;0011652B&quot;/&gt;&lt;wsp:rsid wsp:val=&quot;0011673A&quot;/&gt;&lt;wsp:rsid wsp:val=&quot;001167F3&quot;/&gt;&lt;wsp:rsid wsp:val=&quot;0011681B&quot;/&gt;&lt;wsp:rsid wsp:val=&quot;00116D9F&quot;/&gt;&lt;wsp:rsid wsp:val=&quot;00117135&quot;/&gt;&lt;wsp:rsid wsp:val=&quot;00117DF4&quot;/&gt;&lt;wsp:rsid wsp:val=&quot;00117E44&quot;/&gt;&lt;wsp:rsid wsp:val=&quot;001208F5&quot;/&gt;&lt;wsp:rsid wsp:val=&quot;00120EEF&quot;/&gt;&lt;wsp:rsid wsp:val=&quot;00121126&quot;/&gt;&lt;wsp:rsid wsp:val=&quot;00121370&quot;/&gt;&lt;wsp:rsid wsp:val=&quot;00121427&quot;/&gt;&lt;wsp:rsid wsp:val=&quot;00121B9F&quot;/&gt;&lt;wsp:rsid wsp:val=&quot;001225E5&quot;/&gt;&lt;wsp:rsid wsp:val=&quot;00123406&quot;/&gt;&lt;wsp:rsid wsp:val=&quot;00124033&quot;/&gt;&lt;wsp:rsid wsp:val=&quot;0012413D&quot;/&gt;&lt;wsp:rsid wsp:val=&quot;0012415F&quot;/&gt;&lt;wsp:rsid wsp:val=&quot;0012466D&quot;/&gt;&lt;wsp:rsid wsp:val=&quot;001246E9&quot;/&gt;&lt;wsp:rsid wsp:val=&quot;00124768&quot;/&gt;&lt;wsp:rsid wsp:val=&quot;0012480C&quot;/&gt;&lt;wsp:rsid wsp:val=&quot;00124B97&quot;/&gt;&lt;wsp:rsid wsp:val=&quot;00124D10&quot;/&gt;&lt;wsp:rsid wsp:val=&quot;00124EFA&quot;/&gt;&lt;wsp:rsid wsp:val=&quot;001253F8&quot;/&gt;&lt;wsp:rsid wsp:val=&quot;001256E6&quot;/&gt;&lt;wsp:rsid wsp:val=&quot;00125704&quot;/&gt;&lt;wsp:rsid wsp:val=&quot;00125993&quot;/&gt;&lt;wsp:rsid wsp:val=&quot;00125E3E&quot;/&gt;&lt;wsp:rsid wsp:val=&quot;00125EC8&quot;/&gt;&lt;wsp:rsid wsp:val=&quot;001267F3&quot;/&gt;&lt;wsp:rsid wsp:val=&quot;00126B33&quot;/&gt;&lt;wsp:rsid wsp:val=&quot;00126B66&quot;/&gt;&lt;wsp:rsid wsp:val=&quot;00126C2D&quot;/&gt;&lt;wsp:rsid wsp:val=&quot;001275D2&quot;/&gt;&lt;wsp:rsid wsp:val=&quot;0012786E&quot;/&gt;&lt;wsp:rsid wsp:val=&quot;00127BAB&quot;/&gt;&lt;wsp:rsid wsp:val=&quot;00127E98&quot;/&gt;&lt;wsp:rsid wsp:val=&quot;00127FB2&quot;/&gt;&lt;wsp:rsid wsp:val=&quot;00127FB5&quot;/&gt;&lt;wsp:rsid wsp:val=&quot;00130A74&quot;/&gt;&lt;wsp:rsid wsp:val=&quot;00130C1F&quot;/&gt;&lt;wsp:rsid wsp:val=&quot;00130DF6&quot;/&gt;&lt;wsp:rsid wsp:val=&quot;001312C9&quot;/&gt;&lt;wsp:rsid wsp:val=&quot;001321C2&quot;/&gt;&lt;wsp:rsid wsp:val=&quot;0013228C&quot;/&gt;&lt;wsp:rsid wsp:val=&quot;00132445&quot;/&gt;&lt;wsp:rsid wsp:val=&quot;001324E1&quot;/&gt;&lt;wsp:rsid wsp:val=&quot;00132A51&quot;/&gt;&lt;wsp:rsid wsp:val=&quot;00132F01&quot;/&gt;&lt;wsp:rsid wsp:val=&quot;001331C9&quot;/&gt;&lt;wsp:rsid wsp:val=&quot;00133252&quot;/&gt;&lt;wsp:rsid wsp:val=&quot;0013329B&quot;/&gt;&lt;wsp:rsid wsp:val=&quot;0013382F&quot;/&gt;&lt;wsp:rsid wsp:val=&quot;00133B6E&quot;/&gt;&lt;wsp:rsid wsp:val=&quot;00133C59&quot;/&gt;&lt;wsp:rsid wsp:val=&quot;001340D6&quot;/&gt;&lt;wsp:rsid wsp:val=&quot;0013449E&quot;/&gt;&lt;wsp:rsid wsp:val=&quot;001348A5&quot;/&gt;&lt;wsp:rsid wsp:val=&quot;00134C65&quot;/&gt;&lt;wsp:rsid wsp:val=&quot;00135B13&quot;/&gt;&lt;wsp:rsid wsp:val=&quot;00135BE2&quot;/&gt;&lt;wsp:rsid wsp:val=&quot;00135E40&quot;/&gt;&lt;wsp:rsid wsp:val=&quot;00136038&quot;/&gt;&lt;wsp:rsid wsp:val=&quot;00136172&quot;/&gt;&lt;wsp:rsid wsp:val=&quot;00136726&quot;/&gt;&lt;wsp:rsid wsp:val=&quot;0013675C&quot;/&gt;&lt;wsp:rsid wsp:val=&quot;00136943&quot;/&gt;&lt;wsp:rsid wsp:val=&quot;00136DD5&quot;/&gt;&lt;wsp:rsid wsp:val=&quot;00137CD1&quot;/&gt;&lt;wsp:rsid wsp:val=&quot;00137DDF&quot;/&gt;&lt;wsp:rsid wsp:val=&quot;00140462&quot;/&gt;&lt;wsp:rsid wsp:val=&quot;001405F2&quot;/&gt;&lt;wsp:rsid wsp:val=&quot;00140671&quot;/&gt;&lt;wsp:rsid wsp:val=&quot;00140930&quot;/&gt;&lt;wsp:rsid wsp:val=&quot;00140D73&quot;/&gt;&lt;wsp:rsid wsp:val=&quot;0014116A&quot;/&gt;&lt;wsp:rsid wsp:val=&quot;0014122E&quot;/&gt;&lt;wsp:rsid wsp:val=&quot;001412BE&quot;/&gt;&lt;wsp:rsid wsp:val=&quot;0014148D&quot;/&gt;&lt;wsp:rsid wsp:val=&quot;00141775&quot;/&gt;&lt;wsp:rsid wsp:val=&quot;001419DB&quot;/&gt;&lt;wsp:rsid wsp:val=&quot;00141C07&quot;/&gt;&lt;wsp:rsid wsp:val=&quot;00141C08&quot;/&gt;&lt;wsp:rsid wsp:val=&quot;00141C38&quot;/&gt;&lt;wsp:rsid wsp:val=&quot;00141EB4&quot;/&gt;&lt;wsp:rsid wsp:val=&quot;00141F2E&quot;/&gt;&lt;wsp:rsid wsp:val=&quot;00141FDD&quot;/&gt;&lt;wsp:rsid wsp:val=&quot;0014294F&quot;/&gt;&lt;wsp:rsid wsp:val=&quot;001429CB&quot;/&gt;&lt;wsp:rsid wsp:val=&quot;00142FE8&quot;/&gt;&lt;wsp:rsid wsp:val=&quot;0014322A&quot;/&gt;&lt;wsp:rsid wsp:val=&quot;001436EE&quot;/&gt;&lt;wsp:rsid wsp:val=&quot;00143B0F&quot;/&gt;&lt;wsp:rsid wsp:val=&quot;00143BC4&quot;/&gt;&lt;wsp:rsid wsp:val=&quot;00143C67&quot;/&gt;&lt;wsp:rsid wsp:val=&quot;00143F7F&quot;/&gt;&lt;wsp:rsid wsp:val=&quot;00144047&quot;/&gt;&lt;wsp:rsid wsp:val=&quot;00144059&quot;/&gt;&lt;wsp:rsid wsp:val=&quot;001440E7&quot;/&gt;&lt;wsp:rsid wsp:val=&quot;00144344&quot;/&gt;&lt;wsp:rsid wsp:val=&quot;00144374&quot;/&gt;&lt;wsp:rsid wsp:val=&quot;0014437D&quot;/&gt;&lt;wsp:rsid wsp:val=&quot;0014466E&quot;/&gt;&lt;wsp:rsid wsp:val=&quot;00144673&quot;/&gt;&lt;wsp:rsid wsp:val=&quot;001446D2&quot;/&gt;&lt;wsp:rsid wsp:val=&quot;00144726&quot;/&gt;&lt;wsp:rsid wsp:val=&quot;00144767&quot;/&gt;&lt;wsp:rsid wsp:val=&quot;0014490D&quot;/&gt;&lt;wsp:rsid wsp:val=&quot;00144F35&quot;/&gt;&lt;wsp:rsid wsp:val=&quot;00145331&quot;/&gt;&lt;wsp:rsid wsp:val=&quot;001455DE&quot;/&gt;&lt;wsp:rsid wsp:val=&quot;00145803&quot;/&gt;&lt;wsp:rsid wsp:val=&quot;00145BF2&quot;/&gt;&lt;wsp:rsid wsp:val=&quot;00145C4D&quot;/&gt;&lt;wsp:rsid wsp:val=&quot;00146184&quot;/&gt;&lt;wsp:rsid wsp:val=&quot;00146391&quot;/&gt;&lt;wsp:rsid wsp:val=&quot;00146607&quot;/&gt;&lt;wsp:rsid wsp:val=&quot;0014699F&quot;/&gt;&lt;wsp:rsid wsp:val=&quot;00146A2F&quot;/&gt;&lt;wsp:rsid wsp:val=&quot;00146B05&quot;/&gt;&lt;wsp:rsid wsp:val=&quot;00146C8A&quot;/&gt;&lt;wsp:rsid wsp:val=&quot;00146D55&quot;/&gt;&lt;wsp:rsid wsp:val=&quot;00146F18&quot;/&gt;&lt;wsp:rsid wsp:val=&quot;00147126&quot;/&gt;&lt;wsp:rsid wsp:val=&quot;0014724F&quot;/&gt;&lt;wsp:rsid wsp:val=&quot;00147295&quot;/&gt;&lt;wsp:rsid wsp:val=&quot;00147818&quot;/&gt;&lt;wsp:rsid wsp:val=&quot;00147FEF&quot;/&gt;&lt;wsp:rsid wsp:val=&quot;00150376&quot;/&gt;&lt;wsp:rsid wsp:val=&quot;001503D0&quot;/&gt;&lt;wsp:rsid wsp:val=&quot;00150521&quot;/&gt;&lt;wsp:rsid wsp:val=&quot;00150814&quot;/&gt;&lt;wsp:rsid wsp:val=&quot;0015087D&quot;/&gt;&lt;wsp:rsid wsp:val=&quot;0015097F&quot;/&gt;&lt;wsp:rsid wsp:val=&quot;001509CA&quot;/&gt;&lt;wsp:rsid wsp:val=&quot;00150C1E&quot;/&gt;&lt;wsp:rsid wsp:val=&quot;0015167F&quot;/&gt;&lt;wsp:rsid wsp:val=&quot;00151943&quot;/&gt;&lt;wsp:rsid wsp:val=&quot;00151F94&quot;/&gt;&lt;wsp:rsid wsp:val=&quot;001524FB&quot;/&gt;&lt;wsp:rsid wsp:val=&quot;00152701&quot;/&gt;&lt;wsp:rsid wsp:val=&quot;00152B08&quot;/&gt;&lt;wsp:rsid wsp:val=&quot;00153540&quot;/&gt;&lt;wsp:rsid wsp:val=&quot;00153976&quot;/&gt;&lt;wsp:rsid wsp:val=&quot;00153DAE&quot;/&gt;&lt;wsp:rsid wsp:val=&quot;00153DC2&quot;/&gt;&lt;wsp:rsid wsp:val=&quot;001540BA&quot;/&gt;&lt;wsp:rsid wsp:val=&quot;00154274&quot;/&gt;&lt;wsp:rsid wsp:val=&quot;001543E0&quot;/&gt;&lt;wsp:rsid wsp:val=&quot;00154653&quot;/&gt;&lt;wsp:rsid wsp:val=&quot;00154F6D&quot;/&gt;&lt;wsp:rsid wsp:val=&quot;001556FC&quot;/&gt;&lt;wsp:rsid wsp:val=&quot;0015573A&quot;/&gt;&lt;wsp:rsid wsp:val=&quot;00155EEA&quot;/&gt;&lt;wsp:rsid wsp:val=&quot;00155FD9&quot;/&gt;&lt;wsp:rsid wsp:val=&quot;00156434&quot;/&gt;&lt;wsp:rsid wsp:val=&quot;00156556&quot;/&gt;&lt;wsp:rsid wsp:val=&quot;00156744&quot;/&gt;&lt;wsp:rsid wsp:val=&quot;00157387&quot;/&gt;&lt;wsp:rsid wsp:val=&quot;00157584&quot;/&gt;&lt;wsp:rsid wsp:val=&quot;001575D4&quot;/&gt;&lt;wsp:rsid wsp:val=&quot;001575F8&quot;/&gt;&lt;wsp:rsid wsp:val=&quot;00157648&quot;/&gt;&lt;wsp:rsid wsp:val=&quot;00157866&quot;/&gt;&lt;wsp:rsid wsp:val=&quot;00157980&quot;/&gt;&lt;wsp:rsid wsp:val=&quot;00157E05&quot;/&gt;&lt;wsp:rsid wsp:val=&quot;00160454&quot;/&gt;&lt;wsp:rsid wsp:val=&quot;0016058D&quot;/&gt;&lt;wsp:rsid wsp:val=&quot;001607E5&quot;/&gt;&lt;wsp:rsid wsp:val=&quot;00160980&quot;/&gt;&lt;wsp:rsid wsp:val=&quot;00160AD4&quot;/&gt;&lt;wsp:rsid wsp:val=&quot;00160BC7&quot;/&gt;&lt;wsp:rsid wsp:val=&quot;0016130B&quot;/&gt;&lt;wsp:rsid wsp:val=&quot;00161353&quot;/&gt;&lt;wsp:rsid wsp:val=&quot;00161462&quot;/&gt;&lt;wsp:rsid wsp:val=&quot;00161490&quot;/&gt;&lt;wsp:rsid wsp:val=&quot;0016182B&quot;/&gt;&lt;wsp:rsid wsp:val=&quot;00161DB9&quot;/&gt;&lt;wsp:rsid wsp:val=&quot;00162104&quot;/&gt;&lt;wsp:rsid wsp:val=&quot;00162740&quot;/&gt;&lt;wsp:rsid wsp:val=&quot;001628A9&quot;/&gt;&lt;wsp:rsid wsp:val=&quot;00162E69&quot;/&gt;&lt;wsp:rsid wsp:val=&quot;00163665&quot;/&gt;&lt;wsp:rsid wsp:val=&quot;00163743&quot;/&gt;&lt;wsp:rsid wsp:val=&quot;00163994&quot;/&gt;&lt;wsp:rsid wsp:val=&quot;001639AB&quot;/&gt;&lt;wsp:rsid wsp:val=&quot;001645C3&quot;/&gt;&lt;wsp:rsid wsp:val=&quot;00164650&quot;/&gt;&lt;wsp:rsid wsp:val=&quot;001649E4&quot;/&gt;&lt;wsp:rsid wsp:val=&quot;00164C4E&quot;/&gt;&lt;wsp:rsid wsp:val=&quot;00164FC4&quot;/&gt;&lt;wsp:rsid wsp:val=&quot;001657A1&quot;/&gt;&lt;wsp:rsid wsp:val=&quot;00165961&quot;/&gt;&lt;wsp:rsid wsp:val=&quot;00165B3A&quot;/&gt;&lt;wsp:rsid wsp:val=&quot;001669D3&quot;/&gt;&lt;wsp:rsid wsp:val=&quot;00166F4B&quot;/&gt;&lt;wsp:rsid wsp:val=&quot;00166FBD&quot;/&gt;&lt;wsp:rsid wsp:val=&quot;0016714B&quot;/&gt;&lt;wsp:rsid wsp:val=&quot;001674EC&quot;/&gt;&lt;wsp:rsid wsp:val=&quot;00167577&quot;/&gt;&lt;wsp:rsid wsp:val=&quot;0017016D&quot;/&gt;&lt;wsp:rsid wsp:val=&quot;001701DB&quot;/&gt;&lt;wsp:rsid wsp:val=&quot;001702AB&quot;/&gt;&lt;wsp:rsid wsp:val=&quot;001702D1&quot;/&gt;&lt;wsp:rsid wsp:val=&quot;001711EE&quot;/&gt;&lt;wsp:rsid wsp:val=&quot;001715F7&quot;/&gt;&lt;wsp:rsid wsp:val=&quot;00171C5B&quot;/&gt;&lt;wsp:rsid wsp:val=&quot;00171D1D&quot;/&gt;&lt;wsp:rsid wsp:val=&quot;00171D8A&quot;/&gt;&lt;wsp:rsid wsp:val=&quot;00172378&quot;/&gt;&lt;wsp:rsid wsp:val=&quot;001727E1&quot;/&gt;&lt;wsp:rsid wsp:val=&quot;0017294C&quot;/&gt;&lt;wsp:rsid wsp:val=&quot;00172971&quot;/&gt;&lt;wsp:rsid wsp:val=&quot;00173011&quot;/&gt;&lt;wsp:rsid wsp:val=&quot;0017323B&quot;/&gt;&lt;wsp:rsid wsp:val=&quot;00173241&quot;/&gt;&lt;wsp:rsid wsp:val=&quot;00173670&quot;/&gt;&lt;wsp:rsid wsp:val=&quot;0017389A&quot;/&gt;&lt;wsp:rsid wsp:val=&quot;00173C4A&quot;/&gt;&lt;wsp:rsid wsp:val=&quot;00173ECC&quot;/&gt;&lt;wsp:rsid wsp:val=&quot;00174454&quot;/&gt;&lt;wsp:rsid wsp:val=&quot;001745DE&quot;/&gt;&lt;wsp:rsid wsp:val=&quot;00175009&quot;/&gt;&lt;wsp:rsid wsp:val=&quot;001751C4&quot;/&gt;&lt;wsp:rsid wsp:val=&quot;00175348&quot;/&gt;&lt;wsp:rsid wsp:val=&quot;00175713&quot;/&gt;&lt;wsp:rsid wsp:val=&quot;00175844&quot;/&gt;&lt;wsp:rsid wsp:val=&quot;001762BD&quot;/&gt;&lt;wsp:rsid wsp:val=&quot;001769AA&quot;/&gt;&lt;wsp:rsid wsp:val=&quot;001773E7&quot;/&gt;&lt;wsp:rsid wsp:val=&quot;001774A5&quot;/&gt;&lt;wsp:rsid wsp:val=&quot;00177518&quot;/&gt;&lt;wsp:rsid wsp:val=&quot;001775EF&quot;/&gt;&lt;wsp:rsid wsp:val=&quot;00177C23&quot;/&gt;&lt;wsp:rsid wsp:val=&quot;00177C63&quot;/&gt;&lt;wsp:rsid wsp:val=&quot;00177D8A&quot;/&gt;&lt;wsp:rsid wsp:val=&quot;0018028C&quot;/&gt;&lt;wsp:rsid wsp:val=&quot;0018034A&quot;/&gt;&lt;wsp:rsid wsp:val=&quot;001804DC&quot;/&gt;&lt;wsp:rsid wsp:val=&quot;0018072A&quot;/&gt;&lt;wsp:rsid wsp:val=&quot;00180756&quot;/&gt;&lt;wsp:rsid wsp:val=&quot;001807D6&quot;/&gt;&lt;wsp:rsid wsp:val=&quot;00180838&quot;/&gt;&lt;wsp:rsid wsp:val=&quot;00180AB2&quot;/&gt;&lt;wsp:rsid wsp:val=&quot;00180AC9&quot;/&gt;&lt;wsp:rsid wsp:val=&quot;00180C62&quot;/&gt;&lt;wsp:rsid wsp:val=&quot;00180CB8&quot;/&gt;&lt;wsp:rsid wsp:val=&quot;0018185E&quot;/&gt;&lt;wsp:rsid wsp:val=&quot;00181916&quot;/&gt;&lt;wsp:rsid wsp:val=&quot;001819E1&quot;/&gt;&lt;wsp:rsid wsp:val=&quot;00181AF5&quot;/&gt;&lt;wsp:rsid wsp:val=&quot;00181D86&quot;/&gt;&lt;wsp:rsid wsp:val=&quot;00182435&quot;/&gt;&lt;wsp:rsid wsp:val=&quot;0018270F&quot;/&gt;&lt;wsp:rsid wsp:val=&quot;00182B5D&quot;/&gt;&lt;wsp:rsid wsp:val=&quot;00182C59&quot;/&gt;&lt;wsp:rsid wsp:val=&quot;00182D3D&quot;/&gt;&lt;wsp:rsid wsp:val=&quot;00182DD9&quot;/&gt;&lt;wsp:rsid wsp:val=&quot;001830E6&quot;/&gt;&lt;wsp:rsid wsp:val=&quot;001833EA&quot;/&gt;&lt;wsp:rsid wsp:val=&quot;0018344F&quot;/&gt;&lt;wsp:rsid wsp:val=&quot;00183C87&quot;/&gt;&lt;wsp:rsid wsp:val=&quot;00184DF4&quot;/&gt;&lt;wsp:rsid wsp:val=&quot;00184E1F&quot;/&gt;&lt;wsp:rsid wsp:val=&quot;00184E5F&quot;/&gt;&lt;wsp:rsid wsp:val=&quot;00184EA7&quot;/&gt;&lt;wsp:rsid wsp:val=&quot;00184F02&quot;/&gt;&lt;wsp:rsid wsp:val=&quot;001851CE&quot;/&gt;&lt;wsp:rsid wsp:val=&quot;001859B1&quot;/&gt;&lt;wsp:rsid wsp:val=&quot;0018645F&quot;/&gt;&lt;wsp:rsid wsp:val=&quot;00186981&quot;/&gt;&lt;wsp:rsid wsp:val=&quot;00186F25&quot;/&gt;&lt;wsp:rsid wsp:val=&quot;00187388&quot;/&gt;&lt;wsp:rsid wsp:val=&quot;00187D3C&quot;/&gt;&lt;wsp:rsid wsp:val=&quot;00187E46&quot;/&gt;&lt;wsp:rsid wsp:val=&quot;00190701&quot;/&gt;&lt;wsp:rsid wsp:val=&quot;00190B5D&quot;/&gt;&lt;wsp:rsid wsp:val=&quot;00190C3E&quot;/&gt;&lt;wsp:rsid wsp:val=&quot;00190EBA&quot;/&gt;&lt;wsp:rsid wsp:val=&quot;00191054&quot;/&gt;&lt;wsp:rsid wsp:val=&quot;0019249F&quot;/&gt;&lt;wsp:rsid wsp:val=&quot;00192717&quot;/&gt;&lt;wsp:rsid wsp:val=&quot;00192EA2&quot;/&gt;&lt;wsp:rsid wsp:val=&quot;00193079&quot;/&gt;&lt;wsp:rsid wsp:val=&quot;0019361F&quot;/&gt;&lt;wsp:rsid wsp:val=&quot;0019383D&quot;/&gt;&lt;wsp:rsid wsp:val=&quot;00194523&quot;/&gt;&lt;wsp:rsid wsp:val=&quot;0019482F&quot;/&gt;&lt;wsp:rsid wsp:val=&quot;00194E37&quot;/&gt;&lt;wsp:rsid wsp:val=&quot;00194EE0&quot;/&gt;&lt;wsp:rsid wsp:val=&quot;00195278&quot;/&gt;&lt;wsp:rsid wsp:val=&quot;001952EF&quot;/&gt;&lt;wsp:rsid wsp:val=&quot;0019531D&quot;/&gt;&lt;wsp:rsid wsp:val=&quot;001959E3&quot;/&gt;&lt;wsp:rsid wsp:val=&quot;00195B86&quot;/&gt;&lt;wsp:rsid wsp:val=&quot;00195F8B&quot;/&gt;&lt;wsp:rsid wsp:val=&quot;00196048&quot;/&gt;&lt;wsp:rsid wsp:val=&quot;00196061&quot;/&gt;&lt;wsp:rsid wsp:val=&quot;00196267&quot;/&gt;&lt;wsp:rsid wsp:val=&quot;001962DB&quot;/&gt;&lt;wsp:rsid wsp:val=&quot;001964A3&quot;/&gt;&lt;wsp:rsid wsp:val=&quot;001965B3&quot;/&gt;&lt;wsp:rsid wsp:val=&quot;0019674E&quot;/&gt;&lt;wsp:rsid wsp:val=&quot;0019686A&quot;/&gt;&lt;wsp:rsid wsp:val=&quot;00196903&quot;/&gt;&lt;wsp:rsid wsp:val=&quot;00196CEE&quot;/&gt;&lt;wsp:rsid wsp:val=&quot;00196D2C&quot;/&gt;&lt;wsp:rsid wsp:val=&quot;00196E61&quot;/&gt;&lt;wsp:rsid wsp:val=&quot;0019781F&quot;/&gt;&lt;wsp:rsid wsp:val=&quot;001978D8&quot;/&gt;&lt;wsp:rsid wsp:val=&quot;0019796F&quot;/&gt;&lt;wsp:rsid wsp:val=&quot;00197ACD&quot;/&gt;&lt;wsp:rsid wsp:val=&quot;00197BD5&quot;/&gt;&lt;wsp:rsid wsp:val=&quot;00197C63&quot;/&gt;&lt;wsp:rsid wsp:val=&quot;00197D10&quot;/&gt;&lt;wsp:rsid wsp:val=&quot;001A01F8&quot;/&gt;&lt;wsp:rsid wsp:val=&quot;001A0910&quot;/&gt;&lt;wsp:rsid wsp:val=&quot;001A0D8A&quot;/&gt;&lt;wsp:rsid wsp:val=&quot;001A1081&quot;/&gt;&lt;wsp:rsid wsp:val=&quot;001A137C&quot;/&gt;&lt;wsp:rsid wsp:val=&quot;001A15C6&quot;/&gt;&lt;wsp:rsid wsp:val=&quot;001A1E78&quot;/&gt;&lt;wsp:rsid wsp:val=&quot;001A24C9&quot;/&gt;&lt;wsp:rsid wsp:val=&quot;001A26BE&quot;/&gt;&lt;wsp:rsid wsp:val=&quot;001A2BC3&quot;/&gt;&lt;wsp:rsid wsp:val=&quot;001A3487&quot;/&gt;&lt;wsp:rsid wsp:val=&quot;001A3995&quot;/&gt;&lt;wsp:rsid wsp:val=&quot;001A4906&quot;/&gt;&lt;wsp:rsid wsp:val=&quot;001A4F58&quot;/&gt;&lt;wsp:rsid wsp:val=&quot;001A58EB&quot;/&gt;&lt;wsp:rsid wsp:val=&quot;001A5E4D&quot;/&gt;&lt;wsp:rsid wsp:val=&quot;001A5F78&quot;/&gt;&lt;wsp:rsid wsp:val=&quot;001A62C8&quot;/&gt;&lt;wsp:rsid wsp:val=&quot;001A642D&quot;/&gt;&lt;wsp:rsid wsp:val=&quot;001A65EA&quot;/&gt;&lt;wsp:rsid wsp:val=&quot;001A66B2&quot;/&gt;&lt;wsp:rsid wsp:val=&quot;001A7199&quot;/&gt;&lt;wsp:rsid wsp:val=&quot;001A7307&quot;/&gt;&lt;wsp:rsid wsp:val=&quot;001A786A&quot;/&gt;&lt;wsp:rsid wsp:val=&quot;001A7B4C&quot;/&gt;&lt;wsp:rsid wsp:val=&quot;001A7BCF&quot;/&gt;&lt;wsp:rsid wsp:val=&quot;001A7D02&quot;/&gt;&lt;wsp:rsid wsp:val=&quot;001A7E5E&quot;/&gt;&lt;wsp:rsid wsp:val=&quot;001A7E73&quot;/&gt;&lt;wsp:rsid wsp:val=&quot;001B0343&quot;/&gt;&lt;wsp:rsid wsp:val=&quot;001B0C29&quot;/&gt;&lt;wsp:rsid wsp:val=&quot;001B143F&quot;/&gt;&lt;wsp:rsid wsp:val=&quot;001B177A&quot;/&gt;&lt;wsp:rsid wsp:val=&quot;001B1E97&quot;/&gt;&lt;wsp:rsid wsp:val=&quot;001B1F9B&quot;/&gt;&lt;wsp:rsid wsp:val=&quot;001B2007&quot;/&gt;&lt;wsp:rsid wsp:val=&quot;001B24B5&quot;/&gt;&lt;wsp:rsid wsp:val=&quot;001B2C07&quot;/&gt;&lt;wsp:rsid wsp:val=&quot;001B2C65&quot;/&gt;&lt;wsp:rsid wsp:val=&quot;001B30B6&quot;/&gt;&lt;wsp:rsid wsp:val=&quot;001B3352&quot;/&gt;&lt;wsp:rsid wsp:val=&quot;001B366C&quot;/&gt;&lt;wsp:rsid wsp:val=&quot;001B480D&quot;/&gt;&lt;wsp:rsid wsp:val=&quot;001B50EC&quot;/&gt;&lt;wsp:rsid wsp:val=&quot;001B5245&quot;/&gt;&lt;wsp:rsid wsp:val=&quot;001B5723&quot;/&gt;&lt;wsp:rsid wsp:val=&quot;001B5778&quot;/&gt;&lt;wsp:rsid wsp:val=&quot;001B59EA&quot;/&gt;&lt;wsp:rsid wsp:val=&quot;001B5CF0&quot;/&gt;&lt;wsp:rsid wsp:val=&quot;001B5F1B&quot;/&gt;&lt;wsp:rsid wsp:val=&quot;001B5FC3&quot;/&gt;&lt;wsp:rsid wsp:val=&quot;001B6134&quot;/&gt;&lt;wsp:rsid wsp:val=&quot;001B62BE&quot;/&gt;&lt;wsp:rsid wsp:val=&quot;001B6449&quot;/&gt;&lt;wsp:rsid wsp:val=&quot;001B6589&quot;/&gt;&lt;wsp:rsid wsp:val=&quot;001B6727&quot;/&gt;&lt;wsp:rsid wsp:val=&quot;001B677A&quot;/&gt;&lt;wsp:rsid wsp:val=&quot;001B6841&quot;/&gt;&lt;wsp:rsid wsp:val=&quot;001B6EA0&quot;/&gt;&lt;wsp:rsid wsp:val=&quot;001B7237&quot;/&gt;&lt;wsp:rsid wsp:val=&quot;001B72A0&quot;/&gt;&lt;wsp:rsid wsp:val=&quot;001B72CE&quot;/&gt;&lt;wsp:rsid wsp:val=&quot;001B7314&quot;/&gt;&lt;wsp:rsid wsp:val=&quot;001B7436&quot;/&gt;&lt;wsp:rsid wsp:val=&quot;001B7EC8&quot;/&gt;&lt;wsp:rsid wsp:val=&quot;001C0401&quot;/&gt;&lt;wsp:rsid wsp:val=&quot;001C04E9&quot;/&gt;&lt;wsp:rsid wsp:val=&quot;001C0961&quot;/&gt;&lt;wsp:rsid wsp:val=&quot;001C0976&quot;/&gt;&lt;wsp:rsid wsp:val=&quot;001C09FF&quot;/&gt;&lt;wsp:rsid wsp:val=&quot;001C0A5F&quot;/&gt;&lt;wsp:rsid wsp:val=&quot;001C0AE9&quot;/&gt;&lt;wsp:rsid wsp:val=&quot;001C0B0E&quot;/&gt;&lt;wsp:rsid wsp:val=&quot;001C0C95&quot;/&gt;&lt;wsp:rsid wsp:val=&quot;001C0CD6&quot;/&gt;&lt;wsp:rsid wsp:val=&quot;001C16B9&quot;/&gt;&lt;wsp:rsid wsp:val=&quot;001C187C&quot;/&gt;&lt;wsp:rsid wsp:val=&quot;001C18C0&quot;/&gt;&lt;wsp:rsid wsp:val=&quot;001C1C58&quot;/&gt;&lt;wsp:rsid wsp:val=&quot;001C1CAC&quot;/&gt;&lt;wsp:rsid wsp:val=&quot;001C1CEE&quot;/&gt;&lt;wsp:rsid wsp:val=&quot;001C1D1F&quot;/&gt;&lt;wsp:rsid wsp:val=&quot;001C1D75&quot;/&gt;&lt;wsp:rsid wsp:val=&quot;001C2147&quot;/&gt;&lt;wsp:rsid wsp:val=&quot;001C26C9&quot;/&gt;&lt;wsp:rsid wsp:val=&quot;001C2A51&quot;/&gt;&lt;wsp:rsid wsp:val=&quot;001C2A5E&quot;/&gt;&lt;wsp:rsid wsp:val=&quot;001C2C7F&quot;/&gt;&lt;wsp:rsid wsp:val=&quot;001C2E20&quot;/&gt;&lt;wsp:rsid wsp:val=&quot;001C3050&quot;/&gt;&lt;wsp:rsid wsp:val=&quot;001C30A9&quot;/&gt;&lt;wsp:rsid wsp:val=&quot;001C3959&quot;/&gt;&lt;wsp:rsid wsp:val=&quot;001C3C48&quot;/&gt;&lt;wsp:rsid wsp:val=&quot;001C3C6C&quot;/&gt;&lt;wsp:rsid wsp:val=&quot;001C3F0F&quot;/&gt;&lt;wsp:rsid wsp:val=&quot;001C4AEA&quot;/&gt;&lt;wsp:rsid wsp:val=&quot;001C58BD&quot;/&gt;&lt;wsp:rsid wsp:val=&quot;001C5C69&quot;/&gt;&lt;wsp:rsid wsp:val=&quot;001C5C94&quot;/&gt;&lt;wsp:rsid wsp:val=&quot;001C5CEE&quot;/&gt;&lt;wsp:rsid wsp:val=&quot;001C5D71&quot;/&gt;&lt;wsp:rsid wsp:val=&quot;001C6447&quot;/&gt;&lt;wsp:rsid wsp:val=&quot;001C654D&quot;/&gt;&lt;wsp:rsid wsp:val=&quot;001C6B80&quot;/&gt;&lt;wsp:rsid wsp:val=&quot;001C70D3&quot;/&gt;&lt;wsp:rsid wsp:val=&quot;001C71F9&quot;/&gt;&lt;wsp:rsid wsp:val=&quot;001C7204&quot;/&gt;&lt;wsp:rsid wsp:val=&quot;001C7629&quot;/&gt;&lt;wsp:rsid wsp:val=&quot;001C7A9C&quot;/&gt;&lt;wsp:rsid wsp:val=&quot;001C7CE1&quot;/&gt;&lt;wsp:rsid wsp:val=&quot;001D00B9&quot;/&gt;&lt;wsp:rsid wsp:val=&quot;001D0A1C&quot;/&gt;&lt;wsp:rsid wsp:val=&quot;001D0B9D&quot;/&gt;&lt;wsp:rsid wsp:val=&quot;001D0C26&quot;/&gt;&lt;wsp:rsid wsp:val=&quot;001D0DE5&quot;/&gt;&lt;wsp:rsid wsp:val=&quot;001D10EF&quot;/&gt;&lt;wsp:rsid wsp:val=&quot;001D1184&quot;/&gt;&lt;wsp:rsid wsp:val=&quot;001D1322&quot;/&gt;&lt;wsp:rsid wsp:val=&quot;001D1489&quot;/&gt;&lt;wsp:rsid wsp:val=&quot;001D1803&quot;/&gt;&lt;wsp:rsid wsp:val=&quot;001D196E&quot;/&gt;&lt;wsp:rsid wsp:val=&quot;001D1F57&quot;/&gt;&lt;wsp:rsid wsp:val=&quot;001D2001&quot;/&gt;&lt;wsp:rsid wsp:val=&quot;001D2179&quot;/&gt;&lt;wsp:rsid wsp:val=&quot;001D23B3&quot;/&gt;&lt;wsp:rsid wsp:val=&quot;001D26B4&quot;/&gt;&lt;wsp:rsid wsp:val=&quot;001D26D4&quot;/&gt;&lt;wsp:rsid wsp:val=&quot;001D29DD&quot;/&gt;&lt;wsp:rsid wsp:val=&quot;001D2F24&quot;/&gt;&lt;wsp:rsid wsp:val=&quot;001D34A9&quot;/&gt;&lt;wsp:rsid wsp:val=&quot;001D38F3&quot;/&gt;&lt;wsp:rsid wsp:val=&quot;001D3900&quot;/&gt;&lt;wsp:rsid wsp:val=&quot;001D3B05&quot;/&gt;&lt;wsp:rsid wsp:val=&quot;001D4033&quot;/&gt;&lt;wsp:rsid wsp:val=&quot;001D40B1&quot;/&gt;&lt;wsp:rsid wsp:val=&quot;001D42F8&quot;/&gt;&lt;wsp:rsid wsp:val=&quot;001D45EE&quot;/&gt;&lt;wsp:rsid wsp:val=&quot;001D4B4C&quot;/&gt;&lt;wsp:rsid wsp:val=&quot;001D4BB6&quot;/&gt;&lt;wsp:rsid wsp:val=&quot;001D4C1E&quot;/&gt;&lt;wsp:rsid wsp:val=&quot;001D509C&quot;/&gt;&lt;wsp:rsid wsp:val=&quot;001D526E&quot;/&gt;&lt;wsp:rsid wsp:val=&quot;001D5701&quot;/&gt;&lt;wsp:rsid wsp:val=&quot;001D57C5&quot;/&gt;&lt;wsp:rsid wsp:val=&quot;001D5C93&quot;/&gt;&lt;wsp:rsid wsp:val=&quot;001D5E01&quot;/&gt;&lt;wsp:rsid wsp:val=&quot;001D5E5D&quot;/&gt;&lt;wsp:rsid wsp:val=&quot;001D5EE4&quot;/&gt;&lt;wsp:rsid wsp:val=&quot;001D6949&quot;/&gt;&lt;wsp:rsid wsp:val=&quot;001D73C5&quot;/&gt;&lt;wsp:rsid wsp:val=&quot;001D76F6&quot;/&gt;&lt;wsp:rsid wsp:val=&quot;001D775D&quot;/&gt;&lt;wsp:rsid wsp:val=&quot;001D786C&quot;/&gt;&lt;wsp:rsid wsp:val=&quot;001D7CC4&quot;/&gt;&lt;wsp:rsid wsp:val=&quot;001D7D2F&quot;/&gt;&lt;wsp:rsid wsp:val=&quot;001E0296&quot;/&gt;&lt;wsp:rsid wsp:val=&quot;001E04E8&quot;/&gt;&lt;wsp:rsid wsp:val=&quot;001E07A2&quot;/&gt;&lt;wsp:rsid wsp:val=&quot;001E08FD&quot;/&gt;&lt;wsp:rsid wsp:val=&quot;001E1354&quot;/&gt;&lt;wsp:rsid wsp:val=&quot;001E14B9&quot;/&gt;&lt;wsp:rsid wsp:val=&quot;001E18D9&quot;/&gt;&lt;wsp:rsid wsp:val=&quot;001E1FCF&quot;/&gt;&lt;wsp:rsid wsp:val=&quot;001E20FD&quot;/&gt;&lt;wsp:rsid wsp:val=&quot;001E2267&quot;/&gt;&lt;wsp:rsid wsp:val=&quot;001E2637&quot;/&gt;&lt;wsp:rsid wsp:val=&quot;001E2A20&quot;/&gt;&lt;wsp:rsid wsp:val=&quot;001E2D8A&quot;/&gt;&lt;wsp:rsid wsp:val=&quot;001E2EB0&quot;/&gt;&lt;wsp:rsid wsp:val=&quot;001E300D&quot;/&gt;&lt;wsp:rsid wsp:val=&quot;001E30B2&quot;/&gt;&lt;wsp:rsid wsp:val=&quot;001E373C&quot;/&gt;&lt;wsp:rsid wsp:val=&quot;001E3D7D&quot;/&gt;&lt;wsp:rsid wsp:val=&quot;001E3F78&quot;/&gt;&lt;wsp:rsid wsp:val=&quot;001E4198&quot;/&gt;&lt;wsp:rsid wsp:val=&quot;001E43ED&quot;/&gt;&lt;wsp:rsid wsp:val=&quot;001E4F2E&quot;/&gt;&lt;wsp:rsid wsp:val=&quot;001E5033&quot;/&gt;&lt;wsp:rsid wsp:val=&quot;001E5217&quot;/&gt;&lt;wsp:rsid wsp:val=&quot;001E572B&quot;/&gt;&lt;wsp:rsid wsp:val=&quot;001E5C1C&quot;/&gt;&lt;wsp:rsid wsp:val=&quot;001E5C97&quot;/&gt;&lt;wsp:rsid wsp:val=&quot;001E5EDA&quot;/&gt;&lt;wsp:rsid wsp:val=&quot;001E6651&quot;/&gt;&lt;wsp:rsid wsp:val=&quot;001E69EF&quot;/&gt;&lt;wsp:rsid wsp:val=&quot;001E6D44&quot;/&gt;&lt;wsp:rsid wsp:val=&quot;001E7750&quot;/&gt;&lt;wsp:rsid wsp:val=&quot;001E7880&quot;/&gt;&lt;wsp:rsid wsp:val=&quot;001E7EF3&quot;/&gt;&lt;wsp:rsid wsp:val=&quot;001E7F09&quot;/&gt;&lt;wsp:rsid wsp:val=&quot;001F059E&quot;/&gt;&lt;wsp:rsid wsp:val=&quot;001F087D&quot;/&gt;&lt;wsp:rsid wsp:val=&quot;001F0A2D&quot;/&gt;&lt;wsp:rsid wsp:val=&quot;001F0AF1&quot;/&gt;&lt;wsp:rsid wsp:val=&quot;001F1028&quot;/&gt;&lt;wsp:rsid wsp:val=&quot;001F1230&quot;/&gt;&lt;wsp:rsid wsp:val=&quot;001F1778&quot;/&gt;&lt;wsp:rsid wsp:val=&quot;001F1A47&quot;/&gt;&lt;wsp:rsid wsp:val=&quot;001F1C7D&quot;/&gt;&lt;wsp:rsid wsp:val=&quot;001F1D47&quot;/&gt;&lt;wsp:rsid wsp:val=&quot;001F2564&quot;/&gt;&lt;wsp:rsid wsp:val=&quot;001F2779&quot;/&gt;&lt;wsp:rsid wsp:val=&quot;001F2E44&quot;/&gt;&lt;wsp:rsid wsp:val=&quot;001F3051&quot;/&gt;&lt;wsp:rsid wsp:val=&quot;001F31D9&quot;/&gt;&lt;wsp:rsid wsp:val=&quot;001F342D&quot;/&gt;&lt;wsp:rsid wsp:val=&quot;001F35B9&quot;/&gt;&lt;wsp:rsid wsp:val=&quot;001F395C&quot;/&gt;&lt;wsp:rsid wsp:val=&quot;001F399A&quot;/&gt;&lt;wsp:rsid wsp:val=&quot;001F3B40&quot;/&gt;&lt;wsp:rsid wsp:val=&quot;001F4026&quot;/&gt;&lt;wsp:rsid wsp:val=&quot;001F42A4&quot;/&gt;&lt;wsp:rsid wsp:val=&quot;001F42DD&quot;/&gt;&lt;wsp:rsid wsp:val=&quot;001F44DE&quot;/&gt;&lt;wsp:rsid wsp:val=&quot;001F4A12&quot;/&gt;&lt;wsp:rsid wsp:val=&quot;001F4A64&quot;/&gt;&lt;wsp:rsid wsp:val=&quot;001F4B50&quot;/&gt;&lt;wsp:rsid wsp:val=&quot;001F591D&quot;/&gt;&lt;wsp:rsid wsp:val=&quot;001F5BFE&quot;/&gt;&lt;wsp:rsid wsp:val=&quot;001F5FAF&quot;/&gt;&lt;wsp:rsid wsp:val=&quot;001F6325&quot;/&gt;&lt;wsp:rsid wsp:val=&quot;001F653B&quot;/&gt;&lt;wsp:rsid wsp:val=&quot;001F678F&quot;/&gt;&lt;wsp:rsid wsp:val=&quot;001F69FE&quot;/&gt;&lt;wsp:rsid wsp:val=&quot;001F6A0A&quot;/&gt;&lt;wsp:rsid wsp:val=&quot;001F6C9D&quot;/&gt;&lt;wsp:rsid wsp:val=&quot;001F71DE&quot;/&gt;&lt;wsp:rsid wsp:val=&quot;001F728E&quot;/&gt;&lt;wsp:rsid wsp:val=&quot;001F7335&quot;/&gt;&lt;wsp:rsid wsp:val=&quot;001F746B&quot;/&gt;&lt;wsp:rsid wsp:val=&quot;001F783B&quot;/&gt;&lt;wsp:rsid wsp:val=&quot;002004B5&quot;/&gt;&lt;wsp:rsid wsp:val=&quot;00200A58&quot;/&gt;&lt;wsp:rsid wsp:val=&quot;0020115B&quot;/&gt;&lt;wsp:rsid wsp:val=&quot;0020118E&quot;/&gt;&lt;wsp:rsid wsp:val=&quot;00201390&quot;/&gt;&lt;wsp:rsid wsp:val=&quot;00201AD3&quot;/&gt;&lt;wsp:rsid wsp:val=&quot;00201B4F&quot;/&gt;&lt;wsp:rsid wsp:val=&quot;00202731&quot;/&gt;&lt;wsp:rsid wsp:val=&quot;00202FF3&quot;/&gt;&lt;wsp:rsid wsp:val=&quot;00203214&quot;/&gt;&lt;wsp:rsid wsp:val=&quot;00203669&quot;/&gt;&lt;wsp:rsid wsp:val=&quot;00203884&quot;/&gt;&lt;wsp:rsid wsp:val=&quot;00203A11&quot;/&gt;&lt;wsp:rsid wsp:val=&quot;00203A3D&quot;/&gt;&lt;wsp:rsid wsp:val=&quot;00203E63&quot;/&gt;&lt;wsp:rsid wsp:val=&quot;00203F61&quot;/&gt;&lt;wsp:rsid wsp:val=&quot;002040BA&quot;/&gt;&lt;wsp:rsid wsp:val=&quot;00204234&quot;/&gt;&lt;wsp:rsid wsp:val=&quot;00204CB2&quot;/&gt;&lt;wsp:rsid wsp:val=&quot;00204EB1&quot;/&gt;&lt;wsp:rsid wsp:val=&quot;002052F6&quot;/&gt;&lt;wsp:rsid wsp:val=&quot;00205787&quot;/&gt;&lt;wsp:rsid wsp:val=&quot;00205C1E&quot;/&gt;&lt;wsp:rsid wsp:val=&quot;002062A1&quot;/&gt;&lt;wsp:rsid wsp:val=&quot;002062ED&quot;/&gt;&lt;wsp:rsid wsp:val=&quot;002063F5&quot;/&gt;&lt;wsp:rsid wsp:val=&quot;00206B0F&quot;/&gt;&lt;wsp:rsid wsp:val=&quot;00206F17&quot;/&gt;&lt;wsp:rsid wsp:val=&quot;002070B9&quot;/&gt;&lt;wsp:rsid wsp:val=&quot;00207292&quot;/&gt;&lt;wsp:rsid wsp:val=&quot;00207A76&quot;/&gt;&lt;wsp:rsid wsp:val=&quot;00207E9C&quot;/&gt;&lt;wsp:rsid wsp:val=&quot;002109EC&quot;/&gt;&lt;wsp:rsid wsp:val=&quot;00210ED5&quot;/&gt;&lt;wsp:rsid wsp:val=&quot;0021131D&quot;/&gt;&lt;wsp:rsid wsp:val=&quot;00211415&quot;/&gt;&lt;wsp:rsid wsp:val=&quot;0021154F&quot;/&gt;&lt;wsp:rsid wsp:val=&quot;00211603&quot;/&gt;&lt;wsp:rsid wsp:val=&quot;0021178A&quot;/&gt;&lt;wsp:rsid wsp:val=&quot;00211A9D&quot;/&gt;&lt;wsp:rsid wsp:val=&quot;00211E3A&quot;/&gt;&lt;wsp:rsid wsp:val=&quot;00212629&quot;/&gt;&lt;wsp:rsid wsp:val=&quot;00212D0A&quot;/&gt;&lt;wsp:rsid wsp:val=&quot;0021342F&quot;/&gt;&lt;wsp:rsid wsp:val=&quot;00213716&quot;/&gt;&lt;wsp:rsid wsp:val=&quot;00213AA3&quot;/&gt;&lt;wsp:rsid wsp:val=&quot;00213AE7&quot;/&gt;&lt;wsp:rsid wsp:val=&quot;00213CD1&quot;/&gt;&lt;wsp:rsid wsp:val=&quot;002144B9&quot;/&gt;&lt;wsp:rsid wsp:val=&quot;002145B2&quot;/&gt;&lt;wsp:rsid wsp:val=&quot;002148B7&quot;/&gt;&lt;wsp:rsid wsp:val=&quot;00215153&quot;/&gt;&lt;wsp:rsid wsp:val=&quot;002152B4&quot;/&gt;&lt;wsp:rsid wsp:val=&quot;00215363&quot;/&gt;&lt;wsp:rsid wsp:val=&quot;002155D5&quot;/&gt;&lt;wsp:rsid wsp:val=&quot;002157D0&quot;/&gt;&lt;wsp:rsid wsp:val=&quot;002158BB&quot;/&gt;&lt;wsp:rsid wsp:val=&quot;00215923&quot;/&gt;&lt;wsp:rsid wsp:val=&quot;00215B16&quot;/&gt;&lt;wsp:rsid wsp:val=&quot;00216252&quot;/&gt;&lt;wsp:rsid wsp:val=&quot;00216A42&quot;/&gt;&lt;wsp:rsid wsp:val=&quot;0021762E&quot;/&gt;&lt;wsp:rsid wsp:val=&quot;00217863&quot;/&gt;&lt;wsp:rsid wsp:val=&quot;00217875&quot;/&gt;&lt;wsp:rsid wsp:val=&quot;00217C16&quot;/&gt;&lt;wsp:rsid wsp:val=&quot;00217CDD&quot;/&gt;&lt;wsp:rsid wsp:val=&quot;00217DF4&quot;/&gt;&lt;wsp:rsid wsp:val=&quot;00217FF3&quot;/&gt;&lt;wsp:rsid wsp:val=&quot;002201D1&quot;/&gt;&lt;wsp:rsid wsp:val=&quot;0022087F&quot;/&gt;&lt;wsp:rsid wsp:val=&quot;00220A70&quot;/&gt;&lt;wsp:rsid wsp:val=&quot;00220E2B&quot;/&gt;&lt;wsp:rsid wsp:val=&quot;00220FF9&quot;/&gt;&lt;wsp:rsid wsp:val=&quot;00221C9E&quot;/&gt;&lt;wsp:rsid wsp:val=&quot;00221CE5&quot;/&gt;&lt;wsp:rsid wsp:val=&quot;00222238&quot;/&gt;&lt;wsp:rsid wsp:val=&quot;002223C9&quot;/&gt;&lt;wsp:rsid wsp:val=&quot;00222500&quot;/&gt;&lt;wsp:rsid wsp:val=&quot;002226AA&quot;/&gt;&lt;wsp:rsid wsp:val=&quot;0022270D&quot;/&gt;&lt;wsp:rsid wsp:val=&quot;00222C43&quot;/&gt;&lt;wsp:rsid wsp:val=&quot;00222D7F&quot;/&gt;&lt;wsp:rsid wsp:val=&quot;00222DC8&quot;/&gt;&lt;wsp:rsid wsp:val=&quot;002231EE&quot;/&gt;&lt;wsp:rsid wsp:val=&quot;002233E3&quot;/&gt;&lt;wsp:rsid wsp:val=&quot;002239B7&quot;/&gt;&lt;wsp:rsid wsp:val=&quot;00223A30&quot;/&gt;&lt;wsp:rsid wsp:val=&quot;00223B60&quot;/&gt;&lt;wsp:rsid wsp:val=&quot;00223DE6&quot;/&gt;&lt;wsp:rsid wsp:val=&quot;00223F62&quot;/&gt;&lt;wsp:rsid wsp:val=&quot;00223F9C&quot;/&gt;&lt;wsp:rsid wsp:val=&quot;00223FFC&quot;/&gt;&lt;wsp:rsid wsp:val=&quot;002249B1&quot;/&gt;&lt;wsp:rsid wsp:val=&quot;00224B87&quot;/&gt;&lt;wsp:rsid wsp:val=&quot;002252A4&quot;/&gt;&lt;wsp:rsid wsp:val=&quot;002256D7&quot;/&gt;&lt;wsp:rsid wsp:val=&quot;002256F8&quot;/&gt;&lt;wsp:rsid wsp:val=&quot;0022588E&quot;/&gt;&lt;wsp:rsid wsp:val=&quot;00226142&quot;/&gt;&lt;wsp:rsid wsp:val=&quot;00226165&quot;/&gt;&lt;wsp:rsid wsp:val=&quot;0022658A&quot;/&gt;&lt;wsp:rsid wsp:val=&quot;00226901&quot;/&gt;&lt;wsp:rsid wsp:val=&quot;00226C9A&quot;/&gt;&lt;wsp:rsid wsp:val=&quot;00226CAA&quot;/&gt;&lt;wsp:rsid wsp:val=&quot;00226E16&quot;/&gt;&lt;wsp:rsid wsp:val=&quot;00226F0D&quot;/&gt;&lt;wsp:rsid wsp:val=&quot;00226FCA&quot;/&gt;&lt;wsp:rsid wsp:val=&quot;00227818&quot;/&gt;&lt;wsp:rsid wsp:val=&quot;0022783D&quot;/&gt;&lt;wsp:rsid wsp:val=&quot;00227A0E&quot;/&gt;&lt;wsp:rsid wsp:val=&quot;00227CA3&quot;/&gt;&lt;wsp:rsid wsp:val=&quot;00227CAC&quot;/&gt;&lt;wsp:rsid wsp:val=&quot;00227F09&quot;/&gt;&lt;wsp:rsid wsp:val=&quot;002300C7&quot;/&gt;&lt;wsp:rsid wsp:val=&quot;002300D2&quot;/&gt;&lt;wsp:rsid wsp:val=&quot;00230153&quot;/&gt;&lt;wsp:rsid wsp:val=&quot;00230303&quot;/&gt;&lt;wsp:rsid wsp:val=&quot;00230718&quot;/&gt;&lt;wsp:rsid wsp:val=&quot;00230D26&quot;/&gt;&lt;wsp:rsid wsp:val=&quot;002314F1&quot;/&gt;&lt;wsp:rsid wsp:val=&quot;00231683&quot;/&gt;&lt;wsp:rsid wsp:val=&quot;00231CB7&quot;/&gt;&lt;wsp:rsid wsp:val=&quot;00231EF3&quot;/&gt;&lt;wsp:rsid wsp:val=&quot;0023208D&quot;/&gt;&lt;wsp:rsid wsp:val=&quot;00232266&quot;/&gt;&lt;wsp:rsid wsp:val=&quot;002324A6&quot;/&gt;&lt;wsp:rsid wsp:val=&quot;002325A1&quot;/&gt;&lt;wsp:rsid wsp:val=&quot;00232989&quot;/&gt;&lt;wsp:rsid wsp:val=&quot;00232A0A&quot;/&gt;&lt;wsp:rsid wsp:val=&quot;00232B15&quot;/&gt;&lt;wsp:rsid wsp:val=&quot;00232B66&quot;/&gt;&lt;wsp:rsid wsp:val=&quot;00232E63&quot;/&gt;&lt;wsp:rsid wsp:val=&quot;00233149&quot;/&gt;&lt;wsp:rsid wsp:val=&quot;0023329A&quot;/&gt;&lt;wsp:rsid wsp:val=&quot;002333DE&quot;/&gt;&lt;wsp:rsid wsp:val=&quot;00233477&quot;/&gt;&lt;wsp:rsid wsp:val=&quot;00233F42&quot;/&gt;&lt;wsp:rsid wsp:val=&quot;002348CB&quot;/&gt;&lt;wsp:rsid wsp:val=&quot;002349BD&quot;/&gt;&lt;wsp:rsid wsp:val=&quot;00234A0C&quot;/&gt;&lt;wsp:rsid wsp:val=&quot;0023556F&quot;/&gt;&lt;wsp:rsid wsp:val=&quot;00235ACA&quot;/&gt;&lt;wsp:rsid wsp:val=&quot;00236590&quot;/&gt;&lt;wsp:rsid wsp:val=&quot;00236846&quot;/&gt;&lt;wsp:rsid wsp:val=&quot;00236C23&quot;/&gt;&lt;wsp:rsid wsp:val=&quot;00236C72&quot;/&gt;&lt;wsp:rsid wsp:val=&quot;00236C7C&quot;/&gt;&lt;wsp:rsid wsp:val=&quot;00236D67&quot;/&gt;&lt;wsp:rsid wsp:val=&quot;0023725F&quot;/&gt;&lt;wsp:rsid wsp:val=&quot;00237F39&quot;/&gt;&lt;wsp:rsid wsp:val=&quot;002402F2&quot;/&gt;&lt;wsp:rsid wsp:val=&quot;002413BD&quot;/&gt;&lt;wsp:rsid wsp:val=&quot;00241542&quot;/&gt;&lt;wsp:rsid wsp:val=&quot;0024185C&quot;/&gt;&lt;wsp:rsid wsp:val=&quot;002418E7&quot;/&gt;&lt;wsp:rsid wsp:val=&quot;00241A04&quot;/&gt;&lt;wsp:rsid wsp:val=&quot;00241A62&quot;/&gt;&lt;wsp:rsid wsp:val=&quot;00241B80&quot;/&gt;&lt;wsp:rsid wsp:val=&quot;00241C03&quot;/&gt;&lt;wsp:rsid wsp:val=&quot;00241F45&quot;/&gt;&lt;wsp:rsid wsp:val=&quot;00241F5F&quot;/&gt;&lt;wsp:rsid wsp:val=&quot;0024244A&quot;/&gt;&lt;wsp:rsid wsp:val=&quot;0024265F&quot;/&gt;&lt;wsp:rsid wsp:val=&quot;002426C6&quot;/&gt;&lt;wsp:rsid wsp:val=&quot;002427E0&quot;/&gt;&lt;wsp:rsid wsp:val=&quot;00242B14&quot;/&gt;&lt;wsp:rsid wsp:val=&quot;00242C0C&quot;/&gt;&lt;wsp:rsid wsp:val=&quot;00242E31&quot;/&gt;&lt;wsp:rsid wsp:val=&quot;0024301C&quot;/&gt;&lt;wsp:rsid wsp:val=&quot;0024379A&quot;/&gt;&lt;wsp:rsid wsp:val=&quot;00243812&quot;/&gt;&lt;wsp:rsid wsp:val=&quot;00243ACD&quot;/&gt;&lt;wsp:rsid wsp:val=&quot;00243BBE&quot;/&gt;&lt;wsp:rsid wsp:val=&quot;00243C6C&quot;/&gt;&lt;wsp:rsid wsp:val=&quot;0024489F&quot;/&gt;&lt;wsp:rsid wsp:val=&quot;00244FD7&quot;/&gt;&lt;wsp:rsid wsp:val=&quot;0024598B&quot;/&gt;&lt;wsp:rsid wsp:val=&quot;00245AEB&quot;/&gt;&lt;wsp:rsid wsp:val=&quot;002461EA&quot;/&gt;&lt;wsp:rsid wsp:val=&quot;002462E4&quot;/&gt;&lt;wsp:rsid wsp:val=&quot;002467DF&quot;/&gt;&lt;wsp:rsid wsp:val=&quot;0024687E&quot;/&gt;&lt;wsp:rsid wsp:val=&quot;002470B2&quot;/&gt;&lt;wsp:rsid wsp:val=&quot;00247351&quot;/&gt;&lt;wsp:rsid wsp:val=&quot;0024791D&quot;/&gt;&lt;wsp:rsid wsp:val=&quot;00247ACC&quot;/&gt;&lt;wsp:rsid wsp:val=&quot;00247FB1&quot;/&gt;&lt;wsp:rsid wsp:val=&quot;00250170&quot;/&gt;&lt;wsp:rsid wsp:val=&quot;0025022B&quot;/&gt;&lt;wsp:rsid wsp:val=&quot;00251027&quot;/&gt;&lt;wsp:rsid wsp:val=&quot;002510E4&quot;/&gt;&lt;wsp:rsid wsp:val=&quot;0025119D&quot;/&gt;&lt;wsp:rsid wsp:val=&quot;002512E4&quot;/&gt;&lt;wsp:rsid wsp:val=&quot;0025156F&quot;/&gt;&lt;wsp:rsid wsp:val=&quot;00251989&quot;/&gt;&lt;wsp:rsid wsp:val=&quot;00251B43&quot;/&gt;&lt;wsp:rsid wsp:val=&quot;00251FAE&quot;/&gt;&lt;wsp:rsid wsp:val=&quot;002520F8&quot;/&gt;&lt;wsp:rsid wsp:val=&quot;0025211D&quot;/&gt;&lt;wsp:rsid wsp:val=&quot;002526AA&quot;/&gt;&lt;wsp:rsid wsp:val=&quot;0025346F&quot;/&gt;&lt;wsp:rsid wsp:val=&quot;002535C1&quot;/&gt;&lt;wsp:rsid wsp:val=&quot;002535F2&quot;/&gt;&lt;wsp:rsid wsp:val=&quot;00253A28&quot;/&gt;&lt;wsp:rsid wsp:val=&quot;00253B29&quot;/&gt;&lt;wsp:rsid wsp:val=&quot;002540E7&quot;/&gt;&lt;wsp:rsid wsp:val=&quot;0025414B&quot;/&gt;&lt;wsp:rsid wsp:val=&quot;002543FB&quot;/&gt;&lt;wsp:rsid wsp:val=&quot;00254992&quot;/&gt;&lt;wsp:rsid wsp:val=&quot;00254A31&quot;/&gt;&lt;wsp:rsid wsp:val=&quot;00254B17&quot;/&gt;&lt;wsp:rsid wsp:val=&quot;0025529C&quot;/&gt;&lt;wsp:rsid wsp:val=&quot;0025553E&quot;/&gt;&lt;wsp:rsid wsp:val=&quot;002559DA&quot;/&gt;&lt;wsp:rsid wsp:val=&quot;00255A5F&quot;/&gt;&lt;wsp:rsid wsp:val=&quot;002567B3&quot;/&gt;&lt;wsp:rsid wsp:val=&quot;002567D9&quot;/&gt;&lt;wsp:rsid wsp:val=&quot;00257074&quot;/&gt;&lt;wsp:rsid wsp:val=&quot;0025716B&quot;/&gt;&lt;wsp:rsid wsp:val=&quot;002572DE&quot;/&gt;&lt;wsp:rsid wsp:val=&quot;002574AB&quot;/&gt;&lt;wsp:rsid wsp:val=&quot;00257710&quot;/&gt;&lt;wsp:rsid wsp:val=&quot;00257D51&quot;/&gt;&lt;wsp:rsid wsp:val=&quot;00260D34&quot;/&gt;&lt;wsp:rsid wsp:val=&quot;00260E55&quot;/&gt;&lt;wsp:rsid wsp:val=&quot;002617C9&quot;/&gt;&lt;wsp:rsid wsp:val=&quot;002618C2&quot;/&gt;&lt;wsp:rsid wsp:val=&quot;00261D85&quot;/&gt;&lt;wsp:rsid wsp:val=&quot;00262087&quot;/&gt;&lt;wsp:rsid wsp:val=&quot;0026227B&quot;/&gt;&lt;wsp:rsid wsp:val=&quot;00262456&quot;/&gt;&lt;wsp:rsid wsp:val=&quot;0026246C&quot;/&gt;&lt;wsp:rsid wsp:val=&quot;002624A1&quot;/&gt;&lt;wsp:rsid wsp:val=&quot;002627F3&quot;/&gt;&lt;wsp:rsid wsp:val=&quot;00262BD7&quot;/&gt;&lt;wsp:rsid wsp:val=&quot;00262C4D&quot;/&gt;&lt;wsp:rsid wsp:val=&quot;0026359A&quot;/&gt;&lt;wsp:rsid wsp:val=&quot;002636A2&quot;/&gt;&lt;wsp:rsid wsp:val=&quot;002636E9&quot;/&gt;&lt;wsp:rsid wsp:val=&quot;0026396F&quot;/&gt;&lt;wsp:rsid wsp:val=&quot;00263A8D&quot;/&gt;&lt;wsp:rsid wsp:val=&quot;00263C47&quot;/&gt;&lt;wsp:rsid wsp:val=&quot;00263C9F&quot;/&gt;&lt;wsp:rsid wsp:val=&quot;00263E47&quot;/&gt;&lt;wsp:rsid wsp:val=&quot;00263FB4&quot;/&gt;&lt;wsp:rsid wsp:val=&quot;002640D0&quot;/&gt;&lt;wsp:rsid wsp:val=&quot;002643DA&quot;/&gt;&lt;wsp:rsid wsp:val=&quot;002644E2&quot;/&gt;&lt;wsp:rsid wsp:val=&quot;0026461E&quot;/&gt;&lt;wsp:rsid wsp:val=&quot;00264E91&quot;/&gt;&lt;wsp:rsid wsp:val=&quot;00264F6D&quot;/&gt;&lt;wsp:rsid wsp:val=&quot;002655F6&quot;/&gt;&lt;wsp:rsid wsp:val=&quot;0026560C&quot;/&gt;&lt;wsp:rsid wsp:val=&quot;00265FF0&quot;/&gt;&lt;wsp:rsid wsp:val=&quot;00266E09&quot;/&gt;&lt;wsp:rsid wsp:val=&quot;0026739F&quot;/&gt;&lt;wsp:rsid wsp:val=&quot;00267640&quot;/&gt;&lt;wsp:rsid wsp:val=&quot;00270029&quot;/&gt;&lt;wsp:rsid wsp:val=&quot;0027018D&quot;/&gt;&lt;wsp:rsid wsp:val=&quot;00270611&quot;/&gt;&lt;wsp:rsid wsp:val=&quot;00270697&quot;/&gt;&lt;wsp:rsid wsp:val=&quot;00270755&quot;/&gt;&lt;wsp:rsid wsp:val=&quot;00270B47&quot;/&gt;&lt;wsp:rsid wsp:val=&quot;00270D59&quot;/&gt;&lt;wsp:rsid wsp:val=&quot;00271289&quot;/&gt;&lt;wsp:rsid wsp:val=&quot;0027134C&quot;/&gt;&lt;wsp:rsid wsp:val=&quot;00271593&quot;/&gt;&lt;wsp:rsid wsp:val=&quot;002715A6&quot;/&gt;&lt;wsp:rsid wsp:val=&quot;0027161F&quot;/&gt;&lt;wsp:rsid wsp:val=&quot;00271D4D&quot;/&gt;&lt;wsp:rsid wsp:val=&quot;00271E47&quot;/&gt;&lt;wsp:rsid wsp:val=&quot;0027224A&quot;/&gt;&lt;wsp:rsid wsp:val=&quot;002724EF&quot;/&gt;&lt;wsp:rsid wsp:val=&quot;002724F4&quot;/&gt;&lt;wsp:rsid wsp:val=&quot;00272C48&quot;/&gt;&lt;wsp:rsid wsp:val=&quot;002732D0&quot;/&gt;&lt;wsp:rsid wsp:val=&quot;002736D7&quot;/&gt;&lt;wsp:rsid wsp:val=&quot;0027373B&quot;/&gt;&lt;wsp:rsid wsp:val=&quot;00274050&quot;/&gt;&lt;wsp:rsid wsp:val=&quot;00274196&quot;/&gt;&lt;wsp:rsid wsp:val=&quot;00274205&quot;/&gt;&lt;wsp:rsid wsp:val=&quot;002744A3&quot;/&gt;&lt;wsp:rsid wsp:val=&quot;002744AA&quot;/&gt;&lt;wsp:rsid wsp:val=&quot;002747BF&quot;/&gt;&lt;wsp:rsid wsp:val=&quot;002747D0&quot;/&gt;&lt;wsp:rsid wsp:val=&quot;002748ED&quot;/&gt;&lt;wsp:rsid wsp:val=&quot;00274955&quot;/&gt;&lt;wsp:rsid wsp:val=&quot;0027499C&quot;/&gt;&lt;wsp:rsid wsp:val=&quot;00274A6C&quot;/&gt;&lt;wsp:rsid wsp:val=&quot;00274C83&quot;/&gt;&lt;wsp:rsid wsp:val=&quot;00274CDA&quot;/&gt;&lt;wsp:rsid wsp:val=&quot;0027513F&quot;/&gt;&lt;wsp:rsid wsp:val=&quot;00275142&quot;/&gt;&lt;wsp:rsid wsp:val=&quot;00275637&quot;/&gt;&lt;wsp:rsid wsp:val=&quot;002757D0&quot;/&gt;&lt;wsp:rsid wsp:val=&quot;00275A5D&quot;/&gt;&lt;wsp:rsid wsp:val=&quot;00275AD2&quot;/&gt;&lt;wsp:rsid wsp:val=&quot;0027613B&quot;/&gt;&lt;wsp:rsid wsp:val=&quot;0027644C&quot;/&gt;&lt;wsp:rsid wsp:val=&quot;002765AD&quot;/&gt;&lt;wsp:rsid wsp:val=&quot;002767D0&quot;/&gt;&lt;wsp:rsid wsp:val=&quot;00276D6C&quot;/&gt;&lt;wsp:rsid wsp:val=&quot;00276F23&quot;/&gt;&lt;wsp:rsid wsp:val=&quot;0027716C&quot;/&gt;&lt;wsp:rsid wsp:val=&quot;002779DD&quot;/&gt;&lt;wsp:rsid wsp:val=&quot;00277F07&quot;/&gt;&lt;wsp:rsid wsp:val=&quot;0028013C&quot;/&gt;&lt;wsp:rsid wsp:val=&quot;002803DE&quot;/&gt;&lt;wsp:rsid wsp:val=&quot;002804A3&quot;/&gt;&lt;wsp:rsid wsp:val=&quot;00280893&quot;/&gt;&lt;wsp:rsid wsp:val=&quot;002812C9&quot;/&gt;&lt;wsp:rsid wsp:val=&quot;002814EC&quot;/&gt;&lt;wsp:rsid wsp:val=&quot;0028166F&quot;/&gt;&lt;wsp:rsid wsp:val=&quot;00281860&quot;/&gt;&lt;wsp:rsid wsp:val=&quot;00281952&quot;/&gt;&lt;wsp:rsid wsp:val=&quot;00282A78&quot;/&gt;&lt;wsp:rsid wsp:val=&quot;00282B4B&quot;/&gt;&lt;wsp:rsid wsp:val=&quot;00282BDA&quot;/&gt;&lt;wsp:rsid wsp:val=&quot;00282E4D&quot;/&gt;&lt;wsp:rsid wsp:val=&quot;002832E0&quot;/&gt;&lt;wsp:rsid wsp:val=&quot;002833BB&quot;/&gt;&lt;wsp:rsid wsp:val=&quot;0028346E&quot;/&gt;&lt;wsp:rsid wsp:val=&quot;002835C7&quot;/&gt;&lt;wsp:rsid wsp:val=&quot;00284392&quot;/&gt;&lt;wsp:rsid wsp:val=&quot;00284567&quot;/&gt;&lt;wsp:rsid wsp:val=&quot;00284A7F&quot;/&gt;&lt;wsp:rsid wsp:val=&quot;00284BC4&quot;/&gt;&lt;wsp:rsid wsp:val=&quot;00284C0D&quot;/&gt;&lt;wsp:rsid wsp:val=&quot;00285346&quot;/&gt;&lt;wsp:rsid wsp:val=&quot;0028553F&quot;/&gt;&lt;wsp:rsid wsp:val=&quot;00285701&quot;/&gt;&lt;wsp:rsid wsp:val=&quot;00285A7F&quot;/&gt;&lt;wsp:rsid wsp:val=&quot;00285AF2&quot;/&gt;&lt;wsp:rsid wsp:val=&quot;00285FC0&quot;/&gt;&lt;wsp:rsid wsp:val=&quot;00285FC5&quot;/&gt;&lt;wsp:rsid wsp:val=&quot;0028641F&quot;/&gt;&lt;wsp:rsid wsp:val=&quot;002867AA&quot;/&gt;&lt;wsp:rsid wsp:val=&quot;002869F5&quot;/&gt;&lt;wsp:rsid wsp:val=&quot;00286F24&quot;/&gt;&lt;wsp:rsid wsp:val=&quot;00286F32&quot;/&gt;&lt;wsp:rsid wsp:val=&quot;00287223&quot;/&gt;&lt;wsp:rsid wsp:val=&quot;00287681&quot;/&gt;&lt;wsp:rsid wsp:val=&quot;00287EBD&quot;/&gt;&lt;wsp:rsid wsp:val=&quot;00287F8E&quot;/&gt;&lt;wsp:rsid wsp:val=&quot;0029008F&quot;/&gt;&lt;wsp:rsid wsp:val=&quot;0029079A&quot;/&gt;&lt;wsp:rsid wsp:val=&quot;00290A2D&quot;/&gt;&lt;wsp:rsid wsp:val=&quot;002910F2&quot;/&gt;&lt;wsp:rsid wsp:val=&quot;002911F5&quot;/&gt;&lt;wsp:rsid wsp:val=&quot;00291250&quot;/&gt;&lt;wsp:rsid wsp:val=&quot;0029135F&quot;/&gt;&lt;wsp:rsid wsp:val=&quot;0029196D&quot;/&gt;&lt;wsp:rsid wsp:val=&quot;00291A01&quot;/&gt;&lt;wsp:rsid wsp:val=&quot;00291A62&quot;/&gt;&lt;wsp:rsid wsp:val=&quot;00291F28&quot;/&gt;&lt;wsp:rsid wsp:val=&quot;00292687&quot;/&gt;&lt;wsp:rsid wsp:val=&quot;002929B3&quot;/&gt;&lt;wsp:rsid wsp:val=&quot;00292B75&quot;/&gt;&lt;wsp:rsid wsp:val=&quot;00292E90&quot;/&gt;&lt;wsp:rsid wsp:val=&quot;00292F01&quot;/&gt;&lt;wsp:rsid wsp:val=&quot;0029342F&quot;/&gt;&lt;wsp:rsid wsp:val=&quot;002934B1&quot;/&gt;&lt;wsp:rsid wsp:val=&quot;00293626&quot;/&gt;&lt;wsp:rsid wsp:val=&quot;00293B87&quot;/&gt;&lt;wsp:rsid wsp:val=&quot;00293C9E&quot;/&gt;&lt;wsp:rsid wsp:val=&quot;00293DAA&quot;/&gt;&lt;wsp:rsid wsp:val=&quot;00293E69&quot;/&gt;&lt;wsp:rsid wsp:val=&quot;00294076&quot;/&gt;&lt;wsp:rsid wsp:val=&quot;00294094&quot;/&gt;&lt;wsp:rsid wsp:val=&quot;002942B9&quot;/&gt;&lt;wsp:rsid wsp:val=&quot;002944AD&quot;/&gt;&lt;wsp:rsid wsp:val=&quot;00294D12&quot;/&gt;&lt;wsp:rsid wsp:val=&quot;00295814&quot;/&gt;&lt;wsp:rsid wsp:val=&quot;00295EBF&quot;/&gt;&lt;wsp:rsid wsp:val=&quot;00295FCC&quot;/&gt;&lt;wsp:rsid wsp:val=&quot;00296318&quot;/&gt;&lt;wsp:rsid wsp:val=&quot;002963ED&quot;/&gt;&lt;wsp:rsid wsp:val=&quot;00296B3C&quot;/&gt;&lt;wsp:rsid wsp:val=&quot;002976EF&quot;/&gt;&lt;wsp:rsid wsp:val=&quot;00297F6D&quot;/&gt;&lt;wsp:rsid wsp:val=&quot;002A017C&quot;/&gt;&lt;wsp:rsid wsp:val=&quot;002A043F&quot;/&gt;&lt;wsp:rsid wsp:val=&quot;002A082D&quot;/&gt;&lt;wsp:rsid wsp:val=&quot;002A0AC1&quot;/&gt;&lt;wsp:rsid wsp:val=&quot;002A1683&quot;/&gt;&lt;wsp:rsid wsp:val=&quot;002A18F0&quot;/&gt;&lt;wsp:rsid wsp:val=&quot;002A195B&quot;/&gt;&lt;wsp:rsid wsp:val=&quot;002A1B4D&quot;/&gt;&lt;wsp:rsid wsp:val=&quot;002A1D8E&quot;/&gt;&lt;wsp:rsid wsp:val=&quot;002A226C&quot;/&gt;&lt;wsp:rsid wsp:val=&quot;002A25D6&quot;/&gt;&lt;wsp:rsid wsp:val=&quot;002A287D&quot;/&gt;&lt;wsp:rsid wsp:val=&quot;002A30A8&quot;/&gt;&lt;wsp:rsid wsp:val=&quot;002A325C&quot;/&gt;&lt;wsp:rsid wsp:val=&quot;002A354B&quot;/&gt;&lt;wsp:rsid wsp:val=&quot;002A3C55&quot;/&gt;&lt;wsp:rsid wsp:val=&quot;002A3E93&quot;/&gt;&lt;wsp:rsid wsp:val=&quot;002A40B5&quot;/&gt;&lt;wsp:rsid wsp:val=&quot;002A40BF&quot;/&gt;&lt;wsp:rsid wsp:val=&quot;002A438B&quot;/&gt;&lt;wsp:rsid wsp:val=&quot;002A43DA&quot;/&gt;&lt;wsp:rsid wsp:val=&quot;002A4413&quot;/&gt;&lt;wsp:rsid wsp:val=&quot;002A47C6&quot;/&gt;&lt;wsp:rsid wsp:val=&quot;002A4B45&quot;/&gt;&lt;wsp:rsid wsp:val=&quot;002A4F64&quot;/&gt;&lt;wsp:rsid wsp:val=&quot;002A4FAA&quot;/&gt;&lt;wsp:rsid wsp:val=&quot;002A543C&quot;/&gt;&lt;wsp:rsid wsp:val=&quot;002A5850&quot;/&gt;&lt;wsp:rsid wsp:val=&quot;002A5E2B&quot;/&gt;&lt;wsp:rsid wsp:val=&quot;002A60AB&quot;/&gt;&lt;wsp:rsid wsp:val=&quot;002A62D4&quot;/&gt;&lt;wsp:rsid wsp:val=&quot;002A6559&quot;/&gt;&lt;wsp:rsid wsp:val=&quot;002A72E4&quot;/&gt;&lt;wsp:rsid wsp:val=&quot;002A7464&quot;/&gt;&lt;wsp:rsid wsp:val=&quot;002A753D&quot;/&gt;&lt;wsp:rsid wsp:val=&quot;002A76F0&quot;/&gt;&lt;wsp:rsid wsp:val=&quot;002A78B2&quot;/&gt;&lt;wsp:rsid wsp:val=&quot;002A7969&quot;/&gt;&lt;wsp:rsid wsp:val=&quot;002A7DE4&quot;/&gt;&lt;wsp:rsid wsp:val=&quot;002B07B5&quot;/&gt;&lt;wsp:rsid wsp:val=&quot;002B07D5&quot;/&gt;&lt;wsp:rsid wsp:val=&quot;002B0B06&quot;/&gt;&lt;wsp:rsid wsp:val=&quot;002B0B36&quot;/&gt;&lt;wsp:rsid wsp:val=&quot;002B1469&quot;/&gt;&lt;wsp:rsid wsp:val=&quot;002B21F2&quot;/&gt;&lt;wsp:rsid wsp:val=&quot;002B22FF&quot;/&gt;&lt;wsp:rsid wsp:val=&quot;002B2487&quot;/&gt;&lt;wsp:rsid wsp:val=&quot;002B2750&quot;/&gt;&lt;wsp:rsid wsp:val=&quot;002B2CDA&quot;/&gt;&lt;wsp:rsid wsp:val=&quot;002B3B40&quot;/&gt;&lt;wsp:rsid wsp:val=&quot;002B3B45&quot;/&gt;&lt;wsp:rsid wsp:val=&quot;002B3C6E&quot;/&gt;&lt;wsp:rsid wsp:val=&quot;002B4636&quot;/&gt;&lt;wsp:rsid wsp:val=&quot;002B5679&quot;/&gt;&lt;wsp:rsid wsp:val=&quot;002B589F&quot;/&gt;&lt;wsp:rsid wsp:val=&quot;002B5CDE&quot;/&gt;&lt;wsp:rsid wsp:val=&quot;002B6271&quot;/&gt;&lt;wsp:rsid wsp:val=&quot;002B63AB&quot;/&gt;&lt;wsp:rsid wsp:val=&quot;002B6969&quot;/&gt;&lt;wsp:rsid wsp:val=&quot;002B6B15&quot;/&gt;&lt;wsp:rsid wsp:val=&quot;002B6C6C&quot;/&gt;&lt;wsp:rsid wsp:val=&quot;002B6E38&quot;/&gt;&lt;wsp:rsid wsp:val=&quot;002B7093&quot;/&gt;&lt;wsp:rsid wsp:val=&quot;002C028F&quot;/&gt;&lt;wsp:rsid wsp:val=&quot;002C02EC&quot;/&gt;&lt;wsp:rsid wsp:val=&quot;002C02EF&quot;/&gt;&lt;wsp:rsid wsp:val=&quot;002C0435&quot;/&gt;&lt;wsp:rsid wsp:val=&quot;002C0475&quot;/&gt;&lt;wsp:rsid wsp:val=&quot;002C049C&quot;/&gt;&lt;wsp:rsid wsp:val=&quot;002C06A2&quot;/&gt;&lt;wsp:rsid wsp:val=&quot;002C0797&quot;/&gt;&lt;wsp:rsid wsp:val=&quot;002C09C9&quot;/&gt;&lt;wsp:rsid wsp:val=&quot;002C1425&quot;/&gt;&lt;wsp:rsid wsp:val=&quot;002C196B&quot;/&gt;&lt;wsp:rsid wsp:val=&quot;002C1A16&quot;/&gt;&lt;wsp:rsid wsp:val=&quot;002C1D69&quot;/&gt;&lt;wsp:rsid wsp:val=&quot;002C2023&quot;/&gt;&lt;wsp:rsid wsp:val=&quot;002C2E78&quot;/&gt;&lt;wsp:rsid wsp:val=&quot;002C341B&quot;/&gt;&lt;wsp:rsid wsp:val=&quot;002C36FF&quot;/&gt;&lt;wsp:rsid wsp:val=&quot;002C3863&quot;/&gt;&lt;wsp:rsid wsp:val=&quot;002C38D3&quot;/&gt;&lt;wsp:rsid wsp:val=&quot;002C399A&quot;/&gt;&lt;wsp:rsid wsp:val=&quot;002C3F6E&quot;/&gt;&lt;wsp:rsid wsp:val=&quot;002C40E3&quot;/&gt;&lt;wsp:rsid wsp:val=&quot;002C426B&quot;/&gt;&lt;wsp:rsid wsp:val=&quot;002C4910&quot;/&gt;&lt;wsp:rsid wsp:val=&quot;002C51F4&quot;/&gt;&lt;wsp:rsid wsp:val=&quot;002C52BD&quot;/&gt;&lt;wsp:rsid wsp:val=&quot;002C5465&quot;/&gt;&lt;wsp:rsid wsp:val=&quot;002C580B&quot;/&gt;&lt;wsp:rsid wsp:val=&quot;002C5A9A&quot;/&gt;&lt;wsp:rsid wsp:val=&quot;002C5D82&quot;/&gt;&lt;wsp:rsid wsp:val=&quot;002C5F99&quot;/&gt;&lt;wsp:rsid wsp:val=&quot;002C6221&quot;/&gt;&lt;wsp:rsid wsp:val=&quot;002C6936&quot;/&gt;&lt;wsp:rsid wsp:val=&quot;002C6EF6&quot;/&gt;&lt;wsp:rsid wsp:val=&quot;002C70A1&quot;/&gt;&lt;wsp:rsid wsp:val=&quot;002C70EB&quot;/&gt;&lt;wsp:rsid wsp:val=&quot;002C71BC&quot;/&gt;&lt;wsp:rsid wsp:val=&quot;002C7CB3&quot;/&gt;&lt;wsp:rsid wsp:val=&quot;002D01B6&quot;/&gt;&lt;wsp:rsid wsp:val=&quot;002D051A&quot;/&gt;&lt;wsp:rsid wsp:val=&quot;002D066C&quot;/&gt;&lt;wsp:rsid wsp:val=&quot;002D0BD7&quot;/&gt;&lt;wsp:rsid wsp:val=&quot;002D0D75&quot;/&gt;&lt;wsp:rsid wsp:val=&quot;002D17A6&quot;/&gt;&lt;wsp:rsid wsp:val=&quot;002D1F87&quot;/&gt;&lt;wsp:rsid wsp:val=&quot;002D2373&quot;/&gt;&lt;wsp:rsid wsp:val=&quot;002D26F6&quot;/&gt;&lt;wsp:rsid wsp:val=&quot;002D2A19&quot;/&gt;&lt;wsp:rsid wsp:val=&quot;002D2A84&quot;/&gt;&lt;wsp:rsid wsp:val=&quot;002D30BE&quot;/&gt;&lt;wsp:rsid wsp:val=&quot;002D325A&quot;/&gt;&lt;wsp:rsid wsp:val=&quot;002D3A06&quot;/&gt;&lt;wsp:rsid wsp:val=&quot;002D3E99&quot;/&gt;&lt;wsp:rsid wsp:val=&quot;002D3FAD&quot;/&gt;&lt;wsp:rsid wsp:val=&quot;002D4667&quot;/&gt;&lt;wsp:rsid wsp:val=&quot;002D48AC&quot;/&gt;&lt;wsp:rsid wsp:val=&quot;002D4A83&quot;/&gt;&lt;wsp:rsid wsp:val=&quot;002D4C2A&quot;/&gt;&lt;wsp:rsid wsp:val=&quot;002D5156&quot;/&gt;&lt;wsp:rsid wsp:val=&quot;002D5221&quot;/&gt;&lt;wsp:rsid wsp:val=&quot;002D54B2&quot;/&gt;&lt;wsp:rsid wsp:val=&quot;002D5AD5&quot;/&gt;&lt;wsp:rsid wsp:val=&quot;002D5F75&quot;/&gt;&lt;wsp:rsid wsp:val=&quot;002D60C7&quot;/&gt;&lt;wsp:rsid wsp:val=&quot;002D6528&quot;/&gt;&lt;wsp:rsid wsp:val=&quot;002D655D&quot;/&gt;&lt;wsp:rsid wsp:val=&quot;002D6810&quot;/&gt;&lt;wsp:rsid wsp:val=&quot;002D68CE&quot;/&gt;&lt;wsp:rsid wsp:val=&quot;002D68D1&quot;/&gt;&lt;wsp:rsid wsp:val=&quot;002D68F0&quot;/&gt;&lt;wsp:rsid wsp:val=&quot;002D6938&quot;/&gt;&lt;wsp:rsid wsp:val=&quot;002D6EA4&quot;/&gt;&lt;wsp:rsid wsp:val=&quot;002D6F4C&quot;/&gt;&lt;wsp:rsid wsp:val=&quot;002D712B&quot;/&gt;&lt;wsp:rsid wsp:val=&quot;002D7489&quot;/&gt;&lt;wsp:rsid wsp:val=&quot;002D75E1&quot;/&gt;&lt;wsp:rsid wsp:val=&quot;002D7852&quot;/&gt;&lt;wsp:rsid wsp:val=&quot;002D7876&quot;/&gt;&lt;wsp:rsid wsp:val=&quot;002D7F7C&quot;/&gt;&lt;wsp:rsid wsp:val=&quot;002E00F5&quot;/&gt;&lt;wsp:rsid wsp:val=&quot;002E0245&quot;/&gt;&lt;wsp:rsid wsp:val=&quot;002E09BB&quot;/&gt;&lt;wsp:rsid wsp:val=&quot;002E10DC&quot;/&gt;&lt;wsp:rsid wsp:val=&quot;002E155F&quot;/&gt;&lt;wsp:rsid wsp:val=&quot;002E1B96&quot;/&gt;&lt;wsp:rsid wsp:val=&quot;002E1D4F&quot;/&gt;&lt;wsp:rsid wsp:val=&quot;002E1F15&quot;/&gt;&lt;wsp:rsid wsp:val=&quot;002E1F17&quot;/&gt;&lt;wsp:rsid wsp:val=&quot;002E205D&quot;/&gt;&lt;wsp:rsid wsp:val=&quot;002E22DB&quot;/&gt;&lt;wsp:rsid wsp:val=&quot;002E28BB&quot;/&gt;&lt;wsp:rsid wsp:val=&quot;002E2C03&quot;/&gt;&lt;wsp:rsid wsp:val=&quot;002E2EC0&quot;/&gt;&lt;wsp:rsid wsp:val=&quot;002E3387&quot;/&gt;&lt;wsp:rsid wsp:val=&quot;002E34D6&quot;/&gt;&lt;wsp:rsid wsp:val=&quot;002E3B88&quot;/&gt;&lt;wsp:rsid wsp:val=&quot;002E3D5B&quot;/&gt;&lt;wsp:rsid wsp:val=&quot;002E3DAD&quot;/&gt;&lt;wsp:rsid wsp:val=&quot;002E3ED7&quot;/&gt;&lt;wsp:rsid wsp:val=&quot;002E4583&quot;/&gt;&lt;wsp:rsid wsp:val=&quot;002E4707&quot;/&gt;&lt;wsp:rsid wsp:val=&quot;002E4B35&quot;/&gt;&lt;wsp:rsid wsp:val=&quot;002E542B&quot;/&gt;&lt;wsp:rsid wsp:val=&quot;002E6D9B&quot;/&gt;&lt;wsp:rsid wsp:val=&quot;002E7A1F&quot;/&gt;&lt;wsp:rsid wsp:val=&quot;002E7AE0&quot;/&gt;&lt;wsp:rsid wsp:val=&quot;002E7B93&quot;/&gt;&lt;wsp:rsid wsp:val=&quot;002E7F73&quot;/&gt;&lt;wsp:rsid wsp:val=&quot;002F0117&quot;/&gt;&lt;wsp:rsid wsp:val=&quot;002F033F&quot;/&gt;&lt;wsp:rsid wsp:val=&quot;002F0447&quot;/&gt;&lt;wsp:rsid wsp:val=&quot;002F046F&quot;/&gt;&lt;wsp:rsid wsp:val=&quot;002F0546&quot;/&gt;&lt;wsp:rsid wsp:val=&quot;002F0E28&quot;/&gt;&lt;wsp:rsid wsp:val=&quot;002F0F50&quot;/&gt;&lt;wsp:rsid wsp:val=&quot;002F0FBF&quot;/&gt;&lt;wsp:rsid wsp:val=&quot;002F12A5&quot;/&gt;&lt;wsp:rsid wsp:val=&quot;002F1589&quot;/&gt;&lt;wsp:rsid wsp:val=&quot;002F17EF&quot;/&gt;&lt;wsp:rsid wsp:val=&quot;002F1969&quot;/&gt;&lt;wsp:rsid wsp:val=&quot;002F1FC7&quot;/&gt;&lt;wsp:rsid wsp:val=&quot;002F2886&quot;/&gt;&lt;wsp:rsid wsp:val=&quot;002F309F&quot;/&gt;&lt;wsp:rsid wsp:val=&quot;002F33C7&quot;/&gt;&lt;wsp:rsid wsp:val=&quot;002F3538&quot;/&gt;&lt;wsp:rsid wsp:val=&quot;002F3CF1&quot;/&gt;&lt;wsp:rsid wsp:val=&quot;002F3D37&quot;/&gt;&lt;wsp:rsid wsp:val=&quot;002F42BA&quot;/&gt;&lt;wsp:rsid wsp:val=&quot;002F452B&quot;/&gt;&lt;wsp:rsid wsp:val=&quot;002F4635&quot;/&gt;&lt;wsp:rsid wsp:val=&quot;002F4CC1&quot;/&gt;&lt;wsp:rsid wsp:val=&quot;002F4E53&quot;/&gt;&lt;wsp:rsid wsp:val=&quot;002F4E82&quot;/&gt;&lt;wsp:rsid wsp:val=&quot;002F4FEE&quot;/&gt;&lt;wsp:rsid wsp:val=&quot;002F50B4&quot;/&gt;&lt;wsp:rsid wsp:val=&quot;002F5550&quot;/&gt;&lt;wsp:rsid wsp:val=&quot;002F57FD&quot;/&gt;&lt;wsp:rsid wsp:val=&quot;002F5DB6&quot;/&gt;&lt;wsp:rsid wsp:val=&quot;002F5EEF&quot;/&gt;&lt;wsp:rsid wsp:val=&quot;002F5FFD&quot;/&gt;&lt;wsp:rsid wsp:val=&quot;002F6510&quot;/&gt;&lt;wsp:rsid wsp:val=&quot;002F6A30&quot;/&gt;&lt;wsp:rsid wsp:val=&quot;002F6C71&quot;/&gt;&lt;wsp:rsid wsp:val=&quot;002F762A&quot;/&gt;&lt;wsp:rsid wsp:val=&quot;002F7CDE&quot;/&gt;&lt;wsp:rsid wsp:val=&quot;00300614&quot;/&gt;&lt;wsp:rsid wsp:val=&quot;0030079A&quot;/&gt;&lt;wsp:rsid wsp:val=&quot;00300A4F&quot;/&gt;&lt;wsp:rsid wsp:val=&quot;003011E0&quot;/&gt;&lt;wsp:rsid wsp:val=&quot;00301AB9&quot;/&gt;&lt;wsp:rsid wsp:val=&quot;00301E31&quot;/&gt;&lt;wsp:rsid wsp:val=&quot;003020F0&quot;/&gt;&lt;wsp:rsid wsp:val=&quot;003021E3&quot;/&gt;&lt;wsp:rsid wsp:val=&quot;003021EB&quot;/&gt;&lt;wsp:rsid wsp:val=&quot;0030234F&quot;/&gt;&lt;wsp:rsid wsp:val=&quot;003024F1&quot;/&gt;&lt;wsp:rsid wsp:val=&quot;00302C47&quot;/&gt;&lt;wsp:rsid wsp:val=&quot;00302DE7&quot;/&gt;&lt;wsp:rsid wsp:val=&quot;00302E2C&quot;/&gt;&lt;wsp:rsid wsp:val=&quot;0030381E&quot;/&gt;&lt;wsp:rsid wsp:val=&quot;00303848&quot;/&gt;&lt;wsp:rsid wsp:val=&quot;00303894&quot;/&gt;&lt;wsp:rsid wsp:val=&quot;00303A13&quot;/&gt;&lt;wsp:rsid wsp:val=&quot;00303D41&quot;/&gt;&lt;wsp:rsid wsp:val=&quot;0030400B&quot;/&gt;&lt;wsp:rsid wsp:val=&quot;003040BB&quot;/&gt;&lt;wsp:rsid wsp:val=&quot;003042E2&quot;/&gt;&lt;wsp:rsid wsp:val=&quot;00304465&quot;/&gt;&lt;wsp:rsid wsp:val=&quot;00304543&quot;/&gt;&lt;wsp:rsid wsp:val=&quot;00304659&quot;/&gt;&lt;wsp:rsid wsp:val=&quot;00304816&quot;/&gt;&lt;wsp:rsid wsp:val=&quot;00305216&quot;/&gt;&lt;wsp:rsid wsp:val=&quot;00305929&quot;/&gt;&lt;wsp:rsid wsp:val=&quot;00305A87&quot;/&gt;&lt;wsp:rsid wsp:val=&quot;003064CB&quot;/&gt;&lt;wsp:rsid wsp:val=&quot;00306A6A&quot;/&gt;&lt;wsp:rsid wsp:val=&quot;00306AA7&quot;/&gt;&lt;wsp:rsid wsp:val=&quot;00306CB1&quot;/&gt;&lt;wsp:rsid wsp:val=&quot;00306F51&quot;/&gt;&lt;wsp:rsid wsp:val=&quot;00306F9A&quot;/&gt;&lt;wsp:rsid wsp:val=&quot;00307117&quot;/&gt;&lt;wsp:rsid wsp:val=&quot;00307711&quot;/&gt;&lt;wsp:rsid wsp:val=&quot;003077AC&quot;/&gt;&lt;wsp:rsid wsp:val=&quot;00307B03&quot;/&gt;&lt;wsp:rsid wsp:val=&quot;0031013A&quot;/&gt;&lt;wsp:rsid wsp:val=&quot;0031018C&quot;/&gt;&lt;wsp:rsid wsp:val=&quot;003105B2&quot;/&gt;&lt;wsp:rsid wsp:val=&quot;00310832&quot;/&gt;&lt;wsp:rsid wsp:val=&quot;00310AC6&quot;/&gt;&lt;wsp:rsid wsp:val=&quot;00310E02&quot;/&gt;&lt;wsp:rsid wsp:val=&quot;003111BD&quot;/&gt;&lt;wsp:rsid wsp:val=&quot;00311355&quot;/&gt;&lt;wsp:rsid wsp:val=&quot;003118E0&quot;/&gt;&lt;wsp:rsid wsp:val=&quot;00311967&quot;/&gt;&lt;wsp:rsid wsp:val=&quot;00311BFF&quot;/&gt;&lt;wsp:rsid wsp:val=&quot;0031201D&quot;/&gt;&lt;wsp:rsid wsp:val=&quot;003124A8&quot;/&gt;&lt;wsp:rsid wsp:val=&quot;0031286E&quot;/&gt;&lt;wsp:rsid wsp:val=&quot;00312EEF&quot;/&gt;&lt;wsp:rsid wsp:val=&quot;00312FD4&quot;/&gt;&lt;wsp:rsid wsp:val=&quot;0031302C&quot;/&gt;&lt;wsp:rsid wsp:val=&quot;00313A91&quot;/&gt;&lt;wsp:rsid wsp:val=&quot;00313C73&quot;/&gt;&lt;wsp:rsid wsp:val=&quot;0031435C&quot;/&gt;&lt;wsp:rsid wsp:val=&quot;003144DA&quot;/&gt;&lt;wsp:rsid wsp:val=&quot;00314577&quot;/&gt;&lt;wsp:rsid wsp:val=&quot;003145BA&quot;/&gt;&lt;wsp:rsid wsp:val=&quot;003146B3&quot;/&gt;&lt;wsp:rsid wsp:val=&quot;003148C5&quot;/&gt;&lt;wsp:rsid wsp:val=&quot;003148E8&quot;/&gt;&lt;wsp:rsid wsp:val=&quot;0031494A&quot;/&gt;&lt;wsp:rsid wsp:val=&quot;00314D64&quot;/&gt;&lt;wsp:rsid wsp:val=&quot;003153AB&quot;/&gt;&lt;wsp:rsid wsp:val=&quot;00315C1F&quot;/&gt;&lt;wsp:rsid wsp:val=&quot;00316A8D&quot;/&gt;&lt;wsp:rsid wsp:val=&quot;00316B3D&quot;/&gt;&lt;wsp:rsid wsp:val=&quot;0031710A&quot;/&gt;&lt;wsp:rsid wsp:val=&quot;0031727B&quot;/&gt;&lt;wsp:rsid wsp:val=&quot;003173FE&quot;/&gt;&lt;wsp:rsid wsp:val=&quot;0031743E&quot;/&gt;&lt;wsp:rsid wsp:val=&quot;003175D3&quot;/&gt;&lt;wsp:rsid wsp:val=&quot;003176EF&quot;/&gt;&lt;wsp:rsid wsp:val=&quot;00317939&quot;/&gt;&lt;wsp:rsid wsp:val=&quot;00317951&quot;/&gt;&lt;wsp:rsid wsp:val=&quot;003179E4&quot;/&gt;&lt;wsp:rsid wsp:val=&quot;00317A5B&quot;/&gt;&lt;wsp:rsid wsp:val=&quot;00317B85&quot;/&gt;&lt;wsp:rsid wsp:val=&quot;00317C82&quot;/&gt;&lt;wsp:rsid wsp:val=&quot;00317C8D&quot;/&gt;&lt;wsp:rsid wsp:val=&quot;00320125&quot;/&gt;&lt;wsp:rsid wsp:val=&quot;00320258&quot;/&gt;&lt;wsp:rsid wsp:val=&quot;00320778&quot;/&gt;&lt;wsp:rsid wsp:val=&quot;003208F1&quot;/&gt;&lt;wsp:rsid wsp:val=&quot;00320B46&quot;/&gt;&lt;wsp:rsid wsp:val=&quot;00321345&quot;/&gt;&lt;wsp:rsid wsp:val=&quot;003219C6&quot;/&gt;&lt;wsp:rsid wsp:val=&quot;00321BAA&quot;/&gt;&lt;wsp:rsid wsp:val=&quot;00321FE8&quot;/&gt;&lt;wsp:rsid wsp:val=&quot;003228E7&quot;/&gt;&lt;wsp:rsid wsp:val=&quot;00322C86&quot;/&gt;&lt;wsp:rsid wsp:val=&quot;00322F9C&quot;/&gt;&lt;wsp:rsid wsp:val=&quot;00323064&quot;/&gt;&lt;wsp:rsid wsp:val=&quot;00323789&quot;/&gt;&lt;wsp:rsid wsp:val=&quot;003237CD&quot;/&gt;&lt;wsp:rsid wsp:val=&quot;003239FE&quot;/&gt;&lt;wsp:rsid wsp:val=&quot;00323A36&quot;/&gt;&lt;wsp:rsid wsp:val=&quot;00323C3F&quot;/&gt;&lt;wsp:rsid wsp:val=&quot;00324043&quot;/&gt;&lt;wsp:rsid wsp:val=&quot;003240C6&quot;/&gt;&lt;wsp:rsid wsp:val=&quot;003240DB&quot;/&gt;&lt;wsp:rsid wsp:val=&quot;00324172&quot;/&gt;&lt;wsp:rsid wsp:val=&quot;003243F1&quot;/&gt;&lt;wsp:rsid wsp:val=&quot;00324811&quot;/&gt;&lt;wsp:rsid wsp:val=&quot;00324D96&quot;/&gt;&lt;wsp:rsid wsp:val=&quot;003251F5&quot;/&gt;&lt;wsp:rsid wsp:val=&quot;003251FD&quot;/&gt;&lt;wsp:rsid wsp:val=&quot;003252DE&quot;/&gt;&lt;wsp:rsid wsp:val=&quot;0032561C&quot;/&gt;&lt;wsp:rsid wsp:val=&quot;003256BF&quot;/&gt;&lt;wsp:rsid wsp:val=&quot;0032627E&quot;/&gt;&lt;wsp:rsid wsp:val=&quot;003263D2&quot;/&gt;&lt;wsp:rsid wsp:val=&quot;003265DD&quot;/&gt;&lt;wsp:rsid wsp:val=&quot;00326D3E&quot;/&gt;&lt;wsp:rsid wsp:val=&quot;0032714F&quot;/&gt;&lt;wsp:rsid wsp:val=&quot;0032737B&quot;/&gt;&lt;wsp:rsid wsp:val=&quot;0032755B&quot;/&gt;&lt;wsp:rsid wsp:val=&quot;0032756B&quot;/&gt;&lt;wsp:rsid wsp:val=&quot;003278B6&quot;/&gt;&lt;wsp:rsid wsp:val=&quot;00327A8B&quot;/&gt;&lt;wsp:rsid wsp:val=&quot;00327CA0&quot;/&gt;&lt;wsp:rsid wsp:val=&quot;00327E04&quot;/&gt;&lt;wsp:rsid wsp:val=&quot;00327E52&quot;/&gt;&lt;wsp:rsid wsp:val=&quot;00330024&quot;/&gt;&lt;wsp:rsid wsp:val=&quot;0033034B&quot;/&gt;&lt;wsp:rsid wsp:val=&quot;00330B34&quot;/&gt;&lt;wsp:rsid wsp:val=&quot;00331365&quot;/&gt;&lt;wsp:rsid wsp:val=&quot;003316ED&quot;/&gt;&lt;wsp:rsid wsp:val=&quot;0033175A&quot;/&gt;&lt;wsp:rsid wsp:val=&quot;003318EC&quot;/&gt;&lt;wsp:rsid wsp:val=&quot;00331ACB&quot;/&gt;&lt;wsp:rsid wsp:val=&quot;0033226E&quot;/&gt;&lt;wsp:rsid wsp:val=&quot;003322C0&quot;/&gt;&lt;wsp:rsid wsp:val=&quot;0033245B&quot;/&gt;&lt;wsp:rsid wsp:val=&quot;003327D1&quot;/&gt;&lt;wsp:rsid wsp:val=&quot;00332A9F&quot;/&gt;&lt;wsp:rsid wsp:val=&quot;00332C11&quot;/&gt;&lt;wsp:rsid wsp:val=&quot;0033316B&quot;/&gt;&lt;wsp:rsid wsp:val=&quot;003331E4&quot;/&gt;&lt;wsp:rsid wsp:val=&quot;003332A5&quot;/&gt;&lt;wsp:rsid wsp:val=&quot;003332B4&quot;/&gt;&lt;wsp:rsid wsp:val=&quot;003332C9&quot;/&gt;&lt;wsp:rsid wsp:val=&quot;00333498&quot;/&gt;&lt;wsp:rsid wsp:val=&quot;00333521&quot;/&gt;&lt;wsp:rsid wsp:val=&quot;00333680&quot;/&gt;&lt;wsp:rsid wsp:val=&quot;00333F62&quot;/&gt;&lt;wsp:rsid wsp:val=&quot;003340C4&quot;/&gt;&lt;wsp:rsid wsp:val=&quot;003342C3&quot;/&gt;&lt;wsp:rsid wsp:val=&quot;00334AB7&quot;/&gt;&lt;wsp:rsid wsp:val=&quot;00334DBD&quot;/&gt;&lt;wsp:rsid wsp:val=&quot;00334F85&quot;/&gt;&lt;wsp:rsid wsp:val=&quot;0033524F&quot;/&gt;&lt;wsp:rsid wsp:val=&quot;003354E8&quot;/&gt;&lt;wsp:rsid wsp:val=&quot;00335704&quot;/&gt;&lt;wsp:rsid wsp:val=&quot;00335B8C&quot;/&gt;&lt;wsp:rsid wsp:val=&quot;00335BEC&quot;/&gt;&lt;wsp:rsid wsp:val=&quot;00335C3B&quot;/&gt;&lt;wsp:rsid wsp:val=&quot;00335FEF&quot;/&gt;&lt;wsp:rsid wsp:val=&quot;00336121&quot;/&gt;&lt;wsp:rsid wsp:val=&quot;00336146&quot;/&gt;&lt;wsp:rsid wsp:val=&quot;003369C1&quot;/&gt;&lt;wsp:rsid wsp:val=&quot;00336D68&quot;/&gt;&lt;wsp:rsid wsp:val=&quot;00336D7E&quot;/&gt;&lt;wsp:rsid wsp:val=&quot;00337075&quot;/&gt;&lt;wsp:rsid wsp:val=&quot;0033707C&quot;/&gt;&lt;wsp:rsid wsp:val=&quot;003373A9&quot;/&gt;&lt;wsp:rsid wsp:val=&quot;003373F7&quot;/&gt;&lt;wsp:rsid wsp:val=&quot;003375F2&quot;/&gt;&lt;wsp:rsid wsp:val=&quot;0033764C&quot;/&gt;&lt;wsp:rsid wsp:val=&quot;003379E1&quot;/&gt;&lt;wsp:rsid wsp:val=&quot;0034005A&quot;/&gt;&lt;wsp:rsid wsp:val=&quot;00340105&quot;/&gt;&lt;wsp:rsid wsp:val=&quot;003405F2&quot;/&gt;&lt;wsp:rsid wsp:val=&quot;0034077B&quot;/&gt;&lt;wsp:rsid wsp:val=&quot;00340B3C&quot;/&gt;&lt;wsp:rsid wsp:val=&quot;00340EA3&quot;/&gt;&lt;wsp:rsid wsp:val=&quot;00340EC3&quot;/&gt;&lt;wsp:rsid wsp:val=&quot;00341352&quot;/&gt;&lt;wsp:rsid wsp:val=&quot;0034136D&quot;/&gt;&lt;wsp:rsid wsp:val=&quot;00341648&quot;/&gt;&lt;wsp:rsid wsp:val=&quot;00341871&quot;/&gt;&lt;wsp:rsid wsp:val=&quot;00341BA2&quot;/&gt;&lt;wsp:rsid wsp:val=&quot;0034246D&quot;/&gt;&lt;wsp:rsid wsp:val=&quot;003426DD&quot;/&gt;&lt;wsp:rsid wsp:val=&quot;003429BB&quot;/&gt;&lt;wsp:rsid wsp:val=&quot;00342C6D&quot;/&gt;&lt;wsp:rsid wsp:val=&quot;00342D91&quot;/&gt;&lt;wsp:rsid wsp:val=&quot;0034360D&quot;/&gt;&lt;wsp:rsid wsp:val=&quot;00343823&quot;/&gt;&lt;wsp:rsid wsp:val=&quot;00343AEB&quot;/&gt;&lt;wsp:rsid wsp:val=&quot;00343B37&quot;/&gt;&lt;wsp:rsid wsp:val=&quot;003441AF&quot;/&gt;&lt;wsp:rsid wsp:val=&quot;0034430C&quot;/&gt;&lt;wsp:rsid wsp:val=&quot;0034477E&quot;/&gt;&lt;wsp:rsid wsp:val=&quot;0034499B&quot;/&gt;&lt;wsp:rsid wsp:val=&quot;003449EE&quot;/&gt;&lt;wsp:rsid wsp:val=&quot;00344C86&quot;/&gt;&lt;wsp:rsid wsp:val=&quot;00345346&quot;/&gt;&lt;wsp:rsid wsp:val=&quot;003459A5&quot;/&gt;&lt;wsp:rsid wsp:val=&quot;00345E3E&quot;/&gt;&lt;wsp:rsid wsp:val=&quot;00345E83&quot;/&gt;&lt;wsp:rsid wsp:val=&quot;003461A8&quot;/&gt;&lt;wsp:rsid wsp:val=&quot;003461B5&quot;/&gt;&lt;wsp:rsid wsp:val=&quot;0034647F&quot;/&gt;&lt;wsp:rsid wsp:val=&quot;003465BD&quot;/&gt;&lt;wsp:rsid wsp:val=&quot;003467BA&quot;/&gt;&lt;wsp:rsid wsp:val=&quot;003472CE&quot;/&gt;&lt;wsp:rsid wsp:val=&quot;003474C7&quot;/&gt;&lt;wsp:rsid wsp:val=&quot;00347AEC&quot;/&gt;&lt;wsp:rsid wsp:val=&quot;00350027&quot;/&gt;&lt;wsp:rsid wsp:val=&quot;003501D8&quot;/&gt;&lt;wsp:rsid wsp:val=&quot;003506E8&quot;/&gt;&lt;wsp:rsid wsp:val=&quot;00350808&quot;/&gt;&lt;wsp:rsid wsp:val=&quot;00350B40&quot;/&gt;&lt;wsp:rsid wsp:val=&quot;00350BE1&quot;/&gt;&lt;wsp:rsid wsp:val=&quot;00350C45&quot;/&gt;&lt;wsp:rsid wsp:val=&quot;00350D37&quot;/&gt;&lt;wsp:rsid wsp:val=&quot;003513D0&quot;/&gt;&lt;wsp:rsid wsp:val=&quot;00351544&quot;/&gt;&lt;wsp:rsid wsp:val=&quot;00351D23&quot;/&gt;&lt;wsp:rsid wsp:val=&quot;00352111&quot;/&gt;&lt;wsp:rsid wsp:val=&quot;0035243E&quot;/&gt;&lt;wsp:rsid wsp:val=&quot;003529B5&quot;/&gt;&lt;wsp:rsid wsp:val=&quot;003529C4&quot;/&gt;&lt;wsp:rsid wsp:val=&quot;00352D51&quot;/&gt;&lt;wsp:rsid wsp:val=&quot;0035318B&quot;/&gt;&lt;wsp:rsid wsp:val=&quot;0035377D&quot;/&gt;&lt;wsp:rsid wsp:val=&quot;00353951&quot;/&gt;&lt;wsp:rsid wsp:val=&quot;00353DEF&quot;/&gt;&lt;wsp:rsid wsp:val=&quot;003548CE&quot;/&gt;&lt;wsp:rsid wsp:val=&quot;003550CB&quot;/&gt;&lt;wsp:rsid wsp:val=&quot;0035532F&quot;/&gt;&lt;wsp:rsid wsp:val=&quot;00355506&quot;/&gt;&lt;wsp:rsid wsp:val=&quot;0035582D&quot;/&gt;&lt;wsp:rsid wsp:val=&quot;003558B6&quot;/&gt;&lt;wsp:rsid wsp:val=&quot;0035596F&quot;/&gt;&lt;wsp:rsid wsp:val=&quot;00355B23&quot;/&gt;&lt;wsp:rsid wsp:val=&quot;003564AF&quot;/&gt;&lt;wsp:rsid wsp:val=&quot;003576FD&quot;/&gt;&lt;wsp:rsid wsp:val=&quot;0035786F&quot;/&gt;&lt;wsp:rsid wsp:val=&quot;00357B2B&quot;/&gt;&lt;wsp:rsid wsp:val=&quot;00357BD4&quot;/&gt;&lt;wsp:rsid wsp:val=&quot;0036002A&quot;/&gt;&lt;wsp:rsid wsp:val=&quot;0036041D&quot;/&gt;&lt;wsp:rsid wsp:val=&quot;00360810&quot;/&gt;&lt;wsp:rsid wsp:val=&quot;00360C9D&quot;/&gt;&lt;wsp:rsid wsp:val=&quot;00360FA1&quot;/&gt;&lt;wsp:rsid wsp:val=&quot;003611FD&quot;/&gt;&lt;wsp:rsid wsp:val=&quot;00361663&quot;/&gt;&lt;wsp:rsid wsp:val=&quot;00361B72&quot;/&gt;&lt;wsp:rsid wsp:val=&quot;00361FD5&quot;/&gt;&lt;wsp:rsid wsp:val=&quot;003620B5&quot;/&gt;&lt;wsp:rsid wsp:val=&quot;003620DB&quot;/&gt;&lt;wsp:rsid wsp:val=&quot;003621B7&quot;/&gt;&lt;wsp:rsid wsp:val=&quot;0036259B&quot;/&gt;&lt;wsp:rsid wsp:val=&quot;00362A92&quot;/&gt;&lt;wsp:rsid wsp:val=&quot;00362BC1&quot;/&gt;&lt;wsp:rsid wsp:val=&quot;00362FE2&quot;/&gt;&lt;wsp:rsid wsp:val=&quot;003630BD&quot;/&gt;&lt;wsp:rsid wsp:val=&quot;0036312A&quot;/&gt;&lt;wsp:rsid wsp:val=&quot;00363568&quot;/&gt;&lt;wsp:rsid wsp:val=&quot;003638A2&quot;/&gt;&lt;wsp:rsid wsp:val=&quot;00363E3B&quot;/&gt;&lt;wsp:rsid wsp:val=&quot;00363E47&quot;/&gt;&lt;wsp:rsid wsp:val=&quot;0036416D&quot;/&gt;&lt;wsp:rsid wsp:val=&quot;00364582&quot;/&gt;&lt;wsp:rsid wsp:val=&quot;003645D7&quot;/&gt;&lt;wsp:rsid wsp:val=&quot;00364A82&quot;/&gt;&lt;wsp:rsid wsp:val=&quot;00365286&quot;/&gt;&lt;wsp:rsid wsp:val=&quot;00365C52&quot;/&gt;&lt;wsp:rsid wsp:val=&quot;00365F41&quot;/&gt;&lt;wsp:rsid wsp:val=&quot;00366017&quot;/&gt;&lt;wsp:rsid wsp:val=&quot;00366401&quot;/&gt;&lt;wsp:rsid wsp:val=&quot;00366520&quot;/&gt;&lt;wsp:rsid wsp:val=&quot;003666EE&quot;/&gt;&lt;wsp:rsid wsp:val=&quot;00366833&quot;/&gt;&lt;wsp:rsid wsp:val=&quot;00366FF4&quot;/&gt;&lt;wsp:rsid wsp:val=&quot;0036702E&quot;/&gt;&lt;wsp:rsid wsp:val=&quot;00367099&quot;/&gt;&lt;wsp:rsid wsp:val=&quot;00367116&quot;/&gt;&lt;wsp:rsid wsp:val=&quot;003671C2&quot;/&gt;&lt;wsp:rsid wsp:val=&quot;003673CB&quot;/&gt;&lt;wsp:rsid wsp:val=&quot;00367508&quot;/&gt;&lt;wsp:rsid wsp:val=&quot;00367CAA&quot;/&gt;&lt;wsp:rsid wsp:val=&quot;00370218&quot;/&gt;&lt;wsp:rsid wsp:val=&quot;00370956&quot;/&gt;&lt;wsp:rsid wsp:val=&quot;00370A0F&quot;/&gt;&lt;wsp:rsid wsp:val=&quot;00370D91&quot;/&gt;&lt;wsp:rsid wsp:val=&quot;00371DDF&quot;/&gt;&lt;wsp:rsid wsp:val=&quot;00371E75&quot;/&gt;&lt;wsp:rsid wsp:val=&quot;00372B2C&quot;/&gt;&lt;wsp:rsid wsp:val=&quot;00372B94&quot;/&gt;&lt;wsp:rsid wsp:val=&quot;00372E1F&quot;/&gt;&lt;wsp:rsid wsp:val=&quot;0037305D&quot;/&gt;&lt;wsp:rsid wsp:val=&quot;00373080&quot;/&gt;&lt;wsp:rsid wsp:val=&quot;0037327A&quot;/&gt;&lt;wsp:rsid wsp:val=&quot;003733B9&quot;/&gt;&lt;wsp:rsid wsp:val=&quot;003734EA&quot;/&gt;&lt;wsp:rsid wsp:val=&quot;00373772&quot;/&gt;&lt;wsp:rsid wsp:val=&quot;0037381A&quot;/&gt;&lt;wsp:rsid wsp:val=&quot;00373863&quot;/&gt;&lt;wsp:rsid wsp:val=&quot;0037417F&quot;/&gt;&lt;wsp:rsid wsp:val=&quot;0037434F&quot;/&gt;&lt;wsp:rsid wsp:val=&quot;003744B2&quot;/&gt;&lt;wsp:rsid wsp:val=&quot;00374A1A&quot;/&gt;&lt;wsp:rsid wsp:val=&quot;00374CFC&quot;/&gt;&lt;wsp:rsid wsp:val=&quot;003751DB&quot;/&gt;&lt;wsp:rsid wsp:val=&quot;00375561&quot;/&gt;&lt;wsp:rsid wsp:val=&quot;0037566E&quot;/&gt;&lt;wsp:rsid wsp:val=&quot;0037573E&quot;/&gt;&lt;wsp:rsid wsp:val=&quot;0037587B&quot;/&gt;&lt;wsp:rsid wsp:val=&quot;00375FE1&quot;/&gt;&lt;wsp:rsid wsp:val=&quot;0037620D&quot;/&gt;&lt;wsp:rsid wsp:val=&quot;00376889&quot;/&gt;&lt;wsp:rsid wsp:val=&quot;0037688C&quot;/&gt;&lt;wsp:rsid wsp:val=&quot;0037736A&quot;/&gt;&lt;wsp:rsid wsp:val=&quot;003778DE&quot;/&gt;&lt;wsp:rsid wsp:val=&quot;00377A92&quot;/&gt;&lt;wsp:rsid wsp:val=&quot;00377CAB&quot;/&gt;&lt;wsp:rsid wsp:val=&quot;00377CCF&quot;/&gt;&lt;wsp:rsid wsp:val=&quot;003800B0&quot;/&gt;&lt;wsp:rsid wsp:val=&quot;00380150&quot;/&gt;&lt;wsp:rsid wsp:val=&quot;0038021F&quot;/&gt;&lt;wsp:rsid wsp:val=&quot;00380627&quot;/&gt;&lt;wsp:rsid wsp:val=&quot;00380A43&quot;/&gt;&lt;wsp:rsid wsp:val=&quot;00380BE5&quot;/&gt;&lt;wsp:rsid wsp:val=&quot;00380D61&quot;/&gt;&lt;wsp:rsid wsp:val=&quot;00380E4F&quot;/&gt;&lt;wsp:rsid wsp:val=&quot;00381580&quot;/&gt;&lt;wsp:rsid wsp:val=&quot;003816B6&quot;/&gt;&lt;wsp:rsid wsp:val=&quot;00381735&quot;/&gt;&lt;wsp:rsid wsp:val=&quot;00381A47&quot;/&gt;&lt;wsp:rsid wsp:val=&quot;00381AE0&quot;/&gt;&lt;wsp:rsid wsp:val=&quot;00381F29&quot;/&gt;&lt;wsp:rsid wsp:val=&quot;003822F0&quot;/&gt;&lt;wsp:rsid wsp:val=&quot;0038263F&quot;/&gt;&lt;wsp:rsid wsp:val=&quot;003829FF&quot;/&gt;&lt;wsp:rsid wsp:val=&quot;00382C25&quot;/&gt;&lt;wsp:rsid wsp:val=&quot;00382E60&quot;/&gt;&lt;wsp:rsid wsp:val=&quot;0038324A&quot;/&gt;&lt;wsp:rsid wsp:val=&quot;00383257&quot;/&gt;&lt;wsp:rsid wsp:val=&quot;003835F4&quot;/&gt;&lt;wsp:rsid wsp:val=&quot;00383A82&quot;/&gt;&lt;wsp:rsid wsp:val=&quot;00383B9A&quot;/&gt;&lt;wsp:rsid wsp:val=&quot;0038426B&quot;/&gt;&lt;wsp:rsid wsp:val=&quot;003843D7&quot;/&gt;&lt;wsp:rsid wsp:val=&quot;003849FB&quot;/&gt;&lt;wsp:rsid wsp:val=&quot;00384B3B&quot;/&gt;&lt;wsp:rsid wsp:val=&quot;00385C5F&quot;/&gt;&lt;wsp:rsid wsp:val=&quot;00385DE1&quot;/&gt;&lt;wsp:rsid wsp:val=&quot;00386363&quot;/&gt;&lt;wsp:rsid wsp:val=&quot;003867F0&quot;/&gt;&lt;wsp:rsid wsp:val=&quot;003871D5&quot;/&gt;&lt;wsp:rsid wsp:val=&quot;00387309&quot;/&gt;&lt;wsp:rsid wsp:val=&quot;0038764F&quot;/&gt;&lt;wsp:rsid wsp:val=&quot;00387679&quot;/&gt;&lt;wsp:rsid wsp:val=&quot;003878E4&quot;/&gt;&lt;wsp:rsid wsp:val=&quot;00387CCC&quot;/&gt;&lt;wsp:rsid wsp:val=&quot;00387D94&quot;/&gt;&lt;wsp:rsid wsp:val=&quot;00390021&quot;/&gt;&lt;wsp:rsid wsp:val=&quot;003902EC&quot;/&gt;&lt;wsp:rsid wsp:val=&quot;0039034E&quot;/&gt;&lt;wsp:rsid wsp:val=&quot;0039053A&quot;/&gt;&lt;wsp:rsid wsp:val=&quot;00390919&quot;/&gt;&lt;wsp:rsid wsp:val=&quot;00390925&quot;/&gt;&lt;wsp:rsid wsp:val=&quot;00390A07&quot;/&gt;&lt;wsp:rsid wsp:val=&quot;00390FA8&quot;/&gt;&lt;wsp:rsid wsp:val=&quot;00391369&quot;/&gt;&lt;wsp:rsid wsp:val=&quot;003917CB&quot;/&gt;&lt;wsp:rsid wsp:val=&quot;00391998&quot;/&gt;&lt;wsp:rsid wsp:val=&quot;00391E4D&quot;/&gt;&lt;wsp:rsid wsp:val=&quot;0039240C&quot;/&gt;&lt;wsp:rsid wsp:val=&quot;0039253A&quot;/&gt;&lt;wsp:rsid wsp:val=&quot;0039272C&quot;/&gt;&lt;wsp:rsid wsp:val=&quot;00392801&quot;/&gt;&lt;wsp:rsid wsp:val=&quot;00392907&quot;/&gt;&lt;wsp:rsid wsp:val=&quot;00392AAD&quot;/&gt;&lt;wsp:rsid wsp:val=&quot;003941C6&quot;/&gt;&lt;wsp:rsid wsp:val=&quot;003941CF&quot;/&gt;&lt;wsp:rsid wsp:val=&quot;003943D7&quot;/&gt;&lt;wsp:rsid wsp:val=&quot;00394690&quot;/&gt;&lt;wsp:rsid wsp:val=&quot;0039499C&quot;/&gt;&lt;wsp:rsid wsp:val=&quot;00394B2F&quot;/&gt;&lt;wsp:rsid wsp:val=&quot;00394D37&quot;/&gt;&lt;wsp:rsid wsp:val=&quot;0039501D&quot;/&gt;&lt;wsp:rsid wsp:val=&quot;00395940&quot;/&gt;&lt;wsp:rsid wsp:val=&quot;00395BC4&quot;/&gt;&lt;wsp:rsid wsp:val=&quot;00395E6F&quot;/&gt;&lt;wsp:rsid wsp:val=&quot;0039633C&quot;/&gt;&lt;wsp:rsid wsp:val=&quot;00396746&quot;/&gt;&lt;wsp:rsid wsp:val=&quot;00396CC7&quot;/&gt;&lt;wsp:rsid wsp:val=&quot;00396FF0&quot;/&gt;&lt;wsp:rsid wsp:val=&quot;003976D0&quot;/&gt;&lt;wsp:rsid wsp:val=&quot;0039784D&quot;/&gt;&lt;wsp:rsid wsp:val=&quot;00397969&quot;/&gt;&lt;wsp:rsid wsp:val=&quot;00397A5E&quot;/&gt;&lt;wsp:rsid wsp:val=&quot;00397AAD&quot;/&gt;&lt;wsp:rsid wsp:val=&quot;00397CB3&quot;/&gt;&lt;wsp:rsid wsp:val=&quot;00397FF2&quot;/&gt;&lt;wsp:rsid wsp:val=&quot;003A0398&quot;/&gt;&lt;wsp:rsid wsp:val=&quot;003A047C&quot;/&gt;&lt;wsp:rsid wsp:val=&quot;003A0DB5&quot;/&gt;&lt;wsp:rsid wsp:val=&quot;003A145B&quot;/&gt;&lt;wsp:rsid wsp:val=&quot;003A157A&quot;/&gt;&lt;wsp:rsid wsp:val=&quot;003A176A&quot;/&gt;&lt;wsp:rsid wsp:val=&quot;003A1844&quot;/&gt;&lt;wsp:rsid wsp:val=&quot;003A184C&quot;/&gt;&lt;wsp:rsid wsp:val=&quot;003A1899&quot;/&gt;&lt;wsp:rsid wsp:val=&quot;003A1926&quot;/&gt;&lt;wsp:rsid wsp:val=&quot;003A1C22&quot;/&gt;&lt;wsp:rsid wsp:val=&quot;003A1C65&quot;/&gt;&lt;wsp:rsid wsp:val=&quot;003A1CF9&quot;/&gt;&lt;wsp:rsid wsp:val=&quot;003A26FA&quot;/&gt;&lt;wsp:rsid wsp:val=&quot;003A287A&quot;/&gt;&lt;wsp:rsid wsp:val=&quot;003A29E9&quot;/&gt;&lt;wsp:rsid wsp:val=&quot;003A2A7F&quot;/&gt;&lt;wsp:rsid wsp:val=&quot;003A33E2&quot;/&gt;&lt;wsp:rsid wsp:val=&quot;003A38DD&quot;/&gt;&lt;wsp:rsid wsp:val=&quot;003A3D24&quot;/&gt;&lt;wsp:rsid wsp:val=&quot;003A3D53&quot;/&gt;&lt;wsp:rsid wsp:val=&quot;003A40F3&quot;/&gt;&lt;wsp:rsid wsp:val=&quot;003A436D&quot;/&gt;&lt;wsp:rsid wsp:val=&quot;003A4A59&quot;/&gt;&lt;wsp:rsid wsp:val=&quot;003A4A81&quot;/&gt;&lt;wsp:rsid wsp:val=&quot;003A4FE4&quot;/&gt;&lt;wsp:rsid wsp:val=&quot;003A5190&quot;/&gt;&lt;wsp:rsid wsp:val=&quot;003A528D&quot;/&gt;&lt;wsp:rsid wsp:val=&quot;003A5646&quot;/&gt;&lt;wsp:rsid wsp:val=&quot;003A566F&quot;/&gt;&lt;wsp:rsid wsp:val=&quot;003A5A32&quot;/&gt;&lt;wsp:rsid wsp:val=&quot;003A5E41&quot;/&gt;&lt;wsp:rsid wsp:val=&quot;003A65B1&quot;/&gt;&lt;wsp:rsid wsp:val=&quot;003A673B&quot;/&gt;&lt;wsp:rsid wsp:val=&quot;003A6859&quot;/&gt;&lt;wsp:rsid wsp:val=&quot;003A68E3&quot;/&gt;&lt;wsp:rsid wsp:val=&quot;003A6912&quot;/&gt;&lt;wsp:rsid wsp:val=&quot;003A70B3&quot;/&gt;&lt;wsp:rsid wsp:val=&quot;003A723C&quot;/&gt;&lt;wsp:rsid wsp:val=&quot;003A7262&quot;/&gt;&lt;wsp:rsid wsp:val=&quot;003A7901&quot;/&gt;&lt;wsp:rsid wsp:val=&quot;003A7925&quot;/&gt;&lt;wsp:rsid wsp:val=&quot;003A7CF6&quot;/&gt;&lt;wsp:rsid wsp:val=&quot;003A7FFD&quot;/&gt;&lt;wsp:rsid wsp:val=&quot;003B01AD&quot;/&gt;&lt;wsp:rsid wsp:val=&quot;003B05ED&quot;/&gt;&lt;wsp:rsid wsp:val=&quot;003B0B3D&quot;/&gt;&lt;wsp:rsid wsp:val=&quot;003B0C2D&quot;/&gt;&lt;wsp:rsid wsp:val=&quot;003B0E52&quot;/&gt;&lt;wsp:rsid wsp:val=&quot;003B132D&quot;/&gt;&lt;wsp:rsid wsp:val=&quot;003B17C5&quot;/&gt;&lt;wsp:rsid wsp:val=&quot;003B1B51&quot;/&gt;&lt;wsp:rsid wsp:val=&quot;003B22F7&quot;/&gt;&lt;wsp:rsid wsp:val=&quot;003B2A75&quot;/&gt;&lt;wsp:rsid wsp:val=&quot;003B2CEE&quot;/&gt;&lt;wsp:rsid wsp:val=&quot;003B2D31&quot;/&gt;&lt;wsp:rsid wsp:val=&quot;003B303C&quot;/&gt;&lt;wsp:rsid wsp:val=&quot;003B304A&quot;/&gt;&lt;wsp:rsid wsp:val=&quot;003B3172&quot;/&gt;&lt;wsp:rsid wsp:val=&quot;003B3279&quot;/&gt;&lt;wsp:rsid wsp:val=&quot;003B357E&quot;/&gt;&lt;wsp:rsid wsp:val=&quot;003B3978&quot;/&gt;&lt;wsp:rsid wsp:val=&quot;003B41AB&quot;/&gt;&lt;wsp:rsid wsp:val=&quot;003B41AF&quot;/&gt;&lt;wsp:rsid wsp:val=&quot;003B44F3&quot;/&gt;&lt;wsp:rsid wsp:val=&quot;003B4F57&quot;/&gt;&lt;wsp:rsid wsp:val=&quot;003B5077&quot;/&gt;&lt;wsp:rsid wsp:val=&quot;003B52A8&quot;/&gt;&lt;wsp:rsid wsp:val=&quot;003B52F7&quot;/&gt;&lt;wsp:rsid wsp:val=&quot;003B578C&quot;/&gt;&lt;wsp:rsid wsp:val=&quot;003B5E36&quot;/&gt;&lt;wsp:rsid wsp:val=&quot;003B5F0A&quot;/&gt;&lt;wsp:rsid wsp:val=&quot;003B61CB&quot;/&gt;&lt;wsp:rsid wsp:val=&quot;003B677D&quot;/&gt;&lt;wsp:rsid wsp:val=&quot;003B6C29&quot;/&gt;&lt;wsp:rsid wsp:val=&quot;003B6DC4&quot;/&gt;&lt;wsp:rsid wsp:val=&quot;003B6E68&quot;/&gt;&lt;wsp:rsid wsp:val=&quot;003B7010&quot;/&gt;&lt;wsp:rsid wsp:val=&quot;003B7D7F&quot;/&gt;&lt;wsp:rsid wsp:val=&quot;003B7FB5&quot;/&gt;&lt;wsp:rsid wsp:val=&quot;003C0009&quot;/&gt;&lt;wsp:rsid wsp:val=&quot;003C048B&quot;/&gt;&lt;wsp:rsid wsp:val=&quot;003C04E1&quot;/&gt;&lt;wsp:rsid wsp:val=&quot;003C0AEF&quot;/&gt;&lt;wsp:rsid wsp:val=&quot;003C0CE2&quot;/&gt;&lt;wsp:rsid wsp:val=&quot;003C1700&quot;/&gt;&lt;wsp:rsid wsp:val=&quot;003C1993&quot;/&gt;&lt;wsp:rsid wsp:val=&quot;003C1E3E&quot;/&gt;&lt;wsp:rsid wsp:val=&quot;003C2055&quot;/&gt;&lt;wsp:rsid wsp:val=&quot;003C270C&quot;/&gt;&lt;wsp:rsid wsp:val=&quot;003C29CB&quot;/&gt;&lt;wsp:rsid wsp:val=&quot;003C2BE4&quot;/&gt;&lt;wsp:rsid wsp:val=&quot;003C2D08&quot;/&gt;&lt;wsp:rsid wsp:val=&quot;003C2E68&quot;/&gt;&lt;wsp:rsid wsp:val=&quot;003C2EE3&quot;/&gt;&lt;wsp:rsid wsp:val=&quot;003C317C&quot;/&gt;&lt;wsp:rsid wsp:val=&quot;003C3719&quot;/&gt;&lt;wsp:rsid wsp:val=&quot;003C38EF&quot;/&gt;&lt;wsp:rsid wsp:val=&quot;003C3FD5&quot;/&gt;&lt;wsp:rsid wsp:val=&quot;003C421F&quot;/&gt;&lt;wsp:rsid wsp:val=&quot;003C44DE&quot;/&gt;&lt;wsp:rsid wsp:val=&quot;003C4928&quot;/&gt;&lt;wsp:rsid wsp:val=&quot;003C4A82&quot;/&gt;&lt;wsp:rsid wsp:val=&quot;003C524F&quot;/&gt;&lt;wsp:rsid wsp:val=&quot;003C57DC&quot;/&gt;&lt;wsp:rsid wsp:val=&quot;003C5C6B&quot;/&gt;&lt;wsp:rsid wsp:val=&quot;003C62E6&quot;/&gt;&lt;wsp:rsid wsp:val=&quot;003C6388&quot;/&gt;&lt;wsp:rsid wsp:val=&quot;003C63E0&quot;/&gt;&lt;wsp:rsid wsp:val=&quot;003C6DC2&quot;/&gt;&lt;wsp:rsid wsp:val=&quot;003C712E&quot;/&gt;&lt;wsp:rsid wsp:val=&quot;003C74EB&quot;/&gt;&lt;wsp:rsid wsp:val=&quot;003C776C&quot;/&gt;&lt;wsp:rsid wsp:val=&quot;003C7E38&quot;/&gt;&lt;wsp:rsid wsp:val=&quot;003C7E92&quot;/&gt;&lt;wsp:rsid wsp:val=&quot;003D022D&quot;/&gt;&lt;wsp:rsid wsp:val=&quot;003D0BB2&quot;/&gt;&lt;wsp:rsid wsp:val=&quot;003D0E03&quot;/&gt;&lt;wsp:rsid wsp:val=&quot;003D1172&quot;/&gt;&lt;wsp:rsid wsp:val=&quot;003D14AF&quot;/&gt;&lt;wsp:rsid wsp:val=&quot;003D1738&quot;/&gt;&lt;wsp:rsid wsp:val=&quot;003D1997&quot;/&gt;&lt;wsp:rsid wsp:val=&quot;003D1A47&quot;/&gt;&lt;wsp:rsid wsp:val=&quot;003D20A7&quot;/&gt;&lt;wsp:rsid wsp:val=&quot;003D23EC&quot;/&gt;&lt;wsp:rsid wsp:val=&quot;003D403E&quot;/&gt;&lt;wsp:rsid wsp:val=&quot;003D42D9&quot;/&gt;&lt;wsp:rsid wsp:val=&quot;003D4367&quot;/&gt;&lt;wsp:rsid wsp:val=&quot;003D4767&quot;/&gt;&lt;wsp:rsid wsp:val=&quot;003D48E3&quot;/&gt;&lt;wsp:rsid wsp:val=&quot;003D49D6&quot;/&gt;&lt;wsp:rsid wsp:val=&quot;003D4B23&quot;/&gt;&lt;wsp:rsid wsp:val=&quot;003D4C60&quot;/&gt;&lt;wsp:rsid wsp:val=&quot;003D4D6B&quot;/&gt;&lt;wsp:rsid wsp:val=&quot;003D50EC&quot;/&gt;&lt;wsp:rsid wsp:val=&quot;003D5179&quot;/&gt;&lt;wsp:rsid wsp:val=&quot;003D5451&quot;/&gt;&lt;wsp:rsid wsp:val=&quot;003D5514&quot;/&gt;&lt;wsp:rsid wsp:val=&quot;003D5668&quot;/&gt;&lt;wsp:rsid wsp:val=&quot;003D57A3&quot;/&gt;&lt;wsp:rsid wsp:val=&quot;003D5AD7&quot;/&gt;&lt;wsp:rsid wsp:val=&quot;003D5CDE&quot;/&gt;&lt;wsp:rsid wsp:val=&quot;003D6174&quot;/&gt;&lt;wsp:rsid wsp:val=&quot;003D6413&quot;/&gt;&lt;wsp:rsid wsp:val=&quot;003D6472&quot;/&gt;&lt;wsp:rsid wsp:val=&quot;003D65C0&quot;/&gt;&lt;wsp:rsid wsp:val=&quot;003D661A&quot;/&gt;&lt;wsp:rsid wsp:val=&quot;003D67A1&quot;/&gt;&lt;wsp:rsid wsp:val=&quot;003D6BB6&quot;/&gt;&lt;wsp:rsid wsp:val=&quot;003D6D7D&quot;/&gt;&lt;wsp:rsid wsp:val=&quot;003D6E42&quot;/&gt;&lt;wsp:rsid wsp:val=&quot;003D6E49&quot;/&gt;&lt;wsp:rsid wsp:val=&quot;003D6E59&quot;/&gt;&lt;wsp:rsid wsp:val=&quot;003D711E&quot;/&gt;&lt;wsp:rsid wsp:val=&quot;003D7374&quot;/&gt;&lt;wsp:rsid wsp:val=&quot;003D779F&quot;/&gt;&lt;wsp:rsid wsp:val=&quot;003D794B&quot;/&gt;&lt;wsp:rsid wsp:val=&quot;003D7975&quot;/&gt;&lt;wsp:rsid wsp:val=&quot;003D7EBB&quot;/&gt;&lt;wsp:rsid wsp:val=&quot;003D7F48&quot;/&gt;&lt;wsp:rsid wsp:val=&quot;003D7F9B&quot;/&gt;&lt;wsp:rsid wsp:val=&quot;003D7FC5&quot;/&gt;&lt;wsp:rsid wsp:val=&quot;003E010D&quot;/&gt;&lt;wsp:rsid wsp:val=&quot;003E07BA&quot;/&gt;&lt;wsp:rsid wsp:val=&quot;003E0BF1&quot;/&gt;&lt;wsp:rsid wsp:val=&quot;003E10D2&quot;/&gt;&lt;wsp:rsid wsp:val=&quot;003E1204&quot;/&gt;&lt;wsp:rsid wsp:val=&quot;003E15D2&quot;/&gt;&lt;wsp:rsid wsp:val=&quot;003E1949&quot;/&gt;&lt;wsp:rsid wsp:val=&quot;003E199F&quot;/&gt;&lt;wsp:rsid wsp:val=&quot;003E1BF0&quot;/&gt;&lt;wsp:rsid wsp:val=&quot;003E1F2C&quot;/&gt;&lt;wsp:rsid wsp:val=&quot;003E2283&quot;/&gt;&lt;wsp:rsid wsp:val=&quot;003E23AB&quot;/&gt;&lt;wsp:rsid wsp:val=&quot;003E25C2&quot;/&gt;&lt;wsp:rsid wsp:val=&quot;003E2B7A&quot;/&gt;&lt;wsp:rsid wsp:val=&quot;003E2C82&quot;/&gt;&lt;wsp:rsid wsp:val=&quot;003E343B&quot;/&gt;&lt;wsp:rsid wsp:val=&quot;003E3710&quot;/&gt;&lt;wsp:rsid wsp:val=&quot;003E3805&quot;/&gt;&lt;wsp:rsid wsp:val=&quot;003E3AC0&quot;/&gt;&lt;wsp:rsid wsp:val=&quot;003E413E&quot;/&gt;&lt;wsp:rsid wsp:val=&quot;003E4553&quot;/&gt;&lt;wsp:rsid wsp:val=&quot;003E483E&quot;/&gt;&lt;wsp:rsid wsp:val=&quot;003E4999&quot;/&gt;&lt;wsp:rsid wsp:val=&quot;003E4DB9&quot;/&gt;&lt;wsp:rsid wsp:val=&quot;003E5106&quot;/&gt;&lt;wsp:rsid wsp:val=&quot;003E5452&quot;/&gt;&lt;wsp:rsid wsp:val=&quot;003E5ED4&quot;/&gt;&lt;wsp:rsid wsp:val=&quot;003E5F64&quot;/&gt;&lt;wsp:rsid wsp:val=&quot;003E6036&quot;/&gt;&lt;wsp:rsid wsp:val=&quot;003E60CA&quot;/&gt;&lt;wsp:rsid wsp:val=&quot;003E6739&quot;/&gt;&lt;wsp:rsid wsp:val=&quot;003E6A00&quot;/&gt;&lt;wsp:rsid wsp:val=&quot;003E6D4C&quot;/&gt;&lt;wsp:rsid wsp:val=&quot;003E6DD0&quot;/&gt;&lt;wsp:rsid wsp:val=&quot;003E6EB5&quot;/&gt;&lt;wsp:rsid wsp:val=&quot;003E738E&quot;/&gt;&lt;wsp:rsid wsp:val=&quot;003E7466&quot;/&gt;&lt;wsp:rsid wsp:val=&quot;003E747E&quot;/&gt;&lt;wsp:rsid wsp:val=&quot;003E75D8&quot;/&gt;&lt;wsp:rsid wsp:val=&quot;003E75DD&quot;/&gt;&lt;wsp:rsid wsp:val=&quot;003E7F03&quot;/&gt;&lt;wsp:rsid wsp:val=&quot;003E7F56&quot;/&gt;&lt;wsp:rsid wsp:val=&quot;003F05A1&quot;/&gt;&lt;wsp:rsid wsp:val=&quot;003F072E&quot;/&gt;&lt;wsp:rsid wsp:val=&quot;003F0A77&quot;/&gt;&lt;wsp:rsid wsp:val=&quot;003F0DC0&quot;/&gt;&lt;wsp:rsid wsp:val=&quot;003F0F06&quot;/&gt;&lt;wsp:rsid wsp:val=&quot;003F10C2&quot;/&gt;&lt;wsp:rsid wsp:val=&quot;003F163B&quot;/&gt;&lt;wsp:rsid wsp:val=&quot;003F1962&quot;/&gt;&lt;wsp:rsid wsp:val=&quot;003F1D3F&quot;/&gt;&lt;wsp:rsid wsp:val=&quot;003F27FE&quot;/&gt;&lt;wsp:rsid wsp:val=&quot;003F2CD6&quot;/&gt;&lt;wsp:rsid wsp:val=&quot;003F2D9D&quot;/&gt;&lt;wsp:rsid wsp:val=&quot;003F2F74&quot;/&gt;&lt;wsp:rsid wsp:val=&quot;003F4232&quot;/&gt;&lt;wsp:rsid wsp:val=&quot;003F535C&quot;/&gt;&lt;wsp:rsid wsp:val=&quot;003F5782&quot;/&gt;&lt;wsp:rsid wsp:val=&quot;003F59F3&quot;/&gt;&lt;wsp:rsid wsp:val=&quot;003F5A09&quot;/&gt;&lt;wsp:rsid wsp:val=&quot;003F5A71&quot;/&gt;&lt;wsp:rsid wsp:val=&quot;003F5AB8&quot;/&gt;&lt;wsp:rsid wsp:val=&quot;003F5BCF&quot;/&gt;&lt;wsp:rsid wsp:val=&quot;003F61F2&quot;/&gt;&lt;wsp:rsid wsp:val=&quot;003F6306&quot;/&gt;&lt;wsp:rsid wsp:val=&quot;003F64A7&quot;/&gt;&lt;wsp:rsid wsp:val=&quot;003F651F&quot;/&gt;&lt;wsp:rsid wsp:val=&quot;003F67D5&quot;/&gt;&lt;wsp:rsid wsp:val=&quot;003F6EDE&quot;/&gt;&lt;wsp:rsid wsp:val=&quot;003F72B3&quot;/&gt;&lt;wsp:rsid wsp:val=&quot;003F77BC&quot;/&gt;&lt;wsp:rsid wsp:val=&quot;00400167&quot;/&gt;&lt;wsp:rsid wsp:val=&quot;00400AD1&quot;/&gt;&lt;wsp:rsid wsp:val=&quot;00401163&quot;/&gt;&lt;wsp:rsid wsp:val=&quot;00401171&quot;/&gt;&lt;wsp:rsid wsp:val=&quot;00402199&quot;/&gt;&lt;wsp:rsid wsp:val=&quot;004021F6&quot;/&gt;&lt;wsp:rsid wsp:val=&quot;00402823&quot;/&gt;&lt;wsp:rsid wsp:val=&quot;00402A93&quot;/&gt;&lt;wsp:rsid wsp:val=&quot;004032F0&quot;/&gt;&lt;wsp:rsid wsp:val=&quot;00403AB8&quot;/&gt;&lt;wsp:rsid wsp:val=&quot;00403EC3&quot;/&gt;&lt;wsp:rsid wsp:val=&quot;004041F7&quot;/&gt;&lt;wsp:rsid wsp:val=&quot;00404D42&quot;/&gt;&lt;wsp:rsid wsp:val=&quot;00404E76&quot;/&gt;&lt;wsp:rsid wsp:val=&quot;00405380&quot;/&gt;&lt;wsp:rsid wsp:val=&quot;00405393&quot;/&gt;&lt;wsp:rsid wsp:val=&quot;00405409&quot;/&gt;&lt;wsp:rsid wsp:val=&quot;00405452&quot;/&gt;&lt;wsp:rsid wsp:val=&quot;00405C6D&quot;/&gt;&lt;wsp:rsid wsp:val=&quot;0040601C&quot;/&gt;&lt;wsp:rsid wsp:val=&quot;0040604D&quot;/&gt;&lt;wsp:rsid wsp:val=&quot;0040662E&quot;/&gt;&lt;wsp:rsid wsp:val=&quot;00406706&quot;/&gt;&lt;wsp:rsid wsp:val=&quot;00406B1B&quot;/&gt;&lt;wsp:rsid wsp:val=&quot;00407073&quot;/&gt;&lt;wsp:rsid wsp:val=&quot;00407C7E&quot;/&gt;&lt;wsp:rsid wsp:val=&quot;00407D27&quot;/&gt;&lt;wsp:rsid wsp:val=&quot;004102C5&quot;/&gt;&lt;wsp:rsid wsp:val=&quot;0041080E&quot;/&gt;&lt;wsp:rsid wsp:val=&quot;004108CF&quot;/&gt;&lt;wsp:rsid wsp:val=&quot;004113CF&quot;/&gt;&lt;wsp:rsid wsp:val=&quot;00411874&quot;/&gt;&lt;wsp:rsid wsp:val=&quot;00411C07&quot;/&gt;&lt;wsp:rsid wsp:val=&quot;00411C3A&quot;/&gt;&lt;wsp:rsid wsp:val=&quot;00411D59&quot;/&gt;&lt;wsp:rsid wsp:val=&quot;00411DBF&quot;/&gt;&lt;wsp:rsid wsp:val=&quot;00412120&quot;/&gt;&lt;wsp:rsid wsp:val=&quot;004122B7&quot;/&gt;&lt;wsp:rsid wsp:val=&quot;004125F8&quot;/&gt;&lt;wsp:rsid wsp:val=&quot;004126D8&quot;/&gt;&lt;wsp:rsid wsp:val=&quot;00412732&quot;/&gt;&lt;wsp:rsid wsp:val=&quot;0041287E&quot;/&gt;&lt;wsp:rsid wsp:val=&quot;00412941&quot;/&gt;&lt;wsp:rsid wsp:val=&quot;00412A1C&quot;/&gt;&lt;wsp:rsid wsp:val=&quot;00412A9A&quot;/&gt;&lt;wsp:rsid wsp:val=&quot;00412B05&quot;/&gt;&lt;wsp:rsid wsp:val=&quot;00412E3E&quot;/&gt;&lt;wsp:rsid wsp:val=&quot;0041306D&quot;/&gt;&lt;wsp:rsid wsp:val=&quot;004137A0&quot;/&gt;&lt;wsp:rsid wsp:val=&quot;00413C4F&quot;/&gt;&lt;wsp:rsid wsp:val=&quot;00413DAA&quot;/&gt;&lt;wsp:rsid wsp:val=&quot;00413DB7&quot;/&gt;&lt;wsp:rsid wsp:val=&quot;00414227&quot;/&gt;&lt;wsp:rsid wsp:val=&quot;00415034&quot;/&gt;&lt;wsp:rsid wsp:val=&quot;00415974&quot;/&gt;&lt;wsp:rsid wsp:val=&quot;00415A40&quot;/&gt;&lt;wsp:rsid wsp:val=&quot;00416097&quot;/&gt;&lt;wsp:rsid wsp:val=&quot;00416277&quot;/&gt;&lt;wsp:rsid wsp:val=&quot;00416715&quot;/&gt;&lt;wsp:rsid wsp:val=&quot;00416D6C&quot;/&gt;&lt;wsp:rsid wsp:val=&quot;00416D9B&quot;/&gt;&lt;wsp:rsid wsp:val=&quot;00416E1D&quot;/&gt;&lt;wsp:rsid wsp:val=&quot;004171AC&quot;/&gt;&lt;wsp:rsid wsp:val=&quot;00417426&quot;/&gt;&lt;wsp:rsid wsp:val=&quot;00417963&quot;/&gt;&lt;wsp:rsid wsp:val=&quot;00417F00&quot;/&gt;&lt;wsp:rsid wsp:val=&quot;004201F9&quot;/&gt;&lt;wsp:rsid wsp:val=&quot;00420691&quot;/&gt;&lt;wsp:rsid wsp:val=&quot;00420919&quot;/&gt;&lt;wsp:rsid wsp:val=&quot;004209EA&quot;/&gt;&lt;wsp:rsid wsp:val=&quot;00420C86&quot;/&gt;&lt;wsp:rsid wsp:val=&quot;00420DA8&quot;/&gt;&lt;wsp:rsid wsp:val=&quot;004214D1&quot;/&gt;&lt;wsp:rsid wsp:val=&quot;0042172F&quot;/&gt;&lt;wsp:rsid wsp:val=&quot;00421879&quot;/&gt;&lt;wsp:rsid wsp:val=&quot;004226DD&quot;/&gt;&lt;wsp:rsid wsp:val=&quot;00422703&quot;/&gt;&lt;wsp:rsid wsp:val=&quot;004228DB&quot;/&gt;&lt;wsp:rsid wsp:val=&quot;00422CCB&quot;/&gt;&lt;wsp:rsid wsp:val=&quot;00422F61&quot;/&gt;&lt;wsp:rsid wsp:val=&quot;0042399D&quot;/&gt;&lt;wsp:rsid wsp:val=&quot;00423D45&quot;/&gt;&lt;wsp:rsid wsp:val=&quot;004256B2&quot;/&gt;&lt;wsp:rsid wsp:val=&quot;004258EB&quot;/&gt;&lt;wsp:rsid wsp:val=&quot;00425C65&quot;/&gt;&lt;wsp:rsid wsp:val=&quot;00426242&quot;/&gt;&lt;wsp:rsid wsp:val=&quot;004263DD&quot;/&gt;&lt;wsp:rsid wsp:val=&quot;00426B31&quot;/&gt;&lt;wsp:rsid wsp:val=&quot;00426C16&quot;/&gt;&lt;wsp:rsid wsp:val=&quot;00426C3D&quot;/&gt;&lt;wsp:rsid wsp:val=&quot;00426C91&quot;/&gt;&lt;wsp:rsid wsp:val=&quot;004272E7&quot;/&gt;&lt;wsp:rsid wsp:val=&quot;00427382&quot;/&gt;&lt;wsp:rsid wsp:val=&quot;00427A8E&quot;/&gt;&lt;wsp:rsid wsp:val=&quot;00427CBB&quot;/&gt;&lt;wsp:rsid wsp:val=&quot;00427F05&quot;/&gt;&lt;wsp:rsid wsp:val=&quot;0043005A&quot;/&gt;&lt;wsp:rsid wsp:val=&quot;004302FC&quot;/&gt;&lt;wsp:rsid wsp:val=&quot;004306DF&quot;/&gt;&lt;wsp:rsid wsp:val=&quot;00430728&quot;/&gt;&lt;wsp:rsid wsp:val=&quot;00430D53&quot;/&gt;&lt;wsp:rsid wsp:val=&quot;00431053&quot;/&gt;&lt;wsp:rsid wsp:val=&quot;00431166&quot;/&gt;&lt;wsp:rsid wsp:val=&quot;004312AC&quot;/&gt;&lt;wsp:rsid wsp:val=&quot;0043143D&quot;/&gt;&lt;wsp:rsid wsp:val=&quot;0043160B&quot;/&gt;&lt;wsp:rsid wsp:val=&quot;00431BD6&quot;/&gt;&lt;wsp:rsid wsp:val=&quot;00431D5A&quot;/&gt;&lt;wsp:rsid wsp:val=&quot;00432A0F&quot;/&gt;&lt;wsp:rsid wsp:val=&quot;00432B6D&quot;/&gt;&lt;wsp:rsid wsp:val=&quot;00432BD9&quot;/&gt;&lt;wsp:rsid wsp:val=&quot;00432F24&quot;/&gt;&lt;wsp:rsid wsp:val=&quot;00433063&quot;/&gt;&lt;wsp:rsid wsp:val=&quot;00433294&quot;/&gt;&lt;wsp:rsid wsp:val=&quot;00433353&quot;/&gt;&lt;wsp:rsid wsp:val=&quot;004338D5&quot;/&gt;&lt;wsp:rsid wsp:val=&quot;0043394F&quot;/&gt;&lt;wsp:rsid wsp:val=&quot;0043418B&quot;/&gt;&lt;wsp:rsid wsp:val=&quot;00434456&quot;/&gt;&lt;wsp:rsid wsp:val=&quot;0043487C&quot;/&gt;&lt;wsp:rsid wsp:val=&quot;00434B6B&quot;/&gt;&lt;wsp:rsid wsp:val=&quot;00435106&quot;/&gt;&lt;wsp:rsid wsp:val=&quot;00435446&quot;/&gt;&lt;wsp:rsid wsp:val=&quot;00435560&quot;/&gt;&lt;wsp:rsid wsp:val=&quot;00435CC3&quot;/&gt;&lt;wsp:rsid wsp:val=&quot;00435E1B&quot;/&gt;&lt;wsp:rsid wsp:val=&quot;00436526&quot;/&gt;&lt;wsp:rsid wsp:val=&quot;004368E1&quot;/&gt;&lt;wsp:rsid wsp:val=&quot;0043698F&quot;/&gt;&lt;wsp:rsid wsp:val=&quot;00436AE0&quot;/&gt;&lt;wsp:rsid wsp:val=&quot;00436AEF&quot;/&gt;&lt;wsp:rsid wsp:val=&quot;00436CF7&quot;/&gt;&lt;wsp:rsid wsp:val=&quot;00436E5C&quot;/&gt;&lt;wsp:rsid wsp:val=&quot;004371E9&quot;/&gt;&lt;wsp:rsid wsp:val=&quot;004375B1&quot;/&gt;&lt;wsp:rsid wsp:val=&quot;0043778B&quot;/&gt;&lt;wsp:rsid wsp:val=&quot;00437831&quot;/&gt;&lt;wsp:rsid wsp:val=&quot;00437BF6&quot;/&gt;&lt;wsp:rsid wsp:val=&quot;00437CAC&quot;/&gt;&lt;wsp:rsid wsp:val=&quot;00437E9D&quot;/&gt;&lt;wsp:rsid wsp:val=&quot;00440C3D&quot;/&gt;&lt;wsp:rsid wsp:val=&quot;0044147E&quot;/&gt;&lt;wsp:rsid wsp:val=&quot;004417DE&quot;/&gt;&lt;wsp:rsid wsp:val=&quot;00441A53&quot;/&gt;&lt;wsp:rsid wsp:val=&quot;00441B1C&quot;/&gt;&lt;wsp:rsid wsp:val=&quot;00441BC1&quot;/&gt;&lt;wsp:rsid wsp:val=&quot;00441C6D&quot;/&gt;&lt;wsp:rsid wsp:val=&quot;00441E1C&quot;/&gt;&lt;wsp:rsid wsp:val=&quot;00441EA7&quot;/&gt;&lt;wsp:rsid wsp:val=&quot;004420A8&quot;/&gt;&lt;wsp:rsid wsp:val=&quot;00442B06&quot;/&gt;&lt;wsp:rsid wsp:val=&quot;00442D41&quot;/&gt;&lt;wsp:rsid wsp:val=&quot;00442DBF&quot;/&gt;&lt;wsp:rsid wsp:val=&quot;00442E23&quot;/&gt;&lt;wsp:rsid wsp:val=&quot;00443044&quot;/&gt;&lt;wsp:rsid wsp:val=&quot;00443103&quot;/&gt;&lt;wsp:rsid wsp:val=&quot;00443143&quot;/&gt;&lt;wsp:rsid wsp:val=&quot;00443533&quot;/&gt;&lt;wsp:rsid wsp:val=&quot;004438F7&quot;/&gt;&lt;wsp:rsid wsp:val=&quot;00443985&quot;/&gt;&lt;wsp:rsid wsp:val=&quot;00443C76&quot;/&gt;&lt;wsp:rsid wsp:val=&quot;0044419D&quot;/&gt;&lt;wsp:rsid wsp:val=&quot;0044438A&quot;/&gt;&lt;wsp:rsid wsp:val=&quot;00444562&quot;/&gt;&lt;wsp:rsid wsp:val=&quot;0044478E&quot;/&gt;&lt;wsp:rsid wsp:val=&quot;004447EA&quot;/&gt;&lt;wsp:rsid wsp:val=&quot;0044488E&quot;/&gt;&lt;wsp:rsid wsp:val=&quot;00444C19&quot;/&gt;&lt;wsp:rsid wsp:val=&quot;00444F9D&quot;/&gt;&lt;wsp:rsid wsp:val=&quot;004458CA&quot;/&gt;&lt;wsp:rsid wsp:val=&quot;00445AFA&quot;/&gt;&lt;wsp:rsid wsp:val=&quot;00445D01&quot;/&gt;&lt;wsp:rsid wsp:val=&quot;00445E5F&quot;/&gt;&lt;wsp:rsid wsp:val=&quot;00446157&quot;/&gt;&lt;wsp:rsid wsp:val=&quot;004461A4&quot;/&gt;&lt;wsp:rsid wsp:val=&quot;004461D0&quot;/&gt;&lt;wsp:rsid wsp:val=&quot;004462D2&quot;/&gt;&lt;wsp:rsid wsp:val=&quot;00446374&quot;/&gt;&lt;wsp:rsid wsp:val=&quot;00446489&quot;/&gt;&lt;wsp:rsid wsp:val=&quot;00446537&quot;/&gt;&lt;wsp:rsid wsp:val=&quot;00446605&quot;/&gt;&lt;wsp:rsid wsp:val=&quot;004466CD&quot;/&gt;&lt;wsp:rsid wsp:val=&quot;0044671A&quot;/&gt;&lt;wsp:rsid wsp:val=&quot;00446798&quot;/&gt;&lt;wsp:rsid wsp:val=&quot;00446B30&quot;/&gt;&lt;wsp:rsid wsp:val=&quot;00447387&quot;/&gt;&lt;wsp:rsid wsp:val=&quot;00447397&quot;/&gt;&lt;wsp:rsid wsp:val=&quot;0044789A&quot;/&gt;&lt;wsp:rsid wsp:val=&quot;00447CC2&quot;/&gt;&lt;wsp:rsid wsp:val=&quot;00447FCB&quot;/&gt;&lt;wsp:rsid wsp:val=&quot;0045026C&quot;/&gt;&lt;wsp:rsid wsp:val=&quot;00450663&quot;/&gt;&lt;wsp:rsid wsp:val=&quot;004507D7&quot;/&gt;&lt;wsp:rsid wsp:val=&quot;00450BC6&quot;/&gt;&lt;wsp:rsid wsp:val=&quot;00450DAD&quot;/&gt;&lt;wsp:rsid wsp:val=&quot;00450E01&quot;/&gt;&lt;wsp:rsid wsp:val=&quot;00450FA8&quot;/&gt;&lt;wsp:rsid wsp:val=&quot;00451177&quot;/&gt;&lt;wsp:rsid wsp:val=&quot;0045123E&quot;/&gt;&lt;wsp:rsid wsp:val=&quot;004512ED&quot;/&gt;&lt;wsp:rsid wsp:val=&quot;004518D0&quot;/&gt;&lt;wsp:rsid wsp:val=&quot;00452310&quot;/&gt;&lt;wsp:rsid wsp:val=&quot;0045288A&quot;/&gt;&lt;wsp:rsid wsp:val=&quot;00452ACD&quot;/&gt;&lt;wsp:rsid wsp:val=&quot;00452B84&quot;/&gt;&lt;wsp:rsid wsp:val=&quot;00452C80&quot;/&gt;&lt;wsp:rsid wsp:val=&quot;004531A4&quot;/&gt;&lt;wsp:rsid wsp:val=&quot;00453268&quot;/&gt;&lt;wsp:rsid wsp:val=&quot;00453577&quot;/&gt;&lt;wsp:rsid wsp:val=&quot;00453C5D&quot;/&gt;&lt;wsp:rsid wsp:val=&quot;00454170&quot;/&gt;&lt;wsp:rsid wsp:val=&quot;00454832&quot;/&gt;&lt;wsp:rsid wsp:val=&quot;00454890&quot;/&gt;&lt;wsp:rsid wsp:val=&quot;00454A4D&quot;/&gt;&lt;wsp:rsid wsp:val=&quot;00454F20&quot;/&gt;&lt;wsp:rsid wsp:val=&quot;004553C6&quot;/&gt;&lt;wsp:rsid wsp:val=&quot;00455834&quot;/&gt;&lt;wsp:rsid wsp:val=&quot;00455B45&quot;/&gt;&lt;wsp:rsid wsp:val=&quot;00455B9C&quot;/&gt;&lt;wsp:rsid wsp:val=&quot;00455BB7&quot;/&gt;&lt;wsp:rsid wsp:val=&quot;00456165&quot;/&gt;&lt;wsp:rsid wsp:val=&quot;0045649E&quot;/&gt;&lt;wsp:rsid wsp:val=&quot;004565EB&quot;/&gt;&lt;wsp:rsid wsp:val=&quot;00456861&quot;/&gt;&lt;wsp:rsid wsp:val=&quot;004572A3&quot;/&gt;&lt;wsp:rsid wsp:val=&quot;004576F2&quot;/&gt;&lt;wsp:rsid wsp:val=&quot;004577F9&quot;/&gt;&lt;wsp:rsid wsp:val=&quot;00457CC6&quot;/&gt;&lt;wsp:rsid wsp:val=&quot;00457DE2&quot;/&gt;&lt;wsp:rsid wsp:val=&quot;00457FB3&quot;/&gt;&lt;wsp:rsid wsp:val=&quot;004608B6&quot;/&gt;&lt;wsp:rsid wsp:val=&quot;004608EE&quot;/&gt;&lt;wsp:rsid wsp:val=&quot;0046098B&quot;/&gt;&lt;wsp:rsid wsp:val=&quot;004610D7&quot;/&gt;&lt;wsp:rsid wsp:val=&quot;00461155&quot;/&gt;&lt;wsp:rsid wsp:val=&quot;004615C4&quot;/&gt;&lt;wsp:rsid wsp:val=&quot;00461628&quot;/&gt;&lt;wsp:rsid wsp:val=&quot;00461A79&quot;/&gt;&lt;wsp:rsid wsp:val=&quot;0046245E&quot;/&gt;&lt;wsp:rsid wsp:val=&quot;00462996&quot;/&gt;&lt;wsp:rsid wsp:val=&quot;00462A41&quot;/&gt;&lt;wsp:rsid wsp:val=&quot;00462B20&quot;/&gt;&lt;wsp:rsid wsp:val=&quot;00462BD0&quot;/&gt;&lt;wsp:rsid wsp:val=&quot;00462D04&quot;/&gt;&lt;wsp:rsid wsp:val=&quot;00463017&quot;/&gt;&lt;wsp:rsid wsp:val=&quot;00463593&quot;/&gt;&lt;wsp:rsid wsp:val=&quot;004635B6&quot;/&gt;&lt;wsp:rsid wsp:val=&quot;0046376F&quot;/&gt;&lt;wsp:rsid wsp:val=&quot;00463986&quot;/&gt;&lt;wsp:rsid wsp:val=&quot;00463CF2&quot;/&gt;&lt;wsp:rsid wsp:val=&quot;0046420B&quot;/&gt;&lt;wsp:rsid wsp:val=&quot;00464B26&quot;/&gt;&lt;wsp:rsid wsp:val=&quot;00464CC2&quot;/&gt;&lt;wsp:rsid wsp:val=&quot;00464DAA&quot;/&gt;&lt;wsp:rsid wsp:val=&quot;004655C4&quot;/&gt;&lt;wsp:rsid wsp:val=&quot;004657FF&quot;/&gt;&lt;wsp:rsid wsp:val=&quot;00465892&quot;/&gt;&lt;wsp:rsid wsp:val=&quot;00465895&quot;/&gt;&lt;wsp:rsid wsp:val=&quot;00465A53&quot;/&gt;&lt;wsp:rsid wsp:val=&quot;00465CB2&quot;/&gt;&lt;wsp:rsid wsp:val=&quot;00465D75&quot;/&gt;&lt;wsp:rsid wsp:val=&quot;004661B1&quot;/&gt;&lt;wsp:rsid wsp:val=&quot;004663F7&quot;/&gt;&lt;wsp:rsid wsp:val=&quot;00466D7E&quot;/&gt;&lt;wsp:rsid wsp:val=&quot;004674C1&quot;/&gt;&lt;wsp:rsid wsp:val=&quot;00467852&quot;/&gt;&lt;wsp:rsid wsp:val=&quot;004679FD&quot;/&gt;&lt;wsp:rsid wsp:val=&quot;00470019&quot;/&gt;&lt;wsp:rsid wsp:val=&quot;00470308&quot;/&gt;&lt;wsp:rsid wsp:val=&quot;0047046B&quot;/&gt;&lt;wsp:rsid wsp:val=&quot;00470DB4&quot;/&gt;&lt;wsp:rsid wsp:val=&quot;0047107A&quot;/&gt;&lt;wsp:rsid wsp:val=&quot;004710D3&quot;/&gt;&lt;wsp:rsid wsp:val=&quot;004710DF&quot;/&gt;&lt;wsp:rsid wsp:val=&quot;004714D2&quot;/&gt;&lt;wsp:rsid wsp:val=&quot;00471507&quot;/&gt;&lt;wsp:rsid wsp:val=&quot;00471D6C&quot;/&gt;&lt;wsp:rsid wsp:val=&quot;00471E47&quot;/&gt;&lt;wsp:rsid wsp:val=&quot;00471FC5&quot;/&gt;&lt;wsp:rsid wsp:val=&quot;00472074&quot;/&gt;&lt;wsp:rsid wsp:val=&quot;00472AEE&quot;/&gt;&lt;wsp:rsid wsp:val=&quot;00472B3C&quot;/&gt;&lt;wsp:rsid wsp:val=&quot;00472B9D&quot;/&gt;&lt;wsp:rsid wsp:val=&quot;00472D20&quot;/&gt;&lt;wsp:rsid wsp:val=&quot;004737B3&quot;/&gt;&lt;wsp:rsid wsp:val=&quot;004738E4&quot;/&gt;&lt;wsp:rsid wsp:val=&quot;004738E5&quot;/&gt;&lt;wsp:rsid wsp:val=&quot;00473F1D&quot;/&gt;&lt;wsp:rsid wsp:val=&quot;004740CB&quot;/&gt;&lt;wsp:rsid wsp:val=&quot;004743A8&quot;/&gt;&lt;wsp:rsid wsp:val=&quot;0047459B&quot;/&gt;&lt;wsp:rsid wsp:val=&quot;0047466C&quot;/&gt;&lt;wsp:rsid wsp:val=&quot;00474928&quot;/&gt;&lt;wsp:rsid wsp:val=&quot;0047513F&quot;/&gt;&lt;wsp:rsid wsp:val=&quot;0047556E&quot;/&gt;&lt;wsp:rsid wsp:val=&quot;0047565B&quot;/&gt;&lt;wsp:rsid wsp:val=&quot;004757A8&quot;/&gt;&lt;wsp:rsid wsp:val=&quot;0047598B&quot;/&gt;&lt;wsp:rsid wsp:val=&quot;00475DAC&quot;/&gt;&lt;wsp:rsid wsp:val=&quot;004761DC&quot;/&gt;&lt;wsp:rsid wsp:val=&quot;0047633A&quot;/&gt;&lt;wsp:rsid wsp:val=&quot;0047634B&quot;/&gt;&lt;wsp:rsid wsp:val=&quot;00476428&quot;/&gt;&lt;wsp:rsid wsp:val=&quot;00476588&quot;/&gt;&lt;wsp:rsid wsp:val=&quot;00476831&quot;/&gt;&lt;wsp:rsid wsp:val=&quot;00476EBB&quot;/&gt;&lt;wsp:rsid wsp:val=&quot;0047711B&quot;/&gt;&lt;wsp:rsid wsp:val=&quot;00477336&quot;/&gt;&lt;wsp:rsid wsp:val=&quot;00477AA4&quot;/&gt;&lt;wsp:rsid wsp:val=&quot;00477C62&quot;/&gt;&lt;wsp:rsid wsp:val=&quot;00477E82&quot;/&gt;&lt;wsp:rsid wsp:val=&quot;00477FB2&quot;/&gt;&lt;wsp:rsid wsp:val=&quot;0048004E&quot;/&gt;&lt;wsp:rsid wsp:val=&quot;00480129&quot;/&gt;&lt;wsp:rsid wsp:val=&quot;00480575&quot;/&gt;&lt;wsp:rsid wsp:val=&quot;00480F11&quot;/&gt;&lt;wsp:rsid wsp:val=&quot;00482083&quot;/&gt;&lt;wsp:rsid wsp:val=&quot;004823C1&quot;/&gt;&lt;wsp:rsid wsp:val=&quot;004823D0&quot;/&gt;&lt;wsp:rsid wsp:val=&quot;004825D7&quot;/&gt;&lt;wsp:rsid wsp:val=&quot;004831BB&quot;/&gt;&lt;wsp:rsid wsp:val=&quot;00483290&quot;/&gt;&lt;wsp:rsid wsp:val=&quot;004834B7&quot;/&gt;&lt;wsp:rsid wsp:val=&quot;00483841&quot;/&gt;&lt;wsp:rsid wsp:val=&quot;00483914&quot;/&gt;&lt;wsp:rsid wsp:val=&quot;00483C6F&quot;/&gt;&lt;wsp:rsid wsp:val=&quot;00484263&quot;/&gt;&lt;wsp:rsid wsp:val=&quot;004843B5&quot;/&gt;&lt;wsp:rsid wsp:val=&quot;004844FC&quot;/&gt;&lt;wsp:rsid wsp:val=&quot;00484FDF&quot;/&gt;&lt;wsp:rsid wsp:val=&quot;004854A5&quot;/&gt;&lt;wsp:rsid wsp:val=&quot;004855F1&quot;/&gt;&lt;wsp:rsid wsp:val=&quot;00485A07&quot;/&gt;&lt;wsp:rsid wsp:val=&quot;00485A73&quot;/&gt;&lt;wsp:rsid wsp:val=&quot;00485D62&quot;/&gt;&lt;wsp:rsid wsp:val=&quot;00485D6D&quot;/&gt;&lt;wsp:rsid wsp:val=&quot;00485EDD&quot;/&gt;&lt;wsp:rsid wsp:val=&quot;00486243&quot;/&gt;&lt;wsp:rsid wsp:val=&quot;00486319&quot;/&gt;&lt;wsp:rsid wsp:val=&quot;004864A6&quot;/&gt;&lt;wsp:rsid wsp:val=&quot;004865EE&quot;/&gt;&lt;wsp:rsid wsp:val=&quot;004868A0&quot;/&gt;&lt;wsp:rsid wsp:val=&quot;00486B0E&quot;/&gt;&lt;wsp:rsid wsp:val=&quot;00487952&quot;/&gt;&lt;wsp:rsid wsp:val=&quot;00487F97&quot;/&gt;&lt;wsp:rsid wsp:val=&quot;00490235&quot;/&gt;&lt;wsp:rsid wsp:val=&quot;004904F5&quot;/&gt;&lt;wsp:rsid wsp:val=&quot;00490575&quot;/&gt;&lt;wsp:rsid wsp:val=&quot;0049105E&quot;/&gt;&lt;wsp:rsid wsp:val=&quot;0049114B&quot;/&gt;&lt;wsp:rsid wsp:val=&quot;004913BD&quot;/&gt;&lt;wsp:rsid wsp:val=&quot;00491B51&quot;/&gt;&lt;wsp:rsid wsp:val=&quot;0049254E&quot;/&gt;&lt;wsp:rsid wsp:val=&quot;00492B5E&quot;/&gt;&lt;wsp:rsid wsp:val=&quot;00492B75&quot;/&gt;&lt;wsp:rsid wsp:val=&quot;00492BDE&quot;/&gt;&lt;wsp:rsid wsp:val=&quot;00493194&quot;/&gt;&lt;wsp:rsid wsp:val=&quot;004933E0&quot;/&gt;&lt;wsp:rsid wsp:val=&quot;0049407C&quot;/&gt;&lt;wsp:rsid wsp:val=&quot;004947BD&quot;/&gt;&lt;wsp:rsid wsp:val=&quot;004948E4&quot;/&gt;&lt;wsp:rsid wsp:val=&quot;00494D55&quot;/&gt;&lt;wsp:rsid wsp:val=&quot;004953A7&quot;/&gt;&lt;wsp:rsid wsp:val=&quot;00495729&quot;/&gt;&lt;wsp:rsid wsp:val=&quot;00495C08&quot;/&gt;&lt;wsp:rsid wsp:val=&quot;00495C16&quot;/&gt;&lt;wsp:rsid wsp:val=&quot;00495EDB&quot;/&gt;&lt;wsp:rsid wsp:val=&quot;00495FEA&quot;/&gt;&lt;wsp:rsid wsp:val=&quot;004963FD&quot;/&gt;&lt;wsp:rsid wsp:val=&quot;004975DF&quot;/&gt;&lt;wsp:rsid wsp:val=&quot;004976A3&quot;/&gt;&lt;wsp:rsid wsp:val=&quot;00497F41&quot;/&gt;&lt;wsp:rsid wsp:val=&quot;004A0140&quot;/&gt;&lt;wsp:rsid wsp:val=&quot;004A0471&quot;/&gt;&lt;wsp:rsid wsp:val=&quot;004A09B6&quot;/&gt;&lt;wsp:rsid wsp:val=&quot;004A12A2&quot;/&gt;&lt;wsp:rsid wsp:val=&quot;004A1350&quot;/&gt;&lt;wsp:rsid wsp:val=&quot;004A138A&quot;/&gt;&lt;wsp:rsid wsp:val=&quot;004A1B0F&quot;/&gt;&lt;wsp:rsid wsp:val=&quot;004A1CF9&quot;/&gt;&lt;wsp:rsid wsp:val=&quot;004A1FE1&quot;/&gt;&lt;wsp:rsid wsp:val=&quot;004A2013&quot;/&gt;&lt;wsp:rsid wsp:val=&quot;004A228C&quot;/&gt;&lt;wsp:rsid wsp:val=&quot;004A29C1&quot;/&gt;&lt;wsp:rsid wsp:val=&quot;004A29F7&quot;/&gt;&lt;wsp:rsid wsp:val=&quot;004A2FEB&quot;/&gt;&lt;wsp:rsid wsp:val=&quot;004A3467&quot;/&gt;&lt;wsp:rsid wsp:val=&quot;004A34BC&quot;/&gt;&lt;wsp:rsid wsp:val=&quot;004A4183&quot;/&gt;&lt;wsp:rsid wsp:val=&quot;004A460D&quot;/&gt;&lt;wsp:rsid wsp:val=&quot;004A4913&quot;/&gt;&lt;wsp:rsid wsp:val=&quot;004A4985&quot;/&gt;&lt;wsp:rsid wsp:val=&quot;004A49CD&quot;/&gt;&lt;wsp:rsid wsp:val=&quot;004A4D4D&quot;/&gt;&lt;wsp:rsid wsp:val=&quot;004A526B&quot;/&gt;&lt;wsp:rsid wsp:val=&quot;004A52FC&quot;/&gt;&lt;wsp:rsid wsp:val=&quot;004A535F&quot;/&gt;&lt;wsp:rsid wsp:val=&quot;004A55B8&quot;/&gt;&lt;wsp:rsid wsp:val=&quot;004A5826&quot;/&gt;&lt;wsp:rsid wsp:val=&quot;004A6463&quot;/&gt;&lt;wsp:rsid wsp:val=&quot;004A659B&quot;/&gt;&lt;wsp:rsid wsp:val=&quot;004A65E6&quot;/&gt;&lt;wsp:rsid wsp:val=&quot;004A6695&quot;/&gt;&lt;wsp:rsid wsp:val=&quot;004A671E&quot;/&gt;&lt;wsp:rsid wsp:val=&quot;004A673C&quot;/&gt;&lt;wsp:rsid wsp:val=&quot;004A6C23&quot;/&gt;&lt;wsp:rsid wsp:val=&quot;004A7471&quot;/&gt;&lt;wsp:rsid wsp:val=&quot;004A77E1&quot;/&gt;&lt;wsp:rsid wsp:val=&quot;004A783D&quot;/&gt;&lt;wsp:rsid wsp:val=&quot;004B0247&quot;/&gt;&lt;wsp:rsid wsp:val=&quot;004B064C&quot;/&gt;&lt;wsp:rsid wsp:val=&quot;004B1565&quot;/&gt;&lt;wsp:rsid wsp:val=&quot;004B1868&quot;/&gt;&lt;wsp:rsid wsp:val=&quot;004B1AFA&quot;/&gt;&lt;wsp:rsid wsp:val=&quot;004B204C&quot;/&gt;&lt;wsp:rsid wsp:val=&quot;004B208C&quot;/&gt;&lt;wsp:rsid wsp:val=&quot;004B2265&quot;/&gt;&lt;wsp:rsid wsp:val=&quot;004B2807&quot;/&gt;&lt;wsp:rsid wsp:val=&quot;004B2918&quot;/&gt;&lt;wsp:rsid wsp:val=&quot;004B3418&quot;/&gt;&lt;wsp:rsid wsp:val=&quot;004B3574&quot;/&gt;&lt;wsp:rsid wsp:val=&quot;004B3864&quot;/&gt;&lt;wsp:rsid wsp:val=&quot;004B3D7B&quot;/&gt;&lt;wsp:rsid wsp:val=&quot;004B3DD6&quot;/&gt;&lt;wsp:rsid wsp:val=&quot;004B3FD2&quot;/&gt;&lt;wsp:rsid wsp:val=&quot;004B40A6&quot;/&gt;&lt;wsp:rsid wsp:val=&quot;004B4A4D&quot;/&gt;&lt;wsp:rsid wsp:val=&quot;004B4D89&quot;/&gt;&lt;wsp:rsid wsp:val=&quot;004B4EBD&quot;/&gt;&lt;wsp:rsid wsp:val=&quot;004B54E6&quot;/&gt;&lt;wsp:rsid wsp:val=&quot;004B5828&quot;/&gt;&lt;wsp:rsid wsp:val=&quot;004B5884&quot;/&gt;&lt;wsp:rsid wsp:val=&quot;004B5B64&quot;/&gt;&lt;wsp:rsid wsp:val=&quot;004B5B9E&quot;/&gt;&lt;wsp:rsid wsp:val=&quot;004B5CD7&quot;/&gt;&lt;wsp:rsid wsp:val=&quot;004B5D77&quot;/&gt;&lt;wsp:rsid wsp:val=&quot;004B6016&quot;/&gt;&lt;wsp:rsid wsp:val=&quot;004B635B&quot;/&gt;&lt;wsp:rsid wsp:val=&quot;004B665D&quot;/&gt;&lt;wsp:rsid wsp:val=&quot;004B68B5&quot;/&gt;&lt;wsp:rsid wsp:val=&quot;004B69F9&quot;/&gt;&lt;wsp:rsid wsp:val=&quot;004B6C92&quot;/&gt;&lt;wsp:rsid wsp:val=&quot;004B6FBE&quot;/&gt;&lt;wsp:rsid wsp:val=&quot;004B7820&quot;/&gt;&lt;wsp:rsid wsp:val=&quot;004B7D4C&quot;/&gt;&lt;wsp:rsid wsp:val=&quot;004C01AC&quot;/&gt;&lt;wsp:rsid wsp:val=&quot;004C09A9&quot;/&gt;&lt;wsp:rsid wsp:val=&quot;004C0B00&quot;/&gt;&lt;wsp:rsid wsp:val=&quot;004C18D7&quot;/&gt;&lt;wsp:rsid wsp:val=&quot;004C1BEF&quot;/&gt;&lt;wsp:rsid wsp:val=&quot;004C1CB1&quot;/&gt;&lt;wsp:rsid wsp:val=&quot;004C23AD&quot;/&gt;&lt;wsp:rsid wsp:val=&quot;004C250D&quot;/&gt;&lt;wsp:rsid wsp:val=&quot;004C25C6&quot;/&gt;&lt;wsp:rsid wsp:val=&quot;004C2D23&quot;/&gt;&lt;wsp:rsid wsp:val=&quot;004C2E11&quot;/&gt;&lt;wsp:rsid wsp:val=&quot;004C32C2&quot;/&gt;&lt;wsp:rsid wsp:val=&quot;004C333E&quot;/&gt;&lt;wsp:rsid wsp:val=&quot;004C34B9&quot;/&gt;&lt;wsp:rsid wsp:val=&quot;004C4198&quot;/&gt;&lt;wsp:rsid wsp:val=&quot;004C4728&quot;/&gt;&lt;wsp:rsid wsp:val=&quot;004C4B4F&quot;/&gt;&lt;wsp:rsid wsp:val=&quot;004C4B62&quot;/&gt;&lt;wsp:rsid wsp:val=&quot;004C4C89&quot;/&gt;&lt;wsp:rsid wsp:val=&quot;004C599B&quot;/&gt;&lt;wsp:rsid wsp:val=&quot;004C5EBE&quot;/&gt;&lt;wsp:rsid wsp:val=&quot;004C6382&quot;/&gt;&lt;wsp:rsid wsp:val=&quot;004C63EC&quot;/&gt;&lt;wsp:rsid wsp:val=&quot;004C6C36&quot;/&gt;&lt;wsp:rsid wsp:val=&quot;004C6F21&quot;/&gt;&lt;wsp:rsid wsp:val=&quot;004C71AA&quot;/&gt;&lt;wsp:rsid wsp:val=&quot;004C7984&quot;/&gt;&lt;wsp:rsid wsp:val=&quot;004C7A1E&quot;/&gt;&lt;wsp:rsid wsp:val=&quot;004D03BC&quot;/&gt;&lt;wsp:rsid wsp:val=&quot;004D071E&quot;/&gt;&lt;wsp:rsid wsp:val=&quot;004D0B5C&quot;/&gt;&lt;wsp:rsid wsp:val=&quot;004D0D8C&quot;/&gt;&lt;wsp:rsid wsp:val=&quot;004D0EED&quot;/&gt;&lt;wsp:rsid wsp:val=&quot;004D0F83&quot;/&gt;&lt;wsp:rsid wsp:val=&quot;004D10C5&quot;/&gt;&lt;wsp:rsid wsp:val=&quot;004D1891&quot;/&gt;&lt;wsp:rsid wsp:val=&quot;004D1ABA&quot;/&gt;&lt;wsp:rsid wsp:val=&quot;004D1BF0&quot;/&gt;&lt;wsp:rsid wsp:val=&quot;004D1C79&quot;/&gt;&lt;wsp:rsid wsp:val=&quot;004D21E0&quot;/&gt;&lt;wsp:rsid wsp:val=&quot;004D2573&quot;/&gt;&lt;wsp:rsid wsp:val=&quot;004D25A3&quot;/&gt;&lt;wsp:rsid wsp:val=&quot;004D275D&quot;/&gt;&lt;wsp:rsid wsp:val=&quot;004D2765&quot;/&gt;&lt;wsp:rsid wsp:val=&quot;004D277D&quot;/&gt;&lt;wsp:rsid wsp:val=&quot;004D2F4E&quot;/&gt;&lt;wsp:rsid wsp:val=&quot;004D30BB&quot;/&gt;&lt;wsp:rsid wsp:val=&quot;004D33EA&quot;/&gt;&lt;wsp:rsid wsp:val=&quot;004D39E7&quot;/&gt;&lt;wsp:rsid wsp:val=&quot;004D3E26&quot;/&gt;&lt;wsp:rsid wsp:val=&quot;004D3EE1&quot;/&gt;&lt;wsp:rsid wsp:val=&quot;004D3FC0&quot;/&gt;&lt;wsp:rsid wsp:val=&quot;004D4395&quot;/&gt;&lt;wsp:rsid wsp:val=&quot;004D444D&quot;/&gt;&lt;wsp:rsid wsp:val=&quot;004D47AB&quot;/&gt;&lt;wsp:rsid wsp:val=&quot;004D4AC7&quot;/&gt;&lt;wsp:rsid wsp:val=&quot;004D4D68&quot;/&gt;&lt;wsp:rsid wsp:val=&quot;004D5020&quot;/&gt;&lt;wsp:rsid wsp:val=&quot;004D5071&quot;/&gt;&lt;wsp:rsid wsp:val=&quot;004D5804&quot;/&gt;&lt;wsp:rsid wsp:val=&quot;004D5A8D&quot;/&gt;&lt;wsp:rsid wsp:val=&quot;004D5F5C&quot;/&gt;&lt;wsp:rsid wsp:val=&quot;004D5FD4&quot;/&gt;&lt;wsp:rsid wsp:val=&quot;004D6295&quot;/&gt;&lt;wsp:rsid wsp:val=&quot;004D67A6&quot;/&gt;&lt;wsp:rsid wsp:val=&quot;004D77DE&quot;/&gt;&lt;wsp:rsid wsp:val=&quot;004D77FD&quot;/&gt;&lt;wsp:rsid wsp:val=&quot;004D7C39&quot;/&gt;&lt;wsp:rsid wsp:val=&quot;004D7C90&quot;/&gt;&lt;wsp:rsid wsp:val=&quot;004E0426&quot;/&gt;&lt;wsp:rsid wsp:val=&quot;004E05BD&quot;/&gt;&lt;wsp:rsid wsp:val=&quot;004E083A&quot;/&gt;&lt;wsp:rsid wsp:val=&quot;004E0C40&quot;/&gt;&lt;wsp:rsid wsp:val=&quot;004E0DE8&quot;/&gt;&lt;wsp:rsid wsp:val=&quot;004E0F77&quot;/&gt;&lt;wsp:rsid wsp:val=&quot;004E0FF8&quot;/&gt;&lt;wsp:rsid wsp:val=&quot;004E1812&quot;/&gt;&lt;wsp:rsid wsp:val=&quot;004E23F3&quot;/&gt;&lt;wsp:rsid wsp:val=&quot;004E2C7E&quot;/&gt;&lt;wsp:rsid wsp:val=&quot;004E2D66&quot;/&gt;&lt;wsp:rsid wsp:val=&quot;004E2E3E&quot;/&gt;&lt;wsp:rsid wsp:val=&quot;004E335C&quot;/&gt;&lt;wsp:rsid wsp:val=&quot;004E3A87&quot;/&gt;&lt;wsp:rsid wsp:val=&quot;004E3B92&quot;/&gt;&lt;wsp:rsid wsp:val=&quot;004E3D74&quot;/&gt;&lt;wsp:rsid wsp:val=&quot;004E3DDC&quot;/&gt;&lt;wsp:rsid wsp:val=&quot;004E3E91&quot;/&gt;&lt;wsp:rsid wsp:val=&quot;004E4004&quot;/&gt;&lt;wsp:rsid wsp:val=&quot;004E42DB&quot;/&gt;&lt;wsp:rsid wsp:val=&quot;004E43EC&quot;/&gt;&lt;wsp:rsid wsp:val=&quot;004E499A&quot;/&gt;&lt;wsp:rsid wsp:val=&quot;004E4CBB&quot;/&gt;&lt;wsp:rsid wsp:val=&quot;004E4D99&quot;/&gt;&lt;wsp:rsid wsp:val=&quot;004E53BC&quot;/&gt;&lt;wsp:rsid wsp:val=&quot;004E5962&quot;/&gt;&lt;wsp:rsid wsp:val=&quot;004E599D&quot;/&gt;&lt;wsp:rsid wsp:val=&quot;004E59C9&quot;/&gt;&lt;wsp:rsid wsp:val=&quot;004E5BD3&quot;/&gt;&lt;wsp:rsid wsp:val=&quot;004E5D2E&quot;/&gt;&lt;wsp:rsid wsp:val=&quot;004E6536&quot;/&gt;&lt;wsp:rsid wsp:val=&quot;004E6641&quot;/&gt;&lt;wsp:rsid wsp:val=&quot;004E73C7&quot;/&gt;&lt;wsp:rsid wsp:val=&quot;004E7C33&quot;/&gt;&lt;wsp:rsid wsp:val=&quot;004E7D31&quot;/&gt;&lt;wsp:rsid wsp:val=&quot;004F06A5&quot;/&gt;&lt;wsp:rsid wsp:val=&quot;004F079A&quot;/&gt;&lt;wsp:rsid wsp:val=&quot;004F0CB5&quot;/&gt;&lt;wsp:rsid wsp:val=&quot;004F0D68&quot;/&gt;&lt;wsp:rsid wsp:val=&quot;004F0FA8&quot;/&gt;&lt;wsp:rsid wsp:val=&quot;004F1289&quot;/&gt;&lt;wsp:rsid wsp:val=&quot;004F12F9&quot;/&gt;&lt;wsp:rsid wsp:val=&quot;004F13D4&quot;/&gt;&lt;wsp:rsid wsp:val=&quot;004F1476&quot;/&gt;&lt;wsp:rsid wsp:val=&quot;004F1559&quot;/&gt;&lt;wsp:rsid wsp:val=&quot;004F185C&quot;/&gt;&lt;wsp:rsid wsp:val=&quot;004F1E33&quot;/&gt;&lt;wsp:rsid wsp:val=&quot;004F1F62&quot;/&gt;&lt;wsp:rsid wsp:val=&quot;004F2016&quot;/&gt;&lt;wsp:rsid wsp:val=&quot;004F21E8&quot;/&gt;&lt;wsp:rsid wsp:val=&quot;004F2253&quot;/&gt;&lt;wsp:rsid wsp:val=&quot;004F2456&quot;/&gt;&lt;wsp:rsid wsp:val=&quot;004F2B1A&quot;/&gt;&lt;wsp:rsid wsp:val=&quot;004F2C0A&quot;/&gt;&lt;wsp:rsid wsp:val=&quot;004F2CEB&quot;/&gt;&lt;wsp:rsid wsp:val=&quot;004F2E19&quot;/&gt;&lt;wsp:rsid wsp:val=&quot;004F2F6E&quot;/&gt;&lt;wsp:rsid wsp:val=&quot;004F3332&quot;/&gt;&lt;wsp:rsid wsp:val=&quot;004F35E4&quot;/&gt;&lt;wsp:rsid wsp:val=&quot;004F37F2&quot;/&gt;&lt;wsp:rsid wsp:val=&quot;004F3BD5&quot;/&gt;&lt;wsp:rsid wsp:val=&quot;004F3DF1&quot;/&gt;&lt;wsp:rsid wsp:val=&quot;004F3E04&quot;/&gt;&lt;wsp:rsid wsp:val=&quot;004F3EA2&quot;/&gt;&lt;wsp:rsid wsp:val=&quot;004F4149&quot;/&gt;&lt;wsp:rsid wsp:val=&quot;004F459E&quot;/&gt;&lt;wsp:rsid wsp:val=&quot;004F48F8&quot;/&gt;&lt;wsp:rsid wsp:val=&quot;004F493C&quot;/&gt;&lt;wsp:rsid wsp:val=&quot;004F499C&quot;/&gt;&lt;wsp:rsid wsp:val=&quot;004F49A5&quot;/&gt;&lt;wsp:rsid wsp:val=&quot;004F49BE&quot;/&gt;&lt;wsp:rsid wsp:val=&quot;004F4AD3&quot;/&gt;&lt;wsp:rsid wsp:val=&quot;004F4C62&quot;/&gt;&lt;wsp:rsid wsp:val=&quot;004F4E5C&quot;/&gt;&lt;wsp:rsid wsp:val=&quot;004F4FE3&quot;/&gt;&lt;wsp:rsid wsp:val=&quot;004F50D5&quot;/&gt;&lt;wsp:rsid wsp:val=&quot;004F558C&quot;/&gt;&lt;wsp:rsid wsp:val=&quot;004F570C&quot;/&gt;&lt;wsp:rsid wsp:val=&quot;004F5743&quot;/&gt;&lt;wsp:rsid wsp:val=&quot;004F584B&quot;/&gt;&lt;wsp:rsid wsp:val=&quot;004F5EA8&quot;/&gt;&lt;wsp:rsid wsp:val=&quot;004F5F4E&quot;/&gt;&lt;wsp:rsid wsp:val=&quot;004F610E&quot;/&gt;&lt;wsp:rsid wsp:val=&quot;004F614C&quot;/&gt;&lt;wsp:rsid wsp:val=&quot;004F640C&quot;/&gt;&lt;wsp:rsid wsp:val=&quot;004F648F&quot;/&gt;&lt;wsp:rsid wsp:val=&quot;004F661A&quot;/&gt;&lt;wsp:rsid wsp:val=&quot;004F66B1&quot;/&gt;&lt;wsp:rsid wsp:val=&quot;004F6921&quot;/&gt;&lt;wsp:rsid wsp:val=&quot;004F6A7F&quot;/&gt;&lt;wsp:rsid wsp:val=&quot;004F7E50&quot;/&gt;&lt;wsp:rsid wsp:val=&quot;00500024&quot;/&gt;&lt;wsp:rsid wsp:val=&quot;00500107&quot;/&gt;&lt;wsp:rsid wsp:val=&quot;005009D2&quot;/&gt;&lt;wsp:rsid wsp:val=&quot;00500BD8&quot;/&gt;&lt;wsp:rsid wsp:val=&quot;00501096&quot;/&gt;&lt;wsp:rsid wsp:val=&quot;00501673&quot;/&gt;&lt;wsp:rsid wsp:val=&quot;00501987&quot;/&gt;&lt;wsp:rsid wsp:val=&quot;00501B01&quot;/&gt;&lt;wsp:rsid wsp:val=&quot;00501DCB&quot;/&gt;&lt;wsp:rsid wsp:val=&quot;00502AD0&quot;/&gt;&lt;wsp:rsid wsp:val=&quot;00502BB3&quot;/&gt;&lt;wsp:rsid wsp:val=&quot;00502C3F&quot;/&gt;&lt;wsp:rsid wsp:val=&quot;005035A1&quot;/&gt;&lt;wsp:rsid wsp:val=&quot;00503842&quot;/&gt;&lt;wsp:rsid wsp:val=&quot;005044D5&quot;/&gt;&lt;wsp:rsid wsp:val=&quot;00504A51&quot;/&gt;&lt;wsp:rsid wsp:val=&quot;005051ED&quot;/&gt;&lt;wsp:rsid wsp:val=&quot;00505FBE&quot;/&gt;&lt;wsp:rsid wsp:val=&quot;00506378&quot;/&gt;&lt;wsp:rsid wsp:val=&quot;00506592&quot;/&gt;&lt;wsp:rsid wsp:val=&quot;00506730&quot;/&gt;&lt;wsp:rsid wsp:val=&quot;00506747&quot;/&gt;&lt;wsp:rsid wsp:val=&quot;0050687B&quot;/&gt;&lt;wsp:rsid wsp:val=&quot;005069F5&quot;/&gt;&lt;wsp:rsid wsp:val=&quot;00506FD2&quot;/&gt;&lt;wsp:rsid wsp:val=&quot;00507179&quot;/&gt;&lt;wsp:rsid wsp:val=&quot;005072F6&quot;/&gt;&lt;wsp:rsid wsp:val=&quot;00507381&quot;/&gt;&lt;wsp:rsid wsp:val=&quot;0050773C&quot;/&gt;&lt;wsp:rsid wsp:val=&quot;00507779&quot;/&gt;&lt;wsp:rsid wsp:val=&quot;00507D35&quot;/&gt;&lt;wsp:rsid wsp:val=&quot;00507F4E&quot;/&gt;&lt;wsp:rsid wsp:val=&quot;00507F57&quot;/&gt;&lt;wsp:rsid wsp:val=&quot;00510163&quot;/&gt;&lt;wsp:rsid wsp:val=&quot;00510930&quot;/&gt;&lt;wsp:rsid wsp:val=&quot;00510E58&quot;/&gt;&lt;wsp:rsid wsp:val=&quot;00511235&quot;/&gt;&lt;wsp:rsid wsp:val=&quot;00511361&quot;/&gt;&lt;wsp:rsid wsp:val=&quot;00511736&quot;/&gt;&lt;wsp:rsid wsp:val=&quot;0051182C&quot;/&gt;&lt;wsp:rsid wsp:val=&quot;0051189B&quot;/&gt;&lt;wsp:rsid wsp:val=&quot;00512066&quot;/&gt;&lt;wsp:rsid wsp:val=&quot;005120DF&quot;/&gt;&lt;wsp:rsid wsp:val=&quot;0051292A&quot;/&gt;&lt;wsp:rsid wsp:val=&quot;00513042&quot;/&gt;&lt;wsp:rsid wsp:val=&quot;00513388&quot;/&gt;&lt;wsp:rsid wsp:val=&quot;0051363C&quot;/&gt;&lt;wsp:rsid wsp:val=&quot;0051372D&quot;/&gt;&lt;wsp:rsid wsp:val=&quot;0051374C&quot;/&gt;&lt;wsp:rsid wsp:val=&quot;00513BE8&quot;/&gt;&lt;wsp:rsid wsp:val=&quot;00513C79&quot;/&gt;&lt;wsp:rsid wsp:val=&quot;00513DBA&quot;/&gt;&lt;wsp:rsid wsp:val=&quot;00514228&quot;/&gt;&lt;wsp:rsid wsp:val=&quot;00514E5D&quot;/&gt;&lt;wsp:rsid wsp:val=&quot;005151F6&quot;/&gt;&lt;wsp:rsid wsp:val=&quot;005154BA&quot;/&gt;&lt;wsp:rsid wsp:val=&quot;00515673&quot;/&gt;&lt;wsp:rsid wsp:val=&quot;005158CD&quot;/&gt;&lt;wsp:rsid wsp:val=&quot;00515A5C&quot;/&gt;&lt;wsp:rsid wsp:val=&quot;00516006&quot;/&gt;&lt;wsp:rsid wsp:val=&quot;0051654E&quot;/&gt;&lt;wsp:rsid wsp:val=&quot;00516F54&quot;/&gt;&lt;wsp:rsid wsp:val=&quot;00516FB9&quot;/&gt;&lt;wsp:rsid wsp:val=&quot;00517056&quot;/&gt;&lt;wsp:rsid wsp:val=&quot;0051738D&quot;/&gt;&lt;wsp:rsid wsp:val=&quot;005177AA&quot;/&gt;&lt;wsp:rsid wsp:val=&quot;00517F51&quot;/&gt;&lt;wsp:rsid wsp:val=&quot;00520168&quot;/&gt;&lt;wsp:rsid wsp:val=&quot;00520389&quot;/&gt;&lt;wsp:rsid wsp:val=&quot;005205D4&quot;/&gt;&lt;wsp:rsid wsp:val=&quot;00520884&quot;/&gt;&lt;wsp:rsid wsp:val=&quot;00520F1C&quot;/&gt;&lt;wsp:rsid wsp:val=&quot;005212C4&quot;/&gt;&lt;wsp:rsid wsp:val=&quot;0052132B&quot;/&gt;&lt;wsp:rsid wsp:val=&quot;005217F1&quot;/&gt;&lt;wsp:rsid wsp:val=&quot;00521DC4&quot;/&gt;&lt;wsp:rsid wsp:val=&quot;00521EC4&quot;/&gt;&lt;wsp:rsid wsp:val=&quot;0052253C&quot;/&gt;&lt;wsp:rsid wsp:val=&quot;00522688&quot;/&gt;&lt;wsp:rsid wsp:val=&quot;00522804&quot;/&gt;&lt;wsp:rsid wsp:val=&quot;00522A82&quot;/&gt;&lt;wsp:rsid wsp:val=&quot;00522FB4&quot;/&gt;&lt;wsp:rsid wsp:val=&quot;00523487&quot;/&gt;&lt;wsp:rsid wsp:val=&quot;005238EC&quot;/&gt;&lt;wsp:rsid wsp:val=&quot;00523D71&quot;/&gt;&lt;wsp:rsid wsp:val=&quot;00523DA4&quot;/&gt;&lt;wsp:rsid wsp:val=&quot;00523EED&quot;/&gt;&lt;wsp:rsid wsp:val=&quot;00523FBF&quot;/&gt;&lt;wsp:rsid wsp:val=&quot;0052442B&quot;/&gt;&lt;wsp:rsid wsp:val=&quot;005245AE&quot;/&gt;&lt;wsp:rsid wsp:val=&quot;005245C6&quot;/&gt;&lt;wsp:rsid wsp:val=&quot;0052478D&quot;/&gt;&lt;wsp:rsid wsp:val=&quot;005247D8&quot;/&gt;&lt;wsp:rsid wsp:val=&quot;00524D49&quot;/&gt;&lt;wsp:rsid wsp:val=&quot;005254BF&quot;/&gt;&lt;wsp:rsid wsp:val=&quot;005255AF&quot;/&gt;&lt;wsp:rsid wsp:val=&quot;00525B54&quot;/&gt;&lt;wsp:rsid wsp:val=&quot;00525E90&quot;/&gt;&lt;wsp:rsid wsp:val=&quot;00525FFB&quot;/&gt;&lt;wsp:rsid wsp:val=&quot;005260A9&quot;/&gt;&lt;wsp:rsid wsp:val=&quot;00526109&quot;/&gt;&lt;wsp:rsid wsp:val=&quot;00526E53&quot;/&gt;&lt;wsp:rsid wsp:val=&quot;00526EDD&quot;/&gt;&lt;wsp:rsid wsp:val=&quot;0052703E&quot;/&gt;&lt;wsp:rsid wsp:val=&quot;00527289&quot;/&gt;&lt;wsp:rsid wsp:val=&quot;00527CBA&quot;/&gt;&lt;wsp:rsid wsp:val=&quot;00530412&quot;/&gt;&lt;wsp:rsid wsp:val=&quot;005308A3&quot;/&gt;&lt;wsp:rsid wsp:val=&quot;00530BAD&quot;/&gt;&lt;wsp:rsid wsp:val=&quot;00530D07&quot;/&gt;&lt;wsp:rsid wsp:val=&quot;005314D2&quot;/&gt;&lt;wsp:rsid wsp:val=&quot;00531A24&quot;/&gt;&lt;wsp:rsid wsp:val=&quot;00532160&quot;/&gt;&lt;wsp:rsid wsp:val=&quot;0053238B&quot;/&gt;&lt;wsp:rsid wsp:val=&quot;00532486&quot;/&gt;&lt;wsp:rsid wsp:val=&quot;005324E5&quot;/&gt;&lt;wsp:rsid wsp:val=&quot;005329A8&quot;/&gt;&lt;wsp:rsid wsp:val=&quot;00532B2A&quot;/&gt;&lt;wsp:rsid wsp:val=&quot;00532F0D&quot;/&gt;&lt;wsp:rsid wsp:val=&quot;0053335A&quot;/&gt;&lt;wsp:rsid wsp:val=&quot;005335C8&quot;/&gt;&lt;wsp:rsid wsp:val=&quot;00533850&quot;/&gt;&lt;wsp:rsid wsp:val=&quot;00533D2B&quot;/&gt;&lt;wsp:rsid wsp:val=&quot;00533E8C&quot;/&gt;&lt;wsp:rsid wsp:val=&quot;00533F94&quot;/&gt;&lt;wsp:rsid wsp:val=&quot;0053419B&quot;/&gt;&lt;wsp:rsid wsp:val=&quot;005348E7&quot;/&gt;&lt;wsp:rsid wsp:val=&quot;00534921&quot;/&gt;&lt;wsp:rsid wsp:val=&quot;00535204&quot;/&gt;&lt;wsp:rsid wsp:val=&quot;00535364&quot;/&gt;&lt;wsp:rsid wsp:val=&quot;00535D15&quot;/&gt;&lt;wsp:rsid wsp:val=&quot;00535E04&quot;/&gt;&lt;wsp:rsid wsp:val=&quot;005367F3&quot;/&gt;&lt;wsp:rsid wsp:val=&quot;005369FC&quot;/&gt;&lt;wsp:rsid wsp:val=&quot;00536BEA&quot;/&gt;&lt;wsp:rsid wsp:val=&quot;0053739E&quot;/&gt;&lt;wsp:rsid wsp:val=&quot;00537593&quot;/&gt;&lt;wsp:rsid wsp:val=&quot;005376AC&quot;/&gt;&lt;wsp:rsid wsp:val=&quot;00537A5E&quot;/&gt;&lt;wsp:rsid wsp:val=&quot;005401B7&quot;/&gt;&lt;wsp:rsid wsp:val=&quot;00540586&quot;/&gt;&lt;wsp:rsid wsp:val=&quot;00540626&quot;/&gt;&lt;wsp:rsid wsp:val=&quot;00540BBF&quot;/&gt;&lt;wsp:rsid wsp:val=&quot;00540BE8&quot;/&gt;&lt;wsp:rsid wsp:val=&quot;00540CAE&quot;/&gt;&lt;wsp:rsid wsp:val=&quot;00541043&quot;/&gt;&lt;wsp:rsid wsp:val=&quot;00541503&quot;/&gt;&lt;wsp:rsid wsp:val=&quot;00541761&quot;/&gt;&lt;wsp:rsid wsp:val=&quot;00542050&quot;/&gt;&lt;wsp:rsid wsp:val=&quot;00542548&quot;/&gt;&lt;wsp:rsid wsp:val=&quot;00542876&quot;/&gt;&lt;wsp:rsid wsp:val=&quot;00542B60&quot;/&gt;&lt;wsp:rsid wsp:val=&quot;00542BD8&quot;/&gt;&lt;wsp:rsid wsp:val=&quot;00542D44&quot;/&gt;&lt;wsp:rsid wsp:val=&quot;00542E9C&quot;/&gt;&lt;wsp:rsid wsp:val=&quot;00543459&quot;/&gt;&lt;wsp:rsid wsp:val=&quot;00543D53&quot;/&gt;&lt;wsp:rsid wsp:val=&quot;00544120&quot;/&gt;&lt;wsp:rsid wsp:val=&quot;00544895&quot;/&gt;&lt;wsp:rsid wsp:val=&quot;005449D5&quot;/&gt;&lt;wsp:rsid wsp:val=&quot;00545012&quot;/&gt;&lt;wsp:rsid wsp:val=&quot;005454FC&quot;/&gt;&lt;wsp:rsid wsp:val=&quot;0054566F&quot;/&gt;&lt;wsp:rsid wsp:val=&quot;00545D06&quot;/&gt;&lt;wsp:rsid wsp:val=&quot;005463E8&quot;/&gt;&lt;wsp:rsid wsp:val=&quot;0054694F&quot;/&gt;&lt;wsp:rsid wsp:val=&quot;0054697A&quot;/&gt;&lt;wsp:rsid wsp:val=&quot;00546AFD&quot;/&gt;&lt;wsp:rsid wsp:val=&quot;005470B2&quot;/&gt;&lt;wsp:rsid wsp:val=&quot;005470DB&quot;/&gt;&lt;wsp:rsid wsp:val=&quot;00547106&quot;/&gt;&lt;wsp:rsid wsp:val=&quot;00547118&quot;/&gt;&lt;wsp:rsid wsp:val=&quot;00547431&quot;/&gt;&lt;wsp:rsid wsp:val=&quot;00550205&quot;/&gt;&lt;wsp:rsid wsp:val=&quot;005505DC&quot;/&gt;&lt;wsp:rsid wsp:val=&quot;0055192F&quot;/&gt;&lt;wsp:rsid wsp:val=&quot;00551A6E&quot;/&gt;&lt;wsp:rsid wsp:val=&quot;00551D09&quot;/&gt;&lt;wsp:rsid wsp:val=&quot;00552BB8&quot;/&gt;&lt;wsp:rsid wsp:val=&quot;0055306C&quot;/&gt;&lt;wsp:rsid wsp:val=&quot;00553144&quot;/&gt;&lt;wsp:rsid wsp:val=&quot;0055338B&quot;/&gt;&lt;wsp:rsid wsp:val=&quot;00553604&quot;/&gt;&lt;wsp:rsid wsp:val=&quot;0055385F&quot;/&gt;&lt;wsp:rsid wsp:val=&quot;005538D9&quot;/&gt;&lt;wsp:rsid wsp:val=&quot;00553D3E&quot;/&gt;&lt;wsp:rsid wsp:val=&quot;00553EE3&quot;/&gt;&lt;wsp:rsid wsp:val=&quot;00554580&quot;/&gt;&lt;wsp:rsid wsp:val=&quot;00555624&quot;/&gt;&lt;wsp:rsid wsp:val=&quot;00555778&quot;/&gt;&lt;wsp:rsid wsp:val=&quot;00555EC6&quot;/&gt;&lt;wsp:rsid wsp:val=&quot;00555F65&quot;/&gt;&lt;wsp:rsid wsp:val=&quot;00555F66&quot;/&gt;&lt;wsp:rsid wsp:val=&quot;0055620C&quot;/&gt;&lt;wsp:rsid wsp:val=&quot;005568E2&quot;/&gt;&lt;wsp:rsid wsp:val=&quot;0055690E&quot;/&gt;&lt;wsp:rsid wsp:val=&quot;00556A1F&quot;/&gt;&lt;wsp:rsid wsp:val=&quot;00556F2D&quot;/&gt;&lt;wsp:rsid wsp:val=&quot;00557440&quot;/&gt;&lt;wsp:rsid wsp:val=&quot;0055764E&quot;/&gt;&lt;wsp:rsid wsp:val=&quot;0055768F&quot;/&gt;&lt;wsp:rsid wsp:val=&quot;005576C2&quot;/&gt;&lt;wsp:rsid wsp:val=&quot;00557B28&quot;/&gt;&lt;wsp:rsid wsp:val=&quot;00557C49&quot;/&gt;&lt;wsp:rsid wsp:val=&quot;0056031D&quot;/&gt;&lt;wsp:rsid wsp:val=&quot;00560FA8&quot;/&gt;&lt;wsp:rsid wsp:val=&quot;005613BC&quot;/&gt;&lt;wsp:rsid wsp:val=&quot;005615A8&quot;/&gt;&lt;wsp:rsid wsp:val=&quot;00561679&quot;/&gt;&lt;wsp:rsid wsp:val=&quot;00561A9F&quot;/&gt;&lt;wsp:rsid wsp:val=&quot;00561DED&quot;/&gt;&lt;wsp:rsid wsp:val=&quot;0056207D&quot;/&gt;&lt;wsp:rsid wsp:val=&quot;00562272&quot;/&gt;&lt;wsp:rsid wsp:val=&quot;00562A2D&quot;/&gt;&lt;wsp:rsid wsp:val=&quot;00562DC4&quot;/&gt;&lt;wsp:rsid wsp:val=&quot;005636B1&quot;/&gt;&lt;wsp:rsid wsp:val=&quot;0056395C&quot;/&gt;&lt;wsp:rsid wsp:val=&quot;00565155&quot;/&gt;&lt;wsp:rsid wsp:val=&quot;00565317&quot;/&gt;&lt;wsp:rsid wsp:val=&quot;00565367&quot;/&gt;&lt;wsp:rsid wsp:val=&quot;00566368&quot;/&gt;&lt;wsp:rsid wsp:val=&quot;005672F9&quot;/&gt;&lt;wsp:rsid wsp:val=&quot;00567EE4&quot;/&gt;&lt;wsp:rsid wsp:val=&quot;00570032&quot;/&gt;&lt;wsp:rsid wsp:val=&quot;0057047D&quot;/&gt;&lt;wsp:rsid wsp:val=&quot;0057049E&quot;/&gt;&lt;wsp:rsid wsp:val=&quot;00570564&quot;/&gt;&lt;wsp:rsid wsp:val=&quot;00570605&quot;/&gt;&lt;wsp:rsid wsp:val=&quot;005708EC&quot;/&gt;&lt;wsp:rsid wsp:val=&quot;00570F63&quot;/&gt;&lt;wsp:rsid wsp:val=&quot;00571270&quot;/&gt;&lt;wsp:rsid wsp:val=&quot;005713CC&quot;/&gt;&lt;wsp:rsid wsp:val=&quot;00571754&quot;/&gt;&lt;wsp:rsid wsp:val=&quot;0057188B&quot;/&gt;&lt;wsp:rsid wsp:val=&quot;00571BC6&quot;/&gt;&lt;wsp:rsid wsp:val=&quot;00571D1F&quot;/&gt;&lt;wsp:rsid wsp:val=&quot;00571D7A&quot;/&gt;&lt;wsp:rsid wsp:val=&quot;00571E3F&quot;/&gt;&lt;wsp:rsid wsp:val=&quot;00571E5F&quot;/&gt;&lt;wsp:rsid wsp:val=&quot;00571F49&quot;/&gt;&lt;wsp:rsid wsp:val=&quot;00572056&quot;/&gt;&lt;wsp:rsid wsp:val=&quot;005723B6&quot;/&gt;&lt;wsp:rsid wsp:val=&quot;00572832&quot;/&gt;&lt;wsp:rsid wsp:val=&quot;00572B81&quot;/&gt;&lt;wsp:rsid wsp:val=&quot;00572F15&quot;/&gt;&lt;wsp:rsid wsp:val=&quot;00573188&quot;/&gt;&lt;wsp:rsid wsp:val=&quot;005732BD&quot;/&gt;&lt;wsp:rsid wsp:val=&quot;005732EA&quot;/&gt;&lt;wsp:rsid wsp:val=&quot;00573331&quot;/&gt;&lt;wsp:rsid wsp:val=&quot;005739FB&quot;/&gt;&lt;wsp:rsid wsp:val=&quot;00573B41&quot;/&gt;&lt;wsp:rsid wsp:val=&quot;00573F1A&quot;/&gt;&lt;wsp:rsid wsp:val=&quot;005745F8&quot;/&gt;&lt;wsp:rsid wsp:val=&quot;0057470C&quot;/&gt;&lt;wsp:rsid wsp:val=&quot;00574866&quot;/&gt;&lt;wsp:rsid wsp:val=&quot;00574B0F&quot;/&gt;&lt;wsp:rsid wsp:val=&quot;00574EE5&quot;/&gt;&lt;wsp:rsid wsp:val=&quot;0057658C&quot;/&gt;&lt;wsp:rsid wsp:val=&quot;00576ACB&quot;/&gt;&lt;wsp:rsid wsp:val=&quot;00576BF4&quot;/&gt;&lt;wsp:rsid wsp:val=&quot;00576E03&quot;/&gt;&lt;wsp:rsid wsp:val=&quot;005770F1&quot;/&gt;&lt;wsp:rsid wsp:val=&quot;0057714E&quot;/&gt;&lt;wsp:rsid wsp:val=&quot;00577559&quot;/&gt;&lt;wsp:rsid wsp:val=&quot;00577699&quot;/&gt;&lt;wsp:rsid wsp:val=&quot;00577EBD&quot;/&gt;&lt;wsp:rsid wsp:val=&quot;00577F10&quot;/&gt;&lt;wsp:rsid wsp:val=&quot;00580790&quot;/&gt;&lt;wsp:rsid wsp:val=&quot;00581446&quot;/&gt;&lt;wsp:rsid wsp:val=&quot;00581A52&quot;/&gt;&lt;wsp:rsid wsp:val=&quot;00581B3D&quot;/&gt;&lt;wsp:rsid wsp:val=&quot;00581EC4&quot;/&gt;&lt;wsp:rsid wsp:val=&quot;00582109&quot;/&gt;&lt;wsp:rsid wsp:val=&quot;00582153&quot;/&gt;&lt;wsp:rsid wsp:val=&quot;005824B7&quot;/&gt;&lt;wsp:rsid wsp:val=&quot;00582F4D&quot;/&gt;&lt;wsp:rsid wsp:val=&quot;00582FF3&quot;/&gt;&lt;wsp:rsid wsp:val=&quot;00583296&quot;/&gt;&lt;wsp:rsid wsp:val=&quot;0058336C&quot;/&gt;&lt;wsp:rsid wsp:val=&quot;005839B5&quot;/&gt;&lt;wsp:rsid wsp:val=&quot;005839C0&quot;/&gt;&lt;wsp:rsid wsp:val=&quot;00583C7E&quot;/&gt;&lt;wsp:rsid wsp:val=&quot;005842BF&quot;/&gt;&lt;wsp:rsid wsp:val=&quot;005845BE&quot;/&gt;&lt;wsp:rsid wsp:val=&quot;005847DF&quot;/&gt;&lt;wsp:rsid wsp:val=&quot;00584A10&quot;/&gt;&lt;wsp:rsid wsp:val=&quot;00584EB7&quot;/&gt;&lt;wsp:rsid wsp:val=&quot;0058558C&quot;/&gt;&lt;wsp:rsid wsp:val=&quot;00585592&quot;/&gt;&lt;wsp:rsid wsp:val=&quot;005868A0&quot;/&gt;&lt;wsp:rsid wsp:val=&quot;00586A23&quot;/&gt;&lt;wsp:rsid wsp:val=&quot;0058793B&quot;/&gt;&lt;wsp:rsid wsp:val=&quot;0059029B&quot;/&gt;&lt;wsp:rsid wsp:val=&quot;005902CD&quot;/&gt;&lt;wsp:rsid wsp:val=&quot;00590911&quot;/&gt;&lt;wsp:rsid wsp:val=&quot;00590AE1&quot;/&gt;&lt;wsp:rsid wsp:val=&quot;00590BAF&quot;/&gt;&lt;wsp:rsid wsp:val=&quot;00590BB7&quot;/&gt;&lt;wsp:rsid wsp:val=&quot;00590E01&quot;/&gt;&lt;wsp:rsid wsp:val=&quot;00591205&quot;/&gt;&lt;wsp:rsid wsp:val=&quot;005912F3&quot;/&gt;&lt;wsp:rsid wsp:val=&quot;005916F8&quot;/&gt;&lt;wsp:rsid wsp:val=&quot;005919FD&quot;/&gt;&lt;wsp:rsid wsp:val=&quot;00591DF6&quot;/&gt;&lt;wsp:rsid wsp:val=&quot;00591DFA&quot;/&gt;&lt;wsp:rsid wsp:val=&quot;00591F1A&quot;/&gt;&lt;wsp:rsid wsp:val=&quot;00591F7F&quot;/&gt;&lt;wsp:rsid wsp:val=&quot;00592164&quot;/&gt;&lt;wsp:rsid wsp:val=&quot;00592648&quot;/&gt;&lt;wsp:rsid wsp:val=&quot;005926E1&quot;/&gt;&lt;wsp:rsid wsp:val=&quot;005928D4&quot;/&gt;&lt;wsp:rsid wsp:val=&quot;00592A64&quot;/&gt;&lt;wsp:rsid wsp:val=&quot;00592AF3&quot;/&gt;&lt;wsp:rsid wsp:val=&quot;00592C7B&quot;/&gt;&lt;wsp:rsid wsp:val=&quot;00592DD6&quot;/&gt;&lt;wsp:rsid wsp:val=&quot;00592E26&quot;/&gt;&lt;wsp:rsid wsp:val=&quot;00593031&quot;/&gt;&lt;wsp:rsid wsp:val=&quot;005931B9&quot;/&gt;&lt;wsp:rsid wsp:val=&quot;00593609&quot;/&gt;&lt;wsp:rsid wsp:val=&quot;00593CE8&quot;/&gt;&lt;wsp:rsid wsp:val=&quot;00593CE9&quot;/&gt;&lt;wsp:rsid wsp:val=&quot;00593F69&quot;/&gt;&lt;wsp:rsid wsp:val=&quot;00594110&quot;/&gt;&lt;wsp:rsid wsp:val=&quot;00594273&quot;/&gt;&lt;wsp:rsid wsp:val=&quot;00594372&quot;/&gt;&lt;wsp:rsid wsp:val=&quot;00594667&quot;/&gt;&lt;wsp:rsid wsp:val=&quot;00594EBD&quot;/&gt;&lt;wsp:rsid wsp:val=&quot;00595156&quot;/&gt;&lt;wsp:rsid wsp:val=&quot;00595C16&quot;/&gt;&lt;wsp:rsid wsp:val=&quot;00595D5A&quot;/&gt;&lt;wsp:rsid wsp:val=&quot;005963B3&quot;/&gt;&lt;wsp:rsid wsp:val=&quot;0059688E&quot;/&gt;&lt;wsp:rsid wsp:val=&quot;005969ED&quot;/&gt;&lt;wsp:rsid wsp:val=&quot;00596DF9&quot;/&gt;&lt;wsp:rsid wsp:val=&quot;00596E70&quot;/&gt;&lt;wsp:rsid wsp:val=&quot;00597124&quot;/&gt;&lt;wsp:rsid wsp:val=&quot;0059756C&quot;/&gt;&lt;wsp:rsid wsp:val=&quot;00597690&quot;/&gt;&lt;wsp:rsid wsp:val=&quot;005A0231&quot;/&gt;&lt;wsp:rsid wsp:val=&quot;005A0669&quot;/&gt;&lt;wsp:rsid wsp:val=&quot;005A0966&quot;/&gt;&lt;wsp:rsid wsp:val=&quot;005A0A0D&quot;/&gt;&lt;wsp:rsid wsp:val=&quot;005A14E9&quot;/&gt;&lt;wsp:rsid wsp:val=&quot;005A1829&quot;/&gt;&lt;wsp:rsid wsp:val=&quot;005A18BC&quot;/&gt;&lt;wsp:rsid wsp:val=&quot;005A2506&quot;/&gt;&lt;wsp:rsid wsp:val=&quot;005A2BCA&quot;/&gt;&lt;wsp:rsid wsp:val=&quot;005A2CAD&quot;/&gt;&lt;wsp:rsid wsp:val=&quot;005A3105&quot;/&gt;&lt;wsp:rsid wsp:val=&quot;005A33B6&quot;/&gt;&lt;wsp:rsid wsp:val=&quot;005A3C70&quot;/&gt;&lt;wsp:rsid wsp:val=&quot;005A3F1B&quot;/&gt;&lt;wsp:rsid wsp:val=&quot;005A45C2&quot;/&gt;&lt;wsp:rsid wsp:val=&quot;005A47A2&quot;/&gt;&lt;wsp:rsid wsp:val=&quot;005A52A5&quot;/&gt;&lt;wsp:rsid wsp:val=&quot;005A5316&quot;/&gt;&lt;wsp:rsid wsp:val=&quot;005A5863&quot;/&gt;&lt;wsp:rsid wsp:val=&quot;005A5C8A&quot;/&gt;&lt;wsp:rsid wsp:val=&quot;005A5FB0&quot;/&gt;&lt;wsp:rsid wsp:val=&quot;005A620B&quot;/&gt;&lt;wsp:rsid wsp:val=&quot;005A6239&quot;/&gt;&lt;wsp:rsid wsp:val=&quot;005A6529&quot;/&gt;&lt;wsp:rsid wsp:val=&quot;005A6600&quot;/&gt;&lt;wsp:rsid wsp:val=&quot;005A6A04&quot;/&gt;&lt;wsp:rsid wsp:val=&quot;005A6CA1&quot;/&gt;&lt;wsp:rsid wsp:val=&quot;005A72AC&quot;/&gt;&lt;wsp:rsid wsp:val=&quot;005A750D&quot;/&gt;&lt;wsp:rsid wsp:val=&quot;005A75BA&quot;/&gt;&lt;wsp:rsid wsp:val=&quot;005A7D99&quot;/&gt;&lt;wsp:rsid wsp:val=&quot;005B013C&quot;/&gt;&lt;wsp:rsid wsp:val=&quot;005B04AD&quot;/&gt;&lt;wsp:rsid wsp:val=&quot;005B081D&quot;/&gt;&lt;wsp:rsid wsp:val=&quot;005B0EBE&quot;/&gt;&lt;wsp:rsid wsp:val=&quot;005B1086&quot;/&gt;&lt;wsp:rsid wsp:val=&quot;005B11F7&quot;/&gt;&lt;wsp:rsid wsp:val=&quot;005B131E&quot;/&gt;&lt;wsp:rsid wsp:val=&quot;005B183A&quot;/&gt;&lt;wsp:rsid wsp:val=&quot;005B185B&quot;/&gt;&lt;wsp:rsid wsp:val=&quot;005B1D53&quot;/&gt;&lt;wsp:rsid wsp:val=&quot;005B1F1D&quot;/&gt;&lt;wsp:rsid wsp:val=&quot;005B1FA9&quot;/&gt;&lt;wsp:rsid wsp:val=&quot;005B2143&quot;/&gt;&lt;wsp:rsid wsp:val=&quot;005B2191&quot;/&gt;&lt;wsp:rsid wsp:val=&quot;005B244A&quot;/&gt;&lt;wsp:rsid wsp:val=&quot;005B25ED&quot;/&gt;&lt;wsp:rsid wsp:val=&quot;005B320A&quot;/&gt;&lt;wsp:rsid wsp:val=&quot;005B3214&quot;/&gt;&lt;wsp:rsid wsp:val=&quot;005B3327&quot;/&gt;&lt;wsp:rsid wsp:val=&quot;005B397B&quot;/&gt;&lt;wsp:rsid wsp:val=&quot;005B3BE3&quot;/&gt;&lt;wsp:rsid wsp:val=&quot;005B4122&quot;/&gt;&lt;wsp:rsid wsp:val=&quot;005B413F&quot;/&gt;&lt;wsp:rsid wsp:val=&quot;005B42EB&quot;/&gt;&lt;wsp:rsid wsp:val=&quot;005B44E7&quot;/&gt;&lt;wsp:rsid wsp:val=&quot;005B45F3&quot;/&gt;&lt;wsp:rsid wsp:val=&quot;005B481E&quot;/&gt;&lt;wsp:rsid wsp:val=&quot;005B485C&quot;/&gt;&lt;wsp:rsid wsp:val=&quot;005B4892&quot;/&gt;&lt;wsp:rsid wsp:val=&quot;005B48F6&quot;/&gt;&lt;wsp:rsid wsp:val=&quot;005B4F08&quot;/&gt;&lt;wsp:rsid wsp:val=&quot;005B522C&quot;/&gt;&lt;wsp:rsid wsp:val=&quot;005B5589&quot;/&gt;&lt;wsp:rsid wsp:val=&quot;005B57A2&quot;/&gt;&lt;wsp:rsid wsp:val=&quot;005B5822&quot;/&gt;&lt;wsp:rsid wsp:val=&quot;005B5B8F&quot;/&gt;&lt;wsp:rsid wsp:val=&quot;005B5F9D&quot;/&gt;&lt;wsp:rsid wsp:val=&quot;005B673C&quot;/&gt;&lt;wsp:rsid wsp:val=&quot;005B6A0A&quot;/&gt;&lt;wsp:rsid wsp:val=&quot;005B74C4&quot;/&gt;&lt;wsp:rsid wsp:val=&quot;005B7A4F&quot;/&gt;&lt;wsp:rsid wsp:val=&quot;005B7C91&quot;/&gt;&lt;wsp:rsid wsp:val=&quot;005C02CF&quot;/&gt;&lt;wsp:rsid wsp:val=&quot;005C02DF&quot;/&gt;&lt;wsp:rsid wsp:val=&quot;005C03F6&quot;/&gt;&lt;wsp:rsid wsp:val=&quot;005C06D2&quot;/&gt;&lt;wsp:rsid wsp:val=&quot;005C08AC&quot;/&gt;&lt;wsp:rsid wsp:val=&quot;005C12D7&quot;/&gt;&lt;wsp:rsid wsp:val=&quot;005C19D6&quot;/&gt;&lt;wsp:rsid wsp:val=&quot;005C1C02&quot;/&gt;&lt;wsp:rsid wsp:val=&quot;005C1C1E&quot;/&gt;&lt;wsp:rsid wsp:val=&quot;005C2151&quot;/&gt;&lt;wsp:rsid wsp:val=&quot;005C21EE&quot;/&gt;&lt;wsp:rsid wsp:val=&quot;005C272C&quot;/&gt;&lt;wsp:rsid wsp:val=&quot;005C2C42&quot;/&gt;&lt;wsp:rsid wsp:val=&quot;005C2C5C&quot;/&gt;&lt;wsp:rsid wsp:val=&quot;005C2EEA&quot;/&gt;&lt;wsp:rsid wsp:val=&quot;005C34B1&quot;/&gt;&lt;wsp:rsid wsp:val=&quot;005C395F&quot;/&gt;&lt;wsp:rsid wsp:val=&quot;005C3978&quot;/&gt;&lt;wsp:rsid wsp:val=&quot;005C3E21&quot;/&gt;&lt;wsp:rsid wsp:val=&quot;005C4186&quot;/&gt;&lt;wsp:rsid wsp:val=&quot;005C435E&quot;/&gt;&lt;wsp:rsid wsp:val=&quot;005C44AC&quot;/&gt;&lt;wsp:rsid wsp:val=&quot;005C45C1&quot;/&gt;&lt;wsp:rsid wsp:val=&quot;005C45D9&quot;/&gt;&lt;wsp:rsid wsp:val=&quot;005C4930&quot;/&gt;&lt;wsp:rsid wsp:val=&quot;005C4978&quot;/&gt;&lt;wsp:rsid wsp:val=&quot;005C4A43&quot;/&gt;&lt;wsp:rsid wsp:val=&quot;005C4D7A&quot;/&gt;&lt;wsp:rsid wsp:val=&quot;005C50FB&quot;/&gt;&lt;wsp:rsid wsp:val=&quot;005C5659&quot;/&gt;&lt;wsp:rsid wsp:val=&quot;005C570F&quot;/&gt;&lt;wsp:rsid wsp:val=&quot;005C5BA8&quot;/&gt;&lt;wsp:rsid wsp:val=&quot;005C600D&quot;/&gt;&lt;wsp:rsid wsp:val=&quot;005C668A&quot;/&gt;&lt;wsp:rsid wsp:val=&quot;005C67B2&quot;/&gt;&lt;wsp:rsid wsp:val=&quot;005C6AB3&quot;/&gt;&lt;wsp:rsid wsp:val=&quot;005C6C39&quot;/&gt;&lt;wsp:rsid wsp:val=&quot;005C6D1C&quot;/&gt;&lt;wsp:rsid wsp:val=&quot;005C6F75&quot;/&gt;&lt;wsp:rsid wsp:val=&quot;005C7013&quot;/&gt;&lt;wsp:rsid wsp:val=&quot;005C712C&quot;/&gt;&lt;wsp:rsid wsp:val=&quot;005C773C&quot;/&gt;&lt;wsp:rsid wsp:val=&quot;005C789A&quot;/&gt;&lt;wsp:rsid wsp:val=&quot;005C7F12&quot;/&gt;&lt;wsp:rsid wsp:val=&quot;005C7F96&quot;/&gt;&lt;wsp:rsid wsp:val=&quot;005D00AC&quot;/&gt;&lt;wsp:rsid wsp:val=&quot;005D021A&quot;/&gt;&lt;wsp:rsid wsp:val=&quot;005D0682&quot;/&gt;&lt;wsp:rsid wsp:val=&quot;005D0A5B&quot;/&gt;&lt;wsp:rsid wsp:val=&quot;005D0AC2&quot;/&gt;&lt;wsp:rsid wsp:val=&quot;005D10A8&quot;/&gt;&lt;wsp:rsid wsp:val=&quot;005D11F2&quot;/&gt;&lt;wsp:rsid wsp:val=&quot;005D1643&quot;/&gt;&lt;wsp:rsid wsp:val=&quot;005D188E&quot;/&gt;&lt;wsp:rsid wsp:val=&quot;005D18E3&quot;/&gt;&lt;wsp:rsid wsp:val=&quot;005D1CB5&quot;/&gt;&lt;wsp:rsid wsp:val=&quot;005D22D8&quot;/&gt;&lt;wsp:rsid wsp:val=&quot;005D2741&quot;/&gt;&lt;wsp:rsid wsp:val=&quot;005D288B&quot;/&gt;&lt;wsp:rsid wsp:val=&quot;005D28B1&quot;/&gt;&lt;wsp:rsid wsp:val=&quot;005D291C&quot;/&gt;&lt;wsp:rsid wsp:val=&quot;005D2A30&quot;/&gt;&lt;wsp:rsid wsp:val=&quot;005D2B9F&quot;/&gt;&lt;wsp:rsid wsp:val=&quot;005D2F6C&quot;/&gt;&lt;wsp:rsid wsp:val=&quot;005D3491&quot;/&gt;&lt;wsp:rsid wsp:val=&quot;005D3C06&quot;/&gt;&lt;wsp:rsid wsp:val=&quot;005D3F4B&quot;/&gt;&lt;wsp:rsid wsp:val=&quot;005D41A4&quot;/&gt;&lt;wsp:rsid wsp:val=&quot;005D4AF4&quot;/&gt;&lt;wsp:rsid wsp:val=&quot;005D4B83&quot;/&gt;&lt;wsp:rsid wsp:val=&quot;005D4BAC&quot;/&gt;&lt;wsp:rsid wsp:val=&quot;005D4CCB&quot;/&gt;&lt;wsp:rsid wsp:val=&quot;005D51AD&quot;/&gt;&lt;wsp:rsid wsp:val=&quot;005D5B11&quot;/&gt;&lt;wsp:rsid wsp:val=&quot;005D5E04&quot;/&gt;&lt;wsp:rsid wsp:val=&quot;005D6865&quot;/&gt;&lt;wsp:rsid wsp:val=&quot;005D68DC&quot;/&gt;&lt;wsp:rsid wsp:val=&quot;005D69CD&quot;/&gt;&lt;wsp:rsid wsp:val=&quot;005D6BF7&quot;/&gt;&lt;wsp:rsid wsp:val=&quot;005D6D08&quot;/&gt;&lt;wsp:rsid wsp:val=&quot;005D6F58&quot;/&gt;&lt;wsp:rsid wsp:val=&quot;005D72C6&quot;/&gt;&lt;wsp:rsid wsp:val=&quot;005D7728&quot;/&gt;&lt;wsp:rsid wsp:val=&quot;005D7B70&quot;/&gt;&lt;wsp:rsid wsp:val=&quot;005D7CF2&quot;/&gt;&lt;wsp:rsid wsp:val=&quot;005E02A5&quot;/&gt;&lt;wsp:rsid wsp:val=&quot;005E066D&quot;/&gt;&lt;wsp:rsid wsp:val=&quot;005E07B0&quot;/&gt;&lt;wsp:rsid wsp:val=&quot;005E08D6&quot;/&gt;&lt;wsp:rsid wsp:val=&quot;005E0C87&quot;/&gt;&lt;wsp:rsid wsp:val=&quot;005E0CB6&quot;/&gt;&lt;wsp:rsid wsp:val=&quot;005E0FB5&quot;/&gt;&lt;wsp:rsid wsp:val=&quot;005E11CF&quot;/&gt;&lt;wsp:rsid wsp:val=&quot;005E12AB&quot;/&gt;&lt;wsp:rsid wsp:val=&quot;005E12B1&quot;/&gt;&lt;wsp:rsid wsp:val=&quot;005E1470&quot;/&gt;&lt;wsp:rsid wsp:val=&quot;005E149E&quot;/&gt;&lt;wsp:rsid wsp:val=&quot;005E1ECD&quot;/&gt;&lt;wsp:rsid wsp:val=&quot;005E20B7&quot;/&gt;&lt;wsp:rsid wsp:val=&quot;005E21CD&quot;/&gt;&lt;wsp:rsid wsp:val=&quot;005E29AA&quot;/&gt;&lt;wsp:rsid wsp:val=&quot;005E2A00&quot;/&gt;&lt;wsp:rsid wsp:val=&quot;005E39B2&quot;/&gt;&lt;wsp:rsid wsp:val=&quot;005E3CC1&quot;/&gt;&lt;wsp:rsid wsp:val=&quot;005E3F77&quot;/&gt;&lt;wsp:rsid wsp:val=&quot;005E44FA&quot;/&gt;&lt;wsp:rsid wsp:val=&quot;005E4AD3&quot;/&gt;&lt;wsp:rsid wsp:val=&quot;005E4FC9&quot;/&gt;&lt;wsp:rsid wsp:val=&quot;005E518D&quot;/&gt;&lt;wsp:rsid wsp:val=&quot;005E51FE&quot;/&gt;&lt;wsp:rsid wsp:val=&quot;005E541D&quot;/&gt;&lt;wsp:rsid wsp:val=&quot;005E6026&quot;/&gt;&lt;wsp:rsid wsp:val=&quot;005E6678&quot;/&gt;&lt;wsp:rsid wsp:val=&quot;005E6805&quot;/&gt;&lt;wsp:rsid wsp:val=&quot;005E6B35&quot;/&gt;&lt;wsp:rsid wsp:val=&quot;005E6D87&quot;/&gt;&lt;wsp:rsid wsp:val=&quot;005E718A&quot;/&gt;&lt;wsp:rsid wsp:val=&quot;005E7278&quot;/&gt;&lt;wsp:rsid wsp:val=&quot;005E73B5&quot;/&gt;&lt;wsp:rsid wsp:val=&quot;005E7724&quot;/&gt;&lt;wsp:rsid wsp:val=&quot;005E7753&quot;/&gt;&lt;wsp:rsid wsp:val=&quot;005E780A&quot;/&gt;&lt;wsp:rsid wsp:val=&quot;005E7D5E&quot;/&gt;&lt;wsp:rsid wsp:val=&quot;005E7F26&quot;/&gt;&lt;wsp:rsid wsp:val=&quot;005E7F7D&quot;/&gt;&lt;wsp:rsid wsp:val=&quot;005E7FCC&quot;/&gt;&lt;wsp:rsid wsp:val=&quot;005F0579&quot;/&gt;&lt;wsp:rsid wsp:val=&quot;005F0589&quot;/&gt;&lt;wsp:rsid wsp:val=&quot;005F092D&quot;/&gt;&lt;wsp:rsid wsp:val=&quot;005F09C4&quot;/&gt;&lt;wsp:rsid wsp:val=&quot;005F0A2B&quot;/&gt;&lt;wsp:rsid wsp:val=&quot;005F1406&quot;/&gt;&lt;wsp:rsid wsp:val=&quot;005F1444&quot;/&gt;&lt;wsp:rsid wsp:val=&quot;005F19EB&quot;/&gt;&lt;wsp:rsid wsp:val=&quot;005F1DBA&quot;/&gt;&lt;wsp:rsid wsp:val=&quot;005F21C6&quot;/&gt;&lt;wsp:rsid wsp:val=&quot;005F2240&quot;/&gt;&lt;wsp:rsid wsp:val=&quot;005F2482&quot;/&gt;&lt;wsp:rsid wsp:val=&quot;005F2843&quot;/&gt;&lt;wsp:rsid wsp:val=&quot;005F3A48&quot;/&gt;&lt;wsp:rsid wsp:val=&quot;005F3B32&quot;/&gt;&lt;wsp:rsid wsp:val=&quot;005F3CE2&quot;/&gt;&lt;wsp:rsid wsp:val=&quot;005F4064&quot;/&gt;&lt;wsp:rsid wsp:val=&quot;005F4875&quot;/&gt;&lt;wsp:rsid wsp:val=&quot;005F531B&quot;/&gt;&lt;wsp:rsid wsp:val=&quot;005F5794&quot;/&gt;&lt;wsp:rsid wsp:val=&quot;005F5E3B&quot;/&gt;&lt;wsp:rsid wsp:val=&quot;005F66D2&quot;/&gt;&lt;wsp:rsid wsp:val=&quot;005F6859&quot;/&gt;&lt;wsp:rsid wsp:val=&quot;005F6AC9&quot;/&gt;&lt;wsp:rsid wsp:val=&quot;005F6B62&quot;/&gt;&lt;wsp:rsid wsp:val=&quot;005F714D&quot;/&gt;&lt;wsp:rsid wsp:val=&quot;005F7208&quot;/&gt;&lt;wsp:rsid wsp:val=&quot;005F7655&quot;/&gt;&lt;wsp:rsid wsp:val=&quot;005F78C9&quot;/&gt;&lt;wsp:rsid wsp:val=&quot;005F78DB&quot;/&gt;&lt;wsp:rsid wsp:val=&quot;005F79CA&quot;/&gt;&lt;wsp:rsid wsp:val=&quot;005F7A86&quot;/&gt;&lt;wsp:rsid wsp:val=&quot;005F7CC1&quot;/&gt;&lt;wsp:rsid wsp:val=&quot;00600930&quot;/&gt;&lt;wsp:rsid wsp:val=&quot;00600950&quot;/&gt;&lt;wsp:rsid wsp:val=&quot;00600BCC&quot;/&gt;&lt;wsp:rsid wsp:val=&quot;006013E0&quot;/&gt;&lt;wsp:rsid wsp:val=&quot;006016CC&quot;/&gt;&lt;wsp:rsid wsp:val=&quot;006017A0&quot;/&gt;&lt;wsp:rsid wsp:val=&quot;00601803&quot;/&gt;&lt;wsp:rsid wsp:val=&quot;00601E47&quot;/&gt;&lt;wsp:rsid wsp:val=&quot;0060215F&quot;/&gt;&lt;wsp:rsid wsp:val=&quot;00602662&quot;/&gt;&lt;wsp:rsid wsp:val=&quot;00602692&quot;/&gt;&lt;wsp:rsid wsp:val=&quot;00602DBF&quot;/&gt;&lt;wsp:rsid wsp:val=&quot;0060343D&quot;/&gt;&lt;wsp:rsid wsp:val=&quot;00603443&quot;/&gt;&lt;wsp:rsid wsp:val=&quot;0060380F&quot;/&gt;&lt;wsp:rsid wsp:val=&quot;00603D72&quot;/&gt;&lt;wsp:rsid wsp:val=&quot;006041F4&quot;/&gt;&lt;wsp:rsid wsp:val=&quot;00604A70&quot;/&gt;&lt;wsp:rsid wsp:val=&quot;00604F77&quot;/&gt;&lt;wsp:rsid wsp:val=&quot;00605312&quot;/&gt;&lt;wsp:rsid wsp:val=&quot;006053FA&quot;/&gt;&lt;wsp:rsid wsp:val=&quot;00605497&quot;/&gt;&lt;wsp:rsid wsp:val=&quot;0060579C&quot;/&gt;&lt;wsp:rsid wsp:val=&quot;0060599D&quot;/&gt;&lt;wsp:rsid wsp:val=&quot;00605AC6&quot;/&gt;&lt;wsp:rsid wsp:val=&quot;00605F21&quot;/&gt;&lt;wsp:rsid wsp:val=&quot;00605FD5&quot;/&gt;&lt;wsp:rsid wsp:val=&quot;00606495&quot;/&gt;&lt;wsp:rsid wsp:val=&quot;0060692A&quot;/&gt;&lt;wsp:rsid wsp:val=&quot;00606C67&quot;/&gt;&lt;wsp:rsid wsp:val=&quot;00606D91&quot;/&gt;&lt;wsp:rsid wsp:val=&quot;00606EE9&quot;/&gt;&lt;wsp:rsid wsp:val=&quot;006071F8&quot;/&gt;&lt;wsp:rsid wsp:val=&quot;0060750E&quot;/&gt;&lt;wsp:rsid wsp:val=&quot;0060760E&quot;/&gt;&lt;wsp:rsid wsp:val=&quot;00607D2A&quot;/&gt;&lt;wsp:rsid wsp:val=&quot;006104A0&quot;/&gt;&lt;wsp:rsid wsp:val=&quot;006104C4&quot;/&gt;&lt;wsp:rsid wsp:val=&quot;00610B4F&quot;/&gt;&lt;wsp:rsid wsp:val=&quot;00610B60&quot;/&gt;&lt;wsp:rsid wsp:val=&quot;00610DED&quot;/&gt;&lt;wsp:rsid wsp:val=&quot;006110B1&quot;/&gt;&lt;wsp:rsid wsp:val=&quot;006117EC&quot;/&gt;&lt;wsp:rsid wsp:val=&quot;006119F6&quot;/&gt;&lt;wsp:rsid wsp:val=&quot;00611AD8&quot;/&gt;&lt;wsp:rsid wsp:val=&quot;00611BE2&quot;/&gt;&lt;wsp:rsid wsp:val=&quot;00611D1C&quot;/&gt;&lt;wsp:rsid wsp:val=&quot;00611FBB&quot;/&gt;&lt;wsp:rsid wsp:val=&quot;0061247F&quot;/&gt;&lt;wsp:rsid wsp:val=&quot;00612698&quot;/&gt;&lt;wsp:rsid wsp:val=&quot;00612D04&quot;/&gt;&lt;wsp:rsid wsp:val=&quot;00612D9D&quot;/&gt;&lt;wsp:rsid wsp:val=&quot;00612F3C&quot;/&gt;&lt;wsp:rsid wsp:val=&quot;00613568&quot;/&gt;&lt;wsp:rsid wsp:val=&quot;00613A58&quot;/&gt;&lt;wsp:rsid wsp:val=&quot;00614164&quot;/&gt;&lt;wsp:rsid wsp:val=&quot;00614DB8&quot;/&gt;&lt;wsp:rsid wsp:val=&quot;0061523E&quot;/&gt;&lt;wsp:rsid wsp:val=&quot;006155C4&quot;/&gt;&lt;wsp:rsid wsp:val=&quot;006157DD&quot;/&gt;&lt;wsp:rsid wsp:val=&quot;00615934&quot;/&gt;&lt;wsp:rsid wsp:val=&quot;0061673B&quot;/&gt;&lt;wsp:rsid wsp:val=&quot;0061748C&quot;/&gt;&lt;wsp:rsid wsp:val=&quot;006175A1&quot;/&gt;&lt;wsp:rsid wsp:val=&quot;00617905&quot;/&gt;&lt;wsp:rsid wsp:val=&quot;0062018E&quot;/&gt;&lt;wsp:rsid wsp:val=&quot;0062025C&quot;/&gt;&lt;wsp:rsid wsp:val=&quot;0062098F&quot;/&gt;&lt;wsp:rsid wsp:val=&quot;006209F6&quot;/&gt;&lt;wsp:rsid wsp:val=&quot;00620B1B&quot;/&gt;&lt;wsp:rsid wsp:val=&quot;0062139E&quot;/&gt;&lt;wsp:rsid wsp:val=&quot;00621405&quot;/&gt;&lt;wsp:rsid wsp:val=&quot;00621469&quot;/&gt;&lt;wsp:rsid wsp:val=&quot;006217A3&quot;/&gt;&lt;wsp:rsid wsp:val=&quot;00621D04&quot;/&gt;&lt;wsp:rsid wsp:val=&quot;00621EF6&quot;/&gt;&lt;wsp:rsid wsp:val=&quot;0062218E&quot;/&gt;&lt;wsp:rsid wsp:val=&quot;006223C5&quot;/&gt;&lt;wsp:rsid wsp:val=&quot;006226D9&quot;/&gt;&lt;wsp:rsid wsp:val=&quot;006227A3&quot;/&gt;&lt;wsp:rsid wsp:val=&quot;00622857&quot;/&gt;&lt;wsp:rsid wsp:val=&quot;00622DDC&quot;/&gt;&lt;wsp:rsid wsp:val=&quot;00622F55&quot;/&gt;&lt;wsp:rsid wsp:val=&quot;0062392F&quot;/&gt;&lt;wsp:rsid wsp:val=&quot;00623AEA&quot;/&gt;&lt;wsp:rsid wsp:val=&quot;00623EF3&quot;/&gt;&lt;wsp:rsid wsp:val=&quot;0062407A&quot;/&gt;&lt;wsp:rsid wsp:val=&quot;006242F0&quot;/&gt;&lt;wsp:rsid wsp:val=&quot;006243EC&quot;/&gt;&lt;wsp:rsid wsp:val=&quot;006245DD&quot;/&gt;&lt;wsp:rsid wsp:val=&quot;00624D61&quot;/&gt;&lt;wsp:rsid wsp:val=&quot;00624FA7&quot;/&gt;&lt;wsp:rsid wsp:val=&quot;0062577F&quot;/&gt;&lt;wsp:rsid wsp:val=&quot;006259EC&quot;/&gt;&lt;wsp:rsid wsp:val=&quot;00625B1E&quot;/&gt;&lt;wsp:rsid wsp:val=&quot;00625CD1&quot;/&gt;&lt;wsp:rsid wsp:val=&quot;0062612E&quot;/&gt;&lt;wsp:rsid wsp:val=&quot;0062615D&quot;/&gt;&lt;wsp:rsid wsp:val=&quot;00626276&quot;/&gt;&lt;wsp:rsid wsp:val=&quot;006264D5&quot;/&gt;&lt;wsp:rsid wsp:val=&quot;0062667D&quot;/&gt;&lt;wsp:rsid wsp:val=&quot;006267E9&quot;/&gt;&lt;wsp:rsid wsp:val=&quot;00626876&quot;/&gt;&lt;wsp:rsid wsp:val=&quot;00626F72&quot;/&gt;&lt;wsp:rsid wsp:val=&quot;00626FE3&quot;/&gt;&lt;wsp:rsid wsp:val=&quot;006270E2&quot;/&gt;&lt;wsp:rsid wsp:val=&quot;0062713D&quot;/&gt;&lt;wsp:rsid wsp:val=&quot;00627332&quot;/&gt;&lt;wsp:rsid wsp:val=&quot;006278BC&quot;/&gt;&lt;wsp:rsid wsp:val=&quot;00627A09&quot;/&gt;&lt;wsp:rsid wsp:val=&quot;00627DE4&quot;/&gt;&lt;wsp:rsid wsp:val=&quot;006300A5&quot;/&gt;&lt;wsp:rsid wsp:val=&quot;0063069B&quot;/&gt;&lt;wsp:rsid wsp:val=&quot;00630CE0&quot;/&gt;&lt;wsp:rsid wsp:val=&quot;00631241&quot;/&gt;&lt;wsp:rsid wsp:val=&quot;00631489&quot;/&gt;&lt;wsp:rsid wsp:val=&quot;00631D68&quot;/&gt;&lt;wsp:rsid wsp:val=&quot;0063235E&quot;/&gt;&lt;wsp:rsid wsp:val=&quot;00632421&quot;/&gt;&lt;wsp:rsid wsp:val=&quot;00632AE3&quot;/&gt;&lt;wsp:rsid wsp:val=&quot;00632D4E&quot;/&gt;&lt;wsp:rsid wsp:val=&quot;0063345C&quot;/&gt;&lt;wsp:rsid wsp:val=&quot;00633EC5&quot;/&gt;&lt;wsp:rsid wsp:val=&quot;00634545&quot;/&gt;&lt;wsp:rsid wsp:val=&quot;00635069&quot;/&gt;&lt;wsp:rsid wsp:val=&quot;006350B5&quot;/&gt;&lt;wsp:rsid wsp:val=&quot;0063528A&quot;/&gt;&lt;wsp:rsid wsp:val=&quot;0063595F&quot;/&gt;&lt;wsp:rsid wsp:val=&quot;0063596B&quot;/&gt;&lt;wsp:rsid wsp:val=&quot;00635AB7&quot;/&gt;&lt;wsp:rsid wsp:val=&quot;00635EFC&quot;/&gt;&lt;wsp:rsid wsp:val=&quot;00635F4D&quot;/&gt;&lt;wsp:rsid wsp:val=&quot;006360FC&quot;/&gt;&lt;wsp:rsid wsp:val=&quot;006363B0&quot;/&gt;&lt;wsp:rsid wsp:val=&quot;0063654F&quot;/&gt;&lt;wsp:rsid wsp:val=&quot;006369F7&quot;/&gt;&lt;wsp:rsid wsp:val=&quot;00636BE0&quot;/&gt;&lt;wsp:rsid wsp:val=&quot;0063749D&quot;/&gt;&lt;wsp:rsid wsp:val=&quot;0063771D&quot;/&gt;&lt;wsp:rsid wsp:val=&quot;0063795F&quot;/&gt;&lt;wsp:rsid wsp:val=&quot;00637F48&quot;/&gt;&lt;wsp:rsid wsp:val=&quot;00640631&quot;/&gt;&lt;wsp:rsid wsp:val=&quot;00640A8C&quot;/&gt;&lt;wsp:rsid wsp:val=&quot;00640D8C&quot;/&gt;&lt;wsp:rsid wsp:val=&quot;00641490&quot;/&gt;&lt;wsp:rsid wsp:val=&quot;0064184F&quot;/&gt;&lt;wsp:rsid wsp:val=&quot;00641B62&quot;/&gt;&lt;wsp:rsid wsp:val=&quot;00641E49&quot;/&gt;&lt;wsp:rsid wsp:val=&quot;006420AF&quot;/&gt;&lt;wsp:rsid wsp:val=&quot;00642223&quot;/&gt;&lt;wsp:rsid wsp:val=&quot;0064262B&quot;/&gt;&lt;wsp:rsid wsp:val=&quot;00642A27&quot;/&gt;&lt;wsp:rsid wsp:val=&quot;00642B8A&quot;/&gt;&lt;wsp:rsid wsp:val=&quot;00642ECC&quot;/&gt;&lt;wsp:rsid wsp:val=&quot;006431C3&quot;/&gt;&lt;wsp:rsid wsp:val=&quot;006431DB&quot;/&gt;&lt;wsp:rsid wsp:val=&quot;00643392&quot;/&gt;&lt;wsp:rsid wsp:val=&quot;00643447&quot;/&gt;&lt;wsp:rsid wsp:val=&quot;00643462&quot;/&gt;&lt;wsp:rsid wsp:val=&quot;006437F1&quot;/&gt;&lt;wsp:rsid wsp:val=&quot;00643E5F&quot;/&gt;&lt;wsp:rsid wsp:val=&quot;00643F90&quot;/&gt;&lt;wsp:rsid wsp:val=&quot;0064437A&quot;/&gt;&lt;wsp:rsid wsp:val=&quot;00644513&quot;/&gt;&lt;wsp:rsid wsp:val=&quot;00644784&quot;/&gt;&lt;wsp:rsid wsp:val=&quot;00644BFD&quot;/&gt;&lt;wsp:rsid wsp:val=&quot;00645728&quot;/&gt;&lt;wsp:rsid wsp:val=&quot;00645C8E&quot;/&gt;&lt;wsp:rsid wsp:val=&quot;00645FC2&quot;/&gt;&lt;wsp:rsid wsp:val=&quot;00646136&quot;/&gt;&lt;wsp:rsid wsp:val=&quot;0064614D&quot;/&gt;&lt;wsp:rsid wsp:val=&quot;00646159&quot;/&gt;&lt;wsp:rsid wsp:val=&quot;00646ADF&quot;/&gt;&lt;wsp:rsid wsp:val=&quot;00646E98&quot;/&gt;&lt;wsp:rsid wsp:val=&quot;006470E8&quot;/&gt;&lt;wsp:rsid wsp:val=&quot;006471AA&quot;/&gt;&lt;wsp:rsid wsp:val=&quot;0064762B&quot;/&gt;&lt;wsp:rsid wsp:val=&quot;006479FB&quot;/&gt;&lt;wsp:rsid wsp:val=&quot;00647F4E&quot;/&gt;&lt;wsp:rsid wsp:val=&quot;00650673&quot;/&gt;&lt;wsp:rsid wsp:val=&quot;006507BF&quot;/&gt;&lt;wsp:rsid wsp:val=&quot;006509FC&quot;/&gt;&lt;wsp:rsid wsp:val=&quot;00650D4F&quot;/&gt;&lt;wsp:rsid wsp:val=&quot;00650E1F&quot;/&gt;&lt;wsp:rsid wsp:val=&quot;00650F51&quot;/&gt;&lt;wsp:rsid wsp:val=&quot;006510CD&quot;/&gt;&lt;wsp:rsid wsp:val=&quot;00651160&quot;/&gt;&lt;wsp:rsid wsp:val=&quot;0065129C&quot;/&gt;&lt;wsp:rsid wsp:val=&quot;0065174F&quot;/&gt;&lt;wsp:rsid wsp:val=&quot;00651803&quot;/&gt;&lt;wsp:rsid wsp:val=&quot;00651979&quot;/&gt;&lt;wsp:rsid wsp:val=&quot;00651A8A&quot;/&gt;&lt;wsp:rsid wsp:val=&quot;00652017&quot;/&gt;&lt;wsp:rsid wsp:val=&quot;0065251B&quot;/&gt;&lt;wsp:rsid wsp:val=&quot;00652ADE&quot;/&gt;&lt;wsp:rsid wsp:val=&quot;0065368B&quot;/&gt;&lt;wsp:rsid wsp:val=&quot;006537C8&quot;/&gt;&lt;wsp:rsid wsp:val=&quot;00653AEB&quot;/&gt;&lt;wsp:rsid wsp:val=&quot;00654161&quot;/&gt;&lt;wsp:rsid wsp:val=&quot;006543DB&quot;/&gt;&lt;wsp:rsid wsp:val=&quot;00654CE5&quot;/&gt;&lt;wsp:rsid wsp:val=&quot;00654D86&quot;/&gt;&lt;wsp:rsid wsp:val=&quot;006551F9&quot;/&gt;&lt;wsp:rsid wsp:val=&quot;0065540E&quot;/&gt;&lt;wsp:rsid wsp:val=&quot;006559B0&quot;/&gt;&lt;wsp:rsid wsp:val=&quot;006561C5&quot;/&gt;&lt;wsp:rsid wsp:val=&quot;0065623A&quot;/&gt;&lt;wsp:rsid wsp:val=&quot;00656A16&quot;/&gt;&lt;wsp:rsid wsp:val=&quot;00656C07&quot;/&gt;&lt;wsp:rsid wsp:val=&quot;00657224&quot;/&gt;&lt;wsp:rsid wsp:val=&quot;00657298&quot;/&gt;&lt;wsp:rsid wsp:val=&quot;00657E13&quot;/&gt;&lt;wsp:rsid wsp:val=&quot;00660129&quot;/&gt;&lt;wsp:rsid wsp:val=&quot;006602A5&quot;/&gt;&lt;wsp:rsid wsp:val=&quot;00660EA0&quot;/&gt;&lt;wsp:rsid wsp:val=&quot;00660EB5&quot;/&gt;&lt;wsp:rsid wsp:val=&quot;00660F1A&quot;/&gt;&lt;wsp:rsid wsp:val=&quot;00661281&quot;/&gt;&lt;wsp:rsid wsp:val=&quot;006614BB&quot;/&gt;&lt;wsp:rsid wsp:val=&quot;00661BAE&quot;/&gt;&lt;wsp:rsid wsp:val=&quot;00661D4C&quot;/&gt;&lt;wsp:rsid wsp:val=&quot;00661F6A&quot;/&gt;&lt;wsp:rsid wsp:val=&quot;00662647&quot;/&gt;&lt;wsp:rsid wsp:val=&quot;006627B8&quot;/&gt;&lt;wsp:rsid wsp:val=&quot;00662857&quot;/&gt;&lt;wsp:rsid wsp:val=&quot;00662971&quot;/&gt;&lt;wsp:rsid wsp:val=&quot;00662B06&quot;/&gt;&lt;wsp:rsid wsp:val=&quot;00662FAB&quot;/&gt;&lt;wsp:rsid wsp:val=&quot;006632F3&quot;/&gt;&lt;wsp:rsid wsp:val=&quot;006638BE&quot;/&gt;&lt;wsp:rsid wsp:val=&quot;00663B1D&quot;/&gt;&lt;wsp:rsid wsp:val=&quot;00663C31&quot;/&gt;&lt;wsp:rsid wsp:val=&quot;00663C78&quot;/&gt;&lt;wsp:rsid wsp:val=&quot;00663F87&quot;/&gt;&lt;wsp:rsid wsp:val=&quot;00663FF8&quot;/&gt;&lt;wsp:rsid wsp:val=&quot;00664239&quot;/&gt;&lt;wsp:rsid wsp:val=&quot;006642D3&quot;/&gt;&lt;wsp:rsid wsp:val=&quot;006648F8&quot;/&gt;&lt;wsp:rsid wsp:val=&quot;00664930&quot;/&gt;&lt;wsp:rsid wsp:val=&quot;00664A22&quot;/&gt;&lt;wsp:rsid wsp:val=&quot;00664AF8&quot;/&gt;&lt;wsp:rsid wsp:val=&quot;00665012&quot;/&gt;&lt;wsp:rsid wsp:val=&quot;006651FC&quot;/&gt;&lt;wsp:rsid wsp:val=&quot;00665343&quot;/&gt;&lt;wsp:rsid wsp:val=&quot;006655AD&quot;/&gt;&lt;wsp:rsid wsp:val=&quot;006659B7&quot;/&gt;&lt;wsp:rsid wsp:val=&quot;00665B99&quot;/&gt;&lt;wsp:rsid wsp:val=&quot;00666106&quot;/&gt;&lt;wsp:rsid wsp:val=&quot;006662AF&quot;/&gt;&lt;wsp:rsid wsp:val=&quot;0066679D&quot;/&gt;&lt;wsp:rsid wsp:val=&quot;00666B4F&quot;/&gt;&lt;wsp:rsid wsp:val=&quot;00666FA8&quot;/&gt;&lt;wsp:rsid wsp:val=&quot;00667403&quot;/&gt;&lt;wsp:rsid wsp:val=&quot;0066746B&quot;/&gt;&lt;wsp:rsid wsp:val=&quot;006676C5&quot;/&gt;&lt;wsp:rsid wsp:val=&quot;00667AA9&quot;/&gt;&lt;wsp:rsid wsp:val=&quot;00670520&quot;/&gt;&lt;wsp:rsid wsp:val=&quot;006706ED&quot;/&gt;&lt;wsp:rsid wsp:val=&quot;00670865&quot;/&gt;&lt;wsp:rsid wsp:val=&quot;006709EE&quot;/&gt;&lt;wsp:rsid wsp:val=&quot;00670FD3&quot;/&gt;&lt;wsp:rsid wsp:val=&quot;006711C3&quot;/&gt;&lt;wsp:rsid wsp:val=&quot;006714A8&quot;/&gt;&lt;wsp:rsid wsp:val=&quot;006715FA&quot;/&gt;&lt;wsp:rsid wsp:val=&quot;006717A7&quot;/&gt;&lt;wsp:rsid wsp:val=&quot;00671BEC&quot;/&gt;&lt;wsp:rsid wsp:val=&quot;00671C9B&quot;/&gt;&lt;wsp:rsid wsp:val=&quot;00671D4A&quot;/&gt;&lt;wsp:rsid wsp:val=&quot;00672310&quot;/&gt;&lt;wsp:rsid wsp:val=&quot;006723C1&quot;/&gt;&lt;wsp:rsid wsp:val=&quot;006726C5&quot;/&gt;&lt;wsp:rsid wsp:val=&quot;006728DA&quot;/&gt;&lt;wsp:rsid wsp:val=&quot;00672995&quot;/&gt;&lt;wsp:rsid wsp:val=&quot;00672ADD&quot;/&gt;&lt;wsp:rsid wsp:val=&quot;00672BA9&quot;/&gt;&lt;wsp:rsid wsp:val=&quot;00672CCB&quot;/&gt;&lt;wsp:rsid wsp:val=&quot;00672CF8&quot;/&gt;&lt;wsp:rsid wsp:val=&quot;00673040&quot;/&gt;&lt;wsp:rsid wsp:val=&quot;00673567&quot;/&gt;&lt;wsp:rsid wsp:val=&quot;00673DF6&quot;/&gt;&lt;wsp:rsid wsp:val=&quot;00673E3B&quot;/&gt;&lt;wsp:rsid wsp:val=&quot;00673EFD&quot;/&gt;&lt;wsp:rsid wsp:val=&quot;006741C6&quot;/&gt;&lt;wsp:rsid wsp:val=&quot;006742EE&quot;/&gt;&lt;wsp:rsid wsp:val=&quot;006746B9&quot;/&gt;&lt;wsp:rsid wsp:val=&quot;006746BC&quot;/&gt;&lt;wsp:rsid wsp:val=&quot;0067497C&quot;/&gt;&lt;wsp:rsid wsp:val=&quot;006749ED&quot;/&gt;&lt;wsp:rsid wsp:val=&quot;0067515D&quot;/&gt;&lt;wsp:rsid wsp:val=&quot;0067517C&quot;/&gt;&lt;wsp:rsid wsp:val=&quot;0067575D&quot;/&gt;&lt;wsp:rsid wsp:val=&quot;00675FE0&quot;/&gt;&lt;wsp:rsid wsp:val=&quot;00676050&quot;/&gt;&lt;wsp:rsid wsp:val=&quot;006763A3&quot;/&gt;&lt;wsp:rsid wsp:val=&quot;00676663&quot;/&gt;&lt;wsp:rsid wsp:val=&quot;006766B7&quot;/&gt;&lt;wsp:rsid wsp:val=&quot;006768A4&quot;/&gt;&lt;wsp:rsid wsp:val=&quot;00676C34&quot;/&gt;&lt;wsp:rsid wsp:val=&quot;00676E60&quot;/&gt;&lt;wsp:rsid wsp:val=&quot;00677122&quot;/&gt;&lt;wsp:rsid wsp:val=&quot;0067743C&quot;/&gt;&lt;wsp:rsid wsp:val=&quot;006779D8&quot;/&gt;&lt;wsp:rsid wsp:val=&quot;00677A34&quot;/&gt;&lt;wsp:rsid wsp:val=&quot;00677B37&quot;/&gt;&lt;wsp:rsid wsp:val=&quot;00677DEB&quot;/&gt;&lt;wsp:rsid wsp:val=&quot;00680488&quot;/&gt;&lt;wsp:rsid wsp:val=&quot;00680574&quot;/&gt;&lt;wsp:rsid wsp:val=&quot;006805C0&quot;/&gt;&lt;wsp:rsid wsp:val=&quot;00680663&quot;/&gt;&lt;wsp:rsid wsp:val=&quot;00680F3C&quot;/&gt;&lt;wsp:rsid wsp:val=&quot;0068127D&quot;/&gt;&lt;wsp:rsid wsp:val=&quot;00681DBF&quot;/&gt;&lt;wsp:rsid wsp:val=&quot;00682184&quot;/&gt;&lt;wsp:rsid wsp:val=&quot;006829F2&quot;/&gt;&lt;wsp:rsid wsp:val=&quot;0068310B&quot;/&gt;&lt;wsp:rsid wsp:val=&quot;00683281&quot;/&gt;&lt;wsp:rsid wsp:val=&quot;0068357D&quot;/&gt;&lt;wsp:rsid wsp:val=&quot;006835C7&quot;/&gt;&lt;wsp:rsid wsp:val=&quot;00683A27&quot;/&gt;&lt;wsp:rsid wsp:val=&quot;00683AB8&quot;/&gt;&lt;wsp:rsid wsp:val=&quot;00684040&quot;/&gt;&lt;wsp:rsid wsp:val=&quot;0068404B&quot;/&gt;&lt;wsp:rsid wsp:val=&quot;0068405C&quot;/&gt;&lt;wsp:rsid wsp:val=&quot;006841EF&quot;/&gt;&lt;wsp:rsid wsp:val=&quot;006843AB&quot;/&gt;&lt;wsp:rsid wsp:val=&quot;0068457A&quot;/&gt;&lt;wsp:rsid wsp:val=&quot;0068460D&quot;/&gt;&lt;wsp:rsid wsp:val=&quot;0068515F&quot;/&gt;&lt;wsp:rsid wsp:val=&quot;00685188&quot;/&gt;&lt;wsp:rsid wsp:val=&quot;006858CE&quot;/&gt;&lt;wsp:rsid wsp:val=&quot;006859F6&quot;/&gt;&lt;wsp:rsid wsp:val=&quot;00685E06&quot;/&gt;&lt;wsp:rsid wsp:val=&quot;00686281&quot;/&gt;&lt;wsp:rsid wsp:val=&quot;006862C0&quot;/&gt;&lt;wsp:rsid wsp:val=&quot;006862CD&quot;/&gt;&lt;wsp:rsid wsp:val=&quot;00686434&quot;/&gt;&lt;wsp:rsid wsp:val=&quot;00686967&quot;/&gt;&lt;wsp:rsid wsp:val=&quot;00686DF4&quot;/&gt;&lt;wsp:rsid wsp:val=&quot;00686EE2&quot;/&gt;&lt;wsp:rsid wsp:val=&quot;006872CF&quot;/&gt;&lt;wsp:rsid wsp:val=&quot;00687A8A&quot;/&gt;&lt;wsp:rsid wsp:val=&quot;00687BB3&quot;/&gt;&lt;wsp:rsid wsp:val=&quot;00687DDA&quot;/&gt;&lt;wsp:rsid wsp:val=&quot;00687F39&quot;/&gt;&lt;wsp:rsid wsp:val=&quot;006903A9&quot;/&gt;&lt;wsp:rsid wsp:val=&quot;00690466&quot;/&gt;&lt;wsp:rsid wsp:val=&quot;00690684&quot;/&gt;&lt;wsp:rsid wsp:val=&quot;00690D12&quot;/&gt;&lt;wsp:rsid wsp:val=&quot;00691069&quot;/&gt;&lt;wsp:rsid wsp:val=&quot;00691498&quot;/&gt;&lt;wsp:rsid wsp:val=&quot;0069193D&quot;/&gt;&lt;wsp:rsid wsp:val=&quot;00691A80&quot;/&gt;&lt;wsp:rsid wsp:val=&quot;00692016&quot;/&gt;&lt;wsp:rsid wsp:val=&quot;006922A3&quot;/&gt;&lt;wsp:rsid wsp:val=&quot;00692E59&quot;/&gt;&lt;wsp:rsid wsp:val=&quot;0069309E&quot;/&gt;&lt;wsp:rsid wsp:val=&quot;006930A2&quot;/&gt;&lt;wsp:rsid wsp:val=&quot;0069351F&quot;/&gt;&lt;wsp:rsid wsp:val=&quot;00693AD5&quot;/&gt;&lt;wsp:rsid wsp:val=&quot;00693C5D&quot;/&gt;&lt;wsp:rsid wsp:val=&quot;00694C29&quot;/&gt;&lt;wsp:rsid wsp:val=&quot;00695015&quot;/&gt;&lt;wsp:rsid wsp:val=&quot;00695334&quot;/&gt;&lt;wsp:rsid wsp:val=&quot;00695491&quot;/&gt;&lt;wsp:rsid wsp:val=&quot;006955E6&quot;/&gt;&lt;wsp:rsid wsp:val=&quot;00695B0C&quot;/&gt;&lt;wsp:rsid wsp:val=&quot;00695F3C&quot;/&gt;&lt;wsp:rsid wsp:val=&quot;0069625B&quot;/&gt;&lt;wsp:rsid wsp:val=&quot;00696525&quot;/&gt;&lt;wsp:rsid wsp:val=&quot;00696657&quot;/&gt;&lt;wsp:rsid wsp:val=&quot;006966BB&quot;/&gt;&lt;wsp:rsid wsp:val=&quot;00696F99&quot;/&gt;&lt;wsp:rsid wsp:val=&quot;00697280&quot;/&gt;&lt;wsp:rsid wsp:val=&quot;00697553&quot;/&gt;&lt;wsp:rsid wsp:val=&quot;00697731&quot;/&gt;&lt;wsp:rsid wsp:val=&quot;00697D69&quot;/&gt;&lt;wsp:rsid wsp:val=&quot;006A07B0&quot;/&gt;&lt;wsp:rsid wsp:val=&quot;006A0B33&quot;/&gt;&lt;wsp:rsid wsp:val=&quot;006A0D22&quot;/&gt;&lt;wsp:rsid wsp:val=&quot;006A0EE8&quot;/&gt;&lt;wsp:rsid wsp:val=&quot;006A10FD&quot;/&gt;&lt;wsp:rsid wsp:val=&quot;006A154A&quot;/&gt;&lt;wsp:rsid wsp:val=&quot;006A183A&quot;/&gt;&lt;wsp:rsid wsp:val=&quot;006A1BD3&quot;/&gt;&lt;wsp:rsid wsp:val=&quot;006A1F30&quot;/&gt;&lt;wsp:rsid wsp:val=&quot;006A1FCF&quot;/&gt;&lt;wsp:rsid wsp:val=&quot;006A24BD&quot;/&gt;&lt;wsp:rsid wsp:val=&quot;006A2538&quot;/&gt;&lt;wsp:rsid wsp:val=&quot;006A275F&quot;/&gt;&lt;wsp:rsid wsp:val=&quot;006A27D9&quot;/&gt;&lt;wsp:rsid wsp:val=&quot;006A2A5E&quot;/&gt;&lt;wsp:rsid wsp:val=&quot;006A2E58&quot;/&gt;&lt;wsp:rsid wsp:val=&quot;006A2E8D&quot;/&gt;&lt;wsp:rsid wsp:val=&quot;006A3080&quot;/&gt;&lt;wsp:rsid wsp:val=&quot;006A30B7&quot;/&gt;&lt;wsp:rsid wsp:val=&quot;006A3443&quot;/&gt;&lt;wsp:rsid wsp:val=&quot;006A350D&quot;/&gt;&lt;wsp:rsid wsp:val=&quot;006A376F&quot;/&gt;&lt;wsp:rsid wsp:val=&quot;006A3796&quot;/&gt;&lt;wsp:rsid wsp:val=&quot;006A37EF&quot;/&gt;&lt;wsp:rsid wsp:val=&quot;006A3D61&quot;/&gt;&lt;wsp:rsid wsp:val=&quot;006A3D77&quot;/&gt;&lt;wsp:rsid wsp:val=&quot;006A4B64&quot;/&gt;&lt;wsp:rsid wsp:val=&quot;006A4D14&quot;/&gt;&lt;wsp:rsid wsp:val=&quot;006A4E62&quot;/&gt;&lt;wsp:rsid wsp:val=&quot;006A4EB8&quot;/&gt;&lt;wsp:rsid wsp:val=&quot;006A4F4B&quot;/&gt;&lt;wsp:rsid wsp:val=&quot;006A5004&quot;/&gt;&lt;wsp:rsid wsp:val=&quot;006A53B7&quot;/&gt;&lt;wsp:rsid wsp:val=&quot;006A53F0&quot;/&gt;&lt;wsp:rsid wsp:val=&quot;006A5469&quot;/&gt;&lt;wsp:rsid wsp:val=&quot;006A58AA&quot;/&gt;&lt;wsp:rsid wsp:val=&quot;006A6045&quot;/&gt;&lt;wsp:rsid wsp:val=&quot;006A60ED&quot;/&gt;&lt;wsp:rsid wsp:val=&quot;006A68A8&quot;/&gt;&lt;wsp:rsid wsp:val=&quot;006A6A47&quot;/&gt;&lt;wsp:rsid wsp:val=&quot;006A6E30&quot;/&gt;&lt;wsp:rsid wsp:val=&quot;006A6FDC&quot;/&gt;&lt;wsp:rsid wsp:val=&quot;006A706A&quot;/&gt;&lt;wsp:rsid wsp:val=&quot;006A70D8&quot;/&gt;&lt;wsp:rsid wsp:val=&quot;006A76ED&quot;/&gt;&lt;wsp:rsid wsp:val=&quot;006A77CF&quot;/&gt;&lt;wsp:rsid wsp:val=&quot;006A7DEC&quot;/&gt;&lt;wsp:rsid wsp:val=&quot;006B02DE&quot;/&gt;&lt;wsp:rsid wsp:val=&quot;006B034F&quot;/&gt;&lt;wsp:rsid wsp:val=&quot;006B038A&quot;/&gt;&lt;wsp:rsid wsp:val=&quot;006B0F8C&quot;/&gt;&lt;wsp:rsid wsp:val=&quot;006B0FC1&quot;/&gt;&lt;wsp:rsid wsp:val=&quot;006B10BC&quot;/&gt;&lt;wsp:rsid wsp:val=&quot;006B13A5&quot;/&gt;&lt;wsp:rsid wsp:val=&quot;006B18F3&quot;/&gt;&lt;wsp:rsid wsp:val=&quot;006B1927&quot;/&gt;&lt;wsp:rsid wsp:val=&quot;006B1FBD&quot;/&gt;&lt;wsp:rsid wsp:val=&quot;006B259B&quot;/&gt;&lt;wsp:rsid wsp:val=&quot;006B2A8B&quot;/&gt;&lt;wsp:rsid wsp:val=&quot;006B2F9E&quot;/&gt;&lt;wsp:rsid wsp:val=&quot;006B322F&quot;/&gt;&lt;wsp:rsid wsp:val=&quot;006B33D4&quot;/&gt;&lt;wsp:rsid wsp:val=&quot;006B373C&quot;/&gt;&lt;wsp:rsid wsp:val=&quot;006B376E&quot;/&gt;&lt;wsp:rsid wsp:val=&quot;006B3792&quot;/&gt;&lt;wsp:rsid wsp:val=&quot;006B40BB&quot;/&gt;&lt;wsp:rsid wsp:val=&quot;006B40EE&quot;/&gt;&lt;wsp:rsid wsp:val=&quot;006B44A3&quot;/&gt;&lt;wsp:rsid wsp:val=&quot;006B474C&quot;/&gt;&lt;wsp:rsid wsp:val=&quot;006B49F4&quot;/&gt;&lt;wsp:rsid wsp:val=&quot;006B4AB7&quot;/&gt;&lt;wsp:rsid wsp:val=&quot;006B5043&quot;/&gt;&lt;wsp:rsid wsp:val=&quot;006B51AE&quot;/&gt;&lt;wsp:rsid wsp:val=&quot;006B530D&quot;/&gt;&lt;wsp:rsid wsp:val=&quot;006B53EE&quot;/&gt;&lt;wsp:rsid wsp:val=&quot;006B54D5&quot;/&gt;&lt;wsp:rsid wsp:val=&quot;006B595C&quot;/&gt;&lt;wsp:rsid wsp:val=&quot;006B5B02&quot;/&gt;&lt;wsp:rsid wsp:val=&quot;006B5B3E&quot;/&gt;&lt;wsp:rsid wsp:val=&quot;006B6138&quot;/&gt;&lt;wsp:rsid wsp:val=&quot;006B660F&quot;/&gt;&lt;wsp:rsid wsp:val=&quot;006B67A5&quot;/&gt;&lt;wsp:rsid wsp:val=&quot;006B69B9&quot;/&gt;&lt;wsp:rsid wsp:val=&quot;006B6A63&quot;/&gt;&lt;wsp:rsid wsp:val=&quot;006B6C85&quot;/&gt;&lt;wsp:rsid wsp:val=&quot;006B6ECE&quot;/&gt;&lt;wsp:rsid wsp:val=&quot;006B6F30&quot;/&gt;&lt;wsp:rsid wsp:val=&quot;006B76FD&quot;/&gt;&lt;wsp:rsid wsp:val=&quot;006B7AD4&quot;/&gt;&lt;wsp:rsid wsp:val=&quot;006C00BF&quot;/&gt;&lt;wsp:rsid wsp:val=&quot;006C0191&quot;/&gt;&lt;wsp:rsid wsp:val=&quot;006C01B1&quot;/&gt;&lt;wsp:rsid wsp:val=&quot;006C05C4&quot;/&gt;&lt;wsp:rsid wsp:val=&quot;006C062C&quot;/&gt;&lt;wsp:rsid wsp:val=&quot;006C0771&quot;/&gt;&lt;wsp:rsid wsp:val=&quot;006C1095&quot;/&gt;&lt;wsp:rsid wsp:val=&quot;006C12C6&quot;/&gt;&lt;wsp:rsid wsp:val=&quot;006C1522&quot;/&gt;&lt;wsp:rsid wsp:val=&quot;006C1ECD&quot;/&gt;&lt;wsp:rsid wsp:val=&quot;006C20A0&quot;/&gt;&lt;wsp:rsid wsp:val=&quot;006C2549&quot;/&gt;&lt;wsp:rsid wsp:val=&quot;006C254F&quot;/&gt;&lt;wsp:rsid wsp:val=&quot;006C2893&quot;/&gt;&lt;wsp:rsid wsp:val=&quot;006C2AA7&quot;/&gt;&lt;wsp:rsid wsp:val=&quot;006C2BEC&quot;/&gt;&lt;wsp:rsid wsp:val=&quot;006C33CE&quot;/&gt;&lt;wsp:rsid wsp:val=&quot;006C357C&quot;/&gt;&lt;wsp:rsid wsp:val=&quot;006C361E&quot;/&gt;&lt;wsp:rsid wsp:val=&quot;006C3ED3&quot;/&gt;&lt;wsp:rsid wsp:val=&quot;006C5141&quot;/&gt;&lt;wsp:rsid wsp:val=&quot;006C5191&quot;/&gt;&lt;wsp:rsid wsp:val=&quot;006C5F7C&quot;/&gt;&lt;wsp:rsid wsp:val=&quot;006C6093&quot;/&gt;&lt;wsp:rsid wsp:val=&quot;006C669D&quot;/&gt;&lt;wsp:rsid wsp:val=&quot;006C6EC7&quot;/&gt;&lt;wsp:rsid wsp:val=&quot;006C77A2&quot;/&gt;&lt;wsp:rsid wsp:val=&quot;006C7ABE&quot;/&gt;&lt;wsp:rsid wsp:val=&quot;006C7C3B&quot;/&gt;&lt;wsp:rsid wsp:val=&quot;006D0013&quot;/&gt;&lt;wsp:rsid wsp:val=&quot;006D081C&quot;/&gt;&lt;wsp:rsid wsp:val=&quot;006D15EF&quot;/&gt;&lt;wsp:rsid wsp:val=&quot;006D1757&quot;/&gt;&lt;wsp:rsid wsp:val=&quot;006D1C73&quot;/&gt;&lt;wsp:rsid wsp:val=&quot;006D1E4A&quot;/&gt;&lt;wsp:rsid wsp:val=&quot;006D209C&quot;/&gt;&lt;wsp:rsid wsp:val=&quot;006D226C&quot;/&gt;&lt;wsp:rsid wsp:val=&quot;006D26AD&quot;/&gt;&lt;wsp:rsid wsp:val=&quot;006D2947&quot;/&gt;&lt;wsp:rsid wsp:val=&quot;006D2A72&quot;/&gt;&lt;wsp:rsid wsp:val=&quot;006D2A7F&quot;/&gt;&lt;wsp:rsid wsp:val=&quot;006D2B78&quot;/&gt;&lt;wsp:rsid wsp:val=&quot;006D2E52&quot;/&gt;&lt;wsp:rsid wsp:val=&quot;006D36E8&quot;/&gt;&lt;wsp:rsid wsp:val=&quot;006D3E7D&quot;/&gt;&lt;wsp:rsid wsp:val=&quot;006D3F95&quot;/&gt;&lt;wsp:rsid wsp:val=&quot;006D410B&quot;/&gt;&lt;wsp:rsid wsp:val=&quot;006D43AB&quot;/&gt;&lt;wsp:rsid wsp:val=&quot;006D4695&quot;/&gt;&lt;wsp:rsid wsp:val=&quot;006D4746&quot;/&gt;&lt;wsp:rsid wsp:val=&quot;006D54A3&quot;/&gt;&lt;wsp:rsid wsp:val=&quot;006D54E8&quot;/&gt;&lt;wsp:rsid wsp:val=&quot;006D636C&quot;/&gt;&lt;wsp:rsid wsp:val=&quot;006D63D7&quot;/&gt;&lt;wsp:rsid wsp:val=&quot;006D685E&quot;/&gt;&lt;wsp:rsid wsp:val=&quot;006D68DB&quot;/&gt;&lt;wsp:rsid wsp:val=&quot;006D6A1E&quot;/&gt;&lt;wsp:rsid wsp:val=&quot;006D6C69&quot;/&gt;&lt;wsp:rsid wsp:val=&quot;006D6D66&quot;/&gt;&lt;wsp:rsid wsp:val=&quot;006D6EB7&quot;/&gt;&lt;wsp:rsid wsp:val=&quot;006D7689&quot;/&gt;&lt;wsp:rsid wsp:val=&quot;006E0634&quot;/&gt;&lt;wsp:rsid wsp:val=&quot;006E086C&quot;/&gt;&lt;wsp:rsid wsp:val=&quot;006E180D&quot;/&gt;&lt;wsp:rsid wsp:val=&quot;006E18EA&quot;/&gt;&lt;wsp:rsid wsp:val=&quot;006E1DFB&quot;/&gt;&lt;wsp:rsid wsp:val=&quot;006E1E8E&quot;/&gt;&lt;wsp:rsid wsp:val=&quot;006E26A7&quot;/&gt;&lt;wsp:rsid wsp:val=&quot;006E2832&quot;/&gt;&lt;wsp:rsid wsp:val=&quot;006E2EA0&quot;/&gt;&lt;wsp:rsid wsp:val=&quot;006E311D&quot;/&gt;&lt;wsp:rsid wsp:val=&quot;006E320C&quot;/&gt;&lt;wsp:rsid wsp:val=&quot;006E3245&quot;/&gt;&lt;wsp:rsid wsp:val=&quot;006E33A2&quot;/&gt;&lt;wsp:rsid wsp:val=&quot;006E35DA&quot;/&gt;&lt;wsp:rsid wsp:val=&quot;006E371D&quot;/&gt;&lt;wsp:rsid wsp:val=&quot;006E39D3&quot;/&gt;&lt;wsp:rsid wsp:val=&quot;006E3A49&quot;/&gt;&lt;wsp:rsid wsp:val=&quot;006E3C78&quot;/&gt;&lt;wsp:rsid wsp:val=&quot;006E41FB&quot;/&gt;&lt;wsp:rsid wsp:val=&quot;006E4295&quot;/&gt;&lt;wsp:rsid wsp:val=&quot;006E439A&quot;/&gt;&lt;wsp:rsid wsp:val=&quot;006E4844&quot;/&gt;&lt;wsp:rsid wsp:val=&quot;006E4B63&quot;/&gt;&lt;wsp:rsid wsp:val=&quot;006E4CD3&quot;/&gt;&lt;wsp:rsid wsp:val=&quot;006E4F57&quot;/&gt;&lt;wsp:rsid wsp:val=&quot;006E521E&quot;/&gt;&lt;wsp:rsid wsp:val=&quot;006E54C7&quot;/&gt;&lt;wsp:rsid wsp:val=&quot;006E58C0&quot;/&gt;&lt;wsp:rsid wsp:val=&quot;006E5A2F&quot;/&gt;&lt;wsp:rsid wsp:val=&quot;006E5A89&quot;/&gt;&lt;wsp:rsid wsp:val=&quot;006E5C7C&quot;/&gt;&lt;wsp:rsid wsp:val=&quot;006E5D25&quot;/&gt;&lt;wsp:rsid wsp:val=&quot;006E5D9B&quot;/&gt;&lt;wsp:rsid wsp:val=&quot;006E6D4F&quot;/&gt;&lt;wsp:rsid wsp:val=&quot;006E6D51&quot;/&gt;&lt;wsp:rsid wsp:val=&quot;006E6E20&quot;/&gt;&lt;wsp:rsid wsp:val=&quot;006E6E2A&quot;/&gt;&lt;wsp:rsid wsp:val=&quot;006E7567&quot;/&gt;&lt;wsp:rsid wsp:val=&quot;006F00AE&quot;/&gt;&lt;wsp:rsid wsp:val=&quot;006F07E7&quot;/&gt;&lt;wsp:rsid wsp:val=&quot;006F07E8&quot;/&gt;&lt;wsp:rsid wsp:val=&quot;006F0B29&quot;/&gt;&lt;wsp:rsid wsp:val=&quot;006F0BB2&quot;/&gt;&lt;wsp:rsid wsp:val=&quot;006F1257&quot;/&gt;&lt;wsp:rsid wsp:val=&quot;006F130F&quot;/&gt;&lt;wsp:rsid wsp:val=&quot;006F1669&quot;/&gt;&lt;wsp:rsid wsp:val=&quot;006F1828&quot;/&gt;&lt;wsp:rsid wsp:val=&quot;006F18DE&quot;/&gt;&lt;wsp:rsid wsp:val=&quot;006F1C57&quot;/&gt;&lt;wsp:rsid wsp:val=&quot;006F1E5F&quot;/&gt;&lt;wsp:rsid wsp:val=&quot;006F2839&quot;/&gt;&lt;wsp:rsid wsp:val=&quot;006F291C&quot;/&gt;&lt;wsp:rsid wsp:val=&quot;006F2D5F&quot;/&gt;&lt;wsp:rsid wsp:val=&quot;006F3637&quot;/&gt;&lt;wsp:rsid wsp:val=&quot;006F4419&quot;/&gt;&lt;wsp:rsid wsp:val=&quot;006F4495&quot;/&gt;&lt;wsp:rsid wsp:val=&quot;006F4E97&quot;/&gt;&lt;wsp:rsid wsp:val=&quot;006F5710&quot;/&gt;&lt;wsp:rsid wsp:val=&quot;006F5796&quot;/&gt;&lt;wsp:rsid wsp:val=&quot;006F5A23&quot;/&gt;&lt;wsp:rsid wsp:val=&quot;006F5D32&quot;/&gt;&lt;wsp:rsid wsp:val=&quot;006F5E6B&quot;/&gt;&lt;wsp:rsid wsp:val=&quot;006F5F7E&quot;/&gt;&lt;wsp:rsid wsp:val=&quot;006F61A7&quot;/&gt;&lt;wsp:rsid wsp:val=&quot;006F66DD&quot;/&gt;&lt;wsp:rsid wsp:val=&quot;006F6F6C&quot;/&gt;&lt;wsp:rsid wsp:val=&quot;006F74DE&quot;/&gt;&lt;wsp:rsid wsp:val=&quot;006F769C&quot;/&gt;&lt;wsp:rsid wsp:val=&quot;006F7778&quot;/&gt;&lt;wsp:rsid wsp:val=&quot;006F7CA7&quot;/&gt;&lt;wsp:rsid wsp:val=&quot;00700907&quot;/&gt;&lt;wsp:rsid wsp:val=&quot;00700C00&quot;/&gt;&lt;wsp:rsid wsp:val=&quot;00700D1A&quot;/&gt;&lt;wsp:rsid wsp:val=&quot;007013F4&quot;/&gt;&lt;wsp:rsid wsp:val=&quot;00701714&quot;/&gt;&lt;wsp:rsid wsp:val=&quot;007017F4&quot;/&gt;&lt;wsp:rsid wsp:val=&quot;00701BD4&quot;/&gt;&lt;wsp:rsid wsp:val=&quot;00701E52&quot;/&gt;&lt;wsp:rsid wsp:val=&quot;007020AC&quot;/&gt;&lt;wsp:rsid wsp:val=&quot;007027F1&quot;/&gt;&lt;wsp:rsid wsp:val=&quot;00702D57&quot;/&gt;&lt;wsp:rsid wsp:val=&quot;00702EDD&quot;/&gt;&lt;wsp:rsid wsp:val=&quot;00703226&quot;/&gt;&lt;wsp:rsid wsp:val=&quot;00703705&quot;/&gt;&lt;wsp:rsid wsp:val=&quot;0070387D&quot;/&gt;&lt;wsp:rsid wsp:val=&quot;00703A1B&quot;/&gt;&lt;wsp:rsid wsp:val=&quot;0070411E&quot;/&gt;&lt;wsp:rsid wsp:val=&quot;007042E0&quot;/&gt;&lt;wsp:rsid wsp:val=&quot;007044B9&quot;/&gt;&lt;wsp:rsid wsp:val=&quot;00704D54&quot;/&gt;&lt;wsp:rsid wsp:val=&quot;00705021&quot;/&gt;&lt;wsp:rsid wsp:val=&quot;007051F7&quot;/&gt;&lt;wsp:rsid wsp:val=&quot;00705341&quot;/&gt;&lt;wsp:rsid wsp:val=&quot;0070545F&quot;/&gt;&lt;wsp:rsid wsp:val=&quot;00705FC5&quot;/&gt;&lt;wsp:rsid wsp:val=&quot;00705FD4&quot;/&gt;&lt;wsp:rsid wsp:val=&quot;0070670F&quot;/&gt;&lt;wsp:rsid wsp:val=&quot;00707129&quot;/&gt;&lt;wsp:rsid wsp:val=&quot;007075A4&quot;/&gt;&lt;wsp:rsid wsp:val=&quot;00707623&quot;/&gt;&lt;wsp:rsid wsp:val=&quot;00707C79&quot;/&gt;&lt;wsp:rsid wsp:val=&quot;00707E25&quot;/&gt;&lt;wsp:rsid wsp:val=&quot;00707F4F&quot;/&gt;&lt;wsp:rsid wsp:val=&quot;00710A6A&quot;/&gt;&lt;wsp:rsid wsp:val=&quot;00710BE7&quot;/&gt;&lt;wsp:rsid wsp:val=&quot;00711A58&quot;/&gt;&lt;wsp:rsid wsp:val=&quot;00711BB1&quot;/&gt;&lt;wsp:rsid wsp:val=&quot;00712131&quot;/&gt;&lt;wsp:rsid wsp:val=&quot;007125C5&quot;/&gt;&lt;wsp:rsid wsp:val=&quot;007126F3&quot;/&gt;&lt;wsp:rsid wsp:val=&quot;00712CF5&quot;/&gt;&lt;wsp:rsid wsp:val=&quot;007133A4&quot;/&gt;&lt;wsp:rsid wsp:val=&quot;00713762&quot;/&gt;&lt;wsp:rsid wsp:val=&quot;00713A6C&quot;/&gt;&lt;wsp:rsid wsp:val=&quot;00714097&quot;/&gt;&lt;wsp:rsid wsp:val=&quot;007144E2&quot;/&gt;&lt;wsp:rsid wsp:val=&quot;007145A0&quot;/&gt;&lt;wsp:rsid wsp:val=&quot;00714960&quot;/&gt;&lt;wsp:rsid wsp:val=&quot;00714B14&quot;/&gt;&lt;wsp:rsid wsp:val=&quot;00714B81&quot;/&gt;&lt;wsp:rsid wsp:val=&quot;00714BC7&quot;/&gt;&lt;wsp:rsid wsp:val=&quot;00714D74&quot;/&gt;&lt;wsp:rsid wsp:val=&quot;007153E9&quot;/&gt;&lt;wsp:rsid wsp:val=&quot;007156FA&quot;/&gt;&lt;wsp:rsid wsp:val=&quot;007159BC&quot;/&gt;&lt;wsp:rsid wsp:val=&quot;007159D5&quot;/&gt;&lt;wsp:rsid wsp:val=&quot;00715DCF&quot;/&gt;&lt;wsp:rsid wsp:val=&quot;00715E2C&quot;/&gt;&lt;wsp:rsid wsp:val=&quot;00715E71&quot;/&gt;&lt;wsp:rsid wsp:val=&quot;00716358&quot;/&gt;&lt;wsp:rsid wsp:val=&quot;00716B47&quot;/&gt;&lt;wsp:rsid wsp:val=&quot;00716E9F&quot;/&gt;&lt;wsp:rsid wsp:val=&quot;007170C2&quot;/&gt;&lt;wsp:rsid wsp:val=&quot;0071733E&quot;/&gt;&lt;wsp:rsid wsp:val=&quot;00717779&quot;/&gt;&lt;wsp:rsid wsp:val=&quot;00717848&quot;/&gt;&lt;wsp:rsid wsp:val=&quot;00717D5F&quot;/&gt;&lt;wsp:rsid wsp:val=&quot;00717EFA&quot;/&gt;&lt;wsp:rsid wsp:val=&quot;00720301&quot;/&gt;&lt;wsp:rsid wsp:val=&quot;0072051C&quot;/&gt;&lt;wsp:rsid wsp:val=&quot;00720AAA&quot;/&gt;&lt;wsp:rsid wsp:val=&quot;00720D20&quot;/&gt;&lt;wsp:rsid wsp:val=&quot;00720E75&quot;/&gt;&lt;wsp:rsid wsp:val=&quot;00720ECB&quot;/&gt;&lt;wsp:rsid wsp:val=&quot;00720F71&quot;/&gt;&lt;wsp:rsid wsp:val=&quot;00721566&quot;/&gt;&lt;wsp:rsid wsp:val=&quot;00721717&quot;/&gt;&lt;wsp:rsid wsp:val=&quot;007218D9&quot;/&gt;&lt;wsp:rsid wsp:val=&quot;00721DC7&quot;/&gt;&lt;wsp:rsid wsp:val=&quot;0072220F&quot;/&gt;&lt;wsp:rsid wsp:val=&quot;00722AB5&quot;/&gt;&lt;wsp:rsid wsp:val=&quot;00722BBE&quot;/&gt;&lt;wsp:rsid wsp:val=&quot;00722C32&quot;/&gt;&lt;wsp:rsid wsp:val=&quot;00722CA8&quot;/&gt;&lt;wsp:rsid wsp:val=&quot;00723034&quot;/&gt;&lt;wsp:rsid wsp:val=&quot;007231FF&quot;/&gt;&lt;wsp:rsid wsp:val=&quot;00723360&quot;/&gt;&lt;wsp:rsid wsp:val=&quot;007234D9&quot;/&gt;&lt;wsp:rsid wsp:val=&quot;00723698&quot;/&gt;&lt;wsp:rsid wsp:val=&quot;00723858&quot;/&gt;&lt;wsp:rsid wsp:val=&quot;00723DB1&quot;/&gt;&lt;wsp:rsid wsp:val=&quot;00724343&quot;/&gt;&lt;wsp:rsid wsp:val=&quot;007247BE&quot;/&gt;&lt;wsp:rsid wsp:val=&quot;007248AD&quot;/&gt;&lt;wsp:rsid wsp:val=&quot;00724F79&quot;/&gt;&lt;wsp:rsid wsp:val=&quot;00725728&quot;/&gt;&lt;wsp:rsid wsp:val=&quot;007258DE&quot;/&gt;&lt;wsp:rsid wsp:val=&quot;00725C8F&quot;/&gt;&lt;wsp:rsid wsp:val=&quot;00725CB7&quot;/&gt;&lt;wsp:rsid wsp:val=&quot;00726540&quot;/&gt;&lt;wsp:rsid wsp:val=&quot;00726643&quot;/&gt;&lt;wsp:rsid wsp:val=&quot;00726775&quot;/&gt;&lt;wsp:rsid wsp:val=&quot;00726832&quot;/&gt;&lt;wsp:rsid wsp:val=&quot;00726C96&quot;/&gt;&lt;wsp:rsid wsp:val=&quot;00726DEE&quot;/&gt;&lt;wsp:rsid wsp:val=&quot;00726F22&quot;/&gt;&lt;wsp:rsid wsp:val=&quot;0072712D&quot;/&gt;&lt;wsp:rsid wsp:val=&quot;007276D4&quot;/&gt;&lt;wsp:rsid wsp:val=&quot;00727975&quot;/&gt;&lt;wsp:rsid wsp:val=&quot;00727D72&quot;/&gt;&lt;wsp:rsid wsp:val=&quot;00727E44&quot;/&gt;&lt;wsp:rsid wsp:val=&quot;0073045A&quot;/&gt;&lt;wsp:rsid wsp:val=&quot;00730487&quot;/&gt;&lt;wsp:rsid wsp:val=&quot;00730527&quot;/&gt;&lt;wsp:rsid wsp:val=&quot;00730CE2&quot;/&gt;&lt;wsp:rsid wsp:val=&quot;00731069&quot;/&gt;&lt;wsp:rsid wsp:val=&quot;0073158E&quot;/&gt;&lt;wsp:rsid wsp:val=&quot;007316AC&quot;/&gt;&lt;wsp:rsid wsp:val=&quot;00731AB7&quot;/&gt;&lt;wsp:rsid wsp:val=&quot;00731DBA&quot;/&gt;&lt;wsp:rsid wsp:val=&quot;00732375&quot;/&gt;&lt;wsp:rsid wsp:val=&quot;00732535&quot;/&gt;&lt;wsp:rsid wsp:val=&quot;007328C7&quot;/&gt;&lt;wsp:rsid wsp:val=&quot;00732A0B&quot;/&gt;&lt;wsp:rsid wsp:val=&quot;00732AA4&quot;/&gt;&lt;wsp:rsid wsp:val=&quot;00732D14&quot;/&gt;&lt;wsp:rsid wsp:val=&quot;00732ED4&quot;/&gt;&lt;wsp:rsid wsp:val=&quot;007333B4&quot;/&gt;&lt;wsp:rsid wsp:val=&quot;0073364D&quot;/&gt;&lt;wsp:rsid wsp:val=&quot;007336CF&quot;/&gt;&lt;wsp:rsid wsp:val=&quot;00733801&quot;/&gt;&lt;wsp:rsid wsp:val=&quot;00733804&quot;/&gt;&lt;wsp:rsid wsp:val=&quot;00733C32&quot;/&gt;&lt;wsp:rsid wsp:val=&quot;00733D0E&quot;/&gt;&lt;wsp:rsid wsp:val=&quot;00734556&quot;/&gt;&lt;wsp:rsid wsp:val=&quot;0073475A&quot;/&gt;&lt;wsp:rsid wsp:val=&quot;0073476E&quot;/&gt;&lt;wsp:rsid wsp:val=&quot;00734850&quot;/&gt;&lt;wsp:rsid wsp:val=&quot;00734ADF&quot;/&gt;&lt;wsp:rsid wsp:val=&quot;00734E89&quot;/&gt;&lt;wsp:rsid wsp:val=&quot;00734F23&quot;/&gt;&lt;wsp:rsid wsp:val=&quot;0073530E&quot;/&gt;&lt;wsp:rsid wsp:val=&quot;00735DB4&quot;/&gt;&lt;wsp:rsid wsp:val=&quot;00735DE3&quot;/&gt;&lt;wsp:rsid wsp:val=&quot;00736038&quot;/&gt;&lt;wsp:rsid wsp:val=&quot;007362F7&quot;/&gt;&lt;wsp:rsid wsp:val=&quot;0073654D&quot;/&gt;&lt;wsp:rsid wsp:val=&quot;007365A5&quot;/&gt;&lt;wsp:rsid wsp:val=&quot;007369BB&quot;/&gt;&lt;wsp:rsid wsp:val=&quot;007369C1&quot;/&gt;&lt;wsp:rsid wsp:val=&quot;007369D0&quot;/&gt;&lt;wsp:rsid wsp:val=&quot;00736A59&quot;/&gt;&lt;wsp:rsid wsp:val=&quot;0073718A&quot;/&gt;&lt;wsp:rsid wsp:val=&quot;007372BD&quot;/&gt;&lt;wsp:rsid wsp:val=&quot;007372F8&quot;/&gt;&lt;wsp:rsid wsp:val=&quot;007375D7&quot;/&gt;&lt;wsp:rsid wsp:val=&quot;007378B2&quot;/&gt;&lt;wsp:rsid wsp:val=&quot;007378FC&quot;/&gt;&lt;wsp:rsid wsp:val=&quot;00737A1C&quot;/&gt;&lt;wsp:rsid wsp:val=&quot;00737D10&quot;/&gt;&lt;wsp:rsid wsp:val=&quot;00737E00&quot;/&gt;&lt;wsp:rsid wsp:val=&quot;0074009A&quot;/&gt;&lt;wsp:rsid wsp:val=&quot;007401BD&quot;/&gt;&lt;wsp:rsid wsp:val=&quot;00740293&quot;/&gt;&lt;wsp:rsid wsp:val=&quot;00740509&quot;/&gt;&lt;wsp:rsid wsp:val=&quot;00740A70&quot;/&gt;&lt;wsp:rsid wsp:val=&quot;00740CF5&quot;/&gt;&lt;wsp:rsid wsp:val=&quot;007410A8&quot;/&gt;&lt;wsp:rsid wsp:val=&quot;0074117D&quot;/&gt;&lt;wsp:rsid wsp:val=&quot;0074170F&quot;/&gt;&lt;wsp:rsid wsp:val=&quot;007423C7&quot;/&gt;&lt;wsp:rsid wsp:val=&quot;00742573&quot;/&gt;&lt;wsp:rsid wsp:val=&quot;00742AE6&quot;/&gt;&lt;wsp:rsid wsp:val=&quot;00742F23&quot;/&gt;&lt;wsp:rsid wsp:val=&quot;00743205&quot;/&gt;&lt;wsp:rsid wsp:val=&quot;007432C3&quot;/&gt;&lt;wsp:rsid wsp:val=&quot;007436C2&quot;/&gt;&lt;wsp:rsid wsp:val=&quot;00743C1C&quot;/&gt;&lt;wsp:rsid wsp:val=&quot;00744224&quot;/&gt;&lt;wsp:rsid wsp:val=&quot;0074458F&quot;/&gt;&lt;wsp:rsid wsp:val=&quot;00744599&quot;/&gt;&lt;wsp:rsid wsp:val=&quot;0074542A&quot;/&gt;&lt;wsp:rsid wsp:val=&quot;007456B3&quot;/&gt;&lt;wsp:rsid wsp:val=&quot;00745A90&quot;/&gt;&lt;wsp:rsid wsp:val=&quot;00745BB5&quot;/&gt;&lt;wsp:rsid wsp:val=&quot;00745C45&quot;/&gt;&lt;wsp:rsid wsp:val=&quot;00745E43&quot;/&gt;&lt;wsp:rsid wsp:val=&quot;00745E84&quot;/&gt;&lt;wsp:rsid wsp:val=&quot;0074606C&quot;/&gt;&lt;wsp:rsid wsp:val=&quot;00746235&quot;/&gt;&lt;wsp:rsid wsp:val=&quot;007462D6&quot;/&gt;&lt;wsp:rsid wsp:val=&quot;0074641C&quot;/&gt;&lt;wsp:rsid wsp:val=&quot;00746441&quot;/&gt;&lt;wsp:rsid wsp:val=&quot;00746896&quot;/&gt;&lt;wsp:rsid wsp:val=&quot;0074697A&quot;/&gt;&lt;wsp:rsid wsp:val=&quot;00746AD9&quot;/&gt;&lt;wsp:rsid wsp:val=&quot;00747900&quot;/&gt;&lt;wsp:rsid wsp:val=&quot;00747BCE&quot;/&gt;&lt;wsp:rsid wsp:val=&quot;00747E96&quot;/&gt;&lt;wsp:rsid wsp:val=&quot;0075014A&quot;/&gt;&lt;wsp:rsid wsp:val=&quot;007508DC&quot;/&gt;&lt;wsp:rsid wsp:val=&quot;0075112E&quot;/&gt;&lt;wsp:rsid wsp:val=&quot;00751224&quot;/&gt;&lt;wsp:rsid wsp:val=&quot;007512C6&quot;/&gt;&lt;wsp:rsid wsp:val=&quot;00751394&quot;/&gt;&lt;wsp:rsid wsp:val=&quot;007513EF&quot;/&gt;&lt;wsp:rsid wsp:val=&quot;00751753&quot;/&gt;&lt;wsp:rsid wsp:val=&quot;00751B06&quot;/&gt;&lt;wsp:rsid wsp:val=&quot;00751C38&quot;/&gt;&lt;wsp:rsid wsp:val=&quot;00752BAE&quot;/&gt;&lt;wsp:rsid wsp:val=&quot;00752D85&quot;/&gt;&lt;wsp:rsid wsp:val=&quot;0075302E&quot;/&gt;&lt;wsp:rsid wsp:val=&quot;007536D0&quot;/&gt;&lt;wsp:rsid wsp:val=&quot;00753B06&quot;/&gt;&lt;wsp:rsid wsp:val=&quot;00753B30&quot;/&gt;&lt;wsp:rsid wsp:val=&quot;00753F1B&quot;/&gt;&lt;wsp:rsid wsp:val=&quot;00754243&quot;/&gt;&lt;wsp:rsid wsp:val=&quot;00754335&quot;/&gt;&lt;wsp:rsid wsp:val=&quot;00754F43&quot;/&gt;&lt;wsp:rsid wsp:val=&quot;00755225&quot;/&gt;&lt;wsp:rsid wsp:val=&quot;007554A3&quot;/&gt;&lt;wsp:rsid wsp:val=&quot;00755B84&quot;/&gt;&lt;wsp:rsid wsp:val=&quot;00755D24&quot;/&gt;&lt;wsp:rsid wsp:val=&quot;00756554&quot;/&gt;&lt;wsp:rsid wsp:val=&quot;00756F92&quot;/&gt;&lt;wsp:rsid wsp:val=&quot;00757024&quot;/&gt;&lt;wsp:rsid wsp:val=&quot;007571C5&quot;/&gt;&lt;wsp:rsid wsp:val=&quot;00757301&quot;/&gt;&lt;wsp:rsid wsp:val=&quot;0075733E&quot;/&gt;&lt;wsp:rsid wsp:val=&quot;00757D6C&quot;/&gt;&lt;wsp:rsid wsp:val=&quot;00757E2A&quot;/&gt;&lt;wsp:rsid wsp:val=&quot;00757E50&quot;/&gt;&lt;wsp:rsid wsp:val=&quot;0076005D&quot;/&gt;&lt;wsp:rsid wsp:val=&quot;00760420&quot;/&gt;&lt;wsp:rsid wsp:val=&quot;00760BD6&quot;/&gt;&lt;wsp:rsid wsp:val=&quot;00760BE7&quot;/&gt;&lt;wsp:rsid wsp:val=&quot;00760CE4&quot;/&gt;&lt;wsp:rsid wsp:val=&quot;00760EDD&quot;/&gt;&lt;wsp:rsid wsp:val=&quot;00761063&quot;/&gt;&lt;wsp:rsid wsp:val=&quot;00761912&quot;/&gt;&lt;wsp:rsid wsp:val=&quot;00761B07&quot;/&gt;&lt;wsp:rsid wsp:val=&quot;00761F1D&quot;/&gt;&lt;wsp:rsid wsp:val=&quot;00761FED&quot;/&gt;&lt;wsp:rsid wsp:val=&quot;0076227B&quot;/&gt;&lt;wsp:rsid wsp:val=&quot;00762318&quot;/&gt;&lt;wsp:rsid wsp:val=&quot;007623C9&quot;/&gt;&lt;wsp:rsid wsp:val=&quot;0076240E&quot;/&gt;&lt;wsp:rsid wsp:val=&quot;00762612&quot;/&gt;&lt;wsp:rsid wsp:val=&quot;00762CA7&quot;/&gt;&lt;wsp:rsid wsp:val=&quot;00762CF6&quot;/&gt;&lt;wsp:rsid wsp:val=&quot;00762ED6&quot;/&gt;&lt;wsp:rsid wsp:val=&quot;00763055&quot;/&gt;&lt;wsp:rsid wsp:val=&quot;00763252&quot;/&gt;&lt;wsp:rsid wsp:val=&quot;00763A2C&quot;/&gt;&lt;wsp:rsid wsp:val=&quot;00763B3C&quot;/&gt;&lt;wsp:rsid wsp:val=&quot;00763BC7&quot;/&gt;&lt;wsp:rsid wsp:val=&quot;00763D97&quot;/&gt;&lt;wsp:rsid wsp:val=&quot;00763F9F&quot;/&gt;&lt;wsp:rsid wsp:val=&quot;0076423F&quot;/&gt;&lt;wsp:rsid wsp:val=&quot;007643C0&quot;/&gt;&lt;wsp:rsid wsp:val=&quot;007643C5&quot;/&gt;&lt;wsp:rsid wsp:val=&quot;007646D3&quot;/&gt;&lt;wsp:rsid wsp:val=&quot;00764701&quot;/&gt;&lt;wsp:rsid wsp:val=&quot;00764862&quot;/&gt;&lt;wsp:rsid wsp:val=&quot;00764A8F&quot;/&gt;&lt;wsp:rsid wsp:val=&quot;00764B34&quot;/&gt;&lt;wsp:rsid wsp:val=&quot;00764C33&quot;/&gt;&lt;wsp:rsid wsp:val=&quot;00764D51&quot;/&gt;&lt;wsp:rsid wsp:val=&quot;00764D91&quot;/&gt;&lt;wsp:rsid wsp:val=&quot;00764DD5&quot;/&gt;&lt;wsp:rsid wsp:val=&quot;00764E3F&quot;/&gt;&lt;wsp:rsid wsp:val=&quot;00764FCE&quot;/&gt;&lt;wsp:rsid wsp:val=&quot;0076556F&quot;/&gt;&lt;wsp:rsid wsp:val=&quot;00765719&quot;/&gt;&lt;wsp:rsid wsp:val=&quot;00765832&quot;/&gt;&lt;wsp:rsid wsp:val=&quot;0076596A&quot;/&gt;&lt;wsp:rsid wsp:val=&quot;00765DBC&quot;/&gt;&lt;wsp:rsid wsp:val=&quot;0076670C&quot;/&gt;&lt;wsp:rsid wsp:val=&quot;00766EFE&quot;/&gt;&lt;wsp:rsid wsp:val=&quot;00767339&quot;/&gt;&lt;wsp:rsid wsp:val=&quot;00767E15&quot;/&gt;&lt;wsp:rsid wsp:val=&quot;00767EF4&quot;/&gt;&lt;wsp:rsid wsp:val=&quot;0077003D&quot;/&gt;&lt;wsp:rsid wsp:val=&quot;007708BC&quot;/&gt;&lt;wsp:rsid wsp:val=&quot;007712D3&quot;/&gt;&lt;wsp:rsid wsp:val=&quot;007713CB&quot;/&gt;&lt;wsp:rsid wsp:val=&quot;0077174E&quot;/&gt;&lt;wsp:rsid wsp:val=&quot;00771AE3&quot;/&gt;&lt;wsp:rsid wsp:val=&quot;00771B46&quot;/&gt;&lt;wsp:rsid wsp:val=&quot;0077205B&quot;/&gt;&lt;wsp:rsid wsp:val=&quot;007722DE&quot;/&gt;&lt;wsp:rsid wsp:val=&quot;00772770&quot;/&gt;&lt;wsp:rsid wsp:val=&quot;00772A5D&quot;/&gt;&lt;wsp:rsid wsp:val=&quot;00772B4D&quot;/&gt;&lt;wsp:rsid wsp:val=&quot;00772EF5&quot;/&gt;&lt;wsp:rsid wsp:val=&quot;0077325B&quot;/&gt;&lt;wsp:rsid wsp:val=&quot;007733FF&quot;/&gt;&lt;wsp:rsid wsp:val=&quot;0077341D&quot;/&gt;&lt;wsp:rsid wsp:val=&quot;007735EF&quot;/&gt;&lt;wsp:rsid wsp:val=&quot;0077368F&quot;/&gt;&lt;wsp:rsid wsp:val=&quot;007736B1&quot;/&gt;&lt;wsp:rsid wsp:val=&quot;007737C1&quot;/&gt;&lt;wsp:rsid wsp:val=&quot;00773CB5&quot;/&gt;&lt;wsp:rsid wsp:val=&quot;00773EE9&quot;/&gt;&lt;wsp:rsid wsp:val=&quot;00773F92&quot;/&gt;&lt;wsp:rsid wsp:val=&quot;00773FB6&quot;/&gt;&lt;wsp:rsid wsp:val=&quot;0077401E&quot;/&gt;&lt;wsp:rsid wsp:val=&quot;00774436&quot;/&gt;&lt;wsp:rsid wsp:val=&quot;00774BC0&quot;/&gt;&lt;wsp:rsid wsp:val=&quot;00774D56&quot;/&gt;&lt;wsp:rsid wsp:val=&quot;007750CC&quot;/&gt;&lt;wsp:rsid wsp:val=&quot;0077534F&quot;/&gt;&lt;wsp:rsid wsp:val=&quot;00775784&quot;/&gt;&lt;wsp:rsid wsp:val=&quot;007758D1&quot;/&gt;&lt;wsp:rsid wsp:val=&quot;00775A32&quot;/&gt;&lt;wsp:rsid wsp:val=&quot;00775AAA&quot;/&gt;&lt;wsp:rsid wsp:val=&quot;00775E17&quot;/&gt;&lt;wsp:rsid wsp:val=&quot;00775FE1&quot;/&gt;&lt;wsp:rsid wsp:val=&quot;00776037&quot;/&gt;&lt;wsp:rsid wsp:val=&quot;00776370&quot;/&gt;&lt;wsp:rsid wsp:val=&quot;007766CF&quot;/&gt;&lt;wsp:rsid wsp:val=&quot;00776D5E&quot;/&gt;&lt;wsp:rsid wsp:val=&quot;00776D66&quot;/&gt;&lt;wsp:rsid wsp:val=&quot;00777421&quot;/&gt;&lt;wsp:rsid wsp:val=&quot;007777D9&quot;/&gt;&lt;wsp:rsid wsp:val=&quot;007777EA&quot;/&gt;&lt;wsp:rsid wsp:val=&quot;007801B0&quot;/&gt;&lt;wsp:rsid wsp:val=&quot;007803DE&quot;/&gt;&lt;wsp:rsid wsp:val=&quot;00780725&quot;/&gt;&lt;wsp:rsid wsp:val=&quot;00780C90&quot;/&gt;&lt;wsp:rsid wsp:val=&quot;00780F45&quot;/&gt;&lt;wsp:rsid wsp:val=&quot;00780F93&quot;/&gt;&lt;wsp:rsid wsp:val=&quot;00781180&quot;/&gt;&lt;wsp:rsid wsp:val=&quot;007812D4&quot;/&gt;&lt;wsp:rsid wsp:val=&quot;0078134A&quot;/&gt;&lt;wsp:rsid wsp:val=&quot;00781E85&quot;/&gt;&lt;wsp:rsid wsp:val=&quot;007822F1&quot;/&gt;&lt;wsp:rsid wsp:val=&quot;007825AC&quot;/&gt;&lt;wsp:rsid wsp:val=&quot;0078282E&quot;/&gt;&lt;wsp:rsid wsp:val=&quot;0078289F&quot;/&gt;&lt;wsp:rsid wsp:val=&quot;00782E11&quot;/&gt;&lt;wsp:rsid wsp:val=&quot;0078331E&quot;/&gt;&lt;wsp:rsid wsp:val=&quot;00783528&quot;/&gt;&lt;wsp:rsid wsp:val=&quot;0078376F&quot;/&gt;&lt;wsp:rsid wsp:val=&quot;007839B8&quot;/&gt;&lt;wsp:rsid wsp:val=&quot;007847FD&quot;/&gt;&lt;wsp:rsid wsp:val=&quot;0078487F&quot;/&gt;&lt;wsp:rsid wsp:val=&quot;00784AAE&quot;/&gt;&lt;wsp:rsid wsp:val=&quot;007850AF&quot;/&gt;&lt;wsp:rsid wsp:val=&quot;0078552C&quot;/&gt;&lt;wsp:rsid wsp:val=&quot;00785862&quot;/&gt;&lt;wsp:rsid wsp:val=&quot;00785AA9&quot;/&gt;&lt;wsp:rsid wsp:val=&quot;00785AD3&quot;/&gt;&lt;wsp:rsid wsp:val=&quot;00785DA7&quot;/&gt;&lt;wsp:rsid wsp:val=&quot;00785F57&quot;/&gt;&lt;wsp:rsid wsp:val=&quot;00786231&quot;/&gt;&lt;wsp:rsid wsp:val=&quot;00786707&quot;/&gt;&lt;wsp:rsid wsp:val=&quot;00786A04&quot;/&gt;&lt;wsp:rsid wsp:val=&quot;00786BB2&quot;/&gt;&lt;wsp:rsid wsp:val=&quot;00787174&quot;/&gt;&lt;wsp:rsid wsp:val=&quot;007872C0&quot;/&gt;&lt;wsp:rsid wsp:val=&quot;00787318&quot;/&gt;&lt;wsp:rsid wsp:val=&quot;00787440&quot;/&gt;&lt;wsp:rsid wsp:val=&quot;00787935&quot;/&gt;&lt;wsp:rsid wsp:val=&quot;00787A5A&quot;/&gt;&lt;wsp:rsid wsp:val=&quot;00787E07&quot;/&gt;&lt;wsp:rsid wsp:val=&quot;007903D7&quot;/&gt;&lt;wsp:rsid wsp:val=&quot;007907DA&quot;/&gt;&lt;wsp:rsid wsp:val=&quot;00790922&quot;/&gt;&lt;wsp:rsid wsp:val=&quot;00790AD6&quot;/&gt;&lt;wsp:rsid wsp:val=&quot;00790B02&quot;/&gt;&lt;wsp:rsid wsp:val=&quot;00790E0B&quot;/&gt;&lt;wsp:rsid wsp:val=&quot;00791069&quot;/&gt;&lt;wsp:rsid wsp:val=&quot;007922A2&quot;/&gt;&lt;wsp:rsid wsp:val=&quot;00792975&quot;/&gt;&lt;wsp:rsid wsp:val=&quot;00792A32&quot;/&gt;&lt;wsp:rsid wsp:val=&quot;00792BE9&quot;/&gt;&lt;wsp:rsid wsp:val=&quot;00792C66&quot;/&gt;&lt;wsp:rsid wsp:val=&quot;00792F7E&quot;/&gt;&lt;wsp:rsid wsp:val=&quot;00792FEE&quot;/&gt;&lt;wsp:rsid wsp:val=&quot;0079373C&quot;/&gt;&lt;wsp:rsid wsp:val=&quot;00793773&quot;/&gt;&lt;wsp:rsid wsp:val=&quot;00793DA9&quot;/&gt;&lt;wsp:rsid wsp:val=&quot;00794559&quot;/&gt;&lt;wsp:rsid wsp:val=&quot;0079487B&quot;/&gt;&lt;wsp:rsid wsp:val=&quot;00794BC0&quot;/&gt;&lt;wsp:rsid wsp:val=&quot;00794BEC&quot;/&gt;&lt;wsp:rsid wsp:val=&quot;00794EF8&quot;/&gt;&lt;wsp:rsid wsp:val=&quot;00795215&quot;/&gt;&lt;wsp:rsid wsp:val=&quot;0079539F&quot;/&gt;&lt;wsp:rsid wsp:val=&quot;00795433&quot;/&gt;&lt;wsp:rsid wsp:val=&quot;0079573F&quot;/&gt;&lt;wsp:rsid wsp:val=&quot;00795EF8&quot;/&gt;&lt;wsp:rsid wsp:val=&quot;0079662D&quot;/&gt;&lt;wsp:rsid wsp:val=&quot;00796954&quot;/&gt;&lt;wsp:rsid wsp:val=&quot;007969A1&quot;/&gt;&lt;wsp:rsid wsp:val=&quot;00797587&quot;/&gt;&lt;wsp:rsid wsp:val=&quot;0079772A&quot;/&gt;&lt;wsp:rsid wsp:val=&quot;007977EE&quot;/&gt;&lt;wsp:rsid wsp:val=&quot;007A03CB&quot;/&gt;&lt;wsp:rsid wsp:val=&quot;007A046B&quot;/&gt;&lt;wsp:rsid wsp:val=&quot;007A0493&quot;/&gt;&lt;wsp:rsid wsp:val=&quot;007A0658&quot;/&gt;&lt;wsp:rsid wsp:val=&quot;007A0677&quot;/&gt;&lt;wsp:rsid wsp:val=&quot;007A19BF&quot;/&gt;&lt;wsp:rsid wsp:val=&quot;007A1CE1&quot;/&gt;&lt;wsp:rsid wsp:val=&quot;007A209B&quot;/&gt;&lt;wsp:rsid wsp:val=&quot;007A24DC&quot;/&gt;&lt;wsp:rsid wsp:val=&quot;007A29D5&quot;/&gt;&lt;wsp:rsid wsp:val=&quot;007A2AFD&quot;/&gt;&lt;wsp:rsid wsp:val=&quot;007A2E34&quot;/&gt;&lt;wsp:rsid wsp:val=&quot;007A2F54&quot;/&gt;&lt;wsp:rsid wsp:val=&quot;007A340D&quot;/&gt;&lt;wsp:rsid wsp:val=&quot;007A3481&quot;/&gt;&lt;wsp:rsid wsp:val=&quot;007A353A&quot;/&gt;&lt;wsp:rsid wsp:val=&quot;007A39E2&quot;/&gt;&lt;wsp:rsid wsp:val=&quot;007A3A60&quot;/&gt;&lt;wsp:rsid wsp:val=&quot;007A3C15&quot;/&gt;&lt;wsp:rsid wsp:val=&quot;007A4178&quot;/&gt;&lt;wsp:rsid wsp:val=&quot;007A435C&quot;/&gt;&lt;wsp:rsid wsp:val=&quot;007A586B&quot;/&gt;&lt;wsp:rsid wsp:val=&quot;007A6453&quot;/&gt;&lt;wsp:rsid wsp:val=&quot;007A677B&quot;/&gt;&lt;wsp:rsid wsp:val=&quot;007A6A0B&quot;/&gt;&lt;wsp:rsid wsp:val=&quot;007A6E31&quot;/&gt;&lt;wsp:rsid wsp:val=&quot;007A6FE8&quot;/&gt;&lt;wsp:rsid wsp:val=&quot;007A72AA&quot;/&gt;&lt;wsp:rsid wsp:val=&quot;007A72EC&quot;/&gt;&lt;wsp:rsid wsp:val=&quot;007A73A7&quot;/&gt;&lt;wsp:rsid wsp:val=&quot;007A7A17&quot;/&gt;&lt;wsp:rsid wsp:val=&quot;007A7B90&quot;/&gt;&lt;wsp:rsid wsp:val=&quot;007B019A&quot;/&gt;&lt;wsp:rsid wsp:val=&quot;007B0610&quot;/&gt;&lt;wsp:rsid wsp:val=&quot;007B07BD&quot;/&gt;&lt;wsp:rsid wsp:val=&quot;007B0814&quot;/&gt;&lt;wsp:rsid wsp:val=&quot;007B0ABE&quot;/&gt;&lt;wsp:rsid wsp:val=&quot;007B16A9&quot;/&gt;&lt;wsp:rsid wsp:val=&quot;007B211A&quot;/&gt;&lt;wsp:rsid wsp:val=&quot;007B2583&quot;/&gt;&lt;wsp:rsid wsp:val=&quot;007B275C&quot;/&gt;&lt;wsp:rsid wsp:val=&quot;007B307E&quot;/&gt;&lt;wsp:rsid wsp:val=&quot;007B33FF&quot;/&gt;&lt;wsp:rsid wsp:val=&quot;007B3610&quot;/&gt;&lt;wsp:rsid wsp:val=&quot;007B38D1&quot;/&gt;&lt;wsp:rsid wsp:val=&quot;007B3B6A&quot;/&gt;&lt;wsp:rsid wsp:val=&quot;007B3BDC&quot;/&gt;&lt;wsp:rsid wsp:val=&quot;007B3F99&quot;/&gt;&lt;wsp:rsid wsp:val=&quot;007B42E4&quot;/&gt;&lt;wsp:rsid wsp:val=&quot;007B50D5&quot;/&gt;&lt;wsp:rsid wsp:val=&quot;007B50D6&quot;/&gt;&lt;wsp:rsid wsp:val=&quot;007B5141&quot;/&gt;&lt;wsp:rsid wsp:val=&quot;007B5358&quot;/&gt;&lt;wsp:rsid wsp:val=&quot;007B54A0&quot;/&gt;&lt;wsp:rsid wsp:val=&quot;007B580B&quot;/&gt;&lt;wsp:rsid wsp:val=&quot;007B5B44&quot;/&gt;&lt;wsp:rsid wsp:val=&quot;007B5E24&quot;/&gt;&lt;wsp:rsid wsp:val=&quot;007B69CA&quot;/&gt;&lt;wsp:rsid wsp:val=&quot;007B6B46&quot;/&gt;&lt;wsp:rsid wsp:val=&quot;007B741A&quot;/&gt;&lt;wsp:rsid wsp:val=&quot;007B771F&quot;/&gt;&lt;wsp:rsid wsp:val=&quot;007B7D7F&quot;/&gt;&lt;wsp:rsid wsp:val=&quot;007B7E7D&quot;/&gt;&lt;wsp:rsid wsp:val=&quot;007B7FCB&quot;/&gt;&lt;wsp:rsid wsp:val=&quot;007C0CFB&quot;/&gt;&lt;wsp:rsid wsp:val=&quot;007C0FF4&quot;/&gt;&lt;wsp:rsid wsp:val=&quot;007C11C8&quot;/&gt;&lt;wsp:rsid wsp:val=&quot;007C1591&quot;/&gt;&lt;wsp:rsid wsp:val=&quot;007C20DB&quot;/&gt;&lt;wsp:rsid wsp:val=&quot;007C23CA&quot;/&gt;&lt;wsp:rsid wsp:val=&quot;007C29E7&quot;/&gt;&lt;wsp:rsid wsp:val=&quot;007C2ECB&quot;/&gt;&lt;wsp:rsid wsp:val=&quot;007C2EEE&quot;/&gt;&lt;wsp:rsid wsp:val=&quot;007C32BA&quot;/&gt;&lt;wsp:rsid wsp:val=&quot;007C3367&quot;/&gt;&lt;wsp:rsid wsp:val=&quot;007C364E&quot;/&gt;&lt;wsp:rsid wsp:val=&quot;007C36B1&quot;/&gt;&lt;wsp:rsid wsp:val=&quot;007C3722&quot;/&gt;&lt;wsp:rsid wsp:val=&quot;007C3747&quot;/&gt;&lt;wsp:rsid wsp:val=&quot;007C38D9&quot;/&gt;&lt;wsp:rsid wsp:val=&quot;007C3DE5&quot;/&gt;&lt;wsp:rsid wsp:val=&quot;007C4074&quot;/&gt;&lt;wsp:rsid wsp:val=&quot;007C4F5A&quot;/&gt;&lt;wsp:rsid wsp:val=&quot;007C50F4&quot;/&gt;&lt;wsp:rsid wsp:val=&quot;007C5200&quot;/&gt;&lt;wsp:rsid wsp:val=&quot;007C5581&quot;/&gt;&lt;wsp:rsid wsp:val=&quot;007C5732&quot;/&gt;&lt;wsp:rsid wsp:val=&quot;007C5A5A&quot;/&gt;&lt;wsp:rsid wsp:val=&quot;007C5DA4&quot;/&gt;&lt;wsp:rsid wsp:val=&quot;007C5DD1&quot;/&gt;&lt;wsp:rsid wsp:val=&quot;007C6326&quot;/&gt;&lt;wsp:rsid wsp:val=&quot;007C684E&quot;/&gt;&lt;wsp:rsid wsp:val=&quot;007C6C41&quot;/&gt;&lt;wsp:rsid wsp:val=&quot;007C72F0&quot;/&gt;&lt;wsp:rsid wsp:val=&quot;007C73BA&quot;/&gt;&lt;wsp:rsid wsp:val=&quot;007C7797&quot;/&gt;&lt;wsp:rsid wsp:val=&quot;007C7A6B&quot;/&gt;&lt;wsp:rsid wsp:val=&quot;007C7C0D&quot;/&gt;&lt;wsp:rsid wsp:val=&quot;007D0152&quot;/&gt;&lt;wsp:rsid wsp:val=&quot;007D0A4F&quot;/&gt;&lt;wsp:rsid wsp:val=&quot;007D0CEE&quot;/&gt;&lt;wsp:rsid wsp:val=&quot;007D0E99&quot;/&gt;&lt;wsp:rsid wsp:val=&quot;007D0EC3&quot;/&gt;&lt;wsp:rsid wsp:val=&quot;007D124F&quot;/&gt;&lt;wsp:rsid wsp:val=&quot;007D12C0&quot;/&gt;&lt;wsp:rsid wsp:val=&quot;007D150B&quot;/&gt;&lt;wsp:rsid wsp:val=&quot;007D1607&quot;/&gt;&lt;wsp:rsid wsp:val=&quot;007D1645&quot;/&gt;&lt;wsp:rsid wsp:val=&quot;007D18E0&quot;/&gt;&lt;wsp:rsid wsp:val=&quot;007D1BC1&quot;/&gt;&lt;wsp:rsid wsp:val=&quot;007D1C66&quot;/&gt;&lt;wsp:rsid wsp:val=&quot;007D1CC7&quot;/&gt;&lt;wsp:rsid wsp:val=&quot;007D1CFA&quot;/&gt;&lt;wsp:rsid wsp:val=&quot;007D1E39&quot;/&gt;&lt;wsp:rsid wsp:val=&quot;007D2240&quot;/&gt;&lt;wsp:rsid wsp:val=&quot;007D22B0&quot;/&gt;&lt;wsp:rsid wsp:val=&quot;007D2504&quot;/&gt;&lt;wsp:rsid wsp:val=&quot;007D279A&quot;/&gt;&lt;wsp:rsid wsp:val=&quot;007D2ABA&quot;/&gt;&lt;wsp:rsid wsp:val=&quot;007D2ADC&quot;/&gt;&lt;wsp:rsid wsp:val=&quot;007D2D26&quot;/&gt;&lt;wsp:rsid wsp:val=&quot;007D2EB8&quot;/&gt;&lt;wsp:rsid wsp:val=&quot;007D2EC6&quot;/&gt;&lt;wsp:rsid wsp:val=&quot;007D3264&quot;/&gt;&lt;wsp:rsid wsp:val=&quot;007D32FF&quot;/&gt;&lt;wsp:rsid wsp:val=&quot;007D375C&quot;/&gt;&lt;wsp:rsid wsp:val=&quot;007D3C9B&quot;/&gt;&lt;wsp:rsid wsp:val=&quot;007D409B&quot;/&gt;&lt;wsp:rsid wsp:val=&quot;007D41AB&quot;/&gt;&lt;wsp:rsid wsp:val=&quot;007D4587&quot;/&gt;&lt;wsp:rsid wsp:val=&quot;007D47CB&quot;/&gt;&lt;wsp:rsid wsp:val=&quot;007D4BC7&quot;/&gt;&lt;wsp:rsid wsp:val=&quot;007D4C39&quot;/&gt;&lt;wsp:rsid wsp:val=&quot;007D4D48&quot;/&gt;&lt;wsp:rsid wsp:val=&quot;007D4DA5&quot;/&gt;&lt;wsp:rsid wsp:val=&quot;007D5948&quot;/&gt;&lt;wsp:rsid wsp:val=&quot;007D5B4C&quot;/&gt;&lt;wsp:rsid wsp:val=&quot;007D5C25&quot;/&gt;&lt;wsp:rsid wsp:val=&quot;007D5D86&quot;/&gt;&lt;wsp:rsid wsp:val=&quot;007D5EA0&quot;/&gt;&lt;wsp:rsid wsp:val=&quot;007D5FDB&quot;/&gt;&lt;wsp:rsid wsp:val=&quot;007D627E&quot;/&gt;&lt;wsp:rsid wsp:val=&quot;007D62FD&quot;/&gt;&lt;wsp:rsid wsp:val=&quot;007D6494&quot;/&gt;&lt;wsp:rsid wsp:val=&quot;007D64A7&quot;/&gt;&lt;wsp:rsid wsp:val=&quot;007D6508&quot;/&gt;&lt;wsp:rsid wsp:val=&quot;007D6C21&quot;/&gt;&lt;wsp:rsid wsp:val=&quot;007D716E&quot;/&gt;&lt;wsp:rsid wsp:val=&quot;007D7ACF&quot;/&gt;&lt;wsp:rsid wsp:val=&quot;007D7BCF&quot;/&gt;&lt;wsp:rsid wsp:val=&quot;007E00E4&quot;/&gt;&lt;wsp:rsid wsp:val=&quot;007E0268&quot;/&gt;&lt;wsp:rsid wsp:val=&quot;007E060E&quot;/&gt;&lt;wsp:rsid wsp:val=&quot;007E087A&quot;/&gt;&lt;wsp:rsid wsp:val=&quot;007E0969&quot;/&gt;&lt;wsp:rsid wsp:val=&quot;007E09FA&quot;/&gt;&lt;wsp:rsid wsp:val=&quot;007E1244&quot;/&gt;&lt;wsp:rsid wsp:val=&quot;007E1A43&quot;/&gt;&lt;wsp:rsid wsp:val=&quot;007E1A52&quot;/&gt;&lt;wsp:rsid wsp:val=&quot;007E1ADE&quot;/&gt;&lt;wsp:rsid wsp:val=&quot;007E1D43&quot;/&gt;&lt;wsp:rsid wsp:val=&quot;007E1D4D&quot;/&gt;&lt;wsp:rsid wsp:val=&quot;007E2123&quot;/&gt;&lt;wsp:rsid wsp:val=&quot;007E241C&quot;/&gt;&lt;wsp:rsid wsp:val=&quot;007E2834&quot;/&gt;&lt;wsp:rsid wsp:val=&quot;007E2BC4&quot;/&gt;&lt;wsp:rsid wsp:val=&quot;007E2DA6&quot;/&gt;&lt;wsp:rsid wsp:val=&quot;007E2FA4&quot;/&gt;&lt;wsp:rsid wsp:val=&quot;007E30B9&quot;/&gt;&lt;wsp:rsid wsp:val=&quot;007E3370&quot;/&gt;&lt;wsp:rsid wsp:val=&quot;007E3593&quot;/&gt;&lt;wsp:rsid wsp:val=&quot;007E3686&quot;/&gt;&lt;wsp:rsid wsp:val=&quot;007E3EA5&quot;/&gt;&lt;wsp:rsid wsp:val=&quot;007E3F11&quot;/&gt;&lt;wsp:rsid wsp:val=&quot;007E3F9E&quot;/&gt;&lt;wsp:rsid wsp:val=&quot;007E47F7&quot;/&gt;&lt;wsp:rsid wsp:val=&quot;007E48E6&quot;/&gt;&lt;wsp:rsid wsp:val=&quot;007E4A75&quot;/&gt;&lt;wsp:rsid wsp:val=&quot;007E4A99&quot;/&gt;&lt;wsp:rsid wsp:val=&quot;007E4C83&quot;/&gt;&lt;wsp:rsid wsp:val=&quot;007E4FF9&quot;/&gt;&lt;wsp:rsid wsp:val=&quot;007E56C3&quot;/&gt;&lt;wsp:rsid wsp:val=&quot;007E5D09&quot;/&gt;&lt;wsp:rsid wsp:val=&quot;007E5D15&quot;/&gt;&lt;wsp:rsid wsp:val=&quot;007E60E4&quot;/&gt;&lt;wsp:rsid wsp:val=&quot;007E61AF&quot;/&gt;&lt;wsp:rsid wsp:val=&quot;007E61DC&quot;/&gt;&lt;wsp:rsid wsp:val=&quot;007E6348&quot;/&gt;&lt;wsp:rsid wsp:val=&quot;007E63EE&quot;/&gt;&lt;wsp:rsid wsp:val=&quot;007E64B8&quot;/&gt;&lt;wsp:rsid wsp:val=&quot;007E6716&quot;/&gt;&lt;wsp:rsid wsp:val=&quot;007E67E9&quot;/&gt;&lt;wsp:rsid wsp:val=&quot;007E6845&quot;/&gt;&lt;wsp:rsid wsp:val=&quot;007E684D&quot;/&gt;&lt;wsp:rsid wsp:val=&quot;007E6ADF&quot;/&gt;&lt;wsp:rsid wsp:val=&quot;007E6AFE&quot;/&gt;&lt;wsp:rsid wsp:val=&quot;007E6EC8&quot;/&gt;&lt;wsp:rsid wsp:val=&quot;007E710C&quot;/&gt;&lt;wsp:rsid wsp:val=&quot;007E72A0&quot;/&gt;&lt;wsp:rsid wsp:val=&quot;007E7602&quot;/&gt;&lt;wsp:rsid wsp:val=&quot;007E769B&quot;/&gt;&lt;wsp:rsid wsp:val=&quot;007E76D6&quot;/&gt;&lt;wsp:rsid wsp:val=&quot;007E775F&quot;/&gt;&lt;wsp:rsid wsp:val=&quot;007E7799&quot;/&gt;&lt;wsp:rsid wsp:val=&quot;007E7C3A&quot;/&gt;&lt;wsp:rsid wsp:val=&quot;007F0137&quot;/&gt;&lt;wsp:rsid wsp:val=&quot;007F0F44&quot;/&gt;&lt;wsp:rsid wsp:val=&quot;007F13C7&quot;/&gt;&lt;wsp:rsid wsp:val=&quot;007F13E5&quot;/&gt;&lt;wsp:rsid wsp:val=&quot;007F1C37&quot;/&gt;&lt;wsp:rsid wsp:val=&quot;007F1C87&quot;/&gt;&lt;wsp:rsid wsp:val=&quot;007F1EB8&quot;/&gt;&lt;wsp:rsid wsp:val=&quot;007F2148&quot;/&gt;&lt;wsp:rsid wsp:val=&quot;007F2178&quot;/&gt;&lt;wsp:rsid wsp:val=&quot;007F2329&quot;/&gt;&lt;wsp:rsid wsp:val=&quot;007F2475&quot;/&gt;&lt;wsp:rsid wsp:val=&quot;007F28FE&quot;/&gt;&lt;wsp:rsid wsp:val=&quot;007F2C05&quot;/&gt;&lt;wsp:rsid wsp:val=&quot;007F2F0B&quot;/&gt;&lt;wsp:rsid wsp:val=&quot;007F3061&quot;/&gt;&lt;wsp:rsid wsp:val=&quot;007F31BC&quot;/&gt;&lt;wsp:rsid wsp:val=&quot;007F34DE&quot;/&gt;&lt;wsp:rsid wsp:val=&quot;007F390A&quot;/&gt;&lt;wsp:rsid wsp:val=&quot;007F4472&quot;/&gt;&lt;wsp:rsid wsp:val=&quot;007F4B96&quot;/&gt;&lt;wsp:rsid wsp:val=&quot;007F4F74&quot;/&gt;&lt;wsp:rsid wsp:val=&quot;007F5177&quot;/&gt;&lt;wsp:rsid wsp:val=&quot;007F60E6&quot;/&gt;&lt;wsp:rsid wsp:val=&quot;007F6270&quot;/&gt;&lt;wsp:rsid wsp:val=&quot;007F6404&quot;/&gt;&lt;wsp:rsid wsp:val=&quot;007F718E&quot;/&gt;&lt;wsp:rsid wsp:val=&quot;007F771F&quot;/&gt;&lt;wsp:rsid wsp:val=&quot;007F7A4C&quot;/&gt;&lt;wsp:rsid wsp:val=&quot;008001D8&quot;/&gt;&lt;wsp:rsid wsp:val=&quot;008006A8&quot;/&gt;&lt;wsp:rsid wsp:val=&quot;00800BB8&quot;/&gt;&lt;wsp:rsid wsp:val=&quot;00800E2C&quot;/&gt;&lt;wsp:rsid wsp:val=&quot;00800F0F&quot;/&gt;&lt;wsp:rsid wsp:val=&quot;00801002&quot;/&gt;&lt;wsp:rsid wsp:val=&quot;00802450&quot;/&gt;&lt;wsp:rsid wsp:val=&quot;008025B5&quot;/&gt;&lt;wsp:rsid wsp:val=&quot;0080274C&quot;/&gt;&lt;wsp:rsid wsp:val=&quot;00802CB7&quot;/&gt;&lt;wsp:rsid wsp:val=&quot;00802CDF&quot;/&gt;&lt;wsp:rsid wsp:val=&quot;00802E4A&quot;/&gt;&lt;wsp:rsid wsp:val=&quot;00802EE9&quot;/&gt;&lt;wsp:rsid wsp:val=&quot;00803A2E&quot;/&gt;&lt;wsp:rsid wsp:val=&quot;00803FF4&quot;/&gt;&lt;wsp:rsid wsp:val=&quot;0080414C&quot;/&gt;&lt;wsp:rsid wsp:val=&quot;008041B4&quot;/&gt;&lt;wsp:rsid wsp:val=&quot;008043C2&quot;/&gt;&lt;wsp:rsid wsp:val=&quot;00804428&quot;/&gt;&lt;wsp:rsid wsp:val=&quot;00804761&quot;/&gt;&lt;wsp:rsid wsp:val=&quot;008047A2&quot;/&gt;&lt;wsp:rsid wsp:val=&quot;00804A49&quot;/&gt;&lt;wsp:rsid wsp:val=&quot;00804C46&quot;/&gt;&lt;wsp:rsid wsp:val=&quot;008050C6&quot;/&gt;&lt;wsp:rsid wsp:val=&quot;0080576A&quot;/&gt;&lt;wsp:rsid wsp:val=&quot;00805848&quot;/&gt;&lt;wsp:rsid wsp:val=&quot;00806065&quot;/&gt;&lt;wsp:rsid wsp:val=&quot;00806A5A&quot;/&gt;&lt;wsp:rsid wsp:val=&quot;008071B3&quot;/&gt;&lt;wsp:rsid wsp:val=&quot;00807212&quot;/&gt;&lt;wsp:rsid wsp:val=&quot;0080760F&quot;/&gt;&lt;wsp:rsid wsp:val=&quot;00807880&quot;/&gt;&lt;wsp:rsid wsp:val=&quot;00807C26&quot;/&gt;&lt;wsp:rsid wsp:val=&quot;00807F63&quot;/&gt;&lt;wsp:rsid wsp:val=&quot;00810315&quot;/&gt;&lt;wsp:rsid wsp:val=&quot;00810398&quot;/&gt;&lt;wsp:rsid wsp:val=&quot;00810414&quot;/&gt;&lt;wsp:rsid wsp:val=&quot;00810708&quot;/&gt;&lt;wsp:rsid wsp:val=&quot;008108F0&quot;/&gt;&lt;wsp:rsid wsp:val=&quot;008109F5&quot;/&gt;&lt;wsp:rsid wsp:val=&quot;00810C6B&quot;/&gt;&lt;wsp:rsid wsp:val=&quot;00811081&quot;/&gt;&lt;wsp:rsid wsp:val=&quot;008110E1&quot;/&gt;&lt;wsp:rsid wsp:val=&quot;00811601&quot;/&gt;&lt;wsp:rsid wsp:val=&quot;00811852&quot;/&gt;&lt;wsp:rsid wsp:val=&quot;00811902&quot;/&gt;&lt;wsp:rsid wsp:val=&quot;00811A43&quot;/&gt;&lt;wsp:rsid wsp:val=&quot;00811FE4&quot;/&gt;&lt;wsp:rsid wsp:val=&quot;00812170&quot;/&gt;&lt;wsp:rsid wsp:val=&quot;0081258B&quot;/&gt;&lt;wsp:rsid wsp:val=&quot;00812BBB&quot;/&gt;&lt;wsp:rsid wsp:val=&quot;00812C46&quot;/&gt;&lt;wsp:rsid wsp:val=&quot;00812CD9&quot;/&gt;&lt;wsp:rsid wsp:val=&quot;008132A5&quot;/&gt;&lt;wsp:rsid wsp:val=&quot;00813330&quot;/&gt;&lt;wsp:rsid wsp:val=&quot;00813361&quot;/&gt;&lt;wsp:rsid wsp:val=&quot;008134AA&quot;/&gt;&lt;wsp:rsid wsp:val=&quot;008137F2&quot;/&gt;&lt;wsp:rsid wsp:val=&quot;00813849&quot;/&gt;&lt;wsp:rsid wsp:val=&quot;00814082&quot;/&gt;&lt;wsp:rsid wsp:val=&quot;0081486F&quot;/&gt;&lt;wsp:rsid wsp:val=&quot;00814B3B&quot;/&gt;&lt;wsp:rsid wsp:val=&quot;00814B61&quot;/&gt;&lt;wsp:rsid wsp:val=&quot;00815174&quot;/&gt;&lt;wsp:rsid wsp:val=&quot;008155F9&quot;/&gt;&lt;wsp:rsid wsp:val=&quot;008159A1&quot;/&gt;&lt;wsp:rsid wsp:val=&quot;00815B37&quot;/&gt;&lt;wsp:rsid wsp:val=&quot;00815EA7&quot;/&gt;&lt;wsp:rsid wsp:val=&quot;00815EBD&quot;/&gt;&lt;wsp:rsid wsp:val=&quot;008162FE&quot;/&gt;&lt;wsp:rsid wsp:val=&quot;00816398&quot;/&gt;&lt;wsp:rsid wsp:val=&quot;0081654E&quot;/&gt;&lt;wsp:rsid wsp:val=&quot;00816C1E&quot;/&gt;&lt;wsp:rsid wsp:val=&quot;00816C46&quot;/&gt;&lt;wsp:rsid wsp:val=&quot;00816D56&quot;/&gt;&lt;wsp:rsid wsp:val=&quot;008171AB&quot;/&gt;&lt;wsp:rsid wsp:val=&quot;008172B0&quot;/&gt;&lt;wsp:rsid wsp:val=&quot;00817387&quot;/&gt;&lt;wsp:rsid wsp:val=&quot;0081797F&quot;/&gt;&lt;wsp:rsid wsp:val=&quot;008200DC&quot;/&gt;&lt;wsp:rsid wsp:val=&quot;008203C2&quot;/&gt;&lt;wsp:rsid wsp:val=&quot;00821293&quot;/&gt;&lt;wsp:rsid wsp:val=&quot;00821807&quot;/&gt;&lt;wsp:rsid wsp:val=&quot;00821895&quot;/&gt;&lt;wsp:rsid wsp:val=&quot;00821A6B&quot;/&gt;&lt;wsp:rsid wsp:val=&quot;00821CE2&quot;/&gt;&lt;wsp:rsid wsp:val=&quot;008220BB&quot;/&gt;&lt;wsp:rsid wsp:val=&quot;00822539&quot;/&gt;&lt;wsp:rsid wsp:val=&quot;008234B3&quot;/&gt;&lt;wsp:rsid wsp:val=&quot;00823566&quot;/&gt;&lt;wsp:rsid wsp:val=&quot;00823B15&quot;/&gt;&lt;wsp:rsid wsp:val=&quot;00824561&quot;/&gt;&lt;wsp:rsid wsp:val=&quot;0082502E&quot;/&gt;&lt;wsp:rsid wsp:val=&quot;008251CA&quot;/&gt;&lt;wsp:rsid wsp:val=&quot;008253C6&quot;/&gt;&lt;wsp:rsid wsp:val=&quot;008253F0&quot;/&gt;&lt;wsp:rsid wsp:val=&quot;008256F2&quot;/&gt;&lt;wsp:rsid wsp:val=&quot;00825F83&quot;/&gt;&lt;wsp:rsid wsp:val=&quot;0082612E&quot;/&gt;&lt;wsp:rsid wsp:val=&quot;008262C5&quot;/&gt;&lt;wsp:rsid wsp:val=&quot;00826510&quot;/&gt;&lt;wsp:rsid wsp:val=&quot;0082706E&quot;/&gt;&lt;wsp:rsid wsp:val=&quot;0082759B&quot;/&gt;&lt;wsp:rsid wsp:val=&quot;00827BCA&quot;/&gt;&lt;wsp:rsid wsp:val=&quot;00827DAD&quot;/&gt;&lt;wsp:rsid wsp:val=&quot;00827F05&quot;/&gt;&lt;wsp:rsid wsp:val=&quot;00827F6D&quot;/&gt;&lt;wsp:rsid wsp:val=&quot;0083080E&quot;/&gt;&lt;wsp:rsid wsp:val=&quot;0083086C&quot;/&gt;&lt;wsp:rsid wsp:val=&quot;00830CF4&quot;/&gt;&lt;wsp:rsid wsp:val=&quot;00830DAF&quot;/&gt;&lt;wsp:rsid wsp:val=&quot;00830F63&quot;/&gt;&lt;wsp:rsid wsp:val=&quot;00830F77&quot;/&gt;&lt;wsp:rsid wsp:val=&quot;008311D9&quot;/&gt;&lt;wsp:rsid wsp:val=&quot;00831486&quot;/&gt;&lt;wsp:rsid wsp:val=&quot;00831AC1&quot;/&gt;&lt;wsp:rsid wsp:val=&quot;00831F2E&quot;/&gt;&lt;wsp:rsid wsp:val=&quot;008325A4&quot;/&gt;&lt;wsp:rsid wsp:val=&quot;00832ADC&quot;/&gt;&lt;wsp:rsid wsp:val=&quot;00832E81&quot;/&gt;&lt;wsp:rsid wsp:val=&quot;00833A63&quot;/&gt;&lt;wsp:rsid wsp:val=&quot;00833BF2&quot;/&gt;&lt;wsp:rsid wsp:val=&quot;00833D11&quot;/&gt;&lt;wsp:rsid wsp:val=&quot;00833D69&quot;/&gt;&lt;wsp:rsid wsp:val=&quot;00833F52&quot;/&gt;&lt;wsp:rsid wsp:val=&quot;00834120&quot;/&gt;&lt;wsp:rsid wsp:val=&quot;00834185&quot;/&gt;&lt;wsp:rsid wsp:val=&quot;00834541&quot;/&gt;&lt;wsp:rsid wsp:val=&quot;00834920&quot;/&gt;&lt;wsp:rsid wsp:val=&quot;008349E6&quot;/&gt;&lt;wsp:rsid wsp:val=&quot;00834C64&quot;/&gt;&lt;wsp:rsid wsp:val=&quot;00834ECA&quot;/&gt;&lt;wsp:rsid wsp:val=&quot;00834ED1&quot;/&gt;&lt;wsp:rsid wsp:val=&quot;00834EE9&quot;/&gt;&lt;wsp:rsid wsp:val=&quot;00835031&quot;/&gt;&lt;wsp:rsid wsp:val=&quot;008354B6&quot;/&gt;&lt;wsp:rsid wsp:val=&quot;00835797&quot;/&gt;&lt;wsp:rsid wsp:val=&quot;00835A24&quot;/&gt;&lt;wsp:rsid wsp:val=&quot;00835B9C&quot;/&gt;&lt;wsp:rsid wsp:val=&quot;00835BEA&quot;/&gt;&lt;wsp:rsid wsp:val=&quot;00835C42&quot;/&gt;&lt;wsp:rsid wsp:val=&quot;00836133&quot;/&gt;&lt;wsp:rsid wsp:val=&quot;0083635A&quot;/&gt;&lt;wsp:rsid wsp:val=&quot;008365CB&quot;/&gt;&lt;wsp:rsid wsp:val=&quot;00836C7C&quot;/&gt;&lt;wsp:rsid wsp:val=&quot;00836DB2&quot;/&gt;&lt;wsp:rsid wsp:val=&quot;00836F53&quot;/&gt;&lt;wsp:rsid wsp:val=&quot;00837197&quot;/&gt;&lt;wsp:rsid wsp:val=&quot;008375F6&quot;/&gt;&lt;wsp:rsid wsp:val=&quot;008377FE&quot;/&gt;&lt;wsp:rsid wsp:val=&quot;00837A1D&quot;/&gt;&lt;wsp:rsid wsp:val=&quot;00837D64&quot;/&gt;&lt;wsp:rsid wsp:val=&quot;00837E77&quot;/&gt;&lt;wsp:rsid wsp:val=&quot;008400EC&quot;/&gt;&lt;wsp:rsid wsp:val=&quot;0084034A&quot;/&gt;&lt;wsp:rsid wsp:val=&quot;00840447&quot;/&gt;&lt;wsp:rsid wsp:val=&quot;0084099B&quot;/&gt;&lt;wsp:rsid wsp:val=&quot;00840F5A&quot;/&gt;&lt;wsp:rsid wsp:val=&quot;00840FC2&quot;/&gt;&lt;wsp:rsid wsp:val=&quot;0084150B&quot;/&gt;&lt;wsp:rsid wsp:val=&quot;0084178A&quot;/&gt;&lt;wsp:rsid wsp:val=&quot;00841F2F&quot;/&gt;&lt;wsp:rsid wsp:val=&quot;00841F32&quot;/&gt;&lt;wsp:rsid wsp:val=&quot;00841FD5&quot;/&gt;&lt;wsp:rsid wsp:val=&quot;0084207E&quot;/&gt;&lt;wsp:rsid wsp:val=&quot;00843913&quot;/&gt;&lt;wsp:rsid wsp:val=&quot;00843B1E&quot;/&gt;&lt;wsp:rsid wsp:val=&quot;00843B27&quot;/&gt;&lt;wsp:rsid wsp:val=&quot;00844103&quot;/&gt;&lt;wsp:rsid wsp:val=&quot;008441EA&quot;/&gt;&lt;wsp:rsid wsp:val=&quot;00844794&quot;/&gt;&lt;wsp:rsid wsp:val=&quot;008447E6&quot;/&gt;&lt;wsp:rsid wsp:val=&quot;0084482C&quot;/&gt;&lt;wsp:rsid wsp:val=&quot;00845048&quot;/&gt;&lt;wsp:rsid wsp:val=&quot;008452FB&quot;/&gt;&lt;wsp:rsid wsp:val=&quot;008457C9&quot;/&gt;&lt;wsp:rsid wsp:val=&quot;00845898&quot;/&gt;&lt;wsp:rsid wsp:val=&quot;00845C8D&quot;/&gt;&lt;wsp:rsid wsp:val=&quot;00845F37&quot;/&gt;&lt;wsp:rsid wsp:val=&quot;0084642F&quot;/&gt;&lt;wsp:rsid wsp:val=&quot;00846458&quot;/&gt;&lt;wsp:rsid wsp:val=&quot;008465F4&quot;/&gt;&lt;wsp:rsid wsp:val=&quot;00846A80&quot;/&gt;&lt;wsp:rsid wsp:val=&quot;00847162&quot;/&gt;&lt;wsp:rsid wsp:val=&quot;008472BD&quot;/&gt;&lt;wsp:rsid wsp:val=&quot;008473E4&quot;/&gt;&lt;wsp:rsid wsp:val=&quot;008477EC&quot;/&gt;&lt;wsp:rsid wsp:val=&quot;008479D2&quot;/&gt;&lt;wsp:rsid wsp:val=&quot;00847D45&quot;/&gt;&lt;wsp:rsid wsp:val=&quot;00847DFB&quot;/&gt;&lt;wsp:rsid wsp:val=&quot;00847E31&quot;/&gt;&lt;wsp:rsid wsp:val=&quot;00850BAB&quot;/&gt;&lt;wsp:rsid wsp:val=&quot;00851693&quot;/&gt;&lt;wsp:rsid wsp:val=&quot;0085176F&quot;/&gt;&lt;wsp:rsid wsp:val=&quot;0085195C&quot;/&gt;&lt;wsp:rsid wsp:val=&quot;00851F11&quot;/&gt;&lt;wsp:rsid wsp:val=&quot;008521E1&quot;/&gt;&lt;wsp:rsid wsp:val=&quot;0085225F&quot;/&gt;&lt;wsp:rsid wsp:val=&quot;00852400&quot;/&gt;&lt;wsp:rsid wsp:val=&quot;00852D44&quot;/&gt;&lt;wsp:rsid wsp:val=&quot;008530EB&quot;/&gt;&lt;wsp:rsid wsp:val=&quot;0085337D&quot;/&gt;&lt;wsp:rsid wsp:val=&quot;008533E2&quot;/&gt;&lt;wsp:rsid wsp:val=&quot;0085363E&quot;/&gt;&lt;wsp:rsid wsp:val=&quot;00853EC8&quot;/&gt;&lt;wsp:rsid wsp:val=&quot;00853EDE&quot;/&gt;&lt;wsp:rsid wsp:val=&quot;0085402E&quot;/&gt;&lt;wsp:rsid wsp:val=&quot;008541BF&quot;/&gt;&lt;wsp:rsid wsp:val=&quot;008545D3&quot;/&gt;&lt;wsp:rsid wsp:val=&quot;00854628&quot;/&gt;&lt;wsp:rsid wsp:val=&quot;008547C4&quot;/&gt;&lt;wsp:rsid wsp:val=&quot;00854A4F&quot;/&gt;&lt;wsp:rsid wsp:val=&quot;00854D45&quot;/&gt;&lt;wsp:rsid wsp:val=&quot;00854F38&quot;/&gt;&lt;wsp:rsid wsp:val=&quot;00855083&quot;/&gt;&lt;wsp:rsid wsp:val=&quot;00855EDE&quot;/&gt;&lt;wsp:rsid wsp:val=&quot;00855F9C&quot;/&gt;&lt;wsp:rsid wsp:val=&quot;00856487&quot;/&gt;&lt;wsp:rsid wsp:val=&quot;0085684E&quot;/&gt;&lt;wsp:rsid wsp:val=&quot;00856EBC&quot;/&gt;&lt;wsp:rsid wsp:val=&quot;00857644&quot;/&gt;&lt;wsp:rsid wsp:val=&quot;00857B5D&quot;/&gt;&lt;wsp:rsid wsp:val=&quot;00857BD4&quot;/&gt;&lt;wsp:rsid wsp:val=&quot;00857C3A&quot;/&gt;&lt;wsp:rsid wsp:val=&quot;00857F77&quot;/&gt;&lt;wsp:rsid wsp:val=&quot;00860617&quot;/&gt;&lt;wsp:rsid wsp:val=&quot;008606ED&quot;/&gt;&lt;wsp:rsid wsp:val=&quot;0086099B&quot;/&gt;&lt;wsp:rsid wsp:val=&quot;00860CB8&quot;/&gt;&lt;wsp:rsid wsp:val=&quot;00860E78&quot;/&gt;&lt;wsp:rsid wsp:val=&quot;00860F42&quot;/&gt;&lt;wsp:rsid wsp:val=&quot;0086129F&quot;/&gt;&lt;wsp:rsid wsp:val=&quot;00861D60&quot;/&gt;&lt;wsp:rsid wsp:val=&quot;0086286D&quot;/&gt;&lt;wsp:rsid wsp:val=&quot;0086299E&quot;/&gt;&lt;wsp:rsid wsp:val=&quot;00862A79&quot;/&gt;&lt;wsp:rsid wsp:val=&quot;00862B26&quot;/&gt;&lt;wsp:rsid wsp:val=&quot;00862DF6&quot;/&gt;&lt;wsp:rsid wsp:val=&quot;0086306A&quot;/&gt;&lt;wsp:rsid wsp:val=&quot;0086392F&quot;/&gt;&lt;wsp:rsid wsp:val=&quot;00863A18&quot;/&gt;&lt;wsp:rsid wsp:val=&quot;00863A9C&quot;/&gt;&lt;wsp:rsid wsp:val=&quot;00863AAB&quot;/&gt;&lt;wsp:rsid wsp:val=&quot;00863B3E&quot;/&gt;&lt;wsp:rsid wsp:val=&quot;00863BCA&quot;/&gt;&lt;wsp:rsid wsp:val=&quot;00863C5D&quot;/&gt;&lt;wsp:rsid wsp:val=&quot;00864B9C&quot;/&gt;&lt;wsp:rsid wsp:val=&quot;00864DD5&quot;/&gt;&lt;wsp:rsid wsp:val=&quot;00864E60&quot;/&gt;&lt;wsp:rsid wsp:val=&quot;008651C2&quot;/&gt;&lt;wsp:rsid wsp:val=&quot;008656B8&quot;/&gt;&lt;wsp:rsid wsp:val=&quot;0086572F&quot;/&gt;&lt;wsp:rsid wsp:val=&quot;00865818&quot;/&gt;&lt;wsp:rsid wsp:val=&quot;0086582D&quot;/&gt;&lt;wsp:rsid wsp:val=&quot;00865D23&quot;/&gt;&lt;wsp:rsid wsp:val=&quot;00866052&quot;/&gt;&lt;wsp:rsid wsp:val=&quot;00866268&quot;/&gt;&lt;wsp:rsid wsp:val=&quot;008668B7&quot;/&gt;&lt;wsp:rsid wsp:val=&quot;00866EEA&quot;/&gt;&lt;wsp:rsid wsp:val=&quot;0086727A&quot;/&gt;&lt;wsp:rsid wsp:val=&quot;00867798&quot;/&gt;&lt;wsp:rsid wsp:val=&quot;008677CD&quot;/&gt;&lt;wsp:rsid wsp:val=&quot;00867A65&quot;/&gt;&lt;wsp:rsid wsp:val=&quot;00867C5A&quot;/&gt;&lt;wsp:rsid wsp:val=&quot;00867CB4&quot;/&gt;&lt;wsp:rsid wsp:val=&quot;00867CC3&quot;/&gt;&lt;wsp:rsid wsp:val=&quot;00867D03&quot;/&gt;&lt;wsp:rsid wsp:val=&quot;00867D35&quot;/&gt;&lt;wsp:rsid wsp:val=&quot;0087007F&quot;/&gt;&lt;wsp:rsid wsp:val=&quot;0087015A&quot;/&gt;&lt;wsp:rsid wsp:val=&quot;00870441&quot;/&gt;&lt;wsp:rsid wsp:val=&quot;008705CF&quot;/&gt;&lt;wsp:rsid wsp:val=&quot;00870F38&quot;/&gt;&lt;wsp:rsid wsp:val=&quot;00871074&quot;/&gt;&lt;wsp:rsid wsp:val=&quot;00871C8C&quot;/&gt;&lt;wsp:rsid wsp:val=&quot;008720CB&quot;/&gt;&lt;wsp:rsid wsp:val=&quot;008726A9&quot;/&gt;&lt;wsp:rsid wsp:val=&quot;00872787&quot;/&gt;&lt;wsp:rsid wsp:val=&quot;008729D0&quot;/&gt;&lt;wsp:rsid wsp:val=&quot;00872C40&quot;/&gt;&lt;wsp:rsid wsp:val=&quot;00872D7F&quot;/&gt;&lt;wsp:rsid wsp:val=&quot;00872DB3&quot;/&gt;&lt;wsp:rsid wsp:val=&quot;008736C3&quot;/&gt;&lt;wsp:rsid wsp:val=&quot;0087390D&quot;/&gt;&lt;wsp:rsid wsp:val=&quot;00873CBA&quot;/&gt;&lt;wsp:rsid wsp:val=&quot;00874008&quot;/&gt;&lt;wsp:rsid wsp:val=&quot;008740A4&quot;/&gt;&lt;wsp:rsid wsp:val=&quot;00874188&quot;/&gt;&lt;wsp:rsid wsp:val=&quot;0087486B&quot;/&gt;&lt;wsp:rsid wsp:val=&quot;00875314&quot;/&gt;&lt;wsp:rsid wsp:val=&quot;0087532C&quot;/&gt;&lt;wsp:rsid wsp:val=&quot;00875357&quot;/&gt;&lt;wsp:rsid wsp:val=&quot;00875535&quot;/&gt;&lt;wsp:rsid wsp:val=&quot;00875647&quot;/&gt;&lt;wsp:rsid wsp:val=&quot;00875C02&quot;/&gt;&lt;wsp:rsid wsp:val=&quot;00875C95&quot;/&gt;&lt;wsp:rsid wsp:val=&quot;0087627E&quot;/&gt;&lt;wsp:rsid wsp:val=&quot;00876323&quot;/&gt;&lt;wsp:rsid wsp:val=&quot;00876E08&quot;/&gt;&lt;wsp:rsid wsp:val=&quot;008771C4&quot;/&gt;&lt;wsp:rsid wsp:val=&quot;008771E1&quot;/&gt;&lt;wsp:rsid wsp:val=&quot;008772EF&quot;/&gt;&lt;wsp:rsid wsp:val=&quot;00877482&quot;/&gt;&lt;wsp:rsid wsp:val=&quot;0087793A&quot;/&gt;&lt;wsp:rsid wsp:val=&quot;00877A42&quot;/&gt;&lt;wsp:rsid wsp:val=&quot;00877CCA&quot;/&gt;&lt;wsp:rsid wsp:val=&quot;00877E26&quot;/&gt;&lt;wsp:rsid wsp:val=&quot;00877F97&quot;/&gt;&lt;wsp:rsid wsp:val=&quot;00880187&quot;/&gt;&lt;wsp:rsid wsp:val=&quot;008807B2&quot;/&gt;&lt;wsp:rsid wsp:val=&quot;00880B0F&quot;/&gt;&lt;wsp:rsid wsp:val=&quot;00880B38&quot;/&gt;&lt;wsp:rsid wsp:val=&quot;008810ED&quot;/&gt;&lt;wsp:rsid wsp:val=&quot;0088155F&quot;/&gt;&lt;wsp:rsid wsp:val=&quot;00881959&quot;/&gt;&lt;wsp:rsid wsp:val=&quot;00881ABE&quot;/&gt;&lt;wsp:rsid wsp:val=&quot;00881C47&quot;/&gt;&lt;wsp:rsid wsp:val=&quot;00881FA6&quot;/&gt;&lt;wsp:rsid wsp:val=&quot;00881FC5&quot;/&gt;&lt;wsp:rsid wsp:val=&quot;008827B5&quot;/&gt;&lt;wsp:rsid wsp:val=&quot;00882E0E&quot;/&gt;&lt;wsp:rsid wsp:val=&quot;00883479&quot;/&gt;&lt;wsp:rsid wsp:val=&quot;00883601&quot;/&gt;&lt;wsp:rsid wsp:val=&quot;00884438&quot;/&gt;&lt;wsp:rsid wsp:val=&quot;008845D2&quot;/&gt;&lt;wsp:rsid wsp:val=&quot;00884689&quot;/&gt;&lt;wsp:rsid wsp:val=&quot;00884986&quot;/&gt;&lt;wsp:rsid wsp:val=&quot;00884E3A&quot;/&gt;&lt;wsp:rsid wsp:val=&quot;00884F66&quot;/&gt;&lt;wsp:rsid wsp:val=&quot;00885945&quot;/&gt;&lt;wsp:rsid wsp:val=&quot;00886031&quot;/&gt;&lt;wsp:rsid wsp:val=&quot;00886287&quot;/&gt;&lt;wsp:rsid wsp:val=&quot;008865EF&quot;/&gt;&lt;wsp:rsid wsp:val=&quot;00886926&quot;/&gt;&lt;wsp:rsid wsp:val=&quot;008869CD&quot;/&gt;&lt;wsp:rsid wsp:val=&quot;00886C82&quot;/&gt;&lt;wsp:rsid wsp:val=&quot;00886CA9&quot;/&gt;&lt;wsp:rsid wsp:val=&quot;00886F3F&quot;/&gt;&lt;wsp:rsid wsp:val=&quot;00887159&quot;/&gt;&lt;wsp:rsid wsp:val=&quot;008871E3&quot;/&gt;&lt;wsp:rsid wsp:val=&quot;0088732A&quot;/&gt;&lt;wsp:rsid wsp:val=&quot;008876C3&quot;/&gt;&lt;wsp:rsid wsp:val=&quot;0088771E&quot;/&gt;&lt;wsp:rsid wsp:val=&quot;00887E0A&quot;/&gt;&lt;wsp:rsid wsp:val=&quot;00887F79&quot;/&gt;&lt;wsp:rsid wsp:val=&quot;00890178&quot;/&gt;&lt;wsp:rsid wsp:val=&quot;0089018B&quot;/&gt;&lt;wsp:rsid wsp:val=&quot;008908F5&quot;/&gt;&lt;wsp:rsid wsp:val=&quot;00890907&quot;/&gt;&lt;wsp:rsid wsp:val=&quot;00890DFA&quot;/&gt;&lt;wsp:rsid wsp:val=&quot;00890F78&quot;/&gt;&lt;wsp:rsid wsp:val=&quot;0089120C&quot;/&gt;&lt;wsp:rsid wsp:val=&quot;008912E6&quot;/&gt;&lt;wsp:rsid wsp:val=&quot;0089138D&quot;/&gt;&lt;wsp:rsid wsp:val=&quot;00891863&quot;/&gt;&lt;wsp:rsid wsp:val=&quot;00891FAF&quot;/&gt;&lt;wsp:rsid wsp:val=&quot;008925B1&quot;/&gt;&lt;wsp:rsid wsp:val=&quot;0089275F&quot;/&gt;&lt;wsp:rsid wsp:val=&quot;00892A3B&quot;/&gt;&lt;wsp:rsid wsp:val=&quot;00892CA5&quot;/&gt;&lt;wsp:rsid wsp:val=&quot;00892E00&quot;/&gt;&lt;wsp:rsid wsp:val=&quot;00892E48&quot;/&gt;&lt;wsp:rsid wsp:val=&quot;00892E84&quot;/&gt;&lt;wsp:rsid wsp:val=&quot;0089333C&quot;/&gt;&lt;wsp:rsid wsp:val=&quot;00893479&quot;/&gt;&lt;wsp:rsid wsp:val=&quot;00893902&quot;/&gt;&lt;wsp:rsid wsp:val=&quot;00893A12&quot;/&gt;&lt;wsp:rsid wsp:val=&quot;00894712&quot;/&gt;&lt;wsp:rsid wsp:val=&quot;00894888&quot;/&gt;&lt;wsp:rsid wsp:val=&quot;008949DC&quot;/&gt;&lt;wsp:rsid wsp:val=&quot;00894D38&quot;/&gt;&lt;wsp:rsid wsp:val=&quot;00894EB0&quot;/&gt;&lt;wsp:rsid wsp:val=&quot;008950DA&quot;/&gt;&lt;wsp:rsid wsp:val=&quot;00895431&quot;/&gt;&lt;wsp:rsid wsp:val=&quot;00896177&quot;/&gt;&lt;wsp:rsid wsp:val=&quot;0089699E&quot;/&gt;&lt;wsp:rsid wsp:val=&quot;00896A7F&quot;/&gt;&lt;wsp:rsid wsp:val=&quot;00897169&quot;/&gt;&lt;wsp:rsid wsp:val=&quot;00897285&quot;/&gt;&lt;wsp:rsid wsp:val=&quot;00897399&quot;/&gt;&lt;wsp:rsid wsp:val=&quot;00897681&quot;/&gt;&lt;wsp:rsid wsp:val=&quot;0089779C&quot;/&gt;&lt;wsp:rsid wsp:val=&quot;00897D80&quot;/&gt;&lt;wsp:rsid wsp:val=&quot;00897DD2&quot;/&gt;&lt;wsp:rsid wsp:val=&quot;008A0385&quot;/&gt;&lt;wsp:rsid wsp:val=&quot;008A0DCD&quot;/&gt;&lt;wsp:rsid wsp:val=&quot;008A0EDE&quot;/&gt;&lt;wsp:rsid wsp:val=&quot;008A0EE8&quot;/&gt;&lt;wsp:rsid wsp:val=&quot;008A1306&quot;/&gt;&lt;wsp:rsid wsp:val=&quot;008A14C4&quot;/&gt;&lt;wsp:rsid wsp:val=&quot;008A20A1&quot;/&gt;&lt;wsp:rsid wsp:val=&quot;008A241C&quot;/&gt;&lt;wsp:rsid wsp:val=&quot;008A247F&quot;/&gt;&lt;wsp:rsid wsp:val=&quot;008A25DF&quot;/&gt;&lt;wsp:rsid wsp:val=&quot;008A2A7F&quot;/&gt;&lt;wsp:rsid wsp:val=&quot;008A2BC2&quot;/&gt;&lt;wsp:rsid wsp:val=&quot;008A2EED&quot;/&gt;&lt;wsp:rsid wsp:val=&quot;008A3B93&quot;/&gt;&lt;wsp:rsid wsp:val=&quot;008A3C64&quot;/&gt;&lt;wsp:rsid wsp:val=&quot;008A3D0B&quot;/&gt;&lt;wsp:rsid wsp:val=&quot;008A3EBD&quot;/&gt;&lt;wsp:rsid wsp:val=&quot;008A3FE9&quot;/&gt;&lt;wsp:rsid wsp:val=&quot;008A4144&quot;/&gt;&lt;wsp:rsid wsp:val=&quot;008A4E20&quot;/&gt;&lt;wsp:rsid wsp:val=&quot;008A4EA3&quot;/&gt;&lt;wsp:rsid wsp:val=&quot;008A5893&quot;/&gt;&lt;wsp:rsid wsp:val=&quot;008A5F7B&quot;/&gt;&lt;wsp:rsid wsp:val=&quot;008A6419&quot;/&gt;&lt;wsp:rsid wsp:val=&quot;008A6E62&quot;/&gt;&lt;wsp:rsid wsp:val=&quot;008A7024&quot;/&gt;&lt;wsp:rsid wsp:val=&quot;008A760B&quot;/&gt;&lt;wsp:rsid wsp:val=&quot;008A7E5B&quot;/&gt;&lt;wsp:rsid wsp:val=&quot;008A7F16&quot;/&gt;&lt;wsp:rsid wsp:val=&quot;008A7FF1&quot;/&gt;&lt;wsp:rsid wsp:val=&quot;008B03B8&quot;/&gt;&lt;wsp:rsid wsp:val=&quot;008B0AEA&quot;/&gt;&lt;wsp:rsid wsp:val=&quot;008B0CE3&quot;/&gt;&lt;wsp:rsid wsp:val=&quot;008B0CFB&quot;/&gt;&lt;wsp:rsid wsp:val=&quot;008B0D74&quot;/&gt;&lt;wsp:rsid wsp:val=&quot;008B1657&quot;/&gt;&lt;wsp:rsid wsp:val=&quot;008B167F&quot;/&gt;&lt;wsp:rsid wsp:val=&quot;008B1B1E&quot;/&gt;&lt;wsp:rsid wsp:val=&quot;008B1C53&quot;/&gt;&lt;wsp:rsid wsp:val=&quot;008B1EDF&quot;/&gt;&lt;wsp:rsid wsp:val=&quot;008B21D4&quot;/&gt;&lt;wsp:rsid wsp:val=&quot;008B22BA&quot;/&gt;&lt;wsp:rsid wsp:val=&quot;008B2A6C&quot;/&gt;&lt;wsp:rsid wsp:val=&quot;008B2C88&quot;/&gt;&lt;wsp:rsid wsp:val=&quot;008B317E&quot;/&gt;&lt;wsp:rsid wsp:val=&quot;008B3BFC&quot;/&gt;&lt;wsp:rsid wsp:val=&quot;008B417A&quot;/&gt;&lt;wsp:rsid wsp:val=&quot;008B47DF&quot;/&gt;&lt;wsp:rsid wsp:val=&quot;008B4ACB&quot;/&gt;&lt;wsp:rsid wsp:val=&quot;008B4BD6&quot;/&gt;&lt;wsp:rsid wsp:val=&quot;008B4C4F&quot;/&gt;&lt;wsp:rsid wsp:val=&quot;008B4CD5&quot;/&gt;&lt;wsp:rsid wsp:val=&quot;008B4D67&quot;/&gt;&lt;wsp:rsid wsp:val=&quot;008B513C&quot;/&gt;&lt;wsp:rsid wsp:val=&quot;008B515C&quot;/&gt;&lt;wsp:rsid wsp:val=&quot;008B544C&quot;/&gt;&lt;wsp:rsid wsp:val=&quot;008B5962&quot;/&gt;&lt;wsp:rsid wsp:val=&quot;008B62D2&quot;/&gt;&lt;wsp:rsid wsp:val=&quot;008B6326&quot;/&gt;&lt;wsp:rsid wsp:val=&quot;008B6513&quot;/&gt;&lt;wsp:rsid wsp:val=&quot;008B6CC7&quot;/&gt;&lt;wsp:rsid wsp:val=&quot;008B7083&quot;/&gt;&lt;wsp:rsid wsp:val=&quot;008B79F6&quot;/&gt;&lt;wsp:rsid wsp:val=&quot;008B7BA6&quot;/&gt;&lt;wsp:rsid wsp:val=&quot;008B7BDD&quot;/&gt;&lt;wsp:rsid wsp:val=&quot;008C004F&quot;/&gt;&lt;wsp:rsid wsp:val=&quot;008C00FA&quot;/&gt;&lt;wsp:rsid wsp:val=&quot;008C031E&quot;/&gt;&lt;wsp:rsid wsp:val=&quot;008C0496&quot;/&gt;&lt;wsp:rsid wsp:val=&quot;008C0725&quot;/&gt;&lt;wsp:rsid wsp:val=&quot;008C09C3&quot;/&gt;&lt;wsp:rsid wsp:val=&quot;008C0A2C&quot;/&gt;&lt;wsp:rsid wsp:val=&quot;008C0CD1&quot;/&gt;&lt;wsp:rsid wsp:val=&quot;008C0FCD&quot;/&gt;&lt;wsp:rsid wsp:val=&quot;008C141C&quot;/&gt;&lt;wsp:rsid wsp:val=&quot;008C178B&quot;/&gt;&lt;wsp:rsid wsp:val=&quot;008C1CEF&quot;/&gt;&lt;wsp:rsid wsp:val=&quot;008C1FB8&quot;/&gt;&lt;wsp:rsid wsp:val=&quot;008C2188&quot;/&gt;&lt;wsp:rsid wsp:val=&quot;008C28FC&quot;/&gt;&lt;wsp:rsid wsp:val=&quot;008C2B53&quot;/&gt;&lt;wsp:rsid wsp:val=&quot;008C2C5D&quot;/&gt;&lt;wsp:rsid wsp:val=&quot;008C2DF1&quot;/&gt;&lt;wsp:rsid wsp:val=&quot;008C2E09&quot;/&gt;&lt;wsp:rsid wsp:val=&quot;008C2E73&quot;/&gt;&lt;wsp:rsid wsp:val=&quot;008C2F26&quot;/&gt;&lt;wsp:rsid wsp:val=&quot;008C304E&quot;/&gt;&lt;wsp:rsid wsp:val=&quot;008C3341&quot;/&gt;&lt;wsp:rsid wsp:val=&quot;008C3B27&quot;/&gt;&lt;wsp:rsid wsp:val=&quot;008C40F4&quot;/&gt;&lt;wsp:rsid wsp:val=&quot;008C4236&quot;/&gt;&lt;wsp:rsid wsp:val=&quot;008C440D&quot;/&gt;&lt;wsp:rsid wsp:val=&quot;008C45EB&quot;/&gt;&lt;wsp:rsid wsp:val=&quot;008C4AA7&quot;/&gt;&lt;wsp:rsid wsp:val=&quot;008C5370&quot;/&gt;&lt;wsp:rsid wsp:val=&quot;008C53E6&quot;/&gt;&lt;wsp:rsid wsp:val=&quot;008C61E8&quot;/&gt;&lt;wsp:rsid wsp:val=&quot;008C65D8&quot;/&gt;&lt;wsp:rsid wsp:val=&quot;008C6723&quot;/&gt;&lt;wsp:rsid wsp:val=&quot;008C69F0&quot;/&gt;&lt;wsp:rsid wsp:val=&quot;008C6F58&quot;/&gt;&lt;wsp:rsid wsp:val=&quot;008C71C6&quot;/&gt;&lt;wsp:rsid wsp:val=&quot;008C7236&quot;/&gt;&lt;wsp:rsid wsp:val=&quot;008C7457&quot;/&gt;&lt;wsp:rsid wsp:val=&quot;008C765C&quot;/&gt;&lt;wsp:rsid wsp:val=&quot;008C7731&quot;/&gt;&lt;wsp:rsid wsp:val=&quot;008C77E4&quot;/&gt;&lt;wsp:rsid wsp:val=&quot;008C7A0B&quot;/&gt;&lt;wsp:rsid wsp:val=&quot;008C7A60&quot;/&gt;&lt;wsp:rsid wsp:val=&quot;008C7B67&quot;/&gt;&lt;wsp:rsid wsp:val=&quot;008C7F15&quot;/&gt;&lt;wsp:rsid wsp:val=&quot;008D09DE&quot;/&gt;&lt;wsp:rsid wsp:val=&quot;008D0F15&quot;/&gt;&lt;wsp:rsid wsp:val=&quot;008D1621&quot;/&gt;&lt;wsp:rsid wsp:val=&quot;008D172B&quot;/&gt;&lt;wsp:rsid wsp:val=&quot;008D1BA5&quot;/&gt;&lt;wsp:rsid wsp:val=&quot;008D2C98&quot;/&gt;&lt;wsp:rsid wsp:val=&quot;008D3458&quot;/&gt;&lt;wsp:rsid wsp:val=&quot;008D345E&quot;/&gt;&lt;wsp:rsid wsp:val=&quot;008D3466&quot;/&gt;&lt;wsp:rsid wsp:val=&quot;008D3B15&quot;/&gt;&lt;wsp:rsid wsp:val=&quot;008D3B7B&quot;/&gt;&lt;wsp:rsid wsp:val=&quot;008D3C87&quot;/&gt;&lt;wsp:rsid wsp:val=&quot;008D4662&quot;/&gt;&lt;wsp:rsid wsp:val=&quot;008D46B1&quot;/&gt;&lt;wsp:rsid wsp:val=&quot;008D5085&quot;/&gt;&lt;wsp:rsid wsp:val=&quot;008D514A&quot;/&gt;&lt;wsp:rsid wsp:val=&quot;008D55C8&quot;/&gt;&lt;wsp:rsid wsp:val=&quot;008D621C&quot;/&gt;&lt;wsp:rsid wsp:val=&quot;008D656C&quot;/&gt;&lt;wsp:rsid wsp:val=&quot;008D6AB6&quot;/&gt;&lt;wsp:rsid wsp:val=&quot;008D6AEA&quot;/&gt;&lt;wsp:rsid wsp:val=&quot;008D6F9D&quot;/&gt;&lt;wsp:rsid wsp:val=&quot;008D72C8&quot;/&gt;&lt;wsp:rsid wsp:val=&quot;008D770F&quot;/&gt;&lt;wsp:rsid wsp:val=&quot;008D7967&quot;/&gt;&lt;wsp:rsid wsp:val=&quot;008D7A0C&quot;/&gt;&lt;wsp:rsid wsp:val=&quot;008D7B18&quot;/&gt;&lt;wsp:rsid wsp:val=&quot;008E0261&quot;/&gt;&lt;wsp:rsid wsp:val=&quot;008E050A&quot;/&gt;&lt;wsp:rsid wsp:val=&quot;008E06ED&quot;/&gt;&lt;wsp:rsid wsp:val=&quot;008E093D&quot;/&gt;&lt;wsp:rsid wsp:val=&quot;008E14EB&quot;/&gt;&lt;wsp:rsid wsp:val=&quot;008E15B8&quot;/&gt;&lt;wsp:rsid wsp:val=&quot;008E1948&quot;/&gt;&lt;wsp:rsid wsp:val=&quot;008E1BEC&quot;/&gt;&lt;wsp:rsid wsp:val=&quot;008E1CB1&quot;/&gt;&lt;wsp:rsid wsp:val=&quot;008E1F08&quot;/&gt;&lt;wsp:rsid wsp:val=&quot;008E2320&quot;/&gt;&lt;wsp:rsid wsp:val=&quot;008E240F&quot;/&gt;&lt;wsp:rsid wsp:val=&quot;008E2575&quot;/&gt;&lt;wsp:rsid wsp:val=&quot;008E2A9B&quot;/&gt;&lt;wsp:rsid wsp:val=&quot;008E2BD1&quot;/&gt;&lt;wsp:rsid wsp:val=&quot;008E3342&quot;/&gt;&lt;wsp:rsid wsp:val=&quot;008E3398&quot;/&gt;&lt;wsp:rsid wsp:val=&quot;008E39F4&quot;/&gt;&lt;wsp:rsid wsp:val=&quot;008E3B1C&quot;/&gt;&lt;wsp:rsid wsp:val=&quot;008E3EB2&quot;/&gt;&lt;wsp:rsid wsp:val=&quot;008E4C43&quot;/&gt;&lt;wsp:rsid wsp:val=&quot;008E52F2&quot;/&gt;&lt;wsp:rsid wsp:val=&quot;008E539B&quot;/&gt;&lt;wsp:rsid wsp:val=&quot;008E5769&quot;/&gt;&lt;wsp:rsid wsp:val=&quot;008E58ED&quot;/&gt;&lt;wsp:rsid wsp:val=&quot;008E5B55&quot;/&gt;&lt;wsp:rsid wsp:val=&quot;008E5BD6&quot;/&gt;&lt;wsp:rsid wsp:val=&quot;008E5F0C&quot;/&gt;&lt;wsp:rsid wsp:val=&quot;008E6158&quot;/&gt;&lt;wsp:rsid wsp:val=&quot;008E62F9&quot;/&gt;&lt;wsp:rsid wsp:val=&quot;008E6605&quot;/&gt;&lt;wsp:rsid wsp:val=&quot;008E673A&quot;/&gt;&lt;wsp:rsid wsp:val=&quot;008E67E1&quot;/&gt;&lt;wsp:rsid wsp:val=&quot;008E6921&quot;/&gt;&lt;wsp:rsid wsp:val=&quot;008E6AEC&quot;/&gt;&lt;wsp:rsid wsp:val=&quot;008E6BFD&quot;/&gt;&lt;wsp:rsid wsp:val=&quot;008E6CBC&quot;/&gt;&lt;wsp:rsid wsp:val=&quot;008E6F19&quot;/&gt;&lt;wsp:rsid wsp:val=&quot;008E79A0&quot;/&gt;&lt;wsp:rsid wsp:val=&quot;008E7DAA&quot;/&gt;&lt;wsp:rsid wsp:val=&quot;008F0505&quot;/&gt;&lt;wsp:rsid wsp:val=&quot;008F0771&quot;/&gt;&lt;wsp:rsid wsp:val=&quot;008F0966&quot;/&gt;&lt;wsp:rsid wsp:val=&quot;008F0E42&quot;/&gt;&lt;wsp:rsid wsp:val=&quot;008F0E74&quot;/&gt;&lt;wsp:rsid wsp:val=&quot;008F1131&quot;/&gt;&lt;wsp:rsid wsp:val=&quot;008F195C&quot;/&gt;&lt;wsp:rsid wsp:val=&quot;008F1A00&quot;/&gt;&lt;wsp:rsid wsp:val=&quot;008F1AD7&quot;/&gt;&lt;wsp:rsid wsp:val=&quot;008F22D5&quot;/&gt;&lt;wsp:rsid wsp:val=&quot;008F23C5&quot;/&gt;&lt;wsp:rsid wsp:val=&quot;008F26C8&quot;/&gt;&lt;wsp:rsid wsp:val=&quot;008F29EB&quot;/&gt;&lt;wsp:rsid wsp:val=&quot;008F2DDD&quot;/&gt;&lt;wsp:rsid wsp:val=&quot;008F30D9&quot;/&gt;&lt;wsp:rsid wsp:val=&quot;008F359F&quot;/&gt;&lt;wsp:rsid wsp:val=&quot;008F37EC&quot;/&gt;&lt;wsp:rsid wsp:val=&quot;008F3CF8&quot;/&gt;&lt;wsp:rsid wsp:val=&quot;008F3D5C&quot;/&gt;&lt;wsp:rsid wsp:val=&quot;008F3F23&quot;/&gt;&lt;wsp:rsid wsp:val=&quot;008F3F37&quot;/&gt;&lt;wsp:rsid wsp:val=&quot;008F46EB&quot;/&gt;&lt;wsp:rsid wsp:val=&quot;008F4BD8&quot;/&gt;&lt;wsp:rsid wsp:val=&quot;008F4D67&quot;/&gt;&lt;wsp:rsid wsp:val=&quot;008F4E9C&quot;/&gt;&lt;wsp:rsid wsp:val=&quot;008F514D&quot;/&gt;&lt;wsp:rsid wsp:val=&quot;008F546D&quot;/&gt;&lt;wsp:rsid wsp:val=&quot;008F5489&quot;/&gt;&lt;wsp:rsid wsp:val=&quot;008F5BE4&quot;/&gt;&lt;wsp:rsid wsp:val=&quot;008F5C1E&quot;/&gt;&lt;wsp:rsid wsp:val=&quot;008F5C8A&quot;/&gt;&lt;wsp:rsid wsp:val=&quot;008F601F&quot;/&gt;&lt;wsp:rsid wsp:val=&quot;008F6099&quot;/&gt;&lt;wsp:rsid wsp:val=&quot;008F618B&quot;/&gt;&lt;wsp:rsid wsp:val=&quot;008F667B&quot;/&gt;&lt;wsp:rsid wsp:val=&quot;008F6C87&quot;/&gt;&lt;wsp:rsid wsp:val=&quot;008F70CD&quot;/&gt;&lt;wsp:rsid wsp:val=&quot;008F7C27&quot;/&gt;&lt;wsp:rsid wsp:val=&quot;00900513&quot;/&gt;&lt;wsp:rsid wsp:val=&quot;00900E61&quot;/&gt;&lt;wsp:rsid wsp:val=&quot;0090117A&quot;/&gt;&lt;wsp:rsid wsp:val=&quot;0090154D&quot;/&gt;&lt;wsp:rsid wsp:val=&quot;00901580&quot;/&gt;&lt;wsp:rsid wsp:val=&quot;0090189D&quot;/&gt;&lt;wsp:rsid wsp:val=&quot;0090293D&quot;/&gt;&lt;wsp:rsid wsp:val=&quot;00902AC5&quot;/&gt;&lt;wsp:rsid wsp:val=&quot;00902C25&quot;/&gt;&lt;wsp:rsid wsp:val=&quot;0090300A&quot;/&gt;&lt;wsp:rsid wsp:val=&quot;00903216&quot;/&gt;&lt;wsp:rsid wsp:val=&quot;00903272&quot;/&gt;&lt;wsp:rsid wsp:val=&quot;00903532&quot;/&gt;&lt;wsp:rsid wsp:val=&quot;00903794&quot;/&gt;&lt;wsp:rsid wsp:val=&quot;00904FBC&quot;/&gt;&lt;wsp:rsid wsp:val=&quot;009055EB&quot;/&gt;&lt;wsp:rsid wsp:val=&quot;00905B69&quot;/&gt;&lt;wsp:rsid wsp:val=&quot;009060A8&quot;/&gt;&lt;wsp:rsid wsp:val=&quot;00906853&quot;/&gt;&lt;wsp:rsid wsp:val=&quot;00906856&quot;/&gt;&lt;wsp:rsid wsp:val=&quot;00906864&quot;/&gt;&lt;wsp:rsid wsp:val=&quot;00906A15&quot;/&gt;&lt;wsp:rsid wsp:val=&quot;00906ABF&quot;/&gt;&lt;wsp:rsid wsp:val=&quot;00906C11&quot;/&gt;&lt;wsp:rsid wsp:val=&quot;009071AE&quot;/&gt;&lt;wsp:rsid wsp:val=&quot;0090749D&quot;/&gt;&lt;wsp:rsid wsp:val=&quot;00907596&quot;/&gt;&lt;wsp:rsid wsp:val=&quot;0090764B&quot;/&gt;&lt;wsp:rsid wsp:val=&quot;009076CB&quot;/&gt;&lt;wsp:rsid wsp:val=&quot;009078AF&quot;/&gt;&lt;wsp:rsid wsp:val=&quot;00907EB1&quot;/&gt;&lt;wsp:rsid wsp:val=&quot;00907EEC&quot;/&gt;&lt;wsp:rsid wsp:val=&quot;009102C4&quot;/&gt;&lt;wsp:rsid wsp:val=&quot;00910BA2&quot;/&gt;&lt;wsp:rsid wsp:val=&quot;00910D04&quot;/&gt;&lt;wsp:rsid wsp:val=&quot;00910F7B&quot;/&gt;&lt;wsp:rsid wsp:val=&quot;009115C8&quot;/&gt;&lt;wsp:rsid wsp:val=&quot;00911733&quot;/&gt;&lt;wsp:rsid wsp:val=&quot;0091179B&quot;/&gt;&lt;wsp:rsid wsp:val=&quot;0091257C&quot;/&gt;&lt;wsp:rsid wsp:val=&quot;0091271F&quot;/&gt;&lt;wsp:rsid wsp:val=&quot;00912CE0&quot;/&gt;&lt;wsp:rsid wsp:val=&quot;00912DD2&quot;/&gt;&lt;wsp:rsid wsp:val=&quot;00912F07&quot;/&gt;&lt;wsp:rsid wsp:val=&quot;00912F87&quot;/&gt;&lt;wsp:rsid wsp:val=&quot;009132AA&quot;/&gt;&lt;wsp:rsid wsp:val=&quot;009135E5&quot;/&gt;&lt;wsp:rsid wsp:val=&quot;00913717&quot;/&gt;&lt;wsp:rsid wsp:val=&quot;00913790&quot;/&gt;&lt;wsp:rsid wsp:val=&quot;00913C7F&quot;/&gt;&lt;wsp:rsid wsp:val=&quot;00913D47&quot;/&gt;&lt;wsp:rsid wsp:val=&quot;00913E9D&quot;/&gt;&lt;wsp:rsid wsp:val=&quot;009143DF&quot;/&gt;&lt;wsp:rsid wsp:val=&quot;00914437&quot;/&gt;&lt;wsp:rsid wsp:val=&quot;009147CE&quot;/&gt;&lt;wsp:rsid wsp:val=&quot;00914AB9&quot;/&gt;&lt;wsp:rsid wsp:val=&quot;00914F69&quot;/&gt;&lt;wsp:rsid wsp:val=&quot;009157B4&quot;/&gt;&lt;wsp:rsid wsp:val=&quot;0091624C&quot;/&gt;&lt;wsp:rsid wsp:val=&quot;00916658&quot;/&gt;&lt;wsp:rsid wsp:val=&quot;00916E5A&quot;/&gt;&lt;wsp:rsid wsp:val=&quot;00917177&quot;/&gt;&lt;wsp:rsid wsp:val=&quot;009175C8&quot;/&gt;&lt;wsp:rsid wsp:val=&quot;00917B3B&quot;/&gt;&lt;wsp:rsid wsp:val=&quot;0092006C&quot;/&gt;&lt;wsp:rsid wsp:val=&quot;00920473&quot;/&gt;&lt;wsp:rsid wsp:val=&quot;0092088B&quot;/&gt;&lt;wsp:rsid wsp:val=&quot;00920AD2&quot;/&gt;&lt;wsp:rsid wsp:val=&quot;00920FA4&quot;/&gt;&lt;wsp:rsid wsp:val=&quot;0092109F&quot;/&gt;&lt;wsp:rsid wsp:val=&quot;00921510&quot;/&gt;&lt;wsp:rsid wsp:val=&quot;0092193B&quot;/&gt;&lt;wsp:rsid wsp:val=&quot;009219D3&quot;/&gt;&lt;wsp:rsid wsp:val=&quot;00921D32&quot;/&gt;&lt;wsp:rsid wsp:val=&quot;0092209F&quot;/&gt;&lt;wsp:rsid wsp:val=&quot;00922279&quot;/&gt;&lt;wsp:rsid wsp:val=&quot;00922548&quot;/&gt;&lt;wsp:rsid wsp:val=&quot;0092254B&quot;/&gt;&lt;wsp:rsid wsp:val=&quot;00922B18&quot;/&gt;&lt;wsp:rsid wsp:val=&quot;00923118&quot;/&gt;&lt;wsp:rsid wsp:val=&quot;009236E3&quot;/&gt;&lt;wsp:rsid wsp:val=&quot;00923A43&quot;/&gt;&lt;wsp:rsid wsp:val=&quot;00923AE0&quot;/&gt;&lt;wsp:rsid wsp:val=&quot;00923BC3&quot;/&gt;&lt;wsp:rsid wsp:val=&quot;00923E43&quot;/&gt;&lt;wsp:rsid wsp:val=&quot;00923F54&quot;/&gt;&lt;wsp:rsid wsp:val=&quot;00924E02&quot;/&gt;&lt;wsp:rsid wsp:val=&quot;00924E30&quot;/&gt;&lt;wsp:rsid wsp:val=&quot;009251D0&quot;/&gt;&lt;wsp:rsid wsp:val=&quot;00925774&quot;/&gt;&lt;wsp:rsid wsp:val=&quot;00925821&quot;/&gt;&lt;wsp:rsid wsp:val=&quot;00925FF3&quot;/&gt;&lt;wsp:rsid wsp:val=&quot;00926802&quot;/&gt;&lt;wsp:rsid wsp:val=&quot;009269F5&quot;/&gt;&lt;wsp:rsid wsp:val=&quot;00927BAA&quot;/&gt;&lt;wsp:rsid wsp:val=&quot;00927CCF&quot;/&gt;&lt;wsp:rsid wsp:val=&quot;00927DB4&quot;/&gt;&lt;wsp:rsid wsp:val=&quot;00927F77&quot;/&gt;&lt;wsp:rsid wsp:val=&quot;00927FEB&quot;/&gt;&lt;wsp:rsid wsp:val=&quot;009304F1&quot;/&gt;&lt;wsp:rsid wsp:val=&quot;00930641&quot;/&gt;&lt;wsp:rsid wsp:val=&quot;0093088D&quot;/&gt;&lt;wsp:rsid wsp:val=&quot;00930C11&quot;/&gt;&lt;wsp:rsid wsp:val=&quot;00930D0B&quot;/&gt;&lt;wsp:rsid wsp:val=&quot;00930DD3&quot;/&gt;&lt;wsp:rsid wsp:val=&quot;009313EC&quot;/&gt;&lt;wsp:rsid wsp:val=&quot;00931554&quot;/&gt;&lt;wsp:rsid wsp:val=&quot;00931B48&quot;/&gt;&lt;wsp:rsid wsp:val=&quot;00931CE2&quot;/&gt;&lt;wsp:rsid wsp:val=&quot;0093200C&quot;/&gt;&lt;wsp:rsid wsp:val=&quot;009325ED&quot;/&gt;&lt;wsp:rsid wsp:val=&quot;0093275E&quot;/&gt;&lt;wsp:rsid wsp:val=&quot;0093287D&quot;/&gt;&lt;wsp:rsid wsp:val=&quot;00932D4D&quot;/&gt;&lt;wsp:rsid wsp:val=&quot;00932DE2&quot;/&gt;&lt;wsp:rsid wsp:val=&quot;00932E21&quot;/&gt;&lt;wsp:rsid wsp:val=&quot;0093355D&quot;/&gt;&lt;wsp:rsid wsp:val=&quot;00933887&quot;/&gt;&lt;wsp:rsid wsp:val=&quot;009339E0&quot;/&gt;&lt;wsp:rsid wsp:val=&quot;00933DB8&quot;/&gt;&lt;wsp:rsid wsp:val=&quot;00933E9F&quot;/&gt;&lt;wsp:rsid wsp:val=&quot;0093457B&quot;/&gt;&lt;wsp:rsid wsp:val=&quot;00934D3B&quot;/&gt;&lt;wsp:rsid wsp:val=&quot;0093523C&quot;/&gt;&lt;wsp:rsid wsp:val=&quot;009352D1&quot;/&gt;&lt;wsp:rsid wsp:val=&quot;00935CC2&quot;/&gt;&lt;wsp:rsid wsp:val=&quot;00935D23&quot;/&gt;&lt;wsp:rsid wsp:val=&quot;0093605F&quot;/&gt;&lt;wsp:rsid wsp:val=&quot;009360C9&quot;/&gt;&lt;wsp:rsid wsp:val=&quot;00936545&quot;/&gt;&lt;wsp:rsid wsp:val=&quot;00936D64&quot;/&gt;&lt;wsp:rsid wsp:val=&quot;00936F3A&quot;/&gt;&lt;wsp:rsid wsp:val=&quot;00936F68&quot;/&gt;&lt;wsp:rsid wsp:val=&quot;00937205&quot;/&gt;&lt;wsp:rsid wsp:val=&quot;0093729E&quot;/&gt;&lt;wsp:rsid wsp:val=&quot;009378CC&quot;/&gt;&lt;wsp:rsid wsp:val=&quot;00937B53&quot;/&gt;&lt;wsp:rsid wsp:val=&quot;00937BA2&quot;/&gt;&lt;wsp:rsid wsp:val=&quot;00940009&quot;/&gt;&lt;wsp:rsid wsp:val=&quot;009403B1&quot;/&gt;&lt;wsp:rsid wsp:val=&quot;00940992&quot;/&gt;&lt;wsp:rsid wsp:val=&quot;00940B40&quot;/&gt;&lt;wsp:rsid wsp:val=&quot;00940B47&quot;/&gt;&lt;wsp:rsid wsp:val=&quot;00940C7A&quot;/&gt;&lt;wsp:rsid wsp:val=&quot;00940E2E&quot;/&gt;&lt;wsp:rsid wsp:val=&quot;00940ECD&quot;/&gt;&lt;wsp:rsid wsp:val=&quot;00941161&quot;/&gt;&lt;wsp:rsid wsp:val=&quot;0094116E&quot;/&gt;&lt;wsp:rsid wsp:val=&quot;00941302&quot;/&gt;&lt;wsp:rsid wsp:val=&quot;0094131C&quot;/&gt;&lt;wsp:rsid wsp:val=&quot;0094136B&quot;/&gt;&lt;wsp:rsid wsp:val=&quot;00941555&quot;/&gt;&lt;wsp:rsid wsp:val=&quot;00941B19&quot;/&gt;&lt;wsp:rsid wsp:val=&quot;009424BE&quot;/&gt;&lt;wsp:rsid wsp:val=&quot;009426FC&quot;/&gt;&lt;wsp:rsid wsp:val=&quot;009428F9&quot;/&gt;&lt;wsp:rsid wsp:val=&quot;00943268&quot;/&gt;&lt;wsp:rsid wsp:val=&quot;00943605&quot;/&gt;&lt;wsp:rsid wsp:val=&quot;00943812&quot;/&gt;&lt;wsp:rsid wsp:val=&quot;00943923&quot;/&gt;&lt;wsp:rsid wsp:val=&quot;00943EB7&quot;/&gt;&lt;wsp:rsid wsp:val=&quot;00943F71&quot;/&gt;&lt;wsp:rsid wsp:val=&quot;00943FBC&quot;/&gt;&lt;wsp:rsid wsp:val=&quot;009452AE&quot;/&gt;&lt;wsp:rsid wsp:val=&quot;00945548&quot;/&gt;&lt;wsp:rsid wsp:val=&quot;00945834&quot;/&gt;&lt;wsp:rsid wsp:val=&quot;009458E4&quot;/&gt;&lt;wsp:rsid wsp:val=&quot;00945A9F&quot;/&gt;&lt;wsp:rsid wsp:val=&quot;00945CDE&quot;/&gt;&lt;wsp:rsid wsp:val=&quot;00945DD4&quot;/&gt;&lt;wsp:rsid wsp:val=&quot;0094626E&quot;/&gt;&lt;wsp:rsid wsp:val=&quot;009463D7&quot;/&gt;&lt;wsp:rsid wsp:val=&quot;00946B1E&quot;/&gt;&lt;wsp:rsid wsp:val=&quot;00946EC2&quot;/&gt;&lt;wsp:rsid wsp:val=&quot;0094764A&quot;/&gt;&lt;wsp:rsid wsp:val=&quot;009479DB&quot;/&gt;&lt;wsp:rsid wsp:val=&quot;0095016A&quot;/&gt;&lt;wsp:rsid wsp:val=&quot;0095038D&quot;/&gt;&lt;wsp:rsid wsp:val=&quot;00951969&quot;/&gt;&lt;wsp:rsid wsp:val=&quot;00951BB1&quot;/&gt;&lt;wsp:rsid wsp:val=&quot;00951ED8&quot;/&gt;&lt;wsp:rsid wsp:val=&quot;009524C6&quot;/&gt;&lt;wsp:rsid wsp:val=&quot;009527FE&quot;/&gt;&lt;wsp:rsid wsp:val=&quot;00952805&quot;/&gt;&lt;wsp:rsid wsp:val=&quot;00952C7D&quot;/&gt;&lt;wsp:rsid wsp:val=&quot;00952ED4&quot;/&gt;&lt;wsp:rsid wsp:val=&quot;00953062&quot;/&gt;&lt;wsp:rsid wsp:val=&quot;00953263&quot;/&gt;&lt;wsp:rsid wsp:val=&quot;00953AFF&quot;/&gt;&lt;wsp:rsid wsp:val=&quot;00953BA1&quot;/&gt;&lt;wsp:rsid wsp:val=&quot;00953E7D&quot;/&gt;&lt;wsp:rsid wsp:val=&quot;00953FA0&quot;/&gt;&lt;wsp:rsid wsp:val=&quot;00954233&quot;/&gt;&lt;wsp:rsid wsp:val=&quot;00954283&quot;/&gt;&lt;wsp:rsid wsp:val=&quot;0095446D&quot;/&gt;&lt;wsp:rsid wsp:val=&quot;0095452A&quot;/&gt;&lt;wsp:rsid wsp:val=&quot;0095460C&quot;/&gt;&lt;wsp:rsid wsp:val=&quot;0095480E&quot;/&gt;&lt;wsp:rsid wsp:val=&quot;00954BAD&quot;/&gt;&lt;wsp:rsid wsp:val=&quot;00954E91&quot;/&gt;&lt;wsp:rsid wsp:val=&quot;009550C2&quot;/&gt;&lt;wsp:rsid wsp:val=&quot;0095533C&quot;/&gt;&lt;wsp:rsid wsp:val=&quot;009557A8&quot;/&gt;&lt;wsp:rsid wsp:val=&quot;00955DE6&quot;/&gt;&lt;wsp:rsid wsp:val=&quot;00955DF3&quot;/&gt;&lt;wsp:rsid wsp:val=&quot;00955DFE&quot;/&gt;&lt;wsp:rsid wsp:val=&quot;00955F0C&quot;/&gt;&lt;wsp:rsid wsp:val=&quot;009560F5&quot;/&gt;&lt;wsp:rsid wsp:val=&quot;00956C7D&quot;/&gt;&lt;wsp:rsid wsp:val=&quot;00956CDB&quot;/&gt;&lt;wsp:rsid wsp:val=&quot;0095730C&quot;/&gt;&lt;wsp:rsid wsp:val=&quot;00957695&quot;/&gt;&lt;wsp:rsid wsp:val=&quot;009576DE&quot;/&gt;&lt;wsp:rsid wsp:val=&quot;00957CC0&quot;/&gt;&lt;wsp:rsid wsp:val=&quot;00957D47&quot;/&gt;&lt;wsp:rsid wsp:val=&quot;00957EC5&quot;/&gt;&lt;wsp:rsid wsp:val=&quot;00960237&quot;/&gt;&lt;wsp:rsid wsp:val=&quot;0096032B&quot;/&gt;&lt;wsp:rsid wsp:val=&quot;009606AB&quot;/&gt;&lt;wsp:rsid wsp:val=&quot;009609B8&quot;/&gt;&lt;wsp:rsid wsp:val=&quot;00960A1B&quot;/&gt;&lt;wsp:rsid wsp:val=&quot;00960A5B&quot;/&gt;&lt;wsp:rsid wsp:val=&quot;00960DD3&quot;/&gt;&lt;wsp:rsid wsp:val=&quot;00960DF8&quot;/&gt;&lt;wsp:rsid wsp:val=&quot;00960F40&quot;/&gt;&lt;wsp:rsid wsp:val=&quot;00960FA4&quot;/&gt;&lt;wsp:rsid wsp:val=&quot;00961315&quot;/&gt;&lt;wsp:rsid wsp:val=&quot;0096148D&quot;/&gt;&lt;wsp:rsid wsp:val=&quot;00962566&quot;/&gt;&lt;wsp:rsid wsp:val=&quot;00962DEC&quot;/&gt;&lt;wsp:rsid wsp:val=&quot;0096305B&quot;/&gt;&lt;wsp:rsid wsp:val=&quot;00963321&quot;/&gt;&lt;wsp:rsid wsp:val=&quot;0096374E&quot;/&gt;&lt;wsp:rsid wsp:val=&quot;0096384C&quot;/&gt;&lt;wsp:rsid wsp:val=&quot;00963990&quot;/&gt;&lt;wsp:rsid wsp:val=&quot;00963F3E&quot;/&gt;&lt;wsp:rsid wsp:val=&quot;00963FB5&quot;/&gt;&lt;wsp:rsid wsp:val=&quot;00964615&quot;/&gt;&lt;wsp:rsid wsp:val=&quot;00964654&quot;/&gt;&lt;wsp:rsid wsp:val=&quot;009648C7&quot;/&gt;&lt;wsp:rsid wsp:val=&quot;00964F94&quot;/&gt;&lt;wsp:rsid wsp:val=&quot;009655CE&quot;/&gt;&lt;wsp:rsid wsp:val=&quot;00965D54&quot;/&gt;&lt;wsp:rsid wsp:val=&quot;009662CE&quot;/&gt;&lt;wsp:rsid wsp:val=&quot;00966480&quot;/&gt;&lt;wsp:rsid wsp:val=&quot;009667B5&quot;/&gt;&lt;wsp:rsid wsp:val=&quot;0096690C&quot;/&gt;&lt;wsp:rsid wsp:val=&quot;00966956&quot;/&gt;&lt;wsp:rsid wsp:val=&quot;00966A9F&quot;/&gt;&lt;wsp:rsid wsp:val=&quot;0096711A&quot;/&gt;&lt;wsp:rsid wsp:val=&quot;00967304&quot;/&gt;&lt;wsp:rsid wsp:val=&quot;00967551&quot;/&gt;&lt;wsp:rsid wsp:val=&quot;009675E9&quot;/&gt;&lt;wsp:rsid wsp:val=&quot;009677A1&quot;/&gt;&lt;wsp:rsid wsp:val=&quot;00970D50&quot;/&gt;&lt;wsp:rsid wsp:val=&quot;00970FEB&quot;/&gt;&lt;wsp:rsid wsp:val=&quot;00971110&quot;/&gt;&lt;wsp:rsid wsp:val=&quot;0097136E&quot;/&gt;&lt;wsp:rsid wsp:val=&quot;009713D0&quot;/&gt;&lt;wsp:rsid wsp:val=&quot;00971927&quot;/&gt;&lt;wsp:rsid wsp:val=&quot;00971969&quot;/&gt;&lt;wsp:rsid wsp:val=&quot;00971BC7&quot;/&gt;&lt;wsp:rsid wsp:val=&quot;00971C05&quot;/&gt;&lt;wsp:rsid wsp:val=&quot;00971CAA&quot;/&gt;&lt;wsp:rsid wsp:val=&quot;00972210&quot;/&gt;&lt;wsp:rsid wsp:val=&quot;0097343E&quot;/&gt;&lt;wsp:rsid wsp:val=&quot;00973AAB&quot;/&gt;&lt;wsp:rsid wsp:val=&quot;00973C00&quot;/&gt;&lt;wsp:rsid wsp:val=&quot;00973D92&quot;/&gt;&lt;wsp:rsid wsp:val=&quot;00973E53&quot;/&gt;&lt;wsp:rsid wsp:val=&quot;00974110&quot;/&gt;&lt;wsp:rsid wsp:val=&quot;009741DD&quot;/&gt;&lt;wsp:rsid wsp:val=&quot;009742E5&quot;/&gt;&lt;wsp:rsid wsp:val=&quot;00974907&quot;/&gt;&lt;wsp:rsid wsp:val=&quot;00974AE7&quot;/&gt;&lt;wsp:rsid wsp:val=&quot;0097550F&quot;/&gt;&lt;wsp:rsid wsp:val=&quot;0097594A&quot;/&gt;&lt;wsp:rsid wsp:val=&quot;009759C3&quot;/&gt;&lt;wsp:rsid wsp:val=&quot;00975A0E&quot;/&gt;&lt;wsp:rsid wsp:val=&quot;00976090&quot;/&gt;&lt;wsp:rsid wsp:val=&quot;0097735E&quot;/&gt;&lt;wsp:rsid wsp:val=&quot;0097784C&quot;/&gt;&lt;wsp:rsid wsp:val=&quot;009778A0&quot;/&gt;&lt;wsp:rsid wsp:val=&quot;00977B6E&quot;/&gt;&lt;wsp:rsid wsp:val=&quot;00977D78&quot;/&gt;&lt;wsp:rsid wsp:val=&quot;009801FA&quot;/&gt;&lt;wsp:rsid wsp:val=&quot;00980377&quot;/&gt;&lt;wsp:rsid wsp:val=&quot;00980390&quot;/&gt;&lt;wsp:rsid wsp:val=&quot;009803F5&quot;/&gt;&lt;wsp:rsid wsp:val=&quot;00980790&quot;/&gt;&lt;wsp:rsid wsp:val=&quot;00980BB9&quot;/&gt;&lt;wsp:rsid wsp:val=&quot;00980E2A&quot;/&gt;&lt;wsp:rsid wsp:val=&quot;00980EC8&quot;/&gt;&lt;wsp:rsid wsp:val=&quot;009815C2&quot;/&gt;&lt;wsp:rsid wsp:val=&quot;0098278D&quot;/&gt;&lt;wsp:rsid wsp:val=&quot;00982AC4&quot;/&gt;&lt;wsp:rsid wsp:val=&quot;0098346C&quot;/&gt;&lt;wsp:rsid wsp:val=&quot;0098353D&quot;/&gt;&lt;wsp:rsid wsp:val=&quot;009835FB&quot;/&gt;&lt;wsp:rsid wsp:val=&quot;00983797&quot;/&gt;&lt;wsp:rsid wsp:val=&quot;00983827&quot;/&gt;&lt;wsp:rsid wsp:val=&quot;0098488D&quot;/&gt;&lt;wsp:rsid wsp:val=&quot;00984A8C&quot;/&gt;&lt;wsp:rsid wsp:val=&quot;00984AAD&quot;/&gt;&lt;wsp:rsid wsp:val=&quot;00984B8B&quot;/&gt;&lt;wsp:rsid wsp:val=&quot;00984D74&quot;/&gt;&lt;wsp:rsid wsp:val=&quot;00984DD8&quot;/&gt;&lt;wsp:rsid wsp:val=&quot;0098508E&quot;/&gt;&lt;wsp:rsid wsp:val=&quot;009852F4&quot;/&gt;&lt;wsp:rsid wsp:val=&quot;009859BF&quot;/&gt;&lt;wsp:rsid wsp:val=&quot;00987163&quot;/&gt;&lt;wsp:rsid wsp:val=&quot;0098754F&quot;/&gt;&lt;wsp:rsid wsp:val=&quot;00987980&quot;/&gt;&lt;wsp:rsid wsp:val=&quot;00987E89&quot;/&gt;&lt;wsp:rsid wsp:val=&quot;00991459&quot;/&gt;&lt;wsp:rsid wsp:val=&quot;00991671&quot;/&gt;&lt;wsp:rsid wsp:val=&quot;00991782&quot;/&gt;&lt;wsp:rsid wsp:val=&quot;009917E3&quot;/&gt;&lt;wsp:rsid wsp:val=&quot;00991A13&quot;/&gt;&lt;wsp:rsid wsp:val=&quot;00991E2A&quot;/&gt;&lt;wsp:rsid wsp:val=&quot;009921AD&quot;/&gt;&lt;wsp:rsid wsp:val=&quot;009921D4&quot;/&gt;&lt;wsp:rsid wsp:val=&quot;0099278A&quot;/&gt;&lt;wsp:rsid wsp:val=&quot;00992869&quot;/&gt;&lt;wsp:rsid wsp:val=&quot;00992C3D&quot;/&gt;&lt;wsp:rsid wsp:val=&quot;00992DE3&quot;/&gt;&lt;wsp:rsid wsp:val=&quot;0099312A&quot;/&gt;&lt;wsp:rsid wsp:val=&quot;00993200&quot;/&gt;&lt;wsp:rsid wsp:val=&quot;00993249&quot;/&gt;&lt;wsp:rsid wsp:val=&quot;00993475&quot;/&gt;&lt;wsp:rsid wsp:val=&quot;00993B49&quot;/&gt;&lt;wsp:rsid wsp:val=&quot;00993BD3&quot;/&gt;&lt;wsp:rsid wsp:val=&quot;00994D3E&quot;/&gt;&lt;wsp:rsid wsp:val=&quot;009955E0&quot;/&gt;&lt;wsp:rsid wsp:val=&quot;00995611&quot;/&gt;&lt;wsp:rsid wsp:val=&quot;009957D0&quot;/&gt;&lt;wsp:rsid wsp:val=&quot;009958F6&quot;/&gt;&lt;wsp:rsid wsp:val=&quot;00995A30&quot;/&gt;&lt;wsp:rsid wsp:val=&quot;00995C78&quot;/&gt;&lt;wsp:rsid wsp:val=&quot;00995D52&quot;/&gt;&lt;wsp:rsid wsp:val=&quot;00995D62&quot;/&gt;&lt;wsp:rsid wsp:val=&quot;00995EED&quot;/&gt;&lt;wsp:rsid wsp:val=&quot;0099609C&quot;/&gt;&lt;wsp:rsid wsp:val=&quot;009967AD&quot;/&gt;&lt;wsp:rsid wsp:val=&quot;00996821&quot;/&gt;&lt;wsp:rsid wsp:val=&quot;009969C4&quot;/&gt;&lt;wsp:rsid wsp:val=&quot;00996C5E&quot;/&gt;&lt;wsp:rsid wsp:val=&quot;00996E57&quot;/&gt;&lt;wsp:rsid wsp:val=&quot;009972EB&quot;/&gt;&lt;wsp:rsid wsp:val=&quot;00997809&quot;/&gt;&lt;wsp:rsid wsp:val=&quot;009A00EF&quot;/&gt;&lt;wsp:rsid wsp:val=&quot;009A031D&quot;/&gt;&lt;wsp:rsid wsp:val=&quot;009A0546&quot;/&gt;&lt;wsp:rsid wsp:val=&quot;009A0691&quot;/&gt;&lt;wsp:rsid wsp:val=&quot;009A0AA4&quot;/&gt;&lt;wsp:rsid wsp:val=&quot;009A1202&quot;/&gt;&lt;wsp:rsid wsp:val=&quot;009A16E8&quot;/&gt;&lt;wsp:rsid wsp:val=&quot;009A170E&quot;/&gt;&lt;wsp:rsid wsp:val=&quot;009A1756&quot;/&gt;&lt;wsp:rsid wsp:val=&quot;009A179F&quot;/&gt;&lt;wsp:rsid wsp:val=&quot;009A1F5C&quot;/&gt;&lt;wsp:rsid wsp:val=&quot;009A215F&quot;/&gt;&lt;wsp:rsid wsp:val=&quot;009A24E6&quot;/&gt;&lt;wsp:rsid wsp:val=&quot;009A24F6&quot;/&gt;&lt;wsp:rsid wsp:val=&quot;009A2528&quot;/&gt;&lt;wsp:rsid wsp:val=&quot;009A261F&quot;/&gt;&lt;wsp:rsid wsp:val=&quot;009A295F&quot;/&gt;&lt;wsp:rsid wsp:val=&quot;009A2EEB&quot;/&gt;&lt;wsp:rsid wsp:val=&quot;009A3A57&quot;/&gt;&lt;wsp:rsid wsp:val=&quot;009A3CCC&quot;/&gt;&lt;wsp:rsid wsp:val=&quot;009A4396&quot;/&gt;&lt;wsp:rsid wsp:val=&quot;009A452F&quot;/&gt;&lt;wsp:rsid wsp:val=&quot;009A46B8&quot;/&gt;&lt;wsp:rsid wsp:val=&quot;009A4725&quot;/&gt;&lt;wsp:rsid wsp:val=&quot;009A4863&quot;/&gt;&lt;wsp:rsid wsp:val=&quot;009A4996&quot;/&gt;&lt;wsp:rsid wsp:val=&quot;009A4BC2&quot;/&gt;&lt;wsp:rsid wsp:val=&quot;009A4F9A&quot;/&gt;&lt;wsp:rsid wsp:val=&quot;009A5039&quot;/&gt;&lt;wsp:rsid wsp:val=&quot;009A519E&quot;/&gt;&lt;wsp:rsid wsp:val=&quot;009A5423&quot;/&gt;&lt;wsp:rsid wsp:val=&quot;009A5468&quot;/&gt;&lt;wsp:rsid wsp:val=&quot;009A57B5&quot;/&gt;&lt;wsp:rsid wsp:val=&quot;009A5B9A&quot;/&gt;&lt;wsp:rsid wsp:val=&quot;009A5E75&quot;/&gt;&lt;wsp:rsid wsp:val=&quot;009A60AE&quot;/&gt;&lt;wsp:rsid wsp:val=&quot;009A616D&quot;/&gt;&lt;wsp:rsid wsp:val=&quot;009A6712&quot;/&gt;&lt;wsp:rsid wsp:val=&quot;009A68F1&quot;/&gt;&lt;wsp:rsid wsp:val=&quot;009A6A5B&quot;/&gt;&lt;wsp:rsid wsp:val=&quot;009A6B39&quot;/&gt;&lt;wsp:rsid wsp:val=&quot;009A6D9B&quot;/&gt;&lt;wsp:rsid wsp:val=&quot;009A7078&quot;/&gt;&lt;wsp:rsid wsp:val=&quot;009A751C&quot;/&gt;&lt;wsp:rsid wsp:val=&quot;009A7768&quot;/&gt;&lt;wsp:rsid wsp:val=&quot;009A778F&quot;/&gt;&lt;wsp:rsid wsp:val=&quot;009A7BB0&quot;/&gt;&lt;wsp:rsid wsp:val=&quot;009A7BFB&quot;/&gt;&lt;wsp:rsid wsp:val=&quot;009A7C9E&quot;/&gt;&lt;wsp:rsid wsp:val=&quot;009B030A&quot;/&gt;&lt;wsp:rsid wsp:val=&quot;009B0BA0&quot;/&gt;&lt;wsp:rsid wsp:val=&quot;009B0D0E&quot;/&gt;&lt;wsp:rsid wsp:val=&quot;009B0D1C&quot;/&gt;&lt;wsp:rsid wsp:val=&quot;009B1D40&quot;/&gt;&lt;wsp:rsid wsp:val=&quot;009B2453&quot;/&gt;&lt;wsp:rsid wsp:val=&quot;009B25C0&quot;/&gt;&lt;wsp:rsid wsp:val=&quot;009B2649&quot;/&gt;&lt;wsp:rsid wsp:val=&quot;009B27CF&quot;/&gt;&lt;wsp:rsid wsp:val=&quot;009B2818&quot;/&gt;&lt;wsp:rsid wsp:val=&quot;009B2A7E&quot;/&gt;&lt;wsp:rsid wsp:val=&quot;009B2AAF&quot;/&gt;&lt;wsp:rsid wsp:val=&quot;009B2AFC&quot;/&gt;&lt;wsp:rsid wsp:val=&quot;009B2B4B&quot;/&gt;&lt;wsp:rsid wsp:val=&quot;009B2DDF&quot;/&gt;&lt;wsp:rsid wsp:val=&quot;009B3261&quot;/&gt;&lt;wsp:rsid wsp:val=&quot;009B3DE1&quot;/&gt;&lt;wsp:rsid wsp:val=&quot;009B4723&quot;/&gt;&lt;wsp:rsid wsp:val=&quot;009B4B92&quot;/&gt;&lt;wsp:rsid wsp:val=&quot;009B54B4&quot;/&gt;&lt;wsp:rsid wsp:val=&quot;009B5A4D&quot;/&gt;&lt;wsp:rsid wsp:val=&quot;009B5BB6&quot;/&gt;&lt;wsp:rsid wsp:val=&quot;009B6CDE&quot;/&gt;&lt;wsp:rsid wsp:val=&quot;009B7120&quot;/&gt;&lt;wsp:rsid wsp:val=&quot;009B79FA&quot;/&gt;&lt;wsp:rsid wsp:val=&quot;009B7A35&quot;/&gt;&lt;wsp:rsid wsp:val=&quot;009B7B82&quot;/&gt;&lt;wsp:rsid wsp:val=&quot;009B7DC2&quot;/&gt;&lt;wsp:rsid wsp:val=&quot;009C053E&quot;/&gt;&lt;wsp:rsid wsp:val=&quot;009C06B6&quot;/&gt;&lt;wsp:rsid wsp:val=&quot;009C08EA&quot;/&gt;&lt;wsp:rsid wsp:val=&quot;009C09FD&quot;/&gt;&lt;wsp:rsid wsp:val=&quot;009C0D5C&quot;/&gt;&lt;wsp:rsid wsp:val=&quot;009C1451&quot;/&gt;&lt;wsp:rsid wsp:val=&quot;009C1F4F&quot;/&gt;&lt;wsp:rsid wsp:val=&quot;009C2072&quot;/&gt;&lt;wsp:rsid wsp:val=&quot;009C23D6&quot;/&gt;&lt;wsp:rsid wsp:val=&quot;009C2722&quot;/&gt;&lt;wsp:rsid wsp:val=&quot;009C2729&quot;/&gt;&lt;wsp:rsid wsp:val=&quot;009C2784&quot;/&gt;&lt;wsp:rsid wsp:val=&quot;009C2AEA&quot;/&gt;&lt;wsp:rsid wsp:val=&quot;009C2C3F&quot;/&gt;&lt;wsp:rsid wsp:val=&quot;009C2FDD&quot;/&gt;&lt;wsp:rsid wsp:val=&quot;009C34F9&quot;/&gt;&lt;wsp:rsid wsp:val=&quot;009C35E7&quot;/&gt;&lt;wsp:rsid wsp:val=&quot;009C36E7&quot;/&gt;&lt;wsp:rsid wsp:val=&quot;009C38E9&quot;/&gt;&lt;wsp:rsid wsp:val=&quot;009C39F3&quot;/&gt;&lt;wsp:rsid wsp:val=&quot;009C3E94&quot;/&gt;&lt;wsp:rsid wsp:val=&quot;009C3FCC&quot;/&gt;&lt;wsp:rsid wsp:val=&quot;009C4BE5&quot;/&gt;&lt;wsp:rsid wsp:val=&quot;009C4ED7&quot;/&gt;&lt;wsp:rsid wsp:val=&quot;009C4F74&quot;/&gt;&lt;wsp:rsid wsp:val=&quot;009C5115&quot;/&gt;&lt;wsp:rsid wsp:val=&quot;009C517E&quot;/&gt;&lt;wsp:rsid wsp:val=&quot;009C542D&quot;/&gt;&lt;wsp:rsid wsp:val=&quot;009C57E9&quot;/&gt;&lt;wsp:rsid wsp:val=&quot;009C5B1C&quot;/&gt;&lt;wsp:rsid wsp:val=&quot;009C5BC1&quot;/&gt;&lt;wsp:rsid wsp:val=&quot;009C6835&quot;/&gt;&lt;wsp:rsid wsp:val=&quot;009C696A&quot;/&gt;&lt;wsp:rsid wsp:val=&quot;009C6BF5&quot;/&gt;&lt;wsp:rsid wsp:val=&quot;009C708E&quot;/&gt;&lt;wsp:rsid wsp:val=&quot;009C715D&quot;/&gt;&lt;wsp:rsid wsp:val=&quot;009C76B8&quot;/&gt;&lt;wsp:rsid wsp:val=&quot;009C7E16&quot;/&gt;&lt;wsp:rsid wsp:val=&quot;009C7E8B&quot;/&gt;&lt;wsp:rsid wsp:val=&quot;009C7F54&quot;/&gt;&lt;wsp:rsid wsp:val=&quot;009C7F9F&quot;/&gt;&lt;wsp:rsid wsp:val=&quot;009D04EE&quot;/&gt;&lt;wsp:rsid wsp:val=&quot;009D07C5&quot;/&gt;&lt;wsp:rsid wsp:val=&quot;009D0A80&quot;/&gt;&lt;wsp:rsid wsp:val=&quot;009D0AA1&quot;/&gt;&lt;wsp:rsid wsp:val=&quot;009D0AF6&quot;/&gt;&lt;wsp:rsid wsp:val=&quot;009D0B58&quot;/&gt;&lt;wsp:rsid wsp:val=&quot;009D0BEB&quot;/&gt;&lt;wsp:rsid wsp:val=&quot;009D11AD&quot;/&gt;&lt;wsp:rsid wsp:val=&quot;009D1479&quot;/&gt;&lt;wsp:rsid wsp:val=&quot;009D15E4&quot;/&gt;&lt;wsp:rsid wsp:val=&quot;009D162D&quot;/&gt;&lt;wsp:rsid wsp:val=&quot;009D17A0&quot;/&gt;&lt;wsp:rsid wsp:val=&quot;009D19F1&quot;/&gt;&lt;wsp:rsid wsp:val=&quot;009D2125&quot;/&gt;&lt;wsp:rsid wsp:val=&quot;009D227E&quot;/&gt;&lt;wsp:rsid wsp:val=&quot;009D23AA&quot;/&gt;&lt;wsp:rsid wsp:val=&quot;009D23C0&quot;/&gt;&lt;wsp:rsid wsp:val=&quot;009D281F&quot;/&gt;&lt;wsp:rsid wsp:val=&quot;009D298A&quot;/&gt;&lt;wsp:rsid wsp:val=&quot;009D29F0&quot;/&gt;&lt;wsp:rsid wsp:val=&quot;009D2B6B&quot;/&gt;&lt;wsp:rsid wsp:val=&quot;009D2BE3&quot;/&gt;&lt;wsp:rsid wsp:val=&quot;009D2E4A&quot;/&gt;&lt;wsp:rsid wsp:val=&quot;009D2EBB&quot;/&gt;&lt;wsp:rsid wsp:val=&quot;009D2FBB&quot;/&gt;&lt;wsp:rsid wsp:val=&quot;009D31E6&quot;/&gt;&lt;wsp:rsid wsp:val=&quot;009D35BB&quot;/&gt;&lt;wsp:rsid wsp:val=&quot;009D3A39&quot;/&gt;&lt;wsp:rsid wsp:val=&quot;009D3AE1&quot;/&gt;&lt;wsp:rsid wsp:val=&quot;009D3AF5&quot;/&gt;&lt;wsp:rsid wsp:val=&quot;009D461A&quot;/&gt;&lt;wsp:rsid wsp:val=&quot;009D56D5&quot;/&gt;&lt;wsp:rsid wsp:val=&quot;009D57B6&quot;/&gt;&lt;wsp:rsid wsp:val=&quot;009D5916&quot;/&gt;&lt;wsp:rsid wsp:val=&quot;009D5D5E&quot;/&gt;&lt;wsp:rsid wsp:val=&quot;009D6099&quot;/&gt;&lt;wsp:rsid wsp:val=&quot;009D61D7&quot;/&gt;&lt;wsp:rsid wsp:val=&quot;009D61E5&quot;/&gt;&lt;wsp:rsid wsp:val=&quot;009D6605&quot;/&gt;&lt;wsp:rsid wsp:val=&quot;009D67EA&quot;/&gt;&lt;wsp:rsid wsp:val=&quot;009D6ABA&quot;/&gt;&lt;wsp:rsid wsp:val=&quot;009D6ABF&quot;/&gt;&lt;wsp:rsid wsp:val=&quot;009D6D5A&quot;/&gt;&lt;wsp:rsid wsp:val=&quot;009D79DB&quot;/&gt;&lt;wsp:rsid wsp:val=&quot;009D7A84&quot;/&gt;&lt;wsp:rsid wsp:val=&quot;009D7AB4&quot;/&gt;&lt;wsp:rsid wsp:val=&quot;009D7D1E&quot;/&gt;&lt;wsp:rsid wsp:val=&quot;009D7FD1&quot;/&gt;&lt;wsp:rsid wsp:val=&quot;009E037F&quot;/&gt;&lt;wsp:rsid wsp:val=&quot;009E07DE&quot;/&gt;&lt;wsp:rsid wsp:val=&quot;009E0BCD&quot;/&gt;&lt;wsp:rsid wsp:val=&quot;009E0BEF&quot;/&gt;&lt;wsp:rsid wsp:val=&quot;009E0DD7&quot;/&gt;&lt;wsp:rsid wsp:val=&quot;009E0F4D&quot;/&gt;&lt;wsp:rsid wsp:val=&quot;009E0FB4&quot;/&gt;&lt;wsp:rsid wsp:val=&quot;009E1086&quot;/&gt;&lt;wsp:rsid wsp:val=&quot;009E1294&quot;/&gt;&lt;wsp:rsid wsp:val=&quot;009E19F8&quot;/&gt;&lt;wsp:rsid wsp:val=&quot;009E1C77&quot;/&gt;&lt;wsp:rsid wsp:val=&quot;009E2DEE&quot;/&gt;&lt;wsp:rsid wsp:val=&quot;009E36EB&quot;/&gt;&lt;wsp:rsid wsp:val=&quot;009E3E4C&quot;/&gt;&lt;wsp:rsid wsp:val=&quot;009E3FFF&quot;/&gt;&lt;wsp:rsid wsp:val=&quot;009E45F4&quot;/&gt;&lt;wsp:rsid wsp:val=&quot;009E4622&quot;/&gt;&lt;wsp:rsid wsp:val=&quot;009E48F5&quot;/&gt;&lt;wsp:rsid wsp:val=&quot;009E5044&quot;/&gt;&lt;wsp:rsid wsp:val=&quot;009E5060&quot;/&gt;&lt;wsp:rsid wsp:val=&quot;009E53F0&quot;/&gt;&lt;wsp:rsid wsp:val=&quot;009E53F2&quot;/&gt;&lt;wsp:rsid wsp:val=&quot;009E5666&quot;/&gt;&lt;wsp:rsid wsp:val=&quot;009E56C1&quot;/&gt;&lt;wsp:rsid wsp:val=&quot;009E591E&quot;/&gt;&lt;wsp:rsid wsp:val=&quot;009E5D87&quot;/&gt;&lt;wsp:rsid wsp:val=&quot;009E5DE0&quot;/&gt;&lt;wsp:rsid wsp:val=&quot;009E68A8&quot;/&gt;&lt;wsp:rsid wsp:val=&quot;009E6988&quot;/&gt;&lt;wsp:rsid wsp:val=&quot;009E6C73&quot;/&gt;&lt;wsp:rsid wsp:val=&quot;009E6CC9&quot;/&gt;&lt;wsp:rsid wsp:val=&quot;009E71EE&quot;/&gt;&lt;wsp:rsid wsp:val=&quot;009E7D27&quot;/&gt;&lt;wsp:rsid wsp:val=&quot;009F0DAA&quot;/&gt;&lt;wsp:rsid wsp:val=&quot;009F0E30&quot;/&gt;&lt;wsp:rsid wsp:val=&quot;009F1B40&quot;/&gt;&lt;wsp:rsid wsp:val=&quot;009F1C8A&quot;/&gt;&lt;wsp:rsid wsp:val=&quot;009F254F&quot;/&gt;&lt;wsp:rsid wsp:val=&quot;009F26F9&quot;/&gt;&lt;wsp:rsid wsp:val=&quot;009F2846&quot;/&gt;&lt;wsp:rsid wsp:val=&quot;009F2AFA&quot;/&gt;&lt;wsp:rsid wsp:val=&quot;009F2D02&quot;/&gt;&lt;wsp:rsid wsp:val=&quot;009F3060&quot;/&gt;&lt;wsp:rsid wsp:val=&quot;009F37DD&quot;/&gt;&lt;wsp:rsid wsp:val=&quot;009F3857&quot;/&gt;&lt;wsp:rsid wsp:val=&quot;009F3960&quot;/&gt;&lt;wsp:rsid wsp:val=&quot;009F3C41&quot;/&gt;&lt;wsp:rsid wsp:val=&quot;009F426A&quot;/&gt;&lt;wsp:rsid wsp:val=&quot;009F4681&quot;/&gt;&lt;wsp:rsid wsp:val=&quot;009F48C5&quot;/&gt;&lt;wsp:rsid wsp:val=&quot;009F4D8C&quot;/&gt;&lt;wsp:rsid wsp:val=&quot;009F4FFF&quot;/&gt;&lt;wsp:rsid wsp:val=&quot;009F519D&quot;/&gt;&lt;wsp:rsid wsp:val=&quot;009F5232&quot;/&gt;&lt;wsp:rsid wsp:val=&quot;009F52A3&quot;/&gt;&lt;wsp:rsid wsp:val=&quot;009F53C7&quot;/&gt;&lt;wsp:rsid wsp:val=&quot;009F56F5&quot;/&gt;&lt;wsp:rsid wsp:val=&quot;009F590B&quot;/&gt;&lt;wsp:rsid wsp:val=&quot;009F5AF6&quot;/&gt;&lt;wsp:rsid wsp:val=&quot;009F5EC0&quot;/&gt;&lt;wsp:rsid wsp:val=&quot;009F6174&quot;/&gt;&lt;wsp:rsid wsp:val=&quot;009F61F3&quot;/&gt;&lt;wsp:rsid wsp:val=&quot;009F6612&quot;/&gt;&lt;wsp:rsid wsp:val=&quot;009F66D0&quot;/&gt;&lt;wsp:rsid wsp:val=&quot;009F6BFF&quot;/&gt;&lt;wsp:rsid wsp:val=&quot;009F6C12&quot;/&gt;&lt;wsp:rsid wsp:val=&quot;009F6C6F&quot;/&gt;&lt;wsp:rsid wsp:val=&quot;009F6D60&quot;/&gt;&lt;wsp:rsid wsp:val=&quot;009F6E91&quot;/&gt;&lt;wsp:rsid wsp:val=&quot;009F7704&quot;/&gt;&lt;wsp:rsid wsp:val=&quot;009F7E7D&quot;/&gt;&lt;wsp:rsid wsp:val=&quot;00A00108&quot;/&gt;&lt;wsp:rsid wsp:val=&quot;00A0029D&quot;/&gt;&lt;wsp:rsid wsp:val=&quot;00A006E2&quot;/&gt;&lt;wsp:rsid wsp:val=&quot;00A006EE&quot;/&gt;&lt;wsp:rsid wsp:val=&quot;00A0074F&quot;/&gt;&lt;wsp:rsid wsp:val=&quot;00A00F23&quot;/&gt;&lt;wsp:rsid wsp:val=&quot;00A013C1&quot;/&gt;&lt;wsp:rsid wsp:val=&quot;00A01BB7&quot;/&gt;&lt;wsp:rsid wsp:val=&quot;00A01BBC&quot;/&gt;&lt;wsp:rsid wsp:val=&quot;00A01C6B&quot;/&gt;&lt;wsp:rsid wsp:val=&quot;00A01CBE&quot;/&gt;&lt;wsp:rsid wsp:val=&quot;00A0234B&quot;/&gt;&lt;wsp:rsid wsp:val=&quot;00A024CC&quot;/&gt;&lt;wsp:rsid wsp:val=&quot;00A02851&quot;/&gt;&lt;wsp:rsid wsp:val=&quot;00A02878&quot;/&gt;&lt;wsp:rsid wsp:val=&quot;00A02CB7&quot;/&gt;&lt;wsp:rsid wsp:val=&quot;00A0335B&quot;/&gt;&lt;wsp:rsid wsp:val=&quot;00A03B79&quot;/&gt;&lt;wsp:rsid wsp:val=&quot;00A03E14&quot;/&gt;&lt;wsp:rsid wsp:val=&quot;00A04440&quot;/&gt;&lt;wsp:rsid wsp:val=&quot;00A04E5B&quot;/&gt;&lt;wsp:rsid wsp:val=&quot;00A04F29&quot;/&gt;&lt;wsp:rsid wsp:val=&quot;00A05038&quot;/&gt;&lt;wsp:rsid wsp:val=&quot;00A0578A&quot;/&gt;&lt;wsp:rsid wsp:val=&quot;00A05925&quot;/&gt;&lt;wsp:rsid wsp:val=&quot;00A05AA3&quot;/&gt;&lt;wsp:rsid wsp:val=&quot;00A05F18&quot;/&gt;&lt;wsp:rsid wsp:val=&quot;00A06349&quot;/&gt;&lt;wsp:rsid wsp:val=&quot;00A06389&quot;/&gt;&lt;wsp:rsid wsp:val=&quot;00A063D6&quot;/&gt;&lt;wsp:rsid wsp:val=&quot;00A06AF7&quot;/&gt;&lt;wsp:rsid wsp:val=&quot;00A06C3B&quot;/&gt;&lt;wsp:rsid wsp:val=&quot;00A0705C&quot;/&gt;&lt;wsp:rsid wsp:val=&quot;00A071F0&quot;/&gt;&lt;wsp:rsid wsp:val=&quot;00A0795B&quot;/&gt;&lt;wsp:rsid wsp:val=&quot;00A07FD5&quot;/&gt;&lt;wsp:rsid wsp:val=&quot;00A10198&quot;/&gt;&lt;wsp:rsid wsp:val=&quot;00A101C2&quot;/&gt;&lt;wsp:rsid wsp:val=&quot;00A10679&quot;/&gt;&lt;wsp:rsid wsp:val=&quot;00A106EB&quot;/&gt;&lt;wsp:rsid wsp:val=&quot;00A109EE&quot;/&gt;&lt;wsp:rsid wsp:val=&quot;00A112E7&quot;/&gt;&lt;wsp:rsid wsp:val=&quot;00A11859&quot;/&gt;&lt;wsp:rsid wsp:val=&quot;00A11F40&quot;/&gt;&lt;wsp:rsid wsp:val=&quot;00A12240&quot;/&gt;&lt;wsp:rsid wsp:val=&quot;00A12640&quot;/&gt;&lt;wsp:rsid wsp:val=&quot;00A128AA&quot;/&gt;&lt;wsp:rsid wsp:val=&quot;00A12C11&quot;/&gt;&lt;wsp:rsid wsp:val=&quot;00A12C12&quot;/&gt;&lt;wsp:rsid wsp:val=&quot;00A12D6A&quot;/&gt;&lt;wsp:rsid wsp:val=&quot;00A12D7C&quot;/&gt;&lt;wsp:rsid wsp:val=&quot;00A1375D&quot;/&gt;&lt;wsp:rsid wsp:val=&quot;00A1385D&quot;/&gt;&lt;wsp:rsid wsp:val=&quot;00A13B28&quot;/&gt;&lt;wsp:rsid wsp:val=&quot;00A13D39&quot;/&gt;&lt;wsp:rsid wsp:val=&quot;00A13F73&quot;/&gt;&lt;wsp:rsid wsp:val=&quot;00A13F82&quot;/&gt;&lt;wsp:rsid wsp:val=&quot;00A13FED&quot;/&gt;&lt;wsp:rsid wsp:val=&quot;00A14252&quot;/&gt;&lt;wsp:rsid wsp:val=&quot;00A148D1&quot;/&gt;&lt;wsp:rsid wsp:val=&quot;00A148FB&quot;/&gt;&lt;wsp:rsid wsp:val=&quot;00A14FE7&quot;/&gt;&lt;wsp:rsid wsp:val=&quot;00A150D5&quot;/&gt;&lt;wsp:rsid wsp:val=&quot;00A15168&quot;/&gt;&lt;wsp:rsid wsp:val=&quot;00A1543F&quot;/&gt;&lt;wsp:rsid wsp:val=&quot;00A15572&quot;/&gt;&lt;wsp:rsid wsp:val=&quot;00A15783&quot;/&gt;&lt;wsp:rsid wsp:val=&quot;00A15C97&quot;/&gt;&lt;wsp:rsid wsp:val=&quot;00A15CBA&quot;/&gt;&lt;wsp:rsid wsp:val=&quot;00A16141&quot;/&gt;&lt;wsp:rsid wsp:val=&quot;00A166D0&quot;/&gt;&lt;wsp:rsid wsp:val=&quot;00A16A35&quot;/&gt;&lt;wsp:rsid wsp:val=&quot;00A1722D&quot;/&gt;&lt;wsp:rsid wsp:val=&quot;00A1763E&quot;/&gt;&lt;wsp:rsid wsp:val=&quot;00A17B2D&quot;/&gt;&lt;wsp:rsid wsp:val=&quot;00A17C35&quot;/&gt;&lt;wsp:rsid wsp:val=&quot;00A17D80&quot;/&gt;&lt;wsp:rsid wsp:val=&quot;00A17DDB&quot;/&gt;&lt;wsp:rsid wsp:val=&quot;00A17E93&quot;/&gt;&lt;wsp:rsid wsp:val=&quot;00A17FD5&quot;/&gt;&lt;wsp:rsid wsp:val=&quot;00A20378&quot;/&gt;&lt;wsp:rsid wsp:val=&quot;00A209EA&quot;/&gt;&lt;wsp:rsid wsp:val=&quot;00A20D10&quot;/&gt;&lt;wsp:rsid wsp:val=&quot;00A20E6C&quot;/&gt;&lt;wsp:rsid wsp:val=&quot;00A20F11&quot;/&gt;&lt;wsp:rsid wsp:val=&quot;00A21ABD&quot;/&gt;&lt;wsp:rsid wsp:val=&quot;00A21BFA&quot;/&gt;&lt;wsp:rsid wsp:val=&quot;00A21CE4&quot;/&gt;&lt;wsp:rsid wsp:val=&quot;00A2207C&quot;/&gt;&lt;wsp:rsid wsp:val=&quot;00A22137&quot;/&gt;&lt;wsp:rsid wsp:val=&quot;00A226FC&quot;/&gt;&lt;wsp:rsid wsp:val=&quot;00A226FF&quot;/&gt;&lt;wsp:rsid wsp:val=&quot;00A2291F&quot;/&gt;&lt;wsp:rsid wsp:val=&quot;00A22E0D&quot;/&gt;&lt;wsp:rsid wsp:val=&quot;00A22F42&quot;/&gt;&lt;wsp:rsid wsp:val=&quot;00A23506&quot;/&gt;&lt;wsp:rsid wsp:val=&quot;00A23648&quot;/&gt;&lt;wsp:rsid wsp:val=&quot;00A23994&quot;/&gt;&lt;wsp:rsid wsp:val=&quot;00A23B5E&quot;/&gt;&lt;wsp:rsid wsp:val=&quot;00A24233&quot;/&gt;&lt;wsp:rsid wsp:val=&quot;00A24248&quot;/&gt;&lt;wsp:rsid wsp:val=&quot;00A24A2D&quot;/&gt;&lt;wsp:rsid wsp:val=&quot;00A252E7&quot;/&gt;&lt;wsp:rsid wsp:val=&quot;00A2593E&quot;/&gt;&lt;wsp:rsid wsp:val=&quot;00A261A7&quot;/&gt;&lt;wsp:rsid wsp:val=&quot;00A262EE&quot;/&gt;&lt;wsp:rsid wsp:val=&quot;00A270A3&quot;/&gt;&lt;wsp:rsid wsp:val=&quot;00A27218&quot;/&gt;&lt;wsp:rsid wsp:val=&quot;00A272C0&quot;/&gt;&lt;wsp:rsid wsp:val=&quot;00A27335&quot;/&gt;&lt;wsp:rsid wsp:val=&quot;00A27758&quot;/&gt;&lt;wsp:rsid wsp:val=&quot;00A27EF4&quot;/&gt;&lt;wsp:rsid wsp:val=&quot;00A27F1E&quot;/&gt;&lt;wsp:rsid wsp:val=&quot;00A30022&quot;/&gt;&lt;wsp:rsid wsp:val=&quot;00A30405&quot;/&gt;&lt;wsp:rsid wsp:val=&quot;00A30473&quot;/&gt;&lt;wsp:rsid wsp:val=&quot;00A304F6&quot;/&gt;&lt;wsp:rsid wsp:val=&quot;00A30940&quot;/&gt;&lt;wsp:rsid wsp:val=&quot;00A30C79&quot;/&gt;&lt;wsp:rsid wsp:val=&quot;00A30CD9&quot;/&gt;&lt;wsp:rsid wsp:val=&quot;00A30D84&quot;/&gt;&lt;wsp:rsid wsp:val=&quot;00A310F8&quot;/&gt;&lt;wsp:rsid wsp:val=&quot;00A31154&quot;/&gt;&lt;wsp:rsid wsp:val=&quot;00A3124A&quot;/&gt;&lt;wsp:rsid wsp:val=&quot;00A31811&quot;/&gt;&lt;wsp:rsid wsp:val=&quot;00A31CD5&quot;/&gt;&lt;wsp:rsid wsp:val=&quot;00A32633&quot;/&gt;&lt;wsp:rsid wsp:val=&quot;00A32EF9&quot;/&gt;&lt;wsp:rsid wsp:val=&quot;00A3384E&quot;/&gt;&lt;wsp:rsid wsp:val=&quot;00A33D51&quot;/&gt;&lt;wsp:rsid wsp:val=&quot;00A33EAA&quot;/&gt;&lt;wsp:rsid wsp:val=&quot;00A34099&quot;/&gt;&lt;wsp:rsid wsp:val=&quot;00A343F7&quot;/&gt;&lt;wsp:rsid wsp:val=&quot;00A34488&quot;/&gt;&lt;wsp:rsid wsp:val=&quot;00A34787&quot;/&gt;&lt;wsp:rsid wsp:val=&quot;00A3483B&quot;/&gt;&lt;wsp:rsid wsp:val=&quot;00A348E8&quot;/&gt;&lt;wsp:rsid wsp:val=&quot;00A34919&quot;/&gt;&lt;wsp:rsid wsp:val=&quot;00A34AB2&quot;/&gt;&lt;wsp:rsid wsp:val=&quot;00A3521D&quot;/&gt;&lt;wsp:rsid wsp:val=&quot;00A352D6&quot;/&gt;&lt;wsp:rsid wsp:val=&quot;00A35655&quot;/&gt;&lt;wsp:rsid wsp:val=&quot;00A35DA5&quot;/&gt;&lt;wsp:rsid wsp:val=&quot;00A3602A&quot;/&gt;&lt;wsp:rsid wsp:val=&quot;00A3612D&quot;/&gt;&lt;wsp:rsid wsp:val=&quot;00A3687D&quot;/&gt;&lt;wsp:rsid wsp:val=&quot;00A36911&quot;/&gt;&lt;wsp:rsid wsp:val=&quot;00A36FC7&quot;/&gt;&lt;wsp:rsid wsp:val=&quot;00A375E3&quot;/&gt;&lt;wsp:rsid wsp:val=&quot;00A37CCC&quot;/&gt;&lt;wsp:rsid wsp:val=&quot;00A37D0D&quot;/&gt;&lt;wsp:rsid wsp:val=&quot;00A40248&quot;/&gt;&lt;wsp:rsid wsp:val=&quot;00A40A2D&quot;/&gt;&lt;wsp:rsid wsp:val=&quot;00A40C6F&quot;/&gt;&lt;wsp:rsid wsp:val=&quot;00A40F5C&quot;/&gt;&lt;wsp:rsid wsp:val=&quot;00A41847&quot;/&gt;&lt;wsp:rsid wsp:val=&quot;00A41B59&quot;/&gt;&lt;wsp:rsid wsp:val=&quot;00A41EEF&quot;/&gt;&lt;wsp:rsid wsp:val=&quot;00A4240B&quot;/&gt;&lt;wsp:rsid wsp:val=&quot;00A4252A&quot;/&gt;&lt;wsp:rsid wsp:val=&quot;00A429A0&quot;/&gt;&lt;wsp:rsid wsp:val=&quot;00A43176&quot;/&gt;&lt;wsp:rsid wsp:val=&quot;00A43177&quot;/&gt;&lt;wsp:rsid wsp:val=&quot;00A43326&quot;/&gt;&lt;wsp:rsid wsp:val=&quot;00A43637&quot;/&gt;&lt;wsp:rsid wsp:val=&quot;00A4383F&quot;/&gt;&lt;wsp:rsid wsp:val=&quot;00A43F6D&quot;/&gt;&lt;wsp:rsid wsp:val=&quot;00A442DB&quot;/&gt;&lt;wsp:rsid wsp:val=&quot;00A44F49&quot;/&gt;&lt;wsp:rsid wsp:val=&quot;00A465D5&quot;/&gt;&lt;wsp:rsid wsp:val=&quot;00A47257&quot;/&gt;&lt;wsp:rsid wsp:val=&quot;00A4729B&quot;/&gt;&lt;wsp:rsid wsp:val=&quot;00A4778F&quot;/&gt;&lt;wsp:rsid wsp:val=&quot;00A47AEC&quot;/&gt;&lt;wsp:rsid wsp:val=&quot;00A47F2C&quot;/&gt;&lt;wsp:rsid wsp:val=&quot;00A50056&quot;/&gt;&lt;wsp:rsid wsp:val=&quot;00A5053E&quot;/&gt;&lt;wsp:rsid wsp:val=&quot;00A50D97&quot;/&gt;&lt;wsp:rsid wsp:val=&quot;00A51313&quot;/&gt;&lt;wsp:rsid wsp:val=&quot;00A513B8&quot;/&gt;&lt;wsp:rsid wsp:val=&quot;00A51795&quot;/&gt;&lt;wsp:rsid wsp:val=&quot;00A51870&quot;/&gt;&lt;wsp:rsid wsp:val=&quot;00A518ED&quot;/&gt;&lt;wsp:rsid wsp:val=&quot;00A51CA5&quot;/&gt;&lt;wsp:rsid wsp:val=&quot;00A51F41&quot;/&gt;&lt;wsp:rsid wsp:val=&quot;00A51F64&quot;/&gt;&lt;wsp:rsid wsp:val=&quot;00A52270&quot;/&gt;&lt;wsp:rsid wsp:val=&quot;00A526BB&quot;/&gt;&lt;wsp:rsid wsp:val=&quot;00A528FE&quot;/&gt;&lt;wsp:rsid wsp:val=&quot;00A52AB8&quot;/&gt;&lt;wsp:rsid wsp:val=&quot;00A52C16&quot;/&gt;&lt;wsp:rsid wsp:val=&quot;00A52FAE&quot;/&gt;&lt;wsp:rsid wsp:val=&quot;00A53478&quot;/&gt;&lt;wsp:rsid wsp:val=&quot;00A537B8&quot;/&gt;&lt;wsp:rsid wsp:val=&quot;00A537CA&quot;/&gt;&lt;wsp:rsid wsp:val=&quot;00A53809&quot;/&gt;&lt;wsp:rsid wsp:val=&quot;00A53D59&quot;/&gt;&lt;wsp:rsid wsp:val=&quot;00A53E21&quot;/&gt;&lt;wsp:rsid wsp:val=&quot;00A54816&quot;/&gt;&lt;wsp:rsid wsp:val=&quot;00A54971&quot;/&gt;&lt;wsp:rsid wsp:val=&quot;00A54E31&quot;/&gt;&lt;wsp:rsid wsp:val=&quot;00A5553C&quot;/&gt;&lt;wsp:rsid wsp:val=&quot;00A55B82&quot;/&gt;&lt;wsp:rsid wsp:val=&quot;00A56042&quot;/&gt;&lt;wsp:rsid wsp:val=&quot;00A5604E&quot;/&gt;&lt;wsp:rsid wsp:val=&quot;00A56484&quot;/&gt;&lt;wsp:rsid wsp:val=&quot;00A56E0B&quot;/&gt;&lt;wsp:rsid wsp:val=&quot;00A575B8&quot;/&gt;&lt;wsp:rsid wsp:val=&quot;00A57746&quot;/&gt;&lt;wsp:rsid wsp:val=&quot;00A57A97&quot;/&gt;&lt;wsp:rsid wsp:val=&quot;00A57D2D&quot;/&gt;&lt;wsp:rsid wsp:val=&quot;00A6006A&quot;/&gt;&lt;wsp:rsid wsp:val=&quot;00A6014E&quot;/&gt;&lt;wsp:rsid wsp:val=&quot;00A604C0&quot;/&gt;&lt;wsp:rsid wsp:val=&quot;00A607AF&quot;/&gt;&lt;wsp:rsid wsp:val=&quot;00A60DD1&quot;/&gt;&lt;wsp:rsid wsp:val=&quot;00A6113E&quot;/&gt;&lt;wsp:rsid wsp:val=&quot;00A6171A&quot;/&gt;&lt;wsp:rsid wsp:val=&quot;00A61798&quot;/&gt;&lt;wsp:rsid wsp:val=&quot;00A6194C&quot;/&gt;&lt;wsp:rsid wsp:val=&quot;00A61983&quot;/&gt;&lt;wsp:rsid wsp:val=&quot;00A61A8E&quot;/&gt;&lt;wsp:rsid wsp:val=&quot;00A61DB3&quot;/&gt;&lt;wsp:rsid wsp:val=&quot;00A61E69&quot;/&gt;&lt;wsp:rsid wsp:val=&quot;00A62020&quot;/&gt;&lt;wsp:rsid wsp:val=&quot;00A626B2&quot;/&gt;&lt;wsp:rsid wsp:val=&quot;00A627DD&quot;/&gt;&lt;wsp:rsid wsp:val=&quot;00A629DA&quot;/&gt;&lt;wsp:rsid wsp:val=&quot;00A6304F&quot;/&gt;&lt;wsp:rsid wsp:val=&quot;00A63AA4&quot;/&gt;&lt;wsp:rsid wsp:val=&quot;00A63B13&quot;/&gt;&lt;wsp:rsid wsp:val=&quot;00A63D49&quot;/&gt;&lt;wsp:rsid wsp:val=&quot;00A64267&quot;/&gt;&lt;wsp:rsid wsp:val=&quot;00A648AE&quot;/&gt;&lt;wsp:rsid wsp:val=&quot;00A64BC5&quot;/&gt;&lt;wsp:rsid wsp:val=&quot;00A64D66&quot;/&gt;&lt;wsp:rsid wsp:val=&quot;00A65203&quot;/&gt;&lt;wsp:rsid wsp:val=&quot;00A65267&quot;/&gt;&lt;wsp:rsid wsp:val=&quot;00A6539A&quot;/&gt;&lt;wsp:rsid wsp:val=&quot;00A65429&quot;/&gt;&lt;wsp:rsid wsp:val=&quot;00A65763&quot;/&gt;&lt;wsp:rsid wsp:val=&quot;00A65CF2&quot;/&gt;&lt;wsp:rsid wsp:val=&quot;00A65FB1&quot;/&gt;&lt;wsp:rsid wsp:val=&quot;00A660DE&quot;/&gt;&lt;wsp:rsid wsp:val=&quot;00A66337&quot;/&gt;&lt;wsp:rsid wsp:val=&quot;00A66855&quot;/&gt;&lt;wsp:rsid wsp:val=&quot;00A66C91&quot;/&gt;&lt;wsp:rsid wsp:val=&quot;00A66D12&quot;/&gt;&lt;wsp:rsid wsp:val=&quot;00A66D7A&quot;/&gt;&lt;wsp:rsid wsp:val=&quot;00A670D6&quot;/&gt;&lt;wsp:rsid wsp:val=&quot;00A6729D&quot;/&gt;&lt;wsp:rsid wsp:val=&quot;00A67394&quot;/&gt;&lt;wsp:rsid wsp:val=&quot;00A677B5&quot;/&gt;&lt;wsp:rsid wsp:val=&quot;00A6790F&quot;/&gt;&lt;wsp:rsid wsp:val=&quot;00A67912&quot;/&gt;&lt;wsp:rsid wsp:val=&quot;00A67DAC&quot;/&gt;&lt;wsp:rsid wsp:val=&quot;00A701FD&quot;/&gt;&lt;wsp:rsid wsp:val=&quot;00A707D4&quot;/&gt;&lt;wsp:rsid wsp:val=&quot;00A70A5B&quot;/&gt;&lt;wsp:rsid wsp:val=&quot;00A70BDE&quot;/&gt;&lt;wsp:rsid wsp:val=&quot;00A70E8D&quot;/&gt;&lt;wsp:rsid wsp:val=&quot;00A70EC1&quot;/&gt;&lt;wsp:rsid wsp:val=&quot;00A70F52&quot;/&gt;&lt;wsp:rsid wsp:val=&quot;00A710F7&quot;/&gt;&lt;wsp:rsid wsp:val=&quot;00A71124&quot;/&gt;&lt;wsp:rsid wsp:val=&quot;00A7121B&quot;/&gt;&lt;wsp:rsid wsp:val=&quot;00A715C6&quot;/&gt;&lt;wsp:rsid wsp:val=&quot;00A715FD&quot;/&gt;&lt;wsp:rsid wsp:val=&quot;00A71A9A&quot;/&gt;&lt;wsp:rsid wsp:val=&quot;00A71FF8&quot;/&gt;&lt;wsp:rsid wsp:val=&quot;00A7266F&quot;/&gt;&lt;wsp:rsid wsp:val=&quot;00A72C11&quot;/&gt;&lt;wsp:rsid wsp:val=&quot;00A72E7A&quot;/&gt;&lt;wsp:rsid wsp:val=&quot;00A7352C&quot;/&gt;&lt;wsp:rsid wsp:val=&quot;00A73841&quot;/&gt;&lt;wsp:rsid wsp:val=&quot;00A73A59&quot;/&gt;&lt;wsp:rsid wsp:val=&quot;00A73D44&quot;/&gt;&lt;wsp:rsid wsp:val=&quot;00A741C8&quot;/&gt;&lt;wsp:rsid wsp:val=&quot;00A74A9A&quot;/&gt;&lt;wsp:rsid wsp:val=&quot;00A74C38&quot;/&gt;&lt;wsp:rsid wsp:val=&quot;00A75314&quot;/&gt;&lt;wsp:rsid wsp:val=&quot;00A7562A&quot;/&gt;&lt;wsp:rsid wsp:val=&quot;00A75D66&quot;/&gt;&lt;wsp:rsid wsp:val=&quot;00A75E31&quot;/&gt;&lt;wsp:rsid wsp:val=&quot;00A75E76&quot;/&gt;&lt;wsp:rsid wsp:val=&quot;00A76326&quot;/&gt;&lt;wsp:rsid wsp:val=&quot;00A765A2&quot;/&gt;&lt;wsp:rsid wsp:val=&quot;00A765C0&quot;/&gt;&lt;wsp:rsid wsp:val=&quot;00A7686C&quot;/&gt;&lt;wsp:rsid wsp:val=&quot;00A76A08&quot;/&gt;&lt;wsp:rsid wsp:val=&quot;00A76A40&quot;/&gt;&lt;wsp:rsid wsp:val=&quot;00A76B2A&quot;/&gt;&lt;wsp:rsid wsp:val=&quot;00A76D07&quot;/&gt;&lt;wsp:rsid wsp:val=&quot;00A76E3C&quot;/&gt;&lt;wsp:rsid wsp:val=&quot;00A7790D&quot;/&gt;&lt;wsp:rsid wsp:val=&quot;00A77B57&quot;/&gt;&lt;wsp:rsid wsp:val=&quot;00A77BFB&quot;/&gt;&lt;wsp:rsid wsp:val=&quot;00A800B3&quot;/&gt;&lt;wsp:rsid wsp:val=&quot;00A80333&quot;/&gt;&lt;wsp:rsid wsp:val=&quot;00A807B7&quot;/&gt;&lt;wsp:rsid wsp:val=&quot;00A80877&quot;/&gt;&lt;wsp:rsid wsp:val=&quot;00A80892&quot;/&gt;&lt;wsp:rsid wsp:val=&quot;00A80A0E&quot;/&gt;&lt;wsp:rsid wsp:val=&quot;00A80A86&quot;/&gt;&lt;wsp:rsid wsp:val=&quot;00A810F9&quot;/&gt;&lt;wsp:rsid wsp:val=&quot;00A8111C&quot;/&gt;&lt;wsp:rsid wsp:val=&quot;00A8170A&quot;/&gt;&lt;wsp:rsid wsp:val=&quot;00A818A4&quot;/&gt;&lt;wsp:rsid wsp:val=&quot;00A81DD7&quot;/&gt;&lt;wsp:rsid wsp:val=&quot;00A820B4&quot;/&gt;&lt;wsp:rsid wsp:val=&quot;00A82346&quot;/&gt;&lt;wsp:rsid wsp:val=&quot;00A82675&quot;/&gt;&lt;wsp:rsid wsp:val=&quot;00A82773&quot;/&gt;&lt;wsp:rsid wsp:val=&quot;00A8277D&quot;/&gt;&lt;wsp:rsid wsp:val=&quot;00A83BFC&quot;/&gt;&lt;wsp:rsid wsp:val=&quot;00A83DD5&quot;/&gt;&lt;wsp:rsid wsp:val=&quot;00A841A8&quot;/&gt;&lt;wsp:rsid wsp:val=&quot;00A8425B&quot;/&gt;&lt;wsp:rsid wsp:val=&quot;00A84D1E&quot;/&gt;&lt;wsp:rsid wsp:val=&quot;00A85234&quot;/&gt;&lt;wsp:rsid wsp:val=&quot;00A853B5&quot;/&gt;&lt;wsp:rsid wsp:val=&quot;00A855A2&quot;/&gt;&lt;wsp:rsid wsp:val=&quot;00A85755&quot;/&gt;&lt;wsp:rsid wsp:val=&quot;00A858ED&quot;/&gt;&lt;wsp:rsid wsp:val=&quot;00A85A20&quot;/&gt;&lt;wsp:rsid wsp:val=&quot;00A85D90&quot;/&gt;&lt;wsp:rsid wsp:val=&quot;00A85E89&quot;/&gt;&lt;wsp:rsid wsp:val=&quot;00A85EB0&quot;/&gt;&lt;wsp:rsid wsp:val=&quot;00A86531&quot;/&gt;&lt;wsp:rsid wsp:val=&quot;00A867EB&quot;/&gt;&lt;wsp:rsid wsp:val=&quot;00A86B33&quot;/&gt;&lt;wsp:rsid wsp:val=&quot;00A86EEB&quot;/&gt;&lt;wsp:rsid wsp:val=&quot;00A87155&quot;/&gt;&lt;wsp:rsid wsp:val=&quot;00A87208&quot;/&gt;&lt;wsp:rsid wsp:val=&quot;00A87724&quot;/&gt;&lt;wsp:rsid wsp:val=&quot;00A87820&quot;/&gt;&lt;wsp:rsid wsp:val=&quot;00A8788D&quot;/&gt;&lt;wsp:rsid wsp:val=&quot;00A878A4&quot;/&gt;&lt;wsp:rsid wsp:val=&quot;00A879D6&quot;/&gt;&lt;wsp:rsid wsp:val=&quot;00A87C29&quot;/&gt;&lt;wsp:rsid wsp:val=&quot;00A87F41&quot;/&gt;&lt;wsp:rsid wsp:val=&quot;00A903DE&quot;/&gt;&lt;wsp:rsid wsp:val=&quot;00A90584&quot;/&gt;&lt;wsp:rsid wsp:val=&quot;00A90A12&quot;/&gt;&lt;wsp:rsid wsp:val=&quot;00A90F31&quot;/&gt;&lt;wsp:rsid wsp:val=&quot;00A912DD&quot;/&gt;&lt;wsp:rsid wsp:val=&quot;00A915D8&quot;/&gt;&lt;wsp:rsid wsp:val=&quot;00A91839&quot;/&gt;&lt;wsp:rsid wsp:val=&quot;00A91B76&quot;/&gt;&lt;wsp:rsid wsp:val=&quot;00A91B9A&quot;/&gt;&lt;wsp:rsid wsp:val=&quot;00A91E08&quot;/&gt;&lt;wsp:rsid wsp:val=&quot;00A92168&quot;/&gt;&lt;wsp:rsid wsp:val=&quot;00A92513&quot;/&gt;&lt;wsp:rsid wsp:val=&quot;00A928DB&quot;/&gt;&lt;wsp:rsid wsp:val=&quot;00A9295F&quot;/&gt;&lt;wsp:rsid wsp:val=&quot;00A92B87&quot;/&gt;&lt;wsp:rsid wsp:val=&quot;00A9315B&quot;/&gt;&lt;wsp:rsid wsp:val=&quot;00A931F2&quot;/&gt;&lt;wsp:rsid wsp:val=&quot;00A93507&quot;/&gt;&lt;wsp:rsid wsp:val=&quot;00A935C3&quot;/&gt;&lt;wsp:rsid wsp:val=&quot;00A93D4E&quot;/&gt;&lt;wsp:rsid wsp:val=&quot;00A93DE5&quot;/&gt;&lt;wsp:rsid wsp:val=&quot;00A93DE8&quot;/&gt;&lt;wsp:rsid wsp:val=&quot;00A93F76&quot;/&gt;&lt;wsp:rsid wsp:val=&quot;00A94491&quot;/&gt;&lt;wsp:rsid wsp:val=&quot;00A9480B&quot;/&gt;&lt;wsp:rsid wsp:val=&quot;00A94810&quot;/&gt;&lt;wsp:rsid wsp:val=&quot;00A951C6&quot;/&gt;&lt;wsp:rsid wsp:val=&quot;00A95BEC&quot;/&gt;&lt;wsp:rsid wsp:val=&quot;00A961BB&quot;/&gt;&lt;wsp:rsid wsp:val=&quot;00A9681E&quot;/&gt;&lt;wsp:rsid wsp:val=&quot;00A96A52&quot;/&gt;&lt;wsp:rsid wsp:val=&quot;00A96A66&quot;/&gt;&lt;wsp:rsid wsp:val=&quot;00A96AE7&quot;/&gt;&lt;wsp:rsid wsp:val=&quot;00A96EA8&quot;/&gt;&lt;wsp:rsid wsp:val=&quot;00A97920&quot;/&gt;&lt;wsp:rsid wsp:val=&quot;00A97D65&quot;/&gt;&lt;wsp:rsid wsp:val=&quot;00A97F1F&quot;/&gt;&lt;wsp:rsid wsp:val=&quot;00AA02FD&quot;/&gt;&lt;wsp:rsid wsp:val=&quot;00AA042C&quot;/&gt;&lt;wsp:rsid wsp:val=&quot;00AA0584&quot;/&gt;&lt;wsp:rsid wsp:val=&quot;00AA069E&quot;/&gt;&lt;wsp:rsid wsp:val=&quot;00AA0A78&quot;/&gt;&lt;wsp:rsid wsp:val=&quot;00AA0C0C&quot;/&gt;&lt;wsp:rsid wsp:val=&quot;00AA0C45&quot;/&gt;&lt;wsp:rsid wsp:val=&quot;00AA1080&quot;/&gt;&lt;wsp:rsid wsp:val=&quot;00AA1CBC&quot;/&gt;&lt;wsp:rsid wsp:val=&quot;00AA23FC&quot;/&gt;&lt;wsp:rsid wsp:val=&quot;00AA2521&quot;/&gt;&lt;wsp:rsid wsp:val=&quot;00AA2F18&quot;/&gt;&lt;wsp:rsid wsp:val=&quot;00AA314E&quot;/&gt;&lt;wsp:rsid wsp:val=&quot;00AA33A4&quot;/&gt;&lt;wsp:rsid wsp:val=&quot;00AA346B&quot;/&gt;&lt;wsp:rsid wsp:val=&quot;00AA3476&quot;/&gt;&lt;wsp:rsid wsp:val=&quot;00AA3937&quot;/&gt;&lt;wsp:rsid wsp:val=&quot;00AA3B2C&quot;/&gt;&lt;wsp:rsid wsp:val=&quot;00AA3C7A&quot;/&gt;&lt;wsp:rsid wsp:val=&quot;00AA3CBE&quot;/&gt;&lt;wsp:rsid wsp:val=&quot;00AA4246&quot;/&gt;&lt;wsp:rsid wsp:val=&quot;00AA4607&quot;/&gt;&lt;wsp:rsid wsp:val=&quot;00AA47E8&quot;/&gt;&lt;wsp:rsid wsp:val=&quot;00AA48A3&quot;/&gt;&lt;wsp:rsid wsp:val=&quot;00AA4924&quot;/&gt;&lt;wsp:rsid wsp:val=&quot;00AA4D99&quot;/&gt;&lt;wsp:rsid wsp:val=&quot;00AA4E2D&quot;/&gt;&lt;wsp:rsid wsp:val=&quot;00AA510B&quot;/&gt;&lt;wsp:rsid wsp:val=&quot;00AA512E&quot;/&gt;&lt;wsp:rsid wsp:val=&quot;00AA51BB&quot;/&gt;&lt;wsp:rsid wsp:val=&quot;00AA52B0&quot;/&gt;&lt;wsp:rsid wsp:val=&quot;00AA54CF&quot;/&gt;&lt;wsp:rsid wsp:val=&quot;00AA55AC&quot;/&gt;&lt;wsp:rsid wsp:val=&quot;00AA55DC&quot;/&gt;&lt;wsp:rsid wsp:val=&quot;00AA5A0A&quot;/&gt;&lt;wsp:rsid wsp:val=&quot;00AA5D36&quot;/&gt;&lt;wsp:rsid wsp:val=&quot;00AA5F33&quot;/&gt;&lt;wsp:rsid wsp:val=&quot;00AA66CE&quot;/&gt;&lt;wsp:rsid wsp:val=&quot;00AA6F5D&quot;/&gt;&lt;wsp:rsid wsp:val=&quot;00AA7915&quot;/&gt;&lt;wsp:rsid wsp:val=&quot;00AB097D&quot;/&gt;&lt;wsp:rsid wsp:val=&quot;00AB0B87&quot;/&gt;&lt;wsp:rsid wsp:val=&quot;00AB0E1C&quot;/&gt;&lt;wsp:rsid wsp:val=&quot;00AB10CD&quot;/&gt;&lt;wsp:rsid wsp:val=&quot;00AB1244&quot;/&gt;&lt;wsp:rsid wsp:val=&quot;00AB1504&quot;/&gt;&lt;wsp:rsid wsp:val=&quot;00AB20B0&quot;/&gt;&lt;wsp:rsid wsp:val=&quot;00AB2119&quot;/&gt;&lt;wsp:rsid wsp:val=&quot;00AB237C&quot;/&gt;&lt;wsp:rsid wsp:val=&quot;00AB269D&quot;/&gt;&lt;wsp:rsid wsp:val=&quot;00AB274E&quot;/&gt;&lt;wsp:rsid wsp:val=&quot;00AB292A&quot;/&gt;&lt;wsp:rsid wsp:val=&quot;00AB2CF5&quot;/&gt;&lt;wsp:rsid wsp:val=&quot;00AB2E72&quot;/&gt;&lt;wsp:rsid wsp:val=&quot;00AB2F00&quot;/&gt;&lt;wsp:rsid wsp:val=&quot;00AB301B&quot;/&gt;&lt;wsp:rsid wsp:val=&quot;00AB308B&quot;/&gt;&lt;wsp:rsid wsp:val=&quot;00AB3408&quot;/&gt;&lt;wsp:rsid wsp:val=&quot;00AB364B&quot;/&gt;&lt;wsp:rsid wsp:val=&quot;00AB389E&quot;/&gt;&lt;wsp:rsid wsp:val=&quot;00AB3D6A&quot;/&gt;&lt;wsp:rsid wsp:val=&quot;00AB42B0&quot;/&gt;&lt;wsp:rsid wsp:val=&quot;00AB47F0&quot;/&gt;&lt;wsp:rsid wsp:val=&quot;00AB4952&quot;/&gt;&lt;wsp:rsid wsp:val=&quot;00AB4C51&quot;/&gt;&lt;wsp:rsid wsp:val=&quot;00AB4C7F&quot;/&gt;&lt;wsp:rsid wsp:val=&quot;00AB4E24&quot;/&gt;&lt;wsp:rsid wsp:val=&quot;00AB4FE3&quot;/&gt;&lt;wsp:rsid wsp:val=&quot;00AB504C&quot;/&gt;&lt;wsp:rsid wsp:val=&quot;00AB51FA&quot;/&gt;&lt;wsp:rsid wsp:val=&quot;00AB5375&quot;/&gt;&lt;wsp:rsid wsp:val=&quot;00AB5404&quot;/&gt;&lt;wsp:rsid wsp:val=&quot;00AB55DD&quot;/&gt;&lt;wsp:rsid wsp:val=&quot;00AB5747&quot;/&gt;&lt;wsp:rsid wsp:val=&quot;00AB5B35&quot;/&gt;&lt;wsp:rsid wsp:val=&quot;00AB5CE5&quot;/&gt;&lt;wsp:rsid wsp:val=&quot;00AB67B5&quot;/&gt;&lt;wsp:rsid wsp:val=&quot;00AB67F3&quot;/&gt;&lt;wsp:rsid wsp:val=&quot;00AB6D48&quot;/&gt;&lt;wsp:rsid wsp:val=&quot;00AB6EC3&quot;/&gt;&lt;wsp:rsid wsp:val=&quot;00AB7C45&quot;/&gt;&lt;wsp:rsid wsp:val=&quot;00AC0763&quot;/&gt;&lt;wsp:rsid wsp:val=&quot;00AC0967&quot;/&gt;&lt;wsp:rsid wsp:val=&quot;00AC0D90&quot;/&gt;&lt;wsp:rsid wsp:val=&quot;00AC1044&quot;/&gt;&lt;wsp:rsid wsp:val=&quot;00AC1366&quot;/&gt;&lt;wsp:rsid wsp:val=&quot;00AC1455&quot;/&gt;&lt;wsp:rsid wsp:val=&quot;00AC18E9&quot;/&gt;&lt;wsp:rsid wsp:val=&quot;00AC19BD&quot;/&gt;&lt;wsp:rsid wsp:val=&quot;00AC2032&quot;/&gt;&lt;wsp:rsid wsp:val=&quot;00AC20DA&quot;/&gt;&lt;wsp:rsid wsp:val=&quot;00AC22D2&quot;/&gt;&lt;wsp:rsid wsp:val=&quot;00AC2495&quot;/&gt;&lt;wsp:rsid wsp:val=&quot;00AC2652&quot;/&gt;&lt;wsp:rsid wsp:val=&quot;00AC2926&quot;/&gt;&lt;wsp:rsid wsp:val=&quot;00AC2B5B&quot;/&gt;&lt;wsp:rsid wsp:val=&quot;00AC308A&quot;/&gt;&lt;wsp:rsid wsp:val=&quot;00AC358E&quot;/&gt;&lt;wsp:rsid wsp:val=&quot;00AC3903&quot;/&gt;&lt;wsp:rsid wsp:val=&quot;00AC4063&quot;/&gt;&lt;wsp:rsid wsp:val=&quot;00AC40EE&quot;/&gt;&lt;wsp:rsid wsp:val=&quot;00AC4234&quot;/&gt;&lt;wsp:rsid wsp:val=&quot;00AC4D26&quot;/&gt;&lt;wsp:rsid wsp:val=&quot;00AC4E76&quot;/&gt;&lt;wsp:rsid wsp:val=&quot;00AC4F73&quot;/&gt;&lt;wsp:rsid wsp:val=&quot;00AC533B&quot;/&gt;&lt;wsp:rsid wsp:val=&quot;00AC56DD&quot;/&gt;&lt;wsp:rsid wsp:val=&quot;00AC5796&quot;/&gt;&lt;wsp:rsid wsp:val=&quot;00AC650B&quot;/&gt;&lt;wsp:rsid wsp:val=&quot;00AC6598&quot;/&gt;&lt;wsp:rsid wsp:val=&quot;00AC68D8&quot;/&gt;&lt;wsp:rsid wsp:val=&quot;00AC699A&quot;/&gt;&lt;wsp:rsid wsp:val=&quot;00AC6C6D&quot;/&gt;&lt;wsp:rsid wsp:val=&quot;00AC6DC2&quot;/&gt;&lt;wsp:rsid wsp:val=&quot;00AC704A&quot;/&gt;&lt;wsp:rsid wsp:val=&quot;00AC73C4&quot;/&gt;&lt;wsp:rsid wsp:val=&quot;00AC77AC&quot;/&gt;&lt;wsp:rsid wsp:val=&quot;00AC7D8E&quot;/&gt;&lt;wsp:rsid wsp:val=&quot;00AD009D&quot;/&gt;&lt;wsp:rsid wsp:val=&quot;00AD034D&quot;/&gt;&lt;wsp:rsid wsp:val=&quot;00AD040A&quot;/&gt;&lt;wsp:rsid wsp:val=&quot;00AD0684&quot;/&gt;&lt;wsp:rsid wsp:val=&quot;00AD0779&quot;/&gt;&lt;wsp:rsid wsp:val=&quot;00AD08EF&quot;/&gt;&lt;wsp:rsid wsp:val=&quot;00AD1039&quot;/&gt;&lt;wsp:rsid wsp:val=&quot;00AD1BF3&quot;/&gt;&lt;wsp:rsid wsp:val=&quot;00AD1E48&quot;/&gt;&lt;wsp:rsid wsp:val=&quot;00AD2171&quot;/&gt;&lt;wsp:rsid wsp:val=&quot;00AD3062&quot;/&gt;&lt;wsp:rsid wsp:val=&quot;00AD3099&quot;/&gt;&lt;wsp:rsid wsp:val=&quot;00AD312C&quot;/&gt;&lt;wsp:rsid wsp:val=&quot;00AD32CE&quot;/&gt;&lt;wsp:rsid wsp:val=&quot;00AD334F&quot;/&gt;&lt;wsp:rsid wsp:val=&quot;00AD3D3D&quot;/&gt;&lt;wsp:rsid wsp:val=&quot;00AD405F&quot;/&gt;&lt;wsp:rsid wsp:val=&quot;00AD40C2&quot;/&gt;&lt;wsp:rsid wsp:val=&quot;00AD4218&quot;/&gt;&lt;wsp:rsid wsp:val=&quot;00AD4487&quot;/&gt;&lt;wsp:rsid wsp:val=&quot;00AD46B1&quot;/&gt;&lt;wsp:rsid wsp:val=&quot;00AD475B&quot;/&gt;&lt;wsp:rsid wsp:val=&quot;00AD4D3C&quot;/&gt;&lt;wsp:rsid wsp:val=&quot;00AD502A&quot;/&gt;&lt;wsp:rsid wsp:val=&quot;00AD56C8&quot;/&gt;&lt;wsp:rsid wsp:val=&quot;00AD5D9A&quot;/&gt;&lt;wsp:rsid wsp:val=&quot;00AD5DF1&quot;/&gt;&lt;wsp:rsid wsp:val=&quot;00AD63F8&quot;/&gt;&lt;wsp:rsid wsp:val=&quot;00AD67A3&quot;/&gt;&lt;wsp:rsid wsp:val=&quot;00AD67D1&quot;/&gt;&lt;wsp:rsid wsp:val=&quot;00AD6D97&quot;/&gt;&lt;wsp:rsid wsp:val=&quot;00AD6F2C&quot;/&gt;&lt;wsp:rsid wsp:val=&quot;00AD74DE&quot;/&gt;&lt;wsp:rsid wsp:val=&quot;00AD75D9&quot;/&gt;&lt;wsp:rsid wsp:val=&quot;00AD767D&quot;/&gt;&lt;wsp:rsid wsp:val=&quot;00AD79C8&quot;/&gt;&lt;wsp:rsid wsp:val=&quot;00AE024C&quot;/&gt;&lt;wsp:rsid wsp:val=&quot;00AE068F&quot;/&gt;&lt;wsp:rsid wsp:val=&quot;00AE0719&quot;/&gt;&lt;wsp:rsid wsp:val=&quot;00AE084B&quot;/&gt;&lt;wsp:rsid wsp:val=&quot;00AE0FEB&quot;/&gt;&lt;wsp:rsid wsp:val=&quot;00AE0FF8&quot;/&gt;&lt;wsp:rsid wsp:val=&quot;00AE1545&quot;/&gt;&lt;wsp:rsid wsp:val=&quot;00AE15DC&quot;/&gt;&lt;wsp:rsid wsp:val=&quot;00AE1955&quot;/&gt;&lt;wsp:rsid wsp:val=&quot;00AE1B40&quot;/&gt;&lt;wsp:rsid wsp:val=&quot;00AE20EA&quot;/&gt;&lt;wsp:rsid wsp:val=&quot;00AE224C&quot;/&gt;&lt;wsp:rsid wsp:val=&quot;00AE278A&quot;/&gt;&lt;wsp:rsid wsp:val=&quot;00AE2AC4&quot;/&gt;&lt;wsp:rsid wsp:val=&quot;00AE32E1&quot;/&gt;&lt;wsp:rsid wsp:val=&quot;00AE3803&quot;/&gt;&lt;wsp:rsid wsp:val=&quot;00AE3814&quot;/&gt;&lt;wsp:rsid wsp:val=&quot;00AE38C8&quot;/&gt;&lt;wsp:rsid wsp:val=&quot;00AE46DB&quot;/&gt;&lt;wsp:rsid wsp:val=&quot;00AE4840&quot;/&gt;&lt;wsp:rsid wsp:val=&quot;00AE5283&quot;/&gt;&lt;wsp:rsid wsp:val=&quot;00AE542C&quot;/&gt;&lt;wsp:rsid wsp:val=&quot;00AE5D98&quot;/&gt;&lt;wsp:rsid wsp:val=&quot;00AE5E12&quot;/&gt;&lt;wsp:rsid wsp:val=&quot;00AE5E2B&quot;/&gt;&lt;wsp:rsid wsp:val=&quot;00AE5EA0&quot;/&gt;&lt;wsp:rsid wsp:val=&quot;00AE69C5&quot;/&gt;&lt;wsp:rsid wsp:val=&quot;00AE6EB1&quot;/&gt;&lt;wsp:rsid wsp:val=&quot;00AE6F8E&quot;/&gt;&lt;wsp:rsid wsp:val=&quot;00AE76BD&quot;/&gt;&lt;wsp:rsid wsp:val=&quot;00AE794E&quot;/&gt;&lt;wsp:rsid wsp:val=&quot;00AE7B87&quot;/&gt;&lt;wsp:rsid wsp:val=&quot;00AF04F5&quot;/&gt;&lt;wsp:rsid wsp:val=&quot;00AF077C&quot;/&gt;&lt;wsp:rsid wsp:val=&quot;00AF078B&quot;/&gt;&lt;wsp:rsid wsp:val=&quot;00AF0C3E&quot;/&gt;&lt;wsp:rsid wsp:val=&quot;00AF14A8&quot;/&gt;&lt;wsp:rsid wsp:val=&quot;00AF1564&quot;/&gt;&lt;wsp:rsid wsp:val=&quot;00AF1B37&quot;/&gt;&lt;wsp:rsid wsp:val=&quot;00AF2287&quot;/&gt;&lt;wsp:rsid wsp:val=&quot;00AF2712&quot;/&gt;&lt;wsp:rsid wsp:val=&quot;00AF2CC9&quot;/&gt;&lt;wsp:rsid wsp:val=&quot;00AF2D3E&quot;/&gt;&lt;wsp:rsid wsp:val=&quot;00AF2F7A&quot;/&gt;&lt;wsp:rsid wsp:val=&quot;00AF2F9D&quot;/&gt;&lt;wsp:rsid wsp:val=&quot;00AF3149&quot;/&gt;&lt;wsp:rsid wsp:val=&quot;00AF3509&quot;/&gt;&lt;wsp:rsid wsp:val=&quot;00AF3529&quot;/&gt;&lt;wsp:rsid wsp:val=&quot;00AF3B58&quot;/&gt;&lt;wsp:rsid wsp:val=&quot;00AF3E49&quot;/&gt;&lt;wsp:rsid wsp:val=&quot;00AF424F&quot;/&gt;&lt;wsp:rsid wsp:val=&quot;00AF4343&quot;/&gt;&lt;wsp:rsid wsp:val=&quot;00AF55AA&quot;/&gt;&lt;wsp:rsid wsp:val=&quot;00AF56AE&quot;/&gt;&lt;wsp:rsid wsp:val=&quot;00AF5852&quot;/&gt;&lt;wsp:rsid wsp:val=&quot;00AF5A03&quot;/&gt;&lt;wsp:rsid wsp:val=&quot;00AF5B3E&quot;/&gt;&lt;wsp:rsid wsp:val=&quot;00AF5FD0&quot;/&gt;&lt;wsp:rsid wsp:val=&quot;00AF6623&quot;/&gt;&lt;wsp:rsid wsp:val=&quot;00AF6C6E&quot;/&gt;&lt;wsp:rsid wsp:val=&quot;00AF6F3F&quot;/&gt;&lt;wsp:rsid wsp:val=&quot;00AF7725&quot;/&gt;&lt;wsp:rsid wsp:val=&quot;00AF7759&quot;/&gt;&lt;wsp:rsid wsp:val=&quot;00B003B5&quot;/&gt;&lt;wsp:rsid wsp:val=&quot;00B00493&quot;/&gt;&lt;wsp:rsid wsp:val=&quot;00B006EA&quot;/&gt;&lt;wsp:rsid wsp:val=&quot;00B00992&quot;/&gt;&lt;wsp:rsid wsp:val=&quot;00B00A3C&quot;/&gt;&lt;wsp:rsid wsp:val=&quot;00B00DA1&quot;/&gt;&lt;wsp:rsid wsp:val=&quot;00B00DA4&quot;/&gt;&lt;wsp:rsid wsp:val=&quot;00B00DC4&quot;/&gt;&lt;wsp:rsid wsp:val=&quot;00B0124C&quot;/&gt;&lt;wsp:rsid wsp:val=&quot;00B01375&quot;/&gt;&lt;wsp:rsid wsp:val=&quot;00B01420&quot;/&gt;&lt;wsp:rsid wsp:val=&quot;00B016D4&quot;/&gt;&lt;wsp:rsid wsp:val=&quot;00B01D43&quot;/&gt;&lt;wsp:rsid wsp:val=&quot;00B01FC6&quot;/&gt;&lt;wsp:rsid wsp:val=&quot;00B02031&quot;/&gt;&lt;wsp:rsid wsp:val=&quot;00B026F6&quot;/&gt;&lt;wsp:rsid wsp:val=&quot;00B02F28&quot;/&gt;&lt;wsp:rsid wsp:val=&quot;00B0318E&quot;/&gt;&lt;wsp:rsid wsp:val=&quot;00B033E0&quot;/&gt;&lt;wsp:rsid wsp:val=&quot;00B03510&quot;/&gt;&lt;wsp:rsid wsp:val=&quot;00B03804&quot;/&gt;&lt;wsp:rsid wsp:val=&quot;00B03DEE&quot;/&gt;&lt;wsp:rsid wsp:val=&quot;00B045D9&quot;/&gt;&lt;wsp:rsid wsp:val=&quot;00B04A0F&quot;/&gt;&lt;wsp:rsid wsp:val=&quot;00B04AE7&quot;/&gt;&lt;wsp:rsid wsp:val=&quot;00B04EEB&quot;/&gt;&lt;wsp:rsid wsp:val=&quot;00B04F2C&quot;/&gt;&lt;wsp:rsid wsp:val=&quot;00B053A9&quot;/&gt;&lt;wsp:rsid wsp:val=&quot;00B05AC4&quot;/&gt;&lt;wsp:rsid wsp:val=&quot;00B05EA9&quot;/&gt;&lt;wsp:rsid wsp:val=&quot;00B05F50&quot;/&gt;&lt;wsp:rsid wsp:val=&quot;00B0603D&quot;/&gt;&lt;wsp:rsid wsp:val=&quot;00B06108&quot;/&gt;&lt;wsp:rsid wsp:val=&quot;00B06342&quot;/&gt;&lt;wsp:rsid wsp:val=&quot;00B063E9&quot;/&gt;&lt;wsp:rsid wsp:val=&quot;00B066FE&quot;/&gt;&lt;wsp:rsid wsp:val=&quot;00B067B6&quot;/&gt;&lt;wsp:rsid wsp:val=&quot;00B069EB&quot;/&gt;&lt;wsp:rsid wsp:val=&quot;00B06D78&quot;/&gt;&lt;wsp:rsid wsp:val=&quot;00B074B7&quot;/&gt;&lt;wsp:rsid wsp:val=&quot;00B07A34&quot;/&gt;&lt;wsp:rsid wsp:val=&quot;00B07A9B&quot;/&gt;&lt;wsp:rsid wsp:val=&quot;00B07C0E&quot;/&gt;&lt;wsp:rsid wsp:val=&quot;00B101E2&quot;/&gt;&lt;wsp:rsid wsp:val=&quot;00B10273&quot;/&gt;&lt;wsp:rsid wsp:val=&quot;00B102A5&quot;/&gt;&lt;wsp:rsid wsp:val=&quot;00B10437&quot;/&gt;&lt;wsp:rsid wsp:val=&quot;00B105C4&quot;/&gt;&lt;wsp:rsid wsp:val=&quot;00B10857&quot;/&gt;&lt;wsp:rsid wsp:val=&quot;00B114AA&quot;/&gt;&lt;wsp:rsid wsp:val=&quot;00B11588&quot;/&gt;&lt;wsp:rsid wsp:val=&quot;00B11AF5&quot;/&gt;&lt;wsp:rsid wsp:val=&quot;00B11C47&quot;/&gt;&lt;wsp:rsid wsp:val=&quot;00B12253&quot;/&gt;&lt;wsp:rsid wsp:val=&quot;00B1237E&quot;/&gt;&lt;wsp:rsid wsp:val=&quot;00B12763&quot;/&gt;&lt;wsp:rsid wsp:val=&quot;00B12A63&quot;/&gt;&lt;wsp:rsid wsp:val=&quot;00B12BF1&quot;/&gt;&lt;wsp:rsid wsp:val=&quot;00B12CB5&quot;/&gt;&lt;wsp:rsid wsp:val=&quot;00B12D76&quot;/&gt;&lt;wsp:rsid wsp:val=&quot;00B12EAC&quot;/&gt;&lt;wsp:rsid wsp:val=&quot;00B13341&quot;/&gt;&lt;wsp:rsid wsp:val=&quot;00B1351D&quot;/&gt;&lt;wsp:rsid wsp:val=&quot;00B13820&quot;/&gt;&lt;wsp:rsid wsp:val=&quot;00B1420F&quot;/&gt;&lt;wsp:rsid wsp:val=&quot;00B14339&quot;/&gt;&lt;wsp:rsid wsp:val=&quot;00B1488F&quot;/&gt;&lt;wsp:rsid wsp:val=&quot;00B1495C&quot;/&gt;&lt;wsp:rsid wsp:val=&quot;00B14964&quot;/&gt;&lt;wsp:rsid wsp:val=&quot;00B14EC4&quot;/&gt;&lt;wsp:rsid wsp:val=&quot;00B14FB8&quot;/&gt;&lt;wsp:rsid wsp:val=&quot;00B150F3&quot;/&gt;&lt;wsp:rsid wsp:val=&quot;00B1542F&quot;/&gt;&lt;wsp:rsid wsp:val=&quot;00B15BB8&quot;/&gt;&lt;wsp:rsid wsp:val=&quot;00B15BD5&quot;/&gt;&lt;wsp:rsid wsp:val=&quot;00B1658C&quot;/&gt;&lt;wsp:rsid wsp:val=&quot;00B165F4&quot;/&gt;&lt;wsp:rsid wsp:val=&quot;00B16B51&quot;/&gt;&lt;wsp:rsid wsp:val=&quot;00B16CE4&quot;/&gt;&lt;wsp:rsid wsp:val=&quot;00B17267&quot;/&gt;&lt;wsp:rsid wsp:val=&quot;00B17A6F&quot;/&gt;&lt;wsp:rsid wsp:val=&quot;00B17A77&quot;/&gt;&lt;wsp:rsid wsp:val=&quot;00B17F34&quot;/&gt;&lt;wsp:rsid wsp:val=&quot;00B2037C&quot;/&gt;&lt;wsp:rsid wsp:val=&quot;00B206CE&quot;/&gt;&lt;wsp:rsid wsp:val=&quot;00B207CE&quot;/&gt;&lt;wsp:rsid wsp:val=&quot;00B207EC&quot;/&gt;&lt;wsp:rsid wsp:val=&quot;00B208ED&quot;/&gt;&lt;wsp:rsid wsp:val=&quot;00B211C4&quot;/&gt;&lt;wsp:rsid wsp:val=&quot;00B21203&quot;/&gt;&lt;wsp:rsid wsp:val=&quot;00B214B2&quot;/&gt;&lt;wsp:rsid wsp:val=&quot;00B215AA&quot;/&gt;&lt;wsp:rsid wsp:val=&quot;00B215BC&quot;/&gt;&lt;wsp:rsid wsp:val=&quot;00B21620&quot;/&gt;&lt;wsp:rsid wsp:val=&quot;00B22E8F&quot;/&gt;&lt;wsp:rsid wsp:val=&quot;00B22F40&quot;/&gt;&lt;wsp:rsid wsp:val=&quot;00B23200&quot;/&gt;&lt;wsp:rsid wsp:val=&quot;00B2379C&quot;/&gt;&lt;wsp:rsid wsp:val=&quot;00B23892&quot;/&gt;&lt;wsp:rsid wsp:val=&quot;00B23D2B&quot;/&gt;&lt;wsp:rsid wsp:val=&quot;00B246A6&quot;/&gt;&lt;wsp:rsid wsp:val=&quot;00B24E41&quot;/&gt;&lt;wsp:rsid wsp:val=&quot;00B24E66&quot;/&gt;&lt;wsp:rsid wsp:val=&quot;00B25027&quot;/&gt;&lt;wsp:rsid wsp:val=&quot;00B2582C&quot;/&gt;&lt;wsp:rsid wsp:val=&quot;00B25907&quot;/&gt;&lt;wsp:rsid wsp:val=&quot;00B264BA&quot;/&gt;&lt;wsp:rsid wsp:val=&quot;00B267C6&quot;/&gt;&lt;wsp:rsid wsp:val=&quot;00B26F46&quot;/&gt;&lt;wsp:rsid wsp:val=&quot;00B270F2&quot;/&gt;&lt;wsp:rsid wsp:val=&quot;00B271B9&quot;/&gt;&lt;wsp:rsid wsp:val=&quot;00B27380&quot;/&gt;&lt;wsp:rsid wsp:val=&quot;00B274BB&quot;/&gt;&lt;wsp:rsid wsp:val=&quot;00B27520&quot;/&gt;&lt;wsp:rsid wsp:val=&quot;00B275DE&quot;/&gt;&lt;wsp:rsid wsp:val=&quot;00B27710&quot;/&gt;&lt;wsp:rsid wsp:val=&quot;00B2772A&quot;/&gt;&lt;wsp:rsid wsp:val=&quot;00B27B90&quot;/&gt;&lt;wsp:rsid wsp:val=&quot;00B27BDA&quot;/&gt;&lt;wsp:rsid wsp:val=&quot;00B302EC&quot;/&gt;&lt;wsp:rsid wsp:val=&quot;00B304C9&quot;/&gt;&lt;wsp:rsid wsp:val=&quot;00B3096D&quot;/&gt;&lt;wsp:rsid wsp:val=&quot;00B30EC9&quot;/&gt;&lt;wsp:rsid wsp:val=&quot;00B31340&quot;/&gt;&lt;wsp:rsid wsp:val=&quot;00B316E7&quot;/&gt;&lt;wsp:rsid wsp:val=&quot;00B31A7D&quot;/&gt;&lt;wsp:rsid wsp:val=&quot;00B31B75&quot;/&gt;&lt;wsp:rsid wsp:val=&quot;00B31F3B&quot;/&gt;&lt;wsp:rsid wsp:val=&quot;00B3255B&quot;/&gt;&lt;wsp:rsid wsp:val=&quot;00B32722&quot;/&gt;&lt;wsp:rsid wsp:val=&quot;00B32901&quot;/&gt;&lt;wsp:rsid wsp:val=&quot;00B32BC4&quot;/&gt;&lt;wsp:rsid wsp:val=&quot;00B32F30&quot;/&gt;&lt;wsp:rsid wsp:val=&quot;00B334E2&quot;/&gt;&lt;wsp:rsid wsp:val=&quot;00B340D8&quot;/&gt;&lt;wsp:rsid wsp:val=&quot;00B34423&quot;/&gt;&lt;wsp:rsid wsp:val=&quot;00B345E1&quot;/&gt;&lt;wsp:rsid wsp:val=&quot;00B34696&quot;/&gt;&lt;wsp:rsid wsp:val=&quot;00B34A3A&quot;/&gt;&lt;wsp:rsid wsp:val=&quot;00B3508E&quot;/&gt;&lt;wsp:rsid wsp:val=&quot;00B35471&quot;/&gt;&lt;wsp:rsid wsp:val=&quot;00B355F7&quot;/&gt;&lt;wsp:rsid wsp:val=&quot;00B355F9&quot;/&gt;&lt;wsp:rsid wsp:val=&quot;00B357FC&quot;/&gt;&lt;wsp:rsid wsp:val=&quot;00B35891&quot;/&gt;&lt;wsp:rsid wsp:val=&quot;00B358AC&quot;/&gt;&lt;wsp:rsid wsp:val=&quot;00B358E9&quot;/&gt;&lt;wsp:rsid wsp:val=&quot;00B35CC2&quot;/&gt;&lt;wsp:rsid wsp:val=&quot;00B36659&quot;/&gt;&lt;wsp:rsid wsp:val=&quot;00B366D3&quot;/&gt;&lt;wsp:rsid wsp:val=&quot;00B3693E&quot;/&gt;&lt;wsp:rsid wsp:val=&quot;00B37158&quot;/&gt;&lt;wsp:rsid wsp:val=&quot;00B373C5&quot;/&gt;&lt;wsp:rsid wsp:val=&quot;00B373F6&quot;/&gt;&lt;wsp:rsid wsp:val=&quot;00B3753C&quot;/&gt;&lt;wsp:rsid wsp:val=&quot;00B37824&quot;/&gt;&lt;wsp:rsid wsp:val=&quot;00B379CB&quot;/&gt;&lt;wsp:rsid wsp:val=&quot;00B37AB0&quot;/&gt;&lt;wsp:rsid wsp:val=&quot;00B37B1C&quot;/&gt;&lt;wsp:rsid wsp:val=&quot;00B37D83&quot;/&gt;&lt;wsp:rsid wsp:val=&quot;00B4003F&quot;/&gt;&lt;wsp:rsid wsp:val=&quot;00B4027C&quot;/&gt;&lt;wsp:rsid wsp:val=&quot;00B405AA&quot;/&gt;&lt;wsp:rsid wsp:val=&quot;00B41129&quot;/&gt;&lt;wsp:rsid wsp:val=&quot;00B41EB7&quot;/&gt;&lt;wsp:rsid wsp:val=&quot;00B420EF&quot;/&gt;&lt;wsp:rsid wsp:val=&quot;00B4230F&quot;/&gt;&lt;wsp:rsid wsp:val=&quot;00B42619&quot;/&gt;&lt;wsp:rsid wsp:val=&quot;00B42645&quot;/&gt;&lt;wsp:rsid wsp:val=&quot;00B4304B&quot;/&gt;&lt;wsp:rsid wsp:val=&quot;00B43378&quot;/&gt;&lt;wsp:rsid wsp:val=&quot;00B4338C&quot;/&gt;&lt;wsp:rsid wsp:val=&quot;00B43BD7&quot;/&gt;&lt;wsp:rsid wsp:val=&quot;00B43C58&quot;/&gt;&lt;wsp:rsid wsp:val=&quot;00B44956&quot;/&gt;&lt;wsp:rsid wsp:val=&quot;00B4527D&quot;/&gt;&lt;wsp:rsid wsp:val=&quot;00B45F5B&quot;/&gt;&lt;wsp:rsid wsp:val=&quot;00B45F5C&quot;/&gt;&lt;wsp:rsid wsp:val=&quot;00B4613C&quot;/&gt;&lt;wsp:rsid wsp:val=&quot;00B464BF&quot;/&gt;&lt;wsp:rsid wsp:val=&quot;00B47705&quot;/&gt;&lt;wsp:rsid wsp:val=&quot;00B47ABD&quot;/&gt;&lt;wsp:rsid wsp:val=&quot;00B47AD1&quot;/&gt;&lt;wsp:rsid wsp:val=&quot;00B47CF4&quot;/&gt;&lt;wsp:rsid wsp:val=&quot;00B47D36&quot;/&gt;&lt;wsp:rsid wsp:val=&quot;00B502BB&quot;/&gt;&lt;wsp:rsid wsp:val=&quot;00B503FD&quot;/&gt;&lt;wsp:rsid wsp:val=&quot;00B50466&quot;/&gt;&lt;wsp:rsid wsp:val=&quot;00B5046F&quot;/&gt;&lt;wsp:rsid wsp:val=&quot;00B505A0&quot;/&gt;&lt;wsp:rsid wsp:val=&quot;00B5084A&quot;/&gt;&lt;wsp:rsid wsp:val=&quot;00B50D60&quot;/&gt;&lt;wsp:rsid wsp:val=&quot;00B5111F&quot;/&gt;&lt;wsp:rsid wsp:val=&quot;00B5185C&quot;/&gt;&lt;wsp:rsid wsp:val=&quot;00B51AB7&quot;/&gt;&lt;wsp:rsid wsp:val=&quot;00B5203B&quot;/&gt;&lt;wsp:rsid wsp:val=&quot;00B52188&quot;/&gt;&lt;wsp:rsid wsp:val=&quot;00B5250E&quot;/&gt;&lt;wsp:rsid wsp:val=&quot;00B5261C&quot;/&gt;&lt;wsp:rsid wsp:val=&quot;00B526AE&quot;/&gt;&lt;wsp:rsid wsp:val=&quot;00B52770&quot;/&gt;&lt;wsp:rsid wsp:val=&quot;00B52A1C&quot;/&gt;&lt;wsp:rsid wsp:val=&quot;00B52A23&quot;/&gt;&lt;wsp:rsid wsp:val=&quot;00B52B05&quot;/&gt;&lt;wsp:rsid wsp:val=&quot;00B52D02&quot;/&gt;&lt;wsp:rsid wsp:val=&quot;00B5318B&quot;/&gt;&lt;wsp:rsid wsp:val=&quot;00B531BC&quot;/&gt;&lt;wsp:rsid wsp:val=&quot;00B53482&quot;/&gt;&lt;wsp:rsid wsp:val=&quot;00B5387F&quot;/&gt;&lt;wsp:rsid wsp:val=&quot;00B5389B&quot;/&gt;&lt;wsp:rsid wsp:val=&quot;00B538F1&quot;/&gt;&lt;wsp:rsid wsp:val=&quot;00B539E7&quot;/&gt;&lt;wsp:rsid wsp:val=&quot;00B53E93&quot;/&gt;&lt;wsp:rsid wsp:val=&quot;00B54064&quot;/&gt;&lt;wsp:rsid wsp:val=&quot;00B54297&quot;/&gt;&lt;wsp:rsid wsp:val=&quot;00B546F4&quot;/&gt;&lt;wsp:rsid wsp:val=&quot;00B54741&quot;/&gt;&lt;wsp:rsid wsp:val=&quot;00B55036&quot;/&gt;&lt;wsp:rsid wsp:val=&quot;00B55249&quot;/&gt;&lt;wsp:rsid wsp:val=&quot;00B5525F&quot;/&gt;&lt;wsp:rsid wsp:val=&quot;00B55663&quot;/&gt;&lt;wsp:rsid wsp:val=&quot;00B55685&quot;/&gt;&lt;wsp:rsid wsp:val=&quot;00B55912&quot;/&gt;&lt;wsp:rsid wsp:val=&quot;00B561D6&quot;/&gt;&lt;wsp:rsid wsp:val=&quot;00B561F7&quot;/&gt;&lt;wsp:rsid wsp:val=&quot;00B5637B&quot;/&gt;&lt;wsp:rsid wsp:val=&quot;00B56DF4&quot;/&gt;&lt;wsp:rsid wsp:val=&quot;00B57213&quot;/&gt;&lt;wsp:rsid wsp:val=&quot;00B573A4&quot;/&gt;&lt;wsp:rsid wsp:val=&quot;00B5750A&quot;/&gt;&lt;wsp:rsid wsp:val=&quot;00B57E4C&quot;/&gt;&lt;wsp:rsid wsp:val=&quot;00B608C4&quot;/&gt;&lt;wsp:rsid wsp:val=&quot;00B609CB&quot;/&gt;&lt;wsp:rsid wsp:val=&quot;00B61A4B&quot;/&gt;&lt;wsp:rsid wsp:val=&quot;00B61D45&quot;/&gt;&lt;wsp:rsid wsp:val=&quot;00B621BD&quot;/&gt;&lt;wsp:rsid wsp:val=&quot;00B622DE&quot;/&gt;&lt;wsp:rsid wsp:val=&quot;00B6234B&quot;/&gt;&lt;wsp:rsid wsp:val=&quot;00B6240A&quot;/&gt;&lt;wsp:rsid wsp:val=&quot;00B6240F&quot;/&gt;&lt;wsp:rsid wsp:val=&quot;00B626C5&quot;/&gt;&lt;wsp:rsid wsp:val=&quot;00B626D5&quot;/&gt;&lt;wsp:rsid wsp:val=&quot;00B62CEE&quot;/&gt;&lt;wsp:rsid wsp:val=&quot;00B63154&quot;/&gt;&lt;wsp:rsid wsp:val=&quot;00B636AA&quot;/&gt;&lt;wsp:rsid wsp:val=&quot;00B642D8&quot;/&gt;&lt;wsp:rsid wsp:val=&quot;00B647B6&quot;/&gt;&lt;wsp:rsid wsp:val=&quot;00B64D1F&quot;/&gt;&lt;wsp:rsid wsp:val=&quot;00B64D40&quot;/&gt;&lt;wsp:rsid wsp:val=&quot;00B6520B&quot;/&gt;&lt;wsp:rsid wsp:val=&quot;00B657C0&quot;/&gt;&lt;wsp:rsid wsp:val=&quot;00B659C5&quot;/&gt;&lt;wsp:rsid wsp:val=&quot;00B66936&quot;/&gt;&lt;wsp:rsid wsp:val=&quot;00B66BE4&quot;/&gt;&lt;wsp:rsid wsp:val=&quot;00B67407&quot;/&gt;&lt;wsp:rsid wsp:val=&quot;00B674C9&quot;/&gt;&lt;wsp:rsid wsp:val=&quot;00B6750B&quot;/&gt;&lt;wsp:rsid wsp:val=&quot;00B67969&quot;/&gt;&lt;wsp:rsid wsp:val=&quot;00B7024E&quot;/&gt;&lt;wsp:rsid wsp:val=&quot;00B70395&quot;/&gt;&lt;wsp:rsid wsp:val=&quot;00B70444&quot;/&gt;&lt;wsp:rsid wsp:val=&quot;00B70C63&quot;/&gt;&lt;wsp:rsid wsp:val=&quot;00B70D4A&quot;/&gt;&lt;wsp:rsid wsp:val=&quot;00B719DC&quot;/&gt;&lt;wsp:rsid wsp:val=&quot;00B71DF4&quot;/&gt;&lt;wsp:rsid wsp:val=&quot;00B71FF8&quot;/&gt;&lt;wsp:rsid wsp:val=&quot;00B7214D&quot;/&gt;&lt;wsp:rsid wsp:val=&quot;00B7237E&quot;/&gt;&lt;wsp:rsid wsp:val=&quot;00B72491&quot;/&gt;&lt;wsp:rsid wsp:val=&quot;00B72997&quot;/&gt;&lt;wsp:rsid wsp:val=&quot;00B72B2D&quot;/&gt;&lt;wsp:rsid wsp:val=&quot;00B73379&quot;/&gt;&lt;wsp:rsid wsp:val=&quot;00B738A1&quot;/&gt;&lt;wsp:rsid wsp:val=&quot;00B73E83&quot;/&gt;&lt;wsp:rsid wsp:val=&quot;00B73F7D&quot;/&gt;&lt;wsp:rsid wsp:val=&quot;00B7404A&quot;/&gt;&lt;wsp:rsid wsp:val=&quot;00B743DB&quot;/&gt;&lt;wsp:rsid wsp:val=&quot;00B74423&quot;/&gt;&lt;wsp:rsid wsp:val=&quot;00B74642&quot;/&gt;&lt;wsp:rsid wsp:val=&quot;00B74D25&quot;/&gt;&lt;wsp:rsid wsp:val=&quot;00B7536C&quot;/&gt;&lt;wsp:rsid wsp:val=&quot;00B7552C&quot;/&gt;&lt;wsp:rsid wsp:val=&quot;00B757CF&quot;/&gt;&lt;wsp:rsid wsp:val=&quot;00B7595E&quot;/&gt;&lt;wsp:rsid wsp:val=&quot;00B75F42&quot;/&gt;&lt;wsp:rsid wsp:val=&quot;00B766BB&quot;/&gt;&lt;wsp:rsid wsp:val=&quot;00B766D1&quot;/&gt;&lt;wsp:rsid wsp:val=&quot;00B769B6&quot;/&gt;&lt;wsp:rsid wsp:val=&quot;00B76C16&quot;/&gt;&lt;wsp:rsid wsp:val=&quot;00B77226&quot;/&gt;&lt;wsp:rsid wsp:val=&quot;00B7723F&quot;/&gt;&lt;wsp:rsid wsp:val=&quot;00B77294&quot;/&gt;&lt;wsp:rsid wsp:val=&quot;00B77450&quot;/&gt;&lt;wsp:rsid wsp:val=&quot;00B776BA&quot;/&gt;&lt;wsp:rsid wsp:val=&quot;00B77C3D&quot;/&gt;&lt;wsp:rsid wsp:val=&quot;00B803FB&quot;/&gt;&lt;wsp:rsid wsp:val=&quot;00B804AA&quot;/&gt;&lt;wsp:rsid wsp:val=&quot;00B8054A&quot;/&gt;&lt;wsp:rsid wsp:val=&quot;00B8064A&quot;/&gt;&lt;wsp:rsid wsp:val=&quot;00B81830&quot;/&gt;&lt;wsp:rsid wsp:val=&quot;00B81AF0&quot;/&gt;&lt;wsp:rsid wsp:val=&quot;00B81B2D&quot;/&gt;&lt;wsp:rsid wsp:val=&quot;00B82189&quot;/&gt;&lt;wsp:rsid wsp:val=&quot;00B82335&quot;/&gt;&lt;wsp:rsid wsp:val=&quot;00B82367&quot;/&gt;&lt;wsp:rsid wsp:val=&quot;00B825BC&quot;/&gt;&lt;wsp:rsid wsp:val=&quot;00B8299B&quot;/&gt;&lt;wsp:rsid wsp:val=&quot;00B82BB6&quot;/&gt;&lt;wsp:rsid wsp:val=&quot;00B830E9&quot;/&gt;&lt;wsp:rsid wsp:val=&quot;00B8316D&quot;/&gt;&lt;wsp:rsid wsp:val=&quot;00B83687&quot;/&gt;&lt;wsp:rsid wsp:val=&quot;00B83B40&quot;/&gt;&lt;wsp:rsid wsp:val=&quot;00B83E28&quot;/&gt;&lt;wsp:rsid wsp:val=&quot;00B8416F&quot;/&gt;&lt;wsp:rsid wsp:val=&quot;00B84482&quot;/&gt;&lt;wsp:rsid wsp:val=&quot;00B845CB&quot;/&gt;&lt;wsp:rsid wsp:val=&quot;00B8472E&quot;/&gt;&lt;wsp:rsid wsp:val=&quot;00B84801&quot;/&gt;&lt;wsp:rsid wsp:val=&quot;00B8506F&quot;/&gt;&lt;wsp:rsid wsp:val=&quot;00B85311&quot;/&gt;&lt;wsp:rsid wsp:val=&quot;00B859FF&quot;/&gt;&lt;wsp:rsid wsp:val=&quot;00B85A40&quot;/&gt;&lt;wsp:rsid wsp:val=&quot;00B85B95&quot;/&gt;&lt;wsp:rsid wsp:val=&quot;00B85DAE&quot;/&gt;&lt;wsp:rsid wsp:val=&quot;00B85DF7&quot;/&gt;&lt;wsp:rsid wsp:val=&quot;00B85FDF&quot;/&gt;&lt;wsp:rsid wsp:val=&quot;00B86233&quot;/&gt;&lt;wsp:rsid wsp:val=&quot;00B868D1&quot;/&gt;&lt;wsp:rsid wsp:val=&quot;00B870B9&quot;/&gt;&lt;wsp:rsid wsp:val=&quot;00B87548&quot;/&gt;&lt;wsp:rsid wsp:val=&quot;00B87808&quot;/&gt;&lt;wsp:rsid wsp:val=&quot;00B87C05&quot;/&gt;&lt;wsp:rsid wsp:val=&quot;00B87FF0&quot;/&gt;&lt;wsp:rsid wsp:val=&quot;00B90186&quot;/&gt;&lt;wsp:rsid wsp:val=&quot;00B90220&quot;/&gt;&lt;wsp:rsid wsp:val=&quot;00B9055C&quot;/&gt;&lt;wsp:rsid wsp:val=&quot;00B90A24&quot;/&gt;&lt;wsp:rsid wsp:val=&quot;00B90AFB&quot;/&gt;&lt;wsp:rsid wsp:val=&quot;00B91017&quot;/&gt;&lt;wsp:rsid wsp:val=&quot;00B91019&quot;/&gt;&lt;wsp:rsid wsp:val=&quot;00B91898&quot;/&gt;&lt;wsp:rsid wsp:val=&quot;00B91D43&quot;/&gt;&lt;wsp:rsid wsp:val=&quot;00B91FFC&quot;/&gt;&lt;wsp:rsid wsp:val=&quot;00B922CF&quot;/&gt;&lt;wsp:rsid wsp:val=&quot;00B9259B&quot;/&gt;&lt;wsp:rsid wsp:val=&quot;00B925A4&quot;/&gt;&lt;wsp:rsid wsp:val=&quot;00B92867&quot;/&gt;&lt;wsp:rsid wsp:val=&quot;00B92C8B&quot;/&gt;&lt;wsp:rsid wsp:val=&quot;00B92CE3&quot;/&gt;&lt;wsp:rsid wsp:val=&quot;00B92EDF&quot;/&gt;&lt;wsp:rsid wsp:val=&quot;00B933ED&quot;/&gt;&lt;wsp:rsid wsp:val=&quot;00B9374D&quot;/&gt;&lt;wsp:rsid wsp:val=&quot;00B939BE&quot;/&gt;&lt;wsp:rsid wsp:val=&quot;00B93A53&quot;/&gt;&lt;wsp:rsid wsp:val=&quot;00B93E91&quot;/&gt;&lt;wsp:rsid wsp:val=&quot;00B94416&quot;/&gt;&lt;wsp:rsid wsp:val=&quot;00B945F6&quot;/&gt;&lt;wsp:rsid wsp:val=&quot;00B9494F&quot;/&gt;&lt;wsp:rsid wsp:val=&quot;00B949CD&quot;/&gt;&lt;wsp:rsid wsp:val=&quot;00B94DD4&quot;/&gt;&lt;wsp:rsid wsp:val=&quot;00B957E1&quot;/&gt;&lt;wsp:rsid wsp:val=&quot;00B95A70&quot;/&gt;&lt;wsp:rsid wsp:val=&quot;00B95F0E&quot;/&gt;&lt;wsp:rsid wsp:val=&quot;00B96800&quot;/&gt;&lt;wsp:rsid wsp:val=&quot;00B96DC9&quot;/&gt;&lt;wsp:rsid wsp:val=&quot;00B96EA0&quot;/&gt;&lt;wsp:rsid wsp:val=&quot;00B972E9&quot;/&gt;&lt;wsp:rsid wsp:val=&quot;00BA00D0&quot;/&gt;&lt;wsp:rsid wsp:val=&quot;00BA0219&quot;/&gt;&lt;wsp:rsid wsp:val=&quot;00BA0229&quot;/&gt;&lt;wsp:rsid wsp:val=&quot;00BA0362&quot;/&gt;&lt;wsp:rsid wsp:val=&quot;00BA0611&quot;/&gt;&lt;wsp:rsid wsp:val=&quot;00BA0A56&quot;/&gt;&lt;wsp:rsid wsp:val=&quot;00BA149A&quot;/&gt;&lt;wsp:rsid wsp:val=&quot;00BA162E&quot;/&gt;&lt;wsp:rsid wsp:val=&quot;00BA178A&quot;/&gt;&lt;wsp:rsid wsp:val=&quot;00BA2D52&quot;/&gt;&lt;wsp:rsid wsp:val=&quot;00BA2D5D&quot;/&gt;&lt;wsp:rsid wsp:val=&quot;00BA3151&quot;/&gt;&lt;wsp:rsid wsp:val=&quot;00BA34EC&quot;/&gt;&lt;wsp:rsid wsp:val=&quot;00BA38D3&quot;/&gt;&lt;wsp:rsid wsp:val=&quot;00BA3DB2&quot;/&gt;&lt;wsp:rsid wsp:val=&quot;00BA3E49&quot;/&gt;&lt;wsp:rsid wsp:val=&quot;00BA43FA&quot;/&gt;&lt;wsp:rsid wsp:val=&quot;00BA4C42&quot;/&gt;&lt;wsp:rsid wsp:val=&quot;00BA4D6A&quot;/&gt;&lt;wsp:rsid wsp:val=&quot;00BA5CA8&quot;/&gt;&lt;wsp:rsid wsp:val=&quot;00BA5DFF&quot;/&gt;&lt;wsp:rsid wsp:val=&quot;00BA5FEF&quot;/&gt;&lt;wsp:rsid wsp:val=&quot;00BA61E1&quot;/&gt;&lt;wsp:rsid wsp:val=&quot;00BA63A1&quot;/&gt;&lt;wsp:rsid wsp:val=&quot;00BA683E&quot;/&gt;&lt;wsp:rsid wsp:val=&quot;00BA68F0&quot;/&gt;&lt;wsp:rsid wsp:val=&quot;00BA6BF0&quot;/&gt;&lt;wsp:rsid wsp:val=&quot;00BA6EF9&quot;/&gt;&lt;wsp:rsid wsp:val=&quot;00BA6FA4&quot;/&gt;&lt;wsp:rsid wsp:val=&quot;00BA7546&quot;/&gt;&lt;wsp:rsid wsp:val=&quot;00BA7725&quot;/&gt;&lt;wsp:rsid wsp:val=&quot;00BA7AD3&quot;/&gt;&lt;wsp:rsid wsp:val=&quot;00BA7FCF&quot;/&gt;&lt;wsp:rsid wsp:val=&quot;00BB022C&quot;/&gt;&lt;wsp:rsid wsp:val=&quot;00BB06E2&quot;/&gt;&lt;wsp:rsid wsp:val=&quot;00BB0DAB&quot;/&gt;&lt;wsp:rsid wsp:val=&quot;00BB167D&quot;/&gt;&lt;wsp:rsid wsp:val=&quot;00BB2025&quot;/&gt;&lt;wsp:rsid wsp:val=&quot;00BB2060&quot;/&gt;&lt;wsp:rsid wsp:val=&quot;00BB20A4&quot;/&gt;&lt;wsp:rsid wsp:val=&quot;00BB2AF6&quot;/&gt;&lt;wsp:rsid wsp:val=&quot;00BB2FFB&quot;/&gt;&lt;wsp:rsid wsp:val=&quot;00BB311C&quot;/&gt;&lt;wsp:rsid wsp:val=&quot;00BB337E&quot;/&gt;&lt;wsp:rsid wsp:val=&quot;00BB34A9&quot;/&gt;&lt;wsp:rsid wsp:val=&quot;00BB350E&quot;/&gt;&lt;wsp:rsid wsp:val=&quot;00BB36C0&quot;/&gt;&lt;wsp:rsid wsp:val=&quot;00BB3A28&quot;/&gt;&lt;wsp:rsid wsp:val=&quot;00BB3B2D&quot;/&gt;&lt;wsp:rsid wsp:val=&quot;00BB409B&quot;/&gt;&lt;wsp:rsid wsp:val=&quot;00BB40BB&quot;/&gt;&lt;wsp:rsid wsp:val=&quot;00BB4189&quot;/&gt;&lt;wsp:rsid wsp:val=&quot;00BB42C2&quot;/&gt;&lt;wsp:rsid wsp:val=&quot;00BB4456&quot;/&gt;&lt;wsp:rsid wsp:val=&quot;00BB44E6&quot;/&gt;&lt;wsp:rsid wsp:val=&quot;00BB4C96&quot;/&gt;&lt;wsp:rsid wsp:val=&quot;00BB4FFB&quot;/&gt;&lt;wsp:rsid wsp:val=&quot;00BB50AC&quot;/&gt;&lt;wsp:rsid wsp:val=&quot;00BB5B79&quot;/&gt;&lt;wsp:rsid wsp:val=&quot;00BB5B9B&quot;/&gt;&lt;wsp:rsid wsp:val=&quot;00BB5C44&quot;/&gt;&lt;wsp:rsid wsp:val=&quot;00BB5F33&quot;/&gt;&lt;wsp:rsid wsp:val=&quot;00BB6048&quot;/&gt;&lt;wsp:rsid wsp:val=&quot;00BB61AC&quot;/&gt;&lt;wsp:rsid wsp:val=&quot;00BB6470&quot;/&gt;&lt;wsp:rsid wsp:val=&quot;00BB6844&quot;/&gt;&lt;wsp:rsid wsp:val=&quot;00BB6956&quot;/&gt;&lt;wsp:rsid wsp:val=&quot;00BB6A39&quot;/&gt;&lt;wsp:rsid wsp:val=&quot;00BB6A44&quot;/&gt;&lt;wsp:rsid wsp:val=&quot;00BB6A93&quot;/&gt;&lt;wsp:rsid wsp:val=&quot;00BB6D27&quot;/&gt;&lt;wsp:rsid wsp:val=&quot;00BB74DB&quot;/&gt;&lt;wsp:rsid wsp:val=&quot;00BB757B&quot;/&gt;&lt;wsp:rsid wsp:val=&quot;00BB77E4&quot;/&gt;&lt;wsp:rsid wsp:val=&quot;00BB782C&quot;/&gt;&lt;wsp:rsid wsp:val=&quot;00BB786D&quot;/&gt;&lt;wsp:rsid wsp:val=&quot;00BB7993&quot;/&gt;&lt;wsp:rsid wsp:val=&quot;00BB7B40&quot;/&gt;&lt;wsp:rsid wsp:val=&quot;00BB7C66&quot;/&gt;&lt;wsp:rsid wsp:val=&quot;00BC0314&quot;/&gt;&lt;wsp:rsid wsp:val=&quot;00BC05B3&quot;/&gt;&lt;wsp:rsid wsp:val=&quot;00BC073A&quot;/&gt;&lt;wsp:rsid wsp:val=&quot;00BC0F9C&quot;/&gt;&lt;wsp:rsid wsp:val=&quot;00BC106A&quot;/&gt;&lt;wsp:rsid wsp:val=&quot;00BC12BA&quot;/&gt;&lt;wsp:rsid wsp:val=&quot;00BC13B7&quot;/&gt;&lt;wsp:rsid wsp:val=&quot;00BC1604&quot;/&gt;&lt;wsp:rsid wsp:val=&quot;00BC1A09&quot;/&gt;&lt;wsp:rsid wsp:val=&quot;00BC1A9E&quot;/&gt;&lt;wsp:rsid wsp:val=&quot;00BC21DC&quot;/&gt;&lt;wsp:rsid wsp:val=&quot;00BC26BD&quot;/&gt;&lt;wsp:rsid wsp:val=&quot;00BC2834&quot;/&gt;&lt;wsp:rsid wsp:val=&quot;00BC2EB8&quot;/&gt;&lt;wsp:rsid wsp:val=&quot;00BC3404&quot;/&gt;&lt;wsp:rsid wsp:val=&quot;00BC34B3&quot;/&gt;&lt;wsp:rsid wsp:val=&quot;00BC37BB&quot;/&gt;&lt;wsp:rsid wsp:val=&quot;00BC37ED&quot;/&gt;&lt;wsp:rsid wsp:val=&quot;00BC3E79&quot;/&gt;&lt;wsp:rsid wsp:val=&quot;00BC3F4F&quot;/&gt;&lt;wsp:rsid wsp:val=&quot;00BC402B&quot;/&gt;&lt;wsp:rsid wsp:val=&quot;00BC40C2&quot;/&gt;&lt;wsp:rsid wsp:val=&quot;00BC4464&quot;/&gt;&lt;wsp:rsid wsp:val=&quot;00BC4A1C&quot;/&gt;&lt;wsp:rsid wsp:val=&quot;00BC4A5E&quot;/&gt;&lt;wsp:rsid wsp:val=&quot;00BC4CDE&quot;/&gt;&lt;wsp:rsid wsp:val=&quot;00BC4F0F&quot;/&gt;&lt;wsp:rsid wsp:val=&quot;00BC4F86&quot;/&gt;&lt;wsp:rsid wsp:val=&quot;00BC5197&quot;/&gt;&lt;wsp:rsid wsp:val=&quot;00BC51DE&quot;/&gt;&lt;wsp:rsid wsp:val=&quot;00BC569F&quot;/&gt;&lt;wsp:rsid wsp:val=&quot;00BC59F6&quot;/&gt;&lt;wsp:rsid wsp:val=&quot;00BC5B02&quot;/&gt;&lt;wsp:rsid wsp:val=&quot;00BC5E6B&quot;/&gt;&lt;wsp:rsid wsp:val=&quot;00BC645D&quot;/&gt;&lt;wsp:rsid wsp:val=&quot;00BC689E&quot;/&gt;&lt;wsp:rsid wsp:val=&quot;00BC6E57&quot;/&gt;&lt;wsp:rsid wsp:val=&quot;00BC6FF0&quot;/&gt;&lt;wsp:rsid wsp:val=&quot;00BC7003&quot;/&gt;&lt;wsp:rsid wsp:val=&quot;00BC72DF&quot;/&gt;&lt;wsp:rsid wsp:val=&quot;00BC7514&quot;/&gt;&lt;wsp:rsid wsp:val=&quot;00BC7A8A&quot;/&gt;&lt;wsp:rsid wsp:val=&quot;00BC7E36&quot;/&gt;&lt;wsp:rsid wsp:val=&quot;00BD0239&quot;/&gt;&lt;wsp:rsid wsp:val=&quot;00BD028C&quot;/&gt;&lt;wsp:rsid wsp:val=&quot;00BD0665&quot;/&gt;&lt;wsp:rsid wsp:val=&quot;00BD07EF&quot;/&gt;&lt;wsp:rsid wsp:val=&quot;00BD07F5&quot;/&gt;&lt;wsp:rsid wsp:val=&quot;00BD0E05&quot;/&gt;&lt;wsp:rsid wsp:val=&quot;00BD0EC3&quot;/&gt;&lt;wsp:rsid wsp:val=&quot;00BD1044&quot;/&gt;&lt;wsp:rsid wsp:val=&quot;00BD1408&quot;/&gt;&lt;wsp:rsid wsp:val=&quot;00BD15C5&quot;/&gt;&lt;wsp:rsid wsp:val=&quot;00BD16AD&quot;/&gt;&lt;wsp:rsid wsp:val=&quot;00BD183E&quot;/&gt;&lt;wsp:rsid wsp:val=&quot;00BD1966&quot;/&gt;&lt;wsp:rsid wsp:val=&quot;00BD19F8&quot;/&gt;&lt;wsp:rsid wsp:val=&quot;00BD21EF&quot;/&gt;&lt;wsp:rsid wsp:val=&quot;00BD2722&quot;/&gt;&lt;wsp:rsid wsp:val=&quot;00BD290B&quot;/&gt;&lt;wsp:rsid wsp:val=&quot;00BD2A30&quot;/&gt;&lt;wsp:rsid wsp:val=&quot;00BD2C67&quot;/&gt;&lt;wsp:rsid wsp:val=&quot;00BD319D&quot;/&gt;&lt;wsp:rsid wsp:val=&quot;00BD3B1A&quot;/&gt;&lt;wsp:rsid wsp:val=&quot;00BD3CC7&quot;/&gt;&lt;wsp:rsid wsp:val=&quot;00BD47CB&quot;/&gt;&lt;wsp:rsid wsp:val=&quot;00BD4986&quot;/&gt;&lt;wsp:rsid wsp:val=&quot;00BD4A06&quot;/&gt;&lt;wsp:rsid wsp:val=&quot;00BD4D4D&quot;/&gt;&lt;wsp:rsid wsp:val=&quot;00BD4F72&quot;/&gt;&lt;wsp:rsid wsp:val=&quot;00BD5117&quot;/&gt;&lt;wsp:rsid wsp:val=&quot;00BD52AB&quot;/&gt;&lt;wsp:rsid wsp:val=&quot;00BD5483&quot;/&gt;&lt;wsp:rsid wsp:val=&quot;00BD5626&quot;/&gt;&lt;wsp:rsid wsp:val=&quot;00BD57FD&quot;/&gt;&lt;wsp:rsid wsp:val=&quot;00BD5E7B&quot;/&gt;&lt;wsp:rsid wsp:val=&quot;00BD67E2&quot;/&gt;&lt;wsp:rsid wsp:val=&quot;00BD6DBD&quot;/&gt;&lt;wsp:rsid wsp:val=&quot;00BD6E04&quot;/&gt;&lt;wsp:rsid wsp:val=&quot;00BD73E0&quot;/&gt;&lt;wsp:rsid wsp:val=&quot;00BD746B&quot;/&gt;&lt;wsp:rsid wsp:val=&quot;00BD7971&quot;/&gt;&lt;wsp:rsid wsp:val=&quot;00BD7A89&quot;/&gt;&lt;wsp:rsid wsp:val=&quot;00BD7AB5&quot;/&gt;&lt;wsp:rsid wsp:val=&quot;00BD7C5B&quot;/&gt;&lt;wsp:rsid wsp:val=&quot;00BD7CEE&quot;/&gt;&lt;wsp:rsid wsp:val=&quot;00BD7D8E&quot;/&gt;&lt;wsp:rsid wsp:val=&quot;00BE0028&quot;/&gt;&lt;wsp:rsid wsp:val=&quot;00BE06B0&quot;/&gt;&lt;wsp:rsid wsp:val=&quot;00BE06D9&quot;/&gt;&lt;wsp:rsid wsp:val=&quot;00BE09AD&quot;/&gt;&lt;wsp:rsid wsp:val=&quot;00BE0B76&quot;/&gt;&lt;wsp:rsid wsp:val=&quot;00BE18A5&quot;/&gt;&lt;wsp:rsid wsp:val=&quot;00BE19E5&quot;/&gt;&lt;wsp:rsid wsp:val=&quot;00BE1DE4&quot;/&gt;&lt;wsp:rsid wsp:val=&quot;00BE1F06&quot;/&gt;&lt;wsp:rsid wsp:val=&quot;00BE1FDE&quot;/&gt;&lt;wsp:rsid wsp:val=&quot;00BE24B8&quot;/&gt;&lt;wsp:rsid wsp:val=&quot;00BE2516&quot;/&gt;&lt;wsp:rsid wsp:val=&quot;00BE2676&quot;/&gt;&lt;wsp:rsid wsp:val=&quot;00BE27F3&quot;/&gt;&lt;wsp:rsid wsp:val=&quot;00BE2B0C&quot;/&gt;&lt;wsp:rsid wsp:val=&quot;00BE2E84&quot;/&gt;&lt;wsp:rsid wsp:val=&quot;00BE2FC2&quot;/&gt;&lt;wsp:rsid wsp:val=&quot;00BE303E&quot;/&gt;&lt;wsp:rsid wsp:val=&quot;00BE333D&quot;/&gt;&lt;wsp:rsid wsp:val=&quot;00BE3465&quot;/&gt;&lt;wsp:rsid wsp:val=&quot;00BE4325&quot;/&gt;&lt;wsp:rsid wsp:val=&quot;00BE52FA&quot;/&gt;&lt;wsp:rsid wsp:val=&quot;00BE5611&quot;/&gt;&lt;wsp:rsid wsp:val=&quot;00BE56AA&quot;/&gt;&lt;wsp:rsid wsp:val=&quot;00BE56CB&quot;/&gt;&lt;wsp:rsid wsp:val=&quot;00BE58B2&quot;/&gt;&lt;wsp:rsid wsp:val=&quot;00BE6197&quot;/&gt;&lt;wsp:rsid wsp:val=&quot;00BE6510&quot;/&gt;&lt;wsp:rsid wsp:val=&quot;00BE6562&quot;/&gt;&lt;wsp:rsid wsp:val=&quot;00BE6B39&quot;/&gt;&lt;wsp:rsid wsp:val=&quot;00BE6C2F&quot;/&gt;&lt;wsp:rsid wsp:val=&quot;00BE6CE0&quot;/&gt;&lt;wsp:rsid wsp:val=&quot;00BE712C&quot;/&gt;&lt;wsp:rsid wsp:val=&quot;00BE75E1&quot;/&gt;&lt;wsp:rsid wsp:val=&quot;00BE76C2&quot;/&gt;&lt;wsp:rsid wsp:val=&quot;00BE785F&quot;/&gt;&lt;wsp:rsid wsp:val=&quot;00BE78BC&quot;/&gt;&lt;wsp:rsid wsp:val=&quot;00BE7C9B&quot;/&gt;&lt;wsp:rsid wsp:val=&quot;00BF00BE&quot;/&gt;&lt;wsp:rsid wsp:val=&quot;00BF018E&quot;/&gt;&lt;wsp:rsid wsp:val=&quot;00BF04F4&quot;/&gt;&lt;wsp:rsid wsp:val=&quot;00BF07C9&quot;/&gt;&lt;wsp:rsid wsp:val=&quot;00BF092E&quot;/&gt;&lt;wsp:rsid wsp:val=&quot;00BF0D10&quot;/&gt;&lt;wsp:rsid wsp:val=&quot;00BF0E67&quot;/&gt;&lt;wsp:rsid wsp:val=&quot;00BF0F6C&quot;/&gt;&lt;wsp:rsid wsp:val=&quot;00BF14A4&quot;/&gt;&lt;wsp:rsid wsp:val=&quot;00BF1503&quot;/&gt;&lt;wsp:rsid wsp:val=&quot;00BF1995&quot;/&gt;&lt;wsp:rsid wsp:val=&quot;00BF20B3&quot;/&gt;&lt;wsp:rsid wsp:val=&quot;00BF2226&quot;/&gt;&lt;wsp:rsid wsp:val=&quot;00BF2A9A&quot;/&gt;&lt;wsp:rsid wsp:val=&quot;00BF3C18&quot;/&gt;&lt;wsp:rsid wsp:val=&quot;00BF4105&quot;/&gt;&lt;wsp:rsid wsp:val=&quot;00BF418D&quot;/&gt;&lt;wsp:rsid wsp:val=&quot;00BF452F&quot;/&gt;&lt;wsp:rsid wsp:val=&quot;00BF456D&quot;/&gt;&lt;wsp:rsid wsp:val=&quot;00BF55FF&quot;/&gt;&lt;wsp:rsid wsp:val=&quot;00BF571A&quot;/&gt;&lt;wsp:rsid wsp:val=&quot;00BF5A3A&quot;/&gt;&lt;wsp:rsid wsp:val=&quot;00BF5B6E&quot;/&gt;&lt;wsp:rsid wsp:val=&quot;00BF5D51&quot;/&gt;&lt;wsp:rsid wsp:val=&quot;00BF5FB4&quot;/&gt;&lt;wsp:rsid wsp:val=&quot;00BF6487&quot;/&gt;&lt;wsp:rsid wsp:val=&quot;00BF6693&quot;/&gt;&lt;wsp:rsid wsp:val=&quot;00BF66D7&quot;/&gt;&lt;wsp:rsid wsp:val=&quot;00BF6AF7&quot;/&gt;&lt;wsp:rsid wsp:val=&quot;00BF6D3E&quot;/&gt;&lt;wsp:rsid wsp:val=&quot;00BF6F1F&quot;/&gt;&lt;wsp:rsid wsp:val=&quot;00BF7145&quot;/&gt;&lt;wsp:rsid wsp:val=&quot;00BF7221&quot;/&gt;&lt;wsp:rsid wsp:val=&quot;00BF7B8D&quot;/&gt;&lt;wsp:rsid wsp:val=&quot;00BF7EAE&quot;/&gt;&lt;wsp:rsid wsp:val=&quot;00C00180&quot;/&gt;&lt;wsp:rsid wsp:val=&quot;00C002A6&quot;/&gt;&lt;wsp:rsid wsp:val=&quot;00C0040F&quot;/&gt;&lt;wsp:rsid wsp:val=&quot;00C00B97&quot;/&gt;&lt;wsp:rsid wsp:val=&quot;00C00ED8&quot;/&gt;&lt;wsp:rsid wsp:val=&quot;00C011B7&quot;/&gt;&lt;wsp:rsid wsp:val=&quot;00C01350&quot;/&gt;&lt;wsp:rsid wsp:val=&quot;00C017BB&quot;/&gt;&lt;wsp:rsid wsp:val=&quot;00C01DB8&quot;/&gt;&lt;wsp:rsid wsp:val=&quot;00C01E51&quot;/&gt;&lt;wsp:rsid wsp:val=&quot;00C01F8C&quot;/&gt;&lt;wsp:rsid wsp:val=&quot;00C0200B&quot;/&gt;&lt;wsp:rsid wsp:val=&quot;00C020FC&quot;/&gt;&lt;wsp:rsid wsp:val=&quot;00C02143&quot;/&gt;&lt;wsp:rsid wsp:val=&quot;00C02566&quot;/&gt;&lt;wsp:rsid wsp:val=&quot;00C02775&quot;/&gt;&lt;wsp:rsid wsp:val=&quot;00C02AB4&quot;/&gt;&lt;wsp:rsid wsp:val=&quot;00C02B6E&quot;/&gt;&lt;wsp:rsid wsp:val=&quot;00C02C7F&quot;/&gt;&lt;wsp:rsid wsp:val=&quot;00C02FC6&quot;/&gt;&lt;wsp:rsid wsp:val=&quot;00C03236&quot;/&gt;&lt;wsp:rsid wsp:val=&quot;00C03A12&quot;/&gt;&lt;wsp:rsid wsp:val=&quot;00C03E02&quot;/&gt;&lt;wsp:rsid wsp:val=&quot;00C03F80&quot;/&gt;&lt;wsp:rsid wsp:val=&quot;00C04424&quot;/&gt;&lt;wsp:rsid wsp:val=&quot;00C0453D&quot;/&gt;&lt;wsp:rsid wsp:val=&quot;00C05095&quot;/&gt;&lt;wsp:rsid wsp:val=&quot;00C05A2D&quot;/&gt;&lt;wsp:rsid wsp:val=&quot;00C05D31&quot;/&gt;&lt;wsp:rsid wsp:val=&quot;00C05E10&quot;/&gt;&lt;wsp:rsid wsp:val=&quot;00C060E2&quot;/&gt;&lt;wsp:rsid wsp:val=&quot;00C06660&quot;/&gt;&lt;wsp:rsid wsp:val=&quot;00C0691F&quot;/&gt;&lt;wsp:rsid wsp:val=&quot;00C06953&quot;/&gt;&lt;wsp:rsid wsp:val=&quot;00C06CC3&quot;/&gt;&lt;wsp:rsid wsp:val=&quot;00C06DF9&quot;/&gt;&lt;wsp:rsid wsp:val=&quot;00C06FB3&quot;/&gt;&lt;wsp:rsid wsp:val=&quot;00C070C3&quot;/&gt;&lt;wsp:rsid wsp:val=&quot;00C078EE&quot;/&gt;&lt;wsp:rsid wsp:val=&quot;00C07BC7&quot;/&gt;&lt;wsp:rsid wsp:val=&quot;00C10240&quot;/&gt;&lt;wsp:rsid wsp:val=&quot;00C102D6&quot;/&gt;&lt;wsp:rsid wsp:val=&quot;00C104EA&quot;/&gt;&lt;wsp:rsid wsp:val=&quot;00C10512&quot;/&gt;&lt;wsp:rsid wsp:val=&quot;00C10BF8&quot;/&gt;&lt;wsp:rsid wsp:val=&quot;00C10D7B&quot;/&gt;&lt;wsp:rsid wsp:val=&quot;00C10F49&quot;/&gt;&lt;wsp:rsid wsp:val=&quot;00C11443&quot;/&gt;&lt;wsp:rsid wsp:val=&quot;00C11555&quot;/&gt;&lt;wsp:rsid wsp:val=&quot;00C1180F&quot;/&gt;&lt;wsp:rsid wsp:val=&quot;00C11BE8&quot;/&gt;&lt;wsp:rsid wsp:val=&quot;00C11EA5&quot;/&gt;&lt;wsp:rsid wsp:val=&quot;00C11F74&quot;/&gt;&lt;wsp:rsid wsp:val=&quot;00C129E9&quot;/&gt;&lt;wsp:rsid wsp:val=&quot;00C12C11&quot;/&gt;&lt;wsp:rsid wsp:val=&quot;00C12C97&quot;/&gt;&lt;wsp:rsid wsp:val=&quot;00C13509&quot;/&gt;&lt;wsp:rsid wsp:val=&quot;00C13555&quot;/&gt;&lt;wsp:rsid wsp:val=&quot;00C135A5&quot;/&gt;&lt;wsp:rsid wsp:val=&quot;00C137B3&quot;/&gt;&lt;wsp:rsid wsp:val=&quot;00C13AE6&quot;/&gt;&lt;wsp:rsid wsp:val=&quot;00C13EEF&quot;/&gt;&lt;wsp:rsid wsp:val=&quot;00C14134&quot;/&gt;&lt;wsp:rsid wsp:val=&quot;00C1486A&quot;/&gt;&lt;wsp:rsid wsp:val=&quot;00C14D0F&quot;/&gt;&lt;wsp:rsid wsp:val=&quot;00C150B0&quot;/&gt;&lt;wsp:rsid wsp:val=&quot;00C152AF&quot;/&gt;&lt;wsp:rsid wsp:val=&quot;00C15325&quot;/&gt;&lt;wsp:rsid wsp:val=&quot;00C15977&quot;/&gt;&lt;wsp:rsid wsp:val=&quot;00C15C67&quot;/&gt;&lt;wsp:rsid wsp:val=&quot;00C15EE9&quot;/&gt;&lt;wsp:rsid wsp:val=&quot;00C15F3E&quot;/&gt;&lt;wsp:rsid wsp:val=&quot;00C162BB&quot;/&gt;&lt;wsp:rsid wsp:val=&quot;00C1648E&quot;/&gt;&lt;wsp:rsid wsp:val=&quot;00C16B62&quot;/&gt;&lt;wsp:rsid wsp:val=&quot;00C16CD0&quot;/&gt;&lt;wsp:rsid wsp:val=&quot;00C16D8C&quot;/&gt;&lt;wsp:rsid wsp:val=&quot;00C1711A&quot;/&gt;&lt;wsp:rsid wsp:val=&quot;00C174BB&quot;/&gt;&lt;wsp:rsid wsp:val=&quot;00C17BF1&quot;/&gt;&lt;wsp:rsid wsp:val=&quot;00C17C09&quot;/&gt;&lt;wsp:rsid wsp:val=&quot;00C20128&quot;/&gt;&lt;wsp:rsid wsp:val=&quot;00C201C6&quot;/&gt;&lt;wsp:rsid wsp:val=&quot;00C20663&quot;/&gt;&lt;wsp:rsid wsp:val=&quot;00C208B3&quot;/&gt;&lt;wsp:rsid wsp:val=&quot;00C20A81&quot;/&gt;&lt;wsp:rsid wsp:val=&quot;00C20C04&quot;/&gt;&lt;wsp:rsid wsp:val=&quot;00C213C5&quot;/&gt;&lt;wsp:rsid wsp:val=&quot;00C2147C&quot;/&gt;&lt;wsp:rsid wsp:val=&quot;00C21867&quot;/&gt;&lt;wsp:rsid wsp:val=&quot;00C21BF0&quot;/&gt;&lt;wsp:rsid wsp:val=&quot;00C21CA2&quot;/&gt;&lt;wsp:rsid wsp:val=&quot;00C21FB6&quot;/&gt;&lt;wsp:rsid wsp:val=&quot;00C220D9&quot;/&gt;&lt;wsp:rsid wsp:val=&quot;00C22109&quot;/&gt;&lt;wsp:rsid wsp:val=&quot;00C22165&quot;/&gt;&lt;wsp:rsid wsp:val=&quot;00C22178&quot;/&gt;&lt;wsp:rsid wsp:val=&quot;00C22628&quot;/&gt;&lt;wsp:rsid wsp:val=&quot;00C22699&quot;/&gt;&lt;wsp:rsid wsp:val=&quot;00C2292E&quot;/&gt;&lt;wsp:rsid wsp:val=&quot;00C22AA2&quot;/&gt;&lt;wsp:rsid wsp:val=&quot;00C22F8E&quot;/&gt;&lt;wsp:rsid wsp:val=&quot;00C23063&quot;/&gt;&lt;wsp:rsid wsp:val=&quot;00C236A3&quot;/&gt;&lt;wsp:rsid wsp:val=&quot;00C236BB&quot;/&gt;&lt;wsp:rsid wsp:val=&quot;00C23703&quot;/&gt;&lt;wsp:rsid wsp:val=&quot;00C239A2&quot;/&gt;&lt;wsp:rsid wsp:val=&quot;00C23EA5&quot;/&gt;&lt;wsp:rsid wsp:val=&quot;00C23EFC&quot;/&gt;&lt;wsp:rsid wsp:val=&quot;00C23F8F&quot;/&gt;&lt;wsp:rsid wsp:val=&quot;00C24301&quot;/&gt;&lt;wsp:rsid wsp:val=&quot;00C244F8&quot;/&gt;&lt;wsp:rsid wsp:val=&quot;00C24626&quot;/&gt;&lt;wsp:rsid wsp:val=&quot;00C24A64&quot;/&gt;&lt;wsp:rsid wsp:val=&quot;00C24E2A&quot;/&gt;&lt;wsp:rsid wsp:val=&quot;00C24E2B&quot;/&gt;&lt;wsp:rsid wsp:val=&quot;00C24F63&quot;/&gt;&lt;wsp:rsid wsp:val=&quot;00C250B1&quot;/&gt;&lt;wsp:rsid wsp:val=&quot;00C2586A&quot;/&gt;&lt;wsp:rsid wsp:val=&quot;00C25936&quot;/&gt;&lt;wsp:rsid wsp:val=&quot;00C25DE7&quot;/&gt;&lt;wsp:rsid wsp:val=&quot;00C260AE&quot;/&gt;&lt;wsp:rsid wsp:val=&quot;00C26418&quot;/&gt;&lt;wsp:rsid wsp:val=&quot;00C267CE&quot;/&gt;&lt;wsp:rsid wsp:val=&quot;00C27C00&quot;/&gt;&lt;wsp:rsid wsp:val=&quot;00C3012D&quot;/&gt;&lt;wsp:rsid wsp:val=&quot;00C309C4&quot;/&gt;&lt;wsp:rsid wsp:val=&quot;00C30C4F&quot;/&gt;&lt;wsp:rsid wsp:val=&quot;00C30FEC&quot;/&gt;&lt;wsp:rsid wsp:val=&quot;00C310A6&quot;/&gt;&lt;wsp:rsid wsp:val=&quot;00C313EB&quot;/&gt;&lt;wsp:rsid wsp:val=&quot;00C31477&quot;/&gt;&lt;wsp:rsid wsp:val=&quot;00C3163C&quot;/&gt;&lt;wsp:rsid wsp:val=&quot;00C3189B&quot;/&gt;&lt;wsp:rsid wsp:val=&quot;00C31991&quot;/&gt;&lt;wsp:rsid wsp:val=&quot;00C31BF9&quot;/&gt;&lt;wsp:rsid wsp:val=&quot;00C31E68&quot;/&gt;&lt;wsp:rsid wsp:val=&quot;00C31E98&quot;/&gt;&lt;wsp:rsid wsp:val=&quot;00C31F06&quot;/&gt;&lt;wsp:rsid wsp:val=&quot;00C3200E&quot;/&gt;&lt;wsp:rsid wsp:val=&quot;00C32227&quot;/&gt;&lt;wsp:rsid wsp:val=&quot;00C32521&quot;/&gt;&lt;wsp:rsid wsp:val=&quot;00C3256D&quot;/&gt;&lt;wsp:rsid wsp:val=&quot;00C326F5&quot;/&gt;&lt;wsp:rsid wsp:val=&quot;00C328C0&quot;/&gt;&lt;wsp:rsid wsp:val=&quot;00C329BB&quot;/&gt;&lt;wsp:rsid wsp:val=&quot;00C32CD7&quot;/&gt;&lt;wsp:rsid wsp:val=&quot;00C32D73&quot;/&gt;&lt;wsp:rsid wsp:val=&quot;00C33480&quot;/&gt;&lt;wsp:rsid wsp:val=&quot;00C3351E&quot;/&gt;&lt;wsp:rsid wsp:val=&quot;00C33ABF&quot;/&gt;&lt;wsp:rsid wsp:val=&quot;00C33F88&quot;/&gt;&lt;wsp:rsid wsp:val=&quot;00C347EB&quot;/&gt;&lt;wsp:rsid wsp:val=&quot;00C34A8A&quot;/&gt;&lt;wsp:rsid wsp:val=&quot;00C34E96&quot;/&gt;&lt;wsp:rsid wsp:val=&quot;00C34F98&quot;/&gt;&lt;wsp:rsid wsp:val=&quot;00C34FE9&quot;/&gt;&lt;wsp:rsid wsp:val=&quot;00C351F0&quot;/&gt;&lt;wsp:rsid wsp:val=&quot;00C3528E&quot;/&gt;&lt;wsp:rsid wsp:val=&quot;00C3546C&quot;/&gt;&lt;wsp:rsid wsp:val=&quot;00C36345&quot;/&gt;&lt;wsp:rsid wsp:val=&quot;00C36660&quot;/&gt;&lt;wsp:rsid wsp:val=&quot;00C36908&quot;/&gt;&lt;wsp:rsid wsp:val=&quot;00C36A6C&quot;/&gt;&lt;wsp:rsid wsp:val=&quot;00C36D0F&quot;/&gt;&lt;wsp:rsid wsp:val=&quot;00C36F38&quot;/&gt;&lt;wsp:rsid wsp:val=&quot;00C36F53&quot;/&gt;&lt;wsp:rsid wsp:val=&quot;00C375DD&quot;/&gt;&lt;wsp:rsid wsp:val=&quot;00C37B8B&quot;/&gt;&lt;wsp:rsid wsp:val=&quot;00C40486&quot;/&gt;&lt;wsp:rsid wsp:val=&quot;00C405F4&quot;/&gt;&lt;wsp:rsid wsp:val=&quot;00C40609&quot;/&gt;&lt;wsp:rsid wsp:val=&quot;00C40777&quot;/&gt;&lt;wsp:rsid wsp:val=&quot;00C408E3&quot;/&gt;&lt;wsp:rsid wsp:val=&quot;00C409E2&quot;/&gt;&lt;wsp:rsid wsp:val=&quot;00C40A4C&quot;/&gt;&lt;wsp:rsid wsp:val=&quot;00C40A63&quot;/&gt;&lt;wsp:rsid wsp:val=&quot;00C40D3E&quot;/&gt;&lt;wsp:rsid wsp:val=&quot;00C40E93&quot;/&gt;&lt;wsp:rsid wsp:val=&quot;00C40F5C&quot;/&gt;&lt;wsp:rsid wsp:val=&quot;00C40F77&quot;/&gt;&lt;wsp:rsid wsp:val=&quot;00C4136B&quot;/&gt;&lt;wsp:rsid wsp:val=&quot;00C413B2&quot;/&gt;&lt;wsp:rsid wsp:val=&quot;00C413CD&quot;/&gt;&lt;wsp:rsid wsp:val=&quot;00C41992&quot;/&gt;&lt;wsp:rsid wsp:val=&quot;00C419F9&quot;/&gt;&lt;wsp:rsid wsp:val=&quot;00C41CC2&quot;/&gt;&lt;wsp:rsid wsp:val=&quot;00C41DFC&quot;/&gt;&lt;wsp:rsid wsp:val=&quot;00C41E87&quot;/&gt;&lt;wsp:rsid wsp:val=&quot;00C41F13&quot;/&gt;&lt;wsp:rsid wsp:val=&quot;00C42424&quot;/&gt;&lt;wsp:rsid wsp:val=&quot;00C43286&quot;/&gt;&lt;wsp:rsid wsp:val=&quot;00C4358D&quot;/&gt;&lt;wsp:rsid wsp:val=&quot;00C4370D&quot;/&gt;&lt;wsp:rsid wsp:val=&quot;00C44058&quot;/&gt;&lt;wsp:rsid wsp:val=&quot;00C4495F&quot;/&gt;&lt;wsp:rsid wsp:val=&quot;00C45325&quot;/&gt;&lt;wsp:rsid wsp:val=&quot;00C453A3&quot;/&gt;&lt;wsp:rsid wsp:val=&quot;00C45ADF&quot;/&gt;&lt;wsp:rsid wsp:val=&quot;00C45CB8&quot;/&gt;&lt;wsp:rsid wsp:val=&quot;00C46336&quot;/&gt;&lt;wsp:rsid wsp:val=&quot;00C4689A&quot;/&gt;&lt;wsp:rsid wsp:val=&quot;00C46E54&quot;/&gt;&lt;wsp:rsid wsp:val=&quot;00C4703A&quot;/&gt;&lt;wsp:rsid wsp:val=&quot;00C474C1&quot;/&gt;&lt;wsp:rsid wsp:val=&quot;00C47EAC&quot;/&gt;&lt;wsp:rsid wsp:val=&quot;00C47FE1&quot;/&gt;&lt;wsp:rsid wsp:val=&quot;00C5008A&quot;/&gt;&lt;wsp:rsid wsp:val=&quot;00C507B2&quot;/&gt;&lt;wsp:rsid wsp:val=&quot;00C50B28&quot;/&gt;&lt;wsp:rsid wsp:val=&quot;00C50B89&quot;/&gt;&lt;wsp:rsid wsp:val=&quot;00C51397&quot;/&gt;&lt;wsp:rsid wsp:val=&quot;00C516C6&quot;/&gt;&lt;wsp:rsid wsp:val=&quot;00C51953&quot;/&gt;&lt;wsp:rsid wsp:val=&quot;00C52043&quot;/&gt;&lt;wsp:rsid wsp:val=&quot;00C5268A&quot;/&gt;&lt;wsp:rsid wsp:val=&quot;00C529CC&quot;/&gt;&lt;wsp:rsid wsp:val=&quot;00C52D26&quot;/&gt;&lt;wsp:rsid wsp:val=&quot;00C53272&quot;/&gt;&lt;wsp:rsid wsp:val=&quot;00C53E29&quot;/&gt;&lt;wsp:rsid wsp:val=&quot;00C53EAE&quot;/&gt;&lt;wsp:rsid wsp:val=&quot;00C53F85&quot;/&gt;&lt;wsp:rsid wsp:val=&quot;00C54548&quot;/&gt;&lt;wsp:rsid wsp:val=&quot;00C549F3&quot;/&gt;&lt;wsp:rsid wsp:val=&quot;00C54CE5&quot;/&gt;&lt;wsp:rsid wsp:val=&quot;00C54D13&quot;/&gt;&lt;wsp:rsid wsp:val=&quot;00C54EF1&quot;/&gt;&lt;wsp:rsid wsp:val=&quot;00C5502B&quot;/&gt;&lt;wsp:rsid wsp:val=&quot;00C551F8&quot;/&gt;&lt;wsp:rsid wsp:val=&quot;00C552FA&quot;/&gt;&lt;wsp:rsid wsp:val=&quot;00C5557C&quot;/&gt;&lt;wsp:rsid wsp:val=&quot;00C55714&quot;/&gt;&lt;wsp:rsid wsp:val=&quot;00C5571A&quot;/&gt;&lt;wsp:rsid wsp:val=&quot;00C55833&quot;/&gt;&lt;wsp:rsid wsp:val=&quot;00C55ABB&quot;/&gt;&lt;wsp:rsid wsp:val=&quot;00C55C94&quot;/&gt;&lt;wsp:rsid wsp:val=&quot;00C560ED&quot;/&gt;&lt;wsp:rsid wsp:val=&quot;00C56423&quot;/&gt;&lt;wsp:rsid wsp:val=&quot;00C56B2B&quot;/&gt;&lt;wsp:rsid wsp:val=&quot;00C56DFA&quot;/&gt;&lt;wsp:rsid wsp:val=&quot;00C5706C&quot;/&gt;&lt;wsp:rsid wsp:val=&quot;00C5748D&quot;/&gt;&lt;wsp:rsid wsp:val=&quot;00C57495&quot;/&gt;&lt;wsp:rsid wsp:val=&quot;00C5764E&quot;/&gt;&lt;wsp:rsid wsp:val=&quot;00C57724&quot;/&gt;&lt;wsp:rsid wsp:val=&quot;00C578BE&quot;/&gt;&lt;wsp:rsid wsp:val=&quot;00C57A7C&quot;/&gt;&lt;wsp:rsid wsp:val=&quot;00C57ABD&quot;/&gt;&lt;wsp:rsid wsp:val=&quot;00C57E0C&quot;/&gt;&lt;wsp:rsid wsp:val=&quot;00C60420&quot;/&gt;&lt;wsp:rsid wsp:val=&quot;00C608EB&quot;/&gt;&lt;wsp:rsid wsp:val=&quot;00C61442&quot;/&gt;&lt;wsp:rsid wsp:val=&quot;00C6148E&quot;/&gt;&lt;wsp:rsid wsp:val=&quot;00C616DC&quot;/&gt;&lt;wsp:rsid wsp:val=&quot;00C61D53&quot;/&gt;&lt;wsp:rsid wsp:val=&quot;00C628B9&quot;/&gt;&lt;wsp:rsid wsp:val=&quot;00C62D5C&quot;/&gt;&lt;wsp:rsid wsp:val=&quot;00C62D63&quot;/&gt;&lt;wsp:rsid wsp:val=&quot;00C62FD1&quot;/&gt;&lt;wsp:rsid wsp:val=&quot;00C63112&quot;/&gt;&lt;wsp:rsid wsp:val=&quot;00C6323C&quot;/&gt;&lt;wsp:rsid wsp:val=&quot;00C632AB&quot;/&gt;&lt;wsp:rsid wsp:val=&quot;00C635E9&quot;/&gt;&lt;wsp:rsid wsp:val=&quot;00C63676&quot;/&gt;&lt;wsp:rsid wsp:val=&quot;00C638AE&quot;/&gt;&lt;wsp:rsid wsp:val=&quot;00C6396D&quot;/&gt;&lt;wsp:rsid wsp:val=&quot;00C63FC5&quot;/&gt;&lt;wsp:rsid wsp:val=&quot;00C64147&quot;/&gt;&lt;wsp:rsid wsp:val=&quot;00C64212&quot;/&gt;&lt;wsp:rsid wsp:val=&quot;00C64557&quot;/&gt;&lt;wsp:rsid wsp:val=&quot;00C648CB&quot;/&gt;&lt;wsp:rsid wsp:val=&quot;00C64B1E&quot;/&gt;&lt;wsp:rsid wsp:val=&quot;00C64B99&quot;/&gt;&lt;wsp:rsid wsp:val=&quot;00C64FFC&quot;/&gt;&lt;wsp:rsid wsp:val=&quot;00C64FFD&quot;/&gt;&lt;wsp:rsid wsp:val=&quot;00C65030&quot;/&gt;&lt;wsp:rsid wsp:val=&quot;00C655D5&quot;/&gt;&lt;wsp:rsid wsp:val=&quot;00C65CFF&quot;/&gt;&lt;wsp:rsid wsp:val=&quot;00C65EEE&quot;/&gt;&lt;wsp:rsid wsp:val=&quot;00C662BB&quot;/&gt;&lt;wsp:rsid wsp:val=&quot;00C66354&quot;/&gt;&lt;wsp:rsid wsp:val=&quot;00C66A8E&quot;/&gt;&lt;wsp:rsid wsp:val=&quot;00C66B4B&quot;/&gt;&lt;wsp:rsid wsp:val=&quot;00C670A3&quot;/&gt;&lt;wsp:rsid wsp:val=&quot;00C670AE&quot;/&gt;&lt;wsp:rsid wsp:val=&quot;00C671DE&quot;/&gt;&lt;wsp:rsid wsp:val=&quot;00C673C5&quot;/&gt;&lt;wsp:rsid wsp:val=&quot;00C67831&quot;/&gt;&lt;wsp:rsid wsp:val=&quot;00C67EA5&quot;/&gt;&lt;wsp:rsid wsp:val=&quot;00C67F6C&quot;/&gt;&lt;wsp:rsid wsp:val=&quot;00C701DC&quot;/&gt;&lt;wsp:rsid wsp:val=&quot;00C70366&quot;/&gt;&lt;wsp:rsid wsp:val=&quot;00C70A2A&quot;/&gt;&lt;wsp:rsid wsp:val=&quot;00C71651&quot;/&gt;&lt;wsp:rsid wsp:val=&quot;00C71716&quot;/&gt;&lt;wsp:rsid wsp:val=&quot;00C71B9C&quot;/&gt;&lt;wsp:rsid wsp:val=&quot;00C71BAB&quot;/&gt;&lt;wsp:rsid wsp:val=&quot;00C71BCA&quot;/&gt;&lt;wsp:rsid wsp:val=&quot;00C71DA3&quot;/&gt;&lt;wsp:rsid wsp:val=&quot;00C71FEF&quot;/&gt;&lt;wsp:rsid wsp:val=&quot;00C723D3&quot;/&gt;&lt;wsp:rsid wsp:val=&quot;00C7245C&quot;/&gt;&lt;wsp:rsid wsp:val=&quot;00C72BF5&quot;/&gt;&lt;wsp:rsid wsp:val=&quot;00C72E28&quot;/&gt;&lt;wsp:rsid wsp:val=&quot;00C72E48&quot;/&gt;&lt;wsp:rsid wsp:val=&quot;00C72F9F&quot;/&gt;&lt;wsp:rsid wsp:val=&quot;00C730B0&quot;/&gt;&lt;wsp:rsid wsp:val=&quot;00C73AB5&quot;/&gt;&lt;wsp:rsid wsp:val=&quot;00C742F4&quot;/&gt;&lt;wsp:rsid wsp:val=&quot;00C74456&quot;/&gt;&lt;wsp:rsid wsp:val=&quot;00C744F9&quot;/&gt;&lt;wsp:rsid wsp:val=&quot;00C74CB4&quot;/&gt;&lt;wsp:rsid wsp:val=&quot;00C7506D&quot;/&gt;&lt;wsp:rsid wsp:val=&quot;00C75070&quot;/&gt;&lt;wsp:rsid wsp:val=&quot;00C7519E&quot;/&gt;&lt;wsp:rsid wsp:val=&quot;00C755A3&quot;/&gt;&lt;wsp:rsid wsp:val=&quot;00C75D11&quot;/&gt;&lt;wsp:rsid wsp:val=&quot;00C75E9E&quot;/&gt;&lt;wsp:rsid wsp:val=&quot;00C76290&quot;/&gt;&lt;wsp:rsid wsp:val=&quot;00C764DC&quot;/&gt;&lt;wsp:rsid wsp:val=&quot;00C76567&quot;/&gt;&lt;wsp:rsid wsp:val=&quot;00C76946&quot;/&gt;&lt;wsp:rsid wsp:val=&quot;00C76B5E&quot;/&gt;&lt;wsp:rsid wsp:val=&quot;00C76D1B&quot;/&gt;&lt;wsp:rsid wsp:val=&quot;00C770A4&quot;/&gt;&lt;wsp:rsid wsp:val=&quot;00C77201&quot;/&gt;&lt;wsp:rsid wsp:val=&quot;00C7749B&quot;/&gt;&lt;wsp:rsid wsp:val=&quot;00C774E8&quot;/&gt;&lt;wsp:rsid wsp:val=&quot;00C77D52&quot;/&gt;&lt;wsp:rsid wsp:val=&quot;00C804F3&quot;/&gt;&lt;wsp:rsid wsp:val=&quot;00C805E2&quot;/&gt;&lt;wsp:rsid wsp:val=&quot;00C806F4&quot;/&gt;&lt;wsp:rsid wsp:val=&quot;00C80E41&quot;/&gt;&lt;wsp:rsid wsp:val=&quot;00C810E4&quot;/&gt;&lt;wsp:rsid wsp:val=&quot;00C8182A&quot;/&gt;&lt;wsp:rsid wsp:val=&quot;00C81C54&quot;/&gt;&lt;wsp:rsid wsp:val=&quot;00C81D9B&quot;/&gt;&lt;wsp:rsid wsp:val=&quot;00C822FD&quot;/&gt;&lt;wsp:rsid wsp:val=&quot;00C82360&quot;/&gt;&lt;wsp:rsid wsp:val=&quot;00C823D2&quot;/&gt;&lt;wsp:rsid wsp:val=&quot;00C825B6&quot;/&gt;&lt;wsp:rsid wsp:val=&quot;00C82D07&quot;/&gt;&lt;wsp:rsid wsp:val=&quot;00C82EE1&quot;/&gt;&lt;wsp:rsid wsp:val=&quot;00C834B5&quot;/&gt;&lt;wsp:rsid wsp:val=&quot;00C836AB&quot;/&gt;&lt;wsp:rsid wsp:val=&quot;00C83829&quot;/&gt;&lt;wsp:rsid wsp:val=&quot;00C83AB1&quot;/&gt;&lt;wsp:rsid wsp:val=&quot;00C83C0B&quot;/&gt;&lt;wsp:rsid wsp:val=&quot;00C84335&quot;/&gt;&lt;wsp:rsid wsp:val=&quot;00C84382&quot;/&gt;&lt;wsp:rsid wsp:val=&quot;00C846D6&quot;/&gt;&lt;wsp:rsid wsp:val=&quot;00C84879&quot;/&gt;&lt;wsp:rsid wsp:val=&quot;00C8490D&quot;/&gt;&lt;wsp:rsid wsp:val=&quot;00C849C3&quot;/&gt;&lt;wsp:rsid wsp:val=&quot;00C84CA9&quot;/&gt;&lt;wsp:rsid wsp:val=&quot;00C84DAA&quot;/&gt;&lt;wsp:rsid wsp:val=&quot;00C85290&quot;/&gt;&lt;wsp:rsid wsp:val=&quot;00C8537C&quot;/&gt;&lt;wsp:rsid wsp:val=&quot;00C8545B&quot;/&gt;&lt;wsp:rsid wsp:val=&quot;00C85463&quot;/&gt;&lt;wsp:rsid wsp:val=&quot;00C86660&quot;/&gt;&lt;wsp:rsid wsp:val=&quot;00C866CF&quot;/&gt;&lt;wsp:rsid wsp:val=&quot;00C86725&quot;/&gt;&lt;wsp:rsid wsp:val=&quot;00C86798&quot;/&gt;&lt;wsp:rsid wsp:val=&quot;00C869FF&quot;/&gt;&lt;wsp:rsid wsp:val=&quot;00C86B66&quot;/&gt;&lt;wsp:rsid wsp:val=&quot;00C8703E&quot;/&gt;&lt;wsp:rsid wsp:val=&quot;00C87047&quot;/&gt;&lt;wsp:rsid wsp:val=&quot;00C871AB&quot;/&gt;&lt;wsp:rsid wsp:val=&quot;00C8759E&quot;/&gt;&lt;wsp:rsid wsp:val=&quot;00C878DD&quot;/&gt;&lt;wsp:rsid wsp:val=&quot;00C87E7C&quot;/&gt;&lt;wsp:rsid wsp:val=&quot;00C901B8&quot;/&gt;&lt;wsp:rsid wsp:val=&quot;00C901D2&quot;/&gt;&lt;wsp:rsid wsp:val=&quot;00C902BC&quot;/&gt;&lt;wsp:rsid wsp:val=&quot;00C903C5&quot;/&gt;&lt;wsp:rsid wsp:val=&quot;00C90E9F&quot;/&gt;&lt;wsp:rsid wsp:val=&quot;00C90F68&quot;/&gt;&lt;wsp:rsid wsp:val=&quot;00C90FAD&quot;/&gt;&lt;wsp:rsid wsp:val=&quot;00C911C4&quot;/&gt;&lt;wsp:rsid wsp:val=&quot;00C91235&quot;/&gt;&lt;wsp:rsid wsp:val=&quot;00C91579&quot;/&gt;&lt;wsp:rsid wsp:val=&quot;00C91B03&quot;/&gt;&lt;wsp:rsid wsp:val=&quot;00C91B1A&quot;/&gt;&lt;wsp:rsid wsp:val=&quot;00C91B69&quot;/&gt;&lt;wsp:rsid wsp:val=&quot;00C91B6B&quot;/&gt;&lt;wsp:rsid wsp:val=&quot;00C91D6B&quot;/&gt;&lt;wsp:rsid wsp:val=&quot;00C92840&quot;/&gt;&lt;wsp:rsid wsp:val=&quot;00C92C3E&quot;/&gt;&lt;wsp:rsid wsp:val=&quot;00C92C8B&quot;/&gt;&lt;wsp:rsid wsp:val=&quot;00C92FE3&quot;/&gt;&lt;wsp:rsid wsp:val=&quot;00C93213&quot;/&gt;&lt;wsp:rsid wsp:val=&quot;00C9359D&quot;/&gt;&lt;wsp:rsid wsp:val=&quot;00C93794&quot;/&gt;&lt;wsp:rsid wsp:val=&quot;00C93AB1&quot;/&gt;&lt;wsp:rsid wsp:val=&quot;00C93C1C&quot;/&gt;&lt;wsp:rsid wsp:val=&quot;00C93C71&quot;/&gt;&lt;wsp:rsid wsp:val=&quot;00C94BF7&quot;/&gt;&lt;wsp:rsid wsp:val=&quot;00C94FDA&quot;/&gt;&lt;wsp:rsid wsp:val=&quot;00C952F2&quot;/&gt;&lt;wsp:rsid wsp:val=&quot;00C95593&quot;/&gt;&lt;wsp:rsid wsp:val=&quot;00C95601&quot;/&gt;&lt;wsp:rsid wsp:val=&quot;00C95761&quot;/&gt;&lt;wsp:rsid wsp:val=&quot;00C95B50&quot;/&gt;&lt;wsp:rsid wsp:val=&quot;00C95B74&quot;/&gt;&lt;wsp:rsid wsp:val=&quot;00C95DA9&quot;/&gt;&lt;wsp:rsid wsp:val=&quot;00C95FCB&quot;/&gt;&lt;wsp:rsid wsp:val=&quot;00C96008&quot;/&gt;&lt;wsp:rsid wsp:val=&quot;00C96072&quot;/&gt;&lt;wsp:rsid wsp:val=&quot;00C96114&quot;/&gt;&lt;wsp:rsid wsp:val=&quot;00C96342&quot;/&gt;&lt;wsp:rsid wsp:val=&quot;00C96488&quot;/&gt;&lt;wsp:rsid wsp:val=&quot;00C965F4&quot;/&gt;&lt;wsp:rsid wsp:val=&quot;00C966E7&quot;/&gt;&lt;wsp:rsid wsp:val=&quot;00C967C3&quot;/&gt;&lt;wsp:rsid wsp:val=&quot;00C967C7&quot;/&gt;&lt;wsp:rsid wsp:val=&quot;00C967D6&quot;/&gt;&lt;wsp:rsid wsp:val=&quot;00C96A2F&quot;/&gt;&lt;wsp:rsid wsp:val=&quot;00C96F4D&quot;/&gt;&lt;wsp:rsid wsp:val=&quot;00C973B5&quot;/&gt;&lt;wsp:rsid wsp:val=&quot;00C97477&quot;/&gt;&lt;wsp:rsid wsp:val=&quot;00C976FC&quot;/&gt;&lt;wsp:rsid wsp:val=&quot;00C977D5&quot;/&gt;&lt;wsp:rsid wsp:val=&quot;00C97877&quot;/&gt;&lt;wsp:rsid wsp:val=&quot;00C978CE&quot;/&gt;&lt;wsp:rsid wsp:val=&quot;00C97AD6&quot;/&gt;&lt;wsp:rsid wsp:val=&quot;00C97AE1&quot;/&gt;&lt;wsp:rsid wsp:val=&quot;00C97DD6&quot;/&gt;&lt;wsp:rsid wsp:val=&quot;00C97F8E&quot;/&gt;&lt;wsp:rsid wsp:val=&quot;00CA0429&quot;/&gt;&lt;wsp:rsid wsp:val=&quot;00CA05C1&quot;/&gt;&lt;wsp:rsid wsp:val=&quot;00CA0D15&quot;/&gt;&lt;wsp:rsid wsp:val=&quot;00CA0E1C&quot;/&gt;&lt;wsp:rsid wsp:val=&quot;00CA11A6&quot;/&gt;&lt;wsp:rsid wsp:val=&quot;00CA1764&quot;/&gt;&lt;wsp:rsid wsp:val=&quot;00CA184C&quot;/&gt;&lt;wsp:rsid wsp:val=&quot;00CA1A12&quot;/&gt;&lt;wsp:rsid wsp:val=&quot;00CA1A44&quot;/&gt;&lt;wsp:rsid wsp:val=&quot;00CA2208&quot;/&gt;&lt;wsp:rsid wsp:val=&quot;00CA2352&quot;/&gt;&lt;wsp:rsid wsp:val=&quot;00CA27D4&quot;/&gt;&lt;wsp:rsid wsp:val=&quot;00CA28E3&quot;/&gt;&lt;wsp:rsid wsp:val=&quot;00CA3429&quot;/&gt;&lt;wsp:rsid wsp:val=&quot;00CA3A9A&quot;/&gt;&lt;wsp:rsid wsp:val=&quot;00CA3C06&quot;/&gt;&lt;wsp:rsid wsp:val=&quot;00CA42DE&quot;/&gt;&lt;wsp:rsid wsp:val=&quot;00CA4D0F&quot;/&gt;&lt;wsp:rsid wsp:val=&quot;00CA5771&quot;/&gt;&lt;wsp:rsid wsp:val=&quot;00CA57F7&quot;/&gt;&lt;wsp:rsid wsp:val=&quot;00CA5873&quot;/&gt;&lt;wsp:rsid wsp:val=&quot;00CA5DDF&quot;/&gt;&lt;wsp:rsid wsp:val=&quot;00CA6218&quot;/&gt;&lt;wsp:rsid wsp:val=&quot;00CA6293&quot;/&gt;&lt;wsp:rsid wsp:val=&quot;00CA6487&quot;/&gt;&lt;wsp:rsid wsp:val=&quot;00CA6560&quot;/&gt;&lt;wsp:rsid wsp:val=&quot;00CA6A93&quot;/&gt;&lt;wsp:rsid wsp:val=&quot;00CA6BAC&quot;/&gt;&lt;wsp:rsid wsp:val=&quot;00CA6C37&quot;/&gt;&lt;wsp:rsid wsp:val=&quot;00CA6C42&quot;/&gt;&lt;wsp:rsid wsp:val=&quot;00CA76DA&quot;/&gt;&lt;wsp:rsid wsp:val=&quot;00CA7A78&quot;/&gt;&lt;wsp:rsid wsp:val=&quot;00CA7CA6&quot;/&gt;&lt;wsp:rsid wsp:val=&quot;00CB0586&quot;/&gt;&lt;wsp:rsid wsp:val=&quot;00CB08AF&quot;/&gt;&lt;wsp:rsid wsp:val=&quot;00CB0DF6&quot;/&gt;&lt;wsp:rsid wsp:val=&quot;00CB13A4&quot;/&gt;&lt;wsp:rsid wsp:val=&quot;00CB15CF&quot;/&gt;&lt;wsp:rsid wsp:val=&quot;00CB1CF7&quot;/&gt;&lt;wsp:rsid wsp:val=&quot;00CB1DF2&quot;/&gt;&lt;wsp:rsid wsp:val=&quot;00CB1FB6&quot;/&gt;&lt;wsp:rsid wsp:val=&quot;00CB2765&quot;/&gt;&lt;wsp:rsid wsp:val=&quot;00CB279B&quot;/&gt;&lt;wsp:rsid wsp:val=&quot;00CB28F7&quot;/&gt;&lt;wsp:rsid wsp:val=&quot;00CB2CB7&quot;/&gt;&lt;wsp:rsid wsp:val=&quot;00CB2DEC&quot;/&gt;&lt;wsp:rsid wsp:val=&quot;00CB3059&quot;/&gt;&lt;wsp:rsid wsp:val=&quot;00CB30E1&quot;/&gt;&lt;wsp:rsid wsp:val=&quot;00CB3228&quot;/&gt;&lt;wsp:rsid wsp:val=&quot;00CB32CE&quot;/&gt;&lt;wsp:rsid wsp:val=&quot;00CB3560&quot;/&gt;&lt;wsp:rsid wsp:val=&quot;00CB3830&quot;/&gt;&lt;wsp:rsid wsp:val=&quot;00CB3B40&quot;/&gt;&lt;wsp:rsid wsp:val=&quot;00CB3C16&quot;/&gt;&lt;wsp:rsid wsp:val=&quot;00CB3DC2&quot;/&gt;&lt;wsp:rsid wsp:val=&quot;00CB3EBC&quot;/&gt;&lt;wsp:rsid wsp:val=&quot;00CB437F&quot;/&gt;&lt;wsp:rsid wsp:val=&quot;00CB4605&quot;/&gt;&lt;wsp:rsid wsp:val=&quot;00CB4A00&quot;/&gt;&lt;wsp:rsid wsp:val=&quot;00CB4B6A&quot;/&gt;&lt;wsp:rsid wsp:val=&quot;00CB4BB0&quot;/&gt;&lt;wsp:rsid wsp:val=&quot;00CB4F1F&quot;/&gt;&lt;wsp:rsid wsp:val=&quot;00CB51BA&quot;/&gt;&lt;wsp:rsid wsp:val=&quot;00CB52C1&quot;/&gt;&lt;wsp:rsid wsp:val=&quot;00CB55C5&quot;/&gt;&lt;wsp:rsid wsp:val=&quot;00CB570F&quot;/&gt;&lt;wsp:rsid wsp:val=&quot;00CB5D3D&quot;/&gt;&lt;wsp:rsid wsp:val=&quot;00CB5E81&quot;/&gt;&lt;wsp:rsid wsp:val=&quot;00CB602C&quot;/&gt;&lt;wsp:rsid wsp:val=&quot;00CB622A&quot;/&gt;&lt;wsp:rsid wsp:val=&quot;00CB624B&quot;/&gt;&lt;wsp:rsid wsp:val=&quot;00CB70DA&quot;/&gt;&lt;wsp:rsid wsp:val=&quot;00CB71E9&quot;/&gt;&lt;wsp:rsid wsp:val=&quot;00CB731A&quot;/&gt;&lt;wsp:rsid wsp:val=&quot;00CB7C20&quot;/&gt;&lt;wsp:rsid wsp:val=&quot;00CB7F49&quot;/&gt;&lt;wsp:rsid wsp:val=&quot;00CC0290&quot;/&gt;&lt;wsp:rsid wsp:val=&quot;00CC02B8&quot;/&gt;&lt;wsp:rsid wsp:val=&quot;00CC0726&quot;/&gt;&lt;wsp:rsid wsp:val=&quot;00CC0ECB&quot;/&gt;&lt;wsp:rsid wsp:val=&quot;00CC0F0E&quot;/&gt;&lt;wsp:rsid wsp:val=&quot;00CC0F11&quot;/&gt;&lt;wsp:rsid wsp:val=&quot;00CC0FD5&quot;/&gt;&lt;wsp:rsid wsp:val=&quot;00CC122D&quot;/&gt;&lt;wsp:rsid wsp:val=&quot;00CC1355&quot;/&gt;&lt;wsp:rsid wsp:val=&quot;00CC19B5&quot;/&gt;&lt;wsp:rsid wsp:val=&quot;00CC1A4D&quot;/&gt;&lt;wsp:rsid wsp:val=&quot;00CC20E3&quot;/&gt;&lt;wsp:rsid wsp:val=&quot;00CC214D&quot;/&gt;&lt;wsp:rsid wsp:val=&quot;00CC2210&quot;/&gt;&lt;wsp:rsid wsp:val=&quot;00CC2929&quot;/&gt;&lt;wsp:rsid wsp:val=&quot;00CC29E8&quot;/&gt;&lt;wsp:rsid wsp:val=&quot;00CC333D&quot;/&gt;&lt;wsp:rsid wsp:val=&quot;00CC3544&quot;/&gt;&lt;wsp:rsid wsp:val=&quot;00CC4220&quot;/&gt;&lt;wsp:rsid wsp:val=&quot;00CC445D&quot;/&gt;&lt;wsp:rsid wsp:val=&quot;00CC478C&quot;/&gt;&lt;wsp:rsid wsp:val=&quot;00CC4B48&quot;/&gt;&lt;wsp:rsid wsp:val=&quot;00CC4CFB&quot;/&gt;&lt;wsp:rsid wsp:val=&quot;00CC4D82&quot;/&gt;&lt;wsp:rsid wsp:val=&quot;00CC4DB5&quot;/&gt;&lt;wsp:rsid wsp:val=&quot;00CC4F1B&quot;/&gt;&lt;wsp:rsid wsp:val=&quot;00CC4F79&quot;/&gt;&lt;wsp:rsid wsp:val=&quot;00CC5049&quot;/&gt;&lt;wsp:rsid wsp:val=&quot;00CC549F&quot;/&gt;&lt;wsp:rsid wsp:val=&quot;00CC54A5&quot;/&gt;&lt;wsp:rsid wsp:val=&quot;00CC54E7&quot;/&gt;&lt;wsp:rsid wsp:val=&quot;00CC576B&quot;/&gt;&lt;wsp:rsid wsp:val=&quot;00CC6555&quot;/&gt;&lt;wsp:rsid wsp:val=&quot;00CC66D5&quot;/&gt;&lt;wsp:rsid wsp:val=&quot;00CC6A0B&quot;/&gt;&lt;wsp:rsid wsp:val=&quot;00CC6B94&quot;/&gt;&lt;wsp:rsid wsp:val=&quot;00CC6D80&quot;/&gt;&lt;wsp:rsid wsp:val=&quot;00CC6F86&quot;/&gt;&lt;wsp:rsid wsp:val=&quot;00CC74EB&quot;/&gt;&lt;wsp:rsid wsp:val=&quot;00CC769F&quot;/&gt;&lt;wsp:rsid wsp:val=&quot;00CC7BE7&quot;/&gt;&lt;wsp:rsid wsp:val=&quot;00CC7DE4&quot;/&gt;&lt;wsp:rsid wsp:val=&quot;00CC7E5A&quot;/&gt;&lt;wsp:rsid wsp:val=&quot;00CC7F47&quot;/&gt;&lt;wsp:rsid wsp:val=&quot;00CD07B5&quot;/&gt;&lt;wsp:rsid wsp:val=&quot;00CD0B3E&quot;/&gt;&lt;wsp:rsid wsp:val=&quot;00CD183A&quot;/&gt;&lt;wsp:rsid wsp:val=&quot;00CD279A&quot;/&gt;&lt;wsp:rsid wsp:val=&quot;00CD2F2A&quot;/&gt;&lt;wsp:rsid wsp:val=&quot;00CD2FDE&quot;/&gt;&lt;wsp:rsid wsp:val=&quot;00CD3649&quot;/&gt;&lt;wsp:rsid wsp:val=&quot;00CD393A&quot;/&gt;&lt;wsp:rsid wsp:val=&quot;00CD397B&quot;/&gt;&lt;wsp:rsid wsp:val=&quot;00CD3BCE&quot;/&gt;&lt;wsp:rsid wsp:val=&quot;00CD41CE&quot;/&gt;&lt;wsp:rsid wsp:val=&quot;00CD4871&quot;/&gt;&lt;wsp:rsid wsp:val=&quot;00CD4925&quot;/&gt;&lt;wsp:rsid wsp:val=&quot;00CD4A65&quot;/&gt;&lt;wsp:rsid wsp:val=&quot;00CD4FF8&quot;/&gt;&lt;wsp:rsid wsp:val=&quot;00CD53EB&quot;/&gt;&lt;wsp:rsid wsp:val=&quot;00CD5422&quot;/&gt;&lt;wsp:rsid wsp:val=&quot;00CD5490&quot;/&gt;&lt;wsp:rsid wsp:val=&quot;00CD587E&quot;/&gt;&lt;wsp:rsid wsp:val=&quot;00CD5931&quot;/&gt;&lt;wsp:rsid wsp:val=&quot;00CD59DC&quot;/&gt;&lt;wsp:rsid wsp:val=&quot;00CD5AF8&quot;/&gt;&lt;wsp:rsid wsp:val=&quot;00CD5AFE&quot;/&gt;&lt;wsp:rsid wsp:val=&quot;00CD5E2C&quot;/&gt;&lt;wsp:rsid wsp:val=&quot;00CD5EE3&quot;/&gt;&lt;wsp:rsid wsp:val=&quot;00CD61B3&quot;/&gt;&lt;wsp:rsid wsp:val=&quot;00CD6401&quot;/&gt;&lt;wsp:rsid wsp:val=&quot;00CD64FF&quot;/&gt;&lt;wsp:rsid wsp:val=&quot;00CD676D&quot;/&gt;&lt;wsp:rsid wsp:val=&quot;00CD68ED&quot;/&gt;&lt;wsp:rsid wsp:val=&quot;00CD69A9&quot;/&gt;&lt;wsp:rsid wsp:val=&quot;00CD69FB&quot;/&gt;&lt;wsp:rsid wsp:val=&quot;00CD6C45&quot;/&gt;&lt;wsp:rsid wsp:val=&quot;00CD717E&quot;/&gt;&lt;wsp:rsid wsp:val=&quot;00CD742C&quot;/&gt;&lt;wsp:rsid wsp:val=&quot;00CD7497&quot;/&gt;&lt;wsp:rsid wsp:val=&quot;00CD74C0&quot;/&gt;&lt;wsp:rsid wsp:val=&quot;00CD781F&quot;/&gt;&lt;wsp:rsid wsp:val=&quot;00CD7969&quot;/&gt;&lt;wsp:rsid wsp:val=&quot;00CD7BFF&quot;/&gt;&lt;wsp:rsid wsp:val=&quot;00CD7F01&quot;/&gt;&lt;wsp:rsid wsp:val=&quot;00CE011C&quot;/&gt;&lt;wsp:rsid wsp:val=&quot;00CE01CE&quot;/&gt;&lt;wsp:rsid wsp:val=&quot;00CE01E6&quot;/&gt;&lt;wsp:rsid wsp:val=&quot;00CE039C&quot;/&gt;&lt;wsp:rsid wsp:val=&quot;00CE040F&quot;/&gt;&lt;wsp:rsid wsp:val=&quot;00CE0773&quot;/&gt;&lt;wsp:rsid wsp:val=&quot;00CE1129&quot;/&gt;&lt;wsp:rsid wsp:val=&quot;00CE1A13&quot;/&gt;&lt;wsp:rsid wsp:val=&quot;00CE1C38&quot;/&gt;&lt;wsp:rsid wsp:val=&quot;00CE2255&quot;/&gt;&lt;wsp:rsid wsp:val=&quot;00CE2939&quot;/&gt;&lt;wsp:rsid wsp:val=&quot;00CE2A86&quot;/&gt;&lt;wsp:rsid wsp:val=&quot;00CE2CEE&quot;/&gt;&lt;wsp:rsid wsp:val=&quot;00CE2D22&quot;/&gt;&lt;wsp:rsid wsp:val=&quot;00CE30F8&quot;/&gt;&lt;wsp:rsid wsp:val=&quot;00CE38BA&quot;/&gt;&lt;wsp:rsid wsp:val=&quot;00CE4326&quot;/&gt;&lt;wsp:rsid wsp:val=&quot;00CE4A88&quot;/&gt;&lt;wsp:rsid wsp:val=&quot;00CE4E60&quot;/&gt;&lt;wsp:rsid wsp:val=&quot;00CE4E88&quot;/&gt;&lt;wsp:rsid wsp:val=&quot;00CE5060&quot;/&gt;&lt;wsp:rsid wsp:val=&quot;00CE5502&quot;/&gt;&lt;wsp:rsid wsp:val=&quot;00CE57B6&quot;/&gt;&lt;wsp:rsid wsp:val=&quot;00CE5B49&quot;/&gt;&lt;wsp:rsid wsp:val=&quot;00CE5B63&quot;/&gt;&lt;wsp:rsid wsp:val=&quot;00CE5FE4&quot;/&gt;&lt;wsp:rsid wsp:val=&quot;00CE6974&quot;/&gt;&lt;wsp:rsid wsp:val=&quot;00CE6F09&quot;/&gt;&lt;wsp:rsid wsp:val=&quot;00CE6F9A&quot;/&gt;&lt;wsp:rsid wsp:val=&quot;00CE739E&quot;/&gt;&lt;wsp:rsid wsp:val=&quot;00CE775D&quot;/&gt;&lt;wsp:rsid wsp:val=&quot;00CF0D65&quot;/&gt;&lt;wsp:rsid wsp:val=&quot;00CF107E&quot;/&gt;&lt;wsp:rsid wsp:val=&quot;00CF117E&quot;/&gt;&lt;wsp:rsid wsp:val=&quot;00CF1B47&quot;/&gt;&lt;wsp:rsid wsp:val=&quot;00CF26A4&quot;/&gt;&lt;wsp:rsid wsp:val=&quot;00CF27DA&quot;/&gt;&lt;wsp:rsid wsp:val=&quot;00CF3872&quot;/&gt;&lt;wsp:rsid wsp:val=&quot;00CF3924&quot;/&gt;&lt;wsp:rsid wsp:val=&quot;00CF3A0F&quot;/&gt;&lt;wsp:rsid wsp:val=&quot;00CF3A21&quot;/&gt;&lt;wsp:rsid wsp:val=&quot;00CF3B70&quot;/&gt;&lt;wsp:rsid wsp:val=&quot;00CF3E6D&quot;/&gt;&lt;wsp:rsid wsp:val=&quot;00CF42E7&quot;/&gt;&lt;wsp:rsid wsp:val=&quot;00CF4459&quot;/&gt;&lt;wsp:rsid wsp:val=&quot;00CF4689&quot;/&gt;&lt;wsp:rsid wsp:val=&quot;00CF4A56&quot;/&gt;&lt;wsp:rsid wsp:val=&quot;00CF4F93&quot;/&gt;&lt;wsp:rsid wsp:val=&quot;00CF50A0&quot;/&gt;&lt;wsp:rsid wsp:val=&quot;00CF56E8&quot;/&gt;&lt;wsp:rsid wsp:val=&quot;00CF58E7&quot;/&gt;&lt;wsp:rsid wsp:val=&quot;00CF592B&quot;/&gt;&lt;wsp:rsid wsp:val=&quot;00CF59F3&quot;/&gt;&lt;wsp:rsid wsp:val=&quot;00CF5C7A&quot;/&gt;&lt;wsp:rsid wsp:val=&quot;00CF5E35&quot;/&gt;&lt;wsp:rsid wsp:val=&quot;00CF5E51&quot;/&gt;&lt;wsp:rsid wsp:val=&quot;00CF623C&quot;/&gt;&lt;wsp:rsid wsp:val=&quot;00CF6AFF&quot;/&gt;&lt;wsp:rsid wsp:val=&quot;00CF7168&quot;/&gt;&lt;wsp:rsid wsp:val=&quot;00CF73B8&quot;/&gt;&lt;wsp:rsid wsp:val=&quot;00CF7415&quot;/&gt;&lt;wsp:rsid wsp:val=&quot;00CF77B3&quot;/&gt;&lt;wsp:rsid wsp:val=&quot;00CF78B2&quot;/&gt;&lt;wsp:rsid wsp:val=&quot;00D00593&quot;/&gt;&lt;wsp:rsid wsp:val=&quot;00D005B9&quot;/&gt;&lt;wsp:rsid wsp:val=&quot;00D0077A&quot;/&gt;&lt;wsp:rsid wsp:val=&quot;00D00D9A&quot;/&gt;&lt;wsp:rsid wsp:val=&quot;00D0113B&quot;/&gt;&lt;wsp:rsid wsp:val=&quot;00D017A9&quot;/&gt;&lt;wsp:rsid wsp:val=&quot;00D01994&quot;/&gt;&lt;wsp:rsid wsp:val=&quot;00D019B9&quot;/&gt;&lt;wsp:rsid wsp:val=&quot;00D01F4F&quot;/&gt;&lt;wsp:rsid wsp:val=&quot;00D01FA5&quot;/&gt;&lt;wsp:rsid wsp:val=&quot;00D02279&quot;/&gt;&lt;wsp:rsid wsp:val=&quot;00D022B8&quot;/&gt;&lt;wsp:rsid wsp:val=&quot;00D0261F&quot;/&gt;&lt;wsp:rsid wsp:val=&quot;00D02F13&quot;/&gt;&lt;wsp:rsid wsp:val=&quot;00D02FE2&quot;/&gt;&lt;wsp:rsid wsp:val=&quot;00D03302&quot;/&gt;&lt;wsp:rsid wsp:val=&quot;00D03309&quot;/&gt;&lt;wsp:rsid wsp:val=&quot;00D03652&quot;/&gt;&lt;wsp:rsid wsp:val=&quot;00D03900&quot;/&gt;&lt;wsp:rsid wsp:val=&quot;00D03D46&quot;/&gt;&lt;wsp:rsid wsp:val=&quot;00D03E43&quot;/&gt;&lt;wsp:rsid wsp:val=&quot;00D04430&quot;/&gt;&lt;wsp:rsid wsp:val=&quot;00D05571&quot;/&gt;&lt;wsp:rsid wsp:val=&quot;00D0571D&quot;/&gt;&lt;wsp:rsid wsp:val=&quot;00D059EF&quot;/&gt;&lt;wsp:rsid wsp:val=&quot;00D05B66&quot;/&gt;&lt;wsp:rsid wsp:val=&quot;00D05D06&quot;/&gt;&lt;wsp:rsid wsp:val=&quot;00D06000&quot;/&gt;&lt;wsp:rsid wsp:val=&quot;00D0649B&quot;/&gt;&lt;wsp:rsid wsp:val=&quot;00D067F3&quot;/&gt;&lt;wsp:rsid wsp:val=&quot;00D07D78&quot;/&gt;&lt;wsp:rsid wsp:val=&quot;00D07E5C&quot;/&gt;&lt;wsp:rsid wsp:val=&quot;00D07F5A&quot;/&gt;&lt;wsp:rsid wsp:val=&quot;00D07FEA&quot;/&gt;&lt;wsp:rsid wsp:val=&quot;00D10C47&quot;/&gt;&lt;wsp:rsid wsp:val=&quot;00D10F61&quot;/&gt;&lt;wsp:rsid wsp:val=&quot;00D11A47&quot;/&gt;&lt;wsp:rsid wsp:val=&quot;00D11BBE&quot;/&gt;&lt;wsp:rsid wsp:val=&quot;00D11BC5&quot;/&gt;&lt;wsp:rsid wsp:val=&quot;00D120A3&quot;/&gt;&lt;wsp:rsid wsp:val=&quot;00D12124&quot;/&gt;&lt;wsp:rsid wsp:val=&quot;00D1215C&quot;/&gt;&lt;wsp:rsid wsp:val=&quot;00D128A4&quot;/&gt;&lt;wsp:rsid wsp:val=&quot;00D12983&quot;/&gt;&lt;wsp:rsid wsp:val=&quot;00D12D49&quot;/&gt;&lt;wsp:rsid wsp:val=&quot;00D12E4E&quot;/&gt;&lt;wsp:rsid wsp:val=&quot;00D12FE3&quot;/&gt;&lt;wsp:rsid wsp:val=&quot;00D130F2&quot;/&gt;&lt;wsp:rsid wsp:val=&quot;00D13DC3&quot;/&gt;&lt;wsp:rsid wsp:val=&quot;00D143DF&quot;/&gt;&lt;wsp:rsid wsp:val=&quot;00D14B32&quot;/&gt;&lt;wsp:rsid wsp:val=&quot;00D14DFF&quot;/&gt;&lt;wsp:rsid wsp:val=&quot;00D14E96&quot;/&gt;&lt;wsp:rsid wsp:val=&quot;00D1567E&quot;/&gt;&lt;wsp:rsid wsp:val=&quot;00D15732&quot;/&gt;&lt;wsp:rsid wsp:val=&quot;00D164B9&quot;/&gt;&lt;wsp:rsid wsp:val=&quot;00D16750&quot;/&gt;&lt;wsp:rsid wsp:val=&quot;00D16BCA&quot;/&gt;&lt;wsp:rsid wsp:val=&quot;00D16DBD&quot;/&gt;&lt;wsp:rsid wsp:val=&quot;00D16F4D&quot;/&gt;&lt;wsp:rsid wsp:val=&quot;00D17157&quot;/&gt;&lt;wsp:rsid wsp:val=&quot;00D173FA&quot;/&gt;&lt;wsp:rsid wsp:val=&quot;00D17940&quot;/&gt;&lt;wsp:rsid wsp:val=&quot;00D17E8C&quot;/&gt;&lt;wsp:rsid wsp:val=&quot;00D200AD&quot;/&gt;&lt;wsp:rsid wsp:val=&quot;00D209D7&quot;/&gt;&lt;wsp:rsid wsp:val=&quot;00D20C20&quot;/&gt;&lt;wsp:rsid wsp:val=&quot;00D217CF&quot;/&gt;&lt;wsp:rsid wsp:val=&quot;00D21CD2&quot;/&gt;&lt;wsp:rsid wsp:val=&quot;00D21CFA&quot;/&gt;&lt;wsp:rsid wsp:val=&quot;00D22113&quot;/&gt;&lt;wsp:rsid wsp:val=&quot;00D221B7&quot;/&gt;&lt;wsp:rsid wsp:val=&quot;00D222C6&quot;/&gt;&lt;wsp:rsid wsp:val=&quot;00D2283C&quot;/&gt;&lt;wsp:rsid wsp:val=&quot;00D22A80&quot;/&gt;&lt;wsp:rsid wsp:val=&quot;00D22C0A&quot;/&gt;&lt;wsp:rsid wsp:val=&quot;00D22C30&quot;/&gt;&lt;wsp:rsid wsp:val=&quot;00D22D4A&quot;/&gt;&lt;wsp:rsid wsp:val=&quot;00D22F3C&quot;/&gt;&lt;wsp:rsid wsp:val=&quot;00D230A4&quot;/&gt;&lt;wsp:rsid wsp:val=&quot;00D230F3&quot;/&gt;&lt;wsp:rsid wsp:val=&quot;00D23122&quot;/&gt;&lt;wsp:rsid wsp:val=&quot;00D232BF&quot;/&gt;&lt;wsp:rsid wsp:val=&quot;00D235CC&quot;/&gt;&lt;wsp:rsid wsp:val=&quot;00D2386E&quot;/&gt;&lt;wsp:rsid wsp:val=&quot;00D23D5B&quot;/&gt;&lt;wsp:rsid wsp:val=&quot;00D241B0&quot;/&gt;&lt;wsp:rsid wsp:val=&quot;00D2453C&quot;/&gt;&lt;wsp:rsid wsp:val=&quot;00D2459F&quot;/&gt;&lt;wsp:rsid wsp:val=&quot;00D24907&quot;/&gt;&lt;wsp:rsid wsp:val=&quot;00D249D2&quot;/&gt;&lt;wsp:rsid wsp:val=&quot;00D24DE7&quot;/&gt;&lt;wsp:rsid wsp:val=&quot;00D2516D&quot;/&gt;&lt;wsp:rsid wsp:val=&quot;00D25873&quot;/&gt;&lt;wsp:rsid wsp:val=&quot;00D25DAF&quot;/&gt;&lt;wsp:rsid wsp:val=&quot;00D26301&quot;/&gt;&lt;wsp:rsid wsp:val=&quot;00D26D39&quot;/&gt;&lt;wsp:rsid wsp:val=&quot;00D27409&quot;/&gt;&lt;wsp:rsid wsp:val=&quot;00D27540&quot;/&gt;&lt;wsp:rsid wsp:val=&quot;00D27769&quot;/&gt;&lt;wsp:rsid wsp:val=&quot;00D279B8&quot;/&gt;&lt;wsp:rsid wsp:val=&quot;00D27F7C&quot;/&gt;&lt;wsp:rsid wsp:val=&quot;00D30128&quot;/&gt;&lt;wsp:rsid wsp:val=&quot;00D30372&quot;/&gt;&lt;wsp:rsid wsp:val=&quot;00D307D2&quot;/&gt;&lt;wsp:rsid wsp:val=&quot;00D30BD5&quot;/&gt;&lt;wsp:rsid wsp:val=&quot;00D30C40&quot;/&gt;&lt;wsp:rsid wsp:val=&quot;00D310FA&quot;/&gt;&lt;wsp:rsid wsp:val=&quot;00D315BB&quot;/&gt;&lt;wsp:rsid wsp:val=&quot;00D31981&quot;/&gt;&lt;wsp:rsid wsp:val=&quot;00D31BA6&quot;/&gt;&lt;wsp:rsid wsp:val=&quot;00D31CFC&quot;/&gt;&lt;wsp:rsid wsp:val=&quot;00D322C2&quot;/&gt;&lt;wsp:rsid wsp:val=&quot;00D32411&quot;/&gt;&lt;wsp:rsid wsp:val=&quot;00D324ED&quot;/&gt;&lt;wsp:rsid wsp:val=&quot;00D33035&quot;/&gt;&lt;wsp:rsid wsp:val=&quot;00D33038&quot;/&gt;&lt;wsp:rsid wsp:val=&quot;00D33275&quot;/&gt;&lt;wsp:rsid wsp:val=&quot;00D33278&quot;/&gt;&lt;wsp:rsid wsp:val=&quot;00D335C3&quot;/&gt;&lt;wsp:rsid wsp:val=&quot;00D3375E&quot;/&gt;&lt;wsp:rsid wsp:val=&quot;00D33852&quot;/&gt;&lt;wsp:rsid wsp:val=&quot;00D33D31&quot;/&gt;&lt;wsp:rsid wsp:val=&quot;00D344A7&quot;/&gt;&lt;wsp:rsid wsp:val=&quot;00D34757&quot;/&gt;&lt;wsp:rsid wsp:val=&quot;00D34B46&quot;/&gt;&lt;wsp:rsid wsp:val=&quot;00D350C4&quot;/&gt;&lt;wsp:rsid wsp:val=&quot;00D3559B&quot;/&gt;&lt;wsp:rsid wsp:val=&quot;00D35E85&quot;/&gt;&lt;wsp:rsid wsp:val=&quot;00D360F1&quot;/&gt;&lt;wsp:rsid wsp:val=&quot;00D36322&quot;/&gt;&lt;wsp:rsid wsp:val=&quot;00D366D9&quot;/&gt;&lt;wsp:rsid wsp:val=&quot;00D36DF2&quot;/&gt;&lt;wsp:rsid wsp:val=&quot;00D37431&quot;/&gt;&lt;wsp:rsid wsp:val=&quot;00D37733&quot;/&gt;&lt;wsp:rsid wsp:val=&quot;00D37A21&quot;/&gt;&lt;wsp:rsid wsp:val=&quot;00D37AAF&quot;/&gt;&lt;wsp:rsid wsp:val=&quot;00D37B37&quot;/&gt;&lt;wsp:rsid wsp:val=&quot;00D37BFA&quot;/&gt;&lt;wsp:rsid wsp:val=&quot;00D37EA6&quot;/&gt;&lt;wsp:rsid wsp:val=&quot;00D40872&quot;/&gt;&lt;wsp:rsid wsp:val=&quot;00D40E7C&quot;/&gt;&lt;wsp:rsid wsp:val=&quot;00D40F27&quot;/&gt;&lt;wsp:rsid wsp:val=&quot;00D41179&quot;/&gt;&lt;wsp:rsid wsp:val=&quot;00D41803&quot;/&gt;&lt;wsp:rsid wsp:val=&quot;00D41A05&quot;/&gt;&lt;wsp:rsid wsp:val=&quot;00D41A3B&quot;/&gt;&lt;wsp:rsid wsp:val=&quot;00D41A7D&quot;/&gt;&lt;wsp:rsid wsp:val=&quot;00D41C03&quot;/&gt;&lt;wsp:rsid wsp:val=&quot;00D42B7C&quot;/&gt;&lt;wsp:rsid wsp:val=&quot;00D43133&quot;/&gt;&lt;wsp:rsid wsp:val=&quot;00D4322E&quot;/&gt;&lt;wsp:rsid wsp:val=&quot;00D43AFC&quot;/&gt;&lt;wsp:rsid wsp:val=&quot;00D43C8E&quot;/&gt;&lt;wsp:rsid wsp:val=&quot;00D43DA5&quot;/&gt;&lt;wsp:rsid wsp:val=&quot;00D44404&quot;/&gt;&lt;wsp:rsid wsp:val=&quot;00D44638&quot;/&gt;&lt;wsp:rsid wsp:val=&quot;00D4497C&quot;/&gt;&lt;wsp:rsid wsp:val=&quot;00D449A0&quot;/&gt;&lt;wsp:rsid wsp:val=&quot;00D44E88&quot;/&gt;&lt;wsp:rsid wsp:val=&quot;00D450A2&quot;/&gt;&lt;wsp:rsid wsp:val=&quot;00D45419&quot;/&gt;&lt;wsp:rsid wsp:val=&quot;00D457BD&quot;/&gt;&lt;wsp:rsid wsp:val=&quot;00D46514&quot;/&gt;&lt;wsp:rsid wsp:val=&quot;00D46798&quot;/&gt;&lt;wsp:rsid wsp:val=&quot;00D46ADF&quot;/&gt;&lt;wsp:rsid wsp:val=&quot;00D46C81&quot;/&gt;&lt;wsp:rsid wsp:val=&quot;00D47673&quot;/&gt;&lt;wsp:rsid wsp:val=&quot;00D47B77&quot;/&gt;&lt;wsp:rsid wsp:val=&quot;00D50034&quot;/&gt;&lt;wsp:rsid wsp:val=&quot;00D503EC&quot;/&gt;&lt;wsp:rsid wsp:val=&quot;00D50F65&quot;/&gt;&lt;wsp:rsid wsp:val=&quot;00D50F81&quot;/&gt;&lt;wsp:rsid wsp:val=&quot;00D51720&quot;/&gt;&lt;wsp:rsid wsp:val=&quot;00D51B2A&quot;/&gt;&lt;wsp:rsid wsp:val=&quot;00D51D4A&quot;/&gt;&lt;wsp:rsid wsp:val=&quot;00D52209&quot;/&gt;&lt;wsp:rsid wsp:val=&quot;00D5234B&quot;/&gt;&lt;wsp:rsid wsp:val=&quot;00D52395&quot;/&gt;&lt;wsp:rsid wsp:val=&quot;00D52581&quot;/&gt;&lt;wsp:rsid wsp:val=&quot;00D52759&quot;/&gt;&lt;wsp:rsid wsp:val=&quot;00D52769&quot;/&gt;&lt;wsp:rsid wsp:val=&quot;00D52807&quot;/&gt;&lt;wsp:rsid wsp:val=&quot;00D52BB3&quot;/&gt;&lt;wsp:rsid wsp:val=&quot;00D52C1D&quot;/&gt;&lt;wsp:rsid wsp:val=&quot;00D53964&quot;/&gt;&lt;wsp:rsid wsp:val=&quot;00D53984&quot;/&gt;&lt;wsp:rsid wsp:val=&quot;00D53BAC&quot;/&gt;&lt;wsp:rsid wsp:val=&quot;00D53BE1&quot;/&gt;&lt;wsp:rsid wsp:val=&quot;00D53C87&quot;/&gt;&lt;wsp:rsid wsp:val=&quot;00D54868&quot;/&gt;&lt;wsp:rsid wsp:val=&quot;00D54C61&quot;/&gt;&lt;wsp:rsid wsp:val=&quot;00D54D1E&quot;/&gt;&lt;wsp:rsid wsp:val=&quot;00D55266&quot;/&gt;&lt;wsp:rsid wsp:val=&quot;00D55283&quot;/&gt;&lt;wsp:rsid wsp:val=&quot;00D5595E&quot;/&gt;&lt;wsp:rsid wsp:val=&quot;00D55BCE&quot;/&gt;&lt;wsp:rsid wsp:val=&quot;00D5613C&quot;/&gt;&lt;wsp:rsid wsp:val=&quot;00D56253&quot;/&gt;&lt;wsp:rsid wsp:val=&quot;00D56498&quot;/&gt;&lt;wsp:rsid wsp:val=&quot;00D567FE&quot;/&gt;&lt;wsp:rsid wsp:val=&quot;00D56CE8&quot;/&gt;&lt;wsp:rsid wsp:val=&quot;00D5731E&quot;/&gt;&lt;wsp:rsid wsp:val=&quot;00D579C3&quot;/&gt;&lt;wsp:rsid wsp:val=&quot;00D57E09&quot;/&gt;&lt;wsp:rsid wsp:val=&quot;00D6016A&quot;/&gt;&lt;wsp:rsid wsp:val=&quot;00D60191&quot;/&gt;&lt;wsp:rsid wsp:val=&quot;00D61005&quot;/&gt;&lt;wsp:rsid wsp:val=&quot;00D61015&quot;/&gt;&lt;wsp:rsid wsp:val=&quot;00D61131&quot;/&gt;&lt;wsp:rsid wsp:val=&quot;00D611BB&quot;/&gt;&lt;wsp:rsid wsp:val=&quot;00D61829&quot;/&gt;&lt;wsp:rsid wsp:val=&quot;00D61A11&quot;/&gt;&lt;wsp:rsid wsp:val=&quot;00D61ADA&quot;/&gt;&lt;wsp:rsid wsp:val=&quot;00D61BEC&quot;/&gt;&lt;wsp:rsid wsp:val=&quot;00D61EBC&quot;/&gt;&lt;wsp:rsid wsp:val=&quot;00D61F64&quot;/&gt;&lt;wsp:rsid wsp:val=&quot;00D620A2&quot;/&gt;&lt;wsp:rsid wsp:val=&quot;00D622CE&quot;/&gt;&lt;wsp:rsid wsp:val=&quot;00D625F9&quot;/&gt;&lt;wsp:rsid wsp:val=&quot;00D626BE&quot;/&gt;&lt;wsp:rsid wsp:val=&quot;00D627CF&quot;/&gt;&lt;wsp:rsid wsp:val=&quot;00D62824&quot;/&gt;&lt;wsp:rsid wsp:val=&quot;00D6298A&quot;/&gt;&lt;wsp:rsid wsp:val=&quot;00D62A18&quot;/&gt;&lt;wsp:rsid wsp:val=&quot;00D62B58&quot;/&gt;&lt;wsp:rsid wsp:val=&quot;00D630C5&quot;/&gt;&lt;wsp:rsid wsp:val=&quot;00D636AD&quot;/&gt;&lt;wsp:rsid wsp:val=&quot;00D63D63&quot;/&gt;&lt;wsp:rsid wsp:val=&quot;00D64252&quot;/&gt;&lt;wsp:rsid wsp:val=&quot;00D64417&quot;/&gt;&lt;wsp:rsid wsp:val=&quot;00D6444A&quot;/&gt;&lt;wsp:rsid wsp:val=&quot;00D644E7&quot;/&gt;&lt;wsp:rsid wsp:val=&quot;00D646C6&quot;/&gt;&lt;wsp:rsid wsp:val=&quot;00D64822&quot;/&gt;&lt;wsp:rsid wsp:val=&quot;00D652FF&quot;/&gt;&lt;wsp:rsid wsp:val=&quot;00D653DB&quot;/&gt;&lt;wsp:rsid wsp:val=&quot;00D654C8&quot;/&gt;&lt;wsp:rsid wsp:val=&quot;00D6567B&quot;/&gt;&lt;wsp:rsid wsp:val=&quot;00D65AA1&quot;/&gt;&lt;wsp:rsid wsp:val=&quot;00D6638B&quot;/&gt;&lt;wsp:rsid wsp:val=&quot;00D66DD9&quot;/&gt;&lt;wsp:rsid wsp:val=&quot;00D66FA6&quot;/&gt;&lt;wsp:rsid wsp:val=&quot;00D671DD&quot;/&gt;&lt;wsp:rsid wsp:val=&quot;00D67240&quot;/&gt;&lt;wsp:rsid wsp:val=&quot;00D678AC&quot;/&gt;&lt;wsp:rsid wsp:val=&quot;00D67A44&quot;/&gt;&lt;wsp:rsid wsp:val=&quot;00D67C73&quot;/&gt;&lt;wsp:rsid wsp:val=&quot;00D7030E&quot;/&gt;&lt;wsp:rsid wsp:val=&quot;00D703A3&quot;/&gt;&lt;wsp:rsid wsp:val=&quot;00D7040C&quot;/&gt;&lt;wsp:rsid wsp:val=&quot;00D705E7&quot;/&gt;&lt;wsp:rsid wsp:val=&quot;00D7074F&quot;/&gt;&lt;wsp:rsid wsp:val=&quot;00D70CD1&quot;/&gt;&lt;wsp:rsid wsp:val=&quot;00D70E7A&quot;/&gt;&lt;wsp:rsid wsp:val=&quot;00D70F4A&quot;/&gt;&lt;wsp:rsid wsp:val=&quot;00D71546&quot;/&gt;&lt;wsp:rsid wsp:val=&quot;00D716E8&quot;/&gt;&lt;wsp:rsid wsp:val=&quot;00D71916&quot;/&gt;&lt;wsp:rsid wsp:val=&quot;00D719E6&quot;/&gt;&lt;wsp:rsid wsp:val=&quot;00D71CEF&quot;/&gt;&lt;wsp:rsid wsp:val=&quot;00D7218F&quot;/&gt;&lt;wsp:rsid wsp:val=&quot;00D72199&quot;/&gt;&lt;wsp:rsid wsp:val=&quot;00D72232&quot;/&gt;&lt;wsp:rsid wsp:val=&quot;00D722CF&quot;/&gt;&lt;wsp:rsid wsp:val=&quot;00D725DB&quot;/&gt;&lt;wsp:rsid wsp:val=&quot;00D72C5F&quot;/&gt;&lt;wsp:rsid wsp:val=&quot;00D72DA4&quot;/&gt;&lt;wsp:rsid wsp:val=&quot;00D732EE&quot;/&gt;&lt;wsp:rsid wsp:val=&quot;00D73338&quot;/&gt;&lt;wsp:rsid wsp:val=&quot;00D73348&quot;/&gt;&lt;wsp:rsid wsp:val=&quot;00D73FD6&quot;/&gt;&lt;wsp:rsid wsp:val=&quot;00D74262&quot;/&gt;&lt;wsp:rsid wsp:val=&quot;00D7433C&quot;/&gt;&lt;wsp:rsid wsp:val=&quot;00D74575&quot;/&gt;&lt;wsp:rsid wsp:val=&quot;00D7465E&quot;/&gt;&lt;wsp:rsid wsp:val=&quot;00D74A56&quot;/&gt;&lt;wsp:rsid wsp:val=&quot;00D74D31&quot;/&gt;&lt;wsp:rsid wsp:val=&quot;00D74D6F&quot;/&gt;&lt;wsp:rsid wsp:val=&quot;00D74EF6&quot;/&gt;&lt;wsp:rsid wsp:val=&quot;00D74F07&quot;/&gt;&lt;wsp:rsid wsp:val=&quot;00D74F9C&quot;/&gt;&lt;wsp:rsid wsp:val=&quot;00D75012&quot;/&gt;&lt;wsp:rsid wsp:val=&quot;00D75773&quot;/&gt;&lt;wsp:rsid wsp:val=&quot;00D760A9&quot;/&gt;&lt;wsp:rsid wsp:val=&quot;00D760CF&quot;/&gt;&lt;wsp:rsid wsp:val=&quot;00D763C6&quot;/&gt;&lt;wsp:rsid wsp:val=&quot;00D76440&quot;/&gt;&lt;wsp:rsid wsp:val=&quot;00D76731&quot;/&gt;&lt;wsp:rsid wsp:val=&quot;00D7695D&quot;/&gt;&lt;wsp:rsid wsp:val=&quot;00D77746&quot;/&gt;&lt;wsp:rsid wsp:val=&quot;00D778C2&quot;/&gt;&lt;wsp:rsid wsp:val=&quot;00D77CA3&quot;/&gt;&lt;wsp:rsid wsp:val=&quot;00D8038B&quot;/&gt;&lt;wsp:rsid wsp:val=&quot;00D803E5&quot;/&gt;&lt;wsp:rsid wsp:val=&quot;00D80BA3&quot;/&gt;&lt;wsp:rsid wsp:val=&quot;00D80E47&quot;/&gt;&lt;wsp:rsid wsp:val=&quot;00D813D1&quot;/&gt;&lt;wsp:rsid wsp:val=&quot;00D81428&quot;/&gt;&lt;wsp:rsid wsp:val=&quot;00D818D9&quot;/&gt;&lt;wsp:rsid wsp:val=&quot;00D81B53&quot;/&gt;&lt;wsp:rsid wsp:val=&quot;00D81D91&quot;/&gt;&lt;wsp:rsid wsp:val=&quot;00D81E8A&quot;/&gt;&lt;wsp:rsid wsp:val=&quot;00D82675&quot;/&gt;&lt;wsp:rsid wsp:val=&quot;00D8270A&quot;/&gt;&lt;wsp:rsid wsp:val=&quot;00D82A8E&quot;/&gt;&lt;wsp:rsid wsp:val=&quot;00D82DF1&quot;/&gt;&lt;wsp:rsid wsp:val=&quot;00D82EF5&quot;/&gt;&lt;wsp:rsid wsp:val=&quot;00D831D9&quot;/&gt;&lt;wsp:rsid wsp:val=&quot;00D83235&quot;/&gt;&lt;wsp:rsid wsp:val=&quot;00D8393F&quot;/&gt;&lt;wsp:rsid wsp:val=&quot;00D840E6&quot;/&gt;&lt;wsp:rsid wsp:val=&quot;00D8429C&quot;/&gt;&lt;wsp:rsid wsp:val=&quot;00D842D4&quot;/&gt;&lt;wsp:rsid wsp:val=&quot;00D84621&quot;/&gt;&lt;wsp:rsid wsp:val=&quot;00D8462B&quot;/&gt;&lt;wsp:rsid wsp:val=&quot;00D84941&quot;/&gt;&lt;wsp:rsid wsp:val=&quot;00D8521F&quot;/&gt;&lt;wsp:rsid wsp:val=&quot;00D85335&quot;/&gt;&lt;wsp:rsid wsp:val=&quot;00D856EC&quot;/&gt;&lt;wsp:rsid wsp:val=&quot;00D8570C&quot;/&gt;&lt;wsp:rsid wsp:val=&quot;00D85824&quot;/&gt;&lt;wsp:rsid wsp:val=&quot;00D85C69&quot;/&gt;&lt;wsp:rsid wsp:val=&quot;00D85C72&quot;/&gt;&lt;wsp:rsid wsp:val=&quot;00D85DEB&quot;/&gt;&lt;wsp:rsid wsp:val=&quot;00D861F0&quot;/&gt;&lt;wsp:rsid wsp:val=&quot;00D86504&quot;/&gt;&lt;wsp:rsid wsp:val=&quot;00D86DFF&quot;/&gt;&lt;wsp:rsid wsp:val=&quot;00D87212&quot;/&gt;&lt;wsp:rsid wsp:val=&quot;00D87551&quot;/&gt;&lt;wsp:rsid wsp:val=&quot;00D87C1E&quot;/&gt;&lt;wsp:rsid wsp:val=&quot;00D90067&quot;/&gt;&lt;wsp:rsid wsp:val=&quot;00D903FC&quot;/&gt;&lt;wsp:rsid wsp:val=&quot;00D903FF&quot;/&gt;&lt;wsp:rsid wsp:val=&quot;00D9066D&quot;/&gt;&lt;wsp:rsid wsp:val=&quot;00D90844&quot;/&gt;&lt;wsp:rsid wsp:val=&quot;00D90C47&quot;/&gt;&lt;wsp:rsid wsp:val=&quot;00D90CDB&quot;/&gt;&lt;wsp:rsid wsp:val=&quot;00D9124E&quot;/&gt;&lt;wsp:rsid wsp:val=&quot;00D917CA&quot;/&gt;&lt;wsp:rsid wsp:val=&quot;00D918CD&quot;/&gt;&lt;wsp:rsid wsp:val=&quot;00D9196C&quot;/&gt;&lt;wsp:rsid wsp:val=&quot;00D91C21&quot;/&gt;&lt;wsp:rsid wsp:val=&quot;00D91EC6&quot;/&gt;&lt;wsp:rsid wsp:val=&quot;00D91F11&quot;/&gt;&lt;wsp:rsid wsp:val=&quot;00D91FF6&quot;/&gt;&lt;wsp:rsid wsp:val=&quot;00D922E8&quot;/&gt;&lt;wsp:rsid wsp:val=&quot;00D92491&quot;/&gt;&lt;wsp:rsid wsp:val=&quot;00D92AE3&quot;/&gt;&lt;wsp:rsid wsp:val=&quot;00D92CE4&quot;/&gt;&lt;wsp:rsid wsp:val=&quot;00D934D4&quot;/&gt;&lt;wsp:rsid wsp:val=&quot;00D935B0&quot;/&gt;&lt;wsp:rsid wsp:val=&quot;00D93895&quot;/&gt;&lt;wsp:rsid wsp:val=&quot;00D93B30&quot;/&gt;&lt;wsp:rsid wsp:val=&quot;00D93EE5&quot;/&gt;&lt;wsp:rsid wsp:val=&quot;00D9400B&quot;/&gt;&lt;wsp:rsid wsp:val=&quot;00D94351&quot;/&gt;&lt;wsp:rsid wsp:val=&quot;00D9436E&quot;/&gt;&lt;wsp:rsid wsp:val=&quot;00D9442C&quot;/&gt;&lt;wsp:rsid wsp:val=&quot;00D94635&quot;/&gt;&lt;wsp:rsid wsp:val=&quot;00D95228&quot;/&gt;&lt;wsp:rsid wsp:val=&quot;00D957C3&quot;/&gt;&lt;wsp:rsid wsp:val=&quot;00D95AF4&quot;/&gt;&lt;wsp:rsid wsp:val=&quot;00D95CB7&quot;/&gt;&lt;wsp:rsid wsp:val=&quot;00D96247&quot;/&gt;&lt;wsp:rsid wsp:val=&quot;00D9632F&quot;/&gt;&lt;wsp:rsid wsp:val=&quot;00D9690E&quot;/&gt;&lt;wsp:rsid wsp:val=&quot;00D97DC7&quot;/&gt;&lt;wsp:rsid wsp:val=&quot;00D97EE3&quot;/&gt;&lt;wsp:rsid wsp:val=&quot;00DA00AE&quot;/&gt;&lt;wsp:rsid wsp:val=&quot;00DA0108&quot;/&gt;&lt;wsp:rsid wsp:val=&quot;00DA01C4&quot;/&gt;&lt;wsp:rsid wsp:val=&quot;00DA0DD0&quot;/&gt;&lt;wsp:rsid wsp:val=&quot;00DA1876&quot;/&gt;&lt;wsp:rsid wsp:val=&quot;00DA1992&quot;/&gt;&lt;wsp:rsid wsp:val=&quot;00DA1A61&quot;/&gt;&lt;wsp:rsid wsp:val=&quot;00DA1BBD&quot;/&gt;&lt;wsp:rsid wsp:val=&quot;00DA27FD&quot;/&gt;&lt;wsp:rsid wsp:val=&quot;00DA281D&quot;/&gt;&lt;wsp:rsid wsp:val=&quot;00DA2B3F&quot;/&gt;&lt;wsp:rsid wsp:val=&quot;00DA2D48&quot;/&gt;&lt;wsp:rsid wsp:val=&quot;00DA31D6&quot;/&gt;&lt;wsp:rsid wsp:val=&quot;00DA32ED&quot;/&gt;&lt;wsp:rsid wsp:val=&quot;00DA355F&quot;/&gt;&lt;wsp:rsid wsp:val=&quot;00DA3637&quot;/&gt;&lt;wsp:rsid wsp:val=&quot;00DA3DE0&quot;/&gt;&lt;wsp:rsid wsp:val=&quot;00DA452D&quot;/&gt;&lt;wsp:rsid wsp:val=&quot;00DA4785&quot;/&gt;&lt;wsp:rsid wsp:val=&quot;00DA47F3&quot;/&gt;&lt;wsp:rsid wsp:val=&quot;00DA48A9&quot;/&gt;&lt;wsp:rsid wsp:val=&quot;00DA4AAB&quot;/&gt;&lt;wsp:rsid wsp:val=&quot;00DA4BE1&quot;/&gt;&lt;wsp:rsid wsp:val=&quot;00DA4C15&quot;/&gt;&lt;wsp:rsid wsp:val=&quot;00DA4CE7&quot;/&gt;&lt;wsp:rsid wsp:val=&quot;00DA4E26&quot;/&gt;&lt;wsp:rsid wsp:val=&quot;00DA4EDE&quot;/&gt;&lt;wsp:rsid wsp:val=&quot;00DA549C&quot;/&gt;&lt;wsp:rsid wsp:val=&quot;00DA54CD&quot;/&gt;&lt;wsp:rsid wsp:val=&quot;00DA571E&quot;/&gt;&lt;wsp:rsid wsp:val=&quot;00DA5943&quot;/&gt;&lt;wsp:rsid wsp:val=&quot;00DA5F1F&quot;/&gt;&lt;wsp:rsid wsp:val=&quot;00DA61F5&quot;/&gt;&lt;wsp:rsid wsp:val=&quot;00DA6232&quot;/&gt;&lt;wsp:rsid wsp:val=&quot;00DA65B2&quot;/&gt;&lt;wsp:rsid wsp:val=&quot;00DA662D&quot;/&gt;&lt;wsp:rsid wsp:val=&quot;00DA6ABD&quot;/&gt;&lt;wsp:rsid wsp:val=&quot;00DA6E57&quot;/&gt;&lt;wsp:rsid wsp:val=&quot;00DA7056&quot;/&gt;&lt;wsp:rsid wsp:val=&quot;00DA7340&quot;/&gt;&lt;wsp:rsid wsp:val=&quot;00DA7BA4&quot;/&gt;&lt;wsp:rsid wsp:val=&quot;00DA7E61&quot;/&gt;&lt;wsp:rsid wsp:val=&quot;00DA7FCB&quot;/&gt;&lt;wsp:rsid wsp:val=&quot;00DB01DB&quot;/&gt;&lt;wsp:rsid wsp:val=&quot;00DB09AB&quot;/&gt;&lt;wsp:rsid wsp:val=&quot;00DB0A6B&quot;/&gt;&lt;wsp:rsid wsp:val=&quot;00DB0C61&quot;/&gt;&lt;wsp:rsid wsp:val=&quot;00DB0FD0&quot;/&gt;&lt;wsp:rsid wsp:val=&quot;00DB111F&quot;/&gt;&lt;wsp:rsid wsp:val=&quot;00DB1156&quot;/&gt;&lt;wsp:rsid wsp:val=&quot;00DB1ADE&quot;/&gt;&lt;wsp:rsid wsp:val=&quot;00DB21F9&quot;/&gt;&lt;wsp:rsid wsp:val=&quot;00DB23E1&quot;/&gt;&lt;wsp:rsid wsp:val=&quot;00DB242E&quot;/&gt;&lt;wsp:rsid wsp:val=&quot;00DB247B&quot;/&gt;&lt;wsp:rsid wsp:val=&quot;00DB2500&quot;/&gt;&lt;wsp:rsid wsp:val=&quot;00DB25F7&quot;/&gt;&lt;wsp:rsid wsp:val=&quot;00DB2745&quot;/&gt;&lt;wsp:rsid wsp:val=&quot;00DB2810&quot;/&gt;&lt;wsp:rsid wsp:val=&quot;00DB296C&quot;/&gt;&lt;wsp:rsid wsp:val=&quot;00DB2979&quot;/&gt;&lt;wsp:rsid wsp:val=&quot;00DB29FA&quot;/&gt;&lt;wsp:rsid wsp:val=&quot;00DB2B88&quot;/&gt;&lt;wsp:rsid wsp:val=&quot;00DB2C50&quot;/&gt;&lt;wsp:rsid wsp:val=&quot;00DB32C4&quot;/&gt;&lt;wsp:rsid wsp:val=&quot;00DB3873&quot;/&gt;&lt;wsp:rsid wsp:val=&quot;00DB38FF&quot;/&gt;&lt;wsp:rsid wsp:val=&quot;00DB3F39&quot;/&gt;&lt;wsp:rsid wsp:val=&quot;00DB3FF4&quot;/&gt;&lt;wsp:rsid wsp:val=&quot;00DB4EA6&quot;/&gt;&lt;wsp:rsid wsp:val=&quot;00DB51A7&quot;/&gt;&lt;wsp:rsid wsp:val=&quot;00DB5222&quot;/&gt;&lt;wsp:rsid wsp:val=&quot;00DB5A41&quot;/&gt;&lt;wsp:rsid wsp:val=&quot;00DB5DD7&quot;/&gt;&lt;wsp:rsid wsp:val=&quot;00DB64EB&quot;/&gt;&lt;wsp:rsid wsp:val=&quot;00DB6A15&quot;/&gt;&lt;wsp:rsid wsp:val=&quot;00DB6C7B&quot;/&gt;&lt;wsp:rsid wsp:val=&quot;00DB71FD&quot;/&gt;&lt;wsp:rsid wsp:val=&quot;00DB756B&quot;/&gt;&lt;wsp:rsid wsp:val=&quot;00DB7684&quot;/&gt;&lt;wsp:rsid wsp:val=&quot;00DB7D5B&quot;/&gt;&lt;wsp:rsid wsp:val=&quot;00DB7F4C&quot;/&gt;&lt;wsp:rsid wsp:val=&quot;00DC037E&quot;/&gt;&lt;wsp:rsid wsp:val=&quot;00DC0828&quot;/&gt;&lt;wsp:rsid wsp:val=&quot;00DC085B&quot;/&gt;&lt;wsp:rsid wsp:val=&quot;00DC08CF&quot;/&gt;&lt;wsp:rsid wsp:val=&quot;00DC0984&quot;/&gt;&lt;wsp:rsid wsp:val=&quot;00DC0EC9&quot;/&gt;&lt;wsp:rsid wsp:val=&quot;00DC0ECC&quot;/&gt;&lt;wsp:rsid wsp:val=&quot;00DC141E&quot;/&gt;&lt;wsp:rsid wsp:val=&quot;00DC15EC&quot;/&gt;&lt;wsp:rsid wsp:val=&quot;00DC1957&quot;/&gt;&lt;wsp:rsid wsp:val=&quot;00DC1CFE&quot;/&gt;&lt;wsp:rsid wsp:val=&quot;00DC21D5&quot;/&gt;&lt;wsp:rsid wsp:val=&quot;00DC27DA&quot;/&gt;&lt;wsp:rsid wsp:val=&quot;00DC2C4C&quot;/&gt;&lt;wsp:rsid wsp:val=&quot;00DC2EE7&quot;/&gt;&lt;wsp:rsid wsp:val=&quot;00DC3280&quot;/&gt;&lt;wsp:rsid wsp:val=&quot;00DC3341&quot;/&gt;&lt;wsp:rsid wsp:val=&quot;00DC339F&quot;/&gt;&lt;wsp:rsid wsp:val=&quot;00DC33AB&quot;/&gt;&lt;wsp:rsid wsp:val=&quot;00DC3481&quot;/&gt;&lt;wsp:rsid wsp:val=&quot;00DC38A8&quot;/&gt;&lt;wsp:rsid wsp:val=&quot;00DC38BC&quot;/&gt;&lt;wsp:rsid wsp:val=&quot;00DC3992&quot;/&gt;&lt;wsp:rsid wsp:val=&quot;00DC3E04&quot;/&gt;&lt;wsp:rsid wsp:val=&quot;00DC402E&quot;/&gt;&lt;wsp:rsid wsp:val=&quot;00DC4284&quot;/&gt;&lt;wsp:rsid wsp:val=&quot;00DC4376&quot;/&gt;&lt;wsp:rsid wsp:val=&quot;00DC50F1&quot;/&gt;&lt;wsp:rsid wsp:val=&quot;00DC520C&quot;/&gt;&lt;wsp:rsid wsp:val=&quot;00DC535D&quot;/&gt;&lt;wsp:rsid wsp:val=&quot;00DC5445&quot;/&gt;&lt;wsp:rsid wsp:val=&quot;00DC562B&quot;/&gt;&lt;wsp:rsid wsp:val=&quot;00DC5FEC&quot;/&gt;&lt;wsp:rsid wsp:val=&quot;00DC6606&quot;/&gt;&lt;wsp:rsid wsp:val=&quot;00DC673D&quot;/&gt;&lt;wsp:rsid wsp:val=&quot;00DC67C7&quot;/&gt;&lt;wsp:rsid wsp:val=&quot;00DC69E6&quot;/&gt;&lt;wsp:rsid wsp:val=&quot;00DC6EDE&quot;/&gt;&lt;wsp:rsid wsp:val=&quot;00DC6F21&quot;/&gt;&lt;wsp:rsid wsp:val=&quot;00DC741A&quot;/&gt;&lt;wsp:rsid wsp:val=&quot;00DC751E&quot;/&gt;&lt;wsp:rsid wsp:val=&quot;00DC7B73&quot;/&gt;&lt;wsp:rsid wsp:val=&quot;00DC7C4E&quot;/&gt;&lt;wsp:rsid wsp:val=&quot;00DC7E15&quot;/&gt;&lt;wsp:rsid wsp:val=&quot;00DC7E27&quot;/&gt;&lt;wsp:rsid wsp:val=&quot;00DD01DC&quot;/&gt;&lt;wsp:rsid wsp:val=&quot;00DD042E&quot;/&gt;&lt;wsp:rsid wsp:val=&quot;00DD0A18&quot;/&gt;&lt;wsp:rsid wsp:val=&quot;00DD0A2F&quot;/&gt;&lt;wsp:rsid wsp:val=&quot;00DD0B4F&quot;/&gt;&lt;wsp:rsid wsp:val=&quot;00DD0C8C&quot;/&gt;&lt;wsp:rsid wsp:val=&quot;00DD109B&quot;/&gt;&lt;wsp:rsid wsp:val=&quot;00DD16ED&quot;/&gt;&lt;wsp:rsid wsp:val=&quot;00DD17BD&quot;/&gt;&lt;wsp:rsid wsp:val=&quot;00DD1B72&quot;/&gt;&lt;wsp:rsid wsp:val=&quot;00DD1D1C&quot;/&gt;&lt;wsp:rsid wsp:val=&quot;00DD237A&quot;/&gt;&lt;wsp:rsid wsp:val=&quot;00DD397C&quot;/&gt;&lt;wsp:rsid wsp:val=&quot;00DD3CEA&quot;/&gt;&lt;wsp:rsid wsp:val=&quot;00DD4838&quot;/&gt;&lt;wsp:rsid wsp:val=&quot;00DD4C81&quot;/&gt;&lt;wsp:rsid wsp:val=&quot;00DD54F2&quot;/&gt;&lt;wsp:rsid wsp:val=&quot;00DD55B0&quot;/&gt;&lt;wsp:rsid wsp:val=&quot;00DD68AB&quot;/&gt;&lt;wsp:rsid wsp:val=&quot;00DD69F4&quot;/&gt;&lt;wsp:rsid wsp:val=&quot;00DD7431&quot;/&gt;&lt;wsp:rsid wsp:val=&quot;00DD760A&quot;/&gt;&lt;wsp:rsid wsp:val=&quot;00DD7A76&quot;/&gt;&lt;wsp:rsid wsp:val=&quot;00DD7BC2&quot;/&gt;&lt;wsp:rsid wsp:val=&quot;00DD7E50&quot;/&gt;&lt;wsp:rsid wsp:val=&quot;00DE032C&quot;/&gt;&lt;wsp:rsid wsp:val=&quot;00DE0474&quot;/&gt;&lt;wsp:rsid wsp:val=&quot;00DE0727&quot;/&gt;&lt;wsp:rsid wsp:val=&quot;00DE0A01&quot;/&gt;&lt;wsp:rsid wsp:val=&quot;00DE0F9E&quot;/&gt;&lt;wsp:rsid wsp:val=&quot;00DE0FA7&quot;/&gt;&lt;wsp:rsid wsp:val=&quot;00DE1511&quot;/&gt;&lt;wsp:rsid wsp:val=&quot;00DE1522&quot;/&gt;&lt;wsp:rsid wsp:val=&quot;00DE1AC8&quot;/&gt;&lt;wsp:rsid wsp:val=&quot;00DE1F3F&quot;/&gt;&lt;wsp:rsid wsp:val=&quot;00DE2077&quot;/&gt;&lt;wsp:rsid wsp:val=&quot;00DE257A&quot;/&gt;&lt;wsp:rsid wsp:val=&quot;00DE287C&quot;/&gt;&lt;wsp:rsid wsp:val=&quot;00DE31E6&quot;/&gt;&lt;wsp:rsid wsp:val=&quot;00DE3718&quot;/&gt;&lt;wsp:rsid wsp:val=&quot;00DE38C1&quot;/&gt;&lt;wsp:rsid wsp:val=&quot;00DE3990&quot;/&gt;&lt;wsp:rsid wsp:val=&quot;00DE3D4C&quot;/&gt;&lt;wsp:rsid wsp:val=&quot;00DE3F61&quot;/&gt;&lt;wsp:rsid wsp:val=&quot;00DE4264&quot;/&gt;&lt;wsp:rsid wsp:val=&quot;00DE473A&quot;/&gt;&lt;wsp:rsid wsp:val=&quot;00DE47DB&quot;/&gt;&lt;wsp:rsid wsp:val=&quot;00DE4B48&quot;/&gt;&lt;wsp:rsid wsp:val=&quot;00DE4BD2&quot;/&gt;&lt;wsp:rsid wsp:val=&quot;00DE4C60&quot;/&gt;&lt;wsp:rsid wsp:val=&quot;00DE4E7A&quot;/&gt;&lt;wsp:rsid wsp:val=&quot;00DE585A&quot;/&gt;&lt;wsp:rsid wsp:val=&quot;00DE6784&quot;/&gt;&lt;wsp:rsid wsp:val=&quot;00DE6861&quot;/&gt;&lt;wsp:rsid wsp:val=&quot;00DE6C98&quot;/&gt;&lt;wsp:rsid wsp:val=&quot;00DE6F68&quot;/&gt;&lt;wsp:rsid wsp:val=&quot;00DE7C17&quot;/&gt;&lt;wsp:rsid wsp:val=&quot;00DE7CE1&quot;/&gt;&lt;wsp:rsid wsp:val=&quot;00DF02B9&quot;/&gt;&lt;wsp:rsid wsp:val=&quot;00DF043D&quot;/&gt;&lt;wsp:rsid wsp:val=&quot;00DF04F9&quot;/&gt;&lt;wsp:rsid wsp:val=&quot;00DF05F2&quot;/&gt;&lt;wsp:rsid wsp:val=&quot;00DF0C83&quot;/&gt;&lt;wsp:rsid wsp:val=&quot;00DF122E&quot;/&gt;&lt;wsp:rsid wsp:val=&quot;00DF1835&quot;/&gt;&lt;wsp:rsid wsp:val=&quot;00DF1838&quot;/&gt;&lt;wsp:rsid wsp:val=&quot;00DF1BB2&quot;/&gt;&lt;wsp:rsid wsp:val=&quot;00DF1CC0&quot;/&gt;&lt;wsp:rsid wsp:val=&quot;00DF2033&quot;/&gt;&lt;wsp:rsid wsp:val=&quot;00DF22C7&quot;/&gt;&lt;wsp:rsid wsp:val=&quot;00DF2408&quot;/&gt;&lt;wsp:rsid wsp:val=&quot;00DF281A&quot;/&gt;&lt;wsp:rsid wsp:val=&quot;00DF2B2A&quot;/&gt;&lt;wsp:rsid wsp:val=&quot;00DF2B65&quot;/&gt;&lt;wsp:rsid wsp:val=&quot;00DF324D&quot;/&gt;&lt;wsp:rsid wsp:val=&quot;00DF34E6&quot;/&gt;&lt;wsp:rsid wsp:val=&quot;00DF3C68&quot;/&gt;&lt;wsp:rsid wsp:val=&quot;00DF4AAE&quot;/&gt;&lt;wsp:rsid wsp:val=&quot;00DF4BE1&quot;/&gt;&lt;wsp:rsid wsp:val=&quot;00DF4DC9&quot;/&gt;&lt;wsp:rsid wsp:val=&quot;00DF4E74&quot;/&gt;&lt;wsp:rsid wsp:val=&quot;00DF54DF&quot;/&gt;&lt;wsp:rsid wsp:val=&quot;00DF55D6&quot;/&gt;&lt;wsp:rsid wsp:val=&quot;00DF5623&quot;/&gt;&lt;wsp:rsid wsp:val=&quot;00DF5F78&quot;/&gt;&lt;wsp:rsid wsp:val=&quot;00DF5FC0&quot;/&gt;&lt;wsp:rsid wsp:val=&quot;00DF6021&quot;/&gt;&lt;wsp:rsid wsp:val=&quot;00DF6457&quot;/&gt;&lt;wsp:rsid wsp:val=&quot;00DF64F5&quot;/&gt;&lt;wsp:rsid wsp:val=&quot;00DF6B13&quot;/&gt;&lt;wsp:rsid wsp:val=&quot;00DF737B&quot;/&gt;&lt;wsp:rsid wsp:val=&quot;00DF7C16&quot;/&gt;&lt;wsp:rsid wsp:val=&quot;00E00185&quot;/&gt;&lt;wsp:rsid wsp:val=&quot;00E0093C&quot;/&gt;&lt;wsp:rsid wsp:val=&quot;00E01018&quot;/&gt;&lt;wsp:rsid wsp:val=&quot;00E01634&quot;/&gt;&lt;wsp:rsid wsp:val=&quot;00E01C55&quot;/&gt;&lt;wsp:rsid wsp:val=&quot;00E01D5B&quot;/&gt;&lt;wsp:rsid wsp:val=&quot;00E01DC2&quot;/&gt;&lt;wsp:rsid wsp:val=&quot;00E021CD&quot;/&gt;&lt;wsp:rsid wsp:val=&quot;00E02227&quot;/&gt;&lt;wsp:rsid wsp:val=&quot;00E027BD&quot;/&gt;&lt;wsp:rsid wsp:val=&quot;00E02C60&quot;/&gt;&lt;wsp:rsid wsp:val=&quot;00E02EF2&quot;/&gt;&lt;wsp:rsid wsp:val=&quot;00E02FCD&quot;/&gt;&lt;wsp:rsid wsp:val=&quot;00E03172&quot;/&gt;&lt;wsp:rsid wsp:val=&quot;00E0321A&quot;/&gt;&lt;wsp:rsid wsp:val=&quot;00E03563&quot;/&gt;&lt;wsp:rsid wsp:val=&quot;00E037E5&quot;/&gt;&lt;wsp:rsid wsp:val=&quot;00E0384A&quot;/&gt;&lt;wsp:rsid wsp:val=&quot;00E0397E&quot;/&gt;&lt;wsp:rsid wsp:val=&quot;00E03CB0&quot;/&gt;&lt;wsp:rsid wsp:val=&quot;00E043AD&quot;/&gt;&lt;wsp:rsid wsp:val=&quot;00E0468B&quot;/&gt;&lt;wsp:rsid wsp:val=&quot;00E04764&quot;/&gt;&lt;wsp:rsid wsp:val=&quot;00E04C8A&quot;/&gt;&lt;wsp:rsid wsp:val=&quot;00E0514D&quot;/&gt;&lt;wsp:rsid wsp:val=&quot;00E0525B&quot;/&gt;&lt;wsp:rsid wsp:val=&quot;00E0547E&quot;/&gt;&lt;wsp:rsid wsp:val=&quot;00E0548D&quot;/&gt;&lt;wsp:rsid wsp:val=&quot;00E0589C&quot;/&gt;&lt;wsp:rsid wsp:val=&quot;00E05B76&quot;/&gt;&lt;wsp:rsid wsp:val=&quot;00E05E36&quot;/&gt;&lt;wsp:rsid wsp:val=&quot;00E06078&quot;/&gt;&lt;wsp:rsid wsp:val=&quot;00E06183&quot;/&gt;&lt;wsp:rsid wsp:val=&quot;00E06199&quot;/&gt;&lt;wsp:rsid wsp:val=&quot;00E064A1&quot;/&gt;&lt;wsp:rsid wsp:val=&quot;00E064D5&quot;/&gt;&lt;wsp:rsid wsp:val=&quot;00E068E7&quot;/&gt;&lt;wsp:rsid wsp:val=&quot;00E06D23&quot;/&gt;&lt;wsp:rsid wsp:val=&quot;00E07323&quot;/&gt;&lt;wsp:rsid wsp:val=&quot;00E07CED&quot;/&gt;&lt;wsp:rsid wsp:val=&quot;00E10057&quot;/&gt;&lt;wsp:rsid wsp:val=&quot;00E1009B&quot;/&gt;&lt;wsp:rsid wsp:val=&quot;00E10270&quot;/&gt;&lt;wsp:rsid wsp:val=&quot;00E10421&quot;/&gt;&lt;wsp:rsid wsp:val=&quot;00E104FF&quot;/&gt;&lt;wsp:rsid wsp:val=&quot;00E10748&quot;/&gt;&lt;wsp:rsid wsp:val=&quot;00E10E90&quot;/&gt;&lt;wsp:rsid wsp:val=&quot;00E10F69&quot;/&gt;&lt;wsp:rsid wsp:val=&quot;00E1107E&quot;/&gt;&lt;wsp:rsid wsp:val=&quot;00E111E0&quot;/&gt;&lt;wsp:rsid wsp:val=&quot;00E11503&quot;/&gt;&lt;wsp:rsid wsp:val=&quot;00E1151C&quot;/&gt;&lt;wsp:rsid wsp:val=&quot;00E11848&quot;/&gt;&lt;wsp:rsid wsp:val=&quot;00E11B3A&quot;/&gt;&lt;wsp:rsid wsp:val=&quot;00E11E52&quot;/&gt;&lt;wsp:rsid wsp:val=&quot;00E11F1C&quot;/&gt;&lt;wsp:rsid wsp:val=&quot;00E123DD&quot;/&gt;&lt;wsp:rsid wsp:val=&quot;00E126D5&quot;/&gt;&lt;wsp:rsid wsp:val=&quot;00E12E70&quot;/&gt;&lt;wsp:rsid wsp:val=&quot;00E1397B&quot;/&gt;&lt;wsp:rsid wsp:val=&quot;00E13F67&quot;/&gt;&lt;wsp:rsid wsp:val=&quot;00E14087&quot;/&gt;&lt;wsp:rsid wsp:val=&quot;00E140B5&quot;/&gt;&lt;wsp:rsid wsp:val=&quot;00E1418D&quot;/&gt;&lt;wsp:rsid wsp:val=&quot;00E1423A&quot;/&gt;&lt;wsp:rsid wsp:val=&quot;00E1461B&quot;/&gt;&lt;wsp:rsid wsp:val=&quot;00E14BC2&quot;/&gt;&lt;wsp:rsid wsp:val=&quot;00E14C96&quot;/&gt;&lt;wsp:rsid wsp:val=&quot;00E1560A&quot;/&gt;&lt;wsp:rsid wsp:val=&quot;00E1567C&quot;/&gt;&lt;wsp:rsid wsp:val=&quot;00E15869&quot;/&gt;&lt;wsp:rsid wsp:val=&quot;00E1609B&quot;/&gt;&lt;wsp:rsid wsp:val=&quot;00E166C2&quot;/&gt;&lt;wsp:rsid wsp:val=&quot;00E1675A&quot;/&gt;&lt;wsp:rsid wsp:val=&quot;00E167F9&quot;/&gt;&lt;wsp:rsid wsp:val=&quot;00E168A2&quot;/&gt;&lt;wsp:rsid wsp:val=&quot;00E16ADA&quot;/&gt;&lt;wsp:rsid wsp:val=&quot;00E16E47&quot;/&gt;&lt;wsp:rsid wsp:val=&quot;00E2023E&quot;/&gt;&lt;wsp:rsid wsp:val=&quot;00E20289&quot;/&gt;&lt;wsp:rsid wsp:val=&quot;00E20441&quot;/&gt;&lt;wsp:rsid wsp:val=&quot;00E204BF&quot;/&gt;&lt;wsp:rsid wsp:val=&quot;00E20548&quot;/&gt;&lt;wsp:rsid wsp:val=&quot;00E20830&quot;/&gt;&lt;wsp:rsid wsp:val=&quot;00E20A15&quot;/&gt;&lt;wsp:rsid wsp:val=&quot;00E20A70&quot;/&gt;&lt;wsp:rsid wsp:val=&quot;00E20B01&quot;/&gt;&lt;wsp:rsid wsp:val=&quot;00E20E29&quot;/&gt;&lt;wsp:rsid wsp:val=&quot;00E212C2&quot;/&gt;&lt;wsp:rsid wsp:val=&quot;00E21687&quot;/&gt;&lt;wsp:rsid wsp:val=&quot;00E21A4E&quot;/&gt;&lt;wsp:rsid wsp:val=&quot;00E21CCC&quot;/&gt;&lt;wsp:rsid wsp:val=&quot;00E21F08&quot;/&gt;&lt;wsp:rsid wsp:val=&quot;00E22182&quot;/&gt;&lt;wsp:rsid wsp:val=&quot;00E221B8&quot;/&gt;&lt;wsp:rsid wsp:val=&quot;00E227E9&quot;/&gt;&lt;wsp:rsid wsp:val=&quot;00E2290E&quot;/&gt;&lt;wsp:rsid wsp:val=&quot;00E22C48&quot;/&gt;&lt;wsp:rsid wsp:val=&quot;00E22F19&quot;/&gt;&lt;wsp:rsid wsp:val=&quot;00E23299&quot;/&gt;&lt;wsp:rsid wsp:val=&quot;00E237B6&quot;/&gt;&lt;wsp:rsid wsp:val=&quot;00E238DE&quot;/&gt;&lt;wsp:rsid wsp:val=&quot;00E23CC0&quot;/&gt;&lt;wsp:rsid wsp:val=&quot;00E24A62&quot;/&gt;&lt;wsp:rsid wsp:val=&quot;00E24B9B&quot;/&gt;&lt;wsp:rsid wsp:val=&quot;00E24BEA&quot;/&gt;&lt;wsp:rsid wsp:val=&quot;00E24E54&quot;/&gt;&lt;wsp:rsid wsp:val=&quot;00E24EDA&quot;/&gt;&lt;wsp:rsid wsp:val=&quot;00E25072&quot;/&gt;&lt;wsp:rsid wsp:val=&quot;00E25593&quot;/&gt;&lt;wsp:rsid wsp:val=&quot;00E25888&quot;/&gt;&lt;wsp:rsid wsp:val=&quot;00E25E6C&quot;/&gt;&lt;wsp:rsid wsp:val=&quot;00E25E82&quot;/&gt;&lt;wsp:rsid wsp:val=&quot;00E25EB6&quot;/&gt;&lt;wsp:rsid wsp:val=&quot;00E25FFA&quot;/&gt;&lt;wsp:rsid wsp:val=&quot;00E26226&quot;/&gt;&lt;wsp:rsid wsp:val=&quot;00E264E6&quot;/&gt;&lt;wsp:rsid wsp:val=&quot;00E26C3F&quot;/&gt;&lt;wsp:rsid wsp:val=&quot;00E2702B&quot;/&gt;&lt;wsp:rsid wsp:val=&quot;00E271D3&quot;/&gt;&lt;wsp:rsid wsp:val=&quot;00E27479&quot;/&gt;&lt;wsp:rsid wsp:val=&quot;00E30596&quot;/&gt;&lt;wsp:rsid wsp:val=&quot;00E306C3&quot;/&gt;&lt;wsp:rsid wsp:val=&quot;00E307C6&quot;/&gt;&lt;wsp:rsid wsp:val=&quot;00E30AFB&quot;/&gt;&lt;wsp:rsid wsp:val=&quot;00E30BAF&quot;/&gt;&lt;wsp:rsid wsp:val=&quot;00E31856&quot;/&gt;&lt;wsp:rsid wsp:val=&quot;00E31C9C&quot;/&gt;&lt;wsp:rsid wsp:val=&quot;00E31F8E&quot;/&gt;&lt;wsp:rsid wsp:val=&quot;00E3221D&quot;/&gt;&lt;wsp:rsid wsp:val=&quot;00E326FD&quot;/&gt;&lt;wsp:rsid wsp:val=&quot;00E32CF9&quot;/&gt;&lt;wsp:rsid wsp:val=&quot;00E32FF4&quot;/&gt;&lt;wsp:rsid wsp:val=&quot;00E33143&quot;/&gt;&lt;wsp:rsid wsp:val=&quot;00E33356&quot;/&gt;&lt;wsp:rsid wsp:val=&quot;00E3397C&quot;/&gt;&lt;wsp:rsid wsp:val=&quot;00E33D42&quot;/&gt;&lt;wsp:rsid wsp:val=&quot;00E343CE&quot;/&gt;&lt;wsp:rsid wsp:val=&quot;00E344DA&quot;/&gt;&lt;wsp:rsid wsp:val=&quot;00E3491A&quot;/&gt;&lt;wsp:rsid wsp:val=&quot;00E349B8&quot;/&gt;&lt;wsp:rsid wsp:val=&quot;00E34CA7&quot;/&gt;&lt;wsp:rsid wsp:val=&quot;00E352F7&quot;/&gt;&lt;wsp:rsid wsp:val=&quot;00E353D9&quot;/&gt;&lt;wsp:rsid wsp:val=&quot;00E35D66&quot;/&gt;&lt;wsp:rsid wsp:val=&quot;00E35E4B&quot;/&gt;&lt;wsp:rsid wsp:val=&quot;00E360FF&quot;/&gt;&lt;wsp:rsid wsp:val=&quot;00E3611C&quot;/&gt;&lt;wsp:rsid wsp:val=&quot;00E36230&quot;/&gt;&lt;wsp:rsid wsp:val=&quot;00E3631E&quot;/&gt;&lt;wsp:rsid wsp:val=&quot;00E368E4&quot;/&gt;&lt;wsp:rsid wsp:val=&quot;00E36976&quot;/&gt;&lt;wsp:rsid wsp:val=&quot;00E36BAA&quot;/&gt;&lt;wsp:rsid wsp:val=&quot;00E36CFB&quot;/&gt;&lt;wsp:rsid wsp:val=&quot;00E36D5C&quot;/&gt;&lt;wsp:rsid wsp:val=&quot;00E3715C&quot;/&gt;&lt;wsp:rsid wsp:val=&quot;00E37189&quot;/&gt;&lt;wsp:rsid wsp:val=&quot;00E371DE&quot;/&gt;&lt;wsp:rsid wsp:val=&quot;00E375F3&quot;/&gt;&lt;wsp:rsid wsp:val=&quot;00E376AB&quot;/&gt;&lt;wsp:rsid wsp:val=&quot;00E379D1&quot;/&gt;&lt;wsp:rsid wsp:val=&quot;00E37EC0&quot;/&gt;&lt;wsp:rsid wsp:val=&quot;00E408A8&quot;/&gt;&lt;wsp:rsid wsp:val=&quot;00E40E8C&quot;/&gt;&lt;wsp:rsid wsp:val=&quot;00E41B1C&quot;/&gt;&lt;wsp:rsid wsp:val=&quot;00E41C61&quot;/&gt;&lt;wsp:rsid wsp:val=&quot;00E41C86&quot;/&gt;&lt;wsp:rsid wsp:val=&quot;00E42244&quot;/&gt;&lt;wsp:rsid wsp:val=&quot;00E4230D&quot;/&gt;&lt;wsp:rsid wsp:val=&quot;00E42425&quot;/&gt;&lt;wsp:rsid wsp:val=&quot;00E4251A&quot;/&gt;&lt;wsp:rsid wsp:val=&quot;00E42B3F&quot;/&gt;&lt;wsp:rsid wsp:val=&quot;00E42F92&quot;/&gt;&lt;wsp:rsid wsp:val=&quot;00E4306E&quot;/&gt;&lt;wsp:rsid wsp:val=&quot;00E43143&quot;/&gt;&lt;wsp:rsid wsp:val=&quot;00E4319B&quot;/&gt;&lt;wsp:rsid wsp:val=&quot;00E431C0&quot;/&gt;&lt;wsp:rsid wsp:val=&quot;00E435DB&quot;/&gt;&lt;wsp:rsid wsp:val=&quot;00E438F3&quot;/&gt;&lt;wsp:rsid wsp:val=&quot;00E43E10&quot;/&gt;&lt;wsp:rsid wsp:val=&quot;00E44403&quot;/&gt;&lt;wsp:rsid wsp:val=&quot;00E4459E&quot;/&gt;&lt;wsp:rsid wsp:val=&quot;00E44B2F&quot;/&gt;&lt;wsp:rsid wsp:val=&quot;00E44BB0&quot;/&gt;&lt;wsp:rsid wsp:val=&quot;00E44BD4&quot;/&gt;&lt;wsp:rsid wsp:val=&quot;00E44E92&quot;/&gt;&lt;wsp:rsid wsp:val=&quot;00E44F03&quot;/&gt;&lt;wsp:rsid wsp:val=&quot;00E4550C&quot;/&gt;&lt;wsp:rsid wsp:val=&quot;00E455FF&quot;/&gt;&lt;wsp:rsid wsp:val=&quot;00E45677&quot;/&gt;&lt;wsp:rsid wsp:val=&quot;00E4598D&quot;/&gt;&lt;wsp:rsid wsp:val=&quot;00E45A35&quot;/&gt;&lt;wsp:rsid wsp:val=&quot;00E45E51&quot;/&gt;&lt;wsp:rsid wsp:val=&quot;00E46055&quot;/&gt;&lt;wsp:rsid wsp:val=&quot;00E46079&quot;/&gt;&lt;wsp:rsid wsp:val=&quot;00E46636&quot;/&gt;&lt;wsp:rsid wsp:val=&quot;00E467B0&quot;/&gt;&lt;wsp:rsid wsp:val=&quot;00E46983&quot;/&gt;&lt;wsp:rsid wsp:val=&quot;00E47160&quot;/&gt;&lt;wsp:rsid wsp:val=&quot;00E47596&quot;/&gt;&lt;wsp:rsid wsp:val=&quot;00E4778B&quot;/&gt;&lt;wsp:rsid wsp:val=&quot;00E47A0A&quot;/&gt;&lt;wsp:rsid wsp:val=&quot;00E5045D&quot;/&gt;&lt;wsp:rsid wsp:val=&quot;00E5056B&quot;/&gt;&lt;wsp:rsid wsp:val=&quot;00E50844&quot;/&gt;&lt;wsp:rsid wsp:val=&quot;00E50CB4&quot;/&gt;&lt;wsp:rsid wsp:val=&quot;00E50F14&quot;/&gt;&lt;wsp:rsid wsp:val=&quot;00E5122B&quot;/&gt;&lt;wsp:rsid wsp:val=&quot;00E5129B&quot;/&gt;&lt;wsp:rsid wsp:val=&quot;00E513EC&quot;/&gt;&lt;wsp:rsid wsp:val=&quot;00E51579&quot;/&gt;&lt;wsp:rsid wsp:val=&quot;00E51952&quot;/&gt;&lt;wsp:rsid wsp:val=&quot;00E51B97&quot;/&gt;&lt;wsp:rsid wsp:val=&quot;00E51E7C&quot;/&gt;&lt;wsp:rsid wsp:val=&quot;00E51FD7&quot;/&gt;&lt;wsp:rsid wsp:val=&quot;00E5213D&quot;/&gt;&lt;wsp:rsid wsp:val=&quot;00E5219B&quot;/&gt;&lt;wsp:rsid wsp:val=&quot;00E521BE&quot;/&gt;&lt;wsp:rsid wsp:val=&quot;00E52552&quot;/&gt;&lt;wsp:rsid wsp:val=&quot;00E52B77&quot;/&gt;&lt;wsp:rsid wsp:val=&quot;00E52F14&quot;/&gt;&lt;wsp:rsid wsp:val=&quot;00E5310C&quot;/&gt;&lt;wsp:rsid wsp:val=&quot;00E53438&quot;/&gt;&lt;wsp:rsid wsp:val=&quot;00E54149&quot;/&gt;&lt;wsp:rsid wsp:val=&quot;00E546C4&quot;/&gt;&lt;wsp:rsid wsp:val=&quot;00E548E2&quot;/&gt;&lt;wsp:rsid wsp:val=&quot;00E54DE3&quot;/&gt;&lt;wsp:rsid wsp:val=&quot;00E54F4D&quot;/&gt;&lt;wsp:rsid wsp:val=&quot;00E55287&quot;/&gt;&lt;wsp:rsid wsp:val=&quot;00E55299&quot;/&gt;&lt;wsp:rsid wsp:val=&quot;00E55714&quot;/&gt;&lt;wsp:rsid wsp:val=&quot;00E55985&quot;/&gt;&lt;wsp:rsid wsp:val=&quot;00E55B0C&quot;/&gt;&lt;wsp:rsid wsp:val=&quot;00E55F2F&quot;/&gt;&lt;wsp:rsid wsp:val=&quot;00E560A8&quot;/&gt;&lt;wsp:rsid wsp:val=&quot;00E56390&quot;/&gt;&lt;wsp:rsid wsp:val=&quot;00E56D0D&quot;/&gt;&lt;wsp:rsid wsp:val=&quot;00E572E9&quot;/&gt;&lt;wsp:rsid wsp:val=&quot;00E574AC&quot;/&gt;&lt;wsp:rsid wsp:val=&quot;00E57956&quot;/&gt;&lt;wsp:rsid wsp:val=&quot;00E57C5D&quot;/&gt;&lt;wsp:rsid wsp:val=&quot;00E6016A&quot;/&gt;&lt;wsp:rsid wsp:val=&quot;00E605E6&quot;/&gt;&lt;wsp:rsid wsp:val=&quot;00E60873&quot;/&gt;&lt;wsp:rsid wsp:val=&quot;00E6090C&quot;/&gt;&lt;wsp:rsid wsp:val=&quot;00E609AB&quot;/&gt;&lt;wsp:rsid wsp:val=&quot;00E60BB3&quot;/&gt;&lt;wsp:rsid wsp:val=&quot;00E6105C&quot;/&gt;&lt;wsp:rsid wsp:val=&quot;00E61077&quot;/&gt;&lt;wsp:rsid wsp:val=&quot;00E6123A&quot;/&gt;&lt;wsp:rsid wsp:val=&quot;00E6126C&quot;/&gt;&lt;wsp:rsid wsp:val=&quot;00E614BD&quot;/&gt;&lt;wsp:rsid wsp:val=&quot;00E61CE1&quot;/&gt;&lt;wsp:rsid wsp:val=&quot;00E61EF0&quot;/&gt;&lt;wsp:rsid wsp:val=&quot;00E61F27&quot;/&gt;&lt;wsp:rsid wsp:val=&quot;00E624E9&quot;/&gt;&lt;wsp:rsid wsp:val=&quot;00E6252C&quot;/&gt;&lt;wsp:rsid wsp:val=&quot;00E62570&quot;/&gt;&lt;wsp:rsid wsp:val=&quot;00E629E2&quot;/&gt;&lt;wsp:rsid wsp:val=&quot;00E63481&quot;/&gt;&lt;wsp:rsid wsp:val=&quot;00E63590&quot;/&gt;&lt;wsp:rsid wsp:val=&quot;00E63907&quot;/&gt;&lt;wsp:rsid wsp:val=&quot;00E63A14&quot;/&gt;&lt;wsp:rsid wsp:val=&quot;00E63A34&quot;/&gt;&lt;wsp:rsid wsp:val=&quot;00E63B2E&quot;/&gt;&lt;wsp:rsid wsp:val=&quot;00E646AD&quot;/&gt;&lt;wsp:rsid wsp:val=&quot;00E6471A&quot;/&gt;&lt;wsp:rsid wsp:val=&quot;00E64A13&quot;/&gt;&lt;wsp:rsid wsp:val=&quot;00E64A84&quot;/&gt;&lt;wsp:rsid wsp:val=&quot;00E64B4F&quot;/&gt;&lt;wsp:rsid wsp:val=&quot;00E64D9B&quot;/&gt;&lt;wsp:rsid wsp:val=&quot;00E64F93&quot;/&gt;&lt;wsp:rsid wsp:val=&quot;00E651D6&quot;/&gt;&lt;wsp:rsid wsp:val=&quot;00E654FC&quot;/&gt;&lt;wsp:rsid wsp:val=&quot;00E65612&quot;/&gt;&lt;wsp:rsid wsp:val=&quot;00E65743&quot;/&gt;&lt;wsp:rsid wsp:val=&quot;00E6581C&quot;/&gt;&lt;wsp:rsid wsp:val=&quot;00E65BBB&quot;/&gt;&lt;wsp:rsid wsp:val=&quot;00E65C3D&quot;/&gt;&lt;wsp:rsid wsp:val=&quot;00E6616C&quot;/&gt;&lt;wsp:rsid wsp:val=&quot;00E6643A&quot;/&gt;&lt;wsp:rsid wsp:val=&quot;00E66695&quot;/&gt;&lt;wsp:rsid wsp:val=&quot;00E66A8E&quot;/&gt;&lt;wsp:rsid wsp:val=&quot;00E66B7D&quot;/&gt;&lt;wsp:rsid wsp:val=&quot;00E66D4C&quot;/&gt;&lt;wsp:rsid wsp:val=&quot;00E66D4D&quot;/&gt;&lt;wsp:rsid wsp:val=&quot;00E66E8A&quot;/&gt;&lt;wsp:rsid wsp:val=&quot;00E6750E&quot;/&gt;&lt;wsp:rsid wsp:val=&quot;00E6759D&quot;/&gt;&lt;wsp:rsid wsp:val=&quot;00E6772B&quot;/&gt;&lt;wsp:rsid wsp:val=&quot;00E678F9&quot;/&gt;&lt;wsp:rsid wsp:val=&quot;00E67B4B&quot;/&gt;&lt;wsp:rsid wsp:val=&quot;00E7000C&quot;/&gt;&lt;wsp:rsid wsp:val=&quot;00E706FA&quot;/&gt;&lt;wsp:rsid wsp:val=&quot;00E707F8&quot;/&gt;&lt;wsp:rsid wsp:val=&quot;00E713E0&quot;/&gt;&lt;wsp:rsid wsp:val=&quot;00E7152F&quot;/&gt;&lt;wsp:rsid wsp:val=&quot;00E71D13&quot;/&gt;&lt;wsp:rsid wsp:val=&quot;00E71EA7&quot;/&gt;&lt;wsp:rsid wsp:val=&quot;00E7208C&quot;/&gt;&lt;wsp:rsid wsp:val=&quot;00E721CE&quot;/&gt;&lt;wsp:rsid wsp:val=&quot;00E7293A&quot;/&gt;&lt;wsp:rsid wsp:val=&quot;00E72DDA&quot;/&gt;&lt;wsp:rsid wsp:val=&quot;00E72F61&quot;/&gt;&lt;wsp:rsid wsp:val=&quot;00E73885&quot;/&gt;&lt;wsp:rsid wsp:val=&quot;00E73CA7&quot;/&gt;&lt;wsp:rsid wsp:val=&quot;00E742D9&quot;/&gt;&lt;wsp:rsid wsp:val=&quot;00E74854&quot;/&gt;&lt;wsp:rsid wsp:val=&quot;00E748FD&quot;/&gt;&lt;wsp:rsid wsp:val=&quot;00E74DF5&quot;/&gt;&lt;wsp:rsid wsp:val=&quot;00E74ECB&quot;/&gt;&lt;wsp:rsid wsp:val=&quot;00E75347&quot;/&gt;&lt;wsp:rsid wsp:val=&quot;00E75766&quot;/&gt;&lt;wsp:rsid wsp:val=&quot;00E75AF9&quot;/&gt;&lt;wsp:rsid wsp:val=&quot;00E75B4C&quot;/&gt;&lt;wsp:rsid wsp:val=&quot;00E75BC5&quot;/&gt;&lt;wsp:rsid wsp:val=&quot;00E75C95&quot;/&gt;&lt;wsp:rsid wsp:val=&quot;00E76086&quot;/&gt;&lt;wsp:rsid wsp:val=&quot;00E763C9&quot;/&gt;&lt;wsp:rsid wsp:val=&quot;00E76AB5&quot;/&gt;&lt;wsp:rsid wsp:val=&quot;00E76BB2&quot;/&gt;&lt;wsp:rsid wsp:val=&quot;00E76E06&quot;/&gt;&lt;wsp:rsid wsp:val=&quot;00E775A5&quot;/&gt;&lt;wsp:rsid wsp:val=&quot;00E77BBA&quot;/&gt;&lt;wsp:rsid wsp:val=&quot;00E77D22&quot;/&gt;&lt;wsp:rsid wsp:val=&quot;00E77F4D&quot;/&gt;&lt;wsp:rsid wsp:val=&quot;00E8009A&quot;/&gt;&lt;wsp:rsid wsp:val=&quot;00E8096C&quot;/&gt;&lt;wsp:rsid wsp:val=&quot;00E814AB&quot;/&gt;&lt;wsp:rsid wsp:val=&quot;00E81E23&quot;/&gt;&lt;wsp:rsid wsp:val=&quot;00E81EE8&quot;/&gt;&lt;wsp:rsid wsp:val=&quot;00E821AE&quot;/&gt;&lt;wsp:rsid wsp:val=&quot;00E82D72&quot;/&gt;&lt;wsp:rsid wsp:val=&quot;00E832EF&quot;/&gt;&lt;wsp:rsid wsp:val=&quot;00E8379A&quot;/&gt;&lt;wsp:rsid wsp:val=&quot;00E83D45&quot;/&gt;&lt;wsp:rsid wsp:val=&quot;00E842A7&quot;/&gt;&lt;wsp:rsid wsp:val=&quot;00E84ACA&quot;/&gt;&lt;wsp:rsid wsp:val=&quot;00E84CA0&quot;/&gt;&lt;wsp:rsid wsp:val=&quot;00E84CA5&quot;/&gt;&lt;wsp:rsid wsp:val=&quot;00E851D6&quot;/&gt;&lt;wsp:rsid wsp:val=&quot;00E85474&quot;/&gt;&lt;wsp:rsid wsp:val=&quot;00E857D7&quot;/&gt;&lt;wsp:rsid wsp:val=&quot;00E85B41&quot;/&gt;&lt;wsp:rsid wsp:val=&quot;00E85F55&quot;/&gt;&lt;wsp:rsid wsp:val=&quot;00E85FC7&quot;/&gt;&lt;wsp:rsid wsp:val=&quot;00E86086&quot;/&gt;&lt;wsp:rsid wsp:val=&quot;00E86E29&quot;/&gt;&lt;wsp:rsid wsp:val=&quot;00E8751B&quot;/&gt;&lt;wsp:rsid wsp:val=&quot;00E87611&quot;/&gt;&lt;wsp:rsid wsp:val=&quot;00E87F79&quot;/&gt;&lt;wsp:rsid wsp:val=&quot;00E904CE&quot;/&gt;&lt;wsp:rsid wsp:val=&quot;00E90538&quot;/&gt;&lt;wsp:rsid wsp:val=&quot;00E90753&quot;/&gt;&lt;wsp:rsid wsp:val=&quot;00E91093&quot;/&gt;&lt;wsp:rsid wsp:val=&quot;00E910EC&quot;/&gt;&lt;wsp:rsid wsp:val=&quot;00E91341&quot;/&gt;&lt;wsp:rsid wsp:val=&quot;00E91899&quot;/&gt;&lt;wsp:rsid wsp:val=&quot;00E9205E&quot;/&gt;&lt;wsp:rsid wsp:val=&quot;00E921A2&quot;/&gt;&lt;wsp:rsid wsp:val=&quot;00E924FF&quot;/&gt;&lt;wsp:rsid wsp:val=&quot;00E932F1&quot;/&gt;&lt;wsp:rsid wsp:val=&quot;00E939CA&quot;/&gt;&lt;wsp:rsid wsp:val=&quot;00E93C91&quot;/&gt;&lt;wsp:rsid wsp:val=&quot;00E93F4B&quot;/&gt;&lt;wsp:rsid wsp:val=&quot;00E941EC&quot;/&gt;&lt;wsp:rsid wsp:val=&quot;00E94910&quot;/&gt;&lt;wsp:rsid wsp:val=&quot;00E94B53&quot;/&gt;&lt;wsp:rsid wsp:val=&quot;00E94DCE&quot;/&gt;&lt;wsp:rsid wsp:val=&quot;00E94DFA&quot;/&gt;&lt;wsp:rsid wsp:val=&quot;00E94E86&quot;/&gt;&lt;wsp:rsid wsp:val=&quot;00E9518C&quot;/&gt;&lt;wsp:rsid wsp:val=&quot;00E951C0&quot;/&gt;&lt;wsp:rsid wsp:val=&quot;00E952A0&quot;/&gt;&lt;wsp:rsid wsp:val=&quot;00E95571&quot;/&gt;&lt;wsp:rsid wsp:val=&quot;00E955EA&quot;/&gt;&lt;wsp:rsid wsp:val=&quot;00E960BD&quot;/&gt;&lt;wsp:rsid wsp:val=&quot;00E964D1&quot;/&gt;&lt;wsp:rsid wsp:val=&quot;00E96552&quot;/&gt;&lt;wsp:rsid wsp:val=&quot;00E96B7A&quot;/&gt;&lt;wsp:rsid wsp:val=&quot;00E96F4E&quot;/&gt;&lt;wsp:rsid wsp:val=&quot;00E97B42&quot;/&gt;&lt;wsp:rsid wsp:val=&quot;00E97EB7&quot;/&gt;&lt;wsp:rsid wsp:val=&quot;00EA008A&quot;/&gt;&lt;wsp:rsid wsp:val=&quot;00EA0622&quot;/&gt;&lt;wsp:rsid wsp:val=&quot;00EA0A20&quot;/&gt;&lt;wsp:rsid wsp:val=&quot;00EA0A62&quot;/&gt;&lt;wsp:rsid wsp:val=&quot;00EA0A7C&quot;/&gt;&lt;wsp:rsid wsp:val=&quot;00EA0C0E&quot;/&gt;&lt;wsp:rsid wsp:val=&quot;00EA0FB2&quot;/&gt;&lt;wsp:rsid wsp:val=&quot;00EA11C8&quot;/&gt;&lt;wsp:rsid wsp:val=&quot;00EA1508&quot;/&gt;&lt;wsp:rsid wsp:val=&quot;00EA16F8&quot;/&gt;&lt;wsp:rsid wsp:val=&quot;00EA1920&quot;/&gt;&lt;wsp:rsid wsp:val=&quot;00EA1B80&quot;/&gt;&lt;wsp:rsid wsp:val=&quot;00EA1CCE&quot;/&gt;&lt;wsp:rsid wsp:val=&quot;00EA1D6D&quot;/&gt;&lt;wsp:rsid wsp:val=&quot;00EA1DB9&quot;/&gt;&lt;wsp:rsid wsp:val=&quot;00EA2EED&quot;/&gt;&lt;wsp:rsid wsp:val=&quot;00EA3084&quot;/&gt;&lt;wsp:rsid wsp:val=&quot;00EA3C9C&quot;/&gt;&lt;wsp:rsid wsp:val=&quot;00EA3EAD&quot;/&gt;&lt;wsp:rsid wsp:val=&quot;00EA3ECD&quot;/&gt;&lt;wsp:rsid wsp:val=&quot;00EA46CB&quot;/&gt;&lt;wsp:rsid wsp:val=&quot;00EA4758&quot;/&gt;&lt;wsp:rsid wsp:val=&quot;00EA47F2&quot;/&gt;&lt;wsp:rsid wsp:val=&quot;00EA4A67&quot;/&gt;&lt;wsp:rsid wsp:val=&quot;00EA4D1B&quot;/&gt;&lt;wsp:rsid wsp:val=&quot;00EA4F72&quot;/&gt;&lt;wsp:rsid wsp:val=&quot;00EA53C1&quot;/&gt;&lt;wsp:rsid wsp:val=&quot;00EA57CD&quot;/&gt;&lt;wsp:rsid wsp:val=&quot;00EA5AB4&quot;/&gt;&lt;wsp:rsid wsp:val=&quot;00EA5B0F&quot;/&gt;&lt;wsp:rsid wsp:val=&quot;00EA6801&quot;/&gt;&lt;wsp:rsid wsp:val=&quot;00EA682A&quot;/&gt;&lt;wsp:rsid wsp:val=&quot;00EA72CD&quot;/&gt;&lt;wsp:rsid wsp:val=&quot;00EA740E&quot;/&gt;&lt;wsp:rsid wsp:val=&quot;00EA7C1D&quot;/&gt;&lt;wsp:rsid wsp:val=&quot;00EA7E2B&quot;/&gt;&lt;wsp:rsid wsp:val=&quot;00EB0220&quot;/&gt;&lt;wsp:rsid wsp:val=&quot;00EB03FF&quot;/&gt;&lt;wsp:rsid wsp:val=&quot;00EB048D&quot;/&gt;&lt;wsp:rsid wsp:val=&quot;00EB051C&quot;/&gt;&lt;wsp:rsid wsp:val=&quot;00EB13F2&quot;/&gt;&lt;wsp:rsid wsp:val=&quot;00EB1444&quot;/&gt;&lt;wsp:rsid wsp:val=&quot;00EB1A6B&quot;/&gt;&lt;wsp:rsid wsp:val=&quot;00EB2F23&quot;/&gt;&lt;wsp:rsid wsp:val=&quot;00EB3208&quot;/&gt;&lt;wsp:rsid wsp:val=&quot;00EB3D15&quot;/&gt;&lt;wsp:rsid wsp:val=&quot;00EB3D97&quot;/&gt;&lt;wsp:rsid wsp:val=&quot;00EB42BA&quot;/&gt;&lt;wsp:rsid wsp:val=&quot;00EB434F&quot;/&gt;&lt;wsp:rsid wsp:val=&quot;00EB43DE&quot;/&gt;&lt;wsp:rsid wsp:val=&quot;00EB46C9&quot;/&gt;&lt;wsp:rsid wsp:val=&quot;00EB55FB&quot;/&gt;&lt;wsp:rsid wsp:val=&quot;00EB5B27&quot;/&gt;&lt;wsp:rsid wsp:val=&quot;00EB5CD1&quot;/&gt;&lt;wsp:rsid wsp:val=&quot;00EB5EE6&quot;/&gt;&lt;wsp:rsid wsp:val=&quot;00EB6FD3&quot;/&gt;&lt;wsp:rsid wsp:val=&quot;00EB7AC5&quot;/&gt;&lt;wsp:rsid wsp:val=&quot;00EC03A0&quot;/&gt;&lt;wsp:rsid wsp:val=&quot;00EC042C&quot;/&gt;&lt;wsp:rsid wsp:val=&quot;00EC05FB&quot;/&gt;&lt;wsp:rsid wsp:val=&quot;00EC09D2&quot;/&gt;&lt;wsp:rsid wsp:val=&quot;00EC0BB0&quot;/&gt;&lt;wsp:rsid wsp:val=&quot;00EC0D7E&quot;/&gt;&lt;wsp:rsid wsp:val=&quot;00EC0F4A&quot;/&gt;&lt;wsp:rsid wsp:val=&quot;00EC166D&quot;/&gt;&lt;wsp:rsid wsp:val=&quot;00EC1C8B&quot;/&gt;&lt;wsp:rsid wsp:val=&quot;00EC2080&quot;/&gt;&lt;wsp:rsid wsp:val=&quot;00EC209C&quot;/&gt;&lt;wsp:rsid wsp:val=&quot;00EC20D6&quot;/&gt;&lt;wsp:rsid wsp:val=&quot;00EC226E&quot;/&gt;&lt;wsp:rsid wsp:val=&quot;00EC2273&quot;/&gt;&lt;wsp:rsid wsp:val=&quot;00EC24D4&quot;/&gt;&lt;wsp:rsid wsp:val=&quot;00EC254D&quot;/&gt;&lt;wsp:rsid wsp:val=&quot;00EC25D1&quot;/&gt;&lt;wsp:rsid wsp:val=&quot;00EC26F3&quot;/&gt;&lt;wsp:rsid wsp:val=&quot;00EC28C1&quot;/&gt;&lt;wsp:rsid wsp:val=&quot;00EC2B08&quot;/&gt;&lt;wsp:rsid wsp:val=&quot;00EC2B9B&quot;/&gt;&lt;wsp:rsid wsp:val=&quot;00EC2D59&quot;/&gt;&lt;wsp:rsid wsp:val=&quot;00EC2FC8&quot;/&gt;&lt;wsp:rsid wsp:val=&quot;00EC2FF7&quot;/&gt;&lt;wsp:rsid wsp:val=&quot;00EC35E1&quot;/&gt;&lt;wsp:rsid wsp:val=&quot;00EC3CA8&quot;/&gt;&lt;wsp:rsid wsp:val=&quot;00EC3CC4&quot;/&gt;&lt;wsp:rsid wsp:val=&quot;00EC3EC4&quot;/&gt;&lt;wsp:rsid wsp:val=&quot;00EC41DD&quot;/&gt;&lt;wsp:rsid wsp:val=&quot;00EC4332&quot;/&gt;&lt;wsp:rsid wsp:val=&quot;00EC43A5&quot;/&gt;&lt;wsp:rsid wsp:val=&quot;00EC43C6&quot;/&gt;&lt;wsp:rsid wsp:val=&quot;00EC453F&quot;/&gt;&lt;wsp:rsid wsp:val=&quot;00EC4945&quot;/&gt;&lt;wsp:rsid wsp:val=&quot;00EC4BB0&quot;/&gt;&lt;wsp:rsid wsp:val=&quot;00EC4C52&quot;/&gt;&lt;wsp:rsid wsp:val=&quot;00EC4D27&quot;/&gt;&lt;wsp:rsid wsp:val=&quot;00EC4F43&quot;/&gt;&lt;wsp:rsid wsp:val=&quot;00EC5044&quot;/&gt;&lt;wsp:rsid wsp:val=&quot;00EC5293&quot;/&gt;&lt;wsp:rsid wsp:val=&quot;00EC52D4&quot;/&gt;&lt;wsp:rsid wsp:val=&quot;00EC53D6&quot;/&gt;&lt;wsp:rsid wsp:val=&quot;00EC5570&quot;/&gt;&lt;wsp:rsid wsp:val=&quot;00EC5578&quot;/&gt;&lt;wsp:rsid wsp:val=&quot;00EC56B2&quot;/&gt;&lt;wsp:rsid wsp:val=&quot;00EC61BB&quot;/&gt;&lt;wsp:rsid wsp:val=&quot;00EC63AA&quot;/&gt;&lt;wsp:rsid wsp:val=&quot;00EC6858&quot;/&gt;&lt;wsp:rsid wsp:val=&quot;00EC7E56&quot;/&gt;&lt;wsp:rsid wsp:val=&quot;00ED047E&quot;/&gt;&lt;wsp:rsid wsp:val=&quot;00ED0561&quot;/&gt;&lt;wsp:rsid wsp:val=&quot;00ED0BA1&quot;/&gt;&lt;wsp:rsid wsp:val=&quot;00ED0BD8&quot;/&gt;&lt;wsp:rsid wsp:val=&quot;00ED1468&quot;/&gt;&lt;wsp:rsid wsp:val=&quot;00ED166F&quot;/&gt;&lt;wsp:rsid wsp:val=&quot;00ED17B3&quot;/&gt;&lt;wsp:rsid wsp:val=&quot;00ED1C2A&quot;/&gt;&lt;wsp:rsid wsp:val=&quot;00ED21DA&quot;/&gt;&lt;wsp:rsid wsp:val=&quot;00ED2269&quot;/&gt;&lt;wsp:rsid wsp:val=&quot;00ED2590&quot;/&gt;&lt;wsp:rsid wsp:val=&quot;00ED2734&quot;/&gt;&lt;wsp:rsid wsp:val=&quot;00ED2921&quot;/&gt;&lt;wsp:rsid wsp:val=&quot;00ED3167&quot;/&gt;&lt;wsp:rsid wsp:val=&quot;00ED35D4&quot;/&gt;&lt;wsp:rsid wsp:val=&quot;00ED3625&quot;/&gt;&lt;wsp:rsid wsp:val=&quot;00ED3641&quot;/&gt;&lt;wsp:rsid wsp:val=&quot;00ED3669&quot;/&gt;&lt;wsp:rsid wsp:val=&quot;00ED3815&quot;/&gt;&lt;wsp:rsid wsp:val=&quot;00ED3855&quot;/&gt;&lt;wsp:rsid wsp:val=&quot;00ED3DD5&quot;/&gt;&lt;wsp:rsid wsp:val=&quot;00ED4170&quot;/&gt;&lt;wsp:rsid wsp:val=&quot;00ED4A85&quot;/&gt;&lt;wsp:rsid wsp:val=&quot;00ED4C0F&quot;/&gt;&lt;wsp:rsid wsp:val=&quot;00ED4DF4&quot;/&gt;&lt;wsp:rsid wsp:val=&quot;00ED51D0&quot;/&gt;&lt;wsp:rsid wsp:val=&quot;00ED52CD&quot;/&gt;&lt;wsp:rsid wsp:val=&quot;00ED6325&quot;/&gt;&lt;wsp:rsid wsp:val=&quot;00ED6DD9&quot;/&gt;&lt;wsp:rsid wsp:val=&quot;00ED6DFA&quot;/&gt;&lt;wsp:rsid wsp:val=&quot;00ED7202&quot;/&gt;&lt;wsp:rsid wsp:val=&quot;00ED7278&quot;/&gt;&lt;wsp:rsid wsp:val=&quot;00ED77C7&quot;/&gt;&lt;wsp:rsid wsp:val=&quot;00ED79A5&quot;/&gt;&lt;wsp:rsid wsp:val=&quot;00ED79B9&quot;/&gt;&lt;wsp:rsid wsp:val=&quot;00ED7CE8&quot;/&gt;&lt;wsp:rsid wsp:val=&quot;00EE0012&quot;/&gt;&lt;wsp:rsid wsp:val=&quot;00EE0289&quot;/&gt;&lt;wsp:rsid wsp:val=&quot;00EE0771&quot;/&gt;&lt;wsp:rsid wsp:val=&quot;00EE0B99&quot;/&gt;&lt;wsp:rsid wsp:val=&quot;00EE1305&quot;/&gt;&lt;wsp:rsid wsp:val=&quot;00EE1534&quot;/&gt;&lt;wsp:rsid wsp:val=&quot;00EE170F&quot;/&gt;&lt;wsp:rsid wsp:val=&quot;00EE22B5&quot;/&gt;&lt;wsp:rsid wsp:val=&quot;00EE2F95&quot;/&gt;&lt;wsp:rsid wsp:val=&quot;00EE42B5&quot;/&gt;&lt;wsp:rsid wsp:val=&quot;00EE4B84&quot;/&gt;&lt;wsp:rsid wsp:val=&quot;00EE5377&quot;/&gt;&lt;wsp:rsid wsp:val=&quot;00EE54C8&quot;/&gt;&lt;wsp:rsid wsp:val=&quot;00EE560E&quot;/&gt;&lt;wsp:rsid wsp:val=&quot;00EE57F7&quot;/&gt;&lt;wsp:rsid wsp:val=&quot;00EE5ADB&quot;/&gt;&lt;wsp:rsid wsp:val=&quot;00EE5B70&quot;/&gt;&lt;wsp:rsid wsp:val=&quot;00EE5CA9&quot;/&gt;&lt;wsp:rsid wsp:val=&quot;00EE5D08&quot;/&gt;&lt;wsp:rsid wsp:val=&quot;00EE5E7A&quot;/&gt;&lt;wsp:rsid wsp:val=&quot;00EE6247&quot;/&gt;&lt;wsp:rsid wsp:val=&quot;00EE66E8&quot;/&gt;&lt;wsp:rsid wsp:val=&quot;00EE6794&quot;/&gt;&lt;wsp:rsid wsp:val=&quot;00EE6F09&quot;/&gt;&lt;wsp:rsid wsp:val=&quot;00EE703F&quot;/&gt;&lt;wsp:rsid wsp:val=&quot;00EE769A&quot;/&gt;&lt;wsp:rsid wsp:val=&quot;00EE7A07&quot;/&gt;&lt;wsp:rsid wsp:val=&quot;00EE7A8A&quot;/&gt;&lt;wsp:rsid wsp:val=&quot;00EE7B58&quot;/&gt;&lt;wsp:rsid wsp:val=&quot;00EE7C58&quot;/&gt;&lt;wsp:rsid wsp:val=&quot;00EE7D33&quot;/&gt;&lt;wsp:rsid wsp:val=&quot;00EF009B&quot;/&gt;&lt;wsp:rsid wsp:val=&quot;00EF05CB&quot;/&gt;&lt;wsp:rsid wsp:val=&quot;00EF0A27&quot;/&gt;&lt;wsp:rsid wsp:val=&quot;00EF0C5F&quot;/&gt;&lt;wsp:rsid wsp:val=&quot;00EF12B0&quot;/&gt;&lt;wsp:rsid wsp:val=&quot;00EF1519&quot;/&gt;&lt;wsp:rsid wsp:val=&quot;00EF1B12&quot;/&gt;&lt;wsp:rsid wsp:val=&quot;00EF22E0&quot;/&gt;&lt;wsp:rsid wsp:val=&quot;00EF2300&quot;/&gt;&lt;wsp:rsid wsp:val=&quot;00EF234D&quot;/&gt;&lt;wsp:rsid wsp:val=&quot;00EF2557&quot;/&gt;&lt;wsp:rsid wsp:val=&quot;00EF2C3F&quot;/&gt;&lt;wsp:rsid wsp:val=&quot;00EF30CB&quot;/&gt;&lt;wsp:rsid wsp:val=&quot;00EF3151&quot;/&gt;&lt;wsp:rsid wsp:val=&quot;00EF3173&quot;/&gt;&lt;wsp:rsid wsp:val=&quot;00EF331D&quot;/&gt;&lt;wsp:rsid wsp:val=&quot;00EF3355&quot;/&gt;&lt;wsp:rsid wsp:val=&quot;00EF3521&quot;/&gt;&lt;wsp:rsid wsp:val=&quot;00EF3AD9&quot;/&gt;&lt;wsp:rsid wsp:val=&quot;00EF3CC0&quot;/&gt;&lt;wsp:rsid wsp:val=&quot;00EF3D69&quot;/&gt;&lt;wsp:rsid wsp:val=&quot;00EF3E7F&quot;/&gt;&lt;wsp:rsid wsp:val=&quot;00EF3EE3&quot;/&gt;&lt;wsp:rsid wsp:val=&quot;00EF40AE&quot;/&gt;&lt;wsp:rsid wsp:val=&quot;00EF4228&quot;/&gt;&lt;wsp:rsid wsp:val=&quot;00EF4415&quot;/&gt;&lt;wsp:rsid wsp:val=&quot;00EF4AD3&quot;/&gt;&lt;wsp:rsid wsp:val=&quot;00EF4C3A&quot;/&gt;&lt;wsp:rsid wsp:val=&quot;00EF5180&quot;/&gt;&lt;wsp:rsid wsp:val=&quot;00EF5299&quot;/&gt;&lt;wsp:rsid wsp:val=&quot;00EF541D&quot;/&gt;&lt;wsp:rsid wsp:val=&quot;00EF5422&quot;/&gt;&lt;wsp:rsid wsp:val=&quot;00EF55FC&quot;/&gt;&lt;wsp:rsid wsp:val=&quot;00EF5804&quot;/&gt;&lt;wsp:rsid wsp:val=&quot;00EF59F0&quot;/&gt;&lt;wsp:rsid wsp:val=&quot;00EF5ECB&quot;/&gt;&lt;wsp:rsid wsp:val=&quot;00EF60E3&quot;/&gt;&lt;wsp:rsid wsp:val=&quot;00EF65E7&quot;/&gt;&lt;wsp:rsid wsp:val=&quot;00EF673E&quot;/&gt;&lt;wsp:rsid wsp:val=&quot;00EF678C&quot;/&gt;&lt;wsp:rsid wsp:val=&quot;00EF6B9A&quot;/&gt;&lt;wsp:rsid wsp:val=&quot;00EF70AF&quot;/&gt;&lt;wsp:rsid wsp:val=&quot;00EF7734&quot;/&gt;&lt;wsp:rsid wsp:val=&quot;00EF7A85&quot;/&gt;&lt;wsp:rsid wsp:val=&quot;00EF7DA7&quot;/&gt;&lt;wsp:rsid wsp:val=&quot;00EF7F6D&quot;/&gt;&lt;wsp:rsid wsp:val=&quot;00F0035F&quot;/&gt;&lt;wsp:rsid wsp:val=&quot;00F004A9&quot;/&gt;&lt;wsp:rsid wsp:val=&quot;00F0088E&quot;/&gt;&lt;wsp:rsid wsp:val=&quot;00F00996&quot;/&gt;&lt;wsp:rsid wsp:val=&quot;00F00F21&quot;/&gt;&lt;wsp:rsid wsp:val=&quot;00F0144B&quot;/&gt;&lt;wsp:rsid wsp:val=&quot;00F01C83&quot;/&gt;&lt;wsp:rsid wsp:val=&quot;00F01DFC&quot;/&gt;&lt;wsp:rsid wsp:val=&quot;00F01FD5&quot;/&gt;&lt;wsp:rsid wsp:val=&quot;00F02358&quot;/&gt;&lt;wsp:rsid wsp:val=&quot;00F02432&quot;/&gt;&lt;wsp:rsid wsp:val=&quot;00F02483&quot;/&gt;&lt;wsp:rsid wsp:val=&quot;00F025F2&quot;/&gt;&lt;wsp:rsid wsp:val=&quot;00F026D8&quot;/&gt;&lt;wsp:rsid wsp:val=&quot;00F02774&quot;/&gt;&lt;wsp:rsid wsp:val=&quot;00F027A9&quot;/&gt;&lt;wsp:rsid wsp:val=&quot;00F0286E&quot;/&gt;&lt;wsp:rsid wsp:val=&quot;00F02B1B&quot;/&gt;&lt;wsp:rsid wsp:val=&quot;00F02DD4&quot;/&gt;&lt;wsp:rsid wsp:val=&quot;00F02DEE&quot;/&gt;&lt;wsp:rsid wsp:val=&quot;00F0359C&quot;/&gt;&lt;wsp:rsid wsp:val=&quot;00F03916&quot;/&gt;&lt;wsp:rsid wsp:val=&quot;00F03B59&quot;/&gt;&lt;wsp:rsid wsp:val=&quot;00F045D3&quot;/&gt;&lt;wsp:rsid wsp:val=&quot;00F049A0&quot;/&gt;&lt;wsp:rsid wsp:val=&quot;00F04A75&quot;/&gt;&lt;wsp:rsid wsp:val=&quot;00F04BDD&quot;/&gt;&lt;wsp:rsid wsp:val=&quot;00F04E08&quot;/&gt;&lt;wsp:rsid wsp:val=&quot;00F054BD&quot;/&gt;&lt;wsp:rsid wsp:val=&quot;00F057FE&quot;/&gt;&lt;wsp:rsid wsp:val=&quot;00F05D3A&quot;/&gt;&lt;wsp:rsid wsp:val=&quot;00F05E2B&quot;/&gt;&lt;wsp:rsid wsp:val=&quot;00F06E64&quot;/&gt;&lt;wsp:rsid wsp:val=&quot;00F0727B&quot;/&gt;&lt;wsp:rsid wsp:val=&quot;00F074A9&quot;/&gt;&lt;wsp:rsid wsp:val=&quot;00F0755B&quot;/&gt;&lt;wsp:rsid wsp:val=&quot;00F07834&quot;/&gt;&lt;wsp:rsid wsp:val=&quot;00F07C3E&quot;/&gt;&lt;wsp:rsid wsp:val=&quot;00F07F57&quot;/&gt;&lt;wsp:rsid wsp:val=&quot;00F10726&quot;/&gt;&lt;wsp:rsid wsp:val=&quot;00F109A9&quot;/&gt;&lt;wsp:rsid wsp:val=&quot;00F11004&quot;/&gt;&lt;wsp:rsid wsp:val=&quot;00F1123F&quot;/&gt;&lt;wsp:rsid wsp:val=&quot;00F11260&quot;/&gt;&lt;wsp:rsid wsp:val=&quot;00F1126B&quot;/&gt;&lt;wsp:rsid wsp:val=&quot;00F11280&quot;/&gt;&lt;wsp:rsid wsp:val=&quot;00F11782&quot;/&gt;&lt;wsp:rsid wsp:val=&quot;00F11AA8&quot;/&gt;&lt;wsp:rsid wsp:val=&quot;00F11F8D&quot;/&gt;&lt;wsp:rsid wsp:val=&quot;00F12000&quot;/&gt;&lt;wsp:rsid wsp:val=&quot;00F1226F&quot;/&gt;&lt;wsp:rsid wsp:val=&quot;00F1245B&quot;/&gt;&lt;wsp:rsid wsp:val=&quot;00F12540&quot;/&gt;&lt;wsp:rsid wsp:val=&quot;00F1290E&quot;/&gt;&lt;wsp:rsid wsp:val=&quot;00F12BF6&quot;/&gt;&lt;wsp:rsid wsp:val=&quot;00F12F98&quot;/&gt;&lt;wsp:rsid wsp:val=&quot;00F13075&quot;/&gt;&lt;wsp:rsid wsp:val=&quot;00F132A2&quot;/&gt;&lt;wsp:rsid wsp:val=&quot;00F134AF&quot;/&gt;&lt;wsp:rsid wsp:val=&quot;00F13608&quot;/&gt;&lt;wsp:rsid wsp:val=&quot;00F13713&quot;/&gt;&lt;wsp:rsid wsp:val=&quot;00F13AB4&quot;/&gt;&lt;wsp:rsid wsp:val=&quot;00F13C47&quot;/&gt;&lt;wsp:rsid wsp:val=&quot;00F13DB9&quot;/&gt;&lt;wsp:rsid wsp:val=&quot;00F1491B&quot;/&gt;&lt;wsp:rsid wsp:val=&quot;00F14BE6&quot;/&gt;&lt;wsp:rsid wsp:val=&quot;00F153D9&quot;/&gt;&lt;wsp:rsid wsp:val=&quot;00F1544B&quot;/&gt;&lt;wsp:rsid wsp:val=&quot;00F15C05&quot;/&gt;&lt;wsp:rsid wsp:val=&quot;00F15C95&quot;/&gt;&lt;wsp:rsid wsp:val=&quot;00F15D94&quot;/&gt;&lt;wsp:rsid wsp:val=&quot;00F162B0&quot;/&gt;&lt;wsp:rsid wsp:val=&quot;00F16509&quot;/&gt;&lt;wsp:rsid wsp:val=&quot;00F165E8&quot;/&gt;&lt;wsp:rsid wsp:val=&quot;00F16982&quot;/&gt;&lt;wsp:rsid wsp:val=&quot;00F16BBE&quot;/&gt;&lt;wsp:rsid wsp:val=&quot;00F16BE5&quot;/&gt;&lt;wsp:rsid wsp:val=&quot;00F16E3B&quot;/&gt;&lt;wsp:rsid wsp:val=&quot;00F16EBC&quot;/&gt;&lt;wsp:rsid wsp:val=&quot;00F171E9&quot;/&gt;&lt;wsp:rsid wsp:val=&quot;00F17511&quot;/&gt;&lt;wsp:rsid wsp:val=&quot;00F17CED&quot;/&gt;&lt;wsp:rsid wsp:val=&quot;00F20399&quot;/&gt;&lt;wsp:rsid wsp:val=&quot;00F20586&quot;/&gt;&lt;wsp:rsid wsp:val=&quot;00F2069C&quot;/&gt;&lt;wsp:rsid wsp:val=&quot;00F20991&quot;/&gt;&lt;wsp:rsid wsp:val=&quot;00F209DC&quot;/&gt;&lt;wsp:rsid wsp:val=&quot;00F20B5D&quot;/&gt;&lt;wsp:rsid wsp:val=&quot;00F2119F&quot;/&gt;&lt;wsp:rsid wsp:val=&quot;00F214C8&quot;/&gt;&lt;wsp:rsid wsp:val=&quot;00F217BB&quot;/&gt;&lt;wsp:rsid wsp:val=&quot;00F21BB3&quot;/&gt;&lt;wsp:rsid wsp:val=&quot;00F220BD&quot;/&gt;&lt;wsp:rsid wsp:val=&quot;00F22245&quot;/&gt;&lt;wsp:rsid wsp:val=&quot;00F22432&quot;/&gt;&lt;wsp:rsid wsp:val=&quot;00F22D42&quot;/&gt;&lt;wsp:rsid wsp:val=&quot;00F22D63&quot;/&gt;&lt;wsp:rsid wsp:val=&quot;00F23926&quot;/&gt;&lt;wsp:rsid wsp:val=&quot;00F23988&quot;/&gt;&lt;wsp:rsid wsp:val=&quot;00F239DB&quot;/&gt;&lt;wsp:rsid wsp:val=&quot;00F248B6&quot;/&gt;&lt;wsp:rsid wsp:val=&quot;00F25BA1&quot;/&gt;&lt;wsp:rsid wsp:val=&quot;00F25F4F&quot;/&gt;&lt;wsp:rsid wsp:val=&quot;00F25F66&quot;/&gt;&lt;wsp:rsid wsp:val=&quot;00F26186&quot;/&gt;&lt;wsp:rsid wsp:val=&quot;00F26946&quot;/&gt;&lt;wsp:rsid wsp:val=&quot;00F2697D&quot;/&gt;&lt;wsp:rsid wsp:val=&quot;00F26E0B&quot;/&gt;&lt;wsp:rsid wsp:val=&quot;00F26FC9&quot;/&gt;&lt;wsp:rsid wsp:val=&quot;00F270EB&quot;/&gt;&lt;wsp:rsid wsp:val=&quot;00F276A7&quot;/&gt;&lt;wsp:rsid wsp:val=&quot;00F27FFC&quot;/&gt;&lt;wsp:rsid wsp:val=&quot;00F306BB&quot;/&gt;&lt;wsp:rsid wsp:val=&quot;00F30864&quot;/&gt;&lt;wsp:rsid wsp:val=&quot;00F30DB2&quot;/&gt;&lt;wsp:rsid wsp:val=&quot;00F30E0A&quot;/&gt;&lt;wsp:rsid wsp:val=&quot;00F30E1F&quot;/&gt;&lt;wsp:rsid wsp:val=&quot;00F30E53&quot;/&gt;&lt;wsp:rsid wsp:val=&quot;00F30ECA&quot;/&gt;&lt;wsp:rsid wsp:val=&quot;00F30F2F&quot;/&gt;&lt;wsp:rsid wsp:val=&quot;00F3114F&quot;/&gt;&lt;wsp:rsid wsp:val=&quot;00F31374&quot;/&gt;&lt;wsp:rsid wsp:val=&quot;00F31531&quot;/&gt;&lt;wsp:rsid wsp:val=&quot;00F315FD&quot;/&gt;&lt;wsp:rsid wsp:val=&quot;00F32CC9&quot;/&gt;&lt;wsp:rsid wsp:val=&quot;00F32D06&quot;/&gt;&lt;wsp:rsid wsp:val=&quot;00F32F61&quot;/&gt;&lt;wsp:rsid wsp:val=&quot;00F3306C&quot;/&gt;&lt;wsp:rsid wsp:val=&quot;00F330A7&quot;/&gt;&lt;wsp:rsid wsp:val=&quot;00F332C8&quot;/&gt;&lt;wsp:rsid wsp:val=&quot;00F334E2&quot;/&gt;&lt;wsp:rsid wsp:val=&quot;00F33D91&quot;/&gt;&lt;wsp:rsid wsp:val=&quot;00F3452C&quot;/&gt;&lt;wsp:rsid wsp:val=&quot;00F34EFB&quot;/&gt;&lt;wsp:rsid wsp:val=&quot;00F34F7B&quot;/&gt;&lt;wsp:rsid wsp:val=&quot;00F3510B&quot;/&gt;&lt;wsp:rsid wsp:val=&quot;00F35798&quot;/&gt;&lt;wsp:rsid wsp:val=&quot;00F36084&quot;/&gt;&lt;wsp:rsid wsp:val=&quot;00F36644&quot;/&gt;&lt;wsp:rsid wsp:val=&quot;00F3720A&quot;/&gt;&lt;wsp:rsid wsp:val=&quot;00F3737B&quot;/&gt;&lt;wsp:rsid wsp:val=&quot;00F3746E&quot;/&gt;&lt;wsp:rsid wsp:val=&quot;00F378D0&quot;/&gt;&lt;wsp:rsid wsp:val=&quot;00F4014F&quot;/&gt;&lt;wsp:rsid wsp:val=&quot;00F40169&quot;/&gt;&lt;wsp:rsid wsp:val=&quot;00F40E08&quot;/&gt;&lt;wsp:rsid wsp:val=&quot;00F40E6C&quot;/&gt;&lt;wsp:rsid wsp:val=&quot;00F41130&quot;/&gt;&lt;wsp:rsid wsp:val=&quot;00F41547&quot;/&gt;&lt;wsp:rsid wsp:val=&quot;00F41755&quot;/&gt;&lt;wsp:rsid wsp:val=&quot;00F41C49&quot;/&gt;&lt;wsp:rsid wsp:val=&quot;00F42189&quot;/&gt;&lt;wsp:rsid wsp:val=&quot;00F4257D&quot;/&gt;&lt;wsp:rsid wsp:val=&quot;00F425C6&quot;/&gt;&lt;wsp:rsid wsp:val=&quot;00F42938&quot;/&gt;&lt;wsp:rsid wsp:val=&quot;00F429A0&quot;/&gt;&lt;wsp:rsid wsp:val=&quot;00F42A33&quot;/&gt;&lt;wsp:rsid wsp:val=&quot;00F42D66&quot;/&gt;&lt;wsp:rsid wsp:val=&quot;00F4309F&quot;/&gt;&lt;wsp:rsid wsp:val=&quot;00F43281&quot;/&gt;&lt;wsp:rsid wsp:val=&quot;00F4349A&quot;/&gt;&lt;wsp:rsid wsp:val=&quot;00F435B7&quot;/&gt;&lt;wsp:rsid wsp:val=&quot;00F43749&quot;/&gt;&lt;wsp:rsid wsp:val=&quot;00F43B29&quot;/&gt;&lt;wsp:rsid wsp:val=&quot;00F44116&quot;/&gt;&lt;wsp:rsid wsp:val=&quot;00F4420F&quot;/&gt;&lt;wsp:rsid wsp:val=&quot;00F44464&quot;/&gt;&lt;wsp:rsid wsp:val=&quot;00F45A2D&quot;/&gt;&lt;wsp:rsid wsp:val=&quot;00F45B5C&quot;/&gt;&lt;wsp:rsid wsp:val=&quot;00F45E2F&quot;/&gt;&lt;wsp:rsid wsp:val=&quot;00F4666B&quot;/&gt;&lt;wsp:rsid wsp:val=&quot;00F468B3&quot;/&gt;&lt;wsp:rsid wsp:val=&quot;00F46947&quot;/&gt;&lt;wsp:rsid wsp:val=&quot;00F46BBC&quot;/&gt;&lt;wsp:rsid wsp:val=&quot;00F47164&quot;/&gt;&lt;wsp:rsid wsp:val=&quot;00F47605&quot;/&gt;&lt;wsp:rsid wsp:val=&quot;00F4791C&quot;/&gt;&lt;wsp:rsid wsp:val=&quot;00F50B49&quot;/&gt;&lt;wsp:rsid wsp:val=&quot;00F50BFE&quot;/&gt;&lt;wsp:rsid wsp:val=&quot;00F50CB7&quot;/&gt;&lt;wsp:rsid wsp:val=&quot;00F50D52&quot;/&gt;&lt;wsp:rsid wsp:val=&quot;00F50E3D&quot;/&gt;&lt;wsp:rsid wsp:val=&quot;00F510DF&quot;/&gt;&lt;wsp:rsid wsp:val=&quot;00F5130C&quot;/&gt;&lt;wsp:rsid wsp:val=&quot;00F515BE&quot;/&gt;&lt;wsp:rsid wsp:val=&quot;00F51774&quot;/&gt;&lt;wsp:rsid wsp:val=&quot;00F51AE6&quot;/&gt;&lt;wsp:rsid wsp:val=&quot;00F51CB1&quot;/&gt;&lt;wsp:rsid wsp:val=&quot;00F51E79&quot;/&gt;&lt;wsp:rsid wsp:val=&quot;00F51FFA&quot;/&gt;&lt;wsp:rsid wsp:val=&quot;00F52361&quot;/&gt;&lt;wsp:rsid wsp:val=&quot;00F524A7&quot;/&gt;&lt;wsp:rsid wsp:val=&quot;00F533D1&quot;/&gt;&lt;wsp:rsid wsp:val=&quot;00F534D4&quot;/&gt;&lt;wsp:rsid wsp:val=&quot;00F53523&quot;/&gt;&lt;wsp:rsid wsp:val=&quot;00F535F4&quot;/&gt;&lt;wsp:rsid wsp:val=&quot;00F53D3A&quot;/&gt;&lt;wsp:rsid wsp:val=&quot;00F53DD9&quot;/&gt;&lt;wsp:rsid wsp:val=&quot;00F54446&quot;/&gt;&lt;wsp:rsid wsp:val=&quot;00F5463A&quot;/&gt;&lt;wsp:rsid wsp:val=&quot;00F549C9&quot;/&gt;&lt;wsp:rsid wsp:val=&quot;00F54D7E&quot;/&gt;&lt;wsp:rsid wsp:val=&quot;00F54EF2&quot;/&gt;&lt;wsp:rsid wsp:val=&quot;00F553A0&quot;/&gt;&lt;wsp:rsid wsp:val=&quot;00F553F3&quot;/&gt;&lt;wsp:rsid wsp:val=&quot;00F55717&quot;/&gt;&lt;wsp:rsid wsp:val=&quot;00F557A0&quot;/&gt;&lt;wsp:rsid wsp:val=&quot;00F55827&quot;/&gt;&lt;wsp:rsid wsp:val=&quot;00F559F1&quot;/&gt;&lt;wsp:rsid wsp:val=&quot;00F55C4B&quot;/&gt;&lt;wsp:rsid wsp:val=&quot;00F56030&quot;/&gt;&lt;wsp:rsid wsp:val=&quot;00F56198&quot;/&gt;&lt;wsp:rsid wsp:val=&quot;00F56346&quot;/&gt;&lt;wsp:rsid wsp:val=&quot;00F56A8D&quot;/&gt;&lt;wsp:rsid wsp:val=&quot;00F56D1D&quot;/&gt;&lt;wsp:rsid wsp:val=&quot;00F56D8D&quot;/&gt;&lt;wsp:rsid wsp:val=&quot;00F56F57&quot;/&gt;&lt;wsp:rsid wsp:val=&quot;00F57A19&quot;/&gt;&lt;wsp:rsid wsp:val=&quot;00F57AD3&quot;/&gt;&lt;wsp:rsid wsp:val=&quot;00F57DBF&quot;/&gt;&lt;wsp:rsid wsp:val=&quot;00F60254&quot;/&gt;&lt;wsp:rsid wsp:val=&quot;00F60780&quot;/&gt;&lt;wsp:rsid wsp:val=&quot;00F610E2&quot;/&gt;&lt;wsp:rsid wsp:val=&quot;00F611C7&quot;/&gt;&lt;wsp:rsid wsp:val=&quot;00F61226&quot;/&gt;&lt;wsp:rsid wsp:val=&quot;00F614D7&quot;/&gt;&lt;wsp:rsid wsp:val=&quot;00F61649&quot;/&gt;&lt;wsp:rsid wsp:val=&quot;00F6170F&quot;/&gt;&lt;wsp:rsid wsp:val=&quot;00F61B5A&quot;/&gt;&lt;wsp:rsid wsp:val=&quot;00F61EF1&quot;/&gt;&lt;wsp:rsid wsp:val=&quot;00F6263C&quot;/&gt;&lt;wsp:rsid wsp:val=&quot;00F62D8E&quot;/&gt;&lt;wsp:rsid wsp:val=&quot;00F6324B&quot;/&gt;&lt;wsp:rsid wsp:val=&quot;00F632CF&quot;/&gt;&lt;wsp:rsid wsp:val=&quot;00F633DF&quot;/&gt;&lt;wsp:rsid wsp:val=&quot;00F635EB&quot;/&gt;&lt;wsp:rsid wsp:val=&quot;00F636D8&quot;/&gt;&lt;wsp:rsid wsp:val=&quot;00F63B09&quot;/&gt;&lt;wsp:rsid wsp:val=&quot;00F63CD5&quot;/&gt;&lt;wsp:rsid wsp:val=&quot;00F63D5A&quot;/&gt;&lt;wsp:rsid wsp:val=&quot;00F63D6F&quot;/&gt;&lt;wsp:rsid wsp:val=&quot;00F63EE9&quot;/&gt;&lt;wsp:rsid wsp:val=&quot;00F64154&quot;/&gt;&lt;wsp:rsid wsp:val=&quot;00F64265&quot;/&gt;&lt;wsp:rsid wsp:val=&quot;00F64337&quot;/&gt;&lt;wsp:rsid wsp:val=&quot;00F64483&quot;/&gt;&lt;wsp:rsid wsp:val=&quot;00F6553F&quot;/&gt;&lt;wsp:rsid wsp:val=&quot;00F6560A&quot;/&gt;&lt;wsp:rsid wsp:val=&quot;00F65768&quot;/&gt;&lt;wsp:rsid wsp:val=&quot;00F65908&quot;/&gt;&lt;wsp:rsid wsp:val=&quot;00F65A7E&quot;/&gt;&lt;wsp:rsid wsp:val=&quot;00F66318&quot;/&gt;&lt;wsp:rsid wsp:val=&quot;00F66610&quot;/&gt;&lt;wsp:rsid wsp:val=&quot;00F66707&quot;/&gt;&lt;wsp:rsid wsp:val=&quot;00F66708&quot;/&gt;&lt;wsp:rsid wsp:val=&quot;00F66F00&quot;/&gt;&lt;wsp:rsid wsp:val=&quot;00F66FAB&quot;/&gt;&lt;wsp:rsid wsp:val=&quot;00F67415&quot;/&gt;&lt;wsp:rsid wsp:val=&quot;00F6753F&quot;/&gt;&lt;wsp:rsid wsp:val=&quot;00F67AC2&quot;/&gt;&lt;wsp:rsid wsp:val=&quot;00F67CB4&quot;/&gt;&lt;wsp:rsid wsp:val=&quot;00F67CEB&quot;/&gt;&lt;wsp:rsid wsp:val=&quot;00F67D22&quot;/&gt;&lt;wsp:rsid wsp:val=&quot;00F67FFB&quot;/&gt;&lt;wsp:rsid wsp:val=&quot;00F70430&quot;/&gt;&lt;wsp:rsid wsp:val=&quot;00F706B8&quot;/&gt;&lt;wsp:rsid wsp:val=&quot;00F7081B&quot;/&gt;&lt;wsp:rsid wsp:val=&quot;00F70F04&quot;/&gt;&lt;wsp:rsid wsp:val=&quot;00F710CE&quot;/&gt;&lt;wsp:rsid wsp:val=&quot;00F71249&quot;/&gt;&lt;wsp:rsid wsp:val=&quot;00F715F9&quot;/&gt;&lt;wsp:rsid wsp:val=&quot;00F71C31&quot;/&gt;&lt;wsp:rsid wsp:val=&quot;00F71D0F&quot;/&gt;&lt;wsp:rsid wsp:val=&quot;00F7207F&quot;/&gt;&lt;wsp:rsid wsp:val=&quot;00F72142&quot;/&gt;&lt;wsp:rsid wsp:val=&quot;00F72156&quot;/&gt;&lt;wsp:rsid wsp:val=&quot;00F72FB8&quot;/&gt;&lt;wsp:rsid wsp:val=&quot;00F73302&quot;/&gt;&lt;wsp:rsid wsp:val=&quot;00F7366E&quot;/&gt;&lt;wsp:rsid wsp:val=&quot;00F738C0&quot;/&gt;&lt;wsp:rsid wsp:val=&quot;00F74BDB&quot;/&gt;&lt;wsp:rsid wsp:val=&quot;00F74DA1&quot;/&gt;&lt;wsp:rsid wsp:val=&quot;00F74FBC&quot;/&gt;&lt;wsp:rsid wsp:val=&quot;00F75343&quot;/&gt;&lt;wsp:rsid wsp:val=&quot;00F75733&quot;/&gt;&lt;wsp:rsid wsp:val=&quot;00F75983&quot;/&gt;&lt;wsp:rsid wsp:val=&quot;00F75995&quot;/&gt;&lt;wsp:rsid wsp:val=&quot;00F75B2C&quot;/&gt;&lt;wsp:rsid wsp:val=&quot;00F75E73&quot;/&gt;&lt;wsp:rsid wsp:val=&quot;00F75F1C&quot;/&gt;&lt;wsp:rsid wsp:val=&quot;00F76507&quot;/&gt;&lt;wsp:rsid wsp:val=&quot;00F76DE0&quot;/&gt;&lt;wsp:rsid wsp:val=&quot;00F772CB&quot;/&gt;&lt;wsp:rsid wsp:val=&quot;00F77526&quot;/&gt;&lt;wsp:rsid wsp:val=&quot;00F77867&quot;/&gt;&lt;wsp:rsid wsp:val=&quot;00F77A01&quot;/&gt;&lt;wsp:rsid wsp:val=&quot;00F77D4D&quot;/&gt;&lt;wsp:rsid wsp:val=&quot;00F80059&quot;/&gt;&lt;wsp:rsid wsp:val=&quot;00F800B6&quot;/&gt;&lt;wsp:rsid wsp:val=&quot;00F8013D&quot;/&gt;&lt;wsp:rsid wsp:val=&quot;00F8064C&quot;/&gt;&lt;wsp:rsid wsp:val=&quot;00F8097E&quot;/&gt;&lt;wsp:rsid wsp:val=&quot;00F80FD7&quot;/&gt;&lt;wsp:rsid wsp:val=&quot;00F815EB&quot;/&gt;&lt;wsp:rsid wsp:val=&quot;00F81FFE&quot;/&gt;&lt;wsp:rsid wsp:val=&quot;00F8227B&quot;/&gt;&lt;wsp:rsid wsp:val=&quot;00F82E2E&quot;/&gt;&lt;wsp:rsid wsp:val=&quot;00F830B3&quot;/&gt;&lt;wsp:rsid wsp:val=&quot;00F831CE&quot;/&gt;&lt;wsp:rsid wsp:val=&quot;00F83617&quot;/&gt;&lt;wsp:rsid wsp:val=&quot;00F83C98&quot;/&gt;&lt;wsp:rsid wsp:val=&quot;00F84063&quot;/&gt;&lt;wsp:rsid wsp:val=&quot;00F84147&quot;/&gt;&lt;wsp:rsid wsp:val=&quot;00F843A5&quot;/&gt;&lt;wsp:rsid wsp:val=&quot;00F84777&quot;/&gt;&lt;wsp:rsid wsp:val=&quot;00F84B77&quot;/&gt;&lt;wsp:rsid wsp:val=&quot;00F8559F&quot;/&gt;&lt;wsp:rsid wsp:val=&quot;00F85738&quot;/&gt;&lt;wsp:rsid wsp:val=&quot;00F859C5&quot;/&gt;&lt;wsp:rsid wsp:val=&quot;00F85D84&quot;/&gt;&lt;wsp:rsid wsp:val=&quot;00F85E7A&quot;/&gt;&lt;wsp:rsid wsp:val=&quot;00F8609A&quot;/&gt;&lt;wsp:rsid wsp:val=&quot;00F86338&quot;/&gt;&lt;wsp:rsid wsp:val=&quot;00F8693C&quot;/&gt;&lt;wsp:rsid wsp:val=&quot;00F86FFC&quot;/&gt;&lt;wsp:rsid wsp:val=&quot;00F871F6&quot;/&gt;&lt;wsp:rsid wsp:val=&quot;00F87838&quot;/&gt;&lt;wsp:rsid wsp:val=&quot;00F87867&quot;/&gt;&lt;wsp:rsid wsp:val=&quot;00F8786C&quot;/&gt;&lt;wsp:rsid wsp:val=&quot;00F900C4&quot;/&gt;&lt;wsp:rsid wsp:val=&quot;00F90109&quot;/&gt;&lt;wsp:rsid wsp:val=&quot;00F90192&quot;/&gt;&lt;wsp:rsid wsp:val=&quot;00F90A4C&quot;/&gt;&lt;wsp:rsid wsp:val=&quot;00F90A62&quot;/&gt;&lt;wsp:rsid wsp:val=&quot;00F90DE3&quot;/&gt;&lt;wsp:rsid wsp:val=&quot;00F91036&quot;/&gt;&lt;wsp:rsid wsp:val=&quot;00F915B0&quot;/&gt;&lt;wsp:rsid wsp:val=&quot;00F91F1B&quot;/&gt;&lt;wsp:rsid wsp:val=&quot;00F92253&quot;/&gt;&lt;wsp:rsid wsp:val=&quot;00F92447&quot;/&gt;&lt;wsp:rsid wsp:val=&quot;00F92CC4&quot;/&gt;&lt;wsp:rsid wsp:val=&quot;00F92DAA&quot;/&gt;&lt;wsp:rsid wsp:val=&quot;00F92EE6&quot;/&gt;&lt;wsp:rsid wsp:val=&quot;00F92FDD&quot;/&gt;&lt;wsp:rsid wsp:val=&quot;00F930C4&quot;/&gt;&lt;wsp:rsid wsp:val=&quot;00F932FB&quot;/&gt;&lt;wsp:rsid wsp:val=&quot;00F934B8&quot;/&gt;&lt;wsp:rsid wsp:val=&quot;00F9371D&quot;/&gt;&lt;wsp:rsid wsp:val=&quot;00F938A4&quot;/&gt;&lt;wsp:rsid wsp:val=&quot;00F93A2B&quot;/&gt;&lt;wsp:rsid wsp:val=&quot;00F93A8D&quot;/&gt;&lt;wsp:rsid wsp:val=&quot;00F93B83&quot;/&gt;&lt;wsp:rsid wsp:val=&quot;00F93D94&quot;/&gt;&lt;wsp:rsid wsp:val=&quot;00F93E13&quot;/&gt;&lt;wsp:rsid wsp:val=&quot;00F94910&quot;/&gt;&lt;wsp:rsid wsp:val=&quot;00F94927&quot;/&gt;&lt;wsp:rsid wsp:val=&quot;00F94B0C&quot;/&gt;&lt;wsp:rsid wsp:val=&quot;00F94C0B&quot;/&gt;&lt;wsp:rsid wsp:val=&quot;00F95AEB&quot;/&gt;&lt;wsp:rsid wsp:val=&quot;00F95EAF&quot;/&gt;&lt;wsp:rsid wsp:val=&quot;00F95EE3&quot;/&gt;&lt;wsp:rsid wsp:val=&quot;00F96327&quot;/&gt;&lt;wsp:rsid wsp:val=&quot;00F96387&quot;/&gt;&lt;wsp:rsid wsp:val=&quot;00F96ABC&quot;/&gt;&lt;wsp:rsid wsp:val=&quot;00F96C7A&quot;/&gt;&lt;wsp:rsid wsp:val=&quot;00F97541&quot;/&gt;&lt;wsp:rsid wsp:val=&quot;00F9773A&quot;/&gt;&lt;wsp:rsid wsp:val=&quot;00F97F36&quot;/&gt;&lt;wsp:rsid wsp:val=&quot;00FA00A0&quot;/&gt;&lt;wsp:rsid wsp:val=&quot;00FA01C0&quot;/&gt;&lt;wsp:rsid wsp:val=&quot;00FA033C&quot;/&gt;&lt;wsp:rsid wsp:val=&quot;00FA04BE&quot;/&gt;&lt;wsp:rsid wsp:val=&quot;00FA05F4&quot;/&gt;&lt;wsp:rsid wsp:val=&quot;00FA0C1B&quot;/&gt;&lt;wsp:rsid wsp:val=&quot;00FA1B8C&quot;/&gt;&lt;wsp:rsid wsp:val=&quot;00FA1BC3&quot;/&gt;&lt;wsp:rsid wsp:val=&quot;00FA1DE7&quot;/&gt;&lt;wsp:rsid wsp:val=&quot;00FA2244&quot;/&gt;&lt;wsp:rsid wsp:val=&quot;00FA2540&quot;/&gt;&lt;wsp:rsid wsp:val=&quot;00FA26BE&quot;/&gt;&lt;wsp:rsid wsp:val=&quot;00FA2818&quot;/&gt;&lt;wsp:rsid wsp:val=&quot;00FA2A08&quot;/&gt;&lt;wsp:rsid wsp:val=&quot;00FA2A8E&quot;/&gt;&lt;wsp:rsid wsp:val=&quot;00FA30F6&quot;/&gt;&lt;wsp:rsid wsp:val=&quot;00FA32BD&quot;/&gt;&lt;wsp:rsid wsp:val=&quot;00FA34AC&quot;/&gt;&lt;wsp:rsid wsp:val=&quot;00FA3BCD&quot;/&gt;&lt;wsp:rsid wsp:val=&quot;00FA3F2B&quot;/&gt;&lt;wsp:rsid wsp:val=&quot;00FA41C1&quot;/&gt;&lt;wsp:rsid wsp:val=&quot;00FA4765&quot;/&gt;&lt;wsp:rsid wsp:val=&quot;00FA49C8&quot;/&gt;&lt;wsp:rsid wsp:val=&quot;00FA4FBA&quot;/&gt;&lt;wsp:rsid wsp:val=&quot;00FA504F&quot;/&gt;&lt;wsp:rsid wsp:val=&quot;00FA5CE8&quot;/&gt;&lt;wsp:rsid wsp:val=&quot;00FA60DF&quot;/&gt;&lt;wsp:rsid wsp:val=&quot;00FA67C6&quot;/&gt;&lt;wsp:rsid wsp:val=&quot;00FA6C93&quot;/&gt;&lt;wsp:rsid wsp:val=&quot;00FA764F&quot;/&gt;&lt;wsp:rsid wsp:val=&quot;00FA7B49&quot;/&gt;&lt;wsp:rsid wsp:val=&quot;00FA7FD0&quot;/&gt;&lt;wsp:rsid wsp:val=&quot;00FB00AE&quot;/&gt;&lt;wsp:rsid wsp:val=&quot;00FB045A&quot;/&gt;&lt;wsp:rsid wsp:val=&quot;00FB05A8&quot;/&gt;&lt;wsp:rsid wsp:val=&quot;00FB06EE&quot;/&gt;&lt;wsp:rsid wsp:val=&quot;00FB0D00&quot;/&gt;&lt;wsp:rsid wsp:val=&quot;00FB0F95&quot;/&gt;&lt;wsp:rsid wsp:val=&quot;00FB12DD&quot;/&gt;&lt;wsp:rsid wsp:val=&quot;00FB1C96&quot;/&gt;&lt;wsp:rsid wsp:val=&quot;00FB2222&quot;/&gt;&lt;wsp:rsid wsp:val=&quot;00FB230F&quot;/&gt;&lt;wsp:rsid wsp:val=&quot;00FB26CE&quot;/&gt;&lt;wsp:rsid wsp:val=&quot;00FB2C27&quot;/&gt;&lt;wsp:rsid wsp:val=&quot;00FB3464&quot;/&gt;&lt;wsp:rsid wsp:val=&quot;00FB36A0&quot;/&gt;&lt;wsp:rsid wsp:val=&quot;00FB378F&quot;/&gt;&lt;wsp:rsid wsp:val=&quot;00FB3CA8&quot;/&gt;&lt;wsp:rsid wsp:val=&quot;00FB3D65&quot;/&gt;&lt;wsp:rsid wsp:val=&quot;00FB4896&quot;/&gt;&lt;wsp:rsid wsp:val=&quot;00FB49C9&quot;/&gt;&lt;wsp:rsid wsp:val=&quot;00FB5479&quot;/&gt;&lt;wsp:rsid wsp:val=&quot;00FB5BE0&quot;/&gt;&lt;wsp:rsid wsp:val=&quot;00FB66DF&quot;/&gt;&lt;wsp:rsid wsp:val=&quot;00FB67FB&quot;/&gt;&lt;wsp:rsid wsp:val=&quot;00FB68B4&quot;/&gt;&lt;wsp:rsid wsp:val=&quot;00FB6D37&quot;/&gt;&lt;wsp:rsid wsp:val=&quot;00FB6FE3&quot;/&gt;&lt;wsp:rsid wsp:val=&quot;00FB7158&quot;/&gt;&lt;wsp:rsid wsp:val=&quot;00FB726C&quot;/&gt;&lt;wsp:rsid wsp:val=&quot;00FB75F6&quot;/&gt;&lt;wsp:rsid wsp:val=&quot;00FC0929&quot;/&gt;&lt;wsp:rsid wsp:val=&quot;00FC0B69&quot;/&gt;&lt;wsp:rsid wsp:val=&quot;00FC0DD7&quot;/&gt;&lt;wsp:rsid wsp:val=&quot;00FC15A1&quot;/&gt;&lt;wsp:rsid wsp:val=&quot;00FC15B6&quot;/&gt;&lt;wsp:rsid wsp:val=&quot;00FC1E7C&quot;/&gt;&lt;wsp:rsid wsp:val=&quot;00FC211A&quot;/&gt;&lt;wsp:rsid wsp:val=&quot;00FC24EE&quot;/&gt;&lt;wsp:rsid wsp:val=&quot;00FC2522&quot;/&gt;&lt;wsp:rsid wsp:val=&quot;00FC2C55&quot;/&gt;&lt;wsp:rsid wsp:val=&quot;00FC312E&quot;/&gt;&lt;wsp:rsid wsp:val=&quot;00FC346A&quot;/&gt;&lt;wsp:rsid wsp:val=&quot;00FC3BE2&quot;/&gt;&lt;wsp:rsid wsp:val=&quot;00FC3F56&quot;/&gt;&lt;wsp:rsid wsp:val=&quot;00FC42D9&quot;/&gt;&lt;wsp:rsid wsp:val=&quot;00FC49F9&quot;/&gt;&lt;wsp:rsid wsp:val=&quot;00FC4F0F&quot;/&gt;&lt;wsp:rsid wsp:val=&quot;00FC4F67&quot;/&gt;&lt;wsp:rsid wsp:val=&quot;00FC509E&quot;/&gt;&lt;wsp:rsid wsp:val=&quot;00FC525E&quot;/&gt;&lt;wsp:rsid wsp:val=&quot;00FC55B4&quot;/&gt;&lt;wsp:rsid wsp:val=&quot;00FC5ADA&quot;/&gt;&lt;wsp:rsid wsp:val=&quot;00FC60AF&quot;/&gt;&lt;wsp:rsid wsp:val=&quot;00FC6224&quot;/&gt;&lt;wsp:rsid wsp:val=&quot;00FC6496&quot;/&gt;&lt;wsp:rsid wsp:val=&quot;00FC6906&quot;/&gt;&lt;wsp:rsid wsp:val=&quot;00FC69CA&quot;/&gt;&lt;wsp:rsid wsp:val=&quot;00FC6B75&quot;/&gt;&lt;wsp:rsid wsp:val=&quot;00FC7632&quot;/&gt;&lt;wsp:rsid wsp:val=&quot;00FC7807&quot;/&gt;&lt;wsp:rsid wsp:val=&quot;00FC7B72&quot;/&gt;&lt;wsp:rsid wsp:val=&quot;00FC7D2A&quot;/&gt;&lt;wsp:rsid wsp:val=&quot;00FC7F6A&quot;/&gt;&lt;wsp:rsid wsp:val=&quot;00FD01AC&quot;/&gt;&lt;wsp:rsid wsp:val=&quot;00FD01BA&quot;/&gt;&lt;wsp:rsid wsp:val=&quot;00FD06A4&quot;/&gt;&lt;wsp:rsid wsp:val=&quot;00FD0897&quot;/&gt;&lt;wsp:rsid wsp:val=&quot;00FD0912&quot;/&gt;&lt;wsp:rsid wsp:val=&quot;00FD10F6&quot;/&gt;&lt;wsp:rsid wsp:val=&quot;00FD12B2&quot;/&gt;&lt;wsp:rsid wsp:val=&quot;00FD12B3&quot;/&gt;&lt;wsp:rsid wsp:val=&quot;00FD1AE0&quot;/&gt;&lt;wsp:rsid wsp:val=&quot;00FD2D3C&quot;/&gt;&lt;wsp:rsid wsp:val=&quot;00FD375E&quot;/&gt;&lt;wsp:rsid wsp:val=&quot;00FD399B&quot;/&gt;&lt;wsp:rsid wsp:val=&quot;00FD3F7E&quot;/&gt;&lt;wsp:rsid wsp:val=&quot;00FD41C0&quot;/&gt;&lt;wsp:rsid wsp:val=&quot;00FD4CF6&quot;/&gt;&lt;wsp:rsid wsp:val=&quot;00FD5455&quot;/&gt;&lt;wsp:rsid wsp:val=&quot;00FD5531&quot;/&gt;&lt;wsp:rsid wsp:val=&quot;00FD584E&quot;/&gt;&lt;wsp:rsid wsp:val=&quot;00FD5AE7&quot;/&gt;&lt;wsp:rsid wsp:val=&quot;00FD5F9D&quot;/&gt;&lt;wsp:rsid wsp:val=&quot;00FD618D&quot;/&gt;&lt;wsp:rsid wsp:val=&quot;00FD66C9&quot;/&gt;&lt;wsp:rsid wsp:val=&quot;00FD6D27&quot;/&gt;&lt;wsp:rsid wsp:val=&quot;00FD6F86&quot;/&gt;&lt;wsp:rsid wsp:val=&quot;00FD75D7&quot;/&gt;&lt;wsp:rsid wsp:val=&quot;00FD762F&quot;/&gt;&lt;wsp:rsid wsp:val=&quot;00FD76A1&quot;/&gt;&lt;wsp:rsid wsp:val=&quot;00FD7D93&quot;/&gt;&lt;wsp:rsid wsp:val=&quot;00FD7DE1&quot;/&gt;&lt;wsp:rsid wsp:val=&quot;00FE029E&quot;/&gt;&lt;wsp:rsid wsp:val=&quot;00FE036B&quot;/&gt;&lt;wsp:rsid wsp:val=&quot;00FE0473&quot;/&gt;&lt;wsp:rsid wsp:val=&quot;00FE051B&quot;/&gt;&lt;wsp:rsid wsp:val=&quot;00FE05F2&quot;/&gt;&lt;wsp:rsid wsp:val=&quot;00FE0609&quot;/&gt;&lt;wsp:rsid wsp:val=&quot;00FE08A0&quot;/&gt;&lt;wsp:rsid wsp:val=&quot;00FE0BA6&quot;/&gt;&lt;wsp:rsid wsp:val=&quot;00FE0C80&quot;/&gt;&lt;wsp:rsid wsp:val=&quot;00FE0EEB&quot;/&gt;&lt;wsp:rsid wsp:val=&quot;00FE1247&quot;/&gt;&lt;wsp:rsid wsp:val=&quot;00FE13FE&quot;/&gt;&lt;wsp:rsid wsp:val=&quot;00FE1543&quot;/&gt;&lt;wsp:rsid wsp:val=&quot;00FE174B&quot;/&gt;&lt;wsp:rsid wsp:val=&quot;00FE1BF0&quot;/&gt;&lt;wsp:rsid wsp:val=&quot;00FE1C12&quot;/&gt;&lt;wsp:rsid wsp:val=&quot;00FE23D2&quot;/&gt;&lt;wsp:rsid wsp:val=&quot;00FE2C75&quot;/&gt;&lt;wsp:rsid wsp:val=&quot;00FE2EA9&quot;/&gt;&lt;wsp:rsid wsp:val=&quot;00FE2F88&quot;/&gt;&lt;wsp:rsid wsp:val=&quot;00FE3205&quot;/&gt;&lt;wsp:rsid wsp:val=&quot;00FE3508&quot;/&gt;&lt;wsp:rsid wsp:val=&quot;00FE4194&quot;/&gt;&lt;wsp:rsid wsp:val=&quot;00FE4C69&quot;/&gt;&lt;wsp:rsid wsp:val=&quot;00FE50F5&quot;/&gt;&lt;wsp:rsid wsp:val=&quot;00FE5A67&quot;/&gt;&lt;wsp:rsid wsp:val=&quot;00FE5B4E&quot;/&gt;&lt;wsp:rsid wsp:val=&quot;00FE5BB6&quot;/&gt;&lt;wsp:rsid wsp:val=&quot;00FE5FE2&quot;/&gt;&lt;wsp:rsid wsp:val=&quot;00FE68AF&quot;/&gt;&lt;wsp:rsid wsp:val=&quot;00FE69FF&quot;/&gt;&lt;wsp:rsid wsp:val=&quot;00FE6B81&quot;/&gt;&lt;wsp:rsid wsp:val=&quot;00FE6F08&quot;/&gt;&lt;wsp:rsid wsp:val=&quot;00FE73DA&quot;/&gt;&lt;wsp:rsid wsp:val=&quot;00FE7461&quot;/&gt;&lt;wsp:rsid wsp:val=&quot;00FE7AE3&quot;/&gt;&lt;wsp:rsid wsp:val=&quot;00FE7B60&quot;/&gt;&lt;wsp:rsid wsp:val=&quot;00FE7DA7&quot;/&gt;&lt;wsp:rsid wsp:val=&quot;00FF008D&quot;/&gt;&lt;wsp:rsid wsp:val=&quot;00FF035A&quot;/&gt;&lt;wsp:rsid wsp:val=&quot;00FF0673&quot;/&gt;&lt;wsp:rsid wsp:val=&quot;00FF0D10&quot;/&gt;&lt;wsp:rsid wsp:val=&quot;00FF0F50&quot;/&gt;&lt;wsp:rsid wsp:val=&quot;00FF1047&quot;/&gt;&lt;wsp:rsid wsp:val=&quot;00FF14A9&quot;/&gt;&lt;wsp:rsid wsp:val=&quot;00FF1544&quot;/&gt;&lt;wsp:rsid wsp:val=&quot;00FF17EF&quot;/&gt;&lt;wsp:rsid wsp:val=&quot;00FF1913&quot;/&gt;&lt;wsp:rsid wsp:val=&quot;00FF1B3F&quot;/&gt;&lt;wsp:rsid wsp:val=&quot;00FF2053&quot;/&gt;&lt;wsp:rsid wsp:val=&quot;00FF21AF&quot;/&gt;&lt;wsp:rsid wsp:val=&quot;00FF23D4&quot;/&gt;&lt;wsp:rsid wsp:val=&quot;00FF2490&quot;/&gt;&lt;wsp:rsid wsp:val=&quot;00FF24C2&quot;/&gt;&lt;wsp:rsid wsp:val=&quot;00FF2651&quot;/&gt;&lt;wsp:rsid wsp:val=&quot;00FF2697&quot;/&gt;&lt;wsp:rsid wsp:val=&quot;00FF26E2&quot;/&gt;&lt;wsp:rsid wsp:val=&quot;00FF2FA3&quot;/&gt;&lt;wsp:rsid wsp:val=&quot;00FF3527&quot;/&gt;&lt;wsp:rsid wsp:val=&quot;00FF3F2D&quot;/&gt;&lt;wsp:rsid wsp:val=&quot;00FF3FDC&quot;/&gt;&lt;wsp:rsid wsp:val=&quot;00FF418C&quot;/&gt;&lt;wsp:rsid wsp:val=&quot;00FF458A&quot;/&gt;&lt;wsp:rsid wsp:val=&quot;00FF4B3E&quot;/&gt;&lt;wsp:rsid wsp:val=&quot;00FF4BC9&quot;/&gt;&lt;wsp:rsid wsp:val=&quot;00FF4BCD&quot;/&gt;&lt;wsp:rsid wsp:val=&quot;00FF4CE9&quot;/&gt;&lt;wsp:rsid wsp:val=&quot;00FF4F95&quot;/&gt;&lt;wsp:rsid wsp:val=&quot;00FF5096&quot;/&gt;&lt;wsp:rsid wsp:val=&quot;00FF529E&quot;/&gt;&lt;wsp:rsid wsp:val=&quot;00FF549F&quot;/&gt;&lt;wsp:rsid wsp:val=&quot;00FF54B7&quot;/&gt;&lt;wsp:rsid wsp:val=&quot;00FF5666&quot;/&gt;&lt;wsp:rsid wsp:val=&quot;00FF56A5&quot;/&gt;&lt;wsp:rsid wsp:val=&quot;00FF5BF6&quot;/&gt;&lt;wsp:rsid wsp:val=&quot;00FF5C6D&quot;/&gt;&lt;wsp:rsid wsp:val=&quot;00FF5C6E&quot;/&gt;&lt;wsp:rsid wsp:val=&quot;00FF633F&quot;/&gt;&lt;wsp:rsid wsp:val=&quot;00FF66CC&quot;/&gt;&lt;wsp:rsid wsp:val=&quot;00FF67D3&quot;/&gt;&lt;wsp:rsid wsp:val=&quot;00FF6B0E&quot;/&gt;&lt;wsp:rsid wsp:val=&quot;00FF6B43&quot;/&gt;&lt;wsp:rsid wsp:val=&quot;00FF6F3F&quot;/&gt;&lt;wsp:rsid wsp:val=&quot;00FF7328&quot;/&gt;&lt;wsp:rsid wsp:val=&quot;00FF7600&quot;/&gt;&lt;wsp:rsid wsp:val=&quot;00FF77A7&quot;/&gt;&lt;wsp:rsid wsp:val=&quot;00FF7B0F&quot;/&gt;&lt;wsp:rsid wsp:val=&quot;00FF7D42&quot;/&gt;&lt;wsp:rsid wsp:val=&quot;00FF7F25&quot;/&gt;&lt;/wsp:rsids&gt;&lt;/w:docPr&gt;&lt;w:body&gt;&lt;w:p wsp:rsidR=&quot;00000000&quot; wsp:rsidRDefault=&quot;00506730&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S&lt;/m:t&gt;&lt;/m:r&gt;&lt;/m:e&gt;&lt;m:sub&gt;&lt;m:r&gt;&lt;w:rPr&gt;&lt;w:rFonts w:ascii=&quot;Cambria Math&quot; w:fareast=&quot;Times New Roman&quot; w:h-ansi=&quot;Cambria Math&quot;/&gt;&lt;wx:font wx:val=&quot;Cambria Math&quot;/&gt;&lt;w:i/&gt;&lt;w:sz w:val=&quot;28&quot;/&gt;&lt;w:sz-cs w:val=&quot;28&quot;/&gt;&lt;/w:rPr&gt;&lt;m:t&gt;С„&lt;/m:t&gt;&lt;/m:r&gt;&lt;/m:sub&gt;&lt;/m:sSub&gt;&lt;m:r&gt;&lt;w:rPr&gt;&lt;w:rFonts w:ascii=&quot;Cambria Math&quot; w:fareast=&quot;Times New Roman&quot; w:h-ansi=&quot;Cambria Math&quot;/&gt;&lt;wx:font wx:val=&quot;Cambria Math&quot;/&gt;&lt;w:i/&gt;&lt;w:sz w:val=&quot;28&quot;/&gt;&lt;w:sz-cs w:val=&quot;28&quot;/&gt;&lt;/w:rPr&gt;&lt;m:t&gt;=&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K&lt;/m:t&gt;&lt;/m:r&gt;&lt;/m:e&gt;&lt;m:sub&gt;&lt;m:r&gt;&lt;w:rPr&gt;&lt;w:rFonts w:ascii=&quot;Cambria Math&quot; w:fareast=&quot;Times New Roman&quot; w:h-ansi=&quot;Cambria Math&quot;/&gt;&lt;wx:font wx:val=&quot;Cambria Math&quot;/&gt;&lt;w:i/&gt;&lt;w:sz w:val=&quot;28&quot;/&gt;&lt;w:sz-cs w:val=&quot;28&quot;/&gt;&lt;/w:rPr&gt;&lt;m:t&gt;РІ&lt;/m:t&gt;&lt;/m:r&gt;&lt;/m:sub&gt;&lt;/m:sSub&gt;&lt;m:r&gt;&lt;w:rPr&gt;&lt;w:rFonts w:ascii=&quot;Cambria Math&quot; w:fareast=&quot;Times New Roman&quot; w:h-ansi=&quot;Cambria Math&quot;/&gt;&lt;wx:font wx:val=&quot;Cambria Math&quot;/&gt;&lt;w:i/&gt;&lt;w:sz w:val=&quot;28&quot;/&gt;&lt;w:sz-cs w:val=&quot;28&quot;/&gt;&lt;/w:rPr&gt;&lt;m:t&gt;Г—&lt;/m:t&gt;&lt;/m:r&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Р“&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rPr&gt;&lt;m:t&gt;Г—&lt;/m:t&gt;&lt;/m:r&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N&lt;/m:t&gt;&lt;/m:r&gt;&lt;/m:e&gt;&lt;m:sup&gt;&lt;m:r&gt;&lt;w:rPr&gt;&lt;w:rFonts w:ascii=&quot;Cambria Math&quot; w:fareast=&quot;Times New Roman&quot; w:h-ansi=&quot;Cambria Math&quot;/&gt;&lt;wx:font wx:val=&quot;Cambria Math&quot;/&gt;&lt;w:i/&gt;&lt;w:sz w:val=&quot;28&quot;/&gt;&lt;w:sz-cs w:val=&quot;28&quot;/&gt;&lt;/w:rPr&gt;&lt;m:t&gt;0.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0" o:title="" chromakey="white"/>
          </v:shape>
        </w:pict>
      </w:r>
    </w:p>
    <w:p w:rsidR="002D1E45" w:rsidRPr="004D071E" w:rsidRDefault="002D1E45" w:rsidP="004D071E">
      <w:pPr>
        <w:spacing w:after="0" w:line="240" w:lineRule="auto"/>
        <w:ind w:firstLine="709"/>
        <w:jc w:val="both"/>
        <w:rPr>
          <w:rFonts w:ascii="Times New Roman" w:hAnsi="Times New Roman"/>
          <w:sz w:val="28"/>
          <w:szCs w:val="28"/>
        </w:rPr>
      </w:pPr>
    </w:p>
    <w:p w:rsidR="002D1E45" w:rsidRPr="004D071E" w:rsidRDefault="002D1E45" w:rsidP="004D071E">
      <w:pPr>
        <w:keepLines/>
        <w:widowControl w:val="0"/>
        <w:spacing w:after="0" w:line="240" w:lineRule="auto"/>
        <w:ind w:left="686"/>
        <w:rPr>
          <w:rFonts w:ascii="Times New Roman" w:hAnsi="Times New Roman"/>
          <w:sz w:val="28"/>
          <w:szCs w:val="28"/>
        </w:rPr>
      </w:pPr>
      <w:r w:rsidRPr="004D071E">
        <w:rPr>
          <w:rFonts w:ascii="Times New Roman" w:hAnsi="Times New Roman"/>
          <w:sz w:val="28"/>
          <w:szCs w:val="28"/>
        </w:rPr>
        <w:t>где:</w:t>
      </w:r>
    </w:p>
    <w:p w:rsidR="002D1E45" w:rsidRPr="004D071E" w:rsidRDefault="002D1E45" w:rsidP="004D071E">
      <w:pPr>
        <w:keepLines/>
        <w:widowControl w:val="0"/>
        <w:spacing w:after="0" w:line="240" w:lineRule="auto"/>
        <w:ind w:left="686"/>
        <w:jc w:val="both"/>
        <w:rPr>
          <w:rFonts w:ascii="Times New Roman" w:hAnsi="Times New Roman"/>
          <w:sz w:val="28"/>
          <w:szCs w:val="28"/>
        </w:rPr>
      </w:pPr>
      <w:r w:rsidRPr="004D071E">
        <w:rPr>
          <w:rFonts w:ascii="Times New Roman" w:hAnsi="Times New Roman"/>
          <w:sz w:val="28"/>
          <w:szCs w:val="28"/>
        </w:rPr>
        <w:t>Kв – коэффициент, зависящий от степени вертикальной устойчивости воздуха, принимается равным: 0,081 – при инверсии; 0,133 – при изотермии; 0,235 – при конвекции;</w:t>
      </w:r>
    </w:p>
    <w:p w:rsidR="002D1E45" w:rsidRPr="004D071E" w:rsidRDefault="002D1E45" w:rsidP="004D071E">
      <w:pPr>
        <w:keepLines/>
        <w:widowControl w:val="0"/>
        <w:spacing w:after="0" w:line="240" w:lineRule="auto"/>
        <w:ind w:left="686"/>
        <w:rPr>
          <w:rFonts w:ascii="Times New Roman" w:hAnsi="Times New Roman"/>
          <w:sz w:val="28"/>
          <w:szCs w:val="28"/>
        </w:rPr>
      </w:pPr>
      <w:r w:rsidRPr="004D071E">
        <w:rPr>
          <w:rFonts w:ascii="Times New Roman" w:hAnsi="Times New Roman"/>
          <w:sz w:val="28"/>
          <w:szCs w:val="28"/>
        </w:rPr>
        <w:t>N – время, прошедшее после начала аварии, ч.</w:t>
      </w:r>
    </w:p>
    <w:p w:rsidR="002D1E45" w:rsidRPr="004D071E" w:rsidRDefault="002D1E45" w:rsidP="004D071E">
      <w:pPr>
        <w:spacing w:after="0" w:line="240" w:lineRule="auto"/>
        <w:ind w:firstLine="709"/>
        <w:jc w:val="both"/>
        <w:rPr>
          <w:rFonts w:ascii="Times New Roman" w:hAnsi="Times New Roman"/>
          <w:sz w:val="28"/>
          <w:szCs w:val="24"/>
          <w:lang w:eastAsia="ru-RU"/>
        </w:rPr>
      </w:pPr>
      <w:r w:rsidRPr="004D071E">
        <w:rPr>
          <w:rFonts w:ascii="Times New Roman" w:hAnsi="Times New Roman"/>
          <w:sz w:val="28"/>
          <w:szCs w:val="24"/>
          <w:lang w:eastAsia="ru-RU"/>
        </w:rPr>
        <w:t>Вывод по результатам расчётов:</w:t>
      </w:r>
    </w:p>
    <w:p w:rsidR="002D1E45" w:rsidRPr="004D071E" w:rsidRDefault="002D1E45" w:rsidP="00852938">
      <w:pPr>
        <w:numPr>
          <w:ilvl w:val="0"/>
          <w:numId w:val="24"/>
        </w:numPr>
        <w:tabs>
          <w:tab w:val="clear" w:pos="1429"/>
          <w:tab w:val="left" w:pos="1134"/>
          <w:tab w:val="num" w:pos="1353"/>
        </w:tabs>
        <w:spacing w:after="0" w:line="240" w:lineRule="auto"/>
        <w:ind w:left="1134"/>
        <w:jc w:val="both"/>
        <w:rPr>
          <w:rFonts w:ascii="Times New Roman" w:hAnsi="Times New Roman"/>
          <w:sz w:val="28"/>
          <w:szCs w:val="28"/>
          <w:lang w:eastAsia="ru-RU"/>
        </w:rPr>
      </w:pPr>
      <w:r w:rsidRPr="004D071E">
        <w:rPr>
          <w:rFonts w:ascii="Times New Roman" w:hAnsi="Times New Roman"/>
          <w:sz w:val="28"/>
          <w:szCs w:val="28"/>
          <w:lang w:eastAsia="ru-RU"/>
        </w:rPr>
        <w:t>при сценариях аварий с розливом АХОВ (до 1 т хлора):</w:t>
      </w:r>
    </w:p>
    <w:p w:rsidR="002D1E45" w:rsidRPr="004D071E" w:rsidRDefault="002D1E45" w:rsidP="00852938">
      <w:pPr>
        <w:numPr>
          <w:ilvl w:val="0"/>
          <w:numId w:val="45"/>
        </w:numPr>
        <w:spacing w:after="0" w:line="240" w:lineRule="auto"/>
        <w:ind w:left="1701"/>
        <w:jc w:val="both"/>
        <w:rPr>
          <w:rFonts w:ascii="Times New Roman" w:hAnsi="Times New Roman"/>
          <w:sz w:val="28"/>
          <w:szCs w:val="28"/>
          <w:lang w:eastAsia="ru-RU"/>
        </w:rPr>
      </w:pPr>
      <w:r w:rsidRPr="004D071E">
        <w:rPr>
          <w:rFonts w:ascii="Times New Roman" w:hAnsi="Times New Roman"/>
          <w:sz w:val="28"/>
          <w:szCs w:val="28"/>
          <w:lang w:eastAsia="ru-RU"/>
        </w:rPr>
        <w:t>Возможная частота реализации ЧС – 3×10</w:t>
      </w:r>
      <w:r w:rsidRPr="004D071E">
        <w:rPr>
          <w:rFonts w:ascii="Times New Roman" w:hAnsi="Times New Roman"/>
          <w:sz w:val="28"/>
          <w:szCs w:val="28"/>
          <w:vertAlign w:val="superscript"/>
          <w:lang w:eastAsia="ru-RU"/>
        </w:rPr>
        <w:t>-6</w:t>
      </w:r>
      <w:r w:rsidRPr="004D071E">
        <w:rPr>
          <w:rFonts w:ascii="Times New Roman" w:hAnsi="Times New Roman"/>
          <w:sz w:val="28"/>
          <w:szCs w:val="28"/>
          <w:lang w:eastAsia="ru-RU"/>
        </w:rPr>
        <w:t xml:space="preserve"> год</w:t>
      </w:r>
      <w:r w:rsidRPr="004D071E">
        <w:rPr>
          <w:rFonts w:ascii="Times New Roman" w:hAnsi="Times New Roman"/>
          <w:sz w:val="28"/>
          <w:szCs w:val="28"/>
          <w:vertAlign w:val="superscript"/>
          <w:lang w:eastAsia="ru-RU"/>
        </w:rPr>
        <w:t>-1</w:t>
      </w:r>
      <w:r w:rsidRPr="004D071E">
        <w:rPr>
          <w:rFonts w:ascii="Times New Roman" w:hAnsi="Times New Roman"/>
          <w:sz w:val="28"/>
          <w:szCs w:val="28"/>
          <w:lang w:eastAsia="ru-RU"/>
        </w:rPr>
        <w:t xml:space="preserve">. </w:t>
      </w:r>
    </w:p>
    <w:p w:rsidR="002D1E45" w:rsidRPr="004D071E" w:rsidRDefault="002D1E45" w:rsidP="00852938">
      <w:pPr>
        <w:numPr>
          <w:ilvl w:val="0"/>
          <w:numId w:val="45"/>
        </w:numPr>
        <w:spacing w:after="0" w:line="240" w:lineRule="auto"/>
        <w:ind w:left="1701"/>
        <w:jc w:val="both"/>
        <w:rPr>
          <w:rFonts w:ascii="Times New Roman" w:hAnsi="Times New Roman"/>
          <w:sz w:val="28"/>
          <w:szCs w:val="28"/>
          <w:lang w:eastAsia="ru-RU"/>
        </w:rPr>
      </w:pPr>
      <w:r w:rsidRPr="004D071E">
        <w:rPr>
          <w:rFonts w:ascii="Times New Roman" w:hAnsi="Times New Roman"/>
          <w:sz w:val="28"/>
          <w:szCs w:val="28"/>
          <w:lang w:eastAsia="ru-RU"/>
        </w:rPr>
        <w:t>Зона действия поражающих факторов – до 4 км.</w:t>
      </w:r>
    </w:p>
    <w:p w:rsidR="002D1E45" w:rsidRPr="004D071E" w:rsidRDefault="002D1E45" w:rsidP="00852938">
      <w:pPr>
        <w:numPr>
          <w:ilvl w:val="0"/>
          <w:numId w:val="45"/>
        </w:numPr>
        <w:spacing w:after="0" w:line="240" w:lineRule="auto"/>
        <w:ind w:left="1701"/>
        <w:jc w:val="both"/>
        <w:rPr>
          <w:rFonts w:ascii="Times New Roman" w:hAnsi="Times New Roman"/>
          <w:sz w:val="28"/>
          <w:szCs w:val="28"/>
          <w:lang w:eastAsia="ru-RU"/>
        </w:rPr>
      </w:pPr>
      <w:r w:rsidRPr="004D071E">
        <w:rPr>
          <w:rFonts w:ascii="Times New Roman" w:hAnsi="Times New Roman"/>
          <w:sz w:val="28"/>
          <w:szCs w:val="28"/>
          <w:lang w:eastAsia="ru-RU"/>
        </w:rPr>
        <w:t>Численность населения, у которого могут быть нарушены условия жизнедеятельности – 0 человек.</w:t>
      </w:r>
    </w:p>
    <w:p w:rsidR="002D1E45" w:rsidRPr="004D071E" w:rsidRDefault="002D1E45" w:rsidP="00852938">
      <w:pPr>
        <w:numPr>
          <w:ilvl w:val="0"/>
          <w:numId w:val="45"/>
        </w:numPr>
        <w:spacing w:after="0" w:line="240" w:lineRule="auto"/>
        <w:ind w:left="1701"/>
        <w:jc w:val="both"/>
        <w:rPr>
          <w:rFonts w:ascii="Times New Roman" w:hAnsi="Times New Roman"/>
          <w:sz w:val="28"/>
          <w:szCs w:val="28"/>
          <w:lang w:eastAsia="ru-RU"/>
        </w:rPr>
      </w:pPr>
      <w:r w:rsidRPr="004D071E">
        <w:rPr>
          <w:rFonts w:ascii="Times New Roman" w:hAnsi="Times New Roman"/>
          <w:sz w:val="28"/>
          <w:szCs w:val="28"/>
          <w:lang w:eastAsia="ru-RU"/>
        </w:rPr>
        <w:t>Безвозвратные потери – 10 %, санитарные потери тяжёлой и средней тяжести – 15 %, санитарные потери лёгкой формы – 20 %, пороговые воздействия – 55 %.</w:t>
      </w:r>
    </w:p>
    <w:p w:rsidR="002D1E45" w:rsidRPr="004D071E" w:rsidRDefault="002D1E45" w:rsidP="00852938">
      <w:pPr>
        <w:numPr>
          <w:ilvl w:val="0"/>
          <w:numId w:val="24"/>
        </w:numPr>
        <w:tabs>
          <w:tab w:val="clear" w:pos="1429"/>
          <w:tab w:val="left" w:pos="1134"/>
          <w:tab w:val="num" w:pos="1353"/>
        </w:tabs>
        <w:spacing w:after="0" w:line="240" w:lineRule="auto"/>
        <w:ind w:left="1134"/>
        <w:jc w:val="both"/>
        <w:rPr>
          <w:rFonts w:ascii="Times New Roman" w:hAnsi="Times New Roman"/>
          <w:sz w:val="28"/>
          <w:szCs w:val="28"/>
          <w:lang w:eastAsia="ru-RU"/>
        </w:rPr>
      </w:pPr>
      <w:r w:rsidRPr="004D071E">
        <w:rPr>
          <w:rFonts w:ascii="Times New Roman" w:hAnsi="Times New Roman"/>
          <w:sz w:val="28"/>
          <w:szCs w:val="28"/>
          <w:lang w:eastAsia="ru-RU"/>
        </w:rPr>
        <w:t>при сценариях аварий с розливом АХОВ (до 5 т аммиака):</w:t>
      </w:r>
    </w:p>
    <w:p w:rsidR="002D1E45" w:rsidRPr="004D071E" w:rsidRDefault="002D1E45" w:rsidP="00852938">
      <w:pPr>
        <w:numPr>
          <w:ilvl w:val="0"/>
          <w:numId w:val="45"/>
        </w:numPr>
        <w:spacing w:after="0" w:line="240" w:lineRule="auto"/>
        <w:ind w:left="1701"/>
        <w:jc w:val="both"/>
        <w:rPr>
          <w:rFonts w:ascii="Times New Roman" w:hAnsi="Times New Roman"/>
          <w:sz w:val="28"/>
          <w:szCs w:val="28"/>
          <w:lang w:eastAsia="ru-RU"/>
        </w:rPr>
      </w:pPr>
      <w:r w:rsidRPr="004D071E">
        <w:rPr>
          <w:rFonts w:ascii="Times New Roman" w:hAnsi="Times New Roman"/>
          <w:sz w:val="28"/>
          <w:szCs w:val="28"/>
          <w:lang w:eastAsia="ru-RU"/>
        </w:rPr>
        <w:t>Возможная частота реализации ЧС – 3×10</w:t>
      </w:r>
      <w:r w:rsidRPr="004D071E">
        <w:rPr>
          <w:rFonts w:ascii="Times New Roman" w:hAnsi="Times New Roman"/>
          <w:sz w:val="28"/>
          <w:szCs w:val="28"/>
          <w:vertAlign w:val="superscript"/>
          <w:lang w:eastAsia="ru-RU"/>
        </w:rPr>
        <w:t>-6</w:t>
      </w:r>
      <w:r w:rsidRPr="004D071E">
        <w:rPr>
          <w:rFonts w:ascii="Times New Roman" w:hAnsi="Times New Roman"/>
          <w:sz w:val="28"/>
          <w:szCs w:val="28"/>
          <w:lang w:eastAsia="ru-RU"/>
        </w:rPr>
        <w:t xml:space="preserve"> год</w:t>
      </w:r>
      <w:r w:rsidRPr="004D071E">
        <w:rPr>
          <w:rFonts w:ascii="Times New Roman" w:hAnsi="Times New Roman"/>
          <w:sz w:val="28"/>
          <w:szCs w:val="28"/>
          <w:vertAlign w:val="superscript"/>
          <w:lang w:eastAsia="ru-RU"/>
        </w:rPr>
        <w:t>-1</w:t>
      </w:r>
      <w:r w:rsidRPr="004D071E">
        <w:rPr>
          <w:rFonts w:ascii="Times New Roman" w:hAnsi="Times New Roman"/>
          <w:sz w:val="28"/>
          <w:szCs w:val="28"/>
          <w:lang w:eastAsia="ru-RU"/>
        </w:rPr>
        <w:t xml:space="preserve">. </w:t>
      </w:r>
    </w:p>
    <w:p w:rsidR="002D1E45" w:rsidRPr="004D071E" w:rsidRDefault="002D1E45" w:rsidP="00852938">
      <w:pPr>
        <w:numPr>
          <w:ilvl w:val="0"/>
          <w:numId w:val="45"/>
        </w:numPr>
        <w:spacing w:after="0" w:line="240" w:lineRule="auto"/>
        <w:ind w:left="1701"/>
        <w:jc w:val="both"/>
        <w:rPr>
          <w:rFonts w:ascii="Times New Roman" w:hAnsi="Times New Roman"/>
          <w:sz w:val="28"/>
          <w:szCs w:val="28"/>
          <w:lang w:eastAsia="ru-RU"/>
        </w:rPr>
      </w:pPr>
      <w:r w:rsidRPr="004D071E">
        <w:rPr>
          <w:rFonts w:ascii="Times New Roman" w:hAnsi="Times New Roman"/>
          <w:sz w:val="28"/>
          <w:szCs w:val="28"/>
          <w:lang w:eastAsia="ru-RU"/>
        </w:rPr>
        <w:t>Зона действия поражающих факторов – до 2 км.</w:t>
      </w:r>
    </w:p>
    <w:p w:rsidR="002D1E45" w:rsidRPr="004D071E" w:rsidRDefault="002D1E45" w:rsidP="00852938">
      <w:pPr>
        <w:numPr>
          <w:ilvl w:val="0"/>
          <w:numId w:val="45"/>
        </w:numPr>
        <w:spacing w:after="0" w:line="240" w:lineRule="auto"/>
        <w:ind w:left="1701"/>
        <w:jc w:val="both"/>
        <w:rPr>
          <w:rFonts w:ascii="Times New Roman" w:hAnsi="Times New Roman"/>
          <w:sz w:val="28"/>
          <w:szCs w:val="28"/>
          <w:lang w:eastAsia="ru-RU"/>
        </w:rPr>
      </w:pPr>
      <w:r w:rsidRPr="004D071E">
        <w:rPr>
          <w:rFonts w:ascii="Times New Roman" w:hAnsi="Times New Roman"/>
          <w:sz w:val="28"/>
          <w:szCs w:val="28"/>
          <w:lang w:eastAsia="ru-RU"/>
        </w:rPr>
        <w:t>Численность населения, у которого могут быть нарушены условия жизнедеятельности – 0 человек.</w:t>
      </w:r>
    </w:p>
    <w:p w:rsidR="002D1E45" w:rsidRPr="004D071E" w:rsidRDefault="002D1E45" w:rsidP="00852938">
      <w:pPr>
        <w:numPr>
          <w:ilvl w:val="0"/>
          <w:numId w:val="45"/>
        </w:numPr>
        <w:spacing w:after="0" w:line="240" w:lineRule="auto"/>
        <w:ind w:left="1701"/>
        <w:jc w:val="both"/>
        <w:rPr>
          <w:rFonts w:ascii="Times New Roman" w:hAnsi="Times New Roman"/>
          <w:sz w:val="28"/>
          <w:szCs w:val="28"/>
          <w:lang w:eastAsia="ru-RU"/>
        </w:rPr>
      </w:pPr>
      <w:r w:rsidRPr="004D071E">
        <w:rPr>
          <w:rFonts w:ascii="Times New Roman" w:hAnsi="Times New Roman"/>
          <w:sz w:val="28"/>
          <w:szCs w:val="28"/>
          <w:lang w:eastAsia="ru-RU"/>
        </w:rPr>
        <w:t>Безвозвратные потери – 10 %, санитарные потери тяжёлой и средней тяжести – 15 %, санитарные потери лёгкой формы – 20 %, пороговые воздействия – 55 %.</w:t>
      </w:r>
    </w:p>
    <w:p w:rsidR="002D1E45" w:rsidRPr="004D071E" w:rsidRDefault="002D1E45" w:rsidP="004D071E">
      <w:pPr>
        <w:spacing w:after="0" w:line="240" w:lineRule="auto"/>
        <w:ind w:firstLine="709"/>
        <w:jc w:val="both"/>
        <w:rPr>
          <w:rFonts w:ascii="Times New Roman" w:hAnsi="Times New Roman"/>
          <w:sz w:val="28"/>
          <w:szCs w:val="28"/>
          <w:lang w:eastAsia="ru-RU"/>
        </w:rPr>
      </w:pPr>
      <w:r w:rsidRPr="004D071E">
        <w:rPr>
          <w:rFonts w:ascii="Times New Roman" w:hAnsi="Times New Roman"/>
          <w:sz w:val="28"/>
          <w:szCs w:val="28"/>
          <w:lang w:eastAsia="ru-RU"/>
        </w:rPr>
        <w:t>Решения по предупреждению чрезвычайных ситуаций на проектируемых объектах в результате аварий с АХОВ включают:</w:t>
      </w:r>
    </w:p>
    <w:p w:rsidR="002D1E45" w:rsidRPr="004D071E" w:rsidRDefault="002D1E45" w:rsidP="00852938">
      <w:pPr>
        <w:numPr>
          <w:ilvl w:val="0"/>
          <w:numId w:val="24"/>
        </w:numPr>
        <w:tabs>
          <w:tab w:val="clear" w:pos="1429"/>
          <w:tab w:val="left" w:pos="1134"/>
          <w:tab w:val="num" w:pos="1353"/>
        </w:tabs>
        <w:spacing w:after="0" w:line="240" w:lineRule="auto"/>
        <w:ind w:left="1353"/>
        <w:jc w:val="both"/>
        <w:rPr>
          <w:rFonts w:ascii="Times New Roman" w:hAnsi="Times New Roman"/>
          <w:sz w:val="28"/>
          <w:szCs w:val="28"/>
          <w:lang w:eastAsia="ru-RU"/>
        </w:rPr>
      </w:pPr>
      <w:r w:rsidRPr="004D071E">
        <w:rPr>
          <w:rFonts w:ascii="Times New Roman" w:hAnsi="Times New Roman"/>
          <w:sz w:val="28"/>
          <w:szCs w:val="28"/>
          <w:lang w:eastAsia="ru-RU"/>
        </w:rPr>
        <w:t>экстренную эвакуацию в направлении, перпендикулярном направлению ветра, и указанном в сигнале оповещения ГО;</w:t>
      </w:r>
    </w:p>
    <w:p w:rsidR="002D1E45" w:rsidRPr="004D071E" w:rsidRDefault="002D1E45" w:rsidP="00852938">
      <w:pPr>
        <w:numPr>
          <w:ilvl w:val="0"/>
          <w:numId w:val="24"/>
        </w:numPr>
        <w:tabs>
          <w:tab w:val="clear" w:pos="1429"/>
          <w:tab w:val="left" w:pos="1134"/>
          <w:tab w:val="num" w:pos="1353"/>
        </w:tabs>
        <w:spacing w:after="0" w:line="240" w:lineRule="auto"/>
        <w:ind w:left="1353"/>
        <w:jc w:val="both"/>
        <w:rPr>
          <w:rFonts w:ascii="Times New Roman" w:hAnsi="Times New Roman"/>
          <w:sz w:val="28"/>
          <w:szCs w:val="28"/>
          <w:lang w:eastAsia="ru-RU"/>
        </w:rPr>
      </w:pPr>
      <w:r w:rsidRPr="004D071E">
        <w:rPr>
          <w:rFonts w:ascii="Times New Roman" w:hAnsi="Times New Roman"/>
          <w:sz w:val="28"/>
          <w:szCs w:val="28"/>
          <w:lang w:eastAsia="ru-RU"/>
        </w:rPr>
        <w:t>сокращение инфильтрации наружного воздуха и уменьшение возможности поступления ядовитых веществ внутрь помещения путём установки современных конструкций остекления и дверных проёмов;</w:t>
      </w:r>
    </w:p>
    <w:p w:rsidR="002D1E45" w:rsidRPr="004D071E" w:rsidRDefault="002D1E45" w:rsidP="00852938">
      <w:pPr>
        <w:numPr>
          <w:ilvl w:val="0"/>
          <w:numId w:val="24"/>
        </w:numPr>
        <w:tabs>
          <w:tab w:val="clear" w:pos="1429"/>
          <w:tab w:val="left" w:pos="1134"/>
          <w:tab w:val="num" w:pos="1353"/>
        </w:tabs>
        <w:spacing w:after="0" w:line="240" w:lineRule="auto"/>
        <w:ind w:left="1353"/>
        <w:jc w:val="both"/>
        <w:rPr>
          <w:rFonts w:ascii="Times New Roman" w:hAnsi="Times New Roman"/>
          <w:sz w:val="28"/>
          <w:szCs w:val="28"/>
          <w:lang w:eastAsia="ru-RU"/>
        </w:rPr>
      </w:pPr>
      <w:r w:rsidRPr="004D071E">
        <w:rPr>
          <w:rFonts w:ascii="Times New Roman" w:hAnsi="Times New Roman"/>
          <w:sz w:val="28"/>
          <w:szCs w:val="28"/>
          <w:lang w:eastAsia="ru-RU"/>
        </w:rPr>
        <w:t>хранение в помещениях объекта (больницы, поликлиники, школы) средств индивидуальной защиты (противогазы). Предлагается использовать в качестве СИЗ органов дыхания фильтрующий противогаз ГП-7В с коробками по виду АХОВ.</w:t>
      </w:r>
    </w:p>
    <w:p w:rsidR="002D1E45" w:rsidRPr="001F6325" w:rsidRDefault="002D1E45" w:rsidP="001F6325">
      <w:pPr>
        <w:spacing w:after="0" w:line="240" w:lineRule="auto"/>
        <w:ind w:firstLine="709"/>
        <w:jc w:val="both"/>
        <w:rPr>
          <w:rFonts w:ascii="Times New Roman" w:hAnsi="Times New Roman"/>
          <w:sz w:val="28"/>
          <w:szCs w:val="28"/>
        </w:rPr>
      </w:pPr>
    </w:p>
    <w:p w:rsidR="002D1E45" w:rsidRPr="001F6325" w:rsidRDefault="002D1E45" w:rsidP="001F6325">
      <w:pPr>
        <w:spacing w:after="0" w:line="240" w:lineRule="auto"/>
        <w:ind w:firstLine="709"/>
        <w:jc w:val="both"/>
        <w:rPr>
          <w:rFonts w:ascii="Times New Roman" w:hAnsi="Times New Roman"/>
          <w:sz w:val="28"/>
          <w:szCs w:val="28"/>
        </w:rPr>
      </w:pPr>
      <w:r w:rsidRPr="001F6325">
        <w:rPr>
          <w:rFonts w:ascii="Times New Roman" w:hAnsi="Times New Roman"/>
          <w:i/>
          <w:sz w:val="28"/>
          <w:szCs w:val="28"/>
          <w:u w:val="single"/>
        </w:rPr>
        <w:t>Аварии на</w:t>
      </w:r>
      <w:r>
        <w:rPr>
          <w:rFonts w:ascii="Times New Roman" w:hAnsi="Times New Roman"/>
          <w:i/>
          <w:sz w:val="28"/>
          <w:szCs w:val="28"/>
          <w:u w:val="single"/>
        </w:rPr>
        <w:t> </w:t>
      </w:r>
      <w:r w:rsidRPr="001F6325">
        <w:rPr>
          <w:rFonts w:ascii="Times New Roman" w:hAnsi="Times New Roman"/>
          <w:i/>
          <w:sz w:val="28"/>
          <w:szCs w:val="28"/>
          <w:u w:val="single"/>
        </w:rPr>
        <w:t>электроэнергетических системах</w:t>
      </w:r>
      <w:r w:rsidRPr="001F6325">
        <w:rPr>
          <w:rFonts w:ascii="Times New Roman" w:hAnsi="Times New Roman"/>
          <w:i/>
          <w:sz w:val="28"/>
          <w:szCs w:val="28"/>
        </w:rPr>
        <w:t xml:space="preserve">. </w:t>
      </w:r>
      <w:r w:rsidRPr="001F6325">
        <w:rPr>
          <w:rFonts w:ascii="Times New Roman" w:hAnsi="Times New Roman"/>
          <w:sz w:val="28"/>
          <w:szCs w:val="28"/>
        </w:rPr>
        <w:t>Сильный порывистый ветер со</w:t>
      </w:r>
      <w:r>
        <w:rPr>
          <w:rFonts w:ascii="Times New Roman" w:hAnsi="Times New Roman"/>
          <w:sz w:val="28"/>
          <w:szCs w:val="28"/>
        </w:rPr>
        <w:t> </w:t>
      </w:r>
      <w:r w:rsidRPr="001F6325">
        <w:rPr>
          <w:rFonts w:ascii="Times New Roman" w:hAnsi="Times New Roman"/>
          <w:sz w:val="28"/>
          <w:szCs w:val="28"/>
        </w:rPr>
        <w:t>скоростью 25 м/с и</w:t>
      </w:r>
      <w:r>
        <w:rPr>
          <w:rFonts w:ascii="Times New Roman" w:hAnsi="Times New Roman"/>
          <w:sz w:val="28"/>
          <w:szCs w:val="28"/>
        </w:rPr>
        <w:t> </w:t>
      </w:r>
      <w:r w:rsidRPr="001F6325">
        <w:rPr>
          <w:rFonts w:ascii="Times New Roman" w:hAnsi="Times New Roman"/>
          <w:sz w:val="28"/>
          <w:szCs w:val="28"/>
        </w:rPr>
        <w:t>более, приводит к</w:t>
      </w:r>
      <w:r>
        <w:rPr>
          <w:rFonts w:ascii="Times New Roman" w:hAnsi="Times New Roman"/>
          <w:sz w:val="28"/>
          <w:szCs w:val="28"/>
        </w:rPr>
        <w:t> </w:t>
      </w:r>
      <w:r w:rsidRPr="001F6325">
        <w:rPr>
          <w:rFonts w:ascii="Times New Roman" w:hAnsi="Times New Roman"/>
          <w:sz w:val="28"/>
          <w:szCs w:val="28"/>
        </w:rPr>
        <w:t>обрыву проводов и</w:t>
      </w:r>
      <w:r>
        <w:rPr>
          <w:rFonts w:ascii="Times New Roman" w:hAnsi="Times New Roman"/>
          <w:sz w:val="28"/>
          <w:szCs w:val="28"/>
        </w:rPr>
        <w:t> </w:t>
      </w:r>
      <w:r w:rsidRPr="001F6325">
        <w:rPr>
          <w:rFonts w:ascii="Times New Roman" w:hAnsi="Times New Roman"/>
          <w:sz w:val="28"/>
          <w:szCs w:val="28"/>
        </w:rPr>
        <w:t>разрушению опор ЛЭП-10 и 35 кВ, а</w:t>
      </w:r>
      <w:r>
        <w:rPr>
          <w:rFonts w:ascii="Times New Roman" w:hAnsi="Times New Roman"/>
          <w:sz w:val="28"/>
          <w:szCs w:val="28"/>
        </w:rPr>
        <w:t> </w:t>
      </w:r>
      <w:r w:rsidRPr="001F6325">
        <w:rPr>
          <w:rFonts w:ascii="Times New Roman" w:hAnsi="Times New Roman"/>
          <w:sz w:val="28"/>
          <w:szCs w:val="28"/>
        </w:rPr>
        <w:t>со</w:t>
      </w:r>
      <w:r>
        <w:rPr>
          <w:rFonts w:ascii="Times New Roman" w:hAnsi="Times New Roman"/>
          <w:sz w:val="28"/>
          <w:szCs w:val="28"/>
        </w:rPr>
        <w:t> </w:t>
      </w:r>
      <w:r w:rsidRPr="001F6325">
        <w:rPr>
          <w:rFonts w:ascii="Times New Roman" w:hAnsi="Times New Roman"/>
          <w:sz w:val="28"/>
          <w:szCs w:val="28"/>
        </w:rPr>
        <w:t>скоростью 33 м/с и</w:t>
      </w:r>
      <w:r>
        <w:rPr>
          <w:rFonts w:ascii="Times New Roman" w:hAnsi="Times New Roman"/>
          <w:sz w:val="28"/>
          <w:szCs w:val="28"/>
        </w:rPr>
        <w:t> </w:t>
      </w:r>
      <w:r w:rsidRPr="001F6325">
        <w:rPr>
          <w:rFonts w:ascii="Times New Roman" w:hAnsi="Times New Roman"/>
          <w:sz w:val="28"/>
          <w:szCs w:val="28"/>
        </w:rPr>
        <w:t xml:space="preserve">более </w:t>
      </w:r>
      <w:r>
        <w:rPr>
          <w:rFonts w:ascii="Times New Roman" w:hAnsi="Times New Roman"/>
          <w:sz w:val="28"/>
          <w:szCs w:val="28"/>
        </w:rPr>
        <w:t>–</w:t>
      </w:r>
      <w:r w:rsidRPr="001F6325">
        <w:rPr>
          <w:rFonts w:ascii="Times New Roman" w:hAnsi="Times New Roman"/>
          <w:sz w:val="28"/>
          <w:szCs w:val="28"/>
        </w:rPr>
        <w:t xml:space="preserve"> ЛЭП-110, что приводит к</w:t>
      </w:r>
      <w:r>
        <w:rPr>
          <w:rFonts w:ascii="Times New Roman" w:hAnsi="Times New Roman"/>
          <w:sz w:val="28"/>
          <w:szCs w:val="28"/>
        </w:rPr>
        <w:t> </w:t>
      </w:r>
      <w:r w:rsidRPr="001F6325">
        <w:rPr>
          <w:rFonts w:ascii="Times New Roman" w:hAnsi="Times New Roman"/>
          <w:sz w:val="28"/>
          <w:szCs w:val="28"/>
        </w:rPr>
        <w:t>ограничениям в</w:t>
      </w:r>
      <w:r>
        <w:rPr>
          <w:rFonts w:ascii="Times New Roman" w:hAnsi="Times New Roman"/>
          <w:sz w:val="28"/>
          <w:szCs w:val="28"/>
        </w:rPr>
        <w:t> </w:t>
      </w:r>
      <w:r w:rsidRPr="001F6325">
        <w:rPr>
          <w:rFonts w:ascii="Times New Roman" w:hAnsi="Times New Roman"/>
          <w:sz w:val="28"/>
          <w:szCs w:val="28"/>
        </w:rPr>
        <w:t>электрообеспечении населённых пунктов. К</w:t>
      </w:r>
      <w:r>
        <w:rPr>
          <w:rFonts w:ascii="Times New Roman" w:hAnsi="Times New Roman"/>
          <w:sz w:val="28"/>
          <w:szCs w:val="28"/>
        </w:rPr>
        <w:t> </w:t>
      </w:r>
      <w:r w:rsidRPr="001F6325">
        <w:rPr>
          <w:rFonts w:ascii="Times New Roman" w:hAnsi="Times New Roman"/>
          <w:sz w:val="28"/>
          <w:szCs w:val="28"/>
        </w:rPr>
        <w:t>большим повреждениям местного характера на</w:t>
      </w:r>
      <w:r>
        <w:rPr>
          <w:rFonts w:ascii="Times New Roman" w:hAnsi="Times New Roman"/>
          <w:sz w:val="28"/>
          <w:szCs w:val="28"/>
        </w:rPr>
        <w:t> </w:t>
      </w:r>
      <w:r w:rsidRPr="001F6325">
        <w:rPr>
          <w:rFonts w:ascii="Times New Roman" w:hAnsi="Times New Roman"/>
          <w:sz w:val="28"/>
          <w:szCs w:val="28"/>
        </w:rPr>
        <w:t xml:space="preserve">объектах энергетики приводит сильный гололёд </w:t>
      </w:r>
      <w:r>
        <w:rPr>
          <w:rFonts w:ascii="Times New Roman" w:hAnsi="Times New Roman"/>
          <w:sz w:val="28"/>
          <w:szCs w:val="28"/>
        </w:rPr>
        <w:t>–</w:t>
      </w:r>
      <w:r w:rsidRPr="001F6325">
        <w:rPr>
          <w:rFonts w:ascii="Times New Roman" w:hAnsi="Times New Roman"/>
          <w:sz w:val="28"/>
          <w:szCs w:val="28"/>
        </w:rPr>
        <w:t xml:space="preserve"> диаметр отложений на</w:t>
      </w:r>
      <w:r>
        <w:rPr>
          <w:rFonts w:ascii="Times New Roman" w:hAnsi="Times New Roman"/>
          <w:sz w:val="28"/>
          <w:szCs w:val="28"/>
        </w:rPr>
        <w:t> </w:t>
      </w:r>
      <w:r w:rsidRPr="001F6325">
        <w:rPr>
          <w:rFonts w:ascii="Times New Roman" w:hAnsi="Times New Roman"/>
          <w:sz w:val="28"/>
          <w:szCs w:val="28"/>
        </w:rPr>
        <w:t>проводах гололёдного станка 20 мм, и</w:t>
      </w:r>
      <w:r>
        <w:rPr>
          <w:rFonts w:ascii="Times New Roman" w:hAnsi="Times New Roman"/>
          <w:sz w:val="28"/>
          <w:szCs w:val="28"/>
        </w:rPr>
        <w:t> </w:t>
      </w:r>
      <w:r w:rsidRPr="001F6325">
        <w:rPr>
          <w:rFonts w:ascii="Times New Roman" w:hAnsi="Times New Roman"/>
          <w:sz w:val="28"/>
          <w:szCs w:val="28"/>
        </w:rPr>
        <w:t>более, сложных отложениях льда или мокрого снега - диаметр 30 мм</w:t>
      </w:r>
      <w:r>
        <w:rPr>
          <w:rFonts w:ascii="Times New Roman" w:hAnsi="Times New Roman"/>
          <w:sz w:val="28"/>
          <w:szCs w:val="28"/>
        </w:rPr>
        <w:t> </w:t>
      </w:r>
      <w:r w:rsidRPr="001F6325">
        <w:rPr>
          <w:rFonts w:ascii="Times New Roman" w:hAnsi="Times New Roman"/>
          <w:sz w:val="28"/>
          <w:szCs w:val="28"/>
        </w:rPr>
        <w:t>и</w:t>
      </w:r>
      <w:r>
        <w:rPr>
          <w:rFonts w:ascii="Times New Roman" w:hAnsi="Times New Roman"/>
          <w:sz w:val="28"/>
          <w:szCs w:val="28"/>
        </w:rPr>
        <w:t> </w:t>
      </w:r>
      <w:r w:rsidRPr="001F6325">
        <w:rPr>
          <w:rFonts w:ascii="Times New Roman" w:hAnsi="Times New Roman"/>
          <w:sz w:val="28"/>
          <w:szCs w:val="28"/>
        </w:rPr>
        <w:t>более, при ветре 12 м/с диаметр отложений 10 мм, и</w:t>
      </w:r>
      <w:r>
        <w:rPr>
          <w:rFonts w:ascii="Times New Roman" w:hAnsi="Times New Roman"/>
          <w:sz w:val="28"/>
          <w:szCs w:val="28"/>
        </w:rPr>
        <w:t> </w:t>
      </w:r>
      <w:r w:rsidRPr="001F6325">
        <w:rPr>
          <w:rFonts w:ascii="Times New Roman" w:hAnsi="Times New Roman"/>
          <w:sz w:val="28"/>
          <w:szCs w:val="28"/>
        </w:rPr>
        <w:t>более. Снижается надёжность работы энергосистемы в</w:t>
      </w:r>
      <w:r>
        <w:rPr>
          <w:rFonts w:ascii="Times New Roman" w:hAnsi="Times New Roman"/>
          <w:sz w:val="28"/>
          <w:szCs w:val="28"/>
        </w:rPr>
        <w:t> </w:t>
      </w:r>
      <w:r w:rsidRPr="001F6325">
        <w:rPr>
          <w:rFonts w:ascii="Times New Roman" w:hAnsi="Times New Roman"/>
          <w:sz w:val="28"/>
          <w:szCs w:val="28"/>
        </w:rPr>
        <w:t>местах гололёда из-за обрыва проводов ЛЭП. Продолжительные ливневые дожди, продолжительное затопление талыми (снеговыми) водами, приводящие к</w:t>
      </w:r>
      <w:r>
        <w:rPr>
          <w:rFonts w:ascii="Times New Roman" w:hAnsi="Times New Roman"/>
          <w:sz w:val="28"/>
          <w:szCs w:val="28"/>
        </w:rPr>
        <w:t> </w:t>
      </w:r>
      <w:r w:rsidRPr="001F6325">
        <w:rPr>
          <w:rFonts w:ascii="Times New Roman" w:hAnsi="Times New Roman"/>
          <w:sz w:val="28"/>
          <w:szCs w:val="28"/>
        </w:rPr>
        <w:t>снижению плотности грунта на</w:t>
      </w:r>
      <w:r>
        <w:rPr>
          <w:rFonts w:ascii="Times New Roman" w:hAnsi="Times New Roman"/>
          <w:sz w:val="28"/>
          <w:szCs w:val="28"/>
        </w:rPr>
        <w:t> </w:t>
      </w:r>
      <w:r w:rsidRPr="001F6325">
        <w:rPr>
          <w:rFonts w:ascii="Times New Roman" w:hAnsi="Times New Roman"/>
          <w:sz w:val="28"/>
          <w:szCs w:val="28"/>
        </w:rPr>
        <w:t>глубину 0,5 м, и</w:t>
      </w:r>
      <w:r>
        <w:rPr>
          <w:rFonts w:ascii="Times New Roman" w:hAnsi="Times New Roman"/>
          <w:sz w:val="28"/>
          <w:szCs w:val="28"/>
        </w:rPr>
        <w:t> </w:t>
      </w:r>
      <w:r w:rsidRPr="001F6325">
        <w:rPr>
          <w:rFonts w:ascii="Times New Roman" w:hAnsi="Times New Roman"/>
          <w:sz w:val="28"/>
          <w:szCs w:val="28"/>
        </w:rPr>
        <w:t>более и</w:t>
      </w:r>
      <w:r>
        <w:rPr>
          <w:rFonts w:ascii="Times New Roman" w:hAnsi="Times New Roman"/>
          <w:sz w:val="28"/>
          <w:szCs w:val="28"/>
        </w:rPr>
        <w:t> </w:t>
      </w:r>
      <w:r w:rsidRPr="001F6325">
        <w:rPr>
          <w:rFonts w:ascii="Times New Roman" w:hAnsi="Times New Roman"/>
          <w:sz w:val="28"/>
          <w:szCs w:val="28"/>
        </w:rPr>
        <w:t>разрушениям ЛЭП, разрыву труб теплотрасс из-за размыва земли. Нарушается электроснабжение и</w:t>
      </w:r>
      <w:r>
        <w:rPr>
          <w:rFonts w:ascii="Times New Roman" w:hAnsi="Times New Roman"/>
          <w:sz w:val="28"/>
          <w:szCs w:val="28"/>
        </w:rPr>
        <w:t> </w:t>
      </w:r>
      <w:r w:rsidRPr="001F6325">
        <w:rPr>
          <w:rFonts w:ascii="Times New Roman" w:hAnsi="Times New Roman"/>
          <w:sz w:val="28"/>
          <w:szCs w:val="28"/>
        </w:rPr>
        <w:t>обеспечение населения и</w:t>
      </w:r>
      <w:r>
        <w:rPr>
          <w:rFonts w:ascii="Times New Roman" w:hAnsi="Times New Roman"/>
          <w:sz w:val="28"/>
          <w:szCs w:val="28"/>
        </w:rPr>
        <w:t> </w:t>
      </w:r>
      <w:r w:rsidRPr="001F6325">
        <w:rPr>
          <w:rFonts w:ascii="Times New Roman" w:hAnsi="Times New Roman"/>
          <w:sz w:val="28"/>
          <w:szCs w:val="28"/>
        </w:rPr>
        <w:t>предприятий горячей водой. Лесные пожары могут привести к</w:t>
      </w:r>
      <w:r>
        <w:rPr>
          <w:rFonts w:ascii="Times New Roman" w:hAnsi="Times New Roman"/>
          <w:sz w:val="28"/>
          <w:szCs w:val="28"/>
        </w:rPr>
        <w:t> </w:t>
      </w:r>
      <w:r w:rsidRPr="001F6325">
        <w:rPr>
          <w:rFonts w:ascii="Times New Roman" w:hAnsi="Times New Roman"/>
          <w:sz w:val="28"/>
          <w:szCs w:val="28"/>
        </w:rPr>
        <w:t>нарушению в</w:t>
      </w:r>
      <w:r>
        <w:rPr>
          <w:rFonts w:ascii="Times New Roman" w:hAnsi="Times New Roman"/>
          <w:sz w:val="28"/>
          <w:szCs w:val="28"/>
        </w:rPr>
        <w:t> </w:t>
      </w:r>
      <w:r w:rsidRPr="001F6325">
        <w:rPr>
          <w:rFonts w:ascii="Times New Roman" w:hAnsi="Times New Roman"/>
          <w:sz w:val="28"/>
          <w:szCs w:val="28"/>
        </w:rPr>
        <w:t xml:space="preserve">электроснабжении </w:t>
      </w:r>
      <w:r>
        <w:rPr>
          <w:rFonts w:ascii="Times New Roman" w:hAnsi="Times New Roman"/>
          <w:sz w:val="28"/>
          <w:szCs w:val="28"/>
        </w:rPr>
        <w:t>города</w:t>
      </w:r>
      <w:r w:rsidRPr="001F6325">
        <w:rPr>
          <w:rFonts w:ascii="Times New Roman" w:hAnsi="Times New Roman"/>
          <w:sz w:val="28"/>
          <w:szCs w:val="28"/>
        </w:rPr>
        <w:t xml:space="preserve"> из-за перегорания опор ЛЭП.</w:t>
      </w:r>
    </w:p>
    <w:p w:rsidR="002D1E45" w:rsidRPr="001F6325" w:rsidRDefault="002D1E45" w:rsidP="001F6325">
      <w:pPr>
        <w:spacing w:after="0" w:line="240" w:lineRule="auto"/>
        <w:ind w:firstLine="709"/>
        <w:jc w:val="both"/>
        <w:rPr>
          <w:rFonts w:ascii="Times New Roman" w:hAnsi="Times New Roman"/>
          <w:sz w:val="28"/>
          <w:szCs w:val="28"/>
        </w:rPr>
      </w:pPr>
      <w:r w:rsidRPr="001F6325">
        <w:rPr>
          <w:rFonts w:ascii="Times New Roman" w:hAnsi="Times New Roman"/>
          <w:sz w:val="28"/>
          <w:szCs w:val="28"/>
        </w:rPr>
        <w:t>Все аварии на</w:t>
      </w:r>
      <w:r>
        <w:rPr>
          <w:rFonts w:ascii="Times New Roman" w:hAnsi="Times New Roman"/>
          <w:sz w:val="28"/>
          <w:szCs w:val="28"/>
        </w:rPr>
        <w:t> </w:t>
      </w:r>
      <w:r w:rsidRPr="001F6325">
        <w:rPr>
          <w:rFonts w:ascii="Times New Roman" w:hAnsi="Times New Roman"/>
          <w:sz w:val="28"/>
          <w:szCs w:val="28"/>
        </w:rPr>
        <w:t>предприятиях энергосистемы опасны для окружающей территории, так как возможны ограничения в</w:t>
      </w:r>
      <w:r>
        <w:rPr>
          <w:rFonts w:ascii="Times New Roman" w:hAnsi="Times New Roman"/>
          <w:sz w:val="28"/>
          <w:szCs w:val="28"/>
        </w:rPr>
        <w:t> </w:t>
      </w:r>
      <w:r w:rsidRPr="001F6325">
        <w:rPr>
          <w:rFonts w:ascii="Times New Roman" w:hAnsi="Times New Roman"/>
          <w:sz w:val="28"/>
          <w:szCs w:val="28"/>
        </w:rPr>
        <w:t>подаче электроэнергии и</w:t>
      </w:r>
      <w:r>
        <w:rPr>
          <w:rFonts w:ascii="Times New Roman" w:hAnsi="Times New Roman"/>
          <w:sz w:val="28"/>
          <w:szCs w:val="28"/>
        </w:rPr>
        <w:t> </w:t>
      </w:r>
      <w:r w:rsidRPr="001F6325">
        <w:rPr>
          <w:rFonts w:ascii="Times New Roman" w:hAnsi="Times New Roman"/>
          <w:sz w:val="28"/>
          <w:szCs w:val="28"/>
        </w:rPr>
        <w:t>тепла.</w:t>
      </w:r>
    </w:p>
    <w:p w:rsidR="002D1E45" w:rsidRPr="001F6325" w:rsidRDefault="002D1E45" w:rsidP="001F6325">
      <w:pPr>
        <w:spacing w:after="0" w:line="240" w:lineRule="auto"/>
        <w:ind w:firstLine="709"/>
        <w:jc w:val="both"/>
        <w:rPr>
          <w:rFonts w:ascii="Times New Roman" w:hAnsi="Times New Roman"/>
          <w:sz w:val="28"/>
          <w:szCs w:val="28"/>
        </w:rPr>
      </w:pPr>
      <w:r w:rsidRPr="001F6325">
        <w:rPr>
          <w:rFonts w:ascii="Times New Roman" w:hAnsi="Times New Roman"/>
          <w:sz w:val="28"/>
          <w:szCs w:val="28"/>
        </w:rPr>
        <w:t>При снегопадах, сильных ветрах, обледенения и</w:t>
      </w:r>
      <w:r>
        <w:rPr>
          <w:rFonts w:ascii="Times New Roman" w:hAnsi="Times New Roman"/>
          <w:sz w:val="28"/>
          <w:szCs w:val="28"/>
        </w:rPr>
        <w:t> </w:t>
      </w:r>
      <w:r w:rsidRPr="001F6325">
        <w:rPr>
          <w:rFonts w:ascii="Times New Roman" w:hAnsi="Times New Roman"/>
          <w:sz w:val="28"/>
          <w:szCs w:val="28"/>
        </w:rPr>
        <w:t>несанкционированных действий организаций и</w:t>
      </w:r>
      <w:r>
        <w:rPr>
          <w:rFonts w:ascii="Times New Roman" w:hAnsi="Times New Roman"/>
          <w:sz w:val="28"/>
          <w:szCs w:val="28"/>
        </w:rPr>
        <w:t> </w:t>
      </w:r>
      <w:r w:rsidRPr="001F6325">
        <w:rPr>
          <w:rFonts w:ascii="Times New Roman" w:hAnsi="Times New Roman"/>
          <w:sz w:val="28"/>
          <w:szCs w:val="28"/>
        </w:rPr>
        <w:t>физических лиц могут произойти тяжёлые аварии из-за выхода из</w:t>
      </w:r>
      <w:r>
        <w:rPr>
          <w:rFonts w:ascii="Times New Roman" w:hAnsi="Times New Roman"/>
          <w:sz w:val="28"/>
          <w:szCs w:val="28"/>
        </w:rPr>
        <w:t> </w:t>
      </w:r>
      <w:r w:rsidRPr="001F6325">
        <w:rPr>
          <w:rFonts w:ascii="Times New Roman" w:hAnsi="Times New Roman"/>
          <w:sz w:val="28"/>
          <w:szCs w:val="28"/>
        </w:rPr>
        <w:t>строя трансформаторных подстанций.</w:t>
      </w:r>
    </w:p>
    <w:p w:rsidR="002D1E45" w:rsidRPr="001F6325" w:rsidRDefault="002D1E45" w:rsidP="001F6325">
      <w:pPr>
        <w:spacing w:after="0" w:line="240" w:lineRule="auto"/>
        <w:ind w:firstLine="709"/>
        <w:jc w:val="both"/>
        <w:rPr>
          <w:rFonts w:ascii="Times New Roman" w:hAnsi="Times New Roman"/>
          <w:sz w:val="28"/>
          <w:szCs w:val="28"/>
        </w:rPr>
      </w:pPr>
      <w:r w:rsidRPr="001F6325">
        <w:rPr>
          <w:rFonts w:ascii="Times New Roman" w:hAnsi="Times New Roman"/>
          <w:sz w:val="28"/>
          <w:szCs w:val="28"/>
        </w:rPr>
        <w:t>Для бесперебойной работы особо значимых объектов целесообразно обеспечить их</w:t>
      </w:r>
      <w:r>
        <w:rPr>
          <w:rFonts w:ascii="Times New Roman" w:hAnsi="Times New Roman"/>
          <w:sz w:val="28"/>
          <w:szCs w:val="28"/>
        </w:rPr>
        <w:t> </w:t>
      </w:r>
      <w:r w:rsidRPr="001F6325">
        <w:rPr>
          <w:rFonts w:ascii="Times New Roman" w:hAnsi="Times New Roman"/>
          <w:sz w:val="28"/>
          <w:szCs w:val="28"/>
        </w:rPr>
        <w:t>источниками резервного электроснабжения.</w:t>
      </w:r>
    </w:p>
    <w:p w:rsidR="002D1E45" w:rsidRDefault="002D1E45" w:rsidP="001F6325">
      <w:pPr>
        <w:spacing w:after="0" w:line="240" w:lineRule="auto"/>
        <w:ind w:firstLine="709"/>
        <w:jc w:val="both"/>
        <w:rPr>
          <w:rFonts w:ascii="Times New Roman" w:hAnsi="Times New Roman"/>
          <w:sz w:val="28"/>
          <w:szCs w:val="28"/>
        </w:rPr>
      </w:pPr>
      <w:r w:rsidRPr="001F6325">
        <w:rPr>
          <w:rFonts w:ascii="Times New Roman" w:hAnsi="Times New Roman"/>
          <w:sz w:val="28"/>
          <w:szCs w:val="28"/>
        </w:rPr>
        <w:t>Для ликвидации тяжёлых аварий и</w:t>
      </w:r>
      <w:r>
        <w:rPr>
          <w:rFonts w:ascii="Times New Roman" w:hAnsi="Times New Roman"/>
          <w:sz w:val="28"/>
          <w:szCs w:val="28"/>
        </w:rPr>
        <w:t> </w:t>
      </w:r>
      <w:r w:rsidRPr="001F6325">
        <w:rPr>
          <w:rFonts w:ascii="Times New Roman" w:hAnsi="Times New Roman"/>
          <w:sz w:val="28"/>
          <w:szCs w:val="28"/>
        </w:rPr>
        <w:t>устойчивой работы энергосистемы в</w:t>
      </w:r>
      <w:r>
        <w:rPr>
          <w:rFonts w:ascii="Times New Roman" w:hAnsi="Times New Roman"/>
          <w:sz w:val="28"/>
          <w:szCs w:val="28"/>
        </w:rPr>
        <w:t> </w:t>
      </w:r>
      <w:r w:rsidRPr="001F6325">
        <w:rPr>
          <w:rFonts w:ascii="Times New Roman" w:hAnsi="Times New Roman"/>
          <w:sz w:val="28"/>
          <w:szCs w:val="28"/>
        </w:rPr>
        <w:t>послеаварийном режиме (выделение энергосистемы на</w:t>
      </w:r>
      <w:r>
        <w:rPr>
          <w:rFonts w:ascii="Times New Roman" w:hAnsi="Times New Roman"/>
          <w:sz w:val="28"/>
          <w:szCs w:val="28"/>
        </w:rPr>
        <w:t> </w:t>
      </w:r>
      <w:r w:rsidRPr="001F6325">
        <w:rPr>
          <w:rFonts w:ascii="Times New Roman" w:hAnsi="Times New Roman"/>
          <w:sz w:val="28"/>
          <w:szCs w:val="28"/>
        </w:rPr>
        <w:t>изолированную работу) при отсутствии достаточного объёма электроэнергии и</w:t>
      </w:r>
      <w:r>
        <w:rPr>
          <w:rFonts w:ascii="Times New Roman" w:hAnsi="Times New Roman"/>
          <w:sz w:val="28"/>
          <w:szCs w:val="28"/>
        </w:rPr>
        <w:t> </w:t>
      </w:r>
      <w:r w:rsidRPr="001F6325">
        <w:rPr>
          <w:rFonts w:ascii="Times New Roman" w:hAnsi="Times New Roman"/>
          <w:sz w:val="28"/>
          <w:szCs w:val="28"/>
        </w:rPr>
        <w:t>средств противоаварийного управления целесообразно разработать специальный график временного отключения потребителей на</w:t>
      </w:r>
      <w:r>
        <w:rPr>
          <w:rFonts w:ascii="Times New Roman" w:hAnsi="Times New Roman"/>
          <w:sz w:val="28"/>
          <w:szCs w:val="28"/>
        </w:rPr>
        <w:t> </w:t>
      </w:r>
      <w:r w:rsidRPr="001F6325">
        <w:rPr>
          <w:rFonts w:ascii="Times New Roman" w:hAnsi="Times New Roman"/>
          <w:sz w:val="28"/>
          <w:szCs w:val="28"/>
        </w:rPr>
        <w:t xml:space="preserve">случай тяжёлых аварий. </w:t>
      </w:r>
    </w:p>
    <w:p w:rsidR="002D1E45" w:rsidRDefault="002D1E45" w:rsidP="00433063">
      <w:pPr>
        <w:spacing w:after="0" w:line="240" w:lineRule="auto"/>
        <w:ind w:firstLine="709"/>
        <w:jc w:val="both"/>
        <w:rPr>
          <w:rFonts w:ascii="Times New Roman" w:hAnsi="Times New Roman"/>
          <w:sz w:val="28"/>
          <w:szCs w:val="28"/>
        </w:rPr>
      </w:pPr>
      <w:r w:rsidRPr="006D473B">
        <w:rPr>
          <w:rFonts w:ascii="Times New Roman" w:hAnsi="Times New Roman"/>
          <w:sz w:val="28"/>
          <w:szCs w:val="28"/>
        </w:rPr>
        <w:t xml:space="preserve">На территории города Куйбышева имеется </w:t>
      </w:r>
      <w:r>
        <w:rPr>
          <w:rFonts w:ascii="Times New Roman" w:hAnsi="Times New Roman"/>
          <w:sz w:val="28"/>
          <w:szCs w:val="28"/>
        </w:rPr>
        <w:t>4</w:t>
      </w:r>
      <w:r w:rsidRPr="006D473B">
        <w:rPr>
          <w:rFonts w:ascii="Times New Roman" w:hAnsi="Times New Roman"/>
          <w:sz w:val="28"/>
          <w:szCs w:val="28"/>
        </w:rPr>
        <w:t xml:space="preserve"> резервных источник</w:t>
      </w:r>
      <w:r>
        <w:rPr>
          <w:rFonts w:ascii="Times New Roman" w:hAnsi="Times New Roman"/>
          <w:sz w:val="28"/>
          <w:szCs w:val="28"/>
        </w:rPr>
        <w:t>а</w:t>
      </w:r>
      <w:r w:rsidRPr="006D473B">
        <w:rPr>
          <w:rFonts w:ascii="Times New Roman" w:hAnsi="Times New Roman"/>
          <w:sz w:val="28"/>
          <w:szCs w:val="28"/>
        </w:rPr>
        <w:t xml:space="preserve"> электропитания</w:t>
      </w:r>
      <w:r>
        <w:rPr>
          <w:rFonts w:ascii="Times New Roman" w:hAnsi="Times New Roman"/>
          <w:sz w:val="28"/>
          <w:szCs w:val="28"/>
        </w:rPr>
        <w:t xml:space="preserve"> для котельных</w:t>
      </w:r>
      <w:r>
        <w:rPr>
          <w:rStyle w:val="FootnoteReference"/>
          <w:rFonts w:ascii="Times New Roman" w:hAnsi="Times New Roman"/>
          <w:sz w:val="28"/>
          <w:szCs w:val="28"/>
        </w:rPr>
        <w:footnoteReference w:id="5"/>
      </w:r>
      <w:r w:rsidRPr="006D473B">
        <w:rPr>
          <w:rFonts w:ascii="Times New Roman" w:hAnsi="Times New Roman"/>
          <w:sz w:val="28"/>
          <w:szCs w:val="28"/>
        </w:rPr>
        <w:t>.</w:t>
      </w:r>
    </w:p>
    <w:p w:rsidR="002D1E45" w:rsidRPr="004D071E" w:rsidRDefault="002D1E45" w:rsidP="00DB111F">
      <w:pPr>
        <w:spacing w:after="0" w:line="240" w:lineRule="auto"/>
        <w:ind w:firstLine="567"/>
        <w:jc w:val="right"/>
        <w:rPr>
          <w:rFonts w:ascii="Times New Roman" w:hAnsi="Times New Roman"/>
          <w:sz w:val="28"/>
          <w:szCs w:val="28"/>
          <w:lang w:eastAsia="ru-RU"/>
        </w:rPr>
      </w:pPr>
      <w:r w:rsidRPr="004D071E">
        <w:rPr>
          <w:rFonts w:ascii="Times New Roman" w:hAnsi="Times New Roman"/>
          <w:sz w:val="28"/>
          <w:szCs w:val="28"/>
          <w:lang w:eastAsia="ru-RU"/>
        </w:rPr>
        <w:t xml:space="preserve">Таблица </w:t>
      </w:r>
      <w:r w:rsidRPr="004D071E">
        <w:rPr>
          <w:rFonts w:ascii="Times New Roman" w:hAnsi="Times New Roman"/>
          <w:sz w:val="28"/>
          <w:szCs w:val="28"/>
          <w:lang w:eastAsia="ru-RU"/>
        </w:rPr>
        <w:fldChar w:fldCharType="begin"/>
      </w:r>
      <w:r w:rsidRPr="004D071E">
        <w:rPr>
          <w:rFonts w:ascii="Times New Roman" w:hAnsi="Times New Roman"/>
          <w:sz w:val="28"/>
          <w:szCs w:val="28"/>
          <w:lang w:eastAsia="ru-RU"/>
        </w:rPr>
        <w:instrText xml:space="preserve"> SEQ Таблица \* ARABIC </w:instrText>
      </w:r>
      <w:r w:rsidRPr="004D071E">
        <w:rPr>
          <w:rFonts w:ascii="Times New Roman" w:hAnsi="Times New Roman"/>
          <w:sz w:val="28"/>
          <w:szCs w:val="28"/>
          <w:lang w:eastAsia="ru-RU"/>
        </w:rPr>
        <w:fldChar w:fldCharType="separate"/>
      </w:r>
      <w:r>
        <w:rPr>
          <w:rFonts w:ascii="Times New Roman" w:hAnsi="Times New Roman"/>
          <w:noProof/>
          <w:sz w:val="28"/>
          <w:szCs w:val="28"/>
          <w:lang w:eastAsia="ru-RU"/>
        </w:rPr>
        <w:t>37</w:t>
      </w:r>
      <w:r w:rsidRPr="004D071E">
        <w:rPr>
          <w:rFonts w:ascii="Times New Roman" w:hAnsi="Times New Roman"/>
          <w:sz w:val="28"/>
          <w:szCs w:val="28"/>
          <w:lang w:eastAsia="ru-RU"/>
        </w:rPr>
        <w:fldChar w:fldCharType="end"/>
      </w:r>
    </w:p>
    <w:p w:rsidR="002D1E45" w:rsidRDefault="002D1E45" w:rsidP="00DB111F">
      <w:pPr>
        <w:spacing w:after="120" w:line="240" w:lineRule="auto"/>
        <w:jc w:val="center"/>
        <w:rPr>
          <w:rFonts w:ascii="Times New Roman" w:hAnsi="Times New Roman"/>
          <w:sz w:val="28"/>
          <w:szCs w:val="28"/>
          <w:lang w:eastAsia="ru-RU"/>
        </w:rPr>
      </w:pPr>
      <w:r w:rsidRPr="00DB111F">
        <w:rPr>
          <w:rFonts w:ascii="Times New Roman" w:hAnsi="Times New Roman"/>
          <w:sz w:val="28"/>
          <w:szCs w:val="28"/>
          <w:lang w:eastAsia="ru-RU"/>
        </w:rPr>
        <w:t>Информация о социально значимых объектах</w:t>
      </w:r>
      <w:r>
        <w:rPr>
          <w:rFonts w:ascii="Times New Roman" w:hAnsi="Times New Roman"/>
          <w:sz w:val="28"/>
          <w:szCs w:val="28"/>
          <w:lang w:eastAsia="ru-RU"/>
        </w:rPr>
        <w:t>, обеспеченных источниками резервного электроснабжения</w:t>
      </w:r>
    </w:p>
    <w:tbl>
      <w:tblPr>
        <w:tblW w:w="10180" w:type="dxa"/>
        <w:tblLayout w:type="fixed"/>
        <w:tblLook w:val="00A0"/>
      </w:tblPr>
      <w:tblGrid>
        <w:gridCol w:w="516"/>
        <w:gridCol w:w="2031"/>
        <w:gridCol w:w="1701"/>
        <w:gridCol w:w="1625"/>
        <w:gridCol w:w="1500"/>
        <w:gridCol w:w="1737"/>
        <w:gridCol w:w="1070"/>
      </w:tblGrid>
      <w:tr w:rsidR="002D1E45" w:rsidRPr="00DB111F" w:rsidTr="00DB111F">
        <w:trPr>
          <w:trHeight w:val="1650"/>
        </w:trPr>
        <w:tc>
          <w:tcPr>
            <w:tcW w:w="516" w:type="dxa"/>
            <w:tcBorders>
              <w:top w:val="single" w:sz="4" w:space="0" w:color="auto"/>
              <w:left w:val="single" w:sz="4" w:space="0" w:color="auto"/>
              <w:bottom w:val="single" w:sz="4" w:space="0" w:color="auto"/>
              <w:right w:val="single" w:sz="4" w:space="0" w:color="auto"/>
            </w:tcBorders>
            <w:vAlign w:val="center"/>
          </w:tcPr>
          <w:p w:rsidR="002D1E45" w:rsidRPr="00DB111F" w:rsidRDefault="002D1E45" w:rsidP="00DB111F">
            <w:pPr>
              <w:spacing w:after="0" w:line="240" w:lineRule="auto"/>
              <w:jc w:val="center"/>
              <w:rPr>
                <w:rFonts w:ascii="Times New Roman" w:hAnsi="Times New Roman"/>
                <w:color w:val="000000"/>
                <w:lang w:eastAsia="ru-RU"/>
              </w:rPr>
            </w:pPr>
            <w:r w:rsidRPr="00DB111F">
              <w:rPr>
                <w:rFonts w:ascii="Times New Roman" w:hAnsi="Times New Roman"/>
                <w:color w:val="000000"/>
                <w:lang w:eastAsia="ru-RU"/>
              </w:rPr>
              <w:t>№ п/п</w:t>
            </w:r>
          </w:p>
        </w:tc>
        <w:tc>
          <w:tcPr>
            <w:tcW w:w="2031" w:type="dxa"/>
            <w:tcBorders>
              <w:top w:val="single" w:sz="4" w:space="0" w:color="auto"/>
              <w:left w:val="nil"/>
              <w:bottom w:val="single" w:sz="4" w:space="0" w:color="auto"/>
              <w:right w:val="single" w:sz="4" w:space="0" w:color="auto"/>
            </w:tcBorders>
            <w:shd w:val="clear" w:color="000000" w:fill="FFFFFF"/>
            <w:vAlign w:val="center"/>
          </w:tcPr>
          <w:p w:rsidR="002D1E45" w:rsidRPr="00DB111F" w:rsidRDefault="002D1E45" w:rsidP="00DB111F">
            <w:pPr>
              <w:spacing w:after="0" w:line="240" w:lineRule="auto"/>
              <w:jc w:val="center"/>
              <w:rPr>
                <w:rFonts w:ascii="Times New Roman" w:hAnsi="Times New Roman"/>
                <w:color w:val="000000"/>
                <w:lang w:eastAsia="ru-RU"/>
              </w:rPr>
            </w:pPr>
            <w:r w:rsidRPr="00DB111F">
              <w:rPr>
                <w:rFonts w:ascii="Times New Roman" w:hAnsi="Times New Roman"/>
                <w:color w:val="000000"/>
                <w:lang w:eastAsia="ru-RU"/>
              </w:rPr>
              <w:t>Социально значимый объект, наименование, местонахождение</w:t>
            </w:r>
          </w:p>
        </w:tc>
        <w:tc>
          <w:tcPr>
            <w:tcW w:w="1701" w:type="dxa"/>
            <w:tcBorders>
              <w:top w:val="single" w:sz="4" w:space="0" w:color="auto"/>
              <w:left w:val="nil"/>
              <w:bottom w:val="single" w:sz="4" w:space="0" w:color="auto"/>
              <w:right w:val="single" w:sz="4" w:space="0" w:color="auto"/>
            </w:tcBorders>
            <w:shd w:val="clear" w:color="000000" w:fill="FFFFFF"/>
            <w:vAlign w:val="center"/>
          </w:tcPr>
          <w:p w:rsidR="002D1E45" w:rsidRPr="00DB111F" w:rsidRDefault="002D1E45" w:rsidP="00DB111F">
            <w:pPr>
              <w:spacing w:after="0" w:line="240" w:lineRule="auto"/>
              <w:jc w:val="center"/>
              <w:rPr>
                <w:rFonts w:ascii="Times New Roman" w:hAnsi="Times New Roman"/>
                <w:color w:val="000000"/>
                <w:lang w:eastAsia="ru-RU"/>
              </w:rPr>
            </w:pPr>
            <w:r w:rsidRPr="00DB111F">
              <w:rPr>
                <w:rFonts w:ascii="Times New Roman" w:hAnsi="Times New Roman"/>
                <w:color w:val="000000"/>
                <w:lang w:eastAsia="ru-RU"/>
              </w:rPr>
              <w:t xml:space="preserve">Собственник (принадлежность) социально значимого объекта </w:t>
            </w:r>
          </w:p>
        </w:tc>
        <w:tc>
          <w:tcPr>
            <w:tcW w:w="1625" w:type="dxa"/>
            <w:tcBorders>
              <w:top w:val="single" w:sz="4" w:space="0" w:color="auto"/>
              <w:left w:val="nil"/>
              <w:bottom w:val="single" w:sz="4" w:space="0" w:color="auto"/>
              <w:right w:val="single" w:sz="4" w:space="0" w:color="auto"/>
            </w:tcBorders>
            <w:vAlign w:val="center"/>
          </w:tcPr>
          <w:p w:rsidR="002D1E45" w:rsidRPr="00DB111F" w:rsidRDefault="002D1E45" w:rsidP="00DB111F">
            <w:pPr>
              <w:spacing w:after="0" w:line="240" w:lineRule="auto"/>
              <w:jc w:val="center"/>
              <w:rPr>
                <w:rFonts w:ascii="Times New Roman" w:hAnsi="Times New Roman"/>
                <w:color w:val="000000"/>
                <w:lang w:eastAsia="ru-RU"/>
              </w:rPr>
            </w:pPr>
            <w:r w:rsidRPr="00DB111F">
              <w:rPr>
                <w:rFonts w:ascii="Times New Roman" w:hAnsi="Times New Roman"/>
                <w:color w:val="000000"/>
                <w:lang w:eastAsia="ru-RU"/>
              </w:rPr>
              <w:t>Наличие стационарного АРИЭ, состояние (рабочее/не рабочее)</w:t>
            </w:r>
          </w:p>
        </w:tc>
        <w:tc>
          <w:tcPr>
            <w:tcW w:w="1500" w:type="dxa"/>
            <w:tcBorders>
              <w:top w:val="single" w:sz="4" w:space="0" w:color="auto"/>
              <w:left w:val="nil"/>
              <w:bottom w:val="single" w:sz="4" w:space="0" w:color="auto"/>
              <w:right w:val="single" w:sz="4" w:space="0" w:color="auto"/>
            </w:tcBorders>
            <w:vAlign w:val="center"/>
          </w:tcPr>
          <w:p w:rsidR="002D1E45" w:rsidRPr="00DB111F" w:rsidRDefault="002D1E45" w:rsidP="00DB111F">
            <w:pPr>
              <w:spacing w:after="0" w:line="240" w:lineRule="auto"/>
              <w:jc w:val="center"/>
              <w:rPr>
                <w:rFonts w:ascii="Times New Roman" w:hAnsi="Times New Roman"/>
                <w:color w:val="000000"/>
                <w:lang w:eastAsia="ru-RU"/>
              </w:rPr>
            </w:pPr>
            <w:r w:rsidRPr="00DB111F">
              <w:rPr>
                <w:rFonts w:ascii="Times New Roman" w:hAnsi="Times New Roman"/>
                <w:color w:val="000000"/>
                <w:lang w:eastAsia="ru-RU"/>
              </w:rPr>
              <w:t>Необходимая мощность АРИЭ для питания объекта, кВт</w:t>
            </w:r>
          </w:p>
        </w:tc>
        <w:tc>
          <w:tcPr>
            <w:tcW w:w="1737" w:type="dxa"/>
            <w:tcBorders>
              <w:top w:val="single" w:sz="4" w:space="0" w:color="auto"/>
              <w:left w:val="nil"/>
              <w:bottom w:val="single" w:sz="4" w:space="0" w:color="auto"/>
              <w:right w:val="single" w:sz="4" w:space="0" w:color="auto"/>
            </w:tcBorders>
            <w:vAlign w:val="center"/>
          </w:tcPr>
          <w:p w:rsidR="002D1E45" w:rsidRPr="00DB111F" w:rsidRDefault="002D1E45" w:rsidP="00DB111F">
            <w:pPr>
              <w:spacing w:after="0" w:line="240" w:lineRule="auto"/>
              <w:jc w:val="center"/>
              <w:rPr>
                <w:rFonts w:ascii="Times New Roman" w:hAnsi="Times New Roman"/>
                <w:color w:val="000000"/>
                <w:lang w:eastAsia="ru-RU"/>
              </w:rPr>
            </w:pPr>
            <w:r w:rsidRPr="00DB111F">
              <w:rPr>
                <w:rFonts w:ascii="Times New Roman" w:hAnsi="Times New Roman"/>
                <w:color w:val="000000"/>
                <w:lang w:eastAsia="ru-RU"/>
              </w:rPr>
              <w:t>Собственник АРИЭ (для передвижных)</w:t>
            </w:r>
          </w:p>
        </w:tc>
        <w:tc>
          <w:tcPr>
            <w:tcW w:w="1070" w:type="dxa"/>
            <w:tcBorders>
              <w:top w:val="single" w:sz="4" w:space="0" w:color="auto"/>
              <w:left w:val="nil"/>
              <w:bottom w:val="single" w:sz="4" w:space="0" w:color="auto"/>
              <w:right w:val="single" w:sz="4" w:space="0" w:color="auto"/>
            </w:tcBorders>
            <w:vAlign w:val="center"/>
          </w:tcPr>
          <w:p w:rsidR="002D1E45" w:rsidRPr="00DB111F" w:rsidRDefault="002D1E45" w:rsidP="00DB111F">
            <w:pPr>
              <w:spacing w:after="0" w:line="240" w:lineRule="auto"/>
              <w:jc w:val="center"/>
              <w:rPr>
                <w:rFonts w:ascii="Times New Roman" w:hAnsi="Times New Roman"/>
                <w:color w:val="000000"/>
                <w:lang w:eastAsia="ru-RU"/>
              </w:rPr>
            </w:pPr>
            <w:r w:rsidRPr="00DB111F">
              <w:rPr>
                <w:rFonts w:ascii="Times New Roman" w:hAnsi="Times New Roman"/>
                <w:color w:val="000000"/>
                <w:lang w:eastAsia="ru-RU"/>
              </w:rPr>
              <w:t>Время доставки АРИЭ</w:t>
            </w:r>
          </w:p>
        </w:tc>
      </w:tr>
      <w:tr w:rsidR="002D1E45" w:rsidRPr="00DB111F" w:rsidTr="00DB111F">
        <w:trPr>
          <w:trHeight w:val="750"/>
        </w:trPr>
        <w:tc>
          <w:tcPr>
            <w:tcW w:w="516" w:type="dxa"/>
            <w:tcBorders>
              <w:top w:val="nil"/>
              <w:left w:val="single" w:sz="4" w:space="0" w:color="auto"/>
              <w:bottom w:val="nil"/>
              <w:right w:val="single" w:sz="4" w:space="0" w:color="auto"/>
            </w:tcBorders>
            <w:vAlign w:val="center"/>
          </w:tcPr>
          <w:p w:rsidR="002D1E45" w:rsidRPr="00DB111F" w:rsidRDefault="002D1E45" w:rsidP="00DB111F">
            <w:pPr>
              <w:spacing w:after="0" w:line="240" w:lineRule="auto"/>
              <w:jc w:val="center"/>
              <w:rPr>
                <w:rFonts w:ascii="Times New Roman" w:hAnsi="Times New Roman"/>
                <w:color w:val="000000"/>
                <w:lang w:eastAsia="ru-RU"/>
              </w:rPr>
            </w:pPr>
            <w:r w:rsidRPr="00DB111F">
              <w:rPr>
                <w:rFonts w:ascii="Times New Roman" w:hAnsi="Times New Roman"/>
                <w:color w:val="000000"/>
                <w:lang w:eastAsia="ru-RU"/>
              </w:rPr>
              <w:t xml:space="preserve">1 </w:t>
            </w:r>
          </w:p>
        </w:tc>
        <w:tc>
          <w:tcPr>
            <w:tcW w:w="2031" w:type="dxa"/>
            <w:tcBorders>
              <w:top w:val="nil"/>
              <w:left w:val="nil"/>
              <w:bottom w:val="single" w:sz="4" w:space="0" w:color="auto"/>
              <w:right w:val="single" w:sz="4" w:space="0" w:color="auto"/>
            </w:tcBorders>
            <w:vAlign w:val="center"/>
          </w:tcPr>
          <w:p w:rsidR="002D1E45" w:rsidRPr="00DB111F" w:rsidRDefault="002D1E45" w:rsidP="00DB111F">
            <w:pPr>
              <w:spacing w:after="0" w:line="240" w:lineRule="auto"/>
              <w:rPr>
                <w:rFonts w:ascii="Times New Roman" w:hAnsi="Times New Roman"/>
                <w:color w:val="000000"/>
                <w:lang w:eastAsia="ru-RU"/>
              </w:rPr>
            </w:pPr>
            <w:r w:rsidRPr="00DB111F">
              <w:rPr>
                <w:rFonts w:ascii="Times New Roman" w:hAnsi="Times New Roman"/>
                <w:color w:val="000000"/>
                <w:lang w:eastAsia="ru-RU"/>
              </w:rPr>
              <w:t>Котельная № 54 ул. Интернатская 2а</w:t>
            </w:r>
          </w:p>
        </w:tc>
        <w:tc>
          <w:tcPr>
            <w:tcW w:w="1701" w:type="dxa"/>
            <w:tcBorders>
              <w:top w:val="nil"/>
              <w:left w:val="nil"/>
              <w:bottom w:val="nil"/>
              <w:right w:val="nil"/>
            </w:tcBorders>
            <w:vAlign w:val="center"/>
          </w:tcPr>
          <w:p w:rsidR="002D1E45" w:rsidRPr="00DB111F" w:rsidRDefault="002D1E45" w:rsidP="00DB111F">
            <w:pPr>
              <w:spacing w:after="0" w:line="240" w:lineRule="auto"/>
              <w:jc w:val="center"/>
              <w:rPr>
                <w:rFonts w:ascii="Times New Roman" w:hAnsi="Times New Roman"/>
                <w:color w:val="000000"/>
                <w:lang w:eastAsia="ru-RU"/>
              </w:rPr>
            </w:pPr>
            <w:r w:rsidRPr="00DB111F">
              <w:rPr>
                <w:rFonts w:ascii="Times New Roman" w:hAnsi="Times New Roman"/>
                <w:color w:val="000000"/>
                <w:lang w:eastAsia="ru-RU"/>
              </w:rPr>
              <w:t>ООО «Энергетик»</w:t>
            </w:r>
          </w:p>
        </w:tc>
        <w:tc>
          <w:tcPr>
            <w:tcW w:w="1625" w:type="dxa"/>
            <w:tcBorders>
              <w:top w:val="nil"/>
              <w:left w:val="single" w:sz="4" w:space="0" w:color="auto"/>
              <w:bottom w:val="single" w:sz="4" w:space="0" w:color="auto"/>
              <w:right w:val="single" w:sz="4" w:space="0" w:color="auto"/>
            </w:tcBorders>
            <w:vAlign w:val="center"/>
          </w:tcPr>
          <w:p w:rsidR="002D1E45" w:rsidRPr="00DB111F" w:rsidRDefault="002D1E45" w:rsidP="00DB111F">
            <w:pPr>
              <w:spacing w:after="0" w:line="240" w:lineRule="auto"/>
              <w:jc w:val="center"/>
              <w:rPr>
                <w:rFonts w:ascii="Times New Roman" w:hAnsi="Times New Roman"/>
                <w:color w:val="000000"/>
                <w:lang w:eastAsia="ru-RU"/>
              </w:rPr>
            </w:pPr>
            <w:r w:rsidRPr="00DB111F">
              <w:rPr>
                <w:rFonts w:ascii="Times New Roman" w:hAnsi="Times New Roman"/>
                <w:color w:val="000000"/>
                <w:lang w:eastAsia="ru-RU"/>
              </w:rPr>
              <w:t>рабочее</w:t>
            </w:r>
          </w:p>
        </w:tc>
        <w:tc>
          <w:tcPr>
            <w:tcW w:w="1500" w:type="dxa"/>
            <w:tcBorders>
              <w:top w:val="nil"/>
              <w:left w:val="nil"/>
              <w:bottom w:val="single" w:sz="4" w:space="0" w:color="auto"/>
              <w:right w:val="single" w:sz="4" w:space="0" w:color="auto"/>
            </w:tcBorders>
          </w:tcPr>
          <w:p w:rsidR="002D1E45" w:rsidRPr="00DB111F" w:rsidRDefault="002D1E45" w:rsidP="00DB111F">
            <w:pPr>
              <w:spacing w:after="0" w:line="240" w:lineRule="auto"/>
              <w:jc w:val="center"/>
              <w:rPr>
                <w:rFonts w:ascii="Times New Roman" w:hAnsi="Times New Roman"/>
                <w:color w:val="000000"/>
                <w:lang w:eastAsia="ru-RU"/>
              </w:rPr>
            </w:pPr>
            <w:r w:rsidRPr="00DB111F">
              <w:rPr>
                <w:rFonts w:ascii="Times New Roman" w:hAnsi="Times New Roman"/>
                <w:color w:val="000000"/>
                <w:lang w:eastAsia="ru-RU"/>
              </w:rPr>
              <w:t>Ррасч-33,1кВт   Рдэс-50кВт</w:t>
            </w:r>
          </w:p>
        </w:tc>
        <w:tc>
          <w:tcPr>
            <w:tcW w:w="1737" w:type="dxa"/>
            <w:tcBorders>
              <w:top w:val="nil"/>
              <w:left w:val="nil"/>
              <w:bottom w:val="single" w:sz="4" w:space="0" w:color="auto"/>
              <w:right w:val="single" w:sz="4" w:space="0" w:color="auto"/>
            </w:tcBorders>
            <w:vAlign w:val="center"/>
          </w:tcPr>
          <w:p w:rsidR="002D1E45" w:rsidRPr="00DB111F" w:rsidRDefault="002D1E45" w:rsidP="00DB111F">
            <w:pPr>
              <w:spacing w:after="0" w:line="240" w:lineRule="auto"/>
              <w:jc w:val="center"/>
              <w:rPr>
                <w:rFonts w:ascii="Times New Roman" w:hAnsi="Times New Roman"/>
                <w:color w:val="000000"/>
                <w:lang w:eastAsia="ru-RU"/>
              </w:rPr>
            </w:pPr>
            <w:r w:rsidRPr="00DB111F">
              <w:rPr>
                <w:rFonts w:ascii="Times New Roman" w:hAnsi="Times New Roman"/>
                <w:color w:val="000000"/>
                <w:lang w:eastAsia="ru-RU"/>
              </w:rPr>
              <w:t>Администрация города</w:t>
            </w:r>
          </w:p>
        </w:tc>
        <w:tc>
          <w:tcPr>
            <w:tcW w:w="1070" w:type="dxa"/>
            <w:tcBorders>
              <w:top w:val="nil"/>
              <w:left w:val="nil"/>
              <w:bottom w:val="single" w:sz="4" w:space="0" w:color="auto"/>
              <w:right w:val="single" w:sz="4" w:space="0" w:color="auto"/>
            </w:tcBorders>
            <w:vAlign w:val="center"/>
          </w:tcPr>
          <w:p w:rsidR="002D1E45" w:rsidRPr="00DB111F" w:rsidRDefault="002D1E45" w:rsidP="00DB111F">
            <w:pPr>
              <w:spacing w:after="0" w:line="240" w:lineRule="auto"/>
              <w:jc w:val="center"/>
              <w:rPr>
                <w:rFonts w:ascii="Times New Roman" w:hAnsi="Times New Roman"/>
                <w:color w:val="000000"/>
                <w:lang w:eastAsia="ru-RU"/>
              </w:rPr>
            </w:pPr>
            <w:r w:rsidRPr="00DB111F">
              <w:rPr>
                <w:rFonts w:ascii="Times New Roman" w:hAnsi="Times New Roman"/>
                <w:color w:val="000000"/>
                <w:lang w:eastAsia="ru-RU"/>
              </w:rPr>
              <w:t>0</w:t>
            </w:r>
            <w:r>
              <w:rPr>
                <w:rFonts w:ascii="Times New Roman" w:hAnsi="Times New Roman"/>
                <w:color w:val="000000"/>
                <w:lang w:eastAsia="ru-RU"/>
              </w:rPr>
              <w:t xml:space="preserve"> </w:t>
            </w:r>
            <w:r w:rsidRPr="00DB111F">
              <w:rPr>
                <w:rFonts w:ascii="Times New Roman" w:hAnsi="Times New Roman"/>
                <w:color w:val="000000"/>
                <w:lang w:eastAsia="ru-RU"/>
              </w:rPr>
              <w:t>мин.</w:t>
            </w:r>
          </w:p>
        </w:tc>
      </w:tr>
      <w:tr w:rsidR="002D1E45" w:rsidRPr="00DB111F" w:rsidTr="00DB111F">
        <w:trPr>
          <w:trHeight w:val="750"/>
        </w:trPr>
        <w:tc>
          <w:tcPr>
            <w:tcW w:w="516" w:type="dxa"/>
            <w:tcBorders>
              <w:top w:val="single" w:sz="4" w:space="0" w:color="auto"/>
              <w:left w:val="single" w:sz="4" w:space="0" w:color="auto"/>
              <w:bottom w:val="single" w:sz="4" w:space="0" w:color="auto"/>
              <w:right w:val="single" w:sz="4" w:space="0" w:color="auto"/>
            </w:tcBorders>
            <w:vAlign w:val="center"/>
          </w:tcPr>
          <w:p w:rsidR="002D1E45" w:rsidRPr="00DB111F" w:rsidRDefault="002D1E45" w:rsidP="00DB111F">
            <w:pPr>
              <w:spacing w:after="0" w:line="240" w:lineRule="auto"/>
              <w:jc w:val="center"/>
              <w:rPr>
                <w:rFonts w:ascii="Times New Roman" w:hAnsi="Times New Roman"/>
                <w:color w:val="000000"/>
                <w:lang w:eastAsia="ru-RU"/>
              </w:rPr>
            </w:pPr>
            <w:r w:rsidRPr="00DB111F">
              <w:rPr>
                <w:rFonts w:ascii="Times New Roman" w:hAnsi="Times New Roman"/>
                <w:color w:val="000000"/>
                <w:lang w:eastAsia="ru-RU"/>
              </w:rPr>
              <w:t xml:space="preserve">2 </w:t>
            </w:r>
          </w:p>
        </w:tc>
        <w:tc>
          <w:tcPr>
            <w:tcW w:w="2031" w:type="dxa"/>
            <w:tcBorders>
              <w:top w:val="nil"/>
              <w:left w:val="nil"/>
              <w:bottom w:val="single" w:sz="4" w:space="0" w:color="auto"/>
              <w:right w:val="single" w:sz="4" w:space="0" w:color="auto"/>
            </w:tcBorders>
            <w:vAlign w:val="center"/>
          </w:tcPr>
          <w:p w:rsidR="002D1E45" w:rsidRPr="00DB111F" w:rsidRDefault="002D1E45" w:rsidP="00DB111F">
            <w:pPr>
              <w:spacing w:after="0" w:line="240" w:lineRule="auto"/>
              <w:rPr>
                <w:rFonts w:ascii="Times New Roman" w:hAnsi="Times New Roman"/>
                <w:color w:val="000000"/>
                <w:lang w:eastAsia="ru-RU"/>
              </w:rPr>
            </w:pPr>
            <w:r w:rsidRPr="00DB111F">
              <w:rPr>
                <w:rFonts w:ascii="Times New Roman" w:hAnsi="Times New Roman"/>
                <w:color w:val="000000"/>
                <w:lang w:eastAsia="ru-RU"/>
              </w:rPr>
              <w:t>Котельная № 56 ул. Мичурина, 1</w:t>
            </w:r>
          </w:p>
        </w:tc>
        <w:tc>
          <w:tcPr>
            <w:tcW w:w="1701" w:type="dxa"/>
            <w:tcBorders>
              <w:top w:val="single" w:sz="4" w:space="0" w:color="auto"/>
              <w:left w:val="nil"/>
              <w:bottom w:val="single" w:sz="4" w:space="0" w:color="auto"/>
              <w:right w:val="single" w:sz="4" w:space="0" w:color="auto"/>
            </w:tcBorders>
            <w:vAlign w:val="center"/>
          </w:tcPr>
          <w:p w:rsidR="002D1E45" w:rsidRPr="00DB111F" w:rsidRDefault="002D1E45" w:rsidP="00DB111F">
            <w:pPr>
              <w:spacing w:after="0" w:line="240" w:lineRule="auto"/>
              <w:jc w:val="center"/>
              <w:rPr>
                <w:rFonts w:ascii="Times New Roman" w:hAnsi="Times New Roman"/>
                <w:color w:val="000000"/>
                <w:lang w:eastAsia="ru-RU"/>
              </w:rPr>
            </w:pPr>
            <w:r w:rsidRPr="00DB111F">
              <w:rPr>
                <w:rFonts w:ascii="Times New Roman" w:hAnsi="Times New Roman"/>
                <w:color w:val="000000"/>
                <w:lang w:eastAsia="ru-RU"/>
              </w:rPr>
              <w:t>ООО «Энергетик»</w:t>
            </w:r>
          </w:p>
        </w:tc>
        <w:tc>
          <w:tcPr>
            <w:tcW w:w="1625" w:type="dxa"/>
            <w:tcBorders>
              <w:top w:val="nil"/>
              <w:left w:val="nil"/>
              <w:bottom w:val="single" w:sz="4" w:space="0" w:color="auto"/>
              <w:right w:val="single" w:sz="4" w:space="0" w:color="auto"/>
            </w:tcBorders>
            <w:vAlign w:val="center"/>
          </w:tcPr>
          <w:p w:rsidR="002D1E45" w:rsidRPr="00DB111F" w:rsidRDefault="002D1E45" w:rsidP="00DB111F">
            <w:pPr>
              <w:spacing w:after="0" w:line="240" w:lineRule="auto"/>
              <w:jc w:val="center"/>
              <w:rPr>
                <w:rFonts w:ascii="Times New Roman" w:hAnsi="Times New Roman"/>
                <w:color w:val="000000"/>
                <w:lang w:eastAsia="ru-RU"/>
              </w:rPr>
            </w:pPr>
            <w:r w:rsidRPr="00DB111F">
              <w:rPr>
                <w:rFonts w:ascii="Times New Roman" w:hAnsi="Times New Roman"/>
                <w:color w:val="000000"/>
                <w:lang w:eastAsia="ru-RU"/>
              </w:rPr>
              <w:t>рабочее</w:t>
            </w:r>
          </w:p>
        </w:tc>
        <w:tc>
          <w:tcPr>
            <w:tcW w:w="1500" w:type="dxa"/>
            <w:tcBorders>
              <w:top w:val="nil"/>
              <w:left w:val="nil"/>
              <w:bottom w:val="single" w:sz="4" w:space="0" w:color="auto"/>
              <w:right w:val="single" w:sz="4" w:space="0" w:color="auto"/>
            </w:tcBorders>
          </w:tcPr>
          <w:p w:rsidR="002D1E45" w:rsidRPr="00DB111F" w:rsidRDefault="002D1E45" w:rsidP="00DB111F">
            <w:pPr>
              <w:spacing w:after="0" w:line="240" w:lineRule="auto"/>
              <w:jc w:val="center"/>
              <w:rPr>
                <w:rFonts w:ascii="Times New Roman" w:hAnsi="Times New Roman"/>
                <w:color w:val="000000"/>
                <w:lang w:eastAsia="ru-RU"/>
              </w:rPr>
            </w:pPr>
            <w:r w:rsidRPr="00DB111F">
              <w:rPr>
                <w:rFonts w:ascii="Times New Roman" w:hAnsi="Times New Roman"/>
                <w:color w:val="000000"/>
                <w:lang w:eastAsia="ru-RU"/>
              </w:rPr>
              <w:t>Ррасч-17,6кВт   Рдэс-30кВт</w:t>
            </w:r>
          </w:p>
        </w:tc>
        <w:tc>
          <w:tcPr>
            <w:tcW w:w="1737" w:type="dxa"/>
            <w:tcBorders>
              <w:top w:val="nil"/>
              <w:left w:val="nil"/>
              <w:bottom w:val="single" w:sz="4" w:space="0" w:color="auto"/>
              <w:right w:val="single" w:sz="4" w:space="0" w:color="auto"/>
            </w:tcBorders>
            <w:vAlign w:val="center"/>
          </w:tcPr>
          <w:p w:rsidR="002D1E45" w:rsidRPr="00DB111F" w:rsidRDefault="002D1E45" w:rsidP="00DB111F">
            <w:pPr>
              <w:spacing w:after="0" w:line="240" w:lineRule="auto"/>
              <w:jc w:val="center"/>
              <w:rPr>
                <w:rFonts w:ascii="Times New Roman" w:hAnsi="Times New Roman"/>
                <w:color w:val="000000"/>
                <w:lang w:eastAsia="ru-RU"/>
              </w:rPr>
            </w:pPr>
            <w:r w:rsidRPr="00DB111F">
              <w:rPr>
                <w:rFonts w:ascii="Times New Roman" w:hAnsi="Times New Roman"/>
                <w:color w:val="000000"/>
                <w:lang w:eastAsia="ru-RU"/>
              </w:rPr>
              <w:t>Администрация города</w:t>
            </w:r>
          </w:p>
        </w:tc>
        <w:tc>
          <w:tcPr>
            <w:tcW w:w="1070" w:type="dxa"/>
            <w:tcBorders>
              <w:top w:val="nil"/>
              <w:left w:val="nil"/>
              <w:bottom w:val="single" w:sz="4" w:space="0" w:color="auto"/>
              <w:right w:val="single" w:sz="4" w:space="0" w:color="auto"/>
            </w:tcBorders>
            <w:vAlign w:val="center"/>
          </w:tcPr>
          <w:p w:rsidR="002D1E45" w:rsidRPr="00DB111F" w:rsidRDefault="002D1E45" w:rsidP="00DB111F">
            <w:pPr>
              <w:spacing w:after="0" w:line="240" w:lineRule="auto"/>
              <w:jc w:val="center"/>
              <w:rPr>
                <w:rFonts w:ascii="Times New Roman" w:hAnsi="Times New Roman"/>
                <w:color w:val="000000"/>
                <w:lang w:eastAsia="ru-RU"/>
              </w:rPr>
            </w:pPr>
            <w:r w:rsidRPr="00DB111F">
              <w:rPr>
                <w:rFonts w:ascii="Times New Roman" w:hAnsi="Times New Roman"/>
                <w:color w:val="000000"/>
                <w:lang w:eastAsia="ru-RU"/>
              </w:rPr>
              <w:t>0</w:t>
            </w:r>
            <w:r>
              <w:rPr>
                <w:rFonts w:ascii="Times New Roman" w:hAnsi="Times New Roman"/>
                <w:color w:val="000000"/>
                <w:lang w:eastAsia="ru-RU"/>
              </w:rPr>
              <w:t xml:space="preserve"> </w:t>
            </w:r>
            <w:r w:rsidRPr="00DB111F">
              <w:rPr>
                <w:rFonts w:ascii="Times New Roman" w:hAnsi="Times New Roman"/>
                <w:color w:val="000000"/>
                <w:lang w:eastAsia="ru-RU"/>
              </w:rPr>
              <w:t>мин.</w:t>
            </w:r>
          </w:p>
        </w:tc>
      </w:tr>
      <w:tr w:rsidR="002D1E45" w:rsidRPr="00DB111F" w:rsidTr="00DB111F">
        <w:trPr>
          <w:trHeight w:val="765"/>
        </w:trPr>
        <w:tc>
          <w:tcPr>
            <w:tcW w:w="516" w:type="dxa"/>
            <w:tcBorders>
              <w:top w:val="nil"/>
              <w:left w:val="single" w:sz="4" w:space="0" w:color="auto"/>
              <w:bottom w:val="single" w:sz="4" w:space="0" w:color="auto"/>
              <w:right w:val="single" w:sz="4" w:space="0" w:color="auto"/>
            </w:tcBorders>
            <w:vAlign w:val="center"/>
          </w:tcPr>
          <w:p w:rsidR="002D1E45" w:rsidRPr="00DB111F" w:rsidRDefault="002D1E45" w:rsidP="00DB111F">
            <w:pPr>
              <w:spacing w:after="0" w:line="240" w:lineRule="auto"/>
              <w:jc w:val="center"/>
              <w:rPr>
                <w:rFonts w:ascii="Times New Roman" w:hAnsi="Times New Roman"/>
                <w:color w:val="000000"/>
                <w:lang w:eastAsia="ru-RU"/>
              </w:rPr>
            </w:pPr>
            <w:r w:rsidRPr="00DB111F">
              <w:rPr>
                <w:rFonts w:ascii="Times New Roman" w:hAnsi="Times New Roman"/>
                <w:color w:val="000000"/>
                <w:lang w:eastAsia="ru-RU"/>
              </w:rPr>
              <w:t xml:space="preserve">3 </w:t>
            </w:r>
          </w:p>
        </w:tc>
        <w:tc>
          <w:tcPr>
            <w:tcW w:w="2031" w:type="dxa"/>
            <w:tcBorders>
              <w:top w:val="nil"/>
              <w:left w:val="nil"/>
              <w:bottom w:val="nil"/>
              <w:right w:val="nil"/>
            </w:tcBorders>
            <w:vAlign w:val="center"/>
          </w:tcPr>
          <w:p w:rsidR="002D1E45" w:rsidRPr="00DB111F" w:rsidRDefault="002D1E45" w:rsidP="00DB111F">
            <w:pPr>
              <w:spacing w:after="0" w:line="240" w:lineRule="auto"/>
              <w:rPr>
                <w:rFonts w:ascii="Times New Roman" w:hAnsi="Times New Roman"/>
                <w:color w:val="000000"/>
                <w:lang w:eastAsia="ru-RU"/>
              </w:rPr>
            </w:pPr>
            <w:r w:rsidRPr="00DB111F">
              <w:rPr>
                <w:rFonts w:ascii="Times New Roman" w:hAnsi="Times New Roman"/>
                <w:color w:val="000000"/>
                <w:lang w:eastAsia="ru-RU"/>
              </w:rPr>
              <w:t>Котельная№ 57 ул. Каинская, 78</w:t>
            </w:r>
          </w:p>
        </w:tc>
        <w:tc>
          <w:tcPr>
            <w:tcW w:w="1701" w:type="dxa"/>
            <w:tcBorders>
              <w:top w:val="nil"/>
              <w:left w:val="single" w:sz="4" w:space="0" w:color="auto"/>
              <w:bottom w:val="single" w:sz="4" w:space="0" w:color="auto"/>
              <w:right w:val="single" w:sz="4" w:space="0" w:color="auto"/>
            </w:tcBorders>
            <w:vAlign w:val="center"/>
          </w:tcPr>
          <w:p w:rsidR="002D1E45" w:rsidRPr="00DB111F" w:rsidRDefault="002D1E45" w:rsidP="00DB111F">
            <w:pPr>
              <w:spacing w:after="0" w:line="240" w:lineRule="auto"/>
              <w:jc w:val="center"/>
              <w:rPr>
                <w:rFonts w:ascii="Times New Roman" w:hAnsi="Times New Roman"/>
                <w:color w:val="000000"/>
                <w:lang w:eastAsia="ru-RU"/>
              </w:rPr>
            </w:pPr>
            <w:r w:rsidRPr="00DB111F">
              <w:rPr>
                <w:rFonts w:ascii="Times New Roman" w:hAnsi="Times New Roman"/>
                <w:color w:val="000000"/>
                <w:lang w:eastAsia="ru-RU"/>
              </w:rPr>
              <w:t>ООО «Энергетик»</w:t>
            </w:r>
          </w:p>
        </w:tc>
        <w:tc>
          <w:tcPr>
            <w:tcW w:w="1625" w:type="dxa"/>
            <w:tcBorders>
              <w:top w:val="nil"/>
              <w:left w:val="nil"/>
              <w:bottom w:val="single" w:sz="4" w:space="0" w:color="auto"/>
              <w:right w:val="single" w:sz="4" w:space="0" w:color="auto"/>
            </w:tcBorders>
            <w:vAlign w:val="center"/>
          </w:tcPr>
          <w:p w:rsidR="002D1E45" w:rsidRPr="00DB111F" w:rsidRDefault="002D1E45" w:rsidP="00DB111F">
            <w:pPr>
              <w:spacing w:after="0" w:line="240" w:lineRule="auto"/>
              <w:jc w:val="center"/>
              <w:rPr>
                <w:rFonts w:ascii="Times New Roman" w:hAnsi="Times New Roman"/>
                <w:color w:val="000000"/>
                <w:lang w:eastAsia="ru-RU"/>
              </w:rPr>
            </w:pPr>
            <w:r w:rsidRPr="00DB111F">
              <w:rPr>
                <w:rFonts w:ascii="Times New Roman" w:hAnsi="Times New Roman"/>
                <w:color w:val="000000"/>
                <w:lang w:eastAsia="ru-RU"/>
              </w:rPr>
              <w:t>рабочее</w:t>
            </w:r>
          </w:p>
        </w:tc>
        <w:tc>
          <w:tcPr>
            <w:tcW w:w="1500" w:type="dxa"/>
            <w:tcBorders>
              <w:top w:val="nil"/>
              <w:left w:val="nil"/>
              <w:bottom w:val="single" w:sz="4" w:space="0" w:color="auto"/>
              <w:right w:val="single" w:sz="4" w:space="0" w:color="auto"/>
            </w:tcBorders>
          </w:tcPr>
          <w:p w:rsidR="002D1E45" w:rsidRPr="00DB111F" w:rsidRDefault="002D1E45" w:rsidP="00DB111F">
            <w:pPr>
              <w:spacing w:after="0" w:line="240" w:lineRule="auto"/>
              <w:jc w:val="center"/>
              <w:rPr>
                <w:rFonts w:ascii="Times New Roman" w:hAnsi="Times New Roman"/>
                <w:color w:val="000000"/>
                <w:lang w:eastAsia="ru-RU"/>
              </w:rPr>
            </w:pPr>
            <w:r w:rsidRPr="00DB111F">
              <w:rPr>
                <w:rFonts w:ascii="Times New Roman" w:hAnsi="Times New Roman"/>
                <w:color w:val="000000"/>
                <w:lang w:eastAsia="ru-RU"/>
              </w:rPr>
              <w:t>Ррасч-34,3кВт   Рдэс-60кВт</w:t>
            </w:r>
          </w:p>
        </w:tc>
        <w:tc>
          <w:tcPr>
            <w:tcW w:w="1737" w:type="dxa"/>
            <w:tcBorders>
              <w:top w:val="nil"/>
              <w:left w:val="nil"/>
              <w:bottom w:val="single" w:sz="4" w:space="0" w:color="auto"/>
              <w:right w:val="single" w:sz="4" w:space="0" w:color="auto"/>
            </w:tcBorders>
            <w:vAlign w:val="center"/>
          </w:tcPr>
          <w:p w:rsidR="002D1E45" w:rsidRPr="00DB111F" w:rsidRDefault="002D1E45" w:rsidP="00DB111F">
            <w:pPr>
              <w:spacing w:after="0" w:line="240" w:lineRule="auto"/>
              <w:jc w:val="center"/>
              <w:rPr>
                <w:rFonts w:ascii="Times New Roman" w:hAnsi="Times New Roman"/>
                <w:color w:val="000000"/>
                <w:lang w:eastAsia="ru-RU"/>
              </w:rPr>
            </w:pPr>
            <w:r w:rsidRPr="00DB111F">
              <w:rPr>
                <w:rFonts w:ascii="Times New Roman" w:hAnsi="Times New Roman"/>
                <w:color w:val="000000"/>
                <w:lang w:eastAsia="ru-RU"/>
              </w:rPr>
              <w:t>Администрация города</w:t>
            </w:r>
          </w:p>
        </w:tc>
        <w:tc>
          <w:tcPr>
            <w:tcW w:w="1070" w:type="dxa"/>
            <w:tcBorders>
              <w:top w:val="nil"/>
              <w:left w:val="nil"/>
              <w:bottom w:val="single" w:sz="4" w:space="0" w:color="auto"/>
              <w:right w:val="single" w:sz="4" w:space="0" w:color="auto"/>
            </w:tcBorders>
            <w:vAlign w:val="center"/>
          </w:tcPr>
          <w:p w:rsidR="002D1E45" w:rsidRPr="00DB111F" w:rsidRDefault="002D1E45" w:rsidP="00DB111F">
            <w:pPr>
              <w:spacing w:after="0" w:line="240" w:lineRule="auto"/>
              <w:jc w:val="center"/>
              <w:rPr>
                <w:rFonts w:ascii="Times New Roman" w:hAnsi="Times New Roman"/>
                <w:color w:val="000000"/>
                <w:lang w:eastAsia="ru-RU"/>
              </w:rPr>
            </w:pPr>
            <w:r w:rsidRPr="00DB111F">
              <w:rPr>
                <w:rFonts w:ascii="Times New Roman" w:hAnsi="Times New Roman"/>
                <w:color w:val="000000"/>
                <w:lang w:eastAsia="ru-RU"/>
              </w:rPr>
              <w:t>0</w:t>
            </w:r>
            <w:r>
              <w:rPr>
                <w:rFonts w:ascii="Times New Roman" w:hAnsi="Times New Roman"/>
                <w:color w:val="000000"/>
                <w:lang w:eastAsia="ru-RU"/>
              </w:rPr>
              <w:t xml:space="preserve"> </w:t>
            </w:r>
            <w:r w:rsidRPr="00DB111F">
              <w:rPr>
                <w:rFonts w:ascii="Times New Roman" w:hAnsi="Times New Roman"/>
                <w:color w:val="000000"/>
                <w:lang w:eastAsia="ru-RU"/>
              </w:rPr>
              <w:t>мин.</w:t>
            </w:r>
          </w:p>
        </w:tc>
      </w:tr>
      <w:tr w:rsidR="002D1E45" w:rsidRPr="00DB111F" w:rsidTr="00DB111F">
        <w:trPr>
          <w:trHeight w:val="636"/>
        </w:trPr>
        <w:tc>
          <w:tcPr>
            <w:tcW w:w="516" w:type="dxa"/>
            <w:tcBorders>
              <w:top w:val="nil"/>
              <w:left w:val="single" w:sz="4" w:space="0" w:color="auto"/>
              <w:bottom w:val="single" w:sz="4" w:space="0" w:color="auto"/>
              <w:right w:val="single" w:sz="4" w:space="0" w:color="auto"/>
            </w:tcBorders>
            <w:noWrap/>
            <w:vAlign w:val="center"/>
          </w:tcPr>
          <w:p w:rsidR="002D1E45" w:rsidRPr="00DB111F" w:rsidRDefault="002D1E45" w:rsidP="00DB111F">
            <w:pPr>
              <w:spacing w:after="0" w:line="240" w:lineRule="auto"/>
              <w:jc w:val="center"/>
              <w:rPr>
                <w:rFonts w:ascii="Times New Roman" w:hAnsi="Times New Roman"/>
                <w:color w:val="000000"/>
                <w:lang w:eastAsia="ru-RU"/>
              </w:rPr>
            </w:pPr>
            <w:r w:rsidRPr="00DB111F">
              <w:rPr>
                <w:rFonts w:ascii="Times New Roman" w:hAnsi="Times New Roman"/>
                <w:color w:val="000000"/>
                <w:lang w:eastAsia="ru-RU"/>
              </w:rPr>
              <w:t>4</w:t>
            </w:r>
          </w:p>
        </w:tc>
        <w:tc>
          <w:tcPr>
            <w:tcW w:w="2031" w:type="dxa"/>
            <w:tcBorders>
              <w:top w:val="single" w:sz="4" w:space="0" w:color="auto"/>
              <w:left w:val="nil"/>
              <w:bottom w:val="single" w:sz="4" w:space="0" w:color="auto"/>
              <w:right w:val="single" w:sz="4" w:space="0" w:color="auto"/>
            </w:tcBorders>
            <w:vAlign w:val="center"/>
          </w:tcPr>
          <w:p w:rsidR="002D1E45" w:rsidRPr="00DB111F" w:rsidRDefault="002D1E45" w:rsidP="00DB111F">
            <w:pPr>
              <w:spacing w:after="0" w:line="240" w:lineRule="auto"/>
              <w:rPr>
                <w:rFonts w:ascii="Times New Roman" w:hAnsi="Times New Roman"/>
                <w:color w:val="000000"/>
                <w:lang w:eastAsia="ru-RU"/>
              </w:rPr>
            </w:pPr>
            <w:r w:rsidRPr="00DB111F">
              <w:rPr>
                <w:rFonts w:ascii="Times New Roman" w:hAnsi="Times New Roman"/>
                <w:color w:val="000000"/>
                <w:lang w:eastAsia="ru-RU"/>
              </w:rPr>
              <w:t>Котельная № 59 ул. Звёздная</w:t>
            </w:r>
          </w:p>
        </w:tc>
        <w:tc>
          <w:tcPr>
            <w:tcW w:w="1701" w:type="dxa"/>
            <w:tcBorders>
              <w:top w:val="nil"/>
              <w:left w:val="nil"/>
              <w:bottom w:val="single" w:sz="4" w:space="0" w:color="auto"/>
              <w:right w:val="single" w:sz="4" w:space="0" w:color="auto"/>
            </w:tcBorders>
            <w:vAlign w:val="center"/>
          </w:tcPr>
          <w:p w:rsidR="002D1E45" w:rsidRPr="00DB111F" w:rsidRDefault="002D1E45" w:rsidP="00DB111F">
            <w:pPr>
              <w:spacing w:after="0" w:line="240" w:lineRule="auto"/>
              <w:jc w:val="center"/>
              <w:rPr>
                <w:rFonts w:ascii="Times New Roman" w:hAnsi="Times New Roman"/>
                <w:color w:val="000000"/>
                <w:lang w:eastAsia="ru-RU"/>
              </w:rPr>
            </w:pPr>
            <w:r w:rsidRPr="00DB111F">
              <w:rPr>
                <w:rFonts w:ascii="Times New Roman" w:hAnsi="Times New Roman"/>
                <w:color w:val="000000"/>
                <w:lang w:eastAsia="ru-RU"/>
              </w:rPr>
              <w:t>ООО «Энергетик»</w:t>
            </w:r>
          </w:p>
        </w:tc>
        <w:tc>
          <w:tcPr>
            <w:tcW w:w="1625" w:type="dxa"/>
            <w:tcBorders>
              <w:top w:val="nil"/>
              <w:left w:val="nil"/>
              <w:bottom w:val="single" w:sz="4" w:space="0" w:color="auto"/>
              <w:right w:val="single" w:sz="4" w:space="0" w:color="auto"/>
            </w:tcBorders>
            <w:vAlign w:val="center"/>
          </w:tcPr>
          <w:p w:rsidR="002D1E45" w:rsidRPr="00DB111F" w:rsidRDefault="002D1E45" w:rsidP="00DB111F">
            <w:pPr>
              <w:spacing w:after="0" w:line="240" w:lineRule="auto"/>
              <w:jc w:val="center"/>
              <w:rPr>
                <w:rFonts w:ascii="Times New Roman" w:hAnsi="Times New Roman"/>
                <w:color w:val="000000"/>
                <w:lang w:eastAsia="ru-RU"/>
              </w:rPr>
            </w:pPr>
            <w:r w:rsidRPr="00DB111F">
              <w:rPr>
                <w:rFonts w:ascii="Times New Roman" w:hAnsi="Times New Roman"/>
                <w:color w:val="000000"/>
                <w:lang w:eastAsia="ru-RU"/>
              </w:rPr>
              <w:t>рабочее</w:t>
            </w:r>
          </w:p>
        </w:tc>
        <w:tc>
          <w:tcPr>
            <w:tcW w:w="1500" w:type="dxa"/>
            <w:tcBorders>
              <w:top w:val="nil"/>
              <w:left w:val="nil"/>
              <w:bottom w:val="single" w:sz="4" w:space="0" w:color="auto"/>
              <w:right w:val="single" w:sz="4" w:space="0" w:color="auto"/>
            </w:tcBorders>
          </w:tcPr>
          <w:p w:rsidR="002D1E45" w:rsidRPr="00DB111F" w:rsidRDefault="002D1E45" w:rsidP="00DB111F">
            <w:pPr>
              <w:spacing w:after="0" w:line="240" w:lineRule="auto"/>
              <w:jc w:val="center"/>
              <w:rPr>
                <w:rFonts w:ascii="Times New Roman" w:hAnsi="Times New Roman"/>
                <w:color w:val="000000"/>
                <w:lang w:eastAsia="ru-RU"/>
              </w:rPr>
            </w:pPr>
            <w:r w:rsidRPr="00DB111F">
              <w:rPr>
                <w:rFonts w:ascii="Times New Roman" w:hAnsi="Times New Roman"/>
                <w:color w:val="000000"/>
                <w:lang w:eastAsia="ru-RU"/>
              </w:rPr>
              <w:t>Ррасч-40,8кВт   Рдэс-60кВт</w:t>
            </w:r>
          </w:p>
        </w:tc>
        <w:tc>
          <w:tcPr>
            <w:tcW w:w="1737" w:type="dxa"/>
            <w:tcBorders>
              <w:top w:val="nil"/>
              <w:left w:val="nil"/>
              <w:bottom w:val="single" w:sz="4" w:space="0" w:color="auto"/>
              <w:right w:val="single" w:sz="4" w:space="0" w:color="auto"/>
            </w:tcBorders>
            <w:vAlign w:val="center"/>
          </w:tcPr>
          <w:p w:rsidR="002D1E45" w:rsidRPr="00DB111F" w:rsidRDefault="002D1E45" w:rsidP="00DB111F">
            <w:pPr>
              <w:spacing w:after="0" w:line="240" w:lineRule="auto"/>
              <w:jc w:val="center"/>
              <w:rPr>
                <w:rFonts w:ascii="Times New Roman" w:hAnsi="Times New Roman"/>
                <w:color w:val="000000"/>
                <w:lang w:eastAsia="ru-RU"/>
              </w:rPr>
            </w:pPr>
            <w:r w:rsidRPr="00DB111F">
              <w:rPr>
                <w:rFonts w:ascii="Times New Roman" w:hAnsi="Times New Roman"/>
                <w:color w:val="000000"/>
                <w:lang w:eastAsia="ru-RU"/>
              </w:rPr>
              <w:t>Администрация города</w:t>
            </w:r>
          </w:p>
        </w:tc>
        <w:tc>
          <w:tcPr>
            <w:tcW w:w="1070" w:type="dxa"/>
            <w:tcBorders>
              <w:top w:val="nil"/>
              <w:left w:val="nil"/>
              <w:bottom w:val="single" w:sz="4" w:space="0" w:color="auto"/>
              <w:right w:val="single" w:sz="4" w:space="0" w:color="auto"/>
            </w:tcBorders>
            <w:vAlign w:val="center"/>
          </w:tcPr>
          <w:p w:rsidR="002D1E45" w:rsidRPr="00DB111F" w:rsidRDefault="002D1E45" w:rsidP="00DB111F">
            <w:pPr>
              <w:spacing w:after="0" w:line="240" w:lineRule="auto"/>
              <w:jc w:val="center"/>
              <w:rPr>
                <w:rFonts w:ascii="Times New Roman" w:hAnsi="Times New Roman"/>
                <w:color w:val="000000"/>
                <w:lang w:eastAsia="ru-RU"/>
              </w:rPr>
            </w:pPr>
            <w:r w:rsidRPr="00DB111F">
              <w:rPr>
                <w:rFonts w:ascii="Times New Roman" w:hAnsi="Times New Roman"/>
                <w:color w:val="000000"/>
                <w:lang w:eastAsia="ru-RU"/>
              </w:rPr>
              <w:t>0</w:t>
            </w:r>
            <w:r>
              <w:rPr>
                <w:rFonts w:ascii="Times New Roman" w:hAnsi="Times New Roman"/>
                <w:color w:val="000000"/>
                <w:lang w:eastAsia="ru-RU"/>
              </w:rPr>
              <w:t xml:space="preserve"> </w:t>
            </w:r>
            <w:r w:rsidRPr="00DB111F">
              <w:rPr>
                <w:rFonts w:ascii="Times New Roman" w:hAnsi="Times New Roman"/>
                <w:color w:val="000000"/>
                <w:lang w:eastAsia="ru-RU"/>
              </w:rPr>
              <w:t>мин.</w:t>
            </w:r>
          </w:p>
        </w:tc>
      </w:tr>
    </w:tbl>
    <w:p w:rsidR="002D1E45" w:rsidRPr="004D071E" w:rsidRDefault="002D1E45" w:rsidP="00DB111F">
      <w:pPr>
        <w:spacing w:after="120" w:line="240" w:lineRule="auto"/>
        <w:jc w:val="center"/>
        <w:rPr>
          <w:rFonts w:ascii="Times New Roman" w:hAnsi="Times New Roman"/>
          <w:sz w:val="28"/>
          <w:szCs w:val="28"/>
          <w:lang w:eastAsia="ru-RU"/>
        </w:rPr>
      </w:pPr>
    </w:p>
    <w:p w:rsidR="002D1E45" w:rsidRPr="001F6325" w:rsidRDefault="002D1E45" w:rsidP="001F6325">
      <w:pPr>
        <w:spacing w:after="0" w:line="240" w:lineRule="auto"/>
        <w:ind w:firstLine="709"/>
        <w:jc w:val="both"/>
        <w:rPr>
          <w:rFonts w:ascii="Times New Roman" w:hAnsi="Times New Roman"/>
          <w:sz w:val="28"/>
          <w:szCs w:val="28"/>
        </w:rPr>
      </w:pPr>
      <w:r w:rsidRPr="001F6325">
        <w:rPr>
          <w:rFonts w:ascii="Times New Roman" w:hAnsi="Times New Roman"/>
          <w:i/>
          <w:sz w:val="28"/>
          <w:szCs w:val="28"/>
          <w:u w:val="single"/>
        </w:rPr>
        <w:t>Аварии на</w:t>
      </w:r>
      <w:r>
        <w:rPr>
          <w:rFonts w:ascii="Times New Roman" w:hAnsi="Times New Roman"/>
          <w:i/>
          <w:sz w:val="28"/>
          <w:szCs w:val="28"/>
          <w:u w:val="single"/>
        </w:rPr>
        <w:t> </w:t>
      </w:r>
      <w:r w:rsidRPr="001F6325">
        <w:rPr>
          <w:rFonts w:ascii="Times New Roman" w:hAnsi="Times New Roman"/>
          <w:i/>
          <w:sz w:val="28"/>
          <w:szCs w:val="28"/>
          <w:u w:val="single"/>
        </w:rPr>
        <w:t>коммунальных системах жизнеобеспечения</w:t>
      </w:r>
      <w:r w:rsidRPr="001F6325">
        <w:rPr>
          <w:rFonts w:ascii="Times New Roman" w:hAnsi="Times New Roman"/>
          <w:sz w:val="28"/>
          <w:szCs w:val="28"/>
        </w:rPr>
        <w:t xml:space="preserve"> возможны по</w:t>
      </w:r>
      <w:r>
        <w:rPr>
          <w:rFonts w:ascii="Times New Roman" w:hAnsi="Times New Roman"/>
          <w:sz w:val="28"/>
          <w:szCs w:val="28"/>
        </w:rPr>
        <w:t> </w:t>
      </w:r>
      <w:r w:rsidRPr="001F6325">
        <w:rPr>
          <w:rFonts w:ascii="Times New Roman" w:hAnsi="Times New Roman"/>
          <w:sz w:val="28"/>
          <w:szCs w:val="28"/>
        </w:rPr>
        <w:t xml:space="preserve">причине: </w:t>
      </w:r>
    </w:p>
    <w:p w:rsidR="002D1E45" w:rsidRPr="001F6325" w:rsidRDefault="002D1E45" w:rsidP="001F6325">
      <w:pPr>
        <w:numPr>
          <w:ilvl w:val="0"/>
          <w:numId w:val="24"/>
        </w:numPr>
        <w:spacing w:after="0" w:line="240" w:lineRule="auto"/>
        <w:jc w:val="both"/>
        <w:rPr>
          <w:rFonts w:ascii="Times New Roman" w:hAnsi="Times New Roman"/>
          <w:sz w:val="28"/>
          <w:szCs w:val="28"/>
        </w:rPr>
      </w:pPr>
      <w:r w:rsidRPr="001F6325">
        <w:rPr>
          <w:rFonts w:ascii="Times New Roman" w:hAnsi="Times New Roman"/>
          <w:sz w:val="28"/>
          <w:szCs w:val="28"/>
        </w:rPr>
        <w:t>износа основного и</w:t>
      </w:r>
      <w:r>
        <w:rPr>
          <w:rFonts w:ascii="Times New Roman" w:hAnsi="Times New Roman"/>
          <w:sz w:val="28"/>
          <w:szCs w:val="28"/>
        </w:rPr>
        <w:t> </w:t>
      </w:r>
      <w:r w:rsidRPr="001F6325">
        <w:rPr>
          <w:rFonts w:ascii="Times New Roman" w:hAnsi="Times New Roman"/>
          <w:sz w:val="28"/>
          <w:szCs w:val="28"/>
        </w:rPr>
        <w:t>вспомогательного оборудования теплоисточников;</w:t>
      </w:r>
    </w:p>
    <w:p w:rsidR="002D1E45" w:rsidRPr="001F6325" w:rsidRDefault="002D1E45" w:rsidP="001F6325">
      <w:pPr>
        <w:numPr>
          <w:ilvl w:val="0"/>
          <w:numId w:val="24"/>
        </w:numPr>
        <w:spacing w:after="0" w:line="240" w:lineRule="auto"/>
        <w:jc w:val="both"/>
        <w:rPr>
          <w:rFonts w:ascii="Times New Roman" w:hAnsi="Times New Roman"/>
          <w:sz w:val="28"/>
          <w:szCs w:val="28"/>
        </w:rPr>
      </w:pPr>
      <w:r w:rsidRPr="001F6325">
        <w:rPr>
          <w:rFonts w:ascii="Times New Roman" w:hAnsi="Times New Roman"/>
          <w:sz w:val="28"/>
          <w:szCs w:val="28"/>
        </w:rPr>
        <w:t>ветхости инженерных сетей;</w:t>
      </w:r>
    </w:p>
    <w:p w:rsidR="002D1E45" w:rsidRPr="001F6325" w:rsidRDefault="002D1E45" w:rsidP="001F6325">
      <w:pPr>
        <w:numPr>
          <w:ilvl w:val="0"/>
          <w:numId w:val="24"/>
        </w:numPr>
        <w:spacing w:after="0" w:line="240" w:lineRule="auto"/>
        <w:jc w:val="both"/>
        <w:rPr>
          <w:rFonts w:ascii="Times New Roman" w:hAnsi="Times New Roman"/>
          <w:sz w:val="28"/>
          <w:szCs w:val="28"/>
        </w:rPr>
      </w:pPr>
      <w:r w:rsidRPr="001F6325">
        <w:rPr>
          <w:rFonts w:ascii="Times New Roman" w:hAnsi="Times New Roman"/>
          <w:sz w:val="28"/>
          <w:szCs w:val="28"/>
        </w:rPr>
        <w:t>халатности персонала, обслуживающего соответствующие объекты и</w:t>
      </w:r>
      <w:r>
        <w:rPr>
          <w:rFonts w:ascii="Times New Roman" w:hAnsi="Times New Roman"/>
          <w:sz w:val="28"/>
          <w:szCs w:val="28"/>
        </w:rPr>
        <w:t> </w:t>
      </w:r>
      <w:r w:rsidRPr="001F6325">
        <w:rPr>
          <w:rFonts w:ascii="Times New Roman" w:hAnsi="Times New Roman"/>
          <w:sz w:val="28"/>
          <w:szCs w:val="28"/>
        </w:rPr>
        <w:t>сети;</w:t>
      </w:r>
    </w:p>
    <w:p w:rsidR="002D1E45" w:rsidRPr="001F6325" w:rsidRDefault="002D1E45" w:rsidP="001F6325">
      <w:pPr>
        <w:numPr>
          <w:ilvl w:val="0"/>
          <w:numId w:val="24"/>
        </w:numPr>
        <w:spacing w:after="0" w:line="240" w:lineRule="auto"/>
        <w:jc w:val="both"/>
        <w:rPr>
          <w:rFonts w:ascii="Times New Roman" w:hAnsi="Times New Roman"/>
          <w:sz w:val="28"/>
          <w:szCs w:val="28"/>
        </w:rPr>
      </w:pPr>
      <w:r w:rsidRPr="001F6325">
        <w:rPr>
          <w:rFonts w:ascii="Times New Roman" w:hAnsi="Times New Roman"/>
          <w:sz w:val="28"/>
          <w:szCs w:val="28"/>
        </w:rPr>
        <w:t>недофинансирования ремонтных работ.</w:t>
      </w:r>
    </w:p>
    <w:p w:rsidR="002D1E45" w:rsidRPr="001F6325" w:rsidRDefault="002D1E45" w:rsidP="001F6325">
      <w:pPr>
        <w:spacing w:after="0" w:line="240" w:lineRule="auto"/>
        <w:ind w:firstLine="709"/>
        <w:jc w:val="both"/>
        <w:rPr>
          <w:rFonts w:ascii="Times New Roman" w:hAnsi="Times New Roman"/>
          <w:sz w:val="28"/>
          <w:szCs w:val="28"/>
        </w:rPr>
      </w:pPr>
      <w:r w:rsidRPr="001F6325">
        <w:rPr>
          <w:rFonts w:ascii="Times New Roman" w:hAnsi="Times New Roman"/>
          <w:sz w:val="28"/>
          <w:szCs w:val="28"/>
        </w:rPr>
        <w:t>Выход из</w:t>
      </w:r>
      <w:r>
        <w:rPr>
          <w:rFonts w:ascii="Times New Roman" w:hAnsi="Times New Roman"/>
          <w:sz w:val="28"/>
          <w:szCs w:val="28"/>
        </w:rPr>
        <w:t> </w:t>
      </w:r>
      <w:r w:rsidRPr="001F6325">
        <w:rPr>
          <w:rFonts w:ascii="Times New Roman" w:hAnsi="Times New Roman"/>
          <w:sz w:val="28"/>
          <w:szCs w:val="28"/>
        </w:rPr>
        <w:t>строя коммунальных систем может привести к</w:t>
      </w:r>
      <w:r>
        <w:rPr>
          <w:rFonts w:ascii="Times New Roman" w:hAnsi="Times New Roman"/>
          <w:sz w:val="28"/>
          <w:szCs w:val="28"/>
        </w:rPr>
        <w:t> </w:t>
      </w:r>
      <w:r w:rsidRPr="001F6325">
        <w:rPr>
          <w:rFonts w:ascii="Times New Roman" w:hAnsi="Times New Roman"/>
          <w:sz w:val="28"/>
          <w:szCs w:val="28"/>
        </w:rPr>
        <w:t>следующим последствиям:</w:t>
      </w:r>
    </w:p>
    <w:p w:rsidR="002D1E45" w:rsidRPr="001F6325" w:rsidRDefault="002D1E45" w:rsidP="001F6325">
      <w:pPr>
        <w:numPr>
          <w:ilvl w:val="0"/>
          <w:numId w:val="24"/>
        </w:numPr>
        <w:spacing w:after="0" w:line="240" w:lineRule="auto"/>
        <w:jc w:val="both"/>
        <w:rPr>
          <w:rFonts w:ascii="Times New Roman" w:hAnsi="Times New Roman"/>
          <w:sz w:val="28"/>
          <w:szCs w:val="28"/>
        </w:rPr>
      </w:pPr>
      <w:r w:rsidRPr="001F6325">
        <w:rPr>
          <w:rFonts w:ascii="Times New Roman" w:hAnsi="Times New Roman"/>
          <w:sz w:val="28"/>
          <w:szCs w:val="28"/>
        </w:rPr>
        <w:t>прекращению подачи коммунального ресурса потребителям и</w:t>
      </w:r>
      <w:r>
        <w:rPr>
          <w:rFonts w:ascii="Times New Roman" w:hAnsi="Times New Roman"/>
          <w:sz w:val="28"/>
          <w:szCs w:val="28"/>
        </w:rPr>
        <w:t> </w:t>
      </w:r>
      <w:r w:rsidRPr="001F6325">
        <w:rPr>
          <w:rFonts w:ascii="Times New Roman" w:hAnsi="Times New Roman"/>
          <w:sz w:val="28"/>
          <w:szCs w:val="28"/>
        </w:rPr>
        <w:t>размораживание сетей;</w:t>
      </w:r>
    </w:p>
    <w:p w:rsidR="002D1E45" w:rsidRPr="001F6325" w:rsidRDefault="002D1E45" w:rsidP="001F6325">
      <w:pPr>
        <w:numPr>
          <w:ilvl w:val="0"/>
          <w:numId w:val="24"/>
        </w:numPr>
        <w:spacing w:after="0" w:line="240" w:lineRule="auto"/>
        <w:jc w:val="both"/>
        <w:rPr>
          <w:rFonts w:ascii="Times New Roman" w:hAnsi="Times New Roman"/>
          <w:sz w:val="28"/>
          <w:szCs w:val="28"/>
        </w:rPr>
      </w:pPr>
      <w:r w:rsidRPr="001F6325">
        <w:rPr>
          <w:rFonts w:ascii="Times New Roman" w:hAnsi="Times New Roman"/>
          <w:sz w:val="28"/>
          <w:szCs w:val="28"/>
        </w:rPr>
        <w:t>порывам сетей;</w:t>
      </w:r>
    </w:p>
    <w:p w:rsidR="002D1E45" w:rsidRPr="001F6325" w:rsidRDefault="002D1E45" w:rsidP="001F6325">
      <w:pPr>
        <w:numPr>
          <w:ilvl w:val="0"/>
          <w:numId w:val="24"/>
        </w:numPr>
        <w:spacing w:after="0" w:line="240" w:lineRule="auto"/>
        <w:jc w:val="both"/>
        <w:rPr>
          <w:rFonts w:ascii="Times New Roman" w:hAnsi="Times New Roman"/>
          <w:sz w:val="28"/>
          <w:szCs w:val="28"/>
        </w:rPr>
      </w:pPr>
      <w:r w:rsidRPr="001F6325">
        <w:rPr>
          <w:rFonts w:ascii="Times New Roman" w:hAnsi="Times New Roman"/>
          <w:sz w:val="28"/>
          <w:szCs w:val="28"/>
        </w:rPr>
        <w:t>выходу из</w:t>
      </w:r>
      <w:r>
        <w:rPr>
          <w:rFonts w:ascii="Times New Roman" w:hAnsi="Times New Roman"/>
          <w:sz w:val="28"/>
          <w:szCs w:val="28"/>
        </w:rPr>
        <w:t> </w:t>
      </w:r>
      <w:r w:rsidRPr="001F6325">
        <w:rPr>
          <w:rFonts w:ascii="Times New Roman" w:hAnsi="Times New Roman"/>
          <w:sz w:val="28"/>
          <w:szCs w:val="28"/>
        </w:rPr>
        <w:t>строя основного оборудования;</w:t>
      </w:r>
    </w:p>
    <w:p w:rsidR="002D1E45" w:rsidRPr="001F6325" w:rsidRDefault="002D1E45" w:rsidP="001F6325">
      <w:pPr>
        <w:numPr>
          <w:ilvl w:val="0"/>
          <w:numId w:val="24"/>
        </w:numPr>
        <w:spacing w:after="0" w:line="240" w:lineRule="auto"/>
        <w:jc w:val="both"/>
        <w:rPr>
          <w:rFonts w:ascii="Times New Roman" w:hAnsi="Times New Roman"/>
          <w:sz w:val="28"/>
          <w:szCs w:val="28"/>
        </w:rPr>
      </w:pPr>
      <w:r w:rsidRPr="001F6325">
        <w:rPr>
          <w:rFonts w:ascii="Times New Roman" w:hAnsi="Times New Roman"/>
          <w:sz w:val="28"/>
          <w:szCs w:val="28"/>
        </w:rPr>
        <w:t>отключению от</w:t>
      </w:r>
      <w:r>
        <w:rPr>
          <w:rFonts w:ascii="Times New Roman" w:hAnsi="Times New Roman"/>
          <w:sz w:val="28"/>
          <w:szCs w:val="28"/>
        </w:rPr>
        <w:t> </w:t>
      </w:r>
      <w:r w:rsidRPr="001F6325">
        <w:rPr>
          <w:rFonts w:ascii="Times New Roman" w:hAnsi="Times New Roman"/>
          <w:sz w:val="28"/>
          <w:szCs w:val="28"/>
        </w:rPr>
        <w:t>снабжения объектов.</w:t>
      </w:r>
    </w:p>
    <w:p w:rsidR="002D1E45" w:rsidRPr="001F6325" w:rsidRDefault="002D1E45" w:rsidP="001F6325">
      <w:pPr>
        <w:spacing w:after="0" w:line="240" w:lineRule="auto"/>
        <w:ind w:firstLine="709"/>
        <w:jc w:val="both"/>
        <w:rPr>
          <w:rFonts w:ascii="Times New Roman" w:hAnsi="Times New Roman"/>
          <w:sz w:val="28"/>
          <w:szCs w:val="28"/>
        </w:rPr>
      </w:pPr>
      <w:r w:rsidRPr="001F6325">
        <w:rPr>
          <w:rFonts w:ascii="Times New Roman" w:hAnsi="Times New Roman"/>
          <w:sz w:val="28"/>
          <w:szCs w:val="28"/>
        </w:rPr>
        <w:t>Аварии на</w:t>
      </w:r>
      <w:r>
        <w:rPr>
          <w:rFonts w:ascii="Times New Roman" w:hAnsi="Times New Roman"/>
          <w:sz w:val="28"/>
          <w:szCs w:val="28"/>
        </w:rPr>
        <w:t> </w:t>
      </w:r>
      <w:r w:rsidRPr="001F6325">
        <w:rPr>
          <w:rFonts w:ascii="Times New Roman" w:hAnsi="Times New Roman"/>
          <w:sz w:val="28"/>
          <w:szCs w:val="28"/>
        </w:rPr>
        <w:t>коммунальных системах жизнеобеспечения приводят к</w:t>
      </w:r>
      <w:r>
        <w:rPr>
          <w:rFonts w:ascii="Times New Roman" w:hAnsi="Times New Roman"/>
          <w:sz w:val="28"/>
          <w:szCs w:val="28"/>
        </w:rPr>
        <w:t> </w:t>
      </w:r>
      <w:r w:rsidRPr="001F6325">
        <w:rPr>
          <w:rFonts w:ascii="Times New Roman" w:hAnsi="Times New Roman"/>
          <w:sz w:val="28"/>
          <w:szCs w:val="28"/>
        </w:rPr>
        <w:t>прекращению снабжения зданий и</w:t>
      </w:r>
      <w:r>
        <w:rPr>
          <w:rFonts w:ascii="Times New Roman" w:hAnsi="Times New Roman"/>
          <w:sz w:val="28"/>
          <w:szCs w:val="28"/>
        </w:rPr>
        <w:t> </w:t>
      </w:r>
      <w:r w:rsidRPr="001F6325">
        <w:rPr>
          <w:rFonts w:ascii="Times New Roman" w:hAnsi="Times New Roman"/>
          <w:sz w:val="28"/>
          <w:szCs w:val="28"/>
        </w:rPr>
        <w:t>сооружений водой, теплом и</w:t>
      </w:r>
      <w:r>
        <w:rPr>
          <w:rFonts w:ascii="Times New Roman" w:hAnsi="Times New Roman"/>
          <w:sz w:val="28"/>
          <w:szCs w:val="28"/>
        </w:rPr>
        <w:t> </w:t>
      </w:r>
      <w:r w:rsidRPr="001F6325">
        <w:rPr>
          <w:rFonts w:ascii="Times New Roman" w:hAnsi="Times New Roman"/>
          <w:sz w:val="28"/>
          <w:szCs w:val="28"/>
        </w:rPr>
        <w:t>электроэнергией. Последствия от</w:t>
      </w:r>
      <w:r>
        <w:rPr>
          <w:rFonts w:ascii="Times New Roman" w:hAnsi="Times New Roman"/>
          <w:sz w:val="28"/>
          <w:szCs w:val="28"/>
        </w:rPr>
        <w:t> </w:t>
      </w:r>
      <w:r w:rsidRPr="001F6325">
        <w:rPr>
          <w:rFonts w:ascii="Times New Roman" w:hAnsi="Times New Roman"/>
          <w:sz w:val="28"/>
          <w:szCs w:val="28"/>
        </w:rPr>
        <w:t>аварий на</w:t>
      </w:r>
      <w:r>
        <w:rPr>
          <w:rFonts w:ascii="Times New Roman" w:hAnsi="Times New Roman"/>
          <w:sz w:val="28"/>
          <w:szCs w:val="28"/>
        </w:rPr>
        <w:t> </w:t>
      </w:r>
      <w:r w:rsidRPr="001F6325">
        <w:rPr>
          <w:rFonts w:ascii="Times New Roman" w:hAnsi="Times New Roman"/>
          <w:sz w:val="28"/>
          <w:szCs w:val="28"/>
        </w:rPr>
        <w:t>коммунальных системах могут оказать поражающее действие на</w:t>
      </w:r>
      <w:r>
        <w:rPr>
          <w:rFonts w:ascii="Times New Roman" w:hAnsi="Times New Roman"/>
          <w:sz w:val="28"/>
          <w:szCs w:val="28"/>
        </w:rPr>
        <w:t> </w:t>
      </w:r>
      <w:r w:rsidRPr="001F6325">
        <w:rPr>
          <w:rFonts w:ascii="Times New Roman" w:hAnsi="Times New Roman"/>
          <w:sz w:val="28"/>
          <w:szCs w:val="28"/>
        </w:rPr>
        <w:t>людей: поражение током при прикосновении к</w:t>
      </w:r>
      <w:r>
        <w:rPr>
          <w:rFonts w:ascii="Times New Roman" w:hAnsi="Times New Roman"/>
          <w:sz w:val="28"/>
          <w:szCs w:val="28"/>
        </w:rPr>
        <w:t> </w:t>
      </w:r>
      <w:r w:rsidRPr="001F6325">
        <w:rPr>
          <w:rFonts w:ascii="Times New Roman" w:hAnsi="Times New Roman"/>
          <w:sz w:val="28"/>
          <w:szCs w:val="28"/>
        </w:rPr>
        <w:t>оборванным проводам, возникновение пожаров вследствие коротких замыканий и</w:t>
      </w:r>
      <w:r>
        <w:rPr>
          <w:rFonts w:ascii="Times New Roman" w:hAnsi="Times New Roman"/>
          <w:sz w:val="28"/>
          <w:szCs w:val="28"/>
        </w:rPr>
        <w:t> </w:t>
      </w:r>
      <w:r w:rsidRPr="001F6325">
        <w:rPr>
          <w:rFonts w:ascii="Times New Roman" w:hAnsi="Times New Roman"/>
          <w:sz w:val="28"/>
          <w:szCs w:val="28"/>
        </w:rPr>
        <w:t>возгорания газа. Кроме того, возможно затопление территории вследствие разрушения водопроводных труб, ожоги людей при разрушении элементов системы паро- и</w:t>
      </w:r>
      <w:r>
        <w:rPr>
          <w:rFonts w:ascii="Times New Roman" w:hAnsi="Times New Roman"/>
          <w:sz w:val="28"/>
          <w:szCs w:val="28"/>
        </w:rPr>
        <w:t> </w:t>
      </w:r>
      <w:r w:rsidRPr="001F6325">
        <w:rPr>
          <w:rFonts w:ascii="Times New Roman" w:hAnsi="Times New Roman"/>
          <w:sz w:val="28"/>
          <w:szCs w:val="28"/>
        </w:rPr>
        <w:t>теплоснабжения.</w:t>
      </w:r>
    </w:p>
    <w:p w:rsidR="002D1E45" w:rsidRPr="001F6325" w:rsidRDefault="002D1E45" w:rsidP="001F6325">
      <w:pPr>
        <w:spacing w:after="0" w:line="240" w:lineRule="auto"/>
        <w:ind w:firstLine="709"/>
        <w:jc w:val="both"/>
        <w:rPr>
          <w:rFonts w:ascii="Times New Roman" w:hAnsi="Times New Roman"/>
          <w:sz w:val="28"/>
          <w:szCs w:val="28"/>
        </w:rPr>
      </w:pPr>
      <w:r w:rsidRPr="001F6325">
        <w:rPr>
          <w:rFonts w:ascii="Times New Roman" w:hAnsi="Times New Roman"/>
          <w:sz w:val="28"/>
          <w:szCs w:val="28"/>
        </w:rPr>
        <w:t>Сохраняется высокая вероятность возникновения аварийных ситуаций на</w:t>
      </w:r>
      <w:r>
        <w:rPr>
          <w:rFonts w:ascii="Times New Roman" w:hAnsi="Times New Roman"/>
          <w:sz w:val="28"/>
          <w:szCs w:val="28"/>
        </w:rPr>
        <w:t> </w:t>
      </w:r>
      <w:r w:rsidRPr="001F6325">
        <w:rPr>
          <w:rFonts w:ascii="Times New Roman" w:hAnsi="Times New Roman"/>
          <w:sz w:val="28"/>
          <w:szCs w:val="28"/>
        </w:rPr>
        <w:t>котельных установках и</w:t>
      </w:r>
      <w:r>
        <w:rPr>
          <w:rFonts w:ascii="Times New Roman" w:hAnsi="Times New Roman"/>
          <w:sz w:val="28"/>
          <w:szCs w:val="28"/>
        </w:rPr>
        <w:t> </w:t>
      </w:r>
      <w:r w:rsidRPr="001F6325">
        <w:rPr>
          <w:rFonts w:ascii="Times New Roman" w:hAnsi="Times New Roman"/>
          <w:sz w:val="28"/>
          <w:szCs w:val="28"/>
        </w:rPr>
        <w:t>на</w:t>
      </w:r>
      <w:r>
        <w:rPr>
          <w:rFonts w:ascii="Times New Roman" w:hAnsi="Times New Roman"/>
          <w:sz w:val="28"/>
          <w:szCs w:val="28"/>
        </w:rPr>
        <w:t> </w:t>
      </w:r>
      <w:r w:rsidRPr="001F6325">
        <w:rPr>
          <w:rFonts w:ascii="Times New Roman" w:hAnsi="Times New Roman"/>
          <w:sz w:val="28"/>
          <w:szCs w:val="28"/>
        </w:rPr>
        <w:t>объектах водо- и</w:t>
      </w:r>
      <w:r>
        <w:rPr>
          <w:rFonts w:ascii="Times New Roman" w:hAnsi="Times New Roman"/>
          <w:sz w:val="28"/>
          <w:szCs w:val="28"/>
        </w:rPr>
        <w:t> </w:t>
      </w:r>
      <w:r w:rsidRPr="001F6325">
        <w:rPr>
          <w:rFonts w:ascii="Times New Roman" w:hAnsi="Times New Roman"/>
          <w:sz w:val="28"/>
          <w:szCs w:val="28"/>
        </w:rPr>
        <w:t>теплоснабжения. Износ коммунальной инфраструктуры, 70 % водопроводных сетей, более 50 % тепловых и</w:t>
      </w:r>
      <w:r>
        <w:rPr>
          <w:rFonts w:ascii="Times New Roman" w:hAnsi="Times New Roman"/>
          <w:sz w:val="28"/>
          <w:szCs w:val="28"/>
        </w:rPr>
        <w:t> </w:t>
      </w:r>
      <w:r w:rsidRPr="001F6325">
        <w:rPr>
          <w:rFonts w:ascii="Times New Roman" w:hAnsi="Times New Roman"/>
          <w:sz w:val="28"/>
          <w:szCs w:val="28"/>
        </w:rPr>
        <w:t>канализационных сетей требуют срочной замены или капитального ремонта.</w:t>
      </w:r>
    </w:p>
    <w:p w:rsidR="002D1E45" w:rsidRPr="001F6325" w:rsidRDefault="002D1E45" w:rsidP="001F6325">
      <w:pPr>
        <w:spacing w:after="0" w:line="240" w:lineRule="auto"/>
        <w:ind w:firstLine="709"/>
        <w:jc w:val="both"/>
        <w:rPr>
          <w:rFonts w:ascii="Times New Roman" w:hAnsi="Times New Roman"/>
          <w:sz w:val="28"/>
          <w:szCs w:val="28"/>
        </w:rPr>
      </w:pPr>
      <w:r w:rsidRPr="001F6325">
        <w:rPr>
          <w:rFonts w:ascii="Times New Roman" w:hAnsi="Times New Roman"/>
          <w:sz w:val="28"/>
          <w:szCs w:val="28"/>
        </w:rPr>
        <w:t>Сложное финансовое состояние предприятий ЖКХ, обусловленное высокой себестоимостью производства жилищно-коммунальных услуг, длительными неплатежами за</w:t>
      </w:r>
      <w:r>
        <w:rPr>
          <w:rFonts w:ascii="Times New Roman" w:hAnsi="Times New Roman"/>
          <w:sz w:val="28"/>
          <w:szCs w:val="28"/>
        </w:rPr>
        <w:t> </w:t>
      </w:r>
      <w:r w:rsidRPr="001F6325">
        <w:rPr>
          <w:rFonts w:ascii="Times New Roman" w:hAnsi="Times New Roman"/>
          <w:sz w:val="28"/>
          <w:szCs w:val="28"/>
        </w:rPr>
        <w:t>потреблённые услуги, высокой степенью износа специализированного оборудования и</w:t>
      </w:r>
      <w:r>
        <w:rPr>
          <w:rFonts w:ascii="Times New Roman" w:hAnsi="Times New Roman"/>
          <w:sz w:val="28"/>
          <w:szCs w:val="28"/>
        </w:rPr>
        <w:t> </w:t>
      </w:r>
      <w:r w:rsidRPr="001F6325">
        <w:rPr>
          <w:rFonts w:ascii="Times New Roman" w:hAnsi="Times New Roman"/>
          <w:sz w:val="28"/>
          <w:szCs w:val="28"/>
        </w:rPr>
        <w:t>автотранспорта. Ввиду недостаточности финансовых средств, планово-предупредительный ремонт в</w:t>
      </w:r>
      <w:r>
        <w:rPr>
          <w:rFonts w:ascii="Times New Roman" w:hAnsi="Times New Roman"/>
          <w:sz w:val="28"/>
          <w:szCs w:val="28"/>
        </w:rPr>
        <w:t> </w:t>
      </w:r>
      <w:r w:rsidRPr="001F6325">
        <w:rPr>
          <w:rFonts w:ascii="Times New Roman" w:hAnsi="Times New Roman"/>
          <w:sz w:val="28"/>
          <w:szCs w:val="28"/>
        </w:rPr>
        <w:t>жилищно-коммунальном комплексе фактически заменён проведением аварийно-восстановительных работ. Ежедневно в</w:t>
      </w:r>
      <w:r>
        <w:rPr>
          <w:rFonts w:ascii="Times New Roman" w:hAnsi="Times New Roman"/>
          <w:sz w:val="28"/>
          <w:szCs w:val="28"/>
        </w:rPr>
        <w:t> </w:t>
      </w:r>
      <w:r w:rsidRPr="001F6325">
        <w:rPr>
          <w:rFonts w:ascii="Times New Roman" w:hAnsi="Times New Roman"/>
          <w:sz w:val="28"/>
          <w:szCs w:val="28"/>
        </w:rPr>
        <w:t>районе на</w:t>
      </w:r>
      <w:r>
        <w:rPr>
          <w:rFonts w:ascii="Times New Roman" w:hAnsi="Times New Roman"/>
          <w:sz w:val="28"/>
          <w:szCs w:val="28"/>
        </w:rPr>
        <w:t> </w:t>
      </w:r>
      <w:r w:rsidRPr="001F6325">
        <w:rPr>
          <w:rFonts w:ascii="Times New Roman" w:hAnsi="Times New Roman"/>
          <w:sz w:val="28"/>
          <w:szCs w:val="28"/>
        </w:rPr>
        <w:t>объектах жилищно-коммунального хозяйства происходят аварийные ситуации. В</w:t>
      </w:r>
      <w:r>
        <w:rPr>
          <w:rFonts w:ascii="Times New Roman" w:hAnsi="Times New Roman"/>
          <w:sz w:val="28"/>
          <w:szCs w:val="28"/>
        </w:rPr>
        <w:t> </w:t>
      </w:r>
      <w:r w:rsidRPr="001F6325">
        <w:rPr>
          <w:rFonts w:ascii="Times New Roman" w:hAnsi="Times New Roman"/>
          <w:sz w:val="28"/>
          <w:szCs w:val="28"/>
        </w:rPr>
        <w:t>основном данные ЧС</w:t>
      </w:r>
      <w:r>
        <w:rPr>
          <w:rFonts w:ascii="Times New Roman" w:hAnsi="Times New Roman"/>
          <w:sz w:val="28"/>
          <w:szCs w:val="28"/>
        </w:rPr>
        <w:t> </w:t>
      </w:r>
      <w:r w:rsidRPr="001F6325">
        <w:rPr>
          <w:rFonts w:ascii="Times New Roman" w:hAnsi="Times New Roman"/>
          <w:sz w:val="28"/>
          <w:szCs w:val="28"/>
        </w:rPr>
        <w:t xml:space="preserve">носят локальный характер. </w:t>
      </w:r>
    </w:p>
    <w:p w:rsidR="002D1E45" w:rsidRPr="001F6325" w:rsidRDefault="002D1E45" w:rsidP="001F6325">
      <w:pPr>
        <w:spacing w:after="0" w:line="240" w:lineRule="auto"/>
        <w:ind w:firstLine="709"/>
        <w:jc w:val="both"/>
        <w:rPr>
          <w:rFonts w:ascii="Times New Roman" w:hAnsi="Times New Roman"/>
          <w:sz w:val="28"/>
          <w:szCs w:val="28"/>
        </w:rPr>
      </w:pPr>
      <w:r w:rsidRPr="001F6325">
        <w:rPr>
          <w:rFonts w:ascii="Times New Roman" w:hAnsi="Times New Roman"/>
          <w:sz w:val="28"/>
          <w:szCs w:val="28"/>
        </w:rPr>
        <w:t>Влияние ЧС</w:t>
      </w:r>
      <w:r>
        <w:rPr>
          <w:rFonts w:ascii="Times New Roman" w:hAnsi="Times New Roman"/>
          <w:sz w:val="28"/>
          <w:szCs w:val="28"/>
        </w:rPr>
        <w:t> </w:t>
      </w:r>
      <w:r w:rsidRPr="001F6325">
        <w:rPr>
          <w:rFonts w:ascii="Times New Roman" w:hAnsi="Times New Roman"/>
          <w:sz w:val="28"/>
          <w:szCs w:val="28"/>
        </w:rPr>
        <w:t>на</w:t>
      </w:r>
      <w:r>
        <w:rPr>
          <w:rFonts w:ascii="Times New Roman" w:hAnsi="Times New Roman"/>
          <w:sz w:val="28"/>
          <w:szCs w:val="28"/>
        </w:rPr>
        <w:t> </w:t>
      </w:r>
      <w:r w:rsidRPr="001F6325">
        <w:rPr>
          <w:rFonts w:ascii="Times New Roman" w:hAnsi="Times New Roman"/>
          <w:sz w:val="28"/>
          <w:szCs w:val="28"/>
        </w:rPr>
        <w:t>жизнедеятельность населения будет обусловлено различными факторами (время, и</w:t>
      </w:r>
      <w:r>
        <w:rPr>
          <w:rFonts w:ascii="Times New Roman" w:hAnsi="Times New Roman"/>
          <w:sz w:val="28"/>
          <w:szCs w:val="28"/>
        </w:rPr>
        <w:t> </w:t>
      </w:r>
      <w:r w:rsidRPr="001F6325">
        <w:rPr>
          <w:rFonts w:ascii="Times New Roman" w:hAnsi="Times New Roman"/>
          <w:sz w:val="28"/>
          <w:szCs w:val="28"/>
        </w:rPr>
        <w:t>место аварии, вид коммунально-энергетической сети, размеры и</w:t>
      </w:r>
      <w:r>
        <w:rPr>
          <w:rFonts w:ascii="Times New Roman" w:hAnsi="Times New Roman"/>
          <w:sz w:val="28"/>
          <w:szCs w:val="28"/>
        </w:rPr>
        <w:t> </w:t>
      </w:r>
      <w:r w:rsidRPr="001F6325">
        <w:rPr>
          <w:rFonts w:ascii="Times New Roman" w:hAnsi="Times New Roman"/>
          <w:sz w:val="28"/>
          <w:szCs w:val="28"/>
        </w:rPr>
        <w:t>степень развития аварии и</w:t>
      </w:r>
      <w:r>
        <w:rPr>
          <w:rFonts w:ascii="Times New Roman" w:hAnsi="Times New Roman"/>
          <w:sz w:val="28"/>
          <w:szCs w:val="28"/>
        </w:rPr>
        <w:t> </w:t>
      </w:r>
      <w:r w:rsidRPr="001F6325">
        <w:rPr>
          <w:rFonts w:ascii="Times New Roman" w:hAnsi="Times New Roman"/>
          <w:sz w:val="28"/>
          <w:szCs w:val="28"/>
        </w:rPr>
        <w:t>др.).</w:t>
      </w:r>
    </w:p>
    <w:p w:rsidR="002D1E45" w:rsidRPr="001F6325" w:rsidRDefault="002D1E45" w:rsidP="001F6325">
      <w:pPr>
        <w:spacing w:after="0" w:line="240" w:lineRule="auto"/>
        <w:ind w:firstLine="709"/>
        <w:jc w:val="both"/>
        <w:rPr>
          <w:rFonts w:ascii="Times New Roman" w:hAnsi="Times New Roman"/>
          <w:sz w:val="28"/>
          <w:szCs w:val="28"/>
        </w:rPr>
      </w:pPr>
      <w:r w:rsidRPr="001F6325">
        <w:rPr>
          <w:rFonts w:ascii="Times New Roman" w:hAnsi="Times New Roman"/>
          <w:sz w:val="28"/>
          <w:szCs w:val="28"/>
        </w:rPr>
        <w:t>Крупные аварии на</w:t>
      </w:r>
      <w:r>
        <w:rPr>
          <w:rFonts w:ascii="Times New Roman" w:hAnsi="Times New Roman"/>
          <w:sz w:val="28"/>
          <w:szCs w:val="28"/>
        </w:rPr>
        <w:t> </w:t>
      </w:r>
      <w:r w:rsidRPr="001F6325">
        <w:rPr>
          <w:rFonts w:ascii="Times New Roman" w:hAnsi="Times New Roman"/>
          <w:sz w:val="28"/>
          <w:szCs w:val="28"/>
        </w:rPr>
        <w:t>коммунально-энергетических сетях и</w:t>
      </w:r>
      <w:r>
        <w:rPr>
          <w:rFonts w:ascii="Times New Roman" w:hAnsi="Times New Roman"/>
          <w:sz w:val="28"/>
          <w:szCs w:val="28"/>
        </w:rPr>
        <w:t> </w:t>
      </w:r>
      <w:r w:rsidRPr="001F6325">
        <w:rPr>
          <w:rFonts w:ascii="Times New Roman" w:hAnsi="Times New Roman"/>
          <w:sz w:val="28"/>
          <w:szCs w:val="28"/>
        </w:rPr>
        <w:t>объектах могут вызвать прекращение (нарушение) тепло-, водо- или электроснабжения на</w:t>
      </w:r>
      <w:r>
        <w:rPr>
          <w:rFonts w:ascii="Times New Roman" w:hAnsi="Times New Roman"/>
          <w:sz w:val="28"/>
          <w:szCs w:val="28"/>
        </w:rPr>
        <w:t> </w:t>
      </w:r>
      <w:r w:rsidRPr="001F6325">
        <w:rPr>
          <w:rFonts w:ascii="Times New Roman" w:hAnsi="Times New Roman"/>
          <w:sz w:val="28"/>
          <w:szCs w:val="28"/>
        </w:rPr>
        <w:t xml:space="preserve">время ликвидации аварии, что наиболее опасно при отрицательных температурах. </w:t>
      </w:r>
    </w:p>
    <w:p w:rsidR="002D1E45" w:rsidRDefault="002D1E45" w:rsidP="003E738E">
      <w:pPr>
        <w:spacing w:after="0" w:line="240" w:lineRule="auto"/>
        <w:ind w:firstLine="709"/>
        <w:jc w:val="both"/>
        <w:rPr>
          <w:rFonts w:ascii="Times New Roman" w:hAnsi="Times New Roman"/>
          <w:i/>
          <w:sz w:val="28"/>
          <w:szCs w:val="28"/>
          <w:u w:val="single"/>
        </w:rPr>
      </w:pPr>
    </w:p>
    <w:p w:rsidR="002D1E45" w:rsidRDefault="002D1E45" w:rsidP="003E738E">
      <w:pPr>
        <w:spacing w:after="0" w:line="240" w:lineRule="auto"/>
        <w:ind w:firstLine="709"/>
        <w:jc w:val="both"/>
        <w:rPr>
          <w:rFonts w:ascii="Times New Roman" w:hAnsi="Times New Roman"/>
          <w:iCs/>
          <w:sz w:val="28"/>
          <w:szCs w:val="28"/>
        </w:rPr>
      </w:pPr>
      <w:r w:rsidRPr="001F6325">
        <w:rPr>
          <w:rFonts w:ascii="Times New Roman" w:hAnsi="Times New Roman"/>
          <w:i/>
          <w:sz w:val="28"/>
          <w:szCs w:val="28"/>
          <w:u w:val="single"/>
        </w:rPr>
        <w:t>Аварии на</w:t>
      </w:r>
      <w:r>
        <w:rPr>
          <w:rFonts w:ascii="Times New Roman" w:hAnsi="Times New Roman"/>
          <w:i/>
          <w:sz w:val="28"/>
          <w:szCs w:val="28"/>
          <w:u w:val="single"/>
        </w:rPr>
        <w:t xml:space="preserve"> гидротехнических </w:t>
      </w:r>
      <w:r w:rsidRPr="001F6325">
        <w:rPr>
          <w:rFonts w:ascii="Times New Roman" w:hAnsi="Times New Roman"/>
          <w:i/>
          <w:sz w:val="28"/>
          <w:szCs w:val="28"/>
          <w:u w:val="single"/>
        </w:rPr>
        <w:t>системах</w:t>
      </w:r>
      <w:r w:rsidRPr="001F6325">
        <w:rPr>
          <w:rFonts w:ascii="Times New Roman" w:hAnsi="Times New Roman"/>
          <w:i/>
          <w:sz w:val="28"/>
          <w:szCs w:val="28"/>
        </w:rPr>
        <w:t>.</w:t>
      </w:r>
      <w:r>
        <w:rPr>
          <w:rFonts w:ascii="Times New Roman" w:hAnsi="Times New Roman"/>
          <w:iCs/>
          <w:sz w:val="28"/>
          <w:szCs w:val="28"/>
        </w:rPr>
        <w:t xml:space="preserve"> </w:t>
      </w:r>
    </w:p>
    <w:p w:rsidR="002D1E45" w:rsidRDefault="002D1E45" w:rsidP="00433063">
      <w:pPr>
        <w:spacing w:after="0" w:line="240" w:lineRule="auto"/>
        <w:ind w:firstLine="709"/>
        <w:jc w:val="both"/>
        <w:rPr>
          <w:rFonts w:ascii="Times New Roman" w:hAnsi="Times New Roman"/>
          <w:iCs/>
          <w:sz w:val="28"/>
          <w:szCs w:val="28"/>
        </w:rPr>
      </w:pPr>
      <w:r w:rsidRPr="00433063">
        <w:rPr>
          <w:rFonts w:ascii="Times New Roman" w:hAnsi="Times New Roman"/>
          <w:iCs/>
          <w:sz w:val="28"/>
          <w:szCs w:val="28"/>
        </w:rPr>
        <w:t>Барабинская ТЭЦ — энергетическое предприятие в городе Куйбышев Новосибирской области, входит в российскую энергетическую компанию АО «СИБЭКО». Станция обеспечивает электрической энергией города Куйбышев,</w:t>
      </w:r>
      <w:r w:rsidRPr="00454A90">
        <w:rPr>
          <w:rFonts w:ascii="Times New Roman" w:hAnsi="Times New Roman"/>
          <w:iCs/>
          <w:sz w:val="28"/>
          <w:szCs w:val="28"/>
        </w:rPr>
        <w:t xml:space="preserve"> Барабинск, Омск, а также большой участок Западно-Сибирской железной дороги. Основным потребителем которой является ФКП «Анозит», наряду с электричеством, станция выдаёт и тепловую энергию</w:t>
      </w:r>
      <w:r>
        <w:rPr>
          <w:rFonts w:ascii="Times New Roman" w:hAnsi="Times New Roman"/>
          <w:iCs/>
          <w:sz w:val="28"/>
          <w:szCs w:val="28"/>
        </w:rPr>
        <w:t>.</w:t>
      </w:r>
    </w:p>
    <w:p w:rsidR="002D1E45" w:rsidRPr="004D071E" w:rsidRDefault="002D1E45" w:rsidP="00433063">
      <w:pPr>
        <w:spacing w:after="0" w:line="240" w:lineRule="auto"/>
        <w:ind w:firstLine="567"/>
        <w:jc w:val="right"/>
        <w:rPr>
          <w:rFonts w:ascii="Times New Roman" w:hAnsi="Times New Roman"/>
          <w:sz w:val="28"/>
          <w:szCs w:val="28"/>
          <w:lang w:eastAsia="ru-RU"/>
        </w:rPr>
      </w:pPr>
      <w:r w:rsidRPr="00433063">
        <w:rPr>
          <w:rFonts w:ascii="Times New Roman" w:hAnsi="Times New Roman"/>
          <w:sz w:val="28"/>
          <w:szCs w:val="28"/>
          <w:lang w:eastAsia="ru-RU"/>
        </w:rPr>
        <w:t xml:space="preserve">Таблица </w:t>
      </w:r>
      <w:r w:rsidRPr="00433063">
        <w:rPr>
          <w:rFonts w:ascii="Times New Roman" w:hAnsi="Times New Roman"/>
          <w:sz w:val="28"/>
          <w:szCs w:val="28"/>
          <w:lang w:eastAsia="ru-RU"/>
        </w:rPr>
        <w:fldChar w:fldCharType="begin"/>
      </w:r>
      <w:r w:rsidRPr="00433063">
        <w:rPr>
          <w:rFonts w:ascii="Times New Roman" w:hAnsi="Times New Roman"/>
          <w:sz w:val="28"/>
          <w:szCs w:val="28"/>
          <w:lang w:eastAsia="ru-RU"/>
        </w:rPr>
        <w:instrText xml:space="preserve"> SEQ Таблица \* ARABIC </w:instrText>
      </w:r>
      <w:r w:rsidRPr="00433063">
        <w:rPr>
          <w:rFonts w:ascii="Times New Roman" w:hAnsi="Times New Roman"/>
          <w:sz w:val="28"/>
          <w:szCs w:val="28"/>
          <w:lang w:eastAsia="ru-RU"/>
        </w:rPr>
        <w:fldChar w:fldCharType="separate"/>
      </w:r>
      <w:r>
        <w:rPr>
          <w:rFonts w:ascii="Times New Roman" w:hAnsi="Times New Roman"/>
          <w:noProof/>
          <w:sz w:val="28"/>
          <w:szCs w:val="28"/>
          <w:lang w:eastAsia="ru-RU"/>
        </w:rPr>
        <w:t>38</w:t>
      </w:r>
      <w:r w:rsidRPr="00433063">
        <w:rPr>
          <w:rFonts w:ascii="Times New Roman" w:hAnsi="Times New Roman"/>
          <w:sz w:val="28"/>
          <w:szCs w:val="28"/>
          <w:lang w:eastAsia="ru-RU"/>
        </w:rPr>
        <w:fldChar w:fldCharType="end"/>
      </w:r>
    </w:p>
    <w:p w:rsidR="002D1E45" w:rsidRDefault="002D1E45" w:rsidP="00433063">
      <w:pPr>
        <w:spacing w:line="240" w:lineRule="auto"/>
        <w:jc w:val="center"/>
        <w:rPr>
          <w:rFonts w:ascii="Times New Roman" w:hAnsi="Times New Roman"/>
          <w:iCs/>
          <w:sz w:val="28"/>
          <w:szCs w:val="28"/>
        </w:rPr>
      </w:pPr>
      <w:r>
        <w:rPr>
          <w:rFonts w:ascii="Times New Roman" w:hAnsi="Times New Roman"/>
          <w:iCs/>
          <w:sz w:val="28"/>
          <w:szCs w:val="28"/>
        </w:rPr>
        <w:t xml:space="preserve">Характеристика </w:t>
      </w:r>
      <w:r w:rsidRPr="00454A90">
        <w:rPr>
          <w:rFonts w:ascii="Times New Roman" w:hAnsi="Times New Roman"/>
          <w:iCs/>
          <w:sz w:val="28"/>
          <w:szCs w:val="28"/>
        </w:rPr>
        <w:t>Барабинск</w:t>
      </w:r>
      <w:r>
        <w:rPr>
          <w:rFonts w:ascii="Times New Roman" w:hAnsi="Times New Roman"/>
          <w:iCs/>
          <w:sz w:val="28"/>
          <w:szCs w:val="28"/>
        </w:rPr>
        <w:t>ой</w:t>
      </w:r>
      <w:r w:rsidRPr="00454A90">
        <w:rPr>
          <w:rFonts w:ascii="Times New Roman" w:hAnsi="Times New Roman"/>
          <w:iCs/>
          <w:sz w:val="28"/>
          <w:szCs w:val="28"/>
        </w:rPr>
        <w:t xml:space="preserve"> ТЭЦ</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097"/>
        <w:gridCol w:w="5098"/>
      </w:tblGrid>
      <w:tr w:rsidR="002D1E45" w:rsidTr="007A0493">
        <w:tc>
          <w:tcPr>
            <w:tcW w:w="5097" w:type="dxa"/>
          </w:tcPr>
          <w:p w:rsidR="002D1E45" w:rsidRPr="007A0493" w:rsidRDefault="002D1E45" w:rsidP="007A0493">
            <w:pPr>
              <w:spacing w:after="0" w:line="240" w:lineRule="auto"/>
              <w:jc w:val="both"/>
              <w:rPr>
                <w:rFonts w:ascii="Times New Roman" w:hAnsi="Times New Roman"/>
                <w:iCs/>
                <w:sz w:val="28"/>
                <w:szCs w:val="28"/>
                <w:highlight w:val="yellow"/>
              </w:rPr>
            </w:pPr>
            <w:r w:rsidRPr="007A0493">
              <w:rPr>
                <w:rFonts w:ascii="Times New Roman" w:hAnsi="Times New Roman"/>
                <w:iCs/>
                <w:sz w:val="28"/>
                <w:szCs w:val="28"/>
              </w:rPr>
              <w:t>Тип электростанции</w:t>
            </w:r>
          </w:p>
        </w:tc>
        <w:tc>
          <w:tcPr>
            <w:tcW w:w="5098" w:type="dxa"/>
          </w:tcPr>
          <w:p w:rsidR="002D1E45" w:rsidRPr="007A0493" w:rsidRDefault="002D1E45" w:rsidP="007A0493">
            <w:pPr>
              <w:spacing w:after="0" w:line="240" w:lineRule="auto"/>
              <w:jc w:val="both"/>
              <w:rPr>
                <w:rFonts w:ascii="Times New Roman" w:hAnsi="Times New Roman"/>
                <w:iCs/>
                <w:sz w:val="28"/>
                <w:szCs w:val="28"/>
                <w:highlight w:val="yellow"/>
              </w:rPr>
            </w:pPr>
            <w:r w:rsidRPr="007A0493">
              <w:rPr>
                <w:rFonts w:ascii="Times New Roman" w:hAnsi="Times New Roman"/>
                <w:iCs/>
                <w:sz w:val="28"/>
                <w:szCs w:val="28"/>
              </w:rPr>
              <w:t>Теплоэлектроцентрали</w:t>
            </w:r>
          </w:p>
        </w:tc>
      </w:tr>
      <w:tr w:rsidR="002D1E45" w:rsidTr="007A0493">
        <w:tc>
          <w:tcPr>
            <w:tcW w:w="5097" w:type="dxa"/>
          </w:tcPr>
          <w:p w:rsidR="002D1E45" w:rsidRPr="007A0493" w:rsidRDefault="002D1E45" w:rsidP="007A0493">
            <w:pPr>
              <w:spacing w:after="0" w:line="240" w:lineRule="auto"/>
              <w:jc w:val="both"/>
              <w:rPr>
                <w:rFonts w:ascii="Times New Roman" w:hAnsi="Times New Roman"/>
                <w:iCs/>
                <w:sz w:val="28"/>
                <w:szCs w:val="28"/>
                <w:highlight w:val="yellow"/>
              </w:rPr>
            </w:pPr>
            <w:r w:rsidRPr="007A0493">
              <w:rPr>
                <w:rFonts w:ascii="Times New Roman" w:hAnsi="Times New Roman"/>
                <w:iCs/>
                <w:sz w:val="28"/>
                <w:szCs w:val="28"/>
              </w:rPr>
              <w:t>Электрическая мощность</w:t>
            </w:r>
          </w:p>
        </w:tc>
        <w:tc>
          <w:tcPr>
            <w:tcW w:w="5098" w:type="dxa"/>
          </w:tcPr>
          <w:p w:rsidR="002D1E45" w:rsidRPr="007A0493" w:rsidRDefault="002D1E45" w:rsidP="007A0493">
            <w:pPr>
              <w:spacing w:after="0" w:line="240" w:lineRule="auto"/>
              <w:jc w:val="both"/>
              <w:rPr>
                <w:rFonts w:ascii="Times New Roman" w:hAnsi="Times New Roman"/>
                <w:iCs/>
                <w:sz w:val="28"/>
                <w:szCs w:val="28"/>
                <w:highlight w:val="yellow"/>
              </w:rPr>
            </w:pPr>
            <w:r w:rsidRPr="007A0493">
              <w:rPr>
                <w:rFonts w:ascii="Times New Roman" w:hAnsi="Times New Roman"/>
                <w:iCs/>
                <w:sz w:val="28"/>
                <w:szCs w:val="28"/>
              </w:rPr>
              <w:t>114 МВт</w:t>
            </w:r>
          </w:p>
        </w:tc>
      </w:tr>
      <w:tr w:rsidR="002D1E45" w:rsidTr="007A0493">
        <w:tc>
          <w:tcPr>
            <w:tcW w:w="5097" w:type="dxa"/>
          </w:tcPr>
          <w:p w:rsidR="002D1E45" w:rsidRPr="007A0493" w:rsidRDefault="002D1E45" w:rsidP="007A0493">
            <w:pPr>
              <w:spacing w:after="0" w:line="240" w:lineRule="auto"/>
              <w:jc w:val="both"/>
              <w:rPr>
                <w:rFonts w:ascii="Times New Roman" w:hAnsi="Times New Roman"/>
                <w:iCs/>
                <w:sz w:val="28"/>
                <w:szCs w:val="28"/>
                <w:highlight w:val="yellow"/>
              </w:rPr>
            </w:pPr>
            <w:r w:rsidRPr="007A0493">
              <w:rPr>
                <w:rFonts w:ascii="Times New Roman" w:hAnsi="Times New Roman"/>
                <w:iCs/>
                <w:sz w:val="28"/>
                <w:szCs w:val="28"/>
              </w:rPr>
              <w:t>Тепловая мощность</w:t>
            </w:r>
          </w:p>
        </w:tc>
        <w:tc>
          <w:tcPr>
            <w:tcW w:w="5098" w:type="dxa"/>
          </w:tcPr>
          <w:p w:rsidR="002D1E45" w:rsidRPr="007A0493" w:rsidRDefault="002D1E45" w:rsidP="007A0493">
            <w:pPr>
              <w:spacing w:after="0" w:line="240" w:lineRule="auto"/>
              <w:jc w:val="both"/>
              <w:rPr>
                <w:rFonts w:ascii="Times New Roman" w:hAnsi="Times New Roman"/>
                <w:iCs/>
                <w:sz w:val="28"/>
                <w:szCs w:val="28"/>
                <w:highlight w:val="yellow"/>
              </w:rPr>
            </w:pPr>
            <w:r w:rsidRPr="007A0493">
              <w:rPr>
                <w:rFonts w:ascii="Times New Roman" w:hAnsi="Times New Roman"/>
                <w:iCs/>
                <w:sz w:val="28"/>
                <w:szCs w:val="28"/>
              </w:rPr>
              <w:t>293 Гкал/ч</w:t>
            </w:r>
          </w:p>
        </w:tc>
      </w:tr>
      <w:tr w:rsidR="002D1E45" w:rsidTr="007A0493">
        <w:tc>
          <w:tcPr>
            <w:tcW w:w="5097" w:type="dxa"/>
          </w:tcPr>
          <w:p w:rsidR="002D1E45" w:rsidRPr="007A0493" w:rsidRDefault="002D1E45" w:rsidP="007A0493">
            <w:pPr>
              <w:spacing w:after="0" w:line="240" w:lineRule="auto"/>
              <w:jc w:val="both"/>
              <w:rPr>
                <w:rFonts w:ascii="Times New Roman" w:hAnsi="Times New Roman"/>
                <w:iCs/>
                <w:sz w:val="28"/>
                <w:szCs w:val="28"/>
                <w:highlight w:val="yellow"/>
              </w:rPr>
            </w:pPr>
            <w:r w:rsidRPr="007A0493">
              <w:rPr>
                <w:rFonts w:ascii="Times New Roman" w:hAnsi="Times New Roman"/>
                <w:iCs/>
                <w:sz w:val="28"/>
                <w:szCs w:val="28"/>
              </w:rPr>
              <w:t>Годовая выработка электричества</w:t>
            </w:r>
          </w:p>
        </w:tc>
        <w:tc>
          <w:tcPr>
            <w:tcW w:w="5098" w:type="dxa"/>
          </w:tcPr>
          <w:p w:rsidR="002D1E45" w:rsidRPr="007A0493" w:rsidRDefault="002D1E45" w:rsidP="007A0493">
            <w:pPr>
              <w:spacing w:after="0" w:line="240" w:lineRule="auto"/>
              <w:jc w:val="both"/>
              <w:rPr>
                <w:rFonts w:ascii="Times New Roman" w:hAnsi="Times New Roman"/>
                <w:iCs/>
                <w:sz w:val="28"/>
                <w:szCs w:val="28"/>
                <w:highlight w:val="yellow"/>
              </w:rPr>
            </w:pPr>
            <w:r w:rsidRPr="007A0493">
              <w:rPr>
                <w:rFonts w:ascii="Times New Roman" w:hAnsi="Times New Roman"/>
                <w:iCs/>
                <w:sz w:val="28"/>
                <w:szCs w:val="28"/>
              </w:rPr>
              <w:t>155,59 млн. кВт×ч</w:t>
            </w:r>
          </w:p>
        </w:tc>
      </w:tr>
      <w:tr w:rsidR="002D1E45" w:rsidTr="007A0493">
        <w:tc>
          <w:tcPr>
            <w:tcW w:w="5097" w:type="dxa"/>
          </w:tcPr>
          <w:p w:rsidR="002D1E45" w:rsidRPr="007A0493" w:rsidRDefault="002D1E45" w:rsidP="007A0493">
            <w:pPr>
              <w:spacing w:after="0" w:line="240" w:lineRule="auto"/>
              <w:jc w:val="both"/>
              <w:rPr>
                <w:rFonts w:ascii="Times New Roman" w:hAnsi="Times New Roman"/>
                <w:iCs/>
                <w:sz w:val="28"/>
                <w:szCs w:val="28"/>
                <w:highlight w:val="yellow"/>
              </w:rPr>
            </w:pPr>
            <w:r w:rsidRPr="007A0493">
              <w:rPr>
                <w:rFonts w:ascii="Times New Roman" w:hAnsi="Times New Roman"/>
                <w:iCs/>
                <w:sz w:val="28"/>
                <w:szCs w:val="28"/>
              </w:rPr>
              <w:t>Основное топливо</w:t>
            </w:r>
          </w:p>
        </w:tc>
        <w:tc>
          <w:tcPr>
            <w:tcW w:w="5098" w:type="dxa"/>
          </w:tcPr>
          <w:p w:rsidR="002D1E45" w:rsidRPr="007A0493" w:rsidRDefault="002D1E45" w:rsidP="007A0493">
            <w:pPr>
              <w:spacing w:after="0" w:line="240" w:lineRule="auto"/>
              <w:jc w:val="both"/>
              <w:rPr>
                <w:rFonts w:ascii="Times New Roman" w:hAnsi="Times New Roman"/>
                <w:iCs/>
                <w:sz w:val="28"/>
                <w:szCs w:val="28"/>
                <w:highlight w:val="yellow"/>
              </w:rPr>
            </w:pPr>
            <w:r w:rsidRPr="007A0493">
              <w:rPr>
                <w:rFonts w:ascii="Times New Roman" w:hAnsi="Times New Roman"/>
                <w:iCs/>
                <w:sz w:val="28"/>
                <w:szCs w:val="28"/>
              </w:rPr>
              <w:t>уголь</w:t>
            </w:r>
          </w:p>
        </w:tc>
      </w:tr>
      <w:tr w:rsidR="002D1E45" w:rsidTr="007A0493">
        <w:tc>
          <w:tcPr>
            <w:tcW w:w="5097" w:type="dxa"/>
          </w:tcPr>
          <w:p w:rsidR="002D1E45" w:rsidRPr="007A0493" w:rsidRDefault="002D1E45" w:rsidP="007A0493">
            <w:pPr>
              <w:spacing w:after="0" w:line="240" w:lineRule="auto"/>
              <w:jc w:val="both"/>
              <w:rPr>
                <w:rFonts w:ascii="Times New Roman" w:hAnsi="Times New Roman"/>
                <w:iCs/>
                <w:sz w:val="28"/>
                <w:szCs w:val="28"/>
                <w:highlight w:val="yellow"/>
              </w:rPr>
            </w:pPr>
            <w:r w:rsidRPr="007A0493">
              <w:rPr>
                <w:rFonts w:ascii="Times New Roman" w:hAnsi="Times New Roman"/>
                <w:iCs/>
                <w:sz w:val="28"/>
                <w:szCs w:val="28"/>
              </w:rPr>
              <w:t>Высота над уровнем моря</w:t>
            </w:r>
          </w:p>
        </w:tc>
        <w:tc>
          <w:tcPr>
            <w:tcW w:w="5098" w:type="dxa"/>
          </w:tcPr>
          <w:p w:rsidR="002D1E45" w:rsidRPr="007A0493" w:rsidRDefault="002D1E45" w:rsidP="007A0493">
            <w:pPr>
              <w:spacing w:after="0" w:line="240" w:lineRule="auto"/>
              <w:jc w:val="both"/>
              <w:rPr>
                <w:rFonts w:ascii="Times New Roman" w:hAnsi="Times New Roman"/>
                <w:iCs/>
                <w:sz w:val="28"/>
                <w:szCs w:val="28"/>
                <w:highlight w:val="yellow"/>
              </w:rPr>
            </w:pPr>
            <w:r w:rsidRPr="007A0493">
              <w:rPr>
                <w:rFonts w:ascii="Times New Roman" w:hAnsi="Times New Roman"/>
                <w:iCs/>
                <w:sz w:val="28"/>
                <w:szCs w:val="28"/>
              </w:rPr>
              <w:t>124 м</w:t>
            </w:r>
          </w:p>
        </w:tc>
      </w:tr>
    </w:tbl>
    <w:p w:rsidR="002D1E45" w:rsidRDefault="002D1E45" w:rsidP="003E738E">
      <w:pPr>
        <w:spacing w:after="0" w:line="240" w:lineRule="auto"/>
        <w:ind w:firstLine="709"/>
        <w:jc w:val="both"/>
        <w:rPr>
          <w:rFonts w:ascii="Times New Roman" w:hAnsi="Times New Roman"/>
          <w:iCs/>
          <w:sz w:val="28"/>
          <w:szCs w:val="28"/>
        </w:rPr>
      </w:pPr>
    </w:p>
    <w:p w:rsidR="002D1E45" w:rsidRPr="003E738E" w:rsidRDefault="002D1E45" w:rsidP="003E738E">
      <w:pPr>
        <w:spacing w:after="0" w:line="240" w:lineRule="auto"/>
        <w:ind w:firstLine="709"/>
        <w:jc w:val="both"/>
        <w:rPr>
          <w:rFonts w:ascii="Times New Roman" w:hAnsi="Times New Roman"/>
          <w:iCs/>
          <w:sz w:val="28"/>
          <w:szCs w:val="28"/>
        </w:rPr>
      </w:pPr>
      <w:r w:rsidRPr="001D0C26">
        <w:rPr>
          <w:rFonts w:ascii="Times New Roman" w:hAnsi="Times New Roman"/>
          <w:sz w:val="28"/>
          <w:szCs w:val="28"/>
          <w:lang w:eastAsia="ru-RU"/>
        </w:rPr>
        <w:t xml:space="preserve">В соответствии со СНиП 33-01-2003 все гидротехнические сооружения относятся к сооружениям </w:t>
      </w:r>
      <w:r w:rsidRPr="001D0C26">
        <w:rPr>
          <w:rFonts w:ascii="Times New Roman" w:hAnsi="Times New Roman"/>
          <w:sz w:val="28"/>
          <w:szCs w:val="28"/>
          <w:lang w:val="en-US" w:eastAsia="ru-RU"/>
        </w:rPr>
        <w:t>I</w:t>
      </w:r>
      <w:r w:rsidRPr="001D0C26">
        <w:rPr>
          <w:rFonts w:ascii="Times New Roman" w:hAnsi="Times New Roman"/>
          <w:sz w:val="28"/>
          <w:szCs w:val="28"/>
          <w:lang w:eastAsia="ru-RU"/>
        </w:rPr>
        <w:t xml:space="preserve"> класса.</w:t>
      </w:r>
    </w:p>
    <w:p w:rsidR="002D1E45" w:rsidRPr="001D0C26" w:rsidRDefault="002D1E45" w:rsidP="001D0C26">
      <w:pPr>
        <w:spacing w:after="0" w:line="240" w:lineRule="auto"/>
        <w:ind w:firstLine="709"/>
        <w:jc w:val="both"/>
        <w:rPr>
          <w:rFonts w:ascii="Times New Roman" w:hAnsi="Times New Roman"/>
          <w:sz w:val="28"/>
          <w:szCs w:val="28"/>
          <w:lang w:eastAsia="ru-RU"/>
        </w:rPr>
      </w:pPr>
      <w:r w:rsidRPr="001D0C26">
        <w:rPr>
          <w:rFonts w:ascii="Times New Roman" w:hAnsi="Times New Roman"/>
          <w:sz w:val="28"/>
          <w:szCs w:val="28"/>
          <w:lang w:eastAsia="ru-RU"/>
        </w:rPr>
        <w:t xml:space="preserve">Наиболее вероятные аварии и чрезвычайные ситуации могут возникнуть при частичном или полном разрушении </w:t>
      </w:r>
      <w:r>
        <w:rPr>
          <w:rFonts w:ascii="Times New Roman" w:hAnsi="Times New Roman"/>
          <w:sz w:val="28"/>
          <w:szCs w:val="28"/>
          <w:lang w:eastAsia="ru-RU"/>
        </w:rPr>
        <w:t>дамбы</w:t>
      </w:r>
      <w:r w:rsidRPr="001D0C26">
        <w:rPr>
          <w:rFonts w:ascii="Times New Roman" w:hAnsi="Times New Roman"/>
          <w:sz w:val="28"/>
          <w:szCs w:val="28"/>
          <w:lang w:eastAsia="ru-RU"/>
        </w:rPr>
        <w:t xml:space="preserve">. При этом катастрофическое затопление </w:t>
      </w:r>
      <w:r>
        <w:rPr>
          <w:rFonts w:ascii="Times New Roman" w:hAnsi="Times New Roman"/>
          <w:sz w:val="28"/>
          <w:szCs w:val="28"/>
          <w:lang w:eastAsia="ru-RU"/>
        </w:rPr>
        <w:t>населённого пункта</w:t>
      </w:r>
      <w:r w:rsidRPr="001D0C26">
        <w:rPr>
          <w:rFonts w:ascii="Times New Roman" w:hAnsi="Times New Roman"/>
          <w:sz w:val="28"/>
          <w:szCs w:val="28"/>
          <w:lang w:eastAsia="ru-RU"/>
        </w:rPr>
        <w:t xml:space="preserve"> наблюдаться не будет в связи с </w:t>
      </w:r>
      <w:r>
        <w:rPr>
          <w:rFonts w:ascii="Times New Roman" w:hAnsi="Times New Roman"/>
          <w:sz w:val="28"/>
          <w:szCs w:val="28"/>
          <w:lang w:eastAsia="ru-RU"/>
        </w:rPr>
        <w:t>незначительными размерами сооружения</w:t>
      </w:r>
      <w:r w:rsidRPr="001D0C26">
        <w:rPr>
          <w:rFonts w:ascii="Times New Roman" w:hAnsi="Times New Roman"/>
          <w:sz w:val="28"/>
          <w:szCs w:val="28"/>
          <w:lang w:eastAsia="ru-RU"/>
        </w:rPr>
        <w:t>. Однако произойдёт нарушение транспортного сообщения после затопления, разрушения дорог и мостовых переходов.</w:t>
      </w:r>
    </w:p>
    <w:p w:rsidR="002D1E45" w:rsidRPr="001D0C26" w:rsidRDefault="002D1E45" w:rsidP="001D0C26">
      <w:pPr>
        <w:spacing w:after="0" w:line="240" w:lineRule="auto"/>
        <w:ind w:firstLine="709"/>
        <w:jc w:val="both"/>
        <w:rPr>
          <w:rFonts w:ascii="Times New Roman" w:hAnsi="Times New Roman"/>
          <w:sz w:val="28"/>
          <w:szCs w:val="28"/>
          <w:lang w:eastAsia="ru-RU"/>
        </w:rPr>
      </w:pPr>
      <w:r w:rsidRPr="001D0C26">
        <w:rPr>
          <w:rFonts w:ascii="Times New Roman" w:hAnsi="Times New Roman"/>
          <w:sz w:val="28"/>
          <w:szCs w:val="28"/>
          <w:lang w:eastAsia="ru-RU"/>
        </w:rPr>
        <w:t>Причинами аварий и ЧС могут быть:</w:t>
      </w:r>
    </w:p>
    <w:p w:rsidR="002D1E45" w:rsidRPr="001D0C26" w:rsidRDefault="002D1E45" w:rsidP="00852938">
      <w:pPr>
        <w:numPr>
          <w:ilvl w:val="0"/>
          <w:numId w:val="24"/>
        </w:numPr>
        <w:tabs>
          <w:tab w:val="left" w:pos="1134"/>
        </w:tabs>
        <w:spacing w:after="0" w:line="240" w:lineRule="auto"/>
        <w:ind w:left="1134"/>
        <w:jc w:val="both"/>
        <w:rPr>
          <w:rFonts w:ascii="Times New Roman" w:hAnsi="Times New Roman"/>
          <w:sz w:val="28"/>
          <w:szCs w:val="28"/>
          <w:lang w:eastAsia="ru-RU"/>
        </w:rPr>
      </w:pPr>
      <w:r w:rsidRPr="001D0C26">
        <w:rPr>
          <w:rFonts w:ascii="Times New Roman" w:hAnsi="Times New Roman"/>
          <w:sz w:val="28"/>
          <w:szCs w:val="28"/>
          <w:lang w:eastAsia="ru-RU"/>
        </w:rPr>
        <w:t xml:space="preserve">разрушение верхнего и низового откосов </w:t>
      </w:r>
      <w:r>
        <w:rPr>
          <w:rFonts w:ascii="Times New Roman" w:hAnsi="Times New Roman"/>
          <w:sz w:val="28"/>
          <w:szCs w:val="28"/>
          <w:lang w:eastAsia="ru-RU"/>
        </w:rPr>
        <w:t>дамбы</w:t>
      </w:r>
      <w:r w:rsidRPr="001D0C26">
        <w:rPr>
          <w:rFonts w:ascii="Times New Roman" w:hAnsi="Times New Roman"/>
          <w:sz w:val="28"/>
          <w:szCs w:val="28"/>
          <w:lang w:eastAsia="ru-RU"/>
        </w:rPr>
        <w:t>;</w:t>
      </w:r>
    </w:p>
    <w:p w:rsidR="002D1E45" w:rsidRPr="001D0C26" w:rsidRDefault="002D1E45" w:rsidP="00852938">
      <w:pPr>
        <w:numPr>
          <w:ilvl w:val="0"/>
          <w:numId w:val="24"/>
        </w:numPr>
        <w:tabs>
          <w:tab w:val="left" w:pos="1134"/>
        </w:tabs>
        <w:spacing w:after="0" w:line="240" w:lineRule="auto"/>
        <w:ind w:left="1134"/>
        <w:jc w:val="both"/>
        <w:rPr>
          <w:rFonts w:ascii="Times New Roman" w:hAnsi="Times New Roman"/>
          <w:sz w:val="28"/>
          <w:szCs w:val="28"/>
          <w:lang w:eastAsia="ru-RU"/>
        </w:rPr>
      </w:pPr>
      <w:r w:rsidRPr="001D0C26">
        <w:rPr>
          <w:rFonts w:ascii="Times New Roman" w:hAnsi="Times New Roman"/>
          <w:sz w:val="28"/>
          <w:szCs w:val="28"/>
          <w:lang w:eastAsia="ru-RU"/>
        </w:rPr>
        <w:t xml:space="preserve">промыв </w:t>
      </w:r>
      <w:r>
        <w:rPr>
          <w:rFonts w:ascii="Times New Roman" w:hAnsi="Times New Roman"/>
          <w:sz w:val="28"/>
          <w:szCs w:val="28"/>
          <w:lang w:eastAsia="ru-RU"/>
        </w:rPr>
        <w:t>дамбы</w:t>
      </w:r>
      <w:r w:rsidRPr="001D0C26">
        <w:rPr>
          <w:rFonts w:ascii="Times New Roman" w:hAnsi="Times New Roman"/>
          <w:sz w:val="28"/>
          <w:szCs w:val="28"/>
          <w:lang w:eastAsia="ru-RU"/>
        </w:rPr>
        <w:t xml:space="preserve"> фильтрационным потоком воды;</w:t>
      </w:r>
    </w:p>
    <w:p w:rsidR="002D1E45" w:rsidRPr="001D0C26" w:rsidRDefault="002D1E45" w:rsidP="00852938">
      <w:pPr>
        <w:numPr>
          <w:ilvl w:val="0"/>
          <w:numId w:val="24"/>
        </w:numPr>
        <w:tabs>
          <w:tab w:val="left" w:pos="1134"/>
        </w:tabs>
        <w:spacing w:after="0" w:line="240" w:lineRule="auto"/>
        <w:ind w:left="1134"/>
        <w:jc w:val="both"/>
        <w:rPr>
          <w:rFonts w:ascii="Times New Roman" w:hAnsi="Times New Roman"/>
          <w:sz w:val="28"/>
          <w:szCs w:val="28"/>
          <w:lang w:eastAsia="ru-RU"/>
        </w:rPr>
      </w:pPr>
      <w:r w:rsidRPr="001D0C26">
        <w:rPr>
          <w:rFonts w:ascii="Times New Roman" w:hAnsi="Times New Roman"/>
          <w:sz w:val="28"/>
          <w:szCs w:val="28"/>
          <w:lang w:eastAsia="ru-RU"/>
        </w:rPr>
        <w:t xml:space="preserve">промыв тела </w:t>
      </w:r>
      <w:r>
        <w:rPr>
          <w:rFonts w:ascii="Times New Roman" w:hAnsi="Times New Roman"/>
          <w:sz w:val="28"/>
          <w:szCs w:val="28"/>
          <w:lang w:eastAsia="ru-RU"/>
        </w:rPr>
        <w:t>дамбы</w:t>
      </w:r>
      <w:r w:rsidRPr="001D0C26">
        <w:rPr>
          <w:rFonts w:ascii="Times New Roman" w:hAnsi="Times New Roman"/>
          <w:sz w:val="28"/>
          <w:szCs w:val="28"/>
          <w:lang w:eastAsia="ru-RU"/>
        </w:rPr>
        <w:t xml:space="preserve"> вследствие оврагообразования на низовом откосе;</w:t>
      </w:r>
    </w:p>
    <w:p w:rsidR="002D1E45" w:rsidRPr="001D0C26" w:rsidRDefault="002D1E45" w:rsidP="00852938">
      <w:pPr>
        <w:numPr>
          <w:ilvl w:val="0"/>
          <w:numId w:val="24"/>
        </w:numPr>
        <w:tabs>
          <w:tab w:val="left" w:pos="1134"/>
        </w:tabs>
        <w:spacing w:after="0" w:line="240" w:lineRule="auto"/>
        <w:ind w:left="1134"/>
        <w:jc w:val="both"/>
        <w:rPr>
          <w:rFonts w:ascii="Times New Roman" w:hAnsi="Times New Roman"/>
          <w:sz w:val="28"/>
          <w:szCs w:val="28"/>
          <w:lang w:eastAsia="ru-RU"/>
        </w:rPr>
      </w:pPr>
      <w:r w:rsidRPr="001D0C26">
        <w:rPr>
          <w:rFonts w:ascii="Times New Roman" w:hAnsi="Times New Roman"/>
          <w:sz w:val="28"/>
          <w:szCs w:val="28"/>
          <w:lang w:eastAsia="ru-RU"/>
        </w:rPr>
        <w:t xml:space="preserve">появления разрыва на теле </w:t>
      </w:r>
      <w:r>
        <w:rPr>
          <w:rFonts w:ascii="Times New Roman" w:hAnsi="Times New Roman"/>
          <w:sz w:val="28"/>
          <w:szCs w:val="28"/>
          <w:lang w:eastAsia="ru-RU"/>
        </w:rPr>
        <w:t>дамбы</w:t>
      </w:r>
      <w:r w:rsidRPr="001D0C26">
        <w:rPr>
          <w:rFonts w:ascii="Times New Roman" w:hAnsi="Times New Roman"/>
          <w:sz w:val="28"/>
          <w:szCs w:val="28"/>
          <w:lang w:eastAsia="ru-RU"/>
        </w:rPr>
        <w:t xml:space="preserve"> (с последующим размывом) при взрыве заряда большой мощности в районе водосброса в результате нанесения авиационного удара или диверсионных действий;</w:t>
      </w:r>
    </w:p>
    <w:p w:rsidR="002D1E45" w:rsidRPr="001D0C26" w:rsidRDefault="002D1E45" w:rsidP="00852938">
      <w:pPr>
        <w:numPr>
          <w:ilvl w:val="0"/>
          <w:numId w:val="24"/>
        </w:numPr>
        <w:tabs>
          <w:tab w:val="left" w:pos="1134"/>
        </w:tabs>
        <w:spacing w:after="0" w:line="240" w:lineRule="auto"/>
        <w:ind w:left="1134"/>
        <w:jc w:val="both"/>
        <w:rPr>
          <w:rFonts w:ascii="Times New Roman" w:hAnsi="Times New Roman"/>
          <w:sz w:val="28"/>
          <w:szCs w:val="28"/>
          <w:lang w:eastAsia="ru-RU"/>
        </w:rPr>
      </w:pPr>
      <w:r w:rsidRPr="001D0C26">
        <w:rPr>
          <w:rFonts w:ascii="Times New Roman" w:hAnsi="Times New Roman"/>
          <w:sz w:val="28"/>
          <w:szCs w:val="28"/>
          <w:lang w:eastAsia="ru-RU"/>
        </w:rPr>
        <w:t>воздействия природного характера (ливневые дождевые осадки, паводки, землетрясение, оползни, размыв грунтов, ветровые волны и тому подобное);</w:t>
      </w:r>
    </w:p>
    <w:p w:rsidR="002D1E45" w:rsidRPr="001D0C26" w:rsidRDefault="002D1E45" w:rsidP="00852938">
      <w:pPr>
        <w:numPr>
          <w:ilvl w:val="0"/>
          <w:numId w:val="24"/>
        </w:numPr>
        <w:tabs>
          <w:tab w:val="left" w:pos="1134"/>
        </w:tabs>
        <w:spacing w:after="0" w:line="240" w:lineRule="auto"/>
        <w:ind w:left="1134"/>
        <w:jc w:val="both"/>
        <w:rPr>
          <w:rFonts w:ascii="Times New Roman" w:hAnsi="Times New Roman"/>
          <w:sz w:val="28"/>
          <w:szCs w:val="28"/>
          <w:lang w:eastAsia="ru-RU"/>
        </w:rPr>
      </w:pPr>
      <w:r w:rsidRPr="001D0C26">
        <w:rPr>
          <w:rFonts w:ascii="Times New Roman" w:hAnsi="Times New Roman"/>
          <w:sz w:val="28"/>
          <w:szCs w:val="28"/>
          <w:lang w:eastAsia="ru-RU"/>
        </w:rPr>
        <w:t>воздействия технического характера (разрушение конструкций сооружений);</w:t>
      </w:r>
    </w:p>
    <w:p w:rsidR="002D1E45" w:rsidRPr="001D0C26" w:rsidRDefault="002D1E45" w:rsidP="00852938">
      <w:pPr>
        <w:numPr>
          <w:ilvl w:val="0"/>
          <w:numId w:val="24"/>
        </w:numPr>
        <w:tabs>
          <w:tab w:val="left" w:pos="1134"/>
        </w:tabs>
        <w:spacing w:after="0" w:line="240" w:lineRule="auto"/>
        <w:ind w:left="1134"/>
        <w:jc w:val="both"/>
        <w:rPr>
          <w:rFonts w:ascii="Times New Roman" w:hAnsi="Times New Roman"/>
          <w:sz w:val="28"/>
          <w:szCs w:val="28"/>
          <w:lang w:eastAsia="ru-RU"/>
        </w:rPr>
      </w:pPr>
      <w:r w:rsidRPr="001D0C26">
        <w:rPr>
          <w:rFonts w:ascii="Times New Roman" w:hAnsi="Times New Roman"/>
          <w:sz w:val="28"/>
          <w:szCs w:val="28"/>
          <w:lang w:eastAsia="ru-RU"/>
        </w:rPr>
        <w:t>напорного фронта вследствие различных факторов, в том числе физического старения сооружения, отсутствие надлежащей эксплуатации, текущих и капитальных ремонтов);</w:t>
      </w:r>
    </w:p>
    <w:p w:rsidR="002D1E45" w:rsidRPr="001D0C26" w:rsidRDefault="002D1E45" w:rsidP="00852938">
      <w:pPr>
        <w:numPr>
          <w:ilvl w:val="0"/>
          <w:numId w:val="24"/>
        </w:numPr>
        <w:tabs>
          <w:tab w:val="left" w:pos="1134"/>
        </w:tabs>
        <w:spacing w:after="0" w:line="240" w:lineRule="auto"/>
        <w:ind w:left="1134"/>
        <w:jc w:val="both"/>
        <w:rPr>
          <w:rFonts w:ascii="Times New Roman" w:hAnsi="Times New Roman"/>
          <w:sz w:val="28"/>
          <w:szCs w:val="28"/>
          <w:lang w:eastAsia="ru-RU"/>
        </w:rPr>
      </w:pPr>
      <w:r w:rsidRPr="001D0C26">
        <w:rPr>
          <w:rFonts w:ascii="Times New Roman" w:hAnsi="Times New Roman"/>
          <w:sz w:val="28"/>
          <w:szCs w:val="28"/>
          <w:lang w:eastAsia="ru-RU"/>
        </w:rPr>
        <w:t xml:space="preserve">несвоевременное выявление и оценка опасных проявлений </w:t>
      </w:r>
      <w:r>
        <w:rPr>
          <w:rFonts w:ascii="Times New Roman" w:hAnsi="Times New Roman"/>
          <w:sz w:val="28"/>
          <w:szCs w:val="28"/>
          <w:lang w:eastAsia="ru-RU"/>
        </w:rPr>
        <w:t xml:space="preserve">у </w:t>
      </w:r>
      <w:r w:rsidRPr="001D0C26">
        <w:rPr>
          <w:rFonts w:ascii="Times New Roman" w:hAnsi="Times New Roman"/>
          <w:sz w:val="28"/>
          <w:szCs w:val="28"/>
          <w:lang w:eastAsia="ru-RU"/>
        </w:rPr>
        <w:t>сооружени</w:t>
      </w:r>
      <w:r>
        <w:rPr>
          <w:rFonts w:ascii="Times New Roman" w:hAnsi="Times New Roman"/>
          <w:sz w:val="28"/>
          <w:szCs w:val="28"/>
          <w:lang w:eastAsia="ru-RU"/>
        </w:rPr>
        <w:t>я</w:t>
      </w:r>
      <w:r w:rsidRPr="001D0C26">
        <w:rPr>
          <w:rFonts w:ascii="Times New Roman" w:hAnsi="Times New Roman"/>
          <w:sz w:val="28"/>
          <w:szCs w:val="28"/>
          <w:lang w:eastAsia="ru-RU"/>
        </w:rPr>
        <w:t>.</w:t>
      </w:r>
    </w:p>
    <w:p w:rsidR="002D1E45" w:rsidRPr="001D0C26" w:rsidRDefault="002D1E45" w:rsidP="001D0C26">
      <w:pPr>
        <w:spacing w:after="0" w:line="240" w:lineRule="auto"/>
        <w:ind w:firstLine="709"/>
        <w:jc w:val="both"/>
        <w:rPr>
          <w:rFonts w:ascii="Times New Roman" w:hAnsi="Times New Roman"/>
          <w:sz w:val="28"/>
          <w:szCs w:val="28"/>
          <w:lang w:eastAsia="ru-RU"/>
        </w:rPr>
      </w:pPr>
      <w:r w:rsidRPr="001D0C26">
        <w:rPr>
          <w:rFonts w:ascii="Times New Roman" w:hAnsi="Times New Roman"/>
          <w:sz w:val="28"/>
          <w:szCs w:val="28"/>
          <w:lang w:eastAsia="ru-RU"/>
        </w:rPr>
        <w:t>Разрушение плотины вследствие размыва фильтрационным потоком её основания исключается ввиду распластанного профиля и незначительного градиента фильтрационного потока.</w:t>
      </w:r>
    </w:p>
    <w:p w:rsidR="002D1E45" w:rsidRPr="001D0C26" w:rsidRDefault="002D1E45" w:rsidP="001D0C26">
      <w:pPr>
        <w:spacing w:after="0" w:line="240" w:lineRule="auto"/>
        <w:ind w:firstLine="709"/>
        <w:jc w:val="both"/>
        <w:rPr>
          <w:rFonts w:ascii="Times New Roman" w:hAnsi="Times New Roman"/>
          <w:sz w:val="28"/>
          <w:szCs w:val="28"/>
          <w:lang w:eastAsia="ru-RU"/>
        </w:rPr>
      </w:pPr>
      <w:r w:rsidRPr="001D0C26">
        <w:rPr>
          <w:rFonts w:ascii="Times New Roman" w:hAnsi="Times New Roman"/>
          <w:sz w:val="28"/>
          <w:szCs w:val="28"/>
          <w:lang w:eastAsia="ru-RU"/>
        </w:rPr>
        <w:t xml:space="preserve"> Волна прорыва является результатом резкого изменения уровня воды в нижнем и верхнем бьефах при разрушении напорного фронта и образовании потока, перемещающегося с большой скоростью, изменения под его воздействием прочностных характеристик грунта. Разрушительное действие волны прорыва заключается главным образом в движении больших масс воды с высокой скоростью и таранного действия всего того, что перемещается вместе с водой (камни, доски, бревна, различные конструкции). </w:t>
      </w:r>
    </w:p>
    <w:p w:rsidR="002D1E45" w:rsidRPr="001D0C26" w:rsidRDefault="002D1E45" w:rsidP="001D0C26">
      <w:pPr>
        <w:spacing w:after="0" w:line="240" w:lineRule="auto"/>
        <w:ind w:firstLine="709"/>
        <w:jc w:val="both"/>
        <w:rPr>
          <w:rFonts w:ascii="Times New Roman" w:hAnsi="Times New Roman"/>
          <w:sz w:val="28"/>
          <w:szCs w:val="28"/>
          <w:lang w:eastAsia="ru-RU"/>
        </w:rPr>
      </w:pPr>
      <w:r w:rsidRPr="001D0C26">
        <w:rPr>
          <w:rFonts w:ascii="Times New Roman" w:hAnsi="Times New Roman"/>
          <w:sz w:val="28"/>
          <w:szCs w:val="28"/>
          <w:lang w:eastAsia="ru-RU"/>
        </w:rPr>
        <w:t xml:space="preserve">Высота и скорость волны прорыва зависят от гидрологических и топографических условий. Например, для равнинных районов скорость волны прорыва колеблется от 3 до 25 км/ч. Лесистые участки замедляют скорость и уменьшают высоту волны. Прорыв плотин приводит к затоплению местности и всего того, что на ней находится, поэтому строить жилые и производственные здания в этой зоне запрещено. </w:t>
      </w:r>
    </w:p>
    <w:p w:rsidR="002D1E45" w:rsidRPr="001D0C26" w:rsidRDefault="002D1E45" w:rsidP="001D0C26">
      <w:pPr>
        <w:spacing w:after="0" w:line="240" w:lineRule="auto"/>
        <w:ind w:firstLine="709"/>
        <w:jc w:val="both"/>
        <w:rPr>
          <w:rFonts w:ascii="Times New Roman" w:hAnsi="Times New Roman"/>
          <w:sz w:val="28"/>
          <w:szCs w:val="28"/>
          <w:lang w:eastAsia="ru-RU"/>
        </w:rPr>
      </w:pPr>
      <w:r w:rsidRPr="001D0C26">
        <w:rPr>
          <w:rFonts w:ascii="Times New Roman" w:hAnsi="Times New Roman"/>
          <w:sz w:val="28"/>
          <w:szCs w:val="28"/>
          <w:lang w:eastAsia="ru-RU"/>
        </w:rPr>
        <w:t>Причины крупных аварий гидротехнических сооружений различны, но чаще всего они происходят из-за разрушения основания.</w:t>
      </w:r>
    </w:p>
    <w:p w:rsidR="002D1E45" w:rsidRPr="001D0C26" w:rsidRDefault="002D1E45" w:rsidP="001D0C26">
      <w:pPr>
        <w:spacing w:after="0" w:line="240" w:lineRule="auto"/>
        <w:ind w:right="15" w:firstLine="709"/>
        <w:jc w:val="right"/>
        <w:rPr>
          <w:rFonts w:ascii="Times New Roman" w:hAnsi="Times New Roman"/>
          <w:sz w:val="28"/>
          <w:szCs w:val="28"/>
          <w:lang w:eastAsia="ru-RU"/>
        </w:rPr>
      </w:pPr>
      <w:r w:rsidRPr="001D0C26">
        <w:rPr>
          <w:rFonts w:ascii="Times New Roman" w:hAnsi="Times New Roman"/>
          <w:sz w:val="28"/>
          <w:szCs w:val="28"/>
          <w:lang w:eastAsia="ru-RU"/>
        </w:rPr>
        <w:t xml:space="preserve">Таблица </w:t>
      </w:r>
      <w:r w:rsidRPr="001D0C26">
        <w:rPr>
          <w:rFonts w:ascii="Times New Roman" w:hAnsi="Times New Roman"/>
          <w:sz w:val="28"/>
          <w:szCs w:val="28"/>
          <w:lang w:eastAsia="ru-RU"/>
        </w:rPr>
        <w:fldChar w:fldCharType="begin"/>
      </w:r>
      <w:r w:rsidRPr="001D0C26">
        <w:rPr>
          <w:rFonts w:ascii="Times New Roman" w:hAnsi="Times New Roman"/>
          <w:sz w:val="28"/>
          <w:szCs w:val="28"/>
          <w:lang w:eastAsia="ru-RU"/>
        </w:rPr>
        <w:instrText xml:space="preserve"> SEQ Таблица \* ARABIC </w:instrText>
      </w:r>
      <w:r w:rsidRPr="001D0C26">
        <w:rPr>
          <w:rFonts w:ascii="Times New Roman" w:hAnsi="Times New Roman"/>
          <w:sz w:val="28"/>
          <w:szCs w:val="28"/>
          <w:lang w:eastAsia="ru-RU"/>
        </w:rPr>
        <w:fldChar w:fldCharType="separate"/>
      </w:r>
      <w:r>
        <w:rPr>
          <w:rFonts w:ascii="Times New Roman" w:hAnsi="Times New Roman"/>
          <w:noProof/>
          <w:sz w:val="28"/>
          <w:szCs w:val="28"/>
          <w:lang w:eastAsia="ru-RU"/>
        </w:rPr>
        <w:t>39</w:t>
      </w:r>
      <w:r w:rsidRPr="001D0C26">
        <w:rPr>
          <w:rFonts w:ascii="Times New Roman" w:hAnsi="Times New Roman"/>
          <w:sz w:val="28"/>
          <w:szCs w:val="28"/>
          <w:lang w:eastAsia="ru-RU"/>
        </w:rPr>
        <w:fldChar w:fldCharType="end"/>
      </w:r>
      <w:r w:rsidRPr="001D0C26">
        <w:rPr>
          <w:rFonts w:ascii="Times New Roman" w:hAnsi="Times New Roman"/>
          <w:sz w:val="28"/>
          <w:szCs w:val="28"/>
          <w:lang w:eastAsia="ru-RU"/>
        </w:rPr>
        <w:t xml:space="preserve"> </w:t>
      </w:r>
    </w:p>
    <w:p w:rsidR="002D1E45" w:rsidRPr="001D0C26" w:rsidRDefault="002D1E45" w:rsidP="001D0C26">
      <w:pPr>
        <w:spacing w:after="120" w:line="240" w:lineRule="auto"/>
        <w:jc w:val="center"/>
        <w:rPr>
          <w:rFonts w:ascii="Times New Roman" w:hAnsi="Times New Roman"/>
          <w:bCs/>
          <w:sz w:val="28"/>
          <w:szCs w:val="28"/>
          <w:lang w:eastAsia="ru-RU"/>
        </w:rPr>
      </w:pPr>
      <w:r w:rsidRPr="001D0C26">
        <w:rPr>
          <w:rFonts w:ascii="Times New Roman" w:hAnsi="Times New Roman"/>
          <w:bCs/>
          <w:sz w:val="28"/>
          <w:szCs w:val="28"/>
          <w:lang w:eastAsia="ru-RU"/>
        </w:rPr>
        <w:t>Поражающие факторы волны прорыва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51"/>
        <w:gridCol w:w="795"/>
        <w:gridCol w:w="878"/>
        <w:gridCol w:w="795"/>
        <w:gridCol w:w="906"/>
        <w:gridCol w:w="795"/>
        <w:gridCol w:w="906"/>
      </w:tblGrid>
      <w:tr w:rsidR="002D1E45" w:rsidRPr="001D0C26" w:rsidTr="001D0C26">
        <w:trPr>
          <w:trHeight w:val="283"/>
          <w:tblHeader/>
          <w:jc w:val="center"/>
        </w:trPr>
        <w:tc>
          <w:tcPr>
            <w:tcW w:w="0" w:type="auto"/>
            <w:vMerge w:val="restart"/>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Наименование объекта</w:t>
            </w:r>
          </w:p>
        </w:tc>
        <w:tc>
          <w:tcPr>
            <w:tcW w:w="5075" w:type="dxa"/>
            <w:gridSpan w:val="6"/>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Степень разрушения</w:t>
            </w:r>
          </w:p>
        </w:tc>
      </w:tr>
      <w:tr w:rsidR="002D1E45" w:rsidRPr="001D0C26" w:rsidTr="001D0C26">
        <w:trPr>
          <w:trHeight w:val="283"/>
          <w:tblHeader/>
          <w:jc w:val="center"/>
        </w:trPr>
        <w:tc>
          <w:tcPr>
            <w:tcW w:w="0" w:type="auto"/>
            <w:vMerge/>
            <w:vAlign w:val="center"/>
          </w:tcPr>
          <w:p w:rsidR="002D1E45" w:rsidRPr="001D0C26" w:rsidRDefault="002D1E45" w:rsidP="001D0C26">
            <w:pPr>
              <w:spacing w:after="0" w:line="240" w:lineRule="auto"/>
              <w:jc w:val="center"/>
              <w:rPr>
                <w:rFonts w:ascii="Times New Roman" w:hAnsi="Times New Roman"/>
                <w:bCs/>
                <w:sz w:val="24"/>
                <w:szCs w:val="24"/>
                <w:lang w:eastAsia="ru-RU"/>
              </w:rPr>
            </w:pPr>
          </w:p>
        </w:tc>
        <w:tc>
          <w:tcPr>
            <w:tcW w:w="1673" w:type="dxa"/>
            <w:gridSpan w:val="2"/>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Сильная (А)</w:t>
            </w:r>
          </w:p>
        </w:tc>
        <w:tc>
          <w:tcPr>
            <w:tcW w:w="1701" w:type="dxa"/>
            <w:gridSpan w:val="2"/>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Средняя (Б)</w:t>
            </w:r>
          </w:p>
        </w:tc>
        <w:tc>
          <w:tcPr>
            <w:tcW w:w="1701" w:type="dxa"/>
            <w:gridSpan w:val="2"/>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Слабая (В)</w:t>
            </w:r>
          </w:p>
        </w:tc>
      </w:tr>
      <w:tr w:rsidR="002D1E45" w:rsidRPr="001D0C26" w:rsidTr="001D0C26">
        <w:trPr>
          <w:trHeight w:val="283"/>
          <w:tblHeader/>
          <w:jc w:val="center"/>
        </w:trPr>
        <w:tc>
          <w:tcPr>
            <w:tcW w:w="0" w:type="auto"/>
            <w:vMerge/>
            <w:vAlign w:val="center"/>
          </w:tcPr>
          <w:p w:rsidR="002D1E45" w:rsidRPr="001D0C26" w:rsidRDefault="002D1E45" w:rsidP="001D0C26">
            <w:pPr>
              <w:spacing w:after="0" w:line="240" w:lineRule="auto"/>
              <w:jc w:val="center"/>
              <w:rPr>
                <w:rFonts w:ascii="Times New Roman" w:hAnsi="Times New Roman"/>
                <w:bCs/>
                <w:sz w:val="24"/>
                <w:szCs w:val="24"/>
                <w:lang w:eastAsia="ru-RU"/>
              </w:rPr>
            </w:pPr>
          </w:p>
        </w:tc>
        <w:tc>
          <w:tcPr>
            <w:tcW w:w="795"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val="en-US" w:eastAsia="ru-RU"/>
              </w:rPr>
              <w:t xml:space="preserve">H, </w:t>
            </w:r>
            <w:r w:rsidRPr="001D0C26">
              <w:rPr>
                <w:rFonts w:ascii="Times New Roman" w:hAnsi="Times New Roman"/>
                <w:bCs/>
                <w:sz w:val="24"/>
                <w:szCs w:val="24"/>
                <w:lang w:eastAsia="ru-RU"/>
              </w:rPr>
              <w:t>м</w:t>
            </w:r>
          </w:p>
        </w:tc>
        <w:tc>
          <w:tcPr>
            <w:tcW w:w="878"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val="en-US" w:eastAsia="ru-RU"/>
              </w:rPr>
              <w:t>V</w:t>
            </w:r>
            <w:r w:rsidRPr="001D0C26">
              <w:rPr>
                <w:rFonts w:ascii="Times New Roman" w:hAnsi="Times New Roman"/>
                <w:bCs/>
                <w:sz w:val="24"/>
                <w:szCs w:val="24"/>
                <w:lang w:eastAsia="ru-RU"/>
              </w:rPr>
              <w:t>, м/с</w:t>
            </w:r>
          </w:p>
        </w:tc>
        <w:tc>
          <w:tcPr>
            <w:tcW w:w="795"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val="en-US" w:eastAsia="ru-RU"/>
              </w:rPr>
              <w:t xml:space="preserve">H, </w:t>
            </w:r>
            <w:r w:rsidRPr="001D0C26">
              <w:rPr>
                <w:rFonts w:ascii="Times New Roman" w:hAnsi="Times New Roman"/>
                <w:bCs/>
                <w:sz w:val="24"/>
                <w:szCs w:val="24"/>
                <w:lang w:eastAsia="ru-RU"/>
              </w:rPr>
              <w:t>м</w:t>
            </w:r>
          </w:p>
        </w:tc>
        <w:tc>
          <w:tcPr>
            <w:tcW w:w="906"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val="en-US" w:eastAsia="ru-RU"/>
              </w:rPr>
              <w:t>V</w:t>
            </w:r>
            <w:r w:rsidRPr="001D0C26">
              <w:rPr>
                <w:rFonts w:ascii="Times New Roman" w:hAnsi="Times New Roman"/>
                <w:bCs/>
                <w:sz w:val="24"/>
                <w:szCs w:val="24"/>
                <w:lang w:eastAsia="ru-RU"/>
              </w:rPr>
              <w:t>, м/с</w:t>
            </w:r>
          </w:p>
        </w:tc>
        <w:tc>
          <w:tcPr>
            <w:tcW w:w="795"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val="en-US" w:eastAsia="ru-RU"/>
              </w:rPr>
              <w:t xml:space="preserve">H, </w:t>
            </w:r>
            <w:r w:rsidRPr="001D0C26">
              <w:rPr>
                <w:rFonts w:ascii="Times New Roman" w:hAnsi="Times New Roman"/>
                <w:bCs/>
                <w:sz w:val="24"/>
                <w:szCs w:val="24"/>
                <w:lang w:eastAsia="ru-RU"/>
              </w:rPr>
              <w:t>м</w:t>
            </w:r>
          </w:p>
        </w:tc>
        <w:tc>
          <w:tcPr>
            <w:tcW w:w="906"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val="en-US" w:eastAsia="ru-RU"/>
              </w:rPr>
              <w:t>V</w:t>
            </w:r>
            <w:r w:rsidRPr="001D0C26">
              <w:rPr>
                <w:rFonts w:ascii="Times New Roman" w:hAnsi="Times New Roman"/>
                <w:bCs/>
                <w:sz w:val="24"/>
                <w:szCs w:val="24"/>
                <w:lang w:eastAsia="ru-RU"/>
              </w:rPr>
              <w:t>, м/с</w:t>
            </w:r>
          </w:p>
        </w:tc>
      </w:tr>
      <w:tr w:rsidR="002D1E45" w:rsidRPr="001D0C26" w:rsidTr="001D0C26">
        <w:trPr>
          <w:trHeight w:val="283"/>
          <w:jc w:val="center"/>
        </w:trPr>
        <w:tc>
          <w:tcPr>
            <w:tcW w:w="0" w:type="auto"/>
            <w:vAlign w:val="center"/>
          </w:tcPr>
          <w:p w:rsidR="002D1E45" w:rsidRPr="001D0C26" w:rsidRDefault="002D1E45" w:rsidP="001D0C26">
            <w:pPr>
              <w:spacing w:after="0" w:line="240" w:lineRule="auto"/>
              <w:rPr>
                <w:rFonts w:ascii="Times New Roman" w:hAnsi="Times New Roman"/>
                <w:bCs/>
                <w:sz w:val="24"/>
                <w:szCs w:val="24"/>
                <w:lang w:eastAsia="ru-RU"/>
              </w:rPr>
            </w:pPr>
            <w:r w:rsidRPr="001D0C26">
              <w:rPr>
                <w:rFonts w:ascii="Times New Roman" w:hAnsi="Times New Roman"/>
                <w:bCs/>
                <w:sz w:val="24"/>
                <w:szCs w:val="24"/>
                <w:lang w:eastAsia="ru-RU"/>
              </w:rPr>
              <w:t>Здания:</w:t>
            </w:r>
          </w:p>
          <w:p w:rsidR="002D1E45" w:rsidRPr="001D0C26" w:rsidRDefault="002D1E45" w:rsidP="00852938">
            <w:pPr>
              <w:numPr>
                <w:ilvl w:val="0"/>
                <w:numId w:val="88"/>
              </w:numPr>
              <w:spacing w:after="0" w:line="240" w:lineRule="auto"/>
              <w:ind w:left="318" w:hanging="219"/>
              <w:contextualSpacing/>
              <w:rPr>
                <w:rFonts w:ascii="Times New Roman" w:hAnsi="Times New Roman"/>
                <w:bCs/>
                <w:sz w:val="24"/>
                <w:szCs w:val="24"/>
                <w:lang w:eastAsia="ru-RU"/>
              </w:rPr>
            </w:pPr>
            <w:r w:rsidRPr="001D0C26">
              <w:rPr>
                <w:rFonts w:ascii="Times New Roman" w:hAnsi="Times New Roman"/>
                <w:bCs/>
                <w:sz w:val="24"/>
                <w:szCs w:val="24"/>
                <w:lang w:eastAsia="ru-RU"/>
              </w:rPr>
              <w:t>кирпичные</w:t>
            </w:r>
          </w:p>
        </w:tc>
        <w:tc>
          <w:tcPr>
            <w:tcW w:w="795"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4</w:t>
            </w:r>
          </w:p>
        </w:tc>
        <w:tc>
          <w:tcPr>
            <w:tcW w:w="878"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2,5</w:t>
            </w:r>
          </w:p>
        </w:tc>
        <w:tc>
          <w:tcPr>
            <w:tcW w:w="795"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3</w:t>
            </w:r>
          </w:p>
        </w:tc>
        <w:tc>
          <w:tcPr>
            <w:tcW w:w="906"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2</w:t>
            </w:r>
          </w:p>
        </w:tc>
        <w:tc>
          <w:tcPr>
            <w:tcW w:w="795"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2</w:t>
            </w:r>
          </w:p>
        </w:tc>
        <w:tc>
          <w:tcPr>
            <w:tcW w:w="906"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1</w:t>
            </w:r>
          </w:p>
        </w:tc>
      </w:tr>
      <w:tr w:rsidR="002D1E45" w:rsidRPr="001D0C26" w:rsidTr="001D0C26">
        <w:trPr>
          <w:trHeight w:val="283"/>
          <w:jc w:val="center"/>
        </w:trPr>
        <w:tc>
          <w:tcPr>
            <w:tcW w:w="0" w:type="auto"/>
            <w:vAlign w:val="center"/>
          </w:tcPr>
          <w:p w:rsidR="002D1E45" w:rsidRPr="001D0C26" w:rsidRDefault="002D1E45" w:rsidP="00852938">
            <w:pPr>
              <w:numPr>
                <w:ilvl w:val="0"/>
                <w:numId w:val="88"/>
              </w:numPr>
              <w:spacing w:after="0" w:line="240" w:lineRule="auto"/>
              <w:ind w:left="317" w:hanging="221"/>
              <w:contextualSpacing/>
              <w:rPr>
                <w:rFonts w:ascii="Times New Roman" w:hAnsi="Times New Roman"/>
                <w:bCs/>
                <w:sz w:val="24"/>
                <w:szCs w:val="24"/>
                <w:lang w:eastAsia="ru-RU"/>
              </w:rPr>
            </w:pPr>
            <w:r w:rsidRPr="001D0C26">
              <w:rPr>
                <w:rFonts w:ascii="Times New Roman" w:hAnsi="Times New Roman"/>
                <w:bCs/>
                <w:sz w:val="24"/>
                <w:szCs w:val="24"/>
                <w:lang w:eastAsia="ru-RU"/>
              </w:rPr>
              <w:t>каркасные панельные</w:t>
            </w:r>
          </w:p>
        </w:tc>
        <w:tc>
          <w:tcPr>
            <w:tcW w:w="795"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7,5</w:t>
            </w:r>
          </w:p>
        </w:tc>
        <w:tc>
          <w:tcPr>
            <w:tcW w:w="878"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4</w:t>
            </w:r>
          </w:p>
        </w:tc>
        <w:tc>
          <w:tcPr>
            <w:tcW w:w="795"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6</w:t>
            </w:r>
          </w:p>
        </w:tc>
        <w:tc>
          <w:tcPr>
            <w:tcW w:w="906"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3</w:t>
            </w:r>
          </w:p>
        </w:tc>
        <w:tc>
          <w:tcPr>
            <w:tcW w:w="795"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3</w:t>
            </w:r>
          </w:p>
        </w:tc>
        <w:tc>
          <w:tcPr>
            <w:tcW w:w="906"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1,5</w:t>
            </w:r>
          </w:p>
        </w:tc>
      </w:tr>
      <w:tr w:rsidR="002D1E45" w:rsidRPr="001D0C26" w:rsidTr="001D0C26">
        <w:trPr>
          <w:trHeight w:val="283"/>
          <w:jc w:val="center"/>
        </w:trPr>
        <w:tc>
          <w:tcPr>
            <w:tcW w:w="0" w:type="auto"/>
            <w:vAlign w:val="center"/>
          </w:tcPr>
          <w:p w:rsidR="002D1E45" w:rsidRPr="001D0C26" w:rsidRDefault="002D1E45" w:rsidP="001D0C26">
            <w:pPr>
              <w:spacing w:after="0" w:line="240" w:lineRule="auto"/>
              <w:rPr>
                <w:rFonts w:ascii="Times New Roman" w:hAnsi="Times New Roman"/>
                <w:bCs/>
                <w:sz w:val="24"/>
                <w:szCs w:val="24"/>
                <w:lang w:eastAsia="ru-RU"/>
              </w:rPr>
            </w:pPr>
            <w:r w:rsidRPr="001D0C26">
              <w:rPr>
                <w:rFonts w:ascii="Times New Roman" w:hAnsi="Times New Roman"/>
                <w:bCs/>
                <w:sz w:val="24"/>
                <w:szCs w:val="24"/>
                <w:lang w:eastAsia="ru-RU"/>
              </w:rPr>
              <w:t>Мосты:</w:t>
            </w:r>
          </w:p>
          <w:p w:rsidR="002D1E45" w:rsidRPr="001D0C26" w:rsidRDefault="002D1E45" w:rsidP="00852938">
            <w:pPr>
              <w:numPr>
                <w:ilvl w:val="0"/>
                <w:numId w:val="88"/>
              </w:numPr>
              <w:spacing w:after="0" w:line="240" w:lineRule="auto"/>
              <w:ind w:left="317" w:hanging="221"/>
              <w:contextualSpacing/>
              <w:rPr>
                <w:rFonts w:ascii="Times New Roman" w:hAnsi="Times New Roman"/>
                <w:bCs/>
                <w:sz w:val="24"/>
                <w:szCs w:val="24"/>
                <w:lang w:eastAsia="ru-RU"/>
              </w:rPr>
            </w:pPr>
            <w:r w:rsidRPr="001D0C26">
              <w:rPr>
                <w:rFonts w:ascii="Times New Roman" w:hAnsi="Times New Roman"/>
                <w:bCs/>
                <w:sz w:val="24"/>
                <w:szCs w:val="24"/>
                <w:lang w:eastAsia="ru-RU"/>
              </w:rPr>
              <w:t>металлические:</w:t>
            </w:r>
          </w:p>
          <w:p w:rsidR="002D1E45" w:rsidRPr="001D0C26" w:rsidRDefault="002D1E45" w:rsidP="00852938">
            <w:pPr>
              <w:numPr>
                <w:ilvl w:val="1"/>
                <w:numId w:val="88"/>
              </w:numPr>
              <w:spacing w:after="0" w:line="240" w:lineRule="auto"/>
              <w:ind w:left="743" w:hanging="218"/>
              <w:contextualSpacing/>
              <w:rPr>
                <w:rFonts w:ascii="Times New Roman" w:hAnsi="Times New Roman"/>
                <w:bCs/>
                <w:sz w:val="24"/>
                <w:szCs w:val="24"/>
                <w:lang w:eastAsia="ru-RU"/>
              </w:rPr>
            </w:pPr>
            <w:r w:rsidRPr="001D0C26">
              <w:rPr>
                <w:rFonts w:ascii="Times New Roman" w:hAnsi="Times New Roman"/>
                <w:bCs/>
                <w:sz w:val="24"/>
                <w:szCs w:val="24"/>
                <w:lang w:eastAsia="ru-RU"/>
              </w:rPr>
              <w:t>с пролётом 30-100 м;</w:t>
            </w:r>
          </w:p>
        </w:tc>
        <w:tc>
          <w:tcPr>
            <w:tcW w:w="795"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2</w:t>
            </w:r>
          </w:p>
        </w:tc>
        <w:tc>
          <w:tcPr>
            <w:tcW w:w="878"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3</w:t>
            </w:r>
          </w:p>
        </w:tc>
        <w:tc>
          <w:tcPr>
            <w:tcW w:w="795"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1</w:t>
            </w:r>
          </w:p>
        </w:tc>
        <w:tc>
          <w:tcPr>
            <w:tcW w:w="906"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2</w:t>
            </w:r>
          </w:p>
        </w:tc>
        <w:tc>
          <w:tcPr>
            <w:tcW w:w="795"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0</w:t>
            </w:r>
          </w:p>
        </w:tc>
        <w:tc>
          <w:tcPr>
            <w:tcW w:w="906"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0,5</w:t>
            </w:r>
          </w:p>
        </w:tc>
      </w:tr>
      <w:tr w:rsidR="002D1E45" w:rsidRPr="001D0C26" w:rsidTr="001D0C26">
        <w:trPr>
          <w:trHeight w:val="283"/>
          <w:jc w:val="center"/>
        </w:trPr>
        <w:tc>
          <w:tcPr>
            <w:tcW w:w="0" w:type="auto"/>
            <w:vAlign w:val="center"/>
          </w:tcPr>
          <w:p w:rsidR="002D1E45" w:rsidRPr="001D0C26" w:rsidRDefault="002D1E45" w:rsidP="00852938">
            <w:pPr>
              <w:numPr>
                <w:ilvl w:val="1"/>
                <w:numId w:val="88"/>
              </w:numPr>
              <w:spacing w:after="0" w:line="240" w:lineRule="auto"/>
              <w:ind w:left="743" w:hanging="218"/>
              <w:contextualSpacing/>
              <w:rPr>
                <w:rFonts w:ascii="Times New Roman" w:hAnsi="Times New Roman"/>
                <w:bCs/>
                <w:sz w:val="24"/>
                <w:szCs w:val="24"/>
                <w:lang w:eastAsia="ru-RU"/>
              </w:rPr>
            </w:pPr>
            <w:r w:rsidRPr="001D0C26">
              <w:rPr>
                <w:rFonts w:ascii="Times New Roman" w:hAnsi="Times New Roman"/>
                <w:bCs/>
                <w:sz w:val="24"/>
                <w:szCs w:val="24"/>
                <w:lang w:eastAsia="ru-RU"/>
              </w:rPr>
              <w:t>с пролётом &gt;100 м;</w:t>
            </w:r>
          </w:p>
        </w:tc>
        <w:tc>
          <w:tcPr>
            <w:tcW w:w="795"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2</w:t>
            </w:r>
          </w:p>
        </w:tc>
        <w:tc>
          <w:tcPr>
            <w:tcW w:w="878"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2,5</w:t>
            </w:r>
          </w:p>
        </w:tc>
        <w:tc>
          <w:tcPr>
            <w:tcW w:w="795"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1</w:t>
            </w:r>
          </w:p>
        </w:tc>
        <w:tc>
          <w:tcPr>
            <w:tcW w:w="906"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2</w:t>
            </w:r>
          </w:p>
        </w:tc>
        <w:tc>
          <w:tcPr>
            <w:tcW w:w="795"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0</w:t>
            </w:r>
          </w:p>
        </w:tc>
        <w:tc>
          <w:tcPr>
            <w:tcW w:w="906"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0,5</w:t>
            </w:r>
          </w:p>
        </w:tc>
      </w:tr>
      <w:tr w:rsidR="002D1E45" w:rsidRPr="001D0C26" w:rsidTr="001D0C26">
        <w:trPr>
          <w:trHeight w:val="283"/>
          <w:jc w:val="center"/>
        </w:trPr>
        <w:tc>
          <w:tcPr>
            <w:tcW w:w="0" w:type="auto"/>
            <w:vAlign w:val="center"/>
          </w:tcPr>
          <w:p w:rsidR="002D1E45" w:rsidRPr="001D0C26" w:rsidRDefault="002D1E45" w:rsidP="00852938">
            <w:pPr>
              <w:numPr>
                <w:ilvl w:val="0"/>
                <w:numId w:val="88"/>
              </w:numPr>
              <w:spacing w:after="0" w:line="240" w:lineRule="auto"/>
              <w:ind w:left="317" w:hanging="221"/>
              <w:contextualSpacing/>
              <w:rPr>
                <w:rFonts w:ascii="Times New Roman" w:hAnsi="Times New Roman"/>
                <w:bCs/>
                <w:sz w:val="24"/>
                <w:szCs w:val="24"/>
                <w:lang w:eastAsia="ru-RU"/>
              </w:rPr>
            </w:pPr>
            <w:r w:rsidRPr="001D0C26">
              <w:rPr>
                <w:rFonts w:ascii="Times New Roman" w:hAnsi="Times New Roman"/>
                <w:bCs/>
                <w:sz w:val="24"/>
                <w:szCs w:val="24"/>
                <w:lang w:eastAsia="ru-RU"/>
              </w:rPr>
              <w:t>бетонные</w:t>
            </w:r>
          </w:p>
        </w:tc>
        <w:tc>
          <w:tcPr>
            <w:tcW w:w="795"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2</w:t>
            </w:r>
          </w:p>
        </w:tc>
        <w:tc>
          <w:tcPr>
            <w:tcW w:w="878"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3</w:t>
            </w:r>
          </w:p>
        </w:tc>
        <w:tc>
          <w:tcPr>
            <w:tcW w:w="795"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1</w:t>
            </w:r>
          </w:p>
        </w:tc>
        <w:tc>
          <w:tcPr>
            <w:tcW w:w="906"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1,5</w:t>
            </w:r>
          </w:p>
        </w:tc>
        <w:tc>
          <w:tcPr>
            <w:tcW w:w="795"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0</w:t>
            </w:r>
          </w:p>
        </w:tc>
        <w:tc>
          <w:tcPr>
            <w:tcW w:w="906"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0,5</w:t>
            </w:r>
          </w:p>
        </w:tc>
      </w:tr>
      <w:tr w:rsidR="002D1E45" w:rsidRPr="001D0C26" w:rsidTr="001D0C26">
        <w:trPr>
          <w:trHeight w:val="283"/>
          <w:jc w:val="center"/>
        </w:trPr>
        <w:tc>
          <w:tcPr>
            <w:tcW w:w="0" w:type="auto"/>
            <w:vAlign w:val="center"/>
          </w:tcPr>
          <w:p w:rsidR="002D1E45" w:rsidRPr="001D0C26" w:rsidRDefault="002D1E45" w:rsidP="00852938">
            <w:pPr>
              <w:numPr>
                <w:ilvl w:val="0"/>
                <w:numId w:val="88"/>
              </w:numPr>
              <w:spacing w:after="0" w:line="240" w:lineRule="auto"/>
              <w:ind w:left="317" w:hanging="221"/>
              <w:contextualSpacing/>
              <w:rPr>
                <w:rFonts w:ascii="Times New Roman" w:hAnsi="Times New Roman"/>
                <w:bCs/>
                <w:sz w:val="24"/>
                <w:szCs w:val="24"/>
                <w:lang w:eastAsia="ru-RU"/>
              </w:rPr>
            </w:pPr>
            <w:r w:rsidRPr="001D0C26">
              <w:rPr>
                <w:rFonts w:ascii="Times New Roman" w:hAnsi="Times New Roman"/>
                <w:bCs/>
                <w:sz w:val="24"/>
                <w:szCs w:val="24"/>
                <w:lang w:eastAsia="ru-RU"/>
              </w:rPr>
              <w:t>деревянные</w:t>
            </w:r>
          </w:p>
        </w:tc>
        <w:tc>
          <w:tcPr>
            <w:tcW w:w="795"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1</w:t>
            </w:r>
          </w:p>
        </w:tc>
        <w:tc>
          <w:tcPr>
            <w:tcW w:w="878"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2</w:t>
            </w:r>
          </w:p>
        </w:tc>
        <w:tc>
          <w:tcPr>
            <w:tcW w:w="795"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1</w:t>
            </w:r>
          </w:p>
        </w:tc>
        <w:tc>
          <w:tcPr>
            <w:tcW w:w="906"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1,5</w:t>
            </w:r>
          </w:p>
        </w:tc>
        <w:tc>
          <w:tcPr>
            <w:tcW w:w="795"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0</w:t>
            </w:r>
          </w:p>
        </w:tc>
        <w:tc>
          <w:tcPr>
            <w:tcW w:w="906"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0,5</w:t>
            </w:r>
          </w:p>
        </w:tc>
      </w:tr>
      <w:tr w:rsidR="002D1E45" w:rsidRPr="001D0C26" w:rsidTr="001D0C26">
        <w:trPr>
          <w:trHeight w:val="283"/>
          <w:jc w:val="center"/>
        </w:trPr>
        <w:tc>
          <w:tcPr>
            <w:tcW w:w="0" w:type="auto"/>
            <w:vAlign w:val="center"/>
          </w:tcPr>
          <w:p w:rsidR="002D1E45" w:rsidRPr="001D0C26" w:rsidRDefault="002D1E45" w:rsidP="001D0C26">
            <w:pPr>
              <w:spacing w:after="0" w:line="240" w:lineRule="auto"/>
              <w:rPr>
                <w:rFonts w:ascii="Times New Roman" w:hAnsi="Times New Roman"/>
                <w:bCs/>
                <w:sz w:val="24"/>
                <w:szCs w:val="24"/>
                <w:lang w:eastAsia="ru-RU"/>
              </w:rPr>
            </w:pPr>
            <w:r w:rsidRPr="001D0C26">
              <w:rPr>
                <w:rFonts w:ascii="Times New Roman" w:hAnsi="Times New Roman"/>
                <w:bCs/>
                <w:sz w:val="24"/>
                <w:szCs w:val="24"/>
                <w:lang w:eastAsia="ru-RU"/>
              </w:rPr>
              <w:t>Дороги</w:t>
            </w:r>
          </w:p>
          <w:p w:rsidR="002D1E45" w:rsidRPr="001D0C26" w:rsidRDefault="002D1E45" w:rsidP="00852938">
            <w:pPr>
              <w:numPr>
                <w:ilvl w:val="0"/>
                <w:numId w:val="88"/>
              </w:numPr>
              <w:spacing w:after="0" w:line="240" w:lineRule="auto"/>
              <w:ind w:left="317" w:hanging="221"/>
              <w:contextualSpacing/>
              <w:rPr>
                <w:rFonts w:ascii="Times New Roman" w:hAnsi="Times New Roman"/>
                <w:bCs/>
                <w:sz w:val="24"/>
                <w:szCs w:val="24"/>
                <w:lang w:eastAsia="ru-RU"/>
              </w:rPr>
            </w:pPr>
            <w:r w:rsidRPr="001D0C26">
              <w:rPr>
                <w:rFonts w:ascii="Times New Roman" w:hAnsi="Times New Roman"/>
                <w:bCs/>
                <w:sz w:val="24"/>
                <w:szCs w:val="24"/>
                <w:lang w:eastAsia="ru-RU"/>
              </w:rPr>
              <w:t>с асфальтобетонным покрытием</w:t>
            </w:r>
          </w:p>
        </w:tc>
        <w:tc>
          <w:tcPr>
            <w:tcW w:w="795"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4</w:t>
            </w:r>
          </w:p>
        </w:tc>
        <w:tc>
          <w:tcPr>
            <w:tcW w:w="878"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3</w:t>
            </w:r>
          </w:p>
        </w:tc>
        <w:tc>
          <w:tcPr>
            <w:tcW w:w="795"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2</w:t>
            </w:r>
          </w:p>
        </w:tc>
        <w:tc>
          <w:tcPr>
            <w:tcW w:w="906"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1,5</w:t>
            </w:r>
          </w:p>
        </w:tc>
        <w:tc>
          <w:tcPr>
            <w:tcW w:w="795"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1</w:t>
            </w:r>
          </w:p>
        </w:tc>
        <w:tc>
          <w:tcPr>
            <w:tcW w:w="906"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1</w:t>
            </w:r>
          </w:p>
        </w:tc>
      </w:tr>
      <w:tr w:rsidR="002D1E45" w:rsidRPr="001D0C26" w:rsidTr="001D0C26">
        <w:trPr>
          <w:trHeight w:val="283"/>
          <w:jc w:val="center"/>
        </w:trPr>
        <w:tc>
          <w:tcPr>
            <w:tcW w:w="0" w:type="auto"/>
            <w:vAlign w:val="center"/>
          </w:tcPr>
          <w:p w:rsidR="002D1E45" w:rsidRPr="001D0C26" w:rsidRDefault="002D1E45" w:rsidP="00852938">
            <w:pPr>
              <w:numPr>
                <w:ilvl w:val="0"/>
                <w:numId w:val="88"/>
              </w:numPr>
              <w:spacing w:after="0" w:line="240" w:lineRule="auto"/>
              <w:ind w:left="317" w:hanging="221"/>
              <w:contextualSpacing/>
              <w:rPr>
                <w:rFonts w:ascii="Times New Roman" w:hAnsi="Times New Roman"/>
                <w:bCs/>
                <w:sz w:val="24"/>
                <w:szCs w:val="24"/>
                <w:lang w:eastAsia="ru-RU"/>
              </w:rPr>
            </w:pPr>
            <w:r w:rsidRPr="001D0C26">
              <w:rPr>
                <w:rFonts w:ascii="Times New Roman" w:hAnsi="Times New Roman"/>
                <w:bCs/>
                <w:sz w:val="24"/>
                <w:szCs w:val="24"/>
                <w:lang w:eastAsia="ru-RU"/>
              </w:rPr>
              <w:t>с гравийным покрытием</w:t>
            </w:r>
          </w:p>
        </w:tc>
        <w:tc>
          <w:tcPr>
            <w:tcW w:w="795"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2,5</w:t>
            </w:r>
          </w:p>
        </w:tc>
        <w:tc>
          <w:tcPr>
            <w:tcW w:w="878"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2</w:t>
            </w:r>
          </w:p>
        </w:tc>
        <w:tc>
          <w:tcPr>
            <w:tcW w:w="795"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1</w:t>
            </w:r>
          </w:p>
        </w:tc>
        <w:tc>
          <w:tcPr>
            <w:tcW w:w="906"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1,5</w:t>
            </w:r>
          </w:p>
        </w:tc>
        <w:tc>
          <w:tcPr>
            <w:tcW w:w="795"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0,5</w:t>
            </w:r>
          </w:p>
        </w:tc>
        <w:tc>
          <w:tcPr>
            <w:tcW w:w="906"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0,5</w:t>
            </w:r>
          </w:p>
        </w:tc>
      </w:tr>
      <w:tr w:rsidR="002D1E45" w:rsidRPr="001D0C26" w:rsidTr="001D0C26">
        <w:trPr>
          <w:trHeight w:val="283"/>
          <w:jc w:val="center"/>
        </w:trPr>
        <w:tc>
          <w:tcPr>
            <w:tcW w:w="0" w:type="auto"/>
            <w:vAlign w:val="center"/>
          </w:tcPr>
          <w:p w:rsidR="002D1E45" w:rsidRPr="001D0C26" w:rsidRDefault="002D1E45" w:rsidP="001D0C26">
            <w:pPr>
              <w:spacing w:after="0" w:line="240" w:lineRule="auto"/>
              <w:rPr>
                <w:rFonts w:ascii="Times New Roman" w:hAnsi="Times New Roman"/>
                <w:bCs/>
                <w:sz w:val="24"/>
                <w:szCs w:val="24"/>
                <w:lang w:eastAsia="ru-RU"/>
              </w:rPr>
            </w:pPr>
            <w:r w:rsidRPr="001D0C26">
              <w:rPr>
                <w:rFonts w:ascii="Times New Roman" w:hAnsi="Times New Roman"/>
                <w:bCs/>
                <w:sz w:val="24"/>
                <w:szCs w:val="24"/>
                <w:lang w:eastAsia="ru-RU"/>
              </w:rPr>
              <w:t>Пирс</w:t>
            </w:r>
          </w:p>
        </w:tc>
        <w:tc>
          <w:tcPr>
            <w:tcW w:w="795"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5</w:t>
            </w:r>
          </w:p>
        </w:tc>
        <w:tc>
          <w:tcPr>
            <w:tcW w:w="878"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6</w:t>
            </w:r>
          </w:p>
        </w:tc>
        <w:tc>
          <w:tcPr>
            <w:tcW w:w="795"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3</w:t>
            </w:r>
          </w:p>
        </w:tc>
        <w:tc>
          <w:tcPr>
            <w:tcW w:w="906"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4</w:t>
            </w:r>
          </w:p>
        </w:tc>
        <w:tc>
          <w:tcPr>
            <w:tcW w:w="795"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1,5</w:t>
            </w:r>
          </w:p>
        </w:tc>
        <w:tc>
          <w:tcPr>
            <w:tcW w:w="906" w:type="dxa"/>
            <w:vAlign w:val="center"/>
          </w:tcPr>
          <w:p w:rsidR="002D1E45" w:rsidRPr="001D0C26" w:rsidRDefault="002D1E45" w:rsidP="001D0C26">
            <w:pPr>
              <w:spacing w:after="0" w:line="240" w:lineRule="auto"/>
              <w:jc w:val="center"/>
              <w:rPr>
                <w:rFonts w:ascii="Times New Roman" w:hAnsi="Times New Roman"/>
                <w:bCs/>
                <w:sz w:val="24"/>
                <w:szCs w:val="24"/>
                <w:lang w:eastAsia="ru-RU"/>
              </w:rPr>
            </w:pPr>
            <w:r w:rsidRPr="001D0C26">
              <w:rPr>
                <w:rFonts w:ascii="Times New Roman" w:hAnsi="Times New Roman"/>
                <w:bCs/>
                <w:sz w:val="24"/>
                <w:szCs w:val="24"/>
                <w:lang w:eastAsia="ru-RU"/>
              </w:rPr>
              <w:t>1</w:t>
            </w:r>
          </w:p>
        </w:tc>
      </w:tr>
    </w:tbl>
    <w:p w:rsidR="002D1E45" w:rsidRPr="001D0C26" w:rsidRDefault="002D1E45" w:rsidP="001D0C26">
      <w:pPr>
        <w:spacing w:after="120" w:line="240" w:lineRule="auto"/>
        <w:jc w:val="center"/>
        <w:rPr>
          <w:rFonts w:ascii="Times New Roman" w:hAnsi="Times New Roman"/>
          <w:bCs/>
          <w:sz w:val="28"/>
          <w:szCs w:val="28"/>
          <w:lang w:eastAsia="ru-RU"/>
        </w:rPr>
      </w:pPr>
    </w:p>
    <w:p w:rsidR="002D1E45" w:rsidRPr="001D0C26" w:rsidRDefault="002D1E45" w:rsidP="001D0C26">
      <w:pPr>
        <w:spacing w:after="0" w:line="240" w:lineRule="auto"/>
        <w:ind w:firstLine="709"/>
        <w:jc w:val="both"/>
        <w:rPr>
          <w:rFonts w:ascii="Times New Roman" w:hAnsi="Times New Roman"/>
          <w:sz w:val="28"/>
          <w:szCs w:val="28"/>
          <w:lang w:eastAsia="ru-RU"/>
        </w:rPr>
      </w:pPr>
      <w:r w:rsidRPr="001D0C26">
        <w:rPr>
          <w:rFonts w:ascii="Times New Roman" w:hAnsi="Times New Roman"/>
          <w:sz w:val="28"/>
          <w:szCs w:val="28"/>
          <w:lang w:eastAsia="ru-RU"/>
        </w:rPr>
        <w:t>Анализ статистической информации по разрушению постоянных мостовых переходов от наводнений показывает, что наиболее уязвимыми элементами переходов являются - сам мост и его защитные элементы. Основной причиной разрушения элементов перехода является размыв грунта.</w:t>
      </w:r>
    </w:p>
    <w:p w:rsidR="002D1E45" w:rsidRPr="001D0C26" w:rsidRDefault="002D1E45" w:rsidP="001D0C26">
      <w:pPr>
        <w:spacing w:after="0" w:line="240" w:lineRule="auto"/>
        <w:ind w:right="15" w:firstLine="709"/>
        <w:jc w:val="right"/>
        <w:rPr>
          <w:rFonts w:ascii="Times New Roman" w:hAnsi="Times New Roman"/>
          <w:sz w:val="28"/>
          <w:szCs w:val="28"/>
          <w:lang w:eastAsia="ru-RU"/>
        </w:rPr>
      </w:pPr>
      <w:r w:rsidRPr="001D0C26">
        <w:rPr>
          <w:rFonts w:ascii="Times New Roman" w:hAnsi="Times New Roman"/>
          <w:sz w:val="28"/>
          <w:szCs w:val="28"/>
          <w:lang w:eastAsia="ru-RU"/>
        </w:rPr>
        <w:t xml:space="preserve">Таблица </w:t>
      </w:r>
      <w:r w:rsidRPr="001D0C26">
        <w:rPr>
          <w:rFonts w:ascii="Times New Roman" w:hAnsi="Times New Roman"/>
          <w:sz w:val="28"/>
          <w:szCs w:val="28"/>
          <w:lang w:eastAsia="ru-RU"/>
        </w:rPr>
        <w:fldChar w:fldCharType="begin"/>
      </w:r>
      <w:r w:rsidRPr="001D0C26">
        <w:rPr>
          <w:rFonts w:ascii="Times New Roman" w:hAnsi="Times New Roman"/>
          <w:sz w:val="28"/>
          <w:szCs w:val="28"/>
          <w:lang w:eastAsia="ru-RU"/>
        </w:rPr>
        <w:instrText xml:space="preserve"> SEQ Таблица \* ARABIC </w:instrText>
      </w:r>
      <w:r w:rsidRPr="001D0C26">
        <w:rPr>
          <w:rFonts w:ascii="Times New Roman" w:hAnsi="Times New Roman"/>
          <w:sz w:val="28"/>
          <w:szCs w:val="28"/>
          <w:lang w:eastAsia="ru-RU"/>
        </w:rPr>
        <w:fldChar w:fldCharType="separate"/>
      </w:r>
      <w:r>
        <w:rPr>
          <w:rFonts w:ascii="Times New Roman" w:hAnsi="Times New Roman"/>
          <w:noProof/>
          <w:sz w:val="28"/>
          <w:szCs w:val="28"/>
          <w:lang w:eastAsia="ru-RU"/>
        </w:rPr>
        <w:t>40</w:t>
      </w:r>
      <w:r w:rsidRPr="001D0C26">
        <w:rPr>
          <w:rFonts w:ascii="Times New Roman" w:hAnsi="Times New Roman"/>
          <w:sz w:val="28"/>
          <w:szCs w:val="28"/>
          <w:lang w:eastAsia="ru-RU"/>
        </w:rPr>
        <w:fldChar w:fldCharType="end"/>
      </w:r>
      <w:r w:rsidRPr="001D0C26">
        <w:rPr>
          <w:rFonts w:ascii="Times New Roman" w:hAnsi="Times New Roman"/>
          <w:sz w:val="28"/>
          <w:szCs w:val="28"/>
          <w:lang w:eastAsia="ru-RU"/>
        </w:rPr>
        <w:t xml:space="preserve"> </w:t>
      </w:r>
    </w:p>
    <w:p w:rsidR="002D1E45" w:rsidRPr="001D0C26" w:rsidRDefault="002D1E45" w:rsidP="001D0C26">
      <w:pPr>
        <w:spacing w:after="120" w:line="240" w:lineRule="auto"/>
        <w:jc w:val="center"/>
        <w:rPr>
          <w:rFonts w:ascii="Times New Roman" w:hAnsi="Times New Roman"/>
          <w:bCs/>
          <w:sz w:val="28"/>
          <w:szCs w:val="28"/>
          <w:lang w:eastAsia="ru-RU"/>
        </w:rPr>
      </w:pPr>
      <w:r w:rsidRPr="001D0C26">
        <w:rPr>
          <w:rFonts w:ascii="Times New Roman" w:hAnsi="Times New Roman"/>
          <w:bCs/>
          <w:sz w:val="28"/>
          <w:szCs w:val="28"/>
          <w:lang w:eastAsia="ru-RU"/>
        </w:rPr>
        <w:t>Предельно допустимые скорости потока воды, при которых обеспечивается сохранность объектов (при переливе через отметку проезжей части)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529"/>
        <w:gridCol w:w="1007"/>
        <w:gridCol w:w="1007"/>
        <w:gridCol w:w="1007"/>
        <w:gridCol w:w="1007"/>
      </w:tblGrid>
      <w:tr w:rsidR="002D1E45" w:rsidRPr="001D0C26" w:rsidTr="001D0C26">
        <w:trPr>
          <w:trHeight w:val="192"/>
          <w:jc w:val="center"/>
        </w:trPr>
        <w:tc>
          <w:tcPr>
            <w:tcW w:w="0" w:type="auto"/>
            <w:vMerge w:val="restart"/>
            <w:vAlign w:val="center"/>
          </w:tcPr>
          <w:p w:rsidR="002D1E45" w:rsidRPr="001D0C26" w:rsidRDefault="002D1E45" w:rsidP="001D0C26">
            <w:pPr>
              <w:spacing w:after="0" w:line="240" w:lineRule="auto"/>
              <w:jc w:val="center"/>
              <w:rPr>
                <w:rFonts w:ascii="Times New Roman" w:hAnsi="Times New Roman"/>
                <w:bCs/>
                <w:sz w:val="24"/>
                <w:szCs w:val="28"/>
                <w:lang w:eastAsia="ru-RU"/>
              </w:rPr>
            </w:pPr>
            <w:r w:rsidRPr="001D0C26">
              <w:rPr>
                <w:rFonts w:ascii="Times New Roman" w:hAnsi="Times New Roman"/>
                <w:bCs/>
                <w:sz w:val="24"/>
                <w:szCs w:val="28"/>
                <w:lang w:eastAsia="ru-RU"/>
              </w:rPr>
              <w:t>Наименование объекта</w:t>
            </w:r>
          </w:p>
        </w:tc>
        <w:tc>
          <w:tcPr>
            <w:tcW w:w="0" w:type="auto"/>
            <w:gridSpan w:val="4"/>
            <w:vAlign w:val="center"/>
          </w:tcPr>
          <w:p w:rsidR="002D1E45" w:rsidRPr="001D0C26" w:rsidRDefault="002D1E45" w:rsidP="001D0C26">
            <w:pPr>
              <w:spacing w:after="0" w:line="240" w:lineRule="auto"/>
              <w:jc w:val="center"/>
              <w:rPr>
                <w:rFonts w:ascii="Times New Roman" w:hAnsi="Times New Roman"/>
                <w:bCs/>
                <w:sz w:val="24"/>
                <w:szCs w:val="28"/>
                <w:lang w:eastAsia="ru-RU"/>
              </w:rPr>
            </w:pPr>
            <w:r w:rsidRPr="001D0C26">
              <w:rPr>
                <w:rFonts w:ascii="Times New Roman" w:hAnsi="Times New Roman"/>
                <w:bCs/>
                <w:sz w:val="24"/>
                <w:szCs w:val="28"/>
                <w:lang w:eastAsia="ru-RU"/>
              </w:rPr>
              <w:t>Скорость потока, м/с, при глубине, м</w:t>
            </w:r>
          </w:p>
        </w:tc>
      </w:tr>
      <w:tr w:rsidR="002D1E45" w:rsidRPr="001D0C26" w:rsidTr="001D0C26">
        <w:trPr>
          <w:trHeight w:val="252"/>
          <w:jc w:val="center"/>
        </w:trPr>
        <w:tc>
          <w:tcPr>
            <w:tcW w:w="0" w:type="auto"/>
            <w:vMerge/>
            <w:vAlign w:val="center"/>
          </w:tcPr>
          <w:p w:rsidR="002D1E45" w:rsidRPr="001D0C26" w:rsidRDefault="002D1E45" w:rsidP="001D0C26">
            <w:pPr>
              <w:spacing w:after="0" w:line="240" w:lineRule="auto"/>
              <w:jc w:val="center"/>
              <w:rPr>
                <w:rFonts w:ascii="Times New Roman" w:hAnsi="Times New Roman"/>
                <w:bCs/>
                <w:sz w:val="24"/>
                <w:szCs w:val="28"/>
                <w:lang w:eastAsia="ru-RU"/>
              </w:rPr>
            </w:pPr>
          </w:p>
        </w:tc>
        <w:tc>
          <w:tcPr>
            <w:tcW w:w="0" w:type="auto"/>
            <w:vAlign w:val="center"/>
          </w:tcPr>
          <w:p w:rsidR="002D1E45" w:rsidRPr="001D0C26" w:rsidRDefault="002D1E45" w:rsidP="001D0C26">
            <w:pPr>
              <w:spacing w:after="0" w:line="240" w:lineRule="auto"/>
              <w:jc w:val="center"/>
              <w:rPr>
                <w:rFonts w:ascii="Times New Roman" w:hAnsi="Times New Roman"/>
                <w:bCs/>
                <w:sz w:val="24"/>
                <w:szCs w:val="28"/>
                <w:lang w:eastAsia="ru-RU"/>
              </w:rPr>
            </w:pPr>
            <w:r w:rsidRPr="001D0C26">
              <w:rPr>
                <w:rFonts w:ascii="Times New Roman" w:hAnsi="Times New Roman"/>
                <w:bCs/>
                <w:sz w:val="24"/>
                <w:szCs w:val="28"/>
                <w:lang w:eastAsia="ru-RU"/>
              </w:rPr>
              <w:t>0,4</w:t>
            </w:r>
          </w:p>
        </w:tc>
        <w:tc>
          <w:tcPr>
            <w:tcW w:w="0" w:type="auto"/>
            <w:vAlign w:val="center"/>
          </w:tcPr>
          <w:p w:rsidR="002D1E45" w:rsidRPr="001D0C26" w:rsidRDefault="002D1E45" w:rsidP="001D0C26">
            <w:pPr>
              <w:spacing w:after="0" w:line="240" w:lineRule="auto"/>
              <w:jc w:val="center"/>
              <w:rPr>
                <w:rFonts w:ascii="Times New Roman" w:hAnsi="Times New Roman"/>
                <w:bCs/>
                <w:sz w:val="24"/>
                <w:szCs w:val="28"/>
                <w:lang w:eastAsia="ru-RU"/>
              </w:rPr>
            </w:pPr>
            <w:r w:rsidRPr="001D0C26">
              <w:rPr>
                <w:rFonts w:ascii="Times New Roman" w:hAnsi="Times New Roman"/>
                <w:bCs/>
                <w:sz w:val="24"/>
                <w:szCs w:val="28"/>
                <w:lang w:eastAsia="ru-RU"/>
              </w:rPr>
              <w:t>1</w:t>
            </w:r>
          </w:p>
        </w:tc>
        <w:tc>
          <w:tcPr>
            <w:tcW w:w="0" w:type="auto"/>
            <w:vAlign w:val="center"/>
          </w:tcPr>
          <w:p w:rsidR="002D1E45" w:rsidRPr="001D0C26" w:rsidRDefault="002D1E45" w:rsidP="001D0C26">
            <w:pPr>
              <w:spacing w:after="0" w:line="240" w:lineRule="auto"/>
              <w:jc w:val="center"/>
              <w:rPr>
                <w:rFonts w:ascii="Times New Roman" w:hAnsi="Times New Roman"/>
                <w:bCs/>
                <w:sz w:val="24"/>
                <w:szCs w:val="28"/>
                <w:lang w:eastAsia="ru-RU"/>
              </w:rPr>
            </w:pPr>
            <w:r w:rsidRPr="001D0C26">
              <w:rPr>
                <w:rFonts w:ascii="Times New Roman" w:hAnsi="Times New Roman"/>
                <w:bCs/>
                <w:sz w:val="24"/>
                <w:szCs w:val="28"/>
                <w:lang w:eastAsia="ru-RU"/>
              </w:rPr>
              <w:t>2</w:t>
            </w:r>
          </w:p>
        </w:tc>
        <w:tc>
          <w:tcPr>
            <w:tcW w:w="0" w:type="auto"/>
            <w:vAlign w:val="center"/>
          </w:tcPr>
          <w:p w:rsidR="002D1E45" w:rsidRPr="001D0C26" w:rsidRDefault="002D1E45" w:rsidP="001D0C26">
            <w:pPr>
              <w:spacing w:after="0" w:line="240" w:lineRule="auto"/>
              <w:jc w:val="center"/>
              <w:rPr>
                <w:rFonts w:ascii="Times New Roman" w:hAnsi="Times New Roman"/>
                <w:bCs/>
                <w:sz w:val="24"/>
                <w:szCs w:val="28"/>
                <w:lang w:eastAsia="ru-RU"/>
              </w:rPr>
            </w:pPr>
            <w:r w:rsidRPr="001D0C26">
              <w:rPr>
                <w:rFonts w:ascii="Times New Roman" w:hAnsi="Times New Roman"/>
                <w:bCs/>
                <w:sz w:val="24"/>
                <w:szCs w:val="28"/>
                <w:lang w:eastAsia="ru-RU"/>
              </w:rPr>
              <w:t>3</w:t>
            </w:r>
          </w:p>
        </w:tc>
      </w:tr>
      <w:tr w:rsidR="002D1E45" w:rsidRPr="001D0C26" w:rsidTr="001D0C26">
        <w:trPr>
          <w:jc w:val="center"/>
        </w:trPr>
        <w:tc>
          <w:tcPr>
            <w:tcW w:w="0" w:type="auto"/>
            <w:vAlign w:val="center"/>
          </w:tcPr>
          <w:p w:rsidR="002D1E45" w:rsidRPr="001D0C26" w:rsidRDefault="002D1E45" w:rsidP="001D0C26">
            <w:pPr>
              <w:spacing w:after="0" w:line="240" w:lineRule="auto"/>
              <w:rPr>
                <w:rFonts w:ascii="Times New Roman" w:hAnsi="Times New Roman"/>
                <w:bCs/>
                <w:sz w:val="24"/>
                <w:szCs w:val="28"/>
                <w:lang w:eastAsia="ru-RU"/>
              </w:rPr>
            </w:pPr>
            <w:r w:rsidRPr="001D0C26">
              <w:rPr>
                <w:rFonts w:ascii="Times New Roman" w:hAnsi="Times New Roman"/>
                <w:bCs/>
                <w:sz w:val="24"/>
                <w:szCs w:val="28"/>
                <w:lang w:eastAsia="ru-RU"/>
              </w:rPr>
              <w:t>Железнодорожные пути</w:t>
            </w:r>
          </w:p>
        </w:tc>
        <w:tc>
          <w:tcPr>
            <w:tcW w:w="0" w:type="auto"/>
            <w:vAlign w:val="center"/>
          </w:tcPr>
          <w:p w:rsidR="002D1E45" w:rsidRPr="001D0C26" w:rsidRDefault="002D1E45" w:rsidP="001D0C26">
            <w:pPr>
              <w:spacing w:after="0" w:line="240" w:lineRule="auto"/>
              <w:jc w:val="center"/>
              <w:rPr>
                <w:rFonts w:ascii="Times New Roman" w:hAnsi="Times New Roman"/>
                <w:bCs/>
                <w:sz w:val="24"/>
                <w:szCs w:val="28"/>
                <w:lang w:eastAsia="ru-RU"/>
              </w:rPr>
            </w:pPr>
            <w:r w:rsidRPr="001D0C26">
              <w:rPr>
                <w:rFonts w:ascii="Times New Roman" w:hAnsi="Times New Roman"/>
                <w:bCs/>
                <w:sz w:val="24"/>
                <w:szCs w:val="28"/>
                <w:lang w:eastAsia="ru-RU"/>
              </w:rPr>
              <w:t>1,5</w:t>
            </w:r>
          </w:p>
        </w:tc>
        <w:tc>
          <w:tcPr>
            <w:tcW w:w="0" w:type="auto"/>
            <w:vAlign w:val="center"/>
          </w:tcPr>
          <w:p w:rsidR="002D1E45" w:rsidRPr="001D0C26" w:rsidRDefault="002D1E45" w:rsidP="001D0C26">
            <w:pPr>
              <w:spacing w:after="0" w:line="240" w:lineRule="auto"/>
              <w:jc w:val="center"/>
              <w:rPr>
                <w:rFonts w:ascii="Times New Roman" w:hAnsi="Times New Roman"/>
                <w:bCs/>
                <w:sz w:val="24"/>
                <w:szCs w:val="28"/>
                <w:lang w:eastAsia="ru-RU"/>
              </w:rPr>
            </w:pPr>
            <w:r w:rsidRPr="001D0C26">
              <w:rPr>
                <w:rFonts w:ascii="Times New Roman" w:hAnsi="Times New Roman"/>
                <w:bCs/>
                <w:sz w:val="24"/>
                <w:szCs w:val="28"/>
                <w:lang w:eastAsia="ru-RU"/>
              </w:rPr>
              <w:t>2,8</w:t>
            </w:r>
          </w:p>
        </w:tc>
        <w:tc>
          <w:tcPr>
            <w:tcW w:w="0" w:type="auto"/>
            <w:vAlign w:val="center"/>
          </w:tcPr>
          <w:p w:rsidR="002D1E45" w:rsidRPr="001D0C26" w:rsidRDefault="002D1E45" w:rsidP="001D0C26">
            <w:pPr>
              <w:spacing w:after="0" w:line="240" w:lineRule="auto"/>
              <w:jc w:val="center"/>
              <w:rPr>
                <w:rFonts w:ascii="Times New Roman" w:hAnsi="Times New Roman"/>
                <w:bCs/>
                <w:sz w:val="24"/>
                <w:szCs w:val="28"/>
                <w:lang w:eastAsia="ru-RU"/>
              </w:rPr>
            </w:pPr>
            <w:r w:rsidRPr="001D0C26">
              <w:rPr>
                <w:rFonts w:ascii="Times New Roman" w:hAnsi="Times New Roman"/>
                <w:bCs/>
                <w:sz w:val="24"/>
                <w:szCs w:val="28"/>
                <w:lang w:eastAsia="ru-RU"/>
              </w:rPr>
              <w:t>2,1</w:t>
            </w:r>
          </w:p>
        </w:tc>
        <w:tc>
          <w:tcPr>
            <w:tcW w:w="0" w:type="auto"/>
            <w:vAlign w:val="center"/>
          </w:tcPr>
          <w:p w:rsidR="002D1E45" w:rsidRPr="001D0C26" w:rsidRDefault="002D1E45" w:rsidP="001D0C26">
            <w:pPr>
              <w:spacing w:after="0" w:line="240" w:lineRule="auto"/>
              <w:jc w:val="center"/>
              <w:rPr>
                <w:rFonts w:ascii="Times New Roman" w:hAnsi="Times New Roman"/>
                <w:bCs/>
                <w:sz w:val="24"/>
                <w:szCs w:val="28"/>
                <w:lang w:eastAsia="ru-RU"/>
              </w:rPr>
            </w:pPr>
            <w:r w:rsidRPr="001D0C26">
              <w:rPr>
                <w:rFonts w:ascii="Times New Roman" w:hAnsi="Times New Roman"/>
                <w:bCs/>
                <w:sz w:val="24"/>
                <w:szCs w:val="28"/>
                <w:lang w:eastAsia="ru-RU"/>
              </w:rPr>
              <w:t>2,3</w:t>
            </w:r>
          </w:p>
        </w:tc>
      </w:tr>
      <w:tr w:rsidR="002D1E45" w:rsidRPr="001D0C26" w:rsidTr="001D0C26">
        <w:trPr>
          <w:jc w:val="center"/>
        </w:trPr>
        <w:tc>
          <w:tcPr>
            <w:tcW w:w="0" w:type="auto"/>
            <w:vAlign w:val="center"/>
          </w:tcPr>
          <w:p w:rsidR="002D1E45" w:rsidRPr="001D0C26" w:rsidRDefault="002D1E45" w:rsidP="001D0C26">
            <w:pPr>
              <w:spacing w:after="0" w:line="240" w:lineRule="auto"/>
              <w:rPr>
                <w:rFonts w:ascii="Times New Roman" w:hAnsi="Times New Roman"/>
                <w:bCs/>
                <w:sz w:val="24"/>
                <w:szCs w:val="28"/>
                <w:lang w:eastAsia="ru-RU"/>
              </w:rPr>
            </w:pPr>
            <w:r w:rsidRPr="001D0C26">
              <w:rPr>
                <w:rFonts w:ascii="Times New Roman" w:hAnsi="Times New Roman"/>
                <w:bCs/>
                <w:sz w:val="24"/>
                <w:szCs w:val="28"/>
                <w:lang w:eastAsia="ru-RU"/>
              </w:rPr>
              <w:t>Дороги с асфальтобетонным покрытием</w:t>
            </w:r>
          </w:p>
        </w:tc>
        <w:tc>
          <w:tcPr>
            <w:tcW w:w="0" w:type="auto"/>
            <w:vAlign w:val="center"/>
          </w:tcPr>
          <w:p w:rsidR="002D1E45" w:rsidRPr="001D0C26" w:rsidRDefault="002D1E45" w:rsidP="001D0C26">
            <w:pPr>
              <w:spacing w:after="0" w:line="240" w:lineRule="auto"/>
              <w:jc w:val="center"/>
              <w:rPr>
                <w:rFonts w:ascii="Times New Roman" w:hAnsi="Times New Roman"/>
                <w:bCs/>
                <w:sz w:val="24"/>
                <w:szCs w:val="28"/>
                <w:lang w:eastAsia="ru-RU"/>
              </w:rPr>
            </w:pPr>
            <w:r w:rsidRPr="001D0C26">
              <w:rPr>
                <w:rFonts w:ascii="Times New Roman" w:hAnsi="Times New Roman"/>
                <w:bCs/>
                <w:sz w:val="24"/>
                <w:szCs w:val="28"/>
                <w:lang w:eastAsia="ru-RU"/>
              </w:rPr>
              <w:t>2,1</w:t>
            </w:r>
          </w:p>
        </w:tc>
        <w:tc>
          <w:tcPr>
            <w:tcW w:w="0" w:type="auto"/>
            <w:vAlign w:val="center"/>
          </w:tcPr>
          <w:p w:rsidR="002D1E45" w:rsidRPr="001D0C26" w:rsidRDefault="002D1E45" w:rsidP="001D0C26">
            <w:pPr>
              <w:spacing w:after="0" w:line="240" w:lineRule="auto"/>
              <w:jc w:val="center"/>
              <w:rPr>
                <w:rFonts w:ascii="Times New Roman" w:hAnsi="Times New Roman"/>
                <w:bCs/>
                <w:sz w:val="24"/>
                <w:szCs w:val="28"/>
                <w:lang w:eastAsia="ru-RU"/>
              </w:rPr>
            </w:pPr>
            <w:r w:rsidRPr="001D0C26">
              <w:rPr>
                <w:rFonts w:ascii="Times New Roman" w:hAnsi="Times New Roman"/>
                <w:bCs/>
                <w:sz w:val="24"/>
                <w:szCs w:val="28"/>
                <w:lang w:eastAsia="ru-RU"/>
              </w:rPr>
              <w:t>2,5</w:t>
            </w:r>
          </w:p>
        </w:tc>
        <w:tc>
          <w:tcPr>
            <w:tcW w:w="0" w:type="auto"/>
            <w:vAlign w:val="center"/>
          </w:tcPr>
          <w:p w:rsidR="002D1E45" w:rsidRPr="001D0C26" w:rsidRDefault="002D1E45" w:rsidP="001D0C26">
            <w:pPr>
              <w:spacing w:after="0" w:line="240" w:lineRule="auto"/>
              <w:jc w:val="center"/>
              <w:rPr>
                <w:rFonts w:ascii="Times New Roman" w:hAnsi="Times New Roman"/>
                <w:bCs/>
                <w:sz w:val="24"/>
                <w:szCs w:val="28"/>
                <w:lang w:eastAsia="ru-RU"/>
              </w:rPr>
            </w:pPr>
            <w:r w:rsidRPr="001D0C26">
              <w:rPr>
                <w:rFonts w:ascii="Times New Roman" w:hAnsi="Times New Roman"/>
                <w:bCs/>
                <w:sz w:val="24"/>
                <w:szCs w:val="28"/>
                <w:lang w:eastAsia="ru-RU"/>
              </w:rPr>
              <w:t>2,5</w:t>
            </w:r>
          </w:p>
        </w:tc>
        <w:tc>
          <w:tcPr>
            <w:tcW w:w="0" w:type="auto"/>
            <w:vAlign w:val="center"/>
          </w:tcPr>
          <w:p w:rsidR="002D1E45" w:rsidRPr="001D0C26" w:rsidRDefault="002D1E45" w:rsidP="001D0C26">
            <w:pPr>
              <w:spacing w:after="0" w:line="240" w:lineRule="auto"/>
              <w:jc w:val="center"/>
              <w:rPr>
                <w:rFonts w:ascii="Times New Roman" w:hAnsi="Times New Roman"/>
                <w:bCs/>
                <w:sz w:val="24"/>
                <w:szCs w:val="28"/>
                <w:lang w:eastAsia="ru-RU"/>
              </w:rPr>
            </w:pPr>
            <w:r w:rsidRPr="001D0C26">
              <w:rPr>
                <w:rFonts w:ascii="Times New Roman" w:hAnsi="Times New Roman"/>
                <w:bCs/>
                <w:sz w:val="24"/>
                <w:szCs w:val="28"/>
                <w:lang w:eastAsia="ru-RU"/>
              </w:rPr>
              <w:t>3,1</w:t>
            </w:r>
          </w:p>
        </w:tc>
      </w:tr>
      <w:tr w:rsidR="002D1E45" w:rsidRPr="001D0C26" w:rsidTr="001D0C26">
        <w:trPr>
          <w:jc w:val="center"/>
        </w:trPr>
        <w:tc>
          <w:tcPr>
            <w:tcW w:w="0" w:type="auto"/>
            <w:vAlign w:val="center"/>
          </w:tcPr>
          <w:p w:rsidR="002D1E45" w:rsidRPr="001D0C26" w:rsidRDefault="002D1E45" w:rsidP="001D0C26">
            <w:pPr>
              <w:spacing w:after="0" w:line="240" w:lineRule="auto"/>
              <w:rPr>
                <w:rFonts w:ascii="Times New Roman" w:hAnsi="Times New Roman"/>
                <w:bCs/>
                <w:sz w:val="24"/>
                <w:szCs w:val="28"/>
                <w:lang w:eastAsia="ru-RU"/>
              </w:rPr>
            </w:pPr>
            <w:r w:rsidRPr="001D0C26">
              <w:rPr>
                <w:rFonts w:ascii="Times New Roman" w:hAnsi="Times New Roman"/>
                <w:bCs/>
                <w:sz w:val="24"/>
                <w:szCs w:val="28"/>
                <w:lang w:eastAsia="ru-RU"/>
              </w:rPr>
              <w:t>Дороги с гравием (щебёночное покрытие)</w:t>
            </w:r>
          </w:p>
        </w:tc>
        <w:tc>
          <w:tcPr>
            <w:tcW w:w="0" w:type="auto"/>
            <w:vAlign w:val="center"/>
          </w:tcPr>
          <w:p w:rsidR="002D1E45" w:rsidRPr="001D0C26" w:rsidRDefault="002D1E45" w:rsidP="001D0C26">
            <w:pPr>
              <w:spacing w:after="0" w:line="240" w:lineRule="auto"/>
              <w:jc w:val="center"/>
              <w:rPr>
                <w:rFonts w:ascii="Times New Roman" w:hAnsi="Times New Roman"/>
                <w:bCs/>
                <w:sz w:val="24"/>
                <w:szCs w:val="28"/>
                <w:lang w:eastAsia="ru-RU"/>
              </w:rPr>
            </w:pPr>
            <w:r w:rsidRPr="001D0C26">
              <w:rPr>
                <w:rFonts w:ascii="Times New Roman" w:hAnsi="Times New Roman"/>
                <w:bCs/>
                <w:sz w:val="24"/>
                <w:szCs w:val="28"/>
                <w:lang w:eastAsia="ru-RU"/>
              </w:rPr>
              <w:t>1,5</w:t>
            </w:r>
          </w:p>
        </w:tc>
        <w:tc>
          <w:tcPr>
            <w:tcW w:w="0" w:type="auto"/>
            <w:vAlign w:val="center"/>
          </w:tcPr>
          <w:p w:rsidR="002D1E45" w:rsidRPr="001D0C26" w:rsidRDefault="002D1E45" w:rsidP="001D0C26">
            <w:pPr>
              <w:spacing w:after="0" w:line="240" w:lineRule="auto"/>
              <w:jc w:val="center"/>
              <w:rPr>
                <w:rFonts w:ascii="Times New Roman" w:hAnsi="Times New Roman"/>
                <w:bCs/>
                <w:sz w:val="24"/>
                <w:szCs w:val="28"/>
                <w:lang w:eastAsia="ru-RU"/>
              </w:rPr>
            </w:pPr>
            <w:r w:rsidRPr="001D0C26">
              <w:rPr>
                <w:rFonts w:ascii="Times New Roman" w:hAnsi="Times New Roman"/>
                <w:bCs/>
                <w:sz w:val="24"/>
                <w:szCs w:val="28"/>
                <w:lang w:eastAsia="ru-RU"/>
              </w:rPr>
              <w:t>1,8</w:t>
            </w:r>
          </w:p>
        </w:tc>
        <w:tc>
          <w:tcPr>
            <w:tcW w:w="0" w:type="auto"/>
            <w:vAlign w:val="center"/>
          </w:tcPr>
          <w:p w:rsidR="002D1E45" w:rsidRPr="001D0C26" w:rsidRDefault="002D1E45" w:rsidP="001D0C26">
            <w:pPr>
              <w:spacing w:after="0" w:line="240" w:lineRule="auto"/>
              <w:jc w:val="center"/>
              <w:rPr>
                <w:rFonts w:ascii="Times New Roman" w:hAnsi="Times New Roman"/>
                <w:bCs/>
                <w:sz w:val="24"/>
                <w:szCs w:val="28"/>
                <w:lang w:eastAsia="ru-RU"/>
              </w:rPr>
            </w:pPr>
            <w:r w:rsidRPr="001D0C26">
              <w:rPr>
                <w:rFonts w:ascii="Times New Roman" w:hAnsi="Times New Roman"/>
                <w:bCs/>
                <w:sz w:val="24"/>
                <w:szCs w:val="28"/>
                <w:lang w:eastAsia="ru-RU"/>
              </w:rPr>
              <w:t>2,1</w:t>
            </w:r>
          </w:p>
        </w:tc>
        <w:tc>
          <w:tcPr>
            <w:tcW w:w="0" w:type="auto"/>
            <w:vAlign w:val="center"/>
          </w:tcPr>
          <w:p w:rsidR="002D1E45" w:rsidRPr="001D0C26" w:rsidRDefault="002D1E45" w:rsidP="001D0C26">
            <w:pPr>
              <w:spacing w:after="0" w:line="240" w:lineRule="auto"/>
              <w:jc w:val="center"/>
              <w:rPr>
                <w:rFonts w:ascii="Times New Roman" w:hAnsi="Times New Roman"/>
                <w:bCs/>
                <w:sz w:val="24"/>
                <w:szCs w:val="28"/>
                <w:lang w:eastAsia="ru-RU"/>
              </w:rPr>
            </w:pPr>
            <w:r w:rsidRPr="001D0C26">
              <w:rPr>
                <w:rFonts w:ascii="Times New Roman" w:hAnsi="Times New Roman"/>
                <w:bCs/>
                <w:sz w:val="24"/>
                <w:szCs w:val="28"/>
                <w:lang w:eastAsia="ru-RU"/>
              </w:rPr>
              <w:t>2,3</w:t>
            </w:r>
          </w:p>
        </w:tc>
      </w:tr>
    </w:tbl>
    <w:p w:rsidR="002D1E45" w:rsidRPr="001D0C26" w:rsidRDefault="002D1E45" w:rsidP="001D0C26">
      <w:pPr>
        <w:spacing w:after="0" w:line="240" w:lineRule="auto"/>
        <w:ind w:right="15" w:firstLine="709"/>
        <w:jc w:val="right"/>
        <w:rPr>
          <w:rFonts w:ascii="Times New Roman" w:hAnsi="Times New Roman"/>
          <w:sz w:val="28"/>
          <w:szCs w:val="28"/>
          <w:lang w:eastAsia="ru-RU"/>
        </w:rPr>
      </w:pPr>
    </w:p>
    <w:p w:rsidR="002D1E45" w:rsidRPr="001D0C26" w:rsidRDefault="002D1E45" w:rsidP="001D0C26">
      <w:pPr>
        <w:spacing w:after="0" w:line="240" w:lineRule="auto"/>
        <w:ind w:right="15" w:firstLine="709"/>
        <w:jc w:val="right"/>
        <w:rPr>
          <w:rFonts w:ascii="Times New Roman" w:hAnsi="Times New Roman"/>
          <w:sz w:val="28"/>
          <w:szCs w:val="28"/>
          <w:lang w:eastAsia="ru-RU"/>
        </w:rPr>
      </w:pPr>
      <w:r w:rsidRPr="001D0C26">
        <w:rPr>
          <w:rFonts w:ascii="Times New Roman" w:hAnsi="Times New Roman"/>
          <w:sz w:val="28"/>
          <w:szCs w:val="28"/>
          <w:lang w:eastAsia="ru-RU"/>
        </w:rPr>
        <w:t xml:space="preserve">Таблица </w:t>
      </w:r>
      <w:r w:rsidRPr="001D0C26">
        <w:rPr>
          <w:rFonts w:ascii="Times New Roman" w:hAnsi="Times New Roman"/>
          <w:sz w:val="28"/>
          <w:szCs w:val="28"/>
          <w:lang w:eastAsia="ru-RU"/>
        </w:rPr>
        <w:fldChar w:fldCharType="begin"/>
      </w:r>
      <w:r w:rsidRPr="001D0C26">
        <w:rPr>
          <w:rFonts w:ascii="Times New Roman" w:hAnsi="Times New Roman"/>
          <w:sz w:val="28"/>
          <w:szCs w:val="28"/>
          <w:lang w:eastAsia="ru-RU"/>
        </w:rPr>
        <w:instrText xml:space="preserve"> SEQ Таблица \* ARABIC </w:instrText>
      </w:r>
      <w:r w:rsidRPr="001D0C26">
        <w:rPr>
          <w:rFonts w:ascii="Times New Roman" w:hAnsi="Times New Roman"/>
          <w:sz w:val="28"/>
          <w:szCs w:val="28"/>
          <w:lang w:eastAsia="ru-RU"/>
        </w:rPr>
        <w:fldChar w:fldCharType="separate"/>
      </w:r>
      <w:r>
        <w:rPr>
          <w:rFonts w:ascii="Times New Roman" w:hAnsi="Times New Roman"/>
          <w:noProof/>
          <w:sz w:val="28"/>
          <w:szCs w:val="28"/>
          <w:lang w:eastAsia="ru-RU"/>
        </w:rPr>
        <w:t>41</w:t>
      </w:r>
      <w:r w:rsidRPr="001D0C26">
        <w:rPr>
          <w:rFonts w:ascii="Times New Roman" w:hAnsi="Times New Roman"/>
          <w:sz w:val="28"/>
          <w:szCs w:val="28"/>
          <w:lang w:eastAsia="ru-RU"/>
        </w:rPr>
        <w:fldChar w:fldCharType="end"/>
      </w:r>
      <w:r w:rsidRPr="001D0C26">
        <w:rPr>
          <w:rFonts w:ascii="Times New Roman" w:hAnsi="Times New Roman"/>
          <w:sz w:val="28"/>
          <w:szCs w:val="28"/>
          <w:lang w:eastAsia="ru-RU"/>
        </w:rPr>
        <w:t xml:space="preserve"> </w:t>
      </w:r>
    </w:p>
    <w:p w:rsidR="002D1E45" w:rsidRPr="001D0C26" w:rsidRDefault="002D1E45" w:rsidP="001D0C26">
      <w:pPr>
        <w:spacing w:after="120" w:line="240" w:lineRule="auto"/>
        <w:jc w:val="center"/>
        <w:rPr>
          <w:rFonts w:ascii="Times New Roman" w:hAnsi="Times New Roman"/>
          <w:bCs/>
          <w:sz w:val="28"/>
          <w:szCs w:val="28"/>
          <w:lang w:eastAsia="ru-RU"/>
        </w:rPr>
      </w:pPr>
      <w:r w:rsidRPr="001D0C26">
        <w:rPr>
          <w:rFonts w:ascii="Times New Roman" w:hAnsi="Times New Roman"/>
          <w:bCs/>
          <w:sz w:val="28"/>
          <w:szCs w:val="28"/>
          <w:lang w:eastAsia="ru-RU"/>
        </w:rPr>
        <w:t>Доля повреждённых объектов на затопленных площадях (в %) при крупных паводках (скорость потока V = 3-4 м/с)</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tblPr>
      <w:tblGrid>
        <w:gridCol w:w="4673"/>
        <w:gridCol w:w="826"/>
        <w:gridCol w:w="827"/>
        <w:gridCol w:w="827"/>
        <w:gridCol w:w="827"/>
        <w:gridCol w:w="827"/>
        <w:gridCol w:w="827"/>
      </w:tblGrid>
      <w:tr w:rsidR="002D1E45" w:rsidRPr="001D0C26" w:rsidTr="001D0C26">
        <w:trPr>
          <w:trHeight w:val="227"/>
          <w:tblHeader/>
          <w:jc w:val="center"/>
        </w:trPr>
        <w:tc>
          <w:tcPr>
            <w:tcW w:w="4673" w:type="dxa"/>
            <w:vMerge w:val="restart"/>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Объект</w:t>
            </w:r>
          </w:p>
        </w:tc>
        <w:tc>
          <w:tcPr>
            <w:tcW w:w="2480" w:type="dxa"/>
            <w:gridSpan w:val="3"/>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Период (часы)</w:t>
            </w:r>
          </w:p>
        </w:tc>
        <w:tc>
          <w:tcPr>
            <w:tcW w:w="2481" w:type="dxa"/>
            <w:gridSpan w:val="3"/>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Сутки</w:t>
            </w:r>
          </w:p>
        </w:tc>
      </w:tr>
      <w:tr w:rsidR="002D1E45" w:rsidRPr="001D0C26" w:rsidTr="001D0C26">
        <w:trPr>
          <w:trHeight w:val="227"/>
          <w:tblHeader/>
          <w:jc w:val="center"/>
        </w:trPr>
        <w:tc>
          <w:tcPr>
            <w:tcW w:w="4673" w:type="dxa"/>
            <w:vMerge/>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p>
        </w:tc>
        <w:tc>
          <w:tcPr>
            <w:tcW w:w="826"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1</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2</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3</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4</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1</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2</w:t>
            </w:r>
          </w:p>
        </w:tc>
      </w:tr>
      <w:tr w:rsidR="002D1E45" w:rsidRPr="001D0C26" w:rsidTr="001D0C26">
        <w:trPr>
          <w:trHeight w:val="227"/>
          <w:jc w:val="center"/>
        </w:trPr>
        <w:tc>
          <w:tcPr>
            <w:tcW w:w="4673" w:type="dxa"/>
            <w:shd w:val="clear" w:color="auto" w:fill="FFFFFF"/>
            <w:vAlign w:val="center"/>
          </w:tcPr>
          <w:p w:rsidR="002D1E45" w:rsidRPr="001D0C26" w:rsidRDefault="002D1E45" w:rsidP="001D0C26">
            <w:pPr>
              <w:spacing w:after="0" w:line="240" w:lineRule="auto"/>
              <w:rPr>
                <w:rFonts w:ascii="Times New Roman" w:hAnsi="Times New Roman"/>
                <w:color w:val="000000"/>
                <w:sz w:val="24"/>
                <w:szCs w:val="24"/>
                <w:lang w:eastAsia="ru-RU"/>
              </w:rPr>
            </w:pPr>
            <w:r w:rsidRPr="001D0C26">
              <w:rPr>
                <w:rFonts w:ascii="Times New Roman" w:hAnsi="Times New Roman"/>
                <w:color w:val="000000"/>
                <w:sz w:val="24"/>
                <w:szCs w:val="24"/>
                <w:lang w:eastAsia="ru-RU"/>
              </w:rPr>
              <w:t>Затопление подвалов</w:t>
            </w:r>
          </w:p>
        </w:tc>
        <w:tc>
          <w:tcPr>
            <w:tcW w:w="826"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10</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15</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40</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60</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85</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90</w:t>
            </w:r>
          </w:p>
        </w:tc>
      </w:tr>
      <w:tr w:rsidR="002D1E45" w:rsidRPr="001D0C26" w:rsidTr="001D0C26">
        <w:trPr>
          <w:trHeight w:val="227"/>
          <w:jc w:val="center"/>
        </w:trPr>
        <w:tc>
          <w:tcPr>
            <w:tcW w:w="4673" w:type="dxa"/>
            <w:shd w:val="clear" w:color="auto" w:fill="FFFFFF"/>
            <w:vAlign w:val="center"/>
          </w:tcPr>
          <w:p w:rsidR="002D1E45" w:rsidRPr="001D0C26" w:rsidRDefault="002D1E45" w:rsidP="001D0C26">
            <w:pPr>
              <w:spacing w:after="0" w:line="240" w:lineRule="auto"/>
              <w:rPr>
                <w:rFonts w:ascii="Times New Roman" w:hAnsi="Times New Roman"/>
                <w:color w:val="000000"/>
                <w:sz w:val="24"/>
                <w:szCs w:val="24"/>
                <w:lang w:eastAsia="ru-RU"/>
              </w:rPr>
            </w:pPr>
            <w:r w:rsidRPr="001D0C26">
              <w:rPr>
                <w:rFonts w:ascii="Times New Roman" w:hAnsi="Times New Roman"/>
                <w:color w:val="000000"/>
                <w:sz w:val="24"/>
                <w:szCs w:val="24"/>
                <w:lang w:eastAsia="ru-RU"/>
              </w:rPr>
              <w:t>Нарушение дорожного движения</w:t>
            </w:r>
          </w:p>
        </w:tc>
        <w:tc>
          <w:tcPr>
            <w:tcW w:w="826"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15</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30</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60</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75</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95</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100</w:t>
            </w:r>
          </w:p>
        </w:tc>
      </w:tr>
      <w:tr w:rsidR="002D1E45" w:rsidRPr="001D0C26" w:rsidTr="001D0C26">
        <w:trPr>
          <w:trHeight w:val="227"/>
          <w:jc w:val="center"/>
        </w:trPr>
        <w:tc>
          <w:tcPr>
            <w:tcW w:w="4673" w:type="dxa"/>
            <w:shd w:val="clear" w:color="auto" w:fill="FFFFFF"/>
            <w:vAlign w:val="center"/>
          </w:tcPr>
          <w:p w:rsidR="002D1E45" w:rsidRPr="001D0C26" w:rsidRDefault="002D1E45" w:rsidP="001D0C26">
            <w:pPr>
              <w:spacing w:after="0" w:line="240" w:lineRule="auto"/>
              <w:rPr>
                <w:rFonts w:ascii="Times New Roman" w:hAnsi="Times New Roman"/>
                <w:color w:val="000000"/>
                <w:sz w:val="24"/>
                <w:szCs w:val="24"/>
                <w:lang w:eastAsia="ru-RU"/>
              </w:rPr>
            </w:pPr>
            <w:r w:rsidRPr="001D0C26">
              <w:rPr>
                <w:rFonts w:ascii="Times New Roman" w:hAnsi="Times New Roman"/>
                <w:color w:val="000000"/>
                <w:sz w:val="24"/>
                <w:szCs w:val="24"/>
                <w:lang w:eastAsia="ru-RU"/>
              </w:rPr>
              <w:t>Разрушение уличных мостовых</w:t>
            </w:r>
          </w:p>
        </w:tc>
        <w:tc>
          <w:tcPr>
            <w:tcW w:w="826"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3</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6</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30</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45</w:t>
            </w:r>
          </w:p>
        </w:tc>
      </w:tr>
      <w:tr w:rsidR="002D1E45" w:rsidRPr="001D0C26" w:rsidTr="001D0C26">
        <w:trPr>
          <w:trHeight w:val="227"/>
          <w:jc w:val="center"/>
        </w:trPr>
        <w:tc>
          <w:tcPr>
            <w:tcW w:w="4673" w:type="dxa"/>
            <w:shd w:val="clear" w:color="auto" w:fill="FFFFFF"/>
            <w:vAlign w:val="center"/>
          </w:tcPr>
          <w:p w:rsidR="002D1E45" w:rsidRPr="001D0C26" w:rsidRDefault="002D1E45" w:rsidP="001D0C26">
            <w:pPr>
              <w:spacing w:after="0" w:line="240" w:lineRule="auto"/>
              <w:rPr>
                <w:rFonts w:ascii="Times New Roman" w:hAnsi="Times New Roman"/>
                <w:color w:val="000000"/>
                <w:sz w:val="24"/>
                <w:szCs w:val="24"/>
                <w:lang w:eastAsia="ru-RU"/>
              </w:rPr>
            </w:pPr>
            <w:r w:rsidRPr="001D0C26">
              <w:rPr>
                <w:rFonts w:ascii="Times New Roman" w:hAnsi="Times New Roman"/>
                <w:color w:val="000000"/>
                <w:sz w:val="24"/>
                <w:szCs w:val="24"/>
                <w:lang w:eastAsia="ru-RU"/>
              </w:rPr>
              <w:t>Остановка службы в портах</w:t>
            </w:r>
          </w:p>
        </w:tc>
        <w:tc>
          <w:tcPr>
            <w:tcW w:w="826"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50</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75</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90</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100</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w:t>
            </w:r>
          </w:p>
        </w:tc>
      </w:tr>
      <w:tr w:rsidR="002D1E45" w:rsidRPr="001D0C26" w:rsidTr="001D0C26">
        <w:trPr>
          <w:trHeight w:val="227"/>
          <w:jc w:val="center"/>
        </w:trPr>
        <w:tc>
          <w:tcPr>
            <w:tcW w:w="4673" w:type="dxa"/>
            <w:shd w:val="clear" w:color="auto" w:fill="FFFFFF"/>
            <w:vAlign w:val="center"/>
          </w:tcPr>
          <w:p w:rsidR="002D1E45" w:rsidRPr="001D0C26" w:rsidRDefault="002D1E45" w:rsidP="001D0C26">
            <w:pPr>
              <w:spacing w:after="0" w:line="240" w:lineRule="auto"/>
              <w:rPr>
                <w:rFonts w:ascii="Times New Roman" w:hAnsi="Times New Roman"/>
                <w:color w:val="000000"/>
                <w:sz w:val="24"/>
                <w:szCs w:val="24"/>
                <w:lang w:eastAsia="ru-RU"/>
              </w:rPr>
            </w:pPr>
            <w:r w:rsidRPr="001D0C26">
              <w:rPr>
                <w:rFonts w:ascii="Times New Roman" w:hAnsi="Times New Roman"/>
                <w:color w:val="000000"/>
                <w:sz w:val="24"/>
                <w:szCs w:val="24"/>
                <w:lang w:eastAsia="ru-RU"/>
              </w:rPr>
              <w:t>Прекращение переправ</w:t>
            </w:r>
          </w:p>
        </w:tc>
        <w:tc>
          <w:tcPr>
            <w:tcW w:w="826"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5</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30</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60</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100</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w:t>
            </w:r>
          </w:p>
        </w:tc>
      </w:tr>
      <w:tr w:rsidR="002D1E45" w:rsidRPr="001D0C26" w:rsidTr="001D0C26">
        <w:trPr>
          <w:trHeight w:val="227"/>
          <w:jc w:val="center"/>
        </w:trPr>
        <w:tc>
          <w:tcPr>
            <w:tcW w:w="4673" w:type="dxa"/>
            <w:shd w:val="clear" w:color="auto" w:fill="FFFFFF"/>
            <w:vAlign w:val="center"/>
          </w:tcPr>
          <w:p w:rsidR="002D1E45" w:rsidRPr="001D0C26" w:rsidRDefault="002D1E45" w:rsidP="001D0C26">
            <w:pPr>
              <w:spacing w:after="0" w:line="240" w:lineRule="auto"/>
              <w:rPr>
                <w:rFonts w:ascii="Times New Roman" w:hAnsi="Times New Roman"/>
                <w:color w:val="000000"/>
                <w:sz w:val="24"/>
                <w:szCs w:val="24"/>
                <w:lang w:eastAsia="ru-RU"/>
              </w:rPr>
            </w:pPr>
            <w:r w:rsidRPr="001D0C26">
              <w:rPr>
                <w:rFonts w:ascii="Times New Roman" w:hAnsi="Times New Roman"/>
                <w:color w:val="000000"/>
                <w:sz w:val="24"/>
                <w:szCs w:val="24"/>
                <w:lang w:eastAsia="ru-RU"/>
              </w:rPr>
              <w:t>Повреждения дамб</w:t>
            </w:r>
          </w:p>
        </w:tc>
        <w:tc>
          <w:tcPr>
            <w:tcW w:w="826"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10</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25</w:t>
            </w:r>
          </w:p>
        </w:tc>
      </w:tr>
      <w:tr w:rsidR="002D1E45" w:rsidRPr="001D0C26" w:rsidTr="001D0C26">
        <w:trPr>
          <w:trHeight w:val="227"/>
          <w:jc w:val="center"/>
        </w:trPr>
        <w:tc>
          <w:tcPr>
            <w:tcW w:w="4673" w:type="dxa"/>
            <w:shd w:val="clear" w:color="auto" w:fill="FFFFFF"/>
            <w:vAlign w:val="center"/>
          </w:tcPr>
          <w:p w:rsidR="002D1E45" w:rsidRPr="001D0C26" w:rsidRDefault="002D1E45" w:rsidP="001D0C26">
            <w:pPr>
              <w:spacing w:after="0" w:line="240" w:lineRule="auto"/>
              <w:rPr>
                <w:rFonts w:ascii="Times New Roman" w:hAnsi="Times New Roman"/>
                <w:color w:val="000000"/>
                <w:sz w:val="24"/>
                <w:szCs w:val="24"/>
                <w:lang w:eastAsia="ru-RU"/>
              </w:rPr>
            </w:pPr>
            <w:r w:rsidRPr="001D0C26">
              <w:rPr>
                <w:rFonts w:ascii="Times New Roman" w:hAnsi="Times New Roman"/>
                <w:color w:val="000000"/>
                <w:sz w:val="24"/>
                <w:szCs w:val="24"/>
                <w:lang w:eastAsia="ru-RU"/>
              </w:rPr>
              <w:t>Разрушение и смыв деревянных строений</w:t>
            </w:r>
          </w:p>
        </w:tc>
        <w:tc>
          <w:tcPr>
            <w:tcW w:w="826"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7</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70</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90</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100</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w:t>
            </w:r>
          </w:p>
        </w:tc>
      </w:tr>
      <w:tr w:rsidR="002D1E45" w:rsidRPr="001D0C26" w:rsidTr="001D0C26">
        <w:trPr>
          <w:trHeight w:val="227"/>
          <w:jc w:val="center"/>
        </w:trPr>
        <w:tc>
          <w:tcPr>
            <w:tcW w:w="4673" w:type="dxa"/>
            <w:shd w:val="clear" w:color="auto" w:fill="FFFFFF"/>
            <w:vAlign w:val="center"/>
          </w:tcPr>
          <w:p w:rsidR="002D1E45" w:rsidRPr="001D0C26" w:rsidRDefault="002D1E45" w:rsidP="001D0C26">
            <w:pPr>
              <w:spacing w:after="0" w:line="240" w:lineRule="auto"/>
              <w:rPr>
                <w:rFonts w:ascii="Times New Roman" w:hAnsi="Times New Roman"/>
                <w:color w:val="000000"/>
                <w:sz w:val="24"/>
                <w:szCs w:val="24"/>
                <w:lang w:eastAsia="ru-RU"/>
              </w:rPr>
            </w:pPr>
            <w:r w:rsidRPr="001D0C26">
              <w:rPr>
                <w:rFonts w:ascii="Times New Roman" w:hAnsi="Times New Roman"/>
                <w:color w:val="000000"/>
                <w:sz w:val="24"/>
                <w:szCs w:val="24"/>
                <w:lang w:eastAsia="ru-RU"/>
              </w:rPr>
              <w:t>Разрушение небольших кирпичных зданий</w:t>
            </w:r>
          </w:p>
        </w:tc>
        <w:tc>
          <w:tcPr>
            <w:tcW w:w="826"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10</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40</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50</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60</w:t>
            </w:r>
          </w:p>
        </w:tc>
      </w:tr>
      <w:tr w:rsidR="002D1E45" w:rsidRPr="001D0C26" w:rsidTr="001D0C26">
        <w:trPr>
          <w:trHeight w:val="227"/>
          <w:jc w:val="center"/>
        </w:trPr>
        <w:tc>
          <w:tcPr>
            <w:tcW w:w="4673" w:type="dxa"/>
            <w:shd w:val="clear" w:color="auto" w:fill="FFFFFF"/>
            <w:vAlign w:val="center"/>
          </w:tcPr>
          <w:p w:rsidR="002D1E45" w:rsidRPr="001D0C26" w:rsidRDefault="002D1E45" w:rsidP="001D0C26">
            <w:pPr>
              <w:spacing w:after="0" w:line="240" w:lineRule="auto"/>
              <w:rPr>
                <w:rFonts w:ascii="Times New Roman" w:hAnsi="Times New Roman"/>
                <w:color w:val="000000"/>
                <w:sz w:val="24"/>
                <w:szCs w:val="24"/>
                <w:lang w:eastAsia="ru-RU"/>
              </w:rPr>
            </w:pPr>
            <w:r w:rsidRPr="001D0C26">
              <w:rPr>
                <w:rFonts w:ascii="Times New Roman" w:hAnsi="Times New Roman"/>
                <w:color w:val="000000"/>
                <w:sz w:val="24"/>
                <w:szCs w:val="24"/>
                <w:lang w:eastAsia="ru-RU"/>
              </w:rPr>
              <w:t>Повреждение блочных бетонных зданий и проломы фундаментов</w:t>
            </w:r>
          </w:p>
        </w:tc>
        <w:tc>
          <w:tcPr>
            <w:tcW w:w="826"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5</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10</w:t>
            </w:r>
          </w:p>
        </w:tc>
      </w:tr>
      <w:tr w:rsidR="002D1E45" w:rsidRPr="001D0C26" w:rsidTr="001D0C26">
        <w:trPr>
          <w:trHeight w:val="227"/>
          <w:jc w:val="center"/>
        </w:trPr>
        <w:tc>
          <w:tcPr>
            <w:tcW w:w="4673" w:type="dxa"/>
            <w:shd w:val="clear" w:color="auto" w:fill="FFFFFF"/>
            <w:vAlign w:val="center"/>
          </w:tcPr>
          <w:p w:rsidR="002D1E45" w:rsidRPr="001D0C26" w:rsidRDefault="002D1E45" w:rsidP="001D0C26">
            <w:pPr>
              <w:spacing w:after="0" w:line="240" w:lineRule="auto"/>
              <w:rPr>
                <w:rFonts w:ascii="Times New Roman" w:hAnsi="Times New Roman"/>
                <w:color w:val="000000"/>
                <w:sz w:val="24"/>
                <w:szCs w:val="24"/>
                <w:lang w:eastAsia="ru-RU"/>
              </w:rPr>
            </w:pPr>
            <w:r w:rsidRPr="001D0C26">
              <w:rPr>
                <w:rFonts w:ascii="Times New Roman" w:hAnsi="Times New Roman"/>
                <w:color w:val="000000"/>
                <w:sz w:val="24"/>
                <w:szCs w:val="24"/>
                <w:lang w:eastAsia="ru-RU"/>
              </w:rPr>
              <w:t xml:space="preserve">Понижение капитальности на одну ступень: </w:t>
            </w:r>
          </w:p>
          <w:p w:rsidR="002D1E45" w:rsidRPr="001D0C26" w:rsidRDefault="002D1E45" w:rsidP="00852938">
            <w:pPr>
              <w:numPr>
                <w:ilvl w:val="0"/>
                <w:numId w:val="88"/>
              </w:numPr>
              <w:spacing w:after="0" w:line="240" w:lineRule="auto"/>
              <w:ind w:left="317" w:hanging="221"/>
              <w:contextualSpacing/>
              <w:rPr>
                <w:rFonts w:ascii="Times New Roman" w:hAnsi="Times New Roman"/>
                <w:color w:val="000000"/>
                <w:sz w:val="24"/>
                <w:szCs w:val="24"/>
              </w:rPr>
            </w:pPr>
            <w:r w:rsidRPr="001D0C26">
              <w:rPr>
                <w:rFonts w:ascii="Times New Roman" w:hAnsi="Times New Roman"/>
                <w:color w:val="000000"/>
                <w:sz w:val="24"/>
                <w:szCs w:val="24"/>
              </w:rPr>
              <w:t xml:space="preserve">зданий </w:t>
            </w:r>
            <w:r w:rsidRPr="001D0C26">
              <w:rPr>
                <w:rFonts w:ascii="Times New Roman" w:hAnsi="Times New Roman"/>
                <w:bCs/>
                <w:sz w:val="24"/>
                <w:szCs w:val="24"/>
              </w:rPr>
              <w:t>классов</w:t>
            </w:r>
            <w:r w:rsidRPr="001D0C26">
              <w:rPr>
                <w:rFonts w:ascii="Times New Roman" w:hAnsi="Times New Roman"/>
                <w:color w:val="000000"/>
                <w:sz w:val="24"/>
                <w:szCs w:val="24"/>
              </w:rPr>
              <w:t xml:space="preserve"> 1-3</w:t>
            </w:r>
          </w:p>
        </w:tc>
        <w:tc>
          <w:tcPr>
            <w:tcW w:w="826"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3</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6</w:t>
            </w:r>
          </w:p>
        </w:tc>
      </w:tr>
      <w:tr w:rsidR="002D1E45" w:rsidRPr="001D0C26" w:rsidTr="001D0C26">
        <w:trPr>
          <w:trHeight w:val="227"/>
          <w:jc w:val="center"/>
        </w:trPr>
        <w:tc>
          <w:tcPr>
            <w:tcW w:w="4673" w:type="dxa"/>
            <w:shd w:val="clear" w:color="auto" w:fill="FFFFFF"/>
            <w:vAlign w:val="center"/>
          </w:tcPr>
          <w:p w:rsidR="002D1E45" w:rsidRPr="001D0C26" w:rsidRDefault="002D1E45" w:rsidP="00852938">
            <w:pPr>
              <w:numPr>
                <w:ilvl w:val="0"/>
                <w:numId w:val="88"/>
              </w:numPr>
              <w:spacing w:after="0" w:line="240" w:lineRule="auto"/>
              <w:ind w:left="317" w:hanging="221"/>
              <w:contextualSpacing/>
              <w:rPr>
                <w:rFonts w:ascii="Times New Roman" w:hAnsi="Times New Roman"/>
                <w:color w:val="000000"/>
                <w:sz w:val="24"/>
                <w:szCs w:val="24"/>
              </w:rPr>
            </w:pPr>
            <w:r w:rsidRPr="001D0C26">
              <w:rPr>
                <w:rFonts w:ascii="Times New Roman" w:hAnsi="Times New Roman"/>
                <w:color w:val="000000"/>
                <w:sz w:val="24"/>
                <w:szCs w:val="24"/>
              </w:rPr>
              <w:t xml:space="preserve">зданий </w:t>
            </w:r>
            <w:r w:rsidRPr="001D0C26">
              <w:rPr>
                <w:rFonts w:ascii="Times New Roman" w:hAnsi="Times New Roman"/>
                <w:bCs/>
                <w:sz w:val="24"/>
                <w:szCs w:val="24"/>
              </w:rPr>
              <w:t>классов</w:t>
            </w:r>
            <w:r w:rsidRPr="001D0C26">
              <w:rPr>
                <w:rFonts w:ascii="Times New Roman" w:hAnsi="Times New Roman"/>
                <w:color w:val="000000"/>
                <w:sz w:val="24"/>
                <w:szCs w:val="24"/>
              </w:rPr>
              <w:t xml:space="preserve"> &lt;3</w:t>
            </w:r>
          </w:p>
        </w:tc>
        <w:tc>
          <w:tcPr>
            <w:tcW w:w="826"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10</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20</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30</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45</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60</w:t>
            </w:r>
          </w:p>
        </w:tc>
      </w:tr>
      <w:tr w:rsidR="002D1E45" w:rsidRPr="001D0C26" w:rsidTr="001D0C26">
        <w:trPr>
          <w:trHeight w:val="227"/>
          <w:jc w:val="center"/>
        </w:trPr>
        <w:tc>
          <w:tcPr>
            <w:tcW w:w="4673" w:type="dxa"/>
            <w:shd w:val="clear" w:color="auto" w:fill="FFFFFF"/>
            <w:vAlign w:val="center"/>
          </w:tcPr>
          <w:p w:rsidR="002D1E45" w:rsidRPr="001D0C26" w:rsidRDefault="002D1E45" w:rsidP="001D0C26">
            <w:pPr>
              <w:spacing w:after="0" w:line="240" w:lineRule="auto"/>
              <w:rPr>
                <w:rFonts w:ascii="Times New Roman" w:hAnsi="Times New Roman"/>
                <w:color w:val="000000"/>
                <w:sz w:val="24"/>
                <w:szCs w:val="24"/>
                <w:lang w:eastAsia="ru-RU"/>
              </w:rPr>
            </w:pPr>
            <w:r w:rsidRPr="001D0C26">
              <w:rPr>
                <w:rFonts w:ascii="Times New Roman" w:hAnsi="Times New Roman"/>
                <w:color w:val="000000"/>
                <w:sz w:val="24"/>
                <w:szCs w:val="24"/>
                <w:lang w:eastAsia="ru-RU"/>
              </w:rPr>
              <w:t>Прекращение электроснабжения</w:t>
            </w:r>
          </w:p>
        </w:tc>
        <w:tc>
          <w:tcPr>
            <w:tcW w:w="826"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75</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80</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90</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100</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w:t>
            </w:r>
          </w:p>
        </w:tc>
      </w:tr>
      <w:tr w:rsidR="002D1E45" w:rsidRPr="001D0C26" w:rsidTr="001D0C26">
        <w:trPr>
          <w:trHeight w:val="227"/>
          <w:jc w:val="center"/>
        </w:trPr>
        <w:tc>
          <w:tcPr>
            <w:tcW w:w="4673" w:type="dxa"/>
            <w:shd w:val="clear" w:color="auto" w:fill="FFFFFF"/>
            <w:vAlign w:val="center"/>
          </w:tcPr>
          <w:p w:rsidR="002D1E45" w:rsidRPr="001D0C26" w:rsidRDefault="002D1E45" w:rsidP="001D0C26">
            <w:pPr>
              <w:spacing w:after="0" w:line="240" w:lineRule="auto"/>
              <w:rPr>
                <w:rFonts w:ascii="Times New Roman" w:hAnsi="Times New Roman"/>
                <w:color w:val="000000"/>
                <w:sz w:val="24"/>
                <w:szCs w:val="24"/>
                <w:lang w:eastAsia="ru-RU"/>
              </w:rPr>
            </w:pPr>
            <w:r w:rsidRPr="001D0C26">
              <w:rPr>
                <w:rFonts w:ascii="Times New Roman" w:hAnsi="Times New Roman"/>
                <w:color w:val="000000"/>
                <w:sz w:val="24"/>
                <w:szCs w:val="24"/>
                <w:lang w:eastAsia="ru-RU"/>
              </w:rPr>
              <w:t>Прекращение телефонной связи</w:t>
            </w:r>
          </w:p>
        </w:tc>
        <w:tc>
          <w:tcPr>
            <w:tcW w:w="826"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75</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85</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100</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w:t>
            </w:r>
          </w:p>
        </w:tc>
      </w:tr>
      <w:tr w:rsidR="002D1E45" w:rsidRPr="001D0C26" w:rsidTr="001D0C26">
        <w:trPr>
          <w:trHeight w:val="227"/>
          <w:jc w:val="center"/>
        </w:trPr>
        <w:tc>
          <w:tcPr>
            <w:tcW w:w="4673" w:type="dxa"/>
            <w:shd w:val="clear" w:color="auto" w:fill="FFFFFF"/>
            <w:vAlign w:val="center"/>
          </w:tcPr>
          <w:p w:rsidR="002D1E45" w:rsidRPr="001D0C26" w:rsidRDefault="002D1E45" w:rsidP="001D0C26">
            <w:pPr>
              <w:spacing w:after="0" w:line="240" w:lineRule="auto"/>
              <w:rPr>
                <w:rFonts w:ascii="Times New Roman" w:hAnsi="Times New Roman"/>
                <w:color w:val="000000"/>
                <w:sz w:val="24"/>
                <w:szCs w:val="24"/>
                <w:lang w:eastAsia="ru-RU"/>
              </w:rPr>
            </w:pPr>
            <w:r w:rsidRPr="001D0C26">
              <w:rPr>
                <w:rFonts w:ascii="Times New Roman" w:hAnsi="Times New Roman"/>
                <w:color w:val="000000"/>
                <w:sz w:val="24"/>
                <w:szCs w:val="24"/>
                <w:lang w:eastAsia="ru-RU"/>
              </w:rPr>
              <w:t>Повреждение систем газо- и водоснабжения</w:t>
            </w:r>
          </w:p>
        </w:tc>
        <w:tc>
          <w:tcPr>
            <w:tcW w:w="826"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7</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10</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30</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70</w:t>
            </w:r>
          </w:p>
        </w:tc>
      </w:tr>
      <w:tr w:rsidR="002D1E45" w:rsidRPr="001D0C26" w:rsidTr="001D0C26">
        <w:trPr>
          <w:trHeight w:val="227"/>
          <w:jc w:val="center"/>
        </w:trPr>
        <w:tc>
          <w:tcPr>
            <w:tcW w:w="4673" w:type="dxa"/>
            <w:shd w:val="clear" w:color="auto" w:fill="FFFFFF"/>
            <w:vAlign w:val="center"/>
          </w:tcPr>
          <w:p w:rsidR="002D1E45" w:rsidRPr="001D0C26" w:rsidRDefault="002D1E45" w:rsidP="001D0C26">
            <w:pPr>
              <w:spacing w:after="0" w:line="240" w:lineRule="auto"/>
              <w:rPr>
                <w:rFonts w:ascii="Times New Roman" w:hAnsi="Times New Roman"/>
                <w:color w:val="000000"/>
                <w:sz w:val="24"/>
                <w:szCs w:val="24"/>
                <w:lang w:eastAsia="ru-RU"/>
              </w:rPr>
            </w:pPr>
            <w:r w:rsidRPr="001D0C26">
              <w:rPr>
                <w:rFonts w:ascii="Times New Roman" w:hAnsi="Times New Roman"/>
                <w:color w:val="000000"/>
                <w:sz w:val="24"/>
                <w:szCs w:val="24"/>
                <w:lang w:eastAsia="ru-RU"/>
              </w:rPr>
              <w:t>Гибель урожая</w:t>
            </w:r>
          </w:p>
        </w:tc>
        <w:tc>
          <w:tcPr>
            <w:tcW w:w="826"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3</w:t>
            </w:r>
          </w:p>
        </w:tc>
        <w:tc>
          <w:tcPr>
            <w:tcW w:w="827" w:type="dxa"/>
            <w:shd w:val="clear" w:color="auto" w:fill="FFFFFF"/>
            <w:vAlign w:val="center"/>
          </w:tcPr>
          <w:p w:rsidR="002D1E45" w:rsidRPr="001D0C26" w:rsidRDefault="002D1E45" w:rsidP="001D0C26">
            <w:pPr>
              <w:spacing w:after="0" w:line="240" w:lineRule="auto"/>
              <w:jc w:val="center"/>
              <w:rPr>
                <w:rFonts w:ascii="Times New Roman" w:hAnsi="Times New Roman"/>
                <w:color w:val="000000"/>
                <w:sz w:val="24"/>
                <w:szCs w:val="24"/>
                <w:lang w:eastAsia="ru-RU"/>
              </w:rPr>
            </w:pPr>
            <w:r w:rsidRPr="001D0C26">
              <w:rPr>
                <w:rFonts w:ascii="Times New Roman" w:hAnsi="Times New Roman"/>
                <w:color w:val="000000"/>
                <w:sz w:val="24"/>
                <w:szCs w:val="24"/>
                <w:lang w:eastAsia="ru-RU"/>
              </w:rPr>
              <w:t>8</w:t>
            </w:r>
          </w:p>
        </w:tc>
      </w:tr>
    </w:tbl>
    <w:p w:rsidR="002D1E45" w:rsidRPr="001D0C26" w:rsidRDefault="002D1E45" w:rsidP="001D0C26">
      <w:pPr>
        <w:spacing w:after="120" w:line="240" w:lineRule="auto"/>
        <w:jc w:val="center"/>
        <w:rPr>
          <w:rFonts w:ascii="Times New Roman" w:hAnsi="Times New Roman"/>
          <w:bCs/>
          <w:sz w:val="28"/>
          <w:szCs w:val="28"/>
          <w:lang w:eastAsia="ru-RU"/>
        </w:rPr>
      </w:pPr>
    </w:p>
    <w:p w:rsidR="002D1E45" w:rsidRPr="001D0C26" w:rsidRDefault="002D1E45" w:rsidP="001D0C26">
      <w:pPr>
        <w:spacing w:after="0" w:line="240" w:lineRule="auto"/>
        <w:ind w:firstLine="709"/>
        <w:jc w:val="both"/>
        <w:rPr>
          <w:rFonts w:ascii="Times New Roman" w:hAnsi="Times New Roman"/>
          <w:sz w:val="28"/>
          <w:szCs w:val="28"/>
        </w:rPr>
      </w:pPr>
      <w:r w:rsidRPr="001D0C26">
        <w:rPr>
          <w:rFonts w:ascii="Times New Roman" w:hAnsi="Times New Roman"/>
          <w:sz w:val="28"/>
          <w:szCs w:val="28"/>
        </w:rPr>
        <w:t>При авариях на гидродинамически опасных объектах в нижнем бьефе в результате стремительного падения воды из верхнего бьефа образуется волна прорыва. Поражающее её действие проявляется в виде непосредственного обрушения на людей и сооружения массы воды, движущейся с большой скоростью, и перемещаемых ею обломков зданий и сооружений, других предметов.</w:t>
      </w:r>
    </w:p>
    <w:p w:rsidR="002D1E45" w:rsidRPr="001D0C26" w:rsidRDefault="002D1E45" w:rsidP="001D0C26">
      <w:pPr>
        <w:spacing w:after="0" w:line="240" w:lineRule="auto"/>
        <w:ind w:firstLine="709"/>
        <w:jc w:val="both"/>
        <w:rPr>
          <w:rFonts w:ascii="Times New Roman" w:hAnsi="Times New Roman"/>
          <w:sz w:val="28"/>
          <w:szCs w:val="28"/>
        </w:rPr>
      </w:pPr>
      <w:r w:rsidRPr="001D0C26">
        <w:rPr>
          <w:rFonts w:ascii="Times New Roman" w:hAnsi="Times New Roman"/>
          <w:sz w:val="28"/>
          <w:szCs w:val="28"/>
        </w:rPr>
        <w:t>При катастрофическом затоплении угрозу жизни и здоровью людей, помимо воздействия волны прорыва, представляют пребывание в холодной воде, нервно-психическое перенапряжение, а также затопление (разрушение) систем, обеспечивающих жизнедеятельность населения.</w:t>
      </w:r>
    </w:p>
    <w:p w:rsidR="002D1E45" w:rsidRPr="001D0C26" w:rsidRDefault="002D1E45" w:rsidP="001D0C26">
      <w:pPr>
        <w:spacing w:after="0" w:line="240" w:lineRule="auto"/>
        <w:ind w:firstLine="709"/>
        <w:jc w:val="both"/>
        <w:rPr>
          <w:rFonts w:ascii="Times New Roman" w:hAnsi="Times New Roman"/>
          <w:sz w:val="28"/>
          <w:szCs w:val="28"/>
        </w:rPr>
      </w:pPr>
      <w:r w:rsidRPr="001D0C26">
        <w:rPr>
          <w:rFonts w:ascii="Times New Roman" w:hAnsi="Times New Roman"/>
          <w:sz w:val="28"/>
          <w:szCs w:val="28"/>
        </w:rPr>
        <w:t>Последствия аварий на гидродинамически опасных объектах могут быть трудно предсказуемы. Располагаясь, как правило, в черте населённых пунктов или выше их по течению и являясь объектами повышенного риска, они при разрушении могут привести к катастрофическому затоплению обширных территорий, объектов экономики, массовой гибели людей, сельскохозяйственного и рыбопромыслового производств.</w:t>
      </w:r>
    </w:p>
    <w:p w:rsidR="002D1E45" w:rsidRPr="001D0C26" w:rsidRDefault="002D1E45" w:rsidP="001D0C26">
      <w:pPr>
        <w:spacing w:after="0" w:line="240" w:lineRule="auto"/>
        <w:ind w:firstLine="709"/>
        <w:jc w:val="both"/>
        <w:rPr>
          <w:rFonts w:ascii="Times New Roman" w:hAnsi="Times New Roman"/>
          <w:sz w:val="28"/>
          <w:szCs w:val="28"/>
        </w:rPr>
      </w:pPr>
      <w:r w:rsidRPr="001D0C26">
        <w:rPr>
          <w:rFonts w:ascii="Times New Roman" w:hAnsi="Times New Roman"/>
          <w:sz w:val="28"/>
          <w:szCs w:val="28"/>
        </w:rPr>
        <w:t>В зонах катастрофического затопления возможно разрушение (размыв) систем водоснабжения, канализации, сливных коммуникаций, мест сбора мусора и прочих отбросов. В результате загрязнения зоны затопления возрастает опасность возникновения и распространения инфекционных заболеваний. Этому способствует также скопление населения на ограниченной территории при значительном ухудшении материально-бытовых условий жизни.</w:t>
      </w:r>
    </w:p>
    <w:p w:rsidR="002D1E45" w:rsidRPr="001D0C26" w:rsidRDefault="002D1E45" w:rsidP="001D0C26">
      <w:pPr>
        <w:spacing w:after="0" w:line="240" w:lineRule="auto"/>
        <w:ind w:firstLine="709"/>
        <w:jc w:val="both"/>
        <w:rPr>
          <w:rFonts w:ascii="Times New Roman" w:hAnsi="Times New Roman"/>
          <w:sz w:val="28"/>
          <w:szCs w:val="28"/>
          <w:lang w:eastAsia="ru-RU"/>
        </w:rPr>
      </w:pPr>
      <w:r w:rsidRPr="001D0C26">
        <w:rPr>
          <w:rFonts w:ascii="Times New Roman" w:hAnsi="Times New Roman"/>
          <w:sz w:val="28"/>
          <w:szCs w:val="28"/>
          <w:lang w:eastAsia="ru-RU"/>
        </w:rPr>
        <w:t>Правилами эксплуатации плотины определяется режим его работы, который должен обеспечивать:</w:t>
      </w:r>
    </w:p>
    <w:p w:rsidR="002D1E45" w:rsidRPr="001D0C26" w:rsidRDefault="002D1E45" w:rsidP="001D0C26">
      <w:pPr>
        <w:numPr>
          <w:ilvl w:val="0"/>
          <w:numId w:val="24"/>
        </w:numPr>
        <w:tabs>
          <w:tab w:val="left" w:pos="1134"/>
        </w:tabs>
        <w:spacing w:after="0" w:line="240" w:lineRule="auto"/>
        <w:jc w:val="both"/>
        <w:rPr>
          <w:rFonts w:ascii="Times New Roman" w:hAnsi="Times New Roman"/>
          <w:sz w:val="28"/>
          <w:szCs w:val="28"/>
          <w:lang w:eastAsia="ru-RU"/>
        </w:rPr>
      </w:pPr>
      <w:r w:rsidRPr="001D0C26">
        <w:rPr>
          <w:rFonts w:ascii="Times New Roman" w:hAnsi="Times New Roman"/>
          <w:sz w:val="28"/>
          <w:szCs w:val="28"/>
          <w:lang w:eastAsia="ru-RU"/>
        </w:rPr>
        <w:t>соблюдение требований к использованию водопользователями водных ресурсов (объём водопотребления);</w:t>
      </w:r>
    </w:p>
    <w:p w:rsidR="002D1E45" w:rsidRPr="001D0C26" w:rsidRDefault="002D1E45" w:rsidP="001D0C26">
      <w:pPr>
        <w:numPr>
          <w:ilvl w:val="0"/>
          <w:numId w:val="24"/>
        </w:numPr>
        <w:tabs>
          <w:tab w:val="left" w:pos="1134"/>
        </w:tabs>
        <w:spacing w:after="0" w:line="240" w:lineRule="auto"/>
        <w:jc w:val="both"/>
        <w:rPr>
          <w:rFonts w:ascii="Times New Roman" w:hAnsi="Times New Roman"/>
          <w:sz w:val="28"/>
          <w:szCs w:val="28"/>
          <w:lang w:eastAsia="ru-RU"/>
        </w:rPr>
      </w:pPr>
      <w:r w:rsidRPr="001D0C26">
        <w:rPr>
          <w:rFonts w:ascii="Times New Roman" w:hAnsi="Times New Roman"/>
          <w:sz w:val="28"/>
          <w:szCs w:val="28"/>
          <w:lang w:eastAsia="ru-RU"/>
        </w:rPr>
        <w:t xml:space="preserve">нормальные условия безопасной работы всех сооружений </w:t>
      </w:r>
      <w:r>
        <w:rPr>
          <w:rFonts w:ascii="Times New Roman" w:hAnsi="Times New Roman"/>
          <w:sz w:val="28"/>
          <w:szCs w:val="28"/>
          <w:lang w:eastAsia="ru-RU"/>
        </w:rPr>
        <w:t>дамбы</w:t>
      </w:r>
      <w:r w:rsidRPr="001D0C26">
        <w:rPr>
          <w:rFonts w:ascii="Times New Roman" w:hAnsi="Times New Roman"/>
          <w:sz w:val="28"/>
          <w:szCs w:val="28"/>
          <w:lang w:eastAsia="ru-RU"/>
        </w:rPr>
        <w:t>;</w:t>
      </w:r>
    </w:p>
    <w:p w:rsidR="002D1E45" w:rsidRPr="001D0C26" w:rsidRDefault="002D1E45" w:rsidP="001D0C26">
      <w:pPr>
        <w:numPr>
          <w:ilvl w:val="0"/>
          <w:numId w:val="24"/>
        </w:numPr>
        <w:tabs>
          <w:tab w:val="left" w:pos="1134"/>
        </w:tabs>
        <w:spacing w:after="0" w:line="240" w:lineRule="auto"/>
        <w:jc w:val="both"/>
        <w:rPr>
          <w:rFonts w:ascii="Times New Roman" w:hAnsi="Times New Roman"/>
          <w:sz w:val="28"/>
          <w:szCs w:val="28"/>
          <w:lang w:eastAsia="ru-RU"/>
        </w:rPr>
      </w:pPr>
      <w:r w:rsidRPr="001D0C26">
        <w:rPr>
          <w:rFonts w:ascii="Times New Roman" w:hAnsi="Times New Roman"/>
          <w:sz w:val="28"/>
          <w:szCs w:val="28"/>
          <w:lang w:eastAsia="ru-RU"/>
        </w:rPr>
        <w:t>организация системы наблюдения за состоянием акватории, прибрежной зоны в целях предотвращения заиливания и зарастания растительностью;</w:t>
      </w:r>
    </w:p>
    <w:p w:rsidR="002D1E45" w:rsidRPr="001D0C26" w:rsidRDefault="002D1E45" w:rsidP="001D0C26">
      <w:pPr>
        <w:numPr>
          <w:ilvl w:val="0"/>
          <w:numId w:val="24"/>
        </w:numPr>
        <w:tabs>
          <w:tab w:val="left" w:pos="1134"/>
        </w:tabs>
        <w:spacing w:after="0" w:line="240" w:lineRule="auto"/>
        <w:jc w:val="both"/>
        <w:rPr>
          <w:rFonts w:ascii="Times New Roman" w:hAnsi="Times New Roman"/>
          <w:sz w:val="28"/>
          <w:szCs w:val="28"/>
          <w:lang w:eastAsia="ru-RU"/>
        </w:rPr>
      </w:pPr>
      <w:r w:rsidRPr="001D0C26">
        <w:rPr>
          <w:rFonts w:ascii="Times New Roman" w:hAnsi="Times New Roman"/>
          <w:sz w:val="28"/>
          <w:szCs w:val="28"/>
          <w:lang w:eastAsia="ru-RU"/>
        </w:rPr>
        <w:t xml:space="preserve">организация мероприятий, обеспечивающих надлежащее техническое и санитарное состояние </w:t>
      </w:r>
      <w:r>
        <w:rPr>
          <w:rFonts w:ascii="Times New Roman" w:hAnsi="Times New Roman"/>
          <w:sz w:val="28"/>
          <w:szCs w:val="28"/>
          <w:lang w:eastAsia="ru-RU"/>
        </w:rPr>
        <w:t>дамбы.</w:t>
      </w:r>
    </w:p>
    <w:p w:rsidR="002D1E45" w:rsidRPr="001D0C26" w:rsidRDefault="002D1E45" w:rsidP="001D0C26">
      <w:pPr>
        <w:spacing w:after="0" w:line="240" w:lineRule="auto"/>
        <w:ind w:firstLine="709"/>
        <w:jc w:val="both"/>
        <w:rPr>
          <w:rFonts w:ascii="Times New Roman" w:hAnsi="Times New Roman"/>
          <w:sz w:val="28"/>
          <w:szCs w:val="28"/>
        </w:rPr>
      </w:pPr>
      <w:r w:rsidRPr="001D0C26">
        <w:rPr>
          <w:rFonts w:ascii="Times New Roman" w:hAnsi="Times New Roman"/>
          <w:sz w:val="28"/>
          <w:szCs w:val="28"/>
        </w:rPr>
        <w:t>Основные мероприятия по защите населения:</w:t>
      </w:r>
    </w:p>
    <w:p w:rsidR="002D1E45" w:rsidRPr="001D0C26" w:rsidRDefault="002D1E45" w:rsidP="001D0C26">
      <w:pPr>
        <w:numPr>
          <w:ilvl w:val="0"/>
          <w:numId w:val="24"/>
        </w:numPr>
        <w:tabs>
          <w:tab w:val="left" w:pos="1134"/>
        </w:tabs>
        <w:spacing w:after="0" w:line="240" w:lineRule="auto"/>
        <w:jc w:val="both"/>
        <w:rPr>
          <w:rFonts w:ascii="Times New Roman" w:hAnsi="Times New Roman"/>
          <w:sz w:val="28"/>
          <w:szCs w:val="28"/>
          <w:lang w:eastAsia="ru-RU"/>
        </w:rPr>
      </w:pPr>
      <w:r w:rsidRPr="001D0C26">
        <w:rPr>
          <w:rFonts w:ascii="Times New Roman" w:hAnsi="Times New Roman"/>
          <w:sz w:val="28"/>
          <w:szCs w:val="28"/>
          <w:lang w:eastAsia="ru-RU"/>
        </w:rPr>
        <w:t>оповещение населения об угрозе катастрофического затопления;</w:t>
      </w:r>
    </w:p>
    <w:p w:rsidR="002D1E45" w:rsidRPr="001D0C26" w:rsidRDefault="002D1E45" w:rsidP="001D0C26">
      <w:pPr>
        <w:numPr>
          <w:ilvl w:val="0"/>
          <w:numId w:val="24"/>
        </w:numPr>
        <w:tabs>
          <w:tab w:val="left" w:pos="1134"/>
        </w:tabs>
        <w:spacing w:after="0" w:line="240" w:lineRule="auto"/>
        <w:jc w:val="both"/>
        <w:rPr>
          <w:rFonts w:ascii="Times New Roman" w:hAnsi="Times New Roman"/>
          <w:sz w:val="28"/>
          <w:szCs w:val="28"/>
          <w:lang w:eastAsia="ru-RU"/>
        </w:rPr>
      </w:pPr>
      <w:r w:rsidRPr="001D0C26">
        <w:rPr>
          <w:rFonts w:ascii="Times New Roman" w:hAnsi="Times New Roman"/>
          <w:sz w:val="28"/>
          <w:szCs w:val="28"/>
          <w:lang w:eastAsia="ru-RU"/>
        </w:rPr>
        <w:t>самостоятельный выход населения из зоны возможного катастрофического затопления до подхода волны прорыва;</w:t>
      </w:r>
    </w:p>
    <w:p w:rsidR="002D1E45" w:rsidRPr="001D0C26" w:rsidRDefault="002D1E45" w:rsidP="001D0C26">
      <w:pPr>
        <w:numPr>
          <w:ilvl w:val="0"/>
          <w:numId w:val="24"/>
        </w:numPr>
        <w:tabs>
          <w:tab w:val="left" w:pos="1134"/>
        </w:tabs>
        <w:spacing w:after="0" w:line="240" w:lineRule="auto"/>
        <w:jc w:val="both"/>
        <w:rPr>
          <w:rFonts w:ascii="Times New Roman" w:hAnsi="Times New Roman"/>
          <w:sz w:val="28"/>
          <w:szCs w:val="28"/>
          <w:lang w:eastAsia="ru-RU"/>
        </w:rPr>
      </w:pPr>
      <w:r w:rsidRPr="001D0C26">
        <w:rPr>
          <w:rFonts w:ascii="Times New Roman" w:hAnsi="Times New Roman"/>
          <w:sz w:val="28"/>
          <w:szCs w:val="28"/>
          <w:lang w:eastAsia="ru-RU"/>
        </w:rPr>
        <w:t>организованная эвакуация населения в безопасные районы до подхода волны прорыва;</w:t>
      </w:r>
    </w:p>
    <w:p w:rsidR="002D1E45" w:rsidRPr="001D0C26" w:rsidRDefault="002D1E45" w:rsidP="001D0C26">
      <w:pPr>
        <w:numPr>
          <w:ilvl w:val="0"/>
          <w:numId w:val="24"/>
        </w:numPr>
        <w:tabs>
          <w:tab w:val="left" w:pos="1134"/>
        </w:tabs>
        <w:spacing w:after="0" w:line="240" w:lineRule="auto"/>
        <w:jc w:val="both"/>
        <w:rPr>
          <w:rFonts w:ascii="Times New Roman" w:hAnsi="Times New Roman"/>
          <w:sz w:val="28"/>
          <w:szCs w:val="28"/>
          <w:lang w:eastAsia="ru-RU"/>
        </w:rPr>
      </w:pPr>
      <w:r w:rsidRPr="001D0C26">
        <w:rPr>
          <w:rFonts w:ascii="Times New Roman" w:hAnsi="Times New Roman"/>
          <w:sz w:val="28"/>
          <w:szCs w:val="28"/>
          <w:lang w:eastAsia="ru-RU"/>
        </w:rPr>
        <w:t>укрытие населения на незатопленных частях зданий и сооружений, а также на возвышенных участках местности;</w:t>
      </w:r>
    </w:p>
    <w:p w:rsidR="002D1E45" w:rsidRPr="001D0C26" w:rsidRDefault="002D1E45" w:rsidP="001D0C26">
      <w:pPr>
        <w:numPr>
          <w:ilvl w:val="0"/>
          <w:numId w:val="24"/>
        </w:numPr>
        <w:tabs>
          <w:tab w:val="left" w:pos="1134"/>
        </w:tabs>
        <w:spacing w:after="0" w:line="240" w:lineRule="auto"/>
        <w:jc w:val="both"/>
        <w:rPr>
          <w:rFonts w:ascii="Times New Roman" w:hAnsi="Times New Roman"/>
          <w:sz w:val="28"/>
          <w:szCs w:val="28"/>
          <w:lang w:eastAsia="ru-RU"/>
        </w:rPr>
      </w:pPr>
      <w:r w:rsidRPr="001D0C26">
        <w:rPr>
          <w:rFonts w:ascii="Times New Roman" w:hAnsi="Times New Roman"/>
          <w:sz w:val="28"/>
          <w:szCs w:val="28"/>
          <w:lang w:eastAsia="ru-RU"/>
        </w:rPr>
        <w:t>проведение аварийно-спасательных работ;</w:t>
      </w:r>
    </w:p>
    <w:p w:rsidR="002D1E45" w:rsidRPr="001D0C26" w:rsidRDefault="002D1E45" w:rsidP="001D0C26">
      <w:pPr>
        <w:numPr>
          <w:ilvl w:val="0"/>
          <w:numId w:val="24"/>
        </w:numPr>
        <w:tabs>
          <w:tab w:val="left" w:pos="1134"/>
        </w:tabs>
        <w:spacing w:after="0" w:line="240" w:lineRule="auto"/>
        <w:jc w:val="both"/>
        <w:rPr>
          <w:rFonts w:ascii="Times New Roman" w:hAnsi="Times New Roman"/>
          <w:sz w:val="28"/>
          <w:szCs w:val="28"/>
          <w:lang w:eastAsia="ru-RU"/>
        </w:rPr>
      </w:pPr>
      <w:r w:rsidRPr="001D0C26">
        <w:rPr>
          <w:rFonts w:ascii="Times New Roman" w:hAnsi="Times New Roman"/>
          <w:sz w:val="28"/>
          <w:szCs w:val="28"/>
          <w:lang w:eastAsia="ru-RU"/>
        </w:rPr>
        <w:t>оказание квалифицированной и специализированной помощи пострадавшим;</w:t>
      </w:r>
    </w:p>
    <w:p w:rsidR="002D1E45" w:rsidRPr="001D0C26" w:rsidRDefault="002D1E45" w:rsidP="001D0C26">
      <w:pPr>
        <w:numPr>
          <w:ilvl w:val="0"/>
          <w:numId w:val="24"/>
        </w:numPr>
        <w:tabs>
          <w:tab w:val="left" w:pos="1134"/>
        </w:tabs>
        <w:spacing w:after="0" w:line="240" w:lineRule="auto"/>
        <w:jc w:val="both"/>
        <w:rPr>
          <w:rFonts w:ascii="Times New Roman" w:hAnsi="Times New Roman"/>
          <w:sz w:val="28"/>
          <w:szCs w:val="28"/>
          <w:lang w:eastAsia="ru-RU"/>
        </w:rPr>
      </w:pPr>
      <w:r w:rsidRPr="001D0C26">
        <w:rPr>
          <w:rFonts w:ascii="Times New Roman" w:hAnsi="Times New Roman"/>
          <w:sz w:val="28"/>
          <w:szCs w:val="28"/>
          <w:lang w:eastAsia="ru-RU"/>
        </w:rPr>
        <w:t>проведение неотложных работ по обеспечению жизнедеятельности населения.</w:t>
      </w:r>
    </w:p>
    <w:p w:rsidR="002D1E45" w:rsidRPr="001D0C26" w:rsidRDefault="002D1E45" w:rsidP="001D0C26">
      <w:pPr>
        <w:spacing w:after="0" w:line="240" w:lineRule="auto"/>
        <w:ind w:firstLine="709"/>
        <w:jc w:val="both"/>
        <w:rPr>
          <w:rFonts w:ascii="Times New Roman" w:hAnsi="Times New Roman"/>
          <w:sz w:val="28"/>
          <w:szCs w:val="28"/>
        </w:rPr>
      </w:pPr>
      <w:r w:rsidRPr="001D0C26">
        <w:rPr>
          <w:rFonts w:ascii="Times New Roman" w:hAnsi="Times New Roman"/>
          <w:sz w:val="28"/>
          <w:szCs w:val="28"/>
        </w:rPr>
        <w:t>Населению, проживающему вблизи гидродинамически опасных объектов, необходимо заблаговременно ознакомиться с системой предупреждения. Для оповещения об опасности могут использоваться сирены, телефон, радио, телевидение или средства громкоговорящей связи.</w:t>
      </w:r>
    </w:p>
    <w:p w:rsidR="002D1E45" w:rsidRPr="001D0C26" w:rsidRDefault="002D1E45" w:rsidP="001D0C26">
      <w:pPr>
        <w:spacing w:after="0" w:line="240" w:lineRule="auto"/>
        <w:ind w:firstLine="709"/>
        <w:jc w:val="both"/>
        <w:rPr>
          <w:rFonts w:ascii="Times New Roman" w:hAnsi="Times New Roman"/>
          <w:sz w:val="28"/>
          <w:szCs w:val="28"/>
        </w:rPr>
      </w:pPr>
      <w:r w:rsidRPr="001D0C26">
        <w:rPr>
          <w:rFonts w:ascii="Times New Roman" w:hAnsi="Times New Roman"/>
          <w:sz w:val="28"/>
          <w:szCs w:val="28"/>
        </w:rPr>
        <w:t>Следует заранее спланировать несколько возможных маршрутов эвакуации на возвышенные участки местности, составить список необходимых вещей.</w:t>
      </w:r>
    </w:p>
    <w:p w:rsidR="002D1E45" w:rsidRPr="001D0C26" w:rsidRDefault="002D1E45" w:rsidP="001D0C26">
      <w:pPr>
        <w:spacing w:after="0" w:line="240" w:lineRule="auto"/>
        <w:ind w:firstLine="709"/>
        <w:jc w:val="both"/>
        <w:rPr>
          <w:rFonts w:ascii="Times New Roman" w:hAnsi="Times New Roman"/>
          <w:sz w:val="28"/>
          <w:szCs w:val="28"/>
        </w:rPr>
      </w:pPr>
      <w:r w:rsidRPr="001D0C26">
        <w:rPr>
          <w:rFonts w:ascii="Times New Roman" w:hAnsi="Times New Roman"/>
          <w:sz w:val="28"/>
          <w:szCs w:val="28"/>
        </w:rPr>
        <w:t xml:space="preserve">При внезапной опасности разрушения </w:t>
      </w:r>
      <w:r>
        <w:rPr>
          <w:rFonts w:ascii="Times New Roman" w:hAnsi="Times New Roman"/>
          <w:sz w:val="28"/>
          <w:szCs w:val="28"/>
          <w:lang w:eastAsia="ru-RU"/>
        </w:rPr>
        <w:t>дамбы</w:t>
      </w:r>
      <w:r w:rsidRPr="001D0C26">
        <w:rPr>
          <w:rFonts w:ascii="Times New Roman" w:hAnsi="Times New Roman"/>
          <w:sz w:val="28"/>
          <w:szCs w:val="28"/>
        </w:rPr>
        <w:t xml:space="preserve"> необходимо немедленно эвакуироваться на ближайший возвышенный участок местности. Следует оставаться в безопасном месте до прибытия спасателей или до тех пор, пока вода не спадёт или не будет передано официальное сообщение о том, что опасность миновала.</w:t>
      </w:r>
    </w:p>
    <w:p w:rsidR="002D1E45" w:rsidRPr="001D0C26" w:rsidRDefault="002D1E45" w:rsidP="001D0C26">
      <w:pPr>
        <w:spacing w:after="0" w:line="240" w:lineRule="auto"/>
        <w:ind w:firstLine="709"/>
        <w:jc w:val="both"/>
        <w:rPr>
          <w:rFonts w:ascii="Times New Roman" w:hAnsi="Times New Roman"/>
          <w:sz w:val="28"/>
          <w:szCs w:val="28"/>
        </w:rPr>
      </w:pPr>
      <w:r w:rsidRPr="001D0C26">
        <w:rPr>
          <w:rFonts w:ascii="Times New Roman" w:hAnsi="Times New Roman"/>
          <w:sz w:val="28"/>
          <w:szCs w:val="28"/>
        </w:rPr>
        <w:t>Самоэвакуация населения на незатопленную территорию проводится в случае утраты уверенности в получении помощи со стороны. Для самоэвакуации по воде используются личные лодки или катера, плоты из брёвен и подручных материалов. Порядок самоэвакуации такой же, как при наводнениях.</w:t>
      </w:r>
    </w:p>
    <w:p w:rsidR="002D1E45" w:rsidRPr="001D0C26" w:rsidRDefault="002D1E45" w:rsidP="001D0C26">
      <w:pPr>
        <w:spacing w:after="0" w:line="240" w:lineRule="auto"/>
        <w:ind w:firstLine="709"/>
        <w:jc w:val="both"/>
        <w:rPr>
          <w:rFonts w:ascii="Times New Roman" w:hAnsi="Times New Roman"/>
          <w:sz w:val="28"/>
          <w:szCs w:val="28"/>
        </w:rPr>
      </w:pPr>
      <w:r w:rsidRPr="001D0C26">
        <w:rPr>
          <w:rFonts w:ascii="Times New Roman" w:hAnsi="Times New Roman"/>
          <w:sz w:val="28"/>
          <w:szCs w:val="28"/>
        </w:rPr>
        <w:t>После спада воды следует остерегаться оборванных и провисших проводов и немедленно сообщать о таких повреждениях, а также о разрушении канализационных или водопроводных магистралей в соответствующие коммунальные службы. Нельзя употреблять в пищу продукты, которые находились в контакте с водными потоками. Перед употреблением необходимо проверить всю питьевую воду; колодцы осушить.</w:t>
      </w:r>
    </w:p>
    <w:p w:rsidR="002D1E45" w:rsidRPr="001D0C26" w:rsidRDefault="002D1E45" w:rsidP="001D0C26">
      <w:pPr>
        <w:spacing w:after="0" w:line="240" w:lineRule="auto"/>
        <w:ind w:firstLine="709"/>
        <w:jc w:val="both"/>
        <w:rPr>
          <w:rFonts w:ascii="Times New Roman" w:hAnsi="Times New Roman"/>
          <w:sz w:val="28"/>
          <w:szCs w:val="28"/>
        </w:rPr>
      </w:pPr>
      <w:r w:rsidRPr="001D0C26">
        <w:rPr>
          <w:rFonts w:ascii="Times New Roman" w:hAnsi="Times New Roman"/>
          <w:sz w:val="28"/>
          <w:szCs w:val="28"/>
        </w:rPr>
        <w:t>Прежде чем войти в здание, надо осмотреть конструктивные повреждения и убедиться, что нет опасности разрушения. Затем в течение нескольких минут помещение необходимо проветрить. В качестве источника света не следует пользоваться спичками или светильниками. Рекомендуется применять фонари на батарейках. Нельзя включать источники электроэнергии, пока не будет проверена электрическая сеть. Надо открыть все двери и окна для просушки полов и стен здания, убрать весь влажный мусор.</w:t>
      </w:r>
    </w:p>
    <w:p w:rsidR="002D1E45" w:rsidRPr="001F6325" w:rsidRDefault="002D1E45" w:rsidP="001F6325">
      <w:pPr>
        <w:spacing w:after="0" w:line="240" w:lineRule="auto"/>
        <w:ind w:firstLine="709"/>
        <w:jc w:val="both"/>
        <w:rPr>
          <w:rFonts w:ascii="Times New Roman" w:hAnsi="Times New Roman"/>
          <w:sz w:val="28"/>
          <w:szCs w:val="28"/>
        </w:rPr>
      </w:pPr>
      <w:r w:rsidRPr="001F6325">
        <w:rPr>
          <w:rFonts w:ascii="Times New Roman" w:hAnsi="Times New Roman"/>
          <w:sz w:val="28"/>
          <w:szCs w:val="28"/>
        </w:rPr>
        <w:t xml:space="preserve">К особо опасным </w:t>
      </w:r>
      <w:r w:rsidRPr="001F6325">
        <w:rPr>
          <w:rFonts w:ascii="Times New Roman" w:hAnsi="Times New Roman"/>
          <w:i/>
          <w:sz w:val="28"/>
          <w:szCs w:val="28"/>
          <w:u w:val="single"/>
        </w:rPr>
        <w:t>угрозам террористического характера</w:t>
      </w:r>
      <w:r w:rsidRPr="001F6325">
        <w:rPr>
          <w:rFonts w:ascii="Times New Roman" w:hAnsi="Times New Roman"/>
          <w:sz w:val="28"/>
          <w:szCs w:val="28"/>
        </w:rPr>
        <w:t xml:space="preserve"> относятся: </w:t>
      </w:r>
    </w:p>
    <w:p w:rsidR="002D1E45" w:rsidRPr="001F6325" w:rsidRDefault="002D1E45" w:rsidP="001F6325">
      <w:pPr>
        <w:numPr>
          <w:ilvl w:val="0"/>
          <w:numId w:val="24"/>
        </w:numPr>
        <w:spacing w:after="0" w:line="240" w:lineRule="auto"/>
        <w:jc w:val="both"/>
        <w:rPr>
          <w:rFonts w:ascii="Times New Roman" w:hAnsi="Times New Roman"/>
          <w:sz w:val="28"/>
          <w:szCs w:val="28"/>
        </w:rPr>
      </w:pPr>
      <w:r w:rsidRPr="001F6325">
        <w:rPr>
          <w:rFonts w:ascii="Times New Roman" w:hAnsi="Times New Roman"/>
          <w:sz w:val="28"/>
          <w:szCs w:val="28"/>
        </w:rPr>
        <w:t>взрывы в</w:t>
      </w:r>
      <w:r>
        <w:rPr>
          <w:rFonts w:ascii="Times New Roman" w:hAnsi="Times New Roman"/>
          <w:sz w:val="28"/>
          <w:szCs w:val="28"/>
        </w:rPr>
        <w:t> </w:t>
      </w:r>
      <w:r w:rsidRPr="001F6325">
        <w:rPr>
          <w:rFonts w:ascii="Times New Roman" w:hAnsi="Times New Roman"/>
          <w:sz w:val="28"/>
          <w:szCs w:val="28"/>
        </w:rPr>
        <w:t>местах массового скопления людей и</w:t>
      </w:r>
      <w:r>
        <w:rPr>
          <w:rFonts w:ascii="Times New Roman" w:hAnsi="Times New Roman"/>
          <w:sz w:val="28"/>
          <w:szCs w:val="28"/>
        </w:rPr>
        <w:t> </w:t>
      </w:r>
      <w:r w:rsidRPr="001F6325">
        <w:rPr>
          <w:rFonts w:ascii="Times New Roman" w:hAnsi="Times New Roman"/>
          <w:sz w:val="28"/>
          <w:szCs w:val="28"/>
        </w:rPr>
        <w:t>применение в</w:t>
      </w:r>
      <w:r>
        <w:rPr>
          <w:rFonts w:ascii="Times New Roman" w:hAnsi="Times New Roman"/>
          <w:sz w:val="28"/>
          <w:szCs w:val="28"/>
        </w:rPr>
        <w:t> </w:t>
      </w:r>
      <w:r w:rsidRPr="001F6325">
        <w:rPr>
          <w:rFonts w:ascii="Times New Roman" w:hAnsi="Times New Roman"/>
          <w:sz w:val="28"/>
          <w:szCs w:val="28"/>
        </w:rPr>
        <w:t>этих местах химических, бактериологических или радиационно-опасных веществ;</w:t>
      </w:r>
    </w:p>
    <w:p w:rsidR="002D1E45" w:rsidRPr="001F6325" w:rsidRDefault="002D1E45" w:rsidP="001F6325">
      <w:pPr>
        <w:numPr>
          <w:ilvl w:val="0"/>
          <w:numId w:val="24"/>
        </w:numPr>
        <w:spacing w:after="0" w:line="240" w:lineRule="auto"/>
        <w:jc w:val="both"/>
        <w:rPr>
          <w:rFonts w:ascii="Times New Roman" w:hAnsi="Times New Roman"/>
          <w:sz w:val="28"/>
          <w:szCs w:val="28"/>
        </w:rPr>
      </w:pPr>
      <w:r w:rsidRPr="001F6325">
        <w:rPr>
          <w:rFonts w:ascii="Times New Roman" w:hAnsi="Times New Roman"/>
          <w:sz w:val="28"/>
          <w:szCs w:val="28"/>
        </w:rPr>
        <w:t>захват транспортных средств для перевозки людей, похищение людей, захват заложников;</w:t>
      </w:r>
    </w:p>
    <w:p w:rsidR="002D1E45" w:rsidRPr="001F6325" w:rsidRDefault="002D1E45" w:rsidP="001F6325">
      <w:pPr>
        <w:numPr>
          <w:ilvl w:val="0"/>
          <w:numId w:val="24"/>
        </w:numPr>
        <w:spacing w:after="0" w:line="240" w:lineRule="auto"/>
        <w:jc w:val="both"/>
        <w:rPr>
          <w:rFonts w:ascii="Times New Roman" w:hAnsi="Times New Roman"/>
          <w:sz w:val="28"/>
          <w:szCs w:val="28"/>
        </w:rPr>
      </w:pPr>
      <w:r w:rsidRPr="001F6325">
        <w:rPr>
          <w:rFonts w:ascii="Times New Roman" w:hAnsi="Times New Roman"/>
          <w:sz w:val="28"/>
          <w:szCs w:val="28"/>
        </w:rPr>
        <w:t>нападение на</w:t>
      </w:r>
      <w:r>
        <w:rPr>
          <w:rFonts w:ascii="Times New Roman" w:hAnsi="Times New Roman"/>
          <w:sz w:val="28"/>
          <w:szCs w:val="28"/>
        </w:rPr>
        <w:t> </w:t>
      </w:r>
      <w:r w:rsidRPr="001F6325">
        <w:rPr>
          <w:rFonts w:ascii="Times New Roman" w:hAnsi="Times New Roman"/>
          <w:sz w:val="28"/>
          <w:szCs w:val="28"/>
        </w:rPr>
        <w:t>объекты, потенциально опасные для жизни населения в</w:t>
      </w:r>
      <w:r>
        <w:rPr>
          <w:rFonts w:ascii="Times New Roman" w:hAnsi="Times New Roman"/>
          <w:sz w:val="28"/>
          <w:szCs w:val="28"/>
        </w:rPr>
        <w:t> </w:t>
      </w:r>
      <w:r w:rsidRPr="001F6325">
        <w:rPr>
          <w:rFonts w:ascii="Times New Roman" w:hAnsi="Times New Roman"/>
          <w:sz w:val="28"/>
          <w:szCs w:val="28"/>
        </w:rPr>
        <w:t>случае их</w:t>
      </w:r>
      <w:r>
        <w:rPr>
          <w:rFonts w:ascii="Times New Roman" w:hAnsi="Times New Roman"/>
          <w:sz w:val="28"/>
          <w:szCs w:val="28"/>
        </w:rPr>
        <w:t> </w:t>
      </w:r>
      <w:r w:rsidRPr="001F6325">
        <w:rPr>
          <w:rFonts w:ascii="Times New Roman" w:hAnsi="Times New Roman"/>
          <w:sz w:val="28"/>
          <w:szCs w:val="28"/>
        </w:rPr>
        <w:t>разрушения или нарушения технологического режима;</w:t>
      </w:r>
    </w:p>
    <w:p w:rsidR="002D1E45" w:rsidRPr="001F6325" w:rsidRDefault="002D1E45" w:rsidP="001F6325">
      <w:pPr>
        <w:numPr>
          <w:ilvl w:val="0"/>
          <w:numId w:val="24"/>
        </w:numPr>
        <w:spacing w:after="0" w:line="240" w:lineRule="auto"/>
        <w:jc w:val="both"/>
        <w:rPr>
          <w:rFonts w:ascii="Times New Roman" w:hAnsi="Times New Roman"/>
          <w:sz w:val="28"/>
          <w:szCs w:val="28"/>
        </w:rPr>
      </w:pPr>
      <w:r w:rsidRPr="001F6325">
        <w:rPr>
          <w:rFonts w:ascii="Times New Roman" w:hAnsi="Times New Roman"/>
          <w:sz w:val="28"/>
          <w:szCs w:val="28"/>
        </w:rPr>
        <w:t>отравление систем централизованного водоснабжения, продуктов питания, искусственное распространение возбудителей инфекционных болезней;</w:t>
      </w:r>
    </w:p>
    <w:p w:rsidR="002D1E45" w:rsidRPr="001F6325" w:rsidRDefault="002D1E45" w:rsidP="001F6325">
      <w:pPr>
        <w:numPr>
          <w:ilvl w:val="0"/>
          <w:numId w:val="24"/>
        </w:numPr>
        <w:spacing w:after="0" w:line="240" w:lineRule="auto"/>
        <w:jc w:val="both"/>
        <w:rPr>
          <w:rFonts w:ascii="Times New Roman" w:hAnsi="Times New Roman"/>
          <w:sz w:val="28"/>
          <w:szCs w:val="28"/>
        </w:rPr>
      </w:pPr>
      <w:r w:rsidRPr="001F6325">
        <w:rPr>
          <w:rFonts w:ascii="Times New Roman" w:hAnsi="Times New Roman"/>
          <w:sz w:val="28"/>
          <w:szCs w:val="28"/>
        </w:rPr>
        <w:t>проникновение в</w:t>
      </w:r>
      <w:r>
        <w:rPr>
          <w:rFonts w:ascii="Times New Roman" w:hAnsi="Times New Roman"/>
          <w:sz w:val="28"/>
          <w:szCs w:val="28"/>
        </w:rPr>
        <w:t> </w:t>
      </w:r>
      <w:r w:rsidRPr="001F6325">
        <w:rPr>
          <w:rFonts w:ascii="Times New Roman" w:hAnsi="Times New Roman"/>
          <w:sz w:val="28"/>
          <w:szCs w:val="28"/>
        </w:rPr>
        <w:t>информационные сети и</w:t>
      </w:r>
      <w:r>
        <w:rPr>
          <w:rFonts w:ascii="Times New Roman" w:hAnsi="Times New Roman"/>
          <w:sz w:val="28"/>
          <w:szCs w:val="28"/>
        </w:rPr>
        <w:t> </w:t>
      </w:r>
      <w:r w:rsidRPr="001F6325">
        <w:rPr>
          <w:rFonts w:ascii="Times New Roman" w:hAnsi="Times New Roman"/>
          <w:sz w:val="28"/>
          <w:szCs w:val="28"/>
        </w:rPr>
        <w:t>телекоммуникационные системы с</w:t>
      </w:r>
      <w:r>
        <w:rPr>
          <w:rFonts w:ascii="Times New Roman" w:hAnsi="Times New Roman"/>
          <w:sz w:val="28"/>
          <w:szCs w:val="28"/>
        </w:rPr>
        <w:t> </w:t>
      </w:r>
      <w:r w:rsidRPr="001F6325">
        <w:rPr>
          <w:rFonts w:ascii="Times New Roman" w:hAnsi="Times New Roman"/>
          <w:sz w:val="28"/>
          <w:szCs w:val="28"/>
        </w:rPr>
        <w:t>целью дезорганизации их</w:t>
      </w:r>
      <w:r>
        <w:rPr>
          <w:rFonts w:ascii="Times New Roman" w:hAnsi="Times New Roman"/>
          <w:sz w:val="28"/>
          <w:szCs w:val="28"/>
        </w:rPr>
        <w:t> </w:t>
      </w:r>
      <w:r w:rsidRPr="001F6325">
        <w:rPr>
          <w:rFonts w:ascii="Times New Roman" w:hAnsi="Times New Roman"/>
          <w:sz w:val="28"/>
          <w:szCs w:val="28"/>
        </w:rPr>
        <w:t>работы вплоть до</w:t>
      </w:r>
      <w:r>
        <w:rPr>
          <w:rFonts w:ascii="Times New Roman" w:hAnsi="Times New Roman"/>
          <w:sz w:val="28"/>
          <w:szCs w:val="28"/>
        </w:rPr>
        <w:t> </w:t>
      </w:r>
      <w:r w:rsidRPr="001F6325">
        <w:rPr>
          <w:rFonts w:ascii="Times New Roman" w:hAnsi="Times New Roman"/>
          <w:sz w:val="28"/>
          <w:szCs w:val="28"/>
        </w:rPr>
        <w:t>вывода из</w:t>
      </w:r>
      <w:r>
        <w:rPr>
          <w:rFonts w:ascii="Times New Roman" w:hAnsi="Times New Roman"/>
          <w:sz w:val="28"/>
          <w:szCs w:val="28"/>
        </w:rPr>
        <w:t> </w:t>
      </w:r>
      <w:r w:rsidRPr="001F6325">
        <w:rPr>
          <w:rFonts w:ascii="Times New Roman" w:hAnsi="Times New Roman"/>
          <w:sz w:val="28"/>
          <w:szCs w:val="28"/>
        </w:rPr>
        <w:t>строя.</w:t>
      </w:r>
    </w:p>
    <w:p w:rsidR="002D1E45" w:rsidRPr="001F6325" w:rsidRDefault="002D1E45" w:rsidP="001F6325">
      <w:pPr>
        <w:spacing w:after="0" w:line="240" w:lineRule="auto"/>
        <w:ind w:firstLine="709"/>
        <w:jc w:val="both"/>
        <w:rPr>
          <w:rFonts w:ascii="Times New Roman" w:hAnsi="Times New Roman"/>
          <w:sz w:val="28"/>
          <w:szCs w:val="28"/>
        </w:rPr>
      </w:pPr>
      <w:r w:rsidRPr="001F6325">
        <w:rPr>
          <w:rFonts w:ascii="Times New Roman" w:hAnsi="Times New Roman"/>
          <w:sz w:val="28"/>
          <w:szCs w:val="28"/>
        </w:rPr>
        <w:t>Одной из</w:t>
      </w:r>
      <w:r>
        <w:rPr>
          <w:rFonts w:ascii="Times New Roman" w:hAnsi="Times New Roman"/>
          <w:sz w:val="28"/>
          <w:szCs w:val="28"/>
        </w:rPr>
        <w:t> </w:t>
      </w:r>
      <w:r w:rsidRPr="001F6325">
        <w:rPr>
          <w:rFonts w:ascii="Times New Roman" w:hAnsi="Times New Roman"/>
          <w:sz w:val="28"/>
          <w:szCs w:val="28"/>
        </w:rPr>
        <w:t xml:space="preserve">первопричин террористических актов является недостаточная охрана мест массового скопления людей. </w:t>
      </w:r>
      <w:r w:rsidRPr="007D124F">
        <w:rPr>
          <w:rFonts w:ascii="Times New Roman" w:hAnsi="Times New Roman"/>
          <w:sz w:val="28"/>
          <w:szCs w:val="28"/>
        </w:rPr>
        <w:t xml:space="preserve">В городе Куйбышев имеются объекты, в которых возможны террористические акты: </w:t>
      </w:r>
      <w:r>
        <w:rPr>
          <w:rFonts w:ascii="Times New Roman" w:hAnsi="Times New Roman"/>
          <w:sz w:val="28"/>
          <w:szCs w:val="28"/>
        </w:rPr>
        <w:t>2</w:t>
      </w:r>
      <w:r w:rsidRPr="007D124F">
        <w:rPr>
          <w:rFonts w:ascii="Times New Roman" w:hAnsi="Times New Roman"/>
          <w:sz w:val="28"/>
          <w:szCs w:val="28"/>
        </w:rPr>
        <w:t xml:space="preserve">9 учреждений образования (дошкольное, среднее, профессиональное, дополнительное), 1 лечебно-профилактическое учреждение со своими структурными подразделениями, </w:t>
      </w:r>
      <w:r>
        <w:rPr>
          <w:rFonts w:ascii="Times New Roman" w:hAnsi="Times New Roman"/>
          <w:sz w:val="28"/>
          <w:szCs w:val="28"/>
        </w:rPr>
        <w:t>10</w:t>
      </w:r>
      <w:r w:rsidRPr="007D124F">
        <w:rPr>
          <w:rFonts w:ascii="Times New Roman" w:hAnsi="Times New Roman"/>
          <w:sz w:val="28"/>
          <w:szCs w:val="28"/>
        </w:rPr>
        <w:t xml:space="preserve"> учреждени</w:t>
      </w:r>
      <w:r>
        <w:rPr>
          <w:rFonts w:ascii="Times New Roman" w:hAnsi="Times New Roman"/>
          <w:sz w:val="28"/>
          <w:szCs w:val="28"/>
        </w:rPr>
        <w:t>й</w:t>
      </w:r>
      <w:r w:rsidRPr="007D124F">
        <w:rPr>
          <w:rFonts w:ascii="Times New Roman" w:hAnsi="Times New Roman"/>
          <w:sz w:val="28"/>
          <w:szCs w:val="28"/>
        </w:rPr>
        <w:t xml:space="preserve"> культурно-досугового назначения</w:t>
      </w:r>
      <w:r>
        <w:rPr>
          <w:rFonts w:ascii="Times New Roman" w:hAnsi="Times New Roman"/>
          <w:sz w:val="28"/>
          <w:szCs w:val="28"/>
        </w:rPr>
        <w:t>, включая библиотеки, музеи, выставочные залы и молодёжные центры</w:t>
      </w:r>
      <w:r w:rsidRPr="007D124F">
        <w:rPr>
          <w:rFonts w:ascii="Times New Roman" w:hAnsi="Times New Roman"/>
          <w:sz w:val="28"/>
          <w:szCs w:val="28"/>
        </w:rPr>
        <w:t xml:space="preserve">. </w:t>
      </w:r>
      <w:r w:rsidRPr="001F6325">
        <w:rPr>
          <w:rFonts w:ascii="Times New Roman" w:hAnsi="Times New Roman"/>
          <w:sz w:val="28"/>
          <w:szCs w:val="28"/>
        </w:rPr>
        <w:t>В целях предупреждения возможных террористических актов, особое внимание следует уделять реализации следующих мероприятий:</w:t>
      </w:r>
    </w:p>
    <w:p w:rsidR="002D1E45" w:rsidRPr="001F6325" w:rsidRDefault="002D1E45" w:rsidP="00852938">
      <w:pPr>
        <w:numPr>
          <w:ilvl w:val="0"/>
          <w:numId w:val="46"/>
        </w:numPr>
        <w:spacing w:after="0" w:line="240" w:lineRule="auto"/>
        <w:ind w:left="1276" w:hanging="425"/>
        <w:jc w:val="both"/>
        <w:rPr>
          <w:rFonts w:ascii="Times New Roman" w:hAnsi="Times New Roman"/>
          <w:sz w:val="28"/>
          <w:szCs w:val="28"/>
        </w:rPr>
      </w:pPr>
      <w:r w:rsidRPr="001F6325">
        <w:rPr>
          <w:rFonts w:ascii="Times New Roman" w:hAnsi="Times New Roman"/>
          <w:sz w:val="28"/>
          <w:szCs w:val="28"/>
        </w:rPr>
        <w:t>Совместно с</w:t>
      </w:r>
      <w:r>
        <w:rPr>
          <w:rFonts w:ascii="Times New Roman" w:hAnsi="Times New Roman"/>
          <w:sz w:val="28"/>
          <w:szCs w:val="28"/>
        </w:rPr>
        <w:t> </w:t>
      </w:r>
      <w:r w:rsidRPr="001F6325">
        <w:rPr>
          <w:rFonts w:ascii="Times New Roman" w:hAnsi="Times New Roman"/>
          <w:sz w:val="28"/>
          <w:szCs w:val="28"/>
        </w:rPr>
        <w:t>представителями исполнительной и</w:t>
      </w:r>
      <w:r>
        <w:rPr>
          <w:rFonts w:ascii="Times New Roman" w:hAnsi="Times New Roman"/>
          <w:sz w:val="28"/>
          <w:szCs w:val="28"/>
        </w:rPr>
        <w:t> </w:t>
      </w:r>
      <w:r w:rsidRPr="001F6325">
        <w:rPr>
          <w:rFonts w:ascii="Times New Roman" w:hAnsi="Times New Roman"/>
          <w:sz w:val="28"/>
          <w:szCs w:val="28"/>
        </w:rPr>
        <w:t>законодательной власти, с</w:t>
      </w:r>
      <w:r>
        <w:rPr>
          <w:rFonts w:ascii="Times New Roman" w:hAnsi="Times New Roman"/>
          <w:sz w:val="28"/>
          <w:szCs w:val="28"/>
        </w:rPr>
        <w:t> </w:t>
      </w:r>
      <w:r w:rsidRPr="001F6325">
        <w:rPr>
          <w:rFonts w:ascii="Times New Roman" w:hAnsi="Times New Roman"/>
          <w:sz w:val="28"/>
          <w:szCs w:val="28"/>
        </w:rPr>
        <w:t>привлечением средств массовой информации, родителями регулярно проводить комплекс предупредительно-профилактических мероприятий по</w:t>
      </w:r>
      <w:r>
        <w:rPr>
          <w:rFonts w:ascii="Times New Roman" w:hAnsi="Times New Roman"/>
          <w:sz w:val="28"/>
          <w:szCs w:val="28"/>
        </w:rPr>
        <w:t> </w:t>
      </w:r>
      <w:r w:rsidRPr="001F6325">
        <w:rPr>
          <w:rFonts w:ascii="Times New Roman" w:hAnsi="Times New Roman"/>
          <w:sz w:val="28"/>
          <w:szCs w:val="28"/>
        </w:rPr>
        <w:t>повышению бдительности, направленной на</w:t>
      </w:r>
      <w:r>
        <w:rPr>
          <w:rFonts w:ascii="Times New Roman" w:hAnsi="Times New Roman"/>
          <w:sz w:val="28"/>
          <w:szCs w:val="28"/>
        </w:rPr>
        <w:t> </w:t>
      </w:r>
      <w:r w:rsidRPr="001F6325">
        <w:rPr>
          <w:rFonts w:ascii="Times New Roman" w:hAnsi="Times New Roman"/>
          <w:sz w:val="28"/>
          <w:szCs w:val="28"/>
        </w:rPr>
        <w:t>обеспечение безопасности.</w:t>
      </w:r>
    </w:p>
    <w:p w:rsidR="002D1E45" w:rsidRPr="001F6325" w:rsidRDefault="002D1E45" w:rsidP="00852938">
      <w:pPr>
        <w:numPr>
          <w:ilvl w:val="0"/>
          <w:numId w:val="46"/>
        </w:numPr>
        <w:spacing w:after="0" w:line="240" w:lineRule="auto"/>
        <w:ind w:left="1276" w:hanging="425"/>
        <w:jc w:val="both"/>
        <w:rPr>
          <w:rFonts w:ascii="Times New Roman" w:hAnsi="Times New Roman"/>
          <w:sz w:val="28"/>
          <w:szCs w:val="28"/>
        </w:rPr>
      </w:pPr>
      <w:r w:rsidRPr="001F6325">
        <w:rPr>
          <w:rFonts w:ascii="Times New Roman" w:hAnsi="Times New Roman"/>
          <w:sz w:val="28"/>
          <w:szCs w:val="28"/>
        </w:rPr>
        <w:t>Постоянно поддерживать оперативное взаимодействие с</w:t>
      </w:r>
      <w:r>
        <w:rPr>
          <w:rFonts w:ascii="Times New Roman" w:hAnsi="Times New Roman"/>
          <w:sz w:val="28"/>
          <w:szCs w:val="28"/>
        </w:rPr>
        <w:t> </w:t>
      </w:r>
      <w:r w:rsidRPr="001F6325">
        <w:rPr>
          <w:rFonts w:ascii="Times New Roman" w:hAnsi="Times New Roman"/>
          <w:sz w:val="28"/>
          <w:szCs w:val="28"/>
        </w:rPr>
        <w:t>местными, органами ФСБ России, МВД России, прокуратуры, военными комиссариатами и</w:t>
      </w:r>
      <w:r>
        <w:rPr>
          <w:rFonts w:ascii="Times New Roman" w:hAnsi="Times New Roman"/>
          <w:sz w:val="28"/>
          <w:szCs w:val="28"/>
        </w:rPr>
        <w:t> </w:t>
      </w:r>
      <w:r w:rsidRPr="001F6325">
        <w:rPr>
          <w:rFonts w:ascii="Times New Roman" w:hAnsi="Times New Roman"/>
          <w:sz w:val="28"/>
          <w:szCs w:val="28"/>
        </w:rPr>
        <w:t>военным командованием.</w:t>
      </w:r>
    </w:p>
    <w:p w:rsidR="002D1E45" w:rsidRPr="001F6325" w:rsidRDefault="002D1E45" w:rsidP="00852938">
      <w:pPr>
        <w:numPr>
          <w:ilvl w:val="0"/>
          <w:numId w:val="46"/>
        </w:numPr>
        <w:spacing w:after="0" w:line="240" w:lineRule="auto"/>
        <w:ind w:left="1276" w:hanging="425"/>
        <w:jc w:val="both"/>
        <w:rPr>
          <w:rFonts w:ascii="Times New Roman" w:hAnsi="Times New Roman"/>
          <w:sz w:val="28"/>
          <w:szCs w:val="28"/>
        </w:rPr>
      </w:pPr>
      <w:r w:rsidRPr="001F6325">
        <w:rPr>
          <w:rFonts w:ascii="Times New Roman" w:hAnsi="Times New Roman"/>
          <w:sz w:val="28"/>
          <w:szCs w:val="28"/>
        </w:rPr>
        <w:t>Усилить пропускной режим допуска граждан и</w:t>
      </w:r>
      <w:r>
        <w:rPr>
          <w:rFonts w:ascii="Times New Roman" w:hAnsi="Times New Roman"/>
          <w:sz w:val="28"/>
          <w:szCs w:val="28"/>
        </w:rPr>
        <w:t> </w:t>
      </w:r>
      <w:r w:rsidRPr="001F6325">
        <w:rPr>
          <w:rFonts w:ascii="Times New Roman" w:hAnsi="Times New Roman"/>
          <w:sz w:val="28"/>
          <w:szCs w:val="28"/>
        </w:rPr>
        <w:t>автотранспорта на</w:t>
      </w:r>
      <w:r>
        <w:rPr>
          <w:rFonts w:ascii="Times New Roman" w:hAnsi="Times New Roman"/>
          <w:sz w:val="28"/>
          <w:szCs w:val="28"/>
        </w:rPr>
        <w:t> </w:t>
      </w:r>
      <w:r w:rsidRPr="001F6325">
        <w:rPr>
          <w:rFonts w:ascii="Times New Roman" w:hAnsi="Times New Roman"/>
          <w:sz w:val="28"/>
          <w:szCs w:val="28"/>
        </w:rPr>
        <w:t>контролируемую территорию учреждения, исключить бесконтрольное пребывание на</w:t>
      </w:r>
      <w:r>
        <w:rPr>
          <w:rFonts w:ascii="Times New Roman" w:hAnsi="Times New Roman"/>
          <w:sz w:val="28"/>
          <w:szCs w:val="28"/>
        </w:rPr>
        <w:t> </w:t>
      </w:r>
      <w:r w:rsidRPr="001F6325">
        <w:rPr>
          <w:rFonts w:ascii="Times New Roman" w:hAnsi="Times New Roman"/>
          <w:sz w:val="28"/>
          <w:szCs w:val="28"/>
        </w:rPr>
        <w:t>территории посторонних лиц и</w:t>
      </w:r>
      <w:r>
        <w:rPr>
          <w:rFonts w:ascii="Times New Roman" w:hAnsi="Times New Roman"/>
          <w:sz w:val="28"/>
          <w:szCs w:val="28"/>
        </w:rPr>
        <w:t> </w:t>
      </w:r>
      <w:r w:rsidRPr="001F6325">
        <w:rPr>
          <w:rFonts w:ascii="Times New Roman" w:hAnsi="Times New Roman"/>
          <w:sz w:val="28"/>
          <w:szCs w:val="28"/>
        </w:rPr>
        <w:t xml:space="preserve">автотранспорта. </w:t>
      </w:r>
    </w:p>
    <w:p w:rsidR="002D1E45" w:rsidRPr="001F6325" w:rsidRDefault="002D1E45" w:rsidP="00852938">
      <w:pPr>
        <w:numPr>
          <w:ilvl w:val="0"/>
          <w:numId w:val="46"/>
        </w:numPr>
        <w:spacing w:after="0" w:line="240" w:lineRule="auto"/>
        <w:ind w:left="1276" w:hanging="425"/>
        <w:jc w:val="both"/>
        <w:rPr>
          <w:rFonts w:ascii="Times New Roman" w:hAnsi="Times New Roman"/>
          <w:sz w:val="28"/>
          <w:szCs w:val="28"/>
        </w:rPr>
      </w:pPr>
      <w:r w:rsidRPr="001F6325">
        <w:rPr>
          <w:rFonts w:ascii="Times New Roman" w:hAnsi="Times New Roman"/>
          <w:sz w:val="28"/>
          <w:szCs w:val="28"/>
        </w:rPr>
        <w:t>Исключить возможность нахождения бесхозных транспортных средств в</w:t>
      </w:r>
      <w:r>
        <w:rPr>
          <w:rFonts w:ascii="Times New Roman" w:hAnsi="Times New Roman"/>
          <w:sz w:val="28"/>
          <w:szCs w:val="28"/>
        </w:rPr>
        <w:t> </w:t>
      </w:r>
      <w:r w:rsidRPr="001F6325">
        <w:rPr>
          <w:rFonts w:ascii="Times New Roman" w:hAnsi="Times New Roman"/>
          <w:sz w:val="28"/>
          <w:szCs w:val="28"/>
        </w:rPr>
        <w:t>непосредственной близости и</w:t>
      </w:r>
      <w:r>
        <w:rPr>
          <w:rFonts w:ascii="Times New Roman" w:hAnsi="Times New Roman"/>
          <w:sz w:val="28"/>
          <w:szCs w:val="28"/>
        </w:rPr>
        <w:t> </w:t>
      </w:r>
      <w:r w:rsidRPr="001F6325">
        <w:rPr>
          <w:rFonts w:ascii="Times New Roman" w:hAnsi="Times New Roman"/>
          <w:sz w:val="28"/>
          <w:szCs w:val="28"/>
        </w:rPr>
        <w:t>на</w:t>
      </w:r>
      <w:r>
        <w:rPr>
          <w:rFonts w:ascii="Times New Roman" w:hAnsi="Times New Roman"/>
          <w:sz w:val="28"/>
          <w:szCs w:val="28"/>
        </w:rPr>
        <w:t> </w:t>
      </w:r>
      <w:r w:rsidRPr="001F6325">
        <w:rPr>
          <w:rFonts w:ascii="Times New Roman" w:hAnsi="Times New Roman"/>
          <w:sz w:val="28"/>
          <w:szCs w:val="28"/>
        </w:rPr>
        <w:t>контролируемой территории.</w:t>
      </w:r>
    </w:p>
    <w:p w:rsidR="002D1E45" w:rsidRPr="001F6325" w:rsidRDefault="002D1E45" w:rsidP="00852938">
      <w:pPr>
        <w:numPr>
          <w:ilvl w:val="0"/>
          <w:numId w:val="46"/>
        </w:numPr>
        <w:spacing w:after="0" w:line="240" w:lineRule="auto"/>
        <w:ind w:left="1276" w:hanging="425"/>
        <w:jc w:val="both"/>
        <w:rPr>
          <w:rFonts w:ascii="Times New Roman" w:hAnsi="Times New Roman"/>
          <w:sz w:val="28"/>
          <w:szCs w:val="28"/>
        </w:rPr>
      </w:pPr>
      <w:r w:rsidRPr="001F6325">
        <w:rPr>
          <w:rFonts w:ascii="Times New Roman" w:hAnsi="Times New Roman"/>
          <w:sz w:val="28"/>
          <w:szCs w:val="28"/>
        </w:rPr>
        <w:t>Усилить охрану учреждения, в</w:t>
      </w:r>
      <w:r>
        <w:rPr>
          <w:rFonts w:ascii="Times New Roman" w:hAnsi="Times New Roman"/>
          <w:sz w:val="28"/>
          <w:szCs w:val="28"/>
        </w:rPr>
        <w:t> </w:t>
      </w:r>
      <w:r w:rsidRPr="001F6325">
        <w:rPr>
          <w:rFonts w:ascii="Times New Roman" w:hAnsi="Times New Roman"/>
          <w:sz w:val="28"/>
          <w:szCs w:val="28"/>
        </w:rPr>
        <w:t>случае отсутствия охраны организовать дежурство персонала.</w:t>
      </w:r>
    </w:p>
    <w:p w:rsidR="002D1E45" w:rsidRPr="001F6325" w:rsidRDefault="002D1E45" w:rsidP="00852938">
      <w:pPr>
        <w:numPr>
          <w:ilvl w:val="0"/>
          <w:numId w:val="46"/>
        </w:numPr>
        <w:spacing w:after="0" w:line="240" w:lineRule="auto"/>
        <w:ind w:left="1276" w:hanging="425"/>
        <w:jc w:val="both"/>
        <w:rPr>
          <w:rFonts w:ascii="Times New Roman" w:hAnsi="Times New Roman"/>
          <w:sz w:val="28"/>
          <w:szCs w:val="28"/>
        </w:rPr>
      </w:pPr>
      <w:r w:rsidRPr="001F6325">
        <w:rPr>
          <w:rFonts w:ascii="Times New Roman" w:hAnsi="Times New Roman"/>
          <w:sz w:val="28"/>
          <w:szCs w:val="28"/>
        </w:rPr>
        <w:t>Не допускать к</w:t>
      </w:r>
      <w:r>
        <w:rPr>
          <w:rFonts w:ascii="Times New Roman" w:hAnsi="Times New Roman"/>
          <w:sz w:val="28"/>
          <w:szCs w:val="28"/>
        </w:rPr>
        <w:t> </w:t>
      </w:r>
      <w:r w:rsidRPr="001F6325">
        <w:rPr>
          <w:rFonts w:ascii="Times New Roman" w:hAnsi="Times New Roman"/>
          <w:sz w:val="28"/>
          <w:szCs w:val="28"/>
        </w:rPr>
        <w:t>ведению ремонтных работ рабочих, не</w:t>
      </w:r>
      <w:r>
        <w:rPr>
          <w:rFonts w:ascii="Times New Roman" w:hAnsi="Times New Roman"/>
          <w:sz w:val="28"/>
          <w:szCs w:val="28"/>
        </w:rPr>
        <w:t> </w:t>
      </w:r>
      <w:r w:rsidRPr="001F6325">
        <w:rPr>
          <w:rFonts w:ascii="Times New Roman" w:hAnsi="Times New Roman"/>
          <w:sz w:val="28"/>
          <w:szCs w:val="28"/>
        </w:rPr>
        <w:t>имеющих постоянной или временной регистрации.</w:t>
      </w:r>
    </w:p>
    <w:p w:rsidR="002D1E45" w:rsidRPr="001F6325" w:rsidRDefault="002D1E45" w:rsidP="00852938">
      <w:pPr>
        <w:numPr>
          <w:ilvl w:val="0"/>
          <w:numId w:val="46"/>
        </w:numPr>
        <w:spacing w:after="0" w:line="240" w:lineRule="auto"/>
        <w:ind w:left="1276" w:hanging="425"/>
        <w:jc w:val="both"/>
        <w:rPr>
          <w:rFonts w:ascii="Times New Roman" w:hAnsi="Times New Roman"/>
          <w:sz w:val="28"/>
          <w:szCs w:val="28"/>
        </w:rPr>
      </w:pPr>
      <w:r w:rsidRPr="001F6325">
        <w:rPr>
          <w:rFonts w:ascii="Times New Roman" w:hAnsi="Times New Roman"/>
          <w:sz w:val="28"/>
          <w:szCs w:val="28"/>
        </w:rPr>
        <w:t>Обеспечить надёжный круглосуточный контроль за</w:t>
      </w:r>
      <w:r>
        <w:rPr>
          <w:rFonts w:ascii="Times New Roman" w:hAnsi="Times New Roman"/>
          <w:sz w:val="28"/>
          <w:szCs w:val="28"/>
        </w:rPr>
        <w:t> </w:t>
      </w:r>
      <w:r w:rsidRPr="001F6325">
        <w:rPr>
          <w:rFonts w:ascii="Times New Roman" w:hAnsi="Times New Roman"/>
          <w:sz w:val="28"/>
          <w:szCs w:val="28"/>
        </w:rPr>
        <w:t>вносимыми (ввозимыми) на</w:t>
      </w:r>
      <w:r>
        <w:rPr>
          <w:rFonts w:ascii="Times New Roman" w:hAnsi="Times New Roman"/>
          <w:sz w:val="28"/>
          <w:szCs w:val="28"/>
        </w:rPr>
        <w:t> </w:t>
      </w:r>
      <w:r w:rsidRPr="001F6325">
        <w:rPr>
          <w:rFonts w:ascii="Times New Roman" w:hAnsi="Times New Roman"/>
          <w:sz w:val="28"/>
          <w:szCs w:val="28"/>
        </w:rPr>
        <w:t>территорию учреждения грузами и</w:t>
      </w:r>
      <w:r>
        <w:rPr>
          <w:rFonts w:ascii="Times New Roman" w:hAnsi="Times New Roman"/>
          <w:sz w:val="28"/>
          <w:szCs w:val="28"/>
        </w:rPr>
        <w:t> </w:t>
      </w:r>
      <w:r w:rsidRPr="001F6325">
        <w:rPr>
          <w:rFonts w:ascii="Times New Roman" w:hAnsi="Times New Roman"/>
          <w:sz w:val="28"/>
          <w:szCs w:val="28"/>
        </w:rPr>
        <w:t>предметами ручной клади и</w:t>
      </w:r>
      <w:r>
        <w:rPr>
          <w:rFonts w:ascii="Times New Roman" w:hAnsi="Times New Roman"/>
          <w:sz w:val="28"/>
          <w:szCs w:val="28"/>
        </w:rPr>
        <w:t> </w:t>
      </w:r>
      <w:r w:rsidRPr="001F6325">
        <w:rPr>
          <w:rFonts w:ascii="Times New Roman" w:hAnsi="Times New Roman"/>
          <w:sz w:val="28"/>
          <w:szCs w:val="28"/>
        </w:rPr>
        <w:t>своевременный вывоз твёрдых бытовых отходов.</w:t>
      </w:r>
    </w:p>
    <w:p w:rsidR="002D1E45" w:rsidRPr="001F6325" w:rsidRDefault="002D1E45" w:rsidP="00852938">
      <w:pPr>
        <w:numPr>
          <w:ilvl w:val="0"/>
          <w:numId w:val="46"/>
        </w:numPr>
        <w:spacing w:after="0" w:line="240" w:lineRule="auto"/>
        <w:ind w:left="1276" w:hanging="425"/>
        <w:jc w:val="both"/>
        <w:rPr>
          <w:rFonts w:ascii="Times New Roman" w:hAnsi="Times New Roman"/>
          <w:sz w:val="28"/>
          <w:szCs w:val="28"/>
        </w:rPr>
      </w:pPr>
      <w:r w:rsidRPr="001F6325">
        <w:rPr>
          <w:rFonts w:ascii="Times New Roman" w:hAnsi="Times New Roman"/>
          <w:sz w:val="28"/>
          <w:szCs w:val="28"/>
        </w:rPr>
        <w:t>Ежедневно проводить проверку подвалов, чердаков, подсобных помещений, держать их</w:t>
      </w:r>
      <w:r>
        <w:rPr>
          <w:rFonts w:ascii="Times New Roman" w:hAnsi="Times New Roman"/>
          <w:sz w:val="28"/>
          <w:szCs w:val="28"/>
        </w:rPr>
        <w:t> </w:t>
      </w:r>
      <w:r w:rsidRPr="001F6325">
        <w:rPr>
          <w:rFonts w:ascii="Times New Roman" w:hAnsi="Times New Roman"/>
          <w:sz w:val="28"/>
          <w:szCs w:val="28"/>
        </w:rPr>
        <w:t>закрытыми на</w:t>
      </w:r>
      <w:r>
        <w:rPr>
          <w:rFonts w:ascii="Times New Roman" w:hAnsi="Times New Roman"/>
          <w:sz w:val="28"/>
          <w:szCs w:val="28"/>
        </w:rPr>
        <w:t> </w:t>
      </w:r>
      <w:r w:rsidRPr="001F6325">
        <w:rPr>
          <w:rFonts w:ascii="Times New Roman" w:hAnsi="Times New Roman"/>
          <w:sz w:val="28"/>
          <w:szCs w:val="28"/>
        </w:rPr>
        <w:t>замок и</w:t>
      </w:r>
      <w:r>
        <w:rPr>
          <w:rFonts w:ascii="Times New Roman" w:hAnsi="Times New Roman"/>
          <w:sz w:val="28"/>
          <w:szCs w:val="28"/>
        </w:rPr>
        <w:t> </w:t>
      </w:r>
      <w:r w:rsidRPr="001F6325">
        <w:rPr>
          <w:rFonts w:ascii="Times New Roman" w:hAnsi="Times New Roman"/>
          <w:sz w:val="28"/>
          <w:szCs w:val="28"/>
        </w:rPr>
        <w:t>опечатанными, а</w:t>
      </w:r>
      <w:r>
        <w:rPr>
          <w:rFonts w:ascii="Times New Roman" w:hAnsi="Times New Roman"/>
          <w:sz w:val="28"/>
          <w:szCs w:val="28"/>
        </w:rPr>
        <w:t> </w:t>
      </w:r>
      <w:r w:rsidRPr="001F6325">
        <w:rPr>
          <w:rFonts w:ascii="Times New Roman" w:hAnsi="Times New Roman"/>
          <w:sz w:val="28"/>
          <w:szCs w:val="28"/>
        </w:rPr>
        <w:t>также проверять состояние решёток и</w:t>
      </w:r>
      <w:r>
        <w:rPr>
          <w:rFonts w:ascii="Times New Roman" w:hAnsi="Times New Roman"/>
          <w:sz w:val="28"/>
          <w:szCs w:val="28"/>
        </w:rPr>
        <w:t> </w:t>
      </w:r>
      <w:r w:rsidRPr="001F6325">
        <w:rPr>
          <w:rFonts w:ascii="Times New Roman" w:hAnsi="Times New Roman"/>
          <w:sz w:val="28"/>
          <w:szCs w:val="28"/>
        </w:rPr>
        <w:t>ограждений.</w:t>
      </w:r>
    </w:p>
    <w:p w:rsidR="002D1E45" w:rsidRPr="001F6325" w:rsidRDefault="002D1E45" w:rsidP="00852938">
      <w:pPr>
        <w:numPr>
          <w:ilvl w:val="0"/>
          <w:numId w:val="46"/>
        </w:numPr>
        <w:spacing w:after="0" w:line="240" w:lineRule="auto"/>
        <w:ind w:left="1276" w:hanging="425"/>
        <w:jc w:val="both"/>
        <w:rPr>
          <w:rFonts w:ascii="Times New Roman" w:hAnsi="Times New Roman"/>
          <w:sz w:val="28"/>
          <w:szCs w:val="28"/>
        </w:rPr>
      </w:pPr>
      <w:r w:rsidRPr="001F6325">
        <w:rPr>
          <w:rFonts w:ascii="Times New Roman" w:hAnsi="Times New Roman"/>
          <w:sz w:val="28"/>
          <w:szCs w:val="28"/>
        </w:rPr>
        <w:t>Контролировать освещённость территории учреждения в</w:t>
      </w:r>
      <w:r>
        <w:rPr>
          <w:rFonts w:ascii="Times New Roman" w:hAnsi="Times New Roman"/>
          <w:sz w:val="28"/>
          <w:szCs w:val="28"/>
        </w:rPr>
        <w:t> </w:t>
      </w:r>
      <w:r w:rsidRPr="001F6325">
        <w:rPr>
          <w:rFonts w:ascii="Times New Roman" w:hAnsi="Times New Roman"/>
          <w:sz w:val="28"/>
          <w:szCs w:val="28"/>
        </w:rPr>
        <w:t>тёмное время суток.</w:t>
      </w:r>
    </w:p>
    <w:p w:rsidR="002D1E45" w:rsidRPr="001F6325" w:rsidRDefault="002D1E45" w:rsidP="00852938">
      <w:pPr>
        <w:numPr>
          <w:ilvl w:val="0"/>
          <w:numId w:val="46"/>
        </w:numPr>
        <w:spacing w:after="0" w:line="240" w:lineRule="auto"/>
        <w:ind w:left="1276" w:hanging="425"/>
        <w:jc w:val="both"/>
        <w:rPr>
          <w:rFonts w:ascii="Times New Roman" w:hAnsi="Times New Roman"/>
          <w:sz w:val="28"/>
          <w:szCs w:val="28"/>
        </w:rPr>
      </w:pPr>
      <w:r w:rsidRPr="001F6325">
        <w:rPr>
          <w:rFonts w:ascii="Times New Roman" w:hAnsi="Times New Roman"/>
          <w:sz w:val="28"/>
          <w:szCs w:val="28"/>
        </w:rPr>
        <w:t>Проверять наличие и</w:t>
      </w:r>
      <w:r>
        <w:rPr>
          <w:rFonts w:ascii="Times New Roman" w:hAnsi="Times New Roman"/>
          <w:sz w:val="28"/>
          <w:szCs w:val="28"/>
        </w:rPr>
        <w:t> </w:t>
      </w:r>
      <w:r w:rsidRPr="001F6325">
        <w:rPr>
          <w:rFonts w:ascii="Times New Roman" w:hAnsi="Times New Roman"/>
          <w:sz w:val="28"/>
          <w:szCs w:val="28"/>
        </w:rPr>
        <w:t>исправность средств пожаротушения, их</w:t>
      </w:r>
      <w:r>
        <w:rPr>
          <w:rFonts w:ascii="Times New Roman" w:hAnsi="Times New Roman"/>
          <w:sz w:val="28"/>
          <w:szCs w:val="28"/>
        </w:rPr>
        <w:t> </w:t>
      </w:r>
      <w:r w:rsidRPr="001F6325">
        <w:rPr>
          <w:rFonts w:ascii="Times New Roman" w:hAnsi="Times New Roman"/>
          <w:sz w:val="28"/>
          <w:szCs w:val="28"/>
        </w:rPr>
        <w:t>исправность, тренировать внештатные пожарные расчёты.</w:t>
      </w:r>
    </w:p>
    <w:p w:rsidR="002D1E45" w:rsidRPr="001F6325" w:rsidRDefault="002D1E45" w:rsidP="00852938">
      <w:pPr>
        <w:numPr>
          <w:ilvl w:val="0"/>
          <w:numId w:val="46"/>
        </w:numPr>
        <w:spacing w:after="0" w:line="240" w:lineRule="auto"/>
        <w:ind w:left="1276" w:hanging="425"/>
        <w:jc w:val="both"/>
        <w:rPr>
          <w:rFonts w:ascii="Times New Roman" w:hAnsi="Times New Roman"/>
          <w:sz w:val="28"/>
          <w:szCs w:val="28"/>
        </w:rPr>
      </w:pPr>
      <w:r w:rsidRPr="001F6325">
        <w:rPr>
          <w:rFonts w:ascii="Times New Roman" w:hAnsi="Times New Roman"/>
          <w:sz w:val="28"/>
          <w:szCs w:val="28"/>
        </w:rPr>
        <w:t>Систематически корректировать схему оповещения сотрудников учреждения.</w:t>
      </w:r>
    </w:p>
    <w:p w:rsidR="002D1E45" w:rsidRPr="001F6325" w:rsidRDefault="002D1E45" w:rsidP="00852938">
      <w:pPr>
        <w:numPr>
          <w:ilvl w:val="0"/>
          <w:numId w:val="46"/>
        </w:numPr>
        <w:spacing w:after="0" w:line="240" w:lineRule="auto"/>
        <w:ind w:left="1276" w:hanging="425"/>
        <w:jc w:val="both"/>
        <w:rPr>
          <w:rFonts w:ascii="Times New Roman" w:hAnsi="Times New Roman"/>
          <w:sz w:val="28"/>
          <w:szCs w:val="28"/>
        </w:rPr>
      </w:pPr>
      <w:r w:rsidRPr="001F6325">
        <w:rPr>
          <w:rFonts w:ascii="Times New Roman" w:hAnsi="Times New Roman"/>
          <w:sz w:val="28"/>
          <w:szCs w:val="28"/>
        </w:rPr>
        <w:t>Иметь в</w:t>
      </w:r>
      <w:r>
        <w:rPr>
          <w:rFonts w:ascii="Times New Roman" w:hAnsi="Times New Roman"/>
          <w:sz w:val="28"/>
          <w:szCs w:val="28"/>
        </w:rPr>
        <w:t> </w:t>
      </w:r>
      <w:r w:rsidRPr="001F6325">
        <w:rPr>
          <w:rFonts w:ascii="Times New Roman" w:hAnsi="Times New Roman"/>
          <w:sz w:val="28"/>
          <w:szCs w:val="28"/>
        </w:rPr>
        <w:t>учреждении согласованный с</w:t>
      </w:r>
      <w:r>
        <w:rPr>
          <w:rFonts w:ascii="Times New Roman" w:hAnsi="Times New Roman"/>
          <w:sz w:val="28"/>
          <w:szCs w:val="28"/>
        </w:rPr>
        <w:t> </w:t>
      </w:r>
      <w:r w:rsidRPr="001F6325">
        <w:rPr>
          <w:rFonts w:ascii="Times New Roman" w:hAnsi="Times New Roman"/>
          <w:sz w:val="28"/>
          <w:szCs w:val="28"/>
        </w:rPr>
        <w:t>местными отделами ФСБ России, МВД России и</w:t>
      </w:r>
      <w:r>
        <w:rPr>
          <w:rFonts w:ascii="Times New Roman" w:hAnsi="Times New Roman"/>
          <w:sz w:val="28"/>
          <w:szCs w:val="28"/>
        </w:rPr>
        <w:t> </w:t>
      </w:r>
      <w:r w:rsidRPr="001F6325">
        <w:rPr>
          <w:rFonts w:ascii="Times New Roman" w:hAnsi="Times New Roman"/>
          <w:sz w:val="28"/>
          <w:szCs w:val="28"/>
        </w:rPr>
        <w:t>МЧС России, план действий по</w:t>
      </w:r>
      <w:r>
        <w:rPr>
          <w:rFonts w:ascii="Times New Roman" w:hAnsi="Times New Roman"/>
          <w:sz w:val="28"/>
          <w:szCs w:val="28"/>
        </w:rPr>
        <w:t> </w:t>
      </w:r>
      <w:r w:rsidRPr="001F6325">
        <w:rPr>
          <w:rFonts w:ascii="Times New Roman" w:hAnsi="Times New Roman"/>
          <w:sz w:val="28"/>
          <w:szCs w:val="28"/>
        </w:rPr>
        <w:t>предупреждению и</w:t>
      </w:r>
      <w:r>
        <w:rPr>
          <w:rFonts w:ascii="Times New Roman" w:hAnsi="Times New Roman"/>
          <w:sz w:val="28"/>
          <w:szCs w:val="28"/>
        </w:rPr>
        <w:t> </w:t>
      </w:r>
      <w:r w:rsidRPr="001F6325">
        <w:rPr>
          <w:rFonts w:ascii="Times New Roman" w:hAnsi="Times New Roman"/>
          <w:sz w:val="28"/>
          <w:szCs w:val="28"/>
        </w:rPr>
        <w:t>ликвидации чрезвычайной ситуации.</w:t>
      </w:r>
    </w:p>
    <w:p w:rsidR="002D1E45" w:rsidRPr="001F6325" w:rsidRDefault="002D1E45" w:rsidP="00852938">
      <w:pPr>
        <w:numPr>
          <w:ilvl w:val="0"/>
          <w:numId w:val="46"/>
        </w:numPr>
        <w:spacing w:after="0" w:line="240" w:lineRule="auto"/>
        <w:ind w:left="1276" w:hanging="425"/>
        <w:jc w:val="both"/>
        <w:rPr>
          <w:rFonts w:ascii="Times New Roman" w:hAnsi="Times New Roman"/>
          <w:sz w:val="28"/>
          <w:szCs w:val="28"/>
        </w:rPr>
      </w:pPr>
      <w:r w:rsidRPr="001F6325">
        <w:rPr>
          <w:rFonts w:ascii="Times New Roman" w:hAnsi="Times New Roman"/>
          <w:sz w:val="28"/>
          <w:szCs w:val="28"/>
        </w:rPr>
        <w:t>Обеспечить предупредительный контроль мест массового скопления людей: классов, аудиторий и</w:t>
      </w:r>
      <w:r>
        <w:rPr>
          <w:rFonts w:ascii="Times New Roman" w:hAnsi="Times New Roman"/>
          <w:sz w:val="28"/>
          <w:szCs w:val="28"/>
        </w:rPr>
        <w:t> </w:t>
      </w:r>
      <w:r w:rsidRPr="001F6325">
        <w:rPr>
          <w:rFonts w:ascii="Times New Roman" w:hAnsi="Times New Roman"/>
          <w:sz w:val="28"/>
          <w:szCs w:val="28"/>
        </w:rPr>
        <w:t>помещений, где будут проводиться занятия, совещания, собрания, культурно-массовые мероприятия.</w:t>
      </w:r>
    </w:p>
    <w:p w:rsidR="002D1E45" w:rsidRPr="001F6325" w:rsidRDefault="002D1E45" w:rsidP="00852938">
      <w:pPr>
        <w:numPr>
          <w:ilvl w:val="0"/>
          <w:numId w:val="46"/>
        </w:numPr>
        <w:spacing w:after="0" w:line="240" w:lineRule="auto"/>
        <w:ind w:left="1276" w:hanging="425"/>
        <w:jc w:val="both"/>
        <w:rPr>
          <w:rFonts w:ascii="Times New Roman" w:hAnsi="Times New Roman"/>
          <w:sz w:val="28"/>
          <w:szCs w:val="28"/>
        </w:rPr>
      </w:pPr>
      <w:r w:rsidRPr="001F6325">
        <w:rPr>
          <w:rFonts w:ascii="Times New Roman" w:hAnsi="Times New Roman"/>
          <w:sz w:val="28"/>
          <w:szCs w:val="28"/>
        </w:rPr>
        <w:t>Знать телефоны местных отделов ФСБ России, МВД России, прокуратуры, военного комиссариата, противопожарной службы, скорой помощи и</w:t>
      </w:r>
      <w:r>
        <w:rPr>
          <w:rFonts w:ascii="Times New Roman" w:hAnsi="Times New Roman"/>
          <w:sz w:val="28"/>
          <w:szCs w:val="28"/>
        </w:rPr>
        <w:t> </w:t>
      </w:r>
      <w:r w:rsidRPr="001F6325">
        <w:rPr>
          <w:rFonts w:ascii="Times New Roman" w:hAnsi="Times New Roman"/>
          <w:sz w:val="28"/>
          <w:szCs w:val="28"/>
        </w:rPr>
        <w:t>аварийной бригады.</w:t>
      </w:r>
    </w:p>
    <w:p w:rsidR="002D1E45" w:rsidRPr="001F6325" w:rsidRDefault="002D1E45" w:rsidP="00852938">
      <w:pPr>
        <w:numPr>
          <w:ilvl w:val="0"/>
          <w:numId w:val="46"/>
        </w:numPr>
        <w:spacing w:after="0" w:line="240" w:lineRule="auto"/>
        <w:ind w:left="1276" w:hanging="425"/>
        <w:jc w:val="both"/>
        <w:rPr>
          <w:rFonts w:ascii="Times New Roman" w:hAnsi="Times New Roman"/>
          <w:sz w:val="28"/>
          <w:szCs w:val="28"/>
        </w:rPr>
      </w:pPr>
      <w:r w:rsidRPr="001F6325">
        <w:rPr>
          <w:rFonts w:ascii="Times New Roman" w:hAnsi="Times New Roman"/>
          <w:sz w:val="28"/>
          <w:szCs w:val="28"/>
        </w:rPr>
        <w:t>В случаях вскрытия предпосылок к</w:t>
      </w:r>
      <w:r>
        <w:rPr>
          <w:rFonts w:ascii="Times New Roman" w:hAnsi="Times New Roman"/>
          <w:sz w:val="28"/>
          <w:szCs w:val="28"/>
        </w:rPr>
        <w:t> </w:t>
      </w:r>
      <w:r w:rsidRPr="001F6325">
        <w:rPr>
          <w:rFonts w:ascii="Times New Roman" w:hAnsi="Times New Roman"/>
          <w:sz w:val="28"/>
          <w:szCs w:val="28"/>
        </w:rPr>
        <w:t>возможным террористическим актам, чрезвычайных происшествий немедленно докладывать в</w:t>
      </w:r>
      <w:r>
        <w:rPr>
          <w:rFonts w:ascii="Times New Roman" w:hAnsi="Times New Roman"/>
          <w:sz w:val="28"/>
          <w:szCs w:val="28"/>
        </w:rPr>
        <w:t> </w:t>
      </w:r>
      <w:r w:rsidRPr="001F6325">
        <w:rPr>
          <w:rFonts w:ascii="Times New Roman" w:hAnsi="Times New Roman"/>
          <w:sz w:val="28"/>
          <w:szCs w:val="28"/>
        </w:rPr>
        <w:t>местные отделы МВД России.</w:t>
      </w:r>
    </w:p>
    <w:p w:rsidR="002D1E45" w:rsidRPr="001F6325" w:rsidRDefault="002D1E45" w:rsidP="001F6325">
      <w:pPr>
        <w:spacing w:after="0" w:line="240" w:lineRule="auto"/>
        <w:ind w:firstLine="709"/>
        <w:jc w:val="both"/>
        <w:rPr>
          <w:rFonts w:ascii="Times New Roman" w:hAnsi="Times New Roman"/>
          <w:sz w:val="28"/>
          <w:szCs w:val="28"/>
        </w:rPr>
      </w:pPr>
      <w:r w:rsidRPr="001F6325">
        <w:rPr>
          <w:rFonts w:ascii="Times New Roman" w:hAnsi="Times New Roman"/>
          <w:sz w:val="28"/>
          <w:szCs w:val="28"/>
        </w:rPr>
        <w:t>Сигналом для немедленного принятия решения по</w:t>
      </w:r>
      <w:r>
        <w:rPr>
          <w:rFonts w:ascii="Times New Roman" w:hAnsi="Times New Roman"/>
          <w:sz w:val="28"/>
          <w:szCs w:val="28"/>
        </w:rPr>
        <w:t> </w:t>
      </w:r>
      <w:r w:rsidRPr="001F6325">
        <w:rPr>
          <w:rFonts w:ascii="Times New Roman" w:hAnsi="Times New Roman"/>
          <w:sz w:val="28"/>
          <w:szCs w:val="28"/>
        </w:rPr>
        <w:t>выполнению Плана действий в</w:t>
      </w:r>
      <w:r>
        <w:rPr>
          <w:rFonts w:ascii="Times New Roman" w:hAnsi="Times New Roman"/>
          <w:sz w:val="28"/>
          <w:szCs w:val="28"/>
        </w:rPr>
        <w:t> </w:t>
      </w:r>
      <w:r w:rsidRPr="001F6325">
        <w:rPr>
          <w:rFonts w:ascii="Times New Roman" w:hAnsi="Times New Roman"/>
          <w:sz w:val="28"/>
          <w:szCs w:val="28"/>
        </w:rPr>
        <w:t>ситуациях, связанных с</w:t>
      </w:r>
      <w:r>
        <w:rPr>
          <w:rFonts w:ascii="Times New Roman" w:hAnsi="Times New Roman"/>
          <w:sz w:val="28"/>
          <w:szCs w:val="28"/>
        </w:rPr>
        <w:t> </w:t>
      </w:r>
      <w:r w:rsidRPr="001F6325">
        <w:rPr>
          <w:rFonts w:ascii="Times New Roman" w:hAnsi="Times New Roman"/>
          <w:sz w:val="28"/>
          <w:szCs w:val="28"/>
        </w:rPr>
        <w:t>совершением (возможностью) совершения террористического акта, может стать:</w:t>
      </w:r>
    </w:p>
    <w:p w:rsidR="002D1E45" w:rsidRPr="001F6325" w:rsidRDefault="002D1E45" w:rsidP="001F6325">
      <w:pPr>
        <w:numPr>
          <w:ilvl w:val="0"/>
          <w:numId w:val="24"/>
        </w:numPr>
        <w:spacing w:after="0" w:line="240" w:lineRule="auto"/>
        <w:jc w:val="both"/>
        <w:rPr>
          <w:rFonts w:ascii="Times New Roman" w:hAnsi="Times New Roman"/>
          <w:sz w:val="28"/>
          <w:szCs w:val="28"/>
        </w:rPr>
      </w:pPr>
      <w:r w:rsidRPr="001F6325">
        <w:rPr>
          <w:rFonts w:ascii="Times New Roman" w:hAnsi="Times New Roman"/>
          <w:sz w:val="28"/>
          <w:szCs w:val="28"/>
        </w:rPr>
        <w:t>обнаружение в</w:t>
      </w:r>
      <w:r>
        <w:rPr>
          <w:rFonts w:ascii="Times New Roman" w:hAnsi="Times New Roman"/>
          <w:sz w:val="28"/>
          <w:szCs w:val="28"/>
        </w:rPr>
        <w:t> </w:t>
      </w:r>
      <w:r w:rsidRPr="001F6325">
        <w:rPr>
          <w:rFonts w:ascii="Times New Roman" w:hAnsi="Times New Roman"/>
          <w:sz w:val="28"/>
          <w:szCs w:val="28"/>
        </w:rPr>
        <w:t>учреждении подозрительного предмета, похожего на</w:t>
      </w:r>
      <w:r>
        <w:rPr>
          <w:rFonts w:ascii="Times New Roman" w:hAnsi="Times New Roman"/>
          <w:sz w:val="28"/>
          <w:szCs w:val="28"/>
        </w:rPr>
        <w:t> </w:t>
      </w:r>
      <w:r w:rsidRPr="001F6325">
        <w:rPr>
          <w:rFonts w:ascii="Times New Roman" w:hAnsi="Times New Roman"/>
          <w:sz w:val="28"/>
          <w:szCs w:val="28"/>
        </w:rPr>
        <w:t>взрывное устройство;</w:t>
      </w:r>
    </w:p>
    <w:p w:rsidR="002D1E45" w:rsidRPr="001F6325" w:rsidRDefault="002D1E45" w:rsidP="001F6325">
      <w:pPr>
        <w:numPr>
          <w:ilvl w:val="0"/>
          <w:numId w:val="24"/>
        </w:numPr>
        <w:spacing w:after="0" w:line="240" w:lineRule="auto"/>
        <w:jc w:val="both"/>
        <w:rPr>
          <w:rFonts w:ascii="Times New Roman" w:hAnsi="Times New Roman"/>
          <w:sz w:val="28"/>
          <w:szCs w:val="28"/>
        </w:rPr>
      </w:pPr>
      <w:r w:rsidRPr="001F6325">
        <w:rPr>
          <w:rFonts w:ascii="Times New Roman" w:hAnsi="Times New Roman"/>
          <w:sz w:val="28"/>
          <w:szCs w:val="28"/>
        </w:rPr>
        <w:t>угроза по</w:t>
      </w:r>
      <w:r>
        <w:rPr>
          <w:rFonts w:ascii="Times New Roman" w:hAnsi="Times New Roman"/>
          <w:sz w:val="28"/>
          <w:szCs w:val="28"/>
        </w:rPr>
        <w:t> </w:t>
      </w:r>
      <w:r w:rsidRPr="001F6325">
        <w:rPr>
          <w:rFonts w:ascii="Times New Roman" w:hAnsi="Times New Roman"/>
          <w:sz w:val="28"/>
          <w:szCs w:val="28"/>
        </w:rPr>
        <w:t>телефону о</w:t>
      </w:r>
      <w:r>
        <w:rPr>
          <w:rFonts w:ascii="Times New Roman" w:hAnsi="Times New Roman"/>
          <w:sz w:val="28"/>
          <w:szCs w:val="28"/>
        </w:rPr>
        <w:t> </w:t>
      </w:r>
      <w:r w:rsidRPr="001F6325">
        <w:rPr>
          <w:rFonts w:ascii="Times New Roman" w:hAnsi="Times New Roman"/>
          <w:sz w:val="28"/>
          <w:szCs w:val="28"/>
        </w:rPr>
        <w:t>заложенном взрывном устройстве;</w:t>
      </w:r>
      <w:r w:rsidRPr="001F6325">
        <w:rPr>
          <w:rFonts w:ascii="Times New Roman" w:hAnsi="Times New Roman"/>
          <w:sz w:val="28"/>
          <w:szCs w:val="28"/>
        </w:rPr>
        <w:tab/>
      </w:r>
    </w:p>
    <w:p w:rsidR="002D1E45" w:rsidRPr="001F6325" w:rsidRDefault="002D1E45" w:rsidP="001F6325">
      <w:pPr>
        <w:numPr>
          <w:ilvl w:val="0"/>
          <w:numId w:val="24"/>
        </w:numPr>
        <w:spacing w:after="0" w:line="240" w:lineRule="auto"/>
        <w:jc w:val="both"/>
        <w:rPr>
          <w:rFonts w:ascii="Times New Roman" w:hAnsi="Times New Roman"/>
          <w:sz w:val="28"/>
          <w:szCs w:val="28"/>
        </w:rPr>
      </w:pPr>
      <w:r w:rsidRPr="001F6325">
        <w:rPr>
          <w:rFonts w:ascii="Times New Roman" w:hAnsi="Times New Roman"/>
          <w:sz w:val="28"/>
          <w:szCs w:val="28"/>
        </w:rPr>
        <w:t>поступление письменной угрозы о</w:t>
      </w:r>
      <w:r>
        <w:rPr>
          <w:rFonts w:ascii="Times New Roman" w:hAnsi="Times New Roman"/>
          <w:sz w:val="28"/>
          <w:szCs w:val="28"/>
        </w:rPr>
        <w:t> </w:t>
      </w:r>
      <w:r w:rsidRPr="001F6325">
        <w:rPr>
          <w:rFonts w:ascii="Times New Roman" w:hAnsi="Times New Roman"/>
          <w:sz w:val="28"/>
          <w:szCs w:val="28"/>
        </w:rPr>
        <w:t>заложенном взрывном устройстве;</w:t>
      </w:r>
    </w:p>
    <w:p w:rsidR="002D1E45" w:rsidRPr="001F6325" w:rsidRDefault="002D1E45" w:rsidP="001F6325">
      <w:pPr>
        <w:numPr>
          <w:ilvl w:val="0"/>
          <w:numId w:val="24"/>
        </w:numPr>
        <w:spacing w:after="0" w:line="240" w:lineRule="auto"/>
        <w:jc w:val="both"/>
        <w:rPr>
          <w:rFonts w:ascii="Times New Roman" w:hAnsi="Times New Roman"/>
          <w:sz w:val="28"/>
          <w:szCs w:val="28"/>
        </w:rPr>
      </w:pPr>
      <w:r w:rsidRPr="001F6325">
        <w:rPr>
          <w:rFonts w:ascii="Times New Roman" w:hAnsi="Times New Roman"/>
          <w:sz w:val="28"/>
          <w:szCs w:val="28"/>
        </w:rPr>
        <w:t>захват (угроза захвата) заложников в</w:t>
      </w:r>
      <w:r>
        <w:rPr>
          <w:rFonts w:ascii="Times New Roman" w:hAnsi="Times New Roman"/>
          <w:sz w:val="28"/>
          <w:szCs w:val="28"/>
        </w:rPr>
        <w:t> </w:t>
      </w:r>
      <w:r w:rsidRPr="001F6325">
        <w:rPr>
          <w:rFonts w:ascii="Times New Roman" w:hAnsi="Times New Roman"/>
          <w:sz w:val="28"/>
          <w:szCs w:val="28"/>
        </w:rPr>
        <w:t>помещениях или на</w:t>
      </w:r>
      <w:r>
        <w:rPr>
          <w:rFonts w:ascii="Times New Roman" w:hAnsi="Times New Roman"/>
          <w:sz w:val="28"/>
          <w:szCs w:val="28"/>
        </w:rPr>
        <w:t> </w:t>
      </w:r>
      <w:r w:rsidRPr="001F6325">
        <w:rPr>
          <w:rFonts w:ascii="Times New Roman" w:hAnsi="Times New Roman"/>
          <w:sz w:val="28"/>
          <w:szCs w:val="28"/>
        </w:rPr>
        <w:t>территории учреждения;</w:t>
      </w:r>
    </w:p>
    <w:p w:rsidR="002D1E45" w:rsidRPr="001F6325" w:rsidRDefault="002D1E45" w:rsidP="001F6325">
      <w:pPr>
        <w:numPr>
          <w:ilvl w:val="0"/>
          <w:numId w:val="24"/>
        </w:numPr>
        <w:spacing w:after="0" w:line="240" w:lineRule="auto"/>
        <w:jc w:val="both"/>
        <w:rPr>
          <w:rFonts w:ascii="Times New Roman" w:hAnsi="Times New Roman"/>
          <w:sz w:val="28"/>
          <w:szCs w:val="28"/>
        </w:rPr>
      </w:pPr>
      <w:r w:rsidRPr="001F6325">
        <w:rPr>
          <w:rFonts w:ascii="Times New Roman" w:hAnsi="Times New Roman"/>
          <w:sz w:val="28"/>
          <w:szCs w:val="28"/>
        </w:rPr>
        <w:t>получение любой иной информации о</w:t>
      </w:r>
      <w:r>
        <w:rPr>
          <w:rFonts w:ascii="Times New Roman" w:hAnsi="Times New Roman"/>
          <w:sz w:val="28"/>
          <w:szCs w:val="28"/>
        </w:rPr>
        <w:t> </w:t>
      </w:r>
      <w:r w:rsidRPr="001F6325">
        <w:rPr>
          <w:rFonts w:ascii="Times New Roman" w:hAnsi="Times New Roman"/>
          <w:sz w:val="28"/>
          <w:szCs w:val="28"/>
        </w:rPr>
        <w:t>заложенном взрывном устройстве или ЧС.</w:t>
      </w:r>
    </w:p>
    <w:p w:rsidR="002D1E45" w:rsidRPr="001F6325" w:rsidRDefault="002D1E45" w:rsidP="001F6325">
      <w:pPr>
        <w:spacing w:after="0" w:line="240" w:lineRule="auto"/>
        <w:ind w:firstLine="709"/>
        <w:jc w:val="both"/>
        <w:rPr>
          <w:rFonts w:ascii="Times New Roman" w:hAnsi="Times New Roman"/>
          <w:sz w:val="28"/>
          <w:szCs w:val="28"/>
        </w:rPr>
      </w:pPr>
      <w:r w:rsidRPr="001F6325">
        <w:rPr>
          <w:rFonts w:ascii="Times New Roman" w:hAnsi="Times New Roman"/>
          <w:sz w:val="28"/>
          <w:szCs w:val="28"/>
        </w:rPr>
        <w:t>Ключевое значение в</w:t>
      </w:r>
      <w:r>
        <w:rPr>
          <w:rFonts w:ascii="Times New Roman" w:hAnsi="Times New Roman"/>
          <w:sz w:val="28"/>
          <w:szCs w:val="28"/>
        </w:rPr>
        <w:t> </w:t>
      </w:r>
      <w:r w:rsidRPr="001F6325">
        <w:rPr>
          <w:rFonts w:ascii="Times New Roman" w:hAnsi="Times New Roman"/>
          <w:sz w:val="28"/>
          <w:szCs w:val="28"/>
        </w:rPr>
        <w:t>случае чрезвычайных ситуаций техногенного характера, террористических акций и</w:t>
      </w:r>
      <w:r>
        <w:rPr>
          <w:rFonts w:ascii="Times New Roman" w:hAnsi="Times New Roman"/>
          <w:sz w:val="28"/>
          <w:szCs w:val="28"/>
        </w:rPr>
        <w:t> </w:t>
      </w:r>
      <w:r w:rsidRPr="001F6325">
        <w:rPr>
          <w:rFonts w:ascii="Times New Roman" w:hAnsi="Times New Roman"/>
          <w:sz w:val="28"/>
          <w:szCs w:val="28"/>
        </w:rPr>
        <w:t>других ЧС</w:t>
      </w:r>
      <w:r>
        <w:rPr>
          <w:rFonts w:ascii="Times New Roman" w:hAnsi="Times New Roman"/>
          <w:sz w:val="28"/>
          <w:szCs w:val="28"/>
        </w:rPr>
        <w:t> </w:t>
      </w:r>
      <w:r w:rsidRPr="001F6325">
        <w:rPr>
          <w:rFonts w:ascii="Times New Roman" w:hAnsi="Times New Roman"/>
          <w:sz w:val="28"/>
          <w:szCs w:val="28"/>
        </w:rPr>
        <w:t>приобретают телекоммуникационная обеспеченность и</w:t>
      </w:r>
      <w:r>
        <w:rPr>
          <w:rFonts w:ascii="Times New Roman" w:hAnsi="Times New Roman"/>
          <w:sz w:val="28"/>
          <w:szCs w:val="28"/>
        </w:rPr>
        <w:t> </w:t>
      </w:r>
      <w:r w:rsidRPr="001F6325">
        <w:rPr>
          <w:rFonts w:ascii="Times New Roman" w:hAnsi="Times New Roman"/>
          <w:sz w:val="28"/>
          <w:szCs w:val="28"/>
        </w:rPr>
        <w:t>транспорт, а</w:t>
      </w:r>
      <w:r>
        <w:rPr>
          <w:rFonts w:ascii="Times New Roman" w:hAnsi="Times New Roman"/>
          <w:sz w:val="28"/>
          <w:szCs w:val="28"/>
        </w:rPr>
        <w:t> </w:t>
      </w:r>
      <w:r w:rsidRPr="001F6325">
        <w:rPr>
          <w:rFonts w:ascii="Times New Roman" w:hAnsi="Times New Roman"/>
          <w:sz w:val="28"/>
          <w:szCs w:val="28"/>
        </w:rPr>
        <w:t>также безотказность их</w:t>
      </w:r>
      <w:r>
        <w:rPr>
          <w:rFonts w:ascii="Times New Roman" w:hAnsi="Times New Roman"/>
          <w:sz w:val="28"/>
          <w:szCs w:val="28"/>
        </w:rPr>
        <w:t> </w:t>
      </w:r>
      <w:r w:rsidRPr="001F6325">
        <w:rPr>
          <w:rFonts w:ascii="Times New Roman" w:hAnsi="Times New Roman"/>
          <w:sz w:val="28"/>
          <w:szCs w:val="28"/>
        </w:rPr>
        <w:t xml:space="preserve">функционирования при любых условиях. Степень транспортной освоенности территории </w:t>
      </w:r>
      <w:r>
        <w:rPr>
          <w:rFonts w:ascii="Times New Roman" w:hAnsi="Times New Roman"/>
          <w:sz w:val="28"/>
          <w:szCs w:val="28"/>
        </w:rPr>
        <w:t>города Куйбышева</w:t>
      </w:r>
      <w:r w:rsidRPr="001F6325">
        <w:rPr>
          <w:rFonts w:ascii="Times New Roman" w:hAnsi="Times New Roman"/>
          <w:sz w:val="28"/>
          <w:szCs w:val="28"/>
        </w:rPr>
        <w:t xml:space="preserve"> остаётся низкой, что необходимо учитывать при разработке оперативных и</w:t>
      </w:r>
      <w:r>
        <w:rPr>
          <w:rFonts w:ascii="Times New Roman" w:hAnsi="Times New Roman"/>
          <w:sz w:val="28"/>
          <w:szCs w:val="28"/>
        </w:rPr>
        <w:t> </w:t>
      </w:r>
      <w:r w:rsidRPr="001F6325">
        <w:rPr>
          <w:rFonts w:ascii="Times New Roman" w:hAnsi="Times New Roman"/>
          <w:sz w:val="28"/>
          <w:szCs w:val="28"/>
        </w:rPr>
        <w:t xml:space="preserve">превентивных мероприятий. </w:t>
      </w:r>
    </w:p>
    <w:p w:rsidR="002D1E45" w:rsidRPr="007D124F" w:rsidRDefault="002D1E45" w:rsidP="007D124F">
      <w:pPr>
        <w:spacing w:after="0" w:line="240" w:lineRule="auto"/>
        <w:ind w:firstLine="709"/>
        <w:jc w:val="both"/>
        <w:rPr>
          <w:rFonts w:ascii="Times New Roman" w:hAnsi="Times New Roman"/>
          <w:sz w:val="28"/>
          <w:szCs w:val="28"/>
        </w:rPr>
      </w:pPr>
      <w:r w:rsidRPr="007D124F">
        <w:rPr>
          <w:rFonts w:ascii="Times New Roman" w:hAnsi="Times New Roman"/>
          <w:sz w:val="28"/>
          <w:szCs w:val="28"/>
        </w:rPr>
        <w:t xml:space="preserve">Ключевые постановления администрации города Куйбышева </w:t>
      </w:r>
      <w:r>
        <w:rPr>
          <w:rFonts w:ascii="Times New Roman" w:hAnsi="Times New Roman"/>
          <w:sz w:val="28"/>
          <w:szCs w:val="28"/>
        </w:rPr>
        <w:t>в сфере защиты населения от ЧС:</w:t>
      </w:r>
    </w:p>
    <w:p w:rsidR="002D1E45" w:rsidRPr="007D124F" w:rsidRDefault="002D1E45" w:rsidP="007D124F">
      <w:pPr>
        <w:numPr>
          <w:ilvl w:val="0"/>
          <w:numId w:val="24"/>
        </w:numPr>
        <w:spacing w:after="0" w:line="240" w:lineRule="auto"/>
        <w:jc w:val="both"/>
        <w:rPr>
          <w:rFonts w:ascii="Times New Roman" w:hAnsi="Times New Roman"/>
          <w:sz w:val="28"/>
          <w:szCs w:val="28"/>
        </w:rPr>
      </w:pPr>
      <w:r w:rsidRPr="007D124F">
        <w:rPr>
          <w:rFonts w:ascii="Times New Roman" w:hAnsi="Times New Roman"/>
          <w:sz w:val="28"/>
          <w:szCs w:val="28"/>
        </w:rPr>
        <w:t>Постановление Главы города Куйбышева от 27.07.2018 № 1 «Об утверждении</w:t>
      </w:r>
      <w:r>
        <w:rPr>
          <w:rFonts w:ascii="Times New Roman" w:hAnsi="Times New Roman"/>
          <w:sz w:val="28"/>
          <w:szCs w:val="28"/>
        </w:rPr>
        <w:t xml:space="preserve"> </w:t>
      </w:r>
      <w:r w:rsidRPr="007D124F">
        <w:rPr>
          <w:rFonts w:ascii="Times New Roman" w:hAnsi="Times New Roman"/>
          <w:sz w:val="28"/>
          <w:szCs w:val="28"/>
        </w:rPr>
        <w:t>положения об организации и ведении гражданской обороны в городе Куйбышеве</w:t>
      </w:r>
      <w:r>
        <w:rPr>
          <w:rFonts w:ascii="Times New Roman" w:hAnsi="Times New Roman"/>
          <w:sz w:val="28"/>
          <w:szCs w:val="28"/>
        </w:rPr>
        <w:t xml:space="preserve"> </w:t>
      </w:r>
      <w:r w:rsidRPr="007D124F">
        <w:rPr>
          <w:rFonts w:ascii="Times New Roman" w:hAnsi="Times New Roman"/>
          <w:sz w:val="28"/>
          <w:szCs w:val="28"/>
        </w:rPr>
        <w:t>Куйбышевского района Новосибирской области»</w:t>
      </w:r>
      <w:r>
        <w:rPr>
          <w:rFonts w:ascii="Times New Roman" w:hAnsi="Times New Roman"/>
          <w:sz w:val="28"/>
          <w:szCs w:val="28"/>
        </w:rPr>
        <w:t>;</w:t>
      </w:r>
    </w:p>
    <w:p w:rsidR="002D1E45" w:rsidRPr="007D124F" w:rsidRDefault="002D1E45" w:rsidP="007D124F">
      <w:pPr>
        <w:numPr>
          <w:ilvl w:val="0"/>
          <w:numId w:val="24"/>
        </w:numPr>
        <w:spacing w:after="0" w:line="240" w:lineRule="auto"/>
        <w:jc w:val="both"/>
        <w:rPr>
          <w:rFonts w:ascii="Times New Roman" w:hAnsi="Times New Roman"/>
          <w:sz w:val="28"/>
          <w:szCs w:val="28"/>
        </w:rPr>
      </w:pPr>
      <w:r w:rsidRPr="007D124F">
        <w:rPr>
          <w:rFonts w:ascii="Times New Roman" w:hAnsi="Times New Roman"/>
          <w:sz w:val="28"/>
          <w:szCs w:val="28"/>
        </w:rPr>
        <w:t>Постановление от 13.08.2018 № 1021 «О создании сил гражданской обороны города</w:t>
      </w:r>
      <w:r>
        <w:rPr>
          <w:rFonts w:ascii="Times New Roman" w:hAnsi="Times New Roman"/>
          <w:sz w:val="28"/>
          <w:szCs w:val="28"/>
        </w:rPr>
        <w:t xml:space="preserve"> </w:t>
      </w:r>
      <w:r w:rsidRPr="007D124F">
        <w:rPr>
          <w:rFonts w:ascii="Times New Roman" w:hAnsi="Times New Roman"/>
          <w:sz w:val="28"/>
          <w:szCs w:val="28"/>
        </w:rPr>
        <w:t>Куйбышева Куйбышевского района Новосибирской области и поддержании</w:t>
      </w:r>
      <w:r>
        <w:rPr>
          <w:rFonts w:ascii="Times New Roman" w:hAnsi="Times New Roman"/>
          <w:sz w:val="28"/>
          <w:szCs w:val="28"/>
        </w:rPr>
        <w:t xml:space="preserve"> </w:t>
      </w:r>
      <w:r w:rsidRPr="007D124F">
        <w:rPr>
          <w:rFonts w:ascii="Times New Roman" w:hAnsi="Times New Roman"/>
          <w:sz w:val="28"/>
          <w:szCs w:val="28"/>
        </w:rPr>
        <w:t>их в готовности к действиям»</w:t>
      </w:r>
      <w:r>
        <w:rPr>
          <w:rFonts w:ascii="Times New Roman" w:hAnsi="Times New Roman"/>
          <w:sz w:val="28"/>
          <w:szCs w:val="28"/>
        </w:rPr>
        <w:t>;</w:t>
      </w:r>
    </w:p>
    <w:p w:rsidR="002D1E45" w:rsidRPr="007D124F" w:rsidRDefault="002D1E45" w:rsidP="007D124F">
      <w:pPr>
        <w:numPr>
          <w:ilvl w:val="0"/>
          <w:numId w:val="24"/>
        </w:numPr>
        <w:spacing w:after="0" w:line="240" w:lineRule="auto"/>
        <w:jc w:val="both"/>
        <w:rPr>
          <w:rFonts w:ascii="Times New Roman" w:hAnsi="Times New Roman"/>
          <w:sz w:val="28"/>
          <w:szCs w:val="28"/>
        </w:rPr>
      </w:pPr>
      <w:r w:rsidRPr="007D124F">
        <w:rPr>
          <w:rFonts w:ascii="Times New Roman" w:hAnsi="Times New Roman"/>
          <w:sz w:val="28"/>
          <w:szCs w:val="28"/>
        </w:rPr>
        <w:t>Постановление от 27.07.2018 № 942 «О создании комиссии по повышению устойчивости</w:t>
      </w:r>
      <w:r>
        <w:rPr>
          <w:rFonts w:ascii="Times New Roman" w:hAnsi="Times New Roman"/>
          <w:sz w:val="28"/>
          <w:szCs w:val="28"/>
        </w:rPr>
        <w:t xml:space="preserve"> </w:t>
      </w:r>
      <w:r w:rsidRPr="007D124F">
        <w:rPr>
          <w:rFonts w:ascii="Times New Roman" w:hAnsi="Times New Roman"/>
          <w:sz w:val="28"/>
          <w:szCs w:val="28"/>
        </w:rPr>
        <w:t>функционирования объектов экономики города Куйбышева Куйбышевского</w:t>
      </w:r>
      <w:r>
        <w:rPr>
          <w:rFonts w:ascii="Times New Roman" w:hAnsi="Times New Roman"/>
          <w:sz w:val="28"/>
          <w:szCs w:val="28"/>
        </w:rPr>
        <w:t xml:space="preserve"> </w:t>
      </w:r>
      <w:r w:rsidRPr="007D124F">
        <w:rPr>
          <w:rFonts w:ascii="Times New Roman" w:hAnsi="Times New Roman"/>
          <w:sz w:val="28"/>
          <w:szCs w:val="28"/>
        </w:rPr>
        <w:t>района Новосибирской области в военное время и в чрезвычайных ситуациях»</w:t>
      </w:r>
      <w:r>
        <w:rPr>
          <w:rFonts w:ascii="Times New Roman" w:hAnsi="Times New Roman"/>
          <w:sz w:val="28"/>
          <w:szCs w:val="28"/>
        </w:rPr>
        <w:t>;</w:t>
      </w:r>
    </w:p>
    <w:p w:rsidR="002D1E45" w:rsidRPr="007D124F" w:rsidRDefault="002D1E45" w:rsidP="007D124F">
      <w:pPr>
        <w:numPr>
          <w:ilvl w:val="0"/>
          <w:numId w:val="24"/>
        </w:numPr>
        <w:spacing w:after="0" w:line="240" w:lineRule="auto"/>
        <w:jc w:val="both"/>
        <w:rPr>
          <w:rFonts w:ascii="Times New Roman" w:hAnsi="Times New Roman"/>
          <w:sz w:val="28"/>
          <w:szCs w:val="28"/>
        </w:rPr>
      </w:pPr>
      <w:r w:rsidRPr="007D124F">
        <w:rPr>
          <w:rFonts w:ascii="Times New Roman" w:hAnsi="Times New Roman"/>
          <w:sz w:val="28"/>
          <w:szCs w:val="28"/>
        </w:rPr>
        <w:t>Постановление от 13.08.2018 № 1020 «О порядке оповещения и информирования</w:t>
      </w:r>
      <w:r>
        <w:rPr>
          <w:rFonts w:ascii="Times New Roman" w:hAnsi="Times New Roman"/>
          <w:sz w:val="28"/>
          <w:szCs w:val="28"/>
        </w:rPr>
        <w:t xml:space="preserve"> </w:t>
      </w:r>
      <w:r w:rsidRPr="007D124F">
        <w:rPr>
          <w:rFonts w:ascii="Times New Roman" w:hAnsi="Times New Roman"/>
          <w:sz w:val="28"/>
          <w:szCs w:val="28"/>
        </w:rPr>
        <w:t>населения города Куйбышева Куйбышевского района Новосибирской области об</w:t>
      </w:r>
      <w:r>
        <w:rPr>
          <w:rFonts w:ascii="Times New Roman" w:hAnsi="Times New Roman"/>
          <w:sz w:val="28"/>
          <w:szCs w:val="28"/>
        </w:rPr>
        <w:t xml:space="preserve"> </w:t>
      </w:r>
      <w:r w:rsidRPr="007D124F">
        <w:rPr>
          <w:rFonts w:ascii="Times New Roman" w:hAnsi="Times New Roman"/>
          <w:sz w:val="28"/>
          <w:szCs w:val="28"/>
        </w:rPr>
        <w:t>опасностях, возникающих при военных конфликтах или вследствие этих конфликтов,</w:t>
      </w:r>
      <w:r>
        <w:rPr>
          <w:rFonts w:ascii="Times New Roman" w:hAnsi="Times New Roman"/>
          <w:sz w:val="28"/>
          <w:szCs w:val="28"/>
        </w:rPr>
        <w:t xml:space="preserve"> </w:t>
      </w:r>
      <w:r w:rsidRPr="007D124F">
        <w:rPr>
          <w:rFonts w:ascii="Times New Roman" w:hAnsi="Times New Roman"/>
          <w:sz w:val="28"/>
          <w:szCs w:val="28"/>
        </w:rPr>
        <w:t>а также при чрезвычайных ситуациях природного и техногенного характера»</w:t>
      </w:r>
      <w:r>
        <w:rPr>
          <w:rFonts w:ascii="Times New Roman" w:hAnsi="Times New Roman"/>
          <w:sz w:val="28"/>
          <w:szCs w:val="28"/>
        </w:rPr>
        <w:t xml:space="preserve">; </w:t>
      </w:r>
    </w:p>
    <w:p w:rsidR="002D1E45" w:rsidRPr="001F6325" w:rsidRDefault="002D1E45" w:rsidP="007D124F">
      <w:pPr>
        <w:numPr>
          <w:ilvl w:val="0"/>
          <w:numId w:val="24"/>
        </w:numPr>
        <w:spacing w:after="0" w:line="240" w:lineRule="auto"/>
        <w:jc w:val="both"/>
        <w:rPr>
          <w:rFonts w:ascii="Times New Roman" w:hAnsi="Times New Roman"/>
          <w:sz w:val="28"/>
          <w:szCs w:val="28"/>
        </w:rPr>
      </w:pPr>
      <w:r w:rsidRPr="007D124F">
        <w:rPr>
          <w:rFonts w:ascii="Times New Roman" w:hAnsi="Times New Roman"/>
          <w:sz w:val="28"/>
          <w:szCs w:val="28"/>
        </w:rPr>
        <w:t>Постановление от 27.07.2018</w:t>
      </w:r>
      <w:r>
        <w:rPr>
          <w:rFonts w:ascii="Times New Roman" w:hAnsi="Times New Roman"/>
          <w:sz w:val="28"/>
          <w:szCs w:val="28"/>
        </w:rPr>
        <w:t xml:space="preserve"> </w:t>
      </w:r>
      <w:r w:rsidRPr="007D124F">
        <w:rPr>
          <w:rFonts w:ascii="Times New Roman" w:hAnsi="Times New Roman"/>
          <w:sz w:val="28"/>
          <w:szCs w:val="28"/>
        </w:rPr>
        <w:t>№ 945 «О создании при администрации города</w:t>
      </w:r>
      <w:r>
        <w:rPr>
          <w:rFonts w:ascii="Times New Roman" w:hAnsi="Times New Roman"/>
          <w:sz w:val="28"/>
          <w:szCs w:val="28"/>
        </w:rPr>
        <w:t xml:space="preserve"> К</w:t>
      </w:r>
      <w:r w:rsidRPr="007D124F">
        <w:rPr>
          <w:rFonts w:ascii="Times New Roman" w:hAnsi="Times New Roman"/>
          <w:sz w:val="28"/>
          <w:szCs w:val="28"/>
        </w:rPr>
        <w:t>уйбышева Куйбышевского района Новосибирской области постоянно действующего</w:t>
      </w:r>
      <w:r>
        <w:rPr>
          <w:rFonts w:ascii="Times New Roman" w:hAnsi="Times New Roman"/>
          <w:sz w:val="28"/>
          <w:szCs w:val="28"/>
        </w:rPr>
        <w:t xml:space="preserve"> </w:t>
      </w:r>
      <w:r w:rsidRPr="007D124F">
        <w:rPr>
          <w:rFonts w:ascii="Times New Roman" w:hAnsi="Times New Roman"/>
          <w:sz w:val="28"/>
          <w:szCs w:val="28"/>
        </w:rPr>
        <w:t>органа управления Куйбышевского городского звена территориальной</w:t>
      </w:r>
      <w:r>
        <w:rPr>
          <w:rFonts w:ascii="Times New Roman" w:hAnsi="Times New Roman"/>
          <w:sz w:val="28"/>
          <w:szCs w:val="28"/>
        </w:rPr>
        <w:t xml:space="preserve"> </w:t>
      </w:r>
      <w:r w:rsidRPr="007D124F">
        <w:rPr>
          <w:rFonts w:ascii="Times New Roman" w:hAnsi="Times New Roman"/>
          <w:sz w:val="28"/>
          <w:szCs w:val="28"/>
        </w:rPr>
        <w:t>подсистемы, единой государственной системы предупреждения и ликвидации</w:t>
      </w:r>
      <w:r>
        <w:rPr>
          <w:rFonts w:ascii="Times New Roman" w:hAnsi="Times New Roman"/>
          <w:sz w:val="28"/>
          <w:szCs w:val="28"/>
        </w:rPr>
        <w:t xml:space="preserve"> </w:t>
      </w:r>
      <w:r w:rsidRPr="007D124F">
        <w:rPr>
          <w:rFonts w:ascii="Times New Roman" w:hAnsi="Times New Roman"/>
          <w:sz w:val="28"/>
          <w:szCs w:val="28"/>
        </w:rPr>
        <w:t>чрезвычайных ситуаций».</w:t>
      </w:r>
    </w:p>
    <w:p w:rsidR="002D1E45" w:rsidRPr="001F6325" w:rsidRDefault="002D1E45" w:rsidP="001F6325">
      <w:pPr>
        <w:spacing w:after="0" w:line="240" w:lineRule="auto"/>
        <w:ind w:firstLine="709"/>
        <w:jc w:val="right"/>
        <w:rPr>
          <w:rFonts w:ascii="Times New Roman" w:hAnsi="Times New Roman"/>
          <w:sz w:val="28"/>
          <w:szCs w:val="28"/>
        </w:rPr>
      </w:pPr>
      <w:r w:rsidRPr="001F6325">
        <w:rPr>
          <w:rFonts w:ascii="Times New Roman" w:hAnsi="Times New Roman"/>
          <w:sz w:val="28"/>
          <w:szCs w:val="28"/>
        </w:rPr>
        <w:t xml:space="preserve">Таблица </w:t>
      </w:r>
      <w:r w:rsidRPr="001F6325">
        <w:rPr>
          <w:rFonts w:ascii="Times New Roman" w:hAnsi="Times New Roman"/>
          <w:sz w:val="28"/>
          <w:szCs w:val="28"/>
        </w:rPr>
        <w:fldChar w:fldCharType="begin"/>
      </w:r>
      <w:r w:rsidRPr="001F6325">
        <w:rPr>
          <w:rFonts w:ascii="Times New Roman" w:hAnsi="Times New Roman"/>
          <w:sz w:val="28"/>
          <w:szCs w:val="28"/>
        </w:rPr>
        <w:instrText xml:space="preserve"> SEQ Таблица \* ARABIC </w:instrText>
      </w:r>
      <w:r w:rsidRPr="001F6325">
        <w:rPr>
          <w:rFonts w:ascii="Times New Roman" w:hAnsi="Times New Roman"/>
          <w:sz w:val="28"/>
          <w:szCs w:val="28"/>
        </w:rPr>
        <w:fldChar w:fldCharType="separate"/>
      </w:r>
      <w:r>
        <w:rPr>
          <w:rFonts w:ascii="Times New Roman" w:hAnsi="Times New Roman"/>
          <w:noProof/>
          <w:sz w:val="28"/>
          <w:szCs w:val="28"/>
        </w:rPr>
        <w:t>42</w:t>
      </w:r>
      <w:r w:rsidRPr="001F6325">
        <w:rPr>
          <w:rFonts w:ascii="Times New Roman" w:hAnsi="Times New Roman"/>
          <w:sz w:val="28"/>
          <w:szCs w:val="28"/>
        </w:rPr>
        <w:fldChar w:fldCharType="end"/>
      </w:r>
    </w:p>
    <w:p w:rsidR="002D1E45" w:rsidRPr="001F6325" w:rsidRDefault="002D1E45" w:rsidP="001F6325">
      <w:pPr>
        <w:spacing w:after="120" w:line="240" w:lineRule="auto"/>
        <w:jc w:val="center"/>
        <w:rPr>
          <w:rFonts w:ascii="Times New Roman" w:hAnsi="Times New Roman"/>
          <w:sz w:val="28"/>
          <w:szCs w:val="24"/>
          <w:lang w:eastAsia="ru-RU"/>
        </w:rPr>
      </w:pPr>
      <w:r w:rsidRPr="001F6325">
        <w:rPr>
          <w:rFonts w:ascii="Times New Roman" w:hAnsi="Times New Roman"/>
          <w:sz w:val="28"/>
          <w:szCs w:val="24"/>
          <w:lang w:eastAsia="ru-RU"/>
        </w:rPr>
        <w:t>Оценка защищённости, исходя из</w:t>
      </w:r>
      <w:r>
        <w:rPr>
          <w:rFonts w:ascii="Times New Roman" w:hAnsi="Times New Roman"/>
          <w:sz w:val="28"/>
          <w:szCs w:val="24"/>
          <w:lang w:eastAsia="ru-RU"/>
        </w:rPr>
        <w:t> </w:t>
      </w:r>
      <w:r w:rsidRPr="001F6325">
        <w:rPr>
          <w:rFonts w:ascii="Times New Roman" w:hAnsi="Times New Roman"/>
          <w:sz w:val="28"/>
          <w:szCs w:val="24"/>
          <w:lang w:eastAsia="ru-RU"/>
        </w:rPr>
        <w:t>рисков возникновения ЧС</w:t>
      </w:r>
      <w:r>
        <w:rPr>
          <w:rFonts w:ascii="Times New Roman" w:hAnsi="Times New Roman"/>
          <w:sz w:val="28"/>
          <w:szCs w:val="24"/>
          <w:lang w:eastAsia="ru-RU"/>
        </w:rPr>
        <w:t> </w:t>
      </w:r>
      <w:r w:rsidRPr="001F6325">
        <w:rPr>
          <w:rFonts w:ascii="Times New Roman" w:hAnsi="Times New Roman"/>
          <w:sz w:val="28"/>
          <w:szCs w:val="24"/>
          <w:lang w:eastAsia="ru-RU"/>
        </w:rPr>
        <w:t>техногенного характера на</w:t>
      </w:r>
      <w:r>
        <w:rPr>
          <w:rFonts w:ascii="Times New Roman" w:hAnsi="Times New Roman"/>
          <w:sz w:val="28"/>
          <w:szCs w:val="24"/>
          <w:lang w:eastAsia="ru-RU"/>
        </w:rPr>
        <w:t> </w:t>
      </w:r>
      <w:r w:rsidRPr="001F6325">
        <w:rPr>
          <w:rFonts w:ascii="Times New Roman" w:hAnsi="Times New Roman"/>
          <w:sz w:val="28"/>
          <w:szCs w:val="24"/>
          <w:lang w:eastAsia="ru-RU"/>
        </w:rPr>
        <w:t xml:space="preserve">территории </w:t>
      </w:r>
      <w:r>
        <w:rPr>
          <w:rFonts w:ascii="Times New Roman" w:hAnsi="Times New Roman"/>
          <w:sz w:val="28"/>
          <w:szCs w:val="24"/>
          <w:lang w:eastAsia="ru-RU"/>
        </w:rPr>
        <w:t>города Куйбышева</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51"/>
        <w:gridCol w:w="3586"/>
        <w:gridCol w:w="1810"/>
        <w:gridCol w:w="1986"/>
        <w:gridCol w:w="2410"/>
      </w:tblGrid>
      <w:tr w:rsidR="002D1E45" w:rsidRPr="001F6325" w:rsidTr="007A0493">
        <w:trPr>
          <w:trHeight w:val="283"/>
          <w:tblHeader/>
          <w:jc w:val="center"/>
        </w:trPr>
        <w:tc>
          <w:tcPr>
            <w:tcW w:w="551" w:type="dxa"/>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snapToGrid w:val="0"/>
                <w:sz w:val="24"/>
                <w:szCs w:val="24"/>
                <w:lang w:eastAsia="ru-RU"/>
              </w:rPr>
              <w:t>№ п/п</w:t>
            </w:r>
          </w:p>
        </w:tc>
        <w:tc>
          <w:tcPr>
            <w:tcW w:w="3586" w:type="dxa"/>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bCs/>
                <w:color w:val="000000"/>
                <w:kern w:val="24"/>
                <w:sz w:val="24"/>
                <w:szCs w:val="24"/>
                <w:lang w:eastAsia="ru-RU"/>
              </w:rPr>
              <w:t>Наименование риска</w:t>
            </w:r>
          </w:p>
        </w:tc>
        <w:tc>
          <w:tcPr>
            <w:tcW w:w="1810" w:type="dxa"/>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bCs/>
                <w:color w:val="000000"/>
                <w:kern w:val="24"/>
                <w:sz w:val="24"/>
                <w:szCs w:val="24"/>
                <w:lang w:eastAsia="ru-RU"/>
              </w:rPr>
              <w:t>Показатель риска</w:t>
            </w:r>
          </w:p>
        </w:tc>
        <w:tc>
          <w:tcPr>
            <w:tcW w:w="1986" w:type="dxa"/>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bCs/>
                <w:color w:val="000000"/>
                <w:kern w:val="24"/>
                <w:sz w:val="24"/>
                <w:szCs w:val="24"/>
                <w:lang w:eastAsia="ru-RU"/>
              </w:rPr>
              <w:t>Временные показатели риска</w:t>
            </w:r>
          </w:p>
        </w:tc>
        <w:tc>
          <w:tcPr>
            <w:tcW w:w="2410" w:type="dxa"/>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snapToGrid w:val="0"/>
                <w:sz w:val="24"/>
                <w:szCs w:val="24"/>
                <w:lang w:eastAsia="ru-RU"/>
              </w:rPr>
              <w:t>Населённый пункт</w:t>
            </w:r>
          </w:p>
        </w:tc>
      </w:tr>
      <w:tr w:rsidR="002D1E45" w:rsidRPr="001F6325" w:rsidTr="007A0493">
        <w:trPr>
          <w:trHeight w:val="283"/>
          <w:jc w:val="center"/>
        </w:trPr>
        <w:tc>
          <w:tcPr>
            <w:tcW w:w="10343" w:type="dxa"/>
            <w:gridSpan w:val="5"/>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bCs/>
                <w:color w:val="000000"/>
                <w:kern w:val="24"/>
                <w:sz w:val="24"/>
                <w:szCs w:val="24"/>
                <w:lang w:eastAsia="ru-RU"/>
              </w:rPr>
              <w:t>Риски возникновения ЧС на транспорте</w:t>
            </w:r>
          </w:p>
        </w:tc>
      </w:tr>
      <w:tr w:rsidR="002D1E45" w:rsidRPr="001F6325" w:rsidTr="007A0493">
        <w:trPr>
          <w:trHeight w:val="283"/>
          <w:jc w:val="center"/>
        </w:trPr>
        <w:tc>
          <w:tcPr>
            <w:tcW w:w="551" w:type="dxa"/>
            <w:vAlign w:val="center"/>
          </w:tcPr>
          <w:p w:rsidR="002D1E45" w:rsidRPr="007A0493" w:rsidRDefault="002D1E45" w:rsidP="007A0493">
            <w:pPr>
              <w:numPr>
                <w:ilvl w:val="0"/>
                <w:numId w:val="87"/>
              </w:numPr>
              <w:spacing w:after="0" w:line="240" w:lineRule="auto"/>
              <w:contextualSpacing/>
              <w:jc w:val="center"/>
              <w:rPr>
                <w:snapToGrid w:val="0"/>
                <w:sz w:val="24"/>
                <w:szCs w:val="24"/>
                <w:lang w:eastAsia="ru-RU"/>
              </w:rPr>
            </w:pPr>
          </w:p>
        </w:tc>
        <w:tc>
          <w:tcPr>
            <w:tcW w:w="3586" w:type="dxa"/>
            <w:vAlign w:val="center"/>
          </w:tcPr>
          <w:p w:rsidR="002D1E45" w:rsidRPr="007A0493" w:rsidRDefault="002D1E45" w:rsidP="007A0493">
            <w:pPr>
              <w:spacing w:after="0" w:line="240" w:lineRule="auto"/>
              <w:rPr>
                <w:rFonts w:ascii="Times New Roman" w:hAnsi="Times New Roman"/>
                <w:snapToGrid w:val="0"/>
                <w:sz w:val="24"/>
                <w:szCs w:val="24"/>
                <w:lang w:eastAsia="ru-RU"/>
              </w:rPr>
            </w:pPr>
            <w:r w:rsidRPr="007A0493">
              <w:rPr>
                <w:rFonts w:ascii="Times New Roman" w:hAnsi="Times New Roman"/>
                <w:color w:val="000000"/>
                <w:kern w:val="24"/>
                <w:sz w:val="24"/>
                <w:szCs w:val="24"/>
                <w:lang w:eastAsia="ru-RU"/>
              </w:rPr>
              <w:t>Риск возникновения ЧС на объектах автомобильного транспорта</w:t>
            </w:r>
          </w:p>
        </w:tc>
        <w:tc>
          <w:tcPr>
            <w:tcW w:w="1810" w:type="dxa"/>
            <w:vAlign w:val="center"/>
          </w:tcPr>
          <w:p w:rsidR="002D1E45" w:rsidRPr="007A0493" w:rsidRDefault="002D1E45" w:rsidP="007A0493">
            <w:pPr>
              <w:spacing w:after="0" w:line="240" w:lineRule="auto"/>
              <w:jc w:val="center"/>
              <w:rPr>
                <w:rFonts w:ascii="Times New Roman" w:hAnsi="Times New Roman"/>
                <w:snapToGrid w:val="0"/>
                <w:sz w:val="24"/>
                <w:szCs w:val="24"/>
                <w:vertAlign w:val="superscript"/>
                <w:lang w:eastAsia="ru-RU"/>
              </w:rPr>
            </w:pPr>
            <w:r w:rsidRPr="007A0493">
              <w:rPr>
                <w:rFonts w:ascii="Times New Roman" w:hAnsi="Times New Roman"/>
                <w:snapToGrid w:val="0"/>
                <w:sz w:val="24"/>
                <w:szCs w:val="24"/>
                <w:lang w:eastAsia="ru-RU"/>
              </w:rPr>
              <w:t>Приемлемый риск - 10</w:t>
            </w:r>
            <w:r w:rsidRPr="007A0493">
              <w:rPr>
                <w:rFonts w:ascii="Times New Roman" w:hAnsi="Times New Roman"/>
                <w:snapToGrid w:val="0"/>
                <w:sz w:val="24"/>
                <w:szCs w:val="24"/>
                <w:vertAlign w:val="superscript"/>
                <w:lang w:eastAsia="ru-RU"/>
              </w:rPr>
              <w:t>- 4</w:t>
            </w:r>
          </w:p>
        </w:tc>
        <w:tc>
          <w:tcPr>
            <w:tcW w:w="1986" w:type="dxa"/>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color w:val="000000"/>
                <w:kern w:val="24"/>
                <w:sz w:val="24"/>
                <w:szCs w:val="24"/>
                <w:lang w:eastAsia="ru-RU"/>
              </w:rPr>
              <w:t>январь – декабрь</w:t>
            </w:r>
          </w:p>
        </w:tc>
        <w:tc>
          <w:tcPr>
            <w:tcW w:w="2410" w:type="dxa"/>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snapToGrid w:val="0"/>
                <w:sz w:val="24"/>
                <w:szCs w:val="24"/>
                <w:lang w:eastAsia="ru-RU"/>
              </w:rPr>
              <w:t>На всей территории города</w:t>
            </w:r>
          </w:p>
        </w:tc>
      </w:tr>
      <w:tr w:rsidR="002D1E45" w:rsidRPr="001F6325" w:rsidTr="007A0493">
        <w:trPr>
          <w:trHeight w:val="283"/>
          <w:jc w:val="center"/>
        </w:trPr>
        <w:tc>
          <w:tcPr>
            <w:tcW w:w="551" w:type="dxa"/>
            <w:vAlign w:val="center"/>
          </w:tcPr>
          <w:p w:rsidR="002D1E45" w:rsidRPr="007A0493" w:rsidRDefault="002D1E45" w:rsidP="007A0493">
            <w:pPr>
              <w:numPr>
                <w:ilvl w:val="0"/>
                <w:numId w:val="87"/>
              </w:numPr>
              <w:spacing w:after="0" w:line="240" w:lineRule="auto"/>
              <w:contextualSpacing/>
              <w:jc w:val="center"/>
              <w:rPr>
                <w:snapToGrid w:val="0"/>
                <w:sz w:val="24"/>
                <w:szCs w:val="24"/>
                <w:lang w:eastAsia="ru-RU"/>
              </w:rPr>
            </w:pPr>
          </w:p>
        </w:tc>
        <w:tc>
          <w:tcPr>
            <w:tcW w:w="3586" w:type="dxa"/>
            <w:vAlign w:val="center"/>
          </w:tcPr>
          <w:p w:rsidR="002D1E45" w:rsidRPr="007A0493" w:rsidRDefault="002D1E45" w:rsidP="007A0493">
            <w:pPr>
              <w:spacing w:after="0" w:line="240" w:lineRule="auto"/>
              <w:rPr>
                <w:rFonts w:ascii="Times New Roman" w:hAnsi="Times New Roman"/>
                <w:snapToGrid w:val="0"/>
                <w:sz w:val="24"/>
                <w:szCs w:val="24"/>
                <w:lang w:eastAsia="ru-RU"/>
              </w:rPr>
            </w:pPr>
            <w:r w:rsidRPr="007A0493">
              <w:rPr>
                <w:rFonts w:ascii="Times New Roman" w:hAnsi="Times New Roman"/>
                <w:color w:val="000000"/>
                <w:kern w:val="24"/>
                <w:sz w:val="24"/>
                <w:szCs w:val="24"/>
                <w:lang w:eastAsia="ru-RU"/>
              </w:rPr>
              <w:t>Риски возникновения ЧС на объектах железнодорожного транспорта</w:t>
            </w:r>
          </w:p>
        </w:tc>
        <w:tc>
          <w:tcPr>
            <w:tcW w:w="3796" w:type="dxa"/>
            <w:gridSpan w:val="2"/>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snapToGrid w:val="0"/>
                <w:sz w:val="24"/>
                <w:szCs w:val="24"/>
                <w:lang w:eastAsia="ru-RU"/>
              </w:rPr>
              <w:t>Риск не характерен</w:t>
            </w:r>
          </w:p>
        </w:tc>
        <w:tc>
          <w:tcPr>
            <w:tcW w:w="2410" w:type="dxa"/>
            <w:vAlign w:val="center"/>
          </w:tcPr>
          <w:p w:rsidR="002D1E45" w:rsidRPr="007A0493" w:rsidRDefault="002D1E45" w:rsidP="007A0493">
            <w:pPr>
              <w:spacing w:after="0" w:line="240" w:lineRule="auto"/>
              <w:jc w:val="center"/>
              <w:rPr>
                <w:rFonts w:ascii="Times New Roman" w:hAnsi="Times New Roman"/>
                <w:sz w:val="24"/>
                <w:szCs w:val="24"/>
                <w:lang w:eastAsia="ru-RU"/>
              </w:rPr>
            </w:pPr>
            <w:r w:rsidRPr="007A0493">
              <w:rPr>
                <w:rFonts w:ascii="Times New Roman" w:hAnsi="Times New Roman"/>
                <w:snapToGrid w:val="0"/>
                <w:sz w:val="24"/>
                <w:szCs w:val="24"/>
                <w:lang w:eastAsia="ru-RU"/>
              </w:rPr>
              <w:t>На всей территории города</w:t>
            </w:r>
          </w:p>
        </w:tc>
      </w:tr>
      <w:tr w:rsidR="002D1E45" w:rsidRPr="001F6325" w:rsidTr="007A0493">
        <w:trPr>
          <w:trHeight w:val="283"/>
          <w:jc w:val="center"/>
        </w:trPr>
        <w:tc>
          <w:tcPr>
            <w:tcW w:w="551" w:type="dxa"/>
            <w:vAlign w:val="center"/>
          </w:tcPr>
          <w:p w:rsidR="002D1E45" w:rsidRPr="007A0493" w:rsidRDefault="002D1E45" w:rsidP="007A0493">
            <w:pPr>
              <w:numPr>
                <w:ilvl w:val="0"/>
                <w:numId w:val="87"/>
              </w:numPr>
              <w:spacing w:after="0" w:line="240" w:lineRule="auto"/>
              <w:contextualSpacing/>
              <w:jc w:val="center"/>
              <w:rPr>
                <w:snapToGrid w:val="0"/>
                <w:sz w:val="24"/>
                <w:szCs w:val="24"/>
                <w:lang w:eastAsia="ru-RU"/>
              </w:rPr>
            </w:pPr>
          </w:p>
        </w:tc>
        <w:tc>
          <w:tcPr>
            <w:tcW w:w="3586" w:type="dxa"/>
            <w:vAlign w:val="center"/>
          </w:tcPr>
          <w:p w:rsidR="002D1E45" w:rsidRPr="007A0493" w:rsidRDefault="002D1E45" w:rsidP="007A0493">
            <w:pPr>
              <w:spacing w:after="0" w:line="240" w:lineRule="auto"/>
              <w:textAlignment w:val="baseline"/>
              <w:rPr>
                <w:rFonts w:ascii="Times New Roman" w:hAnsi="Times New Roman"/>
                <w:sz w:val="24"/>
                <w:szCs w:val="24"/>
                <w:lang w:eastAsia="ru-RU"/>
              </w:rPr>
            </w:pPr>
            <w:r w:rsidRPr="007A0493">
              <w:rPr>
                <w:rFonts w:ascii="Times New Roman" w:hAnsi="Times New Roman"/>
                <w:color w:val="000000"/>
                <w:kern w:val="24"/>
                <w:sz w:val="24"/>
                <w:szCs w:val="24"/>
                <w:lang w:eastAsia="ru-RU"/>
              </w:rPr>
              <w:t>Риски возникновения ЧС на объектах воздушного транспорта</w:t>
            </w:r>
          </w:p>
        </w:tc>
        <w:tc>
          <w:tcPr>
            <w:tcW w:w="3796" w:type="dxa"/>
            <w:gridSpan w:val="2"/>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snapToGrid w:val="0"/>
                <w:sz w:val="24"/>
                <w:szCs w:val="24"/>
                <w:lang w:eastAsia="ru-RU"/>
              </w:rPr>
              <w:t>Риск не характерен</w:t>
            </w:r>
          </w:p>
        </w:tc>
        <w:tc>
          <w:tcPr>
            <w:tcW w:w="2410" w:type="dxa"/>
            <w:vAlign w:val="center"/>
          </w:tcPr>
          <w:p w:rsidR="002D1E45" w:rsidRPr="007A0493" w:rsidRDefault="002D1E45" w:rsidP="007A0493">
            <w:pPr>
              <w:spacing w:after="0" w:line="240" w:lineRule="auto"/>
              <w:jc w:val="center"/>
              <w:rPr>
                <w:rFonts w:ascii="Times New Roman" w:hAnsi="Times New Roman"/>
                <w:sz w:val="24"/>
                <w:szCs w:val="24"/>
                <w:lang w:eastAsia="ru-RU"/>
              </w:rPr>
            </w:pPr>
            <w:r w:rsidRPr="007A0493">
              <w:rPr>
                <w:rFonts w:ascii="Times New Roman" w:hAnsi="Times New Roman"/>
                <w:snapToGrid w:val="0"/>
                <w:sz w:val="24"/>
                <w:szCs w:val="24"/>
                <w:lang w:eastAsia="ru-RU"/>
              </w:rPr>
              <w:t>На всей территории города</w:t>
            </w:r>
          </w:p>
        </w:tc>
      </w:tr>
      <w:tr w:rsidR="002D1E45" w:rsidRPr="001F6325" w:rsidTr="007A0493">
        <w:trPr>
          <w:trHeight w:val="283"/>
          <w:jc w:val="center"/>
        </w:trPr>
        <w:tc>
          <w:tcPr>
            <w:tcW w:w="551" w:type="dxa"/>
            <w:vAlign w:val="center"/>
          </w:tcPr>
          <w:p w:rsidR="002D1E45" w:rsidRPr="007A0493" w:rsidRDefault="002D1E45" w:rsidP="007A0493">
            <w:pPr>
              <w:numPr>
                <w:ilvl w:val="0"/>
                <w:numId w:val="87"/>
              </w:numPr>
              <w:spacing w:after="0" w:line="240" w:lineRule="auto"/>
              <w:contextualSpacing/>
              <w:jc w:val="center"/>
              <w:rPr>
                <w:snapToGrid w:val="0"/>
                <w:sz w:val="24"/>
                <w:szCs w:val="24"/>
                <w:lang w:eastAsia="ru-RU"/>
              </w:rPr>
            </w:pPr>
          </w:p>
        </w:tc>
        <w:tc>
          <w:tcPr>
            <w:tcW w:w="3586" w:type="dxa"/>
            <w:vAlign w:val="center"/>
          </w:tcPr>
          <w:p w:rsidR="002D1E45" w:rsidRPr="007A0493" w:rsidRDefault="002D1E45" w:rsidP="007A0493">
            <w:pPr>
              <w:spacing w:after="0" w:line="240" w:lineRule="auto"/>
              <w:textAlignment w:val="baseline"/>
              <w:rPr>
                <w:rFonts w:ascii="Times New Roman" w:hAnsi="Times New Roman"/>
                <w:sz w:val="24"/>
                <w:szCs w:val="24"/>
                <w:lang w:eastAsia="ru-RU"/>
              </w:rPr>
            </w:pPr>
            <w:r w:rsidRPr="007A0493">
              <w:rPr>
                <w:rFonts w:ascii="Times New Roman" w:hAnsi="Times New Roman"/>
                <w:color w:val="000000"/>
                <w:kern w:val="24"/>
                <w:sz w:val="24"/>
                <w:szCs w:val="24"/>
                <w:lang w:eastAsia="ru-RU"/>
              </w:rPr>
              <w:t>Риски возникновения ЧС на объектах морского транспорта</w:t>
            </w:r>
          </w:p>
        </w:tc>
        <w:tc>
          <w:tcPr>
            <w:tcW w:w="3796" w:type="dxa"/>
            <w:gridSpan w:val="2"/>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snapToGrid w:val="0"/>
                <w:sz w:val="24"/>
                <w:szCs w:val="24"/>
                <w:lang w:eastAsia="ru-RU"/>
              </w:rPr>
              <w:t>Риск не характерен</w:t>
            </w:r>
          </w:p>
        </w:tc>
        <w:tc>
          <w:tcPr>
            <w:tcW w:w="2410" w:type="dxa"/>
            <w:vAlign w:val="center"/>
          </w:tcPr>
          <w:p w:rsidR="002D1E45" w:rsidRPr="007A0493" w:rsidRDefault="002D1E45" w:rsidP="007A0493">
            <w:pPr>
              <w:spacing w:after="0" w:line="240" w:lineRule="auto"/>
              <w:jc w:val="center"/>
              <w:rPr>
                <w:rFonts w:ascii="Times New Roman" w:hAnsi="Times New Roman"/>
                <w:sz w:val="24"/>
                <w:szCs w:val="24"/>
                <w:lang w:eastAsia="ru-RU"/>
              </w:rPr>
            </w:pPr>
            <w:r w:rsidRPr="007A0493">
              <w:rPr>
                <w:rFonts w:ascii="Times New Roman" w:hAnsi="Times New Roman"/>
                <w:snapToGrid w:val="0"/>
                <w:sz w:val="24"/>
                <w:szCs w:val="24"/>
                <w:lang w:eastAsia="ru-RU"/>
              </w:rPr>
              <w:t>На всей территории города</w:t>
            </w:r>
          </w:p>
        </w:tc>
      </w:tr>
      <w:tr w:rsidR="002D1E45" w:rsidRPr="001F6325" w:rsidTr="007A0493">
        <w:trPr>
          <w:trHeight w:val="283"/>
          <w:jc w:val="center"/>
        </w:trPr>
        <w:tc>
          <w:tcPr>
            <w:tcW w:w="551" w:type="dxa"/>
            <w:vAlign w:val="center"/>
          </w:tcPr>
          <w:p w:rsidR="002D1E45" w:rsidRPr="007A0493" w:rsidRDefault="002D1E45" w:rsidP="007A0493">
            <w:pPr>
              <w:numPr>
                <w:ilvl w:val="0"/>
                <w:numId w:val="87"/>
              </w:numPr>
              <w:spacing w:after="0" w:line="240" w:lineRule="auto"/>
              <w:contextualSpacing/>
              <w:jc w:val="center"/>
              <w:rPr>
                <w:snapToGrid w:val="0"/>
                <w:sz w:val="24"/>
                <w:szCs w:val="24"/>
                <w:lang w:eastAsia="ru-RU"/>
              </w:rPr>
            </w:pPr>
          </w:p>
        </w:tc>
        <w:tc>
          <w:tcPr>
            <w:tcW w:w="3586" w:type="dxa"/>
            <w:vAlign w:val="center"/>
          </w:tcPr>
          <w:p w:rsidR="002D1E45" w:rsidRPr="007A0493" w:rsidRDefault="002D1E45" w:rsidP="007A0493">
            <w:pPr>
              <w:spacing w:after="0" w:line="240" w:lineRule="auto"/>
              <w:textAlignment w:val="baseline"/>
              <w:rPr>
                <w:rFonts w:ascii="Times New Roman" w:hAnsi="Times New Roman"/>
                <w:sz w:val="24"/>
                <w:szCs w:val="24"/>
                <w:lang w:eastAsia="ru-RU"/>
              </w:rPr>
            </w:pPr>
            <w:r w:rsidRPr="007A0493">
              <w:rPr>
                <w:rFonts w:ascii="Times New Roman" w:hAnsi="Times New Roman"/>
                <w:color w:val="000000"/>
                <w:kern w:val="24"/>
                <w:sz w:val="24"/>
                <w:szCs w:val="24"/>
                <w:lang w:eastAsia="ru-RU"/>
              </w:rPr>
              <w:t>Риски возникновения ЧС на объектах речного транспорта</w:t>
            </w:r>
          </w:p>
        </w:tc>
        <w:tc>
          <w:tcPr>
            <w:tcW w:w="1810" w:type="dxa"/>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snapToGrid w:val="0"/>
                <w:sz w:val="24"/>
                <w:szCs w:val="24"/>
                <w:lang w:eastAsia="ru-RU"/>
              </w:rPr>
              <w:t>Приемлемый риск - 10</w:t>
            </w:r>
            <w:r w:rsidRPr="007A0493">
              <w:rPr>
                <w:rFonts w:ascii="Times New Roman" w:hAnsi="Times New Roman"/>
                <w:snapToGrid w:val="0"/>
                <w:sz w:val="24"/>
                <w:szCs w:val="24"/>
                <w:vertAlign w:val="superscript"/>
                <w:lang w:eastAsia="ru-RU"/>
              </w:rPr>
              <w:t>- 4</w:t>
            </w:r>
          </w:p>
        </w:tc>
        <w:tc>
          <w:tcPr>
            <w:tcW w:w="1986" w:type="dxa"/>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snapToGrid w:val="0"/>
                <w:sz w:val="24"/>
                <w:szCs w:val="24"/>
                <w:lang w:eastAsia="ru-RU"/>
              </w:rPr>
              <w:t>май – октябрь</w:t>
            </w:r>
          </w:p>
        </w:tc>
        <w:tc>
          <w:tcPr>
            <w:tcW w:w="2410" w:type="dxa"/>
            <w:vAlign w:val="center"/>
          </w:tcPr>
          <w:p w:rsidR="002D1E45" w:rsidRPr="007A0493" w:rsidRDefault="002D1E45" w:rsidP="007A0493">
            <w:pPr>
              <w:spacing w:after="0" w:line="240" w:lineRule="auto"/>
              <w:jc w:val="center"/>
              <w:rPr>
                <w:rFonts w:ascii="Times New Roman" w:hAnsi="Times New Roman"/>
                <w:sz w:val="24"/>
                <w:szCs w:val="24"/>
                <w:lang w:eastAsia="ru-RU"/>
              </w:rPr>
            </w:pPr>
            <w:r w:rsidRPr="007A0493">
              <w:rPr>
                <w:rFonts w:ascii="Times New Roman" w:hAnsi="Times New Roman"/>
                <w:snapToGrid w:val="0"/>
                <w:sz w:val="24"/>
                <w:szCs w:val="24"/>
                <w:lang w:eastAsia="ru-RU"/>
              </w:rPr>
              <w:t>На всей территории города</w:t>
            </w:r>
          </w:p>
        </w:tc>
      </w:tr>
      <w:tr w:rsidR="002D1E45" w:rsidRPr="001F6325" w:rsidTr="007A0493">
        <w:trPr>
          <w:trHeight w:val="283"/>
          <w:jc w:val="center"/>
        </w:trPr>
        <w:tc>
          <w:tcPr>
            <w:tcW w:w="551" w:type="dxa"/>
            <w:vAlign w:val="center"/>
          </w:tcPr>
          <w:p w:rsidR="002D1E45" w:rsidRPr="007A0493" w:rsidRDefault="002D1E45" w:rsidP="007A0493">
            <w:pPr>
              <w:numPr>
                <w:ilvl w:val="0"/>
                <w:numId w:val="87"/>
              </w:numPr>
              <w:spacing w:after="0" w:line="240" w:lineRule="auto"/>
              <w:contextualSpacing/>
              <w:jc w:val="center"/>
              <w:rPr>
                <w:snapToGrid w:val="0"/>
                <w:sz w:val="24"/>
                <w:szCs w:val="24"/>
                <w:lang w:eastAsia="ru-RU"/>
              </w:rPr>
            </w:pPr>
          </w:p>
        </w:tc>
        <w:tc>
          <w:tcPr>
            <w:tcW w:w="3586" w:type="dxa"/>
            <w:vAlign w:val="center"/>
          </w:tcPr>
          <w:p w:rsidR="002D1E45" w:rsidRPr="007A0493" w:rsidRDefault="002D1E45" w:rsidP="007A0493">
            <w:pPr>
              <w:spacing w:after="0" w:line="240" w:lineRule="auto"/>
              <w:textAlignment w:val="baseline"/>
              <w:rPr>
                <w:rFonts w:ascii="Times New Roman" w:hAnsi="Times New Roman"/>
                <w:sz w:val="24"/>
                <w:szCs w:val="24"/>
                <w:lang w:eastAsia="ru-RU"/>
              </w:rPr>
            </w:pPr>
            <w:r w:rsidRPr="007A0493">
              <w:rPr>
                <w:rFonts w:ascii="Times New Roman" w:hAnsi="Times New Roman"/>
                <w:color w:val="000000"/>
                <w:kern w:val="24"/>
                <w:sz w:val="24"/>
                <w:szCs w:val="24"/>
                <w:lang w:eastAsia="ru-RU"/>
              </w:rPr>
              <w:t>Риски возникновения ЧС на объектах метрополитена</w:t>
            </w:r>
          </w:p>
        </w:tc>
        <w:tc>
          <w:tcPr>
            <w:tcW w:w="3796" w:type="dxa"/>
            <w:gridSpan w:val="2"/>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snapToGrid w:val="0"/>
                <w:sz w:val="24"/>
                <w:szCs w:val="24"/>
                <w:lang w:eastAsia="ru-RU"/>
              </w:rPr>
              <w:t>Риск не характерен</w:t>
            </w:r>
          </w:p>
        </w:tc>
        <w:tc>
          <w:tcPr>
            <w:tcW w:w="2410" w:type="dxa"/>
            <w:vAlign w:val="center"/>
          </w:tcPr>
          <w:p w:rsidR="002D1E45" w:rsidRPr="007A0493" w:rsidRDefault="002D1E45" w:rsidP="007A0493">
            <w:pPr>
              <w:spacing w:after="0" w:line="240" w:lineRule="auto"/>
              <w:jc w:val="center"/>
              <w:rPr>
                <w:rFonts w:ascii="Times New Roman" w:hAnsi="Times New Roman"/>
                <w:sz w:val="24"/>
                <w:szCs w:val="24"/>
                <w:lang w:eastAsia="ru-RU"/>
              </w:rPr>
            </w:pPr>
            <w:r w:rsidRPr="007A0493">
              <w:rPr>
                <w:rFonts w:ascii="Times New Roman" w:hAnsi="Times New Roman"/>
                <w:snapToGrid w:val="0"/>
                <w:sz w:val="24"/>
                <w:szCs w:val="24"/>
                <w:lang w:eastAsia="ru-RU"/>
              </w:rPr>
              <w:t>На всей территории города</w:t>
            </w:r>
          </w:p>
        </w:tc>
      </w:tr>
      <w:tr w:rsidR="002D1E45" w:rsidRPr="001F6325" w:rsidTr="007A0493">
        <w:trPr>
          <w:trHeight w:val="283"/>
          <w:jc w:val="center"/>
        </w:trPr>
        <w:tc>
          <w:tcPr>
            <w:tcW w:w="10343" w:type="dxa"/>
            <w:gridSpan w:val="5"/>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bCs/>
                <w:color w:val="000000"/>
                <w:kern w:val="24"/>
                <w:sz w:val="24"/>
                <w:szCs w:val="24"/>
                <w:lang w:eastAsia="ru-RU"/>
              </w:rPr>
              <w:t>Риски возникновения ЧС техногенного характера</w:t>
            </w:r>
          </w:p>
        </w:tc>
      </w:tr>
      <w:tr w:rsidR="002D1E45" w:rsidRPr="001F6325" w:rsidTr="007A0493">
        <w:trPr>
          <w:trHeight w:val="283"/>
          <w:jc w:val="center"/>
        </w:trPr>
        <w:tc>
          <w:tcPr>
            <w:tcW w:w="551" w:type="dxa"/>
            <w:vAlign w:val="center"/>
          </w:tcPr>
          <w:p w:rsidR="002D1E45" w:rsidRPr="007A0493" w:rsidRDefault="002D1E45" w:rsidP="007A0493">
            <w:pPr>
              <w:numPr>
                <w:ilvl w:val="0"/>
                <w:numId w:val="87"/>
              </w:numPr>
              <w:spacing w:after="0" w:line="240" w:lineRule="auto"/>
              <w:contextualSpacing/>
              <w:jc w:val="center"/>
              <w:rPr>
                <w:snapToGrid w:val="0"/>
                <w:sz w:val="24"/>
                <w:szCs w:val="24"/>
                <w:lang w:eastAsia="ru-RU"/>
              </w:rPr>
            </w:pPr>
          </w:p>
        </w:tc>
        <w:tc>
          <w:tcPr>
            <w:tcW w:w="3586" w:type="dxa"/>
            <w:vAlign w:val="center"/>
          </w:tcPr>
          <w:p w:rsidR="002D1E45" w:rsidRPr="007A0493" w:rsidRDefault="002D1E45" w:rsidP="007A0493">
            <w:pPr>
              <w:spacing w:after="0" w:line="240" w:lineRule="auto"/>
              <w:textAlignment w:val="baseline"/>
              <w:rPr>
                <w:rFonts w:ascii="Times New Roman" w:hAnsi="Times New Roman"/>
                <w:sz w:val="24"/>
                <w:szCs w:val="24"/>
                <w:lang w:eastAsia="ru-RU"/>
              </w:rPr>
            </w:pPr>
            <w:r w:rsidRPr="007A0493">
              <w:rPr>
                <w:rFonts w:ascii="Times New Roman" w:hAnsi="Times New Roman"/>
                <w:color w:val="000000"/>
                <w:kern w:val="24"/>
                <w:sz w:val="24"/>
                <w:szCs w:val="24"/>
                <w:lang w:eastAsia="ru-RU"/>
              </w:rPr>
              <w:t>Риски возникновения аварий на химически опасных объектах</w:t>
            </w:r>
          </w:p>
        </w:tc>
        <w:tc>
          <w:tcPr>
            <w:tcW w:w="1810" w:type="dxa"/>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snapToGrid w:val="0"/>
                <w:sz w:val="24"/>
                <w:szCs w:val="24"/>
                <w:lang w:eastAsia="ru-RU"/>
              </w:rPr>
              <w:t>Приемлемый риск - 10</w:t>
            </w:r>
            <w:r w:rsidRPr="007A0493">
              <w:rPr>
                <w:rFonts w:ascii="Times New Roman" w:hAnsi="Times New Roman"/>
                <w:snapToGrid w:val="0"/>
                <w:sz w:val="24"/>
                <w:szCs w:val="24"/>
                <w:vertAlign w:val="superscript"/>
                <w:lang w:eastAsia="ru-RU"/>
              </w:rPr>
              <w:t>- 4</w:t>
            </w:r>
          </w:p>
        </w:tc>
        <w:tc>
          <w:tcPr>
            <w:tcW w:w="1986" w:type="dxa"/>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snapToGrid w:val="0"/>
                <w:sz w:val="24"/>
                <w:szCs w:val="24"/>
                <w:lang w:eastAsia="ru-RU"/>
              </w:rPr>
              <w:t>май – октябрь</w:t>
            </w:r>
          </w:p>
        </w:tc>
        <w:tc>
          <w:tcPr>
            <w:tcW w:w="2410" w:type="dxa"/>
            <w:vAlign w:val="center"/>
          </w:tcPr>
          <w:p w:rsidR="002D1E45" w:rsidRPr="007A0493" w:rsidRDefault="002D1E45" w:rsidP="007A0493">
            <w:pPr>
              <w:spacing w:after="0" w:line="240" w:lineRule="auto"/>
              <w:jc w:val="center"/>
              <w:rPr>
                <w:rFonts w:ascii="Times New Roman" w:hAnsi="Times New Roman"/>
                <w:sz w:val="24"/>
                <w:szCs w:val="24"/>
                <w:lang w:eastAsia="ru-RU"/>
              </w:rPr>
            </w:pPr>
            <w:r w:rsidRPr="007A0493">
              <w:rPr>
                <w:rFonts w:ascii="Times New Roman" w:hAnsi="Times New Roman"/>
                <w:snapToGrid w:val="0"/>
                <w:sz w:val="24"/>
                <w:szCs w:val="24"/>
                <w:lang w:eastAsia="ru-RU"/>
              </w:rPr>
              <w:t>На всей территории города</w:t>
            </w:r>
          </w:p>
        </w:tc>
      </w:tr>
      <w:tr w:rsidR="002D1E45" w:rsidRPr="001F6325" w:rsidTr="007A0493">
        <w:trPr>
          <w:trHeight w:val="283"/>
          <w:jc w:val="center"/>
        </w:trPr>
        <w:tc>
          <w:tcPr>
            <w:tcW w:w="551" w:type="dxa"/>
            <w:vAlign w:val="center"/>
          </w:tcPr>
          <w:p w:rsidR="002D1E45" w:rsidRPr="007A0493" w:rsidRDefault="002D1E45" w:rsidP="007A0493">
            <w:pPr>
              <w:numPr>
                <w:ilvl w:val="0"/>
                <w:numId w:val="87"/>
              </w:numPr>
              <w:spacing w:after="0" w:line="240" w:lineRule="auto"/>
              <w:contextualSpacing/>
              <w:jc w:val="center"/>
              <w:rPr>
                <w:snapToGrid w:val="0"/>
                <w:sz w:val="24"/>
                <w:szCs w:val="24"/>
                <w:lang w:eastAsia="ru-RU"/>
              </w:rPr>
            </w:pPr>
          </w:p>
        </w:tc>
        <w:tc>
          <w:tcPr>
            <w:tcW w:w="3586" w:type="dxa"/>
            <w:vAlign w:val="center"/>
          </w:tcPr>
          <w:p w:rsidR="002D1E45" w:rsidRPr="007A0493" w:rsidRDefault="002D1E45" w:rsidP="007A0493">
            <w:pPr>
              <w:spacing w:after="0" w:line="240" w:lineRule="auto"/>
              <w:textAlignment w:val="baseline"/>
              <w:rPr>
                <w:rFonts w:ascii="Times New Roman" w:hAnsi="Times New Roman"/>
                <w:sz w:val="24"/>
                <w:szCs w:val="24"/>
                <w:lang w:eastAsia="ru-RU"/>
              </w:rPr>
            </w:pPr>
            <w:r w:rsidRPr="007A0493">
              <w:rPr>
                <w:rFonts w:ascii="Times New Roman" w:hAnsi="Times New Roman"/>
                <w:color w:val="000000"/>
                <w:kern w:val="24"/>
                <w:sz w:val="24"/>
                <w:szCs w:val="24"/>
                <w:lang w:eastAsia="ru-RU"/>
              </w:rPr>
              <w:t xml:space="preserve">Риски возникновения аварий на радиационно опасных объектах </w:t>
            </w:r>
          </w:p>
        </w:tc>
        <w:tc>
          <w:tcPr>
            <w:tcW w:w="3796" w:type="dxa"/>
            <w:gridSpan w:val="2"/>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snapToGrid w:val="0"/>
                <w:sz w:val="24"/>
                <w:szCs w:val="24"/>
                <w:lang w:eastAsia="ru-RU"/>
              </w:rPr>
              <w:t>Риск не характерен</w:t>
            </w:r>
          </w:p>
        </w:tc>
        <w:tc>
          <w:tcPr>
            <w:tcW w:w="2410" w:type="dxa"/>
            <w:vAlign w:val="center"/>
          </w:tcPr>
          <w:p w:rsidR="002D1E45" w:rsidRPr="007A0493" w:rsidRDefault="002D1E45" w:rsidP="007A0493">
            <w:pPr>
              <w:spacing w:after="0" w:line="240" w:lineRule="auto"/>
              <w:jc w:val="center"/>
              <w:rPr>
                <w:rFonts w:ascii="Times New Roman" w:hAnsi="Times New Roman"/>
                <w:sz w:val="24"/>
                <w:szCs w:val="24"/>
                <w:lang w:eastAsia="ru-RU"/>
              </w:rPr>
            </w:pPr>
            <w:r w:rsidRPr="007A0493">
              <w:rPr>
                <w:rFonts w:ascii="Times New Roman" w:hAnsi="Times New Roman"/>
                <w:snapToGrid w:val="0"/>
                <w:sz w:val="24"/>
                <w:szCs w:val="24"/>
                <w:lang w:eastAsia="ru-RU"/>
              </w:rPr>
              <w:t>На всей территории города</w:t>
            </w:r>
          </w:p>
        </w:tc>
      </w:tr>
      <w:tr w:rsidR="002D1E45" w:rsidRPr="001F6325" w:rsidTr="007A0493">
        <w:trPr>
          <w:trHeight w:val="283"/>
          <w:jc w:val="center"/>
        </w:trPr>
        <w:tc>
          <w:tcPr>
            <w:tcW w:w="551" w:type="dxa"/>
            <w:vAlign w:val="center"/>
          </w:tcPr>
          <w:p w:rsidR="002D1E45" w:rsidRPr="007A0493" w:rsidRDefault="002D1E45" w:rsidP="007A0493">
            <w:pPr>
              <w:numPr>
                <w:ilvl w:val="0"/>
                <w:numId w:val="87"/>
              </w:numPr>
              <w:spacing w:after="0" w:line="240" w:lineRule="auto"/>
              <w:contextualSpacing/>
              <w:jc w:val="center"/>
              <w:rPr>
                <w:snapToGrid w:val="0"/>
                <w:sz w:val="24"/>
                <w:szCs w:val="24"/>
                <w:lang w:eastAsia="ru-RU"/>
              </w:rPr>
            </w:pPr>
          </w:p>
        </w:tc>
        <w:tc>
          <w:tcPr>
            <w:tcW w:w="3586" w:type="dxa"/>
            <w:vAlign w:val="center"/>
          </w:tcPr>
          <w:p w:rsidR="002D1E45" w:rsidRPr="007A0493" w:rsidRDefault="002D1E45" w:rsidP="007A0493">
            <w:pPr>
              <w:spacing w:after="0" w:line="240" w:lineRule="auto"/>
              <w:textAlignment w:val="baseline"/>
              <w:rPr>
                <w:rFonts w:ascii="Times New Roman" w:hAnsi="Times New Roman"/>
                <w:sz w:val="24"/>
                <w:szCs w:val="24"/>
                <w:lang w:eastAsia="ru-RU"/>
              </w:rPr>
            </w:pPr>
            <w:r w:rsidRPr="007A0493">
              <w:rPr>
                <w:rFonts w:ascii="Times New Roman" w:hAnsi="Times New Roman"/>
                <w:color w:val="000000"/>
                <w:kern w:val="24"/>
                <w:sz w:val="24"/>
                <w:szCs w:val="24"/>
                <w:lang w:eastAsia="ru-RU"/>
              </w:rPr>
              <w:t>Риски возникновения аварий на биологически опасных объектах</w:t>
            </w:r>
          </w:p>
        </w:tc>
        <w:tc>
          <w:tcPr>
            <w:tcW w:w="3796" w:type="dxa"/>
            <w:gridSpan w:val="2"/>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snapToGrid w:val="0"/>
                <w:sz w:val="24"/>
                <w:szCs w:val="24"/>
                <w:lang w:eastAsia="ru-RU"/>
              </w:rPr>
              <w:t>Риск не характерен</w:t>
            </w:r>
          </w:p>
        </w:tc>
        <w:tc>
          <w:tcPr>
            <w:tcW w:w="2410" w:type="dxa"/>
            <w:vAlign w:val="center"/>
          </w:tcPr>
          <w:p w:rsidR="002D1E45" w:rsidRPr="007A0493" w:rsidRDefault="002D1E45" w:rsidP="007A0493">
            <w:pPr>
              <w:spacing w:after="0" w:line="240" w:lineRule="auto"/>
              <w:jc w:val="center"/>
              <w:rPr>
                <w:rFonts w:ascii="Times New Roman" w:hAnsi="Times New Roman"/>
                <w:sz w:val="24"/>
                <w:szCs w:val="24"/>
                <w:lang w:eastAsia="ru-RU"/>
              </w:rPr>
            </w:pPr>
            <w:r w:rsidRPr="007A0493">
              <w:rPr>
                <w:rFonts w:ascii="Times New Roman" w:hAnsi="Times New Roman"/>
                <w:snapToGrid w:val="0"/>
                <w:sz w:val="24"/>
                <w:szCs w:val="24"/>
                <w:lang w:eastAsia="ru-RU"/>
              </w:rPr>
              <w:t>На всей территории города</w:t>
            </w:r>
          </w:p>
        </w:tc>
      </w:tr>
      <w:tr w:rsidR="002D1E45" w:rsidRPr="001F6325" w:rsidTr="007A0493">
        <w:trPr>
          <w:trHeight w:val="283"/>
          <w:jc w:val="center"/>
        </w:trPr>
        <w:tc>
          <w:tcPr>
            <w:tcW w:w="551" w:type="dxa"/>
            <w:vAlign w:val="center"/>
          </w:tcPr>
          <w:p w:rsidR="002D1E45" w:rsidRPr="007A0493" w:rsidRDefault="002D1E45" w:rsidP="007A0493">
            <w:pPr>
              <w:numPr>
                <w:ilvl w:val="0"/>
                <w:numId w:val="87"/>
              </w:numPr>
              <w:spacing w:after="0" w:line="240" w:lineRule="auto"/>
              <w:contextualSpacing/>
              <w:jc w:val="center"/>
              <w:rPr>
                <w:snapToGrid w:val="0"/>
                <w:sz w:val="24"/>
                <w:szCs w:val="24"/>
                <w:lang w:eastAsia="ru-RU"/>
              </w:rPr>
            </w:pPr>
          </w:p>
        </w:tc>
        <w:tc>
          <w:tcPr>
            <w:tcW w:w="3586" w:type="dxa"/>
            <w:vAlign w:val="center"/>
          </w:tcPr>
          <w:p w:rsidR="002D1E45" w:rsidRPr="007A0493" w:rsidRDefault="002D1E45" w:rsidP="007A0493">
            <w:pPr>
              <w:spacing w:after="0" w:line="240" w:lineRule="auto"/>
              <w:textAlignment w:val="baseline"/>
              <w:rPr>
                <w:rFonts w:ascii="Times New Roman" w:hAnsi="Times New Roman"/>
                <w:sz w:val="24"/>
                <w:szCs w:val="24"/>
                <w:lang w:eastAsia="ru-RU"/>
              </w:rPr>
            </w:pPr>
            <w:r w:rsidRPr="007A0493">
              <w:rPr>
                <w:rFonts w:ascii="Times New Roman" w:hAnsi="Times New Roman"/>
                <w:color w:val="000000"/>
                <w:kern w:val="24"/>
                <w:sz w:val="24"/>
                <w:szCs w:val="24"/>
                <w:lang w:eastAsia="ru-RU"/>
              </w:rPr>
              <w:t>Риски возникновения аварий на пожаро-взрывоопасных объектах</w:t>
            </w:r>
          </w:p>
        </w:tc>
        <w:tc>
          <w:tcPr>
            <w:tcW w:w="1810" w:type="dxa"/>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snapToGrid w:val="0"/>
                <w:sz w:val="24"/>
                <w:szCs w:val="24"/>
                <w:lang w:eastAsia="ru-RU"/>
              </w:rPr>
              <w:t>Приемлемый риск - 10</w:t>
            </w:r>
            <w:r w:rsidRPr="007A0493">
              <w:rPr>
                <w:rFonts w:ascii="Times New Roman" w:hAnsi="Times New Roman"/>
                <w:snapToGrid w:val="0"/>
                <w:sz w:val="24"/>
                <w:szCs w:val="24"/>
                <w:vertAlign w:val="superscript"/>
                <w:lang w:eastAsia="ru-RU"/>
              </w:rPr>
              <w:t>- 4</w:t>
            </w:r>
          </w:p>
        </w:tc>
        <w:tc>
          <w:tcPr>
            <w:tcW w:w="1986" w:type="dxa"/>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color w:val="000000"/>
                <w:kern w:val="24"/>
                <w:sz w:val="24"/>
                <w:szCs w:val="24"/>
                <w:lang w:eastAsia="ru-RU"/>
              </w:rPr>
              <w:t>январь – декабрь</w:t>
            </w:r>
          </w:p>
        </w:tc>
        <w:tc>
          <w:tcPr>
            <w:tcW w:w="2410" w:type="dxa"/>
            <w:vAlign w:val="center"/>
          </w:tcPr>
          <w:p w:rsidR="002D1E45" w:rsidRPr="007A0493" w:rsidRDefault="002D1E45" w:rsidP="007A0493">
            <w:pPr>
              <w:spacing w:after="0" w:line="240" w:lineRule="auto"/>
              <w:jc w:val="center"/>
              <w:rPr>
                <w:rFonts w:ascii="Times New Roman" w:hAnsi="Times New Roman"/>
                <w:sz w:val="24"/>
                <w:szCs w:val="24"/>
                <w:lang w:eastAsia="ru-RU"/>
              </w:rPr>
            </w:pPr>
            <w:r w:rsidRPr="007A0493">
              <w:rPr>
                <w:rFonts w:ascii="Times New Roman" w:hAnsi="Times New Roman"/>
                <w:snapToGrid w:val="0"/>
                <w:sz w:val="24"/>
                <w:szCs w:val="24"/>
                <w:lang w:eastAsia="ru-RU"/>
              </w:rPr>
              <w:t>На всей территории города</w:t>
            </w:r>
          </w:p>
        </w:tc>
      </w:tr>
      <w:tr w:rsidR="002D1E45" w:rsidRPr="001F6325" w:rsidTr="007A0493">
        <w:trPr>
          <w:trHeight w:val="283"/>
          <w:jc w:val="center"/>
        </w:trPr>
        <w:tc>
          <w:tcPr>
            <w:tcW w:w="551" w:type="dxa"/>
            <w:vAlign w:val="center"/>
          </w:tcPr>
          <w:p w:rsidR="002D1E45" w:rsidRPr="007A0493" w:rsidRDefault="002D1E45" w:rsidP="007A0493">
            <w:pPr>
              <w:numPr>
                <w:ilvl w:val="0"/>
                <w:numId w:val="87"/>
              </w:numPr>
              <w:spacing w:after="0" w:line="240" w:lineRule="auto"/>
              <w:contextualSpacing/>
              <w:jc w:val="center"/>
              <w:rPr>
                <w:snapToGrid w:val="0"/>
                <w:sz w:val="24"/>
                <w:szCs w:val="24"/>
                <w:lang w:eastAsia="ru-RU"/>
              </w:rPr>
            </w:pPr>
          </w:p>
        </w:tc>
        <w:tc>
          <w:tcPr>
            <w:tcW w:w="3586" w:type="dxa"/>
            <w:vAlign w:val="center"/>
          </w:tcPr>
          <w:p w:rsidR="002D1E45" w:rsidRPr="007A0493" w:rsidRDefault="002D1E45" w:rsidP="007A0493">
            <w:pPr>
              <w:spacing w:after="0" w:line="240" w:lineRule="auto"/>
              <w:rPr>
                <w:rFonts w:ascii="Times New Roman" w:hAnsi="Times New Roman"/>
                <w:snapToGrid w:val="0"/>
                <w:sz w:val="24"/>
                <w:szCs w:val="24"/>
                <w:lang w:eastAsia="ru-RU"/>
              </w:rPr>
            </w:pPr>
            <w:r w:rsidRPr="007A0493">
              <w:rPr>
                <w:rFonts w:ascii="Times New Roman" w:hAnsi="Times New Roman"/>
                <w:snapToGrid w:val="0"/>
                <w:sz w:val="24"/>
                <w:szCs w:val="24"/>
                <w:lang w:eastAsia="ru-RU"/>
              </w:rPr>
              <w:t>Риски возникновения аварий на военных ПОО</w:t>
            </w:r>
          </w:p>
        </w:tc>
        <w:tc>
          <w:tcPr>
            <w:tcW w:w="3796" w:type="dxa"/>
            <w:gridSpan w:val="2"/>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snapToGrid w:val="0"/>
                <w:sz w:val="24"/>
                <w:szCs w:val="24"/>
                <w:lang w:eastAsia="ru-RU"/>
              </w:rPr>
              <w:t>Риск не характерен</w:t>
            </w:r>
          </w:p>
        </w:tc>
        <w:tc>
          <w:tcPr>
            <w:tcW w:w="2410" w:type="dxa"/>
            <w:vAlign w:val="center"/>
          </w:tcPr>
          <w:p w:rsidR="002D1E45" w:rsidRPr="007A0493" w:rsidRDefault="002D1E45" w:rsidP="007A0493">
            <w:pPr>
              <w:spacing w:after="0" w:line="240" w:lineRule="auto"/>
              <w:jc w:val="center"/>
              <w:rPr>
                <w:rFonts w:ascii="Times New Roman" w:hAnsi="Times New Roman"/>
                <w:sz w:val="24"/>
                <w:szCs w:val="24"/>
                <w:lang w:eastAsia="ru-RU"/>
              </w:rPr>
            </w:pPr>
            <w:r w:rsidRPr="007A0493">
              <w:rPr>
                <w:rFonts w:ascii="Times New Roman" w:hAnsi="Times New Roman"/>
                <w:snapToGrid w:val="0"/>
                <w:sz w:val="24"/>
                <w:szCs w:val="24"/>
                <w:lang w:eastAsia="ru-RU"/>
              </w:rPr>
              <w:t>На всей территории города</w:t>
            </w:r>
          </w:p>
        </w:tc>
      </w:tr>
      <w:tr w:rsidR="002D1E45" w:rsidRPr="001F6325" w:rsidTr="007A0493">
        <w:trPr>
          <w:trHeight w:val="283"/>
          <w:jc w:val="center"/>
        </w:trPr>
        <w:tc>
          <w:tcPr>
            <w:tcW w:w="551" w:type="dxa"/>
            <w:vAlign w:val="center"/>
          </w:tcPr>
          <w:p w:rsidR="002D1E45" w:rsidRPr="007A0493" w:rsidRDefault="002D1E45" w:rsidP="007A0493">
            <w:pPr>
              <w:numPr>
                <w:ilvl w:val="0"/>
                <w:numId w:val="87"/>
              </w:numPr>
              <w:spacing w:after="0" w:line="240" w:lineRule="auto"/>
              <w:contextualSpacing/>
              <w:jc w:val="center"/>
              <w:rPr>
                <w:snapToGrid w:val="0"/>
                <w:sz w:val="24"/>
                <w:szCs w:val="24"/>
                <w:lang w:eastAsia="ru-RU"/>
              </w:rPr>
            </w:pPr>
          </w:p>
        </w:tc>
        <w:tc>
          <w:tcPr>
            <w:tcW w:w="3586" w:type="dxa"/>
            <w:vAlign w:val="center"/>
          </w:tcPr>
          <w:p w:rsidR="002D1E45" w:rsidRPr="007A0493" w:rsidRDefault="002D1E45" w:rsidP="007A0493">
            <w:pPr>
              <w:spacing w:after="0" w:line="240" w:lineRule="auto"/>
              <w:rPr>
                <w:rFonts w:ascii="Times New Roman" w:hAnsi="Times New Roman"/>
                <w:sz w:val="24"/>
                <w:szCs w:val="24"/>
                <w:lang w:eastAsia="ru-RU"/>
              </w:rPr>
            </w:pPr>
            <w:r w:rsidRPr="007A0493">
              <w:rPr>
                <w:rFonts w:ascii="Times New Roman" w:hAnsi="Times New Roman"/>
                <w:snapToGrid w:val="0"/>
                <w:sz w:val="24"/>
                <w:szCs w:val="24"/>
                <w:lang w:eastAsia="ru-RU"/>
              </w:rPr>
              <w:t>Риски возникновения аварий на системах тепло-, водоснабжения</w:t>
            </w:r>
          </w:p>
        </w:tc>
        <w:tc>
          <w:tcPr>
            <w:tcW w:w="1810" w:type="dxa"/>
            <w:vAlign w:val="center"/>
          </w:tcPr>
          <w:p w:rsidR="002D1E45" w:rsidRPr="007A0493" w:rsidRDefault="002D1E45" w:rsidP="007A0493">
            <w:pPr>
              <w:spacing w:after="0" w:line="240" w:lineRule="auto"/>
              <w:jc w:val="center"/>
              <w:rPr>
                <w:rFonts w:ascii="Times New Roman" w:hAnsi="Times New Roman"/>
                <w:sz w:val="24"/>
                <w:szCs w:val="24"/>
                <w:lang w:eastAsia="ru-RU"/>
              </w:rPr>
            </w:pPr>
            <w:r w:rsidRPr="007A0493">
              <w:rPr>
                <w:rFonts w:ascii="Times New Roman" w:hAnsi="Times New Roman"/>
                <w:snapToGrid w:val="0"/>
                <w:sz w:val="24"/>
                <w:szCs w:val="24"/>
                <w:lang w:eastAsia="ru-RU"/>
              </w:rPr>
              <w:t>Приемлемый риск - 10</w:t>
            </w:r>
            <w:r w:rsidRPr="007A0493">
              <w:rPr>
                <w:rFonts w:ascii="Times New Roman" w:hAnsi="Times New Roman"/>
                <w:snapToGrid w:val="0"/>
                <w:sz w:val="24"/>
                <w:szCs w:val="24"/>
                <w:vertAlign w:val="superscript"/>
                <w:lang w:eastAsia="ru-RU"/>
              </w:rPr>
              <w:t>- 4</w:t>
            </w:r>
          </w:p>
        </w:tc>
        <w:tc>
          <w:tcPr>
            <w:tcW w:w="1986" w:type="dxa"/>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snapToGrid w:val="0"/>
                <w:sz w:val="24"/>
                <w:szCs w:val="24"/>
                <w:lang w:eastAsia="ru-RU"/>
              </w:rPr>
              <w:t>октябрь – апрель</w:t>
            </w:r>
          </w:p>
        </w:tc>
        <w:tc>
          <w:tcPr>
            <w:tcW w:w="2410" w:type="dxa"/>
            <w:vAlign w:val="center"/>
          </w:tcPr>
          <w:p w:rsidR="002D1E45" w:rsidRPr="007A0493" w:rsidRDefault="002D1E45" w:rsidP="007A0493">
            <w:pPr>
              <w:spacing w:after="0" w:line="240" w:lineRule="auto"/>
              <w:jc w:val="center"/>
              <w:rPr>
                <w:rFonts w:ascii="Times New Roman" w:hAnsi="Times New Roman"/>
                <w:sz w:val="24"/>
                <w:szCs w:val="24"/>
                <w:lang w:eastAsia="ru-RU"/>
              </w:rPr>
            </w:pPr>
            <w:r w:rsidRPr="007A0493">
              <w:rPr>
                <w:rFonts w:ascii="Times New Roman" w:hAnsi="Times New Roman"/>
                <w:snapToGrid w:val="0"/>
                <w:sz w:val="24"/>
                <w:szCs w:val="24"/>
                <w:lang w:eastAsia="ru-RU"/>
              </w:rPr>
              <w:t>На всей территории города</w:t>
            </w:r>
          </w:p>
        </w:tc>
      </w:tr>
      <w:tr w:rsidR="002D1E45" w:rsidRPr="001F6325" w:rsidTr="007A0493">
        <w:trPr>
          <w:trHeight w:val="283"/>
          <w:jc w:val="center"/>
        </w:trPr>
        <w:tc>
          <w:tcPr>
            <w:tcW w:w="551" w:type="dxa"/>
            <w:vAlign w:val="center"/>
          </w:tcPr>
          <w:p w:rsidR="002D1E45" w:rsidRPr="007A0493" w:rsidRDefault="002D1E45" w:rsidP="007A0493">
            <w:pPr>
              <w:numPr>
                <w:ilvl w:val="0"/>
                <w:numId w:val="87"/>
              </w:numPr>
              <w:spacing w:after="0" w:line="240" w:lineRule="auto"/>
              <w:contextualSpacing/>
              <w:jc w:val="center"/>
              <w:rPr>
                <w:snapToGrid w:val="0"/>
                <w:sz w:val="24"/>
                <w:szCs w:val="24"/>
                <w:lang w:eastAsia="ru-RU"/>
              </w:rPr>
            </w:pPr>
          </w:p>
        </w:tc>
        <w:tc>
          <w:tcPr>
            <w:tcW w:w="3586" w:type="dxa"/>
            <w:vAlign w:val="center"/>
          </w:tcPr>
          <w:p w:rsidR="002D1E45" w:rsidRPr="007A0493" w:rsidRDefault="002D1E45" w:rsidP="007A0493">
            <w:pPr>
              <w:spacing w:after="0" w:line="240" w:lineRule="auto"/>
              <w:rPr>
                <w:rFonts w:ascii="Times New Roman" w:hAnsi="Times New Roman"/>
                <w:sz w:val="24"/>
                <w:szCs w:val="24"/>
                <w:lang w:eastAsia="ru-RU"/>
              </w:rPr>
            </w:pPr>
            <w:r w:rsidRPr="007A0493">
              <w:rPr>
                <w:rFonts w:ascii="Times New Roman" w:hAnsi="Times New Roman"/>
                <w:snapToGrid w:val="0"/>
                <w:sz w:val="24"/>
                <w:szCs w:val="24"/>
                <w:lang w:eastAsia="ru-RU"/>
              </w:rPr>
              <w:t>Риски возникновения аварий на электросетях</w:t>
            </w:r>
          </w:p>
        </w:tc>
        <w:tc>
          <w:tcPr>
            <w:tcW w:w="1810" w:type="dxa"/>
            <w:vAlign w:val="center"/>
          </w:tcPr>
          <w:p w:rsidR="002D1E45" w:rsidRPr="007A0493" w:rsidRDefault="002D1E45" w:rsidP="007A0493">
            <w:pPr>
              <w:spacing w:after="0" w:line="240" w:lineRule="auto"/>
              <w:jc w:val="center"/>
              <w:rPr>
                <w:rFonts w:ascii="Times New Roman" w:hAnsi="Times New Roman"/>
                <w:sz w:val="24"/>
                <w:szCs w:val="24"/>
                <w:lang w:eastAsia="ru-RU"/>
              </w:rPr>
            </w:pPr>
            <w:r w:rsidRPr="007A0493">
              <w:rPr>
                <w:rFonts w:ascii="Times New Roman" w:hAnsi="Times New Roman"/>
                <w:snapToGrid w:val="0"/>
                <w:sz w:val="24"/>
                <w:szCs w:val="24"/>
                <w:lang w:eastAsia="ru-RU"/>
              </w:rPr>
              <w:t>Приемлемый риск - 10</w:t>
            </w:r>
            <w:r w:rsidRPr="007A0493">
              <w:rPr>
                <w:rFonts w:ascii="Times New Roman" w:hAnsi="Times New Roman"/>
                <w:snapToGrid w:val="0"/>
                <w:sz w:val="24"/>
                <w:szCs w:val="24"/>
                <w:vertAlign w:val="superscript"/>
                <w:lang w:eastAsia="ru-RU"/>
              </w:rPr>
              <w:t>- 4</w:t>
            </w:r>
          </w:p>
        </w:tc>
        <w:tc>
          <w:tcPr>
            <w:tcW w:w="1986" w:type="dxa"/>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color w:val="000000"/>
                <w:kern w:val="24"/>
                <w:sz w:val="24"/>
                <w:szCs w:val="24"/>
                <w:lang w:eastAsia="ru-RU"/>
              </w:rPr>
              <w:t>январь – декабрь</w:t>
            </w:r>
          </w:p>
        </w:tc>
        <w:tc>
          <w:tcPr>
            <w:tcW w:w="2410" w:type="dxa"/>
            <w:vAlign w:val="center"/>
          </w:tcPr>
          <w:p w:rsidR="002D1E45" w:rsidRPr="007A0493" w:rsidRDefault="002D1E45" w:rsidP="007A0493">
            <w:pPr>
              <w:spacing w:after="0" w:line="240" w:lineRule="auto"/>
              <w:jc w:val="center"/>
              <w:rPr>
                <w:rFonts w:ascii="Times New Roman" w:hAnsi="Times New Roman"/>
                <w:sz w:val="24"/>
                <w:szCs w:val="24"/>
                <w:lang w:eastAsia="ru-RU"/>
              </w:rPr>
            </w:pPr>
            <w:r w:rsidRPr="007A0493">
              <w:rPr>
                <w:rFonts w:ascii="Times New Roman" w:hAnsi="Times New Roman"/>
                <w:snapToGrid w:val="0"/>
                <w:sz w:val="24"/>
                <w:szCs w:val="24"/>
                <w:lang w:eastAsia="ru-RU"/>
              </w:rPr>
              <w:t>На всей территории города</w:t>
            </w:r>
          </w:p>
        </w:tc>
      </w:tr>
      <w:tr w:rsidR="002D1E45" w:rsidRPr="001F6325" w:rsidTr="007A0493">
        <w:trPr>
          <w:trHeight w:val="283"/>
          <w:jc w:val="center"/>
        </w:trPr>
        <w:tc>
          <w:tcPr>
            <w:tcW w:w="551" w:type="dxa"/>
            <w:vAlign w:val="center"/>
          </w:tcPr>
          <w:p w:rsidR="002D1E45" w:rsidRPr="007A0493" w:rsidRDefault="002D1E45" w:rsidP="007A0493">
            <w:pPr>
              <w:numPr>
                <w:ilvl w:val="0"/>
                <w:numId w:val="87"/>
              </w:numPr>
              <w:spacing w:after="0" w:line="240" w:lineRule="auto"/>
              <w:contextualSpacing/>
              <w:jc w:val="center"/>
              <w:rPr>
                <w:snapToGrid w:val="0"/>
                <w:sz w:val="24"/>
                <w:szCs w:val="24"/>
                <w:lang w:eastAsia="ru-RU"/>
              </w:rPr>
            </w:pPr>
          </w:p>
        </w:tc>
        <w:tc>
          <w:tcPr>
            <w:tcW w:w="3586" w:type="dxa"/>
            <w:vAlign w:val="center"/>
          </w:tcPr>
          <w:p w:rsidR="002D1E45" w:rsidRPr="007A0493" w:rsidRDefault="002D1E45" w:rsidP="007A0493">
            <w:pPr>
              <w:spacing w:after="0" w:line="240" w:lineRule="auto"/>
              <w:rPr>
                <w:rFonts w:ascii="Times New Roman" w:hAnsi="Times New Roman"/>
                <w:sz w:val="24"/>
                <w:szCs w:val="24"/>
                <w:lang w:eastAsia="ru-RU"/>
              </w:rPr>
            </w:pPr>
            <w:r w:rsidRPr="007A0493">
              <w:rPr>
                <w:rFonts w:ascii="Times New Roman" w:hAnsi="Times New Roman"/>
                <w:snapToGrid w:val="0"/>
                <w:sz w:val="24"/>
                <w:szCs w:val="24"/>
                <w:lang w:eastAsia="ru-RU"/>
              </w:rPr>
              <w:t>Риски возникновения аварий на канализационных сетях</w:t>
            </w:r>
          </w:p>
        </w:tc>
        <w:tc>
          <w:tcPr>
            <w:tcW w:w="3796" w:type="dxa"/>
            <w:gridSpan w:val="2"/>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snapToGrid w:val="0"/>
                <w:sz w:val="24"/>
                <w:szCs w:val="24"/>
                <w:lang w:eastAsia="ru-RU"/>
              </w:rPr>
              <w:t>Риск не характерен</w:t>
            </w:r>
          </w:p>
        </w:tc>
        <w:tc>
          <w:tcPr>
            <w:tcW w:w="2410" w:type="dxa"/>
            <w:vAlign w:val="center"/>
          </w:tcPr>
          <w:p w:rsidR="002D1E45" w:rsidRPr="007A0493" w:rsidRDefault="002D1E45" w:rsidP="007A0493">
            <w:pPr>
              <w:spacing w:after="0" w:line="240" w:lineRule="auto"/>
              <w:jc w:val="center"/>
              <w:rPr>
                <w:rFonts w:ascii="Times New Roman" w:hAnsi="Times New Roman"/>
                <w:sz w:val="24"/>
                <w:szCs w:val="24"/>
                <w:lang w:eastAsia="ru-RU"/>
              </w:rPr>
            </w:pPr>
            <w:r w:rsidRPr="007A0493">
              <w:rPr>
                <w:rFonts w:ascii="Times New Roman" w:hAnsi="Times New Roman"/>
                <w:snapToGrid w:val="0"/>
                <w:sz w:val="24"/>
                <w:szCs w:val="24"/>
                <w:lang w:eastAsia="ru-RU"/>
              </w:rPr>
              <w:t>На всей территории города</w:t>
            </w:r>
          </w:p>
        </w:tc>
      </w:tr>
      <w:tr w:rsidR="002D1E45" w:rsidRPr="001F6325" w:rsidTr="007A0493">
        <w:trPr>
          <w:trHeight w:val="283"/>
          <w:jc w:val="center"/>
        </w:trPr>
        <w:tc>
          <w:tcPr>
            <w:tcW w:w="551" w:type="dxa"/>
            <w:vAlign w:val="center"/>
          </w:tcPr>
          <w:p w:rsidR="002D1E45" w:rsidRPr="007A0493" w:rsidRDefault="002D1E45" w:rsidP="007A0493">
            <w:pPr>
              <w:numPr>
                <w:ilvl w:val="0"/>
                <w:numId w:val="87"/>
              </w:numPr>
              <w:spacing w:after="0" w:line="240" w:lineRule="auto"/>
              <w:contextualSpacing/>
              <w:jc w:val="center"/>
              <w:rPr>
                <w:snapToGrid w:val="0"/>
                <w:sz w:val="24"/>
                <w:szCs w:val="24"/>
                <w:lang w:eastAsia="ru-RU"/>
              </w:rPr>
            </w:pPr>
          </w:p>
        </w:tc>
        <w:tc>
          <w:tcPr>
            <w:tcW w:w="3586" w:type="dxa"/>
            <w:vAlign w:val="center"/>
          </w:tcPr>
          <w:p w:rsidR="002D1E45" w:rsidRPr="007A0493" w:rsidRDefault="002D1E45" w:rsidP="007A0493">
            <w:pPr>
              <w:spacing w:after="0" w:line="240" w:lineRule="auto"/>
              <w:rPr>
                <w:rFonts w:ascii="Times New Roman" w:hAnsi="Times New Roman"/>
                <w:sz w:val="24"/>
                <w:szCs w:val="24"/>
                <w:lang w:eastAsia="ru-RU"/>
              </w:rPr>
            </w:pPr>
            <w:r w:rsidRPr="007A0493">
              <w:rPr>
                <w:rFonts w:ascii="Times New Roman" w:hAnsi="Times New Roman"/>
                <w:snapToGrid w:val="0"/>
                <w:sz w:val="24"/>
                <w:szCs w:val="24"/>
                <w:lang w:eastAsia="ru-RU"/>
              </w:rPr>
              <w:t>Риски возникновения аварий на шахтах</w:t>
            </w:r>
          </w:p>
        </w:tc>
        <w:tc>
          <w:tcPr>
            <w:tcW w:w="3796" w:type="dxa"/>
            <w:gridSpan w:val="2"/>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snapToGrid w:val="0"/>
                <w:sz w:val="24"/>
                <w:szCs w:val="24"/>
                <w:lang w:eastAsia="ru-RU"/>
              </w:rPr>
              <w:t>Риск не характерен</w:t>
            </w:r>
          </w:p>
        </w:tc>
        <w:tc>
          <w:tcPr>
            <w:tcW w:w="2410" w:type="dxa"/>
            <w:vAlign w:val="center"/>
          </w:tcPr>
          <w:p w:rsidR="002D1E45" w:rsidRPr="007A0493" w:rsidRDefault="002D1E45" w:rsidP="007A0493">
            <w:pPr>
              <w:spacing w:after="0" w:line="240" w:lineRule="auto"/>
              <w:jc w:val="center"/>
              <w:rPr>
                <w:rFonts w:ascii="Times New Roman" w:hAnsi="Times New Roman"/>
                <w:sz w:val="24"/>
                <w:szCs w:val="24"/>
                <w:lang w:eastAsia="ru-RU"/>
              </w:rPr>
            </w:pPr>
            <w:r w:rsidRPr="007A0493">
              <w:rPr>
                <w:rFonts w:ascii="Times New Roman" w:hAnsi="Times New Roman"/>
                <w:snapToGrid w:val="0"/>
                <w:sz w:val="24"/>
                <w:szCs w:val="24"/>
                <w:lang w:eastAsia="ru-RU"/>
              </w:rPr>
              <w:t>На всей территории города</w:t>
            </w:r>
          </w:p>
        </w:tc>
      </w:tr>
      <w:tr w:rsidR="002D1E45" w:rsidRPr="001F6325" w:rsidTr="007A0493">
        <w:trPr>
          <w:trHeight w:val="283"/>
          <w:jc w:val="center"/>
        </w:trPr>
        <w:tc>
          <w:tcPr>
            <w:tcW w:w="551" w:type="dxa"/>
            <w:vAlign w:val="center"/>
          </w:tcPr>
          <w:p w:rsidR="002D1E45" w:rsidRPr="007A0493" w:rsidRDefault="002D1E45" w:rsidP="007A0493">
            <w:pPr>
              <w:numPr>
                <w:ilvl w:val="0"/>
                <w:numId w:val="87"/>
              </w:numPr>
              <w:spacing w:after="0" w:line="240" w:lineRule="auto"/>
              <w:contextualSpacing/>
              <w:jc w:val="center"/>
              <w:rPr>
                <w:snapToGrid w:val="0"/>
                <w:sz w:val="24"/>
                <w:szCs w:val="24"/>
                <w:lang w:eastAsia="ru-RU"/>
              </w:rPr>
            </w:pPr>
          </w:p>
        </w:tc>
        <w:tc>
          <w:tcPr>
            <w:tcW w:w="3586" w:type="dxa"/>
            <w:vAlign w:val="center"/>
          </w:tcPr>
          <w:p w:rsidR="002D1E45" w:rsidRPr="007A0493" w:rsidRDefault="002D1E45" w:rsidP="007A0493">
            <w:pPr>
              <w:spacing w:after="0" w:line="240" w:lineRule="auto"/>
              <w:rPr>
                <w:rFonts w:ascii="Times New Roman" w:hAnsi="Times New Roman"/>
                <w:sz w:val="24"/>
                <w:szCs w:val="24"/>
                <w:lang w:eastAsia="ru-RU"/>
              </w:rPr>
            </w:pPr>
            <w:r w:rsidRPr="007A0493">
              <w:rPr>
                <w:rFonts w:ascii="Times New Roman" w:hAnsi="Times New Roman"/>
                <w:snapToGrid w:val="0"/>
                <w:sz w:val="24"/>
                <w:szCs w:val="24"/>
                <w:lang w:eastAsia="ru-RU"/>
              </w:rPr>
              <w:t>Риски возникновения техногенных пожаров</w:t>
            </w:r>
          </w:p>
        </w:tc>
        <w:tc>
          <w:tcPr>
            <w:tcW w:w="1810" w:type="dxa"/>
            <w:vAlign w:val="center"/>
          </w:tcPr>
          <w:p w:rsidR="002D1E45" w:rsidRPr="007A0493" w:rsidRDefault="002D1E45" w:rsidP="007A0493">
            <w:pPr>
              <w:spacing w:after="0" w:line="240" w:lineRule="auto"/>
              <w:jc w:val="center"/>
              <w:rPr>
                <w:rFonts w:ascii="Times New Roman" w:hAnsi="Times New Roman"/>
                <w:sz w:val="24"/>
                <w:szCs w:val="24"/>
                <w:lang w:eastAsia="ru-RU"/>
              </w:rPr>
            </w:pPr>
            <w:r w:rsidRPr="007A0493">
              <w:rPr>
                <w:rFonts w:ascii="Times New Roman" w:hAnsi="Times New Roman"/>
                <w:snapToGrid w:val="0"/>
                <w:sz w:val="24"/>
                <w:szCs w:val="24"/>
                <w:lang w:eastAsia="ru-RU"/>
              </w:rPr>
              <w:t>Приемлемый риск - 10</w:t>
            </w:r>
            <w:r w:rsidRPr="007A0493">
              <w:rPr>
                <w:rFonts w:ascii="Times New Roman" w:hAnsi="Times New Roman"/>
                <w:snapToGrid w:val="0"/>
                <w:sz w:val="24"/>
                <w:szCs w:val="24"/>
                <w:vertAlign w:val="superscript"/>
                <w:lang w:eastAsia="ru-RU"/>
              </w:rPr>
              <w:t>- 4</w:t>
            </w:r>
          </w:p>
        </w:tc>
        <w:tc>
          <w:tcPr>
            <w:tcW w:w="1986" w:type="dxa"/>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color w:val="000000"/>
                <w:kern w:val="24"/>
                <w:sz w:val="24"/>
                <w:szCs w:val="24"/>
                <w:lang w:eastAsia="ru-RU"/>
              </w:rPr>
              <w:t>январь – декабрь</w:t>
            </w:r>
          </w:p>
        </w:tc>
        <w:tc>
          <w:tcPr>
            <w:tcW w:w="2410" w:type="dxa"/>
            <w:vAlign w:val="center"/>
          </w:tcPr>
          <w:p w:rsidR="002D1E45" w:rsidRPr="007A0493" w:rsidRDefault="002D1E45" w:rsidP="007A0493">
            <w:pPr>
              <w:spacing w:after="0" w:line="240" w:lineRule="auto"/>
              <w:jc w:val="center"/>
              <w:rPr>
                <w:rFonts w:ascii="Times New Roman" w:hAnsi="Times New Roman"/>
                <w:sz w:val="24"/>
                <w:szCs w:val="24"/>
                <w:lang w:eastAsia="ru-RU"/>
              </w:rPr>
            </w:pPr>
            <w:r w:rsidRPr="007A0493">
              <w:rPr>
                <w:rFonts w:ascii="Times New Roman" w:hAnsi="Times New Roman"/>
                <w:snapToGrid w:val="0"/>
                <w:sz w:val="24"/>
                <w:szCs w:val="24"/>
                <w:lang w:eastAsia="ru-RU"/>
              </w:rPr>
              <w:t>На всей территории города</w:t>
            </w:r>
          </w:p>
        </w:tc>
      </w:tr>
      <w:tr w:rsidR="002D1E45" w:rsidRPr="001F6325" w:rsidTr="007A0493">
        <w:trPr>
          <w:trHeight w:val="283"/>
          <w:jc w:val="center"/>
        </w:trPr>
        <w:tc>
          <w:tcPr>
            <w:tcW w:w="551" w:type="dxa"/>
            <w:vAlign w:val="center"/>
          </w:tcPr>
          <w:p w:rsidR="002D1E45" w:rsidRPr="007A0493" w:rsidRDefault="002D1E45" w:rsidP="007A0493">
            <w:pPr>
              <w:numPr>
                <w:ilvl w:val="0"/>
                <w:numId w:val="87"/>
              </w:numPr>
              <w:spacing w:after="0" w:line="240" w:lineRule="auto"/>
              <w:contextualSpacing/>
              <w:jc w:val="center"/>
              <w:rPr>
                <w:snapToGrid w:val="0"/>
                <w:sz w:val="24"/>
                <w:szCs w:val="24"/>
                <w:lang w:eastAsia="ru-RU"/>
              </w:rPr>
            </w:pPr>
          </w:p>
        </w:tc>
        <w:tc>
          <w:tcPr>
            <w:tcW w:w="3586" w:type="dxa"/>
            <w:vAlign w:val="center"/>
          </w:tcPr>
          <w:p w:rsidR="002D1E45" w:rsidRPr="007A0493" w:rsidRDefault="002D1E45" w:rsidP="007A0493">
            <w:pPr>
              <w:spacing w:after="0" w:line="240" w:lineRule="auto"/>
              <w:textAlignment w:val="baseline"/>
              <w:rPr>
                <w:rFonts w:ascii="Times New Roman" w:hAnsi="Times New Roman"/>
                <w:sz w:val="24"/>
                <w:szCs w:val="24"/>
                <w:lang w:eastAsia="ru-RU"/>
              </w:rPr>
            </w:pPr>
            <w:r w:rsidRPr="007A0493">
              <w:rPr>
                <w:rFonts w:ascii="Times New Roman" w:hAnsi="Times New Roman"/>
                <w:snapToGrid w:val="0"/>
                <w:sz w:val="24"/>
                <w:szCs w:val="24"/>
                <w:lang w:eastAsia="ru-RU"/>
              </w:rPr>
              <w:t>Риски возникновения гидродинамических аварий</w:t>
            </w:r>
          </w:p>
        </w:tc>
        <w:tc>
          <w:tcPr>
            <w:tcW w:w="1810" w:type="dxa"/>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snapToGrid w:val="0"/>
                <w:sz w:val="24"/>
                <w:szCs w:val="24"/>
                <w:lang w:eastAsia="ru-RU"/>
              </w:rPr>
              <w:t>Приемлемый риск - 10</w:t>
            </w:r>
            <w:r w:rsidRPr="007A0493">
              <w:rPr>
                <w:rFonts w:ascii="Times New Roman" w:hAnsi="Times New Roman"/>
                <w:snapToGrid w:val="0"/>
                <w:sz w:val="24"/>
                <w:szCs w:val="24"/>
                <w:vertAlign w:val="superscript"/>
                <w:lang w:eastAsia="ru-RU"/>
              </w:rPr>
              <w:t>- 4</w:t>
            </w:r>
          </w:p>
        </w:tc>
        <w:tc>
          <w:tcPr>
            <w:tcW w:w="1986" w:type="dxa"/>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snapToGrid w:val="0"/>
                <w:sz w:val="24"/>
                <w:szCs w:val="24"/>
                <w:lang w:eastAsia="ru-RU"/>
              </w:rPr>
              <w:t>май – октябрь</w:t>
            </w:r>
          </w:p>
        </w:tc>
        <w:tc>
          <w:tcPr>
            <w:tcW w:w="2410" w:type="dxa"/>
            <w:vAlign w:val="center"/>
          </w:tcPr>
          <w:p w:rsidR="002D1E45" w:rsidRPr="007A0493" w:rsidRDefault="002D1E45" w:rsidP="007A0493">
            <w:pPr>
              <w:spacing w:after="0" w:line="240" w:lineRule="auto"/>
              <w:jc w:val="center"/>
              <w:rPr>
                <w:rFonts w:ascii="Times New Roman" w:hAnsi="Times New Roman"/>
                <w:sz w:val="24"/>
                <w:szCs w:val="24"/>
                <w:lang w:eastAsia="ru-RU"/>
              </w:rPr>
            </w:pPr>
            <w:r w:rsidRPr="007A0493">
              <w:rPr>
                <w:rFonts w:ascii="Times New Roman" w:hAnsi="Times New Roman"/>
                <w:snapToGrid w:val="0"/>
                <w:sz w:val="24"/>
                <w:szCs w:val="24"/>
                <w:lang w:eastAsia="ru-RU"/>
              </w:rPr>
              <w:t>На всей территории города</w:t>
            </w:r>
          </w:p>
        </w:tc>
      </w:tr>
    </w:tbl>
    <w:p w:rsidR="002D1E45" w:rsidRDefault="002D1E45" w:rsidP="000146AB"/>
    <w:p w:rsidR="002D1E45" w:rsidRPr="00977B6E" w:rsidRDefault="002D1E45" w:rsidP="00852938">
      <w:pPr>
        <w:pStyle w:val="Heading3"/>
        <w:numPr>
          <w:ilvl w:val="2"/>
          <w:numId w:val="65"/>
        </w:numPr>
        <w:tabs>
          <w:tab w:val="left" w:pos="1418"/>
        </w:tabs>
        <w:spacing w:before="120"/>
        <w:ind w:left="1418" w:hanging="698"/>
        <w:jc w:val="both"/>
        <w:rPr>
          <w:rFonts w:ascii="Times New Roman" w:hAnsi="Times New Roman"/>
          <w:sz w:val="28"/>
        </w:rPr>
      </w:pPr>
      <w:bookmarkStart w:id="182" w:name="_Toc84936045"/>
      <w:bookmarkStart w:id="183" w:name="_Toc474938569"/>
      <w:bookmarkStart w:id="184" w:name="_Toc475037128"/>
      <w:r w:rsidRPr="00977B6E">
        <w:rPr>
          <w:rFonts w:ascii="Times New Roman" w:hAnsi="Times New Roman"/>
          <w:sz w:val="28"/>
        </w:rPr>
        <w:t>Перечень возможных источников ЧС</w:t>
      </w:r>
      <w:r>
        <w:rPr>
          <w:rFonts w:ascii="Times New Roman" w:hAnsi="Times New Roman"/>
          <w:sz w:val="28"/>
        </w:rPr>
        <w:t> </w:t>
      </w:r>
      <w:r w:rsidRPr="00977B6E">
        <w:rPr>
          <w:rFonts w:ascii="Times New Roman" w:hAnsi="Times New Roman"/>
          <w:sz w:val="28"/>
        </w:rPr>
        <w:t>биолого-социального характера на</w:t>
      </w:r>
      <w:r>
        <w:rPr>
          <w:rFonts w:ascii="Times New Roman" w:hAnsi="Times New Roman"/>
          <w:sz w:val="28"/>
        </w:rPr>
        <w:t> </w:t>
      </w:r>
      <w:r w:rsidRPr="00977B6E">
        <w:rPr>
          <w:rFonts w:ascii="Times New Roman" w:hAnsi="Times New Roman"/>
          <w:sz w:val="28"/>
        </w:rPr>
        <w:t>проектируемой территории</w:t>
      </w:r>
      <w:bookmarkEnd w:id="182"/>
    </w:p>
    <w:p w:rsidR="002D1E45" w:rsidRPr="00D40E7C" w:rsidRDefault="002D1E45" w:rsidP="006A07B0">
      <w:pPr>
        <w:spacing w:after="0" w:line="240" w:lineRule="auto"/>
        <w:ind w:firstLine="709"/>
        <w:jc w:val="both"/>
        <w:rPr>
          <w:rFonts w:ascii="Times New Roman" w:hAnsi="Times New Roman"/>
          <w:sz w:val="28"/>
          <w:szCs w:val="28"/>
        </w:rPr>
      </w:pPr>
    </w:p>
    <w:p w:rsidR="002D1E45" w:rsidRPr="00992C3D" w:rsidRDefault="002D1E45" w:rsidP="00992C3D">
      <w:pPr>
        <w:spacing w:after="0" w:line="240" w:lineRule="auto"/>
        <w:ind w:firstLine="709"/>
        <w:jc w:val="both"/>
        <w:rPr>
          <w:rFonts w:ascii="Times New Roman" w:hAnsi="Times New Roman"/>
          <w:sz w:val="28"/>
          <w:szCs w:val="28"/>
        </w:rPr>
      </w:pPr>
      <w:r w:rsidRPr="00992C3D">
        <w:rPr>
          <w:rFonts w:ascii="Times New Roman" w:hAnsi="Times New Roman"/>
          <w:sz w:val="28"/>
          <w:szCs w:val="28"/>
        </w:rPr>
        <w:t xml:space="preserve">На территории </w:t>
      </w:r>
      <w:r>
        <w:rPr>
          <w:rFonts w:ascii="Times New Roman" w:hAnsi="Times New Roman"/>
          <w:sz w:val="28"/>
          <w:szCs w:val="28"/>
        </w:rPr>
        <w:t>города</w:t>
      </w:r>
      <w:r w:rsidRPr="00992C3D">
        <w:rPr>
          <w:rFonts w:ascii="Times New Roman" w:hAnsi="Times New Roman"/>
          <w:sz w:val="28"/>
          <w:szCs w:val="28"/>
        </w:rPr>
        <w:t xml:space="preserve"> изредка регистрируется природно-очаговая заболеваемость населения. К основным массовым инфекционным заболеваниям среди населения относятся:</w:t>
      </w:r>
    </w:p>
    <w:p w:rsidR="002D1E45" w:rsidRPr="00992C3D" w:rsidRDefault="002D1E45" w:rsidP="00992C3D">
      <w:pPr>
        <w:numPr>
          <w:ilvl w:val="0"/>
          <w:numId w:val="24"/>
        </w:numPr>
        <w:spacing w:after="0" w:line="240" w:lineRule="auto"/>
        <w:jc w:val="both"/>
        <w:rPr>
          <w:rFonts w:ascii="Times New Roman" w:hAnsi="Times New Roman"/>
          <w:sz w:val="28"/>
          <w:szCs w:val="28"/>
        </w:rPr>
      </w:pPr>
      <w:r w:rsidRPr="00992C3D">
        <w:rPr>
          <w:rFonts w:ascii="Times New Roman" w:hAnsi="Times New Roman"/>
          <w:sz w:val="28"/>
          <w:szCs w:val="28"/>
        </w:rPr>
        <w:t>воздушно-капельные инфекции: менингококковая, грипп, грипп птиц;</w:t>
      </w:r>
    </w:p>
    <w:p w:rsidR="002D1E45" w:rsidRPr="00992C3D" w:rsidRDefault="002D1E45" w:rsidP="00992C3D">
      <w:pPr>
        <w:numPr>
          <w:ilvl w:val="0"/>
          <w:numId w:val="24"/>
        </w:numPr>
        <w:spacing w:after="0" w:line="240" w:lineRule="auto"/>
        <w:jc w:val="both"/>
        <w:rPr>
          <w:rFonts w:ascii="Times New Roman" w:hAnsi="Times New Roman"/>
          <w:sz w:val="28"/>
          <w:szCs w:val="28"/>
        </w:rPr>
      </w:pPr>
      <w:r w:rsidRPr="00992C3D">
        <w:rPr>
          <w:rFonts w:ascii="Times New Roman" w:hAnsi="Times New Roman"/>
          <w:sz w:val="28"/>
          <w:szCs w:val="28"/>
        </w:rPr>
        <w:t>желудочно-кишечные: брюшной тиф, вирусный гепатит, дизентерия, пищевые токсико-инфекции;</w:t>
      </w:r>
    </w:p>
    <w:p w:rsidR="002D1E45" w:rsidRPr="00992C3D" w:rsidRDefault="002D1E45" w:rsidP="00992C3D">
      <w:pPr>
        <w:numPr>
          <w:ilvl w:val="0"/>
          <w:numId w:val="24"/>
        </w:numPr>
        <w:spacing w:after="0" w:line="240" w:lineRule="auto"/>
        <w:jc w:val="both"/>
        <w:rPr>
          <w:rFonts w:ascii="Times New Roman" w:hAnsi="Times New Roman"/>
          <w:sz w:val="28"/>
          <w:szCs w:val="28"/>
        </w:rPr>
      </w:pPr>
      <w:r w:rsidRPr="00992C3D">
        <w:rPr>
          <w:rFonts w:ascii="Times New Roman" w:hAnsi="Times New Roman"/>
          <w:sz w:val="28"/>
          <w:szCs w:val="28"/>
        </w:rPr>
        <w:t>бруцеллез, мелиоидоз.</w:t>
      </w:r>
    </w:p>
    <w:p w:rsidR="002D1E45" w:rsidRPr="00992C3D" w:rsidRDefault="002D1E45" w:rsidP="00992C3D">
      <w:pPr>
        <w:spacing w:after="0" w:line="240" w:lineRule="auto"/>
        <w:ind w:firstLine="709"/>
        <w:jc w:val="both"/>
        <w:rPr>
          <w:rFonts w:ascii="Times New Roman" w:hAnsi="Times New Roman"/>
          <w:sz w:val="28"/>
          <w:szCs w:val="28"/>
        </w:rPr>
      </w:pPr>
      <w:r w:rsidRPr="00992C3D">
        <w:rPr>
          <w:rFonts w:ascii="Times New Roman" w:hAnsi="Times New Roman"/>
          <w:sz w:val="28"/>
          <w:szCs w:val="28"/>
        </w:rPr>
        <w:t>Из общего числа населения, находящегося в очаге чрезвычайной ситуации, при аэрогенном (воздушном) пути передачи заражёнными могут быть до 80</w:t>
      </w:r>
      <w:r>
        <w:rPr>
          <w:rFonts w:ascii="Times New Roman" w:hAnsi="Times New Roman"/>
          <w:sz w:val="28"/>
          <w:szCs w:val="28"/>
        </w:rPr>
        <w:t xml:space="preserve"> </w:t>
      </w:r>
      <w:r w:rsidRPr="00992C3D">
        <w:rPr>
          <w:rFonts w:ascii="Times New Roman" w:hAnsi="Times New Roman"/>
          <w:sz w:val="28"/>
          <w:szCs w:val="28"/>
        </w:rPr>
        <w:t>%, заболевшими – до 40 %, при клещевом энцефалите, боррелиозе возможно заболевание 1-2 человек из 100-150 человек, подвергшихся укусу клеща.</w:t>
      </w:r>
    </w:p>
    <w:p w:rsidR="002D1E45" w:rsidRPr="00992C3D" w:rsidRDefault="002D1E45" w:rsidP="00992C3D">
      <w:pPr>
        <w:spacing w:after="0" w:line="240" w:lineRule="auto"/>
        <w:ind w:firstLine="709"/>
        <w:jc w:val="both"/>
        <w:rPr>
          <w:rFonts w:ascii="Times New Roman" w:hAnsi="Times New Roman"/>
          <w:sz w:val="28"/>
          <w:szCs w:val="28"/>
        </w:rPr>
      </w:pPr>
      <w:r w:rsidRPr="00992C3D">
        <w:rPr>
          <w:rFonts w:ascii="Times New Roman" w:hAnsi="Times New Roman"/>
          <w:sz w:val="28"/>
          <w:szCs w:val="28"/>
        </w:rPr>
        <w:t xml:space="preserve">Наибольшая вероятность возникновения ЧС биолого-социального характера локального и местного уровней сохраняется </w:t>
      </w:r>
      <w:r>
        <w:rPr>
          <w:rFonts w:ascii="Times New Roman" w:hAnsi="Times New Roman"/>
          <w:sz w:val="28"/>
          <w:szCs w:val="28"/>
        </w:rPr>
        <w:t>и в городе</w:t>
      </w:r>
      <w:r w:rsidRPr="00992C3D">
        <w:rPr>
          <w:rFonts w:ascii="Times New Roman" w:hAnsi="Times New Roman"/>
          <w:sz w:val="28"/>
          <w:szCs w:val="28"/>
        </w:rPr>
        <w:t>.</w:t>
      </w:r>
    </w:p>
    <w:p w:rsidR="002D1E45" w:rsidRPr="00992C3D" w:rsidRDefault="002D1E45" w:rsidP="00992C3D">
      <w:pPr>
        <w:spacing w:after="0" w:line="240" w:lineRule="auto"/>
        <w:ind w:firstLine="709"/>
        <w:jc w:val="both"/>
        <w:rPr>
          <w:rFonts w:ascii="Times New Roman" w:hAnsi="Times New Roman"/>
          <w:sz w:val="28"/>
          <w:szCs w:val="28"/>
        </w:rPr>
      </w:pPr>
      <w:r w:rsidRPr="00992C3D">
        <w:rPr>
          <w:rFonts w:ascii="Times New Roman" w:hAnsi="Times New Roman"/>
          <w:sz w:val="28"/>
          <w:szCs w:val="28"/>
        </w:rPr>
        <w:t>Однако, с учётом сложившейся эпизоотической обстановки и прогноза существует реальная угроза появления на территории новых, ранее не регистрировавшихся</w:t>
      </w:r>
      <w:r>
        <w:rPr>
          <w:rFonts w:ascii="Times New Roman" w:hAnsi="Times New Roman"/>
          <w:sz w:val="28"/>
          <w:szCs w:val="28"/>
        </w:rPr>
        <w:t xml:space="preserve">, </w:t>
      </w:r>
      <w:r w:rsidRPr="00992C3D">
        <w:rPr>
          <w:rFonts w:ascii="Times New Roman" w:hAnsi="Times New Roman"/>
          <w:sz w:val="28"/>
          <w:szCs w:val="28"/>
        </w:rPr>
        <w:t>болезней животных, а также грипп птиц и животных.</w:t>
      </w:r>
    </w:p>
    <w:p w:rsidR="002D1E45" w:rsidRPr="00992C3D" w:rsidRDefault="002D1E45" w:rsidP="00992C3D">
      <w:pPr>
        <w:spacing w:after="0" w:line="240" w:lineRule="auto"/>
        <w:ind w:firstLine="709"/>
        <w:jc w:val="both"/>
        <w:rPr>
          <w:rFonts w:ascii="Times New Roman" w:hAnsi="Times New Roman"/>
          <w:sz w:val="28"/>
          <w:szCs w:val="28"/>
        </w:rPr>
      </w:pPr>
      <w:r w:rsidRPr="00992C3D">
        <w:rPr>
          <w:rFonts w:ascii="Times New Roman" w:hAnsi="Times New Roman"/>
          <w:sz w:val="28"/>
          <w:szCs w:val="28"/>
        </w:rPr>
        <w:t>Особую тревогу вызывает прекращение убоя и переработки вынужденно убитых животных в централизованном порядке. Часто это происходит непосредственно в личных хозяйствах или в малых частных предприятиях. Это несёт большую угрозу, как в эпизоотическом, так и в эпидемиологическом отношении.</w:t>
      </w:r>
    </w:p>
    <w:p w:rsidR="002D1E45" w:rsidRPr="0006094F" w:rsidRDefault="002D1E45" w:rsidP="00BB3B2D">
      <w:pPr>
        <w:spacing w:after="0" w:line="240" w:lineRule="auto"/>
        <w:ind w:firstLine="709"/>
        <w:jc w:val="both"/>
        <w:rPr>
          <w:rFonts w:ascii="Times New Roman" w:hAnsi="Times New Roman"/>
          <w:sz w:val="28"/>
          <w:szCs w:val="28"/>
        </w:rPr>
      </w:pPr>
      <w:r w:rsidRPr="0006094F">
        <w:rPr>
          <w:rFonts w:ascii="Times New Roman" w:hAnsi="Times New Roman"/>
          <w:sz w:val="28"/>
          <w:szCs w:val="28"/>
        </w:rPr>
        <w:t>Для предотвращения биолого-социальных чрезвычайных ситуаций необходимо проведение мероприятий по</w:t>
      </w:r>
      <w:r>
        <w:rPr>
          <w:rFonts w:ascii="Times New Roman" w:hAnsi="Times New Roman"/>
          <w:sz w:val="28"/>
          <w:szCs w:val="28"/>
        </w:rPr>
        <w:t> </w:t>
      </w:r>
      <w:r w:rsidRPr="0006094F">
        <w:rPr>
          <w:rFonts w:ascii="Times New Roman" w:hAnsi="Times New Roman"/>
          <w:sz w:val="28"/>
          <w:szCs w:val="28"/>
        </w:rPr>
        <w:t>следующим направлениям:</w:t>
      </w:r>
    </w:p>
    <w:p w:rsidR="002D1E45" w:rsidRPr="0006094F" w:rsidRDefault="002D1E45" w:rsidP="00BB3B2D">
      <w:pPr>
        <w:numPr>
          <w:ilvl w:val="0"/>
          <w:numId w:val="24"/>
        </w:numPr>
        <w:spacing w:after="0" w:line="240" w:lineRule="auto"/>
        <w:jc w:val="both"/>
        <w:rPr>
          <w:rFonts w:ascii="Times New Roman" w:hAnsi="Times New Roman"/>
          <w:sz w:val="28"/>
          <w:szCs w:val="28"/>
        </w:rPr>
      </w:pPr>
      <w:r w:rsidRPr="0006094F">
        <w:rPr>
          <w:rFonts w:ascii="Times New Roman" w:hAnsi="Times New Roman"/>
          <w:sz w:val="28"/>
          <w:szCs w:val="28"/>
        </w:rPr>
        <w:t>внедрение комплексного подхода к</w:t>
      </w:r>
      <w:r>
        <w:rPr>
          <w:rFonts w:ascii="Times New Roman" w:hAnsi="Times New Roman"/>
          <w:sz w:val="28"/>
          <w:szCs w:val="28"/>
        </w:rPr>
        <w:t> </w:t>
      </w:r>
      <w:r w:rsidRPr="0006094F">
        <w:rPr>
          <w:rFonts w:ascii="Times New Roman" w:hAnsi="Times New Roman"/>
          <w:sz w:val="28"/>
          <w:szCs w:val="28"/>
        </w:rPr>
        <w:t>реализации мер по</w:t>
      </w:r>
      <w:r>
        <w:rPr>
          <w:rFonts w:ascii="Times New Roman" w:hAnsi="Times New Roman"/>
          <w:sz w:val="28"/>
          <w:szCs w:val="28"/>
        </w:rPr>
        <w:t> </w:t>
      </w:r>
      <w:r w:rsidRPr="0006094F">
        <w:rPr>
          <w:rFonts w:ascii="Times New Roman" w:hAnsi="Times New Roman"/>
          <w:sz w:val="28"/>
          <w:szCs w:val="28"/>
        </w:rPr>
        <w:t>предупреждению распространения инфекций, включающий надзор, профилактику и</w:t>
      </w:r>
      <w:r>
        <w:rPr>
          <w:rFonts w:ascii="Times New Roman" w:hAnsi="Times New Roman"/>
          <w:sz w:val="28"/>
          <w:szCs w:val="28"/>
        </w:rPr>
        <w:t> </w:t>
      </w:r>
      <w:r w:rsidRPr="0006094F">
        <w:rPr>
          <w:rFonts w:ascii="Times New Roman" w:hAnsi="Times New Roman"/>
          <w:sz w:val="28"/>
          <w:szCs w:val="28"/>
        </w:rPr>
        <w:t>лечение инфекционных болезней;</w:t>
      </w:r>
    </w:p>
    <w:p w:rsidR="002D1E45" w:rsidRPr="0006094F" w:rsidRDefault="002D1E45" w:rsidP="00BB3B2D">
      <w:pPr>
        <w:numPr>
          <w:ilvl w:val="0"/>
          <w:numId w:val="24"/>
        </w:numPr>
        <w:spacing w:after="0" w:line="240" w:lineRule="auto"/>
        <w:jc w:val="both"/>
        <w:rPr>
          <w:rFonts w:ascii="Times New Roman" w:hAnsi="Times New Roman"/>
          <w:sz w:val="28"/>
          <w:szCs w:val="28"/>
        </w:rPr>
      </w:pPr>
      <w:r w:rsidRPr="0006094F">
        <w:rPr>
          <w:rFonts w:ascii="Times New Roman" w:hAnsi="Times New Roman"/>
          <w:sz w:val="28"/>
          <w:szCs w:val="28"/>
        </w:rPr>
        <w:t>наращивание усилий по</w:t>
      </w:r>
      <w:r>
        <w:rPr>
          <w:rFonts w:ascii="Times New Roman" w:hAnsi="Times New Roman"/>
          <w:sz w:val="28"/>
          <w:szCs w:val="28"/>
        </w:rPr>
        <w:t> </w:t>
      </w:r>
      <w:r w:rsidRPr="0006094F">
        <w:rPr>
          <w:rFonts w:ascii="Times New Roman" w:hAnsi="Times New Roman"/>
          <w:sz w:val="28"/>
          <w:szCs w:val="28"/>
        </w:rPr>
        <w:t>профилактике инфекционных болезней, в</w:t>
      </w:r>
      <w:r>
        <w:rPr>
          <w:rFonts w:ascii="Times New Roman" w:hAnsi="Times New Roman"/>
          <w:sz w:val="28"/>
          <w:szCs w:val="28"/>
        </w:rPr>
        <w:t> </w:t>
      </w:r>
      <w:r w:rsidRPr="0006094F">
        <w:rPr>
          <w:rFonts w:ascii="Times New Roman" w:hAnsi="Times New Roman"/>
          <w:sz w:val="28"/>
          <w:szCs w:val="28"/>
        </w:rPr>
        <w:t>том числе путём расширения программ иммунизации населения, проведения информационно-просветительской работы и</w:t>
      </w:r>
      <w:r>
        <w:rPr>
          <w:rFonts w:ascii="Times New Roman" w:hAnsi="Times New Roman"/>
          <w:sz w:val="28"/>
          <w:szCs w:val="28"/>
        </w:rPr>
        <w:t> </w:t>
      </w:r>
      <w:r w:rsidRPr="0006094F">
        <w:rPr>
          <w:rFonts w:ascii="Times New Roman" w:hAnsi="Times New Roman"/>
          <w:sz w:val="28"/>
          <w:szCs w:val="28"/>
        </w:rPr>
        <w:t>социальной поддержке групп населения, наиболее уязвимых к</w:t>
      </w:r>
      <w:r>
        <w:rPr>
          <w:rFonts w:ascii="Times New Roman" w:hAnsi="Times New Roman"/>
          <w:sz w:val="28"/>
          <w:szCs w:val="28"/>
        </w:rPr>
        <w:t> </w:t>
      </w:r>
      <w:r w:rsidRPr="0006094F">
        <w:rPr>
          <w:rFonts w:ascii="Times New Roman" w:hAnsi="Times New Roman"/>
          <w:sz w:val="28"/>
          <w:szCs w:val="28"/>
        </w:rPr>
        <w:t>инфекционным болезням;</w:t>
      </w:r>
    </w:p>
    <w:p w:rsidR="002D1E45" w:rsidRPr="0006094F" w:rsidRDefault="002D1E45" w:rsidP="00BB3B2D">
      <w:pPr>
        <w:numPr>
          <w:ilvl w:val="0"/>
          <w:numId w:val="24"/>
        </w:numPr>
        <w:spacing w:after="0" w:line="240" w:lineRule="auto"/>
        <w:jc w:val="both"/>
        <w:rPr>
          <w:rFonts w:ascii="Times New Roman" w:hAnsi="Times New Roman"/>
          <w:sz w:val="28"/>
          <w:szCs w:val="28"/>
        </w:rPr>
      </w:pPr>
      <w:r w:rsidRPr="0006094F">
        <w:rPr>
          <w:rFonts w:ascii="Times New Roman" w:hAnsi="Times New Roman"/>
          <w:sz w:val="28"/>
          <w:szCs w:val="28"/>
        </w:rPr>
        <w:t>мероприятия, направленные на</w:t>
      </w:r>
      <w:r>
        <w:rPr>
          <w:rFonts w:ascii="Times New Roman" w:hAnsi="Times New Roman"/>
          <w:sz w:val="28"/>
          <w:szCs w:val="28"/>
        </w:rPr>
        <w:t> </w:t>
      </w:r>
      <w:r w:rsidRPr="0006094F">
        <w:rPr>
          <w:rFonts w:ascii="Times New Roman" w:hAnsi="Times New Roman"/>
          <w:sz w:val="28"/>
          <w:szCs w:val="28"/>
        </w:rPr>
        <w:t>раннее выявление и</w:t>
      </w:r>
      <w:r>
        <w:rPr>
          <w:rFonts w:ascii="Times New Roman" w:hAnsi="Times New Roman"/>
          <w:sz w:val="28"/>
          <w:szCs w:val="28"/>
        </w:rPr>
        <w:t> </w:t>
      </w:r>
      <w:r w:rsidRPr="0006094F">
        <w:rPr>
          <w:rFonts w:ascii="Times New Roman" w:hAnsi="Times New Roman"/>
          <w:sz w:val="28"/>
          <w:szCs w:val="28"/>
        </w:rPr>
        <w:t>изоляцию заболевших (госпитализация, врачебные осмотры контактных лиц, лабораторное обследование контактных (бактериологическое, серологическое), медицинское наблюдение за</w:t>
      </w:r>
      <w:r>
        <w:rPr>
          <w:rFonts w:ascii="Times New Roman" w:hAnsi="Times New Roman"/>
          <w:sz w:val="28"/>
          <w:szCs w:val="28"/>
        </w:rPr>
        <w:t> </w:t>
      </w:r>
      <w:r w:rsidRPr="0006094F">
        <w:rPr>
          <w:rFonts w:ascii="Times New Roman" w:hAnsi="Times New Roman"/>
          <w:sz w:val="28"/>
          <w:szCs w:val="28"/>
        </w:rPr>
        <w:t>контактными и</w:t>
      </w:r>
      <w:r>
        <w:rPr>
          <w:rFonts w:ascii="Times New Roman" w:hAnsi="Times New Roman"/>
          <w:sz w:val="28"/>
          <w:szCs w:val="28"/>
        </w:rPr>
        <w:t> </w:t>
      </w:r>
      <w:r w:rsidRPr="0006094F">
        <w:rPr>
          <w:rFonts w:ascii="Times New Roman" w:hAnsi="Times New Roman"/>
          <w:sz w:val="28"/>
          <w:szCs w:val="28"/>
        </w:rPr>
        <w:t>др.);</w:t>
      </w:r>
    </w:p>
    <w:p w:rsidR="002D1E45" w:rsidRPr="0006094F" w:rsidRDefault="002D1E45" w:rsidP="00BB3B2D">
      <w:pPr>
        <w:numPr>
          <w:ilvl w:val="0"/>
          <w:numId w:val="24"/>
        </w:numPr>
        <w:spacing w:after="0" w:line="240" w:lineRule="auto"/>
        <w:jc w:val="both"/>
        <w:rPr>
          <w:rFonts w:ascii="Times New Roman" w:hAnsi="Times New Roman"/>
          <w:sz w:val="28"/>
          <w:szCs w:val="28"/>
        </w:rPr>
      </w:pPr>
      <w:r w:rsidRPr="0006094F">
        <w:rPr>
          <w:rFonts w:ascii="Times New Roman" w:hAnsi="Times New Roman"/>
          <w:sz w:val="28"/>
          <w:szCs w:val="28"/>
        </w:rPr>
        <w:t>мероприятий направленные на</w:t>
      </w:r>
      <w:r>
        <w:rPr>
          <w:rFonts w:ascii="Times New Roman" w:hAnsi="Times New Roman"/>
          <w:sz w:val="28"/>
          <w:szCs w:val="28"/>
        </w:rPr>
        <w:t> </w:t>
      </w:r>
      <w:r w:rsidRPr="0006094F">
        <w:rPr>
          <w:rFonts w:ascii="Times New Roman" w:hAnsi="Times New Roman"/>
          <w:sz w:val="28"/>
          <w:szCs w:val="28"/>
        </w:rPr>
        <w:t>выявление и</w:t>
      </w:r>
      <w:r>
        <w:rPr>
          <w:rFonts w:ascii="Times New Roman" w:hAnsi="Times New Roman"/>
          <w:sz w:val="28"/>
          <w:szCs w:val="28"/>
        </w:rPr>
        <w:t> </w:t>
      </w:r>
      <w:r w:rsidRPr="0006094F">
        <w:rPr>
          <w:rFonts w:ascii="Times New Roman" w:hAnsi="Times New Roman"/>
          <w:sz w:val="28"/>
          <w:szCs w:val="28"/>
        </w:rPr>
        <w:t>пресечение путей и</w:t>
      </w:r>
      <w:r>
        <w:rPr>
          <w:rFonts w:ascii="Times New Roman" w:hAnsi="Times New Roman"/>
          <w:sz w:val="28"/>
          <w:szCs w:val="28"/>
        </w:rPr>
        <w:t> </w:t>
      </w:r>
      <w:r w:rsidRPr="0006094F">
        <w:rPr>
          <w:rFonts w:ascii="Times New Roman" w:hAnsi="Times New Roman"/>
          <w:sz w:val="28"/>
          <w:szCs w:val="28"/>
        </w:rPr>
        <w:t>факторов передачи инфекции (мероприятия по</w:t>
      </w:r>
      <w:r>
        <w:rPr>
          <w:rFonts w:ascii="Times New Roman" w:hAnsi="Times New Roman"/>
          <w:sz w:val="28"/>
          <w:szCs w:val="28"/>
        </w:rPr>
        <w:t> </w:t>
      </w:r>
      <w:r w:rsidRPr="0006094F">
        <w:rPr>
          <w:rFonts w:ascii="Times New Roman" w:hAnsi="Times New Roman"/>
          <w:sz w:val="28"/>
          <w:szCs w:val="28"/>
        </w:rPr>
        <w:t>контролю на</w:t>
      </w:r>
      <w:r>
        <w:rPr>
          <w:rFonts w:ascii="Times New Roman" w:hAnsi="Times New Roman"/>
          <w:sz w:val="28"/>
          <w:szCs w:val="28"/>
        </w:rPr>
        <w:t> </w:t>
      </w:r>
      <w:r w:rsidRPr="0006094F">
        <w:rPr>
          <w:rFonts w:ascii="Times New Roman" w:hAnsi="Times New Roman"/>
          <w:sz w:val="28"/>
          <w:szCs w:val="28"/>
        </w:rPr>
        <w:t>различных объектах, лабораторное исследование воды, пищевых продуктов, дезинфекция и</w:t>
      </w:r>
      <w:r>
        <w:rPr>
          <w:rFonts w:ascii="Times New Roman" w:hAnsi="Times New Roman"/>
          <w:sz w:val="28"/>
          <w:szCs w:val="28"/>
        </w:rPr>
        <w:t> </w:t>
      </w:r>
      <w:r w:rsidRPr="0006094F">
        <w:rPr>
          <w:rFonts w:ascii="Times New Roman" w:hAnsi="Times New Roman"/>
          <w:sz w:val="28"/>
          <w:szCs w:val="28"/>
        </w:rPr>
        <w:t xml:space="preserve">т.д.); </w:t>
      </w:r>
    </w:p>
    <w:p w:rsidR="002D1E45" w:rsidRPr="0006094F" w:rsidRDefault="002D1E45" w:rsidP="00BB3B2D">
      <w:pPr>
        <w:numPr>
          <w:ilvl w:val="0"/>
          <w:numId w:val="24"/>
        </w:numPr>
        <w:spacing w:after="0" w:line="240" w:lineRule="auto"/>
        <w:jc w:val="both"/>
        <w:rPr>
          <w:rFonts w:ascii="Times New Roman" w:hAnsi="Times New Roman"/>
          <w:sz w:val="28"/>
          <w:szCs w:val="28"/>
        </w:rPr>
      </w:pPr>
      <w:r w:rsidRPr="0006094F">
        <w:rPr>
          <w:rFonts w:ascii="Times New Roman" w:hAnsi="Times New Roman"/>
          <w:sz w:val="28"/>
          <w:szCs w:val="28"/>
        </w:rPr>
        <w:t>мероприятия, направленные на</w:t>
      </w:r>
      <w:r>
        <w:rPr>
          <w:rFonts w:ascii="Times New Roman" w:hAnsi="Times New Roman"/>
          <w:sz w:val="28"/>
          <w:szCs w:val="28"/>
        </w:rPr>
        <w:t> </w:t>
      </w:r>
      <w:r w:rsidRPr="0006094F">
        <w:rPr>
          <w:rFonts w:ascii="Times New Roman" w:hAnsi="Times New Roman"/>
          <w:sz w:val="28"/>
          <w:szCs w:val="28"/>
        </w:rPr>
        <w:t>гигиеническое обучение и</w:t>
      </w:r>
      <w:r>
        <w:rPr>
          <w:rFonts w:ascii="Times New Roman" w:hAnsi="Times New Roman"/>
          <w:sz w:val="28"/>
          <w:szCs w:val="28"/>
        </w:rPr>
        <w:t> </w:t>
      </w:r>
      <w:r w:rsidRPr="0006094F">
        <w:rPr>
          <w:rFonts w:ascii="Times New Roman" w:hAnsi="Times New Roman"/>
          <w:sz w:val="28"/>
          <w:szCs w:val="28"/>
        </w:rPr>
        <w:t>повышение информированности населения (статьи, пресс-конференции, памятки, пресс-релизы и</w:t>
      </w:r>
      <w:r>
        <w:rPr>
          <w:rFonts w:ascii="Times New Roman" w:hAnsi="Times New Roman"/>
          <w:sz w:val="28"/>
          <w:szCs w:val="28"/>
        </w:rPr>
        <w:t> </w:t>
      </w:r>
      <w:r w:rsidRPr="0006094F">
        <w:rPr>
          <w:rFonts w:ascii="Times New Roman" w:hAnsi="Times New Roman"/>
          <w:sz w:val="28"/>
          <w:szCs w:val="28"/>
        </w:rPr>
        <w:t>др.);</w:t>
      </w:r>
    </w:p>
    <w:p w:rsidR="002D1E45" w:rsidRPr="0006094F" w:rsidRDefault="002D1E45" w:rsidP="00BB3B2D">
      <w:pPr>
        <w:numPr>
          <w:ilvl w:val="0"/>
          <w:numId w:val="24"/>
        </w:numPr>
        <w:spacing w:after="0" w:line="240" w:lineRule="auto"/>
        <w:jc w:val="both"/>
        <w:rPr>
          <w:rFonts w:ascii="Times New Roman" w:hAnsi="Times New Roman"/>
          <w:sz w:val="28"/>
          <w:szCs w:val="28"/>
          <w:lang w:eastAsia="ru-RU"/>
        </w:rPr>
      </w:pPr>
      <w:r w:rsidRPr="0006094F">
        <w:rPr>
          <w:rFonts w:ascii="Times New Roman" w:hAnsi="Times New Roman"/>
          <w:sz w:val="28"/>
          <w:szCs w:val="28"/>
          <w:lang w:eastAsia="ru-RU"/>
        </w:rPr>
        <w:t>обеспечение рабочих и</w:t>
      </w:r>
      <w:r>
        <w:rPr>
          <w:rFonts w:ascii="Times New Roman" w:hAnsi="Times New Roman"/>
          <w:sz w:val="28"/>
          <w:szCs w:val="28"/>
          <w:lang w:eastAsia="ru-RU"/>
        </w:rPr>
        <w:t> </w:t>
      </w:r>
      <w:r w:rsidRPr="0006094F">
        <w:rPr>
          <w:rFonts w:ascii="Times New Roman" w:hAnsi="Times New Roman"/>
          <w:sz w:val="28"/>
          <w:szCs w:val="28"/>
          <w:lang w:eastAsia="ru-RU"/>
        </w:rPr>
        <w:t>служащих, в</w:t>
      </w:r>
      <w:r>
        <w:rPr>
          <w:rFonts w:ascii="Times New Roman" w:hAnsi="Times New Roman"/>
          <w:sz w:val="28"/>
          <w:szCs w:val="28"/>
          <w:lang w:eastAsia="ru-RU"/>
        </w:rPr>
        <w:t> </w:t>
      </w:r>
      <w:r w:rsidRPr="0006094F">
        <w:rPr>
          <w:rFonts w:ascii="Times New Roman" w:hAnsi="Times New Roman"/>
          <w:sz w:val="28"/>
          <w:szCs w:val="28"/>
          <w:lang w:eastAsia="ru-RU"/>
        </w:rPr>
        <w:t>зонах вероятных чрезвычайных ситуаций, относящихся к</w:t>
      </w:r>
      <w:r>
        <w:rPr>
          <w:rFonts w:ascii="Times New Roman" w:hAnsi="Times New Roman"/>
          <w:sz w:val="28"/>
          <w:szCs w:val="28"/>
          <w:lang w:eastAsia="ru-RU"/>
        </w:rPr>
        <w:t> </w:t>
      </w:r>
      <w:r w:rsidRPr="0006094F">
        <w:rPr>
          <w:rFonts w:ascii="Times New Roman" w:hAnsi="Times New Roman"/>
          <w:sz w:val="28"/>
          <w:szCs w:val="28"/>
          <w:lang w:eastAsia="ru-RU"/>
        </w:rPr>
        <w:t>группам по</w:t>
      </w:r>
      <w:r>
        <w:rPr>
          <w:rFonts w:ascii="Times New Roman" w:hAnsi="Times New Roman"/>
          <w:sz w:val="28"/>
          <w:szCs w:val="28"/>
          <w:lang w:eastAsia="ru-RU"/>
        </w:rPr>
        <w:t> </w:t>
      </w:r>
      <w:r w:rsidRPr="0006094F">
        <w:rPr>
          <w:rFonts w:ascii="Times New Roman" w:hAnsi="Times New Roman"/>
          <w:sz w:val="28"/>
          <w:szCs w:val="28"/>
          <w:lang w:eastAsia="ru-RU"/>
        </w:rPr>
        <w:t>ГО, средствами индивидуальной защиты;</w:t>
      </w:r>
    </w:p>
    <w:p w:rsidR="002D1E45" w:rsidRPr="0006094F" w:rsidRDefault="002D1E45" w:rsidP="00BB3B2D">
      <w:pPr>
        <w:numPr>
          <w:ilvl w:val="0"/>
          <w:numId w:val="24"/>
        </w:numPr>
        <w:spacing w:after="0" w:line="240" w:lineRule="auto"/>
        <w:jc w:val="both"/>
        <w:rPr>
          <w:rFonts w:ascii="Times New Roman" w:hAnsi="Times New Roman"/>
          <w:sz w:val="28"/>
          <w:szCs w:val="28"/>
        </w:rPr>
      </w:pPr>
      <w:r w:rsidRPr="0006094F">
        <w:rPr>
          <w:rFonts w:ascii="Times New Roman" w:hAnsi="Times New Roman"/>
          <w:sz w:val="28"/>
          <w:szCs w:val="28"/>
        </w:rPr>
        <w:t>обеспечение медицинских формирований медицинским и</w:t>
      </w:r>
      <w:r>
        <w:rPr>
          <w:rFonts w:ascii="Times New Roman" w:hAnsi="Times New Roman"/>
          <w:sz w:val="28"/>
          <w:szCs w:val="28"/>
        </w:rPr>
        <w:t> </w:t>
      </w:r>
      <w:r w:rsidRPr="0006094F">
        <w:rPr>
          <w:rFonts w:ascii="Times New Roman" w:hAnsi="Times New Roman"/>
          <w:sz w:val="28"/>
          <w:szCs w:val="28"/>
        </w:rPr>
        <w:t xml:space="preserve">специальным имуществом; </w:t>
      </w:r>
    </w:p>
    <w:p w:rsidR="002D1E45" w:rsidRPr="0006094F" w:rsidRDefault="002D1E45" w:rsidP="00BB3B2D">
      <w:pPr>
        <w:numPr>
          <w:ilvl w:val="0"/>
          <w:numId w:val="24"/>
        </w:numPr>
        <w:spacing w:after="0" w:line="240" w:lineRule="auto"/>
        <w:jc w:val="both"/>
        <w:rPr>
          <w:rFonts w:ascii="Times New Roman" w:hAnsi="Times New Roman"/>
          <w:sz w:val="28"/>
          <w:szCs w:val="28"/>
        </w:rPr>
      </w:pPr>
      <w:r w:rsidRPr="0006094F">
        <w:rPr>
          <w:rFonts w:ascii="Times New Roman" w:hAnsi="Times New Roman"/>
          <w:sz w:val="28"/>
          <w:szCs w:val="28"/>
        </w:rPr>
        <w:t>обеспечение антибиотиками и</w:t>
      </w:r>
      <w:r>
        <w:rPr>
          <w:rFonts w:ascii="Times New Roman" w:hAnsi="Times New Roman"/>
          <w:sz w:val="28"/>
          <w:szCs w:val="28"/>
        </w:rPr>
        <w:t> </w:t>
      </w:r>
      <w:r w:rsidRPr="0006094F">
        <w:rPr>
          <w:rFonts w:ascii="Times New Roman" w:hAnsi="Times New Roman"/>
          <w:sz w:val="28"/>
          <w:szCs w:val="28"/>
        </w:rPr>
        <w:t>профилактическими препаратами населения, проживающего в</w:t>
      </w:r>
      <w:r>
        <w:rPr>
          <w:rFonts w:ascii="Times New Roman" w:hAnsi="Times New Roman"/>
          <w:sz w:val="28"/>
          <w:szCs w:val="28"/>
        </w:rPr>
        <w:t> </w:t>
      </w:r>
      <w:r w:rsidRPr="0006094F">
        <w:rPr>
          <w:rFonts w:ascii="Times New Roman" w:hAnsi="Times New Roman"/>
          <w:sz w:val="28"/>
          <w:szCs w:val="28"/>
        </w:rPr>
        <w:t>местах природно-очаговых инфекций;</w:t>
      </w:r>
    </w:p>
    <w:p w:rsidR="002D1E45" w:rsidRPr="0006094F" w:rsidRDefault="002D1E45" w:rsidP="00BB3B2D">
      <w:pPr>
        <w:numPr>
          <w:ilvl w:val="0"/>
          <w:numId w:val="24"/>
        </w:numPr>
        <w:spacing w:after="0" w:line="240" w:lineRule="auto"/>
        <w:jc w:val="both"/>
        <w:rPr>
          <w:rFonts w:ascii="Times New Roman" w:hAnsi="Times New Roman"/>
          <w:sz w:val="28"/>
          <w:szCs w:val="28"/>
        </w:rPr>
      </w:pPr>
      <w:r w:rsidRPr="0006094F">
        <w:rPr>
          <w:rFonts w:ascii="Times New Roman" w:hAnsi="Times New Roman"/>
          <w:sz w:val="28"/>
          <w:szCs w:val="28"/>
        </w:rPr>
        <w:t>создание резерва медицинского имущества на</w:t>
      </w:r>
      <w:r>
        <w:rPr>
          <w:rFonts w:ascii="Times New Roman" w:hAnsi="Times New Roman"/>
          <w:sz w:val="28"/>
          <w:szCs w:val="28"/>
        </w:rPr>
        <w:t> </w:t>
      </w:r>
      <w:r w:rsidRPr="0006094F">
        <w:rPr>
          <w:rFonts w:ascii="Times New Roman" w:hAnsi="Times New Roman"/>
          <w:sz w:val="28"/>
          <w:szCs w:val="28"/>
        </w:rPr>
        <w:t>ЧС, определение перечня и</w:t>
      </w:r>
      <w:r>
        <w:rPr>
          <w:rFonts w:ascii="Times New Roman" w:hAnsi="Times New Roman"/>
          <w:sz w:val="28"/>
          <w:szCs w:val="28"/>
        </w:rPr>
        <w:t> </w:t>
      </w:r>
      <w:r w:rsidRPr="0006094F">
        <w:rPr>
          <w:rFonts w:ascii="Times New Roman" w:hAnsi="Times New Roman"/>
          <w:sz w:val="28"/>
          <w:szCs w:val="28"/>
        </w:rPr>
        <w:t>объёма медицинского имущества;</w:t>
      </w:r>
    </w:p>
    <w:p w:rsidR="002D1E45" w:rsidRPr="0006094F" w:rsidRDefault="002D1E45" w:rsidP="00BB3B2D">
      <w:pPr>
        <w:numPr>
          <w:ilvl w:val="0"/>
          <w:numId w:val="24"/>
        </w:numPr>
        <w:spacing w:after="0" w:line="240" w:lineRule="auto"/>
        <w:jc w:val="both"/>
        <w:rPr>
          <w:rFonts w:ascii="Times New Roman" w:hAnsi="Times New Roman"/>
          <w:sz w:val="28"/>
          <w:szCs w:val="28"/>
        </w:rPr>
      </w:pPr>
      <w:r w:rsidRPr="0006094F">
        <w:rPr>
          <w:rFonts w:ascii="Times New Roman" w:hAnsi="Times New Roman"/>
          <w:sz w:val="28"/>
          <w:szCs w:val="28"/>
        </w:rPr>
        <w:t>создание переходящего неснижаемого запаса медикаментов.</w:t>
      </w:r>
    </w:p>
    <w:p w:rsidR="002D1E45" w:rsidRPr="0006094F" w:rsidRDefault="002D1E45" w:rsidP="00BB3B2D">
      <w:pPr>
        <w:spacing w:after="0" w:line="240" w:lineRule="auto"/>
        <w:ind w:firstLine="709"/>
        <w:jc w:val="both"/>
        <w:rPr>
          <w:rFonts w:ascii="Times New Roman" w:hAnsi="Times New Roman"/>
          <w:sz w:val="28"/>
          <w:szCs w:val="28"/>
        </w:rPr>
      </w:pPr>
      <w:r w:rsidRPr="0006094F">
        <w:rPr>
          <w:rFonts w:ascii="Times New Roman" w:hAnsi="Times New Roman"/>
          <w:sz w:val="28"/>
          <w:szCs w:val="28"/>
        </w:rPr>
        <w:t>Мероприятия по</w:t>
      </w:r>
      <w:r>
        <w:rPr>
          <w:rFonts w:ascii="Times New Roman" w:hAnsi="Times New Roman"/>
          <w:sz w:val="28"/>
          <w:szCs w:val="28"/>
        </w:rPr>
        <w:t> </w:t>
      </w:r>
      <w:r w:rsidRPr="0006094F">
        <w:rPr>
          <w:rFonts w:ascii="Times New Roman" w:hAnsi="Times New Roman"/>
          <w:sz w:val="28"/>
          <w:szCs w:val="28"/>
        </w:rPr>
        <w:t>профилактике бешенства животных и</w:t>
      </w:r>
      <w:r>
        <w:rPr>
          <w:rFonts w:ascii="Times New Roman" w:hAnsi="Times New Roman"/>
          <w:sz w:val="28"/>
          <w:szCs w:val="28"/>
        </w:rPr>
        <w:t> </w:t>
      </w:r>
      <w:r w:rsidRPr="0006094F">
        <w:rPr>
          <w:rFonts w:ascii="Times New Roman" w:hAnsi="Times New Roman"/>
          <w:sz w:val="28"/>
          <w:szCs w:val="28"/>
        </w:rPr>
        <w:t>человека, мероприятия при заболевании животных бешенством, противоэпидемические мероприятия следует проводить в</w:t>
      </w:r>
      <w:r>
        <w:rPr>
          <w:rFonts w:ascii="Times New Roman" w:hAnsi="Times New Roman"/>
          <w:sz w:val="28"/>
          <w:szCs w:val="28"/>
        </w:rPr>
        <w:t> </w:t>
      </w:r>
      <w:r w:rsidRPr="0006094F">
        <w:rPr>
          <w:rFonts w:ascii="Times New Roman" w:hAnsi="Times New Roman"/>
          <w:sz w:val="28"/>
          <w:szCs w:val="28"/>
        </w:rPr>
        <w:t>соответствии с</w:t>
      </w:r>
      <w:r>
        <w:rPr>
          <w:rFonts w:ascii="Times New Roman" w:hAnsi="Times New Roman"/>
          <w:sz w:val="28"/>
          <w:szCs w:val="28"/>
        </w:rPr>
        <w:t> </w:t>
      </w:r>
      <w:r w:rsidRPr="0006094F">
        <w:rPr>
          <w:rFonts w:ascii="Times New Roman" w:hAnsi="Times New Roman"/>
          <w:sz w:val="28"/>
          <w:szCs w:val="28"/>
        </w:rPr>
        <w:t>Санитарными правилами СП 3.1.096-96. Ветеринарными правилами ВП 13.3.1103-96 «Профилактика и</w:t>
      </w:r>
      <w:r>
        <w:rPr>
          <w:rFonts w:ascii="Times New Roman" w:hAnsi="Times New Roman"/>
          <w:sz w:val="28"/>
          <w:szCs w:val="28"/>
        </w:rPr>
        <w:t> </w:t>
      </w:r>
      <w:r w:rsidRPr="0006094F">
        <w:rPr>
          <w:rFonts w:ascii="Times New Roman" w:hAnsi="Times New Roman"/>
          <w:sz w:val="28"/>
          <w:szCs w:val="28"/>
        </w:rPr>
        <w:t>борьба с</w:t>
      </w:r>
      <w:r>
        <w:rPr>
          <w:rFonts w:ascii="Times New Roman" w:hAnsi="Times New Roman"/>
          <w:sz w:val="28"/>
          <w:szCs w:val="28"/>
        </w:rPr>
        <w:t> </w:t>
      </w:r>
      <w:r w:rsidRPr="0006094F">
        <w:rPr>
          <w:rFonts w:ascii="Times New Roman" w:hAnsi="Times New Roman"/>
          <w:sz w:val="28"/>
          <w:szCs w:val="28"/>
        </w:rPr>
        <w:t>заразными болезнями, общими для человека и</w:t>
      </w:r>
      <w:r>
        <w:rPr>
          <w:rFonts w:ascii="Times New Roman" w:hAnsi="Times New Roman"/>
          <w:sz w:val="28"/>
          <w:szCs w:val="28"/>
        </w:rPr>
        <w:t> </w:t>
      </w:r>
      <w:r w:rsidRPr="0006094F">
        <w:rPr>
          <w:rFonts w:ascii="Times New Roman" w:hAnsi="Times New Roman"/>
          <w:sz w:val="28"/>
          <w:szCs w:val="28"/>
        </w:rPr>
        <w:t>животных. Бешенство».</w:t>
      </w:r>
    </w:p>
    <w:p w:rsidR="002D1E45" w:rsidRPr="0006094F" w:rsidRDefault="002D1E45" w:rsidP="00BB3B2D">
      <w:pPr>
        <w:spacing w:after="0" w:line="240" w:lineRule="auto"/>
        <w:ind w:firstLine="709"/>
        <w:jc w:val="both"/>
        <w:rPr>
          <w:rFonts w:ascii="Times New Roman" w:hAnsi="Times New Roman"/>
          <w:sz w:val="28"/>
          <w:szCs w:val="28"/>
        </w:rPr>
      </w:pPr>
      <w:r w:rsidRPr="0006094F">
        <w:rPr>
          <w:rFonts w:ascii="Times New Roman" w:hAnsi="Times New Roman"/>
          <w:sz w:val="28"/>
          <w:szCs w:val="28"/>
        </w:rPr>
        <w:t>В случае вспышки инфекции биологические отходы, заражённые или контаминированные возбудителями бешенства, сжигают на</w:t>
      </w:r>
      <w:r>
        <w:rPr>
          <w:rFonts w:ascii="Times New Roman" w:hAnsi="Times New Roman"/>
          <w:sz w:val="28"/>
          <w:szCs w:val="28"/>
        </w:rPr>
        <w:t> </w:t>
      </w:r>
      <w:r w:rsidRPr="0006094F">
        <w:rPr>
          <w:rFonts w:ascii="Times New Roman" w:hAnsi="Times New Roman"/>
          <w:sz w:val="28"/>
          <w:szCs w:val="28"/>
        </w:rPr>
        <w:t>месте, а</w:t>
      </w:r>
      <w:r>
        <w:rPr>
          <w:rFonts w:ascii="Times New Roman" w:hAnsi="Times New Roman"/>
          <w:sz w:val="28"/>
          <w:szCs w:val="28"/>
        </w:rPr>
        <w:t> </w:t>
      </w:r>
      <w:r w:rsidRPr="0006094F">
        <w:rPr>
          <w:rFonts w:ascii="Times New Roman" w:hAnsi="Times New Roman"/>
          <w:sz w:val="28"/>
          <w:szCs w:val="28"/>
        </w:rPr>
        <w:t>также в</w:t>
      </w:r>
      <w:r>
        <w:rPr>
          <w:rFonts w:ascii="Times New Roman" w:hAnsi="Times New Roman"/>
          <w:sz w:val="28"/>
          <w:szCs w:val="28"/>
        </w:rPr>
        <w:t> </w:t>
      </w:r>
      <w:r w:rsidRPr="0006094F">
        <w:rPr>
          <w:rFonts w:ascii="Times New Roman" w:hAnsi="Times New Roman"/>
          <w:sz w:val="28"/>
          <w:szCs w:val="28"/>
        </w:rPr>
        <w:t>трупосжигательных печах или на</w:t>
      </w:r>
      <w:r>
        <w:rPr>
          <w:rFonts w:ascii="Times New Roman" w:hAnsi="Times New Roman"/>
          <w:sz w:val="28"/>
          <w:szCs w:val="28"/>
        </w:rPr>
        <w:t> </w:t>
      </w:r>
      <w:r w:rsidRPr="0006094F">
        <w:rPr>
          <w:rFonts w:ascii="Times New Roman" w:hAnsi="Times New Roman"/>
          <w:sz w:val="28"/>
          <w:szCs w:val="28"/>
        </w:rPr>
        <w:t>специально отведённых площадках.</w:t>
      </w:r>
    </w:p>
    <w:p w:rsidR="002D1E45" w:rsidRPr="00991671" w:rsidRDefault="002D1E45" w:rsidP="006A07B0">
      <w:pPr>
        <w:spacing w:after="0" w:line="240" w:lineRule="auto"/>
        <w:ind w:firstLine="709"/>
        <w:jc w:val="right"/>
        <w:rPr>
          <w:rFonts w:ascii="Times New Roman" w:hAnsi="Times New Roman"/>
          <w:sz w:val="28"/>
          <w:szCs w:val="28"/>
        </w:rPr>
      </w:pPr>
      <w:r w:rsidRPr="00991671">
        <w:rPr>
          <w:rFonts w:ascii="Times New Roman" w:hAnsi="Times New Roman"/>
          <w:sz w:val="28"/>
          <w:szCs w:val="28"/>
        </w:rPr>
        <w:t xml:space="preserve">Таблица </w:t>
      </w:r>
      <w:r w:rsidRPr="00991671">
        <w:rPr>
          <w:rFonts w:ascii="Times New Roman" w:hAnsi="Times New Roman"/>
          <w:sz w:val="28"/>
          <w:szCs w:val="28"/>
        </w:rPr>
        <w:fldChar w:fldCharType="begin"/>
      </w:r>
      <w:r w:rsidRPr="00991671">
        <w:rPr>
          <w:rFonts w:ascii="Times New Roman" w:hAnsi="Times New Roman"/>
          <w:sz w:val="28"/>
          <w:szCs w:val="28"/>
        </w:rPr>
        <w:instrText xml:space="preserve"> SEQ Таблица \* ARABIC </w:instrText>
      </w:r>
      <w:r w:rsidRPr="00991671">
        <w:rPr>
          <w:rFonts w:ascii="Times New Roman" w:hAnsi="Times New Roman"/>
          <w:sz w:val="28"/>
          <w:szCs w:val="28"/>
        </w:rPr>
        <w:fldChar w:fldCharType="separate"/>
      </w:r>
      <w:r>
        <w:rPr>
          <w:rFonts w:ascii="Times New Roman" w:hAnsi="Times New Roman"/>
          <w:noProof/>
          <w:sz w:val="28"/>
          <w:szCs w:val="28"/>
        </w:rPr>
        <w:t>43</w:t>
      </w:r>
      <w:r w:rsidRPr="00991671">
        <w:rPr>
          <w:rFonts w:ascii="Times New Roman" w:hAnsi="Times New Roman"/>
          <w:sz w:val="28"/>
          <w:szCs w:val="28"/>
        </w:rPr>
        <w:fldChar w:fldCharType="end"/>
      </w:r>
    </w:p>
    <w:p w:rsidR="002D1E45" w:rsidRPr="00991671" w:rsidRDefault="002D1E45" w:rsidP="006A07B0">
      <w:pPr>
        <w:spacing w:after="120" w:line="240" w:lineRule="auto"/>
        <w:jc w:val="center"/>
        <w:rPr>
          <w:rFonts w:ascii="Times New Roman" w:hAnsi="Times New Roman"/>
          <w:sz w:val="28"/>
          <w:szCs w:val="24"/>
          <w:lang w:eastAsia="ru-RU"/>
        </w:rPr>
      </w:pPr>
      <w:r w:rsidRPr="00991671">
        <w:rPr>
          <w:rFonts w:ascii="Times New Roman" w:hAnsi="Times New Roman"/>
          <w:sz w:val="28"/>
          <w:szCs w:val="24"/>
          <w:lang w:eastAsia="ru-RU"/>
        </w:rPr>
        <w:t>Оценка защищённости, исходя из</w:t>
      </w:r>
      <w:r>
        <w:rPr>
          <w:rFonts w:ascii="Times New Roman" w:hAnsi="Times New Roman"/>
          <w:sz w:val="28"/>
          <w:szCs w:val="24"/>
          <w:lang w:eastAsia="ru-RU"/>
        </w:rPr>
        <w:t> </w:t>
      </w:r>
      <w:r w:rsidRPr="00991671">
        <w:rPr>
          <w:rFonts w:ascii="Times New Roman" w:hAnsi="Times New Roman"/>
          <w:sz w:val="28"/>
          <w:szCs w:val="24"/>
          <w:lang w:eastAsia="ru-RU"/>
        </w:rPr>
        <w:t>рисков возникновения ЧС</w:t>
      </w:r>
      <w:r>
        <w:rPr>
          <w:rFonts w:ascii="Times New Roman" w:hAnsi="Times New Roman"/>
          <w:sz w:val="28"/>
          <w:szCs w:val="24"/>
          <w:lang w:eastAsia="ru-RU"/>
        </w:rPr>
        <w:t> </w:t>
      </w:r>
      <w:r w:rsidRPr="004738E5">
        <w:rPr>
          <w:rFonts w:ascii="Times New Roman" w:hAnsi="Times New Roman"/>
          <w:sz w:val="28"/>
          <w:szCs w:val="24"/>
          <w:lang w:eastAsia="ru-RU"/>
        </w:rPr>
        <w:t xml:space="preserve">биолого-социального характера </w:t>
      </w:r>
      <w:r w:rsidRPr="00991671">
        <w:rPr>
          <w:rFonts w:ascii="Times New Roman" w:hAnsi="Times New Roman"/>
          <w:sz w:val="28"/>
          <w:szCs w:val="24"/>
          <w:lang w:eastAsia="ru-RU"/>
        </w:rPr>
        <w:t>на</w:t>
      </w:r>
      <w:r>
        <w:rPr>
          <w:rFonts w:ascii="Times New Roman" w:hAnsi="Times New Roman"/>
          <w:sz w:val="28"/>
          <w:szCs w:val="24"/>
          <w:lang w:eastAsia="ru-RU"/>
        </w:rPr>
        <w:t> </w:t>
      </w:r>
      <w:r w:rsidRPr="00991671">
        <w:rPr>
          <w:rFonts w:ascii="Times New Roman" w:hAnsi="Times New Roman"/>
          <w:sz w:val="28"/>
          <w:szCs w:val="24"/>
          <w:lang w:eastAsia="ru-RU"/>
        </w:rPr>
        <w:t xml:space="preserve">территории </w:t>
      </w:r>
      <w:r>
        <w:rPr>
          <w:rFonts w:ascii="Times New Roman" w:hAnsi="Times New Roman"/>
          <w:sz w:val="28"/>
          <w:szCs w:val="28"/>
        </w:rPr>
        <w:t>города Куйбышева</w:t>
      </w:r>
    </w:p>
    <w:tbl>
      <w:tblPr>
        <w:tblW w:w="101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51"/>
        <w:gridCol w:w="5681"/>
        <w:gridCol w:w="1810"/>
        <w:gridCol w:w="2140"/>
      </w:tblGrid>
      <w:tr w:rsidR="002D1E45" w:rsidRPr="00991671" w:rsidTr="007A0493">
        <w:trPr>
          <w:trHeight w:val="283"/>
          <w:tblHeader/>
          <w:jc w:val="center"/>
        </w:trPr>
        <w:tc>
          <w:tcPr>
            <w:tcW w:w="551" w:type="dxa"/>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snapToGrid w:val="0"/>
                <w:sz w:val="24"/>
                <w:szCs w:val="24"/>
                <w:lang w:eastAsia="ru-RU"/>
              </w:rPr>
              <w:t>№ п/п</w:t>
            </w:r>
          </w:p>
        </w:tc>
        <w:tc>
          <w:tcPr>
            <w:tcW w:w="5681" w:type="dxa"/>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bCs/>
                <w:color w:val="000000"/>
                <w:kern w:val="24"/>
                <w:sz w:val="24"/>
                <w:szCs w:val="24"/>
                <w:lang w:eastAsia="ru-RU"/>
              </w:rPr>
              <w:t>Наименование риска</w:t>
            </w:r>
          </w:p>
        </w:tc>
        <w:tc>
          <w:tcPr>
            <w:tcW w:w="1810" w:type="dxa"/>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bCs/>
                <w:color w:val="000000"/>
                <w:kern w:val="24"/>
                <w:sz w:val="24"/>
                <w:szCs w:val="24"/>
                <w:lang w:eastAsia="ru-RU"/>
              </w:rPr>
              <w:t>Показатель риска</w:t>
            </w:r>
          </w:p>
        </w:tc>
        <w:tc>
          <w:tcPr>
            <w:tcW w:w="2140" w:type="dxa"/>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bCs/>
                <w:color w:val="000000"/>
                <w:kern w:val="24"/>
                <w:sz w:val="24"/>
                <w:szCs w:val="24"/>
                <w:lang w:eastAsia="ru-RU"/>
              </w:rPr>
              <w:t>Временные показатели риска</w:t>
            </w:r>
          </w:p>
        </w:tc>
      </w:tr>
      <w:tr w:rsidR="002D1E45" w:rsidRPr="00991671" w:rsidTr="007A0493">
        <w:trPr>
          <w:trHeight w:val="283"/>
          <w:jc w:val="center"/>
        </w:trPr>
        <w:tc>
          <w:tcPr>
            <w:tcW w:w="10182" w:type="dxa"/>
            <w:gridSpan w:val="4"/>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snapToGrid w:val="0"/>
                <w:sz w:val="24"/>
                <w:szCs w:val="24"/>
                <w:lang w:eastAsia="ru-RU"/>
              </w:rPr>
              <w:t>Риски возникновения ЧС биолого-социального характера</w:t>
            </w:r>
          </w:p>
        </w:tc>
      </w:tr>
      <w:tr w:rsidR="002D1E45" w:rsidRPr="00991671" w:rsidTr="007A0493">
        <w:trPr>
          <w:trHeight w:val="283"/>
          <w:jc w:val="center"/>
        </w:trPr>
        <w:tc>
          <w:tcPr>
            <w:tcW w:w="551" w:type="dxa"/>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snapToGrid w:val="0"/>
                <w:sz w:val="24"/>
                <w:szCs w:val="24"/>
                <w:lang w:eastAsia="ru-RU"/>
              </w:rPr>
              <w:t>1</w:t>
            </w:r>
          </w:p>
        </w:tc>
        <w:tc>
          <w:tcPr>
            <w:tcW w:w="5681" w:type="dxa"/>
            <w:vAlign w:val="center"/>
          </w:tcPr>
          <w:p w:rsidR="002D1E45" w:rsidRPr="007A0493" w:rsidRDefault="002D1E45" w:rsidP="007A0493">
            <w:pPr>
              <w:spacing w:after="0" w:line="240" w:lineRule="auto"/>
              <w:rPr>
                <w:rFonts w:ascii="Times New Roman" w:hAnsi="Times New Roman"/>
                <w:sz w:val="24"/>
                <w:szCs w:val="24"/>
                <w:lang w:eastAsia="ru-RU"/>
              </w:rPr>
            </w:pPr>
            <w:r w:rsidRPr="007A0493">
              <w:rPr>
                <w:rFonts w:ascii="Times New Roman" w:hAnsi="Times New Roman"/>
                <w:snapToGrid w:val="0"/>
                <w:sz w:val="24"/>
                <w:szCs w:val="24"/>
                <w:lang w:eastAsia="ru-RU"/>
              </w:rPr>
              <w:t>Риски возникновения эпидемий</w:t>
            </w:r>
          </w:p>
        </w:tc>
        <w:tc>
          <w:tcPr>
            <w:tcW w:w="1810" w:type="dxa"/>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snapToGrid w:val="0"/>
                <w:sz w:val="24"/>
                <w:szCs w:val="24"/>
                <w:lang w:eastAsia="ru-RU"/>
              </w:rPr>
              <w:t>Приемлемый риск - 10</w:t>
            </w:r>
            <w:r w:rsidRPr="007A0493">
              <w:rPr>
                <w:rFonts w:ascii="Times New Roman" w:hAnsi="Times New Roman"/>
                <w:snapToGrid w:val="0"/>
                <w:sz w:val="24"/>
                <w:szCs w:val="24"/>
                <w:vertAlign w:val="superscript"/>
                <w:lang w:eastAsia="ru-RU"/>
              </w:rPr>
              <w:t>- 4</w:t>
            </w:r>
          </w:p>
        </w:tc>
        <w:tc>
          <w:tcPr>
            <w:tcW w:w="2140" w:type="dxa"/>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color w:val="000000"/>
                <w:kern w:val="24"/>
                <w:sz w:val="24"/>
                <w:szCs w:val="24"/>
                <w:lang w:eastAsia="ru-RU"/>
              </w:rPr>
              <w:t>январь – декабрь</w:t>
            </w:r>
          </w:p>
        </w:tc>
      </w:tr>
      <w:tr w:rsidR="002D1E45" w:rsidRPr="00991671" w:rsidTr="007A0493">
        <w:trPr>
          <w:trHeight w:val="283"/>
          <w:jc w:val="center"/>
        </w:trPr>
        <w:tc>
          <w:tcPr>
            <w:tcW w:w="551" w:type="dxa"/>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snapToGrid w:val="0"/>
                <w:sz w:val="24"/>
                <w:szCs w:val="24"/>
                <w:lang w:eastAsia="ru-RU"/>
              </w:rPr>
              <w:t>2</w:t>
            </w:r>
          </w:p>
        </w:tc>
        <w:tc>
          <w:tcPr>
            <w:tcW w:w="5681" w:type="dxa"/>
            <w:vAlign w:val="center"/>
          </w:tcPr>
          <w:p w:rsidR="002D1E45" w:rsidRPr="007A0493" w:rsidRDefault="002D1E45" w:rsidP="007A0493">
            <w:pPr>
              <w:spacing w:after="0" w:line="240" w:lineRule="auto"/>
              <w:rPr>
                <w:rFonts w:ascii="Times New Roman" w:hAnsi="Times New Roman"/>
                <w:sz w:val="24"/>
                <w:szCs w:val="24"/>
                <w:lang w:eastAsia="ru-RU"/>
              </w:rPr>
            </w:pPr>
            <w:r w:rsidRPr="007A0493">
              <w:rPr>
                <w:rFonts w:ascii="Times New Roman" w:hAnsi="Times New Roman"/>
                <w:snapToGrid w:val="0"/>
                <w:sz w:val="24"/>
                <w:szCs w:val="24"/>
                <w:lang w:eastAsia="ru-RU"/>
              </w:rPr>
              <w:t>Риски возникновения эпизоотий</w:t>
            </w:r>
          </w:p>
        </w:tc>
        <w:tc>
          <w:tcPr>
            <w:tcW w:w="1810" w:type="dxa"/>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snapToGrid w:val="0"/>
                <w:sz w:val="24"/>
                <w:szCs w:val="24"/>
                <w:lang w:eastAsia="ru-RU"/>
              </w:rPr>
              <w:t>Приемлемый риск - 10</w:t>
            </w:r>
            <w:r w:rsidRPr="007A0493">
              <w:rPr>
                <w:rFonts w:ascii="Times New Roman" w:hAnsi="Times New Roman"/>
                <w:snapToGrid w:val="0"/>
                <w:sz w:val="24"/>
                <w:szCs w:val="24"/>
                <w:vertAlign w:val="superscript"/>
                <w:lang w:eastAsia="ru-RU"/>
              </w:rPr>
              <w:t>- 4</w:t>
            </w:r>
          </w:p>
        </w:tc>
        <w:tc>
          <w:tcPr>
            <w:tcW w:w="2140" w:type="dxa"/>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color w:val="000000"/>
                <w:kern w:val="24"/>
                <w:sz w:val="24"/>
                <w:szCs w:val="24"/>
                <w:lang w:eastAsia="ru-RU"/>
              </w:rPr>
              <w:t>январь – декабрь</w:t>
            </w:r>
          </w:p>
        </w:tc>
      </w:tr>
      <w:tr w:rsidR="002D1E45" w:rsidRPr="00991671" w:rsidTr="007A0493">
        <w:trPr>
          <w:trHeight w:val="283"/>
          <w:jc w:val="center"/>
        </w:trPr>
        <w:tc>
          <w:tcPr>
            <w:tcW w:w="551" w:type="dxa"/>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snapToGrid w:val="0"/>
                <w:sz w:val="24"/>
                <w:szCs w:val="24"/>
                <w:lang w:eastAsia="ru-RU"/>
              </w:rPr>
              <w:t>3</w:t>
            </w:r>
          </w:p>
        </w:tc>
        <w:tc>
          <w:tcPr>
            <w:tcW w:w="5681" w:type="dxa"/>
            <w:vAlign w:val="center"/>
          </w:tcPr>
          <w:p w:rsidR="002D1E45" w:rsidRPr="007A0493" w:rsidRDefault="002D1E45" w:rsidP="007A0493">
            <w:pPr>
              <w:spacing w:after="0" w:line="240" w:lineRule="auto"/>
              <w:rPr>
                <w:rFonts w:ascii="Times New Roman" w:hAnsi="Times New Roman"/>
                <w:sz w:val="24"/>
                <w:szCs w:val="24"/>
                <w:lang w:eastAsia="ru-RU"/>
              </w:rPr>
            </w:pPr>
            <w:r w:rsidRPr="007A0493">
              <w:rPr>
                <w:rFonts w:ascii="Times New Roman" w:hAnsi="Times New Roman"/>
                <w:snapToGrid w:val="0"/>
                <w:sz w:val="24"/>
                <w:szCs w:val="24"/>
                <w:lang w:eastAsia="ru-RU"/>
              </w:rPr>
              <w:t>Риски возникновения эпифитотий</w:t>
            </w:r>
          </w:p>
        </w:tc>
        <w:tc>
          <w:tcPr>
            <w:tcW w:w="1810" w:type="dxa"/>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snapToGrid w:val="0"/>
                <w:sz w:val="24"/>
                <w:szCs w:val="24"/>
                <w:lang w:eastAsia="ru-RU"/>
              </w:rPr>
              <w:t>Приемлемый риск - 10</w:t>
            </w:r>
            <w:r w:rsidRPr="007A0493">
              <w:rPr>
                <w:rFonts w:ascii="Times New Roman" w:hAnsi="Times New Roman"/>
                <w:snapToGrid w:val="0"/>
                <w:sz w:val="24"/>
                <w:szCs w:val="24"/>
                <w:vertAlign w:val="superscript"/>
                <w:lang w:eastAsia="ru-RU"/>
              </w:rPr>
              <w:t>- 4</w:t>
            </w:r>
          </w:p>
        </w:tc>
        <w:tc>
          <w:tcPr>
            <w:tcW w:w="2140" w:type="dxa"/>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color w:val="000000"/>
                <w:kern w:val="24"/>
                <w:sz w:val="24"/>
                <w:szCs w:val="24"/>
                <w:lang w:eastAsia="ru-RU"/>
              </w:rPr>
              <w:t>январь – декабрь</w:t>
            </w:r>
          </w:p>
        </w:tc>
      </w:tr>
      <w:tr w:rsidR="002D1E45" w:rsidRPr="00991671" w:rsidTr="007A0493">
        <w:trPr>
          <w:trHeight w:val="283"/>
          <w:jc w:val="center"/>
        </w:trPr>
        <w:tc>
          <w:tcPr>
            <w:tcW w:w="551" w:type="dxa"/>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snapToGrid w:val="0"/>
                <w:sz w:val="24"/>
                <w:szCs w:val="24"/>
                <w:lang w:eastAsia="ru-RU"/>
              </w:rPr>
              <w:t>4</w:t>
            </w:r>
          </w:p>
        </w:tc>
        <w:tc>
          <w:tcPr>
            <w:tcW w:w="5681" w:type="dxa"/>
            <w:vAlign w:val="center"/>
          </w:tcPr>
          <w:p w:rsidR="002D1E45" w:rsidRPr="007A0493" w:rsidRDefault="002D1E45" w:rsidP="007A0493">
            <w:pPr>
              <w:spacing w:after="0" w:line="240" w:lineRule="auto"/>
              <w:rPr>
                <w:rFonts w:ascii="Times New Roman" w:hAnsi="Times New Roman"/>
                <w:snapToGrid w:val="0"/>
                <w:sz w:val="24"/>
                <w:szCs w:val="24"/>
                <w:lang w:eastAsia="ru-RU"/>
              </w:rPr>
            </w:pPr>
            <w:r w:rsidRPr="007A0493">
              <w:rPr>
                <w:rFonts w:ascii="Times New Roman" w:hAnsi="Times New Roman"/>
                <w:snapToGrid w:val="0"/>
                <w:sz w:val="24"/>
                <w:szCs w:val="24"/>
                <w:lang w:eastAsia="ru-RU"/>
              </w:rPr>
              <w:t>Риски возникновения отравления людей</w:t>
            </w:r>
          </w:p>
        </w:tc>
        <w:tc>
          <w:tcPr>
            <w:tcW w:w="1810" w:type="dxa"/>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snapToGrid w:val="0"/>
                <w:sz w:val="24"/>
                <w:szCs w:val="24"/>
                <w:lang w:eastAsia="ru-RU"/>
              </w:rPr>
              <w:t>Приемлемый риск - 10</w:t>
            </w:r>
            <w:r w:rsidRPr="007A0493">
              <w:rPr>
                <w:rFonts w:ascii="Times New Roman" w:hAnsi="Times New Roman"/>
                <w:snapToGrid w:val="0"/>
                <w:sz w:val="24"/>
                <w:szCs w:val="24"/>
                <w:vertAlign w:val="superscript"/>
                <w:lang w:eastAsia="ru-RU"/>
              </w:rPr>
              <w:t>- 4</w:t>
            </w:r>
          </w:p>
        </w:tc>
        <w:tc>
          <w:tcPr>
            <w:tcW w:w="2140" w:type="dxa"/>
            <w:vAlign w:val="center"/>
          </w:tcPr>
          <w:p w:rsidR="002D1E45" w:rsidRPr="007A0493" w:rsidRDefault="002D1E45" w:rsidP="007A0493">
            <w:pPr>
              <w:spacing w:after="0" w:line="240" w:lineRule="auto"/>
              <w:jc w:val="center"/>
              <w:rPr>
                <w:rFonts w:ascii="Times New Roman" w:hAnsi="Times New Roman"/>
                <w:snapToGrid w:val="0"/>
                <w:sz w:val="24"/>
                <w:szCs w:val="24"/>
                <w:lang w:eastAsia="ru-RU"/>
              </w:rPr>
            </w:pPr>
            <w:r w:rsidRPr="007A0493">
              <w:rPr>
                <w:rFonts w:ascii="Times New Roman" w:hAnsi="Times New Roman"/>
                <w:color w:val="000000"/>
                <w:kern w:val="24"/>
                <w:sz w:val="24"/>
                <w:szCs w:val="24"/>
                <w:lang w:eastAsia="ru-RU"/>
              </w:rPr>
              <w:t>январь – декабрь</w:t>
            </w:r>
          </w:p>
        </w:tc>
      </w:tr>
    </w:tbl>
    <w:p w:rsidR="002D1E45" w:rsidRDefault="002D1E45" w:rsidP="006A07B0">
      <w:pPr>
        <w:spacing w:after="0" w:line="240" w:lineRule="auto"/>
        <w:ind w:firstLine="709"/>
        <w:jc w:val="both"/>
        <w:rPr>
          <w:rFonts w:ascii="Times New Roman" w:hAnsi="Times New Roman"/>
          <w:sz w:val="28"/>
          <w:szCs w:val="28"/>
        </w:rPr>
      </w:pPr>
      <w:bookmarkStart w:id="185" w:name="_Toc183420507"/>
      <w:bookmarkStart w:id="186" w:name="_Toc183426153"/>
      <w:bookmarkStart w:id="187" w:name="_Toc183584885"/>
      <w:bookmarkStart w:id="188" w:name="_Toc337125146"/>
      <w:bookmarkStart w:id="189" w:name="_Toc340212826"/>
      <w:bookmarkStart w:id="190" w:name="_Toc342835938"/>
      <w:bookmarkStart w:id="191" w:name="_Toc345316176"/>
      <w:bookmarkStart w:id="192" w:name="_Toc345510125"/>
      <w:bookmarkStart w:id="193" w:name="_Toc373678881"/>
      <w:bookmarkStart w:id="194" w:name="_Toc391717267"/>
      <w:bookmarkStart w:id="195" w:name="_Toc391717372"/>
      <w:bookmarkStart w:id="196" w:name="_Toc397188002"/>
      <w:bookmarkStart w:id="197" w:name="_Toc397241510"/>
      <w:bookmarkStart w:id="198" w:name="_Toc402346760"/>
      <w:bookmarkStart w:id="199" w:name="_Toc403824922"/>
      <w:bookmarkStart w:id="200" w:name="_Toc404432630"/>
      <w:bookmarkStart w:id="201" w:name="_Toc419370725"/>
      <w:bookmarkStart w:id="202" w:name="_Toc419973693"/>
      <w:bookmarkStart w:id="203" w:name="_Toc442008426"/>
      <w:bookmarkStart w:id="204" w:name="_Toc442523067"/>
      <w:bookmarkStart w:id="205" w:name="_Toc442523325"/>
      <w:bookmarkStart w:id="206" w:name="_Toc463789620"/>
      <w:bookmarkStart w:id="207" w:name="_Toc468969173"/>
      <w:bookmarkStart w:id="208" w:name="_Toc473371479"/>
      <w:bookmarkStart w:id="209" w:name="_Toc475037106"/>
    </w:p>
    <w:p w:rsidR="002D1E45" w:rsidRPr="00281860" w:rsidRDefault="002D1E45" w:rsidP="00D05D06">
      <w:pPr>
        <w:pStyle w:val="Heading3"/>
        <w:numPr>
          <w:ilvl w:val="2"/>
          <w:numId w:val="65"/>
        </w:numPr>
        <w:tabs>
          <w:tab w:val="left" w:pos="1418"/>
        </w:tabs>
        <w:spacing w:before="120"/>
        <w:jc w:val="both"/>
        <w:rPr>
          <w:rFonts w:ascii="Times New Roman" w:hAnsi="Times New Roman"/>
          <w:sz w:val="28"/>
        </w:rPr>
      </w:pPr>
      <w:bookmarkStart w:id="210" w:name="_Toc84936046"/>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r w:rsidRPr="004738E5">
        <w:rPr>
          <w:rFonts w:ascii="Times New Roman" w:hAnsi="Times New Roman"/>
          <w:sz w:val="28"/>
        </w:rPr>
        <w:t>Перечень мероприятий по</w:t>
      </w:r>
      <w:r>
        <w:rPr>
          <w:rFonts w:ascii="Times New Roman" w:hAnsi="Times New Roman"/>
          <w:sz w:val="28"/>
        </w:rPr>
        <w:t> </w:t>
      </w:r>
      <w:r w:rsidRPr="004738E5">
        <w:rPr>
          <w:rFonts w:ascii="Times New Roman" w:hAnsi="Times New Roman"/>
          <w:sz w:val="28"/>
        </w:rPr>
        <w:t>обеспечению пожарной безопасности</w:t>
      </w:r>
      <w:bookmarkEnd w:id="210"/>
    </w:p>
    <w:p w:rsidR="002D1E45" w:rsidRDefault="002D1E45" w:rsidP="004738E5">
      <w:pPr>
        <w:spacing w:after="0" w:line="240" w:lineRule="auto"/>
        <w:ind w:firstLine="709"/>
        <w:jc w:val="both"/>
      </w:pPr>
    </w:p>
    <w:p w:rsidR="002D1E45" w:rsidRDefault="002D1E45" w:rsidP="004E0426">
      <w:pPr>
        <w:spacing w:after="0" w:line="240" w:lineRule="auto"/>
        <w:ind w:firstLine="709"/>
        <w:jc w:val="both"/>
        <w:rPr>
          <w:rFonts w:ascii="Times New Roman" w:hAnsi="Times New Roman"/>
          <w:color w:val="000000"/>
          <w:sz w:val="28"/>
          <w:szCs w:val="28"/>
          <w:lang w:eastAsia="ru-RU"/>
        </w:rPr>
      </w:pPr>
      <w:r w:rsidRPr="004E0426">
        <w:rPr>
          <w:rFonts w:ascii="Times New Roman" w:hAnsi="Times New Roman"/>
          <w:color w:val="000000"/>
          <w:sz w:val="28"/>
          <w:szCs w:val="28"/>
          <w:lang w:eastAsia="ru-RU"/>
        </w:rPr>
        <w:t>Пожарная безопасность муниципальных образований в</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соответствии с</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действующим законодательством обеспечивается в</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рамках реализации мер пожарной безопасности соответствующими органами государственной власти и</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 xml:space="preserve">органами местного самоуправления. </w:t>
      </w:r>
    </w:p>
    <w:p w:rsidR="002D1E45" w:rsidRDefault="002D1E45" w:rsidP="00540CAE">
      <w:pPr>
        <w:spacing w:after="0" w:line="240" w:lineRule="auto"/>
        <w:ind w:firstLine="709"/>
        <w:jc w:val="both"/>
        <w:rPr>
          <w:rFonts w:ascii="Times New Roman" w:hAnsi="Times New Roman"/>
          <w:sz w:val="28"/>
          <w:szCs w:val="28"/>
        </w:rPr>
      </w:pPr>
      <w:r w:rsidRPr="00C3351E">
        <w:rPr>
          <w:rFonts w:ascii="Times New Roman" w:hAnsi="Times New Roman"/>
          <w:sz w:val="28"/>
          <w:szCs w:val="28"/>
        </w:rPr>
        <w:t>Противопожарной охраной лесных угодий в</w:t>
      </w:r>
      <w:r>
        <w:rPr>
          <w:rFonts w:ascii="Times New Roman" w:hAnsi="Times New Roman"/>
          <w:sz w:val="28"/>
          <w:szCs w:val="28"/>
        </w:rPr>
        <w:t> Куйбышевском</w:t>
      </w:r>
      <w:r w:rsidRPr="00C3351E">
        <w:rPr>
          <w:rFonts w:ascii="Times New Roman" w:hAnsi="Times New Roman"/>
          <w:sz w:val="28"/>
          <w:szCs w:val="28"/>
        </w:rPr>
        <w:t xml:space="preserve"> </w:t>
      </w:r>
      <w:r>
        <w:rPr>
          <w:rFonts w:ascii="Times New Roman" w:hAnsi="Times New Roman"/>
          <w:sz w:val="28"/>
          <w:szCs w:val="28"/>
        </w:rPr>
        <w:t>районе</w:t>
      </w:r>
      <w:r w:rsidRPr="00C3351E">
        <w:rPr>
          <w:rFonts w:ascii="Times New Roman" w:hAnsi="Times New Roman"/>
          <w:sz w:val="28"/>
          <w:szCs w:val="28"/>
        </w:rPr>
        <w:t xml:space="preserve"> занимается Департамент лесного хозяйства Новосибирской области. </w:t>
      </w:r>
    </w:p>
    <w:p w:rsidR="002D1E45" w:rsidRDefault="002D1E45" w:rsidP="00540CAE">
      <w:pPr>
        <w:adjustRightInd w:val="0"/>
        <w:spacing w:after="0" w:line="240" w:lineRule="auto"/>
        <w:ind w:firstLine="709"/>
        <w:jc w:val="both"/>
        <w:rPr>
          <w:rFonts w:ascii="Times New Roman" w:hAnsi="Times New Roman"/>
          <w:sz w:val="28"/>
          <w:szCs w:val="28"/>
        </w:rPr>
      </w:pPr>
      <w:r w:rsidRPr="00960DD6">
        <w:rPr>
          <w:rFonts w:ascii="Times New Roman" w:hAnsi="Times New Roman"/>
          <w:sz w:val="28"/>
          <w:szCs w:val="28"/>
        </w:rPr>
        <w:t>Пожарная охрана на территории города Куйбышева осуществляется ПСЧ-13 ПСО-4 ФПС ГПС ГУ МЧС России по НСО</w:t>
      </w:r>
      <w:r>
        <w:rPr>
          <w:rFonts w:ascii="Times New Roman" w:hAnsi="Times New Roman"/>
          <w:sz w:val="28"/>
          <w:szCs w:val="28"/>
        </w:rPr>
        <w:t xml:space="preserve">. </w:t>
      </w:r>
    </w:p>
    <w:p w:rsidR="002D1E45" w:rsidRDefault="002D1E45" w:rsidP="007E1D43">
      <w:pPr>
        <w:adjustRightInd w:val="0"/>
        <w:spacing w:after="0" w:line="240" w:lineRule="auto"/>
        <w:ind w:firstLine="709"/>
        <w:jc w:val="both"/>
        <w:rPr>
          <w:rFonts w:ascii="Times New Roman" w:hAnsi="Times New Roman"/>
          <w:sz w:val="28"/>
          <w:szCs w:val="28"/>
        </w:rPr>
      </w:pPr>
      <w:r w:rsidRPr="007E1D43">
        <w:rPr>
          <w:rFonts w:ascii="Times New Roman" w:hAnsi="Times New Roman"/>
          <w:sz w:val="28"/>
          <w:szCs w:val="28"/>
        </w:rPr>
        <w:t>Данные силы и</w:t>
      </w:r>
      <w:r>
        <w:rPr>
          <w:rFonts w:ascii="Times New Roman" w:hAnsi="Times New Roman"/>
          <w:sz w:val="28"/>
          <w:szCs w:val="28"/>
        </w:rPr>
        <w:t> </w:t>
      </w:r>
      <w:r w:rsidRPr="007E1D43">
        <w:rPr>
          <w:rFonts w:ascii="Times New Roman" w:hAnsi="Times New Roman"/>
          <w:sz w:val="28"/>
          <w:szCs w:val="28"/>
        </w:rPr>
        <w:t>средства спланированы в</w:t>
      </w:r>
      <w:r>
        <w:rPr>
          <w:rFonts w:ascii="Times New Roman" w:hAnsi="Times New Roman"/>
          <w:sz w:val="28"/>
          <w:szCs w:val="28"/>
        </w:rPr>
        <w:t> </w:t>
      </w:r>
      <w:r w:rsidRPr="007E1D43">
        <w:rPr>
          <w:rFonts w:ascii="Times New Roman" w:hAnsi="Times New Roman"/>
          <w:sz w:val="28"/>
          <w:szCs w:val="28"/>
        </w:rPr>
        <w:t>соответствии с</w:t>
      </w:r>
      <w:r>
        <w:rPr>
          <w:rFonts w:ascii="Times New Roman" w:hAnsi="Times New Roman"/>
          <w:sz w:val="28"/>
          <w:szCs w:val="28"/>
        </w:rPr>
        <w:t> </w:t>
      </w:r>
      <w:r w:rsidRPr="007E1D43">
        <w:rPr>
          <w:rFonts w:ascii="Times New Roman" w:hAnsi="Times New Roman"/>
          <w:sz w:val="28"/>
          <w:szCs w:val="28"/>
        </w:rPr>
        <w:t>приказом МЧС России № 467 «Об утверждении Положения о</w:t>
      </w:r>
      <w:r>
        <w:rPr>
          <w:rFonts w:ascii="Times New Roman" w:hAnsi="Times New Roman"/>
          <w:sz w:val="28"/>
          <w:szCs w:val="28"/>
        </w:rPr>
        <w:t> </w:t>
      </w:r>
      <w:r w:rsidRPr="007E1D43">
        <w:rPr>
          <w:rFonts w:ascii="Times New Roman" w:hAnsi="Times New Roman"/>
          <w:sz w:val="28"/>
          <w:szCs w:val="28"/>
        </w:rPr>
        <w:t>пожарно-спасательных гарнизонах».</w:t>
      </w:r>
      <w:r>
        <w:rPr>
          <w:rFonts w:ascii="Times New Roman" w:hAnsi="Times New Roman"/>
          <w:sz w:val="28"/>
          <w:szCs w:val="28"/>
        </w:rPr>
        <w:t xml:space="preserve"> </w:t>
      </w:r>
    </w:p>
    <w:p w:rsidR="002D1E45" w:rsidRPr="003C048B" w:rsidRDefault="002D1E45" w:rsidP="00BB3B2D">
      <w:pPr>
        <w:spacing w:after="0" w:line="240" w:lineRule="auto"/>
        <w:ind w:firstLine="709"/>
        <w:jc w:val="both"/>
        <w:rPr>
          <w:rFonts w:ascii="Times New Roman" w:hAnsi="Times New Roman"/>
          <w:color w:val="000000"/>
          <w:sz w:val="28"/>
          <w:szCs w:val="28"/>
          <w:lang w:eastAsia="ru-RU"/>
        </w:rPr>
      </w:pPr>
      <w:r w:rsidRPr="003C048B">
        <w:rPr>
          <w:rFonts w:ascii="Times New Roman" w:hAnsi="Times New Roman"/>
          <w:color w:val="000000"/>
          <w:sz w:val="28"/>
          <w:szCs w:val="28"/>
          <w:lang w:eastAsia="ru-RU"/>
        </w:rPr>
        <w:t>Привлечение опорных пунктов для тушения пожаров и</w:t>
      </w:r>
      <w:r>
        <w:rPr>
          <w:rFonts w:ascii="Times New Roman" w:hAnsi="Times New Roman"/>
          <w:color w:val="000000"/>
          <w:sz w:val="28"/>
          <w:szCs w:val="28"/>
          <w:lang w:eastAsia="ru-RU"/>
        </w:rPr>
        <w:t> </w:t>
      </w:r>
      <w:r w:rsidRPr="003C048B">
        <w:rPr>
          <w:rFonts w:ascii="Times New Roman" w:hAnsi="Times New Roman"/>
          <w:color w:val="000000"/>
          <w:sz w:val="28"/>
          <w:szCs w:val="28"/>
          <w:lang w:eastAsia="ru-RU"/>
        </w:rPr>
        <w:t>проведения аварийно-спасательных работ осуществляется в</w:t>
      </w:r>
      <w:r>
        <w:rPr>
          <w:rFonts w:ascii="Times New Roman" w:hAnsi="Times New Roman"/>
          <w:color w:val="000000"/>
          <w:sz w:val="28"/>
          <w:szCs w:val="28"/>
          <w:lang w:eastAsia="ru-RU"/>
        </w:rPr>
        <w:t> </w:t>
      </w:r>
      <w:r w:rsidRPr="003C048B">
        <w:rPr>
          <w:rFonts w:ascii="Times New Roman" w:hAnsi="Times New Roman"/>
          <w:color w:val="000000"/>
          <w:sz w:val="28"/>
          <w:szCs w:val="28"/>
          <w:lang w:eastAsia="ru-RU"/>
        </w:rPr>
        <w:t>соответствии с</w:t>
      </w:r>
      <w:r>
        <w:rPr>
          <w:rFonts w:ascii="Times New Roman" w:hAnsi="Times New Roman"/>
          <w:color w:val="000000"/>
          <w:sz w:val="28"/>
          <w:szCs w:val="28"/>
          <w:lang w:eastAsia="ru-RU"/>
        </w:rPr>
        <w:t> </w:t>
      </w:r>
      <w:r w:rsidRPr="003C048B">
        <w:rPr>
          <w:rFonts w:ascii="Times New Roman" w:hAnsi="Times New Roman"/>
          <w:color w:val="000000"/>
          <w:sz w:val="28"/>
          <w:szCs w:val="28"/>
          <w:lang w:eastAsia="ru-RU"/>
        </w:rPr>
        <w:t>Планом привлечения и</w:t>
      </w:r>
      <w:r>
        <w:rPr>
          <w:rFonts w:ascii="Times New Roman" w:hAnsi="Times New Roman"/>
          <w:color w:val="000000"/>
          <w:sz w:val="28"/>
          <w:szCs w:val="28"/>
          <w:lang w:eastAsia="ru-RU"/>
        </w:rPr>
        <w:t> </w:t>
      </w:r>
      <w:r w:rsidRPr="003C048B">
        <w:rPr>
          <w:rFonts w:ascii="Times New Roman" w:hAnsi="Times New Roman"/>
          <w:color w:val="000000"/>
          <w:sz w:val="28"/>
          <w:szCs w:val="28"/>
          <w:lang w:eastAsia="ru-RU"/>
        </w:rPr>
        <w:t>Расписаниями выездов или по</w:t>
      </w:r>
      <w:r>
        <w:rPr>
          <w:rFonts w:ascii="Times New Roman" w:hAnsi="Times New Roman"/>
          <w:color w:val="000000"/>
          <w:sz w:val="28"/>
          <w:szCs w:val="28"/>
          <w:lang w:eastAsia="ru-RU"/>
        </w:rPr>
        <w:t> </w:t>
      </w:r>
      <w:r w:rsidRPr="003C048B">
        <w:rPr>
          <w:rFonts w:ascii="Times New Roman" w:hAnsi="Times New Roman"/>
          <w:color w:val="000000"/>
          <w:sz w:val="28"/>
          <w:szCs w:val="28"/>
          <w:lang w:eastAsia="ru-RU"/>
        </w:rPr>
        <w:t>требованию руководителя тушения пожара и</w:t>
      </w:r>
      <w:r>
        <w:rPr>
          <w:rFonts w:ascii="Times New Roman" w:hAnsi="Times New Roman"/>
          <w:color w:val="000000"/>
          <w:sz w:val="28"/>
          <w:szCs w:val="28"/>
          <w:lang w:eastAsia="ru-RU"/>
        </w:rPr>
        <w:t> </w:t>
      </w:r>
      <w:r w:rsidRPr="003C048B">
        <w:rPr>
          <w:rFonts w:ascii="Times New Roman" w:hAnsi="Times New Roman"/>
          <w:color w:val="000000"/>
          <w:sz w:val="28"/>
          <w:szCs w:val="28"/>
          <w:lang w:eastAsia="ru-RU"/>
        </w:rPr>
        <w:t>проведения аварийно-спасательных работ в</w:t>
      </w:r>
      <w:r>
        <w:rPr>
          <w:rFonts w:ascii="Times New Roman" w:hAnsi="Times New Roman"/>
          <w:color w:val="000000"/>
          <w:sz w:val="28"/>
          <w:szCs w:val="28"/>
          <w:lang w:eastAsia="ru-RU"/>
        </w:rPr>
        <w:t> </w:t>
      </w:r>
      <w:r w:rsidRPr="003C048B">
        <w:rPr>
          <w:rFonts w:ascii="Times New Roman" w:hAnsi="Times New Roman"/>
          <w:color w:val="000000"/>
          <w:sz w:val="28"/>
          <w:szCs w:val="28"/>
          <w:lang w:eastAsia="ru-RU"/>
        </w:rPr>
        <w:t>зависимости от</w:t>
      </w:r>
      <w:r>
        <w:rPr>
          <w:rFonts w:ascii="Times New Roman" w:hAnsi="Times New Roman"/>
          <w:color w:val="000000"/>
          <w:sz w:val="28"/>
          <w:szCs w:val="28"/>
          <w:lang w:eastAsia="ru-RU"/>
        </w:rPr>
        <w:t> </w:t>
      </w:r>
      <w:r w:rsidRPr="003C048B">
        <w:rPr>
          <w:rFonts w:ascii="Times New Roman" w:hAnsi="Times New Roman"/>
          <w:color w:val="000000"/>
          <w:sz w:val="28"/>
          <w:szCs w:val="28"/>
          <w:lang w:eastAsia="ru-RU"/>
        </w:rPr>
        <w:t>складывающейся оперативной обстановки.</w:t>
      </w:r>
    </w:p>
    <w:p w:rsidR="002D1E45" w:rsidRPr="003C048B" w:rsidRDefault="002D1E45" w:rsidP="00BB3B2D">
      <w:pPr>
        <w:spacing w:after="0" w:line="240" w:lineRule="auto"/>
        <w:ind w:firstLine="709"/>
        <w:jc w:val="both"/>
        <w:rPr>
          <w:rFonts w:ascii="Times New Roman" w:hAnsi="Times New Roman"/>
          <w:color w:val="000000"/>
          <w:sz w:val="28"/>
          <w:szCs w:val="28"/>
          <w:lang w:eastAsia="ru-RU"/>
        </w:rPr>
      </w:pPr>
      <w:r w:rsidRPr="003C048B">
        <w:rPr>
          <w:rFonts w:ascii="Times New Roman" w:hAnsi="Times New Roman"/>
          <w:color w:val="000000"/>
          <w:sz w:val="28"/>
          <w:szCs w:val="28"/>
          <w:lang w:eastAsia="ru-RU"/>
        </w:rPr>
        <w:t>При установлении особого противопожарного режима в</w:t>
      </w:r>
      <w:r>
        <w:rPr>
          <w:rFonts w:ascii="Times New Roman" w:hAnsi="Times New Roman"/>
          <w:color w:val="000000"/>
          <w:sz w:val="28"/>
          <w:szCs w:val="28"/>
          <w:lang w:eastAsia="ru-RU"/>
        </w:rPr>
        <w:t> </w:t>
      </w:r>
      <w:r w:rsidRPr="003C048B">
        <w:rPr>
          <w:rFonts w:ascii="Times New Roman" w:hAnsi="Times New Roman"/>
          <w:color w:val="000000"/>
          <w:sz w:val="28"/>
          <w:szCs w:val="28"/>
          <w:lang w:eastAsia="ru-RU"/>
        </w:rPr>
        <w:t>случае повышения пожарной опасности, а</w:t>
      </w:r>
      <w:r>
        <w:rPr>
          <w:rFonts w:ascii="Times New Roman" w:hAnsi="Times New Roman"/>
          <w:color w:val="000000"/>
          <w:sz w:val="28"/>
          <w:szCs w:val="28"/>
          <w:lang w:eastAsia="ru-RU"/>
        </w:rPr>
        <w:t> </w:t>
      </w:r>
      <w:r w:rsidRPr="003C048B">
        <w:rPr>
          <w:rFonts w:ascii="Times New Roman" w:hAnsi="Times New Roman"/>
          <w:color w:val="000000"/>
          <w:sz w:val="28"/>
          <w:szCs w:val="28"/>
          <w:lang w:eastAsia="ru-RU"/>
        </w:rPr>
        <w:t>также при осложнении оперативной пожарной обстановки или возникновении чрезвычайной ситуации, подразделения ГПС переводятся на</w:t>
      </w:r>
      <w:r>
        <w:rPr>
          <w:rFonts w:ascii="Times New Roman" w:hAnsi="Times New Roman"/>
          <w:color w:val="000000"/>
          <w:sz w:val="28"/>
          <w:szCs w:val="28"/>
          <w:lang w:eastAsia="ru-RU"/>
        </w:rPr>
        <w:t> </w:t>
      </w:r>
      <w:r w:rsidRPr="003C048B">
        <w:rPr>
          <w:rFonts w:ascii="Times New Roman" w:hAnsi="Times New Roman"/>
          <w:color w:val="000000"/>
          <w:sz w:val="28"/>
          <w:szCs w:val="28"/>
          <w:lang w:eastAsia="ru-RU"/>
        </w:rPr>
        <w:t>усиленный вариант несения службы.</w:t>
      </w:r>
    </w:p>
    <w:p w:rsidR="002D1E45" w:rsidRPr="003C048B" w:rsidRDefault="002D1E45" w:rsidP="00BB3B2D">
      <w:pPr>
        <w:spacing w:after="0" w:line="240" w:lineRule="auto"/>
        <w:ind w:firstLine="709"/>
        <w:jc w:val="both"/>
        <w:rPr>
          <w:rFonts w:ascii="Times New Roman" w:hAnsi="Times New Roman"/>
          <w:color w:val="000000"/>
          <w:sz w:val="28"/>
          <w:szCs w:val="28"/>
          <w:lang w:eastAsia="ru-RU"/>
        </w:rPr>
      </w:pPr>
      <w:r w:rsidRPr="003C048B">
        <w:rPr>
          <w:rFonts w:ascii="Times New Roman" w:hAnsi="Times New Roman"/>
          <w:color w:val="000000"/>
          <w:sz w:val="28"/>
          <w:szCs w:val="28"/>
          <w:lang w:eastAsia="ru-RU"/>
        </w:rPr>
        <w:t>При усиленном варианте несения службы проводятся следующие мероприятия:</w:t>
      </w:r>
    </w:p>
    <w:p w:rsidR="002D1E45" w:rsidRPr="00F44464" w:rsidRDefault="002D1E45" w:rsidP="00BB3B2D">
      <w:pPr>
        <w:numPr>
          <w:ilvl w:val="0"/>
          <w:numId w:val="24"/>
        </w:numPr>
        <w:spacing w:after="0" w:line="240" w:lineRule="auto"/>
        <w:jc w:val="both"/>
        <w:rPr>
          <w:rFonts w:ascii="Times New Roman" w:hAnsi="Times New Roman"/>
          <w:sz w:val="28"/>
          <w:szCs w:val="28"/>
        </w:rPr>
      </w:pPr>
      <w:r w:rsidRPr="00F44464">
        <w:rPr>
          <w:rFonts w:ascii="Times New Roman" w:hAnsi="Times New Roman"/>
          <w:sz w:val="28"/>
          <w:szCs w:val="28"/>
        </w:rPr>
        <w:t>организуется круглосуточное дежурство руководящего и</w:t>
      </w:r>
      <w:r>
        <w:rPr>
          <w:rFonts w:ascii="Times New Roman" w:hAnsi="Times New Roman"/>
          <w:sz w:val="28"/>
          <w:szCs w:val="28"/>
        </w:rPr>
        <w:t> </w:t>
      </w:r>
      <w:r w:rsidRPr="00F44464">
        <w:rPr>
          <w:rFonts w:ascii="Times New Roman" w:hAnsi="Times New Roman"/>
          <w:sz w:val="28"/>
          <w:szCs w:val="28"/>
        </w:rPr>
        <w:t>личного состава подразделений ГПС в</w:t>
      </w:r>
      <w:r>
        <w:rPr>
          <w:rFonts w:ascii="Times New Roman" w:hAnsi="Times New Roman"/>
          <w:sz w:val="28"/>
          <w:szCs w:val="28"/>
        </w:rPr>
        <w:t> </w:t>
      </w:r>
      <w:r w:rsidRPr="00F44464">
        <w:rPr>
          <w:rFonts w:ascii="Times New Roman" w:hAnsi="Times New Roman"/>
          <w:sz w:val="28"/>
          <w:szCs w:val="28"/>
        </w:rPr>
        <w:t>соответствии с</w:t>
      </w:r>
      <w:r>
        <w:rPr>
          <w:rFonts w:ascii="Times New Roman" w:hAnsi="Times New Roman"/>
          <w:sz w:val="28"/>
          <w:szCs w:val="28"/>
        </w:rPr>
        <w:t> </w:t>
      </w:r>
      <w:r w:rsidRPr="00F44464">
        <w:rPr>
          <w:rFonts w:ascii="Times New Roman" w:hAnsi="Times New Roman"/>
          <w:sz w:val="28"/>
          <w:szCs w:val="28"/>
        </w:rPr>
        <w:t>разрабатываемыми графиками;</w:t>
      </w:r>
    </w:p>
    <w:p w:rsidR="002D1E45" w:rsidRPr="00F44464" w:rsidRDefault="002D1E45" w:rsidP="00BB3B2D">
      <w:pPr>
        <w:numPr>
          <w:ilvl w:val="0"/>
          <w:numId w:val="24"/>
        </w:numPr>
        <w:spacing w:after="0" w:line="240" w:lineRule="auto"/>
        <w:jc w:val="both"/>
        <w:rPr>
          <w:rFonts w:ascii="Times New Roman" w:hAnsi="Times New Roman"/>
          <w:sz w:val="28"/>
          <w:szCs w:val="28"/>
        </w:rPr>
      </w:pPr>
      <w:r w:rsidRPr="00F44464">
        <w:rPr>
          <w:rFonts w:ascii="Times New Roman" w:hAnsi="Times New Roman"/>
          <w:sz w:val="28"/>
          <w:szCs w:val="28"/>
        </w:rPr>
        <w:t>усиливается охрана зданий и</w:t>
      </w:r>
      <w:r>
        <w:rPr>
          <w:rFonts w:ascii="Times New Roman" w:hAnsi="Times New Roman"/>
          <w:sz w:val="28"/>
          <w:szCs w:val="28"/>
        </w:rPr>
        <w:t> </w:t>
      </w:r>
      <w:r w:rsidRPr="00F44464">
        <w:rPr>
          <w:rFonts w:ascii="Times New Roman" w:hAnsi="Times New Roman"/>
          <w:sz w:val="28"/>
          <w:szCs w:val="28"/>
        </w:rPr>
        <w:t>территорий подразделений ГПС;</w:t>
      </w:r>
    </w:p>
    <w:p w:rsidR="002D1E45" w:rsidRPr="00F44464" w:rsidRDefault="002D1E45" w:rsidP="00BB3B2D">
      <w:pPr>
        <w:numPr>
          <w:ilvl w:val="0"/>
          <w:numId w:val="24"/>
        </w:numPr>
        <w:spacing w:after="0" w:line="240" w:lineRule="auto"/>
        <w:jc w:val="both"/>
        <w:rPr>
          <w:rFonts w:ascii="Times New Roman" w:hAnsi="Times New Roman"/>
          <w:sz w:val="28"/>
          <w:szCs w:val="28"/>
        </w:rPr>
      </w:pPr>
      <w:r w:rsidRPr="00F44464">
        <w:rPr>
          <w:rFonts w:ascii="Times New Roman" w:hAnsi="Times New Roman"/>
          <w:sz w:val="28"/>
          <w:szCs w:val="28"/>
        </w:rPr>
        <w:t>создаётся необходимый дополнительный резерв горюче-смазочных материалов и</w:t>
      </w:r>
      <w:r>
        <w:rPr>
          <w:rFonts w:ascii="Times New Roman" w:hAnsi="Times New Roman"/>
          <w:sz w:val="28"/>
          <w:szCs w:val="28"/>
        </w:rPr>
        <w:t> </w:t>
      </w:r>
      <w:r w:rsidRPr="00F44464">
        <w:rPr>
          <w:rFonts w:ascii="Times New Roman" w:hAnsi="Times New Roman"/>
          <w:sz w:val="28"/>
          <w:szCs w:val="28"/>
        </w:rPr>
        <w:t xml:space="preserve">огнетушащих веществ; </w:t>
      </w:r>
    </w:p>
    <w:p w:rsidR="002D1E45" w:rsidRPr="00F44464" w:rsidRDefault="002D1E45" w:rsidP="00BB3B2D">
      <w:pPr>
        <w:numPr>
          <w:ilvl w:val="0"/>
          <w:numId w:val="24"/>
        </w:numPr>
        <w:spacing w:after="0" w:line="240" w:lineRule="auto"/>
        <w:jc w:val="both"/>
        <w:rPr>
          <w:rFonts w:ascii="Times New Roman" w:hAnsi="Times New Roman"/>
          <w:sz w:val="28"/>
          <w:szCs w:val="28"/>
        </w:rPr>
      </w:pPr>
      <w:r w:rsidRPr="00F44464">
        <w:rPr>
          <w:rFonts w:ascii="Times New Roman" w:hAnsi="Times New Roman"/>
          <w:sz w:val="28"/>
          <w:szCs w:val="28"/>
        </w:rPr>
        <w:t>проводится разъяснительная работа по</w:t>
      </w:r>
      <w:r>
        <w:rPr>
          <w:rFonts w:ascii="Times New Roman" w:hAnsi="Times New Roman"/>
          <w:sz w:val="28"/>
          <w:szCs w:val="28"/>
        </w:rPr>
        <w:t> </w:t>
      </w:r>
      <w:r w:rsidRPr="00F44464">
        <w:rPr>
          <w:rFonts w:ascii="Times New Roman" w:hAnsi="Times New Roman"/>
          <w:sz w:val="28"/>
          <w:szCs w:val="28"/>
        </w:rPr>
        <w:t xml:space="preserve">усиленному варианту несения службы среди личного состава; </w:t>
      </w:r>
    </w:p>
    <w:p w:rsidR="002D1E45" w:rsidRPr="00F44464" w:rsidRDefault="002D1E45" w:rsidP="00BB3B2D">
      <w:pPr>
        <w:numPr>
          <w:ilvl w:val="0"/>
          <w:numId w:val="24"/>
        </w:numPr>
        <w:spacing w:after="0" w:line="240" w:lineRule="auto"/>
        <w:jc w:val="both"/>
        <w:rPr>
          <w:rFonts w:ascii="Times New Roman" w:hAnsi="Times New Roman"/>
          <w:sz w:val="28"/>
          <w:szCs w:val="28"/>
        </w:rPr>
      </w:pPr>
      <w:r w:rsidRPr="00F44464">
        <w:rPr>
          <w:rFonts w:ascii="Times New Roman" w:hAnsi="Times New Roman"/>
          <w:sz w:val="28"/>
          <w:szCs w:val="28"/>
        </w:rPr>
        <w:t>вводится в</w:t>
      </w:r>
      <w:r>
        <w:rPr>
          <w:rFonts w:ascii="Times New Roman" w:hAnsi="Times New Roman"/>
          <w:sz w:val="28"/>
          <w:szCs w:val="28"/>
        </w:rPr>
        <w:t> </w:t>
      </w:r>
      <w:r w:rsidRPr="00F44464">
        <w:rPr>
          <w:rFonts w:ascii="Times New Roman" w:hAnsi="Times New Roman"/>
          <w:sz w:val="28"/>
          <w:szCs w:val="28"/>
        </w:rPr>
        <w:t>расчёт резервная техника, доукомплектовываются личным составом дежурные караулы (дежурные смены), организуется сбор свободного от</w:t>
      </w:r>
      <w:r>
        <w:rPr>
          <w:rFonts w:ascii="Times New Roman" w:hAnsi="Times New Roman"/>
          <w:sz w:val="28"/>
          <w:szCs w:val="28"/>
        </w:rPr>
        <w:t> </w:t>
      </w:r>
      <w:r w:rsidRPr="00F44464">
        <w:rPr>
          <w:rFonts w:ascii="Times New Roman" w:hAnsi="Times New Roman"/>
          <w:sz w:val="28"/>
          <w:szCs w:val="28"/>
        </w:rPr>
        <w:t>несения службы личного состава;</w:t>
      </w:r>
    </w:p>
    <w:p w:rsidR="002D1E45" w:rsidRPr="00F44464" w:rsidRDefault="002D1E45" w:rsidP="00BB3B2D">
      <w:pPr>
        <w:numPr>
          <w:ilvl w:val="0"/>
          <w:numId w:val="24"/>
        </w:numPr>
        <w:spacing w:after="0" w:line="240" w:lineRule="auto"/>
        <w:jc w:val="both"/>
        <w:rPr>
          <w:rFonts w:ascii="Times New Roman" w:hAnsi="Times New Roman"/>
          <w:sz w:val="28"/>
          <w:szCs w:val="28"/>
        </w:rPr>
      </w:pPr>
      <w:r w:rsidRPr="00F44464">
        <w:rPr>
          <w:rFonts w:ascii="Times New Roman" w:hAnsi="Times New Roman"/>
          <w:sz w:val="28"/>
          <w:szCs w:val="28"/>
        </w:rPr>
        <w:t>проводится с</w:t>
      </w:r>
      <w:r>
        <w:rPr>
          <w:rFonts w:ascii="Times New Roman" w:hAnsi="Times New Roman"/>
          <w:sz w:val="28"/>
          <w:szCs w:val="28"/>
        </w:rPr>
        <w:t> </w:t>
      </w:r>
      <w:r w:rsidRPr="00F44464">
        <w:rPr>
          <w:rFonts w:ascii="Times New Roman" w:hAnsi="Times New Roman"/>
          <w:sz w:val="28"/>
          <w:szCs w:val="28"/>
        </w:rPr>
        <w:t>учётом складывающейся обстановки передислокация сил и</w:t>
      </w:r>
      <w:r>
        <w:rPr>
          <w:rFonts w:ascii="Times New Roman" w:hAnsi="Times New Roman"/>
          <w:sz w:val="28"/>
          <w:szCs w:val="28"/>
        </w:rPr>
        <w:t> </w:t>
      </w:r>
      <w:r w:rsidRPr="00F44464">
        <w:rPr>
          <w:rFonts w:ascii="Times New Roman" w:hAnsi="Times New Roman"/>
          <w:sz w:val="28"/>
          <w:szCs w:val="28"/>
        </w:rPr>
        <w:t xml:space="preserve">средств подразделений; </w:t>
      </w:r>
    </w:p>
    <w:p w:rsidR="002D1E45" w:rsidRPr="00F44464" w:rsidRDefault="002D1E45" w:rsidP="00BB3B2D">
      <w:pPr>
        <w:numPr>
          <w:ilvl w:val="0"/>
          <w:numId w:val="24"/>
        </w:numPr>
        <w:spacing w:after="0" w:line="240" w:lineRule="auto"/>
        <w:jc w:val="both"/>
        <w:rPr>
          <w:rFonts w:ascii="Times New Roman" w:hAnsi="Times New Roman"/>
          <w:sz w:val="28"/>
          <w:szCs w:val="28"/>
        </w:rPr>
      </w:pPr>
      <w:r w:rsidRPr="00F44464">
        <w:rPr>
          <w:rFonts w:ascii="Times New Roman" w:hAnsi="Times New Roman"/>
          <w:sz w:val="28"/>
          <w:szCs w:val="28"/>
        </w:rPr>
        <w:t>уточняется порядок взаимодействия со</w:t>
      </w:r>
      <w:r>
        <w:rPr>
          <w:rFonts w:ascii="Times New Roman" w:hAnsi="Times New Roman"/>
          <w:sz w:val="28"/>
          <w:szCs w:val="28"/>
        </w:rPr>
        <w:t> </w:t>
      </w:r>
      <w:r w:rsidRPr="00F44464">
        <w:rPr>
          <w:rFonts w:ascii="Times New Roman" w:hAnsi="Times New Roman"/>
          <w:sz w:val="28"/>
          <w:szCs w:val="28"/>
        </w:rPr>
        <w:t>службами жизнеобеспечения.</w:t>
      </w:r>
    </w:p>
    <w:p w:rsidR="002D1E45" w:rsidRPr="004E0426" w:rsidRDefault="002D1E45" w:rsidP="00BB3B2D">
      <w:pPr>
        <w:spacing w:after="0" w:line="240" w:lineRule="auto"/>
        <w:ind w:firstLine="709"/>
        <w:jc w:val="both"/>
        <w:rPr>
          <w:rFonts w:ascii="Times New Roman" w:hAnsi="Times New Roman"/>
          <w:color w:val="000000"/>
          <w:sz w:val="28"/>
          <w:szCs w:val="28"/>
          <w:lang w:eastAsia="ru-RU"/>
        </w:rPr>
      </w:pPr>
      <w:r w:rsidRPr="004E0426">
        <w:rPr>
          <w:rFonts w:ascii="Times New Roman" w:hAnsi="Times New Roman"/>
          <w:color w:val="000000"/>
          <w:sz w:val="28"/>
          <w:szCs w:val="28"/>
          <w:lang w:eastAsia="ru-RU"/>
        </w:rPr>
        <w:t>Главной задачей администрации органов местного самоуправления в</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этой области должно быть создание устойчивой и</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 xml:space="preserve">целостной системы пожарной безопасности </w:t>
      </w:r>
      <w:r>
        <w:rPr>
          <w:rFonts w:ascii="Times New Roman" w:hAnsi="Times New Roman"/>
          <w:sz w:val="28"/>
          <w:szCs w:val="28"/>
        </w:rPr>
        <w:t>города Куйбышева</w:t>
      </w:r>
      <w:r w:rsidRPr="004E0426">
        <w:rPr>
          <w:rFonts w:ascii="Times New Roman" w:hAnsi="Times New Roman"/>
          <w:color w:val="000000"/>
          <w:sz w:val="28"/>
          <w:szCs w:val="28"/>
          <w:lang w:eastAsia="ru-RU"/>
        </w:rPr>
        <w:t>, т.е. выполнение мероприятий направленных на</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предотвращение пожаров, обеспечение безопасности населения, проживающего и</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ведущего деятельность на</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 xml:space="preserve">территории </w:t>
      </w:r>
      <w:r>
        <w:rPr>
          <w:rFonts w:ascii="Times New Roman" w:hAnsi="Times New Roman"/>
          <w:sz w:val="28"/>
          <w:szCs w:val="28"/>
        </w:rPr>
        <w:t>города Куйбышева</w:t>
      </w:r>
      <w:r w:rsidRPr="004E0426">
        <w:rPr>
          <w:rFonts w:ascii="Times New Roman" w:hAnsi="Times New Roman"/>
          <w:color w:val="000000"/>
          <w:sz w:val="28"/>
          <w:szCs w:val="28"/>
          <w:lang w:eastAsia="ru-RU"/>
        </w:rPr>
        <w:t xml:space="preserve"> и</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защита имущества при пожаре. Структурно, система обеспечения пожарной безопасности в</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себя:</w:t>
      </w:r>
    </w:p>
    <w:p w:rsidR="002D1E45" w:rsidRPr="004E0426" w:rsidRDefault="002D1E45" w:rsidP="00852938">
      <w:pPr>
        <w:numPr>
          <w:ilvl w:val="0"/>
          <w:numId w:val="24"/>
        </w:numPr>
        <w:tabs>
          <w:tab w:val="left" w:pos="1134"/>
        </w:tabs>
        <w:spacing w:after="0" w:line="240" w:lineRule="auto"/>
        <w:ind w:left="1134"/>
        <w:jc w:val="both"/>
        <w:rPr>
          <w:rFonts w:ascii="Times New Roman" w:hAnsi="Times New Roman"/>
          <w:color w:val="000000"/>
          <w:sz w:val="28"/>
          <w:szCs w:val="28"/>
          <w:lang w:eastAsia="ru-RU"/>
        </w:rPr>
      </w:pPr>
      <w:r w:rsidRPr="004E0426">
        <w:rPr>
          <w:rFonts w:ascii="Times New Roman" w:hAnsi="Times New Roman"/>
          <w:color w:val="000000"/>
          <w:sz w:val="28"/>
          <w:szCs w:val="28"/>
          <w:lang w:eastAsia="ru-RU"/>
        </w:rPr>
        <w:t>систему предотвращения пожара;</w:t>
      </w:r>
    </w:p>
    <w:p w:rsidR="002D1E45" w:rsidRPr="004E0426" w:rsidRDefault="002D1E45" w:rsidP="00852938">
      <w:pPr>
        <w:numPr>
          <w:ilvl w:val="0"/>
          <w:numId w:val="24"/>
        </w:numPr>
        <w:tabs>
          <w:tab w:val="left" w:pos="1134"/>
        </w:tabs>
        <w:spacing w:after="0" w:line="240" w:lineRule="auto"/>
        <w:ind w:left="1134"/>
        <w:jc w:val="both"/>
        <w:rPr>
          <w:rFonts w:ascii="Times New Roman" w:hAnsi="Times New Roman"/>
          <w:color w:val="000000"/>
          <w:sz w:val="28"/>
          <w:szCs w:val="28"/>
          <w:lang w:eastAsia="ru-RU"/>
        </w:rPr>
      </w:pPr>
      <w:r w:rsidRPr="004E0426">
        <w:rPr>
          <w:rFonts w:ascii="Times New Roman" w:hAnsi="Times New Roman"/>
          <w:color w:val="000000"/>
          <w:sz w:val="28"/>
          <w:szCs w:val="28"/>
          <w:lang w:eastAsia="ru-RU"/>
        </w:rPr>
        <w:t>систему противопожарной защиты;</w:t>
      </w:r>
    </w:p>
    <w:p w:rsidR="002D1E45" w:rsidRPr="004E0426" w:rsidRDefault="002D1E45" w:rsidP="00852938">
      <w:pPr>
        <w:numPr>
          <w:ilvl w:val="0"/>
          <w:numId w:val="24"/>
        </w:numPr>
        <w:tabs>
          <w:tab w:val="left" w:pos="1134"/>
        </w:tabs>
        <w:spacing w:after="0" w:line="240" w:lineRule="auto"/>
        <w:ind w:left="1134"/>
        <w:jc w:val="both"/>
        <w:rPr>
          <w:rFonts w:ascii="Times New Roman" w:hAnsi="Times New Roman"/>
          <w:color w:val="000000"/>
          <w:sz w:val="28"/>
          <w:szCs w:val="28"/>
          <w:lang w:eastAsia="ru-RU"/>
        </w:rPr>
      </w:pPr>
      <w:r w:rsidRPr="004E0426">
        <w:rPr>
          <w:rFonts w:ascii="Times New Roman" w:hAnsi="Times New Roman"/>
          <w:color w:val="000000"/>
          <w:sz w:val="28"/>
          <w:szCs w:val="28"/>
          <w:lang w:eastAsia="ru-RU"/>
        </w:rPr>
        <w:t>комплекс организационно-технических мероприятий по</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обеспечению пожарной безопасности.</w:t>
      </w:r>
    </w:p>
    <w:p w:rsidR="002D1E45" w:rsidRPr="004E0426" w:rsidRDefault="002D1E45" w:rsidP="00BB3B2D">
      <w:pPr>
        <w:spacing w:after="0" w:line="240" w:lineRule="auto"/>
        <w:ind w:firstLine="709"/>
        <w:jc w:val="both"/>
        <w:rPr>
          <w:rFonts w:ascii="Times New Roman" w:hAnsi="Times New Roman"/>
          <w:color w:val="000000"/>
          <w:sz w:val="28"/>
          <w:szCs w:val="28"/>
          <w:lang w:eastAsia="ru-RU"/>
        </w:rPr>
      </w:pPr>
      <w:r w:rsidRPr="004E0426">
        <w:rPr>
          <w:rFonts w:ascii="Times New Roman" w:hAnsi="Times New Roman"/>
          <w:color w:val="000000"/>
          <w:sz w:val="28"/>
          <w:szCs w:val="28"/>
          <w:lang w:eastAsia="ru-RU"/>
        </w:rPr>
        <w:t>Целью создания систем предотвращения пожаров является исключение условий возникновения пожаров на</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 xml:space="preserve">территории </w:t>
      </w:r>
      <w:r>
        <w:rPr>
          <w:rFonts w:ascii="Times New Roman" w:hAnsi="Times New Roman"/>
          <w:color w:val="000000"/>
          <w:sz w:val="28"/>
          <w:szCs w:val="28"/>
          <w:lang w:eastAsia="ru-RU"/>
        </w:rPr>
        <w:t>поселения</w:t>
      </w:r>
      <w:r w:rsidRPr="004E0426">
        <w:rPr>
          <w:rFonts w:ascii="Times New Roman" w:hAnsi="Times New Roman"/>
          <w:color w:val="000000"/>
          <w:sz w:val="28"/>
          <w:szCs w:val="28"/>
          <w:lang w:eastAsia="ru-RU"/>
        </w:rPr>
        <w:t>.</w:t>
      </w:r>
    </w:p>
    <w:p w:rsidR="002D1E45" w:rsidRPr="004E0426" w:rsidRDefault="002D1E45" w:rsidP="00BB3B2D">
      <w:pPr>
        <w:spacing w:after="0" w:line="240" w:lineRule="auto"/>
        <w:ind w:firstLine="709"/>
        <w:jc w:val="both"/>
        <w:rPr>
          <w:rFonts w:ascii="Times New Roman" w:hAnsi="Times New Roman"/>
          <w:color w:val="000000"/>
          <w:sz w:val="28"/>
          <w:szCs w:val="28"/>
          <w:lang w:eastAsia="ru-RU"/>
        </w:rPr>
      </w:pPr>
      <w:r w:rsidRPr="004E0426">
        <w:rPr>
          <w:rFonts w:ascii="Times New Roman" w:hAnsi="Times New Roman"/>
          <w:color w:val="000000"/>
          <w:sz w:val="28"/>
          <w:szCs w:val="28"/>
          <w:lang w:eastAsia="ru-RU"/>
        </w:rPr>
        <w:t>Градостроительные (проектные) ограничения (предложения) при размещении объектов капитального строительства в</w:t>
      </w:r>
      <w:r>
        <w:rPr>
          <w:rFonts w:ascii="Times New Roman" w:hAnsi="Times New Roman"/>
          <w:color w:val="000000"/>
          <w:sz w:val="28"/>
          <w:szCs w:val="28"/>
          <w:lang w:eastAsia="ru-RU"/>
        </w:rPr>
        <w:t> том числе и в </w:t>
      </w:r>
      <w:r w:rsidRPr="004E0426">
        <w:rPr>
          <w:rFonts w:ascii="Times New Roman" w:hAnsi="Times New Roman"/>
          <w:color w:val="000000"/>
          <w:sz w:val="28"/>
          <w:szCs w:val="28"/>
          <w:lang w:eastAsia="ru-RU"/>
        </w:rPr>
        <w:t>части обеспечения противопожарной защиты представлены в</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 xml:space="preserve">разд. </w:t>
      </w:r>
      <w:r>
        <w:rPr>
          <w:rFonts w:ascii="Times New Roman" w:hAnsi="Times New Roman"/>
          <w:color w:val="000000"/>
          <w:sz w:val="28"/>
          <w:szCs w:val="28"/>
          <w:lang w:eastAsia="ru-RU"/>
        </w:rPr>
        <w:t>5.3.6</w:t>
      </w:r>
      <w:r w:rsidRPr="004E0426">
        <w:rPr>
          <w:rFonts w:ascii="Times New Roman" w:hAnsi="Times New Roman"/>
          <w:color w:val="000000"/>
          <w:sz w:val="28"/>
          <w:szCs w:val="28"/>
          <w:lang w:eastAsia="ru-RU"/>
        </w:rPr>
        <w:t>.</w:t>
      </w:r>
    </w:p>
    <w:p w:rsidR="002D1E45" w:rsidRPr="004738E5" w:rsidRDefault="002D1E45" w:rsidP="00BB3B2D">
      <w:pPr>
        <w:spacing w:after="0" w:line="240" w:lineRule="auto"/>
        <w:ind w:firstLine="709"/>
        <w:jc w:val="both"/>
        <w:rPr>
          <w:rFonts w:ascii="Times New Roman" w:hAnsi="Times New Roman"/>
          <w:sz w:val="28"/>
          <w:szCs w:val="28"/>
        </w:rPr>
      </w:pPr>
      <w:r w:rsidRPr="004738E5">
        <w:rPr>
          <w:rFonts w:ascii="Times New Roman" w:hAnsi="Times New Roman"/>
          <w:sz w:val="28"/>
          <w:szCs w:val="28"/>
        </w:rPr>
        <w:t>Из всего комплекса мер, направленных на</w:t>
      </w:r>
      <w:r>
        <w:rPr>
          <w:rFonts w:ascii="Times New Roman" w:hAnsi="Times New Roman"/>
          <w:sz w:val="28"/>
          <w:szCs w:val="28"/>
        </w:rPr>
        <w:t> </w:t>
      </w:r>
      <w:r w:rsidRPr="004738E5">
        <w:rPr>
          <w:rFonts w:ascii="Times New Roman" w:hAnsi="Times New Roman"/>
          <w:sz w:val="28"/>
          <w:szCs w:val="28"/>
        </w:rPr>
        <w:t xml:space="preserve">создании системы предотвращения пожаров, </w:t>
      </w:r>
      <w:r>
        <w:rPr>
          <w:rFonts w:ascii="Times New Roman" w:hAnsi="Times New Roman"/>
          <w:sz w:val="28"/>
          <w:szCs w:val="28"/>
        </w:rPr>
        <w:t xml:space="preserve">для города </w:t>
      </w:r>
      <w:r w:rsidRPr="004738E5">
        <w:rPr>
          <w:rFonts w:ascii="Times New Roman" w:hAnsi="Times New Roman"/>
          <w:sz w:val="28"/>
          <w:szCs w:val="28"/>
        </w:rPr>
        <w:t>наиболее актуальными являются следующие:</w:t>
      </w:r>
    </w:p>
    <w:p w:rsidR="002D1E45" w:rsidRPr="004738E5" w:rsidRDefault="002D1E45" w:rsidP="00BB3B2D">
      <w:pPr>
        <w:numPr>
          <w:ilvl w:val="0"/>
          <w:numId w:val="24"/>
        </w:numPr>
        <w:spacing w:after="0" w:line="240" w:lineRule="auto"/>
        <w:jc w:val="both"/>
        <w:rPr>
          <w:rFonts w:ascii="Times New Roman" w:hAnsi="Times New Roman"/>
          <w:sz w:val="28"/>
          <w:szCs w:val="28"/>
        </w:rPr>
      </w:pPr>
      <w:r w:rsidRPr="004738E5">
        <w:rPr>
          <w:rFonts w:ascii="Times New Roman" w:hAnsi="Times New Roman"/>
          <w:sz w:val="28"/>
          <w:szCs w:val="28"/>
        </w:rPr>
        <w:t>применение негорючих веществ и</w:t>
      </w:r>
      <w:r>
        <w:rPr>
          <w:rFonts w:ascii="Times New Roman" w:hAnsi="Times New Roman"/>
          <w:sz w:val="28"/>
          <w:szCs w:val="28"/>
        </w:rPr>
        <w:t> </w:t>
      </w:r>
      <w:r w:rsidRPr="004738E5">
        <w:rPr>
          <w:rFonts w:ascii="Times New Roman" w:hAnsi="Times New Roman"/>
          <w:sz w:val="28"/>
          <w:szCs w:val="28"/>
        </w:rPr>
        <w:t>материалов при строительстве и</w:t>
      </w:r>
      <w:r>
        <w:rPr>
          <w:rFonts w:ascii="Times New Roman" w:hAnsi="Times New Roman"/>
          <w:sz w:val="28"/>
          <w:szCs w:val="28"/>
        </w:rPr>
        <w:t> </w:t>
      </w:r>
      <w:r w:rsidRPr="004738E5">
        <w:rPr>
          <w:rFonts w:ascii="Times New Roman" w:hAnsi="Times New Roman"/>
          <w:sz w:val="28"/>
          <w:szCs w:val="28"/>
        </w:rPr>
        <w:t>ремонте зданий и</w:t>
      </w:r>
      <w:r>
        <w:rPr>
          <w:rFonts w:ascii="Times New Roman" w:hAnsi="Times New Roman"/>
          <w:sz w:val="28"/>
          <w:szCs w:val="28"/>
        </w:rPr>
        <w:t> </w:t>
      </w:r>
      <w:r w:rsidRPr="004738E5">
        <w:rPr>
          <w:rFonts w:ascii="Times New Roman" w:hAnsi="Times New Roman"/>
          <w:sz w:val="28"/>
          <w:szCs w:val="28"/>
        </w:rPr>
        <w:t>сооружений;</w:t>
      </w:r>
    </w:p>
    <w:p w:rsidR="002D1E45" w:rsidRPr="004738E5" w:rsidRDefault="002D1E45" w:rsidP="00BB3B2D">
      <w:pPr>
        <w:numPr>
          <w:ilvl w:val="0"/>
          <w:numId w:val="24"/>
        </w:numPr>
        <w:spacing w:after="0" w:line="240" w:lineRule="auto"/>
        <w:jc w:val="both"/>
        <w:rPr>
          <w:rFonts w:ascii="Times New Roman" w:hAnsi="Times New Roman"/>
          <w:sz w:val="28"/>
          <w:szCs w:val="28"/>
        </w:rPr>
      </w:pPr>
      <w:r w:rsidRPr="004738E5">
        <w:rPr>
          <w:rFonts w:ascii="Times New Roman" w:hAnsi="Times New Roman"/>
          <w:sz w:val="28"/>
          <w:szCs w:val="28"/>
        </w:rPr>
        <w:t>использование наиболее безопасных способов размещения горючих веществ, а</w:t>
      </w:r>
      <w:r>
        <w:rPr>
          <w:rFonts w:ascii="Times New Roman" w:hAnsi="Times New Roman"/>
          <w:sz w:val="28"/>
          <w:szCs w:val="28"/>
        </w:rPr>
        <w:t> </w:t>
      </w:r>
      <w:r w:rsidRPr="004738E5">
        <w:rPr>
          <w:rFonts w:ascii="Times New Roman" w:hAnsi="Times New Roman"/>
          <w:sz w:val="28"/>
          <w:szCs w:val="28"/>
        </w:rPr>
        <w:t>также материалов, взаимодействие которых друг с</w:t>
      </w:r>
      <w:r>
        <w:rPr>
          <w:rFonts w:ascii="Times New Roman" w:hAnsi="Times New Roman"/>
          <w:sz w:val="28"/>
          <w:szCs w:val="28"/>
        </w:rPr>
        <w:t> </w:t>
      </w:r>
      <w:r w:rsidRPr="004738E5">
        <w:rPr>
          <w:rFonts w:ascii="Times New Roman" w:hAnsi="Times New Roman"/>
          <w:sz w:val="28"/>
          <w:szCs w:val="28"/>
        </w:rPr>
        <w:t>другом приводит к</w:t>
      </w:r>
      <w:r>
        <w:rPr>
          <w:rFonts w:ascii="Times New Roman" w:hAnsi="Times New Roman"/>
          <w:sz w:val="28"/>
          <w:szCs w:val="28"/>
        </w:rPr>
        <w:t> </w:t>
      </w:r>
      <w:r w:rsidRPr="004738E5">
        <w:rPr>
          <w:rFonts w:ascii="Times New Roman" w:hAnsi="Times New Roman"/>
          <w:sz w:val="28"/>
          <w:szCs w:val="28"/>
        </w:rPr>
        <w:t>образованию горючей среды;</w:t>
      </w:r>
    </w:p>
    <w:p w:rsidR="002D1E45" w:rsidRPr="004738E5" w:rsidRDefault="002D1E45" w:rsidP="00BB3B2D">
      <w:pPr>
        <w:numPr>
          <w:ilvl w:val="0"/>
          <w:numId w:val="24"/>
        </w:numPr>
        <w:spacing w:after="0" w:line="240" w:lineRule="auto"/>
        <w:jc w:val="both"/>
        <w:rPr>
          <w:rFonts w:ascii="Times New Roman" w:hAnsi="Times New Roman"/>
          <w:sz w:val="28"/>
          <w:szCs w:val="28"/>
        </w:rPr>
      </w:pPr>
      <w:r w:rsidRPr="004738E5">
        <w:rPr>
          <w:rFonts w:ascii="Times New Roman" w:hAnsi="Times New Roman"/>
          <w:sz w:val="28"/>
          <w:szCs w:val="28"/>
        </w:rPr>
        <w:t>устройство молниезащиты зданий, сооружений, строений и</w:t>
      </w:r>
      <w:r>
        <w:rPr>
          <w:rFonts w:ascii="Times New Roman" w:hAnsi="Times New Roman"/>
          <w:sz w:val="28"/>
          <w:szCs w:val="28"/>
        </w:rPr>
        <w:t> </w:t>
      </w:r>
      <w:r w:rsidRPr="004738E5">
        <w:rPr>
          <w:rFonts w:ascii="Times New Roman" w:hAnsi="Times New Roman"/>
          <w:sz w:val="28"/>
          <w:szCs w:val="28"/>
        </w:rPr>
        <w:t>оборудования.</w:t>
      </w:r>
    </w:p>
    <w:p w:rsidR="002D1E45" w:rsidRPr="004738E5" w:rsidRDefault="002D1E45" w:rsidP="00BB3B2D">
      <w:pPr>
        <w:spacing w:after="0" w:line="240" w:lineRule="auto"/>
        <w:ind w:firstLine="709"/>
        <w:jc w:val="both"/>
        <w:rPr>
          <w:rFonts w:ascii="Times New Roman" w:hAnsi="Times New Roman"/>
          <w:sz w:val="28"/>
          <w:szCs w:val="28"/>
        </w:rPr>
      </w:pPr>
      <w:r w:rsidRPr="004738E5">
        <w:rPr>
          <w:rFonts w:ascii="Times New Roman" w:hAnsi="Times New Roman"/>
          <w:sz w:val="28"/>
          <w:szCs w:val="28"/>
        </w:rPr>
        <w:t>Целью создания систем противопожарной защиты является защита людей и</w:t>
      </w:r>
      <w:r>
        <w:rPr>
          <w:rFonts w:ascii="Times New Roman" w:hAnsi="Times New Roman"/>
          <w:sz w:val="28"/>
          <w:szCs w:val="28"/>
        </w:rPr>
        <w:t> </w:t>
      </w:r>
      <w:r w:rsidRPr="004738E5">
        <w:rPr>
          <w:rFonts w:ascii="Times New Roman" w:hAnsi="Times New Roman"/>
          <w:sz w:val="28"/>
          <w:szCs w:val="28"/>
        </w:rPr>
        <w:t>имущества от</w:t>
      </w:r>
      <w:r>
        <w:rPr>
          <w:rFonts w:ascii="Times New Roman" w:hAnsi="Times New Roman"/>
          <w:sz w:val="28"/>
          <w:szCs w:val="28"/>
        </w:rPr>
        <w:t> </w:t>
      </w:r>
      <w:r w:rsidRPr="004738E5">
        <w:rPr>
          <w:rFonts w:ascii="Times New Roman" w:hAnsi="Times New Roman"/>
          <w:sz w:val="28"/>
          <w:szCs w:val="28"/>
        </w:rPr>
        <w:t>воздействия опасных факторов пожара и (или) ограничение его последствий.</w:t>
      </w:r>
    </w:p>
    <w:p w:rsidR="002D1E45" w:rsidRPr="004738E5" w:rsidRDefault="002D1E45" w:rsidP="00BB3B2D">
      <w:pPr>
        <w:spacing w:after="0" w:line="240" w:lineRule="auto"/>
        <w:ind w:firstLine="709"/>
        <w:jc w:val="both"/>
        <w:rPr>
          <w:rFonts w:ascii="Times New Roman" w:hAnsi="Times New Roman"/>
          <w:sz w:val="28"/>
          <w:szCs w:val="28"/>
        </w:rPr>
      </w:pPr>
      <w:r w:rsidRPr="004738E5">
        <w:rPr>
          <w:rFonts w:ascii="Times New Roman" w:hAnsi="Times New Roman"/>
          <w:sz w:val="28"/>
          <w:szCs w:val="28"/>
        </w:rPr>
        <w:t>Защита людей и</w:t>
      </w:r>
      <w:r>
        <w:rPr>
          <w:rFonts w:ascii="Times New Roman" w:hAnsi="Times New Roman"/>
          <w:sz w:val="28"/>
          <w:szCs w:val="28"/>
        </w:rPr>
        <w:t> </w:t>
      </w:r>
      <w:r w:rsidRPr="004738E5">
        <w:rPr>
          <w:rFonts w:ascii="Times New Roman" w:hAnsi="Times New Roman"/>
          <w:sz w:val="28"/>
          <w:szCs w:val="28"/>
        </w:rPr>
        <w:t>имущества от</w:t>
      </w:r>
      <w:r>
        <w:rPr>
          <w:rFonts w:ascii="Times New Roman" w:hAnsi="Times New Roman"/>
          <w:sz w:val="28"/>
          <w:szCs w:val="28"/>
        </w:rPr>
        <w:t> </w:t>
      </w:r>
      <w:r w:rsidRPr="004738E5">
        <w:rPr>
          <w:rFonts w:ascii="Times New Roman" w:hAnsi="Times New Roman"/>
          <w:sz w:val="28"/>
          <w:szCs w:val="28"/>
        </w:rPr>
        <w:t>воздействия опасных факторов пожара на</w:t>
      </w:r>
      <w:r>
        <w:rPr>
          <w:rFonts w:ascii="Times New Roman" w:hAnsi="Times New Roman"/>
          <w:sz w:val="28"/>
          <w:szCs w:val="28"/>
        </w:rPr>
        <w:t> </w:t>
      </w:r>
      <w:r w:rsidRPr="004738E5">
        <w:rPr>
          <w:rFonts w:ascii="Times New Roman" w:hAnsi="Times New Roman"/>
          <w:sz w:val="28"/>
          <w:szCs w:val="28"/>
        </w:rPr>
        <w:t xml:space="preserve">территории </w:t>
      </w:r>
      <w:r>
        <w:rPr>
          <w:rFonts w:ascii="Times New Roman" w:hAnsi="Times New Roman"/>
          <w:sz w:val="28"/>
          <w:szCs w:val="28"/>
        </w:rPr>
        <w:t>анализируемых населённых пунктов</w:t>
      </w:r>
      <w:r w:rsidRPr="004738E5">
        <w:rPr>
          <w:rFonts w:ascii="Times New Roman" w:hAnsi="Times New Roman"/>
          <w:sz w:val="28"/>
          <w:szCs w:val="28"/>
        </w:rPr>
        <w:t xml:space="preserve"> может обеспечиваться следующими способами:</w:t>
      </w:r>
    </w:p>
    <w:p w:rsidR="002D1E45" w:rsidRPr="004738E5" w:rsidRDefault="002D1E45" w:rsidP="00BB3B2D">
      <w:pPr>
        <w:numPr>
          <w:ilvl w:val="0"/>
          <w:numId w:val="24"/>
        </w:numPr>
        <w:spacing w:after="0" w:line="240" w:lineRule="auto"/>
        <w:jc w:val="both"/>
        <w:rPr>
          <w:rFonts w:ascii="Times New Roman" w:hAnsi="Times New Roman"/>
          <w:sz w:val="28"/>
          <w:szCs w:val="28"/>
        </w:rPr>
      </w:pPr>
      <w:r w:rsidRPr="004738E5">
        <w:rPr>
          <w:rFonts w:ascii="Times New Roman" w:hAnsi="Times New Roman"/>
          <w:sz w:val="28"/>
          <w:szCs w:val="28"/>
        </w:rPr>
        <w:t>устройство эвакуационных путей, удовлетворяющих требованиям безопасной эвакуации людей при пожаре;</w:t>
      </w:r>
    </w:p>
    <w:p w:rsidR="002D1E45" w:rsidRPr="004738E5" w:rsidRDefault="002D1E45" w:rsidP="00BB3B2D">
      <w:pPr>
        <w:numPr>
          <w:ilvl w:val="0"/>
          <w:numId w:val="24"/>
        </w:numPr>
        <w:spacing w:after="0" w:line="240" w:lineRule="auto"/>
        <w:jc w:val="both"/>
        <w:rPr>
          <w:rFonts w:ascii="Times New Roman" w:hAnsi="Times New Roman"/>
          <w:sz w:val="28"/>
          <w:szCs w:val="28"/>
        </w:rPr>
      </w:pPr>
      <w:r w:rsidRPr="004738E5">
        <w:rPr>
          <w:rFonts w:ascii="Times New Roman" w:hAnsi="Times New Roman"/>
          <w:sz w:val="28"/>
          <w:szCs w:val="28"/>
        </w:rPr>
        <w:t>устройство систем обнаружения пожара (пожарной сигнализации), оповещения и</w:t>
      </w:r>
      <w:r>
        <w:rPr>
          <w:rFonts w:ascii="Times New Roman" w:hAnsi="Times New Roman"/>
          <w:sz w:val="28"/>
          <w:szCs w:val="28"/>
        </w:rPr>
        <w:t> </w:t>
      </w:r>
      <w:r w:rsidRPr="004738E5">
        <w:rPr>
          <w:rFonts w:ascii="Times New Roman" w:hAnsi="Times New Roman"/>
          <w:sz w:val="28"/>
          <w:szCs w:val="28"/>
        </w:rPr>
        <w:t>управления эвакуацией людей при пожаре;</w:t>
      </w:r>
    </w:p>
    <w:p w:rsidR="002D1E45" w:rsidRPr="004738E5" w:rsidRDefault="002D1E45" w:rsidP="00BB3B2D">
      <w:pPr>
        <w:numPr>
          <w:ilvl w:val="0"/>
          <w:numId w:val="24"/>
        </w:numPr>
        <w:spacing w:after="0" w:line="240" w:lineRule="auto"/>
        <w:jc w:val="both"/>
        <w:rPr>
          <w:rFonts w:ascii="Times New Roman" w:hAnsi="Times New Roman"/>
          <w:sz w:val="28"/>
          <w:szCs w:val="28"/>
        </w:rPr>
      </w:pPr>
      <w:r w:rsidRPr="004738E5">
        <w:rPr>
          <w:rFonts w:ascii="Times New Roman" w:hAnsi="Times New Roman"/>
          <w:sz w:val="28"/>
          <w:szCs w:val="28"/>
        </w:rPr>
        <w:t>применение огнезащитных составов (в том числе огнезащитных красок) и</w:t>
      </w:r>
      <w:r>
        <w:rPr>
          <w:rFonts w:ascii="Times New Roman" w:hAnsi="Times New Roman"/>
          <w:sz w:val="28"/>
          <w:szCs w:val="28"/>
        </w:rPr>
        <w:t> </w:t>
      </w:r>
      <w:r w:rsidRPr="004738E5">
        <w:rPr>
          <w:rFonts w:ascii="Times New Roman" w:hAnsi="Times New Roman"/>
          <w:sz w:val="28"/>
          <w:szCs w:val="28"/>
        </w:rPr>
        <w:t>строительных материалов для повышения пределов огнестойкости строительных конструкций;</w:t>
      </w:r>
    </w:p>
    <w:p w:rsidR="002D1E45" w:rsidRPr="004738E5" w:rsidRDefault="002D1E45" w:rsidP="00BB3B2D">
      <w:pPr>
        <w:numPr>
          <w:ilvl w:val="0"/>
          <w:numId w:val="24"/>
        </w:numPr>
        <w:spacing w:after="0" w:line="240" w:lineRule="auto"/>
        <w:jc w:val="both"/>
        <w:rPr>
          <w:rFonts w:ascii="Times New Roman" w:hAnsi="Times New Roman"/>
          <w:sz w:val="28"/>
          <w:szCs w:val="28"/>
        </w:rPr>
      </w:pPr>
      <w:r w:rsidRPr="004738E5">
        <w:rPr>
          <w:rFonts w:ascii="Times New Roman" w:hAnsi="Times New Roman"/>
          <w:sz w:val="28"/>
          <w:szCs w:val="28"/>
        </w:rPr>
        <w:t>применение первичных средств пожаротушения;</w:t>
      </w:r>
    </w:p>
    <w:p w:rsidR="002D1E45" w:rsidRPr="004738E5" w:rsidRDefault="002D1E45" w:rsidP="00BB3B2D">
      <w:pPr>
        <w:numPr>
          <w:ilvl w:val="0"/>
          <w:numId w:val="24"/>
        </w:numPr>
        <w:spacing w:after="0" w:line="240" w:lineRule="auto"/>
        <w:jc w:val="both"/>
        <w:rPr>
          <w:rFonts w:ascii="Times New Roman" w:hAnsi="Times New Roman"/>
          <w:sz w:val="28"/>
          <w:szCs w:val="28"/>
        </w:rPr>
      </w:pPr>
      <w:r w:rsidRPr="004738E5">
        <w:rPr>
          <w:rFonts w:ascii="Times New Roman" w:hAnsi="Times New Roman"/>
          <w:sz w:val="28"/>
          <w:szCs w:val="28"/>
        </w:rPr>
        <w:t>организация деятельности подразделений пожарной охраны.</w:t>
      </w:r>
    </w:p>
    <w:p w:rsidR="002D1E45" w:rsidRPr="004738E5" w:rsidRDefault="002D1E45" w:rsidP="00BB3B2D">
      <w:pPr>
        <w:spacing w:after="0" w:line="240" w:lineRule="auto"/>
        <w:ind w:firstLine="709"/>
        <w:jc w:val="both"/>
        <w:rPr>
          <w:rFonts w:ascii="Times New Roman" w:hAnsi="Times New Roman"/>
          <w:sz w:val="28"/>
          <w:szCs w:val="28"/>
        </w:rPr>
      </w:pPr>
      <w:r w:rsidRPr="004738E5">
        <w:rPr>
          <w:rFonts w:ascii="Times New Roman" w:hAnsi="Times New Roman"/>
          <w:sz w:val="28"/>
          <w:szCs w:val="28"/>
        </w:rPr>
        <w:t>Для обеспечения безопасной эвакуации людей должно быть:</w:t>
      </w:r>
    </w:p>
    <w:p w:rsidR="002D1E45" w:rsidRPr="004738E5" w:rsidRDefault="002D1E45" w:rsidP="00BB3B2D">
      <w:pPr>
        <w:numPr>
          <w:ilvl w:val="0"/>
          <w:numId w:val="24"/>
        </w:numPr>
        <w:spacing w:after="0" w:line="240" w:lineRule="auto"/>
        <w:jc w:val="both"/>
        <w:rPr>
          <w:rFonts w:ascii="Times New Roman" w:hAnsi="Times New Roman"/>
          <w:sz w:val="28"/>
          <w:szCs w:val="28"/>
        </w:rPr>
      </w:pPr>
      <w:r w:rsidRPr="004738E5">
        <w:rPr>
          <w:rFonts w:ascii="Times New Roman" w:hAnsi="Times New Roman"/>
          <w:sz w:val="28"/>
          <w:szCs w:val="28"/>
        </w:rPr>
        <w:t>установлено необходимое количество, размеры и</w:t>
      </w:r>
      <w:r>
        <w:rPr>
          <w:rFonts w:ascii="Times New Roman" w:hAnsi="Times New Roman"/>
          <w:sz w:val="28"/>
          <w:szCs w:val="28"/>
        </w:rPr>
        <w:t> </w:t>
      </w:r>
      <w:r w:rsidRPr="004738E5">
        <w:rPr>
          <w:rFonts w:ascii="Times New Roman" w:hAnsi="Times New Roman"/>
          <w:sz w:val="28"/>
          <w:szCs w:val="28"/>
        </w:rPr>
        <w:t>соответствующее конструктивное исполнение эвакуационных путей и</w:t>
      </w:r>
      <w:r>
        <w:rPr>
          <w:rFonts w:ascii="Times New Roman" w:hAnsi="Times New Roman"/>
          <w:sz w:val="28"/>
          <w:szCs w:val="28"/>
        </w:rPr>
        <w:t> </w:t>
      </w:r>
      <w:r w:rsidRPr="004738E5">
        <w:rPr>
          <w:rFonts w:ascii="Times New Roman" w:hAnsi="Times New Roman"/>
          <w:sz w:val="28"/>
          <w:szCs w:val="28"/>
        </w:rPr>
        <w:t>эвакуационных выходов;</w:t>
      </w:r>
    </w:p>
    <w:p w:rsidR="002D1E45" w:rsidRPr="004738E5" w:rsidRDefault="002D1E45" w:rsidP="00BB3B2D">
      <w:pPr>
        <w:numPr>
          <w:ilvl w:val="0"/>
          <w:numId w:val="24"/>
        </w:numPr>
        <w:spacing w:after="0" w:line="240" w:lineRule="auto"/>
        <w:jc w:val="both"/>
        <w:rPr>
          <w:rFonts w:ascii="Times New Roman" w:hAnsi="Times New Roman"/>
          <w:sz w:val="28"/>
          <w:szCs w:val="28"/>
        </w:rPr>
      </w:pPr>
      <w:r w:rsidRPr="004738E5">
        <w:rPr>
          <w:rFonts w:ascii="Times New Roman" w:hAnsi="Times New Roman"/>
          <w:sz w:val="28"/>
          <w:szCs w:val="28"/>
        </w:rPr>
        <w:t>обеспечено беспрепятственное движение людей по</w:t>
      </w:r>
      <w:r>
        <w:rPr>
          <w:rFonts w:ascii="Times New Roman" w:hAnsi="Times New Roman"/>
          <w:sz w:val="28"/>
          <w:szCs w:val="28"/>
        </w:rPr>
        <w:t> </w:t>
      </w:r>
      <w:r w:rsidRPr="004738E5">
        <w:rPr>
          <w:rFonts w:ascii="Times New Roman" w:hAnsi="Times New Roman"/>
          <w:sz w:val="28"/>
          <w:szCs w:val="28"/>
        </w:rPr>
        <w:t>эвакуационным путям и</w:t>
      </w:r>
      <w:r>
        <w:rPr>
          <w:rFonts w:ascii="Times New Roman" w:hAnsi="Times New Roman"/>
          <w:sz w:val="28"/>
          <w:szCs w:val="28"/>
        </w:rPr>
        <w:t> </w:t>
      </w:r>
      <w:r w:rsidRPr="004738E5">
        <w:rPr>
          <w:rFonts w:ascii="Times New Roman" w:hAnsi="Times New Roman"/>
          <w:sz w:val="28"/>
          <w:szCs w:val="28"/>
        </w:rPr>
        <w:t>через эвакуационные выходы;</w:t>
      </w:r>
    </w:p>
    <w:p w:rsidR="002D1E45" w:rsidRPr="004738E5" w:rsidRDefault="002D1E45" w:rsidP="00BB3B2D">
      <w:pPr>
        <w:numPr>
          <w:ilvl w:val="0"/>
          <w:numId w:val="24"/>
        </w:numPr>
        <w:spacing w:after="0" w:line="240" w:lineRule="auto"/>
        <w:jc w:val="both"/>
        <w:rPr>
          <w:rFonts w:ascii="Times New Roman" w:hAnsi="Times New Roman"/>
          <w:sz w:val="28"/>
          <w:szCs w:val="28"/>
        </w:rPr>
      </w:pPr>
      <w:r w:rsidRPr="004738E5">
        <w:rPr>
          <w:rFonts w:ascii="Times New Roman" w:hAnsi="Times New Roman"/>
          <w:sz w:val="28"/>
          <w:szCs w:val="28"/>
        </w:rPr>
        <w:t>организовано оповещение и</w:t>
      </w:r>
      <w:r>
        <w:rPr>
          <w:rFonts w:ascii="Times New Roman" w:hAnsi="Times New Roman"/>
          <w:sz w:val="28"/>
          <w:szCs w:val="28"/>
        </w:rPr>
        <w:t> </w:t>
      </w:r>
      <w:r w:rsidRPr="004738E5">
        <w:rPr>
          <w:rFonts w:ascii="Times New Roman" w:hAnsi="Times New Roman"/>
          <w:sz w:val="28"/>
          <w:szCs w:val="28"/>
        </w:rPr>
        <w:t>управление движением людей по</w:t>
      </w:r>
      <w:r>
        <w:rPr>
          <w:rFonts w:ascii="Times New Roman" w:hAnsi="Times New Roman"/>
          <w:sz w:val="28"/>
          <w:szCs w:val="28"/>
        </w:rPr>
        <w:t> </w:t>
      </w:r>
      <w:r w:rsidRPr="004738E5">
        <w:rPr>
          <w:rFonts w:ascii="Times New Roman" w:hAnsi="Times New Roman"/>
          <w:sz w:val="28"/>
          <w:szCs w:val="28"/>
        </w:rPr>
        <w:t>эвакуационным путям (в том числе с</w:t>
      </w:r>
      <w:r>
        <w:rPr>
          <w:rFonts w:ascii="Times New Roman" w:hAnsi="Times New Roman"/>
          <w:sz w:val="28"/>
          <w:szCs w:val="28"/>
        </w:rPr>
        <w:t> </w:t>
      </w:r>
      <w:r w:rsidRPr="004738E5">
        <w:rPr>
          <w:rFonts w:ascii="Times New Roman" w:hAnsi="Times New Roman"/>
          <w:sz w:val="28"/>
          <w:szCs w:val="28"/>
        </w:rPr>
        <w:t>использованием световых указателей, звукового и</w:t>
      </w:r>
      <w:r>
        <w:rPr>
          <w:rFonts w:ascii="Times New Roman" w:hAnsi="Times New Roman"/>
          <w:sz w:val="28"/>
          <w:szCs w:val="28"/>
        </w:rPr>
        <w:t> </w:t>
      </w:r>
      <w:r w:rsidRPr="004738E5">
        <w:rPr>
          <w:rFonts w:ascii="Times New Roman" w:hAnsi="Times New Roman"/>
          <w:sz w:val="28"/>
          <w:szCs w:val="28"/>
        </w:rPr>
        <w:t>речевого оповещения).</w:t>
      </w:r>
    </w:p>
    <w:p w:rsidR="002D1E45" w:rsidRPr="004738E5" w:rsidRDefault="002D1E45" w:rsidP="00BB3B2D">
      <w:pPr>
        <w:spacing w:after="0" w:line="240" w:lineRule="auto"/>
        <w:ind w:firstLine="709"/>
        <w:jc w:val="both"/>
        <w:rPr>
          <w:rFonts w:ascii="Times New Roman" w:hAnsi="Times New Roman"/>
          <w:sz w:val="28"/>
          <w:szCs w:val="28"/>
        </w:rPr>
      </w:pPr>
      <w:r w:rsidRPr="004738E5">
        <w:rPr>
          <w:rFonts w:ascii="Times New Roman" w:hAnsi="Times New Roman"/>
          <w:sz w:val="28"/>
          <w:szCs w:val="28"/>
        </w:rPr>
        <w:t>Системы обнаружения пожара (установки и</w:t>
      </w:r>
      <w:r>
        <w:rPr>
          <w:rFonts w:ascii="Times New Roman" w:hAnsi="Times New Roman"/>
          <w:sz w:val="28"/>
          <w:szCs w:val="28"/>
        </w:rPr>
        <w:t> </w:t>
      </w:r>
      <w:r w:rsidRPr="004738E5">
        <w:rPr>
          <w:rFonts w:ascii="Times New Roman" w:hAnsi="Times New Roman"/>
          <w:sz w:val="28"/>
          <w:szCs w:val="28"/>
        </w:rPr>
        <w:t>системы пожарной сигнализации), оповещения и</w:t>
      </w:r>
      <w:r>
        <w:rPr>
          <w:rFonts w:ascii="Times New Roman" w:hAnsi="Times New Roman"/>
          <w:sz w:val="28"/>
          <w:szCs w:val="28"/>
        </w:rPr>
        <w:t> </w:t>
      </w:r>
      <w:r w:rsidRPr="004738E5">
        <w:rPr>
          <w:rFonts w:ascii="Times New Roman" w:hAnsi="Times New Roman"/>
          <w:sz w:val="28"/>
          <w:szCs w:val="28"/>
        </w:rPr>
        <w:t>управления эвакуацией людей при пожаре должны обеспечивать автоматическое обнаружение пожара за</w:t>
      </w:r>
      <w:r>
        <w:rPr>
          <w:rFonts w:ascii="Times New Roman" w:hAnsi="Times New Roman"/>
          <w:sz w:val="28"/>
          <w:szCs w:val="28"/>
        </w:rPr>
        <w:t> </w:t>
      </w:r>
      <w:r w:rsidRPr="004738E5">
        <w:rPr>
          <w:rFonts w:ascii="Times New Roman" w:hAnsi="Times New Roman"/>
          <w:sz w:val="28"/>
          <w:szCs w:val="28"/>
        </w:rPr>
        <w:t>время, необходимое для включения систем оповещения о</w:t>
      </w:r>
      <w:r>
        <w:rPr>
          <w:rFonts w:ascii="Times New Roman" w:hAnsi="Times New Roman"/>
          <w:sz w:val="28"/>
          <w:szCs w:val="28"/>
        </w:rPr>
        <w:t> </w:t>
      </w:r>
      <w:r w:rsidRPr="004738E5">
        <w:rPr>
          <w:rFonts w:ascii="Times New Roman" w:hAnsi="Times New Roman"/>
          <w:sz w:val="28"/>
          <w:szCs w:val="28"/>
        </w:rPr>
        <w:t>пожаре в</w:t>
      </w:r>
      <w:r>
        <w:rPr>
          <w:rFonts w:ascii="Times New Roman" w:hAnsi="Times New Roman"/>
          <w:sz w:val="28"/>
          <w:szCs w:val="28"/>
        </w:rPr>
        <w:t> </w:t>
      </w:r>
      <w:r w:rsidRPr="004738E5">
        <w:rPr>
          <w:rFonts w:ascii="Times New Roman" w:hAnsi="Times New Roman"/>
          <w:sz w:val="28"/>
          <w:szCs w:val="28"/>
        </w:rPr>
        <w:t>целях организации безопасной эвакуации людей.</w:t>
      </w:r>
    </w:p>
    <w:p w:rsidR="002D1E45" w:rsidRPr="004738E5" w:rsidRDefault="002D1E45" w:rsidP="00BB3B2D">
      <w:pPr>
        <w:spacing w:after="0" w:line="240" w:lineRule="auto"/>
        <w:ind w:firstLine="709"/>
        <w:jc w:val="both"/>
        <w:rPr>
          <w:rFonts w:ascii="Times New Roman" w:hAnsi="Times New Roman"/>
          <w:sz w:val="28"/>
          <w:szCs w:val="28"/>
        </w:rPr>
      </w:pPr>
      <w:r w:rsidRPr="004738E5">
        <w:rPr>
          <w:rFonts w:ascii="Times New Roman" w:hAnsi="Times New Roman"/>
          <w:sz w:val="28"/>
          <w:szCs w:val="28"/>
        </w:rPr>
        <w:t>Системы пожарной сигнализации, оповещения и</w:t>
      </w:r>
      <w:r>
        <w:rPr>
          <w:rFonts w:ascii="Times New Roman" w:hAnsi="Times New Roman"/>
          <w:sz w:val="28"/>
          <w:szCs w:val="28"/>
        </w:rPr>
        <w:t> </w:t>
      </w:r>
      <w:r w:rsidRPr="004738E5">
        <w:rPr>
          <w:rFonts w:ascii="Times New Roman" w:hAnsi="Times New Roman"/>
          <w:sz w:val="28"/>
          <w:szCs w:val="28"/>
        </w:rPr>
        <w:t>управления эвакуацией людей при пожаре должны быть установлены на</w:t>
      </w:r>
      <w:r>
        <w:rPr>
          <w:rFonts w:ascii="Times New Roman" w:hAnsi="Times New Roman"/>
          <w:sz w:val="28"/>
          <w:szCs w:val="28"/>
        </w:rPr>
        <w:t> </w:t>
      </w:r>
      <w:r w:rsidRPr="004738E5">
        <w:rPr>
          <w:rFonts w:ascii="Times New Roman" w:hAnsi="Times New Roman"/>
          <w:sz w:val="28"/>
          <w:szCs w:val="28"/>
        </w:rPr>
        <w:t>объектах, где воздействие опасных факторов пожара может привести к</w:t>
      </w:r>
      <w:r>
        <w:rPr>
          <w:rFonts w:ascii="Times New Roman" w:hAnsi="Times New Roman"/>
          <w:sz w:val="28"/>
          <w:szCs w:val="28"/>
        </w:rPr>
        <w:t> </w:t>
      </w:r>
      <w:r w:rsidRPr="004738E5">
        <w:rPr>
          <w:rFonts w:ascii="Times New Roman" w:hAnsi="Times New Roman"/>
          <w:sz w:val="28"/>
          <w:szCs w:val="28"/>
        </w:rPr>
        <w:t>травматизму и</w:t>
      </w:r>
      <w:r>
        <w:rPr>
          <w:rFonts w:ascii="Times New Roman" w:hAnsi="Times New Roman"/>
          <w:sz w:val="28"/>
          <w:szCs w:val="28"/>
        </w:rPr>
        <w:t> </w:t>
      </w:r>
      <w:r w:rsidRPr="004738E5">
        <w:rPr>
          <w:rFonts w:ascii="Times New Roman" w:hAnsi="Times New Roman"/>
          <w:sz w:val="28"/>
          <w:szCs w:val="28"/>
        </w:rPr>
        <w:t>гибели людей. Такими объектами на</w:t>
      </w:r>
      <w:r>
        <w:rPr>
          <w:rFonts w:ascii="Times New Roman" w:hAnsi="Times New Roman"/>
          <w:sz w:val="28"/>
          <w:szCs w:val="28"/>
        </w:rPr>
        <w:t> </w:t>
      </w:r>
      <w:r w:rsidRPr="004738E5">
        <w:rPr>
          <w:rFonts w:ascii="Times New Roman" w:hAnsi="Times New Roman"/>
          <w:sz w:val="28"/>
          <w:szCs w:val="28"/>
        </w:rPr>
        <w:t xml:space="preserve">территории </w:t>
      </w:r>
      <w:r>
        <w:rPr>
          <w:rFonts w:ascii="Times New Roman" w:hAnsi="Times New Roman"/>
          <w:sz w:val="28"/>
          <w:szCs w:val="28"/>
        </w:rPr>
        <w:t xml:space="preserve">города </w:t>
      </w:r>
      <w:r w:rsidRPr="004738E5">
        <w:rPr>
          <w:rFonts w:ascii="Times New Roman" w:hAnsi="Times New Roman"/>
          <w:sz w:val="28"/>
          <w:szCs w:val="28"/>
        </w:rPr>
        <w:t>являются: образовательные учреждения, медицинские учреждения, культурно-спортивные учреждения, культовые и</w:t>
      </w:r>
      <w:r>
        <w:rPr>
          <w:rFonts w:ascii="Times New Roman" w:hAnsi="Times New Roman"/>
          <w:sz w:val="28"/>
          <w:szCs w:val="28"/>
        </w:rPr>
        <w:t> </w:t>
      </w:r>
      <w:r w:rsidRPr="004738E5">
        <w:rPr>
          <w:rFonts w:ascii="Times New Roman" w:hAnsi="Times New Roman"/>
          <w:sz w:val="28"/>
          <w:szCs w:val="28"/>
        </w:rPr>
        <w:t>ритуальные учреждения, автостоянки, остановки маршрутного общественного транспорта, а</w:t>
      </w:r>
      <w:r>
        <w:rPr>
          <w:rFonts w:ascii="Times New Roman" w:hAnsi="Times New Roman"/>
          <w:sz w:val="28"/>
          <w:szCs w:val="28"/>
        </w:rPr>
        <w:t> </w:t>
      </w:r>
      <w:r w:rsidRPr="004738E5">
        <w:rPr>
          <w:rFonts w:ascii="Times New Roman" w:hAnsi="Times New Roman"/>
          <w:sz w:val="28"/>
          <w:szCs w:val="28"/>
        </w:rPr>
        <w:t>также все пожароопасные объекты.</w:t>
      </w:r>
    </w:p>
    <w:p w:rsidR="002D1E45" w:rsidRPr="0006094F" w:rsidRDefault="002D1E45" w:rsidP="00BB3B2D">
      <w:pPr>
        <w:spacing w:after="0" w:line="240" w:lineRule="auto"/>
        <w:ind w:firstLine="709"/>
        <w:jc w:val="both"/>
        <w:rPr>
          <w:rFonts w:ascii="Times New Roman" w:hAnsi="Times New Roman"/>
          <w:sz w:val="28"/>
          <w:szCs w:val="28"/>
        </w:rPr>
      </w:pPr>
      <w:r w:rsidRPr="0006094F">
        <w:rPr>
          <w:rFonts w:ascii="Times New Roman" w:hAnsi="Times New Roman"/>
          <w:sz w:val="28"/>
          <w:szCs w:val="28"/>
        </w:rPr>
        <w:t>Мероприятия по</w:t>
      </w:r>
      <w:r>
        <w:rPr>
          <w:rFonts w:ascii="Times New Roman" w:hAnsi="Times New Roman"/>
          <w:sz w:val="28"/>
          <w:szCs w:val="28"/>
        </w:rPr>
        <w:t> </w:t>
      </w:r>
      <w:r w:rsidRPr="0006094F">
        <w:rPr>
          <w:rFonts w:ascii="Times New Roman" w:hAnsi="Times New Roman"/>
          <w:sz w:val="28"/>
          <w:szCs w:val="28"/>
        </w:rPr>
        <w:t>предупреждению возникновения лесных пожаров и</w:t>
      </w:r>
      <w:r>
        <w:rPr>
          <w:rFonts w:ascii="Times New Roman" w:hAnsi="Times New Roman"/>
          <w:sz w:val="28"/>
          <w:szCs w:val="28"/>
        </w:rPr>
        <w:t> </w:t>
      </w:r>
      <w:r w:rsidRPr="0006094F">
        <w:rPr>
          <w:rFonts w:ascii="Times New Roman" w:hAnsi="Times New Roman"/>
          <w:sz w:val="28"/>
          <w:szCs w:val="28"/>
        </w:rPr>
        <w:t>контролю за</w:t>
      </w:r>
      <w:r>
        <w:rPr>
          <w:rFonts w:ascii="Times New Roman" w:hAnsi="Times New Roman"/>
          <w:sz w:val="28"/>
          <w:szCs w:val="28"/>
        </w:rPr>
        <w:t> </w:t>
      </w:r>
      <w:r w:rsidRPr="0006094F">
        <w:rPr>
          <w:rFonts w:ascii="Times New Roman" w:hAnsi="Times New Roman"/>
          <w:sz w:val="28"/>
          <w:szCs w:val="28"/>
        </w:rPr>
        <w:t>соблюдением правил пожарной безопасности в</w:t>
      </w:r>
      <w:r>
        <w:rPr>
          <w:rFonts w:ascii="Times New Roman" w:hAnsi="Times New Roman"/>
          <w:sz w:val="28"/>
          <w:szCs w:val="28"/>
        </w:rPr>
        <w:t> </w:t>
      </w:r>
      <w:r w:rsidRPr="0006094F">
        <w:rPr>
          <w:rFonts w:ascii="Times New Roman" w:hAnsi="Times New Roman"/>
          <w:sz w:val="28"/>
          <w:szCs w:val="28"/>
        </w:rPr>
        <w:t>лесах, направленные на</w:t>
      </w:r>
      <w:r>
        <w:rPr>
          <w:rFonts w:ascii="Times New Roman" w:hAnsi="Times New Roman"/>
          <w:sz w:val="28"/>
          <w:szCs w:val="28"/>
        </w:rPr>
        <w:t> </w:t>
      </w:r>
      <w:r w:rsidRPr="0006094F">
        <w:rPr>
          <w:rFonts w:ascii="Times New Roman" w:hAnsi="Times New Roman"/>
          <w:sz w:val="28"/>
          <w:szCs w:val="28"/>
        </w:rPr>
        <w:t>предупреждение распространения лесных пожаров, состоят из 2-х групп:</w:t>
      </w:r>
    </w:p>
    <w:p w:rsidR="002D1E45" w:rsidRPr="0006094F" w:rsidRDefault="002D1E45" w:rsidP="00BB3B2D">
      <w:pPr>
        <w:spacing w:after="0" w:line="240" w:lineRule="auto"/>
        <w:ind w:firstLine="709"/>
        <w:jc w:val="both"/>
        <w:rPr>
          <w:rFonts w:ascii="Times New Roman" w:hAnsi="Times New Roman"/>
          <w:sz w:val="28"/>
          <w:szCs w:val="28"/>
        </w:rPr>
      </w:pPr>
      <w:r w:rsidRPr="0006094F">
        <w:rPr>
          <w:rFonts w:ascii="Times New Roman" w:hAnsi="Times New Roman"/>
          <w:sz w:val="28"/>
          <w:szCs w:val="28"/>
        </w:rPr>
        <w:t>К 1-ой группе относятся следующие административные мероприятия:</w:t>
      </w:r>
    </w:p>
    <w:p w:rsidR="002D1E45" w:rsidRPr="0006094F" w:rsidRDefault="002D1E45" w:rsidP="00D05D06">
      <w:pPr>
        <w:numPr>
          <w:ilvl w:val="0"/>
          <w:numId w:val="80"/>
        </w:numPr>
        <w:spacing w:after="0" w:line="240" w:lineRule="auto"/>
        <w:jc w:val="both"/>
        <w:rPr>
          <w:rFonts w:ascii="Times New Roman" w:hAnsi="Times New Roman"/>
          <w:sz w:val="28"/>
          <w:szCs w:val="28"/>
        </w:rPr>
      </w:pPr>
      <w:r w:rsidRPr="0006094F">
        <w:rPr>
          <w:rFonts w:ascii="Times New Roman" w:hAnsi="Times New Roman"/>
          <w:sz w:val="28"/>
          <w:szCs w:val="28"/>
        </w:rPr>
        <w:t>«Правила пожарной безопасности в</w:t>
      </w:r>
      <w:r>
        <w:rPr>
          <w:rFonts w:ascii="Times New Roman" w:hAnsi="Times New Roman"/>
          <w:sz w:val="28"/>
          <w:szCs w:val="28"/>
        </w:rPr>
        <w:t> </w:t>
      </w:r>
      <w:r w:rsidRPr="0006094F">
        <w:rPr>
          <w:rFonts w:ascii="Times New Roman" w:hAnsi="Times New Roman"/>
          <w:sz w:val="28"/>
          <w:szCs w:val="28"/>
        </w:rPr>
        <w:t>лесах» (утверждены постановлением Правительства Российской Федерации от 30.06.2007 № 417 «Об утверждении Правил пожарной безопасности в</w:t>
      </w:r>
      <w:r>
        <w:rPr>
          <w:rFonts w:ascii="Times New Roman" w:hAnsi="Times New Roman"/>
          <w:sz w:val="28"/>
          <w:szCs w:val="28"/>
        </w:rPr>
        <w:t> </w:t>
      </w:r>
      <w:r w:rsidRPr="0006094F">
        <w:rPr>
          <w:rFonts w:ascii="Times New Roman" w:hAnsi="Times New Roman"/>
          <w:sz w:val="28"/>
          <w:szCs w:val="28"/>
        </w:rPr>
        <w:t>лесах»);</w:t>
      </w:r>
    </w:p>
    <w:p w:rsidR="002D1E45" w:rsidRPr="0006094F" w:rsidRDefault="002D1E45" w:rsidP="00D05D06">
      <w:pPr>
        <w:numPr>
          <w:ilvl w:val="0"/>
          <w:numId w:val="80"/>
        </w:numPr>
        <w:spacing w:after="0" w:line="240" w:lineRule="auto"/>
        <w:jc w:val="both"/>
        <w:rPr>
          <w:rFonts w:ascii="Times New Roman" w:hAnsi="Times New Roman"/>
          <w:sz w:val="28"/>
          <w:szCs w:val="28"/>
        </w:rPr>
      </w:pPr>
      <w:r w:rsidRPr="0006094F">
        <w:rPr>
          <w:rFonts w:ascii="Times New Roman" w:hAnsi="Times New Roman"/>
          <w:sz w:val="28"/>
          <w:szCs w:val="28"/>
        </w:rPr>
        <w:t>Разъяснение правил пожарной безопасности (лекции, плакаты, публикации, выступления по</w:t>
      </w:r>
      <w:r>
        <w:rPr>
          <w:rFonts w:ascii="Times New Roman" w:hAnsi="Times New Roman"/>
          <w:sz w:val="28"/>
          <w:szCs w:val="28"/>
        </w:rPr>
        <w:t> </w:t>
      </w:r>
      <w:r w:rsidRPr="0006094F">
        <w:rPr>
          <w:rFonts w:ascii="Times New Roman" w:hAnsi="Times New Roman"/>
          <w:sz w:val="28"/>
          <w:szCs w:val="28"/>
        </w:rPr>
        <w:t>радио и</w:t>
      </w:r>
      <w:r>
        <w:rPr>
          <w:rFonts w:ascii="Times New Roman" w:hAnsi="Times New Roman"/>
          <w:sz w:val="28"/>
          <w:szCs w:val="28"/>
        </w:rPr>
        <w:t> </w:t>
      </w:r>
      <w:r w:rsidRPr="0006094F">
        <w:rPr>
          <w:rFonts w:ascii="Times New Roman" w:hAnsi="Times New Roman"/>
          <w:sz w:val="28"/>
          <w:szCs w:val="28"/>
        </w:rPr>
        <w:t>телевидению);</w:t>
      </w:r>
    </w:p>
    <w:p w:rsidR="002D1E45" w:rsidRPr="0006094F" w:rsidRDefault="002D1E45" w:rsidP="00D05D06">
      <w:pPr>
        <w:numPr>
          <w:ilvl w:val="0"/>
          <w:numId w:val="80"/>
        </w:numPr>
        <w:spacing w:after="0" w:line="240" w:lineRule="auto"/>
        <w:jc w:val="both"/>
        <w:rPr>
          <w:rFonts w:ascii="Times New Roman" w:hAnsi="Times New Roman"/>
          <w:sz w:val="28"/>
          <w:szCs w:val="28"/>
        </w:rPr>
      </w:pPr>
      <w:r w:rsidRPr="0006094F">
        <w:rPr>
          <w:rFonts w:ascii="Times New Roman" w:hAnsi="Times New Roman"/>
          <w:sz w:val="28"/>
          <w:szCs w:val="28"/>
        </w:rPr>
        <w:t>Правильная организация использования лесов.</w:t>
      </w:r>
    </w:p>
    <w:p w:rsidR="002D1E45" w:rsidRPr="0006094F" w:rsidRDefault="002D1E45" w:rsidP="00BB3B2D">
      <w:pPr>
        <w:spacing w:after="0" w:line="240" w:lineRule="auto"/>
        <w:ind w:firstLine="709"/>
        <w:jc w:val="both"/>
        <w:rPr>
          <w:rFonts w:ascii="Times New Roman" w:hAnsi="Times New Roman"/>
          <w:sz w:val="28"/>
          <w:szCs w:val="28"/>
        </w:rPr>
      </w:pPr>
      <w:r w:rsidRPr="0006094F">
        <w:rPr>
          <w:rFonts w:ascii="Times New Roman" w:hAnsi="Times New Roman"/>
          <w:sz w:val="28"/>
          <w:szCs w:val="28"/>
        </w:rPr>
        <w:t xml:space="preserve"> «Правила пожарной безопасности в</w:t>
      </w:r>
      <w:r>
        <w:rPr>
          <w:rFonts w:ascii="Times New Roman" w:hAnsi="Times New Roman"/>
          <w:sz w:val="28"/>
          <w:szCs w:val="28"/>
        </w:rPr>
        <w:t> </w:t>
      </w:r>
      <w:r w:rsidRPr="0006094F">
        <w:rPr>
          <w:rFonts w:ascii="Times New Roman" w:hAnsi="Times New Roman"/>
          <w:sz w:val="28"/>
          <w:szCs w:val="28"/>
        </w:rPr>
        <w:t>лесах» включают запрет на: разведение костров в</w:t>
      </w:r>
      <w:r>
        <w:rPr>
          <w:rFonts w:ascii="Times New Roman" w:hAnsi="Times New Roman"/>
          <w:sz w:val="28"/>
          <w:szCs w:val="28"/>
        </w:rPr>
        <w:t> </w:t>
      </w:r>
      <w:r w:rsidRPr="0006094F">
        <w:rPr>
          <w:rFonts w:ascii="Times New Roman" w:hAnsi="Times New Roman"/>
          <w:sz w:val="28"/>
          <w:szCs w:val="28"/>
        </w:rPr>
        <w:t>хвойных молодняках, на</w:t>
      </w:r>
      <w:r>
        <w:rPr>
          <w:rFonts w:ascii="Times New Roman" w:hAnsi="Times New Roman"/>
          <w:sz w:val="28"/>
          <w:szCs w:val="28"/>
        </w:rPr>
        <w:t> </w:t>
      </w:r>
      <w:r w:rsidRPr="0006094F">
        <w:rPr>
          <w:rFonts w:ascii="Times New Roman" w:hAnsi="Times New Roman"/>
          <w:sz w:val="28"/>
          <w:szCs w:val="28"/>
        </w:rPr>
        <w:t>гарях, на</w:t>
      </w:r>
      <w:r>
        <w:rPr>
          <w:rFonts w:ascii="Times New Roman" w:hAnsi="Times New Roman"/>
          <w:sz w:val="28"/>
          <w:szCs w:val="28"/>
        </w:rPr>
        <w:t> </w:t>
      </w:r>
      <w:r w:rsidRPr="0006094F">
        <w:rPr>
          <w:rFonts w:ascii="Times New Roman" w:hAnsi="Times New Roman"/>
          <w:sz w:val="28"/>
          <w:szCs w:val="28"/>
        </w:rPr>
        <w:t>участках повреждённого леса, торфяниках, в</w:t>
      </w:r>
      <w:r>
        <w:rPr>
          <w:rFonts w:ascii="Times New Roman" w:hAnsi="Times New Roman"/>
          <w:sz w:val="28"/>
          <w:szCs w:val="28"/>
        </w:rPr>
        <w:t> </w:t>
      </w:r>
      <w:r w:rsidRPr="0006094F">
        <w:rPr>
          <w:rFonts w:ascii="Times New Roman" w:hAnsi="Times New Roman"/>
          <w:sz w:val="28"/>
          <w:szCs w:val="28"/>
        </w:rPr>
        <w:t>местах рубок (на лесосеках), не</w:t>
      </w:r>
      <w:r>
        <w:rPr>
          <w:rFonts w:ascii="Times New Roman" w:hAnsi="Times New Roman"/>
          <w:sz w:val="28"/>
          <w:szCs w:val="28"/>
        </w:rPr>
        <w:t> </w:t>
      </w:r>
      <w:r w:rsidRPr="0006094F">
        <w:rPr>
          <w:rFonts w:ascii="Times New Roman" w:hAnsi="Times New Roman"/>
          <w:sz w:val="28"/>
          <w:szCs w:val="28"/>
        </w:rPr>
        <w:t>очищенных от</w:t>
      </w:r>
      <w:r>
        <w:rPr>
          <w:rFonts w:ascii="Times New Roman" w:hAnsi="Times New Roman"/>
          <w:sz w:val="28"/>
          <w:szCs w:val="28"/>
        </w:rPr>
        <w:t> </w:t>
      </w:r>
      <w:r w:rsidRPr="0006094F">
        <w:rPr>
          <w:rFonts w:ascii="Times New Roman" w:hAnsi="Times New Roman"/>
          <w:sz w:val="28"/>
          <w:szCs w:val="28"/>
        </w:rPr>
        <w:t>порубочных остатков и</w:t>
      </w:r>
      <w:r>
        <w:rPr>
          <w:rFonts w:ascii="Times New Roman" w:hAnsi="Times New Roman"/>
          <w:sz w:val="28"/>
          <w:szCs w:val="28"/>
        </w:rPr>
        <w:t> </w:t>
      </w:r>
      <w:r w:rsidRPr="0006094F">
        <w:rPr>
          <w:rFonts w:ascii="Times New Roman" w:hAnsi="Times New Roman"/>
          <w:sz w:val="28"/>
          <w:szCs w:val="28"/>
        </w:rPr>
        <w:t>заготовленной древесины, в</w:t>
      </w:r>
      <w:r>
        <w:rPr>
          <w:rFonts w:ascii="Times New Roman" w:hAnsi="Times New Roman"/>
          <w:sz w:val="28"/>
          <w:szCs w:val="28"/>
        </w:rPr>
        <w:t> </w:t>
      </w:r>
      <w:r w:rsidRPr="0006094F">
        <w:rPr>
          <w:rFonts w:ascii="Times New Roman" w:hAnsi="Times New Roman"/>
          <w:sz w:val="28"/>
          <w:szCs w:val="28"/>
        </w:rPr>
        <w:t>местах с</w:t>
      </w:r>
      <w:r>
        <w:rPr>
          <w:rFonts w:ascii="Times New Roman" w:hAnsi="Times New Roman"/>
          <w:sz w:val="28"/>
          <w:szCs w:val="28"/>
        </w:rPr>
        <w:t> </w:t>
      </w:r>
      <w:r w:rsidRPr="0006094F">
        <w:rPr>
          <w:rFonts w:ascii="Times New Roman" w:hAnsi="Times New Roman"/>
          <w:sz w:val="28"/>
          <w:szCs w:val="28"/>
        </w:rPr>
        <w:t>подсохшей травой, а</w:t>
      </w:r>
      <w:r>
        <w:rPr>
          <w:rFonts w:ascii="Times New Roman" w:hAnsi="Times New Roman"/>
          <w:sz w:val="28"/>
          <w:szCs w:val="28"/>
        </w:rPr>
        <w:t> </w:t>
      </w:r>
      <w:r w:rsidRPr="0006094F">
        <w:rPr>
          <w:rFonts w:ascii="Times New Roman" w:hAnsi="Times New Roman"/>
          <w:sz w:val="28"/>
          <w:szCs w:val="28"/>
        </w:rPr>
        <w:t>также под кронами деревьев; бросание горящих спичек, окурков и</w:t>
      </w:r>
      <w:r>
        <w:rPr>
          <w:rFonts w:ascii="Times New Roman" w:hAnsi="Times New Roman"/>
          <w:sz w:val="28"/>
          <w:szCs w:val="28"/>
        </w:rPr>
        <w:t> </w:t>
      </w:r>
      <w:r w:rsidRPr="0006094F">
        <w:rPr>
          <w:rFonts w:ascii="Times New Roman" w:hAnsi="Times New Roman"/>
          <w:sz w:val="28"/>
          <w:szCs w:val="28"/>
        </w:rPr>
        <w:t>горячей золы из</w:t>
      </w:r>
      <w:r>
        <w:rPr>
          <w:rFonts w:ascii="Times New Roman" w:hAnsi="Times New Roman"/>
          <w:sz w:val="28"/>
          <w:szCs w:val="28"/>
        </w:rPr>
        <w:t> </w:t>
      </w:r>
      <w:r w:rsidRPr="0006094F">
        <w:rPr>
          <w:rFonts w:ascii="Times New Roman" w:hAnsi="Times New Roman"/>
          <w:sz w:val="28"/>
          <w:szCs w:val="28"/>
        </w:rPr>
        <w:t>курительных трубок, стекла (стеклянные бутылки, банки и</w:t>
      </w:r>
      <w:r>
        <w:rPr>
          <w:rFonts w:ascii="Times New Roman" w:hAnsi="Times New Roman"/>
          <w:sz w:val="28"/>
          <w:szCs w:val="28"/>
        </w:rPr>
        <w:t> </w:t>
      </w:r>
      <w:r w:rsidRPr="0006094F">
        <w:rPr>
          <w:rFonts w:ascii="Times New Roman" w:hAnsi="Times New Roman"/>
          <w:sz w:val="28"/>
          <w:szCs w:val="28"/>
        </w:rPr>
        <w:t>др.).</w:t>
      </w:r>
    </w:p>
    <w:p w:rsidR="002D1E45" w:rsidRPr="0006094F" w:rsidRDefault="002D1E45" w:rsidP="00BB3B2D">
      <w:pPr>
        <w:spacing w:after="0" w:line="240" w:lineRule="auto"/>
        <w:ind w:firstLine="709"/>
        <w:jc w:val="both"/>
        <w:rPr>
          <w:rFonts w:ascii="Times New Roman" w:hAnsi="Times New Roman"/>
          <w:sz w:val="28"/>
          <w:szCs w:val="28"/>
        </w:rPr>
      </w:pPr>
      <w:r w:rsidRPr="0006094F">
        <w:rPr>
          <w:rFonts w:ascii="Times New Roman" w:hAnsi="Times New Roman"/>
          <w:sz w:val="28"/>
          <w:szCs w:val="28"/>
        </w:rPr>
        <w:t>Использование при охоте пыжи из</w:t>
      </w:r>
      <w:r>
        <w:rPr>
          <w:rFonts w:ascii="Times New Roman" w:hAnsi="Times New Roman"/>
          <w:sz w:val="28"/>
          <w:szCs w:val="28"/>
        </w:rPr>
        <w:t> </w:t>
      </w:r>
      <w:r w:rsidRPr="0006094F">
        <w:rPr>
          <w:rFonts w:ascii="Times New Roman" w:hAnsi="Times New Roman"/>
          <w:sz w:val="28"/>
          <w:szCs w:val="28"/>
        </w:rPr>
        <w:t>горючих или тлеющих материалов; засорение леса бытовыми, строительными, промышленными и</w:t>
      </w:r>
      <w:r>
        <w:rPr>
          <w:rFonts w:ascii="Times New Roman" w:hAnsi="Times New Roman"/>
          <w:sz w:val="28"/>
          <w:szCs w:val="28"/>
        </w:rPr>
        <w:t> </w:t>
      </w:r>
      <w:r w:rsidRPr="0006094F">
        <w:rPr>
          <w:rFonts w:ascii="Times New Roman" w:hAnsi="Times New Roman"/>
          <w:sz w:val="28"/>
          <w:szCs w:val="28"/>
        </w:rPr>
        <w:t>иными отходами, мусором.</w:t>
      </w:r>
    </w:p>
    <w:p w:rsidR="002D1E45" w:rsidRPr="0006094F" w:rsidRDefault="002D1E45" w:rsidP="00BB3B2D">
      <w:pPr>
        <w:spacing w:after="0" w:line="240" w:lineRule="auto"/>
        <w:ind w:firstLine="709"/>
        <w:jc w:val="both"/>
        <w:rPr>
          <w:rFonts w:ascii="Times New Roman" w:hAnsi="Times New Roman"/>
          <w:sz w:val="28"/>
          <w:szCs w:val="28"/>
        </w:rPr>
      </w:pPr>
      <w:r w:rsidRPr="0006094F">
        <w:rPr>
          <w:rFonts w:ascii="Times New Roman" w:hAnsi="Times New Roman"/>
          <w:sz w:val="28"/>
          <w:szCs w:val="28"/>
        </w:rPr>
        <w:t>Ко 2-ой группе относятся следующие профилактические противопожарные мероприятия. Повышается пожароустойчивость лесов: за</w:t>
      </w:r>
      <w:r>
        <w:rPr>
          <w:rFonts w:ascii="Times New Roman" w:hAnsi="Times New Roman"/>
          <w:sz w:val="28"/>
          <w:szCs w:val="28"/>
        </w:rPr>
        <w:t> </w:t>
      </w:r>
      <w:r w:rsidRPr="0006094F">
        <w:rPr>
          <w:rFonts w:ascii="Times New Roman" w:hAnsi="Times New Roman"/>
          <w:sz w:val="28"/>
          <w:szCs w:val="28"/>
        </w:rPr>
        <w:t>счёт регулирования состава древостоев (очистка их</w:t>
      </w:r>
      <w:r>
        <w:rPr>
          <w:rFonts w:ascii="Times New Roman" w:hAnsi="Times New Roman"/>
          <w:sz w:val="28"/>
          <w:szCs w:val="28"/>
        </w:rPr>
        <w:t> </w:t>
      </w:r>
      <w:r w:rsidRPr="0006094F">
        <w:rPr>
          <w:rFonts w:ascii="Times New Roman" w:hAnsi="Times New Roman"/>
          <w:sz w:val="28"/>
          <w:szCs w:val="28"/>
        </w:rPr>
        <w:t>от</w:t>
      </w:r>
      <w:r>
        <w:rPr>
          <w:rFonts w:ascii="Times New Roman" w:hAnsi="Times New Roman"/>
          <w:sz w:val="28"/>
          <w:szCs w:val="28"/>
        </w:rPr>
        <w:t> </w:t>
      </w:r>
      <w:r w:rsidRPr="0006094F">
        <w:rPr>
          <w:rFonts w:ascii="Times New Roman" w:hAnsi="Times New Roman"/>
          <w:sz w:val="28"/>
          <w:szCs w:val="28"/>
        </w:rPr>
        <w:t>захламлённости и</w:t>
      </w:r>
      <w:r>
        <w:rPr>
          <w:rFonts w:ascii="Times New Roman" w:hAnsi="Times New Roman"/>
          <w:sz w:val="28"/>
          <w:szCs w:val="28"/>
        </w:rPr>
        <w:t> </w:t>
      </w:r>
      <w:r w:rsidRPr="0006094F">
        <w:rPr>
          <w:rFonts w:ascii="Times New Roman" w:hAnsi="Times New Roman"/>
          <w:sz w:val="28"/>
          <w:szCs w:val="28"/>
        </w:rPr>
        <w:t>своевременное проведение выборочных и</w:t>
      </w:r>
      <w:r>
        <w:rPr>
          <w:rFonts w:ascii="Times New Roman" w:hAnsi="Times New Roman"/>
          <w:sz w:val="28"/>
          <w:szCs w:val="28"/>
        </w:rPr>
        <w:t> </w:t>
      </w:r>
      <w:r w:rsidRPr="0006094F">
        <w:rPr>
          <w:rFonts w:ascii="Times New Roman" w:hAnsi="Times New Roman"/>
          <w:sz w:val="28"/>
          <w:szCs w:val="28"/>
        </w:rPr>
        <w:t>сплошных санитарных рубок с</w:t>
      </w:r>
      <w:r>
        <w:rPr>
          <w:rFonts w:ascii="Times New Roman" w:hAnsi="Times New Roman"/>
          <w:sz w:val="28"/>
          <w:szCs w:val="28"/>
        </w:rPr>
        <w:t> </w:t>
      </w:r>
      <w:r w:rsidRPr="0006094F">
        <w:rPr>
          <w:rFonts w:ascii="Times New Roman" w:hAnsi="Times New Roman"/>
          <w:sz w:val="28"/>
          <w:szCs w:val="28"/>
        </w:rPr>
        <w:t>очисткой от</w:t>
      </w:r>
      <w:r>
        <w:rPr>
          <w:rFonts w:ascii="Times New Roman" w:hAnsi="Times New Roman"/>
          <w:sz w:val="28"/>
          <w:szCs w:val="28"/>
        </w:rPr>
        <w:t> </w:t>
      </w:r>
      <w:r w:rsidRPr="0006094F">
        <w:rPr>
          <w:rFonts w:ascii="Times New Roman" w:hAnsi="Times New Roman"/>
          <w:sz w:val="28"/>
          <w:szCs w:val="28"/>
        </w:rPr>
        <w:t>останков) за</w:t>
      </w:r>
      <w:r>
        <w:rPr>
          <w:rFonts w:ascii="Times New Roman" w:hAnsi="Times New Roman"/>
          <w:sz w:val="28"/>
          <w:szCs w:val="28"/>
        </w:rPr>
        <w:t> </w:t>
      </w:r>
      <w:r w:rsidRPr="0006094F">
        <w:rPr>
          <w:rFonts w:ascii="Times New Roman" w:hAnsi="Times New Roman"/>
          <w:sz w:val="28"/>
          <w:szCs w:val="28"/>
        </w:rPr>
        <w:t>счёт противопожарной организации лесов (создание в</w:t>
      </w:r>
      <w:r>
        <w:rPr>
          <w:rFonts w:ascii="Times New Roman" w:hAnsi="Times New Roman"/>
          <w:sz w:val="28"/>
          <w:szCs w:val="28"/>
        </w:rPr>
        <w:t> </w:t>
      </w:r>
      <w:r w:rsidRPr="0006094F">
        <w:rPr>
          <w:rFonts w:ascii="Times New Roman" w:hAnsi="Times New Roman"/>
          <w:sz w:val="28"/>
          <w:szCs w:val="28"/>
        </w:rPr>
        <w:t>лесах системы противопожарных преград, ограничивающих распространение пожаров, устройство сети дорог и</w:t>
      </w:r>
      <w:r>
        <w:rPr>
          <w:rFonts w:ascii="Times New Roman" w:hAnsi="Times New Roman"/>
          <w:sz w:val="28"/>
          <w:szCs w:val="28"/>
        </w:rPr>
        <w:t> </w:t>
      </w:r>
      <w:r w:rsidRPr="0006094F">
        <w:rPr>
          <w:rFonts w:ascii="Times New Roman" w:hAnsi="Times New Roman"/>
          <w:sz w:val="28"/>
          <w:szCs w:val="28"/>
        </w:rPr>
        <w:t>водоёмов). Для борьбы с</w:t>
      </w:r>
      <w:r>
        <w:rPr>
          <w:rFonts w:ascii="Times New Roman" w:hAnsi="Times New Roman"/>
          <w:sz w:val="28"/>
          <w:szCs w:val="28"/>
        </w:rPr>
        <w:t> </w:t>
      </w:r>
      <w:r w:rsidRPr="0006094F">
        <w:rPr>
          <w:rFonts w:ascii="Times New Roman" w:hAnsi="Times New Roman"/>
          <w:sz w:val="28"/>
          <w:szCs w:val="28"/>
        </w:rPr>
        <w:t>пожарами особое значение имеют препятствие для огня (разрывы, заслоны, минерализованные полосы, канавы), а</w:t>
      </w:r>
      <w:r>
        <w:rPr>
          <w:rFonts w:ascii="Times New Roman" w:hAnsi="Times New Roman"/>
          <w:sz w:val="28"/>
          <w:szCs w:val="28"/>
        </w:rPr>
        <w:t> </w:t>
      </w:r>
      <w:r w:rsidRPr="0006094F">
        <w:rPr>
          <w:rFonts w:ascii="Times New Roman" w:hAnsi="Times New Roman"/>
          <w:sz w:val="28"/>
          <w:szCs w:val="28"/>
        </w:rPr>
        <w:t>также дороги противопожарного значения. При этом естественные и</w:t>
      </w:r>
      <w:r>
        <w:rPr>
          <w:rFonts w:ascii="Times New Roman" w:hAnsi="Times New Roman"/>
          <w:sz w:val="28"/>
          <w:szCs w:val="28"/>
        </w:rPr>
        <w:t> </w:t>
      </w:r>
      <w:r w:rsidRPr="0006094F">
        <w:rPr>
          <w:rFonts w:ascii="Times New Roman" w:hAnsi="Times New Roman"/>
          <w:sz w:val="28"/>
          <w:szCs w:val="28"/>
        </w:rPr>
        <w:t>искусственные преграды должны соединяться между собой, образуя замкнутые блоки.</w:t>
      </w:r>
    </w:p>
    <w:p w:rsidR="002D1E45" w:rsidRPr="0006094F" w:rsidRDefault="002D1E45" w:rsidP="00BB3B2D">
      <w:pPr>
        <w:spacing w:after="0" w:line="240" w:lineRule="auto"/>
        <w:ind w:firstLine="709"/>
        <w:jc w:val="both"/>
        <w:rPr>
          <w:rFonts w:ascii="Times New Roman" w:hAnsi="Times New Roman"/>
          <w:sz w:val="28"/>
          <w:szCs w:val="28"/>
        </w:rPr>
      </w:pPr>
      <w:r w:rsidRPr="0006094F">
        <w:rPr>
          <w:rFonts w:ascii="Times New Roman" w:hAnsi="Times New Roman"/>
          <w:sz w:val="28"/>
          <w:szCs w:val="28"/>
        </w:rPr>
        <w:t>Пожарная безопасность муниципальных образований и</w:t>
      </w:r>
      <w:r>
        <w:rPr>
          <w:rFonts w:ascii="Times New Roman" w:hAnsi="Times New Roman"/>
          <w:sz w:val="28"/>
          <w:szCs w:val="28"/>
        </w:rPr>
        <w:t> </w:t>
      </w:r>
      <w:r w:rsidRPr="0006094F">
        <w:rPr>
          <w:rFonts w:ascii="Times New Roman" w:hAnsi="Times New Roman"/>
          <w:sz w:val="28"/>
          <w:szCs w:val="28"/>
        </w:rPr>
        <w:t>поселений в</w:t>
      </w:r>
      <w:r>
        <w:rPr>
          <w:rFonts w:ascii="Times New Roman" w:hAnsi="Times New Roman"/>
          <w:sz w:val="28"/>
          <w:szCs w:val="28"/>
        </w:rPr>
        <w:t> </w:t>
      </w:r>
      <w:r w:rsidRPr="0006094F">
        <w:rPr>
          <w:rFonts w:ascii="Times New Roman" w:hAnsi="Times New Roman"/>
          <w:sz w:val="28"/>
          <w:szCs w:val="28"/>
        </w:rPr>
        <w:t>соответствии с</w:t>
      </w:r>
      <w:r>
        <w:rPr>
          <w:rFonts w:ascii="Times New Roman" w:hAnsi="Times New Roman"/>
          <w:sz w:val="28"/>
          <w:szCs w:val="28"/>
        </w:rPr>
        <w:t> </w:t>
      </w:r>
      <w:r w:rsidRPr="0006094F">
        <w:rPr>
          <w:rFonts w:ascii="Times New Roman" w:hAnsi="Times New Roman"/>
          <w:sz w:val="28"/>
          <w:szCs w:val="28"/>
        </w:rPr>
        <w:t>действующим законодательством обеспечивается в</w:t>
      </w:r>
      <w:r>
        <w:rPr>
          <w:rFonts w:ascii="Times New Roman" w:hAnsi="Times New Roman"/>
          <w:sz w:val="28"/>
          <w:szCs w:val="28"/>
        </w:rPr>
        <w:t> </w:t>
      </w:r>
      <w:r w:rsidRPr="0006094F">
        <w:rPr>
          <w:rFonts w:ascii="Times New Roman" w:hAnsi="Times New Roman"/>
          <w:sz w:val="28"/>
          <w:szCs w:val="28"/>
        </w:rPr>
        <w:t>рамках реализации мер пожарной безопасности соответствующими органами государственной власти и</w:t>
      </w:r>
      <w:r>
        <w:rPr>
          <w:rFonts w:ascii="Times New Roman" w:hAnsi="Times New Roman"/>
          <w:sz w:val="28"/>
          <w:szCs w:val="28"/>
        </w:rPr>
        <w:t> </w:t>
      </w:r>
      <w:r w:rsidRPr="0006094F">
        <w:rPr>
          <w:rFonts w:ascii="Times New Roman" w:hAnsi="Times New Roman"/>
          <w:sz w:val="28"/>
          <w:szCs w:val="28"/>
        </w:rPr>
        <w:t>органами местного самоуправления. Главной задачей администрации органов местного самоуправления в</w:t>
      </w:r>
      <w:r>
        <w:rPr>
          <w:rFonts w:ascii="Times New Roman" w:hAnsi="Times New Roman"/>
          <w:sz w:val="28"/>
          <w:szCs w:val="28"/>
        </w:rPr>
        <w:t> </w:t>
      </w:r>
      <w:r w:rsidRPr="0006094F">
        <w:rPr>
          <w:rFonts w:ascii="Times New Roman" w:hAnsi="Times New Roman"/>
          <w:sz w:val="28"/>
          <w:szCs w:val="28"/>
        </w:rPr>
        <w:t>этой области должно быть создание устойчивой и</w:t>
      </w:r>
      <w:r>
        <w:rPr>
          <w:rFonts w:ascii="Times New Roman" w:hAnsi="Times New Roman"/>
          <w:sz w:val="28"/>
          <w:szCs w:val="28"/>
        </w:rPr>
        <w:t> </w:t>
      </w:r>
      <w:r w:rsidRPr="0006094F">
        <w:rPr>
          <w:rFonts w:ascii="Times New Roman" w:hAnsi="Times New Roman"/>
          <w:sz w:val="28"/>
          <w:szCs w:val="28"/>
        </w:rPr>
        <w:t>целостной системы пожарной безопасности, т.е. выполнение мероприятий направленных на</w:t>
      </w:r>
      <w:r>
        <w:rPr>
          <w:rFonts w:ascii="Times New Roman" w:hAnsi="Times New Roman"/>
          <w:sz w:val="28"/>
          <w:szCs w:val="28"/>
        </w:rPr>
        <w:t> </w:t>
      </w:r>
      <w:r w:rsidRPr="0006094F">
        <w:rPr>
          <w:rFonts w:ascii="Times New Roman" w:hAnsi="Times New Roman"/>
          <w:sz w:val="28"/>
          <w:szCs w:val="28"/>
        </w:rPr>
        <w:t>предотвращение пожаров, обеспечение безопасности населения, проживающего и</w:t>
      </w:r>
      <w:r>
        <w:rPr>
          <w:rFonts w:ascii="Times New Roman" w:hAnsi="Times New Roman"/>
          <w:sz w:val="28"/>
          <w:szCs w:val="28"/>
        </w:rPr>
        <w:t> </w:t>
      </w:r>
      <w:r w:rsidRPr="0006094F">
        <w:rPr>
          <w:rFonts w:ascii="Times New Roman" w:hAnsi="Times New Roman"/>
          <w:sz w:val="28"/>
          <w:szCs w:val="28"/>
        </w:rPr>
        <w:t>ведущего деятельность на</w:t>
      </w:r>
      <w:r>
        <w:rPr>
          <w:rFonts w:ascii="Times New Roman" w:hAnsi="Times New Roman"/>
          <w:sz w:val="28"/>
          <w:szCs w:val="28"/>
        </w:rPr>
        <w:t> </w:t>
      </w:r>
      <w:r w:rsidRPr="0006094F">
        <w:rPr>
          <w:rFonts w:ascii="Times New Roman" w:hAnsi="Times New Roman"/>
          <w:sz w:val="28"/>
          <w:szCs w:val="28"/>
        </w:rPr>
        <w:t xml:space="preserve">территории </w:t>
      </w:r>
      <w:r>
        <w:rPr>
          <w:rFonts w:ascii="Times New Roman" w:hAnsi="Times New Roman"/>
          <w:sz w:val="28"/>
          <w:szCs w:val="28"/>
        </w:rPr>
        <w:t xml:space="preserve">города Куйбышева </w:t>
      </w:r>
      <w:r w:rsidRPr="0006094F">
        <w:rPr>
          <w:rFonts w:ascii="Times New Roman" w:hAnsi="Times New Roman"/>
          <w:sz w:val="28"/>
          <w:szCs w:val="28"/>
        </w:rPr>
        <w:t>и</w:t>
      </w:r>
      <w:r>
        <w:rPr>
          <w:rFonts w:ascii="Times New Roman" w:hAnsi="Times New Roman"/>
          <w:sz w:val="28"/>
          <w:szCs w:val="28"/>
        </w:rPr>
        <w:t> </w:t>
      </w:r>
      <w:r w:rsidRPr="0006094F">
        <w:rPr>
          <w:rFonts w:ascii="Times New Roman" w:hAnsi="Times New Roman"/>
          <w:sz w:val="28"/>
          <w:szCs w:val="28"/>
        </w:rPr>
        <w:t>защита имущества при пожаре. Структурно, система обеспечения пожарной безопасности в</w:t>
      </w:r>
      <w:r>
        <w:rPr>
          <w:rFonts w:ascii="Times New Roman" w:hAnsi="Times New Roman"/>
          <w:sz w:val="28"/>
          <w:szCs w:val="28"/>
        </w:rPr>
        <w:t> </w:t>
      </w:r>
      <w:r w:rsidRPr="0006094F">
        <w:rPr>
          <w:rFonts w:ascii="Times New Roman" w:hAnsi="Times New Roman"/>
          <w:sz w:val="28"/>
          <w:szCs w:val="28"/>
        </w:rPr>
        <w:t>себя включает:</w:t>
      </w:r>
    </w:p>
    <w:p w:rsidR="002D1E45" w:rsidRPr="0006094F" w:rsidRDefault="002D1E45" w:rsidP="00BB3B2D">
      <w:pPr>
        <w:numPr>
          <w:ilvl w:val="0"/>
          <w:numId w:val="24"/>
        </w:numPr>
        <w:spacing w:after="0" w:line="240" w:lineRule="auto"/>
        <w:jc w:val="both"/>
        <w:rPr>
          <w:rFonts w:ascii="Times New Roman" w:hAnsi="Times New Roman"/>
          <w:sz w:val="28"/>
          <w:szCs w:val="28"/>
        </w:rPr>
      </w:pPr>
      <w:r w:rsidRPr="0006094F">
        <w:rPr>
          <w:rFonts w:ascii="Times New Roman" w:hAnsi="Times New Roman"/>
          <w:sz w:val="28"/>
          <w:szCs w:val="28"/>
        </w:rPr>
        <w:t>систему предотвращения пожара;</w:t>
      </w:r>
    </w:p>
    <w:p w:rsidR="002D1E45" w:rsidRPr="0006094F" w:rsidRDefault="002D1E45" w:rsidP="00BB3B2D">
      <w:pPr>
        <w:numPr>
          <w:ilvl w:val="0"/>
          <w:numId w:val="24"/>
        </w:numPr>
        <w:spacing w:after="0" w:line="240" w:lineRule="auto"/>
        <w:jc w:val="both"/>
        <w:rPr>
          <w:rFonts w:ascii="Times New Roman" w:hAnsi="Times New Roman"/>
          <w:sz w:val="28"/>
          <w:szCs w:val="28"/>
        </w:rPr>
      </w:pPr>
      <w:r w:rsidRPr="0006094F">
        <w:rPr>
          <w:rFonts w:ascii="Times New Roman" w:hAnsi="Times New Roman"/>
          <w:sz w:val="28"/>
          <w:szCs w:val="28"/>
        </w:rPr>
        <w:t>систему противопожарной защиты;</w:t>
      </w:r>
    </w:p>
    <w:p w:rsidR="002D1E45" w:rsidRPr="0006094F" w:rsidRDefault="002D1E45" w:rsidP="00BB3B2D">
      <w:pPr>
        <w:numPr>
          <w:ilvl w:val="0"/>
          <w:numId w:val="24"/>
        </w:numPr>
        <w:spacing w:after="0" w:line="240" w:lineRule="auto"/>
        <w:jc w:val="both"/>
        <w:rPr>
          <w:rFonts w:ascii="Times New Roman" w:hAnsi="Times New Roman"/>
          <w:sz w:val="28"/>
          <w:szCs w:val="28"/>
        </w:rPr>
      </w:pPr>
      <w:r w:rsidRPr="0006094F">
        <w:rPr>
          <w:rFonts w:ascii="Times New Roman" w:hAnsi="Times New Roman"/>
          <w:sz w:val="28"/>
          <w:szCs w:val="28"/>
        </w:rPr>
        <w:t>комплекс организационно-технических мероприятий по</w:t>
      </w:r>
      <w:r>
        <w:rPr>
          <w:rFonts w:ascii="Times New Roman" w:hAnsi="Times New Roman"/>
          <w:sz w:val="28"/>
          <w:szCs w:val="28"/>
        </w:rPr>
        <w:t> </w:t>
      </w:r>
      <w:r w:rsidRPr="0006094F">
        <w:rPr>
          <w:rFonts w:ascii="Times New Roman" w:hAnsi="Times New Roman"/>
          <w:sz w:val="28"/>
          <w:szCs w:val="28"/>
        </w:rPr>
        <w:t>обеспечению пожарной безопасности.</w:t>
      </w:r>
    </w:p>
    <w:p w:rsidR="002D1E45" w:rsidRPr="0006094F" w:rsidRDefault="002D1E45" w:rsidP="00BB3B2D">
      <w:pPr>
        <w:spacing w:after="0" w:line="240" w:lineRule="auto"/>
        <w:ind w:firstLine="709"/>
        <w:jc w:val="both"/>
        <w:rPr>
          <w:rFonts w:ascii="Times New Roman" w:hAnsi="Times New Roman"/>
          <w:sz w:val="28"/>
          <w:szCs w:val="28"/>
        </w:rPr>
      </w:pPr>
      <w:r w:rsidRPr="0006094F">
        <w:rPr>
          <w:rFonts w:ascii="Times New Roman" w:hAnsi="Times New Roman"/>
          <w:sz w:val="28"/>
          <w:szCs w:val="28"/>
        </w:rPr>
        <w:t>Целью создания систем предотвращения пожаров является исключение условий возникновения пожаров на</w:t>
      </w:r>
      <w:r>
        <w:rPr>
          <w:rFonts w:ascii="Times New Roman" w:hAnsi="Times New Roman"/>
          <w:sz w:val="28"/>
          <w:szCs w:val="28"/>
        </w:rPr>
        <w:t> </w:t>
      </w:r>
      <w:r w:rsidRPr="0006094F">
        <w:rPr>
          <w:rFonts w:ascii="Times New Roman" w:hAnsi="Times New Roman"/>
          <w:sz w:val="28"/>
          <w:szCs w:val="28"/>
        </w:rPr>
        <w:t xml:space="preserve">территории </w:t>
      </w:r>
      <w:r>
        <w:rPr>
          <w:rFonts w:ascii="Times New Roman" w:hAnsi="Times New Roman"/>
          <w:sz w:val="28"/>
          <w:szCs w:val="28"/>
        </w:rPr>
        <w:t>города</w:t>
      </w:r>
      <w:r w:rsidRPr="0006094F">
        <w:rPr>
          <w:rFonts w:ascii="Times New Roman" w:hAnsi="Times New Roman"/>
          <w:sz w:val="28"/>
          <w:szCs w:val="28"/>
        </w:rPr>
        <w:t>.</w:t>
      </w:r>
    </w:p>
    <w:p w:rsidR="002D1E45" w:rsidRPr="0006094F" w:rsidRDefault="002D1E45" w:rsidP="00BB3B2D">
      <w:pPr>
        <w:spacing w:after="0" w:line="240" w:lineRule="auto"/>
        <w:ind w:firstLine="709"/>
        <w:jc w:val="both"/>
        <w:rPr>
          <w:rFonts w:ascii="Times New Roman" w:hAnsi="Times New Roman"/>
          <w:sz w:val="28"/>
          <w:szCs w:val="28"/>
        </w:rPr>
      </w:pPr>
      <w:r w:rsidRPr="0006094F">
        <w:rPr>
          <w:rFonts w:ascii="Times New Roman" w:hAnsi="Times New Roman"/>
          <w:sz w:val="28"/>
          <w:szCs w:val="28"/>
        </w:rPr>
        <w:t>Из всего комплекса мер, направленных на</w:t>
      </w:r>
      <w:r>
        <w:rPr>
          <w:rFonts w:ascii="Times New Roman" w:hAnsi="Times New Roman"/>
          <w:sz w:val="28"/>
          <w:szCs w:val="28"/>
        </w:rPr>
        <w:t> </w:t>
      </w:r>
      <w:r w:rsidRPr="0006094F">
        <w:rPr>
          <w:rFonts w:ascii="Times New Roman" w:hAnsi="Times New Roman"/>
          <w:sz w:val="28"/>
          <w:szCs w:val="28"/>
        </w:rPr>
        <w:t xml:space="preserve">создание системы предотвращения пожаров, для </w:t>
      </w:r>
      <w:r>
        <w:rPr>
          <w:rFonts w:ascii="Times New Roman" w:hAnsi="Times New Roman"/>
          <w:sz w:val="28"/>
          <w:szCs w:val="28"/>
        </w:rPr>
        <w:t>города</w:t>
      </w:r>
      <w:r w:rsidRPr="0006094F">
        <w:rPr>
          <w:rFonts w:ascii="Times New Roman" w:hAnsi="Times New Roman"/>
          <w:sz w:val="28"/>
          <w:szCs w:val="28"/>
        </w:rPr>
        <w:t xml:space="preserve"> наиболее актуальными являются следующие:</w:t>
      </w:r>
    </w:p>
    <w:p w:rsidR="002D1E45" w:rsidRPr="0006094F" w:rsidRDefault="002D1E45" w:rsidP="00BB3B2D">
      <w:pPr>
        <w:numPr>
          <w:ilvl w:val="0"/>
          <w:numId w:val="24"/>
        </w:numPr>
        <w:spacing w:after="0" w:line="240" w:lineRule="auto"/>
        <w:jc w:val="both"/>
        <w:rPr>
          <w:rFonts w:ascii="Times New Roman" w:hAnsi="Times New Roman"/>
          <w:sz w:val="28"/>
          <w:szCs w:val="28"/>
        </w:rPr>
      </w:pPr>
      <w:r w:rsidRPr="0006094F">
        <w:rPr>
          <w:rFonts w:ascii="Times New Roman" w:hAnsi="Times New Roman"/>
          <w:sz w:val="28"/>
          <w:szCs w:val="28"/>
        </w:rPr>
        <w:t>применение негорючих веществ и</w:t>
      </w:r>
      <w:r>
        <w:rPr>
          <w:rFonts w:ascii="Times New Roman" w:hAnsi="Times New Roman"/>
          <w:sz w:val="28"/>
          <w:szCs w:val="28"/>
        </w:rPr>
        <w:t> </w:t>
      </w:r>
      <w:r w:rsidRPr="0006094F">
        <w:rPr>
          <w:rFonts w:ascii="Times New Roman" w:hAnsi="Times New Roman"/>
          <w:sz w:val="28"/>
          <w:szCs w:val="28"/>
        </w:rPr>
        <w:t>материалов при строительстве и</w:t>
      </w:r>
      <w:r>
        <w:rPr>
          <w:rFonts w:ascii="Times New Roman" w:hAnsi="Times New Roman"/>
          <w:sz w:val="28"/>
          <w:szCs w:val="28"/>
        </w:rPr>
        <w:t> </w:t>
      </w:r>
      <w:r w:rsidRPr="0006094F">
        <w:rPr>
          <w:rFonts w:ascii="Times New Roman" w:hAnsi="Times New Roman"/>
          <w:sz w:val="28"/>
          <w:szCs w:val="28"/>
        </w:rPr>
        <w:t>ремонте зданий и</w:t>
      </w:r>
      <w:r>
        <w:rPr>
          <w:rFonts w:ascii="Times New Roman" w:hAnsi="Times New Roman"/>
          <w:sz w:val="28"/>
          <w:szCs w:val="28"/>
        </w:rPr>
        <w:t> </w:t>
      </w:r>
      <w:r w:rsidRPr="0006094F">
        <w:rPr>
          <w:rFonts w:ascii="Times New Roman" w:hAnsi="Times New Roman"/>
          <w:sz w:val="28"/>
          <w:szCs w:val="28"/>
        </w:rPr>
        <w:t>сооружений;</w:t>
      </w:r>
    </w:p>
    <w:p w:rsidR="002D1E45" w:rsidRPr="0006094F" w:rsidRDefault="002D1E45" w:rsidP="00BB3B2D">
      <w:pPr>
        <w:numPr>
          <w:ilvl w:val="0"/>
          <w:numId w:val="24"/>
        </w:numPr>
        <w:spacing w:after="0" w:line="240" w:lineRule="auto"/>
        <w:jc w:val="both"/>
        <w:rPr>
          <w:rFonts w:ascii="Times New Roman" w:hAnsi="Times New Roman"/>
          <w:sz w:val="28"/>
          <w:szCs w:val="28"/>
        </w:rPr>
      </w:pPr>
      <w:r w:rsidRPr="0006094F">
        <w:rPr>
          <w:rFonts w:ascii="Times New Roman" w:hAnsi="Times New Roman"/>
          <w:sz w:val="28"/>
          <w:szCs w:val="28"/>
        </w:rPr>
        <w:t>использование наиболее безопасных способов размещения горючих веществ, а</w:t>
      </w:r>
      <w:r>
        <w:rPr>
          <w:rFonts w:ascii="Times New Roman" w:hAnsi="Times New Roman"/>
          <w:sz w:val="28"/>
          <w:szCs w:val="28"/>
        </w:rPr>
        <w:t> </w:t>
      </w:r>
      <w:r w:rsidRPr="0006094F">
        <w:rPr>
          <w:rFonts w:ascii="Times New Roman" w:hAnsi="Times New Roman"/>
          <w:sz w:val="28"/>
          <w:szCs w:val="28"/>
        </w:rPr>
        <w:t>также материалов, взаимодействие которых друг с</w:t>
      </w:r>
      <w:r>
        <w:rPr>
          <w:rFonts w:ascii="Times New Roman" w:hAnsi="Times New Roman"/>
          <w:sz w:val="28"/>
          <w:szCs w:val="28"/>
        </w:rPr>
        <w:t> </w:t>
      </w:r>
      <w:r w:rsidRPr="0006094F">
        <w:rPr>
          <w:rFonts w:ascii="Times New Roman" w:hAnsi="Times New Roman"/>
          <w:sz w:val="28"/>
          <w:szCs w:val="28"/>
        </w:rPr>
        <w:t>другом приводит к</w:t>
      </w:r>
      <w:r>
        <w:rPr>
          <w:rFonts w:ascii="Times New Roman" w:hAnsi="Times New Roman"/>
          <w:sz w:val="28"/>
          <w:szCs w:val="28"/>
        </w:rPr>
        <w:t> </w:t>
      </w:r>
      <w:r w:rsidRPr="0006094F">
        <w:rPr>
          <w:rFonts w:ascii="Times New Roman" w:hAnsi="Times New Roman"/>
          <w:sz w:val="28"/>
          <w:szCs w:val="28"/>
        </w:rPr>
        <w:t>образованию горючей среды;</w:t>
      </w:r>
    </w:p>
    <w:p w:rsidR="002D1E45" w:rsidRPr="0006094F" w:rsidRDefault="002D1E45" w:rsidP="00BB3B2D">
      <w:pPr>
        <w:numPr>
          <w:ilvl w:val="0"/>
          <w:numId w:val="24"/>
        </w:numPr>
        <w:spacing w:after="0" w:line="240" w:lineRule="auto"/>
        <w:jc w:val="both"/>
        <w:rPr>
          <w:rFonts w:ascii="Times New Roman" w:hAnsi="Times New Roman"/>
          <w:sz w:val="28"/>
          <w:szCs w:val="28"/>
        </w:rPr>
      </w:pPr>
      <w:r w:rsidRPr="0006094F">
        <w:rPr>
          <w:rFonts w:ascii="Times New Roman" w:hAnsi="Times New Roman"/>
          <w:sz w:val="28"/>
          <w:szCs w:val="28"/>
        </w:rPr>
        <w:t>устройство молниезащиты зданий, сооружений, строений и</w:t>
      </w:r>
      <w:r>
        <w:rPr>
          <w:rFonts w:ascii="Times New Roman" w:hAnsi="Times New Roman"/>
          <w:sz w:val="28"/>
          <w:szCs w:val="28"/>
        </w:rPr>
        <w:t> </w:t>
      </w:r>
      <w:r w:rsidRPr="0006094F">
        <w:rPr>
          <w:rFonts w:ascii="Times New Roman" w:hAnsi="Times New Roman"/>
          <w:sz w:val="28"/>
          <w:szCs w:val="28"/>
        </w:rPr>
        <w:t>оборудования на</w:t>
      </w:r>
      <w:r>
        <w:rPr>
          <w:rFonts w:ascii="Times New Roman" w:hAnsi="Times New Roman"/>
          <w:sz w:val="28"/>
          <w:szCs w:val="28"/>
        </w:rPr>
        <w:t> </w:t>
      </w:r>
      <w:r w:rsidRPr="0006094F">
        <w:rPr>
          <w:rFonts w:ascii="Times New Roman" w:hAnsi="Times New Roman"/>
          <w:sz w:val="28"/>
          <w:szCs w:val="28"/>
        </w:rPr>
        <w:t xml:space="preserve">территории </w:t>
      </w:r>
      <w:r>
        <w:rPr>
          <w:rFonts w:ascii="Times New Roman" w:hAnsi="Times New Roman"/>
          <w:sz w:val="28"/>
          <w:szCs w:val="28"/>
        </w:rPr>
        <w:t>города</w:t>
      </w:r>
      <w:r w:rsidRPr="0006094F">
        <w:rPr>
          <w:rFonts w:ascii="Times New Roman" w:hAnsi="Times New Roman"/>
          <w:sz w:val="28"/>
          <w:szCs w:val="28"/>
        </w:rPr>
        <w:t>.</w:t>
      </w:r>
    </w:p>
    <w:p w:rsidR="002D1E45" w:rsidRPr="0006094F" w:rsidRDefault="002D1E45" w:rsidP="00BB3B2D">
      <w:pPr>
        <w:spacing w:after="0" w:line="240" w:lineRule="auto"/>
        <w:ind w:firstLine="709"/>
        <w:jc w:val="both"/>
        <w:rPr>
          <w:rFonts w:ascii="Times New Roman" w:hAnsi="Times New Roman"/>
          <w:sz w:val="28"/>
          <w:szCs w:val="28"/>
        </w:rPr>
      </w:pPr>
      <w:r w:rsidRPr="0006094F">
        <w:rPr>
          <w:rFonts w:ascii="Times New Roman" w:hAnsi="Times New Roman"/>
          <w:sz w:val="28"/>
          <w:szCs w:val="28"/>
        </w:rPr>
        <w:t>Целью создания систем противопожарной защиты является защита людей и</w:t>
      </w:r>
      <w:r>
        <w:rPr>
          <w:rFonts w:ascii="Times New Roman" w:hAnsi="Times New Roman"/>
          <w:sz w:val="28"/>
          <w:szCs w:val="28"/>
        </w:rPr>
        <w:t> </w:t>
      </w:r>
      <w:r w:rsidRPr="0006094F">
        <w:rPr>
          <w:rFonts w:ascii="Times New Roman" w:hAnsi="Times New Roman"/>
          <w:sz w:val="28"/>
          <w:szCs w:val="28"/>
        </w:rPr>
        <w:t>имущества от</w:t>
      </w:r>
      <w:r>
        <w:rPr>
          <w:rFonts w:ascii="Times New Roman" w:hAnsi="Times New Roman"/>
          <w:sz w:val="28"/>
          <w:szCs w:val="28"/>
        </w:rPr>
        <w:t> </w:t>
      </w:r>
      <w:r w:rsidRPr="0006094F">
        <w:rPr>
          <w:rFonts w:ascii="Times New Roman" w:hAnsi="Times New Roman"/>
          <w:sz w:val="28"/>
          <w:szCs w:val="28"/>
        </w:rPr>
        <w:t>воздействия опасных факторов пожара и (или) ограничение его последствий.</w:t>
      </w:r>
    </w:p>
    <w:p w:rsidR="002D1E45" w:rsidRPr="0006094F" w:rsidRDefault="002D1E45" w:rsidP="00BB3B2D">
      <w:pPr>
        <w:spacing w:after="0" w:line="240" w:lineRule="auto"/>
        <w:ind w:firstLine="709"/>
        <w:jc w:val="both"/>
        <w:rPr>
          <w:rFonts w:ascii="Times New Roman" w:hAnsi="Times New Roman"/>
          <w:sz w:val="28"/>
          <w:szCs w:val="28"/>
        </w:rPr>
      </w:pPr>
      <w:r w:rsidRPr="0006094F">
        <w:rPr>
          <w:rFonts w:ascii="Times New Roman" w:hAnsi="Times New Roman"/>
          <w:sz w:val="28"/>
          <w:szCs w:val="28"/>
        </w:rPr>
        <w:t>Защита людей и</w:t>
      </w:r>
      <w:r>
        <w:rPr>
          <w:rFonts w:ascii="Times New Roman" w:hAnsi="Times New Roman"/>
          <w:sz w:val="28"/>
          <w:szCs w:val="28"/>
        </w:rPr>
        <w:t> </w:t>
      </w:r>
      <w:r w:rsidRPr="0006094F">
        <w:rPr>
          <w:rFonts w:ascii="Times New Roman" w:hAnsi="Times New Roman"/>
          <w:sz w:val="28"/>
          <w:szCs w:val="28"/>
        </w:rPr>
        <w:t>имущества от</w:t>
      </w:r>
      <w:r>
        <w:rPr>
          <w:rFonts w:ascii="Times New Roman" w:hAnsi="Times New Roman"/>
          <w:sz w:val="28"/>
          <w:szCs w:val="28"/>
        </w:rPr>
        <w:t> </w:t>
      </w:r>
      <w:r w:rsidRPr="0006094F">
        <w:rPr>
          <w:rFonts w:ascii="Times New Roman" w:hAnsi="Times New Roman"/>
          <w:sz w:val="28"/>
          <w:szCs w:val="28"/>
        </w:rPr>
        <w:t>воздействия опасных факторов пожара на</w:t>
      </w:r>
      <w:r>
        <w:rPr>
          <w:rFonts w:ascii="Times New Roman" w:hAnsi="Times New Roman"/>
          <w:sz w:val="28"/>
          <w:szCs w:val="28"/>
        </w:rPr>
        <w:t> </w:t>
      </w:r>
      <w:r w:rsidRPr="0006094F">
        <w:rPr>
          <w:rFonts w:ascii="Times New Roman" w:hAnsi="Times New Roman"/>
          <w:sz w:val="28"/>
          <w:szCs w:val="28"/>
        </w:rPr>
        <w:t xml:space="preserve">территории </w:t>
      </w:r>
      <w:r>
        <w:rPr>
          <w:rFonts w:ascii="Times New Roman" w:hAnsi="Times New Roman"/>
          <w:sz w:val="28"/>
          <w:szCs w:val="24"/>
          <w:lang w:eastAsia="ru-RU"/>
        </w:rPr>
        <w:t>города Куйбышева</w:t>
      </w:r>
      <w:r w:rsidRPr="0006094F">
        <w:rPr>
          <w:rFonts w:ascii="Times New Roman" w:hAnsi="Times New Roman"/>
          <w:sz w:val="28"/>
          <w:szCs w:val="28"/>
        </w:rPr>
        <w:t xml:space="preserve"> может обеспечиваться следующими способами:</w:t>
      </w:r>
    </w:p>
    <w:p w:rsidR="002D1E45" w:rsidRPr="0006094F" w:rsidRDefault="002D1E45" w:rsidP="00BB3B2D">
      <w:pPr>
        <w:numPr>
          <w:ilvl w:val="0"/>
          <w:numId w:val="24"/>
        </w:numPr>
        <w:spacing w:after="0" w:line="240" w:lineRule="auto"/>
        <w:jc w:val="both"/>
        <w:rPr>
          <w:rFonts w:ascii="Times New Roman" w:hAnsi="Times New Roman"/>
          <w:sz w:val="28"/>
          <w:szCs w:val="28"/>
        </w:rPr>
      </w:pPr>
      <w:r w:rsidRPr="0006094F">
        <w:rPr>
          <w:rFonts w:ascii="Times New Roman" w:hAnsi="Times New Roman"/>
          <w:sz w:val="28"/>
          <w:szCs w:val="28"/>
        </w:rPr>
        <w:t>устройство эвакуационных путей, удовлетворяющих требованиям безопасной эвакуации людей при пожаре;</w:t>
      </w:r>
    </w:p>
    <w:p w:rsidR="002D1E45" w:rsidRPr="0006094F" w:rsidRDefault="002D1E45" w:rsidP="00BB3B2D">
      <w:pPr>
        <w:numPr>
          <w:ilvl w:val="0"/>
          <w:numId w:val="24"/>
        </w:numPr>
        <w:spacing w:after="0" w:line="240" w:lineRule="auto"/>
        <w:jc w:val="both"/>
        <w:rPr>
          <w:rFonts w:ascii="Times New Roman" w:hAnsi="Times New Roman"/>
          <w:sz w:val="28"/>
          <w:szCs w:val="28"/>
        </w:rPr>
      </w:pPr>
      <w:r w:rsidRPr="0006094F">
        <w:rPr>
          <w:rFonts w:ascii="Times New Roman" w:hAnsi="Times New Roman"/>
          <w:sz w:val="28"/>
          <w:szCs w:val="28"/>
        </w:rPr>
        <w:t>устройство систем обнаружения пожара (пожарной сигнализации), оповещения и</w:t>
      </w:r>
      <w:r>
        <w:rPr>
          <w:rFonts w:ascii="Times New Roman" w:hAnsi="Times New Roman"/>
          <w:sz w:val="28"/>
          <w:szCs w:val="28"/>
        </w:rPr>
        <w:t> </w:t>
      </w:r>
      <w:r w:rsidRPr="0006094F">
        <w:rPr>
          <w:rFonts w:ascii="Times New Roman" w:hAnsi="Times New Roman"/>
          <w:sz w:val="28"/>
          <w:szCs w:val="28"/>
        </w:rPr>
        <w:t>управления эвакуацией людей при пожаре;</w:t>
      </w:r>
    </w:p>
    <w:p w:rsidR="002D1E45" w:rsidRPr="0006094F" w:rsidRDefault="002D1E45" w:rsidP="00BB3B2D">
      <w:pPr>
        <w:numPr>
          <w:ilvl w:val="0"/>
          <w:numId w:val="24"/>
        </w:numPr>
        <w:spacing w:after="0" w:line="240" w:lineRule="auto"/>
        <w:jc w:val="both"/>
        <w:rPr>
          <w:rFonts w:ascii="Times New Roman" w:hAnsi="Times New Roman"/>
          <w:sz w:val="28"/>
          <w:szCs w:val="28"/>
        </w:rPr>
      </w:pPr>
      <w:r w:rsidRPr="0006094F">
        <w:rPr>
          <w:rFonts w:ascii="Times New Roman" w:hAnsi="Times New Roman"/>
          <w:sz w:val="28"/>
          <w:szCs w:val="28"/>
        </w:rPr>
        <w:t>применение огнезащитных составов (в том числе огнезащитных красок) и</w:t>
      </w:r>
      <w:r>
        <w:rPr>
          <w:rFonts w:ascii="Times New Roman" w:hAnsi="Times New Roman"/>
          <w:sz w:val="28"/>
          <w:szCs w:val="28"/>
        </w:rPr>
        <w:t> </w:t>
      </w:r>
      <w:r w:rsidRPr="0006094F">
        <w:rPr>
          <w:rFonts w:ascii="Times New Roman" w:hAnsi="Times New Roman"/>
          <w:sz w:val="28"/>
          <w:szCs w:val="28"/>
        </w:rPr>
        <w:t>строительных материалов для повышения пределов огнестойкости строительных конструкций;</w:t>
      </w:r>
    </w:p>
    <w:p w:rsidR="002D1E45" w:rsidRPr="0006094F" w:rsidRDefault="002D1E45" w:rsidP="00BB3B2D">
      <w:pPr>
        <w:numPr>
          <w:ilvl w:val="0"/>
          <w:numId w:val="24"/>
        </w:numPr>
        <w:spacing w:after="0" w:line="240" w:lineRule="auto"/>
        <w:jc w:val="both"/>
        <w:rPr>
          <w:rFonts w:ascii="Times New Roman" w:hAnsi="Times New Roman"/>
          <w:sz w:val="28"/>
          <w:szCs w:val="28"/>
        </w:rPr>
      </w:pPr>
      <w:r w:rsidRPr="0006094F">
        <w:rPr>
          <w:rFonts w:ascii="Times New Roman" w:hAnsi="Times New Roman"/>
          <w:sz w:val="28"/>
          <w:szCs w:val="28"/>
        </w:rPr>
        <w:t>применение первичных средств пожаротушения;</w:t>
      </w:r>
    </w:p>
    <w:p w:rsidR="002D1E45" w:rsidRPr="0006094F" w:rsidRDefault="002D1E45" w:rsidP="00BB3B2D">
      <w:pPr>
        <w:numPr>
          <w:ilvl w:val="0"/>
          <w:numId w:val="24"/>
        </w:numPr>
        <w:spacing w:after="0" w:line="240" w:lineRule="auto"/>
        <w:jc w:val="both"/>
        <w:rPr>
          <w:rFonts w:ascii="Times New Roman" w:hAnsi="Times New Roman"/>
          <w:sz w:val="28"/>
          <w:szCs w:val="28"/>
        </w:rPr>
      </w:pPr>
      <w:r w:rsidRPr="0006094F">
        <w:rPr>
          <w:rFonts w:ascii="Times New Roman" w:hAnsi="Times New Roman"/>
          <w:sz w:val="28"/>
          <w:szCs w:val="28"/>
        </w:rPr>
        <w:t>организация деятельности подразделений пожарной охраны.</w:t>
      </w:r>
    </w:p>
    <w:p w:rsidR="002D1E45" w:rsidRPr="0006094F" w:rsidRDefault="002D1E45" w:rsidP="00BB3B2D">
      <w:pPr>
        <w:spacing w:after="0" w:line="240" w:lineRule="auto"/>
        <w:ind w:firstLine="709"/>
        <w:jc w:val="both"/>
        <w:rPr>
          <w:rFonts w:ascii="Times New Roman" w:hAnsi="Times New Roman"/>
          <w:sz w:val="28"/>
          <w:szCs w:val="28"/>
        </w:rPr>
      </w:pPr>
      <w:r w:rsidRPr="0006094F">
        <w:rPr>
          <w:rFonts w:ascii="Times New Roman" w:hAnsi="Times New Roman"/>
          <w:sz w:val="28"/>
          <w:szCs w:val="28"/>
        </w:rPr>
        <w:t>Для обеспечения безопасной эвакуации людей в</w:t>
      </w:r>
      <w:r>
        <w:rPr>
          <w:rFonts w:ascii="Times New Roman" w:hAnsi="Times New Roman"/>
          <w:sz w:val="28"/>
          <w:szCs w:val="28"/>
        </w:rPr>
        <w:t> </w:t>
      </w:r>
      <w:r w:rsidRPr="0006094F">
        <w:rPr>
          <w:rFonts w:ascii="Times New Roman" w:hAnsi="Times New Roman"/>
          <w:sz w:val="28"/>
          <w:szCs w:val="28"/>
        </w:rPr>
        <w:t xml:space="preserve">каждом населённом пункте </w:t>
      </w:r>
      <w:r>
        <w:rPr>
          <w:rFonts w:ascii="Times New Roman" w:hAnsi="Times New Roman"/>
          <w:sz w:val="28"/>
          <w:szCs w:val="28"/>
        </w:rPr>
        <w:t>города</w:t>
      </w:r>
      <w:r w:rsidRPr="0006094F">
        <w:rPr>
          <w:rFonts w:ascii="Times New Roman" w:hAnsi="Times New Roman"/>
          <w:sz w:val="28"/>
          <w:szCs w:val="28"/>
        </w:rPr>
        <w:t xml:space="preserve"> должно быть:</w:t>
      </w:r>
    </w:p>
    <w:p w:rsidR="002D1E45" w:rsidRPr="0006094F" w:rsidRDefault="002D1E45" w:rsidP="00BB3B2D">
      <w:pPr>
        <w:numPr>
          <w:ilvl w:val="0"/>
          <w:numId w:val="24"/>
        </w:numPr>
        <w:spacing w:after="0" w:line="240" w:lineRule="auto"/>
        <w:jc w:val="both"/>
        <w:rPr>
          <w:rFonts w:ascii="Times New Roman" w:hAnsi="Times New Roman"/>
          <w:sz w:val="28"/>
          <w:szCs w:val="28"/>
        </w:rPr>
      </w:pPr>
      <w:r w:rsidRPr="0006094F">
        <w:rPr>
          <w:rFonts w:ascii="Times New Roman" w:hAnsi="Times New Roman"/>
          <w:sz w:val="28"/>
          <w:szCs w:val="28"/>
        </w:rPr>
        <w:t>установлено необходимое количество, размеры и</w:t>
      </w:r>
      <w:r>
        <w:rPr>
          <w:rFonts w:ascii="Times New Roman" w:hAnsi="Times New Roman"/>
          <w:sz w:val="28"/>
          <w:szCs w:val="28"/>
        </w:rPr>
        <w:t> </w:t>
      </w:r>
      <w:r w:rsidRPr="0006094F">
        <w:rPr>
          <w:rFonts w:ascii="Times New Roman" w:hAnsi="Times New Roman"/>
          <w:sz w:val="28"/>
          <w:szCs w:val="28"/>
        </w:rPr>
        <w:t>соответствующее конструктивное исполнение эвакуационных путей и</w:t>
      </w:r>
      <w:r>
        <w:rPr>
          <w:rFonts w:ascii="Times New Roman" w:hAnsi="Times New Roman"/>
          <w:sz w:val="28"/>
          <w:szCs w:val="28"/>
        </w:rPr>
        <w:t> </w:t>
      </w:r>
      <w:r w:rsidRPr="0006094F">
        <w:rPr>
          <w:rFonts w:ascii="Times New Roman" w:hAnsi="Times New Roman"/>
          <w:sz w:val="28"/>
          <w:szCs w:val="28"/>
        </w:rPr>
        <w:t>эвакуационных выходов;</w:t>
      </w:r>
    </w:p>
    <w:p w:rsidR="002D1E45" w:rsidRPr="0006094F" w:rsidRDefault="002D1E45" w:rsidP="00BB3B2D">
      <w:pPr>
        <w:numPr>
          <w:ilvl w:val="0"/>
          <w:numId w:val="24"/>
        </w:numPr>
        <w:spacing w:after="0" w:line="240" w:lineRule="auto"/>
        <w:jc w:val="both"/>
        <w:rPr>
          <w:rFonts w:ascii="Times New Roman" w:hAnsi="Times New Roman"/>
          <w:sz w:val="28"/>
          <w:szCs w:val="28"/>
        </w:rPr>
      </w:pPr>
      <w:r w:rsidRPr="0006094F">
        <w:rPr>
          <w:rFonts w:ascii="Times New Roman" w:hAnsi="Times New Roman"/>
          <w:sz w:val="28"/>
          <w:szCs w:val="28"/>
        </w:rPr>
        <w:t>обеспечено беспрепятственное движение людей по</w:t>
      </w:r>
      <w:r>
        <w:rPr>
          <w:rFonts w:ascii="Times New Roman" w:hAnsi="Times New Roman"/>
          <w:sz w:val="28"/>
          <w:szCs w:val="28"/>
        </w:rPr>
        <w:t> </w:t>
      </w:r>
      <w:r w:rsidRPr="0006094F">
        <w:rPr>
          <w:rFonts w:ascii="Times New Roman" w:hAnsi="Times New Roman"/>
          <w:sz w:val="28"/>
          <w:szCs w:val="28"/>
        </w:rPr>
        <w:t>эвакуационным путям и</w:t>
      </w:r>
      <w:r>
        <w:rPr>
          <w:rFonts w:ascii="Times New Roman" w:hAnsi="Times New Roman"/>
          <w:sz w:val="28"/>
          <w:szCs w:val="28"/>
        </w:rPr>
        <w:t> </w:t>
      </w:r>
      <w:r w:rsidRPr="0006094F">
        <w:rPr>
          <w:rFonts w:ascii="Times New Roman" w:hAnsi="Times New Roman"/>
          <w:sz w:val="28"/>
          <w:szCs w:val="28"/>
        </w:rPr>
        <w:t>через эвакуационные выходы;</w:t>
      </w:r>
    </w:p>
    <w:p w:rsidR="002D1E45" w:rsidRPr="0006094F" w:rsidRDefault="002D1E45" w:rsidP="00BB3B2D">
      <w:pPr>
        <w:numPr>
          <w:ilvl w:val="0"/>
          <w:numId w:val="24"/>
        </w:numPr>
        <w:spacing w:after="0" w:line="240" w:lineRule="auto"/>
        <w:jc w:val="both"/>
        <w:rPr>
          <w:rFonts w:ascii="Times New Roman" w:hAnsi="Times New Roman"/>
          <w:sz w:val="28"/>
          <w:szCs w:val="28"/>
        </w:rPr>
      </w:pPr>
      <w:r w:rsidRPr="0006094F">
        <w:rPr>
          <w:rFonts w:ascii="Times New Roman" w:hAnsi="Times New Roman"/>
          <w:sz w:val="28"/>
          <w:szCs w:val="28"/>
        </w:rPr>
        <w:t>организовано оповещение и</w:t>
      </w:r>
      <w:r>
        <w:rPr>
          <w:rFonts w:ascii="Times New Roman" w:hAnsi="Times New Roman"/>
          <w:sz w:val="28"/>
          <w:szCs w:val="28"/>
        </w:rPr>
        <w:t> </w:t>
      </w:r>
      <w:r w:rsidRPr="0006094F">
        <w:rPr>
          <w:rFonts w:ascii="Times New Roman" w:hAnsi="Times New Roman"/>
          <w:sz w:val="28"/>
          <w:szCs w:val="28"/>
        </w:rPr>
        <w:t>управление движением людей по</w:t>
      </w:r>
      <w:r>
        <w:rPr>
          <w:rFonts w:ascii="Times New Roman" w:hAnsi="Times New Roman"/>
          <w:sz w:val="28"/>
          <w:szCs w:val="28"/>
        </w:rPr>
        <w:t> </w:t>
      </w:r>
      <w:r w:rsidRPr="0006094F">
        <w:rPr>
          <w:rFonts w:ascii="Times New Roman" w:hAnsi="Times New Roman"/>
          <w:sz w:val="28"/>
          <w:szCs w:val="28"/>
        </w:rPr>
        <w:t>эвакуационным путям (в том числе с</w:t>
      </w:r>
      <w:r>
        <w:rPr>
          <w:rFonts w:ascii="Times New Roman" w:hAnsi="Times New Roman"/>
          <w:sz w:val="28"/>
          <w:szCs w:val="28"/>
        </w:rPr>
        <w:t> </w:t>
      </w:r>
      <w:r w:rsidRPr="0006094F">
        <w:rPr>
          <w:rFonts w:ascii="Times New Roman" w:hAnsi="Times New Roman"/>
          <w:sz w:val="28"/>
          <w:szCs w:val="28"/>
        </w:rPr>
        <w:t>использованием световых указателей, звукового и</w:t>
      </w:r>
      <w:r>
        <w:rPr>
          <w:rFonts w:ascii="Times New Roman" w:hAnsi="Times New Roman"/>
          <w:sz w:val="28"/>
          <w:szCs w:val="28"/>
        </w:rPr>
        <w:t> </w:t>
      </w:r>
      <w:r w:rsidRPr="0006094F">
        <w:rPr>
          <w:rFonts w:ascii="Times New Roman" w:hAnsi="Times New Roman"/>
          <w:sz w:val="28"/>
          <w:szCs w:val="28"/>
        </w:rPr>
        <w:t>речевого оповещения).</w:t>
      </w:r>
    </w:p>
    <w:p w:rsidR="002D1E45" w:rsidRPr="0006094F" w:rsidRDefault="002D1E45" w:rsidP="00BB3B2D">
      <w:pPr>
        <w:spacing w:after="0" w:line="240" w:lineRule="auto"/>
        <w:ind w:firstLine="709"/>
        <w:jc w:val="both"/>
        <w:rPr>
          <w:rFonts w:ascii="Times New Roman" w:hAnsi="Times New Roman"/>
          <w:sz w:val="28"/>
          <w:szCs w:val="28"/>
        </w:rPr>
      </w:pPr>
      <w:r w:rsidRPr="0006094F">
        <w:rPr>
          <w:rFonts w:ascii="Times New Roman" w:hAnsi="Times New Roman"/>
          <w:sz w:val="28"/>
          <w:szCs w:val="28"/>
        </w:rPr>
        <w:t>Системы обнаружения пожара (установки и</w:t>
      </w:r>
      <w:r>
        <w:rPr>
          <w:rFonts w:ascii="Times New Roman" w:hAnsi="Times New Roman"/>
          <w:sz w:val="28"/>
          <w:szCs w:val="28"/>
        </w:rPr>
        <w:t> </w:t>
      </w:r>
      <w:r w:rsidRPr="0006094F">
        <w:rPr>
          <w:rFonts w:ascii="Times New Roman" w:hAnsi="Times New Roman"/>
          <w:sz w:val="28"/>
          <w:szCs w:val="28"/>
        </w:rPr>
        <w:t>системы пожарной сигнализации), оповещения и</w:t>
      </w:r>
      <w:r>
        <w:rPr>
          <w:rFonts w:ascii="Times New Roman" w:hAnsi="Times New Roman"/>
          <w:sz w:val="28"/>
          <w:szCs w:val="28"/>
        </w:rPr>
        <w:t> </w:t>
      </w:r>
      <w:r w:rsidRPr="0006094F">
        <w:rPr>
          <w:rFonts w:ascii="Times New Roman" w:hAnsi="Times New Roman"/>
          <w:sz w:val="28"/>
          <w:szCs w:val="28"/>
        </w:rPr>
        <w:t>управления эвакуацией людей при пожаре должны обеспечивать автоматическое обнаружение пожара за</w:t>
      </w:r>
      <w:r>
        <w:rPr>
          <w:rFonts w:ascii="Times New Roman" w:hAnsi="Times New Roman"/>
          <w:sz w:val="28"/>
          <w:szCs w:val="28"/>
        </w:rPr>
        <w:t> </w:t>
      </w:r>
      <w:r w:rsidRPr="0006094F">
        <w:rPr>
          <w:rFonts w:ascii="Times New Roman" w:hAnsi="Times New Roman"/>
          <w:sz w:val="28"/>
          <w:szCs w:val="28"/>
        </w:rPr>
        <w:t>время, необходимое для включения систем оповещения о</w:t>
      </w:r>
      <w:r>
        <w:rPr>
          <w:rFonts w:ascii="Times New Roman" w:hAnsi="Times New Roman"/>
          <w:sz w:val="28"/>
          <w:szCs w:val="28"/>
        </w:rPr>
        <w:t> </w:t>
      </w:r>
      <w:r w:rsidRPr="0006094F">
        <w:rPr>
          <w:rFonts w:ascii="Times New Roman" w:hAnsi="Times New Roman"/>
          <w:sz w:val="28"/>
          <w:szCs w:val="28"/>
        </w:rPr>
        <w:t>пожаре в</w:t>
      </w:r>
      <w:r>
        <w:rPr>
          <w:rFonts w:ascii="Times New Roman" w:hAnsi="Times New Roman"/>
          <w:sz w:val="28"/>
          <w:szCs w:val="28"/>
        </w:rPr>
        <w:t> </w:t>
      </w:r>
      <w:r w:rsidRPr="0006094F">
        <w:rPr>
          <w:rFonts w:ascii="Times New Roman" w:hAnsi="Times New Roman"/>
          <w:sz w:val="28"/>
          <w:szCs w:val="28"/>
        </w:rPr>
        <w:t>целях организации безопасной эвакуации людей.</w:t>
      </w:r>
    </w:p>
    <w:p w:rsidR="002D1E45" w:rsidRPr="0006094F" w:rsidRDefault="002D1E45" w:rsidP="00BB3B2D">
      <w:pPr>
        <w:spacing w:after="0" w:line="240" w:lineRule="auto"/>
        <w:ind w:firstLine="709"/>
        <w:jc w:val="both"/>
        <w:rPr>
          <w:rFonts w:ascii="Times New Roman" w:hAnsi="Times New Roman"/>
          <w:sz w:val="28"/>
          <w:szCs w:val="28"/>
        </w:rPr>
      </w:pPr>
      <w:r w:rsidRPr="0006094F">
        <w:rPr>
          <w:rFonts w:ascii="Times New Roman" w:hAnsi="Times New Roman"/>
          <w:sz w:val="28"/>
          <w:szCs w:val="28"/>
        </w:rPr>
        <w:t>Системы пожарной сигнализации, оповещения и</w:t>
      </w:r>
      <w:r>
        <w:rPr>
          <w:rFonts w:ascii="Times New Roman" w:hAnsi="Times New Roman"/>
          <w:sz w:val="28"/>
          <w:szCs w:val="28"/>
        </w:rPr>
        <w:t> </w:t>
      </w:r>
      <w:r w:rsidRPr="0006094F">
        <w:rPr>
          <w:rFonts w:ascii="Times New Roman" w:hAnsi="Times New Roman"/>
          <w:sz w:val="28"/>
          <w:szCs w:val="28"/>
        </w:rPr>
        <w:t>управления эвакуацией людей при пожаре должны быть установлены на</w:t>
      </w:r>
      <w:r>
        <w:rPr>
          <w:rFonts w:ascii="Times New Roman" w:hAnsi="Times New Roman"/>
          <w:sz w:val="28"/>
          <w:szCs w:val="28"/>
        </w:rPr>
        <w:t> </w:t>
      </w:r>
      <w:r w:rsidRPr="0006094F">
        <w:rPr>
          <w:rFonts w:ascii="Times New Roman" w:hAnsi="Times New Roman"/>
          <w:sz w:val="28"/>
          <w:szCs w:val="28"/>
        </w:rPr>
        <w:t>объектах, где воздействие опасных факторов пожара может привести к</w:t>
      </w:r>
      <w:r>
        <w:rPr>
          <w:rFonts w:ascii="Times New Roman" w:hAnsi="Times New Roman"/>
          <w:sz w:val="28"/>
          <w:szCs w:val="28"/>
        </w:rPr>
        <w:t> </w:t>
      </w:r>
      <w:r w:rsidRPr="0006094F">
        <w:rPr>
          <w:rFonts w:ascii="Times New Roman" w:hAnsi="Times New Roman"/>
          <w:sz w:val="28"/>
          <w:szCs w:val="28"/>
        </w:rPr>
        <w:t>травматизму и</w:t>
      </w:r>
      <w:r>
        <w:rPr>
          <w:rFonts w:ascii="Times New Roman" w:hAnsi="Times New Roman"/>
          <w:sz w:val="28"/>
          <w:szCs w:val="28"/>
        </w:rPr>
        <w:t> </w:t>
      </w:r>
      <w:r w:rsidRPr="0006094F">
        <w:rPr>
          <w:rFonts w:ascii="Times New Roman" w:hAnsi="Times New Roman"/>
          <w:sz w:val="28"/>
          <w:szCs w:val="28"/>
        </w:rPr>
        <w:t>гибели людей. Такими объектами на</w:t>
      </w:r>
      <w:r>
        <w:rPr>
          <w:rFonts w:ascii="Times New Roman" w:hAnsi="Times New Roman"/>
          <w:sz w:val="28"/>
          <w:szCs w:val="28"/>
        </w:rPr>
        <w:t> </w:t>
      </w:r>
      <w:r w:rsidRPr="0006094F">
        <w:rPr>
          <w:rFonts w:ascii="Times New Roman" w:hAnsi="Times New Roman"/>
          <w:sz w:val="28"/>
          <w:szCs w:val="28"/>
        </w:rPr>
        <w:t xml:space="preserve">территории </w:t>
      </w:r>
      <w:r>
        <w:rPr>
          <w:rFonts w:ascii="Times New Roman" w:hAnsi="Times New Roman"/>
          <w:sz w:val="28"/>
          <w:szCs w:val="24"/>
          <w:lang w:eastAsia="ru-RU"/>
        </w:rPr>
        <w:t>города Куйбышева</w:t>
      </w:r>
      <w:r w:rsidRPr="0006094F">
        <w:rPr>
          <w:rFonts w:ascii="Times New Roman" w:hAnsi="Times New Roman"/>
          <w:sz w:val="28"/>
          <w:szCs w:val="28"/>
        </w:rPr>
        <w:t xml:space="preserve"> являются: образовательные учреждения, медицинские учреждения, культурно-спортивные учреждения, культовые и</w:t>
      </w:r>
      <w:r>
        <w:rPr>
          <w:rFonts w:ascii="Times New Roman" w:hAnsi="Times New Roman"/>
          <w:sz w:val="28"/>
          <w:szCs w:val="28"/>
        </w:rPr>
        <w:t> </w:t>
      </w:r>
      <w:r w:rsidRPr="0006094F">
        <w:rPr>
          <w:rFonts w:ascii="Times New Roman" w:hAnsi="Times New Roman"/>
          <w:sz w:val="28"/>
          <w:szCs w:val="28"/>
        </w:rPr>
        <w:t>ритуальные учреждения, автостоянки, остановки маршрутного общественного транспорта, а</w:t>
      </w:r>
      <w:r>
        <w:rPr>
          <w:rFonts w:ascii="Times New Roman" w:hAnsi="Times New Roman"/>
          <w:sz w:val="28"/>
          <w:szCs w:val="28"/>
        </w:rPr>
        <w:t> </w:t>
      </w:r>
      <w:r w:rsidRPr="0006094F">
        <w:rPr>
          <w:rFonts w:ascii="Times New Roman" w:hAnsi="Times New Roman"/>
          <w:sz w:val="28"/>
          <w:szCs w:val="28"/>
        </w:rPr>
        <w:t>также все пожароопасные объекты.</w:t>
      </w:r>
    </w:p>
    <w:p w:rsidR="002D1E45" w:rsidRPr="0006094F" w:rsidRDefault="002D1E45" w:rsidP="00BB3B2D">
      <w:pPr>
        <w:spacing w:after="0" w:line="240" w:lineRule="auto"/>
        <w:ind w:firstLine="709"/>
        <w:jc w:val="both"/>
        <w:rPr>
          <w:rFonts w:ascii="Times New Roman" w:hAnsi="Times New Roman"/>
          <w:sz w:val="28"/>
          <w:szCs w:val="28"/>
        </w:rPr>
      </w:pPr>
      <w:r w:rsidRPr="0006094F">
        <w:rPr>
          <w:rFonts w:ascii="Times New Roman" w:hAnsi="Times New Roman"/>
          <w:sz w:val="28"/>
          <w:szCs w:val="28"/>
        </w:rPr>
        <w:t>Здания, сооружения и</w:t>
      </w:r>
      <w:r>
        <w:rPr>
          <w:rFonts w:ascii="Times New Roman" w:hAnsi="Times New Roman"/>
          <w:sz w:val="28"/>
          <w:szCs w:val="28"/>
        </w:rPr>
        <w:t> </w:t>
      </w:r>
      <w:r w:rsidRPr="0006094F">
        <w:rPr>
          <w:rFonts w:ascii="Times New Roman" w:hAnsi="Times New Roman"/>
          <w:sz w:val="28"/>
          <w:szCs w:val="28"/>
        </w:rPr>
        <w:t>строения должны быть обеспечены первичными средствами пожаротушения лицами, уполномоченными владеть, пользоваться или распоряжаться зданиями, сооружениями и</w:t>
      </w:r>
      <w:r>
        <w:rPr>
          <w:rFonts w:ascii="Times New Roman" w:hAnsi="Times New Roman"/>
          <w:sz w:val="28"/>
          <w:szCs w:val="28"/>
        </w:rPr>
        <w:t> </w:t>
      </w:r>
      <w:r w:rsidRPr="0006094F">
        <w:rPr>
          <w:rFonts w:ascii="Times New Roman" w:hAnsi="Times New Roman"/>
          <w:sz w:val="28"/>
          <w:szCs w:val="28"/>
        </w:rPr>
        <w:t>строениями, в</w:t>
      </w:r>
      <w:r>
        <w:rPr>
          <w:rFonts w:ascii="Times New Roman" w:hAnsi="Times New Roman"/>
          <w:sz w:val="28"/>
          <w:szCs w:val="28"/>
        </w:rPr>
        <w:t> </w:t>
      </w:r>
      <w:r w:rsidRPr="0006094F">
        <w:rPr>
          <w:rFonts w:ascii="Times New Roman" w:hAnsi="Times New Roman"/>
          <w:sz w:val="28"/>
          <w:szCs w:val="28"/>
        </w:rPr>
        <w:t>соответствии с «Правилами противопожарного режима в</w:t>
      </w:r>
      <w:r>
        <w:rPr>
          <w:rFonts w:ascii="Times New Roman" w:hAnsi="Times New Roman"/>
          <w:sz w:val="28"/>
          <w:szCs w:val="28"/>
        </w:rPr>
        <w:t> </w:t>
      </w:r>
      <w:r w:rsidRPr="0006094F">
        <w:rPr>
          <w:rFonts w:ascii="Times New Roman" w:hAnsi="Times New Roman"/>
          <w:sz w:val="28"/>
          <w:szCs w:val="28"/>
        </w:rPr>
        <w:t>Российской Федерации» (постановление Правительства Российской Федерации от 25.04.2012 № 390 «О противопожарном режиме»). Номенклатура, количество и</w:t>
      </w:r>
      <w:r>
        <w:rPr>
          <w:rFonts w:ascii="Times New Roman" w:hAnsi="Times New Roman"/>
          <w:sz w:val="28"/>
          <w:szCs w:val="28"/>
        </w:rPr>
        <w:t> </w:t>
      </w:r>
      <w:r w:rsidRPr="0006094F">
        <w:rPr>
          <w:rFonts w:ascii="Times New Roman" w:hAnsi="Times New Roman"/>
          <w:sz w:val="28"/>
          <w:szCs w:val="28"/>
        </w:rPr>
        <w:t>места размещения первичных средств пожаротушения устанавливаются в</w:t>
      </w:r>
      <w:r>
        <w:rPr>
          <w:rFonts w:ascii="Times New Roman" w:hAnsi="Times New Roman"/>
          <w:sz w:val="28"/>
          <w:szCs w:val="28"/>
        </w:rPr>
        <w:t> </w:t>
      </w:r>
      <w:r w:rsidRPr="0006094F">
        <w:rPr>
          <w:rFonts w:ascii="Times New Roman" w:hAnsi="Times New Roman"/>
          <w:sz w:val="28"/>
          <w:szCs w:val="28"/>
        </w:rPr>
        <w:t>зависимости от</w:t>
      </w:r>
      <w:r>
        <w:rPr>
          <w:rFonts w:ascii="Times New Roman" w:hAnsi="Times New Roman"/>
          <w:sz w:val="28"/>
          <w:szCs w:val="28"/>
        </w:rPr>
        <w:t> </w:t>
      </w:r>
      <w:r w:rsidRPr="0006094F">
        <w:rPr>
          <w:rFonts w:ascii="Times New Roman" w:hAnsi="Times New Roman"/>
          <w:sz w:val="28"/>
          <w:szCs w:val="28"/>
        </w:rPr>
        <w:t>вида горючего материала, объёмно-планировочных решений здания, сооружения или строения, параметров окружающей среды и</w:t>
      </w:r>
      <w:r>
        <w:rPr>
          <w:rFonts w:ascii="Times New Roman" w:hAnsi="Times New Roman"/>
          <w:sz w:val="28"/>
          <w:szCs w:val="28"/>
        </w:rPr>
        <w:t> </w:t>
      </w:r>
      <w:r w:rsidRPr="0006094F">
        <w:rPr>
          <w:rFonts w:ascii="Times New Roman" w:hAnsi="Times New Roman"/>
          <w:sz w:val="28"/>
          <w:szCs w:val="28"/>
        </w:rPr>
        <w:t>мест размещения обслуживающего персонала.</w:t>
      </w:r>
    </w:p>
    <w:p w:rsidR="002D1E45" w:rsidRPr="0006094F" w:rsidRDefault="002D1E45" w:rsidP="00BB3B2D">
      <w:pPr>
        <w:spacing w:after="0" w:line="240" w:lineRule="auto"/>
        <w:ind w:firstLine="709"/>
        <w:jc w:val="both"/>
        <w:rPr>
          <w:rFonts w:ascii="Times New Roman" w:hAnsi="Times New Roman"/>
          <w:sz w:val="28"/>
          <w:szCs w:val="28"/>
        </w:rPr>
      </w:pPr>
      <w:r w:rsidRPr="0006094F">
        <w:rPr>
          <w:rFonts w:ascii="Times New Roman" w:hAnsi="Times New Roman"/>
          <w:sz w:val="28"/>
          <w:szCs w:val="28"/>
        </w:rPr>
        <w:t>По классификации здания пожарных депо в</w:t>
      </w:r>
      <w:r>
        <w:rPr>
          <w:rFonts w:ascii="Times New Roman" w:hAnsi="Times New Roman"/>
          <w:sz w:val="28"/>
          <w:szCs w:val="28"/>
        </w:rPr>
        <w:t> </w:t>
      </w:r>
      <w:r w:rsidRPr="0006094F">
        <w:rPr>
          <w:rFonts w:ascii="Times New Roman" w:hAnsi="Times New Roman"/>
          <w:sz w:val="28"/>
          <w:szCs w:val="28"/>
        </w:rPr>
        <w:t>зависимости от</w:t>
      </w:r>
      <w:r>
        <w:rPr>
          <w:rFonts w:ascii="Times New Roman" w:hAnsi="Times New Roman"/>
          <w:sz w:val="28"/>
          <w:szCs w:val="28"/>
        </w:rPr>
        <w:t> </w:t>
      </w:r>
      <w:r w:rsidRPr="0006094F">
        <w:rPr>
          <w:rFonts w:ascii="Times New Roman" w:hAnsi="Times New Roman"/>
          <w:sz w:val="28"/>
          <w:szCs w:val="28"/>
        </w:rPr>
        <w:t>назначения, количества автомобилей, состава помещений и</w:t>
      </w:r>
      <w:r>
        <w:rPr>
          <w:rFonts w:ascii="Times New Roman" w:hAnsi="Times New Roman"/>
          <w:sz w:val="28"/>
          <w:szCs w:val="28"/>
        </w:rPr>
        <w:t> </w:t>
      </w:r>
      <w:r w:rsidRPr="0006094F">
        <w:rPr>
          <w:rFonts w:ascii="Times New Roman" w:hAnsi="Times New Roman"/>
          <w:sz w:val="28"/>
          <w:szCs w:val="28"/>
        </w:rPr>
        <w:t>их</w:t>
      </w:r>
      <w:r>
        <w:rPr>
          <w:rFonts w:ascii="Times New Roman" w:hAnsi="Times New Roman"/>
          <w:sz w:val="28"/>
          <w:szCs w:val="28"/>
        </w:rPr>
        <w:t> </w:t>
      </w:r>
      <w:r w:rsidRPr="0006094F">
        <w:rPr>
          <w:rFonts w:ascii="Times New Roman" w:hAnsi="Times New Roman"/>
          <w:sz w:val="28"/>
          <w:szCs w:val="28"/>
        </w:rPr>
        <w:t>площадей подразделяются на</w:t>
      </w:r>
      <w:r>
        <w:rPr>
          <w:rFonts w:ascii="Times New Roman" w:hAnsi="Times New Roman"/>
          <w:sz w:val="28"/>
          <w:szCs w:val="28"/>
        </w:rPr>
        <w:t> </w:t>
      </w:r>
      <w:r w:rsidRPr="0006094F">
        <w:rPr>
          <w:rFonts w:ascii="Times New Roman" w:hAnsi="Times New Roman"/>
          <w:sz w:val="28"/>
          <w:szCs w:val="28"/>
        </w:rPr>
        <w:t>следующие типы:</w:t>
      </w:r>
    </w:p>
    <w:p w:rsidR="002D1E45" w:rsidRPr="0006094F" w:rsidRDefault="002D1E45" w:rsidP="00D05D06">
      <w:pPr>
        <w:numPr>
          <w:ilvl w:val="0"/>
          <w:numId w:val="43"/>
        </w:numPr>
        <w:spacing w:after="0" w:line="240" w:lineRule="auto"/>
        <w:jc w:val="both"/>
        <w:rPr>
          <w:rFonts w:ascii="Times New Roman" w:hAnsi="Times New Roman"/>
          <w:sz w:val="28"/>
          <w:szCs w:val="28"/>
        </w:rPr>
      </w:pPr>
      <w:r w:rsidRPr="0006094F">
        <w:rPr>
          <w:rFonts w:ascii="Times New Roman" w:hAnsi="Times New Roman"/>
          <w:sz w:val="28"/>
          <w:szCs w:val="28"/>
        </w:rPr>
        <w:t>I - пожарные депо на 6, 8, 10 и 12 автомобилей для охраны поселений;</w:t>
      </w:r>
    </w:p>
    <w:p w:rsidR="002D1E45" w:rsidRPr="0006094F" w:rsidRDefault="002D1E45" w:rsidP="00D05D06">
      <w:pPr>
        <w:numPr>
          <w:ilvl w:val="0"/>
          <w:numId w:val="43"/>
        </w:numPr>
        <w:spacing w:after="0" w:line="240" w:lineRule="auto"/>
        <w:jc w:val="both"/>
        <w:rPr>
          <w:rFonts w:ascii="Times New Roman" w:hAnsi="Times New Roman"/>
          <w:sz w:val="28"/>
          <w:szCs w:val="28"/>
        </w:rPr>
      </w:pPr>
      <w:r w:rsidRPr="0006094F">
        <w:rPr>
          <w:rFonts w:ascii="Times New Roman" w:hAnsi="Times New Roman"/>
          <w:sz w:val="28"/>
          <w:szCs w:val="28"/>
        </w:rPr>
        <w:t>II - пожарные депо на 2, 4 и 6 автомобилей для охраны поселений;</w:t>
      </w:r>
    </w:p>
    <w:p w:rsidR="002D1E45" w:rsidRPr="0006094F" w:rsidRDefault="002D1E45" w:rsidP="00D05D06">
      <w:pPr>
        <w:numPr>
          <w:ilvl w:val="0"/>
          <w:numId w:val="43"/>
        </w:numPr>
        <w:spacing w:after="0" w:line="240" w:lineRule="auto"/>
        <w:jc w:val="both"/>
        <w:rPr>
          <w:rFonts w:ascii="Times New Roman" w:hAnsi="Times New Roman"/>
          <w:sz w:val="28"/>
          <w:szCs w:val="28"/>
        </w:rPr>
      </w:pPr>
      <w:r w:rsidRPr="0006094F">
        <w:rPr>
          <w:rFonts w:ascii="Times New Roman" w:hAnsi="Times New Roman"/>
          <w:sz w:val="28"/>
          <w:szCs w:val="28"/>
        </w:rPr>
        <w:t>III - пожарные депо на 6, 8, 10 и 12 автомобилей для охраны организаций;</w:t>
      </w:r>
    </w:p>
    <w:p w:rsidR="002D1E45" w:rsidRPr="0006094F" w:rsidRDefault="002D1E45" w:rsidP="00D05D06">
      <w:pPr>
        <w:numPr>
          <w:ilvl w:val="0"/>
          <w:numId w:val="43"/>
        </w:numPr>
        <w:spacing w:after="0" w:line="240" w:lineRule="auto"/>
        <w:jc w:val="both"/>
        <w:rPr>
          <w:rFonts w:ascii="Times New Roman" w:hAnsi="Times New Roman"/>
          <w:sz w:val="28"/>
          <w:szCs w:val="28"/>
        </w:rPr>
      </w:pPr>
      <w:r w:rsidRPr="0006094F">
        <w:rPr>
          <w:rFonts w:ascii="Times New Roman" w:hAnsi="Times New Roman"/>
          <w:sz w:val="28"/>
          <w:szCs w:val="28"/>
        </w:rPr>
        <w:t>IV - пожарные депо на 2, 4 и 6 автомобилей для охраны организаций;</w:t>
      </w:r>
    </w:p>
    <w:p w:rsidR="002D1E45" w:rsidRPr="0006094F" w:rsidRDefault="002D1E45" w:rsidP="00D05D06">
      <w:pPr>
        <w:numPr>
          <w:ilvl w:val="0"/>
          <w:numId w:val="43"/>
        </w:numPr>
        <w:spacing w:after="0" w:line="240" w:lineRule="auto"/>
        <w:jc w:val="both"/>
        <w:rPr>
          <w:rFonts w:ascii="Times New Roman" w:hAnsi="Times New Roman"/>
          <w:sz w:val="28"/>
          <w:szCs w:val="28"/>
        </w:rPr>
      </w:pPr>
      <w:r w:rsidRPr="0006094F">
        <w:rPr>
          <w:rFonts w:ascii="Times New Roman" w:hAnsi="Times New Roman"/>
          <w:sz w:val="28"/>
          <w:szCs w:val="28"/>
        </w:rPr>
        <w:t>V - пожарные депо на 1, 2, 3 и 4 автомобиля для охраны поселений.</w:t>
      </w:r>
    </w:p>
    <w:p w:rsidR="002D1E45" w:rsidRPr="0006094F" w:rsidRDefault="002D1E45" w:rsidP="00BB3B2D">
      <w:pPr>
        <w:spacing w:after="0" w:line="240" w:lineRule="auto"/>
        <w:ind w:firstLine="709"/>
        <w:jc w:val="both"/>
        <w:rPr>
          <w:rFonts w:ascii="Times New Roman" w:hAnsi="Times New Roman"/>
          <w:sz w:val="28"/>
          <w:szCs w:val="28"/>
        </w:rPr>
      </w:pPr>
      <w:r w:rsidRPr="0006094F">
        <w:rPr>
          <w:rFonts w:ascii="Times New Roman" w:hAnsi="Times New Roman"/>
          <w:sz w:val="28"/>
          <w:szCs w:val="28"/>
        </w:rPr>
        <w:t>При размещении пожарных депо должны быть учтены требования Федерального закона от 22.07.2008 № 123</w:t>
      </w:r>
      <w:r w:rsidRPr="0006094F">
        <w:rPr>
          <w:rFonts w:ascii="Times New Roman" w:hAnsi="Times New Roman"/>
          <w:sz w:val="28"/>
          <w:szCs w:val="28"/>
        </w:rPr>
        <w:noBreakHyphen/>
        <w:t>ФЗ «Технический регламент о</w:t>
      </w:r>
      <w:r>
        <w:rPr>
          <w:rFonts w:ascii="Times New Roman" w:hAnsi="Times New Roman"/>
          <w:sz w:val="28"/>
          <w:szCs w:val="28"/>
        </w:rPr>
        <w:t> </w:t>
      </w:r>
      <w:r w:rsidRPr="0006094F">
        <w:rPr>
          <w:rFonts w:ascii="Times New Roman" w:hAnsi="Times New Roman"/>
          <w:sz w:val="28"/>
          <w:szCs w:val="28"/>
        </w:rPr>
        <w:t>требованиях пожарной безопасности» в</w:t>
      </w:r>
      <w:r>
        <w:rPr>
          <w:rFonts w:ascii="Times New Roman" w:hAnsi="Times New Roman"/>
          <w:sz w:val="28"/>
          <w:szCs w:val="28"/>
        </w:rPr>
        <w:t> </w:t>
      </w:r>
      <w:r w:rsidRPr="0006094F">
        <w:rPr>
          <w:rFonts w:ascii="Times New Roman" w:hAnsi="Times New Roman"/>
          <w:sz w:val="28"/>
          <w:szCs w:val="28"/>
        </w:rPr>
        <w:t>части расположения его на</w:t>
      </w:r>
      <w:r>
        <w:rPr>
          <w:rFonts w:ascii="Times New Roman" w:hAnsi="Times New Roman"/>
          <w:sz w:val="28"/>
          <w:szCs w:val="28"/>
        </w:rPr>
        <w:t> </w:t>
      </w:r>
      <w:r w:rsidRPr="0006094F">
        <w:rPr>
          <w:rFonts w:ascii="Times New Roman" w:hAnsi="Times New Roman"/>
          <w:sz w:val="28"/>
          <w:szCs w:val="28"/>
        </w:rPr>
        <w:t>земельном участке, имеющем выезды на</w:t>
      </w:r>
      <w:r>
        <w:rPr>
          <w:rFonts w:ascii="Times New Roman" w:hAnsi="Times New Roman"/>
          <w:sz w:val="28"/>
          <w:szCs w:val="28"/>
        </w:rPr>
        <w:t> </w:t>
      </w:r>
      <w:r w:rsidRPr="0006094F">
        <w:rPr>
          <w:rFonts w:ascii="Times New Roman" w:hAnsi="Times New Roman"/>
          <w:sz w:val="28"/>
          <w:szCs w:val="28"/>
        </w:rPr>
        <w:t>магистральные улицы посёлков (статья 77). Проезжая часть улиц и</w:t>
      </w:r>
      <w:r>
        <w:rPr>
          <w:rFonts w:ascii="Times New Roman" w:hAnsi="Times New Roman"/>
          <w:sz w:val="28"/>
          <w:szCs w:val="28"/>
        </w:rPr>
        <w:t> </w:t>
      </w:r>
      <w:r w:rsidRPr="0006094F">
        <w:rPr>
          <w:rFonts w:ascii="Times New Roman" w:hAnsi="Times New Roman"/>
          <w:sz w:val="28"/>
          <w:szCs w:val="28"/>
        </w:rPr>
        <w:t>тротуар напротив выездной площадки пожарного депо должны быть оборудованы светофором, позволяющим остановку движения транспорта и</w:t>
      </w:r>
      <w:r>
        <w:rPr>
          <w:rFonts w:ascii="Times New Roman" w:hAnsi="Times New Roman"/>
          <w:sz w:val="28"/>
          <w:szCs w:val="28"/>
        </w:rPr>
        <w:t> </w:t>
      </w:r>
      <w:r w:rsidRPr="0006094F">
        <w:rPr>
          <w:rFonts w:ascii="Times New Roman" w:hAnsi="Times New Roman"/>
          <w:sz w:val="28"/>
          <w:szCs w:val="28"/>
        </w:rPr>
        <w:t>пешеходов во</w:t>
      </w:r>
      <w:r>
        <w:rPr>
          <w:rFonts w:ascii="Times New Roman" w:hAnsi="Times New Roman"/>
          <w:sz w:val="28"/>
          <w:szCs w:val="28"/>
        </w:rPr>
        <w:t> </w:t>
      </w:r>
      <w:r w:rsidRPr="0006094F">
        <w:rPr>
          <w:rFonts w:ascii="Times New Roman" w:hAnsi="Times New Roman"/>
          <w:sz w:val="28"/>
          <w:szCs w:val="28"/>
        </w:rPr>
        <w:t>время выезда автомобилей из</w:t>
      </w:r>
      <w:r>
        <w:rPr>
          <w:rFonts w:ascii="Times New Roman" w:hAnsi="Times New Roman"/>
          <w:sz w:val="28"/>
          <w:szCs w:val="28"/>
        </w:rPr>
        <w:t> </w:t>
      </w:r>
      <w:r w:rsidRPr="0006094F">
        <w:rPr>
          <w:rFonts w:ascii="Times New Roman" w:hAnsi="Times New Roman"/>
          <w:sz w:val="28"/>
          <w:szCs w:val="28"/>
        </w:rPr>
        <w:t>парка по</w:t>
      </w:r>
      <w:r>
        <w:rPr>
          <w:rFonts w:ascii="Times New Roman" w:hAnsi="Times New Roman"/>
          <w:sz w:val="28"/>
          <w:szCs w:val="28"/>
        </w:rPr>
        <w:t> </w:t>
      </w:r>
      <w:r w:rsidRPr="0006094F">
        <w:rPr>
          <w:rFonts w:ascii="Times New Roman" w:hAnsi="Times New Roman"/>
          <w:sz w:val="28"/>
          <w:szCs w:val="28"/>
        </w:rPr>
        <w:t>сигналу тревоги. Включение и</w:t>
      </w:r>
      <w:r>
        <w:rPr>
          <w:rFonts w:ascii="Times New Roman" w:hAnsi="Times New Roman"/>
          <w:sz w:val="28"/>
          <w:szCs w:val="28"/>
        </w:rPr>
        <w:t> </w:t>
      </w:r>
      <w:r w:rsidRPr="0006094F">
        <w:rPr>
          <w:rFonts w:ascii="Times New Roman" w:hAnsi="Times New Roman"/>
          <w:sz w:val="28"/>
          <w:szCs w:val="28"/>
        </w:rPr>
        <w:t>выключение светофора могу осуществляться дистанционно из</w:t>
      </w:r>
      <w:r>
        <w:rPr>
          <w:rFonts w:ascii="Times New Roman" w:hAnsi="Times New Roman"/>
          <w:sz w:val="28"/>
          <w:szCs w:val="28"/>
        </w:rPr>
        <w:t> </w:t>
      </w:r>
      <w:r w:rsidRPr="0006094F">
        <w:rPr>
          <w:rFonts w:ascii="Times New Roman" w:hAnsi="Times New Roman"/>
          <w:sz w:val="28"/>
          <w:szCs w:val="28"/>
        </w:rPr>
        <w:t>пункта связи пожарной охраны.</w:t>
      </w:r>
    </w:p>
    <w:p w:rsidR="002D1E45" w:rsidRPr="0006094F" w:rsidRDefault="002D1E45" w:rsidP="00BB3B2D">
      <w:pPr>
        <w:spacing w:after="0" w:line="240" w:lineRule="auto"/>
        <w:ind w:firstLine="709"/>
        <w:jc w:val="both"/>
        <w:rPr>
          <w:rFonts w:ascii="Times New Roman" w:hAnsi="Times New Roman"/>
          <w:sz w:val="28"/>
          <w:szCs w:val="28"/>
        </w:rPr>
      </w:pPr>
      <w:r w:rsidRPr="0006094F">
        <w:rPr>
          <w:rFonts w:ascii="Times New Roman" w:hAnsi="Times New Roman"/>
          <w:sz w:val="28"/>
          <w:szCs w:val="28"/>
        </w:rPr>
        <w:t>Согласно Методическим рекомендациям органам местного самоуправления по</w:t>
      </w:r>
      <w:r>
        <w:rPr>
          <w:rFonts w:ascii="Times New Roman" w:hAnsi="Times New Roman"/>
          <w:sz w:val="28"/>
          <w:szCs w:val="28"/>
        </w:rPr>
        <w:t> </w:t>
      </w:r>
      <w:r w:rsidRPr="0006094F">
        <w:rPr>
          <w:rFonts w:ascii="Times New Roman" w:hAnsi="Times New Roman"/>
          <w:sz w:val="28"/>
          <w:szCs w:val="28"/>
        </w:rPr>
        <w:t>реализации Федерального закона от 06.10.2003 № 131-ФЗ «Об общих принципах местного самоуправления в</w:t>
      </w:r>
      <w:r>
        <w:rPr>
          <w:rFonts w:ascii="Times New Roman" w:hAnsi="Times New Roman"/>
          <w:sz w:val="28"/>
          <w:szCs w:val="28"/>
        </w:rPr>
        <w:t> </w:t>
      </w:r>
      <w:r w:rsidRPr="0006094F">
        <w:rPr>
          <w:rFonts w:ascii="Times New Roman" w:hAnsi="Times New Roman"/>
          <w:sz w:val="28"/>
          <w:szCs w:val="28"/>
        </w:rPr>
        <w:t>Российской Федерации» в</w:t>
      </w:r>
      <w:r>
        <w:rPr>
          <w:rFonts w:ascii="Times New Roman" w:hAnsi="Times New Roman"/>
          <w:sz w:val="28"/>
          <w:szCs w:val="28"/>
        </w:rPr>
        <w:t> </w:t>
      </w:r>
      <w:r w:rsidRPr="0006094F">
        <w:rPr>
          <w:rFonts w:ascii="Times New Roman" w:hAnsi="Times New Roman"/>
          <w:sz w:val="28"/>
          <w:szCs w:val="28"/>
        </w:rPr>
        <w:t>области гражданской обороны, защиты населения и</w:t>
      </w:r>
      <w:r>
        <w:rPr>
          <w:rFonts w:ascii="Times New Roman" w:hAnsi="Times New Roman"/>
          <w:sz w:val="28"/>
          <w:szCs w:val="28"/>
        </w:rPr>
        <w:t> </w:t>
      </w:r>
      <w:r w:rsidRPr="0006094F">
        <w:rPr>
          <w:rFonts w:ascii="Times New Roman" w:hAnsi="Times New Roman"/>
          <w:sz w:val="28"/>
          <w:szCs w:val="28"/>
        </w:rPr>
        <w:t>территорий от</w:t>
      </w:r>
      <w:r>
        <w:rPr>
          <w:rFonts w:ascii="Times New Roman" w:hAnsi="Times New Roman"/>
          <w:sz w:val="28"/>
          <w:szCs w:val="28"/>
        </w:rPr>
        <w:t> </w:t>
      </w:r>
      <w:r w:rsidRPr="0006094F">
        <w:rPr>
          <w:rFonts w:ascii="Times New Roman" w:hAnsi="Times New Roman"/>
          <w:sz w:val="28"/>
          <w:szCs w:val="28"/>
        </w:rPr>
        <w:t>чрезвычайных ситуаций, обеспечения пожарной безопасности и</w:t>
      </w:r>
      <w:r>
        <w:rPr>
          <w:rFonts w:ascii="Times New Roman" w:hAnsi="Times New Roman"/>
          <w:sz w:val="28"/>
          <w:szCs w:val="28"/>
        </w:rPr>
        <w:t> </w:t>
      </w:r>
      <w:r w:rsidRPr="0006094F">
        <w:rPr>
          <w:rFonts w:ascii="Times New Roman" w:hAnsi="Times New Roman"/>
          <w:sz w:val="28"/>
          <w:szCs w:val="28"/>
        </w:rPr>
        <w:t>безопасности людей на</w:t>
      </w:r>
      <w:r>
        <w:rPr>
          <w:rFonts w:ascii="Times New Roman" w:hAnsi="Times New Roman"/>
          <w:sz w:val="28"/>
          <w:szCs w:val="28"/>
        </w:rPr>
        <w:t> </w:t>
      </w:r>
      <w:r w:rsidRPr="0006094F">
        <w:rPr>
          <w:rFonts w:ascii="Times New Roman" w:hAnsi="Times New Roman"/>
          <w:sz w:val="28"/>
          <w:szCs w:val="28"/>
        </w:rPr>
        <w:t>водных объектах, утверждённых МЧС России: размещение пожарных депо на</w:t>
      </w:r>
      <w:r>
        <w:rPr>
          <w:rFonts w:ascii="Times New Roman" w:hAnsi="Times New Roman"/>
          <w:sz w:val="28"/>
          <w:szCs w:val="28"/>
        </w:rPr>
        <w:t> </w:t>
      </w:r>
      <w:r w:rsidRPr="0006094F">
        <w:rPr>
          <w:rFonts w:ascii="Times New Roman" w:hAnsi="Times New Roman"/>
          <w:sz w:val="28"/>
          <w:szCs w:val="28"/>
        </w:rPr>
        <w:t xml:space="preserve">территориях </w:t>
      </w:r>
      <w:r>
        <w:rPr>
          <w:rFonts w:ascii="Times New Roman" w:hAnsi="Times New Roman"/>
          <w:sz w:val="28"/>
          <w:szCs w:val="28"/>
        </w:rPr>
        <w:t>городских</w:t>
      </w:r>
      <w:r w:rsidRPr="0006094F">
        <w:rPr>
          <w:rFonts w:ascii="Times New Roman" w:hAnsi="Times New Roman"/>
          <w:sz w:val="28"/>
          <w:szCs w:val="28"/>
        </w:rPr>
        <w:t xml:space="preserve"> поселений определяется исходя из</w:t>
      </w:r>
      <w:r>
        <w:rPr>
          <w:rFonts w:ascii="Times New Roman" w:hAnsi="Times New Roman"/>
          <w:sz w:val="28"/>
          <w:szCs w:val="28"/>
        </w:rPr>
        <w:t> </w:t>
      </w:r>
      <w:r w:rsidRPr="0006094F">
        <w:rPr>
          <w:rFonts w:ascii="Times New Roman" w:hAnsi="Times New Roman"/>
          <w:sz w:val="28"/>
          <w:szCs w:val="28"/>
        </w:rPr>
        <w:t>условия, что время прибытия первого подразделения к</w:t>
      </w:r>
      <w:r>
        <w:rPr>
          <w:rFonts w:ascii="Times New Roman" w:hAnsi="Times New Roman"/>
          <w:sz w:val="28"/>
          <w:szCs w:val="28"/>
        </w:rPr>
        <w:t> </w:t>
      </w:r>
      <w:r w:rsidRPr="0006094F">
        <w:rPr>
          <w:rFonts w:ascii="Times New Roman" w:hAnsi="Times New Roman"/>
          <w:sz w:val="28"/>
          <w:szCs w:val="28"/>
        </w:rPr>
        <w:t>месту вызова не</w:t>
      </w:r>
      <w:r>
        <w:rPr>
          <w:rFonts w:ascii="Times New Roman" w:hAnsi="Times New Roman"/>
          <w:sz w:val="28"/>
          <w:szCs w:val="28"/>
        </w:rPr>
        <w:t> </w:t>
      </w:r>
      <w:r w:rsidRPr="0006094F">
        <w:rPr>
          <w:rFonts w:ascii="Times New Roman" w:hAnsi="Times New Roman"/>
          <w:sz w:val="28"/>
          <w:szCs w:val="28"/>
        </w:rPr>
        <w:t xml:space="preserve">должно превышать </w:t>
      </w:r>
      <w:r>
        <w:rPr>
          <w:rFonts w:ascii="Times New Roman" w:hAnsi="Times New Roman"/>
          <w:sz w:val="28"/>
          <w:szCs w:val="28"/>
        </w:rPr>
        <w:t>1</w:t>
      </w:r>
      <w:r w:rsidRPr="0006094F">
        <w:rPr>
          <w:rFonts w:ascii="Times New Roman" w:hAnsi="Times New Roman"/>
          <w:sz w:val="28"/>
          <w:szCs w:val="28"/>
        </w:rPr>
        <w:t xml:space="preserve">0 мин. </w:t>
      </w:r>
    </w:p>
    <w:p w:rsidR="002D1E45" w:rsidRPr="0006094F" w:rsidRDefault="002D1E45" w:rsidP="00BB3B2D">
      <w:pPr>
        <w:spacing w:after="0" w:line="240" w:lineRule="auto"/>
        <w:ind w:firstLine="709"/>
        <w:jc w:val="both"/>
        <w:rPr>
          <w:rFonts w:ascii="Times New Roman" w:hAnsi="Times New Roman"/>
          <w:sz w:val="28"/>
          <w:szCs w:val="28"/>
        </w:rPr>
      </w:pPr>
      <w:r w:rsidRPr="0006094F">
        <w:rPr>
          <w:rFonts w:ascii="Times New Roman" w:hAnsi="Times New Roman"/>
          <w:sz w:val="28"/>
          <w:szCs w:val="28"/>
        </w:rPr>
        <w:t>Дополнительными мерами по</w:t>
      </w:r>
      <w:r>
        <w:rPr>
          <w:rFonts w:ascii="Times New Roman" w:hAnsi="Times New Roman"/>
          <w:sz w:val="28"/>
          <w:szCs w:val="28"/>
        </w:rPr>
        <w:t> </w:t>
      </w:r>
      <w:r w:rsidRPr="0006094F">
        <w:rPr>
          <w:rFonts w:ascii="Times New Roman" w:hAnsi="Times New Roman"/>
          <w:sz w:val="28"/>
          <w:szCs w:val="28"/>
        </w:rPr>
        <w:t>сокращению времени прибытия сил и</w:t>
      </w:r>
      <w:r>
        <w:rPr>
          <w:rFonts w:ascii="Times New Roman" w:hAnsi="Times New Roman"/>
          <w:sz w:val="28"/>
          <w:szCs w:val="28"/>
        </w:rPr>
        <w:t> </w:t>
      </w:r>
      <w:r w:rsidRPr="0006094F">
        <w:rPr>
          <w:rFonts w:ascii="Times New Roman" w:hAnsi="Times New Roman"/>
          <w:sz w:val="28"/>
          <w:szCs w:val="28"/>
        </w:rPr>
        <w:t>средств пожаротушения к</w:t>
      </w:r>
      <w:r>
        <w:rPr>
          <w:rFonts w:ascii="Times New Roman" w:hAnsi="Times New Roman"/>
          <w:sz w:val="28"/>
          <w:szCs w:val="28"/>
        </w:rPr>
        <w:t> </w:t>
      </w:r>
      <w:r w:rsidRPr="0006094F">
        <w:rPr>
          <w:rFonts w:ascii="Times New Roman" w:hAnsi="Times New Roman"/>
          <w:sz w:val="28"/>
          <w:szCs w:val="28"/>
        </w:rPr>
        <w:t>месту ЧС</w:t>
      </w:r>
      <w:r>
        <w:rPr>
          <w:rFonts w:ascii="Times New Roman" w:hAnsi="Times New Roman"/>
          <w:sz w:val="28"/>
          <w:szCs w:val="28"/>
        </w:rPr>
        <w:t> </w:t>
      </w:r>
      <w:r w:rsidRPr="0006094F">
        <w:rPr>
          <w:rFonts w:ascii="Times New Roman" w:hAnsi="Times New Roman"/>
          <w:sz w:val="28"/>
          <w:szCs w:val="28"/>
        </w:rPr>
        <w:t>будут следующие:</w:t>
      </w:r>
    </w:p>
    <w:p w:rsidR="002D1E45" w:rsidRPr="0006094F" w:rsidRDefault="002D1E45" w:rsidP="00BB3B2D">
      <w:pPr>
        <w:numPr>
          <w:ilvl w:val="0"/>
          <w:numId w:val="24"/>
        </w:numPr>
        <w:spacing w:after="0" w:line="240" w:lineRule="auto"/>
        <w:jc w:val="both"/>
        <w:rPr>
          <w:rFonts w:ascii="Times New Roman" w:hAnsi="Times New Roman"/>
          <w:sz w:val="28"/>
          <w:szCs w:val="28"/>
        </w:rPr>
      </w:pPr>
      <w:r w:rsidRPr="0006094F">
        <w:rPr>
          <w:rFonts w:ascii="Times New Roman" w:hAnsi="Times New Roman"/>
          <w:sz w:val="28"/>
          <w:szCs w:val="28"/>
        </w:rPr>
        <w:t>своевременный ремонт дорожного покрытия;</w:t>
      </w:r>
    </w:p>
    <w:p w:rsidR="002D1E45" w:rsidRPr="0006094F" w:rsidRDefault="002D1E45" w:rsidP="00BB3B2D">
      <w:pPr>
        <w:numPr>
          <w:ilvl w:val="0"/>
          <w:numId w:val="24"/>
        </w:numPr>
        <w:spacing w:after="0" w:line="240" w:lineRule="auto"/>
        <w:jc w:val="both"/>
        <w:rPr>
          <w:rFonts w:ascii="Times New Roman" w:hAnsi="Times New Roman"/>
          <w:sz w:val="28"/>
          <w:szCs w:val="28"/>
        </w:rPr>
      </w:pPr>
      <w:r w:rsidRPr="0006094F">
        <w:rPr>
          <w:rFonts w:ascii="Times New Roman" w:hAnsi="Times New Roman"/>
          <w:sz w:val="28"/>
          <w:szCs w:val="28"/>
        </w:rPr>
        <w:t>обновление парка спецмашин;</w:t>
      </w:r>
    </w:p>
    <w:p w:rsidR="002D1E45" w:rsidRPr="0006094F" w:rsidRDefault="002D1E45" w:rsidP="00BB3B2D">
      <w:pPr>
        <w:numPr>
          <w:ilvl w:val="0"/>
          <w:numId w:val="24"/>
        </w:numPr>
        <w:spacing w:after="0" w:line="240" w:lineRule="auto"/>
        <w:jc w:val="both"/>
        <w:rPr>
          <w:rFonts w:ascii="Times New Roman" w:hAnsi="Times New Roman"/>
          <w:sz w:val="28"/>
          <w:szCs w:val="28"/>
        </w:rPr>
      </w:pPr>
      <w:r w:rsidRPr="0006094F">
        <w:rPr>
          <w:rFonts w:ascii="Times New Roman" w:hAnsi="Times New Roman"/>
          <w:sz w:val="28"/>
          <w:szCs w:val="28"/>
        </w:rPr>
        <w:t>оборудование объектов раннего обнаружения и</w:t>
      </w:r>
      <w:r>
        <w:rPr>
          <w:rFonts w:ascii="Times New Roman" w:hAnsi="Times New Roman"/>
          <w:sz w:val="28"/>
          <w:szCs w:val="28"/>
        </w:rPr>
        <w:t> </w:t>
      </w:r>
      <w:r w:rsidRPr="0006094F">
        <w:rPr>
          <w:rFonts w:ascii="Times New Roman" w:hAnsi="Times New Roman"/>
          <w:sz w:val="28"/>
          <w:szCs w:val="28"/>
        </w:rPr>
        <w:t>тушения пожара.</w:t>
      </w:r>
    </w:p>
    <w:p w:rsidR="002D1E45" w:rsidRPr="0006094F" w:rsidRDefault="002D1E45" w:rsidP="00BB3B2D">
      <w:pPr>
        <w:spacing w:after="0" w:line="240" w:lineRule="auto"/>
        <w:ind w:firstLine="709"/>
        <w:jc w:val="both"/>
        <w:rPr>
          <w:rFonts w:ascii="Times New Roman" w:hAnsi="Times New Roman"/>
          <w:sz w:val="28"/>
          <w:szCs w:val="28"/>
        </w:rPr>
      </w:pPr>
      <w:r w:rsidRPr="0006094F">
        <w:rPr>
          <w:rFonts w:ascii="Times New Roman" w:hAnsi="Times New Roman"/>
          <w:sz w:val="28"/>
          <w:szCs w:val="28"/>
        </w:rPr>
        <w:t>Кроме организационно-технических мероприятий, касающихся всех возможных ЧС</w:t>
      </w:r>
      <w:r>
        <w:rPr>
          <w:rFonts w:ascii="Times New Roman" w:hAnsi="Times New Roman"/>
          <w:sz w:val="28"/>
          <w:szCs w:val="28"/>
        </w:rPr>
        <w:t> </w:t>
      </w:r>
      <w:r w:rsidRPr="0006094F">
        <w:rPr>
          <w:rFonts w:ascii="Times New Roman" w:hAnsi="Times New Roman"/>
          <w:sz w:val="28"/>
          <w:szCs w:val="28"/>
        </w:rPr>
        <w:t>на</w:t>
      </w:r>
      <w:r>
        <w:rPr>
          <w:rFonts w:ascii="Times New Roman" w:hAnsi="Times New Roman"/>
          <w:sz w:val="28"/>
          <w:szCs w:val="28"/>
        </w:rPr>
        <w:t> </w:t>
      </w:r>
      <w:r w:rsidRPr="0006094F">
        <w:rPr>
          <w:rFonts w:ascii="Times New Roman" w:hAnsi="Times New Roman"/>
          <w:sz w:val="28"/>
          <w:szCs w:val="28"/>
        </w:rPr>
        <w:t xml:space="preserve">территории </w:t>
      </w:r>
      <w:r>
        <w:rPr>
          <w:rFonts w:ascii="Times New Roman" w:hAnsi="Times New Roman"/>
          <w:sz w:val="28"/>
          <w:szCs w:val="28"/>
        </w:rPr>
        <w:t>города</w:t>
      </w:r>
      <w:r w:rsidRPr="0006094F">
        <w:rPr>
          <w:rFonts w:ascii="Times New Roman" w:hAnsi="Times New Roman"/>
          <w:sz w:val="28"/>
          <w:szCs w:val="28"/>
        </w:rPr>
        <w:t>, ЧС, связанные с</w:t>
      </w:r>
      <w:r>
        <w:rPr>
          <w:rFonts w:ascii="Times New Roman" w:hAnsi="Times New Roman"/>
          <w:sz w:val="28"/>
          <w:szCs w:val="28"/>
        </w:rPr>
        <w:t> </w:t>
      </w:r>
      <w:r w:rsidRPr="0006094F">
        <w:rPr>
          <w:rFonts w:ascii="Times New Roman" w:hAnsi="Times New Roman"/>
          <w:sz w:val="28"/>
          <w:szCs w:val="28"/>
        </w:rPr>
        <w:t>пожарами, имеют некоторую специфику, которую необходимо учитывать при ведении градостроительной деятельности. Наиболее существенными являются следующие:</w:t>
      </w:r>
    </w:p>
    <w:p w:rsidR="002D1E45" w:rsidRPr="0006094F" w:rsidRDefault="002D1E45" w:rsidP="00852938">
      <w:pPr>
        <w:numPr>
          <w:ilvl w:val="0"/>
          <w:numId w:val="84"/>
        </w:numPr>
        <w:spacing w:after="0" w:line="240" w:lineRule="auto"/>
        <w:ind w:left="1134"/>
        <w:jc w:val="both"/>
        <w:rPr>
          <w:rFonts w:ascii="Times New Roman" w:hAnsi="Times New Roman"/>
          <w:sz w:val="28"/>
          <w:szCs w:val="28"/>
        </w:rPr>
      </w:pPr>
      <w:r w:rsidRPr="0006094F">
        <w:rPr>
          <w:rFonts w:ascii="Times New Roman" w:hAnsi="Times New Roman"/>
          <w:sz w:val="28"/>
          <w:szCs w:val="28"/>
        </w:rPr>
        <w:t>Строительство надворных построек на</w:t>
      </w:r>
      <w:r>
        <w:rPr>
          <w:rFonts w:ascii="Times New Roman" w:hAnsi="Times New Roman"/>
          <w:sz w:val="28"/>
          <w:szCs w:val="28"/>
        </w:rPr>
        <w:t> </w:t>
      </w:r>
      <w:r w:rsidRPr="0006094F">
        <w:rPr>
          <w:rFonts w:ascii="Times New Roman" w:hAnsi="Times New Roman"/>
          <w:sz w:val="28"/>
          <w:szCs w:val="28"/>
        </w:rPr>
        <w:t>территории населённых пунктов и</w:t>
      </w:r>
      <w:r>
        <w:rPr>
          <w:rFonts w:ascii="Times New Roman" w:hAnsi="Times New Roman"/>
          <w:sz w:val="28"/>
          <w:szCs w:val="28"/>
        </w:rPr>
        <w:t> </w:t>
      </w:r>
      <w:r w:rsidRPr="0006094F">
        <w:rPr>
          <w:rFonts w:ascii="Times New Roman" w:hAnsi="Times New Roman"/>
          <w:sz w:val="28"/>
          <w:szCs w:val="28"/>
        </w:rPr>
        <w:t>садоводств должно осуществляться только по</w:t>
      </w:r>
      <w:r>
        <w:rPr>
          <w:rFonts w:ascii="Times New Roman" w:hAnsi="Times New Roman"/>
          <w:sz w:val="28"/>
          <w:szCs w:val="28"/>
        </w:rPr>
        <w:t> </w:t>
      </w:r>
      <w:r w:rsidRPr="0006094F">
        <w:rPr>
          <w:rFonts w:ascii="Times New Roman" w:hAnsi="Times New Roman"/>
          <w:sz w:val="28"/>
          <w:szCs w:val="28"/>
        </w:rPr>
        <w:t>согласованию с</w:t>
      </w:r>
      <w:r>
        <w:rPr>
          <w:rFonts w:ascii="Times New Roman" w:hAnsi="Times New Roman"/>
          <w:sz w:val="28"/>
          <w:szCs w:val="28"/>
        </w:rPr>
        <w:t> </w:t>
      </w:r>
      <w:r w:rsidRPr="0006094F">
        <w:rPr>
          <w:rFonts w:ascii="Times New Roman" w:hAnsi="Times New Roman"/>
          <w:sz w:val="28"/>
          <w:szCs w:val="28"/>
        </w:rPr>
        <w:t>надзорными органами, с</w:t>
      </w:r>
      <w:r>
        <w:rPr>
          <w:rFonts w:ascii="Times New Roman" w:hAnsi="Times New Roman"/>
          <w:sz w:val="28"/>
          <w:szCs w:val="28"/>
        </w:rPr>
        <w:t> </w:t>
      </w:r>
      <w:r w:rsidRPr="0006094F">
        <w:rPr>
          <w:rFonts w:ascii="Times New Roman" w:hAnsi="Times New Roman"/>
          <w:sz w:val="28"/>
          <w:szCs w:val="28"/>
        </w:rPr>
        <w:t>соблюдением норм и</w:t>
      </w:r>
      <w:r>
        <w:rPr>
          <w:rFonts w:ascii="Times New Roman" w:hAnsi="Times New Roman"/>
          <w:sz w:val="28"/>
          <w:szCs w:val="28"/>
        </w:rPr>
        <w:t> </w:t>
      </w:r>
      <w:r w:rsidRPr="0006094F">
        <w:rPr>
          <w:rFonts w:ascii="Times New Roman" w:hAnsi="Times New Roman"/>
          <w:sz w:val="28"/>
          <w:szCs w:val="28"/>
        </w:rPr>
        <w:t>правил пожарной безопасности.</w:t>
      </w:r>
    </w:p>
    <w:p w:rsidR="002D1E45" w:rsidRPr="0006094F" w:rsidRDefault="002D1E45" w:rsidP="00852938">
      <w:pPr>
        <w:numPr>
          <w:ilvl w:val="0"/>
          <w:numId w:val="84"/>
        </w:numPr>
        <w:spacing w:after="0" w:line="240" w:lineRule="auto"/>
        <w:ind w:left="1134"/>
        <w:jc w:val="both"/>
        <w:rPr>
          <w:rFonts w:ascii="Times New Roman" w:hAnsi="Times New Roman"/>
          <w:sz w:val="28"/>
          <w:szCs w:val="28"/>
        </w:rPr>
      </w:pPr>
      <w:r w:rsidRPr="0006094F">
        <w:rPr>
          <w:rFonts w:ascii="Times New Roman" w:hAnsi="Times New Roman"/>
          <w:sz w:val="28"/>
          <w:szCs w:val="28"/>
        </w:rPr>
        <w:t>В летний период в</w:t>
      </w:r>
      <w:r>
        <w:rPr>
          <w:rFonts w:ascii="Times New Roman" w:hAnsi="Times New Roman"/>
          <w:sz w:val="28"/>
          <w:szCs w:val="28"/>
        </w:rPr>
        <w:t> </w:t>
      </w:r>
      <w:r w:rsidRPr="0006094F">
        <w:rPr>
          <w:rFonts w:ascii="Times New Roman" w:hAnsi="Times New Roman"/>
          <w:sz w:val="28"/>
          <w:szCs w:val="28"/>
        </w:rPr>
        <w:t>условиях устойчивой сухой, жаркой и</w:t>
      </w:r>
      <w:r>
        <w:rPr>
          <w:rFonts w:ascii="Times New Roman" w:hAnsi="Times New Roman"/>
          <w:sz w:val="28"/>
          <w:szCs w:val="28"/>
        </w:rPr>
        <w:t> </w:t>
      </w:r>
      <w:r w:rsidRPr="0006094F">
        <w:rPr>
          <w:rFonts w:ascii="Times New Roman" w:hAnsi="Times New Roman"/>
          <w:sz w:val="28"/>
          <w:szCs w:val="28"/>
        </w:rPr>
        <w:t>ветреной погоды или при получении штормового предупреждения по</w:t>
      </w:r>
      <w:r>
        <w:rPr>
          <w:rFonts w:ascii="Times New Roman" w:hAnsi="Times New Roman"/>
          <w:sz w:val="28"/>
          <w:szCs w:val="28"/>
        </w:rPr>
        <w:t> </w:t>
      </w:r>
      <w:r w:rsidRPr="0006094F">
        <w:rPr>
          <w:rFonts w:ascii="Times New Roman" w:hAnsi="Times New Roman"/>
          <w:sz w:val="28"/>
          <w:szCs w:val="28"/>
        </w:rPr>
        <w:t>решению органов исполнительной власти, местного самоуправления разведение костров, проведение пожароопасных работ на</w:t>
      </w:r>
      <w:r>
        <w:rPr>
          <w:rFonts w:ascii="Times New Roman" w:hAnsi="Times New Roman"/>
          <w:sz w:val="28"/>
          <w:szCs w:val="28"/>
        </w:rPr>
        <w:t> </w:t>
      </w:r>
      <w:r w:rsidRPr="0006094F">
        <w:rPr>
          <w:rFonts w:ascii="Times New Roman" w:hAnsi="Times New Roman"/>
          <w:sz w:val="28"/>
          <w:szCs w:val="28"/>
        </w:rPr>
        <w:t>определённых участках, топка печей, кухонных очагов и</w:t>
      </w:r>
      <w:r>
        <w:rPr>
          <w:rFonts w:ascii="Times New Roman" w:hAnsi="Times New Roman"/>
          <w:sz w:val="28"/>
          <w:szCs w:val="28"/>
        </w:rPr>
        <w:t> </w:t>
      </w:r>
      <w:r w:rsidRPr="0006094F">
        <w:rPr>
          <w:rFonts w:ascii="Times New Roman" w:hAnsi="Times New Roman"/>
          <w:sz w:val="28"/>
          <w:szCs w:val="28"/>
        </w:rPr>
        <w:t>котельных установок, работающих на</w:t>
      </w:r>
      <w:r>
        <w:rPr>
          <w:rFonts w:ascii="Times New Roman" w:hAnsi="Times New Roman"/>
          <w:sz w:val="28"/>
          <w:szCs w:val="28"/>
        </w:rPr>
        <w:t> </w:t>
      </w:r>
      <w:r w:rsidRPr="0006094F">
        <w:rPr>
          <w:rFonts w:ascii="Times New Roman" w:hAnsi="Times New Roman"/>
          <w:sz w:val="28"/>
          <w:szCs w:val="28"/>
        </w:rPr>
        <w:t>твёрдом топливе, может временно приостанавливаться.</w:t>
      </w:r>
    </w:p>
    <w:p w:rsidR="002D1E45" w:rsidRPr="0006094F" w:rsidRDefault="002D1E45" w:rsidP="00BB3B2D">
      <w:pPr>
        <w:spacing w:after="0" w:line="240" w:lineRule="auto"/>
        <w:ind w:firstLine="709"/>
        <w:jc w:val="both"/>
        <w:rPr>
          <w:rFonts w:ascii="Times New Roman" w:hAnsi="Times New Roman"/>
          <w:sz w:val="28"/>
          <w:szCs w:val="28"/>
        </w:rPr>
      </w:pPr>
      <w:r w:rsidRPr="0006094F">
        <w:rPr>
          <w:rFonts w:ascii="Times New Roman" w:hAnsi="Times New Roman"/>
          <w:sz w:val="28"/>
          <w:szCs w:val="28"/>
        </w:rPr>
        <w:t>В этих случаях необходимо организовать силами местного населения и</w:t>
      </w:r>
      <w:r>
        <w:rPr>
          <w:rFonts w:ascii="Times New Roman" w:hAnsi="Times New Roman"/>
          <w:sz w:val="28"/>
          <w:szCs w:val="28"/>
        </w:rPr>
        <w:t> </w:t>
      </w:r>
      <w:r w:rsidRPr="0006094F">
        <w:rPr>
          <w:rFonts w:ascii="Times New Roman" w:hAnsi="Times New Roman"/>
          <w:sz w:val="28"/>
          <w:szCs w:val="28"/>
        </w:rPr>
        <w:t>членов добровольных пожарных формирований патрулирование населённых пунктов с</w:t>
      </w:r>
      <w:r>
        <w:rPr>
          <w:rFonts w:ascii="Times New Roman" w:hAnsi="Times New Roman"/>
          <w:sz w:val="28"/>
          <w:szCs w:val="28"/>
        </w:rPr>
        <w:t> </w:t>
      </w:r>
      <w:r w:rsidRPr="0006094F">
        <w:rPr>
          <w:rFonts w:ascii="Times New Roman" w:hAnsi="Times New Roman"/>
          <w:sz w:val="28"/>
          <w:szCs w:val="28"/>
        </w:rPr>
        <w:t>первичными средствами пожаротушения (ведро с</w:t>
      </w:r>
      <w:r>
        <w:rPr>
          <w:rFonts w:ascii="Times New Roman" w:hAnsi="Times New Roman"/>
          <w:sz w:val="28"/>
          <w:szCs w:val="28"/>
        </w:rPr>
        <w:t> </w:t>
      </w:r>
      <w:r w:rsidRPr="0006094F">
        <w:rPr>
          <w:rFonts w:ascii="Times New Roman" w:hAnsi="Times New Roman"/>
          <w:sz w:val="28"/>
          <w:szCs w:val="28"/>
        </w:rPr>
        <w:t>водой, огнетушитель, лопата), а</w:t>
      </w:r>
      <w:r>
        <w:rPr>
          <w:rFonts w:ascii="Times New Roman" w:hAnsi="Times New Roman"/>
          <w:sz w:val="28"/>
          <w:szCs w:val="28"/>
        </w:rPr>
        <w:t> </w:t>
      </w:r>
      <w:r w:rsidRPr="0006094F">
        <w:rPr>
          <w:rFonts w:ascii="Times New Roman" w:hAnsi="Times New Roman"/>
          <w:sz w:val="28"/>
          <w:szCs w:val="28"/>
        </w:rPr>
        <w:t>также подготовку для возможного использования имеющейся водовозной и</w:t>
      </w:r>
      <w:r>
        <w:rPr>
          <w:rFonts w:ascii="Times New Roman" w:hAnsi="Times New Roman"/>
          <w:sz w:val="28"/>
          <w:szCs w:val="28"/>
        </w:rPr>
        <w:t> </w:t>
      </w:r>
      <w:r w:rsidRPr="0006094F">
        <w:rPr>
          <w:rFonts w:ascii="Times New Roman" w:hAnsi="Times New Roman"/>
          <w:sz w:val="28"/>
          <w:szCs w:val="28"/>
        </w:rPr>
        <w:t>землеройной техники, провести соответствующую разъяснительную работу о</w:t>
      </w:r>
      <w:r>
        <w:rPr>
          <w:rFonts w:ascii="Times New Roman" w:hAnsi="Times New Roman"/>
          <w:sz w:val="28"/>
          <w:szCs w:val="28"/>
        </w:rPr>
        <w:t> </w:t>
      </w:r>
      <w:r w:rsidRPr="0006094F">
        <w:rPr>
          <w:rFonts w:ascii="Times New Roman" w:hAnsi="Times New Roman"/>
          <w:sz w:val="28"/>
          <w:szCs w:val="28"/>
        </w:rPr>
        <w:t>мерах пожарной безопасности и</w:t>
      </w:r>
      <w:r>
        <w:rPr>
          <w:rFonts w:ascii="Times New Roman" w:hAnsi="Times New Roman"/>
          <w:sz w:val="28"/>
          <w:szCs w:val="28"/>
        </w:rPr>
        <w:t> </w:t>
      </w:r>
      <w:r w:rsidRPr="0006094F">
        <w:rPr>
          <w:rFonts w:ascii="Times New Roman" w:hAnsi="Times New Roman"/>
          <w:sz w:val="28"/>
          <w:szCs w:val="28"/>
        </w:rPr>
        <w:t>действиях в</w:t>
      </w:r>
      <w:r>
        <w:rPr>
          <w:rFonts w:ascii="Times New Roman" w:hAnsi="Times New Roman"/>
          <w:sz w:val="28"/>
          <w:szCs w:val="28"/>
        </w:rPr>
        <w:t> </w:t>
      </w:r>
      <w:r w:rsidRPr="0006094F">
        <w:rPr>
          <w:rFonts w:ascii="Times New Roman" w:hAnsi="Times New Roman"/>
          <w:sz w:val="28"/>
          <w:szCs w:val="28"/>
        </w:rPr>
        <w:t>случае пожара.</w:t>
      </w:r>
    </w:p>
    <w:p w:rsidR="002D1E45" w:rsidRPr="0006094F" w:rsidRDefault="002D1E45" w:rsidP="00852938">
      <w:pPr>
        <w:numPr>
          <w:ilvl w:val="0"/>
          <w:numId w:val="85"/>
        </w:numPr>
        <w:spacing w:after="0" w:line="240" w:lineRule="auto"/>
        <w:ind w:left="1134"/>
        <w:jc w:val="both"/>
        <w:rPr>
          <w:rFonts w:ascii="Times New Roman" w:hAnsi="Times New Roman"/>
          <w:sz w:val="28"/>
          <w:szCs w:val="28"/>
        </w:rPr>
      </w:pPr>
      <w:r w:rsidRPr="0006094F">
        <w:rPr>
          <w:rFonts w:ascii="Times New Roman" w:hAnsi="Times New Roman"/>
          <w:sz w:val="28"/>
          <w:szCs w:val="28"/>
        </w:rPr>
        <w:t>Противопожарные расстояния между жилыми и</w:t>
      </w:r>
      <w:r>
        <w:rPr>
          <w:rFonts w:ascii="Times New Roman" w:hAnsi="Times New Roman"/>
          <w:sz w:val="28"/>
          <w:szCs w:val="28"/>
        </w:rPr>
        <w:t> </w:t>
      </w:r>
      <w:r w:rsidRPr="0006094F">
        <w:rPr>
          <w:rFonts w:ascii="Times New Roman" w:hAnsi="Times New Roman"/>
          <w:sz w:val="28"/>
          <w:szCs w:val="28"/>
        </w:rPr>
        <w:t>общественными зданиями, а</w:t>
      </w:r>
      <w:r>
        <w:rPr>
          <w:rFonts w:ascii="Times New Roman" w:hAnsi="Times New Roman"/>
          <w:sz w:val="28"/>
          <w:szCs w:val="28"/>
        </w:rPr>
        <w:t> </w:t>
      </w:r>
      <w:r w:rsidRPr="0006094F">
        <w:rPr>
          <w:rFonts w:ascii="Times New Roman" w:hAnsi="Times New Roman"/>
          <w:sz w:val="28"/>
          <w:szCs w:val="28"/>
        </w:rPr>
        <w:t>также между жилыми, общественными зданиями и</w:t>
      </w:r>
      <w:r>
        <w:rPr>
          <w:rFonts w:ascii="Times New Roman" w:hAnsi="Times New Roman"/>
          <w:sz w:val="28"/>
          <w:szCs w:val="28"/>
        </w:rPr>
        <w:t> </w:t>
      </w:r>
      <w:r w:rsidRPr="0006094F">
        <w:rPr>
          <w:rFonts w:ascii="Times New Roman" w:hAnsi="Times New Roman"/>
          <w:sz w:val="28"/>
          <w:szCs w:val="28"/>
        </w:rPr>
        <w:t>вспомогательными зданиями, и</w:t>
      </w:r>
      <w:r>
        <w:rPr>
          <w:rFonts w:ascii="Times New Roman" w:hAnsi="Times New Roman"/>
          <w:sz w:val="28"/>
          <w:szCs w:val="28"/>
        </w:rPr>
        <w:t> </w:t>
      </w:r>
      <w:r w:rsidRPr="0006094F">
        <w:rPr>
          <w:rFonts w:ascii="Times New Roman" w:hAnsi="Times New Roman"/>
          <w:sz w:val="28"/>
          <w:szCs w:val="28"/>
        </w:rPr>
        <w:t>сооружениями производственного, складского и</w:t>
      </w:r>
      <w:r>
        <w:rPr>
          <w:rFonts w:ascii="Times New Roman" w:hAnsi="Times New Roman"/>
          <w:sz w:val="28"/>
          <w:szCs w:val="28"/>
        </w:rPr>
        <w:t> </w:t>
      </w:r>
      <w:r w:rsidRPr="0006094F">
        <w:rPr>
          <w:rFonts w:ascii="Times New Roman" w:hAnsi="Times New Roman"/>
          <w:sz w:val="28"/>
          <w:szCs w:val="28"/>
        </w:rPr>
        <w:t>технического назначения следует принимать по</w:t>
      </w:r>
      <w:r>
        <w:rPr>
          <w:rFonts w:ascii="Times New Roman" w:hAnsi="Times New Roman"/>
          <w:sz w:val="28"/>
          <w:szCs w:val="28"/>
        </w:rPr>
        <w:t> </w:t>
      </w:r>
      <w:r w:rsidRPr="0006094F">
        <w:rPr>
          <w:rFonts w:ascii="Times New Roman" w:hAnsi="Times New Roman"/>
          <w:sz w:val="28"/>
          <w:szCs w:val="28"/>
        </w:rPr>
        <w:t>СП 4.13130.2013 в</w:t>
      </w:r>
      <w:r>
        <w:rPr>
          <w:rFonts w:ascii="Times New Roman" w:hAnsi="Times New Roman"/>
          <w:sz w:val="28"/>
          <w:szCs w:val="28"/>
        </w:rPr>
        <w:t> </w:t>
      </w:r>
      <w:r w:rsidRPr="0006094F">
        <w:rPr>
          <w:rFonts w:ascii="Times New Roman" w:hAnsi="Times New Roman"/>
          <w:sz w:val="28"/>
          <w:szCs w:val="28"/>
        </w:rPr>
        <w:t>соответствии с</w:t>
      </w:r>
      <w:r>
        <w:rPr>
          <w:rFonts w:ascii="Times New Roman" w:hAnsi="Times New Roman"/>
          <w:sz w:val="28"/>
          <w:szCs w:val="28"/>
        </w:rPr>
        <w:t> </w:t>
      </w:r>
      <w:r w:rsidRPr="0006094F">
        <w:rPr>
          <w:rFonts w:ascii="Times New Roman" w:hAnsi="Times New Roman"/>
          <w:sz w:val="28"/>
          <w:szCs w:val="28"/>
        </w:rPr>
        <w:t xml:space="preserve">таблицей </w:t>
      </w:r>
      <w:r>
        <w:rPr>
          <w:rFonts w:ascii="Times New Roman" w:hAnsi="Times New Roman"/>
          <w:sz w:val="28"/>
          <w:szCs w:val="28"/>
        </w:rPr>
        <w:fldChar w:fldCharType="begin"/>
      </w:r>
      <w:r>
        <w:rPr>
          <w:rFonts w:ascii="Times New Roman" w:hAnsi="Times New Roman"/>
          <w:sz w:val="28"/>
          <w:szCs w:val="28"/>
        </w:rPr>
        <w:instrText xml:space="preserve"> REF Tbl_RasPozh \h </w:instrText>
      </w:r>
      <w:r w:rsidRPr="00E65328">
        <w:rPr>
          <w:rFonts w:ascii="Times New Roman" w:hAnsi="Times New Roman"/>
          <w:sz w:val="28"/>
          <w:szCs w:val="28"/>
        </w:rPr>
      </w:r>
      <w:r>
        <w:rPr>
          <w:rFonts w:ascii="Times New Roman" w:hAnsi="Times New Roman"/>
          <w:sz w:val="28"/>
          <w:szCs w:val="28"/>
        </w:rPr>
        <w:fldChar w:fldCharType="separate"/>
      </w:r>
      <w:r>
        <w:rPr>
          <w:rFonts w:ascii="Times New Roman" w:hAnsi="Times New Roman"/>
          <w:noProof/>
          <w:sz w:val="28"/>
          <w:szCs w:val="28"/>
        </w:rPr>
        <w:t>44</w:t>
      </w:r>
      <w:r>
        <w:rPr>
          <w:rFonts w:ascii="Times New Roman" w:hAnsi="Times New Roman"/>
          <w:sz w:val="28"/>
          <w:szCs w:val="28"/>
        </w:rPr>
        <w:fldChar w:fldCharType="end"/>
      </w:r>
      <w:r w:rsidRPr="0006094F">
        <w:rPr>
          <w:rFonts w:ascii="Times New Roman" w:hAnsi="Times New Roman"/>
          <w:sz w:val="28"/>
          <w:szCs w:val="28"/>
        </w:rPr>
        <w:t>.</w:t>
      </w:r>
    </w:p>
    <w:p w:rsidR="002D1E45" w:rsidRPr="0006094F" w:rsidRDefault="002D1E45" w:rsidP="00BB3B2D">
      <w:pPr>
        <w:tabs>
          <w:tab w:val="left" w:pos="2808"/>
          <w:tab w:val="right" w:pos="10205"/>
        </w:tabs>
        <w:spacing w:after="0" w:line="240" w:lineRule="auto"/>
        <w:jc w:val="right"/>
        <w:rPr>
          <w:rFonts w:ascii="Times New Roman" w:hAnsi="Times New Roman"/>
          <w:sz w:val="28"/>
          <w:szCs w:val="28"/>
        </w:rPr>
      </w:pPr>
      <w:r w:rsidRPr="0006094F">
        <w:rPr>
          <w:rFonts w:ascii="Times New Roman" w:hAnsi="Times New Roman"/>
          <w:sz w:val="28"/>
          <w:szCs w:val="28"/>
        </w:rPr>
        <w:t xml:space="preserve">Таблица </w:t>
      </w:r>
      <w:bookmarkStart w:id="211" w:name="Tbl_RasPozh"/>
      <w:r w:rsidRPr="0006094F">
        <w:rPr>
          <w:rFonts w:ascii="Times New Roman" w:hAnsi="Times New Roman"/>
          <w:sz w:val="28"/>
          <w:szCs w:val="28"/>
        </w:rPr>
        <w:fldChar w:fldCharType="begin"/>
      </w:r>
      <w:r w:rsidRPr="0006094F">
        <w:rPr>
          <w:rFonts w:ascii="Times New Roman" w:hAnsi="Times New Roman"/>
          <w:sz w:val="28"/>
          <w:szCs w:val="28"/>
        </w:rPr>
        <w:instrText xml:space="preserve"> SEQ Таблица \* ARABIC </w:instrText>
      </w:r>
      <w:r w:rsidRPr="0006094F">
        <w:rPr>
          <w:rFonts w:ascii="Times New Roman" w:hAnsi="Times New Roman"/>
          <w:sz w:val="28"/>
          <w:szCs w:val="28"/>
        </w:rPr>
        <w:fldChar w:fldCharType="separate"/>
      </w:r>
      <w:r>
        <w:rPr>
          <w:rFonts w:ascii="Times New Roman" w:hAnsi="Times New Roman"/>
          <w:noProof/>
          <w:sz w:val="28"/>
          <w:szCs w:val="28"/>
        </w:rPr>
        <w:t>44</w:t>
      </w:r>
      <w:r w:rsidRPr="0006094F">
        <w:rPr>
          <w:rFonts w:ascii="Times New Roman" w:hAnsi="Times New Roman"/>
          <w:sz w:val="28"/>
          <w:szCs w:val="28"/>
        </w:rPr>
        <w:fldChar w:fldCharType="end"/>
      </w:r>
      <w:bookmarkEnd w:id="211"/>
    </w:p>
    <w:p w:rsidR="002D1E45" w:rsidRPr="0006094F" w:rsidRDefault="002D1E45" w:rsidP="009E36EB">
      <w:pPr>
        <w:tabs>
          <w:tab w:val="left" w:pos="2808"/>
          <w:tab w:val="right" w:pos="10205"/>
        </w:tabs>
        <w:spacing w:after="120" w:line="240" w:lineRule="auto"/>
        <w:jc w:val="center"/>
        <w:rPr>
          <w:rFonts w:ascii="Times New Roman" w:hAnsi="Times New Roman"/>
          <w:sz w:val="28"/>
          <w:szCs w:val="28"/>
        </w:rPr>
      </w:pPr>
      <w:r w:rsidRPr="0006094F">
        <w:rPr>
          <w:rFonts w:ascii="Times New Roman" w:hAnsi="Times New Roman"/>
          <w:sz w:val="28"/>
          <w:szCs w:val="28"/>
        </w:rPr>
        <w:t>Противопожарные расстояния между жилыми и</w:t>
      </w:r>
      <w:r>
        <w:rPr>
          <w:rFonts w:ascii="Times New Roman" w:hAnsi="Times New Roman"/>
          <w:sz w:val="28"/>
          <w:szCs w:val="28"/>
        </w:rPr>
        <w:t> </w:t>
      </w:r>
      <w:r w:rsidRPr="0006094F">
        <w:rPr>
          <w:rFonts w:ascii="Times New Roman" w:hAnsi="Times New Roman"/>
          <w:sz w:val="28"/>
          <w:szCs w:val="28"/>
        </w:rPr>
        <w:t>общественными зданиями</w:t>
      </w:r>
    </w:p>
    <w:tbl>
      <w:tblPr>
        <w:tblW w:w="93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3438"/>
        <w:gridCol w:w="1677"/>
        <w:gridCol w:w="1111"/>
        <w:gridCol w:w="926"/>
        <w:gridCol w:w="1111"/>
        <w:gridCol w:w="1121"/>
      </w:tblGrid>
      <w:tr w:rsidR="002D1E45" w:rsidRPr="0006094F" w:rsidTr="00BB3B2D">
        <w:trPr>
          <w:trHeight w:val="283"/>
          <w:tblHeader/>
          <w:jc w:val="center"/>
        </w:trPr>
        <w:tc>
          <w:tcPr>
            <w:tcW w:w="3438" w:type="dxa"/>
            <w:vMerge w:val="restart"/>
            <w:shd w:val="clear" w:color="auto" w:fill="FFFFFF"/>
            <w:vAlign w:val="center"/>
          </w:tcPr>
          <w:p w:rsidR="002D1E45" w:rsidRPr="0006094F" w:rsidRDefault="002D1E45"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Степень огнестойкости здания</w:t>
            </w:r>
          </w:p>
        </w:tc>
        <w:tc>
          <w:tcPr>
            <w:tcW w:w="1677" w:type="dxa"/>
            <w:vMerge w:val="restart"/>
            <w:shd w:val="clear" w:color="auto" w:fill="FFFFFF"/>
            <w:vAlign w:val="center"/>
          </w:tcPr>
          <w:p w:rsidR="002D1E45" w:rsidRPr="0006094F" w:rsidRDefault="002D1E45"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Класс конструктивной пожарной опасности</w:t>
            </w:r>
          </w:p>
        </w:tc>
        <w:tc>
          <w:tcPr>
            <w:tcW w:w="4269" w:type="dxa"/>
            <w:gridSpan w:val="4"/>
            <w:shd w:val="clear" w:color="auto" w:fill="FFFFFF"/>
            <w:vAlign w:val="center"/>
          </w:tcPr>
          <w:p w:rsidR="002D1E45" w:rsidRPr="0006094F" w:rsidRDefault="002D1E45"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Минимальные расстояния при степени</w:t>
            </w:r>
            <w:r w:rsidRPr="0006094F">
              <w:rPr>
                <w:rFonts w:ascii="Times New Roman" w:hAnsi="Times New Roman"/>
                <w:sz w:val="24"/>
                <w:szCs w:val="24"/>
              </w:rPr>
              <w:br/>
              <w:t>огнестойкости и</w:t>
            </w:r>
            <w:r>
              <w:rPr>
                <w:rFonts w:ascii="Times New Roman" w:hAnsi="Times New Roman"/>
                <w:sz w:val="24"/>
                <w:szCs w:val="24"/>
              </w:rPr>
              <w:t> </w:t>
            </w:r>
            <w:r w:rsidRPr="0006094F">
              <w:rPr>
                <w:rFonts w:ascii="Times New Roman" w:hAnsi="Times New Roman"/>
                <w:sz w:val="24"/>
                <w:szCs w:val="24"/>
              </w:rPr>
              <w:t>классе конструктивной пожарной опасности жилых и</w:t>
            </w:r>
            <w:r>
              <w:rPr>
                <w:rFonts w:ascii="Times New Roman" w:hAnsi="Times New Roman"/>
                <w:sz w:val="24"/>
                <w:szCs w:val="24"/>
              </w:rPr>
              <w:t> </w:t>
            </w:r>
            <w:r w:rsidRPr="0006094F">
              <w:rPr>
                <w:rFonts w:ascii="Times New Roman" w:hAnsi="Times New Roman"/>
                <w:sz w:val="24"/>
                <w:szCs w:val="24"/>
              </w:rPr>
              <w:t>общественных зданий, м</w:t>
            </w:r>
          </w:p>
        </w:tc>
      </w:tr>
      <w:tr w:rsidR="002D1E45" w:rsidRPr="0006094F" w:rsidTr="00BB3B2D">
        <w:trPr>
          <w:trHeight w:val="283"/>
          <w:tblHeader/>
          <w:jc w:val="center"/>
        </w:trPr>
        <w:tc>
          <w:tcPr>
            <w:tcW w:w="3438" w:type="dxa"/>
            <w:vMerge/>
            <w:shd w:val="clear" w:color="auto" w:fill="FFFFFF"/>
            <w:vAlign w:val="center"/>
          </w:tcPr>
          <w:p w:rsidR="002D1E45" w:rsidRPr="0006094F" w:rsidRDefault="002D1E45" w:rsidP="00BB3B2D">
            <w:pPr>
              <w:spacing w:after="0" w:line="240" w:lineRule="auto"/>
              <w:ind w:left="142" w:right="30"/>
              <w:jc w:val="center"/>
              <w:rPr>
                <w:rFonts w:ascii="Times New Roman" w:hAnsi="Times New Roman"/>
                <w:sz w:val="24"/>
                <w:szCs w:val="24"/>
              </w:rPr>
            </w:pPr>
          </w:p>
        </w:tc>
        <w:tc>
          <w:tcPr>
            <w:tcW w:w="1677" w:type="dxa"/>
            <w:vMerge/>
            <w:shd w:val="clear" w:color="auto" w:fill="FFFFFF"/>
            <w:vAlign w:val="center"/>
          </w:tcPr>
          <w:p w:rsidR="002D1E45" w:rsidRPr="0006094F" w:rsidRDefault="002D1E45" w:rsidP="00BB3B2D">
            <w:pPr>
              <w:spacing w:after="0" w:line="240" w:lineRule="auto"/>
              <w:ind w:left="142" w:right="30"/>
              <w:jc w:val="center"/>
              <w:rPr>
                <w:rFonts w:ascii="Times New Roman" w:hAnsi="Times New Roman"/>
                <w:sz w:val="24"/>
                <w:szCs w:val="24"/>
              </w:rPr>
            </w:pPr>
          </w:p>
        </w:tc>
        <w:tc>
          <w:tcPr>
            <w:tcW w:w="1111" w:type="dxa"/>
            <w:shd w:val="clear" w:color="auto" w:fill="FFFFFF"/>
            <w:vAlign w:val="center"/>
          </w:tcPr>
          <w:p w:rsidR="002D1E45" w:rsidRPr="0006094F" w:rsidRDefault="002D1E45"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I, II, III</w:t>
            </w:r>
          </w:p>
          <w:p w:rsidR="002D1E45" w:rsidRPr="0006094F" w:rsidRDefault="002D1E45"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С0</w:t>
            </w:r>
          </w:p>
        </w:tc>
        <w:tc>
          <w:tcPr>
            <w:tcW w:w="926" w:type="dxa"/>
            <w:shd w:val="clear" w:color="auto" w:fill="FFFFFF"/>
            <w:vAlign w:val="center"/>
          </w:tcPr>
          <w:p w:rsidR="002D1E45" w:rsidRPr="0006094F" w:rsidRDefault="002D1E45"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II, III</w:t>
            </w:r>
            <w:r w:rsidRPr="0006094F">
              <w:rPr>
                <w:rFonts w:ascii="Times New Roman" w:hAnsi="Times New Roman"/>
                <w:sz w:val="24"/>
                <w:szCs w:val="24"/>
              </w:rPr>
              <w:br/>
              <w:t>С1</w:t>
            </w:r>
          </w:p>
        </w:tc>
        <w:tc>
          <w:tcPr>
            <w:tcW w:w="1111" w:type="dxa"/>
            <w:shd w:val="clear" w:color="auto" w:fill="FFFFFF"/>
            <w:vAlign w:val="center"/>
          </w:tcPr>
          <w:p w:rsidR="002D1E45" w:rsidRPr="0006094F" w:rsidRDefault="002D1E45"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IV</w:t>
            </w:r>
          </w:p>
          <w:p w:rsidR="002D1E45" w:rsidRPr="0006094F" w:rsidRDefault="002D1E45"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С0, С1</w:t>
            </w:r>
          </w:p>
        </w:tc>
        <w:tc>
          <w:tcPr>
            <w:tcW w:w="1121" w:type="dxa"/>
            <w:shd w:val="clear" w:color="auto" w:fill="FFFFFF"/>
            <w:vAlign w:val="center"/>
          </w:tcPr>
          <w:p w:rsidR="002D1E45" w:rsidRPr="0006094F" w:rsidRDefault="002D1E45"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IV, V</w:t>
            </w:r>
            <w:r w:rsidRPr="0006094F">
              <w:rPr>
                <w:rFonts w:ascii="Times New Roman" w:hAnsi="Times New Roman"/>
                <w:sz w:val="24"/>
                <w:szCs w:val="24"/>
              </w:rPr>
              <w:br/>
              <w:t>С2, С3</w:t>
            </w:r>
          </w:p>
        </w:tc>
      </w:tr>
      <w:tr w:rsidR="002D1E45" w:rsidRPr="0006094F" w:rsidTr="00BB3B2D">
        <w:trPr>
          <w:trHeight w:val="283"/>
          <w:jc w:val="center"/>
        </w:trPr>
        <w:tc>
          <w:tcPr>
            <w:tcW w:w="9384" w:type="dxa"/>
            <w:gridSpan w:val="6"/>
            <w:shd w:val="clear" w:color="auto" w:fill="FFFFFF"/>
            <w:vAlign w:val="center"/>
          </w:tcPr>
          <w:p w:rsidR="002D1E45" w:rsidRPr="0006094F" w:rsidRDefault="002D1E45" w:rsidP="00BB3B2D">
            <w:pPr>
              <w:spacing w:after="0" w:line="240" w:lineRule="auto"/>
              <w:ind w:left="142" w:right="30"/>
              <w:jc w:val="both"/>
              <w:rPr>
                <w:rFonts w:ascii="Times New Roman" w:hAnsi="Times New Roman"/>
                <w:sz w:val="24"/>
                <w:szCs w:val="24"/>
              </w:rPr>
            </w:pPr>
            <w:r w:rsidRPr="0006094F">
              <w:rPr>
                <w:rFonts w:ascii="Times New Roman" w:hAnsi="Times New Roman"/>
                <w:sz w:val="24"/>
                <w:szCs w:val="24"/>
              </w:rPr>
              <w:t>Жилые и</w:t>
            </w:r>
            <w:r>
              <w:rPr>
                <w:rFonts w:ascii="Times New Roman" w:hAnsi="Times New Roman"/>
                <w:sz w:val="24"/>
                <w:szCs w:val="24"/>
              </w:rPr>
              <w:t> </w:t>
            </w:r>
            <w:r w:rsidRPr="0006094F">
              <w:rPr>
                <w:rFonts w:ascii="Times New Roman" w:hAnsi="Times New Roman"/>
                <w:sz w:val="24"/>
                <w:szCs w:val="24"/>
              </w:rPr>
              <w:t>общественные</w:t>
            </w:r>
          </w:p>
        </w:tc>
      </w:tr>
      <w:tr w:rsidR="002D1E45" w:rsidRPr="0006094F" w:rsidTr="00BB3B2D">
        <w:trPr>
          <w:trHeight w:val="283"/>
          <w:jc w:val="center"/>
        </w:trPr>
        <w:tc>
          <w:tcPr>
            <w:tcW w:w="3438" w:type="dxa"/>
            <w:shd w:val="clear" w:color="auto" w:fill="FFFFFF"/>
          </w:tcPr>
          <w:p w:rsidR="002D1E45" w:rsidRPr="0006094F" w:rsidRDefault="002D1E45" w:rsidP="00BB3B2D">
            <w:pPr>
              <w:spacing w:after="0" w:line="240" w:lineRule="auto"/>
              <w:ind w:left="142" w:right="30"/>
              <w:jc w:val="both"/>
              <w:rPr>
                <w:rFonts w:ascii="Times New Roman" w:hAnsi="Times New Roman"/>
                <w:sz w:val="24"/>
                <w:szCs w:val="24"/>
              </w:rPr>
            </w:pPr>
            <w:r w:rsidRPr="0006094F">
              <w:rPr>
                <w:rFonts w:ascii="Times New Roman" w:hAnsi="Times New Roman"/>
                <w:sz w:val="24"/>
                <w:szCs w:val="24"/>
              </w:rPr>
              <w:t xml:space="preserve">I, </w:t>
            </w:r>
            <w:r w:rsidRPr="0006094F">
              <w:rPr>
                <w:rFonts w:ascii="Times New Roman" w:hAnsi="Times New Roman"/>
                <w:sz w:val="24"/>
                <w:szCs w:val="24"/>
                <w:lang w:val="en-US"/>
              </w:rPr>
              <w:t>II,</w:t>
            </w:r>
            <w:r w:rsidRPr="0006094F">
              <w:rPr>
                <w:rFonts w:ascii="Times New Roman" w:hAnsi="Times New Roman"/>
                <w:sz w:val="24"/>
                <w:szCs w:val="24"/>
              </w:rPr>
              <w:t xml:space="preserve"> III</w:t>
            </w:r>
          </w:p>
        </w:tc>
        <w:tc>
          <w:tcPr>
            <w:tcW w:w="1677" w:type="dxa"/>
            <w:shd w:val="clear" w:color="auto" w:fill="FFFFFF"/>
          </w:tcPr>
          <w:p w:rsidR="002D1E45" w:rsidRPr="0006094F" w:rsidRDefault="002D1E45" w:rsidP="00BB3B2D">
            <w:pPr>
              <w:spacing w:after="0" w:line="240" w:lineRule="auto"/>
              <w:ind w:left="142" w:right="30"/>
              <w:jc w:val="both"/>
              <w:rPr>
                <w:rFonts w:ascii="Times New Roman" w:hAnsi="Times New Roman"/>
                <w:sz w:val="24"/>
                <w:szCs w:val="24"/>
                <w:lang w:val="en-US"/>
              </w:rPr>
            </w:pPr>
            <w:r w:rsidRPr="0006094F">
              <w:rPr>
                <w:rFonts w:ascii="Times New Roman" w:hAnsi="Times New Roman"/>
                <w:sz w:val="24"/>
                <w:szCs w:val="24"/>
              </w:rPr>
              <w:t>С</w:t>
            </w:r>
            <w:r w:rsidRPr="0006094F">
              <w:rPr>
                <w:rFonts w:ascii="Times New Roman" w:hAnsi="Times New Roman"/>
                <w:sz w:val="24"/>
                <w:szCs w:val="24"/>
                <w:lang w:val="en-US"/>
              </w:rPr>
              <w:t>0</w:t>
            </w:r>
          </w:p>
        </w:tc>
        <w:tc>
          <w:tcPr>
            <w:tcW w:w="1111" w:type="dxa"/>
            <w:shd w:val="clear" w:color="auto" w:fill="FFFFFF"/>
            <w:vAlign w:val="center"/>
          </w:tcPr>
          <w:p w:rsidR="002D1E45" w:rsidRPr="0006094F" w:rsidRDefault="002D1E45"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6</w:t>
            </w:r>
          </w:p>
        </w:tc>
        <w:tc>
          <w:tcPr>
            <w:tcW w:w="926" w:type="dxa"/>
            <w:shd w:val="clear" w:color="auto" w:fill="FFFFFF"/>
            <w:vAlign w:val="center"/>
          </w:tcPr>
          <w:p w:rsidR="002D1E45" w:rsidRPr="0006094F" w:rsidRDefault="002D1E45"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8</w:t>
            </w:r>
          </w:p>
        </w:tc>
        <w:tc>
          <w:tcPr>
            <w:tcW w:w="1111" w:type="dxa"/>
            <w:shd w:val="clear" w:color="auto" w:fill="FFFFFF"/>
            <w:vAlign w:val="center"/>
          </w:tcPr>
          <w:p w:rsidR="002D1E45" w:rsidRPr="0006094F" w:rsidRDefault="002D1E45"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8</w:t>
            </w:r>
          </w:p>
        </w:tc>
        <w:tc>
          <w:tcPr>
            <w:tcW w:w="1121" w:type="dxa"/>
            <w:shd w:val="clear" w:color="auto" w:fill="FFFFFF"/>
            <w:vAlign w:val="center"/>
          </w:tcPr>
          <w:p w:rsidR="002D1E45" w:rsidRPr="0006094F" w:rsidRDefault="002D1E45"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10</w:t>
            </w:r>
          </w:p>
        </w:tc>
      </w:tr>
      <w:tr w:rsidR="002D1E45" w:rsidRPr="0006094F" w:rsidTr="00BB3B2D">
        <w:trPr>
          <w:trHeight w:val="283"/>
          <w:jc w:val="center"/>
        </w:trPr>
        <w:tc>
          <w:tcPr>
            <w:tcW w:w="3438" w:type="dxa"/>
            <w:shd w:val="clear" w:color="auto" w:fill="FFFFFF"/>
          </w:tcPr>
          <w:p w:rsidR="002D1E45" w:rsidRPr="0006094F" w:rsidRDefault="002D1E45" w:rsidP="00BB3B2D">
            <w:pPr>
              <w:spacing w:after="0" w:line="240" w:lineRule="auto"/>
              <w:ind w:left="142" w:right="30"/>
              <w:jc w:val="both"/>
              <w:rPr>
                <w:rFonts w:ascii="Times New Roman" w:hAnsi="Times New Roman"/>
                <w:sz w:val="24"/>
                <w:szCs w:val="24"/>
              </w:rPr>
            </w:pPr>
            <w:r w:rsidRPr="0006094F">
              <w:rPr>
                <w:rFonts w:ascii="Times New Roman" w:hAnsi="Times New Roman"/>
                <w:sz w:val="24"/>
                <w:szCs w:val="24"/>
              </w:rPr>
              <w:t>II</w:t>
            </w:r>
            <w:r w:rsidRPr="0006094F">
              <w:rPr>
                <w:rFonts w:ascii="Times New Roman" w:hAnsi="Times New Roman"/>
                <w:sz w:val="24"/>
                <w:szCs w:val="24"/>
                <w:lang w:val="en-US"/>
              </w:rPr>
              <w:t>,</w:t>
            </w:r>
            <w:r w:rsidRPr="0006094F">
              <w:rPr>
                <w:rFonts w:ascii="Times New Roman" w:hAnsi="Times New Roman"/>
                <w:sz w:val="24"/>
                <w:szCs w:val="24"/>
              </w:rPr>
              <w:t xml:space="preserve"> III</w:t>
            </w:r>
          </w:p>
        </w:tc>
        <w:tc>
          <w:tcPr>
            <w:tcW w:w="1677" w:type="dxa"/>
            <w:shd w:val="clear" w:color="auto" w:fill="FFFFFF"/>
          </w:tcPr>
          <w:p w:rsidR="002D1E45" w:rsidRPr="0006094F" w:rsidRDefault="002D1E45" w:rsidP="00BB3B2D">
            <w:pPr>
              <w:spacing w:after="0" w:line="240" w:lineRule="auto"/>
              <w:ind w:left="142" w:right="30"/>
              <w:jc w:val="both"/>
              <w:rPr>
                <w:rFonts w:ascii="Times New Roman" w:hAnsi="Times New Roman"/>
                <w:sz w:val="24"/>
                <w:szCs w:val="24"/>
              </w:rPr>
            </w:pPr>
            <w:r w:rsidRPr="0006094F">
              <w:rPr>
                <w:rFonts w:ascii="Times New Roman" w:hAnsi="Times New Roman"/>
                <w:sz w:val="24"/>
                <w:szCs w:val="24"/>
              </w:rPr>
              <w:t>С1</w:t>
            </w:r>
          </w:p>
        </w:tc>
        <w:tc>
          <w:tcPr>
            <w:tcW w:w="1111" w:type="dxa"/>
            <w:shd w:val="clear" w:color="auto" w:fill="FFFFFF"/>
            <w:vAlign w:val="center"/>
          </w:tcPr>
          <w:p w:rsidR="002D1E45" w:rsidRPr="0006094F" w:rsidRDefault="002D1E45"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8</w:t>
            </w:r>
          </w:p>
        </w:tc>
        <w:tc>
          <w:tcPr>
            <w:tcW w:w="926" w:type="dxa"/>
            <w:shd w:val="clear" w:color="auto" w:fill="FFFFFF"/>
            <w:vAlign w:val="center"/>
          </w:tcPr>
          <w:p w:rsidR="002D1E45" w:rsidRPr="0006094F" w:rsidRDefault="002D1E45"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10</w:t>
            </w:r>
          </w:p>
        </w:tc>
        <w:tc>
          <w:tcPr>
            <w:tcW w:w="1111" w:type="dxa"/>
            <w:shd w:val="clear" w:color="auto" w:fill="FFFFFF"/>
            <w:vAlign w:val="center"/>
          </w:tcPr>
          <w:p w:rsidR="002D1E45" w:rsidRPr="0006094F" w:rsidRDefault="002D1E45"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10</w:t>
            </w:r>
          </w:p>
        </w:tc>
        <w:tc>
          <w:tcPr>
            <w:tcW w:w="1121" w:type="dxa"/>
            <w:shd w:val="clear" w:color="auto" w:fill="FFFFFF"/>
            <w:vAlign w:val="center"/>
          </w:tcPr>
          <w:p w:rsidR="002D1E45" w:rsidRPr="0006094F" w:rsidRDefault="002D1E45"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12</w:t>
            </w:r>
          </w:p>
        </w:tc>
      </w:tr>
      <w:tr w:rsidR="002D1E45" w:rsidRPr="0006094F" w:rsidTr="00BB3B2D">
        <w:trPr>
          <w:trHeight w:val="283"/>
          <w:jc w:val="center"/>
        </w:trPr>
        <w:tc>
          <w:tcPr>
            <w:tcW w:w="3438" w:type="dxa"/>
            <w:shd w:val="clear" w:color="auto" w:fill="FFFFFF"/>
          </w:tcPr>
          <w:p w:rsidR="002D1E45" w:rsidRPr="0006094F" w:rsidRDefault="002D1E45" w:rsidP="00BB3B2D">
            <w:pPr>
              <w:spacing w:after="0" w:line="240" w:lineRule="auto"/>
              <w:ind w:left="142" w:right="30"/>
              <w:jc w:val="both"/>
              <w:rPr>
                <w:rFonts w:ascii="Times New Roman" w:hAnsi="Times New Roman"/>
                <w:sz w:val="24"/>
                <w:szCs w:val="24"/>
              </w:rPr>
            </w:pPr>
            <w:r w:rsidRPr="0006094F">
              <w:rPr>
                <w:rFonts w:ascii="Times New Roman" w:hAnsi="Times New Roman"/>
                <w:sz w:val="24"/>
                <w:szCs w:val="24"/>
              </w:rPr>
              <w:t>IV</w:t>
            </w:r>
          </w:p>
        </w:tc>
        <w:tc>
          <w:tcPr>
            <w:tcW w:w="1677" w:type="dxa"/>
            <w:shd w:val="clear" w:color="auto" w:fill="FFFFFF"/>
          </w:tcPr>
          <w:p w:rsidR="002D1E45" w:rsidRPr="0006094F" w:rsidRDefault="002D1E45" w:rsidP="00BB3B2D">
            <w:pPr>
              <w:spacing w:after="0" w:line="240" w:lineRule="auto"/>
              <w:ind w:left="142" w:right="30"/>
              <w:jc w:val="both"/>
              <w:rPr>
                <w:rFonts w:ascii="Times New Roman" w:hAnsi="Times New Roman"/>
                <w:sz w:val="24"/>
                <w:szCs w:val="24"/>
              </w:rPr>
            </w:pPr>
            <w:r w:rsidRPr="0006094F">
              <w:rPr>
                <w:rFonts w:ascii="Times New Roman" w:hAnsi="Times New Roman"/>
                <w:sz w:val="24"/>
                <w:szCs w:val="24"/>
              </w:rPr>
              <w:t>С0, С1</w:t>
            </w:r>
          </w:p>
        </w:tc>
        <w:tc>
          <w:tcPr>
            <w:tcW w:w="1111" w:type="dxa"/>
            <w:shd w:val="clear" w:color="auto" w:fill="FFFFFF"/>
            <w:vAlign w:val="center"/>
          </w:tcPr>
          <w:p w:rsidR="002D1E45" w:rsidRPr="0006094F" w:rsidRDefault="002D1E45"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8</w:t>
            </w:r>
          </w:p>
        </w:tc>
        <w:tc>
          <w:tcPr>
            <w:tcW w:w="926" w:type="dxa"/>
            <w:shd w:val="clear" w:color="auto" w:fill="FFFFFF"/>
            <w:vAlign w:val="center"/>
          </w:tcPr>
          <w:p w:rsidR="002D1E45" w:rsidRPr="0006094F" w:rsidRDefault="002D1E45"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10</w:t>
            </w:r>
          </w:p>
        </w:tc>
        <w:tc>
          <w:tcPr>
            <w:tcW w:w="1111" w:type="dxa"/>
            <w:shd w:val="clear" w:color="auto" w:fill="FFFFFF"/>
            <w:vAlign w:val="center"/>
          </w:tcPr>
          <w:p w:rsidR="002D1E45" w:rsidRPr="0006094F" w:rsidRDefault="002D1E45"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10</w:t>
            </w:r>
          </w:p>
        </w:tc>
        <w:tc>
          <w:tcPr>
            <w:tcW w:w="1121" w:type="dxa"/>
            <w:shd w:val="clear" w:color="auto" w:fill="FFFFFF"/>
            <w:vAlign w:val="center"/>
          </w:tcPr>
          <w:p w:rsidR="002D1E45" w:rsidRPr="0006094F" w:rsidRDefault="002D1E45"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12</w:t>
            </w:r>
          </w:p>
        </w:tc>
      </w:tr>
      <w:tr w:rsidR="002D1E45" w:rsidRPr="0006094F" w:rsidTr="00BB3B2D">
        <w:trPr>
          <w:trHeight w:val="283"/>
          <w:jc w:val="center"/>
        </w:trPr>
        <w:tc>
          <w:tcPr>
            <w:tcW w:w="3438" w:type="dxa"/>
            <w:shd w:val="clear" w:color="auto" w:fill="FFFFFF"/>
          </w:tcPr>
          <w:p w:rsidR="002D1E45" w:rsidRPr="0006094F" w:rsidRDefault="002D1E45" w:rsidP="00BB3B2D">
            <w:pPr>
              <w:spacing w:after="0" w:line="240" w:lineRule="auto"/>
              <w:ind w:left="142" w:right="30"/>
              <w:jc w:val="both"/>
              <w:rPr>
                <w:rFonts w:ascii="Times New Roman" w:hAnsi="Times New Roman"/>
                <w:sz w:val="24"/>
                <w:szCs w:val="24"/>
              </w:rPr>
            </w:pPr>
            <w:r w:rsidRPr="0006094F">
              <w:rPr>
                <w:rFonts w:ascii="Times New Roman" w:hAnsi="Times New Roman"/>
                <w:sz w:val="24"/>
                <w:szCs w:val="24"/>
              </w:rPr>
              <w:t>IV</w:t>
            </w:r>
            <w:r w:rsidRPr="0006094F">
              <w:rPr>
                <w:rFonts w:ascii="Times New Roman" w:hAnsi="Times New Roman"/>
                <w:sz w:val="24"/>
                <w:szCs w:val="24"/>
                <w:lang w:val="en-US"/>
              </w:rPr>
              <w:t>,</w:t>
            </w:r>
            <w:r w:rsidRPr="0006094F">
              <w:rPr>
                <w:rFonts w:ascii="Times New Roman" w:hAnsi="Times New Roman"/>
                <w:sz w:val="24"/>
                <w:szCs w:val="24"/>
              </w:rPr>
              <w:t xml:space="preserve"> V</w:t>
            </w:r>
          </w:p>
        </w:tc>
        <w:tc>
          <w:tcPr>
            <w:tcW w:w="1677" w:type="dxa"/>
            <w:shd w:val="clear" w:color="auto" w:fill="FFFFFF"/>
          </w:tcPr>
          <w:p w:rsidR="002D1E45" w:rsidRPr="0006094F" w:rsidRDefault="002D1E45" w:rsidP="00BB3B2D">
            <w:pPr>
              <w:spacing w:after="0" w:line="240" w:lineRule="auto"/>
              <w:ind w:left="142" w:right="30"/>
              <w:jc w:val="both"/>
              <w:rPr>
                <w:rFonts w:ascii="Times New Roman" w:hAnsi="Times New Roman"/>
                <w:sz w:val="24"/>
                <w:szCs w:val="24"/>
              </w:rPr>
            </w:pPr>
            <w:r w:rsidRPr="0006094F">
              <w:rPr>
                <w:rFonts w:ascii="Times New Roman" w:hAnsi="Times New Roman"/>
                <w:sz w:val="24"/>
                <w:szCs w:val="24"/>
              </w:rPr>
              <w:t>С2, С3</w:t>
            </w:r>
          </w:p>
        </w:tc>
        <w:tc>
          <w:tcPr>
            <w:tcW w:w="1111" w:type="dxa"/>
            <w:shd w:val="clear" w:color="auto" w:fill="FFFFFF"/>
            <w:vAlign w:val="center"/>
          </w:tcPr>
          <w:p w:rsidR="002D1E45" w:rsidRPr="0006094F" w:rsidRDefault="002D1E45"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10</w:t>
            </w:r>
          </w:p>
        </w:tc>
        <w:tc>
          <w:tcPr>
            <w:tcW w:w="926" w:type="dxa"/>
            <w:shd w:val="clear" w:color="auto" w:fill="FFFFFF"/>
            <w:vAlign w:val="center"/>
          </w:tcPr>
          <w:p w:rsidR="002D1E45" w:rsidRPr="0006094F" w:rsidRDefault="002D1E45"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12</w:t>
            </w:r>
          </w:p>
        </w:tc>
        <w:tc>
          <w:tcPr>
            <w:tcW w:w="1111" w:type="dxa"/>
            <w:shd w:val="clear" w:color="auto" w:fill="FFFFFF"/>
            <w:vAlign w:val="center"/>
          </w:tcPr>
          <w:p w:rsidR="002D1E45" w:rsidRPr="0006094F" w:rsidRDefault="002D1E45"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12</w:t>
            </w:r>
          </w:p>
        </w:tc>
        <w:tc>
          <w:tcPr>
            <w:tcW w:w="1121" w:type="dxa"/>
            <w:shd w:val="clear" w:color="auto" w:fill="FFFFFF"/>
            <w:vAlign w:val="center"/>
          </w:tcPr>
          <w:p w:rsidR="002D1E45" w:rsidRPr="0006094F" w:rsidRDefault="002D1E45"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15</w:t>
            </w:r>
          </w:p>
        </w:tc>
      </w:tr>
      <w:tr w:rsidR="002D1E45" w:rsidRPr="0006094F" w:rsidTr="00BB3B2D">
        <w:trPr>
          <w:trHeight w:val="283"/>
          <w:jc w:val="center"/>
        </w:trPr>
        <w:tc>
          <w:tcPr>
            <w:tcW w:w="9384" w:type="dxa"/>
            <w:gridSpan w:val="6"/>
            <w:shd w:val="clear" w:color="auto" w:fill="FFFFFF"/>
            <w:vAlign w:val="center"/>
          </w:tcPr>
          <w:p w:rsidR="002D1E45" w:rsidRPr="0006094F" w:rsidRDefault="002D1E45" w:rsidP="00BB3B2D">
            <w:pPr>
              <w:spacing w:after="0" w:line="240" w:lineRule="auto"/>
              <w:ind w:left="142" w:right="30"/>
              <w:jc w:val="both"/>
              <w:rPr>
                <w:rFonts w:ascii="Times New Roman" w:hAnsi="Times New Roman"/>
                <w:sz w:val="24"/>
                <w:szCs w:val="24"/>
              </w:rPr>
            </w:pPr>
            <w:r w:rsidRPr="0006094F">
              <w:rPr>
                <w:rFonts w:ascii="Times New Roman" w:hAnsi="Times New Roman"/>
                <w:sz w:val="24"/>
                <w:szCs w:val="24"/>
              </w:rPr>
              <w:t>Производственные и</w:t>
            </w:r>
            <w:r>
              <w:rPr>
                <w:rFonts w:ascii="Times New Roman" w:hAnsi="Times New Roman"/>
                <w:sz w:val="24"/>
                <w:szCs w:val="24"/>
              </w:rPr>
              <w:t> </w:t>
            </w:r>
            <w:r w:rsidRPr="0006094F">
              <w:rPr>
                <w:rFonts w:ascii="Times New Roman" w:hAnsi="Times New Roman"/>
                <w:sz w:val="24"/>
                <w:szCs w:val="24"/>
              </w:rPr>
              <w:t>складские</w:t>
            </w:r>
          </w:p>
        </w:tc>
      </w:tr>
      <w:tr w:rsidR="002D1E45" w:rsidRPr="0006094F" w:rsidTr="00BB3B2D">
        <w:trPr>
          <w:trHeight w:val="283"/>
          <w:jc w:val="center"/>
        </w:trPr>
        <w:tc>
          <w:tcPr>
            <w:tcW w:w="3438" w:type="dxa"/>
            <w:shd w:val="clear" w:color="auto" w:fill="FFFFFF"/>
          </w:tcPr>
          <w:p w:rsidR="002D1E45" w:rsidRPr="0006094F" w:rsidRDefault="002D1E45" w:rsidP="00BB3B2D">
            <w:pPr>
              <w:spacing w:after="0" w:line="240" w:lineRule="auto"/>
              <w:ind w:left="142" w:right="30"/>
              <w:jc w:val="both"/>
              <w:rPr>
                <w:rFonts w:ascii="Times New Roman" w:hAnsi="Times New Roman"/>
                <w:sz w:val="24"/>
                <w:szCs w:val="24"/>
              </w:rPr>
            </w:pPr>
            <w:r w:rsidRPr="0006094F">
              <w:rPr>
                <w:rFonts w:ascii="Times New Roman" w:hAnsi="Times New Roman"/>
                <w:sz w:val="24"/>
                <w:szCs w:val="24"/>
              </w:rPr>
              <w:t xml:space="preserve">I, </w:t>
            </w:r>
            <w:r w:rsidRPr="0006094F">
              <w:rPr>
                <w:rFonts w:ascii="Times New Roman" w:hAnsi="Times New Roman"/>
                <w:sz w:val="24"/>
                <w:szCs w:val="24"/>
                <w:lang w:val="en-US"/>
              </w:rPr>
              <w:t>II,</w:t>
            </w:r>
            <w:r w:rsidRPr="0006094F">
              <w:rPr>
                <w:rFonts w:ascii="Times New Roman" w:hAnsi="Times New Roman"/>
                <w:sz w:val="24"/>
                <w:szCs w:val="24"/>
              </w:rPr>
              <w:t xml:space="preserve"> III</w:t>
            </w:r>
          </w:p>
        </w:tc>
        <w:tc>
          <w:tcPr>
            <w:tcW w:w="1677" w:type="dxa"/>
            <w:shd w:val="clear" w:color="auto" w:fill="FFFFFF"/>
          </w:tcPr>
          <w:p w:rsidR="002D1E45" w:rsidRPr="0006094F" w:rsidRDefault="002D1E45" w:rsidP="00BB3B2D">
            <w:pPr>
              <w:spacing w:after="0" w:line="240" w:lineRule="auto"/>
              <w:ind w:left="142" w:right="30"/>
              <w:jc w:val="both"/>
              <w:rPr>
                <w:rFonts w:ascii="Times New Roman" w:hAnsi="Times New Roman"/>
                <w:sz w:val="24"/>
                <w:szCs w:val="24"/>
              </w:rPr>
            </w:pPr>
            <w:r w:rsidRPr="0006094F">
              <w:rPr>
                <w:rFonts w:ascii="Times New Roman" w:hAnsi="Times New Roman"/>
                <w:sz w:val="24"/>
                <w:szCs w:val="24"/>
              </w:rPr>
              <w:t>С0</w:t>
            </w:r>
          </w:p>
        </w:tc>
        <w:tc>
          <w:tcPr>
            <w:tcW w:w="1111" w:type="dxa"/>
            <w:shd w:val="clear" w:color="auto" w:fill="FFFFFF"/>
            <w:vAlign w:val="center"/>
          </w:tcPr>
          <w:p w:rsidR="002D1E45" w:rsidRPr="0006094F" w:rsidRDefault="002D1E45"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10</w:t>
            </w:r>
          </w:p>
        </w:tc>
        <w:tc>
          <w:tcPr>
            <w:tcW w:w="926" w:type="dxa"/>
            <w:shd w:val="clear" w:color="auto" w:fill="FFFFFF"/>
            <w:vAlign w:val="center"/>
          </w:tcPr>
          <w:p w:rsidR="002D1E45" w:rsidRPr="0006094F" w:rsidRDefault="002D1E45"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12</w:t>
            </w:r>
          </w:p>
        </w:tc>
        <w:tc>
          <w:tcPr>
            <w:tcW w:w="1111" w:type="dxa"/>
            <w:shd w:val="clear" w:color="auto" w:fill="FFFFFF"/>
            <w:vAlign w:val="center"/>
          </w:tcPr>
          <w:p w:rsidR="002D1E45" w:rsidRPr="0006094F" w:rsidRDefault="002D1E45"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12</w:t>
            </w:r>
          </w:p>
        </w:tc>
        <w:tc>
          <w:tcPr>
            <w:tcW w:w="1121" w:type="dxa"/>
            <w:shd w:val="clear" w:color="auto" w:fill="FFFFFF"/>
            <w:vAlign w:val="center"/>
          </w:tcPr>
          <w:p w:rsidR="002D1E45" w:rsidRPr="0006094F" w:rsidRDefault="002D1E45"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12</w:t>
            </w:r>
          </w:p>
        </w:tc>
      </w:tr>
      <w:tr w:rsidR="002D1E45" w:rsidRPr="0006094F" w:rsidTr="00BB3B2D">
        <w:trPr>
          <w:trHeight w:val="283"/>
          <w:jc w:val="center"/>
        </w:trPr>
        <w:tc>
          <w:tcPr>
            <w:tcW w:w="3438" w:type="dxa"/>
            <w:shd w:val="clear" w:color="auto" w:fill="FFFFFF"/>
          </w:tcPr>
          <w:p w:rsidR="002D1E45" w:rsidRPr="0006094F" w:rsidRDefault="002D1E45" w:rsidP="00BB3B2D">
            <w:pPr>
              <w:spacing w:after="0" w:line="240" w:lineRule="auto"/>
              <w:ind w:left="142" w:right="30"/>
              <w:jc w:val="both"/>
              <w:rPr>
                <w:rFonts w:ascii="Times New Roman" w:hAnsi="Times New Roman"/>
                <w:sz w:val="24"/>
                <w:szCs w:val="24"/>
              </w:rPr>
            </w:pPr>
            <w:r w:rsidRPr="0006094F">
              <w:rPr>
                <w:rFonts w:ascii="Times New Roman" w:hAnsi="Times New Roman"/>
                <w:sz w:val="24"/>
                <w:szCs w:val="24"/>
              </w:rPr>
              <w:t>II</w:t>
            </w:r>
            <w:r w:rsidRPr="0006094F">
              <w:rPr>
                <w:rFonts w:ascii="Times New Roman" w:hAnsi="Times New Roman"/>
                <w:sz w:val="24"/>
                <w:szCs w:val="24"/>
                <w:lang w:val="en-US"/>
              </w:rPr>
              <w:t>,</w:t>
            </w:r>
            <w:r w:rsidRPr="0006094F">
              <w:rPr>
                <w:rFonts w:ascii="Times New Roman" w:hAnsi="Times New Roman"/>
                <w:sz w:val="24"/>
                <w:szCs w:val="24"/>
              </w:rPr>
              <w:t xml:space="preserve"> III</w:t>
            </w:r>
          </w:p>
        </w:tc>
        <w:tc>
          <w:tcPr>
            <w:tcW w:w="1677" w:type="dxa"/>
            <w:shd w:val="clear" w:color="auto" w:fill="FFFFFF"/>
          </w:tcPr>
          <w:p w:rsidR="002D1E45" w:rsidRPr="0006094F" w:rsidRDefault="002D1E45" w:rsidP="00BB3B2D">
            <w:pPr>
              <w:spacing w:after="0" w:line="240" w:lineRule="auto"/>
              <w:ind w:left="142" w:right="30"/>
              <w:jc w:val="both"/>
              <w:rPr>
                <w:rFonts w:ascii="Times New Roman" w:hAnsi="Times New Roman"/>
                <w:sz w:val="24"/>
                <w:szCs w:val="24"/>
              </w:rPr>
            </w:pPr>
            <w:r w:rsidRPr="0006094F">
              <w:rPr>
                <w:rFonts w:ascii="Times New Roman" w:hAnsi="Times New Roman"/>
                <w:sz w:val="24"/>
                <w:szCs w:val="24"/>
              </w:rPr>
              <w:t>С1</w:t>
            </w:r>
          </w:p>
        </w:tc>
        <w:tc>
          <w:tcPr>
            <w:tcW w:w="1111" w:type="dxa"/>
            <w:shd w:val="clear" w:color="auto" w:fill="FFFFFF"/>
            <w:vAlign w:val="center"/>
          </w:tcPr>
          <w:p w:rsidR="002D1E45" w:rsidRPr="0006094F" w:rsidRDefault="002D1E45"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12</w:t>
            </w:r>
          </w:p>
        </w:tc>
        <w:tc>
          <w:tcPr>
            <w:tcW w:w="926" w:type="dxa"/>
            <w:shd w:val="clear" w:color="auto" w:fill="FFFFFF"/>
            <w:vAlign w:val="center"/>
          </w:tcPr>
          <w:p w:rsidR="002D1E45" w:rsidRPr="0006094F" w:rsidRDefault="002D1E45"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12</w:t>
            </w:r>
          </w:p>
        </w:tc>
        <w:tc>
          <w:tcPr>
            <w:tcW w:w="1111" w:type="dxa"/>
            <w:shd w:val="clear" w:color="auto" w:fill="FFFFFF"/>
            <w:vAlign w:val="center"/>
          </w:tcPr>
          <w:p w:rsidR="002D1E45" w:rsidRPr="0006094F" w:rsidRDefault="002D1E45"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12</w:t>
            </w:r>
          </w:p>
        </w:tc>
        <w:tc>
          <w:tcPr>
            <w:tcW w:w="1121" w:type="dxa"/>
            <w:shd w:val="clear" w:color="auto" w:fill="FFFFFF"/>
            <w:vAlign w:val="center"/>
          </w:tcPr>
          <w:p w:rsidR="002D1E45" w:rsidRPr="0006094F" w:rsidRDefault="002D1E45"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12</w:t>
            </w:r>
          </w:p>
        </w:tc>
      </w:tr>
      <w:tr w:rsidR="002D1E45" w:rsidRPr="0006094F" w:rsidTr="00BB3B2D">
        <w:trPr>
          <w:trHeight w:val="283"/>
          <w:jc w:val="center"/>
        </w:trPr>
        <w:tc>
          <w:tcPr>
            <w:tcW w:w="3438" w:type="dxa"/>
            <w:shd w:val="clear" w:color="auto" w:fill="FFFFFF"/>
          </w:tcPr>
          <w:p w:rsidR="002D1E45" w:rsidRPr="0006094F" w:rsidRDefault="002D1E45" w:rsidP="00BB3B2D">
            <w:pPr>
              <w:spacing w:after="0" w:line="240" w:lineRule="auto"/>
              <w:ind w:left="142" w:right="30"/>
              <w:jc w:val="both"/>
              <w:rPr>
                <w:rFonts w:ascii="Times New Roman" w:hAnsi="Times New Roman"/>
                <w:sz w:val="24"/>
                <w:szCs w:val="24"/>
              </w:rPr>
            </w:pPr>
            <w:r w:rsidRPr="0006094F">
              <w:rPr>
                <w:rFonts w:ascii="Times New Roman" w:hAnsi="Times New Roman"/>
                <w:sz w:val="24"/>
                <w:szCs w:val="24"/>
              </w:rPr>
              <w:t>IV</w:t>
            </w:r>
          </w:p>
        </w:tc>
        <w:tc>
          <w:tcPr>
            <w:tcW w:w="1677" w:type="dxa"/>
            <w:shd w:val="clear" w:color="auto" w:fill="FFFFFF"/>
          </w:tcPr>
          <w:p w:rsidR="002D1E45" w:rsidRPr="0006094F" w:rsidRDefault="002D1E45" w:rsidP="00BB3B2D">
            <w:pPr>
              <w:spacing w:after="0" w:line="240" w:lineRule="auto"/>
              <w:ind w:left="142" w:right="30"/>
              <w:jc w:val="both"/>
              <w:rPr>
                <w:rFonts w:ascii="Times New Roman" w:hAnsi="Times New Roman"/>
                <w:sz w:val="24"/>
                <w:szCs w:val="24"/>
              </w:rPr>
            </w:pPr>
            <w:r w:rsidRPr="0006094F">
              <w:rPr>
                <w:rFonts w:ascii="Times New Roman" w:hAnsi="Times New Roman"/>
                <w:sz w:val="24"/>
                <w:szCs w:val="24"/>
              </w:rPr>
              <w:t>С0, С1</w:t>
            </w:r>
          </w:p>
        </w:tc>
        <w:tc>
          <w:tcPr>
            <w:tcW w:w="1111" w:type="dxa"/>
            <w:shd w:val="clear" w:color="auto" w:fill="FFFFFF"/>
            <w:vAlign w:val="center"/>
          </w:tcPr>
          <w:p w:rsidR="002D1E45" w:rsidRPr="0006094F" w:rsidRDefault="002D1E45"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12</w:t>
            </w:r>
          </w:p>
        </w:tc>
        <w:tc>
          <w:tcPr>
            <w:tcW w:w="926" w:type="dxa"/>
            <w:shd w:val="clear" w:color="auto" w:fill="FFFFFF"/>
            <w:vAlign w:val="center"/>
          </w:tcPr>
          <w:p w:rsidR="002D1E45" w:rsidRPr="0006094F" w:rsidRDefault="002D1E45"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12</w:t>
            </w:r>
          </w:p>
        </w:tc>
        <w:tc>
          <w:tcPr>
            <w:tcW w:w="1111" w:type="dxa"/>
            <w:shd w:val="clear" w:color="auto" w:fill="FFFFFF"/>
            <w:vAlign w:val="center"/>
          </w:tcPr>
          <w:p w:rsidR="002D1E45" w:rsidRPr="0006094F" w:rsidRDefault="002D1E45"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12</w:t>
            </w:r>
          </w:p>
        </w:tc>
        <w:tc>
          <w:tcPr>
            <w:tcW w:w="1121" w:type="dxa"/>
            <w:shd w:val="clear" w:color="auto" w:fill="FFFFFF"/>
            <w:vAlign w:val="center"/>
          </w:tcPr>
          <w:p w:rsidR="002D1E45" w:rsidRPr="0006094F" w:rsidRDefault="002D1E45"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15</w:t>
            </w:r>
          </w:p>
        </w:tc>
      </w:tr>
      <w:tr w:rsidR="002D1E45" w:rsidRPr="0006094F" w:rsidTr="00BB3B2D">
        <w:trPr>
          <w:trHeight w:val="283"/>
          <w:jc w:val="center"/>
        </w:trPr>
        <w:tc>
          <w:tcPr>
            <w:tcW w:w="3438" w:type="dxa"/>
            <w:shd w:val="clear" w:color="auto" w:fill="FFFFFF"/>
          </w:tcPr>
          <w:p w:rsidR="002D1E45" w:rsidRPr="0006094F" w:rsidRDefault="002D1E45" w:rsidP="00BB3B2D">
            <w:pPr>
              <w:spacing w:after="0" w:line="240" w:lineRule="auto"/>
              <w:ind w:left="142" w:right="30"/>
              <w:jc w:val="both"/>
              <w:rPr>
                <w:rFonts w:ascii="Times New Roman" w:hAnsi="Times New Roman"/>
                <w:sz w:val="24"/>
                <w:szCs w:val="24"/>
              </w:rPr>
            </w:pPr>
            <w:r w:rsidRPr="0006094F">
              <w:rPr>
                <w:rFonts w:ascii="Times New Roman" w:hAnsi="Times New Roman"/>
                <w:sz w:val="24"/>
                <w:szCs w:val="24"/>
              </w:rPr>
              <w:t>IV</w:t>
            </w:r>
            <w:r w:rsidRPr="0006094F">
              <w:rPr>
                <w:rFonts w:ascii="Times New Roman" w:hAnsi="Times New Roman"/>
                <w:sz w:val="24"/>
                <w:szCs w:val="24"/>
                <w:lang w:val="en-US"/>
              </w:rPr>
              <w:t>,</w:t>
            </w:r>
            <w:r w:rsidRPr="0006094F">
              <w:rPr>
                <w:rFonts w:ascii="Times New Roman" w:hAnsi="Times New Roman"/>
                <w:sz w:val="24"/>
                <w:szCs w:val="24"/>
              </w:rPr>
              <w:t xml:space="preserve"> V</w:t>
            </w:r>
          </w:p>
        </w:tc>
        <w:tc>
          <w:tcPr>
            <w:tcW w:w="1677" w:type="dxa"/>
            <w:shd w:val="clear" w:color="auto" w:fill="FFFFFF"/>
          </w:tcPr>
          <w:p w:rsidR="002D1E45" w:rsidRPr="0006094F" w:rsidRDefault="002D1E45" w:rsidP="00BB3B2D">
            <w:pPr>
              <w:spacing w:after="0" w:line="240" w:lineRule="auto"/>
              <w:ind w:left="142" w:right="30"/>
              <w:jc w:val="both"/>
              <w:rPr>
                <w:rFonts w:ascii="Times New Roman" w:hAnsi="Times New Roman"/>
                <w:sz w:val="24"/>
                <w:szCs w:val="24"/>
              </w:rPr>
            </w:pPr>
            <w:r w:rsidRPr="0006094F">
              <w:rPr>
                <w:rFonts w:ascii="Times New Roman" w:hAnsi="Times New Roman"/>
                <w:sz w:val="24"/>
                <w:szCs w:val="24"/>
              </w:rPr>
              <w:t>С2, С3</w:t>
            </w:r>
          </w:p>
        </w:tc>
        <w:tc>
          <w:tcPr>
            <w:tcW w:w="1111" w:type="dxa"/>
            <w:shd w:val="clear" w:color="auto" w:fill="FFFFFF"/>
            <w:vAlign w:val="center"/>
          </w:tcPr>
          <w:p w:rsidR="002D1E45" w:rsidRPr="0006094F" w:rsidRDefault="002D1E45"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15</w:t>
            </w:r>
          </w:p>
        </w:tc>
        <w:tc>
          <w:tcPr>
            <w:tcW w:w="926" w:type="dxa"/>
            <w:shd w:val="clear" w:color="auto" w:fill="FFFFFF"/>
            <w:vAlign w:val="center"/>
          </w:tcPr>
          <w:p w:rsidR="002D1E45" w:rsidRPr="0006094F" w:rsidRDefault="002D1E45"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15</w:t>
            </w:r>
          </w:p>
        </w:tc>
        <w:tc>
          <w:tcPr>
            <w:tcW w:w="1111" w:type="dxa"/>
            <w:shd w:val="clear" w:color="auto" w:fill="FFFFFF"/>
            <w:vAlign w:val="center"/>
          </w:tcPr>
          <w:p w:rsidR="002D1E45" w:rsidRPr="0006094F" w:rsidRDefault="002D1E45"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15</w:t>
            </w:r>
          </w:p>
        </w:tc>
        <w:tc>
          <w:tcPr>
            <w:tcW w:w="1121" w:type="dxa"/>
            <w:shd w:val="clear" w:color="auto" w:fill="FFFFFF"/>
            <w:vAlign w:val="center"/>
          </w:tcPr>
          <w:p w:rsidR="002D1E45" w:rsidRPr="0006094F" w:rsidRDefault="002D1E45"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18</w:t>
            </w:r>
          </w:p>
        </w:tc>
      </w:tr>
    </w:tbl>
    <w:p w:rsidR="002D1E45" w:rsidRPr="0006094F" w:rsidRDefault="002D1E45" w:rsidP="00BB3B2D">
      <w:pPr>
        <w:spacing w:after="0" w:line="240" w:lineRule="auto"/>
        <w:ind w:firstLine="709"/>
        <w:jc w:val="both"/>
        <w:rPr>
          <w:rFonts w:ascii="Times New Roman" w:hAnsi="Times New Roman"/>
          <w:sz w:val="28"/>
          <w:szCs w:val="28"/>
        </w:rPr>
      </w:pPr>
    </w:p>
    <w:p w:rsidR="002D1E45" w:rsidRPr="004738E5" w:rsidRDefault="002D1E45" w:rsidP="004738E5">
      <w:pPr>
        <w:spacing w:after="0" w:line="240" w:lineRule="auto"/>
        <w:ind w:firstLine="709"/>
        <w:jc w:val="both"/>
        <w:rPr>
          <w:rFonts w:ascii="Times New Roman" w:hAnsi="Times New Roman"/>
          <w:sz w:val="28"/>
          <w:szCs w:val="28"/>
        </w:rPr>
      </w:pPr>
      <w:r w:rsidRPr="004738E5">
        <w:rPr>
          <w:rFonts w:ascii="Times New Roman" w:hAnsi="Times New Roman"/>
          <w:sz w:val="28"/>
          <w:szCs w:val="28"/>
        </w:rPr>
        <w:t>При проектировании проездов и</w:t>
      </w:r>
      <w:r>
        <w:rPr>
          <w:rFonts w:ascii="Times New Roman" w:hAnsi="Times New Roman"/>
          <w:sz w:val="28"/>
          <w:szCs w:val="28"/>
        </w:rPr>
        <w:t> </w:t>
      </w:r>
      <w:r w:rsidRPr="004738E5">
        <w:rPr>
          <w:rFonts w:ascii="Times New Roman" w:hAnsi="Times New Roman"/>
          <w:sz w:val="28"/>
          <w:szCs w:val="28"/>
        </w:rPr>
        <w:t>пешеходных путей необходимо обеспечивать возможность проезда пожарных машин к</w:t>
      </w:r>
      <w:r>
        <w:rPr>
          <w:rFonts w:ascii="Times New Roman" w:hAnsi="Times New Roman"/>
          <w:sz w:val="28"/>
          <w:szCs w:val="28"/>
        </w:rPr>
        <w:t> </w:t>
      </w:r>
      <w:r w:rsidRPr="004738E5">
        <w:rPr>
          <w:rFonts w:ascii="Times New Roman" w:hAnsi="Times New Roman"/>
          <w:sz w:val="28"/>
          <w:szCs w:val="28"/>
        </w:rPr>
        <w:t>жилым и</w:t>
      </w:r>
      <w:r>
        <w:rPr>
          <w:rFonts w:ascii="Times New Roman" w:hAnsi="Times New Roman"/>
          <w:sz w:val="28"/>
          <w:szCs w:val="28"/>
        </w:rPr>
        <w:t> </w:t>
      </w:r>
      <w:r w:rsidRPr="004738E5">
        <w:rPr>
          <w:rFonts w:ascii="Times New Roman" w:hAnsi="Times New Roman"/>
          <w:sz w:val="28"/>
          <w:szCs w:val="28"/>
        </w:rPr>
        <w:t>общественным зданиям, в</w:t>
      </w:r>
      <w:r>
        <w:rPr>
          <w:rFonts w:ascii="Times New Roman" w:hAnsi="Times New Roman"/>
          <w:sz w:val="28"/>
          <w:szCs w:val="28"/>
        </w:rPr>
        <w:t> </w:t>
      </w:r>
      <w:r w:rsidRPr="004738E5">
        <w:rPr>
          <w:rFonts w:ascii="Times New Roman" w:hAnsi="Times New Roman"/>
          <w:sz w:val="28"/>
          <w:szCs w:val="28"/>
        </w:rPr>
        <w:t>том числе со</w:t>
      </w:r>
      <w:r>
        <w:rPr>
          <w:rFonts w:ascii="Times New Roman" w:hAnsi="Times New Roman"/>
          <w:sz w:val="28"/>
          <w:szCs w:val="28"/>
        </w:rPr>
        <w:t> </w:t>
      </w:r>
      <w:r w:rsidRPr="004738E5">
        <w:rPr>
          <w:rFonts w:ascii="Times New Roman" w:hAnsi="Times New Roman"/>
          <w:sz w:val="28"/>
          <w:szCs w:val="28"/>
        </w:rPr>
        <w:t>встроенно-пристроенными помещениями, и</w:t>
      </w:r>
      <w:r>
        <w:rPr>
          <w:rFonts w:ascii="Times New Roman" w:hAnsi="Times New Roman"/>
          <w:sz w:val="28"/>
          <w:szCs w:val="28"/>
        </w:rPr>
        <w:t> </w:t>
      </w:r>
      <w:r w:rsidRPr="004738E5">
        <w:rPr>
          <w:rFonts w:ascii="Times New Roman" w:hAnsi="Times New Roman"/>
          <w:sz w:val="28"/>
          <w:szCs w:val="28"/>
        </w:rPr>
        <w:t>доступ пожарных с</w:t>
      </w:r>
      <w:r>
        <w:rPr>
          <w:rFonts w:ascii="Times New Roman" w:hAnsi="Times New Roman"/>
          <w:sz w:val="28"/>
          <w:szCs w:val="28"/>
        </w:rPr>
        <w:t> </w:t>
      </w:r>
      <w:r w:rsidRPr="004738E5">
        <w:rPr>
          <w:rFonts w:ascii="Times New Roman" w:hAnsi="Times New Roman"/>
          <w:sz w:val="28"/>
          <w:szCs w:val="28"/>
        </w:rPr>
        <w:t>автолестниц или автоподъёмников в</w:t>
      </w:r>
      <w:r>
        <w:rPr>
          <w:rFonts w:ascii="Times New Roman" w:hAnsi="Times New Roman"/>
          <w:sz w:val="28"/>
          <w:szCs w:val="28"/>
        </w:rPr>
        <w:t> </w:t>
      </w:r>
      <w:r w:rsidRPr="004738E5">
        <w:rPr>
          <w:rFonts w:ascii="Times New Roman" w:hAnsi="Times New Roman"/>
          <w:sz w:val="28"/>
          <w:szCs w:val="28"/>
        </w:rPr>
        <w:t>любую квартиру или помещение.</w:t>
      </w:r>
    </w:p>
    <w:p w:rsidR="002D1E45" w:rsidRPr="004738E5" w:rsidRDefault="002D1E45" w:rsidP="004738E5">
      <w:pPr>
        <w:spacing w:after="0" w:line="240" w:lineRule="auto"/>
        <w:ind w:firstLine="709"/>
        <w:jc w:val="both"/>
        <w:rPr>
          <w:rFonts w:ascii="Times New Roman" w:hAnsi="Times New Roman"/>
          <w:sz w:val="28"/>
          <w:szCs w:val="28"/>
        </w:rPr>
      </w:pPr>
      <w:r w:rsidRPr="004738E5">
        <w:rPr>
          <w:rFonts w:ascii="Times New Roman" w:hAnsi="Times New Roman"/>
          <w:sz w:val="28"/>
          <w:szCs w:val="28"/>
        </w:rPr>
        <w:t>Вдоль фасадов зданий, не</w:t>
      </w:r>
      <w:r>
        <w:rPr>
          <w:rFonts w:ascii="Times New Roman" w:hAnsi="Times New Roman"/>
          <w:sz w:val="28"/>
          <w:szCs w:val="28"/>
        </w:rPr>
        <w:t> </w:t>
      </w:r>
      <w:r w:rsidRPr="004738E5">
        <w:rPr>
          <w:rFonts w:ascii="Times New Roman" w:hAnsi="Times New Roman"/>
          <w:sz w:val="28"/>
          <w:szCs w:val="28"/>
        </w:rPr>
        <w:t>имеющих входов, допускается предусматривать полосы шириной 6 м, пригодные для проезда пожарных машин с</w:t>
      </w:r>
      <w:r>
        <w:rPr>
          <w:rFonts w:ascii="Times New Roman" w:hAnsi="Times New Roman"/>
          <w:sz w:val="28"/>
          <w:szCs w:val="28"/>
        </w:rPr>
        <w:t> </w:t>
      </w:r>
      <w:r w:rsidRPr="004738E5">
        <w:rPr>
          <w:rFonts w:ascii="Times New Roman" w:hAnsi="Times New Roman"/>
          <w:sz w:val="28"/>
          <w:szCs w:val="28"/>
        </w:rPr>
        <w:t>учётом их</w:t>
      </w:r>
      <w:r>
        <w:rPr>
          <w:rFonts w:ascii="Times New Roman" w:hAnsi="Times New Roman"/>
          <w:sz w:val="28"/>
          <w:szCs w:val="28"/>
        </w:rPr>
        <w:t> </w:t>
      </w:r>
      <w:r w:rsidRPr="004738E5">
        <w:rPr>
          <w:rFonts w:ascii="Times New Roman" w:hAnsi="Times New Roman"/>
          <w:sz w:val="28"/>
          <w:szCs w:val="28"/>
        </w:rPr>
        <w:t>допустимой нагрузки на</w:t>
      </w:r>
      <w:r>
        <w:rPr>
          <w:rFonts w:ascii="Times New Roman" w:hAnsi="Times New Roman"/>
          <w:sz w:val="28"/>
          <w:szCs w:val="28"/>
        </w:rPr>
        <w:t> </w:t>
      </w:r>
      <w:r w:rsidRPr="004738E5">
        <w:rPr>
          <w:rFonts w:ascii="Times New Roman" w:hAnsi="Times New Roman"/>
          <w:sz w:val="28"/>
          <w:szCs w:val="28"/>
        </w:rPr>
        <w:t>покрытие или грунт.</w:t>
      </w:r>
    </w:p>
    <w:p w:rsidR="002D1E45" w:rsidRDefault="002D1E45" w:rsidP="004738E5">
      <w:pPr>
        <w:spacing w:after="0" w:line="240" w:lineRule="auto"/>
        <w:ind w:firstLine="709"/>
        <w:jc w:val="both"/>
        <w:rPr>
          <w:rFonts w:ascii="Times New Roman" w:hAnsi="Times New Roman"/>
          <w:sz w:val="28"/>
          <w:szCs w:val="28"/>
        </w:rPr>
      </w:pPr>
      <w:r w:rsidRPr="004738E5">
        <w:rPr>
          <w:rFonts w:ascii="Times New Roman" w:hAnsi="Times New Roman"/>
          <w:sz w:val="28"/>
          <w:szCs w:val="28"/>
        </w:rPr>
        <w:t>К рекам и</w:t>
      </w:r>
      <w:r>
        <w:rPr>
          <w:rFonts w:ascii="Times New Roman" w:hAnsi="Times New Roman"/>
          <w:sz w:val="28"/>
          <w:szCs w:val="28"/>
        </w:rPr>
        <w:t> </w:t>
      </w:r>
      <w:r w:rsidRPr="004738E5">
        <w:rPr>
          <w:rFonts w:ascii="Times New Roman" w:hAnsi="Times New Roman"/>
          <w:sz w:val="28"/>
          <w:szCs w:val="28"/>
        </w:rPr>
        <w:t>водоёмам следует предусматривать подъезды для забора воды пожарными машинами. Расстояния от</w:t>
      </w:r>
      <w:r>
        <w:rPr>
          <w:rFonts w:ascii="Times New Roman" w:hAnsi="Times New Roman"/>
          <w:sz w:val="28"/>
          <w:szCs w:val="28"/>
        </w:rPr>
        <w:t> </w:t>
      </w:r>
      <w:r w:rsidRPr="004738E5">
        <w:rPr>
          <w:rFonts w:ascii="Times New Roman" w:hAnsi="Times New Roman"/>
          <w:sz w:val="28"/>
          <w:szCs w:val="28"/>
        </w:rPr>
        <w:t>границ застройки поселений и</w:t>
      </w:r>
      <w:r>
        <w:rPr>
          <w:rFonts w:ascii="Times New Roman" w:hAnsi="Times New Roman"/>
          <w:sz w:val="28"/>
          <w:szCs w:val="28"/>
        </w:rPr>
        <w:t> </w:t>
      </w:r>
      <w:r w:rsidRPr="004738E5">
        <w:rPr>
          <w:rFonts w:ascii="Times New Roman" w:hAnsi="Times New Roman"/>
          <w:sz w:val="28"/>
          <w:szCs w:val="28"/>
        </w:rPr>
        <w:t>участков садоводческих товариществ не</w:t>
      </w:r>
      <w:r>
        <w:rPr>
          <w:rFonts w:ascii="Times New Roman" w:hAnsi="Times New Roman"/>
          <w:sz w:val="28"/>
          <w:szCs w:val="28"/>
        </w:rPr>
        <w:t> </w:t>
      </w:r>
      <w:r w:rsidRPr="004738E5">
        <w:rPr>
          <w:rFonts w:ascii="Times New Roman" w:hAnsi="Times New Roman"/>
          <w:sz w:val="28"/>
          <w:szCs w:val="28"/>
        </w:rPr>
        <w:t>менее 15 м.</w:t>
      </w:r>
    </w:p>
    <w:p w:rsidR="002D1E45" w:rsidRPr="004E0426" w:rsidRDefault="002D1E45" w:rsidP="004E0426">
      <w:pPr>
        <w:spacing w:after="0" w:line="240" w:lineRule="auto"/>
        <w:ind w:firstLine="709"/>
        <w:jc w:val="both"/>
        <w:rPr>
          <w:rFonts w:ascii="Times New Roman" w:hAnsi="Times New Roman"/>
          <w:color w:val="000000"/>
          <w:sz w:val="28"/>
          <w:szCs w:val="28"/>
          <w:lang w:eastAsia="ru-RU"/>
        </w:rPr>
      </w:pPr>
      <w:r w:rsidRPr="004E0426">
        <w:rPr>
          <w:rFonts w:ascii="Times New Roman" w:hAnsi="Times New Roman"/>
          <w:color w:val="000000"/>
          <w:sz w:val="28"/>
          <w:szCs w:val="28"/>
          <w:lang w:eastAsia="ru-RU"/>
        </w:rPr>
        <w:t>К зданиям с</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площадью застройки более 10000 квадратных метров или шириной более 100 метров подъезд пожарных автомобилей должен быть обеспечен со</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всех сторон.</w:t>
      </w:r>
    </w:p>
    <w:p w:rsidR="002D1E45" w:rsidRPr="004E0426" w:rsidRDefault="002D1E45" w:rsidP="004E0426">
      <w:pPr>
        <w:spacing w:after="0" w:line="240" w:lineRule="auto"/>
        <w:ind w:firstLine="709"/>
        <w:jc w:val="both"/>
        <w:rPr>
          <w:rFonts w:ascii="Times New Roman" w:hAnsi="Times New Roman"/>
          <w:color w:val="000000"/>
          <w:sz w:val="28"/>
          <w:szCs w:val="28"/>
          <w:lang w:eastAsia="ru-RU"/>
        </w:rPr>
      </w:pPr>
      <w:r w:rsidRPr="004E0426">
        <w:rPr>
          <w:rFonts w:ascii="Times New Roman" w:hAnsi="Times New Roman"/>
          <w:color w:val="000000"/>
          <w:sz w:val="28"/>
          <w:szCs w:val="28"/>
          <w:lang w:eastAsia="ru-RU"/>
        </w:rPr>
        <w:t>К зданиям и</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сооружениям по</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всей их</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длине должен быть обеспечен подъезд пожарных автомобилей с</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одной стороны при ширине здания или сооружения не</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более 18 метров и</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с</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двух сторон при ширине более 18 метров, а</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также при устройстве замкнутых и</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полузамкнутых дворов.</w:t>
      </w:r>
    </w:p>
    <w:p w:rsidR="002D1E45" w:rsidRPr="004E0426" w:rsidRDefault="002D1E45" w:rsidP="004E0426">
      <w:pPr>
        <w:spacing w:after="0" w:line="240" w:lineRule="auto"/>
        <w:ind w:firstLine="709"/>
        <w:jc w:val="both"/>
        <w:rPr>
          <w:rFonts w:ascii="Times New Roman" w:hAnsi="Times New Roman"/>
          <w:color w:val="000000"/>
          <w:sz w:val="28"/>
          <w:szCs w:val="28"/>
          <w:lang w:eastAsia="ru-RU"/>
        </w:rPr>
      </w:pPr>
      <w:r w:rsidRPr="004E0426">
        <w:rPr>
          <w:rFonts w:ascii="Times New Roman" w:hAnsi="Times New Roman"/>
          <w:color w:val="000000"/>
          <w:sz w:val="28"/>
          <w:szCs w:val="28"/>
          <w:lang w:eastAsia="ru-RU"/>
        </w:rPr>
        <w:t>Расстояние от</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края проезжей части или спланированной поверхности, обеспечивающей проезд пожарных автомобилей, до</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стен зданий высотой не</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более 12 метров должно быть не</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более 25 метров, при высоте зданий более 12, но</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не</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 xml:space="preserve">более 28 метров </w:t>
      </w:r>
      <w:r>
        <w:rPr>
          <w:rFonts w:ascii="Times New Roman" w:hAnsi="Times New Roman"/>
          <w:color w:val="000000"/>
          <w:sz w:val="28"/>
          <w:szCs w:val="28"/>
          <w:lang w:eastAsia="ru-RU"/>
        </w:rPr>
        <w:t>–</w:t>
      </w:r>
      <w:r w:rsidRPr="004E0426">
        <w:rPr>
          <w:rFonts w:ascii="Times New Roman" w:hAnsi="Times New Roman"/>
          <w:color w:val="000000"/>
          <w:sz w:val="28"/>
          <w:szCs w:val="28"/>
          <w:lang w:eastAsia="ru-RU"/>
        </w:rPr>
        <w:t xml:space="preserve"> не</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более 8 метров, а</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 xml:space="preserve">при высоте зданий более 28 метров </w:t>
      </w:r>
      <w:r>
        <w:rPr>
          <w:rFonts w:ascii="Times New Roman" w:hAnsi="Times New Roman"/>
          <w:color w:val="000000"/>
          <w:sz w:val="28"/>
          <w:szCs w:val="28"/>
          <w:lang w:eastAsia="ru-RU"/>
        </w:rPr>
        <w:t>–</w:t>
      </w:r>
      <w:r w:rsidRPr="004E0426">
        <w:rPr>
          <w:rFonts w:ascii="Times New Roman" w:hAnsi="Times New Roman"/>
          <w:color w:val="000000"/>
          <w:sz w:val="28"/>
          <w:szCs w:val="28"/>
          <w:lang w:eastAsia="ru-RU"/>
        </w:rPr>
        <w:t xml:space="preserve"> не</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более 10 метров.</w:t>
      </w:r>
    </w:p>
    <w:p w:rsidR="002D1E45" w:rsidRPr="004E0426" w:rsidRDefault="002D1E45" w:rsidP="004E0426">
      <w:pPr>
        <w:spacing w:after="0" w:line="240" w:lineRule="auto"/>
        <w:ind w:firstLine="709"/>
        <w:jc w:val="both"/>
        <w:rPr>
          <w:rFonts w:ascii="Times New Roman" w:hAnsi="Times New Roman"/>
          <w:color w:val="000000"/>
          <w:sz w:val="28"/>
          <w:szCs w:val="28"/>
          <w:lang w:eastAsia="ru-RU"/>
        </w:rPr>
      </w:pPr>
      <w:r w:rsidRPr="004E0426">
        <w:rPr>
          <w:rFonts w:ascii="Times New Roman" w:hAnsi="Times New Roman"/>
          <w:color w:val="000000"/>
          <w:sz w:val="28"/>
          <w:szCs w:val="28"/>
          <w:lang w:eastAsia="ru-RU"/>
        </w:rPr>
        <w:t>Расстояние от</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внутреннего края проезда до</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стены здания или сооружения должно быть:</w:t>
      </w:r>
    </w:p>
    <w:p w:rsidR="002D1E45" w:rsidRPr="004E0426" w:rsidRDefault="002D1E45" w:rsidP="00852938">
      <w:pPr>
        <w:numPr>
          <w:ilvl w:val="0"/>
          <w:numId w:val="24"/>
        </w:numPr>
        <w:tabs>
          <w:tab w:val="left" w:pos="1134"/>
        </w:tabs>
        <w:spacing w:after="0" w:line="240" w:lineRule="auto"/>
        <w:ind w:left="1134"/>
        <w:jc w:val="both"/>
        <w:rPr>
          <w:rFonts w:ascii="Times New Roman" w:hAnsi="Times New Roman"/>
          <w:color w:val="000000"/>
          <w:sz w:val="28"/>
          <w:szCs w:val="28"/>
          <w:lang w:eastAsia="ru-RU"/>
        </w:rPr>
      </w:pPr>
      <w:r w:rsidRPr="004E0426">
        <w:rPr>
          <w:rFonts w:ascii="Times New Roman" w:hAnsi="Times New Roman"/>
          <w:color w:val="000000"/>
          <w:sz w:val="28"/>
          <w:szCs w:val="28"/>
          <w:lang w:eastAsia="ru-RU"/>
        </w:rPr>
        <w:t xml:space="preserve">для зданий высотой до 28 метров включительно </w:t>
      </w:r>
      <w:r>
        <w:rPr>
          <w:rFonts w:ascii="Times New Roman" w:hAnsi="Times New Roman"/>
          <w:color w:val="000000"/>
          <w:sz w:val="28"/>
          <w:szCs w:val="28"/>
          <w:lang w:eastAsia="ru-RU"/>
        </w:rPr>
        <w:t>–</w:t>
      </w:r>
      <w:r w:rsidRPr="004E0426">
        <w:rPr>
          <w:rFonts w:ascii="Times New Roman" w:hAnsi="Times New Roman"/>
          <w:color w:val="000000"/>
          <w:sz w:val="28"/>
          <w:szCs w:val="28"/>
          <w:lang w:eastAsia="ru-RU"/>
        </w:rPr>
        <w:t xml:space="preserve"> 5-8 метров;</w:t>
      </w:r>
    </w:p>
    <w:p w:rsidR="002D1E45" w:rsidRPr="004E0426" w:rsidRDefault="002D1E45" w:rsidP="00852938">
      <w:pPr>
        <w:numPr>
          <w:ilvl w:val="0"/>
          <w:numId w:val="24"/>
        </w:numPr>
        <w:tabs>
          <w:tab w:val="left" w:pos="1134"/>
        </w:tabs>
        <w:spacing w:after="0" w:line="240" w:lineRule="auto"/>
        <w:ind w:left="1134"/>
        <w:jc w:val="both"/>
        <w:rPr>
          <w:rFonts w:ascii="Times New Roman" w:hAnsi="Times New Roman"/>
          <w:color w:val="000000"/>
          <w:sz w:val="28"/>
          <w:szCs w:val="28"/>
          <w:lang w:eastAsia="ru-RU"/>
        </w:rPr>
      </w:pPr>
      <w:r w:rsidRPr="004E0426">
        <w:rPr>
          <w:rFonts w:ascii="Times New Roman" w:hAnsi="Times New Roman"/>
          <w:color w:val="000000"/>
          <w:sz w:val="28"/>
          <w:szCs w:val="28"/>
          <w:lang w:eastAsia="ru-RU"/>
        </w:rPr>
        <w:t xml:space="preserve">для зданий высотой более 28 метров </w:t>
      </w:r>
      <w:r>
        <w:rPr>
          <w:rFonts w:ascii="Times New Roman" w:hAnsi="Times New Roman"/>
          <w:color w:val="000000"/>
          <w:sz w:val="28"/>
          <w:szCs w:val="28"/>
          <w:lang w:eastAsia="ru-RU"/>
        </w:rPr>
        <w:t>–</w:t>
      </w:r>
      <w:r w:rsidRPr="004E0426">
        <w:rPr>
          <w:rFonts w:ascii="Times New Roman" w:hAnsi="Times New Roman"/>
          <w:color w:val="000000"/>
          <w:sz w:val="28"/>
          <w:szCs w:val="28"/>
          <w:lang w:eastAsia="ru-RU"/>
        </w:rPr>
        <w:t xml:space="preserve"> 8-10 метров.</w:t>
      </w:r>
    </w:p>
    <w:p w:rsidR="002D1E45" w:rsidRPr="004E0426" w:rsidRDefault="002D1E45" w:rsidP="004E0426">
      <w:pPr>
        <w:spacing w:after="0" w:line="240" w:lineRule="auto"/>
        <w:ind w:firstLine="709"/>
        <w:jc w:val="both"/>
        <w:rPr>
          <w:rFonts w:ascii="Times New Roman" w:hAnsi="Times New Roman"/>
          <w:color w:val="000000"/>
          <w:sz w:val="28"/>
          <w:szCs w:val="28"/>
          <w:lang w:eastAsia="ru-RU"/>
        </w:rPr>
      </w:pPr>
      <w:r w:rsidRPr="004E0426">
        <w:rPr>
          <w:rFonts w:ascii="Times New Roman" w:hAnsi="Times New Roman"/>
          <w:color w:val="000000"/>
          <w:sz w:val="28"/>
          <w:szCs w:val="28"/>
          <w:lang w:eastAsia="ru-RU"/>
        </w:rPr>
        <w:t>Конструкция дорожной одежды проездов для пожарной техники должна быть рассчитана на</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нагрузку от</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пожарных автомобилей.</w:t>
      </w:r>
    </w:p>
    <w:p w:rsidR="002D1E45" w:rsidRPr="004E0426" w:rsidRDefault="002D1E45" w:rsidP="004E0426">
      <w:pPr>
        <w:spacing w:after="0" w:line="240" w:lineRule="auto"/>
        <w:ind w:firstLine="709"/>
        <w:jc w:val="both"/>
        <w:rPr>
          <w:rFonts w:ascii="Times New Roman" w:hAnsi="Times New Roman"/>
          <w:color w:val="000000"/>
          <w:sz w:val="28"/>
          <w:szCs w:val="28"/>
          <w:lang w:eastAsia="ru-RU"/>
        </w:rPr>
      </w:pPr>
      <w:r w:rsidRPr="004E0426">
        <w:rPr>
          <w:rFonts w:ascii="Times New Roman" w:hAnsi="Times New Roman"/>
          <w:color w:val="000000"/>
          <w:sz w:val="28"/>
          <w:szCs w:val="28"/>
          <w:lang w:eastAsia="ru-RU"/>
        </w:rPr>
        <w:t>В замкнутых и</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полузамкнутых дворах необходимо предусматривать проезды для пожарных автомобилей.</w:t>
      </w:r>
    </w:p>
    <w:p w:rsidR="002D1E45" w:rsidRPr="004E0426" w:rsidRDefault="002D1E45" w:rsidP="004E0426">
      <w:pPr>
        <w:spacing w:after="0" w:line="240" w:lineRule="auto"/>
        <w:ind w:firstLine="709"/>
        <w:jc w:val="both"/>
        <w:rPr>
          <w:rFonts w:ascii="Times New Roman" w:hAnsi="Times New Roman"/>
          <w:color w:val="000000"/>
          <w:sz w:val="28"/>
          <w:szCs w:val="28"/>
          <w:lang w:eastAsia="ru-RU"/>
        </w:rPr>
      </w:pPr>
      <w:r w:rsidRPr="004E0426">
        <w:rPr>
          <w:rFonts w:ascii="Times New Roman" w:hAnsi="Times New Roman"/>
          <w:color w:val="000000"/>
          <w:sz w:val="28"/>
          <w:szCs w:val="28"/>
          <w:lang w:eastAsia="ru-RU"/>
        </w:rPr>
        <w:t>Сквозные проезды (арки) в</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зданиях и</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сооружениях должны быть шириной не</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менее 3,5 метра, высотой не</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менее 4,5 метра и</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располагаться не</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более чем через каждые 300 метров, а</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в</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реконструируемых районах при застройке по</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 xml:space="preserve">периметру </w:t>
      </w:r>
      <w:r>
        <w:rPr>
          <w:rFonts w:ascii="Times New Roman" w:hAnsi="Times New Roman"/>
          <w:color w:val="000000"/>
          <w:sz w:val="28"/>
          <w:szCs w:val="28"/>
          <w:lang w:eastAsia="ru-RU"/>
        </w:rPr>
        <w:t>–</w:t>
      </w:r>
      <w:r w:rsidRPr="004E0426">
        <w:rPr>
          <w:rFonts w:ascii="Times New Roman" w:hAnsi="Times New Roman"/>
          <w:color w:val="000000"/>
          <w:sz w:val="28"/>
          <w:szCs w:val="28"/>
          <w:lang w:eastAsia="ru-RU"/>
        </w:rPr>
        <w:t xml:space="preserve"> не</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более чем через 180 метров.</w:t>
      </w:r>
    </w:p>
    <w:p w:rsidR="002D1E45" w:rsidRPr="004E0426" w:rsidRDefault="002D1E45" w:rsidP="004E0426">
      <w:pPr>
        <w:spacing w:after="0" w:line="240" w:lineRule="auto"/>
        <w:ind w:firstLine="709"/>
        <w:jc w:val="both"/>
        <w:rPr>
          <w:rFonts w:ascii="Times New Roman" w:hAnsi="Times New Roman"/>
          <w:color w:val="000000"/>
          <w:sz w:val="28"/>
          <w:szCs w:val="28"/>
          <w:lang w:eastAsia="ru-RU"/>
        </w:rPr>
      </w:pPr>
      <w:r w:rsidRPr="004E0426">
        <w:rPr>
          <w:rFonts w:ascii="Times New Roman" w:hAnsi="Times New Roman"/>
          <w:color w:val="000000"/>
          <w:sz w:val="28"/>
          <w:szCs w:val="28"/>
          <w:lang w:eastAsia="ru-RU"/>
        </w:rPr>
        <w:t>В исторической застройке поселений допускается сохранять существующие размеры сквозных проездов (арок).</w:t>
      </w:r>
    </w:p>
    <w:p w:rsidR="002D1E45" w:rsidRPr="004E0426" w:rsidRDefault="002D1E45" w:rsidP="004E0426">
      <w:pPr>
        <w:spacing w:after="0" w:line="240" w:lineRule="auto"/>
        <w:ind w:firstLine="709"/>
        <w:jc w:val="both"/>
        <w:rPr>
          <w:rFonts w:ascii="Times New Roman" w:hAnsi="Times New Roman"/>
          <w:color w:val="000000"/>
          <w:sz w:val="28"/>
          <w:szCs w:val="28"/>
          <w:lang w:eastAsia="ru-RU"/>
        </w:rPr>
      </w:pPr>
      <w:r w:rsidRPr="004E0426">
        <w:rPr>
          <w:rFonts w:ascii="Times New Roman" w:hAnsi="Times New Roman"/>
          <w:color w:val="000000"/>
          <w:sz w:val="28"/>
          <w:szCs w:val="28"/>
          <w:lang w:eastAsia="ru-RU"/>
        </w:rPr>
        <w:t>Тупиковые проезды должны заканчиваться площадками для разворота пожарной техники размером не</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менее чем 15×15 метров. Максимальная протяжённость тупикового проезда не</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должна превышать 150 метров.</w:t>
      </w:r>
    </w:p>
    <w:p w:rsidR="002D1E45" w:rsidRPr="004E0426" w:rsidRDefault="002D1E45" w:rsidP="004E0426">
      <w:pPr>
        <w:spacing w:after="0" w:line="240" w:lineRule="auto"/>
        <w:ind w:firstLine="709"/>
        <w:jc w:val="both"/>
        <w:rPr>
          <w:rFonts w:ascii="Times New Roman" w:hAnsi="Times New Roman"/>
          <w:color w:val="000000"/>
          <w:sz w:val="28"/>
          <w:szCs w:val="28"/>
          <w:lang w:eastAsia="ru-RU"/>
        </w:rPr>
      </w:pPr>
      <w:r w:rsidRPr="004E0426">
        <w:rPr>
          <w:rFonts w:ascii="Times New Roman" w:hAnsi="Times New Roman"/>
          <w:color w:val="000000"/>
          <w:sz w:val="28"/>
          <w:szCs w:val="28"/>
          <w:lang w:eastAsia="ru-RU"/>
        </w:rPr>
        <w:t>Сквозные проходы через лестничные клетки в</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зданиях и</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сооружениях располагаются на</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расстоянии не</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более 100 метров один от</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другого. При примыкании зданий и</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сооружений под углом друг к</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другу в</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расчёт принимается расстояние по</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периметру со</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стороны наружного водопровода с</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пожарными гидрантами.</w:t>
      </w:r>
    </w:p>
    <w:p w:rsidR="002D1E45" w:rsidRPr="004E0426" w:rsidRDefault="002D1E45" w:rsidP="004E0426">
      <w:pPr>
        <w:spacing w:after="0" w:line="240" w:lineRule="auto"/>
        <w:ind w:firstLine="709"/>
        <w:jc w:val="both"/>
        <w:rPr>
          <w:rFonts w:ascii="Times New Roman" w:hAnsi="Times New Roman"/>
          <w:color w:val="000000"/>
          <w:sz w:val="28"/>
          <w:szCs w:val="28"/>
          <w:lang w:eastAsia="ru-RU"/>
        </w:rPr>
      </w:pPr>
      <w:r w:rsidRPr="004E0426">
        <w:rPr>
          <w:rFonts w:ascii="Times New Roman" w:hAnsi="Times New Roman"/>
          <w:color w:val="000000"/>
          <w:sz w:val="28"/>
          <w:szCs w:val="28"/>
          <w:lang w:eastAsia="ru-RU"/>
        </w:rPr>
        <w:t>К водоёмам, являющимся источниками противопожарного водоснабжения, а</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также к</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градирням, брызгальным бассейнам и</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другим сооружениям, вода из</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которых может быть использована для тушения пожара, надлежит предусматривать подъезды с</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площадками для разворота пожарных автомобилей, их</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установки и</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забора воды. Размер таких площадок должен быть не</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менее 12×12 метров.</w:t>
      </w:r>
    </w:p>
    <w:p w:rsidR="002D1E45" w:rsidRPr="004E0426" w:rsidRDefault="002D1E45" w:rsidP="004E0426">
      <w:pPr>
        <w:spacing w:after="0" w:line="240" w:lineRule="auto"/>
        <w:ind w:firstLine="709"/>
        <w:jc w:val="both"/>
        <w:rPr>
          <w:rFonts w:ascii="Times New Roman" w:hAnsi="Times New Roman"/>
          <w:color w:val="000000"/>
          <w:sz w:val="28"/>
          <w:szCs w:val="28"/>
          <w:lang w:eastAsia="ru-RU"/>
        </w:rPr>
      </w:pPr>
      <w:r w:rsidRPr="004E0426">
        <w:rPr>
          <w:rFonts w:ascii="Times New Roman" w:hAnsi="Times New Roman"/>
          <w:color w:val="000000"/>
          <w:sz w:val="28"/>
          <w:szCs w:val="28"/>
          <w:lang w:eastAsia="ru-RU"/>
        </w:rPr>
        <w:t>В зданиях объёмом до 1000 кубических метров, не</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имеющих кольцевого противопожарного водопровода, зданиях и</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сооружениях с</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производствами категорий В, Г</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и</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Д</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по</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пожаровзрывоопасности и</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пожарной опасности при расходе воды на</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наружное пожаротушение 10 литров в</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секунду, на</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складах грубых кормов объёмом до 1000 кубических метров, складах минеральных удобрений объёмом до 5000 кубических метров, в</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зданиях радиотелевизионных передающих станций, зданиях холодильников и</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хранилищ овощей и</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фруктов допускается предусматривать в</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качестве источников наружного противопожарного водоснабжения природные или искусственные водоёмы.</w:t>
      </w:r>
    </w:p>
    <w:p w:rsidR="002D1E45" w:rsidRPr="004E0426" w:rsidRDefault="002D1E45" w:rsidP="004E0426">
      <w:pPr>
        <w:spacing w:after="0" w:line="240" w:lineRule="auto"/>
        <w:ind w:firstLine="709"/>
        <w:jc w:val="both"/>
        <w:rPr>
          <w:rFonts w:ascii="Times New Roman" w:hAnsi="Times New Roman"/>
          <w:color w:val="000000"/>
          <w:sz w:val="28"/>
          <w:szCs w:val="28"/>
          <w:lang w:eastAsia="ru-RU"/>
        </w:rPr>
      </w:pPr>
      <w:r w:rsidRPr="004E0426">
        <w:rPr>
          <w:rFonts w:ascii="Times New Roman" w:hAnsi="Times New Roman"/>
          <w:color w:val="000000"/>
          <w:sz w:val="28"/>
          <w:szCs w:val="28"/>
          <w:lang w:eastAsia="ru-RU"/>
        </w:rPr>
        <w:t>Допускается не</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предусматривать наружное противопожарное водоснабжение расположенных вне населённых пунктов отдельно стоящих зданий и</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сооружений классов функциональной пожарной опасности Ф1.2, Ф1.3, Ф1.4, Ф2.3, Ф2.4, Ф3 (кроме Ф3.4), в</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которых одновременно могут находиться до 50 человек и</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объём которых не</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более 1000 кубических метров.</w:t>
      </w:r>
    </w:p>
    <w:p w:rsidR="002D1E45" w:rsidRPr="004E0426" w:rsidRDefault="002D1E45" w:rsidP="004E0426">
      <w:pPr>
        <w:spacing w:after="0" w:line="240" w:lineRule="auto"/>
        <w:ind w:firstLine="709"/>
        <w:jc w:val="both"/>
        <w:rPr>
          <w:rFonts w:ascii="Times New Roman" w:hAnsi="Times New Roman"/>
          <w:color w:val="000000"/>
          <w:sz w:val="28"/>
          <w:szCs w:val="28"/>
          <w:lang w:eastAsia="ru-RU"/>
        </w:rPr>
      </w:pPr>
      <w:r w:rsidRPr="004E0426">
        <w:rPr>
          <w:rFonts w:ascii="Times New Roman" w:hAnsi="Times New Roman"/>
          <w:color w:val="000000"/>
          <w:sz w:val="28"/>
          <w:szCs w:val="28"/>
          <w:lang w:eastAsia="ru-RU"/>
        </w:rPr>
        <w:t>Пожарные гидранты на</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водопроводной сети устанавливаются на</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расстоянии не</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более 100 м</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друг от</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друга. Расстояние от</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пожарных гидрантов до</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оснований штабелей и</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куч открытого хранения, а</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также до</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закрытых складов лесоматериалов должно быть не</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менее 8 м</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и</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не</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более 25 м.</w:t>
      </w:r>
    </w:p>
    <w:p w:rsidR="002D1E45" w:rsidRDefault="002D1E45" w:rsidP="004E0426">
      <w:pPr>
        <w:spacing w:after="0" w:line="240" w:lineRule="auto"/>
        <w:ind w:firstLine="709"/>
        <w:jc w:val="both"/>
        <w:rPr>
          <w:rFonts w:ascii="Times New Roman" w:hAnsi="Times New Roman"/>
          <w:color w:val="000000"/>
          <w:sz w:val="28"/>
          <w:szCs w:val="28"/>
          <w:lang w:eastAsia="ru-RU"/>
        </w:rPr>
      </w:pPr>
      <w:r w:rsidRPr="004E0426">
        <w:rPr>
          <w:rFonts w:ascii="Times New Roman" w:hAnsi="Times New Roman"/>
          <w:color w:val="000000"/>
          <w:sz w:val="28"/>
          <w:szCs w:val="28"/>
          <w:lang w:eastAsia="ru-RU"/>
        </w:rPr>
        <w:t xml:space="preserve">При дальнейшем развитии застройки </w:t>
      </w:r>
      <w:r>
        <w:rPr>
          <w:rFonts w:ascii="Times New Roman" w:hAnsi="Times New Roman"/>
          <w:sz w:val="28"/>
          <w:szCs w:val="28"/>
        </w:rPr>
        <w:t>города Куйбышева</w:t>
      </w:r>
      <w:r w:rsidRPr="004E0426">
        <w:rPr>
          <w:rFonts w:ascii="Times New Roman" w:hAnsi="Times New Roman"/>
          <w:color w:val="000000"/>
          <w:sz w:val="28"/>
          <w:szCs w:val="28"/>
          <w:lang w:eastAsia="ru-RU"/>
        </w:rPr>
        <w:t xml:space="preserve"> в</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части, касающейся противопожарного водоснабжения, необходимо учитывать требовании статьи 68 «Технического регламента о</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требованиях пожарной безопасности», утверждённого Федеральным законом от 22.07.2008 № 123-Ф3.</w:t>
      </w:r>
    </w:p>
    <w:p w:rsidR="002D1E45" w:rsidRPr="004E0426" w:rsidRDefault="002D1E45" w:rsidP="004E0426">
      <w:pPr>
        <w:spacing w:after="0" w:line="240" w:lineRule="auto"/>
        <w:ind w:firstLine="709"/>
        <w:jc w:val="both"/>
        <w:rPr>
          <w:rFonts w:ascii="Times New Roman" w:hAnsi="Times New Roman"/>
          <w:color w:val="000000"/>
          <w:sz w:val="28"/>
          <w:szCs w:val="28"/>
          <w:lang w:eastAsia="ru-RU"/>
        </w:rPr>
      </w:pPr>
      <w:r>
        <w:rPr>
          <w:rFonts w:ascii="Times New Roman" w:hAnsi="Times New Roman"/>
          <w:color w:val="000000"/>
          <w:sz w:val="28"/>
          <w:szCs w:val="28"/>
          <w:lang w:eastAsia="ru-RU"/>
        </w:rPr>
        <w:t>Перечень и месторасположение пожарных гидрантов на территории города представлены в приложении (разд. 10.2).</w:t>
      </w:r>
    </w:p>
    <w:p w:rsidR="002D1E45" w:rsidRPr="004E0426" w:rsidRDefault="002D1E45" w:rsidP="004E0426">
      <w:pPr>
        <w:spacing w:after="0" w:line="240" w:lineRule="auto"/>
        <w:ind w:firstLine="709"/>
        <w:jc w:val="both"/>
        <w:rPr>
          <w:rFonts w:ascii="Times New Roman" w:hAnsi="Times New Roman"/>
          <w:color w:val="000000"/>
          <w:sz w:val="28"/>
          <w:szCs w:val="28"/>
          <w:lang w:eastAsia="ru-RU"/>
        </w:rPr>
      </w:pPr>
      <w:r w:rsidRPr="004E0426">
        <w:rPr>
          <w:rFonts w:ascii="Times New Roman" w:hAnsi="Times New Roman"/>
          <w:color w:val="000000"/>
          <w:sz w:val="28"/>
          <w:szCs w:val="28"/>
          <w:lang w:eastAsia="ru-RU"/>
        </w:rPr>
        <w:t>Опасные производственные объекты, на</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которых производятся, используются, перерабатываются, образуются, хранятся, транспортируются, уничтожаются пожаровзрывоопасные вещества и</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материалы и</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для которых обязательна разработка декларации о</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 xml:space="preserve">промышленной безопасности (далее </w:t>
      </w:r>
      <w:r>
        <w:rPr>
          <w:rFonts w:ascii="Times New Roman" w:hAnsi="Times New Roman"/>
          <w:color w:val="000000"/>
          <w:sz w:val="28"/>
          <w:szCs w:val="28"/>
          <w:lang w:eastAsia="ru-RU"/>
        </w:rPr>
        <w:t>–</w:t>
      </w:r>
      <w:r w:rsidRPr="004E0426">
        <w:rPr>
          <w:rFonts w:ascii="Times New Roman" w:hAnsi="Times New Roman"/>
          <w:color w:val="000000"/>
          <w:sz w:val="28"/>
          <w:szCs w:val="28"/>
          <w:lang w:eastAsia="ru-RU"/>
        </w:rPr>
        <w:t xml:space="preserve"> взрывопожароопасные объекты), должны размещаться за</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границами поселений и</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городских округов, а</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если это невозможно или нецелесообразно, то</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должны быть разработаны меры по</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защите людей, зданий и</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сооружений, находящихся за</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пределами территории взрывопожароопасного объекта, от</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воздействия опасных факторов пожара и (или) взрыва. Иные производственные объекты, на</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территориях которых расположены здания и</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сооружения категорий А, Б</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и</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В</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по</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взрывопожарной и</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пожарной опасности, могут размещаться как на</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территориях, так и</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за</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границами поселений и</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городских округов. При этом расчётное значение пожарного риска не</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должно превышать допустимое значение пожарного риска, установленное настоящим Федеральным законом. При размещении взрывопожароопасных объектов в</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границах поселений и</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городских округов необходимо учитывать возможность воздействия опасных факторов пожара на</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соседние объекты защиты, климатические и</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географические особенности, рельеф местности, направление течения рек и</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преобладающее направление ветра. При этом расстояние от</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границ земельного участка производственного объекта до</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зданий классов функциональной опасности Ф1-Ф4, земельных участков дошкольных образовательных организаций, общеобразовательных организаций, медицинских организаций и</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учреждений отдыха должно составлять не</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менее 50 метров.</w:t>
      </w:r>
    </w:p>
    <w:p w:rsidR="002D1E45" w:rsidRPr="004E0426" w:rsidRDefault="002D1E45" w:rsidP="004E0426">
      <w:pPr>
        <w:spacing w:after="0" w:line="240" w:lineRule="auto"/>
        <w:ind w:firstLine="709"/>
        <w:jc w:val="both"/>
        <w:rPr>
          <w:rFonts w:ascii="Times New Roman" w:hAnsi="Times New Roman"/>
          <w:color w:val="000000"/>
          <w:sz w:val="28"/>
          <w:szCs w:val="28"/>
          <w:lang w:eastAsia="ru-RU"/>
        </w:rPr>
      </w:pPr>
      <w:r w:rsidRPr="004E0426">
        <w:rPr>
          <w:rFonts w:ascii="Times New Roman" w:hAnsi="Times New Roman"/>
          <w:color w:val="000000"/>
          <w:sz w:val="28"/>
          <w:szCs w:val="28"/>
          <w:lang w:eastAsia="ru-RU"/>
        </w:rPr>
        <w:t>Склады сжиженных углеводородных газов и</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легковоспламеняющихся жидкостей должны располагаться вне жилой зоны населённых пунктов с</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подветренной стороны преобладающего направления ветра по</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отношению к</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жилым районам. Земельные участки под размещение складов сжиженных углеводородных газов и</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легковоспламеняющихся жидкостей должны располагаться ниже по</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течению реки по</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отношению к</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населённым пунктам, пристаням, речным вокзалам, гидроэлектростанциям, судоремонтным и</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судостроительным организациям, мостам и</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сооружениям на</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расстоянии не</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менее 300 метров от</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них, если техническими регламентами не</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установлены большие расстояния от</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указанных сооружений. Допускается размещение складов выше по</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течению реки по</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отношению к</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указанным сооружениям на</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расстоянии не</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менее 3000 метров от</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них при условии оснащения складов средствами оповещения и</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связи, а</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также средствами локализации и</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тушения пожаров.</w:t>
      </w:r>
    </w:p>
    <w:p w:rsidR="002D1E45" w:rsidRPr="004E0426" w:rsidRDefault="002D1E45" w:rsidP="004E0426">
      <w:pPr>
        <w:spacing w:after="0" w:line="240" w:lineRule="auto"/>
        <w:ind w:firstLine="709"/>
        <w:jc w:val="both"/>
        <w:rPr>
          <w:rFonts w:ascii="Times New Roman" w:hAnsi="Times New Roman"/>
          <w:color w:val="000000"/>
          <w:sz w:val="28"/>
          <w:szCs w:val="28"/>
          <w:lang w:eastAsia="ru-RU"/>
        </w:rPr>
      </w:pPr>
      <w:r w:rsidRPr="004E0426">
        <w:rPr>
          <w:rFonts w:ascii="Times New Roman" w:hAnsi="Times New Roman"/>
          <w:color w:val="000000"/>
          <w:sz w:val="28"/>
          <w:szCs w:val="28"/>
          <w:lang w:eastAsia="ru-RU"/>
        </w:rPr>
        <w:t>Сооружения складов сжиженных углеводородных газов и</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легковоспламеняющихся жидкостей должны располагаться на</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земельных участках, имеющих более низкие уровни по</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сравнению с</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отметками территорий соседних населённых пунктов, организаций и</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путей железных дорог общей сети. Допускается размещение указанных складов на</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земельных участках, имеющих более высокие уровни по</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сравнению с</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отметками территорий соседних населённых пунктов, организаций и</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путей железных дорог общей сети, на</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расстоянии более 300 метров от</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них. На</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складах, расположенных на</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расстоянии от 100 до 300 метров, должны быть предусмотрены меры (в том числе второе обвалование, аварийные ёмкости, отводные каналы, траншеи), предотвращающие растекание жидкости на</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территории населённых пунктов, организаций и</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на</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пути железных дорог общей сети.</w:t>
      </w:r>
    </w:p>
    <w:p w:rsidR="002D1E45" w:rsidRPr="004E0426" w:rsidRDefault="002D1E45" w:rsidP="004E0426">
      <w:pPr>
        <w:spacing w:after="0" w:line="240" w:lineRule="auto"/>
        <w:ind w:firstLine="709"/>
        <w:jc w:val="both"/>
        <w:rPr>
          <w:rFonts w:ascii="Times New Roman" w:hAnsi="Times New Roman"/>
          <w:color w:val="000000"/>
          <w:sz w:val="28"/>
          <w:szCs w:val="28"/>
          <w:lang w:eastAsia="ru-RU"/>
        </w:rPr>
      </w:pPr>
      <w:r w:rsidRPr="004E0426">
        <w:rPr>
          <w:rFonts w:ascii="Times New Roman" w:hAnsi="Times New Roman"/>
          <w:color w:val="000000"/>
          <w:sz w:val="28"/>
          <w:szCs w:val="28"/>
          <w:lang w:eastAsia="ru-RU"/>
        </w:rPr>
        <w:t>В пределах зон жилых застроек, общественно-деловых зон и</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зон рекреационного назначения поселений и</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городских округов допускается размещать производственные объекты, на</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территориях которых нет зданий и</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сооружений категорий А, Б</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и</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В</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по</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взрывопожарной и</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пожарной опасности. При этом расстояние от</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границ земельного участка производственного объекта до</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жилых зданий, зданий дошкольных образовательных организаций, общеобразовательных организаций, медицинских организаций и</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учреждений отдыха устанавливается в</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соответствии с</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требованиями Федерального закона № 123-Ф3.</w:t>
      </w:r>
    </w:p>
    <w:p w:rsidR="002D1E45" w:rsidRPr="004E0426" w:rsidRDefault="002D1E45" w:rsidP="004E0426">
      <w:pPr>
        <w:spacing w:after="0" w:line="240" w:lineRule="auto"/>
        <w:ind w:firstLine="709"/>
        <w:jc w:val="both"/>
        <w:rPr>
          <w:rFonts w:ascii="Times New Roman" w:hAnsi="Times New Roman"/>
          <w:color w:val="000000"/>
          <w:sz w:val="28"/>
          <w:szCs w:val="28"/>
          <w:lang w:eastAsia="ru-RU"/>
        </w:rPr>
      </w:pPr>
      <w:r w:rsidRPr="004E0426">
        <w:rPr>
          <w:rFonts w:ascii="Times New Roman" w:hAnsi="Times New Roman"/>
          <w:color w:val="000000"/>
          <w:sz w:val="28"/>
          <w:szCs w:val="28"/>
          <w:lang w:eastAsia="ru-RU"/>
        </w:rPr>
        <w:t>В случае невозможности устранения воздействия на</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людей и</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жилые здания опасных факторов пожара и</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взрыва на</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взрывопожароопасных объектах, расположенных в</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пределах зоны жилой застройки, следует предусматривать уменьшение мощности, перепрофилирование организаций или отдельного производства либо перебазирование организации за</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пределы жилой застройки.</w:t>
      </w:r>
    </w:p>
    <w:p w:rsidR="002D1E45" w:rsidRPr="004E0426" w:rsidRDefault="002D1E45" w:rsidP="004E0426">
      <w:pPr>
        <w:spacing w:after="0" w:line="240" w:lineRule="auto"/>
        <w:ind w:firstLine="709"/>
        <w:jc w:val="both"/>
        <w:rPr>
          <w:rFonts w:ascii="Times New Roman" w:hAnsi="Times New Roman"/>
          <w:color w:val="000000"/>
          <w:sz w:val="28"/>
          <w:szCs w:val="28"/>
          <w:lang w:eastAsia="ru-RU"/>
        </w:rPr>
      </w:pPr>
      <w:r w:rsidRPr="004E0426">
        <w:rPr>
          <w:rFonts w:ascii="Times New Roman" w:hAnsi="Times New Roman"/>
          <w:color w:val="000000"/>
          <w:sz w:val="28"/>
          <w:szCs w:val="28"/>
          <w:lang w:eastAsia="ru-RU"/>
        </w:rPr>
        <w:t>Число пожарных депо в</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поселении, площадь их</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застройки, а</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также число пожарных автомобилей принимаются по</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нормам проектирования объектов пожарной охраны (НПБ 101-95. Нормы проектирования объектов пожарной охраны), введённых в</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действие приказом ГУГПС МВД России от 30 декабря 1994 года № 36. Радиус обслуживания пожарного депо, согласно данному документу, не</w:t>
      </w:r>
      <w:r>
        <w:rPr>
          <w:rFonts w:ascii="Times New Roman" w:hAnsi="Times New Roman"/>
          <w:color w:val="000000"/>
          <w:sz w:val="28"/>
          <w:szCs w:val="28"/>
          <w:lang w:eastAsia="ru-RU"/>
        </w:rPr>
        <w:t> </w:t>
      </w:r>
      <w:r w:rsidRPr="004E0426">
        <w:rPr>
          <w:rFonts w:ascii="Times New Roman" w:hAnsi="Times New Roman"/>
          <w:color w:val="000000"/>
          <w:sz w:val="28"/>
          <w:szCs w:val="28"/>
          <w:lang w:eastAsia="ru-RU"/>
        </w:rPr>
        <w:t>должен</w:t>
      </w:r>
      <w:r w:rsidRPr="004E0426">
        <w:rPr>
          <w:rFonts w:ascii="Times New Roman" w:hAnsi="Times New Roman"/>
          <w:color w:val="000000"/>
          <w:sz w:val="28"/>
          <w:szCs w:val="28"/>
          <w:vertAlign w:val="superscript"/>
          <w:lang w:eastAsia="ru-RU"/>
        </w:rPr>
        <w:footnoteReference w:id="6"/>
      </w:r>
      <w:r w:rsidRPr="004E0426">
        <w:rPr>
          <w:rFonts w:ascii="Times New Roman" w:hAnsi="Times New Roman"/>
          <w:color w:val="000000"/>
          <w:sz w:val="28"/>
          <w:szCs w:val="28"/>
          <w:lang w:eastAsia="ru-RU"/>
        </w:rPr>
        <w:t xml:space="preserve"> превышать 3 км.</w:t>
      </w:r>
    </w:p>
    <w:p w:rsidR="002D1E45" w:rsidRPr="004738E5" w:rsidRDefault="002D1E45" w:rsidP="004738E5">
      <w:pPr>
        <w:spacing w:after="0" w:line="240" w:lineRule="auto"/>
        <w:ind w:firstLine="709"/>
        <w:jc w:val="both"/>
        <w:rPr>
          <w:rFonts w:ascii="Times New Roman" w:hAnsi="Times New Roman"/>
          <w:sz w:val="28"/>
          <w:szCs w:val="28"/>
        </w:rPr>
      </w:pPr>
      <w:r w:rsidRPr="004738E5">
        <w:rPr>
          <w:rFonts w:ascii="Times New Roman" w:hAnsi="Times New Roman"/>
          <w:sz w:val="28"/>
          <w:szCs w:val="28"/>
        </w:rPr>
        <w:t>Основным требованием системы оповещения является обеспечение своевременного доведения сигналов (распоряжений) и</w:t>
      </w:r>
      <w:r>
        <w:rPr>
          <w:rFonts w:ascii="Times New Roman" w:hAnsi="Times New Roman"/>
          <w:sz w:val="28"/>
          <w:szCs w:val="28"/>
        </w:rPr>
        <w:t> </w:t>
      </w:r>
      <w:r w:rsidRPr="004738E5">
        <w:rPr>
          <w:rFonts w:ascii="Times New Roman" w:hAnsi="Times New Roman"/>
          <w:sz w:val="28"/>
          <w:szCs w:val="28"/>
        </w:rPr>
        <w:t>информации от</w:t>
      </w:r>
      <w:r>
        <w:rPr>
          <w:rFonts w:ascii="Times New Roman" w:hAnsi="Times New Roman"/>
          <w:sz w:val="28"/>
          <w:szCs w:val="28"/>
        </w:rPr>
        <w:t> </w:t>
      </w:r>
      <w:r w:rsidRPr="004738E5">
        <w:rPr>
          <w:rFonts w:ascii="Times New Roman" w:hAnsi="Times New Roman"/>
          <w:sz w:val="28"/>
          <w:szCs w:val="28"/>
        </w:rPr>
        <w:t>органа, осуществляющего управление ГО, потенциально-опасных и</w:t>
      </w:r>
      <w:r>
        <w:rPr>
          <w:rFonts w:ascii="Times New Roman" w:hAnsi="Times New Roman"/>
          <w:sz w:val="28"/>
          <w:szCs w:val="28"/>
        </w:rPr>
        <w:t> </w:t>
      </w:r>
      <w:r w:rsidRPr="004738E5">
        <w:rPr>
          <w:rFonts w:ascii="Times New Roman" w:hAnsi="Times New Roman"/>
          <w:sz w:val="28"/>
          <w:szCs w:val="28"/>
        </w:rPr>
        <w:t>других объектов экономики, а</w:t>
      </w:r>
      <w:r>
        <w:rPr>
          <w:rFonts w:ascii="Times New Roman" w:hAnsi="Times New Roman"/>
          <w:sz w:val="28"/>
          <w:szCs w:val="28"/>
        </w:rPr>
        <w:t> </w:t>
      </w:r>
      <w:r w:rsidRPr="004738E5">
        <w:rPr>
          <w:rFonts w:ascii="Times New Roman" w:hAnsi="Times New Roman"/>
          <w:sz w:val="28"/>
          <w:szCs w:val="28"/>
        </w:rPr>
        <w:t>также население при введении военных действий или вследствие этих действий.</w:t>
      </w:r>
    </w:p>
    <w:p w:rsidR="002D1E45" w:rsidRPr="004738E5" w:rsidRDefault="002D1E45" w:rsidP="004738E5">
      <w:pPr>
        <w:spacing w:after="0" w:line="240" w:lineRule="auto"/>
        <w:ind w:firstLine="709"/>
        <w:jc w:val="both"/>
        <w:rPr>
          <w:rFonts w:ascii="Times New Roman" w:hAnsi="Times New Roman"/>
          <w:sz w:val="28"/>
          <w:szCs w:val="28"/>
        </w:rPr>
      </w:pPr>
      <w:r w:rsidRPr="004738E5">
        <w:rPr>
          <w:rFonts w:ascii="Times New Roman" w:hAnsi="Times New Roman"/>
          <w:sz w:val="28"/>
          <w:szCs w:val="28"/>
        </w:rPr>
        <w:t>Немаловажным является обеспечение жителей своевременной информацией о</w:t>
      </w:r>
      <w:r>
        <w:rPr>
          <w:rFonts w:ascii="Times New Roman" w:hAnsi="Times New Roman"/>
          <w:sz w:val="28"/>
          <w:szCs w:val="28"/>
        </w:rPr>
        <w:t> </w:t>
      </w:r>
      <w:r w:rsidRPr="004738E5">
        <w:rPr>
          <w:rFonts w:ascii="Times New Roman" w:hAnsi="Times New Roman"/>
          <w:sz w:val="28"/>
          <w:szCs w:val="28"/>
        </w:rPr>
        <w:t>чрезвычайных ситуациях с</w:t>
      </w:r>
      <w:r>
        <w:rPr>
          <w:rFonts w:ascii="Times New Roman" w:hAnsi="Times New Roman"/>
          <w:sz w:val="28"/>
          <w:szCs w:val="28"/>
        </w:rPr>
        <w:t> </w:t>
      </w:r>
      <w:r w:rsidRPr="004738E5">
        <w:rPr>
          <w:rFonts w:ascii="Times New Roman" w:hAnsi="Times New Roman"/>
          <w:sz w:val="28"/>
          <w:szCs w:val="28"/>
        </w:rPr>
        <w:t>использованием современных технических средств массовой информации, устанавливаемых в</w:t>
      </w:r>
      <w:r>
        <w:rPr>
          <w:rFonts w:ascii="Times New Roman" w:hAnsi="Times New Roman"/>
          <w:sz w:val="28"/>
          <w:szCs w:val="28"/>
        </w:rPr>
        <w:t> </w:t>
      </w:r>
      <w:r w:rsidRPr="004738E5">
        <w:rPr>
          <w:rFonts w:ascii="Times New Roman" w:hAnsi="Times New Roman"/>
          <w:sz w:val="28"/>
          <w:szCs w:val="28"/>
        </w:rPr>
        <w:t>местах массового пребывания людей, а</w:t>
      </w:r>
      <w:r>
        <w:rPr>
          <w:rFonts w:ascii="Times New Roman" w:hAnsi="Times New Roman"/>
          <w:sz w:val="28"/>
          <w:szCs w:val="28"/>
        </w:rPr>
        <w:t> </w:t>
      </w:r>
      <w:r w:rsidRPr="004738E5">
        <w:rPr>
          <w:rFonts w:ascii="Times New Roman" w:hAnsi="Times New Roman"/>
          <w:sz w:val="28"/>
          <w:szCs w:val="28"/>
        </w:rPr>
        <w:t>также определения порядка размещения этих средств и</w:t>
      </w:r>
      <w:r>
        <w:rPr>
          <w:rFonts w:ascii="Times New Roman" w:hAnsi="Times New Roman"/>
          <w:sz w:val="28"/>
          <w:szCs w:val="28"/>
        </w:rPr>
        <w:t> </w:t>
      </w:r>
      <w:r w:rsidRPr="004738E5">
        <w:rPr>
          <w:rFonts w:ascii="Times New Roman" w:hAnsi="Times New Roman"/>
          <w:sz w:val="28"/>
          <w:szCs w:val="28"/>
        </w:rPr>
        <w:t xml:space="preserve">распространения соответствующей информации. </w:t>
      </w:r>
    </w:p>
    <w:p w:rsidR="002D1E45" w:rsidRDefault="002D1E45" w:rsidP="004738E5">
      <w:pPr>
        <w:spacing w:after="0" w:line="240" w:lineRule="auto"/>
        <w:ind w:firstLine="709"/>
        <w:jc w:val="both"/>
        <w:rPr>
          <w:rFonts w:ascii="Times New Roman" w:hAnsi="Times New Roman"/>
          <w:sz w:val="28"/>
          <w:szCs w:val="28"/>
        </w:rPr>
      </w:pPr>
      <w:r w:rsidRPr="004738E5">
        <w:rPr>
          <w:rFonts w:ascii="Times New Roman" w:hAnsi="Times New Roman"/>
          <w:sz w:val="28"/>
          <w:szCs w:val="28"/>
        </w:rPr>
        <w:t>Проблема оповещения приобретает очень большое значение и</w:t>
      </w:r>
      <w:r>
        <w:rPr>
          <w:rFonts w:ascii="Times New Roman" w:hAnsi="Times New Roman"/>
          <w:sz w:val="28"/>
          <w:szCs w:val="28"/>
        </w:rPr>
        <w:t> </w:t>
      </w:r>
      <w:r w:rsidRPr="004738E5">
        <w:rPr>
          <w:rFonts w:ascii="Times New Roman" w:hAnsi="Times New Roman"/>
          <w:sz w:val="28"/>
          <w:szCs w:val="28"/>
        </w:rPr>
        <w:t>новые технические средства, и</w:t>
      </w:r>
      <w:r>
        <w:rPr>
          <w:rFonts w:ascii="Times New Roman" w:hAnsi="Times New Roman"/>
          <w:sz w:val="28"/>
          <w:szCs w:val="28"/>
        </w:rPr>
        <w:t> </w:t>
      </w:r>
      <w:r w:rsidRPr="004738E5">
        <w:rPr>
          <w:rFonts w:ascii="Times New Roman" w:hAnsi="Times New Roman"/>
          <w:sz w:val="28"/>
          <w:szCs w:val="28"/>
        </w:rPr>
        <w:t>возможности для её осуществления. Согласно СП 165.1325800.2014 «Инженерно-технические мероприятия по</w:t>
      </w:r>
      <w:r>
        <w:rPr>
          <w:rFonts w:ascii="Times New Roman" w:hAnsi="Times New Roman"/>
          <w:sz w:val="28"/>
          <w:szCs w:val="28"/>
        </w:rPr>
        <w:t> </w:t>
      </w:r>
      <w:r w:rsidRPr="004738E5">
        <w:rPr>
          <w:rFonts w:ascii="Times New Roman" w:hAnsi="Times New Roman"/>
          <w:sz w:val="28"/>
          <w:szCs w:val="28"/>
        </w:rPr>
        <w:t>гражданской обороне. Актуализированная редакция СНиП 2.01.51-90», все инженерно-технические мероприятия должны проводиться заблаговременно. Система оповещения должна иметь автономные источники питания.</w:t>
      </w:r>
    </w:p>
    <w:p w:rsidR="002D1E45" w:rsidRPr="004738E5" w:rsidRDefault="002D1E45" w:rsidP="004738E5">
      <w:pPr>
        <w:spacing w:after="0" w:line="240" w:lineRule="auto"/>
        <w:ind w:firstLine="709"/>
        <w:jc w:val="both"/>
        <w:rPr>
          <w:rFonts w:ascii="Times New Roman" w:hAnsi="Times New Roman"/>
          <w:sz w:val="28"/>
          <w:szCs w:val="28"/>
        </w:rPr>
      </w:pPr>
    </w:p>
    <w:p w:rsidR="002D1E45" w:rsidRPr="0060599D" w:rsidRDefault="002D1E45" w:rsidP="00852938">
      <w:pPr>
        <w:pStyle w:val="Heading3"/>
        <w:numPr>
          <w:ilvl w:val="2"/>
          <w:numId w:val="65"/>
        </w:numPr>
        <w:tabs>
          <w:tab w:val="left" w:pos="1418"/>
        </w:tabs>
        <w:spacing w:before="120"/>
        <w:ind w:left="1418" w:hanging="698"/>
        <w:jc w:val="both"/>
        <w:rPr>
          <w:rFonts w:ascii="Times New Roman" w:hAnsi="Times New Roman"/>
          <w:sz w:val="28"/>
        </w:rPr>
      </w:pPr>
      <w:bookmarkStart w:id="212" w:name="_Toc84936047"/>
      <w:r w:rsidRPr="0060599D">
        <w:rPr>
          <w:rFonts w:ascii="Times New Roman" w:hAnsi="Times New Roman"/>
          <w:sz w:val="28"/>
        </w:rPr>
        <w:t>Градостроительные и</w:t>
      </w:r>
      <w:r>
        <w:rPr>
          <w:rFonts w:ascii="Times New Roman" w:hAnsi="Times New Roman"/>
          <w:sz w:val="28"/>
        </w:rPr>
        <w:t> </w:t>
      </w:r>
      <w:r w:rsidRPr="0060599D">
        <w:rPr>
          <w:rFonts w:ascii="Times New Roman" w:hAnsi="Times New Roman"/>
          <w:sz w:val="28"/>
        </w:rPr>
        <w:t>проектные ограничения</w:t>
      </w:r>
      <w:bookmarkEnd w:id="183"/>
      <w:bookmarkEnd w:id="184"/>
      <w:r w:rsidRPr="0060599D">
        <w:rPr>
          <w:rFonts w:ascii="Times New Roman" w:hAnsi="Times New Roman"/>
          <w:sz w:val="28"/>
        </w:rPr>
        <w:t>, вводимые на</w:t>
      </w:r>
      <w:r>
        <w:rPr>
          <w:rFonts w:ascii="Times New Roman" w:hAnsi="Times New Roman"/>
          <w:sz w:val="28"/>
        </w:rPr>
        <w:t> </w:t>
      </w:r>
      <w:r w:rsidRPr="0060599D">
        <w:rPr>
          <w:rFonts w:ascii="Times New Roman" w:hAnsi="Times New Roman"/>
          <w:sz w:val="28"/>
        </w:rPr>
        <w:t>территории, с</w:t>
      </w:r>
      <w:r>
        <w:rPr>
          <w:rFonts w:ascii="Times New Roman" w:hAnsi="Times New Roman"/>
          <w:sz w:val="28"/>
        </w:rPr>
        <w:t> </w:t>
      </w:r>
      <w:r w:rsidRPr="0060599D">
        <w:rPr>
          <w:rFonts w:ascii="Times New Roman" w:hAnsi="Times New Roman"/>
          <w:sz w:val="28"/>
        </w:rPr>
        <w:t>целью минимизации рисков последствий чрезвычайных ситуаций</w:t>
      </w:r>
      <w:bookmarkEnd w:id="212"/>
    </w:p>
    <w:p w:rsidR="002D1E45" w:rsidRPr="003A7901" w:rsidRDefault="002D1E45" w:rsidP="00227CA3">
      <w:pPr>
        <w:spacing w:after="0" w:line="240" w:lineRule="auto"/>
        <w:rPr>
          <w:rFonts w:ascii="Times New Roman" w:hAnsi="Times New Roman"/>
          <w:sz w:val="24"/>
          <w:szCs w:val="24"/>
        </w:rPr>
      </w:pPr>
    </w:p>
    <w:p w:rsidR="002D1E45" w:rsidRPr="006F130F" w:rsidRDefault="002D1E45" w:rsidP="006F130F">
      <w:pPr>
        <w:spacing w:after="0" w:line="240" w:lineRule="auto"/>
        <w:ind w:firstLine="709"/>
        <w:jc w:val="both"/>
        <w:rPr>
          <w:rFonts w:ascii="Times New Roman" w:hAnsi="Times New Roman"/>
          <w:bCs/>
          <w:sz w:val="28"/>
          <w:szCs w:val="28"/>
          <w:lang w:eastAsia="ru-RU"/>
        </w:rPr>
      </w:pPr>
      <w:r w:rsidRPr="006F130F">
        <w:rPr>
          <w:rFonts w:ascii="Times New Roman" w:hAnsi="Times New Roman"/>
          <w:bCs/>
          <w:sz w:val="28"/>
          <w:szCs w:val="28"/>
          <w:lang w:eastAsia="ru-RU"/>
        </w:rPr>
        <w:t>При дальнейшей застройке целесообразно не</w:t>
      </w:r>
      <w:r>
        <w:rPr>
          <w:rFonts w:ascii="Times New Roman" w:hAnsi="Times New Roman"/>
          <w:bCs/>
          <w:sz w:val="28"/>
          <w:szCs w:val="28"/>
          <w:lang w:eastAsia="ru-RU"/>
        </w:rPr>
        <w:t> </w:t>
      </w:r>
      <w:r w:rsidRPr="006F130F">
        <w:rPr>
          <w:rFonts w:ascii="Times New Roman" w:hAnsi="Times New Roman"/>
          <w:bCs/>
          <w:sz w:val="28"/>
          <w:szCs w:val="28"/>
          <w:lang w:eastAsia="ru-RU"/>
        </w:rPr>
        <w:t>застраивать территории, требующие большого объёма выполнения мероприятий по</w:t>
      </w:r>
      <w:r>
        <w:rPr>
          <w:rFonts w:ascii="Times New Roman" w:hAnsi="Times New Roman"/>
          <w:bCs/>
          <w:sz w:val="28"/>
          <w:szCs w:val="28"/>
          <w:lang w:eastAsia="ru-RU"/>
        </w:rPr>
        <w:t> </w:t>
      </w:r>
      <w:r w:rsidRPr="006F130F">
        <w:rPr>
          <w:rFonts w:ascii="Times New Roman" w:hAnsi="Times New Roman"/>
          <w:bCs/>
          <w:sz w:val="28"/>
          <w:szCs w:val="28"/>
          <w:lang w:eastAsia="ru-RU"/>
        </w:rPr>
        <w:t>инженерной защите от</w:t>
      </w:r>
      <w:r>
        <w:rPr>
          <w:rFonts w:ascii="Times New Roman" w:hAnsi="Times New Roman"/>
          <w:bCs/>
          <w:sz w:val="28"/>
          <w:szCs w:val="28"/>
          <w:lang w:eastAsia="ru-RU"/>
        </w:rPr>
        <w:t> </w:t>
      </w:r>
      <w:r w:rsidRPr="006F130F">
        <w:rPr>
          <w:rFonts w:ascii="Times New Roman" w:hAnsi="Times New Roman"/>
          <w:bCs/>
          <w:sz w:val="28"/>
          <w:szCs w:val="28"/>
          <w:lang w:eastAsia="ru-RU"/>
        </w:rPr>
        <w:t>овражной эрозии, подтопления грунтовыми и</w:t>
      </w:r>
      <w:r>
        <w:rPr>
          <w:rFonts w:ascii="Times New Roman" w:hAnsi="Times New Roman"/>
          <w:bCs/>
          <w:sz w:val="28"/>
          <w:szCs w:val="28"/>
          <w:lang w:eastAsia="ru-RU"/>
        </w:rPr>
        <w:t> </w:t>
      </w:r>
      <w:r w:rsidRPr="006F130F">
        <w:rPr>
          <w:rFonts w:ascii="Times New Roman" w:hAnsi="Times New Roman"/>
          <w:bCs/>
          <w:sz w:val="28"/>
          <w:szCs w:val="28"/>
          <w:lang w:eastAsia="ru-RU"/>
        </w:rPr>
        <w:t>поверхностными водами, просадочных явлениях в</w:t>
      </w:r>
      <w:r>
        <w:rPr>
          <w:rFonts w:ascii="Times New Roman" w:hAnsi="Times New Roman"/>
          <w:bCs/>
          <w:sz w:val="28"/>
          <w:szCs w:val="28"/>
          <w:lang w:eastAsia="ru-RU"/>
        </w:rPr>
        <w:t> </w:t>
      </w:r>
      <w:r w:rsidRPr="006F130F">
        <w:rPr>
          <w:rFonts w:ascii="Times New Roman" w:hAnsi="Times New Roman"/>
          <w:bCs/>
          <w:sz w:val="28"/>
          <w:szCs w:val="28"/>
          <w:lang w:eastAsia="ru-RU"/>
        </w:rPr>
        <w:t>грунтах.</w:t>
      </w:r>
    </w:p>
    <w:p w:rsidR="002D1E45" w:rsidRPr="006F130F" w:rsidRDefault="002D1E45" w:rsidP="006F130F">
      <w:pPr>
        <w:spacing w:after="0" w:line="240" w:lineRule="auto"/>
        <w:ind w:firstLine="709"/>
        <w:jc w:val="both"/>
        <w:rPr>
          <w:rFonts w:ascii="Times New Roman" w:hAnsi="Times New Roman"/>
          <w:bCs/>
          <w:sz w:val="28"/>
          <w:szCs w:val="28"/>
          <w:lang w:eastAsia="ru-RU"/>
        </w:rPr>
      </w:pPr>
      <w:r w:rsidRPr="006F130F">
        <w:rPr>
          <w:rFonts w:ascii="Times New Roman" w:hAnsi="Times New Roman"/>
          <w:bCs/>
          <w:sz w:val="28"/>
          <w:szCs w:val="28"/>
          <w:lang w:eastAsia="ru-RU"/>
        </w:rPr>
        <w:t>Территории для развития необходимо выбирать с</w:t>
      </w:r>
      <w:r>
        <w:rPr>
          <w:rFonts w:ascii="Times New Roman" w:hAnsi="Times New Roman"/>
          <w:bCs/>
          <w:sz w:val="28"/>
          <w:szCs w:val="28"/>
          <w:lang w:eastAsia="ru-RU"/>
        </w:rPr>
        <w:t> </w:t>
      </w:r>
      <w:r w:rsidRPr="006F130F">
        <w:rPr>
          <w:rFonts w:ascii="Times New Roman" w:hAnsi="Times New Roman"/>
          <w:bCs/>
          <w:sz w:val="28"/>
          <w:szCs w:val="28"/>
          <w:lang w:eastAsia="ru-RU"/>
        </w:rPr>
        <w:t>учётом возможности её рационального функционального использования на</w:t>
      </w:r>
      <w:r>
        <w:rPr>
          <w:rFonts w:ascii="Times New Roman" w:hAnsi="Times New Roman"/>
          <w:bCs/>
          <w:sz w:val="28"/>
          <w:szCs w:val="28"/>
          <w:lang w:eastAsia="ru-RU"/>
        </w:rPr>
        <w:t> </w:t>
      </w:r>
      <w:r w:rsidRPr="006F130F">
        <w:rPr>
          <w:rFonts w:ascii="Times New Roman" w:hAnsi="Times New Roman"/>
          <w:bCs/>
          <w:sz w:val="28"/>
          <w:szCs w:val="28"/>
          <w:lang w:eastAsia="ru-RU"/>
        </w:rPr>
        <w:t>основе сравнения вариантов архитектурно-планировочных решений, технико-экономических, санитарно-гигиенических показателей, топливно-энергетических, водных, территориальных ресурсов, состояния окружающей среды, с</w:t>
      </w:r>
      <w:r>
        <w:rPr>
          <w:rFonts w:ascii="Times New Roman" w:hAnsi="Times New Roman"/>
          <w:bCs/>
          <w:sz w:val="28"/>
          <w:szCs w:val="28"/>
          <w:lang w:eastAsia="ru-RU"/>
        </w:rPr>
        <w:t> </w:t>
      </w:r>
      <w:r w:rsidRPr="006F130F">
        <w:rPr>
          <w:rFonts w:ascii="Times New Roman" w:hAnsi="Times New Roman"/>
          <w:bCs/>
          <w:sz w:val="28"/>
          <w:szCs w:val="28"/>
          <w:lang w:eastAsia="ru-RU"/>
        </w:rPr>
        <w:t>учётом прогноза изменения на</w:t>
      </w:r>
      <w:r>
        <w:rPr>
          <w:rFonts w:ascii="Times New Roman" w:hAnsi="Times New Roman"/>
          <w:bCs/>
          <w:sz w:val="28"/>
          <w:szCs w:val="28"/>
          <w:lang w:eastAsia="ru-RU"/>
        </w:rPr>
        <w:t> </w:t>
      </w:r>
      <w:r w:rsidRPr="006F130F">
        <w:rPr>
          <w:rFonts w:ascii="Times New Roman" w:hAnsi="Times New Roman"/>
          <w:bCs/>
          <w:sz w:val="28"/>
          <w:szCs w:val="28"/>
          <w:lang w:eastAsia="ru-RU"/>
        </w:rPr>
        <w:t>перспективу природных и</w:t>
      </w:r>
      <w:r>
        <w:rPr>
          <w:rFonts w:ascii="Times New Roman" w:hAnsi="Times New Roman"/>
          <w:bCs/>
          <w:sz w:val="28"/>
          <w:szCs w:val="28"/>
          <w:lang w:eastAsia="ru-RU"/>
        </w:rPr>
        <w:t> </w:t>
      </w:r>
      <w:r w:rsidRPr="006F130F">
        <w:rPr>
          <w:rFonts w:ascii="Times New Roman" w:hAnsi="Times New Roman"/>
          <w:bCs/>
          <w:sz w:val="28"/>
          <w:szCs w:val="28"/>
          <w:lang w:eastAsia="ru-RU"/>
        </w:rPr>
        <w:t>других условий.</w:t>
      </w:r>
    </w:p>
    <w:p w:rsidR="002D1E45" w:rsidRPr="006F130F" w:rsidRDefault="002D1E45" w:rsidP="006F130F">
      <w:pPr>
        <w:spacing w:after="0" w:line="240" w:lineRule="auto"/>
        <w:ind w:firstLine="709"/>
        <w:jc w:val="both"/>
        <w:rPr>
          <w:rFonts w:ascii="Times New Roman" w:hAnsi="Times New Roman"/>
          <w:bCs/>
          <w:sz w:val="28"/>
          <w:szCs w:val="28"/>
          <w:lang w:eastAsia="ru-RU"/>
        </w:rPr>
      </w:pPr>
      <w:r w:rsidRPr="006F130F">
        <w:rPr>
          <w:rFonts w:ascii="Times New Roman" w:hAnsi="Times New Roman"/>
          <w:bCs/>
          <w:sz w:val="28"/>
          <w:szCs w:val="28"/>
          <w:lang w:eastAsia="ru-RU"/>
        </w:rPr>
        <w:t xml:space="preserve"> При этом необходимо учитывать предельно допустимые нагрузки на</w:t>
      </w:r>
      <w:r>
        <w:rPr>
          <w:rFonts w:ascii="Times New Roman" w:hAnsi="Times New Roman"/>
          <w:bCs/>
          <w:sz w:val="28"/>
          <w:szCs w:val="28"/>
          <w:lang w:eastAsia="ru-RU"/>
        </w:rPr>
        <w:t> </w:t>
      </w:r>
      <w:r w:rsidRPr="006F130F">
        <w:rPr>
          <w:rFonts w:ascii="Times New Roman" w:hAnsi="Times New Roman"/>
          <w:bCs/>
          <w:sz w:val="28"/>
          <w:szCs w:val="28"/>
          <w:lang w:eastAsia="ru-RU"/>
        </w:rPr>
        <w:t>окружающую природную среду на</w:t>
      </w:r>
      <w:r>
        <w:rPr>
          <w:rFonts w:ascii="Times New Roman" w:hAnsi="Times New Roman"/>
          <w:bCs/>
          <w:sz w:val="28"/>
          <w:szCs w:val="28"/>
          <w:lang w:eastAsia="ru-RU"/>
        </w:rPr>
        <w:t> </w:t>
      </w:r>
      <w:r w:rsidRPr="006F130F">
        <w:rPr>
          <w:rFonts w:ascii="Times New Roman" w:hAnsi="Times New Roman"/>
          <w:bCs/>
          <w:sz w:val="28"/>
          <w:szCs w:val="28"/>
          <w:lang w:eastAsia="ru-RU"/>
        </w:rPr>
        <w:t>основе определения её потенциальных возможностей, режима рационального использования территориальных и</w:t>
      </w:r>
      <w:r>
        <w:rPr>
          <w:rFonts w:ascii="Times New Roman" w:hAnsi="Times New Roman"/>
          <w:bCs/>
          <w:sz w:val="28"/>
          <w:szCs w:val="28"/>
          <w:lang w:eastAsia="ru-RU"/>
        </w:rPr>
        <w:t> </w:t>
      </w:r>
      <w:r w:rsidRPr="006F130F">
        <w:rPr>
          <w:rFonts w:ascii="Times New Roman" w:hAnsi="Times New Roman"/>
          <w:bCs/>
          <w:sz w:val="28"/>
          <w:szCs w:val="28"/>
          <w:lang w:eastAsia="ru-RU"/>
        </w:rPr>
        <w:t>природных ресурсов с</w:t>
      </w:r>
      <w:r>
        <w:rPr>
          <w:rFonts w:ascii="Times New Roman" w:hAnsi="Times New Roman"/>
          <w:bCs/>
          <w:sz w:val="28"/>
          <w:szCs w:val="28"/>
          <w:lang w:eastAsia="ru-RU"/>
        </w:rPr>
        <w:t> </w:t>
      </w:r>
      <w:r w:rsidRPr="006F130F">
        <w:rPr>
          <w:rFonts w:ascii="Times New Roman" w:hAnsi="Times New Roman"/>
          <w:bCs/>
          <w:sz w:val="28"/>
          <w:szCs w:val="28"/>
          <w:lang w:eastAsia="ru-RU"/>
        </w:rPr>
        <w:t>целью обеспечения наиболее благоприятных условий жизни населению, недопущения разрушения естественных экологических систем и</w:t>
      </w:r>
      <w:r>
        <w:rPr>
          <w:rFonts w:ascii="Times New Roman" w:hAnsi="Times New Roman"/>
          <w:bCs/>
          <w:sz w:val="28"/>
          <w:szCs w:val="28"/>
          <w:lang w:eastAsia="ru-RU"/>
        </w:rPr>
        <w:t> </w:t>
      </w:r>
      <w:r w:rsidRPr="006F130F">
        <w:rPr>
          <w:rFonts w:ascii="Times New Roman" w:hAnsi="Times New Roman"/>
          <w:bCs/>
          <w:sz w:val="28"/>
          <w:szCs w:val="28"/>
          <w:lang w:eastAsia="ru-RU"/>
        </w:rPr>
        <w:t>необратимых изменений в</w:t>
      </w:r>
      <w:r>
        <w:rPr>
          <w:rFonts w:ascii="Times New Roman" w:hAnsi="Times New Roman"/>
          <w:bCs/>
          <w:sz w:val="28"/>
          <w:szCs w:val="28"/>
          <w:lang w:eastAsia="ru-RU"/>
        </w:rPr>
        <w:t> </w:t>
      </w:r>
      <w:r w:rsidRPr="006F130F">
        <w:rPr>
          <w:rFonts w:ascii="Times New Roman" w:hAnsi="Times New Roman"/>
          <w:bCs/>
          <w:sz w:val="28"/>
          <w:szCs w:val="28"/>
          <w:lang w:eastAsia="ru-RU"/>
        </w:rPr>
        <w:t>окружающей природной среде.</w:t>
      </w:r>
    </w:p>
    <w:p w:rsidR="002D1E45" w:rsidRPr="006F130F" w:rsidRDefault="002D1E45" w:rsidP="006F130F">
      <w:pPr>
        <w:spacing w:after="0" w:line="240" w:lineRule="auto"/>
        <w:ind w:firstLine="709"/>
        <w:jc w:val="both"/>
        <w:rPr>
          <w:rFonts w:ascii="Times New Roman" w:hAnsi="Times New Roman"/>
          <w:bCs/>
          <w:sz w:val="28"/>
          <w:szCs w:val="28"/>
          <w:lang w:eastAsia="ru-RU"/>
        </w:rPr>
      </w:pPr>
      <w:r w:rsidRPr="006F130F">
        <w:rPr>
          <w:rFonts w:ascii="Times New Roman" w:hAnsi="Times New Roman"/>
          <w:bCs/>
          <w:sz w:val="28"/>
          <w:szCs w:val="28"/>
          <w:lang w:eastAsia="ru-RU"/>
        </w:rPr>
        <w:t>Планировку и</w:t>
      </w:r>
      <w:r>
        <w:rPr>
          <w:rFonts w:ascii="Times New Roman" w:hAnsi="Times New Roman"/>
          <w:bCs/>
          <w:sz w:val="28"/>
          <w:szCs w:val="28"/>
          <w:lang w:eastAsia="ru-RU"/>
        </w:rPr>
        <w:t> </w:t>
      </w:r>
      <w:r w:rsidRPr="006F130F">
        <w:rPr>
          <w:rFonts w:ascii="Times New Roman" w:hAnsi="Times New Roman"/>
          <w:bCs/>
          <w:sz w:val="28"/>
          <w:szCs w:val="28"/>
          <w:lang w:eastAsia="ru-RU"/>
        </w:rPr>
        <w:t>застройку селитебных территорий, расположение объектов на</w:t>
      </w:r>
      <w:r>
        <w:rPr>
          <w:rFonts w:ascii="Times New Roman" w:hAnsi="Times New Roman"/>
          <w:bCs/>
          <w:sz w:val="28"/>
          <w:szCs w:val="28"/>
          <w:lang w:eastAsia="ru-RU"/>
        </w:rPr>
        <w:t> </w:t>
      </w:r>
      <w:r w:rsidRPr="006F130F">
        <w:rPr>
          <w:rFonts w:ascii="Times New Roman" w:hAnsi="Times New Roman"/>
          <w:bCs/>
          <w:sz w:val="28"/>
          <w:szCs w:val="28"/>
          <w:lang w:eastAsia="ru-RU"/>
        </w:rPr>
        <w:t>просадочных грунтах следует осуществлять в</w:t>
      </w:r>
      <w:r>
        <w:rPr>
          <w:rFonts w:ascii="Times New Roman" w:hAnsi="Times New Roman"/>
          <w:bCs/>
          <w:sz w:val="28"/>
          <w:szCs w:val="28"/>
          <w:lang w:eastAsia="ru-RU"/>
        </w:rPr>
        <w:t> </w:t>
      </w:r>
      <w:r w:rsidRPr="006F130F">
        <w:rPr>
          <w:rFonts w:ascii="Times New Roman" w:hAnsi="Times New Roman"/>
          <w:bCs/>
          <w:sz w:val="28"/>
          <w:szCs w:val="28"/>
          <w:lang w:eastAsia="ru-RU"/>
        </w:rPr>
        <w:t>соответствии с</w:t>
      </w:r>
      <w:r>
        <w:rPr>
          <w:rFonts w:ascii="Times New Roman" w:hAnsi="Times New Roman"/>
          <w:bCs/>
          <w:sz w:val="28"/>
          <w:szCs w:val="28"/>
          <w:lang w:eastAsia="ru-RU"/>
        </w:rPr>
        <w:t> </w:t>
      </w:r>
      <w:r w:rsidRPr="006F130F">
        <w:rPr>
          <w:rFonts w:ascii="Times New Roman" w:hAnsi="Times New Roman"/>
          <w:bCs/>
          <w:sz w:val="28"/>
          <w:szCs w:val="28"/>
          <w:lang w:eastAsia="ru-RU"/>
        </w:rPr>
        <w:t>требованиями СП 21.13330.2012 «Здания и</w:t>
      </w:r>
      <w:r>
        <w:rPr>
          <w:rFonts w:ascii="Times New Roman" w:hAnsi="Times New Roman"/>
          <w:bCs/>
          <w:sz w:val="28"/>
          <w:szCs w:val="28"/>
          <w:lang w:eastAsia="ru-RU"/>
        </w:rPr>
        <w:t> </w:t>
      </w:r>
      <w:r w:rsidRPr="006F130F">
        <w:rPr>
          <w:rFonts w:ascii="Times New Roman" w:hAnsi="Times New Roman"/>
          <w:bCs/>
          <w:sz w:val="28"/>
          <w:szCs w:val="28"/>
          <w:lang w:eastAsia="ru-RU"/>
        </w:rPr>
        <w:t>сооружения на</w:t>
      </w:r>
      <w:r>
        <w:rPr>
          <w:rFonts w:ascii="Times New Roman" w:hAnsi="Times New Roman"/>
          <w:bCs/>
          <w:sz w:val="28"/>
          <w:szCs w:val="28"/>
          <w:lang w:eastAsia="ru-RU"/>
        </w:rPr>
        <w:t> </w:t>
      </w:r>
      <w:r w:rsidRPr="006F130F">
        <w:rPr>
          <w:rFonts w:ascii="Times New Roman" w:hAnsi="Times New Roman"/>
          <w:bCs/>
          <w:sz w:val="28"/>
          <w:szCs w:val="28"/>
          <w:lang w:eastAsia="ru-RU"/>
        </w:rPr>
        <w:t>подрабатываемых территориях и</w:t>
      </w:r>
      <w:r>
        <w:rPr>
          <w:rFonts w:ascii="Times New Roman" w:hAnsi="Times New Roman"/>
          <w:bCs/>
          <w:sz w:val="28"/>
          <w:szCs w:val="28"/>
          <w:lang w:eastAsia="ru-RU"/>
        </w:rPr>
        <w:t> </w:t>
      </w:r>
      <w:r w:rsidRPr="006F130F">
        <w:rPr>
          <w:rFonts w:ascii="Times New Roman" w:hAnsi="Times New Roman"/>
          <w:bCs/>
          <w:sz w:val="28"/>
          <w:szCs w:val="28"/>
          <w:lang w:eastAsia="ru-RU"/>
        </w:rPr>
        <w:t>просадочных грунтах».</w:t>
      </w:r>
    </w:p>
    <w:p w:rsidR="002D1E45" w:rsidRPr="006F130F" w:rsidRDefault="002D1E45" w:rsidP="006F130F">
      <w:pPr>
        <w:spacing w:after="0" w:line="240" w:lineRule="auto"/>
        <w:ind w:firstLine="709"/>
        <w:jc w:val="both"/>
        <w:rPr>
          <w:rFonts w:ascii="Times New Roman" w:hAnsi="Times New Roman"/>
          <w:bCs/>
          <w:sz w:val="28"/>
          <w:szCs w:val="28"/>
          <w:lang w:eastAsia="ru-RU"/>
        </w:rPr>
      </w:pPr>
      <w:r w:rsidRPr="006F130F">
        <w:rPr>
          <w:rFonts w:ascii="Times New Roman" w:hAnsi="Times New Roman"/>
          <w:bCs/>
          <w:sz w:val="28"/>
          <w:szCs w:val="28"/>
          <w:lang w:eastAsia="ru-RU"/>
        </w:rPr>
        <w:t>Площадки, намеченные под строительство, предпочтительно располагать на</w:t>
      </w:r>
      <w:r>
        <w:rPr>
          <w:rFonts w:ascii="Times New Roman" w:hAnsi="Times New Roman"/>
          <w:bCs/>
          <w:sz w:val="28"/>
          <w:szCs w:val="28"/>
          <w:lang w:eastAsia="ru-RU"/>
        </w:rPr>
        <w:t> </w:t>
      </w:r>
      <w:r w:rsidRPr="006F130F">
        <w:rPr>
          <w:rFonts w:ascii="Times New Roman" w:hAnsi="Times New Roman"/>
          <w:bCs/>
          <w:sz w:val="28"/>
          <w:szCs w:val="28"/>
          <w:lang w:eastAsia="ru-RU"/>
        </w:rPr>
        <w:t>участках с</w:t>
      </w:r>
      <w:r>
        <w:rPr>
          <w:rFonts w:ascii="Times New Roman" w:hAnsi="Times New Roman"/>
          <w:bCs/>
          <w:sz w:val="28"/>
          <w:szCs w:val="28"/>
          <w:lang w:eastAsia="ru-RU"/>
        </w:rPr>
        <w:t> </w:t>
      </w:r>
      <w:r w:rsidRPr="006F130F">
        <w:rPr>
          <w:rFonts w:ascii="Times New Roman" w:hAnsi="Times New Roman"/>
          <w:bCs/>
          <w:sz w:val="28"/>
          <w:szCs w:val="28"/>
          <w:lang w:eastAsia="ru-RU"/>
        </w:rPr>
        <w:t>минимальной глубиной просадочных толщ, с</w:t>
      </w:r>
      <w:r>
        <w:rPr>
          <w:rFonts w:ascii="Times New Roman" w:hAnsi="Times New Roman"/>
          <w:bCs/>
          <w:sz w:val="28"/>
          <w:szCs w:val="28"/>
          <w:lang w:eastAsia="ru-RU"/>
        </w:rPr>
        <w:t> </w:t>
      </w:r>
      <w:r w:rsidRPr="006F130F">
        <w:rPr>
          <w:rFonts w:ascii="Times New Roman" w:hAnsi="Times New Roman"/>
          <w:bCs/>
          <w:sz w:val="28"/>
          <w:szCs w:val="28"/>
          <w:lang w:eastAsia="ru-RU"/>
        </w:rPr>
        <w:t>деградированными просадочными грунтами, а</w:t>
      </w:r>
      <w:r>
        <w:rPr>
          <w:rFonts w:ascii="Times New Roman" w:hAnsi="Times New Roman"/>
          <w:bCs/>
          <w:sz w:val="28"/>
          <w:szCs w:val="28"/>
          <w:lang w:eastAsia="ru-RU"/>
        </w:rPr>
        <w:t> </w:t>
      </w:r>
      <w:r w:rsidRPr="006F130F">
        <w:rPr>
          <w:rFonts w:ascii="Times New Roman" w:hAnsi="Times New Roman"/>
          <w:bCs/>
          <w:sz w:val="28"/>
          <w:szCs w:val="28"/>
          <w:lang w:eastAsia="ru-RU"/>
        </w:rPr>
        <w:t>также на</w:t>
      </w:r>
      <w:r>
        <w:rPr>
          <w:rFonts w:ascii="Times New Roman" w:hAnsi="Times New Roman"/>
          <w:bCs/>
          <w:sz w:val="28"/>
          <w:szCs w:val="28"/>
          <w:lang w:eastAsia="ru-RU"/>
        </w:rPr>
        <w:t> </w:t>
      </w:r>
      <w:r w:rsidRPr="006F130F">
        <w:rPr>
          <w:rFonts w:ascii="Times New Roman" w:hAnsi="Times New Roman"/>
          <w:bCs/>
          <w:sz w:val="28"/>
          <w:szCs w:val="28"/>
          <w:lang w:eastAsia="ru-RU"/>
        </w:rPr>
        <w:t xml:space="preserve">участках, где </w:t>
      </w:r>
      <w:bookmarkStart w:id="213" w:name="OCRUncertain409"/>
      <w:r w:rsidRPr="006F130F">
        <w:rPr>
          <w:rFonts w:ascii="Times New Roman" w:hAnsi="Times New Roman"/>
          <w:bCs/>
          <w:sz w:val="28"/>
          <w:szCs w:val="28"/>
          <w:lang w:eastAsia="ru-RU"/>
        </w:rPr>
        <w:t>просадочная</w:t>
      </w:r>
      <w:bookmarkEnd w:id="213"/>
      <w:r w:rsidRPr="006F130F">
        <w:rPr>
          <w:rFonts w:ascii="Times New Roman" w:hAnsi="Times New Roman"/>
          <w:bCs/>
          <w:sz w:val="28"/>
          <w:szCs w:val="28"/>
          <w:lang w:eastAsia="ru-RU"/>
        </w:rPr>
        <w:t xml:space="preserve"> толща подстилается малосжимаемыми грунтами, позволяющими применять фундаменты глубокого заложения, в</w:t>
      </w:r>
      <w:r>
        <w:rPr>
          <w:rFonts w:ascii="Times New Roman" w:hAnsi="Times New Roman"/>
          <w:bCs/>
          <w:sz w:val="28"/>
          <w:szCs w:val="28"/>
          <w:lang w:eastAsia="ru-RU"/>
        </w:rPr>
        <w:t> </w:t>
      </w:r>
      <w:r w:rsidRPr="006F130F">
        <w:rPr>
          <w:rFonts w:ascii="Times New Roman" w:hAnsi="Times New Roman"/>
          <w:bCs/>
          <w:sz w:val="28"/>
          <w:szCs w:val="28"/>
          <w:lang w:eastAsia="ru-RU"/>
        </w:rPr>
        <w:t>том числе свайные.</w:t>
      </w:r>
    </w:p>
    <w:p w:rsidR="002D1E45" w:rsidRPr="006F130F" w:rsidRDefault="002D1E45" w:rsidP="006F130F">
      <w:pPr>
        <w:spacing w:after="0" w:line="240" w:lineRule="auto"/>
        <w:ind w:firstLine="709"/>
        <w:jc w:val="both"/>
        <w:rPr>
          <w:rFonts w:ascii="Times New Roman" w:hAnsi="Times New Roman"/>
          <w:bCs/>
          <w:sz w:val="28"/>
          <w:szCs w:val="28"/>
          <w:lang w:eastAsia="ru-RU"/>
        </w:rPr>
      </w:pPr>
      <w:r w:rsidRPr="006F130F">
        <w:rPr>
          <w:rFonts w:ascii="Times New Roman" w:hAnsi="Times New Roman"/>
          <w:bCs/>
          <w:sz w:val="28"/>
          <w:szCs w:val="28"/>
          <w:lang w:eastAsia="ru-RU"/>
        </w:rPr>
        <w:t>Проекты планировки и</w:t>
      </w:r>
      <w:r>
        <w:rPr>
          <w:rFonts w:ascii="Times New Roman" w:hAnsi="Times New Roman"/>
          <w:bCs/>
          <w:sz w:val="28"/>
          <w:szCs w:val="28"/>
          <w:lang w:eastAsia="ru-RU"/>
        </w:rPr>
        <w:t> </w:t>
      </w:r>
      <w:r w:rsidRPr="006F130F">
        <w:rPr>
          <w:rFonts w:ascii="Times New Roman" w:hAnsi="Times New Roman"/>
          <w:bCs/>
          <w:sz w:val="28"/>
          <w:szCs w:val="28"/>
          <w:lang w:eastAsia="ru-RU"/>
        </w:rPr>
        <w:t>застройки должны предусматривать максимальное сохранение естественных условий стока поверхностных вод. Размещение зданий и</w:t>
      </w:r>
      <w:r>
        <w:rPr>
          <w:rFonts w:ascii="Times New Roman" w:hAnsi="Times New Roman"/>
          <w:bCs/>
          <w:sz w:val="28"/>
          <w:szCs w:val="28"/>
          <w:lang w:eastAsia="ru-RU"/>
        </w:rPr>
        <w:t> </w:t>
      </w:r>
      <w:r w:rsidRPr="006F130F">
        <w:rPr>
          <w:rFonts w:ascii="Times New Roman" w:hAnsi="Times New Roman"/>
          <w:bCs/>
          <w:sz w:val="28"/>
          <w:szCs w:val="28"/>
          <w:lang w:eastAsia="ru-RU"/>
        </w:rPr>
        <w:t>сооружений, затрудняющих отвод поверхностных вод, не</w:t>
      </w:r>
      <w:r>
        <w:rPr>
          <w:rFonts w:ascii="Times New Roman" w:hAnsi="Times New Roman"/>
          <w:bCs/>
          <w:sz w:val="28"/>
          <w:szCs w:val="28"/>
          <w:lang w:eastAsia="ru-RU"/>
        </w:rPr>
        <w:t> </w:t>
      </w:r>
      <w:r w:rsidRPr="006F130F">
        <w:rPr>
          <w:rFonts w:ascii="Times New Roman" w:hAnsi="Times New Roman"/>
          <w:bCs/>
          <w:sz w:val="28"/>
          <w:szCs w:val="28"/>
          <w:lang w:eastAsia="ru-RU"/>
        </w:rPr>
        <w:t>допускается.</w:t>
      </w:r>
    </w:p>
    <w:p w:rsidR="002D1E45" w:rsidRPr="006F130F" w:rsidRDefault="002D1E45" w:rsidP="006F130F">
      <w:pPr>
        <w:spacing w:after="0" w:line="240" w:lineRule="auto"/>
        <w:ind w:firstLine="709"/>
        <w:jc w:val="both"/>
        <w:rPr>
          <w:rFonts w:ascii="Times New Roman" w:hAnsi="Times New Roman"/>
          <w:bCs/>
          <w:sz w:val="28"/>
          <w:szCs w:val="28"/>
          <w:lang w:eastAsia="ru-RU"/>
        </w:rPr>
      </w:pPr>
      <w:r w:rsidRPr="006F130F">
        <w:rPr>
          <w:rFonts w:ascii="Times New Roman" w:hAnsi="Times New Roman"/>
          <w:bCs/>
          <w:sz w:val="28"/>
          <w:szCs w:val="28"/>
          <w:lang w:eastAsia="ru-RU"/>
        </w:rPr>
        <w:t>При рельефе местности в</w:t>
      </w:r>
      <w:r>
        <w:rPr>
          <w:rFonts w:ascii="Times New Roman" w:hAnsi="Times New Roman"/>
          <w:bCs/>
          <w:sz w:val="28"/>
          <w:szCs w:val="28"/>
          <w:lang w:eastAsia="ru-RU"/>
        </w:rPr>
        <w:t> </w:t>
      </w:r>
      <w:r w:rsidRPr="006F130F">
        <w:rPr>
          <w:rFonts w:ascii="Times New Roman" w:hAnsi="Times New Roman"/>
          <w:bCs/>
          <w:sz w:val="28"/>
          <w:szCs w:val="28"/>
          <w:lang w:eastAsia="ru-RU"/>
        </w:rPr>
        <w:t>виде крутых склонов планировку застраиваемой территории следует осуществлять террасами. Отвод воды с</w:t>
      </w:r>
      <w:r>
        <w:rPr>
          <w:rFonts w:ascii="Times New Roman" w:hAnsi="Times New Roman"/>
          <w:bCs/>
          <w:sz w:val="28"/>
          <w:szCs w:val="28"/>
          <w:lang w:eastAsia="ru-RU"/>
        </w:rPr>
        <w:t> </w:t>
      </w:r>
      <w:r w:rsidRPr="006F130F">
        <w:rPr>
          <w:rFonts w:ascii="Times New Roman" w:hAnsi="Times New Roman"/>
          <w:bCs/>
          <w:sz w:val="28"/>
          <w:szCs w:val="28"/>
          <w:lang w:eastAsia="ru-RU"/>
        </w:rPr>
        <w:t>террас следует производить как по</w:t>
      </w:r>
      <w:r>
        <w:rPr>
          <w:rFonts w:ascii="Times New Roman" w:hAnsi="Times New Roman"/>
          <w:bCs/>
          <w:sz w:val="28"/>
          <w:szCs w:val="28"/>
          <w:lang w:eastAsia="ru-RU"/>
        </w:rPr>
        <w:t> </w:t>
      </w:r>
      <w:r w:rsidRPr="006F130F">
        <w:rPr>
          <w:rFonts w:ascii="Times New Roman" w:hAnsi="Times New Roman"/>
          <w:bCs/>
          <w:sz w:val="28"/>
          <w:szCs w:val="28"/>
          <w:lang w:eastAsia="ru-RU"/>
        </w:rPr>
        <w:t>кюветам, устроенным в</w:t>
      </w:r>
      <w:r>
        <w:rPr>
          <w:rFonts w:ascii="Times New Roman" w:hAnsi="Times New Roman"/>
          <w:bCs/>
          <w:sz w:val="28"/>
          <w:szCs w:val="28"/>
          <w:lang w:eastAsia="ru-RU"/>
        </w:rPr>
        <w:t> </w:t>
      </w:r>
      <w:r w:rsidRPr="006F130F">
        <w:rPr>
          <w:rFonts w:ascii="Times New Roman" w:hAnsi="Times New Roman"/>
          <w:bCs/>
          <w:sz w:val="28"/>
          <w:szCs w:val="28"/>
          <w:lang w:eastAsia="ru-RU"/>
        </w:rPr>
        <w:t>основаниях откосов, так и</w:t>
      </w:r>
      <w:r>
        <w:rPr>
          <w:rFonts w:ascii="Times New Roman" w:hAnsi="Times New Roman"/>
          <w:bCs/>
          <w:sz w:val="28"/>
          <w:szCs w:val="28"/>
          <w:lang w:eastAsia="ru-RU"/>
        </w:rPr>
        <w:t> </w:t>
      </w:r>
      <w:r w:rsidRPr="006F130F">
        <w:rPr>
          <w:rFonts w:ascii="Times New Roman" w:hAnsi="Times New Roman"/>
          <w:bCs/>
          <w:sz w:val="28"/>
          <w:szCs w:val="28"/>
          <w:lang w:eastAsia="ru-RU"/>
        </w:rPr>
        <w:t>по</w:t>
      </w:r>
      <w:r>
        <w:rPr>
          <w:rFonts w:ascii="Times New Roman" w:hAnsi="Times New Roman"/>
          <w:bCs/>
          <w:sz w:val="28"/>
          <w:szCs w:val="28"/>
          <w:lang w:eastAsia="ru-RU"/>
        </w:rPr>
        <w:t> </w:t>
      </w:r>
      <w:r w:rsidRPr="006F130F">
        <w:rPr>
          <w:rFonts w:ascii="Times New Roman" w:hAnsi="Times New Roman"/>
          <w:bCs/>
          <w:sz w:val="28"/>
          <w:szCs w:val="28"/>
          <w:lang w:eastAsia="ru-RU"/>
        </w:rPr>
        <w:t>быстротокам.</w:t>
      </w:r>
    </w:p>
    <w:p w:rsidR="002D1E45" w:rsidRPr="006F130F" w:rsidRDefault="002D1E45" w:rsidP="006F130F">
      <w:pPr>
        <w:spacing w:after="0" w:line="240" w:lineRule="auto"/>
        <w:ind w:firstLine="709"/>
        <w:jc w:val="both"/>
        <w:rPr>
          <w:rFonts w:ascii="Times New Roman" w:hAnsi="Times New Roman"/>
          <w:bCs/>
          <w:sz w:val="28"/>
          <w:szCs w:val="28"/>
          <w:lang w:eastAsia="ru-RU"/>
        </w:rPr>
      </w:pPr>
      <w:r w:rsidRPr="006F130F">
        <w:rPr>
          <w:rFonts w:ascii="Times New Roman" w:hAnsi="Times New Roman"/>
          <w:bCs/>
          <w:sz w:val="28"/>
          <w:szCs w:val="28"/>
          <w:lang w:eastAsia="ru-RU"/>
        </w:rPr>
        <w:t>Здания и</w:t>
      </w:r>
      <w:r>
        <w:rPr>
          <w:rFonts w:ascii="Times New Roman" w:hAnsi="Times New Roman"/>
          <w:bCs/>
          <w:sz w:val="28"/>
          <w:szCs w:val="28"/>
          <w:lang w:eastAsia="ru-RU"/>
        </w:rPr>
        <w:t> </w:t>
      </w:r>
      <w:r w:rsidRPr="006F130F">
        <w:rPr>
          <w:rFonts w:ascii="Times New Roman" w:hAnsi="Times New Roman"/>
          <w:bCs/>
          <w:sz w:val="28"/>
          <w:szCs w:val="28"/>
          <w:lang w:eastAsia="ru-RU"/>
        </w:rPr>
        <w:t>сооружения с</w:t>
      </w:r>
      <w:r>
        <w:rPr>
          <w:rFonts w:ascii="Times New Roman" w:hAnsi="Times New Roman"/>
          <w:bCs/>
          <w:sz w:val="28"/>
          <w:szCs w:val="28"/>
          <w:lang w:eastAsia="ru-RU"/>
        </w:rPr>
        <w:t> </w:t>
      </w:r>
      <w:r w:rsidRPr="006F130F">
        <w:rPr>
          <w:rFonts w:ascii="Times New Roman" w:hAnsi="Times New Roman"/>
          <w:bCs/>
          <w:sz w:val="28"/>
          <w:szCs w:val="28"/>
          <w:lang w:eastAsia="ru-RU"/>
        </w:rPr>
        <w:t>мокрыми технологическими процессами следует располагать в</w:t>
      </w:r>
      <w:r>
        <w:rPr>
          <w:rFonts w:ascii="Times New Roman" w:hAnsi="Times New Roman"/>
          <w:bCs/>
          <w:sz w:val="28"/>
          <w:szCs w:val="28"/>
          <w:lang w:eastAsia="ru-RU"/>
        </w:rPr>
        <w:t> </w:t>
      </w:r>
      <w:r w:rsidRPr="006F130F">
        <w:rPr>
          <w:rFonts w:ascii="Times New Roman" w:hAnsi="Times New Roman"/>
          <w:bCs/>
          <w:sz w:val="28"/>
          <w:szCs w:val="28"/>
          <w:lang w:eastAsia="ru-RU"/>
        </w:rPr>
        <w:t>пониженных частях застраиваемой территории. На</w:t>
      </w:r>
      <w:r>
        <w:rPr>
          <w:rFonts w:ascii="Times New Roman" w:hAnsi="Times New Roman"/>
          <w:bCs/>
          <w:sz w:val="28"/>
          <w:szCs w:val="28"/>
          <w:lang w:eastAsia="ru-RU"/>
        </w:rPr>
        <w:t> </w:t>
      </w:r>
      <w:r w:rsidRPr="006F130F">
        <w:rPr>
          <w:rFonts w:ascii="Times New Roman" w:hAnsi="Times New Roman"/>
          <w:bCs/>
          <w:sz w:val="28"/>
          <w:szCs w:val="28"/>
          <w:lang w:eastAsia="ru-RU"/>
        </w:rPr>
        <w:t>участках с</w:t>
      </w:r>
      <w:r>
        <w:rPr>
          <w:rFonts w:ascii="Times New Roman" w:hAnsi="Times New Roman"/>
          <w:bCs/>
          <w:sz w:val="28"/>
          <w:szCs w:val="28"/>
          <w:lang w:eastAsia="ru-RU"/>
        </w:rPr>
        <w:t> </w:t>
      </w:r>
      <w:r w:rsidRPr="006F130F">
        <w:rPr>
          <w:rFonts w:ascii="Times New Roman" w:hAnsi="Times New Roman"/>
          <w:bCs/>
          <w:sz w:val="28"/>
          <w:szCs w:val="28"/>
          <w:lang w:eastAsia="ru-RU"/>
        </w:rPr>
        <w:t>высоким расположением уровня подземных вод, а</w:t>
      </w:r>
      <w:r>
        <w:rPr>
          <w:rFonts w:ascii="Times New Roman" w:hAnsi="Times New Roman"/>
          <w:bCs/>
          <w:sz w:val="28"/>
          <w:szCs w:val="28"/>
          <w:lang w:eastAsia="ru-RU"/>
        </w:rPr>
        <w:t> </w:t>
      </w:r>
      <w:r w:rsidRPr="006F130F">
        <w:rPr>
          <w:rFonts w:ascii="Times New Roman" w:hAnsi="Times New Roman"/>
          <w:bCs/>
          <w:sz w:val="28"/>
          <w:szCs w:val="28"/>
          <w:lang w:eastAsia="ru-RU"/>
        </w:rPr>
        <w:t>также на</w:t>
      </w:r>
      <w:r>
        <w:rPr>
          <w:rFonts w:ascii="Times New Roman" w:hAnsi="Times New Roman"/>
          <w:bCs/>
          <w:sz w:val="28"/>
          <w:szCs w:val="28"/>
          <w:lang w:eastAsia="ru-RU"/>
        </w:rPr>
        <w:t> </w:t>
      </w:r>
      <w:r w:rsidRPr="006F130F">
        <w:rPr>
          <w:rFonts w:ascii="Times New Roman" w:hAnsi="Times New Roman"/>
          <w:bCs/>
          <w:sz w:val="28"/>
          <w:szCs w:val="28"/>
          <w:lang w:eastAsia="ru-RU"/>
        </w:rPr>
        <w:t>участках с</w:t>
      </w:r>
      <w:r>
        <w:rPr>
          <w:rFonts w:ascii="Times New Roman" w:hAnsi="Times New Roman"/>
          <w:bCs/>
          <w:sz w:val="28"/>
          <w:szCs w:val="28"/>
          <w:lang w:eastAsia="ru-RU"/>
        </w:rPr>
        <w:t> </w:t>
      </w:r>
      <w:r w:rsidRPr="006F130F">
        <w:rPr>
          <w:rFonts w:ascii="Times New Roman" w:hAnsi="Times New Roman"/>
          <w:bCs/>
          <w:sz w:val="28"/>
          <w:szCs w:val="28"/>
          <w:lang w:eastAsia="ru-RU"/>
        </w:rPr>
        <w:t>дренирующим слоем, подстилающим просадочную толщу, указанные здания и</w:t>
      </w:r>
      <w:r>
        <w:rPr>
          <w:rFonts w:ascii="Times New Roman" w:hAnsi="Times New Roman"/>
          <w:bCs/>
          <w:sz w:val="28"/>
          <w:szCs w:val="28"/>
          <w:lang w:eastAsia="ru-RU"/>
        </w:rPr>
        <w:t> </w:t>
      </w:r>
      <w:r w:rsidRPr="006F130F">
        <w:rPr>
          <w:rFonts w:ascii="Times New Roman" w:hAnsi="Times New Roman"/>
          <w:bCs/>
          <w:sz w:val="28"/>
          <w:szCs w:val="28"/>
          <w:lang w:eastAsia="ru-RU"/>
        </w:rPr>
        <w:t>сооружения следует располагать на</w:t>
      </w:r>
      <w:r>
        <w:rPr>
          <w:rFonts w:ascii="Times New Roman" w:hAnsi="Times New Roman"/>
          <w:bCs/>
          <w:sz w:val="28"/>
          <w:szCs w:val="28"/>
          <w:lang w:eastAsia="ru-RU"/>
        </w:rPr>
        <w:t> </w:t>
      </w:r>
      <w:r w:rsidRPr="006F130F">
        <w:rPr>
          <w:rFonts w:ascii="Times New Roman" w:hAnsi="Times New Roman"/>
          <w:bCs/>
          <w:sz w:val="28"/>
          <w:szCs w:val="28"/>
          <w:lang w:eastAsia="ru-RU"/>
        </w:rPr>
        <w:t>расстоянии от</w:t>
      </w:r>
      <w:r>
        <w:rPr>
          <w:rFonts w:ascii="Times New Roman" w:hAnsi="Times New Roman"/>
          <w:bCs/>
          <w:sz w:val="28"/>
          <w:szCs w:val="28"/>
          <w:lang w:eastAsia="ru-RU"/>
        </w:rPr>
        <w:t> </w:t>
      </w:r>
      <w:r w:rsidRPr="006F130F">
        <w:rPr>
          <w:rFonts w:ascii="Times New Roman" w:hAnsi="Times New Roman"/>
          <w:bCs/>
          <w:sz w:val="28"/>
          <w:szCs w:val="28"/>
          <w:lang w:eastAsia="ru-RU"/>
        </w:rPr>
        <w:t>других зданий и</w:t>
      </w:r>
      <w:r>
        <w:rPr>
          <w:rFonts w:ascii="Times New Roman" w:hAnsi="Times New Roman"/>
          <w:bCs/>
          <w:sz w:val="28"/>
          <w:szCs w:val="28"/>
          <w:lang w:eastAsia="ru-RU"/>
        </w:rPr>
        <w:t> </w:t>
      </w:r>
      <w:r w:rsidRPr="006F130F">
        <w:rPr>
          <w:rFonts w:ascii="Times New Roman" w:hAnsi="Times New Roman"/>
          <w:bCs/>
          <w:sz w:val="28"/>
          <w:szCs w:val="28"/>
          <w:lang w:eastAsia="ru-RU"/>
        </w:rPr>
        <w:t>сооружений, равном: не</w:t>
      </w:r>
      <w:r>
        <w:rPr>
          <w:rFonts w:ascii="Times New Roman" w:hAnsi="Times New Roman"/>
          <w:bCs/>
          <w:sz w:val="28"/>
          <w:szCs w:val="28"/>
          <w:lang w:eastAsia="ru-RU"/>
        </w:rPr>
        <w:t> </w:t>
      </w:r>
      <w:r w:rsidRPr="006F130F">
        <w:rPr>
          <w:rFonts w:ascii="Times New Roman" w:hAnsi="Times New Roman"/>
          <w:bCs/>
          <w:sz w:val="28"/>
          <w:szCs w:val="28"/>
          <w:lang w:eastAsia="ru-RU"/>
        </w:rPr>
        <w:t xml:space="preserve">менее 1,5 толщины </w:t>
      </w:r>
      <w:bookmarkStart w:id="214" w:name="OCRUncertain414"/>
      <w:r w:rsidRPr="006F130F">
        <w:rPr>
          <w:rFonts w:ascii="Times New Roman" w:hAnsi="Times New Roman"/>
          <w:bCs/>
          <w:sz w:val="28"/>
          <w:szCs w:val="28"/>
          <w:lang w:eastAsia="ru-RU"/>
        </w:rPr>
        <w:t>просадочного</w:t>
      </w:r>
      <w:bookmarkEnd w:id="214"/>
      <w:r w:rsidRPr="006F130F">
        <w:rPr>
          <w:rFonts w:ascii="Times New Roman" w:hAnsi="Times New Roman"/>
          <w:bCs/>
          <w:sz w:val="28"/>
          <w:szCs w:val="28"/>
          <w:lang w:eastAsia="ru-RU"/>
        </w:rPr>
        <w:t xml:space="preserve"> слоя в</w:t>
      </w:r>
      <w:r>
        <w:rPr>
          <w:rFonts w:ascii="Times New Roman" w:hAnsi="Times New Roman"/>
          <w:bCs/>
          <w:sz w:val="28"/>
          <w:szCs w:val="28"/>
          <w:lang w:eastAsia="ru-RU"/>
        </w:rPr>
        <w:t> </w:t>
      </w:r>
      <w:r w:rsidRPr="006F130F">
        <w:rPr>
          <w:rFonts w:ascii="Times New Roman" w:hAnsi="Times New Roman"/>
          <w:bCs/>
          <w:sz w:val="28"/>
          <w:szCs w:val="28"/>
          <w:lang w:eastAsia="ru-RU"/>
        </w:rPr>
        <w:t>грунтовых условиях I</w:t>
      </w:r>
      <w:r>
        <w:rPr>
          <w:rFonts w:ascii="Times New Roman" w:hAnsi="Times New Roman"/>
          <w:bCs/>
          <w:sz w:val="28"/>
          <w:szCs w:val="28"/>
          <w:lang w:eastAsia="ru-RU"/>
        </w:rPr>
        <w:t> </w:t>
      </w:r>
      <w:r w:rsidRPr="006F130F">
        <w:rPr>
          <w:rFonts w:ascii="Times New Roman" w:hAnsi="Times New Roman"/>
          <w:bCs/>
          <w:sz w:val="28"/>
          <w:szCs w:val="28"/>
          <w:lang w:eastAsia="ru-RU"/>
        </w:rPr>
        <w:t>типа по</w:t>
      </w:r>
      <w:r>
        <w:rPr>
          <w:rFonts w:ascii="Times New Roman" w:hAnsi="Times New Roman"/>
          <w:bCs/>
          <w:sz w:val="28"/>
          <w:szCs w:val="28"/>
          <w:lang w:eastAsia="ru-RU"/>
        </w:rPr>
        <w:t> </w:t>
      </w:r>
      <w:bookmarkStart w:id="215" w:name="OCRUncertain415"/>
      <w:r w:rsidRPr="006F130F">
        <w:rPr>
          <w:rFonts w:ascii="Times New Roman" w:hAnsi="Times New Roman"/>
          <w:bCs/>
          <w:sz w:val="28"/>
          <w:szCs w:val="28"/>
          <w:lang w:eastAsia="ru-RU"/>
        </w:rPr>
        <w:t>просадочности,</w:t>
      </w:r>
      <w:bookmarkEnd w:id="215"/>
      <w:r w:rsidRPr="006F130F">
        <w:rPr>
          <w:rFonts w:ascii="Times New Roman" w:hAnsi="Times New Roman"/>
          <w:bCs/>
          <w:sz w:val="28"/>
          <w:szCs w:val="28"/>
          <w:lang w:eastAsia="ru-RU"/>
        </w:rPr>
        <w:t xml:space="preserve"> а</w:t>
      </w:r>
      <w:r>
        <w:rPr>
          <w:rFonts w:ascii="Times New Roman" w:hAnsi="Times New Roman"/>
          <w:bCs/>
          <w:sz w:val="28"/>
          <w:szCs w:val="28"/>
          <w:lang w:eastAsia="ru-RU"/>
        </w:rPr>
        <w:t> </w:t>
      </w:r>
      <w:r w:rsidRPr="006F130F">
        <w:rPr>
          <w:rFonts w:ascii="Times New Roman" w:hAnsi="Times New Roman"/>
          <w:bCs/>
          <w:sz w:val="28"/>
          <w:szCs w:val="28"/>
          <w:lang w:eastAsia="ru-RU"/>
        </w:rPr>
        <w:t>также II</w:t>
      </w:r>
      <w:r>
        <w:rPr>
          <w:rFonts w:ascii="Times New Roman" w:hAnsi="Times New Roman"/>
          <w:bCs/>
          <w:sz w:val="28"/>
          <w:szCs w:val="28"/>
          <w:lang w:eastAsia="ru-RU"/>
        </w:rPr>
        <w:t> </w:t>
      </w:r>
      <w:r w:rsidRPr="006F130F">
        <w:rPr>
          <w:rFonts w:ascii="Times New Roman" w:hAnsi="Times New Roman"/>
          <w:bCs/>
          <w:sz w:val="28"/>
          <w:szCs w:val="28"/>
          <w:lang w:eastAsia="ru-RU"/>
        </w:rPr>
        <w:t>типа по</w:t>
      </w:r>
      <w:r>
        <w:rPr>
          <w:rFonts w:ascii="Times New Roman" w:hAnsi="Times New Roman"/>
          <w:bCs/>
          <w:sz w:val="28"/>
          <w:szCs w:val="28"/>
          <w:lang w:eastAsia="ru-RU"/>
        </w:rPr>
        <w:t> </w:t>
      </w:r>
      <w:bookmarkStart w:id="216" w:name="OCRUncertain416"/>
      <w:r w:rsidRPr="006F130F">
        <w:rPr>
          <w:rFonts w:ascii="Times New Roman" w:hAnsi="Times New Roman"/>
          <w:bCs/>
          <w:sz w:val="28"/>
          <w:szCs w:val="28"/>
          <w:lang w:eastAsia="ru-RU"/>
        </w:rPr>
        <w:t>просадочности</w:t>
      </w:r>
      <w:bookmarkEnd w:id="216"/>
      <w:r w:rsidRPr="006F130F">
        <w:rPr>
          <w:rFonts w:ascii="Times New Roman" w:hAnsi="Times New Roman"/>
          <w:bCs/>
          <w:sz w:val="28"/>
          <w:szCs w:val="28"/>
          <w:lang w:eastAsia="ru-RU"/>
        </w:rPr>
        <w:t xml:space="preserve"> при наличии водопроницаемых подстилающих гр</w:t>
      </w:r>
      <w:bookmarkStart w:id="217" w:name="OCRUncertain417"/>
      <w:r w:rsidRPr="006F130F">
        <w:rPr>
          <w:rFonts w:ascii="Times New Roman" w:hAnsi="Times New Roman"/>
          <w:bCs/>
          <w:sz w:val="28"/>
          <w:szCs w:val="28"/>
          <w:lang w:eastAsia="ru-RU"/>
        </w:rPr>
        <w:t>у</w:t>
      </w:r>
      <w:bookmarkEnd w:id="217"/>
      <w:r w:rsidRPr="006F130F">
        <w:rPr>
          <w:rFonts w:ascii="Times New Roman" w:hAnsi="Times New Roman"/>
          <w:bCs/>
          <w:sz w:val="28"/>
          <w:szCs w:val="28"/>
          <w:lang w:eastAsia="ru-RU"/>
        </w:rPr>
        <w:t>нтов; не</w:t>
      </w:r>
      <w:r>
        <w:rPr>
          <w:rFonts w:ascii="Times New Roman" w:hAnsi="Times New Roman"/>
          <w:bCs/>
          <w:sz w:val="28"/>
          <w:szCs w:val="28"/>
          <w:lang w:eastAsia="ru-RU"/>
        </w:rPr>
        <w:t> </w:t>
      </w:r>
      <w:r w:rsidRPr="006F130F">
        <w:rPr>
          <w:rFonts w:ascii="Times New Roman" w:hAnsi="Times New Roman"/>
          <w:bCs/>
          <w:sz w:val="28"/>
          <w:szCs w:val="28"/>
          <w:lang w:eastAsia="ru-RU"/>
        </w:rPr>
        <w:t>менее 3-кратной толщины просадочного слоя в</w:t>
      </w:r>
      <w:r>
        <w:rPr>
          <w:rFonts w:ascii="Times New Roman" w:hAnsi="Times New Roman"/>
          <w:bCs/>
          <w:sz w:val="28"/>
          <w:szCs w:val="28"/>
          <w:lang w:eastAsia="ru-RU"/>
        </w:rPr>
        <w:t> </w:t>
      </w:r>
      <w:r w:rsidRPr="006F130F">
        <w:rPr>
          <w:rFonts w:ascii="Times New Roman" w:hAnsi="Times New Roman"/>
          <w:bCs/>
          <w:sz w:val="28"/>
          <w:szCs w:val="28"/>
          <w:lang w:eastAsia="ru-RU"/>
        </w:rPr>
        <w:t>грунтовых условиях II</w:t>
      </w:r>
      <w:r>
        <w:rPr>
          <w:rFonts w:ascii="Times New Roman" w:hAnsi="Times New Roman"/>
          <w:bCs/>
          <w:sz w:val="28"/>
          <w:szCs w:val="28"/>
          <w:lang w:eastAsia="ru-RU"/>
        </w:rPr>
        <w:t> </w:t>
      </w:r>
      <w:r w:rsidRPr="006F130F">
        <w:rPr>
          <w:rFonts w:ascii="Times New Roman" w:hAnsi="Times New Roman"/>
          <w:bCs/>
          <w:sz w:val="28"/>
          <w:szCs w:val="28"/>
          <w:lang w:eastAsia="ru-RU"/>
        </w:rPr>
        <w:t>типа по</w:t>
      </w:r>
      <w:r>
        <w:rPr>
          <w:rFonts w:ascii="Times New Roman" w:hAnsi="Times New Roman"/>
          <w:bCs/>
          <w:sz w:val="28"/>
          <w:szCs w:val="28"/>
          <w:lang w:eastAsia="ru-RU"/>
        </w:rPr>
        <w:t> </w:t>
      </w:r>
      <w:r w:rsidRPr="006F130F">
        <w:rPr>
          <w:rFonts w:ascii="Times New Roman" w:hAnsi="Times New Roman"/>
          <w:bCs/>
          <w:sz w:val="28"/>
          <w:szCs w:val="28"/>
          <w:lang w:eastAsia="ru-RU"/>
        </w:rPr>
        <w:t>просадочности при наличии водонепроницаемых подстилающих грунтов.</w:t>
      </w:r>
    </w:p>
    <w:p w:rsidR="002D1E45" w:rsidRPr="006F130F" w:rsidRDefault="002D1E45" w:rsidP="006F130F">
      <w:pPr>
        <w:spacing w:after="0" w:line="240" w:lineRule="auto"/>
        <w:ind w:firstLine="709"/>
        <w:jc w:val="both"/>
        <w:rPr>
          <w:rFonts w:ascii="Times New Roman" w:hAnsi="Times New Roman"/>
          <w:bCs/>
          <w:sz w:val="28"/>
          <w:szCs w:val="28"/>
          <w:lang w:eastAsia="ru-RU"/>
        </w:rPr>
      </w:pPr>
      <w:r w:rsidRPr="006F130F">
        <w:rPr>
          <w:rFonts w:ascii="Times New Roman" w:hAnsi="Times New Roman"/>
          <w:bCs/>
          <w:sz w:val="28"/>
          <w:szCs w:val="28"/>
          <w:lang w:eastAsia="ru-RU"/>
        </w:rPr>
        <w:t>Расстояния от</w:t>
      </w:r>
      <w:r>
        <w:rPr>
          <w:rFonts w:ascii="Times New Roman" w:hAnsi="Times New Roman"/>
          <w:bCs/>
          <w:sz w:val="28"/>
          <w:szCs w:val="28"/>
          <w:lang w:eastAsia="ru-RU"/>
        </w:rPr>
        <w:t> </w:t>
      </w:r>
      <w:r w:rsidRPr="006F130F">
        <w:rPr>
          <w:rFonts w:ascii="Times New Roman" w:hAnsi="Times New Roman"/>
          <w:bCs/>
          <w:sz w:val="28"/>
          <w:szCs w:val="28"/>
          <w:lang w:eastAsia="ru-RU"/>
        </w:rPr>
        <w:t>постоянных источников замачивания до</w:t>
      </w:r>
      <w:r>
        <w:rPr>
          <w:rFonts w:ascii="Times New Roman" w:hAnsi="Times New Roman"/>
          <w:bCs/>
          <w:sz w:val="28"/>
          <w:szCs w:val="28"/>
          <w:lang w:eastAsia="ru-RU"/>
        </w:rPr>
        <w:t> </w:t>
      </w:r>
      <w:r w:rsidRPr="006F130F">
        <w:rPr>
          <w:rFonts w:ascii="Times New Roman" w:hAnsi="Times New Roman"/>
          <w:bCs/>
          <w:sz w:val="28"/>
          <w:szCs w:val="28"/>
          <w:lang w:eastAsia="ru-RU"/>
        </w:rPr>
        <w:t>зданий и</w:t>
      </w:r>
      <w:r>
        <w:rPr>
          <w:rFonts w:ascii="Times New Roman" w:hAnsi="Times New Roman"/>
          <w:bCs/>
          <w:sz w:val="28"/>
          <w:szCs w:val="28"/>
          <w:lang w:eastAsia="ru-RU"/>
        </w:rPr>
        <w:t> </w:t>
      </w:r>
      <w:r w:rsidRPr="006F130F">
        <w:rPr>
          <w:rFonts w:ascii="Times New Roman" w:hAnsi="Times New Roman"/>
          <w:bCs/>
          <w:sz w:val="28"/>
          <w:szCs w:val="28"/>
          <w:lang w:eastAsia="ru-RU"/>
        </w:rPr>
        <w:t>сооружений допускается не</w:t>
      </w:r>
      <w:r>
        <w:rPr>
          <w:rFonts w:ascii="Times New Roman" w:hAnsi="Times New Roman"/>
          <w:bCs/>
          <w:sz w:val="28"/>
          <w:szCs w:val="28"/>
          <w:lang w:eastAsia="ru-RU"/>
        </w:rPr>
        <w:t> </w:t>
      </w:r>
      <w:r w:rsidRPr="006F130F">
        <w:rPr>
          <w:rFonts w:ascii="Times New Roman" w:hAnsi="Times New Roman"/>
          <w:bCs/>
          <w:sz w:val="28"/>
          <w:szCs w:val="28"/>
          <w:lang w:eastAsia="ru-RU"/>
        </w:rPr>
        <w:t xml:space="preserve">ограничивать при условии полного устранения </w:t>
      </w:r>
      <w:bookmarkStart w:id="218" w:name="OCRUncertain418"/>
      <w:r w:rsidRPr="006F130F">
        <w:rPr>
          <w:rFonts w:ascii="Times New Roman" w:hAnsi="Times New Roman"/>
          <w:bCs/>
          <w:sz w:val="28"/>
          <w:szCs w:val="28"/>
          <w:lang w:eastAsia="ru-RU"/>
        </w:rPr>
        <w:t>просадочных</w:t>
      </w:r>
      <w:bookmarkEnd w:id="218"/>
      <w:r w:rsidRPr="006F130F">
        <w:rPr>
          <w:rFonts w:ascii="Times New Roman" w:hAnsi="Times New Roman"/>
          <w:bCs/>
          <w:sz w:val="28"/>
          <w:szCs w:val="28"/>
          <w:lang w:eastAsia="ru-RU"/>
        </w:rPr>
        <w:t xml:space="preserve"> свойств гр</w:t>
      </w:r>
      <w:bookmarkStart w:id="219" w:name="OCRUncertain419"/>
      <w:r w:rsidRPr="006F130F">
        <w:rPr>
          <w:rFonts w:ascii="Times New Roman" w:hAnsi="Times New Roman"/>
          <w:bCs/>
          <w:sz w:val="28"/>
          <w:szCs w:val="28"/>
          <w:lang w:eastAsia="ru-RU"/>
        </w:rPr>
        <w:t>у</w:t>
      </w:r>
      <w:bookmarkEnd w:id="219"/>
      <w:r w:rsidRPr="006F130F">
        <w:rPr>
          <w:rFonts w:ascii="Times New Roman" w:hAnsi="Times New Roman"/>
          <w:bCs/>
          <w:sz w:val="28"/>
          <w:szCs w:val="28"/>
          <w:lang w:eastAsia="ru-RU"/>
        </w:rPr>
        <w:t>нтов.</w:t>
      </w:r>
    </w:p>
    <w:p w:rsidR="002D1E45" w:rsidRPr="006F130F" w:rsidRDefault="002D1E45" w:rsidP="006F130F">
      <w:pPr>
        <w:spacing w:after="0" w:line="240" w:lineRule="auto"/>
        <w:ind w:firstLine="709"/>
        <w:jc w:val="both"/>
        <w:rPr>
          <w:rFonts w:ascii="Times New Roman" w:hAnsi="Times New Roman"/>
          <w:i/>
          <w:sz w:val="28"/>
          <w:szCs w:val="28"/>
          <w:u w:val="single"/>
          <w:lang w:eastAsia="ru-RU"/>
        </w:rPr>
      </w:pPr>
      <w:r w:rsidRPr="006F130F">
        <w:rPr>
          <w:rFonts w:ascii="Times New Roman" w:hAnsi="Times New Roman"/>
          <w:i/>
          <w:sz w:val="28"/>
          <w:szCs w:val="28"/>
          <w:u w:val="single"/>
          <w:lang w:eastAsia="ru-RU"/>
        </w:rPr>
        <w:t>Градостроительные (проектные) ограничения (предложения) при размещении объектов капитального строительства</w:t>
      </w:r>
    </w:p>
    <w:p w:rsidR="002D1E45" w:rsidRPr="006F130F" w:rsidRDefault="002D1E45" w:rsidP="006F130F">
      <w:pPr>
        <w:spacing w:after="0" w:line="240" w:lineRule="auto"/>
        <w:ind w:firstLine="709"/>
        <w:jc w:val="both"/>
        <w:rPr>
          <w:rFonts w:ascii="Times New Roman" w:hAnsi="Times New Roman"/>
          <w:bCs/>
          <w:sz w:val="28"/>
          <w:szCs w:val="28"/>
          <w:lang w:eastAsia="ru-RU"/>
        </w:rPr>
      </w:pPr>
      <w:r w:rsidRPr="006F130F">
        <w:rPr>
          <w:rFonts w:ascii="Times New Roman" w:hAnsi="Times New Roman"/>
          <w:bCs/>
          <w:sz w:val="28"/>
          <w:szCs w:val="28"/>
          <w:lang w:eastAsia="ru-RU"/>
        </w:rPr>
        <w:t>Строительство новых категорированных объектов по</w:t>
      </w:r>
      <w:r>
        <w:rPr>
          <w:rFonts w:ascii="Times New Roman" w:hAnsi="Times New Roman"/>
          <w:bCs/>
          <w:sz w:val="28"/>
          <w:szCs w:val="28"/>
          <w:lang w:eastAsia="ru-RU"/>
        </w:rPr>
        <w:t> </w:t>
      </w:r>
      <w:r w:rsidRPr="006F130F">
        <w:rPr>
          <w:rFonts w:ascii="Times New Roman" w:hAnsi="Times New Roman"/>
          <w:bCs/>
          <w:sz w:val="28"/>
          <w:szCs w:val="28"/>
          <w:lang w:eastAsia="ru-RU"/>
        </w:rPr>
        <w:t>ГО, объектов имеющие сильнодействующие ядовитые вещества без предварительного согласования с</w:t>
      </w:r>
      <w:r>
        <w:rPr>
          <w:rFonts w:ascii="Times New Roman" w:hAnsi="Times New Roman"/>
          <w:bCs/>
          <w:sz w:val="28"/>
          <w:szCs w:val="28"/>
          <w:lang w:eastAsia="ru-RU"/>
        </w:rPr>
        <w:t> </w:t>
      </w:r>
      <w:r w:rsidRPr="006F130F">
        <w:rPr>
          <w:rFonts w:ascii="Times New Roman" w:hAnsi="Times New Roman"/>
          <w:bCs/>
          <w:sz w:val="28"/>
          <w:szCs w:val="28"/>
          <w:lang w:eastAsia="ru-RU"/>
        </w:rPr>
        <w:t>органами МЧС России не</w:t>
      </w:r>
      <w:r>
        <w:rPr>
          <w:rFonts w:ascii="Times New Roman" w:hAnsi="Times New Roman"/>
          <w:bCs/>
          <w:sz w:val="28"/>
          <w:szCs w:val="28"/>
          <w:lang w:eastAsia="ru-RU"/>
        </w:rPr>
        <w:t> </w:t>
      </w:r>
      <w:r w:rsidRPr="006F130F">
        <w:rPr>
          <w:rFonts w:ascii="Times New Roman" w:hAnsi="Times New Roman"/>
          <w:bCs/>
          <w:sz w:val="28"/>
          <w:szCs w:val="28"/>
          <w:lang w:eastAsia="ru-RU"/>
        </w:rPr>
        <w:t>предусматривать.</w:t>
      </w:r>
    </w:p>
    <w:p w:rsidR="002D1E45" w:rsidRPr="006F130F" w:rsidRDefault="002D1E45" w:rsidP="006F130F">
      <w:pPr>
        <w:spacing w:after="0" w:line="240" w:lineRule="auto"/>
        <w:ind w:firstLine="709"/>
        <w:jc w:val="both"/>
        <w:rPr>
          <w:rFonts w:ascii="Times New Roman" w:hAnsi="Times New Roman"/>
          <w:bCs/>
          <w:sz w:val="28"/>
          <w:szCs w:val="28"/>
          <w:lang w:eastAsia="ru-RU"/>
        </w:rPr>
      </w:pPr>
      <w:r w:rsidRPr="006F130F">
        <w:rPr>
          <w:rFonts w:ascii="Times New Roman" w:hAnsi="Times New Roman"/>
          <w:bCs/>
          <w:sz w:val="28"/>
          <w:szCs w:val="28"/>
          <w:lang w:eastAsia="ru-RU"/>
        </w:rPr>
        <w:t>При проектировании и</w:t>
      </w:r>
      <w:r>
        <w:rPr>
          <w:rFonts w:ascii="Times New Roman" w:hAnsi="Times New Roman"/>
          <w:bCs/>
          <w:sz w:val="28"/>
          <w:szCs w:val="28"/>
          <w:lang w:eastAsia="ru-RU"/>
        </w:rPr>
        <w:t> </w:t>
      </w:r>
      <w:r w:rsidRPr="006F130F">
        <w:rPr>
          <w:rFonts w:ascii="Times New Roman" w:hAnsi="Times New Roman"/>
          <w:bCs/>
          <w:sz w:val="28"/>
          <w:szCs w:val="28"/>
          <w:lang w:eastAsia="ru-RU"/>
        </w:rPr>
        <w:t>строительстве промышленных объектов требуется учитывать следующее: в</w:t>
      </w:r>
      <w:r>
        <w:rPr>
          <w:rFonts w:ascii="Times New Roman" w:hAnsi="Times New Roman"/>
          <w:bCs/>
          <w:sz w:val="28"/>
          <w:szCs w:val="28"/>
          <w:lang w:eastAsia="ru-RU"/>
        </w:rPr>
        <w:t> </w:t>
      </w:r>
      <w:r w:rsidRPr="006F130F">
        <w:rPr>
          <w:rFonts w:ascii="Times New Roman" w:hAnsi="Times New Roman"/>
          <w:bCs/>
          <w:sz w:val="28"/>
          <w:szCs w:val="28"/>
          <w:lang w:eastAsia="ru-RU"/>
        </w:rPr>
        <w:t>отношении объектов коммунально-бытового назначения – положения пунктов 8.1-8.2 СП 165.132.5800.2014 «Инженерно-технические мероприятия по</w:t>
      </w:r>
      <w:r>
        <w:rPr>
          <w:rFonts w:ascii="Times New Roman" w:hAnsi="Times New Roman"/>
          <w:bCs/>
          <w:sz w:val="28"/>
          <w:szCs w:val="28"/>
          <w:lang w:eastAsia="ru-RU"/>
        </w:rPr>
        <w:t> </w:t>
      </w:r>
      <w:r w:rsidRPr="006F130F">
        <w:rPr>
          <w:rFonts w:ascii="Times New Roman" w:hAnsi="Times New Roman"/>
          <w:bCs/>
          <w:sz w:val="28"/>
          <w:szCs w:val="28"/>
          <w:lang w:eastAsia="ru-RU"/>
        </w:rPr>
        <w:t>гражданской обороне. Актуализированная редакция СНиП 2.01.51-90» и</w:t>
      </w:r>
      <w:r>
        <w:rPr>
          <w:rFonts w:ascii="Times New Roman" w:hAnsi="Times New Roman"/>
          <w:bCs/>
          <w:sz w:val="28"/>
          <w:szCs w:val="28"/>
          <w:lang w:eastAsia="ru-RU"/>
        </w:rPr>
        <w:t> </w:t>
      </w:r>
      <w:r w:rsidRPr="006F130F">
        <w:rPr>
          <w:rFonts w:ascii="Times New Roman" w:hAnsi="Times New Roman"/>
          <w:bCs/>
          <w:sz w:val="28"/>
          <w:szCs w:val="28"/>
          <w:lang w:eastAsia="ru-RU"/>
        </w:rPr>
        <w:t>положения СП 94.13330.2016 «Приспособление объектов коммунально-бытового назначения для санитарной обработки людей, специальной обработки одежды и</w:t>
      </w:r>
      <w:r>
        <w:rPr>
          <w:rFonts w:ascii="Times New Roman" w:hAnsi="Times New Roman"/>
          <w:bCs/>
          <w:sz w:val="28"/>
          <w:szCs w:val="28"/>
          <w:lang w:eastAsia="ru-RU"/>
        </w:rPr>
        <w:t> </w:t>
      </w:r>
      <w:r w:rsidRPr="006F130F">
        <w:rPr>
          <w:rFonts w:ascii="Times New Roman" w:hAnsi="Times New Roman"/>
          <w:bCs/>
          <w:sz w:val="28"/>
          <w:szCs w:val="28"/>
          <w:lang w:eastAsia="ru-RU"/>
        </w:rPr>
        <w:t>подвижного состава автотранспорта. Актуализированная редакция СНиП 2.01.57-85» в</w:t>
      </w:r>
      <w:r>
        <w:rPr>
          <w:rFonts w:ascii="Times New Roman" w:hAnsi="Times New Roman"/>
          <w:bCs/>
          <w:sz w:val="28"/>
          <w:szCs w:val="28"/>
          <w:lang w:eastAsia="ru-RU"/>
        </w:rPr>
        <w:t> </w:t>
      </w:r>
      <w:r w:rsidRPr="006F130F">
        <w:rPr>
          <w:rFonts w:ascii="Times New Roman" w:hAnsi="Times New Roman"/>
          <w:bCs/>
          <w:sz w:val="28"/>
          <w:szCs w:val="28"/>
          <w:lang w:eastAsia="ru-RU"/>
        </w:rPr>
        <w:t>отношении опасных производственных объектов, особо опасных, технически сложных и</w:t>
      </w:r>
      <w:r>
        <w:rPr>
          <w:rFonts w:ascii="Times New Roman" w:hAnsi="Times New Roman"/>
          <w:bCs/>
          <w:sz w:val="28"/>
          <w:szCs w:val="28"/>
          <w:lang w:eastAsia="ru-RU"/>
        </w:rPr>
        <w:t> </w:t>
      </w:r>
      <w:r w:rsidRPr="006F130F">
        <w:rPr>
          <w:rFonts w:ascii="Times New Roman" w:hAnsi="Times New Roman"/>
          <w:bCs/>
          <w:sz w:val="28"/>
          <w:szCs w:val="28"/>
          <w:lang w:eastAsia="ru-RU"/>
        </w:rPr>
        <w:t>уникальных объектов, размещаемых на</w:t>
      </w:r>
      <w:r>
        <w:rPr>
          <w:rFonts w:ascii="Times New Roman" w:hAnsi="Times New Roman"/>
          <w:bCs/>
          <w:sz w:val="28"/>
          <w:szCs w:val="28"/>
          <w:lang w:eastAsia="ru-RU"/>
        </w:rPr>
        <w:t> </w:t>
      </w:r>
      <w:r w:rsidRPr="006F130F">
        <w:rPr>
          <w:rFonts w:ascii="Times New Roman" w:hAnsi="Times New Roman"/>
          <w:bCs/>
          <w:sz w:val="28"/>
          <w:szCs w:val="28"/>
          <w:lang w:eastAsia="ru-RU"/>
        </w:rPr>
        <w:t xml:space="preserve">территории </w:t>
      </w:r>
      <w:r>
        <w:rPr>
          <w:rFonts w:ascii="Times New Roman" w:hAnsi="Times New Roman"/>
          <w:sz w:val="28"/>
          <w:szCs w:val="28"/>
        </w:rPr>
        <w:t>города</w:t>
      </w:r>
      <w:r>
        <w:rPr>
          <w:rFonts w:ascii="Times New Roman" w:hAnsi="Times New Roman"/>
          <w:sz w:val="28"/>
          <w:szCs w:val="24"/>
          <w:lang w:eastAsia="ru-RU"/>
        </w:rPr>
        <w:t>,</w:t>
      </w:r>
      <w:r w:rsidRPr="006F130F">
        <w:rPr>
          <w:rFonts w:ascii="Times New Roman" w:hAnsi="Times New Roman"/>
          <w:color w:val="000000"/>
          <w:sz w:val="28"/>
          <w:szCs w:val="28"/>
        </w:rPr>
        <w:t xml:space="preserve"> </w:t>
      </w:r>
      <w:r w:rsidRPr="006F130F">
        <w:rPr>
          <w:rFonts w:ascii="Times New Roman" w:hAnsi="Times New Roman"/>
          <w:bCs/>
          <w:sz w:val="28"/>
          <w:szCs w:val="28"/>
          <w:lang w:eastAsia="ru-RU"/>
        </w:rPr>
        <w:t>необходимо выполнить требования проектирования, указанные в</w:t>
      </w:r>
      <w:r>
        <w:rPr>
          <w:rFonts w:ascii="Times New Roman" w:hAnsi="Times New Roman"/>
          <w:bCs/>
          <w:sz w:val="28"/>
          <w:szCs w:val="28"/>
          <w:lang w:eastAsia="ru-RU"/>
        </w:rPr>
        <w:t> </w:t>
      </w:r>
      <w:r w:rsidRPr="006F130F">
        <w:rPr>
          <w:rFonts w:ascii="Times New Roman" w:hAnsi="Times New Roman"/>
          <w:bCs/>
          <w:sz w:val="28"/>
          <w:szCs w:val="28"/>
          <w:lang w:eastAsia="ru-RU"/>
        </w:rPr>
        <w:t>разделе 6 СП 165.132.5800.2014.</w:t>
      </w:r>
    </w:p>
    <w:p w:rsidR="002D1E45" w:rsidRPr="006F130F" w:rsidRDefault="002D1E45" w:rsidP="006F130F">
      <w:pPr>
        <w:spacing w:after="0" w:line="240" w:lineRule="auto"/>
        <w:ind w:firstLine="709"/>
        <w:jc w:val="both"/>
        <w:rPr>
          <w:rFonts w:ascii="Times New Roman" w:hAnsi="Times New Roman"/>
          <w:bCs/>
          <w:sz w:val="28"/>
          <w:szCs w:val="28"/>
          <w:lang w:eastAsia="ru-RU"/>
        </w:rPr>
      </w:pPr>
      <w:r w:rsidRPr="006F130F">
        <w:rPr>
          <w:rFonts w:ascii="Times New Roman" w:hAnsi="Times New Roman"/>
          <w:bCs/>
          <w:sz w:val="28"/>
          <w:szCs w:val="28"/>
          <w:lang w:eastAsia="ru-RU"/>
        </w:rPr>
        <w:t>Объекты коммунально-бытового назначения вновь строящиеся, действующие и</w:t>
      </w:r>
      <w:r>
        <w:rPr>
          <w:rFonts w:ascii="Times New Roman" w:hAnsi="Times New Roman"/>
          <w:bCs/>
          <w:sz w:val="28"/>
          <w:szCs w:val="28"/>
          <w:lang w:eastAsia="ru-RU"/>
        </w:rPr>
        <w:t> </w:t>
      </w:r>
      <w:r w:rsidRPr="006F130F">
        <w:rPr>
          <w:rFonts w:ascii="Times New Roman" w:hAnsi="Times New Roman"/>
          <w:bCs/>
          <w:sz w:val="28"/>
          <w:szCs w:val="28"/>
          <w:lang w:eastAsia="ru-RU"/>
        </w:rPr>
        <w:t>реконструируемые проектировать с</w:t>
      </w:r>
      <w:r>
        <w:rPr>
          <w:rFonts w:ascii="Times New Roman" w:hAnsi="Times New Roman"/>
          <w:bCs/>
          <w:sz w:val="28"/>
          <w:szCs w:val="28"/>
          <w:lang w:eastAsia="ru-RU"/>
        </w:rPr>
        <w:t> </w:t>
      </w:r>
      <w:r w:rsidRPr="006F130F">
        <w:rPr>
          <w:rFonts w:ascii="Times New Roman" w:hAnsi="Times New Roman"/>
          <w:bCs/>
          <w:sz w:val="28"/>
          <w:szCs w:val="28"/>
          <w:lang w:eastAsia="ru-RU"/>
        </w:rPr>
        <w:t>учётом приспособления:</w:t>
      </w:r>
    </w:p>
    <w:p w:rsidR="002D1E45" w:rsidRPr="006F130F" w:rsidRDefault="002D1E45" w:rsidP="006F130F">
      <w:pPr>
        <w:numPr>
          <w:ilvl w:val="0"/>
          <w:numId w:val="24"/>
        </w:numPr>
        <w:spacing w:after="0" w:line="240" w:lineRule="auto"/>
        <w:jc w:val="both"/>
        <w:rPr>
          <w:rFonts w:ascii="Times New Roman" w:hAnsi="Times New Roman"/>
          <w:sz w:val="28"/>
          <w:szCs w:val="28"/>
        </w:rPr>
      </w:pPr>
      <w:r w:rsidRPr="006F130F">
        <w:rPr>
          <w:rFonts w:ascii="Times New Roman" w:hAnsi="Times New Roman"/>
          <w:sz w:val="28"/>
          <w:szCs w:val="28"/>
        </w:rPr>
        <w:t>бань и</w:t>
      </w:r>
      <w:r>
        <w:rPr>
          <w:rFonts w:ascii="Times New Roman" w:hAnsi="Times New Roman"/>
          <w:sz w:val="28"/>
          <w:szCs w:val="28"/>
        </w:rPr>
        <w:t> </w:t>
      </w:r>
      <w:r w:rsidRPr="006F130F">
        <w:rPr>
          <w:rFonts w:ascii="Times New Roman" w:hAnsi="Times New Roman"/>
          <w:sz w:val="28"/>
          <w:szCs w:val="28"/>
        </w:rPr>
        <w:t>душевых промышленных предприятий – для санитарной обработки людей в</w:t>
      </w:r>
      <w:r>
        <w:rPr>
          <w:rFonts w:ascii="Times New Roman" w:hAnsi="Times New Roman"/>
          <w:sz w:val="28"/>
          <w:szCs w:val="28"/>
        </w:rPr>
        <w:t> </w:t>
      </w:r>
      <w:r w:rsidRPr="006F130F">
        <w:rPr>
          <w:rFonts w:ascii="Times New Roman" w:hAnsi="Times New Roman"/>
          <w:sz w:val="28"/>
          <w:szCs w:val="28"/>
        </w:rPr>
        <w:t>качестве санитарно-обмывочных пунктов;</w:t>
      </w:r>
    </w:p>
    <w:p w:rsidR="002D1E45" w:rsidRPr="006F130F" w:rsidRDefault="002D1E45" w:rsidP="006F130F">
      <w:pPr>
        <w:numPr>
          <w:ilvl w:val="0"/>
          <w:numId w:val="24"/>
        </w:numPr>
        <w:spacing w:after="0" w:line="240" w:lineRule="auto"/>
        <w:jc w:val="both"/>
        <w:rPr>
          <w:rFonts w:ascii="Times New Roman" w:hAnsi="Times New Roman"/>
          <w:sz w:val="28"/>
          <w:szCs w:val="28"/>
        </w:rPr>
      </w:pPr>
      <w:r w:rsidRPr="006F130F">
        <w:rPr>
          <w:rFonts w:ascii="Times New Roman" w:hAnsi="Times New Roman"/>
          <w:sz w:val="28"/>
          <w:szCs w:val="28"/>
        </w:rPr>
        <w:t>прачечных, фабрик химической чистки – для специальной обработки одежды, в</w:t>
      </w:r>
      <w:r>
        <w:rPr>
          <w:rFonts w:ascii="Times New Roman" w:hAnsi="Times New Roman"/>
          <w:sz w:val="28"/>
          <w:szCs w:val="28"/>
        </w:rPr>
        <w:t> </w:t>
      </w:r>
      <w:r w:rsidRPr="006F130F">
        <w:rPr>
          <w:rFonts w:ascii="Times New Roman" w:hAnsi="Times New Roman"/>
          <w:sz w:val="28"/>
          <w:szCs w:val="28"/>
        </w:rPr>
        <w:t>качестве станций обеззараживания одежды;</w:t>
      </w:r>
    </w:p>
    <w:p w:rsidR="002D1E45" w:rsidRPr="006F130F" w:rsidRDefault="002D1E45" w:rsidP="006F130F">
      <w:pPr>
        <w:numPr>
          <w:ilvl w:val="0"/>
          <w:numId w:val="24"/>
        </w:numPr>
        <w:spacing w:after="0" w:line="240" w:lineRule="auto"/>
        <w:jc w:val="both"/>
        <w:rPr>
          <w:rFonts w:ascii="Times New Roman" w:hAnsi="Times New Roman"/>
          <w:sz w:val="28"/>
          <w:szCs w:val="28"/>
        </w:rPr>
      </w:pPr>
      <w:r w:rsidRPr="006F130F">
        <w:rPr>
          <w:rFonts w:ascii="Times New Roman" w:hAnsi="Times New Roman"/>
          <w:sz w:val="28"/>
          <w:szCs w:val="28"/>
        </w:rPr>
        <w:t>помещений постов мойки и</w:t>
      </w:r>
      <w:r>
        <w:rPr>
          <w:rFonts w:ascii="Times New Roman" w:hAnsi="Times New Roman"/>
          <w:sz w:val="28"/>
          <w:szCs w:val="28"/>
        </w:rPr>
        <w:t> </w:t>
      </w:r>
      <w:r w:rsidRPr="006F130F">
        <w:rPr>
          <w:rFonts w:ascii="Times New Roman" w:hAnsi="Times New Roman"/>
          <w:sz w:val="28"/>
          <w:szCs w:val="28"/>
        </w:rPr>
        <w:t>уборки подвижного состава автотранспорта на</w:t>
      </w:r>
      <w:r>
        <w:rPr>
          <w:rFonts w:ascii="Times New Roman" w:hAnsi="Times New Roman"/>
          <w:sz w:val="28"/>
          <w:szCs w:val="28"/>
        </w:rPr>
        <w:t> </w:t>
      </w:r>
      <w:r w:rsidRPr="006F130F">
        <w:rPr>
          <w:rFonts w:ascii="Times New Roman" w:hAnsi="Times New Roman"/>
          <w:sz w:val="28"/>
          <w:szCs w:val="28"/>
        </w:rPr>
        <w:t>станциях технического обслуживания – для специальной обработки подвижного состава в</w:t>
      </w:r>
      <w:r>
        <w:rPr>
          <w:rFonts w:ascii="Times New Roman" w:hAnsi="Times New Roman"/>
          <w:sz w:val="28"/>
          <w:szCs w:val="28"/>
        </w:rPr>
        <w:t> </w:t>
      </w:r>
      <w:r w:rsidRPr="006F130F">
        <w:rPr>
          <w:rFonts w:ascii="Times New Roman" w:hAnsi="Times New Roman"/>
          <w:sz w:val="28"/>
          <w:szCs w:val="28"/>
        </w:rPr>
        <w:t>качестве станций обеззараживания техники.</w:t>
      </w:r>
    </w:p>
    <w:p w:rsidR="002D1E45" w:rsidRPr="006F130F" w:rsidRDefault="002D1E45" w:rsidP="006F130F">
      <w:pPr>
        <w:spacing w:after="0" w:line="240" w:lineRule="auto"/>
        <w:ind w:firstLine="709"/>
        <w:jc w:val="both"/>
        <w:rPr>
          <w:rFonts w:ascii="Times New Roman" w:hAnsi="Times New Roman"/>
          <w:bCs/>
          <w:sz w:val="28"/>
          <w:szCs w:val="28"/>
          <w:lang w:eastAsia="ru-RU"/>
        </w:rPr>
      </w:pPr>
      <w:r w:rsidRPr="006F130F">
        <w:rPr>
          <w:rFonts w:ascii="Times New Roman" w:hAnsi="Times New Roman"/>
          <w:bCs/>
          <w:sz w:val="28"/>
          <w:szCs w:val="28"/>
          <w:lang w:eastAsia="ru-RU"/>
        </w:rPr>
        <w:t>Гаражи для автобусов, грузовых и</w:t>
      </w:r>
      <w:r>
        <w:rPr>
          <w:rFonts w:ascii="Times New Roman" w:hAnsi="Times New Roman"/>
          <w:bCs/>
          <w:sz w:val="28"/>
          <w:szCs w:val="28"/>
          <w:lang w:eastAsia="ru-RU"/>
        </w:rPr>
        <w:t> </w:t>
      </w:r>
      <w:r w:rsidRPr="006F130F">
        <w:rPr>
          <w:rFonts w:ascii="Times New Roman" w:hAnsi="Times New Roman"/>
          <w:bCs/>
          <w:sz w:val="28"/>
          <w:szCs w:val="28"/>
          <w:lang w:eastAsia="ru-RU"/>
        </w:rPr>
        <w:t>легковых автомобилей, производственно-ремонтные базы уборочных машин, и</w:t>
      </w:r>
      <w:r>
        <w:rPr>
          <w:rFonts w:ascii="Times New Roman" w:hAnsi="Times New Roman"/>
          <w:bCs/>
          <w:sz w:val="28"/>
          <w:szCs w:val="28"/>
          <w:lang w:eastAsia="ru-RU"/>
        </w:rPr>
        <w:t> </w:t>
      </w:r>
      <w:r w:rsidRPr="006F130F">
        <w:rPr>
          <w:rFonts w:ascii="Times New Roman" w:hAnsi="Times New Roman"/>
          <w:bCs/>
          <w:sz w:val="28"/>
          <w:szCs w:val="28"/>
          <w:lang w:eastAsia="ru-RU"/>
        </w:rPr>
        <w:t>др. размещать рассредоточено и</w:t>
      </w:r>
      <w:r>
        <w:rPr>
          <w:rFonts w:ascii="Times New Roman" w:hAnsi="Times New Roman"/>
          <w:bCs/>
          <w:sz w:val="28"/>
          <w:szCs w:val="28"/>
          <w:lang w:eastAsia="ru-RU"/>
        </w:rPr>
        <w:t> </w:t>
      </w:r>
      <w:r w:rsidRPr="006F130F">
        <w:rPr>
          <w:rFonts w:ascii="Times New Roman" w:hAnsi="Times New Roman"/>
          <w:bCs/>
          <w:sz w:val="28"/>
          <w:szCs w:val="28"/>
          <w:lang w:eastAsia="ru-RU"/>
        </w:rPr>
        <w:t>преимущественно на</w:t>
      </w:r>
      <w:r>
        <w:rPr>
          <w:rFonts w:ascii="Times New Roman" w:hAnsi="Times New Roman"/>
          <w:bCs/>
          <w:sz w:val="28"/>
          <w:szCs w:val="28"/>
          <w:lang w:eastAsia="ru-RU"/>
        </w:rPr>
        <w:t> </w:t>
      </w:r>
      <w:r w:rsidRPr="006F130F">
        <w:rPr>
          <w:rFonts w:ascii="Times New Roman" w:hAnsi="Times New Roman"/>
          <w:bCs/>
          <w:sz w:val="28"/>
          <w:szCs w:val="28"/>
          <w:lang w:eastAsia="ru-RU"/>
        </w:rPr>
        <w:t>окраине населённых пунктов.</w:t>
      </w:r>
    </w:p>
    <w:p w:rsidR="002D1E45" w:rsidRPr="006F130F" w:rsidRDefault="002D1E45" w:rsidP="006F130F">
      <w:pPr>
        <w:spacing w:after="0" w:line="240" w:lineRule="auto"/>
        <w:ind w:firstLine="709"/>
        <w:jc w:val="both"/>
        <w:rPr>
          <w:rFonts w:ascii="Times New Roman" w:hAnsi="Times New Roman"/>
          <w:i/>
          <w:sz w:val="28"/>
          <w:szCs w:val="28"/>
          <w:u w:val="single"/>
          <w:lang w:eastAsia="ru-RU"/>
        </w:rPr>
      </w:pPr>
      <w:r w:rsidRPr="006F130F">
        <w:rPr>
          <w:rFonts w:ascii="Times New Roman" w:hAnsi="Times New Roman"/>
          <w:i/>
          <w:sz w:val="28"/>
          <w:szCs w:val="28"/>
          <w:u w:val="single"/>
          <w:lang w:eastAsia="ru-RU"/>
        </w:rPr>
        <w:t xml:space="preserve"> Градостроительные (проектные) ограничения (предложения) для транспортной сети</w:t>
      </w:r>
    </w:p>
    <w:p w:rsidR="002D1E45" w:rsidRPr="006F130F" w:rsidRDefault="002D1E45" w:rsidP="006F130F">
      <w:pPr>
        <w:spacing w:after="0" w:line="240" w:lineRule="auto"/>
        <w:ind w:firstLine="709"/>
        <w:jc w:val="both"/>
        <w:rPr>
          <w:rFonts w:ascii="Times New Roman" w:hAnsi="Times New Roman"/>
          <w:bCs/>
          <w:sz w:val="28"/>
          <w:szCs w:val="28"/>
          <w:lang w:eastAsia="ru-RU"/>
        </w:rPr>
      </w:pPr>
      <w:r w:rsidRPr="006F130F">
        <w:rPr>
          <w:rFonts w:ascii="Times New Roman" w:hAnsi="Times New Roman"/>
          <w:bCs/>
          <w:sz w:val="28"/>
          <w:szCs w:val="28"/>
          <w:lang w:eastAsia="ru-RU"/>
        </w:rPr>
        <w:t>Ограничений по</w:t>
      </w:r>
      <w:r>
        <w:rPr>
          <w:rFonts w:ascii="Times New Roman" w:hAnsi="Times New Roman"/>
          <w:bCs/>
          <w:sz w:val="28"/>
          <w:szCs w:val="28"/>
          <w:lang w:eastAsia="ru-RU"/>
        </w:rPr>
        <w:t> </w:t>
      </w:r>
      <w:r w:rsidRPr="006F130F">
        <w:rPr>
          <w:rFonts w:ascii="Times New Roman" w:hAnsi="Times New Roman"/>
          <w:bCs/>
          <w:sz w:val="28"/>
          <w:szCs w:val="28"/>
          <w:lang w:eastAsia="ru-RU"/>
        </w:rPr>
        <w:t>развитию и</w:t>
      </w:r>
      <w:r>
        <w:rPr>
          <w:rFonts w:ascii="Times New Roman" w:hAnsi="Times New Roman"/>
          <w:bCs/>
          <w:sz w:val="28"/>
          <w:szCs w:val="28"/>
          <w:lang w:eastAsia="ru-RU"/>
        </w:rPr>
        <w:t> </w:t>
      </w:r>
      <w:r w:rsidRPr="006F130F">
        <w:rPr>
          <w:rFonts w:ascii="Times New Roman" w:hAnsi="Times New Roman"/>
          <w:bCs/>
          <w:sz w:val="28"/>
          <w:szCs w:val="28"/>
          <w:lang w:eastAsia="ru-RU"/>
        </w:rPr>
        <w:t>размещению элементов транспортной сети на</w:t>
      </w:r>
      <w:r>
        <w:rPr>
          <w:rFonts w:ascii="Times New Roman" w:hAnsi="Times New Roman"/>
          <w:bCs/>
          <w:sz w:val="28"/>
          <w:szCs w:val="28"/>
          <w:lang w:eastAsia="ru-RU"/>
        </w:rPr>
        <w:t> </w:t>
      </w:r>
      <w:r w:rsidRPr="006F130F">
        <w:rPr>
          <w:rFonts w:ascii="Times New Roman" w:hAnsi="Times New Roman"/>
          <w:bCs/>
          <w:sz w:val="28"/>
          <w:szCs w:val="28"/>
          <w:lang w:eastAsia="ru-RU"/>
        </w:rPr>
        <w:t xml:space="preserve">территории </w:t>
      </w:r>
      <w:r>
        <w:rPr>
          <w:rFonts w:ascii="Times New Roman" w:hAnsi="Times New Roman"/>
          <w:sz w:val="28"/>
          <w:szCs w:val="24"/>
          <w:lang w:eastAsia="ru-RU"/>
        </w:rPr>
        <w:t>города Куйбышева</w:t>
      </w:r>
      <w:r w:rsidRPr="006F130F">
        <w:rPr>
          <w:rFonts w:ascii="Times New Roman" w:hAnsi="Times New Roman"/>
          <w:bCs/>
          <w:sz w:val="28"/>
          <w:szCs w:val="28"/>
          <w:lang w:eastAsia="ru-RU"/>
        </w:rPr>
        <w:t xml:space="preserve"> нет.</w:t>
      </w:r>
    </w:p>
    <w:p w:rsidR="002D1E45" w:rsidRPr="006F130F" w:rsidRDefault="002D1E45" w:rsidP="006F130F">
      <w:pPr>
        <w:spacing w:after="0" w:line="240" w:lineRule="auto"/>
        <w:ind w:firstLine="709"/>
        <w:jc w:val="both"/>
        <w:rPr>
          <w:rFonts w:ascii="Times New Roman" w:hAnsi="Times New Roman"/>
          <w:bCs/>
          <w:sz w:val="28"/>
          <w:szCs w:val="28"/>
          <w:lang w:eastAsia="ru-RU"/>
        </w:rPr>
      </w:pPr>
      <w:r w:rsidRPr="006F130F">
        <w:rPr>
          <w:rFonts w:ascii="Times New Roman" w:hAnsi="Times New Roman"/>
          <w:bCs/>
          <w:sz w:val="28"/>
          <w:szCs w:val="28"/>
          <w:lang w:eastAsia="ru-RU"/>
        </w:rPr>
        <w:t xml:space="preserve">Основные принципы развития транспортной инфраструктуры </w:t>
      </w:r>
      <w:r>
        <w:rPr>
          <w:rFonts w:ascii="Times New Roman" w:hAnsi="Times New Roman"/>
          <w:sz w:val="28"/>
          <w:szCs w:val="24"/>
          <w:lang w:eastAsia="ru-RU"/>
        </w:rPr>
        <w:t>города Куйбышева</w:t>
      </w:r>
      <w:r w:rsidRPr="006F130F">
        <w:rPr>
          <w:rFonts w:ascii="Times New Roman" w:hAnsi="Times New Roman"/>
          <w:bCs/>
          <w:sz w:val="28"/>
          <w:szCs w:val="28"/>
          <w:lang w:eastAsia="ru-RU"/>
        </w:rPr>
        <w:t xml:space="preserve"> должны включать в</w:t>
      </w:r>
      <w:r>
        <w:rPr>
          <w:rFonts w:ascii="Times New Roman" w:hAnsi="Times New Roman"/>
          <w:bCs/>
          <w:sz w:val="28"/>
          <w:szCs w:val="28"/>
          <w:lang w:eastAsia="ru-RU"/>
        </w:rPr>
        <w:t> </w:t>
      </w:r>
      <w:r w:rsidRPr="006F130F">
        <w:rPr>
          <w:rFonts w:ascii="Times New Roman" w:hAnsi="Times New Roman"/>
          <w:bCs/>
          <w:sz w:val="28"/>
          <w:szCs w:val="28"/>
          <w:lang w:eastAsia="ru-RU"/>
        </w:rPr>
        <w:t xml:space="preserve">себя </w:t>
      </w:r>
      <w:r>
        <w:rPr>
          <w:rFonts w:ascii="Times New Roman" w:hAnsi="Times New Roman"/>
          <w:bCs/>
          <w:sz w:val="28"/>
          <w:szCs w:val="28"/>
          <w:lang w:eastAsia="ru-RU"/>
        </w:rPr>
        <w:t>2</w:t>
      </w:r>
      <w:r w:rsidRPr="006F130F">
        <w:rPr>
          <w:rFonts w:ascii="Times New Roman" w:hAnsi="Times New Roman"/>
          <w:bCs/>
          <w:sz w:val="28"/>
          <w:szCs w:val="28"/>
          <w:lang w:eastAsia="ru-RU"/>
        </w:rPr>
        <w:t xml:space="preserve"> основные составляющие: улучшение качества существующих автодорог и</w:t>
      </w:r>
      <w:r>
        <w:rPr>
          <w:rFonts w:ascii="Times New Roman" w:hAnsi="Times New Roman"/>
          <w:bCs/>
          <w:sz w:val="28"/>
          <w:szCs w:val="28"/>
          <w:lang w:eastAsia="ru-RU"/>
        </w:rPr>
        <w:t> </w:t>
      </w:r>
      <w:r w:rsidRPr="006F130F">
        <w:rPr>
          <w:rFonts w:ascii="Times New Roman" w:hAnsi="Times New Roman"/>
          <w:bCs/>
          <w:sz w:val="28"/>
          <w:szCs w:val="28"/>
          <w:lang w:eastAsia="ru-RU"/>
        </w:rPr>
        <w:t>строительство новых автодорог.</w:t>
      </w:r>
    </w:p>
    <w:p w:rsidR="002D1E45" w:rsidRPr="006F130F" w:rsidRDefault="002D1E45" w:rsidP="006F130F">
      <w:pPr>
        <w:spacing w:after="0" w:line="240" w:lineRule="auto"/>
        <w:ind w:firstLine="709"/>
        <w:jc w:val="both"/>
        <w:rPr>
          <w:rFonts w:ascii="Times New Roman" w:hAnsi="Times New Roman"/>
          <w:bCs/>
          <w:sz w:val="28"/>
          <w:szCs w:val="28"/>
          <w:lang w:eastAsia="ru-RU"/>
        </w:rPr>
      </w:pPr>
      <w:r w:rsidRPr="006F130F">
        <w:rPr>
          <w:rFonts w:ascii="Times New Roman" w:hAnsi="Times New Roman"/>
          <w:bCs/>
          <w:sz w:val="28"/>
          <w:szCs w:val="28"/>
          <w:lang w:eastAsia="ru-RU"/>
        </w:rPr>
        <w:t>Улично-дорожная сеть на</w:t>
      </w:r>
      <w:r>
        <w:rPr>
          <w:rFonts w:ascii="Times New Roman" w:hAnsi="Times New Roman"/>
          <w:bCs/>
          <w:sz w:val="28"/>
          <w:szCs w:val="28"/>
          <w:lang w:eastAsia="ru-RU"/>
        </w:rPr>
        <w:t> </w:t>
      </w:r>
      <w:r w:rsidRPr="006F130F">
        <w:rPr>
          <w:rFonts w:ascii="Times New Roman" w:hAnsi="Times New Roman"/>
          <w:bCs/>
          <w:sz w:val="28"/>
          <w:szCs w:val="28"/>
          <w:lang w:eastAsia="ru-RU"/>
        </w:rPr>
        <w:t xml:space="preserve">территории населённых пунктов </w:t>
      </w:r>
      <w:r>
        <w:rPr>
          <w:rFonts w:ascii="Times New Roman" w:hAnsi="Times New Roman"/>
          <w:sz w:val="28"/>
          <w:szCs w:val="24"/>
          <w:lang w:eastAsia="ru-RU"/>
        </w:rPr>
        <w:t>города</w:t>
      </w:r>
      <w:r w:rsidRPr="006F130F">
        <w:rPr>
          <w:rFonts w:ascii="Times New Roman" w:hAnsi="Times New Roman"/>
          <w:bCs/>
          <w:sz w:val="28"/>
          <w:szCs w:val="28"/>
          <w:lang w:eastAsia="ru-RU"/>
        </w:rPr>
        <w:t>, дорожные водопропускные сооружения вследствие длительного воздействия нерегулируемого поверхностного стока, подтопления территории поверхностными и</w:t>
      </w:r>
      <w:r>
        <w:rPr>
          <w:rFonts w:ascii="Times New Roman" w:hAnsi="Times New Roman"/>
          <w:bCs/>
          <w:sz w:val="28"/>
          <w:szCs w:val="28"/>
          <w:lang w:eastAsia="ru-RU"/>
        </w:rPr>
        <w:t> </w:t>
      </w:r>
      <w:r w:rsidRPr="006F130F">
        <w:rPr>
          <w:rFonts w:ascii="Times New Roman" w:hAnsi="Times New Roman"/>
          <w:bCs/>
          <w:sz w:val="28"/>
          <w:szCs w:val="28"/>
          <w:lang w:eastAsia="ru-RU"/>
        </w:rPr>
        <w:t>грунтовыми водами изношена, требует капитального ремонта (реконструкции).</w:t>
      </w:r>
    </w:p>
    <w:p w:rsidR="002D1E45" w:rsidRPr="006F130F" w:rsidRDefault="002D1E45" w:rsidP="006F130F">
      <w:pPr>
        <w:spacing w:after="0" w:line="240" w:lineRule="auto"/>
        <w:ind w:firstLine="709"/>
        <w:jc w:val="both"/>
        <w:rPr>
          <w:rFonts w:ascii="Times New Roman" w:hAnsi="Times New Roman"/>
          <w:bCs/>
          <w:sz w:val="28"/>
          <w:szCs w:val="28"/>
          <w:lang w:eastAsia="ru-RU"/>
        </w:rPr>
      </w:pPr>
      <w:r w:rsidRPr="006F130F">
        <w:rPr>
          <w:rFonts w:ascii="Times New Roman" w:hAnsi="Times New Roman"/>
          <w:bCs/>
          <w:sz w:val="28"/>
          <w:szCs w:val="28"/>
          <w:lang w:eastAsia="ru-RU"/>
        </w:rPr>
        <w:t>При проектировании зданий и</w:t>
      </w:r>
      <w:r>
        <w:rPr>
          <w:rFonts w:ascii="Times New Roman" w:hAnsi="Times New Roman"/>
          <w:bCs/>
          <w:sz w:val="28"/>
          <w:szCs w:val="28"/>
          <w:lang w:eastAsia="ru-RU"/>
        </w:rPr>
        <w:t> </w:t>
      </w:r>
      <w:r w:rsidRPr="006F130F">
        <w:rPr>
          <w:rFonts w:ascii="Times New Roman" w:hAnsi="Times New Roman"/>
          <w:bCs/>
          <w:sz w:val="28"/>
          <w:szCs w:val="28"/>
          <w:lang w:eastAsia="ru-RU"/>
        </w:rPr>
        <w:t>сооружений, в</w:t>
      </w:r>
      <w:r>
        <w:rPr>
          <w:rFonts w:ascii="Times New Roman" w:hAnsi="Times New Roman"/>
          <w:bCs/>
          <w:sz w:val="28"/>
          <w:szCs w:val="28"/>
          <w:lang w:eastAsia="ru-RU"/>
        </w:rPr>
        <w:t> </w:t>
      </w:r>
      <w:r w:rsidRPr="006F130F">
        <w:rPr>
          <w:rFonts w:ascii="Times New Roman" w:hAnsi="Times New Roman"/>
          <w:bCs/>
          <w:sz w:val="28"/>
          <w:szCs w:val="28"/>
          <w:lang w:eastAsia="ru-RU"/>
        </w:rPr>
        <w:t>проектах вновь проектируемых, реконструируемых и</w:t>
      </w:r>
      <w:r>
        <w:rPr>
          <w:rFonts w:ascii="Times New Roman" w:hAnsi="Times New Roman"/>
          <w:bCs/>
          <w:sz w:val="28"/>
          <w:szCs w:val="28"/>
          <w:lang w:eastAsia="ru-RU"/>
        </w:rPr>
        <w:t> </w:t>
      </w:r>
      <w:r w:rsidRPr="006F130F">
        <w:rPr>
          <w:rFonts w:ascii="Times New Roman" w:hAnsi="Times New Roman"/>
          <w:bCs/>
          <w:sz w:val="28"/>
          <w:szCs w:val="28"/>
          <w:lang w:eastAsia="ru-RU"/>
        </w:rPr>
        <w:t>технически перевооружаемых действующих предприятий промышленности, энергетики, транспорта и</w:t>
      </w:r>
      <w:r>
        <w:rPr>
          <w:rFonts w:ascii="Times New Roman" w:hAnsi="Times New Roman"/>
          <w:bCs/>
          <w:sz w:val="28"/>
          <w:szCs w:val="28"/>
          <w:lang w:eastAsia="ru-RU"/>
        </w:rPr>
        <w:t> </w:t>
      </w:r>
      <w:r w:rsidRPr="006F130F">
        <w:rPr>
          <w:rFonts w:ascii="Times New Roman" w:hAnsi="Times New Roman"/>
          <w:bCs/>
          <w:sz w:val="28"/>
          <w:szCs w:val="28"/>
          <w:lang w:eastAsia="ru-RU"/>
        </w:rPr>
        <w:t>связи учитываются требования «жёлтых линий</w:t>
      </w:r>
      <w:r>
        <w:rPr>
          <w:rFonts w:ascii="Times New Roman" w:hAnsi="Times New Roman"/>
          <w:bCs/>
          <w:sz w:val="28"/>
          <w:szCs w:val="28"/>
          <w:lang w:eastAsia="ru-RU"/>
        </w:rPr>
        <w:t>»</w:t>
      </w:r>
      <w:r w:rsidRPr="006F130F">
        <w:rPr>
          <w:rFonts w:ascii="Times New Roman" w:hAnsi="Times New Roman"/>
          <w:bCs/>
          <w:sz w:val="28"/>
          <w:szCs w:val="28"/>
          <w:lang w:eastAsia="ru-RU"/>
        </w:rPr>
        <w:t xml:space="preserve"> </w:t>
      </w:r>
      <w:r>
        <w:rPr>
          <w:rFonts w:ascii="Times New Roman" w:hAnsi="Times New Roman"/>
          <w:bCs/>
          <w:sz w:val="28"/>
          <w:szCs w:val="28"/>
          <w:lang w:eastAsia="ru-RU"/>
        </w:rPr>
        <w:t>–</w:t>
      </w:r>
      <w:r w:rsidRPr="006F130F">
        <w:rPr>
          <w:rFonts w:ascii="Times New Roman" w:hAnsi="Times New Roman"/>
          <w:bCs/>
          <w:sz w:val="28"/>
          <w:szCs w:val="28"/>
          <w:lang w:eastAsia="ru-RU"/>
        </w:rPr>
        <w:t xml:space="preserve"> максимально допустимых границ зон возможного распространения завалов жилой и</w:t>
      </w:r>
      <w:r>
        <w:rPr>
          <w:rFonts w:ascii="Times New Roman" w:hAnsi="Times New Roman"/>
          <w:bCs/>
          <w:sz w:val="28"/>
          <w:szCs w:val="28"/>
          <w:lang w:eastAsia="ru-RU"/>
        </w:rPr>
        <w:t> </w:t>
      </w:r>
      <w:r w:rsidRPr="006F130F">
        <w:rPr>
          <w:rFonts w:ascii="Times New Roman" w:hAnsi="Times New Roman"/>
          <w:bCs/>
          <w:sz w:val="28"/>
          <w:szCs w:val="28"/>
          <w:lang w:eastAsia="ru-RU"/>
        </w:rPr>
        <w:t>общественной застройки, промышленных, коммунально-складских зданий, расположенных, как правило, вдоль магистралей устойчивого функционирования.</w:t>
      </w:r>
    </w:p>
    <w:p w:rsidR="002D1E45" w:rsidRPr="006F130F" w:rsidRDefault="002D1E45" w:rsidP="006F130F">
      <w:pPr>
        <w:spacing w:after="0" w:line="240" w:lineRule="auto"/>
        <w:ind w:firstLine="709"/>
        <w:jc w:val="both"/>
        <w:rPr>
          <w:rFonts w:ascii="Times New Roman" w:hAnsi="Times New Roman"/>
          <w:bCs/>
          <w:sz w:val="28"/>
          <w:szCs w:val="28"/>
          <w:lang w:eastAsia="ru-RU"/>
        </w:rPr>
      </w:pPr>
      <w:r w:rsidRPr="006F130F">
        <w:rPr>
          <w:rFonts w:ascii="Times New Roman" w:hAnsi="Times New Roman"/>
          <w:bCs/>
          <w:sz w:val="28"/>
          <w:szCs w:val="28"/>
          <w:lang w:eastAsia="ru-RU"/>
        </w:rPr>
        <w:t>Система зелёных насаждений и</w:t>
      </w:r>
      <w:r>
        <w:rPr>
          <w:rFonts w:ascii="Times New Roman" w:hAnsi="Times New Roman"/>
          <w:bCs/>
          <w:sz w:val="28"/>
          <w:szCs w:val="28"/>
          <w:lang w:eastAsia="ru-RU"/>
        </w:rPr>
        <w:t> </w:t>
      </w:r>
      <w:r w:rsidRPr="006F130F">
        <w:rPr>
          <w:rFonts w:ascii="Times New Roman" w:hAnsi="Times New Roman"/>
          <w:bCs/>
          <w:sz w:val="28"/>
          <w:szCs w:val="28"/>
          <w:lang w:eastAsia="ru-RU"/>
        </w:rPr>
        <w:t>не</w:t>
      </w:r>
      <w:r>
        <w:rPr>
          <w:rFonts w:ascii="Times New Roman" w:hAnsi="Times New Roman"/>
          <w:bCs/>
          <w:sz w:val="28"/>
          <w:szCs w:val="28"/>
          <w:lang w:eastAsia="ru-RU"/>
        </w:rPr>
        <w:t> </w:t>
      </w:r>
      <w:r w:rsidRPr="006F130F">
        <w:rPr>
          <w:rFonts w:ascii="Times New Roman" w:hAnsi="Times New Roman"/>
          <w:bCs/>
          <w:sz w:val="28"/>
          <w:szCs w:val="28"/>
          <w:lang w:eastAsia="ru-RU"/>
        </w:rPr>
        <w:t>застраиваемых территорий должна вместе с</w:t>
      </w:r>
      <w:r>
        <w:rPr>
          <w:rFonts w:ascii="Times New Roman" w:hAnsi="Times New Roman"/>
          <w:bCs/>
          <w:sz w:val="28"/>
          <w:szCs w:val="28"/>
          <w:lang w:eastAsia="ru-RU"/>
        </w:rPr>
        <w:t> </w:t>
      </w:r>
      <w:r w:rsidRPr="006F130F">
        <w:rPr>
          <w:rFonts w:ascii="Times New Roman" w:hAnsi="Times New Roman"/>
          <w:bCs/>
          <w:sz w:val="28"/>
          <w:szCs w:val="28"/>
          <w:lang w:eastAsia="ru-RU"/>
        </w:rPr>
        <w:t>сетью магистральных улиц обеспечивать свободный выход населения из</w:t>
      </w:r>
      <w:r>
        <w:rPr>
          <w:rFonts w:ascii="Times New Roman" w:hAnsi="Times New Roman"/>
          <w:bCs/>
          <w:sz w:val="28"/>
          <w:szCs w:val="28"/>
          <w:lang w:eastAsia="ru-RU"/>
        </w:rPr>
        <w:t> </w:t>
      </w:r>
      <w:r w:rsidRPr="006F130F">
        <w:rPr>
          <w:rFonts w:ascii="Times New Roman" w:hAnsi="Times New Roman"/>
          <w:bCs/>
          <w:sz w:val="28"/>
          <w:szCs w:val="28"/>
          <w:lang w:eastAsia="ru-RU"/>
        </w:rPr>
        <w:t xml:space="preserve">разрушенных частей </w:t>
      </w:r>
      <w:r w:rsidRPr="006F130F">
        <w:rPr>
          <w:rFonts w:ascii="Times New Roman" w:hAnsi="Times New Roman"/>
          <w:sz w:val="28"/>
          <w:szCs w:val="28"/>
          <w:lang w:eastAsia="ru-RU"/>
        </w:rPr>
        <w:t>населённого пункта</w:t>
      </w:r>
      <w:r w:rsidRPr="006F130F">
        <w:rPr>
          <w:rFonts w:ascii="Times New Roman" w:hAnsi="Times New Roman"/>
          <w:sz w:val="28"/>
          <w:szCs w:val="28"/>
        </w:rPr>
        <w:t xml:space="preserve"> </w:t>
      </w:r>
      <w:r w:rsidRPr="006F130F">
        <w:rPr>
          <w:rFonts w:ascii="Times New Roman" w:hAnsi="Times New Roman"/>
          <w:bCs/>
          <w:sz w:val="28"/>
          <w:szCs w:val="28"/>
          <w:lang w:eastAsia="ru-RU"/>
        </w:rPr>
        <w:t>(в случае его поражения) в</w:t>
      </w:r>
      <w:r>
        <w:rPr>
          <w:rFonts w:ascii="Times New Roman" w:hAnsi="Times New Roman"/>
          <w:bCs/>
          <w:sz w:val="28"/>
          <w:szCs w:val="28"/>
          <w:lang w:eastAsia="ru-RU"/>
        </w:rPr>
        <w:t> </w:t>
      </w:r>
      <w:r w:rsidRPr="006F130F">
        <w:rPr>
          <w:rFonts w:ascii="Times New Roman" w:hAnsi="Times New Roman"/>
          <w:bCs/>
          <w:sz w:val="28"/>
          <w:szCs w:val="28"/>
          <w:lang w:eastAsia="ru-RU"/>
        </w:rPr>
        <w:t>парки и</w:t>
      </w:r>
      <w:r>
        <w:rPr>
          <w:rFonts w:ascii="Times New Roman" w:hAnsi="Times New Roman"/>
          <w:bCs/>
          <w:sz w:val="28"/>
          <w:szCs w:val="28"/>
          <w:lang w:eastAsia="ru-RU"/>
        </w:rPr>
        <w:t> </w:t>
      </w:r>
      <w:r w:rsidRPr="006F130F">
        <w:rPr>
          <w:rFonts w:ascii="Times New Roman" w:hAnsi="Times New Roman"/>
          <w:bCs/>
          <w:sz w:val="28"/>
          <w:szCs w:val="28"/>
          <w:lang w:eastAsia="ru-RU"/>
        </w:rPr>
        <w:t>леса загородной зоны.</w:t>
      </w:r>
    </w:p>
    <w:p w:rsidR="002D1E45" w:rsidRPr="006F130F" w:rsidRDefault="002D1E45" w:rsidP="006F130F">
      <w:pPr>
        <w:spacing w:after="0" w:line="240" w:lineRule="auto"/>
        <w:ind w:firstLine="709"/>
        <w:jc w:val="both"/>
        <w:rPr>
          <w:rFonts w:ascii="Times New Roman" w:hAnsi="Times New Roman"/>
          <w:bCs/>
          <w:sz w:val="28"/>
          <w:szCs w:val="28"/>
          <w:lang w:eastAsia="ru-RU"/>
        </w:rPr>
      </w:pPr>
      <w:r w:rsidRPr="006F130F">
        <w:rPr>
          <w:rFonts w:ascii="Times New Roman" w:hAnsi="Times New Roman"/>
          <w:bCs/>
          <w:sz w:val="28"/>
          <w:szCs w:val="28"/>
          <w:lang w:eastAsia="ru-RU"/>
        </w:rPr>
        <w:t>Улицы и</w:t>
      </w:r>
      <w:r>
        <w:rPr>
          <w:rFonts w:ascii="Times New Roman" w:hAnsi="Times New Roman"/>
          <w:bCs/>
          <w:sz w:val="28"/>
          <w:szCs w:val="28"/>
          <w:lang w:eastAsia="ru-RU"/>
        </w:rPr>
        <w:t> </w:t>
      </w:r>
      <w:r w:rsidRPr="006F130F">
        <w:rPr>
          <w:rFonts w:ascii="Times New Roman" w:hAnsi="Times New Roman"/>
          <w:bCs/>
          <w:sz w:val="28"/>
          <w:szCs w:val="28"/>
          <w:lang w:eastAsia="ru-RU"/>
        </w:rPr>
        <w:t>дороги местного значения должны прокладываться с</w:t>
      </w:r>
      <w:r>
        <w:rPr>
          <w:rFonts w:ascii="Times New Roman" w:hAnsi="Times New Roman"/>
          <w:bCs/>
          <w:sz w:val="28"/>
          <w:szCs w:val="28"/>
          <w:lang w:eastAsia="ru-RU"/>
        </w:rPr>
        <w:t> </w:t>
      </w:r>
      <w:r w:rsidRPr="006F130F">
        <w:rPr>
          <w:rFonts w:ascii="Times New Roman" w:hAnsi="Times New Roman"/>
          <w:bCs/>
          <w:sz w:val="28"/>
          <w:szCs w:val="28"/>
          <w:lang w:eastAsia="ru-RU"/>
        </w:rPr>
        <w:t>учётом обеспечения возможности выхода по</w:t>
      </w:r>
      <w:r>
        <w:rPr>
          <w:rFonts w:ascii="Times New Roman" w:hAnsi="Times New Roman"/>
          <w:bCs/>
          <w:sz w:val="28"/>
          <w:szCs w:val="28"/>
          <w:lang w:eastAsia="ru-RU"/>
        </w:rPr>
        <w:t> </w:t>
      </w:r>
      <w:r w:rsidRPr="006F130F">
        <w:rPr>
          <w:rFonts w:ascii="Times New Roman" w:hAnsi="Times New Roman"/>
          <w:bCs/>
          <w:sz w:val="28"/>
          <w:szCs w:val="28"/>
          <w:lang w:eastAsia="ru-RU"/>
        </w:rPr>
        <w:t>ним транспорта из</w:t>
      </w:r>
      <w:r>
        <w:rPr>
          <w:rFonts w:ascii="Times New Roman" w:hAnsi="Times New Roman"/>
          <w:bCs/>
          <w:sz w:val="28"/>
          <w:szCs w:val="28"/>
          <w:lang w:eastAsia="ru-RU"/>
        </w:rPr>
        <w:t> </w:t>
      </w:r>
      <w:r w:rsidRPr="006F130F">
        <w:rPr>
          <w:rFonts w:ascii="Times New Roman" w:hAnsi="Times New Roman"/>
          <w:bCs/>
          <w:sz w:val="28"/>
          <w:szCs w:val="28"/>
          <w:lang w:eastAsia="ru-RU"/>
        </w:rPr>
        <w:t>жилых, промышленных и</w:t>
      </w:r>
      <w:r>
        <w:rPr>
          <w:rFonts w:ascii="Times New Roman" w:hAnsi="Times New Roman"/>
          <w:bCs/>
          <w:sz w:val="28"/>
          <w:szCs w:val="28"/>
          <w:lang w:eastAsia="ru-RU"/>
        </w:rPr>
        <w:t> </w:t>
      </w:r>
      <w:r w:rsidRPr="006F130F">
        <w:rPr>
          <w:rFonts w:ascii="Times New Roman" w:hAnsi="Times New Roman"/>
          <w:bCs/>
          <w:sz w:val="28"/>
          <w:szCs w:val="28"/>
          <w:lang w:eastAsia="ru-RU"/>
        </w:rPr>
        <w:t>коммунально-складских районов за</w:t>
      </w:r>
      <w:r>
        <w:rPr>
          <w:rFonts w:ascii="Times New Roman" w:hAnsi="Times New Roman"/>
          <w:bCs/>
          <w:sz w:val="28"/>
          <w:szCs w:val="28"/>
          <w:lang w:eastAsia="ru-RU"/>
        </w:rPr>
        <w:t> </w:t>
      </w:r>
      <w:r w:rsidRPr="006F130F">
        <w:rPr>
          <w:rFonts w:ascii="Times New Roman" w:hAnsi="Times New Roman"/>
          <w:bCs/>
          <w:sz w:val="28"/>
          <w:szCs w:val="28"/>
          <w:lang w:eastAsia="ru-RU"/>
        </w:rPr>
        <w:t>пределы населённого пункта.</w:t>
      </w:r>
    </w:p>
    <w:p w:rsidR="002D1E45" w:rsidRPr="006F130F" w:rsidRDefault="002D1E45" w:rsidP="006F130F">
      <w:pPr>
        <w:spacing w:after="0" w:line="240" w:lineRule="auto"/>
        <w:ind w:firstLine="709"/>
        <w:jc w:val="both"/>
        <w:rPr>
          <w:rFonts w:ascii="Times New Roman" w:hAnsi="Times New Roman"/>
          <w:bCs/>
          <w:sz w:val="28"/>
          <w:szCs w:val="28"/>
          <w:lang w:eastAsia="ru-RU"/>
        </w:rPr>
      </w:pPr>
      <w:r w:rsidRPr="006F130F">
        <w:rPr>
          <w:rFonts w:ascii="Times New Roman" w:hAnsi="Times New Roman"/>
          <w:bCs/>
          <w:sz w:val="28"/>
          <w:szCs w:val="28"/>
          <w:lang w:eastAsia="ru-RU"/>
        </w:rPr>
        <w:t>При проектировании внутренней транспортной сети проектировать наиболее короткую и</w:t>
      </w:r>
      <w:r>
        <w:rPr>
          <w:rFonts w:ascii="Times New Roman" w:hAnsi="Times New Roman"/>
          <w:bCs/>
          <w:sz w:val="28"/>
          <w:szCs w:val="28"/>
          <w:lang w:eastAsia="ru-RU"/>
        </w:rPr>
        <w:t> </w:t>
      </w:r>
      <w:r w:rsidRPr="006F130F">
        <w:rPr>
          <w:rFonts w:ascii="Times New Roman" w:hAnsi="Times New Roman"/>
          <w:bCs/>
          <w:sz w:val="28"/>
          <w:szCs w:val="28"/>
          <w:lang w:eastAsia="ru-RU"/>
        </w:rPr>
        <w:t xml:space="preserve">удобную связь центра </w:t>
      </w:r>
      <w:r w:rsidRPr="006F130F">
        <w:rPr>
          <w:rFonts w:ascii="Times New Roman" w:hAnsi="Times New Roman"/>
          <w:sz w:val="28"/>
          <w:szCs w:val="28"/>
        </w:rPr>
        <w:t>населённого пункта</w:t>
      </w:r>
      <w:r w:rsidRPr="006F130F">
        <w:rPr>
          <w:rFonts w:ascii="Times New Roman" w:hAnsi="Times New Roman"/>
          <w:bCs/>
          <w:sz w:val="28"/>
          <w:szCs w:val="28"/>
          <w:lang w:eastAsia="ru-RU"/>
        </w:rPr>
        <w:t>, жилых и</w:t>
      </w:r>
      <w:r>
        <w:rPr>
          <w:rFonts w:ascii="Times New Roman" w:hAnsi="Times New Roman"/>
          <w:bCs/>
          <w:sz w:val="28"/>
          <w:szCs w:val="28"/>
          <w:lang w:eastAsia="ru-RU"/>
        </w:rPr>
        <w:t> </w:t>
      </w:r>
      <w:r w:rsidRPr="006F130F">
        <w:rPr>
          <w:rFonts w:ascii="Times New Roman" w:hAnsi="Times New Roman"/>
          <w:bCs/>
          <w:sz w:val="28"/>
          <w:szCs w:val="28"/>
          <w:lang w:eastAsia="ru-RU"/>
        </w:rPr>
        <w:t>производственных районов с</w:t>
      </w:r>
      <w:r>
        <w:rPr>
          <w:rFonts w:ascii="Times New Roman" w:hAnsi="Times New Roman"/>
          <w:bCs/>
          <w:sz w:val="28"/>
          <w:szCs w:val="28"/>
          <w:lang w:eastAsia="ru-RU"/>
        </w:rPr>
        <w:t> </w:t>
      </w:r>
      <w:r w:rsidRPr="006F130F">
        <w:rPr>
          <w:rFonts w:ascii="Times New Roman" w:hAnsi="Times New Roman"/>
          <w:bCs/>
          <w:sz w:val="28"/>
          <w:szCs w:val="28"/>
          <w:lang w:eastAsia="ru-RU"/>
        </w:rPr>
        <w:t>причалами, станциями и</w:t>
      </w:r>
      <w:r>
        <w:rPr>
          <w:rFonts w:ascii="Times New Roman" w:hAnsi="Times New Roman"/>
          <w:bCs/>
          <w:sz w:val="28"/>
          <w:szCs w:val="28"/>
          <w:lang w:eastAsia="ru-RU"/>
        </w:rPr>
        <w:t> </w:t>
      </w:r>
      <w:r w:rsidRPr="006F130F">
        <w:rPr>
          <w:rFonts w:ascii="Times New Roman" w:hAnsi="Times New Roman"/>
          <w:bCs/>
          <w:sz w:val="28"/>
          <w:szCs w:val="28"/>
          <w:lang w:eastAsia="ru-RU"/>
        </w:rPr>
        <w:t>т.д.</w:t>
      </w:r>
    </w:p>
    <w:p w:rsidR="002D1E45" w:rsidRPr="006F130F" w:rsidRDefault="002D1E45" w:rsidP="006F130F">
      <w:pPr>
        <w:spacing w:after="0" w:line="240" w:lineRule="auto"/>
        <w:ind w:firstLine="709"/>
        <w:jc w:val="both"/>
        <w:rPr>
          <w:rFonts w:ascii="Times New Roman" w:hAnsi="Times New Roman"/>
          <w:bCs/>
          <w:sz w:val="28"/>
          <w:szCs w:val="28"/>
          <w:lang w:eastAsia="ru-RU"/>
        </w:rPr>
      </w:pPr>
      <w:r w:rsidRPr="006F130F">
        <w:rPr>
          <w:rFonts w:ascii="Times New Roman" w:hAnsi="Times New Roman"/>
          <w:bCs/>
          <w:sz w:val="28"/>
          <w:szCs w:val="28"/>
          <w:lang w:eastAsia="ru-RU"/>
        </w:rPr>
        <w:t>Следует предусматривать строительство подъездных путей к</w:t>
      </w:r>
      <w:r>
        <w:rPr>
          <w:rFonts w:ascii="Times New Roman" w:hAnsi="Times New Roman"/>
          <w:bCs/>
          <w:sz w:val="28"/>
          <w:szCs w:val="28"/>
          <w:lang w:eastAsia="ru-RU"/>
        </w:rPr>
        <w:t> </w:t>
      </w:r>
      <w:r w:rsidRPr="006F130F">
        <w:rPr>
          <w:rFonts w:ascii="Times New Roman" w:hAnsi="Times New Roman"/>
          <w:bCs/>
          <w:sz w:val="28"/>
          <w:szCs w:val="28"/>
          <w:lang w:eastAsia="ru-RU"/>
        </w:rPr>
        <w:t>пунктам посадки эвакуируемого населения.</w:t>
      </w:r>
    </w:p>
    <w:p w:rsidR="002D1E45" w:rsidRPr="006F130F" w:rsidRDefault="002D1E45" w:rsidP="006F130F">
      <w:pPr>
        <w:spacing w:after="0" w:line="240" w:lineRule="auto"/>
        <w:ind w:firstLine="709"/>
        <w:jc w:val="both"/>
        <w:rPr>
          <w:rFonts w:ascii="Times New Roman" w:hAnsi="Times New Roman"/>
          <w:i/>
          <w:sz w:val="28"/>
          <w:szCs w:val="28"/>
          <w:u w:val="single"/>
          <w:lang w:eastAsia="ru-RU"/>
        </w:rPr>
      </w:pPr>
      <w:r w:rsidRPr="006F130F">
        <w:rPr>
          <w:rFonts w:ascii="Times New Roman" w:hAnsi="Times New Roman"/>
          <w:i/>
          <w:sz w:val="28"/>
          <w:szCs w:val="28"/>
          <w:u w:val="single"/>
          <w:lang w:eastAsia="ru-RU"/>
        </w:rPr>
        <w:t xml:space="preserve">Градостроительные (проектные) ограничения (предложения) при размещении источников хозяйственно-питьевого водоснабжения </w:t>
      </w:r>
    </w:p>
    <w:p w:rsidR="002D1E45" w:rsidRPr="006F130F" w:rsidRDefault="002D1E45" w:rsidP="006F130F">
      <w:pPr>
        <w:spacing w:after="0" w:line="240" w:lineRule="auto"/>
        <w:ind w:firstLine="709"/>
        <w:jc w:val="both"/>
        <w:rPr>
          <w:rFonts w:ascii="Times New Roman" w:hAnsi="Times New Roman"/>
          <w:sz w:val="28"/>
          <w:szCs w:val="28"/>
          <w:lang w:eastAsia="ru-RU"/>
        </w:rPr>
      </w:pPr>
      <w:r w:rsidRPr="006F130F">
        <w:rPr>
          <w:rFonts w:ascii="Times New Roman" w:hAnsi="Times New Roman"/>
          <w:sz w:val="28"/>
          <w:szCs w:val="28"/>
          <w:lang w:eastAsia="ru-RU"/>
        </w:rPr>
        <w:t>Минимальные физиолого-гигиенические нормы обеспечения населения питьевой водой при её дефиците, вызванном заражением водоисточников или выходом из</w:t>
      </w:r>
      <w:r>
        <w:rPr>
          <w:rFonts w:ascii="Times New Roman" w:hAnsi="Times New Roman"/>
          <w:sz w:val="28"/>
          <w:szCs w:val="28"/>
          <w:lang w:eastAsia="ru-RU"/>
        </w:rPr>
        <w:t> </w:t>
      </w:r>
      <w:r w:rsidRPr="006F130F">
        <w:rPr>
          <w:rFonts w:ascii="Times New Roman" w:hAnsi="Times New Roman"/>
          <w:sz w:val="28"/>
          <w:szCs w:val="28"/>
          <w:lang w:eastAsia="ru-RU"/>
        </w:rPr>
        <w:t>строя систем водоснабжения, для различных видов водопотребления и</w:t>
      </w:r>
      <w:r>
        <w:rPr>
          <w:rFonts w:ascii="Times New Roman" w:hAnsi="Times New Roman"/>
          <w:sz w:val="28"/>
          <w:szCs w:val="28"/>
          <w:lang w:eastAsia="ru-RU"/>
        </w:rPr>
        <w:t> </w:t>
      </w:r>
      <w:r w:rsidRPr="006F130F">
        <w:rPr>
          <w:rFonts w:ascii="Times New Roman" w:hAnsi="Times New Roman"/>
          <w:sz w:val="28"/>
          <w:szCs w:val="28"/>
          <w:lang w:eastAsia="ru-RU"/>
        </w:rPr>
        <w:t>режимов водообеспечения регламентируются ГОСТ 22.3.006-87. «Система стандартов Гражданской обороны СССР. Нормы водообеспечения населения».</w:t>
      </w:r>
    </w:p>
    <w:p w:rsidR="002D1E45" w:rsidRPr="006F130F" w:rsidRDefault="002D1E45" w:rsidP="006F130F">
      <w:pPr>
        <w:spacing w:after="0" w:line="240" w:lineRule="auto"/>
        <w:ind w:firstLine="709"/>
        <w:jc w:val="both"/>
        <w:rPr>
          <w:rFonts w:ascii="Times New Roman" w:hAnsi="Times New Roman"/>
          <w:sz w:val="28"/>
          <w:szCs w:val="28"/>
          <w:lang w:eastAsia="ru-RU"/>
        </w:rPr>
      </w:pPr>
      <w:r w:rsidRPr="006F130F">
        <w:rPr>
          <w:rFonts w:ascii="Times New Roman" w:hAnsi="Times New Roman"/>
          <w:sz w:val="28"/>
          <w:szCs w:val="28"/>
          <w:lang w:eastAsia="ru-RU"/>
        </w:rPr>
        <w:t>Минимальное количество воды питьевого качества, которое должно подаваться населению в</w:t>
      </w:r>
      <w:r>
        <w:rPr>
          <w:rFonts w:ascii="Times New Roman" w:hAnsi="Times New Roman"/>
          <w:sz w:val="28"/>
          <w:szCs w:val="28"/>
          <w:lang w:eastAsia="ru-RU"/>
        </w:rPr>
        <w:t> </w:t>
      </w:r>
      <w:r w:rsidRPr="006F130F">
        <w:rPr>
          <w:rFonts w:ascii="Times New Roman" w:hAnsi="Times New Roman"/>
          <w:sz w:val="28"/>
          <w:szCs w:val="28"/>
          <w:lang w:eastAsia="ru-RU"/>
        </w:rPr>
        <w:t>ЧС</w:t>
      </w:r>
      <w:r>
        <w:rPr>
          <w:rFonts w:ascii="Times New Roman" w:hAnsi="Times New Roman"/>
          <w:sz w:val="28"/>
          <w:szCs w:val="28"/>
          <w:lang w:eastAsia="ru-RU"/>
        </w:rPr>
        <w:t> </w:t>
      </w:r>
      <w:r w:rsidRPr="006F130F">
        <w:rPr>
          <w:rFonts w:ascii="Times New Roman" w:hAnsi="Times New Roman"/>
          <w:sz w:val="28"/>
          <w:szCs w:val="28"/>
          <w:lang w:eastAsia="ru-RU"/>
        </w:rPr>
        <w:t>по</w:t>
      </w:r>
      <w:r>
        <w:rPr>
          <w:rFonts w:ascii="Times New Roman" w:hAnsi="Times New Roman"/>
          <w:sz w:val="28"/>
          <w:szCs w:val="28"/>
          <w:lang w:eastAsia="ru-RU"/>
        </w:rPr>
        <w:t> </w:t>
      </w:r>
      <w:r w:rsidRPr="006F130F">
        <w:rPr>
          <w:rFonts w:ascii="Times New Roman" w:hAnsi="Times New Roman"/>
          <w:sz w:val="28"/>
          <w:szCs w:val="28"/>
          <w:lang w:eastAsia="ru-RU"/>
        </w:rPr>
        <w:t>централизованным системам хозяйственно-питьевого водоснабжения (далее – СХПВ) или с</w:t>
      </w:r>
      <w:r>
        <w:rPr>
          <w:rFonts w:ascii="Times New Roman" w:hAnsi="Times New Roman"/>
          <w:sz w:val="28"/>
          <w:szCs w:val="28"/>
          <w:lang w:eastAsia="ru-RU"/>
        </w:rPr>
        <w:t> </w:t>
      </w:r>
      <w:r w:rsidRPr="006F130F">
        <w:rPr>
          <w:rFonts w:ascii="Times New Roman" w:hAnsi="Times New Roman"/>
          <w:sz w:val="28"/>
          <w:szCs w:val="28"/>
          <w:lang w:eastAsia="ru-RU"/>
        </w:rPr>
        <w:t>помощью передвижных средств, определяется из</w:t>
      </w:r>
      <w:r>
        <w:rPr>
          <w:rFonts w:ascii="Times New Roman" w:hAnsi="Times New Roman"/>
          <w:sz w:val="28"/>
          <w:szCs w:val="28"/>
          <w:lang w:eastAsia="ru-RU"/>
        </w:rPr>
        <w:t> </w:t>
      </w:r>
      <w:r w:rsidRPr="006F130F">
        <w:rPr>
          <w:rFonts w:ascii="Times New Roman" w:hAnsi="Times New Roman"/>
          <w:sz w:val="28"/>
          <w:szCs w:val="28"/>
          <w:lang w:eastAsia="ru-RU"/>
        </w:rPr>
        <w:t>расчёта:</w:t>
      </w:r>
    </w:p>
    <w:p w:rsidR="002D1E45" w:rsidRPr="006F130F" w:rsidRDefault="002D1E45" w:rsidP="006F130F">
      <w:pPr>
        <w:numPr>
          <w:ilvl w:val="0"/>
          <w:numId w:val="24"/>
        </w:numPr>
        <w:spacing w:after="0" w:line="240" w:lineRule="auto"/>
        <w:jc w:val="both"/>
        <w:rPr>
          <w:rFonts w:ascii="Times New Roman" w:hAnsi="Times New Roman"/>
          <w:sz w:val="28"/>
          <w:szCs w:val="28"/>
        </w:rPr>
      </w:pPr>
      <w:r w:rsidRPr="006F130F">
        <w:rPr>
          <w:rFonts w:ascii="Times New Roman" w:hAnsi="Times New Roman"/>
          <w:sz w:val="28"/>
          <w:szCs w:val="28"/>
        </w:rPr>
        <w:t>31 л</w:t>
      </w:r>
      <w:r>
        <w:rPr>
          <w:rFonts w:ascii="Times New Roman" w:hAnsi="Times New Roman"/>
          <w:sz w:val="28"/>
          <w:szCs w:val="28"/>
        </w:rPr>
        <w:t> </w:t>
      </w:r>
      <w:r w:rsidRPr="006F130F">
        <w:rPr>
          <w:rFonts w:ascii="Times New Roman" w:hAnsi="Times New Roman"/>
          <w:sz w:val="28"/>
          <w:szCs w:val="28"/>
        </w:rPr>
        <w:t>на</w:t>
      </w:r>
      <w:r>
        <w:rPr>
          <w:rFonts w:ascii="Times New Roman" w:hAnsi="Times New Roman"/>
          <w:sz w:val="28"/>
          <w:szCs w:val="28"/>
        </w:rPr>
        <w:t> </w:t>
      </w:r>
      <w:r w:rsidRPr="006F130F">
        <w:rPr>
          <w:rFonts w:ascii="Times New Roman" w:hAnsi="Times New Roman"/>
          <w:sz w:val="28"/>
          <w:szCs w:val="28"/>
        </w:rPr>
        <w:t>одного человека в</w:t>
      </w:r>
      <w:r>
        <w:rPr>
          <w:rFonts w:ascii="Times New Roman" w:hAnsi="Times New Roman"/>
          <w:sz w:val="28"/>
          <w:szCs w:val="28"/>
        </w:rPr>
        <w:t> </w:t>
      </w:r>
      <w:r w:rsidRPr="006F130F">
        <w:rPr>
          <w:rFonts w:ascii="Times New Roman" w:hAnsi="Times New Roman"/>
          <w:sz w:val="28"/>
          <w:szCs w:val="28"/>
        </w:rPr>
        <w:t>сутки;</w:t>
      </w:r>
    </w:p>
    <w:p w:rsidR="002D1E45" w:rsidRPr="006F130F" w:rsidRDefault="002D1E45" w:rsidP="006F130F">
      <w:pPr>
        <w:numPr>
          <w:ilvl w:val="0"/>
          <w:numId w:val="24"/>
        </w:numPr>
        <w:spacing w:after="0" w:line="240" w:lineRule="auto"/>
        <w:jc w:val="both"/>
        <w:rPr>
          <w:rFonts w:ascii="Times New Roman" w:hAnsi="Times New Roman"/>
          <w:sz w:val="28"/>
          <w:szCs w:val="28"/>
        </w:rPr>
      </w:pPr>
      <w:r w:rsidRPr="006F130F">
        <w:rPr>
          <w:rFonts w:ascii="Times New Roman" w:hAnsi="Times New Roman"/>
          <w:sz w:val="28"/>
          <w:szCs w:val="28"/>
        </w:rPr>
        <w:t>75 л</w:t>
      </w:r>
      <w:r>
        <w:rPr>
          <w:rFonts w:ascii="Times New Roman" w:hAnsi="Times New Roman"/>
          <w:sz w:val="28"/>
          <w:szCs w:val="28"/>
        </w:rPr>
        <w:t> </w:t>
      </w:r>
      <w:r w:rsidRPr="006F130F">
        <w:rPr>
          <w:rFonts w:ascii="Times New Roman" w:hAnsi="Times New Roman"/>
          <w:sz w:val="28"/>
          <w:szCs w:val="28"/>
        </w:rPr>
        <w:t>в</w:t>
      </w:r>
      <w:r>
        <w:rPr>
          <w:rFonts w:ascii="Times New Roman" w:hAnsi="Times New Roman"/>
          <w:sz w:val="28"/>
          <w:szCs w:val="28"/>
        </w:rPr>
        <w:t> </w:t>
      </w:r>
      <w:r w:rsidRPr="006F130F">
        <w:rPr>
          <w:rFonts w:ascii="Times New Roman" w:hAnsi="Times New Roman"/>
          <w:sz w:val="28"/>
          <w:szCs w:val="28"/>
        </w:rPr>
        <w:t>сутки на</w:t>
      </w:r>
      <w:r>
        <w:rPr>
          <w:rFonts w:ascii="Times New Roman" w:hAnsi="Times New Roman"/>
          <w:sz w:val="28"/>
          <w:szCs w:val="28"/>
        </w:rPr>
        <w:t> </w:t>
      </w:r>
      <w:r w:rsidRPr="006F130F">
        <w:rPr>
          <w:rFonts w:ascii="Times New Roman" w:hAnsi="Times New Roman"/>
          <w:sz w:val="28"/>
          <w:szCs w:val="28"/>
        </w:rPr>
        <w:t>одного поражённого, поступающего на</w:t>
      </w:r>
      <w:r>
        <w:rPr>
          <w:rFonts w:ascii="Times New Roman" w:hAnsi="Times New Roman"/>
          <w:sz w:val="28"/>
          <w:szCs w:val="28"/>
        </w:rPr>
        <w:t> </w:t>
      </w:r>
      <w:r w:rsidRPr="006F130F">
        <w:rPr>
          <w:rFonts w:ascii="Times New Roman" w:hAnsi="Times New Roman"/>
          <w:sz w:val="28"/>
          <w:szCs w:val="28"/>
        </w:rPr>
        <w:t>стационарное лечение, включая нужды на</w:t>
      </w:r>
      <w:r>
        <w:rPr>
          <w:rFonts w:ascii="Times New Roman" w:hAnsi="Times New Roman"/>
          <w:sz w:val="28"/>
          <w:szCs w:val="28"/>
        </w:rPr>
        <w:t> </w:t>
      </w:r>
      <w:r w:rsidRPr="006F130F">
        <w:rPr>
          <w:rFonts w:ascii="Times New Roman" w:hAnsi="Times New Roman"/>
          <w:sz w:val="28"/>
          <w:szCs w:val="28"/>
        </w:rPr>
        <w:t>питье;</w:t>
      </w:r>
    </w:p>
    <w:p w:rsidR="002D1E45" w:rsidRPr="006F130F" w:rsidRDefault="002D1E45" w:rsidP="006F130F">
      <w:pPr>
        <w:numPr>
          <w:ilvl w:val="0"/>
          <w:numId w:val="24"/>
        </w:numPr>
        <w:spacing w:after="0" w:line="240" w:lineRule="auto"/>
        <w:jc w:val="both"/>
        <w:rPr>
          <w:rFonts w:ascii="Times New Roman" w:hAnsi="Times New Roman"/>
          <w:sz w:val="28"/>
          <w:szCs w:val="28"/>
        </w:rPr>
      </w:pPr>
      <w:r w:rsidRPr="006F130F">
        <w:rPr>
          <w:rFonts w:ascii="Times New Roman" w:hAnsi="Times New Roman"/>
          <w:sz w:val="28"/>
          <w:szCs w:val="28"/>
        </w:rPr>
        <w:t>45 л</w:t>
      </w:r>
      <w:r>
        <w:rPr>
          <w:rFonts w:ascii="Times New Roman" w:hAnsi="Times New Roman"/>
          <w:sz w:val="28"/>
          <w:szCs w:val="28"/>
        </w:rPr>
        <w:t> </w:t>
      </w:r>
      <w:r w:rsidRPr="006F130F">
        <w:rPr>
          <w:rFonts w:ascii="Times New Roman" w:hAnsi="Times New Roman"/>
          <w:sz w:val="28"/>
          <w:szCs w:val="28"/>
        </w:rPr>
        <w:t>на</w:t>
      </w:r>
      <w:r>
        <w:rPr>
          <w:rFonts w:ascii="Times New Roman" w:hAnsi="Times New Roman"/>
          <w:sz w:val="28"/>
          <w:szCs w:val="28"/>
        </w:rPr>
        <w:t> </w:t>
      </w:r>
      <w:r w:rsidRPr="006F130F">
        <w:rPr>
          <w:rFonts w:ascii="Times New Roman" w:hAnsi="Times New Roman"/>
          <w:sz w:val="28"/>
          <w:szCs w:val="28"/>
        </w:rPr>
        <w:t>обмывку одного человека, включая личный состав гражданских организаций ГО, работающих в</w:t>
      </w:r>
      <w:r>
        <w:rPr>
          <w:rFonts w:ascii="Times New Roman" w:hAnsi="Times New Roman"/>
          <w:sz w:val="28"/>
          <w:szCs w:val="28"/>
        </w:rPr>
        <w:t> </w:t>
      </w:r>
      <w:r w:rsidRPr="006F130F">
        <w:rPr>
          <w:rFonts w:ascii="Times New Roman" w:hAnsi="Times New Roman"/>
          <w:sz w:val="28"/>
          <w:szCs w:val="28"/>
        </w:rPr>
        <w:t>очаге поражения.</w:t>
      </w:r>
    </w:p>
    <w:p w:rsidR="002D1E45" w:rsidRPr="006F130F" w:rsidRDefault="002D1E45" w:rsidP="006F130F">
      <w:pPr>
        <w:spacing w:after="0" w:line="240" w:lineRule="auto"/>
        <w:ind w:firstLine="709"/>
        <w:jc w:val="both"/>
        <w:rPr>
          <w:rFonts w:ascii="Times New Roman" w:hAnsi="Times New Roman"/>
          <w:sz w:val="28"/>
          <w:szCs w:val="28"/>
          <w:lang w:eastAsia="ru-RU"/>
        </w:rPr>
      </w:pPr>
      <w:r w:rsidRPr="006F130F">
        <w:rPr>
          <w:rFonts w:ascii="Times New Roman" w:hAnsi="Times New Roman"/>
          <w:sz w:val="28"/>
          <w:szCs w:val="28"/>
          <w:lang w:eastAsia="ru-RU"/>
        </w:rPr>
        <w:t>При работе СХПВ в</w:t>
      </w:r>
      <w:r>
        <w:rPr>
          <w:rFonts w:ascii="Times New Roman" w:hAnsi="Times New Roman"/>
          <w:sz w:val="28"/>
          <w:szCs w:val="28"/>
          <w:lang w:eastAsia="ru-RU"/>
        </w:rPr>
        <w:t> </w:t>
      </w:r>
      <w:r w:rsidRPr="006F130F">
        <w:rPr>
          <w:rFonts w:ascii="Times New Roman" w:hAnsi="Times New Roman"/>
          <w:sz w:val="28"/>
          <w:szCs w:val="28"/>
          <w:lang w:eastAsia="ru-RU"/>
        </w:rPr>
        <w:t>ЧС</w:t>
      </w:r>
      <w:r>
        <w:rPr>
          <w:rFonts w:ascii="Times New Roman" w:hAnsi="Times New Roman"/>
          <w:sz w:val="28"/>
          <w:szCs w:val="28"/>
          <w:lang w:eastAsia="ru-RU"/>
        </w:rPr>
        <w:t> </w:t>
      </w:r>
      <w:r w:rsidRPr="006F130F">
        <w:rPr>
          <w:rFonts w:ascii="Times New Roman" w:hAnsi="Times New Roman"/>
          <w:sz w:val="28"/>
          <w:szCs w:val="28"/>
          <w:lang w:eastAsia="ru-RU"/>
        </w:rPr>
        <w:t>допустимо сокращение объёмов водоснабжения отдельных промышленных и</w:t>
      </w:r>
      <w:r>
        <w:rPr>
          <w:rFonts w:ascii="Times New Roman" w:hAnsi="Times New Roman"/>
          <w:sz w:val="28"/>
          <w:szCs w:val="28"/>
          <w:lang w:eastAsia="ru-RU"/>
        </w:rPr>
        <w:t> </w:t>
      </w:r>
      <w:r w:rsidRPr="006F130F">
        <w:rPr>
          <w:rFonts w:ascii="Times New Roman" w:hAnsi="Times New Roman"/>
          <w:sz w:val="28"/>
          <w:szCs w:val="28"/>
          <w:lang w:eastAsia="ru-RU"/>
        </w:rPr>
        <w:t>коммунальных предприятий в</w:t>
      </w:r>
      <w:r>
        <w:rPr>
          <w:rFonts w:ascii="Times New Roman" w:hAnsi="Times New Roman"/>
          <w:sz w:val="28"/>
          <w:szCs w:val="28"/>
          <w:lang w:eastAsia="ru-RU"/>
        </w:rPr>
        <w:t> </w:t>
      </w:r>
      <w:r w:rsidRPr="006F130F">
        <w:rPr>
          <w:rFonts w:ascii="Times New Roman" w:hAnsi="Times New Roman"/>
          <w:sz w:val="28"/>
          <w:szCs w:val="28"/>
          <w:lang w:eastAsia="ru-RU"/>
        </w:rPr>
        <w:t>согласованных с</w:t>
      </w:r>
      <w:r>
        <w:rPr>
          <w:rFonts w:ascii="Times New Roman" w:hAnsi="Times New Roman"/>
          <w:sz w:val="28"/>
          <w:szCs w:val="28"/>
          <w:lang w:eastAsia="ru-RU"/>
        </w:rPr>
        <w:t> </w:t>
      </w:r>
      <w:r w:rsidRPr="006F130F">
        <w:rPr>
          <w:rFonts w:ascii="Times New Roman" w:hAnsi="Times New Roman"/>
          <w:sz w:val="28"/>
          <w:szCs w:val="28"/>
          <w:lang w:eastAsia="ru-RU"/>
        </w:rPr>
        <w:t xml:space="preserve">администрацией </w:t>
      </w:r>
      <w:r>
        <w:rPr>
          <w:rFonts w:ascii="Times New Roman" w:hAnsi="Times New Roman"/>
          <w:sz w:val="28"/>
          <w:szCs w:val="24"/>
          <w:lang w:eastAsia="ru-RU"/>
        </w:rPr>
        <w:t>Куйбышевского</w:t>
      </w:r>
      <w:r w:rsidRPr="006F130F">
        <w:rPr>
          <w:rFonts w:ascii="Times New Roman" w:hAnsi="Times New Roman"/>
          <w:sz w:val="28"/>
          <w:szCs w:val="24"/>
          <w:lang w:eastAsia="ru-RU"/>
        </w:rPr>
        <w:t xml:space="preserve"> района</w:t>
      </w:r>
      <w:r w:rsidRPr="006F130F">
        <w:rPr>
          <w:rFonts w:ascii="Times New Roman" w:hAnsi="Times New Roman"/>
          <w:color w:val="000000"/>
          <w:sz w:val="28"/>
          <w:szCs w:val="28"/>
        </w:rPr>
        <w:t xml:space="preserve"> </w:t>
      </w:r>
      <w:r w:rsidRPr="006F130F">
        <w:rPr>
          <w:rFonts w:ascii="Times New Roman" w:hAnsi="Times New Roman"/>
          <w:sz w:val="28"/>
          <w:szCs w:val="28"/>
          <w:lang w:eastAsia="ru-RU"/>
        </w:rPr>
        <w:t>пределах</w:t>
      </w:r>
      <w:r>
        <w:rPr>
          <w:rFonts w:ascii="Times New Roman" w:hAnsi="Times New Roman"/>
          <w:sz w:val="28"/>
          <w:szCs w:val="28"/>
          <w:lang w:eastAsia="ru-RU"/>
        </w:rPr>
        <w:t>,</w:t>
      </w:r>
      <w:r w:rsidRPr="006F130F">
        <w:rPr>
          <w:rFonts w:ascii="Times New Roman" w:hAnsi="Times New Roman"/>
          <w:sz w:val="28"/>
          <w:szCs w:val="28"/>
          <w:lang w:eastAsia="ru-RU"/>
        </w:rPr>
        <w:t xml:space="preserve"> с</w:t>
      </w:r>
      <w:r>
        <w:rPr>
          <w:rFonts w:ascii="Times New Roman" w:hAnsi="Times New Roman"/>
          <w:sz w:val="28"/>
          <w:szCs w:val="28"/>
          <w:lang w:eastAsia="ru-RU"/>
        </w:rPr>
        <w:t> </w:t>
      </w:r>
      <w:r w:rsidRPr="006F130F">
        <w:rPr>
          <w:rFonts w:ascii="Times New Roman" w:hAnsi="Times New Roman"/>
          <w:sz w:val="28"/>
          <w:szCs w:val="28"/>
          <w:lang w:eastAsia="ru-RU"/>
        </w:rPr>
        <w:t>тем, чтобы снизить нагрузки на</w:t>
      </w:r>
      <w:r>
        <w:rPr>
          <w:rFonts w:ascii="Times New Roman" w:hAnsi="Times New Roman"/>
          <w:sz w:val="28"/>
          <w:szCs w:val="28"/>
          <w:lang w:eastAsia="ru-RU"/>
        </w:rPr>
        <w:t> </w:t>
      </w:r>
      <w:r w:rsidRPr="006F130F">
        <w:rPr>
          <w:rFonts w:ascii="Times New Roman" w:hAnsi="Times New Roman"/>
          <w:sz w:val="28"/>
          <w:szCs w:val="28"/>
          <w:lang w:eastAsia="ru-RU"/>
        </w:rPr>
        <w:t>сооружения, работающие по</w:t>
      </w:r>
      <w:r>
        <w:rPr>
          <w:rFonts w:ascii="Times New Roman" w:hAnsi="Times New Roman"/>
          <w:sz w:val="28"/>
          <w:szCs w:val="28"/>
          <w:lang w:eastAsia="ru-RU"/>
        </w:rPr>
        <w:t> </w:t>
      </w:r>
      <w:r w:rsidRPr="006F130F">
        <w:rPr>
          <w:rFonts w:ascii="Times New Roman" w:hAnsi="Times New Roman"/>
          <w:sz w:val="28"/>
          <w:szCs w:val="28"/>
          <w:lang w:eastAsia="ru-RU"/>
        </w:rPr>
        <w:t>режимам специальной очистки воды из</w:t>
      </w:r>
      <w:r>
        <w:rPr>
          <w:rFonts w:ascii="Times New Roman" w:hAnsi="Times New Roman"/>
          <w:sz w:val="28"/>
          <w:szCs w:val="28"/>
          <w:lang w:eastAsia="ru-RU"/>
        </w:rPr>
        <w:t> </w:t>
      </w:r>
      <w:r w:rsidRPr="006F130F">
        <w:rPr>
          <w:rFonts w:ascii="Times New Roman" w:hAnsi="Times New Roman"/>
          <w:sz w:val="28"/>
          <w:szCs w:val="28"/>
          <w:lang w:eastAsia="ru-RU"/>
        </w:rPr>
        <w:t>заражённого источника.</w:t>
      </w:r>
    </w:p>
    <w:p w:rsidR="002D1E45" w:rsidRPr="006F130F" w:rsidRDefault="002D1E45" w:rsidP="006F130F">
      <w:pPr>
        <w:spacing w:after="0" w:line="240" w:lineRule="auto"/>
        <w:ind w:firstLine="709"/>
        <w:jc w:val="both"/>
        <w:rPr>
          <w:rFonts w:ascii="Times New Roman" w:hAnsi="Times New Roman"/>
          <w:sz w:val="28"/>
          <w:szCs w:val="28"/>
          <w:lang w:eastAsia="ru-RU"/>
        </w:rPr>
      </w:pPr>
      <w:r w:rsidRPr="006F130F">
        <w:rPr>
          <w:rFonts w:ascii="Times New Roman" w:hAnsi="Times New Roman"/>
          <w:sz w:val="28"/>
          <w:szCs w:val="28"/>
          <w:lang w:eastAsia="ru-RU"/>
        </w:rPr>
        <w:t>Все элементы СХПВ должны соответствовать следующим требованиям, обеспечивающим их</w:t>
      </w:r>
      <w:r>
        <w:rPr>
          <w:rFonts w:ascii="Times New Roman" w:hAnsi="Times New Roman"/>
          <w:sz w:val="28"/>
          <w:szCs w:val="28"/>
          <w:lang w:eastAsia="ru-RU"/>
        </w:rPr>
        <w:t> </w:t>
      </w:r>
      <w:r w:rsidRPr="006F130F">
        <w:rPr>
          <w:rFonts w:ascii="Times New Roman" w:hAnsi="Times New Roman"/>
          <w:sz w:val="28"/>
          <w:szCs w:val="28"/>
          <w:lang w:eastAsia="ru-RU"/>
        </w:rPr>
        <w:t>повышенную устойчивость и</w:t>
      </w:r>
      <w:r>
        <w:rPr>
          <w:rFonts w:ascii="Times New Roman" w:hAnsi="Times New Roman"/>
          <w:sz w:val="28"/>
          <w:szCs w:val="28"/>
          <w:lang w:eastAsia="ru-RU"/>
        </w:rPr>
        <w:t> </w:t>
      </w:r>
      <w:r w:rsidRPr="006F130F">
        <w:rPr>
          <w:rFonts w:ascii="Times New Roman" w:hAnsi="Times New Roman"/>
          <w:sz w:val="28"/>
          <w:szCs w:val="28"/>
          <w:lang w:eastAsia="ru-RU"/>
        </w:rPr>
        <w:t>высокую санитарную надёжность:</w:t>
      </w:r>
    </w:p>
    <w:p w:rsidR="002D1E45" w:rsidRPr="006F130F" w:rsidRDefault="002D1E45" w:rsidP="006F130F">
      <w:pPr>
        <w:numPr>
          <w:ilvl w:val="0"/>
          <w:numId w:val="24"/>
        </w:numPr>
        <w:spacing w:after="0" w:line="240" w:lineRule="auto"/>
        <w:jc w:val="both"/>
        <w:rPr>
          <w:rFonts w:ascii="Times New Roman" w:hAnsi="Times New Roman"/>
          <w:sz w:val="28"/>
          <w:szCs w:val="28"/>
        </w:rPr>
      </w:pPr>
      <w:r w:rsidRPr="006F130F">
        <w:rPr>
          <w:rFonts w:ascii="Times New Roman" w:hAnsi="Times New Roman"/>
          <w:sz w:val="28"/>
          <w:szCs w:val="28"/>
        </w:rPr>
        <w:t>должны быть обеспечены соответствующие условия для работы систем подачи и</w:t>
      </w:r>
      <w:r>
        <w:rPr>
          <w:rFonts w:ascii="Times New Roman" w:hAnsi="Times New Roman"/>
          <w:sz w:val="28"/>
          <w:szCs w:val="28"/>
        </w:rPr>
        <w:t> </w:t>
      </w:r>
      <w:r w:rsidRPr="006F130F">
        <w:rPr>
          <w:rFonts w:ascii="Times New Roman" w:hAnsi="Times New Roman"/>
          <w:sz w:val="28"/>
          <w:szCs w:val="28"/>
        </w:rPr>
        <w:t>распределения воды (далее – СПРВ) при разной производительности головных сооружений. СПРВ должны иметь устройства для отключения отдельных водопотребителей, устройства для раздачи питьевой воды из</w:t>
      </w:r>
      <w:r>
        <w:rPr>
          <w:rFonts w:ascii="Times New Roman" w:hAnsi="Times New Roman"/>
          <w:sz w:val="28"/>
          <w:szCs w:val="28"/>
        </w:rPr>
        <w:t> </w:t>
      </w:r>
      <w:r w:rsidRPr="006F130F">
        <w:rPr>
          <w:rFonts w:ascii="Times New Roman" w:hAnsi="Times New Roman"/>
          <w:sz w:val="28"/>
          <w:szCs w:val="28"/>
        </w:rPr>
        <w:t>водоводов и</w:t>
      </w:r>
      <w:r>
        <w:rPr>
          <w:rFonts w:ascii="Times New Roman" w:hAnsi="Times New Roman"/>
          <w:sz w:val="28"/>
          <w:szCs w:val="28"/>
        </w:rPr>
        <w:t> </w:t>
      </w:r>
      <w:r w:rsidRPr="006F130F">
        <w:rPr>
          <w:rFonts w:ascii="Times New Roman" w:hAnsi="Times New Roman"/>
          <w:sz w:val="28"/>
          <w:szCs w:val="28"/>
        </w:rPr>
        <w:t>магистральных трубопроводов с</w:t>
      </w:r>
      <w:r>
        <w:rPr>
          <w:rFonts w:ascii="Times New Roman" w:hAnsi="Times New Roman"/>
          <w:sz w:val="28"/>
          <w:szCs w:val="28"/>
        </w:rPr>
        <w:t> </w:t>
      </w:r>
      <w:r w:rsidRPr="006F130F">
        <w:rPr>
          <w:rFonts w:ascii="Times New Roman" w:hAnsi="Times New Roman"/>
          <w:sz w:val="28"/>
          <w:szCs w:val="28"/>
        </w:rPr>
        <w:t>ФП</w:t>
      </w:r>
      <w:r>
        <w:rPr>
          <w:rFonts w:ascii="Times New Roman" w:hAnsi="Times New Roman"/>
          <w:sz w:val="28"/>
          <w:szCs w:val="28"/>
        </w:rPr>
        <w:t> </w:t>
      </w:r>
      <w:r w:rsidRPr="006F130F">
        <w:rPr>
          <w:rFonts w:ascii="Times New Roman" w:hAnsi="Times New Roman"/>
          <w:sz w:val="28"/>
          <w:szCs w:val="28"/>
        </w:rPr>
        <w:t>в</w:t>
      </w:r>
      <w:r>
        <w:rPr>
          <w:rFonts w:ascii="Times New Roman" w:hAnsi="Times New Roman"/>
          <w:sz w:val="28"/>
          <w:szCs w:val="28"/>
        </w:rPr>
        <w:t> </w:t>
      </w:r>
      <w:r w:rsidRPr="006F130F">
        <w:rPr>
          <w:rFonts w:ascii="Times New Roman" w:hAnsi="Times New Roman"/>
          <w:sz w:val="28"/>
          <w:szCs w:val="28"/>
        </w:rPr>
        <w:t>наиболее возвышенных точках, обводные линии у</w:t>
      </w:r>
      <w:r>
        <w:rPr>
          <w:rFonts w:ascii="Times New Roman" w:hAnsi="Times New Roman"/>
          <w:sz w:val="28"/>
          <w:szCs w:val="28"/>
        </w:rPr>
        <w:t> </w:t>
      </w:r>
      <w:r w:rsidRPr="006F130F">
        <w:rPr>
          <w:rFonts w:ascii="Times New Roman" w:hAnsi="Times New Roman"/>
          <w:sz w:val="28"/>
          <w:szCs w:val="28"/>
        </w:rPr>
        <w:t>резервуаров, насосных и</w:t>
      </w:r>
      <w:r>
        <w:rPr>
          <w:rFonts w:ascii="Times New Roman" w:hAnsi="Times New Roman"/>
          <w:sz w:val="28"/>
          <w:szCs w:val="28"/>
        </w:rPr>
        <w:t> </w:t>
      </w:r>
      <w:r w:rsidRPr="006F130F">
        <w:rPr>
          <w:rFonts w:ascii="Times New Roman" w:hAnsi="Times New Roman"/>
          <w:sz w:val="28"/>
          <w:szCs w:val="28"/>
        </w:rPr>
        <w:t>водоочистных станций, задвижки с</w:t>
      </w:r>
      <w:r>
        <w:rPr>
          <w:rFonts w:ascii="Times New Roman" w:hAnsi="Times New Roman"/>
          <w:sz w:val="28"/>
          <w:szCs w:val="28"/>
        </w:rPr>
        <w:t> </w:t>
      </w:r>
      <w:r w:rsidRPr="006F130F">
        <w:rPr>
          <w:rFonts w:ascii="Times New Roman" w:hAnsi="Times New Roman"/>
          <w:sz w:val="28"/>
          <w:szCs w:val="28"/>
        </w:rPr>
        <w:t>дистанционным управлением для регулирования подачи воды по</w:t>
      </w:r>
      <w:r>
        <w:rPr>
          <w:rFonts w:ascii="Times New Roman" w:hAnsi="Times New Roman"/>
          <w:sz w:val="28"/>
          <w:szCs w:val="28"/>
        </w:rPr>
        <w:t> </w:t>
      </w:r>
      <w:r w:rsidRPr="006F130F">
        <w:rPr>
          <w:rFonts w:ascii="Times New Roman" w:hAnsi="Times New Roman"/>
          <w:sz w:val="28"/>
          <w:szCs w:val="28"/>
        </w:rPr>
        <w:t>отдельным участкам СПРВ;</w:t>
      </w:r>
    </w:p>
    <w:p w:rsidR="002D1E45" w:rsidRPr="006F130F" w:rsidRDefault="002D1E45" w:rsidP="006F130F">
      <w:pPr>
        <w:numPr>
          <w:ilvl w:val="0"/>
          <w:numId w:val="24"/>
        </w:numPr>
        <w:spacing w:after="0" w:line="240" w:lineRule="auto"/>
        <w:jc w:val="both"/>
        <w:rPr>
          <w:rFonts w:ascii="Times New Roman" w:hAnsi="Times New Roman"/>
          <w:sz w:val="28"/>
          <w:szCs w:val="28"/>
        </w:rPr>
      </w:pPr>
      <w:r w:rsidRPr="006F130F">
        <w:rPr>
          <w:rFonts w:ascii="Times New Roman" w:hAnsi="Times New Roman"/>
          <w:sz w:val="28"/>
          <w:szCs w:val="28"/>
        </w:rPr>
        <w:t>реагентные и</w:t>
      </w:r>
      <w:r>
        <w:rPr>
          <w:rFonts w:ascii="Times New Roman" w:hAnsi="Times New Roman"/>
          <w:sz w:val="28"/>
          <w:szCs w:val="28"/>
        </w:rPr>
        <w:t> </w:t>
      </w:r>
      <w:r w:rsidRPr="006F130F">
        <w:rPr>
          <w:rFonts w:ascii="Times New Roman" w:hAnsi="Times New Roman"/>
          <w:sz w:val="28"/>
          <w:szCs w:val="28"/>
        </w:rPr>
        <w:t>хлорные хозяйства должны быть подготовлены к</w:t>
      </w:r>
      <w:r>
        <w:rPr>
          <w:rFonts w:ascii="Times New Roman" w:hAnsi="Times New Roman"/>
          <w:sz w:val="28"/>
          <w:szCs w:val="28"/>
        </w:rPr>
        <w:t> </w:t>
      </w:r>
      <w:r w:rsidRPr="006F130F">
        <w:rPr>
          <w:rFonts w:ascii="Times New Roman" w:hAnsi="Times New Roman"/>
          <w:sz w:val="28"/>
          <w:szCs w:val="28"/>
        </w:rPr>
        <w:t>работе водоочистных станций (далее ВС) при заражении воды и</w:t>
      </w:r>
      <w:r>
        <w:rPr>
          <w:rFonts w:ascii="Times New Roman" w:hAnsi="Times New Roman"/>
          <w:sz w:val="28"/>
          <w:szCs w:val="28"/>
        </w:rPr>
        <w:t> </w:t>
      </w:r>
      <w:r w:rsidRPr="006F130F">
        <w:rPr>
          <w:rFonts w:ascii="Times New Roman" w:hAnsi="Times New Roman"/>
          <w:sz w:val="28"/>
          <w:szCs w:val="28"/>
        </w:rPr>
        <w:t>к</w:t>
      </w:r>
      <w:r>
        <w:rPr>
          <w:rFonts w:ascii="Times New Roman" w:hAnsi="Times New Roman"/>
          <w:sz w:val="28"/>
          <w:szCs w:val="28"/>
        </w:rPr>
        <w:t> </w:t>
      </w:r>
      <w:r w:rsidRPr="006F130F">
        <w:rPr>
          <w:rFonts w:ascii="Times New Roman" w:hAnsi="Times New Roman"/>
          <w:sz w:val="28"/>
          <w:szCs w:val="28"/>
        </w:rPr>
        <w:t>защите воздушной среды от</w:t>
      </w:r>
      <w:r>
        <w:rPr>
          <w:rFonts w:ascii="Times New Roman" w:hAnsi="Times New Roman"/>
          <w:sz w:val="28"/>
          <w:szCs w:val="28"/>
        </w:rPr>
        <w:t> </w:t>
      </w:r>
      <w:r w:rsidRPr="006F130F">
        <w:rPr>
          <w:rFonts w:ascii="Times New Roman" w:hAnsi="Times New Roman"/>
          <w:sz w:val="28"/>
          <w:szCs w:val="28"/>
        </w:rPr>
        <w:t>загрязнения при авариях в</w:t>
      </w:r>
      <w:r>
        <w:rPr>
          <w:rFonts w:ascii="Times New Roman" w:hAnsi="Times New Roman"/>
          <w:sz w:val="28"/>
          <w:szCs w:val="28"/>
        </w:rPr>
        <w:t> </w:t>
      </w:r>
      <w:r w:rsidRPr="006F130F">
        <w:rPr>
          <w:rFonts w:ascii="Times New Roman" w:hAnsi="Times New Roman"/>
          <w:sz w:val="28"/>
          <w:szCs w:val="28"/>
        </w:rPr>
        <w:t>хлорном хозяйстве.</w:t>
      </w:r>
    </w:p>
    <w:p w:rsidR="002D1E45" w:rsidRPr="006F130F" w:rsidRDefault="002D1E45" w:rsidP="006F130F">
      <w:pPr>
        <w:spacing w:after="0" w:line="240" w:lineRule="auto"/>
        <w:ind w:firstLine="709"/>
        <w:jc w:val="both"/>
        <w:rPr>
          <w:rFonts w:ascii="Times New Roman" w:hAnsi="Times New Roman"/>
          <w:sz w:val="28"/>
          <w:szCs w:val="28"/>
          <w:lang w:eastAsia="ru-RU"/>
        </w:rPr>
      </w:pPr>
      <w:r w:rsidRPr="006F130F">
        <w:rPr>
          <w:rFonts w:ascii="Times New Roman" w:hAnsi="Times New Roman"/>
          <w:sz w:val="28"/>
          <w:szCs w:val="28"/>
          <w:lang w:eastAsia="ru-RU"/>
        </w:rPr>
        <w:t>Детально должны быть рассмотрены и</w:t>
      </w:r>
      <w:r>
        <w:rPr>
          <w:rFonts w:ascii="Times New Roman" w:hAnsi="Times New Roman"/>
          <w:sz w:val="28"/>
          <w:szCs w:val="28"/>
          <w:lang w:eastAsia="ru-RU"/>
        </w:rPr>
        <w:t> </w:t>
      </w:r>
      <w:r w:rsidRPr="006F130F">
        <w:rPr>
          <w:rFonts w:ascii="Times New Roman" w:hAnsi="Times New Roman"/>
          <w:sz w:val="28"/>
          <w:szCs w:val="28"/>
          <w:lang w:eastAsia="ru-RU"/>
        </w:rPr>
        <w:t>отработаны:</w:t>
      </w:r>
    </w:p>
    <w:p w:rsidR="002D1E45" w:rsidRPr="006F130F" w:rsidRDefault="002D1E45" w:rsidP="006F130F">
      <w:pPr>
        <w:numPr>
          <w:ilvl w:val="0"/>
          <w:numId w:val="24"/>
        </w:numPr>
        <w:spacing w:after="0" w:line="240" w:lineRule="auto"/>
        <w:jc w:val="both"/>
        <w:rPr>
          <w:rFonts w:ascii="Times New Roman" w:hAnsi="Times New Roman"/>
          <w:sz w:val="28"/>
          <w:szCs w:val="28"/>
        </w:rPr>
      </w:pPr>
      <w:r w:rsidRPr="006F130F">
        <w:rPr>
          <w:rFonts w:ascii="Times New Roman" w:hAnsi="Times New Roman"/>
          <w:sz w:val="28"/>
          <w:szCs w:val="28"/>
        </w:rPr>
        <w:t>порядок работы всей СПРВ при сокращении производительности очистных сооружений и</w:t>
      </w:r>
      <w:r>
        <w:rPr>
          <w:rFonts w:ascii="Times New Roman" w:hAnsi="Times New Roman"/>
          <w:sz w:val="28"/>
          <w:szCs w:val="28"/>
        </w:rPr>
        <w:t> </w:t>
      </w:r>
      <w:r w:rsidRPr="006F130F">
        <w:rPr>
          <w:rFonts w:ascii="Times New Roman" w:hAnsi="Times New Roman"/>
          <w:sz w:val="28"/>
          <w:szCs w:val="28"/>
        </w:rPr>
        <w:t>возможных авариях на</w:t>
      </w:r>
      <w:r>
        <w:rPr>
          <w:rFonts w:ascii="Times New Roman" w:hAnsi="Times New Roman"/>
          <w:sz w:val="28"/>
          <w:szCs w:val="28"/>
        </w:rPr>
        <w:t> </w:t>
      </w:r>
      <w:r w:rsidRPr="006F130F">
        <w:rPr>
          <w:rFonts w:ascii="Times New Roman" w:hAnsi="Times New Roman"/>
          <w:sz w:val="28"/>
          <w:szCs w:val="28"/>
        </w:rPr>
        <w:t>сети, обеспечивающий бесперебойную подачу сокращённого количества воды равномерно всем потребителям, включая режим подачи воды в</w:t>
      </w:r>
      <w:r>
        <w:rPr>
          <w:rFonts w:ascii="Times New Roman" w:hAnsi="Times New Roman"/>
          <w:sz w:val="28"/>
          <w:szCs w:val="28"/>
        </w:rPr>
        <w:t> </w:t>
      </w:r>
      <w:r w:rsidRPr="006F130F">
        <w:rPr>
          <w:rFonts w:ascii="Times New Roman" w:hAnsi="Times New Roman"/>
          <w:sz w:val="28"/>
          <w:szCs w:val="28"/>
        </w:rPr>
        <w:t>количествах, соответствующих минимальным санитарно-гигиеническим нормативам.</w:t>
      </w:r>
    </w:p>
    <w:p w:rsidR="002D1E45" w:rsidRPr="006F130F" w:rsidRDefault="002D1E45" w:rsidP="006F130F">
      <w:pPr>
        <w:spacing w:after="0" w:line="240" w:lineRule="auto"/>
        <w:ind w:firstLine="709"/>
        <w:jc w:val="both"/>
        <w:rPr>
          <w:rFonts w:ascii="Times New Roman" w:hAnsi="Times New Roman"/>
          <w:sz w:val="28"/>
          <w:szCs w:val="28"/>
          <w:lang w:eastAsia="ru-RU"/>
        </w:rPr>
      </w:pPr>
      <w:r w:rsidRPr="006F130F">
        <w:rPr>
          <w:rFonts w:ascii="Times New Roman" w:hAnsi="Times New Roman"/>
          <w:sz w:val="28"/>
          <w:szCs w:val="28"/>
          <w:lang w:eastAsia="ru-RU"/>
        </w:rPr>
        <w:t>В чрезвычайных ситуациях все строительные, ремонтные и</w:t>
      </w:r>
      <w:r>
        <w:rPr>
          <w:rFonts w:ascii="Times New Roman" w:hAnsi="Times New Roman"/>
          <w:sz w:val="28"/>
          <w:szCs w:val="28"/>
          <w:lang w:eastAsia="ru-RU"/>
        </w:rPr>
        <w:t> </w:t>
      </w:r>
      <w:r w:rsidRPr="006F130F">
        <w:rPr>
          <w:rFonts w:ascii="Times New Roman" w:hAnsi="Times New Roman"/>
          <w:sz w:val="28"/>
          <w:szCs w:val="28"/>
          <w:lang w:eastAsia="ru-RU"/>
        </w:rPr>
        <w:t>другие виды работ на</w:t>
      </w:r>
      <w:r>
        <w:rPr>
          <w:rFonts w:ascii="Times New Roman" w:hAnsi="Times New Roman"/>
          <w:sz w:val="28"/>
          <w:szCs w:val="28"/>
          <w:lang w:eastAsia="ru-RU"/>
        </w:rPr>
        <w:t> </w:t>
      </w:r>
      <w:r w:rsidRPr="006F130F">
        <w:rPr>
          <w:rFonts w:ascii="Times New Roman" w:hAnsi="Times New Roman"/>
          <w:sz w:val="28"/>
          <w:szCs w:val="28"/>
          <w:lang w:eastAsia="ru-RU"/>
        </w:rPr>
        <w:t>объектах СХПВ должны быть прекращены. На</w:t>
      </w:r>
      <w:r>
        <w:rPr>
          <w:rFonts w:ascii="Times New Roman" w:hAnsi="Times New Roman"/>
          <w:sz w:val="28"/>
          <w:szCs w:val="28"/>
          <w:lang w:eastAsia="ru-RU"/>
        </w:rPr>
        <w:t> </w:t>
      </w:r>
      <w:r w:rsidRPr="006F130F">
        <w:rPr>
          <w:rFonts w:ascii="Times New Roman" w:hAnsi="Times New Roman"/>
          <w:sz w:val="28"/>
          <w:szCs w:val="28"/>
          <w:lang w:eastAsia="ru-RU"/>
        </w:rPr>
        <w:t>территорию должен допускаться только персонал дежурной смены и</w:t>
      </w:r>
      <w:r>
        <w:rPr>
          <w:rFonts w:ascii="Times New Roman" w:hAnsi="Times New Roman"/>
          <w:sz w:val="28"/>
          <w:szCs w:val="28"/>
          <w:lang w:eastAsia="ru-RU"/>
        </w:rPr>
        <w:t> </w:t>
      </w:r>
      <w:r w:rsidRPr="006F130F">
        <w:rPr>
          <w:rFonts w:ascii="Times New Roman" w:hAnsi="Times New Roman"/>
          <w:sz w:val="28"/>
          <w:szCs w:val="28"/>
          <w:lang w:eastAsia="ru-RU"/>
        </w:rPr>
        <w:t>привлечённые к</w:t>
      </w:r>
      <w:r>
        <w:rPr>
          <w:rFonts w:ascii="Times New Roman" w:hAnsi="Times New Roman"/>
          <w:sz w:val="28"/>
          <w:szCs w:val="28"/>
          <w:lang w:eastAsia="ru-RU"/>
        </w:rPr>
        <w:t> </w:t>
      </w:r>
      <w:r w:rsidRPr="006F130F">
        <w:rPr>
          <w:rFonts w:ascii="Times New Roman" w:hAnsi="Times New Roman"/>
          <w:sz w:val="28"/>
          <w:szCs w:val="28"/>
          <w:lang w:eastAsia="ru-RU"/>
        </w:rPr>
        <w:t>работам в</w:t>
      </w:r>
      <w:r>
        <w:rPr>
          <w:rFonts w:ascii="Times New Roman" w:hAnsi="Times New Roman"/>
          <w:sz w:val="28"/>
          <w:szCs w:val="28"/>
          <w:lang w:eastAsia="ru-RU"/>
        </w:rPr>
        <w:t> </w:t>
      </w:r>
      <w:r w:rsidRPr="006F130F">
        <w:rPr>
          <w:rFonts w:ascii="Times New Roman" w:hAnsi="Times New Roman"/>
          <w:sz w:val="28"/>
          <w:szCs w:val="28"/>
          <w:lang w:eastAsia="ru-RU"/>
        </w:rPr>
        <w:t>ЧС</w:t>
      </w:r>
      <w:r>
        <w:rPr>
          <w:rFonts w:ascii="Times New Roman" w:hAnsi="Times New Roman"/>
          <w:sz w:val="28"/>
          <w:szCs w:val="28"/>
          <w:lang w:eastAsia="ru-RU"/>
        </w:rPr>
        <w:t> </w:t>
      </w:r>
      <w:r w:rsidRPr="006F130F">
        <w:rPr>
          <w:rFonts w:ascii="Times New Roman" w:hAnsi="Times New Roman"/>
          <w:sz w:val="28"/>
          <w:szCs w:val="28"/>
          <w:lang w:eastAsia="ru-RU"/>
        </w:rPr>
        <w:t>специалисты, в</w:t>
      </w:r>
      <w:r>
        <w:rPr>
          <w:rFonts w:ascii="Times New Roman" w:hAnsi="Times New Roman"/>
          <w:sz w:val="28"/>
          <w:szCs w:val="28"/>
          <w:lang w:eastAsia="ru-RU"/>
        </w:rPr>
        <w:t> </w:t>
      </w:r>
      <w:r w:rsidRPr="006F130F">
        <w:rPr>
          <w:rFonts w:ascii="Times New Roman" w:hAnsi="Times New Roman"/>
          <w:sz w:val="28"/>
          <w:szCs w:val="28"/>
          <w:lang w:eastAsia="ru-RU"/>
        </w:rPr>
        <w:t>том числе работники территориальных центров санэпиднадзора (ЦСЭН), ГО</w:t>
      </w:r>
      <w:r>
        <w:rPr>
          <w:rFonts w:ascii="Times New Roman" w:hAnsi="Times New Roman"/>
          <w:sz w:val="28"/>
          <w:szCs w:val="28"/>
          <w:lang w:eastAsia="ru-RU"/>
        </w:rPr>
        <w:t> </w:t>
      </w:r>
      <w:r w:rsidRPr="006F130F">
        <w:rPr>
          <w:rFonts w:ascii="Times New Roman" w:hAnsi="Times New Roman"/>
          <w:sz w:val="28"/>
          <w:szCs w:val="28"/>
          <w:lang w:eastAsia="ru-RU"/>
        </w:rPr>
        <w:t>и</w:t>
      </w:r>
      <w:r>
        <w:rPr>
          <w:rFonts w:ascii="Times New Roman" w:hAnsi="Times New Roman"/>
          <w:sz w:val="28"/>
          <w:szCs w:val="28"/>
          <w:lang w:eastAsia="ru-RU"/>
        </w:rPr>
        <w:t> </w:t>
      </w:r>
      <w:r w:rsidRPr="006F130F">
        <w:rPr>
          <w:rFonts w:ascii="Times New Roman" w:hAnsi="Times New Roman"/>
          <w:sz w:val="28"/>
          <w:szCs w:val="28"/>
          <w:lang w:eastAsia="ru-RU"/>
        </w:rPr>
        <w:t>других организаций.</w:t>
      </w:r>
    </w:p>
    <w:p w:rsidR="002D1E45" w:rsidRPr="006F130F" w:rsidRDefault="002D1E45" w:rsidP="006F130F">
      <w:pPr>
        <w:spacing w:after="0" w:line="240" w:lineRule="auto"/>
        <w:ind w:firstLine="709"/>
        <w:jc w:val="both"/>
        <w:rPr>
          <w:rFonts w:ascii="Times New Roman" w:hAnsi="Times New Roman"/>
          <w:i/>
          <w:sz w:val="28"/>
          <w:szCs w:val="28"/>
          <w:u w:val="single"/>
          <w:lang w:eastAsia="ru-RU"/>
        </w:rPr>
      </w:pPr>
      <w:r w:rsidRPr="006F130F">
        <w:rPr>
          <w:rFonts w:ascii="Times New Roman" w:hAnsi="Times New Roman"/>
          <w:i/>
          <w:sz w:val="28"/>
          <w:szCs w:val="28"/>
          <w:u w:val="single"/>
          <w:lang w:eastAsia="ru-RU"/>
        </w:rPr>
        <w:t>Градостроительные (проектные) ограничения (предложения) при размещении источников электроснабжения</w:t>
      </w:r>
    </w:p>
    <w:p w:rsidR="002D1E45" w:rsidRPr="006F130F" w:rsidRDefault="002D1E45" w:rsidP="006F130F">
      <w:pPr>
        <w:spacing w:after="0" w:line="240" w:lineRule="auto"/>
        <w:ind w:firstLine="709"/>
        <w:jc w:val="both"/>
        <w:rPr>
          <w:rFonts w:ascii="Times New Roman" w:hAnsi="Times New Roman"/>
          <w:sz w:val="28"/>
          <w:szCs w:val="28"/>
          <w:lang w:eastAsia="ru-RU"/>
        </w:rPr>
      </w:pPr>
      <w:r w:rsidRPr="006F130F">
        <w:rPr>
          <w:rFonts w:ascii="Times New Roman" w:hAnsi="Times New Roman"/>
          <w:sz w:val="28"/>
          <w:szCs w:val="28"/>
          <w:lang w:eastAsia="ru-RU"/>
        </w:rPr>
        <w:t>Линейные и</w:t>
      </w:r>
      <w:r>
        <w:rPr>
          <w:rFonts w:ascii="Times New Roman" w:hAnsi="Times New Roman"/>
          <w:sz w:val="28"/>
          <w:szCs w:val="28"/>
          <w:lang w:eastAsia="ru-RU"/>
        </w:rPr>
        <w:t> </w:t>
      </w:r>
      <w:r w:rsidRPr="006F130F">
        <w:rPr>
          <w:rFonts w:ascii="Times New Roman" w:hAnsi="Times New Roman"/>
          <w:sz w:val="28"/>
          <w:szCs w:val="28"/>
          <w:lang w:eastAsia="ru-RU"/>
        </w:rPr>
        <w:t>точечные объекты электроснабжения наиболее подвержены активному воздействию источников природных чрезвычайных ситуаций (ураганный ветер, сильный снегопад), в</w:t>
      </w:r>
      <w:r>
        <w:rPr>
          <w:rFonts w:ascii="Times New Roman" w:hAnsi="Times New Roman"/>
          <w:sz w:val="28"/>
          <w:szCs w:val="28"/>
          <w:lang w:eastAsia="ru-RU"/>
        </w:rPr>
        <w:t> </w:t>
      </w:r>
      <w:r w:rsidRPr="006F130F">
        <w:rPr>
          <w:rFonts w:ascii="Times New Roman" w:hAnsi="Times New Roman"/>
          <w:sz w:val="28"/>
          <w:szCs w:val="28"/>
          <w:lang w:eastAsia="ru-RU"/>
        </w:rPr>
        <w:t>результате чего вероятно возникновение чрезвычайных ситуаций вследствие выхода из</w:t>
      </w:r>
      <w:r>
        <w:rPr>
          <w:rFonts w:ascii="Times New Roman" w:hAnsi="Times New Roman"/>
          <w:sz w:val="28"/>
          <w:szCs w:val="28"/>
          <w:lang w:eastAsia="ru-RU"/>
        </w:rPr>
        <w:t> </w:t>
      </w:r>
      <w:r w:rsidRPr="006F130F">
        <w:rPr>
          <w:rFonts w:ascii="Times New Roman" w:hAnsi="Times New Roman"/>
          <w:sz w:val="28"/>
          <w:szCs w:val="28"/>
          <w:lang w:eastAsia="ru-RU"/>
        </w:rPr>
        <w:t>строя линейной части и</w:t>
      </w:r>
      <w:r>
        <w:rPr>
          <w:rFonts w:ascii="Times New Roman" w:hAnsi="Times New Roman"/>
          <w:sz w:val="28"/>
          <w:szCs w:val="28"/>
          <w:lang w:eastAsia="ru-RU"/>
        </w:rPr>
        <w:t> </w:t>
      </w:r>
      <w:r w:rsidRPr="006F130F">
        <w:rPr>
          <w:rFonts w:ascii="Times New Roman" w:hAnsi="Times New Roman"/>
          <w:sz w:val="28"/>
          <w:szCs w:val="28"/>
          <w:lang w:eastAsia="ru-RU"/>
        </w:rPr>
        <w:t>коротких замыканий на</w:t>
      </w:r>
      <w:r>
        <w:rPr>
          <w:rFonts w:ascii="Times New Roman" w:hAnsi="Times New Roman"/>
          <w:sz w:val="28"/>
          <w:szCs w:val="28"/>
          <w:lang w:eastAsia="ru-RU"/>
        </w:rPr>
        <w:t> </w:t>
      </w:r>
      <w:r w:rsidRPr="006F130F">
        <w:rPr>
          <w:rFonts w:ascii="Times New Roman" w:hAnsi="Times New Roman"/>
          <w:sz w:val="28"/>
          <w:szCs w:val="28"/>
          <w:lang w:eastAsia="ru-RU"/>
        </w:rPr>
        <w:t>оборудовании точечных объектов.</w:t>
      </w:r>
    </w:p>
    <w:p w:rsidR="002D1E45" w:rsidRPr="006F130F" w:rsidRDefault="002D1E45" w:rsidP="006F130F">
      <w:pPr>
        <w:spacing w:after="0" w:line="240" w:lineRule="auto"/>
        <w:ind w:firstLine="709"/>
        <w:jc w:val="both"/>
        <w:rPr>
          <w:rFonts w:ascii="Times New Roman" w:hAnsi="Times New Roman"/>
          <w:sz w:val="28"/>
          <w:szCs w:val="28"/>
          <w:lang w:eastAsia="ru-RU"/>
        </w:rPr>
      </w:pPr>
      <w:r w:rsidRPr="006F130F">
        <w:rPr>
          <w:rFonts w:ascii="Times New Roman" w:hAnsi="Times New Roman"/>
          <w:sz w:val="28"/>
          <w:szCs w:val="28"/>
          <w:lang w:eastAsia="ru-RU"/>
        </w:rPr>
        <w:t>Для повышения устойчивости функционирования объектов электроснабжения, при реконструкции сети электроснабжения с</w:t>
      </w:r>
      <w:r>
        <w:rPr>
          <w:rFonts w:ascii="Times New Roman" w:hAnsi="Times New Roman"/>
          <w:sz w:val="28"/>
          <w:szCs w:val="28"/>
          <w:lang w:eastAsia="ru-RU"/>
        </w:rPr>
        <w:t> </w:t>
      </w:r>
      <w:r w:rsidRPr="006F130F">
        <w:rPr>
          <w:rFonts w:ascii="Times New Roman" w:hAnsi="Times New Roman"/>
          <w:sz w:val="28"/>
          <w:szCs w:val="28"/>
          <w:lang w:eastAsia="ru-RU"/>
        </w:rPr>
        <w:t>расширением застройки, возможном размещении производств требуется учитывать положения п.п.6.85</w:t>
      </w:r>
      <w:r w:rsidRPr="006F130F">
        <w:rPr>
          <w:rFonts w:ascii="Times New Roman" w:hAnsi="Times New Roman"/>
          <w:sz w:val="28"/>
          <w:szCs w:val="28"/>
          <w:lang w:eastAsia="ru-RU"/>
        </w:rPr>
        <w:noBreakHyphen/>
        <w:t xml:space="preserve">6.100 СП 165.132.5800.2014 </w:t>
      </w:r>
      <w:r w:rsidRPr="006F130F">
        <w:rPr>
          <w:rFonts w:ascii="Times New Roman" w:hAnsi="Times New Roman"/>
          <w:bCs/>
          <w:sz w:val="28"/>
          <w:szCs w:val="28"/>
          <w:lang w:eastAsia="ru-RU"/>
        </w:rPr>
        <w:t>«Инженерно-технические мероприятия по</w:t>
      </w:r>
      <w:r>
        <w:rPr>
          <w:rFonts w:ascii="Times New Roman" w:hAnsi="Times New Roman"/>
          <w:bCs/>
          <w:sz w:val="28"/>
          <w:szCs w:val="28"/>
          <w:lang w:eastAsia="ru-RU"/>
        </w:rPr>
        <w:t> </w:t>
      </w:r>
      <w:r w:rsidRPr="006F130F">
        <w:rPr>
          <w:rFonts w:ascii="Times New Roman" w:hAnsi="Times New Roman"/>
          <w:bCs/>
          <w:sz w:val="28"/>
          <w:szCs w:val="28"/>
          <w:lang w:eastAsia="ru-RU"/>
        </w:rPr>
        <w:t>гражданской обороне. Актуализированная редакция СНиП 2.01.51-90»</w:t>
      </w:r>
      <w:r w:rsidRPr="006F130F">
        <w:rPr>
          <w:rFonts w:ascii="Times New Roman" w:hAnsi="Times New Roman"/>
          <w:sz w:val="28"/>
          <w:szCs w:val="28"/>
          <w:lang w:eastAsia="ru-RU"/>
        </w:rPr>
        <w:t>.</w:t>
      </w:r>
    </w:p>
    <w:p w:rsidR="002D1E45" w:rsidRPr="006F130F" w:rsidRDefault="002D1E45" w:rsidP="006F130F">
      <w:pPr>
        <w:spacing w:after="0" w:line="240" w:lineRule="auto"/>
        <w:ind w:firstLine="709"/>
        <w:jc w:val="both"/>
        <w:rPr>
          <w:rFonts w:ascii="Times New Roman" w:hAnsi="Times New Roman"/>
          <w:sz w:val="28"/>
          <w:szCs w:val="28"/>
          <w:lang w:eastAsia="ru-RU"/>
        </w:rPr>
      </w:pPr>
      <w:r w:rsidRPr="006F130F">
        <w:rPr>
          <w:rFonts w:ascii="Times New Roman" w:hAnsi="Times New Roman"/>
          <w:sz w:val="28"/>
          <w:szCs w:val="28"/>
          <w:lang w:eastAsia="ru-RU"/>
        </w:rPr>
        <w:t>Энергетические сооружения и</w:t>
      </w:r>
      <w:r>
        <w:rPr>
          <w:rFonts w:ascii="Times New Roman" w:hAnsi="Times New Roman"/>
          <w:sz w:val="28"/>
          <w:szCs w:val="28"/>
          <w:lang w:eastAsia="ru-RU"/>
        </w:rPr>
        <w:t> </w:t>
      </w:r>
      <w:r w:rsidRPr="006F130F">
        <w:rPr>
          <w:rFonts w:ascii="Times New Roman" w:hAnsi="Times New Roman"/>
          <w:sz w:val="28"/>
          <w:szCs w:val="28"/>
          <w:lang w:eastAsia="ru-RU"/>
        </w:rPr>
        <w:t>электрические сети должны проектироваться с</w:t>
      </w:r>
      <w:r>
        <w:rPr>
          <w:rFonts w:ascii="Times New Roman" w:hAnsi="Times New Roman"/>
          <w:sz w:val="28"/>
          <w:szCs w:val="28"/>
          <w:lang w:eastAsia="ru-RU"/>
        </w:rPr>
        <w:t> </w:t>
      </w:r>
      <w:r w:rsidRPr="006F130F">
        <w:rPr>
          <w:rFonts w:ascii="Times New Roman" w:hAnsi="Times New Roman"/>
          <w:sz w:val="28"/>
          <w:szCs w:val="28"/>
          <w:lang w:eastAsia="ru-RU"/>
        </w:rPr>
        <w:t>учётом обеспечения устойчивого электроснабжения особо важных объектов (предприятий оборонных отраслей промышленности, участков железных дорог, газо- и</w:t>
      </w:r>
      <w:r>
        <w:rPr>
          <w:rFonts w:ascii="Times New Roman" w:hAnsi="Times New Roman"/>
          <w:sz w:val="28"/>
          <w:szCs w:val="28"/>
          <w:lang w:eastAsia="ru-RU"/>
        </w:rPr>
        <w:t> </w:t>
      </w:r>
      <w:r w:rsidRPr="006F130F">
        <w:rPr>
          <w:rFonts w:ascii="Times New Roman" w:hAnsi="Times New Roman"/>
          <w:sz w:val="28"/>
          <w:szCs w:val="28"/>
          <w:lang w:eastAsia="ru-RU"/>
        </w:rPr>
        <w:t>водоснабжения, лечебных учреждений и</w:t>
      </w:r>
      <w:r>
        <w:rPr>
          <w:rFonts w:ascii="Times New Roman" w:hAnsi="Times New Roman"/>
          <w:sz w:val="28"/>
          <w:szCs w:val="28"/>
          <w:lang w:eastAsia="ru-RU"/>
        </w:rPr>
        <w:t> </w:t>
      </w:r>
      <w:r w:rsidRPr="006F130F">
        <w:rPr>
          <w:rFonts w:ascii="Times New Roman" w:hAnsi="Times New Roman"/>
          <w:sz w:val="28"/>
          <w:szCs w:val="28"/>
          <w:lang w:eastAsia="ru-RU"/>
        </w:rPr>
        <w:t>др.) в</w:t>
      </w:r>
      <w:r>
        <w:rPr>
          <w:rFonts w:ascii="Times New Roman" w:hAnsi="Times New Roman"/>
          <w:sz w:val="28"/>
          <w:szCs w:val="28"/>
          <w:lang w:eastAsia="ru-RU"/>
        </w:rPr>
        <w:t> </w:t>
      </w:r>
      <w:r w:rsidRPr="006F130F">
        <w:rPr>
          <w:rFonts w:ascii="Times New Roman" w:hAnsi="Times New Roman"/>
          <w:sz w:val="28"/>
          <w:szCs w:val="28"/>
          <w:lang w:eastAsia="ru-RU"/>
        </w:rPr>
        <w:t>условиях мирного и</w:t>
      </w:r>
      <w:r>
        <w:rPr>
          <w:rFonts w:ascii="Times New Roman" w:hAnsi="Times New Roman"/>
          <w:sz w:val="28"/>
          <w:szCs w:val="28"/>
          <w:lang w:eastAsia="ru-RU"/>
        </w:rPr>
        <w:t> </w:t>
      </w:r>
      <w:r w:rsidRPr="006F130F">
        <w:rPr>
          <w:rFonts w:ascii="Times New Roman" w:hAnsi="Times New Roman"/>
          <w:sz w:val="28"/>
          <w:szCs w:val="28"/>
          <w:lang w:eastAsia="ru-RU"/>
        </w:rPr>
        <w:t>военного времени.</w:t>
      </w:r>
    </w:p>
    <w:p w:rsidR="002D1E45" w:rsidRPr="006F130F" w:rsidRDefault="002D1E45" w:rsidP="006F130F">
      <w:pPr>
        <w:spacing w:after="0" w:line="240" w:lineRule="auto"/>
        <w:ind w:firstLine="709"/>
        <w:jc w:val="both"/>
        <w:rPr>
          <w:rFonts w:ascii="Times New Roman" w:hAnsi="Times New Roman"/>
          <w:sz w:val="28"/>
          <w:szCs w:val="28"/>
          <w:lang w:eastAsia="ru-RU"/>
        </w:rPr>
      </w:pPr>
      <w:r w:rsidRPr="006F130F">
        <w:rPr>
          <w:rFonts w:ascii="Times New Roman" w:hAnsi="Times New Roman"/>
          <w:sz w:val="28"/>
          <w:szCs w:val="28"/>
          <w:lang w:eastAsia="ru-RU"/>
        </w:rPr>
        <w:t>Схема электрических сетей энергосистем при необходимости должна предусматривать возможность автоматического деления энергосистемы на</w:t>
      </w:r>
      <w:r>
        <w:rPr>
          <w:rFonts w:ascii="Times New Roman" w:hAnsi="Times New Roman"/>
          <w:sz w:val="28"/>
          <w:szCs w:val="28"/>
          <w:lang w:eastAsia="ru-RU"/>
        </w:rPr>
        <w:t> </w:t>
      </w:r>
      <w:r w:rsidRPr="006F130F">
        <w:rPr>
          <w:rFonts w:ascii="Times New Roman" w:hAnsi="Times New Roman"/>
          <w:sz w:val="28"/>
          <w:szCs w:val="28"/>
          <w:lang w:eastAsia="ru-RU"/>
        </w:rPr>
        <w:t>сбалансированные независимо работающие части.</w:t>
      </w:r>
    </w:p>
    <w:p w:rsidR="002D1E45" w:rsidRPr="006F130F" w:rsidRDefault="002D1E45" w:rsidP="006F130F">
      <w:pPr>
        <w:spacing w:after="0" w:line="240" w:lineRule="auto"/>
        <w:ind w:firstLine="709"/>
        <w:jc w:val="both"/>
        <w:rPr>
          <w:rFonts w:ascii="Times New Roman" w:hAnsi="Times New Roman"/>
          <w:sz w:val="28"/>
          <w:szCs w:val="28"/>
          <w:lang w:eastAsia="ru-RU"/>
        </w:rPr>
      </w:pPr>
      <w:r w:rsidRPr="006F130F">
        <w:rPr>
          <w:rFonts w:ascii="Times New Roman" w:hAnsi="Times New Roman"/>
          <w:sz w:val="28"/>
          <w:szCs w:val="28"/>
          <w:lang w:eastAsia="ru-RU"/>
        </w:rPr>
        <w:t>При проектировании систем электроснабжения следует сохранять в</w:t>
      </w:r>
      <w:r>
        <w:rPr>
          <w:rFonts w:ascii="Times New Roman" w:hAnsi="Times New Roman"/>
          <w:sz w:val="28"/>
          <w:szCs w:val="28"/>
          <w:lang w:eastAsia="ru-RU"/>
        </w:rPr>
        <w:t> </w:t>
      </w:r>
      <w:r w:rsidRPr="006F130F">
        <w:rPr>
          <w:rFonts w:ascii="Times New Roman" w:hAnsi="Times New Roman"/>
          <w:sz w:val="28"/>
          <w:szCs w:val="28"/>
          <w:lang w:eastAsia="ru-RU"/>
        </w:rPr>
        <w:t>качестве резерва мелкие стационарные электростанции, а</w:t>
      </w:r>
      <w:r>
        <w:rPr>
          <w:rFonts w:ascii="Times New Roman" w:hAnsi="Times New Roman"/>
          <w:sz w:val="28"/>
          <w:szCs w:val="28"/>
          <w:lang w:eastAsia="ru-RU"/>
        </w:rPr>
        <w:t> </w:t>
      </w:r>
      <w:r w:rsidRPr="006F130F">
        <w:rPr>
          <w:rFonts w:ascii="Times New Roman" w:hAnsi="Times New Roman"/>
          <w:sz w:val="28"/>
          <w:szCs w:val="28"/>
          <w:lang w:eastAsia="ru-RU"/>
        </w:rPr>
        <w:t>также учитывать возможность использования передвижных электростанций и</w:t>
      </w:r>
      <w:r>
        <w:rPr>
          <w:rFonts w:ascii="Times New Roman" w:hAnsi="Times New Roman"/>
          <w:sz w:val="28"/>
          <w:szCs w:val="28"/>
          <w:lang w:eastAsia="ru-RU"/>
        </w:rPr>
        <w:t> </w:t>
      </w:r>
      <w:r w:rsidRPr="006F130F">
        <w:rPr>
          <w:rFonts w:ascii="Times New Roman" w:hAnsi="Times New Roman"/>
          <w:sz w:val="28"/>
          <w:szCs w:val="28"/>
          <w:lang w:eastAsia="ru-RU"/>
        </w:rPr>
        <w:t>подстанций.</w:t>
      </w:r>
    </w:p>
    <w:p w:rsidR="002D1E45" w:rsidRPr="006F130F" w:rsidRDefault="002D1E45" w:rsidP="006F130F">
      <w:pPr>
        <w:spacing w:after="0" w:line="240" w:lineRule="auto"/>
        <w:ind w:firstLine="709"/>
        <w:jc w:val="both"/>
        <w:rPr>
          <w:rFonts w:ascii="Times New Roman" w:hAnsi="Times New Roman"/>
          <w:sz w:val="28"/>
          <w:szCs w:val="28"/>
          <w:lang w:eastAsia="ru-RU"/>
        </w:rPr>
      </w:pPr>
      <w:r w:rsidRPr="006F130F">
        <w:rPr>
          <w:rFonts w:ascii="Times New Roman" w:hAnsi="Times New Roman"/>
          <w:sz w:val="28"/>
          <w:szCs w:val="28"/>
          <w:lang w:eastAsia="ru-RU"/>
        </w:rPr>
        <w:t>Для повышения надёжности электроснабжения не</w:t>
      </w:r>
      <w:r>
        <w:rPr>
          <w:rFonts w:ascii="Times New Roman" w:hAnsi="Times New Roman"/>
          <w:sz w:val="28"/>
          <w:szCs w:val="28"/>
          <w:lang w:eastAsia="ru-RU"/>
        </w:rPr>
        <w:t> </w:t>
      </w:r>
      <w:r w:rsidRPr="006F130F">
        <w:rPr>
          <w:rFonts w:ascii="Times New Roman" w:hAnsi="Times New Roman"/>
          <w:sz w:val="28"/>
          <w:szCs w:val="28"/>
          <w:lang w:eastAsia="ru-RU"/>
        </w:rPr>
        <w:t>отключаемых объектов следует предусматривать установку автономных источников питания. Их</w:t>
      </w:r>
      <w:r>
        <w:rPr>
          <w:rFonts w:ascii="Times New Roman" w:hAnsi="Times New Roman"/>
          <w:sz w:val="28"/>
          <w:szCs w:val="28"/>
          <w:lang w:eastAsia="ru-RU"/>
        </w:rPr>
        <w:t> </w:t>
      </w:r>
      <w:r w:rsidRPr="006F130F">
        <w:rPr>
          <w:rFonts w:ascii="Times New Roman" w:hAnsi="Times New Roman"/>
          <w:sz w:val="28"/>
          <w:szCs w:val="28"/>
          <w:lang w:eastAsia="ru-RU"/>
        </w:rPr>
        <w:t>количество, вид, мощность, система подключения, конструктивное выполнение должны регламентироваться ведомственными строительными нормами и</w:t>
      </w:r>
      <w:r>
        <w:rPr>
          <w:rFonts w:ascii="Times New Roman" w:hAnsi="Times New Roman"/>
          <w:sz w:val="28"/>
          <w:szCs w:val="28"/>
          <w:lang w:eastAsia="ru-RU"/>
        </w:rPr>
        <w:t> </w:t>
      </w:r>
      <w:r w:rsidRPr="006F130F">
        <w:rPr>
          <w:rFonts w:ascii="Times New Roman" w:hAnsi="Times New Roman"/>
          <w:sz w:val="28"/>
          <w:szCs w:val="28"/>
          <w:lang w:eastAsia="ru-RU"/>
        </w:rPr>
        <w:t>правилами, а</w:t>
      </w:r>
      <w:r>
        <w:rPr>
          <w:rFonts w:ascii="Times New Roman" w:hAnsi="Times New Roman"/>
          <w:sz w:val="28"/>
          <w:szCs w:val="28"/>
          <w:lang w:eastAsia="ru-RU"/>
        </w:rPr>
        <w:t> </w:t>
      </w:r>
      <w:r w:rsidRPr="006F130F">
        <w:rPr>
          <w:rFonts w:ascii="Times New Roman" w:hAnsi="Times New Roman"/>
          <w:sz w:val="28"/>
          <w:szCs w:val="28"/>
          <w:lang w:eastAsia="ru-RU"/>
        </w:rPr>
        <w:t>также нормами технологического проектирования соответствующих отраслей. Мощность автономных источников питания следует, как правило, устанавливать из</w:t>
      </w:r>
      <w:r>
        <w:rPr>
          <w:rFonts w:ascii="Times New Roman" w:hAnsi="Times New Roman"/>
          <w:sz w:val="28"/>
          <w:szCs w:val="28"/>
          <w:lang w:eastAsia="ru-RU"/>
        </w:rPr>
        <w:t> </w:t>
      </w:r>
      <w:r w:rsidRPr="006F130F">
        <w:rPr>
          <w:rFonts w:ascii="Times New Roman" w:hAnsi="Times New Roman"/>
          <w:sz w:val="28"/>
          <w:szCs w:val="28"/>
          <w:lang w:eastAsia="ru-RU"/>
        </w:rPr>
        <w:t>расчёта полноты обеспечения электроэнергией приёмников 1-й категории (по ПУЭ), продолжающих работу в</w:t>
      </w:r>
      <w:r>
        <w:rPr>
          <w:rFonts w:ascii="Times New Roman" w:hAnsi="Times New Roman"/>
          <w:sz w:val="28"/>
          <w:szCs w:val="28"/>
          <w:lang w:eastAsia="ru-RU"/>
        </w:rPr>
        <w:t> </w:t>
      </w:r>
      <w:r w:rsidRPr="006F130F">
        <w:rPr>
          <w:rFonts w:ascii="Times New Roman" w:hAnsi="Times New Roman"/>
          <w:sz w:val="28"/>
          <w:szCs w:val="28"/>
          <w:lang w:eastAsia="ru-RU"/>
        </w:rPr>
        <w:t>военное время. Установки автономных источников электропитания большей мощности должна быть обоснована технико-экономическими расчётами.</w:t>
      </w:r>
    </w:p>
    <w:p w:rsidR="002D1E45" w:rsidRPr="006F130F" w:rsidRDefault="002D1E45" w:rsidP="006F130F">
      <w:pPr>
        <w:spacing w:after="0" w:line="240" w:lineRule="auto"/>
        <w:ind w:firstLine="709"/>
        <w:jc w:val="both"/>
        <w:rPr>
          <w:rFonts w:ascii="Times New Roman" w:hAnsi="Times New Roman"/>
          <w:sz w:val="28"/>
          <w:szCs w:val="28"/>
          <w:lang w:eastAsia="ru-RU"/>
        </w:rPr>
      </w:pPr>
      <w:r w:rsidRPr="006F130F">
        <w:rPr>
          <w:rFonts w:ascii="Times New Roman" w:hAnsi="Times New Roman"/>
          <w:sz w:val="28"/>
          <w:szCs w:val="28"/>
          <w:lang w:eastAsia="ru-RU"/>
        </w:rPr>
        <w:t>При проектировании систем электроснабжения следует сохранять в</w:t>
      </w:r>
      <w:r>
        <w:rPr>
          <w:rFonts w:ascii="Times New Roman" w:hAnsi="Times New Roman"/>
          <w:sz w:val="28"/>
          <w:szCs w:val="28"/>
          <w:lang w:eastAsia="ru-RU"/>
        </w:rPr>
        <w:t> </w:t>
      </w:r>
      <w:r w:rsidRPr="006F130F">
        <w:rPr>
          <w:rFonts w:ascii="Times New Roman" w:hAnsi="Times New Roman"/>
          <w:sz w:val="28"/>
          <w:szCs w:val="28"/>
          <w:lang w:eastAsia="ru-RU"/>
        </w:rPr>
        <w:t>качестве резерва мелкие стационарные электростанции, а</w:t>
      </w:r>
      <w:r>
        <w:rPr>
          <w:rFonts w:ascii="Times New Roman" w:hAnsi="Times New Roman"/>
          <w:sz w:val="28"/>
          <w:szCs w:val="28"/>
          <w:lang w:eastAsia="ru-RU"/>
        </w:rPr>
        <w:t> </w:t>
      </w:r>
      <w:r w:rsidRPr="006F130F">
        <w:rPr>
          <w:rFonts w:ascii="Times New Roman" w:hAnsi="Times New Roman"/>
          <w:sz w:val="28"/>
          <w:szCs w:val="28"/>
          <w:lang w:eastAsia="ru-RU"/>
        </w:rPr>
        <w:t>также учитывать возможность использования передвижных электростанций и</w:t>
      </w:r>
      <w:r>
        <w:rPr>
          <w:rFonts w:ascii="Times New Roman" w:hAnsi="Times New Roman"/>
          <w:sz w:val="28"/>
          <w:szCs w:val="28"/>
          <w:lang w:eastAsia="ru-RU"/>
        </w:rPr>
        <w:t> </w:t>
      </w:r>
      <w:r w:rsidRPr="006F130F">
        <w:rPr>
          <w:rFonts w:ascii="Times New Roman" w:hAnsi="Times New Roman"/>
          <w:sz w:val="28"/>
          <w:szCs w:val="28"/>
          <w:lang w:eastAsia="ru-RU"/>
        </w:rPr>
        <w:t>подстанций.</w:t>
      </w:r>
    </w:p>
    <w:p w:rsidR="002D1E45" w:rsidRPr="006F130F" w:rsidRDefault="002D1E45" w:rsidP="006F130F">
      <w:pPr>
        <w:spacing w:after="0" w:line="240" w:lineRule="auto"/>
        <w:ind w:firstLine="709"/>
        <w:jc w:val="both"/>
        <w:rPr>
          <w:rFonts w:ascii="Times New Roman" w:hAnsi="Times New Roman"/>
          <w:i/>
          <w:sz w:val="28"/>
          <w:szCs w:val="28"/>
          <w:u w:val="single"/>
          <w:lang w:eastAsia="ru-RU"/>
        </w:rPr>
      </w:pPr>
      <w:r w:rsidRPr="006F130F">
        <w:rPr>
          <w:rFonts w:ascii="Times New Roman" w:hAnsi="Times New Roman"/>
          <w:i/>
          <w:sz w:val="28"/>
          <w:szCs w:val="28"/>
          <w:u w:val="single"/>
          <w:lang w:eastAsia="ru-RU"/>
        </w:rPr>
        <w:t>Градостроительные (проектные) ограничения (предложения) при размещении источников газоснабжения</w:t>
      </w:r>
    </w:p>
    <w:p w:rsidR="002D1E45" w:rsidRPr="006F130F" w:rsidRDefault="002D1E45" w:rsidP="006F130F">
      <w:pPr>
        <w:spacing w:after="0" w:line="240" w:lineRule="auto"/>
        <w:ind w:firstLine="709"/>
        <w:jc w:val="both"/>
        <w:rPr>
          <w:rFonts w:ascii="Times New Roman" w:hAnsi="Times New Roman"/>
          <w:sz w:val="28"/>
          <w:szCs w:val="28"/>
          <w:lang w:eastAsia="ru-RU"/>
        </w:rPr>
      </w:pPr>
      <w:r w:rsidRPr="006F130F">
        <w:rPr>
          <w:rFonts w:ascii="Times New Roman" w:hAnsi="Times New Roman"/>
          <w:sz w:val="28"/>
          <w:szCs w:val="28"/>
          <w:lang w:eastAsia="ru-RU"/>
        </w:rPr>
        <w:t>При проектировании реконструкции, и</w:t>
      </w:r>
      <w:r>
        <w:rPr>
          <w:rFonts w:ascii="Times New Roman" w:hAnsi="Times New Roman"/>
          <w:sz w:val="28"/>
          <w:szCs w:val="28"/>
          <w:lang w:eastAsia="ru-RU"/>
        </w:rPr>
        <w:t> </w:t>
      </w:r>
      <w:r w:rsidRPr="006F130F">
        <w:rPr>
          <w:rFonts w:ascii="Times New Roman" w:hAnsi="Times New Roman"/>
          <w:sz w:val="28"/>
          <w:szCs w:val="28"/>
          <w:lang w:eastAsia="ru-RU"/>
        </w:rPr>
        <w:t>строительства систем газоснабжения при развитии проектной застройки, для снижения риска при воздействии поражающих факторов техногенных и</w:t>
      </w:r>
      <w:r>
        <w:rPr>
          <w:rFonts w:ascii="Times New Roman" w:hAnsi="Times New Roman"/>
          <w:sz w:val="28"/>
          <w:szCs w:val="28"/>
          <w:lang w:eastAsia="ru-RU"/>
        </w:rPr>
        <w:t> </w:t>
      </w:r>
      <w:r w:rsidRPr="006F130F">
        <w:rPr>
          <w:rFonts w:ascii="Times New Roman" w:hAnsi="Times New Roman"/>
          <w:sz w:val="28"/>
          <w:szCs w:val="28"/>
          <w:lang w:eastAsia="ru-RU"/>
        </w:rPr>
        <w:t xml:space="preserve">военных ЧС, необходимо учитывать положения СП 165.132.5800.2014 </w:t>
      </w:r>
      <w:r w:rsidRPr="006F130F">
        <w:rPr>
          <w:rFonts w:ascii="Times New Roman" w:hAnsi="Times New Roman"/>
          <w:bCs/>
          <w:sz w:val="28"/>
          <w:szCs w:val="28"/>
          <w:lang w:eastAsia="ru-RU"/>
        </w:rPr>
        <w:t>«Инженерно-технические мероприятия по</w:t>
      </w:r>
      <w:r>
        <w:rPr>
          <w:rFonts w:ascii="Times New Roman" w:hAnsi="Times New Roman"/>
          <w:bCs/>
          <w:sz w:val="28"/>
          <w:szCs w:val="28"/>
          <w:lang w:eastAsia="ru-RU"/>
        </w:rPr>
        <w:t> </w:t>
      </w:r>
      <w:r w:rsidRPr="006F130F">
        <w:rPr>
          <w:rFonts w:ascii="Times New Roman" w:hAnsi="Times New Roman"/>
          <w:bCs/>
          <w:sz w:val="28"/>
          <w:szCs w:val="28"/>
          <w:lang w:eastAsia="ru-RU"/>
        </w:rPr>
        <w:t>гражданской обороне. Актуализированная редакция СНиП 2.01.51-90»</w:t>
      </w:r>
      <w:r w:rsidRPr="006F130F">
        <w:rPr>
          <w:rFonts w:ascii="Times New Roman" w:hAnsi="Times New Roman"/>
          <w:sz w:val="28"/>
          <w:szCs w:val="28"/>
          <w:lang w:eastAsia="ru-RU"/>
        </w:rPr>
        <w:t>.</w:t>
      </w:r>
    </w:p>
    <w:p w:rsidR="002D1E45" w:rsidRPr="006F130F" w:rsidRDefault="002D1E45" w:rsidP="006F130F">
      <w:pPr>
        <w:spacing w:after="0" w:line="240" w:lineRule="auto"/>
        <w:ind w:firstLine="709"/>
        <w:jc w:val="both"/>
        <w:rPr>
          <w:rFonts w:ascii="Times New Roman" w:hAnsi="Times New Roman"/>
          <w:sz w:val="28"/>
          <w:szCs w:val="28"/>
          <w:lang w:eastAsia="ru-RU"/>
        </w:rPr>
      </w:pPr>
      <w:r w:rsidRPr="006F130F">
        <w:rPr>
          <w:rFonts w:ascii="Times New Roman" w:hAnsi="Times New Roman"/>
          <w:sz w:val="28"/>
          <w:szCs w:val="28"/>
          <w:lang w:eastAsia="ru-RU"/>
        </w:rPr>
        <w:t>Газоснабжение территории разрабатывается в</w:t>
      </w:r>
      <w:r>
        <w:rPr>
          <w:rFonts w:ascii="Times New Roman" w:hAnsi="Times New Roman"/>
          <w:sz w:val="28"/>
          <w:szCs w:val="28"/>
          <w:lang w:eastAsia="ru-RU"/>
        </w:rPr>
        <w:t> </w:t>
      </w:r>
      <w:r w:rsidRPr="006F130F">
        <w:rPr>
          <w:rFonts w:ascii="Times New Roman" w:hAnsi="Times New Roman"/>
          <w:sz w:val="28"/>
          <w:szCs w:val="28"/>
          <w:lang w:eastAsia="ru-RU"/>
        </w:rPr>
        <w:t>соответствии с</w:t>
      </w:r>
      <w:r>
        <w:rPr>
          <w:rFonts w:ascii="Times New Roman" w:hAnsi="Times New Roman"/>
          <w:sz w:val="28"/>
          <w:szCs w:val="28"/>
          <w:lang w:eastAsia="ru-RU"/>
        </w:rPr>
        <w:t> </w:t>
      </w:r>
      <w:r w:rsidRPr="006F130F">
        <w:rPr>
          <w:rFonts w:ascii="Times New Roman" w:hAnsi="Times New Roman"/>
          <w:sz w:val="28"/>
          <w:szCs w:val="28"/>
          <w:lang w:eastAsia="ru-RU"/>
        </w:rPr>
        <w:t>требованиями СП 62.13330.2011* «Газораспределительные системы. Актуализированная редакция СНиП 42-01-2002»; Федеральных норм и</w:t>
      </w:r>
      <w:r>
        <w:rPr>
          <w:rFonts w:ascii="Times New Roman" w:hAnsi="Times New Roman"/>
          <w:sz w:val="28"/>
          <w:szCs w:val="28"/>
          <w:lang w:eastAsia="ru-RU"/>
        </w:rPr>
        <w:t> </w:t>
      </w:r>
      <w:r w:rsidRPr="006F130F">
        <w:rPr>
          <w:rFonts w:ascii="Times New Roman" w:hAnsi="Times New Roman"/>
          <w:sz w:val="28"/>
          <w:szCs w:val="28"/>
          <w:lang w:eastAsia="ru-RU"/>
        </w:rPr>
        <w:t>правил в</w:t>
      </w:r>
      <w:r>
        <w:rPr>
          <w:rFonts w:ascii="Times New Roman" w:hAnsi="Times New Roman"/>
          <w:sz w:val="28"/>
          <w:szCs w:val="28"/>
          <w:lang w:eastAsia="ru-RU"/>
        </w:rPr>
        <w:t> </w:t>
      </w:r>
      <w:r w:rsidRPr="006F130F">
        <w:rPr>
          <w:rFonts w:ascii="Times New Roman" w:hAnsi="Times New Roman"/>
          <w:sz w:val="28"/>
          <w:szCs w:val="28"/>
          <w:lang w:eastAsia="ru-RU"/>
        </w:rPr>
        <w:t>области промышленной безопасности «Правила безопасности сетей газораспределения и</w:t>
      </w:r>
      <w:r>
        <w:rPr>
          <w:rFonts w:ascii="Times New Roman" w:hAnsi="Times New Roman"/>
          <w:sz w:val="28"/>
          <w:szCs w:val="28"/>
          <w:lang w:eastAsia="ru-RU"/>
        </w:rPr>
        <w:t> </w:t>
      </w:r>
      <w:r w:rsidRPr="006F130F">
        <w:rPr>
          <w:rFonts w:ascii="Times New Roman" w:hAnsi="Times New Roman"/>
          <w:sz w:val="28"/>
          <w:szCs w:val="28"/>
          <w:lang w:eastAsia="ru-RU"/>
        </w:rPr>
        <w:t>газопотребления» (приказ Ростехнадзора от 15.11.2013 № 542) и</w:t>
      </w:r>
      <w:r>
        <w:rPr>
          <w:rFonts w:ascii="Times New Roman" w:hAnsi="Times New Roman"/>
          <w:sz w:val="28"/>
          <w:szCs w:val="28"/>
          <w:lang w:eastAsia="ru-RU"/>
        </w:rPr>
        <w:t> </w:t>
      </w:r>
      <w:r w:rsidRPr="006F130F">
        <w:rPr>
          <w:rFonts w:ascii="Times New Roman" w:hAnsi="Times New Roman"/>
          <w:sz w:val="28"/>
          <w:szCs w:val="28"/>
          <w:lang w:eastAsia="ru-RU"/>
        </w:rPr>
        <w:t>должно учитывать требования Федерального закона от 21.07.97 № 116-ФЗ «О промышленной безопасности опасных производственных объектов».</w:t>
      </w:r>
    </w:p>
    <w:p w:rsidR="002D1E45" w:rsidRPr="006F130F" w:rsidRDefault="002D1E45" w:rsidP="006F130F">
      <w:pPr>
        <w:spacing w:after="0" w:line="240" w:lineRule="auto"/>
        <w:ind w:firstLine="709"/>
        <w:jc w:val="both"/>
        <w:rPr>
          <w:rFonts w:ascii="Times New Roman" w:hAnsi="Times New Roman"/>
          <w:i/>
          <w:sz w:val="28"/>
          <w:szCs w:val="28"/>
          <w:u w:val="single"/>
          <w:lang w:eastAsia="ru-RU"/>
        </w:rPr>
      </w:pPr>
      <w:r w:rsidRPr="006F130F">
        <w:rPr>
          <w:rFonts w:ascii="Times New Roman" w:hAnsi="Times New Roman"/>
          <w:i/>
          <w:sz w:val="28"/>
          <w:szCs w:val="28"/>
          <w:u w:val="single"/>
          <w:lang w:eastAsia="ru-RU"/>
        </w:rPr>
        <w:t>Градостроительные (проектные) ограничения (предложения) при размещении источников теплоснабжения</w:t>
      </w:r>
    </w:p>
    <w:p w:rsidR="002D1E45" w:rsidRPr="006F130F" w:rsidRDefault="002D1E45" w:rsidP="006F130F">
      <w:pPr>
        <w:spacing w:after="0" w:line="240" w:lineRule="auto"/>
        <w:ind w:firstLine="709"/>
        <w:jc w:val="both"/>
        <w:rPr>
          <w:rFonts w:ascii="Times New Roman" w:hAnsi="Times New Roman"/>
          <w:sz w:val="28"/>
          <w:szCs w:val="28"/>
          <w:lang w:eastAsia="ru-RU"/>
        </w:rPr>
      </w:pPr>
      <w:r w:rsidRPr="006F130F">
        <w:rPr>
          <w:rFonts w:ascii="Times New Roman" w:hAnsi="Times New Roman"/>
          <w:sz w:val="28"/>
          <w:szCs w:val="28"/>
          <w:lang w:eastAsia="ru-RU"/>
        </w:rPr>
        <w:t xml:space="preserve">При пересмотре системы теплоснабжения </w:t>
      </w:r>
      <w:r>
        <w:rPr>
          <w:rFonts w:ascii="Times New Roman" w:hAnsi="Times New Roman"/>
          <w:sz w:val="28"/>
          <w:szCs w:val="28"/>
        </w:rPr>
        <w:t>города Куйбышева</w:t>
      </w:r>
      <w:r w:rsidRPr="006F130F">
        <w:rPr>
          <w:rFonts w:ascii="Times New Roman" w:hAnsi="Times New Roman"/>
          <w:sz w:val="28"/>
          <w:szCs w:val="28"/>
          <w:lang w:eastAsia="ru-RU"/>
        </w:rPr>
        <w:t>, требуется руководствоваться положениями пункта 12.27 СП 42.13330.2016 «Градостроительство. Планировка и</w:t>
      </w:r>
      <w:r>
        <w:rPr>
          <w:rFonts w:ascii="Times New Roman" w:hAnsi="Times New Roman"/>
          <w:sz w:val="28"/>
          <w:szCs w:val="28"/>
          <w:lang w:eastAsia="ru-RU"/>
        </w:rPr>
        <w:t> </w:t>
      </w:r>
      <w:r w:rsidRPr="006F130F">
        <w:rPr>
          <w:rFonts w:ascii="Times New Roman" w:hAnsi="Times New Roman"/>
          <w:sz w:val="28"/>
          <w:szCs w:val="28"/>
          <w:lang w:eastAsia="ru-RU"/>
        </w:rPr>
        <w:t>застройка городских и</w:t>
      </w:r>
      <w:r>
        <w:rPr>
          <w:rFonts w:ascii="Times New Roman" w:hAnsi="Times New Roman"/>
          <w:sz w:val="28"/>
          <w:szCs w:val="28"/>
          <w:lang w:eastAsia="ru-RU"/>
        </w:rPr>
        <w:t> </w:t>
      </w:r>
      <w:r w:rsidRPr="006F130F">
        <w:rPr>
          <w:rFonts w:ascii="Times New Roman" w:hAnsi="Times New Roman"/>
          <w:sz w:val="28"/>
          <w:szCs w:val="28"/>
          <w:lang w:eastAsia="ru-RU"/>
        </w:rPr>
        <w:t>сельских поселений. Актуализированная редакция СНиП 2.07.01-89*», а</w:t>
      </w:r>
      <w:r>
        <w:rPr>
          <w:rFonts w:ascii="Times New Roman" w:hAnsi="Times New Roman"/>
          <w:sz w:val="28"/>
          <w:szCs w:val="28"/>
          <w:lang w:eastAsia="ru-RU"/>
        </w:rPr>
        <w:t> </w:t>
      </w:r>
      <w:r w:rsidRPr="006F130F">
        <w:rPr>
          <w:rFonts w:ascii="Times New Roman" w:hAnsi="Times New Roman"/>
          <w:sz w:val="28"/>
          <w:szCs w:val="28"/>
          <w:lang w:eastAsia="ru-RU"/>
        </w:rPr>
        <w:t>также положениями Федерального закона «О теплоснабжении» от 27.07.2010 № 190-ФЗ, в</w:t>
      </w:r>
      <w:r>
        <w:rPr>
          <w:rFonts w:ascii="Times New Roman" w:hAnsi="Times New Roman"/>
          <w:sz w:val="28"/>
          <w:szCs w:val="28"/>
          <w:lang w:eastAsia="ru-RU"/>
        </w:rPr>
        <w:t> </w:t>
      </w:r>
      <w:r w:rsidRPr="006F130F">
        <w:rPr>
          <w:rFonts w:ascii="Times New Roman" w:hAnsi="Times New Roman"/>
          <w:sz w:val="28"/>
          <w:szCs w:val="28"/>
          <w:lang w:eastAsia="ru-RU"/>
        </w:rPr>
        <w:t>том числе – в</w:t>
      </w:r>
      <w:r>
        <w:rPr>
          <w:rFonts w:ascii="Times New Roman" w:hAnsi="Times New Roman"/>
          <w:sz w:val="28"/>
          <w:szCs w:val="28"/>
          <w:lang w:eastAsia="ru-RU"/>
        </w:rPr>
        <w:t> </w:t>
      </w:r>
      <w:r w:rsidRPr="006F130F">
        <w:rPr>
          <w:rFonts w:ascii="Times New Roman" w:hAnsi="Times New Roman"/>
          <w:sz w:val="28"/>
          <w:szCs w:val="28"/>
          <w:lang w:eastAsia="ru-RU"/>
        </w:rPr>
        <w:t>части, касающейся устойчивости функционирования (дублирование основных элементов, резервирование по</w:t>
      </w:r>
      <w:r>
        <w:rPr>
          <w:rFonts w:ascii="Times New Roman" w:hAnsi="Times New Roman"/>
          <w:sz w:val="28"/>
          <w:szCs w:val="28"/>
          <w:lang w:eastAsia="ru-RU"/>
        </w:rPr>
        <w:t> </w:t>
      </w:r>
      <w:r w:rsidRPr="006F130F">
        <w:rPr>
          <w:rFonts w:ascii="Times New Roman" w:hAnsi="Times New Roman"/>
          <w:sz w:val="28"/>
          <w:szCs w:val="28"/>
          <w:lang w:eastAsia="ru-RU"/>
        </w:rPr>
        <w:t>виду топлива на</w:t>
      </w:r>
      <w:r>
        <w:rPr>
          <w:rFonts w:ascii="Times New Roman" w:hAnsi="Times New Roman"/>
          <w:sz w:val="28"/>
          <w:szCs w:val="28"/>
          <w:lang w:eastAsia="ru-RU"/>
        </w:rPr>
        <w:t> </w:t>
      </w:r>
      <w:r w:rsidRPr="006F130F">
        <w:rPr>
          <w:rFonts w:ascii="Times New Roman" w:hAnsi="Times New Roman"/>
          <w:sz w:val="28"/>
          <w:szCs w:val="28"/>
          <w:lang w:eastAsia="ru-RU"/>
        </w:rPr>
        <w:t>теплоисточниках).</w:t>
      </w:r>
    </w:p>
    <w:p w:rsidR="002D1E45" w:rsidRPr="006F130F" w:rsidRDefault="002D1E45" w:rsidP="006F130F">
      <w:pPr>
        <w:spacing w:after="0" w:line="240" w:lineRule="auto"/>
        <w:ind w:firstLine="709"/>
        <w:jc w:val="both"/>
        <w:rPr>
          <w:rFonts w:ascii="Times New Roman" w:hAnsi="Times New Roman"/>
          <w:i/>
          <w:sz w:val="28"/>
          <w:szCs w:val="28"/>
          <w:u w:val="single"/>
          <w:lang w:eastAsia="ru-RU"/>
        </w:rPr>
      </w:pPr>
      <w:r w:rsidRPr="006F130F">
        <w:rPr>
          <w:rFonts w:ascii="Times New Roman" w:hAnsi="Times New Roman"/>
          <w:i/>
          <w:sz w:val="28"/>
          <w:szCs w:val="28"/>
          <w:u w:val="single"/>
          <w:lang w:eastAsia="ru-RU"/>
        </w:rPr>
        <w:t>Организация локального оповещения о</w:t>
      </w:r>
      <w:r>
        <w:rPr>
          <w:rFonts w:ascii="Times New Roman" w:hAnsi="Times New Roman"/>
          <w:i/>
          <w:sz w:val="28"/>
          <w:szCs w:val="28"/>
          <w:u w:val="single"/>
          <w:lang w:eastAsia="ru-RU"/>
        </w:rPr>
        <w:t> </w:t>
      </w:r>
      <w:r w:rsidRPr="006F130F">
        <w:rPr>
          <w:rFonts w:ascii="Times New Roman" w:hAnsi="Times New Roman"/>
          <w:i/>
          <w:sz w:val="28"/>
          <w:szCs w:val="28"/>
          <w:u w:val="single"/>
          <w:lang w:eastAsia="ru-RU"/>
        </w:rPr>
        <w:t>ЧС.</w:t>
      </w:r>
    </w:p>
    <w:p w:rsidR="002D1E45" w:rsidRPr="006F130F" w:rsidRDefault="002D1E45" w:rsidP="006F130F">
      <w:pPr>
        <w:spacing w:after="0" w:line="240" w:lineRule="auto"/>
        <w:ind w:firstLine="709"/>
        <w:jc w:val="both"/>
        <w:rPr>
          <w:rFonts w:ascii="Times New Roman" w:hAnsi="Times New Roman"/>
          <w:sz w:val="28"/>
          <w:szCs w:val="28"/>
          <w:lang w:eastAsia="ru-RU"/>
        </w:rPr>
      </w:pPr>
      <w:r w:rsidRPr="006F130F">
        <w:rPr>
          <w:rFonts w:ascii="Times New Roman" w:hAnsi="Times New Roman"/>
          <w:sz w:val="28"/>
          <w:szCs w:val="28"/>
          <w:lang w:eastAsia="ru-RU"/>
        </w:rPr>
        <w:t>Основным способом оповещения людей в</w:t>
      </w:r>
      <w:r>
        <w:rPr>
          <w:rFonts w:ascii="Times New Roman" w:hAnsi="Times New Roman"/>
          <w:sz w:val="28"/>
          <w:szCs w:val="28"/>
          <w:lang w:eastAsia="ru-RU"/>
        </w:rPr>
        <w:t> </w:t>
      </w:r>
      <w:r w:rsidRPr="006F130F">
        <w:rPr>
          <w:rFonts w:ascii="Times New Roman" w:hAnsi="Times New Roman"/>
          <w:sz w:val="28"/>
          <w:szCs w:val="28"/>
          <w:lang w:eastAsia="ru-RU"/>
        </w:rPr>
        <w:t>чрезвычайных ситуациях считается подача речевой информации с</w:t>
      </w:r>
      <w:r>
        <w:rPr>
          <w:rFonts w:ascii="Times New Roman" w:hAnsi="Times New Roman"/>
          <w:sz w:val="28"/>
          <w:szCs w:val="28"/>
          <w:lang w:eastAsia="ru-RU"/>
        </w:rPr>
        <w:t> </w:t>
      </w:r>
      <w:r w:rsidRPr="006F130F">
        <w:rPr>
          <w:rFonts w:ascii="Times New Roman" w:hAnsi="Times New Roman"/>
          <w:sz w:val="28"/>
          <w:szCs w:val="28"/>
          <w:lang w:eastAsia="ru-RU"/>
        </w:rPr>
        <w:t>использованием сетей радио- и</w:t>
      </w:r>
      <w:r>
        <w:rPr>
          <w:rFonts w:ascii="Times New Roman" w:hAnsi="Times New Roman"/>
          <w:sz w:val="28"/>
          <w:szCs w:val="28"/>
          <w:lang w:eastAsia="ru-RU"/>
        </w:rPr>
        <w:t> </w:t>
      </w:r>
      <w:r w:rsidRPr="006F130F">
        <w:rPr>
          <w:rFonts w:ascii="Times New Roman" w:hAnsi="Times New Roman"/>
          <w:sz w:val="28"/>
          <w:szCs w:val="28"/>
          <w:lang w:eastAsia="ru-RU"/>
        </w:rPr>
        <w:t>телевещания, систем мобильной связи. Перед подачей речевой информации включаются сирены, что означает подачу предупредительного сигнала «Внимание, всем!», по</w:t>
      </w:r>
      <w:r>
        <w:rPr>
          <w:rFonts w:ascii="Times New Roman" w:hAnsi="Times New Roman"/>
          <w:sz w:val="28"/>
          <w:szCs w:val="28"/>
          <w:lang w:eastAsia="ru-RU"/>
        </w:rPr>
        <w:t> </w:t>
      </w:r>
      <w:r w:rsidRPr="006F130F">
        <w:rPr>
          <w:rFonts w:ascii="Times New Roman" w:hAnsi="Times New Roman"/>
          <w:sz w:val="28"/>
          <w:szCs w:val="28"/>
          <w:lang w:eastAsia="ru-RU"/>
        </w:rPr>
        <w:t>которому необходимо включить телеканалы, радиоретрансляционную сеть, прослушать порядок действий по</w:t>
      </w:r>
      <w:r>
        <w:rPr>
          <w:rFonts w:ascii="Times New Roman" w:hAnsi="Times New Roman"/>
          <w:sz w:val="28"/>
          <w:szCs w:val="28"/>
          <w:lang w:eastAsia="ru-RU"/>
        </w:rPr>
        <w:t> </w:t>
      </w:r>
      <w:r w:rsidRPr="006F130F">
        <w:rPr>
          <w:rFonts w:ascii="Times New Roman" w:hAnsi="Times New Roman"/>
          <w:sz w:val="28"/>
          <w:szCs w:val="28"/>
          <w:lang w:eastAsia="ru-RU"/>
        </w:rPr>
        <w:t>сигналам КСЭОН и</w:t>
      </w:r>
      <w:r>
        <w:rPr>
          <w:rFonts w:ascii="Times New Roman" w:hAnsi="Times New Roman"/>
          <w:sz w:val="28"/>
          <w:szCs w:val="28"/>
          <w:lang w:eastAsia="ru-RU"/>
        </w:rPr>
        <w:t> </w:t>
      </w:r>
      <w:r w:rsidRPr="006F130F">
        <w:rPr>
          <w:rFonts w:ascii="Times New Roman" w:hAnsi="Times New Roman"/>
          <w:sz w:val="28"/>
          <w:szCs w:val="28"/>
          <w:lang w:eastAsia="ru-RU"/>
        </w:rPr>
        <w:t>действовать строго в</w:t>
      </w:r>
      <w:r>
        <w:rPr>
          <w:rFonts w:ascii="Times New Roman" w:hAnsi="Times New Roman"/>
          <w:sz w:val="28"/>
          <w:szCs w:val="28"/>
          <w:lang w:eastAsia="ru-RU"/>
        </w:rPr>
        <w:t> </w:t>
      </w:r>
      <w:r w:rsidRPr="006F130F">
        <w:rPr>
          <w:rFonts w:ascii="Times New Roman" w:hAnsi="Times New Roman"/>
          <w:sz w:val="28"/>
          <w:szCs w:val="28"/>
          <w:lang w:eastAsia="ru-RU"/>
        </w:rPr>
        <w:t>соответствии с</w:t>
      </w:r>
      <w:r>
        <w:rPr>
          <w:rFonts w:ascii="Times New Roman" w:hAnsi="Times New Roman"/>
          <w:sz w:val="28"/>
          <w:szCs w:val="28"/>
          <w:lang w:eastAsia="ru-RU"/>
        </w:rPr>
        <w:t> </w:t>
      </w:r>
      <w:r w:rsidRPr="006F130F">
        <w:rPr>
          <w:rFonts w:ascii="Times New Roman" w:hAnsi="Times New Roman"/>
          <w:sz w:val="28"/>
          <w:szCs w:val="28"/>
          <w:lang w:eastAsia="ru-RU"/>
        </w:rPr>
        <w:t>указаниями.</w:t>
      </w:r>
    </w:p>
    <w:p w:rsidR="002D1E45" w:rsidRPr="006F130F" w:rsidRDefault="002D1E45" w:rsidP="006F130F">
      <w:pPr>
        <w:spacing w:after="0" w:line="240" w:lineRule="auto"/>
        <w:ind w:firstLine="709"/>
        <w:jc w:val="both"/>
        <w:rPr>
          <w:rFonts w:ascii="Times New Roman" w:hAnsi="Times New Roman"/>
          <w:sz w:val="28"/>
          <w:szCs w:val="28"/>
          <w:lang w:eastAsia="ru-RU"/>
        </w:rPr>
      </w:pPr>
      <w:r w:rsidRPr="006F130F">
        <w:rPr>
          <w:rFonts w:ascii="Times New Roman" w:hAnsi="Times New Roman"/>
          <w:sz w:val="28"/>
          <w:szCs w:val="28"/>
          <w:lang w:eastAsia="ru-RU"/>
        </w:rPr>
        <w:t>Для организации локального оповещения населения и</w:t>
      </w:r>
      <w:r>
        <w:rPr>
          <w:rFonts w:ascii="Times New Roman" w:hAnsi="Times New Roman"/>
          <w:sz w:val="28"/>
          <w:szCs w:val="28"/>
          <w:lang w:eastAsia="ru-RU"/>
        </w:rPr>
        <w:t> </w:t>
      </w:r>
      <w:r w:rsidRPr="006F130F">
        <w:rPr>
          <w:rFonts w:ascii="Times New Roman" w:hAnsi="Times New Roman"/>
          <w:sz w:val="28"/>
          <w:szCs w:val="28"/>
          <w:lang w:eastAsia="ru-RU"/>
        </w:rPr>
        <w:t>служащих проектируемой территории на</w:t>
      </w:r>
      <w:r>
        <w:rPr>
          <w:rFonts w:ascii="Times New Roman" w:hAnsi="Times New Roman"/>
          <w:sz w:val="28"/>
          <w:szCs w:val="28"/>
          <w:lang w:eastAsia="ru-RU"/>
        </w:rPr>
        <w:t> </w:t>
      </w:r>
      <w:r w:rsidRPr="006F130F">
        <w:rPr>
          <w:rFonts w:ascii="Times New Roman" w:hAnsi="Times New Roman"/>
          <w:sz w:val="28"/>
          <w:szCs w:val="28"/>
          <w:lang w:eastAsia="ru-RU"/>
        </w:rPr>
        <w:t>крышах домов используются электросирены типа С-40 с</w:t>
      </w:r>
      <w:r>
        <w:rPr>
          <w:rFonts w:ascii="Times New Roman" w:hAnsi="Times New Roman"/>
          <w:sz w:val="28"/>
          <w:szCs w:val="28"/>
          <w:lang w:eastAsia="ru-RU"/>
        </w:rPr>
        <w:t> </w:t>
      </w:r>
      <w:r w:rsidRPr="006F130F">
        <w:rPr>
          <w:rFonts w:ascii="Times New Roman" w:hAnsi="Times New Roman"/>
          <w:sz w:val="28"/>
          <w:szCs w:val="28"/>
          <w:lang w:eastAsia="ru-RU"/>
        </w:rPr>
        <w:t>радиусом охвата территории 400 м, также для оповещения населения и</w:t>
      </w:r>
      <w:r>
        <w:rPr>
          <w:rFonts w:ascii="Times New Roman" w:hAnsi="Times New Roman"/>
          <w:sz w:val="28"/>
          <w:szCs w:val="28"/>
          <w:lang w:eastAsia="ru-RU"/>
        </w:rPr>
        <w:t> </w:t>
      </w:r>
      <w:r w:rsidRPr="006F130F">
        <w:rPr>
          <w:rFonts w:ascii="Times New Roman" w:hAnsi="Times New Roman"/>
          <w:sz w:val="28"/>
          <w:szCs w:val="28"/>
          <w:lang w:eastAsia="ru-RU"/>
        </w:rPr>
        <w:t>служащих проектируемой территории на</w:t>
      </w:r>
      <w:r>
        <w:rPr>
          <w:rFonts w:ascii="Times New Roman" w:hAnsi="Times New Roman"/>
          <w:sz w:val="28"/>
          <w:szCs w:val="28"/>
          <w:lang w:eastAsia="ru-RU"/>
        </w:rPr>
        <w:t> </w:t>
      </w:r>
      <w:r w:rsidRPr="006F130F">
        <w:rPr>
          <w:rFonts w:ascii="Times New Roman" w:hAnsi="Times New Roman"/>
          <w:sz w:val="28"/>
          <w:szCs w:val="28"/>
          <w:lang w:eastAsia="ru-RU"/>
        </w:rPr>
        <w:t>крышах домов устанавливаются громкоговорители с</w:t>
      </w:r>
      <w:r>
        <w:rPr>
          <w:rFonts w:ascii="Times New Roman" w:hAnsi="Times New Roman"/>
          <w:sz w:val="28"/>
          <w:szCs w:val="28"/>
          <w:lang w:eastAsia="ru-RU"/>
        </w:rPr>
        <w:t> </w:t>
      </w:r>
      <w:r w:rsidRPr="006F130F">
        <w:rPr>
          <w:rFonts w:ascii="Times New Roman" w:hAnsi="Times New Roman"/>
          <w:sz w:val="28"/>
          <w:szCs w:val="28"/>
          <w:lang w:eastAsia="ru-RU"/>
        </w:rPr>
        <w:t>радиусом охвата территории 300 м.</w:t>
      </w:r>
    </w:p>
    <w:p w:rsidR="002D1E45" w:rsidRDefault="002D1E45" w:rsidP="00BA0219">
      <w:pPr>
        <w:spacing w:after="0" w:line="240" w:lineRule="auto"/>
        <w:ind w:firstLine="709"/>
        <w:jc w:val="both"/>
        <w:rPr>
          <w:rFonts w:ascii="Times New Roman" w:hAnsi="Times New Roman"/>
          <w:sz w:val="28"/>
          <w:szCs w:val="28"/>
          <w:lang w:eastAsia="ru-RU"/>
        </w:rPr>
      </w:pPr>
      <w:r w:rsidRPr="00BA0219">
        <w:rPr>
          <w:rFonts w:ascii="Times New Roman" w:hAnsi="Times New Roman"/>
          <w:sz w:val="28"/>
          <w:szCs w:val="28"/>
          <w:lang w:eastAsia="ru-RU"/>
        </w:rPr>
        <w:t>На территории города Куйбышева действует местная система оповещения (далее</w:t>
      </w:r>
      <w:r>
        <w:rPr>
          <w:rFonts w:ascii="Times New Roman" w:hAnsi="Times New Roman"/>
          <w:sz w:val="28"/>
          <w:szCs w:val="28"/>
          <w:lang w:eastAsia="ru-RU"/>
        </w:rPr>
        <w:t xml:space="preserve"> –</w:t>
      </w:r>
      <w:r w:rsidRPr="00BA0219">
        <w:rPr>
          <w:rFonts w:ascii="Times New Roman" w:hAnsi="Times New Roman"/>
          <w:sz w:val="28"/>
          <w:szCs w:val="28"/>
          <w:lang w:eastAsia="ru-RU"/>
        </w:rPr>
        <w:t xml:space="preserve"> МСО) Куйбышевского района Новосибирской области. Администрация Куйбышевского</w:t>
      </w:r>
      <w:r>
        <w:rPr>
          <w:rFonts w:ascii="Times New Roman" w:hAnsi="Times New Roman"/>
          <w:sz w:val="28"/>
          <w:szCs w:val="28"/>
          <w:lang w:eastAsia="ru-RU"/>
        </w:rPr>
        <w:t xml:space="preserve"> </w:t>
      </w:r>
      <w:r w:rsidRPr="00BA0219">
        <w:rPr>
          <w:rFonts w:ascii="Times New Roman" w:hAnsi="Times New Roman"/>
          <w:sz w:val="28"/>
          <w:szCs w:val="28"/>
          <w:lang w:eastAsia="ru-RU"/>
        </w:rPr>
        <w:t>района Новосибирской области самостоятельно в пределах границ Куйбышевского</w:t>
      </w:r>
      <w:r>
        <w:rPr>
          <w:rFonts w:ascii="Times New Roman" w:hAnsi="Times New Roman"/>
          <w:sz w:val="28"/>
          <w:szCs w:val="28"/>
          <w:lang w:eastAsia="ru-RU"/>
        </w:rPr>
        <w:t xml:space="preserve"> </w:t>
      </w:r>
      <w:r w:rsidRPr="00BA0219">
        <w:rPr>
          <w:rFonts w:ascii="Times New Roman" w:hAnsi="Times New Roman"/>
          <w:sz w:val="28"/>
          <w:szCs w:val="28"/>
          <w:lang w:eastAsia="ru-RU"/>
        </w:rPr>
        <w:t>района Новосибирской области создаёт и поддерживает в состоянии постоянной готовности</w:t>
      </w:r>
      <w:r>
        <w:rPr>
          <w:rFonts w:ascii="Times New Roman" w:hAnsi="Times New Roman"/>
          <w:sz w:val="28"/>
          <w:szCs w:val="28"/>
          <w:lang w:eastAsia="ru-RU"/>
        </w:rPr>
        <w:t xml:space="preserve"> </w:t>
      </w:r>
      <w:r w:rsidRPr="00BA0219">
        <w:rPr>
          <w:rFonts w:ascii="Times New Roman" w:hAnsi="Times New Roman"/>
          <w:sz w:val="28"/>
          <w:szCs w:val="28"/>
          <w:lang w:eastAsia="ru-RU"/>
        </w:rPr>
        <w:t>к использованию МСО.</w:t>
      </w:r>
    </w:p>
    <w:p w:rsidR="002D1E45" w:rsidRDefault="002D1E45" w:rsidP="00BA0219">
      <w:pPr>
        <w:spacing w:after="0" w:line="240" w:lineRule="auto"/>
        <w:ind w:firstLine="709"/>
        <w:jc w:val="both"/>
        <w:rPr>
          <w:rFonts w:ascii="Times New Roman" w:hAnsi="Times New Roman"/>
          <w:sz w:val="28"/>
          <w:szCs w:val="28"/>
          <w:lang w:eastAsia="ru-RU"/>
        </w:rPr>
      </w:pPr>
      <w:r w:rsidRPr="00BA0219">
        <w:rPr>
          <w:rFonts w:ascii="Times New Roman" w:hAnsi="Times New Roman"/>
          <w:sz w:val="28"/>
          <w:szCs w:val="28"/>
          <w:lang w:eastAsia="ru-RU"/>
        </w:rPr>
        <w:t>Организации города Куйбышева Куйбышевского района Новосибирской области,</w:t>
      </w:r>
      <w:r>
        <w:rPr>
          <w:rFonts w:ascii="Times New Roman" w:hAnsi="Times New Roman"/>
          <w:sz w:val="28"/>
          <w:szCs w:val="28"/>
          <w:lang w:eastAsia="ru-RU"/>
        </w:rPr>
        <w:t xml:space="preserve"> </w:t>
      </w:r>
      <w:r w:rsidRPr="00BA0219">
        <w:rPr>
          <w:rFonts w:ascii="Times New Roman" w:hAnsi="Times New Roman"/>
          <w:sz w:val="28"/>
          <w:szCs w:val="28"/>
          <w:lang w:eastAsia="ru-RU"/>
        </w:rPr>
        <w:t>эксплуатирующие потенциально опасные объекты, создают и поддерживают в состоянии</w:t>
      </w:r>
      <w:r>
        <w:rPr>
          <w:rFonts w:ascii="Times New Roman" w:hAnsi="Times New Roman"/>
          <w:sz w:val="28"/>
          <w:szCs w:val="28"/>
          <w:lang w:eastAsia="ru-RU"/>
        </w:rPr>
        <w:t xml:space="preserve"> </w:t>
      </w:r>
      <w:r w:rsidRPr="00BA0219">
        <w:rPr>
          <w:rFonts w:ascii="Times New Roman" w:hAnsi="Times New Roman"/>
          <w:sz w:val="28"/>
          <w:szCs w:val="28"/>
          <w:lang w:eastAsia="ru-RU"/>
        </w:rPr>
        <w:t xml:space="preserve">готовности локальные системы оповещения (далее </w:t>
      </w:r>
      <w:r>
        <w:rPr>
          <w:rFonts w:ascii="Times New Roman" w:hAnsi="Times New Roman"/>
          <w:sz w:val="28"/>
          <w:szCs w:val="28"/>
          <w:lang w:eastAsia="ru-RU"/>
        </w:rPr>
        <w:t>–</w:t>
      </w:r>
      <w:r w:rsidRPr="00BA0219">
        <w:rPr>
          <w:rFonts w:ascii="Times New Roman" w:hAnsi="Times New Roman"/>
          <w:sz w:val="28"/>
          <w:szCs w:val="28"/>
          <w:lang w:eastAsia="ru-RU"/>
        </w:rPr>
        <w:t xml:space="preserve"> ЛСО), которые должны технически</w:t>
      </w:r>
      <w:r>
        <w:rPr>
          <w:rFonts w:ascii="Times New Roman" w:hAnsi="Times New Roman"/>
          <w:sz w:val="28"/>
          <w:szCs w:val="28"/>
          <w:lang w:eastAsia="ru-RU"/>
        </w:rPr>
        <w:t xml:space="preserve"> </w:t>
      </w:r>
      <w:r w:rsidRPr="00BA0219">
        <w:rPr>
          <w:rFonts w:ascii="Times New Roman" w:hAnsi="Times New Roman"/>
          <w:sz w:val="28"/>
          <w:szCs w:val="28"/>
          <w:lang w:eastAsia="ru-RU"/>
        </w:rPr>
        <w:t>и программно сопрягаться с МСО.</w:t>
      </w:r>
    </w:p>
    <w:p w:rsidR="002D1E45" w:rsidRPr="006F130F" w:rsidRDefault="002D1E45" w:rsidP="00EC0D7E">
      <w:pPr>
        <w:spacing w:after="0" w:line="240" w:lineRule="auto"/>
        <w:ind w:firstLine="709"/>
        <w:jc w:val="both"/>
        <w:rPr>
          <w:rFonts w:ascii="Times New Roman" w:hAnsi="Times New Roman"/>
          <w:sz w:val="28"/>
          <w:szCs w:val="28"/>
          <w:lang w:eastAsia="ru-RU"/>
        </w:rPr>
      </w:pPr>
      <w:r w:rsidRPr="006F130F">
        <w:rPr>
          <w:rFonts w:ascii="Times New Roman" w:hAnsi="Times New Roman"/>
          <w:sz w:val="28"/>
          <w:szCs w:val="28"/>
          <w:lang w:eastAsia="ru-RU"/>
        </w:rPr>
        <w:t>Основной задачей местных систем оповещения ГО</w:t>
      </w:r>
      <w:r>
        <w:rPr>
          <w:rFonts w:ascii="Times New Roman" w:hAnsi="Times New Roman"/>
          <w:sz w:val="28"/>
          <w:szCs w:val="28"/>
          <w:lang w:eastAsia="ru-RU"/>
        </w:rPr>
        <w:t> </w:t>
      </w:r>
      <w:r w:rsidRPr="006F130F">
        <w:rPr>
          <w:rFonts w:ascii="Times New Roman" w:hAnsi="Times New Roman"/>
          <w:sz w:val="28"/>
          <w:szCs w:val="28"/>
          <w:lang w:eastAsia="ru-RU"/>
        </w:rPr>
        <w:t>является обеспечение доведения сигналов (распоряжений) и</w:t>
      </w:r>
      <w:r>
        <w:rPr>
          <w:rFonts w:ascii="Times New Roman" w:hAnsi="Times New Roman"/>
          <w:sz w:val="28"/>
          <w:szCs w:val="28"/>
          <w:lang w:eastAsia="ru-RU"/>
        </w:rPr>
        <w:t> </w:t>
      </w:r>
      <w:r w:rsidRPr="006F130F">
        <w:rPr>
          <w:rFonts w:ascii="Times New Roman" w:hAnsi="Times New Roman"/>
          <w:sz w:val="28"/>
          <w:szCs w:val="28"/>
          <w:lang w:eastAsia="ru-RU"/>
        </w:rPr>
        <w:t>информации оповещения от</w:t>
      </w:r>
      <w:r>
        <w:rPr>
          <w:rFonts w:ascii="Times New Roman" w:hAnsi="Times New Roman"/>
          <w:sz w:val="28"/>
          <w:szCs w:val="28"/>
          <w:lang w:eastAsia="ru-RU"/>
        </w:rPr>
        <w:t> </w:t>
      </w:r>
      <w:r w:rsidRPr="006F130F">
        <w:rPr>
          <w:rFonts w:ascii="Times New Roman" w:hAnsi="Times New Roman"/>
          <w:sz w:val="28"/>
          <w:szCs w:val="28"/>
          <w:lang w:eastAsia="ru-RU"/>
        </w:rPr>
        <w:t>органов, осуществляющих управление гражданской обороной на</w:t>
      </w:r>
      <w:r>
        <w:rPr>
          <w:rFonts w:ascii="Times New Roman" w:hAnsi="Times New Roman"/>
          <w:sz w:val="28"/>
          <w:szCs w:val="28"/>
          <w:lang w:eastAsia="ru-RU"/>
        </w:rPr>
        <w:t> </w:t>
      </w:r>
      <w:r w:rsidRPr="006F130F">
        <w:rPr>
          <w:rFonts w:ascii="Times New Roman" w:hAnsi="Times New Roman"/>
          <w:sz w:val="28"/>
          <w:szCs w:val="28"/>
          <w:lang w:eastAsia="ru-RU"/>
        </w:rPr>
        <w:t xml:space="preserve">территории </w:t>
      </w:r>
      <w:r>
        <w:rPr>
          <w:rFonts w:ascii="Times New Roman" w:hAnsi="Times New Roman"/>
          <w:sz w:val="28"/>
          <w:szCs w:val="24"/>
          <w:lang w:eastAsia="ru-RU"/>
        </w:rPr>
        <w:t>Куйбышевского</w:t>
      </w:r>
      <w:r w:rsidRPr="006F130F">
        <w:rPr>
          <w:rFonts w:ascii="Times New Roman" w:hAnsi="Times New Roman"/>
          <w:sz w:val="28"/>
          <w:szCs w:val="24"/>
          <w:lang w:eastAsia="ru-RU"/>
        </w:rPr>
        <w:t xml:space="preserve"> района</w:t>
      </w:r>
      <w:r w:rsidRPr="006F130F">
        <w:rPr>
          <w:rFonts w:ascii="Times New Roman" w:hAnsi="Times New Roman"/>
          <w:color w:val="000000"/>
          <w:sz w:val="28"/>
          <w:szCs w:val="28"/>
        </w:rPr>
        <w:t xml:space="preserve"> </w:t>
      </w:r>
      <w:r w:rsidRPr="006F130F">
        <w:rPr>
          <w:rFonts w:ascii="Times New Roman" w:hAnsi="Times New Roman"/>
          <w:sz w:val="28"/>
          <w:szCs w:val="28"/>
          <w:lang w:eastAsia="ru-RU"/>
        </w:rPr>
        <w:t>до:</w:t>
      </w:r>
    </w:p>
    <w:p w:rsidR="002D1E45" w:rsidRPr="006F130F" w:rsidRDefault="002D1E45" w:rsidP="006F130F">
      <w:pPr>
        <w:numPr>
          <w:ilvl w:val="0"/>
          <w:numId w:val="24"/>
        </w:numPr>
        <w:spacing w:after="0" w:line="240" w:lineRule="auto"/>
        <w:jc w:val="both"/>
        <w:rPr>
          <w:rFonts w:ascii="Times New Roman" w:hAnsi="Times New Roman"/>
          <w:sz w:val="28"/>
          <w:szCs w:val="28"/>
        </w:rPr>
      </w:pPr>
      <w:r w:rsidRPr="006F130F">
        <w:rPr>
          <w:rFonts w:ascii="Times New Roman" w:hAnsi="Times New Roman"/>
          <w:sz w:val="28"/>
          <w:szCs w:val="28"/>
        </w:rPr>
        <w:t>оперативных дежурных служб (диспетчеров) потенциально опасных объектов и</w:t>
      </w:r>
      <w:r>
        <w:rPr>
          <w:rFonts w:ascii="Times New Roman" w:hAnsi="Times New Roman"/>
          <w:sz w:val="28"/>
          <w:szCs w:val="28"/>
        </w:rPr>
        <w:t> </w:t>
      </w:r>
      <w:r w:rsidRPr="006F130F">
        <w:rPr>
          <w:rFonts w:ascii="Times New Roman" w:hAnsi="Times New Roman"/>
          <w:sz w:val="28"/>
          <w:szCs w:val="28"/>
        </w:rPr>
        <w:t>других объектов экономики, имеющих важное оборонное и</w:t>
      </w:r>
      <w:r>
        <w:rPr>
          <w:rFonts w:ascii="Times New Roman" w:hAnsi="Times New Roman"/>
          <w:sz w:val="28"/>
          <w:szCs w:val="28"/>
        </w:rPr>
        <w:t> </w:t>
      </w:r>
      <w:r w:rsidRPr="006F130F">
        <w:rPr>
          <w:rFonts w:ascii="Times New Roman" w:hAnsi="Times New Roman"/>
          <w:sz w:val="28"/>
          <w:szCs w:val="28"/>
        </w:rPr>
        <w:t>экономическое значение или представляющих высокую степень опасности возникновения чрезвычайных ситуаций в</w:t>
      </w:r>
      <w:r>
        <w:rPr>
          <w:rFonts w:ascii="Times New Roman" w:hAnsi="Times New Roman"/>
          <w:sz w:val="28"/>
          <w:szCs w:val="28"/>
        </w:rPr>
        <w:t> </w:t>
      </w:r>
      <w:r w:rsidRPr="006F130F">
        <w:rPr>
          <w:rFonts w:ascii="Times New Roman" w:hAnsi="Times New Roman"/>
          <w:sz w:val="28"/>
          <w:szCs w:val="28"/>
        </w:rPr>
        <w:t>военное и</w:t>
      </w:r>
      <w:r>
        <w:rPr>
          <w:rFonts w:ascii="Times New Roman" w:hAnsi="Times New Roman"/>
          <w:sz w:val="28"/>
          <w:szCs w:val="28"/>
        </w:rPr>
        <w:t> </w:t>
      </w:r>
      <w:r w:rsidRPr="006F130F">
        <w:rPr>
          <w:rFonts w:ascii="Times New Roman" w:hAnsi="Times New Roman"/>
          <w:sz w:val="28"/>
          <w:szCs w:val="28"/>
        </w:rPr>
        <w:t>мирное время;</w:t>
      </w:r>
    </w:p>
    <w:p w:rsidR="002D1E45" w:rsidRPr="006F130F" w:rsidRDefault="002D1E45" w:rsidP="006F130F">
      <w:pPr>
        <w:numPr>
          <w:ilvl w:val="0"/>
          <w:numId w:val="24"/>
        </w:numPr>
        <w:spacing w:after="0" w:line="240" w:lineRule="auto"/>
        <w:jc w:val="both"/>
        <w:rPr>
          <w:rFonts w:ascii="Times New Roman" w:hAnsi="Times New Roman"/>
          <w:sz w:val="28"/>
          <w:szCs w:val="28"/>
        </w:rPr>
      </w:pPr>
      <w:r w:rsidRPr="006F130F">
        <w:rPr>
          <w:rFonts w:ascii="Times New Roman" w:hAnsi="Times New Roman"/>
          <w:sz w:val="28"/>
          <w:szCs w:val="28"/>
        </w:rPr>
        <w:t>руководящего состава гражданской обороны;</w:t>
      </w:r>
    </w:p>
    <w:p w:rsidR="002D1E45" w:rsidRPr="006F130F" w:rsidRDefault="002D1E45" w:rsidP="006F130F">
      <w:pPr>
        <w:numPr>
          <w:ilvl w:val="0"/>
          <w:numId w:val="24"/>
        </w:numPr>
        <w:spacing w:after="0" w:line="240" w:lineRule="auto"/>
        <w:jc w:val="both"/>
        <w:rPr>
          <w:rFonts w:ascii="Times New Roman" w:hAnsi="Times New Roman"/>
          <w:sz w:val="28"/>
          <w:szCs w:val="28"/>
        </w:rPr>
      </w:pPr>
      <w:r w:rsidRPr="006F130F">
        <w:rPr>
          <w:rFonts w:ascii="Times New Roman" w:hAnsi="Times New Roman"/>
          <w:sz w:val="28"/>
          <w:szCs w:val="28"/>
        </w:rPr>
        <w:t>населения, проживающего на</w:t>
      </w:r>
      <w:r>
        <w:rPr>
          <w:rFonts w:ascii="Times New Roman" w:hAnsi="Times New Roman"/>
          <w:sz w:val="28"/>
          <w:szCs w:val="28"/>
        </w:rPr>
        <w:t> </w:t>
      </w:r>
      <w:r w:rsidRPr="006F130F">
        <w:rPr>
          <w:rFonts w:ascii="Times New Roman" w:hAnsi="Times New Roman"/>
          <w:sz w:val="28"/>
          <w:szCs w:val="28"/>
        </w:rPr>
        <w:t xml:space="preserve">территории населённого пункта. </w:t>
      </w:r>
    </w:p>
    <w:p w:rsidR="002D1E45" w:rsidRPr="006F130F" w:rsidRDefault="002D1E45" w:rsidP="006F130F">
      <w:pPr>
        <w:spacing w:after="0" w:line="240" w:lineRule="auto"/>
        <w:ind w:firstLine="709"/>
        <w:jc w:val="both"/>
        <w:rPr>
          <w:rFonts w:ascii="Times New Roman" w:hAnsi="Times New Roman"/>
          <w:sz w:val="28"/>
          <w:szCs w:val="28"/>
          <w:lang w:eastAsia="ru-RU"/>
        </w:rPr>
      </w:pPr>
      <w:r w:rsidRPr="006F130F">
        <w:rPr>
          <w:rFonts w:ascii="Times New Roman" w:hAnsi="Times New Roman"/>
          <w:sz w:val="28"/>
          <w:szCs w:val="28"/>
          <w:lang w:eastAsia="ru-RU"/>
        </w:rPr>
        <w:t>Сигналы (распоряжения) и</w:t>
      </w:r>
      <w:r>
        <w:rPr>
          <w:rFonts w:ascii="Times New Roman" w:hAnsi="Times New Roman"/>
          <w:sz w:val="28"/>
          <w:szCs w:val="28"/>
          <w:lang w:eastAsia="ru-RU"/>
        </w:rPr>
        <w:t> </w:t>
      </w:r>
      <w:r w:rsidRPr="006F130F">
        <w:rPr>
          <w:rFonts w:ascii="Times New Roman" w:hAnsi="Times New Roman"/>
          <w:sz w:val="28"/>
          <w:szCs w:val="28"/>
          <w:lang w:eastAsia="ru-RU"/>
        </w:rPr>
        <w:t>информация оповещения передаются оперативными дежурными службами, осуществляющих управление гражданской обороной, вне всякой очереди с</w:t>
      </w:r>
      <w:r>
        <w:rPr>
          <w:rFonts w:ascii="Times New Roman" w:hAnsi="Times New Roman"/>
          <w:sz w:val="28"/>
          <w:szCs w:val="28"/>
          <w:lang w:eastAsia="ru-RU"/>
        </w:rPr>
        <w:t> </w:t>
      </w:r>
      <w:r w:rsidRPr="006F130F">
        <w:rPr>
          <w:rFonts w:ascii="Times New Roman" w:hAnsi="Times New Roman"/>
          <w:sz w:val="28"/>
          <w:szCs w:val="28"/>
          <w:lang w:eastAsia="ru-RU"/>
        </w:rPr>
        <w:t>использованием всех имеющихся в</w:t>
      </w:r>
      <w:r>
        <w:rPr>
          <w:rFonts w:ascii="Times New Roman" w:hAnsi="Times New Roman"/>
          <w:sz w:val="28"/>
          <w:szCs w:val="28"/>
          <w:lang w:eastAsia="ru-RU"/>
        </w:rPr>
        <w:t> </w:t>
      </w:r>
      <w:r w:rsidRPr="006F130F">
        <w:rPr>
          <w:rFonts w:ascii="Times New Roman" w:hAnsi="Times New Roman"/>
          <w:sz w:val="28"/>
          <w:szCs w:val="28"/>
          <w:lang w:eastAsia="ru-RU"/>
        </w:rPr>
        <w:t>их</w:t>
      </w:r>
      <w:r>
        <w:rPr>
          <w:rFonts w:ascii="Times New Roman" w:hAnsi="Times New Roman"/>
          <w:sz w:val="28"/>
          <w:szCs w:val="28"/>
          <w:lang w:eastAsia="ru-RU"/>
        </w:rPr>
        <w:t> </w:t>
      </w:r>
      <w:r w:rsidRPr="006F130F">
        <w:rPr>
          <w:rFonts w:ascii="Times New Roman" w:hAnsi="Times New Roman"/>
          <w:sz w:val="28"/>
          <w:szCs w:val="28"/>
          <w:lang w:eastAsia="ru-RU"/>
        </w:rPr>
        <w:t>распоряжении средств связи и</w:t>
      </w:r>
      <w:r>
        <w:rPr>
          <w:rFonts w:ascii="Times New Roman" w:hAnsi="Times New Roman"/>
          <w:sz w:val="28"/>
          <w:szCs w:val="28"/>
          <w:lang w:eastAsia="ru-RU"/>
        </w:rPr>
        <w:t> </w:t>
      </w:r>
      <w:r w:rsidRPr="006F130F">
        <w:rPr>
          <w:rFonts w:ascii="Times New Roman" w:hAnsi="Times New Roman"/>
          <w:sz w:val="28"/>
          <w:szCs w:val="28"/>
          <w:lang w:eastAsia="ru-RU"/>
        </w:rPr>
        <w:t>оповещения.</w:t>
      </w:r>
    </w:p>
    <w:p w:rsidR="002D1E45" w:rsidRPr="006F130F" w:rsidRDefault="002D1E45" w:rsidP="006F130F">
      <w:pPr>
        <w:spacing w:after="0" w:line="240" w:lineRule="auto"/>
        <w:ind w:firstLine="709"/>
        <w:jc w:val="both"/>
        <w:rPr>
          <w:rFonts w:ascii="Times New Roman" w:hAnsi="Times New Roman"/>
          <w:sz w:val="28"/>
          <w:szCs w:val="28"/>
          <w:lang w:eastAsia="ru-RU"/>
        </w:rPr>
      </w:pPr>
      <w:r w:rsidRPr="006F130F">
        <w:rPr>
          <w:rFonts w:ascii="Times New Roman" w:hAnsi="Times New Roman"/>
          <w:sz w:val="28"/>
          <w:szCs w:val="28"/>
          <w:lang w:eastAsia="ru-RU"/>
        </w:rPr>
        <w:t>При совпадении времени передачи правительственных сообщений и</w:t>
      </w:r>
      <w:r>
        <w:rPr>
          <w:rFonts w:ascii="Times New Roman" w:hAnsi="Times New Roman"/>
          <w:sz w:val="28"/>
          <w:szCs w:val="28"/>
          <w:lang w:eastAsia="ru-RU"/>
        </w:rPr>
        <w:t> </w:t>
      </w:r>
      <w:r w:rsidRPr="006F130F">
        <w:rPr>
          <w:rFonts w:ascii="Times New Roman" w:hAnsi="Times New Roman"/>
          <w:sz w:val="28"/>
          <w:szCs w:val="28"/>
          <w:lang w:eastAsia="ru-RU"/>
        </w:rPr>
        <w:t>оповещения населения очерёдность их</w:t>
      </w:r>
      <w:r>
        <w:rPr>
          <w:rFonts w:ascii="Times New Roman" w:hAnsi="Times New Roman"/>
          <w:sz w:val="28"/>
          <w:szCs w:val="28"/>
          <w:lang w:eastAsia="ru-RU"/>
        </w:rPr>
        <w:t> </w:t>
      </w:r>
      <w:r w:rsidRPr="006F130F">
        <w:rPr>
          <w:rFonts w:ascii="Times New Roman" w:hAnsi="Times New Roman"/>
          <w:sz w:val="28"/>
          <w:szCs w:val="28"/>
          <w:lang w:eastAsia="ru-RU"/>
        </w:rPr>
        <w:t>передачи из</w:t>
      </w:r>
      <w:r>
        <w:rPr>
          <w:rFonts w:ascii="Times New Roman" w:hAnsi="Times New Roman"/>
          <w:sz w:val="28"/>
          <w:szCs w:val="28"/>
          <w:lang w:eastAsia="ru-RU"/>
        </w:rPr>
        <w:t> </w:t>
      </w:r>
      <w:r w:rsidRPr="006F130F">
        <w:rPr>
          <w:rFonts w:ascii="Times New Roman" w:hAnsi="Times New Roman"/>
          <w:sz w:val="28"/>
          <w:szCs w:val="28"/>
          <w:lang w:eastAsia="ru-RU"/>
        </w:rPr>
        <w:t>радиостудий специальных объектов определяет Президент Российской Федерации или Председатель Правительства Российской Федерации.</w:t>
      </w:r>
    </w:p>
    <w:p w:rsidR="002D1E45" w:rsidRPr="006F130F" w:rsidRDefault="002D1E45" w:rsidP="006F130F">
      <w:pPr>
        <w:spacing w:after="0" w:line="240" w:lineRule="auto"/>
        <w:ind w:firstLine="709"/>
        <w:jc w:val="both"/>
        <w:rPr>
          <w:rFonts w:ascii="Times New Roman" w:hAnsi="Times New Roman"/>
          <w:sz w:val="28"/>
          <w:szCs w:val="28"/>
          <w:lang w:eastAsia="ru-RU"/>
        </w:rPr>
      </w:pPr>
      <w:r w:rsidRPr="006F130F">
        <w:rPr>
          <w:rFonts w:ascii="Times New Roman" w:hAnsi="Times New Roman"/>
          <w:sz w:val="28"/>
          <w:szCs w:val="28"/>
          <w:lang w:eastAsia="ru-RU"/>
        </w:rPr>
        <w:t>Передача сигналов (распоряжений) и</w:t>
      </w:r>
      <w:r>
        <w:rPr>
          <w:rFonts w:ascii="Times New Roman" w:hAnsi="Times New Roman"/>
          <w:sz w:val="28"/>
          <w:szCs w:val="28"/>
          <w:lang w:eastAsia="ru-RU"/>
        </w:rPr>
        <w:t> </w:t>
      </w:r>
      <w:r w:rsidRPr="006F130F">
        <w:rPr>
          <w:rFonts w:ascii="Times New Roman" w:hAnsi="Times New Roman"/>
          <w:sz w:val="28"/>
          <w:szCs w:val="28"/>
          <w:lang w:eastAsia="ru-RU"/>
        </w:rPr>
        <w:t>информации оповещения может осуществляться как в</w:t>
      </w:r>
      <w:r>
        <w:rPr>
          <w:rFonts w:ascii="Times New Roman" w:hAnsi="Times New Roman"/>
          <w:sz w:val="28"/>
          <w:szCs w:val="28"/>
          <w:lang w:eastAsia="ru-RU"/>
        </w:rPr>
        <w:t> </w:t>
      </w:r>
      <w:r w:rsidRPr="006F130F">
        <w:rPr>
          <w:rFonts w:ascii="Times New Roman" w:hAnsi="Times New Roman"/>
          <w:sz w:val="28"/>
          <w:szCs w:val="28"/>
          <w:lang w:eastAsia="ru-RU"/>
        </w:rPr>
        <w:t>автоматизированном, так и</w:t>
      </w:r>
      <w:r>
        <w:rPr>
          <w:rFonts w:ascii="Times New Roman" w:hAnsi="Times New Roman"/>
          <w:sz w:val="28"/>
          <w:szCs w:val="28"/>
          <w:lang w:eastAsia="ru-RU"/>
        </w:rPr>
        <w:t> </w:t>
      </w:r>
      <w:r w:rsidRPr="006F130F">
        <w:rPr>
          <w:rFonts w:ascii="Times New Roman" w:hAnsi="Times New Roman"/>
          <w:sz w:val="28"/>
          <w:szCs w:val="28"/>
          <w:lang w:eastAsia="ru-RU"/>
        </w:rPr>
        <w:t>неавтоматизированном режиме. Основной режим – автоматизированный.</w:t>
      </w:r>
    </w:p>
    <w:p w:rsidR="002D1E45" w:rsidRPr="006F130F" w:rsidRDefault="002D1E45" w:rsidP="006F130F">
      <w:pPr>
        <w:spacing w:after="0" w:line="240" w:lineRule="auto"/>
        <w:ind w:firstLine="709"/>
        <w:jc w:val="both"/>
        <w:rPr>
          <w:rFonts w:ascii="Times New Roman" w:hAnsi="Times New Roman"/>
          <w:sz w:val="28"/>
          <w:szCs w:val="28"/>
          <w:lang w:eastAsia="ru-RU"/>
        </w:rPr>
      </w:pPr>
      <w:r w:rsidRPr="006F130F">
        <w:rPr>
          <w:rFonts w:ascii="Times New Roman" w:hAnsi="Times New Roman"/>
          <w:sz w:val="28"/>
          <w:szCs w:val="28"/>
          <w:lang w:eastAsia="ru-RU"/>
        </w:rPr>
        <w:t>В автоматизированном режиме передача сигналов (распоряжений) и</w:t>
      </w:r>
      <w:r>
        <w:rPr>
          <w:rFonts w:ascii="Times New Roman" w:hAnsi="Times New Roman"/>
          <w:sz w:val="28"/>
          <w:szCs w:val="28"/>
          <w:lang w:eastAsia="ru-RU"/>
        </w:rPr>
        <w:t> </w:t>
      </w:r>
      <w:r w:rsidRPr="006F130F">
        <w:rPr>
          <w:rFonts w:ascii="Times New Roman" w:hAnsi="Times New Roman"/>
          <w:sz w:val="28"/>
          <w:szCs w:val="28"/>
          <w:lang w:eastAsia="ru-RU"/>
        </w:rPr>
        <w:t>информации оповещения осуществляется с</w:t>
      </w:r>
      <w:r>
        <w:rPr>
          <w:rFonts w:ascii="Times New Roman" w:hAnsi="Times New Roman"/>
          <w:sz w:val="28"/>
          <w:szCs w:val="28"/>
          <w:lang w:eastAsia="ru-RU"/>
        </w:rPr>
        <w:t> </w:t>
      </w:r>
      <w:r w:rsidRPr="006F130F">
        <w:rPr>
          <w:rFonts w:ascii="Times New Roman" w:hAnsi="Times New Roman"/>
          <w:sz w:val="28"/>
          <w:szCs w:val="28"/>
          <w:lang w:eastAsia="ru-RU"/>
        </w:rPr>
        <w:t>использованием специальных технических средств оповещения, сопряжённых с</w:t>
      </w:r>
      <w:r>
        <w:rPr>
          <w:rFonts w:ascii="Times New Roman" w:hAnsi="Times New Roman"/>
          <w:sz w:val="28"/>
          <w:szCs w:val="28"/>
          <w:lang w:eastAsia="ru-RU"/>
        </w:rPr>
        <w:t> </w:t>
      </w:r>
      <w:r w:rsidRPr="006F130F">
        <w:rPr>
          <w:rFonts w:ascii="Times New Roman" w:hAnsi="Times New Roman"/>
          <w:sz w:val="28"/>
          <w:szCs w:val="28"/>
          <w:lang w:eastAsia="ru-RU"/>
        </w:rPr>
        <w:t>каналами связи сети, связи общего пользования и</w:t>
      </w:r>
      <w:r>
        <w:rPr>
          <w:rFonts w:ascii="Times New Roman" w:hAnsi="Times New Roman"/>
          <w:sz w:val="28"/>
          <w:szCs w:val="28"/>
          <w:lang w:eastAsia="ru-RU"/>
        </w:rPr>
        <w:t> </w:t>
      </w:r>
      <w:r w:rsidRPr="006F130F">
        <w:rPr>
          <w:rFonts w:ascii="Times New Roman" w:hAnsi="Times New Roman"/>
          <w:sz w:val="28"/>
          <w:szCs w:val="28"/>
          <w:lang w:eastAsia="ru-RU"/>
        </w:rPr>
        <w:t>ведомственных сетей связи, а</w:t>
      </w:r>
      <w:r>
        <w:rPr>
          <w:rFonts w:ascii="Times New Roman" w:hAnsi="Times New Roman"/>
          <w:sz w:val="28"/>
          <w:szCs w:val="28"/>
          <w:lang w:eastAsia="ru-RU"/>
        </w:rPr>
        <w:t> </w:t>
      </w:r>
      <w:r w:rsidRPr="006F130F">
        <w:rPr>
          <w:rFonts w:ascii="Times New Roman" w:hAnsi="Times New Roman"/>
          <w:sz w:val="28"/>
          <w:szCs w:val="28"/>
          <w:lang w:eastAsia="ru-RU"/>
        </w:rPr>
        <w:t>также сетей вещания.</w:t>
      </w:r>
    </w:p>
    <w:p w:rsidR="002D1E45" w:rsidRPr="006F130F" w:rsidRDefault="002D1E45" w:rsidP="006F130F">
      <w:pPr>
        <w:spacing w:after="0" w:line="240" w:lineRule="auto"/>
        <w:ind w:firstLine="709"/>
        <w:jc w:val="both"/>
        <w:rPr>
          <w:rFonts w:ascii="Times New Roman" w:hAnsi="Times New Roman"/>
          <w:sz w:val="28"/>
          <w:szCs w:val="28"/>
          <w:lang w:eastAsia="ru-RU"/>
        </w:rPr>
      </w:pPr>
      <w:r w:rsidRPr="006F130F">
        <w:rPr>
          <w:rFonts w:ascii="Times New Roman" w:hAnsi="Times New Roman"/>
          <w:sz w:val="28"/>
          <w:szCs w:val="28"/>
          <w:lang w:eastAsia="ru-RU"/>
        </w:rPr>
        <w:t>В неавтоматизированном режиме передача сигналов (распоряжений) и</w:t>
      </w:r>
      <w:r>
        <w:rPr>
          <w:rFonts w:ascii="Times New Roman" w:hAnsi="Times New Roman"/>
          <w:sz w:val="28"/>
          <w:szCs w:val="28"/>
          <w:lang w:eastAsia="ru-RU"/>
        </w:rPr>
        <w:t> </w:t>
      </w:r>
      <w:r w:rsidRPr="006F130F">
        <w:rPr>
          <w:rFonts w:ascii="Times New Roman" w:hAnsi="Times New Roman"/>
          <w:sz w:val="28"/>
          <w:szCs w:val="28"/>
          <w:lang w:eastAsia="ru-RU"/>
        </w:rPr>
        <w:t>информации оповещения осуществляется с</w:t>
      </w:r>
      <w:r>
        <w:rPr>
          <w:rFonts w:ascii="Times New Roman" w:hAnsi="Times New Roman"/>
          <w:sz w:val="28"/>
          <w:szCs w:val="28"/>
          <w:lang w:eastAsia="ru-RU"/>
        </w:rPr>
        <w:t> </w:t>
      </w:r>
      <w:r w:rsidRPr="006F130F">
        <w:rPr>
          <w:rFonts w:ascii="Times New Roman" w:hAnsi="Times New Roman"/>
          <w:sz w:val="28"/>
          <w:szCs w:val="28"/>
          <w:lang w:eastAsia="ru-RU"/>
        </w:rPr>
        <w:t>использованием средств и</w:t>
      </w:r>
      <w:r>
        <w:rPr>
          <w:rFonts w:ascii="Times New Roman" w:hAnsi="Times New Roman"/>
          <w:sz w:val="28"/>
          <w:szCs w:val="28"/>
          <w:lang w:eastAsia="ru-RU"/>
        </w:rPr>
        <w:t> </w:t>
      </w:r>
      <w:r w:rsidRPr="006F130F">
        <w:rPr>
          <w:rFonts w:ascii="Times New Roman" w:hAnsi="Times New Roman"/>
          <w:sz w:val="28"/>
          <w:szCs w:val="28"/>
          <w:lang w:eastAsia="ru-RU"/>
        </w:rPr>
        <w:t>каналов связи общегосударственной сети связи и</w:t>
      </w:r>
      <w:r>
        <w:rPr>
          <w:rFonts w:ascii="Times New Roman" w:hAnsi="Times New Roman"/>
          <w:sz w:val="28"/>
          <w:szCs w:val="28"/>
          <w:lang w:eastAsia="ru-RU"/>
        </w:rPr>
        <w:t> </w:t>
      </w:r>
      <w:r w:rsidRPr="006F130F">
        <w:rPr>
          <w:rFonts w:ascii="Times New Roman" w:hAnsi="Times New Roman"/>
          <w:sz w:val="28"/>
          <w:szCs w:val="28"/>
          <w:lang w:eastAsia="ru-RU"/>
        </w:rPr>
        <w:t>ведомственных сетей связи, а</w:t>
      </w:r>
      <w:r>
        <w:rPr>
          <w:rFonts w:ascii="Times New Roman" w:hAnsi="Times New Roman"/>
          <w:sz w:val="28"/>
          <w:szCs w:val="28"/>
          <w:lang w:eastAsia="ru-RU"/>
        </w:rPr>
        <w:t> </w:t>
      </w:r>
      <w:r w:rsidRPr="006F130F">
        <w:rPr>
          <w:rFonts w:ascii="Times New Roman" w:hAnsi="Times New Roman"/>
          <w:sz w:val="28"/>
          <w:szCs w:val="28"/>
          <w:lang w:eastAsia="ru-RU"/>
        </w:rPr>
        <w:t>также сетей вещания.</w:t>
      </w:r>
    </w:p>
    <w:p w:rsidR="002D1E45" w:rsidRPr="006F130F" w:rsidRDefault="002D1E45" w:rsidP="006F130F">
      <w:pPr>
        <w:spacing w:after="0" w:line="240" w:lineRule="auto"/>
        <w:ind w:firstLine="709"/>
        <w:jc w:val="both"/>
        <w:rPr>
          <w:rFonts w:ascii="Times New Roman" w:hAnsi="Times New Roman"/>
          <w:sz w:val="28"/>
          <w:szCs w:val="28"/>
          <w:lang w:eastAsia="ru-RU"/>
        </w:rPr>
      </w:pPr>
      <w:r w:rsidRPr="006F130F">
        <w:rPr>
          <w:rFonts w:ascii="Times New Roman" w:hAnsi="Times New Roman"/>
          <w:sz w:val="28"/>
          <w:szCs w:val="28"/>
          <w:lang w:eastAsia="ru-RU"/>
        </w:rPr>
        <w:t>Основной способ оповещения и</w:t>
      </w:r>
      <w:r>
        <w:rPr>
          <w:rFonts w:ascii="Times New Roman" w:hAnsi="Times New Roman"/>
          <w:sz w:val="28"/>
          <w:szCs w:val="28"/>
          <w:lang w:eastAsia="ru-RU"/>
        </w:rPr>
        <w:t> </w:t>
      </w:r>
      <w:r w:rsidRPr="006F130F">
        <w:rPr>
          <w:rFonts w:ascii="Times New Roman" w:hAnsi="Times New Roman"/>
          <w:sz w:val="28"/>
          <w:szCs w:val="28"/>
          <w:lang w:eastAsia="ru-RU"/>
        </w:rPr>
        <w:t>информирования населения – передача речевых сообщений по</w:t>
      </w:r>
      <w:r>
        <w:rPr>
          <w:rFonts w:ascii="Times New Roman" w:hAnsi="Times New Roman"/>
          <w:sz w:val="28"/>
          <w:szCs w:val="28"/>
          <w:lang w:eastAsia="ru-RU"/>
        </w:rPr>
        <w:t> </w:t>
      </w:r>
      <w:r w:rsidRPr="006F130F">
        <w:rPr>
          <w:rFonts w:ascii="Times New Roman" w:hAnsi="Times New Roman"/>
          <w:sz w:val="28"/>
          <w:szCs w:val="28"/>
          <w:lang w:eastAsia="ru-RU"/>
        </w:rPr>
        <w:t>сетям вещания.</w:t>
      </w:r>
    </w:p>
    <w:p w:rsidR="002D1E45" w:rsidRPr="006F130F" w:rsidRDefault="002D1E45" w:rsidP="006F130F">
      <w:pPr>
        <w:spacing w:after="0" w:line="240" w:lineRule="auto"/>
        <w:ind w:firstLine="709"/>
        <w:jc w:val="both"/>
        <w:rPr>
          <w:rFonts w:ascii="Times New Roman" w:hAnsi="Times New Roman"/>
          <w:sz w:val="28"/>
          <w:szCs w:val="28"/>
          <w:lang w:eastAsia="ru-RU"/>
        </w:rPr>
      </w:pPr>
      <w:r w:rsidRPr="006F130F">
        <w:rPr>
          <w:rFonts w:ascii="Times New Roman" w:hAnsi="Times New Roman"/>
          <w:sz w:val="28"/>
          <w:szCs w:val="28"/>
          <w:lang w:eastAsia="ru-RU"/>
        </w:rPr>
        <w:t>Задействование радиотрансляционных сетей, радиовещательных и</w:t>
      </w:r>
      <w:r>
        <w:rPr>
          <w:rFonts w:ascii="Times New Roman" w:hAnsi="Times New Roman"/>
          <w:sz w:val="28"/>
          <w:szCs w:val="28"/>
          <w:lang w:eastAsia="ru-RU"/>
        </w:rPr>
        <w:t> </w:t>
      </w:r>
      <w:r w:rsidRPr="006F130F">
        <w:rPr>
          <w:rFonts w:ascii="Times New Roman" w:hAnsi="Times New Roman"/>
          <w:sz w:val="28"/>
          <w:szCs w:val="28"/>
          <w:lang w:eastAsia="ru-RU"/>
        </w:rPr>
        <w:t>телевизионных станций (независимо от</w:t>
      </w:r>
      <w:r>
        <w:rPr>
          <w:rFonts w:ascii="Times New Roman" w:hAnsi="Times New Roman"/>
          <w:sz w:val="28"/>
          <w:szCs w:val="28"/>
          <w:lang w:eastAsia="ru-RU"/>
        </w:rPr>
        <w:t> </w:t>
      </w:r>
      <w:r w:rsidRPr="006F130F">
        <w:rPr>
          <w:rFonts w:ascii="Times New Roman" w:hAnsi="Times New Roman"/>
          <w:sz w:val="28"/>
          <w:szCs w:val="28"/>
          <w:lang w:eastAsia="ru-RU"/>
        </w:rPr>
        <w:t>форм собственности) с</w:t>
      </w:r>
      <w:r>
        <w:rPr>
          <w:rFonts w:ascii="Times New Roman" w:hAnsi="Times New Roman"/>
          <w:sz w:val="28"/>
          <w:szCs w:val="28"/>
          <w:lang w:eastAsia="ru-RU"/>
        </w:rPr>
        <w:t> </w:t>
      </w:r>
      <w:r w:rsidRPr="006F130F">
        <w:rPr>
          <w:rFonts w:ascii="Times New Roman" w:hAnsi="Times New Roman"/>
          <w:sz w:val="28"/>
          <w:szCs w:val="28"/>
          <w:lang w:eastAsia="ru-RU"/>
        </w:rPr>
        <w:t>перерывом вещательной программы осуществляется оперативной дежурной службой органа, осуществляющего управление гражданской обороной на</w:t>
      </w:r>
      <w:r>
        <w:rPr>
          <w:rFonts w:ascii="Times New Roman" w:hAnsi="Times New Roman"/>
          <w:sz w:val="28"/>
          <w:szCs w:val="28"/>
          <w:lang w:eastAsia="ru-RU"/>
        </w:rPr>
        <w:t> </w:t>
      </w:r>
      <w:r w:rsidRPr="006F130F">
        <w:rPr>
          <w:rFonts w:ascii="Times New Roman" w:hAnsi="Times New Roman"/>
          <w:sz w:val="28"/>
          <w:szCs w:val="28"/>
          <w:lang w:eastAsia="ru-RU"/>
        </w:rPr>
        <w:t>территории субъекта Российской Федерации, с</w:t>
      </w:r>
      <w:r>
        <w:rPr>
          <w:rFonts w:ascii="Times New Roman" w:hAnsi="Times New Roman"/>
          <w:sz w:val="28"/>
          <w:szCs w:val="28"/>
          <w:lang w:eastAsia="ru-RU"/>
        </w:rPr>
        <w:t> </w:t>
      </w:r>
      <w:r w:rsidRPr="006F130F">
        <w:rPr>
          <w:rFonts w:ascii="Times New Roman" w:hAnsi="Times New Roman"/>
          <w:sz w:val="28"/>
          <w:szCs w:val="28"/>
          <w:lang w:eastAsia="ru-RU"/>
        </w:rPr>
        <w:t>разрешения соответствующего начальника гражданской обороны (лица его заменяющего) только для оповещения и</w:t>
      </w:r>
      <w:r>
        <w:rPr>
          <w:rFonts w:ascii="Times New Roman" w:hAnsi="Times New Roman"/>
          <w:sz w:val="28"/>
          <w:szCs w:val="28"/>
          <w:lang w:eastAsia="ru-RU"/>
        </w:rPr>
        <w:t> </w:t>
      </w:r>
      <w:r w:rsidRPr="006F130F">
        <w:rPr>
          <w:rFonts w:ascii="Times New Roman" w:hAnsi="Times New Roman"/>
          <w:sz w:val="28"/>
          <w:szCs w:val="28"/>
          <w:lang w:eastAsia="ru-RU"/>
        </w:rPr>
        <w:t>информирования населения в</w:t>
      </w:r>
      <w:r>
        <w:rPr>
          <w:rFonts w:ascii="Times New Roman" w:hAnsi="Times New Roman"/>
          <w:sz w:val="28"/>
          <w:szCs w:val="28"/>
          <w:lang w:eastAsia="ru-RU"/>
        </w:rPr>
        <w:t> </w:t>
      </w:r>
      <w:r w:rsidRPr="006F130F">
        <w:rPr>
          <w:rFonts w:ascii="Times New Roman" w:hAnsi="Times New Roman"/>
          <w:sz w:val="28"/>
          <w:szCs w:val="28"/>
          <w:lang w:eastAsia="ru-RU"/>
        </w:rPr>
        <w:t>речевой форме.</w:t>
      </w:r>
    </w:p>
    <w:p w:rsidR="002D1E45" w:rsidRPr="006F130F" w:rsidRDefault="002D1E45" w:rsidP="006F130F">
      <w:pPr>
        <w:spacing w:after="0" w:line="240" w:lineRule="auto"/>
        <w:ind w:firstLine="709"/>
        <w:jc w:val="both"/>
        <w:rPr>
          <w:rFonts w:ascii="Times New Roman" w:hAnsi="Times New Roman"/>
          <w:sz w:val="28"/>
          <w:szCs w:val="28"/>
          <w:lang w:eastAsia="ru-RU"/>
        </w:rPr>
      </w:pPr>
      <w:r w:rsidRPr="006F130F">
        <w:rPr>
          <w:rFonts w:ascii="Times New Roman" w:hAnsi="Times New Roman"/>
          <w:sz w:val="28"/>
          <w:szCs w:val="28"/>
          <w:lang w:eastAsia="ru-RU"/>
        </w:rPr>
        <w:t>Речевая информация передаётся населению с</w:t>
      </w:r>
      <w:r>
        <w:rPr>
          <w:rFonts w:ascii="Times New Roman" w:hAnsi="Times New Roman"/>
          <w:sz w:val="28"/>
          <w:szCs w:val="28"/>
          <w:lang w:eastAsia="ru-RU"/>
        </w:rPr>
        <w:t> </w:t>
      </w:r>
      <w:r w:rsidRPr="006F130F">
        <w:rPr>
          <w:rFonts w:ascii="Times New Roman" w:hAnsi="Times New Roman"/>
          <w:sz w:val="28"/>
          <w:szCs w:val="28"/>
          <w:lang w:eastAsia="ru-RU"/>
        </w:rPr>
        <w:t>перерывом программ вещания длительностью не</w:t>
      </w:r>
      <w:r>
        <w:rPr>
          <w:rFonts w:ascii="Times New Roman" w:hAnsi="Times New Roman"/>
          <w:sz w:val="28"/>
          <w:szCs w:val="28"/>
          <w:lang w:eastAsia="ru-RU"/>
        </w:rPr>
        <w:t> </w:t>
      </w:r>
      <w:r w:rsidRPr="006F130F">
        <w:rPr>
          <w:rFonts w:ascii="Times New Roman" w:hAnsi="Times New Roman"/>
          <w:sz w:val="28"/>
          <w:szCs w:val="28"/>
          <w:lang w:eastAsia="ru-RU"/>
        </w:rPr>
        <w:t>более 5 минут. Допускается 2-3-кратное повторение передачи речевого сообщения.</w:t>
      </w:r>
    </w:p>
    <w:p w:rsidR="002D1E45" w:rsidRPr="006F130F" w:rsidRDefault="002D1E45" w:rsidP="006F130F">
      <w:pPr>
        <w:spacing w:after="0" w:line="240" w:lineRule="auto"/>
        <w:ind w:firstLine="709"/>
        <w:jc w:val="both"/>
        <w:rPr>
          <w:rFonts w:ascii="Times New Roman" w:hAnsi="Times New Roman"/>
          <w:i/>
          <w:sz w:val="28"/>
          <w:szCs w:val="28"/>
          <w:u w:val="single"/>
          <w:lang w:eastAsia="ru-RU"/>
        </w:rPr>
      </w:pPr>
      <w:r w:rsidRPr="006F130F">
        <w:rPr>
          <w:rFonts w:ascii="Times New Roman" w:hAnsi="Times New Roman"/>
          <w:i/>
          <w:sz w:val="28"/>
          <w:szCs w:val="28"/>
          <w:u w:val="single"/>
          <w:lang w:eastAsia="ru-RU"/>
        </w:rPr>
        <w:t>Организация укрытия населения в</w:t>
      </w:r>
      <w:r>
        <w:rPr>
          <w:rFonts w:ascii="Times New Roman" w:hAnsi="Times New Roman"/>
          <w:i/>
          <w:sz w:val="28"/>
          <w:szCs w:val="28"/>
          <w:u w:val="single"/>
          <w:lang w:eastAsia="ru-RU"/>
        </w:rPr>
        <w:t> </w:t>
      </w:r>
      <w:r w:rsidRPr="006F130F">
        <w:rPr>
          <w:rFonts w:ascii="Times New Roman" w:hAnsi="Times New Roman"/>
          <w:i/>
          <w:sz w:val="28"/>
          <w:szCs w:val="28"/>
          <w:u w:val="single"/>
          <w:lang w:eastAsia="ru-RU"/>
        </w:rPr>
        <w:t>защитных сооружениях.</w:t>
      </w:r>
    </w:p>
    <w:p w:rsidR="002D1E45" w:rsidRPr="006F130F" w:rsidRDefault="002D1E45" w:rsidP="006F130F">
      <w:pPr>
        <w:spacing w:after="0" w:line="240" w:lineRule="auto"/>
        <w:ind w:firstLine="709"/>
        <w:jc w:val="both"/>
        <w:rPr>
          <w:rFonts w:ascii="Times New Roman" w:hAnsi="Times New Roman"/>
          <w:sz w:val="28"/>
          <w:szCs w:val="28"/>
          <w:lang w:eastAsia="ru-RU"/>
        </w:rPr>
      </w:pPr>
      <w:r w:rsidRPr="006F130F">
        <w:rPr>
          <w:rFonts w:ascii="Times New Roman" w:hAnsi="Times New Roman"/>
          <w:sz w:val="28"/>
          <w:szCs w:val="28"/>
          <w:lang w:eastAsia="ru-RU"/>
        </w:rPr>
        <w:t>Укрытие населения в</w:t>
      </w:r>
      <w:r>
        <w:rPr>
          <w:rFonts w:ascii="Times New Roman" w:hAnsi="Times New Roman"/>
          <w:sz w:val="28"/>
          <w:szCs w:val="28"/>
          <w:lang w:eastAsia="ru-RU"/>
        </w:rPr>
        <w:t> </w:t>
      </w:r>
      <w:r w:rsidRPr="006F130F">
        <w:rPr>
          <w:rFonts w:ascii="Times New Roman" w:hAnsi="Times New Roman"/>
          <w:sz w:val="28"/>
          <w:szCs w:val="28"/>
          <w:lang w:eastAsia="ru-RU"/>
        </w:rPr>
        <w:t>защитных сооружениях имеет важное значение, а</w:t>
      </w:r>
      <w:r>
        <w:rPr>
          <w:rFonts w:ascii="Times New Roman" w:hAnsi="Times New Roman"/>
          <w:sz w:val="28"/>
          <w:szCs w:val="28"/>
          <w:lang w:eastAsia="ru-RU"/>
        </w:rPr>
        <w:t> </w:t>
      </w:r>
      <w:r w:rsidRPr="006F130F">
        <w:rPr>
          <w:rFonts w:ascii="Times New Roman" w:hAnsi="Times New Roman"/>
          <w:sz w:val="28"/>
          <w:szCs w:val="28"/>
          <w:lang w:eastAsia="ru-RU"/>
        </w:rPr>
        <w:t>в</w:t>
      </w:r>
      <w:r>
        <w:rPr>
          <w:rFonts w:ascii="Times New Roman" w:hAnsi="Times New Roman"/>
          <w:sz w:val="28"/>
          <w:szCs w:val="28"/>
          <w:lang w:eastAsia="ru-RU"/>
        </w:rPr>
        <w:t> </w:t>
      </w:r>
      <w:r w:rsidRPr="006F130F">
        <w:rPr>
          <w:rFonts w:ascii="Times New Roman" w:hAnsi="Times New Roman"/>
          <w:sz w:val="28"/>
          <w:szCs w:val="28"/>
          <w:lang w:eastAsia="ru-RU"/>
        </w:rPr>
        <w:t>связи с</w:t>
      </w:r>
      <w:r>
        <w:rPr>
          <w:rFonts w:ascii="Times New Roman" w:hAnsi="Times New Roman"/>
          <w:sz w:val="28"/>
          <w:szCs w:val="28"/>
          <w:lang w:eastAsia="ru-RU"/>
        </w:rPr>
        <w:t> </w:t>
      </w:r>
      <w:r w:rsidRPr="006F130F">
        <w:rPr>
          <w:rFonts w:ascii="Times New Roman" w:hAnsi="Times New Roman"/>
          <w:sz w:val="28"/>
          <w:szCs w:val="28"/>
          <w:lang w:eastAsia="ru-RU"/>
        </w:rPr>
        <w:t>трудностью и</w:t>
      </w:r>
      <w:r>
        <w:rPr>
          <w:rFonts w:ascii="Times New Roman" w:hAnsi="Times New Roman"/>
          <w:sz w:val="28"/>
          <w:szCs w:val="28"/>
          <w:lang w:eastAsia="ru-RU"/>
        </w:rPr>
        <w:t> </w:t>
      </w:r>
      <w:r w:rsidRPr="006F130F">
        <w:rPr>
          <w:rFonts w:ascii="Times New Roman" w:hAnsi="Times New Roman"/>
          <w:sz w:val="28"/>
          <w:szCs w:val="28"/>
          <w:lang w:eastAsia="ru-RU"/>
        </w:rPr>
        <w:t>даже в</w:t>
      </w:r>
      <w:r>
        <w:rPr>
          <w:rFonts w:ascii="Times New Roman" w:hAnsi="Times New Roman"/>
          <w:sz w:val="28"/>
          <w:szCs w:val="28"/>
          <w:lang w:eastAsia="ru-RU"/>
        </w:rPr>
        <w:t> </w:t>
      </w:r>
      <w:r w:rsidRPr="006F130F">
        <w:rPr>
          <w:rFonts w:ascii="Times New Roman" w:hAnsi="Times New Roman"/>
          <w:sz w:val="28"/>
          <w:szCs w:val="28"/>
          <w:lang w:eastAsia="ru-RU"/>
        </w:rPr>
        <w:t>ряде случаев невозможностью при необходимости полной эвакуации населения из</w:t>
      </w:r>
      <w:r>
        <w:rPr>
          <w:rFonts w:ascii="Times New Roman" w:hAnsi="Times New Roman"/>
          <w:sz w:val="28"/>
          <w:szCs w:val="28"/>
          <w:lang w:eastAsia="ru-RU"/>
        </w:rPr>
        <w:t> </w:t>
      </w:r>
      <w:r w:rsidRPr="006F130F">
        <w:rPr>
          <w:rFonts w:ascii="Times New Roman" w:hAnsi="Times New Roman"/>
          <w:sz w:val="28"/>
          <w:szCs w:val="28"/>
          <w:lang w:eastAsia="ru-RU"/>
        </w:rPr>
        <w:t>больших городов значение этого мероприятия резко возросло.</w:t>
      </w:r>
    </w:p>
    <w:p w:rsidR="002D1E45" w:rsidRDefault="002D1E45" w:rsidP="006F130F">
      <w:pPr>
        <w:spacing w:after="0" w:line="240" w:lineRule="auto"/>
        <w:ind w:firstLine="709"/>
        <w:jc w:val="both"/>
        <w:rPr>
          <w:rFonts w:ascii="Times New Roman" w:hAnsi="Times New Roman"/>
          <w:sz w:val="28"/>
          <w:szCs w:val="28"/>
          <w:lang w:eastAsia="ru-RU"/>
        </w:rPr>
      </w:pPr>
      <w:r w:rsidRPr="006F130F">
        <w:rPr>
          <w:rFonts w:ascii="Times New Roman" w:hAnsi="Times New Roman"/>
          <w:sz w:val="28"/>
          <w:szCs w:val="28"/>
          <w:lang w:eastAsia="ru-RU"/>
        </w:rPr>
        <w:t>Укрытие людей в</w:t>
      </w:r>
      <w:r>
        <w:rPr>
          <w:rFonts w:ascii="Times New Roman" w:hAnsi="Times New Roman"/>
          <w:sz w:val="28"/>
          <w:szCs w:val="28"/>
          <w:lang w:eastAsia="ru-RU"/>
        </w:rPr>
        <w:t> </w:t>
      </w:r>
      <w:r w:rsidRPr="006F130F">
        <w:rPr>
          <w:rFonts w:ascii="Times New Roman" w:hAnsi="Times New Roman"/>
          <w:sz w:val="28"/>
          <w:szCs w:val="28"/>
          <w:lang w:eastAsia="ru-RU"/>
        </w:rPr>
        <w:t>защитных сооружениях в</w:t>
      </w:r>
      <w:r>
        <w:rPr>
          <w:rFonts w:ascii="Times New Roman" w:hAnsi="Times New Roman"/>
          <w:sz w:val="28"/>
          <w:szCs w:val="28"/>
          <w:lang w:eastAsia="ru-RU"/>
        </w:rPr>
        <w:t> </w:t>
      </w:r>
      <w:r w:rsidRPr="006F130F">
        <w:rPr>
          <w:rFonts w:ascii="Times New Roman" w:hAnsi="Times New Roman"/>
          <w:sz w:val="28"/>
          <w:szCs w:val="28"/>
          <w:lang w:eastAsia="ru-RU"/>
        </w:rPr>
        <w:t>сочетании с</w:t>
      </w:r>
      <w:r>
        <w:rPr>
          <w:rFonts w:ascii="Times New Roman" w:hAnsi="Times New Roman"/>
          <w:sz w:val="28"/>
          <w:szCs w:val="28"/>
          <w:lang w:eastAsia="ru-RU"/>
        </w:rPr>
        <w:t> </w:t>
      </w:r>
      <w:r w:rsidRPr="006F130F">
        <w:rPr>
          <w:rFonts w:ascii="Times New Roman" w:hAnsi="Times New Roman"/>
          <w:sz w:val="28"/>
          <w:szCs w:val="28"/>
          <w:lang w:eastAsia="ru-RU"/>
        </w:rPr>
        <w:t xml:space="preserve">другими способами защиты (эвакуация населения, использование индивидуальных средств защиты) </w:t>
      </w:r>
      <w:r>
        <w:rPr>
          <w:rFonts w:ascii="Times New Roman" w:hAnsi="Times New Roman"/>
          <w:sz w:val="28"/>
          <w:szCs w:val="28"/>
          <w:lang w:eastAsia="ru-RU"/>
        </w:rPr>
        <w:t>–</w:t>
      </w:r>
      <w:r w:rsidRPr="006F130F">
        <w:rPr>
          <w:rFonts w:ascii="Times New Roman" w:hAnsi="Times New Roman"/>
          <w:sz w:val="28"/>
          <w:szCs w:val="28"/>
          <w:lang w:eastAsia="ru-RU"/>
        </w:rPr>
        <w:t xml:space="preserve"> обеспечивает эффективное снижение степени его поражения от</w:t>
      </w:r>
      <w:r>
        <w:rPr>
          <w:rFonts w:ascii="Times New Roman" w:hAnsi="Times New Roman"/>
          <w:sz w:val="28"/>
          <w:szCs w:val="28"/>
          <w:lang w:eastAsia="ru-RU"/>
        </w:rPr>
        <w:t> </w:t>
      </w:r>
      <w:r w:rsidRPr="006F130F">
        <w:rPr>
          <w:rFonts w:ascii="Times New Roman" w:hAnsi="Times New Roman"/>
          <w:sz w:val="28"/>
          <w:szCs w:val="28"/>
          <w:lang w:eastAsia="ru-RU"/>
        </w:rPr>
        <w:t>всех возможных поражающих воздействий чрезвычайных ситуаций различного характера.</w:t>
      </w:r>
    </w:p>
    <w:p w:rsidR="002D1E45" w:rsidRPr="00BA0219" w:rsidRDefault="002D1E45" w:rsidP="00BA0219">
      <w:pPr>
        <w:spacing w:after="0" w:line="240" w:lineRule="auto"/>
        <w:ind w:firstLine="709"/>
        <w:jc w:val="both"/>
        <w:rPr>
          <w:rFonts w:ascii="Times New Roman" w:hAnsi="Times New Roman"/>
          <w:sz w:val="28"/>
          <w:szCs w:val="28"/>
          <w:lang w:eastAsia="ru-RU"/>
        </w:rPr>
      </w:pPr>
      <w:r w:rsidRPr="00BA0219">
        <w:rPr>
          <w:rFonts w:ascii="Times New Roman" w:hAnsi="Times New Roman"/>
          <w:sz w:val="28"/>
          <w:szCs w:val="28"/>
          <w:lang w:eastAsia="ru-RU"/>
        </w:rPr>
        <w:t>На территории города Куйбышева типовых убежищ и ПРУ нет. Имеются ведомственные убежища на территории</w:t>
      </w:r>
      <w:r>
        <w:rPr>
          <w:rFonts w:ascii="Times New Roman" w:hAnsi="Times New Roman"/>
          <w:sz w:val="28"/>
          <w:szCs w:val="28"/>
          <w:lang w:eastAsia="ru-RU"/>
        </w:rPr>
        <w:t xml:space="preserve"> </w:t>
      </w:r>
      <w:r w:rsidRPr="00BA0219">
        <w:rPr>
          <w:rFonts w:ascii="Times New Roman" w:hAnsi="Times New Roman"/>
          <w:sz w:val="28"/>
          <w:szCs w:val="28"/>
          <w:lang w:eastAsia="ru-RU"/>
        </w:rPr>
        <w:t>ФКП «Анозит» и Обособленного подразделения АО «СИБЭКО» Барабинская ТЭЦ.</w:t>
      </w:r>
    </w:p>
    <w:p w:rsidR="002D1E45" w:rsidRPr="00BA0219" w:rsidRDefault="002D1E45" w:rsidP="00BA0219">
      <w:pPr>
        <w:spacing w:after="0" w:line="240" w:lineRule="auto"/>
        <w:ind w:firstLine="709"/>
        <w:jc w:val="both"/>
        <w:rPr>
          <w:rFonts w:ascii="Times New Roman" w:hAnsi="Times New Roman"/>
          <w:sz w:val="28"/>
          <w:szCs w:val="28"/>
          <w:lang w:eastAsia="ru-RU"/>
        </w:rPr>
      </w:pPr>
      <w:r w:rsidRPr="00BA0219">
        <w:rPr>
          <w:rFonts w:ascii="Times New Roman" w:hAnsi="Times New Roman"/>
          <w:sz w:val="28"/>
          <w:szCs w:val="28"/>
          <w:lang w:eastAsia="ru-RU"/>
        </w:rPr>
        <w:t>ФКП «Анозит» (Куйбышевский химический завод):</w:t>
      </w:r>
    </w:p>
    <w:p w:rsidR="002D1E45" w:rsidRPr="007C5DD1" w:rsidRDefault="002D1E45" w:rsidP="007C5DD1">
      <w:pPr>
        <w:numPr>
          <w:ilvl w:val="0"/>
          <w:numId w:val="24"/>
        </w:numPr>
        <w:spacing w:after="0" w:line="240" w:lineRule="auto"/>
        <w:jc w:val="both"/>
        <w:rPr>
          <w:rFonts w:ascii="Times New Roman" w:hAnsi="Times New Roman"/>
          <w:sz w:val="28"/>
          <w:szCs w:val="28"/>
        </w:rPr>
      </w:pPr>
      <w:r w:rsidRPr="007C5DD1">
        <w:rPr>
          <w:rFonts w:ascii="Times New Roman" w:hAnsi="Times New Roman"/>
          <w:sz w:val="28"/>
          <w:szCs w:val="28"/>
        </w:rPr>
        <w:t>встроенное убежище 3 класса в корпусе № 308 на 600 мест;</w:t>
      </w:r>
    </w:p>
    <w:p w:rsidR="002D1E45" w:rsidRPr="007C5DD1" w:rsidRDefault="002D1E45" w:rsidP="007C5DD1">
      <w:pPr>
        <w:numPr>
          <w:ilvl w:val="0"/>
          <w:numId w:val="24"/>
        </w:numPr>
        <w:spacing w:after="0" w:line="240" w:lineRule="auto"/>
        <w:jc w:val="both"/>
        <w:rPr>
          <w:rFonts w:ascii="Times New Roman" w:hAnsi="Times New Roman"/>
          <w:sz w:val="28"/>
          <w:szCs w:val="28"/>
        </w:rPr>
      </w:pPr>
      <w:r w:rsidRPr="007C5DD1">
        <w:rPr>
          <w:rFonts w:ascii="Times New Roman" w:hAnsi="Times New Roman"/>
          <w:sz w:val="28"/>
          <w:szCs w:val="28"/>
        </w:rPr>
        <w:t>встроенное убежище 3 класса в корпусе № 290 на 450 мест;</w:t>
      </w:r>
    </w:p>
    <w:p w:rsidR="002D1E45" w:rsidRPr="007C5DD1" w:rsidRDefault="002D1E45" w:rsidP="007C5DD1">
      <w:pPr>
        <w:numPr>
          <w:ilvl w:val="0"/>
          <w:numId w:val="24"/>
        </w:numPr>
        <w:spacing w:after="0" w:line="240" w:lineRule="auto"/>
        <w:jc w:val="both"/>
        <w:rPr>
          <w:rFonts w:ascii="Times New Roman" w:hAnsi="Times New Roman"/>
          <w:sz w:val="28"/>
          <w:szCs w:val="28"/>
        </w:rPr>
      </w:pPr>
      <w:r w:rsidRPr="007C5DD1">
        <w:rPr>
          <w:rFonts w:ascii="Times New Roman" w:hAnsi="Times New Roman"/>
          <w:sz w:val="28"/>
          <w:szCs w:val="28"/>
        </w:rPr>
        <w:t>отдельно стоящее убежище 4 класса в корпусе № 240 на 300 мест.</w:t>
      </w:r>
    </w:p>
    <w:p w:rsidR="002D1E45" w:rsidRPr="00BA0219" w:rsidRDefault="002D1E45" w:rsidP="00BA0219">
      <w:pPr>
        <w:spacing w:after="0" w:line="240" w:lineRule="auto"/>
        <w:ind w:firstLine="709"/>
        <w:jc w:val="both"/>
        <w:rPr>
          <w:rFonts w:ascii="Times New Roman" w:hAnsi="Times New Roman"/>
          <w:sz w:val="28"/>
          <w:szCs w:val="28"/>
          <w:lang w:eastAsia="ru-RU"/>
        </w:rPr>
      </w:pPr>
      <w:r w:rsidRPr="00BA0219">
        <w:rPr>
          <w:rFonts w:ascii="Times New Roman" w:hAnsi="Times New Roman"/>
          <w:sz w:val="28"/>
          <w:szCs w:val="28"/>
          <w:lang w:eastAsia="ru-RU"/>
        </w:rPr>
        <w:t>Общая вместимость 1350 мест.</w:t>
      </w:r>
    </w:p>
    <w:p w:rsidR="002D1E45" w:rsidRPr="00BA0219" w:rsidRDefault="002D1E45" w:rsidP="00BA0219">
      <w:pPr>
        <w:spacing w:after="0" w:line="240" w:lineRule="auto"/>
        <w:ind w:firstLine="709"/>
        <w:jc w:val="both"/>
        <w:rPr>
          <w:rFonts w:ascii="Times New Roman" w:hAnsi="Times New Roman"/>
          <w:sz w:val="28"/>
          <w:szCs w:val="28"/>
          <w:lang w:eastAsia="ru-RU"/>
        </w:rPr>
      </w:pPr>
      <w:r w:rsidRPr="00BA0219">
        <w:rPr>
          <w:rFonts w:ascii="Times New Roman" w:hAnsi="Times New Roman"/>
          <w:sz w:val="28"/>
          <w:szCs w:val="28"/>
          <w:lang w:eastAsia="ru-RU"/>
        </w:rPr>
        <w:t>Обособленное подразделение АО «СИБЭКО» Барабинская ТЭЦ:</w:t>
      </w:r>
    </w:p>
    <w:p w:rsidR="002D1E45" w:rsidRPr="007C5DD1" w:rsidRDefault="002D1E45" w:rsidP="007C5DD1">
      <w:pPr>
        <w:numPr>
          <w:ilvl w:val="0"/>
          <w:numId w:val="24"/>
        </w:numPr>
        <w:spacing w:after="0" w:line="240" w:lineRule="auto"/>
        <w:jc w:val="both"/>
        <w:rPr>
          <w:rFonts w:ascii="Times New Roman" w:hAnsi="Times New Roman"/>
          <w:sz w:val="28"/>
          <w:szCs w:val="28"/>
          <w:lang w:eastAsia="ru-RU"/>
        </w:rPr>
      </w:pPr>
      <w:r w:rsidRPr="007C5DD1">
        <w:rPr>
          <w:rFonts w:ascii="Times New Roman" w:hAnsi="Times New Roman"/>
          <w:sz w:val="28"/>
          <w:szCs w:val="28"/>
        </w:rPr>
        <w:t>отдельно</w:t>
      </w:r>
      <w:r w:rsidRPr="007C5DD1">
        <w:rPr>
          <w:rFonts w:ascii="Times New Roman" w:hAnsi="Times New Roman"/>
          <w:sz w:val="28"/>
          <w:szCs w:val="28"/>
          <w:lang w:eastAsia="ru-RU"/>
        </w:rPr>
        <w:t xml:space="preserve"> стоящее защитное сооружение, совмещённое с ЗПУ, вместимость </w:t>
      </w:r>
      <w:r>
        <w:rPr>
          <w:rFonts w:ascii="Times New Roman" w:hAnsi="Times New Roman"/>
          <w:sz w:val="28"/>
          <w:szCs w:val="28"/>
          <w:lang w:eastAsia="ru-RU"/>
        </w:rPr>
        <w:t xml:space="preserve">– </w:t>
      </w:r>
      <w:r w:rsidRPr="007C5DD1">
        <w:rPr>
          <w:rFonts w:ascii="Times New Roman" w:hAnsi="Times New Roman"/>
          <w:sz w:val="28"/>
          <w:szCs w:val="28"/>
          <w:lang w:eastAsia="ru-RU"/>
        </w:rPr>
        <w:t>115 человек.</w:t>
      </w:r>
    </w:p>
    <w:p w:rsidR="002D1E45" w:rsidRDefault="002D1E45" w:rsidP="006F130F">
      <w:pPr>
        <w:spacing w:after="0" w:line="240" w:lineRule="auto"/>
        <w:ind w:firstLine="709"/>
        <w:jc w:val="right"/>
        <w:rPr>
          <w:rFonts w:ascii="Times New Roman" w:hAnsi="Times New Roman"/>
          <w:sz w:val="28"/>
          <w:szCs w:val="28"/>
        </w:rPr>
      </w:pPr>
    </w:p>
    <w:p w:rsidR="002D1E45" w:rsidRPr="006F130F" w:rsidRDefault="002D1E45" w:rsidP="006F130F">
      <w:pPr>
        <w:spacing w:after="0" w:line="240" w:lineRule="auto"/>
        <w:ind w:firstLine="709"/>
        <w:jc w:val="both"/>
        <w:rPr>
          <w:rFonts w:ascii="Times New Roman" w:hAnsi="Times New Roman"/>
          <w:i/>
          <w:sz w:val="28"/>
          <w:szCs w:val="28"/>
          <w:u w:val="single"/>
          <w:lang w:eastAsia="ru-RU"/>
        </w:rPr>
      </w:pPr>
      <w:r w:rsidRPr="006F130F">
        <w:rPr>
          <w:rFonts w:ascii="Times New Roman" w:hAnsi="Times New Roman"/>
          <w:i/>
          <w:sz w:val="28"/>
          <w:szCs w:val="28"/>
          <w:u w:val="single"/>
          <w:lang w:eastAsia="ru-RU"/>
        </w:rPr>
        <w:t>Использование средств индивидуальной защиты.</w:t>
      </w:r>
    </w:p>
    <w:p w:rsidR="002D1E45" w:rsidRPr="006F130F" w:rsidRDefault="002D1E45" w:rsidP="006F130F">
      <w:pPr>
        <w:spacing w:after="0" w:line="240" w:lineRule="auto"/>
        <w:ind w:firstLine="709"/>
        <w:jc w:val="both"/>
        <w:rPr>
          <w:rFonts w:ascii="Times New Roman" w:hAnsi="Times New Roman"/>
          <w:sz w:val="28"/>
          <w:szCs w:val="28"/>
          <w:lang w:eastAsia="ru-RU"/>
        </w:rPr>
      </w:pPr>
      <w:r w:rsidRPr="006F130F">
        <w:rPr>
          <w:rFonts w:ascii="Times New Roman" w:hAnsi="Times New Roman"/>
          <w:sz w:val="28"/>
          <w:szCs w:val="28"/>
          <w:lang w:eastAsia="ru-RU"/>
        </w:rPr>
        <w:t>По предназначению средства индивидуальной защиты (СИЗ) подразделяются на</w:t>
      </w:r>
      <w:r>
        <w:rPr>
          <w:rFonts w:ascii="Times New Roman" w:hAnsi="Times New Roman"/>
          <w:sz w:val="28"/>
          <w:szCs w:val="28"/>
          <w:lang w:eastAsia="ru-RU"/>
        </w:rPr>
        <w:t> </w:t>
      </w:r>
      <w:r w:rsidRPr="006F130F">
        <w:rPr>
          <w:rFonts w:ascii="Times New Roman" w:hAnsi="Times New Roman"/>
          <w:sz w:val="28"/>
          <w:szCs w:val="28"/>
          <w:lang w:eastAsia="ru-RU"/>
        </w:rPr>
        <w:t>средства индивидуальной защиты органов дыхания (СИЗОД) и</w:t>
      </w:r>
      <w:r>
        <w:rPr>
          <w:rFonts w:ascii="Times New Roman" w:hAnsi="Times New Roman"/>
          <w:sz w:val="28"/>
          <w:szCs w:val="28"/>
          <w:lang w:eastAsia="ru-RU"/>
        </w:rPr>
        <w:t> </w:t>
      </w:r>
      <w:r w:rsidRPr="006F130F">
        <w:rPr>
          <w:rFonts w:ascii="Times New Roman" w:hAnsi="Times New Roman"/>
          <w:sz w:val="28"/>
          <w:szCs w:val="28"/>
          <w:lang w:eastAsia="ru-RU"/>
        </w:rPr>
        <w:t>средства защиты кожи (СЗК), по</w:t>
      </w:r>
      <w:r>
        <w:rPr>
          <w:rFonts w:ascii="Times New Roman" w:hAnsi="Times New Roman"/>
          <w:sz w:val="28"/>
          <w:szCs w:val="28"/>
          <w:lang w:eastAsia="ru-RU"/>
        </w:rPr>
        <w:t> </w:t>
      </w:r>
      <w:r w:rsidRPr="006F130F">
        <w:rPr>
          <w:rFonts w:ascii="Times New Roman" w:hAnsi="Times New Roman"/>
          <w:sz w:val="28"/>
          <w:szCs w:val="28"/>
          <w:lang w:eastAsia="ru-RU"/>
        </w:rPr>
        <w:t>принципу защитного действия – на</w:t>
      </w:r>
      <w:r>
        <w:rPr>
          <w:rFonts w:ascii="Times New Roman" w:hAnsi="Times New Roman"/>
          <w:sz w:val="28"/>
          <w:szCs w:val="28"/>
          <w:lang w:eastAsia="ru-RU"/>
        </w:rPr>
        <w:t> </w:t>
      </w:r>
      <w:r w:rsidRPr="006F130F">
        <w:rPr>
          <w:rFonts w:ascii="Times New Roman" w:hAnsi="Times New Roman"/>
          <w:sz w:val="28"/>
          <w:szCs w:val="28"/>
          <w:lang w:eastAsia="ru-RU"/>
        </w:rPr>
        <w:t>средства индивидуальной защиты фильтрующего и</w:t>
      </w:r>
      <w:r>
        <w:rPr>
          <w:rFonts w:ascii="Times New Roman" w:hAnsi="Times New Roman"/>
          <w:sz w:val="28"/>
          <w:szCs w:val="28"/>
          <w:lang w:eastAsia="ru-RU"/>
        </w:rPr>
        <w:t> </w:t>
      </w:r>
      <w:r w:rsidRPr="006F130F">
        <w:rPr>
          <w:rFonts w:ascii="Times New Roman" w:hAnsi="Times New Roman"/>
          <w:sz w:val="28"/>
          <w:szCs w:val="28"/>
          <w:lang w:eastAsia="ru-RU"/>
        </w:rPr>
        <w:t>изолирующего типов.</w:t>
      </w:r>
    </w:p>
    <w:p w:rsidR="002D1E45" w:rsidRPr="006F130F" w:rsidRDefault="002D1E45" w:rsidP="006F130F">
      <w:pPr>
        <w:spacing w:after="0" w:line="240" w:lineRule="auto"/>
        <w:ind w:firstLine="709"/>
        <w:jc w:val="both"/>
        <w:rPr>
          <w:rFonts w:ascii="Times New Roman" w:hAnsi="Times New Roman"/>
          <w:sz w:val="28"/>
          <w:szCs w:val="28"/>
          <w:lang w:eastAsia="ru-RU"/>
        </w:rPr>
      </w:pPr>
      <w:r w:rsidRPr="006F130F">
        <w:rPr>
          <w:rFonts w:ascii="Times New Roman" w:hAnsi="Times New Roman"/>
          <w:sz w:val="28"/>
          <w:szCs w:val="28"/>
          <w:lang w:eastAsia="ru-RU"/>
        </w:rPr>
        <w:t>К средствам индивидуальной защиты органов дыхания относятся противогазы и</w:t>
      </w:r>
      <w:r>
        <w:rPr>
          <w:rFonts w:ascii="Times New Roman" w:hAnsi="Times New Roman"/>
          <w:sz w:val="28"/>
          <w:szCs w:val="28"/>
          <w:lang w:eastAsia="ru-RU"/>
        </w:rPr>
        <w:t> </w:t>
      </w:r>
      <w:r w:rsidRPr="006F130F">
        <w:rPr>
          <w:rFonts w:ascii="Times New Roman" w:hAnsi="Times New Roman"/>
          <w:sz w:val="28"/>
          <w:szCs w:val="28"/>
          <w:lang w:eastAsia="ru-RU"/>
        </w:rPr>
        <w:t>респираторы, и</w:t>
      </w:r>
      <w:r>
        <w:rPr>
          <w:rFonts w:ascii="Times New Roman" w:hAnsi="Times New Roman"/>
          <w:sz w:val="28"/>
          <w:szCs w:val="28"/>
          <w:lang w:eastAsia="ru-RU"/>
        </w:rPr>
        <w:t> </w:t>
      </w:r>
      <w:r w:rsidRPr="006F130F">
        <w:rPr>
          <w:rFonts w:ascii="Times New Roman" w:hAnsi="Times New Roman"/>
          <w:sz w:val="28"/>
          <w:szCs w:val="28"/>
          <w:lang w:eastAsia="ru-RU"/>
        </w:rPr>
        <w:t>простейшие средства защиты (противопыльные тканевые маски и</w:t>
      </w:r>
      <w:r>
        <w:rPr>
          <w:rFonts w:ascii="Times New Roman" w:hAnsi="Times New Roman"/>
          <w:sz w:val="28"/>
          <w:szCs w:val="28"/>
          <w:lang w:eastAsia="ru-RU"/>
        </w:rPr>
        <w:t> </w:t>
      </w:r>
      <w:r w:rsidRPr="006F130F">
        <w:rPr>
          <w:rFonts w:ascii="Times New Roman" w:hAnsi="Times New Roman"/>
          <w:sz w:val="28"/>
          <w:szCs w:val="28"/>
          <w:lang w:eastAsia="ru-RU"/>
        </w:rPr>
        <w:t>ватно-марлевые повязки).</w:t>
      </w:r>
    </w:p>
    <w:p w:rsidR="002D1E45" w:rsidRPr="006F130F" w:rsidRDefault="002D1E45" w:rsidP="006F130F">
      <w:pPr>
        <w:spacing w:after="0" w:line="240" w:lineRule="auto"/>
        <w:ind w:firstLine="709"/>
        <w:jc w:val="both"/>
        <w:rPr>
          <w:rFonts w:ascii="Times New Roman" w:hAnsi="Times New Roman"/>
          <w:sz w:val="28"/>
          <w:szCs w:val="28"/>
          <w:lang w:eastAsia="ru-RU"/>
        </w:rPr>
      </w:pPr>
      <w:r w:rsidRPr="006F130F">
        <w:rPr>
          <w:rFonts w:ascii="Times New Roman" w:hAnsi="Times New Roman"/>
          <w:sz w:val="28"/>
          <w:szCs w:val="28"/>
          <w:lang w:eastAsia="ru-RU"/>
        </w:rPr>
        <w:t>К средствам защиты кожи относится специальная защитная одежда из</w:t>
      </w:r>
      <w:r>
        <w:rPr>
          <w:rFonts w:ascii="Times New Roman" w:hAnsi="Times New Roman"/>
          <w:sz w:val="28"/>
          <w:szCs w:val="28"/>
          <w:lang w:eastAsia="ru-RU"/>
        </w:rPr>
        <w:t> </w:t>
      </w:r>
      <w:r w:rsidRPr="006F130F">
        <w:rPr>
          <w:rFonts w:ascii="Times New Roman" w:hAnsi="Times New Roman"/>
          <w:sz w:val="28"/>
          <w:szCs w:val="28"/>
          <w:lang w:eastAsia="ru-RU"/>
        </w:rPr>
        <w:t>прорезиненных и</w:t>
      </w:r>
      <w:r>
        <w:rPr>
          <w:rFonts w:ascii="Times New Roman" w:hAnsi="Times New Roman"/>
          <w:sz w:val="28"/>
          <w:szCs w:val="28"/>
          <w:lang w:eastAsia="ru-RU"/>
        </w:rPr>
        <w:t> </w:t>
      </w:r>
      <w:r w:rsidRPr="006F130F">
        <w:rPr>
          <w:rFonts w:ascii="Times New Roman" w:hAnsi="Times New Roman"/>
          <w:sz w:val="28"/>
          <w:szCs w:val="28"/>
          <w:lang w:eastAsia="ru-RU"/>
        </w:rPr>
        <w:t>других тканей изолирующего типа, а</w:t>
      </w:r>
      <w:r>
        <w:rPr>
          <w:rFonts w:ascii="Times New Roman" w:hAnsi="Times New Roman"/>
          <w:sz w:val="28"/>
          <w:szCs w:val="28"/>
          <w:lang w:eastAsia="ru-RU"/>
        </w:rPr>
        <w:t> </w:t>
      </w:r>
      <w:r w:rsidRPr="006F130F">
        <w:rPr>
          <w:rFonts w:ascii="Times New Roman" w:hAnsi="Times New Roman"/>
          <w:sz w:val="28"/>
          <w:szCs w:val="28"/>
          <w:lang w:eastAsia="ru-RU"/>
        </w:rPr>
        <w:t>также может использоваться бытовая одежда из</w:t>
      </w:r>
      <w:r>
        <w:rPr>
          <w:rFonts w:ascii="Times New Roman" w:hAnsi="Times New Roman"/>
          <w:sz w:val="28"/>
          <w:szCs w:val="28"/>
          <w:lang w:eastAsia="ru-RU"/>
        </w:rPr>
        <w:t> </w:t>
      </w:r>
      <w:r w:rsidRPr="006F130F">
        <w:rPr>
          <w:rFonts w:ascii="Times New Roman" w:hAnsi="Times New Roman"/>
          <w:sz w:val="28"/>
          <w:szCs w:val="28"/>
          <w:lang w:eastAsia="ru-RU"/>
        </w:rPr>
        <w:t>полиэтиленовых и</w:t>
      </w:r>
      <w:r>
        <w:rPr>
          <w:rFonts w:ascii="Times New Roman" w:hAnsi="Times New Roman"/>
          <w:sz w:val="28"/>
          <w:szCs w:val="28"/>
          <w:lang w:eastAsia="ru-RU"/>
        </w:rPr>
        <w:t> </w:t>
      </w:r>
      <w:r w:rsidRPr="006F130F">
        <w:rPr>
          <w:rFonts w:ascii="Times New Roman" w:hAnsi="Times New Roman"/>
          <w:sz w:val="28"/>
          <w:szCs w:val="28"/>
          <w:lang w:eastAsia="ru-RU"/>
        </w:rPr>
        <w:t>других влаго- и</w:t>
      </w:r>
      <w:r>
        <w:rPr>
          <w:rFonts w:ascii="Times New Roman" w:hAnsi="Times New Roman"/>
          <w:sz w:val="28"/>
          <w:szCs w:val="28"/>
          <w:lang w:eastAsia="ru-RU"/>
        </w:rPr>
        <w:t> </w:t>
      </w:r>
      <w:r w:rsidRPr="006F130F">
        <w:rPr>
          <w:rFonts w:ascii="Times New Roman" w:hAnsi="Times New Roman"/>
          <w:sz w:val="28"/>
          <w:szCs w:val="28"/>
          <w:lang w:eastAsia="ru-RU"/>
        </w:rPr>
        <w:t>пыленепроницаемых материалов.</w:t>
      </w:r>
    </w:p>
    <w:p w:rsidR="002D1E45" w:rsidRPr="006F130F" w:rsidRDefault="002D1E45" w:rsidP="006F130F">
      <w:pPr>
        <w:spacing w:after="0" w:line="240" w:lineRule="auto"/>
        <w:ind w:firstLine="709"/>
        <w:jc w:val="both"/>
        <w:rPr>
          <w:rFonts w:ascii="Times New Roman" w:hAnsi="Times New Roman"/>
          <w:sz w:val="28"/>
          <w:szCs w:val="28"/>
          <w:lang w:eastAsia="ru-RU"/>
        </w:rPr>
      </w:pPr>
      <w:r w:rsidRPr="006F130F">
        <w:rPr>
          <w:rFonts w:ascii="Times New Roman" w:hAnsi="Times New Roman"/>
          <w:sz w:val="28"/>
          <w:szCs w:val="28"/>
          <w:lang w:eastAsia="ru-RU"/>
        </w:rPr>
        <w:t>При угрозе выбросов сильнодействующих ядовитых веществ (СДЯВ) рабочим и</w:t>
      </w:r>
      <w:r>
        <w:rPr>
          <w:rFonts w:ascii="Times New Roman" w:hAnsi="Times New Roman"/>
          <w:sz w:val="28"/>
          <w:szCs w:val="28"/>
          <w:lang w:eastAsia="ru-RU"/>
        </w:rPr>
        <w:t> </w:t>
      </w:r>
      <w:r w:rsidRPr="006F130F">
        <w:rPr>
          <w:rFonts w:ascii="Times New Roman" w:hAnsi="Times New Roman"/>
          <w:sz w:val="28"/>
          <w:szCs w:val="28"/>
          <w:lang w:eastAsia="ru-RU"/>
        </w:rPr>
        <w:t>служащим выдаются имеющиеся на</w:t>
      </w:r>
      <w:r>
        <w:rPr>
          <w:rFonts w:ascii="Times New Roman" w:hAnsi="Times New Roman"/>
          <w:sz w:val="28"/>
          <w:szCs w:val="28"/>
          <w:lang w:eastAsia="ru-RU"/>
        </w:rPr>
        <w:t> </w:t>
      </w:r>
      <w:r w:rsidRPr="006F130F">
        <w:rPr>
          <w:rFonts w:ascii="Times New Roman" w:hAnsi="Times New Roman"/>
          <w:sz w:val="28"/>
          <w:szCs w:val="28"/>
          <w:lang w:eastAsia="ru-RU"/>
        </w:rPr>
        <w:t>предприятии СИЗ (Ч+24 час).</w:t>
      </w:r>
    </w:p>
    <w:p w:rsidR="002D1E45" w:rsidRPr="006F130F" w:rsidRDefault="002D1E45" w:rsidP="006F130F">
      <w:pPr>
        <w:spacing w:after="0" w:line="240" w:lineRule="auto"/>
        <w:ind w:firstLine="709"/>
        <w:jc w:val="both"/>
        <w:rPr>
          <w:rFonts w:ascii="Times New Roman" w:hAnsi="Times New Roman"/>
          <w:sz w:val="28"/>
          <w:szCs w:val="28"/>
          <w:lang w:eastAsia="ru-RU"/>
        </w:rPr>
      </w:pPr>
      <w:r w:rsidRPr="006F130F">
        <w:rPr>
          <w:rFonts w:ascii="Times New Roman" w:hAnsi="Times New Roman"/>
          <w:sz w:val="28"/>
          <w:szCs w:val="28"/>
          <w:lang w:eastAsia="ru-RU"/>
        </w:rPr>
        <w:t>Аварийно-спасательным формированиям, рабочим и</w:t>
      </w:r>
      <w:r>
        <w:rPr>
          <w:rFonts w:ascii="Times New Roman" w:hAnsi="Times New Roman"/>
          <w:sz w:val="28"/>
          <w:szCs w:val="28"/>
          <w:lang w:eastAsia="ru-RU"/>
        </w:rPr>
        <w:t> </w:t>
      </w:r>
      <w:r w:rsidRPr="006F130F">
        <w:rPr>
          <w:rFonts w:ascii="Times New Roman" w:hAnsi="Times New Roman"/>
          <w:sz w:val="28"/>
          <w:szCs w:val="28"/>
          <w:lang w:eastAsia="ru-RU"/>
        </w:rPr>
        <w:t>служащим ПОО СИЗ выдаются немедленно после получения сигнала (Ч+30 мин).</w:t>
      </w:r>
    </w:p>
    <w:p w:rsidR="002D1E45" w:rsidRPr="006F130F" w:rsidRDefault="002D1E45" w:rsidP="006F130F">
      <w:pPr>
        <w:spacing w:after="0" w:line="240" w:lineRule="auto"/>
        <w:ind w:firstLine="709"/>
        <w:jc w:val="both"/>
        <w:rPr>
          <w:rFonts w:ascii="Times New Roman" w:hAnsi="Times New Roman"/>
          <w:i/>
          <w:sz w:val="28"/>
          <w:szCs w:val="28"/>
          <w:u w:val="single"/>
          <w:lang w:eastAsia="ru-RU"/>
        </w:rPr>
      </w:pPr>
      <w:r w:rsidRPr="006F130F">
        <w:rPr>
          <w:rFonts w:ascii="Times New Roman" w:hAnsi="Times New Roman"/>
          <w:i/>
          <w:sz w:val="28"/>
          <w:szCs w:val="28"/>
          <w:u w:val="single"/>
          <w:lang w:eastAsia="ru-RU"/>
        </w:rPr>
        <w:t>Медицинские мероприятия по</w:t>
      </w:r>
      <w:r>
        <w:rPr>
          <w:rFonts w:ascii="Times New Roman" w:hAnsi="Times New Roman"/>
          <w:i/>
          <w:sz w:val="28"/>
          <w:szCs w:val="28"/>
          <w:u w:val="single"/>
          <w:lang w:eastAsia="ru-RU"/>
        </w:rPr>
        <w:t> </w:t>
      </w:r>
      <w:r w:rsidRPr="006F130F">
        <w:rPr>
          <w:rFonts w:ascii="Times New Roman" w:hAnsi="Times New Roman"/>
          <w:i/>
          <w:sz w:val="28"/>
          <w:szCs w:val="28"/>
          <w:u w:val="single"/>
          <w:lang w:eastAsia="ru-RU"/>
        </w:rPr>
        <w:t>защите населения.</w:t>
      </w:r>
    </w:p>
    <w:p w:rsidR="002D1E45" w:rsidRPr="006F130F" w:rsidRDefault="002D1E45" w:rsidP="006F130F">
      <w:pPr>
        <w:spacing w:after="0" w:line="240" w:lineRule="auto"/>
        <w:ind w:firstLine="709"/>
        <w:jc w:val="both"/>
        <w:rPr>
          <w:rFonts w:ascii="Times New Roman" w:hAnsi="Times New Roman"/>
          <w:sz w:val="28"/>
          <w:szCs w:val="28"/>
          <w:lang w:eastAsia="ru-RU"/>
        </w:rPr>
      </w:pPr>
      <w:r w:rsidRPr="006F130F">
        <w:rPr>
          <w:rFonts w:ascii="Times New Roman" w:hAnsi="Times New Roman"/>
          <w:sz w:val="28"/>
          <w:szCs w:val="28"/>
          <w:lang w:eastAsia="ru-RU"/>
        </w:rPr>
        <w:t>Медицинские мероприятия по</w:t>
      </w:r>
      <w:r>
        <w:rPr>
          <w:rFonts w:ascii="Times New Roman" w:hAnsi="Times New Roman"/>
          <w:sz w:val="28"/>
          <w:szCs w:val="28"/>
          <w:lang w:eastAsia="ru-RU"/>
        </w:rPr>
        <w:t> </w:t>
      </w:r>
      <w:r w:rsidRPr="006F130F">
        <w:rPr>
          <w:rFonts w:ascii="Times New Roman" w:hAnsi="Times New Roman"/>
          <w:sz w:val="28"/>
          <w:szCs w:val="28"/>
          <w:lang w:eastAsia="ru-RU"/>
        </w:rPr>
        <w:t>защите населения представляют собой комплекс организационных, лечебно-профилактических, санитарно-гигиенических и</w:t>
      </w:r>
      <w:r>
        <w:rPr>
          <w:rFonts w:ascii="Times New Roman" w:hAnsi="Times New Roman"/>
          <w:sz w:val="28"/>
          <w:szCs w:val="28"/>
          <w:lang w:eastAsia="ru-RU"/>
        </w:rPr>
        <w:t> </w:t>
      </w:r>
      <w:r w:rsidRPr="006F130F">
        <w:rPr>
          <w:rFonts w:ascii="Times New Roman" w:hAnsi="Times New Roman"/>
          <w:sz w:val="28"/>
          <w:szCs w:val="28"/>
          <w:lang w:eastAsia="ru-RU"/>
        </w:rPr>
        <w:t>противоэпидемических мероприятий, направленных на</w:t>
      </w:r>
      <w:r>
        <w:rPr>
          <w:rFonts w:ascii="Times New Roman" w:hAnsi="Times New Roman"/>
          <w:sz w:val="28"/>
          <w:szCs w:val="28"/>
          <w:lang w:eastAsia="ru-RU"/>
        </w:rPr>
        <w:t> </w:t>
      </w:r>
      <w:r w:rsidRPr="006F130F">
        <w:rPr>
          <w:rFonts w:ascii="Times New Roman" w:hAnsi="Times New Roman"/>
          <w:sz w:val="28"/>
          <w:szCs w:val="28"/>
          <w:lang w:eastAsia="ru-RU"/>
        </w:rPr>
        <w:t>предотвращение или ослабление поражающих воздействий чрезвычайных ситуаций на</w:t>
      </w:r>
      <w:r>
        <w:rPr>
          <w:rFonts w:ascii="Times New Roman" w:hAnsi="Times New Roman"/>
          <w:sz w:val="28"/>
          <w:szCs w:val="28"/>
          <w:lang w:eastAsia="ru-RU"/>
        </w:rPr>
        <w:t> </w:t>
      </w:r>
      <w:r w:rsidRPr="006F130F">
        <w:rPr>
          <w:rFonts w:ascii="Times New Roman" w:hAnsi="Times New Roman"/>
          <w:sz w:val="28"/>
          <w:szCs w:val="28"/>
          <w:lang w:eastAsia="ru-RU"/>
        </w:rPr>
        <w:t>людей, оказание пострадавшим медицинской помощи, а</w:t>
      </w:r>
      <w:r>
        <w:rPr>
          <w:rFonts w:ascii="Times New Roman" w:hAnsi="Times New Roman"/>
          <w:sz w:val="28"/>
          <w:szCs w:val="28"/>
          <w:lang w:eastAsia="ru-RU"/>
        </w:rPr>
        <w:t> </w:t>
      </w:r>
      <w:r w:rsidRPr="006F130F">
        <w:rPr>
          <w:rFonts w:ascii="Times New Roman" w:hAnsi="Times New Roman"/>
          <w:sz w:val="28"/>
          <w:szCs w:val="28"/>
          <w:lang w:eastAsia="ru-RU"/>
        </w:rPr>
        <w:t>также на</w:t>
      </w:r>
      <w:r>
        <w:rPr>
          <w:rFonts w:ascii="Times New Roman" w:hAnsi="Times New Roman"/>
          <w:sz w:val="28"/>
          <w:szCs w:val="28"/>
          <w:lang w:eastAsia="ru-RU"/>
        </w:rPr>
        <w:t> </w:t>
      </w:r>
      <w:r w:rsidRPr="006F130F">
        <w:rPr>
          <w:rFonts w:ascii="Times New Roman" w:hAnsi="Times New Roman"/>
          <w:sz w:val="28"/>
          <w:szCs w:val="28"/>
          <w:lang w:eastAsia="ru-RU"/>
        </w:rPr>
        <w:t>обеспечение санитарно-эпидемиологического благополучия в</w:t>
      </w:r>
      <w:r>
        <w:rPr>
          <w:rFonts w:ascii="Times New Roman" w:hAnsi="Times New Roman"/>
          <w:sz w:val="28"/>
          <w:szCs w:val="28"/>
          <w:lang w:eastAsia="ru-RU"/>
        </w:rPr>
        <w:t> </w:t>
      </w:r>
      <w:r w:rsidRPr="006F130F">
        <w:rPr>
          <w:rFonts w:ascii="Times New Roman" w:hAnsi="Times New Roman"/>
          <w:sz w:val="28"/>
          <w:szCs w:val="28"/>
          <w:lang w:eastAsia="ru-RU"/>
        </w:rPr>
        <w:t>районах ЧС</w:t>
      </w:r>
      <w:r>
        <w:rPr>
          <w:rFonts w:ascii="Times New Roman" w:hAnsi="Times New Roman"/>
          <w:sz w:val="28"/>
          <w:szCs w:val="28"/>
          <w:lang w:eastAsia="ru-RU"/>
        </w:rPr>
        <w:t> </w:t>
      </w:r>
      <w:r w:rsidRPr="006F130F">
        <w:rPr>
          <w:rFonts w:ascii="Times New Roman" w:hAnsi="Times New Roman"/>
          <w:sz w:val="28"/>
          <w:szCs w:val="28"/>
          <w:lang w:eastAsia="ru-RU"/>
        </w:rPr>
        <w:t>и</w:t>
      </w:r>
      <w:r>
        <w:rPr>
          <w:rFonts w:ascii="Times New Roman" w:hAnsi="Times New Roman"/>
          <w:sz w:val="28"/>
          <w:szCs w:val="28"/>
          <w:lang w:eastAsia="ru-RU"/>
        </w:rPr>
        <w:t> </w:t>
      </w:r>
      <w:r w:rsidRPr="006F130F">
        <w:rPr>
          <w:rFonts w:ascii="Times New Roman" w:hAnsi="Times New Roman"/>
          <w:sz w:val="28"/>
          <w:szCs w:val="28"/>
          <w:lang w:eastAsia="ru-RU"/>
        </w:rPr>
        <w:t>в</w:t>
      </w:r>
      <w:r>
        <w:rPr>
          <w:rFonts w:ascii="Times New Roman" w:hAnsi="Times New Roman"/>
          <w:sz w:val="28"/>
          <w:szCs w:val="28"/>
          <w:lang w:eastAsia="ru-RU"/>
        </w:rPr>
        <w:t> </w:t>
      </w:r>
      <w:r w:rsidRPr="006F130F">
        <w:rPr>
          <w:rFonts w:ascii="Times New Roman" w:hAnsi="Times New Roman"/>
          <w:sz w:val="28"/>
          <w:szCs w:val="28"/>
          <w:lang w:eastAsia="ru-RU"/>
        </w:rPr>
        <w:t>местах размещения эвакуированного населения.</w:t>
      </w:r>
    </w:p>
    <w:p w:rsidR="002D1E45" w:rsidRPr="006F130F" w:rsidRDefault="002D1E45" w:rsidP="006F130F">
      <w:pPr>
        <w:spacing w:after="0" w:line="240" w:lineRule="auto"/>
        <w:ind w:firstLine="709"/>
        <w:jc w:val="both"/>
        <w:rPr>
          <w:rFonts w:ascii="Times New Roman" w:hAnsi="Times New Roman"/>
          <w:sz w:val="28"/>
          <w:szCs w:val="28"/>
          <w:lang w:eastAsia="ru-RU"/>
        </w:rPr>
      </w:pPr>
      <w:r w:rsidRPr="006F130F">
        <w:rPr>
          <w:rFonts w:ascii="Times New Roman" w:hAnsi="Times New Roman"/>
          <w:sz w:val="28"/>
          <w:szCs w:val="28"/>
          <w:lang w:eastAsia="ru-RU"/>
        </w:rPr>
        <w:t>Химические, химиотерапевтические, биологические препараты и</w:t>
      </w:r>
      <w:r>
        <w:rPr>
          <w:rFonts w:ascii="Times New Roman" w:hAnsi="Times New Roman"/>
          <w:sz w:val="28"/>
          <w:szCs w:val="28"/>
          <w:lang w:eastAsia="ru-RU"/>
        </w:rPr>
        <w:t> </w:t>
      </w:r>
      <w:r w:rsidRPr="006F130F">
        <w:rPr>
          <w:rFonts w:ascii="Times New Roman" w:hAnsi="Times New Roman"/>
          <w:sz w:val="28"/>
          <w:szCs w:val="28"/>
          <w:lang w:eastAsia="ru-RU"/>
        </w:rPr>
        <w:t>перевязочные средства, предназначенные для предотвращения или ослабления воздействия на</w:t>
      </w:r>
      <w:r>
        <w:rPr>
          <w:rFonts w:ascii="Times New Roman" w:hAnsi="Times New Roman"/>
          <w:sz w:val="28"/>
          <w:szCs w:val="28"/>
          <w:lang w:eastAsia="ru-RU"/>
        </w:rPr>
        <w:t> </w:t>
      </w:r>
      <w:r w:rsidRPr="006F130F">
        <w:rPr>
          <w:rFonts w:ascii="Times New Roman" w:hAnsi="Times New Roman"/>
          <w:sz w:val="28"/>
          <w:szCs w:val="28"/>
          <w:lang w:eastAsia="ru-RU"/>
        </w:rPr>
        <w:t>человека поражающих факторов источников и</w:t>
      </w:r>
      <w:r>
        <w:rPr>
          <w:rFonts w:ascii="Times New Roman" w:hAnsi="Times New Roman"/>
          <w:sz w:val="28"/>
          <w:szCs w:val="28"/>
          <w:lang w:eastAsia="ru-RU"/>
        </w:rPr>
        <w:t> </w:t>
      </w:r>
      <w:r w:rsidRPr="006F130F">
        <w:rPr>
          <w:rFonts w:ascii="Times New Roman" w:hAnsi="Times New Roman"/>
          <w:sz w:val="28"/>
          <w:szCs w:val="28"/>
          <w:lang w:eastAsia="ru-RU"/>
        </w:rPr>
        <w:t>самих чрезвычайных ситуаций и</w:t>
      </w:r>
      <w:r>
        <w:rPr>
          <w:rFonts w:ascii="Times New Roman" w:hAnsi="Times New Roman"/>
          <w:sz w:val="28"/>
          <w:szCs w:val="28"/>
          <w:lang w:eastAsia="ru-RU"/>
        </w:rPr>
        <w:t> </w:t>
      </w:r>
      <w:r w:rsidRPr="006F130F">
        <w:rPr>
          <w:rFonts w:ascii="Times New Roman" w:hAnsi="Times New Roman"/>
          <w:sz w:val="28"/>
          <w:szCs w:val="28"/>
          <w:lang w:eastAsia="ru-RU"/>
        </w:rPr>
        <w:t>используемые либо самостоятельно, либо в</w:t>
      </w:r>
      <w:r>
        <w:rPr>
          <w:rFonts w:ascii="Times New Roman" w:hAnsi="Times New Roman"/>
          <w:sz w:val="28"/>
          <w:szCs w:val="28"/>
          <w:lang w:eastAsia="ru-RU"/>
        </w:rPr>
        <w:t> </w:t>
      </w:r>
      <w:r w:rsidRPr="006F130F">
        <w:rPr>
          <w:rFonts w:ascii="Times New Roman" w:hAnsi="Times New Roman"/>
          <w:sz w:val="28"/>
          <w:szCs w:val="28"/>
          <w:lang w:eastAsia="ru-RU"/>
        </w:rPr>
        <w:t>порядке взаимопомощи включены в</w:t>
      </w:r>
      <w:r>
        <w:rPr>
          <w:rFonts w:ascii="Times New Roman" w:hAnsi="Times New Roman"/>
          <w:sz w:val="28"/>
          <w:szCs w:val="28"/>
          <w:lang w:eastAsia="ru-RU"/>
        </w:rPr>
        <w:t> </w:t>
      </w:r>
      <w:r w:rsidRPr="006F130F">
        <w:rPr>
          <w:rFonts w:ascii="Times New Roman" w:hAnsi="Times New Roman"/>
          <w:sz w:val="28"/>
          <w:szCs w:val="28"/>
          <w:lang w:eastAsia="ru-RU"/>
        </w:rPr>
        <w:t>состав медицинских средств индивидуальной защиты.</w:t>
      </w:r>
    </w:p>
    <w:p w:rsidR="002D1E45" w:rsidRPr="006F130F" w:rsidRDefault="002D1E45" w:rsidP="006F130F">
      <w:pPr>
        <w:spacing w:after="0" w:line="240" w:lineRule="auto"/>
        <w:ind w:firstLine="709"/>
        <w:jc w:val="both"/>
        <w:rPr>
          <w:rFonts w:ascii="Times New Roman" w:hAnsi="Times New Roman"/>
          <w:sz w:val="28"/>
          <w:szCs w:val="28"/>
          <w:lang w:eastAsia="ru-RU"/>
        </w:rPr>
      </w:pPr>
      <w:r w:rsidRPr="006F130F">
        <w:rPr>
          <w:rFonts w:ascii="Times New Roman" w:hAnsi="Times New Roman"/>
          <w:sz w:val="28"/>
          <w:szCs w:val="28"/>
          <w:lang w:eastAsia="ru-RU"/>
        </w:rPr>
        <w:t>Непосредственно в</w:t>
      </w:r>
      <w:r>
        <w:rPr>
          <w:rFonts w:ascii="Times New Roman" w:hAnsi="Times New Roman"/>
          <w:sz w:val="28"/>
          <w:szCs w:val="28"/>
          <w:lang w:eastAsia="ru-RU"/>
        </w:rPr>
        <w:t> </w:t>
      </w:r>
      <w:r w:rsidRPr="006F130F">
        <w:rPr>
          <w:rFonts w:ascii="Times New Roman" w:hAnsi="Times New Roman"/>
          <w:sz w:val="28"/>
          <w:szCs w:val="28"/>
          <w:lang w:eastAsia="ru-RU"/>
        </w:rPr>
        <w:t>очаге поражения организуется оказание поражённым первой медицинской и</w:t>
      </w:r>
      <w:r>
        <w:rPr>
          <w:rFonts w:ascii="Times New Roman" w:hAnsi="Times New Roman"/>
          <w:sz w:val="28"/>
          <w:szCs w:val="28"/>
          <w:lang w:eastAsia="ru-RU"/>
        </w:rPr>
        <w:t> </w:t>
      </w:r>
      <w:r w:rsidRPr="006F130F">
        <w:rPr>
          <w:rFonts w:ascii="Times New Roman" w:hAnsi="Times New Roman"/>
          <w:sz w:val="28"/>
          <w:szCs w:val="28"/>
          <w:lang w:eastAsia="ru-RU"/>
        </w:rPr>
        <w:t>первой врачебной помощи, а</w:t>
      </w:r>
      <w:r>
        <w:rPr>
          <w:rFonts w:ascii="Times New Roman" w:hAnsi="Times New Roman"/>
          <w:sz w:val="28"/>
          <w:szCs w:val="28"/>
          <w:lang w:eastAsia="ru-RU"/>
        </w:rPr>
        <w:t> </w:t>
      </w:r>
      <w:r w:rsidRPr="006F130F">
        <w:rPr>
          <w:rFonts w:ascii="Times New Roman" w:hAnsi="Times New Roman"/>
          <w:sz w:val="28"/>
          <w:szCs w:val="28"/>
          <w:lang w:eastAsia="ru-RU"/>
        </w:rPr>
        <w:t>в</w:t>
      </w:r>
      <w:r>
        <w:rPr>
          <w:rFonts w:ascii="Times New Roman" w:hAnsi="Times New Roman"/>
          <w:sz w:val="28"/>
          <w:szCs w:val="28"/>
          <w:lang w:eastAsia="ru-RU"/>
        </w:rPr>
        <w:t> </w:t>
      </w:r>
      <w:r w:rsidRPr="006F130F">
        <w:rPr>
          <w:rFonts w:ascii="Times New Roman" w:hAnsi="Times New Roman"/>
          <w:sz w:val="28"/>
          <w:szCs w:val="28"/>
          <w:lang w:eastAsia="ru-RU"/>
        </w:rPr>
        <w:t>расположенных за</w:t>
      </w:r>
      <w:r>
        <w:rPr>
          <w:rFonts w:ascii="Times New Roman" w:hAnsi="Times New Roman"/>
          <w:sz w:val="28"/>
          <w:szCs w:val="28"/>
          <w:lang w:eastAsia="ru-RU"/>
        </w:rPr>
        <w:t> </w:t>
      </w:r>
      <w:r w:rsidRPr="006F130F">
        <w:rPr>
          <w:rFonts w:ascii="Times New Roman" w:hAnsi="Times New Roman"/>
          <w:sz w:val="28"/>
          <w:szCs w:val="28"/>
          <w:lang w:eastAsia="ru-RU"/>
        </w:rPr>
        <w:t>пределами очага лечебных учреждениях оказывается квалифицированная и</w:t>
      </w:r>
      <w:r>
        <w:rPr>
          <w:rFonts w:ascii="Times New Roman" w:hAnsi="Times New Roman"/>
          <w:sz w:val="28"/>
          <w:szCs w:val="28"/>
          <w:lang w:eastAsia="ru-RU"/>
        </w:rPr>
        <w:t> </w:t>
      </w:r>
      <w:r w:rsidRPr="006F130F">
        <w:rPr>
          <w:rFonts w:ascii="Times New Roman" w:hAnsi="Times New Roman"/>
          <w:sz w:val="28"/>
          <w:szCs w:val="28"/>
          <w:lang w:eastAsia="ru-RU"/>
        </w:rPr>
        <w:t>специализированная медицинская помощь. Первая медицинская помощь оказывается на</w:t>
      </w:r>
      <w:r>
        <w:rPr>
          <w:rFonts w:ascii="Times New Roman" w:hAnsi="Times New Roman"/>
          <w:sz w:val="28"/>
          <w:szCs w:val="28"/>
          <w:lang w:eastAsia="ru-RU"/>
        </w:rPr>
        <w:t> </w:t>
      </w:r>
      <w:r w:rsidRPr="006F130F">
        <w:rPr>
          <w:rFonts w:ascii="Times New Roman" w:hAnsi="Times New Roman"/>
          <w:sz w:val="28"/>
          <w:szCs w:val="28"/>
          <w:lang w:eastAsia="ru-RU"/>
        </w:rPr>
        <w:t>месте поражения в</w:t>
      </w:r>
      <w:r>
        <w:rPr>
          <w:rFonts w:ascii="Times New Roman" w:hAnsi="Times New Roman"/>
          <w:sz w:val="28"/>
          <w:szCs w:val="28"/>
          <w:lang w:eastAsia="ru-RU"/>
        </w:rPr>
        <w:t> </w:t>
      </w:r>
      <w:r w:rsidRPr="006F130F">
        <w:rPr>
          <w:rFonts w:ascii="Times New Roman" w:hAnsi="Times New Roman"/>
          <w:sz w:val="28"/>
          <w:szCs w:val="28"/>
          <w:lang w:eastAsia="ru-RU"/>
        </w:rPr>
        <w:t>порядке само- и</w:t>
      </w:r>
      <w:r>
        <w:rPr>
          <w:rFonts w:ascii="Times New Roman" w:hAnsi="Times New Roman"/>
          <w:sz w:val="28"/>
          <w:szCs w:val="28"/>
          <w:lang w:eastAsia="ru-RU"/>
        </w:rPr>
        <w:t> </w:t>
      </w:r>
      <w:r w:rsidRPr="006F130F">
        <w:rPr>
          <w:rFonts w:ascii="Times New Roman" w:hAnsi="Times New Roman"/>
          <w:sz w:val="28"/>
          <w:szCs w:val="28"/>
          <w:lang w:eastAsia="ru-RU"/>
        </w:rPr>
        <w:t>взаимопомощи самими пострадавшими, прибывающими командами спасателей.</w:t>
      </w:r>
    </w:p>
    <w:p w:rsidR="002D1E45" w:rsidRPr="006F130F" w:rsidRDefault="002D1E45" w:rsidP="006F130F">
      <w:pPr>
        <w:spacing w:after="0" w:line="240" w:lineRule="auto"/>
        <w:ind w:firstLine="709"/>
        <w:jc w:val="both"/>
        <w:rPr>
          <w:rFonts w:ascii="Times New Roman" w:hAnsi="Times New Roman"/>
          <w:sz w:val="28"/>
          <w:szCs w:val="28"/>
          <w:lang w:eastAsia="ru-RU"/>
        </w:rPr>
      </w:pPr>
      <w:r w:rsidRPr="006F130F">
        <w:rPr>
          <w:rFonts w:ascii="Times New Roman" w:hAnsi="Times New Roman"/>
          <w:sz w:val="28"/>
          <w:szCs w:val="28"/>
          <w:lang w:eastAsia="ru-RU"/>
        </w:rPr>
        <w:t>Обстановка в</w:t>
      </w:r>
      <w:r>
        <w:rPr>
          <w:rFonts w:ascii="Times New Roman" w:hAnsi="Times New Roman"/>
          <w:sz w:val="28"/>
          <w:szCs w:val="28"/>
          <w:lang w:eastAsia="ru-RU"/>
        </w:rPr>
        <w:t> </w:t>
      </w:r>
      <w:r w:rsidRPr="006F130F">
        <w:rPr>
          <w:rFonts w:ascii="Times New Roman" w:hAnsi="Times New Roman"/>
          <w:sz w:val="28"/>
          <w:szCs w:val="28"/>
          <w:lang w:eastAsia="ru-RU"/>
        </w:rPr>
        <w:t>районах катастроф может осложняться резким ухудшением санитарно-эпидемиологической обстановки и, в</w:t>
      </w:r>
      <w:r>
        <w:rPr>
          <w:rFonts w:ascii="Times New Roman" w:hAnsi="Times New Roman"/>
          <w:sz w:val="28"/>
          <w:szCs w:val="28"/>
          <w:lang w:eastAsia="ru-RU"/>
        </w:rPr>
        <w:t> </w:t>
      </w:r>
      <w:r w:rsidRPr="006F130F">
        <w:rPr>
          <w:rFonts w:ascii="Times New Roman" w:hAnsi="Times New Roman"/>
          <w:sz w:val="28"/>
          <w:szCs w:val="28"/>
          <w:lang w:eastAsia="ru-RU"/>
        </w:rPr>
        <w:t>связи с</w:t>
      </w:r>
      <w:r>
        <w:rPr>
          <w:rFonts w:ascii="Times New Roman" w:hAnsi="Times New Roman"/>
          <w:sz w:val="28"/>
          <w:szCs w:val="28"/>
          <w:lang w:eastAsia="ru-RU"/>
        </w:rPr>
        <w:t> </w:t>
      </w:r>
      <w:r w:rsidRPr="006F130F">
        <w:rPr>
          <w:rFonts w:ascii="Times New Roman" w:hAnsi="Times New Roman"/>
          <w:sz w:val="28"/>
          <w:szCs w:val="28"/>
          <w:lang w:eastAsia="ru-RU"/>
        </w:rPr>
        <w:t>этим, опасностью возникновения и</w:t>
      </w:r>
      <w:r>
        <w:rPr>
          <w:rFonts w:ascii="Times New Roman" w:hAnsi="Times New Roman"/>
          <w:sz w:val="28"/>
          <w:szCs w:val="28"/>
          <w:lang w:eastAsia="ru-RU"/>
        </w:rPr>
        <w:t> </w:t>
      </w:r>
      <w:r w:rsidRPr="006F130F">
        <w:rPr>
          <w:rFonts w:ascii="Times New Roman" w:hAnsi="Times New Roman"/>
          <w:sz w:val="28"/>
          <w:szCs w:val="28"/>
          <w:lang w:eastAsia="ru-RU"/>
        </w:rPr>
        <w:t>распространения инфекционных, главным образом желудочно-кишечных, заболеваний. Поэтому наряду с</w:t>
      </w:r>
      <w:r>
        <w:rPr>
          <w:rFonts w:ascii="Times New Roman" w:hAnsi="Times New Roman"/>
          <w:sz w:val="28"/>
          <w:szCs w:val="28"/>
          <w:lang w:eastAsia="ru-RU"/>
        </w:rPr>
        <w:t> </w:t>
      </w:r>
      <w:r w:rsidRPr="006F130F">
        <w:rPr>
          <w:rFonts w:ascii="Times New Roman" w:hAnsi="Times New Roman"/>
          <w:sz w:val="28"/>
          <w:szCs w:val="28"/>
          <w:lang w:eastAsia="ru-RU"/>
        </w:rPr>
        <w:t>оказанием медицинской помощи в</w:t>
      </w:r>
      <w:r>
        <w:rPr>
          <w:rFonts w:ascii="Times New Roman" w:hAnsi="Times New Roman"/>
          <w:sz w:val="28"/>
          <w:szCs w:val="28"/>
          <w:lang w:eastAsia="ru-RU"/>
        </w:rPr>
        <w:t> </w:t>
      </w:r>
      <w:r w:rsidRPr="006F130F">
        <w:rPr>
          <w:rFonts w:ascii="Times New Roman" w:hAnsi="Times New Roman"/>
          <w:sz w:val="28"/>
          <w:szCs w:val="28"/>
          <w:lang w:eastAsia="ru-RU"/>
        </w:rPr>
        <w:t>районе стихийного бедствия важное значение в</w:t>
      </w:r>
      <w:r>
        <w:rPr>
          <w:rFonts w:ascii="Times New Roman" w:hAnsi="Times New Roman"/>
          <w:sz w:val="28"/>
          <w:szCs w:val="28"/>
          <w:lang w:eastAsia="ru-RU"/>
        </w:rPr>
        <w:t> </w:t>
      </w:r>
      <w:r w:rsidRPr="006F130F">
        <w:rPr>
          <w:rFonts w:ascii="Times New Roman" w:hAnsi="Times New Roman"/>
          <w:sz w:val="28"/>
          <w:szCs w:val="28"/>
          <w:lang w:eastAsia="ru-RU"/>
        </w:rPr>
        <w:t>период ликвидации медико-санитарных последствий приобретают санитарно-гигиенические и</w:t>
      </w:r>
      <w:r>
        <w:rPr>
          <w:rFonts w:ascii="Times New Roman" w:hAnsi="Times New Roman"/>
          <w:sz w:val="28"/>
          <w:szCs w:val="28"/>
          <w:lang w:eastAsia="ru-RU"/>
        </w:rPr>
        <w:t> </w:t>
      </w:r>
      <w:r w:rsidRPr="006F130F">
        <w:rPr>
          <w:rFonts w:ascii="Times New Roman" w:hAnsi="Times New Roman"/>
          <w:sz w:val="28"/>
          <w:szCs w:val="28"/>
          <w:lang w:eastAsia="ru-RU"/>
        </w:rPr>
        <w:t>противоэпидемические мероприятия, организуемые и</w:t>
      </w:r>
      <w:r>
        <w:rPr>
          <w:rFonts w:ascii="Times New Roman" w:hAnsi="Times New Roman"/>
          <w:sz w:val="28"/>
          <w:szCs w:val="28"/>
          <w:lang w:eastAsia="ru-RU"/>
        </w:rPr>
        <w:t> </w:t>
      </w:r>
      <w:r w:rsidRPr="006F130F">
        <w:rPr>
          <w:rFonts w:ascii="Times New Roman" w:hAnsi="Times New Roman"/>
          <w:sz w:val="28"/>
          <w:szCs w:val="28"/>
          <w:lang w:eastAsia="ru-RU"/>
        </w:rPr>
        <w:t>проводимые санитарно-надзорными органами.</w:t>
      </w:r>
    </w:p>
    <w:p w:rsidR="002D1E45" w:rsidRPr="006F130F" w:rsidRDefault="002D1E45" w:rsidP="006F130F">
      <w:pPr>
        <w:spacing w:after="0" w:line="240" w:lineRule="auto"/>
        <w:ind w:firstLine="709"/>
        <w:jc w:val="both"/>
        <w:rPr>
          <w:rFonts w:ascii="Times New Roman" w:hAnsi="Times New Roman"/>
          <w:sz w:val="28"/>
          <w:szCs w:val="28"/>
          <w:lang w:eastAsia="ru-RU"/>
        </w:rPr>
      </w:pPr>
      <w:r w:rsidRPr="006F130F">
        <w:rPr>
          <w:rFonts w:ascii="Times New Roman" w:hAnsi="Times New Roman"/>
          <w:sz w:val="28"/>
          <w:szCs w:val="28"/>
          <w:lang w:eastAsia="ru-RU"/>
        </w:rPr>
        <w:t>Для оказания квалифицированной медицинской помощи и</w:t>
      </w:r>
      <w:r>
        <w:rPr>
          <w:rFonts w:ascii="Times New Roman" w:hAnsi="Times New Roman"/>
          <w:sz w:val="28"/>
          <w:szCs w:val="28"/>
          <w:lang w:eastAsia="ru-RU"/>
        </w:rPr>
        <w:t> </w:t>
      </w:r>
      <w:r w:rsidRPr="006F130F">
        <w:rPr>
          <w:rFonts w:ascii="Times New Roman" w:hAnsi="Times New Roman"/>
          <w:sz w:val="28"/>
          <w:szCs w:val="28"/>
          <w:lang w:eastAsia="ru-RU"/>
        </w:rPr>
        <w:t>стационарного лечения больных приводится в</w:t>
      </w:r>
      <w:r>
        <w:rPr>
          <w:rFonts w:ascii="Times New Roman" w:hAnsi="Times New Roman"/>
          <w:sz w:val="28"/>
          <w:szCs w:val="28"/>
          <w:lang w:eastAsia="ru-RU"/>
        </w:rPr>
        <w:t> </w:t>
      </w:r>
      <w:r w:rsidRPr="006F130F">
        <w:rPr>
          <w:rFonts w:ascii="Times New Roman" w:hAnsi="Times New Roman"/>
          <w:sz w:val="28"/>
          <w:szCs w:val="28"/>
          <w:lang w:eastAsia="ru-RU"/>
        </w:rPr>
        <w:t>готовность ГБУЗ Новосибирской области «</w:t>
      </w:r>
      <w:r>
        <w:rPr>
          <w:rFonts w:ascii="Times New Roman" w:hAnsi="Times New Roman"/>
          <w:sz w:val="28"/>
          <w:szCs w:val="28"/>
          <w:lang w:eastAsia="ru-RU"/>
        </w:rPr>
        <w:t>Куйбышевская</w:t>
      </w:r>
      <w:r w:rsidRPr="006F130F">
        <w:rPr>
          <w:rFonts w:ascii="Times New Roman" w:hAnsi="Times New Roman"/>
          <w:sz w:val="28"/>
          <w:szCs w:val="28"/>
          <w:lang w:eastAsia="ru-RU"/>
        </w:rPr>
        <w:t xml:space="preserve"> центральная районная больница» (Ч+30 мин).</w:t>
      </w:r>
    </w:p>
    <w:p w:rsidR="002D1E45" w:rsidRDefault="002D1E45" w:rsidP="006F130F">
      <w:pPr>
        <w:spacing w:after="0" w:line="240" w:lineRule="auto"/>
        <w:ind w:firstLine="709"/>
        <w:jc w:val="both"/>
        <w:rPr>
          <w:rFonts w:ascii="Times New Roman" w:hAnsi="Times New Roman"/>
          <w:sz w:val="28"/>
          <w:szCs w:val="28"/>
          <w:lang w:eastAsia="ru-RU"/>
        </w:rPr>
      </w:pPr>
      <w:r w:rsidRPr="006F130F">
        <w:rPr>
          <w:rFonts w:ascii="Times New Roman" w:hAnsi="Times New Roman"/>
          <w:sz w:val="28"/>
          <w:szCs w:val="28"/>
          <w:lang w:eastAsia="ru-RU"/>
        </w:rPr>
        <w:t xml:space="preserve"> Для оказания медицинской помощи пострадавшим приводится в</w:t>
      </w:r>
      <w:r>
        <w:rPr>
          <w:rFonts w:ascii="Times New Roman" w:hAnsi="Times New Roman"/>
          <w:sz w:val="28"/>
          <w:szCs w:val="28"/>
          <w:lang w:eastAsia="ru-RU"/>
        </w:rPr>
        <w:t> </w:t>
      </w:r>
      <w:r w:rsidRPr="006F130F">
        <w:rPr>
          <w:rFonts w:ascii="Times New Roman" w:hAnsi="Times New Roman"/>
          <w:sz w:val="28"/>
          <w:szCs w:val="28"/>
          <w:lang w:eastAsia="ru-RU"/>
        </w:rPr>
        <w:t>готовность бригада экстренной медицинской помощи (Ч+30 мин).</w:t>
      </w:r>
    </w:p>
    <w:p w:rsidR="002D1E45" w:rsidRPr="00977B6E" w:rsidRDefault="002D1E45" w:rsidP="00852938">
      <w:pPr>
        <w:pStyle w:val="Heading2"/>
        <w:numPr>
          <w:ilvl w:val="1"/>
          <w:numId w:val="65"/>
        </w:numPr>
        <w:spacing w:before="240"/>
        <w:ind w:left="993" w:hanging="633"/>
        <w:jc w:val="both"/>
        <w:rPr>
          <w:b/>
        </w:rPr>
      </w:pPr>
      <w:bookmarkStart w:id="220" w:name="_Toc84936048"/>
      <w:r w:rsidRPr="00977B6E">
        <w:rPr>
          <w:b/>
        </w:rPr>
        <w:t>Водоохранные зоны и</w:t>
      </w:r>
      <w:r>
        <w:rPr>
          <w:b/>
        </w:rPr>
        <w:t> </w:t>
      </w:r>
      <w:r w:rsidRPr="00977B6E">
        <w:rPr>
          <w:b/>
        </w:rPr>
        <w:t>прибрежные защитные полосы</w:t>
      </w:r>
      <w:bookmarkEnd w:id="220"/>
    </w:p>
    <w:p w:rsidR="002D1E45" w:rsidRDefault="002D1E45" w:rsidP="00FE1BF0">
      <w:pPr>
        <w:spacing w:after="0" w:line="240" w:lineRule="auto"/>
        <w:rPr>
          <w:rFonts w:ascii="Arial" w:hAnsi="Arial" w:cs="Arial"/>
          <w:sz w:val="16"/>
          <w:szCs w:val="16"/>
          <w:lang w:eastAsia="ru-RU"/>
        </w:rPr>
      </w:pPr>
    </w:p>
    <w:p w:rsidR="002D1E45" w:rsidRPr="007C0FF4" w:rsidRDefault="002D1E45"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Водоохранными зонами являются территории, примыкающие к</w:t>
      </w:r>
      <w:r>
        <w:rPr>
          <w:rFonts w:ascii="Times New Roman" w:hAnsi="Times New Roman"/>
          <w:sz w:val="28"/>
          <w:szCs w:val="28"/>
        </w:rPr>
        <w:t> </w:t>
      </w:r>
      <w:r w:rsidRPr="007C0FF4">
        <w:rPr>
          <w:rFonts w:ascii="Times New Roman" w:hAnsi="Times New Roman"/>
          <w:sz w:val="28"/>
          <w:szCs w:val="28"/>
        </w:rPr>
        <w:t>береговой линии морей, рек, ручьёв, каналов, озёр, водохранилищ, на</w:t>
      </w:r>
      <w:r>
        <w:rPr>
          <w:rFonts w:ascii="Times New Roman" w:hAnsi="Times New Roman"/>
          <w:sz w:val="28"/>
          <w:szCs w:val="28"/>
        </w:rPr>
        <w:t> </w:t>
      </w:r>
      <w:r w:rsidRPr="007C0FF4">
        <w:rPr>
          <w:rFonts w:ascii="Times New Roman" w:hAnsi="Times New Roman"/>
          <w:sz w:val="28"/>
          <w:szCs w:val="28"/>
        </w:rPr>
        <w:t>которых устанавливается специальный режим осуществления хозяйственной и</w:t>
      </w:r>
      <w:r>
        <w:rPr>
          <w:rFonts w:ascii="Times New Roman" w:hAnsi="Times New Roman"/>
          <w:sz w:val="28"/>
          <w:szCs w:val="28"/>
        </w:rPr>
        <w:t> </w:t>
      </w:r>
      <w:r w:rsidRPr="007C0FF4">
        <w:rPr>
          <w:rFonts w:ascii="Times New Roman" w:hAnsi="Times New Roman"/>
          <w:sz w:val="28"/>
          <w:szCs w:val="28"/>
        </w:rPr>
        <w:t>иной деятельности в</w:t>
      </w:r>
      <w:r>
        <w:rPr>
          <w:rFonts w:ascii="Times New Roman" w:hAnsi="Times New Roman"/>
          <w:sz w:val="28"/>
          <w:szCs w:val="28"/>
        </w:rPr>
        <w:t> </w:t>
      </w:r>
      <w:r w:rsidRPr="007C0FF4">
        <w:rPr>
          <w:rFonts w:ascii="Times New Roman" w:hAnsi="Times New Roman"/>
          <w:sz w:val="28"/>
          <w:szCs w:val="28"/>
        </w:rPr>
        <w:t>целях предотвращения загрязнения, засорения, заиления указанных водных объектов и</w:t>
      </w:r>
      <w:r>
        <w:rPr>
          <w:rFonts w:ascii="Times New Roman" w:hAnsi="Times New Roman"/>
          <w:sz w:val="28"/>
          <w:szCs w:val="28"/>
        </w:rPr>
        <w:t> </w:t>
      </w:r>
      <w:r w:rsidRPr="007C0FF4">
        <w:rPr>
          <w:rFonts w:ascii="Times New Roman" w:hAnsi="Times New Roman"/>
          <w:sz w:val="28"/>
          <w:szCs w:val="28"/>
        </w:rPr>
        <w:t>истощения их</w:t>
      </w:r>
      <w:r>
        <w:rPr>
          <w:rFonts w:ascii="Times New Roman" w:hAnsi="Times New Roman"/>
          <w:sz w:val="28"/>
          <w:szCs w:val="28"/>
        </w:rPr>
        <w:t> </w:t>
      </w:r>
      <w:r w:rsidRPr="007C0FF4">
        <w:rPr>
          <w:rFonts w:ascii="Times New Roman" w:hAnsi="Times New Roman"/>
          <w:sz w:val="28"/>
          <w:szCs w:val="28"/>
        </w:rPr>
        <w:t>вод, а</w:t>
      </w:r>
      <w:r>
        <w:rPr>
          <w:rFonts w:ascii="Times New Roman" w:hAnsi="Times New Roman"/>
          <w:sz w:val="28"/>
          <w:szCs w:val="28"/>
        </w:rPr>
        <w:t> </w:t>
      </w:r>
      <w:r w:rsidRPr="007C0FF4">
        <w:rPr>
          <w:rFonts w:ascii="Times New Roman" w:hAnsi="Times New Roman"/>
          <w:sz w:val="28"/>
          <w:szCs w:val="28"/>
        </w:rPr>
        <w:t>также сохранения среды обитания водных биологических ресурсов и</w:t>
      </w:r>
      <w:r>
        <w:rPr>
          <w:rFonts w:ascii="Times New Roman" w:hAnsi="Times New Roman"/>
          <w:sz w:val="28"/>
          <w:szCs w:val="28"/>
        </w:rPr>
        <w:t> </w:t>
      </w:r>
      <w:r w:rsidRPr="007C0FF4">
        <w:rPr>
          <w:rFonts w:ascii="Times New Roman" w:hAnsi="Times New Roman"/>
          <w:sz w:val="28"/>
          <w:szCs w:val="28"/>
        </w:rPr>
        <w:t>других объектов животного и</w:t>
      </w:r>
      <w:r>
        <w:rPr>
          <w:rFonts w:ascii="Times New Roman" w:hAnsi="Times New Roman"/>
          <w:sz w:val="28"/>
          <w:szCs w:val="28"/>
        </w:rPr>
        <w:t> </w:t>
      </w:r>
      <w:r w:rsidRPr="007C0FF4">
        <w:rPr>
          <w:rFonts w:ascii="Times New Roman" w:hAnsi="Times New Roman"/>
          <w:sz w:val="28"/>
          <w:szCs w:val="28"/>
        </w:rPr>
        <w:t>растительного мира.</w:t>
      </w:r>
    </w:p>
    <w:p w:rsidR="002D1E45" w:rsidRPr="007C0FF4" w:rsidRDefault="002D1E45"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Согласно статье 65 Водного кодекса Российской Федерации, ширина водоохранной зоны рек или ручьёв устанавливается от</w:t>
      </w:r>
      <w:r>
        <w:rPr>
          <w:rFonts w:ascii="Times New Roman" w:hAnsi="Times New Roman"/>
          <w:sz w:val="28"/>
          <w:szCs w:val="28"/>
        </w:rPr>
        <w:t> </w:t>
      </w:r>
      <w:r w:rsidRPr="007C0FF4">
        <w:rPr>
          <w:rFonts w:ascii="Times New Roman" w:hAnsi="Times New Roman"/>
          <w:sz w:val="28"/>
          <w:szCs w:val="28"/>
        </w:rPr>
        <w:t>их</w:t>
      </w:r>
      <w:r>
        <w:rPr>
          <w:rFonts w:ascii="Times New Roman" w:hAnsi="Times New Roman"/>
          <w:sz w:val="28"/>
          <w:szCs w:val="28"/>
        </w:rPr>
        <w:t> </w:t>
      </w:r>
      <w:r w:rsidRPr="007C0FF4">
        <w:rPr>
          <w:rFonts w:ascii="Times New Roman" w:hAnsi="Times New Roman"/>
          <w:sz w:val="28"/>
          <w:szCs w:val="28"/>
        </w:rPr>
        <w:t>истока для рек или ручьёв протяжённостью:</w:t>
      </w:r>
    </w:p>
    <w:p w:rsidR="002D1E45" w:rsidRPr="007C0FF4" w:rsidRDefault="002D1E45" w:rsidP="00740293">
      <w:pPr>
        <w:numPr>
          <w:ilvl w:val="0"/>
          <w:numId w:val="29"/>
        </w:numPr>
        <w:spacing w:after="0" w:line="240" w:lineRule="auto"/>
        <w:jc w:val="both"/>
        <w:rPr>
          <w:rFonts w:ascii="Times New Roman" w:hAnsi="Times New Roman"/>
          <w:sz w:val="28"/>
          <w:szCs w:val="28"/>
        </w:rPr>
      </w:pPr>
      <w:r w:rsidRPr="007C0FF4">
        <w:rPr>
          <w:rFonts w:ascii="Times New Roman" w:hAnsi="Times New Roman"/>
          <w:sz w:val="28"/>
          <w:szCs w:val="28"/>
        </w:rPr>
        <w:t xml:space="preserve">до десяти километров </w:t>
      </w:r>
      <w:r>
        <w:rPr>
          <w:rFonts w:ascii="Times New Roman" w:hAnsi="Times New Roman"/>
          <w:sz w:val="28"/>
          <w:szCs w:val="28"/>
        </w:rPr>
        <w:t>–</w:t>
      </w:r>
      <w:r w:rsidRPr="007C0FF4">
        <w:rPr>
          <w:rFonts w:ascii="Times New Roman" w:hAnsi="Times New Roman"/>
          <w:sz w:val="28"/>
          <w:szCs w:val="28"/>
        </w:rPr>
        <w:t xml:space="preserve"> в</w:t>
      </w:r>
      <w:r>
        <w:rPr>
          <w:rFonts w:ascii="Times New Roman" w:hAnsi="Times New Roman"/>
          <w:sz w:val="28"/>
          <w:szCs w:val="28"/>
        </w:rPr>
        <w:t> </w:t>
      </w:r>
      <w:r w:rsidRPr="007C0FF4">
        <w:rPr>
          <w:rFonts w:ascii="Times New Roman" w:hAnsi="Times New Roman"/>
          <w:sz w:val="28"/>
          <w:szCs w:val="28"/>
        </w:rPr>
        <w:t>размере 50 метров;</w:t>
      </w:r>
    </w:p>
    <w:p w:rsidR="002D1E45" w:rsidRPr="007C0FF4" w:rsidRDefault="002D1E45" w:rsidP="00740293">
      <w:pPr>
        <w:numPr>
          <w:ilvl w:val="0"/>
          <w:numId w:val="29"/>
        </w:numPr>
        <w:spacing w:after="0" w:line="240" w:lineRule="auto"/>
        <w:jc w:val="both"/>
        <w:rPr>
          <w:rFonts w:ascii="Times New Roman" w:hAnsi="Times New Roman"/>
          <w:sz w:val="28"/>
          <w:szCs w:val="28"/>
        </w:rPr>
      </w:pPr>
      <w:r w:rsidRPr="007C0FF4">
        <w:rPr>
          <w:rFonts w:ascii="Times New Roman" w:hAnsi="Times New Roman"/>
          <w:sz w:val="28"/>
          <w:szCs w:val="28"/>
        </w:rPr>
        <w:t>от десяти до</w:t>
      </w:r>
      <w:r>
        <w:rPr>
          <w:rFonts w:ascii="Times New Roman" w:hAnsi="Times New Roman"/>
          <w:sz w:val="28"/>
          <w:szCs w:val="28"/>
        </w:rPr>
        <w:t> </w:t>
      </w:r>
      <w:r w:rsidRPr="007C0FF4">
        <w:rPr>
          <w:rFonts w:ascii="Times New Roman" w:hAnsi="Times New Roman"/>
          <w:sz w:val="28"/>
          <w:szCs w:val="28"/>
        </w:rPr>
        <w:t xml:space="preserve">пятидесяти километров </w:t>
      </w:r>
      <w:r>
        <w:rPr>
          <w:rFonts w:ascii="Times New Roman" w:hAnsi="Times New Roman"/>
          <w:sz w:val="28"/>
          <w:szCs w:val="28"/>
        </w:rPr>
        <w:t>–</w:t>
      </w:r>
      <w:r w:rsidRPr="007C0FF4">
        <w:rPr>
          <w:rFonts w:ascii="Times New Roman" w:hAnsi="Times New Roman"/>
          <w:sz w:val="28"/>
          <w:szCs w:val="28"/>
        </w:rPr>
        <w:t xml:space="preserve"> в</w:t>
      </w:r>
      <w:r>
        <w:rPr>
          <w:rFonts w:ascii="Times New Roman" w:hAnsi="Times New Roman"/>
          <w:sz w:val="28"/>
          <w:szCs w:val="28"/>
        </w:rPr>
        <w:t> </w:t>
      </w:r>
      <w:r w:rsidRPr="007C0FF4">
        <w:rPr>
          <w:rFonts w:ascii="Times New Roman" w:hAnsi="Times New Roman"/>
          <w:sz w:val="28"/>
          <w:szCs w:val="28"/>
        </w:rPr>
        <w:t>размере 100 метров;</w:t>
      </w:r>
    </w:p>
    <w:p w:rsidR="002D1E45" w:rsidRPr="007C0FF4" w:rsidRDefault="002D1E45" w:rsidP="00740293">
      <w:pPr>
        <w:numPr>
          <w:ilvl w:val="0"/>
          <w:numId w:val="29"/>
        </w:numPr>
        <w:spacing w:after="0" w:line="240" w:lineRule="auto"/>
        <w:jc w:val="both"/>
        <w:rPr>
          <w:rFonts w:ascii="Times New Roman" w:hAnsi="Times New Roman"/>
          <w:sz w:val="28"/>
          <w:szCs w:val="28"/>
        </w:rPr>
      </w:pPr>
      <w:r w:rsidRPr="007C0FF4">
        <w:rPr>
          <w:rFonts w:ascii="Times New Roman" w:hAnsi="Times New Roman"/>
          <w:sz w:val="28"/>
          <w:szCs w:val="28"/>
        </w:rPr>
        <w:t>от пятидесяти километров и</w:t>
      </w:r>
      <w:r>
        <w:rPr>
          <w:rFonts w:ascii="Times New Roman" w:hAnsi="Times New Roman"/>
          <w:sz w:val="28"/>
          <w:szCs w:val="28"/>
        </w:rPr>
        <w:t> </w:t>
      </w:r>
      <w:r w:rsidRPr="007C0FF4">
        <w:rPr>
          <w:rFonts w:ascii="Times New Roman" w:hAnsi="Times New Roman"/>
          <w:sz w:val="28"/>
          <w:szCs w:val="28"/>
        </w:rPr>
        <w:t xml:space="preserve">более </w:t>
      </w:r>
      <w:r>
        <w:rPr>
          <w:rFonts w:ascii="Times New Roman" w:hAnsi="Times New Roman"/>
          <w:sz w:val="28"/>
          <w:szCs w:val="28"/>
        </w:rPr>
        <w:t>–</w:t>
      </w:r>
      <w:r w:rsidRPr="007C0FF4">
        <w:rPr>
          <w:rFonts w:ascii="Times New Roman" w:hAnsi="Times New Roman"/>
          <w:sz w:val="28"/>
          <w:szCs w:val="28"/>
        </w:rPr>
        <w:t xml:space="preserve"> в</w:t>
      </w:r>
      <w:r>
        <w:rPr>
          <w:rFonts w:ascii="Times New Roman" w:hAnsi="Times New Roman"/>
          <w:sz w:val="28"/>
          <w:szCs w:val="28"/>
        </w:rPr>
        <w:t> </w:t>
      </w:r>
      <w:r w:rsidRPr="007C0FF4">
        <w:rPr>
          <w:rFonts w:ascii="Times New Roman" w:hAnsi="Times New Roman"/>
          <w:sz w:val="28"/>
          <w:szCs w:val="28"/>
        </w:rPr>
        <w:t>размере 200 метров.</w:t>
      </w:r>
    </w:p>
    <w:p w:rsidR="002D1E45" w:rsidRPr="007C0FF4" w:rsidRDefault="002D1E45"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Для реки, ручья протяжённостью менее 10 километров от</w:t>
      </w:r>
      <w:r>
        <w:rPr>
          <w:rFonts w:ascii="Times New Roman" w:hAnsi="Times New Roman"/>
          <w:sz w:val="28"/>
          <w:szCs w:val="28"/>
        </w:rPr>
        <w:t> </w:t>
      </w:r>
      <w:r w:rsidRPr="007C0FF4">
        <w:rPr>
          <w:rFonts w:ascii="Times New Roman" w:hAnsi="Times New Roman"/>
          <w:sz w:val="28"/>
          <w:szCs w:val="28"/>
        </w:rPr>
        <w:t>истока до</w:t>
      </w:r>
      <w:r>
        <w:rPr>
          <w:rFonts w:ascii="Times New Roman" w:hAnsi="Times New Roman"/>
          <w:sz w:val="28"/>
          <w:szCs w:val="28"/>
        </w:rPr>
        <w:t> </w:t>
      </w:r>
      <w:r w:rsidRPr="007C0FF4">
        <w:rPr>
          <w:rFonts w:ascii="Times New Roman" w:hAnsi="Times New Roman"/>
          <w:sz w:val="28"/>
          <w:szCs w:val="28"/>
        </w:rPr>
        <w:t>устья водоохранная зона совпадает с</w:t>
      </w:r>
      <w:r>
        <w:rPr>
          <w:rFonts w:ascii="Times New Roman" w:hAnsi="Times New Roman"/>
          <w:sz w:val="28"/>
          <w:szCs w:val="28"/>
        </w:rPr>
        <w:t> </w:t>
      </w:r>
      <w:r w:rsidRPr="007C0FF4">
        <w:rPr>
          <w:rFonts w:ascii="Times New Roman" w:hAnsi="Times New Roman"/>
          <w:sz w:val="28"/>
          <w:szCs w:val="28"/>
        </w:rPr>
        <w:t>прибрежной защитной полосой. Радиус водоохранной зоны для истоков реки, ручья устанавливается в</w:t>
      </w:r>
      <w:r>
        <w:rPr>
          <w:rFonts w:ascii="Times New Roman" w:hAnsi="Times New Roman"/>
          <w:sz w:val="28"/>
          <w:szCs w:val="28"/>
        </w:rPr>
        <w:t> </w:t>
      </w:r>
      <w:r w:rsidRPr="007C0FF4">
        <w:rPr>
          <w:rFonts w:ascii="Times New Roman" w:hAnsi="Times New Roman"/>
          <w:sz w:val="28"/>
          <w:szCs w:val="28"/>
        </w:rPr>
        <w:t>размере 50 метров.</w:t>
      </w:r>
    </w:p>
    <w:p w:rsidR="002D1E45" w:rsidRPr="007C0FF4" w:rsidRDefault="002D1E45"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Ширина водоохранной зоны озера, водохранилища, за</w:t>
      </w:r>
      <w:r>
        <w:rPr>
          <w:rFonts w:ascii="Times New Roman" w:hAnsi="Times New Roman"/>
          <w:sz w:val="28"/>
          <w:szCs w:val="28"/>
        </w:rPr>
        <w:t> </w:t>
      </w:r>
      <w:r w:rsidRPr="007C0FF4">
        <w:rPr>
          <w:rFonts w:ascii="Times New Roman" w:hAnsi="Times New Roman"/>
          <w:sz w:val="28"/>
          <w:szCs w:val="28"/>
        </w:rPr>
        <w:t>исключением озера, расположенного внутри болота, или озера, водохранилища с</w:t>
      </w:r>
      <w:r>
        <w:rPr>
          <w:rFonts w:ascii="Times New Roman" w:hAnsi="Times New Roman"/>
          <w:sz w:val="28"/>
          <w:szCs w:val="28"/>
        </w:rPr>
        <w:t> </w:t>
      </w:r>
      <w:r w:rsidRPr="007C0FF4">
        <w:rPr>
          <w:rFonts w:ascii="Times New Roman" w:hAnsi="Times New Roman"/>
          <w:sz w:val="28"/>
          <w:szCs w:val="28"/>
        </w:rPr>
        <w:t>акваторией менее 0,5 км</w:t>
      </w:r>
      <w:r w:rsidRPr="007C0FF4">
        <w:rPr>
          <w:rFonts w:ascii="Times New Roman" w:hAnsi="Times New Roman"/>
          <w:sz w:val="28"/>
          <w:szCs w:val="28"/>
          <w:vertAlign w:val="superscript"/>
        </w:rPr>
        <w:t>2</w:t>
      </w:r>
      <w:r w:rsidRPr="007C0FF4">
        <w:rPr>
          <w:rFonts w:ascii="Times New Roman" w:hAnsi="Times New Roman"/>
          <w:sz w:val="28"/>
          <w:szCs w:val="28"/>
        </w:rPr>
        <w:t>, устанавливается в</w:t>
      </w:r>
      <w:r>
        <w:rPr>
          <w:rFonts w:ascii="Times New Roman" w:hAnsi="Times New Roman"/>
          <w:sz w:val="28"/>
          <w:szCs w:val="28"/>
        </w:rPr>
        <w:t> </w:t>
      </w:r>
      <w:r w:rsidRPr="007C0FF4">
        <w:rPr>
          <w:rFonts w:ascii="Times New Roman" w:hAnsi="Times New Roman"/>
          <w:sz w:val="28"/>
          <w:szCs w:val="28"/>
        </w:rPr>
        <w:t>размере пятидесяти метров. Ширина водоохранной зоны водохранилища, расположенного на</w:t>
      </w:r>
      <w:r>
        <w:rPr>
          <w:rFonts w:ascii="Times New Roman" w:hAnsi="Times New Roman"/>
          <w:sz w:val="28"/>
          <w:szCs w:val="28"/>
        </w:rPr>
        <w:t> </w:t>
      </w:r>
      <w:r w:rsidRPr="007C0FF4">
        <w:rPr>
          <w:rFonts w:ascii="Times New Roman" w:hAnsi="Times New Roman"/>
          <w:sz w:val="28"/>
          <w:szCs w:val="28"/>
        </w:rPr>
        <w:t>водотоке, устанавливается равной ширине водоохранной зоны этого водотока.</w:t>
      </w:r>
    </w:p>
    <w:p w:rsidR="002D1E45" w:rsidRDefault="002D1E45"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За пределами территории населённого пункта ширина водоохранной зоны рек, ручьёв, каналов, озёр и</w:t>
      </w:r>
      <w:r>
        <w:rPr>
          <w:rFonts w:ascii="Times New Roman" w:hAnsi="Times New Roman"/>
          <w:sz w:val="28"/>
          <w:szCs w:val="28"/>
        </w:rPr>
        <w:t> </w:t>
      </w:r>
      <w:r w:rsidRPr="007C0FF4">
        <w:rPr>
          <w:rFonts w:ascii="Times New Roman" w:hAnsi="Times New Roman"/>
          <w:sz w:val="28"/>
          <w:szCs w:val="28"/>
        </w:rPr>
        <w:t>ширина их</w:t>
      </w:r>
      <w:r>
        <w:rPr>
          <w:rFonts w:ascii="Times New Roman" w:hAnsi="Times New Roman"/>
          <w:sz w:val="28"/>
          <w:szCs w:val="28"/>
        </w:rPr>
        <w:t> </w:t>
      </w:r>
      <w:r w:rsidRPr="007C0FF4">
        <w:rPr>
          <w:rFonts w:ascii="Times New Roman" w:hAnsi="Times New Roman"/>
          <w:sz w:val="28"/>
          <w:szCs w:val="28"/>
        </w:rPr>
        <w:t>прибрежной защитной полосы устанавливаются от</w:t>
      </w:r>
      <w:r>
        <w:rPr>
          <w:rFonts w:ascii="Times New Roman" w:hAnsi="Times New Roman"/>
          <w:sz w:val="28"/>
          <w:szCs w:val="28"/>
        </w:rPr>
        <w:t> </w:t>
      </w:r>
      <w:r w:rsidRPr="007C0FF4">
        <w:rPr>
          <w:rFonts w:ascii="Times New Roman" w:hAnsi="Times New Roman"/>
          <w:sz w:val="28"/>
          <w:szCs w:val="28"/>
        </w:rPr>
        <w:t xml:space="preserve">соответствующей береговой линии. </w:t>
      </w:r>
    </w:p>
    <w:p w:rsidR="002D1E45" w:rsidRPr="005B11F7" w:rsidRDefault="002D1E45" w:rsidP="005B11F7">
      <w:pPr>
        <w:spacing w:after="0" w:line="240" w:lineRule="auto"/>
        <w:ind w:firstLine="709"/>
        <w:jc w:val="both"/>
        <w:rPr>
          <w:rFonts w:ascii="Times New Roman" w:hAnsi="Times New Roman"/>
          <w:sz w:val="28"/>
          <w:szCs w:val="28"/>
        </w:rPr>
      </w:pPr>
      <w:r w:rsidRPr="005B11F7">
        <w:rPr>
          <w:rFonts w:ascii="Times New Roman" w:hAnsi="Times New Roman"/>
          <w:sz w:val="28"/>
          <w:szCs w:val="28"/>
        </w:rPr>
        <w:t>Полоса земли вдоль береговой линии водного объекта общего пользования предназначается для общего пользования. Ширина береговой полосы водных объектов общего пользования составляет двадцать метров, за</w:t>
      </w:r>
      <w:r>
        <w:rPr>
          <w:rFonts w:ascii="Times New Roman" w:hAnsi="Times New Roman"/>
          <w:sz w:val="28"/>
          <w:szCs w:val="28"/>
        </w:rPr>
        <w:t> </w:t>
      </w:r>
      <w:r w:rsidRPr="005B11F7">
        <w:rPr>
          <w:rFonts w:ascii="Times New Roman" w:hAnsi="Times New Roman"/>
          <w:sz w:val="28"/>
          <w:szCs w:val="28"/>
        </w:rPr>
        <w:t>исключением береговой полосы каналов, а</w:t>
      </w:r>
      <w:r>
        <w:rPr>
          <w:rFonts w:ascii="Times New Roman" w:hAnsi="Times New Roman"/>
          <w:sz w:val="28"/>
          <w:szCs w:val="28"/>
        </w:rPr>
        <w:t> </w:t>
      </w:r>
      <w:r w:rsidRPr="005B11F7">
        <w:rPr>
          <w:rFonts w:ascii="Times New Roman" w:hAnsi="Times New Roman"/>
          <w:sz w:val="28"/>
          <w:szCs w:val="28"/>
        </w:rPr>
        <w:t>также рек и</w:t>
      </w:r>
      <w:r>
        <w:rPr>
          <w:rFonts w:ascii="Times New Roman" w:hAnsi="Times New Roman"/>
          <w:sz w:val="28"/>
          <w:szCs w:val="28"/>
        </w:rPr>
        <w:t> </w:t>
      </w:r>
      <w:r w:rsidRPr="005B11F7">
        <w:rPr>
          <w:rFonts w:ascii="Times New Roman" w:hAnsi="Times New Roman"/>
          <w:sz w:val="28"/>
          <w:szCs w:val="28"/>
        </w:rPr>
        <w:t>ручьёв, протяжённость которых от</w:t>
      </w:r>
      <w:r>
        <w:rPr>
          <w:rFonts w:ascii="Times New Roman" w:hAnsi="Times New Roman"/>
          <w:sz w:val="28"/>
          <w:szCs w:val="28"/>
        </w:rPr>
        <w:t> </w:t>
      </w:r>
      <w:r w:rsidRPr="005B11F7">
        <w:rPr>
          <w:rFonts w:ascii="Times New Roman" w:hAnsi="Times New Roman"/>
          <w:sz w:val="28"/>
          <w:szCs w:val="28"/>
        </w:rPr>
        <w:t>истока до</w:t>
      </w:r>
      <w:r>
        <w:rPr>
          <w:rFonts w:ascii="Times New Roman" w:hAnsi="Times New Roman"/>
          <w:sz w:val="28"/>
          <w:szCs w:val="28"/>
        </w:rPr>
        <w:t> </w:t>
      </w:r>
      <w:r w:rsidRPr="005B11F7">
        <w:rPr>
          <w:rFonts w:ascii="Times New Roman" w:hAnsi="Times New Roman"/>
          <w:sz w:val="28"/>
          <w:szCs w:val="28"/>
        </w:rPr>
        <w:t>устья не</w:t>
      </w:r>
      <w:r>
        <w:rPr>
          <w:rFonts w:ascii="Times New Roman" w:hAnsi="Times New Roman"/>
          <w:sz w:val="28"/>
          <w:szCs w:val="28"/>
        </w:rPr>
        <w:t> </w:t>
      </w:r>
      <w:r w:rsidRPr="005B11F7">
        <w:rPr>
          <w:rFonts w:ascii="Times New Roman" w:hAnsi="Times New Roman"/>
          <w:sz w:val="28"/>
          <w:szCs w:val="28"/>
        </w:rPr>
        <w:t>более чем десять километров. Ширина береговой полосы рек и</w:t>
      </w:r>
      <w:r>
        <w:rPr>
          <w:rFonts w:ascii="Times New Roman" w:hAnsi="Times New Roman"/>
          <w:sz w:val="28"/>
          <w:szCs w:val="28"/>
        </w:rPr>
        <w:t> </w:t>
      </w:r>
      <w:r w:rsidRPr="005B11F7">
        <w:rPr>
          <w:rFonts w:ascii="Times New Roman" w:hAnsi="Times New Roman"/>
          <w:sz w:val="28"/>
          <w:szCs w:val="28"/>
        </w:rPr>
        <w:t>ручьёв, протяжённость которых от</w:t>
      </w:r>
      <w:r>
        <w:rPr>
          <w:rFonts w:ascii="Times New Roman" w:hAnsi="Times New Roman"/>
          <w:sz w:val="28"/>
          <w:szCs w:val="28"/>
        </w:rPr>
        <w:t> </w:t>
      </w:r>
      <w:r w:rsidRPr="005B11F7">
        <w:rPr>
          <w:rFonts w:ascii="Times New Roman" w:hAnsi="Times New Roman"/>
          <w:sz w:val="28"/>
          <w:szCs w:val="28"/>
        </w:rPr>
        <w:t>истока до</w:t>
      </w:r>
      <w:r>
        <w:rPr>
          <w:rFonts w:ascii="Times New Roman" w:hAnsi="Times New Roman"/>
          <w:sz w:val="28"/>
          <w:szCs w:val="28"/>
        </w:rPr>
        <w:t> </w:t>
      </w:r>
      <w:r w:rsidRPr="005B11F7">
        <w:rPr>
          <w:rFonts w:ascii="Times New Roman" w:hAnsi="Times New Roman"/>
          <w:sz w:val="28"/>
          <w:szCs w:val="28"/>
        </w:rPr>
        <w:t>устья не</w:t>
      </w:r>
      <w:r>
        <w:rPr>
          <w:rFonts w:ascii="Times New Roman" w:hAnsi="Times New Roman"/>
          <w:sz w:val="28"/>
          <w:szCs w:val="28"/>
        </w:rPr>
        <w:t> </w:t>
      </w:r>
      <w:r w:rsidRPr="005B11F7">
        <w:rPr>
          <w:rFonts w:ascii="Times New Roman" w:hAnsi="Times New Roman"/>
          <w:sz w:val="28"/>
          <w:szCs w:val="28"/>
        </w:rPr>
        <w:t xml:space="preserve">более чем десять километров, составляет пять метров. </w:t>
      </w:r>
    </w:p>
    <w:p w:rsidR="002D1E45" w:rsidRPr="005B11F7" w:rsidRDefault="002D1E45" w:rsidP="005B11F7">
      <w:pPr>
        <w:spacing w:after="0" w:line="240" w:lineRule="auto"/>
        <w:ind w:firstLine="709"/>
        <w:jc w:val="both"/>
        <w:rPr>
          <w:rFonts w:ascii="Times New Roman" w:hAnsi="Times New Roman"/>
          <w:sz w:val="28"/>
          <w:szCs w:val="28"/>
        </w:rPr>
      </w:pPr>
      <w:r w:rsidRPr="005B11F7">
        <w:rPr>
          <w:rFonts w:ascii="Times New Roman" w:hAnsi="Times New Roman"/>
          <w:sz w:val="28"/>
          <w:szCs w:val="28"/>
        </w:rPr>
        <w:t>Береговая полоса болот, природных выходов подземных вод (родников) и</w:t>
      </w:r>
      <w:r>
        <w:rPr>
          <w:rFonts w:ascii="Times New Roman" w:hAnsi="Times New Roman"/>
          <w:sz w:val="28"/>
          <w:szCs w:val="28"/>
        </w:rPr>
        <w:t> </w:t>
      </w:r>
      <w:r w:rsidRPr="005B11F7">
        <w:rPr>
          <w:rFonts w:ascii="Times New Roman" w:hAnsi="Times New Roman"/>
          <w:sz w:val="28"/>
          <w:szCs w:val="28"/>
        </w:rPr>
        <w:t>иных предусмотренных федеральными законами водных объектов не</w:t>
      </w:r>
      <w:r>
        <w:rPr>
          <w:rFonts w:ascii="Times New Roman" w:hAnsi="Times New Roman"/>
          <w:sz w:val="28"/>
          <w:szCs w:val="28"/>
        </w:rPr>
        <w:t> </w:t>
      </w:r>
      <w:r w:rsidRPr="005B11F7">
        <w:rPr>
          <w:rFonts w:ascii="Times New Roman" w:hAnsi="Times New Roman"/>
          <w:sz w:val="28"/>
          <w:szCs w:val="28"/>
        </w:rPr>
        <w:t>определяется.</w:t>
      </w:r>
    </w:p>
    <w:p w:rsidR="002D1E45" w:rsidRPr="007C0FF4" w:rsidRDefault="002D1E45"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Ширина прибрежной защитной полосы устанавливается в</w:t>
      </w:r>
      <w:r>
        <w:rPr>
          <w:rFonts w:ascii="Times New Roman" w:hAnsi="Times New Roman"/>
          <w:sz w:val="28"/>
          <w:szCs w:val="28"/>
        </w:rPr>
        <w:t> </w:t>
      </w:r>
      <w:r w:rsidRPr="007C0FF4">
        <w:rPr>
          <w:rFonts w:ascii="Times New Roman" w:hAnsi="Times New Roman"/>
          <w:sz w:val="28"/>
          <w:szCs w:val="28"/>
        </w:rPr>
        <w:t>зависимости от</w:t>
      </w:r>
      <w:r>
        <w:rPr>
          <w:rFonts w:ascii="Times New Roman" w:hAnsi="Times New Roman"/>
          <w:sz w:val="28"/>
          <w:szCs w:val="28"/>
        </w:rPr>
        <w:t> </w:t>
      </w:r>
      <w:r w:rsidRPr="007C0FF4">
        <w:rPr>
          <w:rFonts w:ascii="Times New Roman" w:hAnsi="Times New Roman"/>
          <w:sz w:val="28"/>
          <w:szCs w:val="28"/>
        </w:rPr>
        <w:t>уклона берега водного объекта и</w:t>
      </w:r>
      <w:r>
        <w:rPr>
          <w:rFonts w:ascii="Times New Roman" w:hAnsi="Times New Roman"/>
          <w:sz w:val="28"/>
          <w:szCs w:val="28"/>
        </w:rPr>
        <w:t> </w:t>
      </w:r>
      <w:r w:rsidRPr="007C0FF4">
        <w:rPr>
          <w:rFonts w:ascii="Times New Roman" w:hAnsi="Times New Roman"/>
          <w:sz w:val="28"/>
          <w:szCs w:val="28"/>
        </w:rPr>
        <w:t>составляет 30 метров для обратного или нулевого уклона, 40 метров для уклона до 3 градусов и 50 метров для уклона 3 и</w:t>
      </w:r>
      <w:r>
        <w:rPr>
          <w:rFonts w:ascii="Times New Roman" w:hAnsi="Times New Roman"/>
          <w:sz w:val="28"/>
          <w:szCs w:val="28"/>
        </w:rPr>
        <w:t> </w:t>
      </w:r>
      <w:r w:rsidRPr="007C0FF4">
        <w:rPr>
          <w:rFonts w:ascii="Times New Roman" w:hAnsi="Times New Roman"/>
          <w:sz w:val="28"/>
          <w:szCs w:val="28"/>
        </w:rPr>
        <w:t>более градуса.</w:t>
      </w:r>
    </w:p>
    <w:p w:rsidR="002D1E45" w:rsidRPr="007C0FF4" w:rsidRDefault="002D1E45"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Ширина прибрежной защитной полосы реки, озёр, имеющих особо ценное рыбохозяйственное значение (места нереста, нагула, зимовки рыб и</w:t>
      </w:r>
      <w:r>
        <w:rPr>
          <w:rFonts w:ascii="Times New Roman" w:hAnsi="Times New Roman"/>
          <w:sz w:val="28"/>
          <w:szCs w:val="28"/>
        </w:rPr>
        <w:t> </w:t>
      </w:r>
      <w:r w:rsidRPr="007C0FF4">
        <w:rPr>
          <w:rFonts w:ascii="Times New Roman" w:hAnsi="Times New Roman"/>
          <w:sz w:val="28"/>
          <w:szCs w:val="28"/>
        </w:rPr>
        <w:t>других водных биологических ресурсов), устанавливается в</w:t>
      </w:r>
      <w:r>
        <w:rPr>
          <w:rFonts w:ascii="Times New Roman" w:hAnsi="Times New Roman"/>
          <w:sz w:val="28"/>
          <w:szCs w:val="28"/>
        </w:rPr>
        <w:t> </w:t>
      </w:r>
      <w:r w:rsidRPr="007C0FF4">
        <w:rPr>
          <w:rFonts w:ascii="Times New Roman" w:hAnsi="Times New Roman"/>
          <w:sz w:val="28"/>
          <w:szCs w:val="28"/>
        </w:rPr>
        <w:t>размере 200 метров независимо от</w:t>
      </w:r>
      <w:r>
        <w:rPr>
          <w:rFonts w:ascii="Times New Roman" w:hAnsi="Times New Roman"/>
          <w:sz w:val="28"/>
          <w:szCs w:val="28"/>
        </w:rPr>
        <w:t> </w:t>
      </w:r>
      <w:r w:rsidRPr="007C0FF4">
        <w:rPr>
          <w:rFonts w:ascii="Times New Roman" w:hAnsi="Times New Roman"/>
          <w:sz w:val="28"/>
          <w:szCs w:val="28"/>
        </w:rPr>
        <w:t>уклона прилегающих земель.</w:t>
      </w:r>
    </w:p>
    <w:p w:rsidR="002D1E45" w:rsidRPr="007C0FF4" w:rsidRDefault="002D1E45"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Согласно части 15 статьи 65 Водного кодекса Российской Федерации, в</w:t>
      </w:r>
      <w:r>
        <w:rPr>
          <w:rFonts w:ascii="Times New Roman" w:hAnsi="Times New Roman"/>
          <w:sz w:val="28"/>
          <w:szCs w:val="28"/>
        </w:rPr>
        <w:t> </w:t>
      </w:r>
      <w:r w:rsidRPr="007C0FF4">
        <w:rPr>
          <w:rFonts w:ascii="Times New Roman" w:hAnsi="Times New Roman"/>
          <w:sz w:val="28"/>
          <w:szCs w:val="28"/>
        </w:rPr>
        <w:t>границах водоохранных зон запрещаются:</w:t>
      </w:r>
    </w:p>
    <w:p w:rsidR="002D1E45" w:rsidRPr="007C0FF4" w:rsidRDefault="002D1E45" w:rsidP="00D05D06">
      <w:pPr>
        <w:numPr>
          <w:ilvl w:val="0"/>
          <w:numId w:val="66"/>
        </w:numPr>
        <w:spacing w:after="0" w:line="240" w:lineRule="auto"/>
        <w:jc w:val="both"/>
        <w:rPr>
          <w:rFonts w:ascii="Times New Roman" w:hAnsi="Times New Roman"/>
          <w:sz w:val="28"/>
          <w:szCs w:val="28"/>
        </w:rPr>
      </w:pPr>
      <w:r w:rsidRPr="007C0FF4">
        <w:rPr>
          <w:rFonts w:ascii="Times New Roman" w:hAnsi="Times New Roman"/>
          <w:sz w:val="28"/>
          <w:szCs w:val="28"/>
        </w:rPr>
        <w:t>использование сточных вод в</w:t>
      </w:r>
      <w:r>
        <w:rPr>
          <w:rFonts w:ascii="Times New Roman" w:hAnsi="Times New Roman"/>
          <w:sz w:val="28"/>
          <w:szCs w:val="28"/>
        </w:rPr>
        <w:t> </w:t>
      </w:r>
      <w:r w:rsidRPr="007C0FF4">
        <w:rPr>
          <w:rFonts w:ascii="Times New Roman" w:hAnsi="Times New Roman"/>
          <w:sz w:val="28"/>
          <w:szCs w:val="28"/>
        </w:rPr>
        <w:t>целях регулирования плодородия почв;</w:t>
      </w:r>
    </w:p>
    <w:p w:rsidR="002D1E45" w:rsidRPr="007C0FF4" w:rsidRDefault="002D1E45" w:rsidP="00D05D06">
      <w:pPr>
        <w:numPr>
          <w:ilvl w:val="0"/>
          <w:numId w:val="66"/>
        </w:numPr>
        <w:spacing w:after="0" w:line="240" w:lineRule="auto"/>
        <w:jc w:val="both"/>
        <w:rPr>
          <w:rFonts w:ascii="Times New Roman" w:hAnsi="Times New Roman"/>
          <w:sz w:val="28"/>
          <w:szCs w:val="28"/>
        </w:rPr>
      </w:pPr>
      <w:r w:rsidRPr="007C0FF4">
        <w:rPr>
          <w:rFonts w:ascii="Times New Roman" w:hAnsi="Times New Roman"/>
          <w:sz w:val="28"/>
          <w:szCs w:val="28"/>
        </w:rPr>
        <w:t>размещение кладбищ, скотомогильников, мест захоронения отходов производства и</w:t>
      </w:r>
      <w:r>
        <w:rPr>
          <w:rFonts w:ascii="Times New Roman" w:hAnsi="Times New Roman"/>
          <w:sz w:val="28"/>
          <w:szCs w:val="28"/>
        </w:rPr>
        <w:t> </w:t>
      </w:r>
      <w:r w:rsidRPr="007C0FF4">
        <w:rPr>
          <w:rFonts w:ascii="Times New Roman" w:hAnsi="Times New Roman"/>
          <w:sz w:val="28"/>
          <w:szCs w:val="28"/>
        </w:rPr>
        <w:t>потребления, химических, взрывчатых, токсичных, отравляющих и</w:t>
      </w:r>
      <w:r>
        <w:rPr>
          <w:rFonts w:ascii="Times New Roman" w:hAnsi="Times New Roman"/>
          <w:sz w:val="28"/>
          <w:szCs w:val="28"/>
        </w:rPr>
        <w:t> </w:t>
      </w:r>
      <w:r w:rsidRPr="007C0FF4">
        <w:rPr>
          <w:rFonts w:ascii="Times New Roman" w:hAnsi="Times New Roman"/>
          <w:sz w:val="28"/>
          <w:szCs w:val="28"/>
        </w:rPr>
        <w:t>ядовитых веществ, пунктов захоронения радиоактивных отходов;</w:t>
      </w:r>
    </w:p>
    <w:p w:rsidR="002D1E45" w:rsidRPr="007C0FF4" w:rsidRDefault="002D1E45" w:rsidP="00D05D06">
      <w:pPr>
        <w:numPr>
          <w:ilvl w:val="0"/>
          <w:numId w:val="66"/>
        </w:numPr>
        <w:spacing w:after="0" w:line="240" w:lineRule="auto"/>
        <w:jc w:val="both"/>
        <w:rPr>
          <w:rFonts w:ascii="Times New Roman" w:hAnsi="Times New Roman"/>
          <w:sz w:val="28"/>
          <w:szCs w:val="28"/>
        </w:rPr>
      </w:pPr>
      <w:r w:rsidRPr="007C0FF4">
        <w:rPr>
          <w:rFonts w:ascii="Times New Roman" w:hAnsi="Times New Roman"/>
          <w:sz w:val="28"/>
          <w:szCs w:val="28"/>
        </w:rPr>
        <w:t>осуществление авиационных мер по</w:t>
      </w:r>
      <w:r>
        <w:rPr>
          <w:rFonts w:ascii="Times New Roman" w:hAnsi="Times New Roman"/>
          <w:sz w:val="28"/>
          <w:szCs w:val="28"/>
        </w:rPr>
        <w:t> </w:t>
      </w:r>
      <w:r w:rsidRPr="007C0FF4">
        <w:rPr>
          <w:rFonts w:ascii="Times New Roman" w:hAnsi="Times New Roman"/>
          <w:sz w:val="28"/>
          <w:szCs w:val="28"/>
        </w:rPr>
        <w:t>борьбе с</w:t>
      </w:r>
      <w:r>
        <w:rPr>
          <w:rFonts w:ascii="Times New Roman" w:hAnsi="Times New Roman"/>
          <w:sz w:val="28"/>
          <w:szCs w:val="28"/>
        </w:rPr>
        <w:t> </w:t>
      </w:r>
      <w:r w:rsidRPr="007C0FF4">
        <w:rPr>
          <w:rFonts w:ascii="Times New Roman" w:hAnsi="Times New Roman"/>
          <w:sz w:val="28"/>
          <w:szCs w:val="28"/>
        </w:rPr>
        <w:t>вредными организмами;</w:t>
      </w:r>
    </w:p>
    <w:p w:rsidR="002D1E45" w:rsidRPr="007C0FF4" w:rsidRDefault="002D1E45" w:rsidP="00D05D06">
      <w:pPr>
        <w:numPr>
          <w:ilvl w:val="0"/>
          <w:numId w:val="66"/>
        </w:numPr>
        <w:spacing w:after="0" w:line="240" w:lineRule="auto"/>
        <w:jc w:val="both"/>
        <w:rPr>
          <w:rFonts w:ascii="Times New Roman" w:hAnsi="Times New Roman"/>
          <w:sz w:val="28"/>
          <w:szCs w:val="28"/>
        </w:rPr>
      </w:pPr>
      <w:r w:rsidRPr="007C0FF4">
        <w:rPr>
          <w:rFonts w:ascii="Times New Roman" w:hAnsi="Times New Roman"/>
          <w:sz w:val="28"/>
          <w:szCs w:val="28"/>
        </w:rPr>
        <w:t>движение и</w:t>
      </w:r>
      <w:r>
        <w:rPr>
          <w:rFonts w:ascii="Times New Roman" w:hAnsi="Times New Roman"/>
          <w:sz w:val="28"/>
          <w:szCs w:val="28"/>
        </w:rPr>
        <w:t> </w:t>
      </w:r>
      <w:r w:rsidRPr="007C0FF4">
        <w:rPr>
          <w:rFonts w:ascii="Times New Roman" w:hAnsi="Times New Roman"/>
          <w:sz w:val="28"/>
          <w:szCs w:val="28"/>
        </w:rPr>
        <w:t>стоянка транспортных средств (кроме специальных транспортных средств), за</w:t>
      </w:r>
      <w:r>
        <w:rPr>
          <w:rFonts w:ascii="Times New Roman" w:hAnsi="Times New Roman"/>
          <w:sz w:val="28"/>
          <w:szCs w:val="28"/>
        </w:rPr>
        <w:t> </w:t>
      </w:r>
      <w:r w:rsidRPr="007C0FF4">
        <w:rPr>
          <w:rFonts w:ascii="Times New Roman" w:hAnsi="Times New Roman"/>
          <w:sz w:val="28"/>
          <w:szCs w:val="28"/>
        </w:rPr>
        <w:t>исключением их</w:t>
      </w:r>
      <w:r>
        <w:rPr>
          <w:rFonts w:ascii="Times New Roman" w:hAnsi="Times New Roman"/>
          <w:sz w:val="28"/>
          <w:szCs w:val="28"/>
        </w:rPr>
        <w:t> </w:t>
      </w:r>
      <w:r w:rsidRPr="007C0FF4">
        <w:rPr>
          <w:rFonts w:ascii="Times New Roman" w:hAnsi="Times New Roman"/>
          <w:sz w:val="28"/>
          <w:szCs w:val="28"/>
        </w:rPr>
        <w:t>движения по</w:t>
      </w:r>
      <w:r>
        <w:rPr>
          <w:rFonts w:ascii="Times New Roman" w:hAnsi="Times New Roman"/>
          <w:sz w:val="28"/>
          <w:szCs w:val="28"/>
        </w:rPr>
        <w:t> </w:t>
      </w:r>
      <w:r w:rsidRPr="007C0FF4">
        <w:rPr>
          <w:rFonts w:ascii="Times New Roman" w:hAnsi="Times New Roman"/>
          <w:sz w:val="28"/>
          <w:szCs w:val="28"/>
        </w:rPr>
        <w:t>дорогам и</w:t>
      </w:r>
      <w:r>
        <w:rPr>
          <w:rFonts w:ascii="Times New Roman" w:hAnsi="Times New Roman"/>
          <w:sz w:val="28"/>
          <w:szCs w:val="28"/>
        </w:rPr>
        <w:t> </w:t>
      </w:r>
      <w:r w:rsidRPr="007C0FF4">
        <w:rPr>
          <w:rFonts w:ascii="Times New Roman" w:hAnsi="Times New Roman"/>
          <w:sz w:val="28"/>
          <w:szCs w:val="28"/>
        </w:rPr>
        <w:t>стоянки на</w:t>
      </w:r>
      <w:r>
        <w:rPr>
          <w:rFonts w:ascii="Times New Roman" w:hAnsi="Times New Roman"/>
          <w:sz w:val="28"/>
          <w:szCs w:val="28"/>
        </w:rPr>
        <w:t> </w:t>
      </w:r>
      <w:r w:rsidRPr="007C0FF4">
        <w:rPr>
          <w:rFonts w:ascii="Times New Roman" w:hAnsi="Times New Roman"/>
          <w:sz w:val="28"/>
          <w:szCs w:val="28"/>
        </w:rPr>
        <w:t>дорогах и</w:t>
      </w:r>
      <w:r>
        <w:rPr>
          <w:rFonts w:ascii="Times New Roman" w:hAnsi="Times New Roman"/>
          <w:sz w:val="28"/>
          <w:szCs w:val="28"/>
        </w:rPr>
        <w:t> </w:t>
      </w:r>
      <w:r w:rsidRPr="007C0FF4">
        <w:rPr>
          <w:rFonts w:ascii="Times New Roman" w:hAnsi="Times New Roman"/>
          <w:sz w:val="28"/>
          <w:szCs w:val="28"/>
        </w:rPr>
        <w:t>в</w:t>
      </w:r>
      <w:r>
        <w:rPr>
          <w:rFonts w:ascii="Times New Roman" w:hAnsi="Times New Roman"/>
          <w:sz w:val="28"/>
          <w:szCs w:val="28"/>
        </w:rPr>
        <w:t> </w:t>
      </w:r>
      <w:r w:rsidRPr="007C0FF4">
        <w:rPr>
          <w:rFonts w:ascii="Times New Roman" w:hAnsi="Times New Roman"/>
          <w:sz w:val="28"/>
          <w:szCs w:val="28"/>
        </w:rPr>
        <w:t>специально оборудованных местах, имеющих твёрдое покрытие;</w:t>
      </w:r>
    </w:p>
    <w:p w:rsidR="002D1E45" w:rsidRPr="007C0FF4" w:rsidRDefault="002D1E45" w:rsidP="00D05D06">
      <w:pPr>
        <w:numPr>
          <w:ilvl w:val="0"/>
          <w:numId w:val="66"/>
        </w:numPr>
        <w:spacing w:after="0" w:line="240" w:lineRule="auto"/>
        <w:jc w:val="both"/>
        <w:rPr>
          <w:rFonts w:ascii="Times New Roman" w:hAnsi="Times New Roman"/>
          <w:sz w:val="28"/>
          <w:szCs w:val="28"/>
        </w:rPr>
      </w:pPr>
      <w:r w:rsidRPr="007C0FF4">
        <w:rPr>
          <w:rFonts w:ascii="Times New Roman" w:hAnsi="Times New Roman"/>
          <w:sz w:val="28"/>
          <w:szCs w:val="28"/>
        </w:rPr>
        <w:t>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w:t>
      </w:r>
      <w:r>
        <w:rPr>
          <w:rFonts w:ascii="Times New Roman" w:hAnsi="Times New Roman"/>
          <w:sz w:val="28"/>
          <w:szCs w:val="28"/>
        </w:rPr>
        <w:t> </w:t>
      </w:r>
      <w:r w:rsidRPr="007C0FF4">
        <w:rPr>
          <w:rFonts w:ascii="Times New Roman" w:hAnsi="Times New Roman"/>
          <w:sz w:val="28"/>
          <w:szCs w:val="28"/>
        </w:rPr>
        <w:t>территориях портов, судостроительных и</w:t>
      </w:r>
      <w:r>
        <w:rPr>
          <w:rFonts w:ascii="Times New Roman" w:hAnsi="Times New Roman"/>
          <w:sz w:val="28"/>
          <w:szCs w:val="28"/>
        </w:rPr>
        <w:t> </w:t>
      </w:r>
      <w:r w:rsidRPr="007C0FF4">
        <w:rPr>
          <w:rFonts w:ascii="Times New Roman" w:hAnsi="Times New Roman"/>
          <w:sz w:val="28"/>
          <w:szCs w:val="28"/>
        </w:rPr>
        <w:t>судоремонтных организаций, инфраструктуры внутренних водных путей при условии соблюдения требований законодательства в</w:t>
      </w:r>
      <w:r>
        <w:rPr>
          <w:rFonts w:ascii="Times New Roman" w:hAnsi="Times New Roman"/>
          <w:sz w:val="28"/>
          <w:szCs w:val="28"/>
        </w:rPr>
        <w:t> </w:t>
      </w:r>
      <w:r w:rsidRPr="007C0FF4">
        <w:rPr>
          <w:rFonts w:ascii="Times New Roman" w:hAnsi="Times New Roman"/>
          <w:sz w:val="28"/>
          <w:szCs w:val="28"/>
        </w:rPr>
        <w:t>области охраны окружающей среды и</w:t>
      </w:r>
      <w:r>
        <w:rPr>
          <w:rFonts w:ascii="Times New Roman" w:hAnsi="Times New Roman"/>
          <w:sz w:val="28"/>
          <w:szCs w:val="28"/>
        </w:rPr>
        <w:t> </w:t>
      </w:r>
      <w:r w:rsidRPr="007C0FF4">
        <w:rPr>
          <w:rFonts w:ascii="Times New Roman" w:hAnsi="Times New Roman"/>
          <w:sz w:val="28"/>
          <w:szCs w:val="28"/>
        </w:rPr>
        <w:t>настоящего Кодекса), станций технического обслуживания, используемых для технического осмотра и</w:t>
      </w:r>
      <w:r>
        <w:rPr>
          <w:rFonts w:ascii="Times New Roman" w:hAnsi="Times New Roman"/>
          <w:sz w:val="28"/>
          <w:szCs w:val="28"/>
        </w:rPr>
        <w:t> </w:t>
      </w:r>
      <w:r w:rsidRPr="007C0FF4">
        <w:rPr>
          <w:rFonts w:ascii="Times New Roman" w:hAnsi="Times New Roman"/>
          <w:sz w:val="28"/>
          <w:szCs w:val="28"/>
        </w:rPr>
        <w:t>ремонта транспортных средств, осуществление мойки транспортных средств;</w:t>
      </w:r>
    </w:p>
    <w:p w:rsidR="002D1E45" w:rsidRPr="007C0FF4" w:rsidRDefault="002D1E45" w:rsidP="00D05D06">
      <w:pPr>
        <w:numPr>
          <w:ilvl w:val="0"/>
          <w:numId w:val="66"/>
        </w:numPr>
        <w:spacing w:after="0" w:line="240" w:lineRule="auto"/>
        <w:jc w:val="both"/>
        <w:rPr>
          <w:rFonts w:ascii="Times New Roman" w:hAnsi="Times New Roman"/>
          <w:sz w:val="28"/>
          <w:szCs w:val="28"/>
        </w:rPr>
      </w:pPr>
      <w:r w:rsidRPr="007C0FF4">
        <w:rPr>
          <w:rFonts w:ascii="Times New Roman" w:hAnsi="Times New Roman"/>
          <w:sz w:val="28"/>
          <w:szCs w:val="28"/>
        </w:rPr>
        <w:t>размещение специализированных хранилищ пестицидов и</w:t>
      </w:r>
      <w:r>
        <w:rPr>
          <w:rFonts w:ascii="Times New Roman" w:hAnsi="Times New Roman"/>
          <w:sz w:val="28"/>
          <w:szCs w:val="28"/>
        </w:rPr>
        <w:t> </w:t>
      </w:r>
      <w:r w:rsidRPr="007C0FF4">
        <w:rPr>
          <w:rFonts w:ascii="Times New Roman" w:hAnsi="Times New Roman"/>
          <w:sz w:val="28"/>
          <w:szCs w:val="28"/>
        </w:rPr>
        <w:t>агрохимикатов, применение пестицидов и</w:t>
      </w:r>
      <w:r>
        <w:rPr>
          <w:rFonts w:ascii="Times New Roman" w:hAnsi="Times New Roman"/>
          <w:sz w:val="28"/>
          <w:szCs w:val="28"/>
        </w:rPr>
        <w:t> </w:t>
      </w:r>
      <w:r w:rsidRPr="007C0FF4">
        <w:rPr>
          <w:rFonts w:ascii="Times New Roman" w:hAnsi="Times New Roman"/>
          <w:sz w:val="28"/>
          <w:szCs w:val="28"/>
        </w:rPr>
        <w:t>агрохимикатов;</w:t>
      </w:r>
    </w:p>
    <w:p w:rsidR="002D1E45" w:rsidRPr="007C0FF4" w:rsidRDefault="002D1E45" w:rsidP="00D05D06">
      <w:pPr>
        <w:numPr>
          <w:ilvl w:val="0"/>
          <w:numId w:val="66"/>
        </w:numPr>
        <w:spacing w:after="0" w:line="240" w:lineRule="auto"/>
        <w:jc w:val="both"/>
        <w:rPr>
          <w:rFonts w:ascii="Times New Roman" w:hAnsi="Times New Roman"/>
          <w:sz w:val="28"/>
          <w:szCs w:val="28"/>
        </w:rPr>
      </w:pPr>
      <w:r w:rsidRPr="007C0FF4">
        <w:rPr>
          <w:rFonts w:ascii="Times New Roman" w:hAnsi="Times New Roman"/>
          <w:sz w:val="28"/>
          <w:szCs w:val="28"/>
        </w:rPr>
        <w:t>сброс сточных, в</w:t>
      </w:r>
      <w:r>
        <w:rPr>
          <w:rFonts w:ascii="Times New Roman" w:hAnsi="Times New Roman"/>
          <w:sz w:val="28"/>
          <w:szCs w:val="28"/>
        </w:rPr>
        <w:t> </w:t>
      </w:r>
      <w:r w:rsidRPr="007C0FF4">
        <w:rPr>
          <w:rFonts w:ascii="Times New Roman" w:hAnsi="Times New Roman"/>
          <w:sz w:val="28"/>
          <w:szCs w:val="28"/>
        </w:rPr>
        <w:t>том числе дренажных, вод;</w:t>
      </w:r>
    </w:p>
    <w:p w:rsidR="002D1E45" w:rsidRPr="007C0FF4" w:rsidRDefault="002D1E45" w:rsidP="00D05D06">
      <w:pPr>
        <w:numPr>
          <w:ilvl w:val="0"/>
          <w:numId w:val="66"/>
        </w:numPr>
        <w:spacing w:after="0" w:line="240" w:lineRule="auto"/>
        <w:jc w:val="both"/>
        <w:rPr>
          <w:rFonts w:ascii="Times New Roman" w:hAnsi="Times New Roman"/>
          <w:sz w:val="28"/>
          <w:szCs w:val="28"/>
        </w:rPr>
      </w:pPr>
      <w:r w:rsidRPr="007C0FF4">
        <w:rPr>
          <w:rFonts w:ascii="Times New Roman" w:hAnsi="Times New Roman"/>
          <w:sz w:val="28"/>
          <w:szCs w:val="28"/>
        </w:rPr>
        <w:t>разведка и</w:t>
      </w:r>
      <w:r>
        <w:rPr>
          <w:rFonts w:ascii="Times New Roman" w:hAnsi="Times New Roman"/>
          <w:sz w:val="28"/>
          <w:szCs w:val="28"/>
        </w:rPr>
        <w:t> </w:t>
      </w:r>
      <w:r w:rsidRPr="007C0FF4">
        <w:rPr>
          <w:rFonts w:ascii="Times New Roman" w:hAnsi="Times New Roman"/>
          <w:sz w:val="28"/>
          <w:szCs w:val="28"/>
        </w:rPr>
        <w:t>добыча общераспространённых полезных ископаемых (за исключением случаев, если разведка и</w:t>
      </w:r>
      <w:r>
        <w:rPr>
          <w:rFonts w:ascii="Times New Roman" w:hAnsi="Times New Roman"/>
          <w:sz w:val="28"/>
          <w:szCs w:val="28"/>
        </w:rPr>
        <w:t> </w:t>
      </w:r>
      <w:r w:rsidRPr="007C0FF4">
        <w:rPr>
          <w:rFonts w:ascii="Times New Roman" w:hAnsi="Times New Roman"/>
          <w:sz w:val="28"/>
          <w:szCs w:val="28"/>
        </w:rPr>
        <w:t>добыча общераспространённых полезных ископаемых осуществляются пользователями недр, осуществляющими разведку и</w:t>
      </w:r>
      <w:r>
        <w:rPr>
          <w:rFonts w:ascii="Times New Roman" w:hAnsi="Times New Roman"/>
          <w:sz w:val="28"/>
          <w:szCs w:val="28"/>
        </w:rPr>
        <w:t> </w:t>
      </w:r>
      <w:r w:rsidRPr="007C0FF4">
        <w:rPr>
          <w:rFonts w:ascii="Times New Roman" w:hAnsi="Times New Roman"/>
          <w:sz w:val="28"/>
          <w:szCs w:val="28"/>
        </w:rPr>
        <w:t>добычу иных видов полезных ископаемых, в</w:t>
      </w:r>
      <w:r>
        <w:rPr>
          <w:rFonts w:ascii="Times New Roman" w:hAnsi="Times New Roman"/>
          <w:sz w:val="28"/>
          <w:szCs w:val="28"/>
        </w:rPr>
        <w:t> </w:t>
      </w:r>
      <w:r w:rsidRPr="007C0FF4">
        <w:rPr>
          <w:rFonts w:ascii="Times New Roman" w:hAnsi="Times New Roman"/>
          <w:sz w:val="28"/>
          <w:szCs w:val="28"/>
        </w:rPr>
        <w:t>границах предоставленных им</w:t>
      </w:r>
      <w:r>
        <w:rPr>
          <w:rFonts w:ascii="Times New Roman" w:hAnsi="Times New Roman"/>
          <w:sz w:val="28"/>
          <w:szCs w:val="28"/>
        </w:rPr>
        <w:t> </w:t>
      </w:r>
      <w:r w:rsidRPr="007C0FF4">
        <w:rPr>
          <w:rFonts w:ascii="Times New Roman" w:hAnsi="Times New Roman"/>
          <w:sz w:val="28"/>
          <w:szCs w:val="28"/>
        </w:rPr>
        <w:t>в</w:t>
      </w:r>
      <w:r>
        <w:rPr>
          <w:rFonts w:ascii="Times New Roman" w:hAnsi="Times New Roman"/>
          <w:sz w:val="28"/>
          <w:szCs w:val="28"/>
        </w:rPr>
        <w:t> </w:t>
      </w:r>
      <w:r w:rsidRPr="007C0FF4">
        <w:rPr>
          <w:rFonts w:ascii="Times New Roman" w:hAnsi="Times New Roman"/>
          <w:sz w:val="28"/>
          <w:szCs w:val="28"/>
        </w:rPr>
        <w:t>соответствии с</w:t>
      </w:r>
      <w:r>
        <w:rPr>
          <w:rFonts w:ascii="Times New Roman" w:hAnsi="Times New Roman"/>
          <w:sz w:val="28"/>
          <w:szCs w:val="28"/>
        </w:rPr>
        <w:t> </w:t>
      </w:r>
      <w:r w:rsidRPr="007C0FF4">
        <w:rPr>
          <w:rFonts w:ascii="Times New Roman" w:hAnsi="Times New Roman"/>
          <w:sz w:val="28"/>
          <w:szCs w:val="28"/>
        </w:rPr>
        <w:t>законодательством Российской Федерации о</w:t>
      </w:r>
      <w:r>
        <w:rPr>
          <w:rFonts w:ascii="Times New Roman" w:hAnsi="Times New Roman"/>
          <w:sz w:val="28"/>
          <w:szCs w:val="28"/>
        </w:rPr>
        <w:t> </w:t>
      </w:r>
      <w:r w:rsidRPr="007C0FF4">
        <w:rPr>
          <w:rFonts w:ascii="Times New Roman" w:hAnsi="Times New Roman"/>
          <w:sz w:val="28"/>
          <w:szCs w:val="28"/>
        </w:rPr>
        <w:t>недрах горных отводов и (или) геологических отводов на</w:t>
      </w:r>
      <w:r>
        <w:rPr>
          <w:rFonts w:ascii="Times New Roman" w:hAnsi="Times New Roman"/>
          <w:sz w:val="28"/>
          <w:szCs w:val="28"/>
        </w:rPr>
        <w:t> </w:t>
      </w:r>
      <w:r w:rsidRPr="007C0FF4">
        <w:rPr>
          <w:rFonts w:ascii="Times New Roman" w:hAnsi="Times New Roman"/>
          <w:sz w:val="28"/>
          <w:szCs w:val="28"/>
        </w:rPr>
        <w:t>основании утверждённого технического проекта в</w:t>
      </w:r>
      <w:r>
        <w:rPr>
          <w:rFonts w:ascii="Times New Roman" w:hAnsi="Times New Roman"/>
          <w:sz w:val="28"/>
          <w:szCs w:val="28"/>
        </w:rPr>
        <w:t> </w:t>
      </w:r>
      <w:r w:rsidRPr="007C0FF4">
        <w:rPr>
          <w:rFonts w:ascii="Times New Roman" w:hAnsi="Times New Roman"/>
          <w:sz w:val="28"/>
          <w:szCs w:val="28"/>
        </w:rPr>
        <w:t>соответствии со</w:t>
      </w:r>
      <w:r>
        <w:rPr>
          <w:rFonts w:ascii="Times New Roman" w:hAnsi="Times New Roman"/>
          <w:sz w:val="28"/>
          <w:szCs w:val="28"/>
        </w:rPr>
        <w:t> </w:t>
      </w:r>
      <w:r w:rsidRPr="007C0FF4">
        <w:rPr>
          <w:rFonts w:ascii="Times New Roman" w:hAnsi="Times New Roman"/>
          <w:sz w:val="28"/>
          <w:szCs w:val="28"/>
        </w:rPr>
        <w:t>статьёй 19.1 Закона Российской Федерации от 21.02.1992 № 2395-1 «О недрах»).</w:t>
      </w:r>
    </w:p>
    <w:p w:rsidR="002D1E45" w:rsidRPr="007C0FF4" w:rsidRDefault="002D1E45"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В границах водоохранных зон допускаются проектирование, строительство, реконструкция, ввод в</w:t>
      </w:r>
      <w:r>
        <w:rPr>
          <w:rFonts w:ascii="Times New Roman" w:hAnsi="Times New Roman"/>
          <w:sz w:val="28"/>
          <w:szCs w:val="28"/>
        </w:rPr>
        <w:t> </w:t>
      </w:r>
      <w:r w:rsidRPr="007C0FF4">
        <w:rPr>
          <w:rFonts w:ascii="Times New Roman" w:hAnsi="Times New Roman"/>
          <w:sz w:val="28"/>
          <w:szCs w:val="28"/>
        </w:rPr>
        <w:t>эксплуатацию, эксплуатация хозяйственных и</w:t>
      </w:r>
      <w:r>
        <w:rPr>
          <w:rFonts w:ascii="Times New Roman" w:hAnsi="Times New Roman"/>
          <w:sz w:val="28"/>
          <w:szCs w:val="28"/>
        </w:rPr>
        <w:t> </w:t>
      </w:r>
      <w:r w:rsidRPr="007C0FF4">
        <w:rPr>
          <w:rFonts w:ascii="Times New Roman" w:hAnsi="Times New Roman"/>
          <w:sz w:val="28"/>
          <w:szCs w:val="28"/>
        </w:rPr>
        <w:t>иных объектов при условии оборудования таких объектов сооружениями, обеспечивающими охрану водных объектов от</w:t>
      </w:r>
      <w:r>
        <w:rPr>
          <w:rFonts w:ascii="Times New Roman" w:hAnsi="Times New Roman"/>
          <w:sz w:val="28"/>
          <w:szCs w:val="28"/>
        </w:rPr>
        <w:t> </w:t>
      </w:r>
      <w:r w:rsidRPr="007C0FF4">
        <w:rPr>
          <w:rFonts w:ascii="Times New Roman" w:hAnsi="Times New Roman"/>
          <w:sz w:val="28"/>
          <w:szCs w:val="28"/>
        </w:rPr>
        <w:t>загрязнения, засорения, заиления и</w:t>
      </w:r>
      <w:r>
        <w:rPr>
          <w:rFonts w:ascii="Times New Roman" w:hAnsi="Times New Roman"/>
          <w:sz w:val="28"/>
          <w:szCs w:val="28"/>
        </w:rPr>
        <w:t> </w:t>
      </w:r>
      <w:r w:rsidRPr="007C0FF4">
        <w:rPr>
          <w:rFonts w:ascii="Times New Roman" w:hAnsi="Times New Roman"/>
          <w:sz w:val="28"/>
          <w:szCs w:val="28"/>
        </w:rPr>
        <w:t>истощения вод в</w:t>
      </w:r>
      <w:r>
        <w:rPr>
          <w:rFonts w:ascii="Times New Roman" w:hAnsi="Times New Roman"/>
          <w:sz w:val="28"/>
          <w:szCs w:val="28"/>
        </w:rPr>
        <w:t> </w:t>
      </w:r>
      <w:r w:rsidRPr="007C0FF4">
        <w:rPr>
          <w:rFonts w:ascii="Times New Roman" w:hAnsi="Times New Roman"/>
          <w:sz w:val="28"/>
          <w:szCs w:val="28"/>
        </w:rPr>
        <w:t>соответствии с</w:t>
      </w:r>
      <w:r>
        <w:rPr>
          <w:rFonts w:ascii="Times New Roman" w:hAnsi="Times New Roman"/>
          <w:sz w:val="28"/>
          <w:szCs w:val="28"/>
        </w:rPr>
        <w:t> </w:t>
      </w:r>
      <w:r w:rsidRPr="007C0FF4">
        <w:rPr>
          <w:rFonts w:ascii="Times New Roman" w:hAnsi="Times New Roman"/>
          <w:sz w:val="28"/>
          <w:szCs w:val="28"/>
        </w:rPr>
        <w:t>водным законодательством и</w:t>
      </w:r>
      <w:r>
        <w:rPr>
          <w:rFonts w:ascii="Times New Roman" w:hAnsi="Times New Roman"/>
          <w:sz w:val="28"/>
          <w:szCs w:val="28"/>
        </w:rPr>
        <w:t> </w:t>
      </w:r>
      <w:r w:rsidRPr="007C0FF4">
        <w:rPr>
          <w:rFonts w:ascii="Times New Roman" w:hAnsi="Times New Roman"/>
          <w:sz w:val="28"/>
          <w:szCs w:val="28"/>
        </w:rPr>
        <w:t>законодательством в</w:t>
      </w:r>
      <w:r>
        <w:rPr>
          <w:rFonts w:ascii="Times New Roman" w:hAnsi="Times New Roman"/>
          <w:sz w:val="28"/>
          <w:szCs w:val="28"/>
        </w:rPr>
        <w:t> </w:t>
      </w:r>
      <w:r w:rsidRPr="007C0FF4">
        <w:rPr>
          <w:rFonts w:ascii="Times New Roman" w:hAnsi="Times New Roman"/>
          <w:sz w:val="28"/>
          <w:szCs w:val="28"/>
        </w:rPr>
        <w:t>области охраны окружающей среды. Выбор типа сооружения, обеспечивающего охрану водного объекта от</w:t>
      </w:r>
      <w:r>
        <w:rPr>
          <w:rFonts w:ascii="Times New Roman" w:hAnsi="Times New Roman"/>
          <w:sz w:val="28"/>
          <w:szCs w:val="28"/>
        </w:rPr>
        <w:t> </w:t>
      </w:r>
      <w:r w:rsidRPr="007C0FF4">
        <w:rPr>
          <w:rFonts w:ascii="Times New Roman" w:hAnsi="Times New Roman"/>
          <w:sz w:val="28"/>
          <w:szCs w:val="28"/>
        </w:rPr>
        <w:t>загрязнения, засорения, заиления и</w:t>
      </w:r>
      <w:r>
        <w:rPr>
          <w:rFonts w:ascii="Times New Roman" w:hAnsi="Times New Roman"/>
          <w:sz w:val="28"/>
          <w:szCs w:val="28"/>
        </w:rPr>
        <w:t> </w:t>
      </w:r>
      <w:r w:rsidRPr="007C0FF4">
        <w:rPr>
          <w:rFonts w:ascii="Times New Roman" w:hAnsi="Times New Roman"/>
          <w:sz w:val="28"/>
          <w:szCs w:val="28"/>
        </w:rPr>
        <w:t>истощения вод, осуществляется с</w:t>
      </w:r>
      <w:r>
        <w:rPr>
          <w:rFonts w:ascii="Times New Roman" w:hAnsi="Times New Roman"/>
          <w:sz w:val="28"/>
          <w:szCs w:val="28"/>
        </w:rPr>
        <w:t> </w:t>
      </w:r>
      <w:r w:rsidRPr="007C0FF4">
        <w:rPr>
          <w:rFonts w:ascii="Times New Roman" w:hAnsi="Times New Roman"/>
          <w:sz w:val="28"/>
          <w:szCs w:val="28"/>
        </w:rPr>
        <w:t>учётом необходимости соблюдения установленных в</w:t>
      </w:r>
      <w:r>
        <w:rPr>
          <w:rFonts w:ascii="Times New Roman" w:hAnsi="Times New Roman"/>
          <w:sz w:val="28"/>
          <w:szCs w:val="28"/>
        </w:rPr>
        <w:t> </w:t>
      </w:r>
      <w:r w:rsidRPr="007C0FF4">
        <w:rPr>
          <w:rFonts w:ascii="Times New Roman" w:hAnsi="Times New Roman"/>
          <w:sz w:val="28"/>
          <w:szCs w:val="28"/>
        </w:rPr>
        <w:t>соответствии с</w:t>
      </w:r>
      <w:r>
        <w:rPr>
          <w:rFonts w:ascii="Times New Roman" w:hAnsi="Times New Roman"/>
          <w:sz w:val="28"/>
          <w:szCs w:val="28"/>
        </w:rPr>
        <w:t> </w:t>
      </w:r>
      <w:r w:rsidRPr="007C0FF4">
        <w:rPr>
          <w:rFonts w:ascii="Times New Roman" w:hAnsi="Times New Roman"/>
          <w:sz w:val="28"/>
          <w:szCs w:val="28"/>
        </w:rPr>
        <w:t>законодательством в</w:t>
      </w:r>
      <w:r>
        <w:rPr>
          <w:rFonts w:ascii="Times New Roman" w:hAnsi="Times New Roman"/>
          <w:sz w:val="28"/>
          <w:szCs w:val="28"/>
        </w:rPr>
        <w:t> </w:t>
      </w:r>
      <w:r w:rsidRPr="007C0FF4">
        <w:rPr>
          <w:rFonts w:ascii="Times New Roman" w:hAnsi="Times New Roman"/>
          <w:sz w:val="28"/>
          <w:szCs w:val="28"/>
        </w:rPr>
        <w:t>области охраны окружающей среды нормативов допустимых сбросов загрязняющих веществ, иных веществ и</w:t>
      </w:r>
      <w:r>
        <w:rPr>
          <w:rFonts w:ascii="Times New Roman" w:hAnsi="Times New Roman"/>
          <w:sz w:val="28"/>
          <w:szCs w:val="28"/>
        </w:rPr>
        <w:t> </w:t>
      </w:r>
      <w:r w:rsidRPr="007C0FF4">
        <w:rPr>
          <w:rFonts w:ascii="Times New Roman" w:hAnsi="Times New Roman"/>
          <w:sz w:val="28"/>
          <w:szCs w:val="28"/>
        </w:rPr>
        <w:t>микроорганизмов. Под сооружениями, обеспечивающими охрану водных объектов от</w:t>
      </w:r>
      <w:r>
        <w:rPr>
          <w:rFonts w:ascii="Times New Roman" w:hAnsi="Times New Roman"/>
          <w:sz w:val="28"/>
          <w:szCs w:val="28"/>
        </w:rPr>
        <w:t> </w:t>
      </w:r>
      <w:r w:rsidRPr="007C0FF4">
        <w:rPr>
          <w:rFonts w:ascii="Times New Roman" w:hAnsi="Times New Roman"/>
          <w:sz w:val="28"/>
          <w:szCs w:val="28"/>
        </w:rPr>
        <w:t>загрязнения, засорения, заиления и</w:t>
      </w:r>
      <w:r>
        <w:rPr>
          <w:rFonts w:ascii="Times New Roman" w:hAnsi="Times New Roman"/>
          <w:sz w:val="28"/>
          <w:szCs w:val="28"/>
        </w:rPr>
        <w:t> </w:t>
      </w:r>
      <w:r w:rsidRPr="007C0FF4">
        <w:rPr>
          <w:rFonts w:ascii="Times New Roman" w:hAnsi="Times New Roman"/>
          <w:sz w:val="28"/>
          <w:szCs w:val="28"/>
        </w:rPr>
        <w:t>истощения вод, понимаются:</w:t>
      </w:r>
    </w:p>
    <w:p w:rsidR="002D1E45" w:rsidRPr="007C0FF4" w:rsidRDefault="002D1E45" w:rsidP="00740293">
      <w:pPr>
        <w:numPr>
          <w:ilvl w:val="0"/>
          <w:numId w:val="31"/>
        </w:numPr>
        <w:spacing w:after="0" w:line="240" w:lineRule="auto"/>
        <w:jc w:val="both"/>
        <w:rPr>
          <w:rFonts w:ascii="Times New Roman" w:hAnsi="Times New Roman"/>
          <w:sz w:val="28"/>
          <w:szCs w:val="28"/>
        </w:rPr>
      </w:pPr>
      <w:r w:rsidRPr="007C0FF4">
        <w:rPr>
          <w:rFonts w:ascii="Times New Roman" w:hAnsi="Times New Roman"/>
          <w:sz w:val="28"/>
          <w:szCs w:val="28"/>
        </w:rPr>
        <w:t>централизованные системы водоотведения (канализации), централизованные ливневые системы водоотведения;</w:t>
      </w:r>
    </w:p>
    <w:p w:rsidR="002D1E45" w:rsidRPr="007C0FF4" w:rsidRDefault="002D1E45" w:rsidP="00740293">
      <w:pPr>
        <w:numPr>
          <w:ilvl w:val="0"/>
          <w:numId w:val="31"/>
        </w:numPr>
        <w:spacing w:after="0" w:line="240" w:lineRule="auto"/>
        <w:jc w:val="both"/>
        <w:rPr>
          <w:rFonts w:ascii="Times New Roman" w:hAnsi="Times New Roman"/>
          <w:sz w:val="28"/>
          <w:szCs w:val="28"/>
        </w:rPr>
      </w:pPr>
      <w:r w:rsidRPr="007C0FF4">
        <w:rPr>
          <w:rFonts w:ascii="Times New Roman" w:hAnsi="Times New Roman"/>
          <w:sz w:val="28"/>
          <w:szCs w:val="28"/>
        </w:rPr>
        <w:t>сооружения и</w:t>
      </w:r>
      <w:r>
        <w:rPr>
          <w:rFonts w:ascii="Times New Roman" w:hAnsi="Times New Roman"/>
          <w:sz w:val="28"/>
          <w:szCs w:val="28"/>
        </w:rPr>
        <w:t> </w:t>
      </w:r>
      <w:r w:rsidRPr="007C0FF4">
        <w:rPr>
          <w:rFonts w:ascii="Times New Roman" w:hAnsi="Times New Roman"/>
          <w:sz w:val="28"/>
          <w:szCs w:val="28"/>
        </w:rPr>
        <w:t>системы для отведения (сброса) сточных вод в</w:t>
      </w:r>
      <w:r>
        <w:rPr>
          <w:rFonts w:ascii="Times New Roman" w:hAnsi="Times New Roman"/>
          <w:sz w:val="28"/>
          <w:szCs w:val="28"/>
        </w:rPr>
        <w:t> </w:t>
      </w:r>
      <w:r w:rsidRPr="007C0FF4">
        <w:rPr>
          <w:rFonts w:ascii="Times New Roman" w:hAnsi="Times New Roman"/>
          <w:sz w:val="28"/>
          <w:szCs w:val="28"/>
        </w:rPr>
        <w:t>централизованные системы водоотведения (в том числе дождевых, талых, инфильтрационных, поливомоечных и</w:t>
      </w:r>
      <w:r>
        <w:rPr>
          <w:rFonts w:ascii="Times New Roman" w:hAnsi="Times New Roman"/>
          <w:sz w:val="28"/>
          <w:szCs w:val="28"/>
        </w:rPr>
        <w:t> </w:t>
      </w:r>
      <w:r w:rsidRPr="007C0FF4">
        <w:rPr>
          <w:rFonts w:ascii="Times New Roman" w:hAnsi="Times New Roman"/>
          <w:sz w:val="28"/>
          <w:szCs w:val="28"/>
        </w:rPr>
        <w:t>дренажных вод), если они предназначены для приёма таких вод;</w:t>
      </w:r>
    </w:p>
    <w:p w:rsidR="002D1E45" w:rsidRPr="007C0FF4" w:rsidRDefault="002D1E45" w:rsidP="00740293">
      <w:pPr>
        <w:numPr>
          <w:ilvl w:val="0"/>
          <w:numId w:val="31"/>
        </w:numPr>
        <w:spacing w:after="0" w:line="240" w:lineRule="auto"/>
        <w:jc w:val="both"/>
        <w:rPr>
          <w:rFonts w:ascii="Times New Roman" w:hAnsi="Times New Roman"/>
          <w:sz w:val="28"/>
          <w:szCs w:val="28"/>
        </w:rPr>
      </w:pPr>
      <w:r w:rsidRPr="007C0FF4">
        <w:rPr>
          <w:rFonts w:ascii="Times New Roman" w:hAnsi="Times New Roman"/>
          <w:sz w:val="28"/>
          <w:szCs w:val="28"/>
        </w:rPr>
        <w:t>локальные очистные сооружения для очистки сточных вод (в том числе дождевых, талых, инфильтрационных, поливомоечных и</w:t>
      </w:r>
      <w:r>
        <w:rPr>
          <w:rFonts w:ascii="Times New Roman" w:hAnsi="Times New Roman"/>
          <w:sz w:val="28"/>
          <w:szCs w:val="28"/>
        </w:rPr>
        <w:t> </w:t>
      </w:r>
      <w:r w:rsidRPr="007C0FF4">
        <w:rPr>
          <w:rFonts w:ascii="Times New Roman" w:hAnsi="Times New Roman"/>
          <w:sz w:val="28"/>
          <w:szCs w:val="28"/>
        </w:rPr>
        <w:t>дренажных вод), обеспечивающие их</w:t>
      </w:r>
      <w:r>
        <w:rPr>
          <w:rFonts w:ascii="Times New Roman" w:hAnsi="Times New Roman"/>
          <w:sz w:val="28"/>
          <w:szCs w:val="28"/>
        </w:rPr>
        <w:t> </w:t>
      </w:r>
      <w:r w:rsidRPr="007C0FF4">
        <w:rPr>
          <w:rFonts w:ascii="Times New Roman" w:hAnsi="Times New Roman"/>
          <w:sz w:val="28"/>
          <w:szCs w:val="28"/>
        </w:rPr>
        <w:t>очистку исходя из</w:t>
      </w:r>
      <w:r>
        <w:rPr>
          <w:rFonts w:ascii="Times New Roman" w:hAnsi="Times New Roman"/>
          <w:sz w:val="28"/>
          <w:szCs w:val="28"/>
        </w:rPr>
        <w:t> </w:t>
      </w:r>
      <w:r w:rsidRPr="007C0FF4">
        <w:rPr>
          <w:rFonts w:ascii="Times New Roman" w:hAnsi="Times New Roman"/>
          <w:sz w:val="28"/>
          <w:szCs w:val="28"/>
        </w:rPr>
        <w:t>нормативов, установленных в</w:t>
      </w:r>
      <w:r>
        <w:rPr>
          <w:rFonts w:ascii="Times New Roman" w:hAnsi="Times New Roman"/>
          <w:sz w:val="28"/>
          <w:szCs w:val="28"/>
        </w:rPr>
        <w:t> </w:t>
      </w:r>
      <w:r w:rsidRPr="007C0FF4">
        <w:rPr>
          <w:rFonts w:ascii="Times New Roman" w:hAnsi="Times New Roman"/>
          <w:sz w:val="28"/>
          <w:szCs w:val="28"/>
        </w:rPr>
        <w:t>соответствии с</w:t>
      </w:r>
      <w:r>
        <w:rPr>
          <w:rFonts w:ascii="Times New Roman" w:hAnsi="Times New Roman"/>
          <w:sz w:val="28"/>
          <w:szCs w:val="28"/>
        </w:rPr>
        <w:t> </w:t>
      </w:r>
      <w:r w:rsidRPr="007C0FF4">
        <w:rPr>
          <w:rFonts w:ascii="Times New Roman" w:hAnsi="Times New Roman"/>
          <w:sz w:val="28"/>
          <w:szCs w:val="28"/>
        </w:rPr>
        <w:t>требованиями законодательства в</w:t>
      </w:r>
      <w:r>
        <w:rPr>
          <w:rFonts w:ascii="Times New Roman" w:hAnsi="Times New Roman"/>
          <w:sz w:val="28"/>
          <w:szCs w:val="28"/>
        </w:rPr>
        <w:t> </w:t>
      </w:r>
      <w:r w:rsidRPr="007C0FF4">
        <w:rPr>
          <w:rFonts w:ascii="Times New Roman" w:hAnsi="Times New Roman"/>
          <w:sz w:val="28"/>
          <w:szCs w:val="28"/>
        </w:rPr>
        <w:t>области охраны окружающей среды и</w:t>
      </w:r>
      <w:r>
        <w:rPr>
          <w:rFonts w:ascii="Times New Roman" w:hAnsi="Times New Roman"/>
          <w:sz w:val="28"/>
          <w:szCs w:val="28"/>
        </w:rPr>
        <w:t> </w:t>
      </w:r>
      <w:r w:rsidRPr="007C0FF4">
        <w:rPr>
          <w:rFonts w:ascii="Times New Roman" w:hAnsi="Times New Roman"/>
          <w:sz w:val="28"/>
          <w:szCs w:val="28"/>
        </w:rPr>
        <w:t>настоящего Кодекса;</w:t>
      </w:r>
    </w:p>
    <w:p w:rsidR="002D1E45" w:rsidRPr="007C0FF4" w:rsidRDefault="002D1E45" w:rsidP="00740293">
      <w:pPr>
        <w:numPr>
          <w:ilvl w:val="0"/>
          <w:numId w:val="31"/>
        </w:numPr>
        <w:spacing w:after="0" w:line="240" w:lineRule="auto"/>
        <w:jc w:val="both"/>
        <w:rPr>
          <w:rFonts w:ascii="Times New Roman" w:hAnsi="Times New Roman"/>
          <w:sz w:val="28"/>
          <w:szCs w:val="28"/>
        </w:rPr>
      </w:pPr>
      <w:r w:rsidRPr="007C0FF4">
        <w:rPr>
          <w:rFonts w:ascii="Times New Roman" w:hAnsi="Times New Roman"/>
          <w:sz w:val="28"/>
          <w:szCs w:val="28"/>
        </w:rPr>
        <w:t>сооружения для сбора отходов производства и</w:t>
      </w:r>
      <w:r>
        <w:rPr>
          <w:rFonts w:ascii="Times New Roman" w:hAnsi="Times New Roman"/>
          <w:sz w:val="28"/>
          <w:szCs w:val="28"/>
        </w:rPr>
        <w:t> </w:t>
      </w:r>
      <w:r w:rsidRPr="007C0FF4">
        <w:rPr>
          <w:rFonts w:ascii="Times New Roman" w:hAnsi="Times New Roman"/>
          <w:sz w:val="28"/>
          <w:szCs w:val="28"/>
        </w:rPr>
        <w:t>потребления, а</w:t>
      </w:r>
      <w:r>
        <w:rPr>
          <w:rFonts w:ascii="Times New Roman" w:hAnsi="Times New Roman"/>
          <w:sz w:val="28"/>
          <w:szCs w:val="28"/>
        </w:rPr>
        <w:t> </w:t>
      </w:r>
      <w:r w:rsidRPr="007C0FF4">
        <w:rPr>
          <w:rFonts w:ascii="Times New Roman" w:hAnsi="Times New Roman"/>
          <w:sz w:val="28"/>
          <w:szCs w:val="28"/>
        </w:rPr>
        <w:t>также сооружения и</w:t>
      </w:r>
      <w:r>
        <w:rPr>
          <w:rFonts w:ascii="Times New Roman" w:hAnsi="Times New Roman"/>
          <w:sz w:val="28"/>
          <w:szCs w:val="28"/>
        </w:rPr>
        <w:t> </w:t>
      </w:r>
      <w:r w:rsidRPr="007C0FF4">
        <w:rPr>
          <w:rFonts w:ascii="Times New Roman" w:hAnsi="Times New Roman"/>
          <w:sz w:val="28"/>
          <w:szCs w:val="28"/>
        </w:rPr>
        <w:t>системы для отведения (сброса) сточных вод (в том числе дождевых, талых, инфильтрационных, поливомоечных и</w:t>
      </w:r>
      <w:r>
        <w:rPr>
          <w:rFonts w:ascii="Times New Roman" w:hAnsi="Times New Roman"/>
          <w:sz w:val="28"/>
          <w:szCs w:val="28"/>
        </w:rPr>
        <w:t> </w:t>
      </w:r>
      <w:r w:rsidRPr="007C0FF4">
        <w:rPr>
          <w:rFonts w:ascii="Times New Roman" w:hAnsi="Times New Roman"/>
          <w:sz w:val="28"/>
          <w:szCs w:val="28"/>
        </w:rPr>
        <w:t>дренажных вод) в</w:t>
      </w:r>
      <w:r>
        <w:rPr>
          <w:rFonts w:ascii="Times New Roman" w:hAnsi="Times New Roman"/>
          <w:sz w:val="28"/>
          <w:szCs w:val="28"/>
        </w:rPr>
        <w:t> </w:t>
      </w:r>
      <w:r w:rsidRPr="007C0FF4">
        <w:rPr>
          <w:rFonts w:ascii="Times New Roman" w:hAnsi="Times New Roman"/>
          <w:sz w:val="28"/>
          <w:szCs w:val="28"/>
        </w:rPr>
        <w:t>приёмники, изготовленные из</w:t>
      </w:r>
      <w:r>
        <w:rPr>
          <w:rFonts w:ascii="Times New Roman" w:hAnsi="Times New Roman"/>
          <w:sz w:val="28"/>
          <w:szCs w:val="28"/>
        </w:rPr>
        <w:t> </w:t>
      </w:r>
      <w:r w:rsidRPr="007C0FF4">
        <w:rPr>
          <w:rFonts w:ascii="Times New Roman" w:hAnsi="Times New Roman"/>
          <w:sz w:val="28"/>
          <w:szCs w:val="28"/>
        </w:rPr>
        <w:t>водонепроницаемых материалов.</w:t>
      </w:r>
    </w:p>
    <w:p w:rsidR="002D1E45" w:rsidRPr="007C0FF4" w:rsidRDefault="002D1E45"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В отношении территорий садоводческих, огороднических или дачных некоммерческих объединений граждан, размещённых в</w:t>
      </w:r>
      <w:r>
        <w:rPr>
          <w:rFonts w:ascii="Times New Roman" w:hAnsi="Times New Roman"/>
          <w:sz w:val="28"/>
          <w:szCs w:val="28"/>
        </w:rPr>
        <w:t> </w:t>
      </w:r>
      <w:r w:rsidRPr="007C0FF4">
        <w:rPr>
          <w:rFonts w:ascii="Times New Roman" w:hAnsi="Times New Roman"/>
          <w:sz w:val="28"/>
          <w:szCs w:val="28"/>
        </w:rPr>
        <w:t>границах водоохранных зон и</w:t>
      </w:r>
      <w:r>
        <w:rPr>
          <w:rFonts w:ascii="Times New Roman" w:hAnsi="Times New Roman"/>
          <w:sz w:val="28"/>
          <w:szCs w:val="28"/>
        </w:rPr>
        <w:t> </w:t>
      </w:r>
      <w:r w:rsidRPr="007C0FF4">
        <w:rPr>
          <w:rFonts w:ascii="Times New Roman" w:hAnsi="Times New Roman"/>
          <w:sz w:val="28"/>
          <w:szCs w:val="28"/>
        </w:rPr>
        <w:t>не</w:t>
      </w:r>
      <w:r>
        <w:rPr>
          <w:rFonts w:ascii="Times New Roman" w:hAnsi="Times New Roman"/>
          <w:sz w:val="28"/>
          <w:szCs w:val="28"/>
        </w:rPr>
        <w:t> </w:t>
      </w:r>
      <w:r w:rsidRPr="007C0FF4">
        <w:rPr>
          <w:rFonts w:ascii="Times New Roman" w:hAnsi="Times New Roman"/>
          <w:sz w:val="28"/>
          <w:szCs w:val="28"/>
        </w:rPr>
        <w:t>оборудованных сооружениями для очистки сточных вод, до</w:t>
      </w:r>
      <w:r>
        <w:rPr>
          <w:rFonts w:ascii="Times New Roman" w:hAnsi="Times New Roman"/>
          <w:sz w:val="28"/>
          <w:szCs w:val="28"/>
        </w:rPr>
        <w:t> </w:t>
      </w:r>
      <w:r w:rsidRPr="007C0FF4">
        <w:rPr>
          <w:rFonts w:ascii="Times New Roman" w:hAnsi="Times New Roman"/>
          <w:sz w:val="28"/>
          <w:szCs w:val="28"/>
        </w:rPr>
        <w:t>момента их</w:t>
      </w:r>
      <w:r>
        <w:rPr>
          <w:rFonts w:ascii="Times New Roman" w:hAnsi="Times New Roman"/>
          <w:sz w:val="28"/>
          <w:szCs w:val="28"/>
        </w:rPr>
        <w:t> </w:t>
      </w:r>
      <w:r w:rsidRPr="007C0FF4">
        <w:rPr>
          <w:rFonts w:ascii="Times New Roman" w:hAnsi="Times New Roman"/>
          <w:sz w:val="28"/>
          <w:szCs w:val="28"/>
        </w:rPr>
        <w:t>оборудования такими сооружениями и (или) подключения к</w:t>
      </w:r>
      <w:r>
        <w:rPr>
          <w:rFonts w:ascii="Times New Roman" w:hAnsi="Times New Roman"/>
          <w:sz w:val="28"/>
          <w:szCs w:val="28"/>
        </w:rPr>
        <w:t> </w:t>
      </w:r>
      <w:r w:rsidRPr="007C0FF4">
        <w:rPr>
          <w:rFonts w:ascii="Times New Roman" w:hAnsi="Times New Roman"/>
          <w:sz w:val="28"/>
          <w:szCs w:val="28"/>
        </w:rPr>
        <w:t>системам, допускается применение приёмников, изготовленных из</w:t>
      </w:r>
      <w:r>
        <w:rPr>
          <w:rFonts w:ascii="Times New Roman" w:hAnsi="Times New Roman"/>
          <w:sz w:val="28"/>
          <w:szCs w:val="28"/>
        </w:rPr>
        <w:t> </w:t>
      </w:r>
      <w:r w:rsidRPr="007C0FF4">
        <w:rPr>
          <w:rFonts w:ascii="Times New Roman" w:hAnsi="Times New Roman"/>
          <w:sz w:val="28"/>
          <w:szCs w:val="28"/>
        </w:rPr>
        <w:t>водонепроницаемых материалов, предотвращающих поступление загрязняющих веществ, иных веществ и</w:t>
      </w:r>
      <w:r>
        <w:rPr>
          <w:rFonts w:ascii="Times New Roman" w:hAnsi="Times New Roman"/>
          <w:sz w:val="28"/>
          <w:szCs w:val="28"/>
        </w:rPr>
        <w:t> </w:t>
      </w:r>
      <w:r w:rsidRPr="007C0FF4">
        <w:rPr>
          <w:rFonts w:ascii="Times New Roman" w:hAnsi="Times New Roman"/>
          <w:sz w:val="28"/>
          <w:szCs w:val="28"/>
        </w:rPr>
        <w:t>микроорганизмов в</w:t>
      </w:r>
      <w:r>
        <w:rPr>
          <w:rFonts w:ascii="Times New Roman" w:hAnsi="Times New Roman"/>
          <w:sz w:val="28"/>
          <w:szCs w:val="28"/>
        </w:rPr>
        <w:t> </w:t>
      </w:r>
      <w:r w:rsidRPr="007C0FF4">
        <w:rPr>
          <w:rFonts w:ascii="Times New Roman" w:hAnsi="Times New Roman"/>
          <w:sz w:val="28"/>
          <w:szCs w:val="28"/>
        </w:rPr>
        <w:t>окружающую среду.</w:t>
      </w:r>
    </w:p>
    <w:p w:rsidR="002D1E45" w:rsidRPr="007C0FF4" w:rsidRDefault="002D1E45"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В границах прибрежных защитных полос, наряду с</w:t>
      </w:r>
      <w:r>
        <w:rPr>
          <w:rFonts w:ascii="Times New Roman" w:hAnsi="Times New Roman"/>
          <w:sz w:val="28"/>
          <w:szCs w:val="28"/>
        </w:rPr>
        <w:t> </w:t>
      </w:r>
      <w:r w:rsidRPr="007C0FF4">
        <w:rPr>
          <w:rFonts w:ascii="Times New Roman" w:hAnsi="Times New Roman"/>
          <w:sz w:val="28"/>
          <w:szCs w:val="28"/>
        </w:rPr>
        <w:t>установленными частью 15 настоящей статьи ограничениями, запрещаются:</w:t>
      </w:r>
    </w:p>
    <w:p w:rsidR="002D1E45" w:rsidRPr="007C0FF4" w:rsidRDefault="002D1E45" w:rsidP="00740293">
      <w:pPr>
        <w:numPr>
          <w:ilvl w:val="0"/>
          <w:numId w:val="32"/>
        </w:numPr>
        <w:spacing w:after="0" w:line="240" w:lineRule="auto"/>
        <w:jc w:val="both"/>
        <w:rPr>
          <w:rFonts w:ascii="Times New Roman" w:hAnsi="Times New Roman"/>
          <w:sz w:val="28"/>
          <w:szCs w:val="28"/>
        </w:rPr>
      </w:pPr>
      <w:r w:rsidRPr="007C0FF4">
        <w:rPr>
          <w:rFonts w:ascii="Times New Roman" w:hAnsi="Times New Roman"/>
          <w:sz w:val="28"/>
          <w:szCs w:val="28"/>
        </w:rPr>
        <w:t>распашка земель;</w:t>
      </w:r>
    </w:p>
    <w:p w:rsidR="002D1E45" w:rsidRPr="007C0FF4" w:rsidRDefault="002D1E45" w:rsidP="00740293">
      <w:pPr>
        <w:numPr>
          <w:ilvl w:val="0"/>
          <w:numId w:val="32"/>
        </w:numPr>
        <w:spacing w:after="0" w:line="240" w:lineRule="auto"/>
        <w:jc w:val="both"/>
        <w:rPr>
          <w:rFonts w:ascii="Times New Roman" w:hAnsi="Times New Roman"/>
          <w:sz w:val="28"/>
          <w:szCs w:val="28"/>
        </w:rPr>
      </w:pPr>
      <w:r w:rsidRPr="007C0FF4">
        <w:rPr>
          <w:rFonts w:ascii="Times New Roman" w:hAnsi="Times New Roman"/>
          <w:sz w:val="28"/>
          <w:szCs w:val="28"/>
        </w:rPr>
        <w:t>размещение отвалов размываемых грунтов;</w:t>
      </w:r>
    </w:p>
    <w:p w:rsidR="002D1E45" w:rsidRPr="007C0FF4" w:rsidRDefault="002D1E45" w:rsidP="00740293">
      <w:pPr>
        <w:numPr>
          <w:ilvl w:val="0"/>
          <w:numId w:val="32"/>
        </w:numPr>
        <w:spacing w:after="0" w:line="240" w:lineRule="auto"/>
        <w:jc w:val="both"/>
        <w:rPr>
          <w:rFonts w:ascii="Times New Roman" w:hAnsi="Times New Roman"/>
          <w:sz w:val="28"/>
          <w:szCs w:val="28"/>
        </w:rPr>
      </w:pPr>
      <w:r w:rsidRPr="007C0FF4">
        <w:rPr>
          <w:rFonts w:ascii="Times New Roman" w:hAnsi="Times New Roman"/>
          <w:sz w:val="28"/>
          <w:szCs w:val="28"/>
        </w:rPr>
        <w:t>выпас сельскохозяйственных животных и</w:t>
      </w:r>
      <w:r>
        <w:rPr>
          <w:rFonts w:ascii="Times New Roman" w:hAnsi="Times New Roman"/>
          <w:sz w:val="28"/>
          <w:szCs w:val="28"/>
        </w:rPr>
        <w:t> </w:t>
      </w:r>
      <w:r w:rsidRPr="007C0FF4">
        <w:rPr>
          <w:rFonts w:ascii="Times New Roman" w:hAnsi="Times New Roman"/>
          <w:sz w:val="28"/>
          <w:szCs w:val="28"/>
        </w:rPr>
        <w:t>организация для них летних лагерей, ванн.</w:t>
      </w:r>
    </w:p>
    <w:p w:rsidR="002D1E45" w:rsidRDefault="002D1E45"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Установление на</w:t>
      </w:r>
      <w:r>
        <w:rPr>
          <w:rFonts w:ascii="Times New Roman" w:hAnsi="Times New Roman"/>
          <w:sz w:val="28"/>
          <w:szCs w:val="28"/>
        </w:rPr>
        <w:t> </w:t>
      </w:r>
      <w:r w:rsidRPr="007C0FF4">
        <w:rPr>
          <w:rFonts w:ascii="Times New Roman" w:hAnsi="Times New Roman"/>
          <w:sz w:val="28"/>
          <w:szCs w:val="28"/>
        </w:rPr>
        <w:t>местности границ водоохранных зон и</w:t>
      </w:r>
      <w:r>
        <w:rPr>
          <w:rFonts w:ascii="Times New Roman" w:hAnsi="Times New Roman"/>
          <w:sz w:val="28"/>
          <w:szCs w:val="28"/>
        </w:rPr>
        <w:t> </w:t>
      </w:r>
      <w:r w:rsidRPr="007C0FF4">
        <w:rPr>
          <w:rFonts w:ascii="Times New Roman" w:hAnsi="Times New Roman"/>
          <w:sz w:val="28"/>
          <w:szCs w:val="28"/>
        </w:rPr>
        <w:t>границ прибрежных защитных полос водных объектов, в</w:t>
      </w:r>
      <w:r>
        <w:rPr>
          <w:rFonts w:ascii="Times New Roman" w:hAnsi="Times New Roman"/>
          <w:sz w:val="28"/>
          <w:szCs w:val="28"/>
        </w:rPr>
        <w:t> </w:t>
      </w:r>
      <w:r w:rsidRPr="007C0FF4">
        <w:rPr>
          <w:rFonts w:ascii="Times New Roman" w:hAnsi="Times New Roman"/>
          <w:sz w:val="28"/>
          <w:szCs w:val="28"/>
        </w:rPr>
        <w:t>том числе посредством специальных информационных знаков, осуществляется в</w:t>
      </w:r>
      <w:r>
        <w:rPr>
          <w:rFonts w:ascii="Times New Roman" w:hAnsi="Times New Roman"/>
          <w:sz w:val="28"/>
          <w:szCs w:val="28"/>
        </w:rPr>
        <w:t> </w:t>
      </w:r>
      <w:r w:rsidRPr="007C0FF4">
        <w:rPr>
          <w:rFonts w:ascii="Times New Roman" w:hAnsi="Times New Roman"/>
          <w:sz w:val="28"/>
          <w:szCs w:val="28"/>
        </w:rPr>
        <w:t>порядке, установленном Правительством Российской Федерации.</w:t>
      </w:r>
    </w:p>
    <w:p w:rsidR="002D1E45" w:rsidRDefault="002D1E45" w:rsidP="00886031">
      <w:pPr>
        <w:spacing w:after="0" w:line="240" w:lineRule="auto"/>
        <w:ind w:firstLine="709"/>
        <w:jc w:val="both"/>
        <w:rPr>
          <w:rFonts w:ascii="Times New Roman" w:hAnsi="Times New Roman"/>
          <w:sz w:val="28"/>
          <w:szCs w:val="28"/>
        </w:rPr>
      </w:pPr>
      <w:r w:rsidRPr="00886031">
        <w:rPr>
          <w:rFonts w:ascii="Times New Roman" w:hAnsi="Times New Roman"/>
          <w:sz w:val="28"/>
          <w:szCs w:val="28"/>
        </w:rPr>
        <w:t>Установление на</w:t>
      </w:r>
      <w:r>
        <w:rPr>
          <w:rFonts w:ascii="Times New Roman" w:hAnsi="Times New Roman"/>
          <w:sz w:val="28"/>
          <w:szCs w:val="28"/>
        </w:rPr>
        <w:t> </w:t>
      </w:r>
      <w:r w:rsidRPr="00886031">
        <w:rPr>
          <w:rFonts w:ascii="Times New Roman" w:hAnsi="Times New Roman"/>
          <w:sz w:val="28"/>
          <w:szCs w:val="28"/>
        </w:rPr>
        <w:t>местности границ водоохранных зон и</w:t>
      </w:r>
      <w:r>
        <w:rPr>
          <w:rFonts w:ascii="Times New Roman" w:hAnsi="Times New Roman"/>
          <w:sz w:val="28"/>
          <w:szCs w:val="28"/>
        </w:rPr>
        <w:t> </w:t>
      </w:r>
      <w:r w:rsidRPr="00886031">
        <w:rPr>
          <w:rFonts w:ascii="Times New Roman" w:hAnsi="Times New Roman"/>
          <w:sz w:val="28"/>
          <w:szCs w:val="28"/>
        </w:rPr>
        <w:t>границ прибрежных защитных полос водных объектов, в</w:t>
      </w:r>
      <w:r>
        <w:rPr>
          <w:rFonts w:ascii="Times New Roman" w:hAnsi="Times New Roman"/>
          <w:sz w:val="28"/>
          <w:szCs w:val="28"/>
        </w:rPr>
        <w:t> </w:t>
      </w:r>
      <w:r w:rsidRPr="00886031">
        <w:rPr>
          <w:rFonts w:ascii="Times New Roman" w:hAnsi="Times New Roman"/>
          <w:sz w:val="28"/>
          <w:szCs w:val="28"/>
        </w:rPr>
        <w:t>том числе посредством специальных информационных знаков, осуществляется в</w:t>
      </w:r>
      <w:r>
        <w:rPr>
          <w:rFonts w:ascii="Times New Roman" w:hAnsi="Times New Roman"/>
          <w:sz w:val="28"/>
          <w:szCs w:val="28"/>
        </w:rPr>
        <w:t> </w:t>
      </w:r>
      <w:r w:rsidRPr="00886031">
        <w:rPr>
          <w:rFonts w:ascii="Times New Roman" w:hAnsi="Times New Roman"/>
          <w:sz w:val="28"/>
          <w:szCs w:val="28"/>
        </w:rPr>
        <w:t>порядке, установленном Правительством Российской Федерации.</w:t>
      </w:r>
    </w:p>
    <w:p w:rsidR="002D1E45" w:rsidRPr="00886031" w:rsidRDefault="002D1E45" w:rsidP="00ED166F">
      <w:pPr>
        <w:spacing w:after="0" w:line="240" w:lineRule="auto"/>
        <w:ind w:firstLine="709"/>
        <w:jc w:val="both"/>
        <w:rPr>
          <w:rFonts w:ascii="Times New Roman" w:hAnsi="Times New Roman"/>
          <w:sz w:val="28"/>
          <w:szCs w:val="28"/>
        </w:rPr>
      </w:pPr>
      <w:r w:rsidRPr="00ED166F">
        <w:rPr>
          <w:rFonts w:ascii="Times New Roman" w:hAnsi="Times New Roman"/>
          <w:sz w:val="28"/>
          <w:szCs w:val="28"/>
        </w:rPr>
        <w:t xml:space="preserve">В соответствии с </w:t>
      </w:r>
      <w:r>
        <w:rPr>
          <w:rFonts w:ascii="Times New Roman" w:hAnsi="Times New Roman"/>
          <w:sz w:val="28"/>
          <w:szCs w:val="28"/>
        </w:rPr>
        <w:t>В</w:t>
      </w:r>
      <w:r w:rsidRPr="00ED166F">
        <w:rPr>
          <w:rFonts w:ascii="Times New Roman" w:hAnsi="Times New Roman"/>
          <w:sz w:val="28"/>
          <w:szCs w:val="28"/>
        </w:rPr>
        <w:t>одным кодексом</w:t>
      </w:r>
      <w:r>
        <w:rPr>
          <w:rFonts w:ascii="Times New Roman" w:hAnsi="Times New Roman"/>
          <w:sz w:val="28"/>
          <w:szCs w:val="28"/>
        </w:rPr>
        <w:t xml:space="preserve">, </w:t>
      </w:r>
      <w:r w:rsidRPr="00ED166F">
        <w:rPr>
          <w:rFonts w:ascii="Times New Roman" w:hAnsi="Times New Roman"/>
          <w:sz w:val="28"/>
          <w:szCs w:val="28"/>
        </w:rPr>
        <w:t xml:space="preserve">ширина водоохраной зоны р. Омь </w:t>
      </w:r>
      <w:r>
        <w:rPr>
          <w:rFonts w:ascii="Times New Roman" w:hAnsi="Times New Roman"/>
          <w:sz w:val="28"/>
          <w:szCs w:val="28"/>
        </w:rPr>
        <w:t>–</w:t>
      </w:r>
      <w:r w:rsidRPr="00ED166F">
        <w:rPr>
          <w:rFonts w:ascii="Times New Roman" w:hAnsi="Times New Roman"/>
          <w:sz w:val="28"/>
          <w:szCs w:val="28"/>
        </w:rPr>
        <w:t xml:space="preserve"> 200 м, ширина прибрежной защитной полосы </w:t>
      </w:r>
      <w:r>
        <w:rPr>
          <w:rFonts w:ascii="Times New Roman" w:hAnsi="Times New Roman"/>
          <w:sz w:val="28"/>
          <w:szCs w:val="28"/>
        </w:rPr>
        <w:t>–</w:t>
      </w:r>
      <w:r w:rsidRPr="00ED166F">
        <w:rPr>
          <w:rFonts w:ascii="Times New Roman" w:hAnsi="Times New Roman"/>
          <w:sz w:val="28"/>
          <w:szCs w:val="28"/>
        </w:rPr>
        <w:t xml:space="preserve"> 50</w:t>
      </w:r>
      <w:r>
        <w:rPr>
          <w:rFonts w:ascii="Times New Roman" w:hAnsi="Times New Roman"/>
          <w:sz w:val="28"/>
          <w:szCs w:val="28"/>
        </w:rPr>
        <w:t xml:space="preserve"> м.</w:t>
      </w:r>
    </w:p>
    <w:p w:rsidR="002D1E45" w:rsidRPr="00EF4C3A" w:rsidRDefault="002D1E45" w:rsidP="00852938">
      <w:pPr>
        <w:pStyle w:val="Heading2"/>
        <w:numPr>
          <w:ilvl w:val="1"/>
          <w:numId w:val="65"/>
        </w:numPr>
        <w:spacing w:before="240"/>
        <w:ind w:left="993" w:hanging="633"/>
        <w:jc w:val="both"/>
        <w:rPr>
          <w:b/>
        </w:rPr>
      </w:pPr>
      <w:bookmarkStart w:id="221" w:name="_Toc84936049"/>
      <w:r w:rsidRPr="00EF4C3A">
        <w:rPr>
          <w:b/>
        </w:rPr>
        <w:t>Зоны санитарной охраны источников водоснабжения</w:t>
      </w:r>
      <w:bookmarkEnd w:id="221"/>
    </w:p>
    <w:p w:rsidR="002D1E45" w:rsidRDefault="002D1E45" w:rsidP="00FE1BF0">
      <w:pPr>
        <w:spacing w:after="0" w:line="240" w:lineRule="auto"/>
        <w:rPr>
          <w:rFonts w:ascii="Arial" w:hAnsi="Arial" w:cs="Arial"/>
          <w:sz w:val="16"/>
          <w:szCs w:val="16"/>
          <w:lang w:eastAsia="ru-RU"/>
        </w:rPr>
      </w:pPr>
    </w:p>
    <w:p w:rsidR="002D1E45" w:rsidRPr="002B4636" w:rsidRDefault="002D1E45" w:rsidP="002B4636">
      <w:pPr>
        <w:spacing w:after="0" w:line="240" w:lineRule="auto"/>
        <w:ind w:firstLine="709"/>
        <w:jc w:val="both"/>
        <w:rPr>
          <w:rFonts w:ascii="Times New Roman" w:hAnsi="Times New Roman"/>
          <w:sz w:val="28"/>
          <w:szCs w:val="28"/>
        </w:rPr>
      </w:pPr>
      <w:r w:rsidRPr="002B4636">
        <w:rPr>
          <w:rFonts w:ascii="Times New Roman" w:hAnsi="Times New Roman"/>
          <w:sz w:val="28"/>
          <w:szCs w:val="28"/>
        </w:rPr>
        <w:t xml:space="preserve">В городе Куйбышеве источником питьевого водоснабжения являются поверхностные воды реки Омь и подземные источники </w:t>
      </w:r>
      <w:r>
        <w:rPr>
          <w:rFonts w:ascii="Times New Roman" w:hAnsi="Times New Roman"/>
          <w:sz w:val="28"/>
          <w:szCs w:val="28"/>
        </w:rPr>
        <w:t>–</w:t>
      </w:r>
      <w:r w:rsidRPr="002B4636">
        <w:rPr>
          <w:rFonts w:ascii="Times New Roman" w:hAnsi="Times New Roman"/>
          <w:sz w:val="28"/>
          <w:szCs w:val="28"/>
        </w:rPr>
        <w:t xml:space="preserve"> 5 артезианских скважин, глубиной от 100 до 870 метров. Половина скважин на сегодняшний день пескует. Потребление воды из реки составляет 9,500 тыс. м</w:t>
      </w:r>
      <w:r>
        <w:rPr>
          <w:rFonts w:ascii="Times New Roman" w:hAnsi="Times New Roman"/>
          <w:sz w:val="28"/>
          <w:szCs w:val="28"/>
          <w:vertAlign w:val="superscript"/>
        </w:rPr>
        <w:t>3</w:t>
      </w:r>
      <w:r>
        <w:rPr>
          <w:rFonts w:ascii="Times New Roman" w:hAnsi="Times New Roman"/>
          <w:sz w:val="28"/>
          <w:szCs w:val="28"/>
        </w:rPr>
        <w:t xml:space="preserve"> в </w:t>
      </w:r>
      <w:r w:rsidRPr="002B4636">
        <w:rPr>
          <w:rFonts w:ascii="Times New Roman" w:hAnsi="Times New Roman"/>
          <w:sz w:val="28"/>
          <w:szCs w:val="28"/>
        </w:rPr>
        <w:t xml:space="preserve">сутки, из артезианских скважин </w:t>
      </w:r>
    </w:p>
    <w:p w:rsidR="002D1E45" w:rsidRPr="002B4636" w:rsidRDefault="002D1E45" w:rsidP="002B4636">
      <w:pPr>
        <w:spacing w:after="0" w:line="240" w:lineRule="auto"/>
        <w:ind w:firstLine="709"/>
        <w:jc w:val="both"/>
        <w:rPr>
          <w:rFonts w:ascii="Times New Roman" w:hAnsi="Times New Roman"/>
          <w:sz w:val="28"/>
          <w:szCs w:val="28"/>
        </w:rPr>
      </w:pPr>
      <w:r w:rsidRPr="002B4636">
        <w:rPr>
          <w:rFonts w:ascii="Times New Roman" w:hAnsi="Times New Roman"/>
          <w:sz w:val="28"/>
          <w:szCs w:val="28"/>
        </w:rPr>
        <w:t>Потребление воды из реки составляет 9500 тыс. м</w:t>
      </w:r>
      <w:r>
        <w:rPr>
          <w:rFonts w:ascii="Times New Roman" w:hAnsi="Times New Roman"/>
          <w:sz w:val="28"/>
          <w:szCs w:val="28"/>
          <w:vertAlign w:val="superscript"/>
        </w:rPr>
        <w:t>3</w:t>
      </w:r>
      <w:r w:rsidRPr="002B4636">
        <w:rPr>
          <w:rFonts w:ascii="Times New Roman" w:hAnsi="Times New Roman"/>
          <w:sz w:val="28"/>
          <w:szCs w:val="28"/>
        </w:rPr>
        <w:t xml:space="preserve"> </w:t>
      </w:r>
      <w:r>
        <w:rPr>
          <w:rFonts w:ascii="Times New Roman" w:hAnsi="Times New Roman"/>
          <w:sz w:val="28"/>
          <w:szCs w:val="28"/>
        </w:rPr>
        <w:t xml:space="preserve">в </w:t>
      </w:r>
      <w:r w:rsidRPr="002B4636">
        <w:rPr>
          <w:rFonts w:ascii="Times New Roman" w:hAnsi="Times New Roman"/>
          <w:sz w:val="28"/>
          <w:szCs w:val="28"/>
        </w:rPr>
        <w:t>сутки, из артезианских скважин 3800 м</w:t>
      </w:r>
      <w:r w:rsidRPr="002B4636">
        <w:rPr>
          <w:rFonts w:ascii="Times New Roman" w:hAnsi="Times New Roman"/>
          <w:sz w:val="28"/>
          <w:szCs w:val="28"/>
          <w:vertAlign w:val="superscript"/>
        </w:rPr>
        <w:t>3</w:t>
      </w:r>
      <w:r w:rsidRPr="002B4636">
        <w:rPr>
          <w:rFonts w:ascii="Times New Roman" w:hAnsi="Times New Roman"/>
          <w:sz w:val="28"/>
          <w:szCs w:val="28"/>
        </w:rPr>
        <w:t xml:space="preserve"> сутки. </w:t>
      </w:r>
    </w:p>
    <w:p w:rsidR="002D1E45" w:rsidRPr="007C0FF4" w:rsidRDefault="002D1E45"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Зоны санитарной охраны (ЗСО) источников водоснабжения определяются в</w:t>
      </w:r>
      <w:r>
        <w:rPr>
          <w:rFonts w:ascii="Times New Roman" w:hAnsi="Times New Roman"/>
          <w:sz w:val="28"/>
          <w:szCs w:val="28"/>
        </w:rPr>
        <w:t> </w:t>
      </w:r>
      <w:r w:rsidRPr="007C0FF4">
        <w:rPr>
          <w:rFonts w:ascii="Times New Roman" w:hAnsi="Times New Roman"/>
          <w:sz w:val="28"/>
          <w:szCs w:val="28"/>
        </w:rPr>
        <w:t>соответствии с</w:t>
      </w:r>
      <w:r>
        <w:rPr>
          <w:rFonts w:ascii="Times New Roman" w:hAnsi="Times New Roman"/>
          <w:sz w:val="28"/>
          <w:szCs w:val="28"/>
        </w:rPr>
        <w:t> </w:t>
      </w:r>
      <w:r w:rsidRPr="007C0FF4">
        <w:rPr>
          <w:rFonts w:ascii="Times New Roman" w:hAnsi="Times New Roman"/>
          <w:sz w:val="28"/>
          <w:szCs w:val="28"/>
        </w:rPr>
        <w:t>требованиями СанПиН 2.1.4.1110-02. Санитарные правила и</w:t>
      </w:r>
      <w:r>
        <w:rPr>
          <w:rFonts w:ascii="Times New Roman" w:hAnsi="Times New Roman"/>
          <w:sz w:val="28"/>
          <w:szCs w:val="28"/>
        </w:rPr>
        <w:t> </w:t>
      </w:r>
      <w:r w:rsidRPr="007C0FF4">
        <w:rPr>
          <w:rFonts w:ascii="Times New Roman" w:hAnsi="Times New Roman"/>
          <w:sz w:val="28"/>
          <w:szCs w:val="28"/>
        </w:rPr>
        <w:t>нормы «Зоны санитарной охраны источников водоснабжения и</w:t>
      </w:r>
      <w:r>
        <w:rPr>
          <w:rFonts w:ascii="Times New Roman" w:hAnsi="Times New Roman"/>
          <w:sz w:val="28"/>
          <w:szCs w:val="28"/>
        </w:rPr>
        <w:t> </w:t>
      </w:r>
      <w:r w:rsidRPr="007C0FF4">
        <w:rPr>
          <w:rFonts w:ascii="Times New Roman" w:hAnsi="Times New Roman"/>
          <w:sz w:val="28"/>
          <w:szCs w:val="28"/>
        </w:rPr>
        <w:t xml:space="preserve">водопроводов питьевого назначения». </w:t>
      </w:r>
    </w:p>
    <w:p w:rsidR="002D1E45" w:rsidRPr="007C0FF4" w:rsidRDefault="002D1E45"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ЗСО организуются на</w:t>
      </w:r>
      <w:r>
        <w:rPr>
          <w:rFonts w:ascii="Times New Roman" w:hAnsi="Times New Roman"/>
          <w:sz w:val="28"/>
          <w:szCs w:val="28"/>
        </w:rPr>
        <w:t> </w:t>
      </w:r>
      <w:r w:rsidRPr="007C0FF4">
        <w:rPr>
          <w:rFonts w:ascii="Times New Roman" w:hAnsi="Times New Roman"/>
          <w:sz w:val="28"/>
          <w:szCs w:val="28"/>
        </w:rPr>
        <w:t>всех водопроводах, вне зависимости от</w:t>
      </w:r>
      <w:r>
        <w:rPr>
          <w:rFonts w:ascii="Times New Roman" w:hAnsi="Times New Roman"/>
          <w:sz w:val="28"/>
          <w:szCs w:val="28"/>
        </w:rPr>
        <w:t> </w:t>
      </w:r>
      <w:r w:rsidRPr="007C0FF4">
        <w:rPr>
          <w:rFonts w:ascii="Times New Roman" w:hAnsi="Times New Roman"/>
          <w:sz w:val="28"/>
          <w:szCs w:val="28"/>
        </w:rPr>
        <w:t>ведомственной принадлежности, подающих воду, как из</w:t>
      </w:r>
      <w:r>
        <w:rPr>
          <w:rFonts w:ascii="Times New Roman" w:hAnsi="Times New Roman"/>
          <w:sz w:val="28"/>
          <w:szCs w:val="28"/>
        </w:rPr>
        <w:t> </w:t>
      </w:r>
      <w:r w:rsidRPr="007C0FF4">
        <w:rPr>
          <w:rFonts w:ascii="Times New Roman" w:hAnsi="Times New Roman"/>
          <w:sz w:val="28"/>
          <w:szCs w:val="28"/>
        </w:rPr>
        <w:t>поверхностных, так и</w:t>
      </w:r>
      <w:r>
        <w:rPr>
          <w:rFonts w:ascii="Times New Roman" w:hAnsi="Times New Roman"/>
          <w:sz w:val="28"/>
          <w:szCs w:val="28"/>
        </w:rPr>
        <w:t> из </w:t>
      </w:r>
      <w:r w:rsidRPr="007C0FF4">
        <w:rPr>
          <w:rFonts w:ascii="Times New Roman" w:hAnsi="Times New Roman"/>
          <w:sz w:val="28"/>
          <w:szCs w:val="28"/>
        </w:rPr>
        <w:t>подземных источников. Основной целью создания и</w:t>
      </w:r>
      <w:r>
        <w:rPr>
          <w:rFonts w:ascii="Times New Roman" w:hAnsi="Times New Roman"/>
          <w:sz w:val="28"/>
          <w:szCs w:val="28"/>
        </w:rPr>
        <w:t> </w:t>
      </w:r>
      <w:r w:rsidRPr="007C0FF4">
        <w:rPr>
          <w:rFonts w:ascii="Times New Roman" w:hAnsi="Times New Roman"/>
          <w:sz w:val="28"/>
          <w:szCs w:val="28"/>
        </w:rPr>
        <w:t>обеспечения режима ЗСО является санитарная охрана от</w:t>
      </w:r>
      <w:r>
        <w:rPr>
          <w:rFonts w:ascii="Times New Roman" w:hAnsi="Times New Roman"/>
          <w:sz w:val="28"/>
          <w:szCs w:val="28"/>
        </w:rPr>
        <w:t> </w:t>
      </w:r>
      <w:r w:rsidRPr="007C0FF4">
        <w:rPr>
          <w:rFonts w:ascii="Times New Roman" w:hAnsi="Times New Roman"/>
          <w:sz w:val="28"/>
          <w:szCs w:val="28"/>
        </w:rPr>
        <w:t>загрязнения источников водоснабжения и</w:t>
      </w:r>
      <w:r>
        <w:rPr>
          <w:rFonts w:ascii="Times New Roman" w:hAnsi="Times New Roman"/>
          <w:sz w:val="28"/>
          <w:szCs w:val="28"/>
        </w:rPr>
        <w:t> </w:t>
      </w:r>
      <w:r w:rsidRPr="007C0FF4">
        <w:rPr>
          <w:rFonts w:ascii="Times New Roman" w:hAnsi="Times New Roman"/>
          <w:sz w:val="28"/>
          <w:szCs w:val="28"/>
        </w:rPr>
        <w:t>водопроводных сооружений, а</w:t>
      </w:r>
      <w:r>
        <w:rPr>
          <w:rFonts w:ascii="Times New Roman" w:hAnsi="Times New Roman"/>
          <w:sz w:val="28"/>
          <w:szCs w:val="28"/>
        </w:rPr>
        <w:t> </w:t>
      </w:r>
      <w:r w:rsidRPr="007C0FF4">
        <w:rPr>
          <w:rFonts w:ascii="Times New Roman" w:hAnsi="Times New Roman"/>
          <w:sz w:val="28"/>
          <w:szCs w:val="28"/>
        </w:rPr>
        <w:t>также территорий, на</w:t>
      </w:r>
      <w:r>
        <w:rPr>
          <w:rFonts w:ascii="Times New Roman" w:hAnsi="Times New Roman"/>
          <w:sz w:val="28"/>
          <w:szCs w:val="28"/>
        </w:rPr>
        <w:t> </w:t>
      </w:r>
      <w:r w:rsidRPr="007C0FF4">
        <w:rPr>
          <w:rFonts w:ascii="Times New Roman" w:hAnsi="Times New Roman"/>
          <w:sz w:val="28"/>
          <w:szCs w:val="28"/>
        </w:rPr>
        <w:t>которых они расположены.</w:t>
      </w:r>
    </w:p>
    <w:p w:rsidR="002D1E45" w:rsidRPr="007C0FF4" w:rsidRDefault="002D1E45"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ЗСО организуются в</w:t>
      </w:r>
      <w:r>
        <w:rPr>
          <w:rFonts w:ascii="Times New Roman" w:hAnsi="Times New Roman"/>
          <w:sz w:val="28"/>
          <w:szCs w:val="28"/>
        </w:rPr>
        <w:t> </w:t>
      </w:r>
      <w:r w:rsidRPr="007C0FF4">
        <w:rPr>
          <w:rFonts w:ascii="Times New Roman" w:hAnsi="Times New Roman"/>
          <w:sz w:val="28"/>
          <w:szCs w:val="28"/>
        </w:rPr>
        <w:t>составе трёх поясов: первый пояс (строгого режима) включает территорию расположения водозаборов, площадок всех водопроводных сооружений и</w:t>
      </w:r>
      <w:r>
        <w:rPr>
          <w:rFonts w:ascii="Times New Roman" w:hAnsi="Times New Roman"/>
          <w:sz w:val="28"/>
          <w:szCs w:val="28"/>
        </w:rPr>
        <w:t> </w:t>
      </w:r>
      <w:r w:rsidRPr="007C0FF4">
        <w:rPr>
          <w:rFonts w:ascii="Times New Roman" w:hAnsi="Times New Roman"/>
          <w:sz w:val="28"/>
          <w:szCs w:val="28"/>
        </w:rPr>
        <w:t>водопроводящего канала. Его назначение – защита места водозабора и</w:t>
      </w:r>
      <w:r>
        <w:rPr>
          <w:rFonts w:ascii="Times New Roman" w:hAnsi="Times New Roman"/>
          <w:sz w:val="28"/>
          <w:szCs w:val="28"/>
        </w:rPr>
        <w:t> </w:t>
      </w:r>
      <w:r w:rsidRPr="007C0FF4">
        <w:rPr>
          <w:rFonts w:ascii="Times New Roman" w:hAnsi="Times New Roman"/>
          <w:sz w:val="28"/>
          <w:szCs w:val="28"/>
        </w:rPr>
        <w:t>водозаборных сооружений от</w:t>
      </w:r>
      <w:r>
        <w:rPr>
          <w:rFonts w:ascii="Times New Roman" w:hAnsi="Times New Roman"/>
          <w:sz w:val="28"/>
          <w:szCs w:val="28"/>
        </w:rPr>
        <w:t> </w:t>
      </w:r>
      <w:r w:rsidRPr="007C0FF4">
        <w:rPr>
          <w:rFonts w:ascii="Times New Roman" w:hAnsi="Times New Roman"/>
          <w:sz w:val="28"/>
          <w:szCs w:val="28"/>
        </w:rPr>
        <w:t>случайного или умышленного загрязнения и</w:t>
      </w:r>
      <w:r>
        <w:rPr>
          <w:rFonts w:ascii="Times New Roman" w:hAnsi="Times New Roman"/>
          <w:sz w:val="28"/>
          <w:szCs w:val="28"/>
        </w:rPr>
        <w:t> </w:t>
      </w:r>
      <w:r w:rsidRPr="007C0FF4">
        <w:rPr>
          <w:rFonts w:ascii="Times New Roman" w:hAnsi="Times New Roman"/>
          <w:sz w:val="28"/>
          <w:szCs w:val="28"/>
        </w:rPr>
        <w:t>повреждения. Второй и</w:t>
      </w:r>
      <w:r>
        <w:rPr>
          <w:rFonts w:ascii="Times New Roman" w:hAnsi="Times New Roman"/>
          <w:sz w:val="28"/>
          <w:szCs w:val="28"/>
        </w:rPr>
        <w:t> </w:t>
      </w:r>
      <w:r w:rsidRPr="007C0FF4">
        <w:rPr>
          <w:rFonts w:ascii="Times New Roman" w:hAnsi="Times New Roman"/>
          <w:sz w:val="28"/>
          <w:szCs w:val="28"/>
        </w:rPr>
        <w:t>третий пояса (пояса ограничений) включают территорию, предназначенную для предупреждения загрязнения воды источников водоснабжения.</w:t>
      </w:r>
    </w:p>
    <w:p w:rsidR="002D1E45" w:rsidRPr="007C0FF4" w:rsidRDefault="002D1E45" w:rsidP="00572F15">
      <w:pPr>
        <w:spacing w:after="0" w:line="240" w:lineRule="auto"/>
        <w:ind w:firstLine="709"/>
        <w:jc w:val="both"/>
        <w:rPr>
          <w:rFonts w:ascii="Times New Roman" w:hAnsi="Times New Roman"/>
          <w:sz w:val="28"/>
          <w:szCs w:val="28"/>
        </w:rPr>
      </w:pPr>
      <w:r w:rsidRPr="00572F15">
        <w:rPr>
          <w:rFonts w:ascii="Times New Roman" w:hAnsi="Times New Roman"/>
          <w:sz w:val="28"/>
          <w:szCs w:val="28"/>
        </w:rPr>
        <w:t>Санитарные нормы и правила «Зоны санитарной охраны источников водоснабжения и</w:t>
      </w:r>
      <w:r>
        <w:rPr>
          <w:rFonts w:ascii="Times New Roman" w:hAnsi="Times New Roman"/>
          <w:sz w:val="28"/>
          <w:szCs w:val="28"/>
        </w:rPr>
        <w:t xml:space="preserve"> </w:t>
      </w:r>
      <w:r w:rsidRPr="00572F15">
        <w:rPr>
          <w:rFonts w:ascii="Times New Roman" w:hAnsi="Times New Roman"/>
          <w:sz w:val="28"/>
          <w:szCs w:val="28"/>
        </w:rPr>
        <w:t>водопроводов хозяйственно-питьевого назначения (СанПиН 2.1.4.1110-02) предусматривают для</w:t>
      </w:r>
      <w:r>
        <w:rPr>
          <w:rFonts w:ascii="Times New Roman" w:hAnsi="Times New Roman"/>
          <w:sz w:val="28"/>
          <w:szCs w:val="28"/>
        </w:rPr>
        <w:t xml:space="preserve"> </w:t>
      </w:r>
      <w:r w:rsidRPr="00572F15">
        <w:rPr>
          <w:rFonts w:ascii="Times New Roman" w:hAnsi="Times New Roman"/>
          <w:sz w:val="28"/>
          <w:szCs w:val="28"/>
        </w:rPr>
        <w:t>водозабора МУП «Горводоканал» из поверхностного водного объекта (р. Омь) организацию зон</w:t>
      </w:r>
      <w:r>
        <w:rPr>
          <w:rFonts w:ascii="Times New Roman" w:hAnsi="Times New Roman"/>
          <w:sz w:val="28"/>
          <w:szCs w:val="28"/>
        </w:rPr>
        <w:t xml:space="preserve"> </w:t>
      </w:r>
      <w:r w:rsidRPr="00572F15">
        <w:rPr>
          <w:rFonts w:ascii="Times New Roman" w:hAnsi="Times New Roman"/>
          <w:sz w:val="28"/>
          <w:szCs w:val="28"/>
        </w:rPr>
        <w:t>санитарной охраны в составе трёх поясов</w:t>
      </w:r>
      <w:r>
        <w:rPr>
          <w:rFonts w:ascii="Times New Roman" w:hAnsi="Times New Roman"/>
          <w:sz w:val="28"/>
          <w:szCs w:val="28"/>
        </w:rPr>
        <w:t>.</w:t>
      </w:r>
    </w:p>
    <w:p w:rsidR="002D1E45" w:rsidRPr="007C0FF4" w:rsidRDefault="002D1E45"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Согласно СанПиН 2.1.4.1110-02 «Зоны санитарной охраны источников водоснабжения и</w:t>
      </w:r>
      <w:r>
        <w:rPr>
          <w:rFonts w:ascii="Times New Roman" w:hAnsi="Times New Roman"/>
          <w:sz w:val="28"/>
          <w:szCs w:val="28"/>
        </w:rPr>
        <w:t> </w:t>
      </w:r>
      <w:r w:rsidRPr="007C0FF4">
        <w:rPr>
          <w:rFonts w:ascii="Times New Roman" w:hAnsi="Times New Roman"/>
          <w:sz w:val="28"/>
          <w:szCs w:val="28"/>
        </w:rPr>
        <w:t>водопроводов питьевого назначения» от 26.02.2002, введённым в</w:t>
      </w:r>
      <w:r>
        <w:rPr>
          <w:rFonts w:ascii="Times New Roman" w:hAnsi="Times New Roman"/>
          <w:sz w:val="28"/>
          <w:szCs w:val="28"/>
        </w:rPr>
        <w:t> </w:t>
      </w:r>
      <w:r w:rsidRPr="007C0FF4">
        <w:rPr>
          <w:rFonts w:ascii="Times New Roman" w:hAnsi="Times New Roman"/>
          <w:sz w:val="28"/>
          <w:szCs w:val="28"/>
        </w:rPr>
        <w:t>действие 01.06.2002, для каждой системы водоснабжения составляется проект водозабора, в</w:t>
      </w:r>
      <w:r>
        <w:rPr>
          <w:rFonts w:ascii="Times New Roman" w:hAnsi="Times New Roman"/>
          <w:sz w:val="28"/>
          <w:szCs w:val="28"/>
        </w:rPr>
        <w:t> </w:t>
      </w:r>
      <w:r w:rsidRPr="007C0FF4">
        <w:rPr>
          <w:rFonts w:ascii="Times New Roman" w:hAnsi="Times New Roman"/>
          <w:sz w:val="28"/>
          <w:szCs w:val="28"/>
        </w:rPr>
        <w:t>составе которого рассчитываются зоны санитарной охраны трёх поясов, чётко определяются мероприятия по</w:t>
      </w:r>
      <w:r>
        <w:rPr>
          <w:rFonts w:ascii="Times New Roman" w:hAnsi="Times New Roman"/>
          <w:sz w:val="28"/>
          <w:szCs w:val="28"/>
        </w:rPr>
        <w:t> </w:t>
      </w:r>
      <w:r w:rsidRPr="007C0FF4">
        <w:rPr>
          <w:rFonts w:ascii="Times New Roman" w:hAnsi="Times New Roman"/>
          <w:sz w:val="28"/>
          <w:szCs w:val="28"/>
        </w:rPr>
        <w:t>соблюдению условий хозяйственной деятельности в</w:t>
      </w:r>
      <w:r>
        <w:rPr>
          <w:rFonts w:ascii="Times New Roman" w:hAnsi="Times New Roman"/>
          <w:sz w:val="28"/>
          <w:szCs w:val="28"/>
        </w:rPr>
        <w:t> </w:t>
      </w:r>
      <w:r w:rsidRPr="007C0FF4">
        <w:rPr>
          <w:rFonts w:ascii="Times New Roman" w:hAnsi="Times New Roman"/>
          <w:sz w:val="28"/>
          <w:szCs w:val="28"/>
        </w:rPr>
        <w:t>этих зонах:</w:t>
      </w:r>
    </w:p>
    <w:p w:rsidR="002D1E45" w:rsidRPr="007C0FF4" w:rsidRDefault="002D1E45" w:rsidP="007C0FF4">
      <w:pPr>
        <w:numPr>
          <w:ilvl w:val="0"/>
          <w:numId w:val="24"/>
        </w:numPr>
        <w:spacing w:after="0" w:line="240" w:lineRule="auto"/>
        <w:jc w:val="both"/>
        <w:rPr>
          <w:rFonts w:ascii="Times New Roman" w:hAnsi="Times New Roman"/>
          <w:sz w:val="28"/>
          <w:szCs w:val="28"/>
        </w:rPr>
      </w:pPr>
      <w:r w:rsidRPr="007C0FF4">
        <w:rPr>
          <w:rFonts w:ascii="Times New Roman" w:hAnsi="Times New Roman"/>
          <w:sz w:val="28"/>
          <w:szCs w:val="28"/>
        </w:rPr>
        <w:t>Первый пояс – граница первого пояса устанавливается на</w:t>
      </w:r>
      <w:r>
        <w:rPr>
          <w:rFonts w:ascii="Times New Roman" w:hAnsi="Times New Roman"/>
          <w:sz w:val="28"/>
          <w:szCs w:val="28"/>
        </w:rPr>
        <w:t> </w:t>
      </w:r>
      <w:r w:rsidRPr="007C0FF4">
        <w:rPr>
          <w:rFonts w:ascii="Times New Roman" w:hAnsi="Times New Roman"/>
          <w:sz w:val="28"/>
          <w:szCs w:val="28"/>
        </w:rPr>
        <w:t>расстоянии не</w:t>
      </w:r>
      <w:r>
        <w:rPr>
          <w:rFonts w:ascii="Times New Roman" w:hAnsi="Times New Roman"/>
          <w:sz w:val="28"/>
          <w:szCs w:val="28"/>
        </w:rPr>
        <w:t> </w:t>
      </w:r>
      <w:r w:rsidRPr="007C0FF4">
        <w:rPr>
          <w:rFonts w:ascii="Times New Roman" w:hAnsi="Times New Roman"/>
          <w:sz w:val="28"/>
          <w:szCs w:val="28"/>
        </w:rPr>
        <w:t>менее 30 м</w:t>
      </w:r>
      <w:r>
        <w:rPr>
          <w:rFonts w:ascii="Times New Roman" w:hAnsi="Times New Roman"/>
          <w:sz w:val="28"/>
          <w:szCs w:val="28"/>
        </w:rPr>
        <w:t> </w:t>
      </w:r>
      <w:r w:rsidRPr="007C0FF4">
        <w:rPr>
          <w:rFonts w:ascii="Times New Roman" w:hAnsi="Times New Roman"/>
          <w:sz w:val="28"/>
          <w:szCs w:val="28"/>
        </w:rPr>
        <w:t>от</w:t>
      </w:r>
      <w:r>
        <w:rPr>
          <w:rFonts w:ascii="Times New Roman" w:hAnsi="Times New Roman"/>
          <w:sz w:val="28"/>
          <w:szCs w:val="28"/>
        </w:rPr>
        <w:t> </w:t>
      </w:r>
      <w:r w:rsidRPr="007C0FF4">
        <w:rPr>
          <w:rFonts w:ascii="Times New Roman" w:hAnsi="Times New Roman"/>
          <w:sz w:val="28"/>
          <w:szCs w:val="28"/>
        </w:rPr>
        <w:t>водозабора – при использовании защищённых подземных вод и</w:t>
      </w:r>
      <w:r>
        <w:rPr>
          <w:rFonts w:ascii="Times New Roman" w:hAnsi="Times New Roman"/>
          <w:sz w:val="28"/>
          <w:szCs w:val="28"/>
        </w:rPr>
        <w:t> </w:t>
      </w:r>
      <w:r w:rsidRPr="007C0FF4">
        <w:rPr>
          <w:rFonts w:ascii="Times New Roman" w:hAnsi="Times New Roman"/>
          <w:sz w:val="28"/>
          <w:szCs w:val="28"/>
        </w:rPr>
        <w:t>на</w:t>
      </w:r>
      <w:r>
        <w:rPr>
          <w:rFonts w:ascii="Times New Roman" w:hAnsi="Times New Roman"/>
          <w:sz w:val="28"/>
          <w:szCs w:val="28"/>
        </w:rPr>
        <w:t> </w:t>
      </w:r>
      <w:r w:rsidRPr="007C0FF4">
        <w:rPr>
          <w:rFonts w:ascii="Times New Roman" w:hAnsi="Times New Roman"/>
          <w:sz w:val="28"/>
          <w:szCs w:val="28"/>
        </w:rPr>
        <w:t>расстоянии не</w:t>
      </w:r>
      <w:r>
        <w:rPr>
          <w:rFonts w:ascii="Times New Roman" w:hAnsi="Times New Roman"/>
          <w:sz w:val="28"/>
          <w:szCs w:val="28"/>
        </w:rPr>
        <w:t> </w:t>
      </w:r>
      <w:r w:rsidRPr="007C0FF4">
        <w:rPr>
          <w:rFonts w:ascii="Times New Roman" w:hAnsi="Times New Roman"/>
          <w:sz w:val="28"/>
          <w:szCs w:val="28"/>
        </w:rPr>
        <w:t>менее 50 м - при использовании недостаточно защищённых подземных вод.</w:t>
      </w:r>
    </w:p>
    <w:p w:rsidR="002D1E45" w:rsidRPr="007C0FF4" w:rsidRDefault="002D1E45" w:rsidP="007C0FF4">
      <w:pPr>
        <w:numPr>
          <w:ilvl w:val="0"/>
          <w:numId w:val="24"/>
        </w:numPr>
        <w:spacing w:after="0" w:line="240" w:lineRule="auto"/>
        <w:jc w:val="both"/>
        <w:rPr>
          <w:rFonts w:ascii="Times New Roman" w:hAnsi="Times New Roman"/>
          <w:sz w:val="28"/>
          <w:szCs w:val="28"/>
        </w:rPr>
      </w:pPr>
      <w:r w:rsidRPr="007C0FF4">
        <w:rPr>
          <w:rFonts w:ascii="Times New Roman" w:hAnsi="Times New Roman"/>
          <w:sz w:val="28"/>
          <w:szCs w:val="28"/>
        </w:rPr>
        <w:t>Второй пояс – радиус определяется расчётом, защищает от</w:t>
      </w:r>
      <w:r>
        <w:rPr>
          <w:rFonts w:ascii="Times New Roman" w:hAnsi="Times New Roman"/>
          <w:sz w:val="28"/>
          <w:szCs w:val="28"/>
        </w:rPr>
        <w:t> </w:t>
      </w:r>
      <w:r w:rsidRPr="007C0FF4">
        <w:rPr>
          <w:rFonts w:ascii="Times New Roman" w:hAnsi="Times New Roman"/>
          <w:sz w:val="28"/>
          <w:szCs w:val="28"/>
        </w:rPr>
        <w:t>микробиологических загрязнений.</w:t>
      </w:r>
    </w:p>
    <w:p w:rsidR="002D1E45" w:rsidRPr="007C0FF4" w:rsidRDefault="002D1E45" w:rsidP="007C0FF4">
      <w:pPr>
        <w:numPr>
          <w:ilvl w:val="0"/>
          <w:numId w:val="24"/>
        </w:numPr>
        <w:spacing w:after="0" w:line="240" w:lineRule="auto"/>
        <w:jc w:val="both"/>
        <w:rPr>
          <w:rFonts w:ascii="Times New Roman" w:hAnsi="Times New Roman"/>
          <w:sz w:val="28"/>
          <w:szCs w:val="28"/>
        </w:rPr>
      </w:pPr>
      <w:r w:rsidRPr="007C0FF4">
        <w:rPr>
          <w:rFonts w:ascii="Times New Roman" w:hAnsi="Times New Roman"/>
          <w:sz w:val="28"/>
          <w:szCs w:val="28"/>
        </w:rPr>
        <w:t xml:space="preserve">Третий пояс </w:t>
      </w:r>
      <w:r>
        <w:rPr>
          <w:rFonts w:ascii="Times New Roman" w:hAnsi="Times New Roman"/>
          <w:sz w:val="28"/>
          <w:szCs w:val="28"/>
        </w:rPr>
        <w:t>–</w:t>
      </w:r>
      <w:r w:rsidRPr="007C0FF4">
        <w:rPr>
          <w:rFonts w:ascii="Times New Roman" w:hAnsi="Times New Roman"/>
          <w:sz w:val="28"/>
          <w:szCs w:val="28"/>
        </w:rPr>
        <w:t xml:space="preserve"> радиус определяется расчётом, защищает от</w:t>
      </w:r>
      <w:r>
        <w:rPr>
          <w:rFonts w:ascii="Times New Roman" w:hAnsi="Times New Roman"/>
          <w:sz w:val="28"/>
          <w:szCs w:val="28"/>
        </w:rPr>
        <w:t> </w:t>
      </w:r>
      <w:r w:rsidRPr="007C0FF4">
        <w:rPr>
          <w:rFonts w:ascii="Times New Roman" w:hAnsi="Times New Roman"/>
          <w:sz w:val="28"/>
          <w:szCs w:val="28"/>
        </w:rPr>
        <w:t>химических загрязнений.</w:t>
      </w:r>
    </w:p>
    <w:p w:rsidR="002D1E45" w:rsidRPr="007C0FF4" w:rsidRDefault="002D1E45"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Второй и</w:t>
      </w:r>
      <w:r>
        <w:rPr>
          <w:rFonts w:ascii="Times New Roman" w:hAnsi="Times New Roman"/>
          <w:sz w:val="28"/>
          <w:szCs w:val="28"/>
        </w:rPr>
        <w:t> </w:t>
      </w:r>
      <w:r w:rsidRPr="007C0FF4">
        <w:rPr>
          <w:rFonts w:ascii="Times New Roman" w:hAnsi="Times New Roman"/>
          <w:sz w:val="28"/>
          <w:szCs w:val="28"/>
        </w:rPr>
        <w:t>третий пояса (пояса ограничений) включают территорию, предназначенную для предупреждения загрязнения воды источников водоснабжения.</w:t>
      </w:r>
    </w:p>
    <w:p w:rsidR="002D1E45" w:rsidRPr="00572F15" w:rsidRDefault="002D1E45" w:rsidP="0078552C">
      <w:pPr>
        <w:spacing w:after="0" w:line="240" w:lineRule="auto"/>
        <w:ind w:firstLine="709"/>
        <w:jc w:val="both"/>
        <w:rPr>
          <w:rFonts w:ascii="Times New Roman" w:hAnsi="Times New Roman"/>
          <w:sz w:val="28"/>
          <w:szCs w:val="28"/>
        </w:rPr>
      </w:pPr>
      <w:r w:rsidRPr="00572F15">
        <w:rPr>
          <w:rFonts w:ascii="Times New Roman" w:hAnsi="Times New Roman"/>
          <w:sz w:val="28"/>
          <w:szCs w:val="28"/>
        </w:rPr>
        <w:t>Граница первого пояса ЗСО устанавливается в зависимости от местных санитарных и гидрологических условий водосборной территории р. Омь. В первый пояс ЗСО включаются русловой водозабор, сооружения НФС и смежные с ними территории.</w:t>
      </w:r>
    </w:p>
    <w:p w:rsidR="002D1E45" w:rsidRPr="00572F15" w:rsidRDefault="002D1E45" w:rsidP="0078552C">
      <w:pPr>
        <w:spacing w:after="0" w:line="240" w:lineRule="auto"/>
        <w:ind w:firstLine="709"/>
        <w:jc w:val="both"/>
        <w:rPr>
          <w:rFonts w:ascii="Times New Roman" w:hAnsi="Times New Roman"/>
          <w:sz w:val="28"/>
          <w:szCs w:val="28"/>
        </w:rPr>
      </w:pPr>
      <w:r w:rsidRPr="00572F15">
        <w:rPr>
          <w:rFonts w:ascii="Times New Roman" w:hAnsi="Times New Roman"/>
          <w:sz w:val="28"/>
          <w:szCs w:val="28"/>
        </w:rPr>
        <w:t>В границе первого пояса ЗСО устанавливается граница прибрежной защитной полосы шириной 50,0 м, а также водоохранная зона шириной 200,0 м (Водный кодекс, ст. 65, п. 11, Приложение 9)</w:t>
      </w:r>
    </w:p>
    <w:p w:rsidR="002D1E45" w:rsidRDefault="002D1E45" w:rsidP="0078552C">
      <w:pPr>
        <w:spacing w:after="0" w:line="240" w:lineRule="auto"/>
        <w:ind w:firstLine="709"/>
        <w:jc w:val="both"/>
        <w:rPr>
          <w:rFonts w:ascii="Times New Roman" w:hAnsi="Times New Roman"/>
          <w:sz w:val="28"/>
          <w:szCs w:val="28"/>
        </w:rPr>
      </w:pPr>
      <w:r w:rsidRPr="00572F15">
        <w:rPr>
          <w:rFonts w:ascii="Times New Roman" w:hAnsi="Times New Roman"/>
          <w:sz w:val="28"/>
          <w:szCs w:val="28"/>
        </w:rPr>
        <w:t>Учитывая требования градостроительного кодекса, природные и санитарно-эпидемиологические условия территории водозабора поверхностных вод, граница первого пояса зоны санитарной охраны совпадает с границей земельного отвода. На юго-западе и западе граница проходит на расстоянии 110,0 м от здания насосно</w:t>
      </w:r>
      <w:r>
        <w:rPr>
          <w:rFonts w:ascii="Times New Roman" w:hAnsi="Times New Roman"/>
          <w:sz w:val="28"/>
          <w:szCs w:val="28"/>
        </w:rPr>
        <w:t>-</w:t>
      </w:r>
      <w:r w:rsidRPr="00572F15">
        <w:rPr>
          <w:rFonts w:ascii="Times New Roman" w:hAnsi="Times New Roman"/>
          <w:sz w:val="28"/>
          <w:szCs w:val="28"/>
        </w:rPr>
        <w:t xml:space="preserve">фильтровальной станции и упирается в берег реки, совпадая с </w:t>
      </w:r>
      <w:r>
        <w:rPr>
          <w:rFonts w:ascii="Times New Roman" w:hAnsi="Times New Roman"/>
          <w:sz w:val="28"/>
          <w:szCs w:val="28"/>
        </w:rPr>
        <w:t>г</w:t>
      </w:r>
      <w:r w:rsidRPr="00572F15">
        <w:rPr>
          <w:rFonts w:ascii="Times New Roman" w:hAnsi="Times New Roman"/>
          <w:sz w:val="28"/>
          <w:szCs w:val="28"/>
        </w:rPr>
        <w:t xml:space="preserve">раницей зоны </w:t>
      </w:r>
      <w:r>
        <w:rPr>
          <w:rFonts w:ascii="Times New Roman" w:hAnsi="Times New Roman"/>
          <w:sz w:val="28"/>
          <w:szCs w:val="28"/>
        </w:rPr>
        <w:t>п</w:t>
      </w:r>
      <w:r w:rsidRPr="00572F15">
        <w:rPr>
          <w:rFonts w:ascii="Times New Roman" w:hAnsi="Times New Roman"/>
          <w:sz w:val="28"/>
          <w:szCs w:val="28"/>
        </w:rPr>
        <w:t>о реке.</w:t>
      </w:r>
    </w:p>
    <w:p w:rsidR="002D1E45" w:rsidRPr="00FC55B4" w:rsidRDefault="002D1E45" w:rsidP="0078552C">
      <w:pPr>
        <w:spacing w:after="0" w:line="240" w:lineRule="auto"/>
        <w:ind w:firstLine="709"/>
        <w:jc w:val="both"/>
        <w:rPr>
          <w:rFonts w:ascii="Times New Roman" w:hAnsi="Times New Roman"/>
          <w:sz w:val="28"/>
          <w:szCs w:val="28"/>
        </w:rPr>
      </w:pPr>
      <w:r w:rsidRPr="00FC55B4">
        <w:rPr>
          <w:rFonts w:ascii="Times New Roman" w:hAnsi="Times New Roman"/>
          <w:sz w:val="28"/>
          <w:szCs w:val="28"/>
        </w:rPr>
        <w:t>Учитывая географическое положение города, существующую гидрографическую и техногенную нагрузку на территорию рационально определить зону санитарной охраны водозабора по водотоку вверх по течению на расстоянии 10,0 км.</w:t>
      </w:r>
    </w:p>
    <w:p w:rsidR="002D1E45" w:rsidRPr="00FC55B4" w:rsidRDefault="002D1E45" w:rsidP="0078552C">
      <w:pPr>
        <w:spacing w:after="0" w:line="240" w:lineRule="auto"/>
        <w:ind w:firstLine="709"/>
        <w:jc w:val="both"/>
        <w:rPr>
          <w:rFonts w:ascii="Times New Roman" w:hAnsi="Times New Roman"/>
          <w:sz w:val="28"/>
          <w:szCs w:val="28"/>
        </w:rPr>
      </w:pPr>
      <w:r w:rsidRPr="00FC55B4">
        <w:rPr>
          <w:rFonts w:ascii="Times New Roman" w:hAnsi="Times New Roman"/>
          <w:sz w:val="28"/>
          <w:szCs w:val="28"/>
        </w:rPr>
        <w:t>Нижняя граница принимается согласно требованиям</w:t>
      </w:r>
      <w:r>
        <w:rPr>
          <w:rFonts w:ascii="Times New Roman" w:hAnsi="Times New Roman"/>
          <w:sz w:val="28"/>
          <w:szCs w:val="28"/>
        </w:rPr>
        <w:t xml:space="preserve"> </w:t>
      </w:r>
      <w:r w:rsidRPr="00FC55B4">
        <w:rPr>
          <w:rFonts w:ascii="Times New Roman" w:hAnsi="Times New Roman"/>
          <w:sz w:val="28"/>
          <w:szCs w:val="28"/>
        </w:rPr>
        <w:t>СанПиН и устанавливается вниз по потоку на расстоянии 250</w:t>
      </w:r>
      <w:r>
        <w:rPr>
          <w:rFonts w:ascii="Times New Roman" w:hAnsi="Times New Roman"/>
          <w:sz w:val="28"/>
          <w:szCs w:val="28"/>
        </w:rPr>
        <w:t xml:space="preserve"> м</w:t>
      </w:r>
      <w:r w:rsidRPr="00FC55B4">
        <w:rPr>
          <w:rFonts w:ascii="Times New Roman" w:hAnsi="Times New Roman"/>
          <w:sz w:val="28"/>
          <w:szCs w:val="28"/>
        </w:rPr>
        <w:t>.</w:t>
      </w:r>
    </w:p>
    <w:p w:rsidR="002D1E45" w:rsidRDefault="002D1E45" w:rsidP="0078552C">
      <w:pPr>
        <w:spacing w:after="0" w:line="240" w:lineRule="auto"/>
        <w:ind w:firstLine="709"/>
        <w:jc w:val="both"/>
        <w:rPr>
          <w:rFonts w:ascii="Times New Roman" w:hAnsi="Times New Roman"/>
          <w:sz w:val="28"/>
          <w:szCs w:val="28"/>
        </w:rPr>
      </w:pPr>
      <w:r w:rsidRPr="00FC55B4">
        <w:rPr>
          <w:rFonts w:ascii="Times New Roman" w:hAnsi="Times New Roman"/>
          <w:sz w:val="28"/>
          <w:szCs w:val="28"/>
        </w:rPr>
        <w:t>Боковые границы второго пояса ЗСО по прилегающему к водозабору берегу и противоположному устанавливаются на расстоянии 500 м от уреза воды при летне</w:t>
      </w:r>
      <w:r>
        <w:rPr>
          <w:rFonts w:ascii="Times New Roman" w:hAnsi="Times New Roman"/>
          <w:sz w:val="28"/>
          <w:szCs w:val="28"/>
        </w:rPr>
        <w:t>-</w:t>
      </w:r>
      <w:r w:rsidRPr="00FC55B4">
        <w:rPr>
          <w:rFonts w:ascii="Times New Roman" w:hAnsi="Times New Roman"/>
          <w:sz w:val="28"/>
          <w:szCs w:val="28"/>
        </w:rPr>
        <w:t>осенней межени.</w:t>
      </w:r>
    </w:p>
    <w:p w:rsidR="002D1E45" w:rsidRDefault="002D1E45" w:rsidP="0078552C">
      <w:pPr>
        <w:spacing w:after="0" w:line="240" w:lineRule="auto"/>
        <w:ind w:firstLine="709"/>
        <w:jc w:val="both"/>
        <w:rPr>
          <w:rFonts w:ascii="Times New Roman" w:hAnsi="Times New Roman"/>
          <w:sz w:val="28"/>
          <w:szCs w:val="28"/>
        </w:rPr>
      </w:pPr>
      <w:r w:rsidRPr="0078552C">
        <w:rPr>
          <w:rFonts w:ascii="Times New Roman" w:hAnsi="Times New Roman"/>
          <w:sz w:val="28"/>
          <w:szCs w:val="28"/>
        </w:rPr>
        <w:t>Границы третьего пояса ЗСО поверхностных источников водоснабжения на водотоках вверх и вниз по течению совпадают с границами второго пояса.</w:t>
      </w:r>
      <w:r>
        <w:rPr>
          <w:rFonts w:ascii="Times New Roman" w:hAnsi="Times New Roman"/>
          <w:sz w:val="28"/>
          <w:szCs w:val="28"/>
        </w:rPr>
        <w:t xml:space="preserve"> </w:t>
      </w:r>
      <w:r w:rsidRPr="0078552C">
        <w:rPr>
          <w:rFonts w:ascii="Times New Roman" w:hAnsi="Times New Roman"/>
          <w:sz w:val="28"/>
          <w:szCs w:val="28"/>
        </w:rPr>
        <w:t>Боковые границы должны проходить по линии водоразделов в пределах 3-5 км,</w:t>
      </w:r>
      <w:r>
        <w:rPr>
          <w:rFonts w:ascii="Times New Roman" w:hAnsi="Times New Roman"/>
          <w:sz w:val="28"/>
          <w:szCs w:val="28"/>
        </w:rPr>
        <w:t xml:space="preserve"> </w:t>
      </w:r>
      <w:r w:rsidRPr="0078552C">
        <w:rPr>
          <w:rFonts w:ascii="Times New Roman" w:hAnsi="Times New Roman"/>
          <w:sz w:val="28"/>
          <w:szCs w:val="28"/>
        </w:rPr>
        <w:t>включая притоки.</w:t>
      </w:r>
    </w:p>
    <w:p w:rsidR="002D1E45" w:rsidRPr="007C0FF4" w:rsidRDefault="002D1E45"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Согласно требованиям СанПиН 2.1.4.1110-02 «Зоны санитарной охраны источников водоснабжения и</w:t>
      </w:r>
      <w:r>
        <w:rPr>
          <w:rFonts w:ascii="Times New Roman" w:hAnsi="Times New Roman"/>
          <w:sz w:val="28"/>
          <w:szCs w:val="28"/>
        </w:rPr>
        <w:t> </w:t>
      </w:r>
      <w:r w:rsidRPr="007C0FF4">
        <w:rPr>
          <w:rFonts w:ascii="Times New Roman" w:hAnsi="Times New Roman"/>
          <w:sz w:val="28"/>
          <w:szCs w:val="28"/>
        </w:rPr>
        <w:t>водопроводов питьевого назначения», в</w:t>
      </w:r>
      <w:r>
        <w:rPr>
          <w:rFonts w:ascii="Times New Roman" w:hAnsi="Times New Roman"/>
          <w:sz w:val="28"/>
          <w:szCs w:val="28"/>
        </w:rPr>
        <w:t> </w:t>
      </w:r>
      <w:r w:rsidRPr="007C0FF4">
        <w:rPr>
          <w:rFonts w:ascii="Times New Roman" w:hAnsi="Times New Roman"/>
          <w:sz w:val="28"/>
          <w:szCs w:val="28"/>
        </w:rPr>
        <w:t>первом поясе ЗСО поверхностных водозаборов не</w:t>
      </w:r>
      <w:r>
        <w:rPr>
          <w:rFonts w:ascii="Times New Roman" w:hAnsi="Times New Roman"/>
          <w:sz w:val="28"/>
          <w:szCs w:val="28"/>
        </w:rPr>
        <w:t> </w:t>
      </w:r>
      <w:r w:rsidRPr="007C0FF4">
        <w:rPr>
          <w:rFonts w:ascii="Times New Roman" w:hAnsi="Times New Roman"/>
          <w:sz w:val="28"/>
          <w:szCs w:val="28"/>
        </w:rPr>
        <w:t>допускается:</w:t>
      </w:r>
    </w:p>
    <w:p w:rsidR="002D1E45" w:rsidRPr="007C0FF4" w:rsidRDefault="002D1E45" w:rsidP="007C0FF4">
      <w:pPr>
        <w:numPr>
          <w:ilvl w:val="0"/>
          <w:numId w:val="24"/>
        </w:numPr>
        <w:spacing w:after="0" w:line="240" w:lineRule="auto"/>
        <w:jc w:val="both"/>
        <w:rPr>
          <w:rFonts w:ascii="Times New Roman" w:hAnsi="Times New Roman"/>
          <w:sz w:val="28"/>
          <w:szCs w:val="28"/>
        </w:rPr>
      </w:pPr>
      <w:r w:rsidRPr="007C0FF4">
        <w:rPr>
          <w:rFonts w:ascii="Times New Roman" w:hAnsi="Times New Roman"/>
          <w:sz w:val="28"/>
          <w:szCs w:val="28"/>
        </w:rPr>
        <w:t>посадка высокоствольных деревьев;</w:t>
      </w:r>
    </w:p>
    <w:p w:rsidR="002D1E45" w:rsidRPr="007C0FF4" w:rsidRDefault="002D1E45" w:rsidP="007C0FF4">
      <w:pPr>
        <w:numPr>
          <w:ilvl w:val="0"/>
          <w:numId w:val="24"/>
        </w:numPr>
        <w:spacing w:after="0" w:line="240" w:lineRule="auto"/>
        <w:jc w:val="both"/>
        <w:rPr>
          <w:rFonts w:ascii="Times New Roman" w:hAnsi="Times New Roman"/>
          <w:sz w:val="28"/>
          <w:szCs w:val="28"/>
        </w:rPr>
      </w:pPr>
      <w:r w:rsidRPr="007C0FF4">
        <w:rPr>
          <w:rFonts w:ascii="Times New Roman" w:hAnsi="Times New Roman"/>
          <w:sz w:val="28"/>
          <w:szCs w:val="28"/>
        </w:rPr>
        <w:t>все виды строительства, не</w:t>
      </w:r>
      <w:r>
        <w:rPr>
          <w:rFonts w:ascii="Times New Roman" w:hAnsi="Times New Roman"/>
          <w:sz w:val="28"/>
          <w:szCs w:val="28"/>
        </w:rPr>
        <w:t> </w:t>
      </w:r>
      <w:r w:rsidRPr="007C0FF4">
        <w:rPr>
          <w:rFonts w:ascii="Times New Roman" w:hAnsi="Times New Roman"/>
          <w:sz w:val="28"/>
          <w:szCs w:val="28"/>
        </w:rPr>
        <w:t>имеющие непосредственного отношения к</w:t>
      </w:r>
      <w:r>
        <w:rPr>
          <w:rFonts w:ascii="Times New Roman" w:hAnsi="Times New Roman"/>
          <w:sz w:val="28"/>
          <w:szCs w:val="28"/>
        </w:rPr>
        <w:t> </w:t>
      </w:r>
      <w:r w:rsidRPr="007C0FF4">
        <w:rPr>
          <w:rFonts w:ascii="Times New Roman" w:hAnsi="Times New Roman"/>
          <w:sz w:val="28"/>
          <w:szCs w:val="28"/>
        </w:rPr>
        <w:t>эксплуатации, реконструкции и</w:t>
      </w:r>
      <w:r>
        <w:rPr>
          <w:rFonts w:ascii="Times New Roman" w:hAnsi="Times New Roman"/>
          <w:sz w:val="28"/>
          <w:szCs w:val="28"/>
        </w:rPr>
        <w:t> </w:t>
      </w:r>
      <w:r w:rsidRPr="007C0FF4">
        <w:rPr>
          <w:rFonts w:ascii="Times New Roman" w:hAnsi="Times New Roman"/>
          <w:sz w:val="28"/>
          <w:szCs w:val="28"/>
        </w:rPr>
        <w:t>расширению водопроводных сооружений;</w:t>
      </w:r>
    </w:p>
    <w:p w:rsidR="002D1E45" w:rsidRPr="007C0FF4" w:rsidRDefault="002D1E45" w:rsidP="007C0FF4">
      <w:pPr>
        <w:numPr>
          <w:ilvl w:val="0"/>
          <w:numId w:val="24"/>
        </w:numPr>
        <w:spacing w:after="0" w:line="240" w:lineRule="auto"/>
        <w:jc w:val="both"/>
        <w:rPr>
          <w:rFonts w:ascii="Times New Roman" w:hAnsi="Times New Roman"/>
          <w:sz w:val="28"/>
          <w:szCs w:val="28"/>
        </w:rPr>
      </w:pPr>
      <w:r w:rsidRPr="007C0FF4">
        <w:rPr>
          <w:rFonts w:ascii="Times New Roman" w:hAnsi="Times New Roman"/>
          <w:sz w:val="28"/>
          <w:szCs w:val="28"/>
        </w:rPr>
        <w:t>прокладка трубопроводов различного назначения;</w:t>
      </w:r>
    </w:p>
    <w:p w:rsidR="002D1E45" w:rsidRPr="007C0FF4" w:rsidRDefault="002D1E45" w:rsidP="007C0FF4">
      <w:pPr>
        <w:numPr>
          <w:ilvl w:val="0"/>
          <w:numId w:val="24"/>
        </w:numPr>
        <w:spacing w:after="0" w:line="240" w:lineRule="auto"/>
        <w:jc w:val="both"/>
        <w:rPr>
          <w:rFonts w:ascii="Times New Roman" w:hAnsi="Times New Roman"/>
          <w:sz w:val="28"/>
          <w:szCs w:val="28"/>
        </w:rPr>
      </w:pPr>
      <w:r w:rsidRPr="007C0FF4">
        <w:rPr>
          <w:rFonts w:ascii="Times New Roman" w:hAnsi="Times New Roman"/>
          <w:sz w:val="28"/>
          <w:szCs w:val="28"/>
        </w:rPr>
        <w:t>размещение жилых и</w:t>
      </w:r>
      <w:r>
        <w:rPr>
          <w:rFonts w:ascii="Times New Roman" w:hAnsi="Times New Roman"/>
          <w:sz w:val="28"/>
          <w:szCs w:val="28"/>
        </w:rPr>
        <w:t> </w:t>
      </w:r>
      <w:r w:rsidRPr="007C0FF4">
        <w:rPr>
          <w:rFonts w:ascii="Times New Roman" w:hAnsi="Times New Roman"/>
          <w:sz w:val="28"/>
          <w:szCs w:val="28"/>
        </w:rPr>
        <w:t>хозяйственно-бытовых зданий;</w:t>
      </w:r>
    </w:p>
    <w:p w:rsidR="002D1E45" w:rsidRPr="007C0FF4" w:rsidRDefault="002D1E45" w:rsidP="007C0FF4">
      <w:pPr>
        <w:numPr>
          <w:ilvl w:val="0"/>
          <w:numId w:val="24"/>
        </w:numPr>
        <w:spacing w:after="0" w:line="240" w:lineRule="auto"/>
        <w:jc w:val="both"/>
        <w:rPr>
          <w:rFonts w:ascii="Times New Roman" w:hAnsi="Times New Roman"/>
          <w:sz w:val="28"/>
          <w:szCs w:val="28"/>
        </w:rPr>
      </w:pPr>
      <w:r w:rsidRPr="007C0FF4">
        <w:rPr>
          <w:rFonts w:ascii="Times New Roman" w:hAnsi="Times New Roman"/>
          <w:sz w:val="28"/>
          <w:szCs w:val="28"/>
        </w:rPr>
        <w:t>проживание людей;</w:t>
      </w:r>
    </w:p>
    <w:p w:rsidR="002D1E45" w:rsidRPr="007C0FF4" w:rsidRDefault="002D1E45" w:rsidP="007C0FF4">
      <w:pPr>
        <w:numPr>
          <w:ilvl w:val="0"/>
          <w:numId w:val="24"/>
        </w:numPr>
        <w:spacing w:after="0" w:line="240" w:lineRule="auto"/>
        <w:jc w:val="both"/>
        <w:rPr>
          <w:rFonts w:ascii="Times New Roman" w:hAnsi="Times New Roman"/>
          <w:sz w:val="28"/>
          <w:szCs w:val="28"/>
        </w:rPr>
      </w:pPr>
      <w:r w:rsidRPr="007C0FF4">
        <w:rPr>
          <w:rFonts w:ascii="Times New Roman" w:hAnsi="Times New Roman"/>
          <w:sz w:val="28"/>
          <w:szCs w:val="28"/>
        </w:rPr>
        <w:t>применение удобрений и</w:t>
      </w:r>
      <w:r>
        <w:rPr>
          <w:rFonts w:ascii="Times New Roman" w:hAnsi="Times New Roman"/>
          <w:sz w:val="28"/>
          <w:szCs w:val="28"/>
        </w:rPr>
        <w:t> </w:t>
      </w:r>
      <w:r w:rsidRPr="007C0FF4">
        <w:rPr>
          <w:rFonts w:ascii="Times New Roman" w:hAnsi="Times New Roman"/>
          <w:sz w:val="28"/>
          <w:szCs w:val="28"/>
        </w:rPr>
        <w:t>ядохимикатов.</w:t>
      </w:r>
    </w:p>
    <w:p w:rsidR="002D1E45" w:rsidRPr="007C0FF4" w:rsidRDefault="002D1E45"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Во втором поясе ЗСО не</w:t>
      </w:r>
      <w:r>
        <w:rPr>
          <w:rFonts w:ascii="Times New Roman" w:hAnsi="Times New Roman"/>
          <w:sz w:val="28"/>
          <w:szCs w:val="28"/>
        </w:rPr>
        <w:t> </w:t>
      </w:r>
      <w:r w:rsidRPr="007C0FF4">
        <w:rPr>
          <w:rFonts w:ascii="Times New Roman" w:hAnsi="Times New Roman"/>
          <w:sz w:val="28"/>
          <w:szCs w:val="28"/>
        </w:rPr>
        <w:t>допускается:</w:t>
      </w:r>
    </w:p>
    <w:p w:rsidR="002D1E45" w:rsidRPr="007C0FF4" w:rsidRDefault="002D1E45" w:rsidP="007C0FF4">
      <w:pPr>
        <w:numPr>
          <w:ilvl w:val="0"/>
          <w:numId w:val="24"/>
        </w:numPr>
        <w:spacing w:after="0" w:line="240" w:lineRule="auto"/>
        <w:jc w:val="both"/>
        <w:rPr>
          <w:rFonts w:ascii="Times New Roman" w:hAnsi="Times New Roman"/>
          <w:sz w:val="28"/>
          <w:szCs w:val="28"/>
        </w:rPr>
      </w:pPr>
      <w:r w:rsidRPr="007C0FF4">
        <w:rPr>
          <w:rFonts w:ascii="Times New Roman" w:hAnsi="Times New Roman"/>
          <w:sz w:val="28"/>
          <w:szCs w:val="28"/>
        </w:rPr>
        <w:t>размещение кладбищ, скотомогильников, полей ассенизации, полей фильтрации, навозохранилищ, силосных траншей, животноводческих и</w:t>
      </w:r>
      <w:r>
        <w:rPr>
          <w:rFonts w:ascii="Times New Roman" w:hAnsi="Times New Roman"/>
          <w:sz w:val="28"/>
          <w:szCs w:val="28"/>
        </w:rPr>
        <w:t> </w:t>
      </w:r>
      <w:r w:rsidRPr="007C0FF4">
        <w:rPr>
          <w:rFonts w:ascii="Times New Roman" w:hAnsi="Times New Roman"/>
          <w:sz w:val="28"/>
          <w:szCs w:val="28"/>
        </w:rPr>
        <w:t>птицеводческих предприятий и</w:t>
      </w:r>
      <w:r>
        <w:rPr>
          <w:rFonts w:ascii="Times New Roman" w:hAnsi="Times New Roman"/>
          <w:sz w:val="28"/>
          <w:szCs w:val="28"/>
        </w:rPr>
        <w:t> </w:t>
      </w:r>
      <w:r w:rsidRPr="007C0FF4">
        <w:rPr>
          <w:rFonts w:ascii="Times New Roman" w:hAnsi="Times New Roman"/>
          <w:sz w:val="28"/>
          <w:szCs w:val="28"/>
        </w:rPr>
        <w:t>других объектов, обусловливающих опасность микробного загрязнения подземных вод;</w:t>
      </w:r>
    </w:p>
    <w:p w:rsidR="002D1E45" w:rsidRPr="007C0FF4" w:rsidRDefault="002D1E45" w:rsidP="007C0FF4">
      <w:pPr>
        <w:numPr>
          <w:ilvl w:val="0"/>
          <w:numId w:val="24"/>
        </w:numPr>
        <w:spacing w:after="0" w:line="240" w:lineRule="auto"/>
        <w:jc w:val="both"/>
        <w:rPr>
          <w:rFonts w:ascii="Times New Roman" w:hAnsi="Times New Roman"/>
          <w:sz w:val="28"/>
          <w:szCs w:val="28"/>
        </w:rPr>
      </w:pPr>
      <w:r w:rsidRPr="007C0FF4">
        <w:rPr>
          <w:rFonts w:ascii="Times New Roman" w:hAnsi="Times New Roman"/>
          <w:sz w:val="28"/>
          <w:szCs w:val="28"/>
        </w:rPr>
        <w:t>применение удобрений и</w:t>
      </w:r>
      <w:r>
        <w:rPr>
          <w:rFonts w:ascii="Times New Roman" w:hAnsi="Times New Roman"/>
          <w:sz w:val="28"/>
          <w:szCs w:val="28"/>
        </w:rPr>
        <w:t> </w:t>
      </w:r>
      <w:r w:rsidRPr="007C0FF4">
        <w:rPr>
          <w:rFonts w:ascii="Times New Roman" w:hAnsi="Times New Roman"/>
          <w:sz w:val="28"/>
          <w:szCs w:val="28"/>
        </w:rPr>
        <w:t xml:space="preserve">ядохимикатов; </w:t>
      </w:r>
    </w:p>
    <w:p w:rsidR="002D1E45" w:rsidRPr="007C0FF4" w:rsidRDefault="002D1E45" w:rsidP="007C0FF4">
      <w:pPr>
        <w:numPr>
          <w:ilvl w:val="0"/>
          <w:numId w:val="24"/>
        </w:numPr>
        <w:spacing w:after="0" w:line="240" w:lineRule="auto"/>
        <w:jc w:val="both"/>
        <w:rPr>
          <w:rFonts w:ascii="Times New Roman" w:hAnsi="Times New Roman"/>
          <w:sz w:val="28"/>
          <w:szCs w:val="28"/>
        </w:rPr>
      </w:pPr>
      <w:r w:rsidRPr="007C0FF4">
        <w:rPr>
          <w:rFonts w:ascii="Times New Roman" w:hAnsi="Times New Roman"/>
          <w:sz w:val="28"/>
          <w:szCs w:val="28"/>
        </w:rPr>
        <w:t>рубка леса главного пользования.</w:t>
      </w:r>
    </w:p>
    <w:p w:rsidR="002D1E45" w:rsidRDefault="002D1E45"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Размещение складов горюче-смазочных материалов, ядохимикатов и</w:t>
      </w:r>
      <w:r>
        <w:rPr>
          <w:rFonts w:ascii="Times New Roman" w:hAnsi="Times New Roman"/>
          <w:sz w:val="28"/>
          <w:szCs w:val="28"/>
        </w:rPr>
        <w:t> </w:t>
      </w:r>
      <w:r w:rsidRPr="007C0FF4">
        <w:rPr>
          <w:rFonts w:ascii="Times New Roman" w:hAnsi="Times New Roman"/>
          <w:sz w:val="28"/>
          <w:szCs w:val="28"/>
        </w:rPr>
        <w:t>минеральных удобрений, накопителей промстоков, шламохранилищ и</w:t>
      </w:r>
      <w:r>
        <w:rPr>
          <w:rFonts w:ascii="Times New Roman" w:hAnsi="Times New Roman"/>
          <w:sz w:val="28"/>
          <w:szCs w:val="28"/>
        </w:rPr>
        <w:t> </w:t>
      </w:r>
      <w:r w:rsidRPr="007C0FF4">
        <w:rPr>
          <w:rFonts w:ascii="Times New Roman" w:hAnsi="Times New Roman"/>
          <w:sz w:val="28"/>
          <w:szCs w:val="28"/>
        </w:rPr>
        <w:t>других объектов, обусловливающих опасность химического загрязнения подземных вод, допускается в</w:t>
      </w:r>
      <w:r>
        <w:rPr>
          <w:rFonts w:ascii="Times New Roman" w:hAnsi="Times New Roman"/>
          <w:sz w:val="28"/>
          <w:szCs w:val="28"/>
        </w:rPr>
        <w:t> </w:t>
      </w:r>
      <w:r w:rsidRPr="007C0FF4">
        <w:rPr>
          <w:rFonts w:ascii="Times New Roman" w:hAnsi="Times New Roman"/>
          <w:sz w:val="28"/>
          <w:szCs w:val="28"/>
        </w:rPr>
        <w:t>пределах третьего пояса ЗСО только при использовании защищённых подземных вод и</w:t>
      </w:r>
      <w:r>
        <w:rPr>
          <w:rFonts w:ascii="Times New Roman" w:hAnsi="Times New Roman"/>
          <w:sz w:val="28"/>
          <w:szCs w:val="28"/>
        </w:rPr>
        <w:t> </w:t>
      </w:r>
      <w:r w:rsidRPr="007C0FF4">
        <w:rPr>
          <w:rFonts w:ascii="Times New Roman" w:hAnsi="Times New Roman"/>
          <w:sz w:val="28"/>
          <w:szCs w:val="28"/>
        </w:rPr>
        <w:t>выполнении специальных мероприятий по</w:t>
      </w:r>
      <w:r>
        <w:rPr>
          <w:rFonts w:ascii="Times New Roman" w:hAnsi="Times New Roman"/>
          <w:sz w:val="28"/>
          <w:szCs w:val="28"/>
        </w:rPr>
        <w:t> </w:t>
      </w:r>
      <w:r w:rsidRPr="007C0FF4">
        <w:rPr>
          <w:rFonts w:ascii="Times New Roman" w:hAnsi="Times New Roman"/>
          <w:sz w:val="28"/>
          <w:szCs w:val="28"/>
        </w:rPr>
        <w:t>защите водоносного горизонта от</w:t>
      </w:r>
      <w:r>
        <w:rPr>
          <w:rFonts w:ascii="Times New Roman" w:hAnsi="Times New Roman"/>
          <w:sz w:val="28"/>
          <w:szCs w:val="28"/>
        </w:rPr>
        <w:t> </w:t>
      </w:r>
      <w:r w:rsidRPr="007C0FF4">
        <w:rPr>
          <w:rFonts w:ascii="Times New Roman" w:hAnsi="Times New Roman"/>
          <w:sz w:val="28"/>
          <w:szCs w:val="28"/>
        </w:rPr>
        <w:t>загрязнения.</w:t>
      </w:r>
    </w:p>
    <w:p w:rsidR="002D1E45" w:rsidRPr="005B11F7" w:rsidRDefault="002D1E45" w:rsidP="005B11F7">
      <w:pPr>
        <w:spacing w:after="0" w:line="240" w:lineRule="auto"/>
        <w:ind w:firstLine="709"/>
        <w:jc w:val="both"/>
        <w:rPr>
          <w:rFonts w:ascii="Times New Roman" w:hAnsi="Times New Roman"/>
          <w:sz w:val="28"/>
          <w:szCs w:val="28"/>
        </w:rPr>
      </w:pPr>
      <w:r w:rsidRPr="005B11F7">
        <w:rPr>
          <w:rFonts w:ascii="Times New Roman" w:hAnsi="Times New Roman"/>
          <w:sz w:val="28"/>
          <w:szCs w:val="28"/>
        </w:rPr>
        <w:t>При разработке генплана с</w:t>
      </w:r>
      <w:r>
        <w:rPr>
          <w:rFonts w:ascii="Times New Roman" w:hAnsi="Times New Roman"/>
          <w:sz w:val="28"/>
          <w:szCs w:val="28"/>
        </w:rPr>
        <w:t> </w:t>
      </w:r>
      <w:r w:rsidRPr="005B11F7">
        <w:rPr>
          <w:rFonts w:ascii="Times New Roman" w:hAnsi="Times New Roman"/>
          <w:sz w:val="28"/>
          <w:szCs w:val="28"/>
        </w:rPr>
        <w:t>целью предотвращения загрязнения водных объектов, сохранения среды обитания водных биологических ресурсов, размеры и</w:t>
      </w:r>
      <w:r>
        <w:rPr>
          <w:rFonts w:ascii="Times New Roman" w:hAnsi="Times New Roman"/>
          <w:sz w:val="28"/>
          <w:szCs w:val="28"/>
        </w:rPr>
        <w:t> </w:t>
      </w:r>
      <w:r w:rsidRPr="005B11F7">
        <w:rPr>
          <w:rFonts w:ascii="Times New Roman" w:hAnsi="Times New Roman"/>
          <w:sz w:val="28"/>
          <w:szCs w:val="28"/>
        </w:rPr>
        <w:t>границы водоохранных зон и</w:t>
      </w:r>
      <w:r>
        <w:rPr>
          <w:rFonts w:ascii="Times New Roman" w:hAnsi="Times New Roman"/>
          <w:sz w:val="28"/>
          <w:szCs w:val="28"/>
        </w:rPr>
        <w:t> </w:t>
      </w:r>
      <w:r w:rsidRPr="005B11F7">
        <w:rPr>
          <w:rFonts w:ascii="Times New Roman" w:hAnsi="Times New Roman"/>
          <w:sz w:val="28"/>
          <w:szCs w:val="28"/>
        </w:rPr>
        <w:t>прибрежных защитных полос, устанавливается специальный режим осуществления хозяйственной и</w:t>
      </w:r>
      <w:r>
        <w:rPr>
          <w:rFonts w:ascii="Times New Roman" w:hAnsi="Times New Roman"/>
          <w:sz w:val="28"/>
          <w:szCs w:val="28"/>
        </w:rPr>
        <w:t> </w:t>
      </w:r>
      <w:r w:rsidRPr="005B11F7">
        <w:rPr>
          <w:rFonts w:ascii="Times New Roman" w:hAnsi="Times New Roman"/>
          <w:sz w:val="28"/>
          <w:szCs w:val="28"/>
        </w:rPr>
        <w:t>иной деятельности, согласно Водному кодексу Российской федерации. Проектные материалы, представляемые в</w:t>
      </w:r>
      <w:r>
        <w:rPr>
          <w:rFonts w:ascii="Times New Roman" w:hAnsi="Times New Roman"/>
          <w:sz w:val="28"/>
          <w:szCs w:val="28"/>
        </w:rPr>
        <w:t> </w:t>
      </w:r>
      <w:r w:rsidRPr="005B11F7">
        <w:rPr>
          <w:rFonts w:ascii="Times New Roman" w:hAnsi="Times New Roman"/>
          <w:sz w:val="28"/>
          <w:szCs w:val="28"/>
        </w:rPr>
        <w:t>органы и</w:t>
      </w:r>
      <w:r>
        <w:rPr>
          <w:rFonts w:ascii="Times New Roman" w:hAnsi="Times New Roman"/>
          <w:sz w:val="28"/>
          <w:szCs w:val="28"/>
        </w:rPr>
        <w:t> </w:t>
      </w:r>
      <w:r w:rsidRPr="005B11F7">
        <w:rPr>
          <w:rFonts w:ascii="Times New Roman" w:hAnsi="Times New Roman"/>
          <w:sz w:val="28"/>
          <w:szCs w:val="28"/>
        </w:rPr>
        <w:t>учреждения государственной санитарно-эпидемиологической службы для заключения, должны соответствовать СанПиН 2.1.5.980-00 «Водоотведение населённых мест, санитарная охрана водных объектов. Гигиенические требования к</w:t>
      </w:r>
      <w:r>
        <w:rPr>
          <w:rFonts w:ascii="Times New Roman" w:hAnsi="Times New Roman"/>
          <w:sz w:val="28"/>
          <w:szCs w:val="28"/>
        </w:rPr>
        <w:t> </w:t>
      </w:r>
      <w:r w:rsidRPr="005B11F7">
        <w:rPr>
          <w:rFonts w:ascii="Times New Roman" w:hAnsi="Times New Roman"/>
          <w:sz w:val="28"/>
          <w:szCs w:val="28"/>
        </w:rPr>
        <w:t>охране поверхностных вод». Санитарная охрана и</w:t>
      </w:r>
      <w:r>
        <w:rPr>
          <w:rFonts w:ascii="Times New Roman" w:hAnsi="Times New Roman"/>
          <w:sz w:val="28"/>
          <w:szCs w:val="28"/>
        </w:rPr>
        <w:t> </w:t>
      </w:r>
      <w:r w:rsidRPr="005B11F7">
        <w:rPr>
          <w:rFonts w:ascii="Times New Roman" w:hAnsi="Times New Roman"/>
          <w:sz w:val="28"/>
          <w:szCs w:val="28"/>
        </w:rPr>
        <w:t>оздоровление воды поверхностных водоёмов и</w:t>
      </w:r>
      <w:r>
        <w:rPr>
          <w:rFonts w:ascii="Times New Roman" w:hAnsi="Times New Roman"/>
          <w:sz w:val="28"/>
          <w:szCs w:val="28"/>
        </w:rPr>
        <w:t> </w:t>
      </w:r>
      <w:r w:rsidRPr="005B11F7">
        <w:rPr>
          <w:rFonts w:ascii="Times New Roman" w:hAnsi="Times New Roman"/>
          <w:sz w:val="28"/>
          <w:szCs w:val="28"/>
        </w:rPr>
        <w:t>грунтовых вод обеспечивается комплексом мер технологического, санитарно-технического и</w:t>
      </w:r>
      <w:r>
        <w:rPr>
          <w:rFonts w:ascii="Times New Roman" w:hAnsi="Times New Roman"/>
          <w:sz w:val="28"/>
          <w:szCs w:val="28"/>
        </w:rPr>
        <w:t> </w:t>
      </w:r>
      <w:r w:rsidRPr="005B11F7">
        <w:rPr>
          <w:rFonts w:ascii="Times New Roman" w:hAnsi="Times New Roman"/>
          <w:sz w:val="28"/>
          <w:szCs w:val="28"/>
        </w:rPr>
        <w:t>планировочного характера.</w:t>
      </w:r>
    </w:p>
    <w:p w:rsidR="002D1E45" w:rsidRPr="0042399D" w:rsidRDefault="002D1E45" w:rsidP="006632F3">
      <w:pPr>
        <w:keepLines/>
        <w:spacing w:after="0" w:line="240" w:lineRule="auto"/>
        <w:ind w:firstLine="709"/>
        <w:jc w:val="both"/>
        <w:rPr>
          <w:rFonts w:ascii="Times New Roman" w:hAnsi="Times New Roman"/>
          <w:i/>
          <w:sz w:val="28"/>
          <w:szCs w:val="28"/>
          <w:u w:val="single"/>
        </w:rPr>
      </w:pPr>
      <w:r w:rsidRPr="0042399D">
        <w:rPr>
          <w:rFonts w:ascii="Times New Roman" w:hAnsi="Times New Roman"/>
          <w:i/>
          <w:sz w:val="28"/>
          <w:szCs w:val="28"/>
          <w:u w:val="single"/>
        </w:rPr>
        <w:t>Водопроводные сооружения и</w:t>
      </w:r>
      <w:r>
        <w:rPr>
          <w:rFonts w:ascii="Times New Roman" w:hAnsi="Times New Roman"/>
          <w:i/>
          <w:sz w:val="28"/>
          <w:szCs w:val="28"/>
          <w:u w:val="single"/>
        </w:rPr>
        <w:t> </w:t>
      </w:r>
      <w:r w:rsidRPr="0042399D">
        <w:rPr>
          <w:rFonts w:ascii="Times New Roman" w:hAnsi="Times New Roman"/>
          <w:i/>
          <w:sz w:val="28"/>
          <w:szCs w:val="28"/>
          <w:u w:val="single"/>
        </w:rPr>
        <w:t>водоводы</w:t>
      </w:r>
    </w:p>
    <w:p w:rsidR="002D1E45" w:rsidRPr="00C91235" w:rsidRDefault="002D1E45" w:rsidP="006632F3">
      <w:pPr>
        <w:keepLines/>
        <w:spacing w:after="0" w:line="240" w:lineRule="auto"/>
        <w:ind w:firstLine="709"/>
        <w:jc w:val="both"/>
        <w:rPr>
          <w:rFonts w:ascii="Times New Roman" w:hAnsi="Times New Roman"/>
          <w:sz w:val="28"/>
          <w:szCs w:val="28"/>
        </w:rPr>
      </w:pPr>
      <w:r w:rsidRPr="00C91235">
        <w:rPr>
          <w:rFonts w:ascii="Times New Roman" w:hAnsi="Times New Roman"/>
          <w:sz w:val="28"/>
          <w:szCs w:val="28"/>
        </w:rPr>
        <w:t>Зона санитарной охраны водопроводных сооружений, расположенных вне территории водозабора, представлена первым поясом (строгого режима), водоводов - санитарно-защитной полосой.</w:t>
      </w:r>
    </w:p>
    <w:p w:rsidR="002D1E45" w:rsidRPr="00C91235" w:rsidRDefault="002D1E45" w:rsidP="00FE1BF0">
      <w:pPr>
        <w:spacing w:after="0" w:line="240" w:lineRule="auto"/>
        <w:ind w:firstLine="709"/>
        <w:jc w:val="both"/>
        <w:rPr>
          <w:rFonts w:ascii="Times New Roman" w:hAnsi="Times New Roman"/>
          <w:sz w:val="28"/>
          <w:szCs w:val="28"/>
        </w:rPr>
      </w:pPr>
      <w:r w:rsidRPr="00C91235">
        <w:rPr>
          <w:rFonts w:ascii="Times New Roman" w:hAnsi="Times New Roman"/>
          <w:sz w:val="28"/>
          <w:szCs w:val="28"/>
        </w:rPr>
        <w:t>Граница первого пояса ЗСО водопроводных сооружений принимается на</w:t>
      </w:r>
      <w:r>
        <w:rPr>
          <w:rFonts w:ascii="Times New Roman" w:hAnsi="Times New Roman"/>
          <w:sz w:val="28"/>
          <w:szCs w:val="28"/>
        </w:rPr>
        <w:t> </w:t>
      </w:r>
      <w:r w:rsidRPr="00C91235">
        <w:rPr>
          <w:rFonts w:ascii="Times New Roman" w:hAnsi="Times New Roman"/>
          <w:sz w:val="28"/>
          <w:szCs w:val="28"/>
        </w:rPr>
        <w:t>расстоянии:</w:t>
      </w:r>
    </w:p>
    <w:p w:rsidR="002D1E45" w:rsidRPr="00C91235" w:rsidRDefault="002D1E45" w:rsidP="00852938">
      <w:pPr>
        <w:numPr>
          <w:ilvl w:val="0"/>
          <w:numId w:val="2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C91235">
        <w:rPr>
          <w:rFonts w:ascii="Times New Roman" w:hAnsi="Times New Roman"/>
          <w:sz w:val="28"/>
          <w:szCs w:val="28"/>
        </w:rPr>
        <w:t>от стен запасных и</w:t>
      </w:r>
      <w:r>
        <w:rPr>
          <w:rFonts w:ascii="Times New Roman" w:hAnsi="Times New Roman"/>
          <w:sz w:val="28"/>
          <w:szCs w:val="28"/>
        </w:rPr>
        <w:t> </w:t>
      </w:r>
      <w:r w:rsidRPr="00C91235">
        <w:rPr>
          <w:rFonts w:ascii="Times New Roman" w:hAnsi="Times New Roman"/>
          <w:sz w:val="28"/>
          <w:szCs w:val="28"/>
        </w:rPr>
        <w:t>регулирующих ёмкостей, фильтров и</w:t>
      </w:r>
      <w:r>
        <w:rPr>
          <w:rFonts w:ascii="Times New Roman" w:hAnsi="Times New Roman"/>
          <w:sz w:val="28"/>
          <w:szCs w:val="28"/>
        </w:rPr>
        <w:t> </w:t>
      </w:r>
      <w:r w:rsidRPr="00C91235">
        <w:rPr>
          <w:rFonts w:ascii="Times New Roman" w:hAnsi="Times New Roman"/>
          <w:sz w:val="28"/>
          <w:szCs w:val="28"/>
        </w:rPr>
        <w:t xml:space="preserve">контактных осветлителей </w:t>
      </w:r>
      <w:r>
        <w:rPr>
          <w:rFonts w:ascii="Times New Roman" w:hAnsi="Times New Roman"/>
          <w:sz w:val="28"/>
          <w:szCs w:val="28"/>
        </w:rPr>
        <w:t>–</w:t>
      </w:r>
      <w:r w:rsidRPr="00C91235">
        <w:rPr>
          <w:rFonts w:ascii="Times New Roman" w:hAnsi="Times New Roman"/>
          <w:sz w:val="28"/>
          <w:szCs w:val="28"/>
        </w:rPr>
        <w:t xml:space="preserve"> не</w:t>
      </w:r>
      <w:r>
        <w:rPr>
          <w:rFonts w:ascii="Times New Roman" w:hAnsi="Times New Roman"/>
          <w:sz w:val="28"/>
          <w:szCs w:val="28"/>
        </w:rPr>
        <w:t> </w:t>
      </w:r>
      <w:r w:rsidRPr="00C91235">
        <w:rPr>
          <w:rFonts w:ascii="Times New Roman" w:hAnsi="Times New Roman"/>
          <w:sz w:val="28"/>
          <w:szCs w:val="28"/>
        </w:rPr>
        <w:t>менее 30 м;</w:t>
      </w:r>
    </w:p>
    <w:p w:rsidR="002D1E45" w:rsidRPr="00C91235" w:rsidRDefault="002D1E45" w:rsidP="00852938">
      <w:pPr>
        <w:numPr>
          <w:ilvl w:val="0"/>
          <w:numId w:val="2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C91235">
        <w:rPr>
          <w:rFonts w:ascii="Times New Roman" w:hAnsi="Times New Roman"/>
          <w:sz w:val="28"/>
          <w:szCs w:val="28"/>
        </w:rPr>
        <w:t xml:space="preserve">от водонапорных башен </w:t>
      </w:r>
      <w:r>
        <w:rPr>
          <w:rFonts w:ascii="Times New Roman" w:hAnsi="Times New Roman"/>
          <w:sz w:val="28"/>
          <w:szCs w:val="28"/>
        </w:rPr>
        <w:t>–</w:t>
      </w:r>
      <w:r w:rsidRPr="00C91235">
        <w:rPr>
          <w:rFonts w:ascii="Times New Roman" w:hAnsi="Times New Roman"/>
          <w:sz w:val="28"/>
          <w:szCs w:val="28"/>
        </w:rPr>
        <w:t xml:space="preserve"> не</w:t>
      </w:r>
      <w:r>
        <w:rPr>
          <w:rFonts w:ascii="Times New Roman" w:hAnsi="Times New Roman"/>
          <w:sz w:val="28"/>
          <w:szCs w:val="28"/>
        </w:rPr>
        <w:t> </w:t>
      </w:r>
      <w:r w:rsidRPr="00C91235">
        <w:rPr>
          <w:rFonts w:ascii="Times New Roman" w:hAnsi="Times New Roman"/>
          <w:sz w:val="28"/>
          <w:szCs w:val="28"/>
        </w:rPr>
        <w:t>менее 10 м;</w:t>
      </w:r>
    </w:p>
    <w:p w:rsidR="002D1E45" w:rsidRPr="00C91235" w:rsidRDefault="002D1E45" w:rsidP="00852938">
      <w:pPr>
        <w:numPr>
          <w:ilvl w:val="0"/>
          <w:numId w:val="2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C91235">
        <w:rPr>
          <w:rFonts w:ascii="Times New Roman" w:hAnsi="Times New Roman"/>
          <w:sz w:val="28"/>
          <w:szCs w:val="28"/>
        </w:rPr>
        <w:t>от остальных помещений (отстойники, реагентное хозяйство, склад хлора, насосные станции и</w:t>
      </w:r>
      <w:r>
        <w:rPr>
          <w:rFonts w:ascii="Times New Roman" w:hAnsi="Times New Roman"/>
          <w:sz w:val="28"/>
          <w:szCs w:val="28"/>
        </w:rPr>
        <w:t> </w:t>
      </w:r>
      <w:r w:rsidRPr="00C91235">
        <w:rPr>
          <w:rFonts w:ascii="Times New Roman" w:hAnsi="Times New Roman"/>
          <w:sz w:val="28"/>
          <w:szCs w:val="28"/>
        </w:rPr>
        <w:t xml:space="preserve">др.) </w:t>
      </w:r>
      <w:r>
        <w:rPr>
          <w:rFonts w:ascii="Times New Roman" w:hAnsi="Times New Roman"/>
          <w:sz w:val="28"/>
          <w:szCs w:val="28"/>
        </w:rPr>
        <w:t>–</w:t>
      </w:r>
      <w:r w:rsidRPr="00C91235">
        <w:rPr>
          <w:rFonts w:ascii="Times New Roman" w:hAnsi="Times New Roman"/>
          <w:sz w:val="28"/>
          <w:szCs w:val="28"/>
        </w:rPr>
        <w:t xml:space="preserve"> не</w:t>
      </w:r>
      <w:r>
        <w:rPr>
          <w:rFonts w:ascii="Times New Roman" w:hAnsi="Times New Roman"/>
          <w:sz w:val="28"/>
          <w:szCs w:val="28"/>
        </w:rPr>
        <w:t> </w:t>
      </w:r>
      <w:r w:rsidRPr="00C91235">
        <w:rPr>
          <w:rFonts w:ascii="Times New Roman" w:hAnsi="Times New Roman"/>
          <w:sz w:val="28"/>
          <w:szCs w:val="28"/>
        </w:rPr>
        <w:t>менее 15 м.</w:t>
      </w:r>
    </w:p>
    <w:p w:rsidR="002D1E45" w:rsidRPr="00C91235" w:rsidRDefault="002D1E45" w:rsidP="00FE1BF0">
      <w:pPr>
        <w:spacing w:after="0" w:line="240" w:lineRule="auto"/>
        <w:ind w:firstLine="709"/>
        <w:jc w:val="both"/>
        <w:rPr>
          <w:rFonts w:ascii="Times New Roman" w:hAnsi="Times New Roman"/>
          <w:sz w:val="28"/>
          <w:szCs w:val="28"/>
        </w:rPr>
      </w:pPr>
      <w:r w:rsidRPr="00C91235">
        <w:rPr>
          <w:rFonts w:ascii="Times New Roman" w:hAnsi="Times New Roman"/>
          <w:sz w:val="28"/>
          <w:szCs w:val="28"/>
        </w:rPr>
        <w:t>По согласованию с</w:t>
      </w:r>
      <w:r>
        <w:rPr>
          <w:rFonts w:ascii="Times New Roman" w:hAnsi="Times New Roman"/>
          <w:sz w:val="28"/>
          <w:szCs w:val="28"/>
        </w:rPr>
        <w:t> </w:t>
      </w:r>
      <w:r w:rsidRPr="00C91235">
        <w:rPr>
          <w:rFonts w:ascii="Times New Roman" w:hAnsi="Times New Roman"/>
          <w:sz w:val="28"/>
          <w:szCs w:val="28"/>
        </w:rPr>
        <w:t>центром государственного санитарно-эпидемиологического надзора первый пояс ЗСО для отдельно стоящих водонапорных башен, в</w:t>
      </w:r>
      <w:r>
        <w:rPr>
          <w:rFonts w:ascii="Times New Roman" w:hAnsi="Times New Roman"/>
          <w:sz w:val="28"/>
          <w:szCs w:val="28"/>
        </w:rPr>
        <w:t> </w:t>
      </w:r>
      <w:r w:rsidRPr="00C91235">
        <w:rPr>
          <w:rFonts w:ascii="Times New Roman" w:hAnsi="Times New Roman"/>
          <w:sz w:val="28"/>
          <w:szCs w:val="28"/>
        </w:rPr>
        <w:t>зависимости от</w:t>
      </w:r>
      <w:r>
        <w:rPr>
          <w:rFonts w:ascii="Times New Roman" w:hAnsi="Times New Roman"/>
          <w:sz w:val="28"/>
          <w:szCs w:val="28"/>
        </w:rPr>
        <w:t> </w:t>
      </w:r>
      <w:r w:rsidRPr="00C91235">
        <w:rPr>
          <w:rFonts w:ascii="Times New Roman" w:hAnsi="Times New Roman"/>
          <w:sz w:val="28"/>
          <w:szCs w:val="28"/>
        </w:rPr>
        <w:t>их</w:t>
      </w:r>
      <w:r>
        <w:rPr>
          <w:rFonts w:ascii="Times New Roman" w:hAnsi="Times New Roman"/>
          <w:sz w:val="28"/>
          <w:szCs w:val="28"/>
        </w:rPr>
        <w:t> </w:t>
      </w:r>
      <w:r w:rsidRPr="00C91235">
        <w:rPr>
          <w:rFonts w:ascii="Times New Roman" w:hAnsi="Times New Roman"/>
          <w:sz w:val="28"/>
          <w:szCs w:val="28"/>
        </w:rPr>
        <w:t>конструктивных особенностей, может не</w:t>
      </w:r>
      <w:r>
        <w:rPr>
          <w:rFonts w:ascii="Times New Roman" w:hAnsi="Times New Roman"/>
          <w:sz w:val="28"/>
          <w:szCs w:val="28"/>
        </w:rPr>
        <w:t> </w:t>
      </w:r>
      <w:r w:rsidRPr="00C91235">
        <w:rPr>
          <w:rFonts w:ascii="Times New Roman" w:hAnsi="Times New Roman"/>
          <w:sz w:val="28"/>
          <w:szCs w:val="28"/>
        </w:rPr>
        <w:t>устанавливаться.</w:t>
      </w:r>
    </w:p>
    <w:p w:rsidR="002D1E45" w:rsidRPr="00C91235" w:rsidRDefault="002D1E45" w:rsidP="00FE1BF0">
      <w:pPr>
        <w:spacing w:after="0" w:line="240" w:lineRule="auto"/>
        <w:ind w:firstLine="709"/>
        <w:jc w:val="both"/>
        <w:rPr>
          <w:rFonts w:ascii="Times New Roman" w:hAnsi="Times New Roman"/>
          <w:sz w:val="28"/>
          <w:szCs w:val="28"/>
        </w:rPr>
      </w:pPr>
      <w:r w:rsidRPr="00C91235">
        <w:rPr>
          <w:rFonts w:ascii="Times New Roman" w:hAnsi="Times New Roman"/>
          <w:sz w:val="28"/>
          <w:szCs w:val="28"/>
        </w:rPr>
        <w:t>При расположении водопроводных сооружений на</w:t>
      </w:r>
      <w:r>
        <w:rPr>
          <w:rFonts w:ascii="Times New Roman" w:hAnsi="Times New Roman"/>
          <w:sz w:val="28"/>
          <w:szCs w:val="28"/>
        </w:rPr>
        <w:t> </w:t>
      </w:r>
      <w:r w:rsidRPr="00C91235">
        <w:rPr>
          <w:rFonts w:ascii="Times New Roman" w:hAnsi="Times New Roman"/>
          <w:sz w:val="28"/>
          <w:szCs w:val="28"/>
        </w:rPr>
        <w:t>территории объекта указанные расстояния допускается сокращать по</w:t>
      </w:r>
      <w:r>
        <w:rPr>
          <w:rFonts w:ascii="Times New Roman" w:hAnsi="Times New Roman"/>
          <w:sz w:val="28"/>
          <w:szCs w:val="28"/>
        </w:rPr>
        <w:t> </w:t>
      </w:r>
      <w:r w:rsidRPr="00C91235">
        <w:rPr>
          <w:rFonts w:ascii="Times New Roman" w:hAnsi="Times New Roman"/>
          <w:sz w:val="28"/>
          <w:szCs w:val="28"/>
        </w:rPr>
        <w:t>согласованию с</w:t>
      </w:r>
      <w:r>
        <w:rPr>
          <w:rFonts w:ascii="Times New Roman" w:hAnsi="Times New Roman"/>
          <w:sz w:val="28"/>
          <w:szCs w:val="28"/>
        </w:rPr>
        <w:t> </w:t>
      </w:r>
      <w:r w:rsidRPr="00C91235">
        <w:rPr>
          <w:rFonts w:ascii="Times New Roman" w:hAnsi="Times New Roman"/>
          <w:sz w:val="28"/>
          <w:szCs w:val="28"/>
        </w:rPr>
        <w:t>центром государственного санитарно-эпидемиологического надзора, но</w:t>
      </w:r>
      <w:r>
        <w:rPr>
          <w:rFonts w:ascii="Times New Roman" w:hAnsi="Times New Roman"/>
          <w:sz w:val="28"/>
          <w:szCs w:val="28"/>
        </w:rPr>
        <w:t> </w:t>
      </w:r>
      <w:r w:rsidRPr="00C91235">
        <w:rPr>
          <w:rFonts w:ascii="Times New Roman" w:hAnsi="Times New Roman"/>
          <w:sz w:val="28"/>
          <w:szCs w:val="28"/>
        </w:rPr>
        <w:t>не</w:t>
      </w:r>
      <w:r>
        <w:rPr>
          <w:rFonts w:ascii="Times New Roman" w:hAnsi="Times New Roman"/>
          <w:sz w:val="28"/>
          <w:szCs w:val="28"/>
        </w:rPr>
        <w:t> </w:t>
      </w:r>
      <w:r w:rsidRPr="00C91235">
        <w:rPr>
          <w:rFonts w:ascii="Times New Roman" w:hAnsi="Times New Roman"/>
          <w:sz w:val="28"/>
          <w:szCs w:val="28"/>
        </w:rPr>
        <w:t>менее чем до 10 м.</w:t>
      </w:r>
    </w:p>
    <w:p w:rsidR="002D1E45" w:rsidRPr="00C91235" w:rsidRDefault="002D1E45" w:rsidP="00FE1BF0">
      <w:pPr>
        <w:spacing w:after="0" w:line="240" w:lineRule="auto"/>
        <w:ind w:firstLine="709"/>
        <w:jc w:val="both"/>
        <w:rPr>
          <w:rFonts w:ascii="Times New Roman" w:hAnsi="Times New Roman"/>
          <w:sz w:val="28"/>
          <w:szCs w:val="28"/>
        </w:rPr>
      </w:pPr>
      <w:r w:rsidRPr="00C91235">
        <w:rPr>
          <w:rFonts w:ascii="Times New Roman" w:hAnsi="Times New Roman"/>
          <w:sz w:val="28"/>
          <w:szCs w:val="28"/>
        </w:rPr>
        <w:t>Ширину санитарно-защитной полосы следует принимать по</w:t>
      </w:r>
      <w:r>
        <w:rPr>
          <w:rFonts w:ascii="Times New Roman" w:hAnsi="Times New Roman"/>
          <w:sz w:val="28"/>
          <w:szCs w:val="28"/>
        </w:rPr>
        <w:t> </w:t>
      </w:r>
      <w:r w:rsidRPr="00C91235">
        <w:rPr>
          <w:rFonts w:ascii="Times New Roman" w:hAnsi="Times New Roman"/>
          <w:sz w:val="28"/>
          <w:szCs w:val="28"/>
        </w:rPr>
        <w:t>обе стороны от</w:t>
      </w:r>
      <w:r>
        <w:rPr>
          <w:rFonts w:ascii="Times New Roman" w:hAnsi="Times New Roman"/>
          <w:sz w:val="28"/>
          <w:szCs w:val="28"/>
        </w:rPr>
        <w:t> </w:t>
      </w:r>
      <w:r w:rsidRPr="00C91235">
        <w:rPr>
          <w:rFonts w:ascii="Times New Roman" w:hAnsi="Times New Roman"/>
          <w:sz w:val="28"/>
          <w:szCs w:val="28"/>
        </w:rPr>
        <w:t>крайних линий водопровода:</w:t>
      </w:r>
    </w:p>
    <w:p w:rsidR="002D1E45" w:rsidRPr="00C91235" w:rsidRDefault="002D1E45" w:rsidP="00852938">
      <w:pPr>
        <w:numPr>
          <w:ilvl w:val="0"/>
          <w:numId w:val="2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C91235">
        <w:rPr>
          <w:rFonts w:ascii="Times New Roman" w:hAnsi="Times New Roman"/>
          <w:sz w:val="28"/>
          <w:szCs w:val="28"/>
        </w:rPr>
        <w:t xml:space="preserve">при отсутствии грунтовых вод </w:t>
      </w:r>
      <w:r>
        <w:rPr>
          <w:rFonts w:ascii="Times New Roman" w:hAnsi="Times New Roman"/>
          <w:sz w:val="28"/>
          <w:szCs w:val="28"/>
        </w:rPr>
        <w:t>–</w:t>
      </w:r>
      <w:r w:rsidRPr="00C91235">
        <w:rPr>
          <w:rFonts w:ascii="Times New Roman" w:hAnsi="Times New Roman"/>
          <w:sz w:val="28"/>
          <w:szCs w:val="28"/>
        </w:rPr>
        <w:t xml:space="preserve"> не</w:t>
      </w:r>
      <w:r>
        <w:rPr>
          <w:rFonts w:ascii="Times New Roman" w:hAnsi="Times New Roman"/>
          <w:sz w:val="28"/>
          <w:szCs w:val="28"/>
        </w:rPr>
        <w:t> </w:t>
      </w:r>
      <w:r w:rsidRPr="00C91235">
        <w:rPr>
          <w:rFonts w:ascii="Times New Roman" w:hAnsi="Times New Roman"/>
          <w:sz w:val="28"/>
          <w:szCs w:val="28"/>
        </w:rPr>
        <w:t>менее 10 м</w:t>
      </w:r>
      <w:r>
        <w:rPr>
          <w:rFonts w:ascii="Times New Roman" w:hAnsi="Times New Roman"/>
          <w:sz w:val="28"/>
          <w:szCs w:val="28"/>
        </w:rPr>
        <w:t> </w:t>
      </w:r>
      <w:r w:rsidRPr="00C91235">
        <w:rPr>
          <w:rFonts w:ascii="Times New Roman" w:hAnsi="Times New Roman"/>
          <w:sz w:val="28"/>
          <w:szCs w:val="28"/>
        </w:rPr>
        <w:t>при диаметре водоводов до 1000 мм</w:t>
      </w:r>
      <w:r>
        <w:rPr>
          <w:rFonts w:ascii="Times New Roman" w:hAnsi="Times New Roman"/>
          <w:sz w:val="28"/>
          <w:szCs w:val="28"/>
        </w:rPr>
        <w:t> </w:t>
      </w:r>
      <w:r w:rsidRPr="00C91235">
        <w:rPr>
          <w:rFonts w:ascii="Times New Roman" w:hAnsi="Times New Roman"/>
          <w:sz w:val="28"/>
          <w:szCs w:val="28"/>
        </w:rPr>
        <w:t>и</w:t>
      </w:r>
      <w:r>
        <w:rPr>
          <w:rFonts w:ascii="Times New Roman" w:hAnsi="Times New Roman"/>
          <w:sz w:val="28"/>
          <w:szCs w:val="28"/>
        </w:rPr>
        <w:t> </w:t>
      </w:r>
      <w:r w:rsidRPr="00C91235">
        <w:rPr>
          <w:rFonts w:ascii="Times New Roman" w:hAnsi="Times New Roman"/>
          <w:sz w:val="28"/>
          <w:szCs w:val="28"/>
        </w:rPr>
        <w:t>не</w:t>
      </w:r>
      <w:r>
        <w:rPr>
          <w:rFonts w:ascii="Times New Roman" w:hAnsi="Times New Roman"/>
          <w:sz w:val="28"/>
          <w:szCs w:val="28"/>
        </w:rPr>
        <w:t> </w:t>
      </w:r>
      <w:r w:rsidRPr="00C91235">
        <w:rPr>
          <w:rFonts w:ascii="Times New Roman" w:hAnsi="Times New Roman"/>
          <w:sz w:val="28"/>
          <w:szCs w:val="28"/>
        </w:rPr>
        <w:t>менее 20 м</w:t>
      </w:r>
      <w:r>
        <w:rPr>
          <w:rFonts w:ascii="Times New Roman" w:hAnsi="Times New Roman"/>
          <w:sz w:val="28"/>
          <w:szCs w:val="28"/>
        </w:rPr>
        <w:t> </w:t>
      </w:r>
      <w:r w:rsidRPr="00C91235">
        <w:rPr>
          <w:rFonts w:ascii="Times New Roman" w:hAnsi="Times New Roman"/>
          <w:sz w:val="28"/>
          <w:szCs w:val="28"/>
        </w:rPr>
        <w:t>при диаметре водоводов более 1000 мм;</w:t>
      </w:r>
    </w:p>
    <w:p w:rsidR="002D1E45" w:rsidRPr="00C91235" w:rsidRDefault="002D1E45" w:rsidP="00852938">
      <w:pPr>
        <w:numPr>
          <w:ilvl w:val="0"/>
          <w:numId w:val="2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C91235">
        <w:rPr>
          <w:rFonts w:ascii="Times New Roman" w:hAnsi="Times New Roman"/>
          <w:sz w:val="28"/>
          <w:szCs w:val="28"/>
        </w:rPr>
        <w:t xml:space="preserve">при наличии грунтовых вод </w:t>
      </w:r>
      <w:r>
        <w:rPr>
          <w:rFonts w:ascii="Times New Roman" w:hAnsi="Times New Roman"/>
          <w:sz w:val="28"/>
          <w:szCs w:val="28"/>
        </w:rPr>
        <w:t>–</w:t>
      </w:r>
      <w:r w:rsidRPr="00C91235">
        <w:rPr>
          <w:rFonts w:ascii="Times New Roman" w:hAnsi="Times New Roman"/>
          <w:sz w:val="28"/>
          <w:szCs w:val="28"/>
        </w:rPr>
        <w:t xml:space="preserve"> не</w:t>
      </w:r>
      <w:r>
        <w:rPr>
          <w:rFonts w:ascii="Times New Roman" w:hAnsi="Times New Roman"/>
          <w:sz w:val="28"/>
          <w:szCs w:val="28"/>
        </w:rPr>
        <w:t> </w:t>
      </w:r>
      <w:r w:rsidRPr="00C91235">
        <w:rPr>
          <w:rFonts w:ascii="Times New Roman" w:hAnsi="Times New Roman"/>
          <w:sz w:val="28"/>
          <w:szCs w:val="28"/>
        </w:rPr>
        <w:t>менее 50 м</w:t>
      </w:r>
      <w:r>
        <w:rPr>
          <w:rFonts w:ascii="Times New Roman" w:hAnsi="Times New Roman"/>
          <w:sz w:val="28"/>
          <w:szCs w:val="28"/>
        </w:rPr>
        <w:t> </w:t>
      </w:r>
      <w:r w:rsidRPr="00C91235">
        <w:rPr>
          <w:rFonts w:ascii="Times New Roman" w:hAnsi="Times New Roman"/>
          <w:sz w:val="28"/>
          <w:szCs w:val="28"/>
        </w:rPr>
        <w:t>вне зависимости от</w:t>
      </w:r>
      <w:r>
        <w:rPr>
          <w:rFonts w:ascii="Times New Roman" w:hAnsi="Times New Roman"/>
          <w:sz w:val="28"/>
          <w:szCs w:val="28"/>
        </w:rPr>
        <w:t> </w:t>
      </w:r>
      <w:r w:rsidRPr="00C91235">
        <w:rPr>
          <w:rFonts w:ascii="Times New Roman" w:hAnsi="Times New Roman"/>
          <w:sz w:val="28"/>
          <w:szCs w:val="28"/>
        </w:rPr>
        <w:t>диаметра водоводов.</w:t>
      </w:r>
    </w:p>
    <w:p w:rsidR="002D1E45" w:rsidRPr="00C91235" w:rsidRDefault="002D1E45" w:rsidP="00FE1BF0">
      <w:pPr>
        <w:spacing w:after="0" w:line="240" w:lineRule="auto"/>
        <w:ind w:firstLine="709"/>
        <w:jc w:val="both"/>
        <w:rPr>
          <w:rFonts w:ascii="Times New Roman" w:hAnsi="Times New Roman"/>
          <w:sz w:val="28"/>
          <w:szCs w:val="28"/>
        </w:rPr>
      </w:pPr>
      <w:r w:rsidRPr="00C91235">
        <w:rPr>
          <w:rFonts w:ascii="Times New Roman" w:hAnsi="Times New Roman"/>
          <w:sz w:val="28"/>
          <w:szCs w:val="28"/>
        </w:rPr>
        <w:t>В случае необходимости допускается сокращение ширины санитарно-защитной полосы для водоводов, проходящих по</w:t>
      </w:r>
      <w:r>
        <w:rPr>
          <w:rFonts w:ascii="Times New Roman" w:hAnsi="Times New Roman"/>
          <w:sz w:val="28"/>
          <w:szCs w:val="28"/>
        </w:rPr>
        <w:t> </w:t>
      </w:r>
      <w:r w:rsidRPr="00C91235">
        <w:rPr>
          <w:rFonts w:ascii="Times New Roman" w:hAnsi="Times New Roman"/>
          <w:sz w:val="28"/>
          <w:szCs w:val="28"/>
        </w:rPr>
        <w:t>застроенной территории, по</w:t>
      </w:r>
      <w:r>
        <w:rPr>
          <w:rFonts w:ascii="Times New Roman" w:hAnsi="Times New Roman"/>
          <w:sz w:val="28"/>
          <w:szCs w:val="28"/>
        </w:rPr>
        <w:t> </w:t>
      </w:r>
      <w:r w:rsidRPr="00C91235">
        <w:rPr>
          <w:rFonts w:ascii="Times New Roman" w:hAnsi="Times New Roman"/>
          <w:sz w:val="28"/>
          <w:szCs w:val="28"/>
        </w:rPr>
        <w:t>согласованию с</w:t>
      </w:r>
      <w:r>
        <w:rPr>
          <w:rFonts w:ascii="Times New Roman" w:hAnsi="Times New Roman"/>
          <w:sz w:val="28"/>
          <w:szCs w:val="28"/>
        </w:rPr>
        <w:t> </w:t>
      </w:r>
      <w:r w:rsidRPr="00C91235">
        <w:rPr>
          <w:rFonts w:ascii="Times New Roman" w:hAnsi="Times New Roman"/>
          <w:sz w:val="28"/>
          <w:szCs w:val="28"/>
        </w:rPr>
        <w:t>центром государственного санитарно-эпидемиологического надзора.</w:t>
      </w:r>
    </w:p>
    <w:p w:rsidR="002D1E45" w:rsidRPr="00C91235" w:rsidRDefault="002D1E45" w:rsidP="00FE1BF0">
      <w:pPr>
        <w:spacing w:after="0" w:line="240" w:lineRule="auto"/>
        <w:ind w:firstLine="709"/>
        <w:jc w:val="both"/>
        <w:rPr>
          <w:rFonts w:ascii="Times New Roman" w:hAnsi="Times New Roman"/>
          <w:sz w:val="28"/>
          <w:szCs w:val="28"/>
        </w:rPr>
      </w:pPr>
      <w:r w:rsidRPr="00C91235">
        <w:rPr>
          <w:rFonts w:ascii="Times New Roman" w:hAnsi="Times New Roman"/>
          <w:sz w:val="28"/>
          <w:szCs w:val="28"/>
        </w:rPr>
        <w:t>В пределах санитарно-защитной полосы водоводов должны отсутствовать источники загрязнения почвы и</w:t>
      </w:r>
      <w:r>
        <w:rPr>
          <w:rFonts w:ascii="Times New Roman" w:hAnsi="Times New Roman"/>
          <w:sz w:val="28"/>
          <w:szCs w:val="28"/>
        </w:rPr>
        <w:t> </w:t>
      </w:r>
      <w:r w:rsidRPr="00C91235">
        <w:rPr>
          <w:rFonts w:ascii="Times New Roman" w:hAnsi="Times New Roman"/>
          <w:sz w:val="28"/>
          <w:szCs w:val="28"/>
        </w:rPr>
        <w:t>грунтовых вод.</w:t>
      </w:r>
    </w:p>
    <w:p w:rsidR="002D1E45" w:rsidRDefault="002D1E45" w:rsidP="00FE1BF0">
      <w:pPr>
        <w:spacing w:after="0" w:line="240" w:lineRule="auto"/>
        <w:ind w:firstLine="709"/>
        <w:jc w:val="both"/>
        <w:rPr>
          <w:rFonts w:ascii="Times New Roman" w:hAnsi="Times New Roman"/>
          <w:sz w:val="28"/>
          <w:szCs w:val="28"/>
        </w:rPr>
      </w:pPr>
      <w:r w:rsidRPr="00C91235">
        <w:rPr>
          <w:rFonts w:ascii="Times New Roman" w:hAnsi="Times New Roman"/>
          <w:sz w:val="28"/>
          <w:szCs w:val="28"/>
        </w:rPr>
        <w:t>Не допускается прокладка водоводов по</w:t>
      </w:r>
      <w:r>
        <w:rPr>
          <w:rFonts w:ascii="Times New Roman" w:hAnsi="Times New Roman"/>
          <w:sz w:val="28"/>
          <w:szCs w:val="28"/>
        </w:rPr>
        <w:t> </w:t>
      </w:r>
      <w:r w:rsidRPr="00C91235">
        <w:rPr>
          <w:rFonts w:ascii="Times New Roman" w:hAnsi="Times New Roman"/>
          <w:sz w:val="28"/>
          <w:szCs w:val="28"/>
        </w:rPr>
        <w:t>территории свалок, полей ассенизации, полей фильтрации, полей орошения, кладбищ, скотомогильников, а</w:t>
      </w:r>
      <w:r>
        <w:rPr>
          <w:rFonts w:ascii="Times New Roman" w:hAnsi="Times New Roman"/>
          <w:sz w:val="28"/>
          <w:szCs w:val="28"/>
        </w:rPr>
        <w:t> </w:t>
      </w:r>
      <w:r w:rsidRPr="00C91235">
        <w:rPr>
          <w:rFonts w:ascii="Times New Roman" w:hAnsi="Times New Roman"/>
          <w:sz w:val="28"/>
          <w:szCs w:val="28"/>
        </w:rPr>
        <w:t>также прокладка магистральных водоводов по</w:t>
      </w:r>
      <w:r>
        <w:rPr>
          <w:rFonts w:ascii="Times New Roman" w:hAnsi="Times New Roman"/>
          <w:sz w:val="28"/>
          <w:szCs w:val="28"/>
        </w:rPr>
        <w:t> </w:t>
      </w:r>
      <w:r w:rsidRPr="00C91235">
        <w:rPr>
          <w:rFonts w:ascii="Times New Roman" w:hAnsi="Times New Roman"/>
          <w:sz w:val="28"/>
          <w:szCs w:val="28"/>
        </w:rPr>
        <w:t>территории промышленных и</w:t>
      </w:r>
      <w:r>
        <w:rPr>
          <w:rFonts w:ascii="Times New Roman" w:hAnsi="Times New Roman"/>
          <w:sz w:val="28"/>
          <w:szCs w:val="28"/>
        </w:rPr>
        <w:t> </w:t>
      </w:r>
      <w:r w:rsidRPr="00C91235">
        <w:rPr>
          <w:rFonts w:ascii="Times New Roman" w:hAnsi="Times New Roman"/>
          <w:sz w:val="28"/>
          <w:szCs w:val="28"/>
        </w:rPr>
        <w:t>сельскохозяйственных предприятий.</w:t>
      </w:r>
    </w:p>
    <w:p w:rsidR="002D1E45" w:rsidRPr="005B11F7" w:rsidRDefault="002D1E45" w:rsidP="005B11F7">
      <w:pPr>
        <w:spacing w:after="0" w:line="240" w:lineRule="auto"/>
        <w:ind w:firstLine="709"/>
        <w:jc w:val="both"/>
        <w:rPr>
          <w:rFonts w:ascii="Times New Roman" w:hAnsi="Times New Roman"/>
          <w:sz w:val="28"/>
          <w:szCs w:val="28"/>
        </w:rPr>
      </w:pPr>
      <w:r w:rsidRPr="005B11F7">
        <w:rPr>
          <w:rFonts w:ascii="Times New Roman" w:hAnsi="Times New Roman"/>
          <w:sz w:val="28"/>
          <w:szCs w:val="28"/>
        </w:rPr>
        <w:t xml:space="preserve">Технологические мероприятия </w:t>
      </w:r>
      <w:r>
        <w:rPr>
          <w:rFonts w:ascii="Times New Roman" w:hAnsi="Times New Roman"/>
          <w:sz w:val="28"/>
          <w:szCs w:val="28"/>
        </w:rPr>
        <w:t xml:space="preserve">также </w:t>
      </w:r>
      <w:r w:rsidRPr="005B11F7">
        <w:rPr>
          <w:rFonts w:ascii="Times New Roman" w:hAnsi="Times New Roman"/>
          <w:sz w:val="28"/>
          <w:szCs w:val="28"/>
        </w:rPr>
        <w:t>включают применение бессточной производственной технологии, максимальная утилизация различных компонентов сырья и</w:t>
      </w:r>
      <w:r>
        <w:rPr>
          <w:rFonts w:ascii="Times New Roman" w:hAnsi="Times New Roman"/>
          <w:sz w:val="28"/>
          <w:szCs w:val="28"/>
        </w:rPr>
        <w:t> </w:t>
      </w:r>
      <w:r w:rsidRPr="005B11F7">
        <w:rPr>
          <w:rFonts w:ascii="Times New Roman" w:hAnsi="Times New Roman"/>
          <w:sz w:val="28"/>
          <w:szCs w:val="28"/>
        </w:rPr>
        <w:t>побочных продуктов производства, сокращение водопотребления и</w:t>
      </w:r>
      <w:r>
        <w:rPr>
          <w:rFonts w:ascii="Times New Roman" w:hAnsi="Times New Roman"/>
          <w:sz w:val="28"/>
          <w:szCs w:val="28"/>
        </w:rPr>
        <w:t> </w:t>
      </w:r>
      <w:r w:rsidRPr="005B11F7">
        <w:rPr>
          <w:rFonts w:ascii="Times New Roman" w:hAnsi="Times New Roman"/>
          <w:sz w:val="28"/>
          <w:szCs w:val="28"/>
        </w:rPr>
        <w:t>водоотведения путём внедрения систем оборотного водоснабжения.</w:t>
      </w:r>
    </w:p>
    <w:p w:rsidR="002D1E45" w:rsidRPr="005B11F7" w:rsidRDefault="002D1E45" w:rsidP="005B11F7">
      <w:pPr>
        <w:spacing w:after="0" w:line="240" w:lineRule="auto"/>
        <w:ind w:firstLine="709"/>
        <w:jc w:val="both"/>
        <w:rPr>
          <w:rFonts w:ascii="Times New Roman" w:hAnsi="Times New Roman"/>
          <w:sz w:val="28"/>
          <w:szCs w:val="28"/>
        </w:rPr>
      </w:pPr>
      <w:r w:rsidRPr="005B11F7">
        <w:rPr>
          <w:rFonts w:ascii="Times New Roman" w:hAnsi="Times New Roman"/>
          <w:sz w:val="28"/>
          <w:szCs w:val="28"/>
        </w:rPr>
        <w:t>Сточные воды производств перед сбросом в</w:t>
      </w:r>
      <w:r>
        <w:rPr>
          <w:rFonts w:ascii="Times New Roman" w:hAnsi="Times New Roman"/>
          <w:sz w:val="28"/>
          <w:szCs w:val="28"/>
        </w:rPr>
        <w:t> </w:t>
      </w:r>
      <w:r w:rsidRPr="005B11F7">
        <w:rPr>
          <w:rFonts w:ascii="Times New Roman" w:hAnsi="Times New Roman"/>
          <w:sz w:val="28"/>
          <w:szCs w:val="28"/>
        </w:rPr>
        <w:t>канализацию должны очищаться на</w:t>
      </w:r>
      <w:r>
        <w:rPr>
          <w:rFonts w:ascii="Times New Roman" w:hAnsi="Times New Roman"/>
          <w:sz w:val="28"/>
          <w:szCs w:val="28"/>
        </w:rPr>
        <w:t> </w:t>
      </w:r>
      <w:r w:rsidRPr="005B11F7">
        <w:rPr>
          <w:rFonts w:ascii="Times New Roman" w:hAnsi="Times New Roman"/>
          <w:sz w:val="28"/>
          <w:szCs w:val="28"/>
        </w:rPr>
        <w:t>локальных очистных сооружениях (бензо-масло-уловителях и</w:t>
      </w:r>
      <w:r>
        <w:rPr>
          <w:rFonts w:ascii="Times New Roman" w:hAnsi="Times New Roman"/>
          <w:sz w:val="28"/>
          <w:szCs w:val="28"/>
        </w:rPr>
        <w:t> </w:t>
      </w:r>
      <w:r w:rsidRPr="005B11F7">
        <w:rPr>
          <w:rFonts w:ascii="Times New Roman" w:hAnsi="Times New Roman"/>
          <w:sz w:val="28"/>
          <w:szCs w:val="28"/>
        </w:rPr>
        <w:t>отстойниках). Ливневые стоки с</w:t>
      </w:r>
      <w:r>
        <w:rPr>
          <w:rFonts w:ascii="Times New Roman" w:hAnsi="Times New Roman"/>
          <w:sz w:val="28"/>
          <w:szCs w:val="28"/>
        </w:rPr>
        <w:t> </w:t>
      </w:r>
      <w:r w:rsidRPr="005B11F7">
        <w:rPr>
          <w:rFonts w:ascii="Times New Roman" w:hAnsi="Times New Roman"/>
          <w:sz w:val="28"/>
          <w:szCs w:val="28"/>
        </w:rPr>
        <w:t>площадок производственных предприятий перед сбросом в</w:t>
      </w:r>
      <w:r>
        <w:rPr>
          <w:rFonts w:ascii="Times New Roman" w:hAnsi="Times New Roman"/>
          <w:sz w:val="28"/>
          <w:szCs w:val="28"/>
        </w:rPr>
        <w:t> </w:t>
      </w:r>
      <w:r w:rsidRPr="005B11F7">
        <w:rPr>
          <w:rFonts w:ascii="Times New Roman" w:hAnsi="Times New Roman"/>
          <w:sz w:val="28"/>
          <w:szCs w:val="28"/>
        </w:rPr>
        <w:t>ливневую канализацию должны очищаться на</w:t>
      </w:r>
      <w:r>
        <w:rPr>
          <w:rFonts w:ascii="Times New Roman" w:hAnsi="Times New Roman"/>
          <w:sz w:val="28"/>
          <w:szCs w:val="28"/>
        </w:rPr>
        <w:t> </w:t>
      </w:r>
      <w:r w:rsidRPr="005B11F7">
        <w:rPr>
          <w:rFonts w:ascii="Times New Roman" w:hAnsi="Times New Roman"/>
          <w:sz w:val="28"/>
          <w:szCs w:val="28"/>
        </w:rPr>
        <w:t>очистных сооружениях (отстойники, фильтры).</w:t>
      </w:r>
    </w:p>
    <w:p w:rsidR="002D1E45" w:rsidRDefault="002D1E45" w:rsidP="00FE1BF0">
      <w:pPr>
        <w:spacing w:after="0" w:line="240" w:lineRule="auto"/>
        <w:rPr>
          <w:rFonts w:ascii="Arial" w:hAnsi="Arial" w:cs="Arial"/>
          <w:sz w:val="16"/>
          <w:szCs w:val="16"/>
          <w:lang w:eastAsia="ru-RU"/>
        </w:rPr>
      </w:pPr>
    </w:p>
    <w:p w:rsidR="002D1E45" w:rsidRPr="00ED2734" w:rsidRDefault="002D1E45" w:rsidP="00852938">
      <w:pPr>
        <w:pStyle w:val="Heading2"/>
        <w:numPr>
          <w:ilvl w:val="1"/>
          <w:numId w:val="65"/>
        </w:numPr>
        <w:spacing w:before="240"/>
        <w:ind w:left="993" w:hanging="633"/>
        <w:jc w:val="both"/>
        <w:rPr>
          <w:b/>
        </w:rPr>
      </w:pPr>
      <w:bookmarkStart w:id="222" w:name="_Toc84936050"/>
      <w:r w:rsidRPr="00ED2734">
        <w:rPr>
          <w:b/>
        </w:rPr>
        <w:t>Зоны залегания полезных ископаемых</w:t>
      </w:r>
      <w:bookmarkEnd w:id="222"/>
    </w:p>
    <w:p w:rsidR="002D1E45" w:rsidRDefault="002D1E45" w:rsidP="00FE1BF0">
      <w:pPr>
        <w:spacing w:after="0" w:line="240" w:lineRule="auto"/>
        <w:rPr>
          <w:rFonts w:ascii="Arial" w:hAnsi="Arial" w:cs="Arial"/>
          <w:sz w:val="16"/>
          <w:szCs w:val="16"/>
          <w:lang w:eastAsia="ru-RU"/>
        </w:rPr>
      </w:pPr>
    </w:p>
    <w:p w:rsidR="002D1E45" w:rsidRDefault="002D1E45" w:rsidP="00FE1BF0">
      <w:pPr>
        <w:spacing w:after="0" w:line="240" w:lineRule="auto"/>
        <w:rPr>
          <w:rFonts w:ascii="Arial" w:hAnsi="Arial" w:cs="Arial"/>
          <w:sz w:val="16"/>
          <w:szCs w:val="16"/>
          <w:lang w:eastAsia="ru-RU"/>
        </w:rPr>
      </w:pPr>
    </w:p>
    <w:p w:rsidR="002D1E45" w:rsidRPr="00ED2734" w:rsidRDefault="002D1E45" w:rsidP="00FE1BF0">
      <w:pPr>
        <w:spacing w:after="0" w:line="240" w:lineRule="auto"/>
        <w:ind w:firstLine="709"/>
        <w:jc w:val="both"/>
        <w:rPr>
          <w:rFonts w:ascii="Times New Roman" w:hAnsi="Times New Roman"/>
          <w:bCs/>
          <w:iCs/>
          <w:sz w:val="28"/>
          <w:szCs w:val="28"/>
        </w:rPr>
      </w:pPr>
      <w:r w:rsidRPr="00ED2734">
        <w:rPr>
          <w:rFonts w:ascii="Times New Roman" w:hAnsi="Times New Roman"/>
          <w:bCs/>
          <w:iCs/>
          <w:sz w:val="28"/>
          <w:szCs w:val="28"/>
        </w:rPr>
        <w:t>Месторождения полезных ископаемых подлежат охране согласно З</w:t>
      </w:r>
      <w:r>
        <w:rPr>
          <w:rFonts w:ascii="Times New Roman" w:hAnsi="Times New Roman"/>
          <w:bCs/>
          <w:iCs/>
          <w:sz w:val="28"/>
          <w:szCs w:val="28"/>
        </w:rPr>
        <w:t>акону Российской Федерации от 03.03.</w:t>
      </w:r>
      <w:r w:rsidRPr="00ED2734">
        <w:rPr>
          <w:rFonts w:ascii="Times New Roman" w:hAnsi="Times New Roman"/>
          <w:bCs/>
          <w:iCs/>
          <w:sz w:val="28"/>
          <w:szCs w:val="28"/>
        </w:rPr>
        <w:t>1995 №</w:t>
      </w:r>
      <w:r>
        <w:rPr>
          <w:rFonts w:ascii="Times New Roman" w:hAnsi="Times New Roman"/>
          <w:bCs/>
          <w:iCs/>
          <w:sz w:val="28"/>
          <w:szCs w:val="28"/>
        </w:rPr>
        <w:t xml:space="preserve"> </w:t>
      </w:r>
      <w:r w:rsidRPr="00ED2734">
        <w:rPr>
          <w:rFonts w:ascii="Times New Roman" w:hAnsi="Times New Roman"/>
          <w:bCs/>
          <w:iCs/>
          <w:sz w:val="28"/>
          <w:szCs w:val="28"/>
        </w:rPr>
        <w:t>27-ФЗ «О недрах», «Правилам охраны недр», утверждённым постанов</w:t>
      </w:r>
      <w:r>
        <w:rPr>
          <w:rFonts w:ascii="Times New Roman" w:hAnsi="Times New Roman"/>
          <w:bCs/>
          <w:iCs/>
          <w:sz w:val="28"/>
          <w:szCs w:val="28"/>
        </w:rPr>
        <w:t>лением Госгортехнадзора РФ от 06.06.</w:t>
      </w:r>
      <w:r w:rsidRPr="00ED2734">
        <w:rPr>
          <w:rFonts w:ascii="Times New Roman" w:hAnsi="Times New Roman"/>
          <w:bCs/>
          <w:iCs/>
          <w:sz w:val="28"/>
          <w:szCs w:val="28"/>
        </w:rPr>
        <w:t>2003 № 71.</w:t>
      </w:r>
    </w:p>
    <w:p w:rsidR="002D1E45" w:rsidRPr="00ED2734" w:rsidRDefault="002D1E45" w:rsidP="00FE1BF0">
      <w:pPr>
        <w:spacing w:after="0" w:line="240" w:lineRule="auto"/>
        <w:ind w:firstLine="709"/>
        <w:jc w:val="both"/>
        <w:rPr>
          <w:rFonts w:ascii="Times New Roman" w:hAnsi="Times New Roman"/>
          <w:bCs/>
          <w:iCs/>
          <w:sz w:val="28"/>
          <w:szCs w:val="28"/>
        </w:rPr>
      </w:pPr>
      <w:r w:rsidRPr="00ED2734">
        <w:rPr>
          <w:rFonts w:ascii="Times New Roman" w:hAnsi="Times New Roman"/>
          <w:bCs/>
          <w:iCs/>
          <w:sz w:val="28"/>
          <w:szCs w:val="28"/>
        </w:rPr>
        <w:t>Отношения, связанные с</w:t>
      </w:r>
      <w:r>
        <w:rPr>
          <w:rFonts w:ascii="Times New Roman" w:hAnsi="Times New Roman"/>
          <w:bCs/>
          <w:iCs/>
          <w:sz w:val="28"/>
          <w:szCs w:val="28"/>
        </w:rPr>
        <w:t> </w:t>
      </w:r>
      <w:r w:rsidRPr="00ED2734">
        <w:rPr>
          <w:rFonts w:ascii="Times New Roman" w:hAnsi="Times New Roman"/>
          <w:bCs/>
          <w:iCs/>
          <w:sz w:val="28"/>
          <w:szCs w:val="28"/>
        </w:rPr>
        <w:t>использованием и</w:t>
      </w:r>
      <w:r>
        <w:rPr>
          <w:rFonts w:ascii="Times New Roman" w:hAnsi="Times New Roman"/>
          <w:bCs/>
          <w:iCs/>
          <w:sz w:val="28"/>
          <w:szCs w:val="28"/>
        </w:rPr>
        <w:t> </w:t>
      </w:r>
      <w:r w:rsidRPr="00ED2734">
        <w:rPr>
          <w:rFonts w:ascii="Times New Roman" w:hAnsi="Times New Roman"/>
          <w:bCs/>
          <w:iCs/>
          <w:sz w:val="28"/>
          <w:szCs w:val="28"/>
        </w:rPr>
        <w:t>охраной земель, вод, растительного и</w:t>
      </w:r>
      <w:r>
        <w:rPr>
          <w:rFonts w:ascii="Times New Roman" w:hAnsi="Times New Roman"/>
          <w:bCs/>
          <w:iCs/>
          <w:sz w:val="28"/>
          <w:szCs w:val="28"/>
        </w:rPr>
        <w:t> </w:t>
      </w:r>
      <w:r w:rsidRPr="00ED2734">
        <w:rPr>
          <w:rFonts w:ascii="Times New Roman" w:hAnsi="Times New Roman"/>
          <w:bCs/>
          <w:iCs/>
          <w:sz w:val="28"/>
          <w:szCs w:val="28"/>
        </w:rPr>
        <w:t>животного мира, атмосферного воздуха, возникающие при пользовании недрами, регулируются соответствующим законодательством Российской Федерации и</w:t>
      </w:r>
      <w:r>
        <w:rPr>
          <w:rFonts w:ascii="Times New Roman" w:hAnsi="Times New Roman"/>
          <w:bCs/>
          <w:iCs/>
          <w:sz w:val="28"/>
          <w:szCs w:val="28"/>
        </w:rPr>
        <w:t> </w:t>
      </w:r>
      <w:r w:rsidRPr="00ED2734">
        <w:rPr>
          <w:rFonts w:ascii="Times New Roman" w:hAnsi="Times New Roman"/>
          <w:bCs/>
          <w:iCs/>
          <w:sz w:val="28"/>
          <w:szCs w:val="28"/>
        </w:rPr>
        <w:t>законодательством субъектов Российской Федерации.</w:t>
      </w:r>
    </w:p>
    <w:p w:rsidR="002D1E45" w:rsidRPr="00ED2734" w:rsidRDefault="002D1E45" w:rsidP="00FE1BF0">
      <w:pPr>
        <w:spacing w:after="0" w:line="240" w:lineRule="auto"/>
        <w:ind w:firstLine="709"/>
        <w:jc w:val="both"/>
        <w:rPr>
          <w:rFonts w:ascii="Times New Roman" w:hAnsi="Times New Roman"/>
          <w:bCs/>
          <w:iCs/>
          <w:sz w:val="28"/>
          <w:szCs w:val="28"/>
        </w:rPr>
      </w:pPr>
      <w:r w:rsidRPr="00ED2734">
        <w:rPr>
          <w:rFonts w:ascii="Times New Roman" w:hAnsi="Times New Roman"/>
          <w:bCs/>
          <w:iCs/>
          <w:sz w:val="28"/>
          <w:szCs w:val="28"/>
        </w:rPr>
        <w:t>Застройка площадей залегания полезных ископаемых, а</w:t>
      </w:r>
      <w:r>
        <w:rPr>
          <w:rFonts w:ascii="Times New Roman" w:hAnsi="Times New Roman"/>
          <w:bCs/>
          <w:iCs/>
          <w:sz w:val="28"/>
          <w:szCs w:val="28"/>
        </w:rPr>
        <w:t> </w:t>
      </w:r>
      <w:r w:rsidRPr="00ED2734">
        <w:rPr>
          <w:rFonts w:ascii="Times New Roman" w:hAnsi="Times New Roman"/>
          <w:bCs/>
          <w:iCs/>
          <w:sz w:val="28"/>
          <w:szCs w:val="28"/>
        </w:rPr>
        <w:t>также размещение в</w:t>
      </w:r>
      <w:r>
        <w:rPr>
          <w:rFonts w:ascii="Times New Roman" w:hAnsi="Times New Roman"/>
          <w:bCs/>
          <w:iCs/>
          <w:sz w:val="28"/>
          <w:szCs w:val="28"/>
        </w:rPr>
        <w:t> </w:t>
      </w:r>
      <w:r w:rsidRPr="00ED2734">
        <w:rPr>
          <w:rFonts w:ascii="Times New Roman" w:hAnsi="Times New Roman"/>
          <w:bCs/>
          <w:iCs/>
          <w:sz w:val="28"/>
          <w:szCs w:val="28"/>
        </w:rPr>
        <w:t>местах их</w:t>
      </w:r>
      <w:r>
        <w:rPr>
          <w:rFonts w:ascii="Times New Roman" w:hAnsi="Times New Roman"/>
          <w:bCs/>
          <w:iCs/>
          <w:sz w:val="28"/>
          <w:szCs w:val="28"/>
        </w:rPr>
        <w:t> </w:t>
      </w:r>
      <w:r w:rsidRPr="00ED2734">
        <w:rPr>
          <w:rFonts w:ascii="Times New Roman" w:hAnsi="Times New Roman"/>
          <w:bCs/>
          <w:iCs/>
          <w:sz w:val="28"/>
          <w:szCs w:val="28"/>
        </w:rPr>
        <w:t>залегания подземных сооружений допускаются с</w:t>
      </w:r>
      <w:r>
        <w:rPr>
          <w:rFonts w:ascii="Times New Roman" w:hAnsi="Times New Roman"/>
          <w:bCs/>
          <w:iCs/>
          <w:sz w:val="28"/>
          <w:szCs w:val="28"/>
        </w:rPr>
        <w:t> </w:t>
      </w:r>
      <w:r w:rsidRPr="00ED2734">
        <w:rPr>
          <w:rFonts w:ascii="Times New Roman" w:hAnsi="Times New Roman"/>
          <w:bCs/>
          <w:iCs/>
          <w:sz w:val="28"/>
          <w:szCs w:val="28"/>
        </w:rPr>
        <w:t>разрешения федерального органа управления государственным фондом недр или его территориальных органов и</w:t>
      </w:r>
      <w:r>
        <w:rPr>
          <w:rFonts w:ascii="Times New Roman" w:hAnsi="Times New Roman"/>
          <w:bCs/>
          <w:iCs/>
          <w:sz w:val="28"/>
          <w:szCs w:val="28"/>
        </w:rPr>
        <w:t> </w:t>
      </w:r>
      <w:r w:rsidRPr="00ED2734">
        <w:rPr>
          <w:rFonts w:ascii="Times New Roman" w:hAnsi="Times New Roman"/>
          <w:bCs/>
          <w:iCs/>
          <w:sz w:val="28"/>
          <w:szCs w:val="28"/>
        </w:rPr>
        <w:t>органов государственного горного надзора только при условии обеспечения возможности извлечения полезных ископаемых или доказанности экономической целесообразности застройки.</w:t>
      </w:r>
    </w:p>
    <w:p w:rsidR="002D1E45" w:rsidRPr="00ED2734" w:rsidRDefault="002D1E45" w:rsidP="00FE1BF0">
      <w:pPr>
        <w:spacing w:after="0" w:line="240" w:lineRule="auto"/>
        <w:ind w:firstLine="709"/>
        <w:jc w:val="both"/>
        <w:rPr>
          <w:rFonts w:ascii="Times New Roman" w:hAnsi="Times New Roman"/>
          <w:bCs/>
          <w:iCs/>
          <w:sz w:val="28"/>
          <w:szCs w:val="28"/>
        </w:rPr>
      </w:pPr>
      <w:r w:rsidRPr="00ED2734">
        <w:rPr>
          <w:rFonts w:ascii="Times New Roman" w:hAnsi="Times New Roman"/>
          <w:bCs/>
          <w:iCs/>
          <w:sz w:val="28"/>
          <w:szCs w:val="28"/>
        </w:rPr>
        <w:t>При недропользовании на</w:t>
      </w:r>
      <w:r>
        <w:rPr>
          <w:rFonts w:ascii="Times New Roman" w:hAnsi="Times New Roman"/>
          <w:bCs/>
          <w:iCs/>
          <w:sz w:val="28"/>
          <w:szCs w:val="28"/>
        </w:rPr>
        <w:t> </w:t>
      </w:r>
      <w:r w:rsidRPr="00ED2734">
        <w:rPr>
          <w:rFonts w:ascii="Times New Roman" w:hAnsi="Times New Roman"/>
          <w:bCs/>
          <w:iCs/>
          <w:sz w:val="28"/>
          <w:szCs w:val="28"/>
        </w:rPr>
        <w:t xml:space="preserve">территории </w:t>
      </w:r>
      <w:r>
        <w:rPr>
          <w:rFonts w:ascii="Times New Roman" w:hAnsi="Times New Roman"/>
          <w:bCs/>
          <w:iCs/>
          <w:sz w:val="28"/>
          <w:szCs w:val="28"/>
        </w:rPr>
        <w:t>Куйбышевского района</w:t>
      </w:r>
      <w:r w:rsidRPr="00ED2734">
        <w:rPr>
          <w:rFonts w:ascii="Times New Roman" w:hAnsi="Times New Roman"/>
          <w:bCs/>
          <w:iCs/>
          <w:sz w:val="28"/>
          <w:szCs w:val="28"/>
        </w:rPr>
        <w:t xml:space="preserve"> согласно </w:t>
      </w:r>
      <w:r w:rsidRPr="00601E47">
        <w:rPr>
          <w:rFonts w:ascii="Times New Roman" w:hAnsi="Times New Roman"/>
          <w:bCs/>
          <w:iCs/>
          <w:sz w:val="28"/>
          <w:szCs w:val="28"/>
        </w:rPr>
        <w:t>Закон</w:t>
      </w:r>
      <w:r>
        <w:rPr>
          <w:rFonts w:ascii="Times New Roman" w:hAnsi="Times New Roman"/>
          <w:bCs/>
          <w:iCs/>
          <w:sz w:val="28"/>
          <w:szCs w:val="28"/>
        </w:rPr>
        <w:t>у</w:t>
      </w:r>
      <w:r w:rsidRPr="00601E47">
        <w:rPr>
          <w:rFonts w:ascii="Times New Roman" w:hAnsi="Times New Roman"/>
          <w:bCs/>
          <w:iCs/>
          <w:sz w:val="28"/>
          <w:szCs w:val="28"/>
        </w:rPr>
        <w:t xml:space="preserve"> Российской Федерации от 21.02.1992 № 2395-1 «О недрах»</w:t>
      </w:r>
      <w:r w:rsidRPr="00ED2734">
        <w:rPr>
          <w:rFonts w:ascii="Times New Roman" w:hAnsi="Times New Roman"/>
          <w:bCs/>
          <w:iCs/>
          <w:sz w:val="28"/>
          <w:szCs w:val="28"/>
        </w:rPr>
        <w:t>, необходимо</w:t>
      </w:r>
      <w:r>
        <w:rPr>
          <w:rFonts w:ascii="Times New Roman" w:hAnsi="Times New Roman"/>
          <w:bCs/>
          <w:iCs/>
          <w:sz w:val="28"/>
          <w:szCs w:val="28"/>
        </w:rPr>
        <w:t xml:space="preserve"> обеспечить</w:t>
      </w:r>
      <w:r w:rsidRPr="00ED2734">
        <w:rPr>
          <w:rFonts w:ascii="Times New Roman" w:hAnsi="Times New Roman"/>
          <w:bCs/>
          <w:iCs/>
          <w:sz w:val="28"/>
          <w:szCs w:val="28"/>
        </w:rPr>
        <w:t>:</w:t>
      </w:r>
    </w:p>
    <w:p w:rsidR="002D1E45" w:rsidRPr="00DF54DF" w:rsidRDefault="002D1E45" w:rsidP="00852938">
      <w:pPr>
        <w:numPr>
          <w:ilvl w:val="0"/>
          <w:numId w:val="24"/>
        </w:numPr>
        <w:tabs>
          <w:tab w:val="clear" w:pos="1429"/>
          <w:tab w:val="num" w:pos="797"/>
          <w:tab w:val="num" w:pos="1068"/>
          <w:tab w:val="left" w:pos="1134"/>
        </w:tabs>
        <w:spacing w:after="0" w:line="240" w:lineRule="auto"/>
        <w:jc w:val="both"/>
        <w:rPr>
          <w:rFonts w:ascii="Times New Roman" w:hAnsi="Times New Roman"/>
          <w:sz w:val="28"/>
          <w:szCs w:val="28"/>
        </w:rPr>
      </w:pPr>
      <w:r w:rsidRPr="00DF54DF">
        <w:rPr>
          <w:rFonts w:ascii="Times New Roman" w:hAnsi="Times New Roman"/>
          <w:sz w:val="28"/>
          <w:szCs w:val="28"/>
        </w:rPr>
        <w:t>соблюдение законодательства, норм и</w:t>
      </w:r>
      <w:r>
        <w:rPr>
          <w:rFonts w:ascii="Times New Roman" w:hAnsi="Times New Roman"/>
          <w:sz w:val="28"/>
          <w:szCs w:val="28"/>
        </w:rPr>
        <w:t> </w:t>
      </w:r>
      <w:r w:rsidRPr="00DF54DF">
        <w:rPr>
          <w:rFonts w:ascii="Times New Roman" w:hAnsi="Times New Roman"/>
          <w:sz w:val="28"/>
          <w:szCs w:val="28"/>
        </w:rPr>
        <w:t>правил в</w:t>
      </w:r>
      <w:r>
        <w:rPr>
          <w:rFonts w:ascii="Times New Roman" w:hAnsi="Times New Roman"/>
          <w:sz w:val="28"/>
          <w:szCs w:val="28"/>
        </w:rPr>
        <w:t> </w:t>
      </w:r>
      <w:r w:rsidRPr="00DF54DF">
        <w:rPr>
          <w:rFonts w:ascii="Times New Roman" w:hAnsi="Times New Roman"/>
          <w:sz w:val="28"/>
          <w:szCs w:val="28"/>
        </w:rPr>
        <w:t>области использования и</w:t>
      </w:r>
      <w:r>
        <w:rPr>
          <w:rFonts w:ascii="Times New Roman" w:hAnsi="Times New Roman"/>
          <w:sz w:val="28"/>
          <w:szCs w:val="28"/>
        </w:rPr>
        <w:t> </w:t>
      </w:r>
      <w:r w:rsidRPr="00DF54DF">
        <w:rPr>
          <w:rFonts w:ascii="Times New Roman" w:hAnsi="Times New Roman"/>
          <w:sz w:val="28"/>
          <w:szCs w:val="28"/>
        </w:rPr>
        <w:t>охраны недр;</w:t>
      </w:r>
    </w:p>
    <w:p w:rsidR="002D1E45" w:rsidRPr="00DF54DF" w:rsidRDefault="002D1E45" w:rsidP="00852938">
      <w:pPr>
        <w:numPr>
          <w:ilvl w:val="0"/>
          <w:numId w:val="24"/>
        </w:numPr>
        <w:tabs>
          <w:tab w:val="clear" w:pos="1429"/>
          <w:tab w:val="num" w:pos="797"/>
          <w:tab w:val="num" w:pos="1068"/>
          <w:tab w:val="left" w:pos="1134"/>
        </w:tabs>
        <w:spacing w:after="0" w:line="240" w:lineRule="auto"/>
        <w:jc w:val="both"/>
        <w:rPr>
          <w:rFonts w:ascii="Times New Roman" w:hAnsi="Times New Roman"/>
          <w:sz w:val="28"/>
          <w:szCs w:val="28"/>
        </w:rPr>
      </w:pPr>
      <w:r w:rsidRPr="00DF54DF">
        <w:rPr>
          <w:rFonts w:ascii="Times New Roman" w:hAnsi="Times New Roman"/>
          <w:sz w:val="28"/>
          <w:szCs w:val="28"/>
        </w:rPr>
        <w:t>соблюдение требований технических проектов, планов или схем развития горных работ, недопущение сверхнормативных потерь, разубоживания и</w:t>
      </w:r>
      <w:r>
        <w:rPr>
          <w:rFonts w:ascii="Times New Roman" w:hAnsi="Times New Roman"/>
          <w:sz w:val="28"/>
          <w:szCs w:val="28"/>
        </w:rPr>
        <w:t> </w:t>
      </w:r>
      <w:r w:rsidRPr="00DF54DF">
        <w:rPr>
          <w:rFonts w:ascii="Times New Roman" w:hAnsi="Times New Roman"/>
          <w:sz w:val="28"/>
          <w:szCs w:val="28"/>
        </w:rPr>
        <w:t>выборочной отработки полезных ископаемых;</w:t>
      </w:r>
    </w:p>
    <w:p w:rsidR="002D1E45" w:rsidRPr="00DF54DF" w:rsidRDefault="002D1E45" w:rsidP="00852938">
      <w:pPr>
        <w:numPr>
          <w:ilvl w:val="0"/>
          <w:numId w:val="24"/>
        </w:numPr>
        <w:tabs>
          <w:tab w:val="clear" w:pos="1429"/>
          <w:tab w:val="num" w:pos="797"/>
          <w:tab w:val="num" w:pos="1068"/>
          <w:tab w:val="left" w:pos="1134"/>
        </w:tabs>
        <w:spacing w:after="0" w:line="240" w:lineRule="auto"/>
        <w:jc w:val="both"/>
        <w:rPr>
          <w:rFonts w:ascii="Times New Roman" w:hAnsi="Times New Roman"/>
          <w:sz w:val="28"/>
          <w:szCs w:val="28"/>
        </w:rPr>
      </w:pPr>
      <w:r w:rsidRPr="00DF54DF">
        <w:rPr>
          <w:rFonts w:ascii="Times New Roman" w:hAnsi="Times New Roman"/>
          <w:sz w:val="28"/>
          <w:szCs w:val="28"/>
        </w:rPr>
        <w:t>ведение геологической, маркшейдерской и</w:t>
      </w:r>
      <w:r>
        <w:rPr>
          <w:rFonts w:ascii="Times New Roman" w:hAnsi="Times New Roman"/>
          <w:sz w:val="28"/>
          <w:szCs w:val="28"/>
        </w:rPr>
        <w:t> </w:t>
      </w:r>
      <w:r w:rsidRPr="00DF54DF">
        <w:rPr>
          <w:rFonts w:ascii="Times New Roman" w:hAnsi="Times New Roman"/>
          <w:sz w:val="28"/>
          <w:szCs w:val="28"/>
        </w:rPr>
        <w:t>иной документации в</w:t>
      </w:r>
      <w:r>
        <w:rPr>
          <w:rFonts w:ascii="Times New Roman" w:hAnsi="Times New Roman"/>
          <w:sz w:val="28"/>
          <w:szCs w:val="28"/>
        </w:rPr>
        <w:t> </w:t>
      </w:r>
      <w:r w:rsidRPr="00DF54DF">
        <w:rPr>
          <w:rFonts w:ascii="Times New Roman" w:hAnsi="Times New Roman"/>
          <w:sz w:val="28"/>
          <w:szCs w:val="28"/>
        </w:rPr>
        <w:t>процессе всех видов пользования недрами;</w:t>
      </w:r>
    </w:p>
    <w:p w:rsidR="002D1E45" w:rsidRPr="00DF54DF" w:rsidRDefault="002D1E45" w:rsidP="00852938">
      <w:pPr>
        <w:numPr>
          <w:ilvl w:val="0"/>
          <w:numId w:val="24"/>
        </w:numPr>
        <w:tabs>
          <w:tab w:val="clear" w:pos="1429"/>
          <w:tab w:val="num" w:pos="797"/>
          <w:tab w:val="num" w:pos="1068"/>
          <w:tab w:val="left" w:pos="1134"/>
        </w:tabs>
        <w:spacing w:after="0" w:line="240" w:lineRule="auto"/>
        <w:jc w:val="both"/>
        <w:rPr>
          <w:rFonts w:ascii="Times New Roman" w:hAnsi="Times New Roman"/>
          <w:sz w:val="28"/>
          <w:szCs w:val="28"/>
        </w:rPr>
      </w:pPr>
      <w:r w:rsidRPr="00DF54DF">
        <w:rPr>
          <w:rFonts w:ascii="Times New Roman" w:hAnsi="Times New Roman"/>
          <w:sz w:val="28"/>
          <w:szCs w:val="28"/>
        </w:rPr>
        <w:t>представление геологической информации о</w:t>
      </w:r>
      <w:r>
        <w:rPr>
          <w:rFonts w:ascii="Times New Roman" w:hAnsi="Times New Roman"/>
          <w:sz w:val="28"/>
          <w:szCs w:val="28"/>
        </w:rPr>
        <w:t> </w:t>
      </w:r>
      <w:r w:rsidRPr="00DF54DF">
        <w:rPr>
          <w:rFonts w:ascii="Times New Roman" w:hAnsi="Times New Roman"/>
          <w:sz w:val="28"/>
          <w:szCs w:val="28"/>
        </w:rPr>
        <w:t>недрах в</w:t>
      </w:r>
      <w:r>
        <w:rPr>
          <w:rFonts w:ascii="Times New Roman" w:hAnsi="Times New Roman"/>
          <w:sz w:val="28"/>
          <w:szCs w:val="28"/>
        </w:rPr>
        <w:t> </w:t>
      </w:r>
      <w:r w:rsidRPr="00DF54DF">
        <w:rPr>
          <w:rFonts w:ascii="Times New Roman" w:hAnsi="Times New Roman"/>
          <w:sz w:val="28"/>
          <w:szCs w:val="28"/>
        </w:rPr>
        <w:t>соответствии со</w:t>
      </w:r>
      <w:r>
        <w:rPr>
          <w:rFonts w:ascii="Times New Roman" w:hAnsi="Times New Roman"/>
          <w:sz w:val="28"/>
          <w:szCs w:val="28"/>
        </w:rPr>
        <w:t> </w:t>
      </w:r>
      <w:r w:rsidRPr="00DF54DF">
        <w:rPr>
          <w:rFonts w:ascii="Times New Roman" w:hAnsi="Times New Roman"/>
          <w:sz w:val="28"/>
          <w:szCs w:val="28"/>
        </w:rPr>
        <w:t>статьёй 27 настоящего Закона в</w:t>
      </w:r>
      <w:r>
        <w:rPr>
          <w:rFonts w:ascii="Times New Roman" w:hAnsi="Times New Roman"/>
          <w:sz w:val="28"/>
          <w:szCs w:val="28"/>
        </w:rPr>
        <w:t> </w:t>
      </w:r>
      <w:r w:rsidRPr="00DF54DF">
        <w:rPr>
          <w:rFonts w:ascii="Times New Roman" w:hAnsi="Times New Roman"/>
          <w:sz w:val="28"/>
          <w:szCs w:val="28"/>
        </w:rPr>
        <w:t>федеральный фонд геологической информации и</w:t>
      </w:r>
      <w:r>
        <w:rPr>
          <w:rFonts w:ascii="Times New Roman" w:hAnsi="Times New Roman"/>
          <w:sz w:val="28"/>
          <w:szCs w:val="28"/>
        </w:rPr>
        <w:t> </w:t>
      </w:r>
      <w:r w:rsidRPr="00DF54DF">
        <w:rPr>
          <w:rFonts w:ascii="Times New Roman" w:hAnsi="Times New Roman"/>
          <w:sz w:val="28"/>
          <w:szCs w:val="28"/>
        </w:rPr>
        <w:t>его территориальные фонды, а</w:t>
      </w:r>
      <w:r>
        <w:rPr>
          <w:rFonts w:ascii="Times New Roman" w:hAnsi="Times New Roman"/>
          <w:sz w:val="28"/>
          <w:szCs w:val="28"/>
        </w:rPr>
        <w:t> </w:t>
      </w:r>
      <w:r w:rsidRPr="00DF54DF">
        <w:rPr>
          <w:rFonts w:ascii="Times New Roman" w:hAnsi="Times New Roman"/>
          <w:sz w:val="28"/>
          <w:szCs w:val="28"/>
        </w:rPr>
        <w:t>также в</w:t>
      </w:r>
      <w:r>
        <w:rPr>
          <w:rFonts w:ascii="Times New Roman" w:hAnsi="Times New Roman"/>
          <w:sz w:val="28"/>
          <w:szCs w:val="28"/>
        </w:rPr>
        <w:t> </w:t>
      </w:r>
      <w:r w:rsidRPr="00DF54DF">
        <w:rPr>
          <w:rFonts w:ascii="Times New Roman" w:hAnsi="Times New Roman"/>
          <w:sz w:val="28"/>
          <w:szCs w:val="28"/>
        </w:rPr>
        <w:t>фонды геологической информации субъектов Российской Федерации, если пользование недрами осуществляется на</w:t>
      </w:r>
      <w:r>
        <w:rPr>
          <w:rFonts w:ascii="Times New Roman" w:hAnsi="Times New Roman"/>
          <w:sz w:val="28"/>
          <w:szCs w:val="28"/>
        </w:rPr>
        <w:t> </w:t>
      </w:r>
      <w:r w:rsidRPr="00DF54DF">
        <w:rPr>
          <w:rFonts w:ascii="Times New Roman" w:hAnsi="Times New Roman"/>
          <w:sz w:val="28"/>
          <w:szCs w:val="28"/>
        </w:rPr>
        <w:t>участках недр местного значения;</w:t>
      </w:r>
    </w:p>
    <w:p w:rsidR="002D1E45" w:rsidRPr="00DF54DF" w:rsidRDefault="002D1E45" w:rsidP="00852938">
      <w:pPr>
        <w:numPr>
          <w:ilvl w:val="0"/>
          <w:numId w:val="24"/>
        </w:numPr>
        <w:tabs>
          <w:tab w:val="clear" w:pos="1429"/>
          <w:tab w:val="num" w:pos="797"/>
          <w:tab w:val="num" w:pos="1068"/>
          <w:tab w:val="left" w:pos="1134"/>
        </w:tabs>
        <w:spacing w:after="0" w:line="240" w:lineRule="auto"/>
        <w:jc w:val="both"/>
        <w:rPr>
          <w:rFonts w:ascii="Times New Roman" w:hAnsi="Times New Roman"/>
          <w:sz w:val="28"/>
          <w:szCs w:val="28"/>
        </w:rPr>
      </w:pPr>
      <w:r w:rsidRPr="00DF54DF">
        <w:rPr>
          <w:rFonts w:ascii="Times New Roman" w:hAnsi="Times New Roman"/>
          <w:sz w:val="28"/>
          <w:szCs w:val="28"/>
        </w:rPr>
        <w:t>представление достоверных данных о</w:t>
      </w:r>
      <w:r>
        <w:rPr>
          <w:rFonts w:ascii="Times New Roman" w:hAnsi="Times New Roman"/>
          <w:sz w:val="28"/>
          <w:szCs w:val="28"/>
        </w:rPr>
        <w:t> </w:t>
      </w:r>
      <w:r w:rsidRPr="00DF54DF">
        <w:rPr>
          <w:rFonts w:ascii="Times New Roman" w:hAnsi="Times New Roman"/>
          <w:sz w:val="28"/>
          <w:szCs w:val="28"/>
        </w:rPr>
        <w:t>разведанных, извлекаемых и</w:t>
      </w:r>
      <w:r>
        <w:rPr>
          <w:rFonts w:ascii="Times New Roman" w:hAnsi="Times New Roman"/>
          <w:sz w:val="28"/>
          <w:szCs w:val="28"/>
        </w:rPr>
        <w:t> </w:t>
      </w:r>
      <w:r w:rsidRPr="00DF54DF">
        <w:rPr>
          <w:rFonts w:ascii="Times New Roman" w:hAnsi="Times New Roman"/>
          <w:sz w:val="28"/>
          <w:szCs w:val="28"/>
        </w:rPr>
        <w:t>оставляемых в</w:t>
      </w:r>
      <w:r>
        <w:rPr>
          <w:rFonts w:ascii="Times New Roman" w:hAnsi="Times New Roman"/>
          <w:sz w:val="28"/>
          <w:szCs w:val="28"/>
        </w:rPr>
        <w:t> </w:t>
      </w:r>
      <w:r w:rsidRPr="00DF54DF">
        <w:rPr>
          <w:rFonts w:ascii="Times New Roman" w:hAnsi="Times New Roman"/>
          <w:sz w:val="28"/>
          <w:szCs w:val="28"/>
        </w:rPr>
        <w:t>недрах запасах полезных ископаемых, содержащихся в</w:t>
      </w:r>
      <w:r>
        <w:rPr>
          <w:rFonts w:ascii="Times New Roman" w:hAnsi="Times New Roman"/>
          <w:sz w:val="28"/>
          <w:szCs w:val="28"/>
        </w:rPr>
        <w:t> </w:t>
      </w:r>
      <w:r w:rsidRPr="00DF54DF">
        <w:rPr>
          <w:rFonts w:ascii="Times New Roman" w:hAnsi="Times New Roman"/>
          <w:sz w:val="28"/>
          <w:szCs w:val="28"/>
        </w:rPr>
        <w:t>них компонентах, об</w:t>
      </w:r>
      <w:r>
        <w:rPr>
          <w:rFonts w:ascii="Times New Roman" w:hAnsi="Times New Roman"/>
          <w:sz w:val="28"/>
          <w:szCs w:val="28"/>
        </w:rPr>
        <w:t> </w:t>
      </w:r>
      <w:r w:rsidRPr="00DF54DF">
        <w:rPr>
          <w:rFonts w:ascii="Times New Roman" w:hAnsi="Times New Roman"/>
          <w:sz w:val="28"/>
          <w:szCs w:val="28"/>
        </w:rPr>
        <w:t>использовании недр в</w:t>
      </w:r>
      <w:r>
        <w:rPr>
          <w:rFonts w:ascii="Times New Roman" w:hAnsi="Times New Roman"/>
          <w:sz w:val="28"/>
          <w:szCs w:val="28"/>
        </w:rPr>
        <w:t> </w:t>
      </w:r>
      <w:r w:rsidRPr="00DF54DF">
        <w:rPr>
          <w:rFonts w:ascii="Times New Roman" w:hAnsi="Times New Roman"/>
          <w:sz w:val="28"/>
          <w:szCs w:val="28"/>
        </w:rPr>
        <w:t>целях, не</w:t>
      </w:r>
      <w:r>
        <w:rPr>
          <w:rFonts w:ascii="Times New Roman" w:hAnsi="Times New Roman"/>
          <w:sz w:val="28"/>
          <w:szCs w:val="28"/>
        </w:rPr>
        <w:t> </w:t>
      </w:r>
      <w:r w:rsidRPr="00DF54DF">
        <w:rPr>
          <w:rFonts w:ascii="Times New Roman" w:hAnsi="Times New Roman"/>
          <w:sz w:val="28"/>
          <w:szCs w:val="28"/>
        </w:rPr>
        <w:t>связанных с</w:t>
      </w:r>
      <w:r>
        <w:rPr>
          <w:rFonts w:ascii="Times New Roman" w:hAnsi="Times New Roman"/>
          <w:sz w:val="28"/>
          <w:szCs w:val="28"/>
        </w:rPr>
        <w:t> </w:t>
      </w:r>
      <w:r w:rsidRPr="00DF54DF">
        <w:rPr>
          <w:rFonts w:ascii="Times New Roman" w:hAnsi="Times New Roman"/>
          <w:sz w:val="28"/>
          <w:szCs w:val="28"/>
        </w:rPr>
        <w:t>добычей полезных ископаемых, в</w:t>
      </w:r>
      <w:r>
        <w:rPr>
          <w:rFonts w:ascii="Times New Roman" w:hAnsi="Times New Roman"/>
          <w:sz w:val="28"/>
          <w:szCs w:val="28"/>
        </w:rPr>
        <w:t> </w:t>
      </w:r>
      <w:r w:rsidRPr="00DF54DF">
        <w:rPr>
          <w:rFonts w:ascii="Times New Roman" w:hAnsi="Times New Roman"/>
          <w:sz w:val="28"/>
          <w:szCs w:val="28"/>
        </w:rPr>
        <w:t>федеральный фонд геологической информации и</w:t>
      </w:r>
      <w:r>
        <w:rPr>
          <w:rFonts w:ascii="Times New Roman" w:hAnsi="Times New Roman"/>
          <w:sz w:val="28"/>
          <w:szCs w:val="28"/>
        </w:rPr>
        <w:t> </w:t>
      </w:r>
      <w:r w:rsidRPr="00DF54DF">
        <w:rPr>
          <w:rFonts w:ascii="Times New Roman" w:hAnsi="Times New Roman"/>
          <w:sz w:val="28"/>
          <w:szCs w:val="28"/>
        </w:rPr>
        <w:t>его территориальные фонды, а</w:t>
      </w:r>
      <w:r>
        <w:rPr>
          <w:rFonts w:ascii="Times New Roman" w:hAnsi="Times New Roman"/>
          <w:sz w:val="28"/>
          <w:szCs w:val="28"/>
        </w:rPr>
        <w:t> </w:t>
      </w:r>
      <w:r w:rsidRPr="00DF54DF">
        <w:rPr>
          <w:rFonts w:ascii="Times New Roman" w:hAnsi="Times New Roman"/>
          <w:sz w:val="28"/>
          <w:szCs w:val="28"/>
        </w:rPr>
        <w:t>также в</w:t>
      </w:r>
      <w:r>
        <w:rPr>
          <w:rFonts w:ascii="Times New Roman" w:hAnsi="Times New Roman"/>
          <w:sz w:val="28"/>
          <w:szCs w:val="28"/>
        </w:rPr>
        <w:t> </w:t>
      </w:r>
      <w:r w:rsidRPr="00DF54DF">
        <w:rPr>
          <w:rFonts w:ascii="Times New Roman" w:hAnsi="Times New Roman"/>
          <w:sz w:val="28"/>
          <w:szCs w:val="28"/>
        </w:rPr>
        <w:t>фонды геологической информации субъектов Российской Федерации, если пользование недрами осуществляется на</w:t>
      </w:r>
      <w:r>
        <w:rPr>
          <w:rFonts w:ascii="Times New Roman" w:hAnsi="Times New Roman"/>
          <w:sz w:val="28"/>
          <w:szCs w:val="28"/>
        </w:rPr>
        <w:t> </w:t>
      </w:r>
      <w:r w:rsidRPr="00DF54DF">
        <w:rPr>
          <w:rFonts w:ascii="Times New Roman" w:hAnsi="Times New Roman"/>
          <w:sz w:val="28"/>
          <w:szCs w:val="28"/>
        </w:rPr>
        <w:t>участках недр местного значения, в</w:t>
      </w:r>
      <w:r>
        <w:rPr>
          <w:rFonts w:ascii="Times New Roman" w:hAnsi="Times New Roman"/>
          <w:sz w:val="28"/>
          <w:szCs w:val="28"/>
        </w:rPr>
        <w:t> </w:t>
      </w:r>
      <w:r w:rsidRPr="00DF54DF">
        <w:rPr>
          <w:rFonts w:ascii="Times New Roman" w:hAnsi="Times New Roman"/>
          <w:sz w:val="28"/>
          <w:szCs w:val="28"/>
        </w:rPr>
        <w:t>органы государственной статистики;</w:t>
      </w:r>
    </w:p>
    <w:p w:rsidR="002D1E45" w:rsidRPr="00DF54DF" w:rsidRDefault="002D1E45" w:rsidP="00852938">
      <w:pPr>
        <w:numPr>
          <w:ilvl w:val="0"/>
          <w:numId w:val="24"/>
        </w:numPr>
        <w:tabs>
          <w:tab w:val="clear" w:pos="1429"/>
          <w:tab w:val="num" w:pos="797"/>
          <w:tab w:val="num" w:pos="1068"/>
          <w:tab w:val="left" w:pos="1134"/>
        </w:tabs>
        <w:spacing w:after="0" w:line="240" w:lineRule="auto"/>
        <w:jc w:val="both"/>
        <w:rPr>
          <w:rFonts w:ascii="Times New Roman" w:hAnsi="Times New Roman"/>
          <w:sz w:val="28"/>
          <w:szCs w:val="28"/>
        </w:rPr>
      </w:pPr>
      <w:r w:rsidRPr="00DF54DF">
        <w:rPr>
          <w:rFonts w:ascii="Times New Roman" w:hAnsi="Times New Roman"/>
          <w:sz w:val="28"/>
          <w:szCs w:val="28"/>
        </w:rPr>
        <w:t>безопасное ведение работ, связанных с</w:t>
      </w:r>
      <w:r>
        <w:rPr>
          <w:rFonts w:ascii="Times New Roman" w:hAnsi="Times New Roman"/>
          <w:sz w:val="28"/>
          <w:szCs w:val="28"/>
        </w:rPr>
        <w:t> </w:t>
      </w:r>
      <w:r w:rsidRPr="00DF54DF">
        <w:rPr>
          <w:rFonts w:ascii="Times New Roman" w:hAnsi="Times New Roman"/>
          <w:sz w:val="28"/>
          <w:szCs w:val="28"/>
        </w:rPr>
        <w:t>пользованием недрами;</w:t>
      </w:r>
    </w:p>
    <w:p w:rsidR="002D1E45" w:rsidRPr="00DF54DF" w:rsidRDefault="002D1E45" w:rsidP="00852938">
      <w:pPr>
        <w:numPr>
          <w:ilvl w:val="0"/>
          <w:numId w:val="24"/>
        </w:numPr>
        <w:tabs>
          <w:tab w:val="clear" w:pos="1429"/>
          <w:tab w:val="num" w:pos="797"/>
          <w:tab w:val="num" w:pos="1068"/>
          <w:tab w:val="left" w:pos="1134"/>
        </w:tabs>
        <w:spacing w:after="0" w:line="240" w:lineRule="auto"/>
        <w:jc w:val="both"/>
        <w:rPr>
          <w:rFonts w:ascii="Times New Roman" w:hAnsi="Times New Roman"/>
          <w:sz w:val="28"/>
          <w:szCs w:val="28"/>
        </w:rPr>
      </w:pPr>
      <w:r w:rsidRPr="00DF54DF">
        <w:rPr>
          <w:rFonts w:ascii="Times New Roman" w:hAnsi="Times New Roman"/>
          <w:sz w:val="28"/>
          <w:szCs w:val="28"/>
        </w:rPr>
        <w:t>соблюдение требований по</w:t>
      </w:r>
      <w:r>
        <w:rPr>
          <w:rFonts w:ascii="Times New Roman" w:hAnsi="Times New Roman"/>
          <w:sz w:val="28"/>
          <w:szCs w:val="28"/>
        </w:rPr>
        <w:t> </w:t>
      </w:r>
      <w:r w:rsidRPr="00DF54DF">
        <w:rPr>
          <w:rFonts w:ascii="Times New Roman" w:hAnsi="Times New Roman"/>
          <w:sz w:val="28"/>
          <w:szCs w:val="28"/>
        </w:rPr>
        <w:t>рациональному использованию и</w:t>
      </w:r>
      <w:r>
        <w:rPr>
          <w:rFonts w:ascii="Times New Roman" w:hAnsi="Times New Roman"/>
          <w:sz w:val="28"/>
          <w:szCs w:val="28"/>
        </w:rPr>
        <w:t> </w:t>
      </w:r>
      <w:r w:rsidRPr="00DF54DF">
        <w:rPr>
          <w:rFonts w:ascii="Times New Roman" w:hAnsi="Times New Roman"/>
          <w:sz w:val="28"/>
          <w:szCs w:val="28"/>
        </w:rPr>
        <w:t>охране недр, безопасному ведению работ, связанных с</w:t>
      </w:r>
      <w:r>
        <w:rPr>
          <w:rFonts w:ascii="Times New Roman" w:hAnsi="Times New Roman"/>
          <w:sz w:val="28"/>
          <w:szCs w:val="28"/>
        </w:rPr>
        <w:t> </w:t>
      </w:r>
      <w:r w:rsidRPr="00DF54DF">
        <w:rPr>
          <w:rFonts w:ascii="Times New Roman" w:hAnsi="Times New Roman"/>
          <w:sz w:val="28"/>
          <w:szCs w:val="28"/>
        </w:rPr>
        <w:t>пользованием недрами, охране окружающей среды;</w:t>
      </w:r>
    </w:p>
    <w:p w:rsidR="002D1E45" w:rsidRPr="00DF54DF" w:rsidRDefault="002D1E45" w:rsidP="00852938">
      <w:pPr>
        <w:numPr>
          <w:ilvl w:val="0"/>
          <w:numId w:val="24"/>
        </w:numPr>
        <w:tabs>
          <w:tab w:val="clear" w:pos="1429"/>
          <w:tab w:val="num" w:pos="797"/>
          <w:tab w:val="num" w:pos="1068"/>
          <w:tab w:val="left" w:pos="1134"/>
        </w:tabs>
        <w:spacing w:after="0" w:line="240" w:lineRule="auto"/>
        <w:jc w:val="both"/>
        <w:rPr>
          <w:rFonts w:ascii="Times New Roman" w:hAnsi="Times New Roman"/>
          <w:sz w:val="28"/>
          <w:szCs w:val="28"/>
        </w:rPr>
      </w:pPr>
      <w:r w:rsidRPr="00DF54DF">
        <w:rPr>
          <w:rFonts w:ascii="Times New Roman" w:hAnsi="Times New Roman"/>
          <w:sz w:val="28"/>
          <w:szCs w:val="28"/>
        </w:rPr>
        <w:t>приведение участков земли и</w:t>
      </w:r>
      <w:r>
        <w:rPr>
          <w:rFonts w:ascii="Times New Roman" w:hAnsi="Times New Roman"/>
          <w:sz w:val="28"/>
          <w:szCs w:val="28"/>
        </w:rPr>
        <w:t> </w:t>
      </w:r>
      <w:r w:rsidRPr="00DF54DF">
        <w:rPr>
          <w:rFonts w:ascii="Times New Roman" w:hAnsi="Times New Roman"/>
          <w:sz w:val="28"/>
          <w:szCs w:val="28"/>
        </w:rPr>
        <w:t>других природных объектов, нарушенных при пользовании недрами, в</w:t>
      </w:r>
      <w:r>
        <w:rPr>
          <w:rFonts w:ascii="Times New Roman" w:hAnsi="Times New Roman"/>
          <w:sz w:val="28"/>
          <w:szCs w:val="28"/>
        </w:rPr>
        <w:t> </w:t>
      </w:r>
      <w:r w:rsidRPr="00DF54DF">
        <w:rPr>
          <w:rFonts w:ascii="Times New Roman" w:hAnsi="Times New Roman"/>
          <w:sz w:val="28"/>
          <w:szCs w:val="28"/>
        </w:rPr>
        <w:t>состояние, пригодное для их</w:t>
      </w:r>
      <w:r>
        <w:rPr>
          <w:rFonts w:ascii="Times New Roman" w:hAnsi="Times New Roman"/>
          <w:sz w:val="28"/>
          <w:szCs w:val="28"/>
        </w:rPr>
        <w:t> </w:t>
      </w:r>
      <w:r w:rsidRPr="00DF54DF">
        <w:rPr>
          <w:rFonts w:ascii="Times New Roman" w:hAnsi="Times New Roman"/>
          <w:sz w:val="28"/>
          <w:szCs w:val="28"/>
        </w:rPr>
        <w:t>дальнейшего использования;</w:t>
      </w:r>
    </w:p>
    <w:p w:rsidR="002D1E45" w:rsidRPr="00DF54DF" w:rsidRDefault="002D1E45" w:rsidP="00852938">
      <w:pPr>
        <w:numPr>
          <w:ilvl w:val="0"/>
          <w:numId w:val="24"/>
        </w:numPr>
        <w:tabs>
          <w:tab w:val="clear" w:pos="1429"/>
          <w:tab w:val="num" w:pos="797"/>
          <w:tab w:val="num" w:pos="1068"/>
          <w:tab w:val="left" w:pos="1134"/>
        </w:tabs>
        <w:spacing w:after="0" w:line="240" w:lineRule="auto"/>
        <w:jc w:val="both"/>
        <w:rPr>
          <w:rFonts w:ascii="Times New Roman" w:hAnsi="Times New Roman"/>
          <w:sz w:val="28"/>
          <w:szCs w:val="28"/>
        </w:rPr>
      </w:pPr>
      <w:r>
        <w:rPr>
          <w:rFonts w:ascii="Times New Roman" w:hAnsi="Times New Roman"/>
          <w:sz w:val="28"/>
          <w:szCs w:val="28"/>
        </w:rPr>
        <w:t>б</w:t>
      </w:r>
      <w:r w:rsidRPr="00DF54DF">
        <w:rPr>
          <w:rFonts w:ascii="Times New Roman" w:hAnsi="Times New Roman"/>
          <w:sz w:val="28"/>
          <w:szCs w:val="28"/>
        </w:rPr>
        <w:t>езопасность горных выработок, буровых скважин и</w:t>
      </w:r>
      <w:r>
        <w:rPr>
          <w:rFonts w:ascii="Times New Roman" w:hAnsi="Times New Roman"/>
          <w:sz w:val="28"/>
          <w:szCs w:val="28"/>
        </w:rPr>
        <w:t> </w:t>
      </w:r>
      <w:r w:rsidRPr="00DF54DF">
        <w:rPr>
          <w:rFonts w:ascii="Times New Roman" w:hAnsi="Times New Roman"/>
          <w:sz w:val="28"/>
          <w:szCs w:val="28"/>
        </w:rPr>
        <w:t>иных связанных с</w:t>
      </w:r>
      <w:r>
        <w:rPr>
          <w:rFonts w:ascii="Times New Roman" w:hAnsi="Times New Roman"/>
          <w:sz w:val="28"/>
          <w:szCs w:val="28"/>
        </w:rPr>
        <w:t> </w:t>
      </w:r>
      <w:r w:rsidRPr="00DF54DF">
        <w:rPr>
          <w:rFonts w:ascii="Times New Roman" w:hAnsi="Times New Roman"/>
          <w:sz w:val="28"/>
          <w:szCs w:val="28"/>
        </w:rPr>
        <w:t>пользованием недрами сооружений, расположенных в</w:t>
      </w:r>
      <w:r>
        <w:rPr>
          <w:rFonts w:ascii="Times New Roman" w:hAnsi="Times New Roman"/>
          <w:sz w:val="28"/>
          <w:szCs w:val="28"/>
        </w:rPr>
        <w:t> </w:t>
      </w:r>
      <w:r w:rsidRPr="00DF54DF">
        <w:rPr>
          <w:rFonts w:ascii="Times New Roman" w:hAnsi="Times New Roman"/>
          <w:sz w:val="28"/>
          <w:szCs w:val="28"/>
        </w:rPr>
        <w:t>границах предоставленного в</w:t>
      </w:r>
      <w:r>
        <w:rPr>
          <w:rFonts w:ascii="Times New Roman" w:hAnsi="Times New Roman"/>
          <w:sz w:val="28"/>
          <w:szCs w:val="28"/>
        </w:rPr>
        <w:t> </w:t>
      </w:r>
      <w:r w:rsidRPr="00DF54DF">
        <w:rPr>
          <w:rFonts w:ascii="Times New Roman" w:hAnsi="Times New Roman"/>
          <w:sz w:val="28"/>
          <w:szCs w:val="28"/>
        </w:rPr>
        <w:t>пользование участка недр;</w:t>
      </w:r>
    </w:p>
    <w:p w:rsidR="002D1E45" w:rsidRPr="00DF54DF" w:rsidRDefault="002D1E45" w:rsidP="00852938">
      <w:pPr>
        <w:numPr>
          <w:ilvl w:val="0"/>
          <w:numId w:val="24"/>
        </w:numPr>
        <w:tabs>
          <w:tab w:val="clear" w:pos="1429"/>
          <w:tab w:val="num" w:pos="797"/>
          <w:tab w:val="num" w:pos="1068"/>
          <w:tab w:val="left" w:pos="1134"/>
        </w:tabs>
        <w:spacing w:after="0" w:line="240" w:lineRule="auto"/>
        <w:jc w:val="both"/>
        <w:rPr>
          <w:rFonts w:ascii="Times New Roman" w:hAnsi="Times New Roman"/>
          <w:sz w:val="28"/>
          <w:szCs w:val="28"/>
        </w:rPr>
      </w:pPr>
      <w:r w:rsidRPr="00DF54DF">
        <w:rPr>
          <w:rFonts w:ascii="Times New Roman" w:hAnsi="Times New Roman"/>
          <w:sz w:val="28"/>
          <w:szCs w:val="28"/>
        </w:rPr>
        <w:t>сохранность разведочных горных выработок и</w:t>
      </w:r>
      <w:r>
        <w:rPr>
          <w:rFonts w:ascii="Times New Roman" w:hAnsi="Times New Roman"/>
          <w:sz w:val="28"/>
          <w:szCs w:val="28"/>
        </w:rPr>
        <w:t> </w:t>
      </w:r>
      <w:r w:rsidRPr="00DF54DF">
        <w:rPr>
          <w:rFonts w:ascii="Times New Roman" w:hAnsi="Times New Roman"/>
          <w:sz w:val="28"/>
          <w:szCs w:val="28"/>
        </w:rPr>
        <w:t>буровых скважин, которые могут быть использованы при разработке месторождений и (или) в</w:t>
      </w:r>
      <w:r>
        <w:rPr>
          <w:rFonts w:ascii="Times New Roman" w:hAnsi="Times New Roman"/>
          <w:sz w:val="28"/>
          <w:szCs w:val="28"/>
        </w:rPr>
        <w:t> </w:t>
      </w:r>
      <w:r w:rsidRPr="00DF54DF">
        <w:rPr>
          <w:rFonts w:ascii="Times New Roman" w:hAnsi="Times New Roman"/>
          <w:sz w:val="28"/>
          <w:szCs w:val="28"/>
        </w:rPr>
        <w:t>иных хозяйственных целях; ликвидацию в</w:t>
      </w:r>
      <w:r>
        <w:rPr>
          <w:rFonts w:ascii="Times New Roman" w:hAnsi="Times New Roman"/>
          <w:sz w:val="28"/>
          <w:szCs w:val="28"/>
        </w:rPr>
        <w:t> </w:t>
      </w:r>
      <w:r w:rsidRPr="00DF54DF">
        <w:rPr>
          <w:rFonts w:ascii="Times New Roman" w:hAnsi="Times New Roman"/>
          <w:sz w:val="28"/>
          <w:szCs w:val="28"/>
        </w:rPr>
        <w:t>установленном порядке горных выработок и</w:t>
      </w:r>
      <w:r>
        <w:rPr>
          <w:rFonts w:ascii="Times New Roman" w:hAnsi="Times New Roman"/>
          <w:sz w:val="28"/>
          <w:szCs w:val="28"/>
        </w:rPr>
        <w:t> </w:t>
      </w:r>
      <w:r w:rsidRPr="00DF54DF">
        <w:rPr>
          <w:rFonts w:ascii="Times New Roman" w:hAnsi="Times New Roman"/>
          <w:sz w:val="28"/>
          <w:szCs w:val="28"/>
        </w:rPr>
        <w:t>буровых скважин, не</w:t>
      </w:r>
      <w:r>
        <w:rPr>
          <w:rFonts w:ascii="Times New Roman" w:hAnsi="Times New Roman"/>
          <w:sz w:val="28"/>
          <w:szCs w:val="28"/>
        </w:rPr>
        <w:t> </w:t>
      </w:r>
      <w:r w:rsidRPr="00DF54DF">
        <w:rPr>
          <w:rFonts w:ascii="Times New Roman" w:hAnsi="Times New Roman"/>
          <w:sz w:val="28"/>
          <w:szCs w:val="28"/>
        </w:rPr>
        <w:t>подлежащих использованию;</w:t>
      </w:r>
    </w:p>
    <w:p w:rsidR="002D1E45" w:rsidRPr="00DF54DF" w:rsidRDefault="002D1E45" w:rsidP="00852938">
      <w:pPr>
        <w:numPr>
          <w:ilvl w:val="0"/>
          <w:numId w:val="24"/>
        </w:numPr>
        <w:tabs>
          <w:tab w:val="clear" w:pos="1429"/>
          <w:tab w:val="num" w:pos="797"/>
          <w:tab w:val="num" w:pos="1068"/>
          <w:tab w:val="left" w:pos="1134"/>
        </w:tabs>
        <w:spacing w:after="0" w:line="240" w:lineRule="auto"/>
        <w:jc w:val="both"/>
        <w:rPr>
          <w:rFonts w:ascii="Times New Roman" w:hAnsi="Times New Roman"/>
          <w:sz w:val="28"/>
          <w:szCs w:val="28"/>
        </w:rPr>
      </w:pPr>
      <w:r w:rsidRPr="00DF54DF">
        <w:rPr>
          <w:rFonts w:ascii="Times New Roman" w:hAnsi="Times New Roman"/>
          <w:sz w:val="28"/>
          <w:szCs w:val="28"/>
        </w:rPr>
        <w:t>выполнение условий, установленных лицензией или соглашением о</w:t>
      </w:r>
      <w:r>
        <w:rPr>
          <w:rFonts w:ascii="Times New Roman" w:hAnsi="Times New Roman"/>
          <w:sz w:val="28"/>
          <w:szCs w:val="28"/>
        </w:rPr>
        <w:t> </w:t>
      </w:r>
      <w:r w:rsidRPr="00DF54DF">
        <w:rPr>
          <w:rFonts w:ascii="Times New Roman" w:hAnsi="Times New Roman"/>
          <w:sz w:val="28"/>
          <w:szCs w:val="28"/>
        </w:rPr>
        <w:t>разделе продукции, своевременное и</w:t>
      </w:r>
      <w:r>
        <w:rPr>
          <w:rFonts w:ascii="Times New Roman" w:hAnsi="Times New Roman"/>
          <w:sz w:val="28"/>
          <w:szCs w:val="28"/>
        </w:rPr>
        <w:t> </w:t>
      </w:r>
      <w:r w:rsidRPr="00DF54DF">
        <w:rPr>
          <w:rFonts w:ascii="Times New Roman" w:hAnsi="Times New Roman"/>
          <w:sz w:val="28"/>
          <w:szCs w:val="28"/>
        </w:rPr>
        <w:t>правильное внесение платежей за</w:t>
      </w:r>
      <w:r>
        <w:rPr>
          <w:rFonts w:ascii="Times New Roman" w:hAnsi="Times New Roman"/>
          <w:sz w:val="28"/>
          <w:szCs w:val="28"/>
        </w:rPr>
        <w:t> </w:t>
      </w:r>
      <w:r w:rsidRPr="00DF54DF">
        <w:rPr>
          <w:rFonts w:ascii="Times New Roman" w:hAnsi="Times New Roman"/>
          <w:sz w:val="28"/>
          <w:szCs w:val="28"/>
        </w:rPr>
        <w:t>пользование недрами;</w:t>
      </w:r>
    </w:p>
    <w:p w:rsidR="002D1E45" w:rsidRPr="00DF54DF" w:rsidRDefault="002D1E45" w:rsidP="00852938">
      <w:pPr>
        <w:numPr>
          <w:ilvl w:val="0"/>
          <w:numId w:val="24"/>
        </w:numPr>
        <w:tabs>
          <w:tab w:val="clear" w:pos="1429"/>
          <w:tab w:val="num" w:pos="797"/>
          <w:tab w:val="num" w:pos="1068"/>
          <w:tab w:val="left" w:pos="1134"/>
        </w:tabs>
        <w:spacing w:after="0" w:line="240" w:lineRule="auto"/>
        <w:jc w:val="both"/>
        <w:rPr>
          <w:rFonts w:ascii="Times New Roman" w:hAnsi="Times New Roman"/>
          <w:sz w:val="28"/>
          <w:szCs w:val="28"/>
        </w:rPr>
      </w:pPr>
      <w:r w:rsidRPr="00DF54DF">
        <w:rPr>
          <w:rFonts w:ascii="Times New Roman" w:hAnsi="Times New Roman"/>
          <w:sz w:val="28"/>
          <w:szCs w:val="28"/>
        </w:rPr>
        <w:t>сохранность ценных и</w:t>
      </w:r>
      <w:r>
        <w:rPr>
          <w:rFonts w:ascii="Times New Roman" w:hAnsi="Times New Roman"/>
          <w:sz w:val="28"/>
          <w:szCs w:val="28"/>
        </w:rPr>
        <w:t> </w:t>
      </w:r>
      <w:r w:rsidRPr="00DF54DF">
        <w:rPr>
          <w:rFonts w:ascii="Times New Roman" w:hAnsi="Times New Roman"/>
          <w:sz w:val="28"/>
          <w:szCs w:val="28"/>
        </w:rPr>
        <w:t>опасных грузов, геологической, маркшейдерской и</w:t>
      </w:r>
      <w:r>
        <w:rPr>
          <w:rFonts w:ascii="Times New Roman" w:hAnsi="Times New Roman"/>
          <w:sz w:val="28"/>
          <w:szCs w:val="28"/>
        </w:rPr>
        <w:t> </w:t>
      </w:r>
      <w:r w:rsidRPr="00DF54DF">
        <w:rPr>
          <w:rFonts w:ascii="Times New Roman" w:hAnsi="Times New Roman"/>
          <w:sz w:val="28"/>
          <w:szCs w:val="28"/>
        </w:rPr>
        <w:t>иной документации, специальной корреспонденции, а</w:t>
      </w:r>
      <w:r>
        <w:rPr>
          <w:rFonts w:ascii="Times New Roman" w:hAnsi="Times New Roman"/>
          <w:sz w:val="28"/>
          <w:szCs w:val="28"/>
        </w:rPr>
        <w:t> </w:t>
      </w:r>
      <w:r w:rsidRPr="00DF54DF">
        <w:rPr>
          <w:rFonts w:ascii="Times New Roman" w:hAnsi="Times New Roman"/>
          <w:sz w:val="28"/>
          <w:szCs w:val="28"/>
        </w:rPr>
        <w:t>также грузов, содержащих носители сведений, отнесённых к</w:t>
      </w:r>
      <w:r>
        <w:rPr>
          <w:rFonts w:ascii="Times New Roman" w:hAnsi="Times New Roman"/>
          <w:sz w:val="28"/>
          <w:szCs w:val="28"/>
        </w:rPr>
        <w:t> </w:t>
      </w:r>
      <w:r w:rsidRPr="00DF54DF">
        <w:rPr>
          <w:rFonts w:ascii="Times New Roman" w:hAnsi="Times New Roman"/>
          <w:sz w:val="28"/>
          <w:szCs w:val="28"/>
        </w:rPr>
        <w:t>государственной тайне;</w:t>
      </w:r>
    </w:p>
    <w:p w:rsidR="002D1E45" w:rsidRPr="00995D52" w:rsidRDefault="002D1E45" w:rsidP="00852938">
      <w:pPr>
        <w:numPr>
          <w:ilvl w:val="0"/>
          <w:numId w:val="24"/>
        </w:numPr>
        <w:tabs>
          <w:tab w:val="num" w:pos="1068"/>
          <w:tab w:val="left" w:pos="1134"/>
        </w:tabs>
        <w:spacing w:after="0" w:line="240" w:lineRule="auto"/>
        <w:jc w:val="both"/>
        <w:rPr>
          <w:rFonts w:ascii="Times New Roman" w:hAnsi="Times New Roman"/>
          <w:sz w:val="28"/>
          <w:szCs w:val="28"/>
        </w:rPr>
      </w:pPr>
      <w:r w:rsidRPr="00DF54DF">
        <w:rPr>
          <w:rFonts w:ascii="Times New Roman" w:hAnsi="Times New Roman"/>
          <w:sz w:val="28"/>
          <w:szCs w:val="28"/>
        </w:rPr>
        <w:t>исключение негативного воздействия на</w:t>
      </w:r>
      <w:r>
        <w:rPr>
          <w:rFonts w:ascii="Times New Roman" w:hAnsi="Times New Roman"/>
          <w:sz w:val="28"/>
          <w:szCs w:val="28"/>
        </w:rPr>
        <w:t> </w:t>
      </w:r>
      <w:r w:rsidRPr="00DF54DF">
        <w:rPr>
          <w:rFonts w:ascii="Times New Roman" w:hAnsi="Times New Roman"/>
          <w:sz w:val="28"/>
          <w:szCs w:val="28"/>
        </w:rPr>
        <w:t>окружающую среду при размещении в</w:t>
      </w:r>
      <w:r>
        <w:rPr>
          <w:rFonts w:ascii="Times New Roman" w:hAnsi="Times New Roman"/>
          <w:sz w:val="28"/>
          <w:szCs w:val="28"/>
        </w:rPr>
        <w:t> </w:t>
      </w:r>
      <w:r w:rsidRPr="00DF54DF">
        <w:rPr>
          <w:rFonts w:ascii="Times New Roman" w:hAnsi="Times New Roman"/>
          <w:sz w:val="28"/>
          <w:szCs w:val="28"/>
        </w:rPr>
        <w:t>пластах горных пород попутных вод и</w:t>
      </w:r>
      <w:r>
        <w:rPr>
          <w:rFonts w:ascii="Times New Roman" w:hAnsi="Times New Roman"/>
          <w:sz w:val="28"/>
          <w:szCs w:val="28"/>
        </w:rPr>
        <w:t> </w:t>
      </w:r>
      <w:r w:rsidRPr="00DF54DF">
        <w:rPr>
          <w:rFonts w:ascii="Times New Roman" w:hAnsi="Times New Roman"/>
          <w:sz w:val="28"/>
          <w:szCs w:val="28"/>
        </w:rPr>
        <w:t>вод, использованных пользователями недр для собственных производственных и</w:t>
      </w:r>
      <w:r>
        <w:rPr>
          <w:rFonts w:ascii="Times New Roman" w:hAnsi="Times New Roman"/>
          <w:sz w:val="28"/>
          <w:szCs w:val="28"/>
        </w:rPr>
        <w:t> </w:t>
      </w:r>
      <w:r w:rsidRPr="00DF54DF">
        <w:rPr>
          <w:rFonts w:ascii="Times New Roman" w:hAnsi="Times New Roman"/>
          <w:sz w:val="28"/>
          <w:szCs w:val="28"/>
        </w:rPr>
        <w:t>технологических нужд.</w:t>
      </w:r>
      <w:r w:rsidRPr="00995D52">
        <w:rPr>
          <w:rFonts w:ascii="Times New Roman" w:hAnsi="Times New Roman"/>
          <w:sz w:val="28"/>
          <w:szCs w:val="28"/>
        </w:rPr>
        <w:t xml:space="preserve"> </w:t>
      </w:r>
    </w:p>
    <w:p w:rsidR="002D1E45" w:rsidRPr="00ED2734" w:rsidRDefault="002D1E45" w:rsidP="00FE1BF0">
      <w:pPr>
        <w:spacing w:after="0" w:line="240" w:lineRule="auto"/>
        <w:ind w:firstLine="709"/>
        <w:jc w:val="both"/>
        <w:rPr>
          <w:rFonts w:ascii="Times New Roman" w:hAnsi="Times New Roman"/>
          <w:bCs/>
          <w:iCs/>
          <w:sz w:val="28"/>
          <w:szCs w:val="28"/>
        </w:rPr>
      </w:pPr>
      <w:r w:rsidRPr="00ED2734">
        <w:rPr>
          <w:rFonts w:ascii="Times New Roman" w:hAnsi="Times New Roman"/>
          <w:bCs/>
          <w:iCs/>
          <w:sz w:val="28"/>
          <w:szCs w:val="28"/>
        </w:rPr>
        <w:t xml:space="preserve">Согласно статье 25 </w:t>
      </w:r>
      <w:r w:rsidRPr="00B859FF">
        <w:rPr>
          <w:rFonts w:ascii="Times New Roman" w:hAnsi="Times New Roman"/>
          <w:bCs/>
          <w:iCs/>
          <w:sz w:val="28"/>
          <w:szCs w:val="28"/>
        </w:rPr>
        <w:t>З</w:t>
      </w:r>
      <w:r>
        <w:rPr>
          <w:rFonts w:ascii="Times New Roman" w:hAnsi="Times New Roman"/>
          <w:bCs/>
          <w:iCs/>
          <w:sz w:val="28"/>
          <w:szCs w:val="28"/>
        </w:rPr>
        <w:t xml:space="preserve">акона Российской Федерации </w:t>
      </w:r>
      <w:r w:rsidRPr="00601E47">
        <w:rPr>
          <w:rFonts w:ascii="Times New Roman" w:hAnsi="Times New Roman"/>
          <w:bCs/>
          <w:iCs/>
          <w:sz w:val="28"/>
          <w:szCs w:val="28"/>
        </w:rPr>
        <w:t xml:space="preserve">от 21.02.1992 </w:t>
      </w:r>
      <w:r>
        <w:rPr>
          <w:rFonts w:ascii="Times New Roman" w:hAnsi="Times New Roman"/>
          <w:bCs/>
          <w:iCs/>
          <w:sz w:val="28"/>
          <w:szCs w:val="28"/>
        </w:rPr>
        <w:t>№</w:t>
      </w:r>
      <w:r w:rsidRPr="00601E47">
        <w:rPr>
          <w:rFonts w:ascii="Times New Roman" w:hAnsi="Times New Roman"/>
          <w:bCs/>
          <w:iCs/>
          <w:sz w:val="28"/>
          <w:szCs w:val="28"/>
        </w:rPr>
        <w:t xml:space="preserve"> 2395-1</w:t>
      </w:r>
      <w:r>
        <w:rPr>
          <w:rFonts w:ascii="Times New Roman" w:hAnsi="Times New Roman"/>
          <w:bCs/>
          <w:iCs/>
          <w:sz w:val="28"/>
          <w:szCs w:val="28"/>
        </w:rPr>
        <w:t xml:space="preserve"> </w:t>
      </w:r>
      <w:r w:rsidRPr="00B859FF">
        <w:rPr>
          <w:rFonts w:ascii="Times New Roman" w:hAnsi="Times New Roman"/>
          <w:bCs/>
          <w:iCs/>
          <w:sz w:val="28"/>
          <w:szCs w:val="28"/>
        </w:rPr>
        <w:t>«О недрах»,</w:t>
      </w:r>
      <w:r w:rsidRPr="00ED2734">
        <w:rPr>
          <w:rFonts w:ascii="Times New Roman" w:hAnsi="Times New Roman"/>
          <w:bCs/>
          <w:i/>
          <w:iCs/>
          <w:sz w:val="28"/>
          <w:szCs w:val="28"/>
        </w:rPr>
        <w:t xml:space="preserve"> </w:t>
      </w:r>
      <w:r w:rsidRPr="00ED2734">
        <w:rPr>
          <w:rFonts w:ascii="Times New Roman" w:hAnsi="Times New Roman"/>
          <w:bCs/>
          <w:iCs/>
          <w:sz w:val="28"/>
          <w:szCs w:val="28"/>
        </w:rPr>
        <w:t>проектирование и</w:t>
      </w:r>
      <w:r>
        <w:rPr>
          <w:rFonts w:ascii="Times New Roman" w:hAnsi="Times New Roman"/>
          <w:bCs/>
          <w:iCs/>
          <w:sz w:val="28"/>
          <w:szCs w:val="28"/>
        </w:rPr>
        <w:t> </w:t>
      </w:r>
      <w:r w:rsidRPr="00ED2734">
        <w:rPr>
          <w:rFonts w:ascii="Times New Roman" w:hAnsi="Times New Roman"/>
          <w:bCs/>
          <w:iCs/>
          <w:sz w:val="28"/>
          <w:szCs w:val="28"/>
        </w:rPr>
        <w:t>строительство населённых пунктов, промышленных комплексов и</w:t>
      </w:r>
      <w:r>
        <w:rPr>
          <w:rFonts w:ascii="Times New Roman" w:hAnsi="Times New Roman"/>
          <w:bCs/>
          <w:iCs/>
          <w:sz w:val="28"/>
          <w:szCs w:val="28"/>
        </w:rPr>
        <w:t> </w:t>
      </w:r>
      <w:r w:rsidRPr="00ED2734">
        <w:rPr>
          <w:rFonts w:ascii="Times New Roman" w:hAnsi="Times New Roman"/>
          <w:bCs/>
          <w:iCs/>
          <w:sz w:val="28"/>
          <w:szCs w:val="28"/>
        </w:rPr>
        <w:t>других хозяйственных объектов разрешается только после получения заключения федерального органа управления государственным фондом недр или его территориального органа об</w:t>
      </w:r>
      <w:r>
        <w:rPr>
          <w:rFonts w:ascii="Times New Roman" w:hAnsi="Times New Roman"/>
          <w:bCs/>
          <w:iCs/>
          <w:sz w:val="28"/>
          <w:szCs w:val="28"/>
        </w:rPr>
        <w:t> </w:t>
      </w:r>
      <w:r w:rsidRPr="00ED2734">
        <w:rPr>
          <w:rFonts w:ascii="Times New Roman" w:hAnsi="Times New Roman"/>
          <w:bCs/>
          <w:iCs/>
          <w:sz w:val="28"/>
          <w:szCs w:val="28"/>
        </w:rPr>
        <w:t>отсутствии полезных ископаемых в</w:t>
      </w:r>
      <w:r>
        <w:rPr>
          <w:rFonts w:ascii="Times New Roman" w:hAnsi="Times New Roman"/>
          <w:bCs/>
          <w:iCs/>
          <w:sz w:val="28"/>
          <w:szCs w:val="28"/>
        </w:rPr>
        <w:t> </w:t>
      </w:r>
      <w:r w:rsidRPr="00ED2734">
        <w:rPr>
          <w:rFonts w:ascii="Times New Roman" w:hAnsi="Times New Roman"/>
          <w:bCs/>
          <w:iCs/>
          <w:sz w:val="28"/>
          <w:szCs w:val="28"/>
        </w:rPr>
        <w:t>недрах под участком предстоящего строительства.</w:t>
      </w:r>
    </w:p>
    <w:p w:rsidR="002D1E45" w:rsidRPr="00ED2734" w:rsidRDefault="002D1E45" w:rsidP="00FE1BF0">
      <w:pPr>
        <w:spacing w:after="0" w:line="240" w:lineRule="auto"/>
        <w:ind w:firstLine="709"/>
        <w:jc w:val="both"/>
        <w:rPr>
          <w:rFonts w:ascii="Times New Roman" w:hAnsi="Times New Roman"/>
          <w:bCs/>
          <w:iCs/>
          <w:sz w:val="28"/>
          <w:szCs w:val="28"/>
        </w:rPr>
      </w:pPr>
      <w:r w:rsidRPr="00ED2734">
        <w:rPr>
          <w:rFonts w:ascii="Times New Roman" w:hAnsi="Times New Roman"/>
          <w:bCs/>
          <w:iCs/>
          <w:sz w:val="28"/>
          <w:szCs w:val="28"/>
        </w:rPr>
        <w:t>При проектировании застройки в</w:t>
      </w:r>
      <w:r>
        <w:rPr>
          <w:rFonts w:ascii="Times New Roman" w:hAnsi="Times New Roman"/>
          <w:bCs/>
          <w:iCs/>
          <w:sz w:val="28"/>
          <w:szCs w:val="28"/>
        </w:rPr>
        <w:t> </w:t>
      </w:r>
      <w:r w:rsidRPr="00ED2734">
        <w:rPr>
          <w:rFonts w:ascii="Times New Roman" w:hAnsi="Times New Roman"/>
          <w:bCs/>
          <w:iCs/>
          <w:sz w:val="28"/>
          <w:szCs w:val="28"/>
        </w:rPr>
        <w:t>пределах площадей залегания полезных ископаемых необходимо получить разрешение недропользователя. В</w:t>
      </w:r>
      <w:r>
        <w:rPr>
          <w:rFonts w:ascii="Times New Roman" w:hAnsi="Times New Roman"/>
          <w:bCs/>
          <w:iCs/>
          <w:sz w:val="28"/>
          <w:szCs w:val="28"/>
        </w:rPr>
        <w:t> </w:t>
      </w:r>
      <w:r w:rsidRPr="00ED2734">
        <w:rPr>
          <w:rFonts w:ascii="Times New Roman" w:hAnsi="Times New Roman"/>
          <w:bCs/>
          <w:iCs/>
          <w:sz w:val="28"/>
          <w:szCs w:val="28"/>
        </w:rPr>
        <w:t>соответствии со</w:t>
      </w:r>
      <w:r>
        <w:rPr>
          <w:rFonts w:ascii="Times New Roman" w:hAnsi="Times New Roman"/>
          <w:bCs/>
          <w:iCs/>
          <w:sz w:val="28"/>
          <w:szCs w:val="28"/>
        </w:rPr>
        <w:t> </w:t>
      </w:r>
      <w:r w:rsidRPr="00ED2734">
        <w:rPr>
          <w:rFonts w:ascii="Times New Roman" w:hAnsi="Times New Roman"/>
          <w:bCs/>
          <w:iCs/>
          <w:sz w:val="28"/>
          <w:szCs w:val="28"/>
        </w:rPr>
        <w:t>статьёй 7 Закона</w:t>
      </w:r>
      <w:r w:rsidRPr="00B859FF">
        <w:rPr>
          <w:rFonts w:ascii="Times New Roman" w:hAnsi="Times New Roman"/>
          <w:bCs/>
          <w:iCs/>
          <w:sz w:val="28"/>
          <w:szCs w:val="28"/>
        </w:rPr>
        <w:t xml:space="preserve"> Российской Федерации </w:t>
      </w:r>
      <w:r>
        <w:rPr>
          <w:rFonts w:ascii="Times New Roman" w:hAnsi="Times New Roman"/>
          <w:bCs/>
          <w:iCs/>
          <w:sz w:val="28"/>
          <w:szCs w:val="28"/>
        </w:rPr>
        <w:t xml:space="preserve">от </w:t>
      </w:r>
      <w:r w:rsidRPr="00601E47">
        <w:rPr>
          <w:rFonts w:ascii="Times New Roman" w:hAnsi="Times New Roman"/>
          <w:bCs/>
          <w:iCs/>
          <w:sz w:val="28"/>
          <w:szCs w:val="28"/>
        </w:rPr>
        <w:t>21.02.1992 № 2395-1 «О недрах»</w:t>
      </w:r>
      <w:r>
        <w:rPr>
          <w:rFonts w:ascii="Times New Roman" w:hAnsi="Times New Roman"/>
          <w:bCs/>
          <w:iCs/>
          <w:sz w:val="28"/>
          <w:szCs w:val="28"/>
        </w:rPr>
        <w:t>,</w:t>
      </w:r>
      <w:r w:rsidRPr="00ED2734">
        <w:rPr>
          <w:rFonts w:ascii="Times New Roman" w:hAnsi="Times New Roman"/>
          <w:bCs/>
          <w:iCs/>
          <w:sz w:val="28"/>
          <w:szCs w:val="28"/>
        </w:rPr>
        <w:t xml:space="preserve"> любая деятельность, связанная с</w:t>
      </w:r>
      <w:r>
        <w:rPr>
          <w:rFonts w:ascii="Times New Roman" w:hAnsi="Times New Roman"/>
          <w:bCs/>
          <w:iCs/>
          <w:sz w:val="28"/>
          <w:szCs w:val="28"/>
        </w:rPr>
        <w:t> </w:t>
      </w:r>
      <w:r w:rsidRPr="00ED2734">
        <w:rPr>
          <w:rFonts w:ascii="Times New Roman" w:hAnsi="Times New Roman"/>
          <w:bCs/>
          <w:iCs/>
          <w:sz w:val="28"/>
          <w:szCs w:val="28"/>
        </w:rPr>
        <w:t>пользованием недрами в</w:t>
      </w:r>
      <w:r>
        <w:rPr>
          <w:rFonts w:ascii="Times New Roman" w:hAnsi="Times New Roman"/>
          <w:bCs/>
          <w:iCs/>
          <w:sz w:val="28"/>
          <w:szCs w:val="28"/>
        </w:rPr>
        <w:t> </w:t>
      </w:r>
      <w:r w:rsidRPr="00ED2734">
        <w:rPr>
          <w:rFonts w:ascii="Times New Roman" w:hAnsi="Times New Roman"/>
          <w:bCs/>
          <w:iCs/>
          <w:sz w:val="28"/>
          <w:szCs w:val="28"/>
        </w:rPr>
        <w:t>границах горного отвода, может осуществляться только с</w:t>
      </w:r>
      <w:r>
        <w:rPr>
          <w:rFonts w:ascii="Times New Roman" w:hAnsi="Times New Roman"/>
          <w:bCs/>
          <w:iCs/>
          <w:sz w:val="28"/>
          <w:szCs w:val="28"/>
        </w:rPr>
        <w:t> </w:t>
      </w:r>
      <w:r w:rsidRPr="00ED2734">
        <w:rPr>
          <w:rFonts w:ascii="Times New Roman" w:hAnsi="Times New Roman"/>
          <w:bCs/>
          <w:iCs/>
          <w:sz w:val="28"/>
          <w:szCs w:val="28"/>
        </w:rPr>
        <w:t>согласия пользователя недр, которому он</w:t>
      </w:r>
      <w:r>
        <w:rPr>
          <w:rFonts w:ascii="Times New Roman" w:hAnsi="Times New Roman"/>
          <w:bCs/>
          <w:iCs/>
          <w:sz w:val="28"/>
          <w:szCs w:val="28"/>
        </w:rPr>
        <w:t> </w:t>
      </w:r>
      <w:r w:rsidRPr="00ED2734">
        <w:rPr>
          <w:rFonts w:ascii="Times New Roman" w:hAnsi="Times New Roman"/>
          <w:bCs/>
          <w:iCs/>
          <w:sz w:val="28"/>
          <w:szCs w:val="28"/>
        </w:rPr>
        <w:t>предоставлен.</w:t>
      </w:r>
    </w:p>
    <w:p w:rsidR="002D1E45" w:rsidRDefault="002D1E45" w:rsidP="00FE1BF0">
      <w:pPr>
        <w:spacing w:after="0" w:line="240" w:lineRule="auto"/>
        <w:rPr>
          <w:rFonts w:ascii="Arial" w:hAnsi="Arial" w:cs="Arial"/>
          <w:sz w:val="16"/>
          <w:szCs w:val="16"/>
          <w:lang w:eastAsia="ru-RU"/>
        </w:rPr>
      </w:pPr>
    </w:p>
    <w:p w:rsidR="002D1E45" w:rsidRDefault="002D1E45" w:rsidP="00FE1BF0">
      <w:pPr>
        <w:spacing w:after="0" w:line="240" w:lineRule="auto"/>
        <w:rPr>
          <w:rFonts w:ascii="Arial" w:hAnsi="Arial" w:cs="Arial"/>
          <w:sz w:val="16"/>
          <w:szCs w:val="16"/>
          <w:lang w:eastAsia="ru-RU"/>
        </w:rPr>
      </w:pPr>
    </w:p>
    <w:p w:rsidR="002D1E45" w:rsidRDefault="002D1E45" w:rsidP="00FE1BF0">
      <w:pPr>
        <w:spacing w:after="0" w:line="240" w:lineRule="auto"/>
        <w:rPr>
          <w:rFonts w:ascii="Arial" w:hAnsi="Arial" w:cs="Arial"/>
          <w:sz w:val="16"/>
          <w:szCs w:val="16"/>
          <w:lang w:eastAsia="ru-RU"/>
        </w:rPr>
      </w:pPr>
    </w:p>
    <w:p w:rsidR="002D1E45" w:rsidRDefault="002D1E45" w:rsidP="00FE1BF0">
      <w:pPr>
        <w:spacing w:after="0" w:line="240" w:lineRule="auto"/>
        <w:rPr>
          <w:rFonts w:ascii="Arial" w:hAnsi="Arial" w:cs="Arial"/>
          <w:sz w:val="16"/>
          <w:szCs w:val="16"/>
          <w:lang w:eastAsia="ru-RU"/>
        </w:rPr>
      </w:pPr>
    </w:p>
    <w:p w:rsidR="002D1E45" w:rsidRDefault="002D1E45" w:rsidP="00FE1BF0">
      <w:pPr>
        <w:spacing w:after="0" w:line="240" w:lineRule="auto"/>
        <w:rPr>
          <w:rFonts w:ascii="Arial" w:hAnsi="Arial" w:cs="Arial"/>
          <w:sz w:val="16"/>
          <w:szCs w:val="16"/>
          <w:lang w:eastAsia="ru-RU"/>
        </w:rPr>
      </w:pPr>
    </w:p>
    <w:p w:rsidR="002D1E45" w:rsidRPr="00B859FF" w:rsidRDefault="002D1E45" w:rsidP="00852938">
      <w:pPr>
        <w:pStyle w:val="Heading2"/>
        <w:numPr>
          <w:ilvl w:val="1"/>
          <w:numId w:val="65"/>
        </w:numPr>
        <w:tabs>
          <w:tab w:val="clear" w:pos="794"/>
          <w:tab w:val="num" w:pos="993"/>
        </w:tabs>
        <w:spacing w:before="240"/>
        <w:ind w:left="993" w:hanging="633"/>
        <w:jc w:val="both"/>
        <w:rPr>
          <w:b/>
        </w:rPr>
      </w:pPr>
      <w:bookmarkStart w:id="223" w:name="_Toc84936051"/>
      <w:r w:rsidRPr="00B859FF">
        <w:rPr>
          <w:b/>
        </w:rPr>
        <w:t>Иные зоны, установленные в</w:t>
      </w:r>
      <w:r>
        <w:rPr>
          <w:b/>
        </w:rPr>
        <w:t> </w:t>
      </w:r>
      <w:r w:rsidRPr="00B859FF">
        <w:rPr>
          <w:b/>
        </w:rPr>
        <w:t>соответствии с</w:t>
      </w:r>
      <w:r>
        <w:rPr>
          <w:b/>
        </w:rPr>
        <w:t> </w:t>
      </w:r>
      <w:r w:rsidRPr="00B859FF">
        <w:rPr>
          <w:b/>
        </w:rPr>
        <w:t>законодательством Российской Федерации и</w:t>
      </w:r>
      <w:r>
        <w:rPr>
          <w:b/>
        </w:rPr>
        <w:t> </w:t>
      </w:r>
      <w:r w:rsidRPr="00B859FF">
        <w:rPr>
          <w:b/>
        </w:rPr>
        <w:t>законодательством субъектов Российской Федерации</w:t>
      </w:r>
      <w:bookmarkEnd w:id="223"/>
    </w:p>
    <w:p w:rsidR="002D1E45" w:rsidRDefault="002D1E45" w:rsidP="00FE1BF0">
      <w:pPr>
        <w:spacing w:after="0" w:line="240" w:lineRule="auto"/>
        <w:rPr>
          <w:rFonts w:ascii="Arial" w:hAnsi="Arial" w:cs="Arial"/>
          <w:sz w:val="16"/>
          <w:szCs w:val="16"/>
          <w:lang w:eastAsia="ru-RU"/>
        </w:rPr>
      </w:pPr>
    </w:p>
    <w:p w:rsidR="002D1E45" w:rsidRDefault="002D1E45" w:rsidP="00FE1BF0">
      <w:pPr>
        <w:spacing w:after="0" w:line="240" w:lineRule="auto"/>
        <w:ind w:firstLine="709"/>
        <w:jc w:val="both"/>
        <w:rPr>
          <w:rFonts w:ascii="Times New Roman" w:hAnsi="Times New Roman"/>
          <w:bCs/>
          <w:i/>
          <w:iCs/>
          <w:sz w:val="28"/>
          <w:szCs w:val="28"/>
          <w:u w:val="single"/>
        </w:rPr>
      </w:pPr>
      <w:r>
        <w:rPr>
          <w:rFonts w:ascii="Times New Roman" w:hAnsi="Times New Roman"/>
          <w:bCs/>
          <w:i/>
          <w:iCs/>
          <w:sz w:val="28"/>
          <w:szCs w:val="28"/>
          <w:u w:val="single"/>
        </w:rPr>
        <w:t>Водный бассейн</w:t>
      </w:r>
    </w:p>
    <w:p w:rsidR="002D1E45" w:rsidRDefault="002D1E45" w:rsidP="00FE1BF0">
      <w:pPr>
        <w:spacing w:after="0" w:line="240" w:lineRule="auto"/>
        <w:ind w:firstLine="709"/>
        <w:jc w:val="both"/>
        <w:rPr>
          <w:rFonts w:ascii="Times New Roman" w:hAnsi="Times New Roman"/>
          <w:bCs/>
          <w:iCs/>
          <w:sz w:val="28"/>
          <w:szCs w:val="28"/>
        </w:rPr>
      </w:pPr>
      <w:r w:rsidRPr="004D4D68">
        <w:rPr>
          <w:rFonts w:ascii="Times New Roman" w:hAnsi="Times New Roman"/>
          <w:bCs/>
          <w:iCs/>
          <w:sz w:val="28"/>
          <w:szCs w:val="28"/>
        </w:rPr>
        <w:t>Основными источниками загрязнения поверхностных и</w:t>
      </w:r>
      <w:r>
        <w:rPr>
          <w:rFonts w:ascii="Times New Roman" w:hAnsi="Times New Roman"/>
          <w:bCs/>
          <w:iCs/>
          <w:sz w:val="28"/>
          <w:szCs w:val="28"/>
        </w:rPr>
        <w:t> </w:t>
      </w:r>
      <w:r w:rsidRPr="004D4D68">
        <w:rPr>
          <w:rFonts w:ascii="Times New Roman" w:hAnsi="Times New Roman"/>
          <w:bCs/>
          <w:iCs/>
          <w:sz w:val="28"/>
          <w:szCs w:val="28"/>
        </w:rPr>
        <w:t>подземных вод являются: поверхностный сток с</w:t>
      </w:r>
      <w:r>
        <w:rPr>
          <w:rFonts w:ascii="Times New Roman" w:hAnsi="Times New Roman"/>
          <w:bCs/>
          <w:iCs/>
          <w:sz w:val="28"/>
          <w:szCs w:val="28"/>
        </w:rPr>
        <w:t> </w:t>
      </w:r>
      <w:r w:rsidRPr="004D4D68">
        <w:rPr>
          <w:rFonts w:ascii="Times New Roman" w:hAnsi="Times New Roman"/>
          <w:bCs/>
          <w:iCs/>
          <w:sz w:val="28"/>
          <w:szCs w:val="28"/>
        </w:rPr>
        <w:t>селитебных, коммунально-складских, сельскохозяйственных и</w:t>
      </w:r>
      <w:r>
        <w:rPr>
          <w:rFonts w:ascii="Times New Roman" w:hAnsi="Times New Roman"/>
          <w:bCs/>
          <w:iCs/>
          <w:sz w:val="28"/>
          <w:szCs w:val="28"/>
        </w:rPr>
        <w:t> </w:t>
      </w:r>
      <w:r w:rsidRPr="004D4D68">
        <w:rPr>
          <w:rFonts w:ascii="Times New Roman" w:hAnsi="Times New Roman"/>
          <w:bCs/>
          <w:iCs/>
          <w:sz w:val="28"/>
          <w:szCs w:val="28"/>
        </w:rPr>
        <w:t>производственных территорий, неорганизованный сброс неочищенных ливневых вод с</w:t>
      </w:r>
      <w:r>
        <w:rPr>
          <w:rFonts w:ascii="Times New Roman" w:hAnsi="Times New Roman"/>
          <w:bCs/>
          <w:iCs/>
          <w:sz w:val="28"/>
          <w:szCs w:val="28"/>
        </w:rPr>
        <w:t> </w:t>
      </w:r>
      <w:r w:rsidRPr="004D4D68">
        <w:rPr>
          <w:rFonts w:ascii="Times New Roman" w:hAnsi="Times New Roman"/>
          <w:bCs/>
          <w:iCs/>
          <w:sz w:val="28"/>
          <w:szCs w:val="28"/>
        </w:rPr>
        <w:t>территорий, не</w:t>
      </w:r>
      <w:r>
        <w:rPr>
          <w:rFonts w:ascii="Times New Roman" w:hAnsi="Times New Roman"/>
          <w:bCs/>
          <w:iCs/>
          <w:sz w:val="28"/>
          <w:szCs w:val="28"/>
        </w:rPr>
        <w:t> </w:t>
      </w:r>
      <w:r w:rsidRPr="004D4D68">
        <w:rPr>
          <w:rFonts w:ascii="Times New Roman" w:hAnsi="Times New Roman"/>
          <w:bCs/>
          <w:iCs/>
          <w:sz w:val="28"/>
          <w:szCs w:val="28"/>
        </w:rPr>
        <w:t>имеющих ливневой канализации, а</w:t>
      </w:r>
      <w:r>
        <w:rPr>
          <w:rFonts w:ascii="Times New Roman" w:hAnsi="Times New Roman"/>
          <w:bCs/>
          <w:iCs/>
          <w:sz w:val="28"/>
          <w:szCs w:val="28"/>
        </w:rPr>
        <w:t> </w:t>
      </w:r>
      <w:r w:rsidRPr="004D4D68">
        <w:rPr>
          <w:rFonts w:ascii="Times New Roman" w:hAnsi="Times New Roman"/>
          <w:bCs/>
          <w:iCs/>
          <w:sz w:val="28"/>
          <w:szCs w:val="28"/>
        </w:rPr>
        <w:t>также отсутствие централизованной системы хозяйственно-фекальной канализации.</w:t>
      </w:r>
    </w:p>
    <w:p w:rsidR="002D1E45" w:rsidRPr="00660129" w:rsidRDefault="002D1E45" w:rsidP="00660129">
      <w:pPr>
        <w:spacing w:after="0" w:line="240" w:lineRule="auto"/>
        <w:ind w:firstLine="709"/>
        <w:jc w:val="both"/>
        <w:rPr>
          <w:rFonts w:ascii="Times New Roman" w:hAnsi="Times New Roman"/>
          <w:bCs/>
          <w:iCs/>
          <w:sz w:val="28"/>
          <w:szCs w:val="28"/>
        </w:rPr>
      </w:pPr>
      <w:r w:rsidRPr="00660129">
        <w:rPr>
          <w:rFonts w:ascii="Times New Roman" w:hAnsi="Times New Roman"/>
          <w:bCs/>
          <w:iCs/>
          <w:sz w:val="28"/>
          <w:szCs w:val="28"/>
        </w:rPr>
        <w:t>Аварии на водопроводных сооружениях г. Куйбышева устраняют своевременно, с оформлением акта дезинфекции участка сети, которые в 3-х дневной срок представляют в территориальный отдел Управления Федеральной службы по надзору в сфере защиты прав потребителей и благополучия человека по Новосибирской области в Барабинском районе.</w:t>
      </w:r>
    </w:p>
    <w:p w:rsidR="002D1E45" w:rsidRDefault="002D1E45" w:rsidP="00660129">
      <w:pPr>
        <w:spacing w:after="0" w:line="240" w:lineRule="auto"/>
        <w:ind w:firstLine="709"/>
        <w:jc w:val="both"/>
        <w:rPr>
          <w:rFonts w:ascii="Times New Roman" w:hAnsi="Times New Roman"/>
          <w:bCs/>
          <w:iCs/>
          <w:sz w:val="28"/>
          <w:szCs w:val="28"/>
        </w:rPr>
      </w:pPr>
      <w:r w:rsidRPr="00660129">
        <w:rPr>
          <w:rFonts w:ascii="Times New Roman" w:hAnsi="Times New Roman"/>
          <w:bCs/>
          <w:iCs/>
          <w:sz w:val="28"/>
          <w:szCs w:val="28"/>
        </w:rPr>
        <w:t xml:space="preserve">В г. Куйбышеве проводится социально </w:t>
      </w:r>
      <w:r>
        <w:rPr>
          <w:rFonts w:ascii="Times New Roman" w:hAnsi="Times New Roman"/>
          <w:bCs/>
          <w:iCs/>
          <w:sz w:val="28"/>
          <w:szCs w:val="28"/>
        </w:rPr>
        <w:t>–</w:t>
      </w:r>
      <w:r w:rsidRPr="00660129">
        <w:rPr>
          <w:rFonts w:ascii="Times New Roman" w:hAnsi="Times New Roman"/>
          <w:bCs/>
          <w:iCs/>
          <w:sz w:val="28"/>
          <w:szCs w:val="28"/>
        </w:rPr>
        <w:t xml:space="preserve"> гигиенический мониторинг качества воды на микробиологические исследования I раз в месяц (положительных проб не было за последние 5 лет; на санитарно</w:t>
      </w:r>
      <w:r>
        <w:rPr>
          <w:rFonts w:ascii="Times New Roman" w:hAnsi="Times New Roman"/>
          <w:bCs/>
          <w:iCs/>
          <w:sz w:val="28"/>
          <w:szCs w:val="28"/>
        </w:rPr>
        <w:t>-</w:t>
      </w:r>
      <w:r w:rsidRPr="00660129">
        <w:rPr>
          <w:rFonts w:ascii="Times New Roman" w:hAnsi="Times New Roman"/>
          <w:bCs/>
          <w:iCs/>
          <w:sz w:val="28"/>
          <w:szCs w:val="28"/>
        </w:rPr>
        <w:t xml:space="preserve">химические показатели 1 раз в квартал (положительные пробы </w:t>
      </w:r>
      <w:r>
        <w:rPr>
          <w:rFonts w:ascii="Times New Roman" w:hAnsi="Times New Roman"/>
          <w:bCs/>
          <w:iCs/>
          <w:sz w:val="28"/>
          <w:szCs w:val="28"/>
        </w:rPr>
        <w:t>–</w:t>
      </w:r>
      <w:r w:rsidRPr="00660129">
        <w:rPr>
          <w:rFonts w:ascii="Times New Roman" w:hAnsi="Times New Roman"/>
          <w:bCs/>
          <w:iCs/>
          <w:sz w:val="28"/>
          <w:szCs w:val="28"/>
        </w:rPr>
        <w:t xml:space="preserve"> превышение но минерализации (сухой остаток), железу, бору).</w:t>
      </w:r>
    </w:p>
    <w:p w:rsidR="002D1E45" w:rsidRPr="00660129" w:rsidRDefault="002D1E45" w:rsidP="00660129">
      <w:pPr>
        <w:spacing w:after="0" w:line="240" w:lineRule="auto"/>
        <w:ind w:firstLine="709"/>
        <w:jc w:val="both"/>
        <w:rPr>
          <w:rFonts w:ascii="Times New Roman" w:hAnsi="Times New Roman"/>
          <w:bCs/>
          <w:iCs/>
          <w:sz w:val="28"/>
          <w:szCs w:val="28"/>
        </w:rPr>
      </w:pPr>
      <w:r w:rsidRPr="00660129">
        <w:rPr>
          <w:rFonts w:ascii="Times New Roman" w:hAnsi="Times New Roman"/>
          <w:bCs/>
          <w:iCs/>
          <w:sz w:val="28"/>
          <w:szCs w:val="28"/>
        </w:rPr>
        <w:t>На территории города Куйбышева очистка и дезинфекция хозяйственно</w:t>
      </w:r>
      <w:r>
        <w:rPr>
          <w:rFonts w:ascii="Times New Roman" w:hAnsi="Times New Roman"/>
          <w:bCs/>
          <w:iCs/>
          <w:sz w:val="28"/>
          <w:szCs w:val="28"/>
        </w:rPr>
        <w:t>-</w:t>
      </w:r>
      <w:r w:rsidRPr="00660129">
        <w:rPr>
          <w:rFonts w:ascii="Times New Roman" w:hAnsi="Times New Roman"/>
          <w:bCs/>
          <w:iCs/>
          <w:sz w:val="28"/>
          <w:szCs w:val="28"/>
        </w:rPr>
        <w:t>фекальных</w:t>
      </w:r>
      <w:r>
        <w:rPr>
          <w:rFonts w:ascii="Times New Roman" w:hAnsi="Times New Roman"/>
          <w:bCs/>
          <w:iCs/>
          <w:sz w:val="28"/>
          <w:szCs w:val="28"/>
        </w:rPr>
        <w:t xml:space="preserve"> </w:t>
      </w:r>
      <w:r w:rsidRPr="00660129">
        <w:rPr>
          <w:rFonts w:ascii="Times New Roman" w:hAnsi="Times New Roman"/>
          <w:bCs/>
          <w:iCs/>
          <w:sz w:val="28"/>
          <w:szCs w:val="28"/>
        </w:rPr>
        <w:t>вод от предприятий, организаций и жилых кварталов города</w:t>
      </w:r>
      <w:r>
        <w:rPr>
          <w:rFonts w:ascii="Times New Roman" w:hAnsi="Times New Roman"/>
          <w:bCs/>
          <w:iCs/>
          <w:sz w:val="28"/>
          <w:szCs w:val="28"/>
        </w:rPr>
        <w:t xml:space="preserve"> </w:t>
      </w:r>
      <w:r w:rsidRPr="00660129">
        <w:rPr>
          <w:rFonts w:ascii="Times New Roman" w:hAnsi="Times New Roman"/>
          <w:bCs/>
          <w:iCs/>
          <w:sz w:val="28"/>
          <w:szCs w:val="28"/>
        </w:rPr>
        <w:t xml:space="preserve">производится на биологических очистных сооружениях (далее </w:t>
      </w:r>
      <w:r>
        <w:rPr>
          <w:rFonts w:ascii="Times New Roman" w:hAnsi="Times New Roman"/>
          <w:bCs/>
          <w:iCs/>
          <w:sz w:val="28"/>
          <w:szCs w:val="28"/>
        </w:rPr>
        <w:t>–</w:t>
      </w:r>
      <w:r w:rsidRPr="00660129">
        <w:rPr>
          <w:rFonts w:ascii="Times New Roman" w:hAnsi="Times New Roman"/>
          <w:bCs/>
          <w:iCs/>
          <w:sz w:val="28"/>
          <w:szCs w:val="28"/>
        </w:rPr>
        <w:t xml:space="preserve"> БОС). Очистка</w:t>
      </w:r>
      <w:r>
        <w:rPr>
          <w:rFonts w:ascii="Times New Roman" w:hAnsi="Times New Roman"/>
          <w:bCs/>
          <w:iCs/>
          <w:sz w:val="28"/>
          <w:szCs w:val="28"/>
        </w:rPr>
        <w:t xml:space="preserve"> </w:t>
      </w:r>
      <w:r w:rsidRPr="00660129">
        <w:rPr>
          <w:rFonts w:ascii="Times New Roman" w:hAnsi="Times New Roman"/>
          <w:bCs/>
          <w:iCs/>
          <w:sz w:val="28"/>
          <w:szCs w:val="28"/>
        </w:rPr>
        <w:t>производится согласно техническому регламенту очистки сточных вод.</w:t>
      </w:r>
    </w:p>
    <w:p w:rsidR="002D1E45" w:rsidRPr="00660129" w:rsidRDefault="002D1E45" w:rsidP="00660129">
      <w:pPr>
        <w:spacing w:after="0" w:line="240" w:lineRule="auto"/>
        <w:ind w:firstLine="709"/>
        <w:jc w:val="both"/>
        <w:rPr>
          <w:rFonts w:ascii="Times New Roman" w:hAnsi="Times New Roman"/>
          <w:bCs/>
          <w:iCs/>
          <w:sz w:val="28"/>
          <w:szCs w:val="28"/>
        </w:rPr>
      </w:pPr>
      <w:r w:rsidRPr="00660129">
        <w:rPr>
          <w:rFonts w:ascii="Times New Roman" w:hAnsi="Times New Roman"/>
          <w:bCs/>
          <w:iCs/>
          <w:sz w:val="28"/>
          <w:szCs w:val="28"/>
        </w:rPr>
        <w:t>Дезинфекция очищенных сточных вод проводится гипохлоритом натрия. После</w:t>
      </w:r>
      <w:r>
        <w:rPr>
          <w:rFonts w:ascii="Times New Roman" w:hAnsi="Times New Roman"/>
          <w:bCs/>
          <w:iCs/>
          <w:sz w:val="28"/>
          <w:szCs w:val="28"/>
        </w:rPr>
        <w:t xml:space="preserve"> </w:t>
      </w:r>
      <w:r w:rsidRPr="00660129">
        <w:rPr>
          <w:rFonts w:ascii="Times New Roman" w:hAnsi="Times New Roman"/>
          <w:bCs/>
          <w:iCs/>
          <w:sz w:val="28"/>
          <w:szCs w:val="28"/>
        </w:rPr>
        <w:t>БОС, очищенные воды, поступают в пруд-накопитель для дальнейшей доочистки в</w:t>
      </w:r>
      <w:r>
        <w:rPr>
          <w:rFonts w:ascii="Times New Roman" w:hAnsi="Times New Roman"/>
          <w:bCs/>
          <w:iCs/>
          <w:sz w:val="28"/>
          <w:szCs w:val="28"/>
        </w:rPr>
        <w:t xml:space="preserve"> </w:t>
      </w:r>
      <w:r w:rsidRPr="00660129">
        <w:rPr>
          <w:rFonts w:ascii="Times New Roman" w:hAnsi="Times New Roman"/>
          <w:bCs/>
          <w:iCs/>
          <w:sz w:val="28"/>
          <w:szCs w:val="28"/>
        </w:rPr>
        <w:t>оз. Большие Кайлы. В паводковый период в момент наибольшего разбавления</w:t>
      </w:r>
      <w:r>
        <w:rPr>
          <w:rFonts w:ascii="Times New Roman" w:hAnsi="Times New Roman"/>
          <w:bCs/>
          <w:iCs/>
          <w:sz w:val="28"/>
          <w:szCs w:val="28"/>
        </w:rPr>
        <w:t xml:space="preserve"> </w:t>
      </w:r>
      <w:r w:rsidRPr="00660129">
        <w:rPr>
          <w:rFonts w:ascii="Times New Roman" w:hAnsi="Times New Roman"/>
          <w:bCs/>
          <w:iCs/>
          <w:sz w:val="28"/>
          <w:szCs w:val="28"/>
        </w:rPr>
        <w:t>очищенные сточные воды из озера Б. Кайлы сбрасываются в течении 91 суток в рек</w:t>
      </w:r>
      <w:r>
        <w:rPr>
          <w:rFonts w:ascii="Times New Roman" w:hAnsi="Times New Roman"/>
          <w:bCs/>
          <w:iCs/>
          <w:sz w:val="28"/>
          <w:szCs w:val="28"/>
        </w:rPr>
        <w:t xml:space="preserve">у </w:t>
      </w:r>
      <w:r w:rsidRPr="00660129">
        <w:rPr>
          <w:rFonts w:ascii="Times New Roman" w:hAnsi="Times New Roman"/>
          <w:bCs/>
          <w:iCs/>
          <w:sz w:val="28"/>
          <w:szCs w:val="28"/>
        </w:rPr>
        <w:t>Омь ниже города. С целью контроля загрязняющих веществ в сточных водах,</w:t>
      </w:r>
      <w:r>
        <w:rPr>
          <w:rFonts w:ascii="Times New Roman" w:hAnsi="Times New Roman"/>
          <w:bCs/>
          <w:iCs/>
          <w:sz w:val="28"/>
          <w:szCs w:val="28"/>
        </w:rPr>
        <w:t xml:space="preserve"> </w:t>
      </w:r>
      <w:r w:rsidRPr="00660129">
        <w:rPr>
          <w:rFonts w:ascii="Times New Roman" w:hAnsi="Times New Roman"/>
          <w:bCs/>
          <w:iCs/>
          <w:sz w:val="28"/>
          <w:szCs w:val="28"/>
        </w:rPr>
        <w:t>разработана программа производственного контроля, которая включает в себя</w:t>
      </w:r>
      <w:r>
        <w:rPr>
          <w:rFonts w:ascii="Times New Roman" w:hAnsi="Times New Roman"/>
          <w:bCs/>
          <w:iCs/>
          <w:sz w:val="28"/>
          <w:szCs w:val="28"/>
        </w:rPr>
        <w:t xml:space="preserve"> </w:t>
      </w:r>
      <w:r w:rsidRPr="00660129">
        <w:rPr>
          <w:rFonts w:ascii="Times New Roman" w:hAnsi="Times New Roman"/>
          <w:bCs/>
          <w:iCs/>
          <w:sz w:val="28"/>
          <w:szCs w:val="28"/>
        </w:rPr>
        <w:t>контроль по составу загрязняющих веществ в сточных водах, поступающих на</w:t>
      </w:r>
      <w:r>
        <w:rPr>
          <w:rFonts w:ascii="Times New Roman" w:hAnsi="Times New Roman"/>
          <w:bCs/>
          <w:iCs/>
          <w:sz w:val="28"/>
          <w:szCs w:val="28"/>
        </w:rPr>
        <w:t xml:space="preserve"> </w:t>
      </w:r>
      <w:r w:rsidRPr="00660129">
        <w:rPr>
          <w:rFonts w:ascii="Times New Roman" w:hAnsi="Times New Roman"/>
          <w:bCs/>
          <w:iCs/>
          <w:sz w:val="28"/>
          <w:szCs w:val="28"/>
        </w:rPr>
        <w:t>очистные сооружения, на стадиях очистки, до проведения дезинфекции и после</w:t>
      </w:r>
      <w:r>
        <w:rPr>
          <w:rFonts w:ascii="Times New Roman" w:hAnsi="Times New Roman"/>
          <w:bCs/>
          <w:iCs/>
          <w:sz w:val="28"/>
          <w:szCs w:val="28"/>
        </w:rPr>
        <w:t xml:space="preserve"> </w:t>
      </w:r>
      <w:r w:rsidRPr="00660129">
        <w:rPr>
          <w:rFonts w:ascii="Times New Roman" w:hAnsi="Times New Roman"/>
          <w:bCs/>
          <w:iCs/>
          <w:sz w:val="28"/>
          <w:szCs w:val="28"/>
        </w:rPr>
        <w:t>дезинфекции очищенных сточных вод и в период сброса очищенных сточных вод в</w:t>
      </w:r>
      <w:r>
        <w:rPr>
          <w:rFonts w:ascii="Times New Roman" w:hAnsi="Times New Roman"/>
          <w:bCs/>
          <w:iCs/>
          <w:sz w:val="28"/>
          <w:szCs w:val="28"/>
        </w:rPr>
        <w:t xml:space="preserve"> </w:t>
      </w:r>
      <w:r w:rsidRPr="00660129">
        <w:rPr>
          <w:rFonts w:ascii="Times New Roman" w:hAnsi="Times New Roman"/>
          <w:bCs/>
          <w:iCs/>
          <w:sz w:val="28"/>
          <w:szCs w:val="28"/>
        </w:rPr>
        <w:t>реку Омь.</w:t>
      </w:r>
    </w:p>
    <w:p w:rsidR="002D1E45" w:rsidRPr="00660129" w:rsidRDefault="002D1E45" w:rsidP="00660129">
      <w:pPr>
        <w:spacing w:after="0" w:line="240" w:lineRule="auto"/>
        <w:ind w:firstLine="709"/>
        <w:jc w:val="both"/>
        <w:rPr>
          <w:rFonts w:ascii="Times New Roman" w:hAnsi="Times New Roman"/>
          <w:bCs/>
          <w:iCs/>
          <w:sz w:val="28"/>
          <w:szCs w:val="28"/>
        </w:rPr>
      </w:pPr>
      <w:r w:rsidRPr="00660129">
        <w:rPr>
          <w:rFonts w:ascii="Times New Roman" w:hAnsi="Times New Roman"/>
          <w:bCs/>
          <w:iCs/>
          <w:sz w:val="28"/>
          <w:szCs w:val="28"/>
        </w:rPr>
        <w:t>Контроль ведётся, по 23 загрязняющим веществам:</w:t>
      </w:r>
    </w:p>
    <w:p w:rsidR="002D1E45" w:rsidRPr="00660129" w:rsidRDefault="002D1E45" w:rsidP="00660129">
      <w:pPr>
        <w:numPr>
          <w:ilvl w:val="0"/>
          <w:numId w:val="24"/>
        </w:numPr>
        <w:tabs>
          <w:tab w:val="left" w:pos="1134"/>
        </w:tabs>
        <w:spacing w:after="0" w:line="240" w:lineRule="auto"/>
        <w:jc w:val="both"/>
        <w:rPr>
          <w:rFonts w:ascii="Times New Roman" w:hAnsi="Times New Roman"/>
          <w:sz w:val="28"/>
          <w:szCs w:val="28"/>
        </w:rPr>
      </w:pPr>
      <w:r w:rsidRPr="00660129">
        <w:rPr>
          <w:rFonts w:ascii="Times New Roman" w:hAnsi="Times New Roman"/>
          <w:sz w:val="28"/>
          <w:szCs w:val="28"/>
        </w:rPr>
        <w:t>по взвешенным веществам, минеральному составу (по сухому остатку), хлоридам</w:t>
      </w:r>
      <w:r>
        <w:rPr>
          <w:rFonts w:ascii="Times New Roman" w:hAnsi="Times New Roman"/>
          <w:sz w:val="28"/>
          <w:szCs w:val="28"/>
        </w:rPr>
        <w:t>;</w:t>
      </w:r>
    </w:p>
    <w:p w:rsidR="002D1E45" w:rsidRPr="00660129" w:rsidRDefault="002D1E45" w:rsidP="00660129">
      <w:pPr>
        <w:numPr>
          <w:ilvl w:val="0"/>
          <w:numId w:val="24"/>
        </w:numPr>
        <w:tabs>
          <w:tab w:val="left" w:pos="1134"/>
        </w:tabs>
        <w:spacing w:after="0" w:line="240" w:lineRule="auto"/>
        <w:jc w:val="both"/>
        <w:rPr>
          <w:rFonts w:ascii="Times New Roman" w:hAnsi="Times New Roman"/>
          <w:sz w:val="28"/>
          <w:szCs w:val="28"/>
        </w:rPr>
      </w:pPr>
      <w:r w:rsidRPr="00660129">
        <w:rPr>
          <w:rFonts w:ascii="Times New Roman" w:hAnsi="Times New Roman"/>
          <w:sz w:val="28"/>
          <w:szCs w:val="28"/>
        </w:rPr>
        <w:t>сульфатам, растворённому кислороду, pH, аммоний ионы, нитратам, нитритам</w:t>
      </w:r>
      <w:r>
        <w:rPr>
          <w:rFonts w:ascii="Times New Roman" w:hAnsi="Times New Roman"/>
          <w:sz w:val="28"/>
          <w:szCs w:val="28"/>
        </w:rPr>
        <w:t>;</w:t>
      </w:r>
    </w:p>
    <w:p w:rsidR="002D1E45" w:rsidRPr="00660129" w:rsidRDefault="002D1E45" w:rsidP="00660129">
      <w:pPr>
        <w:numPr>
          <w:ilvl w:val="0"/>
          <w:numId w:val="24"/>
        </w:numPr>
        <w:tabs>
          <w:tab w:val="left" w:pos="1134"/>
        </w:tabs>
        <w:spacing w:after="0" w:line="240" w:lineRule="auto"/>
        <w:jc w:val="both"/>
        <w:rPr>
          <w:rFonts w:ascii="Times New Roman" w:hAnsi="Times New Roman"/>
          <w:sz w:val="28"/>
          <w:szCs w:val="28"/>
        </w:rPr>
      </w:pPr>
      <w:r w:rsidRPr="00660129">
        <w:rPr>
          <w:rFonts w:ascii="Times New Roman" w:hAnsi="Times New Roman"/>
          <w:sz w:val="28"/>
          <w:szCs w:val="28"/>
        </w:rPr>
        <w:t>фосфатам, нефтепродуктам, меди, железу, свинцу, перхлорату аммония,</w:t>
      </w:r>
    </w:p>
    <w:p w:rsidR="002D1E45" w:rsidRPr="00660129" w:rsidRDefault="002D1E45" w:rsidP="00660129">
      <w:pPr>
        <w:numPr>
          <w:ilvl w:val="0"/>
          <w:numId w:val="24"/>
        </w:numPr>
        <w:tabs>
          <w:tab w:val="left" w:pos="1134"/>
        </w:tabs>
        <w:spacing w:after="0" w:line="240" w:lineRule="auto"/>
        <w:jc w:val="both"/>
        <w:rPr>
          <w:rFonts w:ascii="Times New Roman" w:hAnsi="Times New Roman"/>
          <w:sz w:val="28"/>
          <w:szCs w:val="28"/>
        </w:rPr>
      </w:pPr>
      <w:r w:rsidRPr="00660129">
        <w:rPr>
          <w:rFonts w:ascii="Times New Roman" w:hAnsi="Times New Roman"/>
          <w:sz w:val="28"/>
          <w:szCs w:val="28"/>
        </w:rPr>
        <w:t>гидразингидрату, бору, цинку, СПАВ, БПК, бактериологическому анализу</w:t>
      </w:r>
      <w:r>
        <w:rPr>
          <w:rFonts w:ascii="Times New Roman" w:hAnsi="Times New Roman"/>
          <w:sz w:val="28"/>
          <w:szCs w:val="28"/>
        </w:rPr>
        <w:t>;</w:t>
      </w:r>
    </w:p>
    <w:p w:rsidR="002D1E45" w:rsidRPr="00660129" w:rsidRDefault="002D1E45" w:rsidP="00660129">
      <w:pPr>
        <w:numPr>
          <w:ilvl w:val="0"/>
          <w:numId w:val="24"/>
        </w:numPr>
        <w:tabs>
          <w:tab w:val="left" w:pos="1134"/>
        </w:tabs>
        <w:spacing w:after="0" w:line="240" w:lineRule="auto"/>
        <w:jc w:val="both"/>
        <w:rPr>
          <w:rFonts w:ascii="Times New Roman" w:hAnsi="Times New Roman"/>
          <w:sz w:val="28"/>
          <w:szCs w:val="28"/>
        </w:rPr>
      </w:pPr>
      <w:r w:rsidRPr="00660129">
        <w:rPr>
          <w:rFonts w:ascii="Times New Roman" w:hAnsi="Times New Roman"/>
          <w:sz w:val="28"/>
          <w:szCs w:val="28"/>
        </w:rPr>
        <w:t>проводятся паразитологические исследования.</w:t>
      </w:r>
    </w:p>
    <w:p w:rsidR="002D1E45" w:rsidRDefault="002D1E45" w:rsidP="00660129">
      <w:pPr>
        <w:spacing w:after="0" w:line="240" w:lineRule="auto"/>
        <w:ind w:firstLine="709"/>
        <w:jc w:val="both"/>
        <w:rPr>
          <w:rFonts w:ascii="Times New Roman" w:hAnsi="Times New Roman"/>
          <w:bCs/>
          <w:iCs/>
          <w:sz w:val="28"/>
          <w:szCs w:val="28"/>
        </w:rPr>
      </w:pPr>
      <w:r w:rsidRPr="00660129">
        <w:rPr>
          <w:rFonts w:ascii="Times New Roman" w:hAnsi="Times New Roman"/>
          <w:bCs/>
          <w:iCs/>
          <w:sz w:val="28"/>
          <w:szCs w:val="28"/>
        </w:rPr>
        <w:t>Контроль за сбросом загрязняющих веществ в сточных водах осуществляет</w:t>
      </w:r>
      <w:r>
        <w:rPr>
          <w:rFonts w:ascii="Times New Roman" w:hAnsi="Times New Roman"/>
          <w:bCs/>
          <w:iCs/>
          <w:sz w:val="28"/>
          <w:szCs w:val="28"/>
        </w:rPr>
        <w:t xml:space="preserve"> </w:t>
      </w:r>
      <w:r w:rsidRPr="00660129">
        <w:rPr>
          <w:rFonts w:ascii="Times New Roman" w:hAnsi="Times New Roman"/>
          <w:bCs/>
          <w:iCs/>
          <w:sz w:val="28"/>
          <w:szCs w:val="28"/>
        </w:rPr>
        <w:t>аккредитованная лаборатория биологических очистных сооружений МУП</w:t>
      </w:r>
      <w:r>
        <w:rPr>
          <w:rFonts w:ascii="Times New Roman" w:hAnsi="Times New Roman"/>
          <w:bCs/>
          <w:iCs/>
          <w:sz w:val="28"/>
          <w:szCs w:val="28"/>
        </w:rPr>
        <w:t xml:space="preserve"> </w:t>
      </w:r>
      <w:r w:rsidRPr="00660129">
        <w:rPr>
          <w:rFonts w:ascii="Times New Roman" w:hAnsi="Times New Roman"/>
          <w:bCs/>
          <w:iCs/>
          <w:sz w:val="28"/>
          <w:szCs w:val="28"/>
        </w:rPr>
        <w:t>«Геострой».</w:t>
      </w:r>
    </w:p>
    <w:p w:rsidR="002D1E45" w:rsidRPr="000E3AEB" w:rsidRDefault="002D1E45" w:rsidP="000E3AEB">
      <w:pPr>
        <w:spacing w:after="0" w:line="240" w:lineRule="auto"/>
        <w:ind w:firstLine="709"/>
        <w:jc w:val="both"/>
        <w:rPr>
          <w:rFonts w:ascii="Times New Roman" w:hAnsi="Times New Roman"/>
          <w:bCs/>
          <w:iCs/>
          <w:sz w:val="28"/>
          <w:szCs w:val="28"/>
        </w:rPr>
      </w:pPr>
      <w:r w:rsidRPr="000E3AEB">
        <w:rPr>
          <w:rFonts w:ascii="Times New Roman" w:hAnsi="Times New Roman"/>
          <w:bCs/>
          <w:iCs/>
          <w:sz w:val="28"/>
          <w:szCs w:val="28"/>
        </w:rPr>
        <w:t>Актуальность проблемы охраны водных ресурсов продиктована всё возрастающей экологической нагрузкой на поверхностные водные источники и включает следующие аспекты:</w:t>
      </w:r>
    </w:p>
    <w:p w:rsidR="002D1E45" w:rsidRPr="000E3AEB" w:rsidRDefault="002D1E45" w:rsidP="00852938">
      <w:pPr>
        <w:numPr>
          <w:ilvl w:val="0"/>
          <w:numId w:val="24"/>
        </w:numPr>
        <w:tabs>
          <w:tab w:val="num" w:pos="1068"/>
          <w:tab w:val="left" w:pos="1134"/>
        </w:tabs>
        <w:spacing w:after="0" w:line="240" w:lineRule="auto"/>
        <w:jc w:val="both"/>
        <w:rPr>
          <w:rFonts w:ascii="Times New Roman" w:hAnsi="Times New Roman"/>
          <w:sz w:val="28"/>
          <w:szCs w:val="28"/>
        </w:rPr>
      </w:pPr>
      <w:r w:rsidRPr="000E3AEB">
        <w:rPr>
          <w:rFonts w:ascii="Times New Roman" w:hAnsi="Times New Roman"/>
          <w:sz w:val="28"/>
          <w:szCs w:val="28"/>
        </w:rPr>
        <w:t>обеспечение населения качественной водой в необходимых количествах;</w:t>
      </w:r>
    </w:p>
    <w:p w:rsidR="002D1E45" w:rsidRDefault="002D1E45" w:rsidP="00852938">
      <w:pPr>
        <w:numPr>
          <w:ilvl w:val="0"/>
          <w:numId w:val="24"/>
        </w:numPr>
        <w:tabs>
          <w:tab w:val="num" w:pos="1068"/>
          <w:tab w:val="left" w:pos="1134"/>
        </w:tabs>
        <w:spacing w:after="0" w:line="240" w:lineRule="auto"/>
        <w:jc w:val="both"/>
        <w:rPr>
          <w:rFonts w:ascii="Times New Roman" w:hAnsi="Times New Roman"/>
          <w:sz w:val="28"/>
          <w:szCs w:val="28"/>
        </w:rPr>
      </w:pPr>
      <w:r w:rsidRPr="000E3AEB">
        <w:rPr>
          <w:rFonts w:ascii="Times New Roman" w:hAnsi="Times New Roman"/>
          <w:sz w:val="28"/>
          <w:szCs w:val="28"/>
        </w:rPr>
        <w:t>рациональное использование водных ресурсов;</w:t>
      </w:r>
    </w:p>
    <w:p w:rsidR="002D1E45" w:rsidRPr="000E3AEB" w:rsidRDefault="002D1E45" w:rsidP="000E3AEB">
      <w:pPr>
        <w:numPr>
          <w:ilvl w:val="0"/>
          <w:numId w:val="24"/>
        </w:numPr>
        <w:tabs>
          <w:tab w:val="left" w:pos="1134"/>
        </w:tabs>
        <w:spacing w:after="0" w:line="240" w:lineRule="auto"/>
        <w:jc w:val="both"/>
        <w:rPr>
          <w:rFonts w:ascii="Times New Roman" w:hAnsi="Times New Roman"/>
          <w:sz w:val="28"/>
          <w:szCs w:val="28"/>
        </w:rPr>
      </w:pPr>
      <w:r w:rsidRPr="000E3AEB">
        <w:rPr>
          <w:rFonts w:ascii="Times New Roman" w:hAnsi="Times New Roman"/>
          <w:sz w:val="28"/>
          <w:szCs w:val="28"/>
        </w:rPr>
        <w:t>предотвращение загрязнения водоёмов;</w:t>
      </w:r>
    </w:p>
    <w:p w:rsidR="002D1E45" w:rsidRPr="000E3AEB" w:rsidRDefault="002D1E45" w:rsidP="000E3AEB">
      <w:pPr>
        <w:numPr>
          <w:ilvl w:val="0"/>
          <w:numId w:val="24"/>
        </w:numPr>
        <w:tabs>
          <w:tab w:val="left" w:pos="1134"/>
        </w:tabs>
        <w:spacing w:after="0" w:line="240" w:lineRule="auto"/>
        <w:jc w:val="both"/>
        <w:rPr>
          <w:rFonts w:ascii="Times New Roman" w:hAnsi="Times New Roman"/>
          <w:sz w:val="28"/>
          <w:szCs w:val="28"/>
        </w:rPr>
      </w:pPr>
      <w:r w:rsidRPr="000E3AEB">
        <w:rPr>
          <w:rFonts w:ascii="Times New Roman" w:hAnsi="Times New Roman"/>
          <w:sz w:val="28"/>
          <w:szCs w:val="28"/>
        </w:rPr>
        <w:t>соблюдение специальных режимов на территориях санитарной охраны водоисточников и водоохранных зонах водоёмов;</w:t>
      </w:r>
    </w:p>
    <w:p w:rsidR="002D1E45" w:rsidRPr="000E3AEB" w:rsidRDefault="002D1E45" w:rsidP="000E3AEB">
      <w:pPr>
        <w:numPr>
          <w:ilvl w:val="0"/>
          <w:numId w:val="24"/>
        </w:numPr>
        <w:tabs>
          <w:tab w:val="left" w:pos="1134"/>
        </w:tabs>
        <w:spacing w:after="0" w:line="240" w:lineRule="auto"/>
        <w:jc w:val="both"/>
        <w:rPr>
          <w:rFonts w:ascii="Times New Roman" w:hAnsi="Times New Roman"/>
          <w:sz w:val="28"/>
          <w:szCs w:val="28"/>
        </w:rPr>
      </w:pPr>
      <w:r w:rsidRPr="000E3AEB">
        <w:rPr>
          <w:rFonts w:ascii="Times New Roman" w:hAnsi="Times New Roman"/>
          <w:sz w:val="28"/>
          <w:szCs w:val="28"/>
        </w:rPr>
        <w:t>действенный контроль над использованием водных ресурсов и их качеством.</w:t>
      </w:r>
    </w:p>
    <w:p w:rsidR="002D1E45" w:rsidRPr="00F3114F" w:rsidRDefault="002D1E45" w:rsidP="00FE1BF0">
      <w:pPr>
        <w:spacing w:after="0" w:line="240" w:lineRule="auto"/>
        <w:ind w:firstLine="709"/>
        <w:jc w:val="both"/>
        <w:rPr>
          <w:rFonts w:ascii="Times New Roman" w:hAnsi="Times New Roman"/>
          <w:bCs/>
          <w:i/>
          <w:iCs/>
          <w:sz w:val="28"/>
          <w:szCs w:val="28"/>
          <w:u w:val="single"/>
        </w:rPr>
      </w:pPr>
      <w:r w:rsidRPr="00F3114F">
        <w:rPr>
          <w:rFonts w:ascii="Times New Roman" w:hAnsi="Times New Roman"/>
          <w:bCs/>
          <w:i/>
          <w:iCs/>
          <w:sz w:val="28"/>
          <w:szCs w:val="28"/>
          <w:u w:val="single"/>
        </w:rPr>
        <w:t>Атмосферный воздух</w:t>
      </w:r>
    </w:p>
    <w:p w:rsidR="002D1E45" w:rsidRPr="00977B6E" w:rsidRDefault="002D1E45" w:rsidP="00977B6E">
      <w:pPr>
        <w:spacing w:after="0" w:line="240" w:lineRule="auto"/>
        <w:ind w:firstLine="709"/>
        <w:jc w:val="both"/>
        <w:rPr>
          <w:rFonts w:ascii="Times New Roman" w:hAnsi="Times New Roman"/>
          <w:sz w:val="28"/>
          <w:szCs w:val="28"/>
        </w:rPr>
      </w:pPr>
      <w:r w:rsidRPr="00977B6E">
        <w:rPr>
          <w:rFonts w:ascii="Times New Roman" w:hAnsi="Times New Roman"/>
          <w:sz w:val="28"/>
          <w:szCs w:val="28"/>
        </w:rPr>
        <w:t>Состояние воздушного бассейна является одним из</w:t>
      </w:r>
      <w:r>
        <w:rPr>
          <w:rFonts w:ascii="Times New Roman" w:hAnsi="Times New Roman"/>
          <w:sz w:val="28"/>
          <w:szCs w:val="28"/>
        </w:rPr>
        <w:t> </w:t>
      </w:r>
      <w:r w:rsidRPr="00977B6E">
        <w:rPr>
          <w:rFonts w:ascii="Times New Roman" w:hAnsi="Times New Roman"/>
          <w:sz w:val="28"/>
          <w:szCs w:val="28"/>
        </w:rPr>
        <w:t>основных экологических факторов, определяющих экологическую ситуацию и</w:t>
      </w:r>
      <w:r>
        <w:rPr>
          <w:rFonts w:ascii="Times New Roman" w:hAnsi="Times New Roman"/>
          <w:sz w:val="28"/>
          <w:szCs w:val="28"/>
        </w:rPr>
        <w:t> </w:t>
      </w:r>
      <w:r w:rsidRPr="00977B6E">
        <w:rPr>
          <w:rFonts w:ascii="Times New Roman" w:hAnsi="Times New Roman"/>
          <w:sz w:val="28"/>
          <w:szCs w:val="28"/>
        </w:rPr>
        <w:t>условия проживания населения.</w:t>
      </w:r>
    </w:p>
    <w:p w:rsidR="002D1E45" w:rsidRPr="00977B6E" w:rsidRDefault="002D1E45" w:rsidP="009A7768">
      <w:pPr>
        <w:spacing w:after="0" w:line="240" w:lineRule="auto"/>
        <w:ind w:firstLine="709"/>
        <w:jc w:val="both"/>
        <w:rPr>
          <w:rFonts w:ascii="Times New Roman" w:hAnsi="Times New Roman"/>
          <w:sz w:val="28"/>
          <w:szCs w:val="28"/>
        </w:rPr>
      </w:pPr>
      <w:r w:rsidRPr="00B859FF">
        <w:rPr>
          <w:rFonts w:ascii="Times New Roman" w:hAnsi="Times New Roman"/>
          <w:bCs/>
          <w:iCs/>
          <w:sz w:val="28"/>
          <w:szCs w:val="28"/>
        </w:rPr>
        <w:t xml:space="preserve">Для проектируемой территории </w:t>
      </w:r>
      <w:r>
        <w:rPr>
          <w:rFonts w:ascii="Times New Roman" w:hAnsi="Times New Roman"/>
          <w:bCs/>
          <w:iCs/>
          <w:sz w:val="28"/>
          <w:szCs w:val="28"/>
        </w:rPr>
        <w:t>–</w:t>
      </w:r>
      <w:r w:rsidRPr="00B859FF">
        <w:rPr>
          <w:rFonts w:ascii="Times New Roman" w:hAnsi="Times New Roman"/>
          <w:bCs/>
          <w:iCs/>
          <w:sz w:val="28"/>
          <w:szCs w:val="28"/>
        </w:rPr>
        <w:t xml:space="preserve"> это зоны атмосферного загрязнения</w:t>
      </w:r>
      <w:r>
        <w:rPr>
          <w:rFonts w:ascii="Times New Roman" w:hAnsi="Times New Roman"/>
          <w:bCs/>
          <w:iCs/>
          <w:sz w:val="28"/>
          <w:szCs w:val="28"/>
        </w:rPr>
        <w:t>, в том числе и от автодорог</w:t>
      </w:r>
      <w:r w:rsidRPr="00B859FF">
        <w:rPr>
          <w:rFonts w:ascii="Times New Roman" w:hAnsi="Times New Roman"/>
          <w:bCs/>
          <w:iCs/>
          <w:sz w:val="28"/>
          <w:szCs w:val="28"/>
        </w:rPr>
        <w:t>. Уровень неблагоприятного воздействия автодорог определяется концентрациями загрязняющих веществ, создаваемыми в</w:t>
      </w:r>
      <w:r>
        <w:rPr>
          <w:rFonts w:ascii="Times New Roman" w:hAnsi="Times New Roman"/>
          <w:bCs/>
          <w:iCs/>
          <w:sz w:val="28"/>
          <w:szCs w:val="28"/>
        </w:rPr>
        <w:t> </w:t>
      </w:r>
      <w:r w:rsidRPr="00B859FF">
        <w:rPr>
          <w:rFonts w:ascii="Times New Roman" w:hAnsi="Times New Roman"/>
          <w:bCs/>
          <w:iCs/>
          <w:sz w:val="28"/>
          <w:szCs w:val="28"/>
        </w:rPr>
        <w:t>приземном слое атмосферы за</w:t>
      </w:r>
      <w:r>
        <w:rPr>
          <w:rFonts w:ascii="Times New Roman" w:hAnsi="Times New Roman"/>
          <w:bCs/>
          <w:iCs/>
          <w:sz w:val="28"/>
          <w:szCs w:val="28"/>
        </w:rPr>
        <w:t> </w:t>
      </w:r>
      <w:r w:rsidRPr="00B859FF">
        <w:rPr>
          <w:rFonts w:ascii="Times New Roman" w:hAnsi="Times New Roman"/>
          <w:bCs/>
          <w:iCs/>
          <w:sz w:val="28"/>
          <w:szCs w:val="28"/>
        </w:rPr>
        <w:t>счёт выбросов от</w:t>
      </w:r>
      <w:r>
        <w:rPr>
          <w:rFonts w:ascii="Times New Roman" w:hAnsi="Times New Roman"/>
          <w:bCs/>
          <w:iCs/>
          <w:sz w:val="28"/>
          <w:szCs w:val="28"/>
        </w:rPr>
        <w:t> </w:t>
      </w:r>
      <w:r w:rsidRPr="00B859FF">
        <w:rPr>
          <w:rFonts w:ascii="Times New Roman" w:hAnsi="Times New Roman"/>
          <w:bCs/>
          <w:iCs/>
          <w:sz w:val="28"/>
          <w:szCs w:val="28"/>
        </w:rPr>
        <w:t>движущихся автотранспортных средств и</w:t>
      </w:r>
      <w:r>
        <w:rPr>
          <w:rFonts w:ascii="Times New Roman" w:hAnsi="Times New Roman"/>
          <w:bCs/>
          <w:iCs/>
          <w:sz w:val="28"/>
          <w:szCs w:val="28"/>
        </w:rPr>
        <w:t> </w:t>
      </w:r>
      <w:r w:rsidRPr="00B859FF">
        <w:rPr>
          <w:rFonts w:ascii="Times New Roman" w:hAnsi="Times New Roman"/>
          <w:bCs/>
          <w:iCs/>
          <w:sz w:val="28"/>
          <w:szCs w:val="28"/>
        </w:rPr>
        <w:t>дальностью распространения этих концентраций.</w:t>
      </w:r>
      <w:r w:rsidRPr="009A7768">
        <w:rPr>
          <w:rFonts w:ascii="Times New Roman" w:hAnsi="Times New Roman"/>
          <w:sz w:val="28"/>
          <w:szCs w:val="28"/>
        </w:rPr>
        <w:t xml:space="preserve"> </w:t>
      </w:r>
    </w:p>
    <w:p w:rsidR="002D1E45" w:rsidRPr="000E3AEB" w:rsidRDefault="002D1E45" w:rsidP="009A7768">
      <w:pPr>
        <w:spacing w:after="0" w:line="240" w:lineRule="auto"/>
        <w:ind w:firstLine="709"/>
        <w:jc w:val="both"/>
        <w:rPr>
          <w:rFonts w:ascii="Times New Roman" w:hAnsi="Times New Roman"/>
          <w:sz w:val="28"/>
          <w:szCs w:val="28"/>
        </w:rPr>
      </w:pPr>
      <w:r w:rsidRPr="000E3AEB">
        <w:rPr>
          <w:rFonts w:ascii="Times New Roman" w:hAnsi="Times New Roman"/>
          <w:sz w:val="28"/>
          <w:szCs w:val="28"/>
        </w:rPr>
        <w:t>Основными источниками загрязнения воздушного бассейна, водного бассейна и почв являются стационарные источники и динамические.</w:t>
      </w:r>
      <w:r w:rsidRPr="009A7768">
        <w:t xml:space="preserve"> </w:t>
      </w:r>
      <w:r w:rsidRPr="000E3AEB">
        <w:rPr>
          <w:rFonts w:ascii="Times New Roman" w:hAnsi="Times New Roman"/>
          <w:sz w:val="28"/>
          <w:szCs w:val="28"/>
        </w:rPr>
        <w:t>К стационарным источникам загрязнения на территории поселения относятся промышленные, коммунально-складские объекты и объекты сельскохозяйственного производства.</w:t>
      </w:r>
    </w:p>
    <w:p w:rsidR="002D1E45" w:rsidRPr="00977B6E" w:rsidRDefault="002D1E45" w:rsidP="009A7768">
      <w:pPr>
        <w:spacing w:after="0" w:line="240" w:lineRule="auto"/>
        <w:ind w:firstLine="709"/>
        <w:jc w:val="both"/>
        <w:rPr>
          <w:rFonts w:ascii="Times New Roman" w:hAnsi="Times New Roman"/>
          <w:sz w:val="28"/>
          <w:szCs w:val="28"/>
        </w:rPr>
      </w:pPr>
      <w:r w:rsidRPr="000E3AEB">
        <w:rPr>
          <w:rFonts w:ascii="Times New Roman" w:hAnsi="Times New Roman"/>
          <w:sz w:val="28"/>
          <w:szCs w:val="28"/>
        </w:rPr>
        <w:t xml:space="preserve">К динамическим (передвижным источникам) относятся </w:t>
      </w:r>
      <w:r>
        <w:rPr>
          <w:rFonts w:ascii="Times New Roman" w:hAnsi="Times New Roman"/>
          <w:sz w:val="28"/>
          <w:szCs w:val="28"/>
        </w:rPr>
        <w:t>–</w:t>
      </w:r>
      <w:r w:rsidRPr="000E3AEB">
        <w:rPr>
          <w:rFonts w:ascii="Times New Roman" w:hAnsi="Times New Roman"/>
          <w:sz w:val="28"/>
          <w:szCs w:val="28"/>
        </w:rPr>
        <w:t xml:space="preserve"> транспорт (автомобили</w:t>
      </w:r>
      <w:r>
        <w:rPr>
          <w:rFonts w:ascii="Times New Roman" w:hAnsi="Times New Roman"/>
          <w:sz w:val="28"/>
          <w:szCs w:val="28"/>
        </w:rPr>
        <w:t>,</w:t>
      </w:r>
      <w:r w:rsidRPr="000E3AEB">
        <w:rPr>
          <w:rFonts w:ascii="Times New Roman" w:hAnsi="Times New Roman"/>
          <w:sz w:val="28"/>
          <w:szCs w:val="28"/>
        </w:rPr>
        <w:t xml:space="preserve"> тракторы, мотоциклы</w:t>
      </w:r>
      <w:r>
        <w:rPr>
          <w:rFonts w:ascii="Times New Roman" w:hAnsi="Times New Roman"/>
          <w:sz w:val="28"/>
          <w:szCs w:val="28"/>
        </w:rPr>
        <w:t>)</w:t>
      </w:r>
      <w:r w:rsidRPr="000E3AEB">
        <w:rPr>
          <w:rFonts w:ascii="Times New Roman" w:hAnsi="Times New Roman"/>
          <w:sz w:val="28"/>
          <w:szCs w:val="28"/>
        </w:rPr>
        <w:t xml:space="preserve">. </w:t>
      </w:r>
      <w:r w:rsidRPr="00977B6E">
        <w:rPr>
          <w:rFonts w:ascii="Times New Roman" w:hAnsi="Times New Roman"/>
          <w:sz w:val="28"/>
          <w:szCs w:val="28"/>
        </w:rPr>
        <w:t>Из динамических источников загрязнения автотранспорт является одним из</w:t>
      </w:r>
      <w:r>
        <w:rPr>
          <w:rFonts w:ascii="Times New Roman" w:hAnsi="Times New Roman"/>
          <w:sz w:val="28"/>
          <w:szCs w:val="28"/>
        </w:rPr>
        <w:t> </w:t>
      </w:r>
      <w:r w:rsidRPr="00977B6E">
        <w:rPr>
          <w:rFonts w:ascii="Times New Roman" w:hAnsi="Times New Roman"/>
          <w:sz w:val="28"/>
          <w:szCs w:val="28"/>
        </w:rPr>
        <w:t>крупных загрязнителей атмосферного воздуха, выбросы от</w:t>
      </w:r>
      <w:r>
        <w:rPr>
          <w:rFonts w:ascii="Times New Roman" w:hAnsi="Times New Roman"/>
          <w:sz w:val="28"/>
          <w:szCs w:val="28"/>
        </w:rPr>
        <w:t> </w:t>
      </w:r>
      <w:r w:rsidRPr="00977B6E">
        <w:rPr>
          <w:rFonts w:ascii="Times New Roman" w:hAnsi="Times New Roman"/>
          <w:sz w:val="28"/>
          <w:szCs w:val="28"/>
        </w:rPr>
        <w:t>которого содержат окись углерода, окись азота, углеводороды и</w:t>
      </w:r>
      <w:r>
        <w:rPr>
          <w:rFonts w:ascii="Times New Roman" w:hAnsi="Times New Roman"/>
          <w:sz w:val="28"/>
          <w:szCs w:val="28"/>
        </w:rPr>
        <w:t> </w:t>
      </w:r>
      <w:r w:rsidRPr="00977B6E">
        <w:rPr>
          <w:rFonts w:ascii="Times New Roman" w:hAnsi="Times New Roman"/>
          <w:sz w:val="28"/>
          <w:szCs w:val="28"/>
        </w:rPr>
        <w:t>др.</w:t>
      </w:r>
    </w:p>
    <w:p w:rsidR="002D1E45" w:rsidRPr="009A7768" w:rsidRDefault="002D1E45" w:rsidP="009A7768">
      <w:pPr>
        <w:spacing w:after="0" w:line="240" w:lineRule="auto"/>
        <w:ind w:firstLine="709"/>
        <w:jc w:val="both"/>
        <w:rPr>
          <w:rFonts w:ascii="Times New Roman" w:hAnsi="Times New Roman"/>
          <w:sz w:val="28"/>
          <w:szCs w:val="28"/>
        </w:rPr>
      </w:pPr>
      <w:r w:rsidRPr="009A7768">
        <w:rPr>
          <w:rFonts w:ascii="Times New Roman" w:hAnsi="Times New Roman"/>
          <w:sz w:val="28"/>
          <w:szCs w:val="28"/>
        </w:rPr>
        <w:t>Основными источниками загрязнения атмосферного воздуха для Куйбышевского</w:t>
      </w:r>
      <w:r>
        <w:rPr>
          <w:rFonts w:ascii="Times New Roman" w:hAnsi="Times New Roman"/>
          <w:sz w:val="28"/>
          <w:szCs w:val="28"/>
        </w:rPr>
        <w:t xml:space="preserve"> </w:t>
      </w:r>
      <w:r w:rsidRPr="009A7768">
        <w:rPr>
          <w:rFonts w:ascii="Times New Roman" w:hAnsi="Times New Roman"/>
          <w:sz w:val="28"/>
          <w:szCs w:val="28"/>
        </w:rPr>
        <w:t>района, является автомобильный транспорт, предприятия теплоэнергетики,</w:t>
      </w:r>
      <w:r>
        <w:rPr>
          <w:rFonts w:ascii="Times New Roman" w:hAnsi="Times New Roman"/>
          <w:sz w:val="28"/>
          <w:szCs w:val="28"/>
        </w:rPr>
        <w:t xml:space="preserve"> </w:t>
      </w:r>
      <w:r w:rsidRPr="009A7768">
        <w:rPr>
          <w:rFonts w:ascii="Times New Roman" w:hAnsi="Times New Roman"/>
          <w:sz w:val="28"/>
          <w:szCs w:val="28"/>
        </w:rPr>
        <w:t>коммунальные котельные и низкие источники выбросов частного сектора.</w:t>
      </w:r>
    </w:p>
    <w:p w:rsidR="002D1E45" w:rsidRPr="000E3AEB" w:rsidRDefault="002D1E45" w:rsidP="009A7768">
      <w:pPr>
        <w:spacing w:after="0" w:line="240" w:lineRule="auto"/>
        <w:ind w:firstLine="709"/>
        <w:jc w:val="both"/>
        <w:rPr>
          <w:rFonts w:ascii="Times New Roman" w:hAnsi="Times New Roman"/>
          <w:sz w:val="28"/>
          <w:szCs w:val="28"/>
        </w:rPr>
      </w:pPr>
      <w:r w:rsidRPr="009A7768">
        <w:rPr>
          <w:rFonts w:ascii="Times New Roman" w:hAnsi="Times New Roman"/>
          <w:sz w:val="28"/>
          <w:szCs w:val="28"/>
        </w:rPr>
        <w:t>Снижение выброса загрязняющих веществ обусловлено газификацией</w:t>
      </w:r>
      <w:r>
        <w:rPr>
          <w:rFonts w:ascii="Times New Roman" w:hAnsi="Times New Roman"/>
          <w:sz w:val="28"/>
          <w:szCs w:val="28"/>
        </w:rPr>
        <w:t xml:space="preserve"> </w:t>
      </w:r>
      <w:r w:rsidRPr="009A7768">
        <w:rPr>
          <w:rFonts w:ascii="Times New Roman" w:hAnsi="Times New Roman"/>
          <w:sz w:val="28"/>
          <w:szCs w:val="28"/>
        </w:rPr>
        <w:t>г.</w:t>
      </w:r>
      <w:r>
        <w:rPr>
          <w:rFonts w:ascii="Times New Roman" w:hAnsi="Times New Roman"/>
          <w:sz w:val="28"/>
          <w:szCs w:val="28"/>
        </w:rPr>
        <w:t> </w:t>
      </w:r>
      <w:r w:rsidRPr="009A7768">
        <w:rPr>
          <w:rFonts w:ascii="Times New Roman" w:hAnsi="Times New Roman"/>
          <w:sz w:val="28"/>
          <w:szCs w:val="28"/>
        </w:rPr>
        <w:t>Куйбышева переводом части котельных города и частного сектора на отопление</w:t>
      </w:r>
      <w:r>
        <w:rPr>
          <w:rFonts w:ascii="Times New Roman" w:hAnsi="Times New Roman"/>
          <w:sz w:val="28"/>
          <w:szCs w:val="28"/>
        </w:rPr>
        <w:t xml:space="preserve"> </w:t>
      </w:r>
      <w:r w:rsidRPr="009A7768">
        <w:rPr>
          <w:rFonts w:ascii="Times New Roman" w:hAnsi="Times New Roman"/>
          <w:sz w:val="28"/>
          <w:szCs w:val="28"/>
        </w:rPr>
        <w:t>газообразным топливом. В 2019 году не было зарегистрировано случаев аварийных</w:t>
      </w:r>
      <w:r>
        <w:rPr>
          <w:rFonts w:ascii="Times New Roman" w:hAnsi="Times New Roman"/>
          <w:sz w:val="28"/>
          <w:szCs w:val="28"/>
        </w:rPr>
        <w:t xml:space="preserve"> </w:t>
      </w:r>
      <w:r w:rsidRPr="009A7768">
        <w:rPr>
          <w:rFonts w:ascii="Times New Roman" w:hAnsi="Times New Roman"/>
          <w:sz w:val="28"/>
          <w:szCs w:val="28"/>
        </w:rPr>
        <w:t>и залповых выбросов.</w:t>
      </w:r>
    </w:p>
    <w:p w:rsidR="002D1E45" w:rsidRPr="009A6D9B" w:rsidRDefault="002D1E45" w:rsidP="00977B6E">
      <w:pPr>
        <w:spacing w:after="0" w:line="240" w:lineRule="auto"/>
        <w:ind w:firstLine="709"/>
        <w:jc w:val="both"/>
        <w:rPr>
          <w:rFonts w:ascii="Times New Roman" w:hAnsi="Times New Roman"/>
          <w:sz w:val="28"/>
          <w:szCs w:val="28"/>
        </w:rPr>
      </w:pPr>
      <w:r w:rsidRPr="00977B6E">
        <w:rPr>
          <w:rFonts w:ascii="Times New Roman" w:hAnsi="Times New Roman"/>
          <w:sz w:val="28"/>
          <w:szCs w:val="28"/>
        </w:rPr>
        <w:t>Воздействие транспорта на</w:t>
      </w:r>
      <w:r>
        <w:rPr>
          <w:rFonts w:ascii="Times New Roman" w:hAnsi="Times New Roman"/>
          <w:sz w:val="28"/>
          <w:szCs w:val="28"/>
        </w:rPr>
        <w:t> </w:t>
      </w:r>
      <w:r w:rsidRPr="00977B6E">
        <w:rPr>
          <w:rFonts w:ascii="Times New Roman" w:hAnsi="Times New Roman"/>
          <w:sz w:val="28"/>
          <w:szCs w:val="28"/>
        </w:rPr>
        <w:t>окружающую среду многообразно и</w:t>
      </w:r>
      <w:r>
        <w:rPr>
          <w:rFonts w:ascii="Times New Roman" w:hAnsi="Times New Roman"/>
          <w:sz w:val="28"/>
          <w:szCs w:val="28"/>
        </w:rPr>
        <w:t> </w:t>
      </w:r>
      <w:r w:rsidRPr="00977B6E">
        <w:rPr>
          <w:rFonts w:ascii="Times New Roman" w:hAnsi="Times New Roman"/>
          <w:sz w:val="28"/>
          <w:szCs w:val="28"/>
        </w:rPr>
        <w:t>проявляется, прежде всего, в</w:t>
      </w:r>
      <w:r>
        <w:rPr>
          <w:rFonts w:ascii="Times New Roman" w:hAnsi="Times New Roman"/>
          <w:sz w:val="28"/>
          <w:szCs w:val="28"/>
        </w:rPr>
        <w:t> </w:t>
      </w:r>
      <w:r w:rsidRPr="00977B6E">
        <w:rPr>
          <w:rFonts w:ascii="Times New Roman" w:hAnsi="Times New Roman"/>
          <w:sz w:val="28"/>
          <w:szCs w:val="28"/>
        </w:rPr>
        <w:t>постоянном загрязнении атмосферного воздуха и</w:t>
      </w:r>
      <w:r>
        <w:rPr>
          <w:rFonts w:ascii="Times New Roman" w:hAnsi="Times New Roman"/>
          <w:sz w:val="28"/>
          <w:szCs w:val="28"/>
        </w:rPr>
        <w:t> </w:t>
      </w:r>
      <w:r w:rsidRPr="00977B6E">
        <w:rPr>
          <w:rFonts w:ascii="Times New Roman" w:hAnsi="Times New Roman"/>
          <w:sz w:val="28"/>
          <w:szCs w:val="28"/>
        </w:rPr>
        <w:t>почв токсичными веществами отработавших газов транспортных двигателей. Основную долю выбросов от</w:t>
      </w:r>
      <w:r>
        <w:rPr>
          <w:rFonts w:ascii="Times New Roman" w:hAnsi="Times New Roman"/>
          <w:sz w:val="28"/>
          <w:szCs w:val="28"/>
        </w:rPr>
        <w:t> </w:t>
      </w:r>
      <w:r w:rsidRPr="00977B6E">
        <w:rPr>
          <w:rFonts w:ascii="Times New Roman" w:hAnsi="Times New Roman"/>
          <w:sz w:val="28"/>
          <w:szCs w:val="28"/>
        </w:rPr>
        <w:t>автотранспорта составляют оксиды углерода и</w:t>
      </w:r>
      <w:r>
        <w:rPr>
          <w:rFonts w:ascii="Times New Roman" w:hAnsi="Times New Roman"/>
          <w:sz w:val="28"/>
          <w:szCs w:val="28"/>
        </w:rPr>
        <w:t> </w:t>
      </w:r>
      <w:r w:rsidRPr="00977B6E">
        <w:rPr>
          <w:rFonts w:ascii="Times New Roman" w:hAnsi="Times New Roman"/>
          <w:sz w:val="28"/>
          <w:szCs w:val="28"/>
        </w:rPr>
        <w:t xml:space="preserve">азота, углеводороды, сажа, соединения свинца. </w:t>
      </w:r>
      <w:r w:rsidRPr="009A6D9B">
        <w:rPr>
          <w:rFonts w:ascii="Times New Roman" w:hAnsi="Times New Roman"/>
          <w:sz w:val="28"/>
          <w:szCs w:val="28"/>
        </w:rPr>
        <w:t xml:space="preserve">Загрязнение воздушного бассейна территории </w:t>
      </w:r>
      <w:r>
        <w:rPr>
          <w:rFonts w:ascii="Times New Roman" w:hAnsi="Times New Roman"/>
          <w:sz w:val="28"/>
          <w:szCs w:val="28"/>
        </w:rPr>
        <w:t xml:space="preserve">Города Куйбышева </w:t>
      </w:r>
      <w:r w:rsidRPr="009A6D9B">
        <w:rPr>
          <w:rFonts w:ascii="Times New Roman" w:hAnsi="Times New Roman"/>
          <w:sz w:val="28"/>
          <w:szCs w:val="28"/>
        </w:rPr>
        <w:t>происходит в</w:t>
      </w:r>
      <w:r>
        <w:rPr>
          <w:rFonts w:ascii="Times New Roman" w:hAnsi="Times New Roman"/>
          <w:sz w:val="28"/>
          <w:szCs w:val="28"/>
        </w:rPr>
        <w:t> </w:t>
      </w:r>
      <w:r w:rsidRPr="009A6D9B">
        <w:rPr>
          <w:rFonts w:ascii="Times New Roman" w:hAnsi="Times New Roman"/>
          <w:sz w:val="28"/>
          <w:szCs w:val="28"/>
        </w:rPr>
        <w:t>результате поступления в</w:t>
      </w:r>
      <w:r>
        <w:rPr>
          <w:rFonts w:ascii="Times New Roman" w:hAnsi="Times New Roman"/>
          <w:sz w:val="28"/>
          <w:szCs w:val="28"/>
        </w:rPr>
        <w:t> </w:t>
      </w:r>
      <w:r w:rsidRPr="009A6D9B">
        <w:rPr>
          <w:rFonts w:ascii="Times New Roman" w:hAnsi="Times New Roman"/>
          <w:sz w:val="28"/>
          <w:szCs w:val="28"/>
        </w:rPr>
        <w:t>него:</w:t>
      </w:r>
    </w:p>
    <w:p w:rsidR="002D1E45" w:rsidRPr="009A6D9B" w:rsidRDefault="002D1E45" w:rsidP="00852938">
      <w:pPr>
        <w:numPr>
          <w:ilvl w:val="0"/>
          <w:numId w:val="24"/>
        </w:numPr>
        <w:tabs>
          <w:tab w:val="num" w:pos="1068"/>
          <w:tab w:val="left" w:pos="1134"/>
        </w:tabs>
        <w:spacing w:after="0" w:line="240" w:lineRule="auto"/>
        <w:jc w:val="both"/>
        <w:rPr>
          <w:rFonts w:ascii="Times New Roman" w:hAnsi="Times New Roman"/>
          <w:sz w:val="28"/>
          <w:szCs w:val="28"/>
        </w:rPr>
      </w:pPr>
      <w:r w:rsidRPr="009A6D9B">
        <w:rPr>
          <w:rFonts w:ascii="Times New Roman" w:hAnsi="Times New Roman"/>
          <w:sz w:val="28"/>
          <w:szCs w:val="28"/>
        </w:rPr>
        <w:t>выбросов метана при технологическом обслуживании газораспределительной станции и</w:t>
      </w:r>
      <w:r>
        <w:rPr>
          <w:rFonts w:ascii="Times New Roman" w:hAnsi="Times New Roman"/>
          <w:sz w:val="28"/>
          <w:szCs w:val="28"/>
        </w:rPr>
        <w:t> </w:t>
      </w:r>
      <w:r w:rsidRPr="009A6D9B">
        <w:rPr>
          <w:rFonts w:ascii="Times New Roman" w:hAnsi="Times New Roman"/>
          <w:sz w:val="28"/>
          <w:szCs w:val="28"/>
        </w:rPr>
        <w:t>газопроводов;</w:t>
      </w:r>
    </w:p>
    <w:p w:rsidR="002D1E45" w:rsidRPr="009A6D9B" w:rsidRDefault="002D1E45" w:rsidP="00852938">
      <w:pPr>
        <w:numPr>
          <w:ilvl w:val="0"/>
          <w:numId w:val="24"/>
        </w:numPr>
        <w:tabs>
          <w:tab w:val="num" w:pos="1068"/>
          <w:tab w:val="left" w:pos="1134"/>
        </w:tabs>
        <w:spacing w:after="0" w:line="240" w:lineRule="auto"/>
        <w:jc w:val="both"/>
        <w:rPr>
          <w:rFonts w:ascii="Times New Roman" w:hAnsi="Times New Roman"/>
          <w:sz w:val="28"/>
          <w:szCs w:val="28"/>
        </w:rPr>
      </w:pPr>
      <w:r w:rsidRPr="009A6D9B">
        <w:rPr>
          <w:rFonts w:ascii="Times New Roman" w:hAnsi="Times New Roman"/>
          <w:sz w:val="28"/>
          <w:szCs w:val="28"/>
        </w:rPr>
        <w:t>продуктов сгорания топлива в</w:t>
      </w:r>
      <w:r>
        <w:rPr>
          <w:rFonts w:ascii="Times New Roman" w:hAnsi="Times New Roman"/>
          <w:sz w:val="28"/>
          <w:szCs w:val="28"/>
        </w:rPr>
        <w:t> </w:t>
      </w:r>
      <w:r w:rsidRPr="009A6D9B">
        <w:rPr>
          <w:rFonts w:ascii="Times New Roman" w:hAnsi="Times New Roman"/>
          <w:sz w:val="28"/>
          <w:szCs w:val="28"/>
        </w:rPr>
        <w:t>котельных</w:t>
      </w:r>
      <w:r>
        <w:rPr>
          <w:rFonts w:ascii="Times New Roman" w:hAnsi="Times New Roman"/>
          <w:sz w:val="28"/>
          <w:szCs w:val="28"/>
        </w:rPr>
        <w:t xml:space="preserve"> и в индивидуальных источниках теплоснабжения.</w:t>
      </w:r>
      <w:r w:rsidRPr="009A6D9B">
        <w:rPr>
          <w:rFonts w:ascii="Times New Roman" w:hAnsi="Times New Roman"/>
          <w:sz w:val="28"/>
          <w:szCs w:val="28"/>
        </w:rPr>
        <w:t xml:space="preserve"> Обычными продуктами горения</w:t>
      </w:r>
      <w:r>
        <w:rPr>
          <w:rFonts w:ascii="Times New Roman" w:hAnsi="Times New Roman"/>
          <w:sz w:val="28"/>
          <w:szCs w:val="28"/>
        </w:rPr>
        <w:t>, например,</w:t>
      </w:r>
      <w:r w:rsidRPr="009A6D9B">
        <w:rPr>
          <w:rFonts w:ascii="Times New Roman" w:hAnsi="Times New Roman"/>
          <w:sz w:val="28"/>
          <w:szCs w:val="28"/>
        </w:rPr>
        <w:t xml:space="preserve"> древесины при индивидуальном печном отоплении являются: оксид углерода, оксиды азота, диоксид серы, зола древесная;</w:t>
      </w:r>
    </w:p>
    <w:p w:rsidR="002D1E45" w:rsidRPr="009A6D9B" w:rsidRDefault="002D1E45" w:rsidP="00852938">
      <w:pPr>
        <w:numPr>
          <w:ilvl w:val="0"/>
          <w:numId w:val="24"/>
        </w:numPr>
        <w:tabs>
          <w:tab w:val="num" w:pos="1068"/>
          <w:tab w:val="left" w:pos="1134"/>
        </w:tabs>
        <w:spacing w:after="0" w:line="240" w:lineRule="auto"/>
        <w:jc w:val="both"/>
        <w:rPr>
          <w:rFonts w:ascii="Times New Roman" w:hAnsi="Times New Roman"/>
          <w:sz w:val="28"/>
          <w:szCs w:val="28"/>
        </w:rPr>
      </w:pPr>
      <w:r w:rsidRPr="009A6D9B">
        <w:rPr>
          <w:rFonts w:ascii="Times New Roman" w:hAnsi="Times New Roman"/>
          <w:sz w:val="28"/>
          <w:szCs w:val="28"/>
        </w:rPr>
        <w:t>загрязняющих веществ и</w:t>
      </w:r>
      <w:r>
        <w:rPr>
          <w:rFonts w:ascii="Times New Roman" w:hAnsi="Times New Roman"/>
          <w:sz w:val="28"/>
          <w:szCs w:val="28"/>
        </w:rPr>
        <w:t> </w:t>
      </w:r>
      <w:r w:rsidRPr="009A6D9B">
        <w:rPr>
          <w:rFonts w:ascii="Times New Roman" w:hAnsi="Times New Roman"/>
          <w:sz w:val="28"/>
          <w:szCs w:val="28"/>
        </w:rPr>
        <w:t>пыли в</w:t>
      </w:r>
      <w:r>
        <w:rPr>
          <w:rFonts w:ascii="Times New Roman" w:hAnsi="Times New Roman"/>
          <w:sz w:val="28"/>
          <w:szCs w:val="28"/>
        </w:rPr>
        <w:t> </w:t>
      </w:r>
      <w:r w:rsidRPr="009A6D9B">
        <w:rPr>
          <w:rFonts w:ascii="Times New Roman" w:hAnsi="Times New Roman"/>
          <w:sz w:val="28"/>
          <w:szCs w:val="28"/>
        </w:rPr>
        <w:t>составе выбросов объектов деревообрабатывающей промышленности, строительной индустрии;</w:t>
      </w:r>
    </w:p>
    <w:p w:rsidR="002D1E45" w:rsidRPr="009A6D9B" w:rsidRDefault="002D1E45" w:rsidP="00852938">
      <w:pPr>
        <w:numPr>
          <w:ilvl w:val="0"/>
          <w:numId w:val="24"/>
        </w:numPr>
        <w:tabs>
          <w:tab w:val="num" w:pos="1068"/>
          <w:tab w:val="left" w:pos="1134"/>
        </w:tabs>
        <w:spacing w:after="0" w:line="240" w:lineRule="auto"/>
        <w:jc w:val="both"/>
        <w:rPr>
          <w:rFonts w:ascii="Times New Roman" w:hAnsi="Times New Roman"/>
          <w:sz w:val="28"/>
          <w:szCs w:val="28"/>
        </w:rPr>
      </w:pPr>
      <w:r w:rsidRPr="009A6D9B">
        <w:rPr>
          <w:rFonts w:ascii="Times New Roman" w:hAnsi="Times New Roman"/>
          <w:sz w:val="28"/>
          <w:szCs w:val="28"/>
        </w:rPr>
        <w:t>отработанных газов и</w:t>
      </w:r>
      <w:r>
        <w:rPr>
          <w:rFonts w:ascii="Times New Roman" w:hAnsi="Times New Roman"/>
          <w:sz w:val="28"/>
          <w:szCs w:val="28"/>
        </w:rPr>
        <w:t> </w:t>
      </w:r>
      <w:r w:rsidRPr="009A6D9B">
        <w:rPr>
          <w:rFonts w:ascii="Times New Roman" w:hAnsi="Times New Roman"/>
          <w:sz w:val="28"/>
          <w:szCs w:val="28"/>
        </w:rPr>
        <w:t>вредных веществ от</w:t>
      </w:r>
      <w:r>
        <w:rPr>
          <w:rFonts w:ascii="Times New Roman" w:hAnsi="Times New Roman"/>
          <w:sz w:val="28"/>
          <w:szCs w:val="28"/>
        </w:rPr>
        <w:t> </w:t>
      </w:r>
      <w:r w:rsidRPr="009A6D9B">
        <w:rPr>
          <w:rFonts w:ascii="Times New Roman" w:hAnsi="Times New Roman"/>
          <w:sz w:val="28"/>
          <w:szCs w:val="28"/>
        </w:rPr>
        <w:t>автотранспорта, в</w:t>
      </w:r>
      <w:r>
        <w:rPr>
          <w:rFonts w:ascii="Times New Roman" w:hAnsi="Times New Roman"/>
          <w:sz w:val="28"/>
          <w:szCs w:val="28"/>
        </w:rPr>
        <w:t> </w:t>
      </w:r>
      <w:r w:rsidRPr="009A6D9B">
        <w:rPr>
          <w:rFonts w:ascii="Times New Roman" w:hAnsi="Times New Roman"/>
          <w:sz w:val="28"/>
          <w:szCs w:val="28"/>
        </w:rPr>
        <w:t>том числе оксид углерода (СО), углеводороды (С</w:t>
      </w:r>
      <w:r w:rsidRPr="009A6D9B">
        <w:rPr>
          <w:rFonts w:ascii="Times New Roman" w:hAnsi="Times New Roman"/>
          <w:sz w:val="28"/>
          <w:szCs w:val="28"/>
          <w:vertAlign w:val="subscript"/>
        </w:rPr>
        <w:t>Х</w:t>
      </w:r>
      <w:r w:rsidRPr="009A6D9B">
        <w:rPr>
          <w:rFonts w:ascii="Times New Roman" w:hAnsi="Times New Roman"/>
          <w:sz w:val="28"/>
          <w:szCs w:val="28"/>
        </w:rPr>
        <w:t>H</w:t>
      </w:r>
      <w:r w:rsidRPr="009A6D9B">
        <w:rPr>
          <w:rFonts w:ascii="Times New Roman" w:hAnsi="Times New Roman"/>
          <w:sz w:val="28"/>
          <w:szCs w:val="28"/>
          <w:vertAlign w:val="subscript"/>
        </w:rPr>
        <w:t>Y</w:t>
      </w:r>
      <w:r w:rsidRPr="009A6D9B">
        <w:rPr>
          <w:rFonts w:ascii="Times New Roman" w:hAnsi="Times New Roman"/>
          <w:sz w:val="28"/>
          <w:szCs w:val="28"/>
        </w:rPr>
        <w:t>), оксиды азота (NO</w:t>
      </w:r>
      <w:r w:rsidRPr="009A6D9B">
        <w:rPr>
          <w:rFonts w:ascii="Times New Roman" w:hAnsi="Times New Roman"/>
          <w:sz w:val="28"/>
          <w:szCs w:val="28"/>
          <w:vertAlign w:val="subscript"/>
        </w:rPr>
        <w:t>X</w:t>
      </w:r>
      <w:r w:rsidRPr="009A6D9B">
        <w:rPr>
          <w:rFonts w:ascii="Times New Roman" w:hAnsi="Times New Roman"/>
          <w:sz w:val="28"/>
          <w:szCs w:val="28"/>
        </w:rPr>
        <w:t>)</w:t>
      </w:r>
      <w:r>
        <w:rPr>
          <w:rFonts w:ascii="Times New Roman" w:hAnsi="Times New Roman"/>
          <w:sz w:val="28"/>
          <w:szCs w:val="28"/>
        </w:rPr>
        <w:t>, бенз(а)пирен, альдегиды и сажа</w:t>
      </w:r>
      <w:r w:rsidRPr="009A6D9B">
        <w:rPr>
          <w:rFonts w:ascii="Times New Roman" w:hAnsi="Times New Roman"/>
          <w:sz w:val="28"/>
          <w:szCs w:val="28"/>
        </w:rPr>
        <w:t>.</w:t>
      </w:r>
    </w:p>
    <w:p w:rsidR="002D1E45" w:rsidRDefault="002D1E45" w:rsidP="008F1131">
      <w:pPr>
        <w:spacing w:after="0" w:line="240" w:lineRule="auto"/>
        <w:ind w:firstLine="709"/>
        <w:jc w:val="both"/>
        <w:rPr>
          <w:rFonts w:ascii="Times New Roman" w:hAnsi="Times New Roman"/>
          <w:sz w:val="28"/>
          <w:szCs w:val="28"/>
        </w:rPr>
      </w:pPr>
      <w:r>
        <w:rPr>
          <w:rFonts w:ascii="Times New Roman" w:hAnsi="Times New Roman"/>
          <w:sz w:val="28"/>
          <w:szCs w:val="28"/>
        </w:rPr>
        <w:t>Кроме этого, при отсутствии очистных сооружений и открытом сбросе жидких бытовых отходов на почву выделяются следующие загрязняющие вещества:</w:t>
      </w:r>
    </w:p>
    <w:p w:rsidR="002D1E45" w:rsidRPr="008F1131" w:rsidRDefault="002D1E45" w:rsidP="00852938">
      <w:pPr>
        <w:numPr>
          <w:ilvl w:val="0"/>
          <w:numId w:val="2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8F1131">
        <w:rPr>
          <w:rFonts w:ascii="Times New Roman" w:hAnsi="Times New Roman"/>
          <w:sz w:val="28"/>
          <w:szCs w:val="28"/>
        </w:rPr>
        <w:t>сероводород</w:t>
      </w:r>
      <w:r>
        <w:rPr>
          <w:rFonts w:ascii="Times New Roman" w:hAnsi="Times New Roman"/>
          <w:sz w:val="28"/>
          <w:szCs w:val="28"/>
        </w:rPr>
        <w:t>;</w:t>
      </w:r>
    </w:p>
    <w:p w:rsidR="002D1E45" w:rsidRPr="008F1131" w:rsidRDefault="002D1E45" w:rsidP="00852938">
      <w:pPr>
        <w:numPr>
          <w:ilvl w:val="0"/>
          <w:numId w:val="2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8F1131">
        <w:rPr>
          <w:rFonts w:ascii="Times New Roman" w:hAnsi="Times New Roman"/>
          <w:sz w:val="28"/>
          <w:szCs w:val="28"/>
        </w:rPr>
        <w:t>аммиак</w:t>
      </w:r>
      <w:r>
        <w:rPr>
          <w:rFonts w:ascii="Times New Roman" w:hAnsi="Times New Roman"/>
          <w:sz w:val="28"/>
          <w:szCs w:val="28"/>
        </w:rPr>
        <w:t>;</w:t>
      </w:r>
    </w:p>
    <w:p w:rsidR="002D1E45" w:rsidRPr="008F1131" w:rsidRDefault="002D1E45" w:rsidP="00852938">
      <w:pPr>
        <w:numPr>
          <w:ilvl w:val="0"/>
          <w:numId w:val="2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8F1131">
        <w:rPr>
          <w:rFonts w:ascii="Times New Roman" w:hAnsi="Times New Roman"/>
          <w:sz w:val="28"/>
          <w:szCs w:val="28"/>
        </w:rPr>
        <w:t>метан</w:t>
      </w:r>
      <w:r>
        <w:rPr>
          <w:rFonts w:ascii="Times New Roman" w:hAnsi="Times New Roman"/>
          <w:sz w:val="28"/>
          <w:szCs w:val="28"/>
        </w:rPr>
        <w:t>;</w:t>
      </w:r>
    </w:p>
    <w:p w:rsidR="002D1E45" w:rsidRPr="008F1131" w:rsidRDefault="002D1E45" w:rsidP="00852938">
      <w:pPr>
        <w:numPr>
          <w:ilvl w:val="0"/>
          <w:numId w:val="2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8F1131">
        <w:rPr>
          <w:rFonts w:ascii="Times New Roman" w:hAnsi="Times New Roman"/>
          <w:sz w:val="28"/>
          <w:szCs w:val="28"/>
        </w:rPr>
        <w:t>хлор</w:t>
      </w:r>
      <w:r>
        <w:rPr>
          <w:rFonts w:ascii="Times New Roman" w:hAnsi="Times New Roman"/>
          <w:sz w:val="28"/>
          <w:szCs w:val="28"/>
        </w:rPr>
        <w:t>;</w:t>
      </w:r>
    </w:p>
    <w:p w:rsidR="002D1E45" w:rsidRPr="008F1131" w:rsidRDefault="002D1E45" w:rsidP="00852938">
      <w:pPr>
        <w:numPr>
          <w:ilvl w:val="0"/>
          <w:numId w:val="2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8F1131">
        <w:rPr>
          <w:rFonts w:ascii="Times New Roman" w:hAnsi="Times New Roman"/>
          <w:sz w:val="28"/>
          <w:szCs w:val="28"/>
        </w:rPr>
        <w:t>этилмеркаптан</w:t>
      </w:r>
      <w:r>
        <w:rPr>
          <w:rFonts w:ascii="Times New Roman" w:hAnsi="Times New Roman"/>
          <w:sz w:val="28"/>
          <w:szCs w:val="28"/>
        </w:rPr>
        <w:t>;</w:t>
      </w:r>
    </w:p>
    <w:p w:rsidR="002D1E45" w:rsidRPr="00DA6E57" w:rsidRDefault="002D1E45" w:rsidP="00852938">
      <w:pPr>
        <w:numPr>
          <w:ilvl w:val="0"/>
          <w:numId w:val="2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8F1131">
        <w:rPr>
          <w:rFonts w:ascii="Times New Roman" w:hAnsi="Times New Roman"/>
          <w:sz w:val="28"/>
          <w:szCs w:val="28"/>
        </w:rPr>
        <w:t>метилмеркаптан</w:t>
      </w:r>
      <w:r>
        <w:rPr>
          <w:rFonts w:ascii="Times New Roman" w:hAnsi="Times New Roman"/>
          <w:sz w:val="28"/>
          <w:szCs w:val="28"/>
        </w:rPr>
        <w:t>.</w:t>
      </w:r>
    </w:p>
    <w:p w:rsidR="002D1E45" w:rsidRPr="001125E5" w:rsidRDefault="002D1E45" w:rsidP="00FE1BF0">
      <w:pPr>
        <w:spacing w:after="0" w:line="240" w:lineRule="auto"/>
        <w:ind w:firstLine="709"/>
        <w:jc w:val="both"/>
        <w:rPr>
          <w:rFonts w:ascii="Times New Roman" w:hAnsi="Times New Roman"/>
          <w:sz w:val="28"/>
          <w:szCs w:val="28"/>
        </w:rPr>
      </w:pPr>
      <w:r w:rsidRPr="001125E5">
        <w:rPr>
          <w:rFonts w:ascii="Times New Roman" w:hAnsi="Times New Roman"/>
          <w:sz w:val="28"/>
          <w:szCs w:val="28"/>
        </w:rPr>
        <w:t>Значительные возможности снижения уровня атмосферного загрязнения заключены в</w:t>
      </w:r>
      <w:r>
        <w:rPr>
          <w:rFonts w:ascii="Times New Roman" w:hAnsi="Times New Roman"/>
          <w:sz w:val="28"/>
          <w:szCs w:val="28"/>
        </w:rPr>
        <w:t> </w:t>
      </w:r>
      <w:r w:rsidRPr="001125E5">
        <w:rPr>
          <w:rFonts w:ascii="Times New Roman" w:hAnsi="Times New Roman"/>
          <w:sz w:val="28"/>
          <w:szCs w:val="28"/>
        </w:rPr>
        <w:t>разработке эффективных планировочных мероприятий, которыми являются:</w:t>
      </w:r>
    </w:p>
    <w:p w:rsidR="002D1E45" w:rsidRPr="001125E5"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поэтапная реконструкция и</w:t>
      </w:r>
      <w:r>
        <w:rPr>
          <w:rFonts w:ascii="Times New Roman" w:hAnsi="Times New Roman"/>
          <w:sz w:val="28"/>
          <w:szCs w:val="28"/>
        </w:rPr>
        <w:t> </w:t>
      </w:r>
      <w:r w:rsidRPr="001125E5">
        <w:rPr>
          <w:rFonts w:ascii="Times New Roman" w:hAnsi="Times New Roman"/>
          <w:sz w:val="28"/>
          <w:szCs w:val="28"/>
        </w:rPr>
        <w:t>благоустройство местных дорог, не</w:t>
      </w:r>
      <w:r>
        <w:rPr>
          <w:rFonts w:ascii="Times New Roman" w:hAnsi="Times New Roman"/>
          <w:sz w:val="28"/>
          <w:szCs w:val="28"/>
        </w:rPr>
        <w:t> </w:t>
      </w:r>
      <w:r w:rsidRPr="001125E5">
        <w:rPr>
          <w:rFonts w:ascii="Times New Roman" w:hAnsi="Times New Roman"/>
          <w:sz w:val="28"/>
          <w:szCs w:val="28"/>
        </w:rPr>
        <w:t>имеющих твёрдого покрытия. Автодороги должны иметь твёрдое покрытие;</w:t>
      </w:r>
    </w:p>
    <w:p w:rsidR="002D1E45" w:rsidRPr="001125E5"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обеспечение максимально возможного уровня очистки отходящих газов для всех вновь размещаемых промышленных объектов в</w:t>
      </w:r>
      <w:r>
        <w:rPr>
          <w:rFonts w:ascii="Times New Roman" w:hAnsi="Times New Roman"/>
          <w:sz w:val="28"/>
          <w:szCs w:val="28"/>
        </w:rPr>
        <w:t> </w:t>
      </w:r>
      <w:r w:rsidRPr="001125E5">
        <w:rPr>
          <w:rFonts w:ascii="Times New Roman" w:hAnsi="Times New Roman"/>
          <w:sz w:val="28"/>
          <w:szCs w:val="28"/>
        </w:rPr>
        <w:t>соответствии с</w:t>
      </w:r>
      <w:r>
        <w:rPr>
          <w:rFonts w:ascii="Times New Roman" w:hAnsi="Times New Roman"/>
          <w:sz w:val="28"/>
          <w:szCs w:val="28"/>
        </w:rPr>
        <w:t> </w:t>
      </w:r>
      <w:r w:rsidRPr="001125E5">
        <w:rPr>
          <w:rFonts w:ascii="Times New Roman" w:hAnsi="Times New Roman"/>
          <w:sz w:val="28"/>
          <w:szCs w:val="28"/>
        </w:rPr>
        <w:t>требованиями российского экологического законодательства и</w:t>
      </w:r>
      <w:r>
        <w:rPr>
          <w:rFonts w:ascii="Times New Roman" w:hAnsi="Times New Roman"/>
          <w:sz w:val="28"/>
          <w:szCs w:val="28"/>
        </w:rPr>
        <w:t> </w:t>
      </w:r>
      <w:r w:rsidRPr="001125E5">
        <w:rPr>
          <w:rFonts w:ascii="Times New Roman" w:hAnsi="Times New Roman"/>
          <w:sz w:val="28"/>
          <w:szCs w:val="28"/>
        </w:rPr>
        <w:t>принципами наилучших существующих технологий;</w:t>
      </w:r>
    </w:p>
    <w:p w:rsidR="002D1E45" w:rsidRPr="001125E5"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активное переоборудование автотранспортных средств с</w:t>
      </w:r>
      <w:r>
        <w:rPr>
          <w:rFonts w:ascii="Times New Roman" w:hAnsi="Times New Roman"/>
          <w:sz w:val="28"/>
          <w:szCs w:val="28"/>
        </w:rPr>
        <w:t> </w:t>
      </w:r>
      <w:r w:rsidRPr="001125E5">
        <w:rPr>
          <w:rFonts w:ascii="Times New Roman" w:hAnsi="Times New Roman"/>
          <w:sz w:val="28"/>
          <w:szCs w:val="28"/>
        </w:rPr>
        <w:t>бензинового топлива на</w:t>
      </w:r>
      <w:r>
        <w:rPr>
          <w:rFonts w:ascii="Times New Roman" w:hAnsi="Times New Roman"/>
          <w:sz w:val="28"/>
          <w:szCs w:val="28"/>
        </w:rPr>
        <w:t> </w:t>
      </w:r>
      <w:r w:rsidRPr="001125E5">
        <w:rPr>
          <w:rFonts w:ascii="Times New Roman" w:hAnsi="Times New Roman"/>
          <w:sz w:val="28"/>
          <w:szCs w:val="28"/>
        </w:rPr>
        <w:t>газовое;</w:t>
      </w:r>
    </w:p>
    <w:p w:rsidR="002D1E45" w:rsidRPr="001125E5"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внедрение и</w:t>
      </w:r>
      <w:r>
        <w:rPr>
          <w:rFonts w:ascii="Times New Roman" w:hAnsi="Times New Roman"/>
          <w:sz w:val="28"/>
          <w:szCs w:val="28"/>
        </w:rPr>
        <w:t> </w:t>
      </w:r>
      <w:r w:rsidRPr="001125E5">
        <w:rPr>
          <w:rFonts w:ascii="Times New Roman" w:hAnsi="Times New Roman"/>
          <w:sz w:val="28"/>
          <w:szCs w:val="28"/>
        </w:rPr>
        <w:t>реконструкция пылегазоочистного оборудования на</w:t>
      </w:r>
      <w:r>
        <w:rPr>
          <w:rFonts w:ascii="Times New Roman" w:hAnsi="Times New Roman"/>
          <w:sz w:val="28"/>
          <w:szCs w:val="28"/>
        </w:rPr>
        <w:t> </w:t>
      </w:r>
      <w:r w:rsidRPr="001125E5">
        <w:rPr>
          <w:rFonts w:ascii="Times New Roman" w:hAnsi="Times New Roman"/>
          <w:sz w:val="28"/>
          <w:szCs w:val="28"/>
        </w:rPr>
        <w:t>котельной и</w:t>
      </w:r>
      <w:r>
        <w:rPr>
          <w:rFonts w:ascii="Times New Roman" w:hAnsi="Times New Roman"/>
          <w:sz w:val="28"/>
          <w:szCs w:val="28"/>
        </w:rPr>
        <w:t> </w:t>
      </w:r>
      <w:r w:rsidRPr="001125E5">
        <w:rPr>
          <w:rFonts w:ascii="Times New Roman" w:hAnsi="Times New Roman"/>
          <w:sz w:val="28"/>
          <w:szCs w:val="28"/>
        </w:rPr>
        <w:t>производственных предприятиях;</w:t>
      </w:r>
    </w:p>
    <w:p w:rsidR="002D1E45" w:rsidRPr="001125E5"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оборудование автозаправочн</w:t>
      </w:r>
      <w:r>
        <w:rPr>
          <w:rFonts w:ascii="Times New Roman" w:hAnsi="Times New Roman"/>
          <w:sz w:val="28"/>
          <w:szCs w:val="28"/>
        </w:rPr>
        <w:t>ой</w:t>
      </w:r>
      <w:r w:rsidRPr="001125E5">
        <w:rPr>
          <w:rFonts w:ascii="Times New Roman" w:hAnsi="Times New Roman"/>
          <w:sz w:val="28"/>
          <w:szCs w:val="28"/>
        </w:rPr>
        <w:t xml:space="preserve"> станци</w:t>
      </w:r>
      <w:r>
        <w:rPr>
          <w:rFonts w:ascii="Times New Roman" w:hAnsi="Times New Roman"/>
          <w:sz w:val="28"/>
          <w:szCs w:val="28"/>
        </w:rPr>
        <w:t>и</w:t>
      </w:r>
      <w:r w:rsidRPr="001125E5">
        <w:rPr>
          <w:rFonts w:ascii="Times New Roman" w:hAnsi="Times New Roman"/>
          <w:sz w:val="28"/>
          <w:szCs w:val="28"/>
        </w:rPr>
        <w:t xml:space="preserve"> системой закольцовки паров бензина;</w:t>
      </w:r>
    </w:p>
    <w:p w:rsidR="002D1E45" w:rsidRPr="001125E5"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исключение транзитного, грузового движения автомобилей из</w:t>
      </w:r>
      <w:r>
        <w:rPr>
          <w:rFonts w:ascii="Times New Roman" w:hAnsi="Times New Roman"/>
          <w:sz w:val="28"/>
          <w:szCs w:val="28"/>
        </w:rPr>
        <w:t> </w:t>
      </w:r>
      <w:r w:rsidRPr="001125E5">
        <w:rPr>
          <w:rFonts w:ascii="Times New Roman" w:hAnsi="Times New Roman"/>
          <w:sz w:val="28"/>
          <w:szCs w:val="28"/>
        </w:rPr>
        <w:t>жилых районов:</w:t>
      </w:r>
    </w:p>
    <w:p w:rsidR="002D1E45" w:rsidRPr="001125E5"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вынос коммунальных и</w:t>
      </w:r>
      <w:r>
        <w:rPr>
          <w:rFonts w:ascii="Times New Roman" w:hAnsi="Times New Roman"/>
          <w:sz w:val="28"/>
          <w:szCs w:val="28"/>
        </w:rPr>
        <w:t> </w:t>
      </w:r>
      <w:r w:rsidRPr="001125E5">
        <w:rPr>
          <w:rFonts w:ascii="Times New Roman" w:hAnsi="Times New Roman"/>
          <w:sz w:val="28"/>
          <w:szCs w:val="28"/>
        </w:rPr>
        <w:t>производственных объектов на</w:t>
      </w:r>
      <w:r>
        <w:rPr>
          <w:rFonts w:ascii="Times New Roman" w:hAnsi="Times New Roman"/>
          <w:sz w:val="28"/>
          <w:szCs w:val="28"/>
        </w:rPr>
        <w:t> </w:t>
      </w:r>
      <w:r w:rsidRPr="001125E5">
        <w:rPr>
          <w:rFonts w:ascii="Times New Roman" w:hAnsi="Times New Roman"/>
          <w:sz w:val="28"/>
          <w:szCs w:val="28"/>
        </w:rPr>
        <w:t>расстояние, обеспечивающее санитарные нормы;</w:t>
      </w:r>
    </w:p>
    <w:p w:rsidR="002D1E45" w:rsidRPr="001125E5"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создание и</w:t>
      </w:r>
      <w:r>
        <w:rPr>
          <w:rFonts w:ascii="Times New Roman" w:hAnsi="Times New Roman"/>
          <w:sz w:val="28"/>
          <w:szCs w:val="28"/>
        </w:rPr>
        <w:t> </w:t>
      </w:r>
      <w:r w:rsidRPr="001125E5">
        <w:rPr>
          <w:rFonts w:ascii="Times New Roman" w:hAnsi="Times New Roman"/>
          <w:sz w:val="28"/>
          <w:szCs w:val="28"/>
        </w:rPr>
        <w:t>благоустройство санитарно-защитных зон промышленных предприятий и</w:t>
      </w:r>
      <w:r>
        <w:rPr>
          <w:rFonts w:ascii="Times New Roman" w:hAnsi="Times New Roman"/>
          <w:sz w:val="28"/>
          <w:szCs w:val="28"/>
        </w:rPr>
        <w:t> </w:t>
      </w:r>
      <w:r w:rsidRPr="001125E5">
        <w:rPr>
          <w:rFonts w:ascii="Times New Roman" w:hAnsi="Times New Roman"/>
          <w:sz w:val="28"/>
          <w:szCs w:val="28"/>
        </w:rPr>
        <w:t>других источников загрязнения атмосферного воздуха, водоёмов, почвы;</w:t>
      </w:r>
    </w:p>
    <w:p w:rsidR="002D1E45" w:rsidRPr="001125E5"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при размещении и</w:t>
      </w:r>
      <w:r>
        <w:rPr>
          <w:rFonts w:ascii="Times New Roman" w:hAnsi="Times New Roman"/>
          <w:sz w:val="28"/>
          <w:szCs w:val="28"/>
        </w:rPr>
        <w:t> </w:t>
      </w:r>
      <w:r w:rsidRPr="001125E5">
        <w:rPr>
          <w:rFonts w:ascii="Times New Roman" w:hAnsi="Times New Roman"/>
          <w:sz w:val="28"/>
          <w:szCs w:val="28"/>
        </w:rPr>
        <w:t>строительстве новых промышленных объектов учитывать класс санитарной классификации производства, соблюдать ориентировочные санитарно-защитные зоны до</w:t>
      </w:r>
      <w:r>
        <w:rPr>
          <w:rFonts w:ascii="Times New Roman" w:hAnsi="Times New Roman"/>
          <w:sz w:val="28"/>
          <w:szCs w:val="28"/>
        </w:rPr>
        <w:t> </w:t>
      </w:r>
      <w:r w:rsidRPr="001125E5">
        <w:rPr>
          <w:rFonts w:ascii="Times New Roman" w:hAnsi="Times New Roman"/>
          <w:sz w:val="28"/>
          <w:szCs w:val="28"/>
        </w:rPr>
        <w:t>жилой застройки в</w:t>
      </w:r>
      <w:r>
        <w:rPr>
          <w:rFonts w:ascii="Times New Roman" w:hAnsi="Times New Roman"/>
          <w:sz w:val="28"/>
          <w:szCs w:val="28"/>
        </w:rPr>
        <w:t> </w:t>
      </w:r>
      <w:r w:rsidRPr="001125E5">
        <w:rPr>
          <w:rFonts w:ascii="Times New Roman" w:hAnsi="Times New Roman"/>
          <w:sz w:val="28"/>
          <w:szCs w:val="28"/>
        </w:rPr>
        <w:t>соответствии с</w:t>
      </w:r>
      <w:r>
        <w:rPr>
          <w:rFonts w:ascii="Times New Roman" w:hAnsi="Times New Roman"/>
          <w:sz w:val="28"/>
          <w:szCs w:val="28"/>
        </w:rPr>
        <w:t> </w:t>
      </w:r>
      <w:r w:rsidRPr="001125E5">
        <w:rPr>
          <w:rFonts w:ascii="Times New Roman" w:hAnsi="Times New Roman"/>
          <w:sz w:val="28"/>
          <w:szCs w:val="28"/>
        </w:rPr>
        <w:t>СанПиНом 2.2.1/2.1.1.1200-03 «Санитарно-защитные зоны и</w:t>
      </w:r>
      <w:r>
        <w:rPr>
          <w:rFonts w:ascii="Times New Roman" w:hAnsi="Times New Roman"/>
          <w:sz w:val="28"/>
          <w:szCs w:val="28"/>
        </w:rPr>
        <w:t> </w:t>
      </w:r>
      <w:r w:rsidRPr="001125E5">
        <w:rPr>
          <w:rFonts w:ascii="Times New Roman" w:hAnsi="Times New Roman"/>
          <w:sz w:val="28"/>
          <w:szCs w:val="28"/>
        </w:rPr>
        <w:t>санитарная классификация предприятий, сооружений и</w:t>
      </w:r>
      <w:r>
        <w:rPr>
          <w:rFonts w:ascii="Times New Roman" w:hAnsi="Times New Roman"/>
          <w:sz w:val="28"/>
          <w:szCs w:val="28"/>
        </w:rPr>
        <w:t> </w:t>
      </w:r>
      <w:r w:rsidRPr="001125E5">
        <w:rPr>
          <w:rFonts w:ascii="Times New Roman" w:hAnsi="Times New Roman"/>
          <w:sz w:val="28"/>
          <w:szCs w:val="28"/>
        </w:rPr>
        <w:t>иных объектов»;</w:t>
      </w:r>
    </w:p>
    <w:p w:rsidR="002D1E45" w:rsidRPr="001125E5"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рационально размещать новые промышленные предприятия, с</w:t>
      </w:r>
      <w:r>
        <w:rPr>
          <w:rFonts w:ascii="Times New Roman" w:hAnsi="Times New Roman"/>
          <w:sz w:val="28"/>
          <w:szCs w:val="28"/>
        </w:rPr>
        <w:t> </w:t>
      </w:r>
      <w:r w:rsidRPr="001125E5">
        <w:rPr>
          <w:rFonts w:ascii="Times New Roman" w:hAnsi="Times New Roman"/>
          <w:sz w:val="28"/>
          <w:szCs w:val="28"/>
        </w:rPr>
        <w:t>учётом розы ветров и</w:t>
      </w:r>
      <w:r>
        <w:rPr>
          <w:rFonts w:ascii="Times New Roman" w:hAnsi="Times New Roman"/>
          <w:sz w:val="28"/>
          <w:szCs w:val="28"/>
        </w:rPr>
        <w:t> </w:t>
      </w:r>
      <w:r w:rsidRPr="001125E5">
        <w:rPr>
          <w:rFonts w:ascii="Times New Roman" w:hAnsi="Times New Roman"/>
          <w:sz w:val="28"/>
          <w:szCs w:val="28"/>
        </w:rPr>
        <w:t>микроклиматических особенностей территории (по возможности, избегая понижений местности, котловин, стремясь к</w:t>
      </w:r>
      <w:r>
        <w:rPr>
          <w:rFonts w:ascii="Times New Roman" w:hAnsi="Times New Roman"/>
          <w:sz w:val="28"/>
          <w:szCs w:val="28"/>
        </w:rPr>
        <w:t> </w:t>
      </w:r>
      <w:r w:rsidRPr="001125E5">
        <w:rPr>
          <w:rFonts w:ascii="Times New Roman" w:hAnsi="Times New Roman"/>
          <w:sz w:val="28"/>
          <w:szCs w:val="28"/>
        </w:rPr>
        <w:t>равнинным хорошо продуваемым районам, в</w:t>
      </w:r>
      <w:r>
        <w:rPr>
          <w:rFonts w:ascii="Times New Roman" w:hAnsi="Times New Roman"/>
          <w:sz w:val="28"/>
          <w:szCs w:val="28"/>
        </w:rPr>
        <w:t> </w:t>
      </w:r>
      <w:r w:rsidRPr="001125E5">
        <w:rPr>
          <w:rFonts w:ascii="Times New Roman" w:hAnsi="Times New Roman"/>
          <w:sz w:val="28"/>
          <w:szCs w:val="28"/>
        </w:rPr>
        <w:t>которых неблагоприятные метеорологические явления встречаются редко);</w:t>
      </w:r>
    </w:p>
    <w:p w:rsidR="002D1E45" w:rsidRPr="001125E5"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организация защитного озеленения из</w:t>
      </w:r>
      <w:r>
        <w:rPr>
          <w:rFonts w:ascii="Times New Roman" w:hAnsi="Times New Roman"/>
          <w:sz w:val="28"/>
          <w:szCs w:val="28"/>
        </w:rPr>
        <w:t> </w:t>
      </w:r>
      <w:r w:rsidRPr="001125E5">
        <w:rPr>
          <w:rFonts w:ascii="Times New Roman" w:hAnsi="Times New Roman"/>
          <w:sz w:val="28"/>
          <w:szCs w:val="28"/>
        </w:rPr>
        <w:t>газоустойчивых насаждений в</w:t>
      </w:r>
      <w:r>
        <w:rPr>
          <w:rFonts w:ascii="Times New Roman" w:hAnsi="Times New Roman"/>
          <w:sz w:val="28"/>
          <w:szCs w:val="28"/>
        </w:rPr>
        <w:t> </w:t>
      </w:r>
      <w:r w:rsidRPr="001125E5">
        <w:rPr>
          <w:rFonts w:ascii="Times New Roman" w:hAnsi="Times New Roman"/>
          <w:sz w:val="28"/>
          <w:szCs w:val="28"/>
        </w:rPr>
        <w:t xml:space="preserve">границах санитарно-защитных зон, вдоль дорог; </w:t>
      </w:r>
    </w:p>
    <w:p w:rsidR="002D1E45" w:rsidRPr="001125E5"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сокращение открытых почвенных пространств путём разбивки газонов.</w:t>
      </w:r>
    </w:p>
    <w:p w:rsidR="002D1E45" w:rsidRDefault="002D1E45" w:rsidP="00FE1BF0">
      <w:pPr>
        <w:spacing w:after="0" w:line="240" w:lineRule="auto"/>
        <w:ind w:firstLine="709"/>
        <w:jc w:val="both"/>
        <w:rPr>
          <w:rFonts w:ascii="Times New Roman" w:hAnsi="Times New Roman"/>
          <w:sz w:val="28"/>
          <w:szCs w:val="28"/>
        </w:rPr>
      </w:pPr>
      <w:r w:rsidRPr="001125E5">
        <w:rPr>
          <w:rFonts w:ascii="Times New Roman" w:hAnsi="Times New Roman"/>
          <w:sz w:val="28"/>
          <w:szCs w:val="28"/>
        </w:rPr>
        <w:t xml:space="preserve">Санитарное состояние воздушного бассейна </w:t>
      </w:r>
      <w:r>
        <w:rPr>
          <w:rFonts w:ascii="Times New Roman" w:hAnsi="Times New Roman"/>
          <w:sz w:val="28"/>
          <w:szCs w:val="28"/>
        </w:rPr>
        <w:t xml:space="preserve">города Куйбышева в целом </w:t>
      </w:r>
      <w:r w:rsidRPr="001125E5">
        <w:rPr>
          <w:rFonts w:ascii="Times New Roman" w:hAnsi="Times New Roman"/>
          <w:sz w:val="28"/>
          <w:szCs w:val="28"/>
        </w:rPr>
        <w:t>на</w:t>
      </w:r>
      <w:r>
        <w:rPr>
          <w:rFonts w:ascii="Times New Roman" w:hAnsi="Times New Roman"/>
          <w:sz w:val="28"/>
          <w:szCs w:val="28"/>
        </w:rPr>
        <w:t> </w:t>
      </w:r>
      <w:r w:rsidRPr="001125E5">
        <w:rPr>
          <w:rFonts w:ascii="Times New Roman" w:hAnsi="Times New Roman"/>
          <w:sz w:val="28"/>
          <w:szCs w:val="28"/>
        </w:rPr>
        <w:t>расчётный срок будет определяться количеством и</w:t>
      </w:r>
      <w:r>
        <w:rPr>
          <w:rFonts w:ascii="Times New Roman" w:hAnsi="Times New Roman"/>
          <w:sz w:val="28"/>
          <w:szCs w:val="28"/>
        </w:rPr>
        <w:t> </w:t>
      </w:r>
      <w:r w:rsidRPr="001125E5">
        <w:rPr>
          <w:rFonts w:ascii="Times New Roman" w:hAnsi="Times New Roman"/>
          <w:sz w:val="28"/>
          <w:szCs w:val="28"/>
        </w:rPr>
        <w:t xml:space="preserve">характером источников загрязнения. </w:t>
      </w:r>
    </w:p>
    <w:p w:rsidR="002D1E45" w:rsidRPr="000D0A5E" w:rsidRDefault="002D1E45" w:rsidP="000D0A5E">
      <w:pPr>
        <w:spacing w:after="0" w:line="240" w:lineRule="auto"/>
        <w:ind w:firstLine="709"/>
        <w:jc w:val="both"/>
        <w:rPr>
          <w:rFonts w:ascii="Times New Roman" w:hAnsi="Times New Roman"/>
          <w:sz w:val="28"/>
          <w:szCs w:val="28"/>
        </w:rPr>
      </w:pPr>
      <w:r w:rsidRPr="000D0A5E">
        <w:rPr>
          <w:rFonts w:ascii="Times New Roman" w:hAnsi="Times New Roman"/>
          <w:sz w:val="28"/>
          <w:szCs w:val="28"/>
        </w:rPr>
        <w:t>Для обеспечения требуемых гигиенических норм содержания в</w:t>
      </w:r>
      <w:r>
        <w:rPr>
          <w:rFonts w:ascii="Times New Roman" w:hAnsi="Times New Roman"/>
          <w:sz w:val="28"/>
          <w:szCs w:val="28"/>
        </w:rPr>
        <w:t> </w:t>
      </w:r>
      <w:r w:rsidRPr="000D0A5E">
        <w:rPr>
          <w:rFonts w:ascii="Times New Roman" w:hAnsi="Times New Roman"/>
          <w:sz w:val="28"/>
          <w:szCs w:val="28"/>
        </w:rPr>
        <w:t>приземном слое атмосферы загрязняющих веществ, уменьшения отрицательного влияния предприятий на</w:t>
      </w:r>
      <w:r>
        <w:rPr>
          <w:rFonts w:ascii="Times New Roman" w:hAnsi="Times New Roman"/>
          <w:sz w:val="28"/>
          <w:szCs w:val="28"/>
        </w:rPr>
        <w:t> </w:t>
      </w:r>
      <w:r w:rsidRPr="000D0A5E">
        <w:rPr>
          <w:rFonts w:ascii="Times New Roman" w:hAnsi="Times New Roman"/>
          <w:sz w:val="28"/>
          <w:szCs w:val="28"/>
        </w:rPr>
        <w:t>население, согласно СанПиН 2.2.1/2.1.1.1200-03 «Санитарно-защитные зоны и</w:t>
      </w:r>
      <w:r>
        <w:rPr>
          <w:rFonts w:ascii="Times New Roman" w:hAnsi="Times New Roman"/>
          <w:sz w:val="28"/>
          <w:szCs w:val="28"/>
        </w:rPr>
        <w:t> </w:t>
      </w:r>
      <w:r w:rsidRPr="000D0A5E">
        <w:rPr>
          <w:rFonts w:ascii="Times New Roman" w:hAnsi="Times New Roman"/>
          <w:sz w:val="28"/>
          <w:szCs w:val="28"/>
        </w:rPr>
        <w:t>санитарная классификация предприятий, сооружений и</w:t>
      </w:r>
      <w:r>
        <w:rPr>
          <w:rFonts w:ascii="Times New Roman" w:hAnsi="Times New Roman"/>
          <w:sz w:val="28"/>
          <w:szCs w:val="28"/>
        </w:rPr>
        <w:t> </w:t>
      </w:r>
      <w:r w:rsidRPr="000D0A5E">
        <w:rPr>
          <w:rFonts w:ascii="Times New Roman" w:hAnsi="Times New Roman"/>
          <w:sz w:val="28"/>
          <w:szCs w:val="28"/>
        </w:rPr>
        <w:t>иных объектов» требуется для объектов, являющихся источником негативного воздействия, устанавливать санитарно-защитную зону либо санитарный разрыв. Санитарно-защитная зона и</w:t>
      </w:r>
      <w:r>
        <w:rPr>
          <w:rFonts w:ascii="Times New Roman" w:hAnsi="Times New Roman"/>
          <w:sz w:val="28"/>
          <w:szCs w:val="28"/>
        </w:rPr>
        <w:t> </w:t>
      </w:r>
      <w:r w:rsidRPr="000D0A5E">
        <w:rPr>
          <w:rFonts w:ascii="Times New Roman" w:hAnsi="Times New Roman"/>
          <w:sz w:val="28"/>
          <w:szCs w:val="28"/>
        </w:rPr>
        <w:t>санитарный разрыв не</w:t>
      </w:r>
      <w:r>
        <w:rPr>
          <w:rFonts w:ascii="Times New Roman" w:hAnsi="Times New Roman"/>
          <w:sz w:val="28"/>
          <w:szCs w:val="28"/>
        </w:rPr>
        <w:t> </w:t>
      </w:r>
      <w:r w:rsidRPr="000D0A5E">
        <w:rPr>
          <w:rFonts w:ascii="Times New Roman" w:hAnsi="Times New Roman"/>
          <w:sz w:val="28"/>
          <w:szCs w:val="28"/>
        </w:rPr>
        <w:t>могут рассматриваться как резервные территории предприятия или как перспектива для развития селитебной зоны.</w:t>
      </w:r>
    </w:p>
    <w:p w:rsidR="002D1E45" w:rsidRPr="00F3114F" w:rsidRDefault="002D1E45" w:rsidP="00F3114F">
      <w:pPr>
        <w:spacing w:after="0" w:line="240" w:lineRule="auto"/>
        <w:ind w:firstLine="709"/>
        <w:jc w:val="both"/>
        <w:rPr>
          <w:rFonts w:ascii="Times New Roman" w:hAnsi="Times New Roman"/>
          <w:bCs/>
          <w:i/>
          <w:iCs/>
          <w:sz w:val="28"/>
          <w:szCs w:val="28"/>
          <w:u w:val="single"/>
        </w:rPr>
      </w:pPr>
      <w:r w:rsidRPr="00F3114F">
        <w:rPr>
          <w:rFonts w:ascii="Times New Roman" w:hAnsi="Times New Roman"/>
          <w:bCs/>
          <w:i/>
          <w:iCs/>
          <w:sz w:val="28"/>
          <w:szCs w:val="28"/>
          <w:u w:val="single"/>
        </w:rPr>
        <w:t>Почвенный покров</w:t>
      </w:r>
    </w:p>
    <w:p w:rsidR="002D1E45" w:rsidRPr="001125E5" w:rsidRDefault="002D1E45" w:rsidP="00FE1BF0">
      <w:pPr>
        <w:spacing w:after="0" w:line="240" w:lineRule="auto"/>
        <w:ind w:firstLine="709"/>
        <w:jc w:val="both"/>
        <w:rPr>
          <w:rFonts w:ascii="Times New Roman" w:hAnsi="Times New Roman"/>
          <w:sz w:val="28"/>
          <w:szCs w:val="28"/>
        </w:rPr>
      </w:pPr>
      <w:r w:rsidRPr="00F3114F">
        <w:rPr>
          <w:rFonts w:ascii="Times New Roman" w:hAnsi="Times New Roman"/>
          <w:sz w:val="28"/>
          <w:szCs w:val="28"/>
        </w:rPr>
        <w:t>Экологическое состояние почвы определяется уровнем загрязнённости и</w:t>
      </w:r>
      <w:r>
        <w:rPr>
          <w:rFonts w:ascii="Times New Roman" w:hAnsi="Times New Roman"/>
          <w:sz w:val="28"/>
          <w:szCs w:val="28"/>
        </w:rPr>
        <w:t> </w:t>
      </w:r>
      <w:r w:rsidRPr="00F3114F">
        <w:rPr>
          <w:rFonts w:ascii="Times New Roman" w:hAnsi="Times New Roman"/>
          <w:sz w:val="28"/>
          <w:szCs w:val="28"/>
        </w:rPr>
        <w:t>характером нарушения почвенного покрова.</w:t>
      </w:r>
      <w:r>
        <w:rPr>
          <w:rFonts w:ascii="Times New Roman" w:hAnsi="Times New Roman"/>
          <w:sz w:val="28"/>
          <w:szCs w:val="28"/>
        </w:rPr>
        <w:t xml:space="preserve"> </w:t>
      </w:r>
      <w:r w:rsidRPr="001125E5">
        <w:rPr>
          <w:rFonts w:ascii="Times New Roman" w:hAnsi="Times New Roman"/>
          <w:sz w:val="28"/>
          <w:szCs w:val="28"/>
        </w:rPr>
        <w:t>Санитарная охрана почв от</w:t>
      </w:r>
      <w:r>
        <w:rPr>
          <w:rFonts w:ascii="Times New Roman" w:hAnsi="Times New Roman"/>
          <w:sz w:val="28"/>
          <w:szCs w:val="28"/>
        </w:rPr>
        <w:t> </w:t>
      </w:r>
      <w:r w:rsidRPr="001125E5">
        <w:rPr>
          <w:rFonts w:ascii="Times New Roman" w:hAnsi="Times New Roman"/>
          <w:sz w:val="28"/>
          <w:szCs w:val="28"/>
        </w:rPr>
        <w:t>загрязнения промышленными и</w:t>
      </w:r>
      <w:r>
        <w:rPr>
          <w:rFonts w:ascii="Times New Roman" w:hAnsi="Times New Roman"/>
          <w:sz w:val="28"/>
          <w:szCs w:val="28"/>
        </w:rPr>
        <w:t> </w:t>
      </w:r>
      <w:r w:rsidRPr="001125E5">
        <w:rPr>
          <w:rFonts w:ascii="Times New Roman" w:hAnsi="Times New Roman"/>
          <w:sz w:val="28"/>
          <w:szCs w:val="28"/>
        </w:rPr>
        <w:t>транспортными выбросами в</w:t>
      </w:r>
      <w:r>
        <w:rPr>
          <w:rFonts w:ascii="Times New Roman" w:hAnsi="Times New Roman"/>
          <w:sz w:val="28"/>
          <w:szCs w:val="28"/>
        </w:rPr>
        <w:t> </w:t>
      </w:r>
      <w:r w:rsidRPr="001125E5">
        <w:rPr>
          <w:rFonts w:ascii="Times New Roman" w:hAnsi="Times New Roman"/>
          <w:sz w:val="28"/>
          <w:szCs w:val="28"/>
        </w:rPr>
        <w:t>атмосферу решается совместно с</w:t>
      </w:r>
      <w:r>
        <w:rPr>
          <w:rFonts w:ascii="Times New Roman" w:hAnsi="Times New Roman"/>
          <w:sz w:val="28"/>
          <w:szCs w:val="28"/>
        </w:rPr>
        <w:t> </w:t>
      </w:r>
      <w:r w:rsidRPr="001125E5">
        <w:rPr>
          <w:rFonts w:ascii="Times New Roman" w:hAnsi="Times New Roman"/>
          <w:sz w:val="28"/>
          <w:szCs w:val="28"/>
        </w:rPr>
        <w:t>защитой воздушного бассейна от</w:t>
      </w:r>
      <w:r>
        <w:rPr>
          <w:rFonts w:ascii="Times New Roman" w:hAnsi="Times New Roman"/>
          <w:sz w:val="28"/>
          <w:szCs w:val="28"/>
        </w:rPr>
        <w:t> </w:t>
      </w:r>
      <w:r w:rsidRPr="001125E5">
        <w:rPr>
          <w:rFonts w:ascii="Times New Roman" w:hAnsi="Times New Roman"/>
          <w:sz w:val="28"/>
          <w:szCs w:val="28"/>
        </w:rPr>
        <w:t>загрязнений путём мероприятий, указанных в</w:t>
      </w:r>
      <w:r>
        <w:rPr>
          <w:rFonts w:ascii="Times New Roman" w:hAnsi="Times New Roman"/>
          <w:sz w:val="28"/>
          <w:szCs w:val="28"/>
        </w:rPr>
        <w:t> составе в</w:t>
      </w:r>
      <w:r w:rsidRPr="001125E5">
        <w:rPr>
          <w:rFonts w:ascii="Times New Roman" w:hAnsi="Times New Roman"/>
          <w:sz w:val="28"/>
          <w:szCs w:val="28"/>
        </w:rPr>
        <w:t>оздухоохранны</w:t>
      </w:r>
      <w:r>
        <w:rPr>
          <w:rFonts w:ascii="Times New Roman" w:hAnsi="Times New Roman"/>
          <w:sz w:val="28"/>
          <w:szCs w:val="28"/>
        </w:rPr>
        <w:t>х</w:t>
      </w:r>
      <w:r w:rsidRPr="001125E5">
        <w:rPr>
          <w:rFonts w:ascii="Times New Roman" w:hAnsi="Times New Roman"/>
          <w:sz w:val="28"/>
          <w:szCs w:val="28"/>
        </w:rPr>
        <w:t xml:space="preserve"> мероприяти</w:t>
      </w:r>
      <w:r>
        <w:rPr>
          <w:rFonts w:ascii="Times New Roman" w:hAnsi="Times New Roman"/>
          <w:sz w:val="28"/>
          <w:szCs w:val="28"/>
        </w:rPr>
        <w:t>й</w:t>
      </w:r>
      <w:r w:rsidRPr="001125E5">
        <w:rPr>
          <w:rFonts w:ascii="Times New Roman" w:hAnsi="Times New Roman"/>
          <w:sz w:val="28"/>
          <w:szCs w:val="28"/>
        </w:rPr>
        <w:t>.</w:t>
      </w:r>
    </w:p>
    <w:p w:rsidR="002D1E45" w:rsidRPr="004D4D68" w:rsidRDefault="002D1E45" w:rsidP="004D4D68">
      <w:pPr>
        <w:spacing w:after="0" w:line="240" w:lineRule="auto"/>
        <w:ind w:firstLine="709"/>
        <w:jc w:val="both"/>
        <w:rPr>
          <w:rFonts w:ascii="Times New Roman" w:hAnsi="Times New Roman"/>
          <w:sz w:val="28"/>
          <w:szCs w:val="28"/>
        </w:rPr>
      </w:pPr>
      <w:r w:rsidRPr="004D4D68">
        <w:rPr>
          <w:rFonts w:ascii="Times New Roman" w:hAnsi="Times New Roman"/>
          <w:sz w:val="28"/>
          <w:szCs w:val="28"/>
        </w:rPr>
        <w:t>Нарушенными считают почвы, утратившие своё плодородие и</w:t>
      </w:r>
      <w:r>
        <w:rPr>
          <w:rFonts w:ascii="Times New Roman" w:hAnsi="Times New Roman"/>
          <w:sz w:val="28"/>
          <w:szCs w:val="28"/>
        </w:rPr>
        <w:t> </w:t>
      </w:r>
      <w:r w:rsidRPr="004D4D68">
        <w:rPr>
          <w:rFonts w:ascii="Times New Roman" w:hAnsi="Times New Roman"/>
          <w:sz w:val="28"/>
          <w:szCs w:val="28"/>
        </w:rPr>
        <w:t>ценность в</w:t>
      </w:r>
      <w:r>
        <w:rPr>
          <w:rFonts w:ascii="Times New Roman" w:hAnsi="Times New Roman"/>
          <w:sz w:val="28"/>
          <w:szCs w:val="28"/>
        </w:rPr>
        <w:t> </w:t>
      </w:r>
      <w:r w:rsidRPr="004D4D68">
        <w:rPr>
          <w:rFonts w:ascii="Times New Roman" w:hAnsi="Times New Roman"/>
          <w:sz w:val="28"/>
          <w:szCs w:val="28"/>
        </w:rPr>
        <w:t>связи с</w:t>
      </w:r>
      <w:r>
        <w:rPr>
          <w:rFonts w:ascii="Times New Roman" w:hAnsi="Times New Roman"/>
          <w:sz w:val="28"/>
          <w:szCs w:val="28"/>
        </w:rPr>
        <w:t> </w:t>
      </w:r>
      <w:r w:rsidRPr="004D4D68">
        <w:rPr>
          <w:rFonts w:ascii="Times New Roman" w:hAnsi="Times New Roman"/>
          <w:sz w:val="28"/>
          <w:szCs w:val="28"/>
        </w:rPr>
        <w:t>хозяйственной деятельностью человека. Почвы на</w:t>
      </w:r>
      <w:r>
        <w:rPr>
          <w:rFonts w:ascii="Times New Roman" w:hAnsi="Times New Roman"/>
          <w:sz w:val="28"/>
          <w:szCs w:val="28"/>
        </w:rPr>
        <w:t> </w:t>
      </w:r>
      <w:r w:rsidRPr="004D4D68">
        <w:rPr>
          <w:rFonts w:ascii="Times New Roman" w:hAnsi="Times New Roman"/>
          <w:sz w:val="28"/>
          <w:szCs w:val="28"/>
        </w:rPr>
        <w:t>проектируемой территории нарушаются в</w:t>
      </w:r>
      <w:r>
        <w:rPr>
          <w:rFonts w:ascii="Times New Roman" w:hAnsi="Times New Roman"/>
          <w:sz w:val="28"/>
          <w:szCs w:val="28"/>
        </w:rPr>
        <w:t> </w:t>
      </w:r>
      <w:r w:rsidRPr="004D4D68">
        <w:rPr>
          <w:rFonts w:ascii="Times New Roman" w:hAnsi="Times New Roman"/>
          <w:sz w:val="28"/>
          <w:szCs w:val="28"/>
        </w:rPr>
        <w:t>результате возникновения транспортных коммуникаций, строительных площадок. Антропо-техногенные и</w:t>
      </w:r>
      <w:r>
        <w:rPr>
          <w:rFonts w:ascii="Times New Roman" w:hAnsi="Times New Roman"/>
          <w:sz w:val="28"/>
          <w:szCs w:val="28"/>
        </w:rPr>
        <w:t> </w:t>
      </w:r>
      <w:r w:rsidRPr="004D4D68">
        <w:rPr>
          <w:rFonts w:ascii="Times New Roman" w:hAnsi="Times New Roman"/>
          <w:sz w:val="28"/>
          <w:szCs w:val="28"/>
        </w:rPr>
        <w:t>природные источники воздействия приводят к</w:t>
      </w:r>
      <w:r>
        <w:rPr>
          <w:rFonts w:ascii="Times New Roman" w:hAnsi="Times New Roman"/>
          <w:sz w:val="28"/>
          <w:szCs w:val="28"/>
        </w:rPr>
        <w:t> </w:t>
      </w:r>
      <w:r w:rsidRPr="004D4D68">
        <w:rPr>
          <w:rFonts w:ascii="Times New Roman" w:hAnsi="Times New Roman"/>
          <w:sz w:val="28"/>
          <w:szCs w:val="28"/>
        </w:rPr>
        <w:t>загрязнению и</w:t>
      </w:r>
      <w:r>
        <w:rPr>
          <w:rFonts w:ascii="Times New Roman" w:hAnsi="Times New Roman"/>
          <w:sz w:val="28"/>
          <w:szCs w:val="28"/>
        </w:rPr>
        <w:t> </w:t>
      </w:r>
      <w:r w:rsidRPr="004D4D68">
        <w:rPr>
          <w:rFonts w:ascii="Times New Roman" w:hAnsi="Times New Roman"/>
          <w:sz w:val="28"/>
          <w:szCs w:val="28"/>
        </w:rPr>
        <w:t>дегумификации, уплотнению, нарушению, вторичному засолению почв и</w:t>
      </w:r>
      <w:r>
        <w:rPr>
          <w:rFonts w:ascii="Times New Roman" w:hAnsi="Times New Roman"/>
          <w:sz w:val="28"/>
          <w:szCs w:val="28"/>
        </w:rPr>
        <w:t> </w:t>
      </w:r>
      <w:r w:rsidRPr="004D4D68">
        <w:rPr>
          <w:rFonts w:ascii="Times New Roman" w:hAnsi="Times New Roman"/>
          <w:sz w:val="28"/>
          <w:szCs w:val="28"/>
        </w:rPr>
        <w:t>другим негативным последствиям.</w:t>
      </w:r>
    </w:p>
    <w:p w:rsidR="002D1E45" w:rsidRPr="004D4D68" w:rsidRDefault="002D1E45" w:rsidP="004D4D68">
      <w:pPr>
        <w:spacing w:after="0" w:line="240" w:lineRule="auto"/>
        <w:ind w:firstLine="709"/>
        <w:jc w:val="both"/>
        <w:rPr>
          <w:rFonts w:ascii="Times New Roman" w:hAnsi="Times New Roman"/>
          <w:sz w:val="28"/>
          <w:szCs w:val="28"/>
        </w:rPr>
      </w:pPr>
      <w:r w:rsidRPr="004D4D68">
        <w:rPr>
          <w:rFonts w:ascii="Times New Roman" w:hAnsi="Times New Roman"/>
          <w:sz w:val="28"/>
          <w:szCs w:val="28"/>
        </w:rPr>
        <w:t>В результате антропогенного воздействия на</w:t>
      </w:r>
      <w:r>
        <w:rPr>
          <w:rFonts w:ascii="Times New Roman" w:hAnsi="Times New Roman"/>
          <w:sz w:val="28"/>
          <w:szCs w:val="28"/>
        </w:rPr>
        <w:t> </w:t>
      </w:r>
      <w:r w:rsidRPr="004D4D68">
        <w:rPr>
          <w:rFonts w:ascii="Times New Roman" w:hAnsi="Times New Roman"/>
          <w:sz w:val="28"/>
          <w:szCs w:val="28"/>
        </w:rPr>
        <w:t>почвенный покров происходит изменение морфологии почв, изменение физических, химических свойств почв и</w:t>
      </w:r>
      <w:r>
        <w:rPr>
          <w:rFonts w:ascii="Times New Roman" w:hAnsi="Times New Roman"/>
          <w:sz w:val="28"/>
          <w:szCs w:val="28"/>
        </w:rPr>
        <w:t> </w:t>
      </w:r>
      <w:r w:rsidRPr="004D4D68">
        <w:rPr>
          <w:rFonts w:ascii="Times New Roman" w:hAnsi="Times New Roman"/>
          <w:sz w:val="28"/>
          <w:szCs w:val="28"/>
        </w:rPr>
        <w:t>их</w:t>
      </w:r>
      <w:r>
        <w:rPr>
          <w:rFonts w:ascii="Times New Roman" w:hAnsi="Times New Roman"/>
          <w:sz w:val="28"/>
          <w:szCs w:val="28"/>
        </w:rPr>
        <w:t> </w:t>
      </w:r>
      <w:r w:rsidRPr="004D4D68">
        <w:rPr>
          <w:rFonts w:ascii="Times New Roman" w:hAnsi="Times New Roman"/>
          <w:sz w:val="28"/>
          <w:szCs w:val="28"/>
        </w:rPr>
        <w:t>потенциального плодородия. Строительная и</w:t>
      </w:r>
      <w:r>
        <w:rPr>
          <w:rFonts w:ascii="Times New Roman" w:hAnsi="Times New Roman"/>
          <w:sz w:val="28"/>
          <w:szCs w:val="28"/>
        </w:rPr>
        <w:t> </w:t>
      </w:r>
      <w:r w:rsidRPr="004D4D68">
        <w:rPr>
          <w:rFonts w:ascii="Times New Roman" w:hAnsi="Times New Roman"/>
          <w:sz w:val="28"/>
          <w:szCs w:val="28"/>
        </w:rPr>
        <w:t>транспортная техника создаёт механические нагрузки, способные уничтожить растительные сообщества частично или полностью.</w:t>
      </w:r>
    </w:p>
    <w:p w:rsidR="002D1E45" w:rsidRPr="00772A5D" w:rsidRDefault="002D1E45" w:rsidP="004D4D68">
      <w:pPr>
        <w:spacing w:after="0" w:line="240" w:lineRule="auto"/>
        <w:ind w:firstLine="709"/>
        <w:jc w:val="both"/>
        <w:rPr>
          <w:rFonts w:ascii="Times New Roman" w:hAnsi="Times New Roman"/>
          <w:sz w:val="28"/>
          <w:szCs w:val="28"/>
        </w:rPr>
      </w:pPr>
      <w:r w:rsidRPr="004D4D68">
        <w:rPr>
          <w:rFonts w:ascii="Times New Roman" w:hAnsi="Times New Roman"/>
          <w:sz w:val="28"/>
          <w:szCs w:val="28"/>
        </w:rPr>
        <w:t>Загрязнённая почва может оказывать неблагоприятное влияние на</w:t>
      </w:r>
      <w:r>
        <w:rPr>
          <w:rFonts w:ascii="Times New Roman" w:hAnsi="Times New Roman"/>
          <w:sz w:val="28"/>
          <w:szCs w:val="28"/>
        </w:rPr>
        <w:t> </w:t>
      </w:r>
      <w:r w:rsidRPr="004D4D68">
        <w:rPr>
          <w:rFonts w:ascii="Times New Roman" w:hAnsi="Times New Roman"/>
          <w:sz w:val="28"/>
          <w:szCs w:val="28"/>
        </w:rPr>
        <w:t>условия жизни населения и</w:t>
      </w:r>
      <w:r>
        <w:rPr>
          <w:rFonts w:ascii="Times New Roman" w:hAnsi="Times New Roman"/>
          <w:sz w:val="28"/>
          <w:szCs w:val="28"/>
        </w:rPr>
        <w:t> </w:t>
      </w:r>
      <w:r w:rsidRPr="004D4D68">
        <w:rPr>
          <w:rFonts w:ascii="Times New Roman" w:hAnsi="Times New Roman"/>
          <w:sz w:val="28"/>
          <w:szCs w:val="28"/>
        </w:rPr>
        <w:t>его здоровье, так как является основным накопителем химических веществ техногенной природы и</w:t>
      </w:r>
      <w:r>
        <w:rPr>
          <w:rFonts w:ascii="Times New Roman" w:hAnsi="Times New Roman"/>
          <w:sz w:val="28"/>
          <w:szCs w:val="28"/>
        </w:rPr>
        <w:t> </w:t>
      </w:r>
      <w:r w:rsidRPr="004D4D68">
        <w:rPr>
          <w:rFonts w:ascii="Times New Roman" w:hAnsi="Times New Roman"/>
          <w:sz w:val="28"/>
          <w:szCs w:val="28"/>
        </w:rPr>
        <w:t>фактором передачи инфекционных и</w:t>
      </w:r>
      <w:r>
        <w:rPr>
          <w:rFonts w:ascii="Times New Roman" w:hAnsi="Times New Roman"/>
          <w:sz w:val="28"/>
          <w:szCs w:val="28"/>
        </w:rPr>
        <w:t> </w:t>
      </w:r>
      <w:r w:rsidRPr="004D4D68">
        <w:rPr>
          <w:rFonts w:ascii="Times New Roman" w:hAnsi="Times New Roman"/>
          <w:sz w:val="28"/>
          <w:szCs w:val="28"/>
        </w:rPr>
        <w:t xml:space="preserve">паразитарных заболеваний. </w:t>
      </w:r>
      <w:r w:rsidRPr="00772A5D">
        <w:rPr>
          <w:rFonts w:ascii="Times New Roman" w:hAnsi="Times New Roman"/>
          <w:sz w:val="28"/>
          <w:szCs w:val="28"/>
        </w:rPr>
        <w:t>Загрязняющие вещества поступают в</w:t>
      </w:r>
      <w:r>
        <w:rPr>
          <w:rFonts w:ascii="Times New Roman" w:hAnsi="Times New Roman"/>
          <w:sz w:val="28"/>
          <w:szCs w:val="28"/>
        </w:rPr>
        <w:t> </w:t>
      </w:r>
      <w:r w:rsidRPr="00772A5D">
        <w:rPr>
          <w:rFonts w:ascii="Times New Roman" w:hAnsi="Times New Roman"/>
          <w:sz w:val="28"/>
          <w:szCs w:val="28"/>
        </w:rPr>
        <w:t>почву из</w:t>
      </w:r>
      <w:r>
        <w:rPr>
          <w:rFonts w:ascii="Times New Roman" w:hAnsi="Times New Roman"/>
          <w:sz w:val="28"/>
          <w:szCs w:val="28"/>
        </w:rPr>
        <w:t> </w:t>
      </w:r>
      <w:r w:rsidRPr="00772A5D">
        <w:rPr>
          <w:rFonts w:ascii="Times New Roman" w:hAnsi="Times New Roman"/>
          <w:sz w:val="28"/>
          <w:szCs w:val="28"/>
        </w:rPr>
        <w:t>атмосферы с</w:t>
      </w:r>
      <w:r>
        <w:rPr>
          <w:rFonts w:ascii="Times New Roman" w:hAnsi="Times New Roman"/>
          <w:sz w:val="28"/>
          <w:szCs w:val="28"/>
        </w:rPr>
        <w:t> </w:t>
      </w:r>
      <w:r w:rsidRPr="00772A5D">
        <w:rPr>
          <w:rFonts w:ascii="Times New Roman" w:hAnsi="Times New Roman"/>
          <w:sz w:val="28"/>
          <w:szCs w:val="28"/>
        </w:rPr>
        <w:t>промышленными выбросами (в том числе, с</w:t>
      </w:r>
      <w:r>
        <w:rPr>
          <w:rFonts w:ascii="Times New Roman" w:hAnsi="Times New Roman"/>
          <w:sz w:val="28"/>
          <w:szCs w:val="28"/>
        </w:rPr>
        <w:t> </w:t>
      </w:r>
      <w:r w:rsidRPr="00772A5D">
        <w:rPr>
          <w:rFonts w:ascii="Times New Roman" w:hAnsi="Times New Roman"/>
          <w:sz w:val="28"/>
          <w:szCs w:val="28"/>
        </w:rPr>
        <w:t>атмосферными осадками), при таянии снежного покрова в</w:t>
      </w:r>
      <w:r>
        <w:rPr>
          <w:rFonts w:ascii="Times New Roman" w:hAnsi="Times New Roman"/>
          <w:sz w:val="28"/>
          <w:szCs w:val="28"/>
        </w:rPr>
        <w:t> </w:t>
      </w:r>
      <w:r w:rsidRPr="00772A5D">
        <w:rPr>
          <w:rFonts w:ascii="Times New Roman" w:hAnsi="Times New Roman"/>
          <w:sz w:val="28"/>
          <w:szCs w:val="28"/>
        </w:rPr>
        <w:t>весенний период, а</w:t>
      </w:r>
      <w:r>
        <w:rPr>
          <w:rFonts w:ascii="Times New Roman" w:hAnsi="Times New Roman"/>
          <w:sz w:val="28"/>
          <w:szCs w:val="28"/>
        </w:rPr>
        <w:t> </w:t>
      </w:r>
      <w:r w:rsidRPr="00772A5D">
        <w:rPr>
          <w:rFonts w:ascii="Times New Roman" w:hAnsi="Times New Roman"/>
          <w:sz w:val="28"/>
          <w:szCs w:val="28"/>
        </w:rPr>
        <w:t>также путём фильтрации загрязнённых поверхностных сточных вод.</w:t>
      </w:r>
    </w:p>
    <w:p w:rsidR="002D1E45" w:rsidRPr="00772A5D" w:rsidRDefault="002D1E45" w:rsidP="00772A5D">
      <w:pPr>
        <w:spacing w:after="0" w:line="240" w:lineRule="auto"/>
        <w:ind w:firstLine="709"/>
        <w:jc w:val="both"/>
        <w:rPr>
          <w:rFonts w:ascii="Times New Roman" w:hAnsi="Times New Roman"/>
          <w:sz w:val="28"/>
          <w:szCs w:val="28"/>
        </w:rPr>
      </w:pPr>
      <w:r w:rsidRPr="00772A5D">
        <w:rPr>
          <w:rFonts w:ascii="Times New Roman" w:hAnsi="Times New Roman"/>
          <w:sz w:val="28"/>
          <w:szCs w:val="28"/>
        </w:rPr>
        <w:t>В почвах примагистральных территорий содержатся нефтепродукты, бенз(а)пирен, легко- и</w:t>
      </w:r>
      <w:r>
        <w:rPr>
          <w:rFonts w:ascii="Times New Roman" w:hAnsi="Times New Roman"/>
          <w:sz w:val="28"/>
          <w:szCs w:val="28"/>
        </w:rPr>
        <w:t> </w:t>
      </w:r>
      <w:r w:rsidRPr="00772A5D">
        <w:rPr>
          <w:rFonts w:ascii="Times New Roman" w:hAnsi="Times New Roman"/>
          <w:sz w:val="28"/>
          <w:szCs w:val="28"/>
        </w:rPr>
        <w:t>среднерастворимые формы химических элементов (хлориды магния, натрия, кальция; карбонаты кальция, магния; сульфат кальция). Перечисленные загрязняющие вещества поступают в</w:t>
      </w:r>
      <w:r>
        <w:rPr>
          <w:rFonts w:ascii="Times New Roman" w:hAnsi="Times New Roman"/>
          <w:sz w:val="28"/>
          <w:szCs w:val="28"/>
        </w:rPr>
        <w:t> </w:t>
      </w:r>
      <w:r w:rsidRPr="00772A5D">
        <w:rPr>
          <w:rFonts w:ascii="Times New Roman" w:hAnsi="Times New Roman"/>
          <w:sz w:val="28"/>
          <w:szCs w:val="28"/>
        </w:rPr>
        <w:t>почву вследствие оседания пыли от</w:t>
      </w:r>
      <w:r>
        <w:rPr>
          <w:rFonts w:ascii="Times New Roman" w:hAnsi="Times New Roman"/>
          <w:sz w:val="28"/>
          <w:szCs w:val="28"/>
        </w:rPr>
        <w:t> </w:t>
      </w:r>
      <w:r w:rsidRPr="00772A5D">
        <w:rPr>
          <w:rFonts w:ascii="Times New Roman" w:hAnsi="Times New Roman"/>
          <w:sz w:val="28"/>
          <w:szCs w:val="28"/>
        </w:rPr>
        <w:t>эксплуатации дорог, в</w:t>
      </w:r>
      <w:r>
        <w:rPr>
          <w:rFonts w:ascii="Times New Roman" w:hAnsi="Times New Roman"/>
          <w:sz w:val="28"/>
          <w:szCs w:val="28"/>
        </w:rPr>
        <w:t> </w:t>
      </w:r>
      <w:r w:rsidRPr="00772A5D">
        <w:rPr>
          <w:rFonts w:ascii="Times New Roman" w:hAnsi="Times New Roman"/>
          <w:sz w:val="28"/>
          <w:szCs w:val="28"/>
        </w:rPr>
        <w:t>результате сгорания бензина и</w:t>
      </w:r>
      <w:r>
        <w:rPr>
          <w:rFonts w:ascii="Times New Roman" w:hAnsi="Times New Roman"/>
          <w:sz w:val="28"/>
          <w:szCs w:val="28"/>
        </w:rPr>
        <w:t> </w:t>
      </w:r>
      <w:r w:rsidRPr="00772A5D">
        <w:rPr>
          <w:rFonts w:ascii="Times New Roman" w:hAnsi="Times New Roman"/>
          <w:sz w:val="28"/>
          <w:szCs w:val="28"/>
        </w:rPr>
        <w:t>амортизации машин.</w:t>
      </w:r>
    </w:p>
    <w:p w:rsidR="002D1E45" w:rsidRDefault="002D1E45" w:rsidP="00E10748">
      <w:pPr>
        <w:spacing w:after="0" w:line="240" w:lineRule="auto"/>
        <w:ind w:firstLine="709"/>
        <w:jc w:val="both"/>
        <w:rPr>
          <w:rFonts w:ascii="Times New Roman" w:hAnsi="Times New Roman"/>
          <w:sz w:val="28"/>
          <w:szCs w:val="28"/>
        </w:rPr>
      </w:pPr>
      <w:r w:rsidRPr="00E10748">
        <w:rPr>
          <w:rFonts w:ascii="Times New Roman" w:hAnsi="Times New Roman"/>
          <w:sz w:val="28"/>
          <w:szCs w:val="28"/>
        </w:rPr>
        <w:t xml:space="preserve">На территории города Куйбышева ежегодно образуется </w:t>
      </w:r>
      <w:r>
        <w:rPr>
          <w:rFonts w:ascii="Times New Roman" w:hAnsi="Times New Roman"/>
          <w:sz w:val="28"/>
          <w:szCs w:val="28"/>
        </w:rPr>
        <w:t>более 100 тыс.</w:t>
      </w:r>
      <w:r w:rsidRPr="00E10748">
        <w:rPr>
          <w:rFonts w:ascii="Times New Roman" w:hAnsi="Times New Roman"/>
          <w:sz w:val="28"/>
          <w:szCs w:val="28"/>
        </w:rPr>
        <w:t xml:space="preserve"> м</w:t>
      </w:r>
      <w:r>
        <w:rPr>
          <w:rFonts w:ascii="Times New Roman" w:hAnsi="Times New Roman"/>
          <w:sz w:val="28"/>
          <w:szCs w:val="28"/>
          <w:vertAlign w:val="superscript"/>
        </w:rPr>
        <w:t>3</w:t>
      </w:r>
      <w:r w:rsidRPr="00E10748">
        <w:rPr>
          <w:rFonts w:ascii="Times New Roman" w:hAnsi="Times New Roman"/>
          <w:sz w:val="28"/>
          <w:szCs w:val="28"/>
        </w:rPr>
        <w:t xml:space="preserve"> в год </w:t>
      </w:r>
      <w:r>
        <w:rPr>
          <w:rFonts w:ascii="Times New Roman" w:hAnsi="Times New Roman"/>
          <w:sz w:val="28"/>
          <w:szCs w:val="28"/>
        </w:rPr>
        <w:t xml:space="preserve">коммунальных </w:t>
      </w:r>
      <w:r w:rsidRPr="00E10748">
        <w:rPr>
          <w:rFonts w:ascii="Times New Roman" w:hAnsi="Times New Roman"/>
          <w:sz w:val="28"/>
          <w:szCs w:val="28"/>
        </w:rPr>
        <w:t xml:space="preserve">отходов. В 2019 году проводился санитарно-гигиенический мониторинг качества почвы </w:t>
      </w:r>
      <w:r>
        <w:rPr>
          <w:rFonts w:ascii="Times New Roman" w:hAnsi="Times New Roman"/>
          <w:sz w:val="28"/>
          <w:szCs w:val="28"/>
        </w:rPr>
        <w:t>в г</w:t>
      </w:r>
      <w:r w:rsidRPr="00E10748">
        <w:rPr>
          <w:rFonts w:ascii="Times New Roman" w:hAnsi="Times New Roman"/>
          <w:sz w:val="28"/>
          <w:szCs w:val="28"/>
        </w:rPr>
        <w:t>. Куйбышева</w:t>
      </w:r>
      <w:r>
        <w:rPr>
          <w:rFonts w:ascii="Times New Roman" w:hAnsi="Times New Roman"/>
          <w:sz w:val="28"/>
          <w:szCs w:val="28"/>
        </w:rPr>
        <w:t xml:space="preserve"> (в районе</w:t>
      </w:r>
      <w:r w:rsidRPr="00E10748">
        <w:rPr>
          <w:rFonts w:ascii="Times New Roman" w:hAnsi="Times New Roman"/>
          <w:sz w:val="28"/>
          <w:szCs w:val="28"/>
        </w:rPr>
        <w:t xml:space="preserve"> квартал 10, дом 6</w:t>
      </w:r>
      <w:r>
        <w:rPr>
          <w:rFonts w:ascii="Times New Roman" w:hAnsi="Times New Roman"/>
          <w:sz w:val="28"/>
          <w:szCs w:val="28"/>
        </w:rPr>
        <w:t>)</w:t>
      </w:r>
      <w:r w:rsidRPr="00E10748">
        <w:rPr>
          <w:rFonts w:ascii="Times New Roman" w:hAnsi="Times New Roman"/>
          <w:sz w:val="28"/>
          <w:szCs w:val="28"/>
        </w:rPr>
        <w:t xml:space="preserve"> на микробиологические, санитарно-химические, паразитологические показатели.</w:t>
      </w:r>
    </w:p>
    <w:p w:rsidR="002D1E45" w:rsidRPr="00772A5D" w:rsidRDefault="002D1E45" w:rsidP="00772A5D">
      <w:pPr>
        <w:spacing w:after="0" w:line="240" w:lineRule="auto"/>
        <w:ind w:firstLine="709"/>
        <w:jc w:val="both"/>
        <w:rPr>
          <w:rFonts w:ascii="Times New Roman" w:hAnsi="Times New Roman"/>
          <w:sz w:val="28"/>
          <w:szCs w:val="28"/>
        </w:rPr>
      </w:pPr>
      <w:r w:rsidRPr="00772A5D">
        <w:rPr>
          <w:rFonts w:ascii="Times New Roman" w:hAnsi="Times New Roman"/>
          <w:sz w:val="28"/>
          <w:szCs w:val="28"/>
        </w:rPr>
        <w:t>Для установления полной картины загрязнения и</w:t>
      </w:r>
      <w:r>
        <w:rPr>
          <w:rFonts w:ascii="Times New Roman" w:hAnsi="Times New Roman"/>
          <w:sz w:val="28"/>
          <w:szCs w:val="28"/>
        </w:rPr>
        <w:t> </w:t>
      </w:r>
      <w:r w:rsidRPr="00772A5D">
        <w:rPr>
          <w:rFonts w:ascii="Times New Roman" w:hAnsi="Times New Roman"/>
          <w:sz w:val="28"/>
          <w:szCs w:val="28"/>
        </w:rPr>
        <w:t>депонации загрязняющих веществ в</w:t>
      </w:r>
      <w:r>
        <w:rPr>
          <w:rFonts w:ascii="Times New Roman" w:hAnsi="Times New Roman"/>
          <w:sz w:val="28"/>
          <w:szCs w:val="28"/>
        </w:rPr>
        <w:t> </w:t>
      </w:r>
      <w:r w:rsidRPr="00772A5D">
        <w:rPr>
          <w:rFonts w:ascii="Times New Roman" w:hAnsi="Times New Roman"/>
          <w:sz w:val="28"/>
          <w:szCs w:val="28"/>
        </w:rPr>
        <w:t>почвенном покрове территории муниципального образования, выявления существующих геохимических аномалий с</w:t>
      </w:r>
      <w:r>
        <w:rPr>
          <w:rFonts w:ascii="Times New Roman" w:hAnsi="Times New Roman"/>
          <w:sz w:val="28"/>
          <w:szCs w:val="28"/>
        </w:rPr>
        <w:t> </w:t>
      </w:r>
      <w:r w:rsidRPr="00772A5D">
        <w:rPr>
          <w:rFonts w:ascii="Times New Roman" w:hAnsi="Times New Roman"/>
          <w:sz w:val="28"/>
          <w:szCs w:val="28"/>
        </w:rPr>
        <w:t>целью разработки рекомендаций по</w:t>
      </w:r>
      <w:r>
        <w:rPr>
          <w:rFonts w:ascii="Times New Roman" w:hAnsi="Times New Roman"/>
          <w:sz w:val="28"/>
          <w:szCs w:val="28"/>
        </w:rPr>
        <w:t> </w:t>
      </w:r>
      <w:r w:rsidRPr="00772A5D">
        <w:rPr>
          <w:rFonts w:ascii="Times New Roman" w:hAnsi="Times New Roman"/>
          <w:sz w:val="28"/>
          <w:szCs w:val="28"/>
        </w:rPr>
        <w:t>устранению последствий негативных экологических процессов в</w:t>
      </w:r>
      <w:r>
        <w:rPr>
          <w:rFonts w:ascii="Times New Roman" w:hAnsi="Times New Roman"/>
          <w:sz w:val="28"/>
          <w:szCs w:val="28"/>
        </w:rPr>
        <w:t> </w:t>
      </w:r>
      <w:r w:rsidRPr="00772A5D">
        <w:rPr>
          <w:rFonts w:ascii="Times New Roman" w:hAnsi="Times New Roman"/>
          <w:sz w:val="28"/>
          <w:szCs w:val="28"/>
        </w:rPr>
        <w:t>почвах, необходимо разработать и</w:t>
      </w:r>
      <w:r>
        <w:rPr>
          <w:rFonts w:ascii="Times New Roman" w:hAnsi="Times New Roman"/>
          <w:sz w:val="28"/>
          <w:szCs w:val="28"/>
        </w:rPr>
        <w:t> </w:t>
      </w:r>
      <w:r w:rsidRPr="00772A5D">
        <w:rPr>
          <w:rFonts w:ascii="Times New Roman" w:hAnsi="Times New Roman"/>
          <w:sz w:val="28"/>
          <w:szCs w:val="28"/>
        </w:rPr>
        <w:t>реализовать программу исследования почвенного и</w:t>
      </w:r>
      <w:r>
        <w:rPr>
          <w:rFonts w:ascii="Times New Roman" w:hAnsi="Times New Roman"/>
          <w:sz w:val="28"/>
          <w:szCs w:val="28"/>
        </w:rPr>
        <w:t> </w:t>
      </w:r>
      <w:r w:rsidRPr="00772A5D">
        <w:rPr>
          <w:rFonts w:ascii="Times New Roman" w:hAnsi="Times New Roman"/>
          <w:sz w:val="28"/>
          <w:szCs w:val="28"/>
        </w:rPr>
        <w:t>снегового покрова. Несомненно, важнейшим в</w:t>
      </w:r>
      <w:r>
        <w:rPr>
          <w:rFonts w:ascii="Times New Roman" w:hAnsi="Times New Roman"/>
          <w:sz w:val="28"/>
          <w:szCs w:val="28"/>
        </w:rPr>
        <w:t> </w:t>
      </w:r>
      <w:r w:rsidRPr="00772A5D">
        <w:rPr>
          <w:rFonts w:ascii="Times New Roman" w:hAnsi="Times New Roman"/>
          <w:sz w:val="28"/>
          <w:szCs w:val="28"/>
        </w:rPr>
        <w:t>изучении загрязнения почв и</w:t>
      </w:r>
      <w:r>
        <w:rPr>
          <w:rFonts w:ascii="Times New Roman" w:hAnsi="Times New Roman"/>
          <w:sz w:val="28"/>
          <w:szCs w:val="28"/>
        </w:rPr>
        <w:t> </w:t>
      </w:r>
      <w:r w:rsidRPr="00772A5D">
        <w:rPr>
          <w:rFonts w:ascii="Times New Roman" w:hAnsi="Times New Roman"/>
          <w:sz w:val="28"/>
          <w:szCs w:val="28"/>
        </w:rPr>
        <w:t>грунтов должны являться районы жилой застройки и</w:t>
      </w:r>
      <w:r>
        <w:rPr>
          <w:rFonts w:ascii="Times New Roman" w:hAnsi="Times New Roman"/>
          <w:sz w:val="28"/>
          <w:szCs w:val="28"/>
        </w:rPr>
        <w:t> </w:t>
      </w:r>
      <w:r w:rsidRPr="00772A5D">
        <w:rPr>
          <w:rFonts w:ascii="Times New Roman" w:hAnsi="Times New Roman"/>
          <w:sz w:val="28"/>
          <w:szCs w:val="28"/>
        </w:rPr>
        <w:t>районы, используемые под дачные и</w:t>
      </w:r>
      <w:r>
        <w:rPr>
          <w:rFonts w:ascii="Times New Roman" w:hAnsi="Times New Roman"/>
          <w:sz w:val="28"/>
          <w:szCs w:val="28"/>
        </w:rPr>
        <w:t> </w:t>
      </w:r>
      <w:r w:rsidRPr="00772A5D">
        <w:rPr>
          <w:rFonts w:ascii="Times New Roman" w:hAnsi="Times New Roman"/>
          <w:sz w:val="28"/>
          <w:szCs w:val="28"/>
        </w:rPr>
        <w:t>садово-огородные участки.</w:t>
      </w:r>
    </w:p>
    <w:p w:rsidR="002D1E45" w:rsidRPr="00772A5D" w:rsidRDefault="002D1E45" w:rsidP="00772A5D">
      <w:pPr>
        <w:spacing w:after="0" w:line="240" w:lineRule="auto"/>
        <w:ind w:firstLine="709"/>
        <w:jc w:val="both"/>
        <w:rPr>
          <w:rFonts w:ascii="Times New Roman" w:hAnsi="Times New Roman"/>
          <w:sz w:val="28"/>
          <w:szCs w:val="28"/>
        </w:rPr>
      </w:pPr>
      <w:r w:rsidRPr="00772A5D">
        <w:rPr>
          <w:rFonts w:ascii="Times New Roman" w:hAnsi="Times New Roman"/>
          <w:sz w:val="28"/>
          <w:szCs w:val="28"/>
        </w:rPr>
        <w:t>Санитарная охрана почв от</w:t>
      </w:r>
      <w:r>
        <w:rPr>
          <w:rFonts w:ascii="Times New Roman" w:hAnsi="Times New Roman"/>
          <w:sz w:val="28"/>
          <w:szCs w:val="28"/>
        </w:rPr>
        <w:t> </w:t>
      </w:r>
      <w:r w:rsidRPr="00772A5D">
        <w:rPr>
          <w:rFonts w:ascii="Times New Roman" w:hAnsi="Times New Roman"/>
          <w:sz w:val="28"/>
          <w:szCs w:val="28"/>
        </w:rPr>
        <w:t>загрязнения промышленными и</w:t>
      </w:r>
      <w:r>
        <w:rPr>
          <w:rFonts w:ascii="Times New Roman" w:hAnsi="Times New Roman"/>
          <w:sz w:val="28"/>
          <w:szCs w:val="28"/>
        </w:rPr>
        <w:t> </w:t>
      </w:r>
      <w:r w:rsidRPr="00772A5D">
        <w:rPr>
          <w:rFonts w:ascii="Times New Roman" w:hAnsi="Times New Roman"/>
          <w:sz w:val="28"/>
          <w:szCs w:val="28"/>
        </w:rPr>
        <w:t>транспортными выбросами в</w:t>
      </w:r>
      <w:r>
        <w:rPr>
          <w:rFonts w:ascii="Times New Roman" w:hAnsi="Times New Roman"/>
          <w:sz w:val="28"/>
          <w:szCs w:val="28"/>
        </w:rPr>
        <w:t> </w:t>
      </w:r>
      <w:r w:rsidRPr="00772A5D">
        <w:rPr>
          <w:rFonts w:ascii="Times New Roman" w:hAnsi="Times New Roman"/>
          <w:sz w:val="28"/>
          <w:szCs w:val="28"/>
        </w:rPr>
        <w:t>атмосферу решается совместно с</w:t>
      </w:r>
      <w:r>
        <w:rPr>
          <w:rFonts w:ascii="Times New Roman" w:hAnsi="Times New Roman"/>
          <w:sz w:val="28"/>
          <w:szCs w:val="28"/>
        </w:rPr>
        <w:t> </w:t>
      </w:r>
      <w:r w:rsidRPr="00772A5D">
        <w:rPr>
          <w:rFonts w:ascii="Times New Roman" w:hAnsi="Times New Roman"/>
          <w:sz w:val="28"/>
          <w:szCs w:val="28"/>
        </w:rPr>
        <w:t>защитой воздушного бассейна от</w:t>
      </w:r>
      <w:r>
        <w:rPr>
          <w:rFonts w:ascii="Times New Roman" w:hAnsi="Times New Roman"/>
          <w:sz w:val="28"/>
          <w:szCs w:val="28"/>
        </w:rPr>
        <w:t> </w:t>
      </w:r>
      <w:r w:rsidRPr="00772A5D">
        <w:rPr>
          <w:rFonts w:ascii="Times New Roman" w:hAnsi="Times New Roman"/>
          <w:sz w:val="28"/>
          <w:szCs w:val="28"/>
        </w:rPr>
        <w:t>загрязнений путём мероприятий, указанных в</w:t>
      </w:r>
      <w:r>
        <w:rPr>
          <w:rFonts w:ascii="Times New Roman" w:hAnsi="Times New Roman"/>
          <w:sz w:val="28"/>
          <w:szCs w:val="28"/>
        </w:rPr>
        <w:t> </w:t>
      </w:r>
      <w:r w:rsidRPr="00772A5D">
        <w:rPr>
          <w:rFonts w:ascii="Times New Roman" w:hAnsi="Times New Roman"/>
          <w:sz w:val="28"/>
          <w:szCs w:val="28"/>
        </w:rPr>
        <w:t>подразделе «Воздухоохранные мероприятия».</w:t>
      </w:r>
    </w:p>
    <w:p w:rsidR="002D1E45" w:rsidRPr="00772A5D" w:rsidRDefault="002D1E45" w:rsidP="00772A5D">
      <w:pPr>
        <w:spacing w:after="0" w:line="240" w:lineRule="auto"/>
        <w:ind w:firstLine="709"/>
        <w:jc w:val="both"/>
        <w:rPr>
          <w:rFonts w:ascii="Times New Roman" w:hAnsi="Times New Roman"/>
          <w:sz w:val="28"/>
          <w:szCs w:val="28"/>
        </w:rPr>
      </w:pPr>
      <w:r w:rsidRPr="00772A5D">
        <w:rPr>
          <w:rFonts w:ascii="Times New Roman" w:hAnsi="Times New Roman"/>
          <w:sz w:val="28"/>
          <w:szCs w:val="28"/>
        </w:rPr>
        <w:t>Для обезвреживания твёрдых коммунальных отходов применяются разные методы, в</w:t>
      </w:r>
      <w:r>
        <w:rPr>
          <w:rFonts w:ascii="Times New Roman" w:hAnsi="Times New Roman"/>
          <w:sz w:val="28"/>
          <w:szCs w:val="28"/>
        </w:rPr>
        <w:t> </w:t>
      </w:r>
      <w:r w:rsidRPr="00772A5D">
        <w:rPr>
          <w:rFonts w:ascii="Times New Roman" w:hAnsi="Times New Roman"/>
          <w:sz w:val="28"/>
          <w:szCs w:val="28"/>
        </w:rPr>
        <w:t>проекте предусматривается строительство установки механизированной переработки ТКО с</w:t>
      </w:r>
      <w:r>
        <w:rPr>
          <w:rFonts w:ascii="Times New Roman" w:hAnsi="Times New Roman"/>
          <w:sz w:val="28"/>
          <w:szCs w:val="28"/>
        </w:rPr>
        <w:t> </w:t>
      </w:r>
      <w:r w:rsidRPr="00772A5D">
        <w:rPr>
          <w:rFonts w:ascii="Times New Roman" w:hAnsi="Times New Roman"/>
          <w:sz w:val="28"/>
          <w:szCs w:val="28"/>
        </w:rPr>
        <w:t>последующим использованием полученного компоста в</w:t>
      </w:r>
      <w:r>
        <w:rPr>
          <w:rFonts w:ascii="Times New Roman" w:hAnsi="Times New Roman"/>
          <w:sz w:val="28"/>
          <w:szCs w:val="28"/>
        </w:rPr>
        <w:t> </w:t>
      </w:r>
      <w:r w:rsidRPr="00772A5D">
        <w:rPr>
          <w:rFonts w:ascii="Times New Roman" w:hAnsi="Times New Roman"/>
          <w:sz w:val="28"/>
          <w:szCs w:val="28"/>
        </w:rPr>
        <w:t>хозяйстве.</w:t>
      </w:r>
    </w:p>
    <w:p w:rsidR="002D1E45" w:rsidRPr="00772A5D" w:rsidRDefault="002D1E45" w:rsidP="00772A5D">
      <w:pPr>
        <w:spacing w:after="0" w:line="240" w:lineRule="auto"/>
        <w:ind w:firstLine="709"/>
        <w:jc w:val="both"/>
        <w:rPr>
          <w:rFonts w:ascii="Times New Roman" w:hAnsi="Times New Roman"/>
          <w:sz w:val="28"/>
          <w:szCs w:val="28"/>
        </w:rPr>
      </w:pPr>
      <w:r w:rsidRPr="00772A5D">
        <w:rPr>
          <w:rFonts w:ascii="Times New Roman" w:hAnsi="Times New Roman"/>
          <w:sz w:val="28"/>
          <w:szCs w:val="28"/>
        </w:rPr>
        <w:t>Необходимо бережное сохранение плодородного слоя почвы при проведении строительных работ. При строительстве необходимо верхний слой почвы собирать и</w:t>
      </w:r>
      <w:r>
        <w:rPr>
          <w:rFonts w:ascii="Times New Roman" w:hAnsi="Times New Roman"/>
          <w:sz w:val="28"/>
          <w:szCs w:val="28"/>
        </w:rPr>
        <w:t> </w:t>
      </w:r>
      <w:r w:rsidRPr="00772A5D">
        <w:rPr>
          <w:rFonts w:ascii="Times New Roman" w:hAnsi="Times New Roman"/>
          <w:sz w:val="28"/>
          <w:szCs w:val="28"/>
        </w:rPr>
        <w:t>складировать на</w:t>
      </w:r>
      <w:r>
        <w:rPr>
          <w:rFonts w:ascii="Times New Roman" w:hAnsi="Times New Roman"/>
          <w:sz w:val="28"/>
          <w:szCs w:val="28"/>
        </w:rPr>
        <w:t> </w:t>
      </w:r>
      <w:r w:rsidRPr="00772A5D">
        <w:rPr>
          <w:rFonts w:ascii="Times New Roman" w:hAnsi="Times New Roman"/>
          <w:sz w:val="28"/>
          <w:szCs w:val="28"/>
        </w:rPr>
        <w:t>площадке и</w:t>
      </w:r>
      <w:r>
        <w:rPr>
          <w:rFonts w:ascii="Times New Roman" w:hAnsi="Times New Roman"/>
          <w:sz w:val="28"/>
          <w:szCs w:val="28"/>
        </w:rPr>
        <w:t> </w:t>
      </w:r>
      <w:r w:rsidRPr="00772A5D">
        <w:rPr>
          <w:rFonts w:ascii="Times New Roman" w:hAnsi="Times New Roman"/>
          <w:sz w:val="28"/>
          <w:szCs w:val="28"/>
        </w:rPr>
        <w:t>после завершения строительства проводить техническую рекультивацию.</w:t>
      </w:r>
    </w:p>
    <w:p w:rsidR="002D1E45" w:rsidRPr="00772A5D" w:rsidRDefault="002D1E45" w:rsidP="00772A5D">
      <w:pPr>
        <w:spacing w:after="0" w:line="240" w:lineRule="auto"/>
        <w:ind w:firstLine="709"/>
        <w:jc w:val="both"/>
        <w:rPr>
          <w:rFonts w:ascii="Times New Roman" w:hAnsi="Times New Roman"/>
          <w:sz w:val="28"/>
          <w:szCs w:val="28"/>
        </w:rPr>
      </w:pPr>
      <w:r w:rsidRPr="00772A5D">
        <w:rPr>
          <w:rFonts w:ascii="Times New Roman" w:hAnsi="Times New Roman"/>
          <w:sz w:val="28"/>
          <w:szCs w:val="28"/>
        </w:rPr>
        <w:t>Благоустройство города путём создания газоно-клумбовых внутриквартальных участков позволит улучшить состояние почвенного покрова в</w:t>
      </w:r>
      <w:r>
        <w:rPr>
          <w:rFonts w:ascii="Times New Roman" w:hAnsi="Times New Roman"/>
          <w:sz w:val="28"/>
          <w:szCs w:val="28"/>
        </w:rPr>
        <w:t> </w:t>
      </w:r>
      <w:r w:rsidRPr="00772A5D">
        <w:rPr>
          <w:rFonts w:ascii="Times New Roman" w:hAnsi="Times New Roman"/>
          <w:sz w:val="28"/>
          <w:szCs w:val="28"/>
        </w:rPr>
        <w:t>городе.</w:t>
      </w:r>
    </w:p>
    <w:p w:rsidR="002D1E45" w:rsidRPr="00202FF3" w:rsidRDefault="002D1E45" w:rsidP="00FE1BF0">
      <w:pPr>
        <w:spacing w:after="0" w:line="240" w:lineRule="auto"/>
        <w:ind w:firstLine="709"/>
        <w:jc w:val="both"/>
        <w:rPr>
          <w:rFonts w:ascii="Times New Roman" w:hAnsi="Times New Roman"/>
          <w:i/>
          <w:sz w:val="28"/>
          <w:szCs w:val="28"/>
          <w:u w:val="single"/>
        </w:rPr>
      </w:pPr>
      <w:r w:rsidRPr="00202FF3">
        <w:rPr>
          <w:rFonts w:ascii="Times New Roman" w:hAnsi="Times New Roman"/>
          <w:i/>
          <w:sz w:val="28"/>
          <w:szCs w:val="28"/>
          <w:u w:val="single"/>
        </w:rPr>
        <w:t>Дополнительные направления защиты экологического благополучия региона.</w:t>
      </w:r>
    </w:p>
    <w:p w:rsidR="002D1E45" w:rsidRPr="001125E5" w:rsidRDefault="002D1E45" w:rsidP="00FE1BF0">
      <w:pPr>
        <w:spacing w:after="0" w:line="240" w:lineRule="auto"/>
        <w:ind w:firstLine="709"/>
        <w:jc w:val="both"/>
        <w:rPr>
          <w:rFonts w:ascii="Times New Roman" w:hAnsi="Times New Roman"/>
          <w:sz w:val="28"/>
          <w:szCs w:val="28"/>
        </w:rPr>
      </w:pPr>
      <w:r w:rsidRPr="001125E5">
        <w:rPr>
          <w:rFonts w:ascii="Times New Roman" w:hAnsi="Times New Roman"/>
          <w:i/>
          <w:sz w:val="28"/>
          <w:szCs w:val="28"/>
        </w:rPr>
        <w:t xml:space="preserve">Защита растительного мира. </w:t>
      </w:r>
      <w:r w:rsidRPr="001125E5">
        <w:rPr>
          <w:rFonts w:ascii="Times New Roman" w:hAnsi="Times New Roman"/>
          <w:sz w:val="28"/>
          <w:szCs w:val="28"/>
        </w:rPr>
        <w:t xml:space="preserve">Главные функции зелёных насаждений </w:t>
      </w:r>
      <w:r>
        <w:rPr>
          <w:rFonts w:ascii="Times New Roman" w:hAnsi="Times New Roman"/>
          <w:sz w:val="28"/>
          <w:szCs w:val="28"/>
        </w:rPr>
        <w:t>–</w:t>
      </w:r>
      <w:r w:rsidRPr="001125E5">
        <w:rPr>
          <w:rFonts w:ascii="Times New Roman" w:hAnsi="Times New Roman"/>
          <w:sz w:val="28"/>
          <w:szCs w:val="28"/>
        </w:rPr>
        <w:t xml:space="preserve"> санитарно-гигиеническая, рекреационная, структурно-планировочная и</w:t>
      </w:r>
      <w:r>
        <w:rPr>
          <w:rFonts w:ascii="Times New Roman" w:hAnsi="Times New Roman"/>
          <w:sz w:val="28"/>
          <w:szCs w:val="28"/>
        </w:rPr>
        <w:t> </w:t>
      </w:r>
      <w:r w:rsidRPr="001125E5">
        <w:rPr>
          <w:rFonts w:ascii="Times New Roman" w:hAnsi="Times New Roman"/>
          <w:sz w:val="28"/>
          <w:szCs w:val="28"/>
        </w:rPr>
        <w:t>декоративно-художественная.</w:t>
      </w:r>
    </w:p>
    <w:p w:rsidR="002D1E45" w:rsidRPr="007A19BF" w:rsidRDefault="002D1E45" w:rsidP="007A19BF">
      <w:pPr>
        <w:spacing w:after="0" w:line="240" w:lineRule="auto"/>
        <w:ind w:firstLine="709"/>
        <w:jc w:val="both"/>
        <w:rPr>
          <w:rFonts w:ascii="Times New Roman" w:hAnsi="Times New Roman"/>
          <w:sz w:val="28"/>
          <w:szCs w:val="28"/>
        </w:rPr>
      </w:pPr>
      <w:r w:rsidRPr="007A19BF">
        <w:rPr>
          <w:rFonts w:ascii="Times New Roman" w:hAnsi="Times New Roman"/>
          <w:sz w:val="28"/>
          <w:szCs w:val="28"/>
        </w:rPr>
        <w:t xml:space="preserve">Особые климатические условия </w:t>
      </w:r>
      <w:r>
        <w:rPr>
          <w:rFonts w:ascii="Times New Roman" w:hAnsi="Times New Roman"/>
          <w:sz w:val="28"/>
          <w:szCs w:val="28"/>
          <w:lang w:eastAsia="ru-RU"/>
        </w:rPr>
        <w:t xml:space="preserve">Новосибирской </w:t>
      </w:r>
      <w:r w:rsidRPr="007A19BF">
        <w:rPr>
          <w:rFonts w:ascii="Times New Roman" w:hAnsi="Times New Roman"/>
          <w:sz w:val="28"/>
          <w:szCs w:val="28"/>
        </w:rPr>
        <w:t xml:space="preserve">области создают неблагоприятные условия для произрастания большинства деревьев, кустарников. Зелёные насаждения </w:t>
      </w:r>
      <w:r>
        <w:rPr>
          <w:rFonts w:ascii="Times New Roman" w:hAnsi="Times New Roman"/>
          <w:sz w:val="28"/>
          <w:szCs w:val="28"/>
        </w:rPr>
        <w:t xml:space="preserve">здесь </w:t>
      </w:r>
      <w:r w:rsidRPr="007A19BF">
        <w:rPr>
          <w:rFonts w:ascii="Times New Roman" w:hAnsi="Times New Roman"/>
          <w:sz w:val="28"/>
          <w:szCs w:val="28"/>
        </w:rPr>
        <w:t>требуют постоянного ухода и</w:t>
      </w:r>
      <w:r>
        <w:rPr>
          <w:rFonts w:ascii="Times New Roman" w:hAnsi="Times New Roman"/>
          <w:sz w:val="28"/>
          <w:szCs w:val="28"/>
        </w:rPr>
        <w:t> </w:t>
      </w:r>
      <w:r w:rsidRPr="007A19BF">
        <w:rPr>
          <w:rFonts w:ascii="Times New Roman" w:hAnsi="Times New Roman"/>
          <w:sz w:val="28"/>
          <w:szCs w:val="28"/>
        </w:rPr>
        <w:t>полива, особенно при посадке.</w:t>
      </w:r>
    </w:p>
    <w:p w:rsidR="002D1E45" w:rsidRDefault="002D1E45" w:rsidP="007A19BF">
      <w:pPr>
        <w:spacing w:after="0" w:line="240" w:lineRule="auto"/>
        <w:ind w:firstLine="709"/>
        <w:jc w:val="both"/>
        <w:rPr>
          <w:rFonts w:ascii="Times New Roman" w:hAnsi="Times New Roman"/>
          <w:sz w:val="28"/>
          <w:szCs w:val="28"/>
        </w:rPr>
      </w:pPr>
      <w:r w:rsidRPr="007A19BF">
        <w:rPr>
          <w:rFonts w:ascii="Times New Roman" w:hAnsi="Times New Roman"/>
          <w:sz w:val="28"/>
          <w:szCs w:val="28"/>
        </w:rPr>
        <w:t>В настоящее время (при норме на</w:t>
      </w:r>
      <w:r>
        <w:rPr>
          <w:rFonts w:ascii="Times New Roman" w:hAnsi="Times New Roman"/>
          <w:sz w:val="28"/>
          <w:szCs w:val="28"/>
        </w:rPr>
        <w:t> </w:t>
      </w:r>
      <w:r w:rsidRPr="007A19BF">
        <w:rPr>
          <w:rFonts w:ascii="Times New Roman" w:hAnsi="Times New Roman"/>
          <w:sz w:val="28"/>
          <w:szCs w:val="28"/>
        </w:rPr>
        <w:t xml:space="preserve">одного жителя </w:t>
      </w:r>
      <w:r>
        <w:rPr>
          <w:rFonts w:ascii="Times New Roman" w:hAnsi="Times New Roman"/>
          <w:sz w:val="28"/>
          <w:szCs w:val="28"/>
        </w:rPr>
        <w:t xml:space="preserve">8 </w:t>
      </w:r>
      <w:r w:rsidRPr="007A19BF">
        <w:rPr>
          <w:rFonts w:ascii="Times New Roman" w:hAnsi="Times New Roman"/>
          <w:sz w:val="28"/>
          <w:szCs w:val="28"/>
        </w:rPr>
        <w:t>м</w:t>
      </w:r>
      <w:r w:rsidRPr="00723858">
        <w:rPr>
          <w:rFonts w:ascii="Times New Roman" w:hAnsi="Times New Roman"/>
          <w:sz w:val="28"/>
          <w:szCs w:val="28"/>
          <w:vertAlign w:val="superscript"/>
        </w:rPr>
        <w:t>2</w:t>
      </w:r>
      <w:r w:rsidRPr="007A19BF">
        <w:rPr>
          <w:rFonts w:ascii="Times New Roman" w:hAnsi="Times New Roman"/>
          <w:sz w:val="28"/>
          <w:szCs w:val="28"/>
        </w:rPr>
        <w:t xml:space="preserve"> озеленённых территорий общего пользования с</w:t>
      </w:r>
      <w:r>
        <w:rPr>
          <w:rFonts w:ascii="Times New Roman" w:hAnsi="Times New Roman"/>
          <w:sz w:val="28"/>
          <w:szCs w:val="28"/>
        </w:rPr>
        <w:t> </w:t>
      </w:r>
      <w:r w:rsidRPr="007A19BF">
        <w:rPr>
          <w:rFonts w:ascii="Times New Roman" w:hAnsi="Times New Roman"/>
          <w:sz w:val="28"/>
          <w:szCs w:val="28"/>
        </w:rPr>
        <w:t>учётом рекреационных территорий</w:t>
      </w:r>
      <w:r>
        <w:rPr>
          <w:rStyle w:val="FootnoteReference"/>
          <w:rFonts w:ascii="Times New Roman" w:hAnsi="Times New Roman"/>
          <w:sz w:val="28"/>
          <w:szCs w:val="28"/>
        </w:rPr>
        <w:footnoteReference w:id="7"/>
      </w:r>
      <w:r w:rsidRPr="007A19BF">
        <w:rPr>
          <w:rFonts w:ascii="Times New Roman" w:hAnsi="Times New Roman"/>
          <w:sz w:val="28"/>
          <w:szCs w:val="28"/>
        </w:rPr>
        <w:t xml:space="preserve">) необходимо </w:t>
      </w:r>
      <w:r>
        <w:rPr>
          <w:rFonts w:ascii="Times New Roman" w:hAnsi="Times New Roman"/>
          <w:sz w:val="28"/>
          <w:szCs w:val="28"/>
        </w:rPr>
        <w:t xml:space="preserve">34,8 </w:t>
      </w:r>
      <w:r w:rsidRPr="007A19BF">
        <w:rPr>
          <w:rFonts w:ascii="Times New Roman" w:hAnsi="Times New Roman"/>
          <w:sz w:val="28"/>
          <w:szCs w:val="28"/>
        </w:rPr>
        <w:t>га</w:t>
      </w:r>
      <w:r>
        <w:rPr>
          <w:rFonts w:ascii="Times New Roman" w:hAnsi="Times New Roman"/>
          <w:sz w:val="28"/>
          <w:szCs w:val="28"/>
        </w:rPr>
        <w:t> </w:t>
      </w:r>
      <w:r w:rsidRPr="007A19BF">
        <w:rPr>
          <w:rFonts w:ascii="Times New Roman" w:hAnsi="Times New Roman"/>
          <w:sz w:val="28"/>
          <w:szCs w:val="28"/>
        </w:rPr>
        <w:t>озеленённых территорий общего пользования.</w:t>
      </w:r>
    </w:p>
    <w:p w:rsidR="002D1E45" w:rsidRPr="0076227B" w:rsidRDefault="002D1E45" w:rsidP="00723858">
      <w:pPr>
        <w:spacing w:after="0" w:line="240" w:lineRule="auto"/>
        <w:ind w:firstLine="709"/>
        <w:jc w:val="both"/>
        <w:rPr>
          <w:rFonts w:ascii="Times New Roman" w:hAnsi="Times New Roman"/>
          <w:sz w:val="28"/>
          <w:szCs w:val="28"/>
        </w:rPr>
      </w:pPr>
      <w:r w:rsidRPr="0076227B">
        <w:rPr>
          <w:rFonts w:ascii="Times New Roman" w:hAnsi="Times New Roman"/>
          <w:sz w:val="28"/>
          <w:szCs w:val="28"/>
        </w:rPr>
        <w:t xml:space="preserve">На территории </w:t>
      </w:r>
      <w:r>
        <w:rPr>
          <w:rFonts w:ascii="Times New Roman" w:hAnsi="Times New Roman"/>
          <w:sz w:val="28"/>
          <w:szCs w:val="28"/>
        </w:rPr>
        <w:t>населённого пункта</w:t>
      </w:r>
      <w:r w:rsidRPr="0076227B">
        <w:rPr>
          <w:rFonts w:ascii="Times New Roman" w:hAnsi="Times New Roman"/>
          <w:sz w:val="28"/>
          <w:szCs w:val="28"/>
        </w:rPr>
        <w:t xml:space="preserve"> преобладают насаждения естественного происхождения. Кроме насаждений общего пользования имеются насаждения ограниченного пользования на</w:t>
      </w:r>
      <w:r>
        <w:rPr>
          <w:rFonts w:ascii="Times New Roman" w:hAnsi="Times New Roman"/>
          <w:sz w:val="28"/>
          <w:szCs w:val="28"/>
        </w:rPr>
        <w:t> </w:t>
      </w:r>
      <w:r w:rsidRPr="0076227B">
        <w:rPr>
          <w:rFonts w:ascii="Times New Roman" w:hAnsi="Times New Roman"/>
          <w:sz w:val="28"/>
          <w:szCs w:val="28"/>
        </w:rPr>
        <w:t>участках детских и</w:t>
      </w:r>
      <w:r>
        <w:rPr>
          <w:rFonts w:ascii="Times New Roman" w:hAnsi="Times New Roman"/>
          <w:sz w:val="28"/>
          <w:szCs w:val="28"/>
        </w:rPr>
        <w:t> </w:t>
      </w:r>
      <w:r w:rsidRPr="0076227B">
        <w:rPr>
          <w:rFonts w:ascii="Times New Roman" w:hAnsi="Times New Roman"/>
          <w:sz w:val="28"/>
          <w:szCs w:val="28"/>
        </w:rPr>
        <w:t>учебных заведений, культурно-бытовых, административных учреждений и</w:t>
      </w:r>
      <w:r>
        <w:rPr>
          <w:rFonts w:ascii="Times New Roman" w:hAnsi="Times New Roman"/>
          <w:sz w:val="28"/>
          <w:szCs w:val="28"/>
        </w:rPr>
        <w:t> </w:t>
      </w:r>
      <w:r w:rsidRPr="0076227B">
        <w:rPr>
          <w:rFonts w:ascii="Times New Roman" w:hAnsi="Times New Roman"/>
          <w:sz w:val="28"/>
          <w:szCs w:val="28"/>
        </w:rPr>
        <w:t>предприятий, во</w:t>
      </w:r>
      <w:r>
        <w:rPr>
          <w:rFonts w:ascii="Times New Roman" w:hAnsi="Times New Roman"/>
          <w:sz w:val="28"/>
          <w:szCs w:val="28"/>
        </w:rPr>
        <w:t> </w:t>
      </w:r>
      <w:r w:rsidRPr="0076227B">
        <w:rPr>
          <w:rFonts w:ascii="Times New Roman" w:hAnsi="Times New Roman"/>
          <w:sz w:val="28"/>
          <w:szCs w:val="28"/>
        </w:rPr>
        <w:t>дворах жилой застройки, насаждения специального назначения на</w:t>
      </w:r>
      <w:r>
        <w:rPr>
          <w:rFonts w:ascii="Times New Roman" w:hAnsi="Times New Roman"/>
          <w:sz w:val="28"/>
          <w:szCs w:val="28"/>
        </w:rPr>
        <w:t> </w:t>
      </w:r>
      <w:r w:rsidRPr="0076227B">
        <w:rPr>
          <w:rFonts w:ascii="Times New Roman" w:hAnsi="Times New Roman"/>
          <w:sz w:val="28"/>
          <w:szCs w:val="28"/>
        </w:rPr>
        <w:t>улицах и</w:t>
      </w:r>
      <w:r>
        <w:rPr>
          <w:rFonts w:ascii="Times New Roman" w:hAnsi="Times New Roman"/>
          <w:sz w:val="28"/>
          <w:szCs w:val="28"/>
        </w:rPr>
        <w:t> </w:t>
      </w:r>
      <w:r w:rsidRPr="0076227B">
        <w:rPr>
          <w:rFonts w:ascii="Times New Roman" w:hAnsi="Times New Roman"/>
          <w:sz w:val="28"/>
          <w:szCs w:val="28"/>
        </w:rPr>
        <w:t>дорогах.</w:t>
      </w:r>
    </w:p>
    <w:p w:rsidR="002D1E45" w:rsidRDefault="002D1E45" w:rsidP="00723858">
      <w:pPr>
        <w:spacing w:after="0" w:line="240" w:lineRule="auto"/>
        <w:ind w:firstLine="709"/>
        <w:jc w:val="both"/>
        <w:rPr>
          <w:rFonts w:ascii="Times New Roman" w:hAnsi="Times New Roman"/>
          <w:sz w:val="28"/>
          <w:szCs w:val="28"/>
        </w:rPr>
      </w:pPr>
      <w:r w:rsidRPr="0076227B">
        <w:rPr>
          <w:rFonts w:ascii="Times New Roman" w:hAnsi="Times New Roman"/>
          <w:sz w:val="28"/>
          <w:szCs w:val="28"/>
        </w:rPr>
        <w:t>Посадки на</w:t>
      </w:r>
      <w:r>
        <w:rPr>
          <w:rFonts w:ascii="Times New Roman" w:hAnsi="Times New Roman"/>
          <w:sz w:val="28"/>
          <w:szCs w:val="28"/>
        </w:rPr>
        <w:t> </w:t>
      </w:r>
      <w:r w:rsidRPr="0076227B">
        <w:rPr>
          <w:rFonts w:ascii="Times New Roman" w:hAnsi="Times New Roman"/>
          <w:sz w:val="28"/>
          <w:szCs w:val="28"/>
        </w:rPr>
        <w:t>дорогах и</w:t>
      </w:r>
      <w:r>
        <w:rPr>
          <w:rFonts w:ascii="Times New Roman" w:hAnsi="Times New Roman"/>
          <w:sz w:val="28"/>
          <w:szCs w:val="28"/>
        </w:rPr>
        <w:t> </w:t>
      </w:r>
      <w:r w:rsidRPr="0076227B">
        <w:rPr>
          <w:rFonts w:ascii="Times New Roman" w:hAnsi="Times New Roman"/>
          <w:sz w:val="28"/>
          <w:szCs w:val="28"/>
        </w:rPr>
        <w:t>улицах, особенно в</w:t>
      </w:r>
      <w:r>
        <w:rPr>
          <w:rFonts w:ascii="Times New Roman" w:hAnsi="Times New Roman"/>
          <w:sz w:val="28"/>
          <w:szCs w:val="28"/>
        </w:rPr>
        <w:t> </w:t>
      </w:r>
      <w:r w:rsidRPr="0076227B">
        <w:rPr>
          <w:rFonts w:ascii="Times New Roman" w:hAnsi="Times New Roman"/>
          <w:sz w:val="28"/>
          <w:szCs w:val="28"/>
        </w:rPr>
        <w:t>индивидуальной застройке, как правило, выполнены бессистемно, из</w:t>
      </w:r>
      <w:r>
        <w:rPr>
          <w:rFonts w:ascii="Times New Roman" w:hAnsi="Times New Roman"/>
          <w:sz w:val="28"/>
          <w:szCs w:val="28"/>
        </w:rPr>
        <w:t> </w:t>
      </w:r>
      <w:r w:rsidRPr="0076227B">
        <w:rPr>
          <w:rFonts w:ascii="Times New Roman" w:hAnsi="Times New Roman"/>
          <w:sz w:val="28"/>
          <w:szCs w:val="28"/>
        </w:rPr>
        <w:t>разновозрастных и</w:t>
      </w:r>
      <w:r>
        <w:rPr>
          <w:rFonts w:ascii="Times New Roman" w:hAnsi="Times New Roman"/>
          <w:sz w:val="28"/>
          <w:szCs w:val="28"/>
        </w:rPr>
        <w:t> </w:t>
      </w:r>
      <w:r w:rsidRPr="0076227B">
        <w:rPr>
          <w:rFonts w:ascii="Times New Roman" w:hAnsi="Times New Roman"/>
          <w:sz w:val="28"/>
          <w:szCs w:val="28"/>
        </w:rPr>
        <w:t>разнопородных деревьев и</w:t>
      </w:r>
      <w:r>
        <w:rPr>
          <w:rFonts w:ascii="Times New Roman" w:hAnsi="Times New Roman"/>
          <w:sz w:val="28"/>
          <w:szCs w:val="28"/>
        </w:rPr>
        <w:t> </w:t>
      </w:r>
      <w:r w:rsidRPr="0076227B">
        <w:rPr>
          <w:rFonts w:ascii="Times New Roman" w:hAnsi="Times New Roman"/>
          <w:sz w:val="28"/>
          <w:szCs w:val="28"/>
        </w:rPr>
        <w:t>кустарников, без учёта нормативных требований по</w:t>
      </w:r>
      <w:r>
        <w:rPr>
          <w:rFonts w:ascii="Times New Roman" w:hAnsi="Times New Roman"/>
          <w:sz w:val="28"/>
          <w:szCs w:val="28"/>
        </w:rPr>
        <w:t> </w:t>
      </w:r>
      <w:r w:rsidRPr="0076227B">
        <w:rPr>
          <w:rFonts w:ascii="Times New Roman" w:hAnsi="Times New Roman"/>
          <w:sz w:val="28"/>
          <w:szCs w:val="28"/>
        </w:rPr>
        <w:t>их</w:t>
      </w:r>
      <w:r>
        <w:rPr>
          <w:rFonts w:ascii="Times New Roman" w:hAnsi="Times New Roman"/>
          <w:sz w:val="28"/>
          <w:szCs w:val="28"/>
        </w:rPr>
        <w:t> </w:t>
      </w:r>
      <w:r w:rsidRPr="0076227B">
        <w:rPr>
          <w:rFonts w:ascii="Times New Roman" w:hAnsi="Times New Roman"/>
          <w:sz w:val="28"/>
          <w:szCs w:val="28"/>
        </w:rPr>
        <w:t>размещению.</w:t>
      </w:r>
      <w:r>
        <w:rPr>
          <w:rFonts w:ascii="Times New Roman" w:hAnsi="Times New Roman"/>
          <w:sz w:val="28"/>
          <w:szCs w:val="28"/>
        </w:rPr>
        <w:t xml:space="preserve"> </w:t>
      </w:r>
    </w:p>
    <w:p w:rsidR="002D1E45" w:rsidRDefault="002D1E45" w:rsidP="007A19BF">
      <w:pPr>
        <w:spacing w:after="0" w:line="240" w:lineRule="auto"/>
        <w:ind w:firstLine="709"/>
        <w:jc w:val="both"/>
        <w:rPr>
          <w:rFonts w:ascii="Times New Roman" w:hAnsi="Times New Roman"/>
          <w:sz w:val="28"/>
          <w:szCs w:val="28"/>
        </w:rPr>
      </w:pPr>
      <w:r w:rsidRPr="007A19BF">
        <w:rPr>
          <w:rFonts w:ascii="Times New Roman" w:hAnsi="Times New Roman"/>
          <w:sz w:val="28"/>
          <w:szCs w:val="28"/>
        </w:rPr>
        <w:t>Необходимо провести таксацию существующих деревьев, замену сухих и</w:t>
      </w:r>
      <w:r>
        <w:rPr>
          <w:rFonts w:ascii="Times New Roman" w:hAnsi="Times New Roman"/>
          <w:sz w:val="28"/>
          <w:szCs w:val="28"/>
        </w:rPr>
        <w:t> </w:t>
      </w:r>
      <w:r w:rsidRPr="007A19BF">
        <w:rPr>
          <w:rFonts w:ascii="Times New Roman" w:hAnsi="Times New Roman"/>
          <w:sz w:val="28"/>
          <w:szCs w:val="28"/>
        </w:rPr>
        <w:t>больных деревьев новыми. Существенным недостатком имеющегося озеленения является ограниченный видовой состав деревьев и</w:t>
      </w:r>
      <w:r>
        <w:rPr>
          <w:rFonts w:ascii="Times New Roman" w:hAnsi="Times New Roman"/>
          <w:sz w:val="28"/>
          <w:szCs w:val="28"/>
        </w:rPr>
        <w:t> </w:t>
      </w:r>
      <w:r w:rsidRPr="007A19BF">
        <w:rPr>
          <w:rFonts w:ascii="Times New Roman" w:hAnsi="Times New Roman"/>
          <w:sz w:val="28"/>
          <w:szCs w:val="28"/>
        </w:rPr>
        <w:t>кустарника, что не</w:t>
      </w:r>
      <w:r>
        <w:rPr>
          <w:rFonts w:ascii="Times New Roman" w:hAnsi="Times New Roman"/>
          <w:sz w:val="28"/>
          <w:szCs w:val="28"/>
        </w:rPr>
        <w:t> </w:t>
      </w:r>
      <w:r w:rsidRPr="007A19BF">
        <w:rPr>
          <w:rFonts w:ascii="Times New Roman" w:hAnsi="Times New Roman"/>
          <w:sz w:val="28"/>
          <w:szCs w:val="28"/>
        </w:rPr>
        <w:t xml:space="preserve">позволяет методами озеленения улучшить архитектурно-художественный облик </w:t>
      </w:r>
      <w:r>
        <w:rPr>
          <w:rFonts w:ascii="Times New Roman" w:hAnsi="Times New Roman"/>
          <w:sz w:val="28"/>
          <w:szCs w:val="28"/>
        </w:rPr>
        <w:t>населённого пункта</w:t>
      </w:r>
      <w:r w:rsidRPr="007A19BF">
        <w:rPr>
          <w:rFonts w:ascii="Times New Roman" w:hAnsi="Times New Roman"/>
          <w:sz w:val="28"/>
          <w:szCs w:val="28"/>
        </w:rPr>
        <w:t>.</w:t>
      </w:r>
    </w:p>
    <w:p w:rsidR="002D1E45" w:rsidRPr="0047046B" w:rsidRDefault="002D1E45" w:rsidP="0047046B">
      <w:pPr>
        <w:spacing w:after="0" w:line="240" w:lineRule="auto"/>
        <w:ind w:firstLine="709"/>
        <w:jc w:val="both"/>
        <w:rPr>
          <w:rFonts w:ascii="Times New Roman" w:hAnsi="Times New Roman"/>
          <w:sz w:val="28"/>
          <w:szCs w:val="28"/>
        </w:rPr>
      </w:pPr>
      <w:r w:rsidRPr="0047046B">
        <w:rPr>
          <w:rFonts w:ascii="Times New Roman" w:hAnsi="Times New Roman"/>
          <w:sz w:val="28"/>
          <w:szCs w:val="28"/>
        </w:rPr>
        <w:t>Санитарно-защитные зоны (СЗЗ) пром</w:t>
      </w:r>
      <w:r>
        <w:rPr>
          <w:rFonts w:ascii="Times New Roman" w:hAnsi="Times New Roman"/>
          <w:sz w:val="28"/>
          <w:szCs w:val="28"/>
        </w:rPr>
        <w:t>территорий</w:t>
      </w:r>
      <w:r w:rsidRPr="0047046B">
        <w:rPr>
          <w:rFonts w:ascii="Times New Roman" w:hAnsi="Times New Roman"/>
          <w:sz w:val="28"/>
          <w:szCs w:val="28"/>
        </w:rPr>
        <w:t xml:space="preserve"> </w:t>
      </w:r>
      <w:r>
        <w:rPr>
          <w:rFonts w:ascii="Times New Roman" w:hAnsi="Times New Roman"/>
          <w:sz w:val="28"/>
          <w:szCs w:val="28"/>
          <w:lang w:eastAsia="ru-RU"/>
        </w:rPr>
        <w:t>села</w:t>
      </w:r>
      <w:r w:rsidRPr="0047046B">
        <w:rPr>
          <w:rFonts w:ascii="Times New Roman" w:hAnsi="Times New Roman"/>
          <w:sz w:val="28"/>
          <w:szCs w:val="28"/>
        </w:rPr>
        <w:t xml:space="preserve"> </w:t>
      </w:r>
      <w:r>
        <w:rPr>
          <w:rFonts w:ascii="Times New Roman" w:hAnsi="Times New Roman"/>
          <w:sz w:val="28"/>
          <w:szCs w:val="28"/>
        </w:rPr>
        <w:t xml:space="preserve">не благоустроены </w:t>
      </w:r>
      <w:r w:rsidRPr="0047046B">
        <w:rPr>
          <w:rFonts w:ascii="Times New Roman" w:hAnsi="Times New Roman"/>
          <w:sz w:val="28"/>
          <w:szCs w:val="28"/>
        </w:rPr>
        <w:t>и</w:t>
      </w:r>
      <w:r>
        <w:rPr>
          <w:rFonts w:ascii="Times New Roman" w:hAnsi="Times New Roman"/>
          <w:sz w:val="28"/>
          <w:szCs w:val="28"/>
        </w:rPr>
        <w:t xml:space="preserve"> часто </w:t>
      </w:r>
      <w:r w:rsidRPr="0047046B">
        <w:rPr>
          <w:rFonts w:ascii="Times New Roman" w:hAnsi="Times New Roman"/>
          <w:sz w:val="28"/>
          <w:szCs w:val="28"/>
        </w:rPr>
        <w:t>не</w:t>
      </w:r>
      <w:r>
        <w:rPr>
          <w:rFonts w:ascii="Times New Roman" w:hAnsi="Times New Roman"/>
          <w:sz w:val="28"/>
          <w:szCs w:val="28"/>
        </w:rPr>
        <w:t> организован</w:t>
      </w:r>
      <w:r w:rsidRPr="0047046B">
        <w:rPr>
          <w:rFonts w:ascii="Times New Roman" w:hAnsi="Times New Roman"/>
          <w:sz w:val="28"/>
          <w:szCs w:val="28"/>
        </w:rPr>
        <w:t>ы.</w:t>
      </w:r>
    </w:p>
    <w:p w:rsidR="002D1E45" w:rsidRPr="001125E5" w:rsidRDefault="002D1E45" w:rsidP="00FE1BF0">
      <w:pPr>
        <w:spacing w:after="0" w:line="240" w:lineRule="auto"/>
        <w:ind w:firstLine="709"/>
        <w:jc w:val="both"/>
        <w:rPr>
          <w:rFonts w:ascii="Times New Roman" w:hAnsi="Times New Roman"/>
          <w:sz w:val="28"/>
          <w:szCs w:val="28"/>
        </w:rPr>
      </w:pPr>
      <w:r w:rsidRPr="0047046B">
        <w:rPr>
          <w:rFonts w:ascii="Times New Roman" w:hAnsi="Times New Roman"/>
          <w:sz w:val="28"/>
          <w:szCs w:val="28"/>
        </w:rPr>
        <w:t xml:space="preserve">Леса </w:t>
      </w:r>
      <w:r>
        <w:rPr>
          <w:rFonts w:ascii="Times New Roman" w:hAnsi="Times New Roman"/>
          <w:sz w:val="28"/>
          <w:szCs w:val="28"/>
        </w:rPr>
        <w:t xml:space="preserve">и лесопосадки </w:t>
      </w:r>
      <w:r w:rsidRPr="0047046B">
        <w:rPr>
          <w:rFonts w:ascii="Times New Roman" w:hAnsi="Times New Roman"/>
          <w:sz w:val="28"/>
          <w:szCs w:val="28"/>
        </w:rPr>
        <w:t>должны выполнять водоохранные, средозащитные,</w:t>
      </w:r>
      <w:r>
        <w:rPr>
          <w:rFonts w:ascii="Times New Roman" w:hAnsi="Times New Roman"/>
          <w:sz w:val="28"/>
          <w:szCs w:val="28"/>
        </w:rPr>
        <w:t xml:space="preserve"> </w:t>
      </w:r>
      <w:r w:rsidRPr="0047046B">
        <w:rPr>
          <w:rFonts w:ascii="Times New Roman" w:hAnsi="Times New Roman"/>
          <w:sz w:val="28"/>
          <w:szCs w:val="28"/>
        </w:rPr>
        <w:t>ландщафто</w:t>
      </w:r>
      <w:r>
        <w:rPr>
          <w:rFonts w:ascii="Times New Roman" w:hAnsi="Times New Roman"/>
          <w:sz w:val="28"/>
          <w:szCs w:val="28"/>
        </w:rPr>
        <w:t>-</w:t>
      </w:r>
      <w:r w:rsidRPr="0047046B">
        <w:rPr>
          <w:rFonts w:ascii="Times New Roman" w:hAnsi="Times New Roman"/>
          <w:sz w:val="28"/>
          <w:szCs w:val="28"/>
        </w:rPr>
        <w:t>стабилизирующие и</w:t>
      </w:r>
      <w:r>
        <w:rPr>
          <w:rFonts w:ascii="Times New Roman" w:hAnsi="Times New Roman"/>
          <w:sz w:val="28"/>
          <w:szCs w:val="28"/>
        </w:rPr>
        <w:t> </w:t>
      </w:r>
      <w:r w:rsidRPr="0047046B">
        <w:rPr>
          <w:rFonts w:ascii="Times New Roman" w:hAnsi="Times New Roman"/>
          <w:sz w:val="28"/>
          <w:szCs w:val="28"/>
        </w:rPr>
        <w:t>санитарно-гигиенические функции.</w:t>
      </w:r>
      <w:r>
        <w:rPr>
          <w:rFonts w:ascii="Times New Roman" w:hAnsi="Times New Roman"/>
          <w:sz w:val="28"/>
          <w:szCs w:val="28"/>
        </w:rPr>
        <w:t xml:space="preserve"> </w:t>
      </w:r>
      <w:r w:rsidRPr="001125E5">
        <w:rPr>
          <w:rFonts w:ascii="Times New Roman" w:hAnsi="Times New Roman"/>
          <w:sz w:val="28"/>
          <w:szCs w:val="28"/>
        </w:rPr>
        <w:t>Зелёные насаждения должны быть под контролем соответствующих организаций, которые обязаны следить за</w:t>
      </w:r>
      <w:r>
        <w:rPr>
          <w:rFonts w:ascii="Times New Roman" w:hAnsi="Times New Roman"/>
          <w:sz w:val="28"/>
          <w:szCs w:val="28"/>
        </w:rPr>
        <w:t> </w:t>
      </w:r>
      <w:r w:rsidRPr="001125E5">
        <w:rPr>
          <w:rFonts w:ascii="Times New Roman" w:hAnsi="Times New Roman"/>
          <w:sz w:val="28"/>
          <w:szCs w:val="28"/>
        </w:rPr>
        <w:t>количественным и</w:t>
      </w:r>
      <w:r>
        <w:rPr>
          <w:rFonts w:ascii="Times New Roman" w:hAnsi="Times New Roman"/>
          <w:sz w:val="28"/>
          <w:szCs w:val="28"/>
        </w:rPr>
        <w:t> </w:t>
      </w:r>
      <w:r w:rsidRPr="001125E5">
        <w:rPr>
          <w:rFonts w:ascii="Times New Roman" w:hAnsi="Times New Roman"/>
          <w:sz w:val="28"/>
          <w:szCs w:val="28"/>
        </w:rPr>
        <w:t>качественным их</w:t>
      </w:r>
      <w:r>
        <w:rPr>
          <w:rFonts w:ascii="Times New Roman" w:hAnsi="Times New Roman"/>
          <w:sz w:val="28"/>
          <w:szCs w:val="28"/>
        </w:rPr>
        <w:t> </w:t>
      </w:r>
      <w:r w:rsidRPr="001125E5">
        <w:rPr>
          <w:rFonts w:ascii="Times New Roman" w:hAnsi="Times New Roman"/>
          <w:sz w:val="28"/>
          <w:szCs w:val="28"/>
        </w:rPr>
        <w:t>состоянием.</w:t>
      </w:r>
    </w:p>
    <w:p w:rsidR="002D1E45" w:rsidRPr="001125E5" w:rsidRDefault="002D1E45" w:rsidP="00FE1BF0">
      <w:pPr>
        <w:spacing w:after="0" w:line="240" w:lineRule="auto"/>
        <w:ind w:firstLine="709"/>
        <w:jc w:val="both"/>
        <w:rPr>
          <w:rFonts w:ascii="Times New Roman" w:hAnsi="Times New Roman"/>
          <w:sz w:val="28"/>
          <w:szCs w:val="28"/>
        </w:rPr>
      </w:pPr>
      <w:r w:rsidRPr="001125E5">
        <w:rPr>
          <w:rFonts w:ascii="Times New Roman" w:hAnsi="Times New Roman"/>
          <w:sz w:val="28"/>
          <w:szCs w:val="28"/>
        </w:rPr>
        <w:t>В целях повышения статуса лесов, улучшения санитарного и</w:t>
      </w:r>
      <w:r>
        <w:rPr>
          <w:rFonts w:ascii="Times New Roman" w:hAnsi="Times New Roman"/>
          <w:sz w:val="28"/>
          <w:szCs w:val="28"/>
        </w:rPr>
        <w:t> </w:t>
      </w:r>
      <w:r w:rsidRPr="001125E5">
        <w:rPr>
          <w:rFonts w:ascii="Times New Roman" w:hAnsi="Times New Roman"/>
          <w:sz w:val="28"/>
          <w:szCs w:val="28"/>
        </w:rPr>
        <w:t>экологического состояния лесов, соответствующей организацией территории вокруг населённ</w:t>
      </w:r>
      <w:r>
        <w:rPr>
          <w:rFonts w:ascii="Times New Roman" w:hAnsi="Times New Roman"/>
          <w:sz w:val="28"/>
          <w:szCs w:val="28"/>
        </w:rPr>
        <w:t>ого</w:t>
      </w:r>
      <w:r w:rsidRPr="001125E5">
        <w:rPr>
          <w:rFonts w:ascii="Times New Roman" w:hAnsi="Times New Roman"/>
          <w:sz w:val="28"/>
          <w:szCs w:val="28"/>
        </w:rPr>
        <w:t xml:space="preserve"> пункт</w:t>
      </w:r>
      <w:r>
        <w:rPr>
          <w:rFonts w:ascii="Times New Roman" w:hAnsi="Times New Roman"/>
          <w:sz w:val="28"/>
          <w:szCs w:val="28"/>
        </w:rPr>
        <w:t>а</w:t>
      </w:r>
      <w:r w:rsidRPr="001125E5">
        <w:rPr>
          <w:rFonts w:ascii="Times New Roman" w:hAnsi="Times New Roman"/>
          <w:sz w:val="28"/>
          <w:szCs w:val="28"/>
        </w:rPr>
        <w:t xml:space="preserve"> необходимо выделить зелёную зону с</w:t>
      </w:r>
      <w:r>
        <w:rPr>
          <w:rFonts w:ascii="Times New Roman" w:hAnsi="Times New Roman"/>
          <w:sz w:val="28"/>
          <w:szCs w:val="28"/>
        </w:rPr>
        <w:t> </w:t>
      </w:r>
      <w:r w:rsidRPr="001125E5">
        <w:rPr>
          <w:rFonts w:ascii="Times New Roman" w:hAnsi="Times New Roman"/>
          <w:sz w:val="28"/>
          <w:szCs w:val="28"/>
        </w:rPr>
        <w:t>ограниченными режимами лесопользования.</w:t>
      </w:r>
    </w:p>
    <w:p w:rsidR="002D1E45" w:rsidRPr="001125E5" w:rsidRDefault="002D1E45" w:rsidP="00FE1BF0">
      <w:pPr>
        <w:spacing w:after="0" w:line="240" w:lineRule="auto"/>
        <w:ind w:firstLine="709"/>
        <w:jc w:val="both"/>
        <w:rPr>
          <w:rFonts w:ascii="Times New Roman" w:hAnsi="Times New Roman"/>
          <w:sz w:val="28"/>
          <w:szCs w:val="28"/>
        </w:rPr>
      </w:pPr>
      <w:r w:rsidRPr="001125E5">
        <w:rPr>
          <w:rFonts w:ascii="Times New Roman" w:hAnsi="Times New Roman"/>
          <w:i/>
          <w:sz w:val="28"/>
          <w:szCs w:val="28"/>
        </w:rPr>
        <w:t xml:space="preserve">Шумозащитные мероприятия. </w:t>
      </w:r>
      <w:r w:rsidRPr="001125E5">
        <w:rPr>
          <w:rFonts w:ascii="Times New Roman" w:hAnsi="Times New Roman"/>
          <w:sz w:val="28"/>
          <w:szCs w:val="28"/>
        </w:rPr>
        <w:t>Для поддержания нормативного шумового режима в</w:t>
      </w:r>
      <w:r>
        <w:rPr>
          <w:rFonts w:ascii="Times New Roman" w:hAnsi="Times New Roman"/>
          <w:sz w:val="28"/>
          <w:szCs w:val="28"/>
        </w:rPr>
        <w:t> </w:t>
      </w:r>
      <w:r w:rsidRPr="001125E5">
        <w:rPr>
          <w:rFonts w:ascii="Times New Roman" w:hAnsi="Times New Roman"/>
          <w:sz w:val="28"/>
          <w:szCs w:val="28"/>
        </w:rPr>
        <w:t>жилых районах борьба с</w:t>
      </w:r>
      <w:r>
        <w:rPr>
          <w:rFonts w:ascii="Times New Roman" w:hAnsi="Times New Roman"/>
          <w:sz w:val="28"/>
          <w:szCs w:val="28"/>
        </w:rPr>
        <w:t> </w:t>
      </w:r>
      <w:r w:rsidRPr="001125E5">
        <w:rPr>
          <w:rFonts w:ascii="Times New Roman" w:hAnsi="Times New Roman"/>
          <w:sz w:val="28"/>
          <w:szCs w:val="28"/>
        </w:rPr>
        <w:t>шумом должна проводиться по</w:t>
      </w:r>
      <w:r>
        <w:rPr>
          <w:rFonts w:ascii="Times New Roman" w:hAnsi="Times New Roman"/>
          <w:sz w:val="28"/>
          <w:szCs w:val="28"/>
        </w:rPr>
        <w:t> </w:t>
      </w:r>
      <w:r w:rsidRPr="001125E5">
        <w:rPr>
          <w:rFonts w:ascii="Times New Roman" w:hAnsi="Times New Roman"/>
          <w:sz w:val="28"/>
          <w:szCs w:val="28"/>
        </w:rPr>
        <w:t>основным трём направлениям:</w:t>
      </w:r>
    </w:p>
    <w:p w:rsidR="002D1E45" w:rsidRPr="001125E5"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 xml:space="preserve">в источнике шума </w:t>
      </w:r>
      <w:r>
        <w:rPr>
          <w:rFonts w:ascii="Times New Roman" w:hAnsi="Times New Roman"/>
          <w:sz w:val="28"/>
          <w:szCs w:val="28"/>
        </w:rPr>
        <w:t>–</w:t>
      </w:r>
      <w:r w:rsidRPr="001125E5">
        <w:rPr>
          <w:rFonts w:ascii="Times New Roman" w:hAnsi="Times New Roman"/>
          <w:sz w:val="28"/>
          <w:szCs w:val="28"/>
        </w:rPr>
        <w:t xml:space="preserve"> инженерно-техническими и</w:t>
      </w:r>
      <w:r>
        <w:rPr>
          <w:rFonts w:ascii="Times New Roman" w:hAnsi="Times New Roman"/>
          <w:sz w:val="28"/>
          <w:szCs w:val="28"/>
        </w:rPr>
        <w:t> </w:t>
      </w:r>
      <w:r w:rsidRPr="001125E5">
        <w:rPr>
          <w:rFonts w:ascii="Times New Roman" w:hAnsi="Times New Roman"/>
          <w:sz w:val="28"/>
          <w:szCs w:val="28"/>
        </w:rPr>
        <w:t>организационно-административными методами;</w:t>
      </w:r>
    </w:p>
    <w:p w:rsidR="002D1E45" w:rsidRPr="001125E5"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 xml:space="preserve">по пути распространения шума </w:t>
      </w:r>
      <w:r>
        <w:rPr>
          <w:rFonts w:ascii="Times New Roman" w:hAnsi="Times New Roman"/>
          <w:sz w:val="28"/>
          <w:szCs w:val="28"/>
        </w:rPr>
        <w:t>–</w:t>
      </w:r>
      <w:r w:rsidRPr="001125E5">
        <w:rPr>
          <w:rFonts w:ascii="Times New Roman" w:hAnsi="Times New Roman"/>
          <w:sz w:val="28"/>
          <w:szCs w:val="28"/>
        </w:rPr>
        <w:t xml:space="preserve"> градостроительными и</w:t>
      </w:r>
      <w:r>
        <w:rPr>
          <w:rFonts w:ascii="Times New Roman" w:hAnsi="Times New Roman"/>
          <w:sz w:val="28"/>
          <w:szCs w:val="28"/>
        </w:rPr>
        <w:t> </w:t>
      </w:r>
      <w:r w:rsidRPr="001125E5">
        <w:rPr>
          <w:rFonts w:ascii="Times New Roman" w:hAnsi="Times New Roman"/>
          <w:sz w:val="28"/>
          <w:szCs w:val="28"/>
        </w:rPr>
        <w:t>строительно-акустическими методами;</w:t>
      </w:r>
    </w:p>
    <w:p w:rsidR="002D1E45" w:rsidRPr="001125E5"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 xml:space="preserve">в объекте шумозащиты </w:t>
      </w:r>
      <w:r>
        <w:rPr>
          <w:rFonts w:ascii="Times New Roman" w:hAnsi="Times New Roman"/>
          <w:sz w:val="28"/>
          <w:szCs w:val="28"/>
        </w:rPr>
        <w:t>–</w:t>
      </w:r>
      <w:r w:rsidRPr="001125E5">
        <w:rPr>
          <w:rFonts w:ascii="Times New Roman" w:hAnsi="Times New Roman"/>
          <w:sz w:val="28"/>
          <w:szCs w:val="28"/>
        </w:rPr>
        <w:t xml:space="preserve"> конструктивно-строительными методами.</w:t>
      </w:r>
    </w:p>
    <w:p w:rsidR="002D1E45" w:rsidRPr="001125E5" w:rsidRDefault="002D1E45" w:rsidP="00FE1BF0">
      <w:pPr>
        <w:spacing w:after="0" w:line="240" w:lineRule="auto"/>
        <w:ind w:firstLine="709"/>
        <w:jc w:val="both"/>
        <w:rPr>
          <w:rFonts w:ascii="Times New Roman" w:hAnsi="Times New Roman"/>
          <w:sz w:val="28"/>
          <w:szCs w:val="28"/>
        </w:rPr>
      </w:pPr>
      <w:r w:rsidRPr="001125E5">
        <w:rPr>
          <w:rFonts w:ascii="Times New Roman" w:hAnsi="Times New Roman"/>
          <w:sz w:val="28"/>
          <w:szCs w:val="28"/>
        </w:rPr>
        <w:t>Расчёт шумовых характеристик транспортных потоков должны проводиться в</w:t>
      </w:r>
      <w:r>
        <w:rPr>
          <w:rFonts w:ascii="Times New Roman" w:hAnsi="Times New Roman"/>
          <w:sz w:val="28"/>
          <w:szCs w:val="28"/>
        </w:rPr>
        <w:t> </w:t>
      </w:r>
      <w:r w:rsidRPr="001125E5">
        <w:rPr>
          <w:rFonts w:ascii="Times New Roman" w:hAnsi="Times New Roman"/>
          <w:sz w:val="28"/>
          <w:szCs w:val="28"/>
        </w:rPr>
        <w:t xml:space="preserve">соответствии </w:t>
      </w:r>
      <w:r w:rsidRPr="00C93C71">
        <w:rPr>
          <w:rFonts w:ascii="Times New Roman" w:hAnsi="Times New Roman"/>
          <w:sz w:val="28"/>
          <w:szCs w:val="28"/>
        </w:rPr>
        <w:t>СП 51.13330.2011 «Защита от</w:t>
      </w:r>
      <w:r>
        <w:rPr>
          <w:rFonts w:ascii="Times New Roman" w:hAnsi="Times New Roman"/>
          <w:sz w:val="28"/>
          <w:szCs w:val="28"/>
        </w:rPr>
        <w:t> </w:t>
      </w:r>
      <w:r w:rsidRPr="00C93C71">
        <w:rPr>
          <w:rFonts w:ascii="Times New Roman" w:hAnsi="Times New Roman"/>
          <w:sz w:val="28"/>
          <w:szCs w:val="28"/>
        </w:rPr>
        <w:t>шума. Актуализированная редакция СНиП 23-03-2003»</w:t>
      </w:r>
      <w:r w:rsidRPr="001125E5">
        <w:rPr>
          <w:rFonts w:ascii="Times New Roman" w:hAnsi="Times New Roman"/>
          <w:sz w:val="28"/>
          <w:szCs w:val="28"/>
        </w:rPr>
        <w:t>.</w:t>
      </w:r>
    </w:p>
    <w:p w:rsidR="002D1E45" w:rsidRPr="001125E5" w:rsidRDefault="002D1E45" w:rsidP="00FE1BF0">
      <w:pPr>
        <w:spacing w:after="0" w:line="240" w:lineRule="auto"/>
        <w:ind w:firstLine="709"/>
        <w:jc w:val="both"/>
        <w:rPr>
          <w:rFonts w:ascii="Times New Roman" w:hAnsi="Times New Roman"/>
          <w:sz w:val="28"/>
          <w:szCs w:val="28"/>
        </w:rPr>
      </w:pPr>
      <w:r w:rsidRPr="001125E5">
        <w:rPr>
          <w:rFonts w:ascii="Times New Roman" w:hAnsi="Times New Roman"/>
          <w:sz w:val="28"/>
          <w:szCs w:val="28"/>
        </w:rPr>
        <w:t>Уровень звука LА</w:t>
      </w:r>
      <w:r w:rsidRPr="00E87F79">
        <w:rPr>
          <w:rFonts w:ascii="Times New Roman" w:hAnsi="Times New Roman"/>
          <w:sz w:val="28"/>
          <w:szCs w:val="28"/>
          <w:vertAlign w:val="subscript"/>
        </w:rPr>
        <w:t>тер</w:t>
      </w:r>
      <w:r w:rsidRPr="001125E5">
        <w:rPr>
          <w:rFonts w:ascii="Times New Roman" w:hAnsi="Times New Roman"/>
          <w:sz w:val="28"/>
          <w:szCs w:val="28"/>
        </w:rPr>
        <w:t>, в</w:t>
      </w:r>
      <w:r>
        <w:rPr>
          <w:rFonts w:ascii="Times New Roman" w:hAnsi="Times New Roman"/>
          <w:sz w:val="28"/>
          <w:szCs w:val="28"/>
        </w:rPr>
        <w:t> </w:t>
      </w:r>
      <w:r w:rsidRPr="001125E5">
        <w:rPr>
          <w:rFonts w:ascii="Times New Roman" w:hAnsi="Times New Roman"/>
          <w:sz w:val="28"/>
          <w:szCs w:val="28"/>
        </w:rPr>
        <w:t>дБА в</w:t>
      </w:r>
      <w:r>
        <w:rPr>
          <w:rFonts w:ascii="Times New Roman" w:hAnsi="Times New Roman"/>
          <w:sz w:val="28"/>
          <w:szCs w:val="28"/>
        </w:rPr>
        <w:t> </w:t>
      </w:r>
      <w:r w:rsidRPr="001125E5">
        <w:rPr>
          <w:rFonts w:ascii="Times New Roman" w:hAnsi="Times New Roman"/>
          <w:sz w:val="28"/>
          <w:szCs w:val="28"/>
        </w:rPr>
        <w:t>расчётной точке на</w:t>
      </w:r>
      <w:r>
        <w:rPr>
          <w:rFonts w:ascii="Times New Roman" w:hAnsi="Times New Roman"/>
          <w:sz w:val="28"/>
          <w:szCs w:val="28"/>
        </w:rPr>
        <w:t> </w:t>
      </w:r>
      <w:r w:rsidRPr="001125E5">
        <w:rPr>
          <w:rFonts w:ascii="Times New Roman" w:hAnsi="Times New Roman"/>
          <w:sz w:val="28"/>
          <w:szCs w:val="28"/>
        </w:rPr>
        <w:t>территории защищаемо</w:t>
      </w:r>
      <w:r>
        <w:rPr>
          <w:rFonts w:ascii="Times New Roman" w:hAnsi="Times New Roman"/>
          <w:sz w:val="28"/>
          <w:szCs w:val="28"/>
        </w:rPr>
        <w:t xml:space="preserve">го от шума объекта определяется </w:t>
      </w:r>
      <w:r w:rsidRPr="001125E5">
        <w:rPr>
          <w:rFonts w:ascii="Times New Roman" w:hAnsi="Times New Roman"/>
          <w:sz w:val="28"/>
          <w:szCs w:val="28"/>
        </w:rPr>
        <w:t>в</w:t>
      </w:r>
      <w:r>
        <w:rPr>
          <w:rFonts w:ascii="Times New Roman" w:hAnsi="Times New Roman"/>
          <w:sz w:val="28"/>
          <w:szCs w:val="28"/>
        </w:rPr>
        <w:t> </w:t>
      </w:r>
      <w:r w:rsidRPr="001125E5">
        <w:rPr>
          <w:rFonts w:ascii="Times New Roman" w:hAnsi="Times New Roman"/>
          <w:sz w:val="28"/>
          <w:szCs w:val="28"/>
        </w:rPr>
        <w:t>соответствии с</w:t>
      </w:r>
      <w:r>
        <w:rPr>
          <w:rFonts w:ascii="Times New Roman" w:hAnsi="Times New Roman"/>
          <w:sz w:val="28"/>
          <w:szCs w:val="28"/>
        </w:rPr>
        <w:t> </w:t>
      </w:r>
      <w:r w:rsidRPr="00C93C71">
        <w:rPr>
          <w:rFonts w:ascii="Times New Roman" w:hAnsi="Times New Roman"/>
          <w:sz w:val="28"/>
          <w:szCs w:val="28"/>
        </w:rPr>
        <w:t>СП 51.13330.2011</w:t>
      </w:r>
      <w:r w:rsidRPr="001125E5">
        <w:rPr>
          <w:rFonts w:ascii="Times New Roman" w:hAnsi="Times New Roman"/>
          <w:sz w:val="28"/>
          <w:szCs w:val="28"/>
        </w:rPr>
        <w:t xml:space="preserve"> </w:t>
      </w:r>
      <w:r>
        <w:rPr>
          <w:rFonts w:ascii="Times New Roman" w:hAnsi="Times New Roman"/>
          <w:sz w:val="28"/>
          <w:szCs w:val="28"/>
        </w:rPr>
        <w:t>(</w:t>
      </w:r>
      <w:r w:rsidRPr="001125E5">
        <w:rPr>
          <w:rFonts w:ascii="Times New Roman" w:hAnsi="Times New Roman"/>
          <w:sz w:val="28"/>
          <w:szCs w:val="28"/>
        </w:rPr>
        <w:t>п.</w:t>
      </w:r>
      <w:r>
        <w:rPr>
          <w:rFonts w:ascii="Times New Roman" w:hAnsi="Times New Roman"/>
          <w:sz w:val="28"/>
          <w:szCs w:val="28"/>
        </w:rPr>
        <w:t> 6.3</w:t>
      </w:r>
      <w:r w:rsidRPr="001125E5">
        <w:rPr>
          <w:rFonts w:ascii="Times New Roman" w:hAnsi="Times New Roman"/>
          <w:sz w:val="28"/>
          <w:szCs w:val="28"/>
        </w:rPr>
        <w:t>).</w:t>
      </w:r>
    </w:p>
    <w:p w:rsidR="002D1E45" w:rsidRPr="001125E5" w:rsidRDefault="002D1E45" w:rsidP="00FE1BF0">
      <w:pPr>
        <w:spacing w:after="0" w:line="240" w:lineRule="auto"/>
        <w:ind w:firstLine="709"/>
        <w:jc w:val="both"/>
        <w:rPr>
          <w:rFonts w:ascii="Times New Roman" w:hAnsi="Times New Roman"/>
          <w:sz w:val="28"/>
          <w:szCs w:val="28"/>
        </w:rPr>
      </w:pPr>
      <w:r w:rsidRPr="001125E5">
        <w:rPr>
          <w:rFonts w:ascii="Times New Roman" w:hAnsi="Times New Roman"/>
          <w:sz w:val="28"/>
          <w:szCs w:val="28"/>
        </w:rPr>
        <w:t>Генеральным планом предусматриваются следующие градостроительные мероприятия:</w:t>
      </w:r>
    </w:p>
    <w:p w:rsidR="002D1E45" w:rsidRPr="001125E5"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назначение ширины улиц в</w:t>
      </w:r>
      <w:r>
        <w:rPr>
          <w:rFonts w:ascii="Times New Roman" w:hAnsi="Times New Roman"/>
          <w:sz w:val="28"/>
          <w:szCs w:val="28"/>
        </w:rPr>
        <w:t> </w:t>
      </w:r>
      <w:r w:rsidRPr="001125E5">
        <w:rPr>
          <w:rFonts w:ascii="Times New Roman" w:hAnsi="Times New Roman"/>
          <w:sz w:val="28"/>
          <w:szCs w:val="28"/>
        </w:rPr>
        <w:t>соответствии с</w:t>
      </w:r>
      <w:r>
        <w:rPr>
          <w:rFonts w:ascii="Times New Roman" w:hAnsi="Times New Roman"/>
          <w:sz w:val="28"/>
          <w:szCs w:val="28"/>
        </w:rPr>
        <w:t> </w:t>
      </w:r>
      <w:r w:rsidRPr="001125E5">
        <w:rPr>
          <w:rFonts w:ascii="Times New Roman" w:hAnsi="Times New Roman"/>
          <w:sz w:val="28"/>
          <w:szCs w:val="28"/>
        </w:rPr>
        <w:t>принятой классификацией улично-дорожной сети;</w:t>
      </w:r>
    </w:p>
    <w:p w:rsidR="002D1E45" w:rsidRPr="001125E5"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озеленение примагистральных территорий, создание шумозащитных зелёных полос и</w:t>
      </w:r>
      <w:r>
        <w:rPr>
          <w:rFonts w:ascii="Times New Roman" w:hAnsi="Times New Roman"/>
          <w:sz w:val="28"/>
          <w:szCs w:val="28"/>
        </w:rPr>
        <w:t> </w:t>
      </w:r>
      <w:r w:rsidRPr="001125E5">
        <w:rPr>
          <w:rFonts w:ascii="Times New Roman" w:hAnsi="Times New Roman"/>
          <w:sz w:val="28"/>
          <w:szCs w:val="28"/>
        </w:rPr>
        <w:t>другие.</w:t>
      </w:r>
    </w:p>
    <w:p w:rsidR="002D1E45" w:rsidRPr="001125E5" w:rsidRDefault="002D1E45" w:rsidP="00FE1BF0">
      <w:pPr>
        <w:spacing w:after="0" w:line="240" w:lineRule="auto"/>
        <w:ind w:firstLine="709"/>
        <w:jc w:val="both"/>
        <w:rPr>
          <w:rFonts w:ascii="Times New Roman" w:hAnsi="Times New Roman"/>
          <w:sz w:val="28"/>
          <w:szCs w:val="28"/>
        </w:rPr>
      </w:pPr>
      <w:r w:rsidRPr="001125E5">
        <w:rPr>
          <w:rFonts w:ascii="Times New Roman" w:hAnsi="Times New Roman"/>
          <w:sz w:val="28"/>
          <w:szCs w:val="28"/>
        </w:rPr>
        <w:t>Укрупнение межмагистральных территорий и</w:t>
      </w:r>
      <w:r>
        <w:rPr>
          <w:rFonts w:ascii="Times New Roman" w:hAnsi="Times New Roman"/>
          <w:sz w:val="28"/>
          <w:szCs w:val="28"/>
        </w:rPr>
        <w:t> </w:t>
      </w:r>
      <w:r w:rsidRPr="001125E5">
        <w:rPr>
          <w:rFonts w:ascii="Times New Roman" w:hAnsi="Times New Roman"/>
          <w:sz w:val="28"/>
          <w:szCs w:val="28"/>
        </w:rPr>
        <w:t>рациональное распределение транспортных нагрузок на</w:t>
      </w:r>
      <w:r>
        <w:rPr>
          <w:rFonts w:ascii="Times New Roman" w:hAnsi="Times New Roman"/>
          <w:sz w:val="28"/>
          <w:szCs w:val="28"/>
        </w:rPr>
        <w:t> </w:t>
      </w:r>
      <w:r w:rsidRPr="001125E5">
        <w:rPr>
          <w:rFonts w:ascii="Times New Roman" w:hAnsi="Times New Roman"/>
          <w:sz w:val="28"/>
          <w:szCs w:val="28"/>
        </w:rPr>
        <w:t>улично-дорожную сеть может уменьшить шум в</w:t>
      </w:r>
      <w:r>
        <w:rPr>
          <w:rFonts w:ascii="Times New Roman" w:hAnsi="Times New Roman"/>
          <w:sz w:val="28"/>
          <w:szCs w:val="28"/>
        </w:rPr>
        <w:t> </w:t>
      </w:r>
      <w:r w:rsidRPr="001125E5">
        <w:rPr>
          <w:rFonts w:ascii="Times New Roman" w:hAnsi="Times New Roman"/>
          <w:sz w:val="28"/>
          <w:szCs w:val="28"/>
        </w:rPr>
        <w:t>среднем на 8 дБА.</w:t>
      </w:r>
    </w:p>
    <w:p w:rsidR="002D1E45" w:rsidRPr="001125E5" w:rsidRDefault="002D1E45" w:rsidP="00FE1BF0">
      <w:pPr>
        <w:spacing w:after="0" w:line="240" w:lineRule="auto"/>
        <w:ind w:firstLine="709"/>
        <w:jc w:val="both"/>
        <w:rPr>
          <w:rFonts w:ascii="Times New Roman" w:hAnsi="Times New Roman"/>
          <w:sz w:val="28"/>
          <w:szCs w:val="28"/>
        </w:rPr>
      </w:pPr>
      <w:r w:rsidRPr="001125E5">
        <w:rPr>
          <w:rFonts w:ascii="Times New Roman" w:hAnsi="Times New Roman"/>
          <w:sz w:val="28"/>
          <w:szCs w:val="28"/>
        </w:rPr>
        <w:t>Организация транспортного движения позволяет снизить уровень транспортного шума на 2-10 дБА, а</w:t>
      </w:r>
      <w:r>
        <w:rPr>
          <w:rFonts w:ascii="Times New Roman" w:hAnsi="Times New Roman"/>
          <w:sz w:val="28"/>
          <w:szCs w:val="28"/>
        </w:rPr>
        <w:t> </w:t>
      </w:r>
      <w:r w:rsidRPr="001125E5">
        <w:rPr>
          <w:rFonts w:ascii="Times New Roman" w:hAnsi="Times New Roman"/>
          <w:sz w:val="28"/>
          <w:szCs w:val="28"/>
        </w:rPr>
        <w:t>регулирование состава транспортных потоков и</w:t>
      </w:r>
      <w:r>
        <w:rPr>
          <w:rFonts w:ascii="Times New Roman" w:hAnsi="Times New Roman"/>
          <w:sz w:val="28"/>
          <w:szCs w:val="28"/>
        </w:rPr>
        <w:t> </w:t>
      </w:r>
      <w:r w:rsidRPr="001125E5">
        <w:rPr>
          <w:rFonts w:ascii="Times New Roman" w:hAnsi="Times New Roman"/>
          <w:sz w:val="28"/>
          <w:szCs w:val="28"/>
        </w:rPr>
        <w:t>применение автоматических систем регулирования на 10-15 дБА.</w:t>
      </w:r>
    </w:p>
    <w:p w:rsidR="002D1E45" w:rsidRPr="001125E5" w:rsidRDefault="002D1E45" w:rsidP="00FE1BF0">
      <w:pPr>
        <w:spacing w:after="0" w:line="240" w:lineRule="auto"/>
        <w:ind w:firstLine="709"/>
        <w:jc w:val="both"/>
        <w:rPr>
          <w:rFonts w:ascii="Times New Roman" w:hAnsi="Times New Roman"/>
          <w:sz w:val="28"/>
          <w:szCs w:val="28"/>
        </w:rPr>
      </w:pPr>
      <w:r w:rsidRPr="001125E5">
        <w:rPr>
          <w:rFonts w:ascii="Times New Roman" w:hAnsi="Times New Roman"/>
          <w:sz w:val="28"/>
          <w:szCs w:val="28"/>
        </w:rPr>
        <w:t>В зависимости от</w:t>
      </w:r>
      <w:r>
        <w:rPr>
          <w:rFonts w:ascii="Times New Roman" w:hAnsi="Times New Roman"/>
          <w:sz w:val="28"/>
          <w:szCs w:val="28"/>
        </w:rPr>
        <w:t> </w:t>
      </w:r>
      <w:r w:rsidRPr="001125E5">
        <w:rPr>
          <w:rFonts w:ascii="Times New Roman" w:hAnsi="Times New Roman"/>
          <w:sz w:val="28"/>
          <w:szCs w:val="28"/>
        </w:rPr>
        <w:t>конструкции посадок зелёных насаждений эффективность шумозащиты составляет 3-15 дБА, а</w:t>
      </w:r>
      <w:r>
        <w:rPr>
          <w:rFonts w:ascii="Times New Roman" w:hAnsi="Times New Roman"/>
          <w:sz w:val="28"/>
          <w:szCs w:val="28"/>
        </w:rPr>
        <w:t> </w:t>
      </w:r>
      <w:r w:rsidRPr="001125E5">
        <w:rPr>
          <w:rFonts w:ascii="Times New Roman" w:hAnsi="Times New Roman"/>
          <w:sz w:val="28"/>
          <w:szCs w:val="28"/>
        </w:rPr>
        <w:t>использование шумозащитных экранов 5-25 дБА.</w:t>
      </w:r>
    </w:p>
    <w:p w:rsidR="002D1E45" w:rsidRPr="001125E5" w:rsidRDefault="002D1E45" w:rsidP="00FE1BF0">
      <w:pPr>
        <w:spacing w:after="0" w:line="240" w:lineRule="auto"/>
        <w:ind w:firstLine="709"/>
        <w:jc w:val="both"/>
        <w:rPr>
          <w:rFonts w:ascii="Times New Roman" w:hAnsi="Times New Roman"/>
          <w:sz w:val="28"/>
          <w:szCs w:val="28"/>
        </w:rPr>
      </w:pPr>
      <w:r w:rsidRPr="001125E5">
        <w:rPr>
          <w:rFonts w:ascii="Times New Roman" w:hAnsi="Times New Roman"/>
          <w:sz w:val="28"/>
          <w:szCs w:val="28"/>
        </w:rPr>
        <w:t>Жилые здания, применяемые в</w:t>
      </w:r>
      <w:r>
        <w:rPr>
          <w:rFonts w:ascii="Times New Roman" w:hAnsi="Times New Roman"/>
          <w:sz w:val="28"/>
          <w:szCs w:val="28"/>
        </w:rPr>
        <w:t> </w:t>
      </w:r>
      <w:r w:rsidRPr="001125E5">
        <w:rPr>
          <w:rFonts w:ascii="Times New Roman" w:hAnsi="Times New Roman"/>
          <w:sz w:val="28"/>
          <w:szCs w:val="28"/>
        </w:rPr>
        <w:t>качестве шумовых барьеров, должны иметь высокие звукоизоляционные качества наружных ограждающих конструкций и, в</w:t>
      </w:r>
      <w:r>
        <w:rPr>
          <w:rFonts w:ascii="Times New Roman" w:hAnsi="Times New Roman"/>
          <w:sz w:val="28"/>
          <w:szCs w:val="28"/>
        </w:rPr>
        <w:t> </w:t>
      </w:r>
      <w:r w:rsidRPr="001125E5">
        <w:rPr>
          <w:rFonts w:ascii="Times New Roman" w:hAnsi="Times New Roman"/>
          <w:sz w:val="28"/>
          <w:szCs w:val="28"/>
        </w:rPr>
        <w:t>первую очередь, окон, которые могут снижать уровень звука на 18-45 дБА.</w:t>
      </w:r>
    </w:p>
    <w:p w:rsidR="002D1E45" w:rsidRPr="001125E5" w:rsidRDefault="002D1E45" w:rsidP="00FE1BF0">
      <w:pPr>
        <w:spacing w:after="0" w:line="240" w:lineRule="auto"/>
        <w:ind w:firstLine="709"/>
        <w:jc w:val="both"/>
        <w:rPr>
          <w:rFonts w:ascii="Times New Roman" w:hAnsi="Times New Roman"/>
          <w:sz w:val="28"/>
          <w:szCs w:val="28"/>
        </w:rPr>
      </w:pPr>
      <w:r w:rsidRPr="001125E5">
        <w:rPr>
          <w:rFonts w:ascii="Times New Roman" w:hAnsi="Times New Roman"/>
          <w:sz w:val="28"/>
          <w:szCs w:val="28"/>
        </w:rPr>
        <w:t>Размеры санитарно-защитных зон от</w:t>
      </w:r>
      <w:r>
        <w:rPr>
          <w:rFonts w:ascii="Times New Roman" w:hAnsi="Times New Roman"/>
          <w:sz w:val="28"/>
          <w:szCs w:val="28"/>
        </w:rPr>
        <w:t> </w:t>
      </w:r>
      <w:r w:rsidRPr="001125E5">
        <w:rPr>
          <w:rFonts w:ascii="Times New Roman" w:hAnsi="Times New Roman"/>
          <w:sz w:val="28"/>
          <w:szCs w:val="28"/>
        </w:rPr>
        <w:t>трансформаторов до</w:t>
      </w:r>
      <w:r>
        <w:rPr>
          <w:rFonts w:ascii="Times New Roman" w:hAnsi="Times New Roman"/>
          <w:sz w:val="28"/>
          <w:szCs w:val="28"/>
        </w:rPr>
        <w:t> </w:t>
      </w:r>
      <w:r w:rsidRPr="001125E5">
        <w:rPr>
          <w:rFonts w:ascii="Times New Roman" w:hAnsi="Times New Roman"/>
          <w:sz w:val="28"/>
          <w:szCs w:val="28"/>
        </w:rPr>
        <w:t>жилых домов рассчитаны с</w:t>
      </w:r>
      <w:r>
        <w:rPr>
          <w:rFonts w:ascii="Times New Roman" w:hAnsi="Times New Roman"/>
          <w:sz w:val="28"/>
          <w:szCs w:val="28"/>
        </w:rPr>
        <w:t> </w:t>
      </w:r>
      <w:r w:rsidRPr="001125E5">
        <w:rPr>
          <w:rFonts w:ascii="Times New Roman" w:hAnsi="Times New Roman"/>
          <w:sz w:val="28"/>
          <w:szCs w:val="28"/>
        </w:rPr>
        <w:t>учётом количества и</w:t>
      </w:r>
      <w:r>
        <w:rPr>
          <w:rFonts w:ascii="Times New Roman" w:hAnsi="Times New Roman"/>
          <w:sz w:val="28"/>
          <w:szCs w:val="28"/>
        </w:rPr>
        <w:t> </w:t>
      </w:r>
      <w:r w:rsidRPr="001125E5">
        <w:rPr>
          <w:rFonts w:ascii="Times New Roman" w:hAnsi="Times New Roman"/>
          <w:sz w:val="28"/>
          <w:szCs w:val="28"/>
        </w:rPr>
        <w:t>мощности трансформаторов при напряжении ПС 110-220 кВ (200-250 м).</w:t>
      </w:r>
    </w:p>
    <w:p w:rsidR="002D1E45" w:rsidRDefault="002D1E45" w:rsidP="00FE1BF0">
      <w:pPr>
        <w:spacing w:after="0" w:line="240" w:lineRule="auto"/>
        <w:ind w:firstLine="709"/>
        <w:jc w:val="both"/>
        <w:rPr>
          <w:rFonts w:ascii="Times New Roman" w:hAnsi="Times New Roman"/>
          <w:sz w:val="28"/>
          <w:szCs w:val="28"/>
        </w:rPr>
      </w:pPr>
      <w:r w:rsidRPr="001125E5">
        <w:rPr>
          <w:rFonts w:ascii="Times New Roman" w:hAnsi="Times New Roman"/>
          <w:sz w:val="28"/>
          <w:szCs w:val="28"/>
        </w:rPr>
        <w:t>Применение комплекса шумозащитных мер позволяет улучшить акустический режим в</w:t>
      </w:r>
      <w:r>
        <w:rPr>
          <w:rFonts w:ascii="Times New Roman" w:hAnsi="Times New Roman"/>
          <w:sz w:val="28"/>
          <w:szCs w:val="28"/>
        </w:rPr>
        <w:t> </w:t>
      </w:r>
      <w:r w:rsidRPr="001125E5">
        <w:rPr>
          <w:rFonts w:ascii="Times New Roman" w:hAnsi="Times New Roman"/>
          <w:sz w:val="28"/>
          <w:szCs w:val="28"/>
        </w:rPr>
        <w:t>жилых помещениях.</w:t>
      </w:r>
    </w:p>
    <w:p w:rsidR="002D1E45" w:rsidRPr="001125E5" w:rsidRDefault="002D1E45" w:rsidP="00FE1BF0">
      <w:pPr>
        <w:spacing w:after="0" w:line="240" w:lineRule="auto"/>
        <w:ind w:firstLine="709"/>
        <w:jc w:val="both"/>
        <w:rPr>
          <w:rFonts w:ascii="Times New Roman" w:hAnsi="Times New Roman"/>
          <w:sz w:val="28"/>
          <w:szCs w:val="28"/>
        </w:rPr>
      </w:pPr>
      <w:r w:rsidRPr="001125E5">
        <w:rPr>
          <w:rFonts w:ascii="Times New Roman" w:hAnsi="Times New Roman"/>
          <w:i/>
          <w:sz w:val="28"/>
          <w:szCs w:val="28"/>
        </w:rPr>
        <w:t>Защита от</w:t>
      </w:r>
      <w:r>
        <w:rPr>
          <w:rFonts w:ascii="Times New Roman" w:hAnsi="Times New Roman"/>
          <w:i/>
          <w:sz w:val="28"/>
          <w:szCs w:val="28"/>
        </w:rPr>
        <w:t> </w:t>
      </w:r>
      <w:r w:rsidRPr="001125E5">
        <w:rPr>
          <w:rFonts w:ascii="Times New Roman" w:hAnsi="Times New Roman"/>
          <w:i/>
          <w:sz w:val="28"/>
          <w:szCs w:val="28"/>
        </w:rPr>
        <w:t xml:space="preserve">действия электромагнитного поля. </w:t>
      </w:r>
      <w:r w:rsidRPr="001125E5">
        <w:rPr>
          <w:rFonts w:ascii="Times New Roman" w:hAnsi="Times New Roman"/>
          <w:sz w:val="28"/>
          <w:szCs w:val="28"/>
        </w:rPr>
        <w:t>Для защиты населения от</w:t>
      </w:r>
      <w:r>
        <w:rPr>
          <w:rFonts w:ascii="Times New Roman" w:hAnsi="Times New Roman"/>
          <w:sz w:val="28"/>
          <w:szCs w:val="28"/>
        </w:rPr>
        <w:t> </w:t>
      </w:r>
      <w:r w:rsidRPr="001125E5">
        <w:rPr>
          <w:rFonts w:ascii="Times New Roman" w:hAnsi="Times New Roman"/>
          <w:sz w:val="28"/>
          <w:szCs w:val="28"/>
        </w:rPr>
        <w:t xml:space="preserve">неблагоприятного воздействия электромагнитного поля, создаваемого </w:t>
      </w:r>
      <w:r>
        <w:rPr>
          <w:rFonts w:ascii="Times New Roman" w:hAnsi="Times New Roman"/>
          <w:sz w:val="28"/>
          <w:szCs w:val="28"/>
        </w:rPr>
        <w:t>высоковольтной линией</w:t>
      </w:r>
      <w:r w:rsidRPr="001125E5">
        <w:rPr>
          <w:rFonts w:ascii="Times New Roman" w:hAnsi="Times New Roman"/>
          <w:sz w:val="28"/>
          <w:szCs w:val="28"/>
        </w:rPr>
        <w:t xml:space="preserve">, необходимо организовать санитарно-защитную зону. </w:t>
      </w:r>
      <w:r w:rsidRPr="00AF2CC9">
        <w:rPr>
          <w:rFonts w:ascii="Times New Roman" w:hAnsi="Times New Roman"/>
          <w:sz w:val="28"/>
          <w:szCs w:val="28"/>
        </w:rPr>
        <w:t>В</w:t>
      </w:r>
      <w:r>
        <w:rPr>
          <w:rFonts w:ascii="Times New Roman" w:hAnsi="Times New Roman"/>
          <w:sz w:val="28"/>
          <w:szCs w:val="28"/>
        </w:rPr>
        <w:t> </w:t>
      </w:r>
      <w:r w:rsidRPr="00AF2CC9">
        <w:rPr>
          <w:rFonts w:ascii="Times New Roman" w:hAnsi="Times New Roman"/>
          <w:sz w:val="28"/>
          <w:szCs w:val="28"/>
        </w:rPr>
        <w:t>соответствии с</w:t>
      </w:r>
      <w:r>
        <w:rPr>
          <w:rFonts w:ascii="Times New Roman" w:hAnsi="Times New Roman"/>
          <w:sz w:val="28"/>
          <w:szCs w:val="28"/>
        </w:rPr>
        <w:t> </w:t>
      </w:r>
      <w:r w:rsidRPr="00AF2CC9">
        <w:rPr>
          <w:rFonts w:ascii="Times New Roman" w:hAnsi="Times New Roman"/>
          <w:sz w:val="28"/>
          <w:szCs w:val="28"/>
        </w:rPr>
        <w:t>постановлением Правительства Российской Федерации от 24.02.2009 № 160</w:t>
      </w:r>
      <w:r>
        <w:rPr>
          <w:rFonts w:ascii="Times New Roman" w:hAnsi="Times New Roman"/>
          <w:sz w:val="28"/>
          <w:szCs w:val="28"/>
        </w:rPr>
        <w:t>, в</w:t>
      </w:r>
      <w:r w:rsidRPr="001125E5">
        <w:rPr>
          <w:rFonts w:ascii="Times New Roman" w:hAnsi="Times New Roman"/>
          <w:sz w:val="28"/>
          <w:szCs w:val="28"/>
        </w:rPr>
        <w:t xml:space="preserve">еличина зоны для линий электропередач </w:t>
      </w:r>
      <w:r>
        <w:rPr>
          <w:rFonts w:ascii="Times New Roman" w:hAnsi="Times New Roman"/>
          <w:sz w:val="28"/>
          <w:szCs w:val="28"/>
        </w:rPr>
        <w:t>до 20</w:t>
      </w:r>
      <w:r w:rsidRPr="001125E5">
        <w:rPr>
          <w:rFonts w:ascii="Times New Roman" w:hAnsi="Times New Roman"/>
          <w:sz w:val="28"/>
          <w:szCs w:val="28"/>
        </w:rPr>
        <w:t xml:space="preserve"> кВ</w:t>
      </w:r>
      <w:r>
        <w:rPr>
          <w:rFonts w:ascii="Times New Roman" w:hAnsi="Times New Roman"/>
          <w:sz w:val="28"/>
          <w:szCs w:val="28"/>
        </w:rPr>
        <w:t xml:space="preserve"> составляет </w:t>
      </w:r>
      <w:r w:rsidRPr="00235ACA">
        <w:rPr>
          <w:rFonts w:ascii="Times New Roman" w:hAnsi="Times New Roman"/>
          <w:sz w:val="28"/>
          <w:szCs w:val="28"/>
        </w:rPr>
        <w:t>10</w:t>
      </w:r>
      <w:r>
        <w:rPr>
          <w:rFonts w:ascii="Times New Roman" w:hAnsi="Times New Roman"/>
          <w:sz w:val="28"/>
          <w:szCs w:val="28"/>
        </w:rPr>
        <w:t xml:space="preserve"> м</w:t>
      </w:r>
      <w:r w:rsidRPr="00235ACA">
        <w:rPr>
          <w:rFonts w:ascii="Times New Roman" w:hAnsi="Times New Roman"/>
          <w:sz w:val="28"/>
          <w:szCs w:val="28"/>
        </w:rPr>
        <w:t xml:space="preserve"> (5</w:t>
      </w:r>
      <w:r>
        <w:rPr>
          <w:rFonts w:ascii="Times New Roman" w:hAnsi="Times New Roman"/>
          <w:sz w:val="28"/>
          <w:szCs w:val="28"/>
        </w:rPr>
        <w:t xml:space="preserve"> м</w:t>
      </w:r>
      <w:r w:rsidRPr="00235ACA">
        <w:rPr>
          <w:rFonts w:ascii="Times New Roman" w:hAnsi="Times New Roman"/>
          <w:sz w:val="28"/>
          <w:szCs w:val="28"/>
        </w:rPr>
        <w:t xml:space="preserve"> </w:t>
      </w:r>
      <w:r>
        <w:rPr>
          <w:rFonts w:ascii="Times New Roman" w:hAnsi="Times New Roman"/>
          <w:sz w:val="28"/>
          <w:szCs w:val="28"/>
        </w:rPr>
        <w:t>–</w:t>
      </w:r>
      <w:r w:rsidRPr="00235ACA">
        <w:rPr>
          <w:rFonts w:ascii="Times New Roman" w:hAnsi="Times New Roman"/>
          <w:sz w:val="28"/>
          <w:szCs w:val="28"/>
        </w:rPr>
        <w:t xml:space="preserve"> для линий с</w:t>
      </w:r>
      <w:r>
        <w:rPr>
          <w:rFonts w:ascii="Times New Roman" w:hAnsi="Times New Roman"/>
          <w:sz w:val="28"/>
          <w:szCs w:val="28"/>
        </w:rPr>
        <w:t> </w:t>
      </w:r>
      <w:r w:rsidRPr="00235ACA">
        <w:rPr>
          <w:rFonts w:ascii="Times New Roman" w:hAnsi="Times New Roman"/>
          <w:sz w:val="28"/>
          <w:szCs w:val="28"/>
        </w:rPr>
        <w:t>самонесущими или изолированными проводами, размещённы</w:t>
      </w:r>
      <w:r>
        <w:rPr>
          <w:rFonts w:ascii="Times New Roman" w:hAnsi="Times New Roman"/>
          <w:sz w:val="28"/>
          <w:szCs w:val="28"/>
        </w:rPr>
        <w:t>ми</w:t>
      </w:r>
      <w:r w:rsidRPr="00235ACA">
        <w:rPr>
          <w:rFonts w:ascii="Times New Roman" w:hAnsi="Times New Roman"/>
          <w:sz w:val="28"/>
          <w:szCs w:val="28"/>
        </w:rPr>
        <w:t xml:space="preserve"> в</w:t>
      </w:r>
      <w:r>
        <w:rPr>
          <w:rFonts w:ascii="Times New Roman" w:hAnsi="Times New Roman"/>
          <w:sz w:val="28"/>
          <w:szCs w:val="28"/>
        </w:rPr>
        <w:t> </w:t>
      </w:r>
      <w:r w:rsidRPr="00235ACA">
        <w:rPr>
          <w:rFonts w:ascii="Times New Roman" w:hAnsi="Times New Roman"/>
          <w:sz w:val="28"/>
          <w:szCs w:val="28"/>
        </w:rPr>
        <w:t>границах населённых пунктов)</w:t>
      </w:r>
      <w:r>
        <w:rPr>
          <w:rFonts w:ascii="Times New Roman" w:hAnsi="Times New Roman"/>
          <w:sz w:val="28"/>
          <w:szCs w:val="28"/>
        </w:rPr>
        <w:t>, до 35 кВ – 15 м, до 110 кВ – 20 м, до 220 кВ – 25 м.</w:t>
      </w:r>
    </w:p>
    <w:p w:rsidR="002D1E45" w:rsidRPr="001125E5" w:rsidRDefault="002D1E45" w:rsidP="00FE1BF0">
      <w:pPr>
        <w:spacing w:after="0" w:line="240" w:lineRule="auto"/>
        <w:ind w:firstLine="709"/>
        <w:jc w:val="both"/>
        <w:rPr>
          <w:rFonts w:ascii="Times New Roman" w:hAnsi="Times New Roman"/>
          <w:sz w:val="28"/>
          <w:szCs w:val="28"/>
        </w:rPr>
      </w:pPr>
      <w:r w:rsidRPr="001125E5">
        <w:rPr>
          <w:rFonts w:ascii="Times New Roman" w:hAnsi="Times New Roman"/>
          <w:sz w:val="28"/>
          <w:szCs w:val="28"/>
        </w:rPr>
        <w:t>Следует отметить, что недоучёт экологической компоненты в</w:t>
      </w:r>
      <w:r>
        <w:rPr>
          <w:rFonts w:ascii="Times New Roman" w:hAnsi="Times New Roman"/>
          <w:sz w:val="28"/>
          <w:szCs w:val="28"/>
        </w:rPr>
        <w:t> </w:t>
      </w:r>
      <w:r w:rsidRPr="001125E5">
        <w:rPr>
          <w:rFonts w:ascii="Times New Roman" w:hAnsi="Times New Roman"/>
          <w:sz w:val="28"/>
          <w:szCs w:val="28"/>
        </w:rPr>
        <w:t>социально-экономическом развитии территории на</w:t>
      </w:r>
      <w:r>
        <w:rPr>
          <w:rFonts w:ascii="Times New Roman" w:hAnsi="Times New Roman"/>
          <w:sz w:val="28"/>
          <w:szCs w:val="28"/>
        </w:rPr>
        <w:t> </w:t>
      </w:r>
      <w:r w:rsidRPr="001125E5">
        <w:rPr>
          <w:rFonts w:ascii="Times New Roman" w:hAnsi="Times New Roman"/>
          <w:sz w:val="28"/>
          <w:szCs w:val="28"/>
        </w:rPr>
        <w:t>прогнозируемый период может привести к</w:t>
      </w:r>
      <w:r>
        <w:rPr>
          <w:rFonts w:ascii="Times New Roman" w:hAnsi="Times New Roman"/>
          <w:sz w:val="28"/>
          <w:szCs w:val="28"/>
        </w:rPr>
        <w:t> </w:t>
      </w:r>
      <w:r w:rsidRPr="001125E5">
        <w:rPr>
          <w:rFonts w:ascii="Times New Roman" w:hAnsi="Times New Roman"/>
          <w:sz w:val="28"/>
          <w:szCs w:val="28"/>
        </w:rPr>
        <w:t>возникновению экологических рисков, в</w:t>
      </w:r>
      <w:r>
        <w:rPr>
          <w:rFonts w:ascii="Times New Roman" w:hAnsi="Times New Roman"/>
          <w:sz w:val="28"/>
          <w:szCs w:val="28"/>
        </w:rPr>
        <w:t> </w:t>
      </w:r>
      <w:r w:rsidRPr="001125E5">
        <w:rPr>
          <w:rFonts w:ascii="Times New Roman" w:hAnsi="Times New Roman"/>
          <w:sz w:val="28"/>
          <w:szCs w:val="28"/>
        </w:rPr>
        <w:t>их</w:t>
      </w:r>
      <w:r>
        <w:rPr>
          <w:rFonts w:ascii="Times New Roman" w:hAnsi="Times New Roman"/>
          <w:sz w:val="28"/>
          <w:szCs w:val="28"/>
        </w:rPr>
        <w:t> </w:t>
      </w:r>
      <w:r w:rsidRPr="001125E5">
        <w:rPr>
          <w:rFonts w:ascii="Times New Roman" w:hAnsi="Times New Roman"/>
          <w:sz w:val="28"/>
          <w:szCs w:val="28"/>
        </w:rPr>
        <w:t>числе можно выделить следующие:</w:t>
      </w:r>
    </w:p>
    <w:p w:rsidR="002D1E45" w:rsidRPr="001125E5"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риски, угрожающие безопасности, к</w:t>
      </w:r>
      <w:r>
        <w:rPr>
          <w:rFonts w:ascii="Times New Roman" w:hAnsi="Times New Roman"/>
          <w:sz w:val="28"/>
          <w:szCs w:val="28"/>
        </w:rPr>
        <w:t> </w:t>
      </w:r>
      <w:r w:rsidRPr="001125E5">
        <w:rPr>
          <w:rFonts w:ascii="Times New Roman" w:hAnsi="Times New Roman"/>
          <w:sz w:val="28"/>
          <w:szCs w:val="28"/>
        </w:rPr>
        <w:t>которым, в</w:t>
      </w:r>
      <w:r>
        <w:rPr>
          <w:rFonts w:ascii="Times New Roman" w:hAnsi="Times New Roman"/>
          <w:sz w:val="28"/>
          <w:szCs w:val="28"/>
        </w:rPr>
        <w:t> </w:t>
      </w:r>
      <w:r w:rsidRPr="001125E5">
        <w:rPr>
          <w:rFonts w:ascii="Times New Roman" w:hAnsi="Times New Roman"/>
          <w:sz w:val="28"/>
          <w:szCs w:val="28"/>
        </w:rPr>
        <w:t>частности, относятся несчастные случаи на</w:t>
      </w:r>
      <w:r>
        <w:rPr>
          <w:rFonts w:ascii="Times New Roman" w:hAnsi="Times New Roman"/>
          <w:sz w:val="28"/>
          <w:szCs w:val="28"/>
        </w:rPr>
        <w:t> </w:t>
      </w:r>
      <w:r w:rsidRPr="001125E5">
        <w:rPr>
          <w:rFonts w:ascii="Times New Roman" w:hAnsi="Times New Roman"/>
          <w:sz w:val="28"/>
          <w:szCs w:val="28"/>
        </w:rPr>
        <w:t>производстве, вызванные неблагоприятной внутрипроизводственной экологической обстановкой;</w:t>
      </w:r>
    </w:p>
    <w:p w:rsidR="002D1E45" w:rsidRPr="001125E5"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риски, угрожающие здоровью населения вследствие ухудшения экологического состояния территории, которые часто имеют латентный характер, и</w:t>
      </w:r>
      <w:r>
        <w:rPr>
          <w:rFonts w:ascii="Times New Roman" w:hAnsi="Times New Roman"/>
          <w:sz w:val="28"/>
          <w:szCs w:val="28"/>
        </w:rPr>
        <w:t> </w:t>
      </w:r>
      <w:r w:rsidRPr="001125E5">
        <w:rPr>
          <w:rFonts w:ascii="Times New Roman" w:hAnsi="Times New Roman"/>
          <w:sz w:val="28"/>
          <w:szCs w:val="28"/>
        </w:rPr>
        <w:t>проявляются с</w:t>
      </w:r>
      <w:r>
        <w:rPr>
          <w:rFonts w:ascii="Times New Roman" w:hAnsi="Times New Roman"/>
          <w:sz w:val="28"/>
          <w:szCs w:val="28"/>
        </w:rPr>
        <w:t> </w:t>
      </w:r>
      <w:r w:rsidRPr="001125E5">
        <w:rPr>
          <w:rFonts w:ascii="Times New Roman" w:hAnsi="Times New Roman"/>
          <w:sz w:val="28"/>
          <w:szCs w:val="28"/>
        </w:rPr>
        <w:t>определённой задержкой;</w:t>
      </w:r>
    </w:p>
    <w:p w:rsidR="002D1E45" w:rsidRPr="001125E5"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риски, угрожающие общественному благосостоянию, включая снижение ценности земельных ресурсов, в</w:t>
      </w:r>
      <w:r>
        <w:rPr>
          <w:rFonts w:ascii="Times New Roman" w:hAnsi="Times New Roman"/>
          <w:sz w:val="28"/>
          <w:szCs w:val="28"/>
        </w:rPr>
        <w:t> </w:t>
      </w:r>
      <w:r w:rsidRPr="001125E5">
        <w:rPr>
          <w:rFonts w:ascii="Times New Roman" w:hAnsi="Times New Roman"/>
          <w:sz w:val="28"/>
          <w:szCs w:val="28"/>
        </w:rPr>
        <w:t>том числе выделяемых для строительства жилья и</w:t>
      </w:r>
      <w:r>
        <w:rPr>
          <w:rFonts w:ascii="Times New Roman" w:hAnsi="Times New Roman"/>
          <w:sz w:val="28"/>
          <w:szCs w:val="28"/>
        </w:rPr>
        <w:t> </w:t>
      </w:r>
      <w:r w:rsidRPr="001125E5">
        <w:rPr>
          <w:rFonts w:ascii="Times New Roman" w:hAnsi="Times New Roman"/>
          <w:sz w:val="28"/>
          <w:szCs w:val="28"/>
        </w:rPr>
        <w:t>санаторно-курортных объектов, вследствие загрязнения почв и</w:t>
      </w:r>
      <w:r>
        <w:rPr>
          <w:rFonts w:ascii="Times New Roman" w:hAnsi="Times New Roman"/>
          <w:sz w:val="28"/>
          <w:szCs w:val="28"/>
        </w:rPr>
        <w:t> </w:t>
      </w:r>
      <w:r w:rsidRPr="001125E5">
        <w:rPr>
          <w:rFonts w:ascii="Times New Roman" w:hAnsi="Times New Roman"/>
          <w:sz w:val="28"/>
          <w:szCs w:val="28"/>
        </w:rPr>
        <w:t>атмосферного воздуха;</w:t>
      </w:r>
    </w:p>
    <w:p w:rsidR="002D1E45"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финансовые риски (возможные потери собственности, доходов, или прибыли от</w:t>
      </w:r>
      <w:r>
        <w:rPr>
          <w:rFonts w:ascii="Times New Roman" w:hAnsi="Times New Roman"/>
          <w:sz w:val="28"/>
          <w:szCs w:val="28"/>
        </w:rPr>
        <w:t> </w:t>
      </w:r>
      <w:r w:rsidRPr="001125E5">
        <w:rPr>
          <w:rFonts w:ascii="Times New Roman" w:hAnsi="Times New Roman"/>
          <w:sz w:val="28"/>
          <w:szCs w:val="28"/>
        </w:rPr>
        <w:t>инвестиций, связанные с</w:t>
      </w:r>
      <w:r>
        <w:rPr>
          <w:rFonts w:ascii="Times New Roman" w:hAnsi="Times New Roman"/>
          <w:sz w:val="28"/>
          <w:szCs w:val="28"/>
        </w:rPr>
        <w:t> </w:t>
      </w:r>
      <w:r w:rsidRPr="001125E5">
        <w:rPr>
          <w:rFonts w:ascii="Times New Roman" w:hAnsi="Times New Roman"/>
          <w:sz w:val="28"/>
          <w:szCs w:val="28"/>
        </w:rPr>
        <w:t>экологическими факторами).</w:t>
      </w:r>
    </w:p>
    <w:p w:rsidR="002D1E45" w:rsidRPr="005C44AC" w:rsidRDefault="002D1E45" w:rsidP="005C44AC">
      <w:pPr>
        <w:spacing w:after="0" w:line="240" w:lineRule="auto"/>
        <w:ind w:firstLine="709"/>
        <w:jc w:val="both"/>
        <w:rPr>
          <w:rFonts w:ascii="Times New Roman" w:hAnsi="Times New Roman"/>
          <w:iCs/>
          <w:sz w:val="28"/>
          <w:szCs w:val="28"/>
        </w:rPr>
      </w:pPr>
      <w:r w:rsidRPr="005C44AC">
        <w:rPr>
          <w:rFonts w:ascii="Times New Roman" w:hAnsi="Times New Roman"/>
          <w:i/>
          <w:sz w:val="28"/>
          <w:szCs w:val="28"/>
        </w:rPr>
        <w:t>Анализ радиационной обстановки в г. Куйбышеве</w:t>
      </w:r>
      <w:r>
        <w:rPr>
          <w:rFonts w:ascii="Times New Roman" w:hAnsi="Times New Roman"/>
          <w:i/>
          <w:sz w:val="28"/>
          <w:szCs w:val="28"/>
        </w:rPr>
        <w:t>.</w:t>
      </w:r>
      <w:r>
        <w:rPr>
          <w:rFonts w:ascii="Times New Roman" w:hAnsi="Times New Roman"/>
          <w:iCs/>
          <w:sz w:val="28"/>
          <w:szCs w:val="28"/>
        </w:rPr>
        <w:t xml:space="preserve"> </w:t>
      </w:r>
      <w:r w:rsidRPr="005C44AC">
        <w:rPr>
          <w:rFonts w:ascii="Times New Roman" w:hAnsi="Times New Roman"/>
          <w:iCs/>
          <w:sz w:val="28"/>
          <w:szCs w:val="28"/>
        </w:rPr>
        <w:t>Радиационная безопасность в г. Куйбышеве стабильна, превышения не</w:t>
      </w:r>
      <w:r>
        <w:rPr>
          <w:rFonts w:ascii="Times New Roman" w:hAnsi="Times New Roman"/>
          <w:iCs/>
          <w:sz w:val="28"/>
          <w:szCs w:val="28"/>
        </w:rPr>
        <w:t xml:space="preserve"> </w:t>
      </w:r>
      <w:r w:rsidRPr="005C44AC">
        <w:rPr>
          <w:rFonts w:ascii="Times New Roman" w:hAnsi="Times New Roman"/>
          <w:iCs/>
          <w:sz w:val="28"/>
          <w:szCs w:val="28"/>
        </w:rPr>
        <w:t>выявлено, а именно: еженедельно проводится измерение мощности эквивалентной</w:t>
      </w:r>
      <w:r>
        <w:rPr>
          <w:rFonts w:ascii="Times New Roman" w:hAnsi="Times New Roman"/>
          <w:iCs/>
          <w:sz w:val="28"/>
          <w:szCs w:val="28"/>
        </w:rPr>
        <w:t xml:space="preserve"> </w:t>
      </w:r>
      <w:r w:rsidRPr="005C44AC">
        <w:rPr>
          <w:rFonts w:ascii="Times New Roman" w:hAnsi="Times New Roman"/>
          <w:iCs/>
          <w:sz w:val="28"/>
          <w:szCs w:val="28"/>
        </w:rPr>
        <w:t>дозы внешнего гамма</w:t>
      </w:r>
      <w:r>
        <w:rPr>
          <w:rFonts w:ascii="Times New Roman" w:hAnsi="Times New Roman"/>
          <w:iCs/>
          <w:sz w:val="28"/>
          <w:szCs w:val="28"/>
        </w:rPr>
        <w:t>-</w:t>
      </w:r>
      <w:r w:rsidRPr="005C44AC">
        <w:rPr>
          <w:rFonts w:ascii="Times New Roman" w:hAnsi="Times New Roman"/>
          <w:iCs/>
          <w:sz w:val="28"/>
          <w:szCs w:val="28"/>
        </w:rPr>
        <w:t>излучения в контрольной точке № 2, все отобранные пробы соответствует допустимым величинам, установленные СанПиН 2.6.1.2523-09</w:t>
      </w:r>
      <w:r>
        <w:rPr>
          <w:rFonts w:ascii="Times New Roman" w:hAnsi="Times New Roman"/>
          <w:iCs/>
          <w:sz w:val="28"/>
          <w:szCs w:val="28"/>
        </w:rPr>
        <w:t xml:space="preserve"> </w:t>
      </w:r>
      <w:r w:rsidRPr="005C44AC">
        <w:rPr>
          <w:rFonts w:ascii="Times New Roman" w:hAnsi="Times New Roman"/>
          <w:iCs/>
          <w:sz w:val="28"/>
          <w:szCs w:val="28"/>
        </w:rPr>
        <w:t>«Нормы радиационной безопасности» (НРБ - 99/20099).</w:t>
      </w:r>
    </w:p>
    <w:p w:rsidR="002D1E45" w:rsidRDefault="002D1E45" w:rsidP="00FE1BF0">
      <w:pPr>
        <w:spacing w:after="0" w:line="240" w:lineRule="auto"/>
        <w:ind w:firstLine="567"/>
        <w:jc w:val="both"/>
        <w:rPr>
          <w:rFonts w:ascii="Times New Roman" w:hAnsi="Times New Roman"/>
          <w:sz w:val="28"/>
          <w:szCs w:val="28"/>
        </w:rPr>
      </w:pPr>
    </w:p>
    <w:p w:rsidR="002D1E45" w:rsidRPr="00FC0DD7" w:rsidRDefault="002D1E45" w:rsidP="00D05D06">
      <w:pPr>
        <w:pStyle w:val="Heading1"/>
        <w:numPr>
          <w:ilvl w:val="0"/>
          <w:numId w:val="65"/>
        </w:numPr>
        <w:spacing w:after="240" w:line="240" w:lineRule="auto"/>
        <w:rPr>
          <w:b/>
          <w:sz w:val="32"/>
        </w:rPr>
      </w:pPr>
      <w:bookmarkStart w:id="224" w:name="_Toc468971944"/>
      <w:bookmarkStart w:id="225" w:name="_Toc475037110"/>
      <w:bookmarkStart w:id="226" w:name="_Toc84936052"/>
      <w:r w:rsidRPr="00FC0DD7">
        <w:rPr>
          <w:b/>
          <w:sz w:val="32"/>
        </w:rPr>
        <w:t>Прогноз развития демографических и</w:t>
      </w:r>
      <w:r>
        <w:rPr>
          <w:b/>
          <w:sz w:val="32"/>
        </w:rPr>
        <w:t> </w:t>
      </w:r>
      <w:r w:rsidRPr="00FC0DD7">
        <w:rPr>
          <w:b/>
          <w:sz w:val="32"/>
        </w:rPr>
        <w:t>социально-экономических процессов</w:t>
      </w:r>
      <w:bookmarkEnd w:id="224"/>
      <w:bookmarkEnd w:id="225"/>
      <w:r w:rsidRPr="00FC0DD7">
        <w:rPr>
          <w:b/>
          <w:sz w:val="32"/>
        </w:rPr>
        <w:t xml:space="preserve"> </w:t>
      </w:r>
      <w:r>
        <w:rPr>
          <w:b/>
          <w:sz w:val="32"/>
        </w:rPr>
        <w:t>в городе Куйбышеве</w:t>
      </w:r>
      <w:bookmarkEnd w:id="226"/>
    </w:p>
    <w:p w:rsidR="002D1E45" w:rsidRPr="003A7901" w:rsidRDefault="002D1E45" w:rsidP="003A7901">
      <w:pPr>
        <w:spacing w:after="0" w:line="240" w:lineRule="auto"/>
        <w:rPr>
          <w:rFonts w:ascii="Times New Roman" w:hAnsi="Times New Roman"/>
          <w:sz w:val="16"/>
          <w:szCs w:val="16"/>
          <w:lang w:eastAsia="ru-RU"/>
        </w:rPr>
      </w:pPr>
    </w:p>
    <w:p w:rsidR="002D1E45" w:rsidRPr="00F0286E" w:rsidRDefault="002D1E45" w:rsidP="00F0286E">
      <w:pPr>
        <w:spacing w:after="0" w:line="240" w:lineRule="auto"/>
        <w:ind w:firstLine="709"/>
        <w:jc w:val="both"/>
        <w:rPr>
          <w:rFonts w:ascii="Times New Roman" w:hAnsi="Times New Roman"/>
          <w:sz w:val="28"/>
          <w:szCs w:val="24"/>
          <w:lang w:eastAsia="ru-RU"/>
        </w:rPr>
      </w:pPr>
      <w:r w:rsidRPr="00F0286E">
        <w:rPr>
          <w:rFonts w:ascii="Times New Roman" w:hAnsi="Times New Roman"/>
          <w:sz w:val="28"/>
          <w:szCs w:val="24"/>
          <w:lang w:eastAsia="ru-RU"/>
        </w:rPr>
        <w:t xml:space="preserve">Актуальной задачей демографической политики органов местного самоуправления </w:t>
      </w:r>
      <w:r>
        <w:rPr>
          <w:rFonts w:ascii="Times New Roman" w:hAnsi="Times New Roman"/>
          <w:sz w:val="28"/>
          <w:szCs w:val="28"/>
        </w:rPr>
        <w:t>города Куйбышева</w:t>
      </w:r>
      <w:r>
        <w:rPr>
          <w:rFonts w:ascii="Times New Roman" w:hAnsi="Times New Roman"/>
          <w:sz w:val="28"/>
          <w:szCs w:val="24"/>
          <w:lang w:eastAsia="ru-RU"/>
        </w:rPr>
        <w:t xml:space="preserve"> </w:t>
      </w:r>
      <w:r w:rsidRPr="00F0286E">
        <w:rPr>
          <w:rFonts w:ascii="Times New Roman" w:hAnsi="Times New Roman"/>
          <w:sz w:val="28"/>
          <w:szCs w:val="24"/>
          <w:lang w:eastAsia="ru-RU"/>
        </w:rPr>
        <w:t>является увеличение численности населения территории за</w:t>
      </w:r>
      <w:r>
        <w:rPr>
          <w:rFonts w:ascii="Times New Roman" w:hAnsi="Times New Roman"/>
          <w:sz w:val="28"/>
          <w:szCs w:val="24"/>
          <w:lang w:eastAsia="ru-RU"/>
        </w:rPr>
        <w:t> </w:t>
      </w:r>
      <w:r w:rsidRPr="00F0286E">
        <w:rPr>
          <w:rFonts w:ascii="Times New Roman" w:hAnsi="Times New Roman"/>
          <w:sz w:val="28"/>
          <w:szCs w:val="24"/>
          <w:lang w:eastAsia="ru-RU"/>
        </w:rPr>
        <w:t>счёт повышения рождаемости, снижения смертности, увеличения средней продолжительности жизни, а</w:t>
      </w:r>
      <w:r>
        <w:rPr>
          <w:rFonts w:ascii="Times New Roman" w:hAnsi="Times New Roman"/>
          <w:sz w:val="28"/>
          <w:szCs w:val="24"/>
          <w:lang w:eastAsia="ru-RU"/>
        </w:rPr>
        <w:t> </w:t>
      </w:r>
      <w:r w:rsidRPr="00F0286E">
        <w:rPr>
          <w:rFonts w:ascii="Times New Roman" w:hAnsi="Times New Roman"/>
          <w:sz w:val="28"/>
          <w:szCs w:val="24"/>
          <w:lang w:eastAsia="ru-RU"/>
        </w:rPr>
        <w:t>также за</w:t>
      </w:r>
      <w:r>
        <w:rPr>
          <w:rFonts w:ascii="Times New Roman" w:hAnsi="Times New Roman"/>
          <w:sz w:val="28"/>
          <w:szCs w:val="24"/>
          <w:lang w:eastAsia="ru-RU"/>
        </w:rPr>
        <w:t> </w:t>
      </w:r>
      <w:r w:rsidRPr="00F0286E">
        <w:rPr>
          <w:rFonts w:ascii="Times New Roman" w:hAnsi="Times New Roman"/>
          <w:sz w:val="28"/>
          <w:szCs w:val="24"/>
          <w:lang w:eastAsia="ru-RU"/>
        </w:rPr>
        <w:t>счёт развития рынка труда на</w:t>
      </w:r>
      <w:r>
        <w:rPr>
          <w:rFonts w:ascii="Times New Roman" w:hAnsi="Times New Roman"/>
          <w:sz w:val="28"/>
          <w:szCs w:val="24"/>
          <w:lang w:eastAsia="ru-RU"/>
        </w:rPr>
        <w:t> </w:t>
      </w:r>
      <w:r w:rsidRPr="00F0286E">
        <w:rPr>
          <w:rFonts w:ascii="Times New Roman" w:hAnsi="Times New Roman"/>
          <w:sz w:val="28"/>
          <w:szCs w:val="24"/>
          <w:lang w:eastAsia="ru-RU"/>
        </w:rPr>
        <w:t>основе баланса интересов работодателей и</w:t>
      </w:r>
      <w:r>
        <w:rPr>
          <w:rFonts w:ascii="Times New Roman" w:hAnsi="Times New Roman"/>
          <w:sz w:val="28"/>
          <w:szCs w:val="24"/>
          <w:lang w:eastAsia="ru-RU"/>
        </w:rPr>
        <w:t> </w:t>
      </w:r>
      <w:r w:rsidRPr="00F0286E">
        <w:rPr>
          <w:rFonts w:ascii="Times New Roman" w:hAnsi="Times New Roman"/>
          <w:sz w:val="28"/>
          <w:szCs w:val="24"/>
          <w:lang w:eastAsia="ru-RU"/>
        </w:rPr>
        <w:t>работников, максимального обеспечения занятости трудоспособного населения, привлечения квалифицированных кадров на</w:t>
      </w:r>
      <w:r>
        <w:rPr>
          <w:rFonts w:ascii="Times New Roman" w:hAnsi="Times New Roman"/>
          <w:sz w:val="28"/>
          <w:szCs w:val="24"/>
          <w:lang w:eastAsia="ru-RU"/>
        </w:rPr>
        <w:t> </w:t>
      </w:r>
      <w:r w:rsidRPr="00F0286E">
        <w:rPr>
          <w:rFonts w:ascii="Times New Roman" w:hAnsi="Times New Roman"/>
          <w:sz w:val="28"/>
          <w:szCs w:val="24"/>
          <w:lang w:eastAsia="ru-RU"/>
        </w:rPr>
        <w:t xml:space="preserve">территорию </w:t>
      </w:r>
      <w:r>
        <w:rPr>
          <w:rFonts w:ascii="Times New Roman" w:hAnsi="Times New Roman"/>
          <w:sz w:val="28"/>
          <w:szCs w:val="24"/>
          <w:lang w:eastAsia="ru-RU"/>
        </w:rPr>
        <w:t>поселения</w:t>
      </w:r>
      <w:r w:rsidRPr="00F0286E">
        <w:rPr>
          <w:rFonts w:ascii="Times New Roman" w:hAnsi="Times New Roman"/>
          <w:sz w:val="28"/>
          <w:szCs w:val="24"/>
          <w:lang w:eastAsia="ru-RU"/>
        </w:rPr>
        <w:t>.</w:t>
      </w:r>
    </w:p>
    <w:p w:rsidR="002D1E45" w:rsidRPr="00F0286E" w:rsidRDefault="002D1E45" w:rsidP="00F0286E">
      <w:pPr>
        <w:spacing w:after="0" w:line="240" w:lineRule="auto"/>
        <w:ind w:firstLine="709"/>
        <w:jc w:val="both"/>
        <w:rPr>
          <w:rFonts w:ascii="Times New Roman" w:hAnsi="Times New Roman"/>
          <w:sz w:val="28"/>
          <w:szCs w:val="24"/>
          <w:lang w:eastAsia="ru-RU"/>
        </w:rPr>
      </w:pPr>
      <w:r w:rsidRPr="00F0286E">
        <w:rPr>
          <w:rFonts w:ascii="Times New Roman" w:hAnsi="Times New Roman"/>
          <w:sz w:val="28"/>
          <w:szCs w:val="24"/>
          <w:lang w:eastAsia="ru-RU"/>
        </w:rPr>
        <w:t>Основными проектами на</w:t>
      </w:r>
      <w:r>
        <w:rPr>
          <w:rFonts w:ascii="Times New Roman" w:hAnsi="Times New Roman"/>
          <w:sz w:val="28"/>
          <w:szCs w:val="24"/>
          <w:lang w:eastAsia="ru-RU"/>
        </w:rPr>
        <w:t> </w:t>
      </w:r>
      <w:r w:rsidRPr="00F0286E">
        <w:rPr>
          <w:rFonts w:ascii="Times New Roman" w:hAnsi="Times New Roman"/>
          <w:sz w:val="28"/>
          <w:szCs w:val="24"/>
          <w:lang w:eastAsia="ru-RU"/>
        </w:rPr>
        <w:t>ближайшую перспективу по</w:t>
      </w:r>
      <w:r>
        <w:rPr>
          <w:rFonts w:ascii="Times New Roman" w:hAnsi="Times New Roman"/>
          <w:sz w:val="28"/>
          <w:szCs w:val="24"/>
          <w:lang w:eastAsia="ru-RU"/>
        </w:rPr>
        <w:t> </w:t>
      </w:r>
      <w:r w:rsidRPr="00F0286E">
        <w:rPr>
          <w:rFonts w:ascii="Times New Roman" w:hAnsi="Times New Roman"/>
          <w:sz w:val="28"/>
          <w:szCs w:val="24"/>
          <w:lang w:eastAsia="ru-RU"/>
        </w:rPr>
        <w:t>реализации эффективной демографической политики будет являться дополнительные меры, направленные на</w:t>
      </w:r>
      <w:r>
        <w:rPr>
          <w:rFonts w:ascii="Times New Roman" w:hAnsi="Times New Roman"/>
          <w:sz w:val="28"/>
          <w:szCs w:val="24"/>
          <w:lang w:eastAsia="ru-RU"/>
        </w:rPr>
        <w:t> </w:t>
      </w:r>
      <w:r w:rsidRPr="00F0286E">
        <w:rPr>
          <w:rFonts w:ascii="Times New Roman" w:hAnsi="Times New Roman"/>
          <w:sz w:val="28"/>
          <w:szCs w:val="24"/>
          <w:lang w:eastAsia="ru-RU"/>
        </w:rPr>
        <w:t>поддержку граждан, переехавших или изъявивших желание переехать на</w:t>
      </w:r>
      <w:r>
        <w:rPr>
          <w:rFonts w:ascii="Times New Roman" w:hAnsi="Times New Roman"/>
          <w:sz w:val="28"/>
          <w:szCs w:val="24"/>
          <w:lang w:eastAsia="ru-RU"/>
        </w:rPr>
        <w:t> </w:t>
      </w:r>
      <w:r w:rsidRPr="00F0286E">
        <w:rPr>
          <w:rFonts w:ascii="Times New Roman" w:hAnsi="Times New Roman"/>
          <w:sz w:val="28"/>
          <w:szCs w:val="24"/>
          <w:lang w:eastAsia="ru-RU"/>
        </w:rPr>
        <w:t>постоянное место жительства в</w:t>
      </w:r>
      <w:r>
        <w:rPr>
          <w:rFonts w:ascii="Times New Roman" w:hAnsi="Times New Roman"/>
          <w:sz w:val="28"/>
          <w:szCs w:val="24"/>
          <w:lang w:eastAsia="ru-RU"/>
        </w:rPr>
        <w:t> Новосибирскую область</w:t>
      </w:r>
      <w:r w:rsidRPr="00F0286E">
        <w:rPr>
          <w:rFonts w:ascii="Times New Roman" w:hAnsi="Times New Roman"/>
          <w:sz w:val="28"/>
          <w:szCs w:val="24"/>
          <w:lang w:eastAsia="ru-RU"/>
        </w:rPr>
        <w:t>, включая предоставление грантов выпускникам образовательных организаций начального, среднего и</w:t>
      </w:r>
      <w:r>
        <w:rPr>
          <w:rFonts w:ascii="Times New Roman" w:hAnsi="Times New Roman"/>
          <w:sz w:val="28"/>
          <w:szCs w:val="24"/>
          <w:lang w:eastAsia="ru-RU"/>
        </w:rPr>
        <w:t> </w:t>
      </w:r>
      <w:r w:rsidRPr="00F0286E">
        <w:rPr>
          <w:rFonts w:ascii="Times New Roman" w:hAnsi="Times New Roman"/>
          <w:sz w:val="28"/>
          <w:szCs w:val="24"/>
          <w:lang w:eastAsia="ru-RU"/>
        </w:rPr>
        <w:t>высшего профессионального образования, переезжающих для работы в</w:t>
      </w:r>
      <w:r>
        <w:rPr>
          <w:rFonts w:ascii="Times New Roman" w:hAnsi="Times New Roman"/>
          <w:sz w:val="28"/>
          <w:szCs w:val="24"/>
          <w:lang w:eastAsia="ru-RU"/>
        </w:rPr>
        <w:t> Новосибирскую область</w:t>
      </w:r>
      <w:r w:rsidRPr="00F0286E">
        <w:rPr>
          <w:rFonts w:ascii="Times New Roman" w:hAnsi="Times New Roman"/>
          <w:sz w:val="28"/>
          <w:szCs w:val="24"/>
          <w:lang w:eastAsia="ru-RU"/>
        </w:rPr>
        <w:t>.</w:t>
      </w:r>
    </w:p>
    <w:p w:rsidR="002D1E45" w:rsidRPr="00F0286E" w:rsidRDefault="002D1E45" w:rsidP="00F0286E">
      <w:pPr>
        <w:spacing w:after="0" w:line="240" w:lineRule="auto"/>
        <w:ind w:firstLine="709"/>
        <w:jc w:val="both"/>
        <w:rPr>
          <w:rFonts w:ascii="Times New Roman" w:hAnsi="Times New Roman"/>
          <w:sz w:val="28"/>
          <w:szCs w:val="24"/>
          <w:lang w:eastAsia="ru-RU"/>
        </w:rPr>
      </w:pPr>
      <w:r w:rsidRPr="00F0286E">
        <w:rPr>
          <w:rFonts w:ascii="Times New Roman" w:hAnsi="Times New Roman"/>
          <w:sz w:val="28"/>
          <w:szCs w:val="24"/>
          <w:lang w:eastAsia="ru-RU"/>
        </w:rPr>
        <w:t>Направлениями деятельности органов местного самоуправления по</w:t>
      </w:r>
      <w:r>
        <w:rPr>
          <w:rFonts w:ascii="Times New Roman" w:hAnsi="Times New Roman"/>
          <w:sz w:val="28"/>
          <w:szCs w:val="24"/>
          <w:lang w:eastAsia="ru-RU"/>
        </w:rPr>
        <w:t> </w:t>
      </w:r>
      <w:r w:rsidRPr="00F0286E">
        <w:rPr>
          <w:rFonts w:ascii="Times New Roman" w:hAnsi="Times New Roman"/>
          <w:sz w:val="28"/>
          <w:szCs w:val="24"/>
          <w:lang w:eastAsia="ru-RU"/>
        </w:rPr>
        <w:t>решению основной задачи демографической политики являются:</w:t>
      </w:r>
    </w:p>
    <w:p w:rsidR="002D1E45" w:rsidRPr="00F0286E" w:rsidRDefault="002D1E45" w:rsidP="00D05D06">
      <w:pPr>
        <w:numPr>
          <w:ilvl w:val="0"/>
          <w:numId w:val="60"/>
        </w:numPr>
        <w:spacing w:after="0" w:line="240" w:lineRule="auto"/>
        <w:jc w:val="both"/>
        <w:rPr>
          <w:rFonts w:ascii="Times New Roman" w:hAnsi="Times New Roman"/>
          <w:sz w:val="28"/>
          <w:szCs w:val="28"/>
        </w:rPr>
      </w:pPr>
      <w:r w:rsidRPr="00F0286E">
        <w:rPr>
          <w:rFonts w:ascii="Times New Roman" w:hAnsi="Times New Roman"/>
          <w:sz w:val="28"/>
          <w:szCs w:val="28"/>
        </w:rPr>
        <w:t>мониторинг факторов влияния на</w:t>
      </w:r>
      <w:r>
        <w:rPr>
          <w:rFonts w:ascii="Times New Roman" w:hAnsi="Times New Roman"/>
          <w:sz w:val="28"/>
          <w:szCs w:val="28"/>
        </w:rPr>
        <w:t> </w:t>
      </w:r>
      <w:r w:rsidRPr="00F0286E">
        <w:rPr>
          <w:rFonts w:ascii="Times New Roman" w:hAnsi="Times New Roman"/>
          <w:sz w:val="28"/>
          <w:szCs w:val="28"/>
        </w:rPr>
        <w:t>процессы миграции в</w:t>
      </w:r>
      <w:r>
        <w:rPr>
          <w:rFonts w:ascii="Times New Roman" w:hAnsi="Times New Roman"/>
          <w:sz w:val="28"/>
          <w:szCs w:val="28"/>
        </w:rPr>
        <w:t> городе</w:t>
      </w:r>
      <w:r w:rsidRPr="00F0286E">
        <w:rPr>
          <w:rFonts w:ascii="Times New Roman" w:hAnsi="Times New Roman"/>
          <w:sz w:val="28"/>
          <w:szCs w:val="28"/>
        </w:rPr>
        <w:t>;</w:t>
      </w:r>
    </w:p>
    <w:p w:rsidR="002D1E45" w:rsidRPr="00F0286E" w:rsidRDefault="002D1E45" w:rsidP="00D05D06">
      <w:pPr>
        <w:numPr>
          <w:ilvl w:val="0"/>
          <w:numId w:val="60"/>
        </w:numPr>
        <w:spacing w:after="0" w:line="240" w:lineRule="auto"/>
        <w:jc w:val="both"/>
        <w:rPr>
          <w:rFonts w:ascii="Times New Roman" w:hAnsi="Times New Roman"/>
          <w:sz w:val="28"/>
          <w:szCs w:val="28"/>
        </w:rPr>
      </w:pPr>
      <w:r w:rsidRPr="00F0286E">
        <w:rPr>
          <w:rFonts w:ascii="Times New Roman" w:hAnsi="Times New Roman"/>
          <w:sz w:val="28"/>
          <w:szCs w:val="28"/>
        </w:rPr>
        <w:t>мониторинг показателей уровня жизни населения;</w:t>
      </w:r>
    </w:p>
    <w:p w:rsidR="002D1E45" w:rsidRPr="00F0286E" w:rsidRDefault="002D1E45" w:rsidP="00D05D06">
      <w:pPr>
        <w:numPr>
          <w:ilvl w:val="0"/>
          <w:numId w:val="60"/>
        </w:numPr>
        <w:spacing w:after="0" w:line="240" w:lineRule="auto"/>
        <w:jc w:val="both"/>
        <w:rPr>
          <w:rFonts w:ascii="Times New Roman" w:hAnsi="Times New Roman"/>
          <w:sz w:val="28"/>
          <w:szCs w:val="28"/>
        </w:rPr>
      </w:pPr>
      <w:r w:rsidRPr="00F0286E">
        <w:rPr>
          <w:rFonts w:ascii="Times New Roman" w:hAnsi="Times New Roman"/>
          <w:sz w:val="28"/>
          <w:szCs w:val="28"/>
        </w:rPr>
        <w:t>поддержк</w:t>
      </w:r>
      <w:r>
        <w:rPr>
          <w:rFonts w:ascii="Times New Roman" w:hAnsi="Times New Roman"/>
          <w:sz w:val="28"/>
          <w:szCs w:val="28"/>
        </w:rPr>
        <w:t>а</w:t>
      </w:r>
      <w:r w:rsidRPr="00F0286E">
        <w:rPr>
          <w:rFonts w:ascii="Times New Roman" w:hAnsi="Times New Roman"/>
          <w:sz w:val="28"/>
          <w:szCs w:val="28"/>
        </w:rPr>
        <w:t xml:space="preserve"> занятости населения;</w:t>
      </w:r>
    </w:p>
    <w:p w:rsidR="002D1E45" w:rsidRPr="00F0286E" w:rsidRDefault="002D1E45" w:rsidP="00D05D06">
      <w:pPr>
        <w:numPr>
          <w:ilvl w:val="0"/>
          <w:numId w:val="60"/>
        </w:numPr>
        <w:spacing w:after="0" w:line="240" w:lineRule="auto"/>
        <w:jc w:val="both"/>
        <w:rPr>
          <w:rFonts w:ascii="Times New Roman" w:hAnsi="Times New Roman"/>
          <w:sz w:val="28"/>
          <w:szCs w:val="28"/>
        </w:rPr>
      </w:pPr>
      <w:r w:rsidRPr="00F0286E">
        <w:rPr>
          <w:rFonts w:ascii="Times New Roman" w:hAnsi="Times New Roman"/>
          <w:sz w:val="28"/>
          <w:szCs w:val="28"/>
        </w:rPr>
        <w:t>создание условий для изменения структуры занятости в</w:t>
      </w:r>
      <w:r>
        <w:rPr>
          <w:rFonts w:ascii="Times New Roman" w:hAnsi="Times New Roman"/>
          <w:sz w:val="28"/>
          <w:szCs w:val="28"/>
        </w:rPr>
        <w:t> </w:t>
      </w:r>
      <w:r w:rsidRPr="00F0286E">
        <w:rPr>
          <w:rFonts w:ascii="Times New Roman" w:hAnsi="Times New Roman"/>
          <w:sz w:val="28"/>
          <w:szCs w:val="28"/>
        </w:rPr>
        <w:t>сторону сервисной экономики, развития деловых и</w:t>
      </w:r>
      <w:r>
        <w:rPr>
          <w:rFonts w:ascii="Times New Roman" w:hAnsi="Times New Roman"/>
          <w:sz w:val="28"/>
          <w:szCs w:val="28"/>
        </w:rPr>
        <w:t> </w:t>
      </w:r>
      <w:r w:rsidRPr="00F0286E">
        <w:rPr>
          <w:rFonts w:ascii="Times New Roman" w:hAnsi="Times New Roman"/>
          <w:sz w:val="28"/>
          <w:szCs w:val="28"/>
        </w:rPr>
        <w:t>потребительских услуг, самозанятости населения;</w:t>
      </w:r>
    </w:p>
    <w:p w:rsidR="002D1E45" w:rsidRPr="00F0286E" w:rsidRDefault="002D1E45" w:rsidP="00D05D06">
      <w:pPr>
        <w:numPr>
          <w:ilvl w:val="0"/>
          <w:numId w:val="60"/>
        </w:numPr>
        <w:spacing w:after="0" w:line="240" w:lineRule="auto"/>
        <w:jc w:val="both"/>
        <w:rPr>
          <w:rFonts w:ascii="Times New Roman" w:hAnsi="Times New Roman"/>
          <w:sz w:val="28"/>
          <w:szCs w:val="28"/>
        </w:rPr>
      </w:pPr>
      <w:r w:rsidRPr="00F0286E">
        <w:rPr>
          <w:rFonts w:ascii="Times New Roman" w:hAnsi="Times New Roman"/>
          <w:sz w:val="28"/>
          <w:szCs w:val="28"/>
        </w:rPr>
        <w:t>образование единой информационной базы о</w:t>
      </w:r>
      <w:r>
        <w:rPr>
          <w:rFonts w:ascii="Times New Roman" w:hAnsi="Times New Roman"/>
          <w:sz w:val="28"/>
          <w:szCs w:val="28"/>
        </w:rPr>
        <w:t> </w:t>
      </w:r>
      <w:r w:rsidRPr="00F0286E">
        <w:rPr>
          <w:rFonts w:ascii="Times New Roman" w:hAnsi="Times New Roman"/>
          <w:sz w:val="28"/>
          <w:szCs w:val="28"/>
        </w:rPr>
        <w:t>состоянии рынка труда для создания возможностей перераспределения трудовых ресурсов;</w:t>
      </w:r>
    </w:p>
    <w:p w:rsidR="002D1E45" w:rsidRPr="00F0286E" w:rsidRDefault="002D1E45" w:rsidP="00D05D06">
      <w:pPr>
        <w:numPr>
          <w:ilvl w:val="0"/>
          <w:numId w:val="60"/>
        </w:numPr>
        <w:spacing w:after="0" w:line="240" w:lineRule="auto"/>
        <w:jc w:val="both"/>
        <w:rPr>
          <w:rFonts w:ascii="Times New Roman" w:hAnsi="Times New Roman"/>
          <w:sz w:val="28"/>
          <w:szCs w:val="28"/>
        </w:rPr>
      </w:pPr>
      <w:r w:rsidRPr="00F0286E">
        <w:rPr>
          <w:rFonts w:ascii="Times New Roman" w:hAnsi="Times New Roman"/>
          <w:sz w:val="28"/>
          <w:szCs w:val="28"/>
        </w:rPr>
        <w:t>совершенствование форм сотрудничества с</w:t>
      </w:r>
      <w:r>
        <w:rPr>
          <w:rFonts w:ascii="Times New Roman" w:hAnsi="Times New Roman"/>
          <w:sz w:val="28"/>
          <w:szCs w:val="28"/>
        </w:rPr>
        <w:t> </w:t>
      </w:r>
      <w:r w:rsidRPr="00F0286E">
        <w:rPr>
          <w:rFonts w:ascii="Times New Roman" w:hAnsi="Times New Roman"/>
          <w:sz w:val="28"/>
          <w:szCs w:val="28"/>
        </w:rPr>
        <w:t>работодателями и</w:t>
      </w:r>
      <w:r>
        <w:rPr>
          <w:rFonts w:ascii="Times New Roman" w:hAnsi="Times New Roman"/>
          <w:sz w:val="28"/>
          <w:szCs w:val="28"/>
        </w:rPr>
        <w:t> </w:t>
      </w:r>
      <w:r w:rsidRPr="00F0286E">
        <w:rPr>
          <w:rFonts w:ascii="Times New Roman" w:hAnsi="Times New Roman"/>
          <w:sz w:val="28"/>
          <w:szCs w:val="28"/>
        </w:rPr>
        <w:t>содействие внедрению более эффективных способов трудоустройства;</w:t>
      </w:r>
    </w:p>
    <w:p w:rsidR="002D1E45" w:rsidRPr="00F0286E" w:rsidRDefault="002D1E45" w:rsidP="00D05D06">
      <w:pPr>
        <w:numPr>
          <w:ilvl w:val="0"/>
          <w:numId w:val="60"/>
        </w:numPr>
        <w:spacing w:after="0" w:line="240" w:lineRule="auto"/>
        <w:jc w:val="both"/>
        <w:rPr>
          <w:rFonts w:ascii="Times New Roman" w:hAnsi="Times New Roman"/>
          <w:sz w:val="28"/>
          <w:szCs w:val="28"/>
        </w:rPr>
      </w:pPr>
      <w:r w:rsidRPr="00F0286E">
        <w:rPr>
          <w:rFonts w:ascii="Times New Roman" w:hAnsi="Times New Roman"/>
          <w:sz w:val="28"/>
          <w:szCs w:val="28"/>
        </w:rPr>
        <w:t>участие в</w:t>
      </w:r>
      <w:r>
        <w:rPr>
          <w:rFonts w:ascii="Times New Roman" w:hAnsi="Times New Roman"/>
          <w:sz w:val="28"/>
          <w:szCs w:val="28"/>
        </w:rPr>
        <w:t> </w:t>
      </w:r>
      <w:r w:rsidRPr="00F0286E">
        <w:rPr>
          <w:rFonts w:ascii="Times New Roman" w:hAnsi="Times New Roman"/>
          <w:sz w:val="28"/>
          <w:szCs w:val="28"/>
        </w:rPr>
        <w:t>развитии системы подготовки необходимых квалифицированных кадровых ресурсов (трудовое обучение в</w:t>
      </w:r>
      <w:r>
        <w:rPr>
          <w:rFonts w:ascii="Times New Roman" w:hAnsi="Times New Roman"/>
          <w:sz w:val="28"/>
          <w:szCs w:val="28"/>
        </w:rPr>
        <w:t> </w:t>
      </w:r>
      <w:r w:rsidRPr="00F0286E">
        <w:rPr>
          <w:rFonts w:ascii="Times New Roman" w:hAnsi="Times New Roman"/>
          <w:sz w:val="28"/>
          <w:szCs w:val="28"/>
        </w:rPr>
        <w:t>школах, совершенствование системы профориентации).</w:t>
      </w:r>
    </w:p>
    <w:p w:rsidR="002D1E45" w:rsidRPr="00DB7684" w:rsidRDefault="002D1E45" w:rsidP="00DB7684">
      <w:pPr>
        <w:spacing w:after="0" w:line="240" w:lineRule="auto"/>
        <w:ind w:firstLine="709"/>
        <w:jc w:val="both"/>
        <w:rPr>
          <w:rFonts w:ascii="Times New Roman" w:hAnsi="Times New Roman"/>
          <w:sz w:val="28"/>
          <w:szCs w:val="24"/>
          <w:lang w:eastAsia="ru-RU"/>
        </w:rPr>
      </w:pPr>
      <w:r w:rsidRPr="00DB7684">
        <w:rPr>
          <w:rFonts w:ascii="Times New Roman" w:hAnsi="Times New Roman"/>
          <w:sz w:val="28"/>
          <w:szCs w:val="24"/>
          <w:lang w:eastAsia="ru-RU"/>
        </w:rPr>
        <w:t>Основными направлениями деятельности на</w:t>
      </w:r>
      <w:r>
        <w:rPr>
          <w:rFonts w:ascii="Times New Roman" w:hAnsi="Times New Roman"/>
          <w:sz w:val="28"/>
          <w:szCs w:val="24"/>
          <w:lang w:eastAsia="ru-RU"/>
        </w:rPr>
        <w:t> </w:t>
      </w:r>
      <w:r w:rsidRPr="00DB7684">
        <w:rPr>
          <w:rFonts w:ascii="Times New Roman" w:hAnsi="Times New Roman"/>
          <w:sz w:val="28"/>
          <w:szCs w:val="24"/>
          <w:lang w:eastAsia="ru-RU"/>
        </w:rPr>
        <w:t>ближайшую перспективу по</w:t>
      </w:r>
      <w:r>
        <w:rPr>
          <w:rFonts w:ascii="Times New Roman" w:hAnsi="Times New Roman"/>
          <w:sz w:val="28"/>
          <w:szCs w:val="24"/>
          <w:lang w:eastAsia="ru-RU"/>
        </w:rPr>
        <w:t> </w:t>
      </w:r>
      <w:r w:rsidRPr="00DB7684">
        <w:rPr>
          <w:rFonts w:ascii="Times New Roman" w:hAnsi="Times New Roman"/>
          <w:sz w:val="28"/>
          <w:szCs w:val="24"/>
          <w:lang w:eastAsia="ru-RU"/>
        </w:rPr>
        <w:t>реализации эффективной демографической политики буд</w:t>
      </w:r>
      <w:r>
        <w:rPr>
          <w:rFonts w:ascii="Times New Roman" w:hAnsi="Times New Roman"/>
          <w:sz w:val="28"/>
          <w:szCs w:val="24"/>
          <w:lang w:eastAsia="ru-RU"/>
        </w:rPr>
        <w:t>у</w:t>
      </w:r>
      <w:r w:rsidRPr="00DB7684">
        <w:rPr>
          <w:rFonts w:ascii="Times New Roman" w:hAnsi="Times New Roman"/>
          <w:sz w:val="28"/>
          <w:szCs w:val="24"/>
          <w:lang w:eastAsia="ru-RU"/>
        </w:rPr>
        <w:t>т являться</w:t>
      </w:r>
      <w:r>
        <w:rPr>
          <w:rFonts w:ascii="Times New Roman" w:hAnsi="Times New Roman"/>
          <w:sz w:val="28"/>
          <w:szCs w:val="24"/>
          <w:lang w:eastAsia="ru-RU"/>
        </w:rPr>
        <w:t xml:space="preserve"> государственные программы </w:t>
      </w:r>
      <w:r>
        <w:rPr>
          <w:rFonts w:ascii="Times New Roman" w:hAnsi="Times New Roman"/>
          <w:sz w:val="28"/>
          <w:szCs w:val="28"/>
        </w:rPr>
        <w:t>Новосибирской области</w:t>
      </w:r>
      <w:r w:rsidRPr="00F0286E">
        <w:rPr>
          <w:rFonts w:ascii="Times New Roman" w:hAnsi="Times New Roman"/>
          <w:sz w:val="28"/>
          <w:szCs w:val="28"/>
        </w:rPr>
        <w:t xml:space="preserve"> </w:t>
      </w:r>
      <w:r>
        <w:rPr>
          <w:rFonts w:ascii="Times New Roman" w:hAnsi="Times New Roman"/>
          <w:sz w:val="28"/>
          <w:szCs w:val="24"/>
          <w:lang w:eastAsia="ru-RU"/>
        </w:rPr>
        <w:t>и</w:t>
      </w:r>
      <w:r>
        <w:rPr>
          <w:rFonts w:ascii="Times New Roman" w:hAnsi="Times New Roman"/>
          <w:sz w:val="28"/>
          <w:szCs w:val="28"/>
        </w:rPr>
        <w:t> </w:t>
      </w:r>
      <w:r>
        <w:rPr>
          <w:rFonts w:ascii="Times New Roman" w:hAnsi="Times New Roman"/>
          <w:sz w:val="28"/>
          <w:szCs w:val="24"/>
          <w:lang w:eastAsia="ru-RU"/>
        </w:rPr>
        <w:t xml:space="preserve">муниципальные программы </w:t>
      </w:r>
      <w:r>
        <w:rPr>
          <w:rFonts w:ascii="Times New Roman" w:hAnsi="Times New Roman"/>
          <w:sz w:val="28"/>
          <w:szCs w:val="28"/>
        </w:rPr>
        <w:t>Куйбышевского района</w:t>
      </w:r>
      <w:r>
        <w:rPr>
          <w:rFonts w:ascii="Times New Roman" w:hAnsi="Times New Roman"/>
          <w:sz w:val="28"/>
          <w:szCs w:val="24"/>
          <w:lang w:eastAsia="ru-RU"/>
        </w:rPr>
        <w:t xml:space="preserve">, которые формируют местные программы развития и стратегию развития </w:t>
      </w:r>
      <w:r>
        <w:rPr>
          <w:rFonts w:ascii="Times New Roman" w:hAnsi="Times New Roman"/>
          <w:sz w:val="28"/>
          <w:szCs w:val="28"/>
        </w:rPr>
        <w:t>города Куйбышева</w:t>
      </w:r>
      <w:r w:rsidRPr="00DB7684">
        <w:rPr>
          <w:rFonts w:ascii="Times New Roman" w:hAnsi="Times New Roman"/>
          <w:sz w:val="28"/>
          <w:szCs w:val="24"/>
          <w:lang w:eastAsia="ru-RU"/>
        </w:rPr>
        <w:t>:</w:t>
      </w:r>
    </w:p>
    <w:p w:rsidR="002D1E45" w:rsidRPr="0060750E" w:rsidRDefault="002D1E45" w:rsidP="00D05D06">
      <w:pPr>
        <w:numPr>
          <w:ilvl w:val="0"/>
          <w:numId w:val="60"/>
        </w:numPr>
        <w:spacing w:after="0" w:line="240" w:lineRule="auto"/>
        <w:jc w:val="both"/>
        <w:rPr>
          <w:rFonts w:ascii="Times New Roman" w:hAnsi="Times New Roman"/>
          <w:sz w:val="28"/>
          <w:szCs w:val="28"/>
        </w:rPr>
      </w:pPr>
      <w:r w:rsidRPr="0060750E">
        <w:rPr>
          <w:rFonts w:ascii="Times New Roman" w:hAnsi="Times New Roman"/>
          <w:sz w:val="28"/>
          <w:szCs w:val="28"/>
        </w:rPr>
        <w:t xml:space="preserve">обеспечение активного поступательного развития экономики территории в том числе и посредством реализации государственных программ Новосибирской области – </w:t>
      </w:r>
      <w:r w:rsidRPr="00AD1039">
        <w:rPr>
          <w:rFonts w:ascii="Times New Roman" w:hAnsi="Times New Roman"/>
          <w:sz w:val="28"/>
          <w:szCs w:val="28"/>
        </w:rPr>
        <w:t xml:space="preserve">«Развитие субъектов малого и среднего предпринимательства в Новосибирской области», </w:t>
      </w:r>
      <w:bookmarkStart w:id="227" w:name="_Hlk5978449"/>
      <w:r w:rsidRPr="00AD1039">
        <w:rPr>
          <w:rFonts w:ascii="Times New Roman" w:hAnsi="Times New Roman"/>
          <w:sz w:val="28"/>
          <w:szCs w:val="28"/>
        </w:rPr>
        <w:t>«Развитие промышленности и повышение её конкурентоспособности в Новосибирской области», «Развитие сельского хозяйства и регулирование рынков сельскохозяйственной продукции, сырья и продовольствия в Новосибирской области», «Оказание содействия добровольному переселению в Новосибирскую область соотечественников, проживающих за рубежом», «Стимулирование инвестиционной активности в Новосибирской области»</w:t>
      </w:r>
      <w:bookmarkEnd w:id="227"/>
      <w:r w:rsidRPr="0060750E">
        <w:rPr>
          <w:rFonts w:ascii="Times New Roman" w:hAnsi="Times New Roman"/>
          <w:sz w:val="28"/>
          <w:szCs w:val="28"/>
        </w:rPr>
        <w:t xml:space="preserve">, а также муниципальных программ </w:t>
      </w:r>
      <w:r>
        <w:rPr>
          <w:rFonts w:ascii="Times New Roman" w:hAnsi="Times New Roman"/>
          <w:sz w:val="28"/>
          <w:szCs w:val="28"/>
        </w:rPr>
        <w:t>Куйбышевского</w:t>
      </w:r>
      <w:r w:rsidRPr="0060750E">
        <w:rPr>
          <w:rFonts w:ascii="Times New Roman" w:hAnsi="Times New Roman"/>
          <w:sz w:val="28"/>
          <w:szCs w:val="28"/>
        </w:rPr>
        <w:t xml:space="preserve"> района – </w:t>
      </w:r>
      <w:r w:rsidRPr="00142FE8">
        <w:rPr>
          <w:rFonts w:ascii="Times New Roman" w:hAnsi="Times New Roman"/>
          <w:sz w:val="28"/>
          <w:szCs w:val="28"/>
        </w:rPr>
        <w:t>«Развитие субъектов малого и среднего предпринимательства в городе Куйбышеве Куйбышевском районе Новосибирской области на 2020</w:t>
      </w:r>
      <w:r>
        <w:rPr>
          <w:rFonts w:ascii="Times New Roman" w:hAnsi="Times New Roman"/>
          <w:sz w:val="28"/>
          <w:szCs w:val="28"/>
        </w:rPr>
        <w:t>-</w:t>
      </w:r>
      <w:r w:rsidRPr="00142FE8">
        <w:rPr>
          <w:rFonts w:ascii="Times New Roman" w:hAnsi="Times New Roman"/>
          <w:sz w:val="28"/>
          <w:szCs w:val="28"/>
        </w:rPr>
        <w:t>2022 годы»</w:t>
      </w:r>
      <w:r>
        <w:rPr>
          <w:rFonts w:ascii="Times New Roman" w:hAnsi="Times New Roman"/>
          <w:sz w:val="28"/>
          <w:szCs w:val="28"/>
        </w:rPr>
        <w:t>;</w:t>
      </w:r>
    </w:p>
    <w:p w:rsidR="002D1E45" w:rsidRPr="00F0286E" w:rsidRDefault="002D1E45" w:rsidP="00D05D06">
      <w:pPr>
        <w:numPr>
          <w:ilvl w:val="0"/>
          <w:numId w:val="60"/>
        </w:numPr>
        <w:spacing w:after="0" w:line="240" w:lineRule="auto"/>
        <w:jc w:val="both"/>
        <w:rPr>
          <w:rFonts w:ascii="Times New Roman" w:hAnsi="Times New Roman"/>
          <w:sz w:val="28"/>
          <w:szCs w:val="28"/>
        </w:rPr>
      </w:pPr>
      <w:r w:rsidRPr="00AC56DD">
        <w:rPr>
          <w:rFonts w:ascii="Times New Roman" w:hAnsi="Times New Roman"/>
          <w:sz w:val="28"/>
          <w:szCs w:val="28"/>
        </w:rPr>
        <w:t xml:space="preserve">обеспечение </w:t>
      </w:r>
      <w:r>
        <w:rPr>
          <w:rFonts w:ascii="Times New Roman" w:hAnsi="Times New Roman"/>
          <w:sz w:val="28"/>
          <w:szCs w:val="28"/>
        </w:rPr>
        <w:t>социальной поддержки и защиты населения</w:t>
      </w:r>
      <w:r w:rsidRPr="00AC56DD">
        <w:rPr>
          <w:rFonts w:ascii="Times New Roman" w:hAnsi="Times New Roman"/>
          <w:sz w:val="28"/>
          <w:szCs w:val="28"/>
        </w:rPr>
        <w:t xml:space="preserve"> в</w:t>
      </w:r>
      <w:r>
        <w:rPr>
          <w:rFonts w:ascii="Times New Roman" w:hAnsi="Times New Roman"/>
          <w:sz w:val="28"/>
          <w:szCs w:val="28"/>
        </w:rPr>
        <w:t> </w:t>
      </w:r>
      <w:r w:rsidRPr="00AC56DD">
        <w:rPr>
          <w:rFonts w:ascii="Times New Roman" w:hAnsi="Times New Roman"/>
          <w:sz w:val="28"/>
          <w:szCs w:val="28"/>
        </w:rPr>
        <w:t>том числе и</w:t>
      </w:r>
      <w:r>
        <w:rPr>
          <w:rFonts w:ascii="Times New Roman" w:hAnsi="Times New Roman"/>
          <w:sz w:val="28"/>
          <w:szCs w:val="28"/>
        </w:rPr>
        <w:t> </w:t>
      </w:r>
      <w:r w:rsidRPr="00AC56DD">
        <w:rPr>
          <w:rFonts w:ascii="Times New Roman" w:hAnsi="Times New Roman"/>
          <w:sz w:val="28"/>
          <w:szCs w:val="28"/>
        </w:rPr>
        <w:t xml:space="preserve">посредством реализации </w:t>
      </w:r>
      <w:r>
        <w:rPr>
          <w:rFonts w:ascii="Times New Roman" w:hAnsi="Times New Roman"/>
          <w:sz w:val="28"/>
          <w:szCs w:val="28"/>
        </w:rPr>
        <w:t>государственных</w:t>
      </w:r>
      <w:r w:rsidRPr="00AC56DD">
        <w:rPr>
          <w:rFonts w:ascii="Times New Roman" w:hAnsi="Times New Roman"/>
          <w:sz w:val="28"/>
          <w:szCs w:val="28"/>
        </w:rPr>
        <w:t xml:space="preserve"> программ</w:t>
      </w:r>
      <w:r>
        <w:rPr>
          <w:rFonts w:ascii="Times New Roman" w:hAnsi="Times New Roman"/>
          <w:sz w:val="28"/>
          <w:szCs w:val="28"/>
        </w:rPr>
        <w:t xml:space="preserve"> </w:t>
      </w:r>
      <w:r w:rsidRPr="004D4D68">
        <w:rPr>
          <w:rFonts w:ascii="Times New Roman" w:hAnsi="Times New Roman"/>
          <w:sz w:val="28"/>
          <w:szCs w:val="28"/>
        </w:rPr>
        <w:t xml:space="preserve">Новосибирской </w:t>
      </w:r>
      <w:r>
        <w:rPr>
          <w:rFonts w:ascii="Times New Roman" w:hAnsi="Times New Roman"/>
          <w:sz w:val="28"/>
          <w:szCs w:val="28"/>
        </w:rPr>
        <w:t xml:space="preserve">области – </w:t>
      </w:r>
      <w:bookmarkStart w:id="228" w:name="_Hlk5978497"/>
      <w:r w:rsidRPr="00AD1039">
        <w:rPr>
          <w:rFonts w:ascii="Times New Roman" w:hAnsi="Times New Roman"/>
          <w:sz w:val="28"/>
          <w:szCs w:val="28"/>
        </w:rPr>
        <w:t>«Содействие занятости населения», «Развитие системы социальной поддержки населения и улучшение социального положения семей с детьми в Новосибирской области»</w:t>
      </w:r>
      <w:bookmarkEnd w:id="228"/>
      <w:r>
        <w:rPr>
          <w:rFonts w:ascii="Times New Roman" w:hAnsi="Times New Roman"/>
          <w:sz w:val="28"/>
          <w:szCs w:val="28"/>
        </w:rPr>
        <w:t>;</w:t>
      </w:r>
    </w:p>
    <w:p w:rsidR="002D1E45" w:rsidRPr="009F26F9" w:rsidRDefault="002D1E45" w:rsidP="00D05D06">
      <w:pPr>
        <w:numPr>
          <w:ilvl w:val="0"/>
          <w:numId w:val="60"/>
        </w:numPr>
        <w:spacing w:after="0" w:line="240" w:lineRule="auto"/>
        <w:jc w:val="both"/>
        <w:rPr>
          <w:rFonts w:ascii="Times New Roman" w:hAnsi="Times New Roman"/>
          <w:sz w:val="28"/>
          <w:szCs w:val="28"/>
        </w:rPr>
      </w:pPr>
      <w:r w:rsidRPr="009F26F9">
        <w:rPr>
          <w:rFonts w:ascii="Times New Roman" w:hAnsi="Times New Roman"/>
          <w:sz w:val="28"/>
          <w:szCs w:val="28"/>
        </w:rPr>
        <w:t>обеспечение физического и</w:t>
      </w:r>
      <w:r>
        <w:rPr>
          <w:rFonts w:ascii="Times New Roman" w:hAnsi="Times New Roman"/>
          <w:sz w:val="28"/>
          <w:szCs w:val="28"/>
        </w:rPr>
        <w:t> </w:t>
      </w:r>
      <w:r w:rsidRPr="009F26F9">
        <w:rPr>
          <w:rFonts w:ascii="Times New Roman" w:hAnsi="Times New Roman"/>
          <w:sz w:val="28"/>
          <w:szCs w:val="28"/>
        </w:rPr>
        <w:t>нравственного здоровья населения в</w:t>
      </w:r>
      <w:r>
        <w:rPr>
          <w:rFonts w:ascii="Times New Roman" w:hAnsi="Times New Roman"/>
          <w:sz w:val="28"/>
          <w:szCs w:val="28"/>
        </w:rPr>
        <w:t> </w:t>
      </w:r>
      <w:r w:rsidRPr="009F26F9">
        <w:rPr>
          <w:rFonts w:ascii="Times New Roman" w:hAnsi="Times New Roman"/>
          <w:sz w:val="28"/>
          <w:szCs w:val="28"/>
        </w:rPr>
        <w:t>том числе и</w:t>
      </w:r>
      <w:r>
        <w:rPr>
          <w:rFonts w:ascii="Times New Roman" w:hAnsi="Times New Roman"/>
          <w:sz w:val="28"/>
          <w:szCs w:val="28"/>
        </w:rPr>
        <w:t> </w:t>
      </w:r>
      <w:r w:rsidRPr="009F26F9">
        <w:rPr>
          <w:rFonts w:ascii="Times New Roman" w:hAnsi="Times New Roman"/>
          <w:sz w:val="28"/>
          <w:szCs w:val="28"/>
        </w:rPr>
        <w:t xml:space="preserve">посредством реализации государственных программ Новосибирской области – </w:t>
      </w:r>
      <w:bookmarkStart w:id="229" w:name="_Hlk5978525"/>
      <w:r w:rsidRPr="00AD1039">
        <w:rPr>
          <w:rFonts w:ascii="Times New Roman" w:hAnsi="Times New Roman"/>
          <w:sz w:val="28"/>
          <w:szCs w:val="28"/>
        </w:rPr>
        <w:t>«Развитие физической культуры и спорта в Новосибирской области», «Развитие образования, создание условий для социализации детей и учащейся молодёжи в Новосибирской области», «Развитие государственной молодёжной политики Новосибирской области», «Культура Новосибирской области», «Развитие здравоохранения Новосибирской области»</w:t>
      </w:r>
      <w:bookmarkEnd w:id="229"/>
      <w:r w:rsidRPr="009F26F9">
        <w:rPr>
          <w:rFonts w:ascii="Times New Roman" w:hAnsi="Times New Roman"/>
          <w:sz w:val="28"/>
          <w:szCs w:val="28"/>
        </w:rPr>
        <w:t xml:space="preserve">, муниципальных программ – </w:t>
      </w:r>
      <w:r w:rsidRPr="0060750E">
        <w:rPr>
          <w:rFonts w:ascii="Times New Roman" w:hAnsi="Times New Roman"/>
          <w:sz w:val="28"/>
          <w:szCs w:val="28"/>
        </w:rPr>
        <w:t>«</w:t>
      </w:r>
      <w:r w:rsidRPr="00142FE8">
        <w:rPr>
          <w:rFonts w:ascii="Times New Roman" w:hAnsi="Times New Roman"/>
          <w:sz w:val="28"/>
          <w:szCs w:val="28"/>
        </w:rPr>
        <w:t>Программа комплексного развития социальной инфраструктуры</w:t>
      </w:r>
      <w:r>
        <w:rPr>
          <w:rFonts w:ascii="Times New Roman" w:hAnsi="Times New Roman"/>
          <w:sz w:val="28"/>
          <w:szCs w:val="28"/>
        </w:rPr>
        <w:t xml:space="preserve"> </w:t>
      </w:r>
      <w:r w:rsidRPr="00142FE8">
        <w:rPr>
          <w:rFonts w:ascii="Times New Roman" w:hAnsi="Times New Roman"/>
          <w:sz w:val="28"/>
          <w:szCs w:val="28"/>
        </w:rPr>
        <w:t>города</w:t>
      </w:r>
      <w:r>
        <w:rPr>
          <w:rFonts w:ascii="Times New Roman" w:hAnsi="Times New Roman"/>
          <w:sz w:val="28"/>
          <w:szCs w:val="28"/>
        </w:rPr>
        <w:t xml:space="preserve"> </w:t>
      </w:r>
      <w:r w:rsidRPr="00142FE8">
        <w:rPr>
          <w:rFonts w:ascii="Times New Roman" w:hAnsi="Times New Roman"/>
          <w:sz w:val="28"/>
          <w:szCs w:val="28"/>
        </w:rPr>
        <w:t>Куйбышева Куйбышевского района Новосибирской области на 2017</w:t>
      </w:r>
      <w:r>
        <w:rPr>
          <w:rFonts w:ascii="Times New Roman" w:hAnsi="Times New Roman"/>
          <w:sz w:val="28"/>
          <w:szCs w:val="28"/>
        </w:rPr>
        <w:t>-</w:t>
      </w:r>
      <w:r w:rsidRPr="00142FE8">
        <w:rPr>
          <w:rFonts w:ascii="Times New Roman" w:hAnsi="Times New Roman"/>
          <w:sz w:val="28"/>
          <w:szCs w:val="28"/>
        </w:rPr>
        <w:t>2020 годы</w:t>
      </w:r>
      <w:r>
        <w:rPr>
          <w:rFonts w:ascii="Times New Roman" w:hAnsi="Times New Roman"/>
          <w:sz w:val="28"/>
          <w:szCs w:val="28"/>
        </w:rPr>
        <w:t>»;</w:t>
      </w:r>
    </w:p>
    <w:p w:rsidR="002D1E45" w:rsidRPr="00E904CE" w:rsidRDefault="002D1E45" w:rsidP="00D05D06">
      <w:pPr>
        <w:numPr>
          <w:ilvl w:val="0"/>
          <w:numId w:val="60"/>
        </w:numPr>
        <w:spacing w:after="0" w:line="240" w:lineRule="auto"/>
        <w:jc w:val="both"/>
        <w:rPr>
          <w:rFonts w:ascii="Times New Roman" w:hAnsi="Times New Roman"/>
          <w:sz w:val="28"/>
          <w:szCs w:val="28"/>
        </w:rPr>
      </w:pPr>
      <w:r w:rsidRPr="00E904CE">
        <w:rPr>
          <w:rFonts w:ascii="Times New Roman" w:hAnsi="Times New Roman"/>
          <w:sz w:val="28"/>
          <w:szCs w:val="28"/>
        </w:rPr>
        <w:t>развитие жилищного строительства в</w:t>
      </w:r>
      <w:r>
        <w:rPr>
          <w:rFonts w:ascii="Times New Roman" w:hAnsi="Times New Roman"/>
          <w:sz w:val="28"/>
          <w:szCs w:val="28"/>
        </w:rPr>
        <w:t> </w:t>
      </w:r>
      <w:r w:rsidRPr="00E904CE">
        <w:rPr>
          <w:rFonts w:ascii="Times New Roman" w:hAnsi="Times New Roman"/>
          <w:sz w:val="28"/>
          <w:szCs w:val="28"/>
        </w:rPr>
        <w:t>том числе и</w:t>
      </w:r>
      <w:r>
        <w:rPr>
          <w:rFonts w:ascii="Times New Roman" w:hAnsi="Times New Roman"/>
          <w:sz w:val="28"/>
          <w:szCs w:val="28"/>
        </w:rPr>
        <w:t> </w:t>
      </w:r>
      <w:r w:rsidRPr="00E904CE">
        <w:rPr>
          <w:rFonts w:ascii="Times New Roman" w:hAnsi="Times New Roman"/>
          <w:sz w:val="28"/>
          <w:szCs w:val="28"/>
        </w:rPr>
        <w:t>посредством реализации государственн</w:t>
      </w:r>
      <w:r>
        <w:rPr>
          <w:rFonts w:ascii="Times New Roman" w:hAnsi="Times New Roman"/>
          <w:sz w:val="28"/>
          <w:szCs w:val="28"/>
        </w:rPr>
        <w:t>ой</w:t>
      </w:r>
      <w:r w:rsidRPr="00E904CE">
        <w:rPr>
          <w:rFonts w:ascii="Times New Roman" w:hAnsi="Times New Roman"/>
          <w:sz w:val="28"/>
          <w:szCs w:val="28"/>
        </w:rPr>
        <w:t xml:space="preserve"> программ</w:t>
      </w:r>
      <w:r>
        <w:rPr>
          <w:rFonts w:ascii="Times New Roman" w:hAnsi="Times New Roman"/>
          <w:sz w:val="28"/>
          <w:szCs w:val="28"/>
        </w:rPr>
        <w:t>ы</w:t>
      </w:r>
      <w:r w:rsidRPr="00E904CE">
        <w:rPr>
          <w:rFonts w:ascii="Times New Roman" w:hAnsi="Times New Roman"/>
          <w:sz w:val="28"/>
          <w:szCs w:val="28"/>
        </w:rPr>
        <w:t xml:space="preserve"> </w:t>
      </w:r>
      <w:r w:rsidRPr="00D13DC3">
        <w:rPr>
          <w:rFonts w:ascii="Times New Roman" w:hAnsi="Times New Roman"/>
          <w:sz w:val="28"/>
          <w:szCs w:val="28"/>
        </w:rPr>
        <w:t xml:space="preserve">Новосибирской </w:t>
      </w:r>
      <w:r w:rsidRPr="00E904CE">
        <w:rPr>
          <w:rFonts w:ascii="Times New Roman" w:hAnsi="Times New Roman"/>
          <w:sz w:val="28"/>
          <w:szCs w:val="28"/>
        </w:rPr>
        <w:t xml:space="preserve">области – </w:t>
      </w:r>
      <w:bookmarkStart w:id="230" w:name="_Hlk5825689"/>
      <w:bookmarkStart w:id="231" w:name="_Hlk5978566"/>
      <w:r w:rsidRPr="00AD1039">
        <w:rPr>
          <w:rFonts w:ascii="Times New Roman" w:hAnsi="Times New Roman"/>
          <w:sz w:val="28"/>
          <w:szCs w:val="28"/>
        </w:rPr>
        <w:t>«Стимулирование развития жилищного строительства в Новосибирской области»</w:t>
      </w:r>
      <w:bookmarkEnd w:id="230"/>
      <w:r w:rsidRPr="00AD1039">
        <w:rPr>
          <w:rFonts w:ascii="Times New Roman" w:hAnsi="Times New Roman"/>
          <w:sz w:val="28"/>
          <w:szCs w:val="28"/>
        </w:rPr>
        <w:t>, «Обеспечение жильём молодых семей в Новосибирской области</w:t>
      </w:r>
      <w:bookmarkEnd w:id="231"/>
      <w:r w:rsidRPr="00AD1039">
        <w:rPr>
          <w:rFonts w:ascii="Times New Roman" w:hAnsi="Times New Roman"/>
          <w:sz w:val="28"/>
          <w:szCs w:val="28"/>
        </w:rPr>
        <w:t>»</w:t>
      </w:r>
      <w:r>
        <w:rPr>
          <w:rFonts w:ascii="Times New Roman" w:hAnsi="Times New Roman"/>
          <w:sz w:val="28"/>
          <w:szCs w:val="28"/>
        </w:rPr>
        <w:t>, «</w:t>
      </w:r>
      <w:r w:rsidRPr="002748ED">
        <w:rPr>
          <w:rFonts w:ascii="Times New Roman" w:hAnsi="Times New Roman"/>
          <w:sz w:val="28"/>
          <w:szCs w:val="28"/>
        </w:rPr>
        <w:t xml:space="preserve">Жилищно-коммунальное хозяйство </w:t>
      </w:r>
      <w:r w:rsidRPr="00AD1039">
        <w:rPr>
          <w:rFonts w:ascii="Times New Roman" w:hAnsi="Times New Roman"/>
          <w:sz w:val="28"/>
          <w:szCs w:val="28"/>
        </w:rPr>
        <w:t>Новосибирской области</w:t>
      </w:r>
      <w:r w:rsidRPr="002748ED">
        <w:rPr>
          <w:rFonts w:ascii="Times New Roman" w:hAnsi="Times New Roman"/>
          <w:sz w:val="28"/>
          <w:szCs w:val="28"/>
        </w:rPr>
        <w:t xml:space="preserve"> в 2015-2022</w:t>
      </w:r>
      <w:r>
        <w:rPr>
          <w:rFonts w:ascii="Times New Roman" w:hAnsi="Times New Roman"/>
          <w:sz w:val="28"/>
          <w:szCs w:val="28"/>
        </w:rPr>
        <w:t>», р</w:t>
      </w:r>
      <w:r w:rsidRPr="002748ED">
        <w:rPr>
          <w:rFonts w:ascii="Times New Roman" w:hAnsi="Times New Roman"/>
          <w:sz w:val="28"/>
          <w:szCs w:val="28"/>
        </w:rPr>
        <w:t>егиональн</w:t>
      </w:r>
      <w:r>
        <w:rPr>
          <w:rFonts w:ascii="Times New Roman" w:hAnsi="Times New Roman"/>
          <w:sz w:val="28"/>
          <w:szCs w:val="28"/>
        </w:rPr>
        <w:t>ой</w:t>
      </w:r>
      <w:r w:rsidRPr="002748ED">
        <w:rPr>
          <w:rFonts w:ascii="Times New Roman" w:hAnsi="Times New Roman"/>
          <w:sz w:val="28"/>
          <w:szCs w:val="28"/>
        </w:rPr>
        <w:t xml:space="preserve"> адресн</w:t>
      </w:r>
      <w:r>
        <w:rPr>
          <w:rFonts w:ascii="Times New Roman" w:hAnsi="Times New Roman"/>
          <w:sz w:val="28"/>
          <w:szCs w:val="28"/>
        </w:rPr>
        <w:t>ой</w:t>
      </w:r>
      <w:r w:rsidRPr="002748ED">
        <w:rPr>
          <w:rFonts w:ascii="Times New Roman" w:hAnsi="Times New Roman"/>
          <w:sz w:val="28"/>
          <w:szCs w:val="28"/>
        </w:rPr>
        <w:t xml:space="preserve"> программ</w:t>
      </w:r>
      <w:r>
        <w:rPr>
          <w:rFonts w:ascii="Times New Roman" w:hAnsi="Times New Roman"/>
          <w:sz w:val="28"/>
          <w:szCs w:val="28"/>
        </w:rPr>
        <w:t>ы</w:t>
      </w:r>
      <w:r w:rsidRPr="002748ED">
        <w:rPr>
          <w:rFonts w:ascii="Times New Roman" w:hAnsi="Times New Roman"/>
          <w:sz w:val="28"/>
          <w:szCs w:val="28"/>
        </w:rPr>
        <w:t xml:space="preserve"> </w:t>
      </w:r>
      <w:r w:rsidRPr="00AD1039">
        <w:rPr>
          <w:rFonts w:ascii="Times New Roman" w:hAnsi="Times New Roman"/>
          <w:sz w:val="28"/>
          <w:szCs w:val="28"/>
        </w:rPr>
        <w:t>Новосибирской области</w:t>
      </w:r>
      <w:r w:rsidRPr="002748ED">
        <w:rPr>
          <w:rFonts w:ascii="Times New Roman" w:hAnsi="Times New Roman"/>
          <w:sz w:val="28"/>
          <w:szCs w:val="28"/>
        </w:rPr>
        <w:t xml:space="preserve"> по переселению граждан из аварийного жилищного фонда на 2019-2025</w:t>
      </w:r>
      <w:r w:rsidRPr="00E904CE">
        <w:rPr>
          <w:rFonts w:ascii="Times New Roman" w:hAnsi="Times New Roman"/>
          <w:sz w:val="28"/>
          <w:szCs w:val="28"/>
        </w:rPr>
        <w:t>.</w:t>
      </w:r>
    </w:p>
    <w:p w:rsidR="002D1E45" w:rsidRPr="00F0286E" w:rsidRDefault="002D1E45" w:rsidP="00F0286E">
      <w:pPr>
        <w:spacing w:after="0" w:line="240" w:lineRule="auto"/>
        <w:ind w:firstLine="709"/>
        <w:jc w:val="both"/>
        <w:rPr>
          <w:rFonts w:ascii="Times New Roman" w:hAnsi="Times New Roman"/>
          <w:sz w:val="28"/>
          <w:szCs w:val="24"/>
          <w:lang w:eastAsia="ru-RU"/>
        </w:rPr>
      </w:pPr>
      <w:r w:rsidRPr="00F0286E">
        <w:rPr>
          <w:rFonts w:ascii="Times New Roman" w:hAnsi="Times New Roman"/>
          <w:sz w:val="28"/>
          <w:szCs w:val="24"/>
          <w:lang w:eastAsia="ru-RU"/>
        </w:rPr>
        <w:t>Прогноз численности населения был выполнен в</w:t>
      </w:r>
      <w:r>
        <w:rPr>
          <w:rFonts w:ascii="Times New Roman" w:hAnsi="Times New Roman"/>
          <w:sz w:val="28"/>
          <w:szCs w:val="24"/>
          <w:lang w:eastAsia="ru-RU"/>
        </w:rPr>
        <w:t> </w:t>
      </w:r>
      <w:r w:rsidRPr="00F0286E">
        <w:rPr>
          <w:rFonts w:ascii="Times New Roman" w:hAnsi="Times New Roman"/>
          <w:sz w:val="28"/>
          <w:szCs w:val="24"/>
          <w:lang w:eastAsia="ru-RU"/>
        </w:rPr>
        <w:t>несколько этапов. Первоначально анализ действующих документов территориального планирования всех уровней, а</w:t>
      </w:r>
      <w:r>
        <w:rPr>
          <w:rFonts w:ascii="Times New Roman" w:hAnsi="Times New Roman"/>
          <w:sz w:val="28"/>
          <w:szCs w:val="24"/>
          <w:lang w:eastAsia="ru-RU"/>
        </w:rPr>
        <w:t> </w:t>
      </w:r>
      <w:r w:rsidRPr="00F0286E">
        <w:rPr>
          <w:rFonts w:ascii="Times New Roman" w:hAnsi="Times New Roman"/>
          <w:sz w:val="28"/>
          <w:szCs w:val="24"/>
          <w:lang w:eastAsia="ru-RU"/>
        </w:rPr>
        <w:t>именно прогнозируемых в</w:t>
      </w:r>
      <w:r>
        <w:rPr>
          <w:rFonts w:ascii="Times New Roman" w:hAnsi="Times New Roman"/>
          <w:sz w:val="28"/>
          <w:szCs w:val="24"/>
          <w:lang w:eastAsia="ru-RU"/>
        </w:rPr>
        <w:t> </w:t>
      </w:r>
      <w:r w:rsidRPr="00F0286E">
        <w:rPr>
          <w:rFonts w:ascii="Times New Roman" w:hAnsi="Times New Roman"/>
          <w:sz w:val="28"/>
          <w:szCs w:val="24"/>
          <w:lang w:eastAsia="ru-RU"/>
        </w:rPr>
        <w:t>них показателей естественного и</w:t>
      </w:r>
      <w:r>
        <w:rPr>
          <w:rFonts w:ascii="Times New Roman" w:hAnsi="Times New Roman"/>
          <w:sz w:val="28"/>
          <w:szCs w:val="24"/>
          <w:lang w:eastAsia="ru-RU"/>
        </w:rPr>
        <w:t> </w:t>
      </w:r>
      <w:r w:rsidRPr="00F0286E">
        <w:rPr>
          <w:rFonts w:ascii="Times New Roman" w:hAnsi="Times New Roman"/>
          <w:sz w:val="28"/>
          <w:szCs w:val="24"/>
          <w:lang w:eastAsia="ru-RU"/>
        </w:rPr>
        <w:t>механического прироста и</w:t>
      </w:r>
      <w:r>
        <w:rPr>
          <w:rFonts w:ascii="Times New Roman" w:hAnsi="Times New Roman"/>
          <w:sz w:val="28"/>
          <w:szCs w:val="24"/>
          <w:lang w:eastAsia="ru-RU"/>
        </w:rPr>
        <w:t> </w:t>
      </w:r>
      <w:r w:rsidRPr="00F0286E">
        <w:rPr>
          <w:rFonts w:ascii="Times New Roman" w:hAnsi="Times New Roman"/>
          <w:sz w:val="28"/>
          <w:szCs w:val="24"/>
          <w:lang w:eastAsia="ru-RU"/>
        </w:rPr>
        <w:t>ожидаемой при этом численности постоянного населения (темпа роста), позволил в</w:t>
      </w:r>
      <w:r>
        <w:rPr>
          <w:rFonts w:ascii="Times New Roman" w:hAnsi="Times New Roman"/>
          <w:sz w:val="28"/>
          <w:szCs w:val="24"/>
          <w:lang w:eastAsia="ru-RU"/>
        </w:rPr>
        <w:t> </w:t>
      </w:r>
      <w:r w:rsidRPr="00F0286E">
        <w:rPr>
          <w:rFonts w:ascii="Times New Roman" w:hAnsi="Times New Roman"/>
          <w:sz w:val="28"/>
          <w:szCs w:val="24"/>
          <w:lang w:eastAsia="ru-RU"/>
        </w:rPr>
        <w:t>целом представить, как изменится демографическая ситуация в</w:t>
      </w:r>
      <w:r>
        <w:rPr>
          <w:rFonts w:ascii="Times New Roman" w:hAnsi="Times New Roman"/>
          <w:sz w:val="28"/>
          <w:szCs w:val="24"/>
          <w:lang w:eastAsia="ru-RU"/>
        </w:rPr>
        <w:t> анализируемых населённых пунктах</w:t>
      </w:r>
      <w:r w:rsidRPr="00F0286E">
        <w:rPr>
          <w:rFonts w:ascii="Times New Roman" w:hAnsi="Times New Roman"/>
          <w:sz w:val="28"/>
          <w:szCs w:val="24"/>
          <w:lang w:eastAsia="ru-RU"/>
        </w:rPr>
        <w:t xml:space="preserve"> на</w:t>
      </w:r>
      <w:r>
        <w:rPr>
          <w:rFonts w:ascii="Times New Roman" w:hAnsi="Times New Roman"/>
          <w:sz w:val="28"/>
          <w:szCs w:val="24"/>
          <w:lang w:eastAsia="ru-RU"/>
        </w:rPr>
        <w:t> </w:t>
      </w:r>
      <w:r w:rsidRPr="00F0286E">
        <w:rPr>
          <w:rFonts w:ascii="Times New Roman" w:hAnsi="Times New Roman"/>
          <w:sz w:val="28"/>
          <w:szCs w:val="24"/>
          <w:lang w:eastAsia="ru-RU"/>
        </w:rPr>
        <w:t>прогнозный период времени (20</w:t>
      </w:r>
      <w:r>
        <w:rPr>
          <w:rFonts w:ascii="Times New Roman" w:hAnsi="Times New Roman"/>
          <w:sz w:val="28"/>
          <w:szCs w:val="24"/>
          <w:lang w:eastAsia="ru-RU"/>
        </w:rPr>
        <w:t>30</w:t>
      </w:r>
      <w:r w:rsidRPr="00F0286E">
        <w:rPr>
          <w:rFonts w:ascii="Times New Roman" w:hAnsi="Times New Roman"/>
          <w:sz w:val="28"/>
          <w:szCs w:val="24"/>
          <w:lang w:eastAsia="ru-RU"/>
        </w:rPr>
        <w:t>-20</w:t>
      </w:r>
      <w:r>
        <w:rPr>
          <w:rFonts w:ascii="Times New Roman" w:hAnsi="Times New Roman"/>
          <w:sz w:val="28"/>
          <w:szCs w:val="24"/>
          <w:lang w:eastAsia="ru-RU"/>
        </w:rPr>
        <w:t>40</w:t>
      </w:r>
      <w:r w:rsidRPr="00F0286E">
        <w:rPr>
          <w:rFonts w:ascii="Times New Roman" w:hAnsi="Times New Roman"/>
          <w:sz w:val="28"/>
          <w:szCs w:val="24"/>
          <w:lang w:eastAsia="ru-RU"/>
        </w:rPr>
        <w:t xml:space="preserve"> гг.).</w:t>
      </w:r>
    </w:p>
    <w:p w:rsidR="002D1E45" w:rsidRPr="00F0286E" w:rsidRDefault="002D1E45" w:rsidP="00F0286E">
      <w:pPr>
        <w:spacing w:after="0" w:line="240" w:lineRule="auto"/>
        <w:ind w:firstLine="709"/>
        <w:jc w:val="both"/>
        <w:rPr>
          <w:rFonts w:ascii="Times New Roman" w:hAnsi="Times New Roman"/>
          <w:sz w:val="28"/>
          <w:szCs w:val="24"/>
          <w:lang w:eastAsia="ru-RU"/>
        </w:rPr>
      </w:pPr>
      <w:r w:rsidRPr="00F0286E">
        <w:rPr>
          <w:rFonts w:ascii="Times New Roman" w:hAnsi="Times New Roman"/>
          <w:sz w:val="28"/>
          <w:szCs w:val="24"/>
          <w:lang w:eastAsia="ru-RU"/>
        </w:rPr>
        <w:t xml:space="preserve">Вторым этапом произведён анализ действующих документов стратегического социально-экономического планирования как </w:t>
      </w:r>
      <w:r>
        <w:rPr>
          <w:rFonts w:ascii="Times New Roman" w:hAnsi="Times New Roman"/>
          <w:sz w:val="28"/>
          <w:szCs w:val="24"/>
          <w:lang w:eastAsia="ru-RU"/>
        </w:rPr>
        <w:t>района</w:t>
      </w:r>
      <w:r w:rsidRPr="00F0286E">
        <w:rPr>
          <w:rFonts w:ascii="Times New Roman" w:hAnsi="Times New Roman"/>
          <w:sz w:val="28"/>
          <w:szCs w:val="24"/>
          <w:lang w:eastAsia="ru-RU"/>
        </w:rPr>
        <w:t xml:space="preserve"> в</w:t>
      </w:r>
      <w:r>
        <w:rPr>
          <w:rFonts w:ascii="Times New Roman" w:hAnsi="Times New Roman"/>
          <w:sz w:val="28"/>
          <w:szCs w:val="24"/>
          <w:lang w:eastAsia="ru-RU"/>
        </w:rPr>
        <w:t> </w:t>
      </w:r>
      <w:r w:rsidRPr="00F0286E">
        <w:rPr>
          <w:rFonts w:ascii="Times New Roman" w:hAnsi="Times New Roman"/>
          <w:sz w:val="28"/>
          <w:szCs w:val="24"/>
          <w:lang w:eastAsia="ru-RU"/>
        </w:rPr>
        <w:t>целом, так и</w:t>
      </w:r>
      <w:r>
        <w:rPr>
          <w:rFonts w:ascii="Times New Roman" w:hAnsi="Times New Roman"/>
          <w:sz w:val="28"/>
          <w:szCs w:val="24"/>
          <w:lang w:eastAsia="ru-RU"/>
        </w:rPr>
        <w:t xml:space="preserve"> города </w:t>
      </w:r>
      <w:r w:rsidRPr="00F0286E">
        <w:rPr>
          <w:rFonts w:ascii="Times New Roman" w:hAnsi="Times New Roman"/>
          <w:sz w:val="28"/>
          <w:szCs w:val="24"/>
          <w:lang w:eastAsia="ru-RU"/>
        </w:rPr>
        <w:t>в</w:t>
      </w:r>
      <w:r>
        <w:rPr>
          <w:rFonts w:ascii="Times New Roman" w:hAnsi="Times New Roman"/>
          <w:sz w:val="28"/>
          <w:szCs w:val="24"/>
          <w:lang w:eastAsia="ru-RU"/>
        </w:rPr>
        <w:t> </w:t>
      </w:r>
      <w:r w:rsidRPr="00F0286E">
        <w:rPr>
          <w:rFonts w:ascii="Times New Roman" w:hAnsi="Times New Roman"/>
          <w:sz w:val="28"/>
          <w:szCs w:val="24"/>
          <w:lang w:eastAsia="ru-RU"/>
        </w:rPr>
        <w:t>отдельности, в</w:t>
      </w:r>
      <w:r>
        <w:rPr>
          <w:rFonts w:ascii="Times New Roman" w:hAnsi="Times New Roman"/>
          <w:sz w:val="28"/>
          <w:szCs w:val="24"/>
          <w:lang w:eastAsia="ru-RU"/>
        </w:rPr>
        <w:t> </w:t>
      </w:r>
      <w:r w:rsidRPr="00F0286E">
        <w:rPr>
          <w:rFonts w:ascii="Times New Roman" w:hAnsi="Times New Roman"/>
          <w:sz w:val="28"/>
          <w:szCs w:val="24"/>
          <w:lang w:eastAsia="ru-RU"/>
        </w:rPr>
        <w:t>которых были рассмотрены аналогичные прогнозируемые показатели, а</w:t>
      </w:r>
      <w:r>
        <w:rPr>
          <w:rFonts w:ascii="Times New Roman" w:hAnsi="Times New Roman"/>
          <w:sz w:val="28"/>
          <w:szCs w:val="24"/>
          <w:lang w:eastAsia="ru-RU"/>
        </w:rPr>
        <w:t> </w:t>
      </w:r>
      <w:r w:rsidRPr="00F0286E">
        <w:rPr>
          <w:rFonts w:ascii="Times New Roman" w:hAnsi="Times New Roman"/>
          <w:sz w:val="28"/>
          <w:szCs w:val="24"/>
          <w:lang w:eastAsia="ru-RU"/>
        </w:rPr>
        <w:t>также основные ориентиры развития экономики и</w:t>
      </w:r>
      <w:r>
        <w:rPr>
          <w:rFonts w:ascii="Times New Roman" w:hAnsi="Times New Roman"/>
          <w:sz w:val="28"/>
          <w:szCs w:val="24"/>
          <w:lang w:eastAsia="ru-RU"/>
        </w:rPr>
        <w:t> </w:t>
      </w:r>
      <w:r w:rsidRPr="00F0286E">
        <w:rPr>
          <w:rFonts w:ascii="Times New Roman" w:hAnsi="Times New Roman"/>
          <w:sz w:val="28"/>
          <w:szCs w:val="24"/>
          <w:lang w:eastAsia="ru-RU"/>
        </w:rPr>
        <w:t xml:space="preserve">всех инфраструктур. </w:t>
      </w:r>
    </w:p>
    <w:p w:rsidR="002D1E45" w:rsidRPr="00B21620" w:rsidRDefault="002D1E45" w:rsidP="00B21620">
      <w:pPr>
        <w:spacing w:after="0" w:line="240" w:lineRule="auto"/>
        <w:ind w:firstLine="709"/>
        <w:jc w:val="both"/>
        <w:rPr>
          <w:rFonts w:ascii="Times New Roman" w:hAnsi="Times New Roman"/>
          <w:sz w:val="28"/>
          <w:szCs w:val="24"/>
          <w:lang w:eastAsia="ru-RU"/>
        </w:rPr>
      </w:pPr>
      <w:r w:rsidRPr="00F0286E">
        <w:rPr>
          <w:rFonts w:ascii="Times New Roman" w:hAnsi="Times New Roman"/>
          <w:sz w:val="28"/>
          <w:szCs w:val="24"/>
          <w:lang w:eastAsia="ru-RU"/>
        </w:rPr>
        <w:t xml:space="preserve">При </w:t>
      </w:r>
      <w:r>
        <w:rPr>
          <w:rFonts w:ascii="Times New Roman" w:hAnsi="Times New Roman"/>
          <w:sz w:val="28"/>
          <w:szCs w:val="24"/>
          <w:lang w:eastAsia="ru-RU"/>
        </w:rPr>
        <w:t>прогнозировании</w:t>
      </w:r>
      <w:r w:rsidRPr="00F0286E">
        <w:rPr>
          <w:rFonts w:ascii="Times New Roman" w:hAnsi="Times New Roman"/>
          <w:sz w:val="28"/>
          <w:szCs w:val="24"/>
          <w:lang w:eastAsia="ru-RU"/>
        </w:rPr>
        <w:t xml:space="preserve"> численности населения, помимо ориентиров социально-экономического развития </w:t>
      </w:r>
      <w:r>
        <w:rPr>
          <w:rFonts w:ascii="Times New Roman" w:hAnsi="Times New Roman"/>
          <w:sz w:val="28"/>
          <w:szCs w:val="24"/>
          <w:lang w:eastAsia="ru-RU"/>
        </w:rPr>
        <w:t>поселения и района в целом</w:t>
      </w:r>
      <w:r w:rsidRPr="00F0286E">
        <w:rPr>
          <w:rFonts w:ascii="Times New Roman" w:hAnsi="Times New Roman"/>
          <w:sz w:val="28"/>
          <w:szCs w:val="24"/>
          <w:lang w:eastAsia="ru-RU"/>
        </w:rPr>
        <w:t>, обозначенных в</w:t>
      </w:r>
      <w:r>
        <w:rPr>
          <w:rFonts w:ascii="Times New Roman" w:hAnsi="Times New Roman"/>
          <w:sz w:val="28"/>
          <w:szCs w:val="24"/>
          <w:lang w:eastAsia="ru-RU"/>
        </w:rPr>
        <w:t> С</w:t>
      </w:r>
      <w:r w:rsidRPr="00D716E8">
        <w:rPr>
          <w:rFonts w:ascii="Times New Roman" w:hAnsi="Times New Roman"/>
          <w:sz w:val="28"/>
          <w:szCs w:val="24"/>
          <w:lang w:eastAsia="ru-RU"/>
        </w:rPr>
        <w:t>тратегии</w:t>
      </w:r>
      <w:r>
        <w:rPr>
          <w:rFonts w:ascii="Times New Roman" w:hAnsi="Times New Roman"/>
          <w:sz w:val="28"/>
          <w:szCs w:val="24"/>
          <w:lang w:eastAsia="ru-RU"/>
        </w:rPr>
        <w:t xml:space="preserve"> </w:t>
      </w:r>
      <w:bookmarkStart w:id="232" w:name="_Hlk517534537"/>
      <w:r w:rsidRPr="00D716E8">
        <w:rPr>
          <w:rFonts w:ascii="Times New Roman" w:hAnsi="Times New Roman"/>
          <w:sz w:val="28"/>
          <w:szCs w:val="24"/>
          <w:lang w:eastAsia="ru-RU"/>
        </w:rPr>
        <w:t>социально</w:t>
      </w:r>
      <w:r>
        <w:rPr>
          <w:rFonts w:ascii="Times New Roman" w:hAnsi="Times New Roman"/>
          <w:sz w:val="28"/>
          <w:szCs w:val="24"/>
          <w:lang w:eastAsia="ru-RU"/>
        </w:rPr>
        <w:t>-</w:t>
      </w:r>
      <w:r w:rsidRPr="00D716E8">
        <w:rPr>
          <w:rFonts w:ascii="Times New Roman" w:hAnsi="Times New Roman"/>
          <w:sz w:val="28"/>
          <w:szCs w:val="24"/>
          <w:lang w:eastAsia="ru-RU"/>
        </w:rPr>
        <w:t>экономического</w:t>
      </w:r>
      <w:r>
        <w:rPr>
          <w:rFonts w:ascii="Times New Roman" w:hAnsi="Times New Roman"/>
          <w:sz w:val="28"/>
          <w:szCs w:val="24"/>
          <w:lang w:eastAsia="ru-RU"/>
        </w:rPr>
        <w:t xml:space="preserve"> </w:t>
      </w:r>
      <w:r w:rsidRPr="00D716E8">
        <w:rPr>
          <w:rFonts w:ascii="Times New Roman" w:hAnsi="Times New Roman"/>
          <w:sz w:val="28"/>
          <w:szCs w:val="24"/>
          <w:lang w:eastAsia="ru-RU"/>
        </w:rPr>
        <w:t>развития</w:t>
      </w:r>
      <w:r>
        <w:rPr>
          <w:rFonts w:ascii="Times New Roman" w:hAnsi="Times New Roman"/>
          <w:sz w:val="28"/>
          <w:szCs w:val="24"/>
          <w:lang w:eastAsia="ru-RU"/>
        </w:rPr>
        <w:t xml:space="preserve"> Куйбышевского </w:t>
      </w:r>
      <w:r w:rsidRPr="001D5E01">
        <w:rPr>
          <w:rFonts w:ascii="Times New Roman" w:hAnsi="Times New Roman"/>
          <w:sz w:val="28"/>
          <w:szCs w:val="24"/>
          <w:lang w:eastAsia="ru-RU"/>
        </w:rPr>
        <w:t xml:space="preserve">муниципального района </w:t>
      </w:r>
      <w:r>
        <w:rPr>
          <w:rFonts w:ascii="Times New Roman" w:hAnsi="Times New Roman"/>
          <w:sz w:val="28"/>
          <w:szCs w:val="24"/>
          <w:lang w:eastAsia="ru-RU"/>
        </w:rPr>
        <w:t>до 2</w:t>
      </w:r>
      <w:r w:rsidRPr="001D5E01">
        <w:rPr>
          <w:rFonts w:ascii="Times New Roman" w:hAnsi="Times New Roman"/>
          <w:sz w:val="28"/>
          <w:szCs w:val="24"/>
          <w:lang w:eastAsia="ru-RU"/>
        </w:rPr>
        <w:t>030 год</w:t>
      </w:r>
      <w:bookmarkEnd w:id="232"/>
      <w:r>
        <w:rPr>
          <w:rFonts w:ascii="Times New Roman" w:hAnsi="Times New Roman"/>
          <w:sz w:val="28"/>
          <w:szCs w:val="24"/>
          <w:lang w:eastAsia="ru-RU"/>
        </w:rPr>
        <w:t>а</w:t>
      </w:r>
      <w:r w:rsidRPr="00F0286E">
        <w:rPr>
          <w:rFonts w:ascii="Times New Roman" w:hAnsi="Times New Roman"/>
          <w:sz w:val="28"/>
          <w:szCs w:val="24"/>
          <w:lang w:eastAsia="ru-RU"/>
        </w:rPr>
        <w:t>, во</w:t>
      </w:r>
      <w:r>
        <w:rPr>
          <w:rFonts w:ascii="Times New Roman" w:hAnsi="Times New Roman"/>
          <w:sz w:val="28"/>
          <w:szCs w:val="24"/>
          <w:lang w:eastAsia="ru-RU"/>
        </w:rPr>
        <w:t> </w:t>
      </w:r>
      <w:r w:rsidRPr="00F0286E">
        <w:rPr>
          <w:rFonts w:ascii="Times New Roman" w:hAnsi="Times New Roman"/>
          <w:sz w:val="28"/>
          <w:szCs w:val="24"/>
          <w:lang w:eastAsia="ru-RU"/>
        </w:rPr>
        <w:t>внимание был принят прогноз социально-экономического развития</w:t>
      </w:r>
      <w:r w:rsidRPr="00B21620">
        <w:rPr>
          <w:rFonts w:ascii="Times New Roman" w:hAnsi="Times New Roman"/>
          <w:sz w:val="28"/>
          <w:szCs w:val="24"/>
          <w:lang w:eastAsia="ru-RU"/>
        </w:rPr>
        <w:t>, обозначенны</w:t>
      </w:r>
      <w:r>
        <w:rPr>
          <w:rFonts w:ascii="Times New Roman" w:hAnsi="Times New Roman"/>
          <w:sz w:val="28"/>
          <w:szCs w:val="24"/>
          <w:lang w:eastAsia="ru-RU"/>
        </w:rPr>
        <w:t>й</w:t>
      </w:r>
      <w:r w:rsidRPr="00B21620">
        <w:rPr>
          <w:rFonts w:ascii="Times New Roman" w:hAnsi="Times New Roman"/>
          <w:sz w:val="28"/>
          <w:szCs w:val="24"/>
          <w:lang w:eastAsia="ru-RU"/>
        </w:rPr>
        <w:t xml:space="preserve"> в</w:t>
      </w:r>
      <w:r>
        <w:rPr>
          <w:rFonts w:ascii="Times New Roman" w:hAnsi="Times New Roman"/>
          <w:sz w:val="28"/>
          <w:szCs w:val="24"/>
          <w:lang w:eastAsia="ru-RU"/>
        </w:rPr>
        <w:t> </w:t>
      </w:r>
      <w:r w:rsidRPr="003474C7">
        <w:rPr>
          <w:rFonts w:ascii="Times New Roman" w:hAnsi="Times New Roman"/>
          <w:sz w:val="28"/>
          <w:szCs w:val="24"/>
          <w:lang w:eastAsia="ru-RU"/>
        </w:rPr>
        <w:t>Стратеги</w:t>
      </w:r>
      <w:r>
        <w:rPr>
          <w:rFonts w:ascii="Times New Roman" w:hAnsi="Times New Roman"/>
          <w:sz w:val="28"/>
          <w:szCs w:val="24"/>
          <w:lang w:eastAsia="ru-RU"/>
        </w:rPr>
        <w:t>и</w:t>
      </w:r>
      <w:r w:rsidRPr="003474C7">
        <w:rPr>
          <w:rFonts w:ascii="Times New Roman" w:hAnsi="Times New Roman"/>
          <w:sz w:val="28"/>
          <w:szCs w:val="24"/>
          <w:lang w:eastAsia="ru-RU"/>
        </w:rPr>
        <w:t xml:space="preserve"> социально-экономического развития Новосибирской области на период до 2030 года</w:t>
      </w:r>
      <w:r w:rsidRPr="00B21620">
        <w:rPr>
          <w:rFonts w:ascii="Times New Roman" w:hAnsi="Times New Roman"/>
          <w:sz w:val="28"/>
          <w:szCs w:val="24"/>
          <w:lang w:eastAsia="ru-RU"/>
        </w:rPr>
        <w:t xml:space="preserve">, </w:t>
      </w:r>
      <w:r>
        <w:rPr>
          <w:rFonts w:ascii="Times New Roman" w:hAnsi="Times New Roman"/>
          <w:sz w:val="28"/>
          <w:szCs w:val="24"/>
          <w:lang w:eastAsia="ru-RU"/>
        </w:rPr>
        <w:t xml:space="preserve">а также </w:t>
      </w:r>
      <w:r w:rsidRPr="00B21620">
        <w:rPr>
          <w:rFonts w:ascii="Times New Roman" w:hAnsi="Times New Roman"/>
          <w:sz w:val="28"/>
          <w:szCs w:val="24"/>
          <w:lang w:eastAsia="ru-RU"/>
        </w:rPr>
        <w:t>прогноз социально-экономического развития области, определённый в</w:t>
      </w:r>
      <w:r>
        <w:rPr>
          <w:rFonts w:ascii="Times New Roman" w:hAnsi="Times New Roman"/>
          <w:sz w:val="28"/>
          <w:szCs w:val="24"/>
          <w:lang w:eastAsia="ru-RU"/>
        </w:rPr>
        <w:t> </w:t>
      </w:r>
      <w:r w:rsidRPr="00B21620">
        <w:rPr>
          <w:rFonts w:ascii="Times New Roman" w:hAnsi="Times New Roman"/>
          <w:sz w:val="28"/>
          <w:szCs w:val="24"/>
          <w:lang w:eastAsia="ru-RU"/>
        </w:rPr>
        <w:t>Схеме территориального планирования Новосибирской области, в</w:t>
      </w:r>
      <w:r>
        <w:rPr>
          <w:rFonts w:ascii="Times New Roman" w:hAnsi="Times New Roman"/>
          <w:sz w:val="28"/>
          <w:szCs w:val="24"/>
          <w:lang w:eastAsia="ru-RU"/>
        </w:rPr>
        <w:t> </w:t>
      </w:r>
      <w:r w:rsidRPr="00B21620">
        <w:rPr>
          <w:rFonts w:ascii="Times New Roman" w:hAnsi="Times New Roman"/>
          <w:sz w:val="28"/>
          <w:szCs w:val="24"/>
          <w:lang w:eastAsia="ru-RU"/>
        </w:rPr>
        <w:t>котором отмечены:</w:t>
      </w:r>
    </w:p>
    <w:p w:rsidR="002D1E45" w:rsidRPr="00B21620" w:rsidRDefault="002D1E45" w:rsidP="00D05D06">
      <w:pPr>
        <w:numPr>
          <w:ilvl w:val="0"/>
          <w:numId w:val="60"/>
        </w:numPr>
        <w:spacing w:after="0" w:line="240" w:lineRule="auto"/>
        <w:jc w:val="both"/>
        <w:rPr>
          <w:rFonts w:ascii="Times New Roman" w:hAnsi="Times New Roman"/>
          <w:sz w:val="28"/>
          <w:szCs w:val="24"/>
          <w:lang w:eastAsia="ru-RU"/>
        </w:rPr>
      </w:pPr>
      <w:r w:rsidRPr="00B21620">
        <w:rPr>
          <w:rFonts w:ascii="Times New Roman" w:hAnsi="Times New Roman"/>
          <w:sz w:val="28"/>
          <w:szCs w:val="24"/>
          <w:lang w:eastAsia="ru-RU"/>
        </w:rPr>
        <w:t>основные приоритеты социально-экономического развития территории;</w:t>
      </w:r>
    </w:p>
    <w:p w:rsidR="002D1E45" w:rsidRPr="00B21620" w:rsidRDefault="002D1E45" w:rsidP="00D05D06">
      <w:pPr>
        <w:numPr>
          <w:ilvl w:val="0"/>
          <w:numId w:val="60"/>
        </w:numPr>
        <w:spacing w:after="0" w:line="240" w:lineRule="auto"/>
        <w:jc w:val="both"/>
        <w:rPr>
          <w:rFonts w:ascii="Times New Roman" w:hAnsi="Times New Roman"/>
          <w:sz w:val="28"/>
          <w:szCs w:val="24"/>
          <w:lang w:eastAsia="ru-RU"/>
        </w:rPr>
      </w:pPr>
      <w:r w:rsidRPr="00B21620">
        <w:rPr>
          <w:rFonts w:ascii="Times New Roman" w:hAnsi="Times New Roman"/>
          <w:sz w:val="28"/>
          <w:szCs w:val="24"/>
          <w:lang w:eastAsia="ru-RU"/>
        </w:rPr>
        <w:t>показатели ежегодного миграционного прироста;</w:t>
      </w:r>
    </w:p>
    <w:p w:rsidR="002D1E45" w:rsidRPr="00B21620" w:rsidRDefault="002D1E45" w:rsidP="00D05D06">
      <w:pPr>
        <w:numPr>
          <w:ilvl w:val="0"/>
          <w:numId w:val="60"/>
        </w:numPr>
        <w:spacing w:after="0" w:line="240" w:lineRule="auto"/>
        <w:jc w:val="both"/>
        <w:rPr>
          <w:rFonts w:ascii="Times New Roman" w:hAnsi="Times New Roman"/>
          <w:sz w:val="28"/>
          <w:szCs w:val="24"/>
          <w:lang w:eastAsia="ru-RU"/>
        </w:rPr>
      </w:pPr>
      <w:r w:rsidRPr="00B21620">
        <w:rPr>
          <w:rFonts w:ascii="Times New Roman" w:hAnsi="Times New Roman"/>
          <w:sz w:val="28"/>
          <w:szCs w:val="24"/>
          <w:lang w:eastAsia="ru-RU"/>
        </w:rPr>
        <w:t>показатели возрастной структуры населения;</w:t>
      </w:r>
    </w:p>
    <w:p w:rsidR="002D1E45" w:rsidRPr="00B21620" w:rsidRDefault="002D1E45" w:rsidP="00D05D06">
      <w:pPr>
        <w:numPr>
          <w:ilvl w:val="0"/>
          <w:numId w:val="60"/>
        </w:numPr>
        <w:spacing w:after="0" w:line="240" w:lineRule="auto"/>
        <w:jc w:val="both"/>
        <w:rPr>
          <w:rFonts w:ascii="Times New Roman" w:hAnsi="Times New Roman"/>
          <w:sz w:val="28"/>
          <w:szCs w:val="24"/>
          <w:lang w:eastAsia="ru-RU"/>
        </w:rPr>
      </w:pPr>
      <w:r w:rsidRPr="00B21620">
        <w:rPr>
          <w:rFonts w:ascii="Times New Roman" w:hAnsi="Times New Roman"/>
          <w:sz w:val="28"/>
          <w:szCs w:val="24"/>
          <w:lang w:eastAsia="ru-RU"/>
        </w:rPr>
        <w:t>тенденция изменения показателя смертности населения;</w:t>
      </w:r>
    </w:p>
    <w:p w:rsidR="002D1E45" w:rsidRPr="00B21620" w:rsidRDefault="002D1E45" w:rsidP="00D05D06">
      <w:pPr>
        <w:numPr>
          <w:ilvl w:val="0"/>
          <w:numId w:val="60"/>
        </w:numPr>
        <w:spacing w:after="0" w:line="240" w:lineRule="auto"/>
        <w:jc w:val="both"/>
        <w:rPr>
          <w:rFonts w:ascii="Times New Roman" w:hAnsi="Times New Roman"/>
          <w:sz w:val="28"/>
          <w:szCs w:val="24"/>
          <w:lang w:eastAsia="ru-RU"/>
        </w:rPr>
      </w:pPr>
      <w:r w:rsidRPr="00B21620">
        <w:rPr>
          <w:rFonts w:ascii="Times New Roman" w:hAnsi="Times New Roman"/>
          <w:sz w:val="28"/>
          <w:szCs w:val="24"/>
          <w:lang w:eastAsia="ru-RU"/>
        </w:rPr>
        <w:t>прогнозируемая численность населения к 2035 г.</w:t>
      </w:r>
    </w:p>
    <w:p w:rsidR="002D1E45" w:rsidRPr="00F0286E" w:rsidRDefault="002D1E45" w:rsidP="00B21620">
      <w:pPr>
        <w:spacing w:after="0" w:line="240" w:lineRule="auto"/>
        <w:ind w:firstLine="709"/>
        <w:jc w:val="both"/>
        <w:rPr>
          <w:rFonts w:ascii="Times New Roman" w:hAnsi="Times New Roman"/>
          <w:sz w:val="28"/>
          <w:szCs w:val="24"/>
          <w:lang w:eastAsia="ru-RU"/>
        </w:rPr>
      </w:pPr>
      <w:r w:rsidRPr="00972210">
        <w:rPr>
          <w:rFonts w:ascii="Times New Roman" w:hAnsi="Times New Roman"/>
          <w:sz w:val="28"/>
          <w:szCs w:val="24"/>
          <w:lang w:eastAsia="ru-RU"/>
        </w:rPr>
        <w:t>Прогноз численности населения не</w:t>
      </w:r>
      <w:r>
        <w:rPr>
          <w:rFonts w:ascii="Times New Roman" w:hAnsi="Times New Roman"/>
          <w:sz w:val="28"/>
          <w:szCs w:val="24"/>
          <w:lang w:eastAsia="ru-RU"/>
        </w:rPr>
        <w:t> </w:t>
      </w:r>
      <w:r w:rsidRPr="00972210">
        <w:rPr>
          <w:rFonts w:ascii="Times New Roman" w:hAnsi="Times New Roman"/>
          <w:sz w:val="28"/>
          <w:szCs w:val="24"/>
          <w:lang w:eastAsia="ru-RU"/>
        </w:rPr>
        <w:t>может быть осуществлён, опираясь только</w:t>
      </w:r>
      <w:r w:rsidRPr="00F0286E">
        <w:rPr>
          <w:rFonts w:ascii="Times New Roman" w:hAnsi="Times New Roman"/>
          <w:sz w:val="28"/>
          <w:szCs w:val="24"/>
          <w:lang w:eastAsia="ru-RU"/>
        </w:rPr>
        <w:t xml:space="preserve"> на</w:t>
      </w:r>
      <w:r>
        <w:rPr>
          <w:rFonts w:ascii="Times New Roman" w:hAnsi="Times New Roman"/>
          <w:sz w:val="28"/>
          <w:szCs w:val="24"/>
          <w:lang w:eastAsia="ru-RU"/>
        </w:rPr>
        <w:t> </w:t>
      </w:r>
      <w:r w:rsidRPr="00F0286E">
        <w:rPr>
          <w:rFonts w:ascii="Times New Roman" w:hAnsi="Times New Roman"/>
          <w:sz w:val="28"/>
          <w:szCs w:val="24"/>
          <w:lang w:eastAsia="ru-RU"/>
        </w:rPr>
        <w:t>процессы смертности и</w:t>
      </w:r>
      <w:r>
        <w:rPr>
          <w:rFonts w:ascii="Times New Roman" w:hAnsi="Times New Roman"/>
          <w:sz w:val="28"/>
          <w:szCs w:val="24"/>
          <w:lang w:eastAsia="ru-RU"/>
        </w:rPr>
        <w:t> </w:t>
      </w:r>
      <w:r w:rsidRPr="00F0286E">
        <w:rPr>
          <w:rFonts w:ascii="Times New Roman" w:hAnsi="Times New Roman"/>
          <w:sz w:val="28"/>
          <w:szCs w:val="24"/>
          <w:lang w:eastAsia="ru-RU"/>
        </w:rPr>
        <w:t>рождаемости, на</w:t>
      </w:r>
      <w:r>
        <w:rPr>
          <w:rFonts w:ascii="Times New Roman" w:hAnsi="Times New Roman"/>
          <w:sz w:val="28"/>
          <w:szCs w:val="24"/>
          <w:lang w:eastAsia="ru-RU"/>
        </w:rPr>
        <w:t> </w:t>
      </w:r>
      <w:r w:rsidRPr="00F0286E">
        <w:rPr>
          <w:rFonts w:ascii="Times New Roman" w:hAnsi="Times New Roman"/>
          <w:sz w:val="28"/>
          <w:szCs w:val="24"/>
          <w:lang w:eastAsia="ru-RU"/>
        </w:rPr>
        <w:t>число прибывших и</w:t>
      </w:r>
      <w:r>
        <w:rPr>
          <w:rFonts w:ascii="Times New Roman" w:hAnsi="Times New Roman"/>
          <w:sz w:val="28"/>
          <w:szCs w:val="24"/>
          <w:lang w:eastAsia="ru-RU"/>
        </w:rPr>
        <w:t> </w:t>
      </w:r>
      <w:r w:rsidRPr="00F0286E">
        <w:rPr>
          <w:rFonts w:ascii="Times New Roman" w:hAnsi="Times New Roman"/>
          <w:sz w:val="28"/>
          <w:szCs w:val="24"/>
          <w:lang w:eastAsia="ru-RU"/>
        </w:rPr>
        <w:t>выбывших с</w:t>
      </w:r>
      <w:r>
        <w:rPr>
          <w:rFonts w:ascii="Times New Roman" w:hAnsi="Times New Roman"/>
          <w:sz w:val="28"/>
          <w:szCs w:val="24"/>
          <w:lang w:eastAsia="ru-RU"/>
        </w:rPr>
        <w:t> </w:t>
      </w:r>
      <w:r w:rsidRPr="00F0286E">
        <w:rPr>
          <w:rFonts w:ascii="Times New Roman" w:hAnsi="Times New Roman"/>
          <w:sz w:val="28"/>
          <w:szCs w:val="24"/>
          <w:lang w:eastAsia="ru-RU"/>
        </w:rPr>
        <w:t>территории за</w:t>
      </w:r>
      <w:r>
        <w:rPr>
          <w:rFonts w:ascii="Times New Roman" w:hAnsi="Times New Roman"/>
          <w:sz w:val="28"/>
          <w:szCs w:val="24"/>
          <w:lang w:eastAsia="ru-RU"/>
        </w:rPr>
        <w:t> </w:t>
      </w:r>
      <w:r w:rsidRPr="00F0286E">
        <w:rPr>
          <w:rFonts w:ascii="Times New Roman" w:hAnsi="Times New Roman"/>
          <w:sz w:val="28"/>
          <w:szCs w:val="24"/>
          <w:lang w:eastAsia="ru-RU"/>
        </w:rPr>
        <w:t>последний период времени. Расчёты необходимо подкреплять количеством мест приложения труда, создание которых возможно и</w:t>
      </w:r>
      <w:r>
        <w:rPr>
          <w:rFonts w:ascii="Times New Roman" w:hAnsi="Times New Roman"/>
          <w:sz w:val="28"/>
          <w:szCs w:val="24"/>
          <w:lang w:eastAsia="ru-RU"/>
        </w:rPr>
        <w:t> </w:t>
      </w:r>
      <w:r w:rsidRPr="00F0286E">
        <w:rPr>
          <w:rFonts w:ascii="Times New Roman" w:hAnsi="Times New Roman"/>
          <w:sz w:val="28"/>
          <w:szCs w:val="24"/>
          <w:lang w:eastAsia="ru-RU"/>
        </w:rPr>
        <w:t xml:space="preserve">благодаря которым территория </w:t>
      </w:r>
      <w:r>
        <w:rPr>
          <w:rFonts w:ascii="Times New Roman" w:hAnsi="Times New Roman"/>
          <w:sz w:val="28"/>
          <w:szCs w:val="28"/>
        </w:rPr>
        <w:t>города Куйбышева</w:t>
      </w:r>
      <w:r w:rsidRPr="00F0286E">
        <w:rPr>
          <w:rFonts w:ascii="Times New Roman" w:hAnsi="Times New Roman"/>
          <w:sz w:val="28"/>
          <w:szCs w:val="24"/>
          <w:lang w:eastAsia="ru-RU"/>
        </w:rPr>
        <w:t xml:space="preserve"> может быть привлекательной в</w:t>
      </w:r>
      <w:r>
        <w:rPr>
          <w:rFonts w:ascii="Times New Roman" w:hAnsi="Times New Roman"/>
          <w:sz w:val="28"/>
          <w:szCs w:val="24"/>
          <w:lang w:eastAsia="ru-RU"/>
        </w:rPr>
        <w:t> </w:t>
      </w:r>
      <w:r w:rsidRPr="00F0286E">
        <w:rPr>
          <w:rFonts w:ascii="Times New Roman" w:hAnsi="Times New Roman"/>
          <w:sz w:val="28"/>
          <w:szCs w:val="24"/>
          <w:lang w:eastAsia="ru-RU"/>
        </w:rPr>
        <w:t>плане реализации трудового потенциала населения и</w:t>
      </w:r>
      <w:r>
        <w:rPr>
          <w:rFonts w:ascii="Times New Roman" w:hAnsi="Times New Roman"/>
          <w:sz w:val="28"/>
          <w:szCs w:val="24"/>
          <w:lang w:eastAsia="ru-RU"/>
        </w:rPr>
        <w:t> </w:t>
      </w:r>
      <w:r w:rsidRPr="00F0286E">
        <w:rPr>
          <w:rFonts w:ascii="Times New Roman" w:hAnsi="Times New Roman"/>
          <w:sz w:val="28"/>
          <w:szCs w:val="24"/>
          <w:lang w:eastAsia="ru-RU"/>
        </w:rPr>
        <w:t xml:space="preserve">комфортности проживания. </w:t>
      </w:r>
    </w:p>
    <w:p w:rsidR="002D1E45" w:rsidRPr="009115C8" w:rsidRDefault="002D1E45" w:rsidP="009115C8">
      <w:pPr>
        <w:spacing w:after="0" w:line="240" w:lineRule="auto"/>
        <w:ind w:firstLine="709"/>
        <w:contextualSpacing/>
        <w:jc w:val="both"/>
        <w:rPr>
          <w:rFonts w:ascii="Times New Roman" w:hAnsi="Times New Roman"/>
          <w:sz w:val="28"/>
          <w:szCs w:val="24"/>
          <w:lang w:eastAsia="ru-RU"/>
        </w:rPr>
      </w:pPr>
      <w:bookmarkStart w:id="233" w:name="_Hlk5978161"/>
      <w:r w:rsidRPr="009115C8">
        <w:rPr>
          <w:rFonts w:ascii="Times New Roman" w:hAnsi="Times New Roman"/>
          <w:sz w:val="28"/>
          <w:szCs w:val="24"/>
          <w:lang w:eastAsia="ru-RU"/>
        </w:rPr>
        <w:t>Сценарные условия и</w:t>
      </w:r>
      <w:r>
        <w:rPr>
          <w:rFonts w:ascii="Times New Roman" w:hAnsi="Times New Roman"/>
          <w:sz w:val="28"/>
          <w:szCs w:val="24"/>
          <w:lang w:eastAsia="ru-RU"/>
        </w:rPr>
        <w:t> </w:t>
      </w:r>
      <w:r w:rsidRPr="009115C8">
        <w:rPr>
          <w:rFonts w:ascii="Times New Roman" w:hAnsi="Times New Roman"/>
          <w:sz w:val="28"/>
          <w:szCs w:val="24"/>
          <w:lang w:eastAsia="ru-RU"/>
        </w:rPr>
        <w:t>прогноз основных параметров социально-экономического развития разработаны на</w:t>
      </w:r>
      <w:r>
        <w:rPr>
          <w:rFonts w:ascii="Times New Roman" w:hAnsi="Times New Roman"/>
          <w:sz w:val="28"/>
          <w:szCs w:val="24"/>
          <w:lang w:eastAsia="ru-RU"/>
        </w:rPr>
        <w:t> </w:t>
      </w:r>
      <w:r w:rsidRPr="009115C8">
        <w:rPr>
          <w:rFonts w:ascii="Times New Roman" w:hAnsi="Times New Roman"/>
          <w:sz w:val="28"/>
          <w:szCs w:val="24"/>
          <w:lang w:eastAsia="ru-RU"/>
        </w:rPr>
        <w:t>вариантной основе с</w:t>
      </w:r>
      <w:r>
        <w:rPr>
          <w:rFonts w:ascii="Times New Roman" w:hAnsi="Times New Roman"/>
          <w:sz w:val="28"/>
          <w:szCs w:val="24"/>
          <w:lang w:eastAsia="ru-RU"/>
        </w:rPr>
        <w:t> </w:t>
      </w:r>
      <w:r w:rsidRPr="009115C8">
        <w:rPr>
          <w:rFonts w:ascii="Times New Roman" w:hAnsi="Times New Roman"/>
          <w:sz w:val="28"/>
          <w:szCs w:val="24"/>
          <w:lang w:eastAsia="ru-RU"/>
        </w:rPr>
        <w:t>учётом изменения внешних и</w:t>
      </w:r>
      <w:r>
        <w:rPr>
          <w:rFonts w:ascii="Times New Roman" w:hAnsi="Times New Roman"/>
          <w:sz w:val="28"/>
          <w:szCs w:val="24"/>
          <w:lang w:eastAsia="ru-RU"/>
        </w:rPr>
        <w:t> </w:t>
      </w:r>
      <w:r w:rsidRPr="009115C8">
        <w:rPr>
          <w:rFonts w:ascii="Times New Roman" w:hAnsi="Times New Roman"/>
          <w:sz w:val="28"/>
          <w:szCs w:val="24"/>
          <w:lang w:eastAsia="ru-RU"/>
        </w:rPr>
        <w:t>внутренних условий и</w:t>
      </w:r>
      <w:r>
        <w:rPr>
          <w:rFonts w:ascii="Times New Roman" w:hAnsi="Times New Roman"/>
          <w:sz w:val="28"/>
          <w:szCs w:val="24"/>
          <w:lang w:eastAsia="ru-RU"/>
        </w:rPr>
        <w:t> </w:t>
      </w:r>
      <w:r w:rsidRPr="009115C8">
        <w:rPr>
          <w:rFonts w:ascii="Times New Roman" w:hAnsi="Times New Roman"/>
          <w:sz w:val="28"/>
          <w:szCs w:val="24"/>
          <w:lang w:eastAsia="ru-RU"/>
        </w:rPr>
        <w:t>факторов экономического развития.</w:t>
      </w:r>
    </w:p>
    <w:p w:rsidR="002D1E45" w:rsidRDefault="002D1E45" w:rsidP="009115C8">
      <w:pPr>
        <w:spacing w:after="0" w:line="240" w:lineRule="auto"/>
        <w:ind w:firstLine="709"/>
        <w:contextualSpacing/>
        <w:jc w:val="both"/>
        <w:rPr>
          <w:rFonts w:ascii="Times New Roman" w:hAnsi="Times New Roman"/>
          <w:sz w:val="28"/>
          <w:szCs w:val="24"/>
          <w:lang w:eastAsia="ru-RU"/>
        </w:rPr>
      </w:pPr>
      <w:bookmarkStart w:id="234" w:name="_Hlk24107434"/>
      <w:r w:rsidRPr="009115C8">
        <w:rPr>
          <w:rFonts w:ascii="Times New Roman" w:hAnsi="Times New Roman"/>
          <w:sz w:val="28"/>
          <w:szCs w:val="24"/>
          <w:lang w:eastAsia="ru-RU"/>
        </w:rPr>
        <w:t>Рассматривая многофакторную ситуацию развития событий, влияния внешних и</w:t>
      </w:r>
      <w:r>
        <w:rPr>
          <w:rFonts w:ascii="Times New Roman" w:hAnsi="Times New Roman"/>
          <w:sz w:val="28"/>
          <w:szCs w:val="24"/>
          <w:lang w:eastAsia="ru-RU"/>
        </w:rPr>
        <w:t> </w:t>
      </w:r>
      <w:r w:rsidRPr="009115C8">
        <w:rPr>
          <w:rFonts w:ascii="Times New Roman" w:hAnsi="Times New Roman"/>
          <w:sz w:val="28"/>
          <w:szCs w:val="24"/>
          <w:lang w:eastAsia="ru-RU"/>
        </w:rPr>
        <w:t>внутренних сил на</w:t>
      </w:r>
      <w:r>
        <w:rPr>
          <w:rFonts w:ascii="Times New Roman" w:hAnsi="Times New Roman"/>
          <w:sz w:val="28"/>
          <w:szCs w:val="24"/>
          <w:lang w:eastAsia="ru-RU"/>
        </w:rPr>
        <w:t> </w:t>
      </w:r>
      <w:r w:rsidRPr="009115C8">
        <w:rPr>
          <w:rFonts w:ascii="Times New Roman" w:hAnsi="Times New Roman"/>
          <w:sz w:val="28"/>
          <w:szCs w:val="24"/>
          <w:lang w:eastAsia="ru-RU"/>
        </w:rPr>
        <w:t>градостроительную и</w:t>
      </w:r>
      <w:r>
        <w:rPr>
          <w:rFonts w:ascii="Times New Roman" w:hAnsi="Times New Roman"/>
          <w:sz w:val="28"/>
          <w:szCs w:val="24"/>
          <w:lang w:eastAsia="ru-RU"/>
        </w:rPr>
        <w:t> </w:t>
      </w:r>
      <w:r w:rsidRPr="009115C8">
        <w:rPr>
          <w:rFonts w:ascii="Times New Roman" w:hAnsi="Times New Roman"/>
          <w:sz w:val="28"/>
          <w:szCs w:val="24"/>
          <w:lang w:eastAsia="ru-RU"/>
        </w:rPr>
        <w:t xml:space="preserve">средообразующую систему проектом предлагается </w:t>
      </w:r>
      <w:r>
        <w:rPr>
          <w:rFonts w:ascii="Times New Roman" w:hAnsi="Times New Roman"/>
          <w:sz w:val="28"/>
          <w:szCs w:val="24"/>
          <w:lang w:eastAsia="ru-RU"/>
        </w:rPr>
        <w:t>два</w:t>
      </w:r>
      <w:r w:rsidRPr="009115C8">
        <w:rPr>
          <w:rFonts w:ascii="Times New Roman" w:hAnsi="Times New Roman"/>
          <w:sz w:val="28"/>
          <w:szCs w:val="24"/>
          <w:lang w:eastAsia="ru-RU"/>
        </w:rPr>
        <w:t xml:space="preserve"> сценария развития событий: </w:t>
      </w:r>
      <w:r>
        <w:rPr>
          <w:rFonts w:ascii="Times New Roman" w:hAnsi="Times New Roman"/>
          <w:sz w:val="28"/>
          <w:szCs w:val="24"/>
          <w:lang w:eastAsia="ru-RU"/>
        </w:rPr>
        <w:t>консервативный, </w:t>
      </w:r>
      <w:r w:rsidRPr="007E3F11">
        <w:rPr>
          <w:rFonts w:ascii="Times New Roman" w:hAnsi="Times New Roman"/>
          <w:sz w:val="28"/>
          <w:szCs w:val="24"/>
          <w:lang w:eastAsia="ru-RU"/>
        </w:rPr>
        <w:t>умеренно-оптимистичный (</w:t>
      </w:r>
      <w:r>
        <w:rPr>
          <w:rFonts w:ascii="Times New Roman" w:hAnsi="Times New Roman"/>
          <w:sz w:val="28"/>
          <w:szCs w:val="24"/>
          <w:lang w:eastAsia="ru-RU"/>
        </w:rPr>
        <w:t>целевой</w:t>
      </w:r>
      <w:r w:rsidRPr="007E3F11">
        <w:rPr>
          <w:rFonts w:ascii="Times New Roman" w:hAnsi="Times New Roman"/>
          <w:sz w:val="28"/>
          <w:szCs w:val="24"/>
          <w:lang w:eastAsia="ru-RU"/>
        </w:rPr>
        <w:t>)</w:t>
      </w:r>
      <w:r>
        <w:rPr>
          <w:rFonts w:ascii="Times New Roman" w:hAnsi="Times New Roman"/>
          <w:sz w:val="28"/>
          <w:szCs w:val="24"/>
          <w:lang w:eastAsia="ru-RU"/>
        </w:rPr>
        <w:t xml:space="preserve"> и инновационный</w:t>
      </w:r>
      <w:r w:rsidRPr="009115C8">
        <w:rPr>
          <w:rFonts w:ascii="Times New Roman" w:hAnsi="Times New Roman"/>
          <w:sz w:val="28"/>
          <w:szCs w:val="24"/>
          <w:lang w:eastAsia="ru-RU"/>
        </w:rPr>
        <w:t>.</w:t>
      </w:r>
    </w:p>
    <w:p w:rsidR="002D1E45" w:rsidRPr="009115C8" w:rsidRDefault="002D1E45" w:rsidP="009115C8">
      <w:pPr>
        <w:spacing w:after="0" w:line="240" w:lineRule="auto"/>
        <w:ind w:firstLine="709"/>
        <w:contextualSpacing/>
        <w:jc w:val="both"/>
        <w:rPr>
          <w:rFonts w:ascii="Times New Roman" w:hAnsi="Times New Roman"/>
          <w:sz w:val="28"/>
          <w:szCs w:val="24"/>
          <w:lang w:eastAsia="ru-RU"/>
        </w:rPr>
      </w:pPr>
      <w:r w:rsidRPr="008677CD">
        <w:rPr>
          <w:rFonts w:ascii="Times New Roman" w:hAnsi="Times New Roman"/>
          <w:i/>
          <w:iCs/>
          <w:sz w:val="28"/>
          <w:szCs w:val="24"/>
          <w:u w:val="single"/>
          <w:lang w:eastAsia="ru-RU"/>
        </w:rPr>
        <w:t>Консервативный сценарий</w:t>
      </w:r>
      <w:r>
        <w:rPr>
          <w:rFonts w:ascii="Times New Roman" w:hAnsi="Times New Roman"/>
          <w:sz w:val="28"/>
          <w:szCs w:val="24"/>
          <w:lang w:eastAsia="ru-RU"/>
        </w:rPr>
        <w:t xml:space="preserve"> </w:t>
      </w:r>
      <w:r w:rsidRPr="008677CD">
        <w:rPr>
          <w:rFonts w:ascii="Times New Roman" w:hAnsi="Times New Roman"/>
          <w:sz w:val="28"/>
          <w:szCs w:val="24"/>
          <w:lang w:eastAsia="ru-RU"/>
        </w:rPr>
        <w:t>предполагает инерционное развитие с сохранением тенденций, внешних и внутренних условий развития экономики, консервативную инвестиционную политику частных компаний, ограниченные возможности бюджетов всех уровней при относительно слабом росте потребительского спроса. В этом варианте факторы внешней и внутренней среды находятся на текущих уровнях.</w:t>
      </w:r>
    </w:p>
    <w:bookmarkEnd w:id="234"/>
    <w:p w:rsidR="002D1E45" w:rsidRPr="00DF737B" w:rsidRDefault="002D1E45" w:rsidP="008677CD">
      <w:pPr>
        <w:spacing w:after="0" w:line="240" w:lineRule="auto"/>
        <w:ind w:firstLine="709"/>
        <w:contextualSpacing/>
        <w:jc w:val="both"/>
        <w:rPr>
          <w:rFonts w:ascii="Times New Roman" w:hAnsi="Times New Roman"/>
          <w:sz w:val="28"/>
          <w:szCs w:val="24"/>
          <w:lang w:eastAsia="ru-RU"/>
        </w:rPr>
      </w:pPr>
      <w:r w:rsidRPr="008677CD">
        <w:rPr>
          <w:rFonts w:ascii="Times New Roman" w:hAnsi="Times New Roman"/>
          <w:i/>
          <w:sz w:val="28"/>
          <w:szCs w:val="24"/>
          <w:u w:val="single"/>
          <w:lang w:eastAsia="ru-RU"/>
        </w:rPr>
        <w:t>Целевой (Умеренно-оптимистичный) сценарий</w:t>
      </w:r>
      <w:r>
        <w:rPr>
          <w:rFonts w:ascii="Times New Roman" w:hAnsi="Times New Roman"/>
          <w:iCs/>
          <w:sz w:val="28"/>
          <w:szCs w:val="24"/>
          <w:lang w:eastAsia="ru-RU"/>
        </w:rPr>
        <w:t xml:space="preserve"> </w:t>
      </w:r>
      <w:r w:rsidRPr="008677CD">
        <w:rPr>
          <w:rFonts w:ascii="Times New Roman" w:hAnsi="Times New Roman"/>
          <w:iCs/>
          <w:sz w:val="28"/>
          <w:szCs w:val="24"/>
          <w:lang w:eastAsia="ru-RU"/>
        </w:rPr>
        <w:t xml:space="preserve">предполагает оживление и рост в экономике, создание необходимых условий для инновационного развития и роста инвестиций, в том числе расширение источников, механизмов и инструментов финансирования. В данном варианте факторы внешней среды находятся на уровне не ниже текущего, улучшаются факторы внутренней среды. </w:t>
      </w:r>
    </w:p>
    <w:p w:rsidR="002D1E45" w:rsidRPr="008677CD" w:rsidRDefault="002D1E45" w:rsidP="008677CD">
      <w:pPr>
        <w:spacing w:after="0" w:line="240" w:lineRule="auto"/>
        <w:ind w:firstLine="709"/>
        <w:contextualSpacing/>
        <w:jc w:val="both"/>
        <w:rPr>
          <w:rFonts w:ascii="Times New Roman" w:hAnsi="Times New Roman"/>
          <w:sz w:val="28"/>
          <w:szCs w:val="24"/>
          <w:lang w:eastAsia="ru-RU"/>
        </w:rPr>
      </w:pPr>
      <w:r w:rsidRPr="008677CD">
        <w:rPr>
          <w:rFonts w:ascii="Times New Roman" w:hAnsi="Times New Roman"/>
          <w:i/>
          <w:iCs/>
          <w:sz w:val="28"/>
          <w:szCs w:val="24"/>
          <w:u w:val="single"/>
          <w:lang w:eastAsia="ru-RU"/>
        </w:rPr>
        <w:t>Инновационный сценарий</w:t>
      </w:r>
      <w:r w:rsidRPr="004E3DDC">
        <w:rPr>
          <w:rFonts w:ascii="Times New Roman" w:hAnsi="Times New Roman"/>
          <w:iCs/>
          <w:sz w:val="28"/>
          <w:szCs w:val="24"/>
          <w:lang w:eastAsia="ru-RU"/>
        </w:rPr>
        <w:t xml:space="preserve"> </w:t>
      </w:r>
      <w:r w:rsidRPr="008677CD">
        <w:rPr>
          <w:rFonts w:ascii="Times New Roman" w:hAnsi="Times New Roman"/>
          <w:sz w:val="28"/>
          <w:szCs w:val="24"/>
          <w:lang w:eastAsia="ru-RU"/>
        </w:rPr>
        <w:t xml:space="preserve">характеризуется, с одной стороны, ожиданиями позитивных изменений во внешней среде, с другой </w:t>
      </w:r>
      <w:r>
        <w:rPr>
          <w:rFonts w:ascii="Times New Roman" w:hAnsi="Times New Roman"/>
          <w:sz w:val="28"/>
          <w:szCs w:val="24"/>
          <w:lang w:eastAsia="ru-RU"/>
        </w:rPr>
        <w:t>–</w:t>
      </w:r>
      <w:r w:rsidRPr="008677CD">
        <w:rPr>
          <w:rFonts w:ascii="Times New Roman" w:hAnsi="Times New Roman"/>
          <w:sz w:val="28"/>
          <w:szCs w:val="24"/>
          <w:lang w:eastAsia="ru-RU"/>
        </w:rPr>
        <w:t xml:space="preserve"> ф</w:t>
      </w:r>
      <w:r>
        <w:rPr>
          <w:rFonts w:ascii="Times New Roman" w:hAnsi="Times New Roman"/>
          <w:sz w:val="28"/>
          <w:szCs w:val="24"/>
          <w:lang w:eastAsia="ru-RU"/>
        </w:rPr>
        <w:t>о</w:t>
      </w:r>
      <w:r w:rsidRPr="008677CD">
        <w:rPr>
          <w:rFonts w:ascii="Times New Roman" w:hAnsi="Times New Roman"/>
          <w:sz w:val="28"/>
          <w:szCs w:val="24"/>
          <w:lang w:eastAsia="ru-RU"/>
        </w:rPr>
        <w:t>рмированием внутренних условий для опережающего роста инвестиций и экономики, основанного на внедрении прорывных научно-технологических разработок, занятии рыночных ниш «новой экономики», кратном росте экспорта высокотехнологичной продукции и услуг, ускоренном инновационном развитии отраслей-лидеров. Таким образом, третий вариант исходит из прогнозного улучшения факторов как внутренней, так и внешней среды.</w:t>
      </w:r>
    </w:p>
    <w:p w:rsidR="002D1E45" w:rsidRPr="004E3DDC" w:rsidRDefault="002D1E45" w:rsidP="008677CD">
      <w:pPr>
        <w:spacing w:after="0" w:line="240" w:lineRule="auto"/>
        <w:ind w:firstLine="709"/>
        <w:contextualSpacing/>
        <w:jc w:val="both"/>
        <w:rPr>
          <w:rFonts w:ascii="Times New Roman" w:hAnsi="Times New Roman"/>
          <w:sz w:val="28"/>
          <w:szCs w:val="24"/>
          <w:lang w:eastAsia="ru-RU"/>
        </w:rPr>
      </w:pPr>
      <w:r w:rsidRPr="008677CD">
        <w:rPr>
          <w:rFonts w:ascii="Times New Roman" w:hAnsi="Times New Roman"/>
          <w:sz w:val="28"/>
          <w:szCs w:val="24"/>
          <w:lang w:eastAsia="ru-RU"/>
        </w:rPr>
        <w:t>Учитывая результаты проведённого анализа социально-экономического развития Куйбышевского района за период 2012-2017 и 2018 годов, можно сделать вывод, что планирование развития по инновационному сценарию не реалистично с тем, что бюджет района является высокодотационным.</w:t>
      </w:r>
    </w:p>
    <w:p w:rsidR="002D1E45" w:rsidRPr="00532486" w:rsidRDefault="002D1E45" w:rsidP="00532486">
      <w:pPr>
        <w:spacing w:after="0" w:line="240" w:lineRule="auto"/>
        <w:ind w:firstLine="709"/>
        <w:contextualSpacing/>
        <w:jc w:val="both"/>
        <w:rPr>
          <w:rFonts w:ascii="Times New Roman" w:hAnsi="Times New Roman"/>
          <w:sz w:val="28"/>
          <w:szCs w:val="24"/>
          <w:lang w:eastAsia="ru-RU"/>
        </w:rPr>
      </w:pPr>
      <w:r w:rsidRPr="00532486">
        <w:rPr>
          <w:rFonts w:ascii="Times New Roman" w:hAnsi="Times New Roman"/>
          <w:sz w:val="28"/>
          <w:szCs w:val="24"/>
          <w:lang w:eastAsia="ru-RU"/>
        </w:rPr>
        <w:t>В настоящее время развитие Куйбышевского района проходит по консервативному (инерционному) сценарию, именно этот вариант развития выбран при формировании прогноза социально- экономического развития Куйбышевского района на 2019 год и плановый период 2020 и 2021 годов. Но в долгосрочной перспективе предполагается переход на умеренно - оптимистический сценарий и</w:t>
      </w:r>
      <w:r>
        <w:rPr>
          <w:rFonts w:ascii="Times New Roman" w:hAnsi="Times New Roman"/>
          <w:sz w:val="28"/>
          <w:szCs w:val="24"/>
          <w:lang w:eastAsia="ru-RU"/>
        </w:rPr>
        <w:t xml:space="preserve"> </w:t>
      </w:r>
      <w:r w:rsidRPr="00532486">
        <w:rPr>
          <w:rFonts w:ascii="Times New Roman" w:hAnsi="Times New Roman"/>
          <w:sz w:val="28"/>
          <w:szCs w:val="24"/>
          <w:lang w:eastAsia="ru-RU"/>
        </w:rPr>
        <w:t>связано это с подписанием в 2018 году соглашения о создании Барабинско-Куйбышевской агломерации.</w:t>
      </w:r>
    </w:p>
    <w:p w:rsidR="002D1E45" w:rsidRPr="00532486" w:rsidRDefault="002D1E45" w:rsidP="00532486">
      <w:pPr>
        <w:spacing w:after="0" w:line="240" w:lineRule="auto"/>
        <w:ind w:firstLine="709"/>
        <w:contextualSpacing/>
        <w:jc w:val="both"/>
        <w:rPr>
          <w:rFonts w:ascii="Times New Roman" w:hAnsi="Times New Roman"/>
          <w:sz w:val="28"/>
          <w:szCs w:val="24"/>
          <w:lang w:eastAsia="ru-RU"/>
        </w:rPr>
      </w:pPr>
      <w:r w:rsidRPr="00532486">
        <w:rPr>
          <w:rFonts w:ascii="Times New Roman" w:hAnsi="Times New Roman"/>
          <w:sz w:val="28"/>
          <w:szCs w:val="24"/>
          <w:lang w:eastAsia="ru-RU"/>
        </w:rPr>
        <w:t>В период 2019-2021 годов будут проведены мероприятия первого этапа развития Барабинско-Куйбышевской агломерации, которые нацелены на подготовку научно- исследовательской работы по стратегическому развитию агломерации, а также на проведение подготовительных мероприятий для начала реализации стратегических задач, определенных в научно- исследовательской работе</w:t>
      </w:r>
    </w:p>
    <w:p w:rsidR="002D1E45" w:rsidRPr="00532486" w:rsidRDefault="002D1E45" w:rsidP="00532486">
      <w:pPr>
        <w:spacing w:after="0" w:line="240" w:lineRule="auto"/>
        <w:ind w:firstLine="709"/>
        <w:contextualSpacing/>
        <w:jc w:val="both"/>
        <w:rPr>
          <w:rFonts w:ascii="Times New Roman" w:hAnsi="Times New Roman"/>
          <w:sz w:val="28"/>
          <w:szCs w:val="24"/>
          <w:lang w:eastAsia="ru-RU"/>
        </w:rPr>
      </w:pPr>
      <w:r w:rsidRPr="00532486">
        <w:rPr>
          <w:rFonts w:ascii="Times New Roman" w:hAnsi="Times New Roman"/>
          <w:sz w:val="28"/>
          <w:szCs w:val="24"/>
          <w:lang w:eastAsia="ru-RU"/>
        </w:rPr>
        <w:t>В период 2022-2030 годов ожидается получение экономического эффекта от научно обоснованных мероприятий, нацеленных на инвестиционное развитие, подъем экономики и соответственно повышение уровня и качества жизни населения Куйбышевского района.</w:t>
      </w:r>
    </w:p>
    <w:p w:rsidR="002D1E45" w:rsidRDefault="002D1E45" w:rsidP="00532486">
      <w:pPr>
        <w:spacing w:after="0" w:line="240" w:lineRule="auto"/>
        <w:ind w:firstLine="709"/>
        <w:contextualSpacing/>
        <w:jc w:val="both"/>
        <w:rPr>
          <w:rFonts w:ascii="Times New Roman" w:hAnsi="Times New Roman"/>
          <w:sz w:val="28"/>
          <w:szCs w:val="24"/>
          <w:lang w:eastAsia="ru-RU"/>
        </w:rPr>
      </w:pPr>
      <w:r w:rsidRPr="00532486">
        <w:rPr>
          <w:rFonts w:ascii="Times New Roman" w:hAnsi="Times New Roman"/>
          <w:sz w:val="28"/>
          <w:szCs w:val="24"/>
          <w:lang w:eastAsia="ru-RU"/>
        </w:rPr>
        <w:t>Таким образом, основным целевым сценарием развития Куйбышевского района на долгосрочную перспективу должен стать умеренно-оптимистичный (базовый) сценарий, как наиболее вероятный и сбалансированный, который позволит реализовать модель развития, основанную на развитии Барабинско-Куйбышевской агломерации, формировании крупного рынка труда, росте инвестиционной привлекательности за счёт развитого рынка потребления, возможности развития инфраструктурных проектов, потенциала предоставления равного доступа жителей района к различным видам услуг, повышении уровня и качества жизни населения района.</w:t>
      </w:r>
    </w:p>
    <w:p w:rsidR="002D1E45" w:rsidRPr="009115C8" w:rsidRDefault="002D1E45" w:rsidP="009115C8">
      <w:pPr>
        <w:spacing w:after="0" w:line="240" w:lineRule="auto"/>
        <w:ind w:firstLine="709"/>
        <w:contextualSpacing/>
        <w:jc w:val="both"/>
        <w:rPr>
          <w:rFonts w:ascii="Times New Roman" w:hAnsi="Times New Roman"/>
          <w:sz w:val="28"/>
          <w:szCs w:val="24"/>
          <w:lang w:eastAsia="ru-RU"/>
        </w:rPr>
      </w:pPr>
      <w:r w:rsidRPr="009115C8">
        <w:rPr>
          <w:rFonts w:ascii="Times New Roman" w:hAnsi="Times New Roman"/>
          <w:sz w:val="28"/>
          <w:szCs w:val="24"/>
          <w:lang w:eastAsia="ru-RU"/>
        </w:rPr>
        <w:t>Предполагается, что малый и</w:t>
      </w:r>
      <w:r>
        <w:rPr>
          <w:rFonts w:ascii="Times New Roman" w:hAnsi="Times New Roman"/>
          <w:sz w:val="28"/>
          <w:szCs w:val="24"/>
          <w:lang w:eastAsia="ru-RU"/>
        </w:rPr>
        <w:t> </w:t>
      </w:r>
      <w:r w:rsidRPr="009115C8">
        <w:rPr>
          <w:rFonts w:ascii="Times New Roman" w:hAnsi="Times New Roman"/>
          <w:sz w:val="28"/>
          <w:szCs w:val="24"/>
          <w:lang w:eastAsia="ru-RU"/>
        </w:rPr>
        <w:t>средний бизнес в</w:t>
      </w:r>
      <w:r>
        <w:rPr>
          <w:rFonts w:ascii="Times New Roman" w:hAnsi="Times New Roman"/>
          <w:sz w:val="28"/>
          <w:szCs w:val="24"/>
          <w:lang w:eastAsia="ru-RU"/>
        </w:rPr>
        <w:t> </w:t>
      </w:r>
      <w:r w:rsidRPr="009115C8">
        <w:rPr>
          <w:rFonts w:ascii="Times New Roman" w:hAnsi="Times New Roman"/>
          <w:sz w:val="28"/>
          <w:szCs w:val="24"/>
          <w:lang w:eastAsia="ru-RU"/>
        </w:rPr>
        <w:t>районе получит реальную поддержку и</w:t>
      </w:r>
      <w:r>
        <w:rPr>
          <w:rFonts w:ascii="Times New Roman" w:hAnsi="Times New Roman"/>
          <w:sz w:val="28"/>
          <w:szCs w:val="24"/>
          <w:lang w:eastAsia="ru-RU"/>
        </w:rPr>
        <w:t> </w:t>
      </w:r>
      <w:r w:rsidRPr="009115C8">
        <w:rPr>
          <w:rFonts w:ascii="Times New Roman" w:hAnsi="Times New Roman"/>
          <w:sz w:val="28"/>
          <w:szCs w:val="24"/>
          <w:lang w:eastAsia="ru-RU"/>
        </w:rPr>
        <w:t>станет одним из</w:t>
      </w:r>
      <w:r>
        <w:rPr>
          <w:rFonts w:ascii="Times New Roman" w:hAnsi="Times New Roman"/>
          <w:sz w:val="28"/>
          <w:szCs w:val="24"/>
          <w:lang w:eastAsia="ru-RU"/>
        </w:rPr>
        <w:t> </w:t>
      </w:r>
      <w:r w:rsidRPr="009115C8">
        <w:rPr>
          <w:rFonts w:ascii="Times New Roman" w:hAnsi="Times New Roman"/>
          <w:sz w:val="28"/>
          <w:szCs w:val="24"/>
          <w:lang w:eastAsia="ru-RU"/>
        </w:rPr>
        <w:t>ключевых направлений развития района за</w:t>
      </w:r>
      <w:r>
        <w:rPr>
          <w:rFonts w:ascii="Times New Roman" w:hAnsi="Times New Roman"/>
          <w:sz w:val="28"/>
          <w:szCs w:val="24"/>
          <w:lang w:eastAsia="ru-RU"/>
        </w:rPr>
        <w:t> </w:t>
      </w:r>
      <w:r w:rsidRPr="009115C8">
        <w:rPr>
          <w:rFonts w:ascii="Times New Roman" w:hAnsi="Times New Roman"/>
          <w:sz w:val="28"/>
          <w:szCs w:val="24"/>
          <w:lang w:eastAsia="ru-RU"/>
        </w:rPr>
        <w:t>счёт гарантированных рынков сбыта.</w:t>
      </w:r>
    </w:p>
    <w:p w:rsidR="002D1E45" w:rsidRPr="009115C8" w:rsidRDefault="002D1E45" w:rsidP="009115C8">
      <w:pPr>
        <w:spacing w:after="0" w:line="240" w:lineRule="auto"/>
        <w:ind w:firstLine="709"/>
        <w:contextualSpacing/>
        <w:jc w:val="both"/>
        <w:rPr>
          <w:rFonts w:ascii="Times New Roman" w:hAnsi="Times New Roman"/>
          <w:sz w:val="28"/>
          <w:szCs w:val="24"/>
          <w:lang w:eastAsia="ru-RU"/>
        </w:rPr>
      </w:pPr>
      <w:r w:rsidRPr="009115C8">
        <w:rPr>
          <w:rFonts w:ascii="Times New Roman" w:hAnsi="Times New Roman"/>
          <w:sz w:val="28"/>
          <w:szCs w:val="24"/>
          <w:lang w:eastAsia="ru-RU"/>
        </w:rPr>
        <w:t xml:space="preserve">Реализация указанных мероприятий позволит снизить зависимость бюджета </w:t>
      </w:r>
      <w:r>
        <w:rPr>
          <w:rFonts w:ascii="Times New Roman" w:hAnsi="Times New Roman"/>
          <w:sz w:val="28"/>
          <w:szCs w:val="24"/>
          <w:lang w:eastAsia="ru-RU"/>
        </w:rPr>
        <w:t>города от </w:t>
      </w:r>
      <w:r w:rsidRPr="009115C8">
        <w:rPr>
          <w:rFonts w:ascii="Times New Roman" w:hAnsi="Times New Roman"/>
          <w:sz w:val="28"/>
          <w:szCs w:val="24"/>
          <w:lang w:eastAsia="ru-RU"/>
        </w:rPr>
        <w:t>район</w:t>
      </w:r>
      <w:r>
        <w:rPr>
          <w:rFonts w:ascii="Times New Roman" w:hAnsi="Times New Roman"/>
          <w:sz w:val="28"/>
          <w:szCs w:val="24"/>
          <w:lang w:eastAsia="ru-RU"/>
        </w:rPr>
        <w:t>ного и о</w:t>
      </w:r>
      <w:r w:rsidRPr="009115C8">
        <w:rPr>
          <w:rFonts w:ascii="Times New Roman" w:hAnsi="Times New Roman"/>
          <w:sz w:val="28"/>
          <w:szCs w:val="24"/>
          <w:lang w:eastAsia="ru-RU"/>
        </w:rPr>
        <w:t>бластного бюджет</w:t>
      </w:r>
      <w:r>
        <w:rPr>
          <w:rFonts w:ascii="Times New Roman" w:hAnsi="Times New Roman"/>
          <w:sz w:val="28"/>
          <w:szCs w:val="24"/>
          <w:lang w:eastAsia="ru-RU"/>
        </w:rPr>
        <w:t>ов</w:t>
      </w:r>
      <w:r w:rsidRPr="009115C8">
        <w:rPr>
          <w:rFonts w:ascii="Times New Roman" w:hAnsi="Times New Roman"/>
          <w:sz w:val="28"/>
          <w:szCs w:val="24"/>
          <w:lang w:eastAsia="ru-RU"/>
        </w:rPr>
        <w:t xml:space="preserve">, повысить бюджетную обеспеченность населения, позволит использовать часть доходов бюджета для развития </w:t>
      </w:r>
      <w:r>
        <w:rPr>
          <w:rFonts w:ascii="Times New Roman" w:hAnsi="Times New Roman"/>
          <w:sz w:val="28"/>
          <w:szCs w:val="24"/>
          <w:lang w:eastAsia="ru-RU"/>
        </w:rPr>
        <w:t>территории</w:t>
      </w:r>
      <w:r w:rsidRPr="009115C8">
        <w:rPr>
          <w:rFonts w:ascii="Times New Roman" w:hAnsi="Times New Roman"/>
          <w:sz w:val="28"/>
          <w:szCs w:val="24"/>
          <w:lang w:eastAsia="ru-RU"/>
        </w:rPr>
        <w:t>.</w:t>
      </w:r>
    </w:p>
    <w:p w:rsidR="002D1E45" w:rsidRPr="009115C8" w:rsidRDefault="002D1E45" w:rsidP="009115C8">
      <w:pPr>
        <w:spacing w:after="0" w:line="240" w:lineRule="auto"/>
        <w:ind w:firstLine="709"/>
        <w:contextualSpacing/>
        <w:jc w:val="both"/>
        <w:rPr>
          <w:rFonts w:ascii="Times New Roman" w:hAnsi="Times New Roman"/>
          <w:sz w:val="28"/>
          <w:szCs w:val="24"/>
          <w:lang w:eastAsia="ru-RU"/>
        </w:rPr>
      </w:pPr>
      <w:bookmarkStart w:id="235" w:name="_Hlk24107475"/>
      <w:r>
        <w:rPr>
          <w:rFonts w:ascii="Times New Roman" w:hAnsi="Times New Roman"/>
          <w:sz w:val="28"/>
          <w:szCs w:val="24"/>
          <w:lang w:eastAsia="ru-RU"/>
        </w:rPr>
        <w:t>Таким образом, в</w:t>
      </w:r>
      <w:r w:rsidRPr="009115C8">
        <w:rPr>
          <w:rFonts w:ascii="Times New Roman" w:hAnsi="Times New Roman"/>
          <w:sz w:val="28"/>
          <w:szCs w:val="24"/>
          <w:lang w:eastAsia="ru-RU"/>
        </w:rPr>
        <w:t xml:space="preserve"> рамках </w:t>
      </w:r>
      <w:r>
        <w:rPr>
          <w:rFonts w:ascii="Times New Roman" w:hAnsi="Times New Roman"/>
          <w:sz w:val="28"/>
          <w:szCs w:val="24"/>
          <w:lang w:eastAsia="ru-RU"/>
        </w:rPr>
        <w:t>генерального плана и в соответствии со Схемой территориального планирования Куйбышевского района</w:t>
      </w:r>
      <w:r w:rsidRPr="009115C8">
        <w:rPr>
          <w:rFonts w:ascii="Times New Roman" w:hAnsi="Times New Roman"/>
          <w:sz w:val="28"/>
          <w:szCs w:val="24"/>
          <w:lang w:eastAsia="ru-RU"/>
        </w:rPr>
        <w:t xml:space="preserve"> выбран </w:t>
      </w:r>
      <w:r w:rsidRPr="00726643">
        <w:rPr>
          <w:rFonts w:ascii="Times New Roman" w:hAnsi="Times New Roman"/>
          <w:i/>
          <w:sz w:val="28"/>
          <w:szCs w:val="24"/>
          <w:u w:val="single"/>
          <w:lang w:eastAsia="ru-RU"/>
        </w:rPr>
        <w:t>умеренно-оптимистичн</w:t>
      </w:r>
      <w:r>
        <w:rPr>
          <w:rFonts w:ascii="Times New Roman" w:hAnsi="Times New Roman"/>
          <w:i/>
          <w:sz w:val="28"/>
          <w:szCs w:val="24"/>
          <w:u w:val="single"/>
          <w:lang w:eastAsia="ru-RU"/>
        </w:rPr>
        <w:t>ый</w:t>
      </w:r>
      <w:r w:rsidRPr="00532486">
        <w:rPr>
          <w:rFonts w:ascii="Times New Roman" w:hAnsi="Times New Roman"/>
          <w:sz w:val="28"/>
          <w:szCs w:val="24"/>
          <w:lang w:eastAsia="ru-RU"/>
        </w:rPr>
        <w:t xml:space="preserve"> с</w:t>
      </w:r>
      <w:r w:rsidRPr="009115C8">
        <w:rPr>
          <w:rFonts w:ascii="Times New Roman" w:hAnsi="Times New Roman"/>
          <w:sz w:val="28"/>
          <w:szCs w:val="24"/>
          <w:lang w:eastAsia="ru-RU"/>
        </w:rPr>
        <w:t xml:space="preserve">ценарий развития. При этом актуальной задачей демографической политики органов местного самоуправления </w:t>
      </w:r>
      <w:r>
        <w:rPr>
          <w:rFonts w:ascii="Times New Roman" w:hAnsi="Times New Roman"/>
          <w:sz w:val="28"/>
          <w:szCs w:val="24"/>
          <w:lang w:eastAsia="ru-RU"/>
        </w:rPr>
        <w:t>Города Куйбышева</w:t>
      </w:r>
      <w:r w:rsidRPr="009115C8">
        <w:rPr>
          <w:rFonts w:ascii="Times New Roman" w:hAnsi="Times New Roman"/>
          <w:sz w:val="28"/>
          <w:szCs w:val="24"/>
          <w:lang w:eastAsia="ru-RU"/>
        </w:rPr>
        <w:t xml:space="preserve"> является увеличение численности населения территории за</w:t>
      </w:r>
      <w:r>
        <w:rPr>
          <w:rFonts w:ascii="Times New Roman" w:hAnsi="Times New Roman"/>
          <w:sz w:val="28"/>
          <w:szCs w:val="24"/>
          <w:lang w:eastAsia="ru-RU"/>
        </w:rPr>
        <w:t> </w:t>
      </w:r>
      <w:r w:rsidRPr="009115C8">
        <w:rPr>
          <w:rFonts w:ascii="Times New Roman" w:hAnsi="Times New Roman"/>
          <w:sz w:val="28"/>
          <w:szCs w:val="24"/>
          <w:lang w:eastAsia="ru-RU"/>
        </w:rPr>
        <w:t>счёт повышения рождаемости, снижения смертности, увеличения средней продолжительности жизни, а</w:t>
      </w:r>
      <w:r>
        <w:rPr>
          <w:rFonts w:ascii="Times New Roman" w:hAnsi="Times New Roman"/>
          <w:sz w:val="28"/>
          <w:szCs w:val="24"/>
          <w:lang w:eastAsia="ru-RU"/>
        </w:rPr>
        <w:t> </w:t>
      </w:r>
      <w:r w:rsidRPr="009115C8">
        <w:rPr>
          <w:rFonts w:ascii="Times New Roman" w:hAnsi="Times New Roman"/>
          <w:sz w:val="28"/>
          <w:szCs w:val="24"/>
          <w:lang w:eastAsia="ru-RU"/>
        </w:rPr>
        <w:t>также за</w:t>
      </w:r>
      <w:r>
        <w:rPr>
          <w:rFonts w:ascii="Times New Roman" w:hAnsi="Times New Roman"/>
          <w:sz w:val="28"/>
          <w:szCs w:val="24"/>
          <w:lang w:eastAsia="ru-RU"/>
        </w:rPr>
        <w:t> </w:t>
      </w:r>
      <w:r w:rsidRPr="009115C8">
        <w:rPr>
          <w:rFonts w:ascii="Times New Roman" w:hAnsi="Times New Roman"/>
          <w:sz w:val="28"/>
          <w:szCs w:val="24"/>
          <w:lang w:eastAsia="ru-RU"/>
        </w:rPr>
        <w:t>счёт развития рынка труда на</w:t>
      </w:r>
      <w:r>
        <w:rPr>
          <w:rFonts w:ascii="Times New Roman" w:hAnsi="Times New Roman"/>
          <w:sz w:val="28"/>
          <w:szCs w:val="24"/>
          <w:lang w:eastAsia="ru-RU"/>
        </w:rPr>
        <w:t> </w:t>
      </w:r>
      <w:r w:rsidRPr="009115C8">
        <w:rPr>
          <w:rFonts w:ascii="Times New Roman" w:hAnsi="Times New Roman"/>
          <w:sz w:val="28"/>
          <w:szCs w:val="24"/>
          <w:lang w:eastAsia="ru-RU"/>
        </w:rPr>
        <w:t>основе баланса интересов работодателей и</w:t>
      </w:r>
      <w:r>
        <w:rPr>
          <w:rFonts w:ascii="Times New Roman" w:hAnsi="Times New Roman"/>
          <w:sz w:val="28"/>
          <w:szCs w:val="24"/>
          <w:lang w:eastAsia="ru-RU"/>
        </w:rPr>
        <w:t> </w:t>
      </w:r>
      <w:r w:rsidRPr="009115C8">
        <w:rPr>
          <w:rFonts w:ascii="Times New Roman" w:hAnsi="Times New Roman"/>
          <w:sz w:val="28"/>
          <w:szCs w:val="24"/>
          <w:lang w:eastAsia="ru-RU"/>
        </w:rPr>
        <w:t>работников, максимального обеспечения занятости трудоспособного населения, привлечения квалифицированных кадров на</w:t>
      </w:r>
      <w:r>
        <w:rPr>
          <w:rFonts w:ascii="Times New Roman" w:hAnsi="Times New Roman"/>
          <w:sz w:val="28"/>
          <w:szCs w:val="24"/>
          <w:lang w:eastAsia="ru-RU"/>
        </w:rPr>
        <w:t> </w:t>
      </w:r>
      <w:r w:rsidRPr="009115C8">
        <w:rPr>
          <w:rFonts w:ascii="Times New Roman" w:hAnsi="Times New Roman"/>
          <w:sz w:val="28"/>
          <w:szCs w:val="24"/>
          <w:lang w:eastAsia="ru-RU"/>
        </w:rPr>
        <w:t>территорию района.</w:t>
      </w:r>
    </w:p>
    <w:bookmarkEnd w:id="235"/>
    <w:p w:rsidR="002D1E45" w:rsidRPr="009115C8" w:rsidRDefault="002D1E45" w:rsidP="009115C8">
      <w:pPr>
        <w:spacing w:after="0" w:line="240" w:lineRule="auto"/>
        <w:ind w:firstLine="709"/>
        <w:contextualSpacing/>
        <w:jc w:val="both"/>
        <w:rPr>
          <w:rFonts w:ascii="Times New Roman" w:hAnsi="Times New Roman"/>
          <w:sz w:val="28"/>
          <w:szCs w:val="24"/>
          <w:lang w:eastAsia="ru-RU"/>
        </w:rPr>
      </w:pPr>
      <w:r w:rsidRPr="009115C8">
        <w:rPr>
          <w:rFonts w:ascii="Times New Roman" w:hAnsi="Times New Roman"/>
          <w:sz w:val="28"/>
          <w:szCs w:val="24"/>
          <w:lang w:eastAsia="ru-RU"/>
        </w:rPr>
        <w:t>Очевидно, что решение поставленной задачи должно осуществляться комплексными методами: от</w:t>
      </w:r>
      <w:r>
        <w:rPr>
          <w:rFonts w:ascii="Times New Roman" w:hAnsi="Times New Roman"/>
          <w:sz w:val="28"/>
          <w:szCs w:val="24"/>
          <w:lang w:eastAsia="ru-RU"/>
        </w:rPr>
        <w:t> </w:t>
      </w:r>
      <w:r w:rsidRPr="009115C8">
        <w:rPr>
          <w:rFonts w:ascii="Times New Roman" w:hAnsi="Times New Roman"/>
          <w:sz w:val="28"/>
          <w:szCs w:val="24"/>
          <w:lang w:eastAsia="ru-RU"/>
        </w:rPr>
        <w:t>конкретных программных мероприятий органов местного самоуправления района по</w:t>
      </w:r>
      <w:r>
        <w:rPr>
          <w:rFonts w:ascii="Times New Roman" w:hAnsi="Times New Roman"/>
          <w:sz w:val="28"/>
          <w:szCs w:val="24"/>
          <w:lang w:eastAsia="ru-RU"/>
        </w:rPr>
        <w:t> </w:t>
      </w:r>
      <w:r w:rsidRPr="009115C8">
        <w:rPr>
          <w:rFonts w:ascii="Times New Roman" w:hAnsi="Times New Roman"/>
          <w:sz w:val="28"/>
          <w:szCs w:val="24"/>
          <w:lang w:eastAsia="ru-RU"/>
        </w:rPr>
        <w:t>стабилизации естественного прироста до</w:t>
      </w:r>
      <w:r>
        <w:rPr>
          <w:rFonts w:ascii="Times New Roman" w:hAnsi="Times New Roman"/>
          <w:sz w:val="28"/>
          <w:szCs w:val="24"/>
          <w:lang w:eastAsia="ru-RU"/>
        </w:rPr>
        <w:t> </w:t>
      </w:r>
      <w:r w:rsidRPr="009115C8">
        <w:rPr>
          <w:rFonts w:ascii="Times New Roman" w:hAnsi="Times New Roman"/>
          <w:sz w:val="28"/>
          <w:szCs w:val="24"/>
          <w:lang w:eastAsia="ru-RU"/>
        </w:rPr>
        <w:t>создания условий для уменьшения оттока трудоспособного населения за</w:t>
      </w:r>
      <w:r>
        <w:rPr>
          <w:rFonts w:ascii="Times New Roman" w:hAnsi="Times New Roman"/>
          <w:sz w:val="28"/>
          <w:szCs w:val="24"/>
          <w:lang w:eastAsia="ru-RU"/>
        </w:rPr>
        <w:t> </w:t>
      </w:r>
      <w:r w:rsidRPr="009115C8">
        <w:rPr>
          <w:rFonts w:ascii="Times New Roman" w:hAnsi="Times New Roman"/>
          <w:sz w:val="28"/>
          <w:szCs w:val="24"/>
          <w:lang w:eastAsia="ru-RU"/>
        </w:rPr>
        <w:t>счёт проведения эффективной политики занятости.</w:t>
      </w:r>
    </w:p>
    <w:p w:rsidR="002D1E45" w:rsidRPr="009115C8" w:rsidRDefault="002D1E45" w:rsidP="009115C8">
      <w:pPr>
        <w:spacing w:after="0" w:line="240" w:lineRule="auto"/>
        <w:ind w:firstLine="709"/>
        <w:contextualSpacing/>
        <w:jc w:val="both"/>
        <w:rPr>
          <w:rFonts w:ascii="Times New Roman" w:hAnsi="Times New Roman"/>
          <w:sz w:val="28"/>
          <w:szCs w:val="24"/>
          <w:lang w:eastAsia="ru-RU"/>
        </w:rPr>
      </w:pPr>
      <w:r w:rsidRPr="009115C8">
        <w:rPr>
          <w:rFonts w:ascii="Times New Roman" w:hAnsi="Times New Roman"/>
          <w:sz w:val="28"/>
          <w:szCs w:val="24"/>
          <w:lang w:eastAsia="ru-RU"/>
        </w:rPr>
        <w:t>Основными проектами на</w:t>
      </w:r>
      <w:r>
        <w:rPr>
          <w:rFonts w:ascii="Times New Roman" w:hAnsi="Times New Roman"/>
          <w:sz w:val="28"/>
          <w:szCs w:val="24"/>
          <w:lang w:eastAsia="ru-RU"/>
        </w:rPr>
        <w:t> </w:t>
      </w:r>
      <w:r w:rsidRPr="009115C8">
        <w:rPr>
          <w:rFonts w:ascii="Times New Roman" w:hAnsi="Times New Roman"/>
          <w:sz w:val="28"/>
          <w:szCs w:val="24"/>
          <w:lang w:eastAsia="ru-RU"/>
        </w:rPr>
        <w:t>ближайшую перспективу по</w:t>
      </w:r>
      <w:r>
        <w:rPr>
          <w:rFonts w:ascii="Times New Roman" w:hAnsi="Times New Roman"/>
          <w:sz w:val="28"/>
          <w:szCs w:val="24"/>
          <w:lang w:eastAsia="ru-RU"/>
        </w:rPr>
        <w:t> </w:t>
      </w:r>
      <w:r w:rsidRPr="009115C8">
        <w:rPr>
          <w:rFonts w:ascii="Times New Roman" w:hAnsi="Times New Roman"/>
          <w:sz w:val="28"/>
          <w:szCs w:val="24"/>
          <w:lang w:eastAsia="ru-RU"/>
        </w:rPr>
        <w:t>реализации эффективной демографической политики будет являться дополнительные меры, направленные на</w:t>
      </w:r>
      <w:r>
        <w:rPr>
          <w:rFonts w:ascii="Times New Roman" w:hAnsi="Times New Roman"/>
          <w:sz w:val="28"/>
          <w:szCs w:val="24"/>
          <w:lang w:eastAsia="ru-RU"/>
        </w:rPr>
        <w:t> </w:t>
      </w:r>
      <w:r w:rsidRPr="009115C8">
        <w:rPr>
          <w:rFonts w:ascii="Times New Roman" w:hAnsi="Times New Roman"/>
          <w:sz w:val="28"/>
          <w:szCs w:val="24"/>
          <w:lang w:eastAsia="ru-RU"/>
        </w:rPr>
        <w:t>поддержку граждан, переехавших или изъявивших желание переехать на</w:t>
      </w:r>
      <w:r>
        <w:rPr>
          <w:rFonts w:ascii="Times New Roman" w:hAnsi="Times New Roman"/>
          <w:sz w:val="28"/>
          <w:szCs w:val="24"/>
          <w:lang w:eastAsia="ru-RU"/>
        </w:rPr>
        <w:t> </w:t>
      </w:r>
      <w:r w:rsidRPr="009115C8">
        <w:rPr>
          <w:rFonts w:ascii="Times New Roman" w:hAnsi="Times New Roman"/>
          <w:sz w:val="28"/>
          <w:szCs w:val="24"/>
          <w:lang w:eastAsia="ru-RU"/>
        </w:rPr>
        <w:t>постоянное место жительства в</w:t>
      </w:r>
      <w:r>
        <w:rPr>
          <w:rFonts w:ascii="Times New Roman" w:hAnsi="Times New Roman"/>
          <w:sz w:val="28"/>
          <w:szCs w:val="24"/>
          <w:lang w:eastAsia="ru-RU"/>
        </w:rPr>
        <w:t> Новосибирскую область</w:t>
      </w:r>
      <w:r w:rsidRPr="009115C8">
        <w:rPr>
          <w:rFonts w:ascii="Times New Roman" w:hAnsi="Times New Roman"/>
          <w:sz w:val="28"/>
          <w:szCs w:val="24"/>
          <w:lang w:eastAsia="ru-RU"/>
        </w:rPr>
        <w:t>, включая предоставление грантов выпускникам образовательных организаций начального, среднего и</w:t>
      </w:r>
      <w:r>
        <w:rPr>
          <w:rFonts w:ascii="Times New Roman" w:hAnsi="Times New Roman"/>
          <w:sz w:val="28"/>
          <w:szCs w:val="24"/>
          <w:lang w:eastAsia="ru-RU"/>
        </w:rPr>
        <w:t> </w:t>
      </w:r>
      <w:r w:rsidRPr="009115C8">
        <w:rPr>
          <w:rFonts w:ascii="Times New Roman" w:hAnsi="Times New Roman"/>
          <w:sz w:val="28"/>
          <w:szCs w:val="24"/>
          <w:lang w:eastAsia="ru-RU"/>
        </w:rPr>
        <w:t>высшего профессионального образования.</w:t>
      </w:r>
    </w:p>
    <w:p w:rsidR="002D1E45" w:rsidRPr="009115C8" w:rsidRDefault="002D1E45" w:rsidP="009115C8">
      <w:pPr>
        <w:spacing w:after="0" w:line="240" w:lineRule="auto"/>
        <w:ind w:firstLine="709"/>
        <w:contextualSpacing/>
        <w:jc w:val="both"/>
        <w:rPr>
          <w:rFonts w:ascii="Times New Roman" w:hAnsi="Times New Roman"/>
          <w:sz w:val="28"/>
          <w:szCs w:val="24"/>
          <w:lang w:eastAsia="ru-RU"/>
        </w:rPr>
      </w:pPr>
      <w:r w:rsidRPr="009115C8">
        <w:rPr>
          <w:rFonts w:ascii="Times New Roman" w:hAnsi="Times New Roman"/>
          <w:sz w:val="28"/>
          <w:szCs w:val="24"/>
          <w:lang w:eastAsia="ru-RU"/>
        </w:rPr>
        <w:t>Направлениями деятельности органов местного самоуправления по</w:t>
      </w:r>
      <w:r>
        <w:rPr>
          <w:rFonts w:ascii="Times New Roman" w:hAnsi="Times New Roman"/>
          <w:sz w:val="28"/>
          <w:szCs w:val="24"/>
          <w:lang w:eastAsia="ru-RU"/>
        </w:rPr>
        <w:t> </w:t>
      </w:r>
      <w:r w:rsidRPr="009115C8">
        <w:rPr>
          <w:rFonts w:ascii="Times New Roman" w:hAnsi="Times New Roman"/>
          <w:sz w:val="28"/>
          <w:szCs w:val="24"/>
          <w:lang w:eastAsia="ru-RU"/>
        </w:rPr>
        <w:t>решению основной задачи демографической политики являются на</w:t>
      </w:r>
      <w:r>
        <w:rPr>
          <w:rFonts w:ascii="Times New Roman" w:hAnsi="Times New Roman"/>
          <w:sz w:val="28"/>
          <w:szCs w:val="24"/>
          <w:lang w:eastAsia="ru-RU"/>
        </w:rPr>
        <w:t> </w:t>
      </w:r>
      <w:r w:rsidRPr="009115C8">
        <w:rPr>
          <w:rFonts w:ascii="Times New Roman" w:hAnsi="Times New Roman"/>
          <w:sz w:val="28"/>
          <w:szCs w:val="24"/>
          <w:lang w:eastAsia="ru-RU"/>
        </w:rPr>
        <w:t>весь срок реализации Стратегии:</w:t>
      </w:r>
    </w:p>
    <w:p w:rsidR="002D1E45" w:rsidRPr="009115C8" w:rsidRDefault="002D1E45" w:rsidP="009115C8">
      <w:pPr>
        <w:numPr>
          <w:ilvl w:val="0"/>
          <w:numId w:val="24"/>
        </w:numPr>
        <w:spacing w:after="0" w:line="240" w:lineRule="auto"/>
        <w:jc w:val="both"/>
        <w:rPr>
          <w:rFonts w:ascii="Times New Roman" w:hAnsi="Times New Roman"/>
          <w:sz w:val="28"/>
          <w:szCs w:val="28"/>
        </w:rPr>
      </w:pPr>
      <w:r w:rsidRPr="009115C8">
        <w:rPr>
          <w:rFonts w:ascii="Times New Roman" w:hAnsi="Times New Roman"/>
          <w:sz w:val="28"/>
          <w:szCs w:val="28"/>
        </w:rPr>
        <w:t>мониторинг факторов влияния на</w:t>
      </w:r>
      <w:r>
        <w:rPr>
          <w:rFonts w:ascii="Times New Roman" w:hAnsi="Times New Roman"/>
          <w:sz w:val="28"/>
          <w:szCs w:val="28"/>
        </w:rPr>
        <w:t> </w:t>
      </w:r>
      <w:r w:rsidRPr="009115C8">
        <w:rPr>
          <w:rFonts w:ascii="Times New Roman" w:hAnsi="Times New Roman"/>
          <w:sz w:val="28"/>
          <w:szCs w:val="28"/>
        </w:rPr>
        <w:t>процессы миграции;</w:t>
      </w:r>
    </w:p>
    <w:p w:rsidR="002D1E45" w:rsidRPr="009115C8" w:rsidRDefault="002D1E45" w:rsidP="009115C8">
      <w:pPr>
        <w:numPr>
          <w:ilvl w:val="0"/>
          <w:numId w:val="24"/>
        </w:numPr>
        <w:spacing w:after="0" w:line="240" w:lineRule="auto"/>
        <w:jc w:val="both"/>
        <w:rPr>
          <w:rFonts w:ascii="Times New Roman" w:hAnsi="Times New Roman"/>
          <w:sz w:val="28"/>
          <w:szCs w:val="28"/>
        </w:rPr>
      </w:pPr>
      <w:r w:rsidRPr="009115C8">
        <w:rPr>
          <w:rFonts w:ascii="Times New Roman" w:hAnsi="Times New Roman"/>
          <w:sz w:val="28"/>
          <w:szCs w:val="28"/>
        </w:rPr>
        <w:t>организация работы по</w:t>
      </w:r>
      <w:r>
        <w:rPr>
          <w:rFonts w:ascii="Times New Roman" w:hAnsi="Times New Roman"/>
          <w:sz w:val="28"/>
          <w:szCs w:val="28"/>
        </w:rPr>
        <w:t> </w:t>
      </w:r>
      <w:r w:rsidRPr="009115C8">
        <w:rPr>
          <w:rFonts w:ascii="Times New Roman" w:hAnsi="Times New Roman"/>
          <w:sz w:val="28"/>
          <w:szCs w:val="28"/>
        </w:rPr>
        <w:t>подготовке и</w:t>
      </w:r>
      <w:r>
        <w:rPr>
          <w:rFonts w:ascii="Times New Roman" w:hAnsi="Times New Roman"/>
          <w:sz w:val="28"/>
          <w:szCs w:val="28"/>
        </w:rPr>
        <w:t> </w:t>
      </w:r>
      <w:r w:rsidRPr="009115C8">
        <w:rPr>
          <w:rFonts w:ascii="Times New Roman" w:hAnsi="Times New Roman"/>
          <w:sz w:val="28"/>
          <w:szCs w:val="28"/>
        </w:rPr>
        <w:t>переподготовке кадров рабочих профессий по</w:t>
      </w:r>
      <w:r>
        <w:rPr>
          <w:rFonts w:ascii="Times New Roman" w:hAnsi="Times New Roman"/>
          <w:sz w:val="28"/>
          <w:szCs w:val="28"/>
        </w:rPr>
        <w:t> </w:t>
      </w:r>
      <w:r w:rsidRPr="009115C8">
        <w:rPr>
          <w:rFonts w:ascii="Times New Roman" w:hAnsi="Times New Roman"/>
          <w:sz w:val="28"/>
          <w:szCs w:val="28"/>
        </w:rPr>
        <w:t>запросам работодателей;</w:t>
      </w:r>
    </w:p>
    <w:p w:rsidR="002D1E45" w:rsidRPr="009115C8" w:rsidRDefault="002D1E45" w:rsidP="009115C8">
      <w:pPr>
        <w:numPr>
          <w:ilvl w:val="0"/>
          <w:numId w:val="24"/>
        </w:numPr>
        <w:spacing w:after="0" w:line="240" w:lineRule="auto"/>
        <w:jc w:val="both"/>
        <w:rPr>
          <w:rFonts w:ascii="Times New Roman" w:hAnsi="Times New Roman"/>
          <w:sz w:val="28"/>
          <w:szCs w:val="28"/>
        </w:rPr>
      </w:pPr>
      <w:r w:rsidRPr="009115C8">
        <w:rPr>
          <w:rFonts w:ascii="Times New Roman" w:hAnsi="Times New Roman"/>
          <w:sz w:val="28"/>
          <w:szCs w:val="28"/>
        </w:rPr>
        <w:t>мониторинг показателей уровня жизни населения;</w:t>
      </w:r>
    </w:p>
    <w:p w:rsidR="002D1E45" w:rsidRPr="009115C8" w:rsidRDefault="002D1E45" w:rsidP="009115C8">
      <w:pPr>
        <w:numPr>
          <w:ilvl w:val="0"/>
          <w:numId w:val="24"/>
        </w:numPr>
        <w:spacing w:after="0" w:line="240" w:lineRule="auto"/>
        <w:jc w:val="both"/>
        <w:rPr>
          <w:rFonts w:ascii="Times New Roman" w:hAnsi="Times New Roman"/>
          <w:sz w:val="28"/>
          <w:szCs w:val="28"/>
        </w:rPr>
      </w:pPr>
      <w:r w:rsidRPr="009115C8">
        <w:rPr>
          <w:rFonts w:ascii="Times New Roman" w:hAnsi="Times New Roman"/>
          <w:sz w:val="28"/>
          <w:szCs w:val="28"/>
        </w:rPr>
        <w:t xml:space="preserve">формирование комплексных программно-целевых документов </w:t>
      </w:r>
      <w:r>
        <w:rPr>
          <w:rFonts w:ascii="Times New Roman" w:hAnsi="Times New Roman"/>
          <w:sz w:val="28"/>
          <w:szCs w:val="28"/>
        </w:rPr>
        <w:t>города Куйбышева</w:t>
      </w:r>
      <w:r w:rsidRPr="009115C8">
        <w:rPr>
          <w:rFonts w:ascii="Times New Roman" w:hAnsi="Times New Roman"/>
          <w:sz w:val="28"/>
          <w:szCs w:val="28"/>
        </w:rPr>
        <w:t xml:space="preserve"> по</w:t>
      </w:r>
      <w:r>
        <w:rPr>
          <w:rFonts w:ascii="Times New Roman" w:hAnsi="Times New Roman"/>
          <w:sz w:val="28"/>
          <w:szCs w:val="28"/>
        </w:rPr>
        <w:t> </w:t>
      </w:r>
      <w:r w:rsidRPr="009115C8">
        <w:rPr>
          <w:rFonts w:ascii="Times New Roman" w:hAnsi="Times New Roman"/>
          <w:sz w:val="28"/>
          <w:szCs w:val="28"/>
        </w:rPr>
        <w:t>поддержке занятости населения;</w:t>
      </w:r>
    </w:p>
    <w:p w:rsidR="002D1E45" w:rsidRPr="009115C8" w:rsidRDefault="002D1E45" w:rsidP="009115C8">
      <w:pPr>
        <w:numPr>
          <w:ilvl w:val="0"/>
          <w:numId w:val="24"/>
        </w:numPr>
        <w:spacing w:after="0" w:line="240" w:lineRule="auto"/>
        <w:jc w:val="both"/>
        <w:rPr>
          <w:rFonts w:ascii="Times New Roman" w:hAnsi="Times New Roman"/>
          <w:sz w:val="28"/>
          <w:szCs w:val="28"/>
        </w:rPr>
      </w:pPr>
      <w:r w:rsidRPr="009115C8">
        <w:rPr>
          <w:rFonts w:ascii="Times New Roman" w:hAnsi="Times New Roman"/>
          <w:sz w:val="28"/>
          <w:szCs w:val="28"/>
        </w:rPr>
        <w:t>создание условий для изменения структуры занятости в</w:t>
      </w:r>
      <w:r>
        <w:rPr>
          <w:rFonts w:ascii="Times New Roman" w:hAnsi="Times New Roman"/>
          <w:sz w:val="28"/>
          <w:szCs w:val="28"/>
        </w:rPr>
        <w:t> </w:t>
      </w:r>
      <w:r w:rsidRPr="009115C8">
        <w:rPr>
          <w:rFonts w:ascii="Times New Roman" w:hAnsi="Times New Roman"/>
          <w:sz w:val="28"/>
          <w:szCs w:val="28"/>
        </w:rPr>
        <w:t>сторону сервисной экономики, развития деловых и</w:t>
      </w:r>
      <w:r>
        <w:rPr>
          <w:rFonts w:ascii="Times New Roman" w:hAnsi="Times New Roman"/>
          <w:sz w:val="28"/>
          <w:szCs w:val="28"/>
        </w:rPr>
        <w:t> </w:t>
      </w:r>
      <w:r w:rsidRPr="009115C8">
        <w:rPr>
          <w:rFonts w:ascii="Times New Roman" w:hAnsi="Times New Roman"/>
          <w:sz w:val="28"/>
          <w:szCs w:val="28"/>
        </w:rPr>
        <w:t>потребительских услуг, самозанятости населения;</w:t>
      </w:r>
    </w:p>
    <w:p w:rsidR="002D1E45" w:rsidRPr="009115C8" w:rsidRDefault="002D1E45" w:rsidP="009115C8">
      <w:pPr>
        <w:numPr>
          <w:ilvl w:val="0"/>
          <w:numId w:val="24"/>
        </w:numPr>
        <w:spacing w:after="0" w:line="240" w:lineRule="auto"/>
        <w:jc w:val="both"/>
        <w:rPr>
          <w:rFonts w:ascii="Times New Roman" w:hAnsi="Times New Roman"/>
          <w:sz w:val="28"/>
          <w:szCs w:val="28"/>
        </w:rPr>
      </w:pPr>
      <w:r w:rsidRPr="009115C8">
        <w:rPr>
          <w:rFonts w:ascii="Times New Roman" w:hAnsi="Times New Roman"/>
          <w:sz w:val="28"/>
          <w:szCs w:val="28"/>
        </w:rPr>
        <w:t>образование единой информационной базы о</w:t>
      </w:r>
      <w:r>
        <w:rPr>
          <w:rFonts w:ascii="Times New Roman" w:hAnsi="Times New Roman"/>
          <w:sz w:val="28"/>
          <w:szCs w:val="28"/>
        </w:rPr>
        <w:t> </w:t>
      </w:r>
      <w:r w:rsidRPr="009115C8">
        <w:rPr>
          <w:rFonts w:ascii="Times New Roman" w:hAnsi="Times New Roman"/>
          <w:sz w:val="28"/>
          <w:szCs w:val="28"/>
        </w:rPr>
        <w:t>состоянии рынка труда в</w:t>
      </w:r>
      <w:r>
        <w:rPr>
          <w:rFonts w:ascii="Times New Roman" w:hAnsi="Times New Roman"/>
          <w:sz w:val="28"/>
          <w:szCs w:val="28"/>
        </w:rPr>
        <w:t> </w:t>
      </w:r>
      <w:r w:rsidRPr="009115C8">
        <w:rPr>
          <w:rFonts w:ascii="Times New Roman" w:hAnsi="Times New Roman"/>
          <w:sz w:val="28"/>
          <w:szCs w:val="28"/>
        </w:rPr>
        <w:t xml:space="preserve">границах муниципального района </w:t>
      </w:r>
      <w:r>
        <w:rPr>
          <w:rFonts w:ascii="Times New Roman" w:hAnsi="Times New Roman"/>
          <w:sz w:val="28"/>
          <w:szCs w:val="28"/>
        </w:rPr>
        <w:t xml:space="preserve">в целом </w:t>
      </w:r>
      <w:r w:rsidRPr="009115C8">
        <w:rPr>
          <w:rFonts w:ascii="Times New Roman" w:hAnsi="Times New Roman"/>
          <w:sz w:val="28"/>
          <w:szCs w:val="28"/>
        </w:rPr>
        <w:t>для создания возможностей перераспределения трудовых ресурсов;</w:t>
      </w:r>
    </w:p>
    <w:p w:rsidR="002D1E45" w:rsidRPr="009115C8" w:rsidRDefault="002D1E45" w:rsidP="009115C8">
      <w:pPr>
        <w:numPr>
          <w:ilvl w:val="0"/>
          <w:numId w:val="24"/>
        </w:numPr>
        <w:spacing w:after="0" w:line="240" w:lineRule="auto"/>
        <w:jc w:val="both"/>
        <w:rPr>
          <w:rFonts w:ascii="Times New Roman" w:hAnsi="Times New Roman"/>
          <w:sz w:val="28"/>
          <w:szCs w:val="28"/>
        </w:rPr>
      </w:pPr>
      <w:r w:rsidRPr="009115C8">
        <w:rPr>
          <w:rFonts w:ascii="Times New Roman" w:hAnsi="Times New Roman"/>
          <w:sz w:val="28"/>
          <w:szCs w:val="28"/>
        </w:rPr>
        <w:t>совершенствование форм сотрудничества с</w:t>
      </w:r>
      <w:r>
        <w:rPr>
          <w:rFonts w:ascii="Times New Roman" w:hAnsi="Times New Roman"/>
          <w:sz w:val="28"/>
          <w:szCs w:val="28"/>
        </w:rPr>
        <w:t> </w:t>
      </w:r>
      <w:r w:rsidRPr="009115C8">
        <w:rPr>
          <w:rFonts w:ascii="Times New Roman" w:hAnsi="Times New Roman"/>
          <w:sz w:val="28"/>
          <w:szCs w:val="28"/>
        </w:rPr>
        <w:t>работодателями и</w:t>
      </w:r>
      <w:r>
        <w:rPr>
          <w:rFonts w:ascii="Times New Roman" w:hAnsi="Times New Roman"/>
          <w:sz w:val="28"/>
          <w:szCs w:val="28"/>
        </w:rPr>
        <w:t> </w:t>
      </w:r>
      <w:r w:rsidRPr="009115C8">
        <w:rPr>
          <w:rFonts w:ascii="Times New Roman" w:hAnsi="Times New Roman"/>
          <w:sz w:val="28"/>
          <w:szCs w:val="28"/>
        </w:rPr>
        <w:t>содействие внедрению более эффективных способов трудоустройства;</w:t>
      </w:r>
    </w:p>
    <w:p w:rsidR="002D1E45" w:rsidRPr="009115C8" w:rsidRDefault="002D1E45" w:rsidP="009115C8">
      <w:pPr>
        <w:numPr>
          <w:ilvl w:val="0"/>
          <w:numId w:val="24"/>
        </w:numPr>
        <w:spacing w:after="0" w:line="240" w:lineRule="auto"/>
        <w:jc w:val="both"/>
        <w:rPr>
          <w:rFonts w:ascii="Times New Roman" w:hAnsi="Times New Roman"/>
          <w:sz w:val="28"/>
          <w:szCs w:val="28"/>
        </w:rPr>
      </w:pPr>
      <w:r w:rsidRPr="009115C8">
        <w:rPr>
          <w:rFonts w:ascii="Times New Roman" w:hAnsi="Times New Roman"/>
          <w:sz w:val="28"/>
          <w:szCs w:val="28"/>
        </w:rPr>
        <w:t>участие в</w:t>
      </w:r>
      <w:r>
        <w:rPr>
          <w:rFonts w:ascii="Times New Roman" w:hAnsi="Times New Roman"/>
          <w:sz w:val="28"/>
          <w:szCs w:val="28"/>
        </w:rPr>
        <w:t> </w:t>
      </w:r>
      <w:r w:rsidRPr="009115C8">
        <w:rPr>
          <w:rFonts w:ascii="Times New Roman" w:hAnsi="Times New Roman"/>
          <w:sz w:val="28"/>
          <w:szCs w:val="28"/>
        </w:rPr>
        <w:t>развитии системы подготовки необходимых квалифицированных кадровых ресурсов (трудовое обучение в</w:t>
      </w:r>
      <w:r>
        <w:rPr>
          <w:rFonts w:ascii="Times New Roman" w:hAnsi="Times New Roman"/>
          <w:sz w:val="28"/>
          <w:szCs w:val="28"/>
        </w:rPr>
        <w:t> </w:t>
      </w:r>
      <w:r w:rsidRPr="009115C8">
        <w:rPr>
          <w:rFonts w:ascii="Times New Roman" w:hAnsi="Times New Roman"/>
          <w:sz w:val="28"/>
          <w:szCs w:val="28"/>
        </w:rPr>
        <w:t>школах, совершенствование системы профориентации).</w:t>
      </w:r>
    </w:p>
    <w:p w:rsidR="002D1E45" w:rsidRPr="009115C8" w:rsidRDefault="002D1E45" w:rsidP="009115C8">
      <w:pPr>
        <w:spacing w:after="0" w:line="240" w:lineRule="auto"/>
        <w:ind w:firstLine="709"/>
        <w:contextualSpacing/>
        <w:jc w:val="both"/>
        <w:rPr>
          <w:rFonts w:ascii="Times New Roman" w:hAnsi="Times New Roman"/>
          <w:sz w:val="28"/>
          <w:szCs w:val="24"/>
          <w:lang w:eastAsia="ru-RU"/>
        </w:rPr>
      </w:pPr>
      <w:r w:rsidRPr="009115C8">
        <w:rPr>
          <w:rFonts w:ascii="Times New Roman" w:hAnsi="Times New Roman"/>
          <w:sz w:val="28"/>
          <w:szCs w:val="24"/>
          <w:lang w:eastAsia="ru-RU"/>
        </w:rPr>
        <w:t>Прогноз численности населения был выполнен в</w:t>
      </w:r>
      <w:r>
        <w:rPr>
          <w:rFonts w:ascii="Times New Roman" w:hAnsi="Times New Roman"/>
          <w:sz w:val="28"/>
          <w:szCs w:val="24"/>
          <w:lang w:eastAsia="ru-RU"/>
        </w:rPr>
        <w:t> </w:t>
      </w:r>
      <w:r w:rsidRPr="009115C8">
        <w:rPr>
          <w:rFonts w:ascii="Times New Roman" w:hAnsi="Times New Roman"/>
          <w:sz w:val="28"/>
          <w:szCs w:val="24"/>
          <w:lang w:eastAsia="ru-RU"/>
        </w:rPr>
        <w:t>несколько этапов. Первоначально анализ действующих документов территориального планирования всех уровней, а</w:t>
      </w:r>
      <w:r>
        <w:rPr>
          <w:rFonts w:ascii="Times New Roman" w:hAnsi="Times New Roman"/>
          <w:sz w:val="28"/>
          <w:szCs w:val="24"/>
          <w:lang w:eastAsia="ru-RU"/>
        </w:rPr>
        <w:t> </w:t>
      </w:r>
      <w:r w:rsidRPr="009115C8">
        <w:rPr>
          <w:rFonts w:ascii="Times New Roman" w:hAnsi="Times New Roman"/>
          <w:sz w:val="28"/>
          <w:szCs w:val="24"/>
          <w:lang w:eastAsia="ru-RU"/>
        </w:rPr>
        <w:t>именно прогнозируемых в</w:t>
      </w:r>
      <w:r>
        <w:rPr>
          <w:rFonts w:ascii="Times New Roman" w:hAnsi="Times New Roman"/>
          <w:sz w:val="28"/>
          <w:szCs w:val="24"/>
          <w:lang w:eastAsia="ru-RU"/>
        </w:rPr>
        <w:t> </w:t>
      </w:r>
      <w:r w:rsidRPr="009115C8">
        <w:rPr>
          <w:rFonts w:ascii="Times New Roman" w:hAnsi="Times New Roman"/>
          <w:sz w:val="28"/>
          <w:szCs w:val="24"/>
          <w:lang w:eastAsia="ru-RU"/>
        </w:rPr>
        <w:t>них показателей естественного и</w:t>
      </w:r>
      <w:r>
        <w:rPr>
          <w:rFonts w:ascii="Times New Roman" w:hAnsi="Times New Roman"/>
          <w:sz w:val="28"/>
          <w:szCs w:val="24"/>
          <w:lang w:eastAsia="ru-RU"/>
        </w:rPr>
        <w:t> </w:t>
      </w:r>
      <w:r w:rsidRPr="009115C8">
        <w:rPr>
          <w:rFonts w:ascii="Times New Roman" w:hAnsi="Times New Roman"/>
          <w:sz w:val="28"/>
          <w:szCs w:val="24"/>
          <w:lang w:eastAsia="ru-RU"/>
        </w:rPr>
        <w:t>механического прироста и</w:t>
      </w:r>
      <w:r>
        <w:rPr>
          <w:rFonts w:ascii="Times New Roman" w:hAnsi="Times New Roman"/>
          <w:sz w:val="28"/>
          <w:szCs w:val="24"/>
          <w:lang w:eastAsia="ru-RU"/>
        </w:rPr>
        <w:t> </w:t>
      </w:r>
      <w:r w:rsidRPr="009115C8">
        <w:rPr>
          <w:rFonts w:ascii="Times New Roman" w:hAnsi="Times New Roman"/>
          <w:sz w:val="28"/>
          <w:szCs w:val="24"/>
          <w:lang w:eastAsia="ru-RU"/>
        </w:rPr>
        <w:t>ожидаемой при этом численности постоянного населения (темпа роста), позволил в</w:t>
      </w:r>
      <w:r>
        <w:rPr>
          <w:rFonts w:ascii="Times New Roman" w:hAnsi="Times New Roman"/>
          <w:sz w:val="28"/>
          <w:szCs w:val="24"/>
          <w:lang w:eastAsia="ru-RU"/>
        </w:rPr>
        <w:t> </w:t>
      </w:r>
      <w:r w:rsidRPr="009115C8">
        <w:rPr>
          <w:rFonts w:ascii="Times New Roman" w:hAnsi="Times New Roman"/>
          <w:sz w:val="28"/>
          <w:szCs w:val="24"/>
          <w:lang w:eastAsia="ru-RU"/>
        </w:rPr>
        <w:t>целом представить, как изменится демографическая ситуация в</w:t>
      </w:r>
      <w:r>
        <w:rPr>
          <w:rFonts w:ascii="Times New Roman" w:hAnsi="Times New Roman"/>
          <w:sz w:val="28"/>
          <w:szCs w:val="24"/>
          <w:lang w:eastAsia="ru-RU"/>
        </w:rPr>
        <w:t> городе</w:t>
      </w:r>
      <w:r w:rsidRPr="009115C8">
        <w:rPr>
          <w:rFonts w:ascii="Times New Roman" w:hAnsi="Times New Roman"/>
          <w:sz w:val="28"/>
          <w:szCs w:val="24"/>
          <w:lang w:eastAsia="ru-RU"/>
        </w:rPr>
        <w:t xml:space="preserve"> на</w:t>
      </w:r>
      <w:r>
        <w:rPr>
          <w:rFonts w:ascii="Times New Roman" w:hAnsi="Times New Roman"/>
          <w:sz w:val="28"/>
          <w:szCs w:val="24"/>
          <w:lang w:eastAsia="ru-RU"/>
        </w:rPr>
        <w:t> </w:t>
      </w:r>
      <w:r w:rsidRPr="009115C8">
        <w:rPr>
          <w:rFonts w:ascii="Times New Roman" w:hAnsi="Times New Roman"/>
          <w:sz w:val="28"/>
          <w:szCs w:val="24"/>
          <w:lang w:eastAsia="ru-RU"/>
        </w:rPr>
        <w:t>прогнозный период времени (20</w:t>
      </w:r>
      <w:r>
        <w:rPr>
          <w:rFonts w:ascii="Times New Roman" w:hAnsi="Times New Roman"/>
          <w:sz w:val="28"/>
          <w:szCs w:val="24"/>
          <w:lang w:eastAsia="ru-RU"/>
        </w:rPr>
        <w:t>30</w:t>
      </w:r>
      <w:r w:rsidRPr="009115C8">
        <w:rPr>
          <w:rFonts w:ascii="Times New Roman" w:hAnsi="Times New Roman"/>
          <w:sz w:val="28"/>
          <w:szCs w:val="24"/>
          <w:lang w:eastAsia="ru-RU"/>
        </w:rPr>
        <w:t>-20</w:t>
      </w:r>
      <w:r>
        <w:rPr>
          <w:rFonts w:ascii="Times New Roman" w:hAnsi="Times New Roman"/>
          <w:sz w:val="28"/>
          <w:szCs w:val="24"/>
          <w:lang w:eastAsia="ru-RU"/>
        </w:rPr>
        <w:t>40</w:t>
      </w:r>
      <w:r w:rsidRPr="009115C8">
        <w:rPr>
          <w:rFonts w:ascii="Times New Roman" w:hAnsi="Times New Roman"/>
          <w:sz w:val="28"/>
          <w:szCs w:val="24"/>
          <w:lang w:eastAsia="ru-RU"/>
        </w:rPr>
        <w:t xml:space="preserve"> гг.).</w:t>
      </w:r>
    </w:p>
    <w:p w:rsidR="002D1E45" w:rsidRPr="009115C8" w:rsidRDefault="002D1E45" w:rsidP="009115C8">
      <w:pPr>
        <w:spacing w:after="0" w:line="240" w:lineRule="auto"/>
        <w:ind w:firstLine="709"/>
        <w:contextualSpacing/>
        <w:jc w:val="both"/>
        <w:rPr>
          <w:rFonts w:ascii="Times New Roman" w:hAnsi="Times New Roman"/>
          <w:sz w:val="28"/>
          <w:szCs w:val="24"/>
          <w:lang w:eastAsia="ru-RU"/>
        </w:rPr>
      </w:pPr>
      <w:r w:rsidRPr="009115C8">
        <w:rPr>
          <w:rFonts w:ascii="Times New Roman" w:hAnsi="Times New Roman"/>
          <w:sz w:val="28"/>
          <w:szCs w:val="24"/>
          <w:lang w:eastAsia="ru-RU"/>
        </w:rPr>
        <w:t xml:space="preserve">Вторым этапом произведён анализ действующих документов стратегического социально-экономического планирования как </w:t>
      </w:r>
      <w:r>
        <w:rPr>
          <w:rFonts w:ascii="Times New Roman" w:hAnsi="Times New Roman"/>
          <w:sz w:val="28"/>
          <w:szCs w:val="24"/>
          <w:lang w:eastAsia="ru-RU"/>
        </w:rPr>
        <w:t>района</w:t>
      </w:r>
      <w:r w:rsidRPr="009115C8">
        <w:rPr>
          <w:rFonts w:ascii="Times New Roman" w:hAnsi="Times New Roman"/>
          <w:sz w:val="28"/>
          <w:szCs w:val="24"/>
          <w:lang w:eastAsia="ru-RU"/>
        </w:rPr>
        <w:t xml:space="preserve"> </w:t>
      </w:r>
      <w:r>
        <w:rPr>
          <w:rFonts w:ascii="Times New Roman" w:hAnsi="Times New Roman"/>
          <w:sz w:val="28"/>
          <w:szCs w:val="24"/>
          <w:lang w:eastAsia="ru-RU"/>
        </w:rPr>
        <w:t xml:space="preserve">и области </w:t>
      </w:r>
      <w:r w:rsidRPr="009115C8">
        <w:rPr>
          <w:rFonts w:ascii="Times New Roman" w:hAnsi="Times New Roman"/>
          <w:sz w:val="28"/>
          <w:szCs w:val="24"/>
          <w:lang w:eastAsia="ru-RU"/>
        </w:rPr>
        <w:t>в</w:t>
      </w:r>
      <w:r>
        <w:rPr>
          <w:rFonts w:ascii="Times New Roman" w:hAnsi="Times New Roman"/>
          <w:sz w:val="28"/>
          <w:szCs w:val="24"/>
          <w:lang w:eastAsia="ru-RU"/>
        </w:rPr>
        <w:t> </w:t>
      </w:r>
      <w:r w:rsidRPr="009115C8">
        <w:rPr>
          <w:rFonts w:ascii="Times New Roman" w:hAnsi="Times New Roman"/>
          <w:sz w:val="28"/>
          <w:szCs w:val="24"/>
          <w:lang w:eastAsia="ru-RU"/>
        </w:rPr>
        <w:t xml:space="preserve">целом, так </w:t>
      </w:r>
      <w:r>
        <w:rPr>
          <w:rFonts w:ascii="Times New Roman" w:hAnsi="Times New Roman"/>
          <w:sz w:val="28"/>
          <w:szCs w:val="24"/>
          <w:lang w:eastAsia="ru-RU"/>
        </w:rPr>
        <w:t>и Города Куйбышева</w:t>
      </w:r>
      <w:r w:rsidRPr="009115C8">
        <w:rPr>
          <w:rFonts w:ascii="Times New Roman" w:hAnsi="Times New Roman"/>
          <w:sz w:val="28"/>
          <w:szCs w:val="24"/>
          <w:lang w:eastAsia="ru-RU"/>
        </w:rPr>
        <w:t>, в</w:t>
      </w:r>
      <w:r>
        <w:rPr>
          <w:rFonts w:ascii="Times New Roman" w:hAnsi="Times New Roman"/>
          <w:sz w:val="28"/>
          <w:szCs w:val="24"/>
          <w:lang w:eastAsia="ru-RU"/>
        </w:rPr>
        <w:t> </w:t>
      </w:r>
      <w:r w:rsidRPr="009115C8">
        <w:rPr>
          <w:rFonts w:ascii="Times New Roman" w:hAnsi="Times New Roman"/>
          <w:sz w:val="28"/>
          <w:szCs w:val="24"/>
          <w:lang w:eastAsia="ru-RU"/>
        </w:rPr>
        <w:t>которых были рассмотрены аналогичные прогнозируемые показатели, а</w:t>
      </w:r>
      <w:r>
        <w:rPr>
          <w:rFonts w:ascii="Times New Roman" w:hAnsi="Times New Roman"/>
          <w:sz w:val="28"/>
          <w:szCs w:val="24"/>
          <w:lang w:eastAsia="ru-RU"/>
        </w:rPr>
        <w:t> </w:t>
      </w:r>
      <w:r w:rsidRPr="009115C8">
        <w:rPr>
          <w:rFonts w:ascii="Times New Roman" w:hAnsi="Times New Roman"/>
          <w:sz w:val="28"/>
          <w:szCs w:val="24"/>
          <w:lang w:eastAsia="ru-RU"/>
        </w:rPr>
        <w:t>также основные ориентиры развития экономики и</w:t>
      </w:r>
      <w:r>
        <w:rPr>
          <w:rFonts w:ascii="Times New Roman" w:hAnsi="Times New Roman"/>
          <w:sz w:val="28"/>
          <w:szCs w:val="24"/>
          <w:lang w:eastAsia="ru-RU"/>
        </w:rPr>
        <w:t> </w:t>
      </w:r>
      <w:r w:rsidRPr="009115C8">
        <w:rPr>
          <w:rFonts w:ascii="Times New Roman" w:hAnsi="Times New Roman"/>
          <w:sz w:val="28"/>
          <w:szCs w:val="24"/>
          <w:lang w:eastAsia="ru-RU"/>
        </w:rPr>
        <w:t xml:space="preserve">всех инфраструктур. </w:t>
      </w:r>
    </w:p>
    <w:p w:rsidR="002D1E45" w:rsidRPr="009115C8" w:rsidRDefault="002D1E45" w:rsidP="00E0514D">
      <w:pPr>
        <w:spacing w:after="0" w:line="240" w:lineRule="auto"/>
        <w:ind w:firstLine="709"/>
        <w:contextualSpacing/>
        <w:jc w:val="both"/>
        <w:rPr>
          <w:rFonts w:ascii="Times New Roman" w:hAnsi="Times New Roman"/>
          <w:sz w:val="28"/>
          <w:szCs w:val="24"/>
          <w:lang w:eastAsia="ru-RU"/>
        </w:rPr>
      </w:pPr>
      <w:r w:rsidRPr="009115C8">
        <w:rPr>
          <w:rFonts w:ascii="Times New Roman" w:hAnsi="Times New Roman"/>
          <w:sz w:val="28"/>
          <w:szCs w:val="24"/>
          <w:lang w:eastAsia="ru-RU"/>
        </w:rPr>
        <w:t>При корректировке прогноза численности населения, помимо ориентиров социально-экономического развития региона, обозначенных в</w:t>
      </w:r>
      <w:r>
        <w:rPr>
          <w:rFonts w:ascii="Times New Roman" w:hAnsi="Times New Roman"/>
          <w:sz w:val="28"/>
          <w:szCs w:val="24"/>
          <w:lang w:eastAsia="ru-RU"/>
        </w:rPr>
        <w:t> </w:t>
      </w:r>
      <w:r w:rsidRPr="009115C8">
        <w:rPr>
          <w:rFonts w:ascii="Times New Roman" w:hAnsi="Times New Roman"/>
          <w:sz w:val="28"/>
          <w:szCs w:val="24"/>
          <w:lang w:eastAsia="ru-RU"/>
        </w:rPr>
        <w:t>Стратегии экономического развития Новосибирской области на</w:t>
      </w:r>
      <w:r>
        <w:rPr>
          <w:rFonts w:ascii="Times New Roman" w:hAnsi="Times New Roman"/>
          <w:sz w:val="28"/>
          <w:szCs w:val="24"/>
          <w:lang w:eastAsia="ru-RU"/>
        </w:rPr>
        <w:t> </w:t>
      </w:r>
      <w:r w:rsidRPr="009115C8">
        <w:rPr>
          <w:rFonts w:ascii="Times New Roman" w:hAnsi="Times New Roman"/>
          <w:sz w:val="28"/>
          <w:szCs w:val="24"/>
          <w:lang w:eastAsia="ru-RU"/>
        </w:rPr>
        <w:t>период до 20</w:t>
      </w:r>
      <w:r>
        <w:rPr>
          <w:rFonts w:ascii="Times New Roman" w:hAnsi="Times New Roman"/>
          <w:sz w:val="28"/>
          <w:szCs w:val="24"/>
          <w:lang w:eastAsia="ru-RU"/>
        </w:rPr>
        <w:t>30</w:t>
      </w:r>
      <w:r w:rsidRPr="009115C8">
        <w:rPr>
          <w:rFonts w:ascii="Times New Roman" w:hAnsi="Times New Roman"/>
          <w:sz w:val="28"/>
          <w:szCs w:val="24"/>
          <w:lang w:eastAsia="ru-RU"/>
        </w:rPr>
        <w:t xml:space="preserve">, </w:t>
      </w:r>
      <w:r>
        <w:rPr>
          <w:rFonts w:ascii="Times New Roman" w:hAnsi="Times New Roman"/>
          <w:sz w:val="28"/>
          <w:szCs w:val="24"/>
          <w:lang w:eastAsia="ru-RU"/>
        </w:rPr>
        <w:t>в </w:t>
      </w:r>
      <w:r w:rsidRPr="00E0514D">
        <w:rPr>
          <w:rFonts w:ascii="Times New Roman" w:hAnsi="Times New Roman"/>
          <w:sz w:val="28"/>
          <w:szCs w:val="24"/>
          <w:lang w:eastAsia="ru-RU"/>
        </w:rPr>
        <w:t>Стратегии социально</w:t>
      </w:r>
      <w:r>
        <w:rPr>
          <w:rFonts w:ascii="Times New Roman" w:hAnsi="Times New Roman"/>
          <w:sz w:val="28"/>
          <w:szCs w:val="24"/>
          <w:lang w:eastAsia="ru-RU"/>
        </w:rPr>
        <w:t>-</w:t>
      </w:r>
      <w:r w:rsidRPr="00E0514D">
        <w:rPr>
          <w:rFonts w:ascii="Times New Roman" w:hAnsi="Times New Roman"/>
          <w:sz w:val="28"/>
          <w:szCs w:val="24"/>
          <w:lang w:eastAsia="ru-RU"/>
        </w:rPr>
        <w:t>экономического развития</w:t>
      </w:r>
      <w:r>
        <w:rPr>
          <w:rFonts w:ascii="Times New Roman" w:hAnsi="Times New Roman"/>
          <w:sz w:val="28"/>
          <w:szCs w:val="24"/>
          <w:lang w:eastAsia="ru-RU"/>
        </w:rPr>
        <w:t xml:space="preserve"> Куйбышевского района</w:t>
      </w:r>
      <w:r w:rsidRPr="00E0514D">
        <w:rPr>
          <w:rFonts w:ascii="Times New Roman" w:hAnsi="Times New Roman"/>
          <w:sz w:val="28"/>
          <w:szCs w:val="24"/>
          <w:lang w:eastAsia="ru-RU"/>
        </w:rPr>
        <w:t xml:space="preserve"> Новосибирской области до 2030 года</w:t>
      </w:r>
      <w:r>
        <w:rPr>
          <w:rFonts w:ascii="Times New Roman" w:hAnsi="Times New Roman"/>
          <w:sz w:val="28"/>
          <w:szCs w:val="24"/>
          <w:lang w:eastAsia="ru-RU"/>
        </w:rPr>
        <w:t xml:space="preserve">, </w:t>
      </w:r>
      <w:r w:rsidRPr="009115C8">
        <w:rPr>
          <w:rFonts w:ascii="Times New Roman" w:hAnsi="Times New Roman"/>
          <w:sz w:val="28"/>
          <w:szCs w:val="24"/>
          <w:lang w:eastAsia="ru-RU"/>
        </w:rPr>
        <w:t>во</w:t>
      </w:r>
      <w:r>
        <w:rPr>
          <w:rFonts w:ascii="Times New Roman" w:hAnsi="Times New Roman"/>
          <w:sz w:val="28"/>
          <w:szCs w:val="24"/>
          <w:lang w:eastAsia="ru-RU"/>
        </w:rPr>
        <w:t> </w:t>
      </w:r>
      <w:r w:rsidRPr="009115C8">
        <w:rPr>
          <w:rFonts w:ascii="Times New Roman" w:hAnsi="Times New Roman"/>
          <w:sz w:val="28"/>
          <w:szCs w:val="24"/>
          <w:lang w:eastAsia="ru-RU"/>
        </w:rPr>
        <w:t>внимание был принят прогноз социально-экономического развития, определённый в</w:t>
      </w:r>
      <w:r>
        <w:rPr>
          <w:rFonts w:ascii="Times New Roman" w:hAnsi="Times New Roman"/>
          <w:sz w:val="28"/>
          <w:szCs w:val="24"/>
          <w:lang w:eastAsia="ru-RU"/>
        </w:rPr>
        <w:t> </w:t>
      </w:r>
      <w:r w:rsidRPr="009115C8">
        <w:rPr>
          <w:rFonts w:ascii="Times New Roman" w:hAnsi="Times New Roman"/>
          <w:sz w:val="28"/>
          <w:szCs w:val="24"/>
          <w:lang w:eastAsia="ru-RU"/>
        </w:rPr>
        <w:t>Схеме территориального планирования Новосибирской области, в</w:t>
      </w:r>
      <w:r>
        <w:rPr>
          <w:rFonts w:ascii="Times New Roman" w:hAnsi="Times New Roman"/>
          <w:sz w:val="28"/>
          <w:szCs w:val="24"/>
          <w:lang w:eastAsia="ru-RU"/>
        </w:rPr>
        <w:t> </w:t>
      </w:r>
      <w:r w:rsidRPr="009115C8">
        <w:rPr>
          <w:rFonts w:ascii="Times New Roman" w:hAnsi="Times New Roman"/>
          <w:sz w:val="28"/>
          <w:szCs w:val="24"/>
          <w:lang w:eastAsia="ru-RU"/>
        </w:rPr>
        <w:t>котором отмечены:</w:t>
      </w:r>
    </w:p>
    <w:p w:rsidR="002D1E45" w:rsidRPr="009115C8" w:rsidRDefault="002D1E45" w:rsidP="009115C8">
      <w:pPr>
        <w:numPr>
          <w:ilvl w:val="0"/>
          <w:numId w:val="24"/>
        </w:numPr>
        <w:spacing w:after="0" w:line="240" w:lineRule="auto"/>
        <w:jc w:val="both"/>
        <w:rPr>
          <w:rFonts w:ascii="Times New Roman" w:hAnsi="Times New Roman"/>
          <w:sz w:val="28"/>
          <w:szCs w:val="28"/>
        </w:rPr>
      </w:pPr>
      <w:r w:rsidRPr="009115C8">
        <w:rPr>
          <w:rFonts w:ascii="Times New Roman" w:hAnsi="Times New Roman"/>
          <w:sz w:val="28"/>
          <w:szCs w:val="28"/>
        </w:rPr>
        <w:t>основные приоритеты социально-экономического развития территории;</w:t>
      </w:r>
    </w:p>
    <w:p w:rsidR="002D1E45" w:rsidRPr="009115C8" w:rsidRDefault="002D1E45" w:rsidP="009115C8">
      <w:pPr>
        <w:numPr>
          <w:ilvl w:val="0"/>
          <w:numId w:val="24"/>
        </w:numPr>
        <w:spacing w:after="0" w:line="240" w:lineRule="auto"/>
        <w:jc w:val="both"/>
        <w:rPr>
          <w:rFonts w:ascii="Times New Roman" w:hAnsi="Times New Roman"/>
          <w:sz w:val="28"/>
          <w:szCs w:val="28"/>
        </w:rPr>
      </w:pPr>
      <w:r w:rsidRPr="009115C8">
        <w:rPr>
          <w:rFonts w:ascii="Times New Roman" w:hAnsi="Times New Roman"/>
          <w:sz w:val="28"/>
          <w:szCs w:val="28"/>
        </w:rPr>
        <w:t>показатели ежегодного миграционного прироста;</w:t>
      </w:r>
    </w:p>
    <w:p w:rsidR="002D1E45" w:rsidRPr="009115C8" w:rsidRDefault="002D1E45" w:rsidP="009115C8">
      <w:pPr>
        <w:numPr>
          <w:ilvl w:val="0"/>
          <w:numId w:val="24"/>
        </w:numPr>
        <w:spacing w:after="0" w:line="240" w:lineRule="auto"/>
        <w:jc w:val="both"/>
        <w:rPr>
          <w:rFonts w:ascii="Times New Roman" w:hAnsi="Times New Roman"/>
          <w:sz w:val="28"/>
          <w:szCs w:val="28"/>
        </w:rPr>
      </w:pPr>
      <w:r w:rsidRPr="009115C8">
        <w:rPr>
          <w:rFonts w:ascii="Times New Roman" w:hAnsi="Times New Roman"/>
          <w:sz w:val="28"/>
          <w:szCs w:val="28"/>
        </w:rPr>
        <w:t>показатели возрастной структуры населения;</w:t>
      </w:r>
    </w:p>
    <w:p w:rsidR="002D1E45" w:rsidRPr="009115C8" w:rsidRDefault="002D1E45" w:rsidP="009115C8">
      <w:pPr>
        <w:numPr>
          <w:ilvl w:val="0"/>
          <w:numId w:val="24"/>
        </w:numPr>
        <w:spacing w:after="0" w:line="240" w:lineRule="auto"/>
        <w:jc w:val="both"/>
        <w:rPr>
          <w:rFonts w:ascii="Times New Roman" w:hAnsi="Times New Roman"/>
          <w:sz w:val="28"/>
          <w:szCs w:val="28"/>
        </w:rPr>
      </w:pPr>
      <w:r w:rsidRPr="009115C8">
        <w:rPr>
          <w:rFonts w:ascii="Times New Roman" w:hAnsi="Times New Roman"/>
          <w:sz w:val="28"/>
          <w:szCs w:val="28"/>
        </w:rPr>
        <w:t>тенденция изменения показателя смертности населения;</w:t>
      </w:r>
    </w:p>
    <w:p w:rsidR="002D1E45" w:rsidRPr="009115C8" w:rsidRDefault="002D1E45" w:rsidP="009115C8">
      <w:pPr>
        <w:numPr>
          <w:ilvl w:val="0"/>
          <w:numId w:val="24"/>
        </w:numPr>
        <w:spacing w:after="0" w:line="240" w:lineRule="auto"/>
        <w:jc w:val="both"/>
        <w:rPr>
          <w:rFonts w:ascii="Times New Roman" w:hAnsi="Times New Roman"/>
          <w:sz w:val="28"/>
          <w:szCs w:val="28"/>
        </w:rPr>
      </w:pPr>
      <w:r w:rsidRPr="009115C8">
        <w:rPr>
          <w:rFonts w:ascii="Times New Roman" w:hAnsi="Times New Roman"/>
          <w:sz w:val="28"/>
          <w:szCs w:val="28"/>
        </w:rPr>
        <w:t>прогнозируемая численность населения к 2035 г.</w:t>
      </w:r>
    </w:p>
    <w:bookmarkEnd w:id="233"/>
    <w:p w:rsidR="002D1E45" w:rsidRPr="00B95F0E" w:rsidRDefault="002D1E45" w:rsidP="00B95F0E">
      <w:pPr>
        <w:spacing w:after="0" w:line="240" w:lineRule="auto"/>
        <w:ind w:firstLine="709"/>
        <w:jc w:val="both"/>
        <w:rPr>
          <w:rFonts w:ascii="Times New Roman" w:hAnsi="Times New Roman"/>
          <w:sz w:val="28"/>
          <w:szCs w:val="24"/>
          <w:lang w:eastAsia="ru-RU"/>
        </w:rPr>
      </w:pPr>
      <w:r w:rsidRPr="00B95F0E">
        <w:rPr>
          <w:rFonts w:ascii="Times New Roman" w:hAnsi="Times New Roman"/>
          <w:sz w:val="28"/>
          <w:szCs w:val="24"/>
          <w:lang w:eastAsia="ru-RU"/>
        </w:rPr>
        <w:t>Для расчёта численности населения использован метод демографического прогноза с</w:t>
      </w:r>
      <w:r>
        <w:rPr>
          <w:rFonts w:ascii="Times New Roman" w:hAnsi="Times New Roman"/>
          <w:sz w:val="28"/>
          <w:szCs w:val="24"/>
          <w:lang w:eastAsia="ru-RU"/>
        </w:rPr>
        <w:t> </w:t>
      </w:r>
      <w:r w:rsidRPr="00B95F0E">
        <w:rPr>
          <w:rFonts w:ascii="Times New Roman" w:hAnsi="Times New Roman"/>
          <w:sz w:val="28"/>
          <w:szCs w:val="24"/>
          <w:lang w:eastAsia="ru-RU"/>
        </w:rPr>
        <w:t>учётом сложившихся социально-экономических условий. Прогнозные расчёты позволяют оценить влияние рождаемости, смертности и</w:t>
      </w:r>
      <w:r>
        <w:rPr>
          <w:rFonts w:ascii="Times New Roman" w:hAnsi="Times New Roman"/>
          <w:sz w:val="28"/>
          <w:szCs w:val="24"/>
          <w:lang w:eastAsia="ru-RU"/>
        </w:rPr>
        <w:t> </w:t>
      </w:r>
      <w:r w:rsidRPr="00B95F0E">
        <w:rPr>
          <w:rFonts w:ascii="Times New Roman" w:hAnsi="Times New Roman"/>
          <w:sz w:val="28"/>
          <w:szCs w:val="24"/>
          <w:lang w:eastAsia="ru-RU"/>
        </w:rPr>
        <w:t>миграции на</w:t>
      </w:r>
      <w:r>
        <w:rPr>
          <w:rFonts w:ascii="Times New Roman" w:hAnsi="Times New Roman"/>
          <w:sz w:val="28"/>
          <w:szCs w:val="24"/>
          <w:lang w:eastAsia="ru-RU"/>
        </w:rPr>
        <w:t> </w:t>
      </w:r>
      <w:r w:rsidRPr="00B95F0E">
        <w:rPr>
          <w:rFonts w:ascii="Times New Roman" w:hAnsi="Times New Roman"/>
          <w:sz w:val="28"/>
          <w:szCs w:val="24"/>
          <w:lang w:eastAsia="ru-RU"/>
        </w:rPr>
        <w:t>будущую структуру и</w:t>
      </w:r>
      <w:r>
        <w:rPr>
          <w:rFonts w:ascii="Times New Roman" w:hAnsi="Times New Roman"/>
          <w:sz w:val="28"/>
          <w:szCs w:val="24"/>
          <w:lang w:eastAsia="ru-RU"/>
        </w:rPr>
        <w:t> </w:t>
      </w:r>
      <w:r w:rsidRPr="00B95F0E">
        <w:rPr>
          <w:rFonts w:ascii="Times New Roman" w:hAnsi="Times New Roman"/>
          <w:sz w:val="28"/>
          <w:szCs w:val="24"/>
          <w:lang w:eastAsia="ru-RU"/>
        </w:rPr>
        <w:t>численность населения.</w:t>
      </w:r>
    </w:p>
    <w:p w:rsidR="002D1E45" w:rsidRPr="00B95F0E" w:rsidRDefault="002D1E45" w:rsidP="00B95F0E">
      <w:pPr>
        <w:spacing w:after="0" w:line="240" w:lineRule="auto"/>
        <w:ind w:firstLine="709"/>
        <w:jc w:val="both"/>
        <w:rPr>
          <w:rFonts w:ascii="Times New Roman" w:hAnsi="Times New Roman"/>
          <w:sz w:val="28"/>
          <w:szCs w:val="24"/>
          <w:lang w:eastAsia="ru-RU"/>
        </w:rPr>
      </w:pPr>
      <w:r w:rsidRPr="00B95F0E">
        <w:rPr>
          <w:rFonts w:ascii="Times New Roman" w:hAnsi="Times New Roman"/>
          <w:sz w:val="28"/>
          <w:szCs w:val="24"/>
          <w:lang w:eastAsia="ru-RU"/>
        </w:rPr>
        <w:t>Расчёт произведён по</w:t>
      </w:r>
      <w:r>
        <w:rPr>
          <w:rFonts w:ascii="Times New Roman" w:hAnsi="Times New Roman"/>
          <w:sz w:val="28"/>
          <w:szCs w:val="24"/>
          <w:lang w:eastAsia="ru-RU"/>
        </w:rPr>
        <w:t> </w:t>
      </w:r>
      <w:r w:rsidRPr="00B95F0E">
        <w:rPr>
          <w:rFonts w:ascii="Times New Roman" w:hAnsi="Times New Roman"/>
          <w:sz w:val="28"/>
          <w:szCs w:val="24"/>
          <w:lang w:eastAsia="ru-RU"/>
        </w:rPr>
        <w:t>формуле:</w:t>
      </w:r>
    </w:p>
    <w:p w:rsidR="002D1E45" w:rsidRPr="00B95F0E" w:rsidRDefault="002D1E45" w:rsidP="00B95F0E">
      <w:pPr>
        <w:spacing w:after="0" w:line="240" w:lineRule="auto"/>
        <w:ind w:firstLine="709"/>
        <w:jc w:val="both"/>
        <w:rPr>
          <w:rFonts w:ascii="Times New Roman" w:hAnsi="Times New Roman"/>
          <w:sz w:val="28"/>
          <w:szCs w:val="24"/>
          <w:lang w:eastAsia="ru-RU"/>
        </w:rPr>
      </w:pPr>
    </w:p>
    <w:p w:rsidR="002D1E45" w:rsidRPr="00B95F0E" w:rsidRDefault="002D1E45" w:rsidP="00B95F0E">
      <w:pPr>
        <w:spacing w:after="0" w:line="240" w:lineRule="auto"/>
        <w:ind w:firstLine="709"/>
        <w:jc w:val="both"/>
        <w:rPr>
          <w:rFonts w:ascii="Times New Roman" w:hAnsi="Times New Roman"/>
          <w:sz w:val="28"/>
          <w:szCs w:val="24"/>
          <w:lang w:eastAsia="ru-RU"/>
        </w:rPr>
      </w:pPr>
      <w:r>
        <w:pict>
          <v:shape id="_x0000_i1045" type="#_x0000_t75" style="width:136.5pt;height:36pt" equationxml="&lt;?xml version=&quot;1.0&quot; encoding=&quot;UTF-8&quot; standalone=&quot;yes&quot;?&gt;&#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stylePaneFormatFilter w:val=&quot;3F01&quot;/&gt;&lt;w:defaultTabStop w:val=&quot;709&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55249&quot;/&gt;&lt;wsp:rsid wsp:val=&quot;00000069&quot;/&gt;&lt;wsp:rsid wsp:val=&quot;0000011C&quot;/&gt;&lt;wsp:rsid wsp:val=&quot;00000437&quot;/&gt;&lt;wsp:rsid wsp:val=&quot;00001379&quot;/&gt;&lt;wsp:rsid wsp:val=&quot;0000148E&quot;/&gt;&lt;wsp:rsid wsp:val=&quot;00001718&quot;/&gt;&lt;wsp:rsid wsp:val=&quot;000017EA&quot;/&gt;&lt;wsp:rsid wsp:val=&quot;00001828&quot;/&gt;&lt;wsp:rsid wsp:val=&quot;00001D98&quot;/&gt;&lt;wsp:rsid wsp:val=&quot;0000229E&quot;/&gt;&lt;wsp:rsid wsp:val=&quot;000027D5&quot;/&gt;&lt;wsp:rsid wsp:val=&quot;00002824&quot;/&gt;&lt;wsp:rsid wsp:val=&quot;00002C12&quot;/&gt;&lt;wsp:rsid wsp:val=&quot;00002C43&quot;/&gt;&lt;wsp:rsid wsp:val=&quot;00002D9C&quot;/&gt;&lt;wsp:rsid wsp:val=&quot;00002F36&quot;/&gt;&lt;wsp:rsid wsp:val=&quot;0000302F&quot;/&gt;&lt;wsp:rsid wsp:val=&quot;00003030&quot;/&gt;&lt;wsp:rsid wsp:val=&quot;00003EFF&quot;/&gt;&lt;wsp:rsid wsp:val=&quot;0000414C&quot;/&gt;&lt;wsp:rsid wsp:val=&quot;0000443D&quot;/&gt;&lt;wsp:rsid wsp:val=&quot;000046CC&quot;/&gt;&lt;wsp:rsid wsp:val=&quot;00004716&quot;/&gt;&lt;wsp:rsid wsp:val=&quot;0000486D&quot;/&gt;&lt;wsp:rsid wsp:val=&quot;000049C0&quot;/&gt;&lt;wsp:rsid wsp:val=&quot;00004D19&quot;/&gt;&lt;wsp:rsid wsp:val=&quot;00004FAE&quot;/&gt;&lt;wsp:rsid wsp:val=&quot;00004FFC&quot;/&gt;&lt;wsp:rsid wsp:val=&quot;00005636&quot;/&gt;&lt;wsp:rsid wsp:val=&quot;000056E1&quot;/&gt;&lt;wsp:rsid wsp:val=&quot;00005DAF&quot;/&gt;&lt;wsp:rsid wsp:val=&quot;00005F1A&quot;/&gt;&lt;wsp:rsid wsp:val=&quot;00005FEB&quot;/&gt;&lt;wsp:rsid wsp:val=&quot;00006392&quot;/&gt;&lt;wsp:rsid wsp:val=&quot;000063D0&quot;/&gt;&lt;wsp:rsid wsp:val=&quot;00006AE8&quot;/&gt;&lt;wsp:rsid wsp:val=&quot;00006D6F&quot;/&gt;&lt;wsp:rsid wsp:val=&quot;00007175&quot;/&gt;&lt;wsp:rsid wsp:val=&quot;00007274&quot;/&gt;&lt;wsp:rsid wsp:val=&quot;00007B99&quot;/&gt;&lt;wsp:rsid wsp:val=&quot;000101C0&quot;/&gt;&lt;wsp:rsid wsp:val=&quot;00010212&quot;/&gt;&lt;wsp:rsid wsp:val=&quot;00010264&quot;/&gt;&lt;wsp:rsid wsp:val=&quot;000102BD&quot;/&gt;&lt;wsp:rsid wsp:val=&quot;000102EA&quot;/&gt;&lt;wsp:rsid wsp:val=&quot;00010466&quot;/&gt;&lt;wsp:rsid wsp:val=&quot;00010AB4&quot;/&gt;&lt;wsp:rsid wsp:val=&quot;00010B0B&quot;/&gt;&lt;wsp:rsid wsp:val=&quot;00010C3B&quot;/&gt;&lt;wsp:rsid wsp:val=&quot;00010F91&quot;/&gt;&lt;wsp:rsid wsp:val=&quot;000112EE&quot;/&gt;&lt;wsp:rsid wsp:val=&quot;0001146D&quot;/&gt;&lt;wsp:rsid wsp:val=&quot;00011665&quot;/&gt;&lt;wsp:rsid wsp:val=&quot;00011B64&quot;/&gt;&lt;wsp:rsid wsp:val=&quot;00011CA8&quot;/&gt;&lt;wsp:rsid wsp:val=&quot;00011DE4&quot;/&gt;&lt;wsp:rsid wsp:val=&quot;000124AE&quot;/&gt;&lt;wsp:rsid wsp:val=&quot;000127BC&quot;/&gt;&lt;wsp:rsid wsp:val=&quot;00012A66&quot;/&gt;&lt;wsp:rsid wsp:val=&quot;00012DA8&quot;/&gt;&lt;wsp:rsid wsp:val=&quot;00013A20&quot;/&gt;&lt;wsp:rsid wsp:val=&quot;00013A8A&quot;/&gt;&lt;wsp:rsid wsp:val=&quot;00013CAF&quot;/&gt;&lt;wsp:rsid wsp:val=&quot;00013FBF&quot;/&gt;&lt;wsp:rsid wsp:val=&quot;00014152&quot;/&gt;&lt;wsp:rsid wsp:val=&quot;00014177&quot;/&gt;&lt;wsp:rsid wsp:val=&quot;0001436E&quot;/&gt;&lt;wsp:rsid wsp:val=&quot;00014640&quot;/&gt;&lt;wsp:rsid wsp:val=&quot;000146AB&quot;/&gt;&lt;wsp:rsid wsp:val=&quot;0001483D&quot;/&gt;&lt;wsp:rsid wsp:val=&quot;00014851&quot;/&gt;&lt;wsp:rsid wsp:val=&quot;00014B97&quot;/&gt;&lt;wsp:rsid wsp:val=&quot;00014CA6&quot;/&gt;&lt;wsp:rsid wsp:val=&quot;00015089&quot;/&gt;&lt;wsp:rsid wsp:val=&quot;00015200&quot;/&gt;&lt;wsp:rsid wsp:val=&quot;00015247&quot;/&gt;&lt;wsp:rsid wsp:val=&quot;00015471&quot;/&gt;&lt;wsp:rsid wsp:val=&quot;00015475&quot;/&gt;&lt;wsp:rsid wsp:val=&quot;000156EB&quot;/&gt;&lt;wsp:rsid wsp:val=&quot;00015CFD&quot;/&gt;&lt;wsp:rsid wsp:val=&quot;00015E89&quot;/&gt;&lt;wsp:rsid wsp:val=&quot;000162CA&quot;/&gt;&lt;wsp:rsid wsp:val=&quot;000168D8&quot;/&gt;&lt;wsp:rsid wsp:val=&quot;00016BF0&quot;/&gt;&lt;wsp:rsid wsp:val=&quot;00016DD4&quot;/&gt;&lt;wsp:rsid wsp:val=&quot;00016F5A&quot;/&gt;&lt;wsp:rsid wsp:val=&quot;000171AD&quot;/&gt;&lt;wsp:rsid wsp:val=&quot;0001725E&quot;/&gt;&lt;wsp:rsid wsp:val=&quot;000173C4&quot;/&gt;&lt;wsp:rsid wsp:val=&quot;0001783F&quot;/&gt;&lt;wsp:rsid wsp:val=&quot;00017B5A&quot;/&gt;&lt;wsp:rsid wsp:val=&quot;00017FC8&quot;/&gt;&lt;wsp:rsid wsp:val=&quot;000200B7&quot;/&gt;&lt;wsp:rsid wsp:val=&quot;00020690&quot;/&gt;&lt;wsp:rsid wsp:val=&quot;000207BC&quot;/&gt;&lt;wsp:rsid wsp:val=&quot;00020B70&quot;/&gt;&lt;wsp:rsid wsp:val=&quot;00020CF2&quot;/&gt;&lt;wsp:rsid wsp:val=&quot;00020D15&quot;/&gt;&lt;wsp:rsid wsp:val=&quot;0002146E&quot;/&gt;&lt;wsp:rsid wsp:val=&quot;000216FC&quot;/&gt;&lt;wsp:rsid wsp:val=&quot;00021808&quot;/&gt;&lt;wsp:rsid wsp:val=&quot;00021864&quot;/&gt;&lt;wsp:rsid wsp:val=&quot;000219DD&quot;/&gt;&lt;wsp:rsid wsp:val=&quot;00021A57&quot;/&gt;&lt;wsp:rsid wsp:val=&quot;00021C1B&quot;/&gt;&lt;wsp:rsid wsp:val=&quot;00021C6A&quot;/&gt;&lt;wsp:rsid wsp:val=&quot;0002261A&quot;/&gt;&lt;wsp:rsid wsp:val=&quot;00022689&quot;/&gt;&lt;wsp:rsid wsp:val=&quot;0002275A&quot;/&gt;&lt;wsp:rsid wsp:val=&quot;00022976&quot;/&gt;&lt;wsp:rsid wsp:val=&quot;00022B13&quot;/&gt;&lt;wsp:rsid wsp:val=&quot;00022C89&quot;/&gt;&lt;wsp:rsid wsp:val=&quot;00022ED3&quot;/&gt;&lt;wsp:rsid wsp:val=&quot;0002310D&quot;/&gt;&lt;wsp:rsid wsp:val=&quot;0002325C&quot;/&gt;&lt;wsp:rsid wsp:val=&quot;000233B5&quot;/&gt;&lt;wsp:rsid wsp:val=&quot;000235C8&quot;/&gt;&lt;wsp:rsid wsp:val=&quot;000237E7&quot;/&gt;&lt;wsp:rsid wsp:val=&quot;000238DD&quot;/&gt;&lt;wsp:rsid wsp:val=&quot;00023B4A&quot;/&gt;&lt;wsp:rsid wsp:val=&quot;00023CDA&quot;/&gt;&lt;wsp:rsid wsp:val=&quot;0002413B&quot;/&gt;&lt;wsp:rsid wsp:val=&quot;000244A8&quot;/&gt;&lt;wsp:rsid wsp:val=&quot;0002487C&quot;/&gt;&lt;wsp:rsid wsp:val=&quot;00024D37&quot;/&gt;&lt;wsp:rsid wsp:val=&quot;00024F28&quot;/&gt;&lt;wsp:rsid wsp:val=&quot;000252B6&quot;/&gt;&lt;wsp:rsid wsp:val=&quot;000254CC&quot;/&gt;&lt;wsp:rsid wsp:val=&quot;00025586&quot;/&gt;&lt;wsp:rsid wsp:val=&quot;000260FE&quot;/&gt;&lt;wsp:rsid wsp:val=&quot;00026294&quot;/&gt;&lt;wsp:rsid wsp:val=&quot;00026338&quot;/&gt;&lt;wsp:rsid wsp:val=&quot;000266C8&quot;/&gt;&lt;wsp:rsid wsp:val=&quot;00026ABE&quot;/&gt;&lt;wsp:rsid wsp:val=&quot;00026FF4&quot;/&gt;&lt;wsp:rsid wsp:val=&quot;0002729C&quot;/&gt;&lt;wsp:rsid wsp:val=&quot;000279E6&quot;/&gt;&lt;wsp:rsid wsp:val=&quot;00027B3A&quot;/&gt;&lt;wsp:rsid wsp:val=&quot;00027C41&quot;/&gt;&lt;wsp:rsid wsp:val=&quot;00027F89&quot;/&gt;&lt;wsp:rsid wsp:val=&quot;0003050D&quot;/&gt;&lt;wsp:rsid wsp:val=&quot;00030523&quot;/&gt;&lt;wsp:rsid wsp:val=&quot;00031209&quot;/&gt;&lt;wsp:rsid wsp:val=&quot;00031883&quot;/&gt;&lt;wsp:rsid wsp:val=&quot;00032460&quot;/&gt;&lt;wsp:rsid wsp:val=&quot;0003252F&quot;/&gt;&lt;wsp:rsid wsp:val=&quot;000325E4&quot;/&gt;&lt;wsp:rsid wsp:val=&quot;000329BA&quot;/&gt;&lt;wsp:rsid wsp:val=&quot;00032F20&quot;/&gt;&lt;wsp:rsid wsp:val=&quot;000330C7&quot;/&gt;&lt;wsp:rsid wsp:val=&quot;00033121&quot;/&gt;&lt;wsp:rsid wsp:val=&quot;000332E2&quot;/&gt;&lt;wsp:rsid wsp:val=&quot;00033895&quot;/&gt;&lt;wsp:rsid wsp:val=&quot;00033D2D&quot;/&gt;&lt;wsp:rsid wsp:val=&quot;0003401B&quot;/&gt;&lt;wsp:rsid wsp:val=&quot;000341CE&quot;/&gt;&lt;wsp:rsid wsp:val=&quot;00034258&quot;/&gt;&lt;wsp:rsid wsp:val=&quot;00034677&quot;/&gt;&lt;wsp:rsid wsp:val=&quot;000355D5&quot;/&gt;&lt;wsp:rsid wsp:val=&quot;0003587E&quot;/&gt;&lt;wsp:rsid wsp:val=&quot;000358E5&quot;/&gt;&lt;wsp:rsid wsp:val=&quot;00035FC8&quot;/&gt;&lt;wsp:rsid wsp:val=&quot;00036085&quot;/&gt;&lt;wsp:rsid wsp:val=&quot;0003610F&quot;/&gt;&lt;wsp:rsid wsp:val=&quot;00036574&quot;/&gt;&lt;wsp:rsid wsp:val=&quot;00036A0C&quot;/&gt;&lt;wsp:rsid wsp:val=&quot;0003741C&quot;/&gt;&lt;wsp:rsid wsp:val=&quot;000375A9&quot;/&gt;&lt;wsp:rsid wsp:val=&quot;000375E4&quot;/&gt;&lt;wsp:rsid wsp:val=&quot;00037990&quot;/&gt;&lt;wsp:rsid wsp:val=&quot;000379E2&quot;/&gt;&lt;wsp:rsid wsp:val=&quot;00037A8B&quot;/&gt;&lt;wsp:rsid wsp:val=&quot;00037B44&quot;/&gt;&lt;wsp:rsid wsp:val=&quot;00037D86&quot;/&gt;&lt;wsp:rsid wsp:val=&quot;000401B5&quot;/&gt;&lt;wsp:rsid wsp:val=&quot;00040704&quot;/&gt;&lt;wsp:rsid wsp:val=&quot;00040747&quot;/&gt;&lt;wsp:rsid wsp:val=&quot;00040937&quot;/&gt;&lt;wsp:rsid wsp:val=&quot;00040B84&quot;/&gt;&lt;wsp:rsid wsp:val=&quot;00040C12&quot;/&gt;&lt;wsp:rsid wsp:val=&quot;00040DA1&quot;/&gt;&lt;wsp:rsid wsp:val=&quot;00040F18&quot;/&gt;&lt;wsp:rsid wsp:val=&quot;0004110F&quot;/&gt;&lt;wsp:rsid wsp:val=&quot;000412EB&quot;/&gt;&lt;wsp:rsid wsp:val=&quot;0004138D&quot;/&gt;&lt;wsp:rsid wsp:val=&quot;000413F1&quot;/&gt;&lt;wsp:rsid wsp:val=&quot;000414C0&quot;/&gt;&lt;wsp:rsid wsp:val=&quot;00041E8F&quot;/&gt;&lt;wsp:rsid wsp:val=&quot;00041F06&quot;/&gt;&lt;wsp:rsid wsp:val=&quot;0004255B&quot;/&gt;&lt;wsp:rsid wsp:val=&quot;00042594&quot;/&gt;&lt;wsp:rsid wsp:val=&quot;0004273E&quot;/&gt;&lt;wsp:rsid wsp:val=&quot;00042764&quot;/&gt;&lt;wsp:rsid wsp:val=&quot;00042F4A&quot;/&gt;&lt;wsp:rsid wsp:val=&quot;000430F4&quot;/&gt;&lt;wsp:rsid wsp:val=&quot;00043921&quot;/&gt;&lt;wsp:rsid wsp:val=&quot;00043935&quot;/&gt;&lt;wsp:rsid wsp:val=&quot;00043EB2&quot;/&gt;&lt;wsp:rsid wsp:val=&quot;0004419F&quot;/&gt;&lt;wsp:rsid wsp:val=&quot;00044391&quot;/&gt;&lt;wsp:rsid wsp:val=&quot;0004446E&quot;/&gt;&lt;wsp:rsid wsp:val=&quot;000444B3&quot;/&gt;&lt;wsp:rsid wsp:val=&quot;00044538&quot;/&gt;&lt;wsp:rsid wsp:val=&quot;0004488A&quot;/&gt;&lt;wsp:rsid wsp:val=&quot;000449CE&quot;/&gt;&lt;wsp:rsid wsp:val=&quot;00044A16&quot;/&gt;&lt;wsp:rsid wsp:val=&quot;00044B5C&quot;/&gt;&lt;wsp:rsid wsp:val=&quot;00044D18&quot;/&gt;&lt;wsp:rsid wsp:val=&quot;00044E73&quot;/&gt;&lt;wsp:rsid wsp:val=&quot;00044F28&quot;/&gt;&lt;wsp:rsid wsp:val=&quot;00044FEF&quot;/&gt;&lt;wsp:rsid wsp:val=&quot;00045598&quot;/&gt;&lt;wsp:rsid wsp:val=&quot;00045B35&quot;/&gt;&lt;wsp:rsid wsp:val=&quot;00045E51&quot;/&gt;&lt;wsp:rsid wsp:val=&quot;00046110&quot;/&gt;&lt;wsp:rsid wsp:val=&quot;00046429&quot;/&gt;&lt;wsp:rsid wsp:val=&quot;0004668C&quot;/&gt;&lt;wsp:rsid wsp:val=&quot;000475D4&quot;/&gt;&lt;wsp:rsid wsp:val=&quot;00047C17&quot;/&gt;&lt;wsp:rsid wsp:val=&quot;00047C27&quot;/&gt;&lt;wsp:rsid wsp:val=&quot;00047C59&quot;/&gt;&lt;wsp:rsid wsp:val=&quot;00047F34&quot;/&gt;&lt;wsp:rsid wsp:val=&quot;000504F0&quot;/&gt;&lt;wsp:rsid wsp:val=&quot;00050664&quot;/&gt;&lt;wsp:rsid wsp:val=&quot;00050880&quot;/&gt;&lt;wsp:rsid wsp:val=&quot;00050993&quot;/&gt;&lt;wsp:rsid wsp:val=&quot;00050FD6&quot;/&gt;&lt;wsp:rsid wsp:val=&quot;00051206&quot;/&gt;&lt;wsp:rsid wsp:val=&quot;000515A2&quot;/&gt;&lt;wsp:rsid wsp:val=&quot;00051F54&quot;/&gt;&lt;wsp:rsid wsp:val=&quot;000520A1&quot;/&gt;&lt;wsp:rsid wsp:val=&quot;000525EB&quot;/&gt;&lt;wsp:rsid wsp:val=&quot;0005266E&quot;/&gt;&lt;wsp:rsid wsp:val=&quot;000527E0&quot;/&gt;&lt;wsp:rsid wsp:val=&quot;00052923&quot;/&gt;&lt;wsp:rsid wsp:val=&quot;00052D26&quot;/&gt;&lt;wsp:rsid wsp:val=&quot;00052E31&quot;/&gt;&lt;wsp:rsid wsp:val=&quot;000535A5&quot;/&gt;&lt;wsp:rsid wsp:val=&quot;000536A3&quot;/&gt;&lt;wsp:rsid wsp:val=&quot;00053D10&quot;/&gt;&lt;wsp:rsid wsp:val=&quot;00053F2B&quot;/&gt;&lt;wsp:rsid wsp:val=&quot;00053F37&quot;/&gt;&lt;wsp:rsid wsp:val=&quot;000546C9&quot;/&gt;&lt;wsp:rsid wsp:val=&quot;000547F3&quot;/&gt;&lt;wsp:rsid wsp:val=&quot;000548C7&quot;/&gt;&lt;wsp:rsid wsp:val=&quot;00054E12&quot;/&gt;&lt;wsp:rsid wsp:val=&quot;00054E32&quot;/&gt;&lt;wsp:rsid wsp:val=&quot;000551DD&quot;/&gt;&lt;wsp:rsid wsp:val=&quot;0005551E&quot;/&gt;&lt;wsp:rsid wsp:val=&quot;00055725&quot;/&gt;&lt;wsp:rsid wsp:val=&quot;0005582F&quot;/&gt;&lt;wsp:rsid wsp:val=&quot;000558B6&quot;/&gt;&lt;wsp:rsid wsp:val=&quot;00055A9A&quot;/&gt;&lt;wsp:rsid wsp:val=&quot;00055D45&quot;/&gt;&lt;wsp:rsid wsp:val=&quot;00055E28&quot;/&gt;&lt;wsp:rsid wsp:val=&quot;000563E2&quot;/&gt;&lt;wsp:rsid wsp:val=&quot;0005646A&quot;/&gt;&lt;wsp:rsid wsp:val=&quot;00056820&quot;/&gt;&lt;wsp:rsid wsp:val=&quot;00056C8F&quot;/&gt;&lt;wsp:rsid wsp:val=&quot;000570B4&quot;/&gt;&lt;wsp:rsid wsp:val=&quot;00057287&quot;/&gt;&lt;wsp:rsid wsp:val=&quot;00057450&quot;/&gt;&lt;wsp:rsid wsp:val=&quot;00057FD1&quot;/&gt;&lt;wsp:rsid wsp:val=&quot;000605C6&quot;/&gt;&lt;wsp:rsid wsp:val=&quot;0006094F&quot;/&gt;&lt;wsp:rsid wsp:val=&quot;00060D9A&quot;/&gt;&lt;wsp:rsid wsp:val=&quot;0006114D&quot;/&gt;&lt;wsp:rsid wsp:val=&quot;00061342&quot;/&gt;&lt;wsp:rsid wsp:val=&quot;000616FB&quot;/&gt;&lt;wsp:rsid wsp:val=&quot;00061D4B&quot;/&gt;&lt;wsp:rsid wsp:val=&quot;0006251F&quot;/&gt;&lt;wsp:rsid wsp:val=&quot;00062BCA&quot;/&gt;&lt;wsp:rsid wsp:val=&quot;00063845&quot;/&gt;&lt;wsp:rsid wsp:val=&quot;00063E7D&quot;/&gt;&lt;wsp:rsid wsp:val=&quot;00063F8C&quot;/&gt;&lt;wsp:rsid wsp:val=&quot;00064336&quot;/&gt;&lt;wsp:rsid wsp:val=&quot;000643A2&quot;/&gt;&lt;wsp:rsid wsp:val=&quot;00064B66&quot;/&gt;&lt;wsp:rsid wsp:val=&quot;00064F9D&quot;/&gt;&lt;wsp:rsid wsp:val=&quot;0006561A&quot;/&gt;&lt;wsp:rsid wsp:val=&quot;000659B9&quot;/&gt;&lt;wsp:rsid wsp:val=&quot;00065B48&quot;/&gt;&lt;wsp:rsid wsp:val=&quot;00065F03&quot;/&gt;&lt;wsp:rsid wsp:val=&quot;00066175&quot;/&gt;&lt;wsp:rsid wsp:val=&quot;000661F0&quot;/&gt;&lt;wsp:rsid wsp:val=&quot;00066384&quot;/&gt;&lt;wsp:rsid wsp:val=&quot;00066556&quot;/&gt;&lt;wsp:rsid wsp:val=&quot;00066C9F&quot;/&gt;&lt;wsp:rsid wsp:val=&quot;00066D83&quot;/&gt;&lt;wsp:rsid wsp:val=&quot;00067045&quot;/&gt;&lt;wsp:rsid wsp:val=&quot;00067A40&quot;/&gt;&lt;wsp:rsid wsp:val=&quot;00067AA3&quot;/&gt;&lt;wsp:rsid wsp:val=&quot;00067AB9&quot;/&gt;&lt;wsp:rsid wsp:val=&quot;00070000&quot;/&gt;&lt;wsp:rsid wsp:val=&quot;00070067&quot;/&gt;&lt;wsp:rsid wsp:val=&quot;0007015F&quot;/&gt;&lt;wsp:rsid wsp:val=&quot;000702C2&quot;/&gt;&lt;wsp:rsid wsp:val=&quot;000702C6&quot;/&gt;&lt;wsp:rsid wsp:val=&quot;00070A24&quot;/&gt;&lt;wsp:rsid wsp:val=&quot;00071628&quot;/&gt;&lt;wsp:rsid wsp:val=&quot;0007185F&quot;/&gt;&lt;wsp:rsid wsp:val=&quot;00072553&quot;/&gt;&lt;wsp:rsid wsp:val=&quot;00072E07&quot;/&gt;&lt;wsp:rsid wsp:val=&quot;00073729&quot;/&gt;&lt;wsp:rsid wsp:val=&quot;000739F2&quot;/&gt;&lt;wsp:rsid wsp:val=&quot;00073E02&quot;/&gt;&lt;wsp:rsid wsp:val=&quot;00074052&quot;/&gt;&lt;wsp:rsid wsp:val=&quot;00074807&quot;/&gt;&lt;wsp:rsid wsp:val=&quot;00075396&quot;/&gt;&lt;wsp:rsid wsp:val=&quot;00075542&quot;/&gt;&lt;wsp:rsid wsp:val=&quot;00075821&quot;/&gt;&lt;wsp:rsid wsp:val=&quot;00075BDC&quot;/&gt;&lt;wsp:rsid wsp:val=&quot;00075C12&quot;/&gt;&lt;wsp:rsid wsp:val=&quot;00076244&quot;/&gt;&lt;wsp:rsid wsp:val=&quot;0007658B&quot;/&gt;&lt;wsp:rsid wsp:val=&quot;000765A5&quot;/&gt;&lt;wsp:rsid wsp:val=&quot;000766B1&quot;/&gt;&lt;wsp:rsid wsp:val=&quot;00076AEC&quot;/&gt;&lt;wsp:rsid wsp:val=&quot;00076B85&quot;/&gt;&lt;wsp:rsid wsp:val=&quot;00077223&quot;/&gt;&lt;wsp:rsid wsp:val=&quot;000775BC&quot;/&gt;&lt;wsp:rsid wsp:val=&quot;00077735&quot;/&gt;&lt;wsp:rsid wsp:val=&quot;00077964&quot;/&gt;&lt;wsp:rsid wsp:val=&quot;00077AC7&quot;/&gt;&lt;wsp:rsid wsp:val=&quot;00080093&quot;/&gt;&lt;wsp:rsid wsp:val=&quot;00080B60&quot;/&gt;&lt;wsp:rsid wsp:val=&quot;00080D86&quot;/&gt;&lt;wsp:rsid wsp:val=&quot;0008123C&quot;/&gt;&lt;wsp:rsid wsp:val=&quot;000815B0&quot;/&gt;&lt;wsp:rsid wsp:val=&quot;000822F8&quot;/&gt;&lt;wsp:rsid wsp:val=&quot;0008289C&quot;/&gt;&lt;wsp:rsid wsp:val=&quot;00082ACC&quot;/&gt;&lt;wsp:rsid wsp:val=&quot;00082EC5&quot;/&gt;&lt;wsp:rsid wsp:val=&quot;00083307&quot;/&gt;&lt;wsp:rsid wsp:val=&quot;0008338D&quot;/&gt;&lt;wsp:rsid wsp:val=&quot;00083405&quot;/&gt;&lt;wsp:rsid wsp:val=&quot;00083653&quot;/&gt;&lt;wsp:rsid wsp:val=&quot;00083ADB&quot;/&gt;&lt;wsp:rsid wsp:val=&quot;00083BC4&quot;/&gt;&lt;wsp:rsid wsp:val=&quot;00083C79&quot;/&gt;&lt;wsp:rsid wsp:val=&quot;000845BC&quot;/&gt;&lt;wsp:rsid wsp:val=&quot;00084681&quot;/&gt;&lt;wsp:rsid wsp:val=&quot;000849E2&quot;/&gt;&lt;wsp:rsid wsp:val=&quot;00085033&quot;/&gt;&lt;wsp:rsid wsp:val=&quot;0008530A&quot;/&gt;&lt;wsp:rsid wsp:val=&quot;00085A95&quot;/&gt;&lt;wsp:rsid wsp:val=&quot;00085CFD&quot;/&gt;&lt;wsp:rsid wsp:val=&quot;0008620C&quot;/&gt;&lt;wsp:rsid wsp:val=&quot;00086329&quot;/&gt;&lt;wsp:rsid wsp:val=&quot;0008638E&quot;/&gt;&lt;wsp:rsid wsp:val=&quot;00086444&quot;/&gt;&lt;wsp:rsid wsp:val=&quot;00086BB9&quot;/&gt;&lt;wsp:rsid wsp:val=&quot;00087727&quot;/&gt;&lt;wsp:rsid wsp:val=&quot;000877E2&quot;/&gt;&lt;wsp:rsid wsp:val=&quot;00087AC4&quot;/&gt;&lt;wsp:rsid wsp:val=&quot;00087E23&quot;/&gt;&lt;wsp:rsid wsp:val=&quot;0009014C&quot;/&gt;&lt;wsp:rsid wsp:val=&quot;0009092E&quot;/&gt;&lt;wsp:rsid wsp:val=&quot;00090D88&quot;/&gt;&lt;wsp:rsid wsp:val=&quot;00091590&quot;/&gt;&lt;wsp:rsid wsp:val=&quot;0009167E&quot;/&gt;&lt;wsp:rsid wsp:val=&quot;00091B44&quot;/&gt;&lt;wsp:rsid wsp:val=&quot;00091DDD&quot;/&gt;&lt;wsp:rsid wsp:val=&quot;00092244&quot;/&gt;&lt;wsp:rsid wsp:val=&quot;000922A0&quot;/&gt;&lt;wsp:rsid wsp:val=&quot;0009250A&quot;/&gt;&lt;wsp:rsid wsp:val=&quot;00092832&quot;/&gt;&lt;wsp:rsid wsp:val=&quot;00092880&quot;/&gt;&lt;wsp:rsid wsp:val=&quot;000928B8&quot;/&gt;&lt;wsp:rsid wsp:val=&quot;00092BDB&quot;/&gt;&lt;wsp:rsid wsp:val=&quot;00092D38&quot;/&gt;&lt;wsp:rsid wsp:val=&quot;00092DF8&quot;/&gt;&lt;wsp:rsid wsp:val=&quot;00093306&quot;/&gt;&lt;wsp:rsid wsp:val=&quot;00093658&quot;/&gt;&lt;wsp:rsid wsp:val=&quot;000936D3&quot;/&gt;&lt;wsp:rsid wsp:val=&quot;00093D53&quot;/&gt;&lt;wsp:rsid wsp:val=&quot;00093FD6&quot;/&gt;&lt;wsp:rsid wsp:val=&quot;000943A3&quot;/&gt;&lt;wsp:rsid wsp:val=&quot;0009494C&quot;/&gt;&lt;wsp:rsid wsp:val=&quot;00094EE1&quot;/&gt;&lt;wsp:rsid wsp:val=&quot;00095196&quot;/&gt;&lt;wsp:rsid wsp:val=&quot;00095C3B&quot;/&gt;&lt;wsp:rsid wsp:val=&quot;00096485&quot;/&gt;&lt;wsp:rsid wsp:val=&quot;000964BF&quot;/&gt;&lt;wsp:rsid wsp:val=&quot;00096807&quot;/&gt;&lt;wsp:rsid wsp:val=&quot;00096843&quot;/&gt;&lt;wsp:rsid wsp:val=&quot;000968B5&quot;/&gt;&lt;wsp:rsid wsp:val=&quot;00096B2F&quot;/&gt;&lt;wsp:rsid wsp:val=&quot;00096F78&quot;/&gt;&lt;wsp:rsid wsp:val=&quot;00097521&quot;/&gt;&lt;wsp:rsid wsp:val=&quot;000978B1&quot;/&gt;&lt;wsp:rsid wsp:val=&quot;000A002B&quot;/&gt;&lt;wsp:rsid wsp:val=&quot;000A0434&quot;/&gt;&lt;wsp:rsid wsp:val=&quot;000A04F0&quot;/&gt;&lt;wsp:rsid wsp:val=&quot;000A08A6&quot;/&gt;&lt;wsp:rsid wsp:val=&quot;000A0932&quot;/&gt;&lt;wsp:rsid wsp:val=&quot;000A0A93&quot;/&gt;&lt;wsp:rsid wsp:val=&quot;000A0BB0&quot;/&gt;&lt;wsp:rsid wsp:val=&quot;000A0DA2&quot;/&gt;&lt;wsp:rsid wsp:val=&quot;000A16CC&quot;/&gt;&lt;wsp:rsid wsp:val=&quot;000A1A46&quot;/&gt;&lt;wsp:rsid wsp:val=&quot;000A1B18&quot;/&gt;&lt;wsp:rsid wsp:val=&quot;000A1C8A&quot;/&gt;&lt;wsp:rsid wsp:val=&quot;000A379F&quot;/&gt;&lt;wsp:rsid wsp:val=&quot;000A38E0&quot;/&gt;&lt;wsp:rsid wsp:val=&quot;000A39DE&quot;/&gt;&lt;wsp:rsid wsp:val=&quot;000A3C68&quot;/&gt;&lt;wsp:rsid wsp:val=&quot;000A3F95&quot;/&gt;&lt;wsp:rsid wsp:val=&quot;000A4373&quot;/&gt;&lt;wsp:rsid wsp:val=&quot;000A4670&quot;/&gt;&lt;wsp:rsid wsp:val=&quot;000A477D&quot;/&gt;&lt;wsp:rsid wsp:val=&quot;000A47CF&quot;/&gt;&lt;wsp:rsid wsp:val=&quot;000A4C05&quot;/&gt;&lt;wsp:rsid wsp:val=&quot;000A4D03&quot;/&gt;&lt;wsp:rsid wsp:val=&quot;000A4FB4&quot;/&gt;&lt;wsp:rsid wsp:val=&quot;000A4FF6&quot;/&gt;&lt;wsp:rsid wsp:val=&quot;000A512E&quot;/&gt;&lt;wsp:rsid wsp:val=&quot;000A525A&quot;/&gt;&lt;wsp:rsid wsp:val=&quot;000A52FF&quot;/&gt;&lt;wsp:rsid wsp:val=&quot;000A57A2&quot;/&gt;&lt;wsp:rsid wsp:val=&quot;000A5EA9&quot;/&gt;&lt;wsp:rsid wsp:val=&quot;000A611E&quot;/&gt;&lt;wsp:rsid wsp:val=&quot;000A6372&quot;/&gt;&lt;wsp:rsid wsp:val=&quot;000A68B1&quot;/&gt;&lt;wsp:rsid wsp:val=&quot;000A6AAC&quot;/&gt;&lt;wsp:rsid wsp:val=&quot;000A6BF9&quot;/&gt;&lt;wsp:rsid wsp:val=&quot;000A6E06&quot;/&gt;&lt;wsp:rsid wsp:val=&quot;000A718C&quot;/&gt;&lt;wsp:rsid wsp:val=&quot;000A741A&quot;/&gt;&lt;wsp:rsid wsp:val=&quot;000A7430&quot;/&gt;&lt;wsp:rsid wsp:val=&quot;000A7482&quot;/&gt;&lt;wsp:rsid wsp:val=&quot;000A7895&quot;/&gt;&lt;wsp:rsid wsp:val=&quot;000A7BD7&quot;/&gt;&lt;wsp:rsid wsp:val=&quot;000A7D80&quot;/&gt;&lt;wsp:rsid wsp:val=&quot;000B1142&quot;/&gt;&lt;wsp:rsid wsp:val=&quot;000B1322&quot;/&gt;&lt;wsp:rsid wsp:val=&quot;000B149A&quot;/&gt;&lt;wsp:rsid wsp:val=&quot;000B14DF&quot;/&gt;&lt;wsp:rsid wsp:val=&quot;000B167D&quot;/&gt;&lt;wsp:rsid wsp:val=&quot;000B1B67&quot;/&gt;&lt;wsp:rsid wsp:val=&quot;000B1E31&quot;/&gt;&lt;wsp:rsid wsp:val=&quot;000B221A&quot;/&gt;&lt;wsp:rsid wsp:val=&quot;000B251B&quot;/&gt;&lt;wsp:rsid wsp:val=&quot;000B25C3&quot;/&gt;&lt;wsp:rsid wsp:val=&quot;000B27FD&quot;/&gt;&lt;wsp:rsid wsp:val=&quot;000B286C&quot;/&gt;&lt;wsp:rsid wsp:val=&quot;000B2B47&quot;/&gt;&lt;wsp:rsid wsp:val=&quot;000B2B6B&quot;/&gt;&lt;wsp:rsid wsp:val=&quot;000B2C1A&quot;/&gt;&lt;wsp:rsid wsp:val=&quot;000B2EB4&quot;/&gt;&lt;wsp:rsid wsp:val=&quot;000B3481&quot;/&gt;&lt;wsp:rsid wsp:val=&quot;000B3B79&quot;/&gt;&lt;wsp:rsid wsp:val=&quot;000B4097&quot;/&gt;&lt;wsp:rsid wsp:val=&quot;000B40D5&quot;/&gt;&lt;wsp:rsid wsp:val=&quot;000B439E&quot;/&gt;&lt;wsp:rsid wsp:val=&quot;000B4880&quot;/&gt;&lt;wsp:rsid wsp:val=&quot;000B4C48&quot;/&gt;&lt;wsp:rsid wsp:val=&quot;000B51E8&quot;/&gt;&lt;wsp:rsid wsp:val=&quot;000B5B75&quot;/&gt;&lt;wsp:rsid wsp:val=&quot;000B5B94&quot;/&gt;&lt;wsp:rsid wsp:val=&quot;000B5C9E&quot;/&gt;&lt;wsp:rsid wsp:val=&quot;000B641C&quot;/&gt;&lt;wsp:rsid wsp:val=&quot;000B6424&quot;/&gt;&lt;wsp:rsid wsp:val=&quot;000B6501&quot;/&gt;&lt;wsp:rsid wsp:val=&quot;000B6618&quot;/&gt;&lt;wsp:rsid wsp:val=&quot;000B693A&quot;/&gt;&lt;wsp:rsid wsp:val=&quot;000B69BA&quot;/&gt;&lt;wsp:rsid wsp:val=&quot;000B6EF4&quot;/&gt;&lt;wsp:rsid wsp:val=&quot;000B6F17&quot;/&gt;&lt;wsp:rsid wsp:val=&quot;000B6F8A&quot;/&gt;&lt;wsp:rsid wsp:val=&quot;000B7311&quot;/&gt;&lt;wsp:rsid wsp:val=&quot;000B7768&quot;/&gt;&lt;wsp:rsid wsp:val=&quot;000B79A3&quot;/&gt;&lt;wsp:rsid wsp:val=&quot;000C060E&quot;/&gt;&lt;wsp:rsid wsp:val=&quot;000C0854&quot;/&gt;&lt;wsp:rsid wsp:val=&quot;000C0E5A&quot;/&gt;&lt;wsp:rsid wsp:val=&quot;000C0F02&quot;/&gt;&lt;wsp:rsid wsp:val=&quot;000C134A&quot;/&gt;&lt;wsp:rsid wsp:val=&quot;000C1706&quot;/&gt;&lt;wsp:rsid wsp:val=&quot;000C1C1D&quot;/&gt;&lt;wsp:rsid wsp:val=&quot;000C1CF9&quot;/&gt;&lt;wsp:rsid wsp:val=&quot;000C1E63&quot;/&gt;&lt;wsp:rsid wsp:val=&quot;000C1FAA&quot;/&gt;&lt;wsp:rsid wsp:val=&quot;000C2A69&quot;/&gt;&lt;wsp:rsid wsp:val=&quot;000C313A&quot;/&gt;&lt;wsp:rsid wsp:val=&quot;000C313D&quot;/&gt;&lt;wsp:rsid wsp:val=&quot;000C324D&quot;/&gt;&lt;wsp:rsid wsp:val=&quot;000C3271&quot;/&gt;&lt;wsp:rsid wsp:val=&quot;000C34E4&quot;/&gt;&lt;wsp:rsid wsp:val=&quot;000C3563&quot;/&gt;&lt;wsp:rsid wsp:val=&quot;000C36F0&quot;/&gt;&lt;wsp:rsid wsp:val=&quot;000C3850&quot;/&gt;&lt;wsp:rsid wsp:val=&quot;000C3B1C&quot;/&gt;&lt;wsp:rsid wsp:val=&quot;000C3D26&quot;/&gt;&lt;wsp:rsid wsp:val=&quot;000C3E41&quot;/&gt;&lt;wsp:rsid wsp:val=&quot;000C40E5&quot;/&gt;&lt;wsp:rsid wsp:val=&quot;000C458C&quot;/&gt;&lt;wsp:rsid wsp:val=&quot;000C4D5D&quot;/&gt;&lt;wsp:rsid wsp:val=&quot;000C55A4&quot;/&gt;&lt;wsp:rsid wsp:val=&quot;000C5DF7&quot;/&gt;&lt;wsp:rsid wsp:val=&quot;000C6617&quot;/&gt;&lt;wsp:rsid wsp:val=&quot;000C68A4&quot;/&gt;&lt;wsp:rsid wsp:val=&quot;000C695C&quot;/&gt;&lt;wsp:rsid wsp:val=&quot;000C7051&quot;/&gt;&lt;wsp:rsid wsp:val=&quot;000C75BD&quot;/&gt;&lt;wsp:rsid wsp:val=&quot;000C771E&quot;/&gt;&lt;wsp:rsid wsp:val=&quot;000C7AF7&quot;/&gt;&lt;wsp:rsid wsp:val=&quot;000C7FDE&quot;/&gt;&lt;wsp:rsid wsp:val=&quot;000D024B&quot;/&gt;&lt;wsp:rsid wsp:val=&quot;000D03D3&quot;/&gt;&lt;wsp:rsid wsp:val=&quot;000D04D2&quot;/&gt;&lt;wsp:rsid wsp:val=&quot;000D05CB&quot;/&gt;&lt;wsp:rsid wsp:val=&quot;000D06AA&quot;/&gt;&lt;wsp:rsid wsp:val=&quot;000D0A5E&quot;/&gt;&lt;wsp:rsid wsp:val=&quot;000D0E34&quot;/&gt;&lt;wsp:rsid wsp:val=&quot;000D123D&quot;/&gt;&lt;wsp:rsid wsp:val=&quot;000D12B2&quot;/&gt;&lt;wsp:rsid wsp:val=&quot;000D1489&quot;/&gt;&lt;wsp:rsid wsp:val=&quot;000D1698&quot;/&gt;&lt;wsp:rsid wsp:val=&quot;000D1A50&quot;/&gt;&lt;wsp:rsid wsp:val=&quot;000D1C03&quot;/&gt;&lt;wsp:rsid wsp:val=&quot;000D1D53&quot;/&gt;&lt;wsp:rsid wsp:val=&quot;000D232C&quot;/&gt;&lt;wsp:rsid wsp:val=&quot;000D285E&quot;/&gt;&lt;wsp:rsid wsp:val=&quot;000D28F0&quot;/&gt;&lt;wsp:rsid wsp:val=&quot;000D296A&quot;/&gt;&lt;wsp:rsid wsp:val=&quot;000D2992&quot;/&gt;&lt;wsp:rsid wsp:val=&quot;000D2C72&quot;/&gt;&lt;wsp:rsid wsp:val=&quot;000D31FD&quot;/&gt;&lt;wsp:rsid wsp:val=&quot;000D3378&quot;/&gt;&lt;wsp:rsid wsp:val=&quot;000D35B2&quot;/&gt;&lt;wsp:rsid wsp:val=&quot;000D3671&quot;/&gt;&lt;wsp:rsid wsp:val=&quot;000D409D&quot;/&gt;&lt;wsp:rsid wsp:val=&quot;000D4513&quot;/&gt;&lt;wsp:rsid wsp:val=&quot;000D4CD0&quot;/&gt;&lt;wsp:rsid wsp:val=&quot;000D4D1D&quot;/&gt;&lt;wsp:rsid wsp:val=&quot;000D4DC6&quot;/&gt;&lt;wsp:rsid wsp:val=&quot;000D4F86&quot;/&gt;&lt;wsp:rsid wsp:val=&quot;000D50D1&quot;/&gt;&lt;wsp:rsid wsp:val=&quot;000D54E7&quot;/&gt;&lt;wsp:rsid wsp:val=&quot;000D5542&quot;/&gt;&lt;wsp:rsid wsp:val=&quot;000D569C&quot;/&gt;&lt;wsp:rsid wsp:val=&quot;000D57B5&quot;/&gt;&lt;wsp:rsid wsp:val=&quot;000D580C&quot;/&gt;&lt;wsp:rsid wsp:val=&quot;000D5848&quot;/&gt;&lt;wsp:rsid wsp:val=&quot;000D59E3&quot;/&gt;&lt;wsp:rsid wsp:val=&quot;000D5ACC&quot;/&gt;&lt;wsp:rsid wsp:val=&quot;000D5E6D&quot;/&gt;&lt;wsp:rsid wsp:val=&quot;000D5ED1&quot;/&gt;&lt;wsp:rsid wsp:val=&quot;000D6903&quot;/&gt;&lt;wsp:rsid wsp:val=&quot;000D6F84&quot;/&gt;&lt;wsp:rsid wsp:val=&quot;000D6FE1&quot;/&gt;&lt;wsp:rsid wsp:val=&quot;000D708D&quot;/&gt;&lt;wsp:rsid wsp:val=&quot;000D753B&quot;/&gt;&lt;wsp:rsid wsp:val=&quot;000D7FBD&quot;/&gt;&lt;wsp:rsid wsp:val=&quot;000E00E8&quot;/&gt;&lt;wsp:rsid wsp:val=&quot;000E013F&quot;/&gt;&lt;wsp:rsid wsp:val=&quot;000E08A7&quot;/&gt;&lt;wsp:rsid wsp:val=&quot;000E0D19&quot;/&gt;&lt;wsp:rsid wsp:val=&quot;000E1064&quot;/&gt;&lt;wsp:rsid wsp:val=&quot;000E1137&quot;/&gt;&lt;wsp:rsid wsp:val=&quot;000E1324&quot;/&gt;&lt;wsp:rsid wsp:val=&quot;000E147C&quot;/&gt;&lt;wsp:rsid wsp:val=&quot;000E16EE&quot;/&gt;&lt;wsp:rsid wsp:val=&quot;000E1736&quot;/&gt;&lt;wsp:rsid wsp:val=&quot;000E1B5F&quot;/&gt;&lt;wsp:rsid wsp:val=&quot;000E20CF&quot;/&gt;&lt;wsp:rsid wsp:val=&quot;000E2277&quot;/&gt;&lt;wsp:rsid wsp:val=&quot;000E22A7&quot;/&gt;&lt;wsp:rsid wsp:val=&quot;000E22ED&quot;/&gt;&lt;wsp:rsid wsp:val=&quot;000E25F1&quot;/&gt;&lt;wsp:rsid wsp:val=&quot;000E2A13&quot;/&gt;&lt;wsp:rsid wsp:val=&quot;000E32F7&quot;/&gt;&lt;wsp:rsid wsp:val=&quot;000E381E&quot;/&gt;&lt;wsp:rsid wsp:val=&quot;000E3AEB&quot;/&gt;&lt;wsp:rsid wsp:val=&quot;000E4019&quot;/&gt;&lt;wsp:rsid wsp:val=&quot;000E4421&quot;/&gt;&lt;wsp:rsid wsp:val=&quot;000E4906&quot;/&gt;&lt;wsp:rsid wsp:val=&quot;000E4CA2&quot;/&gt;&lt;wsp:rsid wsp:val=&quot;000E4F6D&quot;/&gt;&lt;wsp:rsid wsp:val=&quot;000E5496&quot;/&gt;&lt;wsp:rsid wsp:val=&quot;000E56AD&quot;/&gt;&lt;wsp:rsid wsp:val=&quot;000E56C5&quot;/&gt;&lt;wsp:rsid wsp:val=&quot;000E5B04&quot;/&gt;&lt;wsp:rsid wsp:val=&quot;000E64B9&quot;/&gt;&lt;wsp:rsid wsp:val=&quot;000E6562&quot;/&gt;&lt;wsp:rsid wsp:val=&quot;000E6586&quot;/&gt;&lt;wsp:rsid wsp:val=&quot;000E72CA&quot;/&gt;&lt;wsp:rsid wsp:val=&quot;000E7460&quot;/&gt;&lt;wsp:rsid wsp:val=&quot;000E785F&quot;/&gt;&lt;wsp:rsid wsp:val=&quot;000F0095&quot;/&gt;&lt;wsp:rsid wsp:val=&quot;000F0866&quot;/&gt;&lt;wsp:rsid wsp:val=&quot;000F08DE&quot;/&gt;&lt;wsp:rsid wsp:val=&quot;000F0AEA&quot;/&gt;&lt;wsp:rsid wsp:val=&quot;000F0B14&quot;/&gt;&lt;wsp:rsid wsp:val=&quot;000F0D9D&quot;/&gt;&lt;wsp:rsid wsp:val=&quot;000F1187&quot;/&gt;&lt;wsp:rsid wsp:val=&quot;000F13C2&quot;/&gt;&lt;wsp:rsid wsp:val=&quot;000F15F2&quot;/&gt;&lt;wsp:rsid wsp:val=&quot;000F1830&quot;/&gt;&lt;wsp:rsid wsp:val=&quot;000F2759&quot;/&gt;&lt;wsp:rsid wsp:val=&quot;000F317F&quot;/&gt;&lt;wsp:rsid wsp:val=&quot;000F337B&quot;/&gt;&lt;wsp:rsid wsp:val=&quot;000F3CC7&quot;/&gt;&lt;wsp:rsid wsp:val=&quot;000F403D&quot;/&gt;&lt;wsp:rsid wsp:val=&quot;000F4287&quot;/&gt;&lt;wsp:rsid wsp:val=&quot;000F4389&quot;/&gt;&lt;wsp:rsid wsp:val=&quot;000F484B&quot;/&gt;&lt;wsp:rsid wsp:val=&quot;000F4FAE&quot;/&gt;&lt;wsp:rsid wsp:val=&quot;000F5591&quot;/&gt;&lt;wsp:rsid wsp:val=&quot;000F57E4&quot;/&gt;&lt;wsp:rsid wsp:val=&quot;000F5C16&quot;/&gt;&lt;wsp:rsid wsp:val=&quot;000F60E6&quot;/&gt;&lt;wsp:rsid wsp:val=&quot;000F6F5B&quot;/&gt;&lt;wsp:rsid wsp:val=&quot;000F743B&quot;/&gt;&lt;wsp:rsid wsp:val=&quot;000F79ED&quot;/&gt;&lt;wsp:rsid wsp:val=&quot;000F7E8F&quot;/&gt;&lt;wsp:rsid wsp:val=&quot;00100565&quot;/&gt;&lt;wsp:rsid wsp:val=&quot;0010079F&quot;/&gt;&lt;wsp:rsid wsp:val=&quot;001007F6&quot;/&gt;&lt;wsp:rsid wsp:val=&quot;0010085A&quot;/&gt;&lt;wsp:rsid wsp:val=&quot;00100B18&quot;/&gt;&lt;wsp:rsid wsp:val=&quot;00100C0C&quot;/&gt;&lt;wsp:rsid wsp:val=&quot;00100FA1&quot;/&gt;&lt;wsp:rsid wsp:val=&quot;00100FA5&quot;/&gt;&lt;wsp:rsid wsp:val=&quot;0010136D&quot;/&gt;&lt;wsp:rsid wsp:val=&quot;001013C0&quot;/&gt;&lt;wsp:rsid wsp:val=&quot;0010153E&quot;/&gt;&lt;wsp:rsid wsp:val=&quot;001017D1&quot;/&gt;&lt;wsp:rsid wsp:val=&quot;00101889&quot;/&gt;&lt;wsp:rsid wsp:val=&quot;00101BF0&quot;/&gt;&lt;wsp:rsid wsp:val=&quot;00102343&quot;/&gt;&lt;wsp:rsid wsp:val=&quot;00102433&quot;/&gt;&lt;wsp:rsid wsp:val=&quot;00102564&quot;/&gt;&lt;wsp:rsid wsp:val=&quot;001028FB&quot;/&gt;&lt;wsp:rsid wsp:val=&quot;0010291C&quot;/&gt;&lt;wsp:rsid wsp:val=&quot;00102B88&quot;/&gt;&lt;wsp:rsid wsp:val=&quot;00102C99&quot;/&gt;&lt;wsp:rsid wsp:val=&quot;00103887&quot;/&gt;&lt;wsp:rsid wsp:val=&quot;00103962&quot;/&gt;&lt;wsp:rsid wsp:val=&quot;00103D38&quot;/&gt;&lt;wsp:rsid wsp:val=&quot;00104722&quot;/&gt;&lt;wsp:rsid wsp:val=&quot;00104A66&quot;/&gt;&lt;wsp:rsid wsp:val=&quot;00104A96&quot;/&gt;&lt;wsp:rsid wsp:val=&quot;00104DF2&quot;/&gt;&lt;wsp:rsid wsp:val=&quot;00104E38&quot;/&gt;&lt;wsp:rsid wsp:val=&quot;00104E39&quot;/&gt;&lt;wsp:rsid wsp:val=&quot;001053AC&quot;/&gt;&lt;wsp:rsid wsp:val=&quot;001055E1&quot;/&gt;&lt;wsp:rsid wsp:val=&quot;001057A1&quot;/&gt;&lt;wsp:rsid wsp:val=&quot;00105C11&quot;/&gt;&lt;wsp:rsid wsp:val=&quot;00105CA0&quot;/&gt;&lt;wsp:rsid wsp:val=&quot;0010630B&quot;/&gt;&lt;wsp:rsid wsp:val=&quot;0010653D&quot;/&gt;&lt;wsp:rsid wsp:val=&quot;0010728C&quot;/&gt;&lt;wsp:rsid wsp:val=&quot;00107807&quot;/&gt;&lt;wsp:rsid wsp:val=&quot;0010780B&quot;/&gt;&lt;wsp:rsid wsp:val=&quot;0010794E&quot;/&gt;&lt;wsp:rsid wsp:val=&quot;00107B11&quot;/&gt;&lt;wsp:rsid wsp:val=&quot;00107B79&quot;/&gt;&lt;wsp:rsid wsp:val=&quot;00107D7C&quot;/&gt;&lt;wsp:rsid wsp:val=&quot;00107DE6&quot;/&gt;&lt;wsp:rsid wsp:val=&quot;00110460&quot;/&gt;&lt;wsp:rsid wsp:val=&quot;00110AD1&quot;/&gt;&lt;wsp:rsid wsp:val=&quot;00110B44&quot;/&gt;&lt;wsp:rsid wsp:val=&quot;00110C30&quot;/&gt;&lt;wsp:rsid wsp:val=&quot;00110DE8&quot;/&gt;&lt;wsp:rsid wsp:val=&quot;00111278&quot;/&gt;&lt;wsp:rsid wsp:val=&quot;00111481&quot;/&gt;&lt;wsp:rsid wsp:val=&quot;00111703&quot;/&gt;&lt;wsp:rsid wsp:val=&quot;001122D9&quot;/&gt;&lt;wsp:rsid wsp:val=&quot;001125E5&quot;/&gt;&lt;wsp:rsid wsp:val=&quot;001125E7&quot;/&gt;&lt;wsp:rsid wsp:val=&quot;0011327A&quot;/&gt;&lt;wsp:rsid wsp:val=&quot;001132D9&quot;/&gt;&lt;wsp:rsid wsp:val=&quot;00113605&quot;/&gt;&lt;wsp:rsid wsp:val=&quot;00113943&quot;/&gt;&lt;wsp:rsid wsp:val=&quot;00113975&quot;/&gt;&lt;wsp:rsid wsp:val=&quot;00113AE1&quot;/&gt;&lt;wsp:rsid wsp:val=&quot;00113D29&quot;/&gt;&lt;wsp:rsid wsp:val=&quot;0011400E&quot;/&gt;&lt;wsp:rsid wsp:val=&quot;0011403F&quot;/&gt;&lt;wsp:rsid wsp:val=&quot;001144DA&quot;/&gt;&lt;wsp:rsid wsp:val=&quot;0011463D&quot;/&gt;&lt;wsp:rsid wsp:val=&quot;001147C3&quot;/&gt;&lt;wsp:rsid wsp:val=&quot;00115092&quot;/&gt;&lt;wsp:rsid wsp:val=&quot;001151F3&quot;/&gt;&lt;wsp:rsid wsp:val=&quot;001151FC&quot;/&gt;&lt;wsp:rsid wsp:val=&quot;00115369&quot;/&gt;&lt;wsp:rsid wsp:val=&quot;00115564&quot;/&gt;&lt;wsp:rsid wsp:val=&quot;00115E0B&quot;/&gt;&lt;wsp:rsid wsp:val=&quot;00115E7A&quot;/&gt;&lt;wsp:rsid wsp:val=&quot;00115FB8&quot;/&gt;&lt;wsp:rsid wsp:val=&quot;001163B4&quot;/&gt;&lt;wsp:rsid wsp:val=&quot;0011652B&quot;/&gt;&lt;wsp:rsid wsp:val=&quot;0011673A&quot;/&gt;&lt;wsp:rsid wsp:val=&quot;001167F3&quot;/&gt;&lt;wsp:rsid wsp:val=&quot;0011681B&quot;/&gt;&lt;wsp:rsid wsp:val=&quot;00116D9F&quot;/&gt;&lt;wsp:rsid wsp:val=&quot;00117135&quot;/&gt;&lt;wsp:rsid wsp:val=&quot;00117DF4&quot;/&gt;&lt;wsp:rsid wsp:val=&quot;00117E44&quot;/&gt;&lt;wsp:rsid wsp:val=&quot;001208F5&quot;/&gt;&lt;wsp:rsid wsp:val=&quot;00120EEF&quot;/&gt;&lt;wsp:rsid wsp:val=&quot;00121126&quot;/&gt;&lt;wsp:rsid wsp:val=&quot;00121370&quot;/&gt;&lt;wsp:rsid wsp:val=&quot;00121427&quot;/&gt;&lt;wsp:rsid wsp:val=&quot;00121B9F&quot;/&gt;&lt;wsp:rsid wsp:val=&quot;001225E5&quot;/&gt;&lt;wsp:rsid wsp:val=&quot;00123406&quot;/&gt;&lt;wsp:rsid wsp:val=&quot;00124033&quot;/&gt;&lt;wsp:rsid wsp:val=&quot;0012413D&quot;/&gt;&lt;wsp:rsid wsp:val=&quot;0012415F&quot;/&gt;&lt;wsp:rsid wsp:val=&quot;0012466D&quot;/&gt;&lt;wsp:rsid wsp:val=&quot;001246E9&quot;/&gt;&lt;wsp:rsid wsp:val=&quot;00124768&quot;/&gt;&lt;wsp:rsid wsp:val=&quot;0012480C&quot;/&gt;&lt;wsp:rsid wsp:val=&quot;00124B97&quot;/&gt;&lt;wsp:rsid wsp:val=&quot;00124D10&quot;/&gt;&lt;wsp:rsid wsp:val=&quot;00124EFA&quot;/&gt;&lt;wsp:rsid wsp:val=&quot;001253F8&quot;/&gt;&lt;wsp:rsid wsp:val=&quot;001256E6&quot;/&gt;&lt;wsp:rsid wsp:val=&quot;00125704&quot;/&gt;&lt;wsp:rsid wsp:val=&quot;00125993&quot;/&gt;&lt;wsp:rsid wsp:val=&quot;00125E3E&quot;/&gt;&lt;wsp:rsid wsp:val=&quot;00125EC8&quot;/&gt;&lt;wsp:rsid wsp:val=&quot;001267F3&quot;/&gt;&lt;wsp:rsid wsp:val=&quot;00126B33&quot;/&gt;&lt;wsp:rsid wsp:val=&quot;00126B66&quot;/&gt;&lt;wsp:rsid wsp:val=&quot;00126C2D&quot;/&gt;&lt;wsp:rsid wsp:val=&quot;001275D2&quot;/&gt;&lt;wsp:rsid wsp:val=&quot;0012786E&quot;/&gt;&lt;wsp:rsid wsp:val=&quot;00127BAB&quot;/&gt;&lt;wsp:rsid wsp:val=&quot;00127E98&quot;/&gt;&lt;wsp:rsid wsp:val=&quot;00127FB2&quot;/&gt;&lt;wsp:rsid wsp:val=&quot;00127FB5&quot;/&gt;&lt;wsp:rsid wsp:val=&quot;00130A74&quot;/&gt;&lt;wsp:rsid wsp:val=&quot;00130C1F&quot;/&gt;&lt;wsp:rsid wsp:val=&quot;00130DF6&quot;/&gt;&lt;wsp:rsid wsp:val=&quot;001312C9&quot;/&gt;&lt;wsp:rsid wsp:val=&quot;001321C2&quot;/&gt;&lt;wsp:rsid wsp:val=&quot;0013228C&quot;/&gt;&lt;wsp:rsid wsp:val=&quot;00132445&quot;/&gt;&lt;wsp:rsid wsp:val=&quot;001324E1&quot;/&gt;&lt;wsp:rsid wsp:val=&quot;00132A51&quot;/&gt;&lt;wsp:rsid wsp:val=&quot;00132F01&quot;/&gt;&lt;wsp:rsid wsp:val=&quot;001331C9&quot;/&gt;&lt;wsp:rsid wsp:val=&quot;00133252&quot;/&gt;&lt;wsp:rsid wsp:val=&quot;0013329B&quot;/&gt;&lt;wsp:rsid wsp:val=&quot;0013382F&quot;/&gt;&lt;wsp:rsid wsp:val=&quot;00133B6E&quot;/&gt;&lt;wsp:rsid wsp:val=&quot;00133C59&quot;/&gt;&lt;wsp:rsid wsp:val=&quot;001340D6&quot;/&gt;&lt;wsp:rsid wsp:val=&quot;0013449E&quot;/&gt;&lt;wsp:rsid wsp:val=&quot;001348A5&quot;/&gt;&lt;wsp:rsid wsp:val=&quot;00134C65&quot;/&gt;&lt;wsp:rsid wsp:val=&quot;00135B13&quot;/&gt;&lt;wsp:rsid wsp:val=&quot;00135BE2&quot;/&gt;&lt;wsp:rsid wsp:val=&quot;00135E40&quot;/&gt;&lt;wsp:rsid wsp:val=&quot;00136038&quot;/&gt;&lt;wsp:rsid wsp:val=&quot;00136172&quot;/&gt;&lt;wsp:rsid wsp:val=&quot;00136726&quot;/&gt;&lt;wsp:rsid wsp:val=&quot;0013675C&quot;/&gt;&lt;wsp:rsid wsp:val=&quot;00136943&quot;/&gt;&lt;wsp:rsid wsp:val=&quot;00136DD5&quot;/&gt;&lt;wsp:rsid wsp:val=&quot;00137CD1&quot;/&gt;&lt;wsp:rsid wsp:val=&quot;00137DDF&quot;/&gt;&lt;wsp:rsid wsp:val=&quot;00140462&quot;/&gt;&lt;wsp:rsid wsp:val=&quot;001405F2&quot;/&gt;&lt;wsp:rsid wsp:val=&quot;00140671&quot;/&gt;&lt;wsp:rsid wsp:val=&quot;00140930&quot;/&gt;&lt;wsp:rsid wsp:val=&quot;00140D73&quot;/&gt;&lt;wsp:rsid wsp:val=&quot;0014116A&quot;/&gt;&lt;wsp:rsid wsp:val=&quot;0014122E&quot;/&gt;&lt;wsp:rsid wsp:val=&quot;001412BE&quot;/&gt;&lt;wsp:rsid wsp:val=&quot;0014148D&quot;/&gt;&lt;wsp:rsid wsp:val=&quot;00141775&quot;/&gt;&lt;wsp:rsid wsp:val=&quot;001419DB&quot;/&gt;&lt;wsp:rsid wsp:val=&quot;00141C07&quot;/&gt;&lt;wsp:rsid wsp:val=&quot;00141C08&quot;/&gt;&lt;wsp:rsid wsp:val=&quot;00141C38&quot;/&gt;&lt;wsp:rsid wsp:val=&quot;00141EB4&quot;/&gt;&lt;wsp:rsid wsp:val=&quot;00141F2E&quot;/&gt;&lt;wsp:rsid wsp:val=&quot;00141FDD&quot;/&gt;&lt;wsp:rsid wsp:val=&quot;0014294F&quot;/&gt;&lt;wsp:rsid wsp:val=&quot;001429CB&quot;/&gt;&lt;wsp:rsid wsp:val=&quot;00142FE8&quot;/&gt;&lt;wsp:rsid wsp:val=&quot;0014322A&quot;/&gt;&lt;wsp:rsid wsp:val=&quot;001436EE&quot;/&gt;&lt;wsp:rsid wsp:val=&quot;00143B0F&quot;/&gt;&lt;wsp:rsid wsp:val=&quot;00143BC4&quot;/&gt;&lt;wsp:rsid wsp:val=&quot;00143C67&quot;/&gt;&lt;wsp:rsid wsp:val=&quot;00143F7F&quot;/&gt;&lt;wsp:rsid wsp:val=&quot;00144047&quot;/&gt;&lt;wsp:rsid wsp:val=&quot;00144059&quot;/&gt;&lt;wsp:rsid wsp:val=&quot;001440E7&quot;/&gt;&lt;wsp:rsid wsp:val=&quot;00144344&quot;/&gt;&lt;wsp:rsid wsp:val=&quot;00144374&quot;/&gt;&lt;wsp:rsid wsp:val=&quot;0014437D&quot;/&gt;&lt;wsp:rsid wsp:val=&quot;0014466E&quot;/&gt;&lt;wsp:rsid wsp:val=&quot;00144673&quot;/&gt;&lt;wsp:rsid wsp:val=&quot;001446D2&quot;/&gt;&lt;wsp:rsid wsp:val=&quot;00144726&quot;/&gt;&lt;wsp:rsid wsp:val=&quot;00144767&quot;/&gt;&lt;wsp:rsid wsp:val=&quot;0014490D&quot;/&gt;&lt;wsp:rsid wsp:val=&quot;00144F35&quot;/&gt;&lt;wsp:rsid wsp:val=&quot;00145331&quot;/&gt;&lt;wsp:rsid wsp:val=&quot;001455DE&quot;/&gt;&lt;wsp:rsid wsp:val=&quot;00145803&quot;/&gt;&lt;wsp:rsid wsp:val=&quot;00145BF2&quot;/&gt;&lt;wsp:rsid wsp:val=&quot;00145C4D&quot;/&gt;&lt;wsp:rsid wsp:val=&quot;00146184&quot;/&gt;&lt;wsp:rsid wsp:val=&quot;00146391&quot;/&gt;&lt;wsp:rsid wsp:val=&quot;00146607&quot;/&gt;&lt;wsp:rsid wsp:val=&quot;0014699F&quot;/&gt;&lt;wsp:rsid wsp:val=&quot;00146A2F&quot;/&gt;&lt;wsp:rsid wsp:val=&quot;00146B05&quot;/&gt;&lt;wsp:rsid wsp:val=&quot;00146C8A&quot;/&gt;&lt;wsp:rsid wsp:val=&quot;00146D55&quot;/&gt;&lt;wsp:rsid wsp:val=&quot;00146F18&quot;/&gt;&lt;wsp:rsid wsp:val=&quot;00147126&quot;/&gt;&lt;wsp:rsid wsp:val=&quot;0014724F&quot;/&gt;&lt;wsp:rsid wsp:val=&quot;00147295&quot;/&gt;&lt;wsp:rsid wsp:val=&quot;00147818&quot;/&gt;&lt;wsp:rsid wsp:val=&quot;00147FEF&quot;/&gt;&lt;wsp:rsid wsp:val=&quot;00150376&quot;/&gt;&lt;wsp:rsid wsp:val=&quot;001503D0&quot;/&gt;&lt;wsp:rsid wsp:val=&quot;00150521&quot;/&gt;&lt;wsp:rsid wsp:val=&quot;00150814&quot;/&gt;&lt;wsp:rsid wsp:val=&quot;0015087D&quot;/&gt;&lt;wsp:rsid wsp:val=&quot;0015097F&quot;/&gt;&lt;wsp:rsid wsp:val=&quot;001509CA&quot;/&gt;&lt;wsp:rsid wsp:val=&quot;00150C1E&quot;/&gt;&lt;wsp:rsid wsp:val=&quot;0015167F&quot;/&gt;&lt;wsp:rsid wsp:val=&quot;00151943&quot;/&gt;&lt;wsp:rsid wsp:val=&quot;00151F94&quot;/&gt;&lt;wsp:rsid wsp:val=&quot;001524FB&quot;/&gt;&lt;wsp:rsid wsp:val=&quot;00152701&quot;/&gt;&lt;wsp:rsid wsp:val=&quot;00152B08&quot;/&gt;&lt;wsp:rsid wsp:val=&quot;00153540&quot;/&gt;&lt;wsp:rsid wsp:val=&quot;00153976&quot;/&gt;&lt;wsp:rsid wsp:val=&quot;00153DAE&quot;/&gt;&lt;wsp:rsid wsp:val=&quot;00153DC2&quot;/&gt;&lt;wsp:rsid wsp:val=&quot;001540BA&quot;/&gt;&lt;wsp:rsid wsp:val=&quot;00154274&quot;/&gt;&lt;wsp:rsid wsp:val=&quot;001543E0&quot;/&gt;&lt;wsp:rsid wsp:val=&quot;00154653&quot;/&gt;&lt;wsp:rsid wsp:val=&quot;00154F6D&quot;/&gt;&lt;wsp:rsid wsp:val=&quot;001556FC&quot;/&gt;&lt;wsp:rsid wsp:val=&quot;0015573A&quot;/&gt;&lt;wsp:rsid wsp:val=&quot;00155EEA&quot;/&gt;&lt;wsp:rsid wsp:val=&quot;00155FD9&quot;/&gt;&lt;wsp:rsid wsp:val=&quot;00156434&quot;/&gt;&lt;wsp:rsid wsp:val=&quot;00156556&quot;/&gt;&lt;wsp:rsid wsp:val=&quot;00156744&quot;/&gt;&lt;wsp:rsid wsp:val=&quot;00157387&quot;/&gt;&lt;wsp:rsid wsp:val=&quot;00157584&quot;/&gt;&lt;wsp:rsid wsp:val=&quot;001575D4&quot;/&gt;&lt;wsp:rsid wsp:val=&quot;001575F8&quot;/&gt;&lt;wsp:rsid wsp:val=&quot;00157648&quot;/&gt;&lt;wsp:rsid wsp:val=&quot;00157866&quot;/&gt;&lt;wsp:rsid wsp:val=&quot;00157980&quot;/&gt;&lt;wsp:rsid wsp:val=&quot;00157E05&quot;/&gt;&lt;wsp:rsid wsp:val=&quot;00160454&quot;/&gt;&lt;wsp:rsid wsp:val=&quot;0016058D&quot;/&gt;&lt;wsp:rsid wsp:val=&quot;001607E5&quot;/&gt;&lt;wsp:rsid wsp:val=&quot;00160980&quot;/&gt;&lt;wsp:rsid wsp:val=&quot;00160AD4&quot;/&gt;&lt;wsp:rsid wsp:val=&quot;00160BC7&quot;/&gt;&lt;wsp:rsid wsp:val=&quot;0016130B&quot;/&gt;&lt;wsp:rsid wsp:val=&quot;00161353&quot;/&gt;&lt;wsp:rsid wsp:val=&quot;00161462&quot;/&gt;&lt;wsp:rsid wsp:val=&quot;00161490&quot;/&gt;&lt;wsp:rsid wsp:val=&quot;0016182B&quot;/&gt;&lt;wsp:rsid wsp:val=&quot;00161DB9&quot;/&gt;&lt;wsp:rsid wsp:val=&quot;00162104&quot;/&gt;&lt;wsp:rsid wsp:val=&quot;00162740&quot;/&gt;&lt;wsp:rsid wsp:val=&quot;001628A9&quot;/&gt;&lt;wsp:rsid wsp:val=&quot;00162E69&quot;/&gt;&lt;wsp:rsid wsp:val=&quot;00163665&quot;/&gt;&lt;wsp:rsid wsp:val=&quot;00163743&quot;/&gt;&lt;wsp:rsid wsp:val=&quot;00163994&quot;/&gt;&lt;wsp:rsid wsp:val=&quot;001639AB&quot;/&gt;&lt;wsp:rsid wsp:val=&quot;001645C3&quot;/&gt;&lt;wsp:rsid wsp:val=&quot;00164650&quot;/&gt;&lt;wsp:rsid wsp:val=&quot;001649E4&quot;/&gt;&lt;wsp:rsid wsp:val=&quot;00164C4E&quot;/&gt;&lt;wsp:rsid wsp:val=&quot;00164FC4&quot;/&gt;&lt;wsp:rsid wsp:val=&quot;001657A1&quot;/&gt;&lt;wsp:rsid wsp:val=&quot;00165961&quot;/&gt;&lt;wsp:rsid wsp:val=&quot;00165B3A&quot;/&gt;&lt;wsp:rsid wsp:val=&quot;001669D3&quot;/&gt;&lt;wsp:rsid wsp:val=&quot;00166F4B&quot;/&gt;&lt;wsp:rsid wsp:val=&quot;00166FBD&quot;/&gt;&lt;wsp:rsid wsp:val=&quot;0016714B&quot;/&gt;&lt;wsp:rsid wsp:val=&quot;001674EC&quot;/&gt;&lt;wsp:rsid wsp:val=&quot;00167577&quot;/&gt;&lt;wsp:rsid wsp:val=&quot;0017016D&quot;/&gt;&lt;wsp:rsid wsp:val=&quot;001701DB&quot;/&gt;&lt;wsp:rsid wsp:val=&quot;001702AB&quot;/&gt;&lt;wsp:rsid wsp:val=&quot;001702D1&quot;/&gt;&lt;wsp:rsid wsp:val=&quot;001711EE&quot;/&gt;&lt;wsp:rsid wsp:val=&quot;001715F7&quot;/&gt;&lt;wsp:rsid wsp:val=&quot;00171C5B&quot;/&gt;&lt;wsp:rsid wsp:val=&quot;00171D1D&quot;/&gt;&lt;wsp:rsid wsp:val=&quot;00171D8A&quot;/&gt;&lt;wsp:rsid wsp:val=&quot;00172378&quot;/&gt;&lt;wsp:rsid wsp:val=&quot;001727E1&quot;/&gt;&lt;wsp:rsid wsp:val=&quot;0017294C&quot;/&gt;&lt;wsp:rsid wsp:val=&quot;00172971&quot;/&gt;&lt;wsp:rsid wsp:val=&quot;00173011&quot;/&gt;&lt;wsp:rsid wsp:val=&quot;0017323B&quot;/&gt;&lt;wsp:rsid wsp:val=&quot;00173241&quot;/&gt;&lt;wsp:rsid wsp:val=&quot;00173670&quot;/&gt;&lt;wsp:rsid wsp:val=&quot;0017389A&quot;/&gt;&lt;wsp:rsid wsp:val=&quot;00173C4A&quot;/&gt;&lt;wsp:rsid wsp:val=&quot;00173ECC&quot;/&gt;&lt;wsp:rsid wsp:val=&quot;00174454&quot;/&gt;&lt;wsp:rsid wsp:val=&quot;001745DE&quot;/&gt;&lt;wsp:rsid wsp:val=&quot;00175009&quot;/&gt;&lt;wsp:rsid wsp:val=&quot;001751C4&quot;/&gt;&lt;wsp:rsid wsp:val=&quot;00175348&quot;/&gt;&lt;wsp:rsid wsp:val=&quot;00175713&quot;/&gt;&lt;wsp:rsid wsp:val=&quot;00175844&quot;/&gt;&lt;wsp:rsid wsp:val=&quot;001762BD&quot;/&gt;&lt;wsp:rsid wsp:val=&quot;001769AA&quot;/&gt;&lt;wsp:rsid wsp:val=&quot;001773E7&quot;/&gt;&lt;wsp:rsid wsp:val=&quot;001774A5&quot;/&gt;&lt;wsp:rsid wsp:val=&quot;00177518&quot;/&gt;&lt;wsp:rsid wsp:val=&quot;001775EF&quot;/&gt;&lt;wsp:rsid wsp:val=&quot;00177C23&quot;/&gt;&lt;wsp:rsid wsp:val=&quot;00177C63&quot;/&gt;&lt;wsp:rsid wsp:val=&quot;00177D8A&quot;/&gt;&lt;wsp:rsid wsp:val=&quot;0018028C&quot;/&gt;&lt;wsp:rsid wsp:val=&quot;0018034A&quot;/&gt;&lt;wsp:rsid wsp:val=&quot;001804DC&quot;/&gt;&lt;wsp:rsid wsp:val=&quot;0018072A&quot;/&gt;&lt;wsp:rsid wsp:val=&quot;00180756&quot;/&gt;&lt;wsp:rsid wsp:val=&quot;001807D6&quot;/&gt;&lt;wsp:rsid wsp:val=&quot;00180838&quot;/&gt;&lt;wsp:rsid wsp:val=&quot;00180AB2&quot;/&gt;&lt;wsp:rsid wsp:val=&quot;00180AC9&quot;/&gt;&lt;wsp:rsid wsp:val=&quot;00180C62&quot;/&gt;&lt;wsp:rsid wsp:val=&quot;00180CB8&quot;/&gt;&lt;wsp:rsid wsp:val=&quot;0018185E&quot;/&gt;&lt;wsp:rsid wsp:val=&quot;00181916&quot;/&gt;&lt;wsp:rsid wsp:val=&quot;001819E1&quot;/&gt;&lt;wsp:rsid wsp:val=&quot;00181AF5&quot;/&gt;&lt;wsp:rsid wsp:val=&quot;00181D86&quot;/&gt;&lt;wsp:rsid wsp:val=&quot;00182435&quot;/&gt;&lt;wsp:rsid wsp:val=&quot;0018270F&quot;/&gt;&lt;wsp:rsid wsp:val=&quot;00182B5D&quot;/&gt;&lt;wsp:rsid wsp:val=&quot;00182C59&quot;/&gt;&lt;wsp:rsid wsp:val=&quot;00182D3D&quot;/&gt;&lt;wsp:rsid wsp:val=&quot;00182DD9&quot;/&gt;&lt;wsp:rsid wsp:val=&quot;001830E6&quot;/&gt;&lt;wsp:rsid wsp:val=&quot;001833EA&quot;/&gt;&lt;wsp:rsid wsp:val=&quot;0018344F&quot;/&gt;&lt;wsp:rsid wsp:val=&quot;00183C87&quot;/&gt;&lt;wsp:rsid wsp:val=&quot;00184DF4&quot;/&gt;&lt;wsp:rsid wsp:val=&quot;00184E1F&quot;/&gt;&lt;wsp:rsid wsp:val=&quot;00184E5F&quot;/&gt;&lt;wsp:rsid wsp:val=&quot;00184EA7&quot;/&gt;&lt;wsp:rsid wsp:val=&quot;00184F02&quot;/&gt;&lt;wsp:rsid wsp:val=&quot;001851CE&quot;/&gt;&lt;wsp:rsid wsp:val=&quot;001859B1&quot;/&gt;&lt;wsp:rsid wsp:val=&quot;0018645F&quot;/&gt;&lt;wsp:rsid wsp:val=&quot;00186981&quot;/&gt;&lt;wsp:rsid wsp:val=&quot;00186F25&quot;/&gt;&lt;wsp:rsid wsp:val=&quot;00187388&quot;/&gt;&lt;wsp:rsid wsp:val=&quot;00187D3C&quot;/&gt;&lt;wsp:rsid wsp:val=&quot;00187E46&quot;/&gt;&lt;wsp:rsid wsp:val=&quot;00190701&quot;/&gt;&lt;wsp:rsid wsp:val=&quot;00190B5D&quot;/&gt;&lt;wsp:rsid wsp:val=&quot;00190C3E&quot;/&gt;&lt;wsp:rsid wsp:val=&quot;00190EBA&quot;/&gt;&lt;wsp:rsid wsp:val=&quot;00191054&quot;/&gt;&lt;wsp:rsid wsp:val=&quot;0019249F&quot;/&gt;&lt;wsp:rsid wsp:val=&quot;00192717&quot;/&gt;&lt;wsp:rsid wsp:val=&quot;00192EA2&quot;/&gt;&lt;wsp:rsid wsp:val=&quot;00193079&quot;/&gt;&lt;wsp:rsid wsp:val=&quot;0019361F&quot;/&gt;&lt;wsp:rsid wsp:val=&quot;0019383D&quot;/&gt;&lt;wsp:rsid wsp:val=&quot;00194523&quot;/&gt;&lt;wsp:rsid wsp:val=&quot;0019482F&quot;/&gt;&lt;wsp:rsid wsp:val=&quot;00194E37&quot;/&gt;&lt;wsp:rsid wsp:val=&quot;00194EE0&quot;/&gt;&lt;wsp:rsid wsp:val=&quot;00195278&quot;/&gt;&lt;wsp:rsid wsp:val=&quot;001952EF&quot;/&gt;&lt;wsp:rsid wsp:val=&quot;0019531D&quot;/&gt;&lt;wsp:rsid wsp:val=&quot;001959E3&quot;/&gt;&lt;wsp:rsid wsp:val=&quot;00195B86&quot;/&gt;&lt;wsp:rsid wsp:val=&quot;00195F8B&quot;/&gt;&lt;wsp:rsid wsp:val=&quot;00196048&quot;/&gt;&lt;wsp:rsid wsp:val=&quot;00196061&quot;/&gt;&lt;wsp:rsid wsp:val=&quot;00196267&quot;/&gt;&lt;wsp:rsid wsp:val=&quot;001962DB&quot;/&gt;&lt;wsp:rsid wsp:val=&quot;001964A3&quot;/&gt;&lt;wsp:rsid wsp:val=&quot;001965B3&quot;/&gt;&lt;wsp:rsid wsp:val=&quot;0019674E&quot;/&gt;&lt;wsp:rsid wsp:val=&quot;0019686A&quot;/&gt;&lt;wsp:rsid wsp:val=&quot;00196903&quot;/&gt;&lt;wsp:rsid wsp:val=&quot;00196CEE&quot;/&gt;&lt;wsp:rsid wsp:val=&quot;00196D2C&quot;/&gt;&lt;wsp:rsid wsp:val=&quot;00196E61&quot;/&gt;&lt;wsp:rsid wsp:val=&quot;0019781F&quot;/&gt;&lt;wsp:rsid wsp:val=&quot;001978D8&quot;/&gt;&lt;wsp:rsid wsp:val=&quot;0019796F&quot;/&gt;&lt;wsp:rsid wsp:val=&quot;00197ACD&quot;/&gt;&lt;wsp:rsid wsp:val=&quot;00197BD5&quot;/&gt;&lt;wsp:rsid wsp:val=&quot;00197C63&quot;/&gt;&lt;wsp:rsid wsp:val=&quot;00197D10&quot;/&gt;&lt;wsp:rsid wsp:val=&quot;001A01F8&quot;/&gt;&lt;wsp:rsid wsp:val=&quot;001A0910&quot;/&gt;&lt;wsp:rsid wsp:val=&quot;001A0D8A&quot;/&gt;&lt;wsp:rsid wsp:val=&quot;001A1081&quot;/&gt;&lt;wsp:rsid wsp:val=&quot;001A137C&quot;/&gt;&lt;wsp:rsid wsp:val=&quot;001A15C6&quot;/&gt;&lt;wsp:rsid wsp:val=&quot;001A1E78&quot;/&gt;&lt;wsp:rsid wsp:val=&quot;001A24C9&quot;/&gt;&lt;wsp:rsid wsp:val=&quot;001A26BE&quot;/&gt;&lt;wsp:rsid wsp:val=&quot;001A2BC3&quot;/&gt;&lt;wsp:rsid wsp:val=&quot;001A3487&quot;/&gt;&lt;wsp:rsid wsp:val=&quot;001A3995&quot;/&gt;&lt;wsp:rsid wsp:val=&quot;001A4906&quot;/&gt;&lt;wsp:rsid wsp:val=&quot;001A4F58&quot;/&gt;&lt;wsp:rsid wsp:val=&quot;001A58EB&quot;/&gt;&lt;wsp:rsid wsp:val=&quot;001A5E4D&quot;/&gt;&lt;wsp:rsid wsp:val=&quot;001A5F78&quot;/&gt;&lt;wsp:rsid wsp:val=&quot;001A62C8&quot;/&gt;&lt;wsp:rsid wsp:val=&quot;001A642D&quot;/&gt;&lt;wsp:rsid wsp:val=&quot;001A65EA&quot;/&gt;&lt;wsp:rsid wsp:val=&quot;001A66B2&quot;/&gt;&lt;wsp:rsid wsp:val=&quot;001A7199&quot;/&gt;&lt;wsp:rsid wsp:val=&quot;001A7307&quot;/&gt;&lt;wsp:rsid wsp:val=&quot;001A786A&quot;/&gt;&lt;wsp:rsid wsp:val=&quot;001A7B4C&quot;/&gt;&lt;wsp:rsid wsp:val=&quot;001A7BCF&quot;/&gt;&lt;wsp:rsid wsp:val=&quot;001A7D02&quot;/&gt;&lt;wsp:rsid wsp:val=&quot;001A7E5E&quot;/&gt;&lt;wsp:rsid wsp:val=&quot;001A7E73&quot;/&gt;&lt;wsp:rsid wsp:val=&quot;001B0343&quot;/&gt;&lt;wsp:rsid wsp:val=&quot;001B0C29&quot;/&gt;&lt;wsp:rsid wsp:val=&quot;001B143F&quot;/&gt;&lt;wsp:rsid wsp:val=&quot;001B177A&quot;/&gt;&lt;wsp:rsid wsp:val=&quot;001B1E97&quot;/&gt;&lt;wsp:rsid wsp:val=&quot;001B1F9B&quot;/&gt;&lt;wsp:rsid wsp:val=&quot;001B2007&quot;/&gt;&lt;wsp:rsid wsp:val=&quot;001B24B5&quot;/&gt;&lt;wsp:rsid wsp:val=&quot;001B2C07&quot;/&gt;&lt;wsp:rsid wsp:val=&quot;001B2C65&quot;/&gt;&lt;wsp:rsid wsp:val=&quot;001B30B6&quot;/&gt;&lt;wsp:rsid wsp:val=&quot;001B3352&quot;/&gt;&lt;wsp:rsid wsp:val=&quot;001B366C&quot;/&gt;&lt;wsp:rsid wsp:val=&quot;001B480D&quot;/&gt;&lt;wsp:rsid wsp:val=&quot;001B50EC&quot;/&gt;&lt;wsp:rsid wsp:val=&quot;001B5245&quot;/&gt;&lt;wsp:rsid wsp:val=&quot;001B5723&quot;/&gt;&lt;wsp:rsid wsp:val=&quot;001B5778&quot;/&gt;&lt;wsp:rsid wsp:val=&quot;001B59EA&quot;/&gt;&lt;wsp:rsid wsp:val=&quot;001B5CF0&quot;/&gt;&lt;wsp:rsid wsp:val=&quot;001B5F1B&quot;/&gt;&lt;wsp:rsid wsp:val=&quot;001B5FC3&quot;/&gt;&lt;wsp:rsid wsp:val=&quot;001B6134&quot;/&gt;&lt;wsp:rsid wsp:val=&quot;001B62BE&quot;/&gt;&lt;wsp:rsid wsp:val=&quot;001B6449&quot;/&gt;&lt;wsp:rsid wsp:val=&quot;001B6589&quot;/&gt;&lt;wsp:rsid wsp:val=&quot;001B6727&quot;/&gt;&lt;wsp:rsid wsp:val=&quot;001B677A&quot;/&gt;&lt;wsp:rsid wsp:val=&quot;001B6841&quot;/&gt;&lt;wsp:rsid wsp:val=&quot;001B6EA0&quot;/&gt;&lt;wsp:rsid wsp:val=&quot;001B7237&quot;/&gt;&lt;wsp:rsid wsp:val=&quot;001B72A0&quot;/&gt;&lt;wsp:rsid wsp:val=&quot;001B72CE&quot;/&gt;&lt;wsp:rsid wsp:val=&quot;001B7314&quot;/&gt;&lt;wsp:rsid wsp:val=&quot;001B7436&quot;/&gt;&lt;wsp:rsid wsp:val=&quot;001B7EC8&quot;/&gt;&lt;wsp:rsid wsp:val=&quot;001C0401&quot;/&gt;&lt;wsp:rsid wsp:val=&quot;001C04E9&quot;/&gt;&lt;wsp:rsid wsp:val=&quot;001C0961&quot;/&gt;&lt;wsp:rsid wsp:val=&quot;001C0976&quot;/&gt;&lt;wsp:rsid wsp:val=&quot;001C09FF&quot;/&gt;&lt;wsp:rsid wsp:val=&quot;001C0A5F&quot;/&gt;&lt;wsp:rsid wsp:val=&quot;001C0AE9&quot;/&gt;&lt;wsp:rsid wsp:val=&quot;001C0B0E&quot;/&gt;&lt;wsp:rsid wsp:val=&quot;001C0C95&quot;/&gt;&lt;wsp:rsid wsp:val=&quot;001C0CD6&quot;/&gt;&lt;wsp:rsid wsp:val=&quot;001C16B9&quot;/&gt;&lt;wsp:rsid wsp:val=&quot;001C187C&quot;/&gt;&lt;wsp:rsid wsp:val=&quot;001C18C0&quot;/&gt;&lt;wsp:rsid wsp:val=&quot;001C1C58&quot;/&gt;&lt;wsp:rsid wsp:val=&quot;001C1CAC&quot;/&gt;&lt;wsp:rsid wsp:val=&quot;001C1CEE&quot;/&gt;&lt;wsp:rsid wsp:val=&quot;001C1D1F&quot;/&gt;&lt;wsp:rsid wsp:val=&quot;001C1D75&quot;/&gt;&lt;wsp:rsid wsp:val=&quot;001C2147&quot;/&gt;&lt;wsp:rsid wsp:val=&quot;001C26C9&quot;/&gt;&lt;wsp:rsid wsp:val=&quot;001C2A51&quot;/&gt;&lt;wsp:rsid wsp:val=&quot;001C2A5E&quot;/&gt;&lt;wsp:rsid wsp:val=&quot;001C2C7F&quot;/&gt;&lt;wsp:rsid wsp:val=&quot;001C2E20&quot;/&gt;&lt;wsp:rsid wsp:val=&quot;001C3050&quot;/&gt;&lt;wsp:rsid wsp:val=&quot;001C30A9&quot;/&gt;&lt;wsp:rsid wsp:val=&quot;001C3959&quot;/&gt;&lt;wsp:rsid wsp:val=&quot;001C3C48&quot;/&gt;&lt;wsp:rsid wsp:val=&quot;001C3C6C&quot;/&gt;&lt;wsp:rsid wsp:val=&quot;001C3F0F&quot;/&gt;&lt;wsp:rsid wsp:val=&quot;001C4AEA&quot;/&gt;&lt;wsp:rsid wsp:val=&quot;001C58BD&quot;/&gt;&lt;wsp:rsid wsp:val=&quot;001C5C69&quot;/&gt;&lt;wsp:rsid wsp:val=&quot;001C5C94&quot;/&gt;&lt;wsp:rsid wsp:val=&quot;001C5CEE&quot;/&gt;&lt;wsp:rsid wsp:val=&quot;001C5D71&quot;/&gt;&lt;wsp:rsid wsp:val=&quot;001C6447&quot;/&gt;&lt;wsp:rsid wsp:val=&quot;001C654D&quot;/&gt;&lt;wsp:rsid wsp:val=&quot;001C6B80&quot;/&gt;&lt;wsp:rsid wsp:val=&quot;001C70D3&quot;/&gt;&lt;wsp:rsid wsp:val=&quot;001C71F9&quot;/&gt;&lt;wsp:rsid wsp:val=&quot;001C7204&quot;/&gt;&lt;wsp:rsid wsp:val=&quot;001C7629&quot;/&gt;&lt;wsp:rsid wsp:val=&quot;001C7A9C&quot;/&gt;&lt;wsp:rsid wsp:val=&quot;001C7CE1&quot;/&gt;&lt;wsp:rsid wsp:val=&quot;001D00B9&quot;/&gt;&lt;wsp:rsid wsp:val=&quot;001D0A1C&quot;/&gt;&lt;wsp:rsid wsp:val=&quot;001D0B9D&quot;/&gt;&lt;wsp:rsid wsp:val=&quot;001D0C26&quot;/&gt;&lt;wsp:rsid wsp:val=&quot;001D0DE5&quot;/&gt;&lt;wsp:rsid wsp:val=&quot;001D10EF&quot;/&gt;&lt;wsp:rsid wsp:val=&quot;001D1184&quot;/&gt;&lt;wsp:rsid wsp:val=&quot;001D1322&quot;/&gt;&lt;wsp:rsid wsp:val=&quot;001D1489&quot;/&gt;&lt;wsp:rsid wsp:val=&quot;001D1803&quot;/&gt;&lt;wsp:rsid wsp:val=&quot;001D196E&quot;/&gt;&lt;wsp:rsid wsp:val=&quot;001D1F57&quot;/&gt;&lt;wsp:rsid wsp:val=&quot;001D2001&quot;/&gt;&lt;wsp:rsid wsp:val=&quot;001D2179&quot;/&gt;&lt;wsp:rsid wsp:val=&quot;001D23B3&quot;/&gt;&lt;wsp:rsid wsp:val=&quot;001D26B4&quot;/&gt;&lt;wsp:rsid wsp:val=&quot;001D26D4&quot;/&gt;&lt;wsp:rsid wsp:val=&quot;001D29DD&quot;/&gt;&lt;wsp:rsid wsp:val=&quot;001D2F24&quot;/&gt;&lt;wsp:rsid wsp:val=&quot;001D34A9&quot;/&gt;&lt;wsp:rsid wsp:val=&quot;001D38F3&quot;/&gt;&lt;wsp:rsid wsp:val=&quot;001D3900&quot;/&gt;&lt;wsp:rsid wsp:val=&quot;001D3B05&quot;/&gt;&lt;wsp:rsid wsp:val=&quot;001D4033&quot;/&gt;&lt;wsp:rsid wsp:val=&quot;001D40B1&quot;/&gt;&lt;wsp:rsid wsp:val=&quot;001D42F8&quot;/&gt;&lt;wsp:rsid wsp:val=&quot;001D45EE&quot;/&gt;&lt;wsp:rsid wsp:val=&quot;001D4B4C&quot;/&gt;&lt;wsp:rsid wsp:val=&quot;001D4BB6&quot;/&gt;&lt;wsp:rsid wsp:val=&quot;001D4C1E&quot;/&gt;&lt;wsp:rsid wsp:val=&quot;001D509C&quot;/&gt;&lt;wsp:rsid wsp:val=&quot;001D526E&quot;/&gt;&lt;wsp:rsid wsp:val=&quot;001D5701&quot;/&gt;&lt;wsp:rsid wsp:val=&quot;001D57C5&quot;/&gt;&lt;wsp:rsid wsp:val=&quot;001D5C93&quot;/&gt;&lt;wsp:rsid wsp:val=&quot;001D5E01&quot;/&gt;&lt;wsp:rsid wsp:val=&quot;001D5E5D&quot;/&gt;&lt;wsp:rsid wsp:val=&quot;001D5EE4&quot;/&gt;&lt;wsp:rsid wsp:val=&quot;001D6949&quot;/&gt;&lt;wsp:rsid wsp:val=&quot;001D73C5&quot;/&gt;&lt;wsp:rsid wsp:val=&quot;001D76F6&quot;/&gt;&lt;wsp:rsid wsp:val=&quot;001D775D&quot;/&gt;&lt;wsp:rsid wsp:val=&quot;001D786C&quot;/&gt;&lt;wsp:rsid wsp:val=&quot;001D7CC4&quot;/&gt;&lt;wsp:rsid wsp:val=&quot;001D7D2F&quot;/&gt;&lt;wsp:rsid wsp:val=&quot;001E0296&quot;/&gt;&lt;wsp:rsid wsp:val=&quot;001E04E8&quot;/&gt;&lt;wsp:rsid wsp:val=&quot;001E07A2&quot;/&gt;&lt;wsp:rsid wsp:val=&quot;001E08FD&quot;/&gt;&lt;wsp:rsid wsp:val=&quot;001E1354&quot;/&gt;&lt;wsp:rsid wsp:val=&quot;001E14B9&quot;/&gt;&lt;wsp:rsid wsp:val=&quot;001E18D9&quot;/&gt;&lt;wsp:rsid wsp:val=&quot;001E1FCF&quot;/&gt;&lt;wsp:rsid wsp:val=&quot;001E20FD&quot;/&gt;&lt;wsp:rsid wsp:val=&quot;001E2267&quot;/&gt;&lt;wsp:rsid wsp:val=&quot;001E2637&quot;/&gt;&lt;wsp:rsid wsp:val=&quot;001E2A20&quot;/&gt;&lt;wsp:rsid wsp:val=&quot;001E2D8A&quot;/&gt;&lt;wsp:rsid wsp:val=&quot;001E2EB0&quot;/&gt;&lt;wsp:rsid wsp:val=&quot;001E300D&quot;/&gt;&lt;wsp:rsid wsp:val=&quot;001E30B2&quot;/&gt;&lt;wsp:rsid wsp:val=&quot;001E373C&quot;/&gt;&lt;wsp:rsid wsp:val=&quot;001E3D7D&quot;/&gt;&lt;wsp:rsid wsp:val=&quot;001E3F78&quot;/&gt;&lt;wsp:rsid wsp:val=&quot;001E4198&quot;/&gt;&lt;wsp:rsid wsp:val=&quot;001E43ED&quot;/&gt;&lt;wsp:rsid wsp:val=&quot;001E4F2E&quot;/&gt;&lt;wsp:rsid wsp:val=&quot;001E5033&quot;/&gt;&lt;wsp:rsid wsp:val=&quot;001E5217&quot;/&gt;&lt;wsp:rsid wsp:val=&quot;001E572B&quot;/&gt;&lt;wsp:rsid wsp:val=&quot;001E5C1C&quot;/&gt;&lt;wsp:rsid wsp:val=&quot;001E5C97&quot;/&gt;&lt;wsp:rsid wsp:val=&quot;001E5EDA&quot;/&gt;&lt;wsp:rsid wsp:val=&quot;001E6651&quot;/&gt;&lt;wsp:rsid wsp:val=&quot;001E69EF&quot;/&gt;&lt;wsp:rsid wsp:val=&quot;001E6D44&quot;/&gt;&lt;wsp:rsid wsp:val=&quot;001E7750&quot;/&gt;&lt;wsp:rsid wsp:val=&quot;001E7880&quot;/&gt;&lt;wsp:rsid wsp:val=&quot;001E7EF3&quot;/&gt;&lt;wsp:rsid wsp:val=&quot;001E7F09&quot;/&gt;&lt;wsp:rsid wsp:val=&quot;001F059E&quot;/&gt;&lt;wsp:rsid wsp:val=&quot;001F087D&quot;/&gt;&lt;wsp:rsid wsp:val=&quot;001F0A2D&quot;/&gt;&lt;wsp:rsid wsp:val=&quot;001F0AF1&quot;/&gt;&lt;wsp:rsid wsp:val=&quot;001F1028&quot;/&gt;&lt;wsp:rsid wsp:val=&quot;001F1230&quot;/&gt;&lt;wsp:rsid wsp:val=&quot;001F1778&quot;/&gt;&lt;wsp:rsid wsp:val=&quot;001F1A47&quot;/&gt;&lt;wsp:rsid wsp:val=&quot;001F1C7D&quot;/&gt;&lt;wsp:rsid wsp:val=&quot;001F1D47&quot;/&gt;&lt;wsp:rsid wsp:val=&quot;001F2564&quot;/&gt;&lt;wsp:rsid wsp:val=&quot;001F2779&quot;/&gt;&lt;wsp:rsid wsp:val=&quot;001F2E44&quot;/&gt;&lt;wsp:rsid wsp:val=&quot;001F3051&quot;/&gt;&lt;wsp:rsid wsp:val=&quot;001F31D9&quot;/&gt;&lt;wsp:rsid wsp:val=&quot;001F342D&quot;/&gt;&lt;wsp:rsid wsp:val=&quot;001F35B9&quot;/&gt;&lt;wsp:rsid wsp:val=&quot;001F395C&quot;/&gt;&lt;wsp:rsid wsp:val=&quot;001F399A&quot;/&gt;&lt;wsp:rsid wsp:val=&quot;001F3B40&quot;/&gt;&lt;wsp:rsid wsp:val=&quot;001F4026&quot;/&gt;&lt;wsp:rsid wsp:val=&quot;001F42A4&quot;/&gt;&lt;wsp:rsid wsp:val=&quot;001F42DD&quot;/&gt;&lt;wsp:rsid wsp:val=&quot;001F44DE&quot;/&gt;&lt;wsp:rsid wsp:val=&quot;001F4A12&quot;/&gt;&lt;wsp:rsid wsp:val=&quot;001F4A64&quot;/&gt;&lt;wsp:rsid wsp:val=&quot;001F4B50&quot;/&gt;&lt;wsp:rsid wsp:val=&quot;001F591D&quot;/&gt;&lt;wsp:rsid wsp:val=&quot;001F5BFE&quot;/&gt;&lt;wsp:rsid wsp:val=&quot;001F5FAF&quot;/&gt;&lt;wsp:rsid wsp:val=&quot;001F6325&quot;/&gt;&lt;wsp:rsid wsp:val=&quot;001F653B&quot;/&gt;&lt;wsp:rsid wsp:val=&quot;001F678F&quot;/&gt;&lt;wsp:rsid wsp:val=&quot;001F69FE&quot;/&gt;&lt;wsp:rsid wsp:val=&quot;001F6A0A&quot;/&gt;&lt;wsp:rsid wsp:val=&quot;001F6C9D&quot;/&gt;&lt;wsp:rsid wsp:val=&quot;001F71DE&quot;/&gt;&lt;wsp:rsid wsp:val=&quot;001F728E&quot;/&gt;&lt;wsp:rsid wsp:val=&quot;001F7335&quot;/&gt;&lt;wsp:rsid wsp:val=&quot;001F746B&quot;/&gt;&lt;wsp:rsid wsp:val=&quot;001F783B&quot;/&gt;&lt;wsp:rsid wsp:val=&quot;002004B5&quot;/&gt;&lt;wsp:rsid wsp:val=&quot;00200A58&quot;/&gt;&lt;wsp:rsid wsp:val=&quot;0020115B&quot;/&gt;&lt;wsp:rsid wsp:val=&quot;0020118E&quot;/&gt;&lt;wsp:rsid wsp:val=&quot;00201390&quot;/&gt;&lt;wsp:rsid wsp:val=&quot;00201AD3&quot;/&gt;&lt;wsp:rsid wsp:val=&quot;00201B4F&quot;/&gt;&lt;wsp:rsid wsp:val=&quot;00202731&quot;/&gt;&lt;wsp:rsid wsp:val=&quot;00202FF3&quot;/&gt;&lt;wsp:rsid wsp:val=&quot;00203214&quot;/&gt;&lt;wsp:rsid wsp:val=&quot;00203669&quot;/&gt;&lt;wsp:rsid wsp:val=&quot;00203884&quot;/&gt;&lt;wsp:rsid wsp:val=&quot;00203A11&quot;/&gt;&lt;wsp:rsid wsp:val=&quot;00203A3D&quot;/&gt;&lt;wsp:rsid wsp:val=&quot;00203E63&quot;/&gt;&lt;wsp:rsid wsp:val=&quot;00203F61&quot;/&gt;&lt;wsp:rsid wsp:val=&quot;002040BA&quot;/&gt;&lt;wsp:rsid wsp:val=&quot;00204234&quot;/&gt;&lt;wsp:rsid wsp:val=&quot;00204CB2&quot;/&gt;&lt;wsp:rsid wsp:val=&quot;00204EB1&quot;/&gt;&lt;wsp:rsid wsp:val=&quot;002052F6&quot;/&gt;&lt;wsp:rsid wsp:val=&quot;00205787&quot;/&gt;&lt;wsp:rsid wsp:val=&quot;00205C1E&quot;/&gt;&lt;wsp:rsid wsp:val=&quot;002062A1&quot;/&gt;&lt;wsp:rsid wsp:val=&quot;002062ED&quot;/&gt;&lt;wsp:rsid wsp:val=&quot;002063F5&quot;/&gt;&lt;wsp:rsid wsp:val=&quot;00206B0F&quot;/&gt;&lt;wsp:rsid wsp:val=&quot;00206F17&quot;/&gt;&lt;wsp:rsid wsp:val=&quot;002070B9&quot;/&gt;&lt;wsp:rsid wsp:val=&quot;00207292&quot;/&gt;&lt;wsp:rsid wsp:val=&quot;00207A76&quot;/&gt;&lt;wsp:rsid wsp:val=&quot;00207E9C&quot;/&gt;&lt;wsp:rsid wsp:val=&quot;002109EC&quot;/&gt;&lt;wsp:rsid wsp:val=&quot;00210ED5&quot;/&gt;&lt;wsp:rsid wsp:val=&quot;0021131D&quot;/&gt;&lt;wsp:rsid wsp:val=&quot;00211415&quot;/&gt;&lt;wsp:rsid wsp:val=&quot;0021154F&quot;/&gt;&lt;wsp:rsid wsp:val=&quot;00211603&quot;/&gt;&lt;wsp:rsid wsp:val=&quot;0021178A&quot;/&gt;&lt;wsp:rsid wsp:val=&quot;00211A9D&quot;/&gt;&lt;wsp:rsid wsp:val=&quot;00211E3A&quot;/&gt;&lt;wsp:rsid wsp:val=&quot;00212629&quot;/&gt;&lt;wsp:rsid wsp:val=&quot;00212D0A&quot;/&gt;&lt;wsp:rsid wsp:val=&quot;0021342F&quot;/&gt;&lt;wsp:rsid wsp:val=&quot;00213716&quot;/&gt;&lt;wsp:rsid wsp:val=&quot;00213AA3&quot;/&gt;&lt;wsp:rsid wsp:val=&quot;00213AE7&quot;/&gt;&lt;wsp:rsid wsp:val=&quot;00213CD1&quot;/&gt;&lt;wsp:rsid wsp:val=&quot;002144B9&quot;/&gt;&lt;wsp:rsid wsp:val=&quot;002145B2&quot;/&gt;&lt;wsp:rsid wsp:val=&quot;002148B7&quot;/&gt;&lt;wsp:rsid wsp:val=&quot;00215153&quot;/&gt;&lt;wsp:rsid wsp:val=&quot;002152B4&quot;/&gt;&lt;wsp:rsid wsp:val=&quot;00215363&quot;/&gt;&lt;wsp:rsid wsp:val=&quot;002155D5&quot;/&gt;&lt;wsp:rsid wsp:val=&quot;002157D0&quot;/&gt;&lt;wsp:rsid wsp:val=&quot;002158BB&quot;/&gt;&lt;wsp:rsid wsp:val=&quot;00215923&quot;/&gt;&lt;wsp:rsid wsp:val=&quot;00215B16&quot;/&gt;&lt;wsp:rsid wsp:val=&quot;00216252&quot;/&gt;&lt;wsp:rsid wsp:val=&quot;00216A42&quot;/&gt;&lt;wsp:rsid wsp:val=&quot;0021762E&quot;/&gt;&lt;wsp:rsid wsp:val=&quot;00217863&quot;/&gt;&lt;wsp:rsid wsp:val=&quot;00217875&quot;/&gt;&lt;wsp:rsid wsp:val=&quot;00217C16&quot;/&gt;&lt;wsp:rsid wsp:val=&quot;00217CDD&quot;/&gt;&lt;wsp:rsid wsp:val=&quot;00217DF4&quot;/&gt;&lt;wsp:rsid wsp:val=&quot;00217FF3&quot;/&gt;&lt;wsp:rsid wsp:val=&quot;002201D1&quot;/&gt;&lt;wsp:rsid wsp:val=&quot;0022087F&quot;/&gt;&lt;wsp:rsid wsp:val=&quot;00220A70&quot;/&gt;&lt;wsp:rsid wsp:val=&quot;00220E2B&quot;/&gt;&lt;wsp:rsid wsp:val=&quot;00220FF9&quot;/&gt;&lt;wsp:rsid wsp:val=&quot;00221C9E&quot;/&gt;&lt;wsp:rsid wsp:val=&quot;00221CE5&quot;/&gt;&lt;wsp:rsid wsp:val=&quot;00222238&quot;/&gt;&lt;wsp:rsid wsp:val=&quot;002223C9&quot;/&gt;&lt;wsp:rsid wsp:val=&quot;00222500&quot;/&gt;&lt;wsp:rsid wsp:val=&quot;002226AA&quot;/&gt;&lt;wsp:rsid wsp:val=&quot;0022270D&quot;/&gt;&lt;wsp:rsid wsp:val=&quot;00222C43&quot;/&gt;&lt;wsp:rsid wsp:val=&quot;00222D7F&quot;/&gt;&lt;wsp:rsid wsp:val=&quot;00222DC8&quot;/&gt;&lt;wsp:rsid wsp:val=&quot;002231EE&quot;/&gt;&lt;wsp:rsid wsp:val=&quot;002233E3&quot;/&gt;&lt;wsp:rsid wsp:val=&quot;002239B7&quot;/&gt;&lt;wsp:rsid wsp:val=&quot;00223A30&quot;/&gt;&lt;wsp:rsid wsp:val=&quot;00223B60&quot;/&gt;&lt;wsp:rsid wsp:val=&quot;00223DE6&quot;/&gt;&lt;wsp:rsid wsp:val=&quot;00223F62&quot;/&gt;&lt;wsp:rsid wsp:val=&quot;00223F9C&quot;/&gt;&lt;wsp:rsid wsp:val=&quot;00223FFC&quot;/&gt;&lt;wsp:rsid wsp:val=&quot;002249B1&quot;/&gt;&lt;wsp:rsid wsp:val=&quot;00224B87&quot;/&gt;&lt;wsp:rsid wsp:val=&quot;002252A4&quot;/&gt;&lt;wsp:rsid wsp:val=&quot;002256D7&quot;/&gt;&lt;wsp:rsid wsp:val=&quot;002256F8&quot;/&gt;&lt;wsp:rsid wsp:val=&quot;0022588E&quot;/&gt;&lt;wsp:rsid wsp:val=&quot;00226142&quot;/&gt;&lt;wsp:rsid wsp:val=&quot;00226165&quot;/&gt;&lt;wsp:rsid wsp:val=&quot;0022658A&quot;/&gt;&lt;wsp:rsid wsp:val=&quot;00226901&quot;/&gt;&lt;wsp:rsid wsp:val=&quot;00226C9A&quot;/&gt;&lt;wsp:rsid wsp:val=&quot;00226CAA&quot;/&gt;&lt;wsp:rsid wsp:val=&quot;00226E16&quot;/&gt;&lt;wsp:rsid wsp:val=&quot;00226F0D&quot;/&gt;&lt;wsp:rsid wsp:val=&quot;00226FCA&quot;/&gt;&lt;wsp:rsid wsp:val=&quot;00227818&quot;/&gt;&lt;wsp:rsid wsp:val=&quot;0022783D&quot;/&gt;&lt;wsp:rsid wsp:val=&quot;00227A0E&quot;/&gt;&lt;wsp:rsid wsp:val=&quot;00227CA3&quot;/&gt;&lt;wsp:rsid wsp:val=&quot;00227CAC&quot;/&gt;&lt;wsp:rsid wsp:val=&quot;00227F09&quot;/&gt;&lt;wsp:rsid wsp:val=&quot;002300C7&quot;/&gt;&lt;wsp:rsid wsp:val=&quot;002300D2&quot;/&gt;&lt;wsp:rsid wsp:val=&quot;00230153&quot;/&gt;&lt;wsp:rsid wsp:val=&quot;00230303&quot;/&gt;&lt;wsp:rsid wsp:val=&quot;00230718&quot;/&gt;&lt;wsp:rsid wsp:val=&quot;00230D26&quot;/&gt;&lt;wsp:rsid wsp:val=&quot;002314F1&quot;/&gt;&lt;wsp:rsid wsp:val=&quot;00231683&quot;/&gt;&lt;wsp:rsid wsp:val=&quot;00231CB7&quot;/&gt;&lt;wsp:rsid wsp:val=&quot;00231EF3&quot;/&gt;&lt;wsp:rsid wsp:val=&quot;0023208D&quot;/&gt;&lt;wsp:rsid wsp:val=&quot;00232266&quot;/&gt;&lt;wsp:rsid wsp:val=&quot;002324A6&quot;/&gt;&lt;wsp:rsid wsp:val=&quot;002325A1&quot;/&gt;&lt;wsp:rsid wsp:val=&quot;00232989&quot;/&gt;&lt;wsp:rsid wsp:val=&quot;00232A0A&quot;/&gt;&lt;wsp:rsid wsp:val=&quot;00232B15&quot;/&gt;&lt;wsp:rsid wsp:val=&quot;00232B66&quot;/&gt;&lt;wsp:rsid wsp:val=&quot;00232E63&quot;/&gt;&lt;wsp:rsid wsp:val=&quot;00233149&quot;/&gt;&lt;wsp:rsid wsp:val=&quot;0023329A&quot;/&gt;&lt;wsp:rsid wsp:val=&quot;002333DE&quot;/&gt;&lt;wsp:rsid wsp:val=&quot;00233477&quot;/&gt;&lt;wsp:rsid wsp:val=&quot;00233F42&quot;/&gt;&lt;wsp:rsid wsp:val=&quot;002348CB&quot;/&gt;&lt;wsp:rsid wsp:val=&quot;002349BD&quot;/&gt;&lt;wsp:rsid wsp:val=&quot;00234A0C&quot;/&gt;&lt;wsp:rsid wsp:val=&quot;0023556F&quot;/&gt;&lt;wsp:rsid wsp:val=&quot;00235ACA&quot;/&gt;&lt;wsp:rsid wsp:val=&quot;00236590&quot;/&gt;&lt;wsp:rsid wsp:val=&quot;00236846&quot;/&gt;&lt;wsp:rsid wsp:val=&quot;00236C23&quot;/&gt;&lt;wsp:rsid wsp:val=&quot;00236C72&quot;/&gt;&lt;wsp:rsid wsp:val=&quot;00236C7C&quot;/&gt;&lt;wsp:rsid wsp:val=&quot;00236D67&quot;/&gt;&lt;wsp:rsid wsp:val=&quot;0023725F&quot;/&gt;&lt;wsp:rsid wsp:val=&quot;00237F39&quot;/&gt;&lt;wsp:rsid wsp:val=&quot;002402F2&quot;/&gt;&lt;wsp:rsid wsp:val=&quot;002413BD&quot;/&gt;&lt;wsp:rsid wsp:val=&quot;00241542&quot;/&gt;&lt;wsp:rsid wsp:val=&quot;0024185C&quot;/&gt;&lt;wsp:rsid wsp:val=&quot;002418E7&quot;/&gt;&lt;wsp:rsid wsp:val=&quot;00241A04&quot;/&gt;&lt;wsp:rsid wsp:val=&quot;00241A62&quot;/&gt;&lt;wsp:rsid wsp:val=&quot;00241B80&quot;/&gt;&lt;wsp:rsid wsp:val=&quot;00241C03&quot;/&gt;&lt;wsp:rsid wsp:val=&quot;00241F45&quot;/&gt;&lt;wsp:rsid wsp:val=&quot;00241F5F&quot;/&gt;&lt;wsp:rsid wsp:val=&quot;0024244A&quot;/&gt;&lt;wsp:rsid wsp:val=&quot;0024265F&quot;/&gt;&lt;wsp:rsid wsp:val=&quot;002426C6&quot;/&gt;&lt;wsp:rsid wsp:val=&quot;002427E0&quot;/&gt;&lt;wsp:rsid wsp:val=&quot;00242B14&quot;/&gt;&lt;wsp:rsid wsp:val=&quot;00242C0C&quot;/&gt;&lt;wsp:rsid wsp:val=&quot;00242E31&quot;/&gt;&lt;wsp:rsid wsp:val=&quot;0024301C&quot;/&gt;&lt;wsp:rsid wsp:val=&quot;0024379A&quot;/&gt;&lt;wsp:rsid wsp:val=&quot;00243812&quot;/&gt;&lt;wsp:rsid wsp:val=&quot;00243ACD&quot;/&gt;&lt;wsp:rsid wsp:val=&quot;00243BBE&quot;/&gt;&lt;wsp:rsid wsp:val=&quot;00243C6C&quot;/&gt;&lt;wsp:rsid wsp:val=&quot;0024489F&quot;/&gt;&lt;wsp:rsid wsp:val=&quot;00244FD7&quot;/&gt;&lt;wsp:rsid wsp:val=&quot;0024598B&quot;/&gt;&lt;wsp:rsid wsp:val=&quot;00245AEB&quot;/&gt;&lt;wsp:rsid wsp:val=&quot;002461EA&quot;/&gt;&lt;wsp:rsid wsp:val=&quot;002462E4&quot;/&gt;&lt;wsp:rsid wsp:val=&quot;002467DF&quot;/&gt;&lt;wsp:rsid wsp:val=&quot;0024687E&quot;/&gt;&lt;wsp:rsid wsp:val=&quot;002470B2&quot;/&gt;&lt;wsp:rsid wsp:val=&quot;00247351&quot;/&gt;&lt;wsp:rsid wsp:val=&quot;0024791D&quot;/&gt;&lt;wsp:rsid wsp:val=&quot;00247ACC&quot;/&gt;&lt;wsp:rsid wsp:val=&quot;00247FB1&quot;/&gt;&lt;wsp:rsid wsp:val=&quot;00250170&quot;/&gt;&lt;wsp:rsid wsp:val=&quot;0025022B&quot;/&gt;&lt;wsp:rsid wsp:val=&quot;00251027&quot;/&gt;&lt;wsp:rsid wsp:val=&quot;002510E4&quot;/&gt;&lt;wsp:rsid wsp:val=&quot;0025119D&quot;/&gt;&lt;wsp:rsid wsp:val=&quot;002512E4&quot;/&gt;&lt;wsp:rsid wsp:val=&quot;0025156F&quot;/&gt;&lt;wsp:rsid wsp:val=&quot;00251989&quot;/&gt;&lt;wsp:rsid wsp:val=&quot;00251B43&quot;/&gt;&lt;wsp:rsid wsp:val=&quot;00251FAE&quot;/&gt;&lt;wsp:rsid wsp:val=&quot;002520F8&quot;/&gt;&lt;wsp:rsid wsp:val=&quot;0025211D&quot;/&gt;&lt;wsp:rsid wsp:val=&quot;002526AA&quot;/&gt;&lt;wsp:rsid wsp:val=&quot;0025346F&quot;/&gt;&lt;wsp:rsid wsp:val=&quot;002535C1&quot;/&gt;&lt;wsp:rsid wsp:val=&quot;002535F2&quot;/&gt;&lt;wsp:rsid wsp:val=&quot;00253A28&quot;/&gt;&lt;wsp:rsid wsp:val=&quot;00253B29&quot;/&gt;&lt;wsp:rsid wsp:val=&quot;002540E7&quot;/&gt;&lt;wsp:rsid wsp:val=&quot;0025414B&quot;/&gt;&lt;wsp:rsid wsp:val=&quot;002543FB&quot;/&gt;&lt;wsp:rsid wsp:val=&quot;00254992&quot;/&gt;&lt;wsp:rsid wsp:val=&quot;00254A31&quot;/&gt;&lt;wsp:rsid wsp:val=&quot;00254B17&quot;/&gt;&lt;wsp:rsid wsp:val=&quot;0025529C&quot;/&gt;&lt;wsp:rsid wsp:val=&quot;0025553E&quot;/&gt;&lt;wsp:rsid wsp:val=&quot;002559DA&quot;/&gt;&lt;wsp:rsid wsp:val=&quot;00255A5F&quot;/&gt;&lt;wsp:rsid wsp:val=&quot;002567B3&quot;/&gt;&lt;wsp:rsid wsp:val=&quot;002567D9&quot;/&gt;&lt;wsp:rsid wsp:val=&quot;00257074&quot;/&gt;&lt;wsp:rsid wsp:val=&quot;0025716B&quot;/&gt;&lt;wsp:rsid wsp:val=&quot;002572DE&quot;/&gt;&lt;wsp:rsid wsp:val=&quot;002574AB&quot;/&gt;&lt;wsp:rsid wsp:val=&quot;00257710&quot;/&gt;&lt;wsp:rsid wsp:val=&quot;00257D51&quot;/&gt;&lt;wsp:rsid wsp:val=&quot;00260D34&quot;/&gt;&lt;wsp:rsid wsp:val=&quot;00260E55&quot;/&gt;&lt;wsp:rsid wsp:val=&quot;002617C9&quot;/&gt;&lt;wsp:rsid wsp:val=&quot;002618C2&quot;/&gt;&lt;wsp:rsid wsp:val=&quot;00261D85&quot;/&gt;&lt;wsp:rsid wsp:val=&quot;00262087&quot;/&gt;&lt;wsp:rsid wsp:val=&quot;0026227B&quot;/&gt;&lt;wsp:rsid wsp:val=&quot;00262456&quot;/&gt;&lt;wsp:rsid wsp:val=&quot;0026246C&quot;/&gt;&lt;wsp:rsid wsp:val=&quot;002624A1&quot;/&gt;&lt;wsp:rsid wsp:val=&quot;002627F3&quot;/&gt;&lt;wsp:rsid wsp:val=&quot;00262BD7&quot;/&gt;&lt;wsp:rsid wsp:val=&quot;00262C4D&quot;/&gt;&lt;wsp:rsid wsp:val=&quot;0026359A&quot;/&gt;&lt;wsp:rsid wsp:val=&quot;002636A2&quot;/&gt;&lt;wsp:rsid wsp:val=&quot;002636E9&quot;/&gt;&lt;wsp:rsid wsp:val=&quot;0026396F&quot;/&gt;&lt;wsp:rsid wsp:val=&quot;00263A8D&quot;/&gt;&lt;wsp:rsid wsp:val=&quot;00263C47&quot;/&gt;&lt;wsp:rsid wsp:val=&quot;00263C9F&quot;/&gt;&lt;wsp:rsid wsp:val=&quot;00263E47&quot;/&gt;&lt;wsp:rsid wsp:val=&quot;00263FB4&quot;/&gt;&lt;wsp:rsid wsp:val=&quot;002640D0&quot;/&gt;&lt;wsp:rsid wsp:val=&quot;002643DA&quot;/&gt;&lt;wsp:rsid wsp:val=&quot;002644E2&quot;/&gt;&lt;wsp:rsid wsp:val=&quot;0026461E&quot;/&gt;&lt;wsp:rsid wsp:val=&quot;00264E91&quot;/&gt;&lt;wsp:rsid wsp:val=&quot;00264F6D&quot;/&gt;&lt;wsp:rsid wsp:val=&quot;002655F6&quot;/&gt;&lt;wsp:rsid wsp:val=&quot;0026560C&quot;/&gt;&lt;wsp:rsid wsp:val=&quot;00265FF0&quot;/&gt;&lt;wsp:rsid wsp:val=&quot;00266E09&quot;/&gt;&lt;wsp:rsid wsp:val=&quot;0026739F&quot;/&gt;&lt;wsp:rsid wsp:val=&quot;00267640&quot;/&gt;&lt;wsp:rsid wsp:val=&quot;00270029&quot;/&gt;&lt;wsp:rsid wsp:val=&quot;0027018D&quot;/&gt;&lt;wsp:rsid wsp:val=&quot;00270611&quot;/&gt;&lt;wsp:rsid wsp:val=&quot;00270697&quot;/&gt;&lt;wsp:rsid wsp:val=&quot;00270755&quot;/&gt;&lt;wsp:rsid wsp:val=&quot;00270B47&quot;/&gt;&lt;wsp:rsid wsp:val=&quot;00270D59&quot;/&gt;&lt;wsp:rsid wsp:val=&quot;00271289&quot;/&gt;&lt;wsp:rsid wsp:val=&quot;0027134C&quot;/&gt;&lt;wsp:rsid wsp:val=&quot;00271593&quot;/&gt;&lt;wsp:rsid wsp:val=&quot;002715A6&quot;/&gt;&lt;wsp:rsid wsp:val=&quot;0027161F&quot;/&gt;&lt;wsp:rsid wsp:val=&quot;00271D4D&quot;/&gt;&lt;wsp:rsid wsp:val=&quot;00271E47&quot;/&gt;&lt;wsp:rsid wsp:val=&quot;0027224A&quot;/&gt;&lt;wsp:rsid wsp:val=&quot;002724EF&quot;/&gt;&lt;wsp:rsid wsp:val=&quot;002724F4&quot;/&gt;&lt;wsp:rsid wsp:val=&quot;00272C48&quot;/&gt;&lt;wsp:rsid wsp:val=&quot;002732D0&quot;/&gt;&lt;wsp:rsid wsp:val=&quot;002736D7&quot;/&gt;&lt;wsp:rsid wsp:val=&quot;0027373B&quot;/&gt;&lt;wsp:rsid wsp:val=&quot;00274050&quot;/&gt;&lt;wsp:rsid wsp:val=&quot;00274196&quot;/&gt;&lt;wsp:rsid wsp:val=&quot;00274205&quot;/&gt;&lt;wsp:rsid wsp:val=&quot;002744A3&quot;/&gt;&lt;wsp:rsid wsp:val=&quot;002744AA&quot;/&gt;&lt;wsp:rsid wsp:val=&quot;002747BF&quot;/&gt;&lt;wsp:rsid wsp:val=&quot;002747D0&quot;/&gt;&lt;wsp:rsid wsp:val=&quot;002748ED&quot;/&gt;&lt;wsp:rsid wsp:val=&quot;00274955&quot;/&gt;&lt;wsp:rsid wsp:val=&quot;0027499C&quot;/&gt;&lt;wsp:rsid wsp:val=&quot;00274A6C&quot;/&gt;&lt;wsp:rsid wsp:val=&quot;00274C83&quot;/&gt;&lt;wsp:rsid wsp:val=&quot;00274CDA&quot;/&gt;&lt;wsp:rsid wsp:val=&quot;0027513F&quot;/&gt;&lt;wsp:rsid wsp:val=&quot;00275142&quot;/&gt;&lt;wsp:rsid wsp:val=&quot;00275637&quot;/&gt;&lt;wsp:rsid wsp:val=&quot;002757D0&quot;/&gt;&lt;wsp:rsid wsp:val=&quot;00275A5D&quot;/&gt;&lt;wsp:rsid wsp:val=&quot;00275AD2&quot;/&gt;&lt;wsp:rsid wsp:val=&quot;0027613B&quot;/&gt;&lt;wsp:rsid wsp:val=&quot;0027644C&quot;/&gt;&lt;wsp:rsid wsp:val=&quot;002765AD&quot;/&gt;&lt;wsp:rsid wsp:val=&quot;002767D0&quot;/&gt;&lt;wsp:rsid wsp:val=&quot;00276D6C&quot;/&gt;&lt;wsp:rsid wsp:val=&quot;00276F23&quot;/&gt;&lt;wsp:rsid wsp:val=&quot;0027716C&quot;/&gt;&lt;wsp:rsid wsp:val=&quot;002779DD&quot;/&gt;&lt;wsp:rsid wsp:val=&quot;00277F07&quot;/&gt;&lt;wsp:rsid wsp:val=&quot;0028013C&quot;/&gt;&lt;wsp:rsid wsp:val=&quot;002803DE&quot;/&gt;&lt;wsp:rsid wsp:val=&quot;002804A3&quot;/&gt;&lt;wsp:rsid wsp:val=&quot;00280893&quot;/&gt;&lt;wsp:rsid wsp:val=&quot;002812C9&quot;/&gt;&lt;wsp:rsid wsp:val=&quot;002814EC&quot;/&gt;&lt;wsp:rsid wsp:val=&quot;0028166F&quot;/&gt;&lt;wsp:rsid wsp:val=&quot;00281860&quot;/&gt;&lt;wsp:rsid wsp:val=&quot;00281952&quot;/&gt;&lt;wsp:rsid wsp:val=&quot;00282A78&quot;/&gt;&lt;wsp:rsid wsp:val=&quot;00282B4B&quot;/&gt;&lt;wsp:rsid wsp:val=&quot;00282BDA&quot;/&gt;&lt;wsp:rsid wsp:val=&quot;00282E4D&quot;/&gt;&lt;wsp:rsid wsp:val=&quot;002832E0&quot;/&gt;&lt;wsp:rsid wsp:val=&quot;002833BB&quot;/&gt;&lt;wsp:rsid wsp:val=&quot;0028346E&quot;/&gt;&lt;wsp:rsid wsp:val=&quot;002835C7&quot;/&gt;&lt;wsp:rsid wsp:val=&quot;00284392&quot;/&gt;&lt;wsp:rsid wsp:val=&quot;00284567&quot;/&gt;&lt;wsp:rsid wsp:val=&quot;00284A7F&quot;/&gt;&lt;wsp:rsid wsp:val=&quot;00284BC4&quot;/&gt;&lt;wsp:rsid wsp:val=&quot;00284C0D&quot;/&gt;&lt;wsp:rsid wsp:val=&quot;00285346&quot;/&gt;&lt;wsp:rsid wsp:val=&quot;0028553F&quot;/&gt;&lt;wsp:rsid wsp:val=&quot;00285701&quot;/&gt;&lt;wsp:rsid wsp:val=&quot;00285A7F&quot;/&gt;&lt;wsp:rsid wsp:val=&quot;00285AF2&quot;/&gt;&lt;wsp:rsid wsp:val=&quot;00285FC0&quot;/&gt;&lt;wsp:rsid wsp:val=&quot;00285FC5&quot;/&gt;&lt;wsp:rsid wsp:val=&quot;0028641F&quot;/&gt;&lt;wsp:rsid wsp:val=&quot;002867AA&quot;/&gt;&lt;wsp:rsid wsp:val=&quot;002869F5&quot;/&gt;&lt;wsp:rsid wsp:val=&quot;00286F24&quot;/&gt;&lt;wsp:rsid wsp:val=&quot;00286F32&quot;/&gt;&lt;wsp:rsid wsp:val=&quot;00287223&quot;/&gt;&lt;wsp:rsid wsp:val=&quot;00287681&quot;/&gt;&lt;wsp:rsid wsp:val=&quot;00287EBD&quot;/&gt;&lt;wsp:rsid wsp:val=&quot;00287F8E&quot;/&gt;&lt;wsp:rsid wsp:val=&quot;0029008F&quot;/&gt;&lt;wsp:rsid wsp:val=&quot;0029079A&quot;/&gt;&lt;wsp:rsid wsp:val=&quot;00290A2D&quot;/&gt;&lt;wsp:rsid wsp:val=&quot;002910F2&quot;/&gt;&lt;wsp:rsid wsp:val=&quot;002911F5&quot;/&gt;&lt;wsp:rsid wsp:val=&quot;00291250&quot;/&gt;&lt;wsp:rsid wsp:val=&quot;0029135F&quot;/&gt;&lt;wsp:rsid wsp:val=&quot;0029196D&quot;/&gt;&lt;wsp:rsid wsp:val=&quot;00291A01&quot;/&gt;&lt;wsp:rsid wsp:val=&quot;00291A62&quot;/&gt;&lt;wsp:rsid wsp:val=&quot;00291F28&quot;/&gt;&lt;wsp:rsid wsp:val=&quot;00292687&quot;/&gt;&lt;wsp:rsid wsp:val=&quot;002929B3&quot;/&gt;&lt;wsp:rsid wsp:val=&quot;00292B75&quot;/&gt;&lt;wsp:rsid wsp:val=&quot;00292E90&quot;/&gt;&lt;wsp:rsid wsp:val=&quot;00292F01&quot;/&gt;&lt;wsp:rsid wsp:val=&quot;0029342F&quot;/&gt;&lt;wsp:rsid wsp:val=&quot;002934B1&quot;/&gt;&lt;wsp:rsid wsp:val=&quot;00293626&quot;/&gt;&lt;wsp:rsid wsp:val=&quot;00293B87&quot;/&gt;&lt;wsp:rsid wsp:val=&quot;00293C9E&quot;/&gt;&lt;wsp:rsid wsp:val=&quot;00293DAA&quot;/&gt;&lt;wsp:rsid wsp:val=&quot;00293E69&quot;/&gt;&lt;wsp:rsid wsp:val=&quot;00294076&quot;/&gt;&lt;wsp:rsid wsp:val=&quot;00294094&quot;/&gt;&lt;wsp:rsid wsp:val=&quot;002942B9&quot;/&gt;&lt;wsp:rsid wsp:val=&quot;002944AD&quot;/&gt;&lt;wsp:rsid wsp:val=&quot;00294D12&quot;/&gt;&lt;wsp:rsid wsp:val=&quot;00295814&quot;/&gt;&lt;wsp:rsid wsp:val=&quot;00295EBF&quot;/&gt;&lt;wsp:rsid wsp:val=&quot;00295FCC&quot;/&gt;&lt;wsp:rsid wsp:val=&quot;00296318&quot;/&gt;&lt;wsp:rsid wsp:val=&quot;002963ED&quot;/&gt;&lt;wsp:rsid wsp:val=&quot;00296B3C&quot;/&gt;&lt;wsp:rsid wsp:val=&quot;002976EF&quot;/&gt;&lt;wsp:rsid wsp:val=&quot;00297F6D&quot;/&gt;&lt;wsp:rsid wsp:val=&quot;002A017C&quot;/&gt;&lt;wsp:rsid wsp:val=&quot;002A043F&quot;/&gt;&lt;wsp:rsid wsp:val=&quot;002A082D&quot;/&gt;&lt;wsp:rsid wsp:val=&quot;002A0AC1&quot;/&gt;&lt;wsp:rsid wsp:val=&quot;002A1683&quot;/&gt;&lt;wsp:rsid wsp:val=&quot;002A18F0&quot;/&gt;&lt;wsp:rsid wsp:val=&quot;002A195B&quot;/&gt;&lt;wsp:rsid wsp:val=&quot;002A1B4D&quot;/&gt;&lt;wsp:rsid wsp:val=&quot;002A1D8E&quot;/&gt;&lt;wsp:rsid wsp:val=&quot;002A226C&quot;/&gt;&lt;wsp:rsid wsp:val=&quot;002A25D6&quot;/&gt;&lt;wsp:rsid wsp:val=&quot;002A287D&quot;/&gt;&lt;wsp:rsid wsp:val=&quot;002A30A8&quot;/&gt;&lt;wsp:rsid wsp:val=&quot;002A325C&quot;/&gt;&lt;wsp:rsid wsp:val=&quot;002A354B&quot;/&gt;&lt;wsp:rsid wsp:val=&quot;002A3C55&quot;/&gt;&lt;wsp:rsid wsp:val=&quot;002A3E93&quot;/&gt;&lt;wsp:rsid wsp:val=&quot;002A40B5&quot;/&gt;&lt;wsp:rsid wsp:val=&quot;002A40BF&quot;/&gt;&lt;wsp:rsid wsp:val=&quot;002A438B&quot;/&gt;&lt;wsp:rsid wsp:val=&quot;002A43DA&quot;/&gt;&lt;wsp:rsid wsp:val=&quot;002A4413&quot;/&gt;&lt;wsp:rsid wsp:val=&quot;002A47C6&quot;/&gt;&lt;wsp:rsid wsp:val=&quot;002A4B45&quot;/&gt;&lt;wsp:rsid wsp:val=&quot;002A4F64&quot;/&gt;&lt;wsp:rsid wsp:val=&quot;002A4FAA&quot;/&gt;&lt;wsp:rsid wsp:val=&quot;002A543C&quot;/&gt;&lt;wsp:rsid wsp:val=&quot;002A5850&quot;/&gt;&lt;wsp:rsid wsp:val=&quot;002A5E2B&quot;/&gt;&lt;wsp:rsid wsp:val=&quot;002A60AB&quot;/&gt;&lt;wsp:rsid wsp:val=&quot;002A62D4&quot;/&gt;&lt;wsp:rsid wsp:val=&quot;002A6559&quot;/&gt;&lt;wsp:rsid wsp:val=&quot;002A72E4&quot;/&gt;&lt;wsp:rsid wsp:val=&quot;002A7464&quot;/&gt;&lt;wsp:rsid wsp:val=&quot;002A753D&quot;/&gt;&lt;wsp:rsid wsp:val=&quot;002A76F0&quot;/&gt;&lt;wsp:rsid wsp:val=&quot;002A78B2&quot;/&gt;&lt;wsp:rsid wsp:val=&quot;002A7969&quot;/&gt;&lt;wsp:rsid wsp:val=&quot;002A7DE4&quot;/&gt;&lt;wsp:rsid wsp:val=&quot;002B07B5&quot;/&gt;&lt;wsp:rsid wsp:val=&quot;002B07D5&quot;/&gt;&lt;wsp:rsid wsp:val=&quot;002B0B06&quot;/&gt;&lt;wsp:rsid wsp:val=&quot;002B0B36&quot;/&gt;&lt;wsp:rsid wsp:val=&quot;002B1469&quot;/&gt;&lt;wsp:rsid wsp:val=&quot;002B21F2&quot;/&gt;&lt;wsp:rsid wsp:val=&quot;002B22FF&quot;/&gt;&lt;wsp:rsid wsp:val=&quot;002B2487&quot;/&gt;&lt;wsp:rsid wsp:val=&quot;002B2750&quot;/&gt;&lt;wsp:rsid wsp:val=&quot;002B2CDA&quot;/&gt;&lt;wsp:rsid wsp:val=&quot;002B3B40&quot;/&gt;&lt;wsp:rsid wsp:val=&quot;002B3B45&quot;/&gt;&lt;wsp:rsid wsp:val=&quot;002B3C6E&quot;/&gt;&lt;wsp:rsid wsp:val=&quot;002B4636&quot;/&gt;&lt;wsp:rsid wsp:val=&quot;002B5679&quot;/&gt;&lt;wsp:rsid wsp:val=&quot;002B589F&quot;/&gt;&lt;wsp:rsid wsp:val=&quot;002B5CDE&quot;/&gt;&lt;wsp:rsid wsp:val=&quot;002B6271&quot;/&gt;&lt;wsp:rsid wsp:val=&quot;002B63AB&quot;/&gt;&lt;wsp:rsid wsp:val=&quot;002B6969&quot;/&gt;&lt;wsp:rsid wsp:val=&quot;002B6B15&quot;/&gt;&lt;wsp:rsid wsp:val=&quot;002B6C6C&quot;/&gt;&lt;wsp:rsid wsp:val=&quot;002B6E38&quot;/&gt;&lt;wsp:rsid wsp:val=&quot;002B7093&quot;/&gt;&lt;wsp:rsid wsp:val=&quot;002C028F&quot;/&gt;&lt;wsp:rsid wsp:val=&quot;002C02EC&quot;/&gt;&lt;wsp:rsid wsp:val=&quot;002C02EF&quot;/&gt;&lt;wsp:rsid wsp:val=&quot;002C0435&quot;/&gt;&lt;wsp:rsid wsp:val=&quot;002C0475&quot;/&gt;&lt;wsp:rsid wsp:val=&quot;002C049C&quot;/&gt;&lt;wsp:rsid wsp:val=&quot;002C06A2&quot;/&gt;&lt;wsp:rsid wsp:val=&quot;002C0797&quot;/&gt;&lt;wsp:rsid wsp:val=&quot;002C09C9&quot;/&gt;&lt;wsp:rsid wsp:val=&quot;002C1425&quot;/&gt;&lt;wsp:rsid wsp:val=&quot;002C196B&quot;/&gt;&lt;wsp:rsid wsp:val=&quot;002C1A16&quot;/&gt;&lt;wsp:rsid wsp:val=&quot;002C1D69&quot;/&gt;&lt;wsp:rsid wsp:val=&quot;002C2023&quot;/&gt;&lt;wsp:rsid wsp:val=&quot;002C2E78&quot;/&gt;&lt;wsp:rsid wsp:val=&quot;002C341B&quot;/&gt;&lt;wsp:rsid wsp:val=&quot;002C36FF&quot;/&gt;&lt;wsp:rsid wsp:val=&quot;002C3863&quot;/&gt;&lt;wsp:rsid wsp:val=&quot;002C38D3&quot;/&gt;&lt;wsp:rsid wsp:val=&quot;002C399A&quot;/&gt;&lt;wsp:rsid wsp:val=&quot;002C3F6E&quot;/&gt;&lt;wsp:rsid wsp:val=&quot;002C40E3&quot;/&gt;&lt;wsp:rsid wsp:val=&quot;002C426B&quot;/&gt;&lt;wsp:rsid wsp:val=&quot;002C4910&quot;/&gt;&lt;wsp:rsid wsp:val=&quot;002C51F4&quot;/&gt;&lt;wsp:rsid wsp:val=&quot;002C52BD&quot;/&gt;&lt;wsp:rsid wsp:val=&quot;002C5465&quot;/&gt;&lt;wsp:rsid wsp:val=&quot;002C580B&quot;/&gt;&lt;wsp:rsid wsp:val=&quot;002C5A9A&quot;/&gt;&lt;wsp:rsid wsp:val=&quot;002C5D82&quot;/&gt;&lt;wsp:rsid wsp:val=&quot;002C5F99&quot;/&gt;&lt;wsp:rsid wsp:val=&quot;002C6221&quot;/&gt;&lt;wsp:rsid wsp:val=&quot;002C6936&quot;/&gt;&lt;wsp:rsid wsp:val=&quot;002C6EF6&quot;/&gt;&lt;wsp:rsid wsp:val=&quot;002C70A1&quot;/&gt;&lt;wsp:rsid wsp:val=&quot;002C70EB&quot;/&gt;&lt;wsp:rsid wsp:val=&quot;002C71BC&quot;/&gt;&lt;wsp:rsid wsp:val=&quot;002C7CB3&quot;/&gt;&lt;wsp:rsid wsp:val=&quot;002D01B6&quot;/&gt;&lt;wsp:rsid wsp:val=&quot;002D051A&quot;/&gt;&lt;wsp:rsid wsp:val=&quot;002D066C&quot;/&gt;&lt;wsp:rsid wsp:val=&quot;002D0BD7&quot;/&gt;&lt;wsp:rsid wsp:val=&quot;002D0D75&quot;/&gt;&lt;wsp:rsid wsp:val=&quot;002D17A6&quot;/&gt;&lt;wsp:rsid wsp:val=&quot;002D1F87&quot;/&gt;&lt;wsp:rsid wsp:val=&quot;002D2373&quot;/&gt;&lt;wsp:rsid wsp:val=&quot;002D26F6&quot;/&gt;&lt;wsp:rsid wsp:val=&quot;002D2A19&quot;/&gt;&lt;wsp:rsid wsp:val=&quot;002D2A84&quot;/&gt;&lt;wsp:rsid wsp:val=&quot;002D30BE&quot;/&gt;&lt;wsp:rsid wsp:val=&quot;002D325A&quot;/&gt;&lt;wsp:rsid wsp:val=&quot;002D3A06&quot;/&gt;&lt;wsp:rsid wsp:val=&quot;002D3E99&quot;/&gt;&lt;wsp:rsid wsp:val=&quot;002D3FAD&quot;/&gt;&lt;wsp:rsid wsp:val=&quot;002D4667&quot;/&gt;&lt;wsp:rsid wsp:val=&quot;002D48AC&quot;/&gt;&lt;wsp:rsid wsp:val=&quot;002D4A83&quot;/&gt;&lt;wsp:rsid wsp:val=&quot;002D4C2A&quot;/&gt;&lt;wsp:rsid wsp:val=&quot;002D5156&quot;/&gt;&lt;wsp:rsid wsp:val=&quot;002D5221&quot;/&gt;&lt;wsp:rsid wsp:val=&quot;002D54B2&quot;/&gt;&lt;wsp:rsid wsp:val=&quot;002D5AD5&quot;/&gt;&lt;wsp:rsid wsp:val=&quot;002D5F75&quot;/&gt;&lt;wsp:rsid wsp:val=&quot;002D60C7&quot;/&gt;&lt;wsp:rsid wsp:val=&quot;002D6528&quot;/&gt;&lt;wsp:rsid wsp:val=&quot;002D655D&quot;/&gt;&lt;wsp:rsid wsp:val=&quot;002D6810&quot;/&gt;&lt;wsp:rsid wsp:val=&quot;002D68CE&quot;/&gt;&lt;wsp:rsid wsp:val=&quot;002D68D1&quot;/&gt;&lt;wsp:rsid wsp:val=&quot;002D68F0&quot;/&gt;&lt;wsp:rsid wsp:val=&quot;002D6938&quot;/&gt;&lt;wsp:rsid wsp:val=&quot;002D6EA4&quot;/&gt;&lt;wsp:rsid wsp:val=&quot;002D6F4C&quot;/&gt;&lt;wsp:rsid wsp:val=&quot;002D712B&quot;/&gt;&lt;wsp:rsid wsp:val=&quot;002D7489&quot;/&gt;&lt;wsp:rsid wsp:val=&quot;002D75E1&quot;/&gt;&lt;wsp:rsid wsp:val=&quot;002D7852&quot;/&gt;&lt;wsp:rsid wsp:val=&quot;002D7876&quot;/&gt;&lt;wsp:rsid wsp:val=&quot;002D7F7C&quot;/&gt;&lt;wsp:rsid wsp:val=&quot;002E00F5&quot;/&gt;&lt;wsp:rsid wsp:val=&quot;002E0245&quot;/&gt;&lt;wsp:rsid wsp:val=&quot;002E09BB&quot;/&gt;&lt;wsp:rsid wsp:val=&quot;002E10DC&quot;/&gt;&lt;wsp:rsid wsp:val=&quot;002E155F&quot;/&gt;&lt;wsp:rsid wsp:val=&quot;002E1B96&quot;/&gt;&lt;wsp:rsid wsp:val=&quot;002E1D4F&quot;/&gt;&lt;wsp:rsid wsp:val=&quot;002E1F15&quot;/&gt;&lt;wsp:rsid wsp:val=&quot;002E1F17&quot;/&gt;&lt;wsp:rsid wsp:val=&quot;002E205D&quot;/&gt;&lt;wsp:rsid wsp:val=&quot;002E22DB&quot;/&gt;&lt;wsp:rsid wsp:val=&quot;002E28BB&quot;/&gt;&lt;wsp:rsid wsp:val=&quot;002E2C03&quot;/&gt;&lt;wsp:rsid wsp:val=&quot;002E2EC0&quot;/&gt;&lt;wsp:rsid wsp:val=&quot;002E3387&quot;/&gt;&lt;wsp:rsid wsp:val=&quot;002E34D6&quot;/&gt;&lt;wsp:rsid wsp:val=&quot;002E3B88&quot;/&gt;&lt;wsp:rsid wsp:val=&quot;002E3D5B&quot;/&gt;&lt;wsp:rsid wsp:val=&quot;002E3DAD&quot;/&gt;&lt;wsp:rsid wsp:val=&quot;002E3ED7&quot;/&gt;&lt;wsp:rsid wsp:val=&quot;002E4583&quot;/&gt;&lt;wsp:rsid wsp:val=&quot;002E4707&quot;/&gt;&lt;wsp:rsid wsp:val=&quot;002E4B35&quot;/&gt;&lt;wsp:rsid wsp:val=&quot;002E542B&quot;/&gt;&lt;wsp:rsid wsp:val=&quot;002E6D9B&quot;/&gt;&lt;wsp:rsid wsp:val=&quot;002E7A1F&quot;/&gt;&lt;wsp:rsid wsp:val=&quot;002E7AE0&quot;/&gt;&lt;wsp:rsid wsp:val=&quot;002E7B93&quot;/&gt;&lt;wsp:rsid wsp:val=&quot;002E7F73&quot;/&gt;&lt;wsp:rsid wsp:val=&quot;002F0117&quot;/&gt;&lt;wsp:rsid wsp:val=&quot;002F033F&quot;/&gt;&lt;wsp:rsid wsp:val=&quot;002F0447&quot;/&gt;&lt;wsp:rsid wsp:val=&quot;002F046F&quot;/&gt;&lt;wsp:rsid wsp:val=&quot;002F0546&quot;/&gt;&lt;wsp:rsid wsp:val=&quot;002F0E28&quot;/&gt;&lt;wsp:rsid wsp:val=&quot;002F0F50&quot;/&gt;&lt;wsp:rsid wsp:val=&quot;002F0FBF&quot;/&gt;&lt;wsp:rsid wsp:val=&quot;002F12A5&quot;/&gt;&lt;wsp:rsid wsp:val=&quot;002F1589&quot;/&gt;&lt;wsp:rsid wsp:val=&quot;002F17EF&quot;/&gt;&lt;wsp:rsid wsp:val=&quot;002F1969&quot;/&gt;&lt;wsp:rsid wsp:val=&quot;002F1FC7&quot;/&gt;&lt;wsp:rsid wsp:val=&quot;002F2886&quot;/&gt;&lt;wsp:rsid wsp:val=&quot;002F309F&quot;/&gt;&lt;wsp:rsid wsp:val=&quot;002F33C7&quot;/&gt;&lt;wsp:rsid wsp:val=&quot;002F3538&quot;/&gt;&lt;wsp:rsid wsp:val=&quot;002F3CF1&quot;/&gt;&lt;wsp:rsid wsp:val=&quot;002F3D37&quot;/&gt;&lt;wsp:rsid wsp:val=&quot;002F42BA&quot;/&gt;&lt;wsp:rsid wsp:val=&quot;002F452B&quot;/&gt;&lt;wsp:rsid wsp:val=&quot;002F4635&quot;/&gt;&lt;wsp:rsid wsp:val=&quot;002F4CC1&quot;/&gt;&lt;wsp:rsid wsp:val=&quot;002F4E53&quot;/&gt;&lt;wsp:rsid wsp:val=&quot;002F4E82&quot;/&gt;&lt;wsp:rsid wsp:val=&quot;002F4FEE&quot;/&gt;&lt;wsp:rsid wsp:val=&quot;002F50B4&quot;/&gt;&lt;wsp:rsid wsp:val=&quot;002F5550&quot;/&gt;&lt;wsp:rsid wsp:val=&quot;002F57FD&quot;/&gt;&lt;wsp:rsid wsp:val=&quot;002F5DB6&quot;/&gt;&lt;wsp:rsid wsp:val=&quot;002F5EEF&quot;/&gt;&lt;wsp:rsid wsp:val=&quot;002F5FFD&quot;/&gt;&lt;wsp:rsid wsp:val=&quot;002F6510&quot;/&gt;&lt;wsp:rsid wsp:val=&quot;002F6A30&quot;/&gt;&lt;wsp:rsid wsp:val=&quot;002F6C71&quot;/&gt;&lt;wsp:rsid wsp:val=&quot;002F762A&quot;/&gt;&lt;wsp:rsid wsp:val=&quot;002F7CDE&quot;/&gt;&lt;wsp:rsid wsp:val=&quot;00300614&quot;/&gt;&lt;wsp:rsid wsp:val=&quot;0030079A&quot;/&gt;&lt;wsp:rsid wsp:val=&quot;00300A4F&quot;/&gt;&lt;wsp:rsid wsp:val=&quot;003011E0&quot;/&gt;&lt;wsp:rsid wsp:val=&quot;00301AB9&quot;/&gt;&lt;wsp:rsid wsp:val=&quot;00301E31&quot;/&gt;&lt;wsp:rsid wsp:val=&quot;003020F0&quot;/&gt;&lt;wsp:rsid wsp:val=&quot;003021E3&quot;/&gt;&lt;wsp:rsid wsp:val=&quot;003021EB&quot;/&gt;&lt;wsp:rsid wsp:val=&quot;0030234F&quot;/&gt;&lt;wsp:rsid wsp:val=&quot;003024F1&quot;/&gt;&lt;wsp:rsid wsp:val=&quot;00302C47&quot;/&gt;&lt;wsp:rsid wsp:val=&quot;00302DE7&quot;/&gt;&lt;wsp:rsid wsp:val=&quot;00302E2C&quot;/&gt;&lt;wsp:rsid wsp:val=&quot;0030381E&quot;/&gt;&lt;wsp:rsid wsp:val=&quot;00303848&quot;/&gt;&lt;wsp:rsid wsp:val=&quot;00303894&quot;/&gt;&lt;wsp:rsid wsp:val=&quot;00303A13&quot;/&gt;&lt;wsp:rsid wsp:val=&quot;00303D41&quot;/&gt;&lt;wsp:rsid wsp:val=&quot;0030400B&quot;/&gt;&lt;wsp:rsid wsp:val=&quot;003040BB&quot;/&gt;&lt;wsp:rsid wsp:val=&quot;003042E2&quot;/&gt;&lt;wsp:rsid wsp:val=&quot;00304465&quot;/&gt;&lt;wsp:rsid wsp:val=&quot;00304543&quot;/&gt;&lt;wsp:rsid wsp:val=&quot;00304659&quot;/&gt;&lt;wsp:rsid wsp:val=&quot;00304816&quot;/&gt;&lt;wsp:rsid wsp:val=&quot;00305216&quot;/&gt;&lt;wsp:rsid wsp:val=&quot;00305929&quot;/&gt;&lt;wsp:rsid wsp:val=&quot;00305A87&quot;/&gt;&lt;wsp:rsid wsp:val=&quot;003064CB&quot;/&gt;&lt;wsp:rsid wsp:val=&quot;00306A6A&quot;/&gt;&lt;wsp:rsid wsp:val=&quot;00306AA7&quot;/&gt;&lt;wsp:rsid wsp:val=&quot;00306CB1&quot;/&gt;&lt;wsp:rsid wsp:val=&quot;00306F51&quot;/&gt;&lt;wsp:rsid wsp:val=&quot;00306F9A&quot;/&gt;&lt;wsp:rsid wsp:val=&quot;00307117&quot;/&gt;&lt;wsp:rsid wsp:val=&quot;00307711&quot;/&gt;&lt;wsp:rsid wsp:val=&quot;003077AC&quot;/&gt;&lt;wsp:rsid wsp:val=&quot;00307B03&quot;/&gt;&lt;wsp:rsid wsp:val=&quot;0031013A&quot;/&gt;&lt;wsp:rsid wsp:val=&quot;0031018C&quot;/&gt;&lt;wsp:rsid wsp:val=&quot;003105B2&quot;/&gt;&lt;wsp:rsid wsp:val=&quot;00310832&quot;/&gt;&lt;wsp:rsid wsp:val=&quot;00310AC6&quot;/&gt;&lt;wsp:rsid wsp:val=&quot;00310E02&quot;/&gt;&lt;wsp:rsid wsp:val=&quot;003111BD&quot;/&gt;&lt;wsp:rsid wsp:val=&quot;00311355&quot;/&gt;&lt;wsp:rsid wsp:val=&quot;003118E0&quot;/&gt;&lt;wsp:rsid wsp:val=&quot;00311967&quot;/&gt;&lt;wsp:rsid wsp:val=&quot;00311BFF&quot;/&gt;&lt;wsp:rsid wsp:val=&quot;0031201D&quot;/&gt;&lt;wsp:rsid wsp:val=&quot;003124A8&quot;/&gt;&lt;wsp:rsid wsp:val=&quot;0031286E&quot;/&gt;&lt;wsp:rsid wsp:val=&quot;00312EEF&quot;/&gt;&lt;wsp:rsid wsp:val=&quot;00312FD4&quot;/&gt;&lt;wsp:rsid wsp:val=&quot;0031302C&quot;/&gt;&lt;wsp:rsid wsp:val=&quot;00313A91&quot;/&gt;&lt;wsp:rsid wsp:val=&quot;00313C73&quot;/&gt;&lt;wsp:rsid wsp:val=&quot;0031435C&quot;/&gt;&lt;wsp:rsid wsp:val=&quot;003144DA&quot;/&gt;&lt;wsp:rsid wsp:val=&quot;00314577&quot;/&gt;&lt;wsp:rsid wsp:val=&quot;003145BA&quot;/&gt;&lt;wsp:rsid wsp:val=&quot;003146B3&quot;/&gt;&lt;wsp:rsid wsp:val=&quot;003148C5&quot;/&gt;&lt;wsp:rsid wsp:val=&quot;003148E8&quot;/&gt;&lt;wsp:rsid wsp:val=&quot;0031494A&quot;/&gt;&lt;wsp:rsid wsp:val=&quot;00314D64&quot;/&gt;&lt;wsp:rsid wsp:val=&quot;003153AB&quot;/&gt;&lt;wsp:rsid wsp:val=&quot;00315C1F&quot;/&gt;&lt;wsp:rsid wsp:val=&quot;00316A8D&quot;/&gt;&lt;wsp:rsid wsp:val=&quot;00316B3D&quot;/&gt;&lt;wsp:rsid wsp:val=&quot;0031710A&quot;/&gt;&lt;wsp:rsid wsp:val=&quot;0031727B&quot;/&gt;&lt;wsp:rsid wsp:val=&quot;003173FE&quot;/&gt;&lt;wsp:rsid wsp:val=&quot;0031743E&quot;/&gt;&lt;wsp:rsid wsp:val=&quot;003175D3&quot;/&gt;&lt;wsp:rsid wsp:val=&quot;003176EF&quot;/&gt;&lt;wsp:rsid wsp:val=&quot;00317939&quot;/&gt;&lt;wsp:rsid wsp:val=&quot;00317951&quot;/&gt;&lt;wsp:rsid wsp:val=&quot;003179E4&quot;/&gt;&lt;wsp:rsid wsp:val=&quot;00317A5B&quot;/&gt;&lt;wsp:rsid wsp:val=&quot;00317B85&quot;/&gt;&lt;wsp:rsid wsp:val=&quot;00317C82&quot;/&gt;&lt;wsp:rsid wsp:val=&quot;00317C8D&quot;/&gt;&lt;wsp:rsid wsp:val=&quot;00320125&quot;/&gt;&lt;wsp:rsid wsp:val=&quot;00320258&quot;/&gt;&lt;wsp:rsid wsp:val=&quot;00320778&quot;/&gt;&lt;wsp:rsid wsp:val=&quot;003208F1&quot;/&gt;&lt;wsp:rsid wsp:val=&quot;00320B46&quot;/&gt;&lt;wsp:rsid wsp:val=&quot;00321345&quot;/&gt;&lt;wsp:rsid wsp:val=&quot;003219C6&quot;/&gt;&lt;wsp:rsid wsp:val=&quot;00321BAA&quot;/&gt;&lt;wsp:rsid wsp:val=&quot;00321FE8&quot;/&gt;&lt;wsp:rsid wsp:val=&quot;003228E7&quot;/&gt;&lt;wsp:rsid wsp:val=&quot;00322C86&quot;/&gt;&lt;wsp:rsid wsp:val=&quot;00322F9C&quot;/&gt;&lt;wsp:rsid wsp:val=&quot;00323064&quot;/&gt;&lt;wsp:rsid wsp:val=&quot;00323789&quot;/&gt;&lt;wsp:rsid wsp:val=&quot;003237CD&quot;/&gt;&lt;wsp:rsid wsp:val=&quot;003239FE&quot;/&gt;&lt;wsp:rsid wsp:val=&quot;00323A36&quot;/&gt;&lt;wsp:rsid wsp:val=&quot;00323C3F&quot;/&gt;&lt;wsp:rsid wsp:val=&quot;00324043&quot;/&gt;&lt;wsp:rsid wsp:val=&quot;003240C6&quot;/&gt;&lt;wsp:rsid wsp:val=&quot;003240DB&quot;/&gt;&lt;wsp:rsid wsp:val=&quot;00324172&quot;/&gt;&lt;wsp:rsid wsp:val=&quot;003243F1&quot;/&gt;&lt;wsp:rsid wsp:val=&quot;00324811&quot;/&gt;&lt;wsp:rsid wsp:val=&quot;00324D96&quot;/&gt;&lt;wsp:rsid wsp:val=&quot;003251F5&quot;/&gt;&lt;wsp:rsid wsp:val=&quot;003251FD&quot;/&gt;&lt;wsp:rsid wsp:val=&quot;003252DE&quot;/&gt;&lt;wsp:rsid wsp:val=&quot;0032561C&quot;/&gt;&lt;wsp:rsid wsp:val=&quot;003256BF&quot;/&gt;&lt;wsp:rsid wsp:val=&quot;0032627E&quot;/&gt;&lt;wsp:rsid wsp:val=&quot;003263D2&quot;/&gt;&lt;wsp:rsid wsp:val=&quot;003265DD&quot;/&gt;&lt;wsp:rsid wsp:val=&quot;00326D3E&quot;/&gt;&lt;wsp:rsid wsp:val=&quot;0032714F&quot;/&gt;&lt;wsp:rsid wsp:val=&quot;0032737B&quot;/&gt;&lt;wsp:rsid wsp:val=&quot;0032755B&quot;/&gt;&lt;wsp:rsid wsp:val=&quot;0032756B&quot;/&gt;&lt;wsp:rsid wsp:val=&quot;003278B6&quot;/&gt;&lt;wsp:rsid wsp:val=&quot;00327A8B&quot;/&gt;&lt;wsp:rsid wsp:val=&quot;00327CA0&quot;/&gt;&lt;wsp:rsid wsp:val=&quot;00327E04&quot;/&gt;&lt;wsp:rsid wsp:val=&quot;00327E52&quot;/&gt;&lt;wsp:rsid wsp:val=&quot;00330024&quot;/&gt;&lt;wsp:rsid wsp:val=&quot;0033034B&quot;/&gt;&lt;wsp:rsid wsp:val=&quot;00330B34&quot;/&gt;&lt;wsp:rsid wsp:val=&quot;00331365&quot;/&gt;&lt;wsp:rsid wsp:val=&quot;003316ED&quot;/&gt;&lt;wsp:rsid wsp:val=&quot;0033175A&quot;/&gt;&lt;wsp:rsid wsp:val=&quot;003318EC&quot;/&gt;&lt;wsp:rsid wsp:val=&quot;00331ACB&quot;/&gt;&lt;wsp:rsid wsp:val=&quot;0033226E&quot;/&gt;&lt;wsp:rsid wsp:val=&quot;003322C0&quot;/&gt;&lt;wsp:rsid wsp:val=&quot;0033245B&quot;/&gt;&lt;wsp:rsid wsp:val=&quot;003327D1&quot;/&gt;&lt;wsp:rsid wsp:val=&quot;00332A9F&quot;/&gt;&lt;wsp:rsid wsp:val=&quot;00332C11&quot;/&gt;&lt;wsp:rsid wsp:val=&quot;0033316B&quot;/&gt;&lt;wsp:rsid wsp:val=&quot;003331E4&quot;/&gt;&lt;wsp:rsid wsp:val=&quot;003332A5&quot;/&gt;&lt;wsp:rsid wsp:val=&quot;003332B4&quot;/&gt;&lt;wsp:rsid wsp:val=&quot;003332C9&quot;/&gt;&lt;wsp:rsid wsp:val=&quot;00333498&quot;/&gt;&lt;wsp:rsid wsp:val=&quot;00333521&quot;/&gt;&lt;wsp:rsid wsp:val=&quot;00333680&quot;/&gt;&lt;wsp:rsid wsp:val=&quot;00333F62&quot;/&gt;&lt;wsp:rsid wsp:val=&quot;003340C4&quot;/&gt;&lt;wsp:rsid wsp:val=&quot;003342C3&quot;/&gt;&lt;wsp:rsid wsp:val=&quot;00334AB7&quot;/&gt;&lt;wsp:rsid wsp:val=&quot;00334DBD&quot;/&gt;&lt;wsp:rsid wsp:val=&quot;00334F85&quot;/&gt;&lt;wsp:rsid wsp:val=&quot;0033524F&quot;/&gt;&lt;wsp:rsid wsp:val=&quot;003354E8&quot;/&gt;&lt;wsp:rsid wsp:val=&quot;00335704&quot;/&gt;&lt;wsp:rsid wsp:val=&quot;00335B8C&quot;/&gt;&lt;wsp:rsid wsp:val=&quot;00335BEC&quot;/&gt;&lt;wsp:rsid wsp:val=&quot;00335C3B&quot;/&gt;&lt;wsp:rsid wsp:val=&quot;00335FEF&quot;/&gt;&lt;wsp:rsid wsp:val=&quot;00336121&quot;/&gt;&lt;wsp:rsid wsp:val=&quot;00336146&quot;/&gt;&lt;wsp:rsid wsp:val=&quot;003369C1&quot;/&gt;&lt;wsp:rsid wsp:val=&quot;00336D68&quot;/&gt;&lt;wsp:rsid wsp:val=&quot;00336D7E&quot;/&gt;&lt;wsp:rsid wsp:val=&quot;00337075&quot;/&gt;&lt;wsp:rsid wsp:val=&quot;0033707C&quot;/&gt;&lt;wsp:rsid wsp:val=&quot;003373A9&quot;/&gt;&lt;wsp:rsid wsp:val=&quot;003373F7&quot;/&gt;&lt;wsp:rsid wsp:val=&quot;003375F2&quot;/&gt;&lt;wsp:rsid wsp:val=&quot;0033764C&quot;/&gt;&lt;wsp:rsid wsp:val=&quot;003379E1&quot;/&gt;&lt;wsp:rsid wsp:val=&quot;0034005A&quot;/&gt;&lt;wsp:rsid wsp:val=&quot;00340105&quot;/&gt;&lt;wsp:rsid wsp:val=&quot;003405F2&quot;/&gt;&lt;wsp:rsid wsp:val=&quot;0034077B&quot;/&gt;&lt;wsp:rsid wsp:val=&quot;00340B3C&quot;/&gt;&lt;wsp:rsid wsp:val=&quot;00340EA3&quot;/&gt;&lt;wsp:rsid wsp:val=&quot;00340EC3&quot;/&gt;&lt;wsp:rsid wsp:val=&quot;00341352&quot;/&gt;&lt;wsp:rsid wsp:val=&quot;0034136D&quot;/&gt;&lt;wsp:rsid wsp:val=&quot;00341648&quot;/&gt;&lt;wsp:rsid wsp:val=&quot;00341871&quot;/&gt;&lt;wsp:rsid wsp:val=&quot;00341BA2&quot;/&gt;&lt;wsp:rsid wsp:val=&quot;0034246D&quot;/&gt;&lt;wsp:rsid wsp:val=&quot;003426DD&quot;/&gt;&lt;wsp:rsid wsp:val=&quot;003429BB&quot;/&gt;&lt;wsp:rsid wsp:val=&quot;00342C6D&quot;/&gt;&lt;wsp:rsid wsp:val=&quot;00342D91&quot;/&gt;&lt;wsp:rsid wsp:val=&quot;0034360D&quot;/&gt;&lt;wsp:rsid wsp:val=&quot;00343823&quot;/&gt;&lt;wsp:rsid wsp:val=&quot;00343AEB&quot;/&gt;&lt;wsp:rsid wsp:val=&quot;00343B37&quot;/&gt;&lt;wsp:rsid wsp:val=&quot;003441AF&quot;/&gt;&lt;wsp:rsid wsp:val=&quot;0034430C&quot;/&gt;&lt;wsp:rsid wsp:val=&quot;0034477E&quot;/&gt;&lt;wsp:rsid wsp:val=&quot;0034499B&quot;/&gt;&lt;wsp:rsid wsp:val=&quot;003449EE&quot;/&gt;&lt;wsp:rsid wsp:val=&quot;00344C86&quot;/&gt;&lt;wsp:rsid wsp:val=&quot;00345346&quot;/&gt;&lt;wsp:rsid wsp:val=&quot;003459A5&quot;/&gt;&lt;wsp:rsid wsp:val=&quot;00345E3E&quot;/&gt;&lt;wsp:rsid wsp:val=&quot;00345E83&quot;/&gt;&lt;wsp:rsid wsp:val=&quot;003461A8&quot;/&gt;&lt;wsp:rsid wsp:val=&quot;003461B5&quot;/&gt;&lt;wsp:rsid wsp:val=&quot;0034647F&quot;/&gt;&lt;wsp:rsid wsp:val=&quot;003465BD&quot;/&gt;&lt;wsp:rsid wsp:val=&quot;003467BA&quot;/&gt;&lt;wsp:rsid wsp:val=&quot;003472CE&quot;/&gt;&lt;wsp:rsid wsp:val=&quot;003474C7&quot;/&gt;&lt;wsp:rsid wsp:val=&quot;00347AEC&quot;/&gt;&lt;wsp:rsid wsp:val=&quot;00350027&quot;/&gt;&lt;wsp:rsid wsp:val=&quot;003501D8&quot;/&gt;&lt;wsp:rsid wsp:val=&quot;003506E8&quot;/&gt;&lt;wsp:rsid wsp:val=&quot;00350808&quot;/&gt;&lt;wsp:rsid wsp:val=&quot;00350B40&quot;/&gt;&lt;wsp:rsid wsp:val=&quot;00350BE1&quot;/&gt;&lt;wsp:rsid wsp:val=&quot;00350C45&quot;/&gt;&lt;wsp:rsid wsp:val=&quot;00350D37&quot;/&gt;&lt;wsp:rsid wsp:val=&quot;003513D0&quot;/&gt;&lt;wsp:rsid wsp:val=&quot;00351544&quot;/&gt;&lt;wsp:rsid wsp:val=&quot;00351D23&quot;/&gt;&lt;wsp:rsid wsp:val=&quot;00352111&quot;/&gt;&lt;wsp:rsid wsp:val=&quot;0035243E&quot;/&gt;&lt;wsp:rsid wsp:val=&quot;003529B5&quot;/&gt;&lt;wsp:rsid wsp:val=&quot;003529C4&quot;/&gt;&lt;wsp:rsid wsp:val=&quot;00352D51&quot;/&gt;&lt;wsp:rsid wsp:val=&quot;0035318B&quot;/&gt;&lt;wsp:rsid wsp:val=&quot;0035377D&quot;/&gt;&lt;wsp:rsid wsp:val=&quot;00353951&quot;/&gt;&lt;wsp:rsid wsp:val=&quot;00353DEF&quot;/&gt;&lt;wsp:rsid wsp:val=&quot;003548CE&quot;/&gt;&lt;wsp:rsid wsp:val=&quot;003550CB&quot;/&gt;&lt;wsp:rsid wsp:val=&quot;0035532F&quot;/&gt;&lt;wsp:rsid wsp:val=&quot;00355506&quot;/&gt;&lt;wsp:rsid wsp:val=&quot;0035582D&quot;/&gt;&lt;wsp:rsid wsp:val=&quot;003558B6&quot;/&gt;&lt;wsp:rsid wsp:val=&quot;0035596F&quot;/&gt;&lt;wsp:rsid wsp:val=&quot;00355B23&quot;/&gt;&lt;wsp:rsid wsp:val=&quot;003564AF&quot;/&gt;&lt;wsp:rsid wsp:val=&quot;003576FD&quot;/&gt;&lt;wsp:rsid wsp:val=&quot;0035786F&quot;/&gt;&lt;wsp:rsid wsp:val=&quot;00357B2B&quot;/&gt;&lt;wsp:rsid wsp:val=&quot;00357BD4&quot;/&gt;&lt;wsp:rsid wsp:val=&quot;0036002A&quot;/&gt;&lt;wsp:rsid wsp:val=&quot;0036041D&quot;/&gt;&lt;wsp:rsid wsp:val=&quot;00360810&quot;/&gt;&lt;wsp:rsid wsp:val=&quot;00360C9D&quot;/&gt;&lt;wsp:rsid wsp:val=&quot;00360FA1&quot;/&gt;&lt;wsp:rsid wsp:val=&quot;003611FD&quot;/&gt;&lt;wsp:rsid wsp:val=&quot;00361663&quot;/&gt;&lt;wsp:rsid wsp:val=&quot;00361B72&quot;/&gt;&lt;wsp:rsid wsp:val=&quot;00361FD5&quot;/&gt;&lt;wsp:rsid wsp:val=&quot;003620B5&quot;/&gt;&lt;wsp:rsid wsp:val=&quot;003620DB&quot;/&gt;&lt;wsp:rsid wsp:val=&quot;003621B7&quot;/&gt;&lt;wsp:rsid wsp:val=&quot;0036259B&quot;/&gt;&lt;wsp:rsid wsp:val=&quot;00362A92&quot;/&gt;&lt;wsp:rsid wsp:val=&quot;00362BC1&quot;/&gt;&lt;wsp:rsid wsp:val=&quot;00362FE2&quot;/&gt;&lt;wsp:rsid wsp:val=&quot;003630BD&quot;/&gt;&lt;wsp:rsid wsp:val=&quot;0036312A&quot;/&gt;&lt;wsp:rsid wsp:val=&quot;00363568&quot;/&gt;&lt;wsp:rsid wsp:val=&quot;003638A2&quot;/&gt;&lt;wsp:rsid wsp:val=&quot;00363E3B&quot;/&gt;&lt;wsp:rsid wsp:val=&quot;00363E47&quot;/&gt;&lt;wsp:rsid wsp:val=&quot;0036416D&quot;/&gt;&lt;wsp:rsid wsp:val=&quot;00364582&quot;/&gt;&lt;wsp:rsid wsp:val=&quot;003645D7&quot;/&gt;&lt;wsp:rsid wsp:val=&quot;00364A82&quot;/&gt;&lt;wsp:rsid wsp:val=&quot;00365286&quot;/&gt;&lt;wsp:rsid wsp:val=&quot;00365C52&quot;/&gt;&lt;wsp:rsid wsp:val=&quot;00365F41&quot;/&gt;&lt;wsp:rsid wsp:val=&quot;00366017&quot;/&gt;&lt;wsp:rsid wsp:val=&quot;00366401&quot;/&gt;&lt;wsp:rsid wsp:val=&quot;00366520&quot;/&gt;&lt;wsp:rsid wsp:val=&quot;003666EE&quot;/&gt;&lt;wsp:rsid wsp:val=&quot;00366833&quot;/&gt;&lt;wsp:rsid wsp:val=&quot;00366FF4&quot;/&gt;&lt;wsp:rsid wsp:val=&quot;0036702E&quot;/&gt;&lt;wsp:rsid wsp:val=&quot;00367099&quot;/&gt;&lt;wsp:rsid wsp:val=&quot;00367116&quot;/&gt;&lt;wsp:rsid wsp:val=&quot;003671C2&quot;/&gt;&lt;wsp:rsid wsp:val=&quot;003673CB&quot;/&gt;&lt;wsp:rsid wsp:val=&quot;00367508&quot;/&gt;&lt;wsp:rsid wsp:val=&quot;00367CAA&quot;/&gt;&lt;wsp:rsid wsp:val=&quot;00370218&quot;/&gt;&lt;wsp:rsid wsp:val=&quot;00370956&quot;/&gt;&lt;wsp:rsid wsp:val=&quot;00370A0F&quot;/&gt;&lt;wsp:rsid wsp:val=&quot;00370D91&quot;/&gt;&lt;wsp:rsid wsp:val=&quot;00371DDF&quot;/&gt;&lt;wsp:rsid wsp:val=&quot;00371E75&quot;/&gt;&lt;wsp:rsid wsp:val=&quot;00372B2C&quot;/&gt;&lt;wsp:rsid wsp:val=&quot;00372B94&quot;/&gt;&lt;wsp:rsid wsp:val=&quot;00372E1F&quot;/&gt;&lt;wsp:rsid wsp:val=&quot;0037305D&quot;/&gt;&lt;wsp:rsid wsp:val=&quot;00373080&quot;/&gt;&lt;wsp:rsid wsp:val=&quot;0037327A&quot;/&gt;&lt;wsp:rsid wsp:val=&quot;003733B9&quot;/&gt;&lt;wsp:rsid wsp:val=&quot;003734EA&quot;/&gt;&lt;wsp:rsid wsp:val=&quot;00373772&quot;/&gt;&lt;wsp:rsid wsp:val=&quot;0037381A&quot;/&gt;&lt;wsp:rsid wsp:val=&quot;00373863&quot;/&gt;&lt;wsp:rsid wsp:val=&quot;0037417F&quot;/&gt;&lt;wsp:rsid wsp:val=&quot;0037434F&quot;/&gt;&lt;wsp:rsid wsp:val=&quot;003744B2&quot;/&gt;&lt;wsp:rsid wsp:val=&quot;00374A1A&quot;/&gt;&lt;wsp:rsid wsp:val=&quot;00374CFC&quot;/&gt;&lt;wsp:rsid wsp:val=&quot;003751DB&quot;/&gt;&lt;wsp:rsid wsp:val=&quot;00375561&quot;/&gt;&lt;wsp:rsid wsp:val=&quot;0037566E&quot;/&gt;&lt;wsp:rsid wsp:val=&quot;0037573E&quot;/&gt;&lt;wsp:rsid wsp:val=&quot;0037587B&quot;/&gt;&lt;wsp:rsid wsp:val=&quot;00375FE1&quot;/&gt;&lt;wsp:rsid wsp:val=&quot;0037620D&quot;/&gt;&lt;wsp:rsid wsp:val=&quot;00376889&quot;/&gt;&lt;wsp:rsid wsp:val=&quot;0037688C&quot;/&gt;&lt;wsp:rsid wsp:val=&quot;0037736A&quot;/&gt;&lt;wsp:rsid wsp:val=&quot;003778DE&quot;/&gt;&lt;wsp:rsid wsp:val=&quot;00377A92&quot;/&gt;&lt;wsp:rsid wsp:val=&quot;00377CAB&quot;/&gt;&lt;wsp:rsid wsp:val=&quot;00377CCF&quot;/&gt;&lt;wsp:rsid wsp:val=&quot;003800B0&quot;/&gt;&lt;wsp:rsid wsp:val=&quot;00380150&quot;/&gt;&lt;wsp:rsid wsp:val=&quot;0038021F&quot;/&gt;&lt;wsp:rsid wsp:val=&quot;00380627&quot;/&gt;&lt;wsp:rsid wsp:val=&quot;00380A43&quot;/&gt;&lt;wsp:rsid wsp:val=&quot;00380BE5&quot;/&gt;&lt;wsp:rsid wsp:val=&quot;00380D61&quot;/&gt;&lt;wsp:rsid wsp:val=&quot;00380E4F&quot;/&gt;&lt;wsp:rsid wsp:val=&quot;00381580&quot;/&gt;&lt;wsp:rsid wsp:val=&quot;003816B6&quot;/&gt;&lt;wsp:rsid wsp:val=&quot;00381735&quot;/&gt;&lt;wsp:rsid wsp:val=&quot;00381A47&quot;/&gt;&lt;wsp:rsid wsp:val=&quot;00381AE0&quot;/&gt;&lt;wsp:rsid wsp:val=&quot;00381F29&quot;/&gt;&lt;wsp:rsid wsp:val=&quot;003822F0&quot;/&gt;&lt;wsp:rsid wsp:val=&quot;0038263F&quot;/&gt;&lt;wsp:rsid wsp:val=&quot;003829FF&quot;/&gt;&lt;wsp:rsid wsp:val=&quot;00382C25&quot;/&gt;&lt;wsp:rsid wsp:val=&quot;00382E60&quot;/&gt;&lt;wsp:rsid wsp:val=&quot;0038324A&quot;/&gt;&lt;wsp:rsid wsp:val=&quot;00383257&quot;/&gt;&lt;wsp:rsid wsp:val=&quot;003835F4&quot;/&gt;&lt;wsp:rsid wsp:val=&quot;00383A82&quot;/&gt;&lt;wsp:rsid wsp:val=&quot;00383B9A&quot;/&gt;&lt;wsp:rsid wsp:val=&quot;0038426B&quot;/&gt;&lt;wsp:rsid wsp:val=&quot;003843D7&quot;/&gt;&lt;wsp:rsid wsp:val=&quot;003849FB&quot;/&gt;&lt;wsp:rsid wsp:val=&quot;00384B3B&quot;/&gt;&lt;wsp:rsid wsp:val=&quot;00385C5F&quot;/&gt;&lt;wsp:rsid wsp:val=&quot;00385DE1&quot;/&gt;&lt;wsp:rsid wsp:val=&quot;00386363&quot;/&gt;&lt;wsp:rsid wsp:val=&quot;003867F0&quot;/&gt;&lt;wsp:rsid wsp:val=&quot;003871D5&quot;/&gt;&lt;wsp:rsid wsp:val=&quot;00387309&quot;/&gt;&lt;wsp:rsid wsp:val=&quot;0038764F&quot;/&gt;&lt;wsp:rsid wsp:val=&quot;00387679&quot;/&gt;&lt;wsp:rsid wsp:val=&quot;003878E4&quot;/&gt;&lt;wsp:rsid wsp:val=&quot;00387CCC&quot;/&gt;&lt;wsp:rsid wsp:val=&quot;00387D94&quot;/&gt;&lt;wsp:rsid wsp:val=&quot;00390021&quot;/&gt;&lt;wsp:rsid wsp:val=&quot;003902EC&quot;/&gt;&lt;wsp:rsid wsp:val=&quot;0039034E&quot;/&gt;&lt;wsp:rsid wsp:val=&quot;0039053A&quot;/&gt;&lt;wsp:rsid wsp:val=&quot;00390919&quot;/&gt;&lt;wsp:rsid wsp:val=&quot;00390925&quot;/&gt;&lt;wsp:rsid wsp:val=&quot;00390A07&quot;/&gt;&lt;wsp:rsid wsp:val=&quot;00390FA8&quot;/&gt;&lt;wsp:rsid wsp:val=&quot;00391369&quot;/&gt;&lt;wsp:rsid wsp:val=&quot;003917CB&quot;/&gt;&lt;wsp:rsid wsp:val=&quot;00391998&quot;/&gt;&lt;wsp:rsid wsp:val=&quot;00391E4D&quot;/&gt;&lt;wsp:rsid wsp:val=&quot;0039240C&quot;/&gt;&lt;wsp:rsid wsp:val=&quot;0039253A&quot;/&gt;&lt;wsp:rsid wsp:val=&quot;0039272C&quot;/&gt;&lt;wsp:rsid wsp:val=&quot;00392801&quot;/&gt;&lt;wsp:rsid wsp:val=&quot;00392907&quot;/&gt;&lt;wsp:rsid wsp:val=&quot;00392AAD&quot;/&gt;&lt;wsp:rsid wsp:val=&quot;003941C6&quot;/&gt;&lt;wsp:rsid wsp:val=&quot;003941CF&quot;/&gt;&lt;wsp:rsid wsp:val=&quot;003943D7&quot;/&gt;&lt;wsp:rsid wsp:val=&quot;00394690&quot;/&gt;&lt;wsp:rsid wsp:val=&quot;0039499C&quot;/&gt;&lt;wsp:rsid wsp:val=&quot;00394B2F&quot;/&gt;&lt;wsp:rsid wsp:val=&quot;00394D37&quot;/&gt;&lt;wsp:rsid wsp:val=&quot;0039501D&quot;/&gt;&lt;wsp:rsid wsp:val=&quot;00395940&quot;/&gt;&lt;wsp:rsid wsp:val=&quot;00395BC4&quot;/&gt;&lt;wsp:rsid wsp:val=&quot;00395E6F&quot;/&gt;&lt;wsp:rsid wsp:val=&quot;0039633C&quot;/&gt;&lt;wsp:rsid wsp:val=&quot;00396746&quot;/&gt;&lt;wsp:rsid wsp:val=&quot;00396CC7&quot;/&gt;&lt;wsp:rsid wsp:val=&quot;00396FF0&quot;/&gt;&lt;wsp:rsid wsp:val=&quot;003976D0&quot;/&gt;&lt;wsp:rsid wsp:val=&quot;0039784D&quot;/&gt;&lt;wsp:rsid wsp:val=&quot;00397969&quot;/&gt;&lt;wsp:rsid wsp:val=&quot;00397A5E&quot;/&gt;&lt;wsp:rsid wsp:val=&quot;00397AAD&quot;/&gt;&lt;wsp:rsid wsp:val=&quot;00397CB3&quot;/&gt;&lt;wsp:rsid wsp:val=&quot;00397FF2&quot;/&gt;&lt;wsp:rsid wsp:val=&quot;003A0398&quot;/&gt;&lt;wsp:rsid wsp:val=&quot;003A047C&quot;/&gt;&lt;wsp:rsid wsp:val=&quot;003A0DB5&quot;/&gt;&lt;wsp:rsid wsp:val=&quot;003A145B&quot;/&gt;&lt;wsp:rsid wsp:val=&quot;003A157A&quot;/&gt;&lt;wsp:rsid wsp:val=&quot;003A176A&quot;/&gt;&lt;wsp:rsid wsp:val=&quot;003A1844&quot;/&gt;&lt;wsp:rsid wsp:val=&quot;003A184C&quot;/&gt;&lt;wsp:rsid wsp:val=&quot;003A1899&quot;/&gt;&lt;wsp:rsid wsp:val=&quot;003A1926&quot;/&gt;&lt;wsp:rsid wsp:val=&quot;003A1C22&quot;/&gt;&lt;wsp:rsid wsp:val=&quot;003A1C65&quot;/&gt;&lt;wsp:rsid wsp:val=&quot;003A1CF9&quot;/&gt;&lt;wsp:rsid wsp:val=&quot;003A26FA&quot;/&gt;&lt;wsp:rsid wsp:val=&quot;003A287A&quot;/&gt;&lt;wsp:rsid wsp:val=&quot;003A29E9&quot;/&gt;&lt;wsp:rsid wsp:val=&quot;003A2A7F&quot;/&gt;&lt;wsp:rsid wsp:val=&quot;003A33E2&quot;/&gt;&lt;wsp:rsid wsp:val=&quot;003A38DD&quot;/&gt;&lt;wsp:rsid wsp:val=&quot;003A3D24&quot;/&gt;&lt;wsp:rsid wsp:val=&quot;003A3D53&quot;/&gt;&lt;wsp:rsid wsp:val=&quot;003A40F3&quot;/&gt;&lt;wsp:rsid wsp:val=&quot;003A436D&quot;/&gt;&lt;wsp:rsid wsp:val=&quot;003A4A59&quot;/&gt;&lt;wsp:rsid wsp:val=&quot;003A4A81&quot;/&gt;&lt;wsp:rsid wsp:val=&quot;003A4FE4&quot;/&gt;&lt;wsp:rsid wsp:val=&quot;003A5190&quot;/&gt;&lt;wsp:rsid wsp:val=&quot;003A528D&quot;/&gt;&lt;wsp:rsid wsp:val=&quot;003A5646&quot;/&gt;&lt;wsp:rsid wsp:val=&quot;003A566F&quot;/&gt;&lt;wsp:rsid wsp:val=&quot;003A5A32&quot;/&gt;&lt;wsp:rsid wsp:val=&quot;003A5E41&quot;/&gt;&lt;wsp:rsid wsp:val=&quot;003A65B1&quot;/&gt;&lt;wsp:rsid wsp:val=&quot;003A673B&quot;/&gt;&lt;wsp:rsid wsp:val=&quot;003A6859&quot;/&gt;&lt;wsp:rsid wsp:val=&quot;003A68E3&quot;/&gt;&lt;wsp:rsid wsp:val=&quot;003A6912&quot;/&gt;&lt;wsp:rsid wsp:val=&quot;003A70B3&quot;/&gt;&lt;wsp:rsid wsp:val=&quot;003A723C&quot;/&gt;&lt;wsp:rsid wsp:val=&quot;003A7262&quot;/&gt;&lt;wsp:rsid wsp:val=&quot;003A7901&quot;/&gt;&lt;wsp:rsid wsp:val=&quot;003A7925&quot;/&gt;&lt;wsp:rsid wsp:val=&quot;003A7CF6&quot;/&gt;&lt;wsp:rsid wsp:val=&quot;003A7FFD&quot;/&gt;&lt;wsp:rsid wsp:val=&quot;003B01AD&quot;/&gt;&lt;wsp:rsid wsp:val=&quot;003B05ED&quot;/&gt;&lt;wsp:rsid wsp:val=&quot;003B0B3D&quot;/&gt;&lt;wsp:rsid wsp:val=&quot;003B0C2D&quot;/&gt;&lt;wsp:rsid wsp:val=&quot;003B0E52&quot;/&gt;&lt;wsp:rsid wsp:val=&quot;003B132D&quot;/&gt;&lt;wsp:rsid wsp:val=&quot;003B17C5&quot;/&gt;&lt;wsp:rsid wsp:val=&quot;003B1B51&quot;/&gt;&lt;wsp:rsid wsp:val=&quot;003B22F7&quot;/&gt;&lt;wsp:rsid wsp:val=&quot;003B2A75&quot;/&gt;&lt;wsp:rsid wsp:val=&quot;003B2CEE&quot;/&gt;&lt;wsp:rsid wsp:val=&quot;003B2D31&quot;/&gt;&lt;wsp:rsid wsp:val=&quot;003B303C&quot;/&gt;&lt;wsp:rsid wsp:val=&quot;003B304A&quot;/&gt;&lt;wsp:rsid wsp:val=&quot;003B3172&quot;/&gt;&lt;wsp:rsid wsp:val=&quot;003B3279&quot;/&gt;&lt;wsp:rsid wsp:val=&quot;003B357E&quot;/&gt;&lt;wsp:rsid wsp:val=&quot;003B3978&quot;/&gt;&lt;wsp:rsid wsp:val=&quot;003B41AB&quot;/&gt;&lt;wsp:rsid wsp:val=&quot;003B41AF&quot;/&gt;&lt;wsp:rsid wsp:val=&quot;003B44F3&quot;/&gt;&lt;wsp:rsid wsp:val=&quot;003B4F57&quot;/&gt;&lt;wsp:rsid wsp:val=&quot;003B5077&quot;/&gt;&lt;wsp:rsid wsp:val=&quot;003B52A8&quot;/&gt;&lt;wsp:rsid wsp:val=&quot;003B52F7&quot;/&gt;&lt;wsp:rsid wsp:val=&quot;003B578C&quot;/&gt;&lt;wsp:rsid wsp:val=&quot;003B5E36&quot;/&gt;&lt;wsp:rsid wsp:val=&quot;003B5F0A&quot;/&gt;&lt;wsp:rsid wsp:val=&quot;003B61CB&quot;/&gt;&lt;wsp:rsid wsp:val=&quot;003B677D&quot;/&gt;&lt;wsp:rsid wsp:val=&quot;003B6C29&quot;/&gt;&lt;wsp:rsid wsp:val=&quot;003B6DC4&quot;/&gt;&lt;wsp:rsid wsp:val=&quot;003B6E68&quot;/&gt;&lt;wsp:rsid wsp:val=&quot;003B7010&quot;/&gt;&lt;wsp:rsid wsp:val=&quot;003B7D7F&quot;/&gt;&lt;wsp:rsid wsp:val=&quot;003B7FB5&quot;/&gt;&lt;wsp:rsid wsp:val=&quot;003C0009&quot;/&gt;&lt;wsp:rsid wsp:val=&quot;003C048B&quot;/&gt;&lt;wsp:rsid wsp:val=&quot;003C04E1&quot;/&gt;&lt;wsp:rsid wsp:val=&quot;003C0AEF&quot;/&gt;&lt;wsp:rsid wsp:val=&quot;003C0CE2&quot;/&gt;&lt;wsp:rsid wsp:val=&quot;003C1700&quot;/&gt;&lt;wsp:rsid wsp:val=&quot;003C1993&quot;/&gt;&lt;wsp:rsid wsp:val=&quot;003C1E3E&quot;/&gt;&lt;wsp:rsid wsp:val=&quot;003C2055&quot;/&gt;&lt;wsp:rsid wsp:val=&quot;003C270C&quot;/&gt;&lt;wsp:rsid wsp:val=&quot;003C29CB&quot;/&gt;&lt;wsp:rsid wsp:val=&quot;003C2BE4&quot;/&gt;&lt;wsp:rsid wsp:val=&quot;003C2D08&quot;/&gt;&lt;wsp:rsid wsp:val=&quot;003C2E68&quot;/&gt;&lt;wsp:rsid wsp:val=&quot;003C2EE3&quot;/&gt;&lt;wsp:rsid wsp:val=&quot;003C317C&quot;/&gt;&lt;wsp:rsid wsp:val=&quot;003C3719&quot;/&gt;&lt;wsp:rsid wsp:val=&quot;003C38EF&quot;/&gt;&lt;wsp:rsid wsp:val=&quot;003C3FD5&quot;/&gt;&lt;wsp:rsid wsp:val=&quot;003C421F&quot;/&gt;&lt;wsp:rsid wsp:val=&quot;003C44DE&quot;/&gt;&lt;wsp:rsid wsp:val=&quot;003C4928&quot;/&gt;&lt;wsp:rsid wsp:val=&quot;003C4A82&quot;/&gt;&lt;wsp:rsid wsp:val=&quot;003C524F&quot;/&gt;&lt;wsp:rsid wsp:val=&quot;003C57DC&quot;/&gt;&lt;wsp:rsid wsp:val=&quot;003C5C6B&quot;/&gt;&lt;wsp:rsid wsp:val=&quot;003C62E6&quot;/&gt;&lt;wsp:rsid wsp:val=&quot;003C6388&quot;/&gt;&lt;wsp:rsid wsp:val=&quot;003C63E0&quot;/&gt;&lt;wsp:rsid wsp:val=&quot;003C6DC2&quot;/&gt;&lt;wsp:rsid wsp:val=&quot;003C712E&quot;/&gt;&lt;wsp:rsid wsp:val=&quot;003C74EB&quot;/&gt;&lt;wsp:rsid wsp:val=&quot;003C776C&quot;/&gt;&lt;wsp:rsid wsp:val=&quot;003C7E38&quot;/&gt;&lt;wsp:rsid wsp:val=&quot;003C7E92&quot;/&gt;&lt;wsp:rsid wsp:val=&quot;003D022D&quot;/&gt;&lt;wsp:rsid wsp:val=&quot;003D0BB2&quot;/&gt;&lt;wsp:rsid wsp:val=&quot;003D0E03&quot;/&gt;&lt;wsp:rsid wsp:val=&quot;003D1172&quot;/&gt;&lt;wsp:rsid wsp:val=&quot;003D14AF&quot;/&gt;&lt;wsp:rsid wsp:val=&quot;003D1738&quot;/&gt;&lt;wsp:rsid wsp:val=&quot;003D1997&quot;/&gt;&lt;wsp:rsid wsp:val=&quot;003D1A47&quot;/&gt;&lt;wsp:rsid wsp:val=&quot;003D20A7&quot;/&gt;&lt;wsp:rsid wsp:val=&quot;003D23EC&quot;/&gt;&lt;wsp:rsid wsp:val=&quot;003D403E&quot;/&gt;&lt;wsp:rsid wsp:val=&quot;003D42D9&quot;/&gt;&lt;wsp:rsid wsp:val=&quot;003D4367&quot;/&gt;&lt;wsp:rsid wsp:val=&quot;003D4767&quot;/&gt;&lt;wsp:rsid wsp:val=&quot;003D48E3&quot;/&gt;&lt;wsp:rsid wsp:val=&quot;003D49D6&quot;/&gt;&lt;wsp:rsid wsp:val=&quot;003D4B23&quot;/&gt;&lt;wsp:rsid wsp:val=&quot;003D4C60&quot;/&gt;&lt;wsp:rsid wsp:val=&quot;003D4D6B&quot;/&gt;&lt;wsp:rsid wsp:val=&quot;003D50EC&quot;/&gt;&lt;wsp:rsid wsp:val=&quot;003D5179&quot;/&gt;&lt;wsp:rsid wsp:val=&quot;003D5451&quot;/&gt;&lt;wsp:rsid wsp:val=&quot;003D5514&quot;/&gt;&lt;wsp:rsid wsp:val=&quot;003D5668&quot;/&gt;&lt;wsp:rsid wsp:val=&quot;003D57A3&quot;/&gt;&lt;wsp:rsid wsp:val=&quot;003D5AD7&quot;/&gt;&lt;wsp:rsid wsp:val=&quot;003D5CDE&quot;/&gt;&lt;wsp:rsid wsp:val=&quot;003D6174&quot;/&gt;&lt;wsp:rsid wsp:val=&quot;003D6413&quot;/&gt;&lt;wsp:rsid wsp:val=&quot;003D6472&quot;/&gt;&lt;wsp:rsid wsp:val=&quot;003D65C0&quot;/&gt;&lt;wsp:rsid wsp:val=&quot;003D661A&quot;/&gt;&lt;wsp:rsid wsp:val=&quot;003D67A1&quot;/&gt;&lt;wsp:rsid wsp:val=&quot;003D6BB6&quot;/&gt;&lt;wsp:rsid wsp:val=&quot;003D6D7D&quot;/&gt;&lt;wsp:rsid wsp:val=&quot;003D6E42&quot;/&gt;&lt;wsp:rsid wsp:val=&quot;003D6E49&quot;/&gt;&lt;wsp:rsid wsp:val=&quot;003D6E59&quot;/&gt;&lt;wsp:rsid wsp:val=&quot;003D711E&quot;/&gt;&lt;wsp:rsid wsp:val=&quot;003D7374&quot;/&gt;&lt;wsp:rsid wsp:val=&quot;003D779F&quot;/&gt;&lt;wsp:rsid wsp:val=&quot;003D794B&quot;/&gt;&lt;wsp:rsid wsp:val=&quot;003D7975&quot;/&gt;&lt;wsp:rsid wsp:val=&quot;003D7EBB&quot;/&gt;&lt;wsp:rsid wsp:val=&quot;003D7F48&quot;/&gt;&lt;wsp:rsid wsp:val=&quot;003D7F9B&quot;/&gt;&lt;wsp:rsid wsp:val=&quot;003D7FC5&quot;/&gt;&lt;wsp:rsid wsp:val=&quot;003E010D&quot;/&gt;&lt;wsp:rsid wsp:val=&quot;003E07BA&quot;/&gt;&lt;wsp:rsid wsp:val=&quot;003E0BF1&quot;/&gt;&lt;wsp:rsid wsp:val=&quot;003E10D2&quot;/&gt;&lt;wsp:rsid wsp:val=&quot;003E1204&quot;/&gt;&lt;wsp:rsid wsp:val=&quot;003E15D2&quot;/&gt;&lt;wsp:rsid wsp:val=&quot;003E1949&quot;/&gt;&lt;wsp:rsid wsp:val=&quot;003E199F&quot;/&gt;&lt;wsp:rsid wsp:val=&quot;003E1BF0&quot;/&gt;&lt;wsp:rsid wsp:val=&quot;003E1F2C&quot;/&gt;&lt;wsp:rsid wsp:val=&quot;003E2283&quot;/&gt;&lt;wsp:rsid wsp:val=&quot;003E23AB&quot;/&gt;&lt;wsp:rsid wsp:val=&quot;003E25C2&quot;/&gt;&lt;wsp:rsid wsp:val=&quot;003E2B7A&quot;/&gt;&lt;wsp:rsid wsp:val=&quot;003E2C82&quot;/&gt;&lt;wsp:rsid wsp:val=&quot;003E343B&quot;/&gt;&lt;wsp:rsid wsp:val=&quot;003E3710&quot;/&gt;&lt;wsp:rsid wsp:val=&quot;003E3805&quot;/&gt;&lt;wsp:rsid wsp:val=&quot;003E3AC0&quot;/&gt;&lt;wsp:rsid wsp:val=&quot;003E413E&quot;/&gt;&lt;wsp:rsid wsp:val=&quot;003E4553&quot;/&gt;&lt;wsp:rsid wsp:val=&quot;003E483E&quot;/&gt;&lt;wsp:rsid wsp:val=&quot;003E4999&quot;/&gt;&lt;wsp:rsid wsp:val=&quot;003E4DB9&quot;/&gt;&lt;wsp:rsid wsp:val=&quot;003E5106&quot;/&gt;&lt;wsp:rsid wsp:val=&quot;003E5452&quot;/&gt;&lt;wsp:rsid wsp:val=&quot;003E5ED4&quot;/&gt;&lt;wsp:rsid wsp:val=&quot;003E5F64&quot;/&gt;&lt;wsp:rsid wsp:val=&quot;003E6036&quot;/&gt;&lt;wsp:rsid wsp:val=&quot;003E60CA&quot;/&gt;&lt;wsp:rsid wsp:val=&quot;003E6739&quot;/&gt;&lt;wsp:rsid wsp:val=&quot;003E6A00&quot;/&gt;&lt;wsp:rsid wsp:val=&quot;003E6D4C&quot;/&gt;&lt;wsp:rsid wsp:val=&quot;003E6DD0&quot;/&gt;&lt;wsp:rsid wsp:val=&quot;003E6EB5&quot;/&gt;&lt;wsp:rsid wsp:val=&quot;003E738E&quot;/&gt;&lt;wsp:rsid wsp:val=&quot;003E7466&quot;/&gt;&lt;wsp:rsid wsp:val=&quot;003E747E&quot;/&gt;&lt;wsp:rsid wsp:val=&quot;003E75D8&quot;/&gt;&lt;wsp:rsid wsp:val=&quot;003E75DD&quot;/&gt;&lt;wsp:rsid wsp:val=&quot;003E7F03&quot;/&gt;&lt;wsp:rsid wsp:val=&quot;003E7F56&quot;/&gt;&lt;wsp:rsid wsp:val=&quot;003F05A1&quot;/&gt;&lt;wsp:rsid wsp:val=&quot;003F072E&quot;/&gt;&lt;wsp:rsid wsp:val=&quot;003F0A77&quot;/&gt;&lt;wsp:rsid wsp:val=&quot;003F0DC0&quot;/&gt;&lt;wsp:rsid wsp:val=&quot;003F0F06&quot;/&gt;&lt;wsp:rsid wsp:val=&quot;003F10C2&quot;/&gt;&lt;wsp:rsid wsp:val=&quot;003F163B&quot;/&gt;&lt;wsp:rsid wsp:val=&quot;003F1962&quot;/&gt;&lt;wsp:rsid wsp:val=&quot;003F1D3F&quot;/&gt;&lt;wsp:rsid wsp:val=&quot;003F27FE&quot;/&gt;&lt;wsp:rsid wsp:val=&quot;003F2CD6&quot;/&gt;&lt;wsp:rsid wsp:val=&quot;003F2D9D&quot;/&gt;&lt;wsp:rsid wsp:val=&quot;003F2F74&quot;/&gt;&lt;wsp:rsid wsp:val=&quot;003F4232&quot;/&gt;&lt;wsp:rsid wsp:val=&quot;003F535C&quot;/&gt;&lt;wsp:rsid wsp:val=&quot;003F5782&quot;/&gt;&lt;wsp:rsid wsp:val=&quot;003F59F3&quot;/&gt;&lt;wsp:rsid wsp:val=&quot;003F5A09&quot;/&gt;&lt;wsp:rsid wsp:val=&quot;003F5A71&quot;/&gt;&lt;wsp:rsid wsp:val=&quot;003F5AB8&quot;/&gt;&lt;wsp:rsid wsp:val=&quot;003F5BCF&quot;/&gt;&lt;wsp:rsid wsp:val=&quot;003F61F2&quot;/&gt;&lt;wsp:rsid wsp:val=&quot;003F6306&quot;/&gt;&lt;wsp:rsid wsp:val=&quot;003F64A7&quot;/&gt;&lt;wsp:rsid wsp:val=&quot;003F651F&quot;/&gt;&lt;wsp:rsid wsp:val=&quot;003F67D5&quot;/&gt;&lt;wsp:rsid wsp:val=&quot;003F6EDE&quot;/&gt;&lt;wsp:rsid wsp:val=&quot;003F72B3&quot;/&gt;&lt;wsp:rsid wsp:val=&quot;003F77BC&quot;/&gt;&lt;wsp:rsid wsp:val=&quot;00400167&quot;/&gt;&lt;wsp:rsid wsp:val=&quot;00400AD1&quot;/&gt;&lt;wsp:rsid wsp:val=&quot;00401163&quot;/&gt;&lt;wsp:rsid wsp:val=&quot;00401171&quot;/&gt;&lt;wsp:rsid wsp:val=&quot;00402199&quot;/&gt;&lt;wsp:rsid wsp:val=&quot;004021F6&quot;/&gt;&lt;wsp:rsid wsp:val=&quot;00402823&quot;/&gt;&lt;wsp:rsid wsp:val=&quot;00402A93&quot;/&gt;&lt;wsp:rsid wsp:val=&quot;004032F0&quot;/&gt;&lt;wsp:rsid wsp:val=&quot;00403AB8&quot;/&gt;&lt;wsp:rsid wsp:val=&quot;00403EC3&quot;/&gt;&lt;wsp:rsid wsp:val=&quot;004041F7&quot;/&gt;&lt;wsp:rsid wsp:val=&quot;00404D42&quot;/&gt;&lt;wsp:rsid wsp:val=&quot;00404E76&quot;/&gt;&lt;wsp:rsid wsp:val=&quot;00405380&quot;/&gt;&lt;wsp:rsid wsp:val=&quot;00405393&quot;/&gt;&lt;wsp:rsid wsp:val=&quot;00405409&quot;/&gt;&lt;wsp:rsid wsp:val=&quot;00405452&quot;/&gt;&lt;wsp:rsid wsp:val=&quot;00405C6D&quot;/&gt;&lt;wsp:rsid wsp:val=&quot;0040601C&quot;/&gt;&lt;wsp:rsid wsp:val=&quot;0040604D&quot;/&gt;&lt;wsp:rsid wsp:val=&quot;0040662E&quot;/&gt;&lt;wsp:rsid wsp:val=&quot;00406706&quot;/&gt;&lt;wsp:rsid wsp:val=&quot;00406B1B&quot;/&gt;&lt;wsp:rsid wsp:val=&quot;00407073&quot;/&gt;&lt;wsp:rsid wsp:val=&quot;00407C7E&quot;/&gt;&lt;wsp:rsid wsp:val=&quot;00407D27&quot;/&gt;&lt;wsp:rsid wsp:val=&quot;004102C5&quot;/&gt;&lt;wsp:rsid wsp:val=&quot;0041080E&quot;/&gt;&lt;wsp:rsid wsp:val=&quot;004108CF&quot;/&gt;&lt;wsp:rsid wsp:val=&quot;004113CF&quot;/&gt;&lt;wsp:rsid wsp:val=&quot;00411874&quot;/&gt;&lt;wsp:rsid wsp:val=&quot;00411C07&quot;/&gt;&lt;wsp:rsid wsp:val=&quot;00411C3A&quot;/&gt;&lt;wsp:rsid wsp:val=&quot;00411D59&quot;/&gt;&lt;wsp:rsid wsp:val=&quot;00411DBF&quot;/&gt;&lt;wsp:rsid wsp:val=&quot;00412120&quot;/&gt;&lt;wsp:rsid wsp:val=&quot;004122B7&quot;/&gt;&lt;wsp:rsid wsp:val=&quot;004125F8&quot;/&gt;&lt;wsp:rsid wsp:val=&quot;004126D8&quot;/&gt;&lt;wsp:rsid wsp:val=&quot;00412732&quot;/&gt;&lt;wsp:rsid wsp:val=&quot;0041287E&quot;/&gt;&lt;wsp:rsid wsp:val=&quot;00412941&quot;/&gt;&lt;wsp:rsid wsp:val=&quot;00412A1C&quot;/&gt;&lt;wsp:rsid wsp:val=&quot;00412A9A&quot;/&gt;&lt;wsp:rsid wsp:val=&quot;00412B05&quot;/&gt;&lt;wsp:rsid wsp:val=&quot;00412E3E&quot;/&gt;&lt;wsp:rsid wsp:val=&quot;0041306D&quot;/&gt;&lt;wsp:rsid wsp:val=&quot;004137A0&quot;/&gt;&lt;wsp:rsid wsp:val=&quot;00413C4F&quot;/&gt;&lt;wsp:rsid wsp:val=&quot;00413DAA&quot;/&gt;&lt;wsp:rsid wsp:val=&quot;00413DB7&quot;/&gt;&lt;wsp:rsid wsp:val=&quot;00414227&quot;/&gt;&lt;wsp:rsid wsp:val=&quot;00415034&quot;/&gt;&lt;wsp:rsid wsp:val=&quot;00415974&quot;/&gt;&lt;wsp:rsid wsp:val=&quot;00415A40&quot;/&gt;&lt;wsp:rsid wsp:val=&quot;00416097&quot;/&gt;&lt;wsp:rsid wsp:val=&quot;00416277&quot;/&gt;&lt;wsp:rsid wsp:val=&quot;00416715&quot;/&gt;&lt;wsp:rsid wsp:val=&quot;00416D6C&quot;/&gt;&lt;wsp:rsid wsp:val=&quot;00416D9B&quot;/&gt;&lt;wsp:rsid wsp:val=&quot;00416E1D&quot;/&gt;&lt;wsp:rsid wsp:val=&quot;004171AC&quot;/&gt;&lt;wsp:rsid wsp:val=&quot;00417426&quot;/&gt;&lt;wsp:rsid wsp:val=&quot;00417963&quot;/&gt;&lt;wsp:rsid wsp:val=&quot;00417F00&quot;/&gt;&lt;wsp:rsid wsp:val=&quot;004201F9&quot;/&gt;&lt;wsp:rsid wsp:val=&quot;00420691&quot;/&gt;&lt;wsp:rsid wsp:val=&quot;00420919&quot;/&gt;&lt;wsp:rsid wsp:val=&quot;004209EA&quot;/&gt;&lt;wsp:rsid wsp:val=&quot;00420C86&quot;/&gt;&lt;wsp:rsid wsp:val=&quot;00420DA8&quot;/&gt;&lt;wsp:rsid wsp:val=&quot;004214D1&quot;/&gt;&lt;wsp:rsid wsp:val=&quot;0042172F&quot;/&gt;&lt;wsp:rsid wsp:val=&quot;00421879&quot;/&gt;&lt;wsp:rsid wsp:val=&quot;004226DD&quot;/&gt;&lt;wsp:rsid wsp:val=&quot;00422703&quot;/&gt;&lt;wsp:rsid wsp:val=&quot;004228DB&quot;/&gt;&lt;wsp:rsid wsp:val=&quot;00422CCB&quot;/&gt;&lt;wsp:rsid wsp:val=&quot;00422F61&quot;/&gt;&lt;wsp:rsid wsp:val=&quot;0042399D&quot;/&gt;&lt;wsp:rsid wsp:val=&quot;00423D45&quot;/&gt;&lt;wsp:rsid wsp:val=&quot;004256B2&quot;/&gt;&lt;wsp:rsid wsp:val=&quot;004258EB&quot;/&gt;&lt;wsp:rsid wsp:val=&quot;00425C65&quot;/&gt;&lt;wsp:rsid wsp:val=&quot;00426242&quot;/&gt;&lt;wsp:rsid wsp:val=&quot;004263DD&quot;/&gt;&lt;wsp:rsid wsp:val=&quot;00426B31&quot;/&gt;&lt;wsp:rsid wsp:val=&quot;00426C16&quot;/&gt;&lt;wsp:rsid wsp:val=&quot;00426C3D&quot;/&gt;&lt;wsp:rsid wsp:val=&quot;00426C91&quot;/&gt;&lt;wsp:rsid wsp:val=&quot;004272E7&quot;/&gt;&lt;wsp:rsid wsp:val=&quot;00427382&quot;/&gt;&lt;wsp:rsid wsp:val=&quot;00427A8E&quot;/&gt;&lt;wsp:rsid wsp:val=&quot;00427CBB&quot;/&gt;&lt;wsp:rsid wsp:val=&quot;00427F05&quot;/&gt;&lt;wsp:rsid wsp:val=&quot;0043005A&quot;/&gt;&lt;wsp:rsid wsp:val=&quot;004302FC&quot;/&gt;&lt;wsp:rsid wsp:val=&quot;004306DF&quot;/&gt;&lt;wsp:rsid wsp:val=&quot;00430728&quot;/&gt;&lt;wsp:rsid wsp:val=&quot;00430D53&quot;/&gt;&lt;wsp:rsid wsp:val=&quot;00431053&quot;/&gt;&lt;wsp:rsid wsp:val=&quot;00431166&quot;/&gt;&lt;wsp:rsid wsp:val=&quot;004312AC&quot;/&gt;&lt;wsp:rsid wsp:val=&quot;0043143D&quot;/&gt;&lt;wsp:rsid wsp:val=&quot;0043160B&quot;/&gt;&lt;wsp:rsid wsp:val=&quot;00431BD6&quot;/&gt;&lt;wsp:rsid wsp:val=&quot;00431D5A&quot;/&gt;&lt;wsp:rsid wsp:val=&quot;00432A0F&quot;/&gt;&lt;wsp:rsid wsp:val=&quot;00432B6D&quot;/&gt;&lt;wsp:rsid wsp:val=&quot;00432BD9&quot;/&gt;&lt;wsp:rsid wsp:val=&quot;00432F24&quot;/&gt;&lt;wsp:rsid wsp:val=&quot;00433063&quot;/&gt;&lt;wsp:rsid wsp:val=&quot;00433294&quot;/&gt;&lt;wsp:rsid wsp:val=&quot;00433353&quot;/&gt;&lt;wsp:rsid wsp:val=&quot;004338D5&quot;/&gt;&lt;wsp:rsid wsp:val=&quot;0043394F&quot;/&gt;&lt;wsp:rsid wsp:val=&quot;0043418B&quot;/&gt;&lt;wsp:rsid wsp:val=&quot;00434456&quot;/&gt;&lt;wsp:rsid wsp:val=&quot;0043487C&quot;/&gt;&lt;wsp:rsid wsp:val=&quot;00434B6B&quot;/&gt;&lt;wsp:rsid wsp:val=&quot;00435106&quot;/&gt;&lt;wsp:rsid wsp:val=&quot;00435446&quot;/&gt;&lt;wsp:rsid wsp:val=&quot;00435560&quot;/&gt;&lt;wsp:rsid wsp:val=&quot;00435CC3&quot;/&gt;&lt;wsp:rsid wsp:val=&quot;00435E1B&quot;/&gt;&lt;wsp:rsid wsp:val=&quot;00436526&quot;/&gt;&lt;wsp:rsid wsp:val=&quot;004368E1&quot;/&gt;&lt;wsp:rsid wsp:val=&quot;0043698F&quot;/&gt;&lt;wsp:rsid wsp:val=&quot;00436AE0&quot;/&gt;&lt;wsp:rsid wsp:val=&quot;00436AEF&quot;/&gt;&lt;wsp:rsid wsp:val=&quot;00436CF7&quot;/&gt;&lt;wsp:rsid wsp:val=&quot;00436E5C&quot;/&gt;&lt;wsp:rsid wsp:val=&quot;004371E9&quot;/&gt;&lt;wsp:rsid wsp:val=&quot;004375B1&quot;/&gt;&lt;wsp:rsid wsp:val=&quot;0043778B&quot;/&gt;&lt;wsp:rsid wsp:val=&quot;00437831&quot;/&gt;&lt;wsp:rsid wsp:val=&quot;00437BF6&quot;/&gt;&lt;wsp:rsid wsp:val=&quot;00437CAC&quot;/&gt;&lt;wsp:rsid wsp:val=&quot;00437E9D&quot;/&gt;&lt;wsp:rsid wsp:val=&quot;00440C3D&quot;/&gt;&lt;wsp:rsid wsp:val=&quot;0044147E&quot;/&gt;&lt;wsp:rsid wsp:val=&quot;004417DE&quot;/&gt;&lt;wsp:rsid wsp:val=&quot;00441A53&quot;/&gt;&lt;wsp:rsid wsp:val=&quot;00441B1C&quot;/&gt;&lt;wsp:rsid wsp:val=&quot;00441BC1&quot;/&gt;&lt;wsp:rsid wsp:val=&quot;00441C6D&quot;/&gt;&lt;wsp:rsid wsp:val=&quot;00441E1C&quot;/&gt;&lt;wsp:rsid wsp:val=&quot;00441EA7&quot;/&gt;&lt;wsp:rsid wsp:val=&quot;004420A8&quot;/&gt;&lt;wsp:rsid wsp:val=&quot;00442B06&quot;/&gt;&lt;wsp:rsid wsp:val=&quot;00442D41&quot;/&gt;&lt;wsp:rsid wsp:val=&quot;00442DBF&quot;/&gt;&lt;wsp:rsid wsp:val=&quot;00442E23&quot;/&gt;&lt;wsp:rsid wsp:val=&quot;00443044&quot;/&gt;&lt;wsp:rsid wsp:val=&quot;00443103&quot;/&gt;&lt;wsp:rsid wsp:val=&quot;00443143&quot;/&gt;&lt;wsp:rsid wsp:val=&quot;00443533&quot;/&gt;&lt;wsp:rsid wsp:val=&quot;004438F7&quot;/&gt;&lt;wsp:rsid wsp:val=&quot;00443985&quot;/&gt;&lt;wsp:rsid wsp:val=&quot;00443C76&quot;/&gt;&lt;wsp:rsid wsp:val=&quot;0044419D&quot;/&gt;&lt;wsp:rsid wsp:val=&quot;0044438A&quot;/&gt;&lt;wsp:rsid wsp:val=&quot;00444562&quot;/&gt;&lt;wsp:rsid wsp:val=&quot;0044478E&quot;/&gt;&lt;wsp:rsid wsp:val=&quot;004447EA&quot;/&gt;&lt;wsp:rsid wsp:val=&quot;0044488E&quot;/&gt;&lt;wsp:rsid wsp:val=&quot;00444C19&quot;/&gt;&lt;wsp:rsid wsp:val=&quot;00444F9D&quot;/&gt;&lt;wsp:rsid wsp:val=&quot;004458CA&quot;/&gt;&lt;wsp:rsid wsp:val=&quot;00445AFA&quot;/&gt;&lt;wsp:rsid wsp:val=&quot;00445D01&quot;/&gt;&lt;wsp:rsid wsp:val=&quot;00445E5F&quot;/&gt;&lt;wsp:rsid wsp:val=&quot;00446157&quot;/&gt;&lt;wsp:rsid wsp:val=&quot;004461A4&quot;/&gt;&lt;wsp:rsid wsp:val=&quot;004461D0&quot;/&gt;&lt;wsp:rsid wsp:val=&quot;004462D2&quot;/&gt;&lt;wsp:rsid wsp:val=&quot;00446374&quot;/&gt;&lt;wsp:rsid wsp:val=&quot;00446489&quot;/&gt;&lt;wsp:rsid wsp:val=&quot;00446537&quot;/&gt;&lt;wsp:rsid wsp:val=&quot;00446605&quot;/&gt;&lt;wsp:rsid wsp:val=&quot;004466CD&quot;/&gt;&lt;wsp:rsid wsp:val=&quot;0044671A&quot;/&gt;&lt;wsp:rsid wsp:val=&quot;00446798&quot;/&gt;&lt;wsp:rsid wsp:val=&quot;00446B30&quot;/&gt;&lt;wsp:rsid wsp:val=&quot;00447387&quot;/&gt;&lt;wsp:rsid wsp:val=&quot;00447397&quot;/&gt;&lt;wsp:rsid wsp:val=&quot;0044789A&quot;/&gt;&lt;wsp:rsid wsp:val=&quot;00447CC2&quot;/&gt;&lt;wsp:rsid wsp:val=&quot;00447FCB&quot;/&gt;&lt;wsp:rsid wsp:val=&quot;0045026C&quot;/&gt;&lt;wsp:rsid wsp:val=&quot;00450663&quot;/&gt;&lt;wsp:rsid wsp:val=&quot;004507D7&quot;/&gt;&lt;wsp:rsid wsp:val=&quot;00450BC6&quot;/&gt;&lt;wsp:rsid wsp:val=&quot;00450DAD&quot;/&gt;&lt;wsp:rsid wsp:val=&quot;00450E01&quot;/&gt;&lt;wsp:rsid wsp:val=&quot;00450FA8&quot;/&gt;&lt;wsp:rsid wsp:val=&quot;00451177&quot;/&gt;&lt;wsp:rsid wsp:val=&quot;0045123E&quot;/&gt;&lt;wsp:rsid wsp:val=&quot;004512ED&quot;/&gt;&lt;wsp:rsid wsp:val=&quot;004518D0&quot;/&gt;&lt;wsp:rsid wsp:val=&quot;00452310&quot;/&gt;&lt;wsp:rsid wsp:val=&quot;0045288A&quot;/&gt;&lt;wsp:rsid wsp:val=&quot;00452ACD&quot;/&gt;&lt;wsp:rsid wsp:val=&quot;00452B84&quot;/&gt;&lt;wsp:rsid wsp:val=&quot;00452C80&quot;/&gt;&lt;wsp:rsid wsp:val=&quot;004531A4&quot;/&gt;&lt;wsp:rsid wsp:val=&quot;00453268&quot;/&gt;&lt;wsp:rsid wsp:val=&quot;00453577&quot;/&gt;&lt;wsp:rsid wsp:val=&quot;00453C5D&quot;/&gt;&lt;wsp:rsid wsp:val=&quot;00454170&quot;/&gt;&lt;wsp:rsid wsp:val=&quot;00454832&quot;/&gt;&lt;wsp:rsid wsp:val=&quot;00454890&quot;/&gt;&lt;wsp:rsid wsp:val=&quot;00454A4D&quot;/&gt;&lt;wsp:rsid wsp:val=&quot;00454F20&quot;/&gt;&lt;wsp:rsid wsp:val=&quot;004553C6&quot;/&gt;&lt;wsp:rsid wsp:val=&quot;00455834&quot;/&gt;&lt;wsp:rsid wsp:val=&quot;00455B45&quot;/&gt;&lt;wsp:rsid wsp:val=&quot;00455B9C&quot;/&gt;&lt;wsp:rsid wsp:val=&quot;00455BB7&quot;/&gt;&lt;wsp:rsid wsp:val=&quot;00456165&quot;/&gt;&lt;wsp:rsid wsp:val=&quot;0045649E&quot;/&gt;&lt;wsp:rsid wsp:val=&quot;004565EB&quot;/&gt;&lt;wsp:rsid wsp:val=&quot;00456861&quot;/&gt;&lt;wsp:rsid wsp:val=&quot;004572A3&quot;/&gt;&lt;wsp:rsid wsp:val=&quot;004576F2&quot;/&gt;&lt;wsp:rsid wsp:val=&quot;004577F9&quot;/&gt;&lt;wsp:rsid wsp:val=&quot;00457CC6&quot;/&gt;&lt;wsp:rsid wsp:val=&quot;00457DE2&quot;/&gt;&lt;wsp:rsid wsp:val=&quot;00457FB3&quot;/&gt;&lt;wsp:rsid wsp:val=&quot;004608B6&quot;/&gt;&lt;wsp:rsid wsp:val=&quot;004608EE&quot;/&gt;&lt;wsp:rsid wsp:val=&quot;0046098B&quot;/&gt;&lt;wsp:rsid wsp:val=&quot;004610D7&quot;/&gt;&lt;wsp:rsid wsp:val=&quot;00461155&quot;/&gt;&lt;wsp:rsid wsp:val=&quot;004615C4&quot;/&gt;&lt;wsp:rsid wsp:val=&quot;00461628&quot;/&gt;&lt;wsp:rsid wsp:val=&quot;00461A79&quot;/&gt;&lt;wsp:rsid wsp:val=&quot;0046245E&quot;/&gt;&lt;wsp:rsid wsp:val=&quot;00462996&quot;/&gt;&lt;wsp:rsid wsp:val=&quot;00462A41&quot;/&gt;&lt;wsp:rsid wsp:val=&quot;00462B20&quot;/&gt;&lt;wsp:rsid wsp:val=&quot;00462BD0&quot;/&gt;&lt;wsp:rsid wsp:val=&quot;00462D04&quot;/&gt;&lt;wsp:rsid wsp:val=&quot;00463017&quot;/&gt;&lt;wsp:rsid wsp:val=&quot;00463593&quot;/&gt;&lt;wsp:rsid wsp:val=&quot;004635B6&quot;/&gt;&lt;wsp:rsid wsp:val=&quot;0046376F&quot;/&gt;&lt;wsp:rsid wsp:val=&quot;00463986&quot;/&gt;&lt;wsp:rsid wsp:val=&quot;00463CF2&quot;/&gt;&lt;wsp:rsid wsp:val=&quot;0046420B&quot;/&gt;&lt;wsp:rsid wsp:val=&quot;00464B26&quot;/&gt;&lt;wsp:rsid wsp:val=&quot;00464CC2&quot;/&gt;&lt;wsp:rsid wsp:val=&quot;00464DAA&quot;/&gt;&lt;wsp:rsid wsp:val=&quot;004655C4&quot;/&gt;&lt;wsp:rsid wsp:val=&quot;004657FF&quot;/&gt;&lt;wsp:rsid wsp:val=&quot;00465892&quot;/&gt;&lt;wsp:rsid wsp:val=&quot;00465895&quot;/&gt;&lt;wsp:rsid wsp:val=&quot;00465A53&quot;/&gt;&lt;wsp:rsid wsp:val=&quot;00465CB2&quot;/&gt;&lt;wsp:rsid wsp:val=&quot;00465D75&quot;/&gt;&lt;wsp:rsid wsp:val=&quot;004661B1&quot;/&gt;&lt;wsp:rsid wsp:val=&quot;004663F7&quot;/&gt;&lt;wsp:rsid wsp:val=&quot;00466D7E&quot;/&gt;&lt;wsp:rsid wsp:val=&quot;004674C1&quot;/&gt;&lt;wsp:rsid wsp:val=&quot;00467852&quot;/&gt;&lt;wsp:rsid wsp:val=&quot;004679FD&quot;/&gt;&lt;wsp:rsid wsp:val=&quot;00470019&quot;/&gt;&lt;wsp:rsid wsp:val=&quot;00470308&quot;/&gt;&lt;wsp:rsid wsp:val=&quot;0047046B&quot;/&gt;&lt;wsp:rsid wsp:val=&quot;00470DB4&quot;/&gt;&lt;wsp:rsid wsp:val=&quot;0047107A&quot;/&gt;&lt;wsp:rsid wsp:val=&quot;004710D3&quot;/&gt;&lt;wsp:rsid wsp:val=&quot;004710DF&quot;/&gt;&lt;wsp:rsid wsp:val=&quot;004714D2&quot;/&gt;&lt;wsp:rsid wsp:val=&quot;00471507&quot;/&gt;&lt;wsp:rsid wsp:val=&quot;00471D6C&quot;/&gt;&lt;wsp:rsid wsp:val=&quot;00471E47&quot;/&gt;&lt;wsp:rsid wsp:val=&quot;00471FC5&quot;/&gt;&lt;wsp:rsid wsp:val=&quot;00472074&quot;/&gt;&lt;wsp:rsid wsp:val=&quot;00472AEE&quot;/&gt;&lt;wsp:rsid wsp:val=&quot;00472B3C&quot;/&gt;&lt;wsp:rsid wsp:val=&quot;00472B9D&quot;/&gt;&lt;wsp:rsid wsp:val=&quot;00472D20&quot;/&gt;&lt;wsp:rsid wsp:val=&quot;004737B3&quot;/&gt;&lt;wsp:rsid wsp:val=&quot;004738E4&quot;/&gt;&lt;wsp:rsid wsp:val=&quot;004738E5&quot;/&gt;&lt;wsp:rsid wsp:val=&quot;00473F1D&quot;/&gt;&lt;wsp:rsid wsp:val=&quot;004740CB&quot;/&gt;&lt;wsp:rsid wsp:val=&quot;004743A8&quot;/&gt;&lt;wsp:rsid wsp:val=&quot;0047459B&quot;/&gt;&lt;wsp:rsid wsp:val=&quot;0047466C&quot;/&gt;&lt;wsp:rsid wsp:val=&quot;00474928&quot;/&gt;&lt;wsp:rsid wsp:val=&quot;0047513F&quot;/&gt;&lt;wsp:rsid wsp:val=&quot;0047556E&quot;/&gt;&lt;wsp:rsid wsp:val=&quot;0047565B&quot;/&gt;&lt;wsp:rsid wsp:val=&quot;004757A8&quot;/&gt;&lt;wsp:rsid wsp:val=&quot;0047598B&quot;/&gt;&lt;wsp:rsid wsp:val=&quot;00475DAC&quot;/&gt;&lt;wsp:rsid wsp:val=&quot;004761DC&quot;/&gt;&lt;wsp:rsid wsp:val=&quot;0047633A&quot;/&gt;&lt;wsp:rsid wsp:val=&quot;0047634B&quot;/&gt;&lt;wsp:rsid wsp:val=&quot;00476428&quot;/&gt;&lt;wsp:rsid wsp:val=&quot;00476588&quot;/&gt;&lt;wsp:rsid wsp:val=&quot;00476831&quot;/&gt;&lt;wsp:rsid wsp:val=&quot;00476EBB&quot;/&gt;&lt;wsp:rsid wsp:val=&quot;0047711B&quot;/&gt;&lt;wsp:rsid wsp:val=&quot;00477336&quot;/&gt;&lt;wsp:rsid wsp:val=&quot;00477AA4&quot;/&gt;&lt;wsp:rsid wsp:val=&quot;00477C62&quot;/&gt;&lt;wsp:rsid wsp:val=&quot;00477E82&quot;/&gt;&lt;wsp:rsid wsp:val=&quot;00477FB2&quot;/&gt;&lt;wsp:rsid wsp:val=&quot;0048004E&quot;/&gt;&lt;wsp:rsid wsp:val=&quot;00480129&quot;/&gt;&lt;wsp:rsid wsp:val=&quot;00480575&quot;/&gt;&lt;wsp:rsid wsp:val=&quot;00480F11&quot;/&gt;&lt;wsp:rsid wsp:val=&quot;00482083&quot;/&gt;&lt;wsp:rsid wsp:val=&quot;004823C1&quot;/&gt;&lt;wsp:rsid wsp:val=&quot;004823D0&quot;/&gt;&lt;wsp:rsid wsp:val=&quot;004825D7&quot;/&gt;&lt;wsp:rsid wsp:val=&quot;004831BB&quot;/&gt;&lt;wsp:rsid wsp:val=&quot;00483290&quot;/&gt;&lt;wsp:rsid wsp:val=&quot;004834B7&quot;/&gt;&lt;wsp:rsid wsp:val=&quot;00483841&quot;/&gt;&lt;wsp:rsid wsp:val=&quot;00483914&quot;/&gt;&lt;wsp:rsid wsp:val=&quot;00483C6F&quot;/&gt;&lt;wsp:rsid wsp:val=&quot;00484263&quot;/&gt;&lt;wsp:rsid wsp:val=&quot;004843B5&quot;/&gt;&lt;wsp:rsid wsp:val=&quot;004844FC&quot;/&gt;&lt;wsp:rsid wsp:val=&quot;00484FDF&quot;/&gt;&lt;wsp:rsid wsp:val=&quot;004854A5&quot;/&gt;&lt;wsp:rsid wsp:val=&quot;004855F1&quot;/&gt;&lt;wsp:rsid wsp:val=&quot;00485A07&quot;/&gt;&lt;wsp:rsid wsp:val=&quot;00485A73&quot;/&gt;&lt;wsp:rsid wsp:val=&quot;00485D62&quot;/&gt;&lt;wsp:rsid wsp:val=&quot;00485D6D&quot;/&gt;&lt;wsp:rsid wsp:val=&quot;00485EDD&quot;/&gt;&lt;wsp:rsid wsp:val=&quot;00486243&quot;/&gt;&lt;wsp:rsid wsp:val=&quot;00486319&quot;/&gt;&lt;wsp:rsid wsp:val=&quot;004864A6&quot;/&gt;&lt;wsp:rsid wsp:val=&quot;004865EE&quot;/&gt;&lt;wsp:rsid wsp:val=&quot;004868A0&quot;/&gt;&lt;wsp:rsid wsp:val=&quot;00486B0E&quot;/&gt;&lt;wsp:rsid wsp:val=&quot;00487952&quot;/&gt;&lt;wsp:rsid wsp:val=&quot;00487F97&quot;/&gt;&lt;wsp:rsid wsp:val=&quot;00490235&quot;/&gt;&lt;wsp:rsid wsp:val=&quot;004904F5&quot;/&gt;&lt;wsp:rsid wsp:val=&quot;00490575&quot;/&gt;&lt;wsp:rsid wsp:val=&quot;0049105E&quot;/&gt;&lt;wsp:rsid wsp:val=&quot;0049114B&quot;/&gt;&lt;wsp:rsid wsp:val=&quot;004913BD&quot;/&gt;&lt;wsp:rsid wsp:val=&quot;00491B51&quot;/&gt;&lt;wsp:rsid wsp:val=&quot;0049254E&quot;/&gt;&lt;wsp:rsid wsp:val=&quot;00492B5E&quot;/&gt;&lt;wsp:rsid wsp:val=&quot;00492B75&quot;/&gt;&lt;wsp:rsid wsp:val=&quot;00492BDE&quot;/&gt;&lt;wsp:rsid wsp:val=&quot;00493194&quot;/&gt;&lt;wsp:rsid wsp:val=&quot;004933E0&quot;/&gt;&lt;wsp:rsid wsp:val=&quot;0049407C&quot;/&gt;&lt;wsp:rsid wsp:val=&quot;004947BD&quot;/&gt;&lt;wsp:rsid wsp:val=&quot;004948E4&quot;/&gt;&lt;wsp:rsid wsp:val=&quot;00494D55&quot;/&gt;&lt;wsp:rsid wsp:val=&quot;004953A7&quot;/&gt;&lt;wsp:rsid wsp:val=&quot;00495729&quot;/&gt;&lt;wsp:rsid wsp:val=&quot;00495C08&quot;/&gt;&lt;wsp:rsid wsp:val=&quot;00495C16&quot;/&gt;&lt;wsp:rsid wsp:val=&quot;00495EDB&quot;/&gt;&lt;wsp:rsid wsp:val=&quot;00495FEA&quot;/&gt;&lt;wsp:rsid wsp:val=&quot;004963FD&quot;/&gt;&lt;wsp:rsid wsp:val=&quot;004975DF&quot;/&gt;&lt;wsp:rsid wsp:val=&quot;004976A3&quot;/&gt;&lt;wsp:rsid wsp:val=&quot;00497F41&quot;/&gt;&lt;wsp:rsid wsp:val=&quot;004A0140&quot;/&gt;&lt;wsp:rsid wsp:val=&quot;004A0471&quot;/&gt;&lt;wsp:rsid wsp:val=&quot;004A09B6&quot;/&gt;&lt;wsp:rsid wsp:val=&quot;004A12A2&quot;/&gt;&lt;wsp:rsid wsp:val=&quot;004A1350&quot;/&gt;&lt;wsp:rsid wsp:val=&quot;004A138A&quot;/&gt;&lt;wsp:rsid wsp:val=&quot;004A1B0F&quot;/&gt;&lt;wsp:rsid wsp:val=&quot;004A1CF9&quot;/&gt;&lt;wsp:rsid wsp:val=&quot;004A1FE1&quot;/&gt;&lt;wsp:rsid wsp:val=&quot;004A2013&quot;/&gt;&lt;wsp:rsid wsp:val=&quot;004A228C&quot;/&gt;&lt;wsp:rsid wsp:val=&quot;004A29C1&quot;/&gt;&lt;wsp:rsid wsp:val=&quot;004A29F7&quot;/&gt;&lt;wsp:rsid wsp:val=&quot;004A2FEB&quot;/&gt;&lt;wsp:rsid wsp:val=&quot;004A3467&quot;/&gt;&lt;wsp:rsid wsp:val=&quot;004A34BC&quot;/&gt;&lt;wsp:rsid wsp:val=&quot;004A4183&quot;/&gt;&lt;wsp:rsid wsp:val=&quot;004A460D&quot;/&gt;&lt;wsp:rsid wsp:val=&quot;004A4913&quot;/&gt;&lt;wsp:rsid wsp:val=&quot;004A4985&quot;/&gt;&lt;wsp:rsid wsp:val=&quot;004A49CD&quot;/&gt;&lt;wsp:rsid wsp:val=&quot;004A4D4D&quot;/&gt;&lt;wsp:rsid wsp:val=&quot;004A526B&quot;/&gt;&lt;wsp:rsid wsp:val=&quot;004A52FC&quot;/&gt;&lt;wsp:rsid wsp:val=&quot;004A535F&quot;/&gt;&lt;wsp:rsid wsp:val=&quot;004A55B8&quot;/&gt;&lt;wsp:rsid wsp:val=&quot;004A5826&quot;/&gt;&lt;wsp:rsid wsp:val=&quot;004A6463&quot;/&gt;&lt;wsp:rsid wsp:val=&quot;004A659B&quot;/&gt;&lt;wsp:rsid wsp:val=&quot;004A65E6&quot;/&gt;&lt;wsp:rsid wsp:val=&quot;004A6695&quot;/&gt;&lt;wsp:rsid wsp:val=&quot;004A671E&quot;/&gt;&lt;wsp:rsid wsp:val=&quot;004A673C&quot;/&gt;&lt;wsp:rsid wsp:val=&quot;004A6C23&quot;/&gt;&lt;wsp:rsid wsp:val=&quot;004A7471&quot;/&gt;&lt;wsp:rsid wsp:val=&quot;004A77E1&quot;/&gt;&lt;wsp:rsid wsp:val=&quot;004A783D&quot;/&gt;&lt;wsp:rsid wsp:val=&quot;004B0247&quot;/&gt;&lt;wsp:rsid wsp:val=&quot;004B064C&quot;/&gt;&lt;wsp:rsid wsp:val=&quot;004B1565&quot;/&gt;&lt;wsp:rsid wsp:val=&quot;004B1868&quot;/&gt;&lt;wsp:rsid wsp:val=&quot;004B1AFA&quot;/&gt;&lt;wsp:rsid wsp:val=&quot;004B204C&quot;/&gt;&lt;wsp:rsid wsp:val=&quot;004B208C&quot;/&gt;&lt;wsp:rsid wsp:val=&quot;004B2265&quot;/&gt;&lt;wsp:rsid wsp:val=&quot;004B2807&quot;/&gt;&lt;wsp:rsid wsp:val=&quot;004B2918&quot;/&gt;&lt;wsp:rsid wsp:val=&quot;004B3418&quot;/&gt;&lt;wsp:rsid wsp:val=&quot;004B3574&quot;/&gt;&lt;wsp:rsid wsp:val=&quot;004B3864&quot;/&gt;&lt;wsp:rsid wsp:val=&quot;004B3D7B&quot;/&gt;&lt;wsp:rsid wsp:val=&quot;004B3DD6&quot;/&gt;&lt;wsp:rsid wsp:val=&quot;004B3FD2&quot;/&gt;&lt;wsp:rsid wsp:val=&quot;004B40A6&quot;/&gt;&lt;wsp:rsid wsp:val=&quot;004B4A4D&quot;/&gt;&lt;wsp:rsid wsp:val=&quot;004B4D89&quot;/&gt;&lt;wsp:rsid wsp:val=&quot;004B4EBD&quot;/&gt;&lt;wsp:rsid wsp:val=&quot;004B54E6&quot;/&gt;&lt;wsp:rsid wsp:val=&quot;004B5828&quot;/&gt;&lt;wsp:rsid wsp:val=&quot;004B5884&quot;/&gt;&lt;wsp:rsid wsp:val=&quot;004B5B64&quot;/&gt;&lt;wsp:rsid wsp:val=&quot;004B5B9E&quot;/&gt;&lt;wsp:rsid wsp:val=&quot;004B5CD7&quot;/&gt;&lt;wsp:rsid wsp:val=&quot;004B5D77&quot;/&gt;&lt;wsp:rsid wsp:val=&quot;004B6016&quot;/&gt;&lt;wsp:rsid wsp:val=&quot;004B635B&quot;/&gt;&lt;wsp:rsid wsp:val=&quot;004B665D&quot;/&gt;&lt;wsp:rsid wsp:val=&quot;004B68B5&quot;/&gt;&lt;wsp:rsid wsp:val=&quot;004B69F9&quot;/&gt;&lt;wsp:rsid wsp:val=&quot;004B6C92&quot;/&gt;&lt;wsp:rsid wsp:val=&quot;004B6FBE&quot;/&gt;&lt;wsp:rsid wsp:val=&quot;004B7820&quot;/&gt;&lt;wsp:rsid wsp:val=&quot;004B7D4C&quot;/&gt;&lt;wsp:rsid wsp:val=&quot;004C01AC&quot;/&gt;&lt;wsp:rsid wsp:val=&quot;004C09A9&quot;/&gt;&lt;wsp:rsid wsp:val=&quot;004C0B00&quot;/&gt;&lt;wsp:rsid wsp:val=&quot;004C18D7&quot;/&gt;&lt;wsp:rsid wsp:val=&quot;004C1BEF&quot;/&gt;&lt;wsp:rsid wsp:val=&quot;004C1CB1&quot;/&gt;&lt;wsp:rsid wsp:val=&quot;004C23AD&quot;/&gt;&lt;wsp:rsid wsp:val=&quot;004C250D&quot;/&gt;&lt;wsp:rsid wsp:val=&quot;004C25C6&quot;/&gt;&lt;wsp:rsid wsp:val=&quot;004C2D23&quot;/&gt;&lt;wsp:rsid wsp:val=&quot;004C2E11&quot;/&gt;&lt;wsp:rsid wsp:val=&quot;004C32C2&quot;/&gt;&lt;wsp:rsid wsp:val=&quot;004C333E&quot;/&gt;&lt;wsp:rsid wsp:val=&quot;004C34B9&quot;/&gt;&lt;wsp:rsid wsp:val=&quot;004C4198&quot;/&gt;&lt;wsp:rsid wsp:val=&quot;004C4728&quot;/&gt;&lt;wsp:rsid wsp:val=&quot;004C4B4F&quot;/&gt;&lt;wsp:rsid wsp:val=&quot;004C4B62&quot;/&gt;&lt;wsp:rsid wsp:val=&quot;004C4C89&quot;/&gt;&lt;wsp:rsid wsp:val=&quot;004C599B&quot;/&gt;&lt;wsp:rsid wsp:val=&quot;004C5EBE&quot;/&gt;&lt;wsp:rsid wsp:val=&quot;004C6382&quot;/&gt;&lt;wsp:rsid wsp:val=&quot;004C63EC&quot;/&gt;&lt;wsp:rsid wsp:val=&quot;004C6C36&quot;/&gt;&lt;wsp:rsid wsp:val=&quot;004C6F21&quot;/&gt;&lt;wsp:rsid wsp:val=&quot;004C71AA&quot;/&gt;&lt;wsp:rsid wsp:val=&quot;004C7984&quot;/&gt;&lt;wsp:rsid wsp:val=&quot;004C7A1E&quot;/&gt;&lt;wsp:rsid wsp:val=&quot;004D03BC&quot;/&gt;&lt;wsp:rsid wsp:val=&quot;004D071E&quot;/&gt;&lt;wsp:rsid wsp:val=&quot;004D0B5C&quot;/&gt;&lt;wsp:rsid wsp:val=&quot;004D0D8C&quot;/&gt;&lt;wsp:rsid wsp:val=&quot;004D0EED&quot;/&gt;&lt;wsp:rsid wsp:val=&quot;004D0F83&quot;/&gt;&lt;wsp:rsid wsp:val=&quot;004D10C5&quot;/&gt;&lt;wsp:rsid wsp:val=&quot;004D1891&quot;/&gt;&lt;wsp:rsid wsp:val=&quot;004D1ABA&quot;/&gt;&lt;wsp:rsid wsp:val=&quot;004D1BF0&quot;/&gt;&lt;wsp:rsid wsp:val=&quot;004D1C79&quot;/&gt;&lt;wsp:rsid wsp:val=&quot;004D21E0&quot;/&gt;&lt;wsp:rsid wsp:val=&quot;004D2573&quot;/&gt;&lt;wsp:rsid wsp:val=&quot;004D25A3&quot;/&gt;&lt;wsp:rsid wsp:val=&quot;004D275D&quot;/&gt;&lt;wsp:rsid wsp:val=&quot;004D2765&quot;/&gt;&lt;wsp:rsid wsp:val=&quot;004D277D&quot;/&gt;&lt;wsp:rsid wsp:val=&quot;004D2F4E&quot;/&gt;&lt;wsp:rsid wsp:val=&quot;004D30BB&quot;/&gt;&lt;wsp:rsid wsp:val=&quot;004D33EA&quot;/&gt;&lt;wsp:rsid wsp:val=&quot;004D39E7&quot;/&gt;&lt;wsp:rsid wsp:val=&quot;004D3E26&quot;/&gt;&lt;wsp:rsid wsp:val=&quot;004D3EE1&quot;/&gt;&lt;wsp:rsid wsp:val=&quot;004D3FC0&quot;/&gt;&lt;wsp:rsid wsp:val=&quot;004D4395&quot;/&gt;&lt;wsp:rsid wsp:val=&quot;004D444D&quot;/&gt;&lt;wsp:rsid wsp:val=&quot;004D47AB&quot;/&gt;&lt;wsp:rsid wsp:val=&quot;004D4AC7&quot;/&gt;&lt;wsp:rsid wsp:val=&quot;004D4D68&quot;/&gt;&lt;wsp:rsid wsp:val=&quot;004D5020&quot;/&gt;&lt;wsp:rsid wsp:val=&quot;004D5071&quot;/&gt;&lt;wsp:rsid wsp:val=&quot;004D5804&quot;/&gt;&lt;wsp:rsid wsp:val=&quot;004D5A8D&quot;/&gt;&lt;wsp:rsid wsp:val=&quot;004D5F5C&quot;/&gt;&lt;wsp:rsid wsp:val=&quot;004D5FD4&quot;/&gt;&lt;wsp:rsid wsp:val=&quot;004D6295&quot;/&gt;&lt;wsp:rsid wsp:val=&quot;004D67A6&quot;/&gt;&lt;wsp:rsid wsp:val=&quot;004D77DE&quot;/&gt;&lt;wsp:rsid wsp:val=&quot;004D77FD&quot;/&gt;&lt;wsp:rsid wsp:val=&quot;004D7C39&quot;/&gt;&lt;wsp:rsid wsp:val=&quot;004D7C90&quot;/&gt;&lt;wsp:rsid wsp:val=&quot;004E0426&quot;/&gt;&lt;wsp:rsid wsp:val=&quot;004E05BD&quot;/&gt;&lt;wsp:rsid wsp:val=&quot;004E083A&quot;/&gt;&lt;wsp:rsid wsp:val=&quot;004E0C40&quot;/&gt;&lt;wsp:rsid wsp:val=&quot;004E0DE8&quot;/&gt;&lt;wsp:rsid wsp:val=&quot;004E0F77&quot;/&gt;&lt;wsp:rsid wsp:val=&quot;004E0FF8&quot;/&gt;&lt;wsp:rsid wsp:val=&quot;004E1812&quot;/&gt;&lt;wsp:rsid wsp:val=&quot;004E23F3&quot;/&gt;&lt;wsp:rsid wsp:val=&quot;004E2C7E&quot;/&gt;&lt;wsp:rsid wsp:val=&quot;004E2D66&quot;/&gt;&lt;wsp:rsid wsp:val=&quot;004E2E3E&quot;/&gt;&lt;wsp:rsid wsp:val=&quot;004E335C&quot;/&gt;&lt;wsp:rsid wsp:val=&quot;004E3A87&quot;/&gt;&lt;wsp:rsid wsp:val=&quot;004E3B92&quot;/&gt;&lt;wsp:rsid wsp:val=&quot;004E3D74&quot;/&gt;&lt;wsp:rsid wsp:val=&quot;004E3DDC&quot;/&gt;&lt;wsp:rsid wsp:val=&quot;004E3E91&quot;/&gt;&lt;wsp:rsid wsp:val=&quot;004E4004&quot;/&gt;&lt;wsp:rsid wsp:val=&quot;004E42DB&quot;/&gt;&lt;wsp:rsid wsp:val=&quot;004E43EC&quot;/&gt;&lt;wsp:rsid wsp:val=&quot;004E499A&quot;/&gt;&lt;wsp:rsid wsp:val=&quot;004E4CBB&quot;/&gt;&lt;wsp:rsid wsp:val=&quot;004E4D99&quot;/&gt;&lt;wsp:rsid wsp:val=&quot;004E53BC&quot;/&gt;&lt;wsp:rsid wsp:val=&quot;004E5962&quot;/&gt;&lt;wsp:rsid wsp:val=&quot;004E599D&quot;/&gt;&lt;wsp:rsid wsp:val=&quot;004E59C9&quot;/&gt;&lt;wsp:rsid wsp:val=&quot;004E5BD3&quot;/&gt;&lt;wsp:rsid wsp:val=&quot;004E5D2E&quot;/&gt;&lt;wsp:rsid wsp:val=&quot;004E6536&quot;/&gt;&lt;wsp:rsid wsp:val=&quot;004E6641&quot;/&gt;&lt;wsp:rsid wsp:val=&quot;004E73C7&quot;/&gt;&lt;wsp:rsid wsp:val=&quot;004E7C33&quot;/&gt;&lt;wsp:rsid wsp:val=&quot;004E7D31&quot;/&gt;&lt;wsp:rsid wsp:val=&quot;004F06A5&quot;/&gt;&lt;wsp:rsid wsp:val=&quot;004F079A&quot;/&gt;&lt;wsp:rsid wsp:val=&quot;004F0CB5&quot;/&gt;&lt;wsp:rsid wsp:val=&quot;004F0D68&quot;/&gt;&lt;wsp:rsid wsp:val=&quot;004F0FA8&quot;/&gt;&lt;wsp:rsid wsp:val=&quot;004F1289&quot;/&gt;&lt;wsp:rsid wsp:val=&quot;004F12F9&quot;/&gt;&lt;wsp:rsid wsp:val=&quot;004F13D4&quot;/&gt;&lt;wsp:rsid wsp:val=&quot;004F1476&quot;/&gt;&lt;wsp:rsid wsp:val=&quot;004F1559&quot;/&gt;&lt;wsp:rsid wsp:val=&quot;004F185C&quot;/&gt;&lt;wsp:rsid wsp:val=&quot;004F1E33&quot;/&gt;&lt;wsp:rsid wsp:val=&quot;004F1F62&quot;/&gt;&lt;wsp:rsid wsp:val=&quot;004F2016&quot;/&gt;&lt;wsp:rsid wsp:val=&quot;004F21E8&quot;/&gt;&lt;wsp:rsid wsp:val=&quot;004F2253&quot;/&gt;&lt;wsp:rsid wsp:val=&quot;004F2456&quot;/&gt;&lt;wsp:rsid wsp:val=&quot;004F2B1A&quot;/&gt;&lt;wsp:rsid wsp:val=&quot;004F2C0A&quot;/&gt;&lt;wsp:rsid wsp:val=&quot;004F2CEB&quot;/&gt;&lt;wsp:rsid wsp:val=&quot;004F2E19&quot;/&gt;&lt;wsp:rsid wsp:val=&quot;004F2F6E&quot;/&gt;&lt;wsp:rsid wsp:val=&quot;004F3332&quot;/&gt;&lt;wsp:rsid wsp:val=&quot;004F35E4&quot;/&gt;&lt;wsp:rsid wsp:val=&quot;004F37F2&quot;/&gt;&lt;wsp:rsid wsp:val=&quot;004F3BD5&quot;/&gt;&lt;wsp:rsid wsp:val=&quot;004F3DF1&quot;/&gt;&lt;wsp:rsid wsp:val=&quot;004F3E04&quot;/&gt;&lt;wsp:rsid wsp:val=&quot;004F3EA2&quot;/&gt;&lt;wsp:rsid wsp:val=&quot;004F4149&quot;/&gt;&lt;wsp:rsid wsp:val=&quot;004F459E&quot;/&gt;&lt;wsp:rsid wsp:val=&quot;004F48F8&quot;/&gt;&lt;wsp:rsid wsp:val=&quot;004F493C&quot;/&gt;&lt;wsp:rsid wsp:val=&quot;004F499C&quot;/&gt;&lt;wsp:rsid wsp:val=&quot;004F49A5&quot;/&gt;&lt;wsp:rsid wsp:val=&quot;004F49BE&quot;/&gt;&lt;wsp:rsid wsp:val=&quot;004F4AD3&quot;/&gt;&lt;wsp:rsid wsp:val=&quot;004F4C62&quot;/&gt;&lt;wsp:rsid wsp:val=&quot;004F4E5C&quot;/&gt;&lt;wsp:rsid wsp:val=&quot;004F4FE3&quot;/&gt;&lt;wsp:rsid wsp:val=&quot;004F50D5&quot;/&gt;&lt;wsp:rsid wsp:val=&quot;004F558C&quot;/&gt;&lt;wsp:rsid wsp:val=&quot;004F570C&quot;/&gt;&lt;wsp:rsid wsp:val=&quot;004F5743&quot;/&gt;&lt;wsp:rsid wsp:val=&quot;004F584B&quot;/&gt;&lt;wsp:rsid wsp:val=&quot;004F5EA8&quot;/&gt;&lt;wsp:rsid wsp:val=&quot;004F5F4E&quot;/&gt;&lt;wsp:rsid wsp:val=&quot;004F610E&quot;/&gt;&lt;wsp:rsid wsp:val=&quot;004F614C&quot;/&gt;&lt;wsp:rsid wsp:val=&quot;004F640C&quot;/&gt;&lt;wsp:rsid wsp:val=&quot;004F648F&quot;/&gt;&lt;wsp:rsid wsp:val=&quot;004F661A&quot;/&gt;&lt;wsp:rsid wsp:val=&quot;004F66B1&quot;/&gt;&lt;wsp:rsid wsp:val=&quot;004F6921&quot;/&gt;&lt;wsp:rsid wsp:val=&quot;004F6A7F&quot;/&gt;&lt;wsp:rsid wsp:val=&quot;004F7E50&quot;/&gt;&lt;wsp:rsid wsp:val=&quot;00500024&quot;/&gt;&lt;wsp:rsid wsp:val=&quot;00500107&quot;/&gt;&lt;wsp:rsid wsp:val=&quot;005009D2&quot;/&gt;&lt;wsp:rsid wsp:val=&quot;00500BD8&quot;/&gt;&lt;wsp:rsid wsp:val=&quot;00501096&quot;/&gt;&lt;wsp:rsid wsp:val=&quot;00501673&quot;/&gt;&lt;wsp:rsid wsp:val=&quot;00501987&quot;/&gt;&lt;wsp:rsid wsp:val=&quot;00501B01&quot;/&gt;&lt;wsp:rsid wsp:val=&quot;00501DCB&quot;/&gt;&lt;wsp:rsid wsp:val=&quot;00502AD0&quot;/&gt;&lt;wsp:rsid wsp:val=&quot;00502BB3&quot;/&gt;&lt;wsp:rsid wsp:val=&quot;00502C3F&quot;/&gt;&lt;wsp:rsid wsp:val=&quot;005035A1&quot;/&gt;&lt;wsp:rsid wsp:val=&quot;00503842&quot;/&gt;&lt;wsp:rsid wsp:val=&quot;005044D5&quot;/&gt;&lt;wsp:rsid wsp:val=&quot;00504A51&quot;/&gt;&lt;wsp:rsid wsp:val=&quot;005051ED&quot;/&gt;&lt;wsp:rsid wsp:val=&quot;00505FBE&quot;/&gt;&lt;wsp:rsid wsp:val=&quot;00506378&quot;/&gt;&lt;wsp:rsid wsp:val=&quot;00506592&quot;/&gt;&lt;wsp:rsid wsp:val=&quot;00506747&quot;/&gt;&lt;wsp:rsid wsp:val=&quot;0050687B&quot;/&gt;&lt;wsp:rsid wsp:val=&quot;005069F5&quot;/&gt;&lt;wsp:rsid wsp:val=&quot;00506FD2&quot;/&gt;&lt;wsp:rsid wsp:val=&quot;00507179&quot;/&gt;&lt;wsp:rsid wsp:val=&quot;005072F6&quot;/&gt;&lt;wsp:rsid wsp:val=&quot;00507381&quot;/&gt;&lt;wsp:rsid wsp:val=&quot;0050773C&quot;/&gt;&lt;wsp:rsid wsp:val=&quot;00507779&quot;/&gt;&lt;wsp:rsid wsp:val=&quot;00507D35&quot;/&gt;&lt;wsp:rsid wsp:val=&quot;00507F4E&quot;/&gt;&lt;wsp:rsid wsp:val=&quot;00507F57&quot;/&gt;&lt;wsp:rsid wsp:val=&quot;00510163&quot;/&gt;&lt;wsp:rsid wsp:val=&quot;00510930&quot;/&gt;&lt;wsp:rsid wsp:val=&quot;00510E58&quot;/&gt;&lt;wsp:rsid wsp:val=&quot;00511235&quot;/&gt;&lt;wsp:rsid wsp:val=&quot;00511361&quot;/&gt;&lt;wsp:rsid wsp:val=&quot;00511736&quot;/&gt;&lt;wsp:rsid wsp:val=&quot;0051182C&quot;/&gt;&lt;wsp:rsid wsp:val=&quot;0051189B&quot;/&gt;&lt;wsp:rsid wsp:val=&quot;00512066&quot;/&gt;&lt;wsp:rsid wsp:val=&quot;005120DF&quot;/&gt;&lt;wsp:rsid wsp:val=&quot;0051292A&quot;/&gt;&lt;wsp:rsid wsp:val=&quot;00513042&quot;/&gt;&lt;wsp:rsid wsp:val=&quot;00513388&quot;/&gt;&lt;wsp:rsid wsp:val=&quot;0051363C&quot;/&gt;&lt;wsp:rsid wsp:val=&quot;0051372D&quot;/&gt;&lt;wsp:rsid wsp:val=&quot;0051374C&quot;/&gt;&lt;wsp:rsid wsp:val=&quot;00513BE8&quot;/&gt;&lt;wsp:rsid wsp:val=&quot;00513C79&quot;/&gt;&lt;wsp:rsid wsp:val=&quot;00513DBA&quot;/&gt;&lt;wsp:rsid wsp:val=&quot;00514228&quot;/&gt;&lt;wsp:rsid wsp:val=&quot;00514E5D&quot;/&gt;&lt;wsp:rsid wsp:val=&quot;005151F6&quot;/&gt;&lt;wsp:rsid wsp:val=&quot;005154BA&quot;/&gt;&lt;wsp:rsid wsp:val=&quot;00515673&quot;/&gt;&lt;wsp:rsid wsp:val=&quot;005158CD&quot;/&gt;&lt;wsp:rsid wsp:val=&quot;00515A5C&quot;/&gt;&lt;wsp:rsid wsp:val=&quot;00516006&quot;/&gt;&lt;wsp:rsid wsp:val=&quot;0051654E&quot;/&gt;&lt;wsp:rsid wsp:val=&quot;00516F54&quot;/&gt;&lt;wsp:rsid wsp:val=&quot;00516FB9&quot;/&gt;&lt;wsp:rsid wsp:val=&quot;00517056&quot;/&gt;&lt;wsp:rsid wsp:val=&quot;0051738D&quot;/&gt;&lt;wsp:rsid wsp:val=&quot;005177AA&quot;/&gt;&lt;wsp:rsid wsp:val=&quot;00517F51&quot;/&gt;&lt;wsp:rsid wsp:val=&quot;00520168&quot;/&gt;&lt;wsp:rsid wsp:val=&quot;00520389&quot;/&gt;&lt;wsp:rsid wsp:val=&quot;005205D4&quot;/&gt;&lt;wsp:rsid wsp:val=&quot;00520884&quot;/&gt;&lt;wsp:rsid wsp:val=&quot;00520F1C&quot;/&gt;&lt;wsp:rsid wsp:val=&quot;005212C4&quot;/&gt;&lt;wsp:rsid wsp:val=&quot;0052132B&quot;/&gt;&lt;wsp:rsid wsp:val=&quot;005217F1&quot;/&gt;&lt;wsp:rsid wsp:val=&quot;00521DC4&quot;/&gt;&lt;wsp:rsid wsp:val=&quot;00521EC4&quot;/&gt;&lt;wsp:rsid wsp:val=&quot;0052253C&quot;/&gt;&lt;wsp:rsid wsp:val=&quot;00522688&quot;/&gt;&lt;wsp:rsid wsp:val=&quot;00522804&quot;/&gt;&lt;wsp:rsid wsp:val=&quot;00522A82&quot;/&gt;&lt;wsp:rsid wsp:val=&quot;00522FB4&quot;/&gt;&lt;wsp:rsid wsp:val=&quot;00523487&quot;/&gt;&lt;wsp:rsid wsp:val=&quot;005238EC&quot;/&gt;&lt;wsp:rsid wsp:val=&quot;00523D71&quot;/&gt;&lt;wsp:rsid wsp:val=&quot;00523DA4&quot;/&gt;&lt;wsp:rsid wsp:val=&quot;00523EED&quot;/&gt;&lt;wsp:rsid wsp:val=&quot;00523FBF&quot;/&gt;&lt;wsp:rsid wsp:val=&quot;0052442B&quot;/&gt;&lt;wsp:rsid wsp:val=&quot;005245AE&quot;/&gt;&lt;wsp:rsid wsp:val=&quot;005245C6&quot;/&gt;&lt;wsp:rsid wsp:val=&quot;0052478D&quot;/&gt;&lt;wsp:rsid wsp:val=&quot;005247D8&quot;/&gt;&lt;wsp:rsid wsp:val=&quot;00524D49&quot;/&gt;&lt;wsp:rsid wsp:val=&quot;005254BF&quot;/&gt;&lt;wsp:rsid wsp:val=&quot;005255AF&quot;/&gt;&lt;wsp:rsid wsp:val=&quot;00525B54&quot;/&gt;&lt;wsp:rsid wsp:val=&quot;00525E90&quot;/&gt;&lt;wsp:rsid wsp:val=&quot;00525FFB&quot;/&gt;&lt;wsp:rsid wsp:val=&quot;005260A9&quot;/&gt;&lt;wsp:rsid wsp:val=&quot;00526109&quot;/&gt;&lt;wsp:rsid wsp:val=&quot;00526E53&quot;/&gt;&lt;wsp:rsid wsp:val=&quot;00526EDD&quot;/&gt;&lt;wsp:rsid wsp:val=&quot;0052703E&quot;/&gt;&lt;wsp:rsid wsp:val=&quot;00527289&quot;/&gt;&lt;wsp:rsid wsp:val=&quot;00527CBA&quot;/&gt;&lt;wsp:rsid wsp:val=&quot;00530412&quot;/&gt;&lt;wsp:rsid wsp:val=&quot;005308A3&quot;/&gt;&lt;wsp:rsid wsp:val=&quot;00530BAD&quot;/&gt;&lt;wsp:rsid wsp:val=&quot;00530D07&quot;/&gt;&lt;wsp:rsid wsp:val=&quot;005314D2&quot;/&gt;&lt;wsp:rsid wsp:val=&quot;00531A24&quot;/&gt;&lt;wsp:rsid wsp:val=&quot;00532160&quot;/&gt;&lt;wsp:rsid wsp:val=&quot;0053238B&quot;/&gt;&lt;wsp:rsid wsp:val=&quot;00532486&quot;/&gt;&lt;wsp:rsid wsp:val=&quot;005324E5&quot;/&gt;&lt;wsp:rsid wsp:val=&quot;005329A8&quot;/&gt;&lt;wsp:rsid wsp:val=&quot;00532B2A&quot;/&gt;&lt;wsp:rsid wsp:val=&quot;00532F0D&quot;/&gt;&lt;wsp:rsid wsp:val=&quot;0053335A&quot;/&gt;&lt;wsp:rsid wsp:val=&quot;005335C8&quot;/&gt;&lt;wsp:rsid wsp:val=&quot;00533850&quot;/&gt;&lt;wsp:rsid wsp:val=&quot;00533D2B&quot;/&gt;&lt;wsp:rsid wsp:val=&quot;00533E8C&quot;/&gt;&lt;wsp:rsid wsp:val=&quot;00533F94&quot;/&gt;&lt;wsp:rsid wsp:val=&quot;0053419B&quot;/&gt;&lt;wsp:rsid wsp:val=&quot;005348E7&quot;/&gt;&lt;wsp:rsid wsp:val=&quot;00534921&quot;/&gt;&lt;wsp:rsid wsp:val=&quot;00535204&quot;/&gt;&lt;wsp:rsid wsp:val=&quot;00535364&quot;/&gt;&lt;wsp:rsid wsp:val=&quot;00535D15&quot;/&gt;&lt;wsp:rsid wsp:val=&quot;00535E04&quot;/&gt;&lt;wsp:rsid wsp:val=&quot;005367F3&quot;/&gt;&lt;wsp:rsid wsp:val=&quot;005369FC&quot;/&gt;&lt;wsp:rsid wsp:val=&quot;00536BEA&quot;/&gt;&lt;wsp:rsid wsp:val=&quot;0053739E&quot;/&gt;&lt;wsp:rsid wsp:val=&quot;00537593&quot;/&gt;&lt;wsp:rsid wsp:val=&quot;005376AC&quot;/&gt;&lt;wsp:rsid wsp:val=&quot;00537A5E&quot;/&gt;&lt;wsp:rsid wsp:val=&quot;005401B7&quot;/&gt;&lt;wsp:rsid wsp:val=&quot;00540586&quot;/&gt;&lt;wsp:rsid wsp:val=&quot;00540626&quot;/&gt;&lt;wsp:rsid wsp:val=&quot;00540BBF&quot;/&gt;&lt;wsp:rsid wsp:val=&quot;00540BE8&quot;/&gt;&lt;wsp:rsid wsp:val=&quot;00540CAE&quot;/&gt;&lt;wsp:rsid wsp:val=&quot;00541043&quot;/&gt;&lt;wsp:rsid wsp:val=&quot;00541503&quot;/&gt;&lt;wsp:rsid wsp:val=&quot;00541761&quot;/&gt;&lt;wsp:rsid wsp:val=&quot;00542050&quot;/&gt;&lt;wsp:rsid wsp:val=&quot;00542548&quot;/&gt;&lt;wsp:rsid wsp:val=&quot;00542876&quot;/&gt;&lt;wsp:rsid wsp:val=&quot;00542B60&quot;/&gt;&lt;wsp:rsid wsp:val=&quot;00542BD8&quot;/&gt;&lt;wsp:rsid wsp:val=&quot;00542D44&quot;/&gt;&lt;wsp:rsid wsp:val=&quot;00542E9C&quot;/&gt;&lt;wsp:rsid wsp:val=&quot;00543459&quot;/&gt;&lt;wsp:rsid wsp:val=&quot;00543D53&quot;/&gt;&lt;wsp:rsid wsp:val=&quot;00544120&quot;/&gt;&lt;wsp:rsid wsp:val=&quot;00544895&quot;/&gt;&lt;wsp:rsid wsp:val=&quot;005449D5&quot;/&gt;&lt;wsp:rsid wsp:val=&quot;00545012&quot;/&gt;&lt;wsp:rsid wsp:val=&quot;005454FC&quot;/&gt;&lt;wsp:rsid wsp:val=&quot;0054566F&quot;/&gt;&lt;wsp:rsid wsp:val=&quot;00545D06&quot;/&gt;&lt;wsp:rsid wsp:val=&quot;005463E8&quot;/&gt;&lt;wsp:rsid wsp:val=&quot;0054694F&quot;/&gt;&lt;wsp:rsid wsp:val=&quot;0054697A&quot;/&gt;&lt;wsp:rsid wsp:val=&quot;00546AFD&quot;/&gt;&lt;wsp:rsid wsp:val=&quot;005470B2&quot;/&gt;&lt;wsp:rsid wsp:val=&quot;005470DB&quot;/&gt;&lt;wsp:rsid wsp:val=&quot;00547106&quot;/&gt;&lt;wsp:rsid wsp:val=&quot;00547118&quot;/&gt;&lt;wsp:rsid wsp:val=&quot;00547431&quot;/&gt;&lt;wsp:rsid wsp:val=&quot;00550205&quot;/&gt;&lt;wsp:rsid wsp:val=&quot;005505DC&quot;/&gt;&lt;wsp:rsid wsp:val=&quot;0055192F&quot;/&gt;&lt;wsp:rsid wsp:val=&quot;00551A6E&quot;/&gt;&lt;wsp:rsid wsp:val=&quot;00551D09&quot;/&gt;&lt;wsp:rsid wsp:val=&quot;00552BB8&quot;/&gt;&lt;wsp:rsid wsp:val=&quot;0055306C&quot;/&gt;&lt;wsp:rsid wsp:val=&quot;00553144&quot;/&gt;&lt;wsp:rsid wsp:val=&quot;0055338B&quot;/&gt;&lt;wsp:rsid wsp:val=&quot;00553604&quot;/&gt;&lt;wsp:rsid wsp:val=&quot;0055385F&quot;/&gt;&lt;wsp:rsid wsp:val=&quot;005538D9&quot;/&gt;&lt;wsp:rsid wsp:val=&quot;00553D3E&quot;/&gt;&lt;wsp:rsid wsp:val=&quot;00553EE3&quot;/&gt;&lt;wsp:rsid wsp:val=&quot;00554580&quot;/&gt;&lt;wsp:rsid wsp:val=&quot;00555624&quot;/&gt;&lt;wsp:rsid wsp:val=&quot;00555778&quot;/&gt;&lt;wsp:rsid wsp:val=&quot;00555EC6&quot;/&gt;&lt;wsp:rsid wsp:val=&quot;00555F65&quot;/&gt;&lt;wsp:rsid wsp:val=&quot;00555F66&quot;/&gt;&lt;wsp:rsid wsp:val=&quot;0055620C&quot;/&gt;&lt;wsp:rsid wsp:val=&quot;005568E2&quot;/&gt;&lt;wsp:rsid wsp:val=&quot;0055690E&quot;/&gt;&lt;wsp:rsid wsp:val=&quot;00556A1F&quot;/&gt;&lt;wsp:rsid wsp:val=&quot;00556F2D&quot;/&gt;&lt;wsp:rsid wsp:val=&quot;00557440&quot;/&gt;&lt;wsp:rsid wsp:val=&quot;0055764E&quot;/&gt;&lt;wsp:rsid wsp:val=&quot;0055768F&quot;/&gt;&lt;wsp:rsid wsp:val=&quot;005576C2&quot;/&gt;&lt;wsp:rsid wsp:val=&quot;00557B28&quot;/&gt;&lt;wsp:rsid wsp:val=&quot;00557C49&quot;/&gt;&lt;wsp:rsid wsp:val=&quot;0056031D&quot;/&gt;&lt;wsp:rsid wsp:val=&quot;00560FA8&quot;/&gt;&lt;wsp:rsid wsp:val=&quot;005613BC&quot;/&gt;&lt;wsp:rsid wsp:val=&quot;005615A8&quot;/&gt;&lt;wsp:rsid wsp:val=&quot;00561679&quot;/&gt;&lt;wsp:rsid wsp:val=&quot;00561A9F&quot;/&gt;&lt;wsp:rsid wsp:val=&quot;00561DED&quot;/&gt;&lt;wsp:rsid wsp:val=&quot;0056207D&quot;/&gt;&lt;wsp:rsid wsp:val=&quot;00562272&quot;/&gt;&lt;wsp:rsid wsp:val=&quot;00562A2D&quot;/&gt;&lt;wsp:rsid wsp:val=&quot;00562DC4&quot;/&gt;&lt;wsp:rsid wsp:val=&quot;005636B1&quot;/&gt;&lt;wsp:rsid wsp:val=&quot;0056395C&quot;/&gt;&lt;wsp:rsid wsp:val=&quot;00565155&quot;/&gt;&lt;wsp:rsid wsp:val=&quot;00565317&quot;/&gt;&lt;wsp:rsid wsp:val=&quot;00565367&quot;/&gt;&lt;wsp:rsid wsp:val=&quot;00566368&quot;/&gt;&lt;wsp:rsid wsp:val=&quot;005672F9&quot;/&gt;&lt;wsp:rsid wsp:val=&quot;00567EE4&quot;/&gt;&lt;wsp:rsid wsp:val=&quot;00570032&quot;/&gt;&lt;wsp:rsid wsp:val=&quot;0057047D&quot;/&gt;&lt;wsp:rsid wsp:val=&quot;0057049E&quot;/&gt;&lt;wsp:rsid wsp:val=&quot;00570564&quot;/&gt;&lt;wsp:rsid wsp:val=&quot;00570605&quot;/&gt;&lt;wsp:rsid wsp:val=&quot;005708EC&quot;/&gt;&lt;wsp:rsid wsp:val=&quot;00570F63&quot;/&gt;&lt;wsp:rsid wsp:val=&quot;00571270&quot;/&gt;&lt;wsp:rsid wsp:val=&quot;005713CC&quot;/&gt;&lt;wsp:rsid wsp:val=&quot;00571754&quot;/&gt;&lt;wsp:rsid wsp:val=&quot;0057188B&quot;/&gt;&lt;wsp:rsid wsp:val=&quot;00571BC6&quot;/&gt;&lt;wsp:rsid wsp:val=&quot;00571D1F&quot;/&gt;&lt;wsp:rsid wsp:val=&quot;00571D7A&quot;/&gt;&lt;wsp:rsid wsp:val=&quot;00571E3F&quot;/&gt;&lt;wsp:rsid wsp:val=&quot;00571E5F&quot;/&gt;&lt;wsp:rsid wsp:val=&quot;00571F49&quot;/&gt;&lt;wsp:rsid wsp:val=&quot;00572056&quot;/&gt;&lt;wsp:rsid wsp:val=&quot;005723B6&quot;/&gt;&lt;wsp:rsid wsp:val=&quot;00572832&quot;/&gt;&lt;wsp:rsid wsp:val=&quot;00572B81&quot;/&gt;&lt;wsp:rsid wsp:val=&quot;00572F15&quot;/&gt;&lt;wsp:rsid wsp:val=&quot;00573188&quot;/&gt;&lt;wsp:rsid wsp:val=&quot;005732BD&quot;/&gt;&lt;wsp:rsid wsp:val=&quot;005732EA&quot;/&gt;&lt;wsp:rsid wsp:val=&quot;00573331&quot;/&gt;&lt;wsp:rsid wsp:val=&quot;005739FB&quot;/&gt;&lt;wsp:rsid wsp:val=&quot;00573B41&quot;/&gt;&lt;wsp:rsid wsp:val=&quot;00573F1A&quot;/&gt;&lt;wsp:rsid wsp:val=&quot;005745F8&quot;/&gt;&lt;wsp:rsid wsp:val=&quot;0057470C&quot;/&gt;&lt;wsp:rsid wsp:val=&quot;00574866&quot;/&gt;&lt;wsp:rsid wsp:val=&quot;00574B0F&quot;/&gt;&lt;wsp:rsid wsp:val=&quot;00574EE5&quot;/&gt;&lt;wsp:rsid wsp:val=&quot;0057658C&quot;/&gt;&lt;wsp:rsid wsp:val=&quot;00576ACB&quot;/&gt;&lt;wsp:rsid wsp:val=&quot;00576BF4&quot;/&gt;&lt;wsp:rsid wsp:val=&quot;00576E03&quot;/&gt;&lt;wsp:rsid wsp:val=&quot;005770F1&quot;/&gt;&lt;wsp:rsid wsp:val=&quot;0057714E&quot;/&gt;&lt;wsp:rsid wsp:val=&quot;00577559&quot;/&gt;&lt;wsp:rsid wsp:val=&quot;00577699&quot;/&gt;&lt;wsp:rsid wsp:val=&quot;00577EBD&quot;/&gt;&lt;wsp:rsid wsp:val=&quot;00577F10&quot;/&gt;&lt;wsp:rsid wsp:val=&quot;00580790&quot;/&gt;&lt;wsp:rsid wsp:val=&quot;00581446&quot;/&gt;&lt;wsp:rsid wsp:val=&quot;00581A52&quot;/&gt;&lt;wsp:rsid wsp:val=&quot;00581B3D&quot;/&gt;&lt;wsp:rsid wsp:val=&quot;00581EC4&quot;/&gt;&lt;wsp:rsid wsp:val=&quot;00582109&quot;/&gt;&lt;wsp:rsid wsp:val=&quot;00582153&quot;/&gt;&lt;wsp:rsid wsp:val=&quot;005824B7&quot;/&gt;&lt;wsp:rsid wsp:val=&quot;00582F4D&quot;/&gt;&lt;wsp:rsid wsp:val=&quot;00582FF3&quot;/&gt;&lt;wsp:rsid wsp:val=&quot;00583296&quot;/&gt;&lt;wsp:rsid wsp:val=&quot;0058336C&quot;/&gt;&lt;wsp:rsid wsp:val=&quot;005839B5&quot;/&gt;&lt;wsp:rsid wsp:val=&quot;005839C0&quot;/&gt;&lt;wsp:rsid wsp:val=&quot;00583C7E&quot;/&gt;&lt;wsp:rsid wsp:val=&quot;005842BF&quot;/&gt;&lt;wsp:rsid wsp:val=&quot;005845BE&quot;/&gt;&lt;wsp:rsid wsp:val=&quot;005847DF&quot;/&gt;&lt;wsp:rsid wsp:val=&quot;00584A10&quot;/&gt;&lt;wsp:rsid wsp:val=&quot;00584EB7&quot;/&gt;&lt;wsp:rsid wsp:val=&quot;0058558C&quot;/&gt;&lt;wsp:rsid wsp:val=&quot;00585592&quot;/&gt;&lt;wsp:rsid wsp:val=&quot;005868A0&quot;/&gt;&lt;wsp:rsid wsp:val=&quot;00586A23&quot;/&gt;&lt;wsp:rsid wsp:val=&quot;0058793B&quot;/&gt;&lt;wsp:rsid wsp:val=&quot;0059029B&quot;/&gt;&lt;wsp:rsid wsp:val=&quot;005902CD&quot;/&gt;&lt;wsp:rsid wsp:val=&quot;00590911&quot;/&gt;&lt;wsp:rsid wsp:val=&quot;00590AE1&quot;/&gt;&lt;wsp:rsid wsp:val=&quot;00590BAF&quot;/&gt;&lt;wsp:rsid wsp:val=&quot;00590BB7&quot;/&gt;&lt;wsp:rsid wsp:val=&quot;00590E01&quot;/&gt;&lt;wsp:rsid wsp:val=&quot;00591205&quot;/&gt;&lt;wsp:rsid wsp:val=&quot;005912F3&quot;/&gt;&lt;wsp:rsid wsp:val=&quot;005916F8&quot;/&gt;&lt;wsp:rsid wsp:val=&quot;005919FD&quot;/&gt;&lt;wsp:rsid wsp:val=&quot;00591DF6&quot;/&gt;&lt;wsp:rsid wsp:val=&quot;00591DFA&quot;/&gt;&lt;wsp:rsid wsp:val=&quot;00591F1A&quot;/&gt;&lt;wsp:rsid wsp:val=&quot;00591F7F&quot;/&gt;&lt;wsp:rsid wsp:val=&quot;00592164&quot;/&gt;&lt;wsp:rsid wsp:val=&quot;00592648&quot;/&gt;&lt;wsp:rsid wsp:val=&quot;005926E1&quot;/&gt;&lt;wsp:rsid wsp:val=&quot;005928D4&quot;/&gt;&lt;wsp:rsid wsp:val=&quot;00592A64&quot;/&gt;&lt;wsp:rsid wsp:val=&quot;00592AF3&quot;/&gt;&lt;wsp:rsid wsp:val=&quot;00592C7B&quot;/&gt;&lt;wsp:rsid wsp:val=&quot;00592DD6&quot;/&gt;&lt;wsp:rsid wsp:val=&quot;00592E26&quot;/&gt;&lt;wsp:rsid wsp:val=&quot;00593031&quot;/&gt;&lt;wsp:rsid wsp:val=&quot;005931B9&quot;/&gt;&lt;wsp:rsid wsp:val=&quot;00593609&quot;/&gt;&lt;wsp:rsid wsp:val=&quot;00593CE8&quot;/&gt;&lt;wsp:rsid wsp:val=&quot;00593CE9&quot;/&gt;&lt;wsp:rsid wsp:val=&quot;00593F69&quot;/&gt;&lt;wsp:rsid wsp:val=&quot;00594110&quot;/&gt;&lt;wsp:rsid wsp:val=&quot;00594273&quot;/&gt;&lt;wsp:rsid wsp:val=&quot;00594372&quot;/&gt;&lt;wsp:rsid wsp:val=&quot;00594667&quot;/&gt;&lt;wsp:rsid wsp:val=&quot;00594EBD&quot;/&gt;&lt;wsp:rsid wsp:val=&quot;00595156&quot;/&gt;&lt;wsp:rsid wsp:val=&quot;00595C16&quot;/&gt;&lt;wsp:rsid wsp:val=&quot;00595D5A&quot;/&gt;&lt;wsp:rsid wsp:val=&quot;005963B3&quot;/&gt;&lt;wsp:rsid wsp:val=&quot;0059688E&quot;/&gt;&lt;wsp:rsid wsp:val=&quot;005969ED&quot;/&gt;&lt;wsp:rsid wsp:val=&quot;00596DF9&quot;/&gt;&lt;wsp:rsid wsp:val=&quot;00596E70&quot;/&gt;&lt;wsp:rsid wsp:val=&quot;00597124&quot;/&gt;&lt;wsp:rsid wsp:val=&quot;0059756C&quot;/&gt;&lt;wsp:rsid wsp:val=&quot;00597690&quot;/&gt;&lt;wsp:rsid wsp:val=&quot;005A0231&quot;/&gt;&lt;wsp:rsid wsp:val=&quot;005A0669&quot;/&gt;&lt;wsp:rsid wsp:val=&quot;005A0966&quot;/&gt;&lt;wsp:rsid wsp:val=&quot;005A0A0D&quot;/&gt;&lt;wsp:rsid wsp:val=&quot;005A14E9&quot;/&gt;&lt;wsp:rsid wsp:val=&quot;005A1829&quot;/&gt;&lt;wsp:rsid wsp:val=&quot;005A18BC&quot;/&gt;&lt;wsp:rsid wsp:val=&quot;005A2506&quot;/&gt;&lt;wsp:rsid wsp:val=&quot;005A2BCA&quot;/&gt;&lt;wsp:rsid wsp:val=&quot;005A2CAD&quot;/&gt;&lt;wsp:rsid wsp:val=&quot;005A3105&quot;/&gt;&lt;wsp:rsid wsp:val=&quot;005A33B6&quot;/&gt;&lt;wsp:rsid wsp:val=&quot;005A3C70&quot;/&gt;&lt;wsp:rsid wsp:val=&quot;005A3F1B&quot;/&gt;&lt;wsp:rsid wsp:val=&quot;005A45C2&quot;/&gt;&lt;wsp:rsid wsp:val=&quot;005A464F&quot;/&gt;&lt;wsp:rsid wsp:val=&quot;005A47A2&quot;/&gt;&lt;wsp:rsid wsp:val=&quot;005A52A5&quot;/&gt;&lt;wsp:rsid wsp:val=&quot;005A5316&quot;/&gt;&lt;wsp:rsid wsp:val=&quot;005A5863&quot;/&gt;&lt;wsp:rsid wsp:val=&quot;005A5C8A&quot;/&gt;&lt;wsp:rsid wsp:val=&quot;005A5FB0&quot;/&gt;&lt;wsp:rsid wsp:val=&quot;005A620B&quot;/&gt;&lt;wsp:rsid wsp:val=&quot;005A6239&quot;/&gt;&lt;wsp:rsid wsp:val=&quot;005A6529&quot;/&gt;&lt;wsp:rsid wsp:val=&quot;005A6600&quot;/&gt;&lt;wsp:rsid wsp:val=&quot;005A6A04&quot;/&gt;&lt;wsp:rsid wsp:val=&quot;005A6CA1&quot;/&gt;&lt;wsp:rsid wsp:val=&quot;005A72AC&quot;/&gt;&lt;wsp:rsid wsp:val=&quot;005A750D&quot;/&gt;&lt;wsp:rsid wsp:val=&quot;005A75BA&quot;/&gt;&lt;wsp:rsid wsp:val=&quot;005A7D99&quot;/&gt;&lt;wsp:rsid wsp:val=&quot;005B013C&quot;/&gt;&lt;wsp:rsid wsp:val=&quot;005B04AD&quot;/&gt;&lt;wsp:rsid wsp:val=&quot;005B081D&quot;/&gt;&lt;wsp:rsid wsp:val=&quot;005B0EBE&quot;/&gt;&lt;wsp:rsid wsp:val=&quot;005B1086&quot;/&gt;&lt;wsp:rsid wsp:val=&quot;005B11F7&quot;/&gt;&lt;wsp:rsid wsp:val=&quot;005B131E&quot;/&gt;&lt;wsp:rsid wsp:val=&quot;005B183A&quot;/&gt;&lt;wsp:rsid wsp:val=&quot;005B185B&quot;/&gt;&lt;wsp:rsid wsp:val=&quot;005B1D53&quot;/&gt;&lt;wsp:rsid wsp:val=&quot;005B1F1D&quot;/&gt;&lt;wsp:rsid wsp:val=&quot;005B1FA9&quot;/&gt;&lt;wsp:rsid wsp:val=&quot;005B2143&quot;/&gt;&lt;wsp:rsid wsp:val=&quot;005B2191&quot;/&gt;&lt;wsp:rsid wsp:val=&quot;005B244A&quot;/&gt;&lt;wsp:rsid wsp:val=&quot;005B25ED&quot;/&gt;&lt;wsp:rsid wsp:val=&quot;005B320A&quot;/&gt;&lt;wsp:rsid wsp:val=&quot;005B3214&quot;/&gt;&lt;wsp:rsid wsp:val=&quot;005B3327&quot;/&gt;&lt;wsp:rsid wsp:val=&quot;005B397B&quot;/&gt;&lt;wsp:rsid wsp:val=&quot;005B3BE3&quot;/&gt;&lt;wsp:rsid wsp:val=&quot;005B4122&quot;/&gt;&lt;wsp:rsid wsp:val=&quot;005B413F&quot;/&gt;&lt;wsp:rsid wsp:val=&quot;005B42EB&quot;/&gt;&lt;wsp:rsid wsp:val=&quot;005B44E7&quot;/&gt;&lt;wsp:rsid wsp:val=&quot;005B45F3&quot;/&gt;&lt;wsp:rsid wsp:val=&quot;005B481E&quot;/&gt;&lt;wsp:rsid wsp:val=&quot;005B485C&quot;/&gt;&lt;wsp:rsid wsp:val=&quot;005B4892&quot;/&gt;&lt;wsp:rsid wsp:val=&quot;005B48F6&quot;/&gt;&lt;wsp:rsid wsp:val=&quot;005B4F08&quot;/&gt;&lt;wsp:rsid wsp:val=&quot;005B522C&quot;/&gt;&lt;wsp:rsid wsp:val=&quot;005B5589&quot;/&gt;&lt;wsp:rsid wsp:val=&quot;005B57A2&quot;/&gt;&lt;wsp:rsid wsp:val=&quot;005B5822&quot;/&gt;&lt;wsp:rsid wsp:val=&quot;005B5B8F&quot;/&gt;&lt;wsp:rsid wsp:val=&quot;005B5F9D&quot;/&gt;&lt;wsp:rsid wsp:val=&quot;005B673C&quot;/&gt;&lt;wsp:rsid wsp:val=&quot;005B6A0A&quot;/&gt;&lt;wsp:rsid wsp:val=&quot;005B74C4&quot;/&gt;&lt;wsp:rsid wsp:val=&quot;005B7A4F&quot;/&gt;&lt;wsp:rsid wsp:val=&quot;005B7C91&quot;/&gt;&lt;wsp:rsid wsp:val=&quot;005C02CF&quot;/&gt;&lt;wsp:rsid wsp:val=&quot;005C02DF&quot;/&gt;&lt;wsp:rsid wsp:val=&quot;005C03F6&quot;/&gt;&lt;wsp:rsid wsp:val=&quot;005C06D2&quot;/&gt;&lt;wsp:rsid wsp:val=&quot;005C08AC&quot;/&gt;&lt;wsp:rsid wsp:val=&quot;005C12D7&quot;/&gt;&lt;wsp:rsid wsp:val=&quot;005C19D6&quot;/&gt;&lt;wsp:rsid wsp:val=&quot;005C1C02&quot;/&gt;&lt;wsp:rsid wsp:val=&quot;005C1C1E&quot;/&gt;&lt;wsp:rsid wsp:val=&quot;005C2151&quot;/&gt;&lt;wsp:rsid wsp:val=&quot;005C21EE&quot;/&gt;&lt;wsp:rsid wsp:val=&quot;005C272C&quot;/&gt;&lt;wsp:rsid wsp:val=&quot;005C2C42&quot;/&gt;&lt;wsp:rsid wsp:val=&quot;005C2C5C&quot;/&gt;&lt;wsp:rsid wsp:val=&quot;005C2EEA&quot;/&gt;&lt;wsp:rsid wsp:val=&quot;005C34B1&quot;/&gt;&lt;wsp:rsid wsp:val=&quot;005C395F&quot;/&gt;&lt;wsp:rsid wsp:val=&quot;005C3978&quot;/&gt;&lt;wsp:rsid wsp:val=&quot;005C3E21&quot;/&gt;&lt;wsp:rsid wsp:val=&quot;005C4186&quot;/&gt;&lt;wsp:rsid wsp:val=&quot;005C435E&quot;/&gt;&lt;wsp:rsid wsp:val=&quot;005C44AC&quot;/&gt;&lt;wsp:rsid wsp:val=&quot;005C45C1&quot;/&gt;&lt;wsp:rsid wsp:val=&quot;005C45D9&quot;/&gt;&lt;wsp:rsid wsp:val=&quot;005C4930&quot;/&gt;&lt;wsp:rsid wsp:val=&quot;005C4978&quot;/&gt;&lt;wsp:rsid wsp:val=&quot;005C4A43&quot;/&gt;&lt;wsp:rsid wsp:val=&quot;005C4D7A&quot;/&gt;&lt;wsp:rsid wsp:val=&quot;005C50FB&quot;/&gt;&lt;wsp:rsid wsp:val=&quot;005C5659&quot;/&gt;&lt;wsp:rsid wsp:val=&quot;005C570F&quot;/&gt;&lt;wsp:rsid wsp:val=&quot;005C5BA8&quot;/&gt;&lt;wsp:rsid wsp:val=&quot;005C600D&quot;/&gt;&lt;wsp:rsid wsp:val=&quot;005C668A&quot;/&gt;&lt;wsp:rsid wsp:val=&quot;005C67B2&quot;/&gt;&lt;wsp:rsid wsp:val=&quot;005C6AB3&quot;/&gt;&lt;wsp:rsid wsp:val=&quot;005C6C39&quot;/&gt;&lt;wsp:rsid wsp:val=&quot;005C6D1C&quot;/&gt;&lt;wsp:rsid wsp:val=&quot;005C6F75&quot;/&gt;&lt;wsp:rsid wsp:val=&quot;005C7013&quot;/&gt;&lt;wsp:rsid wsp:val=&quot;005C712C&quot;/&gt;&lt;wsp:rsid wsp:val=&quot;005C773C&quot;/&gt;&lt;wsp:rsid wsp:val=&quot;005C789A&quot;/&gt;&lt;wsp:rsid wsp:val=&quot;005C7F12&quot;/&gt;&lt;wsp:rsid wsp:val=&quot;005C7F96&quot;/&gt;&lt;wsp:rsid wsp:val=&quot;005D00AC&quot;/&gt;&lt;wsp:rsid wsp:val=&quot;005D021A&quot;/&gt;&lt;wsp:rsid wsp:val=&quot;005D0682&quot;/&gt;&lt;wsp:rsid wsp:val=&quot;005D0A5B&quot;/&gt;&lt;wsp:rsid wsp:val=&quot;005D0AC2&quot;/&gt;&lt;wsp:rsid wsp:val=&quot;005D10A8&quot;/&gt;&lt;wsp:rsid wsp:val=&quot;005D11F2&quot;/&gt;&lt;wsp:rsid wsp:val=&quot;005D1643&quot;/&gt;&lt;wsp:rsid wsp:val=&quot;005D188E&quot;/&gt;&lt;wsp:rsid wsp:val=&quot;005D18E3&quot;/&gt;&lt;wsp:rsid wsp:val=&quot;005D1CB5&quot;/&gt;&lt;wsp:rsid wsp:val=&quot;005D22D8&quot;/&gt;&lt;wsp:rsid wsp:val=&quot;005D2741&quot;/&gt;&lt;wsp:rsid wsp:val=&quot;005D288B&quot;/&gt;&lt;wsp:rsid wsp:val=&quot;005D28B1&quot;/&gt;&lt;wsp:rsid wsp:val=&quot;005D291C&quot;/&gt;&lt;wsp:rsid wsp:val=&quot;005D2A30&quot;/&gt;&lt;wsp:rsid wsp:val=&quot;005D2B9F&quot;/&gt;&lt;wsp:rsid wsp:val=&quot;005D2F6C&quot;/&gt;&lt;wsp:rsid wsp:val=&quot;005D3491&quot;/&gt;&lt;wsp:rsid wsp:val=&quot;005D3C06&quot;/&gt;&lt;wsp:rsid wsp:val=&quot;005D3F4B&quot;/&gt;&lt;wsp:rsid wsp:val=&quot;005D41A4&quot;/&gt;&lt;wsp:rsid wsp:val=&quot;005D4AF4&quot;/&gt;&lt;wsp:rsid wsp:val=&quot;005D4B83&quot;/&gt;&lt;wsp:rsid wsp:val=&quot;005D4BAC&quot;/&gt;&lt;wsp:rsid wsp:val=&quot;005D4CCB&quot;/&gt;&lt;wsp:rsid wsp:val=&quot;005D51AD&quot;/&gt;&lt;wsp:rsid wsp:val=&quot;005D5B11&quot;/&gt;&lt;wsp:rsid wsp:val=&quot;005D5E04&quot;/&gt;&lt;wsp:rsid wsp:val=&quot;005D6865&quot;/&gt;&lt;wsp:rsid wsp:val=&quot;005D68DC&quot;/&gt;&lt;wsp:rsid wsp:val=&quot;005D69CD&quot;/&gt;&lt;wsp:rsid wsp:val=&quot;005D6BF7&quot;/&gt;&lt;wsp:rsid wsp:val=&quot;005D6D08&quot;/&gt;&lt;wsp:rsid wsp:val=&quot;005D6F58&quot;/&gt;&lt;wsp:rsid wsp:val=&quot;005D72C6&quot;/&gt;&lt;wsp:rsid wsp:val=&quot;005D7728&quot;/&gt;&lt;wsp:rsid wsp:val=&quot;005D7B70&quot;/&gt;&lt;wsp:rsid wsp:val=&quot;005D7CF2&quot;/&gt;&lt;wsp:rsid wsp:val=&quot;005E02A5&quot;/&gt;&lt;wsp:rsid wsp:val=&quot;005E066D&quot;/&gt;&lt;wsp:rsid wsp:val=&quot;005E07B0&quot;/&gt;&lt;wsp:rsid wsp:val=&quot;005E08D6&quot;/&gt;&lt;wsp:rsid wsp:val=&quot;005E0C87&quot;/&gt;&lt;wsp:rsid wsp:val=&quot;005E0CB6&quot;/&gt;&lt;wsp:rsid wsp:val=&quot;005E0FB5&quot;/&gt;&lt;wsp:rsid wsp:val=&quot;005E11CF&quot;/&gt;&lt;wsp:rsid wsp:val=&quot;005E12AB&quot;/&gt;&lt;wsp:rsid wsp:val=&quot;005E12B1&quot;/&gt;&lt;wsp:rsid wsp:val=&quot;005E1470&quot;/&gt;&lt;wsp:rsid wsp:val=&quot;005E149E&quot;/&gt;&lt;wsp:rsid wsp:val=&quot;005E1ECD&quot;/&gt;&lt;wsp:rsid wsp:val=&quot;005E20B7&quot;/&gt;&lt;wsp:rsid wsp:val=&quot;005E21CD&quot;/&gt;&lt;wsp:rsid wsp:val=&quot;005E29AA&quot;/&gt;&lt;wsp:rsid wsp:val=&quot;005E2A00&quot;/&gt;&lt;wsp:rsid wsp:val=&quot;005E39B2&quot;/&gt;&lt;wsp:rsid wsp:val=&quot;005E3CC1&quot;/&gt;&lt;wsp:rsid wsp:val=&quot;005E3F77&quot;/&gt;&lt;wsp:rsid wsp:val=&quot;005E44FA&quot;/&gt;&lt;wsp:rsid wsp:val=&quot;005E4AD3&quot;/&gt;&lt;wsp:rsid wsp:val=&quot;005E4FC9&quot;/&gt;&lt;wsp:rsid wsp:val=&quot;005E518D&quot;/&gt;&lt;wsp:rsid wsp:val=&quot;005E51FE&quot;/&gt;&lt;wsp:rsid wsp:val=&quot;005E541D&quot;/&gt;&lt;wsp:rsid wsp:val=&quot;005E6026&quot;/&gt;&lt;wsp:rsid wsp:val=&quot;005E6678&quot;/&gt;&lt;wsp:rsid wsp:val=&quot;005E6805&quot;/&gt;&lt;wsp:rsid wsp:val=&quot;005E6B35&quot;/&gt;&lt;wsp:rsid wsp:val=&quot;005E6D87&quot;/&gt;&lt;wsp:rsid wsp:val=&quot;005E718A&quot;/&gt;&lt;wsp:rsid wsp:val=&quot;005E7278&quot;/&gt;&lt;wsp:rsid wsp:val=&quot;005E73B5&quot;/&gt;&lt;wsp:rsid wsp:val=&quot;005E7724&quot;/&gt;&lt;wsp:rsid wsp:val=&quot;005E7753&quot;/&gt;&lt;wsp:rsid wsp:val=&quot;005E780A&quot;/&gt;&lt;wsp:rsid wsp:val=&quot;005E7D5E&quot;/&gt;&lt;wsp:rsid wsp:val=&quot;005E7F26&quot;/&gt;&lt;wsp:rsid wsp:val=&quot;005E7F7D&quot;/&gt;&lt;wsp:rsid wsp:val=&quot;005E7FCC&quot;/&gt;&lt;wsp:rsid wsp:val=&quot;005F0579&quot;/&gt;&lt;wsp:rsid wsp:val=&quot;005F0589&quot;/&gt;&lt;wsp:rsid wsp:val=&quot;005F092D&quot;/&gt;&lt;wsp:rsid wsp:val=&quot;005F09C4&quot;/&gt;&lt;wsp:rsid wsp:val=&quot;005F0A2B&quot;/&gt;&lt;wsp:rsid wsp:val=&quot;005F1406&quot;/&gt;&lt;wsp:rsid wsp:val=&quot;005F1444&quot;/&gt;&lt;wsp:rsid wsp:val=&quot;005F19EB&quot;/&gt;&lt;wsp:rsid wsp:val=&quot;005F1DBA&quot;/&gt;&lt;wsp:rsid wsp:val=&quot;005F21C6&quot;/&gt;&lt;wsp:rsid wsp:val=&quot;005F2240&quot;/&gt;&lt;wsp:rsid wsp:val=&quot;005F2482&quot;/&gt;&lt;wsp:rsid wsp:val=&quot;005F2843&quot;/&gt;&lt;wsp:rsid wsp:val=&quot;005F3A48&quot;/&gt;&lt;wsp:rsid wsp:val=&quot;005F3B32&quot;/&gt;&lt;wsp:rsid wsp:val=&quot;005F3CE2&quot;/&gt;&lt;wsp:rsid wsp:val=&quot;005F4064&quot;/&gt;&lt;wsp:rsid wsp:val=&quot;005F4875&quot;/&gt;&lt;wsp:rsid wsp:val=&quot;005F531B&quot;/&gt;&lt;wsp:rsid wsp:val=&quot;005F5794&quot;/&gt;&lt;wsp:rsid wsp:val=&quot;005F5E3B&quot;/&gt;&lt;wsp:rsid wsp:val=&quot;005F66D2&quot;/&gt;&lt;wsp:rsid wsp:val=&quot;005F6859&quot;/&gt;&lt;wsp:rsid wsp:val=&quot;005F6AC9&quot;/&gt;&lt;wsp:rsid wsp:val=&quot;005F6B62&quot;/&gt;&lt;wsp:rsid wsp:val=&quot;005F714D&quot;/&gt;&lt;wsp:rsid wsp:val=&quot;005F7208&quot;/&gt;&lt;wsp:rsid wsp:val=&quot;005F7655&quot;/&gt;&lt;wsp:rsid wsp:val=&quot;005F78C9&quot;/&gt;&lt;wsp:rsid wsp:val=&quot;005F78DB&quot;/&gt;&lt;wsp:rsid wsp:val=&quot;005F79CA&quot;/&gt;&lt;wsp:rsid wsp:val=&quot;005F7A86&quot;/&gt;&lt;wsp:rsid wsp:val=&quot;005F7CC1&quot;/&gt;&lt;wsp:rsid wsp:val=&quot;00600930&quot;/&gt;&lt;wsp:rsid wsp:val=&quot;00600950&quot;/&gt;&lt;wsp:rsid wsp:val=&quot;00600BCC&quot;/&gt;&lt;wsp:rsid wsp:val=&quot;006013E0&quot;/&gt;&lt;wsp:rsid wsp:val=&quot;006016CC&quot;/&gt;&lt;wsp:rsid wsp:val=&quot;006017A0&quot;/&gt;&lt;wsp:rsid wsp:val=&quot;00601803&quot;/&gt;&lt;wsp:rsid wsp:val=&quot;00601E47&quot;/&gt;&lt;wsp:rsid wsp:val=&quot;0060215F&quot;/&gt;&lt;wsp:rsid wsp:val=&quot;00602662&quot;/&gt;&lt;wsp:rsid wsp:val=&quot;00602692&quot;/&gt;&lt;wsp:rsid wsp:val=&quot;00602DBF&quot;/&gt;&lt;wsp:rsid wsp:val=&quot;0060343D&quot;/&gt;&lt;wsp:rsid wsp:val=&quot;00603443&quot;/&gt;&lt;wsp:rsid wsp:val=&quot;0060380F&quot;/&gt;&lt;wsp:rsid wsp:val=&quot;00603D72&quot;/&gt;&lt;wsp:rsid wsp:val=&quot;006041F4&quot;/&gt;&lt;wsp:rsid wsp:val=&quot;00604A70&quot;/&gt;&lt;wsp:rsid wsp:val=&quot;00604F77&quot;/&gt;&lt;wsp:rsid wsp:val=&quot;00605312&quot;/&gt;&lt;wsp:rsid wsp:val=&quot;006053FA&quot;/&gt;&lt;wsp:rsid wsp:val=&quot;00605497&quot;/&gt;&lt;wsp:rsid wsp:val=&quot;0060579C&quot;/&gt;&lt;wsp:rsid wsp:val=&quot;0060599D&quot;/&gt;&lt;wsp:rsid wsp:val=&quot;00605AC6&quot;/&gt;&lt;wsp:rsid wsp:val=&quot;00605F21&quot;/&gt;&lt;wsp:rsid wsp:val=&quot;00605FD5&quot;/&gt;&lt;wsp:rsid wsp:val=&quot;00606495&quot;/&gt;&lt;wsp:rsid wsp:val=&quot;0060692A&quot;/&gt;&lt;wsp:rsid wsp:val=&quot;00606C67&quot;/&gt;&lt;wsp:rsid wsp:val=&quot;00606D91&quot;/&gt;&lt;wsp:rsid wsp:val=&quot;00606EE9&quot;/&gt;&lt;wsp:rsid wsp:val=&quot;006071F8&quot;/&gt;&lt;wsp:rsid wsp:val=&quot;0060750E&quot;/&gt;&lt;wsp:rsid wsp:val=&quot;0060760E&quot;/&gt;&lt;wsp:rsid wsp:val=&quot;00607D2A&quot;/&gt;&lt;wsp:rsid wsp:val=&quot;006104A0&quot;/&gt;&lt;wsp:rsid wsp:val=&quot;006104C4&quot;/&gt;&lt;wsp:rsid wsp:val=&quot;00610B4F&quot;/&gt;&lt;wsp:rsid wsp:val=&quot;00610B60&quot;/&gt;&lt;wsp:rsid wsp:val=&quot;00610DED&quot;/&gt;&lt;wsp:rsid wsp:val=&quot;006110B1&quot;/&gt;&lt;wsp:rsid wsp:val=&quot;006117EC&quot;/&gt;&lt;wsp:rsid wsp:val=&quot;006119F6&quot;/&gt;&lt;wsp:rsid wsp:val=&quot;00611AD8&quot;/&gt;&lt;wsp:rsid wsp:val=&quot;00611BE2&quot;/&gt;&lt;wsp:rsid wsp:val=&quot;00611D1C&quot;/&gt;&lt;wsp:rsid wsp:val=&quot;00611FBB&quot;/&gt;&lt;wsp:rsid wsp:val=&quot;0061247F&quot;/&gt;&lt;wsp:rsid wsp:val=&quot;00612698&quot;/&gt;&lt;wsp:rsid wsp:val=&quot;00612D04&quot;/&gt;&lt;wsp:rsid wsp:val=&quot;00612D9D&quot;/&gt;&lt;wsp:rsid wsp:val=&quot;00612F3C&quot;/&gt;&lt;wsp:rsid wsp:val=&quot;00613568&quot;/&gt;&lt;wsp:rsid wsp:val=&quot;00613A58&quot;/&gt;&lt;wsp:rsid wsp:val=&quot;00614164&quot;/&gt;&lt;wsp:rsid wsp:val=&quot;00614DB8&quot;/&gt;&lt;wsp:rsid wsp:val=&quot;0061523E&quot;/&gt;&lt;wsp:rsid wsp:val=&quot;006155C4&quot;/&gt;&lt;wsp:rsid wsp:val=&quot;006157DD&quot;/&gt;&lt;wsp:rsid wsp:val=&quot;00615934&quot;/&gt;&lt;wsp:rsid wsp:val=&quot;0061673B&quot;/&gt;&lt;wsp:rsid wsp:val=&quot;0061748C&quot;/&gt;&lt;wsp:rsid wsp:val=&quot;006175A1&quot;/&gt;&lt;wsp:rsid wsp:val=&quot;00617905&quot;/&gt;&lt;wsp:rsid wsp:val=&quot;0062018E&quot;/&gt;&lt;wsp:rsid wsp:val=&quot;0062025C&quot;/&gt;&lt;wsp:rsid wsp:val=&quot;0062098F&quot;/&gt;&lt;wsp:rsid wsp:val=&quot;006209F6&quot;/&gt;&lt;wsp:rsid wsp:val=&quot;00620B1B&quot;/&gt;&lt;wsp:rsid wsp:val=&quot;0062139E&quot;/&gt;&lt;wsp:rsid wsp:val=&quot;00621405&quot;/&gt;&lt;wsp:rsid wsp:val=&quot;00621469&quot;/&gt;&lt;wsp:rsid wsp:val=&quot;006217A3&quot;/&gt;&lt;wsp:rsid wsp:val=&quot;00621D04&quot;/&gt;&lt;wsp:rsid wsp:val=&quot;00621EF6&quot;/&gt;&lt;wsp:rsid wsp:val=&quot;0062218E&quot;/&gt;&lt;wsp:rsid wsp:val=&quot;006223C5&quot;/&gt;&lt;wsp:rsid wsp:val=&quot;006226D9&quot;/&gt;&lt;wsp:rsid wsp:val=&quot;006227A3&quot;/&gt;&lt;wsp:rsid wsp:val=&quot;00622857&quot;/&gt;&lt;wsp:rsid wsp:val=&quot;00622DDC&quot;/&gt;&lt;wsp:rsid wsp:val=&quot;00622F55&quot;/&gt;&lt;wsp:rsid wsp:val=&quot;0062392F&quot;/&gt;&lt;wsp:rsid wsp:val=&quot;00623AEA&quot;/&gt;&lt;wsp:rsid wsp:val=&quot;00623EF3&quot;/&gt;&lt;wsp:rsid wsp:val=&quot;0062407A&quot;/&gt;&lt;wsp:rsid wsp:val=&quot;006242F0&quot;/&gt;&lt;wsp:rsid wsp:val=&quot;006243EC&quot;/&gt;&lt;wsp:rsid wsp:val=&quot;006245DD&quot;/&gt;&lt;wsp:rsid wsp:val=&quot;00624D61&quot;/&gt;&lt;wsp:rsid wsp:val=&quot;00624FA7&quot;/&gt;&lt;wsp:rsid wsp:val=&quot;0062577F&quot;/&gt;&lt;wsp:rsid wsp:val=&quot;006259EC&quot;/&gt;&lt;wsp:rsid wsp:val=&quot;00625B1E&quot;/&gt;&lt;wsp:rsid wsp:val=&quot;00625CD1&quot;/&gt;&lt;wsp:rsid wsp:val=&quot;0062612E&quot;/&gt;&lt;wsp:rsid wsp:val=&quot;0062615D&quot;/&gt;&lt;wsp:rsid wsp:val=&quot;00626276&quot;/&gt;&lt;wsp:rsid wsp:val=&quot;006264D5&quot;/&gt;&lt;wsp:rsid wsp:val=&quot;0062667D&quot;/&gt;&lt;wsp:rsid wsp:val=&quot;006267E9&quot;/&gt;&lt;wsp:rsid wsp:val=&quot;00626876&quot;/&gt;&lt;wsp:rsid wsp:val=&quot;00626F72&quot;/&gt;&lt;wsp:rsid wsp:val=&quot;00626FE3&quot;/&gt;&lt;wsp:rsid wsp:val=&quot;006270E2&quot;/&gt;&lt;wsp:rsid wsp:val=&quot;0062713D&quot;/&gt;&lt;wsp:rsid wsp:val=&quot;00627332&quot;/&gt;&lt;wsp:rsid wsp:val=&quot;006278BC&quot;/&gt;&lt;wsp:rsid wsp:val=&quot;00627A09&quot;/&gt;&lt;wsp:rsid wsp:val=&quot;00627DE4&quot;/&gt;&lt;wsp:rsid wsp:val=&quot;006300A5&quot;/&gt;&lt;wsp:rsid wsp:val=&quot;0063069B&quot;/&gt;&lt;wsp:rsid wsp:val=&quot;00630CE0&quot;/&gt;&lt;wsp:rsid wsp:val=&quot;00631241&quot;/&gt;&lt;wsp:rsid wsp:val=&quot;00631489&quot;/&gt;&lt;wsp:rsid wsp:val=&quot;00631D68&quot;/&gt;&lt;wsp:rsid wsp:val=&quot;0063235E&quot;/&gt;&lt;wsp:rsid wsp:val=&quot;00632421&quot;/&gt;&lt;wsp:rsid wsp:val=&quot;00632AE3&quot;/&gt;&lt;wsp:rsid wsp:val=&quot;00632D4E&quot;/&gt;&lt;wsp:rsid wsp:val=&quot;0063345C&quot;/&gt;&lt;wsp:rsid wsp:val=&quot;00633EC5&quot;/&gt;&lt;wsp:rsid wsp:val=&quot;00634545&quot;/&gt;&lt;wsp:rsid wsp:val=&quot;00635069&quot;/&gt;&lt;wsp:rsid wsp:val=&quot;006350B5&quot;/&gt;&lt;wsp:rsid wsp:val=&quot;0063528A&quot;/&gt;&lt;wsp:rsid wsp:val=&quot;0063595F&quot;/&gt;&lt;wsp:rsid wsp:val=&quot;0063596B&quot;/&gt;&lt;wsp:rsid wsp:val=&quot;00635AB7&quot;/&gt;&lt;wsp:rsid wsp:val=&quot;00635EFC&quot;/&gt;&lt;wsp:rsid wsp:val=&quot;00635F4D&quot;/&gt;&lt;wsp:rsid wsp:val=&quot;006360FC&quot;/&gt;&lt;wsp:rsid wsp:val=&quot;006363B0&quot;/&gt;&lt;wsp:rsid wsp:val=&quot;0063654F&quot;/&gt;&lt;wsp:rsid wsp:val=&quot;006369F7&quot;/&gt;&lt;wsp:rsid wsp:val=&quot;00636BE0&quot;/&gt;&lt;wsp:rsid wsp:val=&quot;0063749D&quot;/&gt;&lt;wsp:rsid wsp:val=&quot;0063771D&quot;/&gt;&lt;wsp:rsid wsp:val=&quot;0063795F&quot;/&gt;&lt;wsp:rsid wsp:val=&quot;00637F48&quot;/&gt;&lt;wsp:rsid wsp:val=&quot;00640631&quot;/&gt;&lt;wsp:rsid wsp:val=&quot;00640A8C&quot;/&gt;&lt;wsp:rsid wsp:val=&quot;00640D8C&quot;/&gt;&lt;wsp:rsid wsp:val=&quot;00641490&quot;/&gt;&lt;wsp:rsid wsp:val=&quot;0064184F&quot;/&gt;&lt;wsp:rsid wsp:val=&quot;00641B62&quot;/&gt;&lt;wsp:rsid wsp:val=&quot;00641E49&quot;/&gt;&lt;wsp:rsid wsp:val=&quot;006420AF&quot;/&gt;&lt;wsp:rsid wsp:val=&quot;00642223&quot;/&gt;&lt;wsp:rsid wsp:val=&quot;0064262B&quot;/&gt;&lt;wsp:rsid wsp:val=&quot;00642A27&quot;/&gt;&lt;wsp:rsid wsp:val=&quot;00642B8A&quot;/&gt;&lt;wsp:rsid wsp:val=&quot;00642ECC&quot;/&gt;&lt;wsp:rsid wsp:val=&quot;006431C3&quot;/&gt;&lt;wsp:rsid wsp:val=&quot;006431DB&quot;/&gt;&lt;wsp:rsid wsp:val=&quot;00643392&quot;/&gt;&lt;wsp:rsid wsp:val=&quot;00643447&quot;/&gt;&lt;wsp:rsid wsp:val=&quot;00643462&quot;/&gt;&lt;wsp:rsid wsp:val=&quot;006437F1&quot;/&gt;&lt;wsp:rsid wsp:val=&quot;00643E5F&quot;/&gt;&lt;wsp:rsid wsp:val=&quot;00643F90&quot;/&gt;&lt;wsp:rsid wsp:val=&quot;0064437A&quot;/&gt;&lt;wsp:rsid wsp:val=&quot;00644513&quot;/&gt;&lt;wsp:rsid wsp:val=&quot;00644784&quot;/&gt;&lt;wsp:rsid wsp:val=&quot;00644BFD&quot;/&gt;&lt;wsp:rsid wsp:val=&quot;00645728&quot;/&gt;&lt;wsp:rsid wsp:val=&quot;00645C8E&quot;/&gt;&lt;wsp:rsid wsp:val=&quot;00645FC2&quot;/&gt;&lt;wsp:rsid wsp:val=&quot;00646136&quot;/&gt;&lt;wsp:rsid wsp:val=&quot;0064614D&quot;/&gt;&lt;wsp:rsid wsp:val=&quot;00646159&quot;/&gt;&lt;wsp:rsid wsp:val=&quot;00646ADF&quot;/&gt;&lt;wsp:rsid wsp:val=&quot;00646E98&quot;/&gt;&lt;wsp:rsid wsp:val=&quot;006470E8&quot;/&gt;&lt;wsp:rsid wsp:val=&quot;006471AA&quot;/&gt;&lt;wsp:rsid wsp:val=&quot;0064762B&quot;/&gt;&lt;wsp:rsid wsp:val=&quot;006479FB&quot;/&gt;&lt;wsp:rsid wsp:val=&quot;00647F4E&quot;/&gt;&lt;wsp:rsid wsp:val=&quot;00650673&quot;/&gt;&lt;wsp:rsid wsp:val=&quot;006507BF&quot;/&gt;&lt;wsp:rsid wsp:val=&quot;006509FC&quot;/&gt;&lt;wsp:rsid wsp:val=&quot;00650D4F&quot;/&gt;&lt;wsp:rsid wsp:val=&quot;00650E1F&quot;/&gt;&lt;wsp:rsid wsp:val=&quot;00650F51&quot;/&gt;&lt;wsp:rsid wsp:val=&quot;006510CD&quot;/&gt;&lt;wsp:rsid wsp:val=&quot;00651160&quot;/&gt;&lt;wsp:rsid wsp:val=&quot;0065129C&quot;/&gt;&lt;wsp:rsid wsp:val=&quot;0065174F&quot;/&gt;&lt;wsp:rsid wsp:val=&quot;00651803&quot;/&gt;&lt;wsp:rsid wsp:val=&quot;00651979&quot;/&gt;&lt;wsp:rsid wsp:val=&quot;00651A8A&quot;/&gt;&lt;wsp:rsid wsp:val=&quot;00652017&quot;/&gt;&lt;wsp:rsid wsp:val=&quot;0065251B&quot;/&gt;&lt;wsp:rsid wsp:val=&quot;00652ADE&quot;/&gt;&lt;wsp:rsid wsp:val=&quot;0065368B&quot;/&gt;&lt;wsp:rsid wsp:val=&quot;006537C8&quot;/&gt;&lt;wsp:rsid wsp:val=&quot;00653AEB&quot;/&gt;&lt;wsp:rsid wsp:val=&quot;00654161&quot;/&gt;&lt;wsp:rsid wsp:val=&quot;006543DB&quot;/&gt;&lt;wsp:rsid wsp:val=&quot;00654CE5&quot;/&gt;&lt;wsp:rsid wsp:val=&quot;00654D86&quot;/&gt;&lt;wsp:rsid wsp:val=&quot;006551F9&quot;/&gt;&lt;wsp:rsid wsp:val=&quot;0065540E&quot;/&gt;&lt;wsp:rsid wsp:val=&quot;006559B0&quot;/&gt;&lt;wsp:rsid wsp:val=&quot;006561C5&quot;/&gt;&lt;wsp:rsid wsp:val=&quot;0065623A&quot;/&gt;&lt;wsp:rsid wsp:val=&quot;00656A16&quot;/&gt;&lt;wsp:rsid wsp:val=&quot;00656C07&quot;/&gt;&lt;wsp:rsid wsp:val=&quot;00657224&quot;/&gt;&lt;wsp:rsid wsp:val=&quot;00657298&quot;/&gt;&lt;wsp:rsid wsp:val=&quot;00657E13&quot;/&gt;&lt;wsp:rsid wsp:val=&quot;00660129&quot;/&gt;&lt;wsp:rsid wsp:val=&quot;006602A5&quot;/&gt;&lt;wsp:rsid wsp:val=&quot;00660EA0&quot;/&gt;&lt;wsp:rsid wsp:val=&quot;00660EB5&quot;/&gt;&lt;wsp:rsid wsp:val=&quot;00660F1A&quot;/&gt;&lt;wsp:rsid wsp:val=&quot;00661281&quot;/&gt;&lt;wsp:rsid wsp:val=&quot;006614BB&quot;/&gt;&lt;wsp:rsid wsp:val=&quot;00661BAE&quot;/&gt;&lt;wsp:rsid wsp:val=&quot;00661D4C&quot;/&gt;&lt;wsp:rsid wsp:val=&quot;00661F6A&quot;/&gt;&lt;wsp:rsid wsp:val=&quot;00662647&quot;/&gt;&lt;wsp:rsid wsp:val=&quot;006627B8&quot;/&gt;&lt;wsp:rsid wsp:val=&quot;00662857&quot;/&gt;&lt;wsp:rsid wsp:val=&quot;00662971&quot;/&gt;&lt;wsp:rsid wsp:val=&quot;00662B06&quot;/&gt;&lt;wsp:rsid wsp:val=&quot;00662FAB&quot;/&gt;&lt;wsp:rsid wsp:val=&quot;006632F3&quot;/&gt;&lt;wsp:rsid wsp:val=&quot;006638BE&quot;/&gt;&lt;wsp:rsid wsp:val=&quot;00663B1D&quot;/&gt;&lt;wsp:rsid wsp:val=&quot;00663C31&quot;/&gt;&lt;wsp:rsid wsp:val=&quot;00663C78&quot;/&gt;&lt;wsp:rsid wsp:val=&quot;00663F87&quot;/&gt;&lt;wsp:rsid wsp:val=&quot;00663FF8&quot;/&gt;&lt;wsp:rsid wsp:val=&quot;00664239&quot;/&gt;&lt;wsp:rsid wsp:val=&quot;006642D3&quot;/&gt;&lt;wsp:rsid wsp:val=&quot;006648F8&quot;/&gt;&lt;wsp:rsid wsp:val=&quot;00664930&quot;/&gt;&lt;wsp:rsid wsp:val=&quot;00664A22&quot;/&gt;&lt;wsp:rsid wsp:val=&quot;00664AF8&quot;/&gt;&lt;wsp:rsid wsp:val=&quot;00665012&quot;/&gt;&lt;wsp:rsid wsp:val=&quot;006651FC&quot;/&gt;&lt;wsp:rsid wsp:val=&quot;00665343&quot;/&gt;&lt;wsp:rsid wsp:val=&quot;006655AD&quot;/&gt;&lt;wsp:rsid wsp:val=&quot;006659B7&quot;/&gt;&lt;wsp:rsid wsp:val=&quot;00665B99&quot;/&gt;&lt;wsp:rsid wsp:val=&quot;00666106&quot;/&gt;&lt;wsp:rsid wsp:val=&quot;006662AF&quot;/&gt;&lt;wsp:rsid wsp:val=&quot;0066679D&quot;/&gt;&lt;wsp:rsid wsp:val=&quot;00666B4F&quot;/&gt;&lt;wsp:rsid wsp:val=&quot;00666FA8&quot;/&gt;&lt;wsp:rsid wsp:val=&quot;00667403&quot;/&gt;&lt;wsp:rsid wsp:val=&quot;0066746B&quot;/&gt;&lt;wsp:rsid wsp:val=&quot;006676C5&quot;/&gt;&lt;wsp:rsid wsp:val=&quot;00667AA9&quot;/&gt;&lt;wsp:rsid wsp:val=&quot;00670520&quot;/&gt;&lt;wsp:rsid wsp:val=&quot;006706ED&quot;/&gt;&lt;wsp:rsid wsp:val=&quot;00670865&quot;/&gt;&lt;wsp:rsid wsp:val=&quot;006709EE&quot;/&gt;&lt;wsp:rsid wsp:val=&quot;00670FD3&quot;/&gt;&lt;wsp:rsid wsp:val=&quot;006711C3&quot;/&gt;&lt;wsp:rsid wsp:val=&quot;006714A8&quot;/&gt;&lt;wsp:rsid wsp:val=&quot;006715FA&quot;/&gt;&lt;wsp:rsid wsp:val=&quot;006717A7&quot;/&gt;&lt;wsp:rsid wsp:val=&quot;00671BEC&quot;/&gt;&lt;wsp:rsid wsp:val=&quot;00671C9B&quot;/&gt;&lt;wsp:rsid wsp:val=&quot;00671D4A&quot;/&gt;&lt;wsp:rsid wsp:val=&quot;00672310&quot;/&gt;&lt;wsp:rsid wsp:val=&quot;006723C1&quot;/&gt;&lt;wsp:rsid wsp:val=&quot;006726C5&quot;/&gt;&lt;wsp:rsid wsp:val=&quot;006728DA&quot;/&gt;&lt;wsp:rsid wsp:val=&quot;00672995&quot;/&gt;&lt;wsp:rsid wsp:val=&quot;00672ADD&quot;/&gt;&lt;wsp:rsid wsp:val=&quot;00672BA9&quot;/&gt;&lt;wsp:rsid wsp:val=&quot;00672CCB&quot;/&gt;&lt;wsp:rsid wsp:val=&quot;00672CF8&quot;/&gt;&lt;wsp:rsid wsp:val=&quot;00673040&quot;/&gt;&lt;wsp:rsid wsp:val=&quot;00673567&quot;/&gt;&lt;wsp:rsid wsp:val=&quot;00673DF6&quot;/&gt;&lt;wsp:rsid wsp:val=&quot;00673E3B&quot;/&gt;&lt;wsp:rsid wsp:val=&quot;00673EFD&quot;/&gt;&lt;wsp:rsid wsp:val=&quot;006741C6&quot;/&gt;&lt;wsp:rsid wsp:val=&quot;006742EE&quot;/&gt;&lt;wsp:rsid wsp:val=&quot;006746B9&quot;/&gt;&lt;wsp:rsid wsp:val=&quot;006746BC&quot;/&gt;&lt;wsp:rsid wsp:val=&quot;0067497C&quot;/&gt;&lt;wsp:rsid wsp:val=&quot;006749ED&quot;/&gt;&lt;wsp:rsid wsp:val=&quot;0067515D&quot;/&gt;&lt;wsp:rsid wsp:val=&quot;0067517C&quot;/&gt;&lt;wsp:rsid wsp:val=&quot;0067575D&quot;/&gt;&lt;wsp:rsid wsp:val=&quot;00675FE0&quot;/&gt;&lt;wsp:rsid wsp:val=&quot;00676050&quot;/&gt;&lt;wsp:rsid wsp:val=&quot;006763A3&quot;/&gt;&lt;wsp:rsid wsp:val=&quot;00676663&quot;/&gt;&lt;wsp:rsid wsp:val=&quot;006766B7&quot;/&gt;&lt;wsp:rsid wsp:val=&quot;006768A4&quot;/&gt;&lt;wsp:rsid wsp:val=&quot;00676C34&quot;/&gt;&lt;wsp:rsid wsp:val=&quot;00676E60&quot;/&gt;&lt;wsp:rsid wsp:val=&quot;00677122&quot;/&gt;&lt;wsp:rsid wsp:val=&quot;0067743C&quot;/&gt;&lt;wsp:rsid wsp:val=&quot;006779D8&quot;/&gt;&lt;wsp:rsid wsp:val=&quot;00677A34&quot;/&gt;&lt;wsp:rsid wsp:val=&quot;00677B37&quot;/&gt;&lt;wsp:rsid wsp:val=&quot;00677DEB&quot;/&gt;&lt;wsp:rsid wsp:val=&quot;00680488&quot;/&gt;&lt;wsp:rsid wsp:val=&quot;00680574&quot;/&gt;&lt;wsp:rsid wsp:val=&quot;006805C0&quot;/&gt;&lt;wsp:rsid wsp:val=&quot;00680663&quot;/&gt;&lt;wsp:rsid wsp:val=&quot;00680F3C&quot;/&gt;&lt;wsp:rsid wsp:val=&quot;0068127D&quot;/&gt;&lt;wsp:rsid wsp:val=&quot;00681DBF&quot;/&gt;&lt;wsp:rsid wsp:val=&quot;00682184&quot;/&gt;&lt;wsp:rsid wsp:val=&quot;006829F2&quot;/&gt;&lt;wsp:rsid wsp:val=&quot;0068310B&quot;/&gt;&lt;wsp:rsid wsp:val=&quot;00683281&quot;/&gt;&lt;wsp:rsid wsp:val=&quot;0068357D&quot;/&gt;&lt;wsp:rsid wsp:val=&quot;006835C7&quot;/&gt;&lt;wsp:rsid wsp:val=&quot;00683A27&quot;/&gt;&lt;wsp:rsid wsp:val=&quot;00683AB8&quot;/&gt;&lt;wsp:rsid wsp:val=&quot;00684040&quot;/&gt;&lt;wsp:rsid wsp:val=&quot;0068404B&quot;/&gt;&lt;wsp:rsid wsp:val=&quot;0068405C&quot;/&gt;&lt;wsp:rsid wsp:val=&quot;006841EF&quot;/&gt;&lt;wsp:rsid wsp:val=&quot;006843AB&quot;/&gt;&lt;wsp:rsid wsp:val=&quot;0068457A&quot;/&gt;&lt;wsp:rsid wsp:val=&quot;0068460D&quot;/&gt;&lt;wsp:rsid wsp:val=&quot;0068515F&quot;/&gt;&lt;wsp:rsid wsp:val=&quot;00685188&quot;/&gt;&lt;wsp:rsid wsp:val=&quot;006858CE&quot;/&gt;&lt;wsp:rsid wsp:val=&quot;006859F6&quot;/&gt;&lt;wsp:rsid wsp:val=&quot;00685E06&quot;/&gt;&lt;wsp:rsid wsp:val=&quot;00686281&quot;/&gt;&lt;wsp:rsid wsp:val=&quot;006862C0&quot;/&gt;&lt;wsp:rsid wsp:val=&quot;006862CD&quot;/&gt;&lt;wsp:rsid wsp:val=&quot;00686434&quot;/&gt;&lt;wsp:rsid wsp:val=&quot;00686967&quot;/&gt;&lt;wsp:rsid wsp:val=&quot;00686DF4&quot;/&gt;&lt;wsp:rsid wsp:val=&quot;00686EE2&quot;/&gt;&lt;wsp:rsid wsp:val=&quot;006872CF&quot;/&gt;&lt;wsp:rsid wsp:val=&quot;00687A8A&quot;/&gt;&lt;wsp:rsid wsp:val=&quot;00687BB3&quot;/&gt;&lt;wsp:rsid wsp:val=&quot;00687DDA&quot;/&gt;&lt;wsp:rsid wsp:val=&quot;00687F39&quot;/&gt;&lt;wsp:rsid wsp:val=&quot;006903A9&quot;/&gt;&lt;wsp:rsid wsp:val=&quot;00690466&quot;/&gt;&lt;wsp:rsid wsp:val=&quot;00690684&quot;/&gt;&lt;wsp:rsid wsp:val=&quot;00690D12&quot;/&gt;&lt;wsp:rsid wsp:val=&quot;00691069&quot;/&gt;&lt;wsp:rsid wsp:val=&quot;00691498&quot;/&gt;&lt;wsp:rsid wsp:val=&quot;0069193D&quot;/&gt;&lt;wsp:rsid wsp:val=&quot;00691A80&quot;/&gt;&lt;wsp:rsid wsp:val=&quot;00692016&quot;/&gt;&lt;wsp:rsid wsp:val=&quot;006922A3&quot;/&gt;&lt;wsp:rsid wsp:val=&quot;00692E59&quot;/&gt;&lt;wsp:rsid wsp:val=&quot;0069309E&quot;/&gt;&lt;wsp:rsid wsp:val=&quot;006930A2&quot;/&gt;&lt;wsp:rsid wsp:val=&quot;0069351F&quot;/&gt;&lt;wsp:rsid wsp:val=&quot;00693AD5&quot;/&gt;&lt;wsp:rsid wsp:val=&quot;00693C5D&quot;/&gt;&lt;wsp:rsid wsp:val=&quot;00694C29&quot;/&gt;&lt;wsp:rsid wsp:val=&quot;00695015&quot;/&gt;&lt;wsp:rsid wsp:val=&quot;00695334&quot;/&gt;&lt;wsp:rsid wsp:val=&quot;00695491&quot;/&gt;&lt;wsp:rsid wsp:val=&quot;006955E6&quot;/&gt;&lt;wsp:rsid wsp:val=&quot;00695B0C&quot;/&gt;&lt;wsp:rsid wsp:val=&quot;00695F3C&quot;/&gt;&lt;wsp:rsid wsp:val=&quot;0069625B&quot;/&gt;&lt;wsp:rsid wsp:val=&quot;00696525&quot;/&gt;&lt;wsp:rsid wsp:val=&quot;00696657&quot;/&gt;&lt;wsp:rsid wsp:val=&quot;006966BB&quot;/&gt;&lt;wsp:rsid wsp:val=&quot;00696F99&quot;/&gt;&lt;wsp:rsid wsp:val=&quot;00697280&quot;/&gt;&lt;wsp:rsid wsp:val=&quot;00697553&quot;/&gt;&lt;wsp:rsid wsp:val=&quot;00697731&quot;/&gt;&lt;wsp:rsid wsp:val=&quot;00697D69&quot;/&gt;&lt;wsp:rsid wsp:val=&quot;006A07B0&quot;/&gt;&lt;wsp:rsid wsp:val=&quot;006A0B33&quot;/&gt;&lt;wsp:rsid wsp:val=&quot;006A0D22&quot;/&gt;&lt;wsp:rsid wsp:val=&quot;006A0EE8&quot;/&gt;&lt;wsp:rsid wsp:val=&quot;006A10FD&quot;/&gt;&lt;wsp:rsid wsp:val=&quot;006A154A&quot;/&gt;&lt;wsp:rsid wsp:val=&quot;006A183A&quot;/&gt;&lt;wsp:rsid wsp:val=&quot;006A1BD3&quot;/&gt;&lt;wsp:rsid wsp:val=&quot;006A1F30&quot;/&gt;&lt;wsp:rsid wsp:val=&quot;006A1FCF&quot;/&gt;&lt;wsp:rsid wsp:val=&quot;006A24BD&quot;/&gt;&lt;wsp:rsid wsp:val=&quot;006A2538&quot;/&gt;&lt;wsp:rsid wsp:val=&quot;006A275F&quot;/&gt;&lt;wsp:rsid wsp:val=&quot;006A27D9&quot;/&gt;&lt;wsp:rsid wsp:val=&quot;006A2A5E&quot;/&gt;&lt;wsp:rsid wsp:val=&quot;006A2E58&quot;/&gt;&lt;wsp:rsid wsp:val=&quot;006A2E8D&quot;/&gt;&lt;wsp:rsid wsp:val=&quot;006A3080&quot;/&gt;&lt;wsp:rsid wsp:val=&quot;006A30B7&quot;/&gt;&lt;wsp:rsid wsp:val=&quot;006A3443&quot;/&gt;&lt;wsp:rsid wsp:val=&quot;006A350D&quot;/&gt;&lt;wsp:rsid wsp:val=&quot;006A376F&quot;/&gt;&lt;wsp:rsid wsp:val=&quot;006A3796&quot;/&gt;&lt;wsp:rsid wsp:val=&quot;006A37EF&quot;/&gt;&lt;wsp:rsid wsp:val=&quot;006A3D61&quot;/&gt;&lt;wsp:rsid wsp:val=&quot;006A3D77&quot;/&gt;&lt;wsp:rsid wsp:val=&quot;006A4B64&quot;/&gt;&lt;wsp:rsid wsp:val=&quot;006A4D14&quot;/&gt;&lt;wsp:rsid wsp:val=&quot;006A4E62&quot;/&gt;&lt;wsp:rsid wsp:val=&quot;006A4EB8&quot;/&gt;&lt;wsp:rsid wsp:val=&quot;006A4F4B&quot;/&gt;&lt;wsp:rsid wsp:val=&quot;006A5004&quot;/&gt;&lt;wsp:rsid wsp:val=&quot;006A53B7&quot;/&gt;&lt;wsp:rsid wsp:val=&quot;006A53F0&quot;/&gt;&lt;wsp:rsid wsp:val=&quot;006A5469&quot;/&gt;&lt;wsp:rsid wsp:val=&quot;006A58AA&quot;/&gt;&lt;wsp:rsid wsp:val=&quot;006A6045&quot;/&gt;&lt;wsp:rsid wsp:val=&quot;006A60ED&quot;/&gt;&lt;wsp:rsid wsp:val=&quot;006A68A8&quot;/&gt;&lt;wsp:rsid wsp:val=&quot;006A6A47&quot;/&gt;&lt;wsp:rsid wsp:val=&quot;006A6E30&quot;/&gt;&lt;wsp:rsid wsp:val=&quot;006A6FDC&quot;/&gt;&lt;wsp:rsid wsp:val=&quot;006A706A&quot;/&gt;&lt;wsp:rsid wsp:val=&quot;006A70D8&quot;/&gt;&lt;wsp:rsid wsp:val=&quot;006A76ED&quot;/&gt;&lt;wsp:rsid wsp:val=&quot;006A77CF&quot;/&gt;&lt;wsp:rsid wsp:val=&quot;006A7DEC&quot;/&gt;&lt;wsp:rsid wsp:val=&quot;006B02DE&quot;/&gt;&lt;wsp:rsid wsp:val=&quot;006B034F&quot;/&gt;&lt;wsp:rsid wsp:val=&quot;006B038A&quot;/&gt;&lt;wsp:rsid wsp:val=&quot;006B0F8C&quot;/&gt;&lt;wsp:rsid wsp:val=&quot;006B0FC1&quot;/&gt;&lt;wsp:rsid wsp:val=&quot;006B10BC&quot;/&gt;&lt;wsp:rsid wsp:val=&quot;006B13A5&quot;/&gt;&lt;wsp:rsid wsp:val=&quot;006B18F3&quot;/&gt;&lt;wsp:rsid wsp:val=&quot;006B1927&quot;/&gt;&lt;wsp:rsid wsp:val=&quot;006B1FBD&quot;/&gt;&lt;wsp:rsid wsp:val=&quot;006B259B&quot;/&gt;&lt;wsp:rsid wsp:val=&quot;006B2A8B&quot;/&gt;&lt;wsp:rsid wsp:val=&quot;006B2F9E&quot;/&gt;&lt;wsp:rsid wsp:val=&quot;006B322F&quot;/&gt;&lt;wsp:rsid wsp:val=&quot;006B33D4&quot;/&gt;&lt;wsp:rsid wsp:val=&quot;006B373C&quot;/&gt;&lt;wsp:rsid wsp:val=&quot;006B376E&quot;/&gt;&lt;wsp:rsid wsp:val=&quot;006B3792&quot;/&gt;&lt;wsp:rsid wsp:val=&quot;006B40BB&quot;/&gt;&lt;wsp:rsid wsp:val=&quot;006B40EE&quot;/&gt;&lt;wsp:rsid wsp:val=&quot;006B44A3&quot;/&gt;&lt;wsp:rsid wsp:val=&quot;006B474C&quot;/&gt;&lt;wsp:rsid wsp:val=&quot;006B49F4&quot;/&gt;&lt;wsp:rsid wsp:val=&quot;006B4AB7&quot;/&gt;&lt;wsp:rsid wsp:val=&quot;006B5043&quot;/&gt;&lt;wsp:rsid wsp:val=&quot;006B51AE&quot;/&gt;&lt;wsp:rsid wsp:val=&quot;006B530D&quot;/&gt;&lt;wsp:rsid wsp:val=&quot;006B53EE&quot;/&gt;&lt;wsp:rsid wsp:val=&quot;006B54D5&quot;/&gt;&lt;wsp:rsid wsp:val=&quot;006B595C&quot;/&gt;&lt;wsp:rsid wsp:val=&quot;006B5B02&quot;/&gt;&lt;wsp:rsid wsp:val=&quot;006B5B3E&quot;/&gt;&lt;wsp:rsid wsp:val=&quot;006B6138&quot;/&gt;&lt;wsp:rsid wsp:val=&quot;006B660F&quot;/&gt;&lt;wsp:rsid wsp:val=&quot;006B67A5&quot;/&gt;&lt;wsp:rsid wsp:val=&quot;006B69B9&quot;/&gt;&lt;wsp:rsid wsp:val=&quot;006B6A63&quot;/&gt;&lt;wsp:rsid wsp:val=&quot;006B6C85&quot;/&gt;&lt;wsp:rsid wsp:val=&quot;006B6ECE&quot;/&gt;&lt;wsp:rsid wsp:val=&quot;006B6F30&quot;/&gt;&lt;wsp:rsid wsp:val=&quot;006B76FD&quot;/&gt;&lt;wsp:rsid wsp:val=&quot;006B7AD4&quot;/&gt;&lt;wsp:rsid wsp:val=&quot;006C00BF&quot;/&gt;&lt;wsp:rsid wsp:val=&quot;006C0191&quot;/&gt;&lt;wsp:rsid wsp:val=&quot;006C01B1&quot;/&gt;&lt;wsp:rsid wsp:val=&quot;006C05C4&quot;/&gt;&lt;wsp:rsid wsp:val=&quot;006C062C&quot;/&gt;&lt;wsp:rsid wsp:val=&quot;006C0771&quot;/&gt;&lt;wsp:rsid wsp:val=&quot;006C1095&quot;/&gt;&lt;wsp:rsid wsp:val=&quot;006C12C6&quot;/&gt;&lt;wsp:rsid wsp:val=&quot;006C1522&quot;/&gt;&lt;wsp:rsid wsp:val=&quot;006C1ECD&quot;/&gt;&lt;wsp:rsid wsp:val=&quot;006C20A0&quot;/&gt;&lt;wsp:rsid wsp:val=&quot;006C2549&quot;/&gt;&lt;wsp:rsid wsp:val=&quot;006C254F&quot;/&gt;&lt;wsp:rsid wsp:val=&quot;006C2893&quot;/&gt;&lt;wsp:rsid wsp:val=&quot;006C2AA7&quot;/&gt;&lt;wsp:rsid wsp:val=&quot;006C2BEC&quot;/&gt;&lt;wsp:rsid wsp:val=&quot;006C33CE&quot;/&gt;&lt;wsp:rsid wsp:val=&quot;006C357C&quot;/&gt;&lt;wsp:rsid wsp:val=&quot;006C361E&quot;/&gt;&lt;wsp:rsid wsp:val=&quot;006C3ED3&quot;/&gt;&lt;wsp:rsid wsp:val=&quot;006C5141&quot;/&gt;&lt;wsp:rsid wsp:val=&quot;006C5191&quot;/&gt;&lt;wsp:rsid wsp:val=&quot;006C5F7C&quot;/&gt;&lt;wsp:rsid wsp:val=&quot;006C6093&quot;/&gt;&lt;wsp:rsid wsp:val=&quot;006C669D&quot;/&gt;&lt;wsp:rsid wsp:val=&quot;006C6EC7&quot;/&gt;&lt;wsp:rsid wsp:val=&quot;006C77A2&quot;/&gt;&lt;wsp:rsid wsp:val=&quot;006C7ABE&quot;/&gt;&lt;wsp:rsid wsp:val=&quot;006C7C3B&quot;/&gt;&lt;wsp:rsid wsp:val=&quot;006D0013&quot;/&gt;&lt;wsp:rsid wsp:val=&quot;006D081C&quot;/&gt;&lt;wsp:rsid wsp:val=&quot;006D15EF&quot;/&gt;&lt;wsp:rsid wsp:val=&quot;006D1757&quot;/&gt;&lt;wsp:rsid wsp:val=&quot;006D1C73&quot;/&gt;&lt;wsp:rsid wsp:val=&quot;006D1E4A&quot;/&gt;&lt;wsp:rsid wsp:val=&quot;006D209C&quot;/&gt;&lt;wsp:rsid wsp:val=&quot;006D226C&quot;/&gt;&lt;wsp:rsid wsp:val=&quot;006D26AD&quot;/&gt;&lt;wsp:rsid wsp:val=&quot;006D2947&quot;/&gt;&lt;wsp:rsid wsp:val=&quot;006D2A72&quot;/&gt;&lt;wsp:rsid wsp:val=&quot;006D2A7F&quot;/&gt;&lt;wsp:rsid wsp:val=&quot;006D2B78&quot;/&gt;&lt;wsp:rsid wsp:val=&quot;006D2E52&quot;/&gt;&lt;wsp:rsid wsp:val=&quot;006D36E8&quot;/&gt;&lt;wsp:rsid wsp:val=&quot;006D3E7D&quot;/&gt;&lt;wsp:rsid wsp:val=&quot;006D3F95&quot;/&gt;&lt;wsp:rsid wsp:val=&quot;006D410B&quot;/&gt;&lt;wsp:rsid wsp:val=&quot;006D43AB&quot;/&gt;&lt;wsp:rsid wsp:val=&quot;006D4695&quot;/&gt;&lt;wsp:rsid wsp:val=&quot;006D4746&quot;/&gt;&lt;wsp:rsid wsp:val=&quot;006D54A3&quot;/&gt;&lt;wsp:rsid wsp:val=&quot;006D54E8&quot;/&gt;&lt;wsp:rsid wsp:val=&quot;006D636C&quot;/&gt;&lt;wsp:rsid wsp:val=&quot;006D63D7&quot;/&gt;&lt;wsp:rsid wsp:val=&quot;006D685E&quot;/&gt;&lt;wsp:rsid wsp:val=&quot;006D68DB&quot;/&gt;&lt;wsp:rsid wsp:val=&quot;006D6A1E&quot;/&gt;&lt;wsp:rsid wsp:val=&quot;006D6C69&quot;/&gt;&lt;wsp:rsid wsp:val=&quot;006D6D66&quot;/&gt;&lt;wsp:rsid wsp:val=&quot;006D6EB7&quot;/&gt;&lt;wsp:rsid wsp:val=&quot;006D7689&quot;/&gt;&lt;wsp:rsid wsp:val=&quot;006E0634&quot;/&gt;&lt;wsp:rsid wsp:val=&quot;006E086C&quot;/&gt;&lt;wsp:rsid wsp:val=&quot;006E180D&quot;/&gt;&lt;wsp:rsid wsp:val=&quot;006E18EA&quot;/&gt;&lt;wsp:rsid wsp:val=&quot;006E1DFB&quot;/&gt;&lt;wsp:rsid wsp:val=&quot;006E1E8E&quot;/&gt;&lt;wsp:rsid wsp:val=&quot;006E26A7&quot;/&gt;&lt;wsp:rsid wsp:val=&quot;006E2832&quot;/&gt;&lt;wsp:rsid wsp:val=&quot;006E2EA0&quot;/&gt;&lt;wsp:rsid wsp:val=&quot;006E311D&quot;/&gt;&lt;wsp:rsid wsp:val=&quot;006E320C&quot;/&gt;&lt;wsp:rsid wsp:val=&quot;006E3245&quot;/&gt;&lt;wsp:rsid wsp:val=&quot;006E33A2&quot;/&gt;&lt;wsp:rsid wsp:val=&quot;006E35DA&quot;/&gt;&lt;wsp:rsid wsp:val=&quot;006E371D&quot;/&gt;&lt;wsp:rsid wsp:val=&quot;006E39D3&quot;/&gt;&lt;wsp:rsid wsp:val=&quot;006E3A49&quot;/&gt;&lt;wsp:rsid wsp:val=&quot;006E3C78&quot;/&gt;&lt;wsp:rsid wsp:val=&quot;006E41FB&quot;/&gt;&lt;wsp:rsid wsp:val=&quot;006E4295&quot;/&gt;&lt;wsp:rsid wsp:val=&quot;006E439A&quot;/&gt;&lt;wsp:rsid wsp:val=&quot;006E4844&quot;/&gt;&lt;wsp:rsid wsp:val=&quot;006E4B63&quot;/&gt;&lt;wsp:rsid wsp:val=&quot;006E4CD3&quot;/&gt;&lt;wsp:rsid wsp:val=&quot;006E4F57&quot;/&gt;&lt;wsp:rsid wsp:val=&quot;006E521E&quot;/&gt;&lt;wsp:rsid wsp:val=&quot;006E54C7&quot;/&gt;&lt;wsp:rsid wsp:val=&quot;006E58C0&quot;/&gt;&lt;wsp:rsid wsp:val=&quot;006E5A2F&quot;/&gt;&lt;wsp:rsid wsp:val=&quot;006E5A89&quot;/&gt;&lt;wsp:rsid wsp:val=&quot;006E5C7C&quot;/&gt;&lt;wsp:rsid wsp:val=&quot;006E5D25&quot;/&gt;&lt;wsp:rsid wsp:val=&quot;006E5D9B&quot;/&gt;&lt;wsp:rsid wsp:val=&quot;006E6D4F&quot;/&gt;&lt;wsp:rsid wsp:val=&quot;006E6D51&quot;/&gt;&lt;wsp:rsid wsp:val=&quot;006E6E20&quot;/&gt;&lt;wsp:rsid wsp:val=&quot;006E6E2A&quot;/&gt;&lt;wsp:rsid wsp:val=&quot;006E7567&quot;/&gt;&lt;wsp:rsid wsp:val=&quot;006F00AE&quot;/&gt;&lt;wsp:rsid wsp:val=&quot;006F07E7&quot;/&gt;&lt;wsp:rsid wsp:val=&quot;006F07E8&quot;/&gt;&lt;wsp:rsid wsp:val=&quot;006F0B29&quot;/&gt;&lt;wsp:rsid wsp:val=&quot;006F0BB2&quot;/&gt;&lt;wsp:rsid wsp:val=&quot;006F1257&quot;/&gt;&lt;wsp:rsid wsp:val=&quot;006F130F&quot;/&gt;&lt;wsp:rsid wsp:val=&quot;006F1669&quot;/&gt;&lt;wsp:rsid wsp:val=&quot;006F1828&quot;/&gt;&lt;wsp:rsid wsp:val=&quot;006F18DE&quot;/&gt;&lt;wsp:rsid wsp:val=&quot;006F1C57&quot;/&gt;&lt;wsp:rsid wsp:val=&quot;006F1E5F&quot;/&gt;&lt;wsp:rsid wsp:val=&quot;006F2839&quot;/&gt;&lt;wsp:rsid wsp:val=&quot;006F291C&quot;/&gt;&lt;wsp:rsid wsp:val=&quot;006F2D5F&quot;/&gt;&lt;wsp:rsid wsp:val=&quot;006F3637&quot;/&gt;&lt;wsp:rsid wsp:val=&quot;006F4419&quot;/&gt;&lt;wsp:rsid wsp:val=&quot;006F4495&quot;/&gt;&lt;wsp:rsid wsp:val=&quot;006F4E97&quot;/&gt;&lt;wsp:rsid wsp:val=&quot;006F5710&quot;/&gt;&lt;wsp:rsid wsp:val=&quot;006F5796&quot;/&gt;&lt;wsp:rsid wsp:val=&quot;006F5A23&quot;/&gt;&lt;wsp:rsid wsp:val=&quot;006F5D32&quot;/&gt;&lt;wsp:rsid wsp:val=&quot;006F5E6B&quot;/&gt;&lt;wsp:rsid wsp:val=&quot;006F5F7E&quot;/&gt;&lt;wsp:rsid wsp:val=&quot;006F61A7&quot;/&gt;&lt;wsp:rsid wsp:val=&quot;006F66DD&quot;/&gt;&lt;wsp:rsid wsp:val=&quot;006F6F6C&quot;/&gt;&lt;wsp:rsid wsp:val=&quot;006F74DE&quot;/&gt;&lt;wsp:rsid wsp:val=&quot;006F769C&quot;/&gt;&lt;wsp:rsid wsp:val=&quot;006F7778&quot;/&gt;&lt;wsp:rsid wsp:val=&quot;006F7CA7&quot;/&gt;&lt;wsp:rsid wsp:val=&quot;00700907&quot;/&gt;&lt;wsp:rsid wsp:val=&quot;00700C00&quot;/&gt;&lt;wsp:rsid wsp:val=&quot;00700D1A&quot;/&gt;&lt;wsp:rsid wsp:val=&quot;007013F4&quot;/&gt;&lt;wsp:rsid wsp:val=&quot;00701714&quot;/&gt;&lt;wsp:rsid wsp:val=&quot;007017F4&quot;/&gt;&lt;wsp:rsid wsp:val=&quot;00701BD4&quot;/&gt;&lt;wsp:rsid wsp:val=&quot;00701E52&quot;/&gt;&lt;wsp:rsid wsp:val=&quot;007020AC&quot;/&gt;&lt;wsp:rsid wsp:val=&quot;007027F1&quot;/&gt;&lt;wsp:rsid wsp:val=&quot;00702D57&quot;/&gt;&lt;wsp:rsid wsp:val=&quot;00702EDD&quot;/&gt;&lt;wsp:rsid wsp:val=&quot;00703226&quot;/&gt;&lt;wsp:rsid wsp:val=&quot;00703705&quot;/&gt;&lt;wsp:rsid wsp:val=&quot;0070387D&quot;/&gt;&lt;wsp:rsid wsp:val=&quot;00703A1B&quot;/&gt;&lt;wsp:rsid wsp:val=&quot;0070411E&quot;/&gt;&lt;wsp:rsid wsp:val=&quot;007042E0&quot;/&gt;&lt;wsp:rsid wsp:val=&quot;007044B9&quot;/&gt;&lt;wsp:rsid wsp:val=&quot;00704D54&quot;/&gt;&lt;wsp:rsid wsp:val=&quot;00705021&quot;/&gt;&lt;wsp:rsid wsp:val=&quot;007051F7&quot;/&gt;&lt;wsp:rsid wsp:val=&quot;00705341&quot;/&gt;&lt;wsp:rsid wsp:val=&quot;0070545F&quot;/&gt;&lt;wsp:rsid wsp:val=&quot;00705FC5&quot;/&gt;&lt;wsp:rsid wsp:val=&quot;00705FD4&quot;/&gt;&lt;wsp:rsid wsp:val=&quot;0070670F&quot;/&gt;&lt;wsp:rsid wsp:val=&quot;00707129&quot;/&gt;&lt;wsp:rsid wsp:val=&quot;007075A4&quot;/&gt;&lt;wsp:rsid wsp:val=&quot;00707623&quot;/&gt;&lt;wsp:rsid wsp:val=&quot;00707C79&quot;/&gt;&lt;wsp:rsid wsp:val=&quot;00707E25&quot;/&gt;&lt;wsp:rsid wsp:val=&quot;00707F4F&quot;/&gt;&lt;wsp:rsid wsp:val=&quot;00710A6A&quot;/&gt;&lt;wsp:rsid wsp:val=&quot;00710BE7&quot;/&gt;&lt;wsp:rsid wsp:val=&quot;00711A58&quot;/&gt;&lt;wsp:rsid wsp:val=&quot;00711BB1&quot;/&gt;&lt;wsp:rsid wsp:val=&quot;00712131&quot;/&gt;&lt;wsp:rsid wsp:val=&quot;007125C5&quot;/&gt;&lt;wsp:rsid wsp:val=&quot;007126F3&quot;/&gt;&lt;wsp:rsid wsp:val=&quot;00712CF5&quot;/&gt;&lt;wsp:rsid wsp:val=&quot;007133A4&quot;/&gt;&lt;wsp:rsid wsp:val=&quot;00713762&quot;/&gt;&lt;wsp:rsid wsp:val=&quot;00713A6C&quot;/&gt;&lt;wsp:rsid wsp:val=&quot;00714097&quot;/&gt;&lt;wsp:rsid wsp:val=&quot;007144E2&quot;/&gt;&lt;wsp:rsid wsp:val=&quot;007145A0&quot;/&gt;&lt;wsp:rsid wsp:val=&quot;00714960&quot;/&gt;&lt;wsp:rsid wsp:val=&quot;00714B14&quot;/&gt;&lt;wsp:rsid wsp:val=&quot;00714B81&quot;/&gt;&lt;wsp:rsid wsp:val=&quot;00714BC7&quot;/&gt;&lt;wsp:rsid wsp:val=&quot;00714D74&quot;/&gt;&lt;wsp:rsid wsp:val=&quot;007153E9&quot;/&gt;&lt;wsp:rsid wsp:val=&quot;007156FA&quot;/&gt;&lt;wsp:rsid wsp:val=&quot;007159BC&quot;/&gt;&lt;wsp:rsid wsp:val=&quot;007159D5&quot;/&gt;&lt;wsp:rsid wsp:val=&quot;00715DCF&quot;/&gt;&lt;wsp:rsid wsp:val=&quot;00715E2C&quot;/&gt;&lt;wsp:rsid wsp:val=&quot;00715E71&quot;/&gt;&lt;wsp:rsid wsp:val=&quot;00716358&quot;/&gt;&lt;wsp:rsid wsp:val=&quot;00716B47&quot;/&gt;&lt;wsp:rsid wsp:val=&quot;00716E9F&quot;/&gt;&lt;wsp:rsid wsp:val=&quot;007170C2&quot;/&gt;&lt;wsp:rsid wsp:val=&quot;0071733E&quot;/&gt;&lt;wsp:rsid wsp:val=&quot;00717779&quot;/&gt;&lt;wsp:rsid wsp:val=&quot;00717848&quot;/&gt;&lt;wsp:rsid wsp:val=&quot;00717D5F&quot;/&gt;&lt;wsp:rsid wsp:val=&quot;00717EFA&quot;/&gt;&lt;wsp:rsid wsp:val=&quot;00720301&quot;/&gt;&lt;wsp:rsid wsp:val=&quot;0072051C&quot;/&gt;&lt;wsp:rsid wsp:val=&quot;00720AAA&quot;/&gt;&lt;wsp:rsid wsp:val=&quot;00720D20&quot;/&gt;&lt;wsp:rsid wsp:val=&quot;00720E75&quot;/&gt;&lt;wsp:rsid wsp:val=&quot;00720ECB&quot;/&gt;&lt;wsp:rsid wsp:val=&quot;00720F71&quot;/&gt;&lt;wsp:rsid wsp:val=&quot;00721566&quot;/&gt;&lt;wsp:rsid wsp:val=&quot;00721717&quot;/&gt;&lt;wsp:rsid wsp:val=&quot;007218D9&quot;/&gt;&lt;wsp:rsid wsp:val=&quot;00721DC7&quot;/&gt;&lt;wsp:rsid wsp:val=&quot;0072220F&quot;/&gt;&lt;wsp:rsid wsp:val=&quot;00722AB5&quot;/&gt;&lt;wsp:rsid wsp:val=&quot;00722BBE&quot;/&gt;&lt;wsp:rsid wsp:val=&quot;00722C32&quot;/&gt;&lt;wsp:rsid wsp:val=&quot;00722CA8&quot;/&gt;&lt;wsp:rsid wsp:val=&quot;00723034&quot;/&gt;&lt;wsp:rsid wsp:val=&quot;007231FF&quot;/&gt;&lt;wsp:rsid wsp:val=&quot;00723360&quot;/&gt;&lt;wsp:rsid wsp:val=&quot;007234D9&quot;/&gt;&lt;wsp:rsid wsp:val=&quot;00723698&quot;/&gt;&lt;wsp:rsid wsp:val=&quot;00723858&quot;/&gt;&lt;wsp:rsid wsp:val=&quot;00723DB1&quot;/&gt;&lt;wsp:rsid wsp:val=&quot;00724343&quot;/&gt;&lt;wsp:rsid wsp:val=&quot;007247BE&quot;/&gt;&lt;wsp:rsid wsp:val=&quot;007248AD&quot;/&gt;&lt;wsp:rsid wsp:val=&quot;00724F79&quot;/&gt;&lt;wsp:rsid wsp:val=&quot;00725728&quot;/&gt;&lt;wsp:rsid wsp:val=&quot;007258DE&quot;/&gt;&lt;wsp:rsid wsp:val=&quot;00725C8F&quot;/&gt;&lt;wsp:rsid wsp:val=&quot;00725CB7&quot;/&gt;&lt;wsp:rsid wsp:val=&quot;00726540&quot;/&gt;&lt;wsp:rsid wsp:val=&quot;00726643&quot;/&gt;&lt;wsp:rsid wsp:val=&quot;00726775&quot;/&gt;&lt;wsp:rsid wsp:val=&quot;00726832&quot;/&gt;&lt;wsp:rsid wsp:val=&quot;00726C96&quot;/&gt;&lt;wsp:rsid wsp:val=&quot;00726DEE&quot;/&gt;&lt;wsp:rsid wsp:val=&quot;00726F22&quot;/&gt;&lt;wsp:rsid wsp:val=&quot;0072712D&quot;/&gt;&lt;wsp:rsid wsp:val=&quot;007276D4&quot;/&gt;&lt;wsp:rsid wsp:val=&quot;00727975&quot;/&gt;&lt;wsp:rsid wsp:val=&quot;00727D72&quot;/&gt;&lt;wsp:rsid wsp:val=&quot;00727E44&quot;/&gt;&lt;wsp:rsid wsp:val=&quot;0073045A&quot;/&gt;&lt;wsp:rsid wsp:val=&quot;00730487&quot;/&gt;&lt;wsp:rsid wsp:val=&quot;00730527&quot;/&gt;&lt;wsp:rsid wsp:val=&quot;00730CE2&quot;/&gt;&lt;wsp:rsid wsp:val=&quot;00731069&quot;/&gt;&lt;wsp:rsid wsp:val=&quot;0073158E&quot;/&gt;&lt;wsp:rsid wsp:val=&quot;007316AC&quot;/&gt;&lt;wsp:rsid wsp:val=&quot;00731AB7&quot;/&gt;&lt;wsp:rsid wsp:val=&quot;00731DBA&quot;/&gt;&lt;wsp:rsid wsp:val=&quot;00732375&quot;/&gt;&lt;wsp:rsid wsp:val=&quot;00732535&quot;/&gt;&lt;wsp:rsid wsp:val=&quot;007328C7&quot;/&gt;&lt;wsp:rsid wsp:val=&quot;00732A0B&quot;/&gt;&lt;wsp:rsid wsp:val=&quot;00732AA4&quot;/&gt;&lt;wsp:rsid wsp:val=&quot;00732D14&quot;/&gt;&lt;wsp:rsid wsp:val=&quot;00732ED4&quot;/&gt;&lt;wsp:rsid wsp:val=&quot;007333B4&quot;/&gt;&lt;wsp:rsid wsp:val=&quot;0073364D&quot;/&gt;&lt;wsp:rsid wsp:val=&quot;007336CF&quot;/&gt;&lt;wsp:rsid wsp:val=&quot;00733801&quot;/&gt;&lt;wsp:rsid wsp:val=&quot;00733804&quot;/&gt;&lt;wsp:rsid wsp:val=&quot;00733C32&quot;/&gt;&lt;wsp:rsid wsp:val=&quot;00733D0E&quot;/&gt;&lt;wsp:rsid wsp:val=&quot;00734556&quot;/&gt;&lt;wsp:rsid wsp:val=&quot;0073475A&quot;/&gt;&lt;wsp:rsid wsp:val=&quot;0073476E&quot;/&gt;&lt;wsp:rsid wsp:val=&quot;00734850&quot;/&gt;&lt;wsp:rsid wsp:val=&quot;00734ADF&quot;/&gt;&lt;wsp:rsid wsp:val=&quot;00734E89&quot;/&gt;&lt;wsp:rsid wsp:val=&quot;00734F23&quot;/&gt;&lt;wsp:rsid wsp:val=&quot;0073530E&quot;/&gt;&lt;wsp:rsid wsp:val=&quot;00735DB4&quot;/&gt;&lt;wsp:rsid wsp:val=&quot;00735DE3&quot;/&gt;&lt;wsp:rsid wsp:val=&quot;00736038&quot;/&gt;&lt;wsp:rsid wsp:val=&quot;007362F7&quot;/&gt;&lt;wsp:rsid wsp:val=&quot;0073654D&quot;/&gt;&lt;wsp:rsid wsp:val=&quot;007365A5&quot;/&gt;&lt;wsp:rsid wsp:val=&quot;007369BB&quot;/&gt;&lt;wsp:rsid wsp:val=&quot;007369C1&quot;/&gt;&lt;wsp:rsid wsp:val=&quot;007369D0&quot;/&gt;&lt;wsp:rsid wsp:val=&quot;00736A59&quot;/&gt;&lt;wsp:rsid wsp:val=&quot;0073718A&quot;/&gt;&lt;wsp:rsid wsp:val=&quot;007372BD&quot;/&gt;&lt;wsp:rsid wsp:val=&quot;007372F8&quot;/&gt;&lt;wsp:rsid wsp:val=&quot;007375D7&quot;/&gt;&lt;wsp:rsid wsp:val=&quot;007378B2&quot;/&gt;&lt;wsp:rsid wsp:val=&quot;007378FC&quot;/&gt;&lt;wsp:rsid wsp:val=&quot;00737A1C&quot;/&gt;&lt;wsp:rsid wsp:val=&quot;00737D10&quot;/&gt;&lt;wsp:rsid wsp:val=&quot;00737E00&quot;/&gt;&lt;wsp:rsid wsp:val=&quot;0074009A&quot;/&gt;&lt;wsp:rsid wsp:val=&quot;007401BD&quot;/&gt;&lt;wsp:rsid wsp:val=&quot;00740293&quot;/&gt;&lt;wsp:rsid wsp:val=&quot;00740509&quot;/&gt;&lt;wsp:rsid wsp:val=&quot;00740A70&quot;/&gt;&lt;wsp:rsid wsp:val=&quot;00740CF5&quot;/&gt;&lt;wsp:rsid wsp:val=&quot;007410A8&quot;/&gt;&lt;wsp:rsid wsp:val=&quot;0074117D&quot;/&gt;&lt;wsp:rsid wsp:val=&quot;0074170F&quot;/&gt;&lt;wsp:rsid wsp:val=&quot;007423C7&quot;/&gt;&lt;wsp:rsid wsp:val=&quot;00742573&quot;/&gt;&lt;wsp:rsid wsp:val=&quot;00742AE6&quot;/&gt;&lt;wsp:rsid wsp:val=&quot;00742F23&quot;/&gt;&lt;wsp:rsid wsp:val=&quot;00743205&quot;/&gt;&lt;wsp:rsid wsp:val=&quot;007432C3&quot;/&gt;&lt;wsp:rsid wsp:val=&quot;007436C2&quot;/&gt;&lt;wsp:rsid wsp:val=&quot;00743C1C&quot;/&gt;&lt;wsp:rsid wsp:val=&quot;00744224&quot;/&gt;&lt;wsp:rsid wsp:val=&quot;0074458F&quot;/&gt;&lt;wsp:rsid wsp:val=&quot;00744599&quot;/&gt;&lt;wsp:rsid wsp:val=&quot;0074542A&quot;/&gt;&lt;wsp:rsid wsp:val=&quot;007456B3&quot;/&gt;&lt;wsp:rsid wsp:val=&quot;00745A90&quot;/&gt;&lt;wsp:rsid wsp:val=&quot;00745BB5&quot;/&gt;&lt;wsp:rsid wsp:val=&quot;00745C45&quot;/&gt;&lt;wsp:rsid wsp:val=&quot;00745E43&quot;/&gt;&lt;wsp:rsid wsp:val=&quot;00745E84&quot;/&gt;&lt;wsp:rsid wsp:val=&quot;0074606C&quot;/&gt;&lt;wsp:rsid wsp:val=&quot;00746235&quot;/&gt;&lt;wsp:rsid wsp:val=&quot;007462D6&quot;/&gt;&lt;wsp:rsid wsp:val=&quot;0074641C&quot;/&gt;&lt;wsp:rsid wsp:val=&quot;00746441&quot;/&gt;&lt;wsp:rsid wsp:val=&quot;00746896&quot;/&gt;&lt;wsp:rsid wsp:val=&quot;0074697A&quot;/&gt;&lt;wsp:rsid wsp:val=&quot;00746AD9&quot;/&gt;&lt;wsp:rsid wsp:val=&quot;00747900&quot;/&gt;&lt;wsp:rsid wsp:val=&quot;00747BCE&quot;/&gt;&lt;wsp:rsid wsp:val=&quot;00747E96&quot;/&gt;&lt;wsp:rsid wsp:val=&quot;0075014A&quot;/&gt;&lt;wsp:rsid wsp:val=&quot;007508DC&quot;/&gt;&lt;wsp:rsid wsp:val=&quot;0075112E&quot;/&gt;&lt;wsp:rsid wsp:val=&quot;00751224&quot;/&gt;&lt;wsp:rsid wsp:val=&quot;007512C6&quot;/&gt;&lt;wsp:rsid wsp:val=&quot;00751394&quot;/&gt;&lt;wsp:rsid wsp:val=&quot;007513EF&quot;/&gt;&lt;wsp:rsid wsp:val=&quot;00751753&quot;/&gt;&lt;wsp:rsid wsp:val=&quot;00751B06&quot;/&gt;&lt;wsp:rsid wsp:val=&quot;00751C38&quot;/&gt;&lt;wsp:rsid wsp:val=&quot;00752BAE&quot;/&gt;&lt;wsp:rsid wsp:val=&quot;00752D85&quot;/&gt;&lt;wsp:rsid wsp:val=&quot;0075302E&quot;/&gt;&lt;wsp:rsid wsp:val=&quot;007536D0&quot;/&gt;&lt;wsp:rsid wsp:val=&quot;00753B06&quot;/&gt;&lt;wsp:rsid wsp:val=&quot;00753B30&quot;/&gt;&lt;wsp:rsid wsp:val=&quot;00753F1B&quot;/&gt;&lt;wsp:rsid wsp:val=&quot;00754243&quot;/&gt;&lt;wsp:rsid wsp:val=&quot;00754335&quot;/&gt;&lt;wsp:rsid wsp:val=&quot;00754F43&quot;/&gt;&lt;wsp:rsid wsp:val=&quot;00755225&quot;/&gt;&lt;wsp:rsid wsp:val=&quot;007554A3&quot;/&gt;&lt;wsp:rsid wsp:val=&quot;00755B84&quot;/&gt;&lt;wsp:rsid wsp:val=&quot;00755D24&quot;/&gt;&lt;wsp:rsid wsp:val=&quot;00756554&quot;/&gt;&lt;wsp:rsid wsp:val=&quot;00756F92&quot;/&gt;&lt;wsp:rsid wsp:val=&quot;00757024&quot;/&gt;&lt;wsp:rsid wsp:val=&quot;007571C5&quot;/&gt;&lt;wsp:rsid wsp:val=&quot;00757301&quot;/&gt;&lt;wsp:rsid wsp:val=&quot;0075733E&quot;/&gt;&lt;wsp:rsid wsp:val=&quot;00757D6C&quot;/&gt;&lt;wsp:rsid wsp:val=&quot;00757E2A&quot;/&gt;&lt;wsp:rsid wsp:val=&quot;00757E50&quot;/&gt;&lt;wsp:rsid wsp:val=&quot;0076005D&quot;/&gt;&lt;wsp:rsid wsp:val=&quot;00760420&quot;/&gt;&lt;wsp:rsid wsp:val=&quot;00760BD6&quot;/&gt;&lt;wsp:rsid wsp:val=&quot;00760BE7&quot;/&gt;&lt;wsp:rsid wsp:val=&quot;00760CE4&quot;/&gt;&lt;wsp:rsid wsp:val=&quot;00760EDD&quot;/&gt;&lt;wsp:rsid wsp:val=&quot;00761063&quot;/&gt;&lt;wsp:rsid wsp:val=&quot;00761912&quot;/&gt;&lt;wsp:rsid wsp:val=&quot;00761B07&quot;/&gt;&lt;wsp:rsid wsp:val=&quot;00761F1D&quot;/&gt;&lt;wsp:rsid wsp:val=&quot;00761FED&quot;/&gt;&lt;wsp:rsid wsp:val=&quot;0076227B&quot;/&gt;&lt;wsp:rsid wsp:val=&quot;00762318&quot;/&gt;&lt;wsp:rsid wsp:val=&quot;007623C9&quot;/&gt;&lt;wsp:rsid wsp:val=&quot;0076240E&quot;/&gt;&lt;wsp:rsid wsp:val=&quot;00762612&quot;/&gt;&lt;wsp:rsid wsp:val=&quot;00762CA7&quot;/&gt;&lt;wsp:rsid wsp:val=&quot;00762CF6&quot;/&gt;&lt;wsp:rsid wsp:val=&quot;00762ED6&quot;/&gt;&lt;wsp:rsid wsp:val=&quot;00763055&quot;/&gt;&lt;wsp:rsid wsp:val=&quot;00763252&quot;/&gt;&lt;wsp:rsid wsp:val=&quot;00763A2C&quot;/&gt;&lt;wsp:rsid wsp:val=&quot;00763B3C&quot;/&gt;&lt;wsp:rsid wsp:val=&quot;00763BC7&quot;/&gt;&lt;wsp:rsid wsp:val=&quot;00763D97&quot;/&gt;&lt;wsp:rsid wsp:val=&quot;00763F9F&quot;/&gt;&lt;wsp:rsid wsp:val=&quot;0076423F&quot;/&gt;&lt;wsp:rsid wsp:val=&quot;007643C0&quot;/&gt;&lt;wsp:rsid wsp:val=&quot;007643C5&quot;/&gt;&lt;wsp:rsid wsp:val=&quot;007646D3&quot;/&gt;&lt;wsp:rsid wsp:val=&quot;00764701&quot;/&gt;&lt;wsp:rsid wsp:val=&quot;00764862&quot;/&gt;&lt;wsp:rsid wsp:val=&quot;00764A8F&quot;/&gt;&lt;wsp:rsid wsp:val=&quot;00764B34&quot;/&gt;&lt;wsp:rsid wsp:val=&quot;00764C33&quot;/&gt;&lt;wsp:rsid wsp:val=&quot;00764D51&quot;/&gt;&lt;wsp:rsid wsp:val=&quot;00764D91&quot;/&gt;&lt;wsp:rsid wsp:val=&quot;00764DD5&quot;/&gt;&lt;wsp:rsid wsp:val=&quot;00764E3F&quot;/&gt;&lt;wsp:rsid wsp:val=&quot;00764FCE&quot;/&gt;&lt;wsp:rsid wsp:val=&quot;0076556F&quot;/&gt;&lt;wsp:rsid wsp:val=&quot;00765719&quot;/&gt;&lt;wsp:rsid wsp:val=&quot;00765832&quot;/&gt;&lt;wsp:rsid wsp:val=&quot;0076596A&quot;/&gt;&lt;wsp:rsid wsp:val=&quot;00765DBC&quot;/&gt;&lt;wsp:rsid wsp:val=&quot;0076670C&quot;/&gt;&lt;wsp:rsid wsp:val=&quot;00766EFE&quot;/&gt;&lt;wsp:rsid wsp:val=&quot;00767339&quot;/&gt;&lt;wsp:rsid wsp:val=&quot;00767E15&quot;/&gt;&lt;wsp:rsid wsp:val=&quot;00767EF4&quot;/&gt;&lt;wsp:rsid wsp:val=&quot;0077003D&quot;/&gt;&lt;wsp:rsid wsp:val=&quot;007708BC&quot;/&gt;&lt;wsp:rsid wsp:val=&quot;007712D3&quot;/&gt;&lt;wsp:rsid wsp:val=&quot;007713CB&quot;/&gt;&lt;wsp:rsid wsp:val=&quot;0077174E&quot;/&gt;&lt;wsp:rsid wsp:val=&quot;00771AE3&quot;/&gt;&lt;wsp:rsid wsp:val=&quot;00771B46&quot;/&gt;&lt;wsp:rsid wsp:val=&quot;0077205B&quot;/&gt;&lt;wsp:rsid wsp:val=&quot;007722DE&quot;/&gt;&lt;wsp:rsid wsp:val=&quot;00772770&quot;/&gt;&lt;wsp:rsid wsp:val=&quot;00772A5D&quot;/&gt;&lt;wsp:rsid wsp:val=&quot;00772B4D&quot;/&gt;&lt;wsp:rsid wsp:val=&quot;00772EF5&quot;/&gt;&lt;wsp:rsid wsp:val=&quot;0077325B&quot;/&gt;&lt;wsp:rsid wsp:val=&quot;007733FF&quot;/&gt;&lt;wsp:rsid wsp:val=&quot;0077341D&quot;/&gt;&lt;wsp:rsid wsp:val=&quot;007735EF&quot;/&gt;&lt;wsp:rsid wsp:val=&quot;0077368F&quot;/&gt;&lt;wsp:rsid wsp:val=&quot;007736B1&quot;/&gt;&lt;wsp:rsid wsp:val=&quot;007737C1&quot;/&gt;&lt;wsp:rsid wsp:val=&quot;00773CB5&quot;/&gt;&lt;wsp:rsid wsp:val=&quot;00773EE9&quot;/&gt;&lt;wsp:rsid wsp:val=&quot;00773F92&quot;/&gt;&lt;wsp:rsid wsp:val=&quot;00773FB6&quot;/&gt;&lt;wsp:rsid wsp:val=&quot;0077401E&quot;/&gt;&lt;wsp:rsid wsp:val=&quot;00774436&quot;/&gt;&lt;wsp:rsid wsp:val=&quot;00774BC0&quot;/&gt;&lt;wsp:rsid wsp:val=&quot;00774D56&quot;/&gt;&lt;wsp:rsid wsp:val=&quot;007750CC&quot;/&gt;&lt;wsp:rsid wsp:val=&quot;0077534F&quot;/&gt;&lt;wsp:rsid wsp:val=&quot;00775784&quot;/&gt;&lt;wsp:rsid wsp:val=&quot;007758D1&quot;/&gt;&lt;wsp:rsid wsp:val=&quot;00775A32&quot;/&gt;&lt;wsp:rsid wsp:val=&quot;00775AAA&quot;/&gt;&lt;wsp:rsid wsp:val=&quot;00775E17&quot;/&gt;&lt;wsp:rsid wsp:val=&quot;00775FE1&quot;/&gt;&lt;wsp:rsid wsp:val=&quot;00776037&quot;/&gt;&lt;wsp:rsid wsp:val=&quot;00776370&quot;/&gt;&lt;wsp:rsid wsp:val=&quot;007766CF&quot;/&gt;&lt;wsp:rsid wsp:val=&quot;00776D5E&quot;/&gt;&lt;wsp:rsid wsp:val=&quot;00776D66&quot;/&gt;&lt;wsp:rsid wsp:val=&quot;00777421&quot;/&gt;&lt;wsp:rsid wsp:val=&quot;007777D9&quot;/&gt;&lt;wsp:rsid wsp:val=&quot;007777EA&quot;/&gt;&lt;wsp:rsid wsp:val=&quot;007801B0&quot;/&gt;&lt;wsp:rsid wsp:val=&quot;007803DE&quot;/&gt;&lt;wsp:rsid wsp:val=&quot;00780725&quot;/&gt;&lt;wsp:rsid wsp:val=&quot;00780C90&quot;/&gt;&lt;wsp:rsid wsp:val=&quot;00780F45&quot;/&gt;&lt;wsp:rsid wsp:val=&quot;00780F93&quot;/&gt;&lt;wsp:rsid wsp:val=&quot;00781180&quot;/&gt;&lt;wsp:rsid wsp:val=&quot;007812D4&quot;/&gt;&lt;wsp:rsid wsp:val=&quot;0078134A&quot;/&gt;&lt;wsp:rsid wsp:val=&quot;00781E85&quot;/&gt;&lt;wsp:rsid wsp:val=&quot;007822F1&quot;/&gt;&lt;wsp:rsid wsp:val=&quot;007825AC&quot;/&gt;&lt;wsp:rsid wsp:val=&quot;0078282E&quot;/&gt;&lt;wsp:rsid wsp:val=&quot;0078289F&quot;/&gt;&lt;wsp:rsid wsp:val=&quot;00782E11&quot;/&gt;&lt;wsp:rsid wsp:val=&quot;0078331E&quot;/&gt;&lt;wsp:rsid wsp:val=&quot;00783528&quot;/&gt;&lt;wsp:rsid wsp:val=&quot;0078376F&quot;/&gt;&lt;wsp:rsid wsp:val=&quot;007839B8&quot;/&gt;&lt;wsp:rsid wsp:val=&quot;007847FD&quot;/&gt;&lt;wsp:rsid wsp:val=&quot;0078487F&quot;/&gt;&lt;wsp:rsid wsp:val=&quot;00784AAE&quot;/&gt;&lt;wsp:rsid wsp:val=&quot;007850AF&quot;/&gt;&lt;wsp:rsid wsp:val=&quot;0078552C&quot;/&gt;&lt;wsp:rsid wsp:val=&quot;00785862&quot;/&gt;&lt;wsp:rsid wsp:val=&quot;00785AA9&quot;/&gt;&lt;wsp:rsid wsp:val=&quot;00785AD3&quot;/&gt;&lt;wsp:rsid wsp:val=&quot;00785DA7&quot;/&gt;&lt;wsp:rsid wsp:val=&quot;00785F57&quot;/&gt;&lt;wsp:rsid wsp:val=&quot;00786231&quot;/&gt;&lt;wsp:rsid wsp:val=&quot;00786707&quot;/&gt;&lt;wsp:rsid wsp:val=&quot;00786A04&quot;/&gt;&lt;wsp:rsid wsp:val=&quot;00786BB2&quot;/&gt;&lt;wsp:rsid wsp:val=&quot;00787174&quot;/&gt;&lt;wsp:rsid wsp:val=&quot;007872C0&quot;/&gt;&lt;wsp:rsid wsp:val=&quot;00787318&quot;/&gt;&lt;wsp:rsid wsp:val=&quot;00787440&quot;/&gt;&lt;wsp:rsid wsp:val=&quot;00787935&quot;/&gt;&lt;wsp:rsid wsp:val=&quot;00787A5A&quot;/&gt;&lt;wsp:rsid wsp:val=&quot;00787E07&quot;/&gt;&lt;wsp:rsid wsp:val=&quot;007903D7&quot;/&gt;&lt;wsp:rsid wsp:val=&quot;007907DA&quot;/&gt;&lt;wsp:rsid wsp:val=&quot;00790922&quot;/&gt;&lt;wsp:rsid wsp:val=&quot;00790AD6&quot;/&gt;&lt;wsp:rsid wsp:val=&quot;00790B02&quot;/&gt;&lt;wsp:rsid wsp:val=&quot;00790E0B&quot;/&gt;&lt;wsp:rsid wsp:val=&quot;00791069&quot;/&gt;&lt;wsp:rsid wsp:val=&quot;007922A2&quot;/&gt;&lt;wsp:rsid wsp:val=&quot;00792975&quot;/&gt;&lt;wsp:rsid wsp:val=&quot;00792A32&quot;/&gt;&lt;wsp:rsid wsp:val=&quot;00792BE9&quot;/&gt;&lt;wsp:rsid wsp:val=&quot;00792C66&quot;/&gt;&lt;wsp:rsid wsp:val=&quot;00792F7E&quot;/&gt;&lt;wsp:rsid wsp:val=&quot;00792FEE&quot;/&gt;&lt;wsp:rsid wsp:val=&quot;0079373C&quot;/&gt;&lt;wsp:rsid wsp:val=&quot;00793773&quot;/&gt;&lt;wsp:rsid wsp:val=&quot;00793DA9&quot;/&gt;&lt;wsp:rsid wsp:val=&quot;00794559&quot;/&gt;&lt;wsp:rsid wsp:val=&quot;0079487B&quot;/&gt;&lt;wsp:rsid wsp:val=&quot;00794BC0&quot;/&gt;&lt;wsp:rsid wsp:val=&quot;00794BEC&quot;/&gt;&lt;wsp:rsid wsp:val=&quot;00794EF8&quot;/&gt;&lt;wsp:rsid wsp:val=&quot;00795215&quot;/&gt;&lt;wsp:rsid wsp:val=&quot;0079539F&quot;/&gt;&lt;wsp:rsid wsp:val=&quot;00795433&quot;/&gt;&lt;wsp:rsid wsp:val=&quot;0079573F&quot;/&gt;&lt;wsp:rsid wsp:val=&quot;00795EF8&quot;/&gt;&lt;wsp:rsid wsp:val=&quot;0079662D&quot;/&gt;&lt;wsp:rsid wsp:val=&quot;00796954&quot;/&gt;&lt;wsp:rsid wsp:val=&quot;007969A1&quot;/&gt;&lt;wsp:rsid wsp:val=&quot;00797587&quot;/&gt;&lt;wsp:rsid wsp:val=&quot;0079772A&quot;/&gt;&lt;wsp:rsid wsp:val=&quot;007977EE&quot;/&gt;&lt;wsp:rsid wsp:val=&quot;007A03CB&quot;/&gt;&lt;wsp:rsid wsp:val=&quot;007A046B&quot;/&gt;&lt;wsp:rsid wsp:val=&quot;007A0493&quot;/&gt;&lt;wsp:rsid wsp:val=&quot;007A0658&quot;/&gt;&lt;wsp:rsid wsp:val=&quot;007A0677&quot;/&gt;&lt;wsp:rsid wsp:val=&quot;007A19BF&quot;/&gt;&lt;wsp:rsid wsp:val=&quot;007A1CE1&quot;/&gt;&lt;wsp:rsid wsp:val=&quot;007A209B&quot;/&gt;&lt;wsp:rsid wsp:val=&quot;007A24DC&quot;/&gt;&lt;wsp:rsid wsp:val=&quot;007A29D5&quot;/&gt;&lt;wsp:rsid wsp:val=&quot;007A2AFD&quot;/&gt;&lt;wsp:rsid wsp:val=&quot;007A2E34&quot;/&gt;&lt;wsp:rsid wsp:val=&quot;007A2F54&quot;/&gt;&lt;wsp:rsid wsp:val=&quot;007A340D&quot;/&gt;&lt;wsp:rsid wsp:val=&quot;007A3481&quot;/&gt;&lt;wsp:rsid wsp:val=&quot;007A353A&quot;/&gt;&lt;wsp:rsid wsp:val=&quot;007A39E2&quot;/&gt;&lt;wsp:rsid wsp:val=&quot;007A3A60&quot;/&gt;&lt;wsp:rsid wsp:val=&quot;007A3C15&quot;/&gt;&lt;wsp:rsid wsp:val=&quot;007A4178&quot;/&gt;&lt;wsp:rsid wsp:val=&quot;007A435C&quot;/&gt;&lt;wsp:rsid wsp:val=&quot;007A586B&quot;/&gt;&lt;wsp:rsid wsp:val=&quot;007A6453&quot;/&gt;&lt;wsp:rsid wsp:val=&quot;007A677B&quot;/&gt;&lt;wsp:rsid wsp:val=&quot;007A6A0B&quot;/&gt;&lt;wsp:rsid wsp:val=&quot;007A6E31&quot;/&gt;&lt;wsp:rsid wsp:val=&quot;007A6FE8&quot;/&gt;&lt;wsp:rsid wsp:val=&quot;007A72AA&quot;/&gt;&lt;wsp:rsid wsp:val=&quot;007A72EC&quot;/&gt;&lt;wsp:rsid wsp:val=&quot;007A73A7&quot;/&gt;&lt;wsp:rsid wsp:val=&quot;007A7A17&quot;/&gt;&lt;wsp:rsid wsp:val=&quot;007A7B90&quot;/&gt;&lt;wsp:rsid wsp:val=&quot;007B019A&quot;/&gt;&lt;wsp:rsid wsp:val=&quot;007B0610&quot;/&gt;&lt;wsp:rsid wsp:val=&quot;007B07BD&quot;/&gt;&lt;wsp:rsid wsp:val=&quot;007B0814&quot;/&gt;&lt;wsp:rsid wsp:val=&quot;007B0ABE&quot;/&gt;&lt;wsp:rsid wsp:val=&quot;007B16A9&quot;/&gt;&lt;wsp:rsid wsp:val=&quot;007B211A&quot;/&gt;&lt;wsp:rsid wsp:val=&quot;007B2583&quot;/&gt;&lt;wsp:rsid wsp:val=&quot;007B275C&quot;/&gt;&lt;wsp:rsid wsp:val=&quot;007B307E&quot;/&gt;&lt;wsp:rsid wsp:val=&quot;007B33FF&quot;/&gt;&lt;wsp:rsid wsp:val=&quot;007B3610&quot;/&gt;&lt;wsp:rsid wsp:val=&quot;007B38D1&quot;/&gt;&lt;wsp:rsid wsp:val=&quot;007B3B6A&quot;/&gt;&lt;wsp:rsid wsp:val=&quot;007B3BDC&quot;/&gt;&lt;wsp:rsid wsp:val=&quot;007B3F99&quot;/&gt;&lt;wsp:rsid wsp:val=&quot;007B42E4&quot;/&gt;&lt;wsp:rsid wsp:val=&quot;007B50D5&quot;/&gt;&lt;wsp:rsid wsp:val=&quot;007B50D6&quot;/&gt;&lt;wsp:rsid wsp:val=&quot;007B5141&quot;/&gt;&lt;wsp:rsid wsp:val=&quot;007B5358&quot;/&gt;&lt;wsp:rsid wsp:val=&quot;007B54A0&quot;/&gt;&lt;wsp:rsid wsp:val=&quot;007B580B&quot;/&gt;&lt;wsp:rsid wsp:val=&quot;007B5B44&quot;/&gt;&lt;wsp:rsid wsp:val=&quot;007B5E24&quot;/&gt;&lt;wsp:rsid wsp:val=&quot;007B69CA&quot;/&gt;&lt;wsp:rsid wsp:val=&quot;007B6B46&quot;/&gt;&lt;wsp:rsid wsp:val=&quot;007B741A&quot;/&gt;&lt;wsp:rsid wsp:val=&quot;007B771F&quot;/&gt;&lt;wsp:rsid wsp:val=&quot;007B7D7F&quot;/&gt;&lt;wsp:rsid wsp:val=&quot;007B7E7D&quot;/&gt;&lt;wsp:rsid wsp:val=&quot;007B7FCB&quot;/&gt;&lt;wsp:rsid wsp:val=&quot;007C0CFB&quot;/&gt;&lt;wsp:rsid wsp:val=&quot;007C0FF4&quot;/&gt;&lt;wsp:rsid wsp:val=&quot;007C11C8&quot;/&gt;&lt;wsp:rsid wsp:val=&quot;007C1591&quot;/&gt;&lt;wsp:rsid wsp:val=&quot;007C20DB&quot;/&gt;&lt;wsp:rsid wsp:val=&quot;007C23CA&quot;/&gt;&lt;wsp:rsid wsp:val=&quot;007C29E7&quot;/&gt;&lt;wsp:rsid wsp:val=&quot;007C2ECB&quot;/&gt;&lt;wsp:rsid wsp:val=&quot;007C2EEE&quot;/&gt;&lt;wsp:rsid wsp:val=&quot;007C32BA&quot;/&gt;&lt;wsp:rsid wsp:val=&quot;007C3367&quot;/&gt;&lt;wsp:rsid wsp:val=&quot;007C364E&quot;/&gt;&lt;wsp:rsid wsp:val=&quot;007C36B1&quot;/&gt;&lt;wsp:rsid wsp:val=&quot;007C3722&quot;/&gt;&lt;wsp:rsid wsp:val=&quot;007C3747&quot;/&gt;&lt;wsp:rsid wsp:val=&quot;007C38D9&quot;/&gt;&lt;wsp:rsid wsp:val=&quot;007C3DE5&quot;/&gt;&lt;wsp:rsid wsp:val=&quot;007C4074&quot;/&gt;&lt;wsp:rsid wsp:val=&quot;007C4F5A&quot;/&gt;&lt;wsp:rsid wsp:val=&quot;007C50F4&quot;/&gt;&lt;wsp:rsid wsp:val=&quot;007C5200&quot;/&gt;&lt;wsp:rsid wsp:val=&quot;007C5581&quot;/&gt;&lt;wsp:rsid wsp:val=&quot;007C5732&quot;/&gt;&lt;wsp:rsid wsp:val=&quot;007C5A5A&quot;/&gt;&lt;wsp:rsid wsp:val=&quot;007C5DA4&quot;/&gt;&lt;wsp:rsid wsp:val=&quot;007C5DD1&quot;/&gt;&lt;wsp:rsid wsp:val=&quot;007C6326&quot;/&gt;&lt;wsp:rsid wsp:val=&quot;007C684E&quot;/&gt;&lt;wsp:rsid wsp:val=&quot;007C6C41&quot;/&gt;&lt;wsp:rsid wsp:val=&quot;007C72F0&quot;/&gt;&lt;wsp:rsid wsp:val=&quot;007C73BA&quot;/&gt;&lt;wsp:rsid wsp:val=&quot;007C7797&quot;/&gt;&lt;wsp:rsid wsp:val=&quot;007C7A6B&quot;/&gt;&lt;wsp:rsid wsp:val=&quot;007C7C0D&quot;/&gt;&lt;wsp:rsid wsp:val=&quot;007D0152&quot;/&gt;&lt;wsp:rsid wsp:val=&quot;007D0A4F&quot;/&gt;&lt;wsp:rsid wsp:val=&quot;007D0CEE&quot;/&gt;&lt;wsp:rsid wsp:val=&quot;007D0E99&quot;/&gt;&lt;wsp:rsid wsp:val=&quot;007D0EC3&quot;/&gt;&lt;wsp:rsid wsp:val=&quot;007D124F&quot;/&gt;&lt;wsp:rsid wsp:val=&quot;007D12C0&quot;/&gt;&lt;wsp:rsid wsp:val=&quot;007D150B&quot;/&gt;&lt;wsp:rsid wsp:val=&quot;007D1607&quot;/&gt;&lt;wsp:rsid wsp:val=&quot;007D1645&quot;/&gt;&lt;wsp:rsid wsp:val=&quot;007D18E0&quot;/&gt;&lt;wsp:rsid wsp:val=&quot;007D1BC1&quot;/&gt;&lt;wsp:rsid wsp:val=&quot;007D1C66&quot;/&gt;&lt;wsp:rsid wsp:val=&quot;007D1CC7&quot;/&gt;&lt;wsp:rsid wsp:val=&quot;007D1CFA&quot;/&gt;&lt;wsp:rsid wsp:val=&quot;007D1E39&quot;/&gt;&lt;wsp:rsid wsp:val=&quot;007D2240&quot;/&gt;&lt;wsp:rsid wsp:val=&quot;007D22B0&quot;/&gt;&lt;wsp:rsid wsp:val=&quot;007D2504&quot;/&gt;&lt;wsp:rsid wsp:val=&quot;007D279A&quot;/&gt;&lt;wsp:rsid wsp:val=&quot;007D2ABA&quot;/&gt;&lt;wsp:rsid wsp:val=&quot;007D2ADC&quot;/&gt;&lt;wsp:rsid wsp:val=&quot;007D2D26&quot;/&gt;&lt;wsp:rsid wsp:val=&quot;007D2EB8&quot;/&gt;&lt;wsp:rsid wsp:val=&quot;007D2EC6&quot;/&gt;&lt;wsp:rsid wsp:val=&quot;007D3264&quot;/&gt;&lt;wsp:rsid wsp:val=&quot;007D32FF&quot;/&gt;&lt;wsp:rsid wsp:val=&quot;007D375C&quot;/&gt;&lt;wsp:rsid wsp:val=&quot;007D3C9B&quot;/&gt;&lt;wsp:rsid wsp:val=&quot;007D409B&quot;/&gt;&lt;wsp:rsid wsp:val=&quot;007D41AB&quot;/&gt;&lt;wsp:rsid wsp:val=&quot;007D4587&quot;/&gt;&lt;wsp:rsid wsp:val=&quot;007D47CB&quot;/&gt;&lt;wsp:rsid wsp:val=&quot;007D4BC7&quot;/&gt;&lt;wsp:rsid wsp:val=&quot;007D4C39&quot;/&gt;&lt;wsp:rsid wsp:val=&quot;007D4D48&quot;/&gt;&lt;wsp:rsid wsp:val=&quot;007D4DA5&quot;/&gt;&lt;wsp:rsid wsp:val=&quot;007D5948&quot;/&gt;&lt;wsp:rsid wsp:val=&quot;007D5B4C&quot;/&gt;&lt;wsp:rsid wsp:val=&quot;007D5C25&quot;/&gt;&lt;wsp:rsid wsp:val=&quot;007D5D86&quot;/&gt;&lt;wsp:rsid wsp:val=&quot;007D5EA0&quot;/&gt;&lt;wsp:rsid wsp:val=&quot;007D5FDB&quot;/&gt;&lt;wsp:rsid wsp:val=&quot;007D627E&quot;/&gt;&lt;wsp:rsid wsp:val=&quot;007D62FD&quot;/&gt;&lt;wsp:rsid wsp:val=&quot;007D6494&quot;/&gt;&lt;wsp:rsid wsp:val=&quot;007D64A7&quot;/&gt;&lt;wsp:rsid wsp:val=&quot;007D6508&quot;/&gt;&lt;wsp:rsid wsp:val=&quot;007D6C21&quot;/&gt;&lt;wsp:rsid wsp:val=&quot;007D716E&quot;/&gt;&lt;wsp:rsid wsp:val=&quot;007D7ACF&quot;/&gt;&lt;wsp:rsid wsp:val=&quot;007D7BCF&quot;/&gt;&lt;wsp:rsid wsp:val=&quot;007E00E4&quot;/&gt;&lt;wsp:rsid wsp:val=&quot;007E0268&quot;/&gt;&lt;wsp:rsid wsp:val=&quot;007E060E&quot;/&gt;&lt;wsp:rsid wsp:val=&quot;007E087A&quot;/&gt;&lt;wsp:rsid wsp:val=&quot;007E0969&quot;/&gt;&lt;wsp:rsid wsp:val=&quot;007E09FA&quot;/&gt;&lt;wsp:rsid wsp:val=&quot;007E1244&quot;/&gt;&lt;wsp:rsid wsp:val=&quot;007E1A43&quot;/&gt;&lt;wsp:rsid wsp:val=&quot;007E1A52&quot;/&gt;&lt;wsp:rsid wsp:val=&quot;007E1ADE&quot;/&gt;&lt;wsp:rsid wsp:val=&quot;007E1D43&quot;/&gt;&lt;wsp:rsid wsp:val=&quot;007E1D4D&quot;/&gt;&lt;wsp:rsid wsp:val=&quot;007E2123&quot;/&gt;&lt;wsp:rsid wsp:val=&quot;007E241C&quot;/&gt;&lt;wsp:rsid wsp:val=&quot;007E2834&quot;/&gt;&lt;wsp:rsid wsp:val=&quot;007E2BC4&quot;/&gt;&lt;wsp:rsid wsp:val=&quot;007E2DA6&quot;/&gt;&lt;wsp:rsid wsp:val=&quot;007E2FA4&quot;/&gt;&lt;wsp:rsid wsp:val=&quot;007E30B9&quot;/&gt;&lt;wsp:rsid wsp:val=&quot;007E3370&quot;/&gt;&lt;wsp:rsid wsp:val=&quot;007E3593&quot;/&gt;&lt;wsp:rsid wsp:val=&quot;007E3686&quot;/&gt;&lt;wsp:rsid wsp:val=&quot;007E3EA5&quot;/&gt;&lt;wsp:rsid wsp:val=&quot;007E3F11&quot;/&gt;&lt;wsp:rsid wsp:val=&quot;007E3F9E&quot;/&gt;&lt;wsp:rsid wsp:val=&quot;007E47F7&quot;/&gt;&lt;wsp:rsid wsp:val=&quot;007E48E6&quot;/&gt;&lt;wsp:rsid wsp:val=&quot;007E4A75&quot;/&gt;&lt;wsp:rsid wsp:val=&quot;007E4A99&quot;/&gt;&lt;wsp:rsid wsp:val=&quot;007E4C83&quot;/&gt;&lt;wsp:rsid wsp:val=&quot;007E4FF9&quot;/&gt;&lt;wsp:rsid wsp:val=&quot;007E56C3&quot;/&gt;&lt;wsp:rsid wsp:val=&quot;007E5D09&quot;/&gt;&lt;wsp:rsid wsp:val=&quot;007E5D15&quot;/&gt;&lt;wsp:rsid wsp:val=&quot;007E60E4&quot;/&gt;&lt;wsp:rsid wsp:val=&quot;007E61AF&quot;/&gt;&lt;wsp:rsid wsp:val=&quot;007E61DC&quot;/&gt;&lt;wsp:rsid wsp:val=&quot;007E6348&quot;/&gt;&lt;wsp:rsid wsp:val=&quot;007E63EE&quot;/&gt;&lt;wsp:rsid wsp:val=&quot;007E64B8&quot;/&gt;&lt;wsp:rsid wsp:val=&quot;007E6716&quot;/&gt;&lt;wsp:rsid wsp:val=&quot;007E67E9&quot;/&gt;&lt;wsp:rsid wsp:val=&quot;007E6845&quot;/&gt;&lt;wsp:rsid wsp:val=&quot;007E684D&quot;/&gt;&lt;wsp:rsid wsp:val=&quot;007E6ADF&quot;/&gt;&lt;wsp:rsid wsp:val=&quot;007E6AFE&quot;/&gt;&lt;wsp:rsid wsp:val=&quot;007E6EC8&quot;/&gt;&lt;wsp:rsid wsp:val=&quot;007E710C&quot;/&gt;&lt;wsp:rsid wsp:val=&quot;007E72A0&quot;/&gt;&lt;wsp:rsid wsp:val=&quot;007E7602&quot;/&gt;&lt;wsp:rsid wsp:val=&quot;007E769B&quot;/&gt;&lt;wsp:rsid wsp:val=&quot;007E76D6&quot;/&gt;&lt;wsp:rsid wsp:val=&quot;007E775F&quot;/&gt;&lt;wsp:rsid wsp:val=&quot;007E7799&quot;/&gt;&lt;wsp:rsid wsp:val=&quot;007E7C3A&quot;/&gt;&lt;wsp:rsid wsp:val=&quot;007F0137&quot;/&gt;&lt;wsp:rsid wsp:val=&quot;007F0F44&quot;/&gt;&lt;wsp:rsid wsp:val=&quot;007F13C7&quot;/&gt;&lt;wsp:rsid wsp:val=&quot;007F13E5&quot;/&gt;&lt;wsp:rsid wsp:val=&quot;007F1C37&quot;/&gt;&lt;wsp:rsid wsp:val=&quot;007F1C87&quot;/&gt;&lt;wsp:rsid wsp:val=&quot;007F1EB8&quot;/&gt;&lt;wsp:rsid wsp:val=&quot;007F2148&quot;/&gt;&lt;wsp:rsid wsp:val=&quot;007F2178&quot;/&gt;&lt;wsp:rsid wsp:val=&quot;007F2329&quot;/&gt;&lt;wsp:rsid wsp:val=&quot;007F2475&quot;/&gt;&lt;wsp:rsid wsp:val=&quot;007F28FE&quot;/&gt;&lt;wsp:rsid wsp:val=&quot;007F2C05&quot;/&gt;&lt;wsp:rsid wsp:val=&quot;007F2F0B&quot;/&gt;&lt;wsp:rsid wsp:val=&quot;007F3061&quot;/&gt;&lt;wsp:rsid wsp:val=&quot;007F31BC&quot;/&gt;&lt;wsp:rsid wsp:val=&quot;007F34DE&quot;/&gt;&lt;wsp:rsid wsp:val=&quot;007F390A&quot;/&gt;&lt;wsp:rsid wsp:val=&quot;007F4472&quot;/&gt;&lt;wsp:rsid wsp:val=&quot;007F4B96&quot;/&gt;&lt;wsp:rsid wsp:val=&quot;007F4F74&quot;/&gt;&lt;wsp:rsid wsp:val=&quot;007F5177&quot;/&gt;&lt;wsp:rsid wsp:val=&quot;007F60E6&quot;/&gt;&lt;wsp:rsid wsp:val=&quot;007F6270&quot;/&gt;&lt;wsp:rsid wsp:val=&quot;007F6404&quot;/&gt;&lt;wsp:rsid wsp:val=&quot;007F718E&quot;/&gt;&lt;wsp:rsid wsp:val=&quot;007F771F&quot;/&gt;&lt;wsp:rsid wsp:val=&quot;007F7A4C&quot;/&gt;&lt;wsp:rsid wsp:val=&quot;008001D8&quot;/&gt;&lt;wsp:rsid wsp:val=&quot;008006A8&quot;/&gt;&lt;wsp:rsid wsp:val=&quot;00800BB8&quot;/&gt;&lt;wsp:rsid wsp:val=&quot;00800E2C&quot;/&gt;&lt;wsp:rsid wsp:val=&quot;00800F0F&quot;/&gt;&lt;wsp:rsid wsp:val=&quot;00801002&quot;/&gt;&lt;wsp:rsid wsp:val=&quot;00802450&quot;/&gt;&lt;wsp:rsid wsp:val=&quot;008025B5&quot;/&gt;&lt;wsp:rsid wsp:val=&quot;0080274C&quot;/&gt;&lt;wsp:rsid wsp:val=&quot;00802CB7&quot;/&gt;&lt;wsp:rsid wsp:val=&quot;00802CDF&quot;/&gt;&lt;wsp:rsid wsp:val=&quot;00802E4A&quot;/&gt;&lt;wsp:rsid wsp:val=&quot;00802EE9&quot;/&gt;&lt;wsp:rsid wsp:val=&quot;00803A2E&quot;/&gt;&lt;wsp:rsid wsp:val=&quot;00803FF4&quot;/&gt;&lt;wsp:rsid wsp:val=&quot;0080414C&quot;/&gt;&lt;wsp:rsid wsp:val=&quot;008041B4&quot;/&gt;&lt;wsp:rsid wsp:val=&quot;008043C2&quot;/&gt;&lt;wsp:rsid wsp:val=&quot;00804428&quot;/&gt;&lt;wsp:rsid wsp:val=&quot;00804761&quot;/&gt;&lt;wsp:rsid wsp:val=&quot;008047A2&quot;/&gt;&lt;wsp:rsid wsp:val=&quot;00804A49&quot;/&gt;&lt;wsp:rsid wsp:val=&quot;00804C46&quot;/&gt;&lt;wsp:rsid wsp:val=&quot;008050C6&quot;/&gt;&lt;wsp:rsid wsp:val=&quot;0080576A&quot;/&gt;&lt;wsp:rsid wsp:val=&quot;00805848&quot;/&gt;&lt;wsp:rsid wsp:val=&quot;00806065&quot;/&gt;&lt;wsp:rsid wsp:val=&quot;00806A5A&quot;/&gt;&lt;wsp:rsid wsp:val=&quot;008071B3&quot;/&gt;&lt;wsp:rsid wsp:val=&quot;00807212&quot;/&gt;&lt;wsp:rsid wsp:val=&quot;0080760F&quot;/&gt;&lt;wsp:rsid wsp:val=&quot;00807880&quot;/&gt;&lt;wsp:rsid wsp:val=&quot;00807C26&quot;/&gt;&lt;wsp:rsid wsp:val=&quot;00807F63&quot;/&gt;&lt;wsp:rsid wsp:val=&quot;00810315&quot;/&gt;&lt;wsp:rsid wsp:val=&quot;00810398&quot;/&gt;&lt;wsp:rsid wsp:val=&quot;00810414&quot;/&gt;&lt;wsp:rsid wsp:val=&quot;00810708&quot;/&gt;&lt;wsp:rsid wsp:val=&quot;008108F0&quot;/&gt;&lt;wsp:rsid wsp:val=&quot;008109F5&quot;/&gt;&lt;wsp:rsid wsp:val=&quot;00810C6B&quot;/&gt;&lt;wsp:rsid wsp:val=&quot;00811081&quot;/&gt;&lt;wsp:rsid wsp:val=&quot;008110E1&quot;/&gt;&lt;wsp:rsid wsp:val=&quot;00811601&quot;/&gt;&lt;wsp:rsid wsp:val=&quot;00811852&quot;/&gt;&lt;wsp:rsid wsp:val=&quot;00811902&quot;/&gt;&lt;wsp:rsid wsp:val=&quot;00811A43&quot;/&gt;&lt;wsp:rsid wsp:val=&quot;00811FE4&quot;/&gt;&lt;wsp:rsid wsp:val=&quot;00812170&quot;/&gt;&lt;wsp:rsid wsp:val=&quot;0081258B&quot;/&gt;&lt;wsp:rsid wsp:val=&quot;00812BBB&quot;/&gt;&lt;wsp:rsid wsp:val=&quot;00812C46&quot;/&gt;&lt;wsp:rsid wsp:val=&quot;00812CD9&quot;/&gt;&lt;wsp:rsid wsp:val=&quot;008132A5&quot;/&gt;&lt;wsp:rsid wsp:val=&quot;00813330&quot;/&gt;&lt;wsp:rsid wsp:val=&quot;00813361&quot;/&gt;&lt;wsp:rsid wsp:val=&quot;008134AA&quot;/&gt;&lt;wsp:rsid wsp:val=&quot;008137F2&quot;/&gt;&lt;wsp:rsid wsp:val=&quot;00813849&quot;/&gt;&lt;wsp:rsid wsp:val=&quot;00814082&quot;/&gt;&lt;wsp:rsid wsp:val=&quot;0081486F&quot;/&gt;&lt;wsp:rsid wsp:val=&quot;00814B3B&quot;/&gt;&lt;wsp:rsid wsp:val=&quot;00814B61&quot;/&gt;&lt;wsp:rsid wsp:val=&quot;00815174&quot;/&gt;&lt;wsp:rsid wsp:val=&quot;008155F9&quot;/&gt;&lt;wsp:rsid wsp:val=&quot;008159A1&quot;/&gt;&lt;wsp:rsid wsp:val=&quot;00815B37&quot;/&gt;&lt;wsp:rsid wsp:val=&quot;00815EA7&quot;/&gt;&lt;wsp:rsid wsp:val=&quot;00815EBD&quot;/&gt;&lt;wsp:rsid wsp:val=&quot;008162FE&quot;/&gt;&lt;wsp:rsid wsp:val=&quot;00816398&quot;/&gt;&lt;wsp:rsid wsp:val=&quot;0081654E&quot;/&gt;&lt;wsp:rsid wsp:val=&quot;00816C1E&quot;/&gt;&lt;wsp:rsid wsp:val=&quot;00816C46&quot;/&gt;&lt;wsp:rsid wsp:val=&quot;00816D56&quot;/&gt;&lt;wsp:rsid wsp:val=&quot;008171AB&quot;/&gt;&lt;wsp:rsid wsp:val=&quot;008172B0&quot;/&gt;&lt;wsp:rsid wsp:val=&quot;00817387&quot;/&gt;&lt;wsp:rsid wsp:val=&quot;0081797F&quot;/&gt;&lt;wsp:rsid wsp:val=&quot;008200DC&quot;/&gt;&lt;wsp:rsid wsp:val=&quot;008203C2&quot;/&gt;&lt;wsp:rsid wsp:val=&quot;00821293&quot;/&gt;&lt;wsp:rsid wsp:val=&quot;00821807&quot;/&gt;&lt;wsp:rsid wsp:val=&quot;00821895&quot;/&gt;&lt;wsp:rsid wsp:val=&quot;00821A6B&quot;/&gt;&lt;wsp:rsid wsp:val=&quot;00821CE2&quot;/&gt;&lt;wsp:rsid wsp:val=&quot;008220BB&quot;/&gt;&lt;wsp:rsid wsp:val=&quot;00822539&quot;/&gt;&lt;wsp:rsid wsp:val=&quot;008234B3&quot;/&gt;&lt;wsp:rsid wsp:val=&quot;00823566&quot;/&gt;&lt;wsp:rsid wsp:val=&quot;00823B15&quot;/&gt;&lt;wsp:rsid wsp:val=&quot;00824561&quot;/&gt;&lt;wsp:rsid wsp:val=&quot;0082502E&quot;/&gt;&lt;wsp:rsid wsp:val=&quot;008251CA&quot;/&gt;&lt;wsp:rsid wsp:val=&quot;008253C6&quot;/&gt;&lt;wsp:rsid wsp:val=&quot;008253F0&quot;/&gt;&lt;wsp:rsid wsp:val=&quot;008256F2&quot;/&gt;&lt;wsp:rsid wsp:val=&quot;00825F83&quot;/&gt;&lt;wsp:rsid wsp:val=&quot;0082612E&quot;/&gt;&lt;wsp:rsid wsp:val=&quot;008262C5&quot;/&gt;&lt;wsp:rsid wsp:val=&quot;00826510&quot;/&gt;&lt;wsp:rsid wsp:val=&quot;0082706E&quot;/&gt;&lt;wsp:rsid wsp:val=&quot;0082759B&quot;/&gt;&lt;wsp:rsid wsp:val=&quot;00827BCA&quot;/&gt;&lt;wsp:rsid wsp:val=&quot;00827DAD&quot;/&gt;&lt;wsp:rsid wsp:val=&quot;00827F05&quot;/&gt;&lt;wsp:rsid wsp:val=&quot;00827F6D&quot;/&gt;&lt;wsp:rsid wsp:val=&quot;0083080E&quot;/&gt;&lt;wsp:rsid wsp:val=&quot;0083086C&quot;/&gt;&lt;wsp:rsid wsp:val=&quot;00830CF4&quot;/&gt;&lt;wsp:rsid wsp:val=&quot;00830DAF&quot;/&gt;&lt;wsp:rsid wsp:val=&quot;00830F63&quot;/&gt;&lt;wsp:rsid wsp:val=&quot;00830F77&quot;/&gt;&lt;wsp:rsid wsp:val=&quot;008311D9&quot;/&gt;&lt;wsp:rsid wsp:val=&quot;00831486&quot;/&gt;&lt;wsp:rsid wsp:val=&quot;00831AC1&quot;/&gt;&lt;wsp:rsid wsp:val=&quot;00831F2E&quot;/&gt;&lt;wsp:rsid wsp:val=&quot;008325A4&quot;/&gt;&lt;wsp:rsid wsp:val=&quot;00832ADC&quot;/&gt;&lt;wsp:rsid wsp:val=&quot;00832E81&quot;/&gt;&lt;wsp:rsid wsp:val=&quot;00833A63&quot;/&gt;&lt;wsp:rsid wsp:val=&quot;00833BF2&quot;/&gt;&lt;wsp:rsid wsp:val=&quot;00833D11&quot;/&gt;&lt;wsp:rsid wsp:val=&quot;00833D69&quot;/&gt;&lt;wsp:rsid wsp:val=&quot;00833F52&quot;/&gt;&lt;wsp:rsid wsp:val=&quot;00834120&quot;/&gt;&lt;wsp:rsid wsp:val=&quot;00834185&quot;/&gt;&lt;wsp:rsid wsp:val=&quot;00834541&quot;/&gt;&lt;wsp:rsid wsp:val=&quot;00834920&quot;/&gt;&lt;wsp:rsid wsp:val=&quot;008349E6&quot;/&gt;&lt;wsp:rsid wsp:val=&quot;00834C64&quot;/&gt;&lt;wsp:rsid wsp:val=&quot;00834ECA&quot;/&gt;&lt;wsp:rsid wsp:val=&quot;00834ED1&quot;/&gt;&lt;wsp:rsid wsp:val=&quot;00834EE9&quot;/&gt;&lt;wsp:rsid wsp:val=&quot;00835031&quot;/&gt;&lt;wsp:rsid wsp:val=&quot;008354B6&quot;/&gt;&lt;wsp:rsid wsp:val=&quot;00835797&quot;/&gt;&lt;wsp:rsid wsp:val=&quot;00835A24&quot;/&gt;&lt;wsp:rsid wsp:val=&quot;00835B9C&quot;/&gt;&lt;wsp:rsid wsp:val=&quot;00835BEA&quot;/&gt;&lt;wsp:rsid wsp:val=&quot;00835C42&quot;/&gt;&lt;wsp:rsid wsp:val=&quot;00836133&quot;/&gt;&lt;wsp:rsid wsp:val=&quot;0083635A&quot;/&gt;&lt;wsp:rsid wsp:val=&quot;008365CB&quot;/&gt;&lt;wsp:rsid wsp:val=&quot;00836C7C&quot;/&gt;&lt;wsp:rsid wsp:val=&quot;00836DB2&quot;/&gt;&lt;wsp:rsid wsp:val=&quot;00836F53&quot;/&gt;&lt;wsp:rsid wsp:val=&quot;00837197&quot;/&gt;&lt;wsp:rsid wsp:val=&quot;008375F6&quot;/&gt;&lt;wsp:rsid wsp:val=&quot;008377FE&quot;/&gt;&lt;wsp:rsid wsp:val=&quot;00837A1D&quot;/&gt;&lt;wsp:rsid wsp:val=&quot;00837D64&quot;/&gt;&lt;wsp:rsid wsp:val=&quot;00837E77&quot;/&gt;&lt;wsp:rsid wsp:val=&quot;008400EC&quot;/&gt;&lt;wsp:rsid wsp:val=&quot;0084034A&quot;/&gt;&lt;wsp:rsid wsp:val=&quot;00840447&quot;/&gt;&lt;wsp:rsid wsp:val=&quot;0084099B&quot;/&gt;&lt;wsp:rsid wsp:val=&quot;00840F5A&quot;/&gt;&lt;wsp:rsid wsp:val=&quot;00840FC2&quot;/&gt;&lt;wsp:rsid wsp:val=&quot;0084150B&quot;/&gt;&lt;wsp:rsid wsp:val=&quot;0084178A&quot;/&gt;&lt;wsp:rsid wsp:val=&quot;00841F2F&quot;/&gt;&lt;wsp:rsid wsp:val=&quot;00841F32&quot;/&gt;&lt;wsp:rsid wsp:val=&quot;00841FD5&quot;/&gt;&lt;wsp:rsid wsp:val=&quot;0084207E&quot;/&gt;&lt;wsp:rsid wsp:val=&quot;00843913&quot;/&gt;&lt;wsp:rsid wsp:val=&quot;00843B1E&quot;/&gt;&lt;wsp:rsid wsp:val=&quot;00843B27&quot;/&gt;&lt;wsp:rsid wsp:val=&quot;00844103&quot;/&gt;&lt;wsp:rsid wsp:val=&quot;008441EA&quot;/&gt;&lt;wsp:rsid wsp:val=&quot;00844794&quot;/&gt;&lt;wsp:rsid wsp:val=&quot;008447E6&quot;/&gt;&lt;wsp:rsid wsp:val=&quot;0084482C&quot;/&gt;&lt;wsp:rsid wsp:val=&quot;00845048&quot;/&gt;&lt;wsp:rsid wsp:val=&quot;008452FB&quot;/&gt;&lt;wsp:rsid wsp:val=&quot;008457C9&quot;/&gt;&lt;wsp:rsid wsp:val=&quot;00845898&quot;/&gt;&lt;wsp:rsid wsp:val=&quot;00845C8D&quot;/&gt;&lt;wsp:rsid wsp:val=&quot;00845F37&quot;/&gt;&lt;wsp:rsid wsp:val=&quot;0084642F&quot;/&gt;&lt;wsp:rsid wsp:val=&quot;00846458&quot;/&gt;&lt;wsp:rsid wsp:val=&quot;008465F4&quot;/&gt;&lt;wsp:rsid wsp:val=&quot;00846A80&quot;/&gt;&lt;wsp:rsid wsp:val=&quot;00847162&quot;/&gt;&lt;wsp:rsid wsp:val=&quot;008472BD&quot;/&gt;&lt;wsp:rsid wsp:val=&quot;008473E4&quot;/&gt;&lt;wsp:rsid wsp:val=&quot;008477EC&quot;/&gt;&lt;wsp:rsid wsp:val=&quot;008479D2&quot;/&gt;&lt;wsp:rsid wsp:val=&quot;00847D45&quot;/&gt;&lt;wsp:rsid wsp:val=&quot;00847DFB&quot;/&gt;&lt;wsp:rsid wsp:val=&quot;00847E31&quot;/&gt;&lt;wsp:rsid wsp:val=&quot;00850BAB&quot;/&gt;&lt;wsp:rsid wsp:val=&quot;00851693&quot;/&gt;&lt;wsp:rsid wsp:val=&quot;0085176F&quot;/&gt;&lt;wsp:rsid wsp:val=&quot;0085195C&quot;/&gt;&lt;wsp:rsid wsp:val=&quot;00851F11&quot;/&gt;&lt;wsp:rsid wsp:val=&quot;008521E1&quot;/&gt;&lt;wsp:rsid wsp:val=&quot;0085225F&quot;/&gt;&lt;wsp:rsid wsp:val=&quot;00852400&quot;/&gt;&lt;wsp:rsid wsp:val=&quot;00852D44&quot;/&gt;&lt;wsp:rsid wsp:val=&quot;008530EB&quot;/&gt;&lt;wsp:rsid wsp:val=&quot;0085337D&quot;/&gt;&lt;wsp:rsid wsp:val=&quot;008533E2&quot;/&gt;&lt;wsp:rsid wsp:val=&quot;0085363E&quot;/&gt;&lt;wsp:rsid wsp:val=&quot;00853EC8&quot;/&gt;&lt;wsp:rsid wsp:val=&quot;00853EDE&quot;/&gt;&lt;wsp:rsid wsp:val=&quot;0085402E&quot;/&gt;&lt;wsp:rsid wsp:val=&quot;008541BF&quot;/&gt;&lt;wsp:rsid wsp:val=&quot;008545D3&quot;/&gt;&lt;wsp:rsid wsp:val=&quot;00854628&quot;/&gt;&lt;wsp:rsid wsp:val=&quot;008547C4&quot;/&gt;&lt;wsp:rsid wsp:val=&quot;00854A4F&quot;/&gt;&lt;wsp:rsid wsp:val=&quot;00854D45&quot;/&gt;&lt;wsp:rsid wsp:val=&quot;00854F38&quot;/&gt;&lt;wsp:rsid wsp:val=&quot;00855083&quot;/&gt;&lt;wsp:rsid wsp:val=&quot;00855EDE&quot;/&gt;&lt;wsp:rsid wsp:val=&quot;00855F9C&quot;/&gt;&lt;wsp:rsid wsp:val=&quot;00856487&quot;/&gt;&lt;wsp:rsid wsp:val=&quot;0085684E&quot;/&gt;&lt;wsp:rsid wsp:val=&quot;00856EBC&quot;/&gt;&lt;wsp:rsid wsp:val=&quot;00857644&quot;/&gt;&lt;wsp:rsid wsp:val=&quot;00857B5D&quot;/&gt;&lt;wsp:rsid wsp:val=&quot;00857BD4&quot;/&gt;&lt;wsp:rsid wsp:val=&quot;00857C3A&quot;/&gt;&lt;wsp:rsid wsp:val=&quot;00857F77&quot;/&gt;&lt;wsp:rsid wsp:val=&quot;00860617&quot;/&gt;&lt;wsp:rsid wsp:val=&quot;008606ED&quot;/&gt;&lt;wsp:rsid wsp:val=&quot;0086099B&quot;/&gt;&lt;wsp:rsid wsp:val=&quot;00860CB8&quot;/&gt;&lt;wsp:rsid wsp:val=&quot;00860E78&quot;/&gt;&lt;wsp:rsid wsp:val=&quot;00860F42&quot;/&gt;&lt;wsp:rsid wsp:val=&quot;0086129F&quot;/&gt;&lt;wsp:rsid wsp:val=&quot;00861D60&quot;/&gt;&lt;wsp:rsid wsp:val=&quot;0086286D&quot;/&gt;&lt;wsp:rsid wsp:val=&quot;0086299E&quot;/&gt;&lt;wsp:rsid wsp:val=&quot;00862A79&quot;/&gt;&lt;wsp:rsid wsp:val=&quot;00862B26&quot;/&gt;&lt;wsp:rsid wsp:val=&quot;00862DF6&quot;/&gt;&lt;wsp:rsid wsp:val=&quot;0086306A&quot;/&gt;&lt;wsp:rsid wsp:val=&quot;0086392F&quot;/&gt;&lt;wsp:rsid wsp:val=&quot;00863A18&quot;/&gt;&lt;wsp:rsid wsp:val=&quot;00863A9C&quot;/&gt;&lt;wsp:rsid wsp:val=&quot;00863AAB&quot;/&gt;&lt;wsp:rsid wsp:val=&quot;00863B3E&quot;/&gt;&lt;wsp:rsid wsp:val=&quot;00863BCA&quot;/&gt;&lt;wsp:rsid wsp:val=&quot;00863C5D&quot;/&gt;&lt;wsp:rsid wsp:val=&quot;00864B9C&quot;/&gt;&lt;wsp:rsid wsp:val=&quot;00864DD5&quot;/&gt;&lt;wsp:rsid wsp:val=&quot;00864E60&quot;/&gt;&lt;wsp:rsid wsp:val=&quot;008651C2&quot;/&gt;&lt;wsp:rsid wsp:val=&quot;008656B8&quot;/&gt;&lt;wsp:rsid wsp:val=&quot;0086572F&quot;/&gt;&lt;wsp:rsid wsp:val=&quot;00865818&quot;/&gt;&lt;wsp:rsid wsp:val=&quot;0086582D&quot;/&gt;&lt;wsp:rsid wsp:val=&quot;00865D23&quot;/&gt;&lt;wsp:rsid wsp:val=&quot;00866052&quot;/&gt;&lt;wsp:rsid wsp:val=&quot;00866268&quot;/&gt;&lt;wsp:rsid wsp:val=&quot;008668B7&quot;/&gt;&lt;wsp:rsid wsp:val=&quot;00866EEA&quot;/&gt;&lt;wsp:rsid wsp:val=&quot;0086727A&quot;/&gt;&lt;wsp:rsid wsp:val=&quot;00867798&quot;/&gt;&lt;wsp:rsid wsp:val=&quot;008677CD&quot;/&gt;&lt;wsp:rsid wsp:val=&quot;00867A65&quot;/&gt;&lt;wsp:rsid wsp:val=&quot;00867C5A&quot;/&gt;&lt;wsp:rsid wsp:val=&quot;00867CB4&quot;/&gt;&lt;wsp:rsid wsp:val=&quot;00867CC3&quot;/&gt;&lt;wsp:rsid wsp:val=&quot;00867D03&quot;/&gt;&lt;wsp:rsid wsp:val=&quot;00867D35&quot;/&gt;&lt;wsp:rsid wsp:val=&quot;0087007F&quot;/&gt;&lt;wsp:rsid wsp:val=&quot;0087015A&quot;/&gt;&lt;wsp:rsid wsp:val=&quot;00870441&quot;/&gt;&lt;wsp:rsid wsp:val=&quot;008705CF&quot;/&gt;&lt;wsp:rsid wsp:val=&quot;00870F38&quot;/&gt;&lt;wsp:rsid wsp:val=&quot;00871074&quot;/&gt;&lt;wsp:rsid wsp:val=&quot;00871C8C&quot;/&gt;&lt;wsp:rsid wsp:val=&quot;008720CB&quot;/&gt;&lt;wsp:rsid wsp:val=&quot;008726A9&quot;/&gt;&lt;wsp:rsid wsp:val=&quot;00872787&quot;/&gt;&lt;wsp:rsid wsp:val=&quot;008729D0&quot;/&gt;&lt;wsp:rsid wsp:val=&quot;00872C40&quot;/&gt;&lt;wsp:rsid wsp:val=&quot;00872D7F&quot;/&gt;&lt;wsp:rsid wsp:val=&quot;00872DB3&quot;/&gt;&lt;wsp:rsid wsp:val=&quot;008736C3&quot;/&gt;&lt;wsp:rsid wsp:val=&quot;0087390D&quot;/&gt;&lt;wsp:rsid wsp:val=&quot;00873CBA&quot;/&gt;&lt;wsp:rsid wsp:val=&quot;00874008&quot;/&gt;&lt;wsp:rsid wsp:val=&quot;008740A4&quot;/&gt;&lt;wsp:rsid wsp:val=&quot;00874188&quot;/&gt;&lt;wsp:rsid wsp:val=&quot;0087486B&quot;/&gt;&lt;wsp:rsid wsp:val=&quot;00875314&quot;/&gt;&lt;wsp:rsid wsp:val=&quot;0087532C&quot;/&gt;&lt;wsp:rsid wsp:val=&quot;00875357&quot;/&gt;&lt;wsp:rsid wsp:val=&quot;00875535&quot;/&gt;&lt;wsp:rsid wsp:val=&quot;00875647&quot;/&gt;&lt;wsp:rsid wsp:val=&quot;00875C02&quot;/&gt;&lt;wsp:rsid wsp:val=&quot;00875C95&quot;/&gt;&lt;wsp:rsid wsp:val=&quot;0087627E&quot;/&gt;&lt;wsp:rsid wsp:val=&quot;00876323&quot;/&gt;&lt;wsp:rsid wsp:val=&quot;00876E08&quot;/&gt;&lt;wsp:rsid wsp:val=&quot;008771C4&quot;/&gt;&lt;wsp:rsid wsp:val=&quot;008771E1&quot;/&gt;&lt;wsp:rsid wsp:val=&quot;008772EF&quot;/&gt;&lt;wsp:rsid wsp:val=&quot;00877482&quot;/&gt;&lt;wsp:rsid wsp:val=&quot;0087793A&quot;/&gt;&lt;wsp:rsid wsp:val=&quot;00877A42&quot;/&gt;&lt;wsp:rsid wsp:val=&quot;00877CCA&quot;/&gt;&lt;wsp:rsid wsp:val=&quot;00877E26&quot;/&gt;&lt;wsp:rsid wsp:val=&quot;00877F97&quot;/&gt;&lt;wsp:rsid wsp:val=&quot;00880187&quot;/&gt;&lt;wsp:rsid wsp:val=&quot;008807B2&quot;/&gt;&lt;wsp:rsid wsp:val=&quot;00880B0F&quot;/&gt;&lt;wsp:rsid wsp:val=&quot;00880B38&quot;/&gt;&lt;wsp:rsid wsp:val=&quot;008810ED&quot;/&gt;&lt;wsp:rsid wsp:val=&quot;0088155F&quot;/&gt;&lt;wsp:rsid wsp:val=&quot;00881959&quot;/&gt;&lt;wsp:rsid wsp:val=&quot;00881ABE&quot;/&gt;&lt;wsp:rsid wsp:val=&quot;00881C47&quot;/&gt;&lt;wsp:rsid wsp:val=&quot;00881FA6&quot;/&gt;&lt;wsp:rsid wsp:val=&quot;00881FC5&quot;/&gt;&lt;wsp:rsid wsp:val=&quot;008827B5&quot;/&gt;&lt;wsp:rsid wsp:val=&quot;00882E0E&quot;/&gt;&lt;wsp:rsid wsp:val=&quot;00883479&quot;/&gt;&lt;wsp:rsid wsp:val=&quot;00883601&quot;/&gt;&lt;wsp:rsid wsp:val=&quot;00884438&quot;/&gt;&lt;wsp:rsid wsp:val=&quot;008845D2&quot;/&gt;&lt;wsp:rsid wsp:val=&quot;00884689&quot;/&gt;&lt;wsp:rsid wsp:val=&quot;00884986&quot;/&gt;&lt;wsp:rsid wsp:val=&quot;00884E3A&quot;/&gt;&lt;wsp:rsid wsp:val=&quot;00884F66&quot;/&gt;&lt;wsp:rsid wsp:val=&quot;00885945&quot;/&gt;&lt;wsp:rsid wsp:val=&quot;00886031&quot;/&gt;&lt;wsp:rsid wsp:val=&quot;00886287&quot;/&gt;&lt;wsp:rsid wsp:val=&quot;008865EF&quot;/&gt;&lt;wsp:rsid wsp:val=&quot;00886926&quot;/&gt;&lt;wsp:rsid wsp:val=&quot;008869CD&quot;/&gt;&lt;wsp:rsid wsp:val=&quot;00886C82&quot;/&gt;&lt;wsp:rsid wsp:val=&quot;00886CA9&quot;/&gt;&lt;wsp:rsid wsp:val=&quot;00886F3F&quot;/&gt;&lt;wsp:rsid wsp:val=&quot;00887159&quot;/&gt;&lt;wsp:rsid wsp:val=&quot;008871E3&quot;/&gt;&lt;wsp:rsid wsp:val=&quot;0088732A&quot;/&gt;&lt;wsp:rsid wsp:val=&quot;008876C3&quot;/&gt;&lt;wsp:rsid wsp:val=&quot;0088771E&quot;/&gt;&lt;wsp:rsid wsp:val=&quot;00887E0A&quot;/&gt;&lt;wsp:rsid wsp:val=&quot;00887F79&quot;/&gt;&lt;wsp:rsid wsp:val=&quot;00890178&quot;/&gt;&lt;wsp:rsid wsp:val=&quot;0089018B&quot;/&gt;&lt;wsp:rsid wsp:val=&quot;008908F5&quot;/&gt;&lt;wsp:rsid wsp:val=&quot;00890907&quot;/&gt;&lt;wsp:rsid wsp:val=&quot;00890DFA&quot;/&gt;&lt;wsp:rsid wsp:val=&quot;00890F78&quot;/&gt;&lt;wsp:rsid wsp:val=&quot;0089120C&quot;/&gt;&lt;wsp:rsid wsp:val=&quot;008912E6&quot;/&gt;&lt;wsp:rsid wsp:val=&quot;0089138D&quot;/&gt;&lt;wsp:rsid wsp:val=&quot;00891863&quot;/&gt;&lt;wsp:rsid wsp:val=&quot;00891FAF&quot;/&gt;&lt;wsp:rsid wsp:val=&quot;008925B1&quot;/&gt;&lt;wsp:rsid wsp:val=&quot;0089275F&quot;/&gt;&lt;wsp:rsid wsp:val=&quot;00892A3B&quot;/&gt;&lt;wsp:rsid wsp:val=&quot;00892CA5&quot;/&gt;&lt;wsp:rsid wsp:val=&quot;00892E00&quot;/&gt;&lt;wsp:rsid wsp:val=&quot;00892E48&quot;/&gt;&lt;wsp:rsid wsp:val=&quot;00892E84&quot;/&gt;&lt;wsp:rsid wsp:val=&quot;0089333C&quot;/&gt;&lt;wsp:rsid wsp:val=&quot;00893479&quot;/&gt;&lt;wsp:rsid wsp:val=&quot;00893902&quot;/&gt;&lt;wsp:rsid wsp:val=&quot;00893A12&quot;/&gt;&lt;wsp:rsid wsp:val=&quot;00894712&quot;/&gt;&lt;wsp:rsid wsp:val=&quot;00894888&quot;/&gt;&lt;wsp:rsid wsp:val=&quot;008949DC&quot;/&gt;&lt;wsp:rsid wsp:val=&quot;00894D38&quot;/&gt;&lt;wsp:rsid wsp:val=&quot;00894EB0&quot;/&gt;&lt;wsp:rsid wsp:val=&quot;008950DA&quot;/&gt;&lt;wsp:rsid wsp:val=&quot;00895431&quot;/&gt;&lt;wsp:rsid wsp:val=&quot;00896177&quot;/&gt;&lt;wsp:rsid wsp:val=&quot;0089699E&quot;/&gt;&lt;wsp:rsid wsp:val=&quot;00896A7F&quot;/&gt;&lt;wsp:rsid wsp:val=&quot;00897169&quot;/&gt;&lt;wsp:rsid wsp:val=&quot;00897285&quot;/&gt;&lt;wsp:rsid wsp:val=&quot;00897399&quot;/&gt;&lt;wsp:rsid wsp:val=&quot;00897681&quot;/&gt;&lt;wsp:rsid wsp:val=&quot;0089779C&quot;/&gt;&lt;wsp:rsid wsp:val=&quot;00897D80&quot;/&gt;&lt;wsp:rsid wsp:val=&quot;00897DD2&quot;/&gt;&lt;wsp:rsid wsp:val=&quot;008A0385&quot;/&gt;&lt;wsp:rsid wsp:val=&quot;008A0DCD&quot;/&gt;&lt;wsp:rsid wsp:val=&quot;008A0EDE&quot;/&gt;&lt;wsp:rsid wsp:val=&quot;008A0EE8&quot;/&gt;&lt;wsp:rsid wsp:val=&quot;008A1306&quot;/&gt;&lt;wsp:rsid wsp:val=&quot;008A14C4&quot;/&gt;&lt;wsp:rsid wsp:val=&quot;008A20A1&quot;/&gt;&lt;wsp:rsid wsp:val=&quot;008A241C&quot;/&gt;&lt;wsp:rsid wsp:val=&quot;008A247F&quot;/&gt;&lt;wsp:rsid wsp:val=&quot;008A25DF&quot;/&gt;&lt;wsp:rsid wsp:val=&quot;008A2A7F&quot;/&gt;&lt;wsp:rsid wsp:val=&quot;008A2BC2&quot;/&gt;&lt;wsp:rsid wsp:val=&quot;008A2EED&quot;/&gt;&lt;wsp:rsid wsp:val=&quot;008A3B93&quot;/&gt;&lt;wsp:rsid wsp:val=&quot;008A3C64&quot;/&gt;&lt;wsp:rsid wsp:val=&quot;008A3D0B&quot;/&gt;&lt;wsp:rsid wsp:val=&quot;008A3EBD&quot;/&gt;&lt;wsp:rsid wsp:val=&quot;008A3FE9&quot;/&gt;&lt;wsp:rsid wsp:val=&quot;008A4144&quot;/&gt;&lt;wsp:rsid wsp:val=&quot;008A4E20&quot;/&gt;&lt;wsp:rsid wsp:val=&quot;008A4EA3&quot;/&gt;&lt;wsp:rsid wsp:val=&quot;008A5893&quot;/&gt;&lt;wsp:rsid wsp:val=&quot;008A5F7B&quot;/&gt;&lt;wsp:rsid wsp:val=&quot;008A6419&quot;/&gt;&lt;wsp:rsid wsp:val=&quot;008A6E62&quot;/&gt;&lt;wsp:rsid wsp:val=&quot;008A7024&quot;/&gt;&lt;wsp:rsid wsp:val=&quot;008A760B&quot;/&gt;&lt;wsp:rsid wsp:val=&quot;008A7E5B&quot;/&gt;&lt;wsp:rsid wsp:val=&quot;008A7F16&quot;/&gt;&lt;wsp:rsid wsp:val=&quot;008A7FF1&quot;/&gt;&lt;wsp:rsid wsp:val=&quot;008B03B8&quot;/&gt;&lt;wsp:rsid wsp:val=&quot;008B0AEA&quot;/&gt;&lt;wsp:rsid wsp:val=&quot;008B0CE3&quot;/&gt;&lt;wsp:rsid wsp:val=&quot;008B0CFB&quot;/&gt;&lt;wsp:rsid wsp:val=&quot;008B0D74&quot;/&gt;&lt;wsp:rsid wsp:val=&quot;008B1657&quot;/&gt;&lt;wsp:rsid wsp:val=&quot;008B167F&quot;/&gt;&lt;wsp:rsid wsp:val=&quot;008B1B1E&quot;/&gt;&lt;wsp:rsid wsp:val=&quot;008B1C53&quot;/&gt;&lt;wsp:rsid wsp:val=&quot;008B1EDF&quot;/&gt;&lt;wsp:rsid wsp:val=&quot;008B21D4&quot;/&gt;&lt;wsp:rsid wsp:val=&quot;008B22BA&quot;/&gt;&lt;wsp:rsid wsp:val=&quot;008B2A6C&quot;/&gt;&lt;wsp:rsid wsp:val=&quot;008B2C88&quot;/&gt;&lt;wsp:rsid wsp:val=&quot;008B317E&quot;/&gt;&lt;wsp:rsid wsp:val=&quot;008B3BFC&quot;/&gt;&lt;wsp:rsid wsp:val=&quot;008B417A&quot;/&gt;&lt;wsp:rsid wsp:val=&quot;008B47DF&quot;/&gt;&lt;wsp:rsid wsp:val=&quot;008B4ACB&quot;/&gt;&lt;wsp:rsid wsp:val=&quot;008B4BD6&quot;/&gt;&lt;wsp:rsid wsp:val=&quot;008B4C4F&quot;/&gt;&lt;wsp:rsid wsp:val=&quot;008B4CD5&quot;/&gt;&lt;wsp:rsid wsp:val=&quot;008B4D67&quot;/&gt;&lt;wsp:rsid wsp:val=&quot;008B513C&quot;/&gt;&lt;wsp:rsid wsp:val=&quot;008B515C&quot;/&gt;&lt;wsp:rsid wsp:val=&quot;008B544C&quot;/&gt;&lt;wsp:rsid wsp:val=&quot;008B5962&quot;/&gt;&lt;wsp:rsid wsp:val=&quot;008B62D2&quot;/&gt;&lt;wsp:rsid wsp:val=&quot;008B6326&quot;/&gt;&lt;wsp:rsid wsp:val=&quot;008B6513&quot;/&gt;&lt;wsp:rsid wsp:val=&quot;008B6CC7&quot;/&gt;&lt;wsp:rsid wsp:val=&quot;008B7083&quot;/&gt;&lt;wsp:rsid wsp:val=&quot;008B79F6&quot;/&gt;&lt;wsp:rsid wsp:val=&quot;008B7BA6&quot;/&gt;&lt;wsp:rsid wsp:val=&quot;008B7BDD&quot;/&gt;&lt;wsp:rsid wsp:val=&quot;008C004F&quot;/&gt;&lt;wsp:rsid wsp:val=&quot;008C00FA&quot;/&gt;&lt;wsp:rsid wsp:val=&quot;008C031E&quot;/&gt;&lt;wsp:rsid wsp:val=&quot;008C0496&quot;/&gt;&lt;wsp:rsid wsp:val=&quot;008C0725&quot;/&gt;&lt;wsp:rsid wsp:val=&quot;008C09C3&quot;/&gt;&lt;wsp:rsid wsp:val=&quot;008C0A2C&quot;/&gt;&lt;wsp:rsid wsp:val=&quot;008C0CD1&quot;/&gt;&lt;wsp:rsid wsp:val=&quot;008C0FCD&quot;/&gt;&lt;wsp:rsid wsp:val=&quot;008C141C&quot;/&gt;&lt;wsp:rsid wsp:val=&quot;008C178B&quot;/&gt;&lt;wsp:rsid wsp:val=&quot;008C1CEF&quot;/&gt;&lt;wsp:rsid wsp:val=&quot;008C1FB8&quot;/&gt;&lt;wsp:rsid wsp:val=&quot;008C2188&quot;/&gt;&lt;wsp:rsid wsp:val=&quot;008C28FC&quot;/&gt;&lt;wsp:rsid wsp:val=&quot;008C2B53&quot;/&gt;&lt;wsp:rsid wsp:val=&quot;008C2C5D&quot;/&gt;&lt;wsp:rsid wsp:val=&quot;008C2DF1&quot;/&gt;&lt;wsp:rsid wsp:val=&quot;008C2E09&quot;/&gt;&lt;wsp:rsid wsp:val=&quot;008C2E73&quot;/&gt;&lt;wsp:rsid wsp:val=&quot;008C2F26&quot;/&gt;&lt;wsp:rsid wsp:val=&quot;008C304E&quot;/&gt;&lt;wsp:rsid wsp:val=&quot;008C3341&quot;/&gt;&lt;wsp:rsid wsp:val=&quot;008C3B27&quot;/&gt;&lt;wsp:rsid wsp:val=&quot;008C40F4&quot;/&gt;&lt;wsp:rsid wsp:val=&quot;008C4236&quot;/&gt;&lt;wsp:rsid wsp:val=&quot;008C440D&quot;/&gt;&lt;wsp:rsid wsp:val=&quot;008C45EB&quot;/&gt;&lt;wsp:rsid wsp:val=&quot;008C4AA7&quot;/&gt;&lt;wsp:rsid wsp:val=&quot;008C5370&quot;/&gt;&lt;wsp:rsid wsp:val=&quot;008C53E6&quot;/&gt;&lt;wsp:rsid wsp:val=&quot;008C61E8&quot;/&gt;&lt;wsp:rsid wsp:val=&quot;008C65D8&quot;/&gt;&lt;wsp:rsid wsp:val=&quot;008C6723&quot;/&gt;&lt;wsp:rsid wsp:val=&quot;008C69F0&quot;/&gt;&lt;wsp:rsid wsp:val=&quot;008C6F58&quot;/&gt;&lt;wsp:rsid wsp:val=&quot;008C71C6&quot;/&gt;&lt;wsp:rsid wsp:val=&quot;008C7236&quot;/&gt;&lt;wsp:rsid wsp:val=&quot;008C7457&quot;/&gt;&lt;wsp:rsid wsp:val=&quot;008C765C&quot;/&gt;&lt;wsp:rsid wsp:val=&quot;008C7731&quot;/&gt;&lt;wsp:rsid wsp:val=&quot;008C77E4&quot;/&gt;&lt;wsp:rsid wsp:val=&quot;008C7A0B&quot;/&gt;&lt;wsp:rsid wsp:val=&quot;008C7A60&quot;/&gt;&lt;wsp:rsid wsp:val=&quot;008C7B67&quot;/&gt;&lt;wsp:rsid wsp:val=&quot;008C7F15&quot;/&gt;&lt;wsp:rsid wsp:val=&quot;008D09DE&quot;/&gt;&lt;wsp:rsid wsp:val=&quot;008D0F15&quot;/&gt;&lt;wsp:rsid wsp:val=&quot;008D1621&quot;/&gt;&lt;wsp:rsid wsp:val=&quot;008D172B&quot;/&gt;&lt;wsp:rsid wsp:val=&quot;008D1BA5&quot;/&gt;&lt;wsp:rsid wsp:val=&quot;008D2C98&quot;/&gt;&lt;wsp:rsid wsp:val=&quot;008D3458&quot;/&gt;&lt;wsp:rsid wsp:val=&quot;008D345E&quot;/&gt;&lt;wsp:rsid wsp:val=&quot;008D3466&quot;/&gt;&lt;wsp:rsid wsp:val=&quot;008D3B15&quot;/&gt;&lt;wsp:rsid wsp:val=&quot;008D3B7B&quot;/&gt;&lt;wsp:rsid wsp:val=&quot;008D3C87&quot;/&gt;&lt;wsp:rsid wsp:val=&quot;008D4662&quot;/&gt;&lt;wsp:rsid wsp:val=&quot;008D46B1&quot;/&gt;&lt;wsp:rsid wsp:val=&quot;008D5085&quot;/&gt;&lt;wsp:rsid wsp:val=&quot;008D514A&quot;/&gt;&lt;wsp:rsid wsp:val=&quot;008D55C8&quot;/&gt;&lt;wsp:rsid wsp:val=&quot;008D621C&quot;/&gt;&lt;wsp:rsid wsp:val=&quot;008D656C&quot;/&gt;&lt;wsp:rsid wsp:val=&quot;008D6AB6&quot;/&gt;&lt;wsp:rsid wsp:val=&quot;008D6AEA&quot;/&gt;&lt;wsp:rsid wsp:val=&quot;008D6F9D&quot;/&gt;&lt;wsp:rsid wsp:val=&quot;008D72C8&quot;/&gt;&lt;wsp:rsid wsp:val=&quot;008D770F&quot;/&gt;&lt;wsp:rsid wsp:val=&quot;008D7967&quot;/&gt;&lt;wsp:rsid wsp:val=&quot;008D7A0C&quot;/&gt;&lt;wsp:rsid wsp:val=&quot;008D7B18&quot;/&gt;&lt;wsp:rsid wsp:val=&quot;008E0261&quot;/&gt;&lt;wsp:rsid wsp:val=&quot;008E050A&quot;/&gt;&lt;wsp:rsid wsp:val=&quot;008E06ED&quot;/&gt;&lt;wsp:rsid wsp:val=&quot;008E093D&quot;/&gt;&lt;wsp:rsid wsp:val=&quot;008E14EB&quot;/&gt;&lt;wsp:rsid wsp:val=&quot;008E15B8&quot;/&gt;&lt;wsp:rsid wsp:val=&quot;008E1948&quot;/&gt;&lt;wsp:rsid wsp:val=&quot;008E1BEC&quot;/&gt;&lt;wsp:rsid wsp:val=&quot;008E1CB1&quot;/&gt;&lt;wsp:rsid wsp:val=&quot;008E1F08&quot;/&gt;&lt;wsp:rsid wsp:val=&quot;008E2320&quot;/&gt;&lt;wsp:rsid wsp:val=&quot;008E240F&quot;/&gt;&lt;wsp:rsid wsp:val=&quot;008E2575&quot;/&gt;&lt;wsp:rsid wsp:val=&quot;008E2A9B&quot;/&gt;&lt;wsp:rsid wsp:val=&quot;008E2BD1&quot;/&gt;&lt;wsp:rsid wsp:val=&quot;008E3342&quot;/&gt;&lt;wsp:rsid wsp:val=&quot;008E3398&quot;/&gt;&lt;wsp:rsid wsp:val=&quot;008E39F4&quot;/&gt;&lt;wsp:rsid wsp:val=&quot;008E3B1C&quot;/&gt;&lt;wsp:rsid wsp:val=&quot;008E3EB2&quot;/&gt;&lt;wsp:rsid wsp:val=&quot;008E4C43&quot;/&gt;&lt;wsp:rsid wsp:val=&quot;008E52F2&quot;/&gt;&lt;wsp:rsid wsp:val=&quot;008E539B&quot;/&gt;&lt;wsp:rsid wsp:val=&quot;008E5769&quot;/&gt;&lt;wsp:rsid wsp:val=&quot;008E58ED&quot;/&gt;&lt;wsp:rsid wsp:val=&quot;008E5B55&quot;/&gt;&lt;wsp:rsid wsp:val=&quot;008E5BD6&quot;/&gt;&lt;wsp:rsid wsp:val=&quot;008E5F0C&quot;/&gt;&lt;wsp:rsid wsp:val=&quot;008E6158&quot;/&gt;&lt;wsp:rsid wsp:val=&quot;008E62F9&quot;/&gt;&lt;wsp:rsid wsp:val=&quot;008E6605&quot;/&gt;&lt;wsp:rsid wsp:val=&quot;008E673A&quot;/&gt;&lt;wsp:rsid wsp:val=&quot;008E67E1&quot;/&gt;&lt;wsp:rsid wsp:val=&quot;008E6921&quot;/&gt;&lt;wsp:rsid wsp:val=&quot;008E6AEC&quot;/&gt;&lt;wsp:rsid wsp:val=&quot;008E6BFD&quot;/&gt;&lt;wsp:rsid wsp:val=&quot;008E6CBC&quot;/&gt;&lt;wsp:rsid wsp:val=&quot;008E6F19&quot;/&gt;&lt;wsp:rsid wsp:val=&quot;008E79A0&quot;/&gt;&lt;wsp:rsid wsp:val=&quot;008E7DAA&quot;/&gt;&lt;wsp:rsid wsp:val=&quot;008F0505&quot;/&gt;&lt;wsp:rsid wsp:val=&quot;008F0771&quot;/&gt;&lt;wsp:rsid wsp:val=&quot;008F0966&quot;/&gt;&lt;wsp:rsid wsp:val=&quot;008F0E42&quot;/&gt;&lt;wsp:rsid wsp:val=&quot;008F0E74&quot;/&gt;&lt;wsp:rsid wsp:val=&quot;008F1131&quot;/&gt;&lt;wsp:rsid wsp:val=&quot;008F195C&quot;/&gt;&lt;wsp:rsid wsp:val=&quot;008F1A00&quot;/&gt;&lt;wsp:rsid wsp:val=&quot;008F1AD7&quot;/&gt;&lt;wsp:rsid wsp:val=&quot;008F22D5&quot;/&gt;&lt;wsp:rsid wsp:val=&quot;008F23C5&quot;/&gt;&lt;wsp:rsid wsp:val=&quot;008F26C8&quot;/&gt;&lt;wsp:rsid wsp:val=&quot;008F29EB&quot;/&gt;&lt;wsp:rsid wsp:val=&quot;008F2DDD&quot;/&gt;&lt;wsp:rsid wsp:val=&quot;008F30D9&quot;/&gt;&lt;wsp:rsid wsp:val=&quot;008F359F&quot;/&gt;&lt;wsp:rsid wsp:val=&quot;008F37EC&quot;/&gt;&lt;wsp:rsid wsp:val=&quot;008F3CF8&quot;/&gt;&lt;wsp:rsid wsp:val=&quot;008F3D5C&quot;/&gt;&lt;wsp:rsid wsp:val=&quot;008F3F23&quot;/&gt;&lt;wsp:rsid wsp:val=&quot;008F3F37&quot;/&gt;&lt;wsp:rsid wsp:val=&quot;008F46EB&quot;/&gt;&lt;wsp:rsid wsp:val=&quot;008F4BD8&quot;/&gt;&lt;wsp:rsid wsp:val=&quot;008F4D67&quot;/&gt;&lt;wsp:rsid wsp:val=&quot;008F4E9C&quot;/&gt;&lt;wsp:rsid wsp:val=&quot;008F514D&quot;/&gt;&lt;wsp:rsid wsp:val=&quot;008F546D&quot;/&gt;&lt;wsp:rsid wsp:val=&quot;008F5489&quot;/&gt;&lt;wsp:rsid wsp:val=&quot;008F5BE4&quot;/&gt;&lt;wsp:rsid wsp:val=&quot;008F5C1E&quot;/&gt;&lt;wsp:rsid wsp:val=&quot;008F5C8A&quot;/&gt;&lt;wsp:rsid wsp:val=&quot;008F601F&quot;/&gt;&lt;wsp:rsid wsp:val=&quot;008F6099&quot;/&gt;&lt;wsp:rsid wsp:val=&quot;008F618B&quot;/&gt;&lt;wsp:rsid wsp:val=&quot;008F667B&quot;/&gt;&lt;wsp:rsid wsp:val=&quot;008F6C87&quot;/&gt;&lt;wsp:rsid wsp:val=&quot;008F70CD&quot;/&gt;&lt;wsp:rsid wsp:val=&quot;008F7C27&quot;/&gt;&lt;wsp:rsid wsp:val=&quot;00900513&quot;/&gt;&lt;wsp:rsid wsp:val=&quot;00900E61&quot;/&gt;&lt;wsp:rsid wsp:val=&quot;0090117A&quot;/&gt;&lt;wsp:rsid wsp:val=&quot;0090154D&quot;/&gt;&lt;wsp:rsid wsp:val=&quot;00901580&quot;/&gt;&lt;wsp:rsid wsp:val=&quot;0090189D&quot;/&gt;&lt;wsp:rsid wsp:val=&quot;0090293D&quot;/&gt;&lt;wsp:rsid wsp:val=&quot;00902AC5&quot;/&gt;&lt;wsp:rsid wsp:val=&quot;00902C25&quot;/&gt;&lt;wsp:rsid wsp:val=&quot;0090300A&quot;/&gt;&lt;wsp:rsid wsp:val=&quot;00903216&quot;/&gt;&lt;wsp:rsid wsp:val=&quot;00903272&quot;/&gt;&lt;wsp:rsid wsp:val=&quot;00903532&quot;/&gt;&lt;wsp:rsid wsp:val=&quot;00903794&quot;/&gt;&lt;wsp:rsid wsp:val=&quot;00904FBC&quot;/&gt;&lt;wsp:rsid wsp:val=&quot;009055EB&quot;/&gt;&lt;wsp:rsid wsp:val=&quot;00905B69&quot;/&gt;&lt;wsp:rsid wsp:val=&quot;009060A8&quot;/&gt;&lt;wsp:rsid wsp:val=&quot;00906853&quot;/&gt;&lt;wsp:rsid wsp:val=&quot;00906856&quot;/&gt;&lt;wsp:rsid wsp:val=&quot;00906864&quot;/&gt;&lt;wsp:rsid wsp:val=&quot;00906A15&quot;/&gt;&lt;wsp:rsid wsp:val=&quot;00906ABF&quot;/&gt;&lt;wsp:rsid wsp:val=&quot;00906C11&quot;/&gt;&lt;wsp:rsid wsp:val=&quot;009071AE&quot;/&gt;&lt;wsp:rsid wsp:val=&quot;0090749D&quot;/&gt;&lt;wsp:rsid wsp:val=&quot;00907596&quot;/&gt;&lt;wsp:rsid wsp:val=&quot;0090764B&quot;/&gt;&lt;wsp:rsid wsp:val=&quot;009076CB&quot;/&gt;&lt;wsp:rsid wsp:val=&quot;009078AF&quot;/&gt;&lt;wsp:rsid wsp:val=&quot;00907EB1&quot;/&gt;&lt;wsp:rsid wsp:val=&quot;00907EEC&quot;/&gt;&lt;wsp:rsid wsp:val=&quot;009102C4&quot;/&gt;&lt;wsp:rsid wsp:val=&quot;00910BA2&quot;/&gt;&lt;wsp:rsid wsp:val=&quot;00910D04&quot;/&gt;&lt;wsp:rsid wsp:val=&quot;00910F7B&quot;/&gt;&lt;wsp:rsid wsp:val=&quot;009115C8&quot;/&gt;&lt;wsp:rsid wsp:val=&quot;00911733&quot;/&gt;&lt;wsp:rsid wsp:val=&quot;0091179B&quot;/&gt;&lt;wsp:rsid wsp:val=&quot;0091257C&quot;/&gt;&lt;wsp:rsid wsp:val=&quot;0091271F&quot;/&gt;&lt;wsp:rsid wsp:val=&quot;00912CE0&quot;/&gt;&lt;wsp:rsid wsp:val=&quot;00912DD2&quot;/&gt;&lt;wsp:rsid wsp:val=&quot;00912F07&quot;/&gt;&lt;wsp:rsid wsp:val=&quot;00912F87&quot;/&gt;&lt;wsp:rsid wsp:val=&quot;009132AA&quot;/&gt;&lt;wsp:rsid wsp:val=&quot;009135E5&quot;/&gt;&lt;wsp:rsid wsp:val=&quot;00913717&quot;/&gt;&lt;wsp:rsid wsp:val=&quot;00913790&quot;/&gt;&lt;wsp:rsid wsp:val=&quot;00913C7F&quot;/&gt;&lt;wsp:rsid wsp:val=&quot;00913D47&quot;/&gt;&lt;wsp:rsid wsp:val=&quot;00913E9D&quot;/&gt;&lt;wsp:rsid wsp:val=&quot;009143DF&quot;/&gt;&lt;wsp:rsid wsp:val=&quot;00914437&quot;/&gt;&lt;wsp:rsid wsp:val=&quot;009147CE&quot;/&gt;&lt;wsp:rsid wsp:val=&quot;00914AB9&quot;/&gt;&lt;wsp:rsid wsp:val=&quot;00914F69&quot;/&gt;&lt;wsp:rsid wsp:val=&quot;009157B4&quot;/&gt;&lt;wsp:rsid wsp:val=&quot;0091624C&quot;/&gt;&lt;wsp:rsid wsp:val=&quot;00916658&quot;/&gt;&lt;wsp:rsid wsp:val=&quot;00916E5A&quot;/&gt;&lt;wsp:rsid wsp:val=&quot;00917177&quot;/&gt;&lt;wsp:rsid wsp:val=&quot;009175C8&quot;/&gt;&lt;wsp:rsid wsp:val=&quot;00917B3B&quot;/&gt;&lt;wsp:rsid wsp:val=&quot;0092006C&quot;/&gt;&lt;wsp:rsid wsp:val=&quot;00920473&quot;/&gt;&lt;wsp:rsid wsp:val=&quot;0092088B&quot;/&gt;&lt;wsp:rsid wsp:val=&quot;00920AD2&quot;/&gt;&lt;wsp:rsid wsp:val=&quot;00920FA4&quot;/&gt;&lt;wsp:rsid wsp:val=&quot;0092109F&quot;/&gt;&lt;wsp:rsid wsp:val=&quot;00921510&quot;/&gt;&lt;wsp:rsid wsp:val=&quot;0092193B&quot;/&gt;&lt;wsp:rsid wsp:val=&quot;009219D3&quot;/&gt;&lt;wsp:rsid wsp:val=&quot;00921D32&quot;/&gt;&lt;wsp:rsid wsp:val=&quot;0092209F&quot;/&gt;&lt;wsp:rsid wsp:val=&quot;00922279&quot;/&gt;&lt;wsp:rsid wsp:val=&quot;00922548&quot;/&gt;&lt;wsp:rsid wsp:val=&quot;0092254B&quot;/&gt;&lt;wsp:rsid wsp:val=&quot;00922B18&quot;/&gt;&lt;wsp:rsid wsp:val=&quot;00923118&quot;/&gt;&lt;wsp:rsid wsp:val=&quot;009236E3&quot;/&gt;&lt;wsp:rsid wsp:val=&quot;00923A43&quot;/&gt;&lt;wsp:rsid wsp:val=&quot;00923AE0&quot;/&gt;&lt;wsp:rsid wsp:val=&quot;00923BC3&quot;/&gt;&lt;wsp:rsid wsp:val=&quot;00923E43&quot;/&gt;&lt;wsp:rsid wsp:val=&quot;00923F54&quot;/&gt;&lt;wsp:rsid wsp:val=&quot;00924E02&quot;/&gt;&lt;wsp:rsid wsp:val=&quot;00924E30&quot;/&gt;&lt;wsp:rsid wsp:val=&quot;009251D0&quot;/&gt;&lt;wsp:rsid wsp:val=&quot;00925774&quot;/&gt;&lt;wsp:rsid wsp:val=&quot;00925821&quot;/&gt;&lt;wsp:rsid wsp:val=&quot;00925FF3&quot;/&gt;&lt;wsp:rsid wsp:val=&quot;00926802&quot;/&gt;&lt;wsp:rsid wsp:val=&quot;009269F5&quot;/&gt;&lt;wsp:rsid wsp:val=&quot;00927BAA&quot;/&gt;&lt;wsp:rsid wsp:val=&quot;00927CCF&quot;/&gt;&lt;wsp:rsid wsp:val=&quot;00927DB4&quot;/&gt;&lt;wsp:rsid wsp:val=&quot;00927F77&quot;/&gt;&lt;wsp:rsid wsp:val=&quot;00927FEB&quot;/&gt;&lt;wsp:rsid wsp:val=&quot;009304F1&quot;/&gt;&lt;wsp:rsid wsp:val=&quot;00930641&quot;/&gt;&lt;wsp:rsid wsp:val=&quot;0093088D&quot;/&gt;&lt;wsp:rsid wsp:val=&quot;00930C11&quot;/&gt;&lt;wsp:rsid wsp:val=&quot;00930D0B&quot;/&gt;&lt;wsp:rsid wsp:val=&quot;00930DD3&quot;/&gt;&lt;wsp:rsid wsp:val=&quot;009313EC&quot;/&gt;&lt;wsp:rsid wsp:val=&quot;00931554&quot;/&gt;&lt;wsp:rsid wsp:val=&quot;00931B48&quot;/&gt;&lt;wsp:rsid wsp:val=&quot;00931CE2&quot;/&gt;&lt;wsp:rsid wsp:val=&quot;0093200C&quot;/&gt;&lt;wsp:rsid wsp:val=&quot;009325ED&quot;/&gt;&lt;wsp:rsid wsp:val=&quot;0093275E&quot;/&gt;&lt;wsp:rsid wsp:val=&quot;0093287D&quot;/&gt;&lt;wsp:rsid wsp:val=&quot;00932D4D&quot;/&gt;&lt;wsp:rsid wsp:val=&quot;00932DE2&quot;/&gt;&lt;wsp:rsid wsp:val=&quot;00932E21&quot;/&gt;&lt;wsp:rsid wsp:val=&quot;0093355D&quot;/&gt;&lt;wsp:rsid wsp:val=&quot;00933887&quot;/&gt;&lt;wsp:rsid wsp:val=&quot;009339E0&quot;/&gt;&lt;wsp:rsid wsp:val=&quot;00933DB8&quot;/&gt;&lt;wsp:rsid wsp:val=&quot;00933E9F&quot;/&gt;&lt;wsp:rsid wsp:val=&quot;0093457B&quot;/&gt;&lt;wsp:rsid wsp:val=&quot;00934D3B&quot;/&gt;&lt;wsp:rsid wsp:val=&quot;0093523C&quot;/&gt;&lt;wsp:rsid wsp:val=&quot;009352D1&quot;/&gt;&lt;wsp:rsid wsp:val=&quot;00935CC2&quot;/&gt;&lt;wsp:rsid wsp:val=&quot;00935D23&quot;/&gt;&lt;wsp:rsid wsp:val=&quot;0093605F&quot;/&gt;&lt;wsp:rsid wsp:val=&quot;009360C9&quot;/&gt;&lt;wsp:rsid wsp:val=&quot;00936545&quot;/&gt;&lt;wsp:rsid wsp:val=&quot;00936D64&quot;/&gt;&lt;wsp:rsid wsp:val=&quot;00936F3A&quot;/&gt;&lt;wsp:rsid wsp:val=&quot;00936F68&quot;/&gt;&lt;wsp:rsid wsp:val=&quot;00937205&quot;/&gt;&lt;wsp:rsid wsp:val=&quot;0093729E&quot;/&gt;&lt;wsp:rsid wsp:val=&quot;009378CC&quot;/&gt;&lt;wsp:rsid wsp:val=&quot;00937B53&quot;/&gt;&lt;wsp:rsid wsp:val=&quot;00937BA2&quot;/&gt;&lt;wsp:rsid wsp:val=&quot;00940009&quot;/&gt;&lt;wsp:rsid wsp:val=&quot;009403B1&quot;/&gt;&lt;wsp:rsid wsp:val=&quot;00940992&quot;/&gt;&lt;wsp:rsid wsp:val=&quot;00940B40&quot;/&gt;&lt;wsp:rsid wsp:val=&quot;00940B47&quot;/&gt;&lt;wsp:rsid wsp:val=&quot;00940C7A&quot;/&gt;&lt;wsp:rsid wsp:val=&quot;00940E2E&quot;/&gt;&lt;wsp:rsid wsp:val=&quot;00940ECD&quot;/&gt;&lt;wsp:rsid wsp:val=&quot;00941161&quot;/&gt;&lt;wsp:rsid wsp:val=&quot;0094116E&quot;/&gt;&lt;wsp:rsid wsp:val=&quot;00941302&quot;/&gt;&lt;wsp:rsid wsp:val=&quot;0094131C&quot;/&gt;&lt;wsp:rsid wsp:val=&quot;0094136B&quot;/&gt;&lt;wsp:rsid wsp:val=&quot;00941555&quot;/&gt;&lt;wsp:rsid wsp:val=&quot;00941B19&quot;/&gt;&lt;wsp:rsid wsp:val=&quot;009424BE&quot;/&gt;&lt;wsp:rsid wsp:val=&quot;009426FC&quot;/&gt;&lt;wsp:rsid wsp:val=&quot;009428F9&quot;/&gt;&lt;wsp:rsid wsp:val=&quot;00943268&quot;/&gt;&lt;wsp:rsid wsp:val=&quot;00943605&quot;/&gt;&lt;wsp:rsid wsp:val=&quot;00943812&quot;/&gt;&lt;wsp:rsid wsp:val=&quot;00943923&quot;/&gt;&lt;wsp:rsid wsp:val=&quot;00943EB7&quot;/&gt;&lt;wsp:rsid wsp:val=&quot;00943F71&quot;/&gt;&lt;wsp:rsid wsp:val=&quot;00943FBC&quot;/&gt;&lt;wsp:rsid wsp:val=&quot;009452AE&quot;/&gt;&lt;wsp:rsid wsp:val=&quot;00945548&quot;/&gt;&lt;wsp:rsid wsp:val=&quot;00945834&quot;/&gt;&lt;wsp:rsid wsp:val=&quot;009458E4&quot;/&gt;&lt;wsp:rsid wsp:val=&quot;00945A9F&quot;/&gt;&lt;wsp:rsid wsp:val=&quot;00945CDE&quot;/&gt;&lt;wsp:rsid wsp:val=&quot;00945DD4&quot;/&gt;&lt;wsp:rsid wsp:val=&quot;0094626E&quot;/&gt;&lt;wsp:rsid wsp:val=&quot;009463D7&quot;/&gt;&lt;wsp:rsid wsp:val=&quot;00946B1E&quot;/&gt;&lt;wsp:rsid wsp:val=&quot;00946EC2&quot;/&gt;&lt;wsp:rsid wsp:val=&quot;0094764A&quot;/&gt;&lt;wsp:rsid wsp:val=&quot;009479DB&quot;/&gt;&lt;wsp:rsid wsp:val=&quot;0095016A&quot;/&gt;&lt;wsp:rsid wsp:val=&quot;0095038D&quot;/&gt;&lt;wsp:rsid wsp:val=&quot;00951969&quot;/&gt;&lt;wsp:rsid wsp:val=&quot;00951BB1&quot;/&gt;&lt;wsp:rsid wsp:val=&quot;00951ED8&quot;/&gt;&lt;wsp:rsid wsp:val=&quot;009524C6&quot;/&gt;&lt;wsp:rsid wsp:val=&quot;009527FE&quot;/&gt;&lt;wsp:rsid wsp:val=&quot;00952805&quot;/&gt;&lt;wsp:rsid wsp:val=&quot;00952C7D&quot;/&gt;&lt;wsp:rsid wsp:val=&quot;00952ED4&quot;/&gt;&lt;wsp:rsid wsp:val=&quot;00953062&quot;/&gt;&lt;wsp:rsid wsp:val=&quot;00953263&quot;/&gt;&lt;wsp:rsid wsp:val=&quot;00953AFF&quot;/&gt;&lt;wsp:rsid wsp:val=&quot;00953BA1&quot;/&gt;&lt;wsp:rsid wsp:val=&quot;00953E7D&quot;/&gt;&lt;wsp:rsid wsp:val=&quot;00953FA0&quot;/&gt;&lt;wsp:rsid wsp:val=&quot;00954233&quot;/&gt;&lt;wsp:rsid wsp:val=&quot;00954283&quot;/&gt;&lt;wsp:rsid wsp:val=&quot;0095446D&quot;/&gt;&lt;wsp:rsid wsp:val=&quot;0095452A&quot;/&gt;&lt;wsp:rsid wsp:val=&quot;0095460C&quot;/&gt;&lt;wsp:rsid wsp:val=&quot;0095480E&quot;/&gt;&lt;wsp:rsid wsp:val=&quot;00954BAD&quot;/&gt;&lt;wsp:rsid wsp:val=&quot;00954E91&quot;/&gt;&lt;wsp:rsid wsp:val=&quot;009550C2&quot;/&gt;&lt;wsp:rsid wsp:val=&quot;0095533C&quot;/&gt;&lt;wsp:rsid wsp:val=&quot;009557A8&quot;/&gt;&lt;wsp:rsid wsp:val=&quot;00955DE6&quot;/&gt;&lt;wsp:rsid wsp:val=&quot;00955DF3&quot;/&gt;&lt;wsp:rsid wsp:val=&quot;00955DFE&quot;/&gt;&lt;wsp:rsid wsp:val=&quot;00955F0C&quot;/&gt;&lt;wsp:rsid wsp:val=&quot;009560F5&quot;/&gt;&lt;wsp:rsid wsp:val=&quot;00956C7D&quot;/&gt;&lt;wsp:rsid wsp:val=&quot;00956CDB&quot;/&gt;&lt;wsp:rsid wsp:val=&quot;0095730C&quot;/&gt;&lt;wsp:rsid wsp:val=&quot;00957695&quot;/&gt;&lt;wsp:rsid wsp:val=&quot;009576DE&quot;/&gt;&lt;wsp:rsid wsp:val=&quot;00957CC0&quot;/&gt;&lt;wsp:rsid wsp:val=&quot;00957D47&quot;/&gt;&lt;wsp:rsid wsp:val=&quot;00957EC5&quot;/&gt;&lt;wsp:rsid wsp:val=&quot;00960237&quot;/&gt;&lt;wsp:rsid wsp:val=&quot;0096032B&quot;/&gt;&lt;wsp:rsid wsp:val=&quot;009606AB&quot;/&gt;&lt;wsp:rsid wsp:val=&quot;009609B8&quot;/&gt;&lt;wsp:rsid wsp:val=&quot;00960A1B&quot;/&gt;&lt;wsp:rsid wsp:val=&quot;00960A5B&quot;/&gt;&lt;wsp:rsid wsp:val=&quot;00960DD3&quot;/&gt;&lt;wsp:rsid wsp:val=&quot;00960DF8&quot;/&gt;&lt;wsp:rsid wsp:val=&quot;00960F40&quot;/&gt;&lt;wsp:rsid wsp:val=&quot;00960FA4&quot;/&gt;&lt;wsp:rsid wsp:val=&quot;00961315&quot;/&gt;&lt;wsp:rsid wsp:val=&quot;0096148D&quot;/&gt;&lt;wsp:rsid wsp:val=&quot;00962566&quot;/&gt;&lt;wsp:rsid wsp:val=&quot;00962DEC&quot;/&gt;&lt;wsp:rsid wsp:val=&quot;0096305B&quot;/&gt;&lt;wsp:rsid wsp:val=&quot;00963321&quot;/&gt;&lt;wsp:rsid wsp:val=&quot;0096374E&quot;/&gt;&lt;wsp:rsid wsp:val=&quot;0096384C&quot;/&gt;&lt;wsp:rsid wsp:val=&quot;00963990&quot;/&gt;&lt;wsp:rsid wsp:val=&quot;00963F3E&quot;/&gt;&lt;wsp:rsid wsp:val=&quot;00963FB5&quot;/&gt;&lt;wsp:rsid wsp:val=&quot;00964615&quot;/&gt;&lt;wsp:rsid wsp:val=&quot;00964654&quot;/&gt;&lt;wsp:rsid wsp:val=&quot;009648C7&quot;/&gt;&lt;wsp:rsid wsp:val=&quot;00964F94&quot;/&gt;&lt;wsp:rsid wsp:val=&quot;009655CE&quot;/&gt;&lt;wsp:rsid wsp:val=&quot;00965D54&quot;/&gt;&lt;wsp:rsid wsp:val=&quot;009662CE&quot;/&gt;&lt;wsp:rsid wsp:val=&quot;00966480&quot;/&gt;&lt;wsp:rsid wsp:val=&quot;009667B5&quot;/&gt;&lt;wsp:rsid wsp:val=&quot;0096690C&quot;/&gt;&lt;wsp:rsid wsp:val=&quot;00966956&quot;/&gt;&lt;wsp:rsid wsp:val=&quot;00966A9F&quot;/&gt;&lt;wsp:rsid wsp:val=&quot;0096711A&quot;/&gt;&lt;wsp:rsid wsp:val=&quot;00967304&quot;/&gt;&lt;wsp:rsid wsp:val=&quot;00967551&quot;/&gt;&lt;wsp:rsid wsp:val=&quot;009675E9&quot;/&gt;&lt;wsp:rsid wsp:val=&quot;009677A1&quot;/&gt;&lt;wsp:rsid wsp:val=&quot;00970D50&quot;/&gt;&lt;wsp:rsid wsp:val=&quot;00970FEB&quot;/&gt;&lt;wsp:rsid wsp:val=&quot;00971110&quot;/&gt;&lt;wsp:rsid wsp:val=&quot;0097136E&quot;/&gt;&lt;wsp:rsid wsp:val=&quot;009713D0&quot;/&gt;&lt;wsp:rsid wsp:val=&quot;00971927&quot;/&gt;&lt;wsp:rsid wsp:val=&quot;00971969&quot;/&gt;&lt;wsp:rsid wsp:val=&quot;00971BC7&quot;/&gt;&lt;wsp:rsid wsp:val=&quot;00971C05&quot;/&gt;&lt;wsp:rsid wsp:val=&quot;00971CAA&quot;/&gt;&lt;wsp:rsid wsp:val=&quot;00972210&quot;/&gt;&lt;wsp:rsid wsp:val=&quot;0097343E&quot;/&gt;&lt;wsp:rsid wsp:val=&quot;00973AAB&quot;/&gt;&lt;wsp:rsid wsp:val=&quot;00973C00&quot;/&gt;&lt;wsp:rsid wsp:val=&quot;00973D92&quot;/&gt;&lt;wsp:rsid wsp:val=&quot;00973E53&quot;/&gt;&lt;wsp:rsid wsp:val=&quot;00974110&quot;/&gt;&lt;wsp:rsid wsp:val=&quot;009741DD&quot;/&gt;&lt;wsp:rsid wsp:val=&quot;009742E5&quot;/&gt;&lt;wsp:rsid wsp:val=&quot;00974907&quot;/&gt;&lt;wsp:rsid wsp:val=&quot;00974AE7&quot;/&gt;&lt;wsp:rsid wsp:val=&quot;0097550F&quot;/&gt;&lt;wsp:rsid wsp:val=&quot;0097594A&quot;/&gt;&lt;wsp:rsid wsp:val=&quot;009759C3&quot;/&gt;&lt;wsp:rsid wsp:val=&quot;00975A0E&quot;/&gt;&lt;wsp:rsid wsp:val=&quot;00976090&quot;/&gt;&lt;wsp:rsid wsp:val=&quot;0097735E&quot;/&gt;&lt;wsp:rsid wsp:val=&quot;0097784C&quot;/&gt;&lt;wsp:rsid wsp:val=&quot;009778A0&quot;/&gt;&lt;wsp:rsid wsp:val=&quot;00977B6E&quot;/&gt;&lt;wsp:rsid wsp:val=&quot;00977D78&quot;/&gt;&lt;wsp:rsid wsp:val=&quot;009801FA&quot;/&gt;&lt;wsp:rsid wsp:val=&quot;00980377&quot;/&gt;&lt;wsp:rsid wsp:val=&quot;00980390&quot;/&gt;&lt;wsp:rsid wsp:val=&quot;009803F5&quot;/&gt;&lt;wsp:rsid wsp:val=&quot;00980790&quot;/&gt;&lt;wsp:rsid wsp:val=&quot;00980BB9&quot;/&gt;&lt;wsp:rsid wsp:val=&quot;00980E2A&quot;/&gt;&lt;wsp:rsid wsp:val=&quot;00980EC8&quot;/&gt;&lt;wsp:rsid wsp:val=&quot;009815C2&quot;/&gt;&lt;wsp:rsid wsp:val=&quot;0098278D&quot;/&gt;&lt;wsp:rsid wsp:val=&quot;00982AC4&quot;/&gt;&lt;wsp:rsid wsp:val=&quot;0098346C&quot;/&gt;&lt;wsp:rsid wsp:val=&quot;0098353D&quot;/&gt;&lt;wsp:rsid wsp:val=&quot;009835FB&quot;/&gt;&lt;wsp:rsid wsp:val=&quot;00983797&quot;/&gt;&lt;wsp:rsid wsp:val=&quot;00983827&quot;/&gt;&lt;wsp:rsid wsp:val=&quot;0098488D&quot;/&gt;&lt;wsp:rsid wsp:val=&quot;00984A8C&quot;/&gt;&lt;wsp:rsid wsp:val=&quot;00984AAD&quot;/&gt;&lt;wsp:rsid wsp:val=&quot;00984B8B&quot;/&gt;&lt;wsp:rsid wsp:val=&quot;00984D74&quot;/&gt;&lt;wsp:rsid wsp:val=&quot;00984DD8&quot;/&gt;&lt;wsp:rsid wsp:val=&quot;0098508E&quot;/&gt;&lt;wsp:rsid wsp:val=&quot;009852F4&quot;/&gt;&lt;wsp:rsid wsp:val=&quot;009859BF&quot;/&gt;&lt;wsp:rsid wsp:val=&quot;00987163&quot;/&gt;&lt;wsp:rsid wsp:val=&quot;0098754F&quot;/&gt;&lt;wsp:rsid wsp:val=&quot;00987980&quot;/&gt;&lt;wsp:rsid wsp:val=&quot;00987E89&quot;/&gt;&lt;wsp:rsid wsp:val=&quot;00991459&quot;/&gt;&lt;wsp:rsid wsp:val=&quot;00991671&quot;/&gt;&lt;wsp:rsid wsp:val=&quot;00991782&quot;/&gt;&lt;wsp:rsid wsp:val=&quot;009917E3&quot;/&gt;&lt;wsp:rsid wsp:val=&quot;00991A13&quot;/&gt;&lt;wsp:rsid wsp:val=&quot;00991E2A&quot;/&gt;&lt;wsp:rsid wsp:val=&quot;009921AD&quot;/&gt;&lt;wsp:rsid wsp:val=&quot;009921D4&quot;/&gt;&lt;wsp:rsid wsp:val=&quot;0099278A&quot;/&gt;&lt;wsp:rsid wsp:val=&quot;00992869&quot;/&gt;&lt;wsp:rsid wsp:val=&quot;00992C3D&quot;/&gt;&lt;wsp:rsid wsp:val=&quot;00992DE3&quot;/&gt;&lt;wsp:rsid wsp:val=&quot;0099312A&quot;/&gt;&lt;wsp:rsid wsp:val=&quot;00993200&quot;/&gt;&lt;wsp:rsid wsp:val=&quot;00993249&quot;/&gt;&lt;wsp:rsid wsp:val=&quot;00993475&quot;/&gt;&lt;wsp:rsid wsp:val=&quot;00993B49&quot;/&gt;&lt;wsp:rsid wsp:val=&quot;00993BD3&quot;/&gt;&lt;wsp:rsid wsp:val=&quot;00994D3E&quot;/&gt;&lt;wsp:rsid wsp:val=&quot;009955E0&quot;/&gt;&lt;wsp:rsid wsp:val=&quot;00995611&quot;/&gt;&lt;wsp:rsid wsp:val=&quot;009957D0&quot;/&gt;&lt;wsp:rsid wsp:val=&quot;009958F6&quot;/&gt;&lt;wsp:rsid wsp:val=&quot;00995A30&quot;/&gt;&lt;wsp:rsid wsp:val=&quot;00995C78&quot;/&gt;&lt;wsp:rsid wsp:val=&quot;00995D52&quot;/&gt;&lt;wsp:rsid wsp:val=&quot;00995D62&quot;/&gt;&lt;wsp:rsid wsp:val=&quot;00995EED&quot;/&gt;&lt;wsp:rsid wsp:val=&quot;0099609C&quot;/&gt;&lt;wsp:rsid wsp:val=&quot;009967AD&quot;/&gt;&lt;wsp:rsid wsp:val=&quot;00996821&quot;/&gt;&lt;wsp:rsid wsp:val=&quot;009969C4&quot;/&gt;&lt;wsp:rsid wsp:val=&quot;00996C5E&quot;/&gt;&lt;wsp:rsid wsp:val=&quot;00996E57&quot;/&gt;&lt;wsp:rsid wsp:val=&quot;009972EB&quot;/&gt;&lt;wsp:rsid wsp:val=&quot;00997809&quot;/&gt;&lt;wsp:rsid wsp:val=&quot;009A00EF&quot;/&gt;&lt;wsp:rsid wsp:val=&quot;009A031D&quot;/&gt;&lt;wsp:rsid wsp:val=&quot;009A0546&quot;/&gt;&lt;wsp:rsid wsp:val=&quot;009A0691&quot;/&gt;&lt;wsp:rsid wsp:val=&quot;009A0AA4&quot;/&gt;&lt;wsp:rsid wsp:val=&quot;009A1202&quot;/&gt;&lt;wsp:rsid wsp:val=&quot;009A16E8&quot;/&gt;&lt;wsp:rsid wsp:val=&quot;009A170E&quot;/&gt;&lt;wsp:rsid wsp:val=&quot;009A1756&quot;/&gt;&lt;wsp:rsid wsp:val=&quot;009A179F&quot;/&gt;&lt;wsp:rsid wsp:val=&quot;009A1F5C&quot;/&gt;&lt;wsp:rsid wsp:val=&quot;009A215F&quot;/&gt;&lt;wsp:rsid wsp:val=&quot;009A24E6&quot;/&gt;&lt;wsp:rsid wsp:val=&quot;009A24F6&quot;/&gt;&lt;wsp:rsid wsp:val=&quot;009A2528&quot;/&gt;&lt;wsp:rsid wsp:val=&quot;009A261F&quot;/&gt;&lt;wsp:rsid wsp:val=&quot;009A295F&quot;/&gt;&lt;wsp:rsid wsp:val=&quot;009A2EEB&quot;/&gt;&lt;wsp:rsid wsp:val=&quot;009A3A57&quot;/&gt;&lt;wsp:rsid wsp:val=&quot;009A3CCC&quot;/&gt;&lt;wsp:rsid wsp:val=&quot;009A4396&quot;/&gt;&lt;wsp:rsid wsp:val=&quot;009A452F&quot;/&gt;&lt;wsp:rsid wsp:val=&quot;009A46B8&quot;/&gt;&lt;wsp:rsid wsp:val=&quot;009A4725&quot;/&gt;&lt;wsp:rsid wsp:val=&quot;009A4863&quot;/&gt;&lt;wsp:rsid wsp:val=&quot;009A4996&quot;/&gt;&lt;wsp:rsid wsp:val=&quot;009A4BC2&quot;/&gt;&lt;wsp:rsid wsp:val=&quot;009A4F9A&quot;/&gt;&lt;wsp:rsid wsp:val=&quot;009A5039&quot;/&gt;&lt;wsp:rsid wsp:val=&quot;009A519E&quot;/&gt;&lt;wsp:rsid wsp:val=&quot;009A5423&quot;/&gt;&lt;wsp:rsid wsp:val=&quot;009A5468&quot;/&gt;&lt;wsp:rsid wsp:val=&quot;009A57B5&quot;/&gt;&lt;wsp:rsid wsp:val=&quot;009A5B9A&quot;/&gt;&lt;wsp:rsid wsp:val=&quot;009A5E75&quot;/&gt;&lt;wsp:rsid wsp:val=&quot;009A60AE&quot;/&gt;&lt;wsp:rsid wsp:val=&quot;009A616D&quot;/&gt;&lt;wsp:rsid wsp:val=&quot;009A6712&quot;/&gt;&lt;wsp:rsid wsp:val=&quot;009A68F1&quot;/&gt;&lt;wsp:rsid wsp:val=&quot;009A6A5B&quot;/&gt;&lt;wsp:rsid wsp:val=&quot;009A6B39&quot;/&gt;&lt;wsp:rsid wsp:val=&quot;009A6D9B&quot;/&gt;&lt;wsp:rsid wsp:val=&quot;009A7078&quot;/&gt;&lt;wsp:rsid wsp:val=&quot;009A751C&quot;/&gt;&lt;wsp:rsid wsp:val=&quot;009A7768&quot;/&gt;&lt;wsp:rsid wsp:val=&quot;009A778F&quot;/&gt;&lt;wsp:rsid wsp:val=&quot;009A7BB0&quot;/&gt;&lt;wsp:rsid wsp:val=&quot;009A7BFB&quot;/&gt;&lt;wsp:rsid wsp:val=&quot;009A7C9E&quot;/&gt;&lt;wsp:rsid wsp:val=&quot;009B030A&quot;/&gt;&lt;wsp:rsid wsp:val=&quot;009B0BA0&quot;/&gt;&lt;wsp:rsid wsp:val=&quot;009B0D0E&quot;/&gt;&lt;wsp:rsid wsp:val=&quot;009B0D1C&quot;/&gt;&lt;wsp:rsid wsp:val=&quot;009B1D40&quot;/&gt;&lt;wsp:rsid wsp:val=&quot;009B2453&quot;/&gt;&lt;wsp:rsid wsp:val=&quot;009B25C0&quot;/&gt;&lt;wsp:rsid wsp:val=&quot;009B2649&quot;/&gt;&lt;wsp:rsid wsp:val=&quot;009B27CF&quot;/&gt;&lt;wsp:rsid wsp:val=&quot;009B2818&quot;/&gt;&lt;wsp:rsid wsp:val=&quot;009B2A7E&quot;/&gt;&lt;wsp:rsid wsp:val=&quot;009B2AAF&quot;/&gt;&lt;wsp:rsid wsp:val=&quot;009B2AFC&quot;/&gt;&lt;wsp:rsid wsp:val=&quot;009B2B4B&quot;/&gt;&lt;wsp:rsid wsp:val=&quot;009B2DDF&quot;/&gt;&lt;wsp:rsid wsp:val=&quot;009B3261&quot;/&gt;&lt;wsp:rsid wsp:val=&quot;009B3DE1&quot;/&gt;&lt;wsp:rsid wsp:val=&quot;009B4723&quot;/&gt;&lt;wsp:rsid wsp:val=&quot;009B4B92&quot;/&gt;&lt;wsp:rsid wsp:val=&quot;009B54B4&quot;/&gt;&lt;wsp:rsid wsp:val=&quot;009B5A4D&quot;/&gt;&lt;wsp:rsid wsp:val=&quot;009B5BB6&quot;/&gt;&lt;wsp:rsid wsp:val=&quot;009B6CDE&quot;/&gt;&lt;wsp:rsid wsp:val=&quot;009B7120&quot;/&gt;&lt;wsp:rsid wsp:val=&quot;009B79FA&quot;/&gt;&lt;wsp:rsid wsp:val=&quot;009B7A35&quot;/&gt;&lt;wsp:rsid wsp:val=&quot;009B7B82&quot;/&gt;&lt;wsp:rsid wsp:val=&quot;009B7DC2&quot;/&gt;&lt;wsp:rsid wsp:val=&quot;009C053E&quot;/&gt;&lt;wsp:rsid wsp:val=&quot;009C06B6&quot;/&gt;&lt;wsp:rsid wsp:val=&quot;009C08EA&quot;/&gt;&lt;wsp:rsid wsp:val=&quot;009C09FD&quot;/&gt;&lt;wsp:rsid wsp:val=&quot;009C0D5C&quot;/&gt;&lt;wsp:rsid wsp:val=&quot;009C1451&quot;/&gt;&lt;wsp:rsid wsp:val=&quot;009C1F4F&quot;/&gt;&lt;wsp:rsid wsp:val=&quot;009C2072&quot;/&gt;&lt;wsp:rsid wsp:val=&quot;009C23D6&quot;/&gt;&lt;wsp:rsid wsp:val=&quot;009C2722&quot;/&gt;&lt;wsp:rsid wsp:val=&quot;009C2729&quot;/&gt;&lt;wsp:rsid wsp:val=&quot;009C2784&quot;/&gt;&lt;wsp:rsid wsp:val=&quot;009C2AEA&quot;/&gt;&lt;wsp:rsid wsp:val=&quot;009C2C3F&quot;/&gt;&lt;wsp:rsid wsp:val=&quot;009C2FDD&quot;/&gt;&lt;wsp:rsid wsp:val=&quot;009C34F9&quot;/&gt;&lt;wsp:rsid wsp:val=&quot;009C35E7&quot;/&gt;&lt;wsp:rsid wsp:val=&quot;009C36E7&quot;/&gt;&lt;wsp:rsid wsp:val=&quot;009C38E9&quot;/&gt;&lt;wsp:rsid wsp:val=&quot;009C39F3&quot;/&gt;&lt;wsp:rsid wsp:val=&quot;009C3E94&quot;/&gt;&lt;wsp:rsid wsp:val=&quot;009C3FCC&quot;/&gt;&lt;wsp:rsid wsp:val=&quot;009C4BE5&quot;/&gt;&lt;wsp:rsid wsp:val=&quot;009C4ED7&quot;/&gt;&lt;wsp:rsid wsp:val=&quot;009C4F74&quot;/&gt;&lt;wsp:rsid wsp:val=&quot;009C5115&quot;/&gt;&lt;wsp:rsid wsp:val=&quot;009C517E&quot;/&gt;&lt;wsp:rsid wsp:val=&quot;009C542D&quot;/&gt;&lt;wsp:rsid wsp:val=&quot;009C57E9&quot;/&gt;&lt;wsp:rsid wsp:val=&quot;009C5B1C&quot;/&gt;&lt;wsp:rsid wsp:val=&quot;009C5BC1&quot;/&gt;&lt;wsp:rsid wsp:val=&quot;009C6835&quot;/&gt;&lt;wsp:rsid wsp:val=&quot;009C696A&quot;/&gt;&lt;wsp:rsid wsp:val=&quot;009C6BF5&quot;/&gt;&lt;wsp:rsid wsp:val=&quot;009C708E&quot;/&gt;&lt;wsp:rsid wsp:val=&quot;009C715D&quot;/&gt;&lt;wsp:rsid wsp:val=&quot;009C76B8&quot;/&gt;&lt;wsp:rsid wsp:val=&quot;009C7E16&quot;/&gt;&lt;wsp:rsid wsp:val=&quot;009C7E8B&quot;/&gt;&lt;wsp:rsid wsp:val=&quot;009C7F54&quot;/&gt;&lt;wsp:rsid wsp:val=&quot;009C7F9F&quot;/&gt;&lt;wsp:rsid wsp:val=&quot;009D04EE&quot;/&gt;&lt;wsp:rsid wsp:val=&quot;009D07C5&quot;/&gt;&lt;wsp:rsid wsp:val=&quot;009D0A80&quot;/&gt;&lt;wsp:rsid wsp:val=&quot;009D0AA1&quot;/&gt;&lt;wsp:rsid wsp:val=&quot;009D0AF6&quot;/&gt;&lt;wsp:rsid wsp:val=&quot;009D0B58&quot;/&gt;&lt;wsp:rsid wsp:val=&quot;009D0BEB&quot;/&gt;&lt;wsp:rsid wsp:val=&quot;009D11AD&quot;/&gt;&lt;wsp:rsid wsp:val=&quot;009D1479&quot;/&gt;&lt;wsp:rsid wsp:val=&quot;009D15E4&quot;/&gt;&lt;wsp:rsid wsp:val=&quot;009D162D&quot;/&gt;&lt;wsp:rsid wsp:val=&quot;009D17A0&quot;/&gt;&lt;wsp:rsid wsp:val=&quot;009D19F1&quot;/&gt;&lt;wsp:rsid wsp:val=&quot;009D2125&quot;/&gt;&lt;wsp:rsid wsp:val=&quot;009D227E&quot;/&gt;&lt;wsp:rsid wsp:val=&quot;009D23AA&quot;/&gt;&lt;wsp:rsid wsp:val=&quot;009D23C0&quot;/&gt;&lt;wsp:rsid wsp:val=&quot;009D281F&quot;/&gt;&lt;wsp:rsid wsp:val=&quot;009D298A&quot;/&gt;&lt;wsp:rsid wsp:val=&quot;009D29F0&quot;/&gt;&lt;wsp:rsid wsp:val=&quot;009D2B6B&quot;/&gt;&lt;wsp:rsid wsp:val=&quot;009D2BE3&quot;/&gt;&lt;wsp:rsid wsp:val=&quot;009D2E4A&quot;/&gt;&lt;wsp:rsid wsp:val=&quot;009D2EBB&quot;/&gt;&lt;wsp:rsid wsp:val=&quot;009D2FBB&quot;/&gt;&lt;wsp:rsid wsp:val=&quot;009D31E6&quot;/&gt;&lt;wsp:rsid wsp:val=&quot;009D35BB&quot;/&gt;&lt;wsp:rsid wsp:val=&quot;009D3A39&quot;/&gt;&lt;wsp:rsid wsp:val=&quot;009D3AE1&quot;/&gt;&lt;wsp:rsid wsp:val=&quot;009D3AF5&quot;/&gt;&lt;wsp:rsid wsp:val=&quot;009D461A&quot;/&gt;&lt;wsp:rsid wsp:val=&quot;009D56D5&quot;/&gt;&lt;wsp:rsid wsp:val=&quot;009D57B6&quot;/&gt;&lt;wsp:rsid wsp:val=&quot;009D5916&quot;/&gt;&lt;wsp:rsid wsp:val=&quot;009D5D5E&quot;/&gt;&lt;wsp:rsid wsp:val=&quot;009D6099&quot;/&gt;&lt;wsp:rsid wsp:val=&quot;009D61D7&quot;/&gt;&lt;wsp:rsid wsp:val=&quot;009D61E5&quot;/&gt;&lt;wsp:rsid wsp:val=&quot;009D6605&quot;/&gt;&lt;wsp:rsid wsp:val=&quot;009D67EA&quot;/&gt;&lt;wsp:rsid wsp:val=&quot;009D6ABA&quot;/&gt;&lt;wsp:rsid wsp:val=&quot;009D6ABF&quot;/&gt;&lt;wsp:rsid wsp:val=&quot;009D6D5A&quot;/&gt;&lt;wsp:rsid wsp:val=&quot;009D79DB&quot;/&gt;&lt;wsp:rsid wsp:val=&quot;009D7A84&quot;/&gt;&lt;wsp:rsid wsp:val=&quot;009D7AB4&quot;/&gt;&lt;wsp:rsid wsp:val=&quot;009D7D1E&quot;/&gt;&lt;wsp:rsid wsp:val=&quot;009D7FD1&quot;/&gt;&lt;wsp:rsid wsp:val=&quot;009E037F&quot;/&gt;&lt;wsp:rsid wsp:val=&quot;009E07DE&quot;/&gt;&lt;wsp:rsid wsp:val=&quot;009E0BCD&quot;/&gt;&lt;wsp:rsid wsp:val=&quot;009E0BEF&quot;/&gt;&lt;wsp:rsid wsp:val=&quot;009E0DD7&quot;/&gt;&lt;wsp:rsid wsp:val=&quot;009E0F4D&quot;/&gt;&lt;wsp:rsid wsp:val=&quot;009E0FB4&quot;/&gt;&lt;wsp:rsid wsp:val=&quot;009E1086&quot;/&gt;&lt;wsp:rsid wsp:val=&quot;009E1294&quot;/&gt;&lt;wsp:rsid wsp:val=&quot;009E19F8&quot;/&gt;&lt;wsp:rsid wsp:val=&quot;009E1C77&quot;/&gt;&lt;wsp:rsid wsp:val=&quot;009E2DEE&quot;/&gt;&lt;wsp:rsid wsp:val=&quot;009E36EB&quot;/&gt;&lt;wsp:rsid wsp:val=&quot;009E3E4C&quot;/&gt;&lt;wsp:rsid wsp:val=&quot;009E3FFF&quot;/&gt;&lt;wsp:rsid wsp:val=&quot;009E45F4&quot;/&gt;&lt;wsp:rsid wsp:val=&quot;009E4622&quot;/&gt;&lt;wsp:rsid wsp:val=&quot;009E48F5&quot;/&gt;&lt;wsp:rsid wsp:val=&quot;009E5044&quot;/&gt;&lt;wsp:rsid wsp:val=&quot;009E5060&quot;/&gt;&lt;wsp:rsid wsp:val=&quot;009E53F0&quot;/&gt;&lt;wsp:rsid wsp:val=&quot;009E53F2&quot;/&gt;&lt;wsp:rsid wsp:val=&quot;009E5666&quot;/&gt;&lt;wsp:rsid wsp:val=&quot;009E56C1&quot;/&gt;&lt;wsp:rsid wsp:val=&quot;009E591E&quot;/&gt;&lt;wsp:rsid wsp:val=&quot;009E5D87&quot;/&gt;&lt;wsp:rsid wsp:val=&quot;009E5DE0&quot;/&gt;&lt;wsp:rsid wsp:val=&quot;009E68A8&quot;/&gt;&lt;wsp:rsid wsp:val=&quot;009E6988&quot;/&gt;&lt;wsp:rsid wsp:val=&quot;009E6C73&quot;/&gt;&lt;wsp:rsid wsp:val=&quot;009E6CC9&quot;/&gt;&lt;wsp:rsid wsp:val=&quot;009E71EE&quot;/&gt;&lt;wsp:rsid wsp:val=&quot;009E7D27&quot;/&gt;&lt;wsp:rsid wsp:val=&quot;009F0DAA&quot;/&gt;&lt;wsp:rsid wsp:val=&quot;009F0E30&quot;/&gt;&lt;wsp:rsid wsp:val=&quot;009F1B40&quot;/&gt;&lt;wsp:rsid wsp:val=&quot;009F1C8A&quot;/&gt;&lt;wsp:rsid wsp:val=&quot;009F254F&quot;/&gt;&lt;wsp:rsid wsp:val=&quot;009F26F9&quot;/&gt;&lt;wsp:rsid wsp:val=&quot;009F2846&quot;/&gt;&lt;wsp:rsid wsp:val=&quot;009F2AFA&quot;/&gt;&lt;wsp:rsid wsp:val=&quot;009F2D02&quot;/&gt;&lt;wsp:rsid wsp:val=&quot;009F3060&quot;/&gt;&lt;wsp:rsid wsp:val=&quot;009F37DD&quot;/&gt;&lt;wsp:rsid wsp:val=&quot;009F3857&quot;/&gt;&lt;wsp:rsid wsp:val=&quot;009F3960&quot;/&gt;&lt;wsp:rsid wsp:val=&quot;009F3C41&quot;/&gt;&lt;wsp:rsid wsp:val=&quot;009F426A&quot;/&gt;&lt;wsp:rsid wsp:val=&quot;009F4681&quot;/&gt;&lt;wsp:rsid wsp:val=&quot;009F48C5&quot;/&gt;&lt;wsp:rsid wsp:val=&quot;009F4D8C&quot;/&gt;&lt;wsp:rsid wsp:val=&quot;009F4FFF&quot;/&gt;&lt;wsp:rsid wsp:val=&quot;009F519D&quot;/&gt;&lt;wsp:rsid wsp:val=&quot;009F5232&quot;/&gt;&lt;wsp:rsid wsp:val=&quot;009F52A3&quot;/&gt;&lt;wsp:rsid wsp:val=&quot;009F53C7&quot;/&gt;&lt;wsp:rsid wsp:val=&quot;009F56F5&quot;/&gt;&lt;wsp:rsid wsp:val=&quot;009F590B&quot;/&gt;&lt;wsp:rsid wsp:val=&quot;009F5AF6&quot;/&gt;&lt;wsp:rsid wsp:val=&quot;009F5EC0&quot;/&gt;&lt;wsp:rsid wsp:val=&quot;009F6174&quot;/&gt;&lt;wsp:rsid wsp:val=&quot;009F61F3&quot;/&gt;&lt;wsp:rsid wsp:val=&quot;009F6612&quot;/&gt;&lt;wsp:rsid wsp:val=&quot;009F66D0&quot;/&gt;&lt;wsp:rsid wsp:val=&quot;009F6BFF&quot;/&gt;&lt;wsp:rsid wsp:val=&quot;009F6C12&quot;/&gt;&lt;wsp:rsid wsp:val=&quot;009F6C6F&quot;/&gt;&lt;wsp:rsid wsp:val=&quot;009F6D60&quot;/&gt;&lt;wsp:rsid wsp:val=&quot;009F6E91&quot;/&gt;&lt;wsp:rsid wsp:val=&quot;009F7704&quot;/&gt;&lt;wsp:rsid wsp:val=&quot;009F7E7D&quot;/&gt;&lt;wsp:rsid wsp:val=&quot;00A00108&quot;/&gt;&lt;wsp:rsid wsp:val=&quot;00A0029D&quot;/&gt;&lt;wsp:rsid wsp:val=&quot;00A006E2&quot;/&gt;&lt;wsp:rsid wsp:val=&quot;00A006EE&quot;/&gt;&lt;wsp:rsid wsp:val=&quot;00A0074F&quot;/&gt;&lt;wsp:rsid wsp:val=&quot;00A00F23&quot;/&gt;&lt;wsp:rsid wsp:val=&quot;00A013C1&quot;/&gt;&lt;wsp:rsid wsp:val=&quot;00A01BB7&quot;/&gt;&lt;wsp:rsid wsp:val=&quot;00A01BBC&quot;/&gt;&lt;wsp:rsid wsp:val=&quot;00A01C6B&quot;/&gt;&lt;wsp:rsid wsp:val=&quot;00A01CBE&quot;/&gt;&lt;wsp:rsid wsp:val=&quot;00A0234B&quot;/&gt;&lt;wsp:rsid wsp:val=&quot;00A024CC&quot;/&gt;&lt;wsp:rsid wsp:val=&quot;00A02851&quot;/&gt;&lt;wsp:rsid wsp:val=&quot;00A02878&quot;/&gt;&lt;wsp:rsid wsp:val=&quot;00A02CB7&quot;/&gt;&lt;wsp:rsid wsp:val=&quot;00A0335B&quot;/&gt;&lt;wsp:rsid wsp:val=&quot;00A03B79&quot;/&gt;&lt;wsp:rsid wsp:val=&quot;00A03E14&quot;/&gt;&lt;wsp:rsid wsp:val=&quot;00A04440&quot;/&gt;&lt;wsp:rsid wsp:val=&quot;00A04E5B&quot;/&gt;&lt;wsp:rsid wsp:val=&quot;00A04F29&quot;/&gt;&lt;wsp:rsid wsp:val=&quot;00A05038&quot;/&gt;&lt;wsp:rsid wsp:val=&quot;00A0578A&quot;/&gt;&lt;wsp:rsid wsp:val=&quot;00A05925&quot;/&gt;&lt;wsp:rsid wsp:val=&quot;00A05AA3&quot;/&gt;&lt;wsp:rsid wsp:val=&quot;00A05F18&quot;/&gt;&lt;wsp:rsid wsp:val=&quot;00A06349&quot;/&gt;&lt;wsp:rsid wsp:val=&quot;00A06389&quot;/&gt;&lt;wsp:rsid wsp:val=&quot;00A063D6&quot;/&gt;&lt;wsp:rsid wsp:val=&quot;00A06AF7&quot;/&gt;&lt;wsp:rsid wsp:val=&quot;00A06C3B&quot;/&gt;&lt;wsp:rsid wsp:val=&quot;00A0705C&quot;/&gt;&lt;wsp:rsid wsp:val=&quot;00A071F0&quot;/&gt;&lt;wsp:rsid wsp:val=&quot;00A0795B&quot;/&gt;&lt;wsp:rsid wsp:val=&quot;00A07FD5&quot;/&gt;&lt;wsp:rsid wsp:val=&quot;00A10198&quot;/&gt;&lt;wsp:rsid wsp:val=&quot;00A101C2&quot;/&gt;&lt;wsp:rsid wsp:val=&quot;00A10679&quot;/&gt;&lt;wsp:rsid wsp:val=&quot;00A106EB&quot;/&gt;&lt;wsp:rsid wsp:val=&quot;00A109EE&quot;/&gt;&lt;wsp:rsid wsp:val=&quot;00A112E7&quot;/&gt;&lt;wsp:rsid wsp:val=&quot;00A11859&quot;/&gt;&lt;wsp:rsid wsp:val=&quot;00A11F40&quot;/&gt;&lt;wsp:rsid wsp:val=&quot;00A12240&quot;/&gt;&lt;wsp:rsid wsp:val=&quot;00A12640&quot;/&gt;&lt;wsp:rsid wsp:val=&quot;00A128AA&quot;/&gt;&lt;wsp:rsid wsp:val=&quot;00A12C11&quot;/&gt;&lt;wsp:rsid wsp:val=&quot;00A12C12&quot;/&gt;&lt;wsp:rsid wsp:val=&quot;00A12D6A&quot;/&gt;&lt;wsp:rsid wsp:val=&quot;00A12D7C&quot;/&gt;&lt;wsp:rsid wsp:val=&quot;00A1375D&quot;/&gt;&lt;wsp:rsid wsp:val=&quot;00A1385D&quot;/&gt;&lt;wsp:rsid wsp:val=&quot;00A13B28&quot;/&gt;&lt;wsp:rsid wsp:val=&quot;00A13D39&quot;/&gt;&lt;wsp:rsid wsp:val=&quot;00A13F73&quot;/&gt;&lt;wsp:rsid wsp:val=&quot;00A13F82&quot;/&gt;&lt;wsp:rsid wsp:val=&quot;00A13FED&quot;/&gt;&lt;wsp:rsid wsp:val=&quot;00A14252&quot;/&gt;&lt;wsp:rsid wsp:val=&quot;00A148D1&quot;/&gt;&lt;wsp:rsid wsp:val=&quot;00A148FB&quot;/&gt;&lt;wsp:rsid wsp:val=&quot;00A14FE7&quot;/&gt;&lt;wsp:rsid wsp:val=&quot;00A150D5&quot;/&gt;&lt;wsp:rsid wsp:val=&quot;00A15168&quot;/&gt;&lt;wsp:rsid wsp:val=&quot;00A1543F&quot;/&gt;&lt;wsp:rsid wsp:val=&quot;00A15572&quot;/&gt;&lt;wsp:rsid wsp:val=&quot;00A15783&quot;/&gt;&lt;wsp:rsid wsp:val=&quot;00A15C97&quot;/&gt;&lt;wsp:rsid wsp:val=&quot;00A15CBA&quot;/&gt;&lt;wsp:rsid wsp:val=&quot;00A16141&quot;/&gt;&lt;wsp:rsid wsp:val=&quot;00A166D0&quot;/&gt;&lt;wsp:rsid wsp:val=&quot;00A16A35&quot;/&gt;&lt;wsp:rsid wsp:val=&quot;00A1722D&quot;/&gt;&lt;wsp:rsid wsp:val=&quot;00A1763E&quot;/&gt;&lt;wsp:rsid wsp:val=&quot;00A17B2D&quot;/&gt;&lt;wsp:rsid wsp:val=&quot;00A17C35&quot;/&gt;&lt;wsp:rsid wsp:val=&quot;00A17D80&quot;/&gt;&lt;wsp:rsid wsp:val=&quot;00A17DDB&quot;/&gt;&lt;wsp:rsid wsp:val=&quot;00A17E93&quot;/&gt;&lt;wsp:rsid wsp:val=&quot;00A17FD5&quot;/&gt;&lt;wsp:rsid wsp:val=&quot;00A20378&quot;/&gt;&lt;wsp:rsid wsp:val=&quot;00A209EA&quot;/&gt;&lt;wsp:rsid wsp:val=&quot;00A20D10&quot;/&gt;&lt;wsp:rsid wsp:val=&quot;00A20E6C&quot;/&gt;&lt;wsp:rsid wsp:val=&quot;00A20F11&quot;/&gt;&lt;wsp:rsid wsp:val=&quot;00A21ABD&quot;/&gt;&lt;wsp:rsid wsp:val=&quot;00A21BFA&quot;/&gt;&lt;wsp:rsid wsp:val=&quot;00A21CE4&quot;/&gt;&lt;wsp:rsid wsp:val=&quot;00A2207C&quot;/&gt;&lt;wsp:rsid wsp:val=&quot;00A22137&quot;/&gt;&lt;wsp:rsid wsp:val=&quot;00A226FC&quot;/&gt;&lt;wsp:rsid wsp:val=&quot;00A226FF&quot;/&gt;&lt;wsp:rsid wsp:val=&quot;00A2291F&quot;/&gt;&lt;wsp:rsid wsp:val=&quot;00A22E0D&quot;/&gt;&lt;wsp:rsid wsp:val=&quot;00A22F42&quot;/&gt;&lt;wsp:rsid wsp:val=&quot;00A23506&quot;/&gt;&lt;wsp:rsid wsp:val=&quot;00A23648&quot;/&gt;&lt;wsp:rsid wsp:val=&quot;00A23994&quot;/&gt;&lt;wsp:rsid wsp:val=&quot;00A23B5E&quot;/&gt;&lt;wsp:rsid wsp:val=&quot;00A24233&quot;/&gt;&lt;wsp:rsid wsp:val=&quot;00A24248&quot;/&gt;&lt;wsp:rsid wsp:val=&quot;00A24A2D&quot;/&gt;&lt;wsp:rsid wsp:val=&quot;00A252E7&quot;/&gt;&lt;wsp:rsid wsp:val=&quot;00A2593E&quot;/&gt;&lt;wsp:rsid wsp:val=&quot;00A261A7&quot;/&gt;&lt;wsp:rsid wsp:val=&quot;00A262EE&quot;/&gt;&lt;wsp:rsid wsp:val=&quot;00A270A3&quot;/&gt;&lt;wsp:rsid wsp:val=&quot;00A27218&quot;/&gt;&lt;wsp:rsid wsp:val=&quot;00A272C0&quot;/&gt;&lt;wsp:rsid wsp:val=&quot;00A27335&quot;/&gt;&lt;wsp:rsid wsp:val=&quot;00A27758&quot;/&gt;&lt;wsp:rsid wsp:val=&quot;00A27EF4&quot;/&gt;&lt;wsp:rsid wsp:val=&quot;00A27F1E&quot;/&gt;&lt;wsp:rsid wsp:val=&quot;00A30022&quot;/&gt;&lt;wsp:rsid wsp:val=&quot;00A30405&quot;/&gt;&lt;wsp:rsid wsp:val=&quot;00A30473&quot;/&gt;&lt;wsp:rsid wsp:val=&quot;00A304F6&quot;/&gt;&lt;wsp:rsid wsp:val=&quot;00A30940&quot;/&gt;&lt;wsp:rsid wsp:val=&quot;00A30C79&quot;/&gt;&lt;wsp:rsid wsp:val=&quot;00A30CD9&quot;/&gt;&lt;wsp:rsid wsp:val=&quot;00A30D84&quot;/&gt;&lt;wsp:rsid wsp:val=&quot;00A310F8&quot;/&gt;&lt;wsp:rsid wsp:val=&quot;00A31154&quot;/&gt;&lt;wsp:rsid wsp:val=&quot;00A3124A&quot;/&gt;&lt;wsp:rsid wsp:val=&quot;00A31811&quot;/&gt;&lt;wsp:rsid wsp:val=&quot;00A31CD5&quot;/&gt;&lt;wsp:rsid wsp:val=&quot;00A32633&quot;/&gt;&lt;wsp:rsid wsp:val=&quot;00A32EF9&quot;/&gt;&lt;wsp:rsid wsp:val=&quot;00A3384E&quot;/&gt;&lt;wsp:rsid wsp:val=&quot;00A33D51&quot;/&gt;&lt;wsp:rsid wsp:val=&quot;00A33EAA&quot;/&gt;&lt;wsp:rsid wsp:val=&quot;00A34099&quot;/&gt;&lt;wsp:rsid wsp:val=&quot;00A343F7&quot;/&gt;&lt;wsp:rsid wsp:val=&quot;00A34488&quot;/&gt;&lt;wsp:rsid wsp:val=&quot;00A34787&quot;/&gt;&lt;wsp:rsid wsp:val=&quot;00A3483B&quot;/&gt;&lt;wsp:rsid wsp:val=&quot;00A348E8&quot;/&gt;&lt;wsp:rsid wsp:val=&quot;00A34919&quot;/&gt;&lt;wsp:rsid wsp:val=&quot;00A34AB2&quot;/&gt;&lt;wsp:rsid wsp:val=&quot;00A3521D&quot;/&gt;&lt;wsp:rsid wsp:val=&quot;00A352D6&quot;/&gt;&lt;wsp:rsid wsp:val=&quot;00A35655&quot;/&gt;&lt;wsp:rsid wsp:val=&quot;00A35DA5&quot;/&gt;&lt;wsp:rsid wsp:val=&quot;00A3602A&quot;/&gt;&lt;wsp:rsid wsp:val=&quot;00A3612D&quot;/&gt;&lt;wsp:rsid wsp:val=&quot;00A3687D&quot;/&gt;&lt;wsp:rsid wsp:val=&quot;00A36911&quot;/&gt;&lt;wsp:rsid wsp:val=&quot;00A36FC7&quot;/&gt;&lt;wsp:rsid wsp:val=&quot;00A375E3&quot;/&gt;&lt;wsp:rsid wsp:val=&quot;00A37CCC&quot;/&gt;&lt;wsp:rsid wsp:val=&quot;00A37D0D&quot;/&gt;&lt;wsp:rsid wsp:val=&quot;00A40248&quot;/&gt;&lt;wsp:rsid wsp:val=&quot;00A40A2D&quot;/&gt;&lt;wsp:rsid wsp:val=&quot;00A40C6F&quot;/&gt;&lt;wsp:rsid wsp:val=&quot;00A40F5C&quot;/&gt;&lt;wsp:rsid wsp:val=&quot;00A41847&quot;/&gt;&lt;wsp:rsid wsp:val=&quot;00A41B59&quot;/&gt;&lt;wsp:rsid wsp:val=&quot;00A41EEF&quot;/&gt;&lt;wsp:rsid wsp:val=&quot;00A4240B&quot;/&gt;&lt;wsp:rsid wsp:val=&quot;00A4252A&quot;/&gt;&lt;wsp:rsid wsp:val=&quot;00A429A0&quot;/&gt;&lt;wsp:rsid wsp:val=&quot;00A43176&quot;/&gt;&lt;wsp:rsid wsp:val=&quot;00A43177&quot;/&gt;&lt;wsp:rsid wsp:val=&quot;00A43326&quot;/&gt;&lt;wsp:rsid wsp:val=&quot;00A43637&quot;/&gt;&lt;wsp:rsid wsp:val=&quot;00A4383F&quot;/&gt;&lt;wsp:rsid wsp:val=&quot;00A43F6D&quot;/&gt;&lt;wsp:rsid wsp:val=&quot;00A442DB&quot;/&gt;&lt;wsp:rsid wsp:val=&quot;00A44F49&quot;/&gt;&lt;wsp:rsid wsp:val=&quot;00A465D5&quot;/&gt;&lt;wsp:rsid wsp:val=&quot;00A47257&quot;/&gt;&lt;wsp:rsid wsp:val=&quot;00A4729B&quot;/&gt;&lt;wsp:rsid wsp:val=&quot;00A4778F&quot;/&gt;&lt;wsp:rsid wsp:val=&quot;00A47AEC&quot;/&gt;&lt;wsp:rsid wsp:val=&quot;00A47F2C&quot;/&gt;&lt;wsp:rsid wsp:val=&quot;00A50056&quot;/&gt;&lt;wsp:rsid wsp:val=&quot;00A5053E&quot;/&gt;&lt;wsp:rsid wsp:val=&quot;00A50D97&quot;/&gt;&lt;wsp:rsid wsp:val=&quot;00A51313&quot;/&gt;&lt;wsp:rsid wsp:val=&quot;00A513B8&quot;/&gt;&lt;wsp:rsid wsp:val=&quot;00A51795&quot;/&gt;&lt;wsp:rsid wsp:val=&quot;00A51870&quot;/&gt;&lt;wsp:rsid wsp:val=&quot;00A518ED&quot;/&gt;&lt;wsp:rsid wsp:val=&quot;00A51CA5&quot;/&gt;&lt;wsp:rsid wsp:val=&quot;00A51F41&quot;/&gt;&lt;wsp:rsid wsp:val=&quot;00A51F64&quot;/&gt;&lt;wsp:rsid wsp:val=&quot;00A52270&quot;/&gt;&lt;wsp:rsid wsp:val=&quot;00A526BB&quot;/&gt;&lt;wsp:rsid wsp:val=&quot;00A528FE&quot;/&gt;&lt;wsp:rsid wsp:val=&quot;00A52AB8&quot;/&gt;&lt;wsp:rsid wsp:val=&quot;00A52C16&quot;/&gt;&lt;wsp:rsid wsp:val=&quot;00A52FAE&quot;/&gt;&lt;wsp:rsid wsp:val=&quot;00A53478&quot;/&gt;&lt;wsp:rsid wsp:val=&quot;00A537B8&quot;/&gt;&lt;wsp:rsid wsp:val=&quot;00A537CA&quot;/&gt;&lt;wsp:rsid wsp:val=&quot;00A53809&quot;/&gt;&lt;wsp:rsid wsp:val=&quot;00A53D59&quot;/&gt;&lt;wsp:rsid wsp:val=&quot;00A53E21&quot;/&gt;&lt;wsp:rsid wsp:val=&quot;00A54816&quot;/&gt;&lt;wsp:rsid wsp:val=&quot;00A54971&quot;/&gt;&lt;wsp:rsid wsp:val=&quot;00A54E31&quot;/&gt;&lt;wsp:rsid wsp:val=&quot;00A5553C&quot;/&gt;&lt;wsp:rsid wsp:val=&quot;00A55B82&quot;/&gt;&lt;wsp:rsid wsp:val=&quot;00A56042&quot;/&gt;&lt;wsp:rsid wsp:val=&quot;00A5604E&quot;/&gt;&lt;wsp:rsid wsp:val=&quot;00A56484&quot;/&gt;&lt;wsp:rsid wsp:val=&quot;00A56E0B&quot;/&gt;&lt;wsp:rsid wsp:val=&quot;00A575B8&quot;/&gt;&lt;wsp:rsid wsp:val=&quot;00A57746&quot;/&gt;&lt;wsp:rsid wsp:val=&quot;00A57A97&quot;/&gt;&lt;wsp:rsid wsp:val=&quot;00A57D2D&quot;/&gt;&lt;wsp:rsid wsp:val=&quot;00A6006A&quot;/&gt;&lt;wsp:rsid wsp:val=&quot;00A6014E&quot;/&gt;&lt;wsp:rsid wsp:val=&quot;00A604C0&quot;/&gt;&lt;wsp:rsid wsp:val=&quot;00A607AF&quot;/&gt;&lt;wsp:rsid wsp:val=&quot;00A60DD1&quot;/&gt;&lt;wsp:rsid wsp:val=&quot;00A6113E&quot;/&gt;&lt;wsp:rsid wsp:val=&quot;00A6171A&quot;/&gt;&lt;wsp:rsid wsp:val=&quot;00A61798&quot;/&gt;&lt;wsp:rsid wsp:val=&quot;00A6194C&quot;/&gt;&lt;wsp:rsid wsp:val=&quot;00A61983&quot;/&gt;&lt;wsp:rsid wsp:val=&quot;00A61A8E&quot;/&gt;&lt;wsp:rsid wsp:val=&quot;00A61DB3&quot;/&gt;&lt;wsp:rsid wsp:val=&quot;00A61E69&quot;/&gt;&lt;wsp:rsid wsp:val=&quot;00A62020&quot;/&gt;&lt;wsp:rsid wsp:val=&quot;00A626B2&quot;/&gt;&lt;wsp:rsid wsp:val=&quot;00A627DD&quot;/&gt;&lt;wsp:rsid wsp:val=&quot;00A629DA&quot;/&gt;&lt;wsp:rsid wsp:val=&quot;00A6304F&quot;/&gt;&lt;wsp:rsid wsp:val=&quot;00A63AA4&quot;/&gt;&lt;wsp:rsid wsp:val=&quot;00A63B13&quot;/&gt;&lt;wsp:rsid wsp:val=&quot;00A63D49&quot;/&gt;&lt;wsp:rsid wsp:val=&quot;00A64267&quot;/&gt;&lt;wsp:rsid wsp:val=&quot;00A648AE&quot;/&gt;&lt;wsp:rsid wsp:val=&quot;00A64BC5&quot;/&gt;&lt;wsp:rsid wsp:val=&quot;00A64D66&quot;/&gt;&lt;wsp:rsid wsp:val=&quot;00A65203&quot;/&gt;&lt;wsp:rsid wsp:val=&quot;00A65267&quot;/&gt;&lt;wsp:rsid wsp:val=&quot;00A6539A&quot;/&gt;&lt;wsp:rsid wsp:val=&quot;00A65429&quot;/&gt;&lt;wsp:rsid wsp:val=&quot;00A65763&quot;/&gt;&lt;wsp:rsid wsp:val=&quot;00A65CF2&quot;/&gt;&lt;wsp:rsid wsp:val=&quot;00A65FB1&quot;/&gt;&lt;wsp:rsid wsp:val=&quot;00A660DE&quot;/&gt;&lt;wsp:rsid wsp:val=&quot;00A66337&quot;/&gt;&lt;wsp:rsid wsp:val=&quot;00A66855&quot;/&gt;&lt;wsp:rsid wsp:val=&quot;00A66C91&quot;/&gt;&lt;wsp:rsid wsp:val=&quot;00A66D12&quot;/&gt;&lt;wsp:rsid wsp:val=&quot;00A66D7A&quot;/&gt;&lt;wsp:rsid wsp:val=&quot;00A670D6&quot;/&gt;&lt;wsp:rsid wsp:val=&quot;00A6729D&quot;/&gt;&lt;wsp:rsid wsp:val=&quot;00A67394&quot;/&gt;&lt;wsp:rsid wsp:val=&quot;00A677B5&quot;/&gt;&lt;wsp:rsid wsp:val=&quot;00A6790F&quot;/&gt;&lt;wsp:rsid wsp:val=&quot;00A67912&quot;/&gt;&lt;wsp:rsid wsp:val=&quot;00A67DAC&quot;/&gt;&lt;wsp:rsid wsp:val=&quot;00A701FD&quot;/&gt;&lt;wsp:rsid wsp:val=&quot;00A707D4&quot;/&gt;&lt;wsp:rsid wsp:val=&quot;00A70A5B&quot;/&gt;&lt;wsp:rsid wsp:val=&quot;00A70BDE&quot;/&gt;&lt;wsp:rsid wsp:val=&quot;00A70E8D&quot;/&gt;&lt;wsp:rsid wsp:val=&quot;00A70EC1&quot;/&gt;&lt;wsp:rsid wsp:val=&quot;00A70F52&quot;/&gt;&lt;wsp:rsid wsp:val=&quot;00A710F7&quot;/&gt;&lt;wsp:rsid wsp:val=&quot;00A71124&quot;/&gt;&lt;wsp:rsid wsp:val=&quot;00A7121B&quot;/&gt;&lt;wsp:rsid wsp:val=&quot;00A715C6&quot;/&gt;&lt;wsp:rsid wsp:val=&quot;00A715FD&quot;/&gt;&lt;wsp:rsid wsp:val=&quot;00A71A9A&quot;/&gt;&lt;wsp:rsid wsp:val=&quot;00A71FF8&quot;/&gt;&lt;wsp:rsid wsp:val=&quot;00A7266F&quot;/&gt;&lt;wsp:rsid wsp:val=&quot;00A72C11&quot;/&gt;&lt;wsp:rsid wsp:val=&quot;00A72E7A&quot;/&gt;&lt;wsp:rsid wsp:val=&quot;00A7352C&quot;/&gt;&lt;wsp:rsid wsp:val=&quot;00A73841&quot;/&gt;&lt;wsp:rsid wsp:val=&quot;00A73A59&quot;/&gt;&lt;wsp:rsid wsp:val=&quot;00A73D44&quot;/&gt;&lt;wsp:rsid wsp:val=&quot;00A741C8&quot;/&gt;&lt;wsp:rsid wsp:val=&quot;00A74A9A&quot;/&gt;&lt;wsp:rsid wsp:val=&quot;00A74C38&quot;/&gt;&lt;wsp:rsid wsp:val=&quot;00A75314&quot;/&gt;&lt;wsp:rsid wsp:val=&quot;00A7562A&quot;/&gt;&lt;wsp:rsid wsp:val=&quot;00A75D66&quot;/&gt;&lt;wsp:rsid wsp:val=&quot;00A75E31&quot;/&gt;&lt;wsp:rsid wsp:val=&quot;00A75E76&quot;/&gt;&lt;wsp:rsid wsp:val=&quot;00A76326&quot;/&gt;&lt;wsp:rsid wsp:val=&quot;00A765A2&quot;/&gt;&lt;wsp:rsid wsp:val=&quot;00A765C0&quot;/&gt;&lt;wsp:rsid wsp:val=&quot;00A7686C&quot;/&gt;&lt;wsp:rsid wsp:val=&quot;00A76A08&quot;/&gt;&lt;wsp:rsid wsp:val=&quot;00A76A40&quot;/&gt;&lt;wsp:rsid wsp:val=&quot;00A76B2A&quot;/&gt;&lt;wsp:rsid wsp:val=&quot;00A76D07&quot;/&gt;&lt;wsp:rsid wsp:val=&quot;00A76E3C&quot;/&gt;&lt;wsp:rsid wsp:val=&quot;00A7790D&quot;/&gt;&lt;wsp:rsid wsp:val=&quot;00A77B57&quot;/&gt;&lt;wsp:rsid wsp:val=&quot;00A77BFB&quot;/&gt;&lt;wsp:rsid wsp:val=&quot;00A800B3&quot;/&gt;&lt;wsp:rsid wsp:val=&quot;00A80333&quot;/&gt;&lt;wsp:rsid wsp:val=&quot;00A807B7&quot;/&gt;&lt;wsp:rsid wsp:val=&quot;00A80877&quot;/&gt;&lt;wsp:rsid wsp:val=&quot;00A80892&quot;/&gt;&lt;wsp:rsid wsp:val=&quot;00A80A0E&quot;/&gt;&lt;wsp:rsid wsp:val=&quot;00A80A86&quot;/&gt;&lt;wsp:rsid wsp:val=&quot;00A810F9&quot;/&gt;&lt;wsp:rsid wsp:val=&quot;00A8111C&quot;/&gt;&lt;wsp:rsid wsp:val=&quot;00A8170A&quot;/&gt;&lt;wsp:rsid wsp:val=&quot;00A818A4&quot;/&gt;&lt;wsp:rsid wsp:val=&quot;00A81DD7&quot;/&gt;&lt;wsp:rsid wsp:val=&quot;00A820B4&quot;/&gt;&lt;wsp:rsid wsp:val=&quot;00A82346&quot;/&gt;&lt;wsp:rsid wsp:val=&quot;00A82675&quot;/&gt;&lt;wsp:rsid wsp:val=&quot;00A82773&quot;/&gt;&lt;wsp:rsid wsp:val=&quot;00A8277D&quot;/&gt;&lt;wsp:rsid wsp:val=&quot;00A83BFC&quot;/&gt;&lt;wsp:rsid wsp:val=&quot;00A83DD5&quot;/&gt;&lt;wsp:rsid wsp:val=&quot;00A841A8&quot;/&gt;&lt;wsp:rsid wsp:val=&quot;00A8425B&quot;/&gt;&lt;wsp:rsid wsp:val=&quot;00A84D1E&quot;/&gt;&lt;wsp:rsid wsp:val=&quot;00A85234&quot;/&gt;&lt;wsp:rsid wsp:val=&quot;00A853B5&quot;/&gt;&lt;wsp:rsid wsp:val=&quot;00A855A2&quot;/&gt;&lt;wsp:rsid wsp:val=&quot;00A85755&quot;/&gt;&lt;wsp:rsid wsp:val=&quot;00A858ED&quot;/&gt;&lt;wsp:rsid wsp:val=&quot;00A85A20&quot;/&gt;&lt;wsp:rsid wsp:val=&quot;00A85D90&quot;/&gt;&lt;wsp:rsid wsp:val=&quot;00A85E89&quot;/&gt;&lt;wsp:rsid wsp:val=&quot;00A85EB0&quot;/&gt;&lt;wsp:rsid wsp:val=&quot;00A86531&quot;/&gt;&lt;wsp:rsid wsp:val=&quot;00A867EB&quot;/&gt;&lt;wsp:rsid wsp:val=&quot;00A86B33&quot;/&gt;&lt;wsp:rsid wsp:val=&quot;00A86EEB&quot;/&gt;&lt;wsp:rsid wsp:val=&quot;00A87155&quot;/&gt;&lt;wsp:rsid wsp:val=&quot;00A87208&quot;/&gt;&lt;wsp:rsid wsp:val=&quot;00A87724&quot;/&gt;&lt;wsp:rsid wsp:val=&quot;00A87820&quot;/&gt;&lt;wsp:rsid wsp:val=&quot;00A8788D&quot;/&gt;&lt;wsp:rsid wsp:val=&quot;00A878A4&quot;/&gt;&lt;wsp:rsid wsp:val=&quot;00A879D6&quot;/&gt;&lt;wsp:rsid wsp:val=&quot;00A87C29&quot;/&gt;&lt;wsp:rsid wsp:val=&quot;00A87F41&quot;/&gt;&lt;wsp:rsid wsp:val=&quot;00A903DE&quot;/&gt;&lt;wsp:rsid wsp:val=&quot;00A90584&quot;/&gt;&lt;wsp:rsid wsp:val=&quot;00A90A12&quot;/&gt;&lt;wsp:rsid wsp:val=&quot;00A90F31&quot;/&gt;&lt;wsp:rsid wsp:val=&quot;00A912DD&quot;/&gt;&lt;wsp:rsid wsp:val=&quot;00A915D8&quot;/&gt;&lt;wsp:rsid wsp:val=&quot;00A91839&quot;/&gt;&lt;wsp:rsid wsp:val=&quot;00A91B76&quot;/&gt;&lt;wsp:rsid wsp:val=&quot;00A91B9A&quot;/&gt;&lt;wsp:rsid wsp:val=&quot;00A91E08&quot;/&gt;&lt;wsp:rsid wsp:val=&quot;00A92168&quot;/&gt;&lt;wsp:rsid wsp:val=&quot;00A92513&quot;/&gt;&lt;wsp:rsid wsp:val=&quot;00A928DB&quot;/&gt;&lt;wsp:rsid wsp:val=&quot;00A9295F&quot;/&gt;&lt;wsp:rsid wsp:val=&quot;00A92B87&quot;/&gt;&lt;wsp:rsid wsp:val=&quot;00A9315B&quot;/&gt;&lt;wsp:rsid wsp:val=&quot;00A931F2&quot;/&gt;&lt;wsp:rsid wsp:val=&quot;00A93507&quot;/&gt;&lt;wsp:rsid wsp:val=&quot;00A935C3&quot;/&gt;&lt;wsp:rsid wsp:val=&quot;00A93D4E&quot;/&gt;&lt;wsp:rsid wsp:val=&quot;00A93DE5&quot;/&gt;&lt;wsp:rsid wsp:val=&quot;00A93DE8&quot;/&gt;&lt;wsp:rsid wsp:val=&quot;00A93F76&quot;/&gt;&lt;wsp:rsid wsp:val=&quot;00A94491&quot;/&gt;&lt;wsp:rsid wsp:val=&quot;00A9480B&quot;/&gt;&lt;wsp:rsid wsp:val=&quot;00A94810&quot;/&gt;&lt;wsp:rsid wsp:val=&quot;00A951C6&quot;/&gt;&lt;wsp:rsid wsp:val=&quot;00A95BEC&quot;/&gt;&lt;wsp:rsid wsp:val=&quot;00A961BB&quot;/&gt;&lt;wsp:rsid wsp:val=&quot;00A9681E&quot;/&gt;&lt;wsp:rsid wsp:val=&quot;00A96A52&quot;/&gt;&lt;wsp:rsid wsp:val=&quot;00A96A66&quot;/&gt;&lt;wsp:rsid wsp:val=&quot;00A96AE7&quot;/&gt;&lt;wsp:rsid wsp:val=&quot;00A96EA8&quot;/&gt;&lt;wsp:rsid wsp:val=&quot;00A97920&quot;/&gt;&lt;wsp:rsid wsp:val=&quot;00A97D65&quot;/&gt;&lt;wsp:rsid wsp:val=&quot;00A97F1F&quot;/&gt;&lt;wsp:rsid wsp:val=&quot;00AA02FD&quot;/&gt;&lt;wsp:rsid wsp:val=&quot;00AA042C&quot;/&gt;&lt;wsp:rsid wsp:val=&quot;00AA0584&quot;/&gt;&lt;wsp:rsid wsp:val=&quot;00AA069E&quot;/&gt;&lt;wsp:rsid wsp:val=&quot;00AA0A78&quot;/&gt;&lt;wsp:rsid wsp:val=&quot;00AA0C0C&quot;/&gt;&lt;wsp:rsid wsp:val=&quot;00AA0C45&quot;/&gt;&lt;wsp:rsid wsp:val=&quot;00AA1080&quot;/&gt;&lt;wsp:rsid wsp:val=&quot;00AA1CBC&quot;/&gt;&lt;wsp:rsid wsp:val=&quot;00AA23FC&quot;/&gt;&lt;wsp:rsid wsp:val=&quot;00AA2521&quot;/&gt;&lt;wsp:rsid wsp:val=&quot;00AA2F18&quot;/&gt;&lt;wsp:rsid wsp:val=&quot;00AA314E&quot;/&gt;&lt;wsp:rsid wsp:val=&quot;00AA33A4&quot;/&gt;&lt;wsp:rsid wsp:val=&quot;00AA346B&quot;/&gt;&lt;wsp:rsid wsp:val=&quot;00AA3476&quot;/&gt;&lt;wsp:rsid wsp:val=&quot;00AA3937&quot;/&gt;&lt;wsp:rsid wsp:val=&quot;00AA3B2C&quot;/&gt;&lt;wsp:rsid wsp:val=&quot;00AA3C7A&quot;/&gt;&lt;wsp:rsid wsp:val=&quot;00AA3CBE&quot;/&gt;&lt;wsp:rsid wsp:val=&quot;00AA4246&quot;/&gt;&lt;wsp:rsid wsp:val=&quot;00AA4607&quot;/&gt;&lt;wsp:rsid wsp:val=&quot;00AA47E8&quot;/&gt;&lt;wsp:rsid wsp:val=&quot;00AA48A3&quot;/&gt;&lt;wsp:rsid wsp:val=&quot;00AA4924&quot;/&gt;&lt;wsp:rsid wsp:val=&quot;00AA4D99&quot;/&gt;&lt;wsp:rsid wsp:val=&quot;00AA4E2D&quot;/&gt;&lt;wsp:rsid wsp:val=&quot;00AA510B&quot;/&gt;&lt;wsp:rsid wsp:val=&quot;00AA512E&quot;/&gt;&lt;wsp:rsid wsp:val=&quot;00AA51BB&quot;/&gt;&lt;wsp:rsid wsp:val=&quot;00AA52B0&quot;/&gt;&lt;wsp:rsid wsp:val=&quot;00AA54CF&quot;/&gt;&lt;wsp:rsid wsp:val=&quot;00AA55AC&quot;/&gt;&lt;wsp:rsid wsp:val=&quot;00AA55DC&quot;/&gt;&lt;wsp:rsid wsp:val=&quot;00AA5A0A&quot;/&gt;&lt;wsp:rsid wsp:val=&quot;00AA5D36&quot;/&gt;&lt;wsp:rsid wsp:val=&quot;00AA5F33&quot;/&gt;&lt;wsp:rsid wsp:val=&quot;00AA66CE&quot;/&gt;&lt;wsp:rsid wsp:val=&quot;00AA6F5D&quot;/&gt;&lt;wsp:rsid wsp:val=&quot;00AA7915&quot;/&gt;&lt;wsp:rsid wsp:val=&quot;00AB097D&quot;/&gt;&lt;wsp:rsid wsp:val=&quot;00AB0B87&quot;/&gt;&lt;wsp:rsid wsp:val=&quot;00AB0E1C&quot;/&gt;&lt;wsp:rsid wsp:val=&quot;00AB10CD&quot;/&gt;&lt;wsp:rsid wsp:val=&quot;00AB1244&quot;/&gt;&lt;wsp:rsid wsp:val=&quot;00AB1504&quot;/&gt;&lt;wsp:rsid wsp:val=&quot;00AB20B0&quot;/&gt;&lt;wsp:rsid wsp:val=&quot;00AB2119&quot;/&gt;&lt;wsp:rsid wsp:val=&quot;00AB237C&quot;/&gt;&lt;wsp:rsid wsp:val=&quot;00AB269D&quot;/&gt;&lt;wsp:rsid wsp:val=&quot;00AB274E&quot;/&gt;&lt;wsp:rsid wsp:val=&quot;00AB292A&quot;/&gt;&lt;wsp:rsid wsp:val=&quot;00AB2CF5&quot;/&gt;&lt;wsp:rsid wsp:val=&quot;00AB2E72&quot;/&gt;&lt;wsp:rsid wsp:val=&quot;00AB2F00&quot;/&gt;&lt;wsp:rsid wsp:val=&quot;00AB301B&quot;/&gt;&lt;wsp:rsid wsp:val=&quot;00AB308B&quot;/&gt;&lt;wsp:rsid wsp:val=&quot;00AB3408&quot;/&gt;&lt;wsp:rsid wsp:val=&quot;00AB364B&quot;/&gt;&lt;wsp:rsid wsp:val=&quot;00AB389E&quot;/&gt;&lt;wsp:rsid wsp:val=&quot;00AB3D6A&quot;/&gt;&lt;wsp:rsid wsp:val=&quot;00AB42B0&quot;/&gt;&lt;wsp:rsid wsp:val=&quot;00AB47F0&quot;/&gt;&lt;wsp:rsid wsp:val=&quot;00AB4952&quot;/&gt;&lt;wsp:rsid wsp:val=&quot;00AB4C51&quot;/&gt;&lt;wsp:rsid wsp:val=&quot;00AB4C7F&quot;/&gt;&lt;wsp:rsid wsp:val=&quot;00AB4E24&quot;/&gt;&lt;wsp:rsid wsp:val=&quot;00AB4FE3&quot;/&gt;&lt;wsp:rsid wsp:val=&quot;00AB504C&quot;/&gt;&lt;wsp:rsid wsp:val=&quot;00AB51FA&quot;/&gt;&lt;wsp:rsid wsp:val=&quot;00AB5375&quot;/&gt;&lt;wsp:rsid wsp:val=&quot;00AB5404&quot;/&gt;&lt;wsp:rsid wsp:val=&quot;00AB55DD&quot;/&gt;&lt;wsp:rsid wsp:val=&quot;00AB5747&quot;/&gt;&lt;wsp:rsid wsp:val=&quot;00AB5B35&quot;/&gt;&lt;wsp:rsid wsp:val=&quot;00AB5CE5&quot;/&gt;&lt;wsp:rsid wsp:val=&quot;00AB67B5&quot;/&gt;&lt;wsp:rsid wsp:val=&quot;00AB67F3&quot;/&gt;&lt;wsp:rsid wsp:val=&quot;00AB6D48&quot;/&gt;&lt;wsp:rsid wsp:val=&quot;00AB6EC3&quot;/&gt;&lt;wsp:rsid wsp:val=&quot;00AB7C45&quot;/&gt;&lt;wsp:rsid wsp:val=&quot;00AC0763&quot;/&gt;&lt;wsp:rsid wsp:val=&quot;00AC0967&quot;/&gt;&lt;wsp:rsid wsp:val=&quot;00AC0D90&quot;/&gt;&lt;wsp:rsid wsp:val=&quot;00AC1044&quot;/&gt;&lt;wsp:rsid wsp:val=&quot;00AC1366&quot;/&gt;&lt;wsp:rsid wsp:val=&quot;00AC1455&quot;/&gt;&lt;wsp:rsid wsp:val=&quot;00AC18E9&quot;/&gt;&lt;wsp:rsid wsp:val=&quot;00AC19BD&quot;/&gt;&lt;wsp:rsid wsp:val=&quot;00AC2032&quot;/&gt;&lt;wsp:rsid wsp:val=&quot;00AC20DA&quot;/&gt;&lt;wsp:rsid wsp:val=&quot;00AC22D2&quot;/&gt;&lt;wsp:rsid wsp:val=&quot;00AC2495&quot;/&gt;&lt;wsp:rsid wsp:val=&quot;00AC2652&quot;/&gt;&lt;wsp:rsid wsp:val=&quot;00AC2926&quot;/&gt;&lt;wsp:rsid wsp:val=&quot;00AC2B5B&quot;/&gt;&lt;wsp:rsid wsp:val=&quot;00AC308A&quot;/&gt;&lt;wsp:rsid wsp:val=&quot;00AC358E&quot;/&gt;&lt;wsp:rsid wsp:val=&quot;00AC3903&quot;/&gt;&lt;wsp:rsid wsp:val=&quot;00AC4063&quot;/&gt;&lt;wsp:rsid wsp:val=&quot;00AC40EE&quot;/&gt;&lt;wsp:rsid wsp:val=&quot;00AC4234&quot;/&gt;&lt;wsp:rsid wsp:val=&quot;00AC4D26&quot;/&gt;&lt;wsp:rsid wsp:val=&quot;00AC4E76&quot;/&gt;&lt;wsp:rsid wsp:val=&quot;00AC4F73&quot;/&gt;&lt;wsp:rsid wsp:val=&quot;00AC533B&quot;/&gt;&lt;wsp:rsid wsp:val=&quot;00AC56DD&quot;/&gt;&lt;wsp:rsid wsp:val=&quot;00AC5796&quot;/&gt;&lt;wsp:rsid wsp:val=&quot;00AC650B&quot;/&gt;&lt;wsp:rsid wsp:val=&quot;00AC6598&quot;/&gt;&lt;wsp:rsid wsp:val=&quot;00AC68D8&quot;/&gt;&lt;wsp:rsid wsp:val=&quot;00AC699A&quot;/&gt;&lt;wsp:rsid wsp:val=&quot;00AC6C6D&quot;/&gt;&lt;wsp:rsid wsp:val=&quot;00AC6DC2&quot;/&gt;&lt;wsp:rsid wsp:val=&quot;00AC704A&quot;/&gt;&lt;wsp:rsid wsp:val=&quot;00AC73C4&quot;/&gt;&lt;wsp:rsid wsp:val=&quot;00AC77AC&quot;/&gt;&lt;wsp:rsid wsp:val=&quot;00AC7D8E&quot;/&gt;&lt;wsp:rsid wsp:val=&quot;00AD009D&quot;/&gt;&lt;wsp:rsid wsp:val=&quot;00AD034D&quot;/&gt;&lt;wsp:rsid wsp:val=&quot;00AD040A&quot;/&gt;&lt;wsp:rsid wsp:val=&quot;00AD0684&quot;/&gt;&lt;wsp:rsid wsp:val=&quot;00AD0779&quot;/&gt;&lt;wsp:rsid wsp:val=&quot;00AD08EF&quot;/&gt;&lt;wsp:rsid wsp:val=&quot;00AD1039&quot;/&gt;&lt;wsp:rsid wsp:val=&quot;00AD1BF3&quot;/&gt;&lt;wsp:rsid wsp:val=&quot;00AD1E48&quot;/&gt;&lt;wsp:rsid wsp:val=&quot;00AD2171&quot;/&gt;&lt;wsp:rsid wsp:val=&quot;00AD3062&quot;/&gt;&lt;wsp:rsid wsp:val=&quot;00AD3099&quot;/&gt;&lt;wsp:rsid wsp:val=&quot;00AD312C&quot;/&gt;&lt;wsp:rsid wsp:val=&quot;00AD32CE&quot;/&gt;&lt;wsp:rsid wsp:val=&quot;00AD334F&quot;/&gt;&lt;wsp:rsid wsp:val=&quot;00AD3D3D&quot;/&gt;&lt;wsp:rsid wsp:val=&quot;00AD405F&quot;/&gt;&lt;wsp:rsid wsp:val=&quot;00AD40C2&quot;/&gt;&lt;wsp:rsid wsp:val=&quot;00AD4218&quot;/&gt;&lt;wsp:rsid wsp:val=&quot;00AD4487&quot;/&gt;&lt;wsp:rsid wsp:val=&quot;00AD46B1&quot;/&gt;&lt;wsp:rsid wsp:val=&quot;00AD475B&quot;/&gt;&lt;wsp:rsid wsp:val=&quot;00AD4D3C&quot;/&gt;&lt;wsp:rsid wsp:val=&quot;00AD502A&quot;/&gt;&lt;wsp:rsid wsp:val=&quot;00AD56C8&quot;/&gt;&lt;wsp:rsid wsp:val=&quot;00AD5D9A&quot;/&gt;&lt;wsp:rsid wsp:val=&quot;00AD5DF1&quot;/&gt;&lt;wsp:rsid wsp:val=&quot;00AD63F8&quot;/&gt;&lt;wsp:rsid wsp:val=&quot;00AD67A3&quot;/&gt;&lt;wsp:rsid wsp:val=&quot;00AD67D1&quot;/&gt;&lt;wsp:rsid wsp:val=&quot;00AD6D97&quot;/&gt;&lt;wsp:rsid wsp:val=&quot;00AD6F2C&quot;/&gt;&lt;wsp:rsid wsp:val=&quot;00AD74DE&quot;/&gt;&lt;wsp:rsid wsp:val=&quot;00AD75D9&quot;/&gt;&lt;wsp:rsid wsp:val=&quot;00AD767D&quot;/&gt;&lt;wsp:rsid wsp:val=&quot;00AD79C8&quot;/&gt;&lt;wsp:rsid wsp:val=&quot;00AE024C&quot;/&gt;&lt;wsp:rsid wsp:val=&quot;00AE068F&quot;/&gt;&lt;wsp:rsid wsp:val=&quot;00AE0719&quot;/&gt;&lt;wsp:rsid wsp:val=&quot;00AE084B&quot;/&gt;&lt;wsp:rsid wsp:val=&quot;00AE0FEB&quot;/&gt;&lt;wsp:rsid wsp:val=&quot;00AE0FF8&quot;/&gt;&lt;wsp:rsid wsp:val=&quot;00AE1545&quot;/&gt;&lt;wsp:rsid wsp:val=&quot;00AE15DC&quot;/&gt;&lt;wsp:rsid wsp:val=&quot;00AE1955&quot;/&gt;&lt;wsp:rsid wsp:val=&quot;00AE1B40&quot;/&gt;&lt;wsp:rsid wsp:val=&quot;00AE20EA&quot;/&gt;&lt;wsp:rsid wsp:val=&quot;00AE224C&quot;/&gt;&lt;wsp:rsid wsp:val=&quot;00AE278A&quot;/&gt;&lt;wsp:rsid wsp:val=&quot;00AE2AC4&quot;/&gt;&lt;wsp:rsid wsp:val=&quot;00AE32E1&quot;/&gt;&lt;wsp:rsid wsp:val=&quot;00AE3803&quot;/&gt;&lt;wsp:rsid wsp:val=&quot;00AE3814&quot;/&gt;&lt;wsp:rsid wsp:val=&quot;00AE38C8&quot;/&gt;&lt;wsp:rsid wsp:val=&quot;00AE46DB&quot;/&gt;&lt;wsp:rsid wsp:val=&quot;00AE4840&quot;/&gt;&lt;wsp:rsid wsp:val=&quot;00AE5283&quot;/&gt;&lt;wsp:rsid wsp:val=&quot;00AE542C&quot;/&gt;&lt;wsp:rsid wsp:val=&quot;00AE5D98&quot;/&gt;&lt;wsp:rsid wsp:val=&quot;00AE5E12&quot;/&gt;&lt;wsp:rsid wsp:val=&quot;00AE5E2B&quot;/&gt;&lt;wsp:rsid wsp:val=&quot;00AE5EA0&quot;/&gt;&lt;wsp:rsid wsp:val=&quot;00AE69C5&quot;/&gt;&lt;wsp:rsid wsp:val=&quot;00AE6EB1&quot;/&gt;&lt;wsp:rsid wsp:val=&quot;00AE6F8E&quot;/&gt;&lt;wsp:rsid wsp:val=&quot;00AE76BD&quot;/&gt;&lt;wsp:rsid wsp:val=&quot;00AE794E&quot;/&gt;&lt;wsp:rsid wsp:val=&quot;00AE7B87&quot;/&gt;&lt;wsp:rsid wsp:val=&quot;00AF04F5&quot;/&gt;&lt;wsp:rsid wsp:val=&quot;00AF077C&quot;/&gt;&lt;wsp:rsid wsp:val=&quot;00AF078B&quot;/&gt;&lt;wsp:rsid wsp:val=&quot;00AF0C3E&quot;/&gt;&lt;wsp:rsid wsp:val=&quot;00AF14A8&quot;/&gt;&lt;wsp:rsid wsp:val=&quot;00AF1564&quot;/&gt;&lt;wsp:rsid wsp:val=&quot;00AF1B37&quot;/&gt;&lt;wsp:rsid wsp:val=&quot;00AF2287&quot;/&gt;&lt;wsp:rsid wsp:val=&quot;00AF2712&quot;/&gt;&lt;wsp:rsid wsp:val=&quot;00AF2CC9&quot;/&gt;&lt;wsp:rsid wsp:val=&quot;00AF2D3E&quot;/&gt;&lt;wsp:rsid wsp:val=&quot;00AF2F7A&quot;/&gt;&lt;wsp:rsid wsp:val=&quot;00AF2F9D&quot;/&gt;&lt;wsp:rsid wsp:val=&quot;00AF3149&quot;/&gt;&lt;wsp:rsid wsp:val=&quot;00AF3509&quot;/&gt;&lt;wsp:rsid wsp:val=&quot;00AF3529&quot;/&gt;&lt;wsp:rsid wsp:val=&quot;00AF3B58&quot;/&gt;&lt;wsp:rsid wsp:val=&quot;00AF3E49&quot;/&gt;&lt;wsp:rsid wsp:val=&quot;00AF424F&quot;/&gt;&lt;wsp:rsid wsp:val=&quot;00AF4343&quot;/&gt;&lt;wsp:rsid wsp:val=&quot;00AF55AA&quot;/&gt;&lt;wsp:rsid wsp:val=&quot;00AF56AE&quot;/&gt;&lt;wsp:rsid wsp:val=&quot;00AF5852&quot;/&gt;&lt;wsp:rsid wsp:val=&quot;00AF5A03&quot;/&gt;&lt;wsp:rsid wsp:val=&quot;00AF5B3E&quot;/&gt;&lt;wsp:rsid wsp:val=&quot;00AF5FD0&quot;/&gt;&lt;wsp:rsid wsp:val=&quot;00AF6623&quot;/&gt;&lt;wsp:rsid wsp:val=&quot;00AF6C6E&quot;/&gt;&lt;wsp:rsid wsp:val=&quot;00AF6F3F&quot;/&gt;&lt;wsp:rsid wsp:val=&quot;00AF7725&quot;/&gt;&lt;wsp:rsid wsp:val=&quot;00AF7759&quot;/&gt;&lt;wsp:rsid wsp:val=&quot;00B003B5&quot;/&gt;&lt;wsp:rsid wsp:val=&quot;00B00493&quot;/&gt;&lt;wsp:rsid wsp:val=&quot;00B006EA&quot;/&gt;&lt;wsp:rsid wsp:val=&quot;00B00992&quot;/&gt;&lt;wsp:rsid wsp:val=&quot;00B00A3C&quot;/&gt;&lt;wsp:rsid wsp:val=&quot;00B00DA1&quot;/&gt;&lt;wsp:rsid wsp:val=&quot;00B00DA4&quot;/&gt;&lt;wsp:rsid wsp:val=&quot;00B00DC4&quot;/&gt;&lt;wsp:rsid wsp:val=&quot;00B0124C&quot;/&gt;&lt;wsp:rsid wsp:val=&quot;00B01375&quot;/&gt;&lt;wsp:rsid wsp:val=&quot;00B01420&quot;/&gt;&lt;wsp:rsid wsp:val=&quot;00B016D4&quot;/&gt;&lt;wsp:rsid wsp:val=&quot;00B01D43&quot;/&gt;&lt;wsp:rsid wsp:val=&quot;00B01FC6&quot;/&gt;&lt;wsp:rsid wsp:val=&quot;00B02031&quot;/&gt;&lt;wsp:rsid wsp:val=&quot;00B026F6&quot;/&gt;&lt;wsp:rsid wsp:val=&quot;00B02F28&quot;/&gt;&lt;wsp:rsid wsp:val=&quot;00B0318E&quot;/&gt;&lt;wsp:rsid wsp:val=&quot;00B033E0&quot;/&gt;&lt;wsp:rsid wsp:val=&quot;00B03510&quot;/&gt;&lt;wsp:rsid wsp:val=&quot;00B03804&quot;/&gt;&lt;wsp:rsid wsp:val=&quot;00B03DEE&quot;/&gt;&lt;wsp:rsid wsp:val=&quot;00B045D9&quot;/&gt;&lt;wsp:rsid wsp:val=&quot;00B04A0F&quot;/&gt;&lt;wsp:rsid wsp:val=&quot;00B04AE7&quot;/&gt;&lt;wsp:rsid wsp:val=&quot;00B04EEB&quot;/&gt;&lt;wsp:rsid wsp:val=&quot;00B04F2C&quot;/&gt;&lt;wsp:rsid wsp:val=&quot;00B053A9&quot;/&gt;&lt;wsp:rsid wsp:val=&quot;00B05AC4&quot;/&gt;&lt;wsp:rsid wsp:val=&quot;00B05EA9&quot;/&gt;&lt;wsp:rsid wsp:val=&quot;00B05F50&quot;/&gt;&lt;wsp:rsid wsp:val=&quot;00B0603D&quot;/&gt;&lt;wsp:rsid wsp:val=&quot;00B06108&quot;/&gt;&lt;wsp:rsid wsp:val=&quot;00B06342&quot;/&gt;&lt;wsp:rsid wsp:val=&quot;00B063E9&quot;/&gt;&lt;wsp:rsid wsp:val=&quot;00B066FE&quot;/&gt;&lt;wsp:rsid wsp:val=&quot;00B067B6&quot;/&gt;&lt;wsp:rsid wsp:val=&quot;00B069EB&quot;/&gt;&lt;wsp:rsid wsp:val=&quot;00B06D78&quot;/&gt;&lt;wsp:rsid wsp:val=&quot;00B074B7&quot;/&gt;&lt;wsp:rsid wsp:val=&quot;00B07A34&quot;/&gt;&lt;wsp:rsid wsp:val=&quot;00B07A9B&quot;/&gt;&lt;wsp:rsid wsp:val=&quot;00B07C0E&quot;/&gt;&lt;wsp:rsid wsp:val=&quot;00B101E2&quot;/&gt;&lt;wsp:rsid wsp:val=&quot;00B10273&quot;/&gt;&lt;wsp:rsid wsp:val=&quot;00B102A5&quot;/&gt;&lt;wsp:rsid wsp:val=&quot;00B10437&quot;/&gt;&lt;wsp:rsid wsp:val=&quot;00B105C4&quot;/&gt;&lt;wsp:rsid wsp:val=&quot;00B10857&quot;/&gt;&lt;wsp:rsid wsp:val=&quot;00B114AA&quot;/&gt;&lt;wsp:rsid wsp:val=&quot;00B11588&quot;/&gt;&lt;wsp:rsid wsp:val=&quot;00B11AF5&quot;/&gt;&lt;wsp:rsid wsp:val=&quot;00B11C47&quot;/&gt;&lt;wsp:rsid wsp:val=&quot;00B12253&quot;/&gt;&lt;wsp:rsid wsp:val=&quot;00B1237E&quot;/&gt;&lt;wsp:rsid wsp:val=&quot;00B12763&quot;/&gt;&lt;wsp:rsid wsp:val=&quot;00B12A63&quot;/&gt;&lt;wsp:rsid wsp:val=&quot;00B12BF1&quot;/&gt;&lt;wsp:rsid wsp:val=&quot;00B12CB5&quot;/&gt;&lt;wsp:rsid wsp:val=&quot;00B12D76&quot;/&gt;&lt;wsp:rsid wsp:val=&quot;00B12EAC&quot;/&gt;&lt;wsp:rsid wsp:val=&quot;00B13341&quot;/&gt;&lt;wsp:rsid wsp:val=&quot;00B1351D&quot;/&gt;&lt;wsp:rsid wsp:val=&quot;00B13820&quot;/&gt;&lt;wsp:rsid wsp:val=&quot;00B1420F&quot;/&gt;&lt;wsp:rsid wsp:val=&quot;00B14339&quot;/&gt;&lt;wsp:rsid wsp:val=&quot;00B1488F&quot;/&gt;&lt;wsp:rsid wsp:val=&quot;00B1495C&quot;/&gt;&lt;wsp:rsid wsp:val=&quot;00B14964&quot;/&gt;&lt;wsp:rsid wsp:val=&quot;00B14EC4&quot;/&gt;&lt;wsp:rsid wsp:val=&quot;00B14FB8&quot;/&gt;&lt;wsp:rsid wsp:val=&quot;00B150F3&quot;/&gt;&lt;wsp:rsid wsp:val=&quot;00B1542F&quot;/&gt;&lt;wsp:rsid wsp:val=&quot;00B15BB8&quot;/&gt;&lt;wsp:rsid wsp:val=&quot;00B15BD5&quot;/&gt;&lt;wsp:rsid wsp:val=&quot;00B1658C&quot;/&gt;&lt;wsp:rsid wsp:val=&quot;00B165F4&quot;/&gt;&lt;wsp:rsid wsp:val=&quot;00B16B51&quot;/&gt;&lt;wsp:rsid wsp:val=&quot;00B16CE4&quot;/&gt;&lt;wsp:rsid wsp:val=&quot;00B17267&quot;/&gt;&lt;wsp:rsid wsp:val=&quot;00B17A6F&quot;/&gt;&lt;wsp:rsid wsp:val=&quot;00B17A77&quot;/&gt;&lt;wsp:rsid wsp:val=&quot;00B17F34&quot;/&gt;&lt;wsp:rsid wsp:val=&quot;00B2037C&quot;/&gt;&lt;wsp:rsid wsp:val=&quot;00B206CE&quot;/&gt;&lt;wsp:rsid wsp:val=&quot;00B207CE&quot;/&gt;&lt;wsp:rsid wsp:val=&quot;00B207EC&quot;/&gt;&lt;wsp:rsid wsp:val=&quot;00B208ED&quot;/&gt;&lt;wsp:rsid wsp:val=&quot;00B211C4&quot;/&gt;&lt;wsp:rsid wsp:val=&quot;00B21203&quot;/&gt;&lt;wsp:rsid wsp:val=&quot;00B214B2&quot;/&gt;&lt;wsp:rsid wsp:val=&quot;00B215AA&quot;/&gt;&lt;wsp:rsid wsp:val=&quot;00B215BC&quot;/&gt;&lt;wsp:rsid wsp:val=&quot;00B21620&quot;/&gt;&lt;wsp:rsid wsp:val=&quot;00B22E8F&quot;/&gt;&lt;wsp:rsid wsp:val=&quot;00B22F40&quot;/&gt;&lt;wsp:rsid wsp:val=&quot;00B23200&quot;/&gt;&lt;wsp:rsid wsp:val=&quot;00B2379C&quot;/&gt;&lt;wsp:rsid wsp:val=&quot;00B23892&quot;/&gt;&lt;wsp:rsid wsp:val=&quot;00B23D2B&quot;/&gt;&lt;wsp:rsid wsp:val=&quot;00B246A6&quot;/&gt;&lt;wsp:rsid wsp:val=&quot;00B24E41&quot;/&gt;&lt;wsp:rsid wsp:val=&quot;00B24E66&quot;/&gt;&lt;wsp:rsid wsp:val=&quot;00B25027&quot;/&gt;&lt;wsp:rsid wsp:val=&quot;00B2582C&quot;/&gt;&lt;wsp:rsid wsp:val=&quot;00B25907&quot;/&gt;&lt;wsp:rsid wsp:val=&quot;00B264BA&quot;/&gt;&lt;wsp:rsid wsp:val=&quot;00B267C6&quot;/&gt;&lt;wsp:rsid wsp:val=&quot;00B26F46&quot;/&gt;&lt;wsp:rsid wsp:val=&quot;00B270F2&quot;/&gt;&lt;wsp:rsid wsp:val=&quot;00B271B9&quot;/&gt;&lt;wsp:rsid wsp:val=&quot;00B27380&quot;/&gt;&lt;wsp:rsid wsp:val=&quot;00B274BB&quot;/&gt;&lt;wsp:rsid wsp:val=&quot;00B27520&quot;/&gt;&lt;wsp:rsid wsp:val=&quot;00B275DE&quot;/&gt;&lt;wsp:rsid wsp:val=&quot;00B27710&quot;/&gt;&lt;wsp:rsid wsp:val=&quot;00B2772A&quot;/&gt;&lt;wsp:rsid wsp:val=&quot;00B27B90&quot;/&gt;&lt;wsp:rsid wsp:val=&quot;00B27BDA&quot;/&gt;&lt;wsp:rsid wsp:val=&quot;00B302EC&quot;/&gt;&lt;wsp:rsid wsp:val=&quot;00B304C9&quot;/&gt;&lt;wsp:rsid wsp:val=&quot;00B3096D&quot;/&gt;&lt;wsp:rsid wsp:val=&quot;00B30EC9&quot;/&gt;&lt;wsp:rsid wsp:val=&quot;00B31340&quot;/&gt;&lt;wsp:rsid wsp:val=&quot;00B316E7&quot;/&gt;&lt;wsp:rsid wsp:val=&quot;00B31A7D&quot;/&gt;&lt;wsp:rsid wsp:val=&quot;00B31B75&quot;/&gt;&lt;wsp:rsid wsp:val=&quot;00B31F3B&quot;/&gt;&lt;wsp:rsid wsp:val=&quot;00B3255B&quot;/&gt;&lt;wsp:rsid wsp:val=&quot;00B32722&quot;/&gt;&lt;wsp:rsid wsp:val=&quot;00B32901&quot;/&gt;&lt;wsp:rsid wsp:val=&quot;00B32BC4&quot;/&gt;&lt;wsp:rsid wsp:val=&quot;00B32F30&quot;/&gt;&lt;wsp:rsid wsp:val=&quot;00B334E2&quot;/&gt;&lt;wsp:rsid wsp:val=&quot;00B340D8&quot;/&gt;&lt;wsp:rsid wsp:val=&quot;00B34423&quot;/&gt;&lt;wsp:rsid wsp:val=&quot;00B345E1&quot;/&gt;&lt;wsp:rsid wsp:val=&quot;00B34696&quot;/&gt;&lt;wsp:rsid wsp:val=&quot;00B34A3A&quot;/&gt;&lt;wsp:rsid wsp:val=&quot;00B3508E&quot;/&gt;&lt;wsp:rsid wsp:val=&quot;00B35471&quot;/&gt;&lt;wsp:rsid wsp:val=&quot;00B355F7&quot;/&gt;&lt;wsp:rsid wsp:val=&quot;00B355F9&quot;/&gt;&lt;wsp:rsid wsp:val=&quot;00B357FC&quot;/&gt;&lt;wsp:rsid wsp:val=&quot;00B35891&quot;/&gt;&lt;wsp:rsid wsp:val=&quot;00B358AC&quot;/&gt;&lt;wsp:rsid wsp:val=&quot;00B358E9&quot;/&gt;&lt;wsp:rsid wsp:val=&quot;00B35CC2&quot;/&gt;&lt;wsp:rsid wsp:val=&quot;00B36659&quot;/&gt;&lt;wsp:rsid wsp:val=&quot;00B366D3&quot;/&gt;&lt;wsp:rsid wsp:val=&quot;00B3693E&quot;/&gt;&lt;wsp:rsid wsp:val=&quot;00B37158&quot;/&gt;&lt;wsp:rsid wsp:val=&quot;00B373C5&quot;/&gt;&lt;wsp:rsid wsp:val=&quot;00B373F6&quot;/&gt;&lt;wsp:rsid wsp:val=&quot;00B3753C&quot;/&gt;&lt;wsp:rsid wsp:val=&quot;00B37824&quot;/&gt;&lt;wsp:rsid wsp:val=&quot;00B379CB&quot;/&gt;&lt;wsp:rsid wsp:val=&quot;00B37AB0&quot;/&gt;&lt;wsp:rsid wsp:val=&quot;00B37B1C&quot;/&gt;&lt;wsp:rsid wsp:val=&quot;00B37D83&quot;/&gt;&lt;wsp:rsid wsp:val=&quot;00B4003F&quot;/&gt;&lt;wsp:rsid wsp:val=&quot;00B4027C&quot;/&gt;&lt;wsp:rsid wsp:val=&quot;00B405AA&quot;/&gt;&lt;wsp:rsid wsp:val=&quot;00B41129&quot;/&gt;&lt;wsp:rsid wsp:val=&quot;00B41EB7&quot;/&gt;&lt;wsp:rsid wsp:val=&quot;00B420EF&quot;/&gt;&lt;wsp:rsid wsp:val=&quot;00B4230F&quot;/&gt;&lt;wsp:rsid wsp:val=&quot;00B42619&quot;/&gt;&lt;wsp:rsid wsp:val=&quot;00B42645&quot;/&gt;&lt;wsp:rsid wsp:val=&quot;00B4304B&quot;/&gt;&lt;wsp:rsid wsp:val=&quot;00B43378&quot;/&gt;&lt;wsp:rsid wsp:val=&quot;00B4338C&quot;/&gt;&lt;wsp:rsid wsp:val=&quot;00B43BD7&quot;/&gt;&lt;wsp:rsid wsp:val=&quot;00B43C58&quot;/&gt;&lt;wsp:rsid wsp:val=&quot;00B44956&quot;/&gt;&lt;wsp:rsid wsp:val=&quot;00B4527D&quot;/&gt;&lt;wsp:rsid wsp:val=&quot;00B45F5B&quot;/&gt;&lt;wsp:rsid wsp:val=&quot;00B45F5C&quot;/&gt;&lt;wsp:rsid wsp:val=&quot;00B4613C&quot;/&gt;&lt;wsp:rsid wsp:val=&quot;00B464BF&quot;/&gt;&lt;wsp:rsid wsp:val=&quot;00B47705&quot;/&gt;&lt;wsp:rsid wsp:val=&quot;00B47ABD&quot;/&gt;&lt;wsp:rsid wsp:val=&quot;00B47AD1&quot;/&gt;&lt;wsp:rsid wsp:val=&quot;00B47CF4&quot;/&gt;&lt;wsp:rsid wsp:val=&quot;00B47D36&quot;/&gt;&lt;wsp:rsid wsp:val=&quot;00B502BB&quot;/&gt;&lt;wsp:rsid wsp:val=&quot;00B503FD&quot;/&gt;&lt;wsp:rsid wsp:val=&quot;00B50466&quot;/&gt;&lt;wsp:rsid wsp:val=&quot;00B5046F&quot;/&gt;&lt;wsp:rsid wsp:val=&quot;00B505A0&quot;/&gt;&lt;wsp:rsid wsp:val=&quot;00B5084A&quot;/&gt;&lt;wsp:rsid wsp:val=&quot;00B50D60&quot;/&gt;&lt;wsp:rsid wsp:val=&quot;00B5111F&quot;/&gt;&lt;wsp:rsid wsp:val=&quot;00B5185C&quot;/&gt;&lt;wsp:rsid wsp:val=&quot;00B51AB7&quot;/&gt;&lt;wsp:rsid wsp:val=&quot;00B5203B&quot;/&gt;&lt;wsp:rsid wsp:val=&quot;00B52188&quot;/&gt;&lt;wsp:rsid wsp:val=&quot;00B5250E&quot;/&gt;&lt;wsp:rsid wsp:val=&quot;00B5261C&quot;/&gt;&lt;wsp:rsid wsp:val=&quot;00B526AE&quot;/&gt;&lt;wsp:rsid wsp:val=&quot;00B52770&quot;/&gt;&lt;wsp:rsid wsp:val=&quot;00B52A1C&quot;/&gt;&lt;wsp:rsid wsp:val=&quot;00B52A23&quot;/&gt;&lt;wsp:rsid wsp:val=&quot;00B52B05&quot;/&gt;&lt;wsp:rsid wsp:val=&quot;00B52D02&quot;/&gt;&lt;wsp:rsid wsp:val=&quot;00B5318B&quot;/&gt;&lt;wsp:rsid wsp:val=&quot;00B531BC&quot;/&gt;&lt;wsp:rsid wsp:val=&quot;00B53482&quot;/&gt;&lt;wsp:rsid wsp:val=&quot;00B5387F&quot;/&gt;&lt;wsp:rsid wsp:val=&quot;00B5389B&quot;/&gt;&lt;wsp:rsid wsp:val=&quot;00B538F1&quot;/&gt;&lt;wsp:rsid wsp:val=&quot;00B539E7&quot;/&gt;&lt;wsp:rsid wsp:val=&quot;00B53E93&quot;/&gt;&lt;wsp:rsid wsp:val=&quot;00B54064&quot;/&gt;&lt;wsp:rsid wsp:val=&quot;00B54297&quot;/&gt;&lt;wsp:rsid wsp:val=&quot;00B546F4&quot;/&gt;&lt;wsp:rsid wsp:val=&quot;00B54741&quot;/&gt;&lt;wsp:rsid wsp:val=&quot;00B55036&quot;/&gt;&lt;wsp:rsid wsp:val=&quot;00B55249&quot;/&gt;&lt;wsp:rsid wsp:val=&quot;00B5525F&quot;/&gt;&lt;wsp:rsid wsp:val=&quot;00B55663&quot;/&gt;&lt;wsp:rsid wsp:val=&quot;00B55685&quot;/&gt;&lt;wsp:rsid wsp:val=&quot;00B55912&quot;/&gt;&lt;wsp:rsid wsp:val=&quot;00B561D6&quot;/&gt;&lt;wsp:rsid wsp:val=&quot;00B561F7&quot;/&gt;&lt;wsp:rsid wsp:val=&quot;00B5637B&quot;/&gt;&lt;wsp:rsid wsp:val=&quot;00B56DF4&quot;/&gt;&lt;wsp:rsid wsp:val=&quot;00B57213&quot;/&gt;&lt;wsp:rsid wsp:val=&quot;00B573A4&quot;/&gt;&lt;wsp:rsid wsp:val=&quot;00B5750A&quot;/&gt;&lt;wsp:rsid wsp:val=&quot;00B57E4C&quot;/&gt;&lt;wsp:rsid wsp:val=&quot;00B608C4&quot;/&gt;&lt;wsp:rsid wsp:val=&quot;00B609CB&quot;/&gt;&lt;wsp:rsid wsp:val=&quot;00B61A4B&quot;/&gt;&lt;wsp:rsid wsp:val=&quot;00B61D45&quot;/&gt;&lt;wsp:rsid wsp:val=&quot;00B621BD&quot;/&gt;&lt;wsp:rsid wsp:val=&quot;00B622DE&quot;/&gt;&lt;wsp:rsid wsp:val=&quot;00B6234B&quot;/&gt;&lt;wsp:rsid wsp:val=&quot;00B6240A&quot;/&gt;&lt;wsp:rsid wsp:val=&quot;00B6240F&quot;/&gt;&lt;wsp:rsid wsp:val=&quot;00B626C5&quot;/&gt;&lt;wsp:rsid wsp:val=&quot;00B626D5&quot;/&gt;&lt;wsp:rsid wsp:val=&quot;00B62CEE&quot;/&gt;&lt;wsp:rsid wsp:val=&quot;00B63154&quot;/&gt;&lt;wsp:rsid wsp:val=&quot;00B636AA&quot;/&gt;&lt;wsp:rsid wsp:val=&quot;00B642D8&quot;/&gt;&lt;wsp:rsid wsp:val=&quot;00B647B6&quot;/&gt;&lt;wsp:rsid wsp:val=&quot;00B64D1F&quot;/&gt;&lt;wsp:rsid wsp:val=&quot;00B64D40&quot;/&gt;&lt;wsp:rsid wsp:val=&quot;00B6520B&quot;/&gt;&lt;wsp:rsid wsp:val=&quot;00B657C0&quot;/&gt;&lt;wsp:rsid wsp:val=&quot;00B659C5&quot;/&gt;&lt;wsp:rsid wsp:val=&quot;00B66936&quot;/&gt;&lt;wsp:rsid wsp:val=&quot;00B66BE4&quot;/&gt;&lt;wsp:rsid wsp:val=&quot;00B67407&quot;/&gt;&lt;wsp:rsid wsp:val=&quot;00B674C9&quot;/&gt;&lt;wsp:rsid wsp:val=&quot;00B6750B&quot;/&gt;&lt;wsp:rsid wsp:val=&quot;00B67969&quot;/&gt;&lt;wsp:rsid wsp:val=&quot;00B7024E&quot;/&gt;&lt;wsp:rsid wsp:val=&quot;00B70395&quot;/&gt;&lt;wsp:rsid wsp:val=&quot;00B70444&quot;/&gt;&lt;wsp:rsid wsp:val=&quot;00B70C63&quot;/&gt;&lt;wsp:rsid wsp:val=&quot;00B70D4A&quot;/&gt;&lt;wsp:rsid wsp:val=&quot;00B719DC&quot;/&gt;&lt;wsp:rsid wsp:val=&quot;00B71DF4&quot;/&gt;&lt;wsp:rsid wsp:val=&quot;00B71FF8&quot;/&gt;&lt;wsp:rsid wsp:val=&quot;00B7214D&quot;/&gt;&lt;wsp:rsid wsp:val=&quot;00B7237E&quot;/&gt;&lt;wsp:rsid wsp:val=&quot;00B72491&quot;/&gt;&lt;wsp:rsid wsp:val=&quot;00B72997&quot;/&gt;&lt;wsp:rsid wsp:val=&quot;00B72B2D&quot;/&gt;&lt;wsp:rsid wsp:val=&quot;00B73379&quot;/&gt;&lt;wsp:rsid wsp:val=&quot;00B738A1&quot;/&gt;&lt;wsp:rsid wsp:val=&quot;00B73E83&quot;/&gt;&lt;wsp:rsid wsp:val=&quot;00B73F7D&quot;/&gt;&lt;wsp:rsid wsp:val=&quot;00B7404A&quot;/&gt;&lt;wsp:rsid wsp:val=&quot;00B743DB&quot;/&gt;&lt;wsp:rsid wsp:val=&quot;00B74423&quot;/&gt;&lt;wsp:rsid wsp:val=&quot;00B74642&quot;/&gt;&lt;wsp:rsid wsp:val=&quot;00B74D25&quot;/&gt;&lt;wsp:rsid wsp:val=&quot;00B7536C&quot;/&gt;&lt;wsp:rsid wsp:val=&quot;00B7552C&quot;/&gt;&lt;wsp:rsid wsp:val=&quot;00B757CF&quot;/&gt;&lt;wsp:rsid wsp:val=&quot;00B7595E&quot;/&gt;&lt;wsp:rsid wsp:val=&quot;00B75F42&quot;/&gt;&lt;wsp:rsid wsp:val=&quot;00B766BB&quot;/&gt;&lt;wsp:rsid wsp:val=&quot;00B766D1&quot;/&gt;&lt;wsp:rsid wsp:val=&quot;00B769B6&quot;/&gt;&lt;wsp:rsid wsp:val=&quot;00B76C16&quot;/&gt;&lt;wsp:rsid wsp:val=&quot;00B77226&quot;/&gt;&lt;wsp:rsid wsp:val=&quot;00B7723F&quot;/&gt;&lt;wsp:rsid wsp:val=&quot;00B77294&quot;/&gt;&lt;wsp:rsid wsp:val=&quot;00B77450&quot;/&gt;&lt;wsp:rsid wsp:val=&quot;00B776BA&quot;/&gt;&lt;wsp:rsid wsp:val=&quot;00B77C3D&quot;/&gt;&lt;wsp:rsid wsp:val=&quot;00B803FB&quot;/&gt;&lt;wsp:rsid wsp:val=&quot;00B804AA&quot;/&gt;&lt;wsp:rsid wsp:val=&quot;00B8054A&quot;/&gt;&lt;wsp:rsid wsp:val=&quot;00B8064A&quot;/&gt;&lt;wsp:rsid wsp:val=&quot;00B81830&quot;/&gt;&lt;wsp:rsid wsp:val=&quot;00B81AF0&quot;/&gt;&lt;wsp:rsid wsp:val=&quot;00B81B2D&quot;/&gt;&lt;wsp:rsid wsp:val=&quot;00B82189&quot;/&gt;&lt;wsp:rsid wsp:val=&quot;00B82335&quot;/&gt;&lt;wsp:rsid wsp:val=&quot;00B82367&quot;/&gt;&lt;wsp:rsid wsp:val=&quot;00B825BC&quot;/&gt;&lt;wsp:rsid wsp:val=&quot;00B8299B&quot;/&gt;&lt;wsp:rsid wsp:val=&quot;00B82BB6&quot;/&gt;&lt;wsp:rsid wsp:val=&quot;00B830E9&quot;/&gt;&lt;wsp:rsid wsp:val=&quot;00B8316D&quot;/&gt;&lt;wsp:rsid wsp:val=&quot;00B83687&quot;/&gt;&lt;wsp:rsid wsp:val=&quot;00B83B40&quot;/&gt;&lt;wsp:rsid wsp:val=&quot;00B83E28&quot;/&gt;&lt;wsp:rsid wsp:val=&quot;00B8416F&quot;/&gt;&lt;wsp:rsid wsp:val=&quot;00B84482&quot;/&gt;&lt;wsp:rsid wsp:val=&quot;00B845CB&quot;/&gt;&lt;wsp:rsid wsp:val=&quot;00B8472E&quot;/&gt;&lt;wsp:rsid wsp:val=&quot;00B84801&quot;/&gt;&lt;wsp:rsid wsp:val=&quot;00B8506F&quot;/&gt;&lt;wsp:rsid wsp:val=&quot;00B85311&quot;/&gt;&lt;wsp:rsid wsp:val=&quot;00B859FF&quot;/&gt;&lt;wsp:rsid wsp:val=&quot;00B85A40&quot;/&gt;&lt;wsp:rsid wsp:val=&quot;00B85B95&quot;/&gt;&lt;wsp:rsid wsp:val=&quot;00B85DAE&quot;/&gt;&lt;wsp:rsid wsp:val=&quot;00B85DF7&quot;/&gt;&lt;wsp:rsid wsp:val=&quot;00B85FDF&quot;/&gt;&lt;wsp:rsid wsp:val=&quot;00B86233&quot;/&gt;&lt;wsp:rsid wsp:val=&quot;00B868D1&quot;/&gt;&lt;wsp:rsid wsp:val=&quot;00B870B9&quot;/&gt;&lt;wsp:rsid wsp:val=&quot;00B87548&quot;/&gt;&lt;wsp:rsid wsp:val=&quot;00B87808&quot;/&gt;&lt;wsp:rsid wsp:val=&quot;00B87C05&quot;/&gt;&lt;wsp:rsid wsp:val=&quot;00B87FF0&quot;/&gt;&lt;wsp:rsid wsp:val=&quot;00B90186&quot;/&gt;&lt;wsp:rsid wsp:val=&quot;00B90220&quot;/&gt;&lt;wsp:rsid wsp:val=&quot;00B9055C&quot;/&gt;&lt;wsp:rsid wsp:val=&quot;00B90A24&quot;/&gt;&lt;wsp:rsid wsp:val=&quot;00B90AFB&quot;/&gt;&lt;wsp:rsid wsp:val=&quot;00B91017&quot;/&gt;&lt;wsp:rsid wsp:val=&quot;00B91019&quot;/&gt;&lt;wsp:rsid wsp:val=&quot;00B91898&quot;/&gt;&lt;wsp:rsid wsp:val=&quot;00B91D43&quot;/&gt;&lt;wsp:rsid wsp:val=&quot;00B91FFC&quot;/&gt;&lt;wsp:rsid wsp:val=&quot;00B922CF&quot;/&gt;&lt;wsp:rsid wsp:val=&quot;00B9259B&quot;/&gt;&lt;wsp:rsid wsp:val=&quot;00B925A4&quot;/&gt;&lt;wsp:rsid wsp:val=&quot;00B92867&quot;/&gt;&lt;wsp:rsid wsp:val=&quot;00B92C8B&quot;/&gt;&lt;wsp:rsid wsp:val=&quot;00B92CE3&quot;/&gt;&lt;wsp:rsid wsp:val=&quot;00B92EDF&quot;/&gt;&lt;wsp:rsid wsp:val=&quot;00B933ED&quot;/&gt;&lt;wsp:rsid wsp:val=&quot;00B9374D&quot;/&gt;&lt;wsp:rsid wsp:val=&quot;00B939BE&quot;/&gt;&lt;wsp:rsid wsp:val=&quot;00B93A53&quot;/&gt;&lt;wsp:rsid wsp:val=&quot;00B93E91&quot;/&gt;&lt;wsp:rsid wsp:val=&quot;00B94416&quot;/&gt;&lt;wsp:rsid wsp:val=&quot;00B945F6&quot;/&gt;&lt;wsp:rsid wsp:val=&quot;00B9494F&quot;/&gt;&lt;wsp:rsid wsp:val=&quot;00B949CD&quot;/&gt;&lt;wsp:rsid wsp:val=&quot;00B94DD4&quot;/&gt;&lt;wsp:rsid wsp:val=&quot;00B957E1&quot;/&gt;&lt;wsp:rsid wsp:val=&quot;00B95A70&quot;/&gt;&lt;wsp:rsid wsp:val=&quot;00B95F0E&quot;/&gt;&lt;wsp:rsid wsp:val=&quot;00B96800&quot;/&gt;&lt;wsp:rsid wsp:val=&quot;00B96DC9&quot;/&gt;&lt;wsp:rsid wsp:val=&quot;00B96EA0&quot;/&gt;&lt;wsp:rsid wsp:val=&quot;00B972E9&quot;/&gt;&lt;wsp:rsid wsp:val=&quot;00BA00D0&quot;/&gt;&lt;wsp:rsid wsp:val=&quot;00BA0219&quot;/&gt;&lt;wsp:rsid wsp:val=&quot;00BA0229&quot;/&gt;&lt;wsp:rsid wsp:val=&quot;00BA0362&quot;/&gt;&lt;wsp:rsid wsp:val=&quot;00BA0611&quot;/&gt;&lt;wsp:rsid wsp:val=&quot;00BA0A56&quot;/&gt;&lt;wsp:rsid wsp:val=&quot;00BA149A&quot;/&gt;&lt;wsp:rsid wsp:val=&quot;00BA162E&quot;/&gt;&lt;wsp:rsid wsp:val=&quot;00BA178A&quot;/&gt;&lt;wsp:rsid wsp:val=&quot;00BA2D52&quot;/&gt;&lt;wsp:rsid wsp:val=&quot;00BA2D5D&quot;/&gt;&lt;wsp:rsid wsp:val=&quot;00BA3151&quot;/&gt;&lt;wsp:rsid wsp:val=&quot;00BA34EC&quot;/&gt;&lt;wsp:rsid wsp:val=&quot;00BA38D3&quot;/&gt;&lt;wsp:rsid wsp:val=&quot;00BA3DB2&quot;/&gt;&lt;wsp:rsid wsp:val=&quot;00BA3E49&quot;/&gt;&lt;wsp:rsid wsp:val=&quot;00BA43FA&quot;/&gt;&lt;wsp:rsid wsp:val=&quot;00BA4C42&quot;/&gt;&lt;wsp:rsid wsp:val=&quot;00BA4D6A&quot;/&gt;&lt;wsp:rsid wsp:val=&quot;00BA5CA8&quot;/&gt;&lt;wsp:rsid wsp:val=&quot;00BA5DFF&quot;/&gt;&lt;wsp:rsid wsp:val=&quot;00BA5FEF&quot;/&gt;&lt;wsp:rsid wsp:val=&quot;00BA61E1&quot;/&gt;&lt;wsp:rsid wsp:val=&quot;00BA63A1&quot;/&gt;&lt;wsp:rsid wsp:val=&quot;00BA683E&quot;/&gt;&lt;wsp:rsid wsp:val=&quot;00BA68F0&quot;/&gt;&lt;wsp:rsid wsp:val=&quot;00BA6BF0&quot;/&gt;&lt;wsp:rsid wsp:val=&quot;00BA6EF9&quot;/&gt;&lt;wsp:rsid wsp:val=&quot;00BA6FA4&quot;/&gt;&lt;wsp:rsid wsp:val=&quot;00BA7546&quot;/&gt;&lt;wsp:rsid wsp:val=&quot;00BA7725&quot;/&gt;&lt;wsp:rsid wsp:val=&quot;00BA7AD3&quot;/&gt;&lt;wsp:rsid wsp:val=&quot;00BA7FCF&quot;/&gt;&lt;wsp:rsid wsp:val=&quot;00BB022C&quot;/&gt;&lt;wsp:rsid wsp:val=&quot;00BB06E2&quot;/&gt;&lt;wsp:rsid wsp:val=&quot;00BB0DAB&quot;/&gt;&lt;wsp:rsid wsp:val=&quot;00BB167D&quot;/&gt;&lt;wsp:rsid wsp:val=&quot;00BB2025&quot;/&gt;&lt;wsp:rsid wsp:val=&quot;00BB2060&quot;/&gt;&lt;wsp:rsid wsp:val=&quot;00BB20A4&quot;/&gt;&lt;wsp:rsid wsp:val=&quot;00BB2AF6&quot;/&gt;&lt;wsp:rsid wsp:val=&quot;00BB2FFB&quot;/&gt;&lt;wsp:rsid wsp:val=&quot;00BB311C&quot;/&gt;&lt;wsp:rsid wsp:val=&quot;00BB337E&quot;/&gt;&lt;wsp:rsid wsp:val=&quot;00BB34A9&quot;/&gt;&lt;wsp:rsid wsp:val=&quot;00BB350E&quot;/&gt;&lt;wsp:rsid wsp:val=&quot;00BB36C0&quot;/&gt;&lt;wsp:rsid wsp:val=&quot;00BB3A28&quot;/&gt;&lt;wsp:rsid wsp:val=&quot;00BB3B2D&quot;/&gt;&lt;wsp:rsid wsp:val=&quot;00BB409B&quot;/&gt;&lt;wsp:rsid wsp:val=&quot;00BB40BB&quot;/&gt;&lt;wsp:rsid wsp:val=&quot;00BB4189&quot;/&gt;&lt;wsp:rsid wsp:val=&quot;00BB42C2&quot;/&gt;&lt;wsp:rsid wsp:val=&quot;00BB4456&quot;/&gt;&lt;wsp:rsid wsp:val=&quot;00BB44E6&quot;/&gt;&lt;wsp:rsid wsp:val=&quot;00BB4C96&quot;/&gt;&lt;wsp:rsid wsp:val=&quot;00BB4FFB&quot;/&gt;&lt;wsp:rsid wsp:val=&quot;00BB50AC&quot;/&gt;&lt;wsp:rsid wsp:val=&quot;00BB5B79&quot;/&gt;&lt;wsp:rsid wsp:val=&quot;00BB5B9B&quot;/&gt;&lt;wsp:rsid wsp:val=&quot;00BB5C44&quot;/&gt;&lt;wsp:rsid wsp:val=&quot;00BB5F33&quot;/&gt;&lt;wsp:rsid wsp:val=&quot;00BB6048&quot;/&gt;&lt;wsp:rsid wsp:val=&quot;00BB61AC&quot;/&gt;&lt;wsp:rsid wsp:val=&quot;00BB6470&quot;/&gt;&lt;wsp:rsid wsp:val=&quot;00BB6844&quot;/&gt;&lt;wsp:rsid wsp:val=&quot;00BB6956&quot;/&gt;&lt;wsp:rsid wsp:val=&quot;00BB6A39&quot;/&gt;&lt;wsp:rsid wsp:val=&quot;00BB6A44&quot;/&gt;&lt;wsp:rsid wsp:val=&quot;00BB6A93&quot;/&gt;&lt;wsp:rsid wsp:val=&quot;00BB6D27&quot;/&gt;&lt;wsp:rsid wsp:val=&quot;00BB74DB&quot;/&gt;&lt;wsp:rsid wsp:val=&quot;00BB757B&quot;/&gt;&lt;wsp:rsid wsp:val=&quot;00BB77E4&quot;/&gt;&lt;wsp:rsid wsp:val=&quot;00BB782C&quot;/&gt;&lt;wsp:rsid wsp:val=&quot;00BB786D&quot;/&gt;&lt;wsp:rsid wsp:val=&quot;00BB7993&quot;/&gt;&lt;wsp:rsid wsp:val=&quot;00BB7B40&quot;/&gt;&lt;wsp:rsid wsp:val=&quot;00BB7C66&quot;/&gt;&lt;wsp:rsid wsp:val=&quot;00BC0314&quot;/&gt;&lt;wsp:rsid wsp:val=&quot;00BC05B3&quot;/&gt;&lt;wsp:rsid wsp:val=&quot;00BC073A&quot;/&gt;&lt;wsp:rsid wsp:val=&quot;00BC0F9C&quot;/&gt;&lt;wsp:rsid wsp:val=&quot;00BC106A&quot;/&gt;&lt;wsp:rsid wsp:val=&quot;00BC12BA&quot;/&gt;&lt;wsp:rsid wsp:val=&quot;00BC13B7&quot;/&gt;&lt;wsp:rsid wsp:val=&quot;00BC1604&quot;/&gt;&lt;wsp:rsid wsp:val=&quot;00BC1A09&quot;/&gt;&lt;wsp:rsid wsp:val=&quot;00BC1A9E&quot;/&gt;&lt;wsp:rsid wsp:val=&quot;00BC21DC&quot;/&gt;&lt;wsp:rsid wsp:val=&quot;00BC26BD&quot;/&gt;&lt;wsp:rsid wsp:val=&quot;00BC2834&quot;/&gt;&lt;wsp:rsid wsp:val=&quot;00BC2EB8&quot;/&gt;&lt;wsp:rsid wsp:val=&quot;00BC3404&quot;/&gt;&lt;wsp:rsid wsp:val=&quot;00BC34B3&quot;/&gt;&lt;wsp:rsid wsp:val=&quot;00BC37BB&quot;/&gt;&lt;wsp:rsid wsp:val=&quot;00BC37ED&quot;/&gt;&lt;wsp:rsid wsp:val=&quot;00BC3E79&quot;/&gt;&lt;wsp:rsid wsp:val=&quot;00BC3F4F&quot;/&gt;&lt;wsp:rsid wsp:val=&quot;00BC402B&quot;/&gt;&lt;wsp:rsid wsp:val=&quot;00BC40C2&quot;/&gt;&lt;wsp:rsid wsp:val=&quot;00BC4464&quot;/&gt;&lt;wsp:rsid wsp:val=&quot;00BC4A1C&quot;/&gt;&lt;wsp:rsid wsp:val=&quot;00BC4A5E&quot;/&gt;&lt;wsp:rsid wsp:val=&quot;00BC4CDE&quot;/&gt;&lt;wsp:rsid wsp:val=&quot;00BC4F0F&quot;/&gt;&lt;wsp:rsid wsp:val=&quot;00BC4F86&quot;/&gt;&lt;wsp:rsid wsp:val=&quot;00BC5197&quot;/&gt;&lt;wsp:rsid wsp:val=&quot;00BC51DE&quot;/&gt;&lt;wsp:rsid wsp:val=&quot;00BC569F&quot;/&gt;&lt;wsp:rsid wsp:val=&quot;00BC59F6&quot;/&gt;&lt;wsp:rsid wsp:val=&quot;00BC5B02&quot;/&gt;&lt;wsp:rsid wsp:val=&quot;00BC5E6B&quot;/&gt;&lt;wsp:rsid wsp:val=&quot;00BC645D&quot;/&gt;&lt;wsp:rsid wsp:val=&quot;00BC689E&quot;/&gt;&lt;wsp:rsid wsp:val=&quot;00BC6E57&quot;/&gt;&lt;wsp:rsid wsp:val=&quot;00BC6FF0&quot;/&gt;&lt;wsp:rsid wsp:val=&quot;00BC7003&quot;/&gt;&lt;wsp:rsid wsp:val=&quot;00BC72DF&quot;/&gt;&lt;wsp:rsid wsp:val=&quot;00BC7514&quot;/&gt;&lt;wsp:rsid wsp:val=&quot;00BC7A8A&quot;/&gt;&lt;wsp:rsid wsp:val=&quot;00BC7E36&quot;/&gt;&lt;wsp:rsid wsp:val=&quot;00BD0239&quot;/&gt;&lt;wsp:rsid wsp:val=&quot;00BD028C&quot;/&gt;&lt;wsp:rsid wsp:val=&quot;00BD0665&quot;/&gt;&lt;wsp:rsid wsp:val=&quot;00BD07EF&quot;/&gt;&lt;wsp:rsid wsp:val=&quot;00BD07F5&quot;/&gt;&lt;wsp:rsid wsp:val=&quot;00BD0E05&quot;/&gt;&lt;wsp:rsid wsp:val=&quot;00BD0EC3&quot;/&gt;&lt;wsp:rsid wsp:val=&quot;00BD1044&quot;/&gt;&lt;wsp:rsid wsp:val=&quot;00BD1408&quot;/&gt;&lt;wsp:rsid wsp:val=&quot;00BD15C5&quot;/&gt;&lt;wsp:rsid wsp:val=&quot;00BD16AD&quot;/&gt;&lt;wsp:rsid wsp:val=&quot;00BD183E&quot;/&gt;&lt;wsp:rsid wsp:val=&quot;00BD1966&quot;/&gt;&lt;wsp:rsid wsp:val=&quot;00BD19F8&quot;/&gt;&lt;wsp:rsid wsp:val=&quot;00BD21EF&quot;/&gt;&lt;wsp:rsid wsp:val=&quot;00BD2722&quot;/&gt;&lt;wsp:rsid wsp:val=&quot;00BD290B&quot;/&gt;&lt;wsp:rsid wsp:val=&quot;00BD2A30&quot;/&gt;&lt;wsp:rsid wsp:val=&quot;00BD2C67&quot;/&gt;&lt;wsp:rsid wsp:val=&quot;00BD319D&quot;/&gt;&lt;wsp:rsid wsp:val=&quot;00BD3B1A&quot;/&gt;&lt;wsp:rsid wsp:val=&quot;00BD3CC7&quot;/&gt;&lt;wsp:rsid wsp:val=&quot;00BD47CB&quot;/&gt;&lt;wsp:rsid wsp:val=&quot;00BD4986&quot;/&gt;&lt;wsp:rsid wsp:val=&quot;00BD4A06&quot;/&gt;&lt;wsp:rsid wsp:val=&quot;00BD4D4D&quot;/&gt;&lt;wsp:rsid wsp:val=&quot;00BD4F72&quot;/&gt;&lt;wsp:rsid wsp:val=&quot;00BD5117&quot;/&gt;&lt;wsp:rsid wsp:val=&quot;00BD52AB&quot;/&gt;&lt;wsp:rsid wsp:val=&quot;00BD5483&quot;/&gt;&lt;wsp:rsid wsp:val=&quot;00BD5626&quot;/&gt;&lt;wsp:rsid wsp:val=&quot;00BD57FD&quot;/&gt;&lt;wsp:rsid wsp:val=&quot;00BD5E7B&quot;/&gt;&lt;wsp:rsid wsp:val=&quot;00BD67E2&quot;/&gt;&lt;wsp:rsid wsp:val=&quot;00BD6DBD&quot;/&gt;&lt;wsp:rsid wsp:val=&quot;00BD6E04&quot;/&gt;&lt;wsp:rsid wsp:val=&quot;00BD73E0&quot;/&gt;&lt;wsp:rsid wsp:val=&quot;00BD746B&quot;/&gt;&lt;wsp:rsid wsp:val=&quot;00BD7971&quot;/&gt;&lt;wsp:rsid wsp:val=&quot;00BD7A89&quot;/&gt;&lt;wsp:rsid wsp:val=&quot;00BD7AB5&quot;/&gt;&lt;wsp:rsid wsp:val=&quot;00BD7C5B&quot;/&gt;&lt;wsp:rsid wsp:val=&quot;00BD7CEE&quot;/&gt;&lt;wsp:rsid wsp:val=&quot;00BD7D8E&quot;/&gt;&lt;wsp:rsid wsp:val=&quot;00BE0028&quot;/&gt;&lt;wsp:rsid wsp:val=&quot;00BE06B0&quot;/&gt;&lt;wsp:rsid wsp:val=&quot;00BE06D9&quot;/&gt;&lt;wsp:rsid wsp:val=&quot;00BE09AD&quot;/&gt;&lt;wsp:rsid wsp:val=&quot;00BE0B76&quot;/&gt;&lt;wsp:rsid wsp:val=&quot;00BE18A5&quot;/&gt;&lt;wsp:rsid wsp:val=&quot;00BE19E5&quot;/&gt;&lt;wsp:rsid wsp:val=&quot;00BE1DE4&quot;/&gt;&lt;wsp:rsid wsp:val=&quot;00BE1F06&quot;/&gt;&lt;wsp:rsid wsp:val=&quot;00BE1FDE&quot;/&gt;&lt;wsp:rsid wsp:val=&quot;00BE24B8&quot;/&gt;&lt;wsp:rsid wsp:val=&quot;00BE2516&quot;/&gt;&lt;wsp:rsid wsp:val=&quot;00BE2676&quot;/&gt;&lt;wsp:rsid wsp:val=&quot;00BE27F3&quot;/&gt;&lt;wsp:rsid wsp:val=&quot;00BE2B0C&quot;/&gt;&lt;wsp:rsid wsp:val=&quot;00BE2E84&quot;/&gt;&lt;wsp:rsid wsp:val=&quot;00BE2FC2&quot;/&gt;&lt;wsp:rsid wsp:val=&quot;00BE303E&quot;/&gt;&lt;wsp:rsid wsp:val=&quot;00BE333D&quot;/&gt;&lt;wsp:rsid wsp:val=&quot;00BE3465&quot;/&gt;&lt;wsp:rsid wsp:val=&quot;00BE4325&quot;/&gt;&lt;wsp:rsid wsp:val=&quot;00BE52FA&quot;/&gt;&lt;wsp:rsid wsp:val=&quot;00BE5611&quot;/&gt;&lt;wsp:rsid wsp:val=&quot;00BE56AA&quot;/&gt;&lt;wsp:rsid wsp:val=&quot;00BE56CB&quot;/&gt;&lt;wsp:rsid wsp:val=&quot;00BE58B2&quot;/&gt;&lt;wsp:rsid wsp:val=&quot;00BE6197&quot;/&gt;&lt;wsp:rsid wsp:val=&quot;00BE6510&quot;/&gt;&lt;wsp:rsid wsp:val=&quot;00BE6562&quot;/&gt;&lt;wsp:rsid wsp:val=&quot;00BE6B39&quot;/&gt;&lt;wsp:rsid wsp:val=&quot;00BE6C2F&quot;/&gt;&lt;wsp:rsid wsp:val=&quot;00BE6CE0&quot;/&gt;&lt;wsp:rsid wsp:val=&quot;00BE712C&quot;/&gt;&lt;wsp:rsid wsp:val=&quot;00BE75E1&quot;/&gt;&lt;wsp:rsid wsp:val=&quot;00BE76C2&quot;/&gt;&lt;wsp:rsid wsp:val=&quot;00BE785F&quot;/&gt;&lt;wsp:rsid wsp:val=&quot;00BE78BC&quot;/&gt;&lt;wsp:rsid wsp:val=&quot;00BE7C9B&quot;/&gt;&lt;wsp:rsid wsp:val=&quot;00BF00BE&quot;/&gt;&lt;wsp:rsid wsp:val=&quot;00BF018E&quot;/&gt;&lt;wsp:rsid wsp:val=&quot;00BF04F4&quot;/&gt;&lt;wsp:rsid wsp:val=&quot;00BF07C9&quot;/&gt;&lt;wsp:rsid wsp:val=&quot;00BF092E&quot;/&gt;&lt;wsp:rsid wsp:val=&quot;00BF0D10&quot;/&gt;&lt;wsp:rsid wsp:val=&quot;00BF0E67&quot;/&gt;&lt;wsp:rsid wsp:val=&quot;00BF0F6C&quot;/&gt;&lt;wsp:rsid wsp:val=&quot;00BF14A4&quot;/&gt;&lt;wsp:rsid wsp:val=&quot;00BF1503&quot;/&gt;&lt;wsp:rsid wsp:val=&quot;00BF1995&quot;/&gt;&lt;wsp:rsid wsp:val=&quot;00BF20B3&quot;/&gt;&lt;wsp:rsid wsp:val=&quot;00BF2226&quot;/&gt;&lt;wsp:rsid wsp:val=&quot;00BF2A9A&quot;/&gt;&lt;wsp:rsid wsp:val=&quot;00BF3C18&quot;/&gt;&lt;wsp:rsid wsp:val=&quot;00BF4105&quot;/&gt;&lt;wsp:rsid wsp:val=&quot;00BF418D&quot;/&gt;&lt;wsp:rsid wsp:val=&quot;00BF452F&quot;/&gt;&lt;wsp:rsid wsp:val=&quot;00BF456D&quot;/&gt;&lt;wsp:rsid wsp:val=&quot;00BF55FF&quot;/&gt;&lt;wsp:rsid wsp:val=&quot;00BF571A&quot;/&gt;&lt;wsp:rsid wsp:val=&quot;00BF5A3A&quot;/&gt;&lt;wsp:rsid wsp:val=&quot;00BF5B6E&quot;/&gt;&lt;wsp:rsid wsp:val=&quot;00BF5D51&quot;/&gt;&lt;wsp:rsid wsp:val=&quot;00BF5FB4&quot;/&gt;&lt;wsp:rsid wsp:val=&quot;00BF6487&quot;/&gt;&lt;wsp:rsid wsp:val=&quot;00BF6693&quot;/&gt;&lt;wsp:rsid wsp:val=&quot;00BF66D7&quot;/&gt;&lt;wsp:rsid wsp:val=&quot;00BF6AF7&quot;/&gt;&lt;wsp:rsid wsp:val=&quot;00BF6D3E&quot;/&gt;&lt;wsp:rsid wsp:val=&quot;00BF6F1F&quot;/&gt;&lt;wsp:rsid wsp:val=&quot;00BF7145&quot;/&gt;&lt;wsp:rsid wsp:val=&quot;00BF7221&quot;/&gt;&lt;wsp:rsid wsp:val=&quot;00BF7B8D&quot;/&gt;&lt;wsp:rsid wsp:val=&quot;00BF7EAE&quot;/&gt;&lt;wsp:rsid wsp:val=&quot;00C00180&quot;/&gt;&lt;wsp:rsid wsp:val=&quot;00C002A6&quot;/&gt;&lt;wsp:rsid wsp:val=&quot;00C0040F&quot;/&gt;&lt;wsp:rsid wsp:val=&quot;00C00B97&quot;/&gt;&lt;wsp:rsid wsp:val=&quot;00C00ED8&quot;/&gt;&lt;wsp:rsid wsp:val=&quot;00C011B7&quot;/&gt;&lt;wsp:rsid wsp:val=&quot;00C01350&quot;/&gt;&lt;wsp:rsid wsp:val=&quot;00C017BB&quot;/&gt;&lt;wsp:rsid wsp:val=&quot;00C01DB8&quot;/&gt;&lt;wsp:rsid wsp:val=&quot;00C01E51&quot;/&gt;&lt;wsp:rsid wsp:val=&quot;00C01F8C&quot;/&gt;&lt;wsp:rsid wsp:val=&quot;00C0200B&quot;/&gt;&lt;wsp:rsid wsp:val=&quot;00C020FC&quot;/&gt;&lt;wsp:rsid wsp:val=&quot;00C02143&quot;/&gt;&lt;wsp:rsid wsp:val=&quot;00C02566&quot;/&gt;&lt;wsp:rsid wsp:val=&quot;00C02775&quot;/&gt;&lt;wsp:rsid wsp:val=&quot;00C02AB4&quot;/&gt;&lt;wsp:rsid wsp:val=&quot;00C02B6E&quot;/&gt;&lt;wsp:rsid wsp:val=&quot;00C02C7F&quot;/&gt;&lt;wsp:rsid wsp:val=&quot;00C02FC6&quot;/&gt;&lt;wsp:rsid wsp:val=&quot;00C03236&quot;/&gt;&lt;wsp:rsid wsp:val=&quot;00C03A12&quot;/&gt;&lt;wsp:rsid wsp:val=&quot;00C03E02&quot;/&gt;&lt;wsp:rsid wsp:val=&quot;00C03F80&quot;/&gt;&lt;wsp:rsid wsp:val=&quot;00C04424&quot;/&gt;&lt;wsp:rsid wsp:val=&quot;00C0453D&quot;/&gt;&lt;wsp:rsid wsp:val=&quot;00C05095&quot;/&gt;&lt;wsp:rsid wsp:val=&quot;00C05A2D&quot;/&gt;&lt;wsp:rsid wsp:val=&quot;00C05D31&quot;/&gt;&lt;wsp:rsid wsp:val=&quot;00C05E10&quot;/&gt;&lt;wsp:rsid wsp:val=&quot;00C060E2&quot;/&gt;&lt;wsp:rsid wsp:val=&quot;00C06660&quot;/&gt;&lt;wsp:rsid wsp:val=&quot;00C0691F&quot;/&gt;&lt;wsp:rsid wsp:val=&quot;00C06953&quot;/&gt;&lt;wsp:rsid wsp:val=&quot;00C06CC3&quot;/&gt;&lt;wsp:rsid wsp:val=&quot;00C06DF9&quot;/&gt;&lt;wsp:rsid wsp:val=&quot;00C06FB3&quot;/&gt;&lt;wsp:rsid wsp:val=&quot;00C070C3&quot;/&gt;&lt;wsp:rsid wsp:val=&quot;00C078EE&quot;/&gt;&lt;wsp:rsid wsp:val=&quot;00C07BC7&quot;/&gt;&lt;wsp:rsid wsp:val=&quot;00C10240&quot;/&gt;&lt;wsp:rsid wsp:val=&quot;00C102D6&quot;/&gt;&lt;wsp:rsid wsp:val=&quot;00C104EA&quot;/&gt;&lt;wsp:rsid wsp:val=&quot;00C10512&quot;/&gt;&lt;wsp:rsid wsp:val=&quot;00C10BF8&quot;/&gt;&lt;wsp:rsid wsp:val=&quot;00C10D7B&quot;/&gt;&lt;wsp:rsid wsp:val=&quot;00C10F49&quot;/&gt;&lt;wsp:rsid wsp:val=&quot;00C11443&quot;/&gt;&lt;wsp:rsid wsp:val=&quot;00C11555&quot;/&gt;&lt;wsp:rsid wsp:val=&quot;00C1180F&quot;/&gt;&lt;wsp:rsid wsp:val=&quot;00C11BE8&quot;/&gt;&lt;wsp:rsid wsp:val=&quot;00C11EA5&quot;/&gt;&lt;wsp:rsid wsp:val=&quot;00C11F74&quot;/&gt;&lt;wsp:rsid wsp:val=&quot;00C129E9&quot;/&gt;&lt;wsp:rsid wsp:val=&quot;00C12C11&quot;/&gt;&lt;wsp:rsid wsp:val=&quot;00C12C97&quot;/&gt;&lt;wsp:rsid wsp:val=&quot;00C13509&quot;/&gt;&lt;wsp:rsid wsp:val=&quot;00C13555&quot;/&gt;&lt;wsp:rsid wsp:val=&quot;00C135A5&quot;/&gt;&lt;wsp:rsid wsp:val=&quot;00C137B3&quot;/&gt;&lt;wsp:rsid wsp:val=&quot;00C13AE6&quot;/&gt;&lt;wsp:rsid wsp:val=&quot;00C13EEF&quot;/&gt;&lt;wsp:rsid wsp:val=&quot;00C14134&quot;/&gt;&lt;wsp:rsid wsp:val=&quot;00C1486A&quot;/&gt;&lt;wsp:rsid wsp:val=&quot;00C14D0F&quot;/&gt;&lt;wsp:rsid wsp:val=&quot;00C150B0&quot;/&gt;&lt;wsp:rsid wsp:val=&quot;00C152AF&quot;/&gt;&lt;wsp:rsid wsp:val=&quot;00C15325&quot;/&gt;&lt;wsp:rsid wsp:val=&quot;00C15977&quot;/&gt;&lt;wsp:rsid wsp:val=&quot;00C15C67&quot;/&gt;&lt;wsp:rsid wsp:val=&quot;00C15EE9&quot;/&gt;&lt;wsp:rsid wsp:val=&quot;00C15F3E&quot;/&gt;&lt;wsp:rsid wsp:val=&quot;00C162BB&quot;/&gt;&lt;wsp:rsid wsp:val=&quot;00C1648E&quot;/&gt;&lt;wsp:rsid wsp:val=&quot;00C16B62&quot;/&gt;&lt;wsp:rsid wsp:val=&quot;00C16CD0&quot;/&gt;&lt;wsp:rsid wsp:val=&quot;00C16D8C&quot;/&gt;&lt;wsp:rsid wsp:val=&quot;00C1711A&quot;/&gt;&lt;wsp:rsid wsp:val=&quot;00C174BB&quot;/&gt;&lt;wsp:rsid wsp:val=&quot;00C17BF1&quot;/&gt;&lt;wsp:rsid wsp:val=&quot;00C17C09&quot;/&gt;&lt;wsp:rsid wsp:val=&quot;00C20128&quot;/&gt;&lt;wsp:rsid wsp:val=&quot;00C201C6&quot;/&gt;&lt;wsp:rsid wsp:val=&quot;00C20663&quot;/&gt;&lt;wsp:rsid wsp:val=&quot;00C208B3&quot;/&gt;&lt;wsp:rsid wsp:val=&quot;00C20A81&quot;/&gt;&lt;wsp:rsid wsp:val=&quot;00C20C04&quot;/&gt;&lt;wsp:rsid wsp:val=&quot;00C213C5&quot;/&gt;&lt;wsp:rsid wsp:val=&quot;00C2147C&quot;/&gt;&lt;wsp:rsid wsp:val=&quot;00C21867&quot;/&gt;&lt;wsp:rsid wsp:val=&quot;00C21BF0&quot;/&gt;&lt;wsp:rsid wsp:val=&quot;00C21CA2&quot;/&gt;&lt;wsp:rsid wsp:val=&quot;00C21FB6&quot;/&gt;&lt;wsp:rsid wsp:val=&quot;00C220D9&quot;/&gt;&lt;wsp:rsid wsp:val=&quot;00C22109&quot;/&gt;&lt;wsp:rsid wsp:val=&quot;00C22165&quot;/&gt;&lt;wsp:rsid wsp:val=&quot;00C22178&quot;/&gt;&lt;wsp:rsid wsp:val=&quot;00C22628&quot;/&gt;&lt;wsp:rsid wsp:val=&quot;00C22699&quot;/&gt;&lt;wsp:rsid wsp:val=&quot;00C2292E&quot;/&gt;&lt;wsp:rsid wsp:val=&quot;00C22AA2&quot;/&gt;&lt;wsp:rsid wsp:val=&quot;00C22F8E&quot;/&gt;&lt;wsp:rsid wsp:val=&quot;00C23063&quot;/&gt;&lt;wsp:rsid wsp:val=&quot;00C236A3&quot;/&gt;&lt;wsp:rsid wsp:val=&quot;00C236BB&quot;/&gt;&lt;wsp:rsid wsp:val=&quot;00C23703&quot;/&gt;&lt;wsp:rsid wsp:val=&quot;00C239A2&quot;/&gt;&lt;wsp:rsid wsp:val=&quot;00C23EA5&quot;/&gt;&lt;wsp:rsid wsp:val=&quot;00C23EFC&quot;/&gt;&lt;wsp:rsid wsp:val=&quot;00C23F8F&quot;/&gt;&lt;wsp:rsid wsp:val=&quot;00C24301&quot;/&gt;&lt;wsp:rsid wsp:val=&quot;00C244F8&quot;/&gt;&lt;wsp:rsid wsp:val=&quot;00C24626&quot;/&gt;&lt;wsp:rsid wsp:val=&quot;00C24A64&quot;/&gt;&lt;wsp:rsid wsp:val=&quot;00C24E2A&quot;/&gt;&lt;wsp:rsid wsp:val=&quot;00C24E2B&quot;/&gt;&lt;wsp:rsid wsp:val=&quot;00C24F63&quot;/&gt;&lt;wsp:rsid wsp:val=&quot;00C250B1&quot;/&gt;&lt;wsp:rsid wsp:val=&quot;00C2586A&quot;/&gt;&lt;wsp:rsid wsp:val=&quot;00C25936&quot;/&gt;&lt;wsp:rsid wsp:val=&quot;00C25DE7&quot;/&gt;&lt;wsp:rsid wsp:val=&quot;00C260AE&quot;/&gt;&lt;wsp:rsid wsp:val=&quot;00C26418&quot;/&gt;&lt;wsp:rsid wsp:val=&quot;00C267CE&quot;/&gt;&lt;wsp:rsid wsp:val=&quot;00C27C00&quot;/&gt;&lt;wsp:rsid wsp:val=&quot;00C3012D&quot;/&gt;&lt;wsp:rsid wsp:val=&quot;00C309C4&quot;/&gt;&lt;wsp:rsid wsp:val=&quot;00C30C4F&quot;/&gt;&lt;wsp:rsid wsp:val=&quot;00C30FEC&quot;/&gt;&lt;wsp:rsid wsp:val=&quot;00C310A6&quot;/&gt;&lt;wsp:rsid wsp:val=&quot;00C313EB&quot;/&gt;&lt;wsp:rsid wsp:val=&quot;00C31477&quot;/&gt;&lt;wsp:rsid wsp:val=&quot;00C3163C&quot;/&gt;&lt;wsp:rsid wsp:val=&quot;00C3189B&quot;/&gt;&lt;wsp:rsid wsp:val=&quot;00C31991&quot;/&gt;&lt;wsp:rsid wsp:val=&quot;00C31BF9&quot;/&gt;&lt;wsp:rsid wsp:val=&quot;00C31E68&quot;/&gt;&lt;wsp:rsid wsp:val=&quot;00C31E98&quot;/&gt;&lt;wsp:rsid wsp:val=&quot;00C31F06&quot;/&gt;&lt;wsp:rsid wsp:val=&quot;00C3200E&quot;/&gt;&lt;wsp:rsid wsp:val=&quot;00C32227&quot;/&gt;&lt;wsp:rsid wsp:val=&quot;00C32521&quot;/&gt;&lt;wsp:rsid wsp:val=&quot;00C3256D&quot;/&gt;&lt;wsp:rsid wsp:val=&quot;00C326F5&quot;/&gt;&lt;wsp:rsid wsp:val=&quot;00C328C0&quot;/&gt;&lt;wsp:rsid wsp:val=&quot;00C329BB&quot;/&gt;&lt;wsp:rsid wsp:val=&quot;00C32CD7&quot;/&gt;&lt;wsp:rsid wsp:val=&quot;00C32D73&quot;/&gt;&lt;wsp:rsid wsp:val=&quot;00C33480&quot;/&gt;&lt;wsp:rsid wsp:val=&quot;00C3351E&quot;/&gt;&lt;wsp:rsid wsp:val=&quot;00C33ABF&quot;/&gt;&lt;wsp:rsid wsp:val=&quot;00C33F88&quot;/&gt;&lt;wsp:rsid wsp:val=&quot;00C347EB&quot;/&gt;&lt;wsp:rsid wsp:val=&quot;00C34A8A&quot;/&gt;&lt;wsp:rsid wsp:val=&quot;00C34E96&quot;/&gt;&lt;wsp:rsid wsp:val=&quot;00C34F98&quot;/&gt;&lt;wsp:rsid wsp:val=&quot;00C34FE9&quot;/&gt;&lt;wsp:rsid wsp:val=&quot;00C351F0&quot;/&gt;&lt;wsp:rsid wsp:val=&quot;00C3528E&quot;/&gt;&lt;wsp:rsid wsp:val=&quot;00C3546C&quot;/&gt;&lt;wsp:rsid wsp:val=&quot;00C36345&quot;/&gt;&lt;wsp:rsid wsp:val=&quot;00C36660&quot;/&gt;&lt;wsp:rsid wsp:val=&quot;00C36908&quot;/&gt;&lt;wsp:rsid wsp:val=&quot;00C36A6C&quot;/&gt;&lt;wsp:rsid wsp:val=&quot;00C36D0F&quot;/&gt;&lt;wsp:rsid wsp:val=&quot;00C36F38&quot;/&gt;&lt;wsp:rsid wsp:val=&quot;00C36F53&quot;/&gt;&lt;wsp:rsid wsp:val=&quot;00C375DD&quot;/&gt;&lt;wsp:rsid wsp:val=&quot;00C37B8B&quot;/&gt;&lt;wsp:rsid wsp:val=&quot;00C40486&quot;/&gt;&lt;wsp:rsid wsp:val=&quot;00C405F4&quot;/&gt;&lt;wsp:rsid wsp:val=&quot;00C40609&quot;/&gt;&lt;wsp:rsid wsp:val=&quot;00C40777&quot;/&gt;&lt;wsp:rsid wsp:val=&quot;00C408E3&quot;/&gt;&lt;wsp:rsid wsp:val=&quot;00C409E2&quot;/&gt;&lt;wsp:rsid wsp:val=&quot;00C40A4C&quot;/&gt;&lt;wsp:rsid wsp:val=&quot;00C40A63&quot;/&gt;&lt;wsp:rsid wsp:val=&quot;00C40D3E&quot;/&gt;&lt;wsp:rsid wsp:val=&quot;00C40E93&quot;/&gt;&lt;wsp:rsid wsp:val=&quot;00C40F5C&quot;/&gt;&lt;wsp:rsid wsp:val=&quot;00C40F77&quot;/&gt;&lt;wsp:rsid wsp:val=&quot;00C4136B&quot;/&gt;&lt;wsp:rsid wsp:val=&quot;00C413B2&quot;/&gt;&lt;wsp:rsid wsp:val=&quot;00C413CD&quot;/&gt;&lt;wsp:rsid wsp:val=&quot;00C41992&quot;/&gt;&lt;wsp:rsid wsp:val=&quot;00C419F9&quot;/&gt;&lt;wsp:rsid wsp:val=&quot;00C41CC2&quot;/&gt;&lt;wsp:rsid wsp:val=&quot;00C41DFC&quot;/&gt;&lt;wsp:rsid wsp:val=&quot;00C41E87&quot;/&gt;&lt;wsp:rsid wsp:val=&quot;00C41F13&quot;/&gt;&lt;wsp:rsid wsp:val=&quot;00C42424&quot;/&gt;&lt;wsp:rsid wsp:val=&quot;00C43286&quot;/&gt;&lt;wsp:rsid wsp:val=&quot;00C4358D&quot;/&gt;&lt;wsp:rsid wsp:val=&quot;00C4370D&quot;/&gt;&lt;wsp:rsid wsp:val=&quot;00C44058&quot;/&gt;&lt;wsp:rsid wsp:val=&quot;00C4495F&quot;/&gt;&lt;wsp:rsid wsp:val=&quot;00C45325&quot;/&gt;&lt;wsp:rsid wsp:val=&quot;00C453A3&quot;/&gt;&lt;wsp:rsid wsp:val=&quot;00C45ADF&quot;/&gt;&lt;wsp:rsid wsp:val=&quot;00C45CB8&quot;/&gt;&lt;wsp:rsid wsp:val=&quot;00C46336&quot;/&gt;&lt;wsp:rsid wsp:val=&quot;00C4689A&quot;/&gt;&lt;wsp:rsid wsp:val=&quot;00C46E54&quot;/&gt;&lt;wsp:rsid wsp:val=&quot;00C4703A&quot;/&gt;&lt;wsp:rsid wsp:val=&quot;00C474C1&quot;/&gt;&lt;wsp:rsid wsp:val=&quot;00C47EAC&quot;/&gt;&lt;wsp:rsid wsp:val=&quot;00C47FE1&quot;/&gt;&lt;wsp:rsid wsp:val=&quot;00C5008A&quot;/&gt;&lt;wsp:rsid wsp:val=&quot;00C507B2&quot;/&gt;&lt;wsp:rsid wsp:val=&quot;00C50B28&quot;/&gt;&lt;wsp:rsid wsp:val=&quot;00C50B89&quot;/&gt;&lt;wsp:rsid wsp:val=&quot;00C51397&quot;/&gt;&lt;wsp:rsid wsp:val=&quot;00C516C6&quot;/&gt;&lt;wsp:rsid wsp:val=&quot;00C51953&quot;/&gt;&lt;wsp:rsid wsp:val=&quot;00C52043&quot;/&gt;&lt;wsp:rsid wsp:val=&quot;00C5268A&quot;/&gt;&lt;wsp:rsid wsp:val=&quot;00C529CC&quot;/&gt;&lt;wsp:rsid wsp:val=&quot;00C52D26&quot;/&gt;&lt;wsp:rsid wsp:val=&quot;00C53272&quot;/&gt;&lt;wsp:rsid wsp:val=&quot;00C53E29&quot;/&gt;&lt;wsp:rsid wsp:val=&quot;00C53EAE&quot;/&gt;&lt;wsp:rsid wsp:val=&quot;00C53F85&quot;/&gt;&lt;wsp:rsid wsp:val=&quot;00C54548&quot;/&gt;&lt;wsp:rsid wsp:val=&quot;00C549F3&quot;/&gt;&lt;wsp:rsid wsp:val=&quot;00C54CE5&quot;/&gt;&lt;wsp:rsid wsp:val=&quot;00C54D13&quot;/&gt;&lt;wsp:rsid wsp:val=&quot;00C54EF1&quot;/&gt;&lt;wsp:rsid wsp:val=&quot;00C5502B&quot;/&gt;&lt;wsp:rsid wsp:val=&quot;00C551F8&quot;/&gt;&lt;wsp:rsid wsp:val=&quot;00C552FA&quot;/&gt;&lt;wsp:rsid wsp:val=&quot;00C5557C&quot;/&gt;&lt;wsp:rsid wsp:val=&quot;00C55714&quot;/&gt;&lt;wsp:rsid wsp:val=&quot;00C5571A&quot;/&gt;&lt;wsp:rsid wsp:val=&quot;00C55833&quot;/&gt;&lt;wsp:rsid wsp:val=&quot;00C55ABB&quot;/&gt;&lt;wsp:rsid wsp:val=&quot;00C55C94&quot;/&gt;&lt;wsp:rsid wsp:val=&quot;00C560ED&quot;/&gt;&lt;wsp:rsid wsp:val=&quot;00C56423&quot;/&gt;&lt;wsp:rsid wsp:val=&quot;00C56B2B&quot;/&gt;&lt;wsp:rsid wsp:val=&quot;00C56DFA&quot;/&gt;&lt;wsp:rsid wsp:val=&quot;00C5706C&quot;/&gt;&lt;wsp:rsid wsp:val=&quot;00C5748D&quot;/&gt;&lt;wsp:rsid wsp:val=&quot;00C57495&quot;/&gt;&lt;wsp:rsid wsp:val=&quot;00C5764E&quot;/&gt;&lt;wsp:rsid wsp:val=&quot;00C57724&quot;/&gt;&lt;wsp:rsid wsp:val=&quot;00C578BE&quot;/&gt;&lt;wsp:rsid wsp:val=&quot;00C57A7C&quot;/&gt;&lt;wsp:rsid wsp:val=&quot;00C57ABD&quot;/&gt;&lt;wsp:rsid wsp:val=&quot;00C57E0C&quot;/&gt;&lt;wsp:rsid wsp:val=&quot;00C60420&quot;/&gt;&lt;wsp:rsid wsp:val=&quot;00C608EB&quot;/&gt;&lt;wsp:rsid wsp:val=&quot;00C61442&quot;/&gt;&lt;wsp:rsid wsp:val=&quot;00C6148E&quot;/&gt;&lt;wsp:rsid wsp:val=&quot;00C616DC&quot;/&gt;&lt;wsp:rsid wsp:val=&quot;00C61D53&quot;/&gt;&lt;wsp:rsid wsp:val=&quot;00C628B9&quot;/&gt;&lt;wsp:rsid wsp:val=&quot;00C62D5C&quot;/&gt;&lt;wsp:rsid wsp:val=&quot;00C62D63&quot;/&gt;&lt;wsp:rsid wsp:val=&quot;00C62FD1&quot;/&gt;&lt;wsp:rsid wsp:val=&quot;00C63112&quot;/&gt;&lt;wsp:rsid wsp:val=&quot;00C6323C&quot;/&gt;&lt;wsp:rsid wsp:val=&quot;00C632AB&quot;/&gt;&lt;wsp:rsid wsp:val=&quot;00C635E9&quot;/&gt;&lt;wsp:rsid wsp:val=&quot;00C63676&quot;/&gt;&lt;wsp:rsid wsp:val=&quot;00C638AE&quot;/&gt;&lt;wsp:rsid wsp:val=&quot;00C6396D&quot;/&gt;&lt;wsp:rsid wsp:val=&quot;00C63FC5&quot;/&gt;&lt;wsp:rsid wsp:val=&quot;00C64147&quot;/&gt;&lt;wsp:rsid wsp:val=&quot;00C64212&quot;/&gt;&lt;wsp:rsid wsp:val=&quot;00C64557&quot;/&gt;&lt;wsp:rsid wsp:val=&quot;00C648CB&quot;/&gt;&lt;wsp:rsid wsp:val=&quot;00C64B1E&quot;/&gt;&lt;wsp:rsid wsp:val=&quot;00C64B99&quot;/&gt;&lt;wsp:rsid wsp:val=&quot;00C64FFC&quot;/&gt;&lt;wsp:rsid wsp:val=&quot;00C64FFD&quot;/&gt;&lt;wsp:rsid wsp:val=&quot;00C65030&quot;/&gt;&lt;wsp:rsid wsp:val=&quot;00C655D5&quot;/&gt;&lt;wsp:rsid wsp:val=&quot;00C65CFF&quot;/&gt;&lt;wsp:rsid wsp:val=&quot;00C65EEE&quot;/&gt;&lt;wsp:rsid wsp:val=&quot;00C662BB&quot;/&gt;&lt;wsp:rsid wsp:val=&quot;00C66354&quot;/&gt;&lt;wsp:rsid wsp:val=&quot;00C66A8E&quot;/&gt;&lt;wsp:rsid wsp:val=&quot;00C66B4B&quot;/&gt;&lt;wsp:rsid wsp:val=&quot;00C670A3&quot;/&gt;&lt;wsp:rsid wsp:val=&quot;00C670AE&quot;/&gt;&lt;wsp:rsid wsp:val=&quot;00C671DE&quot;/&gt;&lt;wsp:rsid wsp:val=&quot;00C673C5&quot;/&gt;&lt;wsp:rsid wsp:val=&quot;00C67831&quot;/&gt;&lt;wsp:rsid wsp:val=&quot;00C67EA5&quot;/&gt;&lt;wsp:rsid wsp:val=&quot;00C67F6C&quot;/&gt;&lt;wsp:rsid wsp:val=&quot;00C701DC&quot;/&gt;&lt;wsp:rsid wsp:val=&quot;00C70366&quot;/&gt;&lt;wsp:rsid wsp:val=&quot;00C70A2A&quot;/&gt;&lt;wsp:rsid wsp:val=&quot;00C71651&quot;/&gt;&lt;wsp:rsid wsp:val=&quot;00C71716&quot;/&gt;&lt;wsp:rsid wsp:val=&quot;00C71B9C&quot;/&gt;&lt;wsp:rsid wsp:val=&quot;00C71BAB&quot;/&gt;&lt;wsp:rsid wsp:val=&quot;00C71BCA&quot;/&gt;&lt;wsp:rsid wsp:val=&quot;00C71DA3&quot;/&gt;&lt;wsp:rsid wsp:val=&quot;00C71FEF&quot;/&gt;&lt;wsp:rsid wsp:val=&quot;00C723D3&quot;/&gt;&lt;wsp:rsid wsp:val=&quot;00C7245C&quot;/&gt;&lt;wsp:rsid wsp:val=&quot;00C72BF5&quot;/&gt;&lt;wsp:rsid wsp:val=&quot;00C72E28&quot;/&gt;&lt;wsp:rsid wsp:val=&quot;00C72E48&quot;/&gt;&lt;wsp:rsid wsp:val=&quot;00C72F9F&quot;/&gt;&lt;wsp:rsid wsp:val=&quot;00C730B0&quot;/&gt;&lt;wsp:rsid wsp:val=&quot;00C73AB5&quot;/&gt;&lt;wsp:rsid wsp:val=&quot;00C742F4&quot;/&gt;&lt;wsp:rsid wsp:val=&quot;00C74456&quot;/&gt;&lt;wsp:rsid wsp:val=&quot;00C744F9&quot;/&gt;&lt;wsp:rsid wsp:val=&quot;00C74CB4&quot;/&gt;&lt;wsp:rsid wsp:val=&quot;00C7506D&quot;/&gt;&lt;wsp:rsid wsp:val=&quot;00C75070&quot;/&gt;&lt;wsp:rsid wsp:val=&quot;00C7519E&quot;/&gt;&lt;wsp:rsid wsp:val=&quot;00C755A3&quot;/&gt;&lt;wsp:rsid wsp:val=&quot;00C75D11&quot;/&gt;&lt;wsp:rsid wsp:val=&quot;00C75E9E&quot;/&gt;&lt;wsp:rsid wsp:val=&quot;00C76290&quot;/&gt;&lt;wsp:rsid wsp:val=&quot;00C764DC&quot;/&gt;&lt;wsp:rsid wsp:val=&quot;00C76567&quot;/&gt;&lt;wsp:rsid wsp:val=&quot;00C76946&quot;/&gt;&lt;wsp:rsid wsp:val=&quot;00C76B5E&quot;/&gt;&lt;wsp:rsid wsp:val=&quot;00C76D1B&quot;/&gt;&lt;wsp:rsid wsp:val=&quot;00C770A4&quot;/&gt;&lt;wsp:rsid wsp:val=&quot;00C77201&quot;/&gt;&lt;wsp:rsid wsp:val=&quot;00C7749B&quot;/&gt;&lt;wsp:rsid wsp:val=&quot;00C774E8&quot;/&gt;&lt;wsp:rsid wsp:val=&quot;00C77D52&quot;/&gt;&lt;wsp:rsid wsp:val=&quot;00C804F3&quot;/&gt;&lt;wsp:rsid wsp:val=&quot;00C805E2&quot;/&gt;&lt;wsp:rsid wsp:val=&quot;00C806F4&quot;/&gt;&lt;wsp:rsid wsp:val=&quot;00C80E41&quot;/&gt;&lt;wsp:rsid wsp:val=&quot;00C810E4&quot;/&gt;&lt;wsp:rsid wsp:val=&quot;00C8182A&quot;/&gt;&lt;wsp:rsid wsp:val=&quot;00C81C54&quot;/&gt;&lt;wsp:rsid wsp:val=&quot;00C81D9B&quot;/&gt;&lt;wsp:rsid wsp:val=&quot;00C822FD&quot;/&gt;&lt;wsp:rsid wsp:val=&quot;00C82360&quot;/&gt;&lt;wsp:rsid wsp:val=&quot;00C823D2&quot;/&gt;&lt;wsp:rsid wsp:val=&quot;00C825B6&quot;/&gt;&lt;wsp:rsid wsp:val=&quot;00C82D07&quot;/&gt;&lt;wsp:rsid wsp:val=&quot;00C82EE1&quot;/&gt;&lt;wsp:rsid wsp:val=&quot;00C834B5&quot;/&gt;&lt;wsp:rsid wsp:val=&quot;00C836AB&quot;/&gt;&lt;wsp:rsid wsp:val=&quot;00C83829&quot;/&gt;&lt;wsp:rsid wsp:val=&quot;00C83AB1&quot;/&gt;&lt;wsp:rsid wsp:val=&quot;00C83C0B&quot;/&gt;&lt;wsp:rsid wsp:val=&quot;00C84335&quot;/&gt;&lt;wsp:rsid wsp:val=&quot;00C84382&quot;/&gt;&lt;wsp:rsid wsp:val=&quot;00C846D6&quot;/&gt;&lt;wsp:rsid wsp:val=&quot;00C84879&quot;/&gt;&lt;wsp:rsid wsp:val=&quot;00C8490D&quot;/&gt;&lt;wsp:rsid wsp:val=&quot;00C849C3&quot;/&gt;&lt;wsp:rsid wsp:val=&quot;00C84CA9&quot;/&gt;&lt;wsp:rsid wsp:val=&quot;00C84DAA&quot;/&gt;&lt;wsp:rsid wsp:val=&quot;00C85290&quot;/&gt;&lt;wsp:rsid wsp:val=&quot;00C8537C&quot;/&gt;&lt;wsp:rsid wsp:val=&quot;00C8545B&quot;/&gt;&lt;wsp:rsid wsp:val=&quot;00C85463&quot;/&gt;&lt;wsp:rsid wsp:val=&quot;00C86660&quot;/&gt;&lt;wsp:rsid wsp:val=&quot;00C866CF&quot;/&gt;&lt;wsp:rsid wsp:val=&quot;00C86725&quot;/&gt;&lt;wsp:rsid wsp:val=&quot;00C86798&quot;/&gt;&lt;wsp:rsid wsp:val=&quot;00C869FF&quot;/&gt;&lt;wsp:rsid wsp:val=&quot;00C86B66&quot;/&gt;&lt;wsp:rsid wsp:val=&quot;00C8703E&quot;/&gt;&lt;wsp:rsid wsp:val=&quot;00C87047&quot;/&gt;&lt;wsp:rsid wsp:val=&quot;00C871AB&quot;/&gt;&lt;wsp:rsid wsp:val=&quot;00C8759E&quot;/&gt;&lt;wsp:rsid wsp:val=&quot;00C878DD&quot;/&gt;&lt;wsp:rsid wsp:val=&quot;00C87E7C&quot;/&gt;&lt;wsp:rsid wsp:val=&quot;00C901B8&quot;/&gt;&lt;wsp:rsid wsp:val=&quot;00C901D2&quot;/&gt;&lt;wsp:rsid wsp:val=&quot;00C902BC&quot;/&gt;&lt;wsp:rsid wsp:val=&quot;00C903C5&quot;/&gt;&lt;wsp:rsid wsp:val=&quot;00C90E9F&quot;/&gt;&lt;wsp:rsid wsp:val=&quot;00C90F68&quot;/&gt;&lt;wsp:rsid wsp:val=&quot;00C90FAD&quot;/&gt;&lt;wsp:rsid wsp:val=&quot;00C911C4&quot;/&gt;&lt;wsp:rsid wsp:val=&quot;00C91235&quot;/&gt;&lt;wsp:rsid wsp:val=&quot;00C91579&quot;/&gt;&lt;wsp:rsid wsp:val=&quot;00C91B03&quot;/&gt;&lt;wsp:rsid wsp:val=&quot;00C91B1A&quot;/&gt;&lt;wsp:rsid wsp:val=&quot;00C91B69&quot;/&gt;&lt;wsp:rsid wsp:val=&quot;00C91B6B&quot;/&gt;&lt;wsp:rsid wsp:val=&quot;00C91D6B&quot;/&gt;&lt;wsp:rsid wsp:val=&quot;00C92840&quot;/&gt;&lt;wsp:rsid wsp:val=&quot;00C92C3E&quot;/&gt;&lt;wsp:rsid wsp:val=&quot;00C92C8B&quot;/&gt;&lt;wsp:rsid wsp:val=&quot;00C92FE3&quot;/&gt;&lt;wsp:rsid wsp:val=&quot;00C93213&quot;/&gt;&lt;wsp:rsid wsp:val=&quot;00C9359D&quot;/&gt;&lt;wsp:rsid wsp:val=&quot;00C93794&quot;/&gt;&lt;wsp:rsid wsp:val=&quot;00C93AB1&quot;/&gt;&lt;wsp:rsid wsp:val=&quot;00C93C1C&quot;/&gt;&lt;wsp:rsid wsp:val=&quot;00C93C71&quot;/&gt;&lt;wsp:rsid wsp:val=&quot;00C94BF7&quot;/&gt;&lt;wsp:rsid wsp:val=&quot;00C94FDA&quot;/&gt;&lt;wsp:rsid wsp:val=&quot;00C952F2&quot;/&gt;&lt;wsp:rsid wsp:val=&quot;00C95593&quot;/&gt;&lt;wsp:rsid wsp:val=&quot;00C95601&quot;/&gt;&lt;wsp:rsid wsp:val=&quot;00C95761&quot;/&gt;&lt;wsp:rsid wsp:val=&quot;00C95B50&quot;/&gt;&lt;wsp:rsid wsp:val=&quot;00C95B74&quot;/&gt;&lt;wsp:rsid wsp:val=&quot;00C95DA9&quot;/&gt;&lt;wsp:rsid wsp:val=&quot;00C95FCB&quot;/&gt;&lt;wsp:rsid wsp:val=&quot;00C96008&quot;/&gt;&lt;wsp:rsid wsp:val=&quot;00C96072&quot;/&gt;&lt;wsp:rsid wsp:val=&quot;00C96114&quot;/&gt;&lt;wsp:rsid wsp:val=&quot;00C96342&quot;/&gt;&lt;wsp:rsid wsp:val=&quot;00C96488&quot;/&gt;&lt;wsp:rsid wsp:val=&quot;00C965F4&quot;/&gt;&lt;wsp:rsid wsp:val=&quot;00C966E7&quot;/&gt;&lt;wsp:rsid wsp:val=&quot;00C967C3&quot;/&gt;&lt;wsp:rsid wsp:val=&quot;00C967C7&quot;/&gt;&lt;wsp:rsid wsp:val=&quot;00C967D6&quot;/&gt;&lt;wsp:rsid wsp:val=&quot;00C96A2F&quot;/&gt;&lt;wsp:rsid wsp:val=&quot;00C96F4D&quot;/&gt;&lt;wsp:rsid wsp:val=&quot;00C973B5&quot;/&gt;&lt;wsp:rsid wsp:val=&quot;00C97477&quot;/&gt;&lt;wsp:rsid wsp:val=&quot;00C976FC&quot;/&gt;&lt;wsp:rsid wsp:val=&quot;00C977D5&quot;/&gt;&lt;wsp:rsid wsp:val=&quot;00C97877&quot;/&gt;&lt;wsp:rsid wsp:val=&quot;00C978CE&quot;/&gt;&lt;wsp:rsid wsp:val=&quot;00C97AD6&quot;/&gt;&lt;wsp:rsid wsp:val=&quot;00C97AE1&quot;/&gt;&lt;wsp:rsid wsp:val=&quot;00C97DD6&quot;/&gt;&lt;wsp:rsid wsp:val=&quot;00C97F8E&quot;/&gt;&lt;wsp:rsid wsp:val=&quot;00CA0429&quot;/&gt;&lt;wsp:rsid wsp:val=&quot;00CA05C1&quot;/&gt;&lt;wsp:rsid wsp:val=&quot;00CA0D15&quot;/&gt;&lt;wsp:rsid wsp:val=&quot;00CA0E1C&quot;/&gt;&lt;wsp:rsid wsp:val=&quot;00CA11A6&quot;/&gt;&lt;wsp:rsid wsp:val=&quot;00CA1764&quot;/&gt;&lt;wsp:rsid wsp:val=&quot;00CA184C&quot;/&gt;&lt;wsp:rsid wsp:val=&quot;00CA1A12&quot;/&gt;&lt;wsp:rsid wsp:val=&quot;00CA1A44&quot;/&gt;&lt;wsp:rsid wsp:val=&quot;00CA2208&quot;/&gt;&lt;wsp:rsid wsp:val=&quot;00CA2352&quot;/&gt;&lt;wsp:rsid wsp:val=&quot;00CA27D4&quot;/&gt;&lt;wsp:rsid wsp:val=&quot;00CA28E3&quot;/&gt;&lt;wsp:rsid wsp:val=&quot;00CA3429&quot;/&gt;&lt;wsp:rsid wsp:val=&quot;00CA3A9A&quot;/&gt;&lt;wsp:rsid wsp:val=&quot;00CA3C06&quot;/&gt;&lt;wsp:rsid wsp:val=&quot;00CA42DE&quot;/&gt;&lt;wsp:rsid wsp:val=&quot;00CA4D0F&quot;/&gt;&lt;wsp:rsid wsp:val=&quot;00CA5771&quot;/&gt;&lt;wsp:rsid wsp:val=&quot;00CA57F7&quot;/&gt;&lt;wsp:rsid wsp:val=&quot;00CA5873&quot;/&gt;&lt;wsp:rsid wsp:val=&quot;00CA5DDF&quot;/&gt;&lt;wsp:rsid wsp:val=&quot;00CA6218&quot;/&gt;&lt;wsp:rsid wsp:val=&quot;00CA6293&quot;/&gt;&lt;wsp:rsid wsp:val=&quot;00CA6487&quot;/&gt;&lt;wsp:rsid wsp:val=&quot;00CA6560&quot;/&gt;&lt;wsp:rsid wsp:val=&quot;00CA6A93&quot;/&gt;&lt;wsp:rsid wsp:val=&quot;00CA6BAC&quot;/&gt;&lt;wsp:rsid wsp:val=&quot;00CA6C37&quot;/&gt;&lt;wsp:rsid wsp:val=&quot;00CA6C42&quot;/&gt;&lt;wsp:rsid wsp:val=&quot;00CA76DA&quot;/&gt;&lt;wsp:rsid wsp:val=&quot;00CA7A78&quot;/&gt;&lt;wsp:rsid wsp:val=&quot;00CA7CA6&quot;/&gt;&lt;wsp:rsid wsp:val=&quot;00CB0586&quot;/&gt;&lt;wsp:rsid wsp:val=&quot;00CB08AF&quot;/&gt;&lt;wsp:rsid wsp:val=&quot;00CB0DF6&quot;/&gt;&lt;wsp:rsid wsp:val=&quot;00CB13A4&quot;/&gt;&lt;wsp:rsid wsp:val=&quot;00CB15CF&quot;/&gt;&lt;wsp:rsid wsp:val=&quot;00CB1CF7&quot;/&gt;&lt;wsp:rsid wsp:val=&quot;00CB1DF2&quot;/&gt;&lt;wsp:rsid wsp:val=&quot;00CB1FB6&quot;/&gt;&lt;wsp:rsid wsp:val=&quot;00CB2765&quot;/&gt;&lt;wsp:rsid wsp:val=&quot;00CB279B&quot;/&gt;&lt;wsp:rsid wsp:val=&quot;00CB28F7&quot;/&gt;&lt;wsp:rsid wsp:val=&quot;00CB2CB7&quot;/&gt;&lt;wsp:rsid wsp:val=&quot;00CB2DEC&quot;/&gt;&lt;wsp:rsid wsp:val=&quot;00CB3059&quot;/&gt;&lt;wsp:rsid wsp:val=&quot;00CB30E1&quot;/&gt;&lt;wsp:rsid wsp:val=&quot;00CB3228&quot;/&gt;&lt;wsp:rsid wsp:val=&quot;00CB32CE&quot;/&gt;&lt;wsp:rsid wsp:val=&quot;00CB3560&quot;/&gt;&lt;wsp:rsid wsp:val=&quot;00CB3830&quot;/&gt;&lt;wsp:rsid wsp:val=&quot;00CB3B40&quot;/&gt;&lt;wsp:rsid wsp:val=&quot;00CB3C16&quot;/&gt;&lt;wsp:rsid wsp:val=&quot;00CB3DC2&quot;/&gt;&lt;wsp:rsid wsp:val=&quot;00CB3EBC&quot;/&gt;&lt;wsp:rsid wsp:val=&quot;00CB437F&quot;/&gt;&lt;wsp:rsid wsp:val=&quot;00CB4605&quot;/&gt;&lt;wsp:rsid wsp:val=&quot;00CB4A00&quot;/&gt;&lt;wsp:rsid wsp:val=&quot;00CB4B6A&quot;/&gt;&lt;wsp:rsid wsp:val=&quot;00CB4BB0&quot;/&gt;&lt;wsp:rsid wsp:val=&quot;00CB4F1F&quot;/&gt;&lt;wsp:rsid wsp:val=&quot;00CB51BA&quot;/&gt;&lt;wsp:rsid wsp:val=&quot;00CB52C1&quot;/&gt;&lt;wsp:rsid wsp:val=&quot;00CB55C5&quot;/&gt;&lt;wsp:rsid wsp:val=&quot;00CB570F&quot;/&gt;&lt;wsp:rsid wsp:val=&quot;00CB5D3D&quot;/&gt;&lt;wsp:rsid wsp:val=&quot;00CB5E81&quot;/&gt;&lt;wsp:rsid wsp:val=&quot;00CB602C&quot;/&gt;&lt;wsp:rsid wsp:val=&quot;00CB622A&quot;/&gt;&lt;wsp:rsid wsp:val=&quot;00CB624B&quot;/&gt;&lt;wsp:rsid wsp:val=&quot;00CB70DA&quot;/&gt;&lt;wsp:rsid wsp:val=&quot;00CB71E9&quot;/&gt;&lt;wsp:rsid wsp:val=&quot;00CB731A&quot;/&gt;&lt;wsp:rsid wsp:val=&quot;00CB7C20&quot;/&gt;&lt;wsp:rsid wsp:val=&quot;00CB7F49&quot;/&gt;&lt;wsp:rsid wsp:val=&quot;00CC0290&quot;/&gt;&lt;wsp:rsid wsp:val=&quot;00CC02B8&quot;/&gt;&lt;wsp:rsid wsp:val=&quot;00CC0726&quot;/&gt;&lt;wsp:rsid wsp:val=&quot;00CC0ECB&quot;/&gt;&lt;wsp:rsid wsp:val=&quot;00CC0F0E&quot;/&gt;&lt;wsp:rsid wsp:val=&quot;00CC0F11&quot;/&gt;&lt;wsp:rsid wsp:val=&quot;00CC0FD5&quot;/&gt;&lt;wsp:rsid wsp:val=&quot;00CC122D&quot;/&gt;&lt;wsp:rsid wsp:val=&quot;00CC1355&quot;/&gt;&lt;wsp:rsid wsp:val=&quot;00CC19B5&quot;/&gt;&lt;wsp:rsid wsp:val=&quot;00CC1A4D&quot;/&gt;&lt;wsp:rsid wsp:val=&quot;00CC20E3&quot;/&gt;&lt;wsp:rsid wsp:val=&quot;00CC214D&quot;/&gt;&lt;wsp:rsid wsp:val=&quot;00CC2210&quot;/&gt;&lt;wsp:rsid wsp:val=&quot;00CC2929&quot;/&gt;&lt;wsp:rsid wsp:val=&quot;00CC29E8&quot;/&gt;&lt;wsp:rsid wsp:val=&quot;00CC333D&quot;/&gt;&lt;wsp:rsid wsp:val=&quot;00CC3544&quot;/&gt;&lt;wsp:rsid wsp:val=&quot;00CC4220&quot;/&gt;&lt;wsp:rsid wsp:val=&quot;00CC445D&quot;/&gt;&lt;wsp:rsid wsp:val=&quot;00CC478C&quot;/&gt;&lt;wsp:rsid wsp:val=&quot;00CC4B48&quot;/&gt;&lt;wsp:rsid wsp:val=&quot;00CC4CFB&quot;/&gt;&lt;wsp:rsid wsp:val=&quot;00CC4D82&quot;/&gt;&lt;wsp:rsid wsp:val=&quot;00CC4DB5&quot;/&gt;&lt;wsp:rsid wsp:val=&quot;00CC4F1B&quot;/&gt;&lt;wsp:rsid wsp:val=&quot;00CC4F79&quot;/&gt;&lt;wsp:rsid wsp:val=&quot;00CC5049&quot;/&gt;&lt;wsp:rsid wsp:val=&quot;00CC549F&quot;/&gt;&lt;wsp:rsid wsp:val=&quot;00CC54A5&quot;/&gt;&lt;wsp:rsid wsp:val=&quot;00CC54E7&quot;/&gt;&lt;wsp:rsid wsp:val=&quot;00CC576B&quot;/&gt;&lt;wsp:rsid wsp:val=&quot;00CC6555&quot;/&gt;&lt;wsp:rsid wsp:val=&quot;00CC66D5&quot;/&gt;&lt;wsp:rsid wsp:val=&quot;00CC6A0B&quot;/&gt;&lt;wsp:rsid wsp:val=&quot;00CC6B94&quot;/&gt;&lt;wsp:rsid wsp:val=&quot;00CC6D80&quot;/&gt;&lt;wsp:rsid wsp:val=&quot;00CC6F86&quot;/&gt;&lt;wsp:rsid wsp:val=&quot;00CC74EB&quot;/&gt;&lt;wsp:rsid wsp:val=&quot;00CC769F&quot;/&gt;&lt;wsp:rsid wsp:val=&quot;00CC7BE7&quot;/&gt;&lt;wsp:rsid wsp:val=&quot;00CC7DE4&quot;/&gt;&lt;wsp:rsid wsp:val=&quot;00CC7E5A&quot;/&gt;&lt;wsp:rsid wsp:val=&quot;00CC7F47&quot;/&gt;&lt;wsp:rsid wsp:val=&quot;00CD07B5&quot;/&gt;&lt;wsp:rsid wsp:val=&quot;00CD0B3E&quot;/&gt;&lt;wsp:rsid wsp:val=&quot;00CD183A&quot;/&gt;&lt;wsp:rsid wsp:val=&quot;00CD279A&quot;/&gt;&lt;wsp:rsid wsp:val=&quot;00CD2F2A&quot;/&gt;&lt;wsp:rsid wsp:val=&quot;00CD2FDE&quot;/&gt;&lt;wsp:rsid wsp:val=&quot;00CD3649&quot;/&gt;&lt;wsp:rsid wsp:val=&quot;00CD393A&quot;/&gt;&lt;wsp:rsid wsp:val=&quot;00CD397B&quot;/&gt;&lt;wsp:rsid wsp:val=&quot;00CD3BCE&quot;/&gt;&lt;wsp:rsid wsp:val=&quot;00CD41CE&quot;/&gt;&lt;wsp:rsid wsp:val=&quot;00CD4871&quot;/&gt;&lt;wsp:rsid wsp:val=&quot;00CD4925&quot;/&gt;&lt;wsp:rsid wsp:val=&quot;00CD4A65&quot;/&gt;&lt;wsp:rsid wsp:val=&quot;00CD4FF8&quot;/&gt;&lt;wsp:rsid wsp:val=&quot;00CD53EB&quot;/&gt;&lt;wsp:rsid wsp:val=&quot;00CD5422&quot;/&gt;&lt;wsp:rsid wsp:val=&quot;00CD5490&quot;/&gt;&lt;wsp:rsid wsp:val=&quot;00CD587E&quot;/&gt;&lt;wsp:rsid wsp:val=&quot;00CD5931&quot;/&gt;&lt;wsp:rsid wsp:val=&quot;00CD59DC&quot;/&gt;&lt;wsp:rsid wsp:val=&quot;00CD5AF8&quot;/&gt;&lt;wsp:rsid wsp:val=&quot;00CD5AFE&quot;/&gt;&lt;wsp:rsid wsp:val=&quot;00CD5E2C&quot;/&gt;&lt;wsp:rsid wsp:val=&quot;00CD5EE3&quot;/&gt;&lt;wsp:rsid wsp:val=&quot;00CD61B3&quot;/&gt;&lt;wsp:rsid wsp:val=&quot;00CD6401&quot;/&gt;&lt;wsp:rsid wsp:val=&quot;00CD64FF&quot;/&gt;&lt;wsp:rsid wsp:val=&quot;00CD676D&quot;/&gt;&lt;wsp:rsid wsp:val=&quot;00CD68ED&quot;/&gt;&lt;wsp:rsid wsp:val=&quot;00CD69A9&quot;/&gt;&lt;wsp:rsid wsp:val=&quot;00CD69FB&quot;/&gt;&lt;wsp:rsid wsp:val=&quot;00CD6C45&quot;/&gt;&lt;wsp:rsid wsp:val=&quot;00CD717E&quot;/&gt;&lt;wsp:rsid wsp:val=&quot;00CD742C&quot;/&gt;&lt;wsp:rsid wsp:val=&quot;00CD7497&quot;/&gt;&lt;wsp:rsid wsp:val=&quot;00CD74C0&quot;/&gt;&lt;wsp:rsid wsp:val=&quot;00CD781F&quot;/&gt;&lt;wsp:rsid wsp:val=&quot;00CD7969&quot;/&gt;&lt;wsp:rsid wsp:val=&quot;00CD7BFF&quot;/&gt;&lt;wsp:rsid wsp:val=&quot;00CD7F01&quot;/&gt;&lt;wsp:rsid wsp:val=&quot;00CE011C&quot;/&gt;&lt;wsp:rsid wsp:val=&quot;00CE01CE&quot;/&gt;&lt;wsp:rsid wsp:val=&quot;00CE01E6&quot;/&gt;&lt;wsp:rsid wsp:val=&quot;00CE039C&quot;/&gt;&lt;wsp:rsid wsp:val=&quot;00CE040F&quot;/&gt;&lt;wsp:rsid wsp:val=&quot;00CE0773&quot;/&gt;&lt;wsp:rsid wsp:val=&quot;00CE1129&quot;/&gt;&lt;wsp:rsid wsp:val=&quot;00CE1A13&quot;/&gt;&lt;wsp:rsid wsp:val=&quot;00CE1C38&quot;/&gt;&lt;wsp:rsid wsp:val=&quot;00CE2255&quot;/&gt;&lt;wsp:rsid wsp:val=&quot;00CE2939&quot;/&gt;&lt;wsp:rsid wsp:val=&quot;00CE2A86&quot;/&gt;&lt;wsp:rsid wsp:val=&quot;00CE2CEE&quot;/&gt;&lt;wsp:rsid wsp:val=&quot;00CE2D22&quot;/&gt;&lt;wsp:rsid wsp:val=&quot;00CE30F8&quot;/&gt;&lt;wsp:rsid wsp:val=&quot;00CE38BA&quot;/&gt;&lt;wsp:rsid wsp:val=&quot;00CE4326&quot;/&gt;&lt;wsp:rsid wsp:val=&quot;00CE4A88&quot;/&gt;&lt;wsp:rsid wsp:val=&quot;00CE4E60&quot;/&gt;&lt;wsp:rsid wsp:val=&quot;00CE4E88&quot;/&gt;&lt;wsp:rsid wsp:val=&quot;00CE5060&quot;/&gt;&lt;wsp:rsid wsp:val=&quot;00CE5502&quot;/&gt;&lt;wsp:rsid wsp:val=&quot;00CE57B6&quot;/&gt;&lt;wsp:rsid wsp:val=&quot;00CE5B49&quot;/&gt;&lt;wsp:rsid wsp:val=&quot;00CE5B63&quot;/&gt;&lt;wsp:rsid wsp:val=&quot;00CE5FE4&quot;/&gt;&lt;wsp:rsid wsp:val=&quot;00CE6974&quot;/&gt;&lt;wsp:rsid wsp:val=&quot;00CE6F09&quot;/&gt;&lt;wsp:rsid wsp:val=&quot;00CE6F9A&quot;/&gt;&lt;wsp:rsid wsp:val=&quot;00CE739E&quot;/&gt;&lt;wsp:rsid wsp:val=&quot;00CE775D&quot;/&gt;&lt;wsp:rsid wsp:val=&quot;00CF0D65&quot;/&gt;&lt;wsp:rsid wsp:val=&quot;00CF107E&quot;/&gt;&lt;wsp:rsid wsp:val=&quot;00CF117E&quot;/&gt;&lt;wsp:rsid wsp:val=&quot;00CF1B47&quot;/&gt;&lt;wsp:rsid wsp:val=&quot;00CF26A4&quot;/&gt;&lt;wsp:rsid wsp:val=&quot;00CF27DA&quot;/&gt;&lt;wsp:rsid wsp:val=&quot;00CF3872&quot;/&gt;&lt;wsp:rsid wsp:val=&quot;00CF3924&quot;/&gt;&lt;wsp:rsid wsp:val=&quot;00CF3A0F&quot;/&gt;&lt;wsp:rsid wsp:val=&quot;00CF3A21&quot;/&gt;&lt;wsp:rsid wsp:val=&quot;00CF3B70&quot;/&gt;&lt;wsp:rsid wsp:val=&quot;00CF3E6D&quot;/&gt;&lt;wsp:rsid wsp:val=&quot;00CF42E7&quot;/&gt;&lt;wsp:rsid wsp:val=&quot;00CF4459&quot;/&gt;&lt;wsp:rsid wsp:val=&quot;00CF4689&quot;/&gt;&lt;wsp:rsid wsp:val=&quot;00CF4A56&quot;/&gt;&lt;wsp:rsid wsp:val=&quot;00CF4F93&quot;/&gt;&lt;wsp:rsid wsp:val=&quot;00CF50A0&quot;/&gt;&lt;wsp:rsid wsp:val=&quot;00CF56E8&quot;/&gt;&lt;wsp:rsid wsp:val=&quot;00CF58E7&quot;/&gt;&lt;wsp:rsid wsp:val=&quot;00CF592B&quot;/&gt;&lt;wsp:rsid wsp:val=&quot;00CF59F3&quot;/&gt;&lt;wsp:rsid wsp:val=&quot;00CF5C7A&quot;/&gt;&lt;wsp:rsid wsp:val=&quot;00CF5E35&quot;/&gt;&lt;wsp:rsid wsp:val=&quot;00CF5E51&quot;/&gt;&lt;wsp:rsid wsp:val=&quot;00CF623C&quot;/&gt;&lt;wsp:rsid wsp:val=&quot;00CF6AFF&quot;/&gt;&lt;wsp:rsid wsp:val=&quot;00CF7168&quot;/&gt;&lt;wsp:rsid wsp:val=&quot;00CF73B8&quot;/&gt;&lt;wsp:rsid wsp:val=&quot;00CF7415&quot;/&gt;&lt;wsp:rsid wsp:val=&quot;00CF77B3&quot;/&gt;&lt;wsp:rsid wsp:val=&quot;00CF78B2&quot;/&gt;&lt;wsp:rsid wsp:val=&quot;00D00593&quot;/&gt;&lt;wsp:rsid wsp:val=&quot;00D005B9&quot;/&gt;&lt;wsp:rsid wsp:val=&quot;00D0077A&quot;/&gt;&lt;wsp:rsid wsp:val=&quot;00D00D9A&quot;/&gt;&lt;wsp:rsid wsp:val=&quot;00D0113B&quot;/&gt;&lt;wsp:rsid wsp:val=&quot;00D017A9&quot;/&gt;&lt;wsp:rsid wsp:val=&quot;00D01994&quot;/&gt;&lt;wsp:rsid wsp:val=&quot;00D019B9&quot;/&gt;&lt;wsp:rsid wsp:val=&quot;00D01F4F&quot;/&gt;&lt;wsp:rsid wsp:val=&quot;00D01FA5&quot;/&gt;&lt;wsp:rsid wsp:val=&quot;00D02279&quot;/&gt;&lt;wsp:rsid wsp:val=&quot;00D022B8&quot;/&gt;&lt;wsp:rsid wsp:val=&quot;00D0261F&quot;/&gt;&lt;wsp:rsid wsp:val=&quot;00D02F13&quot;/&gt;&lt;wsp:rsid wsp:val=&quot;00D02FE2&quot;/&gt;&lt;wsp:rsid wsp:val=&quot;00D03302&quot;/&gt;&lt;wsp:rsid wsp:val=&quot;00D03309&quot;/&gt;&lt;wsp:rsid wsp:val=&quot;00D03652&quot;/&gt;&lt;wsp:rsid wsp:val=&quot;00D03900&quot;/&gt;&lt;wsp:rsid wsp:val=&quot;00D03D46&quot;/&gt;&lt;wsp:rsid wsp:val=&quot;00D03E43&quot;/&gt;&lt;wsp:rsid wsp:val=&quot;00D04430&quot;/&gt;&lt;wsp:rsid wsp:val=&quot;00D05571&quot;/&gt;&lt;wsp:rsid wsp:val=&quot;00D0571D&quot;/&gt;&lt;wsp:rsid wsp:val=&quot;00D059EF&quot;/&gt;&lt;wsp:rsid wsp:val=&quot;00D05B66&quot;/&gt;&lt;wsp:rsid wsp:val=&quot;00D05D06&quot;/&gt;&lt;wsp:rsid wsp:val=&quot;00D06000&quot;/&gt;&lt;wsp:rsid wsp:val=&quot;00D0649B&quot;/&gt;&lt;wsp:rsid wsp:val=&quot;00D067F3&quot;/&gt;&lt;wsp:rsid wsp:val=&quot;00D07D78&quot;/&gt;&lt;wsp:rsid wsp:val=&quot;00D07E5C&quot;/&gt;&lt;wsp:rsid wsp:val=&quot;00D07F5A&quot;/&gt;&lt;wsp:rsid wsp:val=&quot;00D07FEA&quot;/&gt;&lt;wsp:rsid wsp:val=&quot;00D10C47&quot;/&gt;&lt;wsp:rsid wsp:val=&quot;00D10F61&quot;/&gt;&lt;wsp:rsid wsp:val=&quot;00D11A47&quot;/&gt;&lt;wsp:rsid wsp:val=&quot;00D11BBE&quot;/&gt;&lt;wsp:rsid wsp:val=&quot;00D11BC5&quot;/&gt;&lt;wsp:rsid wsp:val=&quot;00D120A3&quot;/&gt;&lt;wsp:rsid wsp:val=&quot;00D12124&quot;/&gt;&lt;wsp:rsid wsp:val=&quot;00D1215C&quot;/&gt;&lt;wsp:rsid wsp:val=&quot;00D128A4&quot;/&gt;&lt;wsp:rsid wsp:val=&quot;00D12983&quot;/&gt;&lt;wsp:rsid wsp:val=&quot;00D12D49&quot;/&gt;&lt;wsp:rsid wsp:val=&quot;00D12E4E&quot;/&gt;&lt;wsp:rsid wsp:val=&quot;00D12FE3&quot;/&gt;&lt;wsp:rsid wsp:val=&quot;00D130F2&quot;/&gt;&lt;wsp:rsid wsp:val=&quot;00D13DC3&quot;/&gt;&lt;wsp:rsid wsp:val=&quot;00D143DF&quot;/&gt;&lt;wsp:rsid wsp:val=&quot;00D14B32&quot;/&gt;&lt;wsp:rsid wsp:val=&quot;00D14DFF&quot;/&gt;&lt;wsp:rsid wsp:val=&quot;00D14E96&quot;/&gt;&lt;wsp:rsid wsp:val=&quot;00D1567E&quot;/&gt;&lt;wsp:rsid wsp:val=&quot;00D15732&quot;/&gt;&lt;wsp:rsid wsp:val=&quot;00D164B9&quot;/&gt;&lt;wsp:rsid wsp:val=&quot;00D16750&quot;/&gt;&lt;wsp:rsid wsp:val=&quot;00D16BCA&quot;/&gt;&lt;wsp:rsid wsp:val=&quot;00D16DBD&quot;/&gt;&lt;wsp:rsid wsp:val=&quot;00D16F4D&quot;/&gt;&lt;wsp:rsid wsp:val=&quot;00D17157&quot;/&gt;&lt;wsp:rsid wsp:val=&quot;00D173FA&quot;/&gt;&lt;wsp:rsid wsp:val=&quot;00D17940&quot;/&gt;&lt;wsp:rsid wsp:val=&quot;00D17E8C&quot;/&gt;&lt;wsp:rsid wsp:val=&quot;00D200AD&quot;/&gt;&lt;wsp:rsid wsp:val=&quot;00D209D7&quot;/&gt;&lt;wsp:rsid wsp:val=&quot;00D20C20&quot;/&gt;&lt;wsp:rsid wsp:val=&quot;00D217CF&quot;/&gt;&lt;wsp:rsid wsp:val=&quot;00D21CD2&quot;/&gt;&lt;wsp:rsid wsp:val=&quot;00D21CFA&quot;/&gt;&lt;wsp:rsid wsp:val=&quot;00D22113&quot;/&gt;&lt;wsp:rsid wsp:val=&quot;00D221B7&quot;/&gt;&lt;wsp:rsid wsp:val=&quot;00D222C6&quot;/&gt;&lt;wsp:rsid wsp:val=&quot;00D2283C&quot;/&gt;&lt;wsp:rsid wsp:val=&quot;00D22A80&quot;/&gt;&lt;wsp:rsid wsp:val=&quot;00D22C0A&quot;/&gt;&lt;wsp:rsid wsp:val=&quot;00D22C30&quot;/&gt;&lt;wsp:rsid wsp:val=&quot;00D22D4A&quot;/&gt;&lt;wsp:rsid wsp:val=&quot;00D22F3C&quot;/&gt;&lt;wsp:rsid wsp:val=&quot;00D230A4&quot;/&gt;&lt;wsp:rsid wsp:val=&quot;00D230F3&quot;/&gt;&lt;wsp:rsid wsp:val=&quot;00D23122&quot;/&gt;&lt;wsp:rsid wsp:val=&quot;00D232BF&quot;/&gt;&lt;wsp:rsid wsp:val=&quot;00D235CC&quot;/&gt;&lt;wsp:rsid wsp:val=&quot;00D2386E&quot;/&gt;&lt;wsp:rsid wsp:val=&quot;00D23D5B&quot;/&gt;&lt;wsp:rsid wsp:val=&quot;00D241B0&quot;/&gt;&lt;wsp:rsid wsp:val=&quot;00D2453C&quot;/&gt;&lt;wsp:rsid wsp:val=&quot;00D2459F&quot;/&gt;&lt;wsp:rsid wsp:val=&quot;00D24907&quot;/&gt;&lt;wsp:rsid wsp:val=&quot;00D249D2&quot;/&gt;&lt;wsp:rsid wsp:val=&quot;00D24DE7&quot;/&gt;&lt;wsp:rsid wsp:val=&quot;00D2516D&quot;/&gt;&lt;wsp:rsid wsp:val=&quot;00D25873&quot;/&gt;&lt;wsp:rsid wsp:val=&quot;00D25DAF&quot;/&gt;&lt;wsp:rsid wsp:val=&quot;00D26301&quot;/&gt;&lt;wsp:rsid wsp:val=&quot;00D26D39&quot;/&gt;&lt;wsp:rsid wsp:val=&quot;00D27409&quot;/&gt;&lt;wsp:rsid wsp:val=&quot;00D27540&quot;/&gt;&lt;wsp:rsid wsp:val=&quot;00D27769&quot;/&gt;&lt;wsp:rsid wsp:val=&quot;00D279B8&quot;/&gt;&lt;wsp:rsid wsp:val=&quot;00D27F7C&quot;/&gt;&lt;wsp:rsid wsp:val=&quot;00D30128&quot;/&gt;&lt;wsp:rsid wsp:val=&quot;00D30372&quot;/&gt;&lt;wsp:rsid wsp:val=&quot;00D307D2&quot;/&gt;&lt;wsp:rsid wsp:val=&quot;00D30BD5&quot;/&gt;&lt;wsp:rsid wsp:val=&quot;00D30C40&quot;/&gt;&lt;wsp:rsid wsp:val=&quot;00D310FA&quot;/&gt;&lt;wsp:rsid wsp:val=&quot;00D315BB&quot;/&gt;&lt;wsp:rsid wsp:val=&quot;00D31981&quot;/&gt;&lt;wsp:rsid wsp:val=&quot;00D31BA6&quot;/&gt;&lt;wsp:rsid wsp:val=&quot;00D31CFC&quot;/&gt;&lt;wsp:rsid wsp:val=&quot;00D322C2&quot;/&gt;&lt;wsp:rsid wsp:val=&quot;00D32411&quot;/&gt;&lt;wsp:rsid wsp:val=&quot;00D324ED&quot;/&gt;&lt;wsp:rsid wsp:val=&quot;00D33035&quot;/&gt;&lt;wsp:rsid wsp:val=&quot;00D33038&quot;/&gt;&lt;wsp:rsid wsp:val=&quot;00D33275&quot;/&gt;&lt;wsp:rsid wsp:val=&quot;00D33278&quot;/&gt;&lt;wsp:rsid wsp:val=&quot;00D335C3&quot;/&gt;&lt;wsp:rsid wsp:val=&quot;00D3375E&quot;/&gt;&lt;wsp:rsid wsp:val=&quot;00D33852&quot;/&gt;&lt;wsp:rsid wsp:val=&quot;00D33D31&quot;/&gt;&lt;wsp:rsid wsp:val=&quot;00D344A7&quot;/&gt;&lt;wsp:rsid wsp:val=&quot;00D34757&quot;/&gt;&lt;wsp:rsid wsp:val=&quot;00D34B46&quot;/&gt;&lt;wsp:rsid wsp:val=&quot;00D350C4&quot;/&gt;&lt;wsp:rsid wsp:val=&quot;00D3559B&quot;/&gt;&lt;wsp:rsid wsp:val=&quot;00D35E85&quot;/&gt;&lt;wsp:rsid wsp:val=&quot;00D360F1&quot;/&gt;&lt;wsp:rsid wsp:val=&quot;00D36322&quot;/&gt;&lt;wsp:rsid wsp:val=&quot;00D366D9&quot;/&gt;&lt;wsp:rsid wsp:val=&quot;00D36DF2&quot;/&gt;&lt;wsp:rsid wsp:val=&quot;00D37431&quot;/&gt;&lt;wsp:rsid wsp:val=&quot;00D37733&quot;/&gt;&lt;wsp:rsid wsp:val=&quot;00D37A21&quot;/&gt;&lt;wsp:rsid wsp:val=&quot;00D37AAF&quot;/&gt;&lt;wsp:rsid wsp:val=&quot;00D37B37&quot;/&gt;&lt;wsp:rsid wsp:val=&quot;00D37BFA&quot;/&gt;&lt;wsp:rsid wsp:val=&quot;00D37EA6&quot;/&gt;&lt;wsp:rsid wsp:val=&quot;00D40872&quot;/&gt;&lt;wsp:rsid wsp:val=&quot;00D40E7C&quot;/&gt;&lt;wsp:rsid wsp:val=&quot;00D40F27&quot;/&gt;&lt;wsp:rsid wsp:val=&quot;00D41179&quot;/&gt;&lt;wsp:rsid wsp:val=&quot;00D41803&quot;/&gt;&lt;wsp:rsid wsp:val=&quot;00D41A05&quot;/&gt;&lt;wsp:rsid wsp:val=&quot;00D41A3B&quot;/&gt;&lt;wsp:rsid wsp:val=&quot;00D41A7D&quot;/&gt;&lt;wsp:rsid wsp:val=&quot;00D41C03&quot;/&gt;&lt;wsp:rsid wsp:val=&quot;00D42B7C&quot;/&gt;&lt;wsp:rsid wsp:val=&quot;00D43133&quot;/&gt;&lt;wsp:rsid wsp:val=&quot;00D4322E&quot;/&gt;&lt;wsp:rsid wsp:val=&quot;00D43AFC&quot;/&gt;&lt;wsp:rsid wsp:val=&quot;00D43C8E&quot;/&gt;&lt;wsp:rsid wsp:val=&quot;00D43DA5&quot;/&gt;&lt;wsp:rsid wsp:val=&quot;00D44404&quot;/&gt;&lt;wsp:rsid wsp:val=&quot;00D44638&quot;/&gt;&lt;wsp:rsid wsp:val=&quot;00D4497C&quot;/&gt;&lt;wsp:rsid wsp:val=&quot;00D449A0&quot;/&gt;&lt;wsp:rsid wsp:val=&quot;00D44E88&quot;/&gt;&lt;wsp:rsid wsp:val=&quot;00D450A2&quot;/&gt;&lt;wsp:rsid wsp:val=&quot;00D45419&quot;/&gt;&lt;wsp:rsid wsp:val=&quot;00D457BD&quot;/&gt;&lt;wsp:rsid wsp:val=&quot;00D46514&quot;/&gt;&lt;wsp:rsid wsp:val=&quot;00D46798&quot;/&gt;&lt;wsp:rsid wsp:val=&quot;00D46ADF&quot;/&gt;&lt;wsp:rsid wsp:val=&quot;00D46C81&quot;/&gt;&lt;wsp:rsid wsp:val=&quot;00D47673&quot;/&gt;&lt;wsp:rsid wsp:val=&quot;00D47B77&quot;/&gt;&lt;wsp:rsid wsp:val=&quot;00D50034&quot;/&gt;&lt;wsp:rsid wsp:val=&quot;00D503EC&quot;/&gt;&lt;wsp:rsid wsp:val=&quot;00D50F65&quot;/&gt;&lt;wsp:rsid wsp:val=&quot;00D50F81&quot;/&gt;&lt;wsp:rsid wsp:val=&quot;00D51720&quot;/&gt;&lt;wsp:rsid wsp:val=&quot;00D51B2A&quot;/&gt;&lt;wsp:rsid wsp:val=&quot;00D51D4A&quot;/&gt;&lt;wsp:rsid wsp:val=&quot;00D52209&quot;/&gt;&lt;wsp:rsid wsp:val=&quot;00D5234B&quot;/&gt;&lt;wsp:rsid wsp:val=&quot;00D52395&quot;/&gt;&lt;wsp:rsid wsp:val=&quot;00D52581&quot;/&gt;&lt;wsp:rsid wsp:val=&quot;00D52759&quot;/&gt;&lt;wsp:rsid wsp:val=&quot;00D52769&quot;/&gt;&lt;wsp:rsid wsp:val=&quot;00D52807&quot;/&gt;&lt;wsp:rsid wsp:val=&quot;00D52BB3&quot;/&gt;&lt;wsp:rsid wsp:val=&quot;00D52C1D&quot;/&gt;&lt;wsp:rsid wsp:val=&quot;00D53964&quot;/&gt;&lt;wsp:rsid wsp:val=&quot;00D53984&quot;/&gt;&lt;wsp:rsid wsp:val=&quot;00D53BAC&quot;/&gt;&lt;wsp:rsid wsp:val=&quot;00D53BE1&quot;/&gt;&lt;wsp:rsid wsp:val=&quot;00D53C87&quot;/&gt;&lt;wsp:rsid wsp:val=&quot;00D54868&quot;/&gt;&lt;wsp:rsid wsp:val=&quot;00D54C61&quot;/&gt;&lt;wsp:rsid wsp:val=&quot;00D54D1E&quot;/&gt;&lt;wsp:rsid wsp:val=&quot;00D55266&quot;/&gt;&lt;wsp:rsid wsp:val=&quot;00D55283&quot;/&gt;&lt;wsp:rsid wsp:val=&quot;00D5595E&quot;/&gt;&lt;wsp:rsid wsp:val=&quot;00D55BCE&quot;/&gt;&lt;wsp:rsid wsp:val=&quot;00D5613C&quot;/&gt;&lt;wsp:rsid wsp:val=&quot;00D56253&quot;/&gt;&lt;wsp:rsid wsp:val=&quot;00D56498&quot;/&gt;&lt;wsp:rsid wsp:val=&quot;00D567FE&quot;/&gt;&lt;wsp:rsid wsp:val=&quot;00D56CE8&quot;/&gt;&lt;wsp:rsid wsp:val=&quot;00D5731E&quot;/&gt;&lt;wsp:rsid wsp:val=&quot;00D579C3&quot;/&gt;&lt;wsp:rsid wsp:val=&quot;00D57E09&quot;/&gt;&lt;wsp:rsid wsp:val=&quot;00D6016A&quot;/&gt;&lt;wsp:rsid wsp:val=&quot;00D60191&quot;/&gt;&lt;wsp:rsid wsp:val=&quot;00D61005&quot;/&gt;&lt;wsp:rsid wsp:val=&quot;00D61015&quot;/&gt;&lt;wsp:rsid wsp:val=&quot;00D61131&quot;/&gt;&lt;wsp:rsid wsp:val=&quot;00D611BB&quot;/&gt;&lt;wsp:rsid wsp:val=&quot;00D61829&quot;/&gt;&lt;wsp:rsid wsp:val=&quot;00D61A11&quot;/&gt;&lt;wsp:rsid wsp:val=&quot;00D61ADA&quot;/&gt;&lt;wsp:rsid wsp:val=&quot;00D61BEC&quot;/&gt;&lt;wsp:rsid wsp:val=&quot;00D61EBC&quot;/&gt;&lt;wsp:rsid wsp:val=&quot;00D61F64&quot;/&gt;&lt;wsp:rsid wsp:val=&quot;00D620A2&quot;/&gt;&lt;wsp:rsid wsp:val=&quot;00D622CE&quot;/&gt;&lt;wsp:rsid wsp:val=&quot;00D625F9&quot;/&gt;&lt;wsp:rsid wsp:val=&quot;00D626BE&quot;/&gt;&lt;wsp:rsid wsp:val=&quot;00D627CF&quot;/&gt;&lt;wsp:rsid wsp:val=&quot;00D62824&quot;/&gt;&lt;wsp:rsid wsp:val=&quot;00D6298A&quot;/&gt;&lt;wsp:rsid wsp:val=&quot;00D62A18&quot;/&gt;&lt;wsp:rsid wsp:val=&quot;00D62B58&quot;/&gt;&lt;wsp:rsid wsp:val=&quot;00D630C5&quot;/&gt;&lt;wsp:rsid wsp:val=&quot;00D636AD&quot;/&gt;&lt;wsp:rsid wsp:val=&quot;00D63D63&quot;/&gt;&lt;wsp:rsid wsp:val=&quot;00D64252&quot;/&gt;&lt;wsp:rsid wsp:val=&quot;00D64417&quot;/&gt;&lt;wsp:rsid wsp:val=&quot;00D6444A&quot;/&gt;&lt;wsp:rsid wsp:val=&quot;00D644E7&quot;/&gt;&lt;wsp:rsid wsp:val=&quot;00D646C6&quot;/&gt;&lt;wsp:rsid wsp:val=&quot;00D64822&quot;/&gt;&lt;wsp:rsid wsp:val=&quot;00D652FF&quot;/&gt;&lt;wsp:rsid wsp:val=&quot;00D653DB&quot;/&gt;&lt;wsp:rsid wsp:val=&quot;00D654C8&quot;/&gt;&lt;wsp:rsid wsp:val=&quot;00D6567B&quot;/&gt;&lt;wsp:rsid wsp:val=&quot;00D65AA1&quot;/&gt;&lt;wsp:rsid wsp:val=&quot;00D6638B&quot;/&gt;&lt;wsp:rsid wsp:val=&quot;00D66DD9&quot;/&gt;&lt;wsp:rsid wsp:val=&quot;00D66FA6&quot;/&gt;&lt;wsp:rsid wsp:val=&quot;00D671DD&quot;/&gt;&lt;wsp:rsid wsp:val=&quot;00D67240&quot;/&gt;&lt;wsp:rsid wsp:val=&quot;00D678AC&quot;/&gt;&lt;wsp:rsid wsp:val=&quot;00D67A44&quot;/&gt;&lt;wsp:rsid wsp:val=&quot;00D67C73&quot;/&gt;&lt;wsp:rsid wsp:val=&quot;00D7030E&quot;/&gt;&lt;wsp:rsid wsp:val=&quot;00D703A3&quot;/&gt;&lt;wsp:rsid wsp:val=&quot;00D7040C&quot;/&gt;&lt;wsp:rsid wsp:val=&quot;00D705E7&quot;/&gt;&lt;wsp:rsid wsp:val=&quot;00D7074F&quot;/&gt;&lt;wsp:rsid wsp:val=&quot;00D70CD1&quot;/&gt;&lt;wsp:rsid wsp:val=&quot;00D70E7A&quot;/&gt;&lt;wsp:rsid wsp:val=&quot;00D70F4A&quot;/&gt;&lt;wsp:rsid wsp:val=&quot;00D71546&quot;/&gt;&lt;wsp:rsid wsp:val=&quot;00D716E8&quot;/&gt;&lt;wsp:rsid wsp:val=&quot;00D71916&quot;/&gt;&lt;wsp:rsid wsp:val=&quot;00D719E6&quot;/&gt;&lt;wsp:rsid wsp:val=&quot;00D71CEF&quot;/&gt;&lt;wsp:rsid wsp:val=&quot;00D7218F&quot;/&gt;&lt;wsp:rsid wsp:val=&quot;00D72199&quot;/&gt;&lt;wsp:rsid wsp:val=&quot;00D72232&quot;/&gt;&lt;wsp:rsid wsp:val=&quot;00D722CF&quot;/&gt;&lt;wsp:rsid wsp:val=&quot;00D725DB&quot;/&gt;&lt;wsp:rsid wsp:val=&quot;00D72C5F&quot;/&gt;&lt;wsp:rsid wsp:val=&quot;00D72DA4&quot;/&gt;&lt;wsp:rsid wsp:val=&quot;00D732EE&quot;/&gt;&lt;wsp:rsid wsp:val=&quot;00D73338&quot;/&gt;&lt;wsp:rsid wsp:val=&quot;00D73348&quot;/&gt;&lt;wsp:rsid wsp:val=&quot;00D73FD6&quot;/&gt;&lt;wsp:rsid wsp:val=&quot;00D74262&quot;/&gt;&lt;wsp:rsid wsp:val=&quot;00D7433C&quot;/&gt;&lt;wsp:rsid wsp:val=&quot;00D74575&quot;/&gt;&lt;wsp:rsid wsp:val=&quot;00D7465E&quot;/&gt;&lt;wsp:rsid wsp:val=&quot;00D74A56&quot;/&gt;&lt;wsp:rsid wsp:val=&quot;00D74D31&quot;/&gt;&lt;wsp:rsid wsp:val=&quot;00D74D6F&quot;/&gt;&lt;wsp:rsid wsp:val=&quot;00D74EF6&quot;/&gt;&lt;wsp:rsid wsp:val=&quot;00D74F07&quot;/&gt;&lt;wsp:rsid wsp:val=&quot;00D74F9C&quot;/&gt;&lt;wsp:rsid wsp:val=&quot;00D75012&quot;/&gt;&lt;wsp:rsid wsp:val=&quot;00D75773&quot;/&gt;&lt;wsp:rsid wsp:val=&quot;00D760A9&quot;/&gt;&lt;wsp:rsid wsp:val=&quot;00D760CF&quot;/&gt;&lt;wsp:rsid wsp:val=&quot;00D763C6&quot;/&gt;&lt;wsp:rsid wsp:val=&quot;00D76440&quot;/&gt;&lt;wsp:rsid wsp:val=&quot;00D76731&quot;/&gt;&lt;wsp:rsid wsp:val=&quot;00D7695D&quot;/&gt;&lt;wsp:rsid wsp:val=&quot;00D77746&quot;/&gt;&lt;wsp:rsid wsp:val=&quot;00D778C2&quot;/&gt;&lt;wsp:rsid wsp:val=&quot;00D77CA3&quot;/&gt;&lt;wsp:rsid wsp:val=&quot;00D8038B&quot;/&gt;&lt;wsp:rsid wsp:val=&quot;00D803E5&quot;/&gt;&lt;wsp:rsid wsp:val=&quot;00D80BA3&quot;/&gt;&lt;wsp:rsid wsp:val=&quot;00D80E47&quot;/&gt;&lt;wsp:rsid wsp:val=&quot;00D813D1&quot;/&gt;&lt;wsp:rsid wsp:val=&quot;00D81428&quot;/&gt;&lt;wsp:rsid wsp:val=&quot;00D818D9&quot;/&gt;&lt;wsp:rsid wsp:val=&quot;00D81B53&quot;/&gt;&lt;wsp:rsid wsp:val=&quot;00D81D91&quot;/&gt;&lt;wsp:rsid wsp:val=&quot;00D81E8A&quot;/&gt;&lt;wsp:rsid wsp:val=&quot;00D82675&quot;/&gt;&lt;wsp:rsid wsp:val=&quot;00D8270A&quot;/&gt;&lt;wsp:rsid wsp:val=&quot;00D82A8E&quot;/&gt;&lt;wsp:rsid wsp:val=&quot;00D82DF1&quot;/&gt;&lt;wsp:rsid wsp:val=&quot;00D82EF5&quot;/&gt;&lt;wsp:rsid wsp:val=&quot;00D831D9&quot;/&gt;&lt;wsp:rsid wsp:val=&quot;00D83235&quot;/&gt;&lt;wsp:rsid wsp:val=&quot;00D8393F&quot;/&gt;&lt;wsp:rsid wsp:val=&quot;00D840E6&quot;/&gt;&lt;wsp:rsid wsp:val=&quot;00D8429C&quot;/&gt;&lt;wsp:rsid wsp:val=&quot;00D842D4&quot;/&gt;&lt;wsp:rsid wsp:val=&quot;00D84621&quot;/&gt;&lt;wsp:rsid wsp:val=&quot;00D8462B&quot;/&gt;&lt;wsp:rsid wsp:val=&quot;00D84941&quot;/&gt;&lt;wsp:rsid wsp:val=&quot;00D8521F&quot;/&gt;&lt;wsp:rsid wsp:val=&quot;00D85335&quot;/&gt;&lt;wsp:rsid wsp:val=&quot;00D856EC&quot;/&gt;&lt;wsp:rsid wsp:val=&quot;00D8570C&quot;/&gt;&lt;wsp:rsid wsp:val=&quot;00D85824&quot;/&gt;&lt;wsp:rsid wsp:val=&quot;00D85C69&quot;/&gt;&lt;wsp:rsid wsp:val=&quot;00D85C72&quot;/&gt;&lt;wsp:rsid wsp:val=&quot;00D85DEB&quot;/&gt;&lt;wsp:rsid wsp:val=&quot;00D861F0&quot;/&gt;&lt;wsp:rsid wsp:val=&quot;00D86504&quot;/&gt;&lt;wsp:rsid wsp:val=&quot;00D86DFF&quot;/&gt;&lt;wsp:rsid wsp:val=&quot;00D87212&quot;/&gt;&lt;wsp:rsid wsp:val=&quot;00D87551&quot;/&gt;&lt;wsp:rsid wsp:val=&quot;00D87C1E&quot;/&gt;&lt;wsp:rsid wsp:val=&quot;00D90067&quot;/&gt;&lt;wsp:rsid wsp:val=&quot;00D903FC&quot;/&gt;&lt;wsp:rsid wsp:val=&quot;00D903FF&quot;/&gt;&lt;wsp:rsid wsp:val=&quot;00D9066D&quot;/&gt;&lt;wsp:rsid wsp:val=&quot;00D90844&quot;/&gt;&lt;wsp:rsid wsp:val=&quot;00D90C47&quot;/&gt;&lt;wsp:rsid wsp:val=&quot;00D90CDB&quot;/&gt;&lt;wsp:rsid wsp:val=&quot;00D9124E&quot;/&gt;&lt;wsp:rsid wsp:val=&quot;00D917CA&quot;/&gt;&lt;wsp:rsid wsp:val=&quot;00D918CD&quot;/&gt;&lt;wsp:rsid wsp:val=&quot;00D9196C&quot;/&gt;&lt;wsp:rsid wsp:val=&quot;00D91C21&quot;/&gt;&lt;wsp:rsid wsp:val=&quot;00D91EC6&quot;/&gt;&lt;wsp:rsid wsp:val=&quot;00D91F11&quot;/&gt;&lt;wsp:rsid wsp:val=&quot;00D91FF6&quot;/&gt;&lt;wsp:rsid wsp:val=&quot;00D922E8&quot;/&gt;&lt;wsp:rsid wsp:val=&quot;00D92491&quot;/&gt;&lt;wsp:rsid wsp:val=&quot;00D92AE3&quot;/&gt;&lt;wsp:rsid wsp:val=&quot;00D92CE4&quot;/&gt;&lt;wsp:rsid wsp:val=&quot;00D934D4&quot;/&gt;&lt;wsp:rsid wsp:val=&quot;00D935B0&quot;/&gt;&lt;wsp:rsid wsp:val=&quot;00D93895&quot;/&gt;&lt;wsp:rsid wsp:val=&quot;00D93B30&quot;/&gt;&lt;wsp:rsid wsp:val=&quot;00D93EE5&quot;/&gt;&lt;wsp:rsid wsp:val=&quot;00D9400B&quot;/&gt;&lt;wsp:rsid wsp:val=&quot;00D94351&quot;/&gt;&lt;wsp:rsid wsp:val=&quot;00D9436E&quot;/&gt;&lt;wsp:rsid wsp:val=&quot;00D9442C&quot;/&gt;&lt;wsp:rsid wsp:val=&quot;00D94635&quot;/&gt;&lt;wsp:rsid wsp:val=&quot;00D95228&quot;/&gt;&lt;wsp:rsid wsp:val=&quot;00D957C3&quot;/&gt;&lt;wsp:rsid wsp:val=&quot;00D95AF4&quot;/&gt;&lt;wsp:rsid wsp:val=&quot;00D95CB7&quot;/&gt;&lt;wsp:rsid wsp:val=&quot;00D96247&quot;/&gt;&lt;wsp:rsid wsp:val=&quot;00D9632F&quot;/&gt;&lt;wsp:rsid wsp:val=&quot;00D9690E&quot;/&gt;&lt;wsp:rsid wsp:val=&quot;00D97DC7&quot;/&gt;&lt;wsp:rsid wsp:val=&quot;00D97EE3&quot;/&gt;&lt;wsp:rsid wsp:val=&quot;00DA00AE&quot;/&gt;&lt;wsp:rsid wsp:val=&quot;00DA0108&quot;/&gt;&lt;wsp:rsid wsp:val=&quot;00DA01C4&quot;/&gt;&lt;wsp:rsid wsp:val=&quot;00DA0DD0&quot;/&gt;&lt;wsp:rsid wsp:val=&quot;00DA1876&quot;/&gt;&lt;wsp:rsid wsp:val=&quot;00DA1992&quot;/&gt;&lt;wsp:rsid wsp:val=&quot;00DA1A61&quot;/&gt;&lt;wsp:rsid wsp:val=&quot;00DA1BBD&quot;/&gt;&lt;wsp:rsid wsp:val=&quot;00DA27FD&quot;/&gt;&lt;wsp:rsid wsp:val=&quot;00DA281D&quot;/&gt;&lt;wsp:rsid wsp:val=&quot;00DA2B3F&quot;/&gt;&lt;wsp:rsid wsp:val=&quot;00DA2D48&quot;/&gt;&lt;wsp:rsid wsp:val=&quot;00DA31D6&quot;/&gt;&lt;wsp:rsid wsp:val=&quot;00DA32ED&quot;/&gt;&lt;wsp:rsid wsp:val=&quot;00DA355F&quot;/&gt;&lt;wsp:rsid wsp:val=&quot;00DA3637&quot;/&gt;&lt;wsp:rsid wsp:val=&quot;00DA3DE0&quot;/&gt;&lt;wsp:rsid wsp:val=&quot;00DA452D&quot;/&gt;&lt;wsp:rsid wsp:val=&quot;00DA4785&quot;/&gt;&lt;wsp:rsid wsp:val=&quot;00DA47F3&quot;/&gt;&lt;wsp:rsid wsp:val=&quot;00DA48A9&quot;/&gt;&lt;wsp:rsid wsp:val=&quot;00DA4AAB&quot;/&gt;&lt;wsp:rsid wsp:val=&quot;00DA4BE1&quot;/&gt;&lt;wsp:rsid wsp:val=&quot;00DA4C15&quot;/&gt;&lt;wsp:rsid wsp:val=&quot;00DA4CE7&quot;/&gt;&lt;wsp:rsid wsp:val=&quot;00DA4E26&quot;/&gt;&lt;wsp:rsid wsp:val=&quot;00DA4EDE&quot;/&gt;&lt;wsp:rsid wsp:val=&quot;00DA549C&quot;/&gt;&lt;wsp:rsid wsp:val=&quot;00DA54CD&quot;/&gt;&lt;wsp:rsid wsp:val=&quot;00DA571E&quot;/&gt;&lt;wsp:rsid wsp:val=&quot;00DA5943&quot;/&gt;&lt;wsp:rsid wsp:val=&quot;00DA5F1F&quot;/&gt;&lt;wsp:rsid wsp:val=&quot;00DA61F5&quot;/&gt;&lt;wsp:rsid wsp:val=&quot;00DA6232&quot;/&gt;&lt;wsp:rsid wsp:val=&quot;00DA65B2&quot;/&gt;&lt;wsp:rsid wsp:val=&quot;00DA662D&quot;/&gt;&lt;wsp:rsid wsp:val=&quot;00DA6ABD&quot;/&gt;&lt;wsp:rsid wsp:val=&quot;00DA6E57&quot;/&gt;&lt;wsp:rsid wsp:val=&quot;00DA7056&quot;/&gt;&lt;wsp:rsid wsp:val=&quot;00DA7340&quot;/&gt;&lt;wsp:rsid wsp:val=&quot;00DA7BA4&quot;/&gt;&lt;wsp:rsid wsp:val=&quot;00DA7E61&quot;/&gt;&lt;wsp:rsid wsp:val=&quot;00DA7FCB&quot;/&gt;&lt;wsp:rsid wsp:val=&quot;00DB01DB&quot;/&gt;&lt;wsp:rsid wsp:val=&quot;00DB09AB&quot;/&gt;&lt;wsp:rsid wsp:val=&quot;00DB0A6B&quot;/&gt;&lt;wsp:rsid wsp:val=&quot;00DB0C61&quot;/&gt;&lt;wsp:rsid wsp:val=&quot;00DB0FD0&quot;/&gt;&lt;wsp:rsid wsp:val=&quot;00DB111F&quot;/&gt;&lt;wsp:rsid wsp:val=&quot;00DB1156&quot;/&gt;&lt;wsp:rsid wsp:val=&quot;00DB1ADE&quot;/&gt;&lt;wsp:rsid wsp:val=&quot;00DB21F9&quot;/&gt;&lt;wsp:rsid wsp:val=&quot;00DB23E1&quot;/&gt;&lt;wsp:rsid wsp:val=&quot;00DB242E&quot;/&gt;&lt;wsp:rsid wsp:val=&quot;00DB247B&quot;/&gt;&lt;wsp:rsid wsp:val=&quot;00DB2500&quot;/&gt;&lt;wsp:rsid wsp:val=&quot;00DB25F7&quot;/&gt;&lt;wsp:rsid wsp:val=&quot;00DB2745&quot;/&gt;&lt;wsp:rsid wsp:val=&quot;00DB2810&quot;/&gt;&lt;wsp:rsid wsp:val=&quot;00DB296C&quot;/&gt;&lt;wsp:rsid wsp:val=&quot;00DB2979&quot;/&gt;&lt;wsp:rsid wsp:val=&quot;00DB29FA&quot;/&gt;&lt;wsp:rsid wsp:val=&quot;00DB2B88&quot;/&gt;&lt;wsp:rsid wsp:val=&quot;00DB2C50&quot;/&gt;&lt;wsp:rsid wsp:val=&quot;00DB32C4&quot;/&gt;&lt;wsp:rsid wsp:val=&quot;00DB3873&quot;/&gt;&lt;wsp:rsid wsp:val=&quot;00DB38FF&quot;/&gt;&lt;wsp:rsid wsp:val=&quot;00DB3F39&quot;/&gt;&lt;wsp:rsid wsp:val=&quot;00DB3FF4&quot;/&gt;&lt;wsp:rsid wsp:val=&quot;00DB4EA6&quot;/&gt;&lt;wsp:rsid wsp:val=&quot;00DB51A7&quot;/&gt;&lt;wsp:rsid wsp:val=&quot;00DB5222&quot;/&gt;&lt;wsp:rsid wsp:val=&quot;00DB5A41&quot;/&gt;&lt;wsp:rsid wsp:val=&quot;00DB5DD7&quot;/&gt;&lt;wsp:rsid wsp:val=&quot;00DB64EB&quot;/&gt;&lt;wsp:rsid wsp:val=&quot;00DB6A15&quot;/&gt;&lt;wsp:rsid wsp:val=&quot;00DB6C7B&quot;/&gt;&lt;wsp:rsid wsp:val=&quot;00DB71FD&quot;/&gt;&lt;wsp:rsid wsp:val=&quot;00DB756B&quot;/&gt;&lt;wsp:rsid wsp:val=&quot;00DB7684&quot;/&gt;&lt;wsp:rsid wsp:val=&quot;00DB7D5B&quot;/&gt;&lt;wsp:rsid wsp:val=&quot;00DB7F4C&quot;/&gt;&lt;wsp:rsid wsp:val=&quot;00DC037E&quot;/&gt;&lt;wsp:rsid wsp:val=&quot;00DC0828&quot;/&gt;&lt;wsp:rsid wsp:val=&quot;00DC085B&quot;/&gt;&lt;wsp:rsid wsp:val=&quot;00DC08CF&quot;/&gt;&lt;wsp:rsid wsp:val=&quot;00DC0984&quot;/&gt;&lt;wsp:rsid wsp:val=&quot;00DC0EC9&quot;/&gt;&lt;wsp:rsid wsp:val=&quot;00DC0ECC&quot;/&gt;&lt;wsp:rsid wsp:val=&quot;00DC141E&quot;/&gt;&lt;wsp:rsid wsp:val=&quot;00DC15EC&quot;/&gt;&lt;wsp:rsid wsp:val=&quot;00DC1957&quot;/&gt;&lt;wsp:rsid wsp:val=&quot;00DC1CFE&quot;/&gt;&lt;wsp:rsid wsp:val=&quot;00DC21D5&quot;/&gt;&lt;wsp:rsid wsp:val=&quot;00DC27DA&quot;/&gt;&lt;wsp:rsid wsp:val=&quot;00DC2C4C&quot;/&gt;&lt;wsp:rsid wsp:val=&quot;00DC2EE7&quot;/&gt;&lt;wsp:rsid wsp:val=&quot;00DC3280&quot;/&gt;&lt;wsp:rsid wsp:val=&quot;00DC3341&quot;/&gt;&lt;wsp:rsid wsp:val=&quot;00DC339F&quot;/&gt;&lt;wsp:rsid wsp:val=&quot;00DC33AB&quot;/&gt;&lt;wsp:rsid wsp:val=&quot;00DC3481&quot;/&gt;&lt;wsp:rsid wsp:val=&quot;00DC38A8&quot;/&gt;&lt;wsp:rsid wsp:val=&quot;00DC38BC&quot;/&gt;&lt;wsp:rsid wsp:val=&quot;00DC3992&quot;/&gt;&lt;wsp:rsid wsp:val=&quot;00DC3E04&quot;/&gt;&lt;wsp:rsid wsp:val=&quot;00DC402E&quot;/&gt;&lt;wsp:rsid wsp:val=&quot;00DC4284&quot;/&gt;&lt;wsp:rsid wsp:val=&quot;00DC4376&quot;/&gt;&lt;wsp:rsid wsp:val=&quot;00DC50F1&quot;/&gt;&lt;wsp:rsid wsp:val=&quot;00DC520C&quot;/&gt;&lt;wsp:rsid wsp:val=&quot;00DC535D&quot;/&gt;&lt;wsp:rsid wsp:val=&quot;00DC5445&quot;/&gt;&lt;wsp:rsid wsp:val=&quot;00DC562B&quot;/&gt;&lt;wsp:rsid wsp:val=&quot;00DC5FEC&quot;/&gt;&lt;wsp:rsid wsp:val=&quot;00DC6606&quot;/&gt;&lt;wsp:rsid wsp:val=&quot;00DC673D&quot;/&gt;&lt;wsp:rsid wsp:val=&quot;00DC67C7&quot;/&gt;&lt;wsp:rsid wsp:val=&quot;00DC69E6&quot;/&gt;&lt;wsp:rsid wsp:val=&quot;00DC6EDE&quot;/&gt;&lt;wsp:rsid wsp:val=&quot;00DC6F21&quot;/&gt;&lt;wsp:rsid wsp:val=&quot;00DC741A&quot;/&gt;&lt;wsp:rsid wsp:val=&quot;00DC751E&quot;/&gt;&lt;wsp:rsid wsp:val=&quot;00DC7B73&quot;/&gt;&lt;wsp:rsid wsp:val=&quot;00DC7C4E&quot;/&gt;&lt;wsp:rsid wsp:val=&quot;00DC7E15&quot;/&gt;&lt;wsp:rsid wsp:val=&quot;00DC7E27&quot;/&gt;&lt;wsp:rsid wsp:val=&quot;00DD01DC&quot;/&gt;&lt;wsp:rsid wsp:val=&quot;00DD042E&quot;/&gt;&lt;wsp:rsid wsp:val=&quot;00DD0A18&quot;/&gt;&lt;wsp:rsid wsp:val=&quot;00DD0A2F&quot;/&gt;&lt;wsp:rsid wsp:val=&quot;00DD0B4F&quot;/&gt;&lt;wsp:rsid wsp:val=&quot;00DD0C8C&quot;/&gt;&lt;wsp:rsid wsp:val=&quot;00DD109B&quot;/&gt;&lt;wsp:rsid wsp:val=&quot;00DD16ED&quot;/&gt;&lt;wsp:rsid wsp:val=&quot;00DD17BD&quot;/&gt;&lt;wsp:rsid wsp:val=&quot;00DD1B72&quot;/&gt;&lt;wsp:rsid wsp:val=&quot;00DD1D1C&quot;/&gt;&lt;wsp:rsid wsp:val=&quot;00DD237A&quot;/&gt;&lt;wsp:rsid wsp:val=&quot;00DD397C&quot;/&gt;&lt;wsp:rsid wsp:val=&quot;00DD3CEA&quot;/&gt;&lt;wsp:rsid wsp:val=&quot;00DD4838&quot;/&gt;&lt;wsp:rsid wsp:val=&quot;00DD4C81&quot;/&gt;&lt;wsp:rsid wsp:val=&quot;00DD54F2&quot;/&gt;&lt;wsp:rsid wsp:val=&quot;00DD55B0&quot;/&gt;&lt;wsp:rsid wsp:val=&quot;00DD68AB&quot;/&gt;&lt;wsp:rsid wsp:val=&quot;00DD69F4&quot;/&gt;&lt;wsp:rsid wsp:val=&quot;00DD7431&quot;/&gt;&lt;wsp:rsid wsp:val=&quot;00DD760A&quot;/&gt;&lt;wsp:rsid wsp:val=&quot;00DD7A76&quot;/&gt;&lt;wsp:rsid wsp:val=&quot;00DD7BC2&quot;/&gt;&lt;wsp:rsid wsp:val=&quot;00DD7E50&quot;/&gt;&lt;wsp:rsid wsp:val=&quot;00DE032C&quot;/&gt;&lt;wsp:rsid wsp:val=&quot;00DE0474&quot;/&gt;&lt;wsp:rsid wsp:val=&quot;00DE0727&quot;/&gt;&lt;wsp:rsid wsp:val=&quot;00DE0A01&quot;/&gt;&lt;wsp:rsid wsp:val=&quot;00DE0F9E&quot;/&gt;&lt;wsp:rsid wsp:val=&quot;00DE0FA7&quot;/&gt;&lt;wsp:rsid wsp:val=&quot;00DE1511&quot;/&gt;&lt;wsp:rsid wsp:val=&quot;00DE1522&quot;/&gt;&lt;wsp:rsid wsp:val=&quot;00DE1AC8&quot;/&gt;&lt;wsp:rsid wsp:val=&quot;00DE1F3F&quot;/&gt;&lt;wsp:rsid wsp:val=&quot;00DE2077&quot;/&gt;&lt;wsp:rsid wsp:val=&quot;00DE257A&quot;/&gt;&lt;wsp:rsid wsp:val=&quot;00DE287C&quot;/&gt;&lt;wsp:rsid wsp:val=&quot;00DE31E6&quot;/&gt;&lt;wsp:rsid wsp:val=&quot;00DE3718&quot;/&gt;&lt;wsp:rsid wsp:val=&quot;00DE38C1&quot;/&gt;&lt;wsp:rsid wsp:val=&quot;00DE3990&quot;/&gt;&lt;wsp:rsid wsp:val=&quot;00DE3D4C&quot;/&gt;&lt;wsp:rsid wsp:val=&quot;00DE3F61&quot;/&gt;&lt;wsp:rsid wsp:val=&quot;00DE4264&quot;/&gt;&lt;wsp:rsid wsp:val=&quot;00DE473A&quot;/&gt;&lt;wsp:rsid wsp:val=&quot;00DE47DB&quot;/&gt;&lt;wsp:rsid wsp:val=&quot;00DE4B48&quot;/&gt;&lt;wsp:rsid wsp:val=&quot;00DE4BD2&quot;/&gt;&lt;wsp:rsid wsp:val=&quot;00DE4C60&quot;/&gt;&lt;wsp:rsid wsp:val=&quot;00DE4E7A&quot;/&gt;&lt;wsp:rsid wsp:val=&quot;00DE585A&quot;/&gt;&lt;wsp:rsid wsp:val=&quot;00DE6784&quot;/&gt;&lt;wsp:rsid wsp:val=&quot;00DE6861&quot;/&gt;&lt;wsp:rsid wsp:val=&quot;00DE6C98&quot;/&gt;&lt;wsp:rsid wsp:val=&quot;00DE6F68&quot;/&gt;&lt;wsp:rsid wsp:val=&quot;00DE7C17&quot;/&gt;&lt;wsp:rsid wsp:val=&quot;00DE7CE1&quot;/&gt;&lt;wsp:rsid wsp:val=&quot;00DF02B9&quot;/&gt;&lt;wsp:rsid wsp:val=&quot;00DF043D&quot;/&gt;&lt;wsp:rsid wsp:val=&quot;00DF04F9&quot;/&gt;&lt;wsp:rsid wsp:val=&quot;00DF05F2&quot;/&gt;&lt;wsp:rsid wsp:val=&quot;00DF0C83&quot;/&gt;&lt;wsp:rsid wsp:val=&quot;00DF122E&quot;/&gt;&lt;wsp:rsid wsp:val=&quot;00DF1835&quot;/&gt;&lt;wsp:rsid wsp:val=&quot;00DF1838&quot;/&gt;&lt;wsp:rsid wsp:val=&quot;00DF1BB2&quot;/&gt;&lt;wsp:rsid wsp:val=&quot;00DF1CC0&quot;/&gt;&lt;wsp:rsid wsp:val=&quot;00DF2033&quot;/&gt;&lt;wsp:rsid wsp:val=&quot;00DF22C7&quot;/&gt;&lt;wsp:rsid wsp:val=&quot;00DF2408&quot;/&gt;&lt;wsp:rsid wsp:val=&quot;00DF281A&quot;/&gt;&lt;wsp:rsid wsp:val=&quot;00DF2B2A&quot;/&gt;&lt;wsp:rsid wsp:val=&quot;00DF2B65&quot;/&gt;&lt;wsp:rsid wsp:val=&quot;00DF324D&quot;/&gt;&lt;wsp:rsid wsp:val=&quot;00DF34E6&quot;/&gt;&lt;wsp:rsid wsp:val=&quot;00DF3C68&quot;/&gt;&lt;wsp:rsid wsp:val=&quot;00DF4AAE&quot;/&gt;&lt;wsp:rsid wsp:val=&quot;00DF4BE1&quot;/&gt;&lt;wsp:rsid wsp:val=&quot;00DF4DC9&quot;/&gt;&lt;wsp:rsid wsp:val=&quot;00DF4E74&quot;/&gt;&lt;wsp:rsid wsp:val=&quot;00DF54DF&quot;/&gt;&lt;wsp:rsid wsp:val=&quot;00DF55D6&quot;/&gt;&lt;wsp:rsid wsp:val=&quot;00DF5623&quot;/&gt;&lt;wsp:rsid wsp:val=&quot;00DF5F78&quot;/&gt;&lt;wsp:rsid wsp:val=&quot;00DF5FC0&quot;/&gt;&lt;wsp:rsid wsp:val=&quot;00DF6021&quot;/&gt;&lt;wsp:rsid wsp:val=&quot;00DF6457&quot;/&gt;&lt;wsp:rsid wsp:val=&quot;00DF64F5&quot;/&gt;&lt;wsp:rsid wsp:val=&quot;00DF6B13&quot;/&gt;&lt;wsp:rsid wsp:val=&quot;00DF737B&quot;/&gt;&lt;wsp:rsid wsp:val=&quot;00DF7C16&quot;/&gt;&lt;wsp:rsid wsp:val=&quot;00E00185&quot;/&gt;&lt;wsp:rsid wsp:val=&quot;00E0093C&quot;/&gt;&lt;wsp:rsid wsp:val=&quot;00E01018&quot;/&gt;&lt;wsp:rsid wsp:val=&quot;00E01634&quot;/&gt;&lt;wsp:rsid wsp:val=&quot;00E01C55&quot;/&gt;&lt;wsp:rsid wsp:val=&quot;00E01D5B&quot;/&gt;&lt;wsp:rsid wsp:val=&quot;00E01DC2&quot;/&gt;&lt;wsp:rsid wsp:val=&quot;00E021CD&quot;/&gt;&lt;wsp:rsid wsp:val=&quot;00E02227&quot;/&gt;&lt;wsp:rsid wsp:val=&quot;00E027BD&quot;/&gt;&lt;wsp:rsid wsp:val=&quot;00E02C60&quot;/&gt;&lt;wsp:rsid wsp:val=&quot;00E02EF2&quot;/&gt;&lt;wsp:rsid wsp:val=&quot;00E02FCD&quot;/&gt;&lt;wsp:rsid wsp:val=&quot;00E03172&quot;/&gt;&lt;wsp:rsid wsp:val=&quot;00E0321A&quot;/&gt;&lt;wsp:rsid wsp:val=&quot;00E03563&quot;/&gt;&lt;wsp:rsid wsp:val=&quot;00E037E5&quot;/&gt;&lt;wsp:rsid wsp:val=&quot;00E0384A&quot;/&gt;&lt;wsp:rsid wsp:val=&quot;00E0397E&quot;/&gt;&lt;wsp:rsid wsp:val=&quot;00E03CB0&quot;/&gt;&lt;wsp:rsid wsp:val=&quot;00E043AD&quot;/&gt;&lt;wsp:rsid wsp:val=&quot;00E0468B&quot;/&gt;&lt;wsp:rsid wsp:val=&quot;00E04764&quot;/&gt;&lt;wsp:rsid wsp:val=&quot;00E04C8A&quot;/&gt;&lt;wsp:rsid wsp:val=&quot;00E0514D&quot;/&gt;&lt;wsp:rsid wsp:val=&quot;00E0525B&quot;/&gt;&lt;wsp:rsid wsp:val=&quot;00E0547E&quot;/&gt;&lt;wsp:rsid wsp:val=&quot;00E0548D&quot;/&gt;&lt;wsp:rsid wsp:val=&quot;00E0589C&quot;/&gt;&lt;wsp:rsid wsp:val=&quot;00E05B76&quot;/&gt;&lt;wsp:rsid wsp:val=&quot;00E05E36&quot;/&gt;&lt;wsp:rsid wsp:val=&quot;00E06078&quot;/&gt;&lt;wsp:rsid wsp:val=&quot;00E06183&quot;/&gt;&lt;wsp:rsid wsp:val=&quot;00E06199&quot;/&gt;&lt;wsp:rsid wsp:val=&quot;00E064A1&quot;/&gt;&lt;wsp:rsid wsp:val=&quot;00E064D5&quot;/&gt;&lt;wsp:rsid wsp:val=&quot;00E068E7&quot;/&gt;&lt;wsp:rsid wsp:val=&quot;00E06D23&quot;/&gt;&lt;wsp:rsid wsp:val=&quot;00E07323&quot;/&gt;&lt;wsp:rsid wsp:val=&quot;00E07CED&quot;/&gt;&lt;wsp:rsid wsp:val=&quot;00E10057&quot;/&gt;&lt;wsp:rsid wsp:val=&quot;00E1009B&quot;/&gt;&lt;wsp:rsid wsp:val=&quot;00E10270&quot;/&gt;&lt;wsp:rsid wsp:val=&quot;00E10421&quot;/&gt;&lt;wsp:rsid wsp:val=&quot;00E104FF&quot;/&gt;&lt;wsp:rsid wsp:val=&quot;00E10748&quot;/&gt;&lt;wsp:rsid wsp:val=&quot;00E10E90&quot;/&gt;&lt;wsp:rsid wsp:val=&quot;00E10F69&quot;/&gt;&lt;wsp:rsid wsp:val=&quot;00E1107E&quot;/&gt;&lt;wsp:rsid wsp:val=&quot;00E111E0&quot;/&gt;&lt;wsp:rsid wsp:val=&quot;00E11503&quot;/&gt;&lt;wsp:rsid wsp:val=&quot;00E1151C&quot;/&gt;&lt;wsp:rsid wsp:val=&quot;00E11848&quot;/&gt;&lt;wsp:rsid wsp:val=&quot;00E11B3A&quot;/&gt;&lt;wsp:rsid wsp:val=&quot;00E11E52&quot;/&gt;&lt;wsp:rsid wsp:val=&quot;00E11F1C&quot;/&gt;&lt;wsp:rsid wsp:val=&quot;00E123DD&quot;/&gt;&lt;wsp:rsid wsp:val=&quot;00E126D5&quot;/&gt;&lt;wsp:rsid wsp:val=&quot;00E12E70&quot;/&gt;&lt;wsp:rsid wsp:val=&quot;00E1397B&quot;/&gt;&lt;wsp:rsid wsp:val=&quot;00E13F67&quot;/&gt;&lt;wsp:rsid wsp:val=&quot;00E14087&quot;/&gt;&lt;wsp:rsid wsp:val=&quot;00E140B5&quot;/&gt;&lt;wsp:rsid wsp:val=&quot;00E1418D&quot;/&gt;&lt;wsp:rsid wsp:val=&quot;00E1423A&quot;/&gt;&lt;wsp:rsid wsp:val=&quot;00E1461B&quot;/&gt;&lt;wsp:rsid wsp:val=&quot;00E14BC2&quot;/&gt;&lt;wsp:rsid wsp:val=&quot;00E14C96&quot;/&gt;&lt;wsp:rsid wsp:val=&quot;00E1560A&quot;/&gt;&lt;wsp:rsid wsp:val=&quot;00E1567C&quot;/&gt;&lt;wsp:rsid wsp:val=&quot;00E15869&quot;/&gt;&lt;wsp:rsid wsp:val=&quot;00E1609B&quot;/&gt;&lt;wsp:rsid wsp:val=&quot;00E166C2&quot;/&gt;&lt;wsp:rsid wsp:val=&quot;00E1675A&quot;/&gt;&lt;wsp:rsid wsp:val=&quot;00E167F9&quot;/&gt;&lt;wsp:rsid wsp:val=&quot;00E168A2&quot;/&gt;&lt;wsp:rsid wsp:val=&quot;00E16ADA&quot;/&gt;&lt;wsp:rsid wsp:val=&quot;00E16E47&quot;/&gt;&lt;wsp:rsid wsp:val=&quot;00E2023E&quot;/&gt;&lt;wsp:rsid wsp:val=&quot;00E20289&quot;/&gt;&lt;wsp:rsid wsp:val=&quot;00E20441&quot;/&gt;&lt;wsp:rsid wsp:val=&quot;00E204BF&quot;/&gt;&lt;wsp:rsid wsp:val=&quot;00E20548&quot;/&gt;&lt;wsp:rsid wsp:val=&quot;00E20830&quot;/&gt;&lt;wsp:rsid wsp:val=&quot;00E20A15&quot;/&gt;&lt;wsp:rsid wsp:val=&quot;00E20A70&quot;/&gt;&lt;wsp:rsid wsp:val=&quot;00E20B01&quot;/&gt;&lt;wsp:rsid wsp:val=&quot;00E20E29&quot;/&gt;&lt;wsp:rsid wsp:val=&quot;00E212C2&quot;/&gt;&lt;wsp:rsid wsp:val=&quot;00E21687&quot;/&gt;&lt;wsp:rsid wsp:val=&quot;00E21A4E&quot;/&gt;&lt;wsp:rsid wsp:val=&quot;00E21CCC&quot;/&gt;&lt;wsp:rsid wsp:val=&quot;00E21F08&quot;/&gt;&lt;wsp:rsid wsp:val=&quot;00E22182&quot;/&gt;&lt;wsp:rsid wsp:val=&quot;00E221B8&quot;/&gt;&lt;wsp:rsid wsp:val=&quot;00E227E9&quot;/&gt;&lt;wsp:rsid wsp:val=&quot;00E2290E&quot;/&gt;&lt;wsp:rsid wsp:val=&quot;00E22C48&quot;/&gt;&lt;wsp:rsid wsp:val=&quot;00E22F19&quot;/&gt;&lt;wsp:rsid wsp:val=&quot;00E23299&quot;/&gt;&lt;wsp:rsid wsp:val=&quot;00E237B6&quot;/&gt;&lt;wsp:rsid wsp:val=&quot;00E238DE&quot;/&gt;&lt;wsp:rsid wsp:val=&quot;00E23CC0&quot;/&gt;&lt;wsp:rsid wsp:val=&quot;00E24A62&quot;/&gt;&lt;wsp:rsid wsp:val=&quot;00E24B9B&quot;/&gt;&lt;wsp:rsid wsp:val=&quot;00E24BEA&quot;/&gt;&lt;wsp:rsid wsp:val=&quot;00E24E54&quot;/&gt;&lt;wsp:rsid wsp:val=&quot;00E24EDA&quot;/&gt;&lt;wsp:rsid wsp:val=&quot;00E25072&quot;/&gt;&lt;wsp:rsid wsp:val=&quot;00E25593&quot;/&gt;&lt;wsp:rsid wsp:val=&quot;00E25888&quot;/&gt;&lt;wsp:rsid wsp:val=&quot;00E25E6C&quot;/&gt;&lt;wsp:rsid wsp:val=&quot;00E25E82&quot;/&gt;&lt;wsp:rsid wsp:val=&quot;00E25EB6&quot;/&gt;&lt;wsp:rsid wsp:val=&quot;00E25FFA&quot;/&gt;&lt;wsp:rsid wsp:val=&quot;00E26226&quot;/&gt;&lt;wsp:rsid wsp:val=&quot;00E264E6&quot;/&gt;&lt;wsp:rsid wsp:val=&quot;00E26C3F&quot;/&gt;&lt;wsp:rsid wsp:val=&quot;00E2702B&quot;/&gt;&lt;wsp:rsid wsp:val=&quot;00E271D3&quot;/&gt;&lt;wsp:rsid wsp:val=&quot;00E27479&quot;/&gt;&lt;wsp:rsid wsp:val=&quot;00E30596&quot;/&gt;&lt;wsp:rsid wsp:val=&quot;00E306C3&quot;/&gt;&lt;wsp:rsid wsp:val=&quot;00E307C6&quot;/&gt;&lt;wsp:rsid wsp:val=&quot;00E30AFB&quot;/&gt;&lt;wsp:rsid wsp:val=&quot;00E30BAF&quot;/&gt;&lt;wsp:rsid wsp:val=&quot;00E31856&quot;/&gt;&lt;wsp:rsid wsp:val=&quot;00E31C9C&quot;/&gt;&lt;wsp:rsid wsp:val=&quot;00E31F8E&quot;/&gt;&lt;wsp:rsid wsp:val=&quot;00E3221D&quot;/&gt;&lt;wsp:rsid wsp:val=&quot;00E326FD&quot;/&gt;&lt;wsp:rsid wsp:val=&quot;00E32CF9&quot;/&gt;&lt;wsp:rsid wsp:val=&quot;00E32FF4&quot;/&gt;&lt;wsp:rsid wsp:val=&quot;00E33143&quot;/&gt;&lt;wsp:rsid wsp:val=&quot;00E33356&quot;/&gt;&lt;wsp:rsid wsp:val=&quot;00E3397C&quot;/&gt;&lt;wsp:rsid wsp:val=&quot;00E33D42&quot;/&gt;&lt;wsp:rsid wsp:val=&quot;00E343CE&quot;/&gt;&lt;wsp:rsid wsp:val=&quot;00E344DA&quot;/&gt;&lt;wsp:rsid wsp:val=&quot;00E3491A&quot;/&gt;&lt;wsp:rsid wsp:val=&quot;00E349B8&quot;/&gt;&lt;wsp:rsid wsp:val=&quot;00E34CA7&quot;/&gt;&lt;wsp:rsid wsp:val=&quot;00E352F7&quot;/&gt;&lt;wsp:rsid wsp:val=&quot;00E353D9&quot;/&gt;&lt;wsp:rsid wsp:val=&quot;00E35D66&quot;/&gt;&lt;wsp:rsid wsp:val=&quot;00E35E4B&quot;/&gt;&lt;wsp:rsid wsp:val=&quot;00E360FF&quot;/&gt;&lt;wsp:rsid wsp:val=&quot;00E3611C&quot;/&gt;&lt;wsp:rsid wsp:val=&quot;00E36230&quot;/&gt;&lt;wsp:rsid wsp:val=&quot;00E3631E&quot;/&gt;&lt;wsp:rsid wsp:val=&quot;00E368E4&quot;/&gt;&lt;wsp:rsid wsp:val=&quot;00E36976&quot;/&gt;&lt;wsp:rsid wsp:val=&quot;00E36BAA&quot;/&gt;&lt;wsp:rsid wsp:val=&quot;00E36CFB&quot;/&gt;&lt;wsp:rsid wsp:val=&quot;00E36D5C&quot;/&gt;&lt;wsp:rsid wsp:val=&quot;00E3715C&quot;/&gt;&lt;wsp:rsid wsp:val=&quot;00E37189&quot;/&gt;&lt;wsp:rsid wsp:val=&quot;00E371DE&quot;/&gt;&lt;wsp:rsid wsp:val=&quot;00E375F3&quot;/&gt;&lt;wsp:rsid wsp:val=&quot;00E376AB&quot;/&gt;&lt;wsp:rsid wsp:val=&quot;00E379D1&quot;/&gt;&lt;wsp:rsid wsp:val=&quot;00E37EC0&quot;/&gt;&lt;wsp:rsid wsp:val=&quot;00E408A8&quot;/&gt;&lt;wsp:rsid wsp:val=&quot;00E40E8C&quot;/&gt;&lt;wsp:rsid wsp:val=&quot;00E41B1C&quot;/&gt;&lt;wsp:rsid wsp:val=&quot;00E41C61&quot;/&gt;&lt;wsp:rsid wsp:val=&quot;00E41C86&quot;/&gt;&lt;wsp:rsid wsp:val=&quot;00E42244&quot;/&gt;&lt;wsp:rsid wsp:val=&quot;00E4230D&quot;/&gt;&lt;wsp:rsid wsp:val=&quot;00E42425&quot;/&gt;&lt;wsp:rsid wsp:val=&quot;00E4251A&quot;/&gt;&lt;wsp:rsid wsp:val=&quot;00E42B3F&quot;/&gt;&lt;wsp:rsid wsp:val=&quot;00E42F92&quot;/&gt;&lt;wsp:rsid wsp:val=&quot;00E4306E&quot;/&gt;&lt;wsp:rsid wsp:val=&quot;00E43143&quot;/&gt;&lt;wsp:rsid wsp:val=&quot;00E4319B&quot;/&gt;&lt;wsp:rsid wsp:val=&quot;00E431C0&quot;/&gt;&lt;wsp:rsid wsp:val=&quot;00E435DB&quot;/&gt;&lt;wsp:rsid wsp:val=&quot;00E438F3&quot;/&gt;&lt;wsp:rsid wsp:val=&quot;00E43E10&quot;/&gt;&lt;wsp:rsid wsp:val=&quot;00E44403&quot;/&gt;&lt;wsp:rsid wsp:val=&quot;00E4459E&quot;/&gt;&lt;wsp:rsid wsp:val=&quot;00E44B2F&quot;/&gt;&lt;wsp:rsid wsp:val=&quot;00E44BB0&quot;/&gt;&lt;wsp:rsid wsp:val=&quot;00E44BD4&quot;/&gt;&lt;wsp:rsid wsp:val=&quot;00E44E92&quot;/&gt;&lt;wsp:rsid wsp:val=&quot;00E44F03&quot;/&gt;&lt;wsp:rsid wsp:val=&quot;00E4550C&quot;/&gt;&lt;wsp:rsid wsp:val=&quot;00E455FF&quot;/&gt;&lt;wsp:rsid wsp:val=&quot;00E45677&quot;/&gt;&lt;wsp:rsid wsp:val=&quot;00E4598D&quot;/&gt;&lt;wsp:rsid wsp:val=&quot;00E45A35&quot;/&gt;&lt;wsp:rsid wsp:val=&quot;00E45E51&quot;/&gt;&lt;wsp:rsid wsp:val=&quot;00E46055&quot;/&gt;&lt;wsp:rsid wsp:val=&quot;00E46079&quot;/&gt;&lt;wsp:rsid wsp:val=&quot;00E46636&quot;/&gt;&lt;wsp:rsid wsp:val=&quot;00E467B0&quot;/&gt;&lt;wsp:rsid wsp:val=&quot;00E46983&quot;/&gt;&lt;wsp:rsid wsp:val=&quot;00E47160&quot;/&gt;&lt;wsp:rsid wsp:val=&quot;00E47596&quot;/&gt;&lt;wsp:rsid wsp:val=&quot;00E4778B&quot;/&gt;&lt;wsp:rsid wsp:val=&quot;00E47A0A&quot;/&gt;&lt;wsp:rsid wsp:val=&quot;00E5045D&quot;/&gt;&lt;wsp:rsid wsp:val=&quot;00E5056B&quot;/&gt;&lt;wsp:rsid wsp:val=&quot;00E50844&quot;/&gt;&lt;wsp:rsid wsp:val=&quot;00E50CB4&quot;/&gt;&lt;wsp:rsid wsp:val=&quot;00E50F14&quot;/&gt;&lt;wsp:rsid wsp:val=&quot;00E5122B&quot;/&gt;&lt;wsp:rsid wsp:val=&quot;00E5129B&quot;/&gt;&lt;wsp:rsid wsp:val=&quot;00E513EC&quot;/&gt;&lt;wsp:rsid wsp:val=&quot;00E51579&quot;/&gt;&lt;wsp:rsid wsp:val=&quot;00E51952&quot;/&gt;&lt;wsp:rsid wsp:val=&quot;00E51B97&quot;/&gt;&lt;wsp:rsid wsp:val=&quot;00E51E7C&quot;/&gt;&lt;wsp:rsid wsp:val=&quot;00E51FD7&quot;/&gt;&lt;wsp:rsid wsp:val=&quot;00E5213D&quot;/&gt;&lt;wsp:rsid wsp:val=&quot;00E5219B&quot;/&gt;&lt;wsp:rsid wsp:val=&quot;00E521BE&quot;/&gt;&lt;wsp:rsid wsp:val=&quot;00E52552&quot;/&gt;&lt;wsp:rsid wsp:val=&quot;00E52B77&quot;/&gt;&lt;wsp:rsid wsp:val=&quot;00E52F14&quot;/&gt;&lt;wsp:rsid wsp:val=&quot;00E5310C&quot;/&gt;&lt;wsp:rsid wsp:val=&quot;00E53438&quot;/&gt;&lt;wsp:rsid wsp:val=&quot;00E54149&quot;/&gt;&lt;wsp:rsid wsp:val=&quot;00E546C4&quot;/&gt;&lt;wsp:rsid wsp:val=&quot;00E548E2&quot;/&gt;&lt;wsp:rsid wsp:val=&quot;00E54DE3&quot;/&gt;&lt;wsp:rsid wsp:val=&quot;00E54F4D&quot;/&gt;&lt;wsp:rsid wsp:val=&quot;00E55287&quot;/&gt;&lt;wsp:rsid wsp:val=&quot;00E55299&quot;/&gt;&lt;wsp:rsid wsp:val=&quot;00E55714&quot;/&gt;&lt;wsp:rsid wsp:val=&quot;00E55985&quot;/&gt;&lt;wsp:rsid wsp:val=&quot;00E55B0C&quot;/&gt;&lt;wsp:rsid wsp:val=&quot;00E55F2F&quot;/&gt;&lt;wsp:rsid wsp:val=&quot;00E560A8&quot;/&gt;&lt;wsp:rsid wsp:val=&quot;00E56390&quot;/&gt;&lt;wsp:rsid wsp:val=&quot;00E56D0D&quot;/&gt;&lt;wsp:rsid wsp:val=&quot;00E572E9&quot;/&gt;&lt;wsp:rsid wsp:val=&quot;00E574AC&quot;/&gt;&lt;wsp:rsid wsp:val=&quot;00E57956&quot;/&gt;&lt;wsp:rsid wsp:val=&quot;00E57C5D&quot;/&gt;&lt;wsp:rsid wsp:val=&quot;00E6016A&quot;/&gt;&lt;wsp:rsid wsp:val=&quot;00E605E6&quot;/&gt;&lt;wsp:rsid wsp:val=&quot;00E60873&quot;/&gt;&lt;wsp:rsid wsp:val=&quot;00E6090C&quot;/&gt;&lt;wsp:rsid wsp:val=&quot;00E609AB&quot;/&gt;&lt;wsp:rsid wsp:val=&quot;00E60BB3&quot;/&gt;&lt;wsp:rsid wsp:val=&quot;00E6105C&quot;/&gt;&lt;wsp:rsid wsp:val=&quot;00E61077&quot;/&gt;&lt;wsp:rsid wsp:val=&quot;00E6123A&quot;/&gt;&lt;wsp:rsid wsp:val=&quot;00E6126C&quot;/&gt;&lt;wsp:rsid wsp:val=&quot;00E614BD&quot;/&gt;&lt;wsp:rsid wsp:val=&quot;00E61CE1&quot;/&gt;&lt;wsp:rsid wsp:val=&quot;00E61EF0&quot;/&gt;&lt;wsp:rsid wsp:val=&quot;00E61F27&quot;/&gt;&lt;wsp:rsid wsp:val=&quot;00E624E9&quot;/&gt;&lt;wsp:rsid wsp:val=&quot;00E6252C&quot;/&gt;&lt;wsp:rsid wsp:val=&quot;00E62570&quot;/&gt;&lt;wsp:rsid wsp:val=&quot;00E629E2&quot;/&gt;&lt;wsp:rsid wsp:val=&quot;00E63481&quot;/&gt;&lt;wsp:rsid wsp:val=&quot;00E63590&quot;/&gt;&lt;wsp:rsid wsp:val=&quot;00E63907&quot;/&gt;&lt;wsp:rsid wsp:val=&quot;00E63A14&quot;/&gt;&lt;wsp:rsid wsp:val=&quot;00E63A34&quot;/&gt;&lt;wsp:rsid wsp:val=&quot;00E63B2E&quot;/&gt;&lt;wsp:rsid wsp:val=&quot;00E646AD&quot;/&gt;&lt;wsp:rsid wsp:val=&quot;00E6471A&quot;/&gt;&lt;wsp:rsid wsp:val=&quot;00E64A13&quot;/&gt;&lt;wsp:rsid wsp:val=&quot;00E64A84&quot;/&gt;&lt;wsp:rsid wsp:val=&quot;00E64B4F&quot;/&gt;&lt;wsp:rsid wsp:val=&quot;00E64D9B&quot;/&gt;&lt;wsp:rsid wsp:val=&quot;00E64F93&quot;/&gt;&lt;wsp:rsid wsp:val=&quot;00E651D6&quot;/&gt;&lt;wsp:rsid wsp:val=&quot;00E654FC&quot;/&gt;&lt;wsp:rsid wsp:val=&quot;00E65612&quot;/&gt;&lt;wsp:rsid wsp:val=&quot;00E65743&quot;/&gt;&lt;wsp:rsid wsp:val=&quot;00E6581C&quot;/&gt;&lt;wsp:rsid wsp:val=&quot;00E65BBB&quot;/&gt;&lt;wsp:rsid wsp:val=&quot;00E65C3D&quot;/&gt;&lt;wsp:rsid wsp:val=&quot;00E6616C&quot;/&gt;&lt;wsp:rsid wsp:val=&quot;00E6643A&quot;/&gt;&lt;wsp:rsid wsp:val=&quot;00E66695&quot;/&gt;&lt;wsp:rsid wsp:val=&quot;00E66A8E&quot;/&gt;&lt;wsp:rsid wsp:val=&quot;00E66B7D&quot;/&gt;&lt;wsp:rsid wsp:val=&quot;00E66D4C&quot;/&gt;&lt;wsp:rsid wsp:val=&quot;00E66D4D&quot;/&gt;&lt;wsp:rsid wsp:val=&quot;00E66E8A&quot;/&gt;&lt;wsp:rsid wsp:val=&quot;00E6750E&quot;/&gt;&lt;wsp:rsid wsp:val=&quot;00E6759D&quot;/&gt;&lt;wsp:rsid wsp:val=&quot;00E6772B&quot;/&gt;&lt;wsp:rsid wsp:val=&quot;00E678F9&quot;/&gt;&lt;wsp:rsid wsp:val=&quot;00E67B4B&quot;/&gt;&lt;wsp:rsid wsp:val=&quot;00E7000C&quot;/&gt;&lt;wsp:rsid wsp:val=&quot;00E706FA&quot;/&gt;&lt;wsp:rsid wsp:val=&quot;00E707F8&quot;/&gt;&lt;wsp:rsid wsp:val=&quot;00E713E0&quot;/&gt;&lt;wsp:rsid wsp:val=&quot;00E7152F&quot;/&gt;&lt;wsp:rsid wsp:val=&quot;00E71D13&quot;/&gt;&lt;wsp:rsid wsp:val=&quot;00E71EA7&quot;/&gt;&lt;wsp:rsid wsp:val=&quot;00E7208C&quot;/&gt;&lt;wsp:rsid wsp:val=&quot;00E721CE&quot;/&gt;&lt;wsp:rsid wsp:val=&quot;00E7293A&quot;/&gt;&lt;wsp:rsid wsp:val=&quot;00E72DDA&quot;/&gt;&lt;wsp:rsid wsp:val=&quot;00E72F61&quot;/&gt;&lt;wsp:rsid wsp:val=&quot;00E73885&quot;/&gt;&lt;wsp:rsid wsp:val=&quot;00E73CA7&quot;/&gt;&lt;wsp:rsid wsp:val=&quot;00E742D9&quot;/&gt;&lt;wsp:rsid wsp:val=&quot;00E74854&quot;/&gt;&lt;wsp:rsid wsp:val=&quot;00E748FD&quot;/&gt;&lt;wsp:rsid wsp:val=&quot;00E74DF5&quot;/&gt;&lt;wsp:rsid wsp:val=&quot;00E74ECB&quot;/&gt;&lt;wsp:rsid wsp:val=&quot;00E75347&quot;/&gt;&lt;wsp:rsid wsp:val=&quot;00E75766&quot;/&gt;&lt;wsp:rsid wsp:val=&quot;00E75AF9&quot;/&gt;&lt;wsp:rsid wsp:val=&quot;00E75B4C&quot;/&gt;&lt;wsp:rsid wsp:val=&quot;00E75BC5&quot;/&gt;&lt;wsp:rsid wsp:val=&quot;00E75C95&quot;/&gt;&lt;wsp:rsid wsp:val=&quot;00E76086&quot;/&gt;&lt;wsp:rsid wsp:val=&quot;00E763C9&quot;/&gt;&lt;wsp:rsid wsp:val=&quot;00E76AB5&quot;/&gt;&lt;wsp:rsid wsp:val=&quot;00E76BB2&quot;/&gt;&lt;wsp:rsid wsp:val=&quot;00E76E06&quot;/&gt;&lt;wsp:rsid wsp:val=&quot;00E775A5&quot;/&gt;&lt;wsp:rsid wsp:val=&quot;00E77BBA&quot;/&gt;&lt;wsp:rsid wsp:val=&quot;00E77D22&quot;/&gt;&lt;wsp:rsid wsp:val=&quot;00E77F4D&quot;/&gt;&lt;wsp:rsid wsp:val=&quot;00E8009A&quot;/&gt;&lt;wsp:rsid wsp:val=&quot;00E8096C&quot;/&gt;&lt;wsp:rsid wsp:val=&quot;00E814AB&quot;/&gt;&lt;wsp:rsid wsp:val=&quot;00E81E23&quot;/&gt;&lt;wsp:rsid wsp:val=&quot;00E81EE8&quot;/&gt;&lt;wsp:rsid wsp:val=&quot;00E821AE&quot;/&gt;&lt;wsp:rsid wsp:val=&quot;00E82D72&quot;/&gt;&lt;wsp:rsid wsp:val=&quot;00E832EF&quot;/&gt;&lt;wsp:rsid wsp:val=&quot;00E8379A&quot;/&gt;&lt;wsp:rsid wsp:val=&quot;00E83D45&quot;/&gt;&lt;wsp:rsid wsp:val=&quot;00E842A7&quot;/&gt;&lt;wsp:rsid wsp:val=&quot;00E84ACA&quot;/&gt;&lt;wsp:rsid wsp:val=&quot;00E84CA0&quot;/&gt;&lt;wsp:rsid wsp:val=&quot;00E84CA5&quot;/&gt;&lt;wsp:rsid wsp:val=&quot;00E851D6&quot;/&gt;&lt;wsp:rsid wsp:val=&quot;00E85474&quot;/&gt;&lt;wsp:rsid wsp:val=&quot;00E857D7&quot;/&gt;&lt;wsp:rsid wsp:val=&quot;00E85B41&quot;/&gt;&lt;wsp:rsid wsp:val=&quot;00E85F55&quot;/&gt;&lt;wsp:rsid wsp:val=&quot;00E85FC7&quot;/&gt;&lt;wsp:rsid wsp:val=&quot;00E86086&quot;/&gt;&lt;wsp:rsid wsp:val=&quot;00E86E29&quot;/&gt;&lt;wsp:rsid wsp:val=&quot;00E8751B&quot;/&gt;&lt;wsp:rsid wsp:val=&quot;00E87611&quot;/&gt;&lt;wsp:rsid wsp:val=&quot;00E87F79&quot;/&gt;&lt;wsp:rsid wsp:val=&quot;00E904CE&quot;/&gt;&lt;wsp:rsid wsp:val=&quot;00E90538&quot;/&gt;&lt;wsp:rsid wsp:val=&quot;00E90753&quot;/&gt;&lt;wsp:rsid wsp:val=&quot;00E91093&quot;/&gt;&lt;wsp:rsid wsp:val=&quot;00E910EC&quot;/&gt;&lt;wsp:rsid wsp:val=&quot;00E91341&quot;/&gt;&lt;wsp:rsid wsp:val=&quot;00E91899&quot;/&gt;&lt;wsp:rsid wsp:val=&quot;00E9205E&quot;/&gt;&lt;wsp:rsid wsp:val=&quot;00E921A2&quot;/&gt;&lt;wsp:rsid wsp:val=&quot;00E924FF&quot;/&gt;&lt;wsp:rsid wsp:val=&quot;00E932F1&quot;/&gt;&lt;wsp:rsid wsp:val=&quot;00E939CA&quot;/&gt;&lt;wsp:rsid wsp:val=&quot;00E93C91&quot;/&gt;&lt;wsp:rsid wsp:val=&quot;00E93F4B&quot;/&gt;&lt;wsp:rsid wsp:val=&quot;00E941EC&quot;/&gt;&lt;wsp:rsid wsp:val=&quot;00E94910&quot;/&gt;&lt;wsp:rsid wsp:val=&quot;00E94B53&quot;/&gt;&lt;wsp:rsid wsp:val=&quot;00E94DCE&quot;/&gt;&lt;wsp:rsid wsp:val=&quot;00E94DFA&quot;/&gt;&lt;wsp:rsid wsp:val=&quot;00E94E86&quot;/&gt;&lt;wsp:rsid wsp:val=&quot;00E9518C&quot;/&gt;&lt;wsp:rsid wsp:val=&quot;00E951C0&quot;/&gt;&lt;wsp:rsid wsp:val=&quot;00E952A0&quot;/&gt;&lt;wsp:rsid wsp:val=&quot;00E95571&quot;/&gt;&lt;wsp:rsid wsp:val=&quot;00E955EA&quot;/&gt;&lt;wsp:rsid wsp:val=&quot;00E960BD&quot;/&gt;&lt;wsp:rsid wsp:val=&quot;00E964D1&quot;/&gt;&lt;wsp:rsid wsp:val=&quot;00E96552&quot;/&gt;&lt;wsp:rsid wsp:val=&quot;00E96B7A&quot;/&gt;&lt;wsp:rsid wsp:val=&quot;00E96F4E&quot;/&gt;&lt;wsp:rsid wsp:val=&quot;00E97B42&quot;/&gt;&lt;wsp:rsid wsp:val=&quot;00E97EB7&quot;/&gt;&lt;wsp:rsid wsp:val=&quot;00EA008A&quot;/&gt;&lt;wsp:rsid wsp:val=&quot;00EA0622&quot;/&gt;&lt;wsp:rsid wsp:val=&quot;00EA0A20&quot;/&gt;&lt;wsp:rsid wsp:val=&quot;00EA0A62&quot;/&gt;&lt;wsp:rsid wsp:val=&quot;00EA0A7C&quot;/&gt;&lt;wsp:rsid wsp:val=&quot;00EA0C0E&quot;/&gt;&lt;wsp:rsid wsp:val=&quot;00EA0FB2&quot;/&gt;&lt;wsp:rsid wsp:val=&quot;00EA11C8&quot;/&gt;&lt;wsp:rsid wsp:val=&quot;00EA1508&quot;/&gt;&lt;wsp:rsid wsp:val=&quot;00EA16F8&quot;/&gt;&lt;wsp:rsid wsp:val=&quot;00EA1920&quot;/&gt;&lt;wsp:rsid wsp:val=&quot;00EA1B80&quot;/&gt;&lt;wsp:rsid wsp:val=&quot;00EA1CCE&quot;/&gt;&lt;wsp:rsid wsp:val=&quot;00EA1D6D&quot;/&gt;&lt;wsp:rsid wsp:val=&quot;00EA1DB9&quot;/&gt;&lt;wsp:rsid wsp:val=&quot;00EA2EED&quot;/&gt;&lt;wsp:rsid wsp:val=&quot;00EA3084&quot;/&gt;&lt;wsp:rsid wsp:val=&quot;00EA3C9C&quot;/&gt;&lt;wsp:rsid wsp:val=&quot;00EA3EAD&quot;/&gt;&lt;wsp:rsid wsp:val=&quot;00EA3ECD&quot;/&gt;&lt;wsp:rsid wsp:val=&quot;00EA46CB&quot;/&gt;&lt;wsp:rsid wsp:val=&quot;00EA4758&quot;/&gt;&lt;wsp:rsid wsp:val=&quot;00EA47F2&quot;/&gt;&lt;wsp:rsid wsp:val=&quot;00EA4A67&quot;/&gt;&lt;wsp:rsid wsp:val=&quot;00EA4D1B&quot;/&gt;&lt;wsp:rsid wsp:val=&quot;00EA4F72&quot;/&gt;&lt;wsp:rsid wsp:val=&quot;00EA53C1&quot;/&gt;&lt;wsp:rsid wsp:val=&quot;00EA57CD&quot;/&gt;&lt;wsp:rsid wsp:val=&quot;00EA5AB4&quot;/&gt;&lt;wsp:rsid wsp:val=&quot;00EA5B0F&quot;/&gt;&lt;wsp:rsid wsp:val=&quot;00EA6801&quot;/&gt;&lt;wsp:rsid wsp:val=&quot;00EA682A&quot;/&gt;&lt;wsp:rsid wsp:val=&quot;00EA72CD&quot;/&gt;&lt;wsp:rsid wsp:val=&quot;00EA740E&quot;/&gt;&lt;wsp:rsid wsp:val=&quot;00EA7C1D&quot;/&gt;&lt;wsp:rsid wsp:val=&quot;00EA7E2B&quot;/&gt;&lt;wsp:rsid wsp:val=&quot;00EB0220&quot;/&gt;&lt;wsp:rsid wsp:val=&quot;00EB03FF&quot;/&gt;&lt;wsp:rsid wsp:val=&quot;00EB048D&quot;/&gt;&lt;wsp:rsid wsp:val=&quot;00EB051C&quot;/&gt;&lt;wsp:rsid wsp:val=&quot;00EB13F2&quot;/&gt;&lt;wsp:rsid wsp:val=&quot;00EB1444&quot;/&gt;&lt;wsp:rsid wsp:val=&quot;00EB1A6B&quot;/&gt;&lt;wsp:rsid wsp:val=&quot;00EB2F23&quot;/&gt;&lt;wsp:rsid wsp:val=&quot;00EB3208&quot;/&gt;&lt;wsp:rsid wsp:val=&quot;00EB3D15&quot;/&gt;&lt;wsp:rsid wsp:val=&quot;00EB3D97&quot;/&gt;&lt;wsp:rsid wsp:val=&quot;00EB42BA&quot;/&gt;&lt;wsp:rsid wsp:val=&quot;00EB434F&quot;/&gt;&lt;wsp:rsid wsp:val=&quot;00EB43DE&quot;/&gt;&lt;wsp:rsid wsp:val=&quot;00EB46C9&quot;/&gt;&lt;wsp:rsid wsp:val=&quot;00EB55FB&quot;/&gt;&lt;wsp:rsid wsp:val=&quot;00EB5B27&quot;/&gt;&lt;wsp:rsid wsp:val=&quot;00EB5CD1&quot;/&gt;&lt;wsp:rsid wsp:val=&quot;00EB5EE6&quot;/&gt;&lt;wsp:rsid wsp:val=&quot;00EB6FD3&quot;/&gt;&lt;wsp:rsid wsp:val=&quot;00EB7AC5&quot;/&gt;&lt;wsp:rsid wsp:val=&quot;00EC03A0&quot;/&gt;&lt;wsp:rsid wsp:val=&quot;00EC042C&quot;/&gt;&lt;wsp:rsid wsp:val=&quot;00EC05FB&quot;/&gt;&lt;wsp:rsid wsp:val=&quot;00EC09D2&quot;/&gt;&lt;wsp:rsid wsp:val=&quot;00EC0BB0&quot;/&gt;&lt;wsp:rsid wsp:val=&quot;00EC0D7E&quot;/&gt;&lt;wsp:rsid wsp:val=&quot;00EC0F4A&quot;/&gt;&lt;wsp:rsid wsp:val=&quot;00EC166D&quot;/&gt;&lt;wsp:rsid wsp:val=&quot;00EC1C8B&quot;/&gt;&lt;wsp:rsid wsp:val=&quot;00EC2080&quot;/&gt;&lt;wsp:rsid wsp:val=&quot;00EC209C&quot;/&gt;&lt;wsp:rsid wsp:val=&quot;00EC20D6&quot;/&gt;&lt;wsp:rsid wsp:val=&quot;00EC226E&quot;/&gt;&lt;wsp:rsid wsp:val=&quot;00EC2273&quot;/&gt;&lt;wsp:rsid wsp:val=&quot;00EC24D4&quot;/&gt;&lt;wsp:rsid wsp:val=&quot;00EC254D&quot;/&gt;&lt;wsp:rsid wsp:val=&quot;00EC25D1&quot;/&gt;&lt;wsp:rsid wsp:val=&quot;00EC26F3&quot;/&gt;&lt;wsp:rsid wsp:val=&quot;00EC28C1&quot;/&gt;&lt;wsp:rsid wsp:val=&quot;00EC2B08&quot;/&gt;&lt;wsp:rsid wsp:val=&quot;00EC2B9B&quot;/&gt;&lt;wsp:rsid wsp:val=&quot;00EC2D59&quot;/&gt;&lt;wsp:rsid wsp:val=&quot;00EC2FC8&quot;/&gt;&lt;wsp:rsid wsp:val=&quot;00EC2FF7&quot;/&gt;&lt;wsp:rsid wsp:val=&quot;00EC35E1&quot;/&gt;&lt;wsp:rsid wsp:val=&quot;00EC3CA8&quot;/&gt;&lt;wsp:rsid wsp:val=&quot;00EC3CC4&quot;/&gt;&lt;wsp:rsid wsp:val=&quot;00EC3EC4&quot;/&gt;&lt;wsp:rsid wsp:val=&quot;00EC41DD&quot;/&gt;&lt;wsp:rsid wsp:val=&quot;00EC4332&quot;/&gt;&lt;wsp:rsid wsp:val=&quot;00EC43A5&quot;/&gt;&lt;wsp:rsid wsp:val=&quot;00EC43C6&quot;/&gt;&lt;wsp:rsid wsp:val=&quot;00EC453F&quot;/&gt;&lt;wsp:rsid wsp:val=&quot;00EC4945&quot;/&gt;&lt;wsp:rsid wsp:val=&quot;00EC4BB0&quot;/&gt;&lt;wsp:rsid wsp:val=&quot;00EC4C52&quot;/&gt;&lt;wsp:rsid wsp:val=&quot;00EC4D27&quot;/&gt;&lt;wsp:rsid wsp:val=&quot;00EC4F43&quot;/&gt;&lt;wsp:rsid wsp:val=&quot;00EC5044&quot;/&gt;&lt;wsp:rsid wsp:val=&quot;00EC5293&quot;/&gt;&lt;wsp:rsid wsp:val=&quot;00EC52D4&quot;/&gt;&lt;wsp:rsid wsp:val=&quot;00EC53D6&quot;/&gt;&lt;wsp:rsid wsp:val=&quot;00EC5570&quot;/&gt;&lt;wsp:rsid wsp:val=&quot;00EC5578&quot;/&gt;&lt;wsp:rsid wsp:val=&quot;00EC56B2&quot;/&gt;&lt;wsp:rsid wsp:val=&quot;00EC61BB&quot;/&gt;&lt;wsp:rsid wsp:val=&quot;00EC63AA&quot;/&gt;&lt;wsp:rsid wsp:val=&quot;00EC6858&quot;/&gt;&lt;wsp:rsid wsp:val=&quot;00EC7E56&quot;/&gt;&lt;wsp:rsid wsp:val=&quot;00ED047E&quot;/&gt;&lt;wsp:rsid wsp:val=&quot;00ED0561&quot;/&gt;&lt;wsp:rsid wsp:val=&quot;00ED0BA1&quot;/&gt;&lt;wsp:rsid wsp:val=&quot;00ED0BD8&quot;/&gt;&lt;wsp:rsid wsp:val=&quot;00ED1468&quot;/&gt;&lt;wsp:rsid wsp:val=&quot;00ED166F&quot;/&gt;&lt;wsp:rsid wsp:val=&quot;00ED17B3&quot;/&gt;&lt;wsp:rsid wsp:val=&quot;00ED1C2A&quot;/&gt;&lt;wsp:rsid wsp:val=&quot;00ED21DA&quot;/&gt;&lt;wsp:rsid wsp:val=&quot;00ED2269&quot;/&gt;&lt;wsp:rsid wsp:val=&quot;00ED2590&quot;/&gt;&lt;wsp:rsid wsp:val=&quot;00ED2734&quot;/&gt;&lt;wsp:rsid wsp:val=&quot;00ED2921&quot;/&gt;&lt;wsp:rsid wsp:val=&quot;00ED3167&quot;/&gt;&lt;wsp:rsid wsp:val=&quot;00ED35D4&quot;/&gt;&lt;wsp:rsid wsp:val=&quot;00ED3625&quot;/&gt;&lt;wsp:rsid wsp:val=&quot;00ED3641&quot;/&gt;&lt;wsp:rsid wsp:val=&quot;00ED3669&quot;/&gt;&lt;wsp:rsid wsp:val=&quot;00ED3815&quot;/&gt;&lt;wsp:rsid wsp:val=&quot;00ED3855&quot;/&gt;&lt;wsp:rsid wsp:val=&quot;00ED3DD5&quot;/&gt;&lt;wsp:rsid wsp:val=&quot;00ED4170&quot;/&gt;&lt;wsp:rsid wsp:val=&quot;00ED4A85&quot;/&gt;&lt;wsp:rsid wsp:val=&quot;00ED4C0F&quot;/&gt;&lt;wsp:rsid wsp:val=&quot;00ED4DF4&quot;/&gt;&lt;wsp:rsid wsp:val=&quot;00ED51D0&quot;/&gt;&lt;wsp:rsid wsp:val=&quot;00ED52CD&quot;/&gt;&lt;wsp:rsid wsp:val=&quot;00ED6325&quot;/&gt;&lt;wsp:rsid wsp:val=&quot;00ED6DD9&quot;/&gt;&lt;wsp:rsid wsp:val=&quot;00ED6DFA&quot;/&gt;&lt;wsp:rsid wsp:val=&quot;00ED7202&quot;/&gt;&lt;wsp:rsid wsp:val=&quot;00ED7278&quot;/&gt;&lt;wsp:rsid wsp:val=&quot;00ED77C7&quot;/&gt;&lt;wsp:rsid wsp:val=&quot;00ED79A5&quot;/&gt;&lt;wsp:rsid wsp:val=&quot;00ED79B9&quot;/&gt;&lt;wsp:rsid wsp:val=&quot;00ED7CE8&quot;/&gt;&lt;wsp:rsid wsp:val=&quot;00EE0012&quot;/&gt;&lt;wsp:rsid wsp:val=&quot;00EE0289&quot;/&gt;&lt;wsp:rsid wsp:val=&quot;00EE0771&quot;/&gt;&lt;wsp:rsid wsp:val=&quot;00EE0B99&quot;/&gt;&lt;wsp:rsid wsp:val=&quot;00EE1305&quot;/&gt;&lt;wsp:rsid wsp:val=&quot;00EE1534&quot;/&gt;&lt;wsp:rsid wsp:val=&quot;00EE170F&quot;/&gt;&lt;wsp:rsid wsp:val=&quot;00EE22B5&quot;/&gt;&lt;wsp:rsid wsp:val=&quot;00EE2F95&quot;/&gt;&lt;wsp:rsid wsp:val=&quot;00EE42B5&quot;/&gt;&lt;wsp:rsid wsp:val=&quot;00EE4B84&quot;/&gt;&lt;wsp:rsid wsp:val=&quot;00EE5377&quot;/&gt;&lt;wsp:rsid wsp:val=&quot;00EE54C8&quot;/&gt;&lt;wsp:rsid wsp:val=&quot;00EE560E&quot;/&gt;&lt;wsp:rsid wsp:val=&quot;00EE57F7&quot;/&gt;&lt;wsp:rsid wsp:val=&quot;00EE5ADB&quot;/&gt;&lt;wsp:rsid wsp:val=&quot;00EE5B70&quot;/&gt;&lt;wsp:rsid wsp:val=&quot;00EE5CA9&quot;/&gt;&lt;wsp:rsid wsp:val=&quot;00EE5D08&quot;/&gt;&lt;wsp:rsid wsp:val=&quot;00EE5E7A&quot;/&gt;&lt;wsp:rsid wsp:val=&quot;00EE6247&quot;/&gt;&lt;wsp:rsid wsp:val=&quot;00EE66E8&quot;/&gt;&lt;wsp:rsid wsp:val=&quot;00EE6794&quot;/&gt;&lt;wsp:rsid wsp:val=&quot;00EE6F09&quot;/&gt;&lt;wsp:rsid wsp:val=&quot;00EE703F&quot;/&gt;&lt;wsp:rsid wsp:val=&quot;00EE769A&quot;/&gt;&lt;wsp:rsid wsp:val=&quot;00EE7A07&quot;/&gt;&lt;wsp:rsid wsp:val=&quot;00EE7A8A&quot;/&gt;&lt;wsp:rsid wsp:val=&quot;00EE7B58&quot;/&gt;&lt;wsp:rsid wsp:val=&quot;00EE7C58&quot;/&gt;&lt;wsp:rsid wsp:val=&quot;00EE7D33&quot;/&gt;&lt;wsp:rsid wsp:val=&quot;00EF009B&quot;/&gt;&lt;wsp:rsid wsp:val=&quot;00EF05CB&quot;/&gt;&lt;wsp:rsid wsp:val=&quot;00EF0A27&quot;/&gt;&lt;wsp:rsid wsp:val=&quot;00EF0C5F&quot;/&gt;&lt;wsp:rsid wsp:val=&quot;00EF12B0&quot;/&gt;&lt;wsp:rsid wsp:val=&quot;00EF1519&quot;/&gt;&lt;wsp:rsid wsp:val=&quot;00EF1B12&quot;/&gt;&lt;wsp:rsid wsp:val=&quot;00EF22E0&quot;/&gt;&lt;wsp:rsid wsp:val=&quot;00EF2300&quot;/&gt;&lt;wsp:rsid wsp:val=&quot;00EF234D&quot;/&gt;&lt;wsp:rsid wsp:val=&quot;00EF2557&quot;/&gt;&lt;wsp:rsid wsp:val=&quot;00EF2C3F&quot;/&gt;&lt;wsp:rsid wsp:val=&quot;00EF30CB&quot;/&gt;&lt;wsp:rsid wsp:val=&quot;00EF3151&quot;/&gt;&lt;wsp:rsid wsp:val=&quot;00EF3173&quot;/&gt;&lt;wsp:rsid wsp:val=&quot;00EF331D&quot;/&gt;&lt;wsp:rsid wsp:val=&quot;00EF3355&quot;/&gt;&lt;wsp:rsid wsp:val=&quot;00EF3521&quot;/&gt;&lt;wsp:rsid wsp:val=&quot;00EF3AD9&quot;/&gt;&lt;wsp:rsid wsp:val=&quot;00EF3CC0&quot;/&gt;&lt;wsp:rsid wsp:val=&quot;00EF3D69&quot;/&gt;&lt;wsp:rsid wsp:val=&quot;00EF3E7F&quot;/&gt;&lt;wsp:rsid wsp:val=&quot;00EF3EE3&quot;/&gt;&lt;wsp:rsid wsp:val=&quot;00EF40AE&quot;/&gt;&lt;wsp:rsid wsp:val=&quot;00EF4228&quot;/&gt;&lt;wsp:rsid wsp:val=&quot;00EF4415&quot;/&gt;&lt;wsp:rsid wsp:val=&quot;00EF4AD3&quot;/&gt;&lt;wsp:rsid wsp:val=&quot;00EF4C3A&quot;/&gt;&lt;wsp:rsid wsp:val=&quot;00EF5180&quot;/&gt;&lt;wsp:rsid wsp:val=&quot;00EF5299&quot;/&gt;&lt;wsp:rsid wsp:val=&quot;00EF541D&quot;/&gt;&lt;wsp:rsid wsp:val=&quot;00EF5422&quot;/&gt;&lt;wsp:rsid wsp:val=&quot;00EF55FC&quot;/&gt;&lt;wsp:rsid wsp:val=&quot;00EF5804&quot;/&gt;&lt;wsp:rsid wsp:val=&quot;00EF59F0&quot;/&gt;&lt;wsp:rsid wsp:val=&quot;00EF5ECB&quot;/&gt;&lt;wsp:rsid wsp:val=&quot;00EF60E3&quot;/&gt;&lt;wsp:rsid wsp:val=&quot;00EF65E7&quot;/&gt;&lt;wsp:rsid wsp:val=&quot;00EF673E&quot;/&gt;&lt;wsp:rsid wsp:val=&quot;00EF678C&quot;/&gt;&lt;wsp:rsid wsp:val=&quot;00EF6B9A&quot;/&gt;&lt;wsp:rsid wsp:val=&quot;00EF70AF&quot;/&gt;&lt;wsp:rsid wsp:val=&quot;00EF7734&quot;/&gt;&lt;wsp:rsid wsp:val=&quot;00EF7A85&quot;/&gt;&lt;wsp:rsid wsp:val=&quot;00EF7DA7&quot;/&gt;&lt;wsp:rsid wsp:val=&quot;00EF7F6D&quot;/&gt;&lt;wsp:rsid wsp:val=&quot;00F0035F&quot;/&gt;&lt;wsp:rsid wsp:val=&quot;00F004A9&quot;/&gt;&lt;wsp:rsid wsp:val=&quot;00F0088E&quot;/&gt;&lt;wsp:rsid wsp:val=&quot;00F00996&quot;/&gt;&lt;wsp:rsid wsp:val=&quot;00F00F21&quot;/&gt;&lt;wsp:rsid wsp:val=&quot;00F0144B&quot;/&gt;&lt;wsp:rsid wsp:val=&quot;00F01C83&quot;/&gt;&lt;wsp:rsid wsp:val=&quot;00F01DFC&quot;/&gt;&lt;wsp:rsid wsp:val=&quot;00F01FD5&quot;/&gt;&lt;wsp:rsid wsp:val=&quot;00F02358&quot;/&gt;&lt;wsp:rsid wsp:val=&quot;00F02432&quot;/&gt;&lt;wsp:rsid wsp:val=&quot;00F02483&quot;/&gt;&lt;wsp:rsid wsp:val=&quot;00F025F2&quot;/&gt;&lt;wsp:rsid wsp:val=&quot;00F026D8&quot;/&gt;&lt;wsp:rsid wsp:val=&quot;00F02774&quot;/&gt;&lt;wsp:rsid wsp:val=&quot;00F027A9&quot;/&gt;&lt;wsp:rsid wsp:val=&quot;00F0286E&quot;/&gt;&lt;wsp:rsid wsp:val=&quot;00F02B1B&quot;/&gt;&lt;wsp:rsid wsp:val=&quot;00F02DD4&quot;/&gt;&lt;wsp:rsid wsp:val=&quot;00F02DEE&quot;/&gt;&lt;wsp:rsid wsp:val=&quot;00F0359C&quot;/&gt;&lt;wsp:rsid wsp:val=&quot;00F03916&quot;/&gt;&lt;wsp:rsid wsp:val=&quot;00F03B59&quot;/&gt;&lt;wsp:rsid wsp:val=&quot;00F045D3&quot;/&gt;&lt;wsp:rsid wsp:val=&quot;00F049A0&quot;/&gt;&lt;wsp:rsid wsp:val=&quot;00F04A75&quot;/&gt;&lt;wsp:rsid wsp:val=&quot;00F04BDD&quot;/&gt;&lt;wsp:rsid wsp:val=&quot;00F04E08&quot;/&gt;&lt;wsp:rsid wsp:val=&quot;00F054BD&quot;/&gt;&lt;wsp:rsid wsp:val=&quot;00F057FE&quot;/&gt;&lt;wsp:rsid wsp:val=&quot;00F05D3A&quot;/&gt;&lt;wsp:rsid wsp:val=&quot;00F05E2B&quot;/&gt;&lt;wsp:rsid wsp:val=&quot;00F06E64&quot;/&gt;&lt;wsp:rsid wsp:val=&quot;00F0727B&quot;/&gt;&lt;wsp:rsid wsp:val=&quot;00F074A9&quot;/&gt;&lt;wsp:rsid wsp:val=&quot;00F0755B&quot;/&gt;&lt;wsp:rsid wsp:val=&quot;00F07834&quot;/&gt;&lt;wsp:rsid wsp:val=&quot;00F07C3E&quot;/&gt;&lt;wsp:rsid wsp:val=&quot;00F07F57&quot;/&gt;&lt;wsp:rsid wsp:val=&quot;00F10726&quot;/&gt;&lt;wsp:rsid wsp:val=&quot;00F109A9&quot;/&gt;&lt;wsp:rsid wsp:val=&quot;00F11004&quot;/&gt;&lt;wsp:rsid wsp:val=&quot;00F1123F&quot;/&gt;&lt;wsp:rsid wsp:val=&quot;00F11260&quot;/&gt;&lt;wsp:rsid wsp:val=&quot;00F1126B&quot;/&gt;&lt;wsp:rsid wsp:val=&quot;00F11280&quot;/&gt;&lt;wsp:rsid wsp:val=&quot;00F11782&quot;/&gt;&lt;wsp:rsid wsp:val=&quot;00F11AA8&quot;/&gt;&lt;wsp:rsid wsp:val=&quot;00F11F8D&quot;/&gt;&lt;wsp:rsid wsp:val=&quot;00F12000&quot;/&gt;&lt;wsp:rsid wsp:val=&quot;00F1226F&quot;/&gt;&lt;wsp:rsid wsp:val=&quot;00F1245B&quot;/&gt;&lt;wsp:rsid wsp:val=&quot;00F12540&quot;/&gt;&lt;wsp:rsid wsp:val=&quot;00F1290E&quot;/&gt;&lt;wsp:rsid wsp:val=&quot;00F12BF6&quot;/&gt;&lt;wsp:rsid wsp:val=&quot;00F12F98&quot;/&gt;&lt;wsp:rsid wsp:val=&quot;00F13075&quot;/&gt;&lt;wsp:rsid wsp:val=&quot;00F132A2&quot;/&gt;&lt;wsp:rsid wsp:val=&quot;00F134AF&quot;/&gt;&lt;wsp:rsid wsp:val=&quot;00F13608&quot;/&gt;&lt;wsp:rsid wsp:val=&quot;00F13713&quot;/&gt;&lt;wsp:rsid wsp:val=&quot;00F13AB4&quot;/&gt;&lt;wsp:rsid wsp:val=&quot;00F13C47&quot;/&gt;&lt;wsp:rsid wsp:val=&quot;00F13DB9&quot;/&gt;&lt;wsp:rsid wsp:val=&quot;00F1491B&quot;/&gt;&lt;wsp:rsid wsp:val=&quot;00F14BE6&quot;/&gt;&lt;wsp:rsid wsp:val=&quot;00F153D9&quot;/&gt;&lt;wsp:rsid wsp:val=&quot;00F1544B&quot;/&gt;&lt;wsp:rsid wsp:val=&quot;00F15C05&quot;/&gt;&lt;wsp:rsid wsp:val=&quot;00F15C95&quot;/&gt;&lt;wsp:rsid wsp:val=&quot;00F15D94&quot;/&gt;&lt;wsp:rsid wsp:val=&quot;00F162B0&quot;/&gt;&lt;wsp:rsid wsp:val=&quot;00F16509&quot;/&gt;&lt;wsp:rsid wsp:val=&quot;00F165E8&quot;/&gt;&lt;wsp:rsid wsp:val=&quot;00F16982&quot;/&gt;&lt;wsp:rsid wsp:val=&quot;00F16BBE&quot;/&gt;&lt;wsp:rsid wsp:val=&quot;00F16BE5&quot;/&gt;&lt;wsp:rsid wsp:val=&quot;00F16E3B&quot;/&gt;&lt;wsp:rsid wsp:val=&quot;00F16EBC&quot;/&gt;&lt;wsp:rsid wsp:val=&quot;00F171E9&quot;/&gt;&lt;wsp:rsid wsp:val=&quot;00F17511&quot;/&gt;&lt;wsp:rsid wsp:val=&quot;00F17CED&quot;/&gt;&lt;wsp:rsid wsp:val=&quot;00F20399&quot;/&gt;&lt;wsp:rsid wsp:val=&quot;00F20586&quot;/&gt;&lt;wsp:rsid wsp:val=&quot;00F2069C&quot;/&gt;&lt;wsp:rsid wsp:val=&quot;00F20991&quot;/&gt;&lt;wsp:rsid wsp:val=&quot;00F209DC&quot;/&gt;&lt;wsp:rsid wsp:val=&quot;00F20B5D&quot;/&gt;&lt;wsp:rsid wsp:val=&quot;00F2119F&quot;/&gt;&lt;wsp:rsid wsp:val=&quot;00F214C8&quot;/&gt;&lt;wsp:rsid wsp:val=&quot;00F217BB&quot;/&gt;&lt;wsp:rsid wsp:val=&quot;00F21BB3&quot;/&gt;&lt;wsp:rsid wsp:val=&quot;00F220BD&quot;/&gt;&lt;wsp:rsid wsp:val=&quot;00F22245&quot;/&gt;&lt;wsp:rsid wsp:val=&quot;00F22432&quot;/&gt;&lt;wsp:rsid wsp:val=&quot;00F22D42&quot;/&gt;&lt;wsp:rsid wsp:val=&quot;00F22D63&quot;/&gt;&lt;wsp:rsid wsp:val=&quot;00F23926&quot;/&gt;&lt;wsp:rsid wsp:val=&quot;00F23988&quot;/&gt;&lt;wsp:rsid wsp:val=&quot;00F239DB&quot;/&gt;&lt;wsp:rsid wsp:val=&quot;00F248B6&quot;/&gt;&lt;wsp:rsid wsp:val=&quot;00F25BA1&quot;/&gt;&lt;wsp:rsid wsp:val=&quot;00F25F4F&quot;/&gt;&lt;wsp:rsid wsp:val=&quot;00F25F66&quot;/&gt;&lt;wsp:rsid wsp:val=&quot;00F26186&quot;/&gt;&lt;wsp:rsid wsp:val=&quot;00F26946&quot;/&gt;&lt;wsp:rsid wsp:val=&quot;00F2697D&quot;/&gt;&lt;wsp:rsid wsp:val=&quot;00F26E0B&quot;/&gt;&lt;wsp:rsid wsp:val=&quot;00F26FC9&quot;/&gt;&lt;wsp:rsid wsp:val=&quot;00F270EB&quot;/&gt;&lt;wsp:rsid wsp:val=&quot;00F276A7&quot;/&gt;&lt;wsp:rsid wsp:val=&quot;00F27FFC&quot;/&gt;&lt;wsp:rsid wsp:val=&quot;00F306BB&quot;/&gt;&lt;wsp:rsid wsp:val=&quot;00F30864&quot;/&gt;&lt;wsp:rsid wsp:val=&quot;00F30DB2&quot;/&gt;&lt;wsp:rsid wsp:val=&quot;00F30E0A&quot;/&gt;&lt;wsp:rsid wsp:val=&quot;00F30E1F&quot;/&gt;&lt;wsp:rsid wsp:val=&quot;00F30E53&quot;/&gt;&lt;wsp:rsid wsp:val=&quot;00F30ECA&quot;/&gt;&lt;wsp:rsid wsp:val=&quot;00F30F2F&quot;/&gt;&lt;wsp:rsid wsp:val=&quot;00F3114F&quot;/&gt;&lt;wsp:rsid wsp:val=&quot;00F31374&quot;/&gt;&lt;wsp:rsid wsp:val=&quot;00F31531&quot;/&gt;&lt;wsp:rsid wsp:val=&quot;00F315FD&quot;/&gt;&lt;wsp:rsid wsp:val=&quot;00F32CC9&quot;/&gt;&lt;wsp:rsid wsp:val=&quot;00F32D06&quot;/&gt;&lt;wsp:rsid wsp:val=&quot;00F32F61&quot;/&gt;&lt;wsp:rsid wsp:val=&quot;00F3306C&quot;/&gt;&lt;wsp:rsid wsp:val=&quot;00F330A7&quot;/&gt;&lt;wsp:rsid wsp:val=&quot;00F332C8&quot;/&gt;&lt;wsp:rsid wsp:val=&quot;00F334E2&quot;/&gt;&lt;wsp:rsid wsp:val=&quot;00F33D91&quot;/&gt;&lt;wsp:rsid wsp:val=&quot;00F3452C&quot;/&gt;&lt;wsp:rsid wsp:val=&quot;00F34EFB&quot;/&gt;&lt;wsp:rsid wsp:val=&quot;00F34F7B&quot;/&gt;&lt;wsp:rsid wsp:val=&quot;00F3510B&quot;/&gt;&lt;wsp:rsid wsp:val=&quot;00F35798&quot;/&gt;&lt;wsp:rsid wsp:val=&quot;00F36084&quot;/&gt;&lt;wsp:rsid wsp:val=&quot;00F36644&quot;/&gt;&lt;wsp:rsid wsp:val=&quot;00F3720A&quot;/&gt;&lt;wsp:rsid wsp:val=&quot;00F3737B&quot;/&gt;&lt;wsp:rsid wsp:val=&quot;00F3746E&quot;/&gt;&lt;wsp:rsid wsp:val=&quot;00F378D0&quot;/&gt;&lt;wsp:rsid wsp:val=&quot;00F4014F&quot;/&gt;&lt;wsp:rsid wsp:val=&quot;00F40169&quot;/&gt;&lt;wsp:rsid wsp:val=&quot;00F40E08&quot;/&gt;&lt;wsp:rsid wsp:val=&quot;00F40E6C&quot;/&gt;&lt;wsp:rsid wsp:val=&quot;00F41130&quot;/&gt;&lt;wsp:rsid wsp:val=&quot;00F41547&quot;/&gt;&lt;wsp:rsid wsp:val=&quot;00F41755&quot;/&gt;&lt;wsp:rsid wsp:val=&quot;00F41C49&quot;/&gt;&lt;wsp:rsid wsp:val=&quot;00F42189&quot;/&gt;&lt;wsp:rsid wsp:val=&quot;00F4257D&quot;/&gt;&lt;wsp:rsid wsp:val=&quot;00F425C6&quot;/&gt;&lt;wsp:rsid wsp:val=&quot;00F42938&quot;/&gt;&lt;wsp:rsid wsp:val=&quot;00F429A0&quot;/&gt;&lt;wsp:rsid wsp:val=&quot;00F42A33&quot;/&gt;&lt;wsp:rsid wsp:val=&quot;00F42D66&quot;/&gt;&lt;wsp:rsid wsp:val=&quot;00F4309F&quot;/&gt;&lt;wsp:rsid wsp:val=&quot;00F43281&quot;/&gt;&lt;wsp:rsid wsp:val=&quot;00F4349A&quot;/&gt;&lt;wsp:rsid wsp:val=&quot;00F435B7&quot;/&gt;&lt;wsp:rsid wsp:val=&quot;00F43749&quot;/&gt;&lt;wsp:rsid wsp:val=&quot;00F43B29&quot;/&gt;&lt;wsp:rsid wsp:val=&quot;00F44116&quot;/&gt;&lt;wsp:rsid wsp:val=&quot;00F4420F&quot;/&gt;&lt;wsp:rsid wsp:val=&quot;00F44464&quot;/&gt;&lt;wsp:rsid wsp:val=&quot;00F45A2D&quot;/&gt;&lt;wsp:rsid wsp:val=&quot;00F45B5C&quot;/&gt;&lt;wsp:rsid wsp:val=&quot;00F45E2F&quot;/&gt;&lt;wsp:rsid wsp:val=&quot;00F4666B&quot;/&gt;&lt;wsp:rsid wsp:val=&quot;00F468B3&quot;/&gt;&lt;wsp:rsid wsp:val=&quot;00F46947&quot;/&gt;&lt;wsp:rsid wsp:val=&quot;00F46BBC&quot;/&gt;&lt;wsp:rsid wsp:val=&quot;00F47164&quot;/&gt;&lt;wsp:rsid wsp:val=&quot;00F47605&quot;/&gt;&lt;wsp:rsid wsp:val=&quot;00F4791C&quot;/&gt;&lt;wsp:rsid wsp:val=&quot;00F50B49&quot;/&gt;&lt;wsp:rsid wsp:val=&quot;00F50BFE&quot;/&gt;&lt;wsp:rsid wsp:val=&quot;00F50CB7&quot;/&gt;&lt;wsp:rsid wsp:val=&quot;00F50D52&quot;/&gt;&lt;wsp:rsid wsp:val=&quot;00F50E3D&quot;/&gt;&lt;wsp:rsid wsp:val=&quot;00F510DF&quot;/&gt;&lt;wsp:rsid wsp:val=&quot;00F5130C&quot;/&gt;&lt;wsp:rsid wsp:val=&quot;00F515BE&quot;/&gt;&lt;wsp:rsid wsp:val=&quot;00F51774&quot;/&gt;&lt;wsp:rsid wsp:val=&quot;00F51AE6&quot;/&gt;&lt;wsp:rsid wsp:val=&quot;00F51CB1&quot;/&gt;&lt;wsp:rsid wsp:val=&quot;00F51E79&quot;/&gt;&lt;wsp:rsid wsp:val=&quot;00F51FFA&quot;/&gt;&lt;wsp:rsid wsp:val=&quot;00F52361&quot;/&gt;&lt;wsp:rsid wsp:val=&quot;00F524A7&quot;/&gt;&lt;wsp:rsid wsp:val=&quot;00F533D1&quot;/&gt;&lt;wsp:rsid wsp:val=&quot;00F534D4&quot;/&gt;&lt;wsp:rsid wsp:val=&quot;00F53523&quot;/&gt;&lt;wsp:rsid wsp:val=&quot;00F535F4&quot;/&gt;&lt;wsp:rsid wsp:val=&quot;00F53D3A&quot;/&gt;&lt;wsp:rsid wsp:val=&quot;00F53DD9&quot;/&gt;&lt;wsp:rsid wsp:val=&quot;00F54446&quot;/&gt;&lt;wsp:rsid wsp:val=&quot;00F5463A&quot;/&gt;&lt;wsp:rsid wsp:val=&quot;00F549C9&quot;/&gt;&lt;wsp:rsid wsp:val=&quot;00F54D7E&quot;/&gt;&lt;wsp:rsid wsp:val=&quot;00F54EF2&quot;/&gt;&lt;wsp:rsid wsp:val=&quot;00F553A0&quot;/&gt;&lt;wsp:rsid wsp:val=&quot;00F553F3&quot;/&gt;&lt;wsp:rsid wsp:val=&quot;00F55717&quot;/&gt;&lt;wsp:rsid wsp:val=&quot;00F557A0&quot;/&gt;&lt;wsp:rsid wsp:val=&quot;00F55827&quot;/&gt;&lt;wsp:rsid wsp:val=&quot;00F559F1&quot;/&gt;&lt;wsp:rsid wsp:val=&quot;00F55C4B&quot;/&gt;&lt;wsp:rsid wsp:val=&quot;00F56030&quot;/&gt;&lt;wsp:rsid wsp:val=&quot;00F56198&quot;/&gt;&lt;wsp:rsid wsp:val=&quot;00F56346&quot;/&gt;&lt;wsp:rsid wsp:val=&quot;00F56A8D&quot;/&gt;&lt;wsp:rsid wsp:val=&quot;00F56D1D&quot;/&gt;&lt;wsp:rsid wsp:val=&quot;00F56D8D&quot;/&gt;&lt;wsp:rsid wsp:val=&quot;00F56F57&quot;/&gt;&lt;wsp:rsid wsp:val=&quot;00F57A19&quot;/&gt;&lt;wsp:rsid wsp:val=&quot;00F57AD3&quot;/&gt;&lt;wsp:rsid wsp:val=&quot;00F57DBF&quot;/&gt;&lt;wsp:rsid wsp:val=&quot;00F60254&quot;/&gt;&lt;wsp:rsid wsp:val=&quot;00F60780&quot;/&gt;&lt;wsp:rsid wsp:val=&quot;00F610E2&quot;/&gt;&lt;wsp:rsid wsp:val=&quot;00F611C7&quot;/&gt;&lt;wsp:rsid wsp:val=&quot;00F61226&quot;/&gt;&lt;wsp:rsid wsp:val=&quot;00F614D7&quot;/&gt;&lt;wsp:rsid wsp:val=&quot;00F61649&quot;/&gt;&lt;wsp:rsid wsp:val=&quot;00F6170F&quot;/&gt;&lt;wsp:rsid wsp:val=&quot;00F61B5A&quot;/&gt;&lt;wsp:rsid wsp:val=&quot;00F61EF1&quot;/&gt;&lt;wsp:rsid wsp:val=&quot;00F6263C&quot;/&gt;&lt;wsp:rsid wsp:val=&quot;00F62D8E&quot;/&gt;&lt;wsp:rsid wsp:val=&quot;00F6324B&quot;/&gt;&lt;wsp:rsid wsp:val=&quot;00F632CF&quot;/&gt;&lt;wsp:rsid wsp:val=&quot;00F633DF&quot;/&gt;&lt;wsp:rsid wsp:val=&quot;00F635EB&quot;/&gt;&lt;wsp:rsid wsp:val=&quot;00F636D8&quot;/&gt;&lt;wsp:rsid wsp:val=&quot;00F63B09&quot;/&gt;&lt;wsp:rsid wsp:val=&quot;00F63CD5&quot;/&gt;&lt;wsp:rsid wsp:val=&quot;00F63D5A&quot;/&gt;&lt;wsp:rsid wsp:val=&quot;00F63D6F&quot;/&gt;&lt;wsp:rsid wsp:val=&quot;00F63EE9&quot;/&gt;&lt;wsp:rsid wsp:val=&quot;00F64154&quot;/&gt;&lt;wsp:rsid wsp:val=&quot;00F64265&quot;/&gt;&lt;wsp:rsid wsp:val=&quot;00F64337&quot;/&gt;&lt;wsp:rsid wsp:val=&quot;00F64483&quot;/&gt;&lt;wsp:rsid wsp:val=&quot;00F6553F&quot;/&gt;&lt;wsp:rsid wsp:val=&quot;00F6560A&quot;/&gt;&lt;wsp:rsid wsp:val=&quot;00F65768&quot;/&gt;&lt;wsp:rsid wsp:val=&quot;00F65908&quot;/&gt;&lt;wsp:rsid wsp:val=&quot;00F65A7E&quot;/&gt;&lt;wsp:rsid wsp:val=&quot;00F66318&quot;/&gt;&lt;wsp:rsid wsp:val=&quot;00F66610&quot;/&gt;&lt;wsp:rsid wsp:val=&quot;00F66707&quot;/&gt;&lt;wsp:rsid wsp:val=&quot;00F66708&quot;/&gt;&lt;wsp:rsid wsp:val=&quot;00F66F00&quot;/&gt;&lt;wsp:rsid wsp:val=&quot;00F66FAB&quot;/&gt;&lt;wsp:rsid wsp:val=&quot;00F67415&quot;/&gt;&lt;wsp:rsid wsp:val=&quot;00F6753F&quot;/&gt;&lt;wsp:rsid wsp:val=&quot;00F67AC2&quot;/&gt;&lt;wsp:rsid wsp:val=&quot;00F67CB4&quot;/&gt;&lt;wsp:rsid wsp:val=&quot;00F67CEB&quot;/&gt;&lt;wsp:rsid wsp:val=&quot;00F67D22&quot;/&gt;&lt;wsp:rsid wsp:val=&quot;00F67FFB&quot;/&gt;&lt;wsp:rsid wsp:val=&quot;00F70430&quot;/&gt;&lt;wsp:rsid wsp:val=&quot;00F706B8&quot;/&gt;&lt;wsp:rsid wsp:val=&quot;00F7081B&quot;/&gt;&lt;wsp:rsid wsp:val=&quot;00F70F04&quot;/&gt;&lt;wsp:rsid wsp:val=&quot;00F710CE&quot;/&gt;&lt;wsp:rsid wsp:val=&quot;00F71249&quot;/&gt;&lt;wsp:rsid wsp:val=&quot;00F715F9&quot;/&gt;&lt;wsp:rsid wsp:val=&quot;00F71C31&quot;/&gt;&lt;wsp:rsid wsp:val=&quot;00F71D0F&quot;/&gt;&lt;wsp:rsid wsp:val=&quot;00F7207F&quot;/&gt;&lt;wsp:rsid wsp:val=&quot;00F72142&quot;/&gt;&lt;wsp:rsid wsp:val=&quot;00F72156&quot;/&gt;&lt;wsp:rsid wsp:val=&quot;00F72FB8&quot;/&gt;&lt;wsp:rsid wsp:val=&quot;00F73302&quot;/&gt;&lt;wsp:rsid wsp:val=&quot;00F7366E&quot;/&gt;&lt;wsp:rsid wsp:val=&quot;00F738C0&quot;/&gt;&lt;wsp:rsid wsp:val=&quot;00F74BDB&quot;/&gt;&lt;wsp:rsid wsp:val=&quot;00F74DA1&quot;/&gt;&lt;wsp:rsid wsp:val=&quot;00F74FBC&quot;/&gt;&lt;wsp:rsid wsp:val=&quot;00F75343&quot;/&gt;&lt;wsp:rsid wsp:val=&quot;00F75733&quot;/&gt;&lt;wsp:rsid wsp:val=&quot;00F75983&quot;/&gt;&lt;wsp:rsid wsp:val=&quot;00F75995&quot;/&gt;&lt;wsp:rsid wsp:val=&quot;00F75B2C&quot;/&gt;&lt;wsp:rsid wsp:val=&quot;00F75E73&quot;/&gt;&lt;wsp:rsid wsp:val=&quot;00F75F1C&quot;/&gt;&lt;wsp:rsid wsp:val=&quot;00F76507&quot;/&gt;&lt;wsp:rsid wsp:val=&quot;00F76DE0&quot;/&gt;&lt;wsp:rsid wsp:val=&quot;00F772CB&quot;/&gt;&lt;wsp:rsid wsp:val=&quot;00F77526&quot;/&gt;&lt;wsp:rsid wsp:val=&quot;00F77867&quot;/&gt;&lt;wsp:rsid wsp:val=&quot;00F77A01&quot;/&gt;&lt;wsp:rsid wsp:val=&quot;00F77D4D&quot;/&gt;&lt;wsp:rsid wsp:val=&quot;00F80059&quot;/&gt;&lt;wsp:rsid wsp:val=&quot;00F800B6&quot;/&gt;&lt;wsp:rsid wsp:val=&quot;00F8013D&quot;/&gt;&lt;wsp:rsid wsp:val=&quot;00F8064C&quot;/&gt;&lt;wsp:rsid wsp:val=&quot;00F8097E&quot;/&gt;&lt;wsp:rsid wsp:val=&quot;00F80FD7&quot;/&gt;&lt;wsp:rsid wsp:val=&quot;00F815EB&quot;/&gt;&lt;wsp:rsid wsp:val=&quot;00F81FFE&quot;/&gt;&lt;wsp:rsid wsp:val=&quot;00F8227B&quot;/&gt;&lt;wsp:rsid wsp:val=&quot;00F82E2E&quot;/&gt;&lt;wsp:rsid wsp:val=&quot;00F830B3&quot;/&gt;&lt;wsp:rsid wsp:val=&quot;00F831CE&quot;/&gt;&lt;wsp:rsid wsp:val=&quot;00F83617&quot;/&gt;&lt;wsp:rsid wsp:val=&quot;00F83C98&quot;/&gt;&lt;wsp:rsid wsp:val=&quot;00F84063&quot;/&gt;&lt;wsp:rsid wsp:val=&quot;00F84147&quot;/&gt;&lt;wsp:rsid wsp:val=&quot;00F843A5&quot;/&gt;&lt;wsp:rsid wsp:val=&quot;00F84777&quot;/&gt;&lt;wsp:rsid wsp:val=&quot;00F84B77&quot;/&gt;&lt;wsp:rsid wsp:val=&quot;00F8559F&quot;/&gt;&lt;wsp:rsid wsp:val=&quot;00F85738&quot;/&gt;&lt;wsp:rsid wsp:val=&quot;00F859C5&quot;/&gt;&lt;wsp:rsid wsp:val=&quot;00F85D84&quot;/&gt;&lt;wsp:rsid wsp:val=&quot;00F85E7A&quot;/&gt;&lt;wsp:rsid wsp:val=&quot;00F8609A&quot;/&gt;&lt;wsp:rsid wsp:val=&quot;00F86338&quot;/&gt;&lt;wsp:rsid wsp:val=&quot;00F8693C&quot;/&gt;&lt;wsp:rsid wsp:val=&quot;00F86FFC&quot;/&gt;&lt;wsp:rsid wsp:val=&quot;00F871F6&quot;/&gt;&lt;wsp:rsid wsp:val=&quot;00F87838&quot;/&gt;&lt;wsp:rsid wsp:val=&quot;00F87867&quot;/&gt;&lt;wsp:rsid wsp:val=&quot;00F8786C&quot;/&gt;&lt;wsp:rsid wsp:val=&quot;00F900C4&quot;/&gt;&lt;wsp:rsid wsp:val=&quot;00F90109&quot;/&gt;&lt;wsp:rsid wsp:val=&quot;00F90192&quot;/&gt;&lt;wsp:rsid wsp:val=&quot;00F90A4C&quot;/&gt;&lt;wsp:rsid wsp:val=&quot;00F90A62&quot;/&gt;&lt;wsp:rsid wsp:val=&quot;00F90DE3&quot;/&gt;&lt;wsp:rsid wsp:val=&quot;00F91036&quot;/&gt;&lt;wsp:rsid wsp:val=&quot;00F915B0&quot;/&gt;&lt;wsp:rsid wsp:val=&quot;00F91F1B&quot;/&gt;&lt;wsp:rsid wsp:val=&quot;00F92253&quot;/&gt;&lt;wsp:rsid wsp:val=&quot;00F92447&quot;/&gt;&lt;wsp:rsid wsp:val=&quot;00F92CC4&quot;/&gt;&lt;wsp:rsid wsp:val=&quot;00F92DAA&quot;/&gt;&lt;wsp:rsid wsp:val=&quot;00F92EE6&quot;/&gt;&lt;wsp:rsid wsp:val=&quot;00F92FDD&quot;/&gt;&lt;wsp:rsid wsp:val=&quot;00F930C4&quot;/&gt;&lt;wsp:rsid wsp:val=&quot;00F932FB&quot;/&gt;&lt;wsp:rsid wsp:val=&quot;00F934B8&quot;/&gt;&lt;wsp:rsid wsp:val=&quot;00F9371D&quot;/&gt;&lt;wsp:rsid wsp:val=&quot;00F938A4&quot;/&gt;&lt;wsp:rsid wsp:val=&quot;00F93A2B&quot;/&gt;&lt;wsp:rsid wsp:val=&quot;00F93A8D&quot;/&gt;&lt;wsp:rsid wsp:val=&quot;00F93B83&quot;/&gt;&lt;wsp:rsid wsp:val=&quot;00F93D94&quot;/&gt;&lt;wsp:rsid wsp:val=&quot;00F93E13&quot;/&gt;&lt;wsp:rsid wsp:val=&quot;00F94910&quot;/&gt;&lt;wsp:rsid wsp:val=&quot;00F94927&quot;/&gt;&lt;wsp:rsid wsp:val=&quot;00F94B0C&quot;/&gt;&lt;wsp:rsid wsp:val=&quot;00F94C0B&quot;/&gt;&lt;wsp:rsid wsp:val=&quot;00F95AEB&quot;/&gt;&lt;wsp:rsid wsp:val=&quot;00F95EAF&quot;/&gt;&lt;wsp:rsid wsp:val=&quot;00F95EE3&quot;/&gt;&lt;wsp:rsid wsp:val=&quot;00F96327&quot;/&gt;&lt;wsp:rsid wsp:val=&quot;00F96387&quot;/&gt;&lt;wsp:rsid wsp:val=&quot;00F96ABC&quot;/&gt;&lt;wsp:rsid wsp:val=&quot;00F96C7A&quot;/&gt;&lt;wsp:rsid wsp:val=&quot;00F97541&quot;/&gt;&lt;wsp:rsid wsp:val=&quot;00F9773A&quot;/&gt;&lt;wsp:rsid wsp:val=&quot;00F97F36&quot;/&gt;&lt;wsp:rsid wsp:val=&quot;00FA00A0&quot;/&gt;&lt;wsp:rsid wsp:val=&quot;00FA01C0&quot;/&gt;&lt;wsp:rsid wsp:val=&quot;00FA033C&quot;/&gt;&lt;wsp:rsid wsp:val=&quot;00FA04BE&quot;/&gt;&lt;wsp:rsid wsp:val=&quot;00FA05F4&quot;/&gt;&lt;wsp:rsid wsp:val=&quot;00FA0C1B&quot;/&gt;&lt;wsp:rsid wsp:val=&quot;00FA1B8C&quot;/&gt;&lt;wsp:rsid wsp:val=&quot;00FA1BC3&quot;/&gt;&lt;wsp:rsid wsp:val=&quot;00FA1DE7&quot;/&gt;&lt;wsp:rsid wsp:val=&quot;00FA2244&quot;/&gt;&lt;wsp:rsid wsp:val=&quot;00FA2540&quot;/&gt;&lt;wsp:rsid wsp:val=&quot;00FA26BE&quot;/&gt;&lt;wsp:rsid wsp:val=&quot;00FA2818&quot;/&gt;&lt;wsp:rsid wsp:val=&quot;00FA2A08&quot;/&gt;&lt;wsp:rsid wsp:val=&quot;00FA2A8E&quot;/&gt;&lt;wsp:rsid wsp:val=&quot;00FA30F6&quot;/&gt;&lt;wsp:rsid wsp:val=&quot;00FA32BD&quot;/&gt;&lt;wsp:rsid wsp:val=&quot;00FA34AC&quot;/&gt;&lt;wsp:rsid wsp:val=&quot;00FA3BCD&quot;/&gt;&lt;wsp:rsid wsp:val=&quot;00FA3F2B&quot;/&gt;&lt;wsp:rsid wsp:val=&quot;00FA41C1&quot;/&gt;&lt;wsp:rsid wsp:val=&quot;00FA4765&quot;/&gt;&lt;wsp:rsid wsp:val=&quot;00FA49C8&quot;/&gt;&lt;wsp:rsid wsp:val=&quot;00FA4FBA&quot;/&gt;&lt;wsp:rsid wsp:val=&quot;00FA504F&quot;/&gt;&lt;wsp:rsid wsp:val=&quot;00FA5CE8&quot;/&gt;&lt;wsp:rsid wsp:val=&quot;00FA60DF&quot;/&gt;&lt;wsp:rsid wsp:val=&quot;00FA67C6&quot;/&gt;&lt;wsp:rsid wsp:val=&quot;00FA6C93&quot;/&gt;&lt;wsp:rsid wsp:val=&quot;00FA764F&quot;/&gt;&lt;wsp:rsid wsp:val=&quot;00FA7B49&quot;/&gt;&lt;wsp:rsid wsp:val=&quot;00FA7FD0&quot;/&gt;&lt;wsp:rsid wsp:val=&quot;00FB00AE&quot;/&gt;&lt;wsp:rsid wsp:val=&quot;00FB045A&quot;/&gt;&lt;wsp:rsid wsp:val=&quot;00FB05A8&quot;/&gt;&lt;wsp:rsid wsp:val=&quot;00FB06EE&quot;/&gt;&lt;wsp:rsid wsp:val=&quot;00FB0D00&quot;/&gt;&lt;wsp:rsid wsp:val=&quot;00FB0F95&quot;/&gt;&lt;wsp:rsid wsp:val=&quot;00FB12DD&quot;/&gt;&lt;wsp:rsid wsp:val=&quot;00FB1C96&quot;/&gt;&lt;wsp:rsid wsp:val=&quot;00FB2222&quot;/&gt;&lt;wsp:rsid wsp:val=&quot;00FB230F&quot;/&gt;&lt;wsp:rsid wsp:val=&quot;00FB26CE&quot;/&gt;&lt;wsp:rsid wsp:val=&quot;00FB2C27&quot;/&gt;&lt;wsp:rsid wsp:val=&quot;00FB3464&quot;/&gt;&lt;wsp:rsid wsp:val=&quot;00FB36A0&quot;/&gt;&lt;wsp:rsid wsp:val=&quot;00FB378F&quot;/&gt;&lt;wsp:rsid wsp:val=&quot;00FB3CA8&quot;/&gt;&lt;wsp:rsid wsp:val=&quot;00FB3D65&quot;/&gt;&lt;wsp:rsid wsp:val=&quot;00FB4896&quot;/&gt;&lt;wsp:rsid wsp:val=&quot;00FB49C9&quot;/&gt;&lt;wsp:rsid wsp:val=&quot;00FB5479&quot;/&gt;&lt;wsp:rsid wsp:val=&quot;00FB5BE0&quot;/&gt;&lt;wsp:rsid wsp:val=&quot;00FB66DF&quot;/&gt;&lt;wsp:rsid wsp:val=&quot;00FB67FB&quot;/&gt;&lt;wsp:rsid wsp:val=&quot;00FB68B4&quot;/&gt;&lt;wsp:rsid wsp:val=&quot;00FB6D37&quot;/&gt;&lt;wsp:rsid wsp:val=&quot;00FB6FE3&quot;/&gt;&lt;wsp:rsid wsp:val=&quot;00FB7158&quot;/&gt;&lt;wsp:rsid wsp:val=&quot;00FB726C&quot;/&gt;&lt;wsp:rsid wsp:val=&quot;00FB75F6&quot;/&gt;&lt;wsp:rsid wsp:val=&quot;00FC0929&quot;/&gt;&lt;wsp:rsid wsp:val=&quot;00FC0B69&quot;/&gt;&lt;wsp:rsid wsp:val=&quot;00FC0DD7&quot;/&gt;&lt;wsp:rsid wsp:val=&quot;00FC15A1&quot;/&gt;&lt;wsp:rsid wsp:val=&quot;00FC15B6&quot;/&gt;&lt;wsp:rsid wsp:val=&quot;00FC1E7C&quot;/&gt;&lt;wsp:rsid wsp:val=&quot;00FC211A&quot;/&gt;&lt;wsp:rsid wsp:val=&quot;00FC24EE&quot;/&gt;&lt;wsp:rsid wsp:val=&quot;00FC2522&quot;/&gt;&lt;wsp:rsid wsp:val=&quot;00FC2C55&quot;/&gt;&lt;wsp:rsid wsp:val=&quot;00FC312E&quot;/&gt;&lt;wsp:rsid wsp:val=&quot;00FC346A&quot;/&gt;&lt;wsp:rsid wsp:val=&quot;00FC3BE2&quot;/&gt;&lt;wsp:rsid wsp:val=&quot;00FC3F56&quot;/&gt;&lt;wsp:rsid wsp:val=&quot;00FC42D9&quot;/&gt;&lt;wsp:rsid wsp:val=&quot;00FC49F9&quot;/&gt;&lt;wsp:rsid wsp:val=&quot;00FC4F0F&quot;/&gt;&lt;wsp:rsid wsp:val=&quot;00FC4F67&quot;/&gt;&lt;wsp:rsid wsp:val=&quot;00FC509E&quot;/&gt;&lt;wsp:rsid wsp:val=&quot;00FC525E&quot;/&gt;&lt;wsp:rsid wsp:val=&quot;00FC55B4&quot;/&gt;&lt;wsp:rsid wsp:val=&quot;00FC5ADA&quot;/&gt;&lt;wsp:rsid wsp:val=&quot;00FC60AF&quot;/&gt;&lt;wsp:rsid wsp:val=&quot;00FC6224&quot;/&gt;&lt;wsp:rsid wsp:val=&quot;00FC6496&quot;/&gt;&lt;wsp:rsid wsp:val=&quot;00FC6906&quot;/&gt;&lt;wsp:rsid wsp:val=&quot;00FC69CA&quot;/&gt;&lt;wsp:rsid wsp:val=&quot;00FC6B75&quot;/&gt;&lt;wsp:rsid wsp:val=&quot;00FC7632&quot;/&gt;&lt;wsp:rsid wsp:val=&quot;00FC7807&quot;/&gt;&lt;wsp:rsid wsp:val=&quot;00FC7B72&quot;/&gt;&lt;wsp:rsid wsp:val=&quot;00FC7D2A&quot;/&gt;&lt;wsp:rsid wsp:val=&quot;00FC7F6A&quot;/&gt;&lt;wsp:rsid wsp:val=&quot;00FD01AC&quot;/&gt;&lt;wsp:rsid wsp:val=&quot;00FD01BA&quot;/&gt;&lt;wsp:rsid wsp:val=&quot;00FD06A4&quot;/&gt;&lt;wsp:rsid wsp:val=&quot;00FD0897&quot;/&gt;&lt;wsp:rsid wsp:val=&quot;00FD0912&quot;/&gt;&lt;wsp:rsid wsp:val=&quot;00FD10F6&quot;/&gt;&lt;wsp:rsid wsp:val=&quot;00FD12B2&quot;/&gt;&lt;wsp:rsid wsp:val=&quot;00FD12B3&quot;/&gt;&lt;wsp:rsid wsp:val=&quot;00FD1AE0&quot;/&gt;&lt;wsp:rsid wsp:val=&quot;00FD2D3C&quot;/&gt;&lt;wsp:rsid wsp:val=&quot;00FD375E&quot;/&gt;&lt;wsp:rsid wsp:val=&quot;00FD399B&quot;/&gt;&lt;wsp:rsid wsp:val=&quot;00FD3F7E&quot;/&gt;&lt;wsp:rsid wsp:val=&quot;00FD41C0&quot;/&gt;&lt;wsp:rsid wsp:val=&quot;00FD4CF6&quot;/&gt;&lt;wsp:rsid wsp:val=&quot;00FD5455&quot;/&gt;&lt;wsp:rsid wsp:val=&quot;00FD5531&quot;/&gt;&lt;wsp:rsid wsp:val=&quot;00FD584E&quot;/&gt;&lt;wsp:rsid wsp:val=&quot;00FD5AE7&quot;/&gt;&lt;wsp:rsid wsp:val=&quot;00FD5F9D&quot;/&gt;&lt;wsp:rsid wsp:val=&quot;00FD618D&quot;/&gt;&lt;wsp:rsid wsp:val=&quot;00FD66C9&quot;/&gt;&lt;wsp:rsid wsp:val=&quot;00FD6D27&quot;/&gt;&lt;wsp:rsid wsp:val=&quot;00FD6F86&quot;/&gt;&lt;wsp:rsid wsp:val=&quot;00FD75D7&quot;/&gt;&lt;wsp:rsid wsp:val=&quot;00FD762F&quot;/&gt;&lt;wsp:rsid wsp:val=&quot;00FD76A1&quot;/&gt;&lt;wsp:rsid wsp:val=&quot;00FD7D93&quot;/&gt;&lt;wsp:rsid wsp:val=&quot;00FD7DE1&quot;/&gt;&lt;wsp:rsid wsp:val=&quot;00FE029E&quot;/&gt;&lt;wsp:rsid wsp:val=&quot;00FE036B&quot;/&gt;&lt;wsp:rsid wsp:val=&quot;00FE0473&quot;/&gt;&lt;wsp:rsid wsp:val=&quot;00FE051B&quot;/&gt;&lt;wsp:rsid wsp:val=&quot;00FE05F2&quot;/&gt;&lt;wsp:rsid wsp:val=&quot;00FE0609&quot;/&gt;&lt;wsp:rsid wsp:val=&quot;00FE08A0&quot;/&gt;&lt;wsp:rsid wsp:val=&quot;00FE0BA6&quot;/&gt;&lt;wsp:rsid wsp:val=&quot;00FE0C80&quot;/&gt;&lt;wsp:rsid wsp:val=&quot;00FE0EEB&quot;/&gt;&lt;wsp:rsid wsp:val=&quot;00FE1247&quot;/&gt;&lt;wsp:rsid wsp:val=&quot;00FE13FE&quot;/&gt;&lt;wsp:rsid wsp:val=&quot;00FE1543&quot;/&gt;&lt;wsp:rsid wsp:val=&quot;00FE174B&quot;/&gt;&lt;wsp:rsid wsp:val=&quot;00FE1BF0&quot;/&gt;&lt;wsp:rsid wsp:val=&quot;00FE1C12&quot;/&gt;&lt;wsp:rsid wsp:val=&quot;00FE23D2&quot;/&gt;&lt;wsp:rsid wsp:val=&quot;00FE2C75&quot;/&gt;&lt;wsp:rsid wsp:val=&quot;00FE2EA9&quot;/&gt;&lt;wsp:rsid wsp:val=&quot;00FE2F88&quot;/&gt;&lt;wsp:rsid wsp:val=&quot;00FE3205&quot;/&gt;&lt;wsp:rsid wsp:val=&quot;00FE3508&quot;/&gt;&lt;wsp:rsid wsp:val=&quot;00FE4194&quot;/&gt;&lt;wsp:rsid wsp:val=&quot;00FE4C69&quot;/&gt;&lt;wsp:rsid wsp:val=&quot;00FE50F5&quot;/&gt;&lt;wsp:rsid wsp:val=&quot;00FE5A67&quot;/&gt;&lt;wsp:rsid wsp:val=&quot;00FE5B4E&quot;/&gt;&lt;wsp:rsid wsp:val=&quot;00FE5BB6&quot;/&gt;&lt;wsp:rsid wsp:val=&quot;00FE5FE2&quot;/&gt;&lt;wsp:rsid wsp:val=&quot;00FE68AF&quot;/&gt;&lt;wsp:rsid wsp:val=&quot;00FE69FF&quot;/&gt;&lt;wsp:rsid wsp:val=&quot;00FE6B81&quot;/&gt;&lt;wsp:rsid wsp:val=&quot;00FE6F08&quot;/&gt;&lt;wsp:rsid wsp:val=&quot;00FE73DA&quot;/&gt;&lt;wsp:rsid wsp:val=&quot;00FE7461&quot;/&gt;&lt;wsp:rsid wsp:val=&quot;00FE7AE3&quot;/&gt;&lt;wsp:rsid wsp:val=&quot;00FE7B60&quot;/&gt;&lt;wsp:rsid wsp:val=&quot;00FE7DA7&quot;/&gt;&lt;wsp:rsid wsp:val=&quot;00FF008D&quot;/&gt;&lt;wsp:rsid wsp:val=&quot;00FF035A&quot;/&gt;&lt;wsp:rsid wsp:val=&quot;00FF0673&quot;/&gt;&lt;wsp:rsid wsp:val=&quot;00FF0D10&quot;/&gt;&lt;wsp:rsid wsp:val=&quot;00FF0F50&quot;/&gt;&lt;wsp:rsid wsp:val=&quot;00FF1047&quot;/&gt;&lt;wsp:rsid wsp:val=&quot;00FF14A9&quot;/&gt;&lt;wsp:rsid wsp:val=&quot;00FF1544&quot;/&gt;&lt;wsp:rsid wsp:val=&quot;00FF17EF&quot;/&gt;&lt;wsp:rsid wsp:val=&quot;00FF1913&quot;/&gt;&lt;wsp:rsid wsp:val=&quot;00FF1B3F&quot;/&gt;&lt;wsp:rsid wsp:val=&quot;00FF2053&quot;/&gt;&lt;wsp:rsid wsp:val=&quot;00FF21AF&quot;/&gt;&lt;wsp:rsid wsp:val=&quot;00FF23D4&quot;/&gt;&lt;wsp:rsid wsp:val=&quot;00FF2490&quot;/&gt;&lt;wsp:rsid wsp:val=&quot;00FF24C2&quot;/&gt;&lt;wsp:rsid wsp:val=&quot;00FF2651&quot;/&gt;&lt;wsp:rsid wsp:val=&quot;00FF2697&quot;/&gt;&lt;wsp:rsid wsp:val=&quot;00FF26E2&quot;/&gt;&lt;wsp:rsid wsp:val=&quot;00FF2FA3&quot;/&gt;&lt;wsp:rsid wsp:val=&quot;00FF3527&quot;/&gt;&lt;wsp:rsid wsp:val=&quot;00FF3F2D&quot;/&gt;&lt;wsp:rsid wsp:val=&quot;00FF3FDC&quot;/&gt;&lt;wsp:rsid wsp:val=&quot;00FF418C&quot;/&gt;&lt;wsp:rsid wsp:val=&quot;00FF458A&quot;/&gt;&lt;wsp:rsid wsp:val=&quot;00FF4B3E&quot;/&gt;&lt;wsp:rsid wsp:val=&quot;00FF4BC9&quot;/&gt;&lt;wsp:rsid wsp:val=&quot;00FF4BCD&quot;/&gt;&lt;wsp:rsid wsp:val=&quot;00FF4CE9&quot;/&gt;&lt;wsp:rsid wsp:val=&quot;00FF4F95&quot;/&gt;&lt;wsp:rsid wsp:val=&quot;00FF5096&quot;/&gt;&lt;wsp:rsid wsp:val=&quot;00FF529E&quot;/&gt;&lt;wsp:rsid wsp:val=&quot;00FF549F&quot;/&gt;&lt;wsp:rsid wsp:val=&quot;00FF54B7&quot;/&gt;&lt;wsp:rsid wsp:val=&quot;00FF5666&quot;/&gt;&lt;wsp:rsid wsp:val=&quot;00FF56A5&quot;/&gt;&lt;wsp:rsid wsp:val=&quot;00FF5BF6&quot;/&gt;&lt;wsp:rsid wsp:val=&quot;00FF5C6D&quot;/&gt;&lt;wsp:rsid wsp:val=&quot;00FF5C6E&quot;/&gt;&lt;wsp:rsid wsp:val=&quot;00FF633F&quot;/&gt;&lt;wsp:rsid wsp:val=&quot;00FF66CC&quot;/&gt;&lt;wsp:rsid wsp:val=&quot;00FF67D3&quot;/&gt;&lt;wsp:rsid wsp:val=&quot;00FF6B0E&quot;/&gt;&lt;wsp:rsid wsp:val=&quot;00FF6B43&quot;/&gt;&lt;wsp:rsid wsp:val=&quot;00FF6F3F&quot;/&gt;&lt;wsp:rsid wsp:val=&quot;00FF7328&quot;/&gt;&lt;wsp:rsid wsp:val=&quot;00FF7600&quot;/&gt;&lt;wsp:rsid wsp:val=&quot;00FF77A7&quot;/&gt;&lt;wsp:rsid wsp:val=&quot;00FF7B0F&quot;/&gt;&lt;wsp:rsid wsp:val=&quot;00FF7D42&quot;/&gt;&lt;wsp:rsid wsp:val=&quot;00FF7F25&quot;/&gt;&lt;/wsp:rsids&gt;&lt;/w:docPr&gt;&lt;w:body&gt;&lt;w:p wsp:rsidR=&quot;00000000&quot; wsp:rsidRDefault=&quot;005A464F&quot;&gt;&lt;m:oMathPara&gt;&lt;m:oMath&gt;&lt;m:r&gt;&lt;w:rPr&gt;&lt;w:rFonts w:ascii=&quot;Cambria Math&quot; w:fareast=&quot;Times New Roman&quot; w:h-ansi=&quot;Cambria Math&quot;/&gt;&lt;wx:font wx:val=&quot;Cambria Math&quot;/&gt;&lt;w:i/&gt;&lt;w:sz w:val=&quot;28&quot;/&gt;&lt;w:sz-cs w:val=&quot;24&quot;/&gt;&lt;w:lang w:fareast=&quot;RU&quot;/&gt;&lt;/w:rPr&gt;&lt;m:t&gt;H=&lt;/m:t&gt;&lt;/m:r&gt;&lt;m:sSub&gt;&lt;m:sSubPr&gt;&lt;m:ctrlPr&gt;&lt;w:rPr&gt;&lt;w:rFonts w:ascii=&quot;Cambria Math&quot; w:fareast=&quot;Times New Roman&quot; w:h-ansi=&quot;Cambria Math&quot;/&gt;&lt;wx:font wx:val=&quot;Cambria Math&quot;/&gt;&lt;w:i/&gt;&lt;w:sz w:val=&quot;28&quot;/&gt;&lt;w:sz-cs w:val=&quot;24&quot;/&gt;&lt;w:lang w:fareast=&quot;RU&quot;/&gt;&lt;/w:rPr&gt;&lt;/m:ctrlPr&gt;&lt;/m:sSubPr&gt;&lt;m:e&gt;&lt;m:r&gt;&lt;w:rPr&gt;&lt;w:rFonts w:ascii=&quot;Cambria Math&quot; w:fareast=&quot;Times New Roman&quot; w:h-ansi=&quot;Cambria Math&quot;/&gt;&lt;wx:font wx:val=&quot;Cambria Math&quot;/&gt;&lt;w:i/&gt;&lt;w:sz w:val=&quot;28&quot;/&gt;&lt;w:sz-cs w:val=&quot;24&quot;/&gt;&lt;w:lang w:fareast=&quot;RU&quot;/&gt;&lt;/w:rPr&gt;&lt;m:t&gt;H&lt;/m:t&gt;&lt;/m:r&gt;&lt;/m:e&gt;&lt;m:sub&gt;&lt;m:r&gt;&lt;w:rPr&gt;&lt;w:rFonts w:ascii=&quot;Cambria Math&quot; w:fareast=&quot;Times New Roman&quot; w:h-ansi=&quot;Cambria Math&quot;/&gt;&lt;wx:font wx:val=&quot;Cambria Math&quot;/&gt;&lt;w:i/&gt;&lt;w:sz w:val=&quot;28&quot;/&gt;&lt;w:sz-cs w:val=&quot;24&quot;/&gt;&lt;w:lang w:fareast=&quot;RU&quot;/&gt;&lt;/w:rPr&gt;&lt;m:t&gt;0&lt;/m:t&gt;&lt;/m:r&gt;&lt;/m:sub&gt;&lt;/m:sSub&gt;&lt;m:r&gt;&lt;w:rPr&gt;&lt;w:rFonts w:ascii=&quot;Cambria Math&quot; w:fareast=&quot;Times New Roman&quot; w:h-ansi=&quot;Cambria Math&quot;/&gt;&lt;wx:font wx:val=&quot;Cambria Math&quot;/&gt;&lt;w:i/&gt;&lt;w:sz w:val=&quot;28&quot;/&gt;&lt;w:sz-cs w:val=&quot;24&quot;/&gt;&lt;w:lang w:fareast=&quot;RU&quot;/&gt;&lt;/w:rPr&gt;&lt;m:t&gt;Г—&lt;/m:t&gt;&lt;/m:r&gt;&lt;m:sSup&gt;&lt;m:sSupPr&gt;&lt;m:ctrlPr&gt;&lt;w:rPr&gt;&lt;w:rFonts w:ascii=&quot;Cambria Math&quot; w:fareast=&quot;Times New Roman&quot; w:h-ansi=&quot;Cambria Math&quot;/&gt;&lt;wx:font wx:val=&quot;Cambria Math&quot;/&gt;&lt;w:i/&gt;&lt;w:sz w:val=&quot;28&quot;/&gt;&lt;w:sz-cs w:val=&quot;24&quot;/&gt;&lt;w:lang w:fareast=&quot;RU&quot;/&gt;&lt;/w:rPr&gt;&lt;/m:ctrlPr&gt;&lt;/m:sSupPr&gt;&lt;m:e&gt;&lt;m:r&gt;&lt;w:rPr&gt;&lt;w:rFonts w:ascii=&quot;Cambria Math&quot; w:fareast=&quot;Times New Roman&quot; w:h-ansi=&quot;Cambria Math&quot;/&gt;&lt;wx:font wx:val=&quot;Cambria Math&quot;/&gt;&lt;w:i/&gt;&lt;w:sz w:val=&quot;28&quot;/&gt;&lt;w:sz-cs w:val=&quot;24&quot;/&gt;&lt;w:lang w:fareast=&quot;RU&quot;/&gt;&lt;/w:rPr&gt;&lt;m:t&gt;(1+&lt;/m:t&gt;&lt;/m:r&gt;&lt;m:f&gt;&lt;m:fPr&gt;&lt;m:ctrlPr&gt;&lt;w:rPr&gt;&lt;w:rFonts w:ascii=&quot;Cambria Math&quot; w:fareast=&quot;Times New Roman&quot; w:h-ansi=&quot;Cambria Math&quot;/&gt;&lt;wx:font wx:val=&quot;Cambria Math&quot;/&gt;&lt;w:i/&gt;&lt;w:sz w:val=&quot;28&quot;/&gt;&lt;w:sz-cs w:val=&quot;24&quot;/&gt;&lt;w:lang w:fareast=&quot;RU&quot;/&gt;&lt;/w:rPr&gt;&lt;/m:ctrlPr&gt;&lt;/m:fPr&gt;&lt;m:num&gt;&lt;m:r&gt;&lt;w:rPr&gt;&lt;w:rFonts w:ascii=&quot;Cambria Math&quot; w:fareast=&quot;Times New Roman&quot; w:h-ansi=&quot;Cambria Math&quot;/&gt;&lt;wx:font wx:val=&quot;Cambria Math&quot;/&gt;&lt;w:i/&gt;&lt;w:sz w:val=&quot;28&quot;/&gt;&lt;w:sz-cs w:val=&quot;24&quot;/&gt;&lt;w:lang w:fareast=&quot;RU&quot;/&gt;&lt;/w:rPr&gt;&lt;m:t&gt;E+M&lt;/m:t&gt;&lt;/m:r&gt;&lt;/m:num&gt;&lt;m:den&gt;&lt;m:r&gt;&lt;w:rPr&gt;&lt;w:rFonts w:ascii=&quot;Cambria Math&quot; w:fareast=&quot;Times New Roman&quot; w:h-ansi=&quot;Cambria Math&quot;/&gt;&lt;wx:font wx:val=&quot;Cambria Math&quot;/&gt;&lt;w:i/&gt;&lt;w:sz w:val=&quot;28&quot;/&gt;&lt;w:sz-cs w:val=&quot;24&quot;/&gt;&lt;w:lang w:fareast=&quot;RU&quot;/&gt;&lt;/w:rPr&gt;&lt;m:t&gt;100&lt;/m:t&gt;&lt;/m:r&gt;&lt;/m:den&gt;&lt;/m:f&gt;&lt;m:r&gt;&lt;w:rPr&gt;&lt;w:rFonts w:ascii=&quot;Cambria Math&quot; w:fareast=&quot;Times New Roman&quot; w:h-ansi=&quot;Cambria Math&quot;/&gt;&lt;wx:font wx:val=&quot;Cambria Math&quot;/&gt;&lt;w:i/&gt;&lt;w:sz w:val=&quot;28&quot;/&gt;&lt;w:sz-cs w:val=&quot;24&quot;/&gt;&lt;w:lang w:fareast=&quot;RU&quot;/&gt;&lt;/w:rPr&gt;&lt;m:t&gt;)&lt;/m:t&gt;&lt;/m:r&gt;&lt;/m:e&gt;&lt;m:sup&gt;&lt;m:r&gt;&lt;w:rPr&gt;&lt;w:rFonts w:ascii=&quot;Cambria Math&quot; w:fareast=&quot;Times New Roman&quot; w:h-ansi=&quot;Cambria Math&quot;/&gt;&lt;wx:font wx:val=&quot;Cambria Math&quot;/&gt;&lt;w:i/&gt;&lt;w:sz w:val=&quot;28&quot;/&gt;&lt;w:sz-cs w:val=&quot;24&quot;/&gt;&lt;w:lang w:fareast=&quot;RU&quot;/&gt;&lt;/w:rPr&gt;&lt;m:t&gt;t&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1" o:title="" chromakey="white"/>
          </v:shape>
        </w:pict>
      </w:r>
    </w:p>
    <w:p w:rsidR="002D1E45" w:rsidRPr="00B95F0E" w:rsidRDefault="002D1E45" w:rsidP="00B95F0E">
      <w:pPr>
        <w:spacing w:after="0" w:line="240" w:lineRule="auto"/>
        <w:ind w:firstLine="709"/>
        <w:jc w:val="both"/>
        <w:rPr>
          <w:rFonts w:ascii="Times New Roman" w:hAnsi="Times New Roman"/>
          <w:sz w:val="28"/>
          <w:szCs w:val="24"/>
          <w:lang w:eastAsia="ru-RU"/>
        </w:rPr>
      </w:pPr>
      <w:r w:rsidRPr="00B95F0E">
        <w:rPr>
          <w:rFonts w:ascii="Times New Roman" w:hAnsi="Times New Roman"/>
          <w:sz w:val="28"/>
          <w:szCs w:val="24"/>
          <w:lang w:eastAsia="ru-RU"/>
        </w:rPr>
        <w:fldChar w:fldCharType="begin"/>
      </w:r>
      <w:r w:rsidRPr="00B95F0E">
        <w:rPr>
          <w:rFonts w:ascii="Times New Roman" w:hAnsi="Times New Roman"/>
          <w:sz w:val="28"/>
          <w:szCs w:val="24"/>
          <w:lang w:eastAsia="ru-RU"/>
        </w:rPr>
        <w:instrText xml:space="preserve"> QUOTE </w:instrText>
      </w:r>
      <w:r w:rsidRPr="00C02575">
        <w:rPr>
          <w:rFonts w:ascii="Times New Roman" w:hAnsi="Times New Roman"/>
          <w:noProof/>
          <w:sz w:val="28"/>
          <w:szCs w:val="24"/>
          <w:lang w:eastAsia="ru-RU"/>
        </w:rPr>
        <w:pict>
          <v:shape id="Рисунок 15" o:spid="_x0000_i1046" type="#_x0000_t75" style="width:242.25pt;height:87.75pt;visibility:visible">
            <v:imagedata r:id="rId32" o:title="" chromakey="white"/>
          </v:shape>
        </w:pict>
      </w:r>
      <w:r w:rsidRPr="00B95F0E">
        <w:rPr>
          <w:rFonts w:ascii="Times New Roman" w:hAnsi="Times New Roman"/>
          <w:sz w:val="28"/>
          <w:szCs w:val="24"/>
          <w:lang w:eastAsia="ru-RU"/>
        </w:rPr>
        <w:fldChar w:fldCharType="separate"/>
      </w:r>
      <w:r w:rsidRPr="00C02575">
        <w:rPr>
          <w:rFonts w:ascii="Times New Roman" w:hAnsi="Times New Roman"/>
          <w:noProof/>
          <w:sz w:val="28"/>
          <w:szCs w:val="24"/>
          <w:lang w:eastAsia="ru-RU"/>
        </w:rPr>
        <w:pict>
          <v:shape id="Рисунок 1" o:spid="_x0000_i1047" type="#_x0000_t75" style="width:242.25pt;height:87.75pt;visibility:visible">
            <v:imagedata r:id="rId32" o:title="" chromakey="white"/>
          </v:shape>
        </w:pict>
      </w:r>
      <w:r w:rsidRPr="00B95F0E">
        <w:rPr>
          <w:rFonts w:ascii="Times New Roman" w:hAnsi="Times New Roman"/>
          <w:sz w:val="28"/>
          <w:szCs w:val="24"/>
          <w:lang w:eastAsia="ru-RU"/>
        </w:rPr>
        <w:fldChar w:fldCharType="end"/>
      </w:r>
      <w:r w:rsidRPr="00B95F0E">
        <w:rPr>
          <w:rFonts w:ascii="Times New Roman" w:hAnsi="Times New Roman"/>
          <w:sz w:val="28"/>
          <w:szCs w:val="24"/>
          <w:lang w:eastAsia="ru-RU"/>
        </w:rPr>
        <w:t xml:space="preserve">где: </w:t>
      </w:r>
    </w:p>
    <w:p w:rsidR="002D1E45" w:rsidRPr="00B95F0E" w:rsidRDefault="002D1E45" w:rsidP="00B95F0E">
      <w:pPr>
        <w:spacing w:after="0" w:line="240" w:lineRule="auto"/>
        <w:ind w:firstLine="709"/>
        <w:jc w:val="both"/>
        <w:rPr>
          <w:rFonts w:ascii="Times New Roman" w:hAnsi="Times New Roman"/>
          <w:sz w:val="28"/>
          <w:szCs w:val="24"/>
          <w:lang w:eastAsia="ru-RU"/>
        </w:rPr>
      </w:pPr>
      <w:r w:rsidRPr="00B95F0E">
        <w:rPr>
          <w:rFonts w:ascii="Times New Roman" w:hAnsi="Times New Roman"/>
          <w:sz w:val="28"/>
          <w:szCs w:val="24"/>
          <w:lang w:eastAsia="ru-RU"/>
        </w:rPr>
        <w:t>Н – ожидаемая численность населения;</w:t>
      </w:r>
    </w:p>
    <w:p w:rsidR="002D1E45" w:rsidRPr="00B95F0E" w:rsidRDefault="002D1E45" w:rsidP="00B95F0E">
      <w:pPr>
        <w:spacing w:after="0" w:line="240" w:lineRule="auto"/>
        <w:ind w:firstLine="709"/>
        <w:jc w:val="both"/>
        <w:rPr>
          <w:rFonts w:ascii="Times New Roman" w:hAnsi="Times New Roman"/>
          <w:sz w:val="28"/>
          <w:szCs w:val="24"/>
          <w:lang w:eastAsia="ru-RU"/>
        </w:rPr>
      </w:pPr>
      <w:r w:rsidRPr="00B95F0E">
        <w:rPr>
          <w:rFonts w:ascii="Times New Roman" w:hAnsi="Times New Roman"/>
          <w:sz w:val="28"/>
          <w:szCs w:val="24"/>
          <w:lang w:val="en-US" w:eastAsia="ru-RU"/>
        </w:rPr>
        <w:t>H</w:t>
      </w:r>
      <w:r w:rsidRPr="00B95F0E">
        <w:rPr>
          <w:rFonts w:ascii="Times New Roman" w:hAnsi="Times New Roman"/>
          <w:sz w:val="28"/>
          <w:szCs w:val="24"/>
          <w:vertAlign w:val="subscript"/>
          <w:lang w:eastAsia="ru-RU"/>
        </w:rPr>
        <w:t>0</w:t>
      </w:r>
      <w:r w:rsidRPr="00B95F0E">
        <w:rPr>
          <w:rFonts w:ascii="Times New Roman" w:hAnsi="Times New Roman"/>
          <w:sz w:val="28"/>
          <w:szCs w:val="24"/>
          <w:lang w:eastAsia="ru-RU"/>
        </w:rPr>
        <w:t xml:space="preserve"> – </w:t>
      </w:r>
      <w:r>
        <w:rPr>
          <w:rFonts w:ascii="Times New Roman" w:hAnsi="Times New Roman"/>
          <w:sz w:val="28"/>
          <w:szCs w:val="24"/>
          <w:lang w:eastAsia="ru-RU"/>
        </w:rPr>
        <w:t xml:space="preserve">среднегодовая </w:t>
      </w:r>
      <w:r w:rsidRPr="00B95F0E">
        <w:rPr>
          <w:rFonts w:ascii="Times New Roman" w:hAnsi="Times New Roman"/>
          <w:sz w:val="28"/>
          <w:szCs w:val="24"/>
          <w:lang w:eastAsia="ru-RU"/>
        </w:rPr>
        <w:t>численность населения на</w:t>
      </w:r>
      <w:r>
        <w:rPr>
          <w:rFonts w:ascii="Times New Roman" w:hAnsi="Times New Roman"/>
          <w:sz w:val="28"/>
          <w:szCs w:val="24"/>
          <w:lang w:eastAsia="ru-RU"/>
        </w:rPr>
        <w:t> </w:t>
      </w:r>
      <w:r w:rsidRPr="00B95F0E">
        <w:rPr>
          <w:rFonts w:ascii="Times New Roman" w:hAnsi="Times New Roman"/>
          <w:sz w:val="28"/>
          <w:szCs w:val="24"/>
          <w:lang w:eastAsia="ru-RU"/>
        </w:rPr>
        <w:t>исходный год</w:t>
      </w:r>
      <w:r>
        <w:rPr>
          <w:rFonts w:ascii="Times New Roman" w:hAnsi="Times New Roman"/>
          <w:sz w:val="28"/>
          <w:szCs w:val="24"/>
          <w:lang w:eastAsia="ru-RU"/>
        </w:rPr>
        <w:t xml:space="preserve"> (принят 2020 г.)</w:t>
      </w:r>
      <w:r w:rsidRPr="00B95F0E">
        <w:rPr>
          <w:rFonts w:ascii="Times New Roman" w:hAnsi="Times New Roman"/>
          <w:sz w:val="28"/>
          <w:szCs w:val="24"/>
          <w:lang w:eastAsia="ru-RU"/>
        </w:rPr>
        <w:t>;</w:t>
      </w:r>
    </w:p>
    <w:p w:rsidR="002D1E45" w:rsidRPr="00B95F0E" w:rsidRDefault="002D1E45" w:rsidP="00B95F0E">
      <w:pPr>
        <w:spacing w:after="0" w:line="240" w:lineRule="auto"/>
        <w:ind w:firstLine="709"/>
        <w:jc w:val="both"/>
        <w:rPr>
          <w:rFonts w:ascii="Times New Roman" w:hAnsi="Times New Roman"/>
          <w:sz w:val="28"/>
          <w:szCs w:val="24"/>
          <w:lang w:eastAsia="ru-RU"/>
        </w:rPr>
      </w:pPr>
      <w:r w:rsidRPr="00B95F0E">
        <w:rPr>
          <w:rFonts w:ascii="Times New Roman" w:hAnsi="Times New Roman"/>
          <w:sz w:val="28"/>
          <w:szCs w:val="24"/>
          <w:lang w:eastAsia="ru-RU"/>
        </w:rPr>
        <w:t>Е – среднегодовой естественный прирост (убыль) за</w:t>
      </w:r>
      <w:r>
        <w:rPr>
          <w:rFonts w:ascii="Times New Roman" w:hAnsi="Times New Roman"/>
          <w:sz w:val="28"/>
          <w:szCs w:val="24"/>
          <w:lang w:eastAsia="ru-RU"/>
        </w:rPr>
        <w:t> </w:t>
      </w:r>
      <w:r w:rsidRPr="00B95F0E">
        <w:rPr>
          <w:rFonts w:ascii="Times New Roman" w:hAnsi="Times New Roman"/>
          <w:sz w:val="28"/>
          <w:szCs w:val="24"/>
          <w:lang w:eastAsia="ru-RU"/>
        </w:rPr>
        <w:t>последние годы (% от</w:t>
      </w:r>
      <w:r>
        <w:rPr>
          <w:rFonts w:ascii="Times New Roman" w:hAnsi="Times New Roman"/>
          <w:sz w:val="28"/>
          <w:szCs w:val="24"/>
          <w:lang w:eastAsia="ru-RU"/>
        </w:rPr>
        <w:t> </w:t>
      </w:r>
      <w:r w:rsidRPr="00B95F0E">
        <w:rPr>
          <w:rFonts w:ascii="Times New Roman" w:hAnsi="Times New Roman"/>
          <w:sz w:val="28"/>
          <w:szCs w:val="24"/>
          <w:lang w:eastAsia="ru-RU"/>
        </w:rPr>
        <w:t>всего населения);</w:t>
      </w:r>
    </w:p>
    <w:p w:rsidR="002D1E45" w:rsidRPr="00B95F0E" w:rsidRDefault="002D1E45" w:rsidP="00B95F0E">
      <w:pPr>
        <w:spacing w:after="0" w:line="240" w:lineRule="auto"/>
        <w:ind w:firstLine="709"/>
        <w:jc w:val="both"/>
        <w:rPr>
          <w:rFonts w:ascii="Times New Roman" w:hAnsi="Times New Roman"/>
          <w:sz w:val="28"/>
          <w:szCs w:val="24"/>
          <w:vertAlign w:val="subscript"/>
          <w:lang w:eastAsia="ru-RU"/>
        </w:rPr>
      </w:pPr>
      <w:r w:rsidRPr="00B95F0E">
        <w:rPr>
          <w:rFonts w:ascii="Times New Roman" w:hAnsi="Times New Roman"/>
          <w:sz w:val="28"/>
          <w:szCs w:val="24"/>
          <w:lang w:val="en-US" w:eastAsia="ru-RU"/>
        </w:rPr>
        <w:t>M</w:t>
      </w:r>
      <w:r w:rsidRPr="00B95F0E">
        <w:rPr>
          <w:rFonts w:ascii="Times New Roman" w:hAnsi="Times New Roman"/>
          <w:sz w:val="28"/>
          <w:szCs w:val="24"/>
          <w:lang w:eastAsia="ru-RU"/>
        </w:rPr>
        <w:t xml:space="preserve"> – среднегодовой механический прирост (отток) за</w:t>
      </w:r>
      <w:r>
        <w:rPr>
          <w:rFonts w:ascii="Times New Roman" w:hAnsi="Times New Roman"/>
          <w:sz w:val="28"/>
          <w:szCs w:val="24"/>
          <w:lang w:eastAsia="ru-RU"/>
        </w:rPr>
        <w:t> </w:t>
      </w:r>
      <w:r w:rsidRPr="00B95F0E">
        <w:rPr>
          <w:rFonts w:ascii="Times New Roman" w:hAnsi="Times New Roman"/>
          <w:sz w:val="28"/>
          <w:szCs w:val="24"/>
          <w:lang w:eastAsia="ru-RU"/>
        </w:rPr>
        <w:t>последние годы (% от</w:t>
      </w:r>
      <w:r>
        <w:rPr>
          <w:rFonts w:ascii="Times New Roman" w:hAnsi="Times New Roman"/>
          <w:sz w:val="28"/>
          <w:szCs w:val="24"/>
          <w:lang w:eastAsia="ru-RU"/>
        </w:rPr>
        <w:t> </w:t>
      </w:r>
      <w:r w:rsidRPr="00B95F0E">
        <w:rPr>
          <w:rFonts w:ascii="Times New Roman" w:hAnsi="Times New Roman"/>
          <w:sz w:val="28"/>
          <w:szCs w:val="24"/>
          <w:lang w:eastAsia="ru-RU"/>
        </w:rPr>
        <w:t>всего населения);</w:t>
      </w:r>
    </w:p>
    <w:p w:rsidR="002D1E45" w:rsidRPr="00B95F0E" w:rsidRDefault="002D1E45" w:rsidP="00B95F0E">
      <w:pPr>
        <w:spacing w:after="0" w:line="240" w:lineRule="auto"/>
        <w:ind w:firstLine="709"/>
        <w:jc w:val="both"/>
        <w:rPr>
          <w:rFonts w:ascii="Times New Roman" w:hAnsi="Times New Roman"/>
          <w:sz w:val="28"/>
          <w:szCs w:val="24"/>
          <w:lang w:eastAsia="ru-RU"/>
        </w:rPr>
      </w:pPr>
      <w:r w:rsidRPr="00B95F0E">
        <w:rPr>
          <w:rFonts w:ascii="Times New Roman" w:hAnsi="Times New Roman"/>
          <w:sz w:val="28"/>
          <w:szCs w:val="24"/>
          <w:lang w:val="en-US" w:eastAsia="ru-RU"/>
        </w:rPr>
        <w:t>t</w:t>
      </w:r>
      <w:r w:rsidRPr="00B95F0E">
        <w:rPr>
          <w:rFonts w:ascii="Times New Roman" w:hAnsi="Times New Roman"/>
          <w:sz w:val="28"/>
          <w:szCs w:val="24"/>
          <w:lang w:eastAsia="ru-RU"/>
        </w:rPr>
        <w:t xml:space="preserve"> – количество лет, на</w:t>
      </w:r>
      <w:r>
        <w:rPr>
          <w:rFonts w:ascii="Times New Roman" w:hAnsi="Times New Roman"/>
          <w:sz w:val="28"/>
          <w:szCs w:val="24"/>
          <w:lang w:eastAsia="ru-RU"/>
        </w:rPr>
        <w:t> </w:t>
      </w:r>
      <w:r w:rsidRPr="00B95F0E">
        <w:rPr>
          <w:rFonts w:ascii="Times New Roman" w:hAnsi="Times New Roman"/>
          <w:sz w:val="28"/>
          <w:szCs w:val="24"/>
          <w:lang w:eastAsia="ru-RU"/>
        </w:rPr>
        <w:t>конец которого производится расчёт численности населения.</w:t>
      </w:r>
    </w:p>
    <w:p w:rsidR="002D1E45" w:rsidRPr="00B95F0E" w:rsidRDefault="002D1E45" w:rsidP="00B95F0E">
      <w:pPr>
        <w:spacing w:after="0" w:line="240" w:lineRule="auto"/>
        <w:ind w:firstLine="709"/>
        <w:jc w:val="both"/>
        <w:rPr>
          <w:rFonts w:ascii="Times New Roman" w:hAnsi="Times New Roman"/>
          <w:sz w:val="28"/>
          <w:szCs w:val="24"/>
          <w:lang w:eastAsia="ru-RU"/>
        </w:rPr>
      </w:pPr>
      <w:r w:rsidRPr="00B95F0E">
        <w:rPr>
          <w:rFonts w:ascii="Times New Roman" w:hAnsi="Times New Roman"/>
          <w:sz w:val="28"/>
          <w:szCs w:val="24"/>
          <w:lang w:eastAsia="ru-RU"/>
        </w:rPr>
        <w:t xml:space="preserve">В </w:t>
      </w:r>
      <w:r w:rsidRPr="00B95F0E">
        <w:rPr>
          <w:rFonts w:ascii="Times New Roman" w:hAnsi="Times New Roman"/>
          <w:sz w:val="28"/>
          <w:szCs w:val="24"/>
          <w:lang w:val="en-US" w:eastAsia="ru-RU"/>
        </w:rPr>
        <w:t>I</w:t>
      </w:r>
      <w:r>
        <w:rPr>
          <w:rFonts w:ascii="Times New Roman" w:hAnsi="Times New Roman"/>
          <w:sz w:val="28"/>
          <w:szCs w:val="24"/>
          <w:lang w:eastAsia="ru-RU"/>
        </w:rPr>
        <w:t> </w:t>
      </w:r>
      <w:r w:rsidRPr="00B95F0E">
        <w:rPr>
          <w:rFonts w:ascii="Times New Roman" w:hAnsi="Times New Roman"/>
          <w:sz w:val="28"/>
          <w:szCs w:val="24"/>
          <w:lang w:eastAsia="ru-RU"/>
        </w:rPr>
        <w:t>варианте используются данные о</w:t>
      </w:r>
      <w:r>
        <w:rPr>
          <w:rFonts w:ascii="Times New Roman" w:hAnsi="Times New Roman"/>
          <w:sz w:val="28"/>
          <w:szCs w:val="24"/>
          <w:lang w:eastAsia="ru-RU"/>
        </w:rPr>
        <w:t> </w:t>
      </w:r>
      <w:r w:rsidRPr="00B95F0E">
        <w:rPr>
          <w:rFonts w:ascii="Times New Roman" w:hAnsi="Times New Roman"/>
          <w:sz w:val="28"/>
          <w:szCs w:val="24"/>
          <w:lang w:eastAsia="ru-RU"/>
        </w:rPr>
        <w:t>демографическом движении населения за</w:t>
      </w:r>
      <w:r>
        <w:rPr>
          <w:rFonts w:ascii="Times New Roman" w:hAnsi="Times New Roman"/>
          <w:sz w:val="28"/>
          <w:szCs w:val="24"/>
          <w:lang w:eastAsia="ru-RU"/>
        </w:rPr>
        <w:t> </w:t>
      </w:r>
      <w:r w:rsidRPr="00B95F0E">
        <w:rPr>
          <w:rFonts w:ascii="Times New Roman" w:hAnsi="Times New Roman"/>
          <w:sz w:val="28"/>
          <w:szCs w:val="24"/>
          <w:lang w:eastAsia="ru-RU"/>
        </w:rPr>
        <w:t xml:space="preserve">последние </w:t>
      </w:r>
      <w:r>
        <w:rPr>
          <w:rFonts w:ascii="Times New Roman" w:hAnsi="Times New Roman"/>
          <w:sz w:val="28"/>
          <w:szCs w:val="24"/>
          <w:lang w:eastAsia="ru-RU"/>
        </w:rPr>
        <w:t>5</w:t>
      </w:r>
      <w:r w:rsidRPr="00B95F0E">
        <w:rPr>
          <w:rFonts w:ascii="Times New Roman" w:hAnsi="Times New Roman"/>
          <w:sz w:val="28"/>
          <w:szCs w:val="24"/>
          <w:lang w:eastAsia="ru-RU"/>
        </w:rPr>
        <w:t xml:space="preserve"> лет.</w:t>
      </w:r>
    </w:p>
    <w:p w:rsidR="002D1E45" w:rsidRPr="00B95F0E" w:rsidRDefault="002D1E45" w:rsidP="00B95F0E">
      <w:pPr>
        <w:spacing w:after="0" w:line="240" w:lineRule="auto"/>
        <w:ind w:firstLine="709"/>
        <w:jc w:val="both"/>
        <w:rPr>
          <w:rFonts w:ascii="Times New Roman" w:hAnsi="Times New Roman"/>
          <w:sz w:val="28"/>
          <w:szCs w:val="24"/>
          <w:lang w:eastAsia="ru-RU"/>
        </w:rPr>
      </w:pPr>
      <w:r w:rsidRPr="00B95F0E">
        <w:rPr>
          <w:rFonts w:ascii="Times New Roman" w:hAnsi="Times New Roman"/>
          <w:sz w:val="28"/>
          <w:szCs w:val="24"/>
          <w:lang w:eastAsia="ru-RU"/>
        </w:rPr>
        <w:t>Для 1 очереди (20</w:t>
      </w:r>
      <w:r>
        <w:rPr>
          <w:rFonts w:ascii="Times New Roman" w:hAnsi="Times New Roman"/>
          <w:sz w:val="28"/>
          <w:szCs w:val="24"/>
          <w:lang w:eastAsia="ru-RU"/>
        </w:rPr>
        <w:t>30</w:t>
      </w:r>
      <w:r w:rsidRPr="00B95F0E">
        <w:rPr>
          <w:rFonts w:ascii="Times New Roman" w:hAnsi="Times New Roman"/>
          <w:sz w:val="28"/>
          <w:szCs w:val="24"/>
          <w:lang w:eastAsia="ru-RU"/>
        </w:rPr>
        <w:t xml:space="preserve"> год):</w:t>
      </w:r>
    </w:p>
    <w:p w:rsidR="002D1E45" w:rsidRPr="00B95F0E" w:rsidRDefault="002D1E45" w:rsidP="00B95F0E">
      <w:pPr>
        <w:spacing w:after="0" w:line="240" w:lineRule="auto"/>
        <w:ind w:firstLine="709"/>
        <w:jc w:val="both"/>
        <w:rPr>
          <w:rFonts w:ascii="Times New Roman" w:hAnsi="Times New Roman"/>
          <w:sz w:val="28"/>
          <w:szCs w:val="24"/>
          <w:lang w:eastAsia="ru-RU"/>
        </w:rPr>
      </w:pPr>
    </w:p>
    <w:p w:rsidR="002D1E45" w:rsidRPr="00B95F0E" w:rsidRDefault="002D1E45" w:rsidP="00B95F0E">
      <w:pPr>
        <w:spacing w:after="0" w:line="240" w:lineRule="auto"/>
        <w:ind w:firstLine="709"/>
        <w:jc w:val="both"/>
        <w:rPr>
          <w:rFonts w:ascii="Times New Roman" w:hAnsi="Times New Roman"/>
          <w:sz w:val="28"/>
          <w:szCs w:val="24"/>
          <w:lang w:eastAsia="ru-RU"/>
        </w:rPr>
      </w:pPr>
      <w:r>
        <w:pict>
          <v:shape id="_x0000_i1048" type="#_x0000_t75" style="width:298.5pt;height:36pt" equationxml="&lt;?xml version=&quot;1.0&quot; encoding=&quot;UTF-8&quot; standalone=&quot;yes&quot;?&gt;&#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stylePaneFormatFilter w:val=&quot;3F01&quot;/&gt;&lt;w:defaultTabStop w:val=&quot;709&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55249&quot;/&gt;&lt;wsp:rsid wsp:val=&quot;00000069&quot;/&gt;&lt;wsp:rsid wsp:val=&quot;0000011C&quot;/&gt;&lt;wsp:rsid wsp:val=&quot;00000437&quot;/&gt;&lt;wsp:rsid wsp:val=&quot;00001379&quot;/&gt;&lt;wsp:rsid wsp:val=&quot;0000148E&quot;/&gt;&lt;wsp:rsid wsp:val=&quot;00001718&quot;/&gt;&lt;wsp:rsid wsp:val=&quot;000017EA&quot;/&gt;&lt;wsp:rsid wsp:val=&quot;00001828&quot;/&gt;&lt;wsp:rsid wsp:val=&quot;00001D98&quot;/&gt;&lt;wsp:rsid wsp:val=&quot;0000229E&quot;/&gt;&lt;wsp:rsid wsp:val=&quot;000027D5&quot;/&gt;&lt;wsp:rsid wsp:val=&quot;00002824&quot;/&gt;&lt;wsp:rsid wsp:val=&quot;00002C12&quot;/&gt;&lt;wsp:rsid wsp:val=&quot;00002C43&quot;/&gt;&lt;wsp:rsid wsp:val=&quot;00002D9C&quot;/&gt;&lt;wsp:rsid wsp:val=&quot;00002F36&quot;/&gt;&lt;wsp:rsid wsp:val=&quot;0000302F&quot;/&gt;&lt;wsp:rsid wsp:val=&quot;00003030&quot;/&gt;&lt;wsp:rsid wsp:val=&quot;00003EFF&quot;/&gt;&lt;wsp:rsid wsp:val=&quot;0000414C&quot;/&gt;&lt;wsp:rsid wsp:val=&quot;0000443D&quot;/&gt;&lt;wsp:rsid wsp:val=&quot;000046CC&quot;/&gt;&lt;wsp:rsid wsp:val=&quot;00004716&quot;/&gt;&lt;wsp:rsid wsp:val=&quot;0000486D&quot;/&gt;&lt;wsp:rsid wsp:val=&quot;000049C0&quot;/&gt;&lt;wsp:rsid wsp:val=&quot;00004D19&quot;/&gt;&lt;wsp:rsid wsp:val=&quot;00004FAE&quot;/&gt;&lt;wsp:rsid wsp:val=&quot;00004FFC&quot;/&gt;&lt;wsp:rsid wsp:val=&quot;00005636&quot;/&gt;&lt;wsp:rsid wsp:val=&quot;000056E1&quot;/&gt;&lt;wsp:rsid wsp:val=&quot;00005DAF&quot;/&gt;&lt;wsp:rsid wsp:val=&quot;00005F1A&quot;/&gt;&lt;wsp:rsid wsp:val=&quot;00005FEB&quot;/&gt;&lt;wsp:rsid wsp:val=&quot;00006392&quot;/&gt;&lt;wsp:rsid wsp:val=&quot;000063D0&quot;/&gt;&lt;wsp:rsid wsp:val=&quot;00006AE8&quot;/&gt;&lt;wsp:rsid wsp:val=&quot;00006D6F&quot;/&gt;&lt;wsp:rsid wsp:val=&quot;00007175&quot;/&gt;&lt;wsp:rsid wsp:val=&quot;00007274&quot;/&gt;&lt;wsp:rsid wsp:val=&quot;00007B99&quot;/&gt;&lt;wsp:rsid wsp:val=&quot;000101C0&quot;/&gt;&lt;wsp:rsid wsp:val=&quot;00010212&quot;/&gt;&lt;wsp:rsid wsp:val=&quot;00010264&quot;/&gt;&lt;wsp:rsid wsp:val=&quot;000102BD&quot;/&gt;&lt;wsp:rsid wsp:val=&quot;000102EA&quot;/&gt;&lt;wsp:rsid wsp:val=&quot;00010466&quot;/&gt;&lt;wsp:rsid wsp:val=&quot;00010AB4&quot;/&gt;&lt;wsp:rsid wsp:val=&quot;00010B0B&quot;/&gt;&lt;wsp:rsid wsp:val=&quot;00010C3B&quot;/&gt;&lt;wsp:rsid wsp:val=&quot;00010F91&quot;/&gt;&lt;wsp:rsid wsp:val=&quot;000112EE&quot;/&gt;&lt;wsp:rsid wsp:val=&quot;0001146D&quot;/&gt;&lt;wsp:rsid wsp:val=&quot;00011665&quot;/&gt;&lt;wsp:rsid wsp:val=&quot;00011B64&quot;/&gt;&lt;wsp:rsid wsp:val=&quot;00011CA8&quot;/&gt;&lt;wsp:rsid wsp:val=&quot;00011DE4&quot;/&gt;&lt;wsp:rsid wsp:val=&quot;000124AE&quot;/&gt;&lt;wsp:rsid wsp:val=&quot;000127BC&quot;/&gt;&lt;wsp:rsid wsp:val=&quot;00012A66&quot;/&gt;&lt;wsp:rsid wsp:val=&quot;00012DA8&quot;/&gt;&lt;wsp:rsid wsp:val=&quot;00013A20&quot;/&gt;&lt;wsp:rsid wsp:val=&quot;00013A8A&quot;/&gt;&lt;wsp:rsid wsp:val=&quot;00013CAF&quot;/&gt;&lt;wsp:rsid wsp:val=&quot;00013FBF&quot;/&gt;&lt;wsp:rsid wsp:val=&quot;00014152&quot;/&gt;&lt;wsp:rsid wsp:val=&quot;00014177&quot;/&gt;&lt;wsp:rsid wsp:val=&quot;0001436E&quot;/&gt;&lt;wsp:rsid wsp:val=&quot;00014640&quot;/&gt;&lt;wsp:rsid wsp:val=&quot;000146AB&quot;/&gt;&lt;wsp:rsid wsp:val=&quot;0001483D&quot;/&gt;&lt;wsp:rsid wsp:val=&quot;00014851&quot;/&gt;&lt;wsp:rsid wsp:val=&quot;00014B97&quot;/&gt;&lt;wsp:rsid wsp:val=&quot;00014CA6&quot;/&gt;&lt;wsp:rsid wsp:val=&quot;00015089&quot;/&gt;&lt;wsp:rsid wsp:val=&quot;00015200&quot;/&gt;&lt;wsp:rsid wsp:val=&quot;00015247&quot;/&gt;&lt;wsp:rsid wsp:val=&quot;00015471&quot;/&gt;&lt;wsp:rsid wsp:val=&quot;00015475&quot;/&gt;&lt;wsp:rsid wsp:val=&quot;000156EB&quot;/&gt;&lt;wsp:rsid wsp:val=&quot;00015CFD&quot;/&gt;&lt;wsp:rsid wsp:val=&quot;00015E89&quot;/&gt;&lt;wsp:rsid wsp:val=&quot;000162CA&quot;/&gt;&lt;wsp:rsid wsp:val=&quot;000168D8&quot;/&gt;&lt;wsp:rsid wsp:val=&quot;00016BF0&quot;/&gt;&lt;wsp:rsid wsp:val=&quot;00016DD4&quot;/&gt;&lt;wsp:rsid wsp:val=&quot;00016F5A&quot;/&gt;&lt;wsp:rsid wsp:val=&quot;000171AD&quot;/&gt;&lt;wsp:rsid wsp:val=&quot;0001725E&quot;/&gt;&lt;wsp:rsid wsp:val=&quot;000173C4&quot;/&gt;&lt;wsp:rsid wsp:val=&quot;0001783F&quot;/&gt;&lt;wsp:rsid wsp:val=&quot;00017B5A&quot;/&gt;&lt;wsp:rsid wsp:val=&quot;00017FC8&quot;/&gt;&lt;wsp:rsid wsp:val=&quot;000200B7&quot;/&gt;&lt;wsp:rsid wsp:val=&quot;00020690&quot;/&gt;&lt;wsp:rsid wsp:val=&quot;000207BC&quot;/&gt;&lt;wsp:rsid wsp:val=&quot;00020B70&quot;/&gt;&lt;wsp:rsid wsp:val=&quot;00020CF2&quot;/&gt;&lt;wsp:rsid wsp:val=&quot;00020D15&quot;/&gt;&lt;wsp:rsid wsp:val=&quot;0002146E&quot;/&gt;&lt;wsp:rsid wsp:val=&quot;000216FC&quot;/&gt;&lt;wsp:rsid wsp:val=&quot;00021808&quot;/&gt;&lt;wsp:rsid wsp:val=&quot;00021864&quot;/&gt;&lt;wsp:rsid wsp:val=&quot;000219DD&quot;/&gt;&lt;wsp:rsid wsp:val=&quot;00021A57&quot;/&gt;&lt;wsp:rsid wsp:val=&quot;00021C1B&quot;/&gt;&lt;wsp:rsid wsp:val=&quot;00021C6A&quot;/&gt;&lt;wsp:rsid wsp:val=&quot;0002261A&quot;/&gt;&lt;wsp:rsid wsp:val=&quot;00022689&quot;/&gt;&lt;wsp:rsid wsp:val=&quot;0002275A&quot;/&gt;&lt;wsp:rsid wsp:val=&quot;00022976&quot;/&gt;&lt;wsp:rsid wsp:val=&quot;00022B13&quot;/&gt;&lt;wsp:rsid wsp:val=&quot;00022C89&quot;/&gt;&lt;wsp:rsid wsp:val=&quot;00022ED3&quot;/&gt;&lt;wsp:rsid wsp:val=&quot;0002310D&quot;/&gt;&lt;wsp:rsid wsp:val=&quot;0002325C&quot;/&gt;&lt;wsp:rsid wsp:val=&quot;000233B5&quot;/&gt;&lt;wsp:rsid wsp:val=&quot;000235C8&quot;/&gt;&lt;wsp:rsid wsp:val=&quot;000237E7&quot;/&gt;&lt;wsp:rsid wsp:val=&quot;000238DD&quot;/&gt;&lt;wsp:rsid wsp:val=&quot;00023B4A&quot;/&gt;&lt;wsp:rsid wsp:val=&quot;00023CDA&quot;/&gt;&lt;wsp:rsid wsp:val=&quot;0002413B&quot;/&gt;&lt;wsp:rsid wsp:val=&quot;000244A8&quot;/&gt;&lt;wsp:rsid wsp:val=&quot;0002487C&quot;/&gt;&lt;wsp:rsid wsp:val=&quot;00024D37&quot;/&gt;&lt;wsp:rsid wsp:val=&quot;00024F28&quot;/&gt;&lt;wsp:rsid wsp:val=&quot;000252B6&quot;/&gt;&lt;wsp:rsid wsp:val=&quot;000254CC&quot;/&gt;&lt;wsp:rsid wsp:val=&quot;00025586&quot;/&gt;&lt;wsp:rsid wsp:val=&quot;000260FE&quot;/&gt;&lt;wsp:rsid wsp:val=&quot;00026294&quot;/&gt;&lt;wsp:rsid wsp:val=&quot;00026338&quot;/&gt;&lt;wsp:rsid wsp:val=&quot;000266C8&quot;/&gt;&lt;wsp:rsid wsp:val=&quot;00026ABE&quot;/&gt;&lt;wsp:rsid wsp:val=&quot;00026FF4&quot;/&gt;&lt;wsp:rsid wsp:val=&quot;0002729C&quot;/&gt;&lt;wsp:rsid wsp:val=&quot;000279E6&quot;/&gt;&lt;wsp:rsid wsp:val=&quot;00027B3A&quot;/&gt;&lt;wsp:rsid wsp:val=&quot;00027C41&quot;/&gt;&lt;wsp:rsid wsp:val=&quot;00027F89&quot;/&gt;&lt;wsp:rsid wsp:val=&quot;0003050D&quot;/&gt;&lt;wsp:rsid wsp:val=&quot;00030523&quot;/&gt;&lt;wsp:rsid wsp:val=&quot;00031209&quot;/&gt;&lt;wsp:rsid wsp:val=&quot;00031883&quot;/&gt;&lt;wsp:rsid wsp:val=&quot;00032460&quot;/&gt;&lt;wsp:rsid wsp:val=&quot;0003252F&quot;/&gt;&lt;wsp:rsid wsp:val=&quot;000325E4&quot;/&gt;&lt;wsp:rsid wsp:val=&quot;000329BA&quot;/&gt;&lt;wsp:rsid wsp:val=&quot;00032F20&quot;/&gt;&lt;wsp:rsid wsp:val=&quot;000330C7&quot;/&gt;&lt;wsp:rsid wsp:val=&quot;00033121&quot;/&gt;&lt;wsp:rsid wsp:val=&quot;000332E2&quot;/&gt;&lt;wsp:rsid wsp:val=&quot;00033895&quot;/&gt;&lt;wsp:rsid wsp:val=&quot;00033D2D&quot;/&gt;&lt;wsp:rsid wsp:val=&quot;0003401B&quot;/&gt;&lt;wsp:rsid wsp:val=&quot;000341CE&quot;/&gt;&lt;wsp:rsid wsp:val=&quot;00034258&quot;/&gt;&lt;wsp:rsid wsp:val=&quot;00034677&quot;/&gt;&lt;wsp:rsid wsp:val=&quot;000355D5&quot;/&gt;&lt;wsp:rsid wsp:val=&quot;0003587E&quot;/&gt;&lt;wsp:rsid wsp:val=&quot;000358E5&quot;/&gt;&lt;wsp:rsid wsp:val=&quot;00035FC8&quot;/&gt;&lt;wsp:rsid wsp:val=&quot;00036085&quot;/&gt;&lt;wsp:rsid wsp:val=&quot;0003610F&quot;/&gt;&lt;wsp:rsid wsp:val=&quot;00036574&quot;/&gt;&lt;wsp:rsid wsp:val=&quot;00036A0C&quot;/&gt;&lt;wsp:rsid wsp:val=&quot;0003741C&quot;/&gt;&lt;wsp:rsid wsp:val=&quot;000375A9&quot;/&gt;&lt;wsp:rsid wsp:val=&quot;000375E4&quot;/&gt;&lt;wsp:rsid wsp:val=&quot;00037990&quot;/&gt;&lt;wsp:rsid wsp:val=&quot;000379E2&quot;/&gt;&lt;wsp:rsid wsp:val=&quot;00037A8B&quot;/&gt;&lt;wsp:rsid wsp:val=&quot;00037B44&quot;/&gt;&lt;wsp:rsid wsp:val=&quot;00037D86&quot;/&gt;&lt;wsp:rsid wsp:val=&quot;000401B5&quot;/&gt;&lt;wsp:rsid wsp:val=&quot;00040704&quot;/&gt;&lt;wsp:rsid wsp:val=&quot;00040747&quot;/&gt;&lt;wsp:rsid wsp:val=&quot;00040937&quot;/&gt;&lt;wsp:rsid wsp:val=&quot;00040B84&quot;/&gt;&lt;wsp:rsid wsp:val=&quot;00040C12&quot;/&gt;&lt;wsp:rsid wsp:val=&quot;00040DA1&quot;/&gt;&lt;wsp:rsid wsp:val=&quot;00040F18&quot;/&gt;&lt;wsp:rsid wsp:val=&quot;0004110F&quot;/&gt;&lt;wsp:rsid wsp:val=&quot;000412EB&quot;/&gt;&lt;wsp:rsid wsp:val=&quot;0004138D&quot;/&gt;&lt;wsp:rsid wsp:val=&quot;000413F1&quot;/&gt;&lt;wsp:rsid wsp:val=&quot;000414C0&quot;/&gt;&lt;wsp:rsid wsp:val=&quot;00041E8F&quot;/&gt;&lt;wsp:rsid wsp:val=&quot;00041F06&quot;/&gt;&lt;wsp:rsid wsp:val=&quot;0004255B&quot;/&gt;&lt;wsp:rsid wsp:val=&quot;00042594&quot;/&gt;&lt;wsp:rsid wsp:val=&quot;0004273E&quot;/&gt;&lt;wsp:rsid wsp:val=&quot;00042764&quot;/&gt;&lt;wsp:rsid wsp:val=&quot;00042F4A&quot;/&gt;&lt;wsp:rsid wsp:val=&quot;000430F4&quot;/&gt;&lt;wsp:rsid wsp:val=&quot;00043921&quot;/&gt;&lt;wsp:rsid wsp:val=&quot;00043935&quot;/&gt;&lt;wsp:rsid wsp:val=&quot;00043EB2&quot;/&gt;&lt;wsp:rsid wsp:val=&quot;0004419F&quot;/&gt;&lt;wsp:rsid wsp:val=&quot;00044391&quot;/&gt;&lt;wsp:rsid wsp:val=&quot;0004446E&quot;/&gt;&lt;wsp:rsid wsp:val=&quot;000444B3&quot;/&gt;&lt;wsp:rsid wsp:val=&quot;00044538&quot;/&gt;&lt;wsp:rsid wsp:val=&quot;0004488A&quot;/&gt;&lt;wsp:rsid wsp:val=&quot;000449CE&quot;/&gt;&lt;wsp:rsid wsp:val=&quot;00044A16&quot;/&gt;&lt;wsp:rsid wsp:val=&quot;00044B5C&quot;/&gt;&lt;wsp:rsid wsp:val=&quot;00044D18&quot;/&gt;&lt;wsp:rsid wsp:val=&quot;00044E73&quot;/&gt;&lt;wsp:rsid wsp:val=&quot;00044F28&quot;/&gt;&lt;wsp:rsid wsp:val=&quot;00044FEF&quot;/&gt;&lt;wsp:rsid wsp:val=&quot;00045598&quot;/&gt;&lt;wsp:rsid wsp:val=&quot;00045B35&quot;/&gt;&lt;wsp:rsid wsp:val=&quot;00045E51&quot;/&gt;&lt;wsp:rsid wsp:val=&quot;00046110&quot;/&gt;&lt;wsp:rsid wsp:val=&quot;00046429&quot;/&gt;&lt;wsp:rsid wsp:val=&quot;0004668C&quot;/&gt;&lt;wsp:rsid wsp:val=&quot;000475D4&quot;/&gt;&lt;wsp:rsid wsp:val=&quot;00047C17&quot;/&gt;&lt;wsp:rsid wsp:val=&quot;00047C27&quot;/&gt;&lt;wsp:rsid wsp:val=&quot;00047C59&quot;/&gt;&lt;wsp:rsid wsp:val=&quot;00047F34&quot;/&gt;&lt;wsp:rsid wsp:val=&quot;000504F0&quot;/&gt;&lt;wsp:rsid wsp:val=&quot;00050664&quot;/&gt;&lt;wsp:rsid wsp:val=&quot;00050880&quot;/&gt;&lt;wsp:rsid wsp:val=&quot;00050993&quot;/&gt;&lt;wsp:rsid wsp:val=&quot;00050FD6&quot;/&gt;&lt;wsp:rsid wsp:val=&quot;00051206&quot;/&gt;&lt;wsp:rsid wsp:val=&quot;000515A2&quot;/&gt;&lt;wsp:rsid wsp:val=&quot;00051F54&quot;/&gt;&lt;wsp:rsid wsp:val=&quot;000520A1&quot;/&gt;&lt;wsp:rsid wsp:val=&quot;000525EB&quot;/&gt;&lt;wsp:rsid wsp:val=&quot;0005266E&quot;/&gt;&lt;wsp:rsid wsp:val=&quot;000527E0&quot;/&gt;&lt;wsp:rsid wsp:val=&quot;00052923&quot;/&gt;&lt;wsp:rsid wsp:val=&quot;00052D26&quot;/&gt;&lt;wsp:rsid wsp:val=&quot;00052E31&quot;/&gt;&lt;wsp:rsid wsp:val=&quot;000535A5&quot;/&gt;&lt;wsp:rsid wsp:val=&quot;000536A3&quot;/&gt;&lt;wsp:rsid wsp:val=&quot;00053D10&quot;/&gt;&lt;wsp:rsid wsp:val=&quot;00053F2B&quot;/&gt;&lt;wsp:rsid wsp:val=&quot;00053F37&quot;/&gt;&lt;wsp:rsid wsp:val=&quot;000546C9&quot;/&gt;&lt;wsp:rsid wsp:val=&quot;000547F3&quot;/&gt;&lt;wsp:rsid wsp:val=&quot;000548C7&quot;/&gt;&lt;wsp:rsid wsp:val=&quot;00054E12&quot;/&gt;&lt;wsp:rsid wsp:val=&quot;00054E32&quot;/&gt;&lt;wsp:rsid wsp:val=&quot;000551DD&quot;/&gt;&lt;wsp:rsid wsp:val=&quot;0005551E&quot;/&gt;&lt;wsp:rsid wsp:val=&quot;00055725&quot;/&gt;&lt;wsp:rsid wsp:val=&quot;0005582F&quot;/&gt;&lt;wsp:rsid wsp:val=&quot;000558B6&quot;/&gt;&lt;wsp:rsid wsp:val=&quot;00055A9A&quot;/&gt;&lt;wsp:rsid wsp:val=&quot;00055D45&quot;/&gt;&lt;wsp:rsid wsp:val=&quot;00055E28&quot;/&gt;&lt;wsp:rsid wsp:val=&quot;000563E2&quot;/&gt;&lt;wsp:rsid wsp:val=&quot;0005646A&quot;/&gt;&lt;wsp:rsid wsp:val=&quot;00056820&quot;/&gt;&lt;wsp:rsid wsp:val=&quot;00056C8F&quot;/&gt;&lt;wsp:rsid wsp:val=&quot;000570B4&quot;/&gt;&lt;wsp:rsid wsp:val=&quot;00057287&quot;/&gt;&lt;wsp:rsid wsp:val=&quot;00057450&quot;/&gt;&lt;wsp:rsid wsp:val=&quot;00057FD1&quot;/&gt;&lt;wsp:rsid wsp:val=&quot;000605C6&quot;/&gt;&lt;wsp:rsid wsp:val=&quot;0006094F&quot;/&gt;&lt;wsp:rsid wsp:val=&quot;00060D9A&quot;/&gt;&lt;wsp:rsid wsp:val=&quot;0006114D&quot;/&gt;&lt;wsp:rsid wsp:val=&quot;00061342&quot;/&gt;&lt;wsp:rsid wsp:val=&quot;000616FB&quot;/&gt;&lt;wsp:rsid wsp:val=&quot;00061D4B&quot;/&gt;&lt;wsp:rsid wsp:val=&quot;0006251F&quot;/&gt;&lt;wsp:rsid wsp:val=&quot;00062BCA&quot;/&gt;&lt;wsp:rsid wsp:val=&quot;00063845&quot;/&gt;&lt;wsp:rsid wsp:val=&quot;00063E7D&quot;/&gt;&lt;wsp:rsid wsp:val=&quot;00063F8C&quot;/&gt;&lt;wsp:rsid wsp:val=&quot;00064336&quot;/&gt;&lt;wsp:rsid wsp:val=&quot;000643A2&quot;/&gt;&lt;wsp:rsid wsp:val=&quot;00064B66&quot;/&gt;&lt;wsp:rsid wsp:val=&quot;00064F9D&quot;/&gt;&lt;wsp:rsid wsp:val=&quot;0006561A&quot;/&gt;&lt;wsp:rsid wsp:val=&quot;000659B9&quot;/&gt;&lt;wsp:rsid wsp:val=&quot;00065B48&quot;/&gt;&lt;wsp:rsid wsp:val=&quot;00065F03&quot;/&gt;&lt;wsp:rsid wsp:val=&quot;00066175&quot;/&gt;&lt;wsp:rsid wsp:val=&quot;000661F0&quot;/&gt;&lt;wsp:rsid wsp:val=&quot;00066384&quot;/&gt;&lt;wsp:rsid wsp:val=&quot;00066556&quot;/&gt;&lt;wsp:rsid wsp:val=&quot;00066C9F&quot;/&gt;&lt;wsp:rsid wsp:val=&quot;00066D83&quot;/&gt;&lt;wsp:rsid wsp:val=&quot;00067045&quot;/&gt;&lt;wsp:rsid wsp:val=&quot;00067A40&quot;/&gt;&lt;wsp:rsid wsp:val=&quot;00067AA3&quot;/&gt;&lt;wsp:rsid wsp:val=&quot;00067AB9&quot;/&gt;&lt;wsp:rsid wsp:val=&quot;00070000&quot;/&gt;&lt;wsp:rsid wsp:val=&quot;00070067&quot;/&gt;&lt;wsp:rsid wsp:val=&quot;0007015F&quot;/&gt;&lt;wsp:rsid wsp:val=&quot;000702C2&quot;/&gt;&lt;wsp:rsid wsp:val=&quot;000702C6&quot;/&gt;&lt;wsp:rsid wsp:val=&quot;00070A24&quot;/&gt;&lt;wsp:rsid wsp:val=&quot;00071628&quot;/&gt;&lt;wsp:rsid wsp:val=&quot;0007185F&quot;/&gt;&lt;wsp:rsid wsp:val=&quot;00072553&quot;/&gt;&lt;wsp:rsid wsp:val=&quot;00072E07&quot;/&gt;&lt;wsp:rsid wsp:val=&quot;00073729&quot;/&gt;&lt;wsp:rsid wsp:val=&quot;000739F2&quot;/&gt;&lt;wsp:rsid wsp:val=&quot;00073E02&quot;/&gt;&lt;wsp:rsid wsp:val=&quot;00074052&quot;/&gt;&lt;wsp:rsid wsp:val=&quot;00074807&quot;/&gt;&lt;wsp:rsid wsp:val=&quot;00075396&quot;/&gt;&lt;wsp:rsid wsp:val=&quot;00075542&quot;/&gt;&lt;wsp:rsid wsp:val=&quot;00075821&quot;/&gt;&lt;wsp:rsid wsp:val=&quot;00075BDC&quot;/&gt;&lt;wsp:rsid wsp:val=&quot;00075C12&quot;/&gt;&lt;wsp:rsid wsp:val=&quot;00076244&quot;/&gt;&lt;wsp:rsid wsp:val=&quot;0007658B&quot;/&gt;&lt;wsp:rsid wsp:val=&quot;000765A5&quot;/&gt;&lt;wsp:rsid wsp:val=&quot;000766B1&quot;/&gt;&lt;wsp:rsid wsp:val=&quot;00076AEC&quot;/&gt;&lt;wsp:rsid wsp:val=&quot;00076B85&quot;/&gt;&lt;wsp:rsid wsp:val=&quot;00077223&quot;/&gt;&lt;wsp:rsid wsp:val=&quot;000775BC&quot;/&gt;&lt;wsp:rsid wsp:val=&quot;00077735&quot;/&gt;&lt;wsp:rsid wsp:val=&quot;00077964&quot;/&gt;&lt;wsp:rsid wsp:val=&quot;00077AC7&quot;/&gt;&lt;wsp:rsid wsp:val=&quot;00080093&quot;/&gt;&lt;wsp:rsid wsp:val=&quot;00080B60&quot;/&gt;&lt;wsp:rsid wsp:val=&quot;00080D86&quot;/&gt;&lt;wsp:rsid wsp:val=&quot;0008123C&quot;/&gt;&lt;wsp:rsid wsp:val=&quot;000815B0&quot;/&gt;&lt;wsp:rsid wsp:val=&quot;000822F8&quot;/&gt;&lt;wsp:rsid wsp:val=&quot;0008289C&quot;/&gt;&lt;wsp:rsid wsp:val=&quot;00082ACC&quot;/&gt;&lt;wsp:rsid wsp:val=&quot;00082EC5&quot;/&gt;&lt;wsp:rsid wsp:val=&quot;00083307&quot;/&gt;&lt;wsp:rsid wsp:val=&quot;0008338D&quot;/&gt;&lt;wsp:rsid wsp:val=&quot;00083405&quot;/&gt;&lt;wsp:rsid wsp:val=&quot;00083653&quot;/&gt;&lt;wsp:rsid wsp:val=&quot;00083ADB&quot;/&gt;&lt;wsp:rsid wsp:val=&quot;00083BC4&quot;/&gt;&lt;wsp:rsid wsp:val=&quot;00083C79&quot;/&gt;&lt;wsp:rsid wsp:val=&quot;000845BC&quot;/&gt;&lt;wsp:rsid wsp:val=&quot;00084681&quot;/&gt;&lt;wsp:rsid wsp:val=&quot;000849E2&quot;/&gt;&lt;wsp:rsid wsp:val=&quot;00085033&quot;/&gt;&lt;wsp:rsid wsp:val=&quot;0008530A&quot;/&gt;&lt;wsp:rsid wsp:val=&quot;00085A95&quot;/&gt;&lt;wsp:rsid wsp:val=&quot;00085CFD&quot;/&gt;&lt;wsp:rsid wsp:val=&quot;0008620C&quot;/&gt;&lt;wsp:rsid wsp:val=&quot;00086329&quot;/&gt;&lt;wsp:rsid wsp:val=&quot;0008638E&quot;/&gt;&lt;wsp:rsid wsp:val=&quot;00086444&quot;/&gt;&lt;wsp:rsid wsp:val=&quot;00086BB9&quot;/&gt;&lt;wsp:rsid wsp:val=&quot;00087727&quot;/&gt;&lt;wsp:rsid wsp:val=&quot;000877E2&quot;/&gt;&lt;wsp:rsid wsp:val=&quot;00087AC4&quot;/&gt;&lt;wsp:rsid wsp:val=&quot;00087E23&quot;/&gt;&lt;wsp:rsid wsp:val=&quot;0009014C&quot;/&gt;&lt;wsp:rsid wsp:val=&quot;0009092E&quot;/&gt;&lt;wsp:rsid wsp:val=&quot;00090D88&quot;/&gt;&lt;wsp:rsid wsp:val=&quot;00091590&quot;/&gt;&lt;wsp:rsid wsp:val=&quot;0009167E&quot;/&gt;&lt;wsp:rsid wsp:val=&quot;00091B44&quot;/&gt;&lt;wsp:rsid wsp:val=&quot;00091DDD&quot;/&gt;&lt;wsp:rsid wsp:val=&quot;00092244&quot;/&gt;&lt;wsp:rsid wsp:val=&quot;000922A0&quot;/&gt;&lt;wsp:rsid wsp:val=&quot;0009250A&quot;/&gt;&lt;wsp:rsid wsp:val=&quot;00092832&quot;/&gt;&lt;wsp:rsid wsp:val=&quot;00092880&quot;/&gt;&lt;wsp:rsid wsp:val=&quot;000928B8&quot;/&gt;&lt;wsp:rsid wsp:val=&quot;00092BDB&quot;/&gt;&lt;wsp:rsid wsp:val=&quot;00092D38&quot;/&gt;&lt;wsp:rsid wsp:val=&quot;00092DF8&quot;/&gt;&lt;wsp:rsid wsp:val=&quot;00093306&quot;/&gt;&lt;wsp:rsid wsp:val=&quot;00093658&quot;/&gt;&lt;wsp:rsid wsp:val=&quot;000936D3&quot;/&gt;&lt;wsp:rsid wsp:val=&quot;00093D53&quot;/&gt;&lt;wsp:rsid wsp:val=&quot;00093FD6&quot;/&gt;&lt;wsp:rsid wsp:val=&quot;000943A3&quot;/&gt;&lt;wsp:rsid wsp:val=&quot;0009494C&quot;/&gt;&lt;wsp:rsid wsp:val=&quot;00094EE1&quot;/&gt;&lt;wsp:rsid wsp:val=&quot;00095196&quot;/&gt;&lt;wsp:rsid wsp:val=&quot;00095C3B&quot;/&gt;&lt;wsp:rsid wsp:val=&quot;00096485&quot;/&gt;&lt;wsp:rsid wsp:val=&quot;000964BF&quot;/&gt;&lt;wsp:rsid wsp:val=&quot;00096807&quot;/&gt;&lt;wsp:rsid wsp:val=&quot;00096843&quot;/&gt;&lt;wsp:rsid wsp:val=&quot;000968B5&quot;/&gt;&lt;wsp:rsid wsp:val=&quot;00096B2F&quot;/&gt;&lt;wsp:rsid wsp:val=&quot;00096F78&quot;/&gt;&lt;wsp:rsid wsp:val=&quot;00097521&quot;/&gt;&lt;wsp:rsid wsp:val=&quot;000978B1&quot;/&gt;&lt;wsp:rsid wsp:val=&quot;000A002B&quot;/&gt;&lt;wsp:rsid wsp:val=&quot;000A0434&quot;/&gt;&lt;wsp:rsid wsp:val=&quot;000A04F0&quot;/&gt;&lt;wsp:rsid wsp:val=&quot;000A08A6&quot;/&gt;&lt;wsp:rsid wsp:val=&quot;000A0932&quot;/&gt;&lt;wsp:rsid wsp:val=&quot;000A0A93&quot;/&gt;&lt;wsp:rsid wsp:val=&quot;000A0BB0&quot;/&gt;&lt;wsp:rsid wsp:val=&quot;000A0DA2&quot;/&gt;&lt;wsp:rsid wsp:val=&quot;000A16CC&quot;/&gt;&lt;wsp:rsid wsp:val=&quot;000A1A46&quot;/&gt;&lt;wsp:rsid wsp:val=&quot;000A1B18&quot;/&gt;&lt;wsp:rsid wsp:val=&quot;000A1C8A&quot;/&gt;&lt;wsp:rsid wsp:val=&quot;000A379F&quot;/&gt;&lt;wsp:rsid wsp:val=&quot;000A38E0&quot;/&gt;&lt;wsp:rsid wsp:val=&quot;000A39DE&quot;/&gt;&lt;wsp:rsid wsp:val=&quot;000A3C68&quot;/&gt;&lt;wsp:rsid wsp:val=&quot;000A3F95&quot;/&gt;&lt;wsp:rsid wsp:val=&quot;000A4373&quot;/&gt;&lt;wsp:rsid wsp:val=&quot;000A4670&quot;/&gt;&lt;wsp:rsid wsp:val=&quot;000A477D&quot;/&gt;&lt;wsp:rsid wsp:val=&quot;000A47CF&quot;/&gt;&lt;wsp:rsid wsp:val=&quot;000A4C05&quot;/&gt;&lt;wsp:rsid wsp:val=&quot;000A4D03&quot;/&gt;&lt;wsp:rsid wsp:val=&quot;000A4FB4&quot;/&gt;&lt;wsp:rsid wsp:val=&quot;000A4FF6&quot;/&gt;&lt;wsp:rsid wsp:val=&quot;000A512E&quot;/&gt;&lt;wsp:rsid wsp:val=&quot;000A525A&quot;/&gt;&lt;wsp:rsid wsp:val=&quot;000A52FF&quot;/&gt;&lt;wsp:rsid wsp:val=&quot;000A57A2&quot;/&gt;&lt;wsp:rsid wsp:val=&quot;000A5EA9&quot;/&gt;&lt;wsp:rsid wsp:val=&quot;000A611E&quot;/&gt;&lt;wsp:rsid wsp:val=&quot;000A6372&quot;/&gt;&lt;wsp:rsid wsp:val=&quot;000A68B1&quot;/&gt;&lt;wsp:rsid wsp:val=&quot;000A6AAC&quot;/&gt;&lt;wsp:rsid wsp:val=&quot;000A6BF9&quot;/&gt;&lt;wsp:rsid wsp:val=&quot;000A6E06&quot;/&gt;&lt;wsp:rsid wsp:val=&quot;000A718C&quot;/&gt;&lt;wsp:rsid wsp:val=&quot;000A741A&quot;/&gt;&lt;wsp:rsid wsp:val=&quot;000A7430&quot;/&gt;&lt;wsp:rsid wsp:val=&quot;000A7482&quot;/&gt;&lt;wsp:rsid wsp:val=&quot;000A7895&quot;/&gt;&lt;wsp:rsid wsp:val=&quot;000A7BD7&quot;/&gt;&lt;wsp:rsid wsp:val=&quot;000A7D80&quot;/&gt;&lt;wsp:rsid wsp:val=&quot;000B1142&quot;/&gt;&lt;wsp:rsid wsp:val=&quot;000B1322&quot;/&gt;&lt;wsp:rsid wsp:val=&quot;000B149A&quot;/&gt;&lt;wsp:rsid wsp:val=&quot;000B14DF&quot;/&gt;&lt;wsp:rsid wsp:val=&quot;000B167D&quot;/&gt;&lt;wsp:rsid wsp:val=&quot;000B1B67&quot;/&gt;&lt;wsp:rsid wsp:val=&quot;000B1E31&quot;/&gt;&lt;wsp:rsid wsp:val=&quot;000B221A&quot;/&gt;&lt;wsp:rsid wsp:val=&quot;000B251B&quot;/&gt;&lt;wsp:rsid wsp:val=&quot;000B25C3&quot;/&gt;&lt;wsp:rsid wsp:val=&quot;000B27FD&quot;/&gt;&lt;wsp:rsid wsp:val=&quot;000B286C&quot;/&gt;&lt;wsp:rsid wsp:val=&quot;000B2B47&quot;/&gt;&lt;wsp:rsid wsp:val=&quot;000B2B6B&quot;/&gt;&lt;wsp:rsid wsp:val=&quot;000B2C1A&quot;/&gt;&lt;wsp:rsid wsp:val=&quot;000B2EB4&quot;/&gt;&lt;wsp:rsid wsp:val=&quot;000B3481&quot;/&gt;&lt;wsp:rsid wsp:val=&quot;000B3B79&quot;/&gt;&lt;wsp:rsid wsp:val=&quot;000B4097&quot;/&gt;&lt;wsp:rsid wsp:val=&quot;000B40D5&quot;/&gt;&lt;wsp:rsid wsp:val=&quot;000B439E&quot;/&gt;&lt;wsp:rsid wsp:val=&quot;000B4880&quot;/&gt;&lt;wsp:rsid wsp:val=&quot;000B4C48&quot;/&gt;&lt;wsp:rsid wsp:val=&quot;000B51E8&quot;/&gt;&lt;wsp:rsid wsp:val=&quot;000B5B75&quot;/&gt;&lt;wsp:rsid wsp:val=&quot;000B5B94&quot;/&gt;&lt;wsp:rsid wsp:val=&quot;000B5C9E&quot;/&gt;&lt;wsp:rsid wsp:val=&quot;000B641C&quot;/&gt;&lt;wsp:rsid wsp:val=&quot;000B6424&quot;/&gt;&lt;wsp:rsid wsp:val=&quot;000B6501&quot;/&gt;&lt;wsp:rsid wsp:val=&quot;000B6618&quot;/&gt;&lt;wsp:rsid wsp:val=&quot;000B693A&quot;/&gt;&lt;wsp:rsid wsp:val=&quot;000B69BA&quot;/&gt;&lt;wsp:rsid wsp:val=&quot;000B6EF4&quot;/&gt;&lt;wsp:rsid wsp:val=&quot;000B6F17&quot;/&gt;&lt;wsp:rsid wsp:val=&quot;000B6F8A&quot;/&gt;&lt;wsp:rsid wsp:val=&quot;000B7311&quot;/&gt;&lt;wsp:rsid wsp:val=&quot;000B7768&quot;/&gt;&lt;wsp:rsid wsp:val=&quot;000B79A3&quot;/&gt;&lt;wsp:rsid wsp:val=&quot;000C060E&quot;/&gt;&lt;wsp:rsid wsp:val=&quot;000C0854&quot;/&gt;&lt;wsp:rsid wsp:val=&quot;000C0E5A&quot;/&gt;&lt;wsp:rsid wsp:val=&quot;000C0F02&quot;/&gt;&lt;wsp:rsid wsp:val=&quot;000C134A&quot;/&gt;&lt;wsp:rsid wsp:val=&quot;000C1706&quot;/&gt;&lt;wsp:rsid wsp:val=&quot;000C1C1D&quot;/&gt;&lt;wsp:rsid wsp:val=&quot;000C1CF9&quot;/&gt;&lt;wsp:rsid wsp:val=&quot;000C1E63&quot;/&gt;&lt;wsp:rsid wsp:val=&quot;000C1FAA&quot;/&gt;&lt;wsp:rsid wsp:val=&quot;000C2A69&quot;/&gt;&lt;wsp:rsid wsp:val=&quot;000C313A&quot;/&gt;&lt;wsp:rsid wsp:val=&quot;000C313D&quot;/&gt;&lt;wsp:rsid wsp:val=&quot;000C324D&quot;/&gt;&lt;wsp:rsid wsp:val=&quot;000C3271&quot;/&gt;&lt;wsp:rsid wsp:val=&quot;000C34E4&quot;/&gt;&lt;wsp:rsid wsp:val=&quot;000C3563&quot;/&gt;&lt;wsp:rsid wsp:val=&quot;000C36F0&quot;/&gt;&lt;wsp:rsid wsp:val=&quot;000C3850&quot;/&gt;&lt;wsp:rsid wsp:val=&quot;000C3B1C&quot;/&gt;&lt;wsp:rsid wsp:val=&quot;000C3D26&quot;/&gt;&lt;wsp:rsid wsp:val=&quot;000C3E41&quot;/&gt;&lt;wsp:rsid wsp:val=&quot;000C40E5&quot;/&gt;&lt;wsp:rsid wsp:val=&quot;000C458C&quot;/&gt;&lt;wsp:rsid wsp:val=&quot;000C4D5D&quot;/&gt;&lt;wsp:rsid wsp:val=&quot;000C55A4&quot;/&gt;&lt;wsp:rsid wsp:val=&quot;000C5DF7&quot;/&gt;&lt;wsp:rsid wsp:val=&quot;000C6617&quot;/&gt;&lt;wsp:rsid wsp:val=&quot;000C68A4&quot;/&gt;&lt;wsp:rsid wsp:val=&quot;000C695C&quot;/&gt;&lt;wsp:rsid wsp:val=&quot;000C7051&quot;/&gt;&lt;wsp:rsid wsp:val=&quot;000C75BD&quot;/&gt;&lt;wsp:rsid wsp:val=&quot;000C771E&quot;/&gt;&lt;wsp:rsid wsp:val=&quot;000C7AF7&quot;/&gt;&lt;wsp:rsid wsp:val=&quot;000C7FDE&quot;/&gt;&lt;wsp:rsid wsp:val=&quot;000D024B&quot;/&gt;&lt;wsp:rsid wsp:val=&quot;000D03D3&quot;/&gt;&lt;wsp:rsid wsp:val=&quot;000D04D2&quot;/&gt;&lt;wsp:rsid wsp:val=&quot;000D05CB&quot;/&gt;&lt;wsp:rsid wsp:val=&quot;000D06AA&quot;/&gt;&lt;wsp:rsid wsp:val=&quot;000D0A5E&quot;/&gt;&lt;wsp:rsid wsp:val=&quot;000D0E34&quot;/&gt;&lt;wsp:rsid wsp:val=&quot;000D123D&quot;/&gt;&lt;wsp:rsid wsp:val=&quot;000D12B2&quot;/&gt;&lt;wsp:rsid wsp:val=&quot;000D1489&quot;/&gt;&lt;wsp:rsid wsp:val=&quot;000D1698&quot;/&gt;&lt;wsp:rsid wsp:val=&quot;000D1A50&quot;/&gt;&lt;wsp:rsid wsp:val=&quot;000D1C03&quot;/&gt;&lt;wsp:rsid wsp:val=&quot;000D1D53&quot;/&gt;&lt;wsp:rsid wsp:val=&quot;000D232C&quot;/&gt;&lt;wsp:rsid wsp:val=&quot;000D285E&quot;/&gt;&lt;wsp:rsid wsp:val=&quot;000D28F0&quot;/&gt;&lt;wsp:rsid wsp:val=&quot;000D296A&quot;/&gt;&lt;wsp:rsid wsp:val=&quot;000D2992&quot;/&gt;&lt;wsp:rsid wsp:val=&quot;000D2C72&quot;/&gt;&lt;wsp:rsid wsp:val=&quot;000D31FD&quot;/&gt;&lt;wsp:rsid wsp:val=&quot;000D3378&quot;/&gt;&lt;wsp:rsid wsp:val=&quot;000D35B2&quot;/&gt;&lt;wsp:rsid wsp:val=&quot;000D3671&quot;/&gt;&lt;wsp:rsid wsp:val=&quot;000D409D&quot;/&gt;&lt;wsp:rsid wsp:val=&quot;000D4513&quot;/&gt;&lt;wsp:rsid wsp:val=&quot;000D4CD0&quot;/&gt;&lt;wsp:rsid wsp:val=&quot;000D4D1D&quot;/&gt;&lt;wsp:rsid wsp:val=&quot;000D4DC6&quot;/&gt;&lt;wsp:rsid wsp:val=&quot;000D4F86&quot;/&gt;&lt;wsp:rsid wsp:val=&quot;000D50D1&quot;/&gt;&lt;wsp:rsid wsp:val=&quot;000D54E7&quot;/&gt;&lt;wsp:rsid wsp:val=&quot;000D5542&quot;/&gt;&lt;wsp:rsid wsp:val=&quot;000D569C&quot;/&gt;&lt;wsp:rsid wsp:val=&quot;000D57B5&quot;/&gt;&lt;wsp:rsid wsp:val=&quot;000D580C&quot;/&gt;&lt;wsp:rsid wsp:val=&quot;000D5848&quot;/&gt;&lt;wsp:rsid wsp:val=&quot;000D59E3&quot;/&gt;&lt;wsp:rsid wsp:val=&quot;000D5ACC&quot;/&gt;&lt;wsp:rsid wsp:val=&quot;000D5E6D&quot;/&gt;&lt;wsp:rsid wsp:val=&quot;000D5ED1&quot;/&gt;&lt;wsp:rsid wsp:val=&quot;000D6903&quot;/&gt;&lt;wsp:rsid wsp:val=&quot;000D6F84&quot;/&gt;&lt;wsp:rsid wsp:val=&quot;000D6FE1&quot;/&gt;&lt;wsp:rsid wsp:val=&quot;000D708D&quot;/&gt;&lt;wsp:rsid wsp:val=&quot;000D753B&quot;/&gt;&lt;wsp:rsid wsp:val=&quot;000D7FBD&quot;/&gt;&lt;wsp:rsid wsp:val=&quot;000E00E8&quot;/&gt;&lt;wsp:rsid wsp:val=&quot;000E013F&quot;/&gt;&lt;wsp:rsid wsp:val=&quot;000E08A7&quot;/&gt;&lt;wsp:rsid wsp:val=&quot;000E0D19&quot;/&gt;&lt;wsp:rsid wsp:val=&quot;000E1064&quot;/&gt;&lt;wsp:rsid wsp:val=&quot;000E1137&quot;/&gt;&lt;wsp:rsid wsp:val=&quot;000E1324&quot;/&gt;&lt;wsp:rsid wsp:val=&quot;000E147C&quot;/&gt;&lt;wsp:rsid wsp:val=&quot;000E16EE&quot;/&gt;&lt;wsp:rsid wsp:val=&quot;000E1736&quot;/&gt;&lt;wsp:rsid wsp:val=&quot;000E1B5F&quot;/&gt;&lt;wsp:rsid wsp:val=&quot;000E20CF&quot;/&gt;&lt;wsp:rsid wsp:val=&quot;000E2277&quot;/&gt;&lt;wsp:rsid wsp:val=&quot;000E22A7&quot;/&gt;&lt;wsp:rsid wsp:val=&quot;000E22ED&quot;/&gt;&lt;wsp:rsid wsp:val=&quot;000E25F1&quot;/&gt;&lt;wsp:rsid wsp:val=&quot;000E2A13&quot;/&gt;&lt;wsp:rsid wsp:val=&quot;000E32F7&quot;/&gt;&lt;wsp:rsid wsp:val=&quot;000E381E&quot;/&gt;&lt;wsp:rsid wsp:val=&quot;000E3AEB&quot;/&gt;&lt;wsp:rsid wsp:val=&quot;000E4019&quot;/&gt;&lt;wsp:rsid wsp:val=&quot;000E4421&quot;/&gt;&lt;wsp:rsid wsp:val=&quot;000E4906&quot;/&gt;&lt;wsp:rsid wsp:val=&quot;000E4CA2&quot;/&gt;&lt;wsp:rsid wsp:val=&quot;000E4F6D&quot;/&gt;&lt;wsp:rsid wsp:val=&quot;000E5496&quot;/&gt;&lt;wsp:rsid wsp:val=&quot;000E56AD&quot;/&gt;&lt;wsp:rsid wsp:val=&quot;000E56C5&quot;/&gt;&lt;wsp:rsid wsp:val=&quot;000E5B04&quot;/&gt;&lt;wsp:rsid wsp:val=&quot;000E64B9&quot;/&gt;&lt;wsp:rsid wsp:val=&quot;000E6562&quot;/&gt;&lt;wsp:rsid wsp:val=&quot;000E6586&quot;/&gt;&lt;wsp:rsid wsp:val=&quot;000E72CA&quot;/&gt;&lt;wsp:rsid wsp:val=&quot;000E7460&quot;/&gt;&lt;wsp:rsid wsp:val=&quot;000E785F&quot;/&gt;&lt;wsp:rsid wsp:val=&quot;000F0095&quot;/&gt;&lt;wsp:rsid wsp:val=&quot;000F0866&quot;/&gt;&lt;wsp:rsid wsp:val=&quot;000F08DE&quot;/&gt;&lt;wsp:rsid wsp:val=&quot;000F0AEA&quot;/&gt;&lt;wsp:rsid wsp:val=&quot;000F0B14&quot;/&gt;&lt;wsp:rsid wsp:val=&quot;000F0D9D&quot;/&gt;&lt;wsp:rsid wsp:val=&quot;000F1187&quot;/&gt;&lt;wsp:rsid wsp:val=&quot;000F13C2&quot;/&gt;&lt;wsp:rsid wsp:val=&quot;000F15F2&quot;/&gt;&lt;wsp:rsid wsp:val=&quot;000F1830&quot;/&gt;&lt;wsp:rsid wsp:val=&quot;000F2759&quot;/&gt;&lt;wsp:rsid wsp:val=&quot;000F317F&quot;/&gt;&lt;wsp:rsid wsp:val=&quot;000F337B&quot;/&gt;&lt;wsp:rsid wsp:val=&quot;000F3CC7&quot;/&gt;&lt;wsp:rsid wsp:val=&quot;000F403D&quot;/&gt;&lt;wsp:rsid wsp:val=&quot;000F4287&quot;/&gt;&lt;wsp:rsid wsp:val=&quot;000F4389&quot;/&gt;&lt;wsp:rsid wsp:val=&quot;000F484B&quot;/&gt;&lt;wsp:rsid wsp:val=&quot;000F4FAE&quot;/&gt;&lt;wsp:rsid wsp:val=&quot;000F5591&quot;/&gt;&lt;wsp:rsid wsp:val=&quot;000F57E4&quot;/&gt;&lt;wsp:rsid wsp:val=&quot;000F5C16&quot;/&gt;&lt;wsp:rsid wsp:val=&quot;000F60E6&quot;/&gt;&lt;wsp:rsid wsp:val=&quot;000F6F5B&quot;/&gt;&lt;wsp:rsid wsp:val=&quot;000F743B&quot;/&gt;&lt;wsp:rsid wsp:val=&quot;000F79ED&quot;/&gt;&lt;wsp:rsid wsp:val=&quot;000F7E8F&quot;/&gt;&lt;wsp:rsid wsp:val=&quot;00100565&quot;/&gt;&lt;wsp:rsid wsp:val=&quot;0010079F&quot;/&gt;&lt;wsp:rsid wsp:val=&quot;001007F6&quot;/&gt;&lt;wsp:rsid wsp:val=&quot;0010085A&quot;/&gt;&lt;wsp:rsid wsp:val=&quot;00100B18&quot;/&gt;&lt;wsp:rsid wsp:val=&quot;00100C0C&quot;/&gt;&lt;wsp:rsid wsp:val=&quot;00100FA1&quot;/&gt;&lt;wsp:rsid wsp:val=&quot;00100FA5&quot;/&gt;&lt;wsp:rsid wsp:val=&quot;0010136D&quot;/&gt;&lt;wsp:rsid wsp:val=&quot;001013C0&quot;/&gt;&lt;wsp:rsid wsp:val=&quot;0010153E&quot;/&gt;&lt;wsp:rsid wsp:val=&quot;001017D1&quot;/&gt;&lt;wsp:rsid wsp:val=&quot;00101889&quot;/&gt;&lt;wsp:rsid wsp:val=&quot;00101BF0&quot;/&gt;&lt;wsp:rsid wsp:val=&quot;00102343&quot;/&gt;&lt;wsp:rsid wsp:val=&quot;00102433&quot;/&gt;&lt;wsp:rsid wsp:val=&quot;00102564&quot;/&gt;&lt;wsp:rsid wsp:val=&quot;001028FB&quot;/&gt;&lt;wsp:rsid wsp:val=&quot;0010291C&quot;/&gt;&lt;wsp:rsid wsp:val=&quot;00102B88&quot;/&gt;&lt;wsp:rsid wsp:val=&quot;00102C99&quot;/&gt;&lt;wsp:rsid wsp:val=&quot;00103887&quot;/&gt;&lt;wsp:rsid wsp:val=&quot;00103962&quot;/&gt;&lt;wsp:rsid wsp:val=&quot;00103D38&quot;/&gt;&lt;wsp:rsid wsp:val=&quot;00104722&quot;/&gt;&lt;wsp:rsid wsp:val=&quot;00104A66&quot;/&gt;&lt;wsp:rsid wsp:val=&quot;00104A96&quot;/&gt;&lt;wsp:rsid wsp:val=&quot;00104DF2&quot;/&gt;&lt;wsp:rsid wsp:val=&quot;00104E38&quot;/&gt;&lt;wsp:rsid wsp:val=&quot;00104E39&quot;/&gt;&lt;wsp:rsid wsp:val=&quot;001053AC&quot;/&gt;&lt;wsp:rsid wsp:val=&quot;001055E1&quot;/&gt;&lt;wsp:rsid wsp:val=&quot;001057A1&quot;/&gt;&lt;wsp:rsid wsp:val=&quot;00105C11&quot;/&gt;&lt;wsp:rsid wsp:val=&quot;00105CA0&quot;/&gt;&lt;wsp:rsid wsp:val=&quot;0010630B&quot;/&gt;&lt;wsp:rsid wsp:val=&quot;0010653D&quot;/&gt;&lt;wsp:rsid wsp:val=&quot;0010728C&quot;/&gt;&lt;wsp:rsid wsp:val=&quot;00107807&quot;/&gt;&lt;wsp:rsid wsp:val=&quot;0010780B&quot;/&gt;&lt;wsp:rsid wsp:val=&quot;0010794E&quot;/&gt;&lt;wsp:rsid wsp:val=&quot;00107B11&quot;/&gt;&lt;wsp:rsid wsp:val=&quot;00107B79&quot;/&gt;&lt;wsp:rsid wsp:val=&quot;00107D7C&quot;/&gt;&lt;wsp:rsid wsp:val=&quot;00107DE6&quot;/&gt;&lt;wsp:rsid wsp:val=&quot;00110460&quot;/&gt;&lt;wsp:rsid wsp:val=&quot;00110AD1&quot;/&gt;&lt;wsp:rsid wsp:val=&quot;00110B44&quot;/&gt;&lt;wsp:rsid wsp:val=&quot;00110C30&quot;/&gt;&lt;wsp:rsid wsp:val=&quot;00110DE8&quot;/&gt;&lt;wsp:rsid wsp:val=&quot;00111278&quot;/&gt;&lt;wsp:rsid wsp:val=&quot;00111481&quot;/&gt;&lt;wsp:rsid wsp:val=&quot;00111703&quot;/&gt;&lt;wsp:rsid wsp:val=&quot;001122D9&quot;/&gt;&lt;wsp:rsid wsp:val=&quot;001125E5&quot;/&gt;&lt;wsp:rsid wsp:val=&quot;001125E7&quot;/&gt;&lt;wsp:rsid wsp:val=&quot;0011327A&quot;/&gt;&lt;wsp:rsid wsp:val=&quot;001132D9&quot;/&gt;&lt;wsp:rsid wsp:val=&quot;00113605&quot;/&gt;&lt;wsp:rsid wsp:val=&quot;00113943&quot;/&gt;&lt;wsp:rsid wsp:val=&quot;00113975&quot;/&gt;&lt;wsp:rsid wsp:val=&quot;00113AE1&quot;/&gt;&lt;wsp:rsid wsp:val=&quot;00113D29&quot;/&gt;&lt;wsp:rsid wsp:val=&quot;0011400E&quot;/&gt;&lt;wsp:rsid wsp:val=&quot;0011403F&quot;/&gt;&lt;wsp:rsid wsp:val=&quot;001144DA&quot;/&gt;&lt;wsp:rsid wsp:val=&quot;0011463D&quot;/&gt;&lt;wsp:rsid wsp:val=&quot;001147C3&quot;/&gt;&lt;wsp:rsid wsp:val=&quot;00115092&quot;/&gt;&lt;wsp:rsid wsp:val=&quot;001151F3&quot;/&gt;&lt;wsp:rsid wsp:val=&quot;001151FC&quot;/&gt;&lt;wsp:rsid wsp:val=&quot;00115369&quot;/&gt;&lt;wsp:rsid wsp:val=&quot;00115564&quot;/&gt;&lt;wsp:rsid wsp:val=&quot;00115E0B&quot;/&gt;&lt;wsp:rsid wsp:val=&quot;00115E7A&quot;/&gt;&lt;wsp:rsid wsp:val=&quot;00115FB8&quot;/&gt;&lt;wsp:rsid wsp:val=&quot;001163B4&quot;/&gt;&lt;wsp:rsid wsp:val=&quot;0011652B&quot;/&gt;&lt;wsp:rsid wsp:val=&quot;0011673A&quot;/&gt;&lt;wsp:rsid wsp:val=&quot;001167F3&quot;/&gt;&lt;wsp:rsid wsp:val=&quot;0011681B&quot;/&gt;&lt;wsp:rsid wsp:val=&quot;00116D9F&quot;/&gt;&lt;wsp:rsid wsp:val=&quot;00117135&quot;/&gt;&lt;wsp:rsid wsp:val=&quot;00117DF4&quot;/&gt;&lt;wsp:rsid wsp:val=&quot;00117E44&quot;/&gt;&lt;wsp:rsid wsp:val=&quot;001208F5&quot;/&gt;&lt;wsp:rsid wsp:val=&quot;00120EEF&quot;/&gt;&lt;wsp:rsid wsp:val=&quot;00121126&quot;/&gt;&lt;wsp:rsid wsp:val=&quot;00121370&quot;/&gt;&lt;wsp:rsid wsp:val=&quot;00121427&quot;/&gt;&lt;wsp:rsid wsp:val=&quot;00121B9F&quot;/&gt;&lt;wsp:rsid wsp:val=&quot;001225E5&quot;/&gt;&lt;wsp:rsid wsp:val=&quot;00123406&quot;/&gt;&lt;wsp:rsid wsp:val=&quot;00124033&quot;/&gt;&lt;wsp:rsid wsp:val=&quot;0012413D&quot;/&gt;&lt;wsp:rsid wsp:val=&quot;0012415F&quot;/&gt;&lt;wsp:rsid wsp:val=&quot;0012466D&quot;/&gt;&lt;wsp:rsid wsp:val=&quot;001246E9&quot;/&gt;&lt;wsp:rsid wsp:val=&quot;00124768&quot;/&gt;&lt;wsp:rsid wsp:val=&quot;0012480C&quot;/&gt;&lt;wsp:rsid wsp:val=&quot;00124B97&quot;/&gt;&lt;wsp:rsid wsp:val=&quot;00124D10&quot;/&gt;&lt;wsp:rsid wsp:val=&quot;00124EFA&quot;/&gt;&lt;wsp:rsid wsp:val=&quot;001253F8&quot;/&gt;&lt;wsp:rsid wsp:val=&quot;001256E6&quot;/&gt;&lt;wsp:rsid wsp:val=&quot;00125704&quot;/&gt;&lt;wsp:rsid wsp:val=&quot;00125993&quot;/&gt;&lt;wsp:rsid wsp:val=&quot;00125E3E&quot;/&gt;&lt;wsp:rsid wsp:val=&quot;00125EC8&quot;/&gt;&lt;wsp:rsid wsp:val=&quot;001267F3&quot;/&gt;&lt;wsp:rsid wsp:val=&quot;00126B33&quot;/&gt;&lt;wsp:rsid wsp:val=&quot;00126B66&quot;/&gt;&lt;wsp:rsid wsp:val=&quot;00126C2D&quot;/&gt;&lt;wsp:rsid wsp:val=&quot;001275D2&quot;/&gt;&lt;wsp:rsid wsp:val=&quot;0012786E&quot;/&gt;&lt;wsp:rsid wsp:val=&quot;00127BAB&quot;/&gt;&lt;wsp:rsid wsp:val=&quot;00127E98&quot;/&gt;&lt;wsp:rsid wsp:val=&quot;00127FB2&quot;/&gt;&lt;wsp:rsid wsp:val=&quot;00127FB5&quot;/&gt;&lt;wsp:rsid wsp:val=&quot;00130A74&quot;/&gt;&lt;wsp:rsid wsp:val=&quot;00130C1F&quot;/&gt;&lt;wsp:rsid wsp:val=&quot;00130DF6&quot;/&gt;&lt;wsp:rsid wsp:val=&quot;001312C9&quot;/&gt;&lt;wsp:rsid wsp:val=&quot;001321C2&quot;/&gt;&lt;wsp:rsid wsp:val=&quot;0013228C&quot;/&gt;&lt;wsp:rsid wsp:val=&quot;00132445&quot;/&gt;&lt;wsp:rsid wsp:val=&quot;001324E1&quot;/&gt;&lt;wsp:rsid wsp:val=&quot;00132A51&quot;/&gt;&lt;wsp:rsid wsp:val=&quot;00132F01&quot;/&gt;&lt;wsp:rsid wsp:val=&quot;001331C9&quot;/&gt;&lt;wsp:rsid wsp:val=&quot;00133252&quot;/&gt;&lt;wsp:rsid wsp:val=&quot;0013329B&quot;/&gt;&lt;wsp:rsid wsp:val=&quot;0013382F&quot;/&gt;&lt;wsp:rsid wsp:val=&quot;00133B6E&quot;/&gt;&lt;wsp:rsid wsp:val=&quot;00133C59&quot;/&gt;&lt;wsp:rsid wsp:val=&quot;001340D6&quot;/&gt;&lt;wsp:rsid wsp:val=&quot;0013449E&quot;/&gt;&lt;wsp:rsid wsp:val=&quot;001348A5&quot;/&gt;&lt;wsp:rsid wsp:val=&quot;00134C65&quot;/&gt;&lt;wsp:rsid wsp:val=&quot;00135B13&quot;/&gt;&lt;wsp:rsid wsp:val=&quot;00135BE2&quot;/&gt;&lt;wsp:rsid wsp:val=&quot;00135E40&quot;/&gt;&lt;wsp:rsid wsp:val=&quot;00136038&quot;/&gt;&lt;wsp:rsid wsp:val=&quot;00136172&quot;/&gt;&lt;wsp:rsid wsp:val=&quot;00136726&quot;/&gt;&lt;wsp:rsid wsp:val=&quot;0013675C&quot;/&gt;&lt;wsp:rsid wsp:val=&quot;00136943&quot;/&gt;&lt;wsp:rsid wsp:val=&quot;00136DD5&quot;/&gt;&lt;wsp:rsid wsp:val=&quot;00137CD1&quot;/&gt;&lt;wsp:rsid wsp:val=&quot;00137DDF&quot;/&gt;&lt;wsp:rsid wsp:val=&quot;00140462&quot;/&gt;&lt;wsp:rsid wsp:val=&quot;001405F2&quot;/&gt;&lt;wsp:rsid wsp:val=&quot;00140671&quot;/&gt;&lt;wsp:rsid wsp:val=&quot;00140930&quot;/&gt;&lt;wsp:rsid wsp:val=&quot;00140D73&quot;/&gt;&lt;wsp:rsid wsp:val=&quot;0014116A&quot;/&gt;&lt;wsp:rsid wsp:val=&quot;0014122E&quot;/&gt;&lt;wsp:rsid wsp:val=&quot;001412BE&quot;/&gt;&lt;wsp:rsid wsp:val=&quot;0014148D&quot;/&gt;&lt;wsp:rsid wsp:val=&quot;00141775&quot;/&gt;&lt;wsp:rsid wsp:val=&quot;001419DB&quot;/&gt;&lt;wsp:rsid wsp:val=&quot;00141C07&quot;/&gt;&lt;wsp:rsid wsp:val=&quot;00141C08&quot;/&gt;&lt;wsp:rsid wsp:val=&quot;00141C38&quot;/&gt;&lt;wsp:rsid wsp:val=&quot;00141EB4&quot;/&gt;&lt;wsp:rsid wsp:val=&quot;00141F2E&quot;/&gt;&lt;wsp:rsid wsp:val=&quot;00141FDD&quot;/&gt;&lt;wsp:rsid wsp:val=&quot;0014294F&quot;/&gt;&lt;wsp:rsid wsp:val=&quot;001429CB&quot;/&gt;&lt;wsp:rsid wsp:val=&quot;00142FE8&quot;/&gt;&lt;wsp:rsid wsp:val=&quot;0014322A&quot;/&gt;&lt;wsp:rsid wsp:val=&quot;001436EE&quot;/&gt;&lt;wsp:rsid wsp:val=&quot;00143B0F&quot;/&gt;&lt;wsp:rsid wsp:val=&quot;00143BC4&quot;/&gt;&lt;wsp:rsid wsp:val=&quot;00143C67&quot;/&gt;&lt;wsp:rsid wsp:val=&quot;00143F7F&quot;/&gt;&lt;wsp:rsid wsp:val=&quot;00144047&quot;/&gt;&lt;wsp:rsid wsp:val=&quot;00144059&quot;/&gt;&lt;wsp:rsid wsp:val=&quot;001440E7&quot;/&gt;&lt;wsp:rsid wsp:val=&quot;00144344&quot;/&gt;&lt;wsp:rsid wsp:val=&quot;00144374&quot;/&gt;&lt;wsp:rsid wsp:val=&quot;0014437D&quot;/&gt;&lt;wsp:rsid wsp:val=&quot;0014466E&quot;/&gt;&lt;wsp:rsid wsp:val=&quot;00144673&quot;/&gt;&lt;wsp:rsid wsp:val=&quot;001446D2&quot;/&gt;&lt;wsp:rsid wsp:val=&quot;00144726&quot;/&gt;&lt;wsp:rsid wsp:val=&quot;00144767&quot;/&gt;&lt;wsp:rsid wsp:val=&quot;0014490D&quot;/&gt;&lt;wsp:rsid wsp:val=&quot;00144F35&quot;/&gt;&lt;wsp:rsid wsp:val=&quot;00145331&quot;/&gt;&lt;wsp:rsid wsp:val=&quot;001455DE&quot;/&gt;&lt;wsp:rsid wsp:val=&quot;00145803&quot;/&gt;&lt;wsp:rsid wsp:val=&quot;00145BF2&quot;/&gt;&lt;wsp:rsid wsp:val=&quot;00145C4D&quot;/&gt;&lt;wsp:rsid wsp:val=&quot;00146184&quot;/&gt;&lt;wsp:rsid wsp:val=&quot;00146391&quot;/&gt;&lt;wsp:rsid wsp:val=&quot;00146607&quot;/&gt;&lt;wsp:rsid wsp:val=&quot;0014699F&quot;/&gt;&lt;wsp:rsid wsp:val=&quot;00146A2F&quot;/&gt;&lt;wsp:rsid wsp:val=&quot;00146B05&quot;/&gt;&lt;wsp:rsid wsp:val=&quot;00146C8A&quot;/&gt;&lt;wsp:rsid wsp:val=&quot;00146D55&quot;/&gt;&lt;wsp:rsid wsp:val=&quot;00146F18&quot;/&gt;&lt;wsp:rsid wsp:val=&quot;00147126&quot;/&gt;&lt;wsp:rsid wsp:val=&quot;0014724F&quot;/&gt;&lt;wsp:rsid wsp:val=&quot;00147295&quot;/&gt;&lt;wsp:rsid wsp:val=&quot;00147818&quot;/&gt;&lt;wsp:rsid wsp:val=&quot;00147FEF&quot;/&gt;&lt;wsp:rsid wsp:val=&quot;00150376&quot;/&gt;&lt;wsp:rsid wsp:val=&quot;001503D0&quot;/&gt;&lt;wsp:rsid wsp:val=&quot;00150521&quot;/&gt;&lt;wsp:rsid wsp:val=&quot;00150814&quot;/&gt;&lt;wsp:rsid wsp:val=&quot;0015087D&quot;/&gt;&lt;wsp:rsid wsp:val=&quot;0015097F&quot;/&gt;&lt;wsp:rsid wsp:val=&quot;001509CA&quot;/&gt;&lt;wsp:rsid wsp:val=&quot;00150C1E&quot;/&gt;&lt;wsp:rsid wsp:val=&quot;0015167F&quot;/&gt;&lt;wsp:rsid wsp:val=&quot;00151943&quot;/&gt;&lt;wsp:rsid wsp:val=&quot;00151F94&quot;/&gt;&lt;wsp:rsid wsp:val=&quot;001524FB&quot;/&gt;&lt;wsp:rsid wsp:val=&quot;00152701&quot;/&gt;&lt;wsp:rsid wsp:val=&quot;00152B08&quot;/&gt;&lt;wsp:rsid wsp:val=&quot;00153540&quot;/&gt;&lt;wsp:rsid wsp:val=&quot;00153976&quot;/&gt;&lt;wsp:rsid wsp:val=&quot;00153DAE&quot;/&gt;&lt;wsp:rsid wsp:val=&quot;00153DC2&quot;/&gt;&lt;wsp:rsid wsp:val=&quot;001540BA&quot;/&gt;&lt;wsp:rsid wsp:val=&quot;00154274&quot;/&gt;&lt;wsp:rsid wsp:val=&quot;001543E0&quot;/&gt;&lt;wsp:rsid wsp:val=&quot;00154653&quot;/&gt;&lt;wsp:rsid wsp:val=&quot;00154F6D&quot;/&gt;&lt;wsp:rsid wsp:val=&quot;001556FC&quot;/&gt;&lt;wsp:rsid wsp:val=&quot;0015573A&quot;/&gt;&lt;wsp:rsid wsp:val=&quot;00155EEA&quot;/&gt;&lt;wsp:rsid wsp:val=&quot;00155FD9&quot;/&gt;&lt;wsp:rsid wsp:val=&quot;00156434&quot;/&gt;&lt;wsp:rsid wsp:val=&quot;00156556&quot;/&gt;&lt;wsp:rsid wsp:val=&quot;00156744&quot;/&gt;&lt;wsp:rsid wsp:val=&quot;00157387&quot;/&gt;&lt;wsp:rsid wsp:val=&quot;00157584&quot;/&gt;&lt;wsp:rsid wsp:val=&quot;001575D4&quot;/&gt;&lt;wsp:rsid wsp:val=&quot;001575F8&quot;/&gt;&lt;wsp:rsid wsp:val=&quot;00157648&quot;/&gt;&lt;wsp:rsid wsp:val=&quot;00157866&quot;/&gt;&lt;wsp:rsid wsp:val=&quot;00157980&quot;/&gt;&lt;wsp:rsid wsp:val=&quot;00157E05&quot;/&gt;&lt;wsp:rsid wsp:val=&quot;00160454&quot;/&gt;&lt;wsp:rsid wsp:val=&quot;0016058D&quot;/&gt;&lt;wsp:rsid wsp:val=&quot;001607E5&quot;/&gt;&lt;wsp:rsid wsp:val=&quot;00160980&quot;/&gt;&lt;wsp:rsid wsp:val=&quot;00160AD4&quot;/&gt;&lt;wsp:rsid wsp:val=&quot;00160BC7&quot;/&gt;&lt;wsp:rsid wsp:val=&quot;0016130B&quot;/&gt;&lt;wsp:rsid wsp:val=&quot;00161353&quot;/&gt;&lt;wsp:rsid wsp:val=&quot;00161462&quot;/&gt;&lt;wsp:rsid wsp:val=&quot;00161490&quot;/&gt;&lt;wsp:rsid wsp:val=&quot;0016182B&quot;/&gt;&lt;wsp:rsid wsp:val=&quot;00161DB9&quot;/&gt;&lt;wsp:rsid wsp:val=&quot;00162104&quot;/&gt;&lt;wsp:rsid wsp:val=&quot;00162740&quot;/&gt;&lt;wsp:rsid wsp:val=&quot;001628A9&quot;/&gt;&lt;wsp:rsid wsp:val=&quot;00162E69&quot;/&gt;&lt;wsp:rsid wsp:val=&quot;00163665&quot;/&gt;&lt;wsp:rsid wsp:val=&quot;00163743&quot;/&gt;&lt;wsp:rsid wsp:val=&quot;00163994&quot;/&gt;&lt;wsp:rsid wsp:val=&quot;001639AB&quot;/&gt;&lt;wsp:rsid wsp:val=&quot;001645C3&quot;/&gt;&lt;wsp:rsid wsp:val=&quot;00164650&quot;/&gt;&lt;wsp:rsid wsp:val=&quot;001649E4&quot;/&gt;&lt;wsp:rsid wsp:val=&quot;00164C4E&quot;/&gt;&lt;wsp:rsid wsp:val=&quot;00164FC4&quot;/&gt;&lt;wsp:rsid wsp:val=&quot;001657A1&quot;/&gt;&lt;wsp:rsid wsp:val=&quot;00165961&quot;/&gt;&lt;wsp:rsid wsp:val=&quot;00165B3A&quot;/&gt;&lt;wsp:rsid wsp:val=&quot;001669D3&quot;/&gt;&lt;wsp:rsid wsp:val=&quot;00166F4B&quot;/&gt;&lt;wsp:rsid wsp:val=&quot;00166FBD&quot;/&gt;&lt;wsp:rsid wsp:val=&quot;0016714B&quot;/&gt;&lt;wsp:rsid wsp:val=&quot;001674EC&quot;/&gt;&lt;wsp:rsid wsp:val=&quot;00167577&quot;/&gt;&lt;wsp:rsid wsp:val=&quot;0017016D&quot;/&gt;&lt;wsp:rsid wsp:val=&quot;001701DB&quot;/&gt;&lt;wsp:rsid wsp:val=&quot;001702AB&quot;/&gt;&lt;wsp:rsid wsp:val=&quot;001702D1&quot;/&gt;&lt;wsp:rsid wsp:val=&quot;001711EE&quot;/&gt;&lt;wsp:rsid wsp:val=&quot;001715F7&quot;/&gt;&lt;wsp:rsid wsp:val=&quot;00171C5B&quot;/&gt;&lt;wsp:rsid wsp:val=&quot;00171D1D&quot;/&gt;&lt;wsp:rsid wsp:val=&quot;00171D8A&quot;/&gt;&lt;wsp:rsid wsp:val=&quot;00172378&quot;/&gt;&lt;wsp:rsid wsp:val=&quot;001727E1&quot;/&gt;&lt;wsp:rsid wsp:val=&quot;0017294C&quot;/&gt;&lt;wsp:rsid wsp:val=&quot;00172971&quot;/&gt;&lt;wsp:rsid wsp:val=&quot;00173011&quot;/&gt;&lt;wsp:rsid wsp:val=&quot;0017323B&quot;/&gt;&lt;wsp:rsid wsp:val=&quot;00173241&quot;/&gt;&lt;wsp:rsid wsp:val=&quot;00173670&quot;/&gt;&lt;wsp:rsid wsp:val=&quot;0017389A&quot;/&gt;&lt;wsp:rsid wsp:val=&quot;00173C4A&quot;/&gt;&lt;wsp:rsid wsp:val=&quot;00173ECC&quot;/&gt;&lt;wsp:rsid wsp:val=&quot;00174454&quot;/&gt;&lt;wsp:rsid wsp:val=&quot;001745DE&quot;/&gt;&lt;wsp:rsid wsp:val=&quot;00175009&quot;/&gt;&lt;wsp:rsid wsp:val=&quot;001751C4&quot;/&gt;&lt;wsp:rsid wsp:val=&quot;00175348&quot;/&gt;&lt;wsp:rsid wsp:val=&quot;00175713&quot;/&gt;&lt;wsp:rsid wsp:val=&quot;00175844&quot;/&gt;&lt;wsp:rsid wsp:val=&quot;001762BD&quot;/&gt;&lt;wsp:rsid wsp:val=&quot;001769AA&quot;/&gt;&lt;wsp:rsid wsp:val=&quot;001773E7&quot;/&gt;&lt;wsp:rsid wsp:val=&quot;001774A5&quot;/&gt;&lt;wsp:rsid wsp:val=&quot;00177518&quot;/&gt;&lt;wsp:rsid wsp:val=&quot;001775EF&quot;/&gt;&lt;wsp:rsid wsp:val=&quot;00177C23&quot;/&gt;&lt;wsp:rsid wsp:val=&quot;00177C63&quot;/&gt;&lt;wsp:rsid wsp:val=&quot;00177D8A&quot;/&gt;&lt;wsp:rsid wsp:val=&quot;0018028C&quot;/&gt;&lt;wsp:rsid wsp:val=&quot;0018034A&quot;/&gt;&lt;wsp:rsid wsp:val=&quot;001804DC&quot;/&gt;&lt;wsp:rsid wsp:val=&quot;0018072A&quot;/&gt;&lt;wsp:rsid wsp:val=&quot;00180756&quot;/&gt;&lt;wsp:rsid wsp:val=&quot;001807D6&quot;/&gt;&lt;wsp:rsid wsp:val=&quot;00180838&quot;/&gt;&lt;wsp:rsid wsp:val=&quot;00180AB2&quot;/&gt;&lt;wsp:rsid wsp:val=&quot;00180AC9&quot;/&gt;&lt;wsp:rsid wsp:val=&quot;00180C62&quot;/&gt;&lt;wsp:rsid wsp:val=&quot;00180CB8&quot;/&gt;&lt;wsp:rsid wsp:val=&quot;0018185E&quot;/&gt;&lt;wsp:rsid wsp:val=&quot;00181916&quot;/&gt;&lt;wsp:rsid wsp:val=&quot;001819E1&quot;/&gt;&lt;wsp:rsid wsp:val=&quot;00181AF5&quot;/&gt;&lt;wsp:rsid wsp:val=&quot;00181D86&quot;/&gt;&lt;wsp:rsid wsp:val=&quot;00182435&quot;/&gt;&lt;wsp:rsid wsp:val=&quot;0018270F&quot;/&gt;&lt;wsp:rsid wsp:val=&quot;00182B5D&quot;/&gt;&lt;wsp:rsid wsp:val=&quot;00182C59&quot;/&gt;&lt;wsp:rsid wsp:val=&quot;00182D3D&quot;/&gt;&lt;wsp:rsid wsp:val=&quot;00182DD9&quot;/&gt;&lt;wsp:rsid wsp:val=&quot;001830E6&quot;/&gt;&lt;wsp:rsid wsp:val=&quot;001833EA&quot;/&gt;&lt;wsp:rsid wsp:val=&quot;0018344F&quot;/&gt;&lt;wsp:rsid wsp:val=&quot;00183C87&quot;/&gt;&lt;wsp:rsid wsp:val=&quot;00184DF4&quot;/&gt;&lt;wsp:rsid wsp:val=&quot;00184E1F&quot;/&gt;&lt;wsp:rsid wsp:val=&quot;00184E5F&quot;/&gt;&lt;wsp:rsid wsp:val=&quot;00184EA7&quot;/&gt;&lt;wsp:rsid wsp:val=&quot;00184F02&quot;/&gt;&lt;wsp:rsid wsp:val=&quot;001851CE&quot;/&gt;&lt;wsp:rsid wsp:val=&quot;001859B1&quot;/&gt;&lt;wsp:rsid wsp:val=&quot;0018645F&quot;/&gt;&lt;wsp:rsid wsp:val=&quot;00186981&quot;/&gt;&lt;wsp:rsid wsp:val=&quot;00186F25&quot;/&gt;&lt;wsp:rsid wsp:val=&quot;00187388&quot;/&gt;&lt;wsp:rsid wsp:val=&quot;00187D3C&quot;/&gt;&lt;wsp:rsid wsp:val=&quot;00187E46&quot;/&gt;&lt;wsp:rsid wsp:val=&quot;00190701&quot;/&gt;&lt;wsp:rsid wsp:val=&quot;00190B5D&quot;/&gt;&lt;wsp:rsid wsp:val=&quot;00190C3E&quot;/&gt;&lt;wsp:rsid wsp:val=&quot;00190EBA&quot;/&gt;&lt;wsp:rsid wsp:val=&quot;00191054&quot;/&gt;&lt;wsp:rsid wsp:val=&quot;0019249F&quot;/&gt;&lt;wsp:rsid wsp:val=&quot;00192717&quot;/&gt;&lt;wsp:rsid wsp:val=&quot;00192EA2&quot;/&gt;&lt;wsp:rsid wsp:val=&quot;00193079&quot;/&gt;&lt;wsp:rsid wsp:val=&quot;0019361F&quot;/&gt;&lt;wsp:rsid wsp:val=&quot;0019383D&quot;/&gt;&lt;wsp:rsid wsp:val=&quot;00194523&quot;/&gt;&lt;wsp:rsid wsp:val=&quot;0019482F&quot;/&gt;&lt;wsp:rsid wsp:val=&quot;00194E37&quot;/&gt;&lt;wsp:rsid wsp:val=&quot;00194EE0&quot;/&gt;&lt;wsp:rsid wsp:val=&quot;00195278&quot;/&gt;&lt;wsp:rsid wsp:val=&quot;001952EF&quot;/&gt;&lt;wsp:rsid wsp:val=&quot;0019531D&quot;/&gt;&lt;wsp:rsid wsp:val=&quot;001959E3&quot;/&gt;&lt;wsp:rsid wsp:val=&quot;00195B86&quot;/&gt;&lt;wsp:rsid wsp:val=&quot;00195F8B&quot;/&gt;&lt;wsp:rsid wsp:val=&quot;00196048&quot;/&gt;&lt;wsp:rsid wsp:val=&quot;00196061&quot;/&gt;&lt;wsp:rsid wsp:val=&quot;00196267&quot;/&gt;&lt;wsp:rsid wsp:val=&quot;001962DB&quot;/&gt;&lt;wsp:rsid wsp:val=&quot;001964A3&quot;/&gt;&lt;wsp:rsid wsp:val=&quot;001965B3&quot;/&gt;&lt;wsp:rsid wsp:val=&quot;0019674E&quot;/&gt;&lt;wsp:rsid wsp:val=&quot;0019686A&quot;/&gt;&lt;wsp:rsid wsp:val=&quot;00196903&quot;/&gt;&lt;wsp:rsid wsp:val=&quot;00196CEE&quot;/&gt;&lt;wsp:rsid wsp:val=&quot;00196D2C&quot;/&gt;&lt;wsp:rsid wsp:val=&quot;00196E61&quot;/&gt;&lt;wsp:rsid wsp:val=&quot;0019781F&quot;/&gt;&lt;wsp:rsid wsp:val=&quot;001978D8&quot;/&gt;&lt;wsp:rsid wsp:val=&quot;0019796F&quot;/&gt;&lt;wsp:rsid wsp:val=&quot;00197ACD&quot;/&gt;&lt;wsp:rsid wsp:val=&quot;00197BD5&quot;/&gt;&lt;wsp:rsid wsp:val=&quot;00197C63&quot;/&gt;&lt;wsp:rsid wsp:val=&quot;00197D10&quot;/&gt;&lt;wsp:rsid wsp:val=&quot;001A01F8&quot;/&gt;&lt;wsp:rsid wsp:val=&quot;001A0910&quot;/&gt;&lt;wsp:rsid wsp:val=&quot;001A0D8A&quot;/&gt;&lt;wsp:rsid wsp:val=&quot;001A1081&quot;/&gt;&lt;wsp:rsid wsp:val=&quot;001A137C&quot;/&gt;&lt;wsp:rsid wsp:val=&quot;001A15C6&quot;/&gt;&lt;wsp:rsid wsp:val=&quot;001A1E78&quot;/&gt;&lt;wsp:rsid wsp:val=&quot;001A24C9&quot;/&gt;&lt;wsp:rsid wsp:val=&quot;001A26BE&quot;/&gt;&lt;wsp:rsid wsp:val=&quot;001A2BC3&quot;/&gt;&lt;wsp:rsid wsp:val=&quot;001A3487&quot;/&gt;&lt;wsp:rsid wsp:val=&quot;001A3995&quot;/&gt;&lt;wsp:rsid wsp:val=&quot;001A4906&quot;/&gt;&lt;wsp:rsid wsp:val=&quot;001A4F58&quot;/&gt;&lt;wsp:rsid wsp:val=&quot;001A58EB&quot;/&gt;&lt;wsp:rsid wsp:val=&quot;001A5E4D&quot;/&gt;&lt;wsp:rsid wsp:val=&quot;001A5F78&quot;/&gt;&lt;wsp:rsid wsp:val=&quot;001A62C8&quot;/&gt;&lt;wsp:rsid wsp:val=&quot;001A642D&quot;/&gt;&lt;wsp:rsid wsp:val=&quot;001A65EA&quot;/&gt;&lt;wsp:rsid wsp:val=&quot;001A66B2&quot;/&gt;&lt;wsp:rsid wsp:val=&quot;001A7199&quot;/&gt;&lt;wsp:rsid wsp:val=&quot;001A7307&quot;/&gt;&lt;wsp:rsid wsp:val=&quot;001A786A&quot;/&gt;&lt;wsp:rsid wsp:val=&quot;001A7B4C&quot;/&gt;&lt;wsp:rsid wsp:val=&quot;001A7BCF&quot;/&gt;&lt;wsp:rsid wsp:val=&quot;001A7D02&quot;/&gt;&lt;wsp:rsid wsp:val=&quot;001A7E5E&quot;/&gt;&lt;wsp:rsid wsp:val=&quot;001A7E73&quot;/&gt;&lt;wsp:rsid wsp:val=&quot;001B0343&quot;/&gt;&lt;wsp:rsid wsp:val=&quot;001B0C29&quot;/&gt;&lt;wsp:rsid wsp:val=&quot;001B143F&quot;/&gt;&lt;wsp:rsid wsp:val=&quot;001B177A&quot;/&gt;&lt;wsp:rsid wsp:val=&quot;001B1E97&quot;/&gt;&lt;wsp:rsid wsp:val=&quot;001B1F9B&quot;/&gt;&lt;wsp:rsid wsp:val=&quot;001B2007&quot;/&gt;&lt;wsp:rsid wsp:val=&quot;001B24B5&quot;/&gt;&lt;wsp:rsid wsp:val=&quot;001B2C07&quot;/&gt;&lt;wsp:rsid wsp:val=&quot;001B2C65&quot;/&gt;&lt;wsp:rsid wsp:val=&quot;001B30B6&quot;/&gt;&lt;wsp:rsid wsp:val=&quot;001B3352&quot;/&gt;&lt;wsp:rsid wsp:val=&quot;001B366C&quot;/&gt;&lt;wsp:rsid wsp:val=&quot;001B480D&quot;/&gt;&lt;wsp:rsid wsp:val=&quot;001B50EC&quot;/&gt;&lt;wsp:rsid wsp:val=&quot;001B5245&quot;/&gt;&lt;wsp:rsid wsp:val=&quot;001B5723&quot;/&gt;&lt;wsp:rsid wsp:val=&quot;001B5778&quot;/&gt;&lt;wsp:rsid wsp:val=&quot;001B59EA&quot;/&gt;&lt;wsp:rsid wsp:val=&quot;001B5CF0&quot;/&gt;&lt;wsp:rsid wsp:val=&quot;001B5F1B&quot;/&gt;&lt;wsp:rsid wsp:val=&quot;001B5FC3&quot;/&gt;&lt;wsp:rsid wsp:val=&quot;001B6134&quot;/&gt;&lt;wsp:rsid wsp:val=&quot;001B62BE&quot;/&gt;&lt;wsp:rsid wsp:val=&quot;001B6449&quot;/&gt;&lt;wsp:rsid wsp:val=&quot;001B6589&quot;/&gt;&lt;wsp:rsid wsp:val=&quot;001B6727&quot;/&gt;&lt;wsp:rsid wsp:val=&quot;001B677A&quot;/&gt;&lt;wsp:rsid wsp:val=&quot;001B6841&quot;/&gt;&lt;wsp:rsid wsp:val=&quot;001B6EA0&quot;/&gt;&lt;wsp:rsid wsp:val=&quot;001B7237&quot;/&gt;&lt;wsp:rsid wsp:val=&quot;001B72A0&quot;/&gt;&lt;wsp:rsid wsp:val=&quot;001B72CE&quot;/&gt;&lt;wsp:rsid wsp:val=&quot;001B7314&quot;/&gt;&lt;wsp:rsid wsp:val=&quot;001B7436&quot;/&gt;&lt;wsp:rsid wsp:val=&quot;001B7EC8&quot;/&gt;&lt;wsp:rsid wsp:val=&quot;001C0401&quot;/&gt;&lt;wsp:rsid wsp:val=&quot;001C04E9&quot;/&gt;&lt;wsp:rsid wsp:val=&quot;001C0961&quot;/&gt;&lt;wsp:rsid wsp:val=&quot;001C0976&quot;/&gt;&lt;wsp:rsid wsp:val=&quot;001C09FF&quot;/&gt;&lt;wsp:rsid wsp:val=&quot;001C0A5F&quot;/&gt;&lt;wsp:rsid wsp:val=&quot;001C0AE9&quot;/&gt;&lt;wsp:rsid wsp:val=&quot;001C0B0E&quot;/&gt;&lt;wsp:rsid wsp:val=&quot;001C0C95&quot;/&gt;&lt;wsp:rsid wsp:val=&quot;001C0CD6&quot;/&gt;&lt;wsp:rsid wsp:val=&quot;001C16B9&quot;/&gt;&lt;wsp:rsid wsp:val=&quot;001C187C&quot;/&gt;&lt;wsp:rsid wsp:val=&quot;001C18C0&quot;/&gt;&lt;wsp:rsid wsp:val=&quot;001C1C58&quot;/&gt;&lt;wsp:rsid wsp:val=&quot;001C1CAC&quot;/&gt;&lt;wsp:rsid wsp:val=&quot;001C1CEE&quot;/&gt;&lt;wsp:rsid wsp:val=&quot;001C1D1F&quot;/&gt;&lt;wsp:rsid wsp:val=&quot;001C1D75&quot;/&gt;&lt;wsp:rsid wsp:val=&quot;001C2147&quot;/&gt;&lt;wsp:rsid wsp:val=&quot;001C26C9&quot;/&gt;&lt;wsp:rsid wsp:val=&quot;001C2A51&quot;/&gt;&lt;wsp:rsid wsp:val=&quot;001C2A5E&quot;/&gt;&lt;wsp:rsid wsp:val=&quot;001C2C7F&quot;/&gt;&lt;wsp:rsid wsp:val=&quot;001C2E20&quot;/&gt;&lt;wsp:rsid wsp:val=&quot;001C3050&quot;/&gt;&lt;wsp:rsid wsp:val=&quot;001C30A9&quot;/&gt;&lt;wsp:rsid wsp:val=&quot;001C3959&quot;/&gt;&lt;wsp:rsid wsp:val=&quot;001C3C48&quot;/&gt;&lt;wsp:rsid wsp:val=&quot;001C3C6C&quot;/&gt;&lt;wsp:rsid wsp:val=&quot;001C3F0F&quot;/&gt;&lt;wsp:rsid wsp:val=&quot;001C4AEA&quot;/&gt;&lt;wsp:rsid wsp:val=&quot;001C58BD&quot;/&gt;&lt;wsp:rsid wsp:val=&quot;001C5C69&quot;/&gt;&lt;wsp:rsid wsp:val=&quot;001C5C94&quot;/&gt;&lt;wsp:rsid wsp:val=&quot;001C5CEE&quot;/&gt;&lt;wsp:rsid wsp:val=&quot;001C5D71&quot;/&gt;&lt;wsp:rsid wsp:val=&quot;001C6447&quot;/&gt;&lt;wsp:rsid wsp:val=&quot;001C654D&quot;/&gt;&lt;wsp:rsid wsp:val=&quot;001C6B80&quot;/&gt;&lt;wsp:rsid wsp:val=&quot;001C70D3&quot;/&gt;&lt;wsp:rsid wsp:val=&quot;001C71F9&quot;/&gt;&lt;wsp:rsid wsp:val=&quot;001C7204&quot;/&gt;&lt;wsp:rsid wsp:val=&quot;001C7629&quot;/&gt;&lt;wsp:rsid wsp:val=&quot;001C7A9C&quot;/&gt;&lt;wsp:rsid wsp:val=&quot;001C7CE1&quot;/&gt;&lt;wsp:rsid wsp:val=&quot;001D00B9&quot;/&gt;&lt;wsp:rsid wsp:val=&quot;001D0A1C&quot;/&gt;&lt;wsp:rsid wsp:val=&quot;001D0B9D&quot;/&gt;&lt;wsp:rsid wsp:val=&quot;001D0C26&quot;/&gt;&lt;wsp:rsid wsp:val=&quot;001D0DE5&quot;/&gt;&lt;wsp:rsid wsp:val=&quot;001D10EF&quot;/&gt;&lt;wsp:rsid wsp:val=&quot;001D1184&quot;/&gt;&lt;wsp:rsid wsp:val=&quot;001D1322&quot;/&gt;&lt;wsp:rsid wsp:val=&quot;001D1489&quot;/&gt;&lt;wsp:rsid wsp:val=&quot;001D1803&quot;/&gt;&lt;wsp:rsid wsp:val=&quot;001D196E&quot;/&gt;&lt;wsp:rsid wsp:val=&quot;001D1F57&quot;/&gt;&lt;wsp:rsid wsp:val=&quot;001D2001&quot;/&gt;&lt;wsp:rsid wsp:val=&quot;001D2179&quot;/&gt;&lt;wsp:rsid wsp:val=&quot;001D23B3&quot;/&gt;&lt;wsp:rsid wsp:val=&quot;001D26B4&quot;/&gt;&lt;wsp:rsid wsp:val=&quot;001D26D4&quot;/&gt;&lt;wsp:rsid wsp:val=&quot;001D29DD&quot;/&gt;&lt;wsp:rsid wsp:val=&quot;001D2F24&quot;/&gt;&lt;wsp:rsid wsp:val=&quot;001D34A9&quot;/&gt;&lt;wsp:rsid wsp:val=&quot;001D38F3&quot;/&gt;&lt;wsp:rsid wsp:val=&quot;001D3900&quot;/&gt;&lt;wsp:rsid wsp:val=&quot;001D3B05&quot;/&gt;&lt;wsp:rsid wsp:val=&quot;001D4033&quot;/&gt;&lt;wsp:rsid wsp:val=&quot;001D40B1&quot;/&gt;&lt;wsp:rsid wsp:val=&quot;001D42F8&quot;/&gt;&lt;wsp:rsid wsp:val=&quot;001D45EE&quot;/&gt;&lt;wsp:rsid wsp:val=&quot;001D4B4C&quot;/&gt;&lt;wsp:rsid wsp:val=&quot;001D4BB6&quot;/&gt;&lt;wsp:rsid wsp:val=&quot;001D4C1E&quot;/&gt;&lt;wsp:rsid wsp:val=&quot;001D509C&quot;/&gt;&lt;wsp:rsid wsp:val=&quot;001D526E&quot;/&gt;&lt;wsp:rsid wsp:val=&quot;001D5701&quot;/&gt;&lt;wsp:rsid wsp:val=&quot;001D57C5&quot;/&gt;&lt;wsp:rsid wsp:val=&quot;001D5C93&quot;/&gt;&lt;wsp:rsid wsp:val=&quot;001D5E01&quot;/&gt;&lt;wsp:rsid wsp:val=&quot;001D5E5D&quot;/&gt;&lt;wsp:rsid wsp:val=&quot;001D5EE4&quot;/&gt;&lt;wsp:rsid wsp:val=&quot;001D6949&quot;/&gt;&lt;wsp:rsid wsp:val=&quot;001D73C5&quot;/&gt;&lt;wsp:rsid wsp:val=&quot;001D76F6&quot;/&gt;&lt;wsp:rsid wsp:val=&quot;001D775D&quot;/&gt;&lt;wsp:rsid wsp:val=&quot;001D786C&quot;/&gt;&lt;wsp:rsid wsp:val=&quot;001D7CC4&quot;/&gt;&lt;wsp:rsid wsp:val=&quot;001D7D2F&quot;/&gt;&lt;wsp:rsid wsp:val=&quot;001E0296&quot;/&gt;&lt;wsp:rsid wsp:val=&quot;001E04E8&quot;/&gt;&lt;wsp:rsid wsp:val=&quot;001E07A2&quot;/&gt;&lt;wsp:rsid wsp:val=&quot;001E08FD&quot;/&gt;&lt;wsp:rsid wsp:val=&quot;001E1354&quot;/&gt;&lt;wsp:rsid wsp:val=&quot;001E14B9&quot;/&gt;&lt;wsp:rsid wsp:val=&quot;001E18D9&quot;/&gt;&lt;wsp:rsid wsp:val=&quot;001E1FCF&quot;/&gt;&lt;wsp:rsid wsp:val=&quot;001E20FD&quot;/&gt;&lt;wsp:rsid wsp:val=&quot;001E2267&quot;/&gt;&lt;wsp:rsid wsp:val=&quot;001E2637&quot;/&gt;&lt;wsp:rsid wsp:val=&quot;001E2A20&quot;/&gt;&lt;wsp:rsid wsp:val=&quot;001E2D8A&quot;/&gt;&lt;wsp:rsid wsp:val=&quot;001E2EB0&quot;/&gt;&lt;wsp:rsid wsp:val=&quot;001E300D&quot;/&gt;&lt;wsp:rsid wsp:val=&quot;001E30B2&quot;/&gt;&lt;wsp:rsid wsp:val=&quot;001E373C&quot;/&gt;&lt;wsp:rsid wsp:val=&quot;001E3D7D&quot;/&gt;&lt;wsp:rsid wsp:val=&quot;001E3F78&quot;/&gt;&lt;wsp:rsid wsp:val=&quot;001E4198&quot;/&gt;&lt;wsp:rsid wsp:val=&quot;001E43ED&quot;/&gt;&lt;wsp:rsid wsp:val=&quot;001E4F2E&quot;/&gt;&lt;wsp:rsid wsp:val=&quot;001E5033&quot;/&gt;&lt;wsp:rsid wsp:val=&quot;001E5217&quot;/&gt;&lt;wsp:rsid wsp:val=&quot;001E572B&quot;/&gt;&lt;wsp:rsid wsp:val=&quot;001E5C1C&quot;/&gt;&lt;wsp:rsid wsp:val=&quot;001E5C97&quot;/&gt;&lt;wsp:rsid wsp:val=&quot;001E5EDA&quot;/&gt;&lt;wsp:rsid wsp:val=&quot;001E6651&quot;/&gt;&lt;wsp:rsid wsp:val=&quot;001E69EF&quot;/&gt;&lt;wsp:rsid wsp:val=&quot;001E6D44&quot;/&gt;&lt;wsp:rsid wsp:val=&quot;001E7750&quot;/&gt;&lt;wsp:rsid wsp:val=&quot;001E7880&quot;/&gt;&lt;wsp:rsid wsp:val=&quot;001E7EF3&quot;/&gt;&lt;wsp:rsid wsp:val=&quot;001E7F09&quot;/&gt;&lt;wsp:rsid wsp:val=&quot;001F059E&quot;/&gt;&lt;wsp:rsid wsp:val=&quot;001F087D&quot;/&gt;&lt;wsp:rsid wsp:val=&quot;001F0A2D&quot;/&gt;&lt;wsp:rsid wsp:val=&quot;001F0AF1&quot;/&gt;&lt;wsp:rsid wsp:val=&quot;001F1028&quot;/&gt;&lt;wsp:rsid wsp:val=&quot;001F1230&quot;/&gt;&lt;wsp:rsid wsp:val=&quot;001F1778&quot;/&gt;&lt;wsp:rsid wsp:val=&quot;001F1A47&quot;/&gt;&lt;wsp:rsid wsp:val=&quot;001F1C7D&quot;/&gt;&lt;wsp:rsid wsp:val=&quot;001F1D47&quot;/&gt;&lt;wsp:rsid wsp:val=&quot;001F2564&quot;/&gt;&lt;wsp:rsid wsp:val=&quot;001F2779&quot;/&gt;&lt;wsp:rsid wsp:val=&quot;001F2E44&quot;/&gt;&lt;wsp:rsid wsp:val=&quot;001F3051&quot;/&gt;&lt;wsp:rsid wsp:val=&quot;001F31D9&quot;/&gt;&lt;wsp:rsid wsp:val=&quot;001F342D&quot;/&gt;&lt;wsp:rsid wsp:val=&quot;001F35B9&quot;/&gt;&lt;wsp:rsid wsp:val=&quot;001F395C&quot;/&gt;&lt;wsp:rsid wsp:val=&quot;001F399A&quot;/&gt;&lt;wsp:rsid wsp:val=&quot;001F3B40&quot;/&gt;&lt;wsp:rsid wsp:val=&quot;001F4026&quot;/&gt;&lt;wsp:rsid wsp:val=&quot;001F42A4&quot;/&gt;&lt;wsp:rsid wsp:val=&quot;001F42DD&quot;/&gt;&lt;wsp:rsid wsp:val=&quot;001F44DE&quot;/&gt;&lt;wsp:rsid wsp:val=&quot;001F4A12&quot;/&gt;&lt;wsp:rsid wsp:val=&quot;001F4A64&quot;/&gt;&lt;wsp:rsid wsp:val=&quot;001F4B50&quot;/&gt;&lt;wsp:rsid wsp:val=&quot;001F591D&quot;/&gt;&lt;wsp:rsid wsp:val=&quot;001F5BFE&quot;/&gt;&lt;wsp:rsid wsp:val=&quot;001F5FAF&quot;/&gt;&lt;wsp:rsid wsp:val=&quot;001F6325&quot;/&gt;&lt;wsp:rsid wsp:val=&quot;001F653B&quot;/&gt;&lt;wsp:rsid wsp:val=&quot;001F678F&quot;/&gt;&lt;wsp:rsid wsp:val=&quot;001F69FE&quot;/&gt;&lt;wsp:rsid wsp:val=&quot;001F6A0A&quot;/&gt;&lt;wsp:rsid wsp:val=&quot;001F6C9D&quot;/&gt;&lt;wsp:rsid wsp:val=&quot;001F71DE&quot;/&gt;&lt;wsp:rsid wsp:val=&quot;001F728E&quot;/&gt;&lt;wsp:rsid wsp:val=&quot;001F7335&quot;/&gt;&lt;wsp:rsid wsp:val=&quot;001F746B&quot;/&gt;&lt;wsp:rsid wsp:val=&quot;001F783B&quot;/&gt;&lt;wsp:rsid wsp:val=&quot;002004B5&quot;/&gt;&lt;wsp:rsid wsp:val=&quot;00200A58&quot;/&gt;&lt;wsp:rsid wsp:val=&quot;0020115B&quot;/&gt;&lt;wsp:rsid wsp:val=&quot;0020118E&quot;/&gt;&lt;wsp:rsid wsp:val=&quot;00201390&quot;/&gt;&lt;wsp:rsid wsp:val=&quot;00201AD3&quot;/&gt;&lt;wsp:rsid wsp:val=&quot;00201B4F&quot;/&gt;&lt;wsp:rsid wsp:val=&quot;00202731&quot;/&gt;&lt;wsp:rsid wsp:val=&quot;00202FF3&quot;/&gt;&lt;wsp:rsid wsp:val=&quot;00203214&quot;/&gt;&lt;wsp:rsid wsp:val=&quot;00203669&quot;/&gt;&lt;wsp:rsid wsp:val=&quot;00203884&quot;/&gt;&lt;wsp:rsid wsp:val=&quot;00203A11&quot;/&gt;&lt;wsp:rsid wsp:val=&quot;00203A3D&quot;/&gt;&lt;wsp:rsid wsp:val=&quot;00203E63&quot;/&gt;&lt;wsp:rsid wsp:val=&quot;00203F61&quot;/&gt;&lt;wsp:rsid wsp:val=&quot;002040BA&quot;/&gt;&lt;wsp:rsid wsp:val=&quot;00204234&quot;/&gt;&lt;wsp:rsid wsp:val=&quot;00204CB2&quot;/&gt;&lt;wsp:rsid wsp:val=&quot;00204EB1&quot;/&gt;&lt;wsp:rsid wsp:val=&quot;002052F6&quot;/&gt;&lt;wsp:rsid wsp:val=&quot;00205787&quot;/&gt;&lt;wsp:rsid wsp:val=&quot;00205C1E&quot;/&gt;&lt;wsp:rsid wsp:val=&quot;002062A1&quot;/&gt;&lt;wsp:rsid wsp:val=&quot;002062ED&quot;/&gt;&lt;wsp:rsid wsp:val=&quot;002063F5&quot;/&gt;&lt;wsp:rsid wsp:val=&quot;00206B0F&quot;/&gt;&lt;wsp:rsid wsp:val=&quot;00206F17&quot;/&gt;&lt;wsp:rsid wsp:val=&quot;002070B9&quot;/&gt;&lt;wsp:rsid wsp:val=&quot;00207292&quot;/&gt;&lt;wsp:rsid wsp:val=&quot;00207A76&quot;/&gt;&lt;wsp:rsid wsp:val=&quot;00207E9C&quot;/&gt;&lt;wsp:rsid wsp:val=&quot;002109EC&quot;/&gt;&lt;wsp:rsid wsp:val=&quot;00210ED5&quot;/&gt;&lt;wsp:rsid wsp:val=&quot;0021131D&quot;/&gt;&lt;wsp:rsid wsp:val=&quot;00211415&quot;/&gt;&lt;wsp:rsid wsp:val=&quot;0021154F&quot;/&gt;&lt;wsp:rsid wsp:val=&quot;00211603&quot;/&gt;&lt;wsp:rsid wsp:val=&quot;0021178A&quot;/&gt;&lt;wsp:rsid wsp:val=&quot;00211A9D&quot;/&gt;&lt;wsp:rsid wsp:val=&quot;00211E3A&quot;/&gt;&lt;wsp:rsid wsp:val=&quot;00212629&quot;/&gt;&lt;wsp:rsid wsp:val=&quot;00212D0A&quot;/&gt;&lt;wsp:rsid wsp:val=&quot;0021342F&quot;/&gt;&lt;wsp:rsid wsp:val=&quot;00213716&quot;/&gt;&lt;wsp:rsid wsp:val=&quot;00213AA3&quot;/&gt;&lt;wsp:rsid wsp:val=&quot;00213AE7&quot;/&gt;&lt;wsp:rsid wsp:val=&quot;00213CD1&quot;/&gt;&lt;wsp:rsid wsp:val=&quot;002144B9&quot;/&gt;&lt;wsp:rsid wsp:val=&quot;002145B2&quot;/&gt;&lt;wsp:rsid wsp:val=&quot;002148B7&quot;/&gt;&lt;wsp:rsid wsp:val=&quot;00215153&quot;/&gt;&lt;wsp:rsid wsp:val=&quot;002152B4&quot;/&gt;&lt;wsp:rsid wsp:val=&quot;00215363&quot;/&gt;&lt;wsp:rsid wsp:val=&quot;002155D5&quot;/&gt;&lt;wsp:rsid wsp:val=&quot;002157D0&quot;/&gt;&lt;wsp:rsid wsp:val=&quot;002158BB&quot;/&gt;&lt;wsp:rsid wsp:val=&quot;00215923&quot;/&gt;&lt;wsp:rsid wsp:val=&quot;00215B16&quot;/&gt;&lt;wsp:rsid wsp:val=&quot;00216252&quot;/&gt;&lt;wsp:rsid wsp:val=&quot;00216A42&quot;/&gt;&lt;wsp:rsid wsp:val=&quot;0021762E&quot;/&gt;&lt;wsp:rsid wsp:val=&quot;00217863&quot;/&gt;&lt;wsp:rsid wsp:val=&quot;00217875&quot;/&gt;&lt;wsp:rsid wsp:val=&quot;00217C16&quot;/&gt;&lt;wsp:rsid wsp:val=&quot;00217CDD&quot;/&gt;&lt;wsp:rsid wsp:val=&quot;00217DF4&quot;/&gt;&lt;wsp:rsid wsp:val=&quot;00217FF3&quot;/&gt;&lt;wsp:rsid wsp:val=&quot;002201D1&quot;/&gt;&lt;wsp:rsid wsp:val=&quot;0022087F&quot;/&gt;&lt;wsp:rsid wsp:val=&quot;00220A70&quot;/&gt;&lt;wsp:rsid wsp:val=&quot;00220E2B&quot;/&gt;&lt;wsp:rsid wsp:val=&quot;00220FF9&quot;/&gt;&lt;wsp:rsid wsp:val=&quot;00221C9E&quot;/&gt;&lt;wsp:rsid wsp:val=&quot;00221CE5&quot;/&gt;&lt;wsp:rsid wsp:val=&quot;00222238&quot;/&gt;&lt;wsp:rsid wsp:val=&quot;002223C9&quot;/&gt;&lt;wsp:rsid wsp:val=&quot;00222500&quot;/&gt;&lt;wsp:rsid wsp:val=&quot;002226AA&quot;/&gt;&lt;wsp:rsid wsp:val=&quot;0022270D&quot;/&gt;&lt;wsp:rsid wsp:val=&quot;00222C43&quot;/&gt;&lt;wsp:rsid wsp:val=&quot;00222D7F&quot;/&gt;&lt;wsp:rsid wsp:val=&quot;00222DC8&quot;/&gt;&lt;wsp:rsid wsp:val=&quot;002231EE&quot;/&gt;&lt;wsp:rsid wsp:val=&quot;002233E3&quot;/&gt;&lt;wsp:rsid wsp:val=&quot;002239B7&quot;/&gt;&lt;wsp:rsid wsp:val=&quot;00223A30&quot;/&gt;&lt;wsp:rsid wsp:val=&quot;00223B60&quot;/&gt;&lt;wsp:rsid wsp:val=&quot;00223DE6&quot;/&gt;&lt;wsp:rsid wsp:val=&quot;00223F62&quot;/&gt;&lt;wsp:rsid wsp:val=&quot;00223F9C&quot;/&gt;&lt;wsp:rsid wsp:val=&quot;00223FFC&quot;/&gt;&lt;wsp:rsid wsp:val=&quot;002249B1&quot;/&gt;&lt;wsp:rsid wsp:val=&quot;00224B87&quot;/&gt;&lt;wsp:rsid wsp:val=&quot;002252A4&quot;/&gt;&lt;wsp:rsid wsp:val=&quot;002256D7&quot;/&gt;&lt;wsp:rsid wsp:val=&quot;002256F8&quot;/&gt;&lt;wsp:rsid wsp:val=&quot;0022588E&quot;/&gt;&lt;wsp:rsid wsp:val=&quot;00226142&quot;/&gt;&lt;wsp:rsid wsp:val=&quot;00226165&quot;/&gt;&lt;wsp:rsid wsp:val=&quot;0022658A&quot;/&gt;&lt;wsp:rsid wsp:val=&quot;00226901&quot;/&gt;&lt;wsp:rsid wsp:val=&quot;00226C9A&quot;/&gt;&lt;wsp:rsid wsp:val=&quot;00226CAA&quot;/&gt;&lt;wsp:rsid wsp:val=&quot;00226E16&quot;/&gt;&lt;wsp:rsid wsp:val=&quot;00226F0D&quot;/&gt;&lt;wsp:rsid wsp:val=&quot;00226FCA&quot;/&gt;&lt;wsp:rsid wsp:val=&quot;00227818&quot;/&gt;&lt;wsp:rsid wsp:val=&quot;0022783D&quot;/&gt;&lt;wsp:rsid wsp:val=&quot;00227A0E&quot;/&gt;&lt;wsp:rsid wsp:val=&quot;00227CA3&quot;/&gt;&lt;wsp:rsid wsp:val=&quot;00227CAC&quot;/&gt;&lt;wsp:rsid wsp:val=&quot;00227F09&quot;/&gt;&lt;wsp:rsid wsp:val=&quot;002300C7&quot;/&gt;&lt;wsp:rsid wsp:val=&quot;002300D2&quot;/&gt;&lt;wsp:rsid wsp:val=&quot;00230153&quot;/&gt;&lt;wsp:rsid wsp:val=&quot;00230303&quot;/&gt;&lt;wsp:rsid wsp:val=&quot;00230718&quot;/&gt;&lt;wsp:rsid wsp:val=&quot;00230D26&quot;/&gt;&lt;wsp:rsid wsp:val=&quot;002314F1&quot;/&gt;&lt;wsp:rsid wsp:val=&quot;00231683&quot;/&gt;&lt;wsp:rsid wsp:val=&quot;00231CB7&quot;/&gt;&lt;wsp:rsid wsp:val=&quot;00231EF3&quot;/&gt;&lt;wsp:rsid wsp:val=&quot;0023208D&quot;/&gt;&lt;wsp:rsid wsp:val=&quot;00232266&quot;/&gt;&lt;wsp:rsid wsp:val=&quot;002324A6&quot;/&gt;&lt;wsp:rsid wsp:val=&quot;002325A1&quot;/&gt;&lt;wsp:rsid wsp:val=&quot;00232989&quot;/&gt;&lt;wsp:rsid wsp:val=&quot;00232A0A&quot;/&gt;&lt;wsp:rsid wsp:val=&quot;00232B15&quot;/&gt;&lt;wsp:rsid wsp:val=&quot;00232B66&quot;/&gt;&lt;wsp:rsid wsp:val=&quot;00232E63&quot;/&gt;&lt;wsp:rsid wsp:val=&quot;00233149&quot;/&gt;&lt;wsp:rsid wsp:val=&quot;0023329A&quot;/&gt;&lt;wsp:rsid wsp:val=&quot;002333DE&quot;/&gt;&lt;wsp:rsid wsp:val=&quot;00233477&quot;/&gt;&lt;wsp:rsid wsp:val=&quot;00233F42&quot;/&gt;&lt;wsp:rsid wsp:val=&quot;002348CB&quot;/&gt;&lt;wsp:rsid wsp:val=&quot;002349BD&quot;/&gt;&lt;wsp:rsid wsp:val=&quot;00234A0C&quot;/&gt;&lt;wsp:rsid wsp:val=&quot;0023556F&quot;/&gt;&lt;wsp:rsid wsp:val=&quot;00235ACA&quot;/&gt;&lt;wsp:rsid wsp:val=&quot;00236590&quot;/&gt;&lt;wsp:rsid wsp:val=&quot;00236846&quot;/&gt;&lt;wsp:rsid wsp:val=&quot;00236C23&quot;/&gt;&lt;wsp:rsid wsp:val=&quot;00236C72&quot;/&gt;&lt;wsp:rsid wsp:val=&quot;00236C7C&quot;/&gt;&lt;wsp:rsid wsp:val=&quot;00236D67&quot;/&gt;&lt;wsp:rsid wsp:val=&quot;0023725F&quot;/&gt;&lt;wsp:rsid wsp:val=&quot;00237F39&quot;/&gt;&lt;wsp:rsid wsp:val=&quot;002402F2&quot;/&gt;&lt;wsp:rsid wsp:val=&quot;002413BD&quot;/&gt;&lt;wsp:rsid wsp:val=&quot;00241542&quot;/&gt;&lt;wsp:rsid wsp:val=&quot;0024185C&quot;/&gt;&lt;wsp:rsid wsp:val=&quot;002418E7&quot;/&gt;&lt;wsp:rsid wsp:val=&quot;00241A04&quot;/&gt;&lt;wsp:rsid wsp:val=&quot;00241A62&quot;/&gt;&lt;wsp:rsid wsp:val=&quot;00241B80&quot;/&gt;&lt;wsp:rsid wsp:val=&quot;00241C03&quot;/&gt;&lt;wsp:rsid wsp:val=&quot;00241F45&quot;/&gt;&lt;wsp:rsid wsp:val=&quot;00241F5F&quot;/&gt;&lt;wsp:rsid wsp:val=&quot;0024244A&quot;/&gt;&lt;wsp:rsid wsp:val=&quot;0024265F&quot;/&gt;&lt;wsp:rsid wsp:val=&quot;002426C6&quot;/&gt;&lt;wsp:rsid wsp:val=&quot;002427E0&quot;/&gt;&lt;wsp:rsid wsp:val=&quot;00242B14&quot;/&gt;&lt;wsp:rsid wsp:val=&quot;00242C0C&quot;/&gt;&lt;wsp:rsid wsp:val=&quot;00242E31&quot;/&gt;&lt;wsp:rsid wsp:val=&quot;0024301C&quot;/&gt;&lt;wsp:rsid wsp:val=&quot;0024379A&quot;/&gt;&lt;wsp:rsid wsp:val=&quot;00243812&quot;/&gt;&lt;wsp:rsid wsp:val=&quot;00243ACD&quot;/&gt;&lt;wsp:rsid wsp:val=&quot;00243BBE&quot;/&gt;&lt;wsp:rsid wsp:val=&quot;00243C6C&quot;/&gt;&lt;wsp:rsid wsp:val=&quot;0024489F&quot;/&gt;&lt;wsp:rsid wsp:val=&quot;00244FD7&quot;/&gt;&lt;wsp:rsid wsp:val=&quot;0024598B&quot;/&gt;&lt;wsp:rsid wsp:val=&quot;00245AEB&quot;/&gt;&lt;wsp:rsid wsp:val=&quot;002461EA&quot;/&gt;&lt;wsp:rsid wsp:val=&quot;002462E4&quot;/&gt;&lt;wsp:rsid wsp:val=&quot;002467DF&quot;/&gt;&lt;wsp:rsid wsp:val=&quot;0024687E&quot;/&gt;&lt;wsp:rsid wsp:val=&quot;002470B2&quot;/&gt;&lt;wsp:rsid wsp:val=&quot;00247351&quot;/&gt;&lt;wsp:rsid wsp:val=&quot;0024791D&quot;/&gt;&lt;wsp:rsid wsp:val=&quot;00247ACC&quot;/&gt;&lt;wsp:rsid wsp:val=&quot;00247FB1&quot;/&gt;&lt;wsp:rsid wsp:val=&quot;00250170&quot;/&gt;&lt;wsp:rsid wsp:val=&quot;0025022B&quot;/&gt;&lt;wsp:rsid wsp:val=&quot;00251027&quot;/&gt;&lt;wsp:rsid wsp:val=&quot;002510E4&quot;/&gt;&lt;wsp:rsid wsp:val=&quot;0025119D&quot;/&gt;&lt;wsp:rsid wsp:val=&quot;002512E4&quot;/&gt;&lt;wsp:rsid wsp:val=&quot;0025156F&quot;/&gt;&lt;wsp:rsid wsp:val=&quot;00251989&quot;/&gt;&lt;wsp:rsid wsp:val=&quot;00251B43&quot;/&gt;&lt;wsp:rsid wsp:val=&quot;00251FAE&quot;/&gt;&lt;wsp:rsid wsp:val=&quot;002520F8&quot;/&gt;&lt;wsp:rsid wsp:val=&quot;0025211D&quot;/&gt;&lt;wsp:rsid wsp:val=&quot;002526AA&quot;/&gt;&lt;wsp:rsid wsp:val=&quot;0025346F&quot;/&gt;&lt;wsp:rsid wsp:val=&quot;002535C1&quot;/&gt;&lt;wsp:rsid wsp:val=&quot;002535F2&quot;/&gt;&lt;wsp:rsid wsp:val=&quot;00253A28&quot;/&gt;&lt;wsp:rsid wsp:val=&quot;00253B29&quot;/&gt;&lt;wsp:rsid wsp:val=&quot;002540E7&quot;/&gt;&lt;wsp:rsid wsp:val=&quot;0025414B&quot;/&gt;&lt;wsp:rsid wsp:val=&quot;002543FB&quot;/&gt;&lt;wsp:rsid wsp:val=&quot;00254992&quot;/&gt;&lt;wsp:rsid wsp:val=&quot;00254A31&quot;/&gt;&lt;wsp:rsid wsp:val=&quot;00254B17&quot;/&gt;&lt;wsp:rsid wsp:val=&quot;0025529C&quot;/&gt;&lt;wsp:rsid wsp:val=&quot;0025553E&quot;/&gt;&lt;wsp:rsid wsp:val=&quot;002559DA&quot;/&gt;&lt;wsp:rsid wsp:val=&quot;00255A5F&quot;/&gt;&lt;wsp:rsid wsp:val=&quot;002567B3&quot;/&gt;&lt;wsp:rsid wsp:val=&quot;002567D9&quot;/&gt;&lt;wsp:rsid wsp:val=&quot;00257074&quot;/&gt;&lt;wsp:rsid wsp:val=&quot;0025716B&quot;/&gt;&lt;wsp:rsid wsp:val=&quot;002572DE&quot;/&gt;&lt;wsp:rsid wsp:val=&quot;002574AB&quot;/&gt;&lt;wsp:rsid wsp:val=&quot;00257710&quot;/&gt;&lt;wsp:rsid wsp:val=&quot;00257D51&quot;/&gt;&lt;wsp:rsid wsp:val=&quot;00260D34&quot;/&gt;&lt;wsp:rsid wsp:val=&quot;00260E55&quot;/&gt;&lt;wsp:rsid wsp:val=&quot;002617C9&quot;/&gt;&lt;wsp:rsid wsp:val=&quot;002618C2&quot;/&gt;&lt;wsp:rsid wsp:val=&quot;00261D85&quot;/&gt;&lt;wsp:rsid wsp:val=&quot;00262087&quot;/&gt;&lt;wsp:rsid wsp:val=&quot;0026227B&quot;/&gt;&lt;wsp:rsid wsp:val=&quot;00262456&quot;/&gt;&lt;wsp:rsid wsp:val=&quot;0026246C&quot;/&gt;&lt;wsp:rsid wsp:val=&quot;002624A1&quot;/&gt;&lt;wsp:rsid wsp:val=&quot;002627F3&quot;/&gt;&lt;wsp:rsid wsp:val=&quot;00262BD7&quot;/&gt;&lt;wsp:rsid wsp:val=&quot;00262C4D&quot;/&gt;&lt;wsp:rsid wsp:val=&quot;0026359A&quot;/&gt;&lt;wsp:rsid wsp:val=&quot;002636A2&quot;/&gt;&lt;wsp:rsid wsp:val=&quot;002636E9&quot;/&gt;&lt;wsp:rsid wsp:val=&quot;0026396F&quot;/&gt;&lt;wsp:rsid wsp:val=&quot;00263A8D&quot;/&gt;&lt;wsp:rsid wsp:val=&quot;00263C47&quot;/&gt;&lt;wsp:rsid wsp:val=&quot;00263C9F&quot;/&gt;&lt;wsp:rsid wsp:val=&quot;00263E47&quot;/&gt;&lt;wsp:rsid wsp:val=&quot;00263FB4&quot;/&gt;&lt;wsp:rsid wsp:val=&quot;002640D0&quot;/&gt;&lt;wsp:rsid wsp:val=&quot;002643DA&quot;/&gt;&lt;wsp:rsid wsp:val=&quot;002644E2&quot;/&gt;&lt;wsp:rsid wsp:val=&quot;0026461E&quot;/&gt;&lt;wsp:rsid wsp:val=&quot;00264E91&quot;/&gt;&lt;wsp:rsid wsp:val=&quot;00264F6D&quot;/&gt;&lt;wsp:rsid wsp:val=&quot;002655F6&quot;/&gt;&lt;wsp:rsid wsp:val=&quot;0026560C&quot;/&gt;&lt;wsp:rsid wsp:val=&quot;00265FF0&quot;/&gt;&lt;wsp:rsid wsp:val=&quot;00266E09&quot;/&gt;&lt;wsp:rsid wsp:val=&quot;0026739F&quot;/&gt;&lt;wsp:rsid wsp:val=&quot;00267640&quot;/&gt;&lt;wsp:rsid wsp:val=&quot;00270029&quot;/&gt;&lt;wsp:rsid wsp:val=&quot;0027018D&quot;/&gt;&lt;wsp:rsid wsp:val=&quot;00270611&quot;/&gt;&lt;wsp:rsid wsp:val=&quot;00270697&quot;/&gt;&lt;wsp:rsid wsp:val=&quot;00270755&quot;/&gt;&lt;wsp:rsid wsp:val=&quot;00270B47&quot;/&gt;&lt;wsp:rsid wsp:val=&quot;00270D59&quot;/&gt;&lt;wsp:rsid wsp:val=&quot;00271289&quot;/&gt;&lt;wsp:rsid wsp:val=&quot;0027134C&quot;/&gt;&lt;wsp:rsid wsp:val=&quot;00271593&quot;/&gt;&lt;wsp:rsid wsp:val=&quot;002715A6&quot;/&gt;&lt;wsp:rsid wsp:val=&quot;0027161F&quot;/&gt;&lt;wsp:rsid wsp:val=&quot;00271D4D&quot;/&gt;&lt;wsp:rsid wsp:val=&quot;00271E47&quot;/&gt;&lt;wsp:rsid wsp:val=&quot;0027224A&quot;/&gt;&lt;wsp:rsid wsp:val=&quot;002724EF&quot;/&gt;&lt;wsp:rsid wsp:val=&quot;002724F4&quot;/&gt;&lt;wsp:rsid wsp:val=&quot;00272C48&quot;/&gt;&lt;wsp:rsid wsp:val=&quot;002732D0&quot;/&gt;&lt;wsp:rsid wsp:val=&quot;002736D7&quot;/&gt;&lt;wsp:rsid wsp:val=&quot;0027373B&quot;/&gt;&lt;wsp:rsid wsp:val=&quot;00274050&quot;/&gt;&lt;wsp:rsid wsp:val=&quot;00274196&quot;/&gt;&lt;wsp:rsid wsp:val=&quot;00274205&quot;/&gt;&lt;wsp:rsid wsp:val=&quot;002744A3&quot;/&gt;&lt;wsp:rsid wsp:val=&quot;002744AA&quot;/&gt;&lt;wsp:rsid wsp:val=&quot;002747BF&quot;/&gt;&lt;wsp:rsid wsp:val=&quot;002747D0&quot;/&gt;&lt;wsp:rsid wsp:val=&quot;002748ED&quot;/&gt;&lt;wsp:rsid wsp:val=&quot;00274955&quot;/&gt;&lt;wsp:rsid wsp:val=&quot;0027499C&quot;/&gt;&lt;wsp:rsid wsp:val=&quot;00274A6C&quot;/&gt;&lt;wsp:rsid wsp:val=&quot;00274C83&quot;/&gt;&lt;wsp:rsid wsp:val=&quot;00274CDA&quot;/&gt;&lt;wsp:rsid wsp:val=&quot;0027513F&quot;/&gt;&lt;wsp:rsid wsp:val=&quot;00275142&quot;/&gt;&lt;wsp:rsid wsp:val=&quot;00275637&quot;/&gt;&lt;wsp:rsid wsp:val=&quot;002757D0&quot;/&gt;&lt;wsp:rsid wsp:val=&quot;00275A5D&quot;/&gt;&lt;wsp:rsid wsp:val=&quot;00275AD2&quot;/&gt;&lt;wsp:rsid wsp:val=&quot;0027613B&quot;/&gt;&lt;wsp:rsid wsp:val=&quot;0027644C&quot;/&gt;&lt;wsp:rsid wsp:val=&quot;002765AD&quot;/&gt;&lt;wsp:rsid wsp:val=&quot;002767D0&quot;/&gt;&lt;wsp:rsid wsp:val=&quot;00276D6C&quot;/&gt;&lt;wsp:rsid wsp:val=&quot;00276F23&quot;/&gt;&lt;wsp:rsid wsp:val=&quot;0027716C&quot;/&gt;&lt;wsp:rsid wsp:val=&quot;002779DD&quot;/&gt;&lt;wsp:rsid wsp:val=&quot;00277F07&quot;/&gt;&lt;wsp:rsid wsp:val=&quot;0028013C&quot;/&gt;&lt;wsp:rsid wsp:val=&quot;002803DE&quot;/&gt;&lt;wsp:rsid wsp:val=&quot;002804A3&quot;/&gt;&lt;wsp:rsid wsp:val=&quot;00280893&quot;/&gt;&lt;wsp:rsid wsp:val=&quot;002812C9&quot;/&gt;&lt;wsp:rsid wsp:val=&quot;002814EC&quot;/&gt;&lt;wsp:rsid wsp:val=&quot;0028166F&quot;/&gt;&lt;wsp:rsid wsp:val=&quot;00281860&quot;/&gt;&lt;wsp:rsid wsp:val=&quot;00281952&quot;/&gt;&lt;wsp:rsid wsp:val=&quot;00282A78&quot;/&gt;&lt;wsp:rsid wsp:val=&quot;00282B4B&quot;/&gt;&lt;wsp:rsid wsp:val=&quot;00282BDA&quot;/&gt;&lt;wsp:rsid wsp:val=&quot;00282E4D&quot;/&gt;&lt;wsp:rsid wsp:val=&quot;002832E0&quot;/&gt;&lt;wsp:rsid wsp:val=&quot;002833BB&quot;/&gt;&lt;wsp:rsid wsp:val=&quot;0028346E&quot;/&gt;&lt;wsp:rsid wsp:val=&quot;002835C7&quot;/&gt;&lt;wsp:rsid wsp:val=&quot;00284392&quot;/&gt;&lt;wsp:rsid wsp:val=&quot;00284567&quot;/&gt;&lt;wsp:rsid wsp:val=&quot;00284A7F&quot;/&gt;&lt;wsp:rsid wsp:val=&quot;00284BC4&quot;/&gt;&lt;wsp:rsid wsp:val=&quot;00284C0D&quot;/&gt;&lt;wsp:rsid wsp:val=&quot;00285346&quot;/&gt;&lt;wsp:rsid wsp:val=&quot;0028553F&quot;/&gt;&lt;wsp:rsid wsp:val=&quot;00285701&quot;/&gt;&lt;wsp:rsid wsp:val=&quot;00285A7F&quot;/&gt;&lt;wsp:rsid wsp:val=&quot;00285AF2&quot;/&gt;&lt;wsp:rsid wsp:val=&quot;00285FC0&quot;/&gt;&lt;wsp:rsid wsp:val=&quot;00285FC5&quot;/&gt;&lt;wsp:rsid wsp:val=&quot;0028641F&quot;/&gt;&lt;wsp:rsid wsp:val=&quot;002867AA&quot;/&gt;&lt;wsp:rsid wsp:val=&quot;002869F5&quot;/&gt;&lt;wsp:rsid wsp:val=&quot;00286F24&quot;/&gt;&lt;wsp:rsid wsp:val=&quot;00286F32&quot;/&gt;&lt;wsp:rsid wsp:val=&quot;00287223&quot;/&gt;&lt;wsp:rsid wsp:val=&quot;00287681&quot;/&gt;&lt;wsp:rsid wsp:val=&quot;00287EBD&quot;/&gt;&lt;wsp:rsid wsp:val=&quot;00287F8E&quot;/&gt;&lt;wsp:rsid wsp:val=&quot;0029008F&quot;/&gt;&lt;wsp:rsid wsp:val=&quot;0029079A&quot;/&gt;&lt;wsp:rsid wsp:val=&quot;00290A2D&quot;/&gt;&lt;wsp:rsid wsp:val=&quot;002910F2&quot;/&gt;&lt;wsp:rsid wsp:val=&quot;002911F5&quot;/&gt;&lt;wsp:rsid wsp:val=&quot;00291250&quot;/&gt;&lt;wsp:rsid wsp:val=&quot;0029135F&quot;/&gt;&lt;wsp:rsid wsp:val=&quot;0029196D&quot;/&gt;&lt;wsp:rsid wsp:val=&quot;00291A01&quot;/&gt;&lt;wsp:rsid wsp:val=&quot;00291A62&quot;/&gt;&lt;wsp:rsid wsp:val=&quot;00291F28&quot;/&gt;&lt;wsp:rsid wsp:val=&quot;00292687&quot;/&gt;&lt;wsp:rsid wsp:val=&quot;002929B3&quot;/&gt;&lt;wsp:rsid wsp:val=&quot;00292B75&quot;/&gt;&lt;wsp:rsid wsp:val=&quot;00292E90&quot;/&gt;&lt;wsp:rsid wsp:val=&quot;00292F01&quot;/&gt;&lt;wsp:rsid wsp:val=&quot;0029342F&quot;/&gt;&lt;wsp:rsid wsp:val=&quot;002934B1&quot;/&gt;&lt;wsp:rsid wsp:val=&quot;00293626&quot;/&gt;&lt;wsp:rsid wsp:val=&quot;00293B87&quot;/&gt;&lt;wsp:rsid wsp:val=&quot;00293C9E&quot;/&gt;&lt;wsp:rsid wsp:val=&quot;00293DAA&quot;/&gt;&lt;wsp:rsid wsp:val=&quot;00293E69&quot;/&gt;&lt;wsp:rsid wsp:val=&quot;00294076&quot;/&gt;&lt;wsp:rsid wsp:val=&quot;00294094&quot;/&gt;&lt;wsp:rsid wsp:val=&quot;002942B9&quot;/&gt;&lt;wsp:rsid wsp:val=&quot;002944AD&quot;/&gt;&lt;wsp:rsid wsp:val=&quot;00294D12&quot;/&gt;&lt;wsp:rsid wsp:val=&quot;00295814&quot;/&gt;&lt;wsp:rsid wsp:val=&quot;00295EBF&quot;/&gt;&lt;wsp:rsid wsp:val=&quot;00295FCC&quot;/&gt;&lt;wsp:rsid wsp:val=&quot;00296318&quot;/&gt;&lt;wsp:rsid wsp:val=&quot;002963ED&quot;/&gt;&lt;wsp:rsid wsp:val=&quot;00296B3C&quot;/&gt;&lt;wsp:rsid wsp:val=&quot;002976EF&quot;/&gt;&lt;wsp:rsid wsp:val=&quot;00297F6D&quot;/&gt;&lt;wsp:rsid wsp:val=&quot;002A017C&quot;/&gt;&lt;wsp:rsid wsp:val=&quot;002A043F&quot;/&gt;&lt;wsp:rsid wsp:val=&quot;002A082D&quot;/&gt;&lt;wsp:rsid wsp:val=&quot;002A0AC1&quot;/&gt;&lt;wsp:rsid wsp:val=&quot;002A1683&quot;/&gt;&lt;wsp:rsid wsp:val=&quot;002A18F0&quot;/&gt;&lt;wsp:rsid wsp:val=&quot;002A195B&quot;/&gt;&lt;wsp:rsid wsp:val=&quot;002A1B4D&quot;/&gt;&lt;wsp:rsid wsp:val=&quot;002A1D8E&quot;/&gt;&lt;wsp:rsid wsp:val=&quot;002A226C&quot;/&gt;&lt;wsp:rsid wsp:val=&quot;002A25D6&quot;/&gt;&lt;wsp:rsid wsp:val=&quot;002A287D&quot;/&gt;&lt;wsp:rsid wsp:val=&quot;002A30A8&quot;/&gt;&lt;wsp:rsid wsp:val=&quot;002A325C&quot;/&gt;&lt;wsp:rsid wsp:val=&quot;002A354B&quot;/&gt;&lt;wsp:rsid wsp:val=&quot;002A3C55&quot;/&gt;&lt;wsp:rsid wsp:val=&quot;002A3E93&quot;/&gt;&lt;wsp:rsid wsp:val=&quot;002A40B5&quot;/&gt;&lt;wsp:rsid wsp:val=&quot;002A40BF&quot;/&gt;&lt;wsp:rsid wsp:val=&quot;002A438B&quot;/&gt;&lt;wsp:rsid wsp:val=&quot;002A43DA&quot;/&gt;&lt;wsp:rsid wsp:val=&quot;002A4413&quot;/&gt;&lt;wsp:rsid wsp:val=&quot;002A47C6&quot;/&gt;&lt;wsp:rsid wsp:val=&quot;002A4B45&quot;/&gt;&lt;wsp:rsid wsp:val=&quot;002A4F64&quot;/&gt;&lt;wsp:rsid wsp:val=&quot;002A4FAA&quot;/&gt;&lt;wsp:rsid wsp:val=&quot;002A543C&quot;/&gt;&lt;wsp:rsid wsp:val=&quot;002A5850&quot;/&gt;&lt;wsp:rsid wsp:val=&quot;002A5E2B&quot;/&gt;&lt;wsp:rsid wsp:val=&quot;002A60AB&quot;/&gt;&lt;wsp:rsid wsp:val=&quot;002A62D4&quot;/&gt;&lt;wsp:rsid wsp:val=&quot;002A6559&quot;/&gt;&lt;wsp:rsid wsp:val=&quot;002A72E4&quot;/&gt;&lt;wsp:rsid wsp:val=&quot;002A7464&quot;/&gt;&lt;wsp:rsid wsp:val=&quot;002A753D&quot;/&gt;&lt;wsp:rsid wsp:val=&quot;002A76F0&quot;/&gt;&lt;wsp:rsid wsp:val=&quot;002A78B2&quot;/&gt;&lt;wsp:rsid wsp:val=&quot;002A7969&quot;/&gt;&lt;wsp:rsid wsp:val=&quot;002A7DE4&quot;/&gt;&lt;wsp:rsid wsp:val=&quot;002B07B5&quot;/&gt;&lt;wsp:rsid wsp:val=&quot;002B07D5&quot;/&gt;&lt;wsp:rsid wsp:val=&quot;002B0B06&quot;/&gt;&lt;wsp:rsid wsp:val=&quot;002B0B36&quot;/&gt;&lt;wsp:rsid wsp:val=&quot;002B1469&quot;/&gt;&lt;wsp:rsid wsp:val=&quot;002B21F2&quot;/&gt;&lt;wsp:rsid wsp:val=&quot;002B22FF&quot;/&gt;&lt;wsp:rsid wsp:val=&quot;002B2487&quot;/&gt;&lt;wsp:rsid wsp:val=&quot;002B2750&quot;/&gt;&lt;wsp:rsid wsp:val=&quot;002B2CDA&quot;/&gt;&lt;wsp:rsid wsp:val=&quot;002B3B40&quot;/&gt;&lt;wsp:rsid wsp:val=&quot;002B3B45&quot;/&gt;&lt;wsp:rsid wsp:val=&quot;002B3C6E&quot;/&gt;&lt;wsp:rsid wsp:val=&quot;002B4636&quot;/&gt;&lt;wsp:rsid wsp:val=&quot;002B5679&quot;/&gt;&lt;wsp:rsid wsp:val=&quot;002B589F&quot;/&gt;&lt;wsp:rsid wsp:val=&quot;002B5CDE&quot;/&gt;&lt;wsp:rsid wsp:val=&quot;002B6271&quot;/&gt;&lt;wsp:rsid wsp:val=&quot;002B63AB&quot;/&gt;&lt;wsp:rsid wsp:val=&quot;002B6969&quot;/&gt;&lt;wsp:rsid wsp:val=&quot;002B6B15&quot;/&gt;&lt;wsp:rsid wsp:val=&quot;002B6C6C&quot;/&gt;&lt;wsp:rsid wsp:val=&quot;002B6E38&quot;/&gt;&lt;wsp:rsid wsp:val=&quot;002B7093&quot;/&gt;&lt;wsp:rsid wsp:val=&quot;002C028F&quot;/&gt;&lt;wsp:rsid wsp:val=&quot;002C02EC&quot;/&gt;&lt;wsp:rsid wsp:val=&quot;002C02EF&quot;/&gt;&lt;wsp:rsid wsp:val=&quot;002C0435&quot;/&gt;&lt;wsp:rsid wsp:val=&quot;002C0475&quot;/&gt;&lt;wsp:rsid wsp:val=&quot;002C049C&quot;/&gt;&lt;wsp:rsid wsp:val=&quot;002C06A2&quot;/&gt;&lt;wsp:rsid wsp:val=&quot;002C0797&quot;/&gt;&lt;wsp:rsid wsp:val=&quot;002C09C9&quot;/&gt;&lt;wsp:rsid wsp:val=&quot;002C1425&quot;/&gt;&lt;wsp:rsid wsp:val=&quot;002C196B&quot;/&gt;&lt;wsp:rsid wsp:val=&quot;002C1A16&quot;/&gt;&lt;wsp:rsid wsp:val=&quot;002C1D69&quot;/&gt;&lt;wsp:rsid wsp:val=&quot;002C2023&quot;/&gt;&lt;wsp:rsid wsp:val=&quot;002C2E78&quot;/&gt;&lt;wsp:rsid wsp:val=&quot;002C341B&quot;/&gt;&lt;wsp:rsid wsp:val=&quot;002C36FF&quot;/&gt;&lt;wsp:rsid wsp:val=&quot;002C3863&quot;/&gt;&lt;wsp:rsid wsp:val=&quot;002C38D3&quot;/&gt;&lt;wsp:rsid wsp:val=&quot;002C399A&quot;/&gt;&lt;wsp:rsid wsp:val=&quot;002C3F6E&quot;/&gt;&lt;wsp:rsid wsp:val=&quot;002C40E3&quot;/&gt;&lt;wsp:rsid wsp:val=&quot;002C426B&quot;/&gt;&lt;wsp:rsid wsp:val=&quot;002C4910&quot;/&gt;&lt;wsp:rsid wsp:val=&quot;002C51F4&quot;/&gt;&lt;wsp:rsid wsp:val=&quot;002C52BD&quot;/&gt;&lt;wsp:rsid wsp:val=&quot;002C5465&quot;/&gt;&lt;wsp:rsid wsp:val=&quot;002C580B&quot;/&gt;&lt;wsp:rsid wsp:val=&quot;002C5A9A&quot;/&gt;&lt;wsp:rsid wsp:val=&quot;002C5D82&quot;/&gt;&lt;wsp:rsid wsp:val=&quot;002C5F99&quot;/&gt;&lt;wsp:rsid wsp:val=&quot;002C6221&quot;/&gt;&lt;wsp:rsid wsp:val=&quot;002C6936&quot;/&gt;&lt;wsp:rsid wsp:val=&quot;002C6EF6&quot;/&gt;&lt;wsp:rsid wsp:val=&quot;002C70A1&quot;/&gt;&lt;wsp:rsid wsp:val=&quot;002C70EB&quot;/&gt;&lt;wsp:rsid wsp:val=&quot;002C71BC&quot;/&gt;&lt;wsp:rsid wsp:val=&quot;002C7CB3&quot;/&gt;&lt;wsp:rsid wsp:val=&quot;002D01B6&quot;/&gt;&lt;wsp:rsid wsp:val=&quot;002D051A&quot;/&gt;&lt;wsp:rsid wsp:val=&quot;002D066C&quot;/&gt;&lt;wsp:rsid wsp:val=&quot;002D0BD7&quot;/&gt;&lt;wsp:rsid wsp:val=&quot;002D0D75&quot;/&gt;&lt;wsp:rsid wsp:val=&quot;002D17A6&quot;/&gt;&lt;wsp:rsid wsp:val=&quot;002D1F87&quot;/&gt;&lt;wsp:rsid wsp:val=&quot;002D2373&quot;/&gt;&lt;wsp:rsid wsp:val=&quot;002D26F6&quot;/&gt;&lt;wsp:rsid wsp:val=&quot;002D2A19&quot;/&gt;&lt;wsp:rsid wsp:val=&quot;002D2A84&quot;/&gt;&lt;wsp:rsid wsp:val=&quot;002D30BE&quot;/&gt;&lt;wsp:rsid wsp:val=&quot;002D325A&quot;/&gt;&lt;wsp:rsid wsp:val=&quot;002D3A06&quot;/&gt;&lt;wsp:rsid wsp:val=&quot;002D3E99&quot;/&gt;&lt;wsp:rsid wsp:val=&quot;002D3FAD&quot;/&gt;&lt;wsp:rsid wsp:val=&quot;002D4667&quot;/&gt;&lt;wsp:rsid wsp:val=&quot;002D48AC&quot;/&gt;&lt;wsp:rsid wsp:val=&quot;002D4A83&quot;/&gt;&lt;wsp:rsid wsp:val=&quot;002D4C2A&quot;/&gt;&lt;wsp:rsid wsp:val=&quot;002D5156&quot;/&gt;&lt;wsp:rsid wsp:val=&quot;002D5221&quot;/&gt;&lt;wsp:rsid wsp:val=&quot;002D54B2&quot;/&gt;&lt;wsp:rsid wsp:val=&quot;002D5AD5&quot;/&gt;&lt;wsp:rsid wsp:val=&quot;002D5F75&quot;/&gt;&lt;wsp:rsid wsp:val=&quot;002D60C7&quot;/&gt;&lt;wsp:rsid wsp:val=&quot;002D6528&quot;/&gt;&lt;wsp:rsid wsp:val=&quot;002D655D&quot;/&gt;&lt;wsp:rsid wsp:val=&quot;002D6810&quot;/&gt;&lt;wsp:rsid wsp:val=&quot;002D68CE&quot;/&gt;&lt;wsp:rsid wsp:val=&quot;002D68D1&quot;/&gt;&lt;wsp:rsid wsp:val=&quot;002D68F0&quot;/&gt;&lt;wsp:rsid wsp:val=&quot;002D6938&quot;/&gt;&lt;wsp:rsid wsp:val=&quot;002D6EA4&quot;/&gt;&lt;wsp:rsid wsp:val=&quot;002D6F4C&quot;/&gt;&lt;wsp:rsid wsp:val=&quot;002D712B&quot;/&gt;&lt;wsp:rsid wsp:val=&quot;002D7489&quot;/&gt;&lt;wsp:rsid wsp:val=&quot;002D75E1&quot;/&gt;&lt;wsp:rsid wsp:val=&quot;002D7852&quot;/&gt;&lt;wsp:rsid wsp:val=&quot;002D7876&quot;/&gt;&lt;wsp:rsid wsp:val=&quot;002D7F7C&quot;/&gt;&lt;wsp:rsid wsp:val=&quot;002E00F5&quot;/&gt;&lt;wsp:rsid wsp:val=&quot;002E0245&quot;/&gt;&lt;wsp:rsid wsp:val=&quot;002E09BB&quot;/&gt;&lt;wsp:rsid wsp:val=&quot;002E10DC&quot;/&gt;&lt;wsp:rsid wsp:val=&quot;002E155F&quot;/&gt;&lt;wsp:rsid wsp:val=&quot;002E1B96&quot;/&gt;&lt;wsp:rsid wsp:val=&quot;002E1D4F&quot;/&gt;&lt;wsp:rsid wsp:val=&quot;002E1F15&quot;/&gt;&lt;wsp:rsid wsp:val=&quot;002E1F17&quot;/&gt;&lt;wsp:rsid wsp:val=&quot;002E205D&quot;/&gt;&lt;wsp:rsid wsp:val=&quot;002E22DB&quot;/&gt;&lt;wsp:rsid wsp:val=&quot;002E28BB&quot;/&gt;&lt;wsp:rsid wsp:val=&quot;002E2C03&quot;/&gt;&lt;wsp:rsid wsp:val=&quot;002E2EC0&quot;/&gt;&lt;wsp:rsid wsp:val=&quot;002E3387&quot;/&gt;&lt;wsp:rsid wsp:val=&quot;002E34D6&quot;/&gt;&lt;wsp:rsid wsp:val=&quot;002E3B88&quot;/&gt;&lt;wsp:rsid wsp:val=&quot;002E3D5B&quot;/&gt;&lt;wsp:rsid wsp:val=&quot;002E3DAD&quot;/&gt;&lt;wsp:rsid wsp:val=&quot;002E3ED7&quot;/&gt;&lt;wsp:rsid wsp:val=&quot;002E4583&quot;/&gt;&lt;wsp:rsid wsp:val=&quot;002E4707&quot;/&gt;&lt;wsp:rsid wsp:val=&quot;002E4B35&quot;/&gt;&lt;wsp:rsid wsp:val=&quot;002E542B&quot;/&gt;&lt;wsp:rsid wsp:val=&quot;002E6D9B&quot;/&gt;&lt;wsp:rsid wsp:val=&quot;002E7A1F&quot;/&gt;&lt;wsp:rsid wsp:val=&quot;002E7AE0&quot;/&gt;&lt;wsp:rsid wsp:val=&quot;002E7B93&quot;/&gt;&lt;wsp:rsid wsp:val=&quot;002E7F73&quot;/&gt;&lt;wsp:rsid wsp:val=&quot;002F0117&quot;/&gt;&lt;wsp:rsid wsp:val=&quot;002F033F&quot;/&gt;&lt;wsp:rsid wsp:val=&quot;002F0447&quot;/&gt;&lt;wsp:rsid wsp:val=&quot;002F046F&quot;/&gt;&lt;wsp:rsid wsp:val=&quot;002F0546&quot;/&gt;&lt;wsp:rsid wsp:val=&quot;002F0E28&quot;/&gt;&lt;wsp:rsid wsp:val=&quot;002F0F50&quot;/&gt;&lt;wsp:rsid wsp:val=&quot;002F0FBF&quot;/&gt;&lt;wsp:rsid wsp:val=&quot;002F12A5&quot;/&gt;&lt;wsp:rsid wsp:val=&quot;002F1589&quot;/&gt;&lt;wsp:rsid wsp:val=&quot;002F17EF&quot;/&gt;&lt;wsp:rsid wsp:val=&quot;002F1969&quot;/&gt;&lt;wsp:rsid wsp:val=&quot;002F1FC7&quot;/&gt;&lt;wsp:rsid wsp:val=&quot;002F2886&quot;/&gt;&lt;wsp:rsid wsp:val=&quot;002F309F&quot;/&gt;&lt;wsp:rsid wsp:val=&quot;002F33C7&quot;/&gt;&lt;wsp:rsid wsp:val=&quot;002F3538&quot;/&gt;&lt;wsp:rsid wsp:val=&quot;002F3CF1&quot;/&gt;&lt;wsp:rsid wsp:val=&quot;002F3D37&quot;/&gt;&lt;wsp:rsid wsp:val=&quot;002F42BA&quot;/&gt;&lt;wsp:rsid wsp:val=&quot;002F452B&quot;/&gt;&lt;wsp:rsid wsp:val=&quot;002F4635&quot;/&gt;&lt;wsp:rsid wsp:val=&quot;002F4CC1&quot;/&gt;&lt;wsp:rsid wsp:val=&quot;002F4E53&quot;/&gt;&lt;wsp:rsid wsp:val=&quot;002F4E82&quot;/&gt;&lt;wsp:rsid wsp:val=&quot;002F4FEE&quot;/&gt;&lt;wsp:rsid wsp:val=&quot;002F50B4&quot;/&gt;&lt;wsp:rsid wsp:val=&quot;002F5550&quot;/&gt;&lt;wsp:rsid wsp:val=&quot;002F57FD&quot;/&gt;&lt;wsp:rsid wsp:val=&quot;002F5DB6&quot;/&gt;&lt;wsp:rsid wsp:val=&quot;002F5EEF&quot;/&gt;&lt;wsp:rsid wsp:val=&quot;002F5FFD&quot;/&gt;&lt;wsp:rsid wsp:val=&quot;002F6510&quot;/&gt;&lt;wsp:rsid wsp:val=&quot;002F6A30&quot;/&gt;&lt;wsp:rsid wsp:val=&quot;002F6C71&quot;/&gt;&lt;wsp:rsid wsp:val=&quot;002F762A&quot;/&gt;&lt;wsp:rsid wsp:val=&quot;002F7CDE&quot;/&gt;&lt;wsp:rsid wsp:val=&quot;00300614&quot;/&gt;&lt;wsp:rsid wsp:val=&quot;0030079A&quot;/&gt;&lt;wsp:rsid wsp:val=&quot;00300A4F&quot;/&gt;&lt;wsp:rsid wsp:val=&quot;003011E0&quot;/&gt;&lt;wsp:rsid wsp:val=&quot;00301AB9&quot;/&gt;&lt;wsp:rsid wsp:val=&quot;00301E31&quot;/&gt;&lt;wsp:rsid wsp:val=&quot;003020F0&quot;/&gt;&lt;wsp:rsid wsp:val=&quot;003021E3&quot;/&gt;&lt;wsp:rsid wsp:val=&quot;003021EB&quot;/&gt;&lt;wsp:rsid wsp:val=&quot;0030234F&quot;/&gt;&lt;wsp:rsid wsp:val=&quot;003024F1&quot;/&gt;&lt;wsp:rsid wsp:val=&quot;00302C47&quot;/&gt;&lt;wsp:rsid wsp:val=&quot;00302DE7&quot;/&gt;&lt;wsp:rsid wsp:val=&quot;00302E2C&quot;/&gt;&lt;wsp:rsid wsp:val=&quot;0030381E&quot;/&gt;&lt;wsp:rsid wsp:val=&quot;00303848&quot;/&gt;&lt;wsp:rsid wsp:val=&quot;00303894&quot;/&gt;&lt;wsp:rsid wsp:val=&quot;00303A13&quot;/&gt;&lt;wsp:rsid wsp:val=&quot;00303D41&quot;/&gt;&lt;wsp:rsid wsp:val=&quot;0030400B&quot;/&gt;&lt;wsp:rsid wsp:val=&quot;003040BB&quot;/&gt;&lt;wsp:rsid wsp:val=&quot;003042E2&quot;/&gt;&lt;wsp:rsid wsp:val=&quot;00304465&quot;/&gt;&lt;wsp:rsid wsp:val=&quot;00304543&quot;/&gt;&lt;wsp:rsid wsp:val=&quot;00304659&quot;/&gt;&lt;wsp:rsid wsp:val=&quot;00304816&quot;/&gt;&lt;wsp:rsid wsp:val=&quot;00305216&quot;/&gt;&lt;wsp:rsid wsp:val=&quot;00305929&quot;/&gt;&lt;wsp:rsid wsp:val=&quot;00305A87&quot;/&gt;&lt;wsp:rsid wsp:val=&quot;003064CB&quot;/&gt;&lt;wsp:rsid wsp:val=&quot;00306A6A&quot;/&gt;&lt;wsp:rsid wsp:val=&quot;00306AA7&quot;/&gt;&lt;wsp:rsid wsp:val=&quot;00306CB1&quot;/&gt;&lt;wsp:rsid wsp:val=&quot;00306F51&quot;/&gt;&lt;wsp:rsid wsp:val=&quot;00306F9A&quot;/&gt;&lt;wsp:rsid wsp:val=&quot;00307117&quot;/&gt;&lt;wsp:rsid wsp:val=&quot;00307711&quot;/&gt;&lt;wsp:rsid wsp:val=&quot;003077AC&quot;/&gt;&lt;wsp:rsid wsp:val=&quot;00307B03&quot;/&gt;&lt;wsp:rsid wsp:val=&quot;0031013A&quot;/&gt;&lt;wsp:rsid wsp:val=&quot;0031018C&quot;/&gt;&lt;wsp:rsid wsp:val=&quot;003105B2&quot;/&gt;&lt;wsp:rsid wsp:val=&quot;00310832&quot;/&gt;&lt;wsp:rsid wsp:val=&quot;00310AC6&quot;/&gt;&lt;wsp:rsid wsp:val=&quot;00310E02&quot;/&gt;&lt;wsp:rsid wsp:val=&quot;003111BD&quot;/&gt;&lt;wsp:rsid wsp:val=&quot;00311355&quot;/&gt;&lt;wsp:rsid wsp:val=&quot;003118E0&quot;/&gt;&lt;wsp:rsid wsp:val=&quot;00311967&quot;/&gt;&lt;wsp:rsid wsp:val=&quot;00311BFF&quot;/&gt;&lt;wsp:rsid wsp:val=&quot;0031201D&quot;/&gt;&lt;wsp:rsid wsp:val=&quot;003124A8&quot;/&gt;&lt;wsp:rsid wsp:val=&quot;0031286E&quot;/&gt;&lt;wsp:rsid wsp:val=&quot;00312EEF&quot;/&gt;&lt;wsp:rsid wsp:val=&quot;00312FD4&quot;/&gt;&lt;wsp:rsid wsp:val=&quot;0031302C&quot;/&gt;&lt;wsp:rsid wsp:val=&quot;00313A91&quot;/&gt;&lt;wsp:rsid wsp:val=&quot;00313C73&quot;/&gt;&lt;wsp:rsid wsp:val=&quot;0031435C&quot;/&gt;&lt;wsp:rsid wsp:val=&quot;003144DA&quot;/&gt;&lt;wsp:rsid wsp:val=&quot;00314577&quot;/&gt;&lt;wsp:rsid wsp:val=&quot;003145BA&quot;/&gt;&lt;wsp:rsid wsp:val=&quot;003146B3&quot;/&gt;&lt;wsp:rsid wsp:val=&quot;003148C5&quot;/&gt;&lt;wsp:rsid wsp:val=&quot;003148E8&quot;/&gt;&lt;wsp:rsid wsp:val=&quot;0031494A&quot;/&gt;&lt;wsp:rsid wsp:val=&quot;00314D64&quot;/&gt;&lt;wsp:rsid wsp:val=&quot;003153AB&quot;/&gt;&lt;wsp:rsid wsp:val=&quot;00315C1F&quot;/&gt;&lt;wsp:rsid wsp:val=&quot;00316A8D&quot;/&gt;&lt;wsp:rsid wsp:val=&quot;00316B3D&quot;/&gt;&lt;wsp:rsid wsp:val=&quot;0031710A&quot;/&gt;&lt;wsp:rsid wsp:val=&quot;0031727B&quot;/&gt;&lt;wsp:rsid wsp:val=&quot;003173FE&quot;/&gt;&lt;wsp:rsid wsp:val=&quot;0031743E&quot;/&gt;&lt;wsp:rsid wsp:val=&quot;003175D3&quot;/&gt;&lt;wsp:rsid wsp:val=&quot;003176EF&quot;/&gt;&lt;wsp:rsid wsp:val=&quot;00317939&quot;/&gt;&lt;wsp:rsid wsp:val=&quot;00317951&quot;/&gt;&lt;wsp:rsid wsp:val=&quot;003179E4&quot;/&gt;&lt;wsp:rsid wsp:val=&quot;00317A5B&quot;/&gt;&lt;wsp:rsid wsp:val=&quot;00317B85&quot;/&gt;&lt;wsp:rsid wsp:val=&quot;00317C82&quot;/&gt;&lt;wsp:rsid wsp:val=&quot;00317C8D&quot;/&gt;&lt;wsp:rsid wsp:val=&quot;00320125&quot;/&gt;&lt;wsp:rsid wsp:val=&quot;00320258&quot;/&gt;&lt;wsp:rsid wsp:val=&quot;00320778&quot;/&gt;&lt;wsp:rsid wsp:val=&quot;003208F1&quot;/&gt;&lt;wsp:rsid wsp:val=&quot;00320B46&quot;/&gt;&lt;wsp:rsid wsp:val=&quot;00321345&quot;/&gt;&lt;wsp:rsid wsp:val=&quot;003219C6&quot;/&gt;&lt;wsp:rsid wsp:val=&quot;00321BAA&quot;/&gt;&lt;wsp:rsid wsp:val=&quot;00321FE8&quot;/&gt;&lt;wsp:rsid wsp:val=&quot;003228E7&quot;/&gt;&lt;wsp:rsid wsp:val=&quot;00322C86&quot;/&gt;&lt;wsp:rsid wsp:val=&quot;00322F9C&quot;/&gt;&lt;wsp:rsid wsp:val=&quot;00323064&quot;/&gt;&lt;wsp:rsid wsp:val=&quot;00323789&quot;/&gt;&lt;wsp:rsid wsp:val=&quot;003237CD&quot;/&gt;&lt;wsp:rsid wsp:val=&quot;003239FE&quot;/&gt;&lt;wsp:rsid wsp:val=&quot;00323A36&quot;/&gt;&lt;wsp:rsid wsp:val=&quot;00323C3F&quot;/&gt;&lt;wsp:rsid wsp:val=&quot;00324043&quot;/&gt;&lt;wsp:rsid wsp:val=&quot;003240C6&quot;/&gt;&lt;wsp:rsid wsp:val=&quot;003240DB&quot;/&gt;&lt;wsp:rsid wsp:val=&quot;00324172&quot;/&gt;&lt;wsp:rsid wsp:val=&quot;003243F1&quot;/&gt;&lt;wsp:rsid wsp:val=&quot;00324811&quot;/&gt;&lt;wsp:rsid wsp:val=&quot;00324D96&quot;/&gt;&lt;wsp:rsid wsp:val=&quot;003251F5&quot;/&gt;&lt;wsp:rsid wsp:val=&quot;003251FD&quot;/&gt;&lt;wsp:rsid wsp:val=&quot;003252DE&quot;/&gt;&lt;wsp:rsid wsp:val=&quot;0032561C&quot;/&gt;&lt;wsp:rsid wsp:val=&quot;003256BF&quot;/&gt;&lt;wsp:rsid wsp:val=&quot;0032627E&quot;/&gt;&lt;wsp:rsid wsp:val=&quot;003263D2&quot;/&gt;&lt;wsp:rsid wsp:val=&quot;003265DD&quot;/&gt;&lt;wsp:rsid wsp:val=&quot;00326D3E&quot;/&gt;&lt;wsp:rsid wsp:val=&quot;0032714F&quot;/&gt;&lt;wsp:rsid wsp:val=&quot;0032737B&quot;/&gt;&lt;wsp:rsid wsp:val=&quot;0032755B&quot;/&gt;&lt;wsp:rsid wsp:val=&quot;0032756B&quot;/&gt;&lt;wsp:rsid wsp:val=&quot;003278B6&quot;/&gt;&lt;wsp:rsid wsp:val=&quot;00327A8B&quot;/&gt;&lt;wsp:rsid wsp:val=&quot;00327CA0&quot;/&gt;&lt;wsp:rsid wsp:val=&quot;00327E04&quot;/&gt;&lt;wsp:rsid wsp:val=&quot;00327E52&quot;/&gt;&lt;wsp:rsid wsp:val=&quot;00330024&quot;/&gt;&lt;wsp:rsid wsp:val=&quot;0033034B&quot;/&gt;&lt;wsp:rsid wsp:val=&quot;00330B34&quot;/&gt;&lt;wsp:rsid wsp:val=&quot;00331365&quot;/&gt;&lt;wsp:rsid wsp:val=&quot;003316ED&quot;/&gt;&lt;wsp:rsid wsp:val=&quot;0033175A&quot;/&gt;&lt;wsp:rsid wsp:val=&quot;003318EC&quot;/&gt;&lt;wsp:rsid wsp:val=&quot;00331ACB&quot;/&gt;&lt;wsp:rsid wsp:val=&quot;0033226E&quot;/&gt;&lt;wsp:rsid wsp:val=&quot;003322C0&quot;/&gt;&lt;wsp:rsid wsp:val=&quot;0033245B&quot;/&gt;&lt;wsp:rsid wsp:val=&quot;003327D1&quot;/&gt;&lt;wsp:rsid wsp:val=&quot;00332A9F&quot;/&gt;&lt;wsp:rsid wsp:val=&quot;00332C11&quot;/&gt;&lt;wsp:rsid wsp:val=&quot;0033316B&quot;/&gt;&lt;wsp:rsid wsp:val=&quot;003331E4&quot;/&gt;&lt;wsp:rsid wsp:val=&quot;003332A5&quot;/&gt;&lt;wsp:rsid wsp:val=&quot;003332B4&quot;/&gt;&lt;wsp:rsid wsp:val=&quot;003332C9&quot;/&gt;&lt;wsp:rsid wsp:val=&quot;00333498&quot;/&gt;&lt;wsp:rsid wsp:val=&quot;00333521&quot;/&gt;&lt;wsp:rsid wsp:val=&quot;00333680&quot;/&gt;&lt;wsp:rsid wsp:val=&quot;00333F62&quot;/&gt;&lt;wsp:rsid wsp:val=&quot;003340C4&quot;/&gt;&lt;wsp:rsid wsp:val=&quot;003342C3&quot;/&gt;&lt;wsp:rsid wsp:val=&quot;00334AB7&quot;/&gt;&lt;wsp:rsid wsp:val=&quot;00334DBD&quot;/&gt;&lt;wsp:rsid wsp:val=&quot;00334F85&quot;/&gt;&lt;wsp:rsid wsp:val=&quot;0033524F&quot;/&gt;&lt;wsp:rsid wsp:val=&quot;003354E8&quot;/&gt;&lt;wsp:rsid wsp:val=&quot;00335704&quot;/&gt;&lt;wsp:rsid wsp:val=&quot;00335B8C&quot;/&gt;&lt;wsp:rsid wsp:val=&quot;00335BEC&quot;/&gt;&lt;wsp:rsid wsp:val=&quot;00335C3B&quot;/&gt;&lt;wsp:rsid wsp:val=&quot;00335FEF&quot;/&gt;&lt;wsp:rsid wsp:val=&quot;00336121&quot;/&gt;&lt;wsp:rsid wsp:val=&quot;00336146&quot;/&gt;&lt;wsp:rsid wsp:val=&quot;003369C1&quot;/&gt;&lt;wsp:rsid wsp:val=&quot;00336D68&quot;/&gt;&lt;wsp:rsid wsp:val=&quot;00336D7E&quot;/&gt;&lt;wsp:rsid wsp:val=&quot;00337075&quot;/&gt;&lt;wsp:rsid wsp:val=&quot;0033707C&quot;/&gt;&lt;wsp:rsid wsp:val=&quot;003373A9&quot;/&gt;&lt;wsp:rsid wsp:val=&quot;003373F7&quot;/&gt;&lt;wsp:rsid wsp:val=&quot;003375F2&quot;/&gt;&lt;wsp:rsid wsp:val=&quot;0033764C&quot;/&gt;&lt;wsp:rsid wsp:val=&quot;003379E1&quot;/&gt;&lt;wsp:rsid wsp:val=&quot;0034005A&quot;/&gt;&lt;wsp:rsid wsp:val=&quot;00340105&quot;/&gt;&lt;wsp:rsid wsp:val=&quot;003405F2&quot;/&gt;&lt;wsp:rsid wsp:val=&quot;0034077B&quot;/&gt;&lt;wsp:rsid wsp:val=&quot;00340B3C&quot;/&gt;&lt;wsp:rsid wsp:val=&quot;00340EA3&quot;/&gt;&lt;wsp:rsid wsp:val=&quot;00340EC3&quot;/&gt;&lt;wsp:rsid wsp:val=&quot;00341352&quot;/&gt;&lt;wsp:rsid wsp:val=&quot;0034136D&quot;/&gt;&lt;wsp:rsid wsp:val=&quot;00341648&quot;/&gt;&lt;wsp:rsid wsp:val=&quot;00341871&quot;/&gt;&lt;wsp:rsid wsp:val=&quot;00341BA2&quot;/&gt;&lt;wsp:rsid wsp:val=&quot;0034246D&quot;/&gt;&lt;wsp:rsid wsp:val=&quot;003426DD&quot;/&gt;&lt;wsp:rsid wsp:val=&quot;003429BB&quot;/&gt;&lt;wsp:rsid wsp:val=&quot;00342C6D&quot;/&gt;&lt;wsp:rsid wsp:val=&quot;00342D91&quot;/&gt;&lt;wsp:rsid wsp:val=&quot;0034360D&quot;/&gt;&lt;wsp:rsid wsp:val=&quot;00343823&quot;/&gt;&lt;wsp:rsid wsp:val=&quot;00343AEB&quot;/&gt;&lt;wsp:rsid wsp:val=&quot;00343B37&quot;/&gt;&lt;wsp:rsid wsp:val=&quot;003441AF&quot;/&gt;&lt;wsp:rsid wsp:val=&quot;0034430C&quot;/&gt;&lt;wsp:rsid wsp:val=&quot;0034477E&quot;/&gt;&lt;wsp:rsid wsp:val=&quot;0034499B&quot;/&gt;&lt;wsp:rsid wsp:val=&quot;003449EE&quot;/&gt;&lt;wsp:rsid wsp:val=&quot;00344C86&quot;/&gt;&lt;wsp:rsid wsp:val=&quot;00345346&quot;/&gt;&lt;wsp:rsid wsp:val=&quot;003459A5&quot;/&gt;&lt;wsp:rsid wsp:val=&quot;00345E3E&quot;/&gt;&lt;wsp:rsid wsp:val=&quot;00345E83&quot;/&gt;&lt;wsp:rsid wsp:val=&quot;003461A8&quot;/&gt;&lt;wsp:rsid wsp:val=&quot;003461B5&quot;/&gt;&lt;wsp:rsid wsp:val=&quot;0034647F&quot;/&gt;&lt;wsp:rsid wsp:val=&quot;003465BD&quot;/&gt;&lt;wsp:rsid wsp:val=&quot;003467BA&quot;/&gt;&lt;wsp:rsid wsp:val=&quot;003472CE&quot;/&gt;&lt;wsp:rsid wsp:val=&quot;003474C7&quot;/&gt;&lt;wsp:rsid wsp:val=&quot;00347AEC&quot;/&gt;&lt;wsp:rsid wsp:val=&quot;00350027&quot;/&gt;&lt;wsp:rsid wsp:val=&quot;003501D8&quot;/&gt;&lt;wsp:rsid wsp:val=&quot;003506E8&quot;/&gt;&lt;wsp:rsid wsp:val=&quot;00350808&quot;/&gt;&lt;wsp:rsid wsp:val=&quot;00350B40&quot;/&gt;&lt;wsp:rsid wsp:val=&quot;00350BE1&quot;/&gt;&lt;wsp:rsid wsp:val=&quot;00350C45&quot;/&gt;&lt;wsp:rsid wsp:val=&quot;00350D37&quot;/&gt;&lt;wsp:rsid wsp:val=&quot;003513D0&quot;/&gt;&lt;wsp:rsid wsp:val=&quot;00351544&quot;/&gt;&lt;wsp:rsid wsp:val=&quot;00351D23&quot;/&gt;&lt;wsp:rsid wsp:val=&quot;00352111&quot;/&gt;&lt;wsp:rsid wsp:val=&quot;0035243E&quot;/&gt;&lt;wsp:rsid wsp:val=&quot;003529B5&quot;/&gt;&lt;wsp:rsid wsp:val=&quot;003529C4&quot;/&gt;&lt;wsp:rsid wsp:val=&quot;00352D51&quot;/&gt;&lt;wsp:rsid wsp:val=&quot;0035318B&quot;/&gt;&lt;wsp:rsid wsp:val=&quot;0035377D&quot;/&gt;&lt;wsp:rsid wsp:val=&quot;00353951&quot;/&gt;&lt;wsp:rsid wsp:val=&quot;00353DEF&quot;/&gt;&lt;wsp:rsid wsp:val=&quot;003548CE&quot;/&gt;&lt;wsp:rsid wsp:val=&quot;003550CB&quot;/&gt;&lt;wsp:rsid wsp:val=&quot;0035532F&quot;/&gt;&lt;wsp:rsid wsp:val=&quot;00355506&quot;/&gt;&lt;wsp:rsid wsp:val=&quot;0035582D&quot;/&gt;&lt;wsp:rsid wsp:val=&quot;003558B6&quot;/&gt;&lt;wsp:rsid wsp:val=&quot;0035596F&quot;/&gt;&lt;wsp:rsid wsp:val=&quot;00355B23&quot;/&gt;&lt;wsp:rsid wsp:val=&quot;003564AF&quot;/&gt;&lt;wsp:rsid wsp:val=&quot;003576FD&quot;/&gt;&lt;wsp:rsid wsp:val=&quot;0035786F&quot;/&gt;&lt;wsp:rsid wsp:val=&quot;00357B2B&quot;/&gt;&lt;wsp:rsid wsp:val=&quot;00357BD4&quot;/&gt;&lt;wsp:rsid wsp:val=&quot;0036002A&quot;/&gt;&lt;wsp:rsid wsp:val=&quot;0036041D&quot;/&gt;&lt;wsp:rsid wsp:val=&quot;00360810&quot;/&gt;&lt;wsp:rsid wsp:val=&quot;00360C9D&quot;/&gt;&lt;wsp:rsid wsp:val=&quot;00360FA1&quot;/&gt;&lt;wsp:rsid wsp:val=&quot;003611FD&quot;/&gt;&lt;wsp:rsid wsp:val=&quot;00361663&quot;/&gt;&lt;wsp:rsid wsp:val=&quot;00361B72&quot;/&gt;&lt;wsp:rsid wsp:val=&quot;00361FD5&quot;/&gt;&lt;wsp:rsid wsp:val=&quot;003620B5&quot;/&gt;&lt;wsp:rsid wsp:val=&quot;003620DB&quot;/&gt;&lt;wsp:rsid wsp:val=&quot;003621B7&quot;/&gt;&lt;wsp:rsid wsp:val=&quot;0036259B&quot;/&gt;&lt;wsp:rsid wsp:val=&quot;00362A92&quot;/&gt;&lt;wsp:rsid wsp:val=&quot;00362BC1&quot;/&gt;&lt;wsp:rsid wsp:val=&quot;00362FE2&quot;/&gt;&lt;wsp:rsid wsp:val=&quot;003630BD&quot;/&gt;&lt;wsp:rsid wsp:val=&quot;0036312A&quot;/&gt;&lt;wsp:rsid wsp:val=&quot;00363568&quot;/&gt;&lt;wsp:rsid wsp:val=&quot;003638A2&quot;/&gt;&lt;wsp:rsid wsp:val=&quot;00363E3B&quot;/&gt;&lt;wsp:rsid wsp:val=&quot;00363E47&quot;/&gt;&lt;wsp:rsid wsp:val=&quot;0036416D&quot;/&gt;&lt;wsp:rsid wsp:val=&quot;00364582&quot;/&gt;&lt;wsp:rsid wsp:val=&quot;003645D7&quot;/&gt;&lt;wsp:rsid wsp:val=&quot;00364A82&quot;/&gt;&lt;wsp:rsid wsp:val=&quot;00365286&quot;/&gt;&lt;wsp:rsid wsp:val=&quot;00365C52&quot;/&gt;&lt;wsp:rsid wsp:val=&quot;00365F41&quot;/&gt;&lt;wsp:rsid wsp:val=&quot;00366017&quot;/&gt;&lt;wsp:rsid wsp:val=&quot;00366401&quot;/&gt;&lt;wsp:rsid wsp:val=&quot;00366520&quot;/&gt;&lt;wsp:rsid wsp:val=&quot;003666EE&quot;/&gt;&lt;wsp:rsid wsp:val=&quot;00366833&quot;/&gt;&lt;wsp:rsid wsp:val=&quot;00366FF4&quot;/&gt;&lt;wsp:rsid wsp:val=&quot;0036702E&quot;/&gt;&lt;wsp:rsid wsp:val=&quot;00367099&quot;/&gt;&lt;wsp:rsid wsp:val=&quot;00367116&quot;/&gt;&lt;wsp:rsid wsp:val=&quot;003671C2&quot;/&gt;&lt;wsp:rsid wsp:val=&quot;003673CB&quot;/&gt;&lt;wsp:rsid wsp:val=&quot;00367508&quot;/&gt;&lt;wsp:rsid wsp:val=&quot;00367CAA&quot;/&gt;&lt;wsp:rsid wsp:val=&quot;00370218&quot;/&gt;&lt;wsp:rsid wsp:val=&quot;00370956&quot;/&gt;&lt;wsp:rsid wsp:val=&quot;00370A0F&quot;/&gt;&lt;wsp:rsid wsp:val=&quot;00370D91&quot;/&gt;&lt;wsp:rsid wsp:val=&quot;00371DDF&quot;/&gt;&lt;wsp:rsid wsp:val=&quot;00371E75&quot;/&gt;&lt;wsp:rsid wsp:val=&quot;00372B2C&quot;/&gt;&lt;wsp:rsid wsp:val=&quot;00372B94&quot;/&gt;&lt;wsp:rsid wsp:val=&quot;00372E1F&quot;/&gt;&lt;wsp:rsid wsp:val=&quot;0037305D&quot;/&gt;&lt;wsp:rsid wsp:val=&quot;00373080&quot;/&gt;&lt;wsp:rsid wsp:val=&quot;0037327A&quot;/&gt;&lt;wsp:rsid wsp:val=&quot;003733B9&quot;/&gt;&lt;wsp:rsid wsp:val=&quot;003734EA&quot;/&gt;&lt;wsp:rsid wsp:val=&quot;00373772&quot;/&gt;&lt;wsp:rsid wsp:val=&quot;0037381A&quot;/&gt;&lt;wsp:rsid wsp:val=&quot;00373863&quot;/&gt;&lt;wsp:rsid wsp:val=&quot;0037417F&quot;/&gt;&lt;wsp:rsid wsp:val=&quot;0037434F&quot;/&gt;&lt;wsp:rsid wsp:val=&quot;003744B2&quot;/&gt;&lt;wsp:rsid wsp:val=&quot;00374A1A&quot;/&gt;&lt;wsp:rsid wsp:val=&quot;00374CFC&quot;/&gt;&lt;wsp:rsid wsp:val=&quot;003751DB&quot;/&gt;&lt;wsp:rsid wsp:val=&quot;00375561&quot;/&gt;&lt;wsp:rsid wsp:val=&quot;0037566E&quot;/&gt;&lt;wsp:rsid wsp:val=&quot;0037573E&quot;/&gt;&lt;wsp:rsid wsp:val=&quot;0037587B&quot;/&gt;&lt;wsp:rsid wsp:val=&quot;00375FE1&quot;/&gt;&lt;wsp:rsid wsp:val=&quot;0037620D&quot;/&gt;&lt;wsp:rsid wsp:val=&quot;00376889&quot;/&gt;&lt;wsp:rsid wsp:val=&quot;0037688C&quot;/&gt;&lt;wsp:rsid wsp:val=&quot;0037736A&quot;/&gt;&lt;wsp:rsid wsp:val=&quot;003778DE&quot;/&gt;&lt;wsp:rsid wsp:val=&quot;00377A92&quot;/&gt;&lt;wsp:rsid wsp:val=&quot;00377CAB&quot;/&gt;&lt;wsp:rsid wsp:val=&quot;00377CCF&quot;/&gt;&lt;wsp:rsid wsp:val=&quot;003800B0&quot;/&gt;&lt;wsp:rsid wsp:val=&quot;00380150&quot;/&gt;&lt;wsp:rsid wsp:val=&quot;0038021F&quot;/&gt;&lt;wsp:rsid wsp:val=&quot;00380627&quot;/&gt;&lt;wsp:rsid wsp:val=&quot;00380A43&quot;/&gt;&lt;wsp:rsid wsp:val=&quot;00380BE5&quot;/&gt;&lt;wsp:rsid wsp:val=&quot;00380D61&quot;/&gt;&lt;wsp:rsid wsp:val=&quot;00380E4F&quot;/&gt;&lt;wsp:rsid wsp:val=&quot;00381580&quot;/&gt;&lt;wsp:rsid wsp:val=&quot;003816B6&quot;/&gt;&lt;wsp:rsid wsp:val=&quot;00381735&quot;/&gt;&lt;wsp:rsid wsp:val=&quot;00381A47&quot;/&gt;&lt;wsp:rsid wsp:val=&quot;00381AE0&quot;/&gt;&lt;wsp:rsid wsp:val=&quot;00381F29&quot;/&gt;&lt;wsp:rsid wsp:val=&quot;003822F0&quot;/&gt;&lt;wsp:rsid wsp:val=&quot;0038263F&quot;/&gt;&lt;wsp:rsid wsp:val=&quot;003829FF&quot;/&gt;&lt;wsp:rsid wsp:val=&quot;00382C25&quot;/&gt;&lt;wsp:rsid wsp:val=&quot;00382E60&quot;/&gt;&lt;wsp:rsid wsp:val=&quot;0038324A&quot;/&gt;&lt;wsp:rsid wsp:val=&quot;00383257&quot;/&gt;&lt;wsp:rsid wsp:val=&quot;003835F4&quot;/&gt;&lt;wsp:rsid wsp:val=&quot;00383A82&quot;/&gt;&lt;wsp:rsid wsp:val=&quot;00383B9A&quot;/&gt;&lt;wsp:rsid wsp:val=&quot;0038426B&quot;/&gt;&lt;wsp:rsid wsp:val=&quot;003843D7&quot;/&gt;&lt;wsp:rsid wsp:val=&quot;003849FB&quot;/&gt;&lt;wsp:rsid wsp:val=&quot;00384B3B&quot;/&gt;&lt;wsp:rsid wsp:val=&quot;00385C5F&quot;/&gt;&lt;wsp:rsid wsp:val=&quot;00385DE1&quot;/&gt;&lt;wsp:rsid wsp:val=&quot;00386363&quot;/&gt;&lt;wsp:rsid wsp:val=&quot;003867F0&quot;/&gt;&lt;wsp:rsid wsp:val=&quot;003871D5&quot;/&gt;&lt;wsp:rsid wsp:val=&quot;00387309&quot;/&gt;&lt;wsp:rsid wsp:val=&quot;0038764F&quot;/&gt;&lt;wsp:rsid wsp:val=&quot;00387679&quot;/&gt;&lt;wsp:rsid wsp:val=&quot;003878E4&quot;/&gt;&lt;wsp:rsid wsp:val=&quot;00387CCC&quot;/&gt;&lt;wsp:rsid wsp:val=&quot;00387D94&quot;/&gt;&lt;wsp:rsid wsp:val=&quot;00390021&quot;/&gt;&lt;wsp:rsid wsp:val=&quot;003902EC&quot;/&gt;&lt;wsp:rsid wsp:val=&quot;0039034E&quot;/&gt;&lt;wsp:rsid wsp:val=&quot;0039053A&quot;/&gt;&lt;wsp:rsid wsp:val=&quot;00390919&quot;/&gt;&lt;wsp:rsid wsp:val=&quot;00390925&quot;/&gt;&lt;wsp:rsid wsp:val=&quot;00390A07&quot;/&gt;&lt;wsp:rsid wsp:val=&quot;00390FA8&quot;/&gt;&lt;wsp:rsid wsp:val=&quot;00391369&quot;/&gt;&lt;wsp:rsid wsp:val=&quot;003917CB&quot;/&gt;&lt;wsp:rsid wsp:val=&quot;00391998&quot;/&gt;&lt;wsp:rsid wsp:val=&quot;00391E4D&quot;/&gt;&lt;wsp:rsid wsp:val=&quot;0039240C&quot;/&gt;&lt;wsp:rsid wsp:val=&quot;0039253A&quot;/&gt;&lt;wsp:rsid wsp:val=&quot;0039272C&quot;/&gt;&lt;wsp:rsid wsp:val=&quot;00392801&quot;/&gt;&lt;wsp:rsid wsp:val=&quot;00392907&quot;/&gt;&lt;wsp:rsid wsp:val=&quot;00392AAD&quot;/&gt;&lt;wsp:rsid wsp:val=&quot;003941C6&quot;/&gt;&lt;wsp:rsid wsp:val=&quot;003941CF&quot;/&gt;&lt;wsp:rsid wsp:val=&quot;003943D7&quot;/&gt;&lt;wsp:rsid wsp:val=&quot;00394690&quot;/&gt;&lt;wsp:rsid wsp:val=&quot;0039499C&quot;/&gt;&lt;wsp:rsid wsp:val=&quot;00394B2F&quot;/&gt;&lt;wsp:rsid wsp:val=&quot;00394D37&quot;/&gt;&lt;wsp:rsid wsp:val=&quot;0039501D&quot;/&gt;&lt;wsp:rsid wsp:val=&quot;00395940&quot;/&gt;&lt;wsp:rsid wsp:val=&quot;00395BC4&quot;/&gt;&lt;wsp:rsid wsp:val=&quot;00395E6F&quot;/&gt;&lt;wsp:rsid wsp:val=&quot;0039633C&quot;/&gt;&lt;wsp:rsid wsp:val=&quot;00396746&quot;/&gt;&lt;wsp:rsid wsp:val=&quot;00396CC7&quot;/&gt;&lt;wsp:rsid wsp:val=&quot;00396FF0&quot;/&gt;&lt;wsp:rsid wsp:val=&quot;003976D0&quot;/&gt;&lt;wsp:rsid wsp:val=&quot;0039784D&quot;/&gt;&lt;wsp:rsid wsp:val=&quot;00397969&quot;/&gt;&lt;wsp:rsid wsp:val=&quot;00397A5E&quot;/&gt;&lt;wsp:rsid wsp:val=&quot;00397AAD&quot;/&gt;&lt;wsp:rsid wsp:val=&quot;00397CB3&quot;/&gt;&lt;wsp:rsid wsp:val=&quot;00397FF2&quot;/&gt;&lt;wsp:rsid wsp:val=&quot;003A0398&quot;/&gt;&lt;wsp:rsid wsp:val=&quot;003A047C&quot;/&gt;&lt;wsp:rsid wsp:val=&quot;003A0DB5&quot;/&gt;&lt;wsp:rsid wsp:val=&quot;003A145B&quot;/&gt;&lt;wsp:rsid wsp:val=&quot;003A157A&quot;/&gt;&lt;wsp:rsid wsp:val=&quot;003A176A&quot;/&gt;&lt;wsp:rsid wsp:val=&quot;003A1844&quot;/&gt;&lt;wsp:rsid wsp:val=&quot;003A184C&quot;/&gt;&lt;wsp:rsid wsp:val=&quot;003A1899&quot;/&gt;&lt;wsp:rsid wsp:val=&quot;003A1926&quot;/&gt;&lt;wsp:rsid wsp:val=&quot;003A1C22&quot;/&gt;&lt;wsp:rsid wsp:val=&quot;003A1C65&quot;/&gt;&lt;wsp:rsid wsp:val=&quot;003A1CF9&quot;/&gt;&lt;wsp:rsid wsp:val=&quot;003A26FA&quot;/&gt;&lt;wsp:rsid wsp:val=&quot;003A287A&quot;/&gt;&lt;wsp:rsid wsp:val=&quot;003A29E9&quot;/&gt;&lt;wsp:rsid wsp:val=&quot;003A2A7F&quot;/&gt;&lt;wsp:rsid wsp:val=&quot;003A33E2&quot;/&gt;&lt;wsp:rsid wsp:val=&quot;003A38DD&quot;/&gt;&lt;wsp:rsid wsp:val=&quot;003A3D24&quot;/&gt;&lt;wsp:rsid wsp:val=&quot;003A3D53&quot;/&gt;&lt;wsp:rsid wsp:val=&quot;003A40F3&quot;/&gt;&lt;wsp:rsid wsp:val=&quot;003A436D&quot;/&gt;&lt;wsp:rsid wsp:val=&quot;003A4A59&quot;/&gt;&lt;wsp:rsid wsp:val=&quot;003A4A81&quot;/&gt;&lt;wsp:rsid wsp:val=&quot;003A4FE4&quot;/&gt;&lt;wsp:rsid wsp:val=&quot;003A5190&quot;/&gt;&lt;wsp:rsid wsp:val=&quot;003A528D&quot;/&gt;&lt;wsp:rsid wsp:val=&quot;003A5646&quot;/&gt;&lt;wsp:rsid wsp:val=&quot;003A566F&quot;/&gt;&lt;wsp:rsid wsp:val=&quot;003A5A32&quot;/&gt;&lt;wsp:rsid wsp:val=&quot;003A5E41&quot;/&gt;&lt;wsp:rsid wsp:val=&quot;003A65B1&quot;/&gt;&lt;wsp:rsid wsp:val=&quot;003A673B&quot;/&gt;&lt;wsp:rsid wsp:val=&quot;003A6859&quot;/&gt;&lt;wsp:rsid wsp:val=&quot;003A68E3&quot;/&gt;&lt;wsp:rsid wsp:val=&quot;003A6912&quot;/&gt;&lt;wsp:rsid wsp:val=&quot;003A70B3&quot;/&gt;&lt;wsp:rsid wsp:val=&quot;003A723C&quot;/&gt;&lt;wsp:rsid wsp:val=&quot;003A7262&quot;/&gt;&lt;wsp:rsid wsp:val=&quot;003A7901&quot;/&gt;&lt;wsp:rsid wsp:val=&quot;003A7925&quot;/&gt;&lt;wsp:rsid wsp:val=&quot;003A7CF6&quot;/&gt;&lt;wsp:rsid wsp:val=&quot;003A7FFD&quot;/&gt;&lt;wsp:rsid wsp:val=&quot;003B01AD&quot;/&gt;&lt;wsp:rsid wsp:val=&quot;003B05ED&quot;/&gt;&lt;wsp:rsid wsp:val=&quot;003B0B3D&quot;/&gt;&lt;wsp:rsid wsp:val=&quot;003B0C2D&quot;/&gt;&lt;wsp:rsid wsp:val=&quot;003B0E52&quot;/&gt;&lt;wsp:rsid wsp:val=&quot;003B132D&quot;/&gt;&lt;wsp:rsid wsp:val=&quot;003B17C5&quot;/&gt;&lt;wsp:rsid wsp:val=&quot;003B1B51&quot;/&gt;&lt;wsp:rsid wsp:val=&quot;003B22F7&quot;/&gt;&lt;wsp:rsid wsp:val=&quot;003B2A75&quot;/&gt;&lt;wsp:rsid wsp:val=&quot;003B2CEE&quot;/&gt;&lt;wsp:rsid wsp:val=&quot;003B2D31&quot;/&gt;&lt;wsp:rsid wsp:val=&quot;003B303C&quot;/&gt;&lt;wsp:rsid wsp:val=&quot;003B304A&quot;/&gt;&lt;wsp:rsid wsp:val=&quot;003B3172&quot;/&gt;&lt;wsp:rsid wsp:val=&quot;003B3279&quot;/&gt;&lt;wsp:rsid wsp:val=&quot;003B357E&quot;/&gt;&lt;wsp:rsid wsp:val=&quot;003B3978&quot;/&gt;&lt;wsp:rsid wsp:val=&quot;003B41AB&quot;/&gt;&lt;wsp:rsid wsp:val=&quot;003B41AF&quot;/&gt;&lt;wsp:rsid wsp:val=&quot;003B44F3&quot;/&gt;&lt;wsp:rsid wsp:val=&quot;003B4F57&quot;/&gt;&lt;wsp:rsid wsp:val=&quot;003B5077&quot;/&gt;&lt;wsp:rsid wsp:val=&quot;003B52A8&quot;/&gt;&lt;wsp:rsid wsp:val=&quot;003B52F7&quot;/&gt;&lt;wsp:rsid wsp:val=&quot;003B578C&quot;/&gt;&lt;wsp:rsid wsp:val=&quot;003B5E36&quot;/&gt;&lt;wsp:rsid wsp:val=&quot;003B5F0A&quot;/&gt;&lt;wsp:rsid wsp:val=&quot;003B61CB&quot;/&gt;&lt;wsp:rsid wsp:val=&quot;003B677D&quot;/&gt;&lt;wsp:rsid wsp:val=&quot;003B6C29&quot;/&gt;&lt;wsp:rsid wsp:val=&quot;003B6DC4&quot;/&gt;&lt;wsp:rsid wsp:val=&quot;003B6E68&quot;/&gt;&lt;wsp:rsid wsp:val=&quot;003B7010&quot;/&gt;&lt;wsp:rsid wsp:val=&quot;003B7D7F&quot;/&gt;&lt;wsp:rsid wsp:val=&quot;003B7FB5&quot;/&gt;&lt;wsp:rsid wsp:val=&quot;003C0009&quot;/&gt;&lt;wsp:rsid wsp:val=&quot;003C048B&quot;/&gt;&lt;wsp:rsid wsp:val=&quot;003C04E1&quot;/&gt;&lt;wsp:rsid wsp:val=&quot;003C0AEF&quot;/&gt;&lt;wsp:rsid wsp:val=&quot;003C0CE2&quot;/&gt;&lt;wsp:rsid wsp:val=&quot;003C1700&quot;/&gt;&lt;wsp:rsid wsp:val=&quot;003C1993&quot;/&gt;&lt;wsp:rsid wsp:val=&quot;003C1E3E&quot;/&gt;&lt;wsp:rsid wsp:val=&quot;003C2055&quot;/&gt;&lt;wsp:rsid wsp:val=&quot;003C270C&quot;/&gt;&lt;wsp:rsid wsp:val=&quot;003C29CB&quot;/&gt;&lt;wsp:rsid wsp:val=&quot;003C2BE4&quot;/&gt;&lt;wsp:rsid wsp:val=&quot;003C2D08&quot;/&gt;&lt;wsp:rsid wsp:val=&quot;003C2E68&quot;/&gt;&lt;wsp:rsid wsp:val=&quot;003C2EE3&quot;/&gt;&lt;wsp:rsid wsp:val=&quot;003C317C&quot;/&gt;&lt;wsp:rsid wsp:val=&quot;003C3719&quot;/&gt;&lt;wsp:rsid wsp:val=&quot;003C38EF&quot;/&gt;&lt;wsp:rsid wsp:val=&quot;003C3FD5&quot;/&gt;&lt;wsp:rsid wsp:val=&quot;003C421F&quot;/&gt;&lt;wsp:rsid wsp:val=&quot;003C44DE&quot;/&gt;&lt;wsp:rsid wsp:val=&quot;003C4928&quot;/&gt;&lt;wsp:rsid wsp:val=&quot;003C4A82&quot;/&gt;&lt;wsp:rsid wsp:val=&quot;003C524F&quot;/&gt;&lt;wsp:rsid wsp:val=&quot;003C57DC&quot;/&gt;&lt;wsp:rsid wsp:val=&quot;003C5C6B&quot;/&gt;&lt;wsp:rsid wsp:val=&quot;003C62E6&quot;/&gt;&lt;wsp:rsid wsp:val=&quot;003C6388&quot;/&gt;&lt;wsp:rsid wsp:val=&quot;003C63E0&quot;/&gt;&lt;wsp:rsid wsp:val=&quot;003C6DC2&quot;/&gt;&lt;wsp:rsid wsp:val=&quot;003C712E&quot;/&gt;&lt;wsp:rsid wsp:val=&quot;003C74EB&quot;/&gt;&lt;wsp:rsid wsp:val=&quot;003C776C&quot;/&gt;&lt;wsp:rsid wsp:val=&quot;003C7E38&quot;/&gt;&lt;wsp:rsid wsp:val=&quot;003C7E92&quot;/&gt;&lt;wsp:rsid wsp:val=&quot;003D022D&quot;/&gt;&lt;wsp:rsid wsp:val=&quot;003D0BB2&quot;/&gt;&lt;wsp:rsid wsp:val=&quot;003D0E03&quot;/&gt;&lt;wsp:rsid wsp:val=&quot;003D1172&quot;/&gt;&lt;wsp:rsid wsp:val=&quot;003D14AF&quot;/&gt;&lt;wsp:rsid wsp:val=&quot;003D1738&quot;/&gt;&lt;wsp:rsid wsp:val=&quot;003D1997&quot;/&gt;&lt;wsp:rsid wsp:val=&quot;003D1A47&quot;/&gt;&lt;wsp:rsid wsp:val=&quot;003D20A7&quot;/&gt;&lt;wsp:rsid wsp:val=&quot;003D23EC&quot;/&gt;&lt;wsp:rsid wsp:val=&quot;003D403E&quot;/&gt;&lt;wsp:rsid wsp:val=&quot;003D42D9&quot;/&gt;&lt;wsp:rsid wsp:val=&quot;003D4367&quot;/&gt;&lt;wsp:rsid wsp:val=&quot;003D4767&quot;/&gt;&lt;wsp:rsid wsp:val=&quot;003D48E3&quot;/&gt;&lt;wsp:rsid wsp:val=&quot;003D49D6&quot;/&gt;&lt;wsp:rsid wsp:val=&quot;003D4B23&quot;/&gt;&lt;wsp:rsid wsp:val=&quot;003D4C60&quot;/&gt;&lt;wsp:rsid wsp:val=&quot;003D4D6B&quot;/&gt;&lt;wsp:rsid wsp:val=&quot;003D50EC&quot;/&gt;&lt;wsp:rsid wsp:val=&quot;003D5179&quot;/&gt;&lt;wsp:rsid wsp:val=&quot;003D5451&quot;/&gt;&lt;wsp:rsid wsp:val=&quot;003D5514&quot;/&gt;&lt;wsp:rsid wsp:val=&quot;003D5668&quot;/&gt;&lt;wsp:rsid wsp:val=&quot;003D57A3&quot;/&gt;&lt;wsp:rsid wsp:val=&quot;003D5AD7&quot;/&gt;&lt;wsp:rsid wsp:val=&quot;003D5CDE&quot;/&gt;&lt;wsp:rsid wsp:val=&quot;003D6174&quot;/&gt;&lt;wsp:rsid wsp:val=&quot;003D6413&quot;/&gt;&lt;wsp:rsid wsp:val=&quot;003D6472&quot;/&gt;&lt;wsp:rsid wsp:val=&quot;003D65C0&quot;/&gt;&lt;wsp:rsid wsp:val=&quot;003D661A&quot;/&gt;&lt;wsp:rsid wsp:val=&quot;003D67A1&quot;/&gt;&lt;wsp:rsid wsp:val=&quot;003D6BB6&quot;/&gt;&lt;wsp:rsid wsp:val=&quot;003D6D7D&quot;/&gt;&lt;wsp:rsid wsp:val=&quot;003D6E42&quot;/&gt;&lt;wsp:rsid wsp:val=&quot;003D6E49&quot;/&gt;&lt;wsp:rsid wsp:val=&quot;003D6E59&quot;/&gt;&lt;wsp:rsid wsp:val=&quot;003D711E&quot;/&gt;&lt;wsp:rsid wsp:val=&quot;003D7374&quot;/&gt;&lt;wsp:rsid wsp:val=&quot;003D779F&quot;/&gt;&lt;wsp:rsid wsp:val=&quot;003D794B&quot;/&gt;&lt;wsp:rsid wsp:val=&quot;003D7975&quot;/&gt;&lt;wsp:rsid wsp:val=&quot;003D7EBB&quot;/&gt;&lt;wsp:rsid wsp:val=&quot;003D7F48&quot;/&gt;&lt;wsp:rsid wsp:val=&quot;003D7F9B&quot;/&gt;&lt;wsp:rsid wsp:val=&quot;003D7FC5&quot;/&gt;&lt;wsp:rsid wsp:val=&quot;003E010D&quot;/&gt;&lt;wsp:rsid wsp:val=&quot;003E07BA&quot;/&gt;&lt;wsp:rsid wsp:val=&quot;003E0BF1&quot;/&gt;&lt;wsp:rsid wsp:val=&quot;003E10D2&quot;/&gt;&lt;wsp:rsid wsp:val=&quot;003E1204&quot;/&gt;&lt;wsp:rsid wsp:val=&quot;003E15D2&quot;/&gt;&lt;wsp:rsid wsp:val=&quot;003E1949&quot;/&gt;&lt;wsp:rsid wsp:val=&quot;003E199F&quot;/&gt;&lt;wsp:rsid wsp:val=&quot;003E1BF0&quot;/&gt;&lt;wsp:rsid wsp:val=&quot;003E1F2C&quot;/&gt;&lt;wsp:rsid wsp:val=&quot;003E2283&quot;/&gt;&lt;wsp:rsid wsp:val=&quot;003E23AB&quot;/&gt;&lt;wsp:rsid wsp:val=&quot;003E25C2&quot;/&gt;&lt;wsp:rsid wsp:val=&quot;003E2B7A&quot;/&gt;&lt;wsp:rsid wsp:val=&quot;003E2C82&quot;/&gt;&lt;wsp:rsid wsp:val=&quot;003E343B&quot;/&gt;&lt;wsp:rsid wsp:val=&quot;003E3710&quot;/&gt;&lt;wsp:rsid wsp:val=&quot;003E3805&quot;/&gt;&lt;wsp:rsid wsp:val=&quot;003E3AC0&quot;/&gt;&lt;wsp:rsid wsp:val=&quot;003E413E&quot;/&gt;&lt;wsp:rsid wsp:val=&quot;003E4553&quot;/&gt;&lt;wsp:rsid wsp:val=&quot;003E483E&quot;/&gt;&lt;wsp:rsid wsp:val=&quot;003E4999&quot;/&gt;&lt;wsp:rsid wsp:val=&quot;003E4DB9&quot;/&gt;&lt;wsp:rsid wsp:val=&quot;003E5106&quot;/&gt;&lt;wsp:rsid wsp:val=&quot;003E5452&quot;/&gt;&lt;wsp:rsid wsp:val=&quot;003E5ED4&quot;/&gt;&lt;wsp:rsid wsp:val=&quot;003E5F64&quot;/&gt;&lt;wsp:rsid wsp:val=&quot;003E6036&quot;/&gt;&lt;wsp:rsid wsp:val=&quot;003E60CA&quot;/&gt;&lt;wsp:rsid wsp:val=&quot;003E6739&quot;/&gt;&lt;wsp:rsid wsp:val=&quot;003E6A00&quot;/&gt;&lt;wsp:rsid wsp:val=&quot;003E6D4C&quot;/&gt;&lt;wsp:rsid wsp:val=&quot;003E6DD0&quot;/&gt;&lt;wsp:rsid wsp:val=&quot;003E6EB5&quot;/&gt;&lt;wsp:rsid wsp:val=&quot;003E738E&quot;/&gt;&lt;wsp:rsid wsp:val=&quot;003E7466&quot;/&gt;&lt;wsp:rsid wsp:val=&quot;003E747E&quot;/&gt;&lt;wsp:rsid wsp:val=&quot;003E75D8&quot;/&gt;&lt;wsp:rsid wsp:val=&quot;003E75DD&quot;/&gt;&lt;wsp:rsid wsp:val=&quot;003E7F03&quot;/&gt;&lt;wsp:rsid wsp:val=&quot;003E7F56&quot;/&gt;&lt;wsp:rsid wsp:val=&quot;003F05A1&quot;/&gt;&lt;wsp:rsid wsp:val=&quot;003F072E&quot;/&gt;&lt;wsp:rsid wsp:val=&quot;003F0A77&quot;/&gt;&lt;wsp:rsid wsp:val=&quot;003F0DC0&quot;/&gt;&lt;wsp:rsid wsp:val=&quot;003F0F06&quot;/&gt;&lt;wsp:rsid wsp:val=&quot;003F10C2&quot;/&gt;&lt;wsp:rsid wsp:val=&quot;003F163B&quot;/&gt;&lt;wsp:rsid wsp:val=&quot;003F1962&quot;/&gt;&lt;wsp:rsid wsp:val=&quot;003F1D3F&quot;/&gt;&lt;wsp:rsid wsp:val=&quot;003F27FE&quot;/&gt;&lt;wsp:rsid wsp:val=&quot;003F2CD6&quot;/&gt;&lt;wsp:rsid wsp:val=&quot;003F2D9D&quot;/&gt;&lt;wsp:rsid wsp:val=&quot;003F2F74&quot;/&gt;&lt;wsp:rsid wsp:val=&quot;003F4232&quot;/&gt;&lt;wsp:rsid wsp:val=&quot;003F535C&quot;/&gt;&lt;wsp:rsid wsp:val=&quot;003F5782&quot;/&gt;&lt;wsp:rsid wsp:val=&quot;003F59F3&quot;/&gt;&lt;wsp:rsid wsp:val=&quot;003F5A09&quot;/&gt;&lt;wsp:rsid wsp:val=&quot;003F5A71&quot;/&gt;&lt;wsp:rsid wsp:val=&quot;003F5AB8&quot;/&gt;&lt;wsp:rsid wsp:val=&quot;003F5BCF&quot;/&gt;&lt;wsp:rsid wsp:val=&quot;003F61F2&quot;/&gt;&lt;wsp:rsid wsp:val=&quot;003F6306&quot;/&gt;&lt;wsp:rsid wsp:val=&quot;003F64A7&quot;/&gt;&lt;wsp:rsid wsp:val=&quot;003F651F&quot;/&gt;&lt;wsp:rsid wsp:val=&quot;003F67D5&quot;/&gt;&lt;wsp:rsid wsp:val=&quot;003F6EDE&quot;/&gt;&lt;wsp:rsid wsp:val=&quot;003F72B3&quot;/&gt;&lt;wsp:rsid wsp:val=&quot;003F77BC&quot;/&gt;&lt;wsp:rsid wsp:val=&quot;00400167&quot;/&gt;&lt;wsp:rsid wsp:val=&quot;00400AD1&quot;/&gt;&lt;wsp:rsid wsp:val=&quot;00401163&quot;/&gt;&lt;wsp:rsid wsp:val=&quot;00401171&quot;/&gt;&lt;wsp:rsid wsp:val=&quot;00402199&quot;/&gt;&lt;wsp:rsid wsp:val=&quot;004021F6&quot;/&gt;&lt;wsp:rsid wsp:val=&quot;00402823&quot;/&gt;&lt;wsp:rsid wsp:val=&quot;00402A93&quot;/&gt;&lt;wsp:rsid wsp:val=&quot;004032F0&quot;/&gt;&lt;wsp:rsid wsp:val=&quot;00403AB8&quot;/&gt;&lt;wsp:rsid wsp:val=&quot;00403EC3&quot;/&gt;&lt;wsp:rsid wsp:val=&quot;004041F7&quot;/&gt;&lt;wsp:rsid wsp:val=&quot;00404D42&quot;/&gt;&lt;wsp:rsid wsp:val=&quot;00404E76&quot;/&gt;&lt;wsp:rsid wsp:val=&quot;00405380&quot;/&gt;&lt;wsp:rsid wsp:val=&quot;00405393&quot;/&gt;&lt;wsp:rsid wsp:val=&quot;00405409&quot;/&gt;&lt;wsp:rsid wsp:val=&quot;00405452&quot;/&gt;&lt;wsp:rsid wsp:val=&quot;00405C6D&quot;/&gt;&lt;wsp:rsid wsp:val=&quot;0040601C&quot;/&gt;&lt;wsp:rsid wsp:val=&quot;0040604D&quot;/&gt;&lt;wsp:rsid wsp:val=&quot;0040662E&quot;/&gt;&lt;wsp:rsid wsp:val=&quot;00406706&quot;/&gt;&lt;wsp:rsid wsp:val=&quot;00406B1B&quot;/&gt;&lt;wsp:rsid wsp:val=&quot;00407073&quot;/&gt;&lt;wsp:rsid wsp:val=&quot;00407C7E&quot;/&gt;&lt;wsp:rsid wsp:val=&quot;00407D27&quot;/&gt;&lt;wsp:rsid wsp:val=&quot;004102C5&quot;/&gt;&lt;wsp:rsid wsp:val=&quot;0041080E&quot;/&gt;&lt;wsp:rsid wsp:val=&quot;004108CF&quot;/&gt;&lt;wsp:rsid wsp:val=&quot;004113CF&quot;/&gt;&lt;wsp:rsid wsp:val=&quot;00411874&quot;/&gt;&lt;wsp:rsid wsp:val=&quot;00411C07&quot;/&gt;&lt;wsp:rsid wsp:val=&quot;00411C3A&quot;/&gt;&lt;wsp:rsid wsp:val=&quot;00411D59&quot;/&gt;&lt;wsp:rsid wsp:val=&quot;00411DBF&quot;/&gt;&lt;wsp:rsid wsp:val=&quot;00412120&quot;/&gt;&lt;wsp:rsid wsp:val=&quot;004122B7&quot;/&gt;&lt;wsp:rsid wsp:val=&quot;004125F8&quot;/&gt;&lt;wsp:rsid wsp:val=&quot;004126D8&quot;/&gt;&lt;wsp:rsid wsp:val=&quot;00412732&quot;/&gt;&lt;wsp:rsid wsp:val=&quot;0041287E&quot;/&gt;&lt;wsp:rsid wsp:val=&quot;00412941&quot;/&gt;&lt;wsp:rsid wsp:val=&quot;00412A1C&quot;/&gt;&lt;wsp:rsid wsp:val=&quot;00412A9A&quot;/&gt;&lt;wsp:rsid wsp:val=&quot;00412B05&quot;/&gt;&lt;wsp:rsid wsp:val=&quot;00412E3E&quot;/&gt;&lt;wsp:rsid wsp:val=&quot;0041306D&quot;/&gt;&lt;wsp:rsid wsp:val=&quot;004137A0&quot;/&gt;&lt;wsp:rsid wsp:val=&quot;00413C4F&quot;/&gt;&lt;wsp:rsid wsp:val=&quot;00413DAA&quot;/&gt;&lt;wsp:rsid wsp:val=&quot;00413DB7&quot;/&gt;&lt;wsp:rsid wsp:val=&quot;00414227&quot;/&gt;&lt;wsp:rsid wsp:val=&quot;00415034&quot;/&gt;&lt;wsp:rsid wsp:val=&quot;00415974&quot;/&gt;&lt;wsp:rsid wsp:val=&quot;00415A40&quot;/&gt;&lt;wsp:rsid wsp:val=&quot;00416097&quot;/&gt;&lt;wsp:rsid wsp:val=&quot;00416277&quot;/&gt;&lt;wsp:rsid wsp:val=&quot;00416715&quot;/&gt;&lt;wsp:rsid wsp:val=&quot;00416D6C&quot;/&gt;&lt;wsp:rsid wsp:val=&quot;00416D9B&quot;/&gt;&lt;wsp:rsid wsp:val=&quot;00416E1D&quot;/&gt;&lt;wsp:rsid wsp:val=&quot;004171AC&quot;/&gt;&lt;wsp:rsid wsp:val=&quot;00417426&quot;/&gt;&lt;wsp:rsid wsp:val=&quot;00417963&quot;/&gt;&lt;wsp:rsid wsp:val=&quot;00417F00&quot;/&gt;&lt;wsp:rsid wsp:val=&quot;004201F9&quot;/&gt;&lt;wsp:rsid wsp:val=&quot;00420691&quot;/&gt;&lt;wsp:rsid wsp:val=&quot;00420919&quot;/&gt;&lt;wsp:rsid wsp:val=&quot;004209EA&quot;/&gt;&lt;wsp:rsid wsp:val=&quot;00420C86&quot;/&gt;&lt;wsp:rsid wsp:val=&quot;00420DA8&quot;/&gt;&lt;wsp:rsid wsp:val=&quot;004214D1&quot;/&gt;&lt;wsp:rsid wsp:val=&quot;0042172F&quot;/&gt;&lt;wsp:rsid wsp:val=&quot;00421879&quot;/&gt;&lt;wsp:rsid wsp:val=&quot;004226DD&quot;/&gt;&lt;wsp:rsid wsp:val=&quot;00422703&quot;/&gt;&lt;wsp:rsid wsp:val=&quot;004228DB&quot;/&gt;&lt;wsp:rsid wsp:val=&quot;00422CCB&quot;/&gt;&lt;wsp:rsid wsp:val=&quot;00422F61&quot;/&gt;&lt;wsp:rsid wsp:val=&quot;0042399D&quot;/&gt;&lt;wsp:rsid wsp:val=&quot;00423D45&quot;/&gt;&lt;wsp:rsid wsp:val=&quot;004256B2&quot;/&gt;&lt;wsp:rsid wsp:val=&quot;004258EB&quot;/&gt;&lt;wsp:rsid wsp:val=&quot;00425C65&quot;/&gt;&lt;wsp:rsid wsp:val=&quot;00426242&quot;/&gt;&lt;wsp:rsid wsp:val=&quot;004263DD&quot;/&gt;&lt;wsp:rsid wsp:val=&quot;00426B31&quot;/&gt;&lt;wsp:rsid wsp:val=&quot;00426C16&quot;/&gt;&lt;wsp:rsid wsp:val=&quot;00426C3D&quot;/&gt;&lt;wsp:rsid wsp:val=&quot;00426C91&quot;/&gt;&lt;wsp:rsid wsp:val=&quot;004272E7&quot;/&gt;&lt;wsp:rsid wsp:val=&quot;00427382&quot;/&gt;&lt;wsp:rsid wsp:val=&quot;00427A8E&quot;/&gt;&lt;wsp:rsid wsp:val=&quot;00427CBB&quot;/&gt;&lt;wsp:rsid wsp:val=&quot;00427F05&quot;/&gt;&lt;wsp:rsid wsp:val=&quot;0043005A&quot;/&gt;&lt;wsp:rsid wsp:val=&quot;004302FC&quot;/&gt;&lt;wsp:rsid wsp:val=&quot;004306DF&quot;/&gt;&lt;wsp:rsid wsp:val=&quot;00430728&quot;/&gt;&lt;wsp:rsid wsp:val=&quot;00430D53&quot;/&gt;&lt;wsp:rsid wsp:val=&quot;00431053&quot;/&gt;&lt;wsp:rsid wsp:val=&quot;00431166&quot;/&gt;&lt;wsp:rsid wsp:val=&quot;004312AC&quot;/&gt;&lt;wsp:rsid wsp:val=&quot;0043143D&quot;/&gt;&lt;wsp:rsid wsp:val=&quot;0043160B&quot;/&gt;&lt;wsp:rsid wsp:val=&quot;00431BD6&quot;/&gt;&lt;wsp:rsid wsp:val=&quot;00431D5A&quot;/&gt;&lt;wsp:rsid wsp:val=&quot;00432A0F&quot;/&gt;&lt;wsp:rsid wsp:val=&quot;00432B6D&quot;/&gt;&lt;wsp:rsid wsp:val=&quot;00432BD9&quot;/&gt;&lt;wsp:rsid wsp:val=&quot;00432F24&quot;/&gt;&lt;wsp:rsid wsp:val=&quot;00433063&quot;/&gt;&lt;wsp:rsid wsp:val=&quot;00433294&quot;/&gt;&lt;wsp:rsid wsp:val=&quot;00433353&quot;/&gt;&lt;wsp:rsid wsp:val=&quot;004338D5&quot;/&gt;&lt;wsp:rsid wsp:val=&quot;0043394F&quot;/&gt;&lt;wsp:rsid wsp:val=&quot;0043418B&quot;/&gt;&lt;wsp:rsid wsp:val=&quot;00434456&quot;/&gt;&lt;wsp:rsid wsp:val=&quot;0043487C&quot;/&gt;&lt;wsp:rsid wsp:val=&quot;00434B6B&quot;/&gt;&lt;wsp:rsid wsp:val=&quot;00435106&quot;/&gt;&lt;wsp:rsid wsp:val=&quot;00435446&quot;/&gt;&lt;wsp:rsid wsp:val=&quot;00435560&quot;/&gt;&lt;wsp:rsid wsp:val=&quot;00435CC3&quot;/&gt;&lt;wsp:rsid wsp:val=&quot;00435E1B&quot;/&gt;&lt;wsp:rsid wsp:val=&quot;00436526&quot;/&gt;&lt;wsp:rsid wsp:val=&quot;004368E1&quot;/&gt;&lt;wsp:rsid wsp:val=&quot;0043698F&quot;/&gt;&lt;wsp:rsid wsp:val=&quot;00436AE0&quot;/&gt;&lt;wsp:rsid wsp:val=&quot;00436AEF&quot;/&gt;&lt;wsp:rsid wsp:val=&quot;00436CF7&quot;/&gt;&lt;wsp:rsid wsp:val=&quot;00436E5C&quot;/&gt;&lt;wsp:rsid wsp:val=&quot;004371E9&quot;/&gt;&lt;wsp:rsid wsp:val=&quot;004375B1&quot;/&gt;&lt;wsp:rsid wsp:val=&quot;0043778B&quot;/&gt;&lt;wsp:rsid wsp:val=&quot;00437831&quot;/&gt;&lt;wsp:rsid wsp:val=&quot;00437BF6&quot;/&gt;&lt;wsp:rsid wsp:val=&quot;00437CAC&quot;/&gt;&lt;wsp:rsid wsp:val=&quot;00437E9D&quot;/&gt;&lt;wsp:rsid wsp:val=&quot;00440C3D&quot;/&gt;&lt;wsp:rsid wsp:val=&quot;0044147E&quot;/&gt;&lt;wsp:rsid wsp:val=&quot;004417DE&quot;/&gt;&lt;wsp:rsid wsp:val=&quot;00441A53&quot;/&gt;&lt;wsp:rsid wsp:val=&quot;00441B1C&quot;/&gt;&lt;wsp:rsid wsp:val=&quot;00441BC1&quot;/&gt;&lt;wsp:rsid wsp:val=&quot;00441C6D&quot;/&gt;&lt;wsp:rsid wsp:val=&quot;00441E1C&quot;/&gt;&lt;wsp:rsid wsp:val=&quot;00441EA7&quot;/&gt;&lt;wsp:rsid wsp:val=&quot;004420A8&quot;/&gt;&lt;wsp:rsid wsp:val=&quot;00442B06&quot;/&gt;&lt;wsp:rsid wsp:val=&quot;00442D41&quot;/&gt;&lt;wsp:rsid wsp:val=&quot;00442DBF&quot;/&gt;&lt;wsp:rsid wsp:val=&quot;00442E23&quot;/&gt;&lt;wsp:rsid wsp:val=&quot;00443044&quot;/&gt;&lt;wsp:rsid wsp:val=&quot;00443103&quot;/&gt;&lt;wsp:rsid wsp:val=&quot;00443143&quot;/&gt;&lt;wsp:rsid wsp:val=&quot;00443533&quot;/&gt;&lt;wsp:rsid wsp:val=&quot;004438F7&quot;/&gt;&lt;wsp:rsid wsp:val=&quot;00443985&quot;/&gt;&lt;wsp:rsid wsp:val=&quot;00443C76&quot;/&gt;&lt;wsp:rsid wsp:val=&quot;0044419D&quot;/&gt;&lt;wsp:rsid wsp:val=&quot;0044438A&quot;/&gt;&lt;wsp:rsid wsp:val=&quot;00444562&quot;/&gt;&lt;wsp:rsid wsp:val=&quot;0044478E&quot;/&gt;&lt;wsp:rsid wsp:val=&quot;004447EA&quot;/&gt;&lt;wsp:rsid wsp:val=&quot;0044488E&quot;/&gt;&lt;wsp:rsid wsp:val=&quot;00444C19&quot;/&gt;&lt;wsp:rsid wsp:val=&quot;00444F9D&quot;/&gt;&lt;wsp:rsid wsp:val=&quot;004458CA&quot;/&gt;&lt;wsp:rsid wsp:val=&quot;00445AFA&quot;/&gt;&lt;wsp:rsid wsp:val=&quot;00445D01&quot;/&gt;&lt;wsp:rsid wsp:val=&quot;00445E5F&quot;/&gt;&lt;wsp:rsid wsp:val=&quot;00446157&quot;/&gt;&lt;wsp:rsid wsp:val=&quot;004461A4&quot;/&gt;&lt;wsp:rsid wsp:val=&quot;004461D0&quot;/&gt;&lt;wsp:rsid wsp:val=&quot;004462D2&quot;/&gt;&lt;wsp:rsid wsp:val=&quot;00446374&quot;/&gt;&lt;wsp:rsid wsp:val=&quot;00446489&quot;/&gt;&lt;wsp:rsid wsp:val=&quot;00446537&quot;/&gt;&lt;wsp:rsid wsp:val=&quot;00446605&quot;/&gt;&lt;wsp:rsid wsp:val=&quot;004466CD&quot;/&gt;&lt;wsp:rsid wsp:val=&quot;0044671A&quot;/&gt;&lt;wsp:rsid wsp:val=&quot;00446798&quot;/&gt;&lt;wsp:rsid wsp:val=&quot;00446B30&quot;/&gt;&lt;wsp:rsid wsp:val=&quot;00447387&quot;/&gt;&lt;wsp:rsid wsp:val=&quot;00447397&quot;/&gt;&lt;wsp:rsid wsp:val=&quot;0044789A&quot;/&gt;&lt;wsp:rsid wsp:val=&quot;00447CC2&quot;/&gt;&lt;wsp:rsid wsp:val=&quot;00447FCB&quot;/&gt;&lt;wsp:rsid wsp:val=&quot;0045026C&quot;/&gt;&lt;wsp:rsid wsp:val=&quot;00450663&quot;/&gt;&lt;wsp:rsid wsp:val=&quot;004507D7&quot;/&gt;&lt;wsp:rsid wsp:val=&quot;00450BC6&quot;/&gt;&lt;wsp:rsid wsp:val=&quot;00450DAD&quot;/&gt;&lt;wsp:rsid wsp:val=&quot;00450E01&quot;/&gt;&lt;wsp:rsid wsp:val=&quot;00450FA8&quot;/&gt;&lt;wsp:rsid wsp:val=&quot;00451177&quot;/&gt;&lt;wsp:rsid wsp:val=&quot;0045123E&quot;/&gt;&lt;wsp:rsid wsp:val=&quot;004512ED&quot;/&gt;&lt;wsp:rsid wsp:val=&quot;004518D0&quot;/&gt;&lt;wsp:rsid wsp:val=&quot;00452310&quot;/&gt;&lt;wsp:rsid wsp:val=&quot;0045288A&quot;/&gt;&lt;wsp:rsid wsp:val=&quot;00452ACD&quot;/&gt;&lt;wsp:rsid wsp:val=&quot;00452B84&quot;/&gt;&lt;wsp:rsid wsp:val=&quot;00452C80&quot;/&gt;&lt;wsp:rsid wsp:val=&quot;004531A4&quot;/&gt;&lt;wsp:rsid wsp:val=&quot;00453268&quot;/&gt;&lt;wsp:rsid wsp:val=&quot;00453577&quot;/&gt;&lt;wsp:rsid wsp:val=&quot;00453C5D&quot;/&gt;&lt;wsp:rsid wsp:val=&quot;00454170&quot;/&gt;&lt;wsp:rsid wsp:val=&quot;00454832&quot;/&gt;&lt;wsp:rsid wsp:val=&quot;00454890&quot;/&gt;&lt;wsp:rsid wsp:val=&quot;00454A4D&quot;/&gt;&lt;wsp:rsid wsp:val=&quot;00454F20&quot;/&gt;&lt;wsp:rsid wsp:val=&quot;004553C6&quot;/&gt;&lt;wsp:rsid wsp:val=&quot;00455834&quot;/&gt;&lt;wsp:rsid wsp:val=&quot;00455B45&quot;/&gt;&lt;wsp:rsid wsp:val=&quot;00455B9C&quot;/&gt;&lt;wsp:rsid wsp:val=&quot;00455BB7&quot;/&gt;&lt;wsp:rsid wsp:val=&quot;00456165&quot;/&gt;&lt;wsp:rsid wsp:val=&quot;0045649E&quot;/&gt;&lt;wsp:rsid wsp:val=&quot;004565EB&quot;/&gt;&lt;wsp:rsid wsp:val=&quot;00456861&quot;/&gt;&lt;wsp:rsid wsp:val=&quot;004572A3&quot;/&gt;&lt;wsp:rsid wsp:val=&quot;004576F2&quot;/&gt;&lt;wsp:rsid wsp:val=&quot;004577F9&quot;/&gt;&lt;wsp:rsid wsp:val=&quot;00457CC6&quot;/&gt;&lt;wsp:rsid wsp:val=&quot;00457DE2&quot;/&gt;&lt;wsp:rsid wsp:val=&quot;00457FB3&quot;/&gt;&lt;wsp:rsid wsp:val=&quot;004608B6&quot;/&gt;&lt;wsp:rsid wsp:val=&quot;004608EE&quot;/&gt;&lt;wsp:rsid wsp:val=&quot;0046098B&quot;/&gt;&lt;wsp:rsid wsp:val=&quot;004610D7&quot;/&gt;&lt;wsp:rsid wsp:val=&quot;00461155&quot;/&gt;&lt;wsp:rsid wsp:val=&quot;004615C4&quot;/&gt;&lt;wsp:rsid wsp:val=&quot;00461628&quot;/&gt;&lt;wsp:rsid wsp:val=&quot;00461A79&quot;/&gt;&lt;wsp:rsid wsp:val=&quot;0046245E&quot;/&gt;&lt;wsp:rsid wsp:val=&quot;00462996&quot;/&gt;&lt;wsp:rsid wsp:val=&quot;00462A41&quot;/&gt;&lt;wsp:rsid wsp:val=&quot;00462B20&quot;/&gt;&lt;wsp:rsid wsp:val=&quot;00462BD0&quot;/&gt;&lt;wsp:rsid wsp:val=&quot;00462D04&quot;/&gt;&lt;wsp:rsid wsp:val=&quot;00463017&quot;/&gt;&lt;wsp:rsid wsp:val=&quot;00463593&quot;/&gt;&lt;wsp:rsid wsp:val=&quot;004635B6&quot;/&gt;&lt;wsp:rsid wsp:val=&quot;0046376F&quot;/&gt;&lt;wsp:rsid wsp:val=&quot;00463986&quot;/&gt;&lt;wsp:rsid wsp:val=&quot;00463CF2&quot;/&gt;&lt;wsp:rsid wsp:val=&quot;0046420B&quot;/&gt;&lt;wsp:rsid wsp:val=&quot;00464B26&quot;/&gt;&lt;wsp:rsid wsp:val=&quot;00464CC2&quot;/&gt;&lt;wsp:rsid wsp:val=&quot;00464DAA&quot;/&gt;&lt;wsp:rsid wsp:val=&quot;004655C4&quot;/&gt;&lt;wsp:rsid wsp:val=&quot;004657FF&quot;/&gt;&lt;wsp:rsid wsp:val=&quot;00465892&quot;/&gt;&lt;wsp:rsid wsp:val=&quot;00465895&quot;/&gt;&lt;wsp:rsid wsp:val=&quot;00465A53&quot;/&gt;&lt;wsp:rsid wsp:val=&quot;00465CB2&quot;/&gt;&lt;wsp:rsid wsp:val=&quot;00465D75&quot;/&gt;&lt;wsp:rsid wsp:val=&quot;004661B1&quot;/&gt;&lt;wsp:rsid wsp:val=&quot;004663F7&quot;/&gt;&lt;wsp:rsid wsp:val=&quot;00466D7E&quot;/&gt;&lt;wsp:rsid wsp:val=&quot;004674C1&quot;/&gt;&lt;wsp:rsid wsp:val=&quot;00467852&quot;/&gt;&lt;wsp:rsid wsp:val=&quot;004679FD&quot;/&gt;&lt;wsp:rsid wsp:val=&quot;00470019&quot;/&gt;&lt;wsp:rsid wsp:val=&quot;00470308&quot;/&gt;&lt;wsp:rsid wsp:val=&quot;0047046B&quot;/&gt;&lt;wsp:rsid wsp:val=&quot;00470DB4&quot;/&gt;&lt;wsp:rsid wsp:val=&quot;0047107A&quot;/&gt;&lt;wsp:rsid wsp:val=&quot;004710D3&quot;/&gt;&lt;wsp:rsid wsp:val=&quot;004710DF&quot;/&gt;&lt;wsp:rsid wsp:val=&quot;004714D2&quot;/&gt;&lt;wsp:rsid wsp:val=&quot;00471507&quot;/&gt;&lt;wsp:rsid wsp:val=&quot;00471D6C&quot;/&gt;&lt;wsp:rsid wsp:val=&quot;00471E47&quot;/&gt;&lt;wsp:rsid wsp:val=&quot;00471FC5&quot;/&gt;&lt;wsp:rsid wsp:val=&quot;00472074&quot;/&gt;&lt;wsp:rsid wsp:val=&quot;00472AEE&quot;/&gt;&lt;wsp:rsid wsp:val=&quot;00472B3C&quot;/&gt;&lt;wsp:rsid wsp:val=&quot;00472B9D&quot;/&gt;&lt;wsp:rsid wsp:val=&quot;00472D20&quot;/&gt;&lt;wsp:rsid wsp:val=&quot;004737B3&quot;/&gt;&lt;wsp:rsid wsp:val=&quot;004738E4&quot;/&gt;&lt;wsp:rsid wsp:val=&quot;004738E5&quot;/&gt;&lt;wsp:rsid wsp:val=&quot;00473F1D&quot;/&gt;&lt;wsp:rsid wsp:val=&quot;004740CB&quot;/&gt;&lt;wsp:rsid wsp:val=&quot;004743A8&quot;/&gt;&lt;wsp:rsid wsp:val=&quot;0047459B&quot;/&gt;&lt;wsp:rsid wsp:val=&quot;0047466C&quot;/&gt;&lt;wsp:rsid wsp:val=&quot;00474928&quot;/&gt;&lt;wsp:rsid wsp:val=&quot;0047513F&quot;/&gt;&lt;wsp:rsid wsp:val=&quot;0047556E&quot;/&gt;&lt;wsp:rsid wsp:val=&quot;0047565B&quot;/&gt;&lt;wsp:rsid wsp:val=&quot;004757A8&quot;/&gt;&lt;wsp:rsid wsp:val=&quot;0047598B&quot;/&gt;&lt;wsp:rsid wsp:val=&quot;00475DAC&quot;/&gt;&lt;wsp:rsid wsp:val=&quot;004761DC&quot;/&gt;&lt;wsp:rsid wsp:val=&quot;0047633A&quot;/&gt;&lt;wsp:rsid wsp:val=&quot;0047634B&quot;/&gt;&lt;wsp:rsid wsp:val=&quot;00476428&quot;/&gt;&lt;wsp:rsid wsp:val=&quot;00476588&quot;/&gt;&lt;wsp:rsid wsp:val=&quot;00476831&quot;/&gt;&lt;wsp:rsid wsp:val=&quot;00476EBB&quot;/&gt;&lt;wsp:rsid wsp:val=&quot;0047711B&quot;/&gt;&lt;wsp:rsid wsp:val=&quot;00477336&quot;/&gt;&lt;wsp:rsid wsp:val=&quot;00477AA4&quot;/&gt;&lt;wsp:rsid wsp:val=&quot;00477C62&quot;/&gt;&lt;wsp:rsid wsp:val=&quot;00477E82&quot;/&gt;&lt;wsp:rsid wsp:val=&quot;00477FB2&quot;/&gt;&lt;wsp:rsid wsp:val=&quot;0048004E&quot;/&gt;&lt;wsp:rsid wsp:val=&quot;00480129&quot;/&gt;&lt;wsp:rsid wsp:val=&quot;00480575&quot;/&gt;&lt;wsp:rsid wsp:val=&quot;00480F11&quot;/&gt;&lt;wsp:rsid wsp:val=&quot;00482083&quot;/&gt;&lt;wsp:rsid wsp:val=&quot;004823C1&quot;/&gt;&lt;wsp:rsid wsp:val=&quot;004823D0&quot;/&gt;&lt;wsp:rsid wsp:val=&quot;004825D7&quot;/&gt;&lt;wsp:rsid wsp:val=&quot;004831BB&quot;/&gt;&lt;wsp:rsid wsp:val=&quot;00483290&quot;/&gt;&lt;wsp:rsid wsp:val=&quot;004834B7&quot;/&gt;&lt;wsp:rsid wsp:val=&quot;00483841&quot;/&gt;&lt;wsp:rsid wsp:val=&quot;00483914&quot;/&gt;&lt;wsp:rsid wsp:val=&quot;00483C6F&quot;/&gt;&lt;wsp:rsid wsp:val=&quot;00484263&quot;/&gt;&lt;wsp:rsid wsp:val=&quot;004843B5&quot;/&gt;&lt;wsp:rsid wsp:val=&quot;004844FC&quot;/&gt;&lt;wsp:rsid wsp:val=&quot;00484FDF&quot;/&gt;&lt;wsp:rsid wsp:val=&quot;004854A5&quot;/&gt;&lt;wsp:rsid wsp:val=&quot;004855F1&quot;/&gt;&lt;wsp:rsid wsp:val=&quot;00485A07&quot;/&gt;&lt;wsp:rsid wsp:val=&quot;00485A73&quot;/&gt;&lt;wsp:rsid wsp:val=&quot;00485D62&quot;/&gt;&lt;wsp:rsid wsp:val=&quot;00485D6D&quot;/&gt;&lt;wsp:rsid wsp:val=&quot;00485EDD&quot;/&gt;&lt;wsp:rsid wsp:val=&quot;00486243&quot;/&gt;&lt;wsp:rsid wsp:val=&quot;00486319&quot;/&gt;&lt;wsp:rsid wsp:val=&quot;004864A6&quot;/&gt;&lt;wsp:rsid wsp:val=&quot;004865EE&quot;/&gt;&lt;wsp:rsid wsp:val=&quot;004868A0&quot;/&gt;&lt;wsp:rsid wsp:val=&quot;00486B0E&quot;/&gt;&lt;wsp:rsid wsp:val=&quot;00487952&quot;/&gt;&lt;wsp:rsid wsp:val=&quot;00487F97&quot;/&gt;&lt;wsp:rsid wsp:val=&quot;00490235&quot;/&gt;&lt;wsp:rsid wsp:val=&quot;004904F5&quot;/&gt;&lt;wsp:rsid wsp:val=&quot;00490575&quot;/&gt;&lt;wsp:rsid wsp:val=&quot;0049105E&quot;/&gt;&lt;wsp:rsid wsp:val=&quot;0049114B&quot;/&gt;&lt;wsp:rsid wsp:val=&quot;004913BD&quot;/&gt;&lt;wsp:rsid wsp:val=&quot;00491B51&quot;/&gt;&lt;wsp:rsid wsp:val=&quot;0049254E&quot;/&gt;&lt;wsp:rsid wsp:val=&quot;00492B5E&quot;/&gt;&lt;wsp:rsid wsp:val=&quot;00492B75&quot;/&gt;&lt;wsp:rsid wsp:val=&quot;00492BDE&quot;/&gt;&lt;wsp:rsid wsp:val=&quot;00493194&quot;/&gt;&lt;wsp:rsid wsp:val=&quot;004933E0&quot;/&gt;&lt;wsp:rsid wsp:val=&quot;0049407C&quot;/&gt;&lt;wsp:rsid wsp:val=&quot;004947BD&quot;/&gt;&lt;wsp:rsid wsp:val=&quot;004948E4&quot;/&gt;&lt;wsp:rsid wsp:val=&quot;00494D55&quot;/&gt;&lt;wsp:rsid wsp:val=&quot;004953A7&quot;/&gt;&lt;wsp:rsid wsp:val=&quot;00495729&quot;/&gt;&lt;wsp:rsid wsp:val=&quot;00495C08&quot;/&gt;&lt;wsp:rsid wsp:val=&quot;00495C16&quot;/&gt;&lt;wsp:rsid wsp:val=&quot;00495EDB&quot;/&gt;&lt;wsp:rsid wsp:val=&quot;00495FEA&quot;/&gt;&lt;wsp:rsid wsp:val=&quot;004963FD&quot;/&gt;&lt;wsp:rsid wsp:val=&quot;004975DF&quot;/&gt;&lt;wsp:rsid wsp:val=&quot;004976A3&quot;/&gt;&lt;wsp:rsid wsp:val=&quot;00497F41&quot;/&gt;&lt;wsp:rsid wsp:val=&quot;004A0140&quot;/&gt;&lt;wsp:rsid wsp:val=&quot;004A0471&quot;/&gt;&lt;wsp:rsid wsp:val=&quot;004A09B6&quot;/&gt;&lt;wsp:rsid wsp:val=&quot;004A12A2&quot;/&gt;&lt;wsp:rsid wsp:val=&quot;004A1350&quot;/&gt;&lt;wsp:rsid wsp:val=&quot;004A138A&quot;/&gt;&lt;wsp:rsid wsp:val=&quot;004A1B0F&quot;/&gt;&lt;wsp:rsid wsp:val=&quot;004A1CF9&quot;/&gt;&lt;wsp:rsid wsp:val=&quot;004A1FE1&quot;/&gt;&lt;wsp:rsid wsp:val=&quot;004A2013&quot;/&gt;&lt;wsp:rsid wsp:val=&quot;004A228C&quot;/&gt;&lt;wsp:rsid wsp:val=&quot;004A29C1&quot;/&gt;&lt;wsp:rsid wsp:val=&quot;004A29F7&quot;/&gt;&lt;wsp:rsid wsp:val=&quot;004A2FEB&quot;/&gt;&lt;wsp:rsid wsp:val=&quot;004A3467&quot;/&gt;&lt;wsp:rsid wsp:val=&quot;004A34BC&quot;/&gt;&lt;wsp:rsid wsp:val=&quot;004A4183&quot;/&gt;&lt;wsp:rsid wsp:val=&quot;004A460D&quot;/&gt;&lt;wsp:rsid wsp:val=&quot;004A4913&quot;/&gt;&lt;wsp:rsid wsp:val=&quot;004A4985&quot;/&gt;&lt;wsp:rsid wsp:val=&quot;004A49CD&quot;/&gt;&lt;wsp:rsid wsp:val=&quot;004A4D4D&quot;/&gt;&lt;wsp:rsid wsp:val=&quot;004A526B&quot;/&gt;&lt;wsp:rsid wsp:val=&quot;004A52FC&quot;/&gt;&lt;wsp:rsid wsp:val=&quot;004A535F&quot;/&gt;&lt;wsp:rsid wsp:val=&quot;004A55B8&quot;/&gt;&lt;wsp:rsid wsp:val=&quot;004A5826&quot;/&gt;&lt;wsp:rsid wsp:val=&quot;004A6463&quot;/&gt;&lt;wsp:rsid wsp:val=&quot;004A659B&quot;/&gt;&lt;wsp:rsid wsp:val=&quot;004A65E6&quot;/&gt;&lt;wsp:rsid wsp:val=&quot;004A6695&quot;/&gt;&lt;wsp:rsid wsp:val=&quot;004A671E&quot;/&gt;&lt;wsp:rsid wsp:val=&quot;004A673C&quot;/&gt;&lt;wsp:rsid wsp:val=&quot;004A6C23&quot;/&gt;&lt;wsp:rsid wsp:val=&quot;004A7471&quot;/&gt;&lt;wsp:rsid wsp:val=&quot;004A77E1&quot;/&gt;&lt;wsp:rsid wsp:val=&quot;004A783D&quot;/&gt;&lt;wsp:rsid wsp:val=&quot;004B0247&quot;/&gt;&lt;wsp:rsid wsp:val=&quot;004B064C&quot;/&gt;&lt;wsp:rsid wsp:val=&quot;004B1565&quot;/&gt;&lt;wsp:rsid wsp:val=&quot;004B1868&quot;/&gt;&lt;wsp:rsid wsp:val=&quot;004B1AFA&quot;/&gt;&lt;wsp:rsid wsp:val=&quot;004B204C&quot;/&gt;&lt;wsp:rsid wsp:val=&quot;004B208C&quot;/&gt;&lt;wsp:rsid wsp:val=&quot;004B2265&quot;/&gt;&lt;wsp:rsid wsp:val=&quot;004B2807&quot;/&gt;&lt;wsp:rsid wsp:val=&quot;004B2918&quot;/&gt;&lt;wsp:rsid wsp:val=&quot;004B3418&quot;/&gt;&lt;wsp:rsid wsp:val=&quot;004B3574&quot;/&gt;&lt;wsp:rsid wsp:val=&quot;004B3864&quot;/&gt;&lt;wsp:rsid wsp:val=&quot;004B3D7B&quot;/&gt;&lt;wsp:rsid wsp:val=&quot;004B3DD6&quot;/&gt;&lt;wsp:rsid wsp:val=&quot;004B3FD2&quot;/&gt;&lt;wsp:rsid wsp:val=&quot;004B40A6&quot;/&gt;&lt;wsp:rsid wsp:val=&quot;004B4A4D&quot;/&gt;&lt;wsp:rsid wsp:val=&quot;004B4D89&quot;/&gt;&lt;wsp:rsid wsp:val=&quot;004B4EBD&quot;/&gt;&lt;wsp:rsid wsp:val=&quot;004B54E6&quot;/&gt;&lt;wsp:rsid wsp:val=&quot;004B5828&quot;/&gt;&lt;wsp:rsid wsp:val=&quot;004B5884&quot;/&gt;&lt;wsp:rsid wsp:val=&quot;004B5B64&quot;/&gt;&lt;wsp:rsid wsp:val=&quot;004B5B9E&quot;/&gt;&lt;wsp:rsid wsp:val=&quot;004B5CD7&quot;/&gt;&lt;wsp:rsid wsp:val=&quot;004B5D77&quot;/&gt;&lt;wsp:rsid wsp:val=&quot;004B6016&quot;/&gt;&lt;wsp:rsid wsp:val=&quot;004B635B&quot;/&gt;&lt;wsp:rsid wsp:val=&quot;004B665D&quot;/&gt;&lt;wsp:rsid wsp:val=&quot;004B68B5&quot;/&gt;&lt;wsp:rsid wsp:val=&quot;004B69F9&quot;/&gt;&lt;wsp:rsid wsp:val=&quot;004B6C92&quot;/&gt;&lt;wsp:rsid wsp:val=&quot;004B6FBE&quot;/&gt;&lt;wsp:rsid wsp:val=&quot;004B7820&quot;/&gt;&lt;wsp:rsid wsp:val=&quot;004B7D4C&quot;/&gt;&lt;wsp:rsid wsp:val=&quot;004C01AC&quot;/&gt;&lt;wsp:rsid wsp:val=&quot;004C09A9&quot;/&gt;&lt;wsp:rsid wsp:val=&quot;004C0B00&quot;/&gt;&lt;wsp:rsid wsp:val=&quot;004C18D7&quot;/&gt;&lt;wsp:rsid wsp:val=&quot;004C1BEF&quot;/&gt;&lt;wsp:rsid wsp:val=&quot;004C1CB1&quot;/&gt;&lt;wsp:rsid wsp:val=&quot;004C23AD&quot;/&gt;&lt;wsp:rsid wsp:val=&quot;004C250D&quot;/&gt;&lt;wsp:rsid wsp:val=&quot;004C25C6&quot;/&gt;&lt;wsp:rsid wsp:val=&quot;004C2D23&quot;/&gt;&lt;wsp:rsid wsp:val=&quot;004C2E11&quot;/&gt;&lt;wsp:rsid wsp:val=&quot;004C32C2&quot;/&gt;&lt;wsp:rsid wsp:val=&quot;004C333E&quot;/&gt;&lt;wsp:rsid wsp:val=&quot;004C34B9&quot;/&gt;&lt;wsp:rsid wsp:val=&quot;004C4198&quot;/&gt;&lt;wsp:rsid wsp:val=&quot;004C4728&quot;/&gt;&lt;wsp:rsid wsp:val=&quot;004C4B4F&quot;/&gt;&lt;wsp:rsid wsp:val=&quot;004C4B62&quot;/&gt;&lt;wsp:rsid wsp:val=&quot;004C4C89&quot;/&gt;&lt;wsp:rsid wsp:val=&quot;004C599B&quot;/&gt;&lt;wsp:rsid wsp:val=&quot;004C5EBE&quot;/&gt;&lt;wsp:rsid wsp:val=&quot;004C6382&quot;/&gt;&lt;wsp:rsid wsp:val=&quot;004C63EC&quot;/&gt;&lt;wsp:rsid wsp:val=&quot;004C6C36&quot;/&gt;&lt;wsp:rsid wsp:val=&quot;004C6F21&quot;/&gt;&lt;wsp:rsid wsp:val=&quot;004C71AA&quot;/&gt;&lt;wsp:rsid wsp:val=&quot;004C7984&quot;/&gt;&lt;wsp:rsid wsp:val=&quot;004C7A1E&quot;/&gt;&lt;wsp:rsid wsp:val=&quot;004D03BC&quot;/&gt;&lt;wsp:rsid wsp:val=&quot;004D071E&quot;/&gt;&lt;wsp:rsid wsp:val=&quot;004D0B5C&quot;/&gt;&lt;wsp:rsid wsp:val=&quot;004D0D8C&quot;/&gt;&lt;wsp:rsid wsp:val=&quot;004D0EED&quot;/&gt;&lt;wsp:rsid wsp:val=&quot;004D0F83&quot;/&gt;&lt;wsp:rsid wsp:val=&quot;004D10C5&quot;/&gt;&lt;wsp:rsid wsp:val=&quot;004D1891&quot;/&gt;&lt;wsp:rsid wsp:val=&quot;004D1ABA&quot;/&gt;&lt;wsp:rsid wsp:val=&quot;004D1BF0&quot;/&gt;&lt;wsp:rsid wsp:val=&quot;004D1C79&quot;/&gt;&lt;wsp:rsid wsp:val=&quot;004D21E0&quot;/&gt;&lt;wsp:rsid wsp:val=&quot;004D2573&quot;/&gt;&lt;wsp:rsid wsp:val=&quot;004D25A3&quot;/&gt;&lt;wsp:rsid wsp:val=&quot;004D275D&quot;/&gt;&lt;wsp:rsid wsp:val=&quot;004D2765&quot;/&gt;&lt;wsp:rsid wsp:val=&quot;004D277D&quot;/&gt;&lt;wsp:rsid wsp:val=&quot;004D2F4E&quot;/&gt;&lt;wsp:rsid wsp:val=&quot;004D30BB&quot;/&gt;&lt;wsp:rsid wsp:val=&quot;004D33EA&quot;/&gt;&lt;wsp:rsid wsp:val=&quot;004D39E7&quot;/&gt;&lt;wsp:rsid wsp:val=&quot;004D3E26&quot;/&gt;&lt;wsp:rsid wsp:val=&quot;004D3EE1&quot;/&gt;&lt;wsp:rsid wsp:val=&quot;004D3FC0&quot;/&gt;&lt;wsp:rsid wsp:val=&quot;004D4395&quot;/&gt;&lt;wsp:rsid wsp:val=&quot;004D444D&quot;/&gt;&lt;wsp:rsid wsp:val=&quot;004D47AB&quot;/&gt;&lt;wsp:rsid wsp:val=&quot;004D4AC7&quot;/&gt;&lt;wsp:rsid wsp:val=&quot;004D4D68&quot;/&gt;&lt;wsp:rsid wsp:val=&quot;004D5020&quot;/&gt;&lt;wsp:rsid wsp:val=&quot;004D5071&quot;/&gt;&lt;wsp:rsid wsp:val=&quot;004D5804&quot;/&gt;&lt;wsp:rsid wsp:val=&quot;004D5A8D&quot;/&gt;&lt;wsp:rsid wsp:val=&quot;004D5F5C&quot;/&gt;&lt;wsp:rsid wsp:val=&quot;004D5FD4&quot;/&gt;&lt;wsp:rsid wsp:val=&quot;004D6295&quot;/&gt;&lt;wsp:rsid wsp:val=&quot;004D67A6&quot;/&gt;&lt;wsp:rsid wsp:val=&quot;004D77DE&quot;/&gt;&lt;wsp:rsid wsp:val=&quot;004D77FD&quot;/&gt;&lt;wsp:rsid wsp:val=&quot;004D7C39&quot;/&gt;&lt;wsp:rsid wsp:val=&quot;004D7C90&quot;/&gt;&lt;wsp:rsid wsp:val=&quot;004E0426&quot;/&gt;&lt;wsp:rsid wsp:val=&quot;004E05BD&quot;/&gt;&lt;wsp:rsid wsp:val=&quot;004E083A&quot;/&gt;&lt;wsp:rsid wsp:val=&quot;004E0C40&quot;/&gt;&lt;wsp:rsid wsp:val=&quot;004E0DE8&quot;/&gt;&lt;wsp:rsid wsp:val=&quot;004E0F77&quot;/&gt;&lt;wsp:rsid wsp:val=&quot;004E0FF8&quot;/&gt;&lt;wsp:rsid wsp:val=&quot;004E1812&quot;/&gt;&lt;wsp:rsid wsp:val=&quot;004E23F3&quot;/&gt;&lt;wsp:rsid wsp:val=&quot;004E2C7E&quot;/&gt;&lt;wsp:rsid wsp:val=&quot;004E2D66&quot;/&gt;&lt;wsp:rsid wsp:val=&quot;004E2E3E&quot;/&gt;&lt;wsp:rsid wsp:val=&quot;004E335C&quot;/&gt;&lt;wsp:rsid wsp:val=&quot;004E3A87&quot;/&gt;&lt;wsp:rsid wsp:val=&quot;004E3B92&quot;/&gt;&lt;wsp:rsid wsp:val=&quot;004E3D74&quot;/&gt;&lt;wsp:rsid wsp:val=&quot;004E3DDC&quot;/&gt;&lt;wsp:rsid wsp:val=&quot;004E3E91&quot;/&gt;&lt;wsp:rsid wsp:val=&quot;004E4004&quot;/&gt;&lt;wsp:rsid wsp:val=&quot;004E42DB&quot;/&gt;&lt;wsp:rsid wsp:val=&quot;004E43EC&quot;/&gt;&lt;wsp:rsid wsp:val=&quot;004E499A&quot;/&gt;&lt;wsp:rsid wsp:val=&quot;004E4CBB&quot;/&gt;&lt;wsp:rsid wsp:val=&quot;004E4D99&quot;/&gt;&lt;wsp:rsid wsp:val=&quot;004E53BC&quot;/&gt;&lt;wsp:rsid wsp:val=&quot;004E5962&quot;/&gt;&lt;wsp:rsid wsp:val=&quot;004E599D&quot;/&gt;&lt;wsp:rsid wsp:val=&quot;004E59C9&quot;/&gt;&lt;wsp:rsid wsp:val=&quot;004E5BD3&quot;/&gt;&lt;wsp:rsid wsp:val=&quot;004E5D2E&quot;/&gt;&lt;wsp:rsid wsp:val=&quot;004E6536&quot;/&gt;&lt;wsp:rsid wsp:val=&quot;004E6641&quot;/&gt;&lt;wsp:rsid wsp:val=&quot;004E73C7&quot;/&gt;&lt;wsp:rsid wsp:val=&quot;004E7C33&quot;/&gt;&lt;wsp:rsid wsp:val=&quot;004E7D31&quot;/&gt;&lt;wsp:rsid wsp:val=&quot;004F06A5&quot;/&gt;&lt;wsp:rsid wsp:val=&quot;004F079A&quot;/&gt;&lt;wsp:rsid wsp:val=&quot;004F0CB5&quot;/&gt;&lt;wsp:rsid wsp:val=&quot;004F0D68&quot;/&gt;&lt;wsp:rsid wsp:val=&quot;004F0FA8&quot;/&gt;&lt;wsp:rsid wsp:val=&quot;004F1289&quot;/&gt;&lt;wsp:rsid wsp:val=&quot;004F12F9&quot;/&gt;&lt;wsp:rsid wsp:val=&quot;004F13D4&quot;/&gt;&lt;wsp:rsid wsp:val=&quot;004F1476&quot;/&gt;&lt;wsp:rsid wsp:val=&quot;004F1559&quot;/&gt;&lt;wsp:rsid wsp:val=&quot;004F185C&quot;/&gt;&lt;wsp:rsid wsp:val=&quot;004F1E33&quot;/&gt;&lt;wsp:rsid wsp:val=&quot;004F1F62&quot;/&gt;&lt;wsp:rsid wsp:val=&quot;004F2016&quot;/&gt;&lt;wsp:rsid wsp:val=&quot;004F21E8&quot;/&gt;&lt;wsp:rsid wsp:val=&quot;004F2253&quot;/&gt;&lt;wsp:rsid wsp:val=&quot;004F2456&quot;/&gt;&lt;wsp:rsid wsp:val=&quot;004F2B1A&quot;/&gt;&lt;wsp:rsid wsp:val=&quot;004F2C0A&quot;/&gt;&lt;wsp:rsid wsp:val=&quot;004F2CEB&quot;/&gt;&lt;wsp:rsid wsp:val=&quot;004F2E19&quot;/&gt;&lt;wsp:rsid wsp:val=&quot;004F2F6E&quot;/&gt;&lt;wsp:rsid wsp:val=&quot;004F3332&quot;/&gt;&lt;wsp:rsid wsp:val=&quot;004F35E4&quot;/&gt;&lt;wsp:rsid wsp:val=&quot;004F37F2&quot;/&gt;&lt;wsp:rsid wsp:val=&quot;004F3BD5&quot;/&gt;&lt;wsp:rsid wsp:val=&quot;004F3DF1&quot;/&gt;&lt;wsp:rsid wsp:val=&quot;004F3E04&quot;/&gt;&lt;wsp:rsid wsp:val=&quot;004F3EA2&quot;/&gt;&lt;wsp:rsid wsp:val=&quot;004F4149&quot;/&gt;&lt;wsp:rsid wsp:val=&quot;004F459E&quot;/&gt;&lt;wsp:rsid wsp:val=&quot;004F48F8&quot;/&gt;&lt;wsp:rsid wsp:val=&quot;004F493C&quot;/&gt;&lt;wsp:rsid wsp:val=&quot;004F499C&quot;/&gt;&lt;wsp:rsid wsp:val=&quot;004F49A5&quot;/&gt;&lt;wsp:rsid wsp:val=&quot;004F49BE&quot;/&gt;&lt;wsp:rsid wsp:val=&quot;004F4AD3&quot;/&gt;&lt;wsp:rsid wsp:val=&quot;004F4C62&quot;/&gt;&lt;wsp:rsid wsp:val=&quot;004F4E5C&quot;/&gt;&lt;wsp:rsid wsp:val=&quot;004F4FE3&quot;/&gt;&lt;wsp:rsid wsp:val=&quot;004F50D5&quot;/&gt;&lt;wsp:rsid wsp:val=&quot;004F558C&quot;/&gt;&lt;wsp:rsid wsp:val=&quot;004F570C&quot;/&gt;&lt;wsp:rsid wsp:val=&quot;004F5743&quot;/&gt;&lt;wsp:rsid wsp:val=&quot;004F584B&quot;/&gt;&lt;wsp:rsid wsp:val=&quot;004F5EA8&quot;/&gt;&lt;wsp:rsid wsp:val=&quot;004F5F4E&quot;/&gt;&lt;wsp:rsid wsp:val=&quot;004F610E&quot;/&gt;&lt;wsp:rsid wsp:val=&quot;004F614C&quot;/&gt;&lt;wsp:rsid wsp:val=&quot;004F640C&quot;/&gt;&lt;wsp:rsid wsp:val=&quot;004F648F&quot;/&gt;&lt;wsp:rsid wsp:val=&quot;004F661A&quot;/&gt;&lt;wsp:rsid wsp:val=&quot;004F66B1&quot;/&gt;&lt;wsp:rsid wsp:val=&quot;004F6921&quot;/&gt;&lt;wsp:rsid wsp:val=&quot;004F6A7F&quot;/&gt;&lt;wsp:rsid wsp:val=&quot;004F7E50&quot;/&gt;&lt;wsp:rsid wsp:val=&quot;00500024&quot;/&gt;&lt;wsp:rsid wsp:val=&quot;00500107&quot;/&gt;&lt;wsp:rsid wsp:val=&quot;005009D2&quot;/&gt;&lt;wsp:rsid wsp:val=&quot;00500BD8&quot;/&gt;&lt;wsp:rsid wsp:val=&quot;00501096&quot;/&gt;&lt;wsp:rsid wsp:val=&quot;00501673&quot;/&gt;&lt;wsp:rsid wsp:val=&quot;00501987&quot;/&gt;&lt;wsp:rsid wsp:val=&quot;00501B01&quot;/&gt;&lt;wsp:rsid wsp:val=&quot;00501DCB&quot;/&gt;&lt;wsp:rsid wsp:val=&quot;00502AD0&quot;/&gt;&lt;wsp:rsid wsp:val=&quot;00502BB3&quot;/&gt;&lt;wsp:rsid wsp:val=&quot;00502C3F&quot;/&gt;&lt;wsp:rsid wsp:val=&quot;005035A1&quot;/&gt;&lt;wsp:rsid wsp:val=&quot;00503842&quot;/&gt;&lt;wsp:rsid wsp:val=&quot;005044D5&quot;/&gt;&lt;wsp:rsid wsp:val=&quot;00504A51&quot;/&gt;&lt;wsp:rsid wsp:val=&quot;005051ED&quot;/&gt;&lt;wsp:rsid wsp:val=&quot;00505FBE&quot;/&gt;&lt;wsp:rsid wsp:val=&quot;00506378&quot;/&gt;&lt;wsp:rsid wsp:val=&quot;00506592&quot;/&gt;&lt;wsp:rsid wsp:val=&quot;00506747&quot;/&gt;&lt;wsp:rsid wsp:val=&quot;0050687B&quot;/&gt;&lt;wsp:rsid wsp:val=&quot;005069F5&quot;/&gt;&lt;wsp:rsid wsp:val=&quot;00506FD2&quot;/&gt;&lt;wsp:rsid wsp:val=&quot;00507179&quot;/&gt;&lt;wsp:rsid wsp:val=&quot;005072F6&quot;/&gt;&lt;wsp:rsid wsp:val=&quot;00507381&quot;/&gt;&lt;wsp:rsid wsp:val=&quot;0050773C&quot;/&gt;&lt;wsp:rsid wsp:val=&quot;00507779&quot;/&gt;&lt;wsp:rsid wsp:val=&quot;00507D35&quot;/&gt;&lt;wsp:rsid wsp:val=&quot;00507F4E&quot;/&gt;&lt;wsp:rsid wsp:val=&quot;00507F57&quot;/&gt;&lt;wsp:rsid wsp:val=&quot;00510163&quot;/&gt;&lt;wsp:rsid wsp:val=&quot;00510930&quot;/&gt;&lt;wsp:rsid wsp:val=&quot;00510E58&quot;/&gt;&lt;wsp:rsid wsp:val=&quot;00511235&quot;/&gt;&lt;wsp:rsid wsp:val=&quot;00511361&quot;/&gt;&lt;wsp:rsid wsp:val=&quot;00511736&quot;/&gt;&lt;wsp:rsid wsp:val=&quot;0051182C&quot;/&gt;&lt;wsp:rsid wsp:val=&quot;0051189B&quot;/&gt;&lt;wsp:rsid wsp:val=&quot;00512066&quot;/&gt;&lt;wsp:rsid wsp:val=&quot;005120DF&quot;/&gt;&lt;wsp:rsid wsp:val=&quot;0051292A&quot;/&gt;&lt;wsp:rsid wsp:val=&quot;00513042&quot;/&gt;&lt;wsp:rsid wsp:val=&quot;00513388&quot;/&gt;&lt;wsp:rsid wsp:val=&quot;0051363C&quot;/&gt;&lt;wsp:rsid wsp:val=&quot;0051372D&quot;/&gt;&lt;wsp:rsid wsp:val=&quot;0051374C&quot;/&gt;&lt;wsp:rsid wsp:val=&quot;00513BE8&quot;/&gt;&lt;wsp:rsid wsp:val=&quot;00513C79&quot;/&gt;&lt;wsp:rsid wsp:val=&quot;00513DBA&quot;/&gt;&lt;wsp:rsid wsp:val=&quot;00514228&quot;/&gt;&lt;wsp:rsid wsp:val=&quot;00514E5D&quot;/&gt;&lt;wsp:rsid wsp:val=&quot;005151F6&quot;/&gt;&lt;wsp:rsid wsp:val=&quot;005154BA&quot;/&gt;&lt;wsp:rsid wsp:val=&quot;00515673&quot;/&gt;&lt;wsp:rsid wsp:val=&quot;005158CD&quot;/&gt;&lt;wsp:rsid wsp:val=&quot;00515A5C&quot;/&gt;&lt;wsp:rsid wsp:val=&quot;00516006&quot;/&gt;&lt;wsp:rsid wsp:val=&quot;0051654E&quot;/&gt;&lt;wsp:rsid wsp:val=&quot;00516F54&quot;/&gt;&lt;wsp:rsid wsp:val=&quot;00516FB9&quot;/&gt;&lt;wsp:rsid wsp:val=&quot;00517056&quot;/&gt;&lt;wsp:rsid wsp:val=&quot;0051738D&quot;/&gt;&lt;wsp:rsid wsp:val=&quot;005177AA&quot;/&gt;&lt;wsp:rsid wsp:val=&quot;00517F51&quot;/&gt;&lt;wsp:rsid wsp:val=&quot;00520168&quot;/&gt;&lt;wsp:rsid wsp:val=&quot;00520389&quot;/&gt;&lt;wsp:rsid wsp:val=&quot;005205D4&quot;/&gt;&lt;wsp:rsid wsp:val=&quot;00520884&quot;/&gt;&lt;wsp:rsid wsp:val=&quot;00520F1C&quot;/&gt;&lt;wsp:rsid wsp:val=&quot;005212C4&quot;/&gt;&lt;wsp:rsid wsp:val=&quot;0052132B&quot;/&gt;&lt;wsp:rsid wsp:val=&quot;005217F1&quot;/&gt;&lt;wsp:rsid wsp:val=&quot;00521DC4&quot;/&gt;&lt;wsp:rsid wsp:val=&quot;00521EC4&quot;/&gt;&lt;wsp:rsid wsp:val=&quot;0052253C&quot;/&gt;&lt;wsp:rsid wsp:val=&quot;00522688&quot;/&gt;&lt;wsp:rsid wsp:val=&quot;00522804&quot;/&gt;&lt;wsp:rsid wsp:val=&quot;00522A82&quot;/&gt;&lt;wsp:rsid wsp:val=&quot;00522FB4&quot;/&gt;&lt;wsp:rsid wsp:val=&quot;00523487&quot;/&gt;&lt;wsp:rsid wsp:val=&quot;005238EC&quot;/&gt;&lt;wsp:rsid wsp:val=&quot;00523D71&quot;/&gt;&lt;wsp:rsid wsp:val=&quot;00523DA4&quot;/&gt;&lt;wsp:rsid wsp:val=&quot;00523EED&quot;/&gt;&lt;wsp:rsid wsp:val=&quot;00523FBF&quot;/&gt;&lt;wsp:rsid wsp:val=&quot;0052442B&quot;/&gt;&lt;wsp:rsid wsp:val=&quot;005245AE&quot;/&gt;&lt;wsp:rsid wsp:val=&quot;005245C6&quot;/&gt;&lt;wsp:rsid wsp:val=&quot;0052478D&quot;/&gt;&lt;wsp:rsid wsp:val=&quot;005247D8&quot;/&gt;&lt;wsp:rsid wsp:val=&quot;00524D49&quot;/&gt;&lt;wsp:rsid wsp:val=&quot;005254BF&quot;/&gt;&lt;wsp:rsid wsp:val=&quot;005255AF&quot;/&gt;&lt;wsp:rsid wsp:val=&quot;00525B54&quot;/&gt;&lt;wsp:rsid wsp:val=&quot;00525E90&quot;/&gt;&lt;wsp:rsid wsp:val=&quot;00525FFB&quot;/&gt;&lt;wsp:rsid wsp:val=&quot;005260A9&quot;/&gt;&lt;wsp:rsid wsp:val=&quot;00526109&quot;/&gt;&lt;wsp:rsid wsp:val=&quot;00526E53&quot;/&gt;&lt;wsp:rsid wsp:val=&quot;00526EDD&quot;/&gt;&lt;wsp:rsid wsp:val=&quot;0052703E&quot;/&gt;&lt;wsp:rsid wsp:val=&quot;00527289&quot;/&gt;&lt;wsp:rsid wsp:val=&quot;00527CBA&quot;/&gt;&lt;wsp:rsid wsp:val=&quot;00530412&quot;/&gt;&lt;wsp:rsid wsp:val=&quot;005308A3&quot;/&gt;&lt;wsp:rsid wsp:val=&quot;00530BAD&quot;/&gt;&lt;wsp:rsid wsp:val=&quot;00530D07&quot;/&gt;&lt;wsp:rsid wsp:val=&quot;005314D2&quot;/&gt;&lt;wsp:rsid wsp:val=&quot;00531A24&quot;/&gt;&lt;wsp:rsid wsp:val=&quot;00532160&quot;/&gt;&lt;wsp:rsid wsp:val=&quot;0053238B&quot;/&gt;&lt;wsp:rsid wsp:val=&quot;00532486&quot;/&gt;&lt;wsp:rsid wsp:val=&quot;005324E5&quot;/&gt;&lt;wsp:rsid wsp:val=&quot;005329A8&quot;/&gt;&lt;wsp:rsid wsp:val=&quot;00532B2A&quot;/&gt;&lt;wsp:rsid wsp:val=&quot;00532F0D&quot;/&gt;&lt;wsp:rsid wsp:val=&quot;0053335A&quot;/&gt;&lt;wsp:rsid wsp:val=&quot;005335C8&quot;/&gt;&lt;wsp:rsid wsp:val=&quot;00533850&quot;/&gt;&lt;wsp:rsid wsp:val=&quot;00533D2B&quot;/&gt;&lt;wsp:rsid wsp:val=&quot;00533E8C&quot;/&gt;&lt;wsp:rsid wsp:val=&quot;00533F94&quot;/&gt;&lt;wsp:rsid wsp:val=&quot;0053419B&quot;/&gt;&lt;wsp:rsid wsp:val=&quot;005348E7&quot;/&gt;&lt;wsp:rsid wsp:val=&quot;00534921&quot;/&gt;&lt;wsp:rsid wsp:val=&quot;00535204&quot;/&gt;&lt;wsp:rsid wsp:val=&quot;00535364&quot;/&gt;&lt;wsp:rsid wsp:val=&quot;00535D15&quot;/&gt;&lt;wsp:rsid wsp:val=&quot;00535E04&quot;/&gt;&lt;wsp:rsid wsp:val=&quot;005367F3&quot;/&gt;&lt;wsp:rsid wsp:val=&quot;005369FC&quot;/&gt;&lt;wsp:rsid wsp:val=&quot;00536BEA&quot;/&gt;&lt;wsp:rsid wsp:val=&quot;0053739E&quot;/&gt;&lt;wsp:rsid wsp:val=&quot;00537593&quot;/&gt;&lt;wsp:rsid wsp:val=&quot;005376AC&quot;/&gt;&lt;wsp:rsid wsp:val=&quot;00537A5E&quot;/&gt;&lt;wsp:rsid wsp:val=&quot;005401B7&quot;/&gt;&lt;wsp:rsid wsp:val=&quot;00540586&quot;/&gt;&lt;wsp:rsid wsp:val=&quot;00540626&quot;/&gt;&lt;wsp:rsid wsp:val=&quot;00540BBF&quot;/&gt;&lt;wsp:rsid wsp:val=&quot;00540BE8&quot;/&gt;&lt;wsp:rsid wsp:val=&quot;00540CAE&quot;/&gt;&lt;wsp:rsid wsp:val=&quot;00541043&quot;/&gt;&lt;wsp:rsid wsp:val=&quot;00541503&quot;/&gt;&lt;wsp:rsid wsp:val=&quot;00541761&quot;/&gt;&lt;wsp:rsid wsp:val=&quot;00542050&quot;/&gt;&lt;wsp:rsid wsp:val=&quot;00542548&quot;/&gt;&lt;wsp:rsid wsp:val=&quot;00542876&quot;/&gt;&lt;wsp:rsid wsp:val=&quot;00542B60&quot;/&gt;&lt;wsp:rsid wsp:val=&quot;00542BD8&quot;/&gt;&lt;wsp:rsid wsp:val=&quot;00542D44&quot;/&gt;&lt;wsp:rsid wsp:val=&quot;00542E9C&quot;/&gt;&lt;wsp:rsid wsp:val=&quot;00543459&quot;/&gt;&lt;wsp:rsid wsp:val=&quot;00543D53&quot;/&gt;&lt;wsp:rsid wsp:val=&quot;00544120&quot;/&gt;&lt;wsp:rsid wsp:val=&quot;00544895&quot;/&gt;&lt;wsp:rsid wsp:val=&quot;005449D5&quot;/&gt;&lt;wsp:rsid wsp:val=&quot;00545012&quot;/&gt;&lt;wsp:rsid wsp:val=&quot;005454FC&quot;/&gt;&lt;wsp:rsid wsp:val=&quot;0054566F&quot;/&gt;&lt;wsp:rsid wsp:val=&quot;00545D06&quot;/&gt;&lt;wsp:rsid wsp:val=&quot;005463E8&quot;/&gt;&lt;wsp:rsid wsp:val=&quot;0054694F&quot;/&gt;&lt;wsp:rsid wsp:val=&quot;0054697A&quot;/&gt;&lt;wsp:rsid wsp:val=&quot;00546AFD&quot;/&gt;&lt;wsp:rsid wsp:val=&quot;005470B2&quot;/&gt;&lt;wsp:rsid wsp:val=&quot;005470DB&quot;/&gt;&lt;wsp:rsid wsp:val=&quot;00547106&quot;/&gt;&lt;wsp:rsid wsp:val=&quot;00547118&quot;/&gt;&lt;wsp:rsid wsp:val=&quot;00547431&quot;/&gt;&lt;wsp:rsid wsp:val=&quot;00550205&quot;/&gt;&lt;wsp:rsid wsp:val=&quot;005505DC&quot;/&gt;&lt;wsp:rsid wsp:val=&quot;0055192F&quot;/&gt;&lt;wsp:rsid wsp:val=&quot;00551A6E&quot;/&gt;&lt;wsp:rsid wsp:val=&quot;00551D09&quot;/&gt;&lt;wsp:rsid wsp:val=&quot;00552BB8&quot;/&gt;&lt;wsp:rsid wsp:val=&quot;0055306C&quot;/&gt;&lt;wsp:rsid wsp:val=&quot;00553144&quot;/&gt;&lt;wsp:rsid wsp:val=&quot;0055338B&quot;/&gt;&lt;wsp:rsid wsp:val=&quot;00553604&quot;/&gt;&lt;wsp:rsid wsp:val=&quot;0055385F&quot;/&gt;&lt;wsp:rsid wsp:val=&quot;005538D9&quot;/&gt;&lt;wsp:rsid wsp:val=&quot;00553D3E&quot;/&gt;&lt;wsp:rsid wsp:val=&quot;00553EE3&quot;/&gt;&lt;wsp:rsid wsp:val=&quot;00554580&quot;/&gt;&lt;wsp:rsid wsp:val=&quot;00555624&quot;/&gt;&lt;wsp:rsid wsp:val=&quot;00555778&quot;/&gt;&lt;wsp:rsid wsp:val=&quot;00555EC6&quot;/&gt;&lt;wsp:rsid wsp:val=&quot;00555F65&quot;/&gt;&lt;wsp:rsid wsp:val=&quot;00555F66&quot;/&gt;&lt;wsp:rsid wsp:val=&quot;0055620C&quot;/&gt;&lt;wsp:rsid wsp:val=&quot;005568E2&quot;/&gt;&lt;wsp:rsid wsp:val=&quot;0055690E&quot;/&gt;&lt;wsp:rsid wsp:val=&quot;00556A1F&quot;/&gt;&lt;wsp:rsid wsp:val=&quot;00556F2D&quot;/&gt;&lt;wsp:rsid wsp:val=&quot;00557440&quot;/&gt;&lt;wsp:rsid wsp:val=&quot;0055764E&quot;/&gt;&lt;wsp:rsid wsp:val=&quot;0055768F&quot;/&gt;&lt;wsp:rsid wsp:val=&quot;005576C2&quot;/&gt;&lt;wsp:rsid wsp:val=&quot;00557B28&quot;/&gt;&lt;wsp:rsid wsp:val=&quot;00557C49&quot;/&gt;&lt;wsp:rsid wsp:val=&quot;0056031D&quot;/&gt;&lt;wsp:rsid wsp:val=&quot;00560FA8&quot;/&gt;&lt;wsp:rsid wsp:val=&quot;005613BC&quot;/&gt;&lt;wsp:rsid wsp:val=&quot;005615A8&quot;/&gt;&lt;wsp:rsid wsp:val=&quot;00561679&quot;/&gt;&lt;wsp:rsid wsp:val=&quot;00561A9F&quot;/&gt;&lt;wsp:rsid wsp:val=&quot;00561DED&quot;/&gt;&lt;wsp:rsid wsp:val=&quot;0056207D&quot;/&gt;&lt;wsp:rsid wsp:val=&quot;00562272&quot;/&gt;&lt;wsp:rsid wsp:val=&quot;00562A2D&quot;/&gt;&lt;wsp:rsid wsp:val=&quot;00562DC4&quot;/&gt;&lt;wsp:rsid wsp:val=&quot;005636B1&quot;/&gt;&lt;wsp:rsid wsp:val=&quot;0056395C&quot;/&gt;&lt;wsp:rsid wsp:val=&quot;00565155&quot;/&gt;&lt;wsp:rsid wsp:val=&quot;00565317&quot;/&gt;&lt;wsp:rsid wsp:val=&quot;00565367&quot;/&gt;&lt;wsp:rsid wsp:val=&quot;00566368&quot;/&gt;&lt;wsp:rsid wsp:val=&quot;005672F9&quot;/&gt;&lt;wsp:rsid wsp:val=&quot;00567EE4&quot;/&gt;&lt;wsp:rsid wsp:val=&quot;00570032&quot;/&gt;&lt;wsp:rsid wsp:val=&quot;0057047D&quot;/&gt;&lt;wsp:rsid wsp:val=&quot;0057049E&quot;/&gt;&lt;wsp:rsid wsp:val=&quot;00570564&quot;/&gt;&lt;wsp:rsid wsp:val=&quot;00570605&quot;/&gt;&lt;wsp:rsid wsp:val=&quot;005708EC&quot;/&gt;&lt;wsp:rsid wsp:val=&quot;00570F63&quot;/&gt;&lt;wsp:rsid wsp:val=&quot;00571270&quot;/&gt;&lt;wsp:rsid wsp:val=&quot;005713CC&quot;/&gt;&lt;wsp:rsid wsp:val=&quot;00571754&quot;/&gt;&lt;wsp:rsid wsp:val=&quot;0057188B&quot;/&gt;&lt;wsp:rsid wsp:val=&quot;00571BC6&quot;/&gt;&lt;wsp:rsid wsp:val=&quot;00571D1F&quot;/&gt;&lt;wsp:rsid wsp:val=&quot;00571D7A&quot;/&gt;&lt;wsp:rsid wsp:val=&quot;00571E3F&quot;/&gt;&lt;wsp:rsid wsp:val=&quot;00571E5F&quot;/&gt;&lt;wsp:rsid wsp:val=&quot;00571F49&quot;/&gt;&lt;wsp:rsid wsp:val=&quot;00572056&quot;/&gt;&lt;wsp:rsid wsp:val=&quot;005723B6&quot;/&gt;&lt;wsp:rsid wsp:val=&quot;00572832&quot;/&gt;&lt;wsp:rsid wsp:val=&quot;00572B81&quot;/&gt;&lt;wsp:rsid wsp:val=&quot;00572F15&quot;/&gt;&lt;wsp:rsid wsp:val=&quot;00573188&quot;/&gt;&lt;wsp:rsid wsp:val=&quot;005732BD&quot;/&gt;&lt;wsp:rsid wsp:val=&quot;005732EA&quot;/&gt;&lt;wsp:rsid wsp:val=&quot;00573331&quot;/&gt;&lt;wsp:rsid wsp:val=&quot;005739FB&quot;/&gt;&lt;wsp:rsid wsp:val=&quot;00573B41&quot;/&gt;&lt;wsp:rsid wsp:val=&quot;00573F1A&quot;/&gt;&lt;wsp:rsid wsp:val=&quot;005745F8&quot;/&gt;&lt;wsp:rsid wsp:val=&quot;0057470C&quot;/&gt;&lt;wsp:rsid wsp:val=&quot;00574866&quot;/&gt;&lt;wsp:rsid wsp:val=&quot;00574B0F&quot;/&gt;&lt;wsp:rsid wsp:val=&quot;00574EE5&quot;/&gt;&lt;wsp:rsid wsp:val=&quot;0057658C&quot;/&gt;&lt;wsp:rsid wsp:val=&quot;00576ACB&quot;/&gt;&lt;wsp:rsid wsp:val=&quot;00576BF4&quot;/&gt;&lt;wsp:rsid wsp:val=&quot;00576E03&quot;/&gt;&lt;wsp:rsid wsp:val=&quot;005770F1&quot;/&gt;&lt;wsp:rsid wsp:val=&quot;0057714E&quot;/&gt;&lt;wsp:rsid wsp:val=&quot;00577559&quot;/&gt;&lt;wsp:rsid wsp:val=&quot;00577699&quot;/&gt;&lt;wsp:rsid wsp:val=&quot;00577EBD&quot;/&gt;&lt;wsp:rsid wsp:val=&quot;00577F10&quot;/&gt;&lt;wsp:rsid wsp:val=&quot;00580790&quot;/&gt;&lt;wsp:rsid wsp:val=&quot;00581446&quot;/&gt;&lt;wsp:rsid wsp:val=&quot;00581A52&quot;/&gt;&lt;wsp:rsid wsp:val=&quot;00581B3D&quot;/&gt;&lt;wsp:rsid wsp:val=&quot;00581EC4&quot;/&gt;&lt;wsp:rsid wsp:val=&quot;00582109&quot;/&gt;&lt;wsp:rsid wsp:val=&quot;00582153&quot;/&gt;&lt;wsp:rsid wsp:val=&quot;005824B7&quot;/&gt;&lt;wsp:rsid wsp:val=&quot;00582F4D&quot;/&gt;&lt;wsp:rsid wsp:val=&quot;00582FF3&quot;/&gt;&lt;wsp:rsid wsp:val=&quot;00583296&quot;/&gt;&lt;wsp:rsid wsp:val=&quot;0058336C&quot;/&gt;&lt;wsp:rsid wsp:val=&quot;005839B5&quot;/&gt;&lt;wsp:rsid wsp:val=&quot;005839C0&quot;/&gt;&lt;wsp:rsid wsp:val=&quot;00583C7E&quot;/&gt;&lt;wsp:rsid wsp:val=&quot;005842BF&quot;/&gt;&lt;wsp:rsid wsp:val=&quot;005845BE&quot;/&gt;&lt;wsp:rsid wsp:val=&quot;005847DF&quot;/&gt;&lt;wsp:rsid wsp:val=&quot;00584A10&quot;/&gt;&lt;wsp:rsid wsp:val=&quot;00584EB7&quot;/&gt;&lt;wsp:rsid wsp:val=&quot;0058558C&quot;/&gt;&lt;wsp:rsid wsp:val=&quot;00585592&quot;/&gt;&lt;wsp:rsid wsp:val=&quot;005868A0&quot;/&gt;&lt;wsp:rsid wsp:val=&quot;00586A23&quot;/&gt;&lt;wsp:rsid wsp:val=&quot;0058793B&quot;/&gt;&lt;wsp:rsid wsp:val=&quot;0059029B&quot;/&gt;&lt;wsp:rsid wsp:val=&quot;005902CD&quot;/&gt;&lt;wsp:rsid wsp:val=&quot;00590911&quot;/&gt;&lt;wsp:rsid wsp:val=&quot;00590AE1&quot;/&gt;&lt;wsp:rsid wsp:val=&quot;00590BAF&quot;/&gt;&lt;wsp:rsid wsp:val=&quot;00590BB7&quot;/&gt;&lt;wsp:rsid wsp:val=&quot;00590E01&quot;/&gt;&lt;wsp:rsid wsp:val=&quot;00591205&quot;/&gt;&lt;wsp:rsid wsp:val=&quot;005912F3&quot;/&gt;&lt;wsp:rsid wsp:val=&quot;005916F8&quot;/&gt;&lt;wsp:rsid wsp:val=&quot;005919FD&quot;/&gt;&lt;wsp:rsid wsp:val=&quot;00591DF6&quot;/&gt;&lt;wsp:rsid wsp:val=&quot;00591DFA&quot;/&gt;&lt;wsp:rsid wsp:val=&quot;00591F1A&quot;/&gt;&lt;wsp:rsid wsp:val=&quot;00591F7F&quot;/&gt;&lt;wsp:rsid wsp:val=&quot;00592164&quot;/&gt;&lt;wsp:rsid wsp:val=&quot;00592648&quot;/&gt;&lt;wsp:rsid wsp:val=&quot;005926E1&quot;/&gt;&lt;wsp:rsid wsp:val=&quot;005928D4&quot;/&gt;&lt;wsp:rsid wsp:val=&quot;00592A64&quot;/&gt;&lt;wsp:rsid wsp:val=&quot;00592AF3&quot;/&gt;&lt;wsp:rsid wsp:val=&quot;00592C7B&quot;/&gt;&lt;wsp:rsid wsp:val=&quot;00592DD6&quot;/&gt;&lt;wsp:rsid wsp:val=&quot;00592E26&quot;/&gt;&lt;wsp:rsid wsp:val=&quot;00593031&quot;/&gt;&lt;wsp:rsid wsp:val=&quot;005931B9&quot;/&gt;&lt;wsp:rsid wsp:val=&quot;00593609&quot;/&gt;&lt;wsp:rsid wsp:val=&quot;00593CE8&quot;/&gt;&lt;wsp:rsid wsp:val=&quot;00593CE9&quot;/&gt;&lt;wsp:rsid wsp:val=&quot;00593F69&quot;/&gt;&lt;wsp:rsid wsp:val=&quot;00594110&quot;/&gt;&lt;wsp:rsid wsp:val=&quot;00594273&quot;/&gt;&lt;wsp:rsid wsp:val=&quot;00594372&quot;/&gt;&lt;wsp:rsid wsp:val=&quot;00594667&quot;/&gt;&lt;wsp:rsid wsp:val=&quot;00594EBD&quot;/&gt;&lt;wsp:rsid wsp:val=&quot;00595156&quot;/&gt;&lt;wsp:rsid wsp:val=&quot;00595C16&quot;/&gt;&lt;wsp:rsid wsp:val=&quot;00595D5A&quot;/&gt;&lt;wsp:rsid wsp:val=&quot;005963B3&quot;/&gt;&lt;wsp:rsid wsp:val=&quot;0059688E&quot;/&gt;&lt;wsp:rsid wsp:val=&quot;005969ED&quot;/&gt;&lt;wsp:rsid wsp:val=&quot;00596DF9&quot;/&gt;&lt;wsp:rsid wsp:val=&quot;00596E70&quot;/&gt;&lt;wsp:rsid wsp:val=&quot;00597124&quot;/&gt;&lt;wsp:rsid wsp:val=&quot;0059756C&quot;/&gt;&lt;wsp:rsid wsp:val=&quot;00597690&quot;/&gt;&lt;wsp:rsid wsp:val=&quot;005A0231&quot;/&gt;&lt;wsp:rsid wsp:val=&quot;005A0669&quot;/&gt;&lt;wsp:rsid wsp:val=&quot;005A0966&quot;/&gt;&lt;wsp:rsid wsp:val=&quot;005A0A0D&quot;/&gt;&lt;wsp:rsid wsp:val=&quot;005A14E9&quot;/&gt;&lt;wsp:rsid wsp:val=&quot;005A1829&quot;/&gt;&lt;wsp:rsid wsp:val=&quot;005A18BC&quot;/&gt;&lt;wsp:rsid wsp:val=&quot;005A2506&quot;/&gt;&lt;wsp:rsid wsp:val=&quot;005A2BCA&quot;/&gt;&lt;wsp:rsid wsp:val=&quot;005A2CAD&quot;/&gt;&lt;wsp:rsid wsp:val=&quot;005A3105&quot;/&gt;&lt;wsp:rsid wsp:val=&quot;005A33B6&quot;/&gt;&lt;wsp:rsid wsp:val=&quot;005A3C70&quot;/&gt;&lt;wsp:rsid wsp:val=&quot;005A3F1B&quot;/&gt;&lt;wsp:rsid wsp:val=&quot;005A45C2&quot;/&gt;&lt;wsp:rsid wsp:val=&quot;005A47A2&quot;/&gt;&lt;wsp:rsid wsp:val=&quot;005A52A5&quot;/&gt;&lt;wsp:rsid wsp:val=&quot;005A5316&quot;/&gt;&lt;wsp:rsid wsp:val=&quot;005A5863&quot;/&gt;&lt;wsp:rsid wsp:val=&quot;005A5C8A&quot;/&gt;&lt;wsp:rsid wsp:val=&quot;005A5FB0&quot;/&gt;&lt;wsp:rsid wsp:val=&quot;005A620B&quot;/&gt;&lt;wsp:rsid wsp:val=&quot;005A6239&quot;/&gt;&lt;wsp:rsid wsp:val=&quot;005A6529&quot;/&gt;&lt;wsp:rsid wsp:val=&quot;005A6600&quot;/&gt;&lt;wsp:rsid wsp:val=&quot;005A6A04&quot;/&gt;&lt;wsp:rsid wsp:val=&quot;005A6CA1&quot;/&gt;&lt;wsp:rsid wsp:val=&quot;005A72AC&quot;/&gt;&lt;wsp:rsid wsp:val=&quot;005A750D&quot;/&gt;&lt;wsp:rsid wsp:val=&quot;005A75BA&quot;/&gt;&lt;wsp:rsid wsp:val=&quot;005A7D99&quot;/&gt;&lt;wsp:rsid wsp:val=&quot;005B013C&quot;/&gt;&lt;wsp:rsid wsp:val=&quot;005B04AD&quot;/&gt;&lt;wsp:rsid wsp:val=&quot;005B081D&quot;/&gt;&lt;wsp:rsid wsp:val=&quot;005B0EBE&quot;/&gt;&lt;wsp:rsid wsp:val=&quot;005B1086&quot;/&gt;&lt;wsp:rsid wsp:val=&quot;005B11F7&quot;/&gt;&lt;wsp:rsid wsp:val=&quot;005B131E&quot;/&gt;&lt;wsp:rsid wsp:val=&quot;005B183A&quot;/&gt;&lt;wsp:rsid wsp:val=&quot;005B185B&quot;/&gt;&lt;wsp:rsid wsp:val=&quot;005B1D53&quot;/&gt;&lt;wsp:rsid wsp:val=&quot;005B1F1D&quot;/&gt;&lt;wsp:rsid wsp:val=&quot;005B1FA9&quot;/&gt;&lt;wsp:rsid wsp:val=&quot;005B2143&quot;/&gt;&lt;wsp:rsid wsp:val=&quot;005B2191&quot;/&gt;&lt;wsp:rsid wsp:val=&quot;005B244A&quot;/&gt;&lt;wsp:rsid wsp:val=&quot;005B25ED&quot;/&gt;&lt;wsp:rsid wsp:val=&quot;005B320A&quot;/&gt;&lt;wsp:rsid wsp:val=&quot;005B3214&quot;/&gt;&lt;wsp:rsid wsp:val=&quot;005B3327&quot;/&gt;&lt;wsp:rsid wsp:val=&quot;005B397B&quot;/&gt;&lt;wsp:rsid wsp:val=&quot;005B3BE3&quot;/&gt;&lt;wsp:rsid wsp:val=&quot;005B4122&quot;/&gt;&lt;wsp:rsid wsp:val=&quot;005B413F&quot;/&gt;&lt;wsp:rsid wsp:val=&quot;005B42EB&quot;/&gt;&lt;wsp:rsid wsp:val=&quot;005B44E7&quot;/&gt;&lt;wsp:rsid wsp:val=&quot;005B45F3&quot;/&gt;&lt;wsp:rsid wsp:val=&quot;005B481E&quot;/&gt;&lt;wsp:rsid wsp:val=&quot;005B485C&quot;/&gt;&lt;wsp:rsid wsp:val=&quot;005B4892&quot;/&gt;&lt;wsp:rsid wsp:val=&quot;005B48F6&quot;/&gt;&lt;wsp:rsid wsp:val=&quot;005B4F08&quot;/&gt;&lt;wsp:rsid wsp:val=&quot;005B522C&quot;/&gt;&lt;wsp:rsid wsp:val=&quot;005B5589&quot;/&gt;&lt;wsp:rsid wsp:val=&quot;005B57A2&quot;/&gt;&lt;wsp:rsid wsp:val=&quot;005B5822&quot;/&gt;&lt;wsp:rsid wsp:val=&quot;005B5B8F&quot;/&gt;&lt;wsp:rsid wsp:val=&quot;005B5F9D&quot;/&gt;&lt;wsp:rsid wsp:val=&quot;005B673C&quot;/&gt;&lt;wsp:rsid wsp:val=&quot;005B6A0A&quot;/&gt;&lt;wsp:rsid wsp:val=&quot;005B74C4&quot;/&gt;&lt;wsp:rsid wsp:val=&quot;005B7A4F&quot;/&gt;&lt;wsp:rsid wsp:val=&quot;005B7C91&quot;/&gt;&lt;wsp:rsid wsp:val=&quot;005C02CF&quot;/&gt;&lt;wsp:rsid wsp:val=&quot;005C02DF&quot;/&gt;&lt;wsp:rsid wsp:val=&quot;005C03F6&quot;/&gt;&lt;wsp:rsid wsp:val=&quot;005C06D2&quot;/&gt;&lt;wsp:rsid wsp:val=&quot;005C08AC&quot;/&gt;&lt;wsp:rsid wsp:val=&quot;005C12D7&quot;/&gt;&lt;wsp:rsid wsp:val=&quot;005C19D6&quot;/&gt;&lt;wsp:rsid wsp:val=&quot;005C1C02&quot;/&gt;&lt;wsp:rsid wsp:val=&quot;005C1C1E&quot;/&gt;&lt;wsp:rsid wsp:val=&quot;005C2151&quot;/&gt;&lt;wsp:rsid wsp:val=&quot;005C21EE&quot;/&gt;&lt;wsp:rsid wsp:val=&quot;005C272C&quot;/&gt;&lt;wsp:rsid wsp:val=&quot;005C2C42&quot;/&gt;&lt;wsp:rsid wsp:val=&quot;005C2C5C&quot;/&gt;&lt;wsp:rsid wsp:val=&quot;005C2EEA&quot;/&gt;&lt;wsp:rsid wsp:val=&quot;005C34B1&quot;/&gt;&lt;wsp:rsid wsp:val=&quot;005C395F&quot;/&gt;&lt;wsp:rsid wsp:val=&quot;005C3978&quot;/&gt;&lt;wsp:rsid wsp:val=&quot;005C3E21&quot;/&gt;&lt;wsp:rsid wsp:val=&quot;005C4186&quot;/&gt;&lt;wsp:rsid wsp:val=&quot;005C435E&quot;/&gt;&lt;wsp:rsid wsp:val=&quot;005C44AC&quot;/&gt;&lt;wsp:rsid wsp:val=&quot;005C45C1&quot;/&gt;&lt;wsp:rsid wsp:val=&quot;005C45D9&quot;/&gt;&lt;wsp:rsid wsp:val=&quot;005C4930&quot;/&gt;&lt;wsp:rsid wsp:val=&quot;005C4978&quot;/&gt;&lt;wsp:rsid wsp:val=&quot;005C4A43&quot;/&gt;&lt;wsp:rsid wsp:val=&quot;005C4D7A&quot;/&gt;&lt;wsp:rsid wsp:val=&quot;005C50FB&quot;/&gt;&lt;wsp:rsid wsp:val=&quot;005C5659&quot;/&gt;&lt;wsp:rsid wsp:val=&quot;005C570F&quot;/&gt;&lt;wsp:rsid wsp:val=&quot;005C5BA8&quot;/&gt;&lt;wsp:rsid wsp:val=&quot;005C600D&quot;/&gt;&lt;wsp:rsid wsp:val=&quot;005C668A&quot;/&gt;&lt;wsp:rsid wsp:val=&quot;005C67B2&quot;/&gt;&lt;wsp:rsid wsp:val=&quot;005C6AB3&quot;/&gt;&lt;wsp:rsid wsp:val=&quot;005C6C39&quot;/&gt;&lt;wsp:rsid wsp:val=&quot;005C6D1C&quot;/&gt;&lt;wsp:rsid wsp:val=&quot;005C6F75&quot;/&gt;&lt;wsp:rsid wsp:val=&quot;005C7013&quot;/&gt;&lt;wsp:rsid wsp:val=&quot;005C712C&quot;/&gt;&lt;wsp:rsid wsp:val=&quot;005C773C&quot;/&gt;&lt;wsp:rsid wsp:val=&quot;005C789A&quot;/&gt;&lt;wsp:rsid wsp:val=&quot;005C7F12&quot;/&gt;&lt;wsp:rsid wsp:val=&quot;005C7F96&quot;/&gt;&lt;wsp:rsid wsp:val=&quot;005D00AC&quot;/&gt;&lt;wsp:rsid wsp:val=&quot;005D021A&quot;/&gt;&lt;wsp:rsid wsp:val=&quot;005D0682&quot;/&gt;&lt;wsp:rsid wsp:val=&quot;005D0A5B&quot;/&gt;&lt;wsp:rsid wsp:val=&quot;005D0AC2&quot;/&gt;&lt;wsp:rsid wsp:val=&quot;005D10A8&quot;/&gt;&lt;wsp:rsid wsp:val=&quot;005D11F2&quot;/&gt;&lt;wsp:rsid wsp:val=&quot;005D1643&quot;/&gt;&lt;wsp:rsid wsp:val=&quot;005D188E&quot;/&gt;&lt;wsp:rsid wsp:val=&quot;005D18E3&quot;/&gt;&lt;wsp:rsid wsp:val=&quot;005D1CB5&quot;/&gt;&lt;wsp:rsid wsp:val=&quot;005D22D8&quot;/&gt;&lt;wsp:rsid wsp:val=&quot;005D2741&quot;/&gt;&lt;wsp:rsid wsp:val=&quot;005D288B&quot;/&gt;&lt;wsp:rsid wsp:val=&quot;005D28B1&quot;/&gt;&lt;wsp:rsid wsp:val=&quot;005D291C&quot;/&gt;&lt;wsp:rsid wsp:val=&quot;005D2A30&quot;/&gt;&lt;wsp:rsid wsp:val=&quot;005D2B9F&quot;/&gt;&lt;wsp:rsid wsp:val=&quot;005D2F6C&quot;/&gt;&lt;wsp:rsid wsp:val=&quot;005D3491&quot;/&gt;&lt;wsp:rsid wsp:val=&quot;005D3C06&quot;/&gt;&lt;wsp:rsid wsp:val=&quot;005D3F4B&quot;/&gt;&lt;wsp:rsid wsp:val=&quot;005D41A4&quot;/&gt;&lt;wsp:rsid wsp:val=&quot;005D4AF4&quot;/&gt;&lt;wsp:rsid wsp:val=&quot;005D4B83&quot;/&gt;&lt;wsp:rsid wsp:val=&quot;005D4BAC&quot;/&gt;&lt;wsp:rsid wsp:val=&quot;005D4CCB&quot;/&gt;&lt;wsp:rsid wsp:val=&quot;005D51AD&quot;/&gt;&lt;wsp:rsid wsp:val=&quot;005D5B11&quot;/&gt;&lt;wsp:rsid wsp:val=&quot;005D5E04&quot;/&gt;&lt;wsp:rsid wsp:val=&quot;005D6865&quot;/&gt;&lt;wsp:rsid wsp:val=&quot;005D68DC&quot;/&gt;&lt;wsp:rsid wsp:val=&quot;005D69CD&quot;/&gt;&lt;wsp:rsid wsp:val=&quot;005D6BF7&quot;/&gt;&lt;wsp:rsid wsp:val=&quot;005D6D08&quot;/&gt;&lt;wsp:rsid wsp:val=&quot;005D6F58&quot;/&gt;&lt;wsp:rsid wsp:val=&quot;005D72C6&quot;/&gt;&lt;wsp:rsid wsp:val=&quot;005D7728&quot;/&gt;&lt;wsp:rsid wsp:val=&quot;005D7B70&quot;/&gt;&lt;wsp:rsid wsp:val=&quot;005D7CF2&quot;/&gt;&lt;wsp:rsid wsp:val=&quot;005E02A5&quot;/&gt;&lt;wsp:rsid wsp:val=&quot;005E066D&quot;/&gt;&lt;wsp:rsid wsp:val=&quot;005E07B0&quot;/&gt;&lt;wsp:rsid wsp:val=&quot;005E08D6&quot;/&gt;&lt;wsp:rsid wsp:val=&quot;005E0C87&quot;/&gt;&lt;wsp:rsid wsp:val=&quot;005E0CB6&quot;/&gt;&lt;wsp:rsid wsp:val=&quot;005E0FB5&quot;/&gt;&lt;wsp:rsid wsp:val=&quot;005E11CF&quot;/&gt;&lt;wsp:rsid wsp:val=&quot;005E12AB&quot;/&gt;&lt;wsp:rsid wsp:val=&quot;005E12B1&quot;/&gt;&lt;wsp:rsid wsp:val=&quot;005E1470&quot;/&gt;&lt;wsp:rsid wsp:val=&quot;005E149E&quot;/&gt;&lt;wsp:rsid wsp:val=&quot;005E1ECD&quot;/&gt;&lt;wsp:rsid wsp:val=&quot;005E20B7&quot;/&gt;&lt;wsp:rsid wsp:val=&quot;005E21CD&quot;/&gt;&lt;wsp:rsid wsp:val=&quot;005E29AA&quot;/&gt;&lt;wsp:rsid wsp:val=&quot;005E2A00&quot;/&gt;&lt;wsp:rsid wsp:val=&quot;005E39B2&quot;/&gt;&lt;wsp:rsid wsp:val=&quot;005E3CC1&quot;/&gt;&lt;wsp:rsid wsp:val=&quot;005E3F77&quot;/&gt;&lt;wsp:rsid wsp:val=&quot;005E44FA&quot;/&gt;&lt;wsp:rsid wsp:val=&quot;005E4AD3&quot;/&gt;&lt;wsp:rsid wsp:val=&quot;005E4FC9&quot;/&gt;&lt;wsp:rsid wsp:val=&quot;005E518D&quot;/&gt;&lt;wsp:rsid wsp:val=&quot;005E51FE&quot;/&gt;&lt;wsp:rsid wsp:val=&quot;005E541D&quot;/&gt;&lt;wsp:rsid wsp:val=&quot;005E6026&quot;/&gt;&lt;wsp:rsid wsp:val=&quot;005E6678&quot;/&gt;&lt;wsp:rsid wsp:val=&quot;005E6805&quot;/&gt;&lt;wsp:rsid wsp:val=&quot;005E6B35&quot;/&gt;&lt;wsp:rsid wsp:val=&quot;005E6D87&quot;/&gt;&lt;wsp:rsid wsp:val=&quot;005E718A&quot;/&gt;&lt;wsp:rsid wsp:val=&quot;005E7278&quot;/&gt;&lt;wsp:rsid wsp:val=&quot;005E73B5&quot;/&gt;&lt;wsp:rsid wsp:val=&quot;005E7724&quot;/&gt;&lt;wsp:rsid wsp:val=&quot;005E7753&quot;/&gt;&lt;wsp:rsid wsp:val=&quot;005E780A&quot;/&gt;&lt;wsp:rsid wsp:val=&quot;005E7D5E&quot;/&gt;&lt;wsp:rsid wsp:val=&quot;005E7F26&quot;/&gt;&lt;wsp:rsid wsp:val=&quot;005E7F7D&quot;/&gt;&lt;wsp:rsid wsp:val=&quot;005E7FCC&quot;/&gt;&lt;wsp:rsid wsp:val=&quot;005F0579&quot;/&gt;&lt;wsp:rsid wsp:val=&quot;005F0589&quot;/&gt;&lt;wsp:rsid wsp:val=&quot;005F092D&quot;/&gt;&lt;wsp:rsid wsp:val=&quot;005F09C4&quot;/&gt;&lt;wsp:rsid wsp:val=&quot;005F0A2B&quot;/&gt;&lt;wsp:rsid wsp:val=&quot;005F1406&quot;/&gt;&lt;wsp:rsid wsp:val=&quot;005F1444&quot;/&gt;&lt;wsp:rsid wsp:val=&quot;005F19EB&quot;/&gt;&lt;wsp:rsid wsp:val=&quot;005F1DBA&quot;/&gt;&lt;wsp:rsid wsp:val=&quot;005F21C6&quot;/&gt;&lt;wsp:rsid wsp:val=&quot;005F2240&quot;/&gt;&lt;wsp:rsid wsp:val=&quot;005F2482&quot;/&gt;&lt;wsp:rsid wsp:val=&quot;005F2843&quot;/&gt;&lt;wsp:rsid wsp:val=&quot;005F3A48&quot;/&gt;&lt;wsp:rsid wsp:val=&quot;005F3B32&quot;/&gt;&lt;wsp:rsid wsp:val=&quot;005F3CE2&quot;/&gt;&lt;wsp:rsid wsp:val=&quot;005F4064&quot;/&gt;&lt;wsp:rsid wsp:val=&quot;005F4875&quot;/&gt;&lt;wsp:rsid wsp:val=&quot;005F531B&quot;/&gt;&lt;wsp:rsid wsp:val=&quot;005F5794&quot;/&gt;&lt;wsp:rsid wsp:val=&quot;005F5E3B&quot;/&gt;&lt;wsp:rsid wsp:val=&quot;005F66D2&quot;/&gt;&lt;wsp:rsid wsp:val=&quot;005F6859&quot;/&gt;&lt;wsp:rsid wsp:val=&quot;005F6AC9&quot;/&gt;&lt;wsp:rsid wsp:val=&quot;005F6B62&quot;/&gt;&lt;wsp:rsid wsp:val=&quot;005F714D&quot;/&gt;&lt;wsp:rsid wsp:val=&quot;005F7208&quot;/&gt;&lt;wsp:rsid wsp:val=&quot;005F7655&quot;/&gt;&lt;wsp:rsid wsp:val=&quot;005F78C9&quot;/&gt;&lt;wsp:rsid wsp:val=&quot;005F78DB&quot;/&gt;&lt;wsp:rsid wsp:val=&quot;005F79CA&quot;/&gt;&lt;wsp:rsid wsp:val=&quot;005F7A86&quot;/&gt;&lt;wsp:rsid wsp:val=&quot;005F7CC1&quot;/&gt;&lt;wsp:rsid wsp:val=&quot;00600930&quot;/&gt;&lt;wsp:rsid wsp:val=&quot;00600950&quot;/&gt;&lt;wsp:rsid wsp:val=&quot;00600BCC&quot;/&gt;&lt;wsp:rsid wsp:val=&quot;006013E0&quot;/&gt;&lt;wsp:rsid wsp:val=&quot;006016CC&quot;/&gt;&lt;wsp:rsid wsp:val=&quot;006017A0&quot;/&gt;&lt;wsp:rsid wsp:val=&quot;00601803&quot;/&gt;&lt;wsp:rsid wsp:val=&quot;00601E47&quot;/&gt;&lt;wsp:rsid wsp:val=&quot;0060215F&quot;/&gt;&lt;wsp:rsid wsp:val=&quot;00602662&quot;/&gt;&lt;wsp:rsid wsp:val=&quot;00602692&quot;/&gt;&lt;wsp:rsid wsp:val=&quot;00602DBF&quot;/&gt;&lt;wsp:rsid wsp:val=&quot;0060343D&quot;/&gt;&lt;wsp:rsid wsp:val=&quot;00603443&quot;/&gt;&lt;wsp:rsid wsp:val=&quot;0060380F&quot;/&gt;&lt;wsp:rsid wsp:val=&quot;006039BA&quot;/&gt;&lt;wsp:rsid wsp:val=&quot;00603D72&quot;/&gt;&lt;wsp:rsid wsp:val=&quot;006041F4&quot;/&gt;&lt;wsp:rsid wsp:val=&quot;00604A70&quot;/&gt;&lt;wsp:rsid wsp:val=&quot;00604F77&quot;/&gt;&lt;wsp:rsid wsp:val=&quot;00605312&quot;/&gt;&lt;wsp:rsid wsp:val=&quot;006053FA&quot;/&gt;&lt;wsp:rsid wsp:val=&quot;00605497&quot;/&gt;&lt;wsp:rsid wsp:val=&quot;0060579C&quot;/&gt;&lt;wsp:rsid wsp:val=&quot;0060599D&quot;/&gt;&lt;wsp:rsid wsp:val=&quot;00605AC6&quot;/&gt;&lt;wsp:rsid wsp:val=&quot;00605F21&quot;/&gt;&lt;wsp:rsid wsp:val=&quot;00605FD5&quot;/&gt;&lt;wsp:rsid wsp:val=&quot;00606495&quot;/&gt;&lt;wsp:rsid wsp:val=&quot;0060692A&quot;/&gt;&lt;wsp:rsid wsp:val=&quot;00606C67&quot;/&gt;&lt;wsp:rsid wsp:val=&quot;00606D91&quot;/&gt;&lt;wsp:rsid wsp:val=&quot;00606EE9&quot;/&gt;&lt;wsp:rsid wsp:val=&quot;006071F8&quot;/&gt;&lt;wsp:rsid wsp:val=&quot;0060750E&quot;/&gt;&lt;wsp:rsid wsp:val=&quot;0060760E&quot;/&gt;&lt;wsp:rsid wsp:val=&quot;00607D2A&quot;/&gt;&lt;wsp:rsid wsp:val=&quot;006104A0&quot;/&gt;&lt;wsp:rsid wsp:val=&quot;006104C4&quot;/&gt;&lt;wsp:rsid wsp:val=&quot;00610B4F&quot;/&gt;&lt;wsp:rsid wsp:val=&quot;00610B60&quot;/&gt;&lt;wsp:rsid wsp:val=&quot;00610DED&quot;/&gt;&lt;wsp:rsid wsp:val=&quot;006110B1&quot;/&gt;&lt;wsp:rsid wsp:val=&quot;006117EC&quot;/&gt;&lt;wsp:rsid wsp:val=&quot;006119F6&quot;/&gt;&lt;wsp:rsid wsp:val=&quot;00611AD8&quot;/&gt;&lt;wsp:rsid wsp:val=&quot;00611BE2&quot;/&gt;&lt;wsp:rsid wsp:val=&quot;00611D1C&quot;/&gt;&lt;wsp:rsid wsp:val=&quot;00611FBB&quot;/&gt;&lt;wsp:rsid wsp:val=&quot;0061247F&quot;/&gt;&lt;wsp:rsid wsp:val=&quot;00612698&quot;/&gt;&lt;wsp:rsid wsp:val=&quot;00612D04&quot;/&gt;&lt;wsp:rsid wsp:val=&quot;00612D9D&quot;/&gt;&lt;wsp:rsid wsp:val=&quot;00612F3C&quot;/&gt;&lt;wsp:rsid wsp:val=&quot;00613568&quot;/&gt;&lt;wsp:rsid wsp:val=&quot;00613A58&quot;/&gt;&lt;wsp:rsid wsp:val=&quot;00614164&quot;/&gt;&lt;wsp:rsid wsp:val=&quot;00614DB8&quot;/&gt;&lt;wsp:rsid wsp:val=&quot;0061523E&quot;/&gt;&lt;wsp:rsid wsp:val=&quot;006155C4&quot;/&gt;&lt;wsp:rsid wsp:val=&quot;006157DD&quot;/&gt;&lt;wsp:rsid wsp:val=&quot;00615934&quot;/&gt;&lt;wsp:rsid wsp:val=&quot;0061673B&quot;/&gt;&lt;wsp:rsid wsp:val=&quot;0061748C&quot;/&gt;&lt;wsp:rsid wsp:val=&quot;006175A1&quot;/&gt;&lt;wsp:rsid wsp:val=&quot;00617905&quot;/&gt;&lt;wsp:rsid wsp:val=&quot;0062018E&quot;/&gt;&lt;wsp:rsid wsp:val=&quot;0062025C&quot;/&gt;&lt;wsp:rsid wsp:val=&quot;0062098F&quot;/&gt;&lt;wsp:rsid wsp:val=&quot;006209F6&quot;/&gt;&lt;wsp:rsid wsp:val=&quot;00620B1B&quot;/&gt;&lt;wsp:rsid wsp:val=&quot;0062139E&quot;/&gt;&lt;wsp:rsid wsp:val=&quot;00621405&quot;/&gt;&lt;wsp:rsid wsp:val=&quot;00621469&quot;/&gt;&lt;wsp:rsid wsp:val=&quot;006217A3&quot;/&gt;&lt;wsp:rsid wsp:val=&quot;00621D04&quot;/&gt;&lt;wsp:rsid wsp:val=&quot;00621EF6&quot;/&gt;&lt;wsp:rsid wsp:val=&quot;0062218E&quot;/&gt;&lt;wsp:rsid wsp:val=&quot;006223C5&quot;/&gt;&lt;wsp:rsid wsp:val=&quot;006226D9&quot;/&gt;&lt;wsp:rsid wsp:val=&quot;006227A3&quot;/&gt;&lt;wsp:rsid wsp:val=&quot;00622857&quot;/&gt;&lt;wsp:rsid wsp:val=&quot;00622DDC&quot;/&gt;&lt;wsp:rsid wsp:val=&quot;00622F55&quot;/&gt;&lt;wsp:rsid wsp:val=&quot;0062392F&quot;/&gt;&lt;wsp:rsid wsp:val=&quot;00623AEA&quot;/&gt;&lt;wsp:rsid wsp:val=&quot;00623EF3&quot;/&gt;&lt;wsp:rsid wsp:val=&quot;0062407A&quot;/&gt;&lt;wsp:rsid wsp:val=&quot;006242F0&quot;/&gt;&lt;wsp:rsid wsp:val=&quot;006243EC&quot;/&gt;&lt;wsp:rsid wsp:val=&quot;006245DD&quot;/&gt;&lt;wsp:rsid wsp:val=&quot;00624D61&quot;/&gt;&lt;wsp:rsid wsp:val=&quot;00624FA7&quot;/&gt;&lt;wsp:rsid wsp:val=&quot;0062577F&quot;/&gt;&lt;wsp:rsid wsp:val=&quot;006259EC&quot;/&gt;&lt;wsp:rsid wsp:val=&quot;00625B1E&quot;/&gt;&lt;wsp:rsid wsp:val=&quot;00625CD1&quot;/&gt;&lt;wsp:rsid wsp:val=&quot;0062612E&quot;/&gt;&lt;wsp:rsid wsp:val=&quot;0062615D&quot;/&gt;&lt;wsp:rsid wsp:val=&quot;00626276&quot;/&gt;&lt;wsp:rsid wsp:val=&quot;006264D5&quot;/&gt;&lt;wsp:rsid wsp:val=&quot;0062667D&quot;/&gt;&lt;wsp:rsid wsp:val=&quot;006267E9&quot;/&gt;&lt;wsp:rsid wsp:val=&quot;00626876&quot;/&gt;&lt;wsp:rsid wsp:val=&quot;00626F72&quot;/&gt;&lt;wsp:rsid wsp:val=&quot;00626FE3&quot;/&gt;&lt;wsp:rsid wsp:val=&quot;006270E2&quot;/&gt;&lt;wsp:rsid wsp:val=&quot;0062713D&quot;/&gt;&lt;wsp:rsid wsp:val=&quot;00627332&quot;/&gt;&lt;wsp:rsid wsp:val=&quot;006278BC&quot;/&gt;&lt;wsp:rsid wsp:val=&quot;00627A09&quot;/&gt;&lt;wsp:rsid wsp:val=&quot;00627DE4&quot;/&gt;&lt;wsp:rsid wsp:val=&quot;006300A5&quot;/&gt;&lt;wsp:rsid wsp:val=&quot;0063069B&quot;/&gt;&lt;wsp:rsid wsp:val=&quot;00630CE0&quot;/&gt;&lt;wsp:rsid wsp:val=&quot;00631241&quot;/&gt;&lt;wsp:rsid wsp:val=&quot;00631489&quot;/&gt;&lt;wsp:rsid wsp:val=&quot;00631D68&quot;/&gt;&lt;wsp:rsid wsp:val=&quot;0063235E&quot;/&gt;&lt;wsp:rsid wsp:val=&quot;00632421&quot;/&gt;&lt;wsp:rsid wsp:val=&quot;00632AE3&quot;/&gt;&lt;wsp:rsid wsp:val=&quot;00632D4E&quot;/&gt;&lt;wsp:rsid wsp:val=&quot;0063345C&quot;/&gt;&lt;wsp:rsid wsp:val=&quot;00633EC5&quot;/&gt;&lt;wsp:rsid wsp:val=&quot;00634545&quot;/&gt;&lt;wsp:rsid wsp:val=&quot;00635069&quot;/&gt;&lt;wsp:rsid wsp:val=&quot;006350B5&quot;/&gt;&lt;wsp:rsid wsp:val=&quot;0063528A&quot;/&gt;&lt;wsp:rsid wsp:val=&quot;0063595F&quot;/&gt;&lt;wsp:rsid wsp:val=&quot;0063596B&quot;/&gt;&lt;wsp:rsid wsp:val=&quot;00635AB7&quot;/&gt;&lt;wsp:rsid wsp:val=&quot;00635EFC&quot;/&gt;&lt;wsp:rsid wsp:val=&quot;00635F4D&quot;/&gt;&lt;wsp:rsid wsp:val=&quot;006360FC&quot;/&gt;&lt;wsp:rsid wsp:val=&quot;006363B0&quot;/&gt;&lt;wsp:rsid wsp:val=&quot;0063654F&quot;/&gt;&lt;wsp:rsid wsp:val=&quot;006369F7&quot;/&gt;&lt;wsp:rsid wsp:val=&quot;00636BE0&quot;/&gt;&lt;wsp:rsid wsp:val=&quot;0063749D&quot;/&gt;&lt;wsp:rsid wsp:val=&quot;0063771D&quot;/&gt;&lt;wsp:rsid wsp:val=&quot;0063795F&quot;/&gt;&lt;wsp:rsid wsp:val=&quot;00637F48&quot;/&gt;&lt;wsp:rsid wsp:val=&quot;00640631&quot;/&gt;&lt;wsp:rsid wsp:val=&quot;00640A8C&quot;/&gt;&lt;wsp:rsid wsp:val=&quot;00640D8C&quot;/&gt;&lt;wsp:rsid wsp:val=&quot;00641490&quot;/&gt;&lt;wsp:rsid wsp:val=&quot;0064184F&quot;/&gt;&lt;wsp:rsid wsp:val=&quot;00641B62&quot;/&gt;&lt;wsp:rsid wsp:val=&quot;00641E49&quot;/&gt;&lt;wsp:rsid wsp:val=&quot;006420AF&quot;/&gt;&lt;wsp:rsid wsp:val=&quot;00642223&quot;/&gt;&lt;wsp:rsid wsp:val=&quot;0064262B&quot;/&gt;&lt;wsp:rsid wsp:val=&quot;00642A27&quot;/&gt;&lt;wsp:rsid wsp:val=&quot;00642B8A&quot;/&gt;&lt;wsp:rsid wsp:val=&quot;00642ECC&quot;/&gt;&lt;wsp:rsid wsp:val=&quot;006431C3&quot;/&gt;&lt;wsp:rsid wsp:val=&quot;006431DB&quot;/&gt;&lt;wsp:rsid wsp:val=&quot;00643392&quot;/&gt;&lt;wsp:rsid wsp:val=&quot;00643447&quot;/&gt;&lt;wsp:rsid wsp:val=&quot;00643462&quot;/&gt;&lt;wsp:rsid wsp:val=&quot;006437F1&quot;/&gt;&lt;wsp:rsid wsp:val=&quot;00643E5F&quot;/&gt;&lt;wsp:rsid wsp:val=&quot;00643F90&quot;/&gt;&lt;wsp:rsid wsp:val=&quot;0064437A&quot;/&gt;&lt;wsp:rsid wsp:val=&quot;00644513&quot;/&gt;&lt;wsp:rsid wsp:val=&quot;00644784&quot;/&gt;&lt;wsp:rsid wsp:val=&quot;00644BFD&quot;/&gt;&lt;wsp:rsid wsp:val=&quot;00645728&quot;/&gt;&lt;wsp:rsid wsp:val=&quot;00645C8E&quot;/&gt;&lt;wsp:rsid wsp:val=&quot;00645FC2&quot;/&gt;&lt;wsp:rsid wsp:val=&quot;00646136&quot;/&gt;&lt;wsp:rsid wsp:val=&quot;0064614D&quot;/&gt;&lt;wsp:rsid wsp:val=&quot;00646159&quot;/&gt;&lt;wsp:rsid wsp:val=&quot;00646ADF&quot;/&gt;&lt;wsp:rsid wsp:val=&quot;00646E98&quot;/&gt;&lt;wsp:rsid wsp:val=&quot;006470E8&quot;/&gt;&lt;wsp:rsid wsp:val=&quot;006471AA&quot;/&gt;&lt;wsp:rsid wsp:val=&quot;0064762B&quot;/&gt;&lt;wsp:rsid wsp:val=&quot;006479FB&quot;/&gt;&lt;wsp:rsid wsp:val=&quot;00647F4E&quot;/&gt;&lt;wsp:rsid wsp:val=&quot;00650673&quot;/&gt;&lt;wsp:rsid wsp:val=&quot;006507BF&quot;/&gt;&lt;wsp:rsid wsp:val=&quot;006509FC&quot;/&gt;&lt;wsp:rsid wsp:val=&quot;00650D4F&quot;/&gt;&lt;wsp:rsid wsp:val=&quot;00650E1F&quot;/&gt;&lt;wsp:rsid wsp:val=&quot;00650F51&quot;/&gt;&lt;wsp:rsid wsp:val=&quot;006510CD&quot;/&gt;&lt;wsp:rsid wsp:val=&quot;00651160&quot;/&gt;&lt;wsp:rsid wsp:val=&quot;0065129C&quot;/&gt;&lt;wsp:rsid wsp:val=&quot;0065174F&quot;/&gt;&lt;wsp:rsid wsp:val=&quot;00651803&quot;/&gt;&lt;wsp:rsid wsp:val=&quot;00651979&quot;/&gt;&lt;wsp:rsid wsp:val=&quot;00651A8A&quot;/&gt;&lt;wsp:rsid wsp:val=&quot;00652017&quot;/&gt;&lt;wsp:rsid wsp:val=&quot;0065251B&quot;/&gt;&lt;wsp:rsid wsp:val=&quot;00652ADE&quot;/&gt;&lt;wsp:rsid wsp:val=&quot;0065368B&quot;/&gt;&lt;wsp:rsid wsp:val=&quot;006537C8&quot;/&gt;&lt;wsp:rsid wsp:val=&quot;00653AEB&quot;/&gt;&lt;wsp:rsid wsp:val=&quot;00654161&quot;/&gt;&lt;wsp:rsid wsp:val=&quot;006543DB&quot;/&gt;&lt;wsp:rsid wsp:val=&quot;00654CE5&quot;/&gt;&lt;wsp:rsid wsp:val=&quot;00654D86&quot;/&gt;&lt;wsp:rsid wsp:val=&quot;006551F9&quot;/&gt;&lt;wsp:rsid wsp:val=&quot;0065540E&quot;/&gt;&lt;wsp:rsid wsp:val=&quot;006559B0&quot;/&gt;&lt;wsp:rsid wsp:val=&quot;006561C5&quot;/&gt;&lt;wsp:rsid wsp:val=&quot;0065623A&quot;/&gt;&lt;wsp:rsid wsp:val=&quot;00656A16&quot;/&gt;&lt;wsp:rsid wsp:val=&quot;00656C07&quot;/&gt;&lt;wsp:rsid wsp:val=&quot;00657224&quot;/&gt;&lt;wsp:rsid wsp:val=&quot;00657298&quot;/&gt;&lt;wsp:rsid wsp:val=&quot;00657E13&quot;/&gt;&lt;wsp:rsid wsp:val=&quot;00660129&quot;/&gt;&lt;wsp:rsid wsp:val=&quot;006602A5&quot;/&gt;&lt;wsp:rsid wsp:val=&quot;00660EA0&quot;/&gt;&lt;wsp:rsid wsp:val=&quot;00660EB5&quot;/&gt;&lt;wsp:rsid wsp:val=&quot;00660F1A&quot;/&gt;&lt;wsp:rsid wsp:val=&quot;00661281&quot;/&gt;&lt;wsp:rsid wsp:val=&quot;006614BB&quot;/&gt;&lt;wsp:rsid wsp:val=&quot;00661BAE&quot;/&gt;&lt;wsp:rsid wsp:val=&quot;00661D4C&quot;/&gt;&lt;wsp:rsid wsp:val=&quot;00661F6A&quot;/&gt;&lt;wsp:rsid wsp:val=&quot;00662647&quot;/&gt;&lt;wsp:rsid wsp:val=&quot;006627B8&quot;/&gt;&lt;wsp:rsid wsp:val=&quot;00662857&quot;/&gt;&lt;wsp:rsid wsp:val=&quot;00662971&quot;/&gt;&lt;wsp:rsid wsp:val=&quot;00662B06&quot;/&gt;&lt;wsp:rsid wsp:val=&quot;00662FAB&quot;/&gt;&lt;wsp:rsid wsp:val=&quot;006632F3&quot;/&gt;&lt;wsp:rsid wsp:val=&quot;006638BE&quot;/&gt;&lt;wsp:rsid wsp:val=&quot;00663B1D&quot;/&gt;&lt;wsp:rsid wsp:val=&quot;00663C31&quot;/&gt;&lt;wsp:rsid wsp:val=&quot;00663C78&quot;/&gt;&lt;wsp:rsid wsp:val=&quot;00663F87&quot;/&gt;&lt;wsp:rsid wsp:val=&quot;00663FF8&quot;/&gt;&lt;wsp:rsid wsp:val=&quot;00664239&quot;/&gt;&lt;wsp:rsid wsp:val=&quot;006642D3&quot;/&gt;&lt;wsp:rsid wsp:val=&quot;006648F8&quot;/&gt;&lt;wsp:rsid wsp:val=&quot;00664930&quot;/&gt;&lt;wsp:rsid wsp:val=&quot;00664A22&quot;/&gt;&lt;wsp:rsid wsp:val=&quot;00664AF8&quot;/&gt;&lt;wsp:rsid wsp:val=&quot;00665012&quot;/&gt;&lt;wsp:rsid wsp:val=&quot;006651FC&quot;/&gt;&lt;wsp:rsid wsp:val=&quot;00665343&quot;/&gt;&lt;wsp:rsid wsp:val=&quot;006655AD&quot;/&gt;&lt;wsp:rsid wsp:val=&quot;006659B7&quot;/&gt;&lt;wsp:rsid wsp:val=&quot;00665B99&quot;/&gt;&lt;wsp:rsid wsp:val=&quot;00666106&quot;/&gt;&lt;wsp:rsid wsp:val=&quot;006662AF&quot;/&gt;&lt;wsp:rsid wsp:val=&quot;0066679D&quot;/&gt;&lt;wsp:rsid wsp:val=&quot;00666B4F&quot;/&gt;&lt;wsp:rsid wsp:val=&quot;00666FA8&quot;/&gt;&lt;wsp:rsid wsp:val=&quot;00667403&quot;/&gt;&lt;wsp:rsid wsp:val=&quot;0066746B&quot;/&gt;&lt;wsp:rsid wsp:val=&quot;006676C5&quot;/&gt;&lt;wsp:rsid wsp:val=&quot;00667AA9&quot;/&gt;&lt;wsp:rsid wsp:val=&quot;00670520&quot;/&gt;&lt;wsp:rsid wsp:val=&quot;006706ED&quot;/&gt;&lt;wsp:rsid wsp:val=&quot;00670865&quot;/&gt;&lt;wsp:rsid wsp:val=&quot;006709EE&quot;/&gt;&lt;wsp:rsid wsp:val=&quot;00670FD3&quot;/&gt;&lt;wsp:rsid wsp:val=&quot;006711C3&quot;/&gt;&lt;wsp:rsid wsp:val=&quot;006714A8&quot;/&gt;&lt;wsp:rsid wsp:val=&quot;006715FA&quot;/&gt;&lt;wsp:rsid wsp:val=&quot;006717A7&quot;/&gt;&lt;wsp:rsid wsp:val=&quot;00671BEC&quot;/&gt;&lt;wsp:rsid wsp:val=&quot;00671C9B&quot;/&gt;&lt;wsp:rsid wsp:val=&quot;00671D4A&quot;/&gt;&lt;wsp:rsid wsp:val=&quot;00672310&quot;/&gt;&lt;wsp:rsid wsp:val=&quot;006723C1&quot;/&gt;&lt;wsp:rsid wsp:val=&quot;006726C5&quot;/&gt;&lt;wsp:rsid wsp:val=&quot;006728DA&quot;/&gt;&lt;wsp:rsid wsp:val=&quot;00672995&quot;/&gt;&lt;wsp:rsid wsp:val=&quot;00672ADD&quot;/&gt;&lt;wsp:rsid wsp:val=&quot;00672BA9&quot;/&gt;&lt;wsp:rsid wsp:val=&quot;00672CCB&quot;/&gt;&lt;wsp:rsid wsp:val=&quot;00672CF8&quot;/&gt;&lt;wsp:rsid wsp:val=&quot;00673040&quot;/&gt;&lt;wsp:rsid wsp:val=&quot;00673567&quot;/&gt;&lt;wsp:rsid wsp:val=&quot;00673DF6&quot;/&gt;&lt;wsp:rsid wsp:val=&quot;00673E3B&quot;/&gt;&lt;wsp:rsid wsp:val=&quot;00673EFD&quot;/&gt;&lt;wsp:rsid wsp:val=&quot;006741C6&quot;/&gt;&lt;wsp:rsid wsp:val=&quot;006742EE&quot;/&gt;&lt;wsp:rsid wsp:val=&quot;006746B9&quot;/&gt;&lt;wsp:rsid wsp:val=&quot;006746BC&quot;/&gt;&lt;wsp:rsid wsp:val=&quot;0067497C&quot;/&gt;&lt;wsp:rsid wsp:val=&quot;006749ED&quot;/&gt;&lt;wsp:rsid wsp:val=&quot;0067515D&quot;/&gt;&lt;wsp:rsid wsp:val=&quot;0067517C&quot;/&gt;&lt;wsp:rsid wsp:val=&quot;0067575D&quot;/&gt;&lt;wsp:rsid wsp:val=&quot;00675FE0&quot;/&gt;&lt;wsp:rsid wsp:val=&quot;00676050&quot;/&gt;&lt;wsp:rsid wsp:val=&quot;006763A3&quot;/&gt;&lt;wsp:rsid wsp:val=&quot;00676663&quot;/&gt;&lt;wsp:rsid wsp:val=&quot;006766B7&quot;/&gt;&lt;wsp:rsid wsp:val=&quot;006768A4&quot;/&gt;&lt;wsp:rsid wsp:val=&quot;00676C34&quot;/&gt;&lt;wsp:rsid wsp:val=&quot;00676E60&quot;/&gt;&lt;wsp:rsid wsp:val=&quot;00677122&quot;/&gt;&lt;wsp:rsid wsp:val=&quot;0067743C&quot;/&gt;&lt;wsp:rsid wsp:val=&quot;006779D8&quot;/&gt;&lt;wsp:rsid wsp:val=&quot;00677A34&quot;/&gt;&lt;wsp:rsid wsp:val=&quot;00677B37&quot;/&gt;&lt;wsp:rsid wsp:val=&quot;00677DEB&quot;/&gt;&lt;wsp:rsid wsp:val=&quot;00680488&quot;/&gt;&lt;wsp:rsid wsp:val=&quot;00680574&quot;/&gt;&lt;wsp:rsid wsp:val=&quot;006805C0&quot;/&gt;&lt;wsp:rsid wsp:val=&quot;00680663&quot;/&gt;&lt;wsp:rsid wsp:val=&quot;00680F3C&quot;/&gt;&lt;wsp:rsid wsp:val=&quot;0068127D&quot;/&gt;&lt;wsp:rsid wsp:val=&quot;00681DBF&quot;/&gt;&lt;wsp:rsid wsp:val=&quot;00682184&quot;/&gt;&lt;wsp:rsid wsp:val=&quot;006829F2&quot;/&gt;&lt;wsp:rsid wsp:val=&quot;0068310B&quot;/&gt;&lt;wsp:rsid wsp:val=&quot;00683281&quot;/&gt;&lt;wsp:rsid wsp:val=&quot;0068357D&quot;/&gt;&lt;wsp:rsid wsp:val=&quot;006835C7&quot;/&gt;&lt;wsp:rsid wsp:val=&quot;00683A27&quot;/&gt;&lt;wsp:rsid wsp:val=&quot;00683AB8&quot;/&gt;&lt;wsp:rsid wsp:val=&quot;00684040&quot;/&gt;&lt;wsp:rsid wsp:val=&quot;0068404B&quot;/&gt;&lt;wsp:rsid wsp:val=&quot;0068405C&quot;/&gt;&lt;wsp:rsid wsp:val=&quot;006841EF&quot;/&gt;&lt;wsp:rsid wsp:val=&quot;006843AB&quot;/&gt;&lt;wsp:rsid wsp:val=&quot;0068457A&quot;/&gt;&lt;wsp:rsid wsp:val=&quot;0068460D&quot;/&gt;&lt;wsp:rsid wsp:val=&quot;0068515F&quot;/&gt;&lt;wsp:rsid wsp:val=&quot;00685188&quot;/&gt;&lt;wsp:rsid wsp:val=&quot;006858CE&quot;/&gt;&lt;wsp:rsid wsp:val=&quot;006859F6&quot;/&gt;&lt;wsp:rsid wsp:val=&quot;00685E06&quot;/&gt;&lt;wsp:rsid wsp:val=&quot;00686281&quot;/&gt;&lt;wsp:rsid wsp:val=&quot;006862C0&quot;/&gt;&lt;wsp:rsid wsp:val=&quot;006862CD&quot;/&gt;&lt;wsp:rsid wsp:val=&quot;00686434&quot;/&gt;&lt;wsp:rsid wsp:val=&quot;00686967&quot;/&gt;&lt;wsp:rsid wsp:val=&quot;00686DF4&quot;/&gt;&lt;wsp:rsid wsp:val=&quot;00686EE2&quot;/&gt;&lt;wsp:rsid wsp:val=&quot;006872CF&quot;/&gt;&lt;wsp:rsid wsp:val=&quot;00687A8A&quot;/&gt;&lt;wsp:rsid wsp:val=&quot;00687BB3&quot;/&gt;&lt;wsp:rsid wsp:val=&quot;00687DDA&quot;/&gt;&lt;wsp:rsid wsp:val=&quot;00687F39&quot;/&gt;&lt;wsp:rsid wsp:val=&quot;006903A9&quot;/&gt;&lt;wsp:rsid wsp:val=&quot;00690466&quot;/&gt;&lt;wsp:rsid wsp:val=&quot;00690684&quot;/&gt;&lt;wsp:rsid wsp:val=&quot;00690D12&quot;/&gt;&lt;wsp:rsid wsp:val=&quot;00691069&quot;/&gt;&lt;wsp:rsid wsp:val=&quot;00691498&quot;/&gt;&lt;wsp:rsid wsp:val=&quot;0069193D&quot;/&gt;&lt;wsp:rsid wsp:val=&quot;00691A80&quot;/&gt;&lt;wsp:rsid wsp:val=&quot;00692016&quot;/&gt;&lt;wsp:rsid wsp:val=&quot;006922A3&quot;/&gt;&lt;wsp:rsid wsp:val=&quot;00692E59&quot;/&gt;&lt;wsp:rsid wsp:val=&quot;0069309E&quot;/&gt;&lt;wsp:rsid wsp:val=&quot;006930A2&quot;/&gt;&lt;wsp:rsid wsp:val=&quot;0069351F&quot;/&gt;&lt;wsp:rsid wsp:val=&quot;00693AD5&quot;/&gt;&lt;wsp:rsid wsp:val=&quot;00693C5D&quot;/&gt;&lt;wsp:rsid wsp:val=&quot;00694C29&quot;/&gt;&lt;wsp:rsid wsp:val=&quot;00695015&quot;/&gt;&lt;wsp:rsid wsp:val=&quot;00695334&quot;/&gt;&lt;wsp:rsid wsp:val=&quot;00695491&quot;/&gt;&lt;wsp:rsid wsp:val=&quot;006955E6&quot;/&gt;&lt;wsp:rsid wsp:val=&quot;00695B0C&quot;/&gt;&lt;wsp:rsid wsp:val=&quot;00695F3C&quot;/&gt;&lt;wsp:rsid wsp:val=&quot;0069625B&quot;/&gt;&lt;wsp:rsid wsp:val=&quot;00696525&quot;/&gt;&lt;wsp:rsid wsp:val=&quot;00696657&quot;/&gt;&lt;wsp:rsid wsp:val=&quot;006966BB&quot;/&gt;&lt;wsp:rsid wsp:val=&quot;00696F99&quot;/&gt;&lt;wsp:rsid wsp:val=&quot;00697280&quot;/&gt;&lt;wsp:rsid wsp:val=&quot;00697553&quot;/&gt;&lt;wsp:rsid wsp:val=&quot;00697731&quot;/&gt;&lt;wsp:rsid wsp:val=&quot;00697D69&quot;/&gt;&lt;wsp:rsid wsp:val=&quot;006A07B0&quot;/&gt;&lt;wsp:rsid wsp:val=&quot;006A0B33&quot;/&gt;&lt;wsp:rsid wsp:val=&quot;006A0D22&quot;/&gt;&lt;wsp:rsid wsp:val=&quot;006A0EE8&quot;/&gt;&lt;wsp:rsid wsp:val=&quot;006A10FD&quot;/&gt;&lt;wsp:rsid wsp:val=&quot;006A154A&quot;/&gt;&lt;wsp:rsid wsp:val=&quot;006A183A&quot;/&gt;&lt;wsp:rsid wsp:val=&quot;006A1BD3&quot;/&gt;&lt;wsp:rsid wsp:val=&quot;006A1F30&quot;/&gt;&lt;wsp:rsid wsp:val=&quot;006A1FCF&quot;/&gt;&lt;wsp:rsid wsp:val=&quot;006A24BD&quot;/&gt;&lt;wsp:rsid wsp:val=&quot;006A2538&quot;/&gt;&lt;wsp:rsid wsp:val=&quot;006A275F&quot;/&gt;&lt;wsp:rsid wsp:val=&quot;006A27D9&quot;/&gt;&lt;wsp:rsid wsp:val=&quot;006A2A5E&quot;/&gt;&lt;wsp:rsid wsp:val=&quot;006A2E58&quot;/&gt;&lt;wsp:rsid wsp:val=&quot;006A2E8D&quot;/&gt;&lt;wsp:rsid wsp:val=&quot;006A3080&quot;/&gt;&lt;wsp:rsid wsp:val=&quot;006A30B7&quot;/&gt;&lt;wsp:rsid wsp:val=&quot;006A3443&quot;/&gt;&lt;wsp:rsid wsp:val=&quot;006A350D&quot;/&gt;&lt;wsp:rsid wsp:val=&quot;006A376F&quot;/&gt;&lt;wsp:rsid wsp:val=&quot;006A3796&quot;/&gt;&lt;wsp:rsid wsp:val=&quot;006A37EF&quot;/&gt;&lt;wsp:rsid wsp:val=&quot;006A3D61&quot;/&gt;&lt;wsp:rsid wsp:val=&quot;006A3D77&quot;/&gt;&lt;wsp:rsid wsp:val=&quot;006A4B64&quot;/&gt;&lt;wsp:rsid wsp:val=&quot;006A4D14&quot;/&gt;&lt;wsp:rsid wsp:val=&quot;006A4E62&quot;/&gt;&lt;wsp:rsid wsp:val=&quot;006A4EB8&quot;/&gt;&lt;wsp:rsid wsp:val=&quot;006A4F4B&quot;/&gt;&lt;wsp:rsid wsp:val=&quot;006A5004&quot;/&gt;&lt;wsp:rsid wsp:val=&quot;006A53B7&quot;/&gt;&lt;wsp:rsid wsp:val=&quot;006A53F0&quot;/&gt;&lt;wsp:rsid wsp:val=&quot;006A5469&quot;/&gt;&lt;wsp:rsid wsp:val=&quot;006A58AA&quot;/&gt;&lt;wsp:rsid wsp:val=&quot;006A6045&quot;/&gt;&lt;wsp:rsid wsp:val=&quot;006A60ED&quot;/&gt;&lt;wsp:rsid wsp:val=&quot;006A68A8&quot;/&gt;&lt;wsp:rsid wsp:val=&quot;006A6A47&quot;/&gt;&lt;wsp:rsid wsp:val=&quot;006A6E30&quot;/&gt;&lt;wsp:rsid wsp:val=&quot;006A6FDC&quot;/&gt;&lt;wsp:rsid wsp:val=&quot;006A706A&quot;/&gt;&lt;wsp:rsid wsp:val=&quot;006A70D8&quot;/&gt;&lt;wsp:rsid wsp:val=&quot;006A76ED&quot;/&gt;&lt;wsp:rsid wsp:val=&quot;006A77CF&quot;/&gt;&lt;wsp:rsid wsp:val=&quot;006A7DEC&quot;/&gt;&lt;wsp:rsid wsp:val=&quot;006B02DE&quot;/&gt;&lt;wsp:rsid wsp:val=&quot;006B034F&quot;/&gt;&lt;wsp:rsid wsp:val=&quot;006B038A&quot;/&gt;&lt;wsp:rsid wsp:val=&quot;006B0F8C&quot;/&gt;&lt;wsp:rsid wsp:val=&quot;006B0FC1&quot;/&gt;&lt;wsp:rsid wsp:val=&quot;006B10BC&quot;/&gt;&lt;wsp:rsid wsp:val=&quot;006B13A5&quot;/&gt;&lt;wsp:rsid wsp:val=&quot;006B18F3&quot;/&gt;&lt;wsp:rsid wsp:val=&quot;006B1927&quot;/&gt;&lt;wsp:rsid wsp:val=&quot;006B1FBD&quot;/&gt;&lt;wsp:rsid wsp:val=&quot;006B259B&quot;/&gt;&lt;wsp:rsid wsp:val=&quot;006B2A8B&quot;/&gt;&lt;wsp:rsid wsp:val=&quot;006B2F9E&quot;/&gt;&lt;wsp:rsid wsp:val=&quot;006B322F&quot;/&gt;&lt;wsp:rsid wsp:val=&quot;006B33D4&quot;/&gt;&lt;wsp:rsid wsp:val=&quot;006B373C&quot;/&gt;&lt;wsp:rsid wsp:val=&quot;006B376E&quot;/&gt;&lt;wsp:rsid wsp:val=&quot;006B3792&quot;/&gt;&lt;wsp:rsid wsp:val=&quot;006B40BB&quot;/&gt;&lt;wsp:rsid wsp:val=&quot;006B40EE&quot;/&gt;&lt;wsp:rsid wsp:val=&quot;006B44A3&quot;/&gt;&lt;wsp:rsid wsp:val=&quot;006B474C&quot;/&gt;&lt;wsp:rsid wsp:val=&quot;006B49F4&quot;/&gt;&lt;wsp:rsid wsp:val=&quot;006B4AB7&quot;/&gt;&lt;wsp:rsid wsp:val=&quot;006B5043&quot;/&gt;&lt;wsp:rsid wsp:val=&quot;006B51AE&quot;/&gt;&lt;wsp:rsid wsp:val=&quot;006B530D&quot;/&gt;&lt;wsp:rsid wsp:val=&quot;006B53EE&quot;/&gt;&lt;wsp:rsid wsp:val=&quot;006B54D5&quot;/&gt;&lt;wsp:rsid wsp:val=&quot;006B595C&quot;/&gt;&lt;wsp:rsid wsp:val=&quot;006B5B02&quot;/&gt;&lt;wsp:rsid wsp:val=&quot;006B5B3E&quot;/&gt;&lt;wsp:rsid wsp:val=&quot;006B6138&quot;/&gt;&lt;wsp:rsid wsp:val=&quot;006B660F&quot;/&gt;&lt;wsp:rsid wsp:val=&quot;006B67A5&quot;/&gt;&lt;wsp:rsid wsp:val=&quot;006B69B9&quot;/&gt;&lt;wsp:rsid wsp:val=&quot;006B6A63&quot;/&gt;&lt;wsp:rsid wsp:val=&quot;006B6C85&quot;/&gt;&lt;wsp:rsid wsp:val=&quot;006B6ECE&quot;/&gt;&lt;wsp:rsid wsp:val=&quot;006B6F30&quot;/&gt;&lt;wsp:rsid wsp:val=&quot;006B76FD&quot;/&gt;&lt;wsp:rsid wsp:val=&quot;006B7AD4&quot;/&gt;&lt;wsp:rsid wsp:val=&quot;006C00BF&quot;/&gt;&lt;wsp:rsid wsp:val=&quot;006C0191&quot;/&gt;&lt;wsp:rsid wsp:val=&quot;006C01B1&quot;/&gt;&lt;wsp:rsid wsp:val=&quot;006C05C4&quot;/&gt;&lt;wsp:rsid wsp:val=&quot;006C062C&quot;/&gt;&lt;wsp:rsid wsp:val=&quot;006C0771&quot;/&gt;&lt;wsp:rsid wsp:val=&quot;006C1095&quot;/&gt;&lt;wsp:rsid wsp:val=&quot;006C12C6&quot;/&gt;&lt;wsp:rsid wsp:val=&quot;006C1522&quot;/&gt;&lt;wsp:rsid wsp:val=&quot;006C1ECD&quot;/&gt;&lt;wsp:rsid wsp:val=&quot;006C20A0&quot;/&gt;&lt;wsp:rsid wsp:val=&quot;006C2549&quot;/&gt;&lt;wsp:rsid wsp:val=&quot;006C254F&quot;/&gt;&lt;wsp:rsid wsp:val=&quot;006C2893&quot;/&gt;&lt;wsp:rsid wsp:val=&quot;006C2AA7&quot;/&gt;&lt;wsp:rsid wsp:val=&quot;006C2BEC&quot;/&gt;&lt;wsp:rsid wsp:val=&quot;006C33CE&quot;/&gt;&lt;wsp:rsid wsp:val=&quot;006C357C&quot;/&gt;&lt;wsp:rsid wsp:val=&quot;006C361E&quot;/&gt;&lt;wsp:rsid wsp:val=&quot;006C3ED3&quot;/&gt;&lt;wsp:rsid wsp:val=&quot;006C5141&quot;/&gt;&lt;wsp:rsid wsp:val=&quot;006C5191&quot;/&gt;&lt;wsp:rsid wsp:val=&quot;006C5F7C&quot;/&gt;&lt;wsp:rsid wsp:val=&quot;006C6093&quot;/&gt;&lt;wsp:rsid wsp:val=&quot;006C669D&quot;/&gt;&lt;wsp:rsid wsp:val=&quot;006C6EC7&quot;/&gt;&lt;wsp:rsid wsp:val=&quot;006C77A2&quot;/&gt;&lt;wsp:rsid wsp:val=&quot;006C7ABE&quot;/&gt;&lt;wsp:rsid wsp:val=&quot;006C7C3B&quot;/&gt;&lt;wsp:rsid wsp:val=&quot;006D0013&quot;/&gt;&lt;wsp:rsid wsp:val=&quot;006D081C&quot;/&gt;&lt;wsp:rsid wsp:val=&quot;006D15EF&quot;/&gt;&lt;wsp:rsid wsp:val=&quot;006D1757&quot;/&gt;&lt;wsp:rsid wsp:val=&quot;006D1C73&quot;/&gt;&lt;wsp:rsid wsp:val=&quot;006D1E4A&quot;/&gt;&lt;wsp:rsid wsp:val=&quot;006D209C&quot;/&gt;&lt;wsp:rsid wsp:val=&quot;006D226C&quot;/&gt;&lt;wsp:rsid wsp:val=&quot;006D26AD&quot;/&gt;&lt;wsp:rsid wsp:val=&quot;006D2947&quot;/&gt;&lt;wsp:rsid wsp:val=&quot;006D2A72&quot;/&gt;&lt;wsp:rsid wsp:val=&quot;006D2A7F&quot;/&gt;&lt;wsp:rsid wsp:val=&quot;006D2B78&quot;/&gt;&lt;wsp:rsid wsp:val=&quot;006D2E52&quot;/&gt;&lt;wsp:rsid wsp:val=&quot;006D36E8&quot;/&gt;&lt;wsp:rsid wsp:val=&quot;006D3E7D&quot;/&gt;&lt;wsp:rsid wsp:val=&quot;006D3F95&quot;/&gt;&lt;wsp:rsid wsp:val=&quot;006D410B&quot;/&gt;&lt;wsp:rsid wsp:val=&quot;006D43AB&quot;/&gt;&lt;wsp:rsid wsp:val=&quot;006D4695&quot;/&gt;&lt;wsp:rsid wsp:val=&quot;006D4746&quot;/&gt;&lt;wsp:rsid wsp:val=&quot;006D54A3&quot;/&gt;&lt;wsp:rsid wsp:val=&quot;006D54E8&quot;/&gt;&lt;wsp:rsid wsp:val=&quot;006D636C&quot;/&gt;&lt;wsp:rsid wsp:val=&quot;006D63D7&quot;/&gt;&lt;wsp:rsid wsp:val=&quot;006D685E&quot;/&gt;&lt;wsp:rsid wsp:val=&quot;006D68DB&quot;/&gt;&lt;wsp:rsid wsp:val=&quot;006D6A1E&quot;/&gt;&lt;wsp:rsid wsp:val=&quot;006D6C69&quot;/&gt;&lt;wsp:rsid wsp:val=&quot;006D6D66&quot;/&gt;&lt;wsp:rsid wsp:val=&quot;006D6EB7&quot;/&gt;&lt;wsp:rsid wsp:val=&quot;006D7689&quot;/&gt;&lt;wsp:rsid wsp:val=&quot;006E0634&quot;/&gt;&lt;wsp:rsid wsp:val=&quot;006E086C&quot;/&gt;&lt;wsp:rsid wsp:val=&quot;006E180D&quot;/&gt;&lt;wsp:rsid wsp:val=&quot;006E18EA&quot;/&gt;&lt;wsp:rsid wsp:val=&quot;006E1DFB&quot;/&gt;&lt;wsp:rsid wsp:val=&quot;006E1E8E&quot;/&gt;&lt;wsp:rsid wsp:val=&quot;006E26A7&quot;/&gt;&lt;wsp:rsid wsp:val=&quot;006E2832&quot;/&gt;&lt;wsp:rsid wsp:val=&quot;006E2EA0&quot;/&gt;&lt;wsp:rsid wsp:val=&quot;006E311D&quot;/&gt;&lt;wsp:rsid wsp:val=&quot;006E320C&quot;/&gt;&lt;wsp:rsid wsp:val=&quot;006E3245&quot;/&gt;&lt;wsp:rsid wsp:val=&quot;006E33A2&quot;/&gt;&lt;wsp:rsid wsp:val=&quot;006E35DA&quot;/&gt;&lt;wsp:rsid wsp:val=&quot;006E371D&quot;/&gt;&lt;wsp:rsid wsp:val=&quot;006E39D3&quot;/&gt;&lt;wsp:rsid wsp:val=&quot;006E3A49&quot;/&gt;&lt;wsp:rsid wsp:val=&quot;006E3C78&quot;/&gt;&lt;wsp:rsid wsp:val=&quot;006E41FB&quot;/&gt;&lt;wsp:rsid wsp:val=&quot;006E4295&quot;/&gt;&lt;wsp:rsid wsp:val=&quot;006E439A&quot;/&gt;&lt;wsp:rsid wsp:val=&quot;006E4844&quot;/&gt;&lt;wsp:rsid wsp:val=&quot;006E4B63&quot;/&gt;&lt;wsp:rsid wsp:val=&quot;006E4CD3&quot;/&gt;&lt;wsp:rsid wsp:val=&quot;006E4F57&quot;/&gt;&lt;wsp:rsid wsp:val=&quot;006E521E&quot;/&gt;&lt;wsp:rsid wsp:val=&quot;006E54C7&quot;/&gt;&lt;wsp:rsid wsp:val=&quot;006E58C0&quot;/&gt;&lt;wsp:rsid wsp:val=&quot;006E5A2F&quot;/&gt;&lt;wsp:rsid wsp:val=&quot;006E5A89&quot;/&gt;&lt;wsp:rsid wsp:val=&quot;006E5C7C&quot;/&gt;&lt;wsp:rsid wsp:val=&quot;006E5D25&quot;/&gt;&lt;wsp:rsid wsp:val=&quot;006E5D9B&quot;/&gt;&lt;wsp:rsid wsp:val=&quot;006E6D4F&quot;/&gt;&lt;wsp:rsid wsp:val=&quot;006E6D51&quot;/&gt;&lt;wsp:rsid wsp:val=&quot;006E6E20&quot;/&gt;&lt;wsp:rsid wsp:val=&quot;006E6E2A&quot;/&gt;&lt;wsp:rsid wsp:val=&quot;006E7567&quot;/&gt;&lt;wsp:rsid wsp:val=&quot;006F00AE&quot;/&gt;&lt;wsp:rsid wsp:val=&quot;006F07E7&quot;/&gt;&lt;wsp:rsid wsp:val=&quot;006F07E8&quot;/&gt;&lt;wsp:rsid wsp:val=&quot;006F0B29&quot;/&gt;&lt;wsp:rsid wsp:val=&quot;006F0BB2&quot;/&gt;&lt;wsp:rsid wsp:val=&quot;006F1257&quot;/&gt;&lt;wsp:rsid wsp:val=&quot;006F130F&quot;/&gt;&lt;wsp:rsid wsp:val=&quot;006F1669&quot;/&gt;&lt;wsp:rsid wsp:val=&quot;006F1828&quot;/&gt;&lt;wsp:rsid wsp:val=&quot;006F18DE&quot;/&gt;&lt;wsp:rsid wsp:val=&quot;006F1C57&quot;/&gt;&lt;wsp:rsid wsp:val=&quot;006F1E5F&quot;/&gt;&lt;wsp:rsid wsp:val=&quot;006F2839&quot;/&gt;&lt;wsp:rsid wsp:val=&quot;006F291C&quot;/&gt;&lt;wsp:rsid wsp:val=&quot;006F2D5F&quot;/&gt;&lt;wsp:rsid wsp:val=&quot;006F3637&quot;/&gt;&lt;wsp:rsid wsp:val=&quot;006F4419&quot;/&gt;&lt;wsp:rsid wsp:val=&quot;006F4495&quot;/&gt;&lt;wsp:rsid wsp:val=&quot;006F4E97&quot;/&gt;&lt;wsp:rsid wsp:val=&quot;006F5710&quot;/&gt;&lt;wsp:rsid wsp:val=&quot;006F5796&quot;/&gt;&lt;wsp:rsid wsp:val=&quot;006F5A23&quot;/&gt;&lt;wsp:rsid wsp:val=&quot;006F5D32&quot;/&gt;&lt;wsp:rsid wsp:val=&quot;006F5E6B&quot;/&gt;&lt;wsp:rsid wsp:val=&quot;006F5F7E&quot;/&gt;&lt;wsp:rsid wsp:val=&quot;006F61A7&quot;/&gt;&lt;wsp:rsid wsp:val=&quot;006F66DD&quot;/&gt;&lt;wsp:rsid wsp:val=&quot;006F6F6C&quot;/&gt;&lt;wsp:rsid wsp:val=&quot;006F74DE&quot;/&gt;&lt;wsp:rsid wsp:val=&quot;006F769C&quot;/&gt;&lt;wsp:rsid wsp:val=&quot;006F7778&quot;/&gt;&lt;wsp:rsid wsp:val=&quot;006F7CA7&quot;/&gt;&lt;wsp:rsid wsp:val=&quot;00700907&quot;/&gt;&lt;wsp:rsid wsp:val=&quot;00700C00&quot;/&gt;&lt;wsp:rsid wsp:val=&quot;00700D1A&quot;/&gt;&lt;wsp:rsid wsp:val=&quot;007013F4&quot;/&gt;&lt;wsp:rsid wsp:val=&quot;00701714&quot;/&gt;&lt;wsp:rsid wsp:val=&quot;007017F4&quot;/&gt;&lt;wsp:rsid wsp:val=&quot;00701BD4&quot;/&gt;&lt;wsp:rsid wsp:val=&quot;00701E52&quot;/&gt;&lt;wsp:rsid wsp:val=&quot;007020AC&quot;/&gt;&lt;wsp:rsid wsp:val=&quot;007027F1&quot;/&gt;&lt;wsp:rsid wsp:val=&quot;00702D57&quot;/&gt;&lt;wsp:rsid wsp:val=&quot;00702EDD&quot;/&gt;&lt;wsp:rsid wsp:val=&quot;00703226&quot;/&gt;&lt;wsp:rsid wsp:val=&quot;00703705&quot;/&gt;&lt;wsp:rsid wsp:val=&quot;0070387D&quot;/&gt;&lt;wsp:rsid wsp:val=&quot;00703A1B&quot;/&gt;&lt;wsp:rsid wsp:val=&quot;0070411E&quot;/&gt;&lt;wsp:rsid wsp:val=&quot;007042E0&quot;/&gt;&lt;wsp:rsid wsp:val=&quot;007044B9&quot;/&gt;&lt;wsp:rsid wsp:val=&quot;00704D54&quot;/&gt;&lt;wsp:rsid wsp:val=&quot;00705021&quot;/&gt;&lt;wsp:rsid wsp:val=&quot;007051F7&quot;/&gt;&lt;wsp:rsid wsp:val=&quot;00705341&quot;/&gt;&lt;wsp:rsid wsp:val=&quot;0070545F&quot;/&gt;&lt;wsp:rsid wsp:val=&quot;00705FC5&quot;/&gt;&lt;wsp:rsid wsp:val=&quot;00705FD4&quot;/&gt;&lt;wsp:rsid wsp:val=&quot;0070670F&quot;/&gt;&lt;wsp:rsid wsp:val=&quot;00707129&quot;/&gt;&lt;wsp:rsid wsp:val=&quot;007075A4&quot;/&gt;&lt;wsp:rsid wsp:val=&quot;00707623&quot;/&gt;&lt;wsp:rsid wsp:val=&quot;00707C79&quot;/&gt;&lt;wsp:rsid wsp:val=&quot;00707E25&quot;/&gt;&lt;wsp:rsid wsp:val=&quot;00707F4F&quot;/&gt;&lt;wsp:rsid wsp:val=&quot;00710A6A&quot;/&gt;&lt;wsp:rsid wsp:val=&quot;00710BE7&quot;/&gt;&lt;wsp:rsid wsp:val=&quot;00711A58&quot;/&gt;&lt;wsp:rsid wsp:val=&quot;00711BB1&quot;/&gt;&lt;wsp:rsid wsp:val=&quot;00712131&quot;/&gt;&lt;wsp:rsid wsp:val=&quot;007125C5&quot;/&gt;&lt;wsp:rsid wsp:val=&quot;007126F3&quot;/&gt;&lt;wsp:rsid wsp:val=&quot;00712CF5&quot;/&gt;&lt;wsp:rsid wsp:val=&quot;007133A4&quot;/&gt;&lt;wsp:rsid wsp:val=&quot;00713762&quot;/&gt;&lt;wsp:rsid wsp:val=&quot;00713A6C&quot;/&gt;&lt;wsp:rsid wsp:val=&quot;00714097&quot;/&gt;&lt;wsp:rsid wsp:val=&quot;007144E2&quot;/&gt;&lt;wsp:rsid wsp:val=&quot;007145A0&quot;/&gt;&lt;wsp:rsid wsp:val=&quot;00714960&quot;/&gt;&lt;wsp:rsid wsp:val=&quot;00714B14&quot;/&gt;&lt;wsp:rsid wsp:val=&quot;00714B81&quot;/&gt;&lt;wsp:rsid wsp:val=&quot;00714BC7&quot;/&gt;&lt;wsp:rsid wsp:val=&quot;00714D74&quot;/&gt;&lt;wsp:rsid wsp:val=&quot;007153E9&quot;/&gt;&lt;wsp:rsid wsp:val=&quot;007156FA&quot;/&gt;&lt;wsp:rsid wsp:val=&quot;007159BC&quot;/&gt;&lt;wsp:rsid wsp:val=&quot;007159D5&quot;/&gt;&lt;wsp:rsid wsp:val=&quot;00715DCF&quot;/&gt;&lt;wsp:rsid wsp:val=&quot;00715E2C&quot;/&gt;&lt;wsp:rsid wsp:val=&quot;00715E71&quot;/&gt;&lt;wsp:rsid wsp:val=&quot;00716358&quot;/&gt;&lt;wsp:rsid wsp:val=&quot;00716B47&quot;/&gt;&lt;wsp:rsid wsp:val=&quot;00716E9F&quot;/&gt;&lt;wsp:rsid wsp:val=&quot;007170C2&quot;/&gt;&lt;wsp:rsid wsp:val=&quot;0071733E&quot;/&gt;&lt;wsp:rsid wsp:val=&quot;00717779&quot;/&gt;&lt;wsp:rsid wsp:val=&quot;00717848&quot;/&gt;&lt;wsp:rsid wsp:val=&quot;00717D5F&quot;/&gt;&lt;wsp:rsid wsp:val=&quot;00717EFA&quot;/&gt;&lt;wsp:rsid wsp:val=&quot;00720301&quot;/&gt;&lt;wsp:rsid wsp:val=&quot;0072051C&quot;/&gt;&lt;wsp:rsid wsp:val=&quot;00720AAA&quot;/&gt;&lt;wsp:rsid wsp:val=&quot;00720D20&quot;/&gt;&lt;wsp:rsid wsp:val=&quot;00720E75&quot;/&gt;&lt;wsp:rsid wsp:val=&quot;00720ECB&quot;/&gt;&lt;wsp:rsid wsp:val=&quot;00720F71&quot;/&gt;&lt;wsp:rsid wsp:val=&quot;00721566&quot;/&gt;&lt;wsp:rsid wsp:val=&quot;00721717&quot;/&gt;&lt;wsp:rsid wsp:val=&quot;007218D9&quot;/&gt;&lt;wsp:rsid wsp:val=&quot;00721DC7&quot;/&gt;&lt;wsp:rsid wsp:val=&quot;0072220F&quot;/&gt;&lt;wsp:rsid wsp:val=&quot;00722AB5&quot;/&gt;&lt;wsp:rsid wsp:val=&quot;00722BBE&quot;/&gt;&lt;wsp:rsid wsp:val=&quot;00722C32&quot;/&gt;&lt;wsp:rsid wsp:val=&quot;00722CA8&quot;/&gt;&lt;wsp:rsid wsp:val=&quot;00723034&quot;/&gt;&lt;wsp:rsid wsp:val=&quot;007231FF&quot;/&gt;&lt;wsp:rsid wsp:val=&quot;00723360&quot;/&gt;&lt;wsp:rsid wsp:val=&quot;007234D9&quot;/&gt;&lt;wsp:rsid wsp:val=&quot;00723698&quot;/&gt;&lt;wsp:rsid wsp:val=&quot;00723858&quot;/&gt;&lt;wsp:rsid wsp:val=&quot;00723DB1&quot;/&gt;&lt;wsp:rsid wsp:val=&quot;00724343&quot;/&gt;&lt;wsp:rsid wsp:val=&quot;007247BE&quot;/&gt;&lt;wsp:rsid wsp:val=&quot;007248AD&quot;/&gt;&lt;wsp:rsid wsp:val=&quot;00724F79&quot;/&gt;&lt;wsp:rsid wsp:val=&quot;00725728&quot;/&gt;&lt;wsp:rsid wsp:val=&quot;007258DE&quot;/&gt;&lt;wsp:rsid wsp:val=&quot;00725C8F&quot;/&gt;&lt;wsp:rsid wsp:val=&quot;00725CB7&quot;/&gt;&lt;wsp:rsid wsp:val=&quot;00726540&quot;/&gt;&lt;wsp:rsid wsp:val=&quot;00726643&quot;/&gt;&lt;wsp:rsid wsp:val=&quot;00726775&quot;/&gt;&lt;wsp:rsid wsp:val=&quot;00726832&quot;/&gt;&lt;wsp:rsid wsp:val=&quot;00726C96&quot;/&gt;&lt;wsp:rsid wsp:val=&quot;00726DEE&quot;/&gt;&lt;wsp:rsid wsp:val=&quot;00726F22&quot;/&gt;&lt;wsp:rsid wsp:val=&quot;0072712D&quot;/&gt;&lt;wsp:rsid wsp:val=&quot;007276D4&quot;/&gt;&lt;wsp:rsid wsp:val=&quot;00727975&quot;/&gt;&lt;wsp:rsid wsp:val=&quot;00727D72&quot;/&gt;&lt;wsp:rsid wsp:val=&quot;00727E44&quot;/&gt;&lt;wsp:rsid wsp:val=&quot;0073045A&quot;/&gt;&lt;wsp:rsid wsp:val=&quot;00730487&quot;/&gt;&lt;wsp:rsid wsp:val=&quot;00730527&quot;/&gt;&lt;wsp:rsid wsp:val=&quot;00730CE2&quot;/&gt;&lt;wsp:rsid wsp:val=&quot;00731069&quot;/&gt;&lt;wsp:rsid wsp:val=&quot;0073158E&quot;/&gt;&lt;wsp:rsid wsp:val=&quot;007316AC&quot;/&gt;&lt;wsp:rsid wsp:val=&quot;00731AB7&quot;/&gt;&lt;wsp:rsid wsp:val=&quot;00731DBA&quot;/&gt;&lt;wsp:rsid wsp:val=&quot;00732375&quot;/&gt;&lt;wsp:rsid wsp:val=&quot;00732535&quot;/&gt;&lt;wsp:rsid wsp:val=&quot;007328C7&quot;/&gt;&lt;wsp:rsid wsp:val=&quot;00732A0B&quot;/&gt;&lt;wsp:rsid wsp:val=&quot;00732AA4&quot;/&gt;&lt;wsp:rsid wsp:val=&quot;00732D14&quot;/&gt;&lt;wsp:rsid wsp:val=&quot;00732ED4&quot;/&gt;&lt;wsp:rsid wsp:val=&quot;007333B4&quot;/&gt;&lt;wsp:rsid wsp:val=&quot;0073364D&quot;/&gt;&lt;wsp:rsid wsp:val=&quot;007336CF&quot;/&gt;&lt;wsp:rsid wsp:val=&quot;00733801&quot;/&gt;&lt;wsp:rsid wsp:val=&quot;00733804&quot;/&gt;&lt;wsp:rsid wsp:val=&quot;00733C32&quot;/&gt;&lt;wsp:rsid wsp:val=&quot;00733D0E&quot;/&gt;&lt;wsp:rsid wsp:val=&quot;00734556&quot;/&gt;&lt;wsp:rsid wsp:val=&quot;0073475A&quot;/&gt;&lt;wsp:rsid wsp:val=&quot;0073476E&quot;/&gt;&lt;wsp:rsid wsp:val=&quot;00734850&quot;/&gt;&lt;wsp:rsid wsp:val=&quot;00734ADF&quot;/&gt;&lt;wsp:rsid wsp:val=&quot;00734E89&quot;/&gt;&lt;wsp:rsid wsp:val=&quot;00734F23&quot;/&gt;&lt;wsp:rsid wsp:val=&quot;0073530E&quot;/&gt;&lt;wsp:rsid wsp:val=&quot;00735DB4&quot;/&gt;&lt;wsp:rsid wsp:val=&quot;00735DE3&quot;/&gt;&lt;wsp:rsid wsp:val=&quot;00736038&quot;/&gt;&lt;wsp:rsid wsp:val=&quot;007362F7&quot;/&gt;&lt;wsp:rsid wsp:val=&quot;0073654D&quot;/&gt;&lt;wsp:rsid wsp:val=&quot;007365A5&quot;/&gt;&lt;wsp:rsid wsp:val=&quot;007369BB&quot;/&gt;&lt;wsp:rsid wsp:val=&quot;007369C1&quot;/&gt;&lt;wsp:rsid wsp:val=&quot;007369D0&quot;/&gt;&lt;wsp:rsid wsp:val=&quot;00736A59&quot;/&gt;&lt;wsp:rsid wsp:val=&quot;0073718A&quot;/&gt;&lt;wsp:rsid wsp:val=&quot;007372BD&quot;/&gt;&lt;wsp:rsid wsp:val=&quot;007372F8&quot;/&gt;&lt;wsp:rsid wsp:val=&quot;007375D7&quot;/&gt;&lt;wsp:rsid wsp:val=&quot;007378B2&quot;/&gt;&lt;wsp:rsid wsp:val=&quot;007378FC&quot;/&gt;&lt;wsp:rsid wsp:val=&quot;00737A1C&quot;/&gt;&lt;wsp:rsid wsp:val=&quot;00737D10&quot;/&gt;&lt;wsp:rsid wsp:val=&quot;00737E00&quot;/&gt;&lt;wsp:rsid wsp:val=&quot;0074009A&quot;/&gt;&lt;wsp:rsid wsp:val=&quot;007401BD&quot;/&gt;&lt;wsp:rsid wsp:val=&quot;00740293&quot;/&gt;&lt;wsp:rsid wsp:val=&quot;00740509&quot;/&gt;&lt;wsp:rsid wsp:val=&quot;00740A70&quot;/&gt;&lt;wsp:rsid wsp:val=&quot;00740CF5&quot;/&gt;&lt;wsp:rsid wsp:val=&quot;007410A8&quot;/&gt;&lt;wsp:rsid wsp:val=&quot;0074117D&quot;/&gt;&lt;wsp:rsid wsp:val=&quot;0074170F&quot;/&gt;&lt;wsp:rsid wsp:val=&quot;007423C7&quot;/&gt;&lt;wsp:rsid wsp:val=&quot;00742573&quot;/&gt;&lt;wsp:rsid wsp:val=&quot;00742AE6&quot;/&gt;&lt;wsp:rsid wsp:val=&quot;00742F23&quot;/&gt;&lt;wsp:rsid wsp:val=&quot;00743205&quot;/&gt;&lt;wsp:rsid wsp:val=&quot;007432C3&quot;/&gt;&lt;wsp:rsid wsp:val=&quot;007436C2&quot;/&gt;&lt;wsp:rsid wsp:val=&quot;00743C1C&quot;/&gt;&lt;wsp:rsid wsp:val=&quot;00744224&quot;/&gt;&lt;wsp:rsid wsp:val=&quot;0074458F&quot;/&gt;&lt;wsp:rsid wsp:val=&quot;00744599&quot;/&gt;&lt;wsp:rsid wsp:val=&quot;0074542A&quot;/&gt;&lt;wsp:rsid wsp:val=&quot;007456B3&quot;/&gt;&lt;wsp:rsid wsp:val=&quot;00745A90&quot;/&gt;&lt;wsp:rsid wsp:val=&quot;00745BB5&quot;/&gt;&lt;wsp:rsid wsp:val=&quot;00745C45&quot;/&gt;&lt;wsp:rsid wsp:val=&quot;00745E43&quot;/&gt;&lt;wsp:rsid wsp:val=&quot;00745E84&quot;/&gt;&lt;wsp:rsid wsp:val=&quot;0074606C&quot;/&gt;&lt;wsp:rsid wsp:val=&quot;00746235&quot;/&gt;&lt;wsp:rsid wsp:val=&quot;007462D6&quot;/&gt;&lt;wsp:rsid wsp:val=&quot;0074641C&quot;/&gt;&lt;wsp:rsid wsp:val=&quot;00746441&quot;/&gt;&lt;wsp:rsid wsp:val=&quot;00746896&quot;/&gt;&lt;wsp:rsid wsp:val=&quot;0074697A&quot;/&gt;&lt;wsp:rsid wsp:val=&quot;00746AD9&quot;/&gt;&lt;wsp:rsid wsp:val=&quot;00747900&quot;/&gt;&lt;wsp:rsid wsp:val=&quot;00747BCE&quot;/&gt;&lt;wsp:rsid wsp:val=&quot;00747E96&quot;/&gt;&lt;wsp:rsid wsp:val=&quot;0075014A&quot;/&gt;&lt;wsp:rsid wsp:val=&quot;007508DC&quot;/&gt;&lt;wsp:rsid wsp:val=&quot;0075112E&quot;/&gt;&lt;wsp:rsid wsp:val=&quot;00751224&quot;/&gt;&lt;wsp:rsid wsp:val=&quot;007512C6&quot;/&gt;&lt;wsp:rsid wsp:val=&quot;00751394&quot;/&gt;&lt;wsp:rsid wsp:val=&quot;007513EF&quot;/&gt;&lt;wsp:rsid wsp:val=&quot;00751753&quot;/&gt;&lt;wsp:rsid wsp:val=&quot;00751B06&quot;/&gt;&lt;wsp:rsid wsp:val=&quot;00751C38&quot;/&gt;&lt;wsp:rsid wsp:val=&quot;00752BAE&quot;/&gt;&lt;wsp:rsid wsp:val=&quot;00752D85&quot;/&gt;&lt;wsp:rsid wsp:val=&quot;0075302E&quot;/&gt;&lt;wsp:rsid wsp:val=&quot;007536D0&quot;/&gt;&lt;wsp:rsid wsp:val=&quot;00753B06&quot;/&gt;&lt;wsp:rsid wsp:val=&quot;00753B30&quot;/&gt;&lt;wsp:rsid wsp:val=&quot;00753F1B&quot;/&gt;&lt;wsp:rsid wsp:val=&quot;00754243&quot;/&gt;&lt;wsp:rsid wsp:val=&quot;00754335&quot;/&gt;&lt;wsp:rsid wsp:val=&quot;00754F43&quot;/&gt;&lt;wsp:rsid wsp:val=&quot;00755225&quot;/&gt;&lt;wsp:rsid wsp:val=&quot;007554A3&quot;/&gt;&lt;wsp:rsid wsp:val=&quot;00755B84&quot;/&gt;&lt;wsp:rsid wsp:val=&quot;00755D24&quot;/&gt;&lt;wsp:rsid wsp:val=&quot;00756554&quot;/&gt;&lt;wsp:rsid wsp:val=&quot;00756F92&quot;/&gt;&lt;wsp:rsid wsp:val=&quot;00757024&quot;/&gt;&lt;wsp:rsid wsp:val=&quot;007571C5&quot;/&gt;&lt;wsp:rsid wsp:val=&quot;00757301&quot;/&gt;&lt;wsp:rsid wsp:val=&quot;0075733E&quot;/&gt;&lt;wsp:rsid wsp:val=&quot;00757D6C&quot;/&gt;&lt;wsp:rsid wsp:val=&quot;00757E2A&quot;/&gt;&lt;wsp:rsid wsp:val=&quot;00757E50&quot;/&gt;&lt;wsp:rsid wsp:val=&quot;0076005D&quot;/&gt;&lt;wsp:rsid wsp:val=&quot;00760420&quot;/&gt;&lt;wsp:rsid wsp:val=&quot;00760BD6&quot;/&gt;&lt;wsp:rsid wsp:val=&quot;00760BE7&quot;/&gt;&lt;wsp:rsid wsp:val=&quot;00760CE4&quot;/&gt;&lt;wsp:rsid wsp:val=&quot;00760EDD&quot;/&gt;&lt;wsp:rsid wsp:val=&quot;00761063&quot;/&gt;&lt;wsp:rsid wsp:val=&quot;00761912&quot;/&gt;&lt;wsp:rsid wsp:val=&quot;00761B07&quot;/&gt;&lt;wsp:rsid wsp:val=&quot;00761F1D&quot;/&gt;&lt;wsp:rsid wsp:val=&quot;00761FED&quot;/&gt;&lt;wsp:rsid wsp:val=&quot;0076227B&quot;/&gt;&lt;wsp:rsid wsp:val=&quot;00762318&quot;/&gt;&lt;wsp:rsid wsp:val=&quot;007623C9&quot;/&gt;&lt;wsp:rsid wsp:val=&quot;0076240E&quot;/&gt;&lt;wsp:rsid wsp:val=&quot;00762612&quot;/&gt;&lt;wsp:rsid wsp:val=&quot;00762CA7&quot;/&gt;&lt;wsp:rsid wsp:val=&quot;00762CF6&quot;/&gt;&lt;wsp:rsid wsp:val=&quot;00762ED6&quot;/&gt;&lt;wsp:rsid wsp:val=&quot;00763055&quot;/&gt;&lt;wsp:rsid wsp:val=&quot;00763252&quot;/&gt;&lt;wsp:rsid wsp:val=&quot;00763A2C&quot;/&gt;&lt;wsp:rsid wsp:val=&quot;00763B3C&quot;/&gt;&lt;wsp:rsid wsp:val=&quot;00763BC7&quot;/&gt;&lt;wsp:rsid wsp:val=&quot;00763D97&quot;/&gt;&lt;wsp:rsid wsp:val=&quot;00763F9F&quot;/&gt;&lt;wsp:rsid wsp:val=&quot;0076423F&quot;/&gt;&lt;wsp:rsid wsp:val=&quot;007643C0&quot;/&gt;&lt;wsp:rsid wsp:val=&quot;007643C5&quot;/&gt;&lt;wsp:rsid wsp:val=&quot;007646D3&quot;/&gt;&lt;wsp:rsid wsp:val=&quot;00764701&quot;/&gt;&lt;wsp:rsid wsp:val=&quot;00764862&quot;/&gt;&lt;wsp:rsid wsp:val=&quot;00764A8F&quot;/&gt;&lt;wsp:rsid wsp:val=&quot;00764B34&quot;/&gt;&lt;wsp:rsid wsp:val=&quot;00764C33&quot;/&gt;&lt;wsp:rsid wsp:val=&quot;00764D51&quot;/&gt;&lt;wsp:rsid wsp:val=&quot;00764D91&quot;/&gt;&lt;wsp:rsid wsp:val=&quot;00764DD5&quot;/&gt;&lt;wsp:rsid wsp:val=&quot;00764E3F&quot;/&gt;&lt;wsp:rsid wsp:val=&quot;00764FCE&quot;/&gt;&lt;wsp:rsid wsp:val=&quot;0076556F&quot;/&gt;&lt;wsp:rsid wsp:val=&quot;00765719&quot;/&gt;&lt;wsp:rsid wsp:val=&quot;00765832&quot;/&gt;&lt;wsp:rsid wsp:val=&quot;0076596A&quot;/&gt;&lt;wsp:rsid wsp:val=&quot;00765DBC&quot;/&gt;&lt;wsp:rsid wsp:val=&quot;0076670C&quot;/&gt;&lt;wsp:rsid wsp:val=&quot;00766EFE&quot;/&gt;&lt;wsp:rsid wsp:val=&quot;00767339&quot;/&gt;&lt;wsp:rsid wsp:val=&quot;00767E15&quot;/&gt;&lt;wsp:rsid wsp:val=&quot;00767EF4&quot;/&gt;&lt;wsp:rsid wsp:val=&quot;0077003D&quot;/&gt;&lt;wsp:rsid wsp:val=&quot;007708BC&quot;/&gt;&lt;wsp:rsid wsp:val=&quot;007712D3&quot;/&gt;&lt;wsp:rsid wsp:val=&quot;007713CB&quot;/&gt;&lt;wsp:rsid wsp:val=&quot;0077174E&quot;/&gt;&lt;wsp:rsid wsp:val=&quot;00771AE3&quot;/&gt;&lt;wsp:rsid wsp:val=&quot;00771B46&quot;/&gt;&lt;wsp:rsid wsp:val=&quot;0077205B&quot;/&gt;&lt;wsp:rsid wsp:val=&quot;007722DE&quot;/&gt;&lt;wsp:rsid wsp:val=&quot;00772770&quot;/&gt;&lt;wsp:rsid wsp:val=&quot;00772A5D&quot;/&gt;&lt;wsp:rsid wsp:val=&quot;00772B4D&quot;/&gt;&lt;wsp:rsid wsp:val=&quot;00772EF5&quot;/&gt;&lt;wsp:rsid wsp:val=&quot;0077325B&quot;/&gt;&lt;wsp:rsid wsp:val=&quot;007733FF&quot;/&gt;&lt;wsp:rsid wsp:val=&quot;0077341D&quot;/&gt;&lt;wsp:rsid wsp:val=&quot;007735EF&quot;/&gt;&lt;wsp:rsid wsp:val=&quot;0077368F&quot;/&gt;&lt;wsp:rsid wsp:val=&quot;007736B1&quot;/&gt;&lt;wsp:rsid wsp:val=&quot;007737C1&quot;/&gt;&lt;wsp:rsid wsp:val=&quot;00773CB5&quot;/&gt;&lt;wsp:rsid wsp:val=&quot;00773EE9&quot;/&gt;&lt;wsp:rsid wsp:val=&quot;00773F92&quot;/&gt;&lt;wsp:rsid wsp:val=&quot;00773FB6&quot;/&gt;&lt;wsp:rsid wsp:val=&quot;0077401E&quot;/&gt;&lt;wsp:rsid wsp:val=&quot;00774436&quot;/&gt;&lt;wsp:rsid wsp:val=&quot;00774BC0&quot;/&gt;&lt;wsp:rsid wsp:val=&quot;00774D56&quot;/&gt;&lt;wsp:rsid wsp:val=&quot;007750CC&quot;/&gt;&lt;wsp:rsid wsp:val=&quot;0077534F&quot;/&gt;&lt;wsp:rsid wsp:val=&quot;00775784&quot;/&gt;&lt;wsp:rsid wsp:val=&quot;007758D1&quot;/&gt;&lt;wsp:rsid wsp:val=&quot;00775A32&quot;/&gt;&lt;wsp:rsid wsp:val=&quot;00775AAA&quot;/&gt;&lt;wsp:rsid wsp:val=&quot;00775E17&quot;/&gt;&lt;wsp:rsid wsp:val=&quot;00775FE1&quot;/&gt;&lt;wsp:rsid wsp:val=&quot;00776037&quot;/&gt;&lt;wsp:rsid wsp:val=&quot;00776370&quot;/&gt;&lt;wsp:rsid wsp:val=&quot;007766CF&quot;/&gt;&lt;wsp:rsid wsp:val=&quot;00776D5E&quot;/&gt;&lt;wsp:rsid wsp:val=&quot;00776D66&quot;/&gt;&lt;wsp:rsid wsp:val=&quot;00777421&quot;/&gt;&lt;wsp:rsid wsp:val=&quot;007777D9&quot;/&gt;&lt;wsp:rsid wsp:val=&quot;007777EA&quot;/&gt;&lt;wsp:rsid wsp:val=&quot;007801B0&quot;/&gt;&lt;wsp:rsid wsp:val=&quot;007803DE&quot;/&gt;&lt;wsp:rsid wsp:val=&quot;00780725&quot;/&gt;&lt;wsp:rsid wsp:val=&quot;00780C90&quot;/&gt;&lt;wsp:rsid wsp:val=&quot;00780F45&quot;/&gt;&lt;wsp:rsid wsp:val=&quot;00780F93&quot;/&gt;&lt;wsp:rsid wsp:val=&quot;00781180&quot;/&gt;&lt;wsp:rsid wsp:val=&quot;007812D4&quot;/&gt;&lt;wsp:rsid wsp:val=&quot;0078134A&quot;/&gt;&lt;wsp:rsid wsp:val=&quot;00781E85&quot;/&gt;&lt;wsp:rsid wsp:val=&quot;007822F1&quot;/&gt;&lt;wsp:rsid wsp:val=&quot;007825AC&quot;/&gt;&lt;wsp:rsid wsp:val=&quot;0078282E&quot;/&gt;&lt;wsp:rsid wsp:val=&quot;0078289F&quot;/&gt;&lt;wsp:rsid wsp:val=&quot;00782E11&quot;/&gt;&lt;wsp:rsid wsp:val=&quot;0078331E&quot;/&gt;&lt;wsp:rsid wsp:val=&quot;00783528&quot;/&gt;&lt;wsp:rsid wsp:val=&quot;0078376F&quot;/&gt;&lt;wsp:rsid wsp:val=&quot;007839B8&quot;/&gt;&lt;wsp:rsid wsp:val=&quot;007847FD&quot;/&gt;&lt;wsp:rsid wsp:val=&quot;0078487F&quot;/&gt;&lt;wsp:rsid wsp:val=&quot;00784AAE&quot;/&gt;&lt;wsp:rsid wsp:val=&quot;007850AF&quot;/&gt;&lt;wsp:rsid wsp:val=&quot;0078552C&quot;/&gt;&lt;wsp:rsid wsp:val=&quot;00785862&quot;/&gt;&lt;wsp:rsid wsp:val=&quot;00785AA9&quot;/&gt;&lt;wsp:rsid wsp:val=&quot;00785AD3&quot;/&gt;&lt;wsp:rsid wsp:val=&quot;00785DA7&quot;/&gt;&lt;wsp:rsid wsp:val=&quot;00785F57&quot;/&gt;&lt;wsp:rsid wsp:val=&quot;00786231&quot;/&gt;&lt;wsp:rsid wsp:val=&quot;00786707&quot;/&gt;&lt;wsp:rsid wsp:val=&quot;00786A04&quot;/&gt;&lt;wsp:rsid wsp:val=&quot;00786BB2&quot;/&gt;&lt;wsp:rsid wsp:val=&quot;00787174&quot;/&gt;&lt;wsp:rsid wsp:val=&quot;007872C0&quot;/&gt;&lt;wsp:rsid wsp:val=&quot;00787318&quot;/&gt;&lt;wsp:rsid wsp:val=&quot;00787440&quot;/&gt;&lt;wsp:rsid wsp:val=&quot;00787935&quot;/&gt;&lt;wsp:rsid wsp:val=&quot;00787A5A&quot;/&gt;&lt;wsp:rsid wsp:val=&quot;00787E07&quot;/&gt;&lt;wsp:rsid wsp:val=&quot;007903D7&quot;/&gt;&lt;wsp:rsid wsp:val=&quot;007907DA&quot;/&gt;&lt;wsp:rsid wsp:val=&quot;00790922&quot;/&gt;&lt;wsp:rsid wsp:val=&quot;00790AD6&quot;/&gt;&lt;wsp:rsid wsp:val=&quot;00790B02&quot;/&gt;&lt;wsp:rsid wsp:val=&quot;00790E0B&quot;/&gt;&lt;wsp:rsid wsp:val=&quot;00791069&quot;/&gt;&lt;wsp:rsid wsp:val=&quot;007922A2&quot;/&gt;&lt;wsp:rsid wsp:val=&quot;00792975&quot;/&gt;&lt;wsp:rsid wsp:val=&quot;00792A32&quot;/&gt;&lt;wsp:rsid wsp:val=&quot;00792BE9&quot;/&gt;&lt;wsp:rsid wsp:val=&quot;00792C66&quot;/&gt;&lt;wsp:rsid wsp:val=&quot;00792F7E&quot;/&gt;&lt;wsp:rsid wsp:val=&quot;00792FEE&quot;/&gt;&lt;wsp:rsid wsp:val=&quot;0079373C&quot;/&gt;&lt;wsp:rsid wsp:val=&quot;00793773&quot;/&gt;&lt;wsp:rsid wsp:val=&quot;00793DA9&quot;/&gt;&lt;wsp:rsid wsp:val=&quot;00794559&quot;/&gt;&lt;wsp:rsid wsp:val=&quot;0079487B&quot;/&gt;&lt;wsp:rsid wsp:val=&quot;00794BC0&quot;/&gt;&lt;wsp:rsid wsp:val=&quot;00794BEC&quot;/&gt;&lt;wsp:rsid wsp:val=&quot;00794EF8&quot;/&gt;&lt;wsp:rsid wsp:val=&quot;00795215&quot;/&gt;&lt;wsp:rsid wsp:val=&quot;0079539F&quot;/&gt;&lt;wsp:rsid wsp:val=&quot;00795433&quot;/&gt;&lt;wsp:rsid wsp:val=&quot;0079573F&quot;/&gt;&lt;wsp:rsid wsp:val=&quot;00795EF8&quot;/&gt;&lt;wsp:rsid wsp:val=&quot;0079662D&quot;/&gt;&lt;wsp:rsid wsp:val=&quot;00796954&quot;/&gt;&lt;wsp:rsid wsp:val=&quot;007969A1&quot;/&gt;&lt;wsp:rsid wsp:val=&quot;00797587&quot;/&gt;&lt;wsp:rsid wsp:val=&quot;0079772A&quot;/&gt;&lt;wsp:rsid wsp:val=&quot;007977EE&quot;/&gt;&lt;wsp:rsid wsp:val=&quot;007A03CB&quot;/&gt;&lt;wsp:rsid wsp:val=&quot;007A046B&quot;/&gt;&lt;wsp:rsid wsp:val=&quot;007A0493&quot;/&gt;&lt;wsp:rsid wsp:val=&quot;007A0658&quot;/&gt;&lt;wsp:rsid wsp:val=&quot;007A0677&quot;/&gt;&lt;wsp:rsid wsp:val=&quot;007A19BF&quot;/&gt;&lt;wsp:rsid wsp:val=&quot;007A1CE1&quot;/&gt;&lt;wsp:rsid wsp:val=&quot;007A209B&quot;/&gt;&lt;wsp:rsid wsp:val=&quot;007A24DC&quot;/&gt;&lt;wsp:rsid wsp:val=&quot;007A29D5&quot;/&gt;&lt;wsp:rsid wsp:val=&quot;007A2AFD&quot;/&gt;&lt;wsp:rsid wsp:val=&quot;007A2E34&quot;/&gt;&lt;wsp:rsid wsp:val=&quot;007A2F54&quot;/&gt;&lt;wsp:rsid wsp:val=&quot;007A340D&quot;/&gt;&lt;wsp:rsid wsp:val=&quot;007A3481&quot;/&gt;&lt;wsp:rsid wsp:val=&quot;007A353A&quot;/&gt;&lt;wsp:rsid wsp:val=&quot;007A39E2&quot;/&gt;&lt;wsp:rsid wsp:val=&quot;007A3A60&quot;/&gt;&lt;wsp:rsid wsp:val=&quot;007A3C15&quot;/&gt;&lt;wsp:rsid wsp:val=&quot;007A4178&quot;/&gt;&lt;wsp:rsid wsp:val=&quot;007A435C&quot;/&gt;&lt;wsp:rsid wsp:val=&quot;007A586B&quot;/&gt;&lt;wsp:rsid wsp:val=&quot;007A6453&quot;/&gt;&lt;wsp:rsid wsp:val=&quot;007A677B&quot;/&gt;&lt;wsp:rsid wsp:val=&quot;007A6A0B&quot;/&gt;&lt;wsp:rsid wsp:val=&quot;007A6E31&quot;/&gt;&lt;wsp:rsid wsp:val=&quot;007A6FE8&quot;/&gt;&lt;wsp:rsid wsp:val=&quot;007A72AA&quot;/&gt;&lt;wsp:rsid wsp:val=&quot;007A72EC&quot;/&gt;&lt;wsp:rsid wsp:val=&quot;007A73A7&quot;/&gt;&lt;wsp:rsid wsp:val=&quot;007A7A17&quot;/&gt;&lt;wsp:rsid wsp:val=&quot;007A7B90&quot;/&gt;&lt;wsp:rsid wsp:val=&quot;007B019A&quot;/&gt;&lt;wsp:rsid wsp:val=&quot;007B0610&quot;/&gt;&lt;wsp:rsid wsp:val=&quot;007B07BD&quot;/&gt;&lt;wsp:rsid wsp:val=&quot;007B0814&quot;/&gt;&lt;wsp:rsid wsp:val=&quot;007B0ABE&quot;/&gt;&lt;wsp:rsid wsp:val=&quot;007B16A9&quot;/&gt;&lt;wsp:rsid wsp:val=&quot;007B211A&quot;/&gt;&lt;wsp:rsid wsp:val=&quot;007B2583&quot;/&gt;&lt;wsp:rsid wsp:val=&quot;007B275C&quot;/&gt;&lt;wsp:rsid wsp:val=&quot;007B307E&quot;/&gt;&lt;wsp:rsid wsp:val=&quot;007B33FF&quot;/&gt;&lt;wsp:rsid wsp:val=&quot;007B3610&quot;/&gt;&lt;wsp:rsid wsp:val=&quot;007B38D1&quot;/&gt;&lt;wsp:rsid wsp:val=&quot;007B3B6A&quot;/&gt;&lt;wsp:rsid wsp:val=&quot;007B3BDC&quot;/&gt;&lt;wsp:rsid wsp:val=&quot;007B3F99&quot;/&gt;&lt;wsp:rsid wsp:val=&quot;007B42E4&quot;/&gt;&lt;wsp:rsid wsp:val=&quot;007B50D5&quot;/&gt;&lt;wsp:rsid wsp:val=&quot;007B50D6&quot;/&gt;&lt;wsp:rsid wsp:val=&quot;007B5141&quot;/&gt;&lt;wsp:rsid wsp:val=&quot;007B5358&quot;/&gt;&lt;wsp:rsid wsp:val=&quot;007B54A0&quot;/&gt;&lt;wsp:rsid wsp:val=&quot;007B580B&quot;/&gt;&lt;wsp:rsid wsp:val=&quot;007B5B44&quot;/&gt;&lt;wsp:rsid wsp:val=&quot;007B5E24&quot;/&gt;&lt;wsp:rsid wsp:val=&quot;007B69CA&quot;/&gt;&lt;wsp:rsid wsp:val=&quot;007B6B46&quot;/&gt;&lt;wsp:rsid wsp:val=&quot;007B741A&quot;/&gt;&lt;wsp:rsid wsp:val=&quot;007B771F&quot;/&gt;&lt;wsp:rsid wsp:val=&quot;007B7D7F&quot;/&gt;&lt;wsp:rsid wsp:val=&quot;007B7E7D&quot;/&gt;&lt;wsp:rsid wsp:val=&quot;007B7FCB&quot;/&gt;&lt;wsp:rsid wsp:val=&quot;007C0CFB&quot;/&gt;&lt;wsp:rsid wsp:val=&quot;007C0FF4&quot;/&gt;&lt;wsp:rsid wsp:val=&quot;007C11C8&quot;/&gt;&lt;wsp:rsid wsp:val=&quot;007C1591&quot;/&gt;&lt;wsp:rsid wsp:val=&quot;007C20DB&quot;/&gt;&lt;wsp:rsid wsp:val=&quot;007C23CA&quot;/&gt;&lt;wsp:rsid wsp:val=&quot;007C29E7&quot;/&gt;&lt;wsp:rsid wsp:val=&quot;007C2ECB&quot;/&gt;&lt;wsp:rsid wsp:val=&quot;007C2EEE&quot;/&gt;&lt;wsp:rsid wsp:val=&quot;007C32BA&quot;/&gt;&lt;wsp:rsid wsp:val=&quot;007C3367&quot;/&gt;&lt;wsp:rsid wsp:val=&quot;007C364E&quot;/&gt;&lt;wsp:rsid wsp:val=&quot;007C36B1&quot;/&gt;&lt;wsp:rsid wsp:val=&quot;007C3722&quot;/&gt;&lt;wsp:rsid wsp:val=&quot;007C3747&quot;/&gt;&lt;wsp:rsid wsp:val=&quot;007C38D9&quot;/&gt;&lt;wsp:rsid wsp:val=&quot;007C3DE5&quot;/&gt;&lt;wsp:rsid wsp:val=&quot;007C4074&quot;/&gt;&lt;wsp:rsid wsp:val=&quot;007C4F5A&quot;/&gt;&lt;wsp:rsid wsp:val=&quot;007C50F4&quot;/&gt;&lt;wsp:rsid wsp:val=&quot;007C5200&quot;/&gt;&lt;wsp:rsid wsp:val=&quot;007C5581&quot;/&gt;&lt;wsp:rsid wsp:val=&quot;007C5732&quot;/&gt;&lt;wsp:rsid wsp:val=&quot;007C5A5A&quot;/&gt;&lt;wsp:rsid wsp:val=&quot;007C5DA4&quot;/&gt;&lt;wsp:rsid wsp:val=&quot;007C5DD1&quot;/&gt;&lt;wsp:rsid wsp:val=&quot;007C6326&quot;/&gt;&lt;wsp:rsid wsp:val=&quot;007C684E&quot;/&gt;&lt;wsp:rsid wsp:val=&quot;007C6C41&quot;/&gt;&lt;wsp:rsid wsp:val=&quot;007C72F0&quot;/&gt;&lt;wsp:rsid wsp:val=&quot;007C73BA&quot;/&gt;&lt;wsp:rsid wsp:val=&quot;007C7797&quot;/&gt;&lt;wsp:rsid wsp:val=&quot;007C7A6B&quot;/&gt;&lt;wsp:rsid wsp:val=&quot;007C7C0D&quot;/&gt;&lt;wsp:rsid wsp:val=&quot;007D0152&quot;/&gt;&lt;wsp:rsid wsp:val=&quot;007D0A4F&quot;/&gt;&lt;wsp:rsid wsp:val=&quot;007D0CEE&quot;/&gt;&lt;wsp:rsid wsp:val=&quot;007D0E99&quot;/&gt;&lt;wsp:rsid wsp:val=&quot;007D0EC3&quot;/&gt;&lt;wsp:rsid wsp:val=&quot;007D124F&quot;/&gt;&lt;wsp:rsid wsp:val=&quot;007D12C0&quot;/&gt;&lt;wsp:rsid wsp:val=&quot;007D150B&quot;/&gt;&lt;wsp:rsid wsp:val=&quot;007D1607&quot;/&gt;&lt;wsp:rsid wsp:val=&quot;007D1645&quot;/&gt;&lt;wsp:rsid wsp:val=&quot;007D18E0&quot;/&gt;&lt;wsp:rsid wsp:val=&quot;007D1BC1&quot;/&gt;&lt;wsp:rsid wsp:val=&quot;007D1C66&quot;/&gt;&lt;wsp:rsid wsp:val=&quot;007D1CC7&quot;/&gt;&lt;wsp:rsid wsp:val=&quot;007D1CFA&quot;/&gt;&lt;wsp:rsid wsp:val=&quot;007D1E39&quot;/&gt;&lt;wsp:rsid wsp:val=&quot;007D2240&quot;/&gt;&lt;wsp:rsid wsp:val=&quot;007D22B0&quot;/&gt;&lt;wsp:rsid wsp:val=&quot;007D2504&quot;/&gt;&lt;wsp:rsid wsp:val=&quot;007D279A&quot;/&gt;&lt;wsp:rsid wsp:val=&quot;007D2ABA&quot;/&gt;&lt;wsp:rsid wsp:val=&quot;007D2ADC&quot;/&gt;&lt;wsp:rsid wsp:val=&quot;007D2D26&quot;/&gt;&lt;wsp:rsid wsp:val=&quot;007D2EB8&quot;/&gt;&lt;wsp:rsid wsp:val=&quot;007D2EC6&quot;/&gt;&lt;wsp:rsid wsp:val=&quot;007D3264&quot;/&gt;&lt;wsp:rsid wsp:val=&quot;007D32FF&quot;/&gt;&lt;wsp:rsid wsp:val=&quot;007D375C&quot;/&gt;&lt;wsp:rsid wsp:val=&quot;007D3C9B&quot;/&gt;&lt;wsp:rsid wsp:val=&quot;007D409B&quot;/&gt;&lt;wsp:rsid wsp:val=&quot;007D41AB&quot;/&gt;&lt;wsp:rsid wsp:val=&quot;007D4587&quot;/&gt;&lt;wsp:rsid wsp:val=&quot;007D47CB&quot;/&gt;&lt;wsp:rsid wsp:val=&quot;007D4BC7&quot;/&gt;&lt;wsp:rsid wsp:val=&quot;007D4C39&quot;/&gt;&lt;wsp:rsid wsp:val=&quot;007D4D48&quot;/&gt;&lt;wsp:rsid wsp:val=&quot;007D4DA5&quot;/&gt;&lt;wsp:rsid wsp:val=&quot;007D5948&quot;/&gt;&lt;wsp:rsid wsp:val=&quot;007D5B4C&quot;/&gt;&lt;wsp:rsid wsp:val=&quot;007D5C25&quot;/&gt;&lt;wsp:rsid wsp:val=&quot;007D5D86&quot;/&gt;&lt;wsp:rsid wsp:val=&quot;007D5EA0&quot;/&gt;&lt;wsp:rsid wsp:val=&quot;007D5FDB&quot;/&gt;&lt;wsp:rsid wsp:val=&quot;007D627E&quot;/&gt;&lt;wsp:rsid wsp:val=&quot;007D62FD&quot;/&gt;&lt;wsp:rsid wsp:val=&quot;007D6494&quot;/&gt;&lt;wsp:rsid wsp:val=&quot;007D64A7&quot;/&gt;&lt;wsp:rsid wsp:val=&quot;007D6508&quot;/&gt;&lt;wsp:rsid wsp:val=&quot;007D6C21&quot;/&gt;&lt;wsp:rsid wsp:val=&quot;007D716E&quot;/&gt;&lt;wsp:rsid wsp:val=&quot;007D7ACF&quot;/&gt;&lt;wsp:rsid wsp:val=&quot;007D7BCF&quot;/&gt;&lt;wsp:rsid wsp:val=&quot;007E00E4&quot;/&gt;&lt;wsp:rsid wsp:val=&quot;007E0268&quot;/&gt;&lt;wsp:rsid wsp:val=&quot;007E060E&quot;/&gt;&lt;wsp:rsid wsp:val=&quot;007E087A&quot;/&gt;&lt;wsp:rsid wsp:val=&quot;007E0969&quot;/&gt;&lt;wsp:rsid wsp:val=&quot;007E09FA&quot;/&gt;&lt;wsp:rsid wsp:val=&quot;007E1244&quot;/&gt;&lt;wsp:rsid wsp:val=&quot;007E1A43&quot;/&gt;&lt;wsp:rsid wsp:val=&quot;007E1A52&quot;/&gt;&lt;wsp:rsid wsp:val=&quot;007E1ADE&quot;/&gt;&lt;wsp:rsid wsp:val=&quot;007E1D43&quot;/&gt;&lt;wsp:rsid wsp:val=&quot;007E1D4D&quot;/&gt;&lt;wsp:rsid wsp:val=&quot;007E2123&quot;/&gt;&lt;wsp:rsid wsp:val=&quot;007E241C&quot;/&gt;&lt;wsp:rsid wsp:val=&quot;007E2834&quot;/&gt;&lt;wsp:rsid wsp:val=&quot;007E2BC4&quot;/&gt;&lt;wsp:rsid wsp:val=&quot;007E2DA6&quot;/&gt;&lt;wsp:rsid wsp:val=&quot;007E2FA4&quot;/&gt;&lt;wsp:rsid wsp:val=&quot;007E30B9&quot;/&gt;&lt;wsp:rsid wsp:val=&quot;007E3370&quot;/&gt;&lt;wsp:rsid wsp:val=&quot;007E3593&quot;/&gt;&lt;wsp:rsid wsp:val=&quot;007E3686&quot;/&gt;&lt;wsp:rsid wsp:val=&quot;007E3EA5&quot;/&gt;&lt;wsp:rsid wsp:val=&quot;007E3F11&quot;/&gt;&lt;wsp:rsid wsp:val=&quot;007E3F9E&quot;/&gt;&lt;wsp:rsid wsp:val=&quot;007E47F7&quot;/&gt;&lt;wsp:rsid wsp:val=&quot;007E48E6&quot;/&gt;&lt;wsp:rsid wsp:val=&quot;007E4A75&quot;/&gt;&lt;wsp:rsid wsp:val=&quot;007E4A99&quot;/&gt;&lt;wsp:rsid wsp:val=&quot;007E4C83&quot;/&gt;&lt;wsp:rsid wsp:val=&quot;007E4FF9&quot;/&gt;&lt;wsp:rsid wsp:val=&quot;007E56C3&quot;/&gt;&lt;wsp:rsid wsp:val=&quot;007E5D09&quot;/&gt;&lt;wsp:rsid wsp:val=&quot;007E5D15&quot;/&gt;&lt;wsp:rsid wsp:val=&quot;007E60E4&quot;/&gt;&lt;wsp:rsid wsp:val=&quot;007E61AF&quot;/&gt;&lt;wsp:rsid wsp:val=&quot;007E61DC&quot;/&gt;&lt;wsp:rsid wsp:val=&quot;007E6348&quot;/&gt;&lt;wsp:rsid wsp:val=&quot;007E63EE&quot;/&gt;&lt;wsp:rsid wsp:val=&quot;007E64B8&quot;/&gt;&lt;wsp:rsid wsp:val=&quot;007E6716&quot;/&gt;&lt;wsp:rsid wsp:val=&quot;007E67E9&quot;/&gt;&lt;wsp:rsid wsp:val=&quot;007E6845&quot;/&gt;&lt;wsp:rsid wsp:val=&quot;007E684D&quot;/&gt;&lt;wsp:rsid wsp:val=&quot;007E6ADF&quot;/&gt;&lt;wsp:rsid wsp:val=&quot;007E6AFE&quot;/&gt;&lt;wsp:rsid wsp:val=&quot;007E6EC8&quot;/&gt;&lt;wsp:rsid wsp:val=&quot;007E710C&quot;/&gt;&lt;wsp:rsid wsp:val=&quot;007E72A0&quot;/&gt;&lt;wsp:rsid wsp:val=&quot;007E7602&quot;/&gt;&lt;wsp:rsid wsp:val=&quot;007E769B&quot;/&gt;&lt;wsp:rsid wsp:val=&quot;007E76D6&quot;/&gt;&lt;wsp:rsid wsp:val=&quot;007E775F&quot;/&gt;&lt;wsp:rsid wsp:val=&quot;007E7799&quot;/&gt;&lt;wsp:rsid wsp:val=&quot;007E7C3A&quot;/&gt;&lt;wsp:rsid wsp:val=&quot;007F0137&quot;/&gt;&lt;wsp:rsid wsp:val=&quot;007F0F44&quot;/&gt;&lt;wsp:rsid wsp:val=&quot;007F13C7&quot;/&gt;&lt;wsp:rsid wsp:val=&quot;007F13E5&quot;/&gt;&lt;wsp:rsid wsp:val=&quot;007F1C37&quot;/&gt;&lt;wsp:rsid wsp:val=&quot;007F1C87&quot;/&gt;&lt;wsp:rsid wsp:val=&quot;007F1EB8&quot;/&gt;&lt;wsp:rsid wsp:val=&quot;007F2148&quot;/&gt;&lt;wsp:rsid wsp:val=&quot;007F2178&quot;/&gt;&lt;wsp:rsid wsp:val=&quot;007F2329&quot;/&gt;&lt;wsp:rsid wsp:val=&quot;007F2475&quot;/&gt;&lt;wsp:rsid wsp:val=&quot;007F28FE&quot;/&gt;&lt;wsp:rsid wsp:val=&quot;007F2C05&quot;/&gt;&lt;wsp:rsid wsp:val=&quot;007F2F0B&quot;/&gt;&lt;wsp:rsid wsp:val=&quot;007F3061&quot;/&gt;&lt;wsp:rsid wsp:val=&quot;007F31BC&quot;/&gt;&lt;wsp:rsid wsp:val=&quot;007F34DE&quot;/&gt;&lt;wsp:rsid wsp:val=&quot;007F390A&quot;/&gt;&lt;wsp:rsid wsp:val=&quot;007F4472&quot;/&gt;&lt;wsp:rsid wsp:val=&quot;007F4B96&quot;/&gt;&lt;wsp:rsid wsp:val=&quot;007F4F74&quot;/&gt;&lt;wsp:rsid wsp:val=&quot;007F5177&quot;/&gt;&lt;wsp:rsid wsp:val=&quot;007F60E6&quot;/&gt;&lt;wsp:rsid wsp:val=&quot;007F6270&quot;/&gt;&lt;wsp:rsid wsp:val=&quot;007F6404&quot;/&gt;&lt;wsp:rsid wsp:val=&quot;007F718E&quot;/&gt;&lt;wsp:rsid wsp:val=&quot;007F771F&quot;/&gt;&lt;wsp:rsid wsp:val=&quot;007F7A4C&quot;/&gt;&lt;wsp:rsid wsp:val=&quot;008001D8&quot;/&gt;&lt;wsp:rsid wsp:val=&quot;008006A8&quot;/&gt;&lt;wsp:rsid wsp:val=&quot;00800BB8&quot;/&gt;&lt;wsp:rsid wsp:val=&quot;00800E2C&quot;/&gt;&lt;wsp:rsid wsp:val=&quot;00800F0F&quot;/&gt;&lt;wsp:rsid wsp:val=&quot;00801002&quot;/&gt;&lt;wsp:rsid wsp:val=&quot;00802450&quot;/&gt;&lt;wsp:rsid wsp:val=&quot;008025B5&quot;/&gt;&lt;wsp:rsid wsp:val=&quot;0080274C&quot;/&gt;&lt;wsp:rsid wsp:val=&quot;00802CB7&quot;/&gt;&lt;wsp:rsid wsp:val=&quot;00802CDF&quot;/&gt;&lt;wsp:rsid wsp:val=&quot;00802E4A&quot;/&gt;&lt;wsp:rsid wsp:val=&quot;00802EE9&quot;/&gt;&lt;wsp:rsid wsp:val=&quot;00803A2E&quot;/&gt;&lt;wsp:rsid wsp:val=&quot;00803FF4&quot;/&gt;&lt;wsp:rsid wsp:val=&quot;0080414C&quot;/&gt;&lt;wsp:rsid wsp:val=&quot;008041B4&quot;/&gt;&lt;wsp:rsid wsp:val=&quot;008043C2&quot;/&gt;&lt;wsp:rsid wsp:val=&quot;00804428&quot;/&gt;&lt;wsp:rsid wsp:val=&quot;00804761&quot;/&gt;&lt;wsp:rsid wsp:val=&quot;008047A2&quot;/&gt;&lt;wsp:rsid wsp:val=&quot;00804A49&quot;/&gt;&lt;wsp:rsid wsp:val=&quot;00804C46&quot;/&gt;&lt;wsp:rsid wsp:val=&quot;008050C6&quot;/&gt;&lt;wsp:rsid wsp:val=&quot;0080576A&quot;/&gt;&lt;wsp:rsid wsp:val=&quot;00805848&quot;/&gt;&lt;wsp:rsid wsp:val=&quot;00806065&quot;/&gt;&lt;wsp:rsid wsp:val=&quot;00806A5A&quot;/&gt;&lt;wsp:rsid wsp:val=&quot;008071B3&quot;/&gt;&lt;wsp:rsid wsp:val=&quot;00807212&quot;/&gt;&lt;wsp:rsid wsp:val=&quot;0080760F&quot;/&gt;&lt;wsp:rsid wsp:val=&quot;00807880&quot;/&gt;&lt;wsp:rsid wsp:val=&quot;00807C26&quot;/&gt;&lt;wsp:rsid wsp:val=&quot;00807F63&quot;/&gt;&lt;wsp:rsid wsp:val=&quot;00810315&quot;/&gt;&lt;wsp:rsid wsp:val=&quot;00810398&quot;/&gt;&lt;wsp:rsid wsp:val=&quot;00810414&quot;/&gt;&lt;wsp:rsid wsp:val=&quot;00810708&quot;/&gt;&lt;wsp:rsid wsp:val=&quot;008108F0&quot;/&gt;&lt;wsp:rsid wsp:val=&quot;008109F5&quot;/&gt;&lt;wsp:rsid wsp:val=&quot;00810C6B&quot;/&gt;&lt;wsp:rsid wsp:val=&quot;00811081&quot;/&gt;&lt;wsp:rsid wsp:val=&quot;008110E1&quot;/&gt;&lt;wsp:rsid wsp:val=&quot;00811601&quot;/&gt;&lt;wsp:rsid wsp:val=&quot;00811852&quot;/&gt;&lt;wsp:rsid wsp:val=&quot;00811902&quot;/&gt;&lt;wsp:rsid wsp:val=&quot;00811A43&quot;/&gt;&lt;wsp:rsid wsp:val=&quot;00811FE4&quot;/&gt;&lt;wsp:rsid wsp:val=&quot;00812170&quot;/&gt;&lt;wsp:rsid wsp:val=&quot;0081258B&quot;/&gt;&lt;wsp:rsid wsp:val=&quot;00812BBB&quot;/&gt;&lt;wsp:rsid wsp:val=&quot;00812C46&quot;/&gt;&lt;wsp:rsid wsp:val=&quot;00812CD9&quot;/&gt;&lt;wsp:rsid wsp:val=&quot;008132A5&quot;/&gt;&lt;wsp:rsid wsp:val=&quot;00813330&quot;/&gt;&lt;wsp:rsid wsp:val=&quot;00813361&quot;/&gt;&lt;wsp:rsid wsp:val=&quot;008134AA&quot;/&gt;&lt;wsp:rsid wsp:val=&quot;008137F2&quot;/&gt;&lt;wsp:rsid wsp:val=&quot;00813849&quot;/&gt;&lt;wsp:rsid wsp:val=&quot;00814082&quot;/&gt;&lt;wsp:rsid wsp:val=&quot;0081486F&quot;/&gt;&lt;wsp:rsid wsp:val=&quot;00814B3B&quot;/&gt;&lt;wsp:rsid wsp:val=&quot;00814B61&quot;/&gt;&lt;wsp:rsid wsp:val=&quot;00815174&quot;/&gt;&lt;wsp:rsid wsp:val=&quot;008155F9&quot;/&gt;&lt;wsp:rsid wsp:val=&quot;008159A1&quot;/&gt;&lt;wsp:rsid wsp:val=&quot;00815B37&quot;/&gt;&lt;wsp:rsid wsp:val=&quot;00815EA7&quot;/&gt;&lt;wsp:rsid wsp:val=&quot;00815EBD&quot;/&gt;&lt;wsp:rsid wsp:val=&quot;008162FE&quot;/&gt;&lt;wsp:rsid wsp:val=&quot;00816398&quot;/&gt;&lt;wsp:rsid wsp:val=&quot;0081654E&quot;/&gt;&lt;wsp:rsid wsp:val=&quot;00816C1E&quot;/&gt;&lt;wsp:rsid wsp:val=&quot;00816C46&quot;/&gt;&lt;wsp:rsid wsp:val=&quot;00816D56&quot;/&gt;&lt;wsp:rsid wsp:val=&quot;008171AB&quot;/&gt;&lt;wsp:rsid wsp:val=&quot;008172B0&quot;/&gt;&lt;wsp:rsid wsp:val=&quot;00817387&quot;/&gt;&lt;wsp:rsid wsp:val=&quot;0081797F&quot;/&gt;&lt;wsp:rsid wsp:val=&quot;008200DC&quot;/&gt;&lt;wsp:rsid wsp:val=&quot;008203C2&quot;/&gt;&lt;wsp:rsid wsp:val=&quot;00821293&quot;/&gt;&lt;wsp:rsid wsp:val=&quot;00821807&quot;/&gt;&lt;wsp:rsid wsp:val=&quot;00821895&quot;/&gt;&lt;wsp:rsid wsp:val=&quot;00821A6B&quot;/&gt;&lt;wsp:rsid wsp:val=&quot;00821CE2&quot;/&gt;&lt;wsp:rsid wsp:val=&quot;008220BB&quot;/&gt;&lt;wsp:rsid wsp:val=&quot;00822539&quot;/&gt;&lt;wsp:rsid wsp:val=&quot;008234B3&quot;/&gt;&lt;wsp:rsid wsp:val=&quot;00823566&quot;/&gt;&lt;wsp:rsid wsp:val=&quot;00823B15&quot;/&gt;&lt;wsp:rsid wsp:val=&quot;00824561&quot;/&gt;&lt;wsp:rsid wsp:val=&quot;0082502E&quot;/&gt;&lt;wsp:rsid wsp:val=&quot;008251CA&quot;/&gt;&lt;wsp:rsid wsp:val=&quot;008253C6&quot;/&gt;&lt;wsp:rsid wsp:val=&quot;008253F0&quot;/&gt;&lt;wsp:rsid wsp:val=&quot;008256F2&quot;/&gt;&lt;wsp:rsid wsp:val=&quot;00825F83&quot;/&gt;&lt;wsp:rsid wsp:val=&quot;0082612E&quot;/&gt;&lt;wsp:rsid wsp:val=&quot;008262C5&quot;/&gt;&lt;wsp:rsid wsp:val=&quot;00826510&quot;/&gt;&lt;wsp:rsid wsp:val=&quot;0082706E&quot;/&gt;&lt;wsp:rsid wsp:val=&quot;0082759B&quot;/&gt;&lt;wsp:rsid wsp:val=&quot;00827BCA&quot;/&gt;&lt;wsp:rsid wsp:val=&quot;00827DAD&quot;/&gt;&lt;wsp:rsid wsp:val=&quot;00827F05&quot;/&gt;&lt;wsp:rsid wsp:val=&quot;00827F6D&quot;/&gt;&lt;wsp:rsid wsp:val=&quot;0083080E&quot;/&gt;&lt;wsp:rsid wsp:val=&quot;0083086C&quot;/&gt;&lt;wsp:rsid wsp:val=&quot;00830CF4&quot;/&gt;&lt;wsp:rsid wsp:val=&quot;00830DAF&quot;/&gt;&lt;wsp:rsid wsp:val=&quot;00830F63&quot;/&gt;&lt;wsp:rsid wsp:val=&quot;00830F77&quot;/&gt;&lt;wsp:rsid wsp:val=&quot;008311D9&quot;/&gt;&lt;wsp:rsid wsp:val=&quot;00831486&quot;/&gt;&lt;wsp:rsid wsp:val=&quot;00831AC1&quot;/&gt;&lt;wsp:rsid wsp:val=&quot;00831F2E&quot;/&gt;&lt;wsp:rsid wsp:val=&quot;008325A4&quot;/&gt;&lt;wsp:rsid wsp:val=&quot;00832ADC&quot;/&gt;&lt;wsp:rsid wsp:val=&quot;00832E81&quot;/&gt;&lt;wsp:rsid wsp:val=&quot;00833A63&quot;/&gt;&lt;wsp:rsid wsp:val=&quot;00833BF2&quot;/&gt;&lt;wsp:rsid wsp:val=&quot;00833D11&quot;/&gt;&lt;wsp:rsid wsp:val=&quot;00833D69&quot;/&gt;&lt;wsp:rsid wsp:val=&quot;00833F52&quot;/&gt;&lt;wsp:rsid wsp:val=&quot;00834120&quot;/&gt;&lt;wsp:rsid wsp:val=&quot;00834185&quot;/&gt;&lt;wsp:rsid wsp:val=&quot;00834541&quot;/&gt;&lt;wsp:rsid wsp:val=&quot;00834920&quot;/&gt;&lt;wsp:rsid wsp:val=&quot;008349E6&quot;/&gt;&lt;wsp:rsid wsp:val=&quot;00834C64&quot;/&gt;&lt;wsp:rsid wsp:val=&quot;00834ECA&quot;/&gt;&lt;wsp:rsid wsp:val=&quot;00834ED1&quot;/&gt;&lt;wsp:rsid wsp:val=&quot;00834EE9&quot;/&gt;&lt;wsp:rsid wsp:val=&quot;00835031&quot;/&gt;&lt;wsp:rsid wsp:val=&quot;008354B6&quot;/&gt;&lt;wsp:rsid wsp:val=&quot;00835797&quot;/&gt;&lt;wsp:rsid wsp:val=&quot;00835A24&quot;/&gt;&lt;wsp:rsid wsp:val=&quot;00835B9C&quot;/&gt;&lt;wsp:rsid wsp:val=&quot;00835BEA&quot;/&gt;&lt;wsp:rsid wsp:val=&quot;00835C42&quot;/&gt;&lt;wsp:rsid wsp:val=&quot;00836133&quot;/&gt;&lt;wsp:rsid wsp:val=&quot;0083635A&quot;/&gt;&lt;wsp:rsid wsp:val=&quot;008365CB&quot;/&gt;&lt;wsp:rsid wsp:val=&quot;00836C7C&quot;/&gt;&lt;wsp:rsid wsp:val=&quot;00836DB2&quot;/&gt;&lt;wsp:rsid wsp:val=&quot;00836F53&quot;/&gt;&lt;wsp:rsid wsp:val=&quot;00837197&quot;/&gt;&lt;wsp:rsid wsp:val=&quot;008375F6&quot;/&gt;&lt;wsp:rsid wsp:val=&quot;008377FE&quot;/&gt;&lt;wsp:rsid wsp:val=&quot;00837A1D&quot;/&gt;&lt;wsp:rsid wsp:val=&quot;00837D64&quot;/&gt;&lt;wsp:rsid wsp:val=&quot;00837E77&quot;/&gt;&lt;wsp:rsid wsp:val=&quot;008400EC&quot;/&gt;&lt;wsp:rsid wsp:val=&quot;0084034A&quot;/&gt;&lt;wsp:rsid wsp:val=&quot;00840447&quot;/&gt;&lt;wsp:rsid wsp:val=&quot;0084099B&quot;/&gt;&lt;wsp:rsid wsp:val=&quot;00840F5A&quot;/&gt;&lt;wsp:rsid wsp:val=&quot;00840FC2&quot;/&gt;&lt;wsp:rsid wsp:val=&quot;0084150B&quot;/&gt;&lt;wsp:rsid wsp:val=&quot;0084178A&quot;/&gt;&lt;wsp:rsid wsp:val=&quot;00841F2F&quot;/&gt;&lt;wsp:rsid wsp:val=&quot;00841F32&quot;/&gt;&lt;wsp:rsid wsp:val=&quot;00841FD5&quot;/&gt;&lt;wsp:rsid wsp:val=&quot;0084207E&quot;/&gt;&lt;wsp:rsid wsp:val=&quot;00843913&quot;/&gt;&lt;wsp:rsid wsp:val=&quot;00843B1E&quot;/&gt;&lt;wsp:rsid wsp:val=&quot;00843B27&quot;/&gt;&lt;wsp:rsid wsp:val=&quot;00844103&quot;/&gt;&lt;wsp:rsid wsp:val=&quot;008441EA&quot;/&gt;&lt;wsp:rsid wsp:val=&quot;00844794&quot;/&gt;&lt;wsp:rsid wsp:val=&quot;008447E6&quot;/&gt;&lt;wsp:rsid wsp:val=&quot;0084482C&quot;/&gt;&lt;wsp:rsid wsp:val=&quot;00845048&quot;/&gt;&lt;wsp:rsid wsp:val=&quot;008452FB&quot;/&gt;&lt;wsp:rsid wsp:val=&quot;008457C9&quot;/&gt;&lt;wsp:rsid wsp:val=&quot;00845898&quot;/&gt;&lt;wsp:rsid wsp:val=&quot;00845C8D&quot;/&gt;&lt;wsp:rsid wsp:val=&quot;00845F37&quot;/&gt;&lt;wsp:rsid wsp:val=&quot;0084642F&quot;/&gt;&lt;wsp:rsid wsp:val=&quot;00846458&quot;/&gt;&lt;wsp:rsid wsp:val=&quot;008465F4&quot;/&gt;&lt;wsp:rsid wsp:val=&quot;00846A80&quot;/&gt;&lt;wsp:rsid wsp:val=&quot;00847162&quot;/&gt;&lt;wsp:rsid wsp:val=&quot;008472BD&quot;/&gt;&lt;wsp:rsid wsp:val=&quot;008473E4&quot;/&gt;&lt;wsp:rsid wsp:val=&quot;008477EC&quot;/&gt;&lt;wsp:rsid wsp:val=&quot;008479D2&quot;/&gt;&lt;wsp:rsid wsp:val=&quot;00847D45&quot;/&gt;&lt;wsp:rsid wsp:val=&quot;00847DFB&quot;/&gt;&lt;wsp:rsid wsp:val=&quot;00847E31&quot;/&gt;&lt;wsp:rsid wsp:val=&quot;00850BAB&quot;/&gt;&lt;wsp:rsid wsp:val=&quot;00851693&quot;/&gt;&lt;wsp:rsid wsp:val=&quot;0085176F&quot;/&gt;&lt;wsp:rsid wsp:val=&quot;0085195C&quot;/&gt;&lt;wsp:rsid wsp:val=&quot;00851F11&quot;/&gt;&lt;wsp:rsid wsp:val=&quot;008521E1&quot;/&gt;&lt;wsp:rsid wsp:val=&quot;0085225F&quot;/&gt;&lt;wsp:rsid wsp:val=&quot;00852400&quot;/&gt;&lt;wsp:rsid wsp:val=&quot;00852D44&quot;/&gt;&lt;wsp:rsid wsp:val=&quot;008530EB&quot;/&gt;&lt;wsp:rsid wsp:val=&quot;0085337D&quot;/&gt;&lt;wsp:rsid wsp:val=&quot;008533E2&quot;/&gt;&lt;wsp:rsid wsp:val=&quot;0085363E&quot;/&gt;&lt;wsp:rsid wsp:val=&quot;00853EC8&quot;/&gt;&lt;wsp:rsid wsp:val=&quot;00853EDE&quot;/&gt;&lt;wsp:rsid wsp:val=&quot;0085402E&quot;/&gt;&lt;wsp:rsid wsp:val=&quot;008541BF&quot;/&gt;&lt;wsp:rsid wsp:val=&quot;008545D3&quot;/&gt;&lt;wsp:rsid wsp:val=&quot;00854628&quot;/&gt;&lt;wsp:rsid wsp:val=&quot;008547C4&quot;/&gt;&lt;wsp:rsid wsp:val=&quot;00854A4F&quot;/&gt;&lt;wsp:rsid wsp:val=&quot;00854D45&quot;/&gt;&lt;wsp:rsid wsp:val=&quot;00854F38&quot;/&gt;&lt;wsp:rsid wsp:val=&quot;00855083&quot;/&gt;&lt;wsp:rsid wsp:val=&quot;00855EDE&quot;/&gt;&lt;wsp:rsid wsp:val=&quot;00855F9C&quot;/&gt;&lt;wsp:rsid wsp:val=&quot;00856487&quot;/&gt;&lt;wsp:rsid wsp:val=&quot;0085684E&quot;/&gt;&lt;wsp:rsid wsp:val=&quot;00856EBC&quot;/&gt;&lt;wsp:rsid wsp:val=&quot;00857644&quot;/&gt;&lt;wsp:rsid wsp:val=&quot;00857B5D&quot;/&gt;&lt;wsp:rsid wsp:val=&quot;00857BD4&quot;/&gt;&lt;wsp:rsid wsp:val=&quot;00857C3A&quot;/&gt;&lt;wsp:rsid wsp:val=&quot;00857F77&quot;/&gt;&lt;wsp:rsid wsp:val=&quot;00860617&quot;/&gt;&lt;wsp:rsid wsp:val=&quot;008606ED&quot;/&gt;&lt;wsp:rsid wsp:val=&quot;0086099B&quot;/&gt;&lt;wsp:rsid wsp:val=&quot;00860CB8&quot;/&gt;&lt;wsp:rsid wsp:val=&quot;00860E78&quot;/&gt;&lt;wsp:rsid wsp:val=&quot;00860F42&quot;/&gt;&lt;wsp:rsid wsp:val=&quot;0086129F&quot;/&gt;&lt;wsp:rsid wsp:val=&quot;00861D60&quot;/&gt;&lt;wsp:rsid wsp:val=&quot;0086286D&quot;/&gt;&lt;wsp:rsid wsp:val=&quot;0086299E&quot;/&gt;&lt;wsp:rsid wsp:val=&quot;00862A79&quot;/&gt;&lt;wsp:rsid wsp:val=&quot;00862B26&quot;/&gt;&lt;wsp:rsid wsp:val=&quot;00862DF6&quot;/&gt;&lt;wsp:rsid wsp:val=&quot;0086306A&quot;/&gt;&lt;wsp:rsid wsp:val=&quot;0086392F&quot;/&gt;&lt;wsp:rsid wsp:val=&quot;00863A18&quot;/&gt;&lt;wsp:rsid wsp:val=&quot;00863A9C&quot;/&gt;&lt;wsp:rsid wsp:val=&quot;00863AAB&quot;/&gt;&lt;wsp:rsid wsp:val=&quot;00863B3E&quot;/&gt;&lt;wsp:rsid wsp:val=&quot;00863BCA&quot;/&gt;&lt;wsp:rsid wsp:val=&quot;00863C5D&quot;/&gt;&lt;wsp:rsid wsp:val=&quot;00864B9C&quot;/&gt;&lt;wsp:rsid wsp:val=&quot;00864DD5&quot;/&gt;&lt;wsp:rsid wsp:val=&quot;00864E60&quot;/&gt;&lt;wsp:rsid wsp:val=&quot;008651C2&quot;/&gt;&lt;wsp:rsid wsp:val=&quot;008656B8&quot;/&gt;&lt;wsp:rsid wsp:val=&quot;0086572F&quot;/&gt;&lt;wsp:rsid wsp:val=&quot;00865818&quot;/&gt;&lt;wsp:rsid wsp:val=&quot;0086582D&quot;/&gt;&lt;wsp:rsid wsp:val=&quot;00865D23&quot;/&gt;&lt;wsp:rsid wsp:val=&quot;00866052&quot;/&gt;&lt;wsp:rsid wsp:val=&quot;00866268&quot;/&gt;&lt;wsp:rsid wsp:val=&quot;008668B7&quot;/&gt;&lt;wsp:rsid wsp:val=&quot;00866EEA&quot;/&gt;&lt;wsp:rsid wsp:val=&quot;0086727A&quot;/&gt;&lt;wsp:rsid wsp:val=&quot;00867798&quot;/&gt;&lt;wsp:rsid wsp:val=&quot;008677CD&quot;/&gt;&lt;wsp:rsid wsp:val=&quot;00867A65&quot;/&gt;&lt;wsp:rsid wsp:val=&quot;00867C5A&quot;/&gt;&lt;wsp:rsid wsp:val=&quot;00867CB4&quot;/&gt;&lt;wsp:rsid wsp:val=&quot;00867CC3&quot;/&gt;&lt;wsp:rsid wsp:val=&quot;00867D03&quot;/&gt;&lt;wsp:rsid wsp:val=&quot;00867D35&quot;/&gt;&lt;wsp:rsid wsp:val=&quot;0087007F&quot;/&gt;&lt;wsp:rsid wsp:val=&quot;0087015A&quot;/&gt;&lt;wsp:rsid wsp:val=&quot;00870441&quot;/&gt;&lt;wsp:rsid wsp:val=&quot;008705CF&quot;/&gt;&lt;wsp:rsid wsp:val=&quot;00870F38&quot;/&gt;&lt;wsp:rsid wsp:val=&quot;00871074&quot;/&gt;&lt;wsp:rsid wsp:val=&quot;00871C8C&quot;/&gt;&lt;wsp:rsid wsp:val=&quot;008720CB&quot;/&gt;&lt;wsp:rsid wsp:val=&quot;008726A9&quot;/&gt;&lt;wsp:rsid wsp:val=&quot;00872787&quot;/&gt;&lt;wsp:rsid wsp:val=&quot;008729D0&quot;/&gt;&lt;wsp:rsid wsp:val=&quot;00872C40&quot;/&gt;&lt;wsp:rsid wsp:val=&quot;00872D7F&quot;/&gt;&lt;wsp:rsid wsp:val=&quot;00872DB3&quot;/&gt;&lt;wsp:rsid wsp:val=&quot;008736C3&quot;/&gt;&lt;wsp:rsid wsp:val=&quot;0087390D&quot;/&gt;&lt;wsp:rsid wsp:val=&quot;00873CBA&quot;/&gt;&lt;wsp:rsid wsp:val=&quot;00874008&quot;/&gt;&lt;wsp:rsid wsp:val=&quot;008740A4&quot;/&gt;&lt;wsp:rsid wsp:val=&quot;00874188&quot;/&gt;&lt;wsp:rsid wsp:val=&quot;0087486B&quot;/&gt;&lt;wsp:rsid wsp:val=&quot;00875314&quot;/&gt;&lt;wsp:rsid wsp:val=&quot;0087532C&quot;/&gt;&lt;wsp:rsid wsp:val=&quot;00875357&quot;/&gt;&lt;wsp:rsid wsp:val=&quot;00875535&quot;/&gt;&lt;wsp:rsid wsp:val=&quot;00875647&quot;/&gt;&lt;wsp:rsid wsp:val=&quot;00875C02&quot;/&gt;&lt;wsp:rsid wsp:val=&quot;00875C95&quot;/&gt;&lt;wsp:rsid wsp:val=&quot;0087627E&quot;/&gt;&lt;wsp:rsid wsp:val=&quot;00876323&quot;/&gt;&lt;wsp:rsid wsp:val=&quot;00876E08&quot;/&gt;&lt;wsp:rsid wsp:val=&quot;008771C4&quot;/&gt;&lt;wsp:rsid wsp:val=&quot;008771E1&quot;/&gt;&lt;wsp:rsid wsp:val=&quot;008772EF&quot;/&gt;&lt;wsp:rsid wsp:val=&quot;00877482&quot;/&gt;&lt;wsp:rsid wsp:val=&quot;0087793A&quot;/&gt;&lt;wsp:rsid wsp:val=&quot;00877A42&quot;/&gt;&lt;wsp:rsid wsp:val=&quot;00877CCA&quot;/&gt;&lt;wsp:rsid wsp:val=&quot;00877E26&quot;/&gt;&lt;wsp:rsid wsp:val=&quot;00877F97&quot;/&gt;&lt;wsp:rsid wsp:val=&quot;00880187&quot;/&gt;&lt;wsp:rsid wsp:val=&quot;008807B2&quot;/&gt;&lt;wsp:rsid wsp:val=&quot;00880B0F&quot;/&gt;&lt;wsp:rsid wsp:val=&quot;00880B38&quot;/&gt;&lt;wsp:rsid wsp:val=&quot;008810ED&quot;/&gt;&lt;wsp:rsid wsp:val=&quot;0088155F&quot;/&gt;&lt;wsp:rsid wsp:val=&quot;00881959&quot;/&gt;&lt;wsp:rsid wsp:val=&quot;00881ABE&quot;/&gt;&lt;wsp:rsid wsp:val=&quot;00881C47&quot;/&gt;&lt;wsp:rsid wsp:val=&quot;00881FA6&quot;/&gt;&lt;wsp:rsid wsp:val=&quot;00881FC5&quot;/&gt;&lt;wsp:rsid wsp:val=&quot;008827B5&quot;/&gt;&lt;wsp:rsid wsp:val=&quot;00882E0E&quot;/&gt;&lt;wsp:rsid wsp:val=&quot;00883479&quot;/&gt;&lt;wsp:rsid wsp:val=&quot;00883601&quot;/&gt;&lt;wsp:rsid wsp:val=&quot;00884438&quot;/&gt;&lt;wsp:rsid wsp:val=&quot;008845D2&quot;/&gt;&lt;wsp:rsid wsp:val=&quot;00884689&quot;/&gt;&lt;wsp:rsid wsp:val=&quot;00884986&quot;/&gt;&lt;wsp:rsid wsp:val=&quot;00884E3A&quot;/&gt;&lt;wsp:rsid wsp:val=&quot;00884F66&quot;/&gt;&lt;wsp:rsid wsp:val=&quot;00885945&quot;/&gt;&lt;wsp:rsid wsp:val=&quot;00886031&quot;/&gt;&lt;wsp:rsid wsp:val=&quot;00886287&quot;/&gt;&lt;wsp:rsid wsp:val=&quot;008865EF&quot;/&gt;&lt;wsp:rsid wsp:val=&quot;00886926&quot;/&gt;&lt;wsp:rsid wsp:val=&quot;008869CD&quot;/&gt;&lt;wsp:rsid wsp:val=&quot;00886C82&quot;/&gt;&lt;wsp:rsid wsp:val=&quot;00886CA9&quot;/&gt;&lt;wsp:rsid wsp:val=&quot;00886F3F&quot;/&gt;&lt;wsp:rsid wsp:val=&quot;00887159&quot;/&gt;&lt;wsp:rsid wsp:val=&quot;008871E3&quot;/&gt;&lt;wsp:rsid wsp:val=&quot;0088732A&quot;/&gt;&lt;wsp:rsid wsp:val=&quot;008876C3&quot;/&gt;&lt;wsp:rsid wsp:val=&quot;0088771E&quot;/&gt;&lt;wsp:rsid wsp:val=&quot;00887E0A&quot;/&gt;&lt;wsp:rsid wsp:val=&quot;00887F79&quot;/&gt;&lt;wsp:rsid wsp:val=&quot;00890178&quot;/&gt;&lt;wsp:rsid wsp:val=&quot;0089018B&quot;/&gt;&lt;wsp:rsid wsp:val=&quot;008908F5&quot;/&gt;&lt;wsp:rsid wsp:val=&quot;00890907&quot;/&gt;&lt;wsp:rsid wsp:val=&quot;00890DFA&quot;/&gt;&lt;wsp:rsid wsp:val=&quot;00890F78&quot;/&gt;&lt;wsp:rsid wsp:val=&quot;0089120C&quot;/&gt;&lt;wsp:rsid wsp:val=&quot;008912E6&quot;/&gt;&lt;wsp:rsid wsp:val=&quot;0089138D&quot;/&gt;&lt;wsp:rsid wsp:val=&quot;00891863&quot;/&gt;&lt;wsp:rsid wsp:val=&quot;00891FAF&quot;/&gt;&lt;wsp:rsid wsp:val=&quot;008925B1&quot;/&gt;&lt;wsp:rsid wsp:val=&quot;0089275F&quot;/&gt;&lt;wsp:rsid wsp:val=&quot;00892A3B&quot;/&gt;&lt;wsp:rsid wsp:val=&quot;00892CA5&quot;/&gt;&lt;wsp:rsid wsp:val=&quot;00892E00&quot;/&gt;&lt;wsp:rsid wsp:val=&quot;00892E48&quot;/&gt;&lt;wsp:rsid wsp:val=&quot;00892E84&quot;/&gt;&lt;wsp:rsid wsp:val=&quot;0089333C&quot;/&gt;&lt;wsp:rsid wsp:val=&quot;00893479&quot;/&gt;&lt;wsp:rsid wsp:val=&quot;00893902&quot;/&gt;&lt;wsp:rsid wsp:val=&quot;00893A12&quot;/&gt;&lt;wsp:rsid wsp:val=&quot;00894712&quot;/&gt;&lt;wsp:rsid wsp:val=&quot;00894888&quot;/&gt;&lt;wsp:rsid wsp:val=&quot;008949DC&quot;/&gt;&lt;wsp:rsid wsp:val=&quot;00894D38&quot;/&gt;&lt;wsp:rsid wsp:val=&quot;00894EB0&quot;/&gt;&lt;wsp:rsid wsp:val=&quot;008950DA&quot;/&gt;&lt;wsp:rsid wsp:val=&quot;00895431&quot;/&gt;&lt;wsp:rsid wsp:val=&quot;00896177&quot;/&gt;&lt;wsp:rsid wsp:val=&quot;0089699E&quot;/&gt;&lt;wsp:rsid wsp:val=&quot;00896A7F&quot;/&gt;&lt;wsp:rsid wsp:val=&quot;00897169&quot;/&gt;&lt;wsp:rsid wsp:val=&quot;00897285&quot;/&gt;&lt;wsp:rsid wsp:val=&quot;00897399&quot;/&gt;&lt;wsp:rsid wsp:val=&quot;00897681&quot;/&gt;&lt;wsp:rsid wsp:val=&quot;0089779C&quot;/&gt;&lt;wsp:rsid wsp:val=&quot;00897D80&quot;/&gt;&lt;wsp:rsid wsp:val=&quot;00897DD2&quot;/&gt;&lt;wsp:rsid wsp:val=&quot;008A0385&quot;/&gt;&lt;wsp:rsid wsp:val=&quot;008A0DCD&quot;/&gt;&lt;wsp:rsid wsp:val=&quot;008A0EDE&quot;/&gt;&lt;wsp:rsid wsp:val=&quot;008A0EE8&quot;/&gt;&lt;wsp:rsid wsp:val=&quot;008A1306&quot;/&gt;&lt;wsp:rsid wsp:val=&quot;008A14C4&quot;/&gt;&lt;wsp:rsid wsp:val=&quot;008A20A1&quot;/&gt;&lt;wsp:rsid wsp:val=&quot;008A241C&quot;/&gt;&lt;wsp:rsid wsp:val=&quot;008A247F&quot;/&gt;&lt;wsp:rsid wsp:val=&quot;008A25DF&quot;/&gt;&lt;wsp:rsid wsp:val=&quot;008A2A7F&quot;/&gt;&lt;wsp:rsid wsp:val=&quot;008A2BC2&quot;/&gt;&lt;wsp:rsid wsp:val=&quot;008A2EED&quot;/&gt;&lt;wsp:rsid wsp:val=&quot;008A3B93&quot;/&gt;&lt;wsp:rsid wsp:val=&quot;008A3C64&quot;/&gt;&lt;wsp:rsid wsp:val=&quot;008A3D0B&quot;/&gt;&lt;wsp:rsid wsp:val=&quot;008A3EBD&quot;/&gt;&lt;wsp:rsid wsp:val=&quot;008A3FE9&quot;/&gt;&lt;wsp:rsid wsp:val=&quot;008A4144&quot;/&gt;&lt;wsp:rsid wsp:val=&quot;008A4E20&quot;/&gt;&lt;wsp:rsid wsp:val=&quot;008A4EA3&quot;/&gt;&lt;wsp:rsid wsp:val=&quot;008A5893&quot;/&gt;&lt;wsp:rsid wsp:val=&quot;008A5F7B&quot;/&gt;&lt;wsp:rsid wsp:val=&quot;008A6419&quot;/&gt;&lt;wsp:rsid wsp:val=&quot;008A6E62&quot;/&gt;&lt;wsp:rsid wsp:val=&quot;008A7024&quot;/&gt;&lt;wsp:rsid wsp:val=&quot;008A760B&quot;/&gt;&lt;wsp:rsid wsp:val=&quot;008A7E5B&quot;/&gt;&lt;wsp:rsid wsp:val=&quot;008A7F16&quot;/&gt;&lt;wsp:rsid wsp:val=&quot;008A7FF1&quot;/&gt;&lt;wsp:rsid wsp:val=&quot;008B03B8&quot;/&gt;&lt;wsp:rsid wsp:val=&quot;008B0AEA&quot;/&gt;&lt;wsp:rsid wsp:val=&quot;008B0CE3&quot;/&gt;&lt;wsp:rsid wsp:val=&quot;008B0CFB&quot;/&gt;&lt;wsp:rsid wsp:val=&quot;008B0D74&quot;/&gt;&lt;wsp:rsid wsp:val=&quot;008B1657&quot;/&gt;&lt;wsp:rsid wsp:val=&quot;008B167F&quot;/&gt;&lt;wsp:rsid wsp:val=&quot;008B1B1E&quot;/&gt;&lt;wsp:rsid wsp:val=&quot;008B1C53&quot;/&gt;&lt;wsp:rsid wsp:val=&quot;008B1EDF&quot;/&gt;&lt;wsp:rsid wsp:val=&quot;008B21D4&quot;/&gt;&lt;wsp:rsid wsp:val=&quot;008B22BA&quot;/&gt;&lt;wsp:rsid wsp:val=&quot;008B2A6C&quot;/&gt;&lt;wsp:rsid wsp:val=&quot;008B2C88&quot;/&gt;&lt;wsp:rsid wsp:val=&quot;008B317E&quot;/&gt;&lt;wsp:rsid wsp:val=&quot;008B3BFC&quot;/&gt;&lt;wsp:rsid wsp:val=&quot;008B417A&quot;/&gt;&lt;wsp:rsid wsp:val=&quot;008B47DF&quot;/&gt;&lt;wsp:rsid wsp:val=&quot;008B4ACB&quot;/&gt;&lt;wsp:rsid wsp:val=&quot;008B4BD6&quot;/&gt;&lt;wsp:rsid wsp:val=&quot;008B4C4F&quot;/&gt;&lt;wsp:rsid wsp:val=&quot;008B4CD5&quot;/&gt;&lt;wsp:rsid wsp:val=&quot;008B4D67&quot;/&gt;&lt;wsp:rsid wsp:val=&quot;008B513C&quot;/&gt;&lt;wsp:rsid wsp:val=&quot;008B515C&quot;/&gt;&lt;wsp:rsid wsp:val=&quot;008B544C&quot;/&gt;&lt;wsp:rsid wsp:val=&quot;008B5962&quot;/&gt;&lt;wsp:rsid wsp:val=&quot;008B62D2&quot;/&gt;&lt;wsp:rsid wsp:val=&quot;008B6326&quot;/&gt;&lt;wsp:rsid wsp:val=&quot;008B6513&quot;/&gt;&lt;wsp:rsid wsp:val=&quot;008B6CC7&quot;/&gt;&lt;wsp:rsid wsp:val=&quot;008B7083&quot;/&gt;&lt;wsp:rsid wsp:val=&quot;008B79F6&quot;/&gt;&lt;wsp:rsid wsp:val=&quot;008B7BA6&quot;/&gt;&lt;wsp:rsid wsp:val=&quot;008B7BDD&quot;/&gt;&lt;wsp:rsid wsp:val=&quot;008C004F&quot;/&gt;&lt;wsp:rsid wsp:val=&quot;008C00FA&quot;/&gt;&lt;wsp:rsid wsp:val=&quot;008C031E&quot;/&gt;&lt;wsp:rsid wsp:val=&quot;008C0496&quot;/&gt;&lt;wsp:rsid wsp:val=&quot;008C0725&quot;/&gt;&lt;wsp:rsid wsp:val=&quot;008C09C3&quot;/&gt;&lt;wsp:rsid wsp:val=&quot;008C0A2C&quot;/&gt;&lt;wsp:rsid wsp:val=&quot;008C0CD1&quot;/&gt;&lt;wsp:rsid wsp:val=&quot;008C0FCD&quot;/&gt;&lt;wsp:rsid wsp:val=&quot;008C141C&quot;/&gt;&lt;wsp:rsid wsp:val=&quot;008C178B&quot;/&gt;&lt;wsp:rsid wsp:val=&quot;008C1CEF&quot;/&gt;&lt;wsp:rsid wsp:val=&quot;008C1FB8&quot;/&gt;&lt;wsp:rsid wsp:val=&quot;008C2188&quot;/&gt;&lt;wsp:rsid wsp:val=&quot;008C28FC&quot;/&gt;&lt;wsp:rsid wsp:val=&quot;008C2B53&quot;/&gt;&lt;wsp:rsid wsp:val=&quot;008C2C5D&quot;/&gt;&lt;wsp:rsid wsp:val=&quot;008C2DF1&quot;/&gt;&lt;wsp:rsid wsp:val=&quot;008C2E09&quot;/&gt;&lt;wsp:rsid wsp:val=&quot;008C2E73&quot;/&gt;&lt;wsp:rsid wsp:val=&quot;008C2F26&quot;/&gt;&lt;wsp:rsid wsp:val=&quot;008C304E&quot;/&gt;&lt;wsp:rsid wsp:val=&quot;008C3341&quot;/&gt;&lt;wsp:rsid wsp:val=&quot;008C3B27&quot;/&gt;&lt;wsp:rsid wsp:val=&quot;008C40F4&quot;/&gt;&lt;wsp:rsid wsp:val=&quot;008C4236&quot;/&gt;&lt;wsp:rsid wsp:val=&quot;008C440D&quot;/&gt;&lt;wsp:rsid wsp:val=&quot;008C45EB&quot;/&gt;&lt;wsp:rsid wsp:val=&quot;008C4AA7&quot;/&gt;&lt;wsp:rsid wsp:val=&quot;008C5370&quot;/&gt;&lt;wsp:rsid wsp:val=&quot;008C53E6&quot;/&gt;&lt;wsp:rsid wsp:val=&quot;008C61E8&quot;/&gt;&lt;wsp:rsid wsp:val=&quot;008C65D8&quot;/&gt;&lt;wsp:rsid wsp:val=&quot;008C6723&quot;/&gt;&lt;wsp:rsid wsp:val=&quot;008C69F0&quot;/&gt;&lt;wsp:rsid wsp:val=&quot;008C6F58&quot;/&gt;&lt;wsp:rsid wsp:val=&quot;008C71C6&quot;/&gt;&lt;wsp:rsid wsp:val=&quot;008C7236&quot;/&gt;&lt;wsp:rsid wsp:val=&quot;008C7457&quot;/&gt;&lt;wsp:rsid wsp:val=&quot;008C765C&quot;/&gt;&lt;wsp:rsid wsp:val=&quot;008C7731&quot;/&gt;&lt;wsp:rsid wsp:val=&quot;008C77E4&quot;/&gt;&lt;wsp:rsid wsp:val=&quot;008C7A0B&quot;/&gt;&lt;wsp:rsid wsp:val=&quot;008C7A60&quot;/&gt;&lt;wsp:rsid wsp:val=&quot;008C7B67&quot;/&gt;&lt;wsp:rsid wsp:val=&quot;008C7F15&quot;/&gt;&lt;wsp:rsid wsp:val=&quot;008D09DE&quot;/&gt;&lt;wsp:rsid wsp:val=&quot;008D0F15&quot;/&gt;&lt;wsp:rsid wsp:val=&quot;008D1621&quot;/&gt;&lt;wsp:rsid wsp:val=&quot;008D172B&quot;/&gt;&lt;wsp:rsid wsp:val=&quot;008D1BA5&quot;/&gt;&lt;wsp:rsid wsp:val=&quot;008D2C98&quot;/&gt;&lt;wsp:rsid wsp:val=&quot;008D3458&quot;/&gt;&lt;wsp:rsid wsp:val=&quot;008D345E&quot;/&gt;&lt;wsp:rsid wsp:val=&quot;008D3466&quot;/&gt;&lt;wsp:rsid wsp:val=&quot;008D3B15&quot;/&gt;&lt;wsp:rsid wsp:val=&quot;008D3B7B&quot;/&gt;&lt;wsp:rsid wsp:val=&quot;008D3C87&quot;/&gt;&lt;wsp:rsid wsp:val=&quot;008D4662&quot;/&gt;&lt;wsp:rsid wsp:val=&quot;008D46B1&quot;/&gt;&lt;wsp:rsid wsp:val=&quot;008D5085&quot;/&gt;&lt;wsp:rsid wsp:val=&quot;008D514A&quot;/&gt;&lt;wsp:rsid wsp:val=&quot;008D55C8&quot;/&gt;&lt;wsp:rsid wsp:val=&quot;008D621C&quot;/&gt;&lt;wsp:rsid wsp:val=&quot;008D656C&quot;/&gt;&lt;wsp:rsid wsp:val=&quot;008D6AB6&quot;/&gt;&lt;wsp:rsid wsp:val=&quot;008D6AEA&quot;/&gt;&lt;wsp:rsid wsp:val=&quot;008D6F9D&quot;/&gt;&lt;wsp:rsid wsp:val=&quot;008D72C8&quot;/&gt;&lt;wsp:rsid wsp:val=&quot;008D770F&quot;/&gt;&lt;wsp:rsid wsp:val=&quot;008D7967&quot;/&gt;&lt;wsp:rsid wsp:val=&quot;008D7A0C&quot;/&gt;&lt;wsp:rsid wsp:val=&quot;008D7B18&quot;/&gt;&lt;wsp:rsid wsp:val=&quot;008E0261&quot;/&gt;&lt;wsp:rsid wsp:val=&quot;008E050A&quot;/&gt;&lt;wsp:rsid wsp:val=&quot;008E06ED&quot;/&gt;&lt;wsp:rsid wsp:val=&quot;008E093D&quot;/&gt;&lt;wsp:rsid wsp:val=&quot;008E14EB&quot;/&gt;&lt;wsp:rsid wsp:val=&quot;008E15B8&quot;/&gt;&lt;wsp:rsid wsp:val=&quot;008E1948&quot;/&gt;&lt;wsp:rsid wsp:val=&quot;008E1BEC&quot;/&gt;&lt;wsp:rsid wsp:val=&quot;008E1CB1&quot;/&gt;&lt;wsp:rsid wsp:val=&quot;008E1F08&quot;/&gt;&lt;wsp:rsid wsp:val=&quot;008E2320&quot;/&gt;&lt;wsp:rsid wsp:val=&quot;008E240F&quot;/&gt;&lt;wsp:rsid wsp:val=&quot;008E2575&quot;/&gt;&lt;wsp:rsid wsp:val=&quot;008E2A9B&quot;/&gt;&lt;wsp:rsid wsp:val=&quot;008E2BD1&quot;/&gt;&lt;wsp:rsid wsp:val=&quot;008E3342&quot;/&gt;&lt;wsp:rsid wsp:val=&quot;008E3398&quot;/&gt;&lt;wsp:rsid wsp:val=&quot;008E39F4&quot;/&gt;&lt;wsp:rsid wsp:val=&quot;008E3B1C&quot;/&gt;&lt;wsp:rsid wsp:val=&quot;008E3EB2&quot;/&gt;&lt;wsp:rsid wsp:val=&quot;008E4C43&quot;/&gt;&lt;wsp:rsid wsp:val=&quot;008E52F2&quot;/&gt;&lt;wsp:rsid wsp:val=&quot;008E539B&quot;/&gt;&lt;wsp:rsid wsp:val=&quot;008E5769&quot;/&gt;&lt;wsp:rsid wsp:val=&quot;008E58ED&quot;/&gt;&lt;wsp:rsid wsp:val=&quot;008E5B55&quot;/&gt;&lt;wsp:rsid wsp:val=&quot;008E5BD6&quot;/&gt;&lt;wsp:rsid wsp:val=&quot;008E5F0C&quot;/&gt;&lt;wsp:rsid wsp:val=&quot;008E6158&quot;/&gt;&lt;wsp:rsid wsp:val=&quot;008E62F9&quot;/&gt;&lt;wsp:rsid wsp:val=&quot;008E6605&quot;/&gt;&lt;wsp:rsid wsp:val=&quot;008E673A&quot;/&gt;&lt;wsp:rsid wsp:val=&quot;008E67E1&quot;/&gt;&lt;wsp:rsid wsp:val=&quot;008E6921&quot;/&gt;&lt;wsp:rsid wsp:val=&quot;008E6AEC&quot;/&gt;&lt;wsp:rsid wsp:val=&quot;008E6BFD&quot;/&gt;&lt;wsp:rsid wsp:val=&quot;008E6CBC&quot;/&gt;&lt;wsp:rsid wsp:val=&quot;008E6F19&quot;/&gt;&lt;wsp:rsid wsp:val=&quot;008E79A0&quot;/&gt;&lt;wsp:rsid wsp:val=&quot;008E7DAA&quot;/&gt;&lt;wsp:rsid wsp:val=&quot;008F0505&quot;/&gt;&lt;wsp:rsid wsp:val=&quot;008F0771&quot;/&gt;&lt;wsp:rsid wsp:val=&quot;008F0966&quot;/&gt;&lt;wsp:rsid wsp:val=&quot;008F0E42&quot;/&gt;&lt;wsp:rsid wsp:val=&quot;008F0E74&quot;/&gt;&lt;wsp:rsid wsp:val=&quot;008F1131&quot;/&gt;&lt;wsp:rsid wsp:val=&quot;008F195C&quot;/&gt;&lt;wsp:rsid wsp:val=&quot;008F1A00&quot;/&gt;&lt;wsp:rsid wsp:val=&quot;008F1AD7&quot;/&gt;&lt;wsp:rsid wsp:val=&quot;008F22D5&quot;/&gt;&lt;wsp:rsid wsp:val=&quot;008F23C5&quot;/&gt;&lt;wsp:rsid wsp:val=&quot;008F26C8&quot;/&gt;&lt;wsp:rsid wsp:val=&quot;008F29EB&quot;/&gt;&lt;wsp:rsid wsp:val=&quot;008F2DDD&quot;/&gt;&lt;wsp:rsid wsp:val=&quot;008F30D9&quot;/&gt;&lt;wsp:rsid wsp:val=&quot;008F359F&quot;/&gt;&lt;wsp:rsid wsp:val=&quot;008F37EC&quot;/&gt;&lt;wsp:rsid wsp:val=&quot;008F3CF8&quot;/&gt;&lt;wsp:rsid wsp:val=&quot;008F3D5C&quot;/&gt;&lt;wsp:rsid wsp:val=&quot;008F3F23&quot;/&gt;&lt;wsp:rsid wsp:val=&quot;008F3F37&quot;/&gt;&lt;wsp:rsid wsp:val=&quot;008F46EB&quot;/&gt;&lt;wsp:rsid wsp:val=&quot;008F4BD8&quot;/&gt;&lt;wsp:rsid wsp:val=&quot;008F4D67&quot;/&gt;&lt;wsp:rsid wsp:val=&quot;008F4E9C&quot;/&gt;&lt;wsp:rsid wsp:val=&quot;008F514D&quot;/&gt;&lt;wsp:rsid wsp:val=&quot;008F546D&quot;/&gt;&lt;wsp:rsid wsp:val=&quot;008F5489&quot;/&gt;&lt;wsp:rsid wsp:val=&quot;008F5BE4&quot;/&gt;&lt;wsp:rsid wsp:val=&quot;008F5C1E&quot;/&gt;&lt;wsp:rsid wsp:val=&quot;008F5C8A&quot;/&gt;&lt;wsp:rsid wsp:val=&quot;008F601F&quot;/&gt;&lt;wsp:rsid wsp:val=&quot;008F6099&quot;/&gt;&lt;wsp:rsid wsp:val=&quot;008F618B&quot;/&gt;&lt;wsp:rsid wsp:val=&quot;008F667B&quot;/&gt;&lt;wsp:rsid wsp:val=&quot;008F6C87&quot;/&gt;&lt;wsp:rsid wsp:val=&quot;008F70CD&quot;/&gt;&lt;wsp:rsid wsp:val=&quot;008F7C27&quot;/&gt;&lt;wsp:rsid wsp:val=&quot;00900513&quot;/&gt;&lt;wsp:rsid wsp:val=&quot;00900E61&quot;/&gt;&lt;wsp:rsid wsp:val=&quot;0090117A&quot;/&gt;&lt;wsp:rsid wsp:val=&quot;0090154D&quot;/&gt;&lt;wsp:rsid wsp:val=&quot;00901580&quot;/&gt;&lt;wsp:rsid wsp:val=&quot;0090189D&quot;/&gt;&lt;wsp:rsid wsp:val=&quot;0090293D&quot;/&gt;&lt;wsp:rsid wsp:val=&quot;00902AC5&quot;/&gt;&lt;wsp:rsid wsp:val=&quot;00902C25&quot;/&gt;&lt;wsp:rsid wsp:val=&quot;0090300A&quot;/&gt;&lt;wsp:rsid wsp:val=&quot;00903216&quot;/&gt;&lt;wsp:rsid wsp:val=&quot;00903272&quot;/&gt;&lt;wsp:rsid wsp:val=&quot;00903532&quot;/&gt;&lt;wsp:rsid wsp:val=&quot;00903794&quot;/&gt;&lt;wsp:rsid wsp:val=&quot;00904FBC&quot;/&gt;&lt;wsp:rsid wsp:val=&quot;009055EB&quot;/&gt;&lt;wsp:rsid wsp:val=&quot;00905B69&quot;/&gt;&lt;wsp:rsid wsp:val=&quot;009060A8&quot;/&gt;&lt;wsp:rsid wsp:val=&quot;00906853&quot;/&gt;&lt;wsp:rsid wsp:val=&quot;00906856&quot;/&gt;&lt;wsp:rsid wsp:val=&quot;00906864&quot;/&gt;&lt;wsp:rsid wsp:val=&quot;00906A15&quot;/&gt;&lt;wsp:rsid wsp:val=&quot;00906ABF&quot;/&gt;&lt;wsp:rsid wsp:val=&quot;00906C11&quot;/&gt;&lt;wsp:rsid wsp:val=&quot;009071AE&quot;/&gt;&lt;wsp:rsid wsp:val=&quot;0090749D&quot;/&gt;&lt;wsp:rsid wsp:val=&quot;00907596&quot;/&gt;&lt;wsp:rsid wsp:val=&quot;0090764B&quot;/&gt;&lt;wsp:rsid wsp:val=&quot;009076CB&quot;/&gt;&lt;wsp:rsid wsp:val=&quot;009078AF&quot;/&gt;&lt;wsp:rsid wsp:val=&quot;00907EB1&quot;/&gt;&lt;wsp:rsid wsp:val=&quot;00907EEC&quot;/&gt;&lt;wsp:rsid wsp:val=&quot;009102C4&quot;/&gt;&lt;wsp:rsid wsp:val=&quot;00910BA2&quot;/&gt;&lt;wsp:rsid wsp:val=&quot;00910D04&quot;/&gt;&lt;wsp:rsid wsp:val=&quot;00910F7B&quot;/&gt;&lt;wsp:rsid wsp:val=&quot;009115C8&quot;/&gt;&lt;wsp:rsid wsp:val=&quot;00911733&quot;/&gt;&lt;wsp:rsid wsp:val=&quot;0091179B&quot;/&gt;&lt;wsp:rsid wsp:val=&quot;0091257C&quot;/&gt;&lt;wsp:rsid wsp:val=&quot;0091271F&quot;/&gt;&lt;wsp:rsid wsp:val=&quot;00912CE0&quot;/&gt;&lt;wsp:rsid wsp:val=&quot;00912DD2&quot;/&gt;&lt;wsp:rsid wsp:val=&quot;00912F07&quot;/&gt;&lt;wsp:rsid wsp:val=&quot;00912F87&quot;/&gt;&lt;wsp:rsid wsp:val=&quot;009132AA&quot;/&gt;&lt;wsp:rsid wsp:val=&quot;009135E5&quot;/&gt;&lt;wsp:rsid wsp:val=&quot;00913717&quot;/&gt;&lt;wsp:rsid wsp:val=&quot;00913790&quot;/&gt;&lt;wsp:rsid wsp:val=&quot;00913C7F&quot;/&gt;&lt;wsp:rsid wsp:val=&quot;00913D47&quot;/&gt;&lt;wsp:rsid wsp:val=&quot;00913E9D&quot;/&gt;&lt;wsp:rsid wsp:val=&quot;009143DF&quot;/&gt;&lt;wsp:rsid wsp:val=&quot;00914437&quot;/&gt;&lt;wsp:rsid wsp:val=&quot;009147CE&quot;/&gt;&lt;wsp:rsid wsp:val=&quot;00914AB9&quot;/&gt;&lt;wsp:rsid wsp:val=&quot;00914F69&quot;/&gt;&lt;wsp:rsid wsp:val=&quot;009157B4&quot;/&gt;&lt;wsp:rsid wsp:val=&quot;0091624C&quot;/&gt;&lt;wsp:rsid wsp:val=&quot;00916658&quot;/&gt;&lt;wsp:rsid wsp:val=&quot;00916E5A&quot;/&gt;&lt;wsp:rsid wsp:val=&quot;00917177&quot;/&gt;&lt;wsp:rsid wsp:val=&quot;009175C8&quot;/&gt;&lt;wsp:rsid wsp:val=&quot;00917B3B&quot;/&gt;&lt;wsp:rsid wsp:val=&quot;0092006C&quot;/&gt;&lt;wsp:rsid wsp:val=&quot;00920473&quot;/&gt;&lt;wsp:rsid wsp:val=&quot;0092088B&quot;/&gt;&lt;wsp:rsid wsp:val=&quot;00920AD2&quot;/&gt;&lt;wsp:rsid wsp:val=&quot;00920FA4&quot;/&gt;&lt;wsp:rsid wsp:val=&quot;0092109F&quot;/&gt;&lt;wsp:rsid wsp:val=&quot;00921510&quot;/&gt;&lt;wsp:rsid wsp:val=&quot;0092193B&quot;/&gt;&lt;wsp:rsid wsp:val=&quot;009219D3&quot;/&gt;&lt;wsp:rsid wsp:val=&quot;00921D32&quot;/&gt;&lt;wsp:rsid wsp:val=&quot;0092209F&quot;/&gt;&lt;wsp:rsid wsp:val=&quot;00922279&quot;/&gt;&lt;wsp:rsid wsp:val=&quot;00922548&quot;/&gt;&lt;wsp:rsid wsp:val=&quot;0092254B&quot;/&gt;&lt;wsp:rsid wsp:val=&quot;00922B18&quot;/&gt;&lt;wsp:rsid wsp:val=&quot;00923118&quot;/&gt;&lt;wsp:rsid wsp:val=&quot;009236E3&quot;/&gt;&lt;wsp:rsid wsp:val=&quot;00923A43&quot;/&gt;&lt;wsp:rsid wsp:val=&quot;00923AE0&quot;/&gt;&lt;wsp:rsid wsp:val=&quot;00923BC3&quot;/&gt;&lt;wsp:rsid wsp:val=&quot;00923E43&quot;/&gt;&lt;wsp:rsid wsp:val=&quot;00923F54&quot;/&gt;&lt;wsp:rsid wsp:val=&quot;00924E02&quot;/&gt;&lt;wsp:rsid wsp:val=&quot;00924E30&quot;/&gt;&lt;wsp:rsid wsp:val=&quot;009251D0&quot;/&gt;&lt;wsp:rsid wsp:val=&quot;00925774&quot;/&gt;&lt;wsp:rsid wsp:val=&quot;00925821&quot;/&gt;&lt;wsp:rsid wsp:val=&quot;00925FF3&quot;/&gt;&lt;wsp:rsid wsp:val=&quot;00926802&quot;/&gt;&lt;wsp:rsid wsp:val=&quot;009269F5&quot;/&gt;&lt;wsp:rsid wsp:val=&quot;00927BAA&quot;/&gt;&lt;wsp:rsid wsp:val=&quot;00927CCF&quot;/&gt;&lt;wsp:rsid wsp:val=&quot;00927DB4&quot;/&gt;&lt;wsp:rsid wsp:val=&quot;00927F77&quot;/&gt;&lt;wsp:rsid wsp:val=&quot;00927FEB&quot;/&gt;&lt;wsp:rsid wsp:val=&quot;009304F1&quot;/&gt;&lt;wsp:rsid wsp:val=&quot;00930641&quot;/&gt;&lt;wsp:rsid wsp:val=&quot;0093088D&quot;/&gt;&lt;wsp:rsid wsp:val=&quot;00930C11&quot;/&gt;&lt;wsp:rsid wsp:val=&quot;00930D0B&quot;/&gt;&lt;wsp:rsid wsp:val=&quot;00930DD3&quot;/&gt;&lt;wsp:rsid wsp:val=&quot;009313EC&quot;/&gt;&lt;wsp:rsid wsp:val=&quot;00931554&quot;/&gt;&lt;wsp:rsid wsp:val=&quot;00931B48&quot;/&gt;&lt;wsp:rsid wsp:val=&quot;00931CE2&quot;/&gt;&lt;wsp:rsid wsp:val=&quot;0093200C&quot;/&gt;&lt;wsp:rsid wsp:val=&quot;009325ED&quot;/&gt;&lt;wsp:rsid wsp:val=&quot;0093275E&quot;/&gt;&lt;wsp:rsid wsp:val=&quot;0093287D&quot;/&gt;&lt;wsp:rsid wsp:val=&quot;00932D4D&quot;/&gt;&lt;wsp:rsid wsp:val=&quot;00932DE2&quot;/&gt;&lt;wsp:rsid wsp:val=&quot;00932E21&quot;/&gt;&lt;wsp:rsid wsp:val=&quot;0093355D&quot;/&gt;&lt;wsp:rsid wsp:val=&quot;00933887&quot;/&gt;&lt;wsp:rsid wsp:val=&quot;009339E0&quot;/&gt;&lt;wsp:rsid wsp:val=&quot;00933DB8&quot;/&gt;&lt;wsp:rsid wsp:val=&quot;00933E9F&quot;/&gt;&lt;wsp:rsid wsp:val=&quot;0093457B&quot;/&gt;&lt;wsp:rsid wsp:val=&quot;00934D3B&quot;/&gt;&lt;wsp:rsid wsp:val=&quot;0093523C&quot;/&gt;&lt;wsp:rsid wsp:val=&quot;009352D1&quot;/&gt;&lt;wsp:rsid wsp:val=&quot;00935CC2&quot;/&gt;&lt;wsp:rsid wsp:val=&quot;00935D23&quot;/&gt;&lt;wsp:rsid wsp:val=&quot;0093605F&quot;/&gt;&lt;wsp:rsid wsp:val=&quot;009360C9&quot;/&gt;&lt;wsp:rsid wsp:val=&quot;00936545&quot;/&gt;&lt;wsp:rsid wsp:val=&quot;00936D64&quot;/&gt;&lt;wsp:rsid wsp:val=&quot;00936F3A&quot;/&gt;&lt;wsp:rsid wsp:val=&quot;00936F68&quot;/&gt;&lt;wsp:rsid wsp:val=&quot;00937205&quot;/&gt;&lt;wsp:rsid wsp:val=&quot;0093729E&quot;/&gt;&lt;wsp:rsid wsp:val=&quot;009378CC&quot;/&gt;&lt;wsp:rsid wsp:val=&quot;00937B53&quot;/&gt;&lt;wsp:rsid wsp:val=&quot;00937BA2&quot;/&gt;&lt;wsp:rsid wsp:val=&quot;00940009&quot;/&gt;&lt;wsp:rsid wsp:val=&quot;009403B1&quot;/&gt;&lt;wsp:rsid wsp:val=&quot;00940992&quot;/&gt;&lt;wsp:rsid wsp:val=&quot;00940B40&quot;/&gt;&lt;wsp:rsid wsp:val=&quot;00940B47&quot;/&gt;&lt;wsp:rsid wsp:val=&quot;00940C7A&quot;/&gt;&lt;wsp:rsid wsp:val=&quot;00940E2E&quot;/&gt;&lt;wsp:rsid wsp:val=&quot;00940ECD&quot;/&gt;&lt;wsp:rsid wsp:val=&quot;00941161&quot;/&gt;&lt;wsp:rsid wsp:val=&quot;0094116E&quot;/&gt;&lt;wsp:rsid wsp:val=&quot;00941302&quot;/&gt;&lt;wsp:rsid wsp:val=&quot;0094131C&quot;/&gt;&lt;wsp:rsid wsp:val=&quot;0094136B&quot;/&gt;&lt;wsp:rsid wsp:val=&quot;00941555&quot;/&gt;&lt;wsp:rsid wsp:val=&quot;00941B19&quot;/&gt;&lt;wsp:rsid wsp:val=&quot;009424BE&quot;/&gt;&lt;wsp:rsid wsp:val=&quot;009426FC&quot;/&gt;&lt;wsp:rsid wsp:val=&quot;009428F9&quot;/&gt;&lt;wsp:rsid wsp:val=&quot;00943268&quot;/&gt;&lt;wsp:rsid wsp:val=&quot;00943605&quot;/&gt;&lt;wsp:rsid wsp:val=&quot;00943812&quot;/&gt;&lt;wsp:rsid wsp:val=&quot;00943923&quot;/&gt;&lt;wsp:rsid wsp:val=&quot;00943EB7&quot;/&gt;&lt;wsp:rsid wsp:val=&quot;00943F71&quot;/&gt;&lt;wsp:rsid wsp:val=&quot;00943FBC&quot;/&gt;&lt;wsp:rsid wsp:val=&quot;009452AE&quot;/&gt;&lt;wsp:rsid wsp:val=&quot;00945548&quot;/&gt;&lt;wsp:rsid wsp:val=&quot;00945834&quot;/&gt;&lt;wsp:rsid wsp:val=&quot;009458E4&quot;/&gt;&lt;wsp:rsid wsp:val=&quot;00945A9F&quot;/&gt;&lt;wsp:rsid wsp:val=&quot;00945CDE&quot;/&gt;&lt;wsp:rsid wsp:val=&quot;00945DD4&quot;/&gt;&lt;wsp:rsid wsp:val=&quot;0094626E&quot;/&gt;&lt;wsp:rsid wsp:val=&quot;009463D7&quot;/&gt;&lt;wsp:rsid wsp:val=&quot;00946B1E&quot;/&gt;&lt;wsp:rsid wsp:val=&quot;00946EC2&quot;/&gt;&lt;wsp:rsid wsp:val=&quot;0094764A&quot;/&gt;&lt;wsp:rsid wsp:val=&quot;009479DB&quot;/&gt;&lt;wsp:rsid wsp:val=&quot;0095016A&quot;/&gt;&lt;wsp:rsid wsp:val=&quot;0095038D&quot;/&gt;&lt;wsp:rsid wsp:val=&quot;00951969&quot;/&gt;&lt;wsp:rsid wsp:val=&quot;00951BB1&quot;/&gt;&lt;wsp:rsid wsp:val=&quot;00951ED8&quot;/&gt;&lt;wsp:rsid wsp:val=&quot;009524C6&quot;/&gt;&lt;wsp:rsid wsp:val=&quot;009527FE&quot;/&gt;&lt;wsp:rsid wsp:val=&quot;00952805&quot;/&gt;&lt;wsp:rsid wsp:val=&quot;00952C7D&quot;/&gt;&lt;wsp:rsid wsp:val=&quot;00952ED4&quot;/&gt;&lt;wsp:rsid wsp:val=&quot;00953062&quot;/&gt;&lt;wsp:rsid wsp:val=&quot;00953263&quot;/&gt;&lt;wsp:rsid wsp:val=&quot;00953AFF&quot;/&gt;&lt;wsp:rsid wsp:val=&quot;00953BA1&quot;/&gt;&lt;wsp:rsid wsp:val=&quot;00953E7D&quot;/&gt;&lt;wsp:rsid wsp:val=&quot;00953FA0&quot;/&gt;&lt;wsp:rsid wsp:val=&quot;00954233&quot;/&gt;&lt;wsp:rsid wsp:val=&quot;00954283&quot;/&gt;&lt;wsp:rsid wsp:val=&quot;0095446D&quot;/&gt;&lt;wsp:rsid wsp:val=&quot;0095452A&quot;/&gt;&lt;wsp:rsid wsp:val=&quot;0095460C&quot;/&gt;&lt;wsp:rsid wsp:val=&quot;0095480E&quot;/&gt;&lt;wsp:rsid wsp:val=&quot;00954BAD&quot;/&gt;&lt;wsp:rsid wsp:val=&quot;00954E91&quot;/&gt;&lt;wsp:rsid wsp:val=&quot;009550C2&quot;/&gt;&lt;wsp:rsid wsp:val=&quot;0095533C&quot;/&gt;&lt;wsp:rsid wsp:val=&quot;009557A8&quot;/&gt;&lt;wsp:rsid wsp:val=&quot;00955DE6&quot;/&gt;&lt;wsp:rsid wsp:val=&quot;00955DF3&quot;/&gt;&lt;wsp:rsid wsp:val=&quot;00955DFE&quot;/&gt;&lt;wsp:rsid wsp:val=&quot;00955F0C&quot;/&gt;&lt;wsp:rsid wsp:val=&quot;009560F5&quot;/&gt;&lt;wsp:rsid wsp:val=&quot;00956C7D&quot;/&gt;&lt;wsp:rsid wsp:val=&quot;00956CDB&quot;/&gt;&lt;wsp:rsid wsp:val=&quot;0095730C&quot;/&gt;&lt;wsp:rsid wsp:val=&quot;00957695&quot;/&gt;&lt;wsp:rsid wsp:val=&quot;009576DE&quot;/&gt;&lt;wsp:rsid wsp:val=&quot;00957CC0&quot;/&gt;&lt;wsp:rsid wsp:val=&quot;00957D47&quot;/&gt;&lt;wsp:rsid wsp:val=&quot;00957EC5&quot;/&gt;&lt;wsp:rsid wsp:val=&quot;00960237&quot;/&gt;&lt;wsp:rsid wsp:val=&quot;0096032B&quot;/&gt;&lt;wsp:rsid wsp:val=&quot;009606AB&quot;/&gt;&lt;wsp:rsid wsp:val=&quot;009609B8&quot;/&gt;&lt;wsp:rsid wsp:val=&quot;00960A1B&quot;/&gt;&lt;wsp:rsid wsp:val=&quot;00960A5B&quot;/&gt;&lt;wsp:rsid wsp:val=&quot;00960DD3&quot;/&gt;&lt;wsp:rsid wsp:val=&quot;00960DF8&quot;/&gt;&lt;wsp:rsid wsp:val=&quot;00960F40&quot;/&gt;&lt;wsp:rsid wsp:val=&quot;00960FA4&quot;/&gt;&lt;wsp:rsid wsp:val=&quot;00961315&quot;/&gt;&lt;wsp:rsid wsp:val=&quot;0096148D&quot;/&gt;&lt;wsp:rsid wsp:val=&quot;00962566&quot;/&gt;&lt;wsp:rsid wsp:val=&quot;00962DEC&quot;/&gt;&lt;wsp:rsid wsp:val=&quot;0096305B&quot;/&gt;&lt;wsp:rsid wsp:val=&quot;00963321&quot;/&gt;&lt;wsp:rsid wsp:val=&quot;0096374E&quot;/&gt;&lt;wsp:rsid wsp:val=&quot;0096384C&quot;/&gt;&lt;wsp:rsid wsp:val=&quot;00963990&quot;/&gt;&lt;wsp:rsid wsp:val=&quot;00963F3E&quot;/&gt;&lt;wsp:rsid wsp:val=&quot;00963FB5&quot;/&gt;&lt;wsp:rsid wsp:val=&quot;00964615&quot;/&gt;&lt;wsp:rsid wsp:val=&quot;00964654&quot;/&gt;&lt;wsp:rsid wsp:val=&quot;009648C7&quot;/&gt;&lt;wsp:rsid wsp:val=&quot;00964F94&quot;/&gt;&lt;wsp:rsid wsp:val=&quot;009655CE&quot;/&gt;&lt;wsp:rsid wsp:val=&quot;00965D54&quot;/&gt;&lt;wsp:rsid wsp:val=&quot;009662CE&quot;/&gt;&lt;wsp:rsid wsp:val=&quot;00966480&quot;/&gt;&lt;wsp:rsid wsp:val=&quot;009667B5&quot;/&gt;&lt;wsp:rsid wsp:val=&quot;0096690C&quot;/&gt;&lt;wsp:rsid wsp:val=&quot;00966956&quot;/&gt;&lt;wsp:rsid wsp:val=&quot;00966A9F&quot;/&gt;&lt;wsp:rsid wsp:val=&quot;0096711A&quot;/&gt;&lt;wsp:rsid wsp:val=&quot;00967304&quot;/&gt;&lt;wsp:rsid wsp:val=&quot;00967551&quot;/&gt;&lt;wsp:rsid wsp:val=&quot;009675E9&quot;/&gt;&lt;wsp:rsid wsp:val=&quot;009677A1&quot;/&gt;&lt;wsp:rsid wsp:val=&quot;00970D50&quot;/&gt;&lt;wsp:rsid wsp:val=&quot;00970FEB&quot;/&gt;&lt;wsp:rsid wsp:val=&quot;00971110&quot;/&gt;&lt;wsp:rsid wsp:val=&quot;0097136E&quot;/&gt;&lt;wsp:rsid wsp:val=&quot;009713D0&quot;/&gt;&lt;wsp:rsid wsp:val=&quot;00971927&quot;/&gt;&lt;wsp:rsid wsp:val=&quot;00971969&quot;/&gt;&lt;wsp:rsid wsp:val=&quot;00971BC7&quot;/&gt;&lt;wsp:rsid wsp:val=&quot;00971C05&quot;/&gt;&lt;wsp:rsid wsp:val=&quot;00971CAA&quot;/&gt;&lt;wsp:rsid wsp:val=&quot;00972210&quot;/&gt;&lt;wsp:rsid wsp:val=&quot;0097343E&quot;/&gt;&lt;wsp:rsid wsp:val=&quot;00973AAB&quot;/&gt;&lt;wsp:rsid wsp:val=&quot;00973C00&quot;/&gt;&lt;wsp:rsid wsp:val=&quot;00973D92&quot;/&gt;&lt;wsp:rsid wsp:val=&quot;00973E53&quot;/&gt;&lt;wsp:rsid wsp:val=&quot;00974110&quot;/&gt;&lt;wsp:rsid wsp:val=&quot;009741DD&quot;/&gt;&lt;wsp:rsid wsp:val=&quot;009742E5&quot;/&gt;&lt;wsp:rsid wsp:val=&quot;00974907&quot;/&gt;&lt;wsp:rsid wsp:val=&quot;00974AE7&quot;/&gt;&lt;wsp:rsid wsp:val=&quot;0097550F&quot;/&gt;&lt;wsp:rsid wsp:val=&quot;0097594A&quot;/&gt;&lt;wsp:rsid wsp:val=&quot;009759C3&quot;/&gt;&lt;wsp:rsid wsp:val=&quot;00975A0E&quot;/&gt;&lt;wsp:rsid wsp:val=&quot;00976090&quot;/&gt;&lt;wsp:rsid wsp:val=&quot;0097735E&quot;/&gt;&lt;wsp:rsid wsp:val=&quot;0097784C&quot;/&gt;&lt;wsp:rsid wsp:val=&quot;009778A0&quot;/&gt;&lt;wsp:rsid wsp:val=&quot;00977B6E&quot;/&gt;&lt;wsp:rsid wsp:val=&quot;00977D78&quot;/&gt;&lt;wsp:rsid wsp:val=&quot;009801FA&quot;/&gt;&lt;wsp:rsid wsp:val=&quot;00980377&quot;/&gt;&lt;wsp:rsid wsp:val=&quot;00980390&quot;/&gt;&lt;wsp:rsid wsp:val=&quot;009803F5&quot;/&gt;&lt;wsp:rsid wsp:val=&quot;00980790&quot;/&gt;&lt;wsp:rsid wsp:val=&quot;00980BB9&quot;/&gt;&lt;wsp:rsid wsp:val=&quot;00980E2A&quot;/&gt;&lt;wsp:rsid wsp:val=&quot;00980EC8&quot;/&gt;&lt;wsp:rsid wsp:val=&quot;009815C2&quot;/&gt;&lt;wsp:rsid wsp:val=&quot;0098278D&quot;/&gt;&lt;wsp:rsid wsp:val=&quot;00982AC4&quot;/&gt;&lt;wsp:rsid wsp:val=&quot;0098346C&quot;/&gt;&lt;wsp:rsid wsp:val=&quot;0098353D&quot;/&gt;&lt;wsp:rsid wsp:val=&quot;009835FB&quot;/&gt;&lt;wsp:rsid wsp:val=&quot;00983797&quot;/&gt;&lt;wsp:rsid wsp:val=&quot;00983827&quot;/&gt;&lt;wsp:rsid wsp:val=&quot;0098488D&quot;/&gt;&lt;wsp:rsid wsp:val=&quot;00984A8C&quot;/&gt;&lt;wsp:rsid wsp:val=&quot;00984AAD&quot;/&gt;&lt;wsp:rsid wsp:val=&quot;00984B8B&quot;/&gt;&lt;wsp:rsid wsp:val=&quot;00984D74&quot;/&gt;&lt;wsp:rsid wsp:val=&quot;00984DD8&quot;/&gt;&lt;wsp:rsid wsp:val=&quot;0098508E&quot;/&gt;&lt;wsp:rsid wsp:val=&quot;009852F4&quot;/&gt;&lt;wsp:rsid wsp:val=&quot;009859BF&quot;/&gt;&lt;wsp:rsid wsp:val=&quot;00987163&quot;/&gt;&lt;wsp:rsid wsp:val=&quot;0098754F&quot;/&gt;&lt;wsp:rsid wsp:val=&quot;00987980&quot;/&gt;&lt;wsp:rsid wsp:val=&quot;00987E89&quot;/&gt;&lt;wsp:rsid wsp:val=&quot;00991459&quot;/&gt;&lt;wsp:rsid wsp:val=&quot;00991671&quot;/&gt;&lt;wsp:rsid wsp:val=&quot;00991782&quot;/&gt;&lt;wsp:rsid wsp:val=&quot;009917E3&quot;/&gt;&lt;wsp:rsid wsp:val=&quot;00991A13&quot;/&gt;&lt;wsp:rsid wsp:val=&quot;00991E2A&quot;/&gt;&lt;wsp:rsid wsp:val=&quot;009921AD&quot;/&gt;&lt;wsp:rsid wsp:val=&quot;009921D4&quot;/&gt;&lt;wsp:rsid wsp:val=&quot;0099278A&quot;/&gt;&lt;wsp:rsid wsp:val=&quot;00992869&quot;/&gt;&lt;wsp:rsid wsp:val=&quot;00992C3D&quot;/&gt;&lt;wsp:rsid wsp:val=&quot;00992DE3&quot;/&gt;&lt;wsp:rsid wsp:val=&quot;0099312A&quot;/&gt;&lt;wsp:rsid wsp:val=&quot;00993200&quot;/&gt;&lt;wsp:rsid wsp:val=&quot;00993249&quot;/&gt;&lt;wsp:rsid wsp:val=&quot;00993475&quot;/&gt;&lt;wsp:rsid wsp:val=&quot;00993B49&quot;/&gt;&lt;wsp:rsid wsp:val=&quot;00993BD3&quot;/&gt;&lt;wsp:rsid wsp:val=&quot;00994D3E&quot;/&gt;&lt;wsp:rsid wsp:val=&quot;009955E0&quot;/&gt;&lt;wsp:rsid wsp:val=&quot;00995611&quot;/&gt;&lt;wsp:rsid wsp:val=&quot;009957D0&quot;/&gt;&lt;wsp:rsid wsp:val=&quot;009958F6&quot;/&gt;&lt;wsp:rsid wsp:val=&quot;00995A30&quot;/&gt;&lt;wsp:rsid wsp:val=&quot;00995C78&quot;/&gt;&lt;wsp:rsid wsp:val=&quot;00995D52&quot;/&gt;&lt;wsp:rsid wsp:val=&quot;00995D62&quot;/&gt;&lt;wsp:rsid wsp:val=&quot;00995EED&quot;/&gt;&lt;wsp:rsid wsp:val=&quot;0099609C&quot;/&gt;&lt;wsp:rsid wsp:val=&quot;009967AD&quot;/&gt;&lt;wsp:rsid wsp:val=&quot;00996821&quot;/&gt;&lt;wsp:rsid wsp:val=&quot;009969C4&quot;/&gt;&lt;wsp:rsid wsp:val=&quot;00996C5E&quot;/&gt;&lt;wsp:rsid wsp:val=&quot;00996E57&quot;/&gt;&lt;wsp:rsid wsp:val=&quot;009972EB&quot;/&gt;&lt;wsp:rsid wsp:val=&quot;00997809&quot;/&gt;&lt;wsp:rsid wsp:val=&quot;009A00EF&quot;/&gt;&lt;wsp:rsid wsp:val=&quot;009A031D&quot;/&gt;&lt;wsp:rsid wsp:val=&quot;009A0546&quot;/&gt;&lt;wsp:rsid wsp:val=&quot;009A0691&quot;/&gt;&lt;wsp:rsid wsp:val=&quot;009A0AA4&quot;/&gt;&lt;wsp:rsid wsp:val=&quot;009A1202&quot;/&gt;&lt;wsp:rsid wsp:val=&quot;009A16E8&quot;/&gt;&lt;wsp:rsid wsp:val=&quot;009A170E&quot;/&gt;&lt;wsp:rsid wsp:val=&quot;009A1756&quot;/&gt;&lt;wsp:rsid wsp:val=&quot;009A179F&quot;/&gt;&lt;wsp:rsid wsp:val=&quot;009A1F5C&quot;/&gt;&lt;wsp:rsid wsp:val=&quot;009A215F&quot;/&gt;&lt;wsp:rsid wsp:val=&quot;009A24E6&quot;/&gt;&lt;wsp:rsid wsp:val=&quot;009A24F6&quot;/&gt;&lt;wsp:rsid wsp:val=&quot;009A2528&quot;/&gt;&lt;wsp:rsid wsp:val=&quot;009A261F&quot;/&gt;&lt;wsp:rsid wsp:val=&quot;009A295F&quot;/&gt;&lt;wsp:rsid wsp:val=&quot;009A2EEB&quot;/&gt;&lt;wsp:rsid wsp:val=&quot;009A3A57&quot;/&gt;&lt;wsp:rsid wsp:val=&quot;009A3CCC&quot;/&gt;&lt;wsp:rsid wsp:val=&quot;009A4396&quot;/&gt;&lt;wsp:rsid wsp:val=&quot;009A452F&quot;/&gt;&lt;wsp:rsid wsp:val=&quot;009A46B8&quot;/&gt;&lt;wsp:rsid wsp:val=&quot;009A4725&quot;/&gt;&lt;wsp:rsid wsp:val=&quot;009A4863&quot;/&gt;&lt;wsp:rsid wsp:val=&quot;009A4996&quot;/&gt;&lt;wsp:rsid wsp:val=&quot;009A4BC2&quot;/&gt;&lt;wsp:rsid wsp:val=&quot;009A4F9A&quot;/&gt;&lt;wsp:rsid wsp:val=&quot;009A5039&quot;/&gt;&lt;wsp:rsid wsp:val=&quot;009A519E&quot;/&gt;&lt;wsp:rsid wsp:val=&quot;009A5423&quot;/&gt;&lt;wsp:rsid wsp:val=&quot;009A5468&quot;/&gt;&lt;wsp:rsid wsp:val=&quot;009A57B5&quot;/&gt;&lt;wsp:rsid wsp:val=&quot;009A5B9A&quot;/&gt;&lt;wsp:rsid wsp:val=&quot;009A5E75&quot;/&gt;&lt;wsp:rsid wsp:val=&quot;009A60AE&quot;/&gt;&lt;wsp:rsid wsp:val=&quot;009A616D&quot;/&gt;&lt;wsp:rsid wsp:val=&quot;009A6712&quot;/&gt;&lt;wsp:rsid wsp:val=&quot;009A68F1&quot;/&gt;&lt;wsp:rsid wsp:val=&quot;009A6A5B&quot;/&gt;&lt;wsp:rsid wsp:val=&quot;009A6B39&quot;/&gt;&lt;wsp:rsid wsp:val=&quot;009A6D9B&quot;/&gt;&lt;wsp:rsid wsp:val=&quot;009A7078&quot;/&gt;&lt;wsp:rsid wsp:val=&quot;009A751C&quot;/&gt;&lt;wsp:rsid wsp:val=&quot;009A7768&quot;/&gt;&lt;wsp:rsid wsp:val=&quot;009A778F&quot;/&gt;&lt;wsp:rsid wsp:val=&quot;009A7BB0&quot;/&gt;&lt;wsp:rsid wsp:val=&quot;009A7BFB&quot;/&gt;&lt;wsp:rsid wsp:val=&quot;009A7C9E&quot;/&gt;&lt;wsp:rsid wsp:val=&quot;009B030A&quot;/&gt;&lt;wsp:rsid wsp:val=&quot;009B0BA0&quot;/&gt;&lt;wsp:rsid wsp:val=&quot;009B0D0E&quot;/&gt;&lt;wsp:rsid wsp:val=&quot;009B0D1C&quot;/&gt;&lt;wsp:rsid wsp:val=&quot;009B1D40&quot;/&gt;&lt;wsp:rsid wsp:val=&quot;009B2453&quot;/&gt;&lt;wsp:rsid wsp:val=&quot;009B25C0&quot;/&gt;&lt;wsp:rsid wsp:val=&quot;009B2649&quot;/&gt;&lt;wsp:rsid wsp:val=&quot;009B27CF&quot;/&gt;&lt;wsp:rsid wsp:val=&quot;009B2818&quot;/&gt;&lt;wsp:rsid wsp:val=&quot;009B2A7E&quot;/&gt;&lt;wsp:rsid wsp:val=&quot;009B2AAF&quot;/&gt;&lt;wsp:rsid wsp:val=&quot;009B2AFC&quot;/&gt;&lt;wsp:rsid wsp:val=&quot;009B2B4B&quot;/&gt;&lt;wsp:rsid wsp:val=&quot;009B2DDF&quot;/&gt;&lt;wsp:rsid wsp:val=&quot;009B3261&quot;/&gt;&lt;wsp:rsid wsp:val=&quot;009B3DE1&quot;/&gt;&lt;wsp:rsid wsp:val=&quot;009B4723&quot;/&gt;&lt;wsp:rsid wsp:val=&quot;009B4B92&quot;/&gt;&lt;wsp:rsid wsp:val=&quot;009B54B4&quot;/&gt;&lt;wsp:rsid wsp:val=&quot;009B5A4D&quot;/&gt;&lt;wsp:rsid wsp:val=&quot;009B5BB6&quot;/&gt;&lt;wsp:rsid wsp:val=&quot;009B6CDE&quot;/&gt;&lt;wsp:rsid wsp:val=&quot;009B7120&quot;/&gt;&lt;wsp:rsid wsp:val=&quot;009B79FA&quot;/&gt;&lt;wsp:rsid wsp:val=&quot;009B7A35&quot;/&gt;&lt;wsp:rsid wsp:val=&quot;009B7B82&quot;/&gt;&lt;wsp:rsid wsp:val=&quot;009B7DC2&quot;/&gt;&lt;wsp:rsid wsp:val=&quot;009C053E&quot;/&gt;&lt;wsp:rsid wsp:val=&quot;009C06B6&quot;/&gt;&lt;wsp:rsid wsp:val=&quot;009C08EA&quot;/&gt;&lt;wsp:rsid wsp:val=&quot;009C09FD&quot;/&gt;&lt;wsp:rsid wsp:val=&quot;009C0D5C&quot;/&gt;&lt;wsp:rsid wsp:val=&quot;009C1451&quot;/&gt;&lt;wsp:rsid wsp:val=&quot;009C1F4F&quot;/&gt;&lt;wsp:rsid wsp:val=&quot;009C2072&quot;/&gt;&lt;wsp:rsid wsp:val=&quot;009C23D6&quot;/&gt;&lt;wsp:rsid wsp:val=&quot;009C2722&quot;/&gt;&lt;wsp:rsid wsp:val=&quot;009C2729&quot;/&gt;&lt;wsp:rsid wsp:val=&quot;009C2784&quot;/&gt;&lt;wsp:rsid wsp:val=&quot;009C2AEA&quot;/&gt;&lt;wsp:rsid wsp:val=&quot;009C2C3F&quot;/&gt;&lt;wsp:rsid wsp:val=&quot;009C2FDD&quot;/&gt;&lt;wsp:rsid wsp:val=&quot;009C34F9&quot;/&gt;&lt;wsp:rsid wsp:val=&quot;009C35E7&quot;/&gt;&lt;wsp:rsid wsp:val=&quot;009C36E7&quot;/&gt;&lt;wsp:rsid wsp:val=&quot;009C38E9&quot;/&gt;&lt;wsp:rsid wsp:val=&quot;009C39F3&quot;/&gt;&lt;wsp:rsid wsp:val=&quot;009C3E94&quot;/&gt;&lt;wsp:rsid wsp:val=&quot;009C3FCC&quot;/&gt;&lt;wsp:rsid wsp:val=&quot;009C4BE5&quot;/&gt;&lt;wsp:rsid wsp:val=&quot;009C4ED7&quot;/&gt;&lt;wsp:rsid wsp:val=&quot;009C4F74&quot;/&gt;&lt;wsp:rsid wsp:val=&quot;009C5115&quot;/&gt;&lt;wsp:rsid wsp:val=&quot;009C517E&quot;/&gt;&lt;wsp:rsid wsp:val=&quot;009C542D&quot;/&gt;&lt;wsp:rsid wsp:val=&quot;009C57E9&quot;/&gt;&lt;wsp:rsid wsp:val=&quot;009C5B1C&quot;/&gt;&lt;wsp:rsid wsp:val=&quot;009C5BC1&quot;/&gt;&lt;wsp:rsid wsp:val=&quot;009C6835&quot;/&gt;&lt;wsp:rsid wsp:val=&quot;009C696A&quot;/&gt;&lt;wsp:rsid wsp:val=&quot;009C6BF5&quot;/&gt;&lt;wsp:rsid wsp:val=&quot;009C708E&quot;/&gt;&lt;wsp:rsid wsp:val=&quot;009C715D&quot;/&gt;&lt;wsp:rsid wsp:val=&quot;009C76B8&quot;/&gt;&lt;wsp:rsid wsp:val=&quot;009C7E16&quot;/&gt;&lt;wsp:rsid wsp:val=&quot;009C7E8B&quot;/&gt;&lt;wsp:rsid wsp:val=&quot;009C7F54&quot;/&gt;&lt;wsp:rsid wsp:val=&quot;009C7F9F&quot;/&gt;&lt;wsp:rsid wsp:val=&quot;009D04EE&quot;/&gt;&lt;wsp:rsid wsp:val=&quot;009D07C5&quot;/&gt;&lt;wsp:rsid wsp:val=&quot;009D0A80&quot;/&gt;&lt;wsp:rsid wsp:val=&quot;009D0AA1&quot;/&gt;&lt;wsp:rsid wsp:val=&quot;009D0AF6&quot;/&gt;&lt;wsp:rsid wsp:val=&quot;009D0B58&quot;/&gt;&lt;wsp:rsid wsp:val=&quot;009D0BEB&quot;/&gt;&lt;wsp:rsid wsp:val=&quot;009D11AD&quot;/&gt;&lt;wsp:rsid wsp:val=&quot;009D1479&quot;/&gt;&lt;wsp:rsid wsp:val=&quot;009D15E4&quot;/&gt;&lt;wsp:rsid wsp:val=&quot;009D162D&quot;/&gt;&lt;wsp:rsid wsp:val=&quot;009D17A0&quot;/&gt;&lt;wsp:rsid wsp:val=&quot;009D19F1&quot;/&gt;&lt;wsp:rsid wsp:val=&quot;009D2125&quot;/&gt;&lt;wsp:rsid wsp:val=&quot;009D227E&quot;/&gt;&lt;wsp:rsid wsp:val=&quot;009D23AA&quot;/&gt;&lt;wsp:rsid wsp:val=&quot;009D23C0&quot;/&gt;&lt;wsp:rsid wsp:val=&quot;009D281F&quot;/&gt;&lt;wsp:rsid wsp:val=&quot;009D298A&quot;/&gt;&lt;wsp:rsid wsp:val=&quot;009D29F0&quot;/&gt;&lt;wsp:rsid wsp:val=&quot;009D2B6B&quot;/&gt;&lt;wsp:rsid wsp:val=&quot;009D2BE3&quot;/&gt;&lt;wsp:rsid wsp:val=&quot;009D2E4A&quot;/&gt;&lt;wsp:rsid wsp:val=&quot;009D2EBB&quot;/&gt;&lt;wsp:rsid wsp:val=&quot;009D2FBB&quot;/&gt;&lt;wsp:rsid wsp:val=&quot;009D31E6&quot;/&gt;&lt;wsp:rsid wsp:val=&quot;009D35BB&quot;/&gt;&lt;wsp:rsid wsp:val=&quot;009D3A39&quot;/&gt;&lt;wsp:rsid wsp:val=&quot;009D3AE1&quot;/&gt;&lt;wsp:rsid wsp:val=&quot;009D3AF5&quot;/&gt;&lt;wsp:rsid wsp:val=&quot;009D461A&quot;/&gt;&lt;wsp:rsid wsp:val=&quot;009D56D5&quot;/&gt;&lt;wsp:rsid wsp:val=&quot;009D57B6&quot;/&gt;&lt;wsp:rsid wsp:val=&quot;009D5916&quot;/&gt;&lt;wsp:rsid wsp:val=&quot;009D5D5E&quot;/&gt;&lt;wsp:rsid wsp:val=&quot;009D6099&quot;/&gt;&lt;wsp:rsid wsp:val=&quot;009D61D7&quot;/&gt;&lt;wsp:rsid wsp:val=&quot;009D61E5&quot;/&gt;&lt;wsp:rsid wsp:val=&quot;009D6605&quot;/&gt;&lt;wsp:rsid wsp:val=&quot;009D67EA&quot;/&gt;&lt;wsp:rsid wsp:val=&quot;009D6ABA&quot;/&gt;&lt;wsp:rsid wsp:val=&quot;009D6ABF&quot;/&gt;&lt;wsp:rsid wsp:val=&quot;009D6D5A&quot;/&gt;&lt;wsp:rsid wsp:val=&quot;009D79DB&quot;/&gt;&lt;wsp:rsid wsp:val=&quot;009D7A84&quot;/&gt;&lt;wsp:rsid wsp:val=&quot;009D7AB4&quot;/&gt;&lt;wsp:rsid wsp:val=&quot;009D7D1E&quot;/&gt;&lt;wsp:rsid wsp:val=&quot;009D7FD1&quot;/&gt;&lt;wsp:rsid wsp:val=&quot;009E037F&quot;/&gt;&lt;wsp:rsid wsp:val=&quot;009E07DE&quot;/&gt;&lt;wsp:rsid wsp:val=&quot;009E0BCD&quot;/&gt;&lt;wsp:rsid wsp:val=&quot;009E0BEF&quot;/&gt;&lt;wsp:rsid wsp:val=&quot;009E0DD7&quot;/&gt;&lt;wsp:rsid wsp:val=&quot;009E0F4D&quot;/&gt;&lt;wsp:rsid wsp:val=&quot;009E0FB4&quot;/&gt;&lt;wsp:rsid wsp:val=&quot;009E1086&quot;/&gt;&lt;wsp:rsid wsp:val=&quot;009E1294&quot;/&gt;&lt;wsp:rsid wsp:val=&quot;009E19F8&quot;/&gt;&lt;wsp:rsid wsp:val=&quot;009E1C77&quot;/&gt;&lt;wsp:rsid wsp:val=&quot;009E2DEE&quot;/&gt;&lt;wsp:rsid wsp:val=&quot;009E36EB&quot;/&gt;&lt;wsp:rsid wsp:val=&quot;009E3E4C&quot;/&gt;&lt;wsp:rsid wsp:val=&quot;009E3FFF&quot;/&gt;&lt;wsp:rsid wsp:val=&quot;009E45F4&quot;/&gt;&lt;wsp:rsid wsp:val=&quot;009E4622&quot;/&gt;&lt;wsp:rsid wsp:val=&quot;009E48F5&quot;/&gt;&lt;wsp:rsid wsp:val=&quot;009E5044&quot;/&gt;&lt;wsp:rsid wsp:val=&quot;009E5060&quot;/&gt;&lt;wsp:rsid wsp:val=&quot;009E53F0&quot;/&gt;&lt;wsp:rsid wsp:val=&quot;009E53F2&quot;/&gt;&lt;wsp:rsid wsp:val=&quot;009E5666&quot;/&gt;&lt;wsp:rsid wsp:val=&quot;009E56C1&quot;/&gt;&lt;wsp:rsid wsp:val=&quot;009E591E&quot;/&gt;&lt;wsp:rsid wsp:val=&quot;009E5D87&quot;/&gt;&lt;wsp:rsid wsp:val=&quot;009E5DE0&quot;/&gt;&lt;wsp:rsid wsp:val=&quot;009E68A8&quot;/&gt;&lt;wsp:rsid wsp:val=&quot;009E6988&quot;/&gt;&lt;wsp:rsid wsp:val=&quot;009E6C73&quot;/&gt;&lt;wsp:rsid wsp:val=&quot;009E6CC9&quot;/&gt;&lt;wsp:rsid wsp:val=&quot;009E71EE&quot;/&gt;&lt;wsp:rsid wsp:val=&quot;009E7D27&quot;/&gt;&lt;wsp:rsid wsp:val=&quot;009F0DAA&quot;/&gt;&lt;wsp:rsid wsp:val=&quot;009F0E30&quot;/&gt;&lt;wsp:rsid wsp:val=&quot;009F1B40&quot;/&gt;&lt;wsp:rsid wsp:val=&quot;009F1C8A&quot;/&gt;&lt;wsp:rsid wsp:val=&quot;009F254F&quot;/&gt;&lt;wsp:rsid wsp:val=&quot;009F26F9&quot;/&gt;&lt;wsp:rsid wsp:val=&quot;009F2846&quot;/&gt;&lt;wsp:rsid wsp:val=&quot;009F2AFA&quot;/&gt;&lt;wsp:rsid wsp:val=&quot;009F2D02&quot;/&gt;&lt;wsp:rsid wsp:val=&quot;009F3060&quot;/&gt;&lt;wsp:rsid wsp:val=&quot;009F37DD&quot;/&gt;&lt;wsp:rsid wsp:val=&quot;009F3857&quot;/&gt;&lt;wsp:rsid wsp:val=&quot;009F3960&quot;/&gt;&lt;wsp:rsid wsp:val=&quot;009F3C41&quot;/&gt;&lt;wsp:rsid wsp:val=&quot;009F426A&quot;/&gt;&lt;wsp:rsid wsp:val=&quot;009F4681&quot;/&gt;&lt;wsp:rsid wsp:val=&quot;009F48C5&quot;/&gt;&lt;wsp:rsid wsp:val=&quot;009F4D8C&quot;/&gt;&lt;wsp:rsid wsp:val=&quot;009F4FFF&quot;/&gt;&lt;wsp:rsid wsp:val=&quot;009F519D&quot;/&gt;&lt;wsp:rsid wsp:val=&quot;009F5232&quot;/&gt;&lt;wsp:rsid wsp:val=&quot;009F52A3&quot;/&gt;&lt;wsp:rsid wsp:val=&quot;009F53C7&quot;/&gt;&lt;wsp:rsid wsp:val=&quot;009F56F5&quot;/&gt;&lt;wsp:rsid wsp:val=&quot;009F590B&quot;/&gt;&lt;wsp:rsid wsp:val=&quot;009F5AF6&quot;/&gt;&lt;wsp:rsid wsp:val=&quot;009F5EC0&quot;/&gt;&lt;wsp:rsid wsp:val=&quot;009F6174&quot;/&gt;&lt;wsp:rsid wsp:val=&quot;009F61F3&quot;/&gt;&lt;wsp:rsid wsp:val=&quot;009F6612&quot;/&gt;&lt;wsp:rsid wsp:val=&quot;009F66D0&quot;/&gt;&lt;wsp:rsid wsp:val=&quot;009F6BFF&quot;/&gt;&lt;wsp:rsid wsp:val=&quot;009F6C12&quot;/&gt;&lt;wsp:rsid wsp:val=&quot;009F6C6F&quot;/&gt;&lt;wsp:rsid wsp:val=&quot;009F6D60&quot;/&gt;&lt;wsp:rsid wsp:val=&quot;009F6E91&quot;/&gt;&lt;wsp:rsid wsp:val=&quot;009F7704&quot;/&gt;&lt;wsp:rsid wsp:val=&quot;009F7E7D&quot;/&gt;&lt;wsp:rsid wsp:val=&quot;00A00108&quot;/&gt;&lt;wsp:rsid wsp:val=&quot;00A0029D&quot;/&gt;&lt;wsp:rsid wsp:val=&quot;00A006E2&quot;/&gt;&lt;wsp:rsid wsp:val=&quot;00A006EE&quot;/&gt;&lt;wsp:rsid wsp:val=&quot;00A0074F&quot;/&gt;&lt;wsp:rsid wsp:val=&quot;00A00F23&quot;/&gt;&lt;wsp:rsid wsp:val=&quot;00A013C1&quot;/&gt;&lt;wsp:rsid wsp:val=&quot;00A01BB7&quot;/&gt;&lt;wsp:rsid wsp:val=&quot;00A01BBC&quot;/&gt;&lt;wsp:rsid wsp:val=&quot;00A01C6B&quot;/&gt;&lt;wsp:rsid wsp:val=&quot;00A01CBE&quot;/&gt;&lt;wsp:rsid wsp:val=&quot;00A0234B&quot;/&gt;&lt;wsp:rsid wsp:val=&quot;00A024CC&quot;/&gt;&lt;wsp:rsid wsp:val=&quot;00A02851&quot;/&gt;&lt;wsp:rsid wsp:val=&quot;00A02878&quot;/&gt;&lt;wsp:rsid wsp:val=&quot;00A02CB7&quot;/&gt;&lt;wsp:rsid wsp:val=&quot;00A0335B&quot;/&gt;&lt;wsp:rsid wsp:val=&quot;00A03B79&quot;/&gt;&lt;wsp:rsid wsp:val=&quot;00A03E14&quot;/&gt;&lt;wsp:rsid wsp:val=&quot;00A04440&quot;/&gt;&lt;wsp:rsid wsp:val=&quot;00A04E5B&quot;/&gt;&lt;wsp:rsid wsp:val=&quot;00A04F29&quot;/&gt;&lt;wsp:rsid wsp:val=&quot;00A05038&quot;/&gt;&lt;wsp:rsid wsp:val=&quot;00A0578A&quot;/&gt;&lt;wsp:rsid wsp:val=&quot;00A05925&quot;/&gt;&lt;wsp:rsid wsp:val=&quot;00A05AA3&quot;/&gt;&lt;wsp:rsid wsp:val=&quot;00A05F18&quot;/&gt;&lt;wsp:rsid wsp:val=&quot;00A06349&quot;/&gt;&lt;wsp:rsid wsp:val=&quot;00A06389&quot;/&gt;&lt;wsp:rsid wsp:val=&quot;00A063D6&quot;/&gt;&lt;wsp:rsid wsp:val=&quot;00A06AF7&quot;/&gt;&lt;wsp:rsid wsp:val=&quot;00A06C3B&quot;/&gt;&lt;wsp:rsid wsp:val=&quot;00A0705C&quot;/&gt;&lt;wsp:rsid wsp:val=&quot;00A071F0&quot;/&gt;&lt;wsp:rsid wsp:val=&quot;00A0795B&quot;/&gt;&lt;wsp:rsid wsp:val=&quot;00A07FD5&quot;/&gt;&lt;wsp:rsid wsp:val=&quot;00A10198&quot;/&gt;&lt;wsp:rsid wsp:val=&quot;00A101C2&quot;/&gt;&lt;wsp:rsid wsp:val=&quot;00A10679&quot;/&gt;&lt;wsp:rsid wsp:val=&quot;00A106EB&quot;/&gt;&lt;wsp:rsid wsp:val=&quot;00A109EE&quot;/&gt;&lt;wsp:rsid wsp:val=&quot;00A112E7&quot;/&gt;&lt;wsp:rsid wsp:val=&quot;00A11859&quot;/&gt;&lt;wsp:rsid wsp:val=&quot;00A11F40&quot;/&gt;&lt;wsp:rsid wsp:val=&quot;00A12240&quot;/&gt;&lt;wsp:rsid wsp:val=&quot;00A12640&quot;/&gt;&lt;wsp:rsid wsp:val=&quot;00A128AA&quot;/&gt;&lt;wsp:rsid wsp:val=&quot;00A12C11&quot;/&gt;&lt;wsp:rsid wsp:val=&quot;00A12C12&quot;/&gt;&lt;wsp:rsid wsp:val=&quot;00A12D6A&quot;/&gt;&lt;wsp:rsid wsp:val=&quot;00A12D7C&quot;/&gt;&lt;wsp:rsid wsp:val=&quot;00A1375D&quot;/&gt;&lt;wsp:rsid wsp:val=&quot;00A1385D&quot;/&gt;&lt;wsp:rsid wsp:val=&quot;00A13B28&quot;/&gt;&lt;wsp:rsid wsp:val=&quot;00A13D39&quot;/&gt;&lt;wsp:rsid wsp:val=&quot;00A13F73&quot;/&gt;&lt;wsp:rsid wsp:val=&quot;00A13F82&quot;/&gt;&lt;wsp:rsid wsp:val=&quot;00A13FED&quot;/&gt;&lt;wsp:rsid wsp:val=&quot;00A14252&quot;/&gt;&lt;wsp:rsid wsp:val=&quot;00A148D1&quot;/&gt;&lt;wsp:rsid wsp:val=&quot;00A148FB&quot;/&gt;&lt;wsp:rsid wsp:val=&quot;00A14FE7&quot;/&gt;&lt;wsp:rsid wsp:val=&quot;00A150D5&quot;/&gt;&lt;wsp:rsid wsp:val=&quot;00A15168&quot;/&gt;&lt;wsp:rsid wsp:val=&quot;00A1543F&quot;/&gt;&lt;wsp:rsid wsp:val=&quot;00A15572&quot;/&gt;&lt;wsp:rsid wsp:val=&quot;00A15783&quot;/&gt;&lt;wsp:rsid wsp:val=&quot;00A15C97&quot;/&gt;&lt;wsp:rsid wsp:val=&quot;00A15CBA&quot;/&gt;&lt;wsp:rsid wsp:val=&quot;00A16141&quot;/&gt;&lt;wsp:rsid wsp:val=&quot;00A166D0&quot;/&gt;&lt;wsp:rsid wsp:val=&quot;00A16A35&quot;/&gt;&lt;wsp:rsid wsp:val=&quot;00A1722D&quot;/&gt;&lt;wsp:rsid wsp:val=&quot;00A1763E&quot;/&gt;&lt;wsp:rsid wsp:val=&quot;00A17B2D&quot;/&gt;&lt;wsp:rsid wsp:val=&quot;00A17C35&quot;/&gt;&lt;wsp:rsid wsp:val=&quot;00A17D80&quot;/&gt;&lt;wsp:rsid wsp:val=&quot;00A17DDB&quot;/&gt;&lt;wsp:rsid wsp:val=&quot;00A17E93&quot;/&gt;&lt;wsp:rsid wsp:val=&quot;00A17FD5&quot;/&gt;&lt;wsp:rsid wsp:val=&quot;00A20378&quot;/&gt;&lt;wsp:rsid wsp:val=&quot;00A209EA&quot;/&gt;&lt;wsp:rsid wsp:val=&quot;00A20D10&quot;/&gt;&lt;wsp:rsid wsp:val=&quot;00A20E6C&quot;/&gt;&lt;wsp:rsid wsp:val=&quot;00A20F11&quot;/&gt;&lt;wsp:rsid wsp:val=&quot;00A21ABD&quot;/&gt;&lt;wsp:rsid wsp:val=&quot;00A21BFA&quot;/&gt;&lt;wsp:rsid wsp:val=&quot;00A21CE4&quot;/&gt;&lt;wsp:rsid wsp:val=&quot;00A2207C&quot;/&gt;&lt;wsp:rsid wsp:val=&quot;00A22137&quot;/&gt;&lt;wsp:rsid wsp:val=&quot;00A226FC&quot;/&gt;&lt;wsp:rsid wsp:val=&quot;00A226FF&quot;/&gt;&lt;wsp:rsid wsp:val=&quot;00A2291F&quot;/&gt;&lt;wsp:rsid wsp:val=&quot;00A22E0D&quot;/&gt;&lt;wsp:rsid wsp:val=&quot;00A22F42&quot;/&gt;&lt;wsp:rsid wsp:val=&quot;00A23506&quot;/&gt;&lt;wsp:rsid wsp:val=&quot;00A23648&quot;/&gt;&lt;wsp:rsid wsp:val=&quot;00A23994&quot;/&gt;&lt;wsp:rsid wsp:val=&quot;00A23B5E&quot;/&gt;&lt;wsp:rsid wsp:val=&quot;00A24233&quot;/&gt;&lt;wsp:rsid wsp:val=&quot;00A24248&quot;/&gt;&lt;wsp:rsid wsp:val=&quot;00A24A2D&quot;/&gt;&lt;wsp:rsid wsp:val=&quot;00A252E7&quot;/&gt;&lt;wsp:rsid wsp:val=&quot;00A2593E&quot;/&gt;&lt;wsp:rsid wsp:val=&quot;00A261A7&quot;/&gt;&lt;wsp:rsid wsp:val=&quot;00A262EE&quot;/&gt;&lt;wsp:rsid wsp:val=&quot;00A270A3&quot;/&gt;&lt;wsp:rsid wsp:val=&quot;00A27218&quot;/&gt;&lt;wsp:rsid wsp:val=&quot;00A272C0&quot;/&gt;&lt;wsp:rsid wsp:val=&quot;00A27335&quot;/&gt;&lt;wsp:rsid wsp:val=&quot;00A27758&quot;/&gt;&lt;wsp:rsid wsp:val=&quot;00A27EF4&quot;/&gt;&lt;wsp:rsid wsp:val=&quot;00A27F1E&quot;/&gt;&lt;wsp:rsid wsp:val=&quot;00A30022&quot;/&gt;&lt;wsp:rsid wsp:val=&quot;00A30405&quot;/&gt;&lt;wsp:rsid wsp:val=&quot;00A30473&quot;/&gt;&lt;wsp:rsid wsp:val=&quot;00A304F6&quot;/&gt;&lt;wsp:rsid wsp:val=&quot;00A30940&quot;/&gt;&lt;wsp:rsid wsp:val=&quot;00A30C79&quot;/&gt;&lt;wsp:rsid wsp:val=&quot;00A30CD9&quot;/&gt;&lt;wsp:rsid wsp:val=&quot;00A30D84&quot;/&gt;&lt;wsp:rsid wsp:val=&quot;00A310F8&quot;/&gt;&lt;wsp:rsid wsp:val=&quot;00A31154&quot;/&gt;&lt;wsp:rsid wsp:val=&quot;00A3124A&quot;/&gt;&lt;wsp:rsid wsp:val=&quot;00A31811&quot;/&gt;&lt;wsp:rsid wsp:val=&quot;00A31CD5&quot;/&gt;&lt;wsp:rsid wsp:val=&quot;00A32633&quot;/&gt;&lt;wsp:rsid wsp:val=&quot;00A32EF9&quot;/&gt;&lt;wsp:rsid wsp:val=&quot;00A3384E&quot;/&gt;&lt;wsp:rsid wsp:val=&quot;00A33D51&quot;/&gt;&lt;wsp:rsid wsp:val=&quot;00A33EAA&quot;/&gt;&lt;wsp:rsid wsp:val=&quot;00A34099&quot;/&gt;&lt;wsp:rsid wsp:val=&quot;00A343F7&quot;/&gt;&lt;wsp:rsid wsp:val=&quot;00A34488&quot;/&gt;&lt;wsp:rsid wsp:val=&quot;00A34787&quot;/&gt;&lt;wsp:rsid wsp:val=&quot;00A3483B&quot;/&gt;&lt;wsp:rsid wsp:val=&quot;00A348E8&quot;/&gt;&lt;wsp:rsid wsp:val=&quot;00A34919&quot;/&gt;&lt;wsp:rsid wsp:val=&quot;00A34AB2&quot;/&gt;&lt;wsp:rsid wsp:val=&quot;00A3521D&quot;/&gt;&lt;wsp:rsid wsp:val=&quot;00A352D6&quot;/&gt;&lt;wsp:rsid wsp:val=&quot;00A35655&quot;/&gt;&lt;wsp:rsid wsp:val=&quot;00A35DA5&quot;/&gt;&lt;wsp:rsid wsp:val=&quot;00A3602A&quot;/&gt;&lt;wsp:rsid wsp:val=&quot;00A3612D&quot;/&gt;&lt;wsp:rsid wsp:val=&quot;00A3687D&quot;/&gt;&lt;wsp:rsid wsp:val=&quot;00A36911&quot;/&gt;&lt;wsp:rsid wsp:val=&quot;00A36FC7&quot;/&gt;&lt;wsp:rsid wsp:val=&quot;00A375E3&quot;/&gt;&lt;wsp:rsid wsp:val=&quot;00A37CCC&quot;/&gt;&lt;wsp:rsid wsp:val=&quot;00A37D0D&quot;/&gt;&lt;wsp:rsid wsp:val=&quot;00A40248&quot;/&gt;&lt;wsp:rsid wsp:val=&quot;00A40A2D&quot;/&gt;&lt;wsp:rsid wsp:val=&quot;00A40C6F&quot;/&gt;&lt;wsp:rsid wsp:val=&quot;00A40F5C&quot;/&gt;&lt;wsp:rsid wsp:val=&quot;00A41847&quot;/&gt;&lt;wsp:rsid wsp:val=&quot;00A41B59&quot;/&gt;&lt;wsp:rsid wsp:val=&quot;00A41EEF&quot;/&gt;&lt;wsp:rsid wsp:val=&quot;00A4240B&quot;/&gt;&lt;wsp:rsid wsp:val=&quot;00A4252A&quot;/&gt;&lt;wsp:rsid wsp:val=&quot;00A429A0&quot;/&gt;&lt;wsp:rsid wsp:val=&quot;00A43176&quot;/&gt;&lt;wsp:rsid wsp:val=&quot;00A43177&quot;/&gt;&lt;wsp:rsid wsp:val=&quot;00A43326&quot;/&gt;&lt;wsp:rsid wsp:val=&quot;00A43637&quot;/&gt;&lt;wsp:rsid wsp:val=&quot;00A4383F&quot;/&gt;&lt;wsp:rsid wsp:val=&quot;00A43F6D&quot;/&gt;&lt;wsp:rsid wsp:val=&quot;00A442DB&quot;/&gt;&lt;wsp:rsid wsp:val=&quot;00A44F49&quot;/&gt;&lt;wsp:rsid wsp:val=&quot;00A465D5&quot;/&gt;&lt;wsp:rsid wsp:val=&quot;00A47257&quot;/&gt;&lt;wsp:rsid wsp:val=&quot;00A4729B&quot;/&gt;&lt;wsp:rsid wsp:val=&quot;00A4778F&quot;/&gt;&lt;wsp:rsid wsp:val=&quot;00A47AEC&quot;/&gt;&lt;wsp:rsid wsp:val=&quot;00A47F2C&quot;/&gt;&lt;wsp:rsid wsp:val=&quot;00A50056&quot;/&gt;&lt;wsp:rsid wsp:val=&quot;00A5053E&quot;/&gt;&lt;wsp:rsid wsp:val=&quot;00A50D97&quot;/&gt;&lt;wsp:rsid wsp:val=&quot;00A51313&quot;/&gt;&lt;wsp:rsid wsp:val=&quot;00A513B8&quot;/&gt;&lt;wsp:rsid wsp:val=&quot;00A51795&quot;/&gt;&lt;wsp:rsid wsp:val=&quot;00A51870&quot;/&gt;&lt;wsp:rsid wsp:val=&quot;00A518ED&quot;/&gt;&lt;wsp:rsid wsp:val=&quot;00A51CA5&quot;/&gt;&lt;wsp:rsid wsp:val=&quot;00A51F41&quot;/&gt;&lt;wsp:rsid wsp:val=&quot;00A51F64&quot;/&gt;&lt;wsp:rsid wsp:val=&quot;00A52270&quot;/&gt;&lt;wsp:rsid wsp:val=&quot;00A526BB&quot;/&gt;&lt;wsp:rsid wsp:val=&quot;00A528FE&quot;/&gt;&lt;wsp:rsid wsp:val=&quot;00A52AB8&quot;/&gt;&lt;wsp:rsid wsp:val=&quot;00A52C16&quot;/&gt;&lt;wsp:rsid wsp:val=&quot;00A52FAE&quot;/&gt;&lt;wsp:rsid wsp:val=&quot;00A53478&quot;/&gt;&lt;wsp:rsid wsp:val=&quot;00A537B8&quot;/&gt;&lt;wsp:rsid wsp:val=&quot;00A537CA&quot;/&gt;&lt;wsp:rsid wsp:val=&quot;00A53809&quot;/&gt;&lt;wsp:rsid wsp:val=&quot;00A53D59&quot;/&gt;&lt;wsp:rsid wsp:val=&quot;00A53E21&quot;/&gt;&lt;wsp:rsid wsp:val=&quot;00A54816&quot;/&gt;&lt;wsp:rsid wsp:val=&quot;00A54971&quot;/&gt;&lt;wsp:rsid wsp:val=&quot;00A54E31&quot;/&gt;&lt;wsp:rsid wsp:val=&quot;00A5553C&quot;/&gt;&lt;wsp:rsid wsp:val=&quot;00A55B82&quot;/&gt;&lt;wsp:rsid wsp:val=&quot;00A56042&quot;/&gt;&lt;wsp:rsid wsp:val=&quot;00A5604E&quot;/&gt;&lt;wsp:rsid wsp:val=&quot;00A56484&quot;/&gt;&lt;wsp:rsid wsp:val=&quot;00A56E0B&quot;/&gt;&lt;wsp:rsid wsp:val=&quot;00A575B8&quot;/&gt;&lt;wsp:rsid wsp:val=&quot;00A57746&quot;/&gt;&lt;wsp:rsid wsp:val=&quot;00A57A97&quot;/&gt;&lt;wsp:rsid wsp:val=&quot;00A57D2D&quot;/&gt;&lt;wsp:rsid wsp:val=&quot;00A6006A&quot;/&gt;&lt;wsp:rsid wsp:val=&quot;00A6014E&quot;/&gt;&lt;wsp:rsid wsp:val=&quot;00A604C0&quot;/&gt;&lt;wsp:rsid wsp:val=&quot;00A607AF&quot;/&gt;&lt;wsp:rsid wsp:val=&quot;00A60DD1&quot;/&gt;&lt;wsp:rsid wsp:val=&quot;00A6113E&quot;/&gt;&lt;wsp:rsid wsp:val=&quot;00A6171A&quot;/&gt;&lt;wsp:rsid wsp:val=&quot;00A61798&quot;/&gt;&lt;wsp:rsid wsp:val=&quot;00A6194C&quot;/&gt;&lt;wsp:rsid wsp:val=&quot;00A61983&quot;/&gt;&lt;wsp:rsid wsp:val=&quot;00A61A8E&quot;/&gt;&lt;wsp:rsid wsp:val=&quot;00A61DB3&quot;/&gt;&lt;wsp:rsid wsp:val=&quot;00A61E69&quot;/&gt;&lt;wsp:rsid wsp:val=&quot;00A62020&quot;/&gt;&lt;wsp:rsid wsp:val=&quot;00A626B2&quot;/&gt;&lt;wsp:rsid wsp:val=&quot;00A627DD&quot;/&gt;&lt;wsp:rsid wsp:val=&quot;00A629DA&quot;/&gt;&lt;wsp:rsid wsp:val=&quot;00A6304F&quot;/&gt;&lt;wsp:rsid wsp:val=&quot;00A63AA4&quot;/&gt;&lt;wsp:rsid wsp:val=&quot;00A63B13&quot;/&gt;&lt;wsp:rsid wsp:val=&quot;00A63D49&quot;/&gt;&lt;wsp:rsid wsp:val=&quot;00A64267&quot;/&gt;&lt;wsp:rsid wsp:val=&quot;00A648AE&quot;/&gt;&lt;wsp:rsid wsp:val=&quot;00A64BC5&quot;/&gt;&lt;wsp:rsid wsp:val=&quot;00A64D66&quot;/&gt;&lt;wsp:rsid wsp:val=&quot;00A65203&quot;/&gt;&lt;wsp:rsid wsp:val=&quot;00A65267&quot;/&gt;&lt;wsp:rsid wsp:val=&quot;00A6539A&quot;/&gt;&lt;wsp:rsid wsp:val=&quot;00A65429&quot;/&gt;&lt;wsp:rsid wsp:val=&quot;00A65763&quot;/&gt;&lt;wsp:rsid wsp:val=&quot;00A65CF2&quot;/&gt;&lt;wsp:rsid wsp:val=&quot;00A65FB1&quot;/&gt;&lt;wsp:rsid wsp:val=&quot;00A660DE&quot;/&gt;&lt;wsp:rsid wsp:val=&quot;00A66337&quot;/&gt;&lt;wsp:rsid wsp:val=&quot;00A66855&quot;/&gt;&lt;wsp:rsid wsp:val=&quot;00A66C91&quot;/&gt;&lt;wsp:rsid wsp:val=&quot;00A66D12&quot;/&gt;&lt;wsp:rsid wsp:val=&quot;00A66D7A&quot;/&gt;&lt;wsp:rsid wsp:val=&quot;00A670D6&quot;/&gt;&lt;wsp:rsid wsp:val=&quot;00A6729D&quot;/&gt;&lt;wsp:rsid wsp:val=&quot;00A67394&quot;/&gt;&lt;wsp:rsid wsp:val=&quot;00A677B5&quot;/&gt;&lt;wsp:rsid wsp:val=&quot;00A6790F&quot;/&gt;&lt;wsp:rsid wsp:val=&quot;00A67912&quot;/&gt;&lt;wsp:rsid wsp:val=&quot;00A67DAC&quot;/&gt;&lt;wsp:rsid wsp:val=&quot;00A701FD&quot;/&gt;&lt;wsp:rsid wsp:val=&quot;00A707D4&quot;/&gt;&lt;wsp:rsid wsp:val=&quot;00A70A5B&quot;/&gt;&lt;wsp:rsid wsp:val=&quot;00A70BDE&quot;/&gt;&lt;wsp:rsid wsp:val=&quot;00A70E8D&quot;/&gt;&lt;wsp:rsid wsp:val=&quot;00A70EC1&quot;/&gt;&lt;wsp:rsid wsp:val=&quot;00A70F52&quot;/&gt;&lt;wsp:rsid wsp:val=&quot;00A710F7&quot;/&gt;&lt;wsp:rsid wsp:val=&quot;00A71124&quot;/&gt;&lt;wsp:rsid wsp:val=&quot;00A7121B&quot;/&gt;&lt;wsp:rsid wsp:val=&quot;00A715C6&quot;/&gt;&lt;wsp:rsid wsp:val=&quot;00A715FD&quot;/&gt;&lt;wsp:rsid wsp:val=&quot;00A71A9A&quot;/&gt;&lt;wsp:rsid wsp:val=&quot;00A71FF8&quot;/&gt;&lt;wsp:rsid wsp:val=&quot;00A7266F&quot;/&gt;&lt;wsp:rsid wsp:val=&quot;00A72C11&quot;/&gt;&lt;wsp:rsid wsp:val=&quot;00A72E7A&quot;/&gt;&lt;wsp:rsid wsp:val=&quot;00A7352C&quot;/&gt;&lt;wsp:rsid wsp:val=&quot;00A73841&quot;/&gt;&lt;wsp:rsid wsp:val=&quot;00A73A59&quot;/&gt;&lt;wsp:rsid wsp:val=&quot;00A73D44&quot;/&gt;&lt;wsp:rsid wsp:val=&quot;00A741C8&quot;/&gt;&lt;wsp:rsid wsp:val=&quot;00A74A9A&quot;/&gt;&lt;wsp:rsid wsp:val=&quot;00A74C38&quot;/&gt;&lt;wsp:rsid wsp:val=&quot;00A75314&quot;/&gt;&lt;wsp:rsid wsp:val=&quot;00A7562A&quot;/&gt;&lt;wsp:rsid wsp:val=&quot;00A75D66&quot;/&gt;&lt;wsp:rsid wsp:val=&quot;00A75E31&quot;/&gt;&lt;wsp:rsid wsp:val=&quot;00A75E76&quot;/&gt;&lt;wsp:rsid wsp:val=&quot;00A76326&quot;/&gt;&lt;wsp:rsid wsp:val=&quot;00A765A2&quot;/&gt;&lt;wsp:rsid wsp:val=&quot;00A765C0&quot;/&gt;&lt;wsp:rsid wsp:val=&quot;00A7686C&quot;/&gt;&lt;wsp:rsid wsp:val=&quot;00A76A08&quot;/&gt;&lt;wsp:rsid wsp:val=&quot;00A76A40&quot;/&gt;&lt;wsp:rsid wsp:val=&quot;00A76B2A&quot;/&gt;&lt;wsp:rsid wsp:val=&quot;00A76D07&quot;/&gt;&lt;wsp:rsid wsp:val=&quot;00A76E3C&quot;/&gt;&lt;wsp:rsid wsp:val=&quot;00A7790D&quot;/&gt;&lt;wsp:rsid wsp:val=&quot;00A77B57&quot;/&gt;&lt;wsp:rsid wsp:val=&quot;00A77BFB&quot;/&gt;&lt;wsp:rsid wsp:val=&quot;00A800B3&quot;/&gt;&lt;wsp:rsid wsp:val=&quot;00A80333&quot;/&gt;&lt;wsp:rsid wsp:val=&quot;00A807B7&quot;/&gt;&lt;wsp:rsid wsp:val=&quot;00A80877&quot;/&gt;&lt;wsp:rsid wsp:val=&quot;00A80892&quot;/&gt;&lt;wsp:rsid wsp:val=&quot;00A80A0E&quot;/&gt;&lt;wsp:rsid wsp:val=&quot;00A80A86&quot;/&gt;&lt;wsp:rsid wsp:val=&quot;00A810F9&quot;/&gt;&lt;wsp:rsid wsp:val=&quot;00A8111C&quot;/&gt;&lt;wsp:rsid wsp:val=&quot;00A8170A&quot;/&gt;&lt;wsp:rsid wsp:val=&quot;00A818A4&quot;/&gt;&lt;wsp:rsid wsp:val=&quot;00A81DD7&quot;/&gt;&lt;wsp:rsid wsp:val=&quot;00A820B4&quot;/&gt;&lt;wsp:rsid wsp:val=&quot;00A82346&quot;/&gt;&lt;wsp:rsid wsp:val=&quot;00A82675&quot;/&gt;&lt;wsp:rsid wsp:val=&quot;00A82773&quot;/&gt;&lt;wsp:rsid wsp:val=&quot;00A8277D&quot;/&gt;&lt;wsp:rsid wsp:val=&quot;00A83BFC&quot;/&gt;&lt;wsp:rsid wsp:val=&quot;00A83DD5&quot;/&gt;&lt;wsp:rsid wsp:val=&quot;00A841A8&quot;/&gt;&lt;wsp:rsid wsp:val=&quot;00A8425B&quot;/&gt;&lt;wsp:rsid wsp:val=&quot;00A84D1E&quot;/&gt;&lt;wsp:rsid wsp:val=&quot;00A85234&quot;/&gt;&lt;wsp:rsid wsp:val=&quot;00A853B5&quot;/&gt;&lt;wsp:rsid wsp:val=&quot;00A855A2&quot;/&gt;&lt;wsp:rsid wsp:val=&quot;00A85755&quot;/&gt;&lt;wsp:rsid wsp:val=&quot;00A858ED&quot;/&gt;&lt;wsp:rsid wsp:val=&quot;00A85A20&quot;/&gt;&lt;wsp:rsid wsp:val=&quot;00A85D90&quot;/&gt;&lt;wsp:rsid wsp:val=&quot;00A85E89&quot;/&gt;&lt;wsp:rsid wsp:val=&quot;00A85EB0&quot;/&gt;&lt;wsp:rsid wsp:val=&quot;00A86531&quot;/&gt;&lt;wsp:rsid wsp:val=&quot;00A867EB&quot;/&gt;&lt;wsp:rsid wsp:val=&quot;00A86B33&quot;/&gt;&lt;wsp:rsid wsp:val=&quot;00A86EEB&quot;/&gt;&lt;wsp:rsid wsp:val=&quot;00A87155&quot;/&gt;&lt;wsp:rsid wsp:val=&quot;00A87208&quot;/&gt;&lt;wsp:rsid wsp:val=&quot;00A87724&quot;/&gt;&lt;wsp:rsid wsp:val=&quot;00A87820&quot;/&gt;&lt;wsp:rsid wsp:val=&quot;00A8788D&quot;/&gt;&lt;wsp:rsid wsp:val=&quot;00A878A4&quot;/&gt;&lt;wsp:rsid wsp:val=&quot;00A879D6&quot;/&gt;&lt;wsp:rsid wsp:val=&quot;00A87C29&quot;/&gt;&lt;wsp:rsid wsp:val=&quot;00A87F41&quot;/&gt;&lt;wsp:rsid wsp:val=&quot;00A903DE&quot;/&gt;&lt;wsp:rsid wsp:val=&quot;00A90584&quot;/&gt;&lt;wsp:rsid wsp:val=&quot;00A90A12&quot;/&gt;&lt;wsp:rsid wsp:val=&quot;00A90F31&quot;/&gt;&lt;wsp:rsid wsp:val=&quot;00A912DD&quot;/&gt;&lt;wsp:rsid wsp:val=&quot;00A915D8&quot;/&gt;&lt;wsp:rsid wsp:val=&quot;00A91839&quot;/&gt;&lt;wsp:rsid wsp:val=&quot;00A91B76&quot;/&gt;&lt;wsp:rsid wsp:val=&quot;00A91B9A&quot;/&gt;&lt;wsp:rsid wsp:val=&quot;00A91E08&quot;/&gt;&lt;wsp:rsid wsp:val=&quot;00A92168&quot;/&gt;&lt;wsp:rsid wsp:val=&quot;00A92513&quot;/&gt;&lt;wsp:rsid wsp:val=&quot;00A928DB&quot;/&gt;&lt;wsp:rsid wsp:val=&quot;00A9295F&quot;/&gt;&lt;wsp:rsid wsp:val=&quot;00A92B87&quot;/&gt;&lt;wsp:rsid wsp:val=&quot;00A9315B&quot;/&gt;&lt;wsp:rsid wsp:val=&quot;00A931F2&quot;/&gt;&lt;wsp:rsid wsp:val=&quot;00A93507&quot;/&gt;&lt;wsp:rsid wsp:val=&quot;00A935C3&quot;/&gt;&lt;wsp:rsid wsp:val=&quot;00A93D4E&quot;/&gt;&lt;wsp:rsid wsp:val=&quot;00A93DE5&quot;/&gt;&lt;wsp:rsid wsp:val=&quot;00A93DE8&quot;/&gt;&lt;wsp:rsid wsp:val=&quot;00A93F76&quot;/&gt;&lt;wsp:rsid wsp:val=&quot;00A94491&quot;/&gt;&lt;wsp:rsid wsp:val=&quot;00A9480B&quot;/&gt;&lt;wsp:rsid wsp:val=&quot;00A94810&quot;/&gt;&lt;wsp:rsid wsp:val=&quot;00A951C6&quot;/&gt;&lt;wsp:rsid wsp:val=&quot;00A95BEC&quot;/&gt;&lt;wsp:rsid wsp:val=&quot;00A961BB&quot;/&gt;&lt;wsp:rsid wsp:val=&quot;00A9681E&quot;/&gt;&lt;wsp:rsid wsp:val=&quot;00A96A52&quot;/&gt;&lt;wsp:rsid wsp:val=&quot;00A96A66&quot;/&gt;&lt;wsp:rsid wsp:val=&quot;00A96AE7&quot;/&gt;&lt;wsp:rsid wsp:val=&quot;00A96EA8&quot;/&gt;&lt;wsp:rsid wsp:val=&quot;00A97920&quot;/&gt;&lt;wsp:rsid wsp:val=&quot;00A97D65&quot;/&gt;&lt;wsp:rsid wsp:val=&quot;00A97F1F&quot;/&gt;&lt;wsp:rsid wsp:val=&quot;00AA02FD&quot;/&gt;&lt;wsp:rsid wsp:val=&quot;00AA042C&quot;/&gt;&lt;wsp:rsid wsp:val=&quot;00AA0584&quot;/&gt;&lt;wsp:rsid wsp:val=&quot;00AA069E&quot;/&gt;&lt;wsp:rsid wsp:val=&quot;00AA0A78&quot;/&gt;&lt;wsp:rsid wsp:val=&quot;00AA0C0C&quot;/&gt;&lt;wsp:rsid wsp:val=&quot;00AA0C45&quot;/&gt;&lt;wsp:rsid wsp:val=&quot;00AA1080&quot;/&gt;&lt;wsp:rsid wsp:val=&quot;00AA1CBC&quot;/&gt;&lt;wsp:rsid wsp:val=&quot;00AA23FC&quot;/&gt;&lt;wsp:rsid wsp:val=&quot;00AA2521&quot;/&gt;&lt;wsp:rsid wsp:val=&quot;00AA2F18&quot;/&gt;&lt;wsp:rsid wsp:val=&quot;00AA314E&quot;/&gt;&lt;wsp:rsid wsp:val=&quot;00AA33A4&quot;/&gt;&lt;wsp:rsid wsp:val=&quot;00AA346B&quot;/&gt;&lt;wsp:rsid wsp:val=&quot;00AA3476&quot;/&gt;&lt;wsp:rsid wsp:val=&quot;00AA3937&quot;/&gt;&lt;wsp:rsid wsp:val=&quot;00AA3B2C&quot;/&gt;&lt;wsp:rsid wsp:val=&quot;00AA3C7A&quot;/&gt;&lt;wsp:rsid wsp:val=&quot;00AA3CBE&quot;/&gt;&lt;wsp:rsid wsp:val=&quot;00AA4246&quot;/&gt;&lt;wsp:rsid wsp:val=&quot;00AA4607&quot;/&gt;&lt;wsp:rsid wsp:val=&quot;00AA47E8&quot;/&gt;&lt;wsp:rsid wsp:val=&quot;00AA48A3&quot;/&gt;&lt;wsp:rsid wsp:val=&quot;00AA4924&quot;/&gt;&lt;wsp:rsid wsp:val=&quot;00AA4D99&quot;/&gt;&lt;wsp:rsid wsp:val=&quot;00AA4E2D&quot;/&gt;&lt;wsp:rsid wsp:val=&quot;00AA510B&quot;/&gt;&lt;wsp:rsid wsp:val=&quot;00AA512E&quot;/&gt;&lt;wsp:rsid wsp:val=&quot;00AA51BB&quot;/&gt;&lt;wsp:rsid wsp:val=&quot;00AA52B0&quot;/&gt;&lt;wsp:rsid wsp:val=&quot;00AA54CF&quot;/&gt;&lt;wsp:rsid wsp:val=&quot;00AA55AC&quot;/&gt;&lt;wsp:rsid wsp:val=&quot;00AA55DC&quot;/&gt;&lt;wsp:rsid wsp:val=&quot;00AA5A0A&quot;/&gt;&lt;wsp:rsid wsp:val=&quot;00AA5D36&quot;/&gt;&lt;wsp:rsid wsp:val=&quot;00AA5F33&quot;/&gt;&lt;wsp:rsid wsp:val=&quot;00AA66CE&quot;/&gt;&lt;wsp:rsid wsp:val=&quot;00AA6F5D&quot;/&gt;&lt;wsp:rsid wsp:val=&quot;00AA7915&quot;/&gt;&lt;wsp:rsid wsp:val=&quot;00AB097D&quot;/&gt;&lt;wsp:rsid wsp:val=&quot;00AB0B87&quot;/&gt;&lt;wsp:rsid wsp:val=&quot;00AB0E1C&quot;/&gt;&lt;wsp:rsid wsp:val=&quot;00AB10CD&quot;/&gt;&lt;wsp:rsid wsp:val=&quot;00AB1244&quot;/&gt;&lt;wsp:rsid wsp:val=&quot;00AB1504&quot;/&gt;&lt;wsp:rsid wsp:val=&quot;00AB20B0&quot;/&gt;&lt;wsp:rsid wsp:val=&quot;00AB2119&quot;/&gt;&lt;wsp:rsid wsp:val=&quot;00AB237C&quot;/&gt;&lt;wsp:rsid wsp:val=&quot;00AB269D&quot;/&gt;&lt;wsp:rsid wsp:val=&quot;00AB274E&quot;/&gt;&lt;wsp:rsid wsp:val=&quot;00AB292A&quot;/&gt;&lt;wsp:rsid wsp:val=&quot;00AB2CF5&quot;/&gt;&lt;wsp:rsid wsp:val=&quot;00AB2E72&quot;/&gt;&lt;wsp:rsid wsp:val=&quot;00AB2F00&quot;/&gt;&lt;wsp:rsid wsp:val=&quot;00AB301B&quot;/&gt;&lt;wsp:rsid wsp:val=&quot;00AB308B&quot;/&gt;&lt;wsp:rsid wsp:val=&quot;00AB3408&quot;/&gt;&lt;wsp:rsid wsp:val=&quot;00AB364B&quot;/&gt;&lt;wsp:rsid wsp:val=&quot;00AB389E&quot;/&gt;&lt;wsp:rsid wsp:val=&quot;00AB3D6A&quot;/&gt;&lt;wsp:rsid wsp:val=&quot;00AB42B0&quot;/&gt;&lt;wsp:rsid wsp:val=&quot;00AB47F0&quot;/&gt;&lt;wsp:rsid wsp:val=&quot;00AB4952&quot;/&gt;&lt;wsp:rsid wsp:val=&quot;00AB4C51&quot;/&gt;&lt;wsp:rsid wsp:val=&quot;00AB4C7F&quot;/&gt;&lt;wsp:rsid wsp:val=&quot;00AB4E24&quot;/&gt;&lt;wsp:rsid wsp:val=&quot;00AB4FE3&quot;/&gt;&lt;wsp:rsid wsp:val=&quot;00AB504C&quot;/&gt;&lt;wsp:rsid wsp:val=&quot;00AB51FA&quot;/&gt;&lt;wsp:rsid wsp:val=&quot;00AB5375&quot;/&gt;&lt;wsp:rsid wsp:val=&quot;00AB5404&quot;/&gt;&lt;wsp:rsid wsp:val=&quot;00AB55DD&quot;/&gt;&lt;wsp:rsid wsp:val=&quot;00AB5747&quot;/&gt;&lt;wsp:rsid wsp:val=&quot;00AB5B35&quot;/&gt;&lt;wsp:rsid wsp:val=&quot;00AB5CE5&quot;/&gt;&lt;wsp:rsid wsp:val=&quot;00AB67B5&quot;/&gt;&lt;wsp:rsid wsp:val=&quot;00AB67F3&quot;/&gt;&lt;wsp:rsid wsp:val=&quot;00AB6D48&quot;/&gt;&lt;wsp:rsid wsp:val=&quot;00AB6EC3&quot;/&gt;&lt;wsp:rsid wsp:val=&quot;00AB7C45&quot;/&gt;&lt;wsp:rsid wsp:val=&quot;00AC0763&quot;/&gt;&lt;wsp:rsid wsp:val=&quot;00AC0967&quot;/&gt;&lt;wsp:rsid wsp:val=&quot;00AC0D90&quot;/&gt;&lt;wsp:rsid wsp:val=&quot;00AC1044&quot;/&gt;&lt;wsp:rsid wsp:val=&quot;00AC1366&quot;/&gt;&lt;wsp:rsid wsp:val=&quot;00AC1455&quot;/&gt;&lt;wsp:rsid wsp:val=&quot;00AC18E9&quot;/&gt;&lt;wsp:rsid wsp:val=&quot;00AC19BD&quot;/&gt;&lt;wsp:rsid wsp:val=&quot;00AC2032&quot;/&gt;&lt;wsp:rsid wsp:val=&quot;00AC20DA&quot;/&gt;&lt;wsp:rsid wsp:val=&quot;00AC22D2&quot;/&gt;&lt;wsp:rsid wsp:val=&quot;00AC2495&quot;/&gt;&lt;wsp:rsid wsp:val=&quot;00AC2652&quot;/&gt;&lt;wsp:rsid wsp:val=&quot;00AC2926&quot;/&gt;&lt;wsp:rsid wsp:val=&quot;00AC2B5B&quot;/&gt;&lt;wsp:rsid wsp:val=&quot;00AC308A&quot;/&gt;&lt;wsp:rsid wsp:val=&quot;00AC358E&quot;/&gt;&lt;wsp:rsid wsp:val=&quot;00AC3903&quot;/&gt;&lt;wsp:rsid wsp:val=&quot;00AC4063&quot;/&gt;&lt;wsp:rsid wsp:val=&quot;00AC40EE&quot;/&gt;&lt;wsp:rsid wsp:val=&quot;00AC4234&quot;/&gt;&lt;wsp:rsid wsp:val=&quot;00AC4D26&quot;/&gt;&lt;wsp:rsid wsp:val=&quot;00AC4E76&quot;/&gt;&lt;wsp:rsid wsp:val=&quot;00AC4F73&quot;/&gt;&lt;wsp:rsid wsp:val=&quot;00AC533B&quot;/&gt;&lt;wsp:rsid wsp:val=&quot;00AC56DD&quot;/&gt;&lt;wsp:rsid wsp:val=&quot;00AC5796&quot;/&gt;&lt;wsp:rsid wsp:val=&quot;00AC650B&quot;/&gt;&lt;wsp:rsid wsp:val=&quot;00AC6598&quot;/&gt;&lt;wsp:rsid wsp:val=&quot;00AC68D8&quot;/&gt;&lt;wsp:rsid wsp:val=&quot;00AC699A&quot;/&gt;&lt;wsp:rsid wsp:val=&quot;00AC6C6D&quot;/&gt;&lt;wsp:rsid wsp:val=&quot;00AC6DC2&quot;/&gt;&lt;wsp:rsid wsp:val=&quot;00AC704A&quot;/&gt;&lt;wsp:rsid wsp:val=&quot;00AC73C4&quot;/&gt;&lt;wsp:rsid wsp:val=&quot;00AC77AC&quot;/&gt;&lt;wsp:rsid wsp:val=&quot;00AC7D8E&quot;/&gt;&lt;wsp:rsid wsp:val=&quot;00AD009D&quot;/&gt;&lt;wsp:rsid wsp:val=&quot;00AD034D&quot;/&gt;&lt;wsp:rsid wsp:val=&quot;00AD040A&quot;/&gt;&lt;wsp:rsid wsp:val=&quot;00AD0684&quot;/&gt;&lt;wsp:rsid wsp:val=&quot;00AD0779&quot;/&gt;&lt;wsp:rsid wsp:val=&quot;00AD08EF&quot;/&gt;&lt;wsp:rsid wsp:val=&quot;00AD1039&quot;/&gt;&lt;wsp:rsid wsp:val=&quot;00AD1BF3&quot;/&gt;&lt;wsp:rsid wsp:val=&quot;00AD1E48&quot;/&gt;&lt;wsp:rsid wsp:val=&quot;00AD2171&quot;/&gt;&lt;wsp:rsid wsp:val=&quot;00AD3062&quot;/&gt;&lt;wsp:rsid wsp:val=&quot;00AD3099&quot;/&gt;&lt;wsp:rsid wsp:val=&quot;00AD312C&quot;/&gt;&lt;wsp:rsid wsp:val=&quot;00AD32CE&quot;/&gt;&lt;wsp:rsid wsp:val=&quot;00AD334F&quot;/&gt;&lt;wsp:rsid wsp:val=&quot;00AD3D3D&quot;/&gt;&lt;wsp:rsid wsp:val=&quot;00AD405F&quot;/&gt;&lt;wsp:rsid wsp:val=&quot;00AD40C2&quot;/&gt;&lt;wsp:rsid wsp:val=&quot;00AD4218&quot;/&gt;&lt;wsp:rsid wsp:val=&quot;00AD4487&quot;/&gt;&lt;wsp:rsid wsp:val=&quot;00AD46B1&quot;/&gt;&lt;wsp:rsid wsp:val=&quot;00AD475B&quot;/&gt;&lt;wsp:rsid wsp:val=&quot;00AD4D3C&quot;/&gt;&lt;wsp:rsid wsp:val=&quot;00AD502A&quot;/&gt;&lt;wsp:rsid wsp:val=&quot;00AD56C8&quot;/&gt;&lt;wsp:rsid wsp:val=&quot;00AD5D9A&quot;/&gt;&lt;wsp:rsid wsp:val=&quot;00AD5DF1&quot;/&gt;&lt;wsp:rsid wsp:val=&quot;00AD63F8&quot;/&gt;&lt;wsp:rsid wsp:val=&quot;00AD67A3&quot;/&gt;&lt;wsp:rsid wsp:val=&quot;00AD67D1&quot;/&gt;&lt;wsp:rsid wsp:val=&quot;00AD6D97&quot;/&gt;&lt;wsp:rsid wsp:val=&quot;00AD6F2C&quot;/&gt;&lt;wsp:rsid wsp:val=&quot;00AD74DE&quot;/&gt;&lt;wsp:rsid wsp:val=&quot;00AD75D9&quot;/&gt;&lt;wsp:rsid wsp:val=&quot;00AD767D&quot;/&gt;&lt;wsp:rsid wsp:val=&quot;00AD79C8&quot;/&gt;&lt;wsp:rsid wsp:val=&quot;00AE024C&quot;/&gt;&lt;wsp:rsid wsp:val=&quot;00AE068F&quot;/&gt;&lt;wsp:rsid wsp:val=&quot;00AE0719&quot;/&gt;&lt;wsp:rsid wsp:val=&quot;00AE084B&quot;/&gt;&lt;wsp:rsid wsp:val=&quot;00AE0FEB&quot;/&gt;&lt;wsp:rsid wsp:val=&quot;00AE0FF8&quot;/&gt;&lt;wsp:rsid wsp:val=&quot;00AE1545&quot;/&gt;&lt;wsp:rsid wsp:val=&quot;00AE15DC&quot;/&gt;&lt;wsp:rsid wsp:val=&quot;00AE1955&quot;/&gt;&lt;wsp:rsid wsp:val=&quot;00AE1B40&quot;/&gt;&lt;wsp:rsid wsp:val=&quot;00AE20EA&quot;/&gt;&lt;wsp:rsid wsp:val=&quot;00AE224C&quot;/&gt;&lt;wsp:rsid wsp:val=&quot;00AE278A&quot;/&gt;&lt;wsp:rsid wsp:val=&quot;00AE2AC4&quot;/&gt;&lt;wsp:rsid wsp:val=&quot;00AE32E1&quot;/&gt;&lt;wsp:rsid wsp:val=&quot;00AE3803&quot;/&gt;&lt;wsp:rsid wsp:val=&quot;00AE3814&quot;/&gt;&lt;wsp:rsid wsp:val=&quot;00AE38C8&quot;/&gt;&lt;wsp:rsid wsp:val=&quot;00AE46DB&quot;/&gt;&lt;wsp:rsid wsp:val=&quot;00AE4840&quot;/&gt;&lt;wsp:rsid wsp:val=&quot;00AE5283&quot;/&gt;&lt;wsp:rsid wsp:val=&quot;00AE542C&quot;/&gt;&lt;wsp:rsid wsp:val=&quot;00AE5D98&quot;/&gt;&lt;wsp:rsid wsp:val=&quot;00AE5E12&quot;/&gt;&lt;wsp:rsid wsp:val=&quot;00AE5E2B&quot;/&gt;&lt;wsp:rsid wsp:val=&quot;00AE5EA0&quot;/&gt;&lt;wsp:rsid wsp:val=&quot;00AE69C5&quot;/&gt;&lt;wsp:rsid wsp:val=&quot;00AE6EB1&quot;/&gt;&lt;wsp:rsid wsp:val=&quot;00AE6F8E&quot;/&gt;&lt;wsp:rsid wsp:val=&quot;00AE76BD&quot;/&gt;&lt;wsp:rsid wsp:val=&quot;00AE794E&quot;/&gt;&lt;wsp:rsid wsp:val=&quot;00AE7B87&quot;/&gt;&lt;wsp:rsid wsp:val=&quot;00AF04F5&quot;/&gt;&lt;wsp:rsid wsp:val=&quot;00AF077C&quot;/&gt;&lt;wsp:rsid wsp:val=&quot;00AF078B&quot;/&gt;&lt;wsp:rsid wsp:val=&quot;00AF0C3E&quot;/&gt;&lt;wsp:rsid wsp:val=&quot;00AF14A8&quot;/&gt;&lt;wsp:rsid wsp:val=&quot;00AF1564&quot;/&gt;&lt;wsp:rsid wsp:val=&quot;00AF1B37&quot;/&gt;&lt;wsp:rsid wsp:val=&quot;00AF2287&quot;/&gt;&lt;wsp:rsid wsp:val=&quot;00AF2712&quot;/&gt;&lt;wsp:rsid wsp:val=&quot;00AF2CC9&quot;/&gt;&lt;wsp:rsid wsp:val=&quot;00AF2D3E&quot;/&gt;&lt;wsp:rsid wsp:val=&quot;00AF2F7A&quot;/&gt;&lt;wsp:rsid wsp:val=&quot;00AF2F9D&quot;/&gt;&lt;wsp:rsid wsp:val=&quot;00AF3149&quot;/&gt;&lt;wsp:rsid wsp:val=&quot;00AF3509&quot;/&gt;&lt;wsp:rsid wsp:val=&quot;00AF3529&quot;/&gt;&lt;wsp:rsid wsp:val=&quot;00AF3B58&quot;/&gt;&lt;wsp:rsid wsp:val=&quot;00AF3E49&quot;/&gt;&lt;wsp:rsid wsp:val=&quot;00AF424F&quot;/&gt;&lt;wsp:rsid wsp:val=&quot;00AF4343&quot;/&gt;&lt;wsp:rsid wsp:val=&quot;00AF55AA&quot;/&gt;&lt;wsp:rsid wsp:val=&quot;00AF56AE&quot;/&gt;&lt;wsp:rsid wsp:val=&quot;00AF5852&quot;/&gt;&lt;wsp:rsid wsp:val=&quot;00AF5A03&quot;/&gt;&lt;wsp:rsid wsp:val=&quot;00AF5B3E&quot;/&gt;&lt;wsp:rsid wsp:val=&quot;00AF5FD0&quot;/&gt;&lt;wsp:rsid wsp:val=&quot;00AF6623&quot;/&gt;&lt;wsp:rsid wsp:val=&quot;00AF6C6E&quot;/&gt;&lt;wsp:rsid wsp:val=&quot;00AF6F3F&quot;/&gt;&lt;wsp:rsid wsp:val=&quot;00AF7725&quot;/&gt;&lt;wsp:rsid wsp:val=&quot;00AF7759&quot;/&gt;&lt;wsp:rsid wsp:val=&quot;00B003B5&quot;/&gt;&lt;wsp:rsid wsp:val=&quot;00B00493&quot;/&gt;&lt;wsp:rsid wsp:val=&quot;00B006EA&quot;/&gt;&lt;wsp:rsid wsp:val=&quot;00B00992&quot;/&gt;&lt;wsp:rsid wsp:val=&quot;00B00A3C&quot;/&gt;&lt;wsp:rsid wsp:val=&quot;00B00DA1&quot;/&gt;&lt;wsp:rsid wsp:val=&quot;00B00DA4&quot;/&gt;&lt;wsp:rsid wsp:val=&quot;00B00DC4&quot;/&gt;&lt;wsp:rsid wsp:val=&quot;00B0124C&quot;/&gt;&lt;wsp:rsid wsp:val=&quot;00B01375&quot;/&gt;&lt;wsp:rsid wsp:val=&quot;00B01420&quot;/&gt;&lt;wsp:rsid wsp:val=&quot;00B016D4&quot;/&gt;&lt;wsp:rsid wsp:val=&quot;00B01D43&quot;/&gt;&lt;wsp:rsid wsp:val=&quot;00B01FC6&quot;/&gt;&lt;wsp:rsid wsp:val=&quot;00B02031&quot;/&gt;&lt;wsp:rsid wsp:val=&quot;00B026F6&quot;/&gt;&lt;wsp:rsid wsp:val=&quot;00B02F28&quot;/&gt;&lt;wsp:rsid wsp:val=&quot;00B0318E&quot;/&gt;&lt;wsp:rsid wsp:val=&quot;00B033E0&quot;/&gt;&lt;wsp:rsid wsp:val=&quot;00B03510&quot;/&gt;&lt;wsp:rsid wsp:val=&quot;00B03804&quot;/&gt;&lt;wsp:rsid wsp:val=&quot;00B03DEE&quot;/&gt;&lt;wsp:rsid wsp:val=&quot;00B045D9&quot;/&gt;&lt;wsp:rsid wsp:val=&quot;00B04A0F&quot;/&gt;&lt;wsp:rsid wsp:val=&quot;00B04AE7&quot;/&gt;&lt;wsp:rsid wsp:val=&quot;00B04EEB&quot;/&gt;&lt;wsp:rsid wsp:val=&quot;00B04F2C&quot;/&gt;&lt;wsp:rsid wsp:val=&quot;00B053A9&quot;/&gt;&lt;wsp:rsid wsp:val=&quot;00B05AC4&quot;/&gt;&lt;wsp:rsid wsp:val=&quot;00B05EA9&quot;/&gt;&lt;wsp:rsid wsp:val=&quot;00B05F50&quot;/&gt;&lt;wsp:rsid wsp:val=&quot;00B0603D&quot;/&gt;&lt;wsp:rsid wsp:val=&quot;00B06108&quot;/&gt;&lt;wsp:rsid wsp:val=&quot;00B06342&quot;/&gt;&lt;wsp:rsid wsp:val=&quot;00B063E9&quot;/&gt;&lt;wsp:rsid wsp:val=&quot;00B066FE&quot;/&gt;&lt;wsp:rsid wsp:val=&quot;00B067B6&quot;/&gt;&lt;wsp:rsid wsp:val=&quot;00B069EB&quot;/&gt;&lt;wsp:rsid wsp:val=&quot;00B06D78&quot;/&gt;&lt;wsp:rsid wsp:val=&quot;00B074B7&quot;/&gt;&lt;wsp:rsid wsp:val=&quot;00B07A34&quot;/&gt;&lt;wsp:rsid wsp:val=&quot;00B07A9B&quot;/&gt;&lt;wsp:rsid wsp:val=&quot;00B07C0E&quot;/&gt;&lt;wsp:rsid wsp:val=&quot;00B101E2&quot;/&gt;&lt;wsp:rsid wsp:val=&quot;00B10273&quot;/&gt;&lt;wsp:rsid wsp:val=&quot;00B102A5&quot;/&gt;&lt;wsp:rsid wsp:val=&quot;00B10437&quot;/&gt;&lt;wsp:rsid wsp:val=&quot;00B105C4&quot;/&gt;&lt;wsp:rsid wsp:val=&quot;00B10857&quot;/&gt;&lt;wsp:rsid wsp:val=&quot;00B114AA&quot;/&gt;&lt;wsp:rsid wsp:val=&quot;00B11588&quot;/&gt;&lt;wsp:rsid wsp:val=&quot;00B11AF5&quot;/&gt;&lt;wsp:rsid wsp:val=&quot;00B11C47&quot;/&gt;&lt;wsp:rsid wsp:val=&quot;00B12253&quot;/&gt;&lt;wsp:rsid wsp:val=&quot;00B1237E&quot;/&gt;&lt;wsp:rsid wsp:val=&quot;00B12763&quot;/&gt;&lt;wsp:rsid wsp:val=&quot;00B12A63&quot;/&gt;&lt;wsp:rsid wsp:val=&quot;00B12BF1&quot;/&gt;&lt;wsp:rsid wsp:val=&quot;00B12CB5&quot;/&gt;&lt;wsp:rsid wsp:val=&quot;00B12D76&quot;/&gt;&lt;wsp:rsid wsp:val=&quot;00B12EAC&quot;/&gt;&lt;wsp:rsid wsp:val=&quot;00B13341&quot;/&gt;&lt;wsp:rsid wsp:val=&quot;00B1351D&quot;/&gt;&lt;wsp:rsid wsp:val=&quot;00B13820&quot;/&gt;&lt;wsp:rsid wsp:val=&quot;00B1420F&quot;/&gt;&lt;wsp:rsid wsp:val=&quot;00B14339&quot;/&gt;&lt;wsp:rsid wsp:val=&quot;00B1488F&quot;/&gt;&lt;wsp:rsid wsp:val=&quot;00B1495C&quot;/&gt;&lt;wsp:rsid wsp:val=&quot;00B14964&quot;/&gt;&lt;wsp:rsid wsp:val=&quot;00B14EC4&quot;/&gt;&lt;wsp:rsid wsp:val=&quot;00B14FB8&quot;/&gt;&lt;wsp:rsid wsp:val=&quot;00B150F3&quot;/&gt;&lt;wsp:rsid wsp:val=&quot;00B1542F&quot;/&gt;&lt;wsp:rsid wsp:val=&quot;00B15BB8&quot;/&gt;&lt;wsp:rsid wsp:val=&quot;00B15BD5&quot;/&gt;&lt;wsp:rsid wsp:val=&quot;00B1658C&quot;/&gt;&lt;wsp:rsid wsp:val=&quot;00B165F4&quot;/&gt;&lt;wsp:rsid wsp:val=&quot;00B16B51&quot;/&gt;&lt;wsp:rsid wsp:val=&quot;00B16CE4&quot;/&gt;&lt;wsp:rsid wsp:val=&quot;00B17267&quot;/&gt;&lt;wsp:rsid wsp:val=&quot;00B17A6F&quot;/&gt;&lt;wsp:rsid wsp:val=&quot;00B17A77&quot;/&gt;&lt;wsp:rsid wsp:val=&quot;00B17F34&quot;/&gt;&lt;wsp:rsid wsp:val=&quot;00B2037C&quot;/&gt;&lt;wsp:rsid wsp:val=&quot;00B206CE&quot;/&gt;&lt;wsp:rsid wsp:val=&quot;00B207CE&quot;/&gt;&lt;wsp:rsid wsp:val=&quot;00B207EC&quot;/&gt;&lt;wsp:rsid wsp:val=&quot;00B208ED&quot;/&gt;&lt;wsp:rsid wsp:val=&quot;00B211C4&quot;/&gt;&lt;wsp:rsid wsp:val=&quot;00B21203&quot;/&gt;&lt;wsp:rsid wsp:val=&quot;00B214B2&quot;/&gt;&lt;wsp:rsid wsp:val=&quot;00B215AA&quot;/&gt;&lt;wsp:rsid wsp:val=&quot;00B215BC&quot;/&gt;&lt;wsp:rsid wsp:val=&quot;00B21620&quot;/&gt;&lt;wsp:rsid wsp:val=&quot;00B22E8F&quot;/&gt;&lt;wsp:rsid wsp:val=&quot;00B22F40&quot;/&gt;&lt;wsp:rsid wsp:val=&quot;00B23200&quot;/&gt;&lt;wsp:rsid wsp:val=&quot;00B2379C&quot;/&gt;&lt;wsp:rsid wsp:val=&quot;00B23892&quot;/&gt;&lt;wsp:rsid wsp:val=&quot;00B23D2B&quot;/&gt;&lt;wsp:rsid wsp:val=&quot;00B246A6&quot;/&gt;&lt;wsp:rsid wsp:val=&quot;00B24E41&quot;/&gt;&lt;wsp:rsid wsp:val=&quot;00B24E66&quot;/&gt;&lt;wsp:rsid wsp:val=&quot;00B25027&quot;/&gt;&lt;wsp:rsid wsp:val=&quot;00B2582C&quot;/&gt;&lt;wsp:rsid wsp:val=&quot;00B25907&quot;/&gt;&lt;wsp:rsid wsp:val=&quot;00B264BA&quot;/&gt;&lt;wsp:rsid wsp:val=&quot;00B267C6&quot;/&gt;&lt;wsp:rsid wsp:val=&quot;00B26F46&quot;/&gt;&lt;wsp:rsid wsp:val=&quot;00B270F2&quot;/&gt;&lt;wsp:rsid wsp:val=&quot;00B271B9&quot;/&gt;&lt;wsp:rsid wsp:val=&quot;00B27380&quot;/&gt;&lt;wsp:rsid wsp:val=&quot;00B274BB&quot;/&gt;&lt;wsp:rsid wsp:val=&quot;00B27520&quot;/&gt;&lt;wsp:rsid wsp:val=&quot;00B275DE&quot;/&gt;&lt;wsp:rsid wsp:val=&quot;00B27710&quot;/&gt;&lt;wsp:rsid wsp:val=&quot;00B2772A&quot;/&gt;&lt;wsp:rsid wsp:val=&quot;00B27B90&quot;/&gt;&lt;wsp:rsid wsp:val=&quot;00B27BDA&quot;/&gt;&lt;wsp:rsid wsp:val=&quot;00B302EC&quot;/&gt;&lt;wsp:rsid wsp:val=&quot;00B304C9&quot;/&gt;&lt;wsp:rsid wsp:val=&quot;00B3096D&quot;/&gt;&lt;wsp:rsid wsp:val=&quot;00B30EC9&quot;/&gt;&lt;wsp:rsid wsp:val=&quot;00B31340&quot;/&gt;&lt;wsp:rsid wsp:val=&quot;00B316E7&quot;/&gt;&lt;wsp:rsid wsp:val=&quot;00B31A7D&quot;/&gt;&lt;wsp:rsid wsp:val=&quot;00B31B75&quot;/&gt;&lt;wsp:rsid wsp:val=&quot;00B31F3B&quot;/&gt;&lt;wsp:rsid wsp:val=&quot;00B3255B&quot;/&gt;&lt;wsp:rsid wsp:val=&quot;00B32722&quot;/&gt;&lt;wsp:rsid wsp:val=&quot;00B32901&quot;/&gt;&lt;wsp:rsid wsp:val=&quot;00B32BC4&quot;/&gt;&lt;wsp:rsid wsp:val=&quot;00B32F30&quot;/&gt;&lt;wsp:rsid wsp:val=&quot;00B334E2&quot;/&gt;&lt;wsp:rsid wsp:val=&quot;00B340D8&quot;/&gt;&lt;wsp:rsid wsp:val=&quot;00B34423&quot;/&gt;&lt;wsp:rsid wsp:val=&quot;00B345E1&quot;/&gt;&lt;wsp:rsid wsp:val=&quot;00B34696&quot;/&gt;&lt;wsp:rsid wsp:val=&quot;00B34A3A&quot;/&gt;&lt;wsp:rsid wsp:val=&quot;00B3508E&quot;/&gt;&lt;wsp:rsid wsp:val=&quot;00B35471&quot;/&gt;&lt;wsp:rsid wsp:val=&quot;00B355F7&quot;/&gt;&lt;wsp:rsid wsp:val=&quot;00B355F9&quot;/&gt;&lt;wsp:rsid wsp:val=&quot;00B357FC&quot;/&gt;&lt;wsp:rsid wsp:val=&quot;00B35891&quot;/&gt;&lt;wsp:rsid wsp:val=&quot;00B358AC&quot;/&gt;&lt;wsp:rsid wsp:val=&quot;00B358E9&quot;/&gt;&lt;wsp:rsid wsp:val=&quot;00B35CC2&quot;/&gt;&lt;wsp:rsid wsp:val=&quot;00B36659&quot;/&gt;&lt;wsp:rsid wsp:val=&quot;00B366D3&quot;/&gt;&lt;wsp:rsid wsp:val=&quot;00B3693E&quot;/&gt;&lt;wsp:rsid wsp:val=&quot;00B37158&quot;/&gt;&lt;wsp:rsid wsp:val=&quot;00B373C5&quot;/&gt;&lt;wsp:rsid wsp:val=&quot;00B373F6&quot;/&gt;&lt;wsp:rsid wsp:val=&quot;00B3753C&quot;/&gt;&lt;wsp:rsid wsp:val=&quot;00B37824&quot;/&gt;&lt;wsp:rsid wsp:val=&quot;00B379CB&quot;/&gt;&lt;wsp:rsid wsp:val=&quot;00B37AB0&quot;/&gt;&lt;wsp:rsid wsp:val=&quot;00B37B1C&quot;/&gt;&lt;wsp:rsid wsp:val=&quot;00B37D83&quot;/&gt;&lt;wsp:rsid wsp:val=&quot;00B4003F&quot;/&gt;&lt;wsp:rsid wsp:val=&quot;00B4027C&quot;/&gt;&lt;wsp:rsid wsp:val=&quot;00B405AA&quot;/&gt;&lt;wsp:rsid wsp:val=&quot;00B41129&quot;/&gt;&lt;wsp:rsid wsp:val=&quot;00B41EB7&quot;/&gt;&lt;wsp:rsid wsp:val=&quot;00B420EF&quot;/&gt;&lt;wsp:rsid wsp:val=&quot;00B4230F&quot;/&gt;&lt;wsp:rsid wsp:val=&quot;00B42619&quot;/&gt;&lt;wsp:rsid wsp:val=&quot;00B42645&quot;/&gt;&lt;wsp:rsid wsp:val=&quot;00B4304B&quot;/&gt;&lt;wsp:rsid wsp:val=&quot;00B43378&quot;/&gt;&lt;wsp:rsid wsp:val=&quot;00B4338C&quot;/&gt;&lt;wsp:rsid wsp:val=&quot;00B43BD7&quot;/&gt;&lt;wsp:rsid wsp:val=&quot;00B43C58&quot;/&gt;&lt;wsp:rsid wsp:val=&quot;00B44956&quot;/&gt;&lt;wsp:rsid wsp:val=&quot;00B4527D&quot;/&gt;&lt;wsp:rsid wsp:val=&quot;00B45F5B&quot;/&gt;&lt;wsp:rsid wsp:val=&quot;00B45F5C&quot;/&gt;&lt;wsp:rsid wsp:val=&quot;00B4613C&quot;/&gt;&lt;wsp:rsid wsp:val=&quot;00B464BF&quot;/&gt;&lt;wsp:rsid wsp:val=&quot;00B47705&quot;/&gt;&lt;wsp:rsid wsp:val=&quot;00B47ABD&quot;/&gt;&lt;wsp:rsid wsp:val=&quot;00B47AD1&quot;/&gt;&lt;wsp:rsid wsp:val=&quot;00B47CF4&quot;/&gt;&lt;wsp:rsid wsp:val=&quot;00B47D36&quot;/&gt;&lt;wsp:rsid wsp:val=&quot;00B502BB&quot;/&gt;&lt;wsp:rsid wsp:val=&quot;00B503FD&quot;/&gt;&lt;wsp:rsid wsp:val=&quot;00B50466&quot;/&gt;&lt;wsp:rsid wsp:val=&quot;00B5046F&quot;/&gt;&lt;wsp:rsid wsp:val=&quot;00B505A0&quot;/&gt;&lt;wsp:rsid wsp:val=&quot;00B5084A&quot;/&gt;&lt;wsp:rsid wsp:val=&quot;00B50D60&quot;/&gt;&lt;wsp:rsid wsp:val=&quot;00B5111F&quot;/&gt;&lt;wsp:rsid wsp:val=&quot;00B5185C&quot;/&gt;&lt;wsp:rsid wsp:val=&quot;00B51AB7&quot;/&gt;&lt;wsp:rsid wsp:val=&quot;00B5203B&quot;/&gt;&lt;wsp:rsid wsp:val=&quot;00B52188&quot;/&gt;&lt;wsp:rsid wsp:val=&quot;00B5250E&quot;/&gt;&lt;wsp:rsid wsp:val=&quot;00B5261C&quot;/&gt;&lt;wsp:rsid wsp:val=&quot;00B526AE&quot;/&gt;&lt;wsp:rsid wsp:val=&quot;00B52770&quot;/&gt;&lt;wsp:rsid wsp:val=&quot;00B52A1C&quot;/&gt;&lt;wsp:rsid wsp:val=&quot;00B52A23&quot;/&gt;&lt;wsp:rsid wsp:val=&quot;00B52B05&quot;/&gt;&lt;wsp:rsid wsp:val=&quot;00B52D02&quot;/&gt;&lt;wsp:rsid wsp:val=&quot;00B5318B&quot;/&gt;&lt;wsp:rsid wsp:val=&quot;00B531BC&quot;/&gt;&lt;wsp:rsid wsp:val=&quot;00B53482&quot;/&gt;&lt;wsp:rsid wsp:val=&quot;00B5387F&quot;/&gt;&lt;wsp:rsid wsp:val=&quot;00B5389B&quot;/&gt;&lt;wsp:rsid wsp:val=&quot;00B538F1&quot;/&gt;&lt;wsp:rsid wsp:val=&quot;00B539E7&quot;/&gt;&lt;wsp:rsid wsp:val=&quot;00B53E93&quot;/&gt;&lt;wsp:rsid wsp:val=&quot;00B54064&quot;/&gt;&lt;wsp:rsid wsp:val=&quot;00B54297&quot;/&gt;&lt;wsp:rsid wsp:val=&quot;00B546F4&quot;/&gt;&lt;wsp:rsid wsp:val=&quot;00B54741&quot;/&gt;&lt;wsp:rsid wsp:val=&quot;00B55036&quot;/&gt;&lt;wsp:rsid wsp:val=&quot;00B55249&quot;/&gt;&lt;wsp:rsid wsp:val=&quot;00B5525F&quot;/&gt;&lt;wsp:rsid wsp:val=&quot;00B55663&quot;/&gt;&lt;wsp:rsid wsp:val=&quot;00B55685&quot;/&gt;&lt;wsp:rsid wsp:val=&quot;00B55912&quot;/&gt;&lt;wsp:rsid wsp:val=&quot;00B561D6&quot;/&gt;&lt;wsp:rsid wsp:val=&quot;00B561F7&quot;/&gt;&lt;wsp:rsid wsp:val=&quot;00B5637B&quot;/&gt;&lt;wsp:rsid wsp:val=&quot;00B56DF4&quot;/&gt;&lt;wsp:rsid wsp:val=&quot;00B57213&quot;/&gt;&lt;wsp:rsid wsp:val=&quot;00B573A4&quot;/&gt;&lt;wsp:rsid wsp:val=&quot;00B5750A&quot;/&gt;&lt;wsp:rsid wsp:val=&quot;00B57E4C&quot;/&gt;&lt;wsp:rsid wsp:val=&quot;00B608C4&quot;/&gt;&lt;wsp:rsid wsp:val=&quot;00B609CB&quot;/&gt;&lt;wsp:rsid wsp:val=&quot;00B61A4B&quot;/&gt;&lt;wsp:rsid wsp:val=&quot;00B61D45&quot;/&gt;&lt;wsp:rsid wsp:val=&quot;00B621BD&quot;/&gt;&lt;wsp:rsid wsp:val=&quot;00B622DE&quot;/&gt;&lt;wsp:rsid wsp:val=&quot;00B6234B&quot;/&gt;&lt;wsp:rsid wsp:val=&quot;00B6240A&quot;/&gt;&lt;wsp:rsid wsp:val=&quot;00B6240F&quot;/&gt;&lt;wsp:rsid wsp:val=&quot;00B626C5&quot;/&gt;&lt;wsp:rsid wsp:val=&quot;00B626D5&quot;/&gt;&lt;wsp:rsid wsp:val=&quot;00B62CEE&quot;/&gt;&lt;wsp:rsid wsp:val=&quot;00B63154&quot;/&gt;&lt;wsp:rsid wsp:val=&quot;00B636AA&quot;/&gt;&lt;wsp:rsid wsp:val=&quot;00B642D8&quot;/&gt;&lt;wsp:rsid wsp:val=&quot;00B647B6&quot;/&gt;&lt;wsp:rsid wsp:val=&quot;00B64D1F&quot;/&gt;&lt;wsp:rsid wsp:val=&quot;00B64D40&quot;/&gt;&lt;wsp:rsid wsp:val=&quot;00B6520B&quot;/&gt;&lt;wsp:rsid wsp:val=&quot;00B657C0&quot;/&gt;&lt;wsp:rsid wsp:val=&quot;00B659C5&quot;/&gt;&lt;wsp:rsid wsp:val=&quot;00B66936&quot;/&gt;&lt;wsp:rsid wsp:val=&quot;00B66BE4&quot;/&gt;&lt;wsp:rsid wsp:val=&quot;00B67407&quot;/&gt;&lt;wsp:rsid wsp:val=&quot;00B674C9&quot;/&gt;&lt;wsp:rsid wsp:val=&quot;00B6750B&quot;/&gt;&lt;wsp:rsid wsp:val=&quot;00B67969&quot;/&gt;&lt;wsp:rsid wsp:val=&quot;00B7024E&quot;/&gt;&lt;wsp:rsid wsp:val=&quot;00B70395&quot;/&gt;&lt;wsp:rsid wsp:val=&quot;00B70444&quot;/&gt;&lt;wsp:rsid wsp:val=&quot;00B70C63&quot;/&gt;&lt;wsp:rsid wsp:val=&quot;00B70D4A&quot;/&gt;&lt;wsp:rsid wsp:val=&quot;00B719DC&quot;/&gt;&lt;wsp:rsid wsp:val=&quot;00B71DF4&quot;/&gt;&lt;wsp:rsid wsp:val=&quot;00B71FF8&quot;/&gt;&lt;wsp:rsid wsp:val=&quot;00B7214D&quot;/&gt;&lt;wsp:rsid wsp:val=&quot;00B7237E&quot;/&gt;&lt;wsp:rsid wsp:val=&quot;00B72491&quot;/&gt;&lt;wsp:rsid wsp:val=&quot;00B72997&quot;/&gt;&lt;wsp:rsid wsp:val=&quot;00B72B2D&quot;/&gt;&lt;wsp:rsid wsp:val=&quot;00B73379&quot;/&gt;&lt;wsp:rsid wsp:val=&quot;00B738A1&quot;/&gt;&lt;wsp:rsid wsp:val=&quot;00B73E83&quot;/&gt;&lt;wsp:rsid wsp:val=&quot;00B73F7D&quot;/&gt;&lt;wsp:rsid wsp:val=&quot;00B7404A&quot;/&gt;&lt;wsp:rsid wsp:val=&quot;00B743DB&quot;/&gt;&lt;wsp:rsid wsp:val=&quot;00B74423&quot;/&gt;&lt;wsp:rsid wsp:val=&quot;00B74642&quot;/&gt;&lt;wsp:rsid wsp:val=&quot;00B74D25&quot;/&gt;&lt;wsp:rsid wsp:val=&quot;00B7536C&quot;/&gt;&lt;wsp:rsid wsp:val=&quot;00B7552C&quot;/&gt;&lt;wsp:rsid wsp:val=&quot;00B757CF&quot;/&gt;&lt;wsp:rsid wsp:val=&quot;00B7595E&quot;/&gt;&lt;wsp:rsid wsp:val=&quot;00B75F42&quot;/&gt;&lt;wsp:rsid wsp:val=&quot;00B766BB&quot;/&gt;&lt;wsp:rsid wsp:val=&quot;00B766D1&quot;/&gt;&lt;wsp:rsid wsp:val=&quot;00B769B6&quot;/&gt;&lt;wsp:rsid wsp:val=&quot;00B76C16&quot;/&gt;&lt;wsp:rsid wsp:val=&quot;00B77226&quot;/&gt;&lt;wsp:rsid wsp:val=&quot;00B7723F&quot;/&gt;&lt;wsp:rsid wsp:val=&quot;00B77294&quot;/&gt;&lt;wsp:rsid wsp:val=&quot;00B77450&quot;/&gt;&lt;wsp:rsid wsp:val=&quot;00B776BA&quot;/&gt;&lt;wsp:rsid wsp:val=&quot;00B77C3D&quot;/&gt;&lt;wsp:rsid wsp:val=&quot;00B803FB&quot;/&gt;&lt;wsp:rsid wsp:val=&quot;00B804AA&quot;/&gt;&lt;wsp:rsid wsp:val=&quot;00B8054A&quot;/&gt;&lt;wsp:rsid wsp:val=&quot;00B8064A&quot;/&gt;&lt;wsp:rsid wsp:val=&quot;00B81830&quot;/&gt;&lt;wsp:rsid wsp:val=&quot;00B81AF0&quot;/&gt;&lt;wsp:rsid wsp:val=&quot;00B81B2D&quot;/&gt;&lt;wsp:rsid wsp:val=&quot;00B82189&quot;/&gt;&lt;wsp:rsid wsp:val=&quot;00B82335&quot;/&gt;&lt;wsp:rsid wsp:val=&quot;00B82367&quot;/&gt;&lt;wsp:rsid wsp:val=&quot;00B825BC&quot;/&gt;&lt;wsp:rsid wsp:val=&quot;00B8299B&quot;/&gt;&lt;wsp:rsid wsp:val=&quot;00B82BB6&quot;/&gt;&lt;wsp:rsid wsp:val=&quot;00B830E9&quot;/&gt;&lt;wsp:rsid wsp:val=&quot;00B8316D&quot;/&gt;&lt;wsp:rsid wsp:val=&quot;00B83687&quot;/&gt;&lt;wsp:rsid wsp:val=&quot;00B83B40&quot;/&gt;&lt;wsp:rsid wsp:val=&quot;00B83E28&quot;/&gt;&lt;wsp:rsid wsp:val=&quot;00B8416F&quot;/&gt;&lt;wsp:rsid wsp:val=&quot;00B84482&quot;/&gt;&lt;wsp:rsid wsp:val=&quot;00B845CB&quot;/&gt;&lt;wsp:rsid wsp:val=&quot;00B8472E&quot;/&gt;&lt;wsp:rsid wsp:val=&quot;00B84801&quot;/&gt;&lt;wsp:rsid wsp:val=&quot;00B8506F&quot;/&gt;&lt;wsp:rsid wsp:val=&quot;00B85311&quot;/&gt;&lt;wsp:rsid wsp:val=&quot;00B859FF&quot;/&gt;&lt;wsp:rsid wsp:val=&quot;00B85A40&quot;/&gt;&lt;wsp:rsid wsp:val=&quot;00B85B95&quot;/&gt;&lt;wsp:rsid wsp:val=&quot;00B85DAE&quot;/&gt;&lt;wsp:rsid wsp:val=&quot;00B85DF7&quot;/&gt;&lt;wsp:rsid wsp:val=&quot;00B85FDF&quot;/&gt;&lt;wsp:rsid wsp:val=&quot;00B86233&quot;/&gt;&lt;wsp:rsid wsp:val=&quot;00B868D1&quot;/&gt;&lt;wsp:rsid wsp:val=&quot;00B870B9&quot;/&gt;&lt;wsp:rsid wsp:val=&quot;00B87548&quot;/&gt;&lt;wsp:rsid wsp:val=&quot;00B87808&quot;/&gt;&lt;wsp:rsid wsp:val=&quot;00B87C05&quot;/&gt;&lt;wsp:rsid wsp:val=&quot;00B87FF0&quot;/&gt;&lt;wsp:rsid wsp:val=&quot;00B90186&quot;/&gt;&lt;wsp:rsid wsp:val=&quot;00B90220&quot;/&gt;&lt;wsp:rsid wsp:val=&quot;00B9055C&quot;/&gt;&lt;wsp:rsid wsp:val=&quot;00B90A24&quot;/&gt;&lt;wsp:rsid wsp:val=&quot;00B90AFB&quot;/&gt;&lt;wsp:rsid wsp:val=&quot;00B91017&quot;/&gt;&lt;wsp:rsid wsp:val=&quot;00B91019&quot;/&gt;&lt;wsp:rsid wsp:val=&quot;00B91898&quot;/&gt;&lt;wsp:rsid wsp:val=&quot;00B91D43&quot;/&gt;&lt;wsp:rsid wsp:val=&quot;00B91FFC&quot;/&gt;&lt;wsp:rsid wsp:val=&quot;00B922CF&quot;/&gt;&lt;wsp:rsid wsp:val=&quot;00B9259B&quot;/&gt;&lt;wsp:rsid wsp:val=&quot;00B925A4&quot;/&gt;&lt;wsp:rsid wsp:val=&quot;00B92867&quot;/&gt;&lt;wsp:rsid wsp:val=&quot;00B92C8B&quot;/&gt;&lt;wsp:rsid wsp:val=&quot;00B92CE3&quot;/&gt;&lt;wsp:rsid wsp:val=&quot;00B92EDF&quot;/&gt;&lt;wsp:rsid wsp:val=&quot;00B933ED&quot;/&gt;&lt;wsp:rsid wsp:val=&quot;00B9374D&quot;/&gt;&lt;wsp:rsid wsp:val=&quot;00B939BE&quot;/&gt;&lt;wsp:rsid wsp:val=&quot;00B93A53&quot;/&gt;&lt;wsp:rsid wsp:val=&quot;00B93E91&quot;/&gt;&lt;wsp:rsid wsp:val=&quot;00B94416&quot;/&gt;&lt;wsp:rsid wsp:val=&quot;00B945F6&quot;/&gt;&lt;wsp:rsid wsp:val=&quot;00B9494F&quot;/&gt;&lt;wsp:rsid wsp:val=&quot;00B949CD&quot;/&gt;&lt;wsp:rsid wsp:val=&quot;00B94DD4&quot;/&gt;&lt;wsp:rsid wsp:val=&quot;00B957E1&quot;/&gt;&lt;wsp:rsid wsp:val=&quot;00B95A70&quot;/&gt;&lt;wsp:rsid wsp:val=&quot;00B95F0E&quot;/&gt;&lt;wsp:rsid wsp:val=&quot;00B96800&quot;/&gt;&lt;wsp:rsid wsp:val=&quot;00B96DC9&quot;/&gt;&lt;wsp:rsid wsp:val=&quot;00B96EA0&quot;/&gt;&lt;wsp:rsid wsp:val=&quot;00B972E9&quot;/&gt;&lt;wsp:rsid wsp:val=&quot;00BA00D0&quot;/&gt;&lt;wsp:rsid wsp:val=&quot;00BA0219&quot;/&gt;&lt;wsp:rsid wsp:val=&quot;00BA0229&quot;/&gt;&lt;wsp:rsid wsp:val=&quot;00BA0362&quot;/&gt;&lt;wsp:rsid wsp:val=&quot;00BA0611&quot;/&gt;&lt;wsp:rsid wsp:val=&quot;00BA0A56&quot;/&gt;&lt;wsp:rsid wsp:val=&quot;00BA149A&quot;/&gt;&lt;wsp:rsid wsp:val=&quot;00BA162E&quot;/&gt;&lt;wsp:rsid wsp:val=&quot;00BA178A&quot;/&gt;&lt;wsp:rsid wsp:val=&quot;00BA2D52&quot;/&gt;&lt;wsp:rsid wsp:val=&quot;00BA2D5D&quot;/&gt;&lt;wsp:rsid wsp:val=&quot;00BA3151&quot;/&gt;&lt;wsp:rsid wsp:val=&quot;00BA34EC&quot;/&gt;&lt;wsp:rsid wsp:val=&quot;00BA38D3&quot;/&gt;&lt;wsp:rsid wsp:val=&quot;00BA3DB2&quot;/&gt;&lt;wsp:rsid wsp:val=&quot;00BA3E49&quot;/&gt;&lt;wsp:rsid wsp:val=&quot;00BA43FA&quot;/&gt;&lt;wsp:rsid wsp:val=&quot;00BA4C42&quot;/&gt;&lt;wsp:rsid wsp:val=&quot;00BA4D6A&quot;/&gt;&lt;wsp:rsid wsp:val=&quot;00BA5CA8&quot;/&gt;&lt;wsp:rsid wsp:val=&quot;00BA5DFF&quot;/&gt;&lt;wsp:rsid wsp:val=&quot;00BA5FEF&quot;/&gt;&lt;wsp:rsid wsp:val=&quot;00BA61E1&quot;/&gt;&lt;wsp:rsid wsp:val=&quot;00BA63A1&quot;/&gt;&lt;wsp:rsid wsp:val=&quot;00BA683E&quot;/&gt;&lt;wsp:rsid wsp:val=&quot;00BA68F0&quot;/&gt;&lt;wsp:rsid wsp:val=&quot;00BA6BF0&quot;/&gt;&lt;wsp:rsid wsp:val=&quot;00BA6EF9&quot;/&gt;&lt;wsp:rsid wsp:val=&quot;00BA6FA4&quot;/&gt;&lt;wsp:rsid wsp:val=&quot;00BA7546&quot;/&gt;&lt;wsp:rsid wsp:val=&quot;00BA7725&quot;/&gt;&lt;wsp:rsid wsp:val=&quot;00BA7AD3&quot;/&gt;&lt;wsp:rsid wsp:val=&quot;00BA7FCF&quot;/&gt;&lt;wsp:rsid wsp:val=&quot;00BB022C&quot;/&gt;&lt;wsp:rsid wsp:val=&quot;00BB06E2&quot;/&gt;&lt;wsp:rsid wsp:val=&quot;00BB0DAB&quot;/&gt;&lt;wsp:rsid wsp:val=&quot;00BB167D&quot;/&gt;&lt;wsp:rsid wsp:val=&quot;00BB2025&quot;/&gt;&lt;wsp:rsid wsp:val=&quot;00BB2060&quot;/&gt;&lt;wsp:rsid wsp:val=&quot;00BB20A4&quot;/&gt;&lt;wsp:rsid wsp:val=&quot;00BB2AF6&quot;/&gt;&lt;wsp:rsid wsp:val=&quot;00BB2FFB&quot;/&gt;&lt;wsp:rsid wsp:val=&quot;00BB311C&quot;/&gt;&lt;wsp:rsid wsp:val=&quot;00BB337E&quot;/&gt;&lt;wsp:rsid wsp:val=&quot;00BB34A9&quot;/&gt;&lt;wsp:rsid wsp:val=&quot;00BB350E&quot;/&gt;&lt;wsp:rsid wsp:val=&quot;00BB36C0&quot;/&gt;&lt;wsp:rsid wsp:val=&quot;00BB3A28&quot;/&gt;&lt;wsp:rsid wsp:val=&quot;00BB3B2D&quot;/&gt;&lt;wsp:rsid wsp:val=&quot;00BB409B&quot;/&gt;&lt;wsp:rsid wsp:val=&quot;00BB40BB&quot;/&gt;&lt;wsp:rsid wsp:val=&quot;00BB4189&quot;/&gt;&lt;wsp:rsid wsp:val=&quot;00BB42C2&quot;/&gt;&lt;wsp:rsid wsp:val=&quot;00BB4456&quot;/&gt;&lt;wsp:rsid wsp:val=&quot;00BB44E6&quot;/&gt;&lt;wsp:rsid wsp:val=&quot;00BB4C96&quot;/&gt;&lt;wsp:rsid wsp:val=&quot;00BB4FFB&quot;/&gt;&lt;wsp:rsid wsp:val=&quot;00BB50AC&quot;/&gt;&lt;wsp:rsid wsp:val=&quot;00BB5B79&quot;/&gt;&lt;wsp:rsid wsp:val=&quot;00BB5B9B&quot;/&gt;&lt;wsp:rsid wsp:val=&quot;00BB5C44&quot;/&gt;&lt;wsp:rsid wsp:val=&quot;00BB5F33&quot;/&gt;&lt;wsp:rsid wsp:val=&quot;00BB6048&quot;/&gt;&lt;wsp:rsid wsp:val=&quot;00BB61AC&quot;/&gt;&lt;wsp:rsid wsp:val=&quot;00BB6470&quot;/&gt;&lt;wsp:rsid wsp:val=&quot;00BB6844&quot;/&gt;&lt;wsp:rsid wsp:val=&quot;00BB6956&quot;/&gt;&lt;wsp:rsid wsp:val=&quot;00BB6A39&quot;/&gt;&lt;wsp:rsid wsp:val=&quot;00BB6A44&quot;/&gt;&lt;wsp:rsid wsp:val=&quot;00BB6A93&quot;/&gt;&lt;wsp:rsid wsp:val=&quot;00BB6D27&quot;/&gt;&lt;wsp:rsid wsp:val=&quot;00BB74DB&quot;/&gt;&lt;wsp:rsid wsp:val=&quot;00BB757B&quot;/&gt;&lt;wsp:rsid wsp:val=&quot;00BB77E4&quot;/&gt;&lt;wsp:rsid wsp:val=&quot;00BB782C&quot;/&gt;&lt;wsp:rsid wsp:val=&quot;00BB786D&quot;/&gt;&lt;wsp:rsid wsp:val=&quot;00BB7993&quot;/&gt;&lt;wsp:rsid wsp:val=&quot;00BB7B40&quot;/&gt;&lt;wsp:rsid wsp:val=&quot;00BB7C66&quot;/&gt;&lt;wsp:rsid wsp:val=&quot;00BC0314&quot;/&gt;&lt;wsp:rsid wsp:val=&quot;00BC05B3&quot;/&gt;&lt;wsp:rsid wsp:val=&quot;00BC073A&quot;/&gt;&lt;wsp:rsid wsp:val=&quot;00BC0F9C&quot;/&gt;&lt;wsp:rsid wsp:val=&quot;00BC106A&quot;/&gt;&lt;wsp:rsid wsp:val=&quot;00BC12BA&quot;/&gt;&lt;wsp:rsid wsp:val=&quot;00BC13B7&quot;/&gt;&lt;wsp:rsid wsp:val=&quot;00BC1604&quot;/&gt;&lt;wsp:rsid wsp:val=&quot;00BC1A09&quot;/&gt;&lt;wsp:rsid wsp:val=&quot;00BC1A9E&quot;/&gt;&lt;wsp:rsid wsp:val=&quot;00BC21DC&quot;/&gt;&lt;wsp:rsid wsp:val=&quot;00BC26BD&quot;/&gt;&lt;wsp:rsid wsp:val=&quot;00BC2834&quot;/&gt;&lt;wsp:rsid wsp:val=&quot;00BC2EB8&quot;/&gt;&lt;wsp:rsid wsp:val=&quot;00BC3404&quot;/&gt;&lt;wsp:rsid wsp:val=&quot;00BC34B3&quot;/&gt;&lt;wsp:rsid wsp:val=&quot;00BC37BB&quot;/&gt;&lt;wsp:rsid wsp:val=&quot;00BC37ED&quot;/&gt;&lt;wsp:rsid wsp:val=&quot;00BC3E79&quot;/&gt;&lt;wsp:rsid wsp:val=&quot;00BC3F4F&quot;/&gt;&lt;wsp:rsid wsp:val=&quot;00BC402B&quot;/&gt;&lt;wsp:rsid wsp:val=&quot;00BC40C2&quot;/&gt;&lt;wsp:rsid wsp:val=&quot;00BC4464&quot;/&gt;&lt;wsp:rsid wsp:val=&quot;00BC4A1C&quot;/&gt;&lt;wsp:rsid wsp:val=&quot;00BC4A5E&quot;/&gt;&lt;wsp:rsid wsp:val=&quot;00BC4CDE&quot;/&gt;&lt;wsp:rsid wsp:val=&quot;00BC4F0F&quot;/&gt;&lt;wsp:rsid wsp:val=&quot;00BC4F86&quot;/&gt;&lt;wsp:rsid wsp:val=&quot;00BC5197&quot;/&gt;&lt;wsp:rsid wsp:val=&quot;00BC51DE&quot;/&gt;&lt;wsp:rsid wsp:val=&quot;00BC569F&quot;/&gt;&lt;wsp:rsid wsp:val=&quot;00BC59F6&quot;/&gt;&lt;wsp:rsid wsp:val=&quot;00BC5B02&quot;/&gt;&lt;wsp:rsid wsp:val=&quot;00BC5E6B&quot;/&gt;&lt;wsp:rsid wsp:val=&quot;00BC645D&quot;/&gt;&lt;wsp:rsid wsp:val=&quot;00BC689E&quot;/&gt;&lt;wsp:rsid wsp:val=&quot;00BC6E57&quot;/&gt;&lt;wsp:rsid wsp:val=&quot;00BC6FF0&quot;/&gt;&lt;wsp:rsid wsp:val=&quot;00BC7003&quot;/&gt;&lt;wsp:rsid wsp:val=&quot;00BC72DF&quot;/&gt;&lt;wsp:rsid wsp:val=&quot;00BC7514&quot;/&gt;&lt;wsp:rsid wsp:val=&quot;00BC7A8A&quot;/&gt;&lt;wsp:rsid wsp:val=&quot;00BC7E36&quot;/&gt;&lt;wsp:rsid wsp:val=&quot;00BD0239&quot;/&gt;&lt;wsp:rsid wsp:val=&quot;00BD028C&quot;/&gt;&lt;wsp:rsid wsp:val=&quot;00BD0665&quot;/&gt;&lt;wsp:rsid wsp:val=&quot;00BD07EF&quot;/&gt;&lt;wsp:rsid wsp:val=&quot;00BD07F5&quot;/&gt;&lt;wsp:rsid wsp:val=&quot;00BD0E05&quot;/&gt;&lt;wsp:rsid wsp:val=&quot;00BD0EC3&quot;/&gt;&lt;wsp:rsid wsp:val=&quot;00BD1044&quot;/&gt;&lt;wsp:rsid wsp:val=&quot;00BD1408&quot;/&gt;&lt;wsp:rsid wsp:val=&quot;00BD15C5&quot;/&gt;&lt;wsp:rsid wsp:val=&quot;00BD16AD&quot;/&gt;&lt;wsp:rsid wsp:val=&quot;00BD183E&quot;/&gt;&lt;wsp:rsid wsp:val=&quot;00BD1966&quot;/&gt;&lt;wsp:rsid wsp:val=&quot;00BD19F8&quot;/&gt;&lt;wsp:rsid wsp:val=&quot;00BD21EF&quot;/&gt;&lt;wsp:rsid wsp:val=&quot;00BD2722&quot;/&gt;&lt;wsp:rsid wsp:val=&quot;00BD290B&quot;/&gt;&lt;wsp:rsid wsp:val=&quot;00BD2A30&quot;/&gt;&lt;wsp:rsid wsp:val=&quot;00BD2C67&quot;/&gt;&lt;wsp:rsid wsp:val=&quot;00BD319D&quot;/&gt;&lt;wsp:rsid wsp:val=&quot;00BD3B1A&quot;/&gt;&lt;wsp:rsid wsp:val=&quot;00BD3CC7&quot;/&gt;&lt;wsp:rsid wsp:val=&quot;00BD47CB&quot;/&gt;&lt;wsp:rsid wsp:val=&quot;00BD4986&quot;/&gt;&lt;wsp:rsid wsp:val=&quot;00BD4A06&quot;/&gt;&lt;wsp:rsid wsp:val=&quot;00BD4D4D&quot;/&gt;&lt;wsp:rsid wsp:val=&quot;00BD4F72&quot;/&gt;&lt;wsp:rsid wsp:val=&quot;00BD5117&quot;/&gt;&lt;wsp:rsid wsp:val=&quot;00BD52AB&quot;/&gt;&lt;wsp:rsid wsp:val=&quot;00BD5483&quot;/&gt;&lt;wsp:rsid wsp:val=&quot;00BD5626&quot;/&gt;&lt;wsp:rsid wsp:val=&quot;00BD57FD&quot;/&gt;&lt;wsp:rsid wsp:val=&quot;00BD5E7B&quot;/&gt;&lt;wsp:rsid wsp:val=&quot;00BD67E2&quot;/&gt;&lt;wsp:rsid wsp:val=&quot;00BD6DBD&quot;/&gt;&lt;wsp:rsid wsp:val=&quot;00BD6E04&quot;/&gt;&lt;wsp:rsid wsp:val=&quot;00BD73E0&quot;/&gt;&lt;wsp:rsid wsp:val=&quot;00BD746B&quot;/&gt;&lt;wsp:rsid wsp:val=&quot;00BD7971&quot;/&gt;&lt;wsp:rsid wsp:val=&quot;00BD7A89&quot;/&gt;&lt;wsp:rsid wsp:val=&quot;00BD7AB5&quot;/&gt;&lt;wsp:rsid wsp:val=&quot;00BD7C5B&quot;/&gt;&lt;wsp:rsid wsp:val=&quot;00BD7CEE&quot;/&gt;&lt;wsp:rsid wsp:val=&quot;00BD7D8E&quot;/&gt;&lt;wsp:rsid wsp:val=&quot;00BE0028&quot;/&gt;&lt;wsp:rsid wsp:val=&quot;00BE06B0&quot;/&gt;&lt;wsp:rsid wsp:val=&quot;00BE06D9&quot;/&gt;&lt;wsp:rsid wsp:val=&quot;00BE09AD&quot;/&gt;&lt;wsp:rsid wsp:val=&quot;00BE0B76&quot;/&gt;&lt;wsp:rsid wsp:val=&quot;00BE18A5&quot;/&gt;&lt;wsp:rsid wsp:val=&quot;00BE19E5&quot;/&gt;&lt;wsp:rsid wsp:val=&quot;00BE1DE4&quot;/&gt;&lt;wsp:rsid wsp:val=&quot;00BE1F06&quot;/&gt;&lt;wsp:rsid wsp:val=&quot;00BE1FDE&quot;/&gt;&lt;wsp:rsid wsp:val=&quot;00BE24B8&quot;/&gt;&lt;wsp:rsid wsp:val=&quot;00BE2516&quot;/&gt;&lt;wsp:rsid wsp:val=&quot;00BE2676&quot;/&gt;&lt;wsp:rsid wsp:val=&quot;00BE27F3&quot;/&gt;&lt;wsp:rsid wsp:val=&quot;00BE2B0C&quot;/&gt;&lt;wsp:rsid wsp:val=&quot;00BE2E84&quot;/&gt;&lt;wsp:rsid wsp:val=&quot;00BE2FC2&quot;/&gt;&lt;wsp:rsid wsp:val=&quot;00BE303E&quot;/&gt;&lt;wsp:rsid wsp:val=&quot;00BE333D&quot;/&gt;&lt;wsp:rsid wsp:val=&quot;00BE3465&quot;/&gt;&lt;wsp:rsid wsp:val=&quot;00BE4325&quot;/&gt;&lt;wsp:rsid wsp:val=&quot;00BE52FA&quot;/&gt;&lt;wsp:rsid wsp:val=&quot;00BE5611&quot;/&gt;&lt;wsp:rsid wsp:val=&quot;00BE56AA&quot;/&gt;&lt;wsp:rsid wsp:val=&quot;00BE56CB&quot;/&gt;&lt;wsp:rsid wsp:val=&quot;00BE58B2&quot;/&gt;&lt;wsp:rsid wsp:val=&quot;00BE6197&quot;/&gt;&lt;wsp:rsid wsp:val=&quot;00BE6510&quot;/&gt;&lt;wsp:rsid wsp:val=&quot;00BE6562&quot;/&gt;&lt;wsp:rsid wsp:val=&quot;00BE6B39&quot;/&gt;&lt;wsp:rsid wsp:val=&quot;00BE6C2F&quot;/&gt;&lt;wsp:rsid wsp:val=&quot;00BE6CE0&quot;/&gt;&lt;wsp:rsid wsp:val=&quot;00BE712C&quot;/&gt;&lt;wsp:rsid wsp:val=&quot;00BE75E1&quot;/&gt;&lt;wsp:rsid wsp:val=&quot;00BE76C2&quot;/&gt;&lt;wsp:rsid wsp:val=&quot;00BE785F&quot;/&gt;&lt;wsp:rsid wsp:val=&quot;00BE78BC&quot;/&gt;&lt;wsp:rsid wsp:val=&quot;00BE7C9B&quot;/&gt;&lt;wsp:rsid wsp:val=&quot;00BF00BE&quot;/&gt;&lt;wsp:rsid wsp:val=&quot;00BF018E&quot;/&gt;&lt;wsp:rsid wsp:val=&quot;00BF04F4&quot;/&gt;&lt;wsp:rsid wsp:val=&quot;00BF07C9&quot;/&gt;&lt;wsp:rsid wsp:val=&quot;00BF092E&quot;/&gt;&lt;wsp:rsid wsp:val=&quot;00BF0D10&quot;/&gt;&lt;wsp:rsid wsp:val=&quot;00BF0E67&quot;/&gt;&lt;wsp:rsid wsp:val=&quot;00BF0F6C&quot;/&gt;&lt;wsp:rsid wsp:val=&quot;00BF14A4&quot;/&gt;&lt;wsp:rsid wsp:val=&quot;00BF1503&quot;/&gt;&lt;wsp:rsid wsp:val=&quot;00BF1995&quot;/&gt;&lt;wsp:rsid wsp:val=&quot;00BF20B3&quot;/&gt;&lt;wsp:rsid wsp:val=&quot;00BF2226&quot;/&gt;&lt;wsp:rsid wsp:val=&quot;00BF2A9A&quot;/&gt;&lt;wsp:rsid wsp:val=&quot;00BF3C18&quot;/&gt;&lt;wsp:rsid wsp:val=&quot;00BF4105&quot;/&gt;&lt;wsp:rsid wsp:val=&quot;00BF418D&quot;/&gt;&lt;wsp:rsid wsp:val=&quot;00BF452F&quot;/&gt;&lt;wsp:rsid wsp:val=&quot;00BF456D&quot;/&gt;&lt;wsp:rsid wsp:val=&quot;00BF55FF&quot;/&gt;&lt;wsp:rsid wsp:val=&quot;00BF571A&quot;/&gt;&lt;wsp:rsid wsp:val=&quot;00BF5A3A&quot;/&gt;&lt;wsp:rsid wsp:val=&quot;00BF5B6E&quot;/&gt;&lt;wsp:rsid wsp:val=&quot;00BF5D51&quot;/&gt;&lt;wsp:rsid wsp:val=&quot;00BF5FB4&quot;/&gt;&lt;wsp:rsid wsp:val=&quot;00BF6487&quot;/&gt;&lt;wsp:rsid wsp:val=&quot;00BF6693&quot;/&gt;&lt;wsp:rsid wsp:val=&quot;00BF66D7&quot;/&gt;&lt;wsp:rsid wsp:val=&quot;00BF6AF7&quot;/&gt;&lt;wsp:rsid wsp:val=&quot;00BF6D3E&quot;/&gt;&lt;wsp:rsid wsp:val=&quot;00BF6F1F&quot;/&gt;&lt;wsp:rsid wsp:val=&quot;00BF7145&quot;/&gt;&lt;wsp:rsid wsp:val=&quot;00BF7221&quot;/&gt;&lt;wsp:rsid wsp:val=&quot;00BF7B8D&quot;/&gt;&lt;wsp:rsid wsp:val=&quot;00BF7EAE&quot;/&gt;&lt;wsp:rsid wsp:val=&quot;00C00180&quot;/&gt;&lt;wsp:rsid wsp:val=&quot;00C002A6&quot;/&gt;&lt;wsp:rsid wsp:val=&quot;00C0040F&quot;/&gt;&lt;wsp:rsid wsp:val=&quot;00C00B97&quot;/&gt;&lt;wsp:rsid wsp:val=&quot;00C00ED8&quot;/&gt;&lt;wsp:rsid wsp:val=&quot;00C011B7&quot;/&gt;&lt;wsp:rsid wsp:val=&quot;00C01350&quot;/&gt;&lt;wsp:rsid wsp:val=&quot;00C017BB&quot;/&gt;&lt;wsp:rsid wsp:val=&quot;00C01DB8&quot;/&gt;&lt;wsp:rsid wsp:val=&quot;00C01E51&quot;/&gt;&lt;wsp:rsid wsp:val=&quot;00C01F8C&quot;/&gt;&lt;wsp:rsid wsp:val=&quot;00C0200B&quot;/&gt;&lt;wsp:rsid wsp:val=&quot;00C020FC&quot;/&gt;&lt;wsp:rsid wsp:val=&quot;00C02143&quot;/&gt;&lt;wsp:rsid wsp:val=&quot;00C02566&quot;/&gt;&lt;wsp:rsid wsp:val=&quot;00C02775&quot;/&gt;&lt;wsp:rsid wsp:val=&quot;00C02AB4&quot;/&gt;&lt;wsp:rsid wsp:val=&quot;00C02B6E&quot;/&gt;&lt;wsp:rsid wsp:val=&quot;00C02C7F&quot;/&gt;&lt;wsp:rsid wsp:val=&quot;00C02FC6&quot;/&gt;&lt;wsp:rsid wsp:val=&quot;00C03236&quot;/&gt;&lt;wsp:rsid wsp:val=&quot;00C03A12&quot;/&gt;&lt;wsp:rsid wsp:val=&quot;00C03E02&quot;/&gt;&lt;wsp:rsid wsp:val=&quot;00C03F80&quot;/&gt;&lt;wsp:rsid wsp:val=&quot;00C04424&quot;/&gt;&lt;wsp:rsid wsp:val=&quot;00C0453D&quot;/&gt;&lt;wsp:rsid wsp:val=&quot;00C05095&quot;/&gt;&lt;wsp:rsid wsp:val=&quot;00C05A2D&quot;/&gt;&lt;wsp:rsid wsp:val=&quot;00C05D31&quot;/&gt;&lt;wsp:rsid wsp:val=&quot;00C05E10&quot;/&gt;&lt;wsp:rsid wsp:val=&quot;00C060E2&quot;/&gt;&lt;wsp:rsid wsp:val=&quot;00C06660&quot;/&gt;&lt;wsp:rsid wsp:val=&quot;00C0691F&quot;/&gt;&lt;wsp:rsid wsp:val=&quot;00C06953&quot;/&gt;&lt;wsp:rsid wsp:val=&quot;00C06CC3&quot;/&gt;&lt;wsp:rsid wsp:val=&quot;00C06DF9&quot;/&gt;&lt;wsp:rsid wsp:val=&quot;00C06FB3&quot;/&gt;&lt;wsp:rsid wsp:val=&quot;00C070C3&quot;/&gt;&lt;wsp:rsid wsp:val=&quot;00C078EE&quot;/&gt;&lt;wsp:rsid wsp:val=&quot;00C07BC7&quot;/&gt;&lt;wsp:rsid wsp:val=&quot;00C10240&quot;/&gt;&lt;wsp:rsid wsp:val=&quot;00C102D6&quot;/&gt;&lt;wsp:rsid wsp:val=&quot;00C104EA&quot;/&gt;&lt;wsp:rsid wsp:val=&quot;00C10512&quot;/&gt;&lt;wsp:rsid wsp:val=&quot;00C10BF8&quot;/&gt;&lt;wsp:rsid wsp:val=&quot;00C10D7B&quot;/&gt;&lt;wsp:rsid wsp:val=&quot;00C10F49&quot;/&gt;&lt;wsp:rsid wsp:val=&quot;00C11443&quot;/&gt;&lt;wsp:rsid wsp:val=&quot;00C11555&quot;/&gt;&lt;wsp:rsid wsp:val=&quot;00C1180F&quot;/&gt;&lt;wsp:rsid wsp:val=&quot;00C11BE8&quot;/&gt;&lt;wsp:rsid wsp:val=&quot;00C11EA5&quot;/&gt;&lt;wsp:rsid wsp:val=&quot;00C11F74&quot;/&gt;&lt;wsp:rsid wsp:val=&quot;00C129E9&quot;/&gt;&lt;wsp:rsid wsp:val=&quot;00C12C11&quot;/&gt;&lt;wsp:rsid wsp:val=&quot;00C12C97&quot;/&gt;&lt;wsp:rsid wsp:val=&quot;00C13509&quot;/&gt;&lt;wsp:rsid wsp:val=&quot;00C13555&quot;/&gt;&lt;wsp:rsid wsp:val=&quot;00C135A5&quot;/&gt;&lt;wsp:rsid wsp:val=&quot;00C137B3&quot;/&gt;&lt;wsp:rsid wsp:val=&quot;00C13AE6&quot;/&gt;&lt;wsp:rsid wsp:val=&quot;00C13EEF&quot;/&gt;&lt;wsp:rsid wsp:val=&quot;00C14134&quot;/&gt;&lt;wsp:rsid wsp:val=&quot;00C1486A&quot;/&gt;&lt;wsp:rsid wsp:val=&quot;00C14D0F&quot;/&gt;&lt;wsp:rsid wsp:val=&quot;00C150B0&quot;/&gt;&lt;wsp:rsid wsp:val=&quot;00C152AF&quot;/&gt;&lt;wsp:rsid wsp:val=&quot;00C15325&quot;/&gt;&lt;wsp:rsid wsp:val=&quot;00C15977&quot;/&gt;&lt;wsp:rsid wsp:val=&quot;00C15C67&quot;/&gt;&lt;wsp:rsid wsp:val=&quot;00C15EE9&quot;/&gt;&lt;wsp:rsid wsp:val=&quot;00C15F3E&quot;/&gt;&lt;wsp:rsid wsp:val=&quot;00C162BB&quot;/&gt;&lt;wsp:rsid wsp:val=&quot;00C1648E&quot;/&gt;&lt;wsp:rsid wsp:val=&quot;00C16B62&quot;/&gt;&lt;wsp:rsid wsp:val=&quot;00C16CD0&quot;/&gt;&lt;wsp:rsid wsp:val=&quot;00C16D8C&quot;/&gt;&lt;wsp:rsid wsp:val=&quot;00C1711A&quot;/&gt;&lt;wsp:rsid wsp:val=&quot;00C174BB&quot;/&gt;&lt;wsp:rsid wsp:val=&quot;00C17BF1&quot;/&gt;&lt;wsp:rsid wsp:val=&quot;00C17C09&quot;/&gt;&lt;wsp:rsid wsp:val=&quot;00C20128&quot;/&gt;&lt;wsp:rsid wsp:val=&quot;00C201C6&quot;/&gt;&lt;wsp:rsid wsp:val=&quot;00C20663&quot;/&gt;&lt;wsp:rsid wsp:val=&quot;00C208B3&quot;/&gt;&lt;wsp:rsid wsp:val=&quot;00C20A81&quot;/&gt;&lt;wsp:rsid wsp:val=&quot;00C20C04&quot;/&gt;&lt;wsp:rsid wsp:val=&quot;00C213C5&quot;/&gt;&lt;wsp:rsid wsp:val=&quot;00C2147C&quot;/&gt;&lt;wsp:rsid wsp:val=&quot;00C21867&quot;/&gt;&lt;wsp:rsid wsp:val=&quot;00C21BF0&quot;/&gt;&lt;wsp:rsid wsp:val=&quot;00C21CA2&quot;/&gt;&lt;wsp:rsid wsp:val=&quot;00C21FB6&quot;/&gt;&lt;wsp:rsid wsp:val=&quot;00C220D9&quot;/&gt;&lt;wsp:rsid wsp:val=&quot;00C22109&quot;/&gt;&lt;wsp:rsid wsp:val=&quot;00C22165&quot;/&gt;&lt;wsp:rsid wsp:val=&quot;00C22178&quot;/&gt;&lt;wsp:rsid wsp:val=&quot;00C22628&quot;/&gt;&lt;wsp:rsid wsp:val=&quot;00C22699&quot;/&gt;&lt;wsp:rsid wsp:val=&quot;00C2292E&quot;/&gt;&lt;wsp:rsid wsp:val=&quot;00C22AA2&quot;/&gt;&lt;wsp:rsid wsp:val=&quot;00C22F8E&quot;/&gt;&lt;wsp:rsid wsp:val=&quot;00C23063&quot;/&gt;&lt;wsp:rsid wsp:val=&quot;00C236A3&quot;/&gt;&lt;wsp:rsid wsp:val=&quot;00C236BB&quot;/&gt;&lt;wsp:rsid wsp:val=&quot;00C23703&quot;/&gt;&lt;wsp:rsid wsp:val=&quot;00C239A2&quot;/&gt;&lt;wsp:rsid wsp:val=&quot;00C23EA5&quot;/&gt;&lt;wsp:rsid wsp:val=&quot;00C23EFC&quot;/&gt;&lt;wsp:rsid wsp:val=&quot;00C23F8F&quot;/&gt;&lt;wsp:rsid wsp:val=&quot;00C24301&quot;/&gt;&lt;wsp:rsid wsp:val=&quot;00C244F8&quot;/&gt;&lt;wsp:rsid wsp:val=&quot;00C24626&quot;/&gt;&lt;wsp:rsid wsp:val=&quot;00C24A64&quot;/&gt;&lt;wsp:rsid wsp:val=&quot;00C24E2A&quot;/&gt;&lt;wsp:rsid wsp:val=&quot;00C24E2B&quot;/&gt;&lt;wsp:rsid wsp:val=&quot;00C24F63&quot;/&gt;&lt;wsp:rsid wsp:val=&quot;00C250B1&quot;/&gt;&lt;wsp:rsid wsp:val=&quot;00C2586A&quot;/&gt;&lt;wsp:rsid wsp:val=&quot;00C25936&quot;/&gt;&lt;wsp:rsid wsp:val=&quot;00C25DE7&quot;/&gt;&lt;wsp:rsid wsp:val=&quot;00C260AE&quot;/&gt;&lt;wsp:rsid wsp:val=&quot;00C26418&quot;/&gt;&lt;wsp:rsid wsp:val=&quot;00C267CE&quot;/&gt;&lt;wsp:rsid wsp:val=&quot;00C27C00&quot;/&gt;&lt;wsp:rsid wsp:val=&quot;00C3012D&quot;/&gt;&lt;wsp:rsid wsp:val=&quot;00C309C4&quot;/&gt;&lt;wsp:rsid wsp:val=&quot;00C30C4F&quot;/&gt;&lt;wsp:rsid wsp:val=&quot;00C30FEC&quot;/&gt;&lt;wsp:rsid wsp:val=&quot;00C310A6&quot;/&gt;&lt;wsp:rsid wsp:val=&quot;00C313EB&quot;/&gt;&lt;wsp:rsid wsp:val=&quot;00C31477&quot;/&gt;&lt;wsp:rsid wsp:val=&quot;00C3163C&quot;/&gt;&lt;wsp:rsid wsp:val=&quot;00C3189B&quot;/&gt;&lt;wsp:rsid wsp:val=&quot;00C31991&quot;/&gt;&lt;wsp:rsid wsp:val=&quot;00C31BF9&quot;/&gt;&lt;wsp:rsid wsp:val=&quot;00C31E68&quot;/&gt;&lt;wsp:rsid wsp:val=&quot;00C31E98&quot;/&gt;&lt;wsp:rsid wsp:val=&quot;00C31F06&quot;/&gt;&lt;wsp:rsid wsp:val=&quot;00C3200E&quot;/&gt;&lt;wsp:rsid wsp:val=&quot;00C32227&quot;/&gt;&lt;wsp:rsid wsp:val=&quot;00C32521&quot;/&gt;&lt;wsp:rsid wsp:val=&quot;00C3256D&quot;/&gt;&lt;wsp:rsid wsp:val=&quot;00C326F5&quot;/&gt;&lt;wsp:rsid wsp:val=&quot;00C328C0&quot;/&gt;&lt;wsp:rsid wsp:val=&quot;00C329BB&quot;/&gt;&lt;wsp:rsid wsp:val=&quot;00C32CD7&quot;/&gt;&lt;wsp:rsid wsp:val=&quot;00C32D73&quot;/&gt;&lt;wsp:rsid wsp:val=&quot;00C33480&quot;/&gt;&lt;wsp:rsid wsp:val=&quot;00C3351E&quot;/&gt;&lt;wsp:rsid wsp:val=&quot;00C33ABF&quot;/&gt;&lt;wsp:rsid wsp:val=&quot;00C33F88&quot;/&gt;&lt;wsp:rsid wsp:val=&quot;00C347EB&quot;/&gt;&lt;wsp:rsid wsp:val=&quot;00C34A8A&quot;/&gt;&lt;wsp:rsid wsp:val=&quot;00C34E96&quot;/&gt;&lt;wsp:rsid wsp:val=&quot;00C34F98&quot;/&gt;&lt;wsp:rsid wsp:val=&quot;00C34FE9&quot;/&gt;&lt;wsp:rsid wsp:val=&quot;00C351F0&quot;/&gt;&lt;wsp:rsid wsp:val=&quot;00C3528E&quot;/&gt;&lt;wsp:rsid wsp:val=&quot;00C3546C&quot;/&gt;&lt;wsp:rsid wsp:val=&quot;00C36345&quot;/&gt;&lt;wsp:rsid wsp:val=&quot;00C36660&quot;/&gt;&lt;wsp:rsid wsp:val=&quot;00C36908&quot;/&gt;&lt;wsp:rsid wsp:val=&quot;00C36A6C&quot;/&gt;&lt;wsp:rsid wsp:val=&quot;00C36D0F&quot;/&gt;&lt;wsp:rsid wsp:val=&quot;00C36F38&quot;/&gt;&lt;wsp:rsid wsp:val=&quot;00C36F53&quot;/&gt;&lt;wsp:rsid wsp:val=&quot;00C375DD&quot;/&gt;&lt;wsp:rsid wsp:val=&quot;00C37B8B&quot;/&gt;&lt;wsp:rsid wsp:val=&quot;00C40486&quot;/&gt;&lt;wsp:rsid wsp:val=&quot;00C405F4&quot;/&gt;&lt;wsp:rsid wsp:val=&quot;00C40609&quot;/&gt;&lt;wsp:rsid wsp:val=&quot;00C40777&quot;/&gt;&lt;wsp:rsid wsp:val=&quot;00C408E3&quot;/&gt;&lt;wsp:rsid wsp:val=&quot;00C409E2&quot;/&gt;&lt;wsp:rsid wsp:val=&quot;00C40A4C&quot;/&gt;&lt;wsp:rsid wsp:val=&quot;00C40A63&quot;/&gt;&lt;wsp:rsid wsp:val=&quot;00C40D3E&quot;/&gt;&lt;wsp:rsid wsp:val=&quot;00C40E93&quot;/&gt;&lt;wsp:rsid wsp:val=&quot;00C40F5C&quot;/&gt;&lt;wsp:rsid wsp:val=&quot;00C40F77&quot;/&gt;&lt;wsp:rsid wsp:val=&quot;00C4136B&quot;/&gt;&lt;wsp:rsid wsp:val=&quot;00C413B2&quot;/&gt;&lt;wsp:rsid wsp:val=&quot;00C413CD&quot;/&gt;&lt;wsp:rsid wsp:val=&quot;00C41992&quot;/&gt;&lt;wsp:rsid wsp:val=&quot;00C419F9&quot;/&gt;&lt;wsp:rsid wsp:val=&quot;00C41CC2&quot;/&gt;&lt;wsp:rsid wsp:val=&quot;00C41DFC&quot;/&gt;&lt;wsp:rsid wsp:val=&quot;00C41E87&quot;/&gt;&lt;wsp:rsid wsp:val=&quot;00C41F13&quot;/&gt;&lt;wsp:rsid wsp:val=&quot;00C42424&quot;/&gt;&lt;wsp:rsid wsp:val=&quot;00C43286&quot;/&gt;&lt;wsp:rsid wsp:val=&quot;00C4358D&quot;/&gt;&lt;wsp:rsid wsp:val=&quot;00C4370D&quot;/&gt;&lt;wsp:rsid wsp:val=&quot;00C44058&quot;/&gt;&lt;wsp:rsid wsp:val=&quot;00C4495F&quot;/&gt;&lt;wsp:rsid wsp:val=&quot;00C45325&quot;/&gt;&lt;wsp:rsid wsp:val=&quot;00C453A3&quot;/&gt;&lt;wsp:rsid wsp:val=&quot;00C45ADF&quot;/&gt;&lt;wsp:rsid wsp:val=&quot;00C45CB8&quot;/&gt;&lt;wsp:rsid wsp:val=&quot;00C46336&quot;/&gt;&lt;wsp:rsid wsp:val=&quot;00C4689A&quot;/&gt;&lt;wsp:rsid wsp:val=&quot;00C46E54&quot;/&gt;&lt;wsp:rsid wsp:val=&quot;00C4703A&quot;/&gt;&lt;wsp:rsid wsp:val=&quot;00C474C1&quot;/&gt;&lt;wsp:rsid wsp:val=&quot;00C47EAC&quot;/&gt;&lt;wsp:rsid wsp:val=&quot;00C47FE1&quot;/&gt;&lt;wsp:rsid wsp:val=&quot;00C5008A&quot;/&gt;&lt;wsp:rsid wsp:val=&quot;00C507B2&quot;/&gt;&lt;wsp:rsid wsp:val=&quot;00C50B28&quot;/&gt;&lt;wsp:rsid wsp:val=&quot;00C50B89&quot;/&gt;&lt;wsp:rsid wsp:val=&quot;00C51397&quot;/&gt;&lt;wsp:rsid wsp:val=&quot;00C516C6&quot;/&gt;&lt;wsp:rsid wsp:val=&quot;00C51953&quot;/&gt;&lt;wsp:rsid wsp:val=&quot;00C52043&quot;/&gt;&lt;wsp:rsid wsp:val=&quot;00C5268A&quot;/&gt;&lt;wsp:rsid wsp:val=&quot;00C529CC&quot;/&gt;&lt;wsp:rsid wsp:val=&quot;00C52D26&quot;/&gt;&lt;wsp:rsid wsp:val=&quot;00C53272&quot;/&gt;&lt;wsp:rsid wsp:val=&quot;00C53E29&quot;/&gt;&lt;wsp:rsid wsp:val=&quot;00C53EAE&quot;/&gt;&lt;wsp:rsid wsp:val=&quot;00C53F85&quot;/&gt;&lt;wsp:rsid wsp:val=&quot;00C54548&quot;/&gt;&lt;wsp:rsid wsp:val=&quot;00C549F3&quot;/&gt;&lt;wsp:rsid wsp:val=&quot;00C54CE5&quot;/&gt;&lt;wsp:rsid wsp:val=&quot;00C54D13&quot;/&gt;&lt;wsp:rsid wsp:val=&quot;00C54EF1&quot;/&gt;&lt;wsp:rsid wsp:val=&quot;00C5502B&quot;/&gt;&lt;wsp:rsid wsp:val=&quot;00C551F8&quot;/&gt;&lt;wsp:rsid wsp:val=&quot;00C552FA&quot;/&gt;&lt;wsp:rsid wsp:val=&quot;00C5557C&quot;/&gt;&lt;wsp:rsid wsp:val=&quot;00C55714&quot;/&gt;&lt;wsp:rsid wsp:val=&quot;00C5571A&quot;/&gt;&lt;wsp:rsid wsp:val=&quot;00C55833&quot;/&gt;&lt;wsp:rsid wsp:val=&quot;00C55ABB&quot;/&gt;&lt;wsp:rsid wsp:val=&quot;00C55C94&quot;/&gt;&lt;wsp:rsid wsp:val=&quot;00C560ED&quot;/&gt;&lt;wsp:rsid wsp:val=&quot;00C56423&quot;/&gt;&lt;wsp:rsid wsp:val=&quot;00C56B2B&quot;/&gt;&lt;wsp:rsid wsp:val=&quot;00C56DFA&quot;/&gt;&lt;wsp:rsid wsp:val=&quot;00C5706C&quot;/&gt;&lt;wsp:rsid wsp:val=&quot;00C5748D&quot;/&gt;&lt;wsp:rsid wsp:val=&quot;00C57495&quot;/&gt;&lt;wsp:rsid wsp:val=&quot;00C5764E&quot;/&gt;&lt;wsp:rsid wsp:val=&quot;00C57724&quot;/&gt;&lt;wsp:rsid wsp:val=&quot;00C578BE&quot;/&gt;&lt;wsp:rsid wsp:val=&quot;00C57A7C&quot;/&gt;&lt;wsp:rsid wsp:val=&quot;00C57ABD&quot;/&gt;&lt;wsp:rsid wsp:val=&quot;00C57E0C&quot;/&gt;&lt;wsp:rsid wsp:val=&quot;00C60420&quot;/&gt;&lt;wsp:rsid wsp:val=&quot;00C608EB&quot;/&gt;&lt;wsp:rsid wsp:val=&quot;00C61442&quot;/&gt;&lt;wsp:rsid wsp:val=&quot;00C6148E&quot;/&gt;&lt;wsp:rsid wsp:val=&quot;00C616DC&quot;/&gt;&lt;wsp:rsid wsp:val=&quot;00C61D53&quot;/&gt;&lt;wsp:rsid wsp:val=&quot;00C628B9&quot;/&gt;&lt;wsp:rsid wsp:val=&quot;00C62D5C&quot;/&gt;&lt;wsp:rsid wsp:val=&quot;00C62D63&quot;/&gt;&lt;wsp:rsid wsp:val=&quot;00C62FD1&quot;/&gt;&lt;wsp:rsid wsp:val=&quot;00C63112&quot;/&gt;&lt;wsp:rsid wsp:val=&quot;00C6323C&quot;/&gt;&lt;wsp:rsid wsp:val=&quot;00C632AB&quot;/&gt;&lt;wsp:rsid wsp:val=&quot;00C635E9&quot;/&gt;&lt;wsp:rsid wsp:val=&quot;00C63676&quot;/&gt;&lt;wsp:rsid wsp:val=&quot;00C638AE&quot;/&gt;&lt;wsp:rsid wsp:val=&quot;00C6396D&quot;/&gt;&lt;wsp:rsid wsp:val=&quot;00C63FC5&quot;/&gt;&lt;wsp:rsid wsp:val=&quot;00C64147&quot;/&gt;&lt;wsp:rsid wsp:val=&quot;00C64212&quot;/&gt;&lt;wsp:rsid wsp:val=&quot;00C64557&quot;/&gt;&lt;wsp:rsid wsp:val=&quot;00C648CB&quot;/&gt;&lt;wsp:rsid wsp:val=&quot;00C64B1E&quot;/&gt;&lt;wsp:rsid wsp:val=&quot;00C64B99&quot;/&gt;&lt;wsp:rsid wsp:val=&quot;00C64FFC&quot;/&gt;&lt;wsp:rsid wsp:val=&quot;00C64FFD&quot;/&gt;&lt;wsp:rsid wsp:val=&quot;00C65030&quot;/&gt;&lt;wsp:rsid wsp:val=&quot;00C655D5&quot;/&gt;&lt;wsp:rsid wsp:val=&quot;00C65CFF&quot;/&gt;&lt;wsp:rsid wsp:val=&quot;00C65EEE&quot;/&gt;&lt;wsp:rsid wsp:val=&quot;00C662BB&quot;/&gt;&lt;wsp:rsid wsp:val=&quot;00C66354&quot;/&gt;&lt;wsp:rsid wsp:val=&quot;00C66A8E&quot;/&gt;&lt;wsp:rsid wsp:val=&quot;00C66B4B&quot;/&gt;&lt;wsp:rsid wsp:val=&quot;00C670A3&quot;/&gt;&lt;wsp:rsid wsp:val=&quot;00C670AE&quot;/&gt;&lt;wsp:rsid wsp:val=&quot;00C671DE&quot;/&gt;&lt;wsp:rsid wsp:val=&quot;00C673C5&quot;/&gt;&lt;wsp:rsid wsp:val=&quot;00C67831&quot;/&gt;&lt;wsp:rsid wsp:val=&quot;00C67EA5&quot;/&gt;&lt;wsp:rsid wsp:val=&quot;00C67F6C&quot;/&gt;&lt;wsp:rsid wsp:val=&quot;00C701DC&quot;/&gt;&lt;wsp:rsid wsp:val=&quot;00C70366&quot;/&gt;&lt;wsp:rsid wsp:val=&quot;00C70A2A&quot;/&gt;&lt;wsp:rsid wsp:val=&quot;00C71651&quot;/&gt;&lt;wsp:rsid wsp:val=&quot;00C71716&quot;/&gt;&lt;wsp:rsid wsp:val=&quot;00C71B9C&quot;/&gt;&lt;wsp:rsid wsp:val=&quot;00C71BAB&quot;/&gt;&lt;wsp:rsid wsp:val=&quot;00C71BCA&quot;/&gt;&lt;wsp:rsid wsp:val=&quot;00C71DA3&quot;/&gt;&lt;wsp:rsid wsp:val=&quot;00C71FEF&quot;/&gt;&lt;wsp:rsid wsp:val=&quot;00C723D3&quot;/&gt;&lt;wsp:rsid wsp:val=&quot;00C7245C&quot;/&gt;&lt;wsp:rsid wsp:val=&quot;00C72BF5&quot;/&gt;&lt;wsp:rsid wsp:val=&quot;00C72E28&quot;/&gt;&lt;wsp:rsid wsp:val=&quot;00C72E48&quot;/&gt;&lt;wsp:rsid wsp:val=&quot;00C72F9F&quot;/&gt;&lt;wsp:rsid wsp:val=&quot;00C730B0&quot;/&gt;&lt;wsp:rsid wsp:val=&quot;00C73AB5&quot;/&gt;&lt;wsp:rsid wsp:val=&quot;00C742F4&quot;/&gt;&lt;wsp:rsid wsp:val=&quot;00C74456&quot;/&gt;&lt;wsp:rsid wsp:val=&quot;00C744F9&quot;/&gt;&lt;wsp:rsid wsp:val=&quot;00C74CB4&quot;/&gt;&lt;wsp:rsid wsp:val=&quot;00C7506D&quot;/&gt;&lt;wsp:rsid wsp:val=&quot;00C75070&quot;/&gt;&lt;wsp:rsid wsp:val=&quot;00C7519E&quot;/&gt;&lt;wsp:rsid wsp:val=&quot;00C755A3&quot;/&gt;&lt;wsp:rsid wsp:val=&quot;00C75D11&quot;/&gt;&lt;wsp:rsid wsp:val=&quot;00C75E9E&quot;/&gt;&lt;wsp:rsid wsp:val=&quot;00C76290&quot;/&gt;&lt;wsp:rsid wsp:val=&quot;00C764DC&quot;/&gt;&lt;wsp:rsid wsp:val=&quot;00C76567&quot;/&gt;&lt;wsp:rsid wsp:val=&quot;00C76946&quot;/&gt;&lt;wsp:rsid wsp:val=&quot;00C76B5E&quot;/&gt;&lt;wsp:rsid wsp:val=&quot;00C76D1B&quot;/&gt;&lt;wsp:rsid wsp:val=&quot;00C770A4&quot;/&gt;&lt;wsp:rsid wsp:val=&quot;00C77201&quot;/&gt;&lt;wsp:rsid wsp:val=&quot;00C7749B&quot;/&gt;&lt;wsp:rsid wsp:val=&quot;00C774E8&quot;/&gt;&lt;wsp:rsid wsp:val=&quot;00C77D52&quot;/&gt;&lt;wsp:rsid wsp:val=&quot;00C804F3&quot;/&gt;&lt;wsp:rsid wsp:val=&quot;00C805E2&quot;/&gt;&lt;wsp:rsid wsp:val=&quot;00C806F4&quot;/&gt;&lt;wsp:rsid wsp:val=&quot;00C80E41&quot;/&gt;&lt;wsp:rsid wsp:val=&quot;00C810E4&quot;/&gt;&lt;wsp:rsid wsp:val=&quot;00C8182A&quot;/&gt;&lt;wsp:rsid wsp:val=&quot;00C81C54&quot;/&gt;&lt;wsp:rsid wsp:val=&quot;00C81D9B&quot;/&gt;&lt;wsp:rsid wsp:val=&quot;00C822FD&quot;/&gt;&lt;wsp:rsid wsp:val=&quot;00C82360&quot;/&gt;&lt;wsp:rsid wsp:val=&quot;00C823D2&quot;/&gt;&lt;wsp:rsid wsp:val=&quot;00C825B6&quot;/&gt;&lt;wsp:rsid wsp:val=&quot;00C82D07&quot;/&gt;&lt;wsp:rsid wsp:val=&quot;00C82EE1&quot;/&gt;&lt;wsp:rsid wsp:val=&quot;00C834B5&quot;/&gt;&lt;wsp:rsid wsp:val=&quot;00C836AB&quot;/&gt;&lt;wsp:rsid wsp:val=&quot;00C83829&quot;/&gt;&lt;wsp:rsid wsp:val=&quot;00C83AB1&quot;/&gt;&lt;wsp:rsid wsp:val=&quot;00C83C0B&quot;/&gt;&lt;wsp:rsid wsp:val=&quot;00C84335&quot;/&gt;&lt;wsp:rsid wsp:val=&quot;00C84382&quot;/&gt;&lt;wsp:rsid wsp:val=&quot;00C846D6&quot;/&gt;&lt;wsp:rsid wsp:val=&quot;00C84879&quot;/&gt;&lt;wsp:rsid wsp:val=&quot;00C8490D&quot;/&gt;&lt;wsp:rsid wsp:val=&quot;00C849C3&quot;/&gt;&lt;wsp:rsid wsp:val=&quot;00C84CA9&quot;/&gt;&lt;wsp:rsid wsp:val=&quot;00C84DAA&quot;/&gt;&lt;wsp:rsid wsp:val=&quot;00C85290&quot;/&gt;&lt;wsp:rsid wsp:val=&quot;00C8537C&quot;/&gt;&lt;wsp:rsid wsp:val=&quot;00C8545B&quot;/&gt;&lt;wsp:rsid wsp:val=&quot;00C85463&quot;/&gt;&lt;wsp:rsid wsp:val=&quot;00C86660&quot;/&gt;&lt;wsp:rsid wsp:val=&quot;00C866CF&quot;/&gt;&lt;wsp:rsid wsp:val=&quot;00C86725&quot;/&gt;&lt;wsp:rsid wsp:val=&quot;00C86798&quot;/&gt;&lt;wsp:rsid wsp:val=&quot;00C869FF&quot;/&gt;&lt;wsp:rsid wsp:val=&quot;00C86B66&quot;/&gt;&lt;wsp:rsid wsp:val=&quot;00C8703E&quot;/&gt;&lt;wsp:rsid wsp:val=&quot;00C87047&quot;/&gt;&lt;wsp:rsid wsp:val=&quot;00C871AB&quot;/&gt;&lt;wsp:rsid wsp:val=&quot;00C8759E&quot;/&gt;&lt;wsp:rsid wsp:val=&quot;00C878DD&quot;/&gt;&lt;wsp:rsid wsp:val=&quot;00C87E7C&quot;/&gt;&lt;wsp:rsid wsp:val=&quot;00C901B8&quot;/&gt;&lt;wsp:rsid wsp:val=&quot;00C901D2&quot;/&gt;&lt;wsp:rsid wsp:val=&quot;00C902BC&quot;/&gt;&lt;wsp:rsid wsp:val=&quot;00C903C5&quot;/&gt;&lt;wsp:rsid wsp:val=&quot;00C90E9F&quot;/&gt;&lt;wsp:rsid wsp:val=&quot;00C90F68&quot;/&gt;&lt;wsp:rsid wsp:val=&quot;00C90FAD&quot;/&gt;&lt;wsp:rsid wsp:val=&quot;00C911C4&quot;/&gt;&lt;wsp:rsid wsp:val=&quot;00C91235&quot;/&gt;&lt;wsp:rsid wsp:val=&quot;00C91579&quot;/&gt;&lt;wsp:rsid wsp:val=&quot;00C91B03&quot;/&gt;&lt;wsp:rsid wsp:val=&quot;00C91B1A&quot;/&gt;&lt;wsp:rsid wsp:val=&quot;00C91B69&quot;/&gt;&lt;wsp:rsid wsp:val=&quot;00C91B6B&quot;/&gt;&lt;wsp:rsid wsp:val=&quot;00C91D6B&quot;/&gt;&lt;wsp:rsid wsp:val=&quot;00C92840&quot;/&gt;&lt;wsp:rsid wsp:val=&quot;00C92C3E&quot;/&gt;&lt;wsp:rsid wsp:val=&quot;00C92C8B&quot;/&gt;&lt;wsp:rsid wsp:val=&quot;00C92FE3&quot;/&gt;&lt;wsp:rsid wsp:val=&quot;00C93213&quot;/&gt;&lt;wsp:rsid wsp:val=&quot;00C9359D&quot;/&gt;&lt;wsp:rsid wsp:val=&quot;00C93794&quot;/&gt;&lt;wsp:rsid wsp:val=&quot;00C93AB1&quot;/&gt;&lt;wsp:rsid wsp:val=&quot;00C93C1C&quot;/&gt;&lt;wsp:rsid wsp:val=&quot;00C93C71&quot;/&gt;&lt;wsp:rsid wsp:val=&quot;00C94BF7&quot;/&gt;&lt;wsp:rsid wsp:val=&quot;00C94FDA&quot;/&gt;&lt;wsp:rsid wsp:val=&quot;00C952F2&quot;/&gt;&lt;wsp:rsid wsp:val=&quot;00C95593&quot;/&gt;&lt;wsp:rsid wsp:val=&quot;00C95601&quot;/&gt;&lt;wsp:rsid wsp:val=&quot;00C95761&quot;/&gt;&lt;wsp:rsid wsp:val=&quot;00C95B50&quot;/&gt;&lt;wsp:rsid wsp:val=&quot;00C95B74&quot;/&gt;&lt;wsp:rsid wsp:val=&quot;00C95DA9&quot;/&gt;&lt;wsp:rsid wsp:val=&quot;00C95FCB&quot;/&gt;&lt;wsp:rsid wsp:val=&quot;00C96008&quot;/&gt;&lt;wsp:rsid wsp:val=&quot;00C96072&quot;/&gt;&lt;wsp:rsid wsp:val=&quot;00C96114&quot;/&gt;&lt;wsp:rsid wsp:val=&quot;00C96342&quot;/&gt;&lt;wsp:rsid wsp:val=&quot;00C96488&quot;/&gt;&lt;wsp:rsid wsp:val=&quot;00C965F4&quot;/&gt;&lt;wsp:rsid wsp:val=&quot;00C966E7&quot;/&gt;&lt;wsp:rsid wsp:val=&quot;00C967C3&quot;/&gt;&lt;wsp:rsid wsp:val=&quot;00C967C7&quot;/&gt;&lt;wsp:rsid wsp:val=&quot;00C967D6&quot;/&gt;&lt;wsp:rsid wsp:val=&quot;00C96A2F&quot;/&gt;&lt;wsp:rsid wsp:val=&quot;00C96F4D&quot;/&gt;&lt;wsp:rsid wsp:val=&quot;00C973B5&quot;/&gt;&lt;wsp:rsid wsp:val=&quot;00C97477&quot;/&gt;&lt;wsp:rsid wsp:val=&quot;00C976FC&quot;/&gt;&lt;wsp:rsid wsp:val=&quot;00C977D5&quot;/&gt;&lt;wsp:rsid wsp:val=&quot;00C97877&quot;/&gt;&lt;wsp:rsid wsp:val=&quot;00C978CE&quot;/&gt;&lt;wsp:rsid wsp:val=&quot;00C97AD6&quot;/&gt;&lt;wsp:rsid wsp:val=&quot;00C97AE1&quot;/&gt;&lt;wsp:rsid wsp:val=&quot;00C97DD6&quot;/&gt;&lt;wsp:rsid wsp:val=&quot;00C97F8E&quot;/&gt;&lt;wsp:rsid wsp:val=&quot;00CA0429&quot;/&gt;&lt;wsp:rsid wsp:val=&quot;00CA05C1&quot;/&gt;&lt;wsp:rsid wsp:val=&quot;00CA0D15&quot;/&gt;&lt;wsp:rsid wsp:val=&quot;00CA0E1C&quot;/&gt;&lt;wsp:rsid wsp:val=&quot;00CA11A6&quot;/&gt;&lt;wsp:rsid wsp:val=&quot;00CA1764&quot;/&gt;&lt;wsp:rsid wsp:val=&quot;00CA184C&quot;/&gt;&lt;wsp:rsid wsp:val=&quot;00CA1A12&quot;/&gt;&lt;wsp:rsid wsp:val=&quot;00CA1A44&quot;/&gt;&lt;wsp:rsid wsp:val=&quot;00CA2208&quot;/&gt;&lt;wsp:rsid wsp:val=&quot;00CA2352&quot;/&gt;&lt;wsp:rsid wsp:val=&quot;00CA27D4&quot;/&gt;&lt;wsp:rsid wsp:val=&quot;00CA28E3&quot;/&gt;&lt;wsp:rsid wsp:val=&quot;00CA3429&quot;/&gt;&lt;wsp:rsid wsp:val=&quot;00CA3A9A&quot;/&gt;&lt;wsp:rsid wsp:val=&quot;00CA3C06&quot;/&gt;&lt;wsp:rsid wsp:val=&quot;00CA42DE&quot;/&gt;&lt;wsp:rsid wsp:val=&quot;00CA4D0F&quot;/&gt;&lt;wsp:rsid wsp:val=&quot;00CA5771&quot;/&gt;&lt;wsp:rsid wsp:val=&quot;00CA57F7&quot;/&gt;&lt;wsp:rsid wsp:val=&quot;00CA5873&quot;/&gt;&lt;wsp:rsid wsp:val=&quot;00CA5DDF&quot;/&gt;&lt;wsp:rsid wsp:val=&quot;00CA6218&quot;/&gt;&lt;wsp:rsid wsp:val=&quot;00CA6293&quot;/&gt;&lt;wsp:rsid wsp:val=&quot;00CA6487&quot;/&gt;&lt;wsp:rsid wsp:val=&quot;00CA6560&quot;/&gt;&lt;wsp:rsid wsp:val=&quot;00CA6A93&quot;/&gt;&lt;wsp:rsid wsp:val=&quot;00CA6BAC&quot;/&gt;&lt;wsp:rsid wsp:val=&quot;00CA6C37&quot;/&gt;&lt;wsp:rsid wsp:val=&quot;00CA6C42&quot;/&gt;&lt;wsp:rsid wsp:val=&quot;00CA76DA&quot;/&gt;&lt;wsp:rsid wsp:val=&quot;00CA7A78&quot;/&gt;&lt;wsp:rsid wsp:val=&quot;00CA7CA6&quot;/&gt;&lt;wsp:rsid wsp:val=&quot;00CB0586&quot;/&gt;&lt;wsp:rsid wsp:val=&quot;00CB08AF&quot;/&gt;&lt;wsp:rsid wsp:val=&quot;00CB0DF6&quot;/&gt;&lt;wsp:rsid wsp:val=&quot;00CB13A4&quot;/&gt;&lt;wsp:rsid wsp:val=&quot;00CB15CF&quot;/&gt;&lt;wsp:rsid wsp:val=&quot;00CB1CF7&quot;/&gt;&lt;wsp:rsid wsp:val=&quot;00CB1DF2&quot;/&gt;&lt;wsp:rsid wsp:val=&quot;00CB1FB6&quot;/&gt;&lt;wsp:rsid wsp:val=&quot;00CB2765&quot;/&gt;&lt;wsp:rsid wsp:val=&quot;00CB279B&quot;/&gt;&lt;wsp:rsid wsp:val=&quot;00CB28F7&quot;/&gt;&lt;wsp:rsid wsp:val=&quot;00CB2CB7&quot;/&gt;&lt;wsp:rsid wsp:val=&quot;00CB2DEC&quot;/&gt;&lt;wsp:rsid wsp:val=&quot;00CB3059&quot;/&gt;&lt;wsp:rsid wsp:val=&quot;00CB30E1&quot;/&gt;&lt;wsp:rsid wsp:val=&quot;00CB3228&quot;/&gt;&lt;wsp:rsid wsp:val=&quot;00CB32CE&quot;/&gt;&lt;wsp:rsid wsp:val=&quot;00CB3560&quot;/&gt;&lt;wsp:rsid wsp:val=&quot;00CB3830&quot;/&gt;&lt;wsp:rsid wsp:val=&quot;00CB3B40&quot;/&gt;&lt;wsp:rsid wsp:val=&quot;00CB3C16&quot;/&gt;&lt;wsp:rsid wsp:val=&quot;00CB3DC2&quot;/&gt;&lt;wsp:rsid wsp:val=&quot;00CB3EBC&quot;/&gt;&lt;wsp:rsid wsp:val=&quot;00CB437F&quot;/&gt;&lt;wsp:rsid wsp:val=&quot;00CB4605&quot;/&gt;&lt;wsp:rsid wsp:val=&quot;00CB4A00&quot;/&gt;&lt;wsp:rsid wsp:val=&quot;00CB4B6A&quot;/&gt;&lt;wsp:rsid wsp:val=&quot;00CB4BB0&quot;/&gt;&lt;wsp:rsid wsp:val=&quot;00CB4F1F&quot;/&gt;&lt;wsp:rsid wsp:val=&quot;00CB51BA&quot;/&gt;&lt;wsp:rsid wsp:val=&quot;00CB52C1&quot;/&gt;&lt;wsp:rsid wsp:val=&quot;00CB55C5&quot;/&gt;&lt;wsp:rsid wsp:val=&quot;00CB570F&quot;/&gt;&lt;wsp:rsid wsp:val=&quot;00CB5D3D&quot;/&gt;&lt;wsp:rsid wsp:val=&quot;00CB5E81&quot;/&gt;&lt;wsp:rsid wsp:val=&quot;00CB602C&quot;/&gt;&lt;wsp:rsid wsp:val=&quot;00CB622A&quot;/&gt;&lt;wsp:rsid wsp:val=&quot;00CB624B&quot;/&gt;&lt;wsp:rsid wsp:val=&quot;00CB70DA&quot;/&gt;&lt;wsp:rsid wsp:val=&quot;00CB71E9&quot;/&gt;&lt;wsp:rsid wsp:val=&quot;00CB731A&quot;/&gt;&lt;wsp:rsid wsp:val=&quot;00CB7C20&quot;/&gt;&lt;wsp:rsid wsp:val=&quot;00CB7F49&quot;/&gt;&lt;wsp:rsid wsp:val=&quot;00CC0290&quot;/&gt;&lt;wsp:rsid wsp:val=&quot;00CC02B8&quot;/&gt;&lt;wsp:rsid wsp:val=&quot;00CC0726&quot;/&gt;&lt;wsp:rsid wsp:val=&quot;00CC0ECB&quot;/&gt;&lt;wsp:rsid wsp:val=&quot;00CC0F0E&quot;/&gt;&lt;wsp:rsid wsp:val=&quot;00CC0F11&quot;/&gt;&lt;wsp:rsid wsp:val=&quot;00CC0FD5&quot;/&gt;&lt;wsp:rsid wsp:val=&quot;00CC122D&quot;/&gt;&lt;wsp:rsid wsp:val=&quot;00CC1355&quot;/&gt;&lt;wsp:rsid wsp:val=&quot;00CC19B5&quot;/&gt;&lt;wsp:rsid wsp:val=&quot;00CC1A4D&quot;/&gt;&lt;wsp:rsid wsp:val=&quot;00CC20E3&quot;/&gt;&lt;wsp:rsid wsp:val=&quot;00CC214D&quot;/&gt;&lt;wsp:rsid wsp:val=&quot;00CC2210&quot;/&gt;&lt;wsp:rsid wsp:val=&quot;00CC2929&quot;/&gt;&lt;wsp:rsid wsp:val=&quot;00CC29E8&quot;/&gt;&lt;wsp:rsid wsp:val=&quot;00CC333D&quot;/&gt;&lt;wsp:rsid wsp:val=&quot;00CC3544&quot;/&gt;&lt;wsp:rsid wsp:val=&quot;00CC4220&quot;/&gt;&lt;wsp:rsid wsp:val=&quot;00CC445D&quot;/&gt;&lt;wsp:rsid wsp:val=&quot;00CC478C&quot;/&gt;&lt;wsp:rsid wsp:val=&quot;00CC4B48&quot;/&gt;&lt;wsp:rsid wsp:val=&quot;00CC4CFB&quot;/&gt;&lt;wsp:rsid wsp:val=&quot;00CC4D82&quot;/&gt;&lt;wsp:rsid wsp:val=&quot;00CC4DB5&quot;/&gt;&lt;wsp:rsid wsp:val=&quot;00CC4F1B&quot;/&gt;&lt;wsp:rsid wsp:val=&quot;00CC4F79&quot;/&gt;&lt;wsp:rsid wsp:val=&quot;00CC5049&quot;/&gt;&lt;wsp:rsid wsp:val=&quot;00CC549F&quot;/&gt;&lt;wsp:rsid wsp:val=&quot;00CC54A5&quot;/&gt;&lt;wsp:rsid wsp:val=&quot;00CC54E7&quot;/&gt;&lt;wsp:rsid wsp:val=&quot;00CC576B&quot;/&gt;&lt;wsp:rsid wsp:val=&quot;00CC6555&quot;/&gt;&lt;wsp:rsid wsp:val=&quot;00CC66D5&quot;/&gt;&lt;wsp:rsid wsp:val=&quot;00CC6A0B&quot;/&gt;&lt;wsp:rsid wsp:val=&quot;00CC6B94&quot;/&gt;&lt;wsp:rsid wsp:val=&quot;00CC6D80&quot;/&gt;&lt;wsp:rsid wsp:val=&quot;00CC6F86&quot;/&gt;&lt;wsp:rsid wsp:val=&quot;00CC74EB&quot;/&gt;&lt;wsp:rsid wsp:val=&quot;00CC769F&quot;/&gt;&lt;wsp:rsid wsp:val=&quot;00CC7BE7&quot;/&gt;&lt;wsp:rsid wsp:val=&quot;00CC7DE4&quot;/&gt;&lt;wsp:rsid wsp:val=&quot;00CC7E5A&quot;/&gt;&lt;wsp:rsid wsp:val=&quot;00CC7F47&quot;/&gt;&lt;wsp:rsid wsp:val=&quot;00CD07B5&quot;/&gt;&lt;wsp:rsid wsp:val=&quot;00CD0B3E&quot;/&gt;&lt;wsp:rsid wsp:val=&quot;00CD183A&quot;/&gt;&lt;wsp:rsid wsp:val=&quot;00CD279A&quot;/&gt;&lt;wsp:rsid wsp:val=&quot;00CD2F2A&quot;/&gt;&lt;wsp:rsid wsp:val=&quot;00CD2FDE&quot;/&gt;&lt;wsp:rsid wsp:val=&quot;00CD3649&quot;/&gt;&lt;wsp:rsid wsp:val=&quot;00CD393A&quot;/&gt;&lt;wsp:rsid wsp:val=&quot;00CD397B&quot;/&gt;&lt;wsp:rsid wsp:val=&quot;00CD3BCE&quot;/&gt;&lt;wsp:rsid wsp:val=&quot;00CD41CE&quot;/&gt;&lt;wsp:rsid wsp:val=&quot;00CD4871&quot;/&gt;&lt;wsp:rsid wsp:val=&quot;00CD4925&quot;/&gt;&lt;wsp:rsid wsp:val=&quot;00CD4A65&quot;/&gt;&lt;wsp:rsid wsp:val=&quot;00CD4FF8&quot;/&gt;&lt;wsp:rsid wsp:val=&quot;00CD53EB&quot;/&gt;&lt;wsp:rsid wsp:val=&quot;00CD5422&quot;/&gt;&lt;wsp:rsid wsp:val=&quot;00CD5490&quot;/&gt;&lt;wsp:rsid wsp:val=&quot;00CD587E&quot;/&gt;&lt;wsp:rsid wsp:val=&quot;00CD5931&quot;/&gt;&lt;wsp:rsid wsp:val=&quot;00CD59DC&quot;/&gt;&lt;wsp:rsid wsp:val=&quot;00CD5AF8&quot;/&gt;&lt;wsp:rsid wsp:val=&quot;00CD5AFE&quot;/&gt;&lt;wsp:rsid wsp:val=&quot;00CD5E2C&quot;/&gt;&lt;wsp:rsid wsp:val=&quot;00CD5EE3&quot;/&gt;&lt;wsp:rsid wsp:val=&quot;00CD61B3&quot;/&gt;&lt;wsp:rsid wsp:val=&quot;00CD6401&quot;/&gt;&lt;wsp:rsid wsp:val=&quot;00CD64FF&quot;/&gt;&lt;wsp:rsid wsp:val=&quot;00CD676D&quot;/&gt;&lt;wsp:rsid wsp:val=&quot;00CD68ED&quot;/&gt;&lt;wsp:rsid wsp:val=&quot;00CD69A9&quot;/&gt;&lt;wsp:rsid wsp:val=&quot;00CD69FB&quot;/&gt;&lt;wsp:rsid wsp:val=&quot;00CD6C45&quot;/&gt;&lt;wsp:rsid wsp:val=&quot;00CD717E&quot;/&gt;&lt;wsp:rsid wsp:val=&quot;00CD742C&quot;/&gt;&lt;wsp:rsid wsp:val=&quot;00CD7497&quot;/&gt;&lt;wsp:rsid wsp:val=&quot;00CD74C0&quot;/&gt;&lt;wsp:rsid wsp:val=&quot;00CD781F&quot;/&gt;&lt;wsp:rsid wsp:val=&quot;00CD7969&quot;/&gt;&lt;wsp:rsid wsp:val=&quot;00CD7BFF&quot;/&gt;&lt;wsp:rsid wsp:val=&quot;00CD7F01&quot;/&gt;&lt;wsp:rsid wsp:val=&quot;00CE011C&quot;/&gt;&lt;wsp:rsid wsp:val=&quot;00CE01CE&quot;/&gt;&lt;wsp:rsid wsp:val=&quot;00CE01E6&quot;/&gt;&lt;wsp:rsid wsp:val=&quot;00CE039C&quot;/&gt;&lt;wsp:rsid wsp:val=&quot;00CE040F&quot;/&gt;&lt;wsp:rsid wsp:val=&quot;00CE0773&quot;/&gt;&lt;wsp:rsid wsp:val=&quot;00CE1129&quot;/&gt;&lt;wsp:rsid wsp:val=&quot;00CE1A13&quot;/&gt;&lt;wsp:rsid wsp:val=&quot;00CE1C38&quot;/&gt;&lt;wsp:rsid wsp:val=&quot;00CE2255&quot;/&gt;&lt;wsp:rsid wsp:val=&quot;00CE2939&quot;/&gt;&lt;wsp:rsid wsp:val=&quot;00CE2A86&quot;/&gt;&lt;wsp:rsid wsp:val=&quot;00CE2CEE&quot;/&gt;&lt;wsp:rsid wsp:val=&quot;00CE2D22&quot;/&gt;&lt;wsp:rsid wsp:val=&quot;00CE30F8&quot;/&gt;&lt;wsp:rsid wsp:val=&quot;00CE38BA&quot;/&gt;&lt;wsp:rsid wsp:val=&quot;00CE4326&quot;/&gt;&lt;wsp:rsid wsp:val=&quot;00CE4A88&quot;/&gt;&lt;wsp:rsid wsp:val=&quot;00CE4E60&quot;/&gt;&lt;wsp:rsid wsp:val=&quot;00CE4E88&quot;/&gt;&lt;wsp:rsid wsp:val=&quot;00CE5060&quot;/&gt;&lt;wsp:rsid wsp:val=&quot;00CE5502&quot;/&gt;&lt;wsp:rsid wsp:val=&quot;00CE57B6&quot;/&gt;&lt;wsp:rsid wsp:val=&quot;00CE5B49&quot;/&gt;&lt;wsp:rsid wsp:val=&quot;00CE5B63&quot;/&gt;&lt;wsp:rsid wsp:val=&quot;00CE5FE4&quot;/&gt;&lt;wsp:rsid wsp:val=&quot;00CE6974&quot;/&gt;&lt;wsp:rsid wsp:val=&quot;00CE6F09&quot;/&gt;&lt;wsp:rsid wsp:val=&quot;00CE6F9A&quot;/&gt;&lt;wsp:rsid wsp:val=&quot;00CE739E&quot;/&gt;&lt;wsp:rsid wsp:val=&quot;00CE775D&quot;/&gt;&lt;wsp:rsid wsp:val=&quot;00CF0D65&quot;/&gt;&lt;wsp:rsid wsp:val=&quot;00CF107E&quot;/&gt;&lt;wsp:rsid wsp:val=&quot;00CF117E&quot;/&gt;&lt;wsp:rsid wsp:val=&quot;00CF1B47&quot;/&gt;&lt;wsp:rsid wsp:val=&quot;00CF26A4&quot;/&gt;&lt;wsp:rsid wsp:val=&quot;00CF27DA&quot;/&gt;&lt;wsp:rsid wsp:val=&quot;00CF3872&quot;/&gt;&lt;wsp:rsid wsp:val=&quot;00CF3924&quot;/&gt;&lt;wsp:rsid wsp:val=&quot;00CF3A0F&quot;/&gt;&lt;wsp:rsid wsp:val=&quot;00CF3A21&quot;/&gt;&lt;wsp:rsid wsp:val=&quot;00CF3B70&quot;/&gt;&lt;wsp:rsid wsp:val=&quot;00CF3E6D&quot;/&gt;&lt;wsp:rsid wsp:val=&quot;00CF42E7&quot;/&gt;&lt;wsp:rsid wsp:val=&quot;00CF4459&quot;/&gt;&lt;wsp:rsid wsp:val=&quot;00CF4689&quot;/&gt;&lt;wsp:rsid wsp:val=&quot;00CF4A56&quot;/&gt;&lt;wsp:rsid wsp:val=&quot;00CF4F93&quot;/&gt;&lt;wsp:rsid wsp:val=&quot;00CF50A0&quot;/&gt;&lt;wsp:rsid wsp:val=&quot;00CF56E8&quot;/&gt;&lt;wsp:rsid wsp:val=&quot;00CF58E7&quot;/&gt;&lt;wsp:rsid wsp:val=&quot;00CF592B&quot;/&gt;&lt;wsp:rsid wsp:val=&quot;00CF59F3&quot;/&gt;&lt;wsp:rsid wsp:val=&quot;00CF5C7A&quot;/&gt;&lt;wsp:rsid wsp:val=&quot;00CF5E35&quot;/&gt;&lt;wsp:rsid wsp:val=&quot;00CF5E51&quot;/&gt;&lt;wsp:rsid wsp:val=&quot;00CF623C&quot;/&gt;&lt;wsp:rsid wsp:val=&quot;00CF6AFF&quot;/&gt;&lt;wsp:rsid wsp:val=&quot;00CF7168&quot;/&gt;&lt;wsp:rsid wsp:val=&quot;00CF73B8&quot;/&gt;&lt;wsp:rsid wsp:val=&quot;00CF7415&quot;/&gt;&lt;wsp:rsid wsp:val=&quot;00CF77B3&quot;/&gt;&lt;wsp:rsid wsp:val=&quot;00CF78B2&quot;/&gt;&lt;wsp:rsid wsp:val=&quot;00D00593&quot;/&gt;&lt;wsp:rsid wsp:val=&quot;00D005B9&quot;/&gt;&lt;wsp:rsid wsp:val=&quot;00D0077A&quot;/&gt;&lt;wsp:rsid wsp:val=&quot;00D00D9A&quot;/&gt;&lt;wsp:rsid wsp:val=&quot;00D0113B&quot;/&gt;&lt;wsp:rsid wsp:val=&quot;00D017A9&quot;/&gt;&lt;wsp:rsid wsp:val=&quot;00D01994&quot;/&gt;&lt;wsp:rsid wsp:val=&quot;00D019B9&quot;/&gt;&lt;wsp:rsid wsp:val=&quot;00D01F4F&quot;/&gt;&lt;wsp:rsid wsp:val=&quot;00D01FA5&quot;/&gt;&lt;wsp:rsid wsp:val=&quot;00D02279&quot;/&gt;&lt;wsp:rsid wsp:val=&quot;00D022B8&quot;/&gt;&lt;wsp:rsid wsp:val=&quot;00D0261F&quot;/&gt;&lt;wsp:rsid wsp:val=&quot;00D02F13&quot;/&gt;&lt;wsp:rsid wsp:val=&quot;00D02FE2&quot;/&gt;&lt;wsp:rsid wsp:val=&quot;00D03302&quot;/&gt;&lt;wsp:rsid wsp:val=&quot;00D03309&quot;/&gt;&lt;wsp:rsid wsp:val=&quot;00D03652&quot;/&gt;&lt;wsp:rsid wsp:val=&quot;00D03900&quot;/&gt;&lt;wsp:rsid wsp:val=&quot;00D03D46&quot;/&gt;&lt;wsp:rsid wsp:val=&quot;00D03E43&quot;/&gt;&lt;wsp:rsid wsp:val=&quot;00D04430&quot;/&gt;&lt;wsp:rsid wsp:val=&quot;00D05571&quot;/&gt;&lt;wsp:rsid wsp:val=&quot;00D0571D&quot;/&gt;&lt;wsp:rsid wsp:val=&quot;00D059EF&quot;/&gt;&lt;wsp:rsid wsp:val=&quot;00D05B66&quot;/&gt;&lt;wsp:rsid wsp:val=&quot;00D05D06&quot;/&gt;&lt;wsp:rsid wsp:val=&quot;00D06000&quot;/&gt;&lt;wsp:rsid wsp:val=&quot;00D0649B&quot;/&gt;&lt;wsp:rsid wsp:val=&quot;00D067F3&quot;/&gt;&lt;wsp:rsid wsp:val=&quot;00D07D78&quot;/&gt;&lt;wsp:rsid wsp:val=&quot;00D07E5C&quot;/&gt;&lt;wsp:rsid wsp:val=&quot;00D07F5A&quot;/&gt;&lt;wsp:rsid wsp:val=&quot;00D07FEA&quot;/&gt;&lt;wsp:rsid wsp:val=&quot;00D10C47&quot;/&gt;&lt;wsp:rsid wsp:val=&quot;00D10F61&quot;/&gt;&lt;wsp:rsid wsp:val=&quot;00D11A47&quot;/&gt;&lt;wsp:rsid wsp:val=&quot;00D11BBE&quot;/&gt;&lt;wsp:rsid wsp:val=&quot;00D11BC5&quot;/&gt;&lt;wsp:rsid wsp:val=&quot;00D120A3&quot;/&gt;&lt;wsp:rsid wsp:val=&quot;00D12124&quot;/&gt;&lt;wsp:rsid wsp:val=&quot;00D1215C&quot;/&gt;&lt;wsp:rsid wsp:val=&quot;00D128A4&quot;/&gt;&lt;wsp:rsid wsp:val=&quot;00D12983&quot;/&gt;&lt;wsp:rsid wsp:val=&quot;00D12D49&quot;/&gt;&lt;wsp:rsid wsp:val=&quot;00D12E4E&quot;/&gt;&lt;wsp:rsid wsp:val=&quot;00D12FE3&quot;/&gt;&lt;wsp:rsid wsp:val=&quot;00D130F2&quot;/&gt;&lt;wsp:rsid wsp:val=&quot;00D13DC3&quot;/&gt;&lt;wsp:rsid wsp:val=&quot;00D143DF&quot;/&gt;&lt;wsp:rsid wsp:val=&quot;00D14B32&quot;/&gt;&lt;wsp:rsid wsp:val=&quot;00D14DFF&quot;/&gt;&lt;wsp:rsid wsp:val=&quot;00D14E96&quot;/&gt;&lt;wsp:rsid wsp:val=&quot;00D1567E&quot;/&gt;&lt;wsp:rsid wsp:val=&quot;00D15732&quot;/&gt;&lt;wsp:rsid wsp:val=&quot;00D164B9&quot;/&gt;&lt;wsp:rsid wsp:val=&quot;00D16750&quot;/&gt;&lt;wsp:rsid wsp:val=&quot;00D16BCA&quot;/&gt;&lt;wsp:rsid wsp:val=&quot;00D16DBD&quot;/&gt;&lt;wsp:rsid wsp:val=&quot;00D16F4D&quot;/&gt;&lt;wsp:rsid wsp:val=&quot;00D17157&quot;/&gt;&lt;wsp:rsid wsp:val=&quot;00D173FA&quot;/&gt;&lt;wsp:rsid wsp:val=&quot;00D17940&quot;/&gt;&lt;wsp:rsid wsp:val=&quot;00D17E8C&quot;/&gt;&lt;wsp:rsid wsp:val=&quot;00D200AD&quot;/&gt;&lt;wsp:rsid wsp:val=&quot;00D209D7&quot;/&gt;&lt;wsp:rsid wsp:val=&quot;00D20C20&quot;/&gt;&lt;wsp:rsid wsp:val=&quot;00D217CF&quot;/&gt;&lt;wsp:rsid wsp:val=&quot;00D21CD2&quot;/&gt;&lt;wsp:rsid wsp:val=&quot;00D21CFA&quot;/&gt;&lt;wsp:rsid wsp:val=&quot;00D22113&quot;/&gt;&lt;wsp:rsid wsp:val=&quot;00D221B7&quot;/&gt;&lt;wsp:rsid wsp:val=&quot;00D222C6&quot;/&gt;&lt;wsp:rsid wsp:val=&quot;00D2283C&quot;/&gt;&lt;wsp:rsid wsp:val=&quot;00D22A80&quot;/&gt;&lt;wsp:rsid wsp:val=&quot;00D22C0A&quot;/&gt;&lt;wsp:rsid wsp:val=&quot;00D22C30&quot;/&gt;&lt;wsp:rsid wsp:val=&quot;00D22D4A&quot;/&gt;&lt;wsp:rsid wsp:val=&quot;00D22F3C&quot;/&gt;&lt;wsp:rsid wsp:val=&quot;00D230A4&quot;/&gt;&lt;wsp:rsid wsp:val=&quot;00D230F3&quot;/&gt;&lt;wsp:rsid wsp:val=&quot;00D23122&quot;/&gt;&lt;wsp:rsid wsp:val=&quot;00D232BF&quot;/&gt;&lt;wsp:rsid wsp:val=&quot;00D235CC&quot;/&gt;&lt;wsp:rsid wsp:val=&quot;00D2386E&quot;/&gt;&lt;wsp:rsid wsp:val=&quot;00D23D5B&quot;/&gt;&lt;wsp:rsid wsp:val=&quot;00D241B0&quot;/&gt;&lt;wsp:rsid wsp:val=&quot;00D2453C&quot;/&gt;&lt;wsp:rsid wsp:val=&quot;00D2459F&quot;/&gt;&lt;wsp:rsid wsp:val=&quot;00D24907&quot;/&gt;&lt;wsp:rsid wsp:val=&quot;00D249D2&quot;/&gt;&lt;wsp:rsid wsp:val=&quot;00D24DE7&quot;/&gt;&lt;wsp:rsid wsp:val=&quot;00D2516D&quot;/&gt;&lt;wsp:rsid wsp:val=&quot;00D25873&quot;/&gt;&lt;wsp:rsid wsp:val=&quot;00D25DAF&quot;/&gt;&lt;wsp:rsid wsp:val=&quot;00D26301&quot;/&gt;&lt;wsp:rsid wsp:val=&quot;00D26D39&quot;/&gt;&lt;wsp:rsid wsp:val=&quot;00D27409&quot;/&gt;&lt;wsp:rsid wsp:val=&quot;00D27540&quot;/&gt;&lt;wsp:rsid wsp:val=&quot;00D27769&quot;/&gt;&lt;wsp:rsid wsp:val=&quot;00D279B8&quot;/&gt;&lt;wsp:rsid wsp:val=&quot;00D27F7C&quot;/&gt;&lt;wsp:rsid wsp:val=&quot;00D30128&quot;/&gt;&lt;wsp:rsid wsp:val=&quot;00D30372&quot;/&gt;&lt;wsp:rsid wsp:val=&quot;00D307D2&quot;/&gt;&lt;wsp:rsid wsp:val=&quot;00D30BD5&quot;/&gt;&lt;wsp:rsid wsp:val=&quot;00D30C40&quot;/&gt;&lt;wsp:rsid wsp:val=&quot;00D310FA&quot;/&gt;&lt;wsp:rsid wsp:val=&quot;00D315BB&quot;/&gt;&lt;wsp:rsid wsp:val=&quot;00D31981&quot;/&gt;&lt;wsp:rsid wsp:val=&quot;00D31BA6&quot;/&gt;&lt;wsp:rsid wsp:val=&quot;00D31CFC&quot;/&gt;&lt;wsp:rsid wsp:val=&quot;00D322C2&quot;/&gt;&lt;wsp:rsid wsp:val=&quot;00D32411&quot;/&gt;&lt;wsp:rsid wsp:val=&quot;00D324ED&quot;/&gt;&lt;wsp:rsid wsp:val=&quot;00D33035&quot;/&gt;&lt;wsp:rsid wsp:val=&quot;00D33038&quot;/&gt;&lt;wsp:rsid wsp:val=&quot;00D33275&quot;/&gt;&lt;wsp:rsid wsp:val=&quot;00D33278&quot;/&gt;&lt;wsp:rsid wsp:val=&quot;00D335C3&quot;/&gt;&lt;wsp:rsid wsp:val=&quot;00D3375E&quot;/&gt;&lt;wsp:rsid wsp:val=&quot;00D33852&quot;/&gt;&lt;wsp:rsid wsp:val=&quot;00D33D31&quot;/&gt;&lt;wsp:rsid wsp:val=&quot;00D344A7&quot;/&gt;&lt;wsp:rsid wsp:val=&quot;00D34757&quot;/&gt;&lt;wsp:rsid wsp:val=&quot;00D34B46&quot;/&gt;&lt;wsp:rsid wsp:val=&quot;00D350C4&quot;/&gt;&lt;wsp:rsid wsp:val=&quot;00D3559B&quot;/&gt;&lt;wsp:rsid wsp:val=&quot;00D35E85&quot;/&gt;&lt;wsp:rsid wsp:val=&quot;00D360F1&quot;/&gt;&lt;wsp:rsid wsp:val=&quot;00D36322&quot;/&gt;&lt;wsp:rsid wsp:val=&quot;00D366D9&quot;/&gt;&lt;wsp:rsid wsp:val=&quot;00D36DF2&quot;/&gt;&lt;wsp:rsid wsp:val=&quot;00D37431&quot;/&gt;&lt;wsp:rsid wsp:val=&quot;00D37733&quot;/&gt;&lt;wsp:rsid wsp:val=&quot;00D37A21&quot;/&gt;&lt;wsp:rsid wsp:val=&quot;00D37AAF&quot;/&gt;&lt;wsp:rsid wsp:val=&quot;00D37B37&quot;/&gt;&lt;wsp:rsid wsp:val=&quot;00D37BFA&quot;/&gt;&lt;wsp:rsid wsp:val=&quot;00D37EA6&quot;/&gt;&lt;wsp:rsid wsp:val=&quot;00D40872&quot;/&gt;&lt;wsp:rsid wsp:val=&quot;00D40E7C&quot;/&gt;&lt;wsp:rsid wsp:val=&quot;00D40F27&quot;/&gt;&lt;wsp:rsid wsp:val=&quot;00D41179&quot;/&gt;&lt;wsp:rsid wsp:val=&quot;00D41803&quot;/&gt;&lt;wsp:rsid wsp:val=&quot;00D41A05&quot;/&gt;&lt;wsp:rsid wsp:val=&quot;00D41A3B&quot;/&gt;&lt;wsp:rsid wsp:val=&quot;00D41A7D&quot;/&gt;&lt;wsp:rsid wsp:val=&quot;00D41C03&quot;/&gt;&lt;wsp:rsid wsp:val=&quot;00D42B7C&quot;/&gt;&lt;wsp:rsid wsp:val=&quot;00D43133&quot;/&gt;&lt;wsp:rsid wsp:val=&quot;00D4322E&quot;/&gt;&lt;wsp:rsid wsp:val=&quot;00D43AFC&quot;/&gt;&lt;wsp:rsid wsp:val=&quot;00D43C8E&quot;/&gt;&lt;wsp:rsid wsp:val=&quot;00D43DA5&quot;/&gt;&lt;wsp:rsid wsp:val=&quot;00D44404&quot;/&gt;&lt;wsp:rsid wsp:val=&quot;00D44638&quot;/&gt;&lt;wsp:rsid wsp:val=&quot;00D4497C&quot;/&gt;&lt;wsp:rsid wsp:val=&quot;00D449A0&quot;/&gt;&lt;wsp:rsid wsp:val=&quot;00D44E88&quot;/&gt;&lt;wsp:rsid wsp:val=&quot;00D450A2&quot;/&gt;&lt;wsp:rsid wsp:val=&quot;00D45419&quot;/&gt;&lt;wsp:rsid wsp:val=&quot;00D457BD&quot;/&gt;&lt;wsp:rsid wsp:val=&quot;00D46514&quot;/&gt;&lt;wsp:rsid wsp:val=&quot;00D46798&quot;/&gt;&lt;wsp:rsid wsp:val=&quot;00D46ADF&quot;/&gt;&lt;wsp:rsid wsp:val=&quot;00D46C81&quot;/&gt;&lt;wsp:rsid wsp:val=&quot;00D47673&quot;/&gt;&lt;wsp:rsid wsp:val=&quot;00D47B77&quot;/&gt;&lt;wsp:rsid wsp:val=&quot;00D50034&quot;/&gt;&lt;wsp:rsid wsp:val=&quot;00D503EC&quot;/&gt;&lt;wsp:rsid wsp:val=&quot;00D50F65&quot;/&gt;&lt;wsp:rsid wsp:val=&quot;00D50F81&quot;/&gt;&lt;wsp:rsid wsp:val=&quot;00D51720&quot;/&gt;&lt;wsp:rsid wsp:val=&quot;00D51B2A&quot;/&gt;&lt;wsp:rsid wsp:val=&quot;00D51D4A&quot;/&gt;&lt;wsp:rsid wsp:val=&quot;00D52209&quot;/&gt;&lt;wsp:rsid wsp:val=&quot;00D5234B&quot;/&gt;&lt;wsp:rsid wsp:val=&quot;00D52395&quot;/&gt;&lt;wsp:rsid wsp:val=&quot;00D52581&quot;/&gt;&lt;wsp:rsid wsp:val=&quot;00D52759&quot;/&gt;&lt;wsp:rsid wsp:val=&quot;00D52769&quot;/&gt;&lt;wsp:rsid wsp:val=&quot;00D52807&quot;/&gt;&lt;wsp:rsid wsp:val=&quot;00D52BB3&quot;/&gt;&lt;wsp:rsid wsp:val=&quot;00D52C1D&quot;/&gt;&lt;wsp:rsid wsp:val=&quot;00D53964&quot;/&gt;&lt;wsp:rsid wsp:val=&quot;00D53984&quot;/&gt;&lt;wsp:rsid wsp:val=&quot;00D53BAC&quot;/&gt;&lt;wsp:rsid wsp:val=&quot;00D53BE1&quot;/&gt;&lt;wsp:rsid wsp:val=&quot;00D53C87&quot;/&gt;&lt;wsp:rsid wsp:val=&quot;00D54868&quot;/&gt;&lt;wsp:rsid wsp:val=&quot;00D54C61&quot;/&gt;&lt;wsp:rsid wsp:val=&quot;00D54D1E&quot;/&gt;&lt;wsp:rsid wsp:val=&quot;00D55266&quot;/&gt;&lt;wsp:rsid wsp:val=&quot;00D55283&quot;/&gt;&lt;wsp:rsid wsp:val=&quot;00D5595E&quot;/&gt;&lt;wsp:rsid wsp:val=&quot;00D55BCE&quot;/&gt;&lt;wsp:rsid wsp:val=&quot;00D5613C&quot;/&gt;&lt;wsp:rsid wsp:val=&quot;00D56253&quot;/&gt;&lt;wsp:rsid wsp:val=&quot;00D56498&quot;/&gt;&lt;wsp:rsid wsp:val=&quot;00D567FE&quot;/&gt;&lt;wsp:rsid wsp:val=&quot;00D56CE8&quot;/&gt;&lt;wsp:rsid wsp:val=&quot;00D5731E&quot;/&gt;&lt;wsp:rsid wsp:val=&quot;00D579C3&quot;/&gt;&lt;wsp:rsid wsp:val=&quot;00D57E09&quot;/&gt;&lt;wsp:rsid wsp:val=&quot;00D6016A&quot;/&gt;&lt;wsp:rsid wsp:val=&quot;00D60191&quot;/&gt;&lt;wsp:rsid wsp:val=&quot;00D61005&quot;/&gt;&lt;wsp:rsid wsp:val=&quot;00D61015&quot;/&gt;&lt;wsp:rsid wsp:val=&quot;00D61131&quot;/&gt;&lt;wsp:rsid wsp:val=&quot;00D611BB&quot;/&gt;&lt;wsp:rsid wsp:val=&quot;00D61829&quot;/&gt;&lt;wsp:rsid wsp:val=&quot;00D61A11&quot;/&gt;&lt;wsp:rsid wsp:val=&quot;00D61ADA&quot;/&gt;&lt;wsp:rsid wsp:val=&quot;00D61BEC&quot;/&gt;&lt;wsp:rsid wsp:val=&quot;00D61EBC&quot;/&gt;&lt;wsp:rsid wsp:val=&quot;00D61F64&quot;/&gt;&lt;wsp:rsid wsp:val=&quot;00D620A2&quot;/&gt;&lt;wsp:rsid wsp:val=&quot;00D622CE&quot;/&gt;&lt;wsp:rsid wsp:val=&quot;00D625F9&quot;/&gt;&lt;wsp:rsid wsp:val=&quot;00D626BE&quot;/&gt;&lt;wsp:rsid wsp:val=&quot;00D627CF&quot;/&gt;&lt;wsp:rsid wsp:val=&quot;00D62824&quot;/&gt;&lt;wsp:rsid wsp:val=&quot;00D6298A&quot;/&gt;&lt;wsp:rsid wsp:val=&quot;00D62A18&quot;/&gt;&lt;wsp:rsid wsp:val=&quot;00D62B58&quot;/&gt;&lt;wsp:rsid wsp:val=&quot;00D630C5&quot;/&gt;&lt;wsp:rsid wsp:val=&quot;00D636AD&quot;/&gt;&lt;wsp:rsid wsp:val=&quot;00D63D63&quot;/&gt;&lt;wsp:rsid wsp:val=&quot;00D64252&quot;/&gt;&lt;wsp:rsid wsp:val=&quot;00D64417&quot;/&gt;&lt;wsp:rsid wsp:val=&quot;00D6444A&quot;/&gt;&lt;wsp:rsid wsp:val=&quot;00D644E7&quot;/&gt;&lt;wsp:rsid wsp:val=&quot;00D646C6&quot;/&gt;&lt;wsp:rsid wsp:val=&quot;00D64822&quot;/&gt;&lt;wsp:rsid wsp:val=&quot;00D652FF&quot;/&gt;&lt;wsp:rsid wsp:val=&quot;00D653DB&quot;/&gt;&lt;wsp:rsid wsp:val=&quot;00D654C8&quot;/&gt;&lt;wsp:rsid wsp:val=&quot;00D6567B&quot;/&gt;&lt;wsp:rsid wsp:val=&quot;00D65AA1&quot;/&gt;&lt;wsp:rsid wsp:val=&quot;00D6638B&quot;/&gt;&lt;wsp:rsid wsp:val=&quot;00D66DD9&quot;/&gt;&lt;wsp:rsid wsp:val=&quot;00D66FA6&quot;/&gt;&lt;wsp:rsid wsp:val=&quot;00D671DD&quot;/&gt;&lt;wsp:rsid wsp:val=&quot;00D67240&quot;/&gt;&lt;wsp:rsid wsp:val=&quot;00D678AC&quot;/&gt;&lt;wsp:rsid wsp:val=&quot;00D67A44&quot;/&gt;&lt;wsp:rsid wsp:val=&quot;00D67C73&quot;/&gt;&lt;wsp:rsid wsp:val=&quot;00D7030E&quot;/&gt;&lt;wsp:rsid wsp:val=&quot;00D703A3&quot;/&gt;&lt;wsp:rsid wsp:val=&quot;00D7040C&quot;/&gt;&lt;wsp:rsid wsp:val=&quot;00D705E7&quot;/&gt;&lt;wsp:rsid wsp:val=&quot;00D7074F&quot;/&gt;&lt;wsp:rsid wsp:val=&quot;00D70CD1&quot;/&gt;&lt;wsp:rsid wsp:val=&quot;00D70E7A&quot;/&gt;&lt;wsp:rsid wsp:val=&quot;00D70F4A&quot;/&gt;&lt;wsp:rsid wsp:val=&quot;00D71546&quot;/&gt;&lt;wsp:rsid wsp:val=&quot;00D716E8&quot;/&gt;&lt;wsp:rsid wsp:val=&quot;00D71916&quot;/&gt;&lt;wsp:rsid wsp:val=&quot;00D719E6&quot;/&gt;&lt;wsp:rsid wsp:val=&quot;00D71CEF&quot;/&gt;&lt;wsp:rsid wsp:val=&quot;00D7218F&quot;/&gt;&lt;wsp:rsid wsp:val=&quot;00D72199&quot;/&gt;&lt;wsp:rsid wsp:val=&quot;00D72232&quot;/&gt;&lt;wsp:rsid wsp:val=&quot;00D722CF&quot;/&gt;&lt;wsp:rsid wsp:val=&quot;00D725DB&quot;/&gt;&lt;wsp:rsid wsp:val=&quot;00D72C5F&quot;/&gt;&lt;wsp:rsid wsp:val=&quot;00D72DA4&quot;/&gt;&lt;wsp:rsid wsp:val=&quot;00D732EE&quot;/&gt;&lt;wsp:rsid wsp:val=&quot;00D73338&quot;/&gt;&lt;wsp:rsid wsp:val=&quot;00D73348&quot;/&gt;&lt;wsp:rsid wsp:val=&quot;00D73FD6&quot;/&gt;&lt;wsp:rsid wsp:val=&quot;00D74262&quot;/&gt;&lt;wsp:rsid wsp:val=&quot;00D7433C&quot;/&gt;&lt;wsp:rsid wsp:val=&quot;00D74575&quot;/&gt;&lt;wsp:rsid wsp:val=&quot;00D7465E&quot;/&gt;&lt;wsp:rsid wsp:val=&quot;00D74A56&quot;/&gt;&lt;wsp:rsid wsp:val=&quot;00D74D31&quot;/&gt;&lt;wsp:rsid wsp:val=&quot;00D74D6F&quot;/&gt;&lt;wsp:rsid wsp:val=&quot;00D74EF6&quot;/&gt;&lt;wsp:rsid wsp:val=&quot;00D74F07&quot;/&gt;&lt;wsp:rsid wsp:val=&quot;00D74F9C&quot;/&gt;&lt;wsp:rsid wsp:val=&quot;00D75012&quot;/&gt;&lt;wsp:rsid wsp:val=&quot;00D75773&quot;/&gt;&lt;wsp:rsid wsp:val=&quot;00D760A9&quot;/&gt;&lt;wsp:rsid wsp:val=&quot;00D760CF&quot;/&gt;&lt;wsp:rsid wsp:val=&quot;00D763C6&quot;/&gt;&lt;wsp:rsid wsp:val=&quot;00D76440&quot;/&gt;&lt;wsp:rsid wsp:val=&quot;00D76731&quot;/&gt;&lt;wsp:rsid wsp:val=&quot;00D7695D&quot;/&gt;&lt;wsp:rsid wsp:val=&quot;00D77746&quot;/&gt;&lt;wsp:rsid wsp:val=&quot;00D778C2&quot;/&gt;&lt;wsp:rsid wsp:val=&quot;00D77CA3&quot;/&gt;&lt;wsp:rsid wsp:val=&quot;00D8038B&quot;/&gt;&lt;wsp:rsid wsp:val=&quot;00D803E5&quot;/&gt;&lt;wsp:rsid wsp:val=&quot;00D80BA3&quot;/&gt;&lt;wsp:rsid wsp:val=&quot;00D80E47&quot;/&gt;&lt;wsp:rsid wsp:val=&quot;00D813D1&quot;/&gt;&lt;wsp:rsid wsp:val=&quot;00D81428&quot;/&gt;&lt;wsp:rsid wsp:val=&quot;00D818D9&quot;/&gt;&lt;wsp:rsid wsp:val=&quot;00D81B53&quot;/&gt;&lt;wsp:rsid wsp:val=&quot;00D81D91&quot;/&gt;&lt;wsp:rsid wsp:val=&quot;00D81E8A&quot;/&gt;&lt;wsp:rsid wsp:val=&quot;00D82675&quot;/&gt;&lt;wsp:rsid wsp:val=&quot;00D8270A&quot;/&gt;&lt;wsp:rsid wsp:val=&quot;00D82A8E&quot;/&gt;&lt;wsp:rsid wsp:val=&quot;00D82DF1&quot;/&gt;&lt;wsp:rsid wsp:val=&quot;00D82EF5&quot;/&gt;&lt;wsp:rsid wsp:val=&quot;00D831D9&quot;/&gt;&lt;wsp:rsid wsp:val=&quot;00D83235&quot;/&gt;&lt;wsp:rsid wsp:val=&quot;00D8393F&quot;/&gt;&lt;wsp:rsid wsp:val=&quot;00D840E6&quot;/&gt;&lt;wsp:rsid wsp:val=&quot;00D8429C&quot;/&gt;&lt;wsp:rsid wsp:val=&quot;00D842D4&quot;/&gt;&lt;wsp:rsid wsp:val=&quot;00D84621&quot;/&gt;&lt;wsp:rsid wsp:val=&quot;00D8462B&quot;/&gt;&lt;wsp:rsid wsp:val=&quot;00D84941&quot;/&gt;&lt;wsp:rsid wsp:val=&quot;00D8521F&quot;/&gt;&lt;wsp:rsid wsp:val=&quot;00D85335&quot;/&gt;&lt;wsp:rsid wsp:val=&quot;00D856EC&quot;/&gt;&lt;wsp:rsid wsp:val=&quot;00D8570C&quot;/&gt;&lt;wsp:rsid wsp:val=&quot;00D85824&quot;/&gt;&lt;wsp:rsid wsp:val=&quot;00D85C69&quot;/&gt;&lt;wsp:rsid wsp:val=&quot;00D85C72&quot;/&gt;&lt;wsp:rsid wsp:val=&quot;00D85DEB&quot;/&gt;&lt;wsp:rsid wsp:val=&quot;00D861F0&quot;/&gt;&lt;wsp:rsid wsp:val=&quot;00D86504&quot;/&gt;&lt;wsp:rsid wsp:val=&quot;00D86DFF&quot;/&gt;&lt;wsp:rsid wsp:val=&quot;00D87212&quot;/&gt;&lt;wsp:rsid wsp:val=&quot;00D87551&quot;/&gt;&lt;wsp:rsid wsp:val=&quot;00D87C1E&quot;/&gt;&lt;wsp:rsid wsp:val=&quot;00D90067&quot;/&gt;&lt;wsp:rsid wsp:val=&quot;00D903FC&quot;/&gt;&lt;wsp:rsid wsp:val=&quot;00D903FF&quot;/&gt;&lt;wsp:rsid wsp:val=&quot;00D9066D&quot;/&gt;&lt;wsp:rsid wsp:val=&quot;00D90844&quot;/&gt;&lt;wsp:rsid wsp:val=&quot;00D90C47&quot;/&gt;&lt;wsp:rsid wsp:val=&quot;00D90CDB&quot;/&gt;&lt;wsp:rsid wsp:val=&quot;00D9124E&quot;/&gt;&lt;wsp:rsid wsp:val=&quot;00D917CA&quot;/&gt;&lt;wsp:rsid wsp:val=&quot;00D918CD&quot;/&gt;&lt;wsp:rsid wsp:val=&quot;00D9196C&quot;/&gt;&lt;wsp:rsid wsp:val=&quot;00D91C21&quot;/&gt;&lt;wsp:rsid wsp:val=&quot;00D91EC6&quot;/&gt;&lt;wsp:rsid wsp:val=&quot;00D91F11&quot;/&gt;&lt;wsp:rsid wsp:val=&quot;00D91FF6&quot;/&gt;&lt;wsp:rsid wsp:val=&quot;00D922E8&quot;/&gt;&lt;wsp:rsid wsp:val=&quot;00D92491&quot;/&gt;&lt;wsp:rsid wsp:val=&quot;00D92AE3&quot;/&gt;&lt;wsp:rsid wsp:val=&quot;00D92CE4&quot;/&gt;&lt;wsp:rsid wsp:val=&quot;00D934D4&quot;/&gt;&lt;wsp:rsid wsp:val=&quot;00D935B0&quot;/&gt;&lt;wsp:rsid wsp:val=&quot;00D93895&quot;/&gt;&lt;wsp:rsid wsp:val=&quot;00D93B30&quot;/&gt;&lt;wsp:rsid wsp:val=&quot;00D93EE5&quot;/&gt;&lt;wsp:rsid wsp:val=&quot;00D9400B&quot;/&gt;&lt;wsp:rsid wsp:val=&quot;00D94351&quot;/&gt;&lt;wsp:rsid wsp:val=&quot;00D9436E&quot;/&gt;&lt;wsp:rsid wsp:val=&quot;00D9442C&quot;/&gt;&lt;wsp:rsid wsp:val=&quot;00D94635&quot;/&gt;&lt;wsp:rsid wsp:val=&quot;00D95228&quot;/&gt;&lt;wsp:rsid wsp:val=&quot;00D957C3&quot;/&gt;&lt;wsp:rsid wsp:val=&quot;00D95AF4&quot;/&gt;&lt;wsp:rsid wsp:val=&quot;00D95CB7&quot;/&gt;&lt;wsp:rsid wsp:val=&quot;00D96247&quot;/&gt;&lt;wsp:rsid wsp:val=&quot;00D9632F&quot;/&gt;&lt;wsp:rsid wsp:val=&quot;00D9690E&quot;/&gt;&lt;wsp:rsid wsp:val=&quot;00D97DC7&quot;/&gt;&lt;wsp:rsid wsp:val=&quot;00D97EE3&quot;/&gt;&lt;wsp:rsid wsp:val=&quot;00DA00AE&quot;/&gt;&lt;wsp:rsid wsp:val=&quot;00DA0108&quot;/&gt;&lt;wsp:rsid wsp:val=&quot;00DA01C4&quot;/&gt;&lt;wsp:rsid wsp:val=&quot;00DA0DD0&quot;/&gt;&lt;wsp:rsid wsp:val=&quot;00DA1876&quot;/&gt;&lt;wsp:rsid wsp:val=&quot;00DA1992&quot;/&gt;&lt;wsp:rsid wsp:val=&quot;00DA1A61&quot;/&gt;&lt;wsp:rsid wsp:val=&quot;00DA1BBD&quot;/&gt;&lt;wsp:rsid wsp:val=&quot;00DA27FD&quot;/&gt;&lt;wsp:rsid wsp:val=&quot;00DA281D&quot;/&gt;&lt;wsp:rsid wsp:val=&quot;00DA2B3F&quot;/&gt;&lt;wsp:rsid wsp:val=&quot;00DA2D48&quot;/&gt;&lt;wsp:rsid wsp:val=&quot;00DA31D6&quot;/&gt;&lt;wsp:rsid wsp:val=&quot;00DA32ED&quot;/&gt;&lt;wsp:rsid wsp:val=&quot;00DA355F&quot;/&gt;&lt;wsp:rsid wsp:val=&quot;00DA3637&quot;/&gt;&lt;wsp:rsid wsp:val=&quot;00DA3DE0&quot;/&gt;&lt;wsp:rsid wsp:val=&quot;00DA452D&quot;/&gt;&lt;wsp:rsid wsp:val=&quot;00DA4785&quot;/&gt;&lt;wsp:rsid wsp:val=&quot;00DA47F3&quot;/&gt;&lt;wsp:rsid wsp:val=&quot;00DA48A9&quot;/&gt;&lt;wsp:rsid wsp:val=&quot;00DA4AAB&quot;/&gt;&lt;wsp:rsid wsp:val=&quot;00DA4BE1&quot;/&gt;&lt;wsp:rsid wsp:val=&quot;00DA4C15&quot;/&gt;&lt;wsp:rsid wsp:val=&quot;00DA4CE7&quot;/&gt;&lt;wsp:rsid wsp:val=&quot;00DA4E26&quot;/&gt;&lt;wsp:rsid wsp:val=&quot;00DA4EDE&quot;/&gt;&lt;wsp:rsid wsp:val=&quot;00DA549C&quot;/&gt;&lt;wsp:rsid wsp:val=&quot;00DA54CD&quot;/&gt;&lt;wsp:rsid wsp:val=&quot;00DA571E&quot;/&gt;&lt;wsp:rsid wsp:val=&quot;00DA5943&quot;/&gt;&lt;wsp:rsid wsp:val=&quot;00DA5F1F&quot;/&gt;&lt;wsp:rsid wsp:val=&quot;00DA61F5&quot;/&gt;&lt;wsp:rsid wsp:val=&quot;00DA6232&quot;/&gt;&lt;wsp:rsid wsp:val=&quot;00DA65B2&quot;/&gt;&lt;wsp:rsid wsp:val=&quot;00DA662D&quot;/&gt;&lt;wsp:rsid wsp:val=&quot;00DA6ABD&quot;/&gt;&lt;wsp:rsid wsp:val=&quot;00DA6E57&quot;/&gt;&lt;wsp:rsid wsp:val=&quot;00DA7056&quot;/&gt;&lt;wsp:rsid wsp:val=&quot;00DA7340&quot;/&gt;&lt;wsp:rsid wsp:val=&quot;00DA7BA4&quot;/&gt;&lt;wsp:rsid wsp:val=&quot;00DA7E61&quot;/&gt;&lt;wsp:rsid wsp:val=&quot;00DA7FCB&quot;/&gt;&lt;wsp:rsid wsp:val=&quot;00DB01DB&quot;/&gt;&lt;wsp:rsid wsp:val=&quot;00DB09AB&quot;/&gt;&lt;wsp:rsid wsp:val=&quot;00DB0A6B&quot;/&gt;&lt;wsp:rsid wsp:val=&quot;00DB0C61&quot;/&gt;&lt;wsp:rsid wsp:val=&quot;00DB0FD0&quot;/&gt;&lt;wsp:rsid wsp:val=&quot;00DB111F&quot;/&gt;&lt;wsp:rsid wsp:val=&quot;00DB1156&quot;/&gt;&lt;wsp:rsid wsp:val=&quot;00DB1ADE&quot;/&gt;&lt;wsp:rsid wsp:val=&quot;00DB21F9&quot;/&gt;&lt;wsp:rsid wsp:val=&quot;00DB23E1&quot;/&gt;&lt;wsp:rsid wsp:val=&quot;00DB242E&quot;/&gt;&lt;wsp:rsid wsp:val=&quot;00DB247B&quot;/&gt;&lt;wsp:rsid wsp:val=&quot;00DB2500&quot;/&gt;&lt;wsp:rsid wsp:val=&quot;00DB25F7&quot;/&gt;&lt;wsp:rsid wsp:val=&quot;00DB2745&quot;/&gt;&lt;wsp:rsid wsp:val=&quot;00DB2810&quot;/&gt;&lt;wsp:rsid wsp:val=&quot;00DB296C&quot;/&gt;&lt;wsp:rsid wsp:val=&quot;00DB2979&quot;/&gt;&lt;wsp:rsid wsp:val=&quot;00DB29FA&quot;/&gt;&lt;wsp:rsid wsp:val=&quot;00DB2B88&quot;/&gt;&lt;wsp:rsid wsp:val=&quot;00DB2C50&quot;/&gt;&lt;wsp:rsid wsp:val=&quot;00DB32C4&quot;/&gt;&lt;wsp:rsid wsp:val=&quot;00DB3873&quot;/&gt;&lt;wsp:rsid wsp:val=&quot;00DB38FF&quot;/&gt;&lt;wsp:rsid wsp:val=&quot;00DB3F39&quot;/&gt;&lt;wsp:rsid wsp:val=&quot;00DB3FF4&quot;/&gt;&lt;wsp:rsid wsp:val=&quot;00DB4EA6&quot;/&gt;&lt;wsp:rsid wsp:val=&quot;00DB51A7&quot;/&gt;&lt;wsp:rsid wsp:val=&quot;00DB5222&quot;/&gt;&lt;wsp:rsid wsp:val=&quot;00DB5A41&quot;/&gt;&lt;wsp:rsid wsp:val=&quot;00DB5DD7&quot;/&gt;&lt;wsp:rsid wsp:val=&quot;00DB64EB&quot;/&gt;&lt;wsp:rsid wsp:val=&quot;00DB6A15&quot;/&gt;&lt;wsp:rsid wsp:val=&quot;00DB6C7B&quot;/&gt;&lt;wsp:rsid wsp:val=&quot;00DB71FD&quot;/&gt;&lt;wsp:rsid wsp:val=&quot;00DB756B&quot;/&gt;&lt;wsp:rsid wsp:val=&quot;00DB7684&quot;/&gt;&lt;wsp:rsid wsp:val=&quot;00DB7D5B&quot;/&gt;&lt;wsp:rsid wsp:val=&quot;00DB7F4C&quot;/&gt;&lt;wsp:rsid wsp:val=&quot;00DC037E&quot;/&gt;&lt;wsp:rsid wsp:val=&quot;00DC0828&quot;/&gt;&lt;wsp:rsid wsp:val=&quot;00DC085B&quot;/&gt;&lt;wsp:rsid wsp:val=&quot;00DC08CF&quot;/&gt;&lt;wsp:rsid wsp:val=&quot;00DC0984&quot;/&gt;&lt;wsp:rsid wsp:val=&quot;00DC0EC9&quot;/&gt;&lt;wsp:rsid wsp:val=&quot;00DC0ECC&quot;/&gt;&lt;wsp:rsid wsp:val=&quot;00DC141E&quot;/&gt;&lt;wsp:rsid wsp:val=&quot;00DC15EC&quot;/&gt;&lt;wsp:rsid wsp:val=&quot;00DC1957&quot;/&gt;&lt;wsp:rsid wsp:val=&quot;00DC1CFE&quot;/&gt;&lt;wsp:rsid wsp:val=&quot;00DC21D5&quot;/&gt;&lt;wsp:rsid wsp:val=&quot;00DC27DA&quot;/&gt;&lt;wsp:rsid wsp:val=&quot;00DC2C4C&quot;/&gt;&lt;wsp:rsid wsp:val=&quot;00DC2EE7&quot;/&gt;&lt;wsp:rsid wsp:val=&quot;00DC3280&quot;/&gt;&lt;wsp:rsid wsp:val=&quot;00DC3341&quot;/&gt;&lt;wsp:rsid wsp:val=&quot;00DC339F&quot;/&gt;&lt;wsp:rsid wsp:val=&quot;00DC33AB&quot;/&gt;&lt;wsp:rsid wsp:val=&quot;00DC3481&quot;/&gt;&lt;wsp:rsid wsp:val=&quot;00DC38A8&quot;/&gt;&lt;wsp:rsid wsp:val=&quot;00DC38BC&quot;/&gt;&lt;wsp:rsid wsp:val=&quot;00DC3992&quot;/&gt;&lt;wsp:rsid wsp:val=&quot;00DC3E04&quot;/&gt;&lt;wsp:rsid wsp:val=&quot;00DC402E&quot;/&gt;&lt;wsp:rsid wsp:val=&quot;00DC4284&quot;/&gt;&lt;wsp:rsid wsp:val=&quot;00DC4376&quot;/&gt;&lt;wsp:rsid wsp:val=&quot;00DC50F1&quot;/&gt;&lt;wsp:rsid wsp:val=&quot;00DC520C&quot;/&gt;&lt;wsp:rsid wsp:val=&quot;00DC535D&quot;/&gt;&lt;wsp:rsid wsp:val=&quot;00DC5445&quot;/&gt;&lt;wsp:rsid wsp:val=&quot;00DC562B&quot;/&gt;&lt;wsp:rsid wsp:val=&quot;00DC5FEC&quot;/&gt;&lt;wsp:rsid wsp:val=&quot;00DC6606&quot;/&gt;&lt;wsp:rsid wsp:val=&quot;00DC673D&quot;/&gt;&lt;wsp:rsid wsp:val=&quot;00DC67C7&quot;/&gt;&lt;wsp:rsid wsp:val=&quot;00DC69E6&quot;/&gt;&lt;wsp:rsid wsp:val=&quot;00DC6EDE&quot;/&gt;&lt;wsp:rsid wsp:val=&quot;00DC6F21&quot;/&gt;&lt;wsp:rsid wsp:val=&quot;00DC741A&quot;/&gt;&lt;wsp:rsid wsp:val=&quot;00DC751E&quot;/&gt;&lt;wsp:rsid wsp:val=&quot;00DC7B73&quot;/&gt;&lt;wsp:rsid wsp:val=&quot;00DC7C4E&quot;/&gt;&lt;wsp:rsid wsp:val=&quot;00DC7E15&quot;/&gt;&lt;wsp:rsid wsp:val=&quot;00DC7E27&quot;/&gt;&lt;wsp:rsid wsp:val=&quot;00DD01DC&quot;/&gt;&lt;wsp:rsid wsp:val=&quot;00DD042E&quot;/&gt;&lt;wsp:rsid wsp:val=&quot;00DD0A18&quot;/&gt;&lt;wsp:rsid wsp:val=&quot;00DD0A2F&quot;/&gt;&lt;wsp:rsid wsp:val=&quot;00DD0B4F&quot;/&gt;&lt;wsp:rsid wsp:val=&quot;00DD0C8C&quot;/&gt;&lt;wsp:rsid wsp:val=&quot;00DD109B&quot;/&gt;&lt;wsp:rsid wsp:val=&quot;00DD16ED&quot;/&gt;&lt;wsp:rsid wsp:val=&quot;00DD17BD&quot;/&gt;&lt;wsp:rsid wsp:val=&quot;00DD1B72&quot;/&gt;&lt;wsp:rsid wsp:val=&quot;00DD1D1C&quot;/&gt;&lt;wsp:rsid wsp:val=&quot;00DD237A&quot;/&gt;&lt;wsp:rsid wsp:val=&quot;00DD397C&quot;/&gt;&lt;wsp:rsid wsp:val=&quot;00DD3CEA&quot;/&gt;&lt;wsp:rsid wsp:val=&quot;00DD4838&quot;/&gt;&lt;wsp:rsid wsp:val=&quot;00DD4C81&quot;/&gt;&lt;wsp:rsid wsp:val=&quot;00DD54F2&quot;/&gt;&lt;wsp:rsid wsp:val=&quot;00DD55B0&quot;/&gt;&lt;wsp:rsid wsp:val=&quot;00DD68AB&quot;/&gt;&lt;wsp:rsid wsp:val=&quot;00DD69F4&quot;/&gt;&lt;wsp:rsid wsp:val=&quot;00DD7431&quot;/&gt;&lt;wsp:rsid wsp:val=&quot;00DD760A&quot;/&gt;&lt;wsp:rsid wsp:val=&quot;00DD7A76&quot;/&gt;&lt;wsp:rsid wsp:val=&quot;00DD7BC2&quot;/&gt;&lt;wsp:rsid wsp:val=&quot;00DD7E50&quot;/&gt;&lt;wsp:rsid wsp:val=&quot;00DE032C&quot;/&gt;&lt;wsp:rsid wsp:val=&quot;00DE0474&quot;/&gt;&lt;wsp:rsid wsp:val=&quot;00DE0727&quot;/&gt;&lt;wsp:rsid wsp:val=&quot;00DE0A01&quot;/&gt;&lt;wsp:rsid wsp:val=&quot;00DE0F9E&quot;/&gt;&lt;wsp:rsid wsp:val=&quot;00DE0FA7&quot;/&gt;&lt;wsp:rsid wsp:val=&quot;00DE1511&quot;/&gt;&lt;wsp:rsid wsp:val=&quot;00DE1522&quot;/&gt;&lt;wsp:rsid wsp:val=&quot;00DE1AC8&quot;/&gt;&lt;wsp:rsid wsp:val=&quot;00DE1F3F&quot;/&gt;&lt;wsp:rsid wsp:val=&quot;00DE2077&quot;/&gt;&lt;wsp:rsid wsp:val=&quot;00DE257A&quot;/&gt;&lt;wsp:rsid wsp:val=&quot;00DE287C&quot;/&gt;&lt;wsp:rsid wsp:val=&quot;00DE31E6&quot;/&gt;&lt;wsp:rsid wsp:val=&quot;00DE3718&quot;/&gt;&lt;wsp:rsid wsp:val=&quot;00DE38C1&quot;/&gt;&lt;wsp:rsid wsp:val=&quot;00DE3990&quot;/&gt;&lt;wsp:rsid wsp:val=&quot;00DE3D4C&quot;/&gt;&lt;wsp:rsid wsp:val=&quot;00DE3F61&quot;/&gt;&lt;wsp:rsid wsp:val=&quot;00DE4264&quot;/&gt;&lt;wsp:rsid wsp:val=&quot;00DE473A&quot;/&gt;&lt;wsp:rsid wsp:val=&quot;00DE47DB&quot;/&gt;&lt;wsp:rsid wsp:val=&quot;00DE4B48&quot;/&gt;&lt;wsp:rsid wsp:val=&quot;00DE4BD2&quot;/&gt;&lt;wsp:rsid wsp:val=&quot;00DE4C60&quot;/&gt;&lt;wsp:rsid wsp:val=&quot;00DE4E7A&quot;/&gt;&lt;wsp:rsid wsp:val=&quot;00DE585A&quot;/&gt;&lt;wsp:rsid wsp:val=&quot;00DE6784&quot;/&gt;&lt;wsp:rsid wsp:val=&quot;00DE6861&quot;/&gt;&lt;wsp:rsid wsp:val=&quot;00DE6C98&quot;/&gt;&lt;wsp:rsid wsp:val=&quot;00DE6F68&quot;/&gt;&lt;wsp:rsid wsp:val=&quot;00DE7C17&quot;/&gt;&lt;wsp:rsid wsp:val=&quot;00DE7CE1&quot;/&gt;&lt;wsp:rsid wsp:val=&quot;00DF02B9&quot;/&gt;&lt;wsp:rsid wsp:val=&quot;00DF043D&quot;/&gt;&lt;wsp:rsid wsp:val=&quot;00DF04F9&quot;/&gt;&lt;wsp:rsid wsp:val=&quot;00DF05F2&quot;/&gt;&lt;wsp:rsid wsp:val=&quot;00DF0C83&quot;/&gt;&lt;wsp:rsid wsp:val=&quot;00DF122E&quot;/&gt;&lt;wsp:rsid wsp:val=&quot;00DF1835&quot;/&gt;&lt;wsp:rsid wsp:val=&quot;00DF1838&quot;/&gt;&lt;wsp:rsid wsp:val=&quot;00DF1BB2&quot;/&gt;&lt;wsp:rsid wsp:val=&quot;00DF1CC0&quot;/&gt;&lt;wsp:rsid wsp:val=&quot;00DF2033&quot;/&gt;&lt;wsp:rsid wsp:val=&quot;00DF22C7&quot;/&gt;&lt;wsp:rsid wsp:val=&quot;00DF2408&quot;/&gt;&lt;wsp:rsid wsp:val=&quot;00DF281A&quot;/&gt;&lt;wsp:rsid wsp:val=&quot;00DF2B2A&quot;/&gt;&lt;wsp:rsid wsp:val=&quot;00DF2B65&quot;/&gt;&lt;wsp:rsid wsp:val=&quot;00DF324D&quot;/&gt;&lt;wsp:rsid wsp:val=&quot;00DF34E6&quot;/&gt;&lt;wsp:rsid wsp:val=&quot;00DF3C68&quot;/&gt;&lt;wsp:rsid wsp:val=&quot;00DF4AAE&quot;/&gt;&lt;wsp:rsid wsp:val=&quot;00DF4BE1&quot;/&gt;&lt;wsp:rsid wsp:val=&quot;00DF4DC9&quot;/&gt;&lt;wsp:rsid wsp:val=&quot;00DF4E74&quot;/&gt;&lt;wsp:rsid wsp:val=&quot;00DF54DF&quot;/&gt;&lt;wsp:rsid wsp:val=&quot;00DF55D6&quot;/&gt;&lt;wsp:rsid wsp:val=&quot;00DF5623&quot;/&gt;&lt;wsp:rsid wsp:val=&quot;00DF5F78&quot;/&gt;&lt;wsp:rsid wsp:val=&quot;00DF5FC0&quot;/&gt;&lt;wsp:rsid wsp:val=&quot;00DF6021&quot;/&gt;&lt;wsp:rsid wsp:val=&quot;00DF6457&quot;/&gt;&lt;wsp:rsid wsp:val=&quot;00DF64F5&quot;/&gt;&lt;wsp:rsid wsp:val=&quot;00DF6B13&quot;/&gt;&lt;wsp:rsid wsp:val=&quot;00DF737B&quot;/&gt;&lt;wsp:rsid wsp:val=&quot;00DF7C16&quot;/&gt;&lt;wsp:rsid wsp:val=&quot;00E00185&quot;/&gt;&lt;wsp:rsid wsp:val=&quot;00E0093C&quot;/&gt;&lt;wsp:rsid wsp:val=&quot;00E01018&quot;/&gt;&lt;wsp:rsid wsp:val=&quot;00E01634&quot;/&gt;&lt;wsp:rsid wsp:val=&quot;00E01C55&quot;/&gt;&lt;wsp:rsid wsp:val=&quot;00E01D5B&quot;/&gt;&lt;wsp:rsid wsp:val=&quot;00E01DC2&quot;/&gt;&lt;wsp:rsid wsp:val=&quot;00E021CD&quot;/&gt;&lt;wsp:rsid wsp:val=&quot;00E02227&quot;/&gt;&lt;wsp:rsid wsp:val=&quot;00E027BD&quot;/&gt;&lt;wsp:rsid wsp:val=&quot;00E02C60&quot;/&gt;&lt;wsp:rsid wsp:val=&quot;00E02EF2&quot;/&gt;&lt;wsp:rsid wsp:val=&quot;00E02FCD&quot;/&gt;&lt;wsp:rsid wsp:val=&quot;00E03172&quot;/&gt;&lt;wsp:rsid wsp:val=&quot;00E0321A&quot;/&gt;&lt;wsp:rsid wsp:val=&quot;00E03563&quot;/&gt;&lt;wsp:rsid wsp:val=&quot;00E037E5&quot;/&gt;&lt;wsp:rsid wsp:val=&quot;00E0384A&quot;/&gt;&lt;wsp:rsid wsp:val=&quot;00E0397E&quot;/&gt;&lt;wsp:rsid wsp:val=&quot;00E03CB0&quot;/&gt;&lt;wsp:rsid wsp:val=&quot;00E043AD&quot;/&gt;&lt;wsp:rsid wsp:val=&quot;00E0468B&quot;/&gt;&lt;wsp:rsid wsp:val=&quot;00E04764&quot;/&gt;&lt;wsp:rsid wsp:val=&quot;00E04C8A&quot;/&gt;&lt;wsp:rsid wsp:val=&quot;00E0514D&quot;/&gt;&lt;wsp:rsid wsp:val=&quot;00E0525B&quot;/&gt;&lt;wsp:rsid wsp:val=&quot;00E0547E&quot;/&gt;&lt;wsp:rsid wsp:val=&quot;00E0548D&quot;/&gt;&lt;wsp:rsid wsp:val=&quot;00E0589C&quot;/&gt;&lt;wsp:rsid wsp:val=&quot;00E05B76&quot;/&gt;&lt;wsp:rsid wsp:val=&quot;00E05E36&quot;/&gt;&lt;wsp:rsid wsp:val=&quot;00E06078&quot;/&gt;&lt;wsp:rsid wsp:val=&quot;00E06183&quot;/&gt;&lt;wsp:rsid wsp:val=&quot;00E06199&quot;/&gt;&lt;wsp:rsid wsp:val=&quot;00E064A1&quot;/&gt;&lt;wsp:rsid wsp:val=&quot;00E064D5&quot;/&gt;&lt;wsp:rsid wsp:val=&quot;00E068E7&quot;/&gt;&lt;wsp:rsid wsp:val=&quot;00E06D23&quot;/&gt;&lt;wsp:rsid wsp:val=&quot;00E07323&quot;/&gt;&lt;wsp:rsid wsp:val=&quot;00E07CED&quot;/&gt;&lt;wsp:rsid wsp:val=&quot;00E10057&quot;/&gt;&lt;wsp:rsid wsp:val=&quot;00E1009B&quot;/&gt;&lt;wsp:rsid wsp:val=&quot;00E10270&quot;/&gt;&lt;wsp:rsid wsp:val=&quot;00E10421&quot;/&gt;&lt;wsp:rsid wsp:val=&quot;00E104FF&quot;/&gt;&lt;wsp:rsid wsp:val=&quot;00E10748&quot;/&gt;&lt;wsp:rsid wsp:val=&quot;00E10E90&quot;/&gt;&lt;wsp:rsid wsp:val=&quot;00E10F69&quot;/&gt;&lt;wsp:rsid wsp:val=&quot;00E1107E&quot;/&gt;&lt;wsp:rsid wsp:val=&quot;00E111E0&quot;/&gt;&lt;wsp:rsid wsp:val=&quot;00E11503&quot;/&gt;&lt;wsp:rsid wsp:val=&quot;00E1151C&quot;/&gt;&lt;wsp:rsid wsp:val=&quot;00E11848&quot;/&gt;&lt;wsp:rsid wsp:val=&quot;00E11B3A&quot;/&gt;&lt;wsp:rsid wsp:val=&quot;00E11E52&quot;/&gt;&lt;wsp:rsid wsp:val=&quot;00E11F1C&quot;/&gt;&lt;wsp:rsid wsp:val=&quot;00E123DD&quot;/&gt;&lt;wsp:rsid wsp:val=&quot;00E126D5&quot;/&gt;&lt;wsp:rsid wsp:val=&quot;00E12E70&quot;/&gt;&lt;wsp:rsid wsp:val=&quot;00E1397B&quot;/&gt;&lt;wsp:rsid wsp:val=&quot;00E13F67&quot;/&gt;&lt;wsp:rsid wsp:val=&quot;00E14087&quot;/&gt;&lt;wsp:rsid wsp:val=&quot;00E140B5&quot;/&gt;&lt;wsp:rsid wsp:val=&quot;00E1418D&quot;/&gt;&lt;wsp:rsid wsp:val=&quot;00E1423A&quot;/&gt;&lt;wsp:rsid wsp:val=&quot;00E1461B&quot;/&gt;&lt;wsp:rsid wsp:val=&quot;00E14BC2&quot;/&gt;&lt;wsp:rsid wsp:val=&quot;00E14C96&quot;/&gt;&lt;wsp:rsid wsp:val=&quot;00E1560A&quot;/&gt;&lt;wsp:rsid wsp:val=&quot;00E1567C&quot;/&gt;&lt;wsp:rsid wsp:val=&quot;00E15869&quot;/&gt;&lt;wsp:rsid wsp:val=&quot;00E1609B&quot;/&gt;&lt;wsp:rsid wsp:val=&quot;00E166C2&quot;/&gt;&lt;wsp:rsid wsp:val=&quot;00E1675A&quot;/&gt;&lt;wsp:rsid wsp:val=&quot;00E167F9&quot;/&gt;&lt;wsp:rsid wsp:val=&quot;00E168A2&quot;/&gt;&lt;wsp:rsid wsp:val=&quot;00E16ADA&quot;/&gt;&lt;wsp:rsid wsp:val=&quot;00E16E47&quot;/&gt;&lt;wsp:rsid wsp:val=&quot;00E2023E&quot;/&gt;&lt;wsp:rsid wsp:val=&quot;00E20289&quot;/&gt;&lt;wsp:rsid wsp:val=&quot;00E20441&quot;/&gt;&lt;wsp:rsid wsp:val=&quot;00E204BF&quot;/&gt;&lt;wsp:rsid wsp:val=&quot;00E20548&quot;/&gt;&lt;wsp:rsid wsp:val=&quot;00E20830&quot;/&gt;&lt;wsp:rsid wsp:val=&quot;00E20A15&quot;/&gt;&lt;wsp:rsid wsp:val=&quot;00E20A70&quot;/&gt;&lt;wsp:rsid wsp:val=&quot;00E20B01&quot;/&gt;&lt;wsp:rsid wsp:val=&quot;00E20E29&quot;/&gt;&lt;wsp:rsid wsp:val=&quot;00E212C2&quot;/&gt;&lt;wsp:rsid wsp:val=&quot;00E21687&quot;/&gt;&lt;wsp:rsid wsp:val=&quot;00E21A4E&quot;/&gt;&lt;wsp:rsid wsp:val=&quot;00E21CCC&quot;/&gt;&lt;wsp:rsid wsp:val=&quot;00E21F08&quot;/&gt;&lt;wsp:rsid wsp:val=&quot;00E22182&quot;/&gt;&lt;wsp:rsid wsp:val=&quot;00E221B8&quot;/&gt;&lt;wsp:rsid wsp:val=&quot;00E227E9&quot;/&gt;&lt;wsp:rsid wsp:val=&quot;00E2290E&quot;/&gt;&lt;wsp:rsid wsp:val=&quot;00E22C48&quot;/&gt;&lt;wsp:rsid wsp:val=&quot;00E22F19&quot;/&gt;&lt;wsp:rsid wsp:val=&quot;00E23299&quot;/&gt;&lt;wsp:rsid wsp:val=&quot;00E237B6&quot;/&gt;&lt;wsp:rsid wsp:val=&quot;00E238DE&quot;/&gt;&lt;wsp:rsid wsp:val=&quot;00E23CC0&quot;/&gt;&lt;wsp:rsid wsp:val=&quot;00E24A62&quot;/&gt;&lt;wsp:rsid wsp:val=&quot;00E24B9B&quot;/&gt;&lt;wsp:rsid wsp:val=&quot;00E24BEA&quot;/&gt;&lt;wsp:rsid wsp:val=&quot;00E24E54&quot;/&gt;&lt;wsp:rsid wsp:val=&quot;00E24EDA&quot;/&gt;&lt;wsp:rsid wsp:val=&quot;00E25072&quot;/&gt;&lt;wsp:rsid wsp:val=&quot;00E25593&quot;/&gt;&lt;wsp:rsid wsp:val=&quot;00E25888&quot;/&gt;&lt;wsp:rsid wsp:val=&quot;00E25E6C&quot;/&gt;&lt;wsp:rsid wsp:val=&quot;00E25E82&quot;/&gt;&lt;wsp:rsid wsp:val=&quot;00E25EB6&quot;/&gt;&lt;wsp:rsid wsp:val=&quot;00E25FFA&quot;/&gt;&lt;wsp:rsid wsp:val=&quot;00E26226&quot;/&gt;&lt;wsp:rsid wsp:val=&quot;00E264E6&quot;/&gt;&lt;wsp:rsid wsp:val=&quot;00E26C3F&quot;/&gt;&lt;wsp:rsid wsp:val=&quot;00E2702B&quot;/&gt;&lt;wsp:rsid wsp:val=&quot;00E271D3&quot;/&gt;&lt;wsp:rsid wsp:val=&quot;00E27479&quot;/&gt;&lt;wsp:rsid wsp:val=&quot;00E30596&quot;/&gt;&lt;wsp:rsid wsp:val=&quot;00E306C3&quot;/&gt;&lt;wsp:rsid wsp:val=&quot;00E307C6&quot;/&gt;&lt;wsp:rsid wsp:val=&quot;00E30AFB&quot;/&gt;&lt;wsp:rsid wsp:val=&quot;00E30BAF&quot;/&gt;&lt;wsp:rsid wsp:val=&quot;00E31856&quot;/&gt;&lt;wsp:rsid wsp:val=&quot;00E31C9C&quot;/&gt;&lt;wsp:rsid wsp:val=&quot;00E31F8E&quot;/&gt;&lt;wsp:rsid wsp:val=&quot;00E3221D&quot;/&gt;&lt;wsp:rsid wsp:val=&quot;00E326FD&quot;/&gt;&lt;wsp:rsid wsp:val=&quot;00E32CF9&quot;/&gt;&lt;wsp:rsid wsp:val=&quot;00E32FF4&quot;/&gt;&lt;wsp:rsid wsp:val=&quot;00E33143&quot;/&gt;&lt;wsp:rsid wsp:val=&quot;00E33356&quot;/&gt;&lt;wsp:rsid wsp:val=&quot;00E3397C&quot;/&gt;&lt;wsp:rsid wsp:val=&quot;00E33D42&quot;/&gt;&lt;wsp:rsid wsp:val=&quot;00E343CE&quot;/&gt;&lt;wsp:rsid wsp:val=&quot;00E344DA&quot;/&gt;&lt;wsp:rsid wsp:val=&quot;00E3491A&quot;/&gt;&lt;wsp:rsid wsp:val=&quot;00E349B8&quot;/&gt;&lt;wsp:rsid wsp:val=&quot;00E34CA7&quot;/&gt;&lt;wsp:rsid wsp:val=&quot;00E352F7&quot;/&gt;&lt;wsp:rsid wsp:val=&quot;00E353D9&quot;/&gt;&lt;wsp:rsid wsp:val=&quot;00E35D66&quot;/&gt;&lt;wsp:rsid wsp:val=&quot;00E35E4B&quot;/&gt;&lt;wsp:rsid wsp:val=&quot;00E360FF&quot;/&gt;&lt;wsp:rsid wsp:val=&quot;00E3611C&quot;/&gt;&lt;wsp:rsid wsp:val=&quot;00E36230&quot;/&gt;&lt;wsp:rsid wsp:val=&quot;00E3631E&quot;/&gt;&lt;wsp:rsid wsp:val=&quot;00E368E4&quot;/&gt;&lt;wsp:rsid wsp:val=&quot;00E36976&quot;/&gt;&lt;wsp:rsid wsp:val=&quot;00E36BAA&quot;/&gt;&lt;wsp:rsid wsp:val=&quot;00E36CFB&quot;/&gt;&lt;wsp:rsid wsp:val=&quot;00E36D5C&quot;/&gt;&lt;wsp:rsid wsp:val=&quot;00E3715C&quot;/&gt;&lt;wsp:rsid wsp:val=&quot;00E37189&quot;/&gt;&lt;wsp:rsid wsp:val=&quot;00E371DE&quot;/&gt;&lt;wsp:rsid wsp:val=&quot;00E375F3&quot;/&gt;&lt;wsp:rsid wsp:val=&quot;00E376AB&quot;/&gt;&lt;wsp:rsid wsp:val=&quot;00E379D1&quot;/&gt;&lt;wsp:rsid wsp:val=&quot;00E37EC0&quot;/&gt;&lt;wsp:rsid wsp:val=&quot;00E408A8&quot;/&gt;&lt;wsp:rsid wsp:val=&quot;00E40E8C&quot;/&gt;&lt;wsp:rsid wsp:val=&quot;00E41B1C&quot;/&gt;&lt;wsp:rsid wsp:val=&quot;00E41C61&quot;/&gt;&lt;wsp:rsid wsp:val=&quot;00E41C86&quot;/&gt;&lt;wsp:rsid wsp:val=&quot;00E42244&quot;/&gt;&lt;wsp:rsid wsp:val=&quot;00E4230D&quot;/&gt;&lt;wsp:rsid wsp:val=&quot;00E42425&quot;/&gt;&lt;wsp:rsid wsp:val=&quot;00E4251A&quot;/&gt;&lt;wsp:rsid wsp:val=&quot;00E42B3F&quot;/&gt;&lt;wsp:rsid wsp:val=&quot;00E42F92&quot;/&gt;&lt;wsp:rsid wsp:val=&quot;00E4306E&quot;/&gt;&lt;wsp:rsid wsp:val=&quot;00E43143&quot;/&gt;&lt;wsp:rsid wsp:val=&quot;00E4319B&quot;/&gt;&lt;wsp:rsid wsp:val=&quot;00E431C0&quot;/&gt;&lt;wsp:rsid wsp:val=&quot;00E435DB&quot;/&gt;&lt;wsp:rsid wsp:val=&quot;00E438F3&quot;/&gt;&lt;wsp:rsid wsp:val=&quot;00E43E10&quot;/&gt;&lt;wsp:rsid wsp:val=&quot;00E44403&quot;/&gt;&lt;wsp:rsid wsp:val=&quot;00E4459E&quot;/&gt;&lt;wsp:rsid wsp:val=&quot;00E44B2F&quot;/&gt;&lt;wsp:rsid wsp:val=&quot;00E44BB0&quot;/&gt;&lt;wsp:rsid wsp:val=&quot;00E44BD4&quot;/&gt;&lt;wsp:rsid wsp:val=&quot;00E44E92&quot;/&gt;&lt;wsp:rsid wsp:val=&quot;00E44F03&quot;/&gt;&lt;wsp:rsid wsp:val=&quot;00E4550C&quot;/&gt;&lt;wsp:rsid wsp:val=&quot;00E455FF&quot;/&gt;&lt;wsp:rsid wsp:val=&quot;00E45677&quot;/&gt;&lt;wsp:rsid wsp:val=&quot;00E4598D&quot;/&gt;&lt;wsp:rsid wsp:val=&quot;00E45A35&quot;/&gt;&lt;wsp:rsid wsp:val=&quot;00E45E51&quot;/&gt;&lt;wsp:rsid wsp:val=&quot;00E46055&quot;/&gt;&lt;wsp:rsid wsp:val=&quot;00E46079&quot;/&gt;&lt;wsp:rsid wsp:val=&quot;00E46636&quot;/&gt;&lt;wsp:rsid wsp:val=&quot;00E467B0&quot;/&gt;&lt;wsp:rsid wsp:val=&quot;00E46983&quot;/&gt;&lt;wsp:rsid wsp:val=&quot;00E47160&quot;/&gt;&lt;wsp:rsid wsp:val=&quot;00E47596&quot;/&gt;&lt;wsp:rsid wsp:val=&quot;00E4778B&quot;/&gt;&lt;wsp:rsid wsp:val=&quot;00E47A0A&quot;/&gt;&lt;wsp:rsid wsp:val=&quot;00E5045D&quot;/&gt;&lt;wsp:rsid wsp:val=&quot;00E5056B&quot;/&gt;&lt;wsp:rsid wsp:val=&quot;00E50844&quot;/&gt;&lt;wsp:rsid wsp:val=&quot;00E50CB4&quot;/&gt;&lt;wsp:rsid wsp:val=&quot;00E50F14&quot;/&gt;&lt;wsp:rsid wsp:val=&quot;00E5122B&quot;/&gt;&lt;wsp:rsid wsp:val=&quot;00E5129B&quot;/&gt;&lt;wsp:rsid wsp:val=&quot;00E513EC&quot;/&gt;&lt;wsp:rsid wsp:val=&quot;00E51579&quot;/&gt;&lt;wsp:rsid wsp:val=&quot;00E51952&quot;/&gt;&lt;wsp:rsid wsp:val=&quot;00E51B97&quot;/&gt;&lt;wsp:rsid wsp:val=&quot;00E51E7C&quot;/&gt;&lt;wsp:rsid wsp:val=&quot;00E51FD7&quot;/&gt;&lt;wsp:rsid wsp:val=&quot;00E5213D&quot;/&gt;&lt;wsp:rsid wsp:val=&quot;00E5219B&quot;/&gt;&lt;wsp:rsid wsp:val=&quot;00E521BE&quot;/&gt;&lt;wsp:rsid wsp:val=&quot;00E52552&quot;/&gt;&lt;wsp:rsid wsp:val=&quot;00E52B77&quot;/&gt;&lt;wsp:rsid wsp:val=&quot;00E52F14&quot;/&gt;&lt;wsp:rsid wsp:val=&quot;00E5310C&quot;/&gt;&lt;wsp:rsid wsp:val=&quot;00E53438&quot;/&gt;&lt;wsp:rsid wsp:val=&quot;00E54149&quot;/&gt;&lt;wsp:rsid wsp:val=&quot;00E546C4&quot;/&gt;&lt;wsp:rsid wsp:val=&quot;00E548E2&quot;/&gt;&lt;wsp:rsid wsp:val=&quot;00E54DE3&quot;/&gt;&lt;wsp:rsid wsp:val=&quot;00E54F4D&quot;/&gt;&lt;wsp:rsid wsp:val=&quot;00E55287&quot;/&gt;&lt;wsp:rsid wsp:val=&quot;00E55299&quot;/&gt;&lt;wsp:rsid wsp:val=&quot;00E55714&quot;/&gt;&lt;wsp:rsid wsp:val=&quot;00E55985&quot;/&gt;&lt;wsp:rsid wsp:val=&quot;00E55B0C&quot;/&gt;&lt;wsp:rsid wsp:val=&quot;00E55F2F&quot;/&gt;&lt;wsp:rsid wsp:val=&quot;00E560A8&quot;/&gt;&lt;wsp:rsid wsp:val=&quot;00E56390&quot;/&gt;&lt;wsp:rsid wsp:val=&quot;00E56D0D&quot;/&gt;&lt;wsp:rsid wsp:val=&quot;00E572E9&quot;/&gt;&lt;wsp:rsid wsp:val=&quot;00E574AC&quot;/&gt;&lt;wsp:rsid wsp:val=&quot;00E57956&quot;/&gt;&lt;wsp:rsid wsp:val=&quot;00E57C5D&quot;/&gt;&lt;wsp:rsid wsp:val=&quot;00E6016A&quot;/&gt;&lt;wsp:rsid wsp:val=&quot;00E605E6&quot;/&gt;&lt;wsp:rsid wsp:val=&quot;00E60873&quot;/&gt;&lt;wsp:rsid wsp:val=&quot;00E6090C&quot;/&gt;&lt;wsp:rsid wsp:val=&quot;00E609AB&quot;/&gt;&lt;wsp:rsid wsp:val=&quot;00E60BB3&quot;/&gt;&lt;wsp:rsid wsp:val=&quot;00E6105C&quot;/&gt;&lt;wsp:rsid wsp:val=&quot;00E61077&quot;/&gt;&lt;wsp:rsid wsp:val=&quot;00E6123A&quot;/&gt;&lt;wsp:rsid wsp:val=&quot;00E6126C&quot;/&gt;&lt;wsp:rsid wsp:val=&quot;00E614BD&quot;/&gt;&lt;wsp:rsid wsp:val=&quot;00E61CE1&quot;/&gt;&lt;wsp:rsid wsp:val=&quot;00E61EF0&quot;/&gt;&lt;wsp:rsid wsp:val=&quot;00E61F27&quot;/&gt;&lt;wsp:rsid wsp:val=&quot;00E624E9&quot;/&gt;&lt;wsp:rsid wsp:val=&quot;00E6252C&quot;/&gt;&lt;wsp:rsid wsp:val=&quot;00E62570&quot;/&gt;&lt;wsp:rsid wsp:val=&quot;00E629E2&quot;/&gt;&lt;wsp:rsid wsp:val=&quot;00E63481&quot;/&gt;&lt;wsp:rsid wsp:val=&quot;00E63590&quot;/&gt;&lt;wsp:rsid wsp:val=&quot;00E63907&quot;/&gt;&lt;wsp:rsid wsp:val=&quot;00E63A14&quot;/&gt;&lt;wsp:rsid wsp:val=&quot;00E63A34&quot;/&gt;&lt;wsp:rsid wsp:val=&quot;00E63B2E&quot;/&gt;&lt;wsp:rsid wsp:val=&quot;00E646AD&quot;/&gt;&lt;wsp:rsid wsp:val=&quot;00E6471A&quot;/&gt;&lt;wsp:rsid wsp:val=&quot;00E64A13&quot;/&gt;&lt;wsp:rsid wsp:val=&quot;00E64A84&quot;/&gt;&lt;wsp:rsid wsp:val=&quot;00E64B4F&quot;/&gt;&lt;wsp:rsid wsp:val=&quot;00E64D9B&quot;/&gt;&lt;wsp:rsid wsp:val=&quot;00E64F93&quot;/&gt;&lt;wsp:rsid wsp:val=&quot;00E651D6&quot;/&gt;&lt;wsp:rsid wsp:val=&quot;00E654FC&quot;/&gt;&lt;wsp:rsid wsp:val=&quot;00E65612&quot;/&gt;&lt;wsp:rsid wsp:val=&quot;00E65743&quot;/&gt;&lt;wsp:rsid wsp:val=&quot;00E6581C&quot;/&gt;&lt;wsp:rsid wsp:val=&quot;00E65BBB&quot;/&gt;&lt;wsp:rsid wsp:val=&quot;00E65C3D&quot;/&gt;&lt;wsp:rsid wsp:val=&quot;00E6616C&quot;/&gt;&lt;wsp:rsid wsp:val=&quot;00E6643A&quot;/&gt;&lt;wsp:rsid wsp:val=&quot;00E66695&quot;/&gt;&lt;wsp:rsid wsp:val=&quot;00E66A8E&quot;/&gt;&lt;wsp:rsid wsp:val=&quot;00E66B7D&quot;/&gt;&lt;wsp:rsid wsp:val=&quot;00E66D4C&quot;/&gt;&lt;wsp:rsid wsp:val=&quot;00E66D4D&quot;/&gt;&lt;wsp:rsid wsp:val=&quot;00E66E8A&quot;/&gt;&lt;wsp:rsid wsp:val=&quot;00E6750E&quot;/&gt;&lt;wsp:rsid wsp:val=&quot;00E6759D&quot;/&gt;&lt;wsp:rsid wsp:val=&quot;00E6772B&quot;/&gt;&lt;wsp:rsid wsp:val=&quot;00E678F9&quot;/&gt;&lt;wsp:rsid wsp:val=&quot;00E67B4B&quot;/&gt;&lt;wsp:rsid wsp:val=&quot;00E7000C&quot;/&gt;&lt;wsp:rsid wsp:val=&quot;00E706FA&quot;/&gt;&lt;wsp:rsid wsp:val=&quot;00E707F8&quot;/&gt;&lt;wsp:rsid wsp:val=&quot;00E713E0&quot;/&gt;&lt;wsp:rsid wsp:val=&quot;00E7152F&quot;/&gt;&lt;wsp:rsid wsp:val=&quot;00E71D13&quot;/&gt;&lt;wsp:rsid wsp:val=&quot;00E71EA7&quot;/&gt;&lt;wsp:rsid wsp:val=&quot;00E7208C&quot;/&gt;&lt;wsp:rsid wsp:val=&quot;00E721CE&quot;/&gt;&lt;wsp:rsid wsp:val=&quot;00E7293A&quot;/&gt;&lt;wsp:rsid wsp:val=&quot;00E72DDA&quot;/&gt;&lt;wsp:rsid wsp:val=&quot;00E72F61&quot;/&gt;&lt;wsp:rsid wsp:val=&quot;00E73885&quot;/&gt;&lt;wsp:rsid wsp:val=&quot;00E73CA7&quot;/&gt;&lt;wsp:rsid wsp:val=&quot;00E742D9&quot;/&gt;&lt;wsp:rsid wsp:val=&quot;00E74854&quot;/&gt;&lt;wsp:rsid wsp:val=&quot;00E748FD&quot;/&gt;&lt;wsp:rsid wsp:val=&quot;00E74DF5&quot;/&gt;&lt;wsp:rsid wsp:val=&quot;00E74ECB&quot;/&gt;&lt;wsp:rsid wsp:val=&quot;00E75347&quot;/&gt;&lt;wsp:rsid wsp:val=&quot;00E75766&quot;/&gt;&lt;wsp:rsid wsp:val=&quot;00E75AF9&quot;/&gt;&lt;wsp:rsid wsp:val=&quot;00E75B4C&quot;/&gt;&lt;wsp:rsid wsp:val=&quot;00E75BC5&quot;/&gt;&lt;wsp:rsid wsp:val=&quot;00E75C95&quot;/&gt;&lt;wsp:rsid wsp:val=&quot;00E76086&quot;/&gt;&lt;wsp:rsid wsp:val=&quot;00E763C9&quot;/&gt;&lt;wsp:rsid wsp:val=&quot;00E76AB5&quot;/&gt;&lt;wsp:rsid wsp:val=&quot;00E76BB2&quot;/&gt;&lt;wsp:rsid wsp:val=&quot;00E76E06&quot;/&gt;&lt;wsp:rsid wsp:val=&quot;00E775A5&quot;/&gt;&lt;wsp:rsid wsp:val=&quot;00E77BBA&quot;/&gt;&lt;wsp:rsid wsp:val=&quot;00E77D22&quot;/&gt;&lt;wsp:rsid wsp:val=&quot;00E77F4D&quot;/&gt;&lt;wsp:rsid wsp:val=&quot;00E8009A&quot;/&gt;&lt;wsp:rsid wsp:val=&quot;00E8096C&quot;/&gt;&lt;wsp:rsid wsp:val=&quot;00E814AB&quot;/&gt;&lt;wsp:rsid wsp:val=&quot;00E81E23&quot;/&gt;&lt;wsp:rsid wsp:val=&quot;00E81EE8&quot;/&gt;&lt;wsp:rsid wsp:val=&quot;00E821AE&quot;/&gt;&lt;wsp:rsid wsp:val=&quot;00E82D72&quot;/&gt;&lt;wsp:rsid wsp:val=&quot;00E832EF&quot;/&gt;&lt;wsp:rsid wsp:val=&quot;00E8379A&quot;/&gt;&lt;wsp:rsid wsp:val=&quot;00E83D45&quot;/&gt;&lt;wsp:rsid wsp:val=&quot;00E842A7&quot;/&gt;&lt;wsp:rsid wsp:val=&quot;00E84ACA&quot;/&gt;&lt;wsp:rsid wsp:val=&quot;00E84CA0&quot;/&gt;&lt;wsp:rsid wsp:val=&quot;00E84CA5&quot;/&gt;&lt;wsp:rsid wsp:val=&quot;00E851D6&quot;/&gt;&lt;wsp:rsid wsp:val=&quot;00E85474&quot;/&gt;&lt;wsp:rsid wsp:val=&quot;00E857D7&quot;/&gt;&lt;wsp:rsid wsp:val=&quot;00E85B41&quot;/&gt;&lt;wsp:rsid wsp:val=&quot;00E85F55&quot;/&gt;&lt;wsp:rsid wsp:val=&quot;00E85FC7&quot;/&gt;&lt;wsp:rsid wsp:val=&quot;00E86086&quot;/&gt;&lt;wsp:rsid wsp:val=&quot;00E86E29&quot;/&gt;&lt;wsp:rsid wsp:val=&quot;00E8751B&quot;/&gt;&lt;wsp:rsid wsp:val=&quot;00E87611&quot;/&gt;&lt;wsp:rsid wsp:val=&quot;00E87F79&quot;/&gt;&lt;wsp:rsid wsp:val=&quot;00E904CE&quot;/&gt;&lt;wsp:rsid wsp:val=&quot;00E90538&quot;/&gt;&lt;wsp:rsid wsp:val=&quot;00E90753&quot;/&gt;&lt;wsp:rsid wsp:val=&quot;00E91093&quot;/&gt;&lt;wsp:rsid wsp:val=&quot;00E910EC&quot;/&gt;&lt;wsp:rsid wsp:val=&quot;00E91341&quot;/&gt;&lt;wsp:rsid wsp:val=&quot;00E91899&quot;/&gt;&lt;wsp:rsid wsp:val=&quot;00E9205E&quot;/&gt;&lt;wsp:rsid wsp:val=&quot;00E921A2&quot;/&gt;&lt;wsp:rsid wsp:val=&quot;00E924FF&quot;/&gt;&lt;wsp:rsid wsp:val=&quot;00E932F1&quot;/&gt;&lt;wsp:rsid wsp:val=&quot;00E939CA&quot;/&gt;&lt;wsp:rsid wsp:val=&quot;00E93C91&quot;/&gt;&lt;wsp:rsid wsp:val=&quot;00E93F4B&quot;/&gt;&lt;wsp:rsid wsp:val=&quot;00E941EC&quot;/&gt;&lt;wsp:rsid wsp:val=&quot;00E94910&quot;/&gt;&lt;wsp:rsid wsp:val=&quot;00E94B53&quot;/&gt;&lt;wsp:rsid wsp:val=&quot;00E94DCE&quot;/&gt;&lt;wsp:rsid wsp:val=&quot;00E94DFA&quot;/&gt;&lt;wsp:rsid wsp:val=&quot;00E94E86&quot;/&gt;&lt;wsp:rsid wsp:val=&quot;00E9518C&quot;/&gt;&lt;wsp:rsid wsp:val=&quot;00E951C0&quot;/&gt;&lt;wsp:rsid wsp:val=&quot;00E952A0&quot;/&gt;&lt;wsp:rsid wsp:val=&quot;00E95571&quot;/&gt;&lt;wsp:rsid wsp:val=&quot;00E955EA&quot;/&gt;&lt;wsp:rsid wsp:val=&quot;00E960BD&quot;/&gt;&lt;wsp:rsid wsp:val=&quot;00E964D1&quot;/&gt;&lt;wsp:rsid wsp:val=&quot;00E96552&quot;/&gt;&lt;wsp:rsid wsp:val=&quot;00E96B7A&quot;/&gt;&lt;wsp:rsid wsp:val=&quot;00E96F4E&quot;/&gt;&lt;wsp:rsid wsp:val=&quot;00E97B42&quot;/&gt;&lt;wsp:rsid wsp:val=&quot;00E97EB7&quot;/&gt;&lt;wsp:rsid wsp:val=&quot;00EA008A&quot;/&gt;&lt;wsp:rsid wsp:val=&quot;00EA0622&quot;/&gt;&lt;wsp:rsid wsp:val=&quot;00EA0A20&quot;/&gt;&lt;wsp:rsid wsp:val=&quot;00EA0A62&quot;/&gt;&lt;wsp:rsid wsp:val=&quot;00EA0A7C&quot;/&gt;&lt;wsp:rsid wsp:val=&quot;00EA0C0E&quot;/&gt;&lt;wsp:rsid wsp:val=&quot;00EA0FB2&quot;/&gt;&lt;wsp:rsid wsp:val=&quot;00EA11C8&quot;/&gt;&lt;wsp:rsid wsp:val=&quot;00EA1508&quot;/&gt;&lt;wsp:rsid wsp:val=&quot;00EA16F8&quot;/&gt;&lt;wsp:rsid wsp:val=&quot;00EA1920&quot;/&gt;&lt;wsp:rsid wsp:val=&quot;00EA1B80&quot;/&gt;&lt;wsp:rsid wsp:val=&quot;00EA1CCE&quot;/&gt;&lt;wsp:rsid wsp:val=&quot;00EA1D6D&quot;/&gt;&lt;wsp:rsid wsp:val=&quot;00EA1DB9&quot;/&gt;&lt;wsp:rsid wsp:val=&quot;00EA2EED&quot;/&gt;&lt;wsp:rsid wsp:val=&quot;00EA3084&quot;/&gt;&lt;wsp:rsid wsp:val=&quot;00EA3C9C&quot;/&gt;&lt;wsp:rsid wsp:val=&quot;00EA3EAD&quot;/&gt;&lt;wsp:rsid wsp:val=&quot;00EA3ECD&quot;/&gt;&lt;wsp:rsid wsp:val=&quot;00EA46CB&quot;/&gt;&lt;wsp:rsid wsp:val=&quot;00EA4758&quot;/&gt;&lt;wsp:rsid wsp:val=&quot;00EA47F2&quot;/&gt;&lt;wsp:rsid wsp:val=&quot;00EA4A67&quot;/&gt;&lt;wsp:rsid wsp:val=&quot;00EA4D1B&quot;/&gt;&lt;wsp:rsid wsp:val=&quot;00EA4F72&quot;/&gt;&lt;wsp:rsid wsp:val=&quot;00EA53C1&quot;/&gt;&lt;wsp:rsid wsp:val=&quot;00EA57CD&quot;/&gt;&lt;wsp:rsid wsp:val=&quot;00EA5AB4&quot;/&gt;&lt;wsp:rsid wsp:val=&quot;00EA5B0F&quot;/&gt;&lt;wsp:rsid wsp:val=&quot;00EA6801&quot;/&gt;&lt;wsp:rsid wsp:val=&quot;00EA682A&quot;/&gt;&lt;wsp:rsid wsp:val=&quot;00EA72CD&quot;/&gt;&lt;wsp:rsid wsp:val=&quot;00EA740E&quot;/&gt;&lt;wsp:rsid wsp:val=&quot;00EA7C1D&quot;/&gt;&lt;wsp:rsid wsp:val=&quot;00EA7E2B&quot;/&gt;&lt;wsp:rsid wsp:val=&quot;00EB0220&quot;/&gt;&lt;wsp:rsid wsp:val=&quot;00EB03FF&quot;/&gt;&lt;wsp:rsid wsp:val=&quot;00EB048D&quot;/&gt;&lt;wsp:rsid wsp:val=&quot;00EB051C&quot;/&gt;&lt;wsp:rsid wsp:val=&quot;00EB13F2&quot;/&gt;&lt;wsp:rsid wsp:val=&quot;00EB1444&quot;/&gt;&lt;wsp:rsid wsp:val=&quot;00EB1A6B&quot;/&gt;&lt;wsp:rsid wsp:val=&quot;00EB2F23&quot;/&gt;&lt;wsp:rsid wsp:val=&quot;00EB3208&quot;/&gt;&lt;wsp:rsid wsp:val=&quot;00EB3D15&quot;/&gt;&lt;wsp:rsid wsp:val=&quot;00EB3D97&quot;/&gt;&lt;wsp:rsid wsp:val=&quot;00EB42BA&quot;/&gt;&lt;wsp:rsid wsp:val=&quot;00EB434F&quot;/&gt;&lt;wsp:rsid wsp:val=&quot;00EB43DE&quot;/&gt;&lt;wsp:rsid wsp:val=&quot;00EB46C9&quot;/&gt;&lt;wsp:rsid wsp:val=&quot;00EB55FB&quot;/&gt;&lt;wsp:rsid wsp:val=&quot;00EB5B27&quot;/&gt;&lt;wsp:rsid wsp:val=&quot;00EB5CD1&quot;/&gt;&lt;wsp:rsid wsp:val=&quot;00EB5EE6&quot;/&gt;&lt;wsp:rsid wsp:val=&quot;00EB6FD3&quot;/&gt;&lt;wsp:rsid wsp:val=&quot;00EB7AC5&quot;/&gt;&lt;wsp:rsid wsp:val=&quot;00EC03A0&quot;/&gt;&lt;wsp:rsid wsp:val=&quot;00EC042C&quot;/&gt;&lt;wsp:rsid wsp:val=&quot;00EC05FB&quot;/&gt;&lt;wsp:rsid wsp:val=&quot;00EC09D2&quot;/&gt;&lt;wsp:rsid wsp:val=&quot;00EC0BB0&quot;/&gt;&lt;wsp:rsid wsp:val=&quot;00EC0D7E&quot;/&gt;&lt;wsp:rsid wsp:val=&quot;00EC0F4A&quot;/&gt;&lt;wsp:rsid wsp:val=&quot;00EC166D&quot;/&gt;&lt;wsp:rsid wsp:val=&quot;00EC1C8B&quot;/&gt;&lt;wsp:rsid wsp:val=&quot;00EC2080&quot;/&gt;&lt;wsp:rsid wsp:val=&quot;00EC209C&quot;/&gt;&lt;wsp:rsid wsp:val=&quot;00EC20D6&quot;/&gt;&lt;wsp:rsid wsp:val=&quot;00EC226E&quot;/&gt;&lt;wsp:rsid wsp:val=&quot;00EC2273&quot;/&gt;&lt;wsp:rsid wsp:val=&quot;00EC24D4&quot;/&gt;&lt;wsp:rsid wsp:val=&quot;00EC254D&quot;/&gt;&lt;wsp:rsid wsp:val=&quot;00EC25D1&quot;/&gt;&lt;wsp:rsid wsp:val=&quot;00EC26F3&quot;/&gt;&lt;wsp:rsid wsp:val=&quot;00EC28C1&quot;/&gt;&lt;wsp:rsid wsp:val=&quot;00EC2B08&quot;/&gt;&lt;wsp:rsid wsp:val=&quot;00EC2B9B&quot;/&gt;&lt;wsp:rsid wsp:val=&quot;00EC2D59&quot;/&gt;&lt;wsp:rsid wsp:val=&quot;00EC2FC8&quot;/&gt;&lt;wsp:rsid wsp:val=&quot;00EC2FF7&quot;/&gt;&lt;wsp:rsid wsp:val=&quot;00EC35E1&quot;/&gt;&lt;wsp:rsid wsp:val=&quot;00EC3CA8&quot;/&gt;&lt;wsp:rsid wsp:val=&quot;00EC3CC4&quot;/&gt;&lt;wsp:rsid wsp:val=&quot;00EC3EC4&quot;/&gt;&lt;wsp:rsid wsp:val=&quot;00EC41DD&quot;/&gt;&lt;wsp:rsid wsp:val=&quot;00EC4332&quot;/&gt;&lt;wsp:rsid wsp:val=&quot;00EC43A5&quot;/&gt;&lt;wsp:rsid wsp:val=&quot;00EC43C6&quot;/&gt;&lt;wsp:rsid wsp:val=&quot;00EC453F&quot;/&gt;&lt;wsp:rsid wsp:val=&quot;00EC4945&quot;/&gt;&lt;wsp:rsid wsp:val=&quot;00EC4BB0&quot;/&gt;&lt;wsp:rsid wsp:val=&quot;00EC4C52&quot;/&gt;&lt;wsp:rsid wsp:val=&quot;00EC4D27&quot;/&gt;&lt;wsp:rsid wsp:val=&quot;00EC4F43&quot;/&gt;&lt;wsp:rsid wsp:val=&quot;00EC5044&quot;/&gt;&lt;wsp:rsid wsp:val=&quot;00EC5293&quot;/&gt;&lt;wsp:rsid wsp:val=&quot;00EC52D4&quot;/&gt;&lt;wsp:rsid wsp:val=&quot;00EC53D6&quot;/&gt;&lt;wsp:rsid wsp:val=&quot;00EC5570&quot;/&gt;&lt;wsp:rsid wsp:val=&quot;00EC5578&quot;/&gt;&lt;wsp:rsid wsp:val=&quot;00EC56B2&quot;/&gt;&lt;wsp:rsid wsp:val=&quot;00EC61BB&quot;/&gt;&lt;wsp:rsid wsp:val=&quot;00EC63AA&quot;/&gt;&lt;wsp:rsid wsp:val=&quot;00EC6858&quot;/&gt;&lt;wsp:rsid wsp:val=&quot;00EC7E56&quot;/&gt;&lt;wsp:rsid wsp:val=&quot;00ED047E&quot;/&gt;&lt;wsp:rsid wsp:val=&quot;00ED0561&quot;/&gt;&lt;wsp:rsid wsp:val=&quot;00ED0BA1&quot;/&gt;&lt;wsp:rsid wsp:val=&quot;00ED0BD8&quot;/&gt;&lt;wsp:rsid wsp:val=&quot;00ED1468&quot;/&gt;&lt;wsp:rsid wsp:val=&quot;00ED166F&quot;/&gt;&lt;wsp:rsid wsp:val=&quot;00ED17B3&quot;/&gt;&lt;wsp:rsid wsp:val=&quot;00ED1C2A&quot;/&gt;&lt;wsp:rsid wsp:val=&quot;00ED21DA&quot;/&gt;&lt;wsp:rsid wsp:val=&quot;00ED2269&quot;/&gt;&lt;wsp:rsid wsp:val=&quot;00ED2590&quot;/&gt;&lt;wsp:rsid wsp:val=&quot;00ED2734&quot;/&gt;&lt;wsp:rsid wsp:val=&quot;00ED2921&quot;/&gt;&lt;wsp:rsid wsp:val=&quot;00ED3167&quot;/&gt;&lt;wsp:rsid wsp:val=&quot;00ED35D4&quot;/&gt;&lt;wsp:rsid wsp:val=&quot;00ED3625&quot;/&gt;&lt;wsp:rsid wsp:val=&quot;00ED3641&quot;/&gt;&lt;wsp:rsid wsp:val=&quot;00ED3669&quot;/&gt;&lt;wsp:rsid wsp:val=&quot;00ED3815&quot;/&gt;&lt;wsp:rsid wsp:val=&quot;00ED3855&quot;/&gt;&lt;wsp:rsid wsp:val=&quot;00ED3DD5&quot;/&gt;&lt;wsp:rsid wsp:val=&quot;00ED4170&quot;/&gt;&lt;wsp:rsid wsp:val=&quot;00ED4A85&quot;/&gt;&lt;wsp:rsid wsp:val=&quot;00ED4C0F&quot;/&gt;&lt;wsp:rsid wsp:val=&quot;00ED4DF4&quot;/&gt;&lt;wsp:rsid wsp:val=&quot;00ED51D0&quot;/&gt;&lt;wsp:rsid wsp:val=&quot;00ED52CD&quot;/&gt;&lt;wsp:rsid wsp:val=&quot;00ED6325&quot;/&gt;&lt;wsp:rsid wsp:val=&quot;00ED6DD9&quot;/&gt;&lt;wsp:rsid wsp:val=&quot;00ED6DFA&quot;/&gt;&lt;wsp:rsid wsp:val=&quot;00ED7202&quot;/&gt;&lt;wsp:rsid wsp:val=&quot;00ED7278&quot;/&gt;&lt;wsp:rsid wsp:val=&quot;00ED77C7&quot;/&gt;&lt;wsp:rsid wsp:val=&quot;00ED79A5&quot;/&gt;&lt;wsp:rsid wsp:val=&quot;00ED79B9&quot;/&gt;&lt;wsp:rsid wsp:val=&quot;00ED7CE8&quot;/&gt;&lt;wsp:rsid wsp:val=&quot;00EE0012&quot;/&gt;&lt;wsp:rsid wsp:val=&quot;00EE0289&quot;/&gt;&lt;wsp:rsid wsp:val=&quot;00EE0771&quot;/&gt;&lt;wsp:rsid wsp:val=&quot;00EE0B99&quot;/&gt;&lt;wsp:rsid wsp:val=&quot;00EE1305&quot;/&gt;&lt;wsp:rsid wsp:val=&quot;00EE1534&quot;/&gt;&lt;wsp:rsid wsp:val=&quot;00EE170F&quot;/&gt;&lt;wsp:rsid wsp:val=&quot;00EE22B5&quot;/&gt;&lt;wsp:rsid wsp:val=&quot;00EE2F95&quot;/&gt;&lt;wsp:rsid wsp:val=&quot;00EE42B5&quot;/&gt;&lt;wsp:rsid wsp:val=&quot;00EE4B84&quot;/&gt;&lt;wsp:rsid wsp:val=&quot;00EE5377&quot;/&gt;&lt;wsp:rsid wsp:val=&quot;00EE54C8&quot;/&gt;&lt;wsp:rsid wsp:val=&quot;00EE560E&quot;/&gt;&lt;wsp:rsid wsp:val=&quot;00EE57F7&quot;/&gt;&lt;wsp:rsid wsp:val=&quot;00EE5ADB&quot;/&gt;&lt;wsp:rsid wsp:val=&quot;00EE5B70&quot;/&gt;&lt;wsp:rsid wsp:val=&quot;00EE5CA9&quot;/&gt;&lt;wsp:rsid wsp:val=&quot;00EE5D08&quot;/&gt;&lt;wsp:rsid wsp:val=&quot;00EE5E7A&quot;/&gt;&lt;wsp:rsid wsp:val=&quot;00EE6247&quot;/&gt;&lt;wsp:rsid wsp:val=&quot;00EE66E8&quot;/&gt;&lt;wsp:rsid wsp:val=&quot;00EE6794&quot;/&gt;&lt;wsp:rsid wsp:val=&quot;00EE6F09&quot;/&gt;&lt;wsp:rsid wsp:val=&quot;00EE703F&quot;/&gt;&lt;wsp:rsid wsp:val=&quot;00EE769A&quot;/&gt;&lt;wsp:rsid wsp:val=&quot;00EE7A07&quot;/&gt;&lt;wsp:rsid wsp:val=&quot;00EE7A8A&quot;/&gt;&lt;wsp:rsid wsp:val=&quot;00EE7B58&quot;/&gt;&lt;wsp:rsid wsp:val=&quot;00EE7C58&quot;/&gt;&lt;wsp:rsid wsp:val=&quot;00EE7D33&quot;/&gt;&lt;wsp:rsid wsp:val=&quot;00EF009B&quot;/&gt;&lt;wsp:rsid wsp:val=&quot;00EF05CB&quot;/&gt;&lt;wsp:rsid wsp:val=&quot;00EF0A27&quot;/&gt;&lt;wsp:rsid wsp:val=&quot;00EF0C5F&quot;/&gt;&lt;wsp:rsid wsp:val=&quot;00EF12B0&quot;/&gt;&lt;wsp:rsid wsp:val=&quot;00EF1519&quot;/&gt;&lt;wsp:rsid wsp:val=&quot;00EF1B12&quot;/&gt;&lt;wsp:rsid wsp:val=&quot;00EF22E0&quot;/&gt;&lt;wsp:rsid wsp:val=&quot;00EF2300&quot;/&gt;&lt;wsp:rsid wsp:val=&quot;00EF234D&quot;/&gt;&lt;wsp:rsid wsp:val=&quot;00EF2557&quot;/&gt;&lt;wsp:rsid wsp:val=&quot;00EF2C3F&quot;/&gt;&lt;wsp:rsid wsp:val=&quot;00EF30CB&quot;/&gt;&lt;wsp:rsid wsp:val=&quot;00EF3151&quot;/&gt;&lt;wsp:rsid wsp:val=&quot;00EF3173&quot;/&gt;&lt;wsp:rsid wsp:val=&quot;00EF331D&quot;/&gt;&lt;wsp:rsid wsp:val=&quot;00EF3355&quot;/&gt;&lt;wsp:rsid wsp:val=&quot;00EF3521&quot;/&gt;&lt;wsp:rsid wsp:val=&quot;00EF3AD9&quot;/&gt;&lt;wsp:rsid wsp:val=&quot;00EF3CC0&quot;/&gt;&lt;wsp:rsid wsp:val=&quot;00EF3D69&quot;/&gt;&lt;wsp:rsid wsp:val=&quot;00EF3E7F&quot;/&gt;&lt;wsp:rsid wsp:val=&quot;00EF3EE3&quot;/&gt;&lt;wsp:rsid wsp:val=&quot;00EF40AE&quot;/&gt;&lt;wsp:rsid wsp:val=&quot;00EF4228&quot;/&gt;&lt;wsp:rsid wsp:val=&quot;00EF4415&quot;/&gt;&lt;wsp:rsid wsp:val=&quot;00EF4AD3&quot;/&gt;&lt;wsp:rsid wsp:val=&quot;00EF4C3A&quot;/&gt;&lt;wsp:rsid wsp:val=&quot;00EF5180&quot;/&gt;&lt;wsp:rsid wsp:val=&quot;00EF5299&quot;/&gt;&lt;wsp:rsid wsp:val=&quot;00EF541D&quot;/&gt;&lt;wsp:rsid wsp:val=&quot;00EF5422&quot;/&gt;&lt;wsp:rsid wsp:val=&quot;00EF55FC&quot;/&gt;&lt;wsp:rsid wsp:val=&quot;00EF5804&quot;/&gt;&lt;wsp:rsid wsp:val=&quot;00EF59F0&quot;/&gt;&lt;wsp:rsid wsp:val=&quot;00EF5ECB&quot;/&gt;&lt;wsp:rsid wsp:val=&quot;00EF60E3&quot;/&gt;&lt;wsp:rsid wsp:val=&quot;00EF65E7&quot;/&gt;&lt;wsp:rsid wsp:val=&quot;00EF673E&quot;/&gt;&lt;wsp:rsid wsp:val=&quot;00EF678C&quot;/&gt;&lt;wsp:rsid wsp:val=&quot;00EF6B9A&quot;/&gt;&lt;wsp:rsid wsp:val=&quot;00EF70AF&quot;/&gt;&lt;wsp:rsid wsp:val=&quot;00EF7734&quot;/&gt;&lt;wsp:rsid wsp:val=&quot;00EF7A85&quot;/&gt;&lt;wsp:rsid wsp:val=&quot;00EF7DA7&quot;/&gt;&lt;wsp:rsid wsp:val=&quot;00EF7F6D&quot;/&gt;&lt;wsp:rsid wsp:val=&quot;00F0035F&quot;/&gt;&lt;wsp:rsid wsp:val=&quot;00F004A9&quot;/&gt;&lt;wsp:rsid wsp:val=&quot;00F0088E&quot;/&gt;&lt;wsp:rsid wsp:val=&quot;00F00996&quot;/&gt;&lt;wsp:rsid wsp:val=&quot;00F00F21&quot;/&gt;&lt;wsp:rsid wsp:val=&quot;00F0144B&quot;/&gt;&lt;wsp:rsid wsp:val=&quot;00F01C83&quot;/&gt;&lt;wsp:rsid wsp:val=&quot;00F01DFC&quot;/&gt;&lt;wsp:rsid wsp:val=&quot;00F01FD5&quot;/&gt;&lt;wsp:rsid wsp:val=&quot;00F02358&quot;/&gt;&lt;wsp:rsid wsp:val=&quot;00F02432&quot;/&gt;&lt;wsp:rsid wsp:val=&quot;00F02483&quot;/&gt;&lt;wsp:rsid wsp:val=&quot;00F025F2&quot;/&gt;&lt;wsp:rsid wsp:val=&quot;00F026D8&quot;/&gt;&lt;wsp:rsid wsp:val=&quot;00F02774&quot;/&gt;&lt;wsp:rsid wsp:val=&quot;00F027A9&quot;/&gt;&lt;wsp:rsid wsp:val=&quot;00F0286E&quot;/&gt;&lt;wsp:rsid wsp:val=&quot;00F02B1B&quot;/&gt;&lt;wsp:rsid wsp:val=&quot;00F02DD4&quot;/&gt;&lt;wsp:rsid wsp:val=&quot;00F02DEE&quot;/&gt;&lt;wsp:rsid wsp:val=&quot;00F0359C&quot;/&gt;&lt;wsp:rsid wsp:val=&quot;00F03916&quot;/&gt;&lt;wsp:rsid wsp:val=&quot;00F03B59&quot;/&gt;&lt;wsp:rsid wsp:val=&quot;00F045D3&quot;/&gt;&lt;wsp:rsid wsp:val=&quot;00F049A0&quot;/&gt;&lt;wsp:rsid wsp:val=&quot;00F04A75&quot;/&gt;&lt;wsp:rsid wsp:val=&quot;00F04BDD&quot;/&gt;&lt;wsp:rsid wsp:val=&quot;00F04E08&quot;/&gt;&lt;wsp:rsid wsp:val=&quot;00F054BD&quot;/&gt;&lt;wsp:rsid wsp:val=&quot;00F057FE&quot;/&gt;&lt;wsp:rsid wsp:val=&quot;00F05D3A&quot;/&gt;&lt;wsp:rsid wsp:val=&quot;00F05E2B&quot;/&gt;&lt;wsp:rsid wsp:val=&quot;00F06E64&quot;/&gt;&lt;wsp:rsid wsp:val=&quot;00F0727B&quot;/&gt;&lt;wsp:rsid wsp:val=&quot;00F074A9&quot;/&gt;&lt;wsp:rsid wsp:val=&quot;00F0755B&quot;/&gt;&lt;wsp:rsid wsp:val=&quot;00F07834&quot;/&gt;&lt;wsp:rsid wsp:val=&quot;00F07C3E&quot;/&gt;&lt;wsp:rsid wsp:val=&quot;00F07F57&quot;/&gt;&lt;wsp:rsid wsp:val=&quot;00F10726&quot;/&gt;&lt;wsp:rsid wsp:val=&quot;00F109A9&quot;/&gt;&lt;wsp:rsid wsp:val=&quot;00F11004&quot;/&gt;&lt;wsp:rsid wsp:val=&quot;00F1123F&quot;/&gt;&lt;wsp:rsid wsp:val=&quot;00F11260&quot;/&gt;&lt;wsp:rsid wsp:val=&quot;00F1126B&quot;/&gt;&lt;wsp:rsid wsp:val=&quot;00F11280&quot;/&gt;&lt;wsp:rsid wsp:val=&quot;00F11782&quot;/&gt;&lt;wsp:rsid wsp:val=&quot;00F11AA8&quot;/&gt;&lt;wsp:rsid wsp:val=&quot;00F11F8D&quot;/&gt;&lt;wsp:rsid wsp:val=&quot;00F12000&quot;/&gt;&lt;wsp:rsid wsp:val=&quot;00F1226F&quot;/&gt;&lt;wsp:rsid wsp:val=&quot;00F1245B&quot;/&gt;&lt;wsp:rsid wsp:val=&quot;00F12540&quot;/&gt;&lt;wsp:rsid wsp:val=&quot;00F1290E&quot;/&gt;&lt;wsp:rsid wsp:val=&quot;00F12BF6&quot;/&gt;&lt;wsp:rsid wsp:val=&quot;00F12F98&quot;/&gt;&lt;wsp:rsid wsp:val=&quot;00F13075&quot;/&gt;&lt;wsp:rsid wsp:val=&quot;00F132A2&quot;/&gt;&lt;wsp:rsid wsp:val=&quot;00F134AF&quot;/&gt;&lt;wsp:rsid wsp:val=&quot;00F13608&quot;/&gt;&lt;wsp:rsid wsp:val=&quot;00F13713&quot;/&gt;&lt;wsp:rsid wsp:val=&quot;00F13AB4&quot;/&gt;&lt;wsp:rsid wsp:val=&quot;00F13C47&quot;/&gt;&lt;wsp:rsid wsp:val=&quot;00F13DB9&quot;/&gt;&lt;wsp:rsid wsp:val=&quot;00F1491B&quot;/&gt;&lt;wsp:rsid wsp:val=&quot;00F14BE6&quot;/&gt;&lt;wsp:rsid wsp:val=&quot;00F153D9&quot;/&gt;&lt;wsp:rsid wsp:val=&quot;00F1544B&quot;/&gt;&lt;wsp:rsid wsp:val=&quot;00F15C05&quot;/&gt;&lt;wsp:rsid wsp:val=&quot;00F15C95&quot;/&gt;&lt;wsp:rsid wsp:val=&quot;00F15D94&quot;/&gt;&lt;wsp:rsid wsp:val=&quot;00F162B0&quot;/&gt;&lt;wsp:rsid wsp:val=&quot;00F16509&quot;/&gt;&lt;wsp:rsid wsp:val=&quot;00F165E8&quot;/&gt;&lt;wsp:rsid wsp:val=&quot;00F16982&quot;/&gt;&lt;wsp:rsid wsp:val=&quot;00F16BBE&quot;/&gt;&lt;wsp:rsid wsp:val=&quot;00F16BE5&quot;/&gt;&lt;wsp:rsid wsp:val=&quot;00F16E3B&quot;/&gt;&lt;wsp:rsid wsp:val=&quot;00F16EBC&quot;/&gt;&lt;wsp:rsid wsp:val=&quot;00F171E9&quot;/&gt;&lt;wsp:rsid wsp:val=&quot;00F17511&quot;/&gt;&lt;wsp:rsid wsp:val=&quot;00F17CED&quot;/&gt;&lt;wsp:rsid wsp:val=&quot;00F20399&quot;/&gt;&lt;wsp:rsid wsp:val=&quot;00F20586&quot;/&gt;&lt;wsp:rsid wsp:val=&quot;00F2069C&quot;/&gt;&lt;wsp:rsid wsp:val=&quot;00F20991&quot;/&gt;&lt;wsp:rsid wsp:val=&quot;00F209DC&quot;/&gt;&lt;wsp:rsid wsp:val=&quot;00F20B5D&quot;/&gt;&lt;wsp:rsid wsp:val=&quot;00F2119F&quot;/&gt;&lt;wsp:rsid wsp:val=&quot;00F214C8&quot;/&gt;&lt;wsp:rsid wsp:val=&quot;00F217BB&quot;/&gt;&lt;wsp:rsid wsp:val=&quot;00F21BB3&quot;/&gt;&lt;wsp:rsid wsp:val=&quot;00F220BD&quot;/&gt;&lt;wsp:rsid wsp:val=&quot;00F22245&quot;/&gt;&lt;wsp:rsid wsp:val=&quot;00F22432&quot;/&gt;&lt;wsp:rsid wsp:val=&quot;00F22D42&quot;/&gt;&lt;wsp:rsid wsp:val=&quot;00F22D63&quot;/&gt;&lt;wsp:rsid wsp:val=&quot;00F23926&quot;/&gt;&lt;wsp:rsid wsp:val=&quot;00F23988&quot;/&gt;&lt;wsp:rsid wsp:val=&quot;00F239DB&quot;/&gt;&lt;wsp:rsid wsp:val=&quot;00F248B6&quot;/&gt;&lt;wsp:rsid wsp:val=&quot;00F25BA1&quot;/&gt;&lt;wsp:rsid wsp:val=&quot;00F25F4F&quot;/&gt;&lt;wsp:rsid wsp:val=&quot;00F25F66&quot;/&gt;&lt;wsp:rsid wsp:val=&quot;00F26186&quot;/&gt;&lt;wsp:rsid wsp:val=&quot;00F26946&quot;/&gt;&lt;wsp:rsid wsp:val=&quot;00F2697D&quot;/&gt;&lt;wsp:rsid wsp:val=&quot;00F26E0B&quot;/&gt;&lt;wsp:rsid wsp:val=&quot;00F26FC9&quot;/&gt;&lt;wsp:rsid wsp:val=&quot;00F270EB&quot;/&gt;&lt;wsp:rsid wsp:val=&quot;00F276A7&quot;/&gt;&lt;wsp:rsid wsp:val=&quot;00F27FFC&quot;/&gt;&lt;wsp:rsid wsp:val=&quot;00F306BB&quot;/&gt;&lt;wsp:rsid wsp:val=&quot;00F30864&quot;/&gt;&lt;wsp:rsid wsp:val=&quot;00F30DB2&quot;/&gt;&lt;wsp:rsid wsp:val=&quot;00F30E0A&quot;/&gt;&lt;wsp:rsid wsp:val=&quot;00F30E1F&quot;/&gt;&lt;wsp:rsid wsp:val=&quot;00F30E53&quot;/&gt;&lt;wsp:rsid wsp:val=&quot;00F30ECA&quot;/&gt;&lt;wsp:rsid wsp:val=&quot;00F30F2F&quot;/&gt;&lt;wsp:rsid wsp:val=&quot;00F3114F&quot;/&gt;&lt;wsp:rsid wsp:val=&quot;00F31374&quot;/&gt;&lt;wsp:rsid wsp:val=&quot;00F31531&quot;/&gt;&lt;wsp:rsid wsp:val=&quot;00F315FD&quot;/&gt;&lt;wsp:rsid wsp:val=&quot;00F32CC9&quot;/&gt;&lt;wsp:rsid wsp:val=&quot;00F32D06&quot;/&gt;&lt;wsp:rsid wsp:val=&quot;00F32F61&quot;/&gt;&lt;wsp:rsid wsp:val=&quot;00F3306C&quot;/&gt;&lt;wsp:rsid wsp:val=&quot;00F330A7&quot;/&gt;&lt;wsp:rsid wsp:val=&quot;00F332C8&quot;/&gt;&lt;wsp:rsid wsp:val=&quot;00F334E2&quot;/&gt;&lt;wsp:rsid wsp:val=&quot;00F33D91&quot;/&gt;&lt;wsp:rsid wsp:val=&quot;00F3452C&quot;/&gt;&lt;wsp:rsid wsp:val=&quot;00F34EFB&quot;/&gt;&lt;wsp:rsid wsp:val=&quot;00F34F7B&quot;/&gt;&lt;wsp:rsid wsp:val=&quot;00F3510B&quot;/&gt;&lt;wsp:rsid wsp:val=&quot;00F35798&quot;/&gt;&lt;wsp:rsid wsp:val=&quot;00F36084&quot;/&gt;&lt;wsp:rsid wsp:val=&quot;00F36644&quot;/&gt;&lt;wsp:rsid wsp:val=&quot;00F3720A&quot;/&gt;&lt;wsp:rsid wsp:val=&quot;00F3737B&quot;/&gt;&lt;wsp:rsid wsp:val=&quot;00F3746E&quot;/&gt;&lt;wsp:rsid wsp:val=&quot;00F378D0&quot;/&gt;&lt;wsp:rsid wsp:val=&quot;00F4014F&quot;/&gt;&lt;wsp:rsid wsp:val=&quot;00F40169&quot;/&gt;&lt;wsp:rsid wsp:val=&quot;00F40E08&quot;/&gt;&lt;wsp:rsid wsp:val=&quot;00F40E6C&quot;/&gt;&lt;wsp:rsid wsp:val=&quot;00F41130&quot;/&gt;&lt;wsp:rsid wsp:val=&quot;00F41547&quot;/&gt;&lt;wsp:rsid wsp:val=&quot;00F41755&quot;/&gt;&lt;wsp:rsid wsp:val=&quot;00F41C49&quot;/&gt;&lt;wsp:rsid wsp:val=&quot;00F42189&quot;/&gt;&lt;wsp:rsid wsp:val=&quot;00F4257D&quot;/&gt;&lt;wsp:rsid wsp:val=&quot;00F425C6&quot;/&gt;&lt;wsp:rsid wsp:val=&quot;00F42938&quot;/&gt;&lt;wsp:rsid wsp:val=&quot;00F429A0&quot;/&gt;&lt;wsp:rsid wsp:val=&quot;00F42A33&quot;/&gt;&lt;wsp:rsid wsp:val=&quot;00F42D66&quot;/&gt;&lt;wsp:rsid wsp:val=&quot;00F4309F&quot;/&gt;&lt;wsp:rsid wsp:val=&quot;00F43281&quot;/&gt;&lt;wsp:rsid wsp:val=&quot;00F4349A&quot;/&gt;&lt;wsp:rsid wsp:val=&quot;00F435B7&quot;/&gt;&lt;wsp:rsid wsp:val=&quot;00F43749&quot;/&gt;&lt;wsp:rsid wsp:val=&quot;00F43B29&quot;/&gt;&lt;wsp:rsid wsp:val=&quot;00F44116&quot;/&gt;&lt;wsp:rsid wsp:val=&quot;00F4420F&quot;/&gt;&lt;wsp:rsid wsp:val=&quot;00F44464&quot;/&gt;&lt;wsp:rsid wsp:val=&quot;00F45A2D&quot;/&gt;&lt;wsp:rsid wsp:val=&quot;00F45B5C&quot;/&gt;&lt;wsp:rsid wsp:val=&quot;00F45E2F&quot;/&gt;&lt;wsp:rsid wsp:val=&quot;00F4666B&quot;/&gt;&lt;wsp:rsid wsp:val=&quot;00F468B3&quot;/&gt;&lt;wsp:rsid wsp:val=&quot;00F46947&quot;/&gt;&lt;wsp:rsid wsp:val=&quot;00F46BBC&quot;/&gt;&lt;wsp:rsid wsp:val=&quot;00F47164&quot;/&gt;&lt;wsp:rsid wsp:val=&quot;00F47605&quot;/&gt;&lt;wsp:rsid wsp:val=&quot;00F4791C&quot;/&gt;&lt;wsp:rsid wsp:val=&quot;00F50B49&quot;/&gt;&lt;wsp:rsid wsp:val=&quot;00F50BFE&quot;/&gt;&lt;wsp:rsid wsp:val=&quot;00F50CB7&quot;/&gt;&lt;wsp:rsid wsp:val=&quot;00F50D52&quot;/&gt;&lt;wsp:rsid wsp:val=&quot;00F50E3D&quot;/&gt;&lt;wsp:rsid wsp:val=&quot;00F510DF&quot;/&gt;&lt;wsp:rsid wsp:val=&quot;00F5130C&quot;/&gt;&lt;wsp:rsid wsp:val=&quot;00F515BE&quot;/&gt;&lt;wsp:rsid wsp:val=&quot;00F51774&quot;/&gt;&lt;wsp:rsid wsp:val=&quot;00F51AE6&quot;/&gt;&lt;wsp:rsid wsp:val=&quot;00F51CB1&quot;/&gt;&lt;wsp:rsid wsp:val=&quot;00F51E79&quot;/&gt;&lt;wsp:rsid wsp:val=&quot;00F51FFA&quot;/&gt;&lt;wsp:rsid wsp:val=&quot;00F52361&quot;/&gt;&lt;wsp:rsid wsp:val=&quot;00F524A7&quot;/&gt;&lt;wsp:rsid wsp:val=&quot;00F533D1&quot;/&gt;&lt;wsp:rsid wsp:val=&quot;00F534D4&quot;/&gt;&lt;wsp:rsid wsp:val=&quot;00F53523&quot;/&gt;&lt;wsp:rsid wsp:val=&quot;00F535F4&quot;/&gt;&lt;wsp:rsid wsp:val=&quot;00F53D3A&quot;/&gt;&lt;wsp:rsid wsp:val=&quot;00F53DD9&quot;/&gt;&lt;wsp:rsid wsp:val=&quot;00F54446&quot;/&gt;&lt;wsp:rsid wsp:val=&quot;00F5463A&quot;/&gt;&lt;wsp:rsid wsp:val=&quot;00F549C9&quot;/&gt;&lt;wsp:rsid wsp:val=&quot;00F54D7E&quot;/&gt;&lt;wsp:rsid wsp:val=&quot;00F54EF2&quot;/&gt;&lt;wsp:rsid wsp:val=&quot;00F553A0&quot;/&gt;&lt;wsp:rsid wsp:val=&quot;00F553F3&quot;/&gt;&lt;wsp:rsid wsp:val=&quot;00F55717&quot;/&gt;&lt;wsp:rsid wsp:val=&quot;00F557A0&quot;/&gt;&lt;wsp:rsid wsp:val=&quot;00F55827&quot;/&gt;&lt;wsp:rsid wsp:val=&quot;00F559F1&quot;/&gt;&lt;wsp:rsid wsp:val=&quot;00F55C4B&quot;/&gt;&lt;wsp:rsid wsp:val=&quot;00F56030&quot;/&gt;&lt;wsp:rsid wsp:val=&quot;00F56198&quot;/&gt;&lt;wsp:rsid wsp:val=&quot;00F56346&quot;/&gt;&lt;wsp:rsid wsp:val=&quot;00F56A8D&quot;/&gt;&lt;wsp:rsid wsp:val=&quot;00F56D1D&quot;/&gt;&lt;wsp:rsid wsp:val=&quot;00F56D8D&quot;/&gt;&lt;wsp:rsid wsp:val=&quot;00F56F57&quot;/&gt;&lt;wsp:rsid wsp:val=&quot;00F57A19&quot;/&gt;&lt;wsp:rsid wsp:val=&quot;00F57AD3&quot;/&gt;&lt;wsp:rsid wsp:val=&quot;00F57DBF&quot;/&gt;&lt;wsp:rsid wsp:val=&quot;00F60254&quot;/&gt;&lt;wsp:rsid wsp:val=&quot;00F60780&quot;/&gt;&lt;wsp:rsid wsp:val=&quot;00F610E2&quot;/&gt;&lt;wsp:rsid wsp:val=&quot;00F611C7&quot;/&gt;&lt;wsp:rsid wsp:val=&quot;00F61226&quot;/&gt;&lt;wsp:rsid wsp:val=&quot;00F614D7&quot;/&gt;&lt;wsp:rsid wsp:val=&quot;00F61649&quot;/&gt;&lt;wsp:rsid wsp:val=&quot;00F6170F&quot;/&gt;&lt;wsp:rsid wsp:val=&quot;00F61B5A&quot;/&gt;&lt;wsp:rsid wsp:val=&quot;00F61EF1&quot;/&gt;&lt;wsp:rsid wsp:val=&quot;00F6263C&quot;/&gt;&lt;wsp:rsid wsp:val=&quot;00F62D8E&quot;/&gt;&lt;wsp:rsid wsp:val=&quot;00F6324B&quot;/&gt;&lt;wsp:rsid wsp:val=&quot;00F632CF&quot;/&gt;&lt;wsp:rsid wsp:val=&quot;00F633DF&quot;/&gt;&lt;wsp:rsid wsp:val=&quot;00F635EB&quot;/&gt;&lt;wsp:rsid wsp:val=&quot;00F636D8&quot;/&gt;&lt;wsp:rsid wsp:val=&quot;00F63B09&quot;/&gt;&lt;wsp:rsid wsp:val=&quot;00F63CD5&quot;/&gt;&lt;wsp:rsid wsp:val=&quot;00F63D5A&quot;/&gt;&lt;wsp:rsid wsp:val=&quot;00F63D6F&quot;/&gt;&lt;wsp:rsid wsp:val=&quot;00F63EE9&quot;/&gt;&lt;wsp:rsid wsp:val=&quot;00F64154&quot;/&gt;&lt;wsp:rsid wsp:val=&quot;00F64265&quot;/&gt;&lt;wsp:rsid wsp:val=&quot;00F64337&quot;/&gt;&lt;wsp:rsid wsp:val=&quot;00F64483&quot;/&gt;&lt;wsp:rsid wsp:val=&quot;00F6553F&quot;/&gt;&lt;wsp:rsid wsp:val=&quot;00F6560A&quot;/&gt;&lt;wsp:rsid wsp:val=&quot;00F65768&quot;/&gt;&lt;wsp:rsid wsp:val=&quot;00F65908&quot;/&gt;&lt;wsp:rsid wsp:val=&quot;00F65A7E&quot;/&gt;&lt;wsp:rsid wsp:val=&quot;00F66318&quot;/&gt;&lt;wsp:rsid wsp:val=&quot;00F66610&quot;/&gt;&lt;wsp:rsid wsp:val=&quot;00F66707&quot;/&gt;&lt;wsp:rsid wsp:val=&quot;00F66708&quot;/&gt;&lt;wsp:rsid wsp:val=&quot;00F66F00&quot;/&gt;&lt;wsp:rsid wsp:val=&quot;00F66FAB&quot;/&gt;&lt;wsp:rsid wsp:val=&quot;00F67415&quot;/&gt;&lt;wsp:rsid wsp:val=&quot;00F6753F&quot;/&gt;&lt;wsp:rsid wsp:val=&quot;00F67AC2&quot;/&gt;&lt;wsp:rsid wsp:val=&quot;00F67CB4&quot;/&gt;&lt;wsp:rsid wsp:val=&quot;00F67CEB&quot;/&gt;&lt;wsp:rsid wsp:val=&quot;00F67D22&quot;/&gt;&lt;wsp:rsid wsp:val=&quot;00F67FFB&quot;/&gt;&lt;wsp:rsid wsp:val=&quot;00F70430&quot;/&gt;&lt;wsp:rsid wsp:val=&quot;00F706B8&quot;/&gt;&lt;wsp:rsid wsp:val=&quot;00F7081B&quot;/&gt;&lt;wsp:rsid wsp:val=&quot;00F70F04&quot;/&gt;&lt;wsp:rsid wsp:val=&quot;00F710CE&quot;/&gt;&lt;wsp:rsid wsp:val=&quot;00F71249&quot;/&gt;&lt;wsp:rsid wsp:val=&quot;00F715F9&quot;/&gt;&lt;wsp:rsid wsp:val=&quot;00F71C31&quot;/&gt;&lt;wsp:rsid wsp:val=&quot;00F71D0F&quot;/&gt;&lt;wsp:rsid wsp:val=&quot;00F7207F&quot;/&gt;&lt;wsp:rsid wsp:val=&quot;00F72142&quot;/&gt;&lt;wsp:rsid wsp:val=&quot;00F72156&quot;/&gt;&lt;wsp:rsid wsp:val=&quot;00F72FB8&quot;/&gt;&lt;wsp:rsid wsp:val=&quot;00F73302&quot;/&gt;&lt;wsp:rsid wsp:val=&quot;00F7366E&quot;/&gt;&lt;wsp:rsid wsp:val=&quot;00F738C0&quot;/&gt;&lt;wsp:rsid wsp:val=&quot;00F74BDB&quot;/&gt;&lt;wsp:rsid wsp:val=&quot;00F74DA1&quot;/&gt;&lt;wsp:rsid wsp:val=&quot;00F74FBC&quot;/&gt;&lt;wsp:rsid wsp:val=&quot;00F75343&quot;/&gt;&lt;wsp:rsid wsp:val=&quot;00F75733&quot;/&gt;&lt;wsp:rsid wsp:val=&quot;00F75983&quot;/&gt;&lt;wsp:rsid wsp:val=&quot;00F75995&quot;/&gt;&lt;wsp:rsid wsp:val=&quot;00F75B2C&quot;/&gt;&lt;wsp:rsid wsp:val=&quot;00F75E73&quot;/&gt;&lt;wsp:rsid wsp:val=&quot;00F75F1C&quot;/&gt;&lt;wsp:rsid wsp:val=&quot;00F76507&quot;/&gt;&lt;wsp:rsid wsp:val=&quot;00F76DE0&quot;/&gt;&lt;wsp:rsid wsp:val=&quot;00F772CB&quot;/&gt;&lt;wsp:rsid wsp:val=&quot;00F77526&quot;/&gt;&lt;wsp:rsid wsp:val=&quot;00F77867&quot;/&gt;&lt;wsp:rsid wsp:val=&quot;00F77A01&quot;/&gt;&lt;wsp:rsid wsp:val=&quot;00F77D4D&quot;/&gt;&lt;wsp:rsid wsp:val=&quot;00F80059&quot;/&gt;&lt;wsp:rsid wsp:val=&quot;00F800B6&quot;/&gt;&lt;wsp:rsid wsp:val=&quot;00F8013D&quot;/&gt;&lt;wsp:rsid wsp:val=&quot;00F8064C&quot;/&gt;&lt;wsp:rsid wsp:val=&quot;00F8097E&quot;/&gt;&lt;wsp:rsid wsp:val=&quot;00F80FD7&quot;/&gt;&lt;wsp:rsid wsp:val=&quot;00F815EB&quot;/&gt;&lt;wsp:rsid wsp:val=&quot;00F81FFE&quot;/&gt;&lt;wsp:rsid wsp:val=&quot;00F8227B&quot;/&gt;&lt;wsp:rsid wsp:val=&quot;00F82E2E&quot;/&gt;&lt;wsp:rsid wsp:val=&quot;00F830B3&quot;/&gt;&lt;wsp:rsid wsp:val=&quot;00F831CE&quot;/&gt;&lt;wsp:rsid wsp:val=&quot;00F83617&quot;/&gt;&lt;wsp:rsid wsp:val=&quot;00F83C98&quot;/&gt;&lt;wsp:rsid wsp:val=&quot;00F84063&quot;/&gt;&lt;wsp:rsid wsp:val=&quot;00F84147&quot;/&gt;&lt;wsp:rsid wsp:val=&quot;00F843A5&quot;/&gt;&lt;wsp:rsid wsp:val=&quot;00F84777&quot;/&gt;&lt;wsp:rsid wsp:val=&quot;00F84B77&quot;/&gt;&lt;wsp:rsid wsp:val=&quot;00F8559F&quot;/&gt;&lt;wsp:rsid wsp:val=&quot;00F85738&quot;/&gt;&lt;wsp:rsid wsp:val=&quot;00F859C5&quot;/&gt;&lt;wsp:rsid wsp:val=&quot;00F85D84&quot;/&gt;&lt;wsp:rsid wsp:val=&quot;00F85E7A&quot;/&gt;&lt;wsp:rsid wsp:val=&quot;00F8609A&quot;/&gt;&lt;wsp:rsid wsp:val=&quot;00F86338&quot;/&gt;&lt;wsp:rsid wsp:val=&quot;00F8693C&quot;/&gt;&lt;wsp:rsid wsp:val=&quot;00F86FFC&quot;/&gt;&lt;wsp:rsid wsp:val=&quot;00F871F6&quot;/&gt;&lt;wsp:rsid wsp:val=&quot;00F87838&quot;/&gt;&lt;wsp:rsid wsp:val=&quot;00F87867&quot;/&gt;&lt;wsp:rsid wsp:val=&quot;00F8786C&quot;/&gt;&lt;wsp:rsid wsp:val=&quot;00F900C4&quot;/&gt;&lt;wsp:rsid wsp:val=&quot;00F90109&quot;/&gt;&lt;wsp:rsid wsp:val=&quot;00F90192&quot;/&gt;&lt;wsp:rsid wsp:val=&quot;00F90A4C&quot;/&gt;&lt;wsp:rsid wsp:val=&quot;00F90A62&quot;/&gt;&lt;wsp:rsid wsp:val=&quot;00F90DE3&quot;/&gt;&lt;wsp:rsid wsp:val=&quot;00F91036&quot;/&gt;&lt;wsp:rsid wsp:val=&quot;00F915B0&quot;/&gt;&lt;wsp:rsid wsp:val=&quot;00F91F1B&quot;/&gt;&lt;wsp:rsid wsp:val=&quot;00F92253&quot;/&gt;&lt;wsp:rsid wsp:val=&quot;00F92447&quot;/&gt;&lt;wsp:rsid wsp:val=&quot;00F92CC4&quot;/&gt;&lt;wsp:rsid wsp:val=&quot;00F92DAA&quot;/&gt;&lt;wsp:rsid wsp:val=&quot;00F92EE6&quot;/&gt;&lt;wsp:rsid wsp:val=&quot;00F92FDD&quot;/&gt;&lt;wsp:rsid wsp:val=&quot;00F930C4&quot;/&gt;&lt;wsp:rsid wsp:val=&quot;00F932FB&quot;/&gt;&lt;wsp:rsid wsp:val=&quot;00F934B8&quot;/&gt;&lt;wsp:rsid wsp:val=&quot;00F9371D&quot;/&gt;&lt;wsp:rsid wsp:val=&quot;00F938A4&quot;/&gt;&lt;wsp:rsid wsp:val=&quot;00F93A2B&quot;/&gt;&lt;wsp:rsid wsp:val=&quot;00F93A8D&quot;/&gt;&lt;wsp:rsid wsp:val=&quot;00F93B83&quot;/&gt;&lt;wsp:rsid wsp:val=&quot;00F93D94&quot;/&gt;&lt;wsp:rsid wsp:val=&quot;00F93E13&quot;/&gt;&lt;wsp:rsid wsp:val=&quot;00F94910&quot;/&gt;&lt;wsp:rsid wsp:val=&quot;00F94927&quot;/&gt;&lt;wsp:rsid wsp:val=&quot;00F94B0C&quot;/&gt;&lt;wsp:rsid wsp:val=&quot;00F94C0B&quot;/&gt;&lt;wsp:rsid wsp:val=&quot;00F95AEB&quot;/&gt;&lt;wsp:rsid wsp:val=&quot;00F95EAF&quot;/&gt;&lt;wsp:rsid wsp:val=&quot;00F95EE3&quot;/&gt;&lt;wsp:rsid wsp:val=&quot;00F96327&quot;/&gt;&lt;wsp:rsid wsp:val=&quot;00F96387&quot;/&gt;&lt;wsp:rsid wsp:val=&quot;00F96ABC&quot;/&gt;&lt;wsp:rsid wsp:val=&quot;00F96C7A&quot;/&gt;&lt;wsp:rsid wsp:val=&quot;00F97541&quot;/&gt;&lt;wsp:rsid wsp:val=&quot;00F9773A&quot;/&gt;&lt;wsp:rsid wsp:val=&quot;00F97F36&quot;/&gt;&lt;wsp:rsid wsp:val=&quot;00FA00A0&quot;/&gt;&lt;wsp:rsid wsp:val=&quot;00FA01C0&quot;/&gt;&lt;wsp:rsid wsp:val=&quot;00FA033C&quot;/&gt;&lt;wsp:rsid wsp:val=&quot;00FA04BE&quot;/&gt;&lt;wsp:rsid wsp:val=&quot;00FA05F4&quot;/&gt;&lt;wsp:rsid wsp:val=&quot;00FA0C1B&quot;/&gt;&lt;wsp:rsid wsp:val=&quot;00FA1B8C&quot;/&gt;&lt;wsp:rsid wsp:val=&quot;00FA1BC3&quot;/&gt;&lt;wsp:rsid wsp:val=&quot;00FA1DE7&quot;/&gt;&lt;wsp:rsid wsp:val=&quot;00FA2244&quot;/&gt;&lt;wsp:rsid wsp:val=&quot;00FA2540&quot;/&gt;&lt;wsp:rsid wsp:val=&quot;00FA26BE&quot;/&gt;&lt;wsp:rsid wsp:val=&quot;00FA2818&quot;/&gt;&lt;wsp:rsid wsp:val=&quot;00FA2A08&quot;/&gt;&lt;wsp:rsid wsp:val=&quot;00FA2A8E&quot;/&gt;&lt;wsp:rsid wsp:val=&quot;00FA30F6&quot;/&gt;&lt;wsp:rsid wsp:val=&quot;00FA32BD&quot;/&gt;&lt;wsp:rsid wsp:val=&quot;00FA34AC&quot;/&gt;&lt;wsp:rsid wsp:val=&quot;00FA3BCD&quot;/&gt;&lt;wsp:rsid wsp:val=&quot;00FA3F2B&quot;/&gt;&lt;wsp:rsid wsp:val=&quot;00FA41C1&quot;/&gt;&lt;wsp:rsid wsp:val=&quot;00FA4765&quot;/&gt;&lt;wsp:rsid wsp:val=&quot;00FA49C8&quot;/&gt;&lt;wsp:rsid wsp:val=&quot;00FA4FBA&quot;/&gt;&lt;wsp:rsid wsp:val=&quot;00FA504F&quot;/&gt;&lt;wsp:rsid wsp:val=&quot;00FA5CE8&quot;/&gt;&lt;wsp:rsid wsp:val=&quot;00FA60DF&quot;/&gt;&lt;wsp:rsid wsp:val=&quot;00FA67C6&quot;/&gt;&lt;wsp:rsid wsp:val=&quot;00FA6C93&quot;/&gt;&lt;wsp:rsid wsp:val=&quot;00FA764F&quot;/&gt;&lt;wsp:rsid wsp:val=&quot;00FA7B49&quot;/&gt;&lt;wsp:rsid wsp:val=&quot;00FA7FD0&quot;/&gt;&lt;wsp:rsid wsp:val=&quot;00FB00AE&quot;/&gt;&lt;wsp:rsid wsp:val=&quot;00FB045A&quot;/&gt;&lt;wsp:rsid wsp:val=&quot;00FB05A8&quot;/&gt;&lt;wsp:rsid wsp:val=&quot;00FB06EE&quot;/&gt;&lt;wsp:rsid wsp:val=&quot;00FB0D00&quot;/&gt;&lt;wsp:rsid wsp:val=&quot;00FB0F95&quot;/&gt;&lt;wsp:rsid wsp:val=&quot;00FB12DD&quot;/&gt;&lt;wsp:rsid wsp:val=&quot;00FB1C96&quot;/&gt;&lt;wsp:rsid wsp:val=&quot;00FB2222&quot;/&gt;&lt;wsp:rsid wsp:val=&quot;00FB230F&quot;/&gt;&lt;wsp:rsid wsp:val=&quot;00FB26CE&quot;/&gt;&lt;wsp:rsid wsp:val=&quot;00FB2C27&quot;/&gt;&lt;wsp:rsid wsp:val=&quot;00FB3464&quot;/&gt;&lt;wsp:rsid wsp:val=&quot;00FB36A0&quot;/&gt;&lt;wsp:rsid wsp:val=&quot;00FB378F&quot;/&gt;&lt;wsp:rsid wsp:val=&quot;00FB3CA8&quot;/&gt;&lt;wsp:rsid wsp:val=&quot;00FB3D65&quot;/&gt;&lt;wsp:rsid wsp:val=&quot;00FB4896&quot;/&gt;&lt;wsp:rsid wsp:val=&quot;00FB49C9&quot;/&gt;&lt;wsp:rsid wsp:val=&quot;00FB5479&quot;/&gt;&lt;wsp:rsid wsp:val=&quot;00FB5BE0&quot;/&gt;&lt;wsp:rsid wsp:val=&quot;00FB66DF&quot;/&gt;&lt;wsp:rsid wsp:val=&quot;00FB67FB&quot;/&gt;&lt;wsp:rsid wsp:val=&quot;00FB68B4&quot;/&gt;&lt;wsp:rsid wsp:val=&quot;00FB6D37&quot;/&gt;&lt;wsp:rsid wsp:val=&quot;00FB6FE3&quot;/&gt;&lt;wsp:rsid wsp:val=&quot;00FB7158&quot;/&gt;&lt;wsp:rsid wsp:val=&quot;00FB726C&quot;/&gt;&lt;wsp:rsid wsp:val=&quot;00FB75F6&quot;/&gt;&lt;wsp:rsid wsp:val=&quot;00FC0929&quot;/&gt;&lt;wsp:rsid wsp:val=&quot;00FC0B69&quot;/&gt;&lt;wsp:rsid wsp:val=&quot;00FC0DD7&quot;/&gt;&lt;wsp:rsid wsp:val=&quot;00FC15A1&quot;/&gt;&lt;wsp:rsid wsp:val=&quot;00FC15B6&quot;/&gt;&lt;wsp:rsid wsp:val=&quot;00FC1E7C&quot;/&gt;&lt;wsp:rsid wsp:val=&quot;00FC211A&quot;/&gt;&lt;wsp:rsid wsp:val=&quot;00FC24EE&quot;/&gt;&lt;wsp:rsid wsp:val=&quot;00FC2522&quot;/&gt;&lt;wsp:rsid wsp:val=&quot;00FC2C55&quot;/&gt;&lt;wsp:rsid wsp:val=&quot;00FC312E&quot;/&gt;&lt;wsp:rsid wsp:val=&quot;00FC346A&quot;/&gt;&lt;wsp:rsid wsp:val=&quot;00FC3BE2&quot;/&gt;&lt;wsp:rsid wsp:val=&quot;00FC3F56&quot;/&gt;&lt;wsp:rsid wsp:val=&quot;00FC42D9&quot;/&gt;&lt;wsp:rsid wsp:val=&quot;00FC49F9&quot;/&gt;&lt;wsp:rsid wsp:val=&quot;00FC4F0F&quot;/&gt;&lt;wsp:rsid wsp:val=&quot;00FC4F67&quot;/&gt;&lt;wsp:rsid wsp:val=&quot;00FC509E&quot;/&gt;&lt;wsp:rsid wsp:val=&quot;00FC525E&quot;/&gt;&lt;wsp:rsid wsp:val=&quot;00FC55B4&quot;/&gt;&lt;wsp:rsid wsp:val=&quot;00FC5ADA&quot;/&gt;&lt;wsp:rsid wsp:val=&quot;00FC60AF&quot;/&gt;&lt;wsp:rsid wsp:val=&quot;00FC6224&quot;/&gt;&lt;wsp:rsid wsp:val=&quot;00FC6496&quot;/&gt;&lt;wsp:rsid wsp:val=&quot;00FC6906&quot;/&gt;&lt;wsp:rsid wsp:val=&quot;00FC69CA&quot;/&gt;&lt;wsp:rsid wsp:val=&quot;00FC6B75&quot;/&gt;&lt;wsp:rsid wsp:val=&quot;00FC7632&quot;/&gt;&lt;wsp:rsid wsp:val=&quot;00FC7807&quot;/&gt;&lt;wsp:rsid wsp:val=&quot;00FC7B72&quot;/&gt;&lt;wsp:rsid wsp:val=&quot;00FC7D2A&quot;/&gt;&lt;wsp:rsid wsp:val=&quot;00FC7F6A&quot;/&gt;&lt;wsp:rsid wsp:val=&quot;00FD01AC&quot;/&gt;&lt;wsp:rsid wsp:val=&quot;00FD01BA&quot;/&gt;&lt;wsp:rsid wsp:val=&quot;00FD06A4&quot;/&gt;&lt;wsp:rsid wsp:val=&quot;00FD0897&quot;/&gt;&lt;wsp:rsid wsp:val=&quot;00FD0912&quot;/&gt;&lt;wsp:rsid wsp:val=&quot;00FD10F6&quot;/&gt;&lt;wsp:rsid wsp:val=&quot;00FD12B2&quot;/&gt;&lt;wsp:rsid wsp:val=&quot;00FD12B3&quot;/&gt;&lt;wsp:rsid wsp:val=&quot;00FD1AE0&quot;/&gt;&lt;wsp:rsid wsp:val=&quot;00FD2D3C&quot;/&gt;&lt;wsp:rsid wsp:val=&quot;00FD375E&quot;/&gt;&lt;wsp:rsid wsp:val=&quot;00FD399B&quot;/&gt;&lt;wsp:rsid wsp:val=&quot;00FD3F7E&quot;/&gt;&lt;wsp:rsid wsp:val=&quot;00FD41C0&quot;/&gt;&lt;wsp:rsid wsp:val=&quot;00FD4CF6&quot;/&gt;&lt;wsp:rsid wsp:val=&quot;00FD5455&quot;/&gt;&lt;wsp:rsid wsp:val=&quot;00FD5531&quot;/&gt;&lt;wsp:rsid wsp:val=&quot;00FD584E&quot;/&gt;&lt;wsp:rsid wsp:val=&quot;00FD5AE7&quot;/&gt;&lt;wsp:rsid wsp:val=&quot;00FD5F9D&quot;/&gt;&lt;wsp:rsid wsp:val=&quot;00FD618D&quot;/&gt;&lt;wsp:rsid wsp:val=&quot;00FD66C9&quot;/&gt;&lt;wsp:rsid wsp:val=&quot;00FD6D27&quot;/&gt;&lt;wsp:rsid wsp:val=&quot;00FD6F86&quot;/&gt;&lt;wsp:rsid wsp:val=&quot;00FD75D7&quot;/&gt;&lt;wsp:rsid wsp:val=&quot;00FD762F&quot;/&gt;&lt;wsp:rsid wsp:val=&quot;00FD76A1&quot;/&gt;&lt;wsp:rsid wsp:val=&quot;00FD7D93&quot;/&gt;&lt;wsp:rsid wsp:val=&quot;00FD7DE1&quot;/&gt;&lt;wsp:rsid wsp:val=&quot;00FE029E&quot;/&gt;&lt;wsp:rsid wsp:val=&quot;00FE036B&quot;/&gt;&lt;wsp:rsid wsp:val=&quot;00FE0473&quot;/&gt;&lt;wsp:rsid wsp:val=&quot;00FE051B&quot;/&gt;&lt;wsp:rsid wsp:val=&quot;00FE05F2&quot;/&gt;&lt;wsp:rsid wsp:val=&quot;00FE0609&quot;/&gt;&lt;wsp:rsid wsp:val=&quot;00FE08A0&quot;/&gt;&lt;wsp:rsid wsp:val=&quot;00FE0BA6&quot;/&gt;&lt;wsp:rsid wsp:val=&quot;00FE0C80&quot;/&gt;&lt;wsp:rsid wsp:val=&quot;00FE0EEB&quot;/&gt;&lt;wsp:rsid wsp:val=&quot;00FE1247&quot;/&gt;&lt;wsp:rsid wsp:val=&quot;00FE13FE&quot;/&gt;&lt;wsp:rsid wsp:val=&quot;00FE1543&quot;/&gt;&lt;wsp:rsid wsp:val=&quot;00FE174B&quot;/&gt;&lt;wsp:rsid wsp:val=&quot;00FE1BF0&quot;/&gt;&lt;wsp:rsid wsp:val=&quot;00FE1C12&quot;/&gt;&lt;wsp:rsid wsp:val=&quot;00FE23D2&quot;/&gt;&lt;wsp:rsid wsp:val=&quot;00FE2C75&quot;/&gt;&lt;wsp:rsid wsp:val=&quot;00FE2EA9&quot;/&gt;&lt;wsp:rsid wsp:val=&quot;00FE2F88&quot;/&gt;&lt;wsp:rsid wsp:val=&quot;00FE3205&quot;/&gt;&lt;wsp:rsid wsp:val=&quot;00FE3508&quot;/&gt;&lt;wsp:rsid wsp:val=&quot;00FE4194&quot;/&gt;&lt;wsp:rsid wsp:val=&quot;00FE4C69&quot;/&gt;&lt;wsp:rsid wsp:val=&quot;00FE50F5&quot;/&gt;&lt;wsp:rsid wsp:val=&quot;00FE5A67&quot;/&gt;&lt;wsp:rsid wsp:val=&quot;00FE5B4E&quot;/&gt;&lt;wsp:rsid wsp:val=&quot;00FE5BB6&quot;/&gt;&lt;wsp:rsid wsp:val=&quot;00FE5FE2&quot;/&gt;&lt;wsp:rsid wsp:val=&quot;00FE68AF&quot;/&gt;&lt;wsp:rsid wsp:val=&quot;00FE69FF&quot;/&gt;&lt;wsp:rsid wsp:val=&quot;00FE6B81&quot;/&gt;&lt;wsp:rsid wsp:val=&quot;00FE6F08&quot;/&gt;&lt;wsp:rsid wsp:val=&quot;00FE73DA&quot;/&gt;&lt;wsp:rsid wsp:val=&quot;00FE7461&quot;/&gt;&lt;wsp:rsid wsp:val=&quot;00FE7AE3&quot;/&gt;&lt;wsp:rsid wsp:val=&quot;00FE7B60&quot;/&gt;&lt;wsp:rsid wsp:val=&quot;00FE7DA7&quot;/&gt;&lt;wsp:rsid wsp:val=&quot;00FF008D&quot;/&gt;&lt;wsp:rsid wsp:val=&quot;00FF035A&quot;/&gt;&lt;wsp:rsid wsp:val=&quot;00FF0673&quot;/&gt;&lt;wsp:rsid wsp:val=&quot;00FF0D10&quot;/&gt;&lt;wsp:rsid wsp:val=&quot;00FF0F50&quot;/&gt;&lt;wsp:rsid wsp:val=&quot;00FF1047&quot;/&gt;&lt;wsp:rsid wsp:val=&quot;00FF14A9&quot;/&gt;&lt;wsp:rsid wsp:val=&quot;00FF1544&quot;/&gt;&lt;wsp:rsid wsp:val=&quot;00FF17EF&quot;/&gt;&lt;wsp:rsid wsp:val=&quot;00FF1913&quot;/&gt;&lt;wsp:rsid wsp:val=&quot;00FF1B3F&quot;/&gt;&lt;wsp:rsid wsp:val=&quot;00FF2053&quot;/&gt;&lt;wsp:rsid wsp:val=&quot;00FF21AF&quot;/&gt;&lt;wsp:rsid wsp:val=&quot;00FF23D4&quot;/&gt;&lt;wsp:rsid wsp:val=&quot;00FF2490&quot;/&gt;&lt;wsp:rsid wsp:val=&quot;00FF24C2&quot;/&gt;&lt;wsp:rsid wsp:val=&quot;00FF2651&quot;/&gt;&lt;wsp:rsid wsp:val=&quot;00FF2697&quot;/&gt;&lt;wsp:rsid wsp:val=&quot;00FF26E2&quot;/&gt;&lt;wsp:rsid wsp:val=&quot;00FF2FA3&quot;/&gt;&lt;wsp:rsid wsp:val=&quot;00FF3527&quot;/&gt;&lt;wsp:rsid wsp:val=&quot;00FF3F2D&quot;/&gt;&lt;wsp:rsid wsp:val=&quot;00FF3FDC&quot;/&gt;&lt;wsp:rsid wsp:val=&quot;00FF418C&quot;/&gt;&lt;wsp:rsid wsp:val=&quot;00FF458A&quot;/&gt;&lt;wsp:rsid wsp:val=&quot;00FF4B3E&quot;/&gt;&lt;wsp:rsid wsp:val=&quot;00FF4BC9&quot;/&gt;&lt;wsp:rsid wsp:val=&quot;00FF4BCD&quot;/&gt;&lt;wsp:rsid wsp:val=&quot;00FF4CE9&quot;/&gt;&lt;wsp:rsid wsp:val=&quot;00FF4F95&quot;/&gt;&lt;wsp:rsid wsp:val=&quot;00FF5096&quot;/&gt;&lt;wsp:rsid wsp:val=&quot;00FF529E&quot;/&gt;&lt;wsp:rsid wsp:val=&quot;00FF549F&quot;/&gt;&lt;wsp:rsid wsp:val=&quot;00FF54B7&quot;/&gt;&lt;wsp:rsid wsp:val=&quot;00FF5666&quot;/&gt;&lt;wsp:rsid wsp:val=&quot;00FF56A5&quot;/&gt;&lt;wsp:rsid wsp:val=&quot;00FF5BF6&quot;/&gt;&lt;wsp:rsid wsp:val=&quot;00FF5C6D&quot;/&gt;&lt;wsp:rsid wsp:val=&quot;00FF5C6E&quot;/&gt;&lt;wsp:rsid wsp:val=&quot;00FF633F&quot;/&gt;&lt;wsp:rsid wsp:val=&quot;00FF66CC&quot;/&gt;&lt;wsp:rsid wsp:val=&quot;00FF67D3&quot;/&gt;&lt;wsp:rsid wsp:val=&quot;00FF6B0E&quot;/&gt;&lt;wsp:rsid wsp:val=&quot;00FF6B43&quot;/&gt;&lt;wsp:rsid wsp:val=&quot;00FF6F3F&quot;/&gt;&lt;wsp:rsid wsp:val=&quot;00FF7328&quot;/&gt;&lt;wsp:rsid wsp:val=&quot;00FF7600&quot;/&gt;&lt;wsp:rsid wsp:val=&quot;00FF77A7&quot;/&gt;&lt;wsp:rsid wsp:val=&quot;00FF7B0F&quot;/&gt;&lt;wsp:rsid wsp:val=&quot;00FF7D42&quot;/&gt;&lt;wsp:rsid wsp:val=&quot;00FF7F25&quot;/&gt;&lt;/wsp:rsids&gt;&lt;/w:docPr&gt;&lt;w:body&gt;&lt;w:p wsp:rsidR=&quot;00000000&quot; wsp:rsidRDefault=&quot;006039BA&quot;&gt;&lt;m:oMathPara&gt;&lt;m:oMath&gt;&lt;m:r&gt;&lt;w:rPr&gt;&lt;w:rFonts w:ascii=&quot;Cambria Math&quot; w:fareast=&quot;Times New Roman&quot; w:h-ansi=&quot;Cambria Math&quot;/&gt;&lt;wx:font wx:val=&quot;Cambria Math&quot;/&gt;&lt;w:i/&gt;&lt;w:sz w:val=&quot;28&quot;/&gt;&lt;w:sz-cs w:val=&quot;24&quot;/&gt;&lt;w:lang w:fareast=&quot;RU&quot;/&gt;&lt;/w:rPr&gt;&lt;m:t&gt;H=43666Г—&lt;/m:t&gt;&lt;/m:r&gt;&lt;m:sSup&gt;&lt;m:sSupPr&gt;&lt;m:ctrlPr&gt;&lt;w:rPr&gt;&lt;w:rFonts w:ascii=&quot;Cambria Math&quot; w:fareast=&quot;Times New Roman&quot; w:h-ansi=&quot;Cambria Math&quot;/&gt;&lt;wx:font wx:val=&quot;Cambria Math&quot;/&gt;&lt;w:i/&gt;&lt;w:sz w:val=&quot;28&quot;/&gt;&lt;w:sz-cs w:val=&quot;24&quot;/&gt;&lt;w:lang w:fareast=&quot;RU&quot;/&gt;&lt;/w:rPr&gt;&lt;/m:ctrlPr&gt;&lt;/m:sSupPr&gt;&lt;m:e&gt;&lt;m:r&gt;&lt;w:rPr&gt;&lt;w:rFonts w:ascii=&quot;Cambria Math&quot; w:fareast=&quot;Times New Roman&quot; w:h-ansi=&quot;Cambria Math&quot;/&gt;&lt;wx:font wx:val=&quot;Cambria Math&quot;/&gt;&lt;w:i/&gt;&lt;w:sz w:val=&quot;28&quot;/&gt;&lt;w:sz-cs w:val=&quot;24&quot;/&gt;&lt;w:lang w:fareast=&quot;RU&quot;/&gt;&lt;/w:rPr&gt;&lt;m:t&gt;(1+&lt;/m:t&gt;&lt;/m:r&gt;&lt;m:f&gt;&lt;m:fPr&gt;&lt;m:ctrlPr&gt;&lt;w:rPr&gt;&lt;w:rFonts w:ascii=&quot;Cambria Math&quot; w:fareast=&quot;Times New Roman&quot; w:h-ansi=&quot;Cambria Math&quot;/&gt;&lt;wx:font wx:val=&quot;Cambria Math&quot;/&gt;&lt;w:i/&gt;&lt;w:sz w:val=&quot;28&quot;/&gt;&lt;w:sz-cs w:val=&quot;24&quot;/&gt;&lt;w:lang w:fareast=&quot;RU&quot;/&gt;&lt;/w:rPr&gt;&lt;/m:ctrlPr&gt;&lt;/m:fPr&gt;&lt;m:num&gt;&lt;m:r&gt;&lt;w:rPr&gt;&lt;w:rFonts w:ascii=&quot;Cambria Math&quot; w:fareast=&quot;Times New Roman&quot; w:h-ansi=&quot;Cambria Math&quot;/&gt;&lt;wx:font wx:val=&quot;Cambria Math&quot;/&gt;&lt;w:i/&gt;&lt;w:sz w:val=&quot;28&quot;/&gt;&lt;w:sz-cs w:val=&quot;24&quot;/&gt;&lt;w:lang w:fareast=&quot;RU&quot;/&gt;&lt;/w:rPr&gt;&lt;m:t&gt;-0,38%-0,16%&lt;/m:t&gt;&lt;/m:r&gt;&lt;/m:num&gt;&lt;m:den&gt;&lt;m:r&gt;&lt;w:rPr&gt;&lt;w:rFonts w:ascii=&quot;Cambria Math&quot; w:fareast=&quot;Times New Roman&quot; w:h-ansi=&quot;Cambria Math&quot;/&gt;&lt;wx:font wx:val=&quot;Cambria Math&quot;/&gt;&lt;w:i/&gt;&lt;w:sz w:val=&quot;28&quot;/&gt;&lt;w:sz-cs w:val=&quot;24&quot;/&gt;&lt;w:lang w:fareast=&quot;RU&quot;/&gt;&lt;/w:rPr&gt;&lt;m:t&gt;100&lt;/m:t&gt;&lt;/m:r&gt;&lt;/m:den&gt;&lt;/m:f&gt;&lt;m:r&gt;&lt;w:rPr&gt;&lt;w:rFonts w:ascii=&quot;Cambria Math&quot; w:fareast=&quot;Times New Roman&quot; w:h-ansi=&quot;Cambria Math&quot;/&gt;&lt;wx:font wx:val=&quot;Cambria Math&quot;/&gt;&lt;w:i/&gt;&lt;w:sz w:val=&quot;28&quot;/&gt;&lt;w:sz-cs w:val=&quot;24&quot;/&gt;&lt;w:lang w:fareast=&quot;RU&quot;/&gt;&lt;/w:rPr&gt;&lt;m:t&gt;)&lt;/m:t&gt;&lt;/m:r&gt;&lt;/m:e&gt;&lt;m:sup&gt;&lt;m:r&gt;&lt;w:rPr&gt;&lt;w:rFonts w:ascii=&quot;Cambria Math&quot; w:fareast=&quot;Times New Roman&quot; w:h-ansi=&quot;Cambria Math&quot;/&gt;&lt;wx:font wx:val=&quot;Cambria Math&quot;/&gt;&lt;w:i/&gt;&lt;w:sz w:val=&quot;28&quot;/&gt;&lt;w:sz-cs w:val=&quot;24&quot;/&gt;&lt;w:lang w:fareast=&quot;RU&quot;/&gt;&lt;/w:rPr&gt;&lt;m:t&gt;10&lt;/m:t&gt;&lt;/m:r&gt;&lt;/m:sup&gt;&lt;/m:sSup&gt;&lt;m:r&gt;&lt;w:rPr&gt;&lt;w:rFonts w:ascii=&quot;Cambria Math&quot; w:fareast=&quot;Times New Roman&quot; w:h-ansi=&quot;Cambria Math&quot;/&gt;&lt;wx:font wx:val=&quot;Cambria Math&quot;/&gt;&lt;w:i/&gt;&lt;w:sz w:val=&quot;28&quot;/&gt;&lt;w:sz-cs w:val=&quot;24&quot;/&gt;&lt;w:lang w:fareast=&quot;RU&quot;/&gt;&lt;/w:rPr&gt;&lt;m:t&gt;=41335&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3" o:title="" chromakey="white"/>
          </v:shape>
        </w:pict>
      </w:r>
    </w:p>
    <w:p w:rsidR="002D1E45" w:rsidRPr="00B95F0E" w:rsidRDefault="002D1E45" w:rsidP="00B95F0E">
      <w:pPr>
        <w:spacing w:after="0" w:line="240" w:lineRule="auto"/>
        <w:ind w:firstLine="709"/>
        <w:jc w:val="both"/>
        <w:rPr>
          <w:rFonts w:ascii="Times New Roman" w:hAnsi="Times New Roman"/>
          <w:sz w:val="28"/>
          <w:szCs w:val="24"/>
          <w:lang w:eastAsia="ru-RU"/>
        </w:rPr>
      </w:pPr>
    </w:p>
    <w:p w:rsidR="002D1E45" w:rsidRPr="00B95F0E" w:rsidRDefault="002D1E45" w:rsidP="00B95F0E">
      <w:pPr>
        <w:spacing w:after="0" w:line="240" w:lineRule="auto"/>
        <w:ind w:firstLine="709"/>
        <w:jc w:val="both"/>
        <w:rPr>
          <w:rFonts w:ascii="Times New Roman" w:hAnsi="Times New Roman"/>
          <w:sz w:val="28"/>
          <w:szCs w:val="24"/>
          <w:lang w:eastAsia="ru-RU"/>
        </w:rPr>
      </w:pPr>
      <w:r w:rsidRPr="00B95F0E">
        <w:rPr>
          <w:rFonts w:ascii="Times New Roman" w:hAnsi="Times New Roman"/>
          <w:sz w:val="28"/>
          <w:szCs w:val="24"/>
          <w:lang w:eastAsia="ru-RU"/>
        </w:rPr>
        <w:t>Для расчётного срока (20</w:t>
      </w:r>
      <w:r>
        <w:rPr>
          <w:rFonts w:ascii="Times New Roman" w:hAnsi="Times New Roman"/>
          <w:sz w:val="28"/>
          <w:szCs w:val="24"/>
          <w:lang w:eastAsia="ru-RU"/>
        </w:rPr>
        <w:t>40</w:t>
      </w:r>
      <w:r w:rsidRPr="00B95F0E">
        <w:rPr>
          <w:rFonts w:ascii="Times New Roman" w:hAnsi="Times New Roman"/>
          <w:sz w:val="28"/>
          <w:szCs w:val="24"/>
          <w:lang w:eastAsia="ru-RU"/>
        </w:rPr>
        <w:t xml:space="preserve"> год):</w:t>
      </w:r>
    </w:p>
    <w:p w:rsidR="002D1E45" w:rsidRPr="00B95F0E" w:rsidRDefault="002D1E45" w:rsidP="00B95F0E">
      <w:pPr>
        <w:spacing w:after="0" w:line="240" w:lineRule="auto"/>
        <w:ind w:firstLine="709"/>
        <w:jc w:val="both"/>
        <w:rPr>
          <w:rFonts w:ascii="Times New Roman" w:hAnsi="Times New Roman"/>
          <w:sz w:val="28"/>
          <w:szCs w:val="24"/>
          <w:lang w:eastAsia="ru-RU"/>
        </w:rPr>
      </w:pPr>
    </w:p>
    <w:p w:rsidR="002D1E45" w:rsidRPr="00B95F0E" w:rsidRDefault="002D1E45" w:rsidP="00B95F0E">
      <w:pPr>
        <w:spacing w:after="0" w:line="240" w:lineRule="auto"/>
        <w:ind w:firstLine="709"/>
        <w:jc w:val="both"/>
        <w:rPr>
          <w:rFonts w:ascii="Times New Roman" w:hAnsi="Times New Roman"/>
          <w:sz w:val="28"/>
          <w:szCs w:val="24"/>
          <w:lang w:eastAsia="ru-RU"/>
        </w:rPr>
      </w:pPr>
      <w:r>
        <w:pict>
          <v:shape id="_x0000_i1049" type="#_x0000_t75" style="width:298.5pt;height:36pt" equationxml="&lt;?xml version=&quot;1.0&quot; encoding=&quot;UTF-8&quot; standalone=&quot;yes&quot;?&gt;&#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stylePaneFormatFilter w:val=&quot;3F01&quot;/&gt;&lt;w:defaultTabStop w:val=&quot;709&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55249&quot;/&gt;&lt;wsp:rsid wsp:val=&quot;00000069&quot;/&gt;&lt;wsp:rsid wsp:val=&quot;0000011C&quot;/&gt;&lt;wsp:rsid wsp:val=&quot;00000437&quot;/&gt;&lt;wsp:rsid wsp:val=&quot;00001379&quot;/&gt;&lt;wsp:rsid wsp:val=&quot;0000148E&quot;/&gt;&lt;wsp:rsid wsp:val=&quot;00001718&quot;/&gt;&lt;wsp:rsid wsp:val=&quot;000017EA&quot;/&gt;&lt;wsp:rsid wsp:val=&quot;00001828&quot;/&gt;&lt;wsp:rsid wsp:val=&quot;00001D98&quot;/&gt;&lt;wsp:rsid wsp:val=&quot;0000229E&quot;/&gt;&lt;wsp:rsid wsp:val=&quot;000027D5&quot;/&gt;&lt;wsp:rsid wsp:val=&quot;00002824&quot;/&gt;&lt;wsp:rsid wsp:val=&quot;00002C12&quot;/&gt;&lt;wsp:rsid wsp:val=&quot;00002C43&quot;/&gt;&lt;wsp:rsid wsp:val=&quot;00002D9C&quot;/&gt;&lt;wsp:rsid wsp:val=&quot;00002F36&quot;/&gt;&lt;wsp:rsid wsp:val=&quot;0000302F&quot;/&gt;&lt;wsp:rsid wsp:val=&quot;00003030&quot;/&gt;&lt;wsp:rsid wsp:val=&quot;00003EFF&quot;/&gt;&lt;wsp:rsid wsp:val=&quot;0000414C&quot;/&gt;&lt;wsp:rsid wsp:val=&quot;0000443D&quot;/&gt;&lt;wsp:rsid wsp:val=&quot;000046CC&quot;/&gt;&lt;wsp:rsid wsp:val=&quot;00004716&quot;/&gt;&lt;wsp:rsid wsp:val=&quot;0000486D&quot;/&gt;&lt;wsp:rsid wsp:val=&quot;000049C0&quot;/&gt;&lt;wsp:rsid wsp:val=&quot;00004D19&quot;/&gt;&lt;wsp:rsid wsp:val=&quot;00004FAE&quot;/&gt;&lt;wsp:rsid wsp:val=&quot;00004FFC&quot;/&gt;&lt;wsp:rsid wsp:val=&quot;00005636&quot;/&gt;&lt;wsp:rsid wsp:val=&quot;000056E1&quot;/&gt;&lt;wsp:rsid wsp:val=&quot;00005DAF&quot;/&gt;&lt;wsp:rsid wsp:val=&quot;00005F1A&quot;/&gt;&lt;wsp:rsid wsp:val=&quot;00005FEB&quot;/&gt;&lt;wsp:rsid wsp:val=&quot;00006392&quot;/&gt;&lt;wsp:rsid wsp:val=&quot;000063D0&quot;/&gt;&lt;wsp:rsid wsp:val=&quot;00006AE8&quot;/&gt;&lt;wsp:rsid wsp:val=&quot;00006D6F&quot;/&gt;&lt;wsp:rsid wsp:val=&quot;00007175&quot;/&gt;&lt;wsp:rsid wsp:val=&quot;00007274&quot;/&gt;&lt;wsp:rsid wsp:val=&quot;00007B99&quot;/&gt;&lt;wsp:rsid wsp:val=&quot;000101C0&quot;/&gt;&lt;wsp:rsid wsp:val=&quot;00010212&quot;/&gt;&lt;wsp:rsid wsp:val=&quot;00010264&quot;/&gt;&lt;wsp:rsid wsp:val=&quot;000102BD&quot;/&gt;&lt;wsp:rsid wsp:val=&quot;000102EA&quot;/&gt;&lt;wsp:rsid wsp:val=&quot;00010466&quot;/&gt;&lt;wsp:rsid wsp:val=&quot;00010AB4&quot;/&gt;&lt;wsp:rsid wsp:val=&quot;00010B0B&quot;/&gt;&lt;wsp:rsid wsp:val=&quot;00010C3B&quot;/&gt;&lt;wsp:rsid wsp:val=&quot;00010F91&quot;/&gt;&lt;wsp:rsid wsp:val=&quot;000112EE&quot;/&gt;&lt;wsp:rsid wsp:val=&quot;0001146D&quot;/&gt;&lt;wsp:rsid wsp:val=&quot;00011665&quot;/&gt;&lt;wsp:rsid wsp:val=&quot;00011B64&quot;/&gt;&lt;wsp:rsid wsp:val=&quot;00011CA8&quot;/&gt;&lt;wsp:rsid wsp:val=&quot;00011DE4&quot;/&gt;&lt;wsp:rsid wsp:val=&quot;000124AE&quot;/&gt;&lt;wsp:rsid wsp:val=&quot;000127BC&quot;/&gt;&lt;wsp:rsid wsp:val=&quot;00012A66&quot;/&gt;&lt;wsp:rsid wsp:val=&quot;00012DA8&quot;/&gt;&lt;wsp:rsid wsp:val=&quot;00013A20&quot;/&gt;&lt;wsp:rsid wsp:val=&quot;00013A8A&quot;/&gt;&lt;wsp:rsid wsp:val=&quot;00013CAF&quot;/&gt;&lt;wsp:rsid wsp:val=&quot;00013FBF&quot;/&gt;&lt;wsp:rsid wsp:val=&quot;00014152&quot;/&gt;&lt;wsp:rsid wsp:val=&quot;00014177&quot;/&gt;&lt;wsp:rsid wsp:val=&quot;0001436E&quot;/&gt;&lt;wsp:rsid wsp:val=&quot;00014640&quot;/&gt;&lt;wsp:rsid wsp:val=&quot;000146AB&quot;/&gt;&lt;wsp:rsid wsp:val=&quot;0001483D&quot;/&gt;&lt;wsp:rsid wsp:val=&quot;00014851&quot;/&gt;&lt;wsp:rsid wsp:val=&quot;00014B97&quot;/&gt;&lt;wsp:rsid wsp:val=&quot;00014CA6&quot;/&gt;&lt;wsp:rsid wsp:val=&quot;00015089&quot;/&gt;&lt;wsp:rsid wsp:val=&quot;00015200&quot;/&gt;&lt;wsp:rsid wsp:val=&quot;00015247&quot;/&gt;&lt;wsp:rsid wsp:val=&quot;00015471&quot;/&gt;&lt;wsp:rsid wsp:val=&quot;00015475&quot;/&gt;&lt;wsp:rsid wsp:val=&quot;000156EB&quot;/&gt;&lt;wsp:rsid wsp:val=&quot;00015CFD&quot;/&gt;&lt;wsp:rsid wsp:val=&quot;00015E89&quot;/&gt;&lt;wsp:rsid wsp:val=&quot;000162CA&quot;/&gt;&lt;wsp:rsid wsp:val=&quot;000168D8&quot;/&gt;&lt;wsp:rsid wsp:val=&quot;00016BF0&quot;/&gt;&lt;wsp:rsid wsp:val=&quot;00016DD4&quot;/&gt;&lt;wsp:rsid wsp:val=&quot;00016F5A&quot;/&gt;&lt;wsp:rsid wsp:val=&quot;000171AD&quot;/&gt;&lt;wsp:rsid wsp:val=&quot;0001725E&quot;/&gt;&lt;wsp:rsid wsp:val=&quot;000173C4&quot;/&gt;&lt;wsp:rsid wsp:val=&quot;0001783F&quot;/&gt;&lt;wsp:rsid wsp:val=&quot;00017B5A&quot;/&gt;&lt;wsp:rsid wsp:val=&quot;00017FC8&quot;/&gt;&lt;wsp:rsid wsp:val=&quot;000200B7&quot;/&gt;&lt;wsp:rsid wsp:val=&quot;00020690&quot;/&gt;&lt;wsp:rsid wsp:val=&quot;000207BC&quot;/&gt;&lt;wsp:rsid wsp:val=&quot;00020B70&quot;/&gt;&lt;wsp:rsid wsp:val=&quot;00020CF2&quot;/&gt;&lt;wsp:rsid wsp:val=&quot;00020D15&quot;/&gt;&lt;wsp:rsid wsp:val=&quot;0002146E&quot;/&gt;&lt;wsp:rsid wsp:val=&quot;000216FC&quot;/&gt;&lt;wsp:rsid wsp:val=&quot;00021808&quot;/&gt;&lt;wsp:rsid wsp:val=&quot;00021864&quot;/&gt;&lt;wsp:rsid wsp:val=&quot;000219DD&quot;/&gt;&lt;wsp:rsid wsp:val=&quot;00021A57&quot;/&gt;&lt;wsp:rsid wsp:val=&quot;00021C1B&quot;/&gt;&lt;wsp:rsid wsp:val=&quot;00021C6A&quot;/&gt;&lt;wsp:rsid wsp:val=&quot;0002261A&quot;/&gt;&lt;wsp:rsid wsp:val=&quot;00022689&quot;/&gt;&lt;wsp:rsid wsp:val=&quot;0002275A&quot;/&gt;&lt;wsp:rsid wsp:val=&quot;00022976&quot;/&gt;&lt;wsp:rsid wsp:val=&quot;00022B13&quot;/&gt;&lt;wsp:rsid wsp:val=&quot;00022C89&quot;/&gt;&lt;wsp:rsid wsp:val=&quot;00022ED3&quot;/&gt;&lt;wsp:rsid wsp:val=&quot;0002310D&quot;/&gt;&lt;wsp:rsid wsp:val=&quot;0002325C&quot;/&gt;&lt;wsp:rsid wsp:val=&quot;000233B5&quot;/&gt;&lt;wsp:rsid wsp:val=&quot;000235C8&quot;/&gt;&lt;wsp:rsid wsp:val=&quot;000237E7&quot;/&gt;&lt;wsp:rsid wsp:val=&quot;000238DD&quot;/&gt;&lt;wsp:rsid wsp:val=&quot;00023B4A&quot;/&gt;&lt;wsp:rsid wsp:val=&quot;00023CDA&quot;/&gt;&lt;wsp:rsid wsp:val=&quot;0002413B&quot;/&gt;&lt;wsp:rsid wsp:val=&quot;000244A8&quot;/&gt;&lt;wsp:rsid wsp:val=&quot;0002487C&quot;/&gt;&lt;wsp:rsid wsp:val=&quot;00024D37&quot;/&gt;&lt;wsp:rsid wsp:val=&quot;00024F28&quot;/&gt;&lt;wsp:rsid wsp:val=&quot;000252B6&quot;/&gt;&lt;wsp:rsid wsp:val=&quot;000254CC&quot;/&gt;&lt;wsp:rsid wsp:val=&quot;00025586&quot;/&gt;&lt;wsp:rsid wsp:val=&quot;000260FE&quot;/&gt;&lt;wsp:rsid wsp:val=&quot;00026294&quot;/&gt;&lt;wsp:rsid wsp:val=&quot;00026338&quot;/&gt;&lt;wsp:rsid wsp:val=&quot;000266C8&quot;/&gt;&lt;wsp:rsid wsp:val=&quot;00026ABE&quot;/&gt;&lt;wsp:rsid wsp:val=&quot;00026FF4&quot;/&gt;&lt;wsp:rsid wsp:val=&quot;0002729C&quot;/&gt;&lt;wsp:rsid wsp:val=&quot;000279E6&quot;/&gt;&lt;wsp:rsid wsp:val=&quot;00027B3A&quot;/&gt;&lt;wsp:rsid wsp:val=&quot;00027C41&quot;/&gt;&lt;wsp:rsid wsp:val=&quot;00027F89&quot;/&gt;&lt;wsp:rsid wsp:val=&quot;0003050D&quot;/&gt;&lt;wsp:rsid wsp:val=&quot;00030523&quot;/&gt;&lt;wsp:rsid wsp:val=&quot;00031209&quot;/&gt;&lt;wsp:rsid wsp:val=&quot;00031883&quot;/&gt;&lt;wsp:rsid wsp:val=&quot;00032460&quot;/&gt;&lt;wsp:rsid wsp:val=&quot;0003252F&quot;/&gt;&lt;wsp:rsid wsp:val=&quot;000325E4&quot;/&gt;&lt;wsp:rsid wsp:val=&quot;000329BA&quot;/&gt;&lt;wsp:rsid wsp:val=&quot;00032F20&quot;/&gt;&lt;wsp:rsid wsp:val=&quot;000330C7&quot;/&gt;&lt;wsp:rsid wsp:val=&quot;00033121&quot;/&gt;&lt;wsp:rsid wsp:val=&quot;000332E2&quot;/&gt;&lt;wsp:rsid wsp:val=&quot;00033895&quot;/&gt;&lt;wsp:rsid wsp:val=&quot;00033D2D&quot;/&gt;&lt;wsp:rsid wsp:val=&quot;0003401B&quot;/&gt;&lt;wsp:rsid wsp:val=&quot;000341CE&quot;/&gt;&lt;wsp:rsid wsp:val=&quot;00034258&quot;/&gt;&lt;wsp:rsid wsp:val=&quot;00034677&quot;/&gt;&lt;wsp:rsid wsp:val=&quot;000355D5&quot;/&gt;&lt;wsp:rsid wsp:val=&quot;0003587E&quot;/&gt;&lt;wsp:rsid wsp:val=&quot;000358E5&quot;/&gt;&lt;wsp:rsid wsp:val=&quot;00035FC8&quot;/&gt;&lt;wsp:rsid wsp:val=&quot;00036085&quot;/&gt;&lt;wsp:rsid wsp:val=&quot;0003610F&quot;/&gt;&lt;wsp:rsid wsp:val=&quot;00036574&quot;/&gt;&lt;wsp:rsid wsp:val=&quot;00036A0C&quot;/&gt;&lt;wsp:rsid wsp:val=&quot;0003741C&quot;/&gt;&lt;wsp:rsid wsp:val=&quot;000375A9&quot;/&gt;&lt;wsp:rsid wsp:val=&quot;000375E4&quot;/&gt;&lt;wsp:rsid wsp:val=&quot;00037990&quot;/&gt;&lt;wsp:rsid wsp:val=&quot;000379E2&quot;/&gt;&lt;wsp:rsid wsp:val=&quot;00037A8B&quot;/&gt;&lt;wsp:rsid wsp:val=&quot;00037B44&quot;/&gt;&lt;wsp:rsid wsp:val=&quot;00037D86&quot;/&gt;&lt;wsp:rsid wsp:val=&quot;000401B5&quot;/&gt;&lt;wsp:rsid wsp:val=&quot;00040704&quot;/&gt;&lt;wsp:rsid wsp:val=&quot;00040747&quot;/&gt;&lt;wsp:rsid wsp:val=&quot;00040937&quot;/&gt;&lt;wsp:rsid wsp:val=&quot;00040B84&quot;/&gt;&lt;wsp:rsid wsp:val=&quot;00040C12&quot;/&gt;&lt;wsp:rsid wsp:val=&quot;00040DA1&quot;/&gt;&lt;wsp:rsid wsp:val=&quot;00040F18&quot;/&gt;&lt;wsp:rsid wsp:val=&quot;0004110F&quot;/&gt;&lt;wsp:rsid wsp:val=&quot;000412EB&quot;/&gt;&lt;wsp:rsid wsp:val=&quot;0004138D&quot;/&gt;&lt;wsp:rsid wsp:val=&quot;000413F1&quot;/&gt;&lt;wsp:rsid wsp:val=&quot;000414C0&quot;/&gt;&lt;wsp:rsid wsp:val=&quot;00041E8F&quot;/&gt;&lt;wsp:rsid wsp:val=&quot;00041F06&quot;/&gt;&lt;wsp:rsid wsp:val=&quot;0004255B&quot;/&gt;&lt;wsp:rsid wsp:val=&quot;00042594&quot;/&gt;&lt;wsp:rsid wsp:val=&quot;0004273E&quot;/&gt;&lt;wsp:rsid wsp:val=&quot;00042764&quot;/&gt;&lt;wsp:rsid wsp:val=&quot;00042F4A&quot;/&gt;&lt;wsp:rsid wsp:val=&quot;000430F4&quot;/&gt;&lt;wsp:rsid wsp:val=&quot;00043921&quot;/&gt;&lt;wsp:rsid wsp:val=&quot;00043935&quot;/&gt;&lt;wsp:rsid wsp:val=&quot;00043EB2&quot;/&gt;&lt;wsp:rsid wsp:val=&quot;0004419F&quot;/&gt;&lt;wsp:rsid wsp:val=&quot;00044391&quot;/&gt;&lt;wsp:rsid wsp:val=&quot;0004446E&quot;/&gt;&lt;wsp:rsid wsp:val=&quot;000444B3&quot;/&gt;&lt;wsp:rsid wsp:val=&quot;00044538&quot;/&gt;&lt;wsp:rsid wsp:val=&quot;0004488A&quot;/&gt;&lt;wsp:rsid wsp:val=&quot;000449CE&quot;/&gt;&lt;wsp:rsid wsp:val=&quot;00044A16&quot;/&gt;&lt;wsp:rsid wsp:val=&quot;00044B5C&quot;/&gt;&lt;wsp:rsid wsp:val=&quot;00044D18&quot;/&gt;&lt;wsp:rsid wsp:val=&quot;00044E73&quot;/&gt;&lt;wsp:rsid wsp:val=&quot;00044F28&quot;/&gt;&lt;wsp:rsid wsp:val=&quot;00044FEF&quot;/&gt;&lt;wsp:rsid wsp:val=&quot;00045598&quot;/&gt;&lt;wsp:rsid wsp:val=&quot;00045B35&quot;/&gt;&lt;wsp:rsid wsp:val=&quot;00045E51&quot;/&gt;&lt;wsp:rsid wsp:val=&quot;00046110&quot;/&gt;&lt;wsp:rsid wsp:val=&quot;00046429&quot;/&gt;&lt;wsp:rsid wsp:val=&quot;0004668C&quot;/&gt;&lt;wsp:rsid wsp:val=&quot;000475D4&quot;/&gt;&lt;wsp:rsid wsp:val=&quot;00047C17&quot;/&gt;&lt;wsp:rsid wsp:val=&quot;00047C27&quot;/&gt;&lt;wsp:rsid wsp:val=&quot;00047C59&quot;/&gt;&lt;wsp:rsid wsp:val=&quot;00047F34&quot;/&gt;&lt;wsp:rsid wsp:val=&quot;000504F0&quot;/&gt;&lt;wsp:rsid wsp:val=&quot;00050664&quot;/&gt;&lt;wsp:rsid wsp:val=&quot;00050880&quot;/&gt;&lt;wsp:rsid wsp:val=&quot;00050993&quot;/&gt;&lt;wsp:rsid wsp:val=&quot;00050FD6&quot;/&gt;&lt;wsp:rsid wsp:val=&quot;00051206&quot;/&gt;&lt;wsp:rsid wsp:val=&quot;000515A2&quot;/&gt;&lt;wsp:rsid wsp:val=&quot;00051F54&quot;/&gt;&lt;wsp:rsid wsp:val=&quot;000520A1&quot;/&gt;&lt;wsp:rsid wsp:val=&quot;000525EB&quot;/&gt;&lt;wsp:rsid wsp:val=&quot;0005266E&quot;/&gt;&lt;wsp:rsid wsp:val=&quot;000527E0&quot;/&gt;&lt;wsp:rsid wsp:val=&quot;00052923&quot;/&gt;&lt;wsp:rsid wsp:val=&quot;00052D26&quot;/&gt;&lt;wsp:rsid wsp:val=&quot;00052E31&quot;/&gt;&lt;wsp:rsid wsp:val=&quot;000535A5&quot;/&gt;&lt;wsp:rsid wsp:val=&quot;000536A3&quot;/&gt;&lt;wsp:rsid wsp:val=&quot;00053D10&quot;/&gt;&lt;wsp:rsid wsp:val=&quot;00053F2B&quot;/&gt;&lt;wsp:rsid wsp:val=&quot;00053F37&quot;/&gt;&lt;wsp:rsid wsp:val=&quot;000546C9&quot;/&gt;&lt;wsp:rsid wsp:val=&quot;000547F3&quot;/&gt;&lt;wsp:rsid wsp:val=&quot;000548C7&quot;/&gt;&lt;wsp:rsid wsp:val=&quot;00054E12&quot;/&gt;&lt;wsp:rsid wsp:val=&quot;00054E32&quot;/&gt;&lt;wsp:rsid wsp:val=&quot;000551DD&quot;/&gt;&lt;wsp:rsid wsp:val=&quot;0005551E&quot;/&gt;&lt;wsp:rsid wsp:val=&quot;00055725&quot;/&gt;&lt;wsp:rsid wsp:val=&quot;0005582F&quot;/&gt;&lt;wsp:rsid wsp:val=&quot;000558B6&quot;/&gt;&lt;wsp:rsid wsp:val=&quot;00055A9A&quot;/&gt;&lt;wsp:rsid wsp:val=&quot;00055D45&quot;/&gt;&lt;wsp:rsid wsp:val=&quot;00055E28&quot;/&gt;&lt;wsp:rsid wsp:val=&quot;000563E2&quot;/&gt;&lt;wsp:rsid wsp:val=&quot;0005646A&quot;/&gt;&lt;wsp:rsid wsp:val=&quot;00056820&quot;/&gt;&lt;wsp:rsid wsp:val=&quot;00056C8F&quot;/&gt;&lt;wsp:rsid wsp:val=&quot;000570B4&quot;/&gt;&lt;wsp:rsid wsp:val=&quot;00057287&quot;/&gt;&lt;wsp:rsid wsp:val=&quot;00057450&quot;/&gt;&lt;wsp:rsid wsp:val=&quot;00057FD1&quot;/&gt;&lt;wsp:rsid wsp:val=&quot;000605C6&quot;/&gt;&lt;wsp:rsid wsp:val=&quot;0006094F&quot;/&gt;&lt;wsp:rsid wsp:val=&quot;00060D9A&quot;/&gt;&lt;wsp:rsid wsp:val=&quot;0006114D&quot;/&gt;&lt;wsp:rsid wsp:val=&quot;00061342&quot;/&gt;&lt;wsp:rsid wsp:val=&quot;000616FB&quot;/&gt;&lt;wsp:rsid wsp:val=&quot;00061D4B&quot;/&gt;&lt;wsp:rsid wsp:val=&quot;0006251F&quot;/&gt;&lt;wsp:rsid wsp:val=&quot;00062BCA&quot;/&gt;&lt;wsp:rsid wsp:val=&quot;00063845&quot;/&gt;&lt;wsp:rsid wsp:val=&quot;00063E7D&quot;/&gt;&lt;wsp:rsid wsp:val=&quot;00063F8C&quot;/&gt;&lt;wsp:rsid wsp:val=&quot;00064336&quot;/&gt;&lt;wsp:rsid wsp:val=&quot;000643A2&quot;/&gt;&lt;wsp:rsid wsp:val=&quot;00064B66&quot;/&gt;&lt;wsp:rsid wsp:val=&quot;00064F9D&quot;/&gt;&lt;wsp:rsid wsp:val=&quot;0006561A&quot;/&gt;&lt;wsp:rsid wsp:val=&quot;000659B9&quot;/&gt;&lt;wsp:rsid wsp:val=&quot;00065B48&quot;/&gt;&lt;wsp:rsid wsp:val=&quot;00065F03&quot;/&gt;&lt;wsp:rsid wsp:val=&quot;00066175&quot;/&gt;&lt;wsp:rsid wsp:val=&quot;000661F0&quot;/&gt;&lt;wsp:rsid wsp:val=&quot;00066384&quot;/&gt;&lt;wsp:rsid wsp:val=&quot;00066556&quot;/&gt;&lt;wsp:rsid wsp:val=&quot;00066C9F&quot;/&gt;&lt;wsp:rsid wsp:val=&quot;00066D83&quot;/&gt;&lt;wsp:rsid wsp:val=&quot;00067045&quot;/&gt;&lt;wsp:rsid wsp:val=&quot;00067A40&quot;/&gt;&lt;wsp:rsid wsp:val=&quot;00067AA3&quot;/&gt;&lt;wsp:rsid wsp:val=&quot;00067AB9&quot;/&gt;&lt;wsp:rsid wsp:val=&quot;00070000&quot;/&gt;&lt;wsp:rsid wsp:val=&quot;00070067&quot;/&gt;&lt;wsp:rsid wsp:val=&quot;0007015F&quot;/&gt;&lt;wsp:rsid wsp:val=&quot;000702C2&quot;/&gt;&lt;wsp:rsid wsp:val=&quot;000702C6&quot;/&gt;&lt;wsp:rsid wsp:val=&quot;00070A24&quot;/&gt;&lt;wsp:rsid wsp:val=&quot;00071628&quot;/&gt;&lt;wsp:rsid wsp:val=&quot;0007185F&quot;/&gt;&lt;wsp:rsid wsp:val=&quot;00072553&quot;/&gt;&lt;wsp:rsid wsp:val=&quot;00072E07&quot;/&gt;&lt;wsp:rsid wsp:val=&quot;00073729&quot;/&gt;&lt;wsp:rsid wsp:val=&quot;000739F2&quot;/&gt;&lt;wsp:rsid wsp:val=&quot;00073E02&quot;/&gt;&lt;wsp:rsid wsp:val=&quot;00074052&quot;/&gt;&lt;wsp:rsid wsp:val=&quot;00074807&quot;/&gt;&lt;wsp:rsid wsp:val=&quot;00075396&quot;/&gt;&lt;wsp:rsid wsp:val=&quot;00075542&quot;/&gt;&lt;wsp:rsid wsp:val=&quot;00075821&quot;/&gt;&lt;wsp:rsid wsp:val=&quot;00075BDC&quot;/&gt;&lt;wsp:rsid wsp:val=&quot;00075C12&quot;/&gt;&lt;wsp:rsid wsp:val=&quot;00076244&quot;/&gt;&lt;wsp:rsid wsp:val=&quot;0007658B&quot;/&gt;&lt;wsp:rsid wsp:val=&quot;000765A5&quot;/&gt;&lt;wsp:rsid wsp:val=&quot;000766B1&quot;/&gt;&lt;wsp:rsid wsp:val=&quot;00076AEC&quot;/&gt;&lt;wsp:rsid wsp:val=&quot;00076B85&quot;/&gt;&lt;wsp:rsid wsp:val=&quot;00077223&quot;/&gt;&lt;wsp:rsid wsp:val=&quot;000775BC&quot;/&gt;&lt;wsp:rsid wsp:val=&quot;00077735&quot;/&gt;&lt;wsp:rsid wsp:val=&quot;00077964&quot;/&gt;&lt;wsp:rsid wsp:val=&quot;00077AC7&quot;/&gt;&lt;wsp:rsid wsp:val=&quot;00080093&quot;/&gt;&lt;wsp:rsid wsp:val=&quot;00080B60&quot;/&gt;&lt;wsp:rsid wsp:val=&quot;00080D86&quot;/&gt;&lt;wsp:rsid wsp:val=&quot;0008123C&quot;/&gt;&lt;wsp:rsid wsp:val=&quot;000815B0&quot;/&gt;&lt;wsp:rsid wsp:val=&quot;000822F8&quot;/&gt;&lt;wsp:rsid wsp:val=&quot;0008289C&quot;/&gt;&lt;wsp:rsid wsp:val=&quot;00082ACC&quot;/&gt;&lt;wsp:rsid wsp:val=&quot;00082EC5&quot;/&gt;&lt;wsp:rsid wsp:val=&quot;00083307&quot;/&gt;&lt;wsp:rsid wsp:val=&quot;0008338D&quot;/&gt;&lt;wsp:rsid wsp:val=&quot;00083405&quot;/&gt;&lt;wsp:rsid wsp:val=&quot;00083653&quot;/&gt;&lt;wsp:rsid wsp:val=&quot;00083ADB&quot;/&gt;&lt;wsp:rsid wsp:val=&quot;00083BC4&quot;/&gt;&lt;wsp:rsid wsp:val=&quot;00083C79&quot;/&gt;&lt;wsp:rsid wsp:val=&quot;000845BC&quot;/&gt;&lt;wsp:rsid wsp:val=&quot;00084681&quot;/&gt;&lt;wsp:rsid wsp:val=&quot;000849E2&quot;/&gt;&lt;wsp:rsid wsp:val=&quot;00085033&quot;/&gt;&lt;wsp:rsid wsp:val=&quot;0008530A&quot;/&gt;&lt;wsp:rsid wsp:val=&quot;00085A95&quot;/&gt;&lt;wsp:rsid wsp:val=&quot;00085CFD&quot;/&gt;&lt;wsp:rsid wsp:val=&quot;0008620C&quot;/&gt;&lt;wsp:rsid wsp:val=&quot;00086329&quot;/&gt;&lt;wsp:rsid wsp:val=&quot;0008638E&quot;/&gt;&lt;wsp:rsid wsp:val=&quot;00086444&quot;/&gt;&lt;wsp:rsid wsp:val=&quot;00086BB9&quot;/&gt;&lt;wsp:rsid wsp:val=&quot;00087727&quot;/&gt;&lt;wsp:rsid wsp:val=&quot;000877E2&quot;/&gt;&lt;wsp:rsid wsp:val=&quot;00087AC4&quot;/&gt;&lt;wsp:rsid wsp:val=&quot;00087E23&quot;/&gt;&lt;wsp:rsid wsp:val=&quot;0009014C&quot;/&gt;&lt;wsp:rsid wsp:val=&quot;0009092E&quot;/&gt;&lt;wsp:rsid wsp:val=&quot;00090D88&quot;/&gt;&lt;wsp:rsid wsp:val=&quot;00091590&quot;/&gt;&lt;wsp:rsid wsp:val=&quot;0009167E&quot;/&gt;&lt;wsp:rsid wsp:val=&quot;00091B44&quot;/&gt;&lt;wsp:rsid wsp:val=&quot;00091DDD&quot;/&gt;&lt;wsp:rsid wsp:val=&quot;00092244&quot;/&gt;&lt;wsp:rsid wsp:val=&quot;000922A0&quot;/&gt;&lt;wsp:rsid wsp:val=&quot;0009250A&quot;/&gt;&lt;wsp:rsid wsp:val=&quot;00092832&quot;/&gt;&lt;wsp:rsid wsp:val=&quot;00092880&quot;/&gt;&lt;wsp:rsid wsp:val=&quot;000928B8&quot;/&gt;&lt;wsp:rsid wsp:val=&quot;00092BDB&quot;/&gt;&lt;wsp:rsid wsp:val=&quot;00092D38&quot;/&gt;&lt;wsp:rsid wsp:val=&quot;00092DF8&quot;/&gt;&lt;wsp:rsid wsp:val=&quot;00093306&quot;/&gt;&lt;wsp:rsid wsp:val=&quot;00093658&quot;/&gt;&lt;wsp:rsid wsp:val=&quot;000936D3&quot;/&gt;&lt;wsp:rsid wsp:val=&quot;00093D53&quot;/&gt;&lt;wsp:rsid wsp:val=&quot;00093FD6&quot;/&gt;&lt;wsp:rsid wsp:val=&quot;000943A3&quot;/&gt;&lt;wsp:rsid wsp:val=&quot;0009494C&quot;/&gt;&lt;wsp:rsid wsp:val=&quot;00094EE1&quot;/&gt;&lt;wsp:rsid wsp:val=&quot;00095196&quot;/&gt;&lt;wsp:rsid wsp:val=&quot;00095C3B&quot;/&gt;&lt;wsp:rsid wsp:val=&quot;00096485&quot;/&gt;&lt;wsp:rsid wsp:val=&quot;000964BF&quot;/&gt;&lt;wsp:rsid wsp:val=&quot;00096807&quot;/&gt;&lt;wsp:rsid wsp:val=&quot;00096843&quot;/&gt;&lt;wsp:rsid wsp:val=&quot;000968B5&quot;/&gt;&lt;wsp:rsid wsp:val=&quot;00096B2F&quot;/&gt;&lt;wsp:rsid wsp:val=&quot;00096F78&quot;/&gt;&lt;wsp:rsid wsp:val=&quot;00097521&quot;/&gt;&lt;wsp:rsid wsp:val=&quot;000978B1&quot;/&gt;&lt;wsp:rsid wsp:val=&quot;000A002B&quot;/&gt;&lt;wsp:rsid wsp:val=&quot;000A0434&quot;/&gt;&lt;wsp:rsid wsp:val=&quot;000A04F0&quot;/&gt;&lt;wsp:rsid wsp:val=&quot;000A08A6&quot;/&gt;&lt;wsp:rsid wsp:val=&quot;000A0932&quot;/&gt;&lt;wsp:rsid wsp:val=&quot;000A0A93&quot;/&gt;&lt;wsp:rsid wsp:val=&quot;000A0BB0&quot;/&gt;&lt;wsp:rsid wsp:val=&quot;000A0DA2&quot;/&gt;&lt;wsp:rsid wsp:val=&quot;000A16CC&quot;/&gt;&lt;wsp:rsid wsp:val=&quot;000A1A46&quot;/&gt;&lt;wsp:rsid wsp:val=&quot;000A1B18&quot;/&gt;&lt;wsp:rsid wsp:val=&quot;000A1C8A&quot;/&gt;&lt;wsp:rsid wsp:val=&quot;000A379F&quot;/&gt;&lt;wsp:rsid wsp:val=&quot;000A38E0&quot;/&gt;&lt;wsp:rsid wsp:val=&quot;000A39DE&quot;/&gt;&lt;wsp:rsid wsp:val=&quot;000A3C68&quot;/&gt;&lt;wsp:rsid wsp:val=&quot;000A3F95&quot;/&gt;&lt;wsp:rsid wsp:val=&quot;000A4373&quot;/&gt;&lt;wsp:rsid wsp:val=&quot;000A4670&quot;/&gt;&lt;wsp:rsid wsp:val=&quot;000A477D&quot;/&gt;&lt;wsp:rsid wsp:val=&quot;000A47CF&quot;/&gt;&lt;wsp:rsid wsp:val=&quot;000A4C05&quot;/&gt;&lt;wsp:rsid wsp:val=&quot;000A4D03&quot;/&gt;&lt;wsp:rsid wsp:val=&quot;000A4FB4&quot;/&gt;&lt;wsp:rsid wsp:val=&quot;000A4FF6&quot;/&gt;&lt;wsp:rsid wsp:val=&quot;000A512E&quot;/&gt;&lt;wsp:rsid wsp:val=&quot;000A525A&quot;/&gt;&lt;wsp:rsid wsp:val=&quot;000A52FF&quot;/&gt;&lt;wsp:rsid wsp:val=&quot;000A57A2&quot;/&gt;&lt;wsp:rsid wsp:val=&quot;000A5EA9&quot;/&gt;&lt;wsp:rsid wsp:val=&quot;000A611E&quot;/&gt;&lt;wsp:rsid wsp:val=&quot;000A6372&quot;/&gt;&lt;wsp:rsid wsp:val=&quot;000A68B1&quot;/&gt;&lt;wsp:rsid wsp:val=&quot;000A6AAC&quot;/&gt;&lt;wsp:rsid wsp:val=&quot;000A6BF9&quot;/&gt;&lt;wsp:rsid wsp:val=&quot;000A6E06&quot;/&gt;&lt;wsp:rsid wsp:val=&quot;000A718C&quot;/&gt;&lt;wsp:rsid wsp:val=&quot;000A741A&quot;/&gt;&lt;wsp:rsid wsp:val=&quot;000A7430&quot;/&gt;&lt;wsp:rsid wsp:val=&quot;000A7482&quot;/&gt;&lt;wsp:rsid wsp:val=&quot;000A7895&quot;/&gt;&lt;wsp:rsid wsp:val=&quot;000A7BD7&quot;/&gt;&lt;wsp:rsid wsp:val=&quot;000A7D80&quot;/&gt;&lt;wsp:rsid wsp:val=&quot;000B1142&quot;/&gt;&lt;wsp:rsid wsp:val=&quot;000B1322&quot;/&gt;&lt;wsp:rsid wsp:val=&quot;000B149A&quot;/&gt;&lt;wsp:rsid wsp:val=&quot;000B14DF&quot;/&gt;&lt;wsp:rsid wsp:val=&quot;000B167D&quot;/&gt;&lt;wsp:rsid wsp:val=&quot;000B1B67&quot;/&gt;&lt;wsp:rsid wsp:val=&quot;000B1E31&quot;/&gt;&lt;wsp:rsid wsp:val=&quot;000B221A&quot;/&gt;&lt;wsp:rsid wsp:val=&quot;000B251B&quot;/&gt;&lt;wsp:rsid wsp:val=&quot;000B25C3&quot;/&gt;&lt;wsp:rsid wsp:val=&quot;000B27FD&quot;/&gt;&lt;wsp:rsid wsp:val=&quot;000B286C&quot;/&gt;&lt;wsp:rsid wsp:val=&quot;000B2B47&quot;/&gt;&lt;wsp:rsid wsp:val=&quot;000B2B6B&quot;/&gt;&lt;wsp:rsid wsp:val=&quot;000B2C1A&quot;/&gt;&lt;wsp:rsid wsp:val=&quot;000B2EB4&quot;/&gt;&lt;wsp:rsid wsp:val=&quot;000B3481&quot;/&gt;&lt;wsp:rsid wsp:val=&quot;000B3B79&quot;/&gt;&lt;wsp:rsid wsp:val=&quot;000B4097&quot;/&gt;&lt;wsp:rsid wsp:val=&quot;000B40D5&quot;/&gt;&lt;wsp:rsid wsp:val=&quot;000B439E&quot;/&gt;&lt;wsp:rsid wsp:val=&quot;000B4880&quot;/&gt;&lt;wsp:rsid wsp:val=&quot;000B4C48&quot;/&gt;&lt;wsp:rsid wsp:val=&quot;000B51E8&quot;/&gt;&lt;wsp:rsid wsp:val=&quot;000B5B75&quot;/&gt;&lt;wsp:rsid wsp:val=&quot;000B5B94&quot;/&gt;&lt;wsp:rsid wsp:val=&quot;000B5C9E&quot;/&gt;&lt;wsp:rsid wsp:val=&quot;000B641C&quot;/&gt;&lt;wsp:rsid wsp:val=&quot;000B6424&quot;/&gt;&lt;wsp:rsid wsp:val=&quot;000B6501&quot;/&gt;&lt;wsp:rsid wsp:val=&quot;000B6618&quot;/&gt;&lt;wsp:rsid wsp:val=&quot;000B693A&quot;/&gt;&lt;wsp:rsid wsp:val=&quot;000B69BA&quot;/&gt;&lt;wsp:rsid wsp:val=&quot;000B6EF4&quot;/&gt;&lt;wsp:rsid wsp:val=&quot;000B6F17&quot;/&gt;&lt;wsp:rsid wsp:val=&quot;000B6F8A&quot;/&gt;&lt;wsp:rsid wsp:val=&quot;000B7311&quot;/&gt;&lt;wsp:rsid wsp:val=&quot;000B7768&quot;/&gt;&lt;wsp:rsid wsp:val=&quot;000B79A3&quot;/&gt;&lt;wsp:rsid wsp:val=&quot;000C060E&quot;/&gt;&lt;wsp:rsid wsp:val=&quot;000C0854&quot;/&gt;&lt;wsp:rsid wsp:val=&quot;000C0E5A&quot;/&gt;&lt;wsp:rsid wsp:val=&quot;000C0F02&quot;/&gt;&lt;wsp:rsid wsp:val=&quot;000C134A&quot;/&gt;&lt;wsp:rsid wsp:val=&quot;000C1706&quot;/&gt;&lt;wsp:rsid wsp:val=&quot;000C1C1D&quot;/&gt;&lt;wsp:rsid wsp:val=&quot;000C1CF9&quot;/&gt;&lt;wsp:rsid wsp:val=&quot;000C1E63&quot;/&gt;&lt;wsp:rsid wsp:val=&quot;000C1FAA&quot;/&gt;&lt;wsp:rsid wsp:val=&quot;000C2A69&quot;/&gt;&lt;wsp:rsid wsp:val=&quot;000C313A&quot;/&gt;&lt;wsp:rsid wsp:val=&quot;000C313D&quot;/&gt;&lt;wsp:rsid wsp:val=&quot;000C324D&quot;/&gt;&lt;wsp:rsid wsp:val=&quot;000C3271&quot;/&gt;&lt;wsp:rsid wsp:val=&quot;000C34E4&quot;/&gt;&lt;wsp:rsid wsp:val=&quot;000C3563&quot;/&gt;&lt;wsp:rsid wsp:val=&quot;000C36F0&quot;/&gt;&lt;wsp:rsid wsp:val=&quot;000C3850&quot;/&gt;&lt;wsp:rsid wsp:val=&quot;000C3B1C&quot;/&gt;&lt;wsp:rsid wsp:val=&quot;000C3D26&quot;/&gt;&lt;wsp:rsid wsp:val=&quot;000C3E41&quot;/&gt;&lt;wsp:rsid wsp:val=&quot;000C40E5&quot;/&gt;&lt;wsp:rsid wsp:val=&quot;000C458C&quot;/&gt;&lt;wsp:rsid wsp:val=&quot;000C4D5D&quot;/&gt;&lt;wsp:rsid wsp:val=&quot;000C55A4&quot;/&gt;&lt;wsp:rsid wsp:val=&quot;000C5DF7&quot;/&gt;&lt;wsp:rsid wsp:val=&quot;000C6617&quot;/&gt;&lt;wsp:rsid wsp:val=&quot;000C68A4&quot;/&gt;&lt;wsp:rsid wsp:val=&quot;000C695C&quot;/&gt;&lt;wsp:rsid wsp:val=&quot;000C7051&quot;/&gt;&lt;wsp:rsid wsp:val=&quot;000C75BD&quot;/&gt;&lt;wsp:rsid wsp:val=&quot;000C771E&quot;/&gt;&lt;wsp:rsid wsp:val=&quot;000C7AF7&quot;/&gt;&lt;wsp:rsid wsp:val=&quot;000C7FDE&quot;/&gt;&lt;wsp:rsid wsp:val=&quot;000D024B&quot;/&gt;&lt;wsp:rsid wsp:val=&quot;000D03D3&quot;/&gt;&lt;wsp:rsid wsp:val=&quot;000D04D2&quot;/&gt;&lt;wsp:rsid wsp:val=&quot;000D05CB&quot;/&gt;&lt;wsp:rsid wsp:val=&quot;000D06AA&quot;/&gt;&lt;wsp:rsid wsp:val=&quot;000D0A5E&quot;/&gt;&lt;wsp:rsid wsp:val=&quot;000D0E34&quot;/&gt;&lt;wsp:rsid wsp:val=&quot;000D123D&quot;/&gt;&lt;wsp:rsid wsp:val=&quot;000D12B2&quot;/&gt;&lt;wsp:rsid wsp:val=&quot;000D1489&quot;/&gt;&lt;wsp:rsid wsp:val=&quot;000D1698&quot;/&gt;&lt;wsp:rsid wsp:val=&quot;000D1A50&quot;/&gt;&lt;wsp:rsid wsp:val=&quot;000D1C03&quot;/&gt;&lt;wsp:rsid wsp:val=&quot;000D1D53&quot;/&gt;&lt;wsp:rsid wsp:val=&quot;000D232C&quot;/&gt;&lt;wsp:rsid wsp:val=&quot;000D285E&quot;/&gt;&lt;wsp:rsid wsp:val=&quot;000D28F0&quot;/&gt;&lt;wsp:rsid wsp:val=&quot;000D296A&quot;/&gt;&lt;wsp:rsid wsp:val=&quot;000D2992&quot;/&gt;&lt;wsp:rsid wsp:val=&quot;000D2C72&quot;/&gt;&lt;wsp:rsid wsp:val=&quot;000D31FD&quot;/&gt;&lt;wsp:rsid wsp:val=&quot;000D3378&quot;/&gt;&lt;wsp:rsid wsp:val=&quot;000D35B2&quot;/&gt;&lt;wsp:rsid wsp:val=&quot;000D3671&quot;/&gt;&lt;wsp:rsid wsp:val=&quot;000D409D&quot;/&gt;&lt;wsp:rsid wsp:val=&quot;000D4513&quot;/&gt;&lt;wsp:rsid wsp:val=&quot;000D4CD0&quot;/&gt;&lt;wsp:rsid wsp:val=&quot;000D4D1D&quot;/&gt;&lt;wsp:rsid wsp:val=&quot;000D4DC6&quot;/&gt;&lt;wsp:rsid wsp:val=&quot;000D4F86&quot;/&gt;&lt;wsp:rsid wsp:val=&quot;000D50D1&quot;/&gt;&lt;wsp:rsid wsp:val=&quot;000D54E7&quot;/&gt;&lt;wsp:rsid wsp:val=&quot;000D5542&quot;/&gt;&lt;wsp:rsid wsp:val=&quot;000D569C&quot;/&gt;&lt;wsp:rsid wsp:val=&quot;000D57B5&quot;/&gt;&lt;wsp:rsid wsp:val=&quot;000D580C&quot;/&gt;&lt;wsp:rsid wsp:val=&quot;000D5848&quot;/&gt;&lt;wsp:rsid wsp:val=&quot;000D59E3&quot;/&gt;&lt;wsp:rsid wsp:val=&quot;000D5ACC&quot;/&gt;&lt;wsp:rsid wsp:val=&quot;000D5E6D&quot;/&gt;&lt;wsp:rsid wsp:val=&quot;000D5ED1&quot;/&gt;&lt;wsp:rsid wsp:val=&quot;000D6903&quot;/&gt;&lt;wsp:rsid wsp:val=&quot;000D6F84&quot;/&gt;&lt;wsp:rsid wsp:val=&quot;000D6FE1&quot;/&gt;&lt;wsp:rsid wsp:val=&quot;000D708D&quot;/&gt;&lt;wsp:rsid wsp:val=&quot;000D753B&quot;/&gt;&lt;wsp:rsid wsp:val=&quot;000D7FBD&quot;/&gt;&lt;wsp:rsid wsp:val=&quot;000E00E8&quot;/&gt;&lt;wsp:rsid wsp:val=&quot;000E013F&quot;/&gt;&lt;wsp:rsid wsp:val=&quot;000E08A7&quot;/&gt;&lt;wsp:rsid wsp:val=&quot;000E0D19&quot;/&gt;&lt;wsp:rsid wsp:val=&quot;000E1064&quot;/&gt;&lt;wsp:rsid wsp:val=&quot;000E1137&quot;/&gt;&lt;wsp:rsid wsp:val=&quot;000E1324&quot;/&gt;&lt;wsp:rsid wsp:val=&quot;000E147C&quot;/&gt;&lt;wsp:rsid wsp:val=&quot;000E16EE&quot;/&gt;&lt;wsp:rsid wsp:val=&quot;000E1736&quot;/&gt;&lt;wsp:rsid wsp:val=&quot;000E1B5F&quot;/&gt;&lt;wsp:rsid wsp:val=&quot;000E20CF&quot;/&gt;&lt;wsp:rsid wsp:val=&quot;000E2277&quot;/&gt;&lt;wsp:rsid wsp:val=&quot;000E22A7&quot;/&gt;&lt;wsp:rsid wsp:val=&quot;000E22ED&quot;/&gt;&lt;wsp:rsid wsp:val=&quot;000E25F1&quot;/&gt;&lt;wsp:rsid wsp:val=&quot;000E2A13&quot;/&gt;&lt;wsp:rsid wsp:val=&quot;000E32F7&quot;/&gt;&lt;wsp:rsid wsp:val=&quot;000E381E&quot;/&gt;&lt;wsp:rsid wsp:val=&quot;000E3AEB&quot;/&gt;&lt;wsp:rsid wsp:val=&quot;000E4019&quot;/&gt;&lt;wsp:rsid wsp:val=&quot;000E4421&quot;/&gt;&lt;wsp:rsid wsp:val=&quot;000E4906&quot;/&gt;&lt;wsp:rsid wsp:val=&quot;000E4CA2&quot;/&gt;&lt;wsp:rsid wsp:val=&quot;000E4F6D&quot;/&gt;&lt;wsp:rsid wsp:val=&quot;000E5496&quot;/&gt;&lt;wsp:rsid wsp:val=&quot;000E56AD&quot;/&gt;&lt;wsp:rsid wsp:val=&quot;000E56C5&quot;/&gt;&lt;wsp:rsid wsp:val=&quot;000E5B04&quot;/&gt;&lt;wsp:rsid wsp:val=&quot;000E64B9&quot;/&gt;&lt;wsp:rsid wsp:val=&quot;000E6562&quot;/&gt;&lt;wsp:rsid wsp:val=&quot;000E6586&quot;/&gt;&lt;wsp:rsid wsp:val=&quot;000E72CA&quot;/&gt;&lt;wsp:rsid wsp:val=&quot;000E7460&quot;/&gt;&lt;wsp:rsid wsp:val=&quot;000E785F&quot;/&gt;&lt;wsp:rsid wsp:val=&quot;000F0095&quot;/&gt;&lt;wsp:rsid wsp:val=&quot;000F0866&quot;/&gt;&lt;wsp:rsid wsp:val=&quot;000F08DE&quot;/&gt;&lt;wsp:rsid wsp:val=&quot;000F0AEA&quot;/&gt;&lt;wsp:rsid wsp:val=&quot;000F0B14&quot;/&gt;&lt;wsp:rsid wsp:val=&quot;000F0D9D&quot;/&gt;&lt;wsp:rsid wsp:val=&quot;000F1187&quot;/&gt;&lt;wsp:rsid wsp:val=&quot;000F13C2&quot;/&gt;&lt;wsp:rsid wsp:val=&quot;000F15F2&quot;/&gt;&lt;wsp:rsid wsp:val=&quot;000F1830&quot;/&gt;&lt;wsp:rsid wsp:val=&quot;000F2759&quot;/&gt;&lt;wsp:rsid wsp:val=&quot;000F317F&quot;/&gt;&lt;wsp:rsid wsp:val=&quot;000F337B&quot;/&gt;&lt;wsp:rsid wsp:val=&quot;000F3CC7&quot;/&gt;&lt;wsp:rsid wsp:val=&quot;000F403D&quot;/&gt;&lt;wsp:rsid wsp:val=&quot;000F4287&quot;/&gt;&lt;wsp:rsid wsp:val=&quot;000F4389&quot;/&gt;&lt;wsp:rsid wsp:val=&quot;000F484B&quot;/&gt;&lt;wsp:rsid wsp:val=&quot;000F4FAE&quot;/&gt;&lt;wsp:rsid wsp:val=&quot;000F5591&quot;/&gt;&lt;wsp:rsid wsp:val=&quot;000F57E4&quot;/&gt;&lt;wsp:rsid wsp:val=&quot;000F5C16&quot;/&gt;&lt;wsp:rsid wsp:val=&quot;000F60E6&quot;/&gt;&lt;wsp:rsid wsp:val=&quot;000F6F5B&quot;/&gt;&lt;wsp:rsid wsp:val=&quot;000F743B&quot;/&gt;&lt;wsp:rsid wsp:val=&quot;000F79ED&quot;/&gt;&lt;wsp:rsid wsp:val=&quot;000F7E8F&quot;/&gt;&lt;wsp:rsid wsp:val=&quot;00100565&quot;/&gt;&lt;wsp:rsid wsp:val=&quot;0010079F&quot;/&gt;&lt;wsp:rsid wsp:val=&quot;001007F6&quot;/&gt;&lt;wsp:rsid wsp:val=&quot;0010085A&quot;/&gt;&lt;wsp:rsid wsp:val=&quot;00100B18&quot;/&gt;&lt;wsp:rsid wsp:val=&quot;00100C0C&quot;/&gt;&lt;wsp:rsid wsp:val=&quot;00100FA1&quot;/&gt;&lt;wsp:rsid wsp:val=&quot;00100FA5&quot;/&gt;&lt;wsp:rsid wsp:val=&quot;0010136D&quot;/&gt;&lt;wsp:rsid wsp:val=&quot;001013C0&quot;/&gt;&lt;wsp:rsid wsp:val=&quot;0010153E&quot;/&gt;&lt;wsp:rsid wsp:val=&quot;001017D1&quot;/&gt;&lt;wsp:rsid wsp:val=&quot;00101889&quot;/&gt;&lt;wsp:rsid wsp:val=&quot;00101BF0&quot;/&gt;&lt;wsp:rsid wsp:val=&quot;00102343&quot;/&gt;&lt;wsp:rsid wsp:val=&quot;00102433&quot;/&gt;&lt;wsp:rsid wsp:val=&quot;00102564&quot;/&gt;&lt;wsp:rsid wsp:val=&quot;001028FB&quot;/&gt;&lt;wsp:rsid wsp:val=&quot;0010291C&quot;/&gt;&lt;wsp:rsid wsp:val=&quot;00102B88&quot;/&gt;&lt;wsp:rsid wsp:val=&quot;00102C99&quot;/&gt;&lt;wsp:rsid wsp:val=&quot;00103887&quot;/&gt;&lt;wsp:rsid wsp:val=&quot;00103962&quot;/&gt;&lt;wsp:rsid wsp:val=&quot;00103D38&quot;/&gt;&lt;wsp:rsid wsp:val=&quot;00104722&quot;/&gt;&lt;wsp:rsid wsp:val=&quot;00104A66&quot;/&gt;&lt;wsp:rsid wsp:val=&quot;00104A96&quot;/&gt;&lt;wsp:rsid wsp:val=&quot;00104DF2&quot;/&gt;&lt;wsp:rsid wsp:val=&quot;00104E38&quot;/&gt;&lt;wsp:rsid wsp:val=&quot;00104E39&quot;/&gt;&lt;wsp:rsid wsp:val=&quot;001053AC&quot;/&gt;&lt;wsp:rsid wsp:val=&quot;001055E1&quot;/&gt;&lt;wsp:rsid wsp:val=&quot;001057A1&quot;/&gt;&lt;wsp:rsid wsp:val=&quot;00105C11&quot;/&gt;&lt;wsp:rsid wsp:val=&quot;00105CA0&quot;/&gt;&lt;wsp:rsid wsp:val=&quot;0010630B&quot;/&gt;&lt;wsp:rsid wsp:val=&quot;0010653D&quot;/&gt;&lt;wsp:rsid wsp:val=&quot;0010728C&quot;/&gt;&lt;wsp:rsid wsp:val=&quot;00107807&quot;/&gt;&lt;wsp:rsid wsp:val=&quot;0010780B&quot;/&gt;&lt;wsp:rsid wsp:val=&quot;0010794E&quot;/&gt;&lt;wsp:rsid wsp:val=&quot;00107B11&quot;/&gt;&lt;wsp:rsid wsp:val=&quot;00107B79&quot;/&gt;&lt;wsp:rsid wsp:val=&quot;00107D7C&quot;/&gt;&lt;wsp:rsid wsp:val=&quot;00107DE6&quot;/&gt;&lt;wsp:rsid wsp:val=&quot;00110460&quot;/&gt;&lt;wsp:rsid wsp:val=&quot;00110AD1&quot;/&gt;&lt;wsp:rsid wsp:val=&quot;00110B44&quot;/&gt;&lt;wsp:rsid wsp:val=&quot;00110C30&quot;/&gt;&lt;wsp:rsid wsp:val=&quot;00110DE8&quot;/&gt;&lt;wsp:rsid wsp:val=&quot;00111278&quot;/&gt;&lt;wsp:rsid wsp:val=&quot;00111481&quot;/&gt;&lt;wsp:rsid wsp:val=&quot;00111703&quot;/&gt;&lt;wsp:rsid wsp:val=&quot;001122D9&quot;/&gt;&lt;wsp:rsid wsp:val=&quot;001125E5&quot;/&gt;&lt;wsp:rsid wsp:val=&quot;001125E7&quot;/&gt;&lt;wsp:rsid wsp:val=&quot;0011327A&quot;/&gt;&lt;wsp:rsid wsp:val=&quot;001132D9&quot;/&gt;&lt;wsp:rsid wsp:val=&quot;00113605&quot;/&gt;&lt;wsp:rsid wsp:val=&quot;00113943&quot;/&gt;&lt;wsp:rsid wsp:val=&quot;00113975&quot;/&gt;&lt;wsp:rsid wsp:val=&quot;00113AE1&quot;/&gt;&lt;wsp:rsid wsp:val=&quot;00113D29&quot;/&gt;&lt;wsp:rsid wsp:val=&quot;0011400E&quot;/&gt;&lt;wsp:rsid wsp:val=&quot;0011403F&quot;/&gt;&lt;wsp:rsid wsp:val=&quot;001144DA&quot;/&gt;&lt;wsp:rsid wsp:val=&quot;0011463D&quot;/&gt;&lt;wsp:rsid wsp:val=&quot;001147C3&quot;/&gt;&lt;wsp:rsid wsp:val=&quot;00115092&quot;/&gt;&lt;wsp:rsid wsp:val=&quot;001151F3&quot;/&gt;&lt;wsp:rsid wsp:val=&quot;001151FC&quot;/&gt;&lt;wsp:rsid wsp:val=&quot;00115369&quot;/&gt;&lt;wsp:rsid wsp:val=&quot;00115564&quot;/&gt;&lt;wsp:rsid wsp:val=&quot;00115E0B&quot;/&gt;&lt;wsp:rsid wsp:val=&quot;00115E7A&quot;/&gt;&lt;wsp:rsid wsp:val=&quot;00115FB8&quot;/&gt;&lt;wsp:rsid wsp:val=&quot;001163B4&quot;/&gt;&lt;wsp:rsid wsp:val=&quot;0011652B&quot;/&gt;&lt;wsp:rsid wsp:val=&quot;0011673A&quot;/&gt;&lt;wsp:rsid wsp:val=&quot;001167F3&quot;/&gt;&lt;wsp:rsid wsp:val=&quot;0011681B&quot;/&gt;&lt;wsp:rsid wsp:val=&quot;00116D9F&quot;/&gt;&lt;wsp:rsid wsp:val=&quot;00117135&quot;/&gt;&lt;wsp:rsid wsp:val=&quot;00117DF4&quot;/&gt;&lt;wsp:rsid wsp:val=&quot;00117E44&quot;/&gt;&lt;wsp:rsid wsp:val=&quot;001208F5&quot;/&gt;&lt;wsp:rsid wsp:val=&quot;00120EEF&quot;/&gt;&lt;wsp:rsid wsp:val=&quot;00121126&quot;/&gt;&lt;wsp:rsid wsp:val=&quot;00121370&quot;/&gt;&lt;wsp:rsid wsp:val=&quot;00121427&quot;/&gt;&lt;wsp:rsid wsp:val=&quot;00121B9F&quot;/&gt;&lt;wsp:rsid wsp:val=&quot;001225E5&quot;/&gt;&lt;wsp:rsid wsp:val=&quot;00123406&quot;/&gt;&lt;wsp:rsid wsp:val=&quot;00124033&quot;/&gt;&lt;wsp:rsid wsp:val=&quot;0012413D&quot;/&gt;&lt;wsp:rsid wsp:val=&quot;0012415F&quot;/&gt;&lt;wsp:rsid wsp:val=&quot;0012466D&quot;/&gt;&lt;wsp:rsid wsp:val=&quot;001246E9&quot;/&gt;&lt;wsp:rsid wsp:val=&quot;00124768&quot;/&gt;&lt;wsp:rsid wsp:val=&quot;0012480C&quot;/&gt;&lt;wsp:rsid wsp:val=&quot;00124B97&quot;/&gt;&lt;wsp:rsid wsp:val=&quot;00124D10&quot;/&gt;&lt;wsp:rsid wsp:val=&quot;00124EFA&quot;/&gt;&lt;wsp:rsid wsp:val=&quot;001253F8&quot;/&gt;&lt;wsp:rsid wsp:val=&quot;001256E6&quot;/&gt;&lt;wsp:rsid wsp:val=&quot;00125704&quot;/&gt;&lt;wsp:rsid wsp:val=&quot;00125993&quot;/&gt;&lt;wsp:rsid wsp:val=&quot;00125E3E&quot;/&gt;&lt;wsp:rsid wsp:val=&quot;00125EC8&quot;/&gt;&lt;wsp:rsid wsp:val=&quot;001267F3&quot;/&gt;&lt;wsp:rsid wsp:val=&quot;00126B33&quot;/&gt;&lt;wsp:rsid wsp:val=&quot;00126B66&quot;/&gt;&lt;wsp:rsid wsp:val=&quot;00126C2D&quot;/&gt;&lt;wsp:rsid wsp:val=&quot;001275D2&quot;/&gt;&lt;wsp:rsid wsp:val=&quot;0012786E&quot;/&gt;&lt;wsp:rsid wsp:val=&quot;00127BAB&quot;/&gt;&lt;wsp:rsid wsp:val=&quot;00127E98&quot;/&gt;&lt;wsp:rsid wsp:val=&quot;00127FB2&quot;/&gt;&lt;wsp:rsid wsp:val=&quot;00127FB5&quot;/&gt;&lt;wsp:rsid wsp:val=&quot;00130A74&quot;/&gt;&lt;wsp:rsid wsp:val=&quot;00130C1F&quot;/&gt;&lt;wsp:rsid wsp:val=&quot;00130DF6&quot;/&gt;&lt;wsp:rsid wsp:val=&quot;001312C9&quot;/&gt;&lt;wsp:rsid wsp:val=&quot;001321C2&quot;/&gt;&lt;wsp:rsid wsp:val=&quot;0013228C&quot;/&gt;&lt;wsp:rsid wsp:val=&quot;00132445&quot;/&gt;&lt;wsp:rsid wsp:val=&quot;001324E1&quot;/&gt;&lt;wsp:rsid wsp:val=&quot;00132A51&quot;/&gt;&lt;wsp:rsid wsp:val=&quot;00132F01&quot;/&gt;&lt;wsp:rsid wsp:val=&quot;001331C9&quot;/&gt;&lt;wsp:rsid wsp:val=&quot;00133252&quot;/&gt;&lt;wsp:rsid wsp:val=&quot;0013329B&quot;/&gt;&lt;wsp:rsid wsp:val=&quot;0013382F&quot;/&gt;&lt;wsp:rsid wsp:val=&quot;00133B6E&quot;/&gt;&lt;wsp:rsid wsp:val=&quot;00133C59&quot;/&gt;&lt;wsp:rsid wsp:val=&quot;001340D6&quot;/&gt;&lt;wsp:rsid wsp:val=&quot;0013449E&quot;/&gt;&lt;wsp:rsid wsp:val=&quot;001348A5&quot;/&gt;&lt;wsp:rsid wsp:val=&quot;00134C65&quot;/&gt;&lt;wsp:rsid wsp:val=&quot;00135B13&quot;/&gt;&lt;wsp:rsid wsp:val=&quot;00135BE2&quot;/&gt;&lt;wsp:rsid wsp:val=&quot;00135E40&quot;/&gt;&lt;wsp:rsid wsp:val=&quot;00136038&quot;/&gt;&lt;wsp:rsid wsp:val=&quot;00136172&quot;/&gt;&lt;wsp:rsid wsp:val=&quot;00136726&quot;/&gt;&lt;wsp:rsid wsp:val=&quot;0013675C&quot;/&gt;&lt;wsp:rsid wsp:val=&quot;00136943&quot;/&gt;&lt;wsp:rsid wsp:val=&quot;00136DD5&quot;/&gt;&lt;wsp:rsid wsp:val=&quot;00137CD1&quot;/&gt;&lt;wsp:rsid wsp:val=&quot;00137DDF&quot;/&gt;&lt;wsp:rsid wsp:val=&quot;00140462&quot;/&gt;&lt;wsp:rsid wsp:val=&quot;001405F2&quot;/&gt;&lt;wsp:rsid wsp:val=&quot;00140671&quot;/&gt;&lt;wsp:rsid wsp:val=&quot;00140930&quot;/&gt;&lt;wsp:rsid wsp:val=&quot;00140D73&quot;/&gt;&lt;wsp:rsid wsp:val=&quot;0014116A&quot;/&gt;&lt;wsp:rsid wsp:val=&quot;0014122E&quot;/&gt;&lt;wsp:rsid wsp:val=&quot;001412BE&quot;/&gt;&lt;wsp:rsid wsp:val=&quot;0014148D&quot;/&gt;&lt;wsp:rsid wsp:val=&quot;00141775&quot;/&gt;&lt;wsp:rsid wsp:val=&quot;001419DB&quot;/&gt;&lt;wsp:rsid wsp:val=&quot;00141C07&quot;/&gt;&lt;wsp:rsid wsp:val=&quot;00141C08&quot;/&gt;&lt;wsp:rsid wsp:val=&quot;00141C38&quot;/&gt;&lt;wsp:rsid wsp:val=&quot;00141EB4&quot;/&gt;&lt;wsp:rsid wsp:val=&quot;00141F2E&quot;/&gt;&lt;wsp:rsid wsp:val=&quot;00141FDD&quot;/&gt;&lt;wsp:rsid wsp:val=&quot;0014294F&quot;/&gt;&lt;wsp:rsid wsp:val=&quot;001429CB&quot;/&gt;&lt;wsp:rsid wsp:val=&quot;00142FE8&quot;/&gt;&lt;wsp:rsid wsp:val=&quot;0014322A&quot;/&gt;&lt;wsp:rsid wsp:val=&quot;001436EE&quot;/&gt;&lt;wsp:rsid wsp:val=&quot;00143B0F&quot;/&gt;&lt;wsp:rsid wsp:val=&quot;00143BC4&quot;/&gt;&lt;wsp:rsid wsp:val=&quot;00143C67&quot;/&gt;&lt;wsp:rsid wsp:val=&quot;00143F7F&quot;/&gt;&lt;wsp:rsid wsp:val=&quot;00144047&quot;/&gt;&lt;wsp:rsid wsp:val=&quot;00144059&quot;/&gt;&lt;wsp:rsid wsp:val=&quot;001440E7&quot;/&gt;&lt;wsp:rsid wsp:val=&quot;00144344&quot;/&gt;&lt;wsp:rsid wsp:val=&quot;00144374&quot;/&gt;&lt;wsp:rsid wsp:val=&quot;0014437D&quot;/&gt;&lt;wsp:rsid wsp:val=&quot;0014466E&quot;/&gt;&lt;wsp:rsid wsp:val=&quot;00144673&quot;/&gt;&lt;wsp:rsid wsp:val=&quot;001446D2&quot;/&gt;&lt;wsp:rsid wsp:val=&quot;00144726&quot;/&gt;&lt;wsp:rsid wsp:val=&quot;00144767&quot;/&gt;&lt;wsp:rsid wsp:val=&quot;0014490D&quot;/&gt;&lt;wsp:rsid wsp:val=&quot;00144F35&quot;/&gt;&lt;wsp:rsid wsp:val=&quot;00145331&quot;/&gt;&lt;wsp:rsid wsp:val=&quot;001455DE&quot;/&gt;&lt;wsp:rsid wsp:val=&quot;00145803&quot;/&gt;&lt;wsp:rsid wsp:val=&quot;00145BF2&quot;/&gt;&lt;wsp:rsid wsp:val=&quot;00145C4D&quot;/&gt;&lt;wsp:rsid wsp:val=&quot;00146184&quot;/&gt;&lt;wsp:rsid wsp:val=&quot;00146391&quot;/&gt;&lt;wsp:rsid wsp:val=&quot;00146607&quot;/&gt;&lt;wsp:rsid wsp:val=&quot;0014699F&quot;/&gt;&lt;wsp:rsid wsp:val=&quot;00146A2F&quot;/&gt;&lt;wsp:rsid wsp:val=&quot;00146B05&quot;/&gt;&lt;wsp:rsid wsp:val=&quot;00146C8A&quot;/&gt;&lt;wsp:rsid wsp:val=&quot;00146D55&quot;/&gt;&lt;wsp:rsid wsp:val=&quot;00146F18&quot;/&gt;&lt;wsp:rsid wsp:val=&quot;00147126&quot;/&gt;&lt;wsp:rsid wsp:val=&quot;0014724F&quot;/&gt;&lt;wsp:rsid wsp:val=&quot;00147295&quot;/&gt;&lt;wsp:rsid wsp:val=&quot;00147818&quot;/&gt;&lt;wsp:rsid wsp:val=&quot;00147FEF&quot;/&gt;&lt;wsp:rsid wsp:val=&quot;00150376&quot;/&gt;&lt;wsp:rsid wsp:val=&quot;001503D0&quot;/&gt;&lt;wsp:rsid wsp:val=&quot;00150521&quot;/&gt;&lt;wsp:rsid wsp:val=&quot;00150814&quot;/&gt;&lt;wsp:rsid wsp:val=&quot;0015087D&quot;/&gt;&lt;wsp:rsid wsp:val=&quot;0015097F&quot;/&gt;&lt;wsp:rsid wsp:val=&quot;001509CA&quot;/&gt;&lt;wsp:rsid wsp:val=&quot;00150C1E&quot;/&gt;&lt;wsp:rsid wsp:val=&quot;0015167F&quot;/&gt;&lt;wsp:rsid wsp:val=&quot;00151943&quot;/&gt;&lt;wsp:rsid wsp:val=&quot;00151F94&quot;/&gt;&lt;wsp:rsid wsp:val=&quot;001524FB&quot;/&gt;&lt;wsp:rsid wsp:val=&quot;00152701&quot;/&gt;&lt;wsp:rsid wsp:val=&quot;00152B08&quot;/&gt;&lt;wsp:rsid wsp:val=&quot;00153540&quot;/&gt;&lt;wsp:rsid wsp:val=&quot;00153976&quot;/&gt;&lt;wsp:rsid wsp:val=&quot;00153DAE&quot;/&gt;&lt;wsp:rsid wsp:val=&quot;00153DC2&quot;/&gt;&lt;wsp:rsid wsp:val=&quot;001540BA&quot;/&gt;&lt;wsp:rsid wsp:val=&quot;00154274&quot;/&gt;&lt;wsp:rsid wsp:val=&quot;001543E0&quot;/&gt;&lt;wsp:rsid wsp:val=&quot;00154653&quot;/&gt;&lt;wsp:rsid wsp:val=&quot;00154F6D&quot;/&gt;&lt;wsp:rsid wsp:val=&quot;001556FC&quot;/&gt;&lt;wsp:rsid wsp:val=&quot;0015573A&quot;/&gt;&lt;wsp:rsid wsp:val=&quot;00155EEA&quot;/&gt;&lt;wsp:rsid wsp:val=&quot;00155FD9&quot;/&gt;&lt;wsp:rsid wsp:val=&quot;00156434&quot;/&gt;&lt;wsp:rsid wsp:val=&quot;00156556&quot;/&gt;&lt;wsp:rsid wsp:val=&quot;00156744&quot;/&gt;&lt;wsp:rsid wsp:val=&quot;00157387&quot;/&gt;&lt;wsp:rsid wsp:val=&quot;00157584&quot;/&gt;&lt;wsp:rsid wsp:val=&quot;001575D4&quot;/&gt;&lt;wsp:rsid wsp:val=&quot;001575F8&quot;/&gt;&lt;wsp:rsid wsp:val=&quot;00157648&quot;/&gt;&lt;wsp:rsid wsp:val=&quot;00157866&quot;/&gt;&lt;wsp:rsid wsp:val=&quot;00157980&quot;/&gt;&lt;wsp:rsid wsp:val=&quot;00157E05&quot;/&gt;&lt;wsp:rsid wsp:val=&quot;00160454&quot;/&gt;&lt;wsp:rsid wsp:val=&quot;0016058D&quot;/&gt;&lt;wsp:rsid wsp:val=&quot;001607E5&quot;/&gt;&lt;wsp:rsid wsp:val=&quot;00160980&quot;/&gt;&lt;wsp:rsid wsp:val=&quot;00160AD4&quot;/&gt;&lt;wsp:rsid wsp:val=&quot;00160BC7&quot;/&gt;&lt;wsp:rsid wsp:val=&quot;0016130B&quot;/&gt;&lt;wsp:rsid wsp:val=&quot;00161353&quot;/&gt;&lt;wsp:rsid wsp:val=&quot;00161462&quot;/&gt;&lt;wsp:rsid wsp:val=&quot;00161490&quot;/&gt;&lt;wsp:rsid wsp:val=&quot;0016182B&quot;/&gt;&lt;wsp:rsid wsp:val=&quot;00161DB9&quot;/&gt;&lt;wsp:rsid wsp:val=&quot;00162104&quot;/&gt;&lt;wsp:rsid wsp:val=&quot;00162740&quot;/&gt;&lt;wsp:rsid wsp:val=&quot;001628A9&quot;/&gt;&lt;wsp:rsid wsp:val=&quot;00162E69&quot;/&gt;&lt;wsp:rsid wsp:val=&quot;00163665&quot;/&gt;&lt;wsp:rsid wsp:val=&quot;00163743&quot;/&gt;&lt;wsp:rsid wsp:val=&quot;00163994&quot;/&gt;&lt;wsp:rsid wsp:val=&quot;001639AB&quot;/&gt;&lt;wsp:rsid wsp:val=&quot;001645C3&quot;/&gt;&lt;wsp:rsid wsp:val=&quot;00164650&quot;/&gt;&lt;wsp:rsid wsp:val=&quot;001649E4&quot;/&gt;&lt;wsp:rsid wsp:val=&quot;00164C4E&quot;/&gt;&lt;wsp:rsid wsp:val=&quot;00164FC4&quot;/&gt;&lt;wsp:rsid wsp:val=&quot;001657A1&quot;/&gt;&lt;wsp:rsid wsp:val=&quot;00165961&quot;/&gt;&lt;wsp:rsid wsp:val=&quot;00165B3A&quot;/&gt;&lt;wsp:rsid wsp:val=&quot;001669D3&quot;/&gt;&lt;wsp:rsid wsp:val=&quot;00166F4B&quot;/&gt;&lt;wsp:rsid wsp:val=&quot;00166FBD&quot;/&gt;&lt;wsp:rsid wsp:val=&quot;0016714B&quot;/&gt;&lt;wsp:rsid wsp:val=&quot;001674EC&quot;/&gt;&lt;wsp:rsid wsp:val=&quot;00167577&quot;/&gt;&lt;wsp:rsid wsp:val=&quot;0017016D&quot;/&gt;&lt;wsp:rsid wsp:val=&quot;001701DB&quot;/&gt;&lt;wsp:rsid wsp:val=&quot;001702AB&quot;/&gt;&lt;wsp:rsid wsp:val=&quot;001702D1&quot;/&gt;&lt;wsp:rsid wsp:val=&quot;001711EE&quot;/&gt;&lt;wsp:rsid wsp:val=&quot;001715F7&quot;/&gt;&lt;wsp:rsid wsp:val=&quot;00171C5B&quot;/&gt;&lt;wsp:rsid wsp:val=&quot;00171D1D&quot;/&gt;&lt;wsp:rsid wsp:val=&quot;00171D8A&quot;/&gt;&lt;wsp:rsid wsp:val=&quot;00172378&quot;/&gt;&lt;wsp:rsid wsp:val=&quot;001727E1&quot;/&gt;&lt;wsp:rsid wsp:val=&quot;0017294C&quot;/&gt;&lt;wsp:rsid wsp:val=&quot;00172971&quot;/&gt;&lt;wsp:rsid wsp:val=&quot;00173011&quot;/&gt;&lt;wsp:rsid wsp:val=&quot;0017323B&quot;/&gt;&lt;wsp:rsid wsp:val=&quot;00173241&quot;/&gt;&lt;wsp:rsid wsp:val=&quot;00173670&quot;/&gt;&lt;wsp:rsid wsp:val=&quot;0017389A&quot;/&gt;&lt;wsp:rsid wsp:val=&quot;00173C4A&quot;/&gt;&lt;wsp:rsid wsp:val=&quot;00173ECC&quot;/&gt;&lt;wsp:rsid wsp:val=&quot;00174454&quot;/&gt;&lt;wsp:rsid wsp:val=&quot;001745DE&quot;/&gt;&lt;wsp:rsid wsp:val=&quot;00175009&quot;/&gt;&lt;wsp:rsid wsp:val=&quot;001751C4&quot;/&gt;&lt;wsp:rsid wsp:val=&quot;00175348&quot;/&gt;&lt;wsp:rsid wsp:val=&quot;00175713&quot;/&gt;&lt;wsp:rsid wsp:val=&quot;00175844&quot;/&gt;&lt;wsp:rsid wsp:val=&quot;001762BD&quot;/&gt;&lt;wsp:rsid wsp:val=&quot;001769AA&quot;/&gt;&lt;wsp:rsid wsp:val=&quot;001773E7&quot;/&gt;&lt;wsp:rsid wsp:val=&quot;001774A5&quot;/&gt;&lt;wsp:rsid wsp:val=&quot;00177518&quot;/&gt;&lt;wsp:rsid wsp:val=&quot;001775EF&quot;/&gt;&lt;wsp:rsid wsp:val=&quot;00177C23&quot;/&gt;&lt;wsp:rsid wsp:val=&quot;00177C63&quot;/&gt;&lt;wsp:rsid wsp:val=&quot;00177D8A&quot;/&gt;&lt;wsp:rsid wsp:val=&quot;0018028C&quot;/&gt;&lt;wsp:rsid wsp:val=&quot;0018034A&quot;/&gt;&lt;wsp:rsid wsp:val=&quot;001804DC&quot;/&gt;&lt;wsp:rsid wsp:val=&quot;0018072A&quot;/&gt;&lt;wsp:rsid wsp:val=&quot;00180756&quot;/&gt;&lt;wsp:rsid wsp:val=&quot;001807D6&quot;/&gt;&lt;wsp:rsid wsp:val=&quot;00180838&quot;/&gt;&lt;wsp:rsid wsp:val=&quot;00180AB2&quot;/&gt;&lt;wsp:rsid wsp:val=&quot;00180AC9&quot;/&gt;&lt;wsp:rsid wsp:val=&quot;00180C62&quot;/&gt;&lt;wsp:rsid wsp:val=&quot;00180CB8&quot;/&gt;&lt;wsp:rsid wsp:val=&quot;0018185E&quot;/&gt;&lt;wsp:rsid wsp:val=&quot;00181916&quot;/&gt;&lt;wsp:rsid wsp:val=&quot;001819E1&quot;/&gt;&lt;wsp:rsid wsp:val=&quot;00181AF5&quot;/&gt;&lt;wsp:rsid wsp:val=&quot;00181D86&quot;/&gt;&lt;wsp:rsid wsp:val=&quot;00182435&quot;/&gt;&lt;wsp:rsid wsp:val=&quot;0018270F&quot;/&gt;&lt;wsp:rsid wsp:val=&quot;00182B5D&quot;/&gt;&lt;wsp:rsid wsp:val=&quot;00182C59&quot;/&gt;&lt;wsp:rsid wsp:val=&quot;00182D3D&quot;/&gt;&lt;wsp:rsid wsp:val=&quot;00182DD9&quot;/&gt;&lt;wsp:rsid wsp:val=&quot;001830E6&quot;/&gt;&lt;wsp:rsid wsp:val=&quot;001833EA&quot;/&gt;&lt;wsp:rsid wsp:val=&quot;0018344F&quot;/&gt;&lt;wsp:rsid wsp:val=&quot;00183C87&quot;/&gt;&lt;wsp:rsid wsp:val=&quot;00184DF4&quot;/&gt;&lt;wsp:rsid wsp:val=&quot;00184E1F&quot;/&gt;&lt;wsp:rsid wsp:val=&quot;00184E5F&quot;/&gt;&lt;wsp:rsid wsp:val=&quot;00184EA7&quot;/&gt;&lt;wsp:rsid wsp:val=&quot;00184F02&quot;/&gt;&lt;wsp:rsid wsp:val=&quot;001851CE&quot;/&gt;&lt;wsp:rsid wsp:val=&quot;001859B1&quot;/&gt;&lt;wsp:rsid wsp:val=&quot;0018645F&quot;/&gt;&lt;wsp:rsid wsp:val=&quot;00186981&quot;/&gt;&lt;wsp:rsid wsp:val=&quot;00186F25&quot;/&gt;&lt;wsp:rsid wsp:val=&quot;00187388&quot;/&gt;&lt;wsp:rsid wsp:val=&quot;00187D3C&quot;/&gt;&lt;wsp:rsid wsp:val=&quot;00187E46&quot;/&gt;&lt;wsp:rsid wsp:val=&quot;00190701&quot;/&gt;&lt;wsp:rsid wsp:val=&quot;00190B5D&quot;/&gt;&lt;wsp:rsid wsp:val=&quot;00190C3E&quot;/&gt;&lt;wsp:rsid wsp:val=&quot;00190EBA&quot;/&gt;&lt;wsp:rsid wsp:val=&quot;00191054&quot;/&gt;&lt;wsp:rsid wsp:val=&quot;0019249F&quot;/&gt;&lt;wsp:rsid wsp:val=&quot;00192717&quot;/&gt;&lt;wsp:rsid wsp:val=&quot;00192EA2&quot;/&gt;&lt;wsp:rsid wsp:val=&quot;00193079&quot;/&gt;&lt;wsp:rsid wsp:val=&quot;0019361F&quot;/&gt;&lt;wsp:rsid wsp:val=&quot;0019383D&quot;/&gt;&lt;wsp:rsid wsp:val=&quot;00194523&quot;/&gt;&lt;wsp:rsid wsp:val=&quot;0019482F&quot;/&gt;&lt;wsp:rsid wsp:val=&quot;00194E37&quot;/&gt;&lt;wsp:rsid wsp:val=&quot;00194EE0&quot;/&gt;&lt;wsp:rsid wsp:val=&quot;00195278&quot;/&gt;&lt;wsp:rsid wsp:val=&quot;001952EF&quot;/&gt;&lt;wsp:rsid wsp:val=&quot;0019531D&quot;/&gt;&lt;wsp:rsid wsp:val=&quot;001959E3&quot;/&gt;&lt;wsp:rsid wsp:val=&quot;00195B86&quot;/&gt;&lt;wsp:rsid wsp:val=&quot;00195F8B&quot;/&gt;&lt;wsp:rsid wsp:val=&quot;00196048&quot;/&gt;&lt;wsp:rsid wsp:val=&quot;00196061&quot;/&gt;&lt;wsp:rsid wsp:val=&quot;00196267&quot;/&gt;&lt;wsp:rsid wsp:val=&quot;001962DB&quot;/&gt;&lt;wsp:rsid wsp:val=&quot;001964A3&quot;/&gt;&lt;wsp:rsid wsp:val=&quot;001965B3&quot;/&gt;&lt;wsp:rsid wsp:val=&quot;0019674E&quot;/&gt;&lt;wsp:rsid wsp:val=&quot;0019686A&quot;/&gt;&lt;wsp:rsid wsp:val=&quot;00196903&quot;/&gt;&lt;wsp:rsid wsp:val=&quot;00196CEE&quot;/&gt;&lt;wsp:rsid wsp:val=&quot;00196D2C&quot;/&gt;&lt;wsp:rsid wsp:val=&quot;00196E61&quot;/&gt;&lt;wsp:rsid wsp:val=&quot;0019781F&quot;/&gt;&lt;wsp:rsid wsp:val=&quot;001978D8&quot;/&gt;&lt;wsp:rsid wsp:val=&quot;0019796F&quot;/&gt;&lt;wsp:rsid wsp:val=&quot;00197ACD&quot;/&gt;&lt;wsp:rsid wsp:val=&quot;00197BD5&quot;/&gt;&lt;wsp:rsid wsp:val=&quot;00197C63&quot;/&gt;&lt;wsp:rsid wsp:val=&quot;00197D10&quot;/&gt;&lt;wsp:rsid wsp:val=&quot;001A01F8&quot;/&gt;&lt;wsp:rsid wsp:val=&quot;001A0910&quot;/&gt;&lt;wsp:rsid wsp:val=&quot;001A0D8A&quot;/&gt;&lt;wsp:rsid wsp:val=&quot;001A1081&quot;/&gt;&lt;wsp:rsid wsp:val=&quot;001A137C&quot;/&gt;&lt;wsp:rsid wsp:val=&quot;001A15C6&quot;/&gt;&lt;wsp:rsid wsp:val=&quot;001A1E78&quot;/&gt;&lt;wsp:rsid wsp:val=&quot;001A24C9&quot;/&gt;&lt;wsp:rsid wsp:val=&quot;001A26BE&quot;/&gt;&lt;wsp:rsid wsp:val=&quot;001A2BC3&quot;/&gt;&lt;wsp:rsid wsp:val=&quot;001A3487&quot;/&gt;&lt;wsp:rsid wsp:val=&quot;001A3995&quot;/&gt;&lt;wsp:rsid wsp:val=&quot;001A4906&quot;/&gt;&lt;wsp:rsid wsp:val=&quot;001A4F58&quot;/&gt;&lt;wsp:rsid wsp:val=&quot;001A58EB&quot;/&gt;&lt;wsp:rsid wsp:val=&quot;001A5E4D&quot;/&gt;&lt;wsp:rsid wsp:val=&quot;001A5F78&quot;/&gt;&lt;wsp:rsid wsp:val=&quot;001A62C8&quot;/&gt;&lt;wsp:rsid wsp:val=&quot;001A642D&quot;/&gt;&lt;wsp:rsid wsp:val=&quot;001A65EA&quot;/&gt;&lt;wsp:rsid wsp:val=&quot;001A66B2&quot;/&gt;&lt;wsp:rsid wsp:val=&quot;001A7199&quot;/&gt;&lt;wsp:rsid wsp:val=&quot;001A7307&quot;/&gt;&lt;wsp:rsid wsp:val=&quot;001A786A&quot;/&gt;&lt;wsp:rsid wsp:val=&quot;001A7B4C&quot;/&gt;&lt;wsp:rsid wsp:val=&quot;001A7BCF&quot;/&gt;&lt;wsp:rsid wsp:val=&quot;001A7D02&quot;/&gt;&lt;wsp:rsid wsp:val=&quot;001A7E5E&quot;/&gt;&lt;wsp:rsid wsp:val=&quot;001A7E73&quot;/&gt;&lt;wsp:rsid wsp:val=&quot;001B0343&quot;/&gt;&lt;wsp:rsid wsp:val=&quot;001B0C29&quot;/&gt;&lt;wsp:rsid wsp:val=&quot;001B143F&quot;/&gt;&lt;wsp:rsid wsp:val=&quot;001B177A&quot;/&gt;&lt;wsp:rsid wsp:val=&quot;001B1E97&quot;/&gt;&lt;wsp:rsid wsp:val=&quot;001B1F9B&quot;/&gt;&lt;wsp:rsid wsp:val=&quot;001B2007&quot;/&gt;&lt;wsp:rsid wsp:val=&quot;001B24B5&quot;/&gt;&lt;wsp:rsid wsp:val=&quot;001B2C07&quot;/&gt;&lt;wsp:rsid wsp:val=&quot;001B2C65&quot;/&gt;&lt;wsp:rsid wsp:val=&quot;001B30B6&quot;/&gt;&lt;wsp:rsid wsp:val=&quot;001B3352&quot;/&gt;&lt;wsp:rsid wsp:val=&quot;001B366C&quot;/&gt;&lt;wsp:rsid wsp:val=&quot;001B480D&quot;/&gt;&lt;wsp:rsid wsp:val=&quot;001B50EC&quot;/&gt;&lt;wsp:rsid wsp:val=&quot;001B5245&quot;/&gt;&lt;wsp:rsid wsp:val=&quot;001B5723&quot;/&gt;&lt;wsp:rsid wsp:val=&quot;001B5778&quot;/&gt;&lt;wsp:rsid wsp:val=&quot;001B59EA&quot;/&gt;&lt;wsp:rsid wsp:val=&quot;001B5CF0&quot;/&gt;&lt;wsp:rsid wsp:val=&quot;001B5F1B&quot;/&gt;&lt;wsp:rsid wsp:val=&quot;001B5FC3&quot;/&gt;&lt;wsp:rsid wsp:val=&quot;001B6134&quot;/&gt;&lt;wsp:rsid wsp:val=&quot;001B62BE&quot;/&gt;&lt;wsp:rsid wsp:val=&quot;001B6449&quot;/&gt;&lt;wsp:rsid wsp:val=&quot;001B6589&quot;/&gt;&lt;wsp:rsid wsp:val=&quot;001B6727&quot;/&gt;&lt;wsp:rsid wsp:val=&quot;001B677A&quot;/&gt;&lt;wsp:rsid wsp:val=&quot;001B6841&quot;/&gt;&lt;wsp:rsid wsp:val=&quot;001B6EA0&quot;/&gt;&lt;wsp:rsid wsp:val=&quot;001B7237&quot;/&gt;&lt;wsp:rsid wsp:val=&quot;001B72A0&quot;/&gt;&lt;wsp:rsid wsp:val=&quot;001B72CE&quot;/&gt;&lt;wsp:rsid wsp:val=&quot;001B7314&quot;/&gt;&lt;wsp:rsid wsp:val=&quot;001B7436&quot;/&gt;&lt;wsp:rsid wsp:val=&quot;001B7EC8&quot;/&gt;&lt;wsp:rsid wsp:val=&quot;001C0401&quot;/&gt;&lt;wsp:rsid wsp:val=&quot;001C04E9&quot;/&gt;&lt;wsp:rsid wsp:val=&quot;001C0961&quot;/&gt;&lt;wsp:rsid wsp:val=&quot;001C0976&quot;/&gt;&lt;wsp:rsid wsp:val=&quot;001C09FF&quot;/&gt;&lt;wsp:rsid wsp:val=&quot;001C0A5F&quot;/&gt;&lt;wsp:rsid wsp:val=&quot;001C0AE9&quot;/&gt;&lt;wsp:rsid wsp:val=&quot;001C0B0E&quot;/&gt;&lt;wsp:rsid wsp:val=&quot;001C0C95&quot;/&gt;&lt;wsp:rsid wsp:val=&quot;001C0CD6&quot;/&gt;&lt;wsp:rsid wsp:val=&quot;001C16B9&quot;/&gt;&lt;wsp:rsid wsp:val=&quot;001C187C&quot;/&gt;&lt;wsp:rsid wsp:val=&quot;001C18C0&quot;/&gt;&lt;wsp:rsid wsp:val=&quot;001C1C58&quot;/&gt;&lt;wsp:rsid wsp:val=&quot;001C1CAC&quot;/&gt;&lt;wsp:rsid wsp:val=&quot;001C1CEE&quot;/&gt;&lt;wsp:rsid wsp:val=&quot;001C1D1F&quot;/&gt;&lt;wsp:rsid wsp:val=&quot;001C1D75&quot;/&gt;&lt;wsp:rsid wsp:val=&quot;001C2147&quot;/&gt;&lt;wsp:rsid wsp:val=&quot;001C26C9&quot;/&gt;&lt;wsp:rsid wsp:val=&quot;001C2A51&quot;/&gt;&lt;wsp:rsid wsp:val=&quot;001C2A5E&quot;/&gt;&lt;wsp:rsid wsp:val=&quot;001C2C7F&quot;/&gt;&lt;wsp:rsid wsp:val=&quot;001C2E20&quot;/&gt;&lt;wsp:rsid wsp:val=&quot;001C3050&quot;/&gt;&lt;wsp:rsid wsp:val=&quot;001C30A9&quot;/&gt;&lt;wsp:rsid wsp:val=&quot;001C3959&quot;/&gt;&lt;wsp:rsid wsp:val=&quot;001C3C48&quot;/&gt;&lt;wsp:rsid wsp:val=&quot;001C3C6C&quot;/&gt;&lt;wsp:rsid wsp:val=&quot;001C3F0F&quot;/&gt;&lt;wsp:rsid wsp:val=&quot;001C4AEA&quot;/&gt;&lt;wsp:rsid wsp:val=&quot;001C58BD&quot;/&gt;&lt;wsp:rsid wsp:val=&quot;001C5C69&quot;/&gt;&lt;wsp:rsid wsp:val=&quot;001C5C94&quot;/&gt;&lt;wsp:rsid wsp:val=&quot;001C5CEE&quot;/&gt;&lt;wsp:rsid wsp:val=&quot;001C5D71&quot;/&gt;&lt;wsp:rsid wsp:val=&quot;001C6447&quot;/&gt;&lt;wsp:rsid wsp:val=&quot;001C654D&quot;/&gt;&lt;wsp:rsid wsp:val=&quot;001C6B80&quot;/&gt;&lt;wsp:rsid wsp:val=&quot;001C70D3&quot;/&gt;&lt;wsp:rsid wsp:val=&quot;001C71F9&quot;/&gt;&lt;wsp:rsid wsp:val=&quot;001C7204&quot;/&gt;&lt;wsp:rsid wsp:val=&quot;001C7629&quot;/&gt;&lt;wsp:rsid wsp:val=&quot;001C7A9C&quot;/&gt;&lt;wsp:rsid wsp:val=&quot;001C7CE1&quot;/&gt;&lt;wsp:rsid wsp:val=&quot;001D00B9&quot;/&gt;&lt;wsp:rsid wsp:val=&quot;001D0A1C&quot;/&gt;&lt;wsp:rsid wsp:val=&quot;001D0B9D&quot;/&gt;&lt;wsp:rsid wsp:val=&quot;001D0C26&quot;/&gt;&lt;wsp:rsid wsp:val=&quot;001D0DE5&quot;/&gt;&lt;wsp:rsid wsp:val=&quot;001D10EF&quot;/&gt;&lt;wsp:rsid wsp:val=&quot;001D1184&quot;/&gt;&lt;wsp:rsid wsp:val=&quot;001D1322&quot;/&gt;&lt;wsp:rsid wsp:val=&quot;001D1489&quot;/&gt;&lt;wsp:rsid wsp:val=&quot;001D1803&quot;/&gt;&lt;wsp:rsid wsp:val=&quot;001D196E&quot;/&gt;&lt;wsp:rsid wsp:val=&quot;001D1F57&quot;/&gt;&lt;wsp:rsid wsp:val=&quot;001D2001&quot;/&gt;&lt;wsp:rsid wsp:val=&quot;001D2179&quot;/&gt;&lt;wsp:rsid wsp:val=&quot;001D23B3&quot;/&gt;&lt;wsp:rsid wsp:val=&quot;001D26B4&quot;/&gt;&lt;wsp:rsid wsp:val=&quot;001D26D4&quot;/&gt;&lt;wsp:rsid wsp:val=&quot;001D29DD&quot;/&gt;&lt;wsp:rsid wsp:val=&quot;001D2F24&quot;/&gt;&lt;wsp:rsid wsp:val=&quot;001D34A9&quot;/&gt;&lt;wsp:rsid wsp:val=&quot;001D38F3&quot;/&gt;&lt;wsp:rsid wsp:val=&quot;001D3900&quot;/&gt;&lt;wsp:rsid wsp:val=&quot;001D3B05&quot;/&gt;&lt;wsp:rsid wsp:val=&quot;001D4033&quot;/&gt;&lt;wsp:rsid wsp:val=&quot;001D40B1&quot;/&gt;&lt;wsp:rsid wsp:val=&quot;001D42F8&quot;/&gt;&lt;wsp:rsid wsp:val=&quot;001D45EE&quot;/&gt;&lt;wsp:rsid wsp:val=&quot;001D4B4C&quot;/&gt;&lt;wsp:rsid wsp:val=&quot;001D4BB6&quot;/&gt;&lt;wsp:rsid wsp:val=&quot;001D4C1E&quot;/&gt;&lt;wsp:rsid wsp:val=&quot;001D509C&quot;/&gt;&lt;wsp:rsid wsp:val=&quot;001D526E&quot;/&gt;&lt;wsp:rsid wsp:val=&quot;001D5701&quot;/&gt;&lt;wsp:rsid wsp:val=&quot;001D57C5&quot;/&gt;&lt;wsp:rsid wsp:val=&quot;001D5C93&quot;/&gt;&lt;wsp:rsid wsp:val=&quot;001D5E01&quot;/&gt;&lt;wsp:rsid wsp:val=&quot;001D5E5D&quot;/&gt;&lt;wsp:rsid wsp:val=&quot;001D5EE4&quot;/&gt;&lt;wsp:rsid wsp:val=&quot;001D6949&quot;/&gt;&lt;wsp:rsid wsp:val=&quot;001D73C5&quot;/&gt;&lt;wsp:rsid wsp:val=&quot;001D76F6&quot;/&gt;&lt;wsp:rsid wsp:val=&quot;001D775D&quot;/&gt;&lt;wsp:rsid wsp:val=&quot;001D786C&quot;/&gt;&lt;wsp:rsid wsp:val=&quot;001D7CC4&quot;/&gt;&lt;wsp:rsid wsp:val=&quot;001D7D2F&quot;/&gt;&lt;wsp:rsid wsp:val=&quot;001E0296&quot;/&gt;&lt;wsp:rsid wsp:val=&quot;001E04E8&quot;/&gt;&lt;wsp:rsid wsp:val=&quot;001E07A2&quot;/&gt;&lt;wsp:rsid wsp:val=&quot;001E08FD&quot;/&gt;&lt;wsp:rsid wsp:val=&quot;001E1354&quot;/&gt;&lt;wsp:rsid wsp:val=&quot;001E14B9&quot;/&gt;&lt;wsp:rsid wsp:val=&quot;001E18D9&quot;/&gt;&lt;wsp:rsid wsp:val=&quot;001E1FCF&quot;/&gt;&lt;wsp:rsid wsp:val=&quot;001E20FD&quot;/&gt;&lt;wsp:rsid wsp:val=&quot;001E2267&quot;/&gt;&lt;wsp:rsid wsp:val=&quot;001E2637&quot;/&gt;&lt;wsp:rsid wsp:val=&quot;001E2A20&quot;/&gt;&lt;wsp:rsid wsp:val=&quot;001E2D8A&quot;/&gt;&lt;wsp:rsid wsp:val=&quot;001E2EB0&quot;/&gt;&lt;wsp:rsid wsp:val=&quot;001E300D&quot;/&gt;&lt;wsp:rsid wsp:val=&quot;001E30B2&quot;/&gt;&lt;wsp:rsid wsp:val=&quot;001E373C&quot;/&gt;&lt;wsp:rsid wsp:val=&quot;001E3D7D&quot;/&gt;&lt;wsp:rsid wsp:val=&quot;001E3F78&quot;/&gt;&lt;wsp:rsid wsp:val=&quot;001E4198&quot;/&gt;&lt;wsp:rsid wsp:val=&quot;001E43ED&quot;/&gt;&lt;wsp:rsid wsp:val=&quot;001E4F2E&quot;/&gt;&lt;wsp:rsid wsp:val=&quot;001E5033&quot;/&gt;&lt;wsp:rsid wsp:val=&quot;001E5217&quot;/&gt;&lt;wsp:rsid wsp:val=&quot;001E572B&quot;/&gt;&lt;wsp:rsid wsp:val=&quot;001E5C1C&quot;/&gt;&lt;wsp:rsid wsp:val=&quot;001E5C97&quot;/&gt;&lt;wsp:rsid wsp:val=&quot;001E5EDA&quot;/&gt;&lt;wsp:rsid wsp:val=&quot;001E6651&quot;/&gt;&lt;wsp:rsid wsp:val=&quot;001E69EF&quot;/&gt;&lt;wsp:rsid wsp:val=&quot;001E6D44&quot;/&gt;&lt;wsp:rsid wsp:val=&quot;001E7750&quot;/&gt;&lt;wsp:rsid wsp:val=&quot;001E7880&quot;/&gt;&lt;wsp:rsid wsp:val=&quot;001E7EF3&quot;/&gt;&lt;wsp:rsid wsp:val=&quot;001E7F09&quot;/&gt;&lt;wsp:rsid wsp:val=&quot;001F059E&quot;/&gt;&lt;wsp:rsid wsp:val=&quot;001F087D&quot;/&gt;&lt;wsp:rsid wsp:val=&quot;001F0A2D&quot;/&gt;&lt;wsp:rsid wsp:val=&quot;001F0AF1&quot;/&gt;&lt;wsp:rsid wsp:val=&quot;001F1028&quot;/&gt;&lt;wsp:rsid wsp:val=&quot;001F1230&quot;/&gt;&lt;wsp:rsid wsp:val=&quot;001F1778&quot;/&gt;&lt;wsp:rsid wsp:val=&quot;001F1A47&quot;/&gt;&lt;wsp:rsid wsp:val=&quot;001F1C7D&quot;/&gt;&lt;wsp:rsid wsp:val=&quot;001F1D47&quot;/&gt;&lt;wsp:rsid wsp:val=&quot;001F2564&quot;/&gt;&lt;wsp:rsid wsp:val=&quot;001F2779&quot;/&gt;&lt;wsp:rsid wsp:val=&quot;001F2E44&quot;/&gt;&lt;wsp:rsid wsp:val=&quot;001F3051&quot;/&gt;&lt;wsp:rsid wsp:val=&quot;001F31D9&quot;/&gt;&lt;wsp:rsid wsp:val=&quot;001F342D&quot;/&gt;&lt;wsp:rsid wsp:val=&quot;001F35B9&quot;/&gt;&lt;wsp:rsid wsp:val=&quot;001F395C&quot;/&gt;&lt;wsp:rsid wsp:val=&quot;001F399A&quot;/&gt;&lt;wsp:rsid wsp:val=&quot;001F3B40&quot;/&gt;&lt;wsp:rsid wsp:val=&quot;001F4026&quot;/&gt;&lt;wsp:rsid wsp:val=&quot;001F42A4&quot;/&gt;&lt;wsp:rsid wsp:val=&quot;001F42DD&quot;/&gt;&lt;wsp:rsid wsp:val=&quot;001F44DE&quot;/&gt;&lt;wsp:rsid wsp:val=&quot;001F4A12&quot;/&gt;&lt;wsp:rsid wsp:val=&quot;001F4A64&quot;/&gt;&lt;wsp:rsid wsp:val=&quot;001F4B50&quot;/&gt;&lt;wsp:rsid wsp:val=&quot;001F591D&quot;/&gt;&lt;wsp:rsid wsp:val=&quot;001F5BFE&quot;/&gt;&lt;wsp:rsid wsp:val=&quot;001F5FAF&quot;/&gt;&lt;wsp:rsid wsp:val=&quot;001F6325&quot;/&gt;&lt;wsp:rsid wsp:val=&quot;001F653B&quot;/&gt;&lt;wsp:rsid wsp:val=&quot;001F678F&quot;/&gt;&lt;wsp:rsid wsp:val=&quot;001F69FE&quot;/&gt;&lt;wsp:rsid wsp:val=&quot;001F6A0A&quot;/&gt;&lt;wsp:rsid wsp:val=&quot;001F6C9D&quot;/&gt;&lt;wsp:rsid wsp:val=&quot;001F71DE&quot;/&gt;&lt;wsp:rsid wsp:val=&quot;001F728E&quot;/&gt;&lt;wsp:rsid wsp:val=&quot;001F7335&quot;/&gt;&lt;wsp:rsid wsp:val=&quot;001F746B&quot;/&gt;&lt;wsp:rsid wsp:val=&quot;001F783B&quot;/&gt;&lt;wsp:rsid wsp:val=&quot;002004B5&quot;/&gt;&lt;wsp:rsid wsp:val=&quot;00200A58&quot;/&gt;&lt;wsp:rsid wsp:val=&quot;0020115B&quot;/&gt;&lt;wsp:rsid wsp:val=&quot;0020118E&quot;/&gt;&lt;wsp:rsid wsp:val=&quot;00201390&quot;/&gt;&lt;wsp:rsid wsp:val=&quot;00201AD3&quot;/&gt;&lt;wsp:rsid wsp:val=&quot;00201B4F&quot;/&gt;&lt;wsp:rsid wsp:val=&quot;00202731&quot;/&gt;&lt;wsp:rsid wsp:val=&quot;00202FF3&quot;/&gt;&lt;wsp:rsid wsp:val=&quot;00203214&quot;/&gt;&lt;wsp:rsid wsp:val=&quot;00203669&quot;/&gt;&lt;wsp:rsid wsp:val=&quot;00203884&quot;/&gt;&lt;wsp:rsid wsp:val=&quot;00203A11&quot;/&gt;&lt;wsp:rsid wsp:val=&quot;00203A3D&quot;/&gt;&lt;wsp:rsid wsp:val=&quot;00203E63&quot;/&gt;&lt;wsp:rsid wsp:val=&quot;00203F61&quot;/&gt;&lt;wsp:rsid wsp:val=&quot;002040BA&quot;/&gt;&lt;wsp:rsid wsp:val=&quot;00204234&quot;/&gt;&lt;wsp:rsid wsp:val=&quot;00204CB2&quot;/&gt;&lt;wsp:rsid wsp:val=&quot;00204EB1&quot;/&gt;&lt;wsp:rsid wsp:val=&quot;002052F6&quot;/&gt;&lt;wsp:rsid wsp:val=&quot;00205787&quot;/&gt;&lt;wsp:rsid wsp:val=&quot;00205C1E&quot;/&gt;&lt;wsp:rsid wsp:val=&quot;002062A1&quot;/&gt;&lt;wsp:rsid wsp:val=&quot;002062ED&quot;/&gt;&lt;wsp:rsid wsp:val=&quot;002063F5&quot;/&gt;&lt;wsp:rsid wsp:val=&quot;00206B0F&quot;/&gt;&lt;wsp:rsid wsp:val=&quot;00206F17&quot;/&gt;&lt;wsp:rsid wsp:val=&quot;002070B9&quot;/&gt;&lt;wsp:rsid wsp:val=&quot;00207292&quot;/&gt;&lt;wsp:rsid wsp:val=&quot;00207A76&quot;/&gt;&lt;wsp:rsid wsp:val=&quot;00207E9C&quot;/&gt;&lt;wsp:rsid wsp:val=&quot;002109EC&quot;/&gt;&lt;wsp:rsid wsp:val=&quot;00210ED5&quot;/&gt;&lt;wsp:rsid wsp:val=&quot;0021131D&quot;/&gt;&lt;wsp:rsid wsp:val=&quot;00211415&quot;/&gt;&lt;wsp:rsid wsp:val=&quot;0021154F&quot;/&gt;&lt;wsp:rsid wsp:val=&quot;00211603&quot;/&gt;&lt;wsp:rsid wsp:val=&quot;0021178A&quot;/&gt;&lt;wsp:rsid wsp:val=&quot;00211A9D&quot;/&gt;&lt;wsp:rsid wsp:val=&quot;00211E3A&quot;/&gt;&lt;wsp:rsid wsp:val=&quot;00212629&quot;/&gt;&lt;wsp:rsid wsp:val=&quot;00212D0A&quot;/&gt;&lt;wsp:rsid wsp:val=&quot;0021342F&quot;/&gt;&lt;wsp:rsid wsp:val=&quot;00213716&quot;/&gt;&lt;wsp:rsid wsp:val=&quot;00213AA3&quot;/&gt;&lt;wsp:rsid wsp:val=&quot;00213AE7&quot;/&gt;&lt;wsp:rsid wsp:val=&quot;00213CD1&quot;/&gt;&lt;wsp:rsid wsp:val=&quot;002144B9&quot;/&gt;&lt;wsp:rsid wsp:val=&quot;002145B2&quot;/&gt;&lt;wsp:rsid wsp:val=&quot;002148B7&quot;/&gt;&lt;wsp:rsid wsp:val=&quot;00215153&quot;/&gt;&lt;wsp:rsid wsp:val=&quot;002152B4&quot;/&gt;&lt;wsp:rsid wsp:val=&quot;00215363&quot;/&gt;&lt;wsp:rsid wsp:val=&quot;002155D5&quot;/&gt;&lt;wsp:rsid wsp:val=&quot;002157D0&quot;/&gt;&lt;wsp:rsid wsp:val=&quot;002158BB&quot;/&gt;&lt;wsp:rsid wsp:val=&quot;00215923&quot;/&gt;&lt;wsp:rsid wsp:val=&quot;00215B16&quot;/&gt;&lt;wsp:rsid wsp:val=&quot;00216252&quot;/&gt;&lt;wsp:rsid wsp:val=&quot;00216A42&quot;/&gt;&lt;wsp:rsid wsp:val=&quot;0021762E&quot;/&gt;&lt;wsp:rsid wsp:val=&quot;00217863&quot;/&gt;&lt;wsp:rsid wsp:val=&quot;00217875&quot;/&gt;&lt;wsp:rsid wsp:val=&quot;00217C16&quot;/&gt;&lt;wsp:rsid wsp:val=&quot;00217CDD&quot;/&gt;&lt;wsp:rsid wsp:val=&quot;00217DF4&quot;/&gt;&lt;wsp:rsid wsp:val=&quot;00217FF3&quot;/&gt;&lt;wsp:rsid wsp:val=&quot;002201D1&quot;/&gt;&lt;wsp:rsid wsp:val=&quot;0022087F&quot;/&gt;&lt;wsp:rsid wsp:val=&quot;00220A70&quot;/&gt;&lt;wsp:rsid wsp:val=&quot;00220E2B&quot;/&gt;&lt;wsp:rsid wsp:val=&quot;00220FF9&quot;/&gt;&lt;wsp:rsid wsp:val=&quot;00221C9E&quot;/&gt;&lt;wsp:rsid wsp:val=&quot;00221CE5&quot;/&gt;&lt;wsp:rsid wsp:val=&quot;00222238&quot;/&gt;&lt;wsp:rsid wsp:val=&quot;002223C9&quot;/&gt;&lt;wsp:rsid wsp:val=&quot;00222500&quot;/&gt;&lt;wsp:rsid wsp:val=&quot;002226AA&quot;/&gt;&lt;wsp:rsid wsp:val=&quot;0022270D&quot;/&gt;&lt;wsp:rsid wsp:val=&quot;00222C43&quot;/&gt;&lt;wsp:rsid wsp:val=&quot;00222D7F&quot;/&gt;&lt;wsp:rsid wsp:val=&quot;00222DC8&quot;/&gt;&lt;wsp:rsid wsp:val=&quot;002231EE&quot;/&gt;&lt;wsp:rsid wsp:val=&quot;002233E3&quot;/&gt;&lt;wsp:rsid wsp:val=&quot;002239B7&quot;/&gt;&lt;wsp:rsid wsp:val=&quot;00223A30&quot;/&gt;&lt;wsp:rsid wsp:val=&quot;00223B60&quot;/&gt;&lt;wsp:rsid wsp:val=&quot;00223DE6&quot;/&gt;&lt;wsp:rsid wsp:val=&quot;00223F62&quot;/&gt;&lt;wsp:rsid wsp:val=&quot;00223F9C&quot;/&gt;&lt;wsp:rsid wsp:val=&quot;00223FFC&quot;/&gt;&lt;wsp:rsid wsp:val=&quot;002249B1&quot;/&gt;&lt;wsp:rsid wsp:val=&quot;00224B87&quot;/&gt;&lt;wsp:rsid wsp:val=&quot;002252A4&quot;/&gt;&lt;wsp:rsid wsp:val=&quot;002256D7&quot;/&gt;&lt;wsp:rsid wsp:val=&quot;002256F8&quot;/&gt;&lt;wsp:rsid wsp:val=&quot;0022588E&quot;/&gt;&lt;wsp:rsid wsp:val=&quot;00226142&quot;/&gt;&lt;wsp:rsid wsp:val=&quot;00226165&quot;/&gt;&lt;wsp:rsid wsp:val=&quot;0022658A&quot;/&gt;&lt;wsp:rsid wsp:val=&quot;00226901&quot;/&gt;&lt;wsp:rsid wsp:val=&quot;00226C9A&quot;/&gt;&lt;wsp:rsid wsp:val=&quot;00226CAA&quot;/&gt;&lt;wsp:rsid wsp:val=&quot;00226E16&quot;/&gt;&lt;wsp:rsid wsp:val=&quot;00226F0D&quot;/&gt;&lt;wsp:rsid wsp:val=&quot;00226FCA&quot;/&gt;&lt;wsp:rsid wsp:val=&quot;00227818&quot;/&gt;&lt;wsp:rsid wsp:val=&quot;0022783D&quot;/&gt;&lt;wsp:rsid wsp:val=&quot;00227A0E&quot;/&gt;&lt;wsp:rsid wsp:val=&quot;00227CA3&quot;/&gt;&lt;wsp:rsid wsp:val=&quot;00227CAC&quot;/&gt;&lt;wsp:rsid wsp:val=&quot;00227F09&quot;/&gt;&lt;wsp:rsid wsp:val=&quot;002300C7&quot;/&gt;&lt;wsp:rsid wsp:val=&quot;002300D2&quot;/&gt;&lt;wsp:rsid wsp:val=&quot;00230153&quot;/&gt;&lt;wsp:rsid wsp:val=&quot;00230303&quot;/&gt;&lt;wsp:rsid wsp:val=&quot;00230718&quot;/&gt;&lt;wsp:rsid wsp:val=&quot;00230D26&quot;/&gt;&lt;wsp:rsid wsp:val=&quot;002314F1&quot;/&gt;&lt;wsp:rsid wsp:val=&quot;00231683&quot;/&gt;&lt;wsp:rsid wsp:val=&quot;00231CB7&quot;/&gt;&lt;wsp:rsid wsp:val=&quot;00231EF3&quot;/&gt;&lt;wsp:rsid wsp:val=&quot;0023208D&quot;/&gt;&lt;wsp:rsid wsp:val=&quot;00232266&quot;/&gt;&lt;wsp:rsid wsp:val=&quot;002324A6&quot;/&gt;&lt;wsp:rsid wsp:val=&quot;002325A1&quot;/&gt;&lt;wsp:rsid wsp:val=&quot;00232989&quot;/&gt;&lt;wsp:rsid wsp:val=&quot;00232A0A&quot;/&gt;&lt;wsp:rsid wsp:val=&quot;00232B15&quot;/&gt;&lt;wsp:rsid wsp:val=&quot;00232B66&quot;/&gt;&lt;wsp:rsid wsp:val=&quot;00232E63&quot;/&gt;&lt;wsp:rsid wsp:val=&quot;00233149&quot;/&gt;&lt;wsp:rsid wsp:val=&quot;0023329A&quot;/&gt;&lt;wsp:rsid wsp:val=&quot;002333DE&quot;/&gt;&lt;wsp:rsid wsp:val=&quot;00233477&quot;/&gt;&lt;wsp:rsid wsp:val=&quot;00233F42&quot;/&gt;&lt;wsp:rsid wsp:val=&quot;002348CB&quot;/&gt;&lt;wsp:rsid wsp:val=&quot;002349BD&quot;/&gt;&lt;wsp:rsid wsp:val=&quot;00234A0C&quot;/&gt;&lt;wsp:rsid wsp:val=&quot;0023556F&quot;/&gt;&lt;wsp:rsid wsp:val=&quot;00235ACA&quot;/&gt;&lt;wsp:rsid wsp:val=&quot;00236590&quot;/&gt;&lt;wsp:rsid wsp:val=&quot;00236846&quot;/&gt;&lt;wsp:rsid wsp:val=&quot;00236C23&quot;/&gt;&lt;wsp:rsid wsp:val=&quot;00236C72&quot;/&gt;&lt;wsp:rsid wsp:val=&quot;00236C7C&quot;/&gt;&lt;wsp:rsid wsp:val=&quot;00236D67&quot;/&gt;&lt;wsp:rsid wsp:val=&quot;0023725F&quot;/&gt;&lt;wsp:rsid wsp:val=&quot;00237F39&quot;/&gt;&lt;wsp:rsid wsp:val=&quot;002402F2&quot;/&gt;&lt;wsp:rsid wsp:val=&quot;002413BD&quot;/&gt;&lt;wsp:rsid wsp:val=&quot;00241542&quot;/&gt;&lt;wsp:rsid wsp:val=&quot;0024185C&quot;/&gt;&lt;wsp:rsid wsp:val=&quot;002418E7&quot;/&gt;&lt;wsp:rsid wsp:val=&quot;00241A04&quot;/&gt;&lt;wsp:rsid wsp:val=&quot;00241A62&quot;/&gt;&lt;wsp:rsid wsp:val=&quot;00241B80&quot;/&gt;&lt;wsp:rsid wsp:val=&quot;00241C03&quot;/&gt;&lt;wsp:rsid wsp:val=&quot;00241F45&quot;/&gt;&lt;wsp:rsid wsp:val=&quot;00241F5F&quot;/&gt;&lt;wsp:rsid wsp:val=&quot;0024244A&quot;/&gt;&lt;wsp:rsid wsp:val=&quot;0024265F&quot;/&gt;&lt;wsp:rsid wsp:val=&quot;002426C6&quot;/&gt;&lt;wsp:rsid wsp:val=&quot;002427E0&quot;/&gt;&lt;wsp:rsid wsp:val=&quot;00242B14&quot;/&gt;&lt;wsp:rsid wsp:val=&quot;00242C0C&quot;/&gt;&lt;wsp:rsid wsp:val=&quot;00242E31&quot;/&gt;&lt;wsp:rsid wsp:val=&quot;0024301C&quot;/&gt;&lt;wsp:rsid wsp:val=&quot;0024379A&quot;/&gt;&lt;wsp:rsid wsp:val=&quot;00243812&quot;/&gt;&lt;wsp:rsid wsp:val=&quot;00243ACD&quot;/&gt;&lt;wsp:rsid wsp:val=&quot;00243BBE&quot;/&gt;&lt;wsp:rsid wsp:val=&quot;00243C6C&quot;/&gt;&lt;wsp:rsid wsp:val=&quot;0024489F&quot;/&gt;&lt;wsp:rsid wsp:val=&quot;00244FD7&quot;/&gt;&lt;wsp:rsid wsp:val=&quot;0024598B&quot;/&gt;&lt;wsp:rsid wsp:val=&quot;00245AEB&quot;/&gt;&lt;wsp:rsid wsp:val=&quot;002461EA&quot;/&gt;&lt;wsp:rsid wsp:val=&quot;002462E4&quot;/&gt;&lt;wsp:rsid wsp:val=&quot;002467DF&quot;/&gt;&lt;wsp:rsid wsp:val=&quot;0024687E&quot;/&gt;&lt;wsp:rsid wsp:val=&quot;002470B2&quot;/&gt;&lt;wsp:rsid wsp:val=&quot;00247351&quot;/&gt;&lt;wsp:rsid wsp:val=&quot;0024791D&quot;/&gt;&lt;wsp:rsid wsp:val=&quot;00247ACC&quot;/&gt;&lt;wsp:rsid wsp:val=&quot;00247FB1&quot;/&gt;&lt;wsp:rsid wsp:val=&quot;00250170&quot;/&gt;&lt;wsp:rsid wsp:val=&quot;0025022B&quot;/&gt;&lt;wsp:rsid wsp:val=&quot;00251027&quot;/&gt;&lt;wsp:rsid wsp:val=&quot;002510E4&quot;/&gt;&lt;wsp:rsid wsp:val=&quot;0025119D&quot;/&gt;&lt;wsp:rsid wsp:val=&quot;002512E4&quot;/&gt;&lt;wsp:rsid wsp:val=&quot;0025156F&quot;/&gt;&lt;wsp:rsid wsp:val=&quot;00251989&quot;/&gt;&lt;wsp:rsid wsp:val=&quot;00251B43&quot;/&gt;&lt;wsp:rsid wsp:val=&quot;00251FAE&quot;/&gt;&lt;wsp:rsid wsp:val=&quot;002520F8&quot;/&gt;&lt;wsp:rsid wsp:val=&quot;0025211D&quot;/&gt;&lt;wsp:rsid wsp:val=&quot;002526AA&quot;/&gt;&lt;wsp:rsid wsp:val=&quot;0025346F&quot;/&gt;&lt;wsp:rsid wsp:val=&quot;002535C1&quot;/&gt;&lt;wsp:rsid wsp:val=&quot;002535F2&quot;/&gt;&lt;wsp:rsid wsp:val=&quot;00253A28&quot;/&gt;&lt;wsp:rsid wsp:val=&quot;00253B29&quot;/&gt;&lt;wsp:rsid wsp:val=&quot;002540E7&quot;/&gt;&lt;wsp:rsid wsp:val=&quot;0025414B&quot;/&gt;&lt;wsp:rsid wsp:val=&quot;002543FB&quot;/&gt;&lt;wsp:rsid wsp:val=&quot;00254992&quot;/&gt;&lt;wsp:rsid wsp:val=&quot;00254A31&quot;/&gt;&lt;wsp:rsid wsp:val=&quot;00254B17&quot;/&gt;&lt;wsp:rsid wsp:val=&quot;0025529C&quot;/&gt;&lt;wsp:rsid wsp:val=&quot;0025553E&quot;/&gt;&lt;wsp:rsid wsp:val=&quot;002559DA&quot;/&gt;&lt;wsp:rsid wsp:val=&quot;00255A5F&quot;/&gt;&lt;wsp:rsid wsp:val=&quot;002567B3&quot;/&gt;&lt;wsp:rsid wsp:val=&quot;002567D9&quot;/&gt;&lt;wsp:rsid wsp:val=&quot;00257074&quot;/&gt;&lt;wsp:rsid wsp:val=&quot;0025716B&quot;/&gt;&lt;wsp:rsid wsp:val=&quot;002572DE&quot;/&gt;&lt;wsp:rsid wsp:val=&quot;002574AB&quot;/&gt;&lt;wsp:rsid wsp:val=&quot;00257710&quot;/&gt;&lt;wsp:rsid wsp:val=&quot;00257D51&quot;/&gt;&lt;wsp:rsid wsp:val=&quot;00260D34&quot;/&gt;&lt;wsp:rsid wsp:val=&quot;00260E55&quot;/&gt;&lt;wsp:rsid wsp:val=&quot;002617C9&quot;/&gt;&lt;wsp:rsid wsp:val=&quot;002618C2&quot;/&gt;&lt;wsp:rsid wsp:val=&quot;00261D85&quot;/&gt;&lt;wsp:rsid wsp:val=&quot;00262087&quot;/&gt;&lt;wsp:rsid wsp:val=&quot;0026227B&quot;/&gt;&lt;wsp:rsid wsp:val=&quot;00262456&quot;/&gt;&lt;wsp:rsid wsp:val=&quot;0026246C&quot;/&gt;&lt;wsp:rsid wsp:val=&quot;002624A1&quot;/&gt;&lt;wsp:rsid wsp:val=&quot;002627F3&quot;/&gt;&lt;wsp:rsid wsp:val=&quot;00262BD7&quot;/&gt;&lt;wsp:rsid wsp:val=&quot;00262C4D&quot;/&gt;&lt;wsp:rsid wsp:val=&quot;0026359A&quot;/&gt;&lt;wsp:rsid wsp:val=&quot;002636A2&quot;/&gt;&lt;wsp:rsid wsp:val=&quot;002636E9&quot;/&gt;&lt;wsp:rsid wsp:val=&quot;0026396F&quot;/&gt;&lt;wsp:rsid wsp:val=&quot;00263A8D&quot;/&gt;&lt;wsp:rsid wsp:val=&quot;00263C47&quot;/&gt;&lt;wsp:rsid wsp:val=&quot;00263C9F&quot;/&gt;&lt;wsp:rsid wsp:val=&quot;00263E47&quot;/&gt;&lt;wsp:rsid wsp:val=&quot;00263FB4&quot;/&gt;&lt;wsp:rsid wsp:val=&quot;002640D0&quot;/&gt;&lt;wsp:rsid wsp:val=&quot;002643DA&quot;/&gt;&lt;wsp:rsid wsp:val=&quot;002644E2&quot;/&gt;&lt;wsp:rsid wsp:val=&quot;0026461E&quot;/&gt;&lt;wsp:rsid wsp:val=&quot;00264E91&quot;/&gt;&lt;wsp:rsid wsp:val=&quot;00264F6D&quot;/&gt;&lt;wsp:rsid wsp:val=&quot;002655F6&quot;/&gt;&lt;wsp:rsid wsp:val=&quot;0026560C&quot;/&gt;&lt;wsp:rsid wsp:val=&quot;00265FF0&quot;/&gt;&lt;wsp:rsid wsp:val=&quot;00266E09&quot;/&gt;&lt;wsp:rsid wsp:val=&quot;0026739F&quot;/&gt;&lt;wsp:rsid wsp:val=&quot;00267640&quot;/&gt;&lt;wsp:rsid wsp:val=&quot;00270029&quot;/&gt;&lt;wsp:rsid wsp:val=&quot;0027018D&quot;/&gt;&lt;wsp:rsid wsp:val=&quot;00270611&quot;/&gt;&lt;wsp:rsid wsp:val=&quot;00270697&quot;/&gt;&lt;wsp:rsid wsp:val=&quot;00270755&quot;/&gt;&lt;wsp:rsid wsp:val=&quot;00270B47&quot;/&gt;&lt;wsp:rsid wsp:val=&quot;00270D59&quot;/&gt;&lt;wsp:rsid wsp:val=&quot;00271289&quot;/&gt;&lt;wsp:rsid wsp:val=&quot;0027134C&quot;/&gt;&lt;wsp:rsid wsp:val=&quot;00271593&quot;/&gt;&lt;wsp:rsid wsp:val=&quot;002715A6&quot;/&gt;&lt;wsp:rsid wsp:val=&quot;0027161F&quot;/&gt;&lt;wsp:rsid wsp:val=&quot;00271D4D&quot;/&gt;&lt;wsp:rsid wsp:val=&quot;00271E47&quot;/&gt;&lt;wsp:rsid wsp:val=&quot;0027224A&quot;/&gt;&lt;wsp:rsid wsp:val=&quot;002724EF&quot;/&gt;&lt;wsp:rsid wsp:val=&quot;002724F4&quot;/&gt;&lt;wsp:rsid wsp:val=&quot;00272C48&quot;/&gt;&lt;wsp:rsid wsp:val=&quot;002732D0&quot;/&gt;&lt;wsp:rsid wsp:val=&quot;002736D7&quot;/&gt;&lt;wsp:rsid wsp:val=&quot;0027373B&quot;/&gt;&lt;wsp:rsid wsp:val=&quot;00274050&quot;/&gt;&lt;wsp:rsid wsp:val=&quot;00274196&quot;/&gt;&lt;wsp:rsid wsp:val=&quot;00274205&quot;/&gt;&lt;wsp:rsid wsp:val=&quot;002744A3&quot;/&gt;&lt;wsp:rsid wsp:val=&quot;002744AA&quot;/&gt;&lt;wsp:rsid wsp:val=&quot;002747BF&quot;/&gt;&lt;wsp:rsid wsp:val=&quot;002747D0&quot;/&gt;&lt;wsp:rsid wsp:val=&quot;002748ED&quot;/&gt;&lt;wsp:rsid wsp:val=&quot;00274955&quot;/&gt;&lt;wsp:rsid wsp:val=&quot;0027499C&quot;/&gt;&lt;wsp:rsid wsp:val=&quot;00274A6C&quot;/&gt;&lt;wsp:rsid wsp:val=&quot;00274C83&quot;/&gt;&lt;wsp:rsid wsp:val=&quot;00274CDA&quot;/&gt;&lt;wsp:rsid wsp:val=&quot;0027513F&quot;/&gt;&lt;wsp:rsid wsp:val=&quot;00275142&quot;/&gt;&lt;wsp:rsid wsp:val=&quot;00275637&quot;/&gt;&lt;wsp:rsid wsp:val=&quot;002757D0&quot;/&gt;&lt;wsp:rsid wsp:val=&quot;00275A5D&quot;/&gt;&lt;wsp:rsid wsp:val=&quot;00275AD2&quot;/&gt;&lt;wsp:rsid wsp:val=&quot;0027613B&quot;/&gt;&lt;wsp:rsid wsp:val=&quot;0027644C&quot;/&gt;&lt;wsp:rsid wsp:val=&quot;002765AD&quot;/&gt;&lt;wsp:rsid wsp:val=&quot;002767D0&quot;/&gt;&lt;wsp:rsid wsp:val=&quot;00276D6C&quot;/&gt;&lt;wsp:rsid wsp:val=&quot;00276F23&quot;/&gt;&lt;wsp:rsid wsp:val=&quot;0027716C&quot;/&gt;&lt;wsp:rsid wsp:val=&quot;002779DD&quot;/&gt;&lt;wsp:rsid wsp:val=&quot;00277F07&quot;/&gt;&lt;wsp:rsid wsp:val=&quot;0028013C&quot;/&gt;&lt;wsp:rsid wsp:val=&quot;002803DE&quot;/&gt;&lt;wsp:rsid wsp:val=&quot;002804A3&quot;/&gt;&lt;wsp:rsid wsp:val=&quot;00280893&quot;/&gt;&lt;wsp:rsid wsp:val=&quot;002812C9&quot;/&gt;&lt;wsp:rsid wsp:val=&quot;002814EC&quot;/&gt;&lt;wsp:rsid wsp:val=&quot;0028166F&quot;/&gt;&lt;wsp:rsid wsp:val=&quot;00281860&quot;/&gt;&lt;wsp:rsid wsp:val=&quot;00281952&quot;/&gt;&lt;wsp:rsid wsp:val=&quot;00282A78&quot;/&gt;&lt;wsp:rsid wsp:val=&quot;00282B4B&quot;/&gt;&lt;wsp:rsid wsp:val=&quot;00282BDA&quot;/&gt;&lt;wsp:rsid wsp:val=&quot;00282E4D&quot;/&gt;&lt;wsp:rsid wsp:val=&quot;002832E0&quot;/&gt;&lt;wsp:rsid wsp:val=&quot;002833BB&quot;/&gt;&lt;wsp:rsid wsp:val=&quot;0028346E&quot;/&gt;&lt;wsp:rsid wsp:val=&quot;002835C7&quot;/&gt;&lt;wsp:rsid wsp:val=&quot;00284392&quot;/&gt;&lt;wsp:rsid wsp:val=&quot;00284567&quot;/&gt;&lt;wsp:rsid wsp:val=&quot;00284A7F&quot;/&gt;&lt;wsp:rsid wsp:val=&quot;00284BC4&quot;/&gt;&lt;wsp:rsid wsp:val=&quot;00284C0D&quot;/&gt;&lt;wsp:rsid wsp:val=&quot;00285346&quot;/&gt;&lt;wsp:rsid wsp:val=&quot;0028553F&quot;/&gt;&lt;wsp:rsid wsp:val=&quot;00285701&quot;/&gt;&lt;wsp:rsid wsp:val=&quot;00285A7F&quot;/&gt;&lt;wsp:rsid wsp:val=&quot;00285AF2&quot;/&gt;&lt;wsp:rsid wsp:val=&quot;00285FC0&quot;/&gt;&lt;wsp:rsid wsp:val=&quot;00285FC5&quot;/&gt;&lt;wsp:rsid wsp:val=&quot;0028641F&quot;/&gt;&lt;wsp:rsid wsp:val=&quot;002867AA&quot;/&gt;&lt;wsp:rsid wsp:val=&quot;002869F5&quot;/&gt;&lt;wsp:rsid wsp:val=&quot;00286F24&quot;/&gt;&lt;wsp:rsid wsp:val=&quot;00286F32&quot;/&gt;&lt;wsp:rsid wsp:val=&quot;00287223&quot;/&gt;&lt;wsp:rsid wsp:val=&quot;00287681&quot;/&gt;&lt;wsp:rsid wsp:val=&quot;00287EBD&quot;/&gt;&lt;wsp:rsid wsp:val=&quot;00287F8E&quot;/&gt;&lt;wsp:rsid wsp:val=&quot;0029008F&quot;/&gt;&lt;wsp:rsid wsp:val=&quot;0029079A&quot;/&gt;&lt;wsp:rsid wsp:val=&quot;00290A2D&quot;/&gt;&lt;wsp:rsid wsp:val=&quot;002910F2&quot;/&gt;&lt;wsp:rsid wsp:val=&quot;002911F5&quot;/&gt;&lt;wsp:rsid wsp:val=&quot;00291250&quot;/&gt;&lt;wsp:rsid wsp:val=&quot;0029135F&quot;/&gt;&lt;wsp:rsid wsp:val=&quot;0029196D&quot;/&gt;&lt;wsp:rsid wsp:val=&quot;00291A01&quot;/&gt;&lt;wsp:rsid wsp:val=&quot;00291A62&quot;/&gt;&lt;wsp:rsid wsp:val=&quot;00291F28&quot;/&gt;&lt;wsp:rsid wsp:val=&quot;00292687&quot;/&gt;&lt;wsp:rsid wsp:val=&quot;002929B3&quot;/&gt;&lt;wsp:rsid wsp:val=&quot;00292B75&quot;/&gt;&lt;wsp:rsid wsp:val=&quot;00292E90&quot;/&gt;&lt;wsp:rsid wsp:val=&quot;00292F01&quot;/&gt;&lt;wsp:rsid wsp:val=&quot;0029342F&quot;/&gt;&lt;wsp:rsid wsp:val=&quot;002934B1&quot;/&gt;&lt;wsp:rsid wsp:val=&quot;00293626&quot;/&gt;&lt;wsp:rsid wsp:val=&quot;00293B87&quot;/&gt;&lt;wsp:rsid wsp:val=&quot;00293C9E&quot;/&gt;&lt;wsp:rsid wsp:val=&quot;00293DAA&quot;/&gt;&lt;wsp:rsid wsp:val=&quot;00293E69&quot;/&gt;&lt;wsp:rsid wsp:val=&quot;00294076&quot;/&gt;&lt;wsp:rsid wsp:val=&quot;00294094&quot;/&gt;&lt;wsp:rsid wsp:val=&quot;002942B9&quot;/&gt;&lt;wsp:rsid wsp:val=&quot;002944AD&quot;/&gt;&lt;wsp:rsid wsp:val=&quot;00294D12&quot;/&gt;&lt;wsp:rsid wsp:val=&quot;00295814&quot;/&gt;&lt;wsp:rsid wsp:val=&quot;00295EBF&quot;/&gt;&lt;wsp:rsid wsp:val=&quot;00295FCC&quot;/&gt;&lt;wsp:rsid wsp:val=&quot;00296318&quot;/&gt;&lt;wsp:rsid wsp:val=&quot;002963ED&quot;/&gt;&lt;wsp:rsid wsp:val=&quot;00296B3C&quot;/&gt;&lt;wsp:rsid wsp:val=&quot;002976EF&quot;/&gt;&lt;wsp:rsid wsp:val=&quot;00297F6D&quot;/&gt;&lt;wsp:rsid wsp:val=&quot;002A017C&quot;/&gt;&lt;wsp:rsid wsp:val=&quot;002A043F&quot;/&gt;&lt;wsp:rsid wsp:val=&quot;002A082D&quot;/&gt;&lt;wsp:rsid wsp:val=&quot;002A0AC1&quot;/&gt;&lt;wsp:rsid wsp:val=&quot;002A1683&quot;/&gt;&lt;wsp:rsid wsp:val=&quot;002A18F0&quot;/&gt;&lt;wsp:rsid wsp:val=&quot;002A195B&quot;/&gt;&lt;wsp:rsid wsp:val=&quot;002A1B4D&quot;/&gt;&lt;wsp:rsid wsp:val=&quot;002A1D8E&quot;/&gt;&lt;wsp:rsid wsp:val=&quot;002A226C&quot;/&gt;&lt;wsp:rsid wsp:val=&quot;002A25D6&quot;/&gt;&lt;wsp:rsid wsp:val=&quot;002A287D&quot;/&gt;&lt;wsp:rsid wsp:val=&quot;002A30A8&quot;/&gt;&lt;wsp:rsid wsp:val=&quot;002A325C&quot;/&gt;&lt;wsp:rsid wsp:val=&quot;002A354B&quot;/&gt;&lt;wsp:rsid wsp:val=&quot;002A3C55&quot;/&gt;&lt;wsp:rsid wsp:val=&quot;002A3E93&quot;/&gt;&lt;wsp:rsid wsp:val=&quot;002A40B5&quot;/&gt;&lt;wsp:rsid wsp:val=&quot;002A40BF&quot;/&gt;&lt;wsp:rsid wsp:val=&quot;002A438B&quot;/&gt;&lt;wsp:rsid wsp:val=&quot;002A43DA&quot;/&gt;&lt;wsp:rsid wsp:val=&quot;002A4413&quot;/&gt;&lt;wsp:rsid wsp:val=&quot;002A47C6&quot;/&gt;&lt;wsp:rsid wsp:val=&quot;002A4B45&quot;/&gt;&lt;wsp:rsid wsp:val=&quot;002A4F64&quot;/&gt;&lt;wsp:rsid wsp:val=&quot;002A4FAA&quot;/&gt;&lt;wsp:rsid wsp:val=&quot;002A543C&quot;/&gt;&lt;wsp:rsid wsp:val=&quot;002A5850&quot;/&gt;&lt;wsp:rsid wsp:val=&quot;002A5E2B&quot;/&gt;&lt;wsp:rsid wsp:val=&quot;002A60AB&quot;/&gt;&lt;wsp:rsid wsp:val=&quot;002A62D4&quot;/&gt;&lt;wsp:rsid wsp:val=&quot;002A6559&quot;/&gt;&lt;wsp:rsid wsp:val=&quot;002A72E4&quot;/&gt;&lt;wsp:rsid wsp:val=&quot;002A7464&quot;/&gt;&lt;wsp:rsid wsp:val=&quot;002A753D&quot;/&gt;&lt;wsp:rsid wsp:val=&quot;002A76F0&quot;/&gt;&lt;wsp:rsid wsp:val=&quot;002A78B2&quot;/&gt;&lt;wsp:rsid wsp:val=&quot;002A7969&quot;/&gt;&lt;wsp:rsid wsp:val=&quot;002A7DE4&quot;/&gt;&lt;wsp:rsid wsp:val=&quot;002B07B5&quot;/&gt;&lt;wsp:rsid wsp:val=&quot;002B07D5&quot;/&gt;&lt;wsp:rsid wsp:val=&quot;002B0B06&quot;/&gt;&lt;wsp:rsid wsp:val=&quot;002B0B36&quot;/&gt;&lt;wsp:rsid wsp:val=&quot;002B1469&quot;/&gt;&lt;wsp:rsid wsp:val=&quot;002B21F2&quot;/&gt;&lt;wsp:rsid wsp:val=&quot;002B22FF&quot;/&gt;&lt;wsp:rsid wsp:val=&quot;002B2487&quot;/&gt;&lt;wsp:rsid wsp:val=&quot;002B2750&quot;/&gt;&lt;wsp:rsid wsp:val=&quot;002B2CDA&quot;/&gt;&lt;wsp:rsid wsp:val=&quot;002B3B40&quot;/&gt;&lt;wsp:rsid wsp:val=&quot;002B3B45&quot;/&gt;&lt;wsp:rsid wsp:val=&quot;002B3C6E&quot;/&gt;&lt;wsp:rsid wsp:val=&quot;002B4636&quot;/&gt;&lt;wsp:rsid wsp:val=&quot;002B5679&quot;/&gt;&lt;wsp:rsid wsp:val=&quot;002B589F&quot;/&gt;&lt;wsp:rsid wsp:val=&quot;002B5CDE&quot;/&gt;&lt;wsp:rsid wsp:val=&quot;002B6271&quot;/&gt;&lt;wsp:rsid wsp:val=&quot;002B63AB&quot;/&gt;&lt;wsp:rsid wsp:val=&quot;002B6969&quot;/&gt;&lt;wsp:rsid wsp:val=&quot;002B6B15&quot;/&gt;&lt;wsp:rsid wsp:val=&quot;002B6C6C&quot;/&gt;&lt;wsp:rsid wsp:val=&quot;002B6E38&quot;/&gt;&lt;wsp:rsid wsp:val=&quot;002B7093&quot;/&gt;&lt;wsp:rsid wsp:val=&quot;002C028F&quot;/&gt;&lt;wsp:rsid wsp:val=&quot;002C02EC&quot;/&gt;&lt;wsp:rsid wsp:val=&quot;002C02EF&quot;/&gt;&lt;wsp:rsid wsp:val=&quot;002C0435&quot;/&gt;&lt;wsp:rsid wsp:val=&quot;002C0475&quot;/&gt;&lt;wsp:rsid wsp:val=&quot;002C049C&quot;/&gt;&lt;wsp:rsid wsp:val=&quot;002C06A2&quot;/&gt;&lt;wsp:rsid wsp:val=&quot;002C0797&quot;/&gt;&lt;wsp:rsid wsp:val=&quot;002C09C9&quot;/&gt;&lt;wsp:rsid wsp:val=&quot;002C1425&quot;/&gt;&lt;wsp:rsid wsp:val=&quot;002C196B&quot;/&gt;&lt;wsp:rsid wsp:val=&quot;002C1A16&quot;/&gt;&lt;wsp:rsid wsp:val=&quot;002C1D69&quot;/&gt;&lt;wsp:rsid wsp:val=&quot;002C2023&quot;/&gt;&lt;wsp:rsid wsp:val=&quot;002C2E78&quot;/&gt;&lt;wsp:rsid wsp:val=&quot;002C341B&quot;/&gt;&lt;wsp:rsid wsp:val=&quot;002C36FF&quot;/&gt;&lt;wsp:rsid wsp:val=&quot;002C3863&quot;/&gt;&lt;wsp:rsid wsp:val=&quot;002C38D3&quot;/&gt;&lt;wsp:rsid wsp:val=&quot;002C399A&quot;/&gt;&lt;wsp:rsid wsp:val=&quot;002C3F6E&quot;/&gt;&lt;wsp:rsid wsp:val=&quot;002C40E3&quot;/&gt;&lt;wsp:rsid wsp:val=&quot;002C426B&quot;/&gt;&lt;wsp:rsid wsp:val=&quot;002C4910&quot;/&gt;&lt;wsp:rsid wsp:val=&quot;002C51F4&quot;/&gt;&lt;wsp:rsid wsp:val=&quot;002C52BD&quot;/&gt;&lt;wsp:rsid wsp:val=&quot;002C5465&quot;/&gt;&lt;wsp:rsid wsp:val=&quot;002C580B&quot;/&gt;&lt;wsp:rsid wsp:val=&quot;002C5A9A&quot;/&gt;&lt;wsp:rsid wsp:val=&quot;002C5D82&quot;/&gt;&lt;wsp:rsid wsp:val=&quot;002C5F99&quot;/&gt;&lt;wsp:rsid wsp:val=&quot;002C6221&quot;/&gt;&lt;wsp:rsid wsp:val=&quot;002C6936&quot;/&gt;&lt;wsp:rsid wsp:val=&quot;002C6EF6&quot;/&gt;&lt;wsp:rsid wsp:val=&quot;002C70A1&quot;/&gt;&lt;wsp:rsid wsp:val=&quot;002C70EB&quot;/&gt;&lt;wsp:rsid wsp:val=&quot;002C71BC&quot;/&gt;&lt;wsp:rsid wsp:val=&quot;002C7CB3&quot;/&gt;&lt;wsp:rsid wsp:val=&quot;002D01B6&quot;/&gt;&lt;wsp:rsid wsp:val=&quot;002D051A&quot;/&gt;&lt;wsp:rsid wsp:val=&quot;002D066C&quot;/&gt;&lt;wsp:rsid wsp:val=&quot;002D0BD7&quot;/&gt;&lt;wsp:rsid wsp:val=&quot;002D0D75&quot;/&gt;&lt;wsp:rsid wsp:val=&quot;002D17A6&quot;/&gt;&lt;wsp:rsid wsp:val=&quot;002D1F87&quot;/&gt;&lt;wsp:rsid wsp:val=&quot;002D2373&quot;/&gt;&lt;wsp:rsid wsp:val=&quot;002D26F6&quot;/&gt;&lt;wsp:rsid wsp:val=&quot;002D2A19&quot;/&gt;&lt;wsp:rsid wsp:val=&quot;002D2A84&quot;/&gt;&lt;wsp:rsid wsp:val=&quot;002D30BE&quot;/&gt;&lt;wsp:rsid wsp:val=&quot;002D325A&quot;/&gt;&lt;wsp:rsid wsp:val=&quot;002D3A06&quot;/&gt;&lt;wsp:rsid wsp:val=&quot;002D3E99&quot;/&gt;&lt;wsp:rsid wsp:val=&quot;002D3FAD&quot;/&gt;&lt;wsp:rsid wsp:val=&quot;002D4667&quot;/&gt;&lt;wsp:rsid wsp:val=&quot;002D48AC&quot;/&gt;&lt;wsp:rsid wsp:val=&quot;002D4A83&quot;/&gt;&lt;wsp:rsid wsp:val=&quot;002D4C2A&quot;/&gt;&lt;wsp:rsid wsp:val=&quot;002D5156&quot;/&gt;&lt;wsp:rsid wsp:val=&quot;002D5221&quot;/&gt;&lt;wsp:rsid wsp:val=&quot;002D54B2&quot;/&gt;&lt;wsp:rsid wsp:val=&quot;002D5AD5&quot;/&gt;&lt;wsp:rsid wsp:val=&quot;002D5F75&quot;/&gt;&lt;wsp:rsid wsp:val=&quot;002D60C7&quot;/&gt;&lt;wsp:rsid wsp:val=&quot;002D6528&quot;/&gt;&lt;wsp:rsid wsp:val=&quot;002D655D&quot;/&gt;&lt;wsp:rsid wsp:val=&quot;002D6810&quot;/&gt;&lt;wsp:rsid wsp:val=&quot;002D68CE&quot;/&gt;&lt;wsp:rsid wsp:val=&quot;002D68D1&quot;/&gt;&lt;wsp:rsid wsp:val=&quot;002D68F0&quot;/&gt;&lt;wsp:rsid wsp:val=&quot;002D6938&quot;/&gt;&lt;wsp:rsid wsp:val=&quot;002D6EA4&quot;/&gt;&lt;wsp:rsid wsp:val=&quot;002D6F4C&quot;/&gt;&lt;wsp:rsid wsp:val=&quot;002D712B&quot;/&gt;&lt;wsp:rsid wsp:val=&quot;002D7489&quot;/&gt;&lt;wsp:rsid wsp:val=&quot;002D75E1&quot;/&gt;&lt;wsp:rsid wsp:val=&quot;002D7852&quot;/&gt;&lt;wsp:rsid wsp:val=&quot;002D7876&quot;/&gt;&lt;wsp:rsid wsp:val=&quot;002D7F7C&quot;/&gt;&lt;wsp:rsid wsp:val=&quot;002E00F5&quot;/&gt;&lt;wsp:rsid wsp:val=&quot;002E0245&quot;/&gt;&lt;wsp:rsid wsp:val=&quot;002E09BB&quot;/&gt;&lt;wsp:rsid wsp:val=&quot;002E10DC&quot;/&gt;&lt;wsp:rsid wsp:val=&quot;002E155F&quot;/&gt;&lt;wsp:rsid wsp:val=&quot;002E1B96&quot;/&gt;&lt;wsp:rsid wsp:val=&quot;002E1D4F&quot;/&gt;&lt;wsp:rsid wsp:val=&quot;002E1F15&quot;/&gt;&lt;wsp:rsid wsp:val=&quot;002E1F17&quot;/&gt;&lt;wsp:rsid wsp:val=&quot;002E205D&quot;/&gt;&lt;wsp:rsid wsp:val=&quot;002E22DB&quot;/&gt;&lt;wsp:rsid wsp:val=&quot;002E28BB&quot;/&gt;&lt;wsp:rsid wsp:val=&quot;002E2C03&quot;/&gt;&lt;wsp:rsid wsp:val=&quot;002E2EC0&quot;/&gt;&lt;wsp:rsid wsp:val=&quot;002E3387&quot;/&gt;&lt;wsp:rsid wsp:val=&quot;002E34D6&quot;/&gt;&lt;wsp:rsid wsp:val=&quot;002E3B88&quot;/&gt;&lt;wsp:rsid wsp:val=&quot;002E3D5B&quot;/&gt;&lt;wsp:rsid wsp:val=&quot;002E3DAD&quot;/&gt;&lt;wsp:rsid wsp:val=&quot;002E3ED7&quot;/&gt;&lt;wsp:rsid wsp:val=&quot;002E4583&quot;/&gt;&lt;wsp:rsid wsp:val=&quot;002E4707&quot;/&gt;&lt;wsp:rsid wsp:val=&quot;002E4B35&quot;/&gt;&lt;wsp:rsid wsp:val=&quot;002E542B&quot;/&gt;&lt;wsp:rsid wsp:val=&quot;002E6D9B&quot;/&gt;&lt;wsp:rsid wsp:val=&quot;002E7A1F&quot;/&gt;&lt;wsp:rsid wsp:val=&quot;002E7AE0&quot;/&gt;&lt;wsp:rsid wsp:val=&quot;002E7B93&quot;/&gt;&lt;wsp:rsid wsp:val=&quot;002E7F73&quot;/&gt;&lt;wsp:rsid wsp:val=&quot;002F0117&quot;/&gt;&lt;wsp:rsid wsp:val=&quot;002F033F&quot;/&gt;&lt;wsp:rsid wsp:val=&quot;002F0447&quot;/&gt;&lt;wsp:rsid wsp:val=&quot;002F046F&quot;/&gt;&lt;wsp:rsid wsp:val=&quot;002F0546&quot;/&gt;&lt;wsp:rsid wsp:val=&quot;002F0E28&quot;/&gt;&lt;wsp:rsid wsp:val=&quot;002F0F50&quot;/&gt;&lt;wsp:rsid wsp:val=&quot;002F0FBF&quot;/&gt;&lt;wsp:rsid wsp:val=&quot;002F12A5&quot;/&gt;&lt;wsp:rsid wsp:val=&quot;002F1589&quot;/&gt;&lt;wsp:rsid wsp:val=&quot;002F17EF&quot;/&gt;&lt;wsp:rsid wsp:val=&quot;002F1969&quot;/&gt;&lt;wsp:rsid wsp:val=&quot;002F1FC7&quot;/&gt;&lt;wsp:rsid wsp:val=&quot;002F2886&quot;/&gt;&lt;wsp:rsid wsp:val=&quot;002F309F&quot;/&gt;&lt;wsp:rsid wsp:val=&quot;002F33C7&quot;/&gt;&lt;wsp:rsid wsp:val=&quot;002F3538&quot;/&gt;&lt;wsp:rsid wsp:val=&quot;002F3CF1&quot;/&gt;&lt;wsp:rsid wsp:val=&quot;002F3D37&quot;/&gt;&lt;wsp:rsid wsp:val=&quot;002F42BA&quot;/&gt;&lt;wsp:rsid wsp:val=&quot;002F452B&quot;/&gt;&lt;wsp:rsid wsp:val=&quot;002F4635&quot;/&gt;&lt;wsp:rsid wsp:val=&quot;002F4CC1&quot;/&gt;&lt;wsp:rsid wsp:val=&quot;002F4E53&quot;/&gt;&lt;wsp:rsid wsp:val=&quot;002F4E82&quot;/&gt;&lt;wsp:rsid wsp:val=&quot;002F4FEE&quot;/&gt;&lt;wsp:rsid wsp:val=&quot;002F50B4&quot;/&gt;&lt;wsp:rsid wsp:val=&quot;002F5550&quot;/&gt;&lt;wsp:rsid wsp:val=&quot;002F57FD&quot;/&gt;&lt;wsp:rsid wsp:val=&quot;002F5DB6&quot;/&gt;&lt;wsp:rsid wsp:val=&quot;002F5EEF&quot;/&gt;&lt;wsp:rsid wsp:val=&quot;002F5FFD&quot;/&gt;&lt;wsp:rsid wsp:val=&quot;002F6510&quot;/&gt;&lt;wsp:rsid wsp:val=&quot;002F6A30&quot;/&gt;&lt;wsp:rsid wsp:val=&quot;002F6C71&quot;/&gt;&lt;wsp:rsid wsp:val=&quot;002F762A&quot;/&gt;&lt;wsp:rsid wsp:val=&quot;002F7CDE&quot;/&gt;&lt;wsp:rsid wsp:val=&quot;00300614&quot;/&gt;&lt;wsp:rsid wsp:val=&quot;0030079A&quot;/&gt;&lt;wsp:rsid wsp:val=&quot;00300A4F&quot;/&gt;&lt;wsp:rsid wsp:val=&quot;003011E0&quot;/&gt;&lt;wsp:rsid wsp:val=&quot;00301AB9&quot;/&gt;&lt;wsp:rsid wsp:val=&quot;00301E31&quot;/&gt;&lt;wsp:rsid wsp:val=&quot;003020F0&quot;/&gt;&lt;wsp:rsid wsp:val=&quot;003021E3&quot;/&gt;&lt;wsp:rsid wsp:val=&quot;003021EB&quot;/&gt;&lt;wsp:rsid wsp:val=&quot;0030234F&quot;/&gt;&lt;wsp:rsid wsp:val=&quot;003024F1&quot;/&gt;&lt;wsp:rsid wsp:val=&quot;00302C47&quot;/&gt;&lt;wsp:rsid wsp:val=&quot;00302DE7&quot;/&gt;&lt;wsp:rsid wsp:val=&quot;00302E2C&quot;/&gt;&lt;wsp:rsid wsp:val=&quot;0030381E&quot;/&gt;&lt;wsp:rsid wsp:val=&quot;00303848&quot;/&gt;&lt;wsp:rsid wsp:val=&quot;00303894&quot;/&gt;&lt;wsp:rsid wsp:val=&quot;00303A13&quot;/&gt;&lt;wsp:rsid wsp:val=&quot;00303D41&quot;/&gt;&lt;wsp:rsid wsp:val=&quot;0030400B&quot;/&gt;&lt;wsp:rsid wsp:val=&quot;003040BB&quot;/&gt;&lt;wsp:rsid wsp:val=&quot;003042E2&quot;/&gt;&lt;wsp:rsid wsp:val=&quot;00304465&quot;/&gt;&lt;wsp:rsid wsp:val=&quot;00304543&quot;/&gt;&lt;wsp:rsid wsp:val=&quot;00304659&quot;/&gt;&lt;wsp:rsid wsp:val=&quot;00304816&quot;/&gt;&lt;wsp:rsid wsp:val=&quot;00305216&quot;/&gt;&lt;wsp:rsid wsp:val=&quot;00305929&quot;/&gt;&lt;wsp:rsid wsp:val=&quot;00305A87&quot;/&gt;&lt;wsp:rsid wsp:val=&quot;003064CB&quot;/&gt;&lt;wsp:rsid wsp:val=&quot;00306A6A&quot;/&gt;&lt;wsp:rsid wsp:val=&quot;00306AA7&quot;/&gt;&lt;wsp:rsid wsp:val=&quot;00306CB1&quot;/&gt;&lt;wsp:rsid wsp:val=&quot;00306F51&quot;/&gt;&lt;wsp:rsid wsp:val=&quot;00306F9A&quot;/&gt;&lt;wsp:rsid wsp:val=&quot;00307117&quot;/&gt;&lt;wsp:rsid wsp:val=&quot;00307711&quot;/&gt;&lt;wsp:rsid wsp:val=&quot;003077AC&quot;/&gt;&lt;wsp:rsid wsp:val=&quot;00307B03&quot;/&gt;&lt;wsp:rsid wsp:val=&quot;0031013A&quot;/&gt;&lt;wsp:rsid wsp:val=&quot;0031018C&quot;/&gt;&lt;wsp:rsid wsp:val=&quot;003105B2&quot;/&gt;&lt;wsp:rsid wsp:val=&quot;00310832&quot;/&gt;&lt;wsp:rsid wsp:val=&quot;00310AC6&quot;/&gt;&lt;wsp:rsid wsp:val=&quot;00310E02&quot;/&gt;&lt;wsp:rsid wsp:val=&quot;003111BD&quot;/&gt;&lt;wsp:rsid wsp:val=&quot;00311355&quot;/&gt;&lt;wsp:rsid wsp:val=&quot;003118E0&quot;/&gt;&lt;wsp:rsid wsp:val=&quot;00311967&quot;/&gt;&lt;wsp:rsid wsp:val=&quot;00311BFF&quot;/&gt;&lt;wsp:rsid wsp:val=&quot;0031201D&quot;/&gt;&lt;wsp:rsid wsp:val=&quot;003124A8&quot;/&gt;&lt;wsp:rsid wsp:val=&quot;0031286E&quot;/&gt;&lt;wsp:rsid wsp:val=&quot;00312EEF&quot;/&gt;&lt;wsp:rsid wsp:val=&quot;00312FD4&quot;/&gt;&lt;wsp:rsid wsp:val=&quot;0031302C&quot;/&gt;&lt;wsp:rsid wsp:val=&quot;00313A91&quot;/&gt;&lt;wsp:rsid wsp:val=&quot;00313C73&quot;/&gt;&lt;wsp:rsid wsp:val=&quot;0031435C&quot;/&gt;&lt;wsp:rsid wsp:val=&quot;003144DA&quot;/&gt;&lt;wsp:rsid wsp:val=&quot;00314577&quot;/&gt;&lt;wsp:rsid wsp:val=&quot;003145BA&quot;/&gt;&lt;wsp:rsid wsp:val=&quot;003146B3&quot;/&gt;&lt;wsp:rsid wsp:val=&quot;003148C5&quot;/&gt;&lt;wsp:rsid wsp:val=&quot;003148E8&quot;/&gt;&lt;wsp:rsid wsp:val=&quot;0031494A&quot;/&gt;&lt;wsp:rsid wsp:val=&quot;00314D64&quot;/&gt;&lt;wsp:rsid wsp:val=&quot;003153AB&quot;/&gt;&lt;wsp:rsid wsp:val=&quot;00315C1F&quot;/&gt;&lt;wsp:rsid wsp:val=&quot;00316A8D&quot;/&gt;&lt;wsp:rsid wsp:val=&quot;00316B3D&quot;/&gt;&lt;wsp:rsid wsp:val=&quot;0031710A&quot;/&gt;&lt;wsp:rsid wsp:val=&quot;0031727B&quot;/&gt;&lt;wsp:rsid wsp:val=&quot;003173FE&quot;/&gt;&lt;wsp:rsid wsp:val=&quot;0031743E&quot;/&gt;&lt;wsp:rsid wsp:val=&quot;003175D3&quot;/&gt;&lt;wsp:rsid wsp:val=&quot;003176EF&quot;/&gt;&lt;wsp:rsid wsp:val=&quot;00317939&quot;/&gt;&lt;wsp:rsid wsp:val=&quot;00317951&quot;/&gt;&lt;wsp:rsid wsp:val=&quot;003179E4&quot;/&gt;&lt;wsp:rsid wsp:val=&quot;00317A5B&quot;/&gt;&lt;wsp:rsid wsp:val=&quot;00317B85&quot;/&gt;&lt;wsp:rsid wsp:val=&quot;00317C82&quot;/&gt;&lt;wsp:rsid wsp:val=&quot;00317C8D&quot;/&gt;&lt;wsp:rsid wsp:val=&quot;00320125&quot;/&gt;&lt;wsp:rsid wsp:val=&quot;00320258&quot;/&gt;&lt;wsp:rsid wsp:val=&quot;00320778&quot;/&gt;&lt;wsp:rsid wsp:val=&quot;003208F1&quot;/&gt;&lt;wsp:rsid wsp:val=&quot;00320B46&quot;/&gt;&lt;wsp:rsid wsp:val=&quot;00321345&quot;/&gt;&lt;wsp:rsid wsp:val=&quot;003219C6&quot;/&gt;&lt;wsp:rsid wsp:val=&quot;00321BAA&quot;/&gt;&lt;wsp:rsid wsp:val=&quot;00321FE8&quot;/&gt;&lt;wsp:rsid wsp:val=&quot;003228E7&quot;/&gt;&lt;wsp:rsid wsp:val=&quot;00322C86&quot;/&gt;&lt;wsp:rsid wsp:val=&quot;00322F9C&quot;/&gt;&lt;wsp:rsid wsp:val=&quot;00323064&quot;/&gt;&lt;wsp:rsid wsp:val=&quot;00323789&quot;/&gt;&lt;wsp:rsid wsp:val=&quot;003237CD&quot;/&gt;&lt;wsp:rsid wsp:val=&quot;003239FE&quot;/&gt;&lt;wsp:rsid wsp:val=&quot;00323A36&quot;/&gt;&lt;wsp:rsid wsp:val=&quot;00323C3F&quot;/&gt;&lt;wsp:rsid wsp:val=&quot;00324043&quot;/&gt;&lt;wsp:rsid wsp:val=&quot;003240C6&quot;/&gt;&lt;wsp:rsid wsp:val=&quot;003240DB&quot;/&gt;&lt;wsp:rsid wsp:val=&quot;00324172&quot;/&gt;&lt;wsp:rsid wsp:val=&quot;003243F1&quot;/&gt;&lt;wsp:rsid wsp:val=&quot;00324811&quot;/&gt;&lt;wsp:rsid wsp:val=&quot;00324D96&quot;/&gt;&lt;wsp:rsid wsp:val=&quot;003251F5&quot;/&gt;&lt;wsp:rsid wsp:val=&quot;003251FD&quot;/&gt;&lt;wsp:rsid wsp:val=&quot;003252DE&quot;/&gt;&lt;wsp:rsid wsp:val=&quot;0032561C&quot;/&gt;&lt;wsp:rsid wsp:val=&quot;003256BF&quot;/&gt;&lt;wsp:rsid wsp:val=&quot;0032627E&quot;/&gt;&lt;wsp:rsid wsp:val=&quot;003263D2&quot;/&gt;&lt;wsp:rsid wsp:val=&quot;003265DD&quot;/&gt;&lt;wsp:rsid wsp:val=&quot;00326D3E&quot;/&gt;&lt;wsp:rsid wsp:val=&quot;0032714F&quot;/&gt;&lt;wsp:rsid wsp:val=&quot;0032737B&quot;/&gt;&lt;wsp:rsid wsp:val=&quot;0032755B&quot;/&gt;&lt;wsp:rsid wsp:val=&quot;0032756B&quot;/&gt;&lt;wsp:rsid wsp:val=&quot;003278B6&quot;/&gt;&lt;wsp:rsid wsp:val=&quot;00327A8B&quot;/&gt;&lt;wsp:rsid wsp:val=&quot;00327CA0&quot;/&gt;&lt;wsp:rsid wsp:val=&quot;00327E04&quot;/&gt;&lt;wsp:rsid wsp:val=&quot;00327E52&quot;/&gt;&lt;wsp:rsid wsp:val=&quot;00330024&quot;/&gt;&lt;wsp:rsid wsp:val=&quot;0033034B&quot;/&gt;&lt;wsp:rsid wsp:val=&quot;00330B34&quot;/&gt;&lt;wsp:rsid wsp:val=&quot;00331365&quot;/&gt;&lt;wsp:rsid wsp:val=&quot;003316ED&quot;/&gt;&lt;wsp:rsid wsp:val=&quot;0033175A&quot;/&gt;&lt;wsp:rsid wsp:val=&quot;003318EC&quot;/&gt;&lt;wsp:rsid wsp:val=&quot;00331ACB&quot;/&gt;&lt;wsp:rsid wsp:val=&quot;0033226E&quot;/&gt;&lt;wsp:rsid wsp:val=&quot;003322C0&quot;/&gt;&lt;wsp:rsid wsp:val=&quot;0033245B&quot;/&gt;&lt;wsp:rsid wsp:val=&quot;003327D1&quot;/&gt;&lt;wsp:rsid wsp:val=&quot;00332A9F&quot;/&gt;&lt;wsp:rsid wsp:val=&quot;00332C11&quot;/&gt;&lt;wsp:rsid wsp:val=&quot;0033316B&quot;/&gt;&lt;wsp:rsid wsp:val=&quot;003331E4&quot;/&gt;&lt;wsp:rsid wsp:val=&quot;003332A5&quot;/&gt;&lt;wsp:rsid wsp:val=&quot;003332B4&quot;/&gt;&lt;wsp:rsid wsp:val=&quot;003332C9&quot;/&gt;&lt;wsp:rsid wsp:val=&quot;00333498&quot;/&gt;&lt;wsp:rsid wsp:val=&quot;00333521&quot;/&gt;&lt;wsp:rsid wsp:val=&quot;00333680&quot;/&gt;&lt;wsp:rsid wsp:val=&quot;00333F62&quot;/&gt;&lt;wsp:rsid wsp:val=&quot;003340C4&quot;/&gt;&lt;wsp:rsid wsp:val=&quot;003342C3&quot;/&gt;&lt;wsp:rsid wsp:val=&quot;00334AB7&quot;/&gt;&lt;wsp:rsid wsp:val=&quot;00334DBD&quot;/&gt;&lt;wsp:rsid wsp:val=&quot;00334F85&quot;/&gt;&lt;wsp:rsid wsp:val=&quot;0033524F&quot;/&gt;&lt;wsp:rsid wsp:val=&quot;003354E8&quot;/&gt;&lt;wsp:rsid wsp:val=&quot;00335704&quot;/&gt;&lt;wsp:rsid wsp:val=&quot;00335B8C&quot;/&gt;&lt;wsp:rsid wsp:val=&quot;00335BEC&quot;/&gt;&lt;wsp:rsid wsp:val=&quot;00335C3B&quot;/&gt;&lt;wsp:rsid wsp:val=&quot;00335FEF&quot;/&gt;&lt;wsp:rsid wsp:val=&quot;00336121&quot;/&gt;&lt;wsp:rsid wsp:val=&quot;00336146&quot;/&gt;&lt;wsp:rsid wsp:val=&quot;003369C1&quot;/&gt;&lt;wsp:rsid wsp:val=&quot;00336D68&quot;/&gt;&lt;wsp:rsid wsp:val=&quot;00336D7E&quot;/&gt;&lt;wsp:rsid wsp:val=&quot;00337075&quot;/&gt;&lt;wsp:rsid wsp:val=&quot;0033707C&quot;/&gt;&lt;wsp:rsid wsp:val=&quot;003373A9&quot;/&gt;&lt;wsp:rsid wsp:val=&quot;003373F7&quot;/&gt;&lt;wsp:rsid wsp:val=&quot;003375F2&quot;/&gt;&lt;wsp:rsid wsp:val=&quot;0033764C&quot;/&gt;&lt;wsp:rsid wsp:val=&quot;003379E1&quot;/&gt;&lt;wsp:rsid wsp:val=&quot;0034005A&quot;/&gt;&lt;wsp:rsid wsp:val=&quot;00340105&quot;/&gt;&lt;wsp:rsid wsp:val=&quot;003405F2&quot;/&gt;&lt;wsp:rsid wsp:val=&quot;0034077B&quot;/&gt;&lt;wsp:rsid wsp:val=&quot;00340B3C&quot;/&gt;&lt;wsp:rsid wsp:val=&quot;00340EA3&quot;/&gt;&lt;wsp:rsid wsp:val=&quot;00340EC3&quot;/&gt;&lt;wsp:rsid wsp:val=&quot;00341352&quot;/&gt;&lt;wsp:rsid wsp:val=&quot;0034136D&quot;/&gt;&lt;wsp:rsid wsp:val=&quot;00341648&quot;/&gt;&lt;wsp:rsid wsp:val=&quot;00341871&quot;/&gt;&lt;wsp:rsid wsp:val=&quot;00341BA2&quot;/&gt;&lt;wsp:rsid wsp:val=&quot;0034246D&quot;/&gt;&lt;wsp:rsid wsp:val=&quot;003426DD&quot;/&gt;&lt;wsp:rsid wsp:val=&quot;003429BB&quot;/&gt;&lt;wsp:rsid wsp:val=&quot;00342C6D&quot;/&gt;&lt;wsp:rsid wsp:val=&quot;00342D91&quot;/&gt;&lt;wsp:rsid wsp:val=&quot;0034360D&quot;/&gt;&lt;wsp:rsid wsp:val=&quot;00343823&quot;/&gt;&lt;wsp:rsid wsp:val=&quot;00343AEB&quot;/&gt;&lt;wsp:rsid wsp:val=&quot;00343B37&quot;/&gt;&lt;wsp:rsid wsp:val=&quot;003441AF&quot;/&gt;&lt;wsp:rsid wsp:val=&quot;0034430C&quot;/&gt;&lt;wsp:rsid wsp:val=&quot;0034477E&quot;/&gt;&lt;wsp:rsid wsp:val=&quot;0034499B&quot;/&gt;&lt;wsp:rsid wsp:val=&quot;003449EE&quot;/&gt;&lt;wsp:rsid wsp:val=&quot;00344C86&quot;/&gt;&lt;wsp:rsid wsp:val=&quot;00345346&quot;/&gt;&lt;wsp:rsid wsp:val=&quot;003459A5&quot;/&gt;&lt;wsp:rsid wsp:val=&quot;00345E3E&quot;/&gt;&lt;wsp:rsid wsp:val=&quot;00345E83&quot;/&gt;&lt;wsp:rsid wsp:val=&quot;003461A8&quot;/&gt;&lt;wsp:rsid wsp:val=&quot;003461B5&quot;/&gt;&lt;wsp:rsid wsp:val=&quot;0034647F&quot;/&gt;&lt;wsp:rsid wsp:val=&quot;003465BD&quot;/&gt;&lt;wsp:rsid wsp:val=&quot;003467BA&quot;/&gt;&lt;wsp:rsid wsp:val=&quot;003472CE&quot;/&gt;&lt;wsp:rsid wsp:val=&quot;003474C7&quot;/&gt;&lt;wsp:rsid wsp:val=&quot;00347AEC&quot;/&gt;&lt;wsp:rsid wsp:val=&quot;00350027&quot;/&gt;&lt;wsp:rsid wsp:val=&quot;003501D8&quot;/&gt;&lt;wsp:rsid wsp:val=&quot;003506E8&quot;/&gt;&lt;wsp:rsid wsp:val=&quot;00350808&quot;/&gt;&lt;wsp:rsid wsp:val=&quot;00350B40&quot;/&gt;&lt;wsp:rsid wsp:val=&quot;00350BE1&quot;/&gt;&lt;wsp:rsid wsp:val=&quot;00350C45&quot;/&gt;&lt;wsp:rsid wsp:val=&quot;00350D37&quot;/&gt;&lt;wsp:rsid wsp:val=&quot;003513D0&quot;/&gt;&lt;wsp:rsid wsp:val=&quot;00351544&quot;/&gt;&lt;wsp:rsid wsp:val=&quot;00351D23&quot;/&gt;&lt;wsp:rsid wsp:val=&quot;00352111&quot;/&gt;&lt;wsp:rsid wsp:val=&quot;0035243E&quot;/&gt;&lt;wsp:rsid wsp:val=&quot;003529B5&quot;/&gt;&lt;wsp:rsid wsp:val=&quot;003529C4&quot;/&gt;&lt;wsp:rsid wsp:val=&quot;00352D51&quot;/&gt;&lt;wsp:rsid wsp:val=&quot;0035318B&quot;/&gt;&lt;wsp:rsid wsp:val=&quot;0035377D&quot;/&gt;&lt;wsp:rsid wsp:val=&quot;00353951&quot;/&gt;&lt;wsp:rsid wsp:val=&quot;00353DEF&quot;/&gt;&lt;wsp:rsid wsp:val=&quot;003548CE&quot;/&gt;&lt;wsp:rsid wsp:val=&quot;003550CB&quot;/&gt;&lt;wsp:rsid wsp:val=&quot;0035532F&quot;/&gt;&lt;wsp:rsid wsp:val=&quot;00355506&quot;/&gt;&lt;wsp:rsid wsp:val=&quot;0035582D&quot;/&gt;&lt;wsp:rsid wsp:val=&quot;003558B6&quot;/&gt;&lt;wsp:rsid wsp:val=&quot;0035596F&quot;/&gt;&lt;wsp:rsid wsp:val=&quot;00355B23&quot;/&gt;&lt;wsp:rsid wsp:val=&quot;003564AF&quot;/&gt;&lt;wsp:rsid wsp:val=&quot;003576FD&quot;/&gt;&lt;wsp:rsid wsp:val=&quot;0035786F&quot;/&gt;&lt;wsp:rsid wsp:val=&quot;00357B2B&quot;/&gt;&lt;wsp:rsid wsp:val=&quot;00357BD4&quot;/&gt;&lt;wsp:rsid wsp:val=&quot;0036002A&quot;/&gt;&lt;wsp:rsid wsp:val=&quot;0036041D&quot;/&gt;&lt;wsp:rsid wsp:val=&quot;00360810&quot;/&gt;&lt;wsp:rsid wsp:val=&quot;00360C9D&quot;/&gt;&lt;wsp:rsid wsp:val=&quot;00360FA1&quot;/&gt;&lt;wsp:rsid wsp:val=&quot;003611FD&quot;/&gt;&lt;wsp:rsid wsp:val=&quot;00361663&quot;/&gt;&lt;wsp:rsid wsp:val=&quot;00361B72&quot;/&gt;&lt;wsp:rsid wsp:val=&quot;00361FD5&quot;/&gt;&lt;wsp:rsid wsp:val=&quot;003620B5&quot;/&gt;&lt;wsp:rsid wsp:val=&quot;003620DB&quot;/&gt;&lt;wsp:rsid wsp:val=&quot;003621B7&quot;/&gt;&lt;wsp:rsid wsp:val=&quot;0036259B&quot;/&gt;&lt;wsp:rsid wsp:val=&quot;00362A92&quot;/&gt;&lt;wsp:rsid wsp:val=&quot;00362BC1&quot;/&gt;&lt;wsp:rsid wsp:val=&quot;00362FE2&quot;/&gt;&lt;wsp:rsid wsp:val=&quot;003630BD&quot;/&gt;&lt;wsp:rsid wsp:val=&quot;0036312A&quot;/&gt;&lt;wsp:rsid wsp:val=&quot;00363568&quot;/&gt;&lt;wsp:rsid wsp:val=&quot;003638A2&quot;/&gt;&lt;wsp:rsid wsp:val=&quot;00363E3B&quot;/&gt;&lt;wsp:rsid wsp:val=&quot;00363E47&quot;/&gt;&lt;wsp:rsid wsp:val=&quot;0036416D&quot;/&gt;&lt;wsp:rsid wsp:val=&quot;00364582&quot;/&gt;&lt;wsp:rsid wsp:val=&quot;003645D7&quot;/&gt;&lt;wsp:rsid wsp:val=&quot;00364A82&quot;/&gt;&lt;wsp:rsid wsp:val=&quot;00365286&quot;/&gt;&lt;wsp:rsid wsp:val=&quot;00365C52&quot;/&gt;&lt;wsp:rsid wsp:val=&quot;00365F41&quot;/&gt;&lt;wsp:rsid wsp:val=&quot;00366017&quot;/&gt;&lt;wsp:rsid wsp:val=&quot;00366401&quot;/&gt;&lt;wsp:rsid wsp:val=&quot;00366520&quot;/&gt;&lt;wsp:rsid wsp:val=&quot;003666EE&quot;/&gt;&lt;wsp:rsid wsp:val=&quot;00366833&quot;/&gt;&lt;wsp:rsid wsp:val=&quot;00366FF4&quot;/&gt;&lt;wsp:rsid wsp:val=&quot;0036702E&quot;/&gt;&lt;wsp:rsid wsp:val=&quot;00367099&quot;/&gt;&lt;wsp:rsid wsp:val=&quot;00367116&quot;/&gt;&lt;wsp:rsid wsp:val=&quot;003671C2&quot;/&gt;&lt;wsp:rsid wsp:val=&quot;003673CB&quot;/&gt;&lt;wsp:rsid wsp:val=&quot;00367508&quot;/&gt;&lt;wsp:rsid wsp:val=&quot;00367CAA&quot;/&gt;&lt;wsp:rsid wsp:val=&quot;00370218&quot;/&gt;&lt;wsp:rsid wsp:val=&quot;00370956&quot;/&gt;&lt;wsp:rsid wsp:val=&quot;00370A0F&quot;/&gt;&lt;wsp:rsid wsp:val=&quot;00370D91&quot;/&gt;&lt;wsp:rsid wsp:val=&quot;00371DDF&quot;/&gt;&lt;wsp:rsid wsp:val=&quot;00371E75&quot;/&gt;&lt;wsp:rsid wsp:val=&quot;00372B2C&quot;/&gt;&lt;wsp:rsid wsp:val=&quot;00372B94&quot;/&gt;&lt;wsp:rsid wsp:val=&quot;00372E1F&quot;/&gt;&lt;wsp:rsid wsp:val=&quot;0037305D&quot;/&gt;&lt;wsp:rsid wsp:val=&quot;00373080&quot;/&gt;&lt;wsp:rsid wsp:val=&quot;0037327A&quot;/&gt;&lt;wsp:rsid wsp:val=&quot;003733B9&quot;/&gt;&lt;wsp:rsid wsp:val=&quot;003734EA&quot;/&gt;&lt;wsp:rsid wsp:val=&quot;00373772&quot;/&gt;&lt;wsp:rsid wsp:val=&quot;0037381A&quot;/&gt;&lt;wsp:rsid wsp:val=&quot;00373863&quot;/&gt;&lt;wsp:rsid wsp:val=&quot;0037417F&quot;/&gt;&lt;wsp:rsid wsp:val=&quot;0037434F&quot;/&gt;&lt;wsp:rsid wsp:val=&quot;003744B2&quot;/&gt;&lt;wsp:rsid wsp:val=&quot;00374A1A&quot;/&gt;&lt;wsp:rsid wsp:val=&quot;00374CFC&quot;/&gt;&lt;wsp:rsid wsp:val=&quot;003751DB&quot;/&gt;&lt;wsp:rsid wsp:val=&quot;00375561&quot;/&gt;&lt;wsp:rsid wsp:val=&quot;0037566E&quot;/&gt;&lt;wsp:rsid wsp:val=&quot;0037573E&quot;/&gt;&lt;wsp:rsid wsp:val=&quot;0037587B&quot;/&gt;&lt;wsp:rsid wsp:val=&quot;00375FE1&quot;/&gt;&lt;wsp:rsid wsp:val=&quot;0037620D&quot;/&gt;&lt;wsp:rsid wsp:val=&quot;00376889&quot;/&gt;&lt;wsp:rsid wsp:val=&quot;0037688C&quot;/&gt;&lt;wsp:rsid wsp:val=&quot;0037736A&quot;/&gt;&lt;wsp:rsid wsp:val=&quot;003778DE&quot;/&gt;&lt;wsp:rsid wsp:val=&quot;00377A92&quot;/&gt;&lt;wsp:rsid wsp:val=&quot;00377CAB&quot;/&gt;&lt;wsp:rsid wsp:val=&quot;00377CCF&quot;/&gt;&lt;wsp:rsid wsp:val=&quot;003800B0&quot;/&gt;&lt;wsp:rsid wsp:val=&quot;00380150&quot;/&gt;&lt;wsp:rsid wsp:val=&quot;0038021F&quot;/&gt;&lt;wsp:rsid wsp:val=&quot;00380627&quot;/&gt;&lt;wsp:rsid wsp:val=&quot;00380A43&quot;/&gt;&lt;wsp:rsid wsp:val=&quot;00380BE5&quot;/&gt;&lt;wsp:rsid wsp:val=&quot;00380D61&quot;/&gt;&lt;wsp:rsid wsp:val=&quot;00380E4F&quot;/&gt;&lt;wsp:rsid wsp:val=&quot;00381580&quot;/&gt;&lt;wsp:rsid wsp:val=&quot;003816B6&quot;/&gt;&lt;wsp:rsid wsp:val=&quot;00381735&quot;/&gt;&lt;wsp:rsid wsp:val=&quot;00381A47&quot;/&gt;&lt;wsp:rsid wsp:val=&quot;00381AE0&quot;/&gt;&lt;wsp:rsid wsp:val=&quot;00381F29&quot;/&gt;&lt;wsp:rsid wsp:val=&quot;003822F0&quot;/&gt;&lt;wsp:rsid wsp:val=&quot;0038263F&quot;/&gt;&lt;wsp:rsid wsp:val=&quot;003829FF&quot;/&gt;&lt;wsp:rsid wsp:val=&quot;00382C25&quot;/&gt;&lt;wsp:rsid wsp:val=&quot;00382E60&quot;/&gt;&lt;wsp:rsid wsp:val=&quot;0038324A&quot;/&gt;&lt;wsp:rsid wsp:val=&quot;00383257&quot;/&gt;&lt;wsp:rsid wsp:val=&quot;003835F4&quot;/&gt;&lt;wsp:rsid wsp:val=&quot;00383A82&quot;/&gt;&lt;wsp:rsid wsp:val=&quot;00383B9A&quot;/&gt;&lt;wsp:rsid wsp:val=&quot;0038426B&quot;/&gt;&lt;wsp:rsid wsp:val=&quot;003843D7&quot;/&gt;&lt;wsp:rsid wsp:val=&quot;003849FB&quot;/&gt;&lt;wsp:rsid wsp:val=&quot;00384B3B&quot;/&gt;&lt;wsp:rsid wsp:val=&quot;00385C5F&quot;/&gt;&lt;wsp:rsid wsp:val=&quot;00385DE1&quot;/&gt;&lt;wsp:rsid wsp:val=&quot;00386363&quot;/&gt;&lt;wsp:rsid wsp:val=&quot;003867F0&quot;/&gt;&lt;wsp:rsid wsp:val=&quot;003871D5&quot;/&gt;&lt;wsp:rsid wsp:val=&quot;00387309&quot;/&gt;&lt;wsp:rsid wsp:val=&quot;0038764F&quot;/&gt;&lt;wsp:rsid wsp:val=&quot;00387679&quot;/&gt;&lt;wsp:rsid wsp:val=&quot;003878E4&quot;/&gt;&lt;wsp:rsid wsp:val=&quot;00387CCC&quot;/&gt;&lt;wsp:rsid wsp:val=&quot;00387D94&quot;/&gt;&lt;wsp:rsid wsp:val=&quot;00390021&quot;/&gt;&lt;wsp:rsid wsp:val=&quot;003902EC&quot;/&gt;&lt;wsp:rsid wsp:val=&quot;0039034E&quot;/&gt;&lt;wsp:rsid wsp:val=&quot;0039053A&quot;/&gt;&lt;wsp:rsid wsp:val=&quot;00390919&quot;/&gt;&lt;wsp:rsid wsp:val=&quot;00390925&quot;/&gt;&lt;wsp:rsid wsp:val=&quot;00390A07&quot;/&gt;&lt;wsp:rsid wsp:val=&quot;00390FA8&quot;/&gt;&lt;wsp:rsid wsp:val=&quot;00391369&quot;/&gt;&lt;wsp:rsid wsp:val=&quot;003917CB&quot;/&gt;&lt;wsp:rsid wsp:val=&quot;00391998&quot;/&gt;&lt;wsp:rsid wsp:val=&quot;00391E4D&quot;/&gt;&lt;wsp:rsid wsp:val=&quot;0039240C&quot;/&gt;&lt;wsp:rsid wsp:val=&quot;0039253A&quot;/&gt;&lt;wsp:rsid wsp:val=&quot;0039272C&quot;/&gt;&lt;wsp:rsid wsp:val=&quot;00392801&quot;/&gt;&lt;wsp:rsid wsp:val=&quot;00392907&quot;/&gt;&lt;wsp:rsid wsp:val=&quot;00392AAD&quot;/&gt;&lt;wsp:rsid wsp:val=&quot;003941C6&quot;/&gt;&lt;wsp:rsid wsp:val=&quot;003941CF&quot;/&gt;&lt;wsp:rsid wsp:val=&quot;003943D7&quot;/&gt;&lt;wsp:rsid wsp:val=&quot;00394690&quot;/&gt;&lt;wsp:rsid wsp:val=&quot;0039499C&quot;/&gt;&lt;wsp:rsid wsp:val=&quot;00394B2F&quot;/&gt;&lt;wsp:rsid wsp:val=&quot;00394D37&quot;/&gt;&lt;wsp:rsid wsp:val=&quot;0039501D&quot;/&gt;&lt;wsp:rsid wsp:val=&quot;00395940&quot;/&gt;&lt;wsp:rsid wsp:val=&quot;00395BC4&quot;/&gt;&lt;wsp:rsid wsp:val=&quot;00395E6F&quot;/&gt;&lt;wsp:rsid wsp:val=&quot;0039633C&quot;/&gt;&lt;wsp:rsid wsp:val=&quot;00396746&quot;/&gt;&lt;wsp:rsid wsp:val=&quot;00396CC7&quot;/&gt;&lt;wsp:rsid wsp:val=&quot;00396FF0&quot;/&gt;&lt;wsp:rsid wsp:val=&quot;003976D0&quot;/&gt;&lt;wsp:rsid wsp:val=&quot;0039784D&quot;/&gt;&lt;wsp:rsid wsp:val=&quot;00397969&quot;/&gt;&lt;wsp:rsid wsp:val=&quot;00397A5E&quot;/&gt;&lt;wsp:rsid wsp:val=&quot;00397AAD&quot;/&gt;&lt;wsp:rsid wsp:val=&quot;00397CB3&quot;/&gt;&lt;wsp:rsid wsp:val=&quot;00397FF2&quot;/&gt;&lt;wsp:rsid wsp:val=&quot;003A0398&quot;/&gt;&lt;wsp:rsid wsp:val=&quot;003A047C&quot;/&gt;&lt;wsp:rsid wsp:val=&quot;003A0DB5&quot;/&gt;&lt;wsp:rsid wsp:val=&quot;003A145B&quot;/&gt;&lt;wsp:rsid wsp:val=&quot;003A157A&quot;/&gt;&lt;wsp:rsid wsp:val=&quot;003A176A&quot;/&gt;&lt;wsp:rsid wsp:val=&quot;003A1844&quot;/&gt;&lt;wsp:rsid wsp:val=&quot;003A184C&quot;/&gt;&lt;wsp:rsid wsp:val=&quot;003A1899&quot;/&gt;&lt;wsp:rsid wsp:val=&quot;003A1926&quot;/&gt;&lt;wsp:rsid wsp:val=&quot;003A1C22&quot;/&gt;&lt;wsp:rsid wsp:val=&quot;003A1C65&quot;/&gt;&lt;wsp:rsid wsp:val=&quot;003A1CF9&quot;/&gt;&lt;wsp:rsid wsp:val=&quot;003A26FA&quot;/&gt;&lt;wsp:rsid wsp:val=&quot;003A287A&quot;/&gt;&lt;wsp:rsid wsp:val=&quot;003A29E9&quot;/&gt;&lt;wsp:rsid wsp:val=&quot;003A2A7F&quot;/&gt;&lt;wsp:rsid wsp:val=&quot;003A33E2&quot;/&gt;&lt;wsp:rsid wsp:val=&quot;003A38DD&quot;/&gt;&lt;wsp:rsid wsp:val=&quot;003A3D24&quot;/&gt;&lt;wsp:rsid wsp:val=&quot;003A3D53&quot;/&gt;&lt;wsp:rsid wsp:val=&quot;003A40F3&quot;/&gt;&lt;wsp:rsid wsp:val=&quot;003A436D&quot;/&gt;&lt;wsp:rsid wsp:val=&quot;003A4A59&quot;/&gt;&lt;wsp:rsid wsp:val=&quot;003A4A81&quot;/&gt;&lt;wsp:rsid wsp:val=&quot;003A4FE4&quot;/&gt;&lt;wsp:rsid wsp:val=&quot;003A5190&quot;/&gt;&lt;wsp:rsid wsp:val=&quot;003A528D&quot;/&gt;&lt;wsp:rsid wsp:val=&quot;003A5646&quot;/&gt;&lt;wsp:rsid wsp:val=&quot;003A566F&quot;/&gt;&lt;wsp:rsid wsp:val=&quot;003A5A32&quot;/&gt;&lt;wsp:rsid wsp:val=&quot;003A5E41&quot;/&gt;&lt;wsp:rsid wsp:val=&quot;003A65B1&quot;/&gt;&lt;wsp:rsid wsp:val=&quot;003A673B&quot;/&gt;&lt;wsp:rsid wsp:val=&quot;003A6859&quot;/&gt;&lt;wsp:rsid wsp:val=&quot;003A68E3&quot;/&gt;&lt;wsp:rsid wsp:val=&quot;003A6912&quot;/&gt;&lt;wsp:rsid wsp:val=&quot;003A70B3&quot;/&gt;&lt;wsp:rsid wsp:val=&quot;003A723C&quot;/&gt;&lt;wsp:rsid wsp:val=&quot;003A7262&quot;/&gt;&lt;wsp:rsid wsp:val=&quot;003A7901&quot;/&gt;&lt;wsp:rsid wsp:val=&quot;003A7925&quot;/&gt;&lt;wsp:rsid wsp:val=&quot;003A7CF6&quot;/&gt;&lt;wsp:rsid wsp:val=&quot;003A7FFD&quot;/&gt;&lt;wsp:rsid wsp:val=&quot;003B01AD&quot;/&gt;&lt;wsp:rsid wsp:val=&quot;003B05ED&quot;/&gt;&lt;wsp:rsid wsp:val=&quot;003B0B3D&quot;/&gt;&lt;wsp:rsid wsp:val=&quot;003B0C2D&quot;/&gt;&lt;wsp:rsid wsp:val=&quot;003B0E52&quot;/&gt;&lt;wsp:rsid wsp:val=&quot;003B132D&quot;/&gt;&lt;wsp:rsid wsp:val=&quot;003B17C5&quot;/&gt;&lt;wsp:rsid wsp:val=&quot;003B1B51&quot;/&gt;&lt;wsp:rsid wsp:val=&quot;003B22F7&quot;/&gt;&lt;wsp:rsid wsp:val=&quot;003B2A75&quot;/&gt;&lt;wsp:rsid wsp:val=&quot;003B2CEE&quot;/&gt;&lt;wsp:rsid wsp:val=&quot;003B2D31&quot;/&gt;&lt;wsp:rsid wsp:val=&quot;003B303C&quot;/&gt;&lt;wsp:rsid wsp:val=&quot;003B304A&quot;/&gt;&lt;wsp:rsid wsp:val=&quot;003B3172&quot;/&gt;&lt;wsp:rsid wsp:val=&quot;003B3279&quot;/&gt;&lt;wsp:rsid wsp:val=&quot;003B357E&quot;/&gt;&lt;wsp:rsid wsp:val=&quot;003B3978&quot;/&gt;&lt;wsp:rsid wsp:val=&quot;003B41AB&quot;/&gt;&lt;wsp:rsid wsp:val=&quot;003B41AF&quot;/&gt;&lt;wsp:rsid wsp:val=&quot;003B44F3&quot;/&gt;&lt;wsp:rsid wsp:val=&quot;003B4F57&quot;/&gt;&lt;wsp:rsid wsp:val=&quot;003B5077&quot;/&gt;&lt;wsp:rsid wsp:val=&quot;003B52A8&quot;/&gt;&lt;wsp:rsid wsp:val=&quot;003B52F7&quot;/&gt;&lt;wsp:rsid wsp:val=&quot;003B578C&quot;/&gt;&lt;wsp:rsid wsp:val=&quot;003B5E36&quot;/&gt;&lt;wsp:rsid wsp:val=&quot;003B5F0A&quot;/&gt;&lt;wsp:rsid wsp:val=&quot;003B61CB&quot;/&gt;&lt;wsp:rsid wsp:val=&quot;003B677D&quot;/&gt;&lt;wsp:rsid wsp:val=&quot;003B6C29&quot;/&gt;&lt;wsp:rsid wsp:val=&quot;003B6DC4&quot;/&gt;&lt;wsp:rsid wsp:val=&quot;003B6E68&quot;/&gt;&lt;wsp:rsid wsp:val=&quot;003B7010&quot;/&gt;&lt;wsp:rsid wsp:val=&quot;003B7D7F&quot;/&gt;&lt;wsp:rsid wsp:val=&quot;003B7FB5&quot;/&gt;&lt;wsp:rsid wsp:val=&quot;003C0009&quot;/&gt;&lt;wsp:rsid wsp:val=&quot;003C048B&quot;/&gt;&lt;wsp:rsid wsp:val=&quot;003C04E1&quot;/&gt;&lt;wsp:rsid wsp:val=&quot;003C0AEF&quot;/&gt;&lt;wsp:rsid wsp:val=&quot;003C0CE2&quot;/&gt;&lt;wsp:rsid wsp:val=&quot;003C1700&quot;/&gt;&lt;wsp:rsid wsp:val=&quot;003C1993&quot;/&gt;&lt;wsp:rsid wsp:val=&quot;003C1E3E&quot;/&gt;&lt;wsp:rsid wsp:val=&quot;003C2055&quot;/&gt;&lt;wsp:rsid wsp:val=&quot;003C270C&quot;/&gt;&lt;wsp:rsid wsp:val=&quot;003C29CB&quot;/&gt;&lt;wsp:rsid wsp:val=&quot;003C2BE4&quot;/&gt;&lt;wsp:rsid wsp:val=&quot;003C2D08&quot;/&gt;&lt;wsp:rsid wsp:val=&quot;003C2E68&quot;/&gt;&lt;wsp:rsid wsp:val=&quot;003C2EE3&quot;/&gt;&lt;wsp:rsid wsp:val=&quot;003C317C&quot;/&gt;&lt;wsp:rsid wsp:val=&quot;003C3719&quot;/&gt;&lt;wsp:rsid wsp:val=&quot;003C38EF&quot;/&gt;&lt;wsp:rsid wsp:val=&quot;003C3FD5&quot;/&gt;&lt;wsp:rsid wsp:val=&quot;003C421F&quot;/&gt;&lt;wsp:rsid wsp:val=&quot;003C44DE&quot;/&gt;&lt;wsp:rsid wsp:val=&quot;003C4928&quot;/&gt;&lt;wsp:rsid wsp:val=&quot;003C4A82&quot;/&gt;&lt;wsp:rsid wsp:val=&quot;003C524F&quot;/&gt;&lt;wsp:rsid wsp:val=&quot;003C57DC&quot;/&gt;&lt;wsp:rsid wsp:val=&quot;003C5C6B&quot;/&gt;&lt;wsp:rsid wsp:val=&quot;003C62E6&quot;/&gt;&lt;wsp:rsid wsp:val=&quot;003C6388&quot;/&gt;&lt;wsp:rsid wsp:val=&quot;003C63E0&quot;/&gt;&lt;wsp:rsid wsp:val=&quot;003C6DC2&quot;/&gt;&lt;wsp:rsid wsp:val=&quot;003C712E&quot;/&gt;&lt;wsp:rsid wsp:val=&quot;003C74EB&quot;/&gt;&lt;wsp:rsid wsp:val=&quot;003C776C&quot;/&gt;&lt;wsp:rsid wsp:val=&quot;003C7E38&quot;/&gt;&lt;wsp:rsid wsp:val=&quot;003C7E92&quot;/&gt;&lt;wsp:rsid wsp:val=&quot;003D022D&quot;/&gt;&lt;wsp:rsid wsp:val=&quot;003D0BB2&quot;/&gt;&lt;wsp:rsid wsp:val=&quot;003D0E03&quot;/&gt;&lt;wsp:rsid wsp:val=&quot;003D1172&quot;/&gt;&lt;wsp:rsid wsp:val=&quot;003D14AF&quot;/&gt;&lt;wsp:rsid wsp:val=&quot;003D1738&quot;/&gt;&lt;wsp:rsid wsp:val=&quot;003D1997&quot;/&gt;&lt;wsp:rsid wsp:val=&quot;003D1A47&quot;/&gt;&lt;wsp:rsid wsp:val=&quot;003D20A7&quot;/&gt;&lt;wsp:rsid wsp:val=&quot;003D23EC&quot;/&gt;&lt;wsp:rsid wsp:val=&quot;003D403E&quot;/&gt;&lt;wsp:rsid wsp:val=&quot;003D42D9&quot;/&gt;&lt;wsp:rsid wsp:val=&quot;003D4367&quot;/&gt;&lt;wsp:rsid wsp:val=&quot;003D4767&quot;/&gt;&lt;wsp:rsid wsp:val=&quot;003D48E3&quot;/&gt;&lt;wsp:rsid wsp:val=&quot;003D49D6&quot;/&gt;&lt;wsp:rsid wsp:val=&quot;003D4B23&quot;/&gt;&lt;wsp:rsid wsp:val=&quot;003D4C60&quot;/&gt;&lt;wsp:rsid wsp:val=&quot;003D4D6B&quot;/&gt;&lt;wsp:rsid wsp:val=&quot;003D50EC&quot;/&gt;&lt;wsp:rsid wsp:val=&quot;003D5179&quot;/&gt;&lt;wsp:rsid wsp:val=&quot;003D5451&quot;/&gt;&lt;wsp:rsid wsp:val=&quot;003D5514&quot;/&gt;&lt;wsp:rsid wsp:val=&quot;003D5668&quot;/&gt;&lt;wsp:rsid wsp:val=&quot;003D57A3&quot;/&gt;&lt;wsp:rsid wsp:val=&quot;003D5AD7&quot;/&gt;&lt;wsp:rsid wsp:val=&quot;003D5CDE&quot;/&gt;&lt;wsp:rsid wsp:val=&quot;003D6174&quot;/&gt;&lt;wsp:rsid wsp:val=&quot;003D6413&quot;/&gt;&lt;wsp:rsid wsp:val=&quot;003D6472&quot;/&gt;&lt;wsp:rsid wsp:val=&quot;003D65C0&quot;/&gt;&lt;wsp:rsid wsp:val=&quot;003D661A&quot;/&gt;&lt;wsp:rsid wsp:val=&quot;003D67A1&quot;/&gt;&lt;wsp:rsid wsp:val=&quot;003D6BB6&quot;/&gt;&lt;wsp:rsid wsp:val=&quot;003D6D7D&quot;/&gt;&lt;wsp:rsid wsp:val=&quot;003D6E42&quot;/&gt;&lt;wsp:rsid wsp:val=&quot;003D6E49&quot;/&gt;&lt;wsp:rsid wsp:val=&quot;003D6E59&quot;/&gt;&lt;wsp:rsid wsp:val=&quot;003D711E&quot;/&gt;&lt;wsp:rsid wsp:val=&quot;003D7374&quot;/&gt;&lt;wsp:rsid wsp:val=&quot;003D779F&quot;/&gt;&lt;wsp:rsid wsp:val=&quot;003D794B&quot;/&gt;&lt;wsp:rsid wsp:val=&quot;003D7975&quot;/&gt;&lt;wsp:rsid wsp:val=&quot;003D7EBB&quot;/&gt;&lt;wsp:rsid wsp:val=&quot;003D7F48&quot;/&gt;&lt;wsp:rsid wsp:val=&quot;003D7F9B&quot;/&gt;&lt;wsp:rsid wsp:val=&quot;003D7FC5&quot;/&gt;&lt;wsp:rsid wsp:val=&quot;003E010D&quot;/&gt;&lt;wsp:rsid wsp:val=&quot;003E07BA&quot;/&gt;&lt;wsp:rsid wsp:val=&quot;003E0BF1&quot;/&gt;&lt;wsp:rsid wsp:val=&quot;003E10D2&quot;/&gt;&lt;wsp:rsid wsp:val=&quot;003E1204&quot;/&gt;&lt;wsp:rsid wsp:val=&quot;003E15D2&quot;/&gt;&lt;wsp:rsid wsp:val=&quot;003E1949&quot;/&gt;&lt;wsp:rsid wsp:val=&quot;003E199F&quot;/&gt;&lt;wsp:rsid wsp:val=&quot;003E1BF0&quot;/&gt;&lt;wsp:rsid wsp:val=&quot;003E1F2C&quot;/&gt;&lt;wsp:rsid wsp:val=&quot;003E2283&quot;/&gt;&lt;wsp:rsid wsp:val=&quot;003E23AB&quot;/&gt;&lt;wsp:rsid wsp:val=&quot;003E25C2&quot;/&gt;&lt;wsp:rsid wsp:val=&quot;003E2B7A&quot;/&gt;&lt;wsp:rsid wsp:val=&quot;003E2C82&quot;/&gt;&lt;wsp:rsid wsp:val=&quot;003E343B&quot;/&gt;&lt;wsp:rsid wsp:val=&quot;003E3710&quot;/&gt;&lt;wsp:rsid wsp:val=&quot;003E3805&quot;/&gt;&lt;wsp:rsid wsp:val=&quot;003E3AC0&quot;/&gt;&lt;wsp:rsid wsp:val=&quot;003E413E&quot;/&gt;&lt;wsp:rsid wsp:val=&quot;003E4553&quot;/&gt;&lt;wsp:rsid wsp:val=&quot;003E483E&quot;/&gt;&lt;wsp:rsid wsp:val=&quot;003E4999&quot;/&gt;&lt;wsp:rsid wsp:val=&quot;003E4DB9&quot;/&gt;&lt;wsp:rsid wsp:val=&quot;003E5106&quot;/&gt;&lt;wsp:rsid wsp:val=&quot;003E5452&quot;/&gt;&lt;wsp:rsid wsp:val=&quot;003E5ED4&quot;/&gt;&lt;wsp:rsid wsp:val=&quot;003E5F64&quot;/&gt;&lt;wsp:rsid wsp:val=&quot;003E6036&quot;/&gt;&lt;wsp:rsid wsp:val=&quot;003E60CA&quot;/&gt;&lt;wsp:rsid wsp:val=&quot;003E6739&quot;/&gt;&lt;wsp:rsid wsp:val=&quot;003E6A00&quot;/&gt;&lt;wsp:rsid wsp:val=&quot;003E6D4C&quot;/&gt;&lt;wsp:rsid wsp:val=&quot;003E6DD0&quot;/&gt;&lt;wsp:rsid wsp:val=&quot;003E6EB5&quot;/&gt;&lt;wsp:rsid wsp:val=&quot;003E738E&quot;/&gt;&lt;wsp:rsid wsp:val=&quot;003E7466&quot;/&gt;&lt;wsp:rsid wsp:val=&quot;003E747E&quot;/&gt;&lt;wsp:rsid wsp:val=&quot;003E75D8&quot;/&gt;&lt;wsp:rsid wsp:val=&quot;003E75DD&quot;/&gt;&lt;wsp:rsid wsp:val=&quot;003E7F03&quot;/&gt;&lt;wsp:rsid wsp:val=&quot;003E7F56&quot;/&gt;&lt;wsp:rsid wsp:val=&quot;003F05A1&quot;/&gt;&lt;wsp:rsid wsp:val=&quot;003F072E&quot;/&gt;&lt;wsp:rsid wsp:val=&quot;003F0A77&quot;/&gt;&lt;wsp:rsid wsp:val=&quot;003F0DC0&quot;/&gt;&lt;wsp:rsid wsp:val=&quot;003F0F06&quot;/&gt;&lt;wsp:rsid wsp:val=&quot;003F10C2&quot;/&gt;&lt;wsp:rsid wsp:val=&quot;003F163B&quot;/&gt;&lt;wsp:rsid wsp:val=&quot;003F1962&quot;/&gt;&lt;wsp:rsid wsp:val=&quot;003F1D3F&quot;/&gt;&lt;wsp:rsid wsp:val=&quot;003F27FE&quot;/&gt;&lt;wsp:rsid wsp:val=&quot;003F2CD6&quot;/&gt;&lt;wsp:rsid wsp:val=&quot;003F2D9D&quot;/&gt;&lt;wsp:rsid wsp:val=&quot;003F2F74&quot;/&gt;&lt;wsp:rsid wsp:val=&quot;003F4232&quot;/&gt;&lt;wsp:rsid wsp:val=&quot;003F535C&quot;/&gt;&lt;wsp:rsid wsp:val=&quot;003F5782&quot;/&gt;&lt;wsp:rsid wsp:val=&quot;003F59F3&quot;/&gt;&lt;wsp:rsid wsp:val=&quot;003F5A09&quot;/&gt;&lt;wsp:rsid wsp:val=&quot;003F5A71&quot;/&gt;&lt;wsp:rsid wsp:val=&quot;003F5AB8&quot;/&gt;&lt;wsp:rsid wsp:val=&quot;003F5BCF&quot;/&gt;&lt;wsp:rsid wsp:val=&quot;003F61F2&quot;/&gt;&lt;wsp:rsid wsp:val=&quot;003F6306&quot;/&gt;&lt;wsp:rsid wsp:val=&quot;003F64A7&quot;/&gt;&lt;wsp:rsid wsp:val=&quot;003F651F&quot;/&gt;&lt;wsp:rsid wsp:val=&quot;003F67D5&quot;/&gt;&lt;wsp:rsid wsp:val=&quot;003F6EDE&quot;/&gt;&lt;wsp:rsid wsp:val=&quot;003F72B3&quot;/&gt;&lt;wsp:rsid wsp:val=&quot;003F77BC&quot;/&gt;&lt;wsp:rsid wsp:val=&quot;00400167&quot;/&gt;&lt;wsp:rsid wsp:val=&quot;00400AD1&quot;/&gt;&lt;wsp:rsid wsp:val=&quot;00401163&quot;/&gt;&lt;wsp:rsid wsp:val=&quot;00401171&quot;/&gt;&lt;wsp:rsid wsp:val=&quot;00402199&quot;/&gt;&lt;wsp:rsid wsp:val=&quot;004021F6&quot;/&gt;&lt;wsp:rsid wsp:val=&quot;00402823&quot;/&gt;&lt;wsp:rsid wsp:val=&quot;00402A93&quot;/&gt;&lt;wsp:rsid wsp:val=&quot;004032F0&quot;/&gt;&lt;wsp:rsid wsp:val=&quot;00403AB8&quot;/&gt;&lt;wsp:rsid wsp:val=&quot;00403EC3&quot;/&gt;&lt;wsp:rsid wsp:val=&quot;004041F7&quot;/&gt;&lt;wsp:rsid wsp:val=&quot;00404D42&quot;/&gt;&lt;wsp:rsid wsp:val=&quot;00404E76&quot;/&gt;&lt;wsp:rsid wsp:val=&quot;00405380&quot;/&gt;&lt;wsp:rsid wsp:val=&quot;00405393&quot;/&gt;&lt;wsp:rsid wsp:val=&quot;00405409&quot;/&gt;&lt;wsp:rsid wsp:val=&quot;00405452&quot;/&gt;&lt;wsp:rsid wsp:val=&quot;00405C6D&quot;/&gt;&lt;wsp:rsid wsp:val=&quot;0040601C&quot;/&gt;&lt;wsp:rsid wsp:val=&quot;0040604D&quot;/&gt;&lt;wsp:rsid wsp:val=&quot;0040662E&quot;/&gt;&lt;wsp:rsid wsp:val=&quot;00406706&quot;/&gt;&lt;wsp:rsid wsp:val=&quot;00406B1B&quot;/&gt;&lt;wsp:rsid wsp:val=&quot;00407073&quot;/&gt;&lt;wsp:rsid wsp:val=&quot;00407C7E&quot;/&gt;&lt;wsp:rsid wsp:val=&quot;00407D27&quot;/&gt;&lt;wsp:rsid wsp:val=&quot;004102C5&quot;/&gt;&lt;wsp:rsid wsp:val=&quot;0041080E&quot;/&gt;&lt;wsp:rsid wsp:val=&quot;004108CF&quot;/&gt;&lt;wsp:rsid wsp:val=&quot;004113CF&quot;/&gt;&lt;wsp:rsid wsp:val=&quot;00411874&quot;/&gt;&lt;wsp:rsid wsp:val=&quot;00411C07&quot;/&gt;&lt;wsp:rsid wsp:val=&quot;00411C3A&quot;/&gt;&lt;wsp:rsid wsp:val=&quot;00411D59&quot;/&gt;&lt;wsp:rsid wsp:val=&quot;00411DBF&quot;/&gt;&lt;wsp:rsid wsp:val=&quot;00412120&quot;/&gt;&lt;wsp:rsid wsp:val=&quot;004122B7&quot;/&gt;&lt;wsp:rsid wsp:val=&quot;004125F8&quot;/&gt;&lt;wsp:rsid wsp:val=&quot;004126D8&quot;/&gt;&lt;wsp:rsid wsp:val=&quot;00412732&quot;/&gt;&lt;wsp:rsid wsp:val=&quot;0041287E&quot;/&gt;&lt;wsp:rsid wsp:val=&quot;00412941&quot;/&gt;&lt;wsp:rsid wsp:val=&quot;00412A1C&quot;/&gt;&lt;wsp:rsid wsp:val=&quot;00412A9A&quot;/&gt;&lt;wsp:rsid wsp:val=&quot;00412B05&quot;/&gt;&lt;wsp:rsid wsp:val=&quot;00412E3E&quot;/&gt;&lt;wsp:rsid wsp:val=&quot;0041306D&quot;/&gt;&lt;wsp:rsid wsp:val=&quot;004137A0&quot;/&gt;&lt;wsp:rsid wsp:val=&quot;00413C4F&quot;/&gt;&lt;wsp:rsid wsp:val=&quot;00413DAA&quot;/&gt;&lt;wsp:rsid wsp:val=&quot;00413DB7&quot;/&gt;&lt;wsp:rsid wsp:val=&quot;00414227&quot;/&gt;&lt;wsp:rsid wsp:val=&quot;00415034&quot;/&gt;&lt;wsp:rsid wsp:val=&quot;00415974&quot;/&gt;&lt;wsp:rsid wsp:val=&quot;00415A40&quot;/&gt;&lt;wsp:rsid wsp:val=&quot;00416097&quot;/&gt;&lt;wsp:rsid wsp:val=&quot;00416277&quot;/&gt;&lt;wsp:rsid wsp:val=&quot;00416715&quot;/&gt;&lt;wsp:rsid wsp:val=&quot;00416D6C&quot;/&gt;&lt;wsp:rsid wsp:val=&quot;00416D9B&quot;/&gt;&lt;wsp:rsid wsp:val=&quot;00416E1D&quot;/&gt;&lt;wsp:rsid wsp:val=&quot;004171AC&quot;/&gt;&lt;wsp:rsid wsp:val=&quot;00417426&quot;/&gt;&lt;wsp:rsid wsp:val=&quot;00417963&quot;/&gt;&lt;wsp:rsid wsp:val=&quot;00417F00&quot;/&gt;&lt;wsp:rsid wsp:val=&quot;004201F9&quot;/&gt;&lt;wsp:rsid wsp:val=&quot;00420691&quot;/&gt;&lt;wsp:rsid wsp:val=&quot;00420919&quot;/&gt;&lt;wsp:rsid wsp:val=&quot;004209EA&quot;/&gt;&lt;wsp:rsid wsp:val=&quot;00420C86&quot;/&gt;&lt;wsp:rsid wsp:val=&quot;00420DA8&quot;/&gt;&lt;wsp:rsid wsp:val=&quot;004214D1&quot;/&gt;&lt;wsp:rsid wsp:val=&quot;0042172F&quot;/&gt;&lt;wsp:rsid wsp:val=&quot;00421879&quot;/&gt;&lt;wsp:rsid wsp:val=&quot;004226DD&quot;/&gt;&lt;wsp:rsid wsp:val=&quot;00422703&quot;/&gt;&lt;wsp:rsid wsp:val=&quot;004228DB&quot;/&gt;&lt;wsp:rsid wsp:val=&quot;00422CCB&quot;/&gt;&lt;wsp:rsid wsp:val=&quot;00422F61&quot;/&gt;&lt;wsp:rsid wsp:val=&quot;0042399D&quot;/&gt;&lt;wsp:rsid wsp:val=&quot;00423D45&quot;/&gt;&lt;wsp:rsid wsp:val=&quot;004256B2&quot;/&gt;&lt;wsp:rsid wsp:val=&quot;004258EB&quot;/&gt;&lt;wsp:rsid wsp:val=&quot;00425C65&quot;/&gt;&lt;wsp:rsid wsp:val=&quot;00426242&quot;/&gt;&lt;wsp:rsid wsp:val=&quot;004263DD&quot;/&gt;&lt;wsp:rsid wsp:val=&quot;00426B31&quot;/&gt;&lt;wsp:rsid wsp:val=&quot;00426C16&quot;/&gt;&lt;wsp:rsid wsp:val=&quot;00426C3D&quot;/&gt;&lt;wsp:rsid wsp:val=&quot;00426C91&quot;/&gt;&lt;wsp:rsid wsp:val=&quot;004272E7&quot;/&gt;&lt;wsp:rsid wsp:val=&quot;00427382&quot;/&gt;&lt;wsp:rsid wsp:val=&quot;00427A8E&quot;/&gt;&lt;wsp:rsid wsp:val=&quot;00427CBB&quot;/&gt;&lt;wsp:rsid wsp:val=&quot;00427F05&quot;/&gt;&lt;wsp:rsid wsp:val=&quot;0043005A&quot;/&gt;&lt;wsp:rsid wsp:val=&quot;004302FC&quot;/&gt;&lt;wsp:rsid wsp:val=&quot;004306DF&quot;/&gt;&lt;wsp:rsid wsp:val=&quot;00430728&quot;/&gt;&lt;wsp:rsid wsp:val=&quot;00430D53&quot;/&gt;&lt;wsp:rsid wsp:val=&quot;00431053&quot;/&gt;&lt;wsp:rsid wsp:val=&quot;00431166&quot;/&gt;&lt;wsp:rsid wsp:val=&quot;004312AC&quot;/&gt;&lt;wsp:rsid wsp:val=&quot;0043143D&quot;/&gt;&lt;wsp:rsid wsp:val=&quot;0043160B&quot;/&gt;&lt;wsp:rsid wsp:val=&quot;00431BD6&quot;/&gt;&lt;wsp:rsid wsp:val=&quot;00431D5A&quot;/&gt;&lt;wsp:rsid wsp:val=&quot;00432A0F&quot;/&gt;&lt;wsp:rsid wsp:val=&quot;00432B6D&quot;/&gt;&lt;wsp:rsid wsp:val=&quot;00432BD9&quot;/&gt;&lt;wsp:rsid wsp:val=&quot;00432F24&quot;/&gt;&lt;wsp:rsid wsp:val=&quot;00433063&quot;/&gt;&lt;wsp:rsid wsp:val=&quot;00433294&quot;/&gt;&lt;wsp:rsid wsp:val=&quot;00433353&quot;/&gt;&lt;wsp:rsid wsp:val=&quot;004338D5&quot;/&gt;&lt;wsp:rsid wsp:val=&quot;0043394F&quot;/&gt;&lt;wsp:rsid wsp:val=&quot;0043418B&quot;/&gt;&lt;wsp:rsid wsp:val=&quot;00434456&quot;/&gt;&lt;wsp:rsid wsp:val=&quot;0043487C&quot;/&gt;&lt;wsp:rsid wsp:val=&quot;00434B6B&quot;/&gt;&lt;wsp:rsid wsp:val=&quot;00435106&quot;/&gt;&lt;wsp:rsid wsp:val=&quot;00435446&quot;/&gt;&lt;wsp:rsid wsp:val=&quot;00435560&quot;/&gt;&lt;wsp:rsid wsp:val=&quot;00435CC3&quot;/&gt;&lt;wsp:rsid wsp:val=&quot;00435E1B&quot;/&gt;&lt;wsp:rsid wsp:val=&quot;00436526&quot;/&gt;&lt;wsp:rsid wsp:val=&quot;004368E1&quot;/&gt;&lt;wsp:rsid wsp:val=&quot;0043698F&quot;/&gt;&lt;wsp:rsid wsp:val=&quot;00436AE0&quot;/&gt;&lt;wsp:rsid wsp:val=&quot;00436AEF&quot;/&gt;&lt;wsp:rsid wsp:val=&quot;00436CF7&quot;/&gt;&lt;wsp:rsid wsp:val=&quot;00436E5C&quot;/&gt;&lt;wsp:rsid wsp:val=&quot;004371E9&quot;/&gt;&lt;wsp:rsid wsp:val=&quot;004375B1&quot;/&gt;&lt;wsp:rsid wsp:val=&quot;0043778B&quot;/&gt;&lt;wsp:rsid wsp:val=&quot;00437831&quot;/&gt;&lt;wsp:rsid wsp:val=&quot;00437BF6&quot;/&gt;&lt;wsp:rsid wsp:val=&quot;00437CAC&quot;/&gt;&lt;wsp:rsid wsp:val=&quot;00437E9D&quot;/&gt;&lt;wsp:rsid wsp:val=&quot;00440C3D&quot;/&gt;&lt;wsp:rsid wsp:val=&quot;0044147E&quot;/&gt;&lt;wsp:rsid wsp:val=&quot;004417DE&quot;/&gt;&lt;wsp:rsid wsp:val=&quot;00441A53&quot;/&gt;&lt;wsp:rsid wsp:val=&quot;00441B1C&quot;/&gt;&lt;wsp:rsid wsp:val=&quot;00441BC1&quot;/&gt;&lt;wsp:rsid wsp:val=&quot;00441C6D&quot;/&gt;&lt;wsp:rsid wsp:val=&quot;00441E1C&quot;/&gt;&lt;wsp:rsid wsp:val=&quot;00441EA7&quot;/&gt;&lt;wsp:rsid wsp:val=&quot;004420A8&quot;/&gt;&lt;wsp:rsid wsp:val=&quot;00442B06&quot;/&gt;&lt;wsp:rsid wsp:val=&quot;00442D41&quot;/&gt;&lt;wsp:rsid wsp:val=&quot;00442DBF&quot;/&gt;&lt;wsp:rsid wsp:val=&quot;00442E23&quot;/&gt;&lt;wsp:rsid wsp:val=&quot;00443044&quot;/&gt;&lt;wsp:rsid wsp:val=&quot;00443103&quot;/&gt;&lt;wsp:rsid wsp:val=&quot;00443143&quot;/&gt;&lt;wsp:rsid wsp:val=&quot;00443533&quot;/&gt;&lt;wsp:rsid wsp:val=&quot;004438F7&quot;/&gt;&lt;wsp:rsid wsp:val=&quot;00443985&quot;/&gt;&lt;wsp:rsid wsp:val=&quot;00443C76&quot;/&gt;&lt;wsp:rsid wsp:val=&quot;0044419D&quot;/&gt;&lt;wsp:rsid wsp:val=&quot;0044438A&quot;/&gt;&lt;wsp:rsid wsp:val=&quot;00444562&quot;/&gt;&lt;wsp:rsid wsp:val=&quot;0044478E&quot;/&gt;&lt;wsp:rsid wsp:val=&quot;004447EA&quot;/&gt;&lt;wsp:rsid wsp:val=&quot;0044488E&quot;/&gt;&lt;wsp:rsid wsp:val=&quot;00444C19&quot;/&gt;&lt;wsp:rsid wsp:val=&quot;00444F9D&quot;/&gt;&lt;wsp:rsid wsp:val=&quot;004458CA&quot;/&gt;&lt;wsp:rsid wsp:val=&quot;00445AFA&quot;/&gt;&lt;wsp:rsid wsp:val=&quot;00445D01&quot;/&gt;&lt;wsp:rsid wsp:val=&quot;00445E5F&quot;/&gt;&lt;wsp:rsid wsp:val=&quot;00446157&quot;/&gt;&lt;wsp:rsid wsp:val=&quot;004461A4&quot;/&gt;&lt;wsp:rsid wsp:val=&quot;004461D0&quot;/&gt;&lt;wsp:rsid wsp:val=&quot;004462D2&quot;/&gt;&lt;wsp:rsid wsp:val=&quot;00446374&quot;/&gt;&lt;wsp:rsid wsp:val=&quot;00446489&quot;/&gt;&lt;wsp:rsid wsp:val=&quot;00446537&quot;/&gt;&lt;wsp:rsid wsp:val=&quot;00446605&quot;/&gt;&lt;wsp:rsid wsp:val=&quot;004466CD&quot;/&gt;&lt;wsp:rsid wsp:val=&quot;0044671A&quot;/&gt;&lt;wsp:rsid wsp:val=&quot;00446798&quot;/&gt;&lt;wsp:rsid wsp:val=&quot;00446B30&quot;/&gt;&lt;wsp:rsid wsp:val=&quot;00447387&quot;/&gt;&lt;wsp:rsid wsp:val=&quot;00447397&quot;/&gt;&lt;wsp:rsid wsp:val=&quot;0044789A&quot;/&gt;&lt;wsp:rsid wsp:val=&quot;00447CC2&quot;/&gt;&lt;wsp:rsid wsp:val=&quot;00447FCB&quot;/&gt;&lt;wsp:rsid wsp:val=&quot;0045026C&quot;/&gt;&lt;wsp:rsid wsp:val=&quot;00450663&quot;/&gt;&lt;wsp:rsid wsp:val=&quot;004507D7&quot;/&gt;&lt;wsp:rsid wsp:val=&quot;00450BC6&quot;/&gt;&lt;wsp:rsid wsp:val=&quot;00450DAD&quot;/&gt;&lt;wsp:rsid wsp:val=&quot;00450E01&quot;/&gt;&lt;wsp:rsid wsp:val=&quot;00450FA8&quot;/&gt;&lt;wsp:rsid wsp:val=&quot;00451177&quot;/&gt;&lt;wsp:rsid wsp:val=&quot;0045123E&quot;/&gt;&lt;wsp:rsid wsp:val=&quot;004512ED&quot;/&gt;&lt;wsp:rsid wsp:val=&quot;004518D0&quot;/&gt;&lt;wsp:rsid wsp:val=&quot;00452310&quot;/&gt;&lt;wsp:rsid wsp:val=&quot;0045288A&quot;/&gt;&lt;wsp:rsid wsp:val=&quot;00452ACD&quot;/&gt;&lt;wsp:rsid wsp:val=&quot;00452B84&quot;/&gt;&lt;wsp:rsid wsp:val=&quot;00452C80&quot;/&gt;&lt;wsp:rsid wsp:val=&quot;004531A4&quot;/&gt;&lt;wsp:rsid wsp:val=&quot;00453268&quot;/&gt;&lt;wsp:rsid wsp:val=&quot;00453577&quot;/&gt;&lt;wsp:rsid wsp:val=&quot;00453C5D&quot;/&gt;&lt;wsp:rsid wsp:val=&quot;00454170&quot;/&gt;&lt;wsp:rsid wsp:val=&quot;00454832&quot;/&gt;&lt;wsp:rsid wsp:val=&quot;00454890&quot;/&gt;&lt;wsp:rsid wsp:val=&quot;00454A4D&quot;/&gt;&lt;wsp:rsid wsp:val=&quot;00454F20&quot;/&gt;&lt;wsp:rsid wsp:val=&quot;004553C6&quot;/&gt;&lt;wsp:rsid wsp:val=&quot;00455834&quot;/&gt;&lt;wsp:rsid wsp:val=&quot;00455B45&quot;/&gt;&lt;wsp:rsid wsp:val=&quot;00455B9C&quot;/&gt;&lt;wsp:rsid wsp:val=&quot;00455BB7&quot;/&gt;&lt;wsp:rsid wsp:val=&quot;00456165&quot;/&gt;&lt;wsp:rsid wsp:val=&quot;0045649E&quot;/&gt;&lt;wsp:rsid wsp:val=&quot;004565EB&quot;/&gt;&lt;wsp:rsid wsp:val=&quot;00456861&quot;/&gt;&lt;wsp:rsid wsp:val=&quot;004572A3&quot;/&gt;&lt;wsp:rsid wsp:val=&quot;004576F2&quot;/&gt;&lt;wsp:rsid wsp:val=&quot;004577F9&quot;/&gt;&lt;wsp:rsid wsp:val=&quot;00457CC6&quot;/&gt;&lt;wsp:rsid wsp:val=&quot;00457DE2&quot;/&gt;&lt;wsp:rsid wsp:val=&quot;00457FB3&quot;/&gt;&lt;wsp:rsid wsp:val=&quot;004608B6&quot;/&gt;&lt;wsp:rsid wsp:val=&quot;004608EE&quot;/&gt;&lt;wsp:rsid wsp:val=&quot;0046098B&quot;/&gt;&lt;wsp:rsid wsp:val=&quot;004610D7&quot;/&gt;&lt;wsp:rsid wsp:val=&quot;00461155&quot;/&gt;&lt;wsp:rsid wsp:val=&quot;004615C4&quot;/&gt;&lt;wsp:rsid wsp:val=&quot;00461628&quot;/&gt;&lt;wsp:rsid wsp:val=&quot;00461A79&quot;/&gt;&lt;wsp:rsid wsp:val=&quot;0046245E&quot;/&gt;&lt;wsp:rsid wsp:val=&quot;00462996&quot;/&gt;&lt;wsp:rsid wsp:val=&quot;00462A41&quot;/&gt;&lt;wsp:rsid wsp:val=&quot;00462B20&quot;/&gt;&lt;wsp:rsid wsp:val=&quot;00462BD0&quot;/&gt;&lt;wsp:rsid wsp:val=&quot;00462D04&quot;/&gt;&lt;wsp:rsid wsp:val=&quot;00463017&quot;/&gt;&lt;wsp:rsid wsp:val=&quot;00463593&quot;/&gt;&lt;wsp:rsid wsp:val=&quot;004635B6&quot;/&gt;&lt;wsp:rsid wsp:val=&quot;0046376F&quot;/&gt;&lt;wsp:rsid wsp:val=&quot;00463986&quot;/&gt;&lt;wsp:rsid wsp:val=&quot;00463CF2&quot;/&gt;&lt;wsp:rsid wsp:val=&quot;0046420B&quot;/&gt;&lt;wsp:rsid wsp:val=&quot;00464B26&quot;/&gt;&lt;wsp:rsid wsp:val=&quot;00464CC2&quot;/&gt;&lt;wsp:rsid wsp:val=&quot;00464DAA&quot;/&gt;&lt;wsp:rsid wsp:val=&quot;004655C4&quot;/&gt;&lt;wsp:rsid wsp:val=&quot;004657FF&quot;/&gt;&lt;wsp:rsid wsp:val=&quot;00465892&quot;/&gt;&lt;wsp:rsid wsp:val=&quot;00465895&quot;/&gt;&lt;wsp:rsid wsp:val=&quot;00465A53&quot;/&gt;&lt;wsp:rsid wsp:val=&quot;00465CB2&quot;/&gt;&lt;wsp:rsid wsp:val=&quot;00465D75&quot;/&gt;&lt;wsp:rsid wsp:val=&quot;004661B1&quot;/&gt;&lt;wsp:rsid wsp:val=&quot;004663F7&quot;/&gt;&lt;wsp:rsid wsp:val=&quot;00466D7E&quot;/&gt;&lt;wsp:rsid wsp:val=&quot;004674C1&quot;/&gt;&lt;wsp:rsid wsp:val=&quot;00467852&quot;/&gt;&lt;wsp:rsid wsp:val=&quot;004679FD&quot;/&gt;&lt;wsp:rsid wsp:val=&quot;00470019&quot;/&gt;&lt;wsp:rsid wsp:val=&quot;00470308&quot;/&gt;&lt;wsp:rsid wsp:val=&quot;0047046B&quot;/&gt;&lt;wsp:rsid wsp:val=&quot;00470DB4&quot;/&gt;&lt;wsp:rsid wsp:val=&quot;0047107A&quot;/&gt;&lt;wsp:rsid wsp:val=&quot;004710D3&quot;/&gt;&lt;wsp:rsid wsp:val=&quot;004710DF&quot;/&gt;&lt;wsp:rsid wsp:val=&quot;004714D2&quot;/&gt;&lt;wsp:rsid wsp:val=&quot;00471507&quot;/&gt;&lt;wsp:rsid wsp:val=&quot;00471D6C&quot;/&gt;&lt;wsp:rsid wsp:val=&quot;00471E47&quot;/&gt;&lt;wsp:rsid wsp:val=&quot;00471FC5&quot;/&gt;&lt;wsp:rsid wsp:val=&quot;00472074&quot;/&gt;&lt;wsp:rsid wsp:val=&quot;00472AEE&quot;/&gt;&lt;wsp:rsid wsp:val=&quot;00472B3C&quot;/&gt;&lt;wsp:rsid wsp:val=&quot;00472B9D&quot;/&gt;&lt;wsp:rsid wsp:val=&quot;00472D20&quot;/&gt;&lt;wsp:rsid wsp:val=&quot;004737B3&quot;/&gt;&lt;wsp:rsid wsp:val=&quot;004738E4&quot;/&gt;&lt;wsp:rsid wsp:val=&quot;004738E5&quot;/&gt;&lt;wsp:rsid wsp:val=&quot;00473F1D&quot;/&gt;&lt;wsp:rsid wsp:val=&quot;004740CB&quot;/&gt;&lt;wsp:rsid wsp:val=&quot;004743A8&quot;/&gt;&lt;wsp:rsid wsp:val=&quot;0047459B&quot;/&gt;&lt;wsp:rsid wsp:val=&quot;0047466C&quot;/&gt;&lt;wsp:rsid wsp:val=&quot;00474928&quot;/&gt;&lt;wsp:rsid wsp:val=&quot;0047513F&quot;/&gt;&lt;wsp:rsid wsp:val=&quot;0047556E&quot;/&gt;&lt;wsp:rsid wsp:val=&quot;0047565B&quot;/&gt;&lt;wsp:rsid wsp:val=&quot;004757A8&quot;/&gt;&lt;wsp:rsid wsp:val=&quot;0047598B&quot;/&gt;&lt;wsp:rsid wsp:val=&quot;00475DAC&quot;/&gt;&lt;wsp:rsid wsp:val=&quot;004761DC&quot;/&gt;&lt;wsp:rsid wsp:val=&quot;0047633A&quot;/&gt;&lt;wsp:rsid wsp:val=&quot;0047634B&quot;/&gt;&lt;wsp:rsid wsp:val=&quot;00476428&quot;/&gt;&lt;wsp:rsid wsp:val=&quot;00476588&quot;/&gt;&lt;wsp:rsid wsp:val=&quot;00476831&quot;/&gt;&lt;wsp:rsid wsp:val=&quot;00476EBB&quot;/&gt;&lt;wsp:rsid wsp:val=&quot;0047711B&quot;/&gt;&lt;wsp:rsid wsp:val=&quot;00477336&quot;/&gt;&lt;wsp:rsid wsp:val=&quot;00477AA4&quot;/&gt;&lt;wsp:rsid wsp:val=&quot;00477C62&quot;/&gt;&lt;wsp:rsid wsp:val=&quot;00477E82&quot;/&gt;&lt;wsp:rsid wsp:val=&quot;00477FB2&quot;/&gt;&lt;wsp:rsid wsp:val=&quot;0048004E&quot;/&gt;&lt;wsp:rsid wsp:val=&quot;00480129&quot;/&gt;&lt;wsp:rsid wsp:val=&quot;00480575&quot;/&gt;&lt;wsp:rsid wsp:val=&quot;00480F11&quot;/&gt;&lt;wsp:rsid wsp:val=&quot;00482083&quot;/&gt;&lt;wsp:rsid wsp:val=&quot;004823C1&quot;/&gt;&lt;wsp:rsid wsp:val=&quot;004823D0&quot;/&gt;&lt;wsp:rsid wsp:val=&quot;004825D7&quot;/&gt;&lt;wsp:rsid wsp:val=&quot;004831BB&quot;/&gt;&lt;wsp:rsid wsp:val=&quot;00483290&quot;/&gt;&lt;wsp:rsid wsp:val=&quot;004834B7&quot;/&gt;&lt;wsp:rsid wsp:val=&quot;00483841&quot;/&gt;&lt;wsp:rsid wsp:val=&quot;00483914&quot;/&gt;&lt;wsp:rsid wsp:val=&quot;00483C6F&quot;/&gt;&lt;wsp:rsid wsp:val=&quot;00484263&quot;/&gt;&lt;wsp:rsid wsp:val=&quot;004843B5&quot;/&gt;&lt;wsp:rsid wsp:val=&quot;004844FC&quot;/&gt;&lt;wsp:rsid wsp:val=&quot;00484FDF&quot;/&gt;&lt;wsp:rsid wsp:val=&quot;004854A5&quot;/&gt;&lt;wsp:rsid wsp:val=&quot;004855F1&quot;/&gt;&lt;wsp:rsid wsp:val=&quot;00485A07&quot;/&gt;&lt;wsp:rsid wsp:val=&quot;00485A73&quot;/&gt;&lt;wsp:rsid wsp:val=&quot;00485D62&quot;/&gt;&lt;wsp:rsid wsp:val=&quot;00485D6D&quot;/&gt;&lt;wsp:rsid wsp:val=&quot;00485EDD&quot;/&gt;&lt;wsp:rsid wsp:val=&quot;00486243&quot;/&gt;&lt;wsp:rsid wsp:val=&quot;00486319&quot;/&gt;&lt;wsp:rsid wsp:val=&quot;004864A6&quot;/&gt;&lt;wsp:rsid wsp:val=&quot;004865EE&quot;/&gt;&lt;wsp:rsid wsp:val=&quot;004868A0&quot;/&gt;&lt;wsp:rsid wsp:val=&quot;00486B0E&quot;/&gt;&lt;wsp:rsid wsp:val=&quot;00487952&quot;/&gt;&lt;wsp:rsid wsp:val=&quot;00487F97&quot;/&gt;&lt;wsp:rsid wsp:val=&quot;00490235&quot;/&gt;&lt;wsp:rsid wsp:val=&quot;004904F5&quot;/&gt;&lt;wsp:rsid wsp:val=&quot;00490575&quot;/&gt;&lt;wsp:rsid wsp:val=&quot;0049105E&quot;/&gt;&lt;wsp:rsid wsp:val=&quot;0049114B&quot;/&gt;&lt;wsp:rsid wsp:val=&quot;004913BD&quot;/&gt;&lt;wsp:rsid wsp:val=&quot;00491B51&quot;/&gt;&lt;wsp:rsid wsp:val=&quot;0049254E&quot;/&gt;&lt;wsp:rsid wsp:val=&quot;00492B5E&quot;/&gt;&lt;wsp:rsid wsp:val=&quot;00492B75&quot;/&gt;&lt;wsp:rsid wsp:val=&quot;00492BDE&quot;/&gt;&lt;wsp:rsid wsp:val=&quot;00493194&quot;/&gt;&lt;wsp:rsid wsp:val=&quot;004933E0&quot;/&gt;&lt;wsp:rsid wsp:val=&quot;0049407C&quot;/&gt;&lt;wsp:rsid wsp:val=&quot;004947BD&quot;/&gt;&lt;wsp:rsid wsp:val=&quot;004948E4&quot;/&gt;&lt;wsp:rsid wsp:val=&quot;00494D55&quot;/&gt;&lt;wsp:rsid wsp:val=&quot;004953A7&quot;/&gt;&lt;wsp:rsid wsp:val=&quot;00495729&quot;/&gt;&lt;wsp:rsid wsp:val=&quot;00495C08&quot;/&gt;&lt;wsp:rsid wsp:val=&quot;00495C16&quot;/&gt;&lt;wsp:rsid wsp:val=&quot;00495EDB&quot;/&gt;&lt;wsp:rsid wsp:val=&quot;00495FEA&quot;/&gt;&lt;wsp:rsid wsp:val=&quot;004963FD&quot;/&gt;&lt;wsp:rsid wsp:val=&quot;004975DF&quot;/&gt;&lt;wsp:rsid wsp:val=&quot;004976A3&quot;/&gt;&lt;wsp:rsid wsp:val=&quot;00497F41&quot;/&gt;&lt;wsp:rsid wsp:val=&quot;004A0140&quot;/&gt;&lt;wsp:rsid wsp:val=&quot;004A0471&quot;/&gt;&lt;wsp:rsid wsp:val=&quot;004A09B6&quot;/&gt;&lt;wsp:rsid wsp:val=&quot;004A12A2&quot;/&gt;&lt;wsp:rsid wsp:val=&quot;004A1350&quot;/&gt;&lt;wsp:rsid wsp:val=&quot;004A138A&quot;/&gt;&lt;wsp:rsid wsp:val=&quot;004A1B0F&quot;/&gt;&lt;wsp:rsid wsp:val=&quot;004A1CF9&quot;/&gt;&lt;wsp:rsid wsp:val=&quot;004A1FE1&quot;/&gt;&lt;wsp:rsid wsp:val=&quot;004A2013&quot;/&gt;&lt;wsp:rsid wsp:val=&quot;004A228C&quot;/&gt;&lt;wsp:rsid wsp:val=&quot;004A29C1&quot;/&gt;&lt;wsp:rsid wsp:val=&quot;004A29F7&quot;/&gt;&lt;wsp:rsid wsp:val=&quot;004A2FEB&quot;/&gt;&lt;wsp:rsid wsp:val=&quot;004A3467&quot;/&gt;&lt;wsp:rsid wsp:val=&quot;004A34BC&quot;/&gt;&lt;wsp:rsid wsp:val=&quot;004A4183&quot;/&gt;&lt;wsp:rsid wsp:val=&quot;004A460D&quot;/&gt;&lt;wsp:rsid wsp:val=&quot;004A4913&quot;/&gt;&lt;wsp:rsid wsp:val=&quot;004A4985&quot;/&gt;&lt;wsp:rsid wsp:val=&quot;004A49CD&quot;/&gt;&lt;wsp:rsid wsp:val=&quot;004A4D4D&quot;/&gt;&lt;wsp:rsid wsp:val=&quot;004A526B&quot;/&gt;&lt;wsp:rsid wsp:val=&quot;004A52FC&quot;/&gt;&lt;wsp:rsid wsp:val=&quot;004A535F&quot;/&gt;&lt;wsp:rsid wsp:val=&quot;004A55B8&quot;/&gt;&lt;wsp:rsid wsp:val=&quot;004A5826&quot;/&gt;&lt;wsp:rsid wsp:val=&quot;004A6463&quot;/&gt;&lt;wsp:rsid wsp:val=&quot;004A659B&quot;/&gt;&lt;wsp:rsid wsp:val=&quot;004A65E6&quot;/&gt;&lt;wsp:rsid wsp:val=&quot;004A6695&quot;/&gt;&lt;wsp:rsid wsp:val=&quot;004A671E&quot;/&gt;&lt;wsp:rsid wsp:val=&quot;004A673C&quot;/&gt;&lt;wsp:rsid wsp:val=&quot;004A6C23&quot;/&gt;&lt;wsp:rsid wsp:val=&quot;004A7471&quot;/&gt;&lt;wsp:rsid wsp:val=&quot;004A77E1&quot;/&gt;&lt;wsp:rsid wsp:val=&quot;004A783D&quot;/&gt;&lt;wsp:rsid wsp:val=&quot;004B0247&quot;/&gt;&lt;wsp:rsid wsp:val=&quot;004B064C&quot;/&gt;&lt;wsp:rsid wsp:val=&quot;004B1565&quot;/&gt;&lt;wsp:rsid wsp:val=&quot;004B1868&quot;/&gt;&lt;wsp:rsid wsp:val=&quot;004B1AFA&quot;/&gt;&lt;wsp:rsid wsp:val=&quot;004B204C&quot;/&gt;&lt;wsp:rsid wsp:val=&quot;004B208C&quot;/&gt;&lt;wsp:rsid wsp:val=&quot;004B2265&quot;/&gt;&lt;wsp:rsid wsp:val=&quot;004B2807&quot;/&gt;&lt;wsp:rsid wsp:val=&quot;004B2918&quot;/&gt;&lt;wsp:rsid wsp:val=&quot;004B3418&quot;/&gt;&lt;wsp:rsid wsp:val=&quot;004B3574&quot;/&gt;&lt;wsp:rsid wsp:val=&quot;004B3864&quot;/&gt;&lt;wsp:rsid wsp:val=&quot;004B3D7B&quot;/&gt;&lt;wsp:rsid wsp:val=&quot;004B3DD6&quot;/&gt;&lt;wsp:rsid wsp:val=&quot;004B3FD2&quot;/&gt;&lt;wsp:rsid wsp:val=&quot;004B40A6&quot;/&gt;&lt;wsp:rsid wsp:val=&quot;004B4A4D&quot;/&gt;&lt;wsp:rsid wsp:val=&quot;004B4D89&quot;/&gt;&lt;wsp:rsid wsp:val=&quot;004B4EBD&quot;/&gt;&lt;wsp:rsid wsp:val=&quot;004B54E6&quot;/&gt;&lt;wsp:rsid wsp:val=&quot;004B5828&quot;/&gt;&lt;wsp:rsid wsp:val=&quot;004B5884&quot;/&gt;&lt;wsp:rsid wsp:val=&quot;004B5B64&quot;/&gt;&lt;wsp:rsid wsp:val=&quot;004B5B9E&quot;/&gt;&lt;wsp:rsid wsp:val=&quot;004B5CD7&quot;/&gt;&lt;wsp:rsid wsp:val=&quot;004B5D77&quot;/&gt;&lt;wsp:rsid wsp:val=&quot;004B6016&quot;/&gt;&lt;wsp:rsid wsp:val=&quot;004B635B&quot;/&gt;&lt;wsp:rsid wsp:val=&quot;004B665D&quot;/&gt;&lt;wsp:rsid wsp:val=&quot;004B68B5&quot;/&gt;&lt;wsp:rsid wsp:val=&quot;004B69F9&quot;/&gt;&lt;wsp:rsid wsp:val=&quot;004B6C92&quot;/&gt;&lt;wsp:rsid wsp:val=&quot;004B6FBE&quot;/&gt;&lt;wsp:rsid wsp:val=&quot;004B7820&quot;/&gt;&lt;wsp:rsid wsp:val=&quot;004B7D4C&quot;/&gt;&lt;wsp:rsid wsp:val=&quot;004C01AC&quot;/&gt;&lt;wsp:rsid wsp:val=&quot;004C09A9&quot;/&gt;&lt;wsp:rsid wsp:val=&quot;004C0B00&quot;/&gt;&lt;wsp:rsid wsp:val=&quot;004C18D7&quot;/&gt;&lt;wsp:rsid wsp:val=&quot;004C1BEF&quot;/&gt;&lt;wsp:rsid wsp:val=&quot;004C1CB1&quot;/&gt;&lt;wsp:rsid wsp:val=&quot;004C23AD&quot;/&gt;&lt;wsp:rsid wsp:val=&quot;004C250D&quot;/&gt;&lt;wsp:rsid wsp:val=&quot;004C25C6&quot;/&gt;&lt;wsp:rsid wsp:val=&quot;004C2D23&quot;/&gt;&lt;wsp:rsid wsp:val=&quot;004C2E11&quot;/&gt;&lt;wsp:rsid wsp:val=&quot;004C32C2&quot;/&gt;&lt;wsp:rsid wsp:val=&quot;004C333E&quot;/&gt;&lt;wsp:rsid wsp:val=&quot;004C34B9&quot;/&gt;&lt;wsp:rsid wsp:val=&quot;004C4198&quot;/&gt;&lt;wsp:rsid wsp:val=&quot;004C4728&quot;/&gt;&lt;wsp:rsid wsp:val=&quot;004C4B4F&quot;/&gt;&lt;wsp:rsid wsp:val=&quot;004C4B62&quot;/&gt;&lt;wsp:rsid wsp:val=&quot;004C4C89&quot;/&gt;&lt;wsp:rsid wsp:val=&quot;004C599B&quot;/&gt;&lt;wsp:rsid wsp:val=&quot;004C5EBE&quot;/&gt;&lt;wsp:rsid wsp:val=&quot;004C6382&quot;/&gt;&lt;wsp:rsid wsp:val=&quot;004C63EC&quot;/&gt;&lt;wsp:rsid wsp:val=&quot;004C6C36&quot;/&gt;&lt;wsp:rsid wsp:val=&quot;004C6F21&quot;/&gt;&lt;wsp:rsid wsp:val=&quot;004C71AA&quot;/&gt;&lt;wsp:rsid wsp:val=&quot;004C7984&quot;/&gt;&lt;wsp:rsid wsp:val=&quot;004C7A1E&quot;/&gt;&lt;wsp:rsid wsp:val=&quot;004D03BC&quot;/&gt;&lt;wsp:rsid wsp:val=&quot;004D071E&quot;/&gt;&lt;wsp:rsid wsp:val=&quot;004D0B5C&quot;/&gt;&lt;wsp:rsid wsp:val=&quot;004D0D8C&quot;/&gt;&lt;wsp:rsid wsp:val=&quot;004D0EED&quot;/&gt;&lt;wsp:rsid wsp:val=&quot;004D0F83&quot;/&gt;&lt;wsp:rsid wsp:val=&quot;004D10C5&quot;/&gt;&lt;wsp:rsid wsp:val=&quot;004D1891&quot;/&gt;&lt;wsp:rsid wsp:val=&quot;004D1ABA&quot;/&gt;&lt;wsp:rsid wsp:val=&quot;004D1BF0&quot;/&gt;&lt;wsp:rsid wsp:val=&quot;004D1C79&quot;/&gt;&lt;wsp:rsid wsp:val=&quot;004D21E0&quot;/&gt;&lt;wsp:rsid wsp:val=&quot;004D2573&quot;/&gt;&lt;wsp:rsid wsp:val=&quot;004D25A3&quot;/&gt;&lt;wsp:rsid wsp:val=&quot;004D275D&quot;/&gt;&lt;wsp:rsid wsp:val=&quot;004D2765&quot;/&gt;&lt;wsp:rsid wsp:val=&quot;004D277D&quot;/&gt;&lt;wsp:rsid wsp:val=&quot;004D2F4E&quot;/&gt;&lt;wsp:rsid wsp:val=&quot;004D30BB&quot;/&gt;&lt;wsp:rsid wsp:val=&quot;004D33EA&quot;/&gt;&lt;wsp:rsid wsp:val=&quot;004D39E7&quot;/&gt;&lt;wsp:rsid wsp:val=&quot;004D3E26&quot;/&gt;&lt;wsp:rsid wsp:val=&quot;004D3EE1&quot;/&gt;&lt;wsp:rsid wsp:val=&quot;004D3FC0&quot;/&gt;&lt;wsp:rsid wsp:val=&quot;004D4395&quot;/&gt;&lt;wsp:rsid wsp:val=&quot;004D444D&quot;/&gt;&lt;wsp:rsid wsp:val=&quot;004D47AB&quot;/&gt;&lt;wsp:rsid wsp:val=&quot;004D4AC7&quot;/&gt;&lt;wsp:rsid wsp:val=&quot;004D4D68&quot;/&gt;&lt;wsp:rsid wsp:val=&quot;004D5020&quot;/&gt;&lt;wsp:rsid wsp:val=&quot;004D5071&quot;/&gt;&lt;wsp:rsid wsp:val=&quot;004D5804&quot;/&gt;&lt;wsp:rsid wsp:val=&quot;004D5A8D&quot;/&gt;&lt;wsp:rsid wsp:val=&quot;004D5F5C&quot;/&gt;&lt;wsp:rsid wsp:val=&quot;004D5FD4&quot;/&gt;&lt;wsp:rsid wsp:val=&quot;004D6295&quot;/&gt;&lt;wsp:rsid wsp:val=&quot;004D67A6&quot;/&gt;&lt;wsp:rsid wsp:val=&quot;004D77DE&quot;/&gt;&lt;wsp:rsid wsp:val=&quot;004D77FD&quot;/&gt;&lt;wsp:rsid wsp:val=&quot;004D7C39&quot;/&gt;&lt;wsp:rsid wsp:val=&quot;004D7C90&quot;/&gt;&lt;wsp:rsid wsp:val=&quot;004E0426&quot;/&gt;&lt;wsp:rsid wsp:val=&quot;004E05BD&quot;/&gt;&lt;wsp:rsid wsp:val=&quot;004E083A&quot;/&gt;&lt;wsp:rsid wsp:val=&quot;004E0C40&quot;/&gt;&lt;wsp:rsid wsp:val=&quot;004E0DE8&quot;/&gt;&lt;wsp:rsid wsp:val=&quot;004E0F77&quot;/&gt;&lt;wsp:rsid wsp:val=&quot;004E0FF8&quot;/&gt;&lt;wsp:rsid wsp:val=&quot;004E1812&quot;/&gt;&lt;wsp:rsid wsp:val=&quot;004E23F3&quot;/&gt;&lt;wsp:rsid wsp:val=&quot;004E2C7E&quot;/&gt;&lt;wsp:rsid wsp:val=&quot;004E2D66&quot;/&gt;&lt;wsp:rsid wsp:val=&quot;004E2E3E&quot;/&gt;&lt;wsp:rsid wsp:val=&quot;004E335C&quot;/&gt;&lt;wsp:rsid wsp:val=&quot;004E3A87&quot;/&gt;&lt;wsp:rsid wsp:val=&quot;004E3B92&quot;/&gt;&lt;wsp:rsid wsp:val=&quot;004E3D74&quot;/&gt;&lt;wsp:rsid wsp:val=&quot;004E3DDC&quot;/&gt;&lt;wsp:rsid wsp:val=&quot;004E3E91&quot;/&gt;&lt;wsp:rsid wsp:val=&quot;004E4004&quot;/&gt;&lt;wsp:rsid wsp:val=&quot;004E42DB&quot;/&gt;&lt;wsp:rsid wsp:val=&quot;004E43EC&quot;/&gt;&lt;wsp:rsid wsp:val=&quot;004E499A&quot;/&gt;&lt;wsp:rsid wsp:val=&quot;004E4CBB&quot;/&gt;&lt;wsp:rsid wsp:val=&quot;004E4D99&quot;/&gt;&lt;wsp:rsid wsp:val=&quot;004E53BC&quot;/&gt;&lt;wsp:rsid wsp:val=&quot;004E5962&quot;/&gt;&lt;wsp:rsid wsp:val=&quot;004E599D&quot;/&gt;&lt;wsp:rsid wsp:val=&quot;004E59C9&quot;/&gt;&lt;wsp:rsid wsp:val=&quot;004E5BD3&quot;/&gt;&lt;wsp:rsid wsp:val=&quot;004E5D2E&quot;/&gt;&lt;wsp:rsid wsp:val=&quot;004E6536&quot;/&gt;&lt;wsp:rsid wsp:val=&quot;004E6641&quot;/&gt;&lt;wsp:rsid wsp:val=&quot;004E73C7&quot;/&gt;&lt;wsp:rsid wsp:val=&quot;004E7C33&quot;/&gt;&lt;wsp:rsid wsp:val=&quot;004E7D31&quot;/&gt;&lt;wsp:rsid wsp:val=&quot;004F06A5&quot;/&gt;&lt;wsp:rsid wsp:val=&quot;004F079A&quot;/&gt;&lt;wsp:rsid wsp:val=&quot;004F0CB5&quot;/&gt;&lt;wsp:rsid wsp:val=&quot;004F0D68&quot;/&gt;&lt;wsp:rsid wsp:val=&quot;004F0FA8&quot;/&gt;&lt;wsp:rsid wsp:val=&quot;004F1289&quot;/&gt;&lt;wsp:rsid wsp:val=&quot;004F12F9&quot;/&gt;&lt;wsp:rsid wsp:val=&quot;004F13D4&quot;/&gt;&lt;wsp:rsid wsp:val=&quot;004F1476&quot;/&gt;&lt;wsp:rsid wsp:val=&quot;004F1559&quot;/&gt;&lt;wsp:rsid wsp:val=&quot;004F185C&quot;/&gt;&lt;wsp:rsid wsp:val=&quot;004F1E33&quot;/&gt;&lt;wsp:rsid wsp:val=&quot;004F1F62&quot;/&gt;&lt;wsp:rsid wsp:val=&quot;004F2016&quot;/&gt;&lt;wsp:rsid wsp:val=&quot;004F21E8&quot;/&gt;&lt;wsp:rsid wsp:val=&quot;004F2253&quot;/&gt;&lt;wsp:rsid wsp:val=&quot;004F2456&quot;/&gt;&lt;wsp:rsid wsp:val=&quot;004F2B1A&quot;/&gt;&lt;wsp:rsid wsp:val=&quot;004F2C0A&quot;/&gt;&lt;wsp:rsid wsp:val=&quot;004F2CEB&quot;/&gt;&lt;wsp:rsid wsp:val=&quot;004F2E19&quot;/&gt;&lt;wsp:rsid wsp:val=&quot;004F2F6E&quot;/&gt;&lt;wsp:rsid wsp:val=&quot;004F3332&quot;/&gt;&lt;wsp:rsid wsp:val=&quot;004F35E4&quot;/&gt;&lt;wsp:rsid wsp:val=&quot;004F37F2&quot;/&gt;&lt;wsp:rsid wsp:val=&quot;004F3BD5&quot;/&gt;&lt;wsp:rsid wsp:val=&quot;004F3DF1&quot;/&gt;&lt;wsp:rsid wsp:val=&quot;004F3E04&quot;/&gt;&lt;wsp:rsid wsp:val=&quot;004F3EA2&quot;/&gt;&lt;wsp:rsid wsp:val=&quot;004F4149&quot;/&gt;&lt;wsp:rsid wsp:val=&quot;004F459E&quot;/&gt;&lt;wsp:rsid wsp:val=&quot;004F48F8&quot;/&gt;&lt;wsp:rsid wsp:val=&quot;004F493C&quot;/&gt;&lt;wsp:rsid wsp:val=&quot;004F499C&quot;/&gt;&lt;wsp:rsid wsp:val=&quot;004F49A5&quot;/&gt;&lt;wsp:rsid wsp:val=&quot;004F49BE&quot;/&gt;&lt;wsp:rsid wsp:val=&quot;004F4AD3&quot;/&gt;&lt;wsp:rsid wsp:val=&quot;004F4C62&quot;/&gt;&lt;wsp:rsid wsp:val=&quot;004F4E5C&quot;/&gt;&lt;wsp:rsid wsp:val=&quot;004F4FE3&quot;/&gt;&lt;wsp:rsid wsp:val=&quot;004F50D5&quot;/&gt;&lt;wsp:rsid wsp:val=&quot;004F558C&quot;/&gt;&lt;wsp:rsid wsp:val=&quot;004F570C&quot;/&gt;&lt;wsp:rsid wsp:val=&quot;004F5743&quot;/&gt;&lt;wsp:rsid wsp:val=&quot;004F584B&quot;/&gt;&lt;wsp:rsid wsp:val=&quot;004F5EA8&quot;/&gt;&lt;wsp:rsid wsp:val=&quot;004F5F4E&quot;/&gt;&lt;wsp:rsid wsp:val=&quot;004F610E&quot;/&gt;&lt;wsp:rsid wsp:val=&quot;004F614C&quot;/&gt;&lt;wsp:rsid wsp:val=&quot;004F640C&quot;/&gt;&lt;wsp:rsid wsp:val=&quot;004F648F&quot;/&gt;&lt;wsp:rsid wsp:val=&quot;004F661A&quot;/&gt;&lt;wsp:rsid wsp:val=&quot;004F66B1&quot;/&gt;&lt;wsp:rsid wsp:val=&quot;004F6921&quot;/&gt;&lt;wsp:rsid wsp:val=&quot;004F6A7F&quot;/&gt;&lt;wsp:rsid wsp:val=&quot;004F7E50&quot;/&gt;&lt;wsp:rsid wsp:val=&quot;00500024&quot;/&gt;&lt;wsp:rsid wsp:val=&quot;00500107&quot;/&gt;&lt;wsp:rsid wsp:val=&quot;005009D2&quot;/&gt;&lt;wsp:rsid wsp:val=&quot;00500BD8&quot;/&gt;&lt;wsp:rsid wsp:val=&quot;00501096&quot;/&gt;&lt;wsp:rsid wsp:val=&quot;00501673&quot;/&gt;&lt;wsp:rsid wsp:val=&quot;00501987&quot;/&gt;&lt;wsp:rsid wsp:val=&quot;00501B01&quot;/&gt;&lt;wsp:rsid wsp:val=&quot;00501DCB&quot;/&gt;&lt;wsp:rsid wsp:val=&quot;00502AD0&quot;/&gt;&lt;wsp:rsid wsp:val=&quot;00502BB3&quot;/&gt;&lt;wsp:rsid wsp:val=&quot;00502C3F&quot;/&gt;&lt;wsp:rsid wsp:val=&quot;005035A1&quot;/&gt;&lt;wsp:rsid wsp:val=&quot;00503842&quot;/&gt;&lt;wsp:rsid wsp:val=&quot;005044D5&quot;/&gt;&lt;wsp:rsid wsp:val=&quot;00504A51&quot;/&gt;&lt;wsp:rsid wsp:val=&quot;005051ED&quot;/&gt;&lt;wsp:rsid wsp:val=&quot;00505FBE&quot;/&gt;&lt;wsp:rsid wsp:val=&quot;00506378&quot;/&gt;&lt;wsp:rsid wsp:val=&quot;00506592&quot;/&gt;&lt;wsp:rsid wsp:val=&quot;00506747&quot;/&gt;&lt;wsp:rsid wsp:val=&quot;0050687B&quot;/&gt;&lt;wsp:rsid wsp:val=&quot;005069F5&quot;/&gt;&lt;wsp:rsid wsp:val=&quot;00506FD2&quot;/&gt;&lt;wsp:rsid wsp:val=&quot;00507179&quot;/&gt;&lt;wsp:rsid wsp:val=&quot;005072F6&quot;/&gt;&lt;wsp:rsid wsp:val=&quot;00507381&quot;/&gt;&lt;wsp:rsid wsp:val=&quot;0050773C&quot;/&gt;&lt;wsp:rsid wsp:val=&quot;00507779&quot;/&gt;&lt;wsp:rsid wsp:val=&quot;00507D35&quot;/&gt;&lt;wsp:rsid wsp:val=&quot;00507F4E&quot;/&gt;&lt;wsp:rsid wsp:val=&quot;00507F57&quot;/&gt;&lt;wsp:rsid wsp:val=&quot;00510163&quot;/&gt;&lt;wsp:rsid wsp:val=&quot;00510930&quot;/&gt;&lt;wsp:rsid wsp:val=&quot;00510E58&quot;/&gt;&lt;wsp:rsid wsp:val=&quot;00511235&quot;/&gt;&lt;wsp:rsid wsp:val=&quot;00511361&quot;/&gt;&lt;wsp:rsid wsp:val=&quot;00511736&quot;/&gt;&lt;wsp:rsid wsp:val=&quot;0051182C&quot;/&gt;&lt;wsp:rsid wsp:val=&quot;0051189B&quot;/&gt;&lt;wsp:rsid wsp:val=&quot;00512066&quot;/&gt;&lt;wsp:rsid wsp:val=&quot;005120DF&quot;/&gt;&lt;wsp:rsid wsp:val=&quot;0051292A&quot;/&gt;&lt;wsp:rsid wsp:val=&quot;00513042&quot;/&gt;&lt;wsp:rsid wsp:val=&quot;00513388&quot;/&gt;&lt;wsp:rsid wsp:val=&quot;0051363C&quot;/&gt;&lt;wsp:rsid wsp:val=&quot;0051372D&quot;/&gt;&lt;wsp:rsid wsp:val=&quot;0051374C&quot;/&gt;&lt;wsp:rsid wsp:val=&quot;00513BE8&quot;/&gt;&lt;wsp:rsid wsp:val=&quot;00513C79&quot;/&gt;&lt;wsp:rsid wsp:val=&quot;00513DBA&quot;/&gt;&lt;wsp:rsid wsp:val=&quot;00514228&quot;/&gt;&lt;wsp:rsid wsp:val=&quot;00514E5D&quot;/&gt;&lt;wsp:rsid wsp:val=&quot;005151F6&quot;/&gt;&lt;wsp:rsid wsp:val=&quot;005154BA&quot;/&gt;&lt;wsp:rsid wsp:val=&quot;00515673&quot;/&gt;&lt;wsp:rsid wsp:val=&quot;005158CD&quot;/&gt;&lt;wsp:rsid wsp:val=&quot;00515A5C&quot;/&gt;&lt;wsp:rsid wsp:val=&quot;00516006&quot;/&gt;&lt;wsp:rsid wsp:val=&quot;0051654E&quot;/&gt;&lt;wsp:rsid wsp:val=&quot;00516F54&quot;/&gt;&lt;wsp:rsid wsp:val=&quot;00516FB9&quot;/&gt;&lt;wsp:rsid wsp:val=&quot;00517056&quot;/&gt;&lt;wsp:rsid wsp:val=&quot;0051738D&quot;/&gt;&lt;wsp:rsid wsp:val=&quot;005177AA&quot;/&gt;&lt;wsp:rsid wsp:val=&quot;00517F51&quot;/&gt;&lt;wsp:rsid wsp:val=&quot;00520168&quot;/&gt;&lt;wsp:rsid wsp:val=&quot;00520389&quot;/&gt;&lt;wsp:rsid wsp:val=&quot;005205D4&quot;/&gt;&lt;wsp:rsid wsp:val=&quot;00520884&quot;/&gt;&lt;wsp:rsid wsp:val=&quot;00520F1C&quot;/&gt;&lt;wsp:rsid wsp:val=&quot;005212C4&quot;/&gt;&lt;wsp:rsid wsp:val=&quot;0052132B&quot;/&gt;&lt;wsp:rsid wsp:val=&quot;005217F1&quot;/&gt;&lt;wsp:rsid wsp:val=&quot;00521DC4&quot;/&gt;&lt;wsp:rsid wsp:val=&quot;00521EC4&quot;/&gt;&lt;wsp:rsid wsp:val=&quot;0052253C&quot;/&gt;&lt;wsp:rsid wsp:val=&quot;00522688&quot;/&gt;&lt;wsp:rsid wsp:val=&quot;00522804&quot;/&gt;&lt;wsp:rsid wsp:val=&quot;00522A82&quot;/&gt;&lt;wsp:rsid wsp:val=&quot;00522FB4&quot;/&gt;&lt;wsp:rsid wsp:val=&quot;00523487&quot;/&gt;&lt;wsp:rsid wsp:val=&quot;005238EC&quot;/&gt;&lt;wsp:rsid wsp:val=&quot;00523D71&quot;/&gt;&lt;wsp:rsid wsp:val=&quot;00523DA4&quot;/&gt;&lt;wsp:rsid wsp:val=&quot;00523EED&quot;/&gt;&lt;wsp:rsid wsp:val=&quot;00523FBF&quot;/&gt;&lt;wsp:rsid wsp:val=&quot;0052442B&quot;/&gt;&lt;wsp:rsid wsp:val=&quot;005245AE&quot;/&gt;&lt;wsp:rsid wsp:val=&quot;005245C6&quot;/&gt;&lt;wsp:rsid wsp:val=&quot;0052478D&quot;/&gt;&lt;wsp:rsid wsp:val=&quot;005247D8&quot;/&gt;&lt;wsp:rsid wsp:val=&quot;00524D49&quot;/&gt;&lt;wsp:rsid wsp:val=&quot;005254BF&quot;/&gt;&lt;wsp:rsid wsp:val=&quot;005255AF&quot;/&gt;&lt;wsp:rsid wsp:val=&quot;00525B54&quot;/&gt;&lt;wsp:rsid wsp:val=&quot;00525E90&quot;/&gt;&lt;wsp:rsid wsp:val=&quot;00525FFB&quot;/&gt;&lt;wsp:rsid wsp:val=&quot;005260A9&quot;/&gt;&lt;wsp:rsid wsp:val=&quot;00526109&quot;/&gt;&lt;wsp:rsid wsp:val=&quot;00526E53&quot;/&gt;&lt;wsp:rsid wsp:val=&quot;00526EDD&quot;/&gt;&lt;wsp:rsid wsp:val=&quot;0052703E&quot;/&gt;&lt;wsp:rsid wsp:val=&quot;00527289&quot;/&gt;&lt;wsp:rsid wsp:val=&quot;00527CBA&quot;/&gt;&lt;wsp:rsid wsp:val=&quot;00530412&quot;/&gt;&lt;wsp:rsid wsp:val=&quot;005308A3&quot;/&gt;&lt;wsp:rsid wsp:val=&quot;00530BAD&quot;/&gt;&lt;wsp:rsid wsp:val=&quot;00530D07&quot;/&gt;&lt;wsp:rsid wsp:val=&quot;005314D2&quot;/&gt;&lt;wsp:rsid wsp:val=&quot;00531A24&quot;/&gt;&lt;wsp:rsid wsp:val=&quot;00532160&quot;/&gt;&lt;wsp:rsid wsp:val=&quot;0053238B&quot;/&gt;&lt;wsp:rsid wsp:val=&quot;00532486&quot;/&gt;&lt;wsp:rsid wsp:val=&quot;005324E5&quot;/&gt;&lt;wsp:rsid wsp:val=&quot;005329A8&quot;/&gt;&lt;wsp:rsid wsp:val=&quot;00532B2A&quot;/&gt;&lt;wsp:rsid wsp:val=&quot;00532F0D&quot;/&gt;&lt;wsp:rsid wsp:val=&quot;0053335A&quot;/&gt;&lt;wsp:rsid wsp:val=&quot;005335C8&quot;/&gt;&lt;wsp:rsid wsp:val=&quot;00533850&quot;/&gt;&lt;wsp:rsid wsp:val=&quot;00533D2B&quot;/&gt;&lt;wsp:rsid wsp:val=&quot;00533E8C&quot;/&gt;&lt;wsp:rsid wsp:val=&quot;00533F94&quot;/&gt;&lt;wsp:rsid wsp:val=&quot;0053419B&quot;/&gt;&lt;wsp:rsid wsp:val=&quot;005348E7&quot;/&gt;&lt;wsp:rsid wsp:val=&quot;00534921&quot;/&gt;&lt;wsp:rsid wsp:val=&quot;00535204&quot;/&gt;&lt;wsp:rsid wsp:val=&quot;00535364&quot;/&gt;&lt;wsp:rsid wsp:val=&quot;00535D15&quot;/&gt;&lt;wsp:rsid wsp:val=&quot;00535E04&quot;/&gt;&lt;wsp:rsid wsp:val=&quot;005367F3&quot;/&gt;&lt;wsp:rsid wsp:val=&quot;005369FC&quot;/&gt;&lt;wsp:rsid wsp:val=&quot;00536BEA&quot;/&gt;&lt;wsp:rsid wsp:val=&quot;0053739E&quot;/&gt;&lt;wsp:rsid wsp:val=&quot;00537593&quot;/&gt;&lt;wsp:rsid wsp:val=&quot;005376AC&quot;/&gt;&lt;wsp:rsid wsp:val=&quot;00537A5E&quot;/&gt;&lt;wsp:rsid wsp:val=&quot;005401B7&quot;/&gt;&lt;wsp:rsid wsp:val=&quot;00540586&quot;/&gt;&lt;wsp:rsid wsp:val=&quot;00540626&quot;/&gt;&lt;wsp:rsid wsp:val=&quot;00540BBF&quot;/&gt;&lt;wsp:rsid wsp:val=&quot;00540BE8&quot;/&gt;&lt;wsp:rsid wsp:val=&quot;00540CAE&quot;/&gt;&lt;wsp:rsid wsp:val=&quot;00541043&quot;/&gt;&lt;wsp:rsid wsp:val=&quot;00541503&quot;/&gt;&lt;wsp:rsid wsp:val=&quot;00541761&quot;/&gt;&lt;wsp:rsid wsp:val=&quot;00542050&quot;/&gt;&lt;wsp:rsid wsp:val=&quot;00542548&quot;/&gt;&lt;wsp:rsid wsp:val=&quot;00542876&quot;/&gt;&lt;wsp:rsid wsp:val=&quot;00542B60&quot;/&gt;&lt;wsp:rsid wsp:val=&quot;00542BD8&quot;/&gt;&lt;wsp:rsid wsp:val=&quot;00542D44&quot;/&gt;&lt;wsp:rsid wsp:val=&quot;00542E9C&quot;/&gt;&lt;wsp:rsid wsp:val=&quot;00543459&quot;/&gt;&lt;wsp:rsid wsp:val=&quot;00543D53&quot;/&gt;&lt;wsp:rsid wsp:val=&quot;00544120&quot;/&gt;&lt;wsp:rsid wsp:val=&quot;00544895&quot;/&gt;&lt;wsp:rsid wsp:val=&quot;005449D5&quot;/&gt;&lt;wsp:rsid wsp:val=&quot;00545012&quot;/&gt;&lt;wsp:rsid wsp:val=&quot;005454FC&quot;/&gt;&lt;wsp:rsid wsp:val=&quot;0054566F&quot;/&gt;&lt;wsp:rsid wsp:val=&quot;00545D06&quot;/&gt;&lt;wsp:rsid wsp:val=&quot;005463E8&quot;/&gt;&lt;wsp:rsid wsp:val=&quot;0054694F&quot;/&gt;&lt;wsp:rsid wsp:val=&quot;0054697A&quot;/&gt;&lt;wsp:rsid wsp:val=&quot;00546AFD&quot;/&gt;&lt;wsp:rsid wsp:val=&quot;005470B2&quot;/&gt;&lt;wsp:rsid wsp:val=&quot;005470DB&quot;/&gt;&lt;wsp:rsid wsp:val=&quot;00547106&quot;/&gt;&lt;wsp:rsid wsp:val=&quot;00547118&quot;/&gt;&lt;wsp:rsid wsp:val=&quot;00547431&quot;/&gt;&lt;wsp:rsid wsp:val=&quot;00550205&quot;/&gt;&lt;wsp:rsid wsp:val=&quot;005505DC&quot;/&gt;&lt;wsp:rsid wsp:val=&quot;0055192F&quot;/&gt;&lt;wsp:rsid wsp:val=&quot;00551A6E&quot;/&gt;&lt;wsp:rsid wsp:val=&quot;00551D09&quot;/&gt;&lt;wsp:rsid wsp:val=&quot;00552BB8&quot;/&gt;&lt;wsp:rsid wsp:val=&quot;0055306C&quot;/&gt;&lt;wsp:rsid wsp:val=&quot;00553144&quot;/&gt;&lt;wsp:rsid wsp:val=&quot;0055338B&quot;/&gt;&lt;wsp:rsid wsp:val=&quot;00553604&quot;/&gt;&lt;wsp:rsid wsp:val=&quot;0055385F&quot;/&gt;&lt;wsp:rsid wsp:val=&quot;005538D9&quot;/&gt;&lt;wsp:rsid wsp:val=&quot;00553D3E&quot;/&gt;&lt;wsp:rsid wsp:val=&quot;00553EE3&quot;/&gt;&lt;wsp:rsid wsp:val=&quot;00554580&quot;/&gt;&lt;wsp:rsid wsp:val=&quot;00555624&quot;/&gt;&lt;wsp:rsid wsp:val=&quot;00555778&quot;/&gt;&lt;wsp:rsid wsp:val=&quot;00555EC6&quot;/&gt;&lt;wsp:rsid wsp:val=&quot;00555F65&quot;/&gt;&lt;wsp:rsid wsp:val=&quot;00555F66&quot;/&gt;&lt;wsp:rsid wsp:val=&quot;0055620C&quot;/&gt;&lt;wsp:rsid wsp:val=&quot;005568E2&quot;/&gt;&lt;wsp:rsid wsp:val=&quot;0055690E&quot;/&gt;&lt;wsp:rsid wsp:val=&quot;00556A1F&quot;/&gt;&lt;wsp:rsid wsp:val=&quot;00556F2D&quot;/&gt;&lt;wsp:rsid wsp:val=&quot;00557440&quot;/&gt;&lt;wsp:rsid wsp:val=&quot;0055764E&quot;/&gt;&lt;wsp:rsid wsp:val=&quot;0055768F&quot;/&gt;&lt;wsp:rsid wsp:val=&quot;005576C2&quot;/&gt;&lt;wsp:rsid wsp:val=&quot;00557B28&quot;/&gt;&lt;wsp:rsid wsp:val=&quot;00557C49&quot;/&gt;&lt;wsp:rsid wsp:val=&quot;0056031D&quot;/&gt;&lt;wsp:rsid wsp:val=&quot;00560FA8&quot;/&gt;&lt;wsp:rsid wsp:val=&quot;005613BC&quot;/&gt;&lt;wsp:rsid wsp:val=&quot;005615A8&quot;/&gt;&lt;wsp:rsid wsp:val=&quot;00561679&quot;/&gt;&lt;wsp:rsid wsp:val=&quot;00561A9F&quot;/&gt;&lt;wsp:rsid wsp:val=&quot;00561DED&quot;/&gt;&lt;wsp:rsid wsp:val=&quot;0056207D&quot;/&gt;&lt;wsp:rsid wsp:val=&quot;00562272&quot;/&gt;&lt;wsp:rsid wsp:val=&quot;00562A2D&quot;/&gt;&lt;wsp:rsid wsp:val=&quot;00562DC4&quot;/&gt;&lt;wsp:rsid wsp:val=&quot;005636B1&quot;/&gt;&lt;wsp:rsid wsp:val=&quot;0056395C&quot;/&gt;&lt;wsp:rsid wsp:val=&quot;00565155&quot;/&gt;&lt;wsp:rsid wsp:val=&quot;00565317&quot;/&gt;&lt;wsp:rsid wsp:val=&quot;00565367&quot;/&gt;&lt;wsp:rsid wsp:val=&quot;00566368&quot;/&gt;&lt;wsp:rsid wsp:val=&quot;005672F9&quot;/&gt;&lt;wsp:rsid wsp:val=&quot;00567EE4&quot;/&gt;&lt;wsp:rsid wsp:val=&quot;00570032&quot;/&gt;&lt;wsp:rsid wsp:val=&quot;0057047D&quot;/&gt;&lt;wsp:rsid wsp:val=&quot;0057049E&quot;/&gt;&lt;wsp:rsid wsp:val=&quot;00570564&quot;/&gt;&lt;wsp:rsid wsp:val=&quot;00570605&quot;/&gt;&lt;wsp:rsid wsp:val=&quot;005708EC&quot;/&gt;&lt;wsp:rsid wsp:val=&quot;00570F63&quot;/&gt;&lt;wsp:rsid wsp:val=&quot;00571270&quot;/&gt;&lt;wsp:rsid wsp:val=&quot;005713CC&quot;/&gt;&lt;wsp:rsid wsp:val=&quot;00571754&quot;/&gt;&lt;wsp:rsid wsp:val=&quot;0057188B&quot;/&gt;&lt;wsp:rsid wsp:val=&quot;00571BC6&quot;/&gt;&lt;wsp:rsid wsp:val=&quot;00571D1F&quot;/&gt;&lt;wsp:rsid wsp:val=&quot;00571D7A&quot;/&gt;&lt;wsp:rsid wsp:val=&quot;00571E3F&quot;/&gt;&lt;wsp:rsid wsp:val=&quot;00571E5F&quot;/&gt;&lt;wsp:rsid wsp:val=&quot;00571F49&quot;/&gt;&lt;wsp:rsid wsp:val=&quot;00572056&quot;/&gt;&lt;wsp:rsid wsp:val=&quot;005723B6&quot;/&gt;&lt;wsp:rsid wsp:val=&quot;00572832&quot;/&gt;&lt;wsp:rsid wsp:val=&quot;00572B81&quot;/&gt;&lt;wsp:rsid wsp:val=&quot;00572F15&quot;/&gt;&lt;wsp:rsid wsp:val=&quot;00573188&quot;/&gt;&lt;wsp:rsid wsp:val=&quot;005732BD&quot;/&gt;&lt;wsp:rsid wsp:val=&quot;005732EA&quot;/&gt;&lt;wsp:rsid wsp:val=&quot;00573331&quot;/&gt;&lt;wsp:rsid wsp:val=&quot;005739FB&quot;/&gt;&lt;wsp:rsid wsp:val=&quot;00573B41&quot;/&gt;&lt;wsp:rsid wsp:val=&quot;00573F1A&quot;/&gt;&lt;wsp:rsid wsp:val=&quot;005745F8&quot;/&gt;&lt;wsp:rsid wsp:val=&quot;0057470C&quot;/&gt;&lt;wsp:rsid wsp:val=&quot;00574866&quot;/&gt;&lt;wsp:rsid wsp:val=&quot;00574B0F&quot;/&gt;&lt;wsp:rsid wsp:val=&quot;00574EE5&quot;/&gt;&lt;wsp:rsid wsp:val=&quot;0057658C&quot;/&gt;&lt;wsp:rsid wsp:val=&quot;00576ACB&quot;/&gt;&lt;wsp:rsid wsp:val=&quot;00576BF4&quot;/&gt;&lt;wsp:rsid wsp:val=&quot;00576E03&quot;/&gt;&lt;wsp:rsid wsp:val=&quot;005770F1&quot;/&gt;&lt;wsp:rsid wsp:val=&quot;0057714E&quot;/&gt;&lt;wsp:rsid wsp:val=&quot;00577559&quot;/&gt;&lt;wsp:rsid wsp:val=&quot;00577699&quot;/&gt;&lt;wsp:rsid wsp:val=&quot;00577EBD&quot;/&gt;&lt;wsp:rsid wsp:val=&quot;00577F10&quot;/&gt;&lt;wsp:rsid wsp:val=&quot;00580790&quot;/&gt;&lt;wsp:rsid wsp:val=&quot;00581446&quot;/&gt;&lt;wsp:rsid wsp:val=&quot;00581A52&quot;/&gt;&lt;wsp:rsid wsp:val=&quot;00581B3D&quot;/&gt;&lt;wsp:rsid wsp:val=&quot;00581EC4&quot;/&gt;&lt;wsp:rsid wsp:val=&quot;00582109&quot;/&gt;&lt;wsp:rsid wsp:val=&quot;00582153&quot;/&gt;&lt;wsp:rsid wsp:val=&quot;005824B7&quot;/&gt;&lt;wsp:rsid wsp:val=&quot;00582F4D&quot;/&gt;&lt;wsp:rsid wsp:val=&quot;00582FF3&quot;/&gt;&lt;wsp:rsid wsp:val=&quot;00583296&quot;/&gt;&lt;wsp:rsid wsp:val=&quot;0058336C&quot;/&gt;&lt;wsp:rsid wsp:val=&quot;005839B5&quot;/&gt;&lt;wsp:rsid wsp:val=&quot;005839C0&quot;/&gt;&lt;wsp:rsid wsp:val=&quot;00583C7E&quot;/&gt;&lt;wsp:rsid wsp:val=&quot;005842BF&quot;/&gt;&lt;wsp:rsid wsp:val=&quot;005845BE&quot;/&gt;&lt;wsp:rsid wsp:val=&quot;005847DF&quot;/&gt;&lt;wsp:rsid wsp:val=&quot;00584A10&quot;/&gt;&lt;wsp:rsid wsp:val=&quot;00584EB7&quot;/&gt;&lt;wsp:rsid wsp:val=&quot;0058558C&quot;/&gt;&lt;wsp:rsid wsp:val=&quot;00585592&quot;/&gt;&lt;wsp:rsid wsp:val=&quot;005868A0&quot;/&gt;&lt;wsp:rsid wsp:val=&quot;00586A23&quot;/&gt;&lt;wsp:rsid wsp:val=&quot;0058793B&quot;/&gt;&lt;wsp:rsid wsp:val=&quot;0059029B&quot;/&gt;&lt;wsp:rsid wsp:val=&quot;005902CD&quot;/&gt;&lt;wsp:rsid wsp:val=&quot;00590911&quot;/&gt;&lt;wsp:rsid wsp:val=&quot;00590AE1&quot;/&gt;&lt;wsp:rsid wsp:val=&quot;00590BAF&quot;/&gt;&lt;wsp:rsid wsp:val=&quot;00590BB7&quot;/&gt;&lt;wsp:rsid wsp:val=&quot;00590E01&quot;/&gt;&lt;wsp:rsid wsp:val=&quot;00591205&quot;/&gt;&lt;wsp:rsid wsp:val=&quot;005912F3&quot;/&gt;&lt;wsp:rsid wsp:val=&quot;005916F8&quot;/&gt;&lt;wsp:rsid wsp:val=&quot;005919FD&quot;/&gt;&lt;wsp:rsid wsp:val=&quot;00591DF6&quot;/&gt;&lt;wsp:rsid wsp:val=&quot;00591DFA&quot;/&gt;&lt;wsp:rsid wsp:val=&quot;00591F1A&quot;/&gt;&lt;wsp:rsid wsp:val=&quot;00591F7F&quot;/&gt;&lt;wsp:rsid wsp:val=&quot;00592164&quot;/&gt;&lt;wsp:rsid wsp:val=&quot;00592648&quot;/&gt;&lt;wsp:rsid wsp:val=&quot;005926E1&quot;/&gt;&lt;wsp:rsid wsp:val=&quot;005928D4&quot;/&gt;&lt;wsp:rsid wsp:val=&quot;00592A64&quot;/&gt;&lt;wsp:rsid wsp:val=&quot;00592AF3&quot;/&gt;&lt;wsp:rsid wsp:val=&quot;00592C7B&quot;/&gt;&lt;wsp:rsid wsp:val=&quot;00592DD6&quot;/&gt;&lt;wsp:rsid wsp:val=&quot;00592E26&quot;/&gt;&lt;wsp:rsid wsp:val=&quot;00593031&quot;/&gt;&lt;wsp:rsid wsp:val=&quot;005931B9&quot;/&gt;&lt;wsp:rsid wsp:val=&quot;00593609&quot;/&gt;&lt;wsp:rsid wsp:val=&quot;00593CE8&quot;/&gt;&lt;wsp:rsid wsp:val=&quot;00593CE9&quot;/&gt;&lt;wsp:rsid wsp:val=&quot;00593F69&quot;/&gt;&lt;wsp:rsid wsp:val=&quot;00594110&quot;/&gt;&lt;wsp:rsid wsp:val=&quot;00594273&quot;/&gt;&lt;wsp:rsid wsp:val=&quot;00594372&quot;/&gt;&lt;wsp:rsid wsp:val=&quot;00594667&quot;/&gt;&lt;wsp:rsid wsp:val=&quot;00594EBD&quot;/&gt;&lt;wsp:rsid wsp:val=&quot;00595156&quot;/&gt;&lt;wsp:rsid wsp:val=&quot;00595C16&quot;/&gt;&lt;wsp:rsid wsp:val=&quot;00595D5A&quot;/&gt;&lt;wsp:rsid wsp:val=&quot;005963B3&quot;/&gt;&lt;wsp:rsid wsp:val=&quot;0059688E&quot;/&gt;&lt;wsp:rsid wsp:val=&quot;005969ED&quot;/&gt;&lt;wsp:rsid wsp:val=&quot;00596DF9&quot;/&gt;&lt;wsp:rsid wsp:val=&quot;00596E70&quot;/&gt;&lt;wsp:rsid wsp:val=&quot;00597124&quot;/&gt;&lt;wsp:rsid wsp:val=&quot;0059756C&quot;/&gt;&lt;wsp:rsid wsp:val=&quot;00597690&quot;/&gt;&lt;wsp:rsid wsp:val=&quot;005A0231&quot;/&gt;&lt;wsp:rsid wsp:val=&quot;005A0669&quot;/&gt;&lt;wsp:rsid wsp:val=&quot;005A0966&quot;/&gt;&lt;wsp:rsid wsp:val=&quot;005A0A0D&quot;/&gt;&lt;wsp:rsid wsp:val=&quot;005A14E9&quot;/&gt;&lt;wsp:rsid wsp:val=&quot;005A1829&quot;/&gt;&lt;wsp:rsid wsp:val=&quot;005A18BC&quot;/&gt;&lt;wsp:rsid wsp:val=&quot;005A2506&quot;/&gt;&lt;wsp:rsid wsp:val=&quot;005A2BCA&quot;/&gt;&lt;wsp:rsid wsp:val=&quot;005A2CAD&quot;/&gt;&lt;wsp:rsid wsp:val=&quot;005A3105&quot;/&gt;&lt;wsp:rsid wsp:val=&quot;005A33B6&quot;/&gt;&lt;wsp:rsid wsp:val=&quot;005A3C70&quot;/&gt;&lt;wsp:rsid wsp:val=&quot;005A3F1B&quot;/&gt;&lt;wsp:rsid wsp:val=&quot;005A45C2&quot;/&gt;&lt;wsp:rsid wsp:val=&quot;005A47A2&quot;/&gt;&lt;wsp:rsid wsp:val=&quot;005A52A5&quot;/&gt;&lt;wsp:rsid wsp:val=&quot;005A5316&quot;/&gt;&lt;wsp:rsid wsp:val=&quot;005A5863&quot;/&gt;&lt;wsp:rsid wsp:val=&quot;005A5C8A&quot;/&gt;&lt;wsp:rsid wsp:val=&quot;005A5FB0&quot;/&gt;&lt;wsp:rsid wsp:val=&quot;005A620B&quot;/&gt;&lt;wsp:rsid wsp:val=&quot;005A6239&quot;/&gt;&lt;wsp:rsid wsp:val=&quot;005A6529&quot;/&gt;&lt;wsp:rsid wsp:val=&quot;005A6600&quot;/&gt;&lt;wsp:rsid wsp:val=&quot;005A6A04&quot;/&gt;&lt;wsp:rsid wsp:val=&quot;005A6CA1&quot;/&gt;&lt;wsp:rsid wsp:val=&quot;005A72AC&quot;/&gt;&lt;wsp:rsid wsp:val=&quot;005A750D&quot;/&gt;&lt;wsp:rsid wsp:val=&quot;005A75BA&quot;/&gt;&lt;wsp:rsid wsp:val=&quot;005A7D99&quot;/&gt;&lt;wsp:rsid wsp:val=&quot;005B013C&quot;/&gt;&lt;wsp:rsid wsp:val=&quot;005B04AD&quot;/&gt;&lt;wsp:rsid wsp:val=&quot;005B081D&quot;/&gt;&lt;wsp:rsid wsp:val=&quot;005B0EBE&quot;/&gt;&lt;wsp:rsid wsp:val=&quot;005B1086&quot;/&gt;&lt;wsp:rsid wsp:val=&quot;005B11F7&quot;/&gt;&lt;wsp:rsid wsp:val=&quot;005B131E&quot;/&gt;&lt;wsp:rsid wsp:val=&quot;005B183A&quot;/&gt;&lt;wsp:rsid wsp:val=&quot;005B185B&quot;/&gt;&lt;wsp:rsid wsp:val=&quot;005B1D53&quot;/&gt;&lt;wsp:rsid wsp:val=&quot;005B1F1D&quot;/&gt;&lt;wsp:rsid wsp:val=&quot;005B1FA9&quot;/&gt;&lt;wsp:rsid wsp:val=&quot;005B2143&quot;/&gt;&lt;wsp:rsid wsp:val=&quot;005B2191&quot;/&gt;&lt;wsp:rsid wsp:val=&quot;005B244A&quot;/&gt;&lt;wsp:rsid wsp:val=&quot;005B25ED&quot;/&gt;&lt;wsp:rsid wsp:val=&quot;005B320A&quot;/&gt;&lt;wsp:rsid wsp:val=&quot;005B3214&quot;/&gt;&lt;wsp:rsid wsp:val=&quot;005B3327&quot;/&gt;&lt;wsp:rsid wsp:val=&quot;005B397B&quot;/&gt;&lt;wsp:rsid wsp:val=&quot;005B3BE3&quot;/&gt;&lt;wsp:rsid wsp:val=&quot;005B4122&quot;/&gt;&lt;wsp:rsid wsp:val=&quot;005B413F&quot;/&gt;&lt;wsp:rsid wsp:val=&quot;005B42EB&quot;/&gt;&lt;wsp:rsid wsp:val=&quot;005B44E7&quot;/&gt;&lt;wsp:rsid wsp:val=&quot;005B45F3&quot;/&gt;&lt;wsp:rsid wsp:val=&quot;005B481E&quot;/&gt;&lt;wsp:rsid wsp:val=&quot;005B485C&quot;/&gt;&lt;wsp:rsid wsp:val=&quot;005B4892&quot;/&gt;&lt;wsp:rsid wsp:val=&quot;005B48F6&quot;/&gt;&lt;wsp:rsid wsp:val=&quot;005B4F08&quot;/&gt;&lt;wsp:rsid wsp:val=&quot;005B522C&quot;/&gt;&lt;wsp:rsid wsp:val=&quot;005B5589&quot;/&gt;&lt;wsp:rsid wsp:val=&quot;005B57A2&quot;/&gt;&lt;wsp:rsid wsp:val=&quot;005B5822&quot;/&gt;&lt;wsp:rsid wsp:val=&quot;005B5B8F&quot;/&gt;&lt;wsp:rsid wsp:val=&quot;005B5F9D&quot;/&gt;&lt;wsp:rsid wsp:val=&quot;005B673C&quot;/&gt;&lt;wsp:rsid wsp:val=&quot;005B6A0A&quot;/&gt;&lt;wsp:rsid wsp:val=&quot;005B74C4&quot;/&gt;&lt;wsp:rsid wsp:val=&quot;005B7A4F&quot;/&gt;&lt;wsp:rsid wsp:val=&quot;005B7C91&quot;/&gt;&lt;wsp:rsid wsp:val=&quot;005C02CF&quot;/&gt;&lt;wsp:rsid wsp:val=&quot;005C02DF&quot;/&gt;&lt;wsp:rsid wsp:val=&quot;005C03F6&quot;/&gt;&lt;wsp:rsid wsp:val=&quot;005C06D2&quot;/&gt;&lt;wsp:rsid wsp:val=&quot;005C08AC&quot;/&gt;&lt;wsp:rsid wsp:val=&quot;005C12D7&quot;/&gt;&lt;wsp:rsid wsp:val=&quot;005C19D6&quot;/&gt;&lt;wsp:rsid wsp:val=&quot;005C1C02&quot;/&gt;&lt;wsp:rsid wsp:val=&quot;005C1C1E&quot;/&gt;&lt;wsp:rsid wsp:val=&quot;005C2151&quot;/&gt;&lt;wsp:rsid wsp:val=&quot;005C21EE&quot;/&gt;&lt;wsp:rsid wsp:val=&quot;005C272C&quot;/&gt;&lt;wsp:rsid wsp:val=&quot;005C2C42&quot;/&gt;&lt;wsp:rsid wsp:val=&quot;005C2C5C&quot;/&gt;&lt;wsp:rsid wsp:val=&quot;005C2EEA&quot;/&gt;&lt;wsp:rsid wsp:val=&quot;005C34B1&quot;/&gt;&lt;wsp:rsid wsp:val=&quot;005C395F&quot;/&gt;&lt;wsp:rsid wsp:val=&quot;005C3978&quot;/&gt;&lt;wsp:rsid wsp:val=&quot;005C3E21&quot;/&gt;&lt;wsp:rsid wsp:val=&quot;005C4186&quot;/&gt;&lt;wsp:rsid wsp:val=&quot;005C435E&quot;/&gt;&lt;wsp:rsid wsp:val=&quot;005C44AC&quot;/&gt;&lt;wsp:rsid wsp:val=&quot;005C45C1&quot;/&gt;&lt;wsp:rsid wsp:val=&quot;005C45D9&quot;/&gt;&lt;wsp:rsid wsp:val=&quot;005C4930&quot;/&gt;&lt;wsp:rsid wsp:val=&quot;005C4978&quot;/&gt;&lt;wsp:rsid wsp:val=&quot;005C4A43&quot;/&gt;&lt;wsp:rsid wsp:val=&quot;005C4D7A&quot;/&gt;&lt;wsp:rsid wsp:val=&quot;005C50FB&quot;/&gt;&lt;wsp:rsid wsp:val=&quot;005C5659&quot;/&gt;&lt;wsp:rsid wsp:val=&quot;005C570F&quot;/&gt;&lt;wsp:rsid wsp:val=&quot;005C5BA8&quot;/&gt;&lt;wsp:rsid wsp:val=&quot;005C600D&quot;/&gt;&lt;wsp:rsid wsp:val=&quot;005C668A&quot;/&gt;&lt;wsp:rsid wsp:val=&quot;005C67B2&quot;/&gt;&lt;wsp:rsid wsp:val=&quot;005C6AB3&quot;/&gt;&lt;wsp:rsid wsp:val=&quot;005C6C39&quot;/&gt;&lt;wsp:rsid wsp:val=&quot;005C6D1C&quot;/&gt;&lt;wsp:rsid wsp:val=&quot;005C6F75&quot;/&gt;&lt;wsp:rsid wsp:val=&quot;005C7013&quot;/&gt;&lt;wsp:rsid wsp:val=&quot;005C712C&quot;/&gt;&lt;wsp:rsid wsp:val=&quot;005C773C&quot;/&gt;&lt;wsp:rsid wsp:val=&quot;005C789A&quot;/&gt;&lt;wsp:rsid wsp:val=&quot;005C7F12&quot;/&gt;&lt;wsp:rsid wsp:val=&quot;005C7F96&quot;/&gt;&lt;wsp:rsid wsp:val=&quot;005D00AC&quot;/&gt;&lt;wsp:rsid wsp:val=&quot;005D021A&quot;/&gt;&lt;wsp:rsid wsp:val=&quot;005D0682&quot;/&gt;&lt;wsp:rsid wsp:val=&quot;005D0A5B&quot;/&gt;&lt;wsp:rsid wsp:val=&quot;005D0AC2&quot;/&gt;&lt;wsp:rsid wsp:val=&quot;005D10A8&quot;/&gt;&lt;wsp:rsid wsp:val=&quot;005D11F2&quot;/&gt;&lt;wsp:rsid wsp:val=&quot;005D1643&quot;/&gt;&lt;wsp:rsid wsp:val=&quot;005D188E&quot;/&gt;&lt;wsp:rsid wsp:val=&quot;005D18E3&quot;/&gt;&lt;wsp:rsid wsp:val=&quot;005D1CB5&quot;/&gt;&lt;wsp:rsid wsp:val=&quot;005D22D8&quot;/&gt;&lt;wsp:rsid wsp:val=&quot;005D2741&quot;/&gt;&lt;wsp:rsid wsp:val=&quot;005D288B&quot;/&gt;&lt;wsp:rsid wsp:val=&quot;005D28B1&quot;/&gt;&lt;wsp:rsid wsp:val=&quot;005D291C&quot;/&gt;&lt;wsp:rsid wsp:val=&quot;005D2A30&quot;/&gt;&lt;wsp:rsid wsp:val=&quot;005D2B9F&quot;/&gt;&lt;wsp:rsid wsp:val=&quot;005D2F6C&quot;/&gt;&lt;wsp:rsid wsp:val=&quot;005D3491&quot;/&gt;&lt;wsp:rsid wsp:val=&quot;005D3C06&quot;/&gt;&lt;wsp:rsid wsp:val=&quot;005D3F4B&quot;/&gt;&lt;wsp:rsid wsp:val=&quot;005D41A4&quot;/&gt;&lt;wsp:rsid wsp:val=&quot;005D4AF4&quot;/&gt;&lt;wsp:rsid wsp:val=&quot;005D4B83&quot;/&gt;&lt;wsp:rsid wsp:val=&quot;005D4BAC&quot;/&gt;&lt;wsp:rsid wsp:val=&quot;005D4CCB&quot;/&gt;&lt;wsp:rsid wsp:val=&quot;005D51AD&quot;/&gt;&lt;wsp:rsid wsp:val=&quot;005D5B11&quot;/&gt;&lt;wsp:rsid wsp:val=&quot;005D5E04&quot;/&gt;&lt;wsp:rsid wsp:val=&quot;005D6865&quot;/&gt;&lt;wsp:rsid wsp:val=&quot;005D68DC&quot;/&gt;&lt;wsp:rsid wsp:val=&quot;005D69CD&quot;/&gt;&lt;wsp:rsid wsp:val=&quot;005D6BF7&quot;/&gt;&lt;wsp:rsid wsp:val=&quot;005D6D08&quot;/&gt;&lt;wsp:rsid wsp:val=&quot;005D6F58&quot;/&gt;&lt;wsp:rsid wsp:val=&quot;005D72C6&quot;/&gt;&lt;wsp:rsid wsp:val=&quot;005D7728&quot;/&gt;&lt;wsp:rsid wsp:val=&quot;005D7B70&quot;/&gt;&lt;wsp:rsid wsp:val=&quot;005D7CF2&quot;/&gt;&lt;wsp:rsid wsp:val=&quot;005E02A5&quot;/&gt;&lt;wsp:rsid wsp:val=&quot;005E066D&quot;/&gt;&lt;wsp:rsid wsp:val=&quot;005E07B0&quot;/&gt;&lt;wsp:rsid wsp:val=&quot;005E08D6&quot;/&gt;&lt;wsp:rsid wsp:val=&quot;005E0C87&quot;/&gt;&lt;wsp:rsid wsp:val=&quot;005E0CB6&quot;/&gt;&lt;wsp:rsid wsp:val=&quot;005E0FB5&quot;/&gt;&lt;wsp:rsid wsp:val=&quot;005E11CF&quot;/&gt;&lt;wsp:rsid wsp:val=&quot;005E12AB&quot;/&gt;&lt;wsp:rsid wsp:val=&quot;005E12B1&quot;/&gt;&lt;wsp:rsid wsp:val=&quot;005E1470&quot;/&gt;&lt;wsp:rsid wsp:val=&quot;005E149E&quot;/&gt;&lt;wsp:rsid wsp:val=&quot;005E1ECD&quot;/&gt;&lt;wsp:rsid wsp:val=&quot;005E20B7&quot;/&gt;&lt;wsp:rsid wsp:val=&quot;005E21CD&quot;/&gt;&lt;wsp:rsid wsp:val=&quot;005E29AA&quot;/&gt;&lt;wsp:rsid wsp:val=&quot;005E2A00&quot;/&gt;&lt;wsp:rsid wsp:val=&quot;005E39B2&quot;/&gt;&lt;wsp:rsid wsp:val=&quot;005E3CC1&quot;/&gt;&lt;wsp:rsid wsp:val=&quot;005E3F77&quot;/&gt;&lt;wsp:rsid wsp:val=&quot;005E44FA&quot;/&gt;&lt;wsp:rsid wsp:val=&quot;005E4AD3&quot;/&gt;&lt;wsp:rsid wsp:val=&quot;005E4FC9&quot;/&gt;&lt;wsp:rsid wsp:val=&quot;005E518D&quot;/&gt;&lt;wsp:rsid wsp:val=&quot;005E51FE&quot;/&gt;&lt;wsp:rsid wsp:val=&quot;005E541D&quot;/&gt;&lt;wsp:rsid wsp:val=&quot;005E6026&quot;/&gt;&lt;wsp:rsid wsp:val=&quot;005E6678&quot;/&gt;&lt;wsp:rsid wsp:val=&quot;005E6805&quot;/&gt;&lt;wsp:rsid wsp:val=&quot;005E6B35&quot;/&gt;&lt;wsp:rsid wsp:val=&quot;005E6D87&quot;/&gt;&lt;wsp:rsid wsp:val=&quot;005E718A&quot;/&gt;&lt;wsp:rsid wsp:val=&quot;005E7278&quot;/&gt;&lt;wsp:rsid wsp:val=&quot;005E73B5&quot;/&gt;&lt;wsp:rsid wsp:val=&quot;005E7724&quot;/&gt;&lt;wsp:rsid wsp:val=&quot;005E7753&quot;/&gt;&lt;wsp:rsid wsp:val=&quot;005E780A&quot;/&gt;&lt;wsp:rsid wsp:val=&quot;005E7D5E&quot;/&gt;&lt;wsp:rsid wsp:val=&quot;005E7F26&quot;/&gt;&lt;wsp:rsid wsp:val=&quot;005E7F7D&quot;/&gt;&lt;wsp:rsid wsp:val=&quot;005E7FCC&quot;/&gt;&lt;wsp:rsid wsp:val=&quot;005F0579&quot;/&gt;&lt;wsp:rsid wsp:val=&quot;005F0589&quot;/&gt;&lt;wsp:rsid wsp:val=&quot;005F092D&quot;/&gt;&lt;wsp:rsid wsp:val=&quot;005F09C4&quot;/&gt;&lt;wsp:rsid wsp:val=&quot;005F0A2B&quot;/&gt;&lt;wsp:rsid wsp:val=&quot;005F1406&quot;/&gt;&lt;wsp:rsid wsp:val=&quot;005F1444&quot;/&gt;&lt;wsp:rsid wsp:val=&quot;005F19EB&quot;/&gt;&lt;wsp:rsid wsp:val=&quot;005F1DBA&quot;/&gt;&lt;wsp:rsid wsp:val=&quot;005F21C6&quot;/&gt;&lt;wsp:rsid wsp:val=&quot;005F2240&quot;/&gt;&lt;wsp:rsid wsp:val=&quot;005F2482&quot;/&gt;&lt;wsp:rsid wsp:val=&quot;005F2843&quot;/&gt;&lt;wsp:rsid wsp:val=&quot;005F3A48&quot;/&gt;&lt;wsp:rsid wsp:val=&quot;005F3B32&quot;/&gt;&lt;wsp:rsid wsp:val=&quot;005F3CE2&quot;/&gt;&lt;wsp:rsid wsp:val=&quot;005F4064&quot;/&gt;&lt;wsp:rsid wsp:val=&quot;005F4875&quot;/&gt;&lt;wsp:rsid wsp:val=&quot;005F531B&quot;/&gt;&lt;wsp:rsid wsp:val=&quot;005F5794&quot;/&gt;&lt;wsp:rsid wsp:val=&quot;005F5E3B&quot;/&gt;&lt;wsp:rsid wsp:val=&quot;005F66D2&quot;/&gt;&lt;wsp:rsid wsp:val=&quot;005F6859&quot;/&gt;&lt;wsp:rsid wsp:val=&quot;005F6AC9&quot;/&gt;&lt;wsp:rsid wsp:val=&quot;005F6B62&quot;/&gt;&lt;wsp:rsid wsp:val=&quot;005F714D&quot;/&gt;&lt;wsp:rsid wsp:val=&quot;005F7208&quot;/&gt;&lt;wsp:rsid wsp:val=&quot;005F7655&quot;/&gt;&lt;wsp:rsid wsp:val=&quot;005F78C9&quot;/&gt;&lt;wsp:rsid wsp:val=&quot;005F78DB&quot;/&gt;&lt;wsp:rsid wsp:val=&quot;005F79CA&quot;/&gt;&lt;wsp:rsid wsp:val=&quot;005F7A86&quot;/&gt;&lt;wsp:rsid wsp:val=&quot;005F7CC1&quot;/&gt;&lt;wsp:rsid wsp:val=&quot;00600930&quot;/&gt;&lt;wsp:rsid wsp:val=&quot;00600950&quot;/&gt;&lt;wsp:rsid wsp:val=&quot;00600BCC&quot;/&gt;&lt;wsp:rsid wsp:val=&quot;006013E0&quot;/&gt;&lt;wsp:rsid wsp:val=&quot;006016CC&quot;/&gt;&lt;wsp:rsid wsp:val=&quot;006017A0&quot;/&gt;&lt;wsp:rsid wsp:val=&quot;00601803&quot;/&gt;&lt;wsp:rsid wsp:val=&quot;00601E47&quot;/&gt;&lt;wsp:rsid wsp:val=&quot;0060215F&quot;/&gt;&lt;wsp:rsid wsp:val=&quot;00602662&quot;/&gt;&lt;wsp:rsid wsp:val=&quot;00602692&quot;/&gt;&lt;wsp:rsid wsp:val=&quot;00602DBF&quot;/&gt;&lt;wsp:rsid wsp:val=&quot;0060343D&quot;/&gt;&lt;wsp:rsid wsp:val=&quot;00603443&quot;/&gt;&lt;wsp:rsid wsp:val=&quot;0060380F&quot;/&gt;&lt;wsp:rsid wsp:val=&quot;00603D72&quot;/&gt;&lt;wsp:rsid wsp:val=&quot;006041F4&quot;/&gt;&lt;wsp:rsid wsp:val=&quot;00604A70&quot;/&gt;&lt;wsp:rsid wsp:val=&quot;00604F77&quot;/&gt;&lt;wsp:rsid wsp:val=&quot;00605312&quot;/&gt;&lt;wsp:rsid wsp:val=&quot;006053FA&quot;/&gt;&lt;wsp:rsid wsp:val=&quot;00605497&quot;/&gt;&lt;wsp:rsid wsp:val=&quot;0060579C&quot;/&gt;&lt;wsp:rsid wsp:val=&quot;0060599D&quot;/&gt;&lt;wsp:rsid wsp:val=&quot;00605AC6&quot;/&gt;&lt;wsp:rsid wsp:val=&quot;00605F21&quot;/&gt;&lt;wsp:rsid wsp:val=&quot;00605FD5&quot;/&gt;&lt;wsp:rsid wsp:val=&quot;00606495&quot;/&gt;&lt;wsp:rsid wsp:val=&quot;0060692A&quot;/&gt;&lt;wsp:rsid wsp:val=&quot;00606C67&quot;/&gt;&lt;wsp:rsid wsp:val=&quot;00606D91&quot;/&gt;&lt;wsp:rsid wsp:val=&quot;00606EE9&quot;/&gt;&lt;wsp:rsid wsp:val=&quot;006071F8&quot;/&gt;&lt;wsp:rsid wsp:val=&quot;0060750E&quot;/&gt;&lt;wsp:rsid wsp:val=&quot;0060760E&quot;/&gt;&lt;wsp:rsid wsp:val=&quot;00607D2A&quot;/&gt;&lt;wsp:rsid wsp:val=&quot;006104A0&quot;/&gt;&lt;wsp:rsid wsp:val=&quot;006104C4&quot;/&gt;&lt;wsp:rsid wsp:val=&quot;00610B4F&quot;/&gt;&lt;wsp:rsid wsp:val=&quot;00610B60&quot;/&gt;&lt;wsp:rsid wsp:val=&quot;00610DED&quot;/&gt;&lt;wsp:rsid wsp:val=&quot;006110B1&quot;/&gt;&lt;wsp:rsid wsp:val=&quot;006117EC&quot;/&gt;&lt;wsp:rsid wsp:val=&quot;006119F6&quot;/&gt;&lt;wsp:rsid wsp:val=&quot;00611AD8&quot;/&gt;&lt;wsp:rsid wsp:val=&quot;00611BE2&quot;/&gt;&lt;wsp:rsid wsp:val=&quot;00611D1C&quot;/&gt;&lt;wsp:rsid wsp:val=&quot;00611FBB&quot;/&gt;&lt;wsp:rsid wsp:val=&quot;0061247F&quot;/&gt;&lt;wsp:rsid wsp:val=&quot;00612698&quot;/&gt;&lt;wsp:rsid wsp:val=&quot;00612D04&quot;/&gt;&lt;wsp:rsid wsp:val=&quot;00612D9D&quot;/&gt;&lt;wsp:rsid wsp:val=&quot;00612F3C&quot;/&gt;&lt;wsp:rsid wsp:val=&quot;00613568&quot;/&gt;&lt;wsp:rsid wsp:val=&quot;00613A58&quot;/&gt;&lt;wsp:rsid wsp:val=&quot;00614164&quot;/&gt;&lt;wsp:rsid wsp:val=&quot;00614DB8&quot;/&gt;&lt;wsp:rsid wsp:val=&quot;0061523E&quot;/&gt;&lt;wsp:rsid wsp:val=&quot;006155C4&quot;/&gt;&lt;wsp:rsid wsp:val=&quot;006157DD&quot;/&gt;&lt;wsp:rsid wsp:val=&quot;00615934&quot;/&gt;&lt;wsp:rsid wsp:val=&quot;0061673B&quot;/&gt;&lt;wsp:rsid wsp:val=&quot;0061748C&quot;/&gt;&lt;wsp:rsid wsp:val=&quot;006175A1&quot;/&gt;&lt;wsp:rsid wsp:val=&quot;00617905&quot;/&gt;&lt;wsp:rsid wsp:val=&quot;0062018E&quot;/&gt;&lt;wsp:rsid wsp:val=&quot;0062025C&quot;/&gt;&lt;wsp:rsid wsp:val=&quot;0062098F&quot;/&gt;&lt;wsp:rsid wsp:val=&quot;006209F6&quot;/&gt;&lt;wsp:rsid wsp:val=&quot;00620B1B&quot;/&gt;&lt;wsp:rsid wsp:val=&quot;0062139E&quot;/&gt;&lt;wsp:rsid wsp:val=&quot;00621405&quot;/&gt;&lt;wsp:rsid wsp:val=&quot;00621469&quot;/&gt;&lt;wsp:rsid wsp:val=&quot;006217A3&quot;/&gt;&lt;wsp:rsid wsp:val=&quot;00621D04&quot;/&gt;&lt;wsp:rsid wsp:val=&quot;00621EF6&quot;/&gt;&lt;wsp:rsid wsp:val=&quot;0062218E&quot;/&gt;&lt;wsp:rsid wsp:val=&quot;006223C5&quot;/&gt;&lt;wsp:rsid wsp:val=&quot;006226D9&quot;/&gt;&lt;wsp:rsid wsp:val=&quot;006227A3&quot;/&gt;&lt;wsp:rsid wsp:val=&quot;00622857&quot;/&gt;&lt;wsp:rsid wsp:val=&quot;00622DDC&quot;/&gt;&lt;wsp:rsid wsp:val=&quot;00622F55&quot;/&gt;&lt;wsp:rsid wsp:val=&quot;0062392F&quot;/&gt;&lt;wsp:rsid wsp:val=&quot;00623AEA&quot;/&gt;&lt;wsp:rsid wsp:val=&quot;00623EF3&quot;/&gt;&lt;wsp:rsid wsp:val=&quot;0062407A&quot;/&gt;&lt;wsp:rsid wsp:val=&quot;006242F0&quot;/&gt;&lt;wsp:rsid wsp:val=&quot;006243EC&quot;/&gt;&lt;wsp:rsid wsp:val=&quot;006245DD&quot;/&gt;&lt;wsp:rsid wsp:val=&quot;00624D61&quot;/&gt;&lt;wsp:rsid wsp:val=&quot;00624FA7&quot;/&gt;&lt;wsp:rsid wsp:val=&quot;0062577F&quot;/&gt;&lt;wsp:rsid wsp:val=&quot;006259EC&quot;/&gt;&lt;wsp:rsid wsp:val=&quot;00625B1E&quot;/&gt;&lt;wsp:rsid wsp:val=&quot;00625CD1&quot;/&gt;&lt;wsp:rsid wsp:val=&quot;0062612E&quot;/&gt;&lt;wsp:rsid wsp:val=&quot;0062615D&quot;/&gt;&lt;wsp:rsid wsp:val=&quot;00626276&quot;/&gt;&lt;wsp:rsid wsp:val=&quot;006264D5&quot;/&gt;&lt;wsp:rsid wsp:val=&quot;0062667D&quot;/&gt;&lt;wsp:rsid wsp:val=&quot;006267E9&quot;/&gt;&lt;wsp:rsid wsp:val=&quot;00626876&quot;/&gt;&lt;wsp:rsid wsp:val=&quot;00626F72&quot;/&gt;&lt;wsp:rsid wsp:val=&quot;00626FE3&quot;/&gt;&lt;wsp:rsid wsp:val=&quot;006270E2&quot;/&gt;&lt;wsp:rsid wsp:val=&quot;0062713D&quot;/&gt;&lt;wsp:rsid wsp:val=&quot;00627332&quot;/&gt;&lt;wsp:rsid wsp:val=&quot;006278BC&quot;/&gt;&lt;wsp:rsid wsp:val=&quot;00627A09&quot;/&gt;&lt;wsp:rsid wsp:val=&quot;00627DE4&quot;/&gt;&lt;wsp:rsid wsp:val=&quot;006300A5&quot;/&gt;&lt;wsp:rsid wsp:val=&quot;0063069B&quot;/&gt;&lt;wsp:rsid wsp:val=&quot;00630CE0&quot;/&gt;&lt;wsp:rsid wsp:val=&quot;00631241&quot;/&gt;&lt;wsp:rsid wsp:val=&quot;00631489&quot;/&gt;&lt;wsp:rsid wsp:val=&quot;00631D68&quot;/&gt;&lt;wsp:rsid wsp:val=&quot;0063235E&quot;/&gt;&lt;wsp:rsid wsp:val=&quot;00632421&quot;/&gt;&lt;wsp:rsid wsp:val=&quot;00632AE3&quot;/&gt;&lt;wsp:rsid wsp:val=&quot;00632D4E&quot;/&gt;&lt;wsp:rsid wsp:val=&quot;0063345C&quot;/&gt;&lt;wsp:rsid wsp:val=&quot;00633EC5&quot;/&gt;&lt;wsp:rsid wsp:val=&quot;00634545&quot;/&gt;&lt;wsp:rsid wsp:val=&quot;00635069&quot;/&gt;&lt;wsp:rsid wsp:val=&quot;006350B5&quot;/&gt;&lt;wsp:rsid wsp:val=&quot;0063528A&quot;/&gt;&lt;wsp:rsid wsp:val=&quot;0063595F&quot;/&gt;&lt;wsp:rsid wsp:val=&quot;0063596B&quot;/&gt;&lt;wsp:rsid wsp:val=&quot;00635AB7&quot;/&gt;&lt;wsp:rsid wsp:val=&quot;00635EFC&quot;/&gt;&lt;wsp:rsid wsp:val=&quot;00635F4D&quot;/&gt;&lt;wsp:rsid wsp:val=&quot;006360FC&quot;/&gt;&lt;wsp:rsid wsp:val=&quot;006363B0&quot;/&gt;&lt;wsp:rsid wsp:val=&quot;0063654F&quot;/&gt;&lt;wsp:rsid wsp:val=&quot;006369F7&quot;/&gt;&lt;wsp:rsid wsp:val=&quot;00636BE0&quot;/&gt;&lt;wsp:rsid wsp:val=&quot;0063749D&quot;/&gt;&lt;wsp:rsid wsp:val=&quot;0063771D&quot;/&gt;&lt;wsp:rsid wsp:val=&quot;0063795F&quot;/&gt;&lt;wsp:rsid wsp:val=&quot;00637F48&quot;/&gt;&lt;wsp:rsid wsp:val=&quot;00640631&quot;/&gt;&lt;wsp:rsid wsp:val=&quot;00640A8C&quot;/&gt;&lt;wsp:rsid wsp:val=&quot;00640D8C&quot;/&gt;&lt;wsp:rsid wsp:val=&quot;00641490&quot;/&gt;&lt;wsp:rsid wsp:val=&quot;0064184F&quot;/&gt;&lt;wsp:rsid wsp:val=&quot;00641B62&quot;/&gt;&lt;wsp:rsid wsp:val=&quot;00641E49&quot;/&gt;&lt;wsp:rsid wsp:val=&quot;006420AF&quot;/&gt;&lt;wsp:rsid wsp:val=&quot;00642223&quot;/&gt;&lt;wsp:rsid wsp:val=&quot;0064262B&quot;/&gt;&lt;wsp:rsid wsp:val=&quot;00642A27&quot;/&gt;&lt;wsp:rsid wsp:val=&quot;00642B8A&quot;/&gt;&lt;wsp:rsid wsp:val=&quot;00642ECC&quot;/&gt;&lt;wsp:rsid wsp:val=&quot;006431C3&quot;/&gt;&lt;wsp:rsid wsp:val=&quot;006431DB&quot;/&gt;&lt;wsp:rsid wsp:val=&quot;00643392&quot;/&gt;&lt;wsp:rsid wsp:val=&quot;00643447&quot;/&gt;&lt;wsp:rsid wsp:val=&quot;00643462&quot;/&gt;&lt;wsp:rsid wsp:val=&quot;006437F1&quot;/&gt;&lt;wsp:rsid wsp:val=&quot;00643E5F&quot;/&gt;&lt;wsp:rsid wsp:val=&quot;00643F90&quot;/&gt;&lt;wsp:rsid wsp:val=&quot;0064437A&quot;/&gt;&lt;wsp:rsid wsp:val=&quot;00644513&quot;/&gt;&lt;wsp:rsid wsp:val=&quot;00644784&quot;/&gt;&lt;wsp:rsid wsp:val=&quot;00644BFD&quot;/&gt;&lt;wsp:rsid wsp:val=&quot;00645728&quot;/&gt;&lt;wsp:rsid wsp:val=&quot;00645C8E&quot;/&gt;&lt;wsp:rsid wsp:val=&quot;00645FC2&quot;/&gt;&lt;wsp:rsid wsp:val=&quot;00646136&quot;/&gt;&lt;wsp:rsid wsp:val=&quot;0064614D&quot;/&gt;&lt;wsp:rsid wsp:val=&quot;00646159&quot;/&gt;&lt;wsp:rsid wsp:val=&quot;00646ADF&quot;/&gt;&lt;wsp:rsid wsp:val=&quot;00646E98&quot;/&gt;&lt;wsp:rsid wsp:val=&quot;006470E8&quot;/&gt;&lt;wsp:rsid wsp:val=&quot;006471AA&quot;/&gt;&lt;wsp:rsid wsp:val=&quot;0064762B&quot;/&gt;&lt;wsp:rsid wsp:val=&quot;006479FB&quot;/&gt;&lt;wsp:rsid wsp:val=&quot;00647F4E&quot;/&gt;&lt;wsp:rsid wsp:val=&quot;00650673&quot;/&gt;&lt;wsp:rsid wsp:val=&quot;006507BF&quot;/&gt;&lt;wsp:rsid wsp:val=&quot;006509FC&quot;/&gt;&lt;wsp:rsid wsp:val=&quot;00650D4F&quot;/&gt;&lt;wsp:rsid wsp:val=&quot;00650E1F&quot;/&gt;&lt;wsp:rsid wsp:val=&quot;00650F51&quot;/&gt;&lt;wsp:rsid wsp:val=&quot;006510CD&quot;/&gt;&lt;wsp:rsid wsp:val=&quot;00651160&quot;/&gt;&lt;wsp:rsid wsp:val=&quot;0065129C&quot;/&gt;&lt;wsp:rsid wsp:val=&quot;0065174F&quot;/&gt;&lt;wsp:rsid wsp:val=&quot;00651803&quot;/&gt;&lt;wsp:rsid wsp:val=&quot;00651979&quot;/&gt;&lt;wsp:rsid wsp:val=&quot;00651A8A&quot;/&gt;&lt;wsp:rsid wsp:val=&quot;00652017&quot;/&gt;&lt;wsp:rsid wsp:val=&quot;0065251B&quot;/&gt;&lt;wsp:rsid wsp:val=&quot;00652ADE&quot;/&gt;&lt;wsp:rsid wsp:val=&quot;0065368B&quot;/&gt;&lt;wsp:rsid wsp:val=&quot;006537C8&quot;/&gt;&lt;wsp:rsid wsp:val=&quot;00653AEB&quot;/&gt;&lt;wsp:rsid wsp:val=&quot;00654161&quot;/&gt;&lt;wsp:rsid wsp:val=&quot;006543DB&quot;/&gt;&lt;wsp:rsid wsp:val=&quot;00654CE5&quot;/&gt;&lt;wsp:rsid wsp:val=&quot;00654D86&quot;/&gt;&lt;wsp:rsid wsp:val=&quot;006551F9&quot;/&gt;&lt;wsp:rsid wsp:val=&quot;0065540E&quot;/&gt;&lt;wsp:rsid wsp:val=&quot;006559B0&quot;/&gt;&lt;wsp:rsid wsp:val=&quot;006561C5&quot;/&gt;&lt;wsp:rsid wsp:val=&quot;0065623A&quot;/&gt;&lt;wsp:rsid wsp:val=&quot;00656A16&quot;/&gt;&lt;wsp:rsid wsp:val=&quot;00656C07&quot;/&gt;&lt;wsp:rsid wsp:val=&quot;00657224&quot;/&gt;&lt;wsp:rsid wsp:val=&quot;00657298&quot;/&gt;&lt;wsp:rsid wsp:val=&quot;00657E13&quot;/&gt;&lt;wsp:rsid wsp:val=&quot;00660129&quot;/&gt;&lt;wsp:rsid wsp:val=&quot;006602A5&quot;/&gt;&lt;wsp:rsid wsp:val=&quot;00660EA0&quot;/&gt;&lt;wsp:rsid wsp:val=&quot;00660EB5&quot;/&gt;&lt;wsp:rsid wsp:val=&quot;00660F1A&quot;/&gt;&lt;wsp:rsid wsp:val=&quot;00661281&quot;/&gt;&lt;wsp:rsid wsp:val=&quot;006614BB&quot;/&gt;&lt;wsp:rsid wsp:val=&quot;00661BAE&quot;/&gt;&lt;wsp:rsid wsp:val=&quot;00661D4C&quot;/&gt;&lt;wsp:rsid wsp:val=&quot;00661F6A&quot;/&gt;&lt;wsp:rsid wsp:val=&quot;00662647&quot;/&gt;&lt;wsp:rsid wsp:val=&quot;006627B8&quot;/&gt;&lt;wsp:rsid wsp:val=&quot;00662857&quot;/&gt;&lt;wsp:rsid wsp:val=&quot;00662971&quot;/&gt;&lt;wsp:rsid wsp:val=&quot;00662B06&quot;/&gt;&lt;wsp:rsid wsp:val=&quot;00662FAB&quot;/&gt;&lt;wsp:rsid wsp:val=&quot;006632F3&quot;/&gt;&lt;wsp:rsid wsp:val=&quot;006638BE&quot;/&gt;&lt;wsp:rsid wsp:val=&quot;00663B1D&quot;/&gt;&lt;wsp:rsid wsp:val=&quot;00663C31&quot;/&gt;&lt;wsp:rsid wsp:val=&quot;00663C78&quot;/&gt;&lt;wsp:rsid wsp:val=&quot;00663F87&quot;/&gt;&lt;wsp:rsid wsp:val=&quot;00663FF8&quot;/&gt;&lt;wsp:rsid wsp:val=&quot;00664239&quot;/&gt;&lt;wsp:rsid wsp:val=&quot;006642D3&quot;/&gt;&lt;wsp:rsid wsp:val=&quot;006648F8&quot;/&gt;&lt;wsp:rsid wsp:val=&quot;00664930&quot;/&gt;&lt;wsp:rsid wsp:val=&quot;00664A22&quot;/&gt;&lt;wsp:rsid wsp:val=&quot;00664AF8&quot;/&gt;&lt;wsp:rsid wsp:val=&quot;00665012&quot;/&gt;&lt;wsp:rsid wsp:val=&quot;006651FC&quot;/&gt;&lt;wsp:rsid wsp:val=&quot;00665343&quot;/&gt;&lt;wsp:rsid wsp:val=&quot;006655AD&quot;/&gt;&lt;wsp:rsid wsp:val=&quot;006659B7&quot;/&gt;&lt;wsp:rsid wsp:val=&quot;00665B99&quot;/&gt;&lt;wsp:rsid wsp:val=&quot;00666106&quot;/&gt;&lt;wsp:rsid wsp:val=&quot;006662AF&quot;/&gt;&lt;wsp:rsid wsp:val=&quot;0066679D&quot;/&gt;&lt;wsp:rsid wsp:val=&quot;00666B4F&quot;/&gt;&lt;wsp:rsid wsp:val=&quot;00666FA8&quot;/&gt;&lt;wsp:rsid wsp:val=&quot;00667403&quot;/&gt;&lt;wsp:rsid wsp:val=&quot;0066746B&quot;/&gt;&lt;wsp:rsid wsp:val=&quot;006676C5&quot;/&gt;&lt;wsp:rsid wsp:val=&quot;00667AA9&quot;/&gt;&lt;wsp:rsid wsp:val=&quot;00670520&quot;/&gt;&lt;wsp:rsid wsp:val=&quot;006706ED&quot;/&gt;&lt;wsp:rsid wsp:val=&quot;00670865&quot;/&gt;&lt;wsp:rsid wsp:val=&quot;006709EE&quot;/&gt;&lt;wsp:rsid wsp:val=&quot;00670FD3&quot;/&gt;&lt;wsp:rsid wsp:val=&quot;006711C3&quot;/&gt;&lt;wsp:rsid wsp:val=&quot;006714A8&quot;/&gt;&lt;wsp:rsid wsp:val=&quot;006715FA&quot;/&gt;&lt;wsp:rsid wsp:val=&quot;006717A7&quot;/&gt;&lt;wsp:rsid wsp:val=&quot;00671BEC&quot;/&gt;&lt;wsp:rsid wsp:val=&quot;00671C9B&quot;/&gt;&lt;wsp:rsid wsp:val=&quot;00671D4A&quot;/&gt;&lt;wsp:rsid wsp:val=&quot;00672310&quot;/&gt;&lt;wsp:rsid wsp:val=&quot;006723C1&quot;/&gt;&lt;wsp:rsid wsp:val=&quot;006726C5&quot;/&gt;&lt;wsp:rsid wsp:val=&quot;006728DA&quot;/&gt;&lt;wsp:rsid wsp:val=&quot;00672995&quot;/&gt;&lt;wsp:rsid wsp:val=&quot;00672ADD&quot;/&gt;&lt;wsp:rsid wsp:val=&quot;00672BA9&quot;/&gt;&lt;wsp:rsid wsp:val=&quot;00672CCB&quot;/&gt;&lt;wsp:rsid wsp:val=&quot;00672CF8&quot;/&gt;&lt;wsp:rsid wsp:val=&quot;00673040&quot;/&gt;&lt;wsp:rsid wsp:val=&quot;00673567&quot;/&gt;&lt;wsp:rsid wsp:val=&quot;00673DF6&quot;/&gt;&lt;wsp:rsid wsp:val=&quot;00673E3B&quot;/&gt;&lt;wsp:rsid wsp:val=&quot;00673EFD&quot;/&gt;&lt;wsp:rsid wsp:val=&quot;006741C6&quot;/&gt;&lt;wsp:rsid wsp:val=&quot;006742EE&quot;/&gt;&lt;wsp:rsid wsp:val=&quot;006746B9&quot;/&gt;&lt;wsp:rsid wsp:val=&quot;006746BC&quot;/&gt;&lt;wsp:rsid wsp:val=&quot;0067497C&quot;/&gt;&lt;wsp:rsid wsp:val=&quot;006749ED&quot;/&gt;&lt;wsp:rsid wsp:val=&quot;0067515D&quot;/&gt;&lt;wsp:rsid wsp:val=&quot;0067517C&quot;/&gt;&lt;wsp:rsid wsp:val=&quot;0067575D&quot;/&gt;&lt;wsp:rsid wsp:val=&quot;00675FE0&quot;/&gt;&lt;wsp:rsid wsp:val=&quot;00676050&quot;/&gt;&lt;wsp:rsid wsp:val=&quot;006763A3&quot;/&gt;&lt;wsp:rsid wsp:val=&quot;00676663&quot;/&gt;&lt;wsp:rsid wsp:val=&quot;006766B7&quot;/&gt;&lt;wsp:rsid wsp:val=&quot;006768A4&quot;/&gt;&lt;wsp:rsid wsp:val=&quot;00676C34&quot;/&gt;&lt;wsp:rsid wsp:val=&quot;00676E60&quot;/&gt;&lt;wsp:rsid wsp:val=&quot;00677122&quot;/&gt;&lt;wsp:rsid wsp:val=&quot;0067743C&quot;/&gt;&lt;wsp:rsid wsp:val=&quot;006779D8&quot;/&gt;&lt;wsp:rsid wsp:val=&quot;00677A34&quot;/&gt;&lt;wsp:rsid wsp:val=&quot;00677B37&quot;/&gt;&lt;wsp:rsid wsp:val=&quot;00677DEB&quot;/&gt;&lt;wsp:rsid wsp:val=&quot;00680488&quot;/&gt;&lt;wsp:rsid wsp:val=&quot;00680574&quot;/&gt;&lt;wsp:rsid wsp:val=&quot;006805C0&quot;/&gt;&lt;wsp:rsid wsp:val=&quot;00680663&quot;/&gt;&lt;wsp:rsid wsp:val=&quot;00680F3C&quot;/&gt;&lt;wsp:rsid wsp:val=&quot;0068127D&quot;/&gt;&lt;wsp:rsid wsp:val=&quot;00681DBF&quot;/&gt;&lt;wsp:rsid wsp:val=&quot;00682184&quot;/&gt;&lt;wsp:rsid wsp:val=&quot;006829F2&quot;/&gt;&lt;wsp:rsid wsp:val=&quot;0068310B&quot;/&gt;&lt;wsp:rsid wsp:val=&quot;00683281&quot;/&gt;&lt;wsp:rsid wsp:val=&quot;0068357D&quot;/&gt;&lt;wsp:rsid wsp:val=&quot;006835C7&quot;/&gt;&lt;wsp:rsid wsp:val=&quot;00683A27&quot;/&gt;&lt;wsp:rsid wsp:val=&quot;00683AB8&quot;/&gt;&lt;wsp:rsid wsp:val=&quot;00684040&quot;/&gt;&lt;wsp:rsid wsp:val=&quot;0068404B&quot;/&gt;&lt;wsp:rsid wsp:val=&quot;0068405C&quot;/&gt;&lt;wsp:rsid wsp:val=&quot;006841EF&quot;/&gt;&lt;wsp:rsid wsp:val=&quot;006843AB&quot;/&gt;&lt;wsp:rsid wsp:val=&quot;0068457A&quot;/&gt;&lt;wsp:rsid wsp:val=&quot;0068460D&quot;/&gt;&lt;wsp:rsid wsp:val=&quot;0068515F&quot;/&gt;&lt;wsp:rsid wsp:val=&quot;00685188&quot;/&gt;&lt;wsp:rsid wsp:val=&quot;006858CE&quot;/&gt;&lt;wsp:rsid wsp:val=&quot;006859F6&quot;/&gt;&lt;wsp:rsid wsp:val=&quot;00685E06&quot;/&gt;&lt;wsp:rsid wsp:val=&quot;00686281&quot;/&gt;&lt;wsp:rsid wsp:val=&quot;006862C0&quot;/&gt;&lt;wsp:rsid wsp:val=&quot;006862CD&quot;/&gt;&lt;wsp:rsid wsp:val=&quot;00686434&quot;/&gt;&lt;wsp:rsid wsp:val=&quot;00686967&quot;/&gt;&lt;wsp:rsid wsp:val=&quot;00686DF4&quot;/&gt;&lt;wsp:rsid wsp:val=&quot;00686EE2&quot;/&gt;&lt;wsp:rsid wsp:val=&quot;006872CF&quot;/&gt;&lt;wsp:rsid wsp:val=&quot;00687A8A&quot;/&gt;&lt;wsp:rsid wsp:val=&quot;00687BB3&quot;/&gt;&lt;wsp:rsid wsp:val=&quot;00687DDA&quot;/&gt;&lt;wsp:rsid wsp:val=&quot;00687F39&quot;/&gt;&lt;wsp:rsid wsp:val=&quot;006903A9&quot;/&gt;&lt;wsp:rsid wsp:val=&quot;00690466&quot;/&gt;&lt;wsp:rsid wsp:val=&quot;00690684&quot;/&gt;&lt;wsp:rsid wsp:val=&quot;00690D12&quot;/&gt;&lt;wsp:rsid wsp:val=&quot;00691069&quot;/&gt;&lt;wsp:rsid wsp:val=&quot;00691498&quot;/&gt;&lt;wsp:rsid wsp:val=&quot;0069193D&quot;/&gt;&lt;wsp:rsid wsp:val=&quot;00691A80&quot;/&gt;&lt;wsp:rsid wsp:val=&quot;00692016&quot;/&gt;&lt;wsp:rsid wsp:val=&quot;006922A3&quot;/&gt;&lt;wsp:rsid wsp:val=&quot;00692E59&quot;/&gt;&lt;wsp:rsid wsp:val=&quot;0069309E&quot;/&gt;&lt;wsp:rsid wsp:val=&quot;006930A2&quot;/&gt;&lt;wsp:rsid wsp:val=&quot;0069351F&quot;/&gt;&lt;wsp:rsid wsp:val=&quot;00693AD5&quot;/&gt;&lt;wsp:rsid wsp:val=&quot;00693C5D&quot;/&gt;&lt;wsp:rsid wsp:val=&quot;00694C29&quot;/&gt;&lt;wsp:rsid wsp:val=&quot;00695015&quot;/&gt;&lt;wsp:rsid wsp:val=&quot;00695334&quot;/&gt;&lt;wsp:rsid wsp:val=&quot;00695491&quot;/&gt;&lt;wsp:rsid wsp:val=&quot;006955E6&quot;/&gt;&lt;wsp:rsid wsp:val=&quot;00695B0C&quot;/&gt;&lt;wsp:rsid wsp:val=&quot;00695F3C&quot;/&gt;&lt;wsp:rsid wsp:val=&quot;0069625B&quot;/&gt;&lt;wsp:rsid wsp:val=&quot;00696525&quot;/&gt;&lt;wsp:rsid wsp:val=&quot;00696657&quot;/&gt;&lt;wsp:rsid wsp:val=&quot;006966BB&quot;/&gt;&lt;wsp:rsid wsp:val=&quot;00696F99&quot;/&gt;&lt;wsp:rsid wsp:val=&quot;00697280&quot;/&gt;&lt;wsp:rsid wsp:val=&quot;00697553&quot;/&gt;&lt;wsp:rsid wsp:val=&quot;00697731&quot;/&gt;&lt;wsp:rsid wsp:val=&quot;00697D69&quot;/&gt;&lt;wsp:rsid wsp:val=&quot;006A07B0&quot;/&gt;&lt;wsp:rsid wsp:val=&quot;006A0B33&quot;/&gt;&lt;wsp:rsid wsp:val=&quot;006A0D22&quot;/&gt;&lt;wsp:rsid wsp:val=&quot;006A0EE8&quot;/&gt;&lt;wsp:rsid wsp:val=&quot;006A10FD&quot;/&gt;&lt;wsp:rsid wsp:val=&quot;006A154A&quot;/&gt;&lt;wsp:rsid wsp:val=&quot;006A183A&quot;/&gt;&lt;wsp:rsid wsp:val=&quot;006A1BD3&quot;/&gt;&lt;wsp:rsid wsp:val=&quot;006A1F30&quot;/&gt;&lt;wsp:rsid wsp:val=&quot;006A1FCF&quot;/&gt;&lt;wsp:rsid wsp:val=&quot;006A24BD&quot;/&gt;&lt;wsp:rsid wsp:val=&quot;006A2538&quot;/&gt;&lt;wsp:rsid wsp:val=&quot;006A275F&quot;/&gt;&lt;wsp:rsid wsp:val=&quot;006A27D9&quot;/&gt;&lt;wsp:rsid wsp:val=&quot;006A2A5E&quot;/&gt;&lt;wsp:rsid wsp:val=&quot;006A2E58&quot;/&gt;&lt;wsp:rsid wsp:val=&quot;006A2E8D&quot;/&gt;&lt;wsp:rsid wsp:val=&quot;006A3080&quot;/&gt;&lt;wsp:rsid wsp:val=&quot;006A30B7&quot;/&gt;&lt;wsp:rsid wsp:val=&quot;006A3443&quot;/&gt;&lt;wsp:rsid wsp:val=&quot;006A350D&quot;/&gt;&lt;wsp:rsid wsp:val=&quot;006A376F&quot;/&gt;&lt;wsp:rsid wsp:val=&quot;006A3796&quot;/&gt;&lt;wsp:rsid wsp:val=&quot;006A37EF&quot;/&gt;&lt;wsp:rsid wsp:val=&quot;006A3D61&quot;/&gt;&lt;wsp:rsid wsp:val=&quot;006A3D77&quot;/&gt;&lt;wsp:rsid wsp:val=&quot;006A4B64&quot;/&gt;&lt;wsp:rsid wsp:val=&quot;006A4D14&quot;/&gt;&lt;wsp:rsid wsp:val=&quot;006A4E62&quot;/&gt;&lt;wsp:rsid wsp:val=&quot;006A4EB8&quot;/&gt;&lt;wsp:rsid wsp:val=&quot;006A4F4B&quot;/&gt;&lt;wsp:rsid wsp:val=&quot;006A5004&quot;/&gt;&lt;wsp:rsid wsp:val=&quot;006A53B7&quot;/&gt;&lt;wsp:rsid wsp:val=&quot;006A53F0&quot;/&gt;&lt;wsp:rsid wsp:val=&quot;006A5469&quot;/&gt;&lt;wsp:rsid wsp:val=&quot;006A58AA&quot;/&gt;&lt;wsp:rsid wsp:val=&quot;006A6045&quot;/&gt;&lt;wsp:rsid wsp:val=&quot;006A60ED&quot;/&gt;&lt;wsp:rsid wsp:val=&quot;006A68A8&quot;/&gt;&lt;wsp:rsid wsp:val=&quot;006A6A47&quot;/&gt;&lt;wsp:rsid wsp:val=&quot;006A6E30&quot;/&gt;&lt;wsp:rsid wsp:val=&quot;006A6FDC&quot;/&gt;&lt;wsp:rsid wsp:val=&quot;006A706A&quot;/&gt;&lt;wsp:rsid wsp:val=&quot;006A70D8&quot;/&gt;&lt;wsp:rsid wsp:val=&quot;006A76ED&quot;/&gt;&lt;wsp:rsid wsp:val=&quot;006A77CF&quot;/&gt;&lt;wsp:rsid wsp:val=&quot;006A7DEC&quot;/&gt;&lt;wsp:rsid wsp:val=&quot;006B02DE&quot;/&gt;&lt;wsp:rsid wsp:val=&quot;006B034F&quot;/&gt;&lt;wsp:rsid wsp:val=&quot;006B038A&quot;/&gt;&lt;wsp:rsid wsp:val=&quot;006B0F8C&quot;/&gt;&lt;wsp:rsid wsp:val=&quot;006B0FC1&quot;/&gt;&lt;wsp:rsid wsp:val=&quot;006B10BC&quot;/&gt;&lt;wsp:rsid wsp:val=&quot;006B13A5&quot;/&gt;&lt;wsp:rsid wsp:val=&quot;006B18F3&quot;/&gt;&lt;wsp:rsid wsp:val=&quot;006B1927&quot;/&gt;&lt;wsp:rsid wsp:val=&quot;006B1FBD&quot;/&gt;&lt;wsp:rsid wsp:val=&quot;006B259B&quot;/&gt;&lt;wsp:rsid wsp:val=&quot;006B2A8B&quot;/&gt;&lt;wsp:rsid wsp:val=&quot;006B2F9E&quot;/&gt;&lt;wsp:rsid wsp:val=&quot;006B322F&quot;/&gt;&lt;wsp:rsid wsp:val=&quot;006B33D4&quot;/&gt;&lt;wsp:rsid wsp:val=&quot;006B373C&quot;/&gt;&lt;wsp:rsid wsp:val=&quot;006B376E&quot;/&gt;&lt;wsp:rsid wsp:val=&quot;006B3792&quot;/&gt;&lt;wsp:rsid wsp:val=&quot;006B40BB&quot;/&gt;&lt;wsp:rsid wsp:val=&quot;006B40EE&quot;/&gt;&lt;wsp:rsid wsp:val=&quot;006B44A3&quot;/&gt;&lt;wsp:rsid wsp:val=&quot;006B474C&quot;/&gt;&lt;wsp:rsid wsp:val=&quot;006B49F4&quot;/&gt;&lt;wsp:rsid wsp:val=&quot;006B4AB7&quot;/&gt;&lt;wsp:rsid wsp:val=&quot;006B5043&quot;/&gt;&lt;wsp:rsid wsp:val=&quot;006B51AE&quot;/&gt;&lt;wsp:rsid wsp:val=&quot;006B530D&quot;/&gt;&lt;wsp:rsid wsp:val=&quot;006B53EE&quot;/&gt;&lt;wsp:rsid wsp:val=&quot;006B54D5&quot;/&gt;&lt;wsp:rsid wsp:val=&quot;006B595C&quot;/&gt;&lt;wsp:rsid wsp:val=&quot;006B5B02&quot;/&gt;&lt;wsp:rsid wsp:val=&quot;006B5B3E&quot;/&gt;&lt;wsp:rsid wsp:val=&quot;006B6138&quot;/&gt;&lt;wsp:rsid wsp:val=&quot;006B660F&quot;/&gt;&lt;wsp:rsid wsp:val=&quot;006B67A5&quot;/&gt;&lt;wsp:rsid wsp:val=&quot;006B69B9&quot;/&gt;&lt;wsp:rsid wsp:val=&quot;006B6A63&quot;/&gt;&lt;wsp:rsid wsp:val=&quot;006B6C85&quot;/&gt;&lt;wsp:rsid wsp:val=&quot;006B6ECE&quot;/&gt;&lt;wsp:rsid wsp:val=&quot;006B6F30&quot;/&gt;&lt;wsp:rsid wsp:val=&quot;006B76FD&quot;/&gt;&lt;wsp:rsid wsp:val=&quot;006B7AD4&quot;/&gt;&lt;wsp:rsid wsp:val=&quot;006C00BF&quot;/&gt;&lt;wsp:rsid wsp:val=&quot;006C0191&quot;/&gt;&lt;wsp:rsid wsp:val=&quot;006C01B1&quot;/&gt;&lt;wsp:rsid wsp:val=&quot;006C05C4&quot;/&gt;&lt;wsp:rsid wsp:val=&quot;006C062C&quot;/&gt;&lt;wsp:rsid wsp:val=&quot;006C0771&quot;/&gt;&lt;wsp:rsid wsp:val=&quot;006C1095&quot;/&gt;&lt;wsp:rsid wsp:val=&quot;006C12C6&quot;/&gt;&lt;wsp:rsid wsp:val=&quot;006C1522&quot;/&gt;&lt;wsp:rsid wsp:val=&quot;006C1ECD&quot;/&gt;&lt;wsp:rsid wsp:val=&quot;006C20A0&quot;/&gt;&lt;wsp:rsid wsp:val=&quot;006C2549&quot;/&gt;&lt;wsp:rsid wsp:val=&quot;006C254F&quot;/&gt;&lt;wsp:rsid wsp:val=&quot;006C2893&quot;/&gt;&lt;wsp:rsid wsp:val=&quot;006C2AA7&quot;/&gt;&lt;wsp:rsid wsp:val=&quot;006C2BEC&quot;/&gt;&lt;wsp:rsid wsp:val=&quot;006C33CE&quot;/&gt;&lt;wsp:rsid wsp:val=&quot;006C357C&quot;/&gt;&lt;wsp:rsid wsp:val=&quot;006C361E&quot;/&gt;&lt;wsp:rsid wsp:val=&quot;006C3ED3&quot;/&gt;&lt;wsp:rsid wsp:val=&quot;006C5141&quot;/&gt;&lt;wsp:rsid wsp:val=&quot;006C5191&quot;/&gt;&lt;wsp:rsid wsp:val=&quot;006C5F7C&quot;/&gt;&lt;wsp:rsid wsp:val=&quot;006C6093&quot;/&gt;&lt;wsp:rsid wsp:val=&quot;006C669D&quot;/&gt;&lt;wsp:rsid wsp:val=&quot;006C6EC7&quot;/&gt;&lt;wsp:rsid wsp:val=&quot;006C77A2&quot;/&gt;&lt;wsp:rsid wsp:val=&quot;006C7ABE&quot;/&gt;&lt;wsp:rsid wsp:val=&quot;006C7C3B&quot;/&gt;&lt;wsp:rsid wsp:val=&quot;006D0013&quot;/&gt;&lt;wsp:rsid wsp:val=&quot;006D081C&quot;/&gt;&lt;wsp:rsid wsp:val=&quot;006D15EF&quot;/&gt;&lt;wsp:rsid wsp:val=&quot;006D1757&quot;/&gt;&lt;wsp:rsid wsp:val=&quot;006D1C73&quot;/&gt;&lt;wsp:rsid wsp:val=&quot;006D1E4A&quot;/&gt;&lt;wsp:rsid wsp:val=&quot;006D209C&quot;/&gt;&lt;wsp:rsid wsp:val=&quot;006D226C&quot;/&gt;&lt;wsp:rsid wsp:val=&quot;006D26AD&quot;/&gt;&lt;wsp:rsid wsp:val=&quot;006D2947&quot;/&gt;&lt;wsp:rsid wsp:val=&quot;006D2A72&quot;/&gt;&lt;wsp:rsid wsp:val=&quot;006D2A7F&quot;/&gt;&lt;wsp:rsid wsp:val=&quot;006D2B78&quot;/&gt;&lt;wsp:rsid wsp:val=&quot;006D2E52&quot;/&gt;&lt;wsp:rsid wsp:val=&quot;006D36E8&quot;/&gt;&lt;wsp:rsid wsp:val=&quot;006D3E7D&quot;/&gt;&lt;wsp:rsid wsp:val=&quot;006D3F95&quot;/&gt;&lt;wsp:rsid wsp:val=&quot;006D410B&quot;/&gt;&lt;wsp:rsid wsp:val=&quot;006D43AB&quot;/&gt;&lt;wsp:rsid wsp:val=&quot;006D4695&quot;/&gt;&lt;wsp:rsid wsp:val=&quot;006D4746&quot;/&gt;&lt;wsp:rsid wsp:val=&quot;006D54A3&quot;/&gt;&lt;wsp:rsid wsp:val=&quot;006D54E8&quot;/&gt;&lt;wsp:rsid wsp:val=&quot;006D636C&quot;/&gt;&lt;wsp:rsid wsp:val=&quot;006D63D7&quot;/&gt;&lt;wsp:rsid wsp:val=&quot;006D685E&quot;/&gt;&lt;wsp:rsid wsp:val=&quot;006D68DB&quot;/&gt;&lt;wsp:rsid wsp:val=&quot;006D6A1E&quot;/&gt;&lt;wsp:rsid wsp:val=&quot;006D6C69&quot;/&gt;&lt;wsp:rsid wsp:val=&quot;006D6D66&quot;/&gt;&lt;wsp:rsid wsp:val=&quot;006D6EB7&quot;/&gt;&lt;wsp:rsid wsp:val=&quot;006D7689&quot;/&gt;&lt;wsp:rsid wsp:val=&quot;006E0634&quot;/&gt;&lt;wsp:rsid wsp:val=&quot;006E086C&quot;/&gt;&lt;wsp:rsid wsp:val=&quot;006E180D&quot;/&gt;&lt;wsp:rsid wsp:val=&quot;006E18EA&quot;/&gt;&lt;wsp:rsid wsp:val=&quot;006E1DFB&quot;/&gt;&lt;wsp:rsid wsp:val=&quot;006E1E8E&quot;/&gt;&lt;wsp:rsid wsp:val=&quot;006E26A7&quot;/&gt;&lt;wsp:rsid wsp:val=&quot;006E2832&quot;/&gt;&lt;wsp:rsid wsp:val=&quot;006E2EA0&quot;/&gt;&lt;wsp:rsid wsp:val=&quot;006E311D&quot;/&gt;&lt;wsp:rsid wsp:val=&quot;006E320C&quot;/&gt;&lt;wsp:rsid wsp:val=&quot;006E3245&quot;/&gt;&lt;wsp:rsid wsp:val=&quot;006E33A2&quot;/&gt;&lt;wsp:rsid wsp:val=&quot;006E35DA&quot;/&gt;&lt;wsp:rsid wsp:val=&quot;006E371D&quot;/&gt;&lt;wsp:rsid wsp:val=&quot;006E39D3&quot;/&gt;&lt;wsp:rsid wsp:val=&quot;006E3A49&quot;/&gt;&lt;wsp:rsid wsp:val=&quot;006E3C78&quot;/&gt;&lt;wsp:rsid wsp:val=&quot;006E41FB&quot;/&gt;&lt;wsp:rsid wsp:val=&quot;006E4295&quot;/&gt;&lt;wsp:rsid wsp:val=&quot;006E439A&quot;/&gt;&lt;wsp:rsid wsp:val=&quot;006E4844&quot;/&gt;&lt;wsp:rsid wsp:val=&quot;006E4B63&quot;/&gt;&lt;wsp:rsid wsp:val=&quot;006E4CD3&quot;/&gt;&lt;wsp:rsid wsp:val=&quot;006E4F57&quot;/&gt;&lt;wsp:rsid wsp:val=&quot;006E521E&quot;/&gt;&lt;wsp:rsid wsp:val=&quot;006E54C7&quot;/&gt;&lt;wsp:rsid wsp:val=&quot;006E58C0&quot;/&gt;&lt;wsp:rsid wsp:val=&quot;006E5A2F&quot;/&gt;&lt;wsp:rsid wsp:val=&quot;006E5A89&quot;/&gt;&lt;wsp:rsid wsp:val=&quot;006E5C7C&quot;/&gt;&lt;wsp:rsid wsp:val=&quot;006E5D25&quot;/&gt;&lt;wsp:rsid wsp:val=&quot;006E5D9B&quot;/&gt;&lt;wsp:rsid wsp:val=&quot;006E6D4F&quot;/&gt;&lt;wsp:rsid wsp:val=&quot;006E6D51&quot;/&gt;&lt;wsp:rsid wsp:val=&quot;006E6E20&quot;/&gt;&lt;wsp:rsid wsp:val=&quot;006E6E2A&quot;/&gt;&lt;wsp:rsid wsp:val=&quot;006E7567&quot;/&gt;&lt;wsp:rsid wsp:val=&quot;006F00AE&quot;/&gt;&lt;wsp:rsid wsp:val=&quot;006F07E7&quot;/&gt;&lt;wsp:rsid wsp:val=&quot;006F07E8&quot;/&gt;&lt;wsp:rsid wsp:val=&quot;006F0B29&quot;/&gt;&lt;wsp:rsid wsp:val=&quot;006F0BB2&quot;/&gt;&lt;wsp:rsid wsp:val=&quot;006F1257&quot;/&gt;&lt;wsp:rsid wsp:val=&quot;006F130F&quot;/&gt;&lt;wsp:rsid wsp:val=&quot;006F1669&quot;/&gt;&lt;wsp:rsid wsp:val=&quot;006F1828&quot;/&gt;&lt;wsp:rsid wsp:val=&quot;006F18DE&quot;/&gt;&lt;wsp:rsid wsp:val=&quot;006F1C57&quot;/&gt;&lt;wsp:rsid wsp:val=&quot;006F1E5F&quot;/&gt;&lt;wsp:rsid wsp:val=&quot;006F2839&quot;/&gt;&lt;wsp:rsid wsp:val=&quot;006F291C&quot;/&gt;&lt;wsp:rsid wsp:val=&quot;006F2D5F&quot;/&gt;&lt;wsp:rsid wsp:val=&quot;006F3637&quot;/&gt;&lt;wsp:rsid wsp:val=&quot;006F4419&quot;/&gt;&lt;wsp:rsid wsp:val=&quot;006F4495&quot;/&gt;&lt;wsp:rsid wsp:val=&quot;006F4E97&quot;/&gt;&lt;wsp:rsid wsp:val=&quot;006F5710&quot;/&gt;&lt;wsp:rsid wsp:val=&quot;006F5796&quot;/&gt;&lt;wsp:rsid wsp:val=&quot;006F5A23&quot;/&gt;&lt;wsp:rsid wsp:val=&quot;006F5D32&quot;/&gt;&lt;wsp:rsid wsp:val=&quot;006F5E6B&quot;/&gt;&lt;wsp:rsid wsp:val=&quot;006F5F7E&quot;/&gt;&lt;wsp:rsid wsp:val=&quot;006F61A7&quot;/&gt;&lt;wsp:rsid wsp:val=&quot;006F66DD&quot;/&gt;&lt;wsp:rsid wsp:val=&quot;006F6F6C&quot;/&gt;&lt;wsp:rsid wsp:val=&quot;006F74DE&quot;/&gt;&lt;wsp:rsid wsp:val=&quot;006F769C&quot;/&gt;&lt;wsp:rsid wsp:val=&quot;006F7778&quot;/&gt;&lt;wsp:rsid wsp:val=&quot;006F7CA7&quot;/&gt;&lt;wsp:rsid wsp:val=&quot;00700907&quot;/&gt;&lt;wsp:rsid wsp:val=&quot;00700C00&quot;/&gt;&lt;wsp:rsid wsp:val=&quot;00700D1A&quot;/&gt;&lt;wsp:rsid wsp:val=&quot;007013F4&quot;/&gt;&lt;wsp:rsid wsp:val=&quot;00701714&quot;/&gt;&lt;wsp:rsid wsp:val=&quot;007017F4&quot;/&gt;&lt;wsp:rsid wsp:val=&quot;00701BD4&quot;/&gt;&lt;wsp:rsid wsp:val=&quot;00701E52&quot;/&gt;&lt;wsp:rsid wsp:val=&quot;007020AC&quot;/&gt;&lt;wsp:rsid wsp:val=&quot;007027F1&quot;/&gt;&lt;wsp:rsid wsp:val=&quot;00702D57&quot;/&gt;&lt;wsp:rsid wsp:val=&quot;00702EDD&quot;/&gt;&lt;wsp:rsid wsp:val=&quot;00703226&quot;/&gt;&lt;wsp:rsid wsp:val=&quot;00703705&quot;/&gt;&lt;wsp:rsid wsp:val=&quot;0070387D&quot;/&gt;&lt;wsp:rsid wsp:val=&quot;00703A1B&quot;/&gt;&lt;wsp:rsid wsp:val=&quot;0070411E&quot;/&gt;&lt;wsp:rsid wsp:val=&quot;007042E0&quot;/&gt;&lt;wsp:rsid wsp:val=&quot;007044B9&quot;/&gt;&lt;wsp:rsid wsp:val=&quot;00704D54&quot;/&gt;&lt;wsp:rsid wsp:val=&quot;00705021&quot;/&gt;&lt;wsp:rsid wsp:val=&quot;007051F7&quot;/&gt;&lt;wsp:rsid wsp:val=&quot;00705341&quot;/&gt;&lt;wsp:rsid wsp:val=&quot;0070545F&quot;/&gt;&lt;wsp:rsid wsp:val=&quot;00705FC5&quot;/&gt;&lt;wsp:rsid wsp:val=&quot;00705FD4&quot;/&gt;&lt;wsp:rsid wsp:val=&quot;0070670F&quot;/&gt;&lt;wsp:rsid wsp:val=&quot;00707129&quot;/&gt;&lt;wsp:rsid wsp:val=&quot;007075A4&quot;/&gt;&lt;wsp:rsid wsp:val=&quot;00707623&quot;/&gt;&lt;wsp:rsid wsp:val=&quot;00707C79&quot;/&gt;&lt;wsp:rsid wsp:val=&quot;00707E25&quot;/&gt;&lt;wsp:rsid wsp:val=&quot;00707F4F&quot;/&gt;&lt;wsp:rsid wsp:val=&quot;00710A6A&quot;/&gt;&lt;wsp:rsid wsp:val=&quot;00710BE7&quot;/&gt;&lt;wsp:rsid wsp:val=&quot;00711A58&quot;/&gt;&lt;wsp:rsid wsp:val=&quot;00711BB1&quot;/&gt;&lt;wsp:rsid wsp:val=&quot;00712131&quot;/&gt;&lt;wsp:rsid wsp:val=&quot;007125C5&quot;/&gt;&lt;wsp:rsid wsp:val=&quot;007126F3&quot;/&gt;&lt;wsp:rsid wsp:val=&quot;00712CF5&quot;/&gt;&lt;wsp:rsid wsp:val=&quot;007133A4&quot;/&gt;&lt;wsp:rsid wsp:val=&quot;00713762&quot;/&gt;&lt;wsp:rsid wsp:val=&quot;00713A6C&quot;/&gt;&lt;wsp:rsid wsp:val=&quot;00714097&quot;/&gt;&lt;wsp:rsid wsp:val=&quot;007144E2&quot;/&gt;&lt;wsp:rsid wsp:val=&quot;007145A0&quot;/&gt;&lt;wsp:rsid wsp:val=&quot;00714960&quot;/&gt;&lt;wsp:rsid wsp:val=&quot;00714B14&quot;/&gt;&lt;wsp:rsid wsp:val=&quot;00714B81&quot;/&gt;&lt;wsp:rsid wsp:val=&quot;00714BC7&quot;/&gt;&lt;wsp:rsid wsp:val=&quot;00714D74&quot;/&gt;&lt;wsp:rsid wsp:val=&quot;007153E9&quot;/&gt;&lt;wsp:rsid wsp:val=&quot;007156FA&quot;/&gt;&lt;wsp:rsid wsp:val=&quot;007159BC&quot;/&gt;&lt;wsp:rsid wsp:val=&quot;007159D5&quot;/&gt;&lt;wsp:rsid wsp:val=&quot;00715DCF&quot;/&gt;&lt;wsp:rsid wsp:val=&quot;00715E2C&quot;/&gt;&lt;wsp:rsid wsp:val=&quot;00715E71&quot;/&gt;&lt;wsp:rsid wsp:val=&quot;00716358&quot;/&gt;&lt;wsp:rsid wsp:val=&quot;00716B47&quot;/&gt;&lt;wsp:rsid wsp:val=&quot;00716E9F&quot;/&gt;&lt;wsp:rsid wsp:val=&quot;007170C2&quot;/&gt;&lt;wsp:rsid wsp:val=&quot;0071733E&quot;/&gt;&lt;wsp:rsid wsp:val=&quot;00717779&quot;/&gt;&lt;wsp:rsid wsp:val=&quot;00717848&quot;/&gt;&lt;wsp:rsid wsp:val=&quot;00717D5F&quot;/&gt;&lt;wsp:rsid wsp:val=&quot;00717EFA&quot;/&gt;&lt;wsp:rsid wsp:val=&quot;00720301&quot;/&gt;&lt;wsp:rsid wsp:val=&quot;0072051C&quot;/&gt;&lt;wsp:rsid wsp:val=&quot;00720AAA&quot;/&gt;&lt;wsp:rsid wsp:val=&quot;00720D20&quot;/&gt;&lt;wsp:rsid wsp:val=&quot;00720E75&quot;/&gt;&lt;wsp:rsid wsp:val=&quot;00720ECB&quot;/&gt;&lt;wsp:rsid wsp:val=&quot;00720F71&quot;/&gt;&lt;wsp:rsid wsp:val=&quot;00721566&quot;/&gt;&lt;wsp:rsid wsp:val=&quot;00721717&quot;/&gt;&lt;wsp:rsid wsp:val=&quot;007218D9&quot;/&gt;&lt;wsp:rsid wsp:val=&quot;00721DC7&quot;/&gt;&lt;wsp:rsid wsp:val=&quot;0072220F&quot;/&gt;&lt;wsp:rsid wsp:val=&quot;00722AB5&quot;/&gt;&lt;wsp:rsid wsp:val=&quot;00722BBE&quot;/&gt;&lt;wsp:rsid wsp:val=&quot;00722C32&quot;/&gt;&lt;wsp:rsid wsp:val=&quot;00722CA8&quot;/&gt;&lt;wsp:rsid wsp:val=&quot;00723034&quot;/&gt;&lt;wsp:rsid wsp:val=&quot;007231FF&quot;/&gt;&lt;wsp:rsid wsp:val=&quot;00723360&quot;/&gt;&lt;wsp:rsid wsp:val=&quot;007234D9&quot;/&gt;&lt;wsp:rsid wsp:val=&quot;00723698&quot;/&gt;&lt;wsp:rsid wsp:val=&quot;00723858&quot;/&gt;&lt;wsp:rsid wsp:val=&quot;00723DB1&quot;/&gt;&lt;wsp:rsid wsp:val=&quot;00724343&quot;/&gt;&lt;wsp:rsid wsp:val=&quot;007247BE&quot;/&gt;&lt;wsp:rsid wsp:val=&quot;007248AD&quot;/&gt;&lt;wsp:rsid wsp:val=&quot;00724F79&quot;/&gt;&lt;wsp:rsid wsp:val=&quot;00725728&quot;/&gt;&lt;wsp:rsid wsp:val=&quot;007258DE&quot;/&gt;&lt;wsp:rsid wsp:val=&quot;00725C8F&quot;/&gt;&lt;wsp:rsid wsp:val=&quot;00725CB7&quot;/&gt;&lt;wsp:rsid wsp:val=&quot;00726540&quot;/&gt;&lt;wsp:rsid wsp:val=&quot;00726643&quot;/&gt;&lt;wsp:rsid wsp:val=&quot;00726775&quot;/&gt;&lt;wsp:rsid wsp:val=&quot;00726832&quot;/&gt;&lt;wsp:rsid wsp:val=&quot;00726C96&quot;/&gt;&lt;wsp:rsid wsp:val=&quot;00726DEE&quot;/&gt;&lt;wsp:rsid wsp:val=&quot;00726F22&quot;/&gt;&lt;wsp:rsid wsp:val=&quot;0072712D&quot;/&gt;&lt;wsp:rsid wsp:val=&quot;007276D4&quot;/&gt;&lt;wsp:rsid wsp:val=&quot;00727975&quot;/&gt;&lt;wsp:rsid wsp:val=&quot;00727D72&quot;/&gt;&lt;wsp:rsid wsp:val=&quot;00727E44&quot;/&gt;&lt;wsp:rsid wsp:val=&quot;0073045A&quot;/&gt;&lt;wsp:rsid wsp:val=&quot;00730487&quot;/&gt;&lt;wsp:rsid wsp:val=&quot;00730527&quot;/&gt;&lt;wsp:rsid wsp:val=&quot;00730CE2&quot;/&gt;&lt;wsp:rsid wsp:val=&quot;00731069&quot;/&gt;&lt;wsp:rsid wsp:val=&quot;0073158E&quot;/&gt;&lt;wsp:rsid wsp:val=&quot;007316AC&quot;/&gt;&lt;wsp:rsid wsp:val=&quot;00731AB7&quot;/&gt;&lt;wsp:rsid wsp:val=&quot;00731DBA&quot;/&gt;&lt;wsp:rsid wsp:val=&quot;00732375&quot;/&gt;&lt;wsp:rsid wsp:val=&quot;00732535&quot;/&gt;&lt;wsp:rsid wsp:val=&quot;007328C7&quot;/&gt;&lt;wsp:rsid wsp:val=&quot;00732A0B&quot;/&gt;&lt;wsp:rsid wsp:val=&quot;00732AA4&quot;/&gt;&lt;wsp:rsid wsp:val=&quot;00732D14&quot;/&gt;&lt;wsp:rsid wsp:val=&quot;00732ED4&quot;/&gt;&lt;wsp:rsid wsp:val=&quot;007333B4&quot;/&gt;&lt;wsp:rsid wsp:val=&quot;0073364D&quot;/&gt;&lt;wsp:rsid wsp:val=&quot;007336CF&quot;/&gt;&lt;wsp:rsid wsp:val=&quot;00733801&quot;/&gt;&lt;wsp:rsid wsp:val=&quot;00733804&quot;/&gt;&lt;wsp:rsid wsp:val=&quot;00733C32&quot;/&gt;&lt;wsp:rsid wsp:val=&quot;00733D0E&quot;/&gt;&lt;wsp:rsid wsp:val=&quot;00734556&quot;/&gt;&lt;wsp:rsid wsp:val=&quot;0073475A&quot;/&gt;&lt;wsp:rsid wsp:val=&quot;0073476E&quot;/&gt;&lt;wsp:rsid wsp:val=&quot;00734850&quot;/&gt;&lt;wsp:rsid wsp:val=&quot;00734ADF&quot;/&gt;&lt;wsp:rsid wsp:val=&quot;00734E89&quot;/&gt;&lt;wsp:rsid wsp:val=&quot;00734F23&quot;/&gt;&lt;wsp:rsid wsp:val=&quot;0073530E&quot;/&gt;&lt;wsp:rsid wsp:val=&quot;00735DB4&quot;/&gt;&lt;wsp:rsid wsp:val=&quot;00735DE3&quot;/&gt;&lt;wsp:rsid wsp:val=&quot;00736038&quot;/&gt;&lt;wsp:rsid wsp:val=&quot;007362F7&quot;/&gt;&lt;wsp:rsid wsp:val=&quot;0073654D&quot;/&gt;&lt;wsp:rsid wsp:val=&quot;007365A5&quot;/&gt;&lt;wsp:rsid wsp:val=&quot;007369BB&quot;/&gt;&lt;wsp:rsid wsp:val=&quot;007369C1&quot;/&gt;&lt;wsp:rsid wsp:val=&quot;007369D0&quot;/&gt;&lt;wsp:rsid wsp:val=&quot;00736A59&quot;/&gt;&lt;wsp:rsid wsp:val=&quot;0073718A&quot;/&gt;&lt;wsp:rsid wsp:val=&quot;007372BD&quot;/&gt;&lt;wsp:rsid wsp:val=&quot;007372F8&quot;/&gt;&lt;wsp:rsid wsp:val=&quot;007375D7&quot;/&gt;&lt;wsp:rsid wsp:val=&quot;007378B2&quot;/&gt;&lt;wsp:rsid wsp:val=&quot;007378FC&quot;/&gt;&lt;wsp:rsid wsp:val=&quot;00737A1C&quot;/&gt;&lt;wsp:rsid wsp:val=&quot;00737D10&quot;/&gt;&lt;wsp:rsid wsp:val=&quot;00737E00&quot;/&gt;&lt;wsp:rsid wsp:val=&quot;0074009A&quot;/&gt;&lt;wsp:rsid wsp:val=&quot;007401BD&quot;/&gt;&lt;wsp:rsid wsp:val=&quot;00740293&quot;/&gt;&lt;wsp:rsid wsp:val=&quot;00740509&quot;/&gt;&lt;wsp:rsid wsp:val=&quot;00740A70&quot;/&gt;&lt;wsp:rsid wsp:val=&quot;00740CF5&quot;/&gt;&lt;wsp:rsid wsp:val=&quot;007410A8&quot;/&gt;&lt;wsp:rsid wsp:val=&quot;0074117D&quot;/&gt;&lt;wsp:rsid wsp:val=&quot;0074170F&quot;/&gt;&lt;wsp:rsid wsp:val=&quot;007423C7&quot;/&gt;&lt;wsp:rsid wsp:val=&quot;00742573&quot;/&gt;&lt;wsp:rsid wsp:val=&quot;00742AE6&quot;/&gt;&lt;wsp:rsid wsp:val=&quot;00742F23&quot;/&gt;&lt;wsp:rsid wsp:val=&quot;00743205&quot;/&gt;&lt;wsp:rsid wsp:val=&quot;007432C3&quot;/&gt;&lt;wsp:rsid wsp:val=&quot;007436C2&quot;/&gt;&lt;wsp:rsid wsp:val=&quot;00743C1C&quot;/&gt;&lt;wsp:rsid wsp:val=&quot;00744224&quot;/&gt;&lt;wsp:rsid wsp:val=&quot;0074458F&quot;/&gt;&lt;wsp:rsid wsp:val=&quot;00744599&quot;/&gt;&lt;wsp:rsid wsp:val=&quot;0074542A&quot;/&gt;&lt;wsp:rsid wsp:val=&quot;007456B3&quot;/&gt;&lt;wsp:rsid wsp:val=&quot;00745A90&quot;/&gt;&lt;wsp:rsid wsp:val=&quot;00745BB5&quot;/&gt;&lt;wsp:rsid wsp:val=&quot;00745C45&quot;/&gt;&lt;wsp:rsid wsp:val=&quot;00745E43&quot;/&gt;&lt;wsp:rsid wsp:val=&quot;00745E84&quot;/&gt;&lt;wsp:rsid wsp:val=&quot;0074606C&quot;/&gt;&lt;wsp:rsid wsp:val=&quot;00746235&quot;/&gt;&lt;wsp:rsid wsp:val=&quot;007462D6&quot;/&gt;&lt;wsp:rsid wsp:val=&quot;0074641C&quot;/&gt;&lt;wsp:rsid wsp:val=&quot;00746441&quot;/&gt;&lt;wsp:rsid wsp:val=&quot;00746896&quot;/&gt;&lt;wsp:rsid wsp:val=&quot;0074697A&quot;/&gt;&lt;wsp:rsid wsp:val=&quot;00746AD9&quot;/&gt;&lt;wsp:rsid wsp:val=&quot;00747900&quot;/&gt;&lt;wsp:rsid wsp:val=&quot;00747BCE&quot;/&gt;&lt;wsp:rsid wsp:val=&quot;00747E96&quot;/&gt;&lt;wsp:rsid wsp:val=&quot;0075014A&quot;/&gt;&lt;wsp:rsid wsp:val=&quot;007508DC&quot;/&gt;&lt;wsp:rsid wsp:val=&quot;0075112E&quot;/&gt;&lt;wsp:rsid wsp:val=&quot;00751224&quot;/&gt;&lt;wsp:rsid wsp:val=&quot;007512C6&quot;/&gt;&lt;wsp:rsid wsp:val=&quot;00751394&quot;/&gt;&lt;wsp:rsid wsp:val=&quot;007513EF&quot;/&gt;&lt;wsp:rsid wsp:val=&quot;00751753&quot;/&gt;&lt;wsp:rsid wsp:val=&quot;00751B06&quot;/&gt;&lt;wsp:rsid wsp:val=&quot;00751C38&quot;/&gt;&lt;wsp:rsid wsp:val=&quot;00752BAE&quot;/&gt;&lt;wsp:rsid wsp:val=&quot;00752D85&quot;/&gt;&lt;wsp:rsid wsp:val=&quot;0075302E&quot;/&gt;&lt;wsp:rsid wsp:val=&quot;007536D0&quot;/&gt;&lt;wsp:rsid wsp:val=&quot;00753B06&quot;/&gt;&lt;wsp:rsid wsp:val=&quot;00753B30&quot;/&gt;&lt;wsp:rsid wsp:val=&quot;00753F1B&quot;/&gt;&lt;wsp:rsid wsp:val=&quot;00754243&quot;/&gt;&lt;wsp:rsid wsp:val=&quot;00754335&quot;/&gt;&lt;wsp:rsid wsp:val=&quot;00754F43&quot;/&gt;&lt;wsp:rsid wsp:val=&quot;00755225&quot;/&gt;&lt;wsp:rsid wsp:val=&quot;007554A3&quot;/&gt;&lt;wsp:rsid wsp:val=&quot;00755B84&quot;/&gt;&lt;wsp:rsid wsp:val=&quot;00755D24&quot;/&gt;&lt;wsp:rsid wsp:val=&quot;00756554&quot;/&gt;&lt;wsp:rsid wsp:val=&quot;00756F92&quot;/&gt;&lt;wsp:rsid wsp:val=&quot;00757024&quot;/&gt;&lt;wsp:rsid wsp:val=&quot;007571C5&quot;/&gt;&lt;wsp:rsid wsp:val=&quot;00757301&quot;/&gt;&lt;wsp:rsid wsp:val=&quot;0075733E&quot;/&gt;&lt;wsp:rsid wsp:val=&quot;00757D6C&quot;/&gt;&lt;wsp:rsid wsp:val=&quot;00757E2A&quot;/&gt;&lt;wsp:rsid wsp:val=&quot;00757E50&quot;/&gt;&lt;wsp:rsid wsp:val=&quot;0076005D&quot;/&gt;&lt;wsp:rsid wsp:val=&quot;00760420&quot;/&gt;&lt;wsp:rsid wsp:val=&quot;00760BD6&quot;/&gt;&lt;wsp:rsid wsp:val=&quot;00760BE7&quot;/&gt;&lt;wsp:rsid wsp:val=&quot;00760CE4&quot;/&gt;&lt;wsp:rsid wsp:val=&quot;00760EDD&quot;/&gt;&lt;wsp:rsid wsp:val=&quot;00761063&quot;/&gt;&lt;wsp:rsid wsp:val=&quot;00761912&quot;/&gt;&lt;wsp:rsid wsp:val=&quot;00761B07&quot;/&gt;&lt;wsp:rsid wsp:val=&quot;00761F1D&quot;/&gt;&lt;wsp:rsid wsp:val=&quot;00761FED&quot;/&gt;&lt;wsp:rsid wsp:val=&quot;0076227B&quot;/&gt;&lt;wsp:rsid wsp:val=&quot;00762318&quot;/&gt;&lt;wsp:rsid wsp:val=&quot;007623C9&quot;/&gt;&lt;wsp:rsid wsp:val=&quot;0076240E&quot;/&gt;&lt;wsp:rsid wsp:val=&quot;00762612&quot;/&gt;&lt;wsp:rsid wsp:val=&quot;00762CA7&quot;/&gt;&lt;wsp:rsid wsp:val=&quot;00762CF6&quot;/&gt;&lt;wsp:rsid wsp:val=&quot;00762ED6&quot;/&gt;&lt;wsp:rsid wsp:val=&quot;00763055&quot;/&gt;&lt;wsp:rsid wsp:val=&quot;00763252&quot;/&gt;&lt;wsp:rsid wsp:val=&quot;00763A2C&quot;/&gt;&lt;wsp:rsid wsp:val=&quot;00763B3C&quot;/&gt;&lt;wsp:rsid wsp:val=&quot;00763BC7&quot;/&gt;&lt;wsp:rsid wsp:val=&quot;00763D97&quot;/&gt;&lt;wsp:rsid wsp:val=&quot;00763F9F&quot;/&gt;&lt;wsp:rsid wsp:val=&quot;0076423F&quot;/&gt;&lt;wsp:rsid wsp:val=&quot;007643C0&quot;/&gt;&lt;wsp:rsid wsp:val=&quot;007643C5&quot;/&gt;&lt;wsp:rsid wsp:val=&quot;007646D3&quot;/&gt;&lt;wsp:rsid wsp:val=&quot;00764701&quot;/&gt;&lt;wsp:rsid wsp:val=&quot;00764862&quot;/&gt;&lt;wsp:rsid wsp:val=&quot;00764A8F&quot;/&gt;&lt;wsp:rsid wsp:val=&quot;00764B34&quot;/&gt;&lt;wsp:rsid wsp:val=&quot;00764C33&quot;/&gt;&lt;wsp:rsid wsp:val=&quot;00764D51&quot;/&gt;&lt;wsp:rsid wsp:val=&quot;00764D91&quot;/&gt;&lt;wsp:rsid wsp:val=&quot;00764DD5&quot;/&gt;&lt;wsp:rsid wsp:val=&quot;00764E3F&quot;/&gt;&lt;wsp:rsid wsp:val=&quot;00764FCE&quot;/&gt;&lt;wsp:rsid wsp:val=&quot;0076556F&quot;/&gt;&lt;wsp:rsid wsp:val=&quot;00765719&quot;/&gt;&lt;wsp:rsid wsp:val=&quot;00765832&quot;/&gt;&lt;wsp:rsid wsp:val=&quot;0076596A&quot;/&gt;&lt;wsp:rsid wsp:val=&quot;00765DBC&quot;/&gt;&lt;wsp:rsid wsp:val=&quot;0076670C&quot;/&gt;&lt;wsp:rsid wsp:val=&quot;00766EFE&quot;/&gt;&lt;wsp:rsid wsp:val=&quot;00767339&quot;/&gt;&lt;wsp:rsid wsp:val=&quot;00767E15&quot;/&gt;&lt;wsp:rsid wsp:val=&quot;00767EF4&quot;/&gt;&lt;wsp:rsid wsp:val=&quot;0077003D&quot;/&gt;&lt;wsp:rsid wsp:val=&quot;007708BC&quot;/&gt;&lt;wsp:rsid wsp:val=&quot;007712D3&quot;/&gt;&lt;wsp:rsid wsp:val=&quot;007713CB&quot;/&gt;&lt;wsp:rsid wsp:val=&quot;0077174E&quot;/&gt;&lt;wsp:rsid wsp:val=&quot;00771AE3&quot;/&gt;&lt;wsp:rsid wsp:val=&quot;00771B46&quot;/&gt;&lt;wsp:rsid wsp:val=&quot;0077205B&quot;/&gt;&lt;wsp:rsid wsp:val=&quot;007722DE&quot;/&gt;&lt;wsp:rsid wsp:val=&quot;00772770&quot;/&gt;&lt;wsp:rsid wsp:val=&quot;00772A5D&quot;/&gt;&lt;wsp:rsid wsp:val=&quot;00772B4D&quot;/&gt;&lt;wsp:rsid wsp:val=&quot;00772EF5&quot;/&gt;&lt;wsp:rsid wsp:val=&quot;0077325B&quot;/&gt;&lt;wsp:rsid wsp:val=&quot;007733FF&quot;/&gt;&lt;wsp:rsid wsp:val=&quot;0077341D&quot;/&gt;&lt;wsp:rsid wsp:val=&quot;007735EF&quot;/&gt;&lt;wsp:rsid wsp:val=&quot;0077368F&quot;/&gt;&lt;wsp:rsid wsp:val=&quot;007736B1&quot;/&gt;&lt;wsp:rsid wsp:val=&quot;007737C1&quot;/&gt;&lt;wsp:rsid wsp:val=&quot;00773CB5&quot;/&gt;&lt;wsp:rsid wsp:val=&quot;00773EE9&quot;/&gt;&lt;wsp:rsid wsp:val=&quot;00773F92&quot;/&gt;&lt;wsp:rsid wsp:val=&quot;00773FB6&quot;/&gt;&lt;wsp:rsid wsp:val=&quot;0077401E&quot;/&gt;&lt;wsp:rsid wsp:val=&quot;00774436&quot;/&gt;&lt;wsp:rsid wsp:val=&quot;00774BC0&quot;/&gt;&lt;wsp:rsid wsp:val=&quot;00774D56&quot;/&gt;&lt;wsp:rsid wsp:val=&quot;007750CC&quot;/&gt;&lt;wsp:rsid wsp:val=&quot;0077534F&quot;/&gt;&lt;wsp:rsid wsp:val=&quot;00775784&quot;/&gt;&lt;wsp:rsid wsp:val=&quot;007758D1&quot;/&gt;&lt;wsp:rsid wsp:val=&quot;00775A32&quot;/&gt;&lt;wsp:rsid wsp:val=&quot;00775AAA&quot;/&gt;&lt;wsp:rsid wsp:val=&quot;00775E17&quot;/&gt;&lt;wsp:rsid wsp:val=&quot;00775FE1&quot;/&gt;&lt;wsp:rsid wsp:val=&quot;00776037&quot;/&gt;&lt;wsp:rsid wsp:val=&quot;00776370&quot;/&gt;&lt;wsp:rsid wsp:val=&quot;007766CF&quot;/&gt;&lt;wsp:rsid wsp:val=&quot;00776D5E&quot;/&gt;&lt;wsp:rsid wsp:val=&quot;00776D66&quot;/&gt;&lt;wsp:rsid wsp:val=&quot;00777421&quot;/&gt;&lt;wsp:rsid wsp:val=&quot;007777D9&quot;/&gt;&lt;wsp:rsid wsp:val=&quot;007777EA&quot;/&gt;&lt;wsp:rsid wsp:val=&quot;007801B0&quot;/&gt;&lt;wsp:rsid wsp:val=&quot;007803DE&quot;/&gt;&lt;wsp:rsid wsp:val=&quot;00780725&quot;/&gt;&lt;wsp:rsid wsp:val=&quot;00780C90&quot;/&gt;&lt;wsp:rsid wsp:val=&quot;00780F45&quot;/&gt;&lt;wsp:rsid wsp:val=&quot;00780F93&quot;/&gt;&lt;wsp:rsid wsp:val=&quot;00781180&quot;/&gt;&lt;wsp:rsid wsp:val=&quot;007812D4&quot;/&gt;&lt;wsp:rsid wsp:val=&quot;0078134A&quot;/&gt;&lt;wsp:rsid wsp:val=&quot;00781E85&quot;/&gt;&lt;wsp:rsid wsp:val=&quot;007822F1&quot;/&gt;&lt;wsp:rsid wsp:val=&quot;007825AC&quot;/&gt;&lt;wsp:rsid wsp:val=&quot;0078282E&quot;/&gt;&lt;wsp:rsid wsp:val=&quot;0078289F&quot;/&gt;&lt;wsp:rsid wsp:val=&quot;00782E11&quot;/&gt;&lt;wsp:rsid wsp:val=&quot;0078331E&quot;/&gt;&lt;wsp:rsid wsp:val=&quot;00783528&quot;/&gt;&lt;wsp:rsid wsp:val=&quot;0078376F&quot;/&gt;&lt;wsp:rsid wsp:val=&quot;007839B8&quot;/&gt;&lt;wsp:rsid wsp:val=&quot;007847FD&quot;/&gt;&lt;wsp:rsid wsp:val=&quot;0078487F&quot;/&gt;&lt;wsp:rsid wsp:val=&quot;00784AAE&quot;/&gt;&lt;wsp:rsid wsp:val=&quot;007850AF&quot;/&gt;&lt;wsp:rsid wsp:val=&quot;0078552C&quot;/&gt;&lt;wsp:rsid wsp:val=&quot;00785862&quot;/&gt;&lt;wsp:rsid wsp:val=&quot;00785AA9&quot;/&gt;&lt;wsp:rsid wsp:val=&quot;00785AD3&quot;/&gt;&lt;wsp:rsid wsp:val=&quot;00785DA7&quot;/&gt;&lt;wsp:rsid wsp:val=&quot;00785F57&quot;/&gt;&lt;wsp:rsid wsp:val=&quot;00786231&quot;/&gt;&lt;wsp:rsid wsp:val=&quot;00786707&quot;/&gt;&lt;wsp:rsid wsp:val=&quot;00786A04&quot;/&gt;&lt;wsp:rsid wsp:val=&quot;00786BB2&quot;/&gt;&lt;wsp:rsid wsp:val=&quot;00787174&quot;/&gt;&lt;wsp:rsid wsp:val=&quot;007872C0&quot;/&gt;&lt;wsp:rsid wsp:val=&quot;00787318&quot;/&gt;&lt;wsp:rsid wsp:val=&quot;00787440&quot;/&gt;&lt;wsp:rsid wsp:val=&quot;00787935&quot;/&gt;&lt;wsp:rsid wsp:val=&quot;00787A5A&quot;/&gt;&lt;wsp:rsid wsp:val=&quot;00787E07&quot;/&gt;&lt;wsp:rsid wsp:val=&quot;007903D7&quot;/&gt;&lt;wsp:rsid wsp:val=&quot;007907DA&quot;/&gt;&lt;wsp:rsid wsp:val=&quot;00790922&quot;/&gt;&lt;wsp:rsid wsp:val=&quot;00790AD6&quot;/&gt;&lt;wsp:rsid wsp:val=&quot;00790B02&quot;/&gt;&lt;wsp:rsid wsp:val=&quot;00790E0B&quot;/&gt;&lt;wsp:rsid wsp:val=&quot;00791069&quot;/&gt;&lt;wsp:rsid wsp:val=&quot;007922A2&quot;/&gt;&lt;wsp:rsid wsp:val=&quot;00792975&quot;/&gt;&lt;wsp:rsid wsp:val=&quot;00792A32&quot;/&gt;&lt;wsp:rsid wsp:val=&quot;00792BE9&quot;/&gt;&lt;wsp:rsid wsp:val=&quot;00792C66&quot;/&gt;&lt;wsp:rsid wsp:val=&quot;00792F7E&quot;/&gt;&lt;wsp:rsid wsp:val=&quot;00792FEE&quot;/&gt;&lt;wsp:rsid wsp:val=&quot;0079373C&quot;/&gt;&lt;wsp:rsid wsp:val=&quot;00793773&quot;/&gt;&lt;wsp:rsid wsp:val=&quot;00793DA9&quot;/&gt;&lt;wsp:rsid wsp:val=&quot;00794559&quot;/&gt;&lt;wsp:rsid wsp:val=&quot;0079487B&quot;/&gt;&lt;wsp:rsid wsp:val=&quot;00794BC0&quot;/&gt;&lt;wsp:rsid wsp:val=&quot;00794BEC&quot;/&gt;&lt;wsp:rsid wsp:val=&quot;00794EF8&quot;/&gt;&lt;wsp:rsid wsp:val=&quot;00795215&quot;/&gt;&lt;wsp:rsid wsp:val=&quot;0079539F&quot;/&gt;&lt;wsp:rsid wsp:val=&quot;00795433&quot;/&gt;&lt;wsp:rsid wsp:val=&quot;0079573F&quot;/&gt;&lt;wsp:rsid wsp:val=&quot;00795EF8&quot;/&gt;&lt;wsp:rsid wsp:val=&quot;0079662D&quot;/&gt;&lt;wsp:rsid wsp:val=&quot;00796954&quot;/&gt;&lt;wsp:rsid wsp:val=&quot;007969A1&quot;/&gt;&lt;wsp:rsid wsp:val=&quot;00797587&quot;/&gt;&lt;wsp:rsid wsp:val=&quot;0079772A&quot;/&gt;&lt;wsp:rsid wsp:val=&quot;007977EE&quot;/&gt;&lt;wsp:rsid wsp:val=&quot;007A03CB&quot;/&gt;&lt;wsp:rsid wsp:val=&quot;007A046B&quot;/&gt;&lt;wsp:rsid wsp:val=&quot;007A0493&quot;/&gt;&lt;wsp:rsid wsp:val=&quot;007A0658&quot;/&gt;&lt;wsp:rsid wsp:val=&quot;007A0677&quot;/&gt;&lt;wsp:rsid wsp:val=&quot;007A19BF&quot;/&gt;&lt;wsp:rsid wsp:val=&quot;007A1CE1&quot;/&gt;&lt;wsp:rsid wsp:val=&quot;007A209B&quot;/&gt;&lt;wsp:rsid wsp:val=&quot;007A24DC&quot;/&gt;&lt;wsp:rsid wsp:val=&quot;007A29D5&quot;/&gt;&lt;wsp:rsid wsp:val=&quot;007A2AFD&quot;/&gt;&lt;wsp:rsid wsp:val=&quot;007A2E34&quot;/&gt;&lt;wsp:rsid wsp:val=&quot;007A2F54&quot;/&gt;&lt;wsp:rsid wsp:val=&quot;007A340D&quot;/&gt;&lt;wsp:rsid wsp:val=&quot;007A3481&quot;/&gt;&lt;wsp:rsid wsp:val=&quot;007A353A&quot;/&gt;&lt;wsp:rsid wsp:val=&quot;007A39E2&quot;/&gt;&lt;wsp:rsid wsp:val=&quot;007A3A60&quot;/&gt;&lt;wsp:rsid wsp:val=&quot;007A3C15&quot;/&gt;&lt;wsp:rsid wsp:val=&quot;007A4178&quot;/&gt;&lt;wsp:rsid wsp:val=&quot;007A435C&quot;/&gt;&lt;wsp:rsid wsp:val=&quot;007A586B&quot;/&gt;&lt;wsp:rsid wsp:val=&quot;007A6453&quot;/&gt;&lt;wsp:rsid wsp:val=&quot;007A677B&quot;/&gt;&lt;wsp:rsid wsp:val=&quot;007A6A0B&quot;/&gt;&lt;wsp:rsid wsp:val=&quot;007A6E31&quot;/&gt;&lt;wsp:rsid wsp:val=&quot;007A6FE8&quot;/&gt;&lt;wsp:rsid wsp:val=&quot;007A72AA&quot;/&gt;&lt;wsp:rsid wsp:val=&quot;007A72EC&quot;/&gt;&lt;wsp:rsid wsp:val=&quot;007A73A7&quot;/&gt;&lt;wsp:rsid wsp:val=&quot;007A7A17&quot;/&gt;&lt;wsp:rsid wsp:val=&quot;007A7B90&quot;/&gt;&lt;wsp:rsid wsp:val=&quot;007B019A&quot;/&gt;&lt;wsp:rsid wsp:val=&quot;007B0610&quot;/&gt;&lt;wsp:rsid wsp:val=&quot;007B07BD&quot;/&gt;&lt;wsp:rsid wsp:val=&quot;007B0814&quot;/&gt;&lt;wsp:rsid wsp:val=&quot;007B0ABE&quot;/&gt;&lt;wsp:rsid wsp:val=&quot;007B16A9&quot;/&gt;&lt;wsp:rsid wsp:val=&quot;007B211A&quot;/&gt;&lt;wsp:rsid wsp:val=&quot;007B2583&quot;/&gt;&lt;wsp:rsid wsp:val=&quot;007B275C&quot;/&gt;&lt;wsp:rsid wsp:val=&quot;007B307E&quot;/&gt;&lt;wsp:rsid wsp:val=&quot;007B33FF&quot;/&gt;&lt;wsp:rsid wsp:val=&quot;007B3610&quot;/&gt;&lt;wsp:rsid wsp:val=&quot;007B38D1&quot;/&gt;&lt;wsp:rsid wsp:val=&quot;007B3B6A&quot;/&gt;&lt;wsp:rsid wsp:val=&quot;007B3BDC&quot;/&gt;&lt;wsp:rsid wsp:val=&quot;007B3F99&quot;/&gt;&lt;wsp:rsid wsp:val=&quot;007B42E4&quot;/&gt;&lt;wsp:rsid wsp:val=&quot;007B50D5&quot;/&gt;&lt;wsp:rsid wsp:val=&quot;007B50D6&quot;/&gt;&lt;wsp:rsid wsp:val=&quot;007B5141&quot;/&gt;&lt;wsp:rsid wsp:val=&quot;007B5358&quot;/&gt;&lt;wsp:rsid wsp:val=&quot;007B54A0&quot;/&gt;&lt;wsp:rsid wsp:val=&quot;007B580B&quot;/&gt;&lt;wsp:rsid wsp:val=&quot;007B5B44&quot;/&gt;&lt;wsp:rsid wsp:val=&quot;007B5E24&quot;/&gt;&lt;wsp:rsid wsp:val=&quot;007B69CA&quot;/&gt;&lt;wsp:rsid wsp:val=&quot;007B6B46&quot;/&gt;&lt;wsp:rsid wsp:val=&quot;007B741A&quot;/&gt;&lt;wsp:rsid wsp:val=&quot;007B771F&quot;/&gt;&lt;wsp:rsid wsp:val=&quot;007B7D7F&quot;/&gt;&lt;wsp:rsid wsp:val=&quot;007B7E7D&quot;/&gt;&lt;wsp:rsid wsp:val=&quot;007B7FCB&quot;/&gt;&lt;wsp:rsid wsp:val=&quot;007C0CFB&quot;/&gt;&lt;wsp:rsid wsp:val=&quot;007C0FF4&quot;/&gt;&lt;wsp:rsid wsp:val=&quot;007C11C8&quot;/&gt;&lt;wsp:rsid wsp:val=&quot;007C1591&quot;/&gt;&lt;wsp:rsid wsp:val=&quot;007C20DB&quot;/&gt;&lt;wsp:rsid wsp:val=&quot;007C23CA&quot;/&gt;&lt;wsp:rsid wsp:val=&quot;007C29E7&quot;/&gt;&lt;wsp:rsid wsp:val=&quot;007C2ECB&quot;/&gt;&lt;wsp:rsid wsp:val=&quot;007C2EEE&quot;/&gt;&lt;wsp:rsid wsp:val=&quot;007C32BA&quot;/&gt;&lt;wsp:rsid wsp:val=&quot;007C3367&quot;/&gt;&lt;wsp:rsid wsp:val=&quot;007C364E&quot;/&gt;&lt;wsp:rsid wsp:val=&quot;007C36B1&quot;/&gt;&lt;wsp:rsid wsp:val=&quot;007C3722&quot;/&gt;&lt;wsp:rsid wsp:val=&quot;007C3747&quot;/&gt;&lt;wsp:rsid wsp:val=&quot;007C38D9&quot;/&gt;&lt;wsp:rsid wsp:val=&quot;007C3DE5&quot;/&gt;&lt;wsp:rsid wsp:val=&quot;007C4074&quot;/&gt;&lt;wsp:rsid wsp:val=&quot;007C4F5A&quot;/&gt;&lt;wsp:rsid wsp:val=&quot;007C50F4&quot;/&gt;&lt;wsp:rsid wsp:val=&quot;007C5200&quot;/&gt;&lt;wsp:rsid wsp:val=&quot;007C5581&quot;/&gt;&lt;wsp:rsid wsp:val=&quot;007C5732&quot;/&gt;&lt;wsp:rsid wsp:val=&quot;007C5A5A&quot;/&gt;&lt;wsp:rsid wsp:val=&quot;007C5DA4&quot;/&gt;&lt;wsp:rsid wsp:val=&quot;007C5DD1&quot;/&gt;&lt;wsp:rsid wsp:val=&quot;007C6326&quot;/&gt;&lt;wsp:rsid wsp:val=&quot;007C684E&quot;/&gt;&lt;wsp:rsid wsp:val=&quot;007C6C41&quot;/&gt;&lt;wsp:rsid wsp:val=&quot;007C72F0&quot;/&gt;&lt;wsp:rsid wsp:val=&quot;007C73BA&quot;/&gt;&lt;wsp:rsid wsp:val=&quot;007C7797&quot;/&gt;&lt;wsp:rsid wsp:val=&quot;007C7A6B&quot;/&gt;&lt;wsp:rsid wsp:val=&quot;007C7C0D&quot;/&gt;&lt;wsp:rsid wsp:val=&quot;007D0152&quot;/&gt;&lt;wsp:rsid wsp:val=&quot;007D0A4F&quot;/&gt;&lt;wsp:rsid wsp:val=&quot;007D0CEE&quot;/&gt;&lt;wsp:rsid wsp:val=&quot;007D0E99&quot;/&gt;&lt;wsp:rsid wsp:val=&quot;007D0EC3&quot;/&gt;&lt;wsp:rsid wsp:val=&quot;007D124F&quot;/&gt;&lt;wsp:rsid wsp:val=&quot;007D12C0&quot;/&gt;&lt;wsp:rsid wsp:val=&quot;007D150B&quot;/&gt;&lt;wsp:rsid wsp:val=&quot;007D1607&quot;/&gt;&lt;wsp:rsid wsp:val=&quot;007D1645&quot;/&gt;&lt;wsp:rsid wsp:val=&quot;007D18E0&quot;/&gt;&lt;wsp:rsid wsp:val=&quot;007D1BC1&quot;/&gt;&lt;wsp:rsid wsp:val=&quot;007D1C66&quot;/&gt;&lt;wsp:rsid wsp:val=&quot;007D1CC7&quot;/&gt;&lt;wsp:rsid wsp:val=&quot;007D1CFA&quot;/&gt;&lt;wsp:rsid wsp:val=&quot;007D1E39&quot;/&gt;&lt;wsp:rsid wsp:val=&quot;007D2240&quot;/&gt;&lt;wsp:rsid wsp:val=&quot;007D22B0&quot;/&gt;&lt;wsp:rsid wsp:val=&quot;007D2504&quot;/&gt;&lt;wsp:rsid wsp:val=&quot;007D279A&quot;/&gt;&lt;wsp:rsid wsp:val=&quot;007D2ABA&quot;/&gt;&lt;wsp:rsid wsp:val=&quot;007D2ADC&quot;/&gt;&lt;wsp:rsid wsp:val=&quot;007D2D26&quot;/&gt;&lt;wsp:rsid wsp:val=&quot;007D2EB8&quot;/&gt;&lt;wsp:rsid wsp:val=&quot;007D2EC6&quot;/&gt;&lt;wsp:rsid wsp:val=&quot;007D3264&quot;/&gt;&lt;wsp:rsid wsp:val=&quot;007D32FF&quot;/&gt;&lt;wsp:rsid wsp:val=&quot;007D375C&quot;/&gt;&lt;wsp:rsid wsp:val=&quot;007D3C9B&quot;/&gt;&lt;wsp:rsid wsp:val=&quot;007D409B&quot;/&gt;&lt;wsp:rsid wsp:val=&quot;007D41AB&quot;/&gt;&lt;wsp:rsid wsp:val=&quot;007D4587&quot;/&gt;&lt;wsp:rsid wsp:val=&quot;007D47CB&quot;/&gt;&lt;wsp:rsid wsp:val=&quot;007D4BC7&quot;/&gt;&lt;wsp:rsid wsp:val=&quot;007D4C39&quot;/&gt;&lt;wsp:rsid wsp:val=&quot;007D4D48&quot;/&gt;&lt;wsp:rsid wsp:val=&quot;007D4DA5&quot;/&gt;&lt;wsp:rsid wsp:val=&quot;007D5948&quot;/&gt;&lt;wsp:rsid wsp:val=&quot;007D5B4C&quot;/&gt;&lt;wsp:rsid wsp:val=&quot;007D5C25&quot;/&gt;&lt;wsp:rsid wsp:val=&quot;007D5D86&quot;/&gt;&lt;wsp:rsid wsp:val=&quot;007D5EA0&quot;/&gt;&lt;wsp:rsid wsp:val=&quot;007D5FDB&quot;/&gt;&lt;wsp:rsid wsp:val=&quot;007D627E&quot;/&gt;&lt;wsp:rsid wsp:val=&quot;007D62FD&quot;/&gt;&lt;wsp:rsid wsp:val=&quot;007D6494&quot;/&gt;&lt;wsp:rsid wsp:val=&quot;007D64A7&quot;/&gt;&lt;wsp:rsid wsp:val=&quot;007D6508&quot;/&gt;&lt;wsp:rsid wsp:val=&quot;007D6C21&quot;/&gt;&lt;wsp:rsid wsp:val=&quot;007D716E&quot;/&gt;&lt;wsp:rsid wsp:val=&quot;007D7ACF&quot;/&gt;&lt;wsp:rsid wsp:val=&quot;007D7BCF&quot;/&gt;&lt;wsp:rsid wsp:val=&quot;007E00E4&quot;/&gt;&lt;wsp:rsid wsp:val=&quot;007E0268&quot;/&gt;&lt;wsp:rsid wsp:val=&quot;007E060E&quot;/&gt;&lt;wsp:rsid wsp:val=&quot;007E087A&quot;/&gt;&lt;wsp:rsid wsp:val=&quot;007E0969&quot;/&gt;&lt;wsp:rsid wsp:val=&quot;007E09FA&quot;/&gt;&lt;wsp:rsid wsp:val=&quot;007E1244&quot;/&gt;&lt;wsp:rsid wsp:val=&quot;007E1A43&quot;/&gt;&lt;wsp:rsid wsp:val=&quot;007E1A52&quot;/&gt;&lt;wsp:rsid wsp:val=&quot;007E1ADE&quot;/&gt;&lt;wsp:rsid wsp:val=&quot;007E1D43&quot;/&gt;&lt;wsp:rsid wsp:val=&quot;007E1D4D&quot;/&gt;&lt;wsp:rsid wsp:val=&quot;007E2123&quot;/&gt;&lt;wsp:rsid wsp:val=&quot;007E241C&quot;/&gt;&lt;wsp:rsid wsp:val=&quot;007E2834&quot;/&gt;&lt;wsp:rsid wsp:val=&quot;007E2BC4&quot;/&gt;&lt;wsp:rsid wsp:val=&quot;007E2DA6&quot;/&gt;&lt;wsp:rsid wsp:val=&quot;007E2FA4&quot;/&gt;&lt;wsp:rsid wsp:val=&quot;007E30B9&quot;/&gt;&lt;wsp:rsid wsp:val=&quot;007E3370&quot;/&gt;&lt;wsp:rsid wsp:val=&quot;007E3593&quot;/&gt;&lt;wsp:rsid wsp:val=&quot;007E3686&quot;/&gt;&lt;wsp:rsid wsp:val=&quot;007E3EA5&quot;/&gt;&lt;wsp:rsid wsp:val=&quot;007E3F11&quot;/&gt;&lt;wsp:rsid wsp:val=&quot;007E3F9E&quot;/&gt;&lt;wsp:rsid wsp:val=&quot;007E47F7&quot;/&gt;&lt;wsp:rsid wsp:val=&quot;007E48E6&quot;/&gt;&lt;wsp:rsid wsp:val=&quot;007E4A75&quot;/&gt;&lt;wsp:rsid wsp:val=&quot;007E4A99&quot;/&gt;&lt;wsp:rsid wsp:val=&quot;007E4C83&quot;/&gt;&lt;wsp:rsid wsp:val=&quot;007E4FF9&quot;/&gt;&lt;wsp:rsid wsp:val=&quot;007E56C3&quot;/&gt;&lt;wsp:rsid wsp:val=&quot;007E5D09&quot;/&gt;&lt;wsp:rsid wsp:val=&quot;007E5D15&quot;/&gt;&lt;wsp:rsid wsp:val=&quot;007E60E4&quot;/&gt;&lt;wsp:rsid wsp:val=&quot;007E61AF&quot;/&gt;&lt;wsp:rsid wsp:val=&quot;007E61DC&quot;/&gt;&lt;wsp:rsid wsp:val=&quot;007E6348&quot;/&gt;&lt;wsp:rsid wsp:val=&quot;007E63EE&quot;/&gt;&lt;wsp:rsid wsp:val=&quot;007E64B8&quot;/&gt;&lt;wsp:rsid wsp:val=&quot;007E6716&quot;/&gt;&lt;wsp:rsid wsp:val=&quot;007E67E9&quot;/&gt;&lt;wsp:rsid wsp:val=&quot;007E6845&quot;/&gt;&lt;wsp:rsid wsp:val=&quot;007E684D&quot;/&gt;&lt;wsp:rsid wsp:val=&quot;007E6ADF&quot;/&gt;&lt;wsp:rsid wsp:val=&quot;007E6AFE&quot;/&gt;&lt;wsp:rsid wsp:val=&quot;007E6EC8&quot;/&gt;&lt;wsp:rsid wsp:val=&quot;007E710C&quot;/&gt;&lt;wsp:rsid wsp:val=&quot;007E72A0&quot;/&gt;&lt;wsp:rsid wsp:val=&quot;007E7602&quot;/&gt;&lt;wsp:rsid wsp:val=&quot;007E769B&quot;/&gt;&lt;wsp:rsid wsp:val=&quot;007E76D6&quot;/&gt;&lt;wsp:rsid wsp:val=&quot;007E775F&quot;/&gt;&lt;wsp:rsid wsp:val=&quot;007E7799&quot;/&gt;&lt;wsp:rsid wsp:val=&quot;007E7C3A&quot;/&gt;&lt;wsp:rsid wsp:val=&quot;007F0137&quot;/&gt;&lt;wsp:rsid wsp:val=&quot;007F0F44&quot;/&gt;&lt;wsp:rsid wsp:val=&quot;007F13C7&quot;/&gt;&lt;wsp:rsid wsp:val=&quot;007F13E5&quot;/&gt;&lt;wsp:rsid wsp:val=&quot;007F1C37&quot;/&gt;&lt;wsp:rsid wsp:val=&quot;007F1C87&quot;/&gt;&lt;wsp:rsid wsp:val=&quot;007F1EB8&quot;/&gt;&lt;wsp:rsid wsp:val=&quot;007F2148&quot;/&gt;&lt;wsp:rsid wsp:val=&quot;007F2178&quot;/&gt;&lt;wsp:rsid wsp:val=&quot;007F2329&quot;/&gt;&lt;wsp:rsid wsp:val=&quot;007F2475&quot;/&gt;&lt;wsp:rsid wsp:val=&quot;007F28FE&quot;/&gt;&lt;wsp:rsid wsp:val=&quot;007F2C05&quot;/&gt;&lt;wsp:rsid wsp:val=&quot;007F2F0B&quot;/&gt;&lt;wsp:rsid wsp:val=&quot;007F3061&quot;/&gt;&lt;wsp:rsid wsp:val=&quot;007F31BC&quot;/&gt;&lt;wsp:rsid wsp:val=&quot;007F34DE&quot;/&gt;&lt;wsp:rsid wsp:val=&quot;007F390A&quot;/&gt;&lt;wsp:rsid wsp:val=&quot;007F4472&quot;/&gt;&lt;wsp:rsid wsp:val=&quot;007F4B96&quot;/&gt;&lt;wsp:rsid wsp:val=&quot;007F4F74&quot;/&gt;&lt;wsp:rsid wsp:val=&quot;007F5177&quot;/&gt;&lt;wsp:rsid wsp:val=&quot;007F60E6&quot;/&gt;&lt;wsp:rsid wsp:val=&quot;007F6270&quot;/&gt;&lt;wsp:rsid wsp:val=&quot;007F6404&quot;/&gt;&lt;wsp:rsid wsp:val=&quot;007F718E&quot;/&gt;&lt;wsp:rsid wsp:val=&quot;007F771F&quot;/&gt;&lt;wsp:rsid wsp:val=&quot;007F7A4C&quot;/&gt;&lt;wsp:rsid wsp:val=&quot;008001D8&quot;/&gt;&lt;wsp:rsid wsp:val=&quot;008006A8&quot;/&gt;&lt;wsp:rsid wsp:val=&quot;00800BB8&quot;/&gt;&lt;wsp:rsid wsp:val=&quot;00800E2C&quot;/&gt;&lt;wsp:rsid wsp:val=&quot;00800F0F&quot;/&gt;&lt;wsp:rsid wsp:val=&quot;00801002&quot;/&gt;&lt;wsp:rsid wsp:val=&quot;00802450&quot;/&gt;&lt;wsp:rsid wsp:val=&quot;008025B5&quot;/&gt;&lt;wsp:rsid wsp:val=&quot;0080274C&quot;/&gt;&lt;wsp:rsid wsp:val=&quot;00802CB7&quot;/&gt;&lt;wsp:rsid wsp:val=&quot;00802CDF&quot;/&gt;&lt;wsp:rsid wsp:val=&quot;00802E4A&quot;/&gt;&lt;wsp:rsid wsp:val=&quot;00802EE9&quot;/&gt;&lt;wsp:rsid wsp:val=&quot;00803A2E&quot;/&gt;&lt;wsp:rsid wsp:val=&quot;00803FF4&quot;/&gt;&lt;wsp:rsid wsp:val=&quot;0080414C&quot;/&gt;&lt;wsp:rsid wsp:val=&quot;008041B4&quot;/&gt;&lt;wsp:rsid wsp:val=&quot;008043C2&quot;/&gt;&lt;wsp:rsid wsp:val=&quot;00804428&quot;/&gt;&lt;wsp:rsid wsp:val=&quot;00804761&quot;/&gt;&lt;wsp:rsid wsp:val=&quot;008047A2&quot;/&gt;&lt;wsp:rsid wsp:val=&quot;00804A49&quot;/&gt;&lt;wsp:rsid wsp:val=&quot;00804C46&quot;/&gt;&lt;wsp:rsid wsp:val=&quot;008050C6&quot;/&gt;&lt;wsp:rsid wsp:val=&quot;0080576A&quot;/&gt;&lt;wsp:rsid wsp:val=&quot;00805848&quot;/&gt;&lt;wsp:rsid wsp:val=&quot;00806065&quot;/&gt;&lt;wsp:rsid wsp:val=&quot;00806A5A&quot;/&gt;&lt;wsp:rsid wsp:val=&quot;008071B3&quot;/&gt;&lt;wsp:rsid wsp:val=&quot;00807212&quot;/&gt;&lt;wsp:rsid wsp:val=&quot;0080760F&quot;/&gt;&lt;wsp:rsid wsp:val=&quot;00807880&quot;/&gt;&lt;wsp:rsid wsp:val=&quot;00807C26&quot;/&gt;&lt;wsp:rsid wsp:val=&quot;00807F63&quot;/&gt;&lt;wsp:rsid wsp:val=&quot;00810315&quot;/&gt;&lt;wsp:rsid wsp:val=&quot;00810398&quot;/&gt;&lt;wsp:rsid wsp:val=&quot;00810414&quot;/&gt;&lt;wsp:rsid wsp:val=&quot;00810708&quot;/&gt;&lt;wsp:rsid wsp:val=&quot;008108F0&quot;/&gt;&lt;wsp:rsid wsp:val=&quot;008109F5&quot;/&gt;&lt;wsp:rsid wsp:val=&quot;00810C6B&quot;/&gt;&lt;wsp:rsid wsp:val=&quot;00811081&quot;/&gt;&lt;wsp:rsid wsp:val=&quot;008110E1&quot;/&gt;&lt;wsp:rsid wsp:val=&quot;00811601&quot;/&gt;&lt;wsp:rsid wsp:val=&quot;00811852&quot;/&gt;&lt;wsp:rsid wsp:val=&quot;00811902&quot;/&gt;&lt;wsp:rsid wsp:val=&quot;00811A43&quot;/&gt;&lt;wsp:rsid wsp:val=&quot;00811FE4&quot;/&gt;&lt;wsp:rsid wsp:val=&quot;00812170&quot;/&gt;&lt;wsp:rsid wsp:val=&quot;0081258B&quot;/&gt;&lt;wsp:rsid wsp:val=&quot;00812BBB&quot;/&gt;&lt;wsp:rsid wsp:val=&quot;00812C46&quot;/&gt;&lt;wsp:rsid wsp:val=&quot;00812CD9&quot;/&gt;&lt;wsp:rsid wsp:val=&quot;008132A5&quot;/&gt;&lt;wsp:rsid wsp:val=&quot;00813330&quot;/&gt;&lt;wsp:rsid wsp:val=&quot;00813361&quot;/&gt;&lt;wsp:rsid wsp:val=&quot;008134AA&quot;/&gt;&lt;wsp:rsid wsp:val=&quot;008137F2&quot;/&gt;&lt;wsp:rsid wsp:val=&quot;00813849&quot;/&gt;&lt;wsp:rsid wsp:val=&quot;00814082&quot;/&gt;&lt;wsp:rsid wsp:val=&quot;0081486F&quot;/&gt;&lt;wsp:rsid wsp:val=&quot;00814B3B&quot;/&gt;&lt;wsp:rsid wsp:val=&quot;00814B61&quot;/&gt;&lt;wsp:rsid wsp:val=&quot;00815174&quot;/&gt;&lt;wsp:rsid wsp:val=&quot;008155F9&quot;/&gt;&lt;wsp:rsid wsp:val=&quot;008159A1&quot;/&gt;&lt;wsp:rsid wsp:val=&quot;00815B37&quot;/&gt;&lt;wsp:rsid wsp:val=&quot;00815EA7&quot;/&gt;&lt;wsp:rsid wsp:val=&quot;00815EBD&quot;/&gt;&lt;wsp:rsid wsp:val=&quot;008162FE&quot;/&gt;&lt;wsp:rsid wsp:val=&quot;00816398&quot;/&gt;&lt;wsp:rsid wsp:val=&quot;0081654E&quot;/&gt;&lt;wsp:rsid wsp:val=&quot;00816C1E&quot;/&gt;&lt;wsp:rsid wsp:val=&quot;00816C46&quot;/&gt;&lt;wsp:rsid wsp:val=&quot;00816D56&quot;/&gt;&lt;wsp:rsid wsp:val=&quot;008171AB&quot;/&gt;&lt;wsp:rsid wsp:val=&quot;008172B0&quot;/&gt;&lt;wsp:rsid wsp:val=&quot;00817387&quot;/&gt;&lt;wsp:rsid wsp:val=&quot;0081797F&quot;/&gt;&lt;wsp:rsid wsp:val=&quot;008200DC&quot;/&gt;&lt;wsp:rsid wsp:val=&quot;008203C2&quot;/&gt;&lt;wsp:rsid wsp:val=&quot;00821293&quot;/&gt;&lt;wsp:rsid wsp:val=&quot;00821807&quot;/&gt;&lt;wsp:rsid wsp:val=&quot;00821895&quot;/&gt;&lt;wsp:rsid wsp:val=&quot;00821A6B&quot;/&gt;&lt;wsp:rsid wsp:val=&quot;00821CE2&quot;/&gt;&lt;wsp:rsid wsp:val=&quot;008220BB&quot;/&gt;&lt;wsp:rsid wsp:val=&quot;00822539&quot;/&gt;&lt;wsp:rsid wsp:val=&quot;008234B3&quot;/&gt;&lt;wsp:rsid wsp:val=&quot;00823566&quot;/&gt;&lt;wsp:rsid wsp:val=&quot;00823B15&quot;/&gt;&lt;wsp:rsid wsp:val=&quot;00824561&quot;/&gt;&lt;wsp:rsid wsp:val=&quot;0082502E&quot;/&gt;&lt;wsp:rsid wsp:val=&quot;008251CA&quot;/&gt;&lt;wsp:rsid wsp:val=&quot;008253C6&quot;/&gt;&lt;wsp:rsid wsp:val=&quot;008253F0&quot;/&gt;&lt;wsp:rsid wsp:val=&quot;008256F2&quot;/&gt;&lt;wsp:rsid wsp:val=&quot;00825F83&quot;/&gt;&lt;wsp:rsid wsp:val=&quot;0082612E&quot;/&gt;&lt;wsp:rsid wsp:val=&quot;008262C5&quot;/&gt;&lt;wsp:rsid wsp:val=&quot;00826510&quot;/&gt;&lt;wsp:rsid wsp:val=&quot;0082706E&quot;/&gt;&lt;wsp:rsid wsp:val=&quot;0082759B&quot;/&gt;&lt;wsp:rsid wsp:val=&quot;00827BCA&quot;/&gt;&lt;wsp:rsid wsp:val=&quot;00827DAD&quot;/&gt;&lt;wsp:rsid wsp:val=&quot;00827F05&quot;/&gt;&lt;wsp:rsid wsp:val=&quot;00827F6D&quot;/&gt;&lt;wsp:rsid wsp:val=&quot;0083080E&quot;/&gt;&lt;wsp:rsid wsp:val=&quot;0083086C&quot;/&gt;&lt;wsp:rsid wsp:val=&quot;00830CF4&quot;/&gt;&lt;wsp:rsid wsp:val=&quot;00830DAF&quot;/&gt;&lt;wsp:rsid wsp:val=&quot;00830F63&quot;/&gt;&lt;wsp:rsid wsp:val=&quot;00830F77&quot;/&gt;&lt;wsp:rsid wsp:val=&quot;008311D9&quot;/&gt;&lt;wsp:rsid wsp:val=&quot;00831486&quot;/&gt;&lt;wsp:rsid wsp:val=&quot;00831AC1&quot;/&gt;&lt;wsp:rsid wsp:val=&quot;00831F2E&quot;/&gt;&lt;wsp:rsid wsp:val=&quot;008325A4&quot;/&gt;&lt;wsp:rsid wsp:val=&quot;00832ADC&quot;/&gt;&lt;wsp:rsid wsp:val=&quot;00832E81&quot;/&gt;&lt;wsp:rsid wsp:val=&quot;00833A63&quot;/&gt;&lt;wsp:rsid wsp:val=&quot;00833BF2&quot;/&gt;&lt;wsp:rsid wsp:val=&quot;00833D11&quot;/&gt;&lt;wsp:rsid wsp:val=&quot;00833D69&quot;/&gt;&lt;wsp:rsid wsp:val=&quot;00833F52&quot;/&gt;&lt;wsp:rsid wsp:val=&quot;00834120&quot;/&gt;&lt;wsp:rsid wsp:val=&quot;00834185&quot;/&gt;&lt;wsp:rsid wsp:val=&quot;00834541&quot;/&gt;&lt;wsp:rsid wsp:val=&quot;00834920&quot;/&gt;&lt;wsp:rsid wsp:val=&quot;008349E6&quot;/&gt;&lt;wsp:rsid wsp:val=&quot;00834C64&quot;/&gt;&lt;wsp:rsid wsp:val=&quot;00834ECA&quot;/&gt;&lt;wsp:rsid wsp:val=&quot;00834ED1&quot;/&gt;&lt;wsp:rsid wsp:val=&quot;00834EE9&quot;/&gt;&lt;wsp:rsid wsp:val=&quot;00835031&quot;/&gt;&lt;wsp:rsid wsp:val=&quot;008354B6&quot;/&gt;&lt;wsp:rsid wsp:val=&quot;00835797&quot;/&gt;&lt;wsp:rsid wsp:val=&quot;00835A24&quot;/&gt;&lt;wsp:rsid wsp:val=&quot;00835B9C&quot;/&gt;&lt;wsp:rsid wsp:val=&quot;00835BEA&quot;/&gt;&lt;wsp:rsid wsp:val=&quot;00835C42&quot;/&gt;&lt;wsp:rsid wsp:val=&quot;00836133&quot;/&gt;&lt;wsp:rsid wsp:val=&quot;0083635A&quot;/&gt;&lt;wsp:rsid wsp:val=&quot;008365CB&quot;/&gt;&lt;wsp:rsid wsp:val=&quot;00836C7C&quot;/&gt;&lt;wsp:rsid wsp:val=&quot;00836DB2&quot;/&gt;&lt;wsp:rsid wsp:val=&quot;00836F53&quot;/&gt;&lt;wsp:rsid wsp:val=&quot;00837197&quot;/&gt;&lt;wsp:rsid wsp:val=&quot;008375F6&quot;/&gt;&lt;wsp:rsid wsp:val=&quot;008377FE&quot;/&gt;&lt;wsp:rsid wsp:val=&quot;00837A1D&quot;/&gt;&lt;wsp:rsid wsp:val=&quot;00837D64&quot;/&gt;&lt;wsp:rsid wsp:val=&quot;00837E77&quot;/&gt;&lt;wsp:rsid wsp:val=&quot;008400EC&quot;/&gt;&lt;wsp:rsid wsp:val=&quot;0084034A&quot;/&gt;&lt;wsp:rsid wsp:val=&quot;00840447&quot;/&gt;&lt;wsp:rsid wsp:val=&quot;0084099B&quot;/&gt;&lt;wsp:rsid wsp:val=&quot;00840F5A&quot;/&gt;&lt;wsp:rsid wsp:val=&quot;00840FC2&quot;/&gt;&lt;wsp:rsid wsp:val=&quot;0084150B&quot;/&gt;&lt;wsp:rsid wsp:val=&quot;0084178A&quot;/&gt;&lt;wsp:rsid wsp:val=&quot;00841F2F&quot;/&gt;&lt;wsp:rsid wsp:val=&quot;00841F32&quot;/&gt;&lt;wsp:rsid wsp:val=&quot;00841FD5&quot;/&gt;&lt;wsp:rsid wsp:val=&quot;0084207E&quot;/&gt;&lt;wsp:rsid wsp:val=&quot;00843913&quot;/&gt;&lt;wsp:rsid wsp:val=&quot;00843B1E&quot;/&gt;&lt;wsp:rsid wsp:val=&quot;00843B27&quot;/&gt;&lt;wsp:rsid wsp:val=&quot;00844103&quot;/&gt;&lt;wsp:rsid wsp:val=&quot;008441EA&quot;/&gt;&lt;wsp:rsid wsp:val=&quot;00844794&quot;/&gt;&lt;wsp:rsid wsp:val=&quot;008447E6&quot;/&gt;&lt;wsp:rsid wsp:val=&quot;0084482C&quot;/&gt;&lt;wsp:rsid wsp:val=&quot;00845048&quot;/&gt;&lt;wsp:rsid wsp:val=&quot;008452FB&quot;/&gt;&lt;wsp:rsid wsp:val=&quot;008457C9&quot;/&gt;&lt;wsp:rsid wsp:val=&quot;00845898&quot;/&gt;&lt;wsp:rsid wsp:val=&quot;00845C8D&quot;/&gt;&lt;wsp:rsid wsp:val=&quot;00845F37&quot;/&gt;&lt;wsp:rsid wsp:val=&quot;0084642F&quot;/&gt;&lt;wsp:rsid wsp:val=&quot;00846458&quot;/&gt;&lt;wsp:rsid wsp:val=&quot;008465F4&quot;/&gt;&lt;wsp:rsid wsp:val=&quot;00846A80&quot;/&gt;&lt;wsp:rsid wsp:val=&quot;00847162&quot;/&gt;&lt;wsp:rsid wsp:val=&quot;008472BD&quot;/&gt;&lt;wsp:rsid wsp:val=&quot;008473E4&quot;/&gt;&lt;wsp:rsid wsp:val=&quot;008477EC&quot;/&gt;&lt;wsp:rsid wsp:val=&quot;008479D2&quot;/&gt;&lt;wsp:rsid wsp:val=&quot;00847D45&quot;/&gt;&lt;wsp:rsid wsp:val=&quot;00847DFB&quot;/&gt;&lt;wsp:rsid wsp:val=&quot;00847E31&quot;/&gt;&lt;wsp:rsid wsp:val=&quot;00850BAB&quot;/&gt;&lt;wsp:rsid wsp:val=&quot;00851693&quot;/&gt;&lt;wsp:rsid wsp:val=&quot;0085176F&quot;/&gt;&lt;wsp:rsid wsp:val=&quot;0085195C&quot;/&gt;&lt;wsp:rsid wsp:val=&quot;00851F11&quot;/&gt;&lt;wsp:rsid wsp:val=&quot;008521E1&quot;/&gt;&lt;wsp:rsid wsp:val=&quot;0085225F&quot;/&gt;&lt;wsp:rsid wsp:val=&quot;00852400&quot;/&gt;&lt;wsp:rsid wsp:val=&quot;00852D44&quot;/&gt;&lt;wsp:rsid wsp:val=&quot;008530EB&quot;/&gt;&lt;wsp:rsid wsp:val=&quot;0085337D&quot;/&gt;&lt;wsp:rsid wsp:val=&quot;008533E2&quot;/&gt;&lt;wsp:rsid wsp:val=&quot;0085363E&quot;/&gt;&lt;wsp:rsid wsp:val=&quot;00853EC8&quot;/&gt;&lt;wsp:rsid wsp:val=&quot;00853EDE&quot;/&gt;&lt;wsp:rsid wsp:val=&quot;0085402E&quot;/&gt;&lt;wsp:rsid wsp:val=&quot;008541BF&quot;/&gt;&lt;wsp:rsid wsp:val=&quot;008545D3&quot;/&gt;&lt;wsp:rsid wsp:val=&quot;00854628&quot;/&gt;&lt;wsp:rsid wsp:val=&quot;008547C4&quot;/&gt;&lt;wsp:rsid wsp:val=&quot;00854A4F&quot;/&gt;&lt;wsp:rsid wsp:val=&quot;00854D45&quot;/&gt;&lt;wsp:rsid wsp:val=&quot;00854F38&quot;/&gt;&lt;wsp:rsid wsp:val=&quot;00855083&quot;/&gt;&lt;wsp:rsid wsp:val=&quot;00855EDE&quot;/&gt;&lt;wsp:rsid wsp:val=&quot;00855F9C&quot;/&gt;&lt;wsp:rsid wsp:val=&quot;00856487&quot;/&gt;&lt;wsp:rsid wsp:val=&quot;0085684E&quot;/&gt;&lt;wsp:rsid wsp:val=&quot;00856EBC&quot;/&gt;&lt;wsp:rsid wsp:val=&quot;00857644&quot;/&gt;&lt;wsp:rsid wsp:val=&quot;00857B5D&quot;/&gt;&lt;wsp:rsid wsp:val=&quot;00857BD4&quot;/&gt;&lt;wsp:rsid wsp:val=&quot;00857C3A&quot;/&gt;&lt;wsp:rsid wsp:val=&quot;00857F77&quot;/&gt;&lt;wsp:rsid wsp:val=&quot;00860617&quot;/&gt;&lt;wsp:rsid wsp:val=&quot;008606ED&quot;/&gt;&lt;wsp:rsid wsp:val=&quot;0086099B&quot;/&gt;&lt;wsp:rsid wsp:val=&quot;00860CB8&quot;/&gt;&lt;wsp:rsid wsp:val=&quot;00860E78&quot;/&gt;&lt;wsp:rsid wsp:val=&quot;00860F42&quot;/&gt;&lt;wsp:rsid wsp:val=&quot;0086129F&quot;/&gt;&lt;wsp:rsid wsp:val=&quot;00861D60&quot;/&gt;&lt;wsp:rsid wsp:val=&quot;0086286D&quot;/&gt;&lt;wsp:rsid wsp:val=&quot;0086299E&quot;/&gt;&lt;wsp:rsid wsp:val=&quot;00862A79&quot;/&gt;&lt;wsp:rsid wsp:val=&quot;00862B26&quot;/&gt;&lt;wsp:rsid wsp:val=&quot;00862DF6&quot;/&gt;&lt;wsp:rsid wsp:val=&quot;0086306A&quot;/&gt;&lt;wsp:rsid wsp:val=&quot;0086392F&quot;/&gt;&lt;wsp:rsid wsp:val=&quot;00863A18&quot;/&gt;&lt;wsp:rsid wsp:val=&quot;00863A9C&quot;/&gt;&lt;wsp:rsid wsp:val=&quot;00863AAB&quot;/&gt;&lt;wsp:rsid wsp:val=&quot;00863B3E&quot;/&gt;&lt;wsp:rsid wsp:val=&quot;00863BCA&quot;/&gt;&lt;wsp:rsid wsp:val=&quot;00863C5D&quot;/&gt;&lt;wsp:rsid wsp:val=&quot;00864B9C&quot;/&gt;&lt;wsp:rsid wsp:val=&quot;00864DD5&quot;/&gt;&lt;wsp:rsid wsp:val=&quot;00864E60&quot;/&gt;&lt;wsp:rsid wsp:val=&quot;008651C2&quot;/&gt;&lt;wsp:rsid wsp:val=&quot;008656B8&quot;/&gt;&lt;wsp:rsid wsp:val=&quot;0086572F&quot;/&gt;&lt;wsp:rsid wsp:val=&quot;00865818&quot;/&gt;&lt;wsp:rsid wsp:val=&quot;0086582D&quot;/&gt;&lt;wsp:rsid wsp:val=&quot;00865D23&quot;/&gt;&lt;wsp:rsid wsp:val=&quot;00866052&quot;/&gt;&lt;wsp:rsid wsp:val=&quot;00866268&quot;/&gt;&lt;wsp:rsid wsp:val=&quot;008668B7&quot;/&gt;&lt;wsp:rsid wsp:val=&quot;00866EEA&quot;/&gt;&lt;wsp:rsid wsp:val=&quot;0086727A&quot;/&gt;&lt;wsp:rsid wsp:val=&quot;00867798&quot;/&gt;&lt;wsp:rsid wsp:val=&quot;008677CD&quot;/&gt;&lt;wsp:rsid wsp:val=&quot;00867A65&quot;/&gt;&lt;wsp:rsid wsp:val=&quot;00867C5A&quot;/&gt;&lt;wsp:rsid wsp:val=&quot;00867CB4&quot;/&gt;&lt;wsp:rsid wsp:val=&quot;00867CC3&quot;/&gt;&lt;wsp:rsid wsp:val=&quot;00867D03&quot;/&gt;&lt;wsp:rsid wsp:val=&quot;00867D35&quot;/&gt;&lt;wsp:rsid wsp:val=&quot;0087007F&quot;/&gt;&lt;wsp:rsid wsp:val=&quot;0087015A&quot;/&gt;&lt;wsp:rsid wsp:val=&quot;00870441&quot;/&gt;&lt;wsp:rsid wsp:val=&quot;008705CF&quot;/&gt;&lt;wsp:rsid wsp:val=&quot;00870F38&quot;/&gt;&lt;wsp:rsid wsp:val=&quot;00871074&quot;/&gt;&lt;wsp:rsid wsp:val=&quot;00871C8C&quot;/&gt;&lt;wsp:rsid wsp:val=&quot;008720CB&quot;/&gt;&lt;wsp:rsid wsp:val=&quot;008726A9&quot;/&gt;&lt;wsp:rsid wsp:val=&quot;00872787&quot;/&gt;&lt;wsp:rsid wsp:val=&quot;008729D0&quot;/&gt;&lt;wsp:rsid wsp:val=&quot;00872C40&quot;/&gt;&lt;wsp:rsid wsp:val=&quot;00872D7F&quot;/&gt;&lt;wsp:rsid wsp:val=&quot;00872DB3&quot;/&gt;&lt;wsp:rsid wsp:val=&quot;008736C3&quot;/&gt;&lt;wsp:rsid wsp:val=&quot;0087390D&quot;/&gt;&lt;wsp:rsid wsp:val=&quot;00873CBA&quot;/&gt;&lt;wsp:rsid wsp:val=&quot;00874008&quot;/&gt;&lt;wsp:rsid wsp:val=&quot;008740A4&quot;/&gt;&lt;wsp:rsid wsp:val=&quot;00874188&quot;/&gt;&lt;wsp:rsid wsp:val=&quot;0087486B&quot;/&gt;&lt;wsp:rsid wsp:val=&quot;00875314&quot;/&gt;&lt;wsp:rsid wsp:val=&quot;0087532C&quot;/&gt;&lt;wsp:rsid wsp:val=&quot;00875357&quot;/&gt;&lt;wsp:rsid wsp:val=&quot;00875535&quot;/&gt;&lt;wsp:rsid wsp:val=&quot;00875647&quot;/&gt;&lt;wsp:rsid wsp:val=&quot;00875C02&quot;/&gt;&lt;wsp:rsid wsp:val=&quot;00875C95&quot;/&gt;&lt;wsp:rsid wsp:val=&quot;0087627E&quot;/&gt;&lt;wsp:rsid wsp:val=&quot;00876323&quot;/&gt;&lt;wsp:rsid wsp:val=&quot;00876E08&quot;/&gt;&lt;wsp:rsid wsp:val=&quot;008771C4&quot;/&gt;&lt;wsp:rsid wsp:val=&quot;008771E1&quot;/&gt;&lt;wsp:rsid wsp:val=&quot;008772EF&quot;/&gt;&lt;wsp:rsid wsp:val=&quot;00877482&quot;/&gt;&lt;wsp:rsid wsp:val=&quot;0087793A&quot;/&gt;&lt;wsp:rsid wsp:val=&quot;00877A42&quot;/&gt;&lt;wsp:rsid wsp:val=&quot;00877CCA&quot;/&gt;&lt;wsp:rsid wsp:val=&quot;00877E26&quot;/&gt;&lt;wsp:rsid wsp:val=&quot;00877F97&quot;/&gt;&lt;wsp:rsid wsp:val=&quot;00880187&quot;/&gt;&lt;wsp:rsid wsp:val=&quot;008807B2&quot;/&gt;&lt;wsp:rsid wsp:val=&quot;00880B0F&quot;/&gt;&lt;wsp:rsid wsp:val=&quot;00880B38&quot;/&gt;&lt;wsp:rsid wsp:val=&quot;008810ED&quot;/&gt;&lt;wsp:rsid wsp:val=&quot;0088155F&quot;/&gt;&lt;wsp:rsid wsp:val=&quot;00881959&quot;/&gt;&lt;wsp:rsid wsp:val=&quot;00881ABE&quot;/&gt;&lt;wsp:rsid wsp:val=&quot;00881C47&quot;/&gt;&lt;wsp:rsid wsp:val=&quot;00881FA6&quot;/&gt;&lt;wsp:rsid wsp:val=&quot;00881FC5&quot;/&gt;&lt;wsp:rsid wsp:val=&quot;008827B5&quot;/&gt;&lt;wsp:rsid wsp:val=&quot;00882E0E&quot;/&gt;&lt;wsp:rsid wsp:val=&quot;00883479&quot;/&gt;&lt;wsp:rsid wsp:val=&quot;00883601&quot;/&gt;&lt;wsp:rsid wsp:val=&quot;00884438&quot;/&gt;&lt;wsp:rsid wsp:val=&quot;008845D2&quot;/&gt;&lt;wsp:rsid wsp:val=&quot;00884689&quot;/&gt;&lt;wsp:rsid wsp:val=&quot;00884986&quot;/&gt;&lt;wsp:rsid wsp:val=&quot;00884E3A&quot;/&gt;&lt;wsp:rsid wsp:val=&quot;00884F66&quot;/&gt;&lt;wsp:rsid wsp:val=&quot;00885945&quot;/&gt;&lt;wsp:rsid wsp:val=&quot;00886031&quot;/&gt;&lt;wsp:rsid wsp:val=&quot;00886287&quot;/&gt;&lt;wsp:rsid wsp:val=&quot;008865EF&quot;/&gt;&lt;wsp:rsid wsp:val=&quot;00886926&quot;/&gt;&lt;wsp:rsid wsp:val=&quot;008869CD&quot;/&gt;&lt;wsp:rsid wsp:val=&quot;00886C82&quot;/&gt;&lt;wsp:rsid wsp:val=&quot;00886CA9&quot;/&gt;&lt;wsp:rsid wsp:val=&quot;00886F3F&quot;/&gt;&lt;wsp:rsid wsp:val=&quot;00887159&quot;/&gt;&lt;wsp:rsid wsp:val=&quot;008871E3&quot;/&gt;&lt;wsp:rsid wsp:val=&quot;0088732A&quot;/&gt;&lt;wsp:rsid wsp:val=&quot;008876C3&quot;/&gt;&lt;wsp:rsid wsp:val=&quot;0088771E&quot;/&gt;&lt;wsp:rsid wsp:val=&quot;00887E0A&quot;/&gt;&lt;wsp:rsid wsp:val=&quot;00887F79&quot;/&gt;&lt;wsp:rsid wsp:val=&quot;00890178&quot;/&gt;&lt;wsp:rsid wsp:val=&quot;0089018B&quot;/&gt;&lt;wsp:rsid wsp:val=&quot;008908F5&quot;/&gt;&lt;wsp:rsid wsp:val=&quot;00890907&quot;/&gt;&lt;wsp:rsid wsp:val=&quot;00890DFA&quot;/&gt;&lt;wsp:rsid wsp:val=&quot;00890F78&quot;/&gt;&lt;wsp:rsid wsp:val=&quot;0089120C&quot;/&gt;&lt;wsp:rsid wsp:val=&quot;008912E6&quot;/&gt;&lt;wsp:rsid wsp:val=&quot;0089138D&quot;/&gt;&lt;wsp:rsid wsp:val=&quot;00891863&quot;/&gt;&lt;wsp:rsid wsp:val=&quot;00891FAF&quot;/&gt;&lt;wsp:rsid wsp:val=&quot;008925B1&quot;/&gt;&lt;wsp:rsid wsp:val=&quot;0089275F&quot;/&gt;&lt;wsp:rsid wsp:val=&quot;00892A3B&quot;/&gt;&lt;wsp:rsid wsp:val=&quot;00892CA5&quot;/&gt;&lt;wsp:rsid wsp:val=&quot;00892E00&quot;/&gt;&lt;wsp:rsid wsp:val=&quot;00892E48&quot;/&gt;&lt;wsp:rsid wsp:val=&quot;00892E84&quot;/&gt;&lt;wsp:rsid wsp:val=&quot;0089333C&quot;/&gt;&lt;wsp:rsid wsp:val=&quot;00893479&quot;/&gt;&lt;wsp:rsid wsp:val=&quot;00893902&quot;/&gt;&lt;wsp:rsid wsp:val=&quot;00893A12&quot;/&gt;&lt;wsp:rsid wsp:val=&quot;00894712&quot;/&gt;&lt;wsp:rsid wsp:val=&quot;00894888&quot;/&gt;&lt;wsp:rsid wsp:val=&quot;008949DC&quot;/&gt;&lt;wsp:rsid wsp:val=&quot;00894D38&quot;/&gt;&lt;wsp:rsid wsp:val=&quot;00894EB0&quot;/&gt;&lt;wsp:rsid wsp:val=&quot;008950DA&quot;/&gt;&lt;wsp:rsid wsp:val=&quot;00895431&quot;/&gt;&lt;wsp:rsid wsp:val=&quot;00896177&quot;/&gt;&lt;wsp:rsid wsp:val=&quot;0089699E&quot;/&gt;&lt;wsp:rsid wsp:val=&quot;00896A7F&quot;/&gt;&lt;wsp:rsid wsp:val=&quot;00897169&quot;/&gt;&lt;wsp:rsid wsp:val=&quot;00897285&quot;/&gt;&lt;wsp:rsid wsp:val=&quot;00897399&quot;/&gt;&lt;wsp:rsid wsp:val=&quot;00897681&quot;/&gt;&lt;wsp:rsid wsp:val=&quot;0089779C&quot;/&gt;&lt;wsp:rsid wsp:val=&quot;00897D80&quot;/&gt;&lt;wsp:rsid wsp:val=&quot;00897DD2&quot;/&gt;&lt;wsp:rsid wsp:val=&quot;008A0385&quot;/&gt;&lt;wsp:rsid wsp:val=&quot;008A0DCD&quot;/&gt;&lt;wsp:rsid wsp:val=&quot;008A0EDE&quot;/&gt;&lt;wsp:rsid wsp:val=&quot;008A0EE8&quot;/&gt;&lt;wsp:rsid wsp:val=&quot;008A1306&quot;/&gt;&lt;wsp:rsid wsp:val=&quot;008A14C4&quot;/&gt;&lt;wsp:rsid wsp:val=&quot;008A20A1&quot;/&gt;&lt;wsp:rsid wsp:val=&quot;008A241C&quot;/&gt;&lt;wsp:rsid wsp:val=&quot;008A247F&quot;/&gt;&lt;wsp:rsid wsp:val=&quot;008A25DF&quot;/&gt;&lt;wsp:rsid wsp:val=&quot;008A2A7F&quot;/&gt;&lt;wsp:rsid wsp:val=&quot;008A2BC2&quot;/&gt;&lt;wsp:rsid wsp:val=&quot;008A2EED&quot;/&gt;&lt;wsp:rsid wsp:val=&quot;008A3B93&quot;/&gt;&lt;wsp:rsid wsp:val=&quot;008A3C64&quot;/&gt;&lt;wsp:rsid wsp:val=&quot;008A3D0B&quot;/&gt;&lt;wsp:rsid wsp:val=&quot;008A3EBD&quot;/&gt;&lt;wsp:rsid wsp:val=&quot;008A3FE9&quot;/&gt;&lt;wsp:rsid wsp:val=&quot;008A4144&quot;/&gt;&lt;wsp:rsid wsp:val=&quot;008A4E20&quot;/&gt;&lt;wsp:rsid wsp:val=&quot;008A4EA3&quot;/&gt;&lt;wsp:rsid wsp:val=&quot;008A5893&quot;/&gt;&lt;wsp:rsid wsp:val=&quot;008A5F7B&quot;/&gt;&lt;wsp:rsid wsp:val=&quot;008A6419&quot;/&gt;&lt;wsp:rsid wsp:val=&quot;008A6E62&quot;/&gt;&lt;wsp:rsid wsp:val=&quot;008A7024&quot;/&gt;&lt;wsp:rsid wsp:val=&quot;008A760B&quot;/&gt;&lt;wsp:rsid wsp:val=&quot;008A7E5B&quot;/&gt;&lt;wsp:rsid wsp:val=&quot;008A7F16&quot;/&gt;&lt;wsp:rsid wsp:val=&quot;008A7FF1&quot;/&gt;&lt;wsp:rsid wsp:val=&quot;008B03B8&quot;/&gt;&lt;wsp:rsid wsp:val=&quot;008B0AEA&quot;/&gt;&lt;wsp:rsid wsp:val=&quot;008B0CE3&quot;/&gt;&lt;wsp:rsid wsp:val=&quot;008B0CFB&quot;/&gt;&lt;wsp:rsid wsp:val=&quot;008B0D74&quot;/&gt;&lt;wsp:rsid wsp:val=&quot;008B1657&quot;/&gt;&lt;wsp:rsid wsp:val=&quot;008B167F&quot;/&gt;&lt;wsp:rsid wsp:val=&quot;008B1B1E&quot;/&gt;&lt;wsp:rsid wsp:val=&quot;008B1C53&quot;/&gt;&lt;wsp:rsid wsp:val=&quot;008B1EDF&quot;/&gt;&lt;wsp:rsid wsp:val=&quot;008B21D4&quot;/&gt;&lt;wsp:rsid wsp:val=&quot;008B22BA&quot;/&gt;&lt;wsp:rsid wsp:val=&quot;008B2A6C&quot;/&gt;&lt;wsp:rsid wsp:val=&quot;008B2C88&quot;/&gt;&lt;wsp:rsid wsp:val=&quot;008B317E&quot;/&gt;&lt;wsp:rsid wsp:val=&quot;008B3BFC&quot;/&gt;&lt;wsp:rsid wsp:val=&quot;008B417A&quot;/&gt;&lt;wsp:rsid wsp:val=&quot;008B47DF&quot;/&gt;&lt;wsp:rsid wsp:val=&quot;008B4ACB&quot;/&gt;&lt;wsp:rsid wsp:val=&quot;008B4BD6&quot;/&gt;&lt;wsp:rsid wsp:val=&quot;008B4C4F&quot;/&gt;&lt;wsp:rsid wsp:val=&quot;008B4CD5&quot;/&gt;&lt;wsp:rsid wsp:val=&quot;008B4D67&quot;/&gt;&lt;wsp:rsid wsp:val=&quot;008B513C&quot;/&gt;&lt;wsp:rsid wsp:val=&quot;008B515C&quot;/&gt;&lt;wsp:rsid wsp:val=&quot;008B544C&quot;/&gt;&lt;wsp:rsid wsp:val=&quot;008B5962&quot;/&gt;&lt;wsp:rsid wsp:val=&quot;008B62D2&quot;/&gt;&lt;wsp:rsid wsp:val=&quot;008B6326&quot;/&gt;&lt;wsp:rsid wsp:val=&quot;008B6513&quot;/&gt;&lt;wsp:rsid wsp:val=&quot;008B6CC7&quot;/&gt;&lt;wsp:rsid wsp:val=&quot;008B7083&quot;/&gt;&lt;wsp:rsid wsp:val=&quot;008B79F6&quot;/&gt;&lt;wsp:rsid wsp:val=&quot;008B7BA6&quot;/&gt;&lt;wsp:rsid wsp:val=&quot;008B7BDD&quot;/&gt;&lt;wsp:rsid wsp:val=&quot;008C004F&quot;/&gt;&lt;wsp:rsid wsp:val=&quot;008C00FA&quot;/&gt;&lt;wsp:rsid wsp:val=&quot;008C031E&quot;/&gt;&lt;wsp:rsid wsp:val=&quot;008C0496&quot;/&gt;&lt;wsp:rsid wsp:val=&quot;008C0725&quot;/&gt;&lt;wsp:rsid wsp:val=&quot;008C09C3&quot;/&gt;&lt;wsp:rsid wsp:val=&quot;008C0A2C&quot;/&gt;&lt;wsp:rsid wsp:val=&quot;008C0CD1&quot;/&gt;&lt;wsp:rsid wsp:val=&quot;008C0FCD&quot;/&gt;&lt;wsp:rsid wsp:val=&quot;008C141C&quot;/&gt;&lt;wsp:rsid wsp:val=&quot;008C178B&quot;/&gt;&lt;wsp:rsid wsp:val=&quot;008C1CEF&quot;/&gt;&lt;wsp:rsid wsp:val=&quot;008C1FB8&quot;/&gt;&lt;wsp:rsid wsp:val=&quot;008C2188&quot;/&gt;&lt;wsp:rsid wsp:val=&quot;008C28FC&quot;/&gt;&lt;wsp:rsid wsp:val=&quot;008C2B53&quot;/&gt;&lt;wsp:rsid wsp:val=&quot;008C2C5D&quot;/&gt;&lt;wsp:rsid wsp:val=&quot;008C2DF1&quot;/&gt;&lt;wsp:rsid wsp:val=&quot;008C2E09&quot;/&gt;&lt;wsp:rsid wsp:val=&quot;008C2E73&quot;/&gt;&lt;wsp:rsid wsp:val=&quot;008C2F26&quot;/&gt;&lt;wsp:rsid wsp:val=&quot;008C304E&quot;/&gt;&lt;wsp:rsid wsp:val=&quot;008C3341&quot;/&gt;&lt;wsp:rsid wsp:val=&quot;008C3B27&quot;/&gt;&lt;wsp:rsid wsp:val=&quot;008C40F4&quot;/&gt;&lt;wsp:rsid wsp:val=&quot;008C4236&quot;/&gt;&lt;wsp:rsid wsp:val=&quot;008C440D&quot;/&gt;&lt;wsp:rsid wsp:val=&quot;008C45EB&quot;/&gt;&lt;wsp:rsid wsp:val=&quot;008C4AA7&quot;/&gt;&lt;wsp:rsid wsp:val=&quot;008C5370&quot;/&gt;&lt;wsp:rsid wsp:val=&quot;008C53E6&quot;/&gt;&lt;wsp:rsid wsp:val=&quot;008C61E8&quot;/&gt;&lt;wsp:rsid wsp:val=&quot;008C65D8&quot;/&gt;&lt;wsp:rsid wsp:val=&quot;008C6723&quot;/&gt;&lt;wsp:rsid wsp:val=&quot;008C69F0&quot;/&gt;&lt;wsp:rsid wsp:val=&quot;008C6F58&quot;/&gt;&lt;wsp:rsid wsp:val=&quot;008C71C6&quot;/&gt;&lt;wsp:rsid wsp:val=&quot;008C7236&quot;/&gt;&lt;wsp:rsid wsp:val=&quot;008C7457&quot;/&gt;&lt;wsp:rsid wsp:val=&quot;008C765C&quot;/&gt;&lt;wsp:rsid wsp:val=&quot;008C7731&quot;/&gt;&lt;wsp:rsid wsp:val=&quot;008C77E4&quot;/&gt;&lt;wsp:rsid wsp:val=&quot;008C7A0B&quot;/&gt;&lt;wsp:rsid wsp:val=&quot;008C7A60&quot;/&gt;&lt;wsp:rsid wsp:val=&quot;008C7B67&quot;/&gt;&lt;wsp:rsid wsp:val=&quot;008C7F15&quot;/&gt;&lt;wsp:rsid wsp:val=&quot;008D09DE&quot;/&gt;&lt;wsp:rsid wsp:val=&quot;008D0F15&quot;/&gt;&lt;wsp:rsid wsp:val=&quot;008D1621&quot;/&gt;&lt;wsp:rsid wsp:val=&quot;008D172B&quot;/&gt;&lt;wsp:rsid wsp:val=&quot;008D1BA5&quot;/&gt;&lt;wsp:rsid wsp:val=&quot;008D2C98&quot;/&gt;&lt;wsp:rsid wsp:val=&quot;008D3458&quot;/&gt;&lt;wsp:rsid wsp:val=&quot;008D345E&quot;/&gt;&lt;wsp:rsid wsp:val=&quot;008D3466&quot;/&gt;&lt;wsp:rsid wsp:val=&quot;008D3B15&quot;/&gt;&lt;wsp:rsid wsp:val=&quot;008D3B7B&quot;/&gt;&lt;wsp:rsid wsp:val=&quot;008D3C87&quot;/&gt;&lt;wsp:rsid wsp:val=&quot;008D4662&quot;/&gt;&lt;wsp:rsid wsp:val=&quot;008D46B1&quot;/&gt;&lt;wsp:rsid wsp:val=&quot;008D5085&quot;/&gt;&lt;wsp:rsid wsp:val=&quot;008D514A&quot;/&gt;&lt;wsp:rsid wsp:val=&quot;008D55C8&quot;/&gt;&lt;wsp:rsid wsp:val=&quot;008D621C&quot;/&gt;&lt;wsp:rsid wsp:val=&quot;008D656C&quot;/&gt;&lt;wsp:rsid wsp:val=&quot;008D6AB6&quot;/&gt;&lt;wsp:rsid wsp:val=&quot;008D6AEA&quot;/&gt;&lt;wsp:rsid wsp:val=&quot;008D6F9D&quot;/&gt;&lt;wsp:rsid wsp:val=&quot;008D72C8&quot;/&gt;&lt;wsp:rsid wsp:val=&quot;008D770F&quot;/&gt;&lt;wsp:rsid wsp:val=&quot;008D7967&quot;/&gt;&lt;wsp:rsid wsp:val=&quot;008D7A0C&quot;/&gt;&lt;wsp:rsid wsp:val=&quot;008D7B18&quot;/&gt;&lt;wsp:rsid wsp:val=&quot;008E0261&quot;/&gt;&lt;wsp:rsid wsp:val=&quot;008E050A&quot;/&gt;&lt;wsp:rsid wsp:val=&quot;008E06ED&quot;/&gt;&lt;wsp:rsid wsp:val=&quot;008E093D&quot;/&gt;&lt;wsp:rsid wsp:val=&quot;008E14EB&quot;/&gt;&lt;wsp:rsid wsp:val=&quot;008E15B8&quot;/&gt;&lt;wsp:rsid wsp:val=&quot;008E1948&quot;/&gt;&lt;wsp:rsid wsp:val=&quot;008E1BEC&quot;/&gt;&lt;wsp:rsid wsp:val=&quot;008E1CB1&quot;/&gt;&lt;wsp:rsid wsp:val=&quot;008E1F08&quot;/&gt;&lt;wsp:rsid wsp:val=&quot;008E2320&quot;/&gt;&lt;wsp:rsid wsp:val=&quot;008E240F&quot;/&gt;&lt;wsp:rsid wsp:val=&quot;008E2575&quot;/&gt;&lt;wsp:rsid wsp:val=&quot;008E2A9B&quot;/&gt;&lt;wsp:rsid wsp:val=&quot;008E2BD1&quot;/&gt;&lt;wsp:rsid wsp:val=&quot;008E3342&quot;/&gt;&lt;wsp:rsid wsp:val=&quot;008E3398&quot;/&gt;&lt;wsp:rsid wsp:val=&quot;008E39F4&quot;/&gt;&lt;wsp:rsid wsp:val=&quot;008E3B1C&quot;/&gt;&lt;wsp:rsid wsp:val=&quot;008E3EB2&quot;/&gt;&lt;wsp:rsid wsp:val=&quot;008E4C43&quot;/&gt;&lt;wsp:rsid wsp:val=&quot;008E52F2&quot;/&gt;&lt;wsp:rsid wsp:val=&quot;008E539B&quot;/&gt;&lt;wsp:rsid wsp:val=&quot;008E5769&quot;/&gt;&lt;wsp:rsid wsp:val=&quot;008E58ED&quot;/&gt;&lt;wsp:rsid wsp:val=&quot;008E5B55&quot;/&gt;&lt;wsp:rsid wsp:val=&quot;008E5BD6&quot;/&gt;&lt;wsp:rsid wsp:val=&quot;008E5F0C&quot;/&gt;&lt;wsp:rsid wsp:val=&quot;008E6158&quot;/&gt;&lt;wsp:rsid wsp:val=&quot;008E62F9&quot;/&gt;&lt;wsp:rsid wsp:val=&quot;008E6605&quot;/&gt;&lt;wsp:rsid wsp:val=&quot;008E673A&quot;/&gt;&lt;wsp:rsid wsp:val=&quot;008E67E1&quot;/&gt;&lt;wsp:rsid wsp:val=&quot;008E6921&quot;/&gt;&lt;wsp:rsid wsp:val=&quot;008E6AEC&quot;/&gt;&lt;wsp:rsid wsp:val=&quot;008E6BFD&quot;/&gt;&lt;wsp:rsid wsp:val=&quot;008E6CBC&quot;/&gt;&lt;wsp:rsid wsp:val=&quot;008E6F19&quot;/&gt;&lt;wsp:rsid wsp:val=&quot;008E79A0&quot;/&gt;&lt;wsp:rsid wsp:val=&quot;008E7DAA&quot;/&gt;&lt;wsp:rsid wsp:val=&quot;008F0505&quot;/&gt;&lt;wsp:rsid wsp:val=&quot;008F0771&quot;/&gt;&lt;wsp:rsid wsp:val=&quot;008F0966&quot;/&gt;&lt;wsp:rsid wsp:val=&quot;008F0E42&quot;/&gt;&lt;wsp:rsid wsp:val=&quot;008F0E74&quot;/&gt;&lt;wsp:rsid wsp:val=&quot;008F1131&quot;/&gt;&lt;wsp:rsid wsp:val=&quot;008F195C&quot;/&gt;&lt;wsp:rsid wsp:val=&quot;008F1A00&quot;/&gt;&lt;wsp:rsid wsp:val=&quot;008F1AD7&quot;/&gt;&lt;wsp:rsid wsp:val=&quot;008F22D5&quot;/&gt;&lt;wsp:rsid wsp:val=&quot;008F23C5&quot;/&gt;&lt;wsp:rsid wsp:val=&quot;008F26C8&quot;/&gt;&lt;wsp:rsid wsp:val=&quot;008F29EB&quot;/&gt;&lt;wsp:rsid wsp:val=&quot;008F2DDD&quot;/&gt;&lt;wsp:rsid wsp:val=&quot;008F30D9&quot;/&gt;&lt;wsp:rsid wsp:val=&quot;008F359F&quot;/&gt;&lt;wsp:rsid wsp:val=&quot;008F37EC&quot;/&gt;&lt;wsp:rsid wsp:val=&quot;008F3CF8&quot;/&gt;&lt;wsp:rsid wsp:val=&quot;008F3D5C&quot;/&gt;&lt;wsp:rsid wsp:val=&quot;008F3F23&quot;/&gt;&lt;wsp:rsid wsp:val=&quot;008F3F37&quot;/&gt;&lt;wsp:rsid wsp:val=&quot;008F46EB&quot;/&gt;&lt;wsp:rsid wsp:val=&quot;008F4BD8&quot;/&gt;&lt;wsp:rsid wsp:val=&quot;008F4D67&quot;/&gt;&lt;wsp:rsid wsp:val=&quot;008F4E9C&quot;/&gt;&lt;wsp:rsid wsp:val=&quot;008F514D&quot;/&gt;&lt;wsp:rsid wsp:val=&quot;008F546D&quot;/&gt;&lt;wsp:rsid wsp:val=&quot;008F5489&quot;/&gt;&lt;wsp:rsid wsp:val=&quot;008F5BE4&quot;/&gt;&lt;wsp:rsid wsp:val=&quot;008F5C1E&quot;/&gt;&lt;wsp:rsid wsp:val=&quot;008F5C8A&quot;/&gt;&lt;wsp:rsid wsp:val=&quot;008F601F&quot;/&gt;&lt;wsp:rsid wsp:val=&quot;008F6099&quot;/&gt;&lt;wsp:rsid wsp:val=&quot;008F618B&quot;/&gt;&lt;wsp:rsid wsp:val=&quot;008F667B&quot;/&gt;&lt;wsp:rsid wsp:val=&quot;008F6C87&quot;/&gt;&lt;wsp:rsid wsp:val=&quot;008F70CD&quot;/&gt;&lt;wsp:rsid wsp:val=&quot;008F7C27&quot;/&gt;&lt;wsp:rsid wsp:val=&quot;00900513&quot;/&gt;&lt;wsp:rsid wsp:val=&quot;00900E61&quot;/&gt;&lt;wsp:rsid wsp:val=&quot;0090117A&quot;/&gt;&lt;wsp:rsid wsp:val=&quot;0090154D&quot;/&gt;&lt;wsp:rsid wsp:val=&quot;00901580&quot;/&gt;&lt;wsp:rsid wsp:val=&quot;0090189D&quot;/&gt;&lt;wsp:rsid wsp:val=&quot;0090293D&quot;/&gt;&lt;wsp:rsid wsp:val=&quot;00902AC5&quot;/&gt;&lt;wsp:rsid wsp:val=&quot;00902C25&quot;/&gt;&lt;wsp:rsid wsp:val=&quot;0090300A&quot;/&gt;&lt;wsp:rsid wsp:val=&quot;00903216&quot;/&gt;&lt;wsp:rsid wsp:val=&quot;00903272&quot;/&gt;&lt;wsp:rsid wsp:val=&quot;00903532&quot;/&gt;&lt;wsp:rsid wsp:val=&quot;00903794&quot;/&gt;&lt;wsp:rsid wsp:val=&quot;00904FBC&quot;/&gt;&lt;wsp:rsid wsp:val=&quot;009055EB&quot;/&gt;&lt;wsp:rsid wsp:val=&quot;00905B69&quot;/&gt;&lt;wsp:rsid wsp:val=&quot;009060A8&quot;/&gt;&lt;wsp:rsid wsp:val=&quot;00906853&quot;/&gt;&lt;wsp:rsid wsp:val=&quot;00906856&quot;/&gt;&lt;wsp:rsid wsp:val=&quot;00906864&quot;/&gt;&lt;wsp:rsid wsp:val=&quot;00906A15&quot;/&gt;&lt;wsp:rsid wsp:val=&quot;00906ABF&quot;/&gt;&lt;wsp:rsid wsp:val=&quot;00906C11&quot;/&gt;&lt;wsp:rsid wsp:val=&quot;009071AE&quot;/&gt;&lt;wsp:rsid wsp:val=&quot;0090749D&quot;/&gt;&lt;wsp:rsid wsp:val=&quot;00907596&quot;/&gt;&lt;wsp:rsid wsp:val=&quot;0090764B&quot;/&gt;&lt;wsp:rsid wsp:val=&quot;009076CB&quot;/&gt;&lt;wsp:rsid wsp:val=&quot;009078AF&quot;/&gt;&lt;wsp:rsid wsp:val=&quot;00907EB1&quot;/&gt;&lt;wsp:rsid wsp:val=&quot;00907EEC&quot;/&gt;&lt;wsp:rsid wsp:val=&quot;009102C4&quot;/&gt;&lt;wsp:rsid wsp:val=&quot;00910BA2&quot;/&gt;&lt;wsp:rsid wsp:val=&quot;00910D04&quot;/&gt;&lt;wsp:rsid wsp:val=&quot;00910F7B&quot;/&gt;&lt;wsp:rsid wsp:val=&quot;009115C8&quot;/&gt;&lt;wsp:rsid wsp:val=&quot;00911733&quot;/&gt;&lt;wsp:rsid wsp:val=&quot;0091179B&quot;/&gt;&lt;wsp:rsid wsp:val=&quot;0091257C&quot;/&gt;&lt;wsp:rsid wsp:val=&quot;0091271F&quot;/&gt;&lt;wsp:rsid wsp:val=&quot;00912CE0&quot;/&gt;&lt;wsp:rsid wsp:val=&quot;00912DD2&quot;/&gt;&lt;wsp:rsid wsp:val=&quot;00912F07&quot;/&gt;&lt;wsp:rsid wsp:val=&quot;00912F87&quot;/&gt;&lt;wsp:rsid wsp:val=&quot;009132AA&quot;/&gt;&lt;wsp:rsid wsp:val=&quot;009135E5&quot;/&gt;&lt;wsp:rsid wsp:val=&quot;00913717&quot;/&gt;&lt;wsp:rsid wsp:val=&quot;00913790&quot;/&gt;&lt;wsp:rsid wsp:val=&quot;00913C7F&quot;/&gt;&lt;wsp:rsid wsp:val=&quot;00913D47&quot;/&gt;&lt;wsp:rsid wsp:val=&quot;00913E9D&quot;/&gt;&lt;wsp:rsid wsp:val=&quot;009143DF&quot;/&gt;&lt;wsp:rsid wsp:val=&quot;00914437&quot;/&gt;&lt;wsp:rsid wsp:val=&quot;009147CE&quot;/&gt;&lt;wsp:rsid wsp:val=&quot;00914AB9&quot;/&gt;&lt;wsp:rsid wsp:val=&quot;00914F69&quot;/&gt;&lt;wsp:rsid wsp:val=&quot;009157B4&quot;/&gt;&lt;wsp:rsid wsp:val=&quot;0091624C&quot;/&gt;&lt;wsp:rsid wsp:val=&quot;00916658&quot;/&gt;&lt;wsp:rsid wsp:val=&quot;00916E5A&quot;/&gt;&lt;wsp:rsid wsp:val=&quot;00917177&quot;/&gt;&lt;wsp:rsid wsp:val=&quot;009175C8&quot;/&gt;&lt;wsp:rsid wsp:val=&quot;00917B3B&quot;/&gt;&lt;wsp:rsid wsp:val=&quot;0092006C&quot;/&gt;&lt;wsp:rsid wsp:val=&quot;00920473&quot;/&gt;&lt;wsp:rsid wsp:val=&quot;0092088B&quot;/&gt;&lt;wsp:rsid wsp:val=&quot;00920AD2&quot;/&gt;&lt;wsp:rsid wsp:val=&quot;00920FA4&quot;/&gt;&lt;wsp:rsid wsp:val=&quot;0092109F&quot;/&gt;&lt;wsp:rsid wsp:val=&quot;00921510&quot;/&gt;&lt;wsp:rsid wsp:val=&quot;0092193B&quot;/&gt;&lt;wsp:rsid wsp:val=&quot;009219D3&quot;/&gt;&lt;wsp:rsid wsp:val=&quot;00921D32&quot;/&gt;&lt;wsp:rsid wsp:val=&quot;0092209F&quot;/&gt;&lt;wsp:rsid wsp:val=&quot;00922279&quot;/&gt;&lt;wsp:rsid wsp:val=&quot;00922548&quot;/&gt;&lt;wsp:rsid wsp:val=&quot;0092254B&quot;/&gt;&lt;wsp:rsid wsp:val=&quot;00922B18&quot;/&gt;&lt;wsp:rsid wsp:val=&quot;00923118&quot;/&gt;&lt;wsp:rsid wsp:val=&quot;009236E3&quot;/&gt;&lt;wsp:rsid wsp:val=&quot;00923A43&quot;/&gt;&lt;wsp:rsid wsp:val=&quot;00923AE0&quot;/&gt;&lt;wsp:rsid wsp:val=&quot;00923BC3&quot;/&gt;&lt;wsp:rsid wsp:val=&quot;00923E43&quot;/&gt;&lt;wsp:rsid wsp:val=&quot;00923F54&quot;/&gt;&lt;wsp:rsid wsp:val=&quot;00924E02&quot;/&gt;&lt;wsp:rsid wsp:val=&quot;00924E30&quot;/&gt;&lt;wsp:rsid wsp:val=&quot;009251D0&quot;/&gt;&lt;wsp:rsid wsp:val=&quot;00925774&quot;/&gt;&lt;wsp:rsid wsp:val=&quot;00925821&quot;/&gt;&lt;wsp:rsid wsp:val=&quot;00925FF3&quot;/&gt;&lt;wsp:rsid wsp:val=&quot;00926802&quot;/&gt;&lt;wsp:rsid wsp:val=&quot;009269F5&quot;/&gt;&lt;wsp:rsid wsp:val=&quot;00927BAA&quot;/&gt;&lt;wsp:rsid wsp:val=&quot;00927CCF&quot;/&gt;&lt;wsp:rsid wsp:val=&quot;00927DB4&quot;/&gt;&lt;wsp:rsid wsp:val=&quot;00927F77&quot;/&gt;&lt;wsp:rsid wsp:val=&quot;00927FEB&quot;/&gt;&lt;wsp:rsid wsp:val=&quot;009304F1&quot;/&gt;&lt;wsp:rsid wsp:val=&quot;00930641&quot;/&gt;&lt;wsp:rsid wsp:val=&quot;0093088D&quot;/&gt;&lt;wsp:rsid wsp:val=&quot;00930C11&quot;/&gt;&lt;wsp:rsid wsp:val=&quot;00930D0B&quot;/&gt;&lt;wsp:rsid wsp:val=&quot;00930DD3&quot;/&gt;&lt;wsp:rsid wsp:val=&quot;009313EC&quot;/&gt;&lt;wsp:rsid wsp:val=&quot;00931554&quot;/&gt;&lt;wsp:rsid wsp:val=&quot;00931B48&quot;/&gt;&lt;wsp:rsid wsp:val=&quot;00931CE2&quot;/&gt;&lt;wsp:rsid wsp:val=&quot;0093200C&quot;/&gt;&lt;wsp:rsid wsp:val=&quot;009325ED&quot;/&gt;&lt;wsp:rsid wsp:val=&quot;0093275E&quot;/&gt;&lt;wsp:rsid wsp:val=&quot;0093287D&quot;/&gt;&lt;wsp:rsid wsp:val=&quot;00932D4D&quot;/&gt;&lt;wsp:rsid wsp:val=&quot;00932DE2&quot;/&gt;&lt;wsp:rsid wsp:val=&quot;00932E21&quot;/&gt;&lt;wsp:rsid wsp:val=&quot;0093355D&quot;/&gt;&lt;wsp:rsid wsp:val=&quot;00933887&quot;/&gt;&lt;wsp:rsid wsp:val=&quot;009339E0&quot;/&gt;&lt;wsp:rsid wsp:val=&quot;00933DB8&quot;/&gt;&lt;wsp:rsid wsp:val=&quot;00933E9F&quot;/&gt;&lt;wsp:rsid wsp:val=&quot;0093457B&quot;/&gt;&lt;wsp:rsid wsp:val=&quot;00934D3B&quot;/&gt;&lt;wsp:rsid wsp:val=&quot;0093523C&quot;/&gt;&lt;wsp:rsid wsp:val=&quot;009352D1&quot;/&gt;&lt;wsp:rsid wsp:val=&quot;00935CC2&quot;/&gt;&lt;wsp:rsid wsp:val=&quot;00935D23&quot;/&gt;&lt;wsp:rsid wsp:val=&quot;0093605F&quot;/&gt;&lt;wsp:rsid wsp:val=&quot;009360C9&quot;/&gt;&lt;wsp:rsid wsp:val=&quot;00936545&quot;/&gt;&lt;wsp:rsid wsp:val=&quot;00936D64&quot;/&gt;&lt;wsp:rsid wsp:val=&quot;00936F3A&quot;/&gt;&lt;wsp:rsid wsp:val=&quot;00936F68&quot;/&gt;&lt;wsp:rsid wsp:val=&quot;00937205&quot;/&gt;&lt;wsp:rsid wsp:val=&quot;0093729E&quot;/&gt;&lt;wsp:rsid wsp:val=&quot;009378CC&quot;/&gt;&lt;wsp:rsid wsp:val=&quot;00937B53&quot;/&gt;&lt;wsp:rsid wsp:val=&quot;00937BA2&quot;/&gt;&lt;wsp:rsid wsp:val=&quot;00940009&quot;/&gt;&lt;wsp:rsid wsp:val=&quot;009403B1&quot;/&gt;&lt;wsp:rsid wsp:val=&quot;00940992&quot;/&gt;&lt;wsp:rsid wsp:val=&quot;00940B40&quot;/&gt;&lt;wsp:rsid wsp:val=&quot;00940B47&quot;/&gt;&lt;wsp:rsid wsp:val=&quot;00940C7A&quot;/&gt;&lt;wsp:rsid wsp:val=&quot;00940E2E&quot;/&gt;&lt;wsp:rsid wsp:val=&quot;00940ECD&quot;/&gt;&lt;wsp:rsid wsp:val=&quot;00941161&quot;/&gt;&lt;wsp:rsid wsp:val=&quot;0094116E&quot;/&gt;&lt;wsp:rsid wsp:val=&quot;00941302&quot;/&gt;&lt;wsp:rsid wsp:val=&quot;0094131C&quot;/&gt;&lt;wsp:rsid wsp:val=&quot;0094136B&quot;/&gt;&lt;wsp:rsid wsp:val=&quot;00941555&quot;/&gt;&lt;wsp:rsid wsp:val=&quot;00941B19&quot;/&gt;&lt;wsp:rsid wsp:val=&quot;009424BE&quot;/&gt;&lt;wsp:rsid wsp:val=&quot;009426FC&quot;/&gt;&lt;wsp:rsid wsp:val=&quot;009428F9&quot;/&gt;&lt;wsp:rsid wsp:val=&quot;00943268&quot;/&gt;&lt;wsp:rsid wsp:val=&quot;00943605&quot;/&gt;&lt;wsp:rsid wsp:val=&quot;00943812&quot;/&gt;&lt;wsp:rsid wsp:val=&quot;00943923&quot;/&gt;&lt;wsp:rsid wsp:val=&quot;00943EB7&quot;/&gt;&lt;wsp:rsid wsp:val=&quot;00943F71&quot;/&gt;&lt;wsp:rsid wsp:val=&quot;00943FBC&quot;/&gt;&lt;wsp:rsid wsp:val=&quot;009452AE&quot;/&gt;&lt;wsp:rsid wsp:val=&quot;00945548&quot;/&gt;&lt;wsp:rsid wsp:val=&quot;00945834&quot;/&gt;&lt;wsp:rsid wsp:val=&quot;009458E4&quot;/&gt;&lt;wsp:rsid wsp:val=&quot;00945A9F&quot;/&gt;&lt;wsp:rsid wsp:val=&quot;00945CDE&quot;/&gt;&lt;wsp:rsid wsp:val=&quot;00945DD4&quot;/&gt;&lt;wsp:rsid wsp:val=&quot;0094626E&quot;/&gt;&lt;wsp:rsid wsp:val=&quot;009463D7&quot;/&gt;&lt;wsp:rsid wsp:val=&quot;00946B1E&quot;/&gt;&lt;wsp:rsid wsp:val=&quot;00946EC2&quot;/&gt;&lt;wsp:rsid wsp:val=&quot;0094764A&quot;/&gt;&lt;wsp:rsid wsp:val=&quot;009479DB&quot;/&gt;&lt;wsp:rsid wsp:val=&quot;0095016A&quot;/&gt;&lt;wsp:rsid wsp:val=&quot;0095038D&quot;/&gt;&lt;wsp:rsid wsp:val=&quot;00951969&quot;/&gt;&lt;wsp:rsid wsp:val=&quot;00951BB1&quot;/&gt;&lt;wsp:rsid wsp:val=&quot;00951ED8&quot;/&gt;&lt;wsp:rsid wsp:val=&quot;009524C6&quot;/&gt;&lt;wsp:rsid wsp:val=&quot;009527FE&quot;/&gt;&lt;wsp:rsid wsp:val=&quot;00952805&quot;/&gt;&lt;wsp:rsid wsp:val=&quot;00952C7D&quot;/&gt;&lt;wsp:rsid wsp:val=&quot;00952ED4&quot;/&gt;&lt;wsp:rsid wsp:val=&quot;00953062&quot;/&gt;&lt;wsp:rsid wsp:val=&quot;00953263&quot;/&gt;&lt;wsp:rsid wsp:val=&quot;00953AFF&quot;/&gt;&lt;wsp:rsid wsp:val=&quot;00953BA1&quot;/&gt;&lt;wsp:rsid wsp:val=&quot;00953E7D&quot;/&gt;&lt;wsp:rsid wsp:val=&quot;00953FA0&quot;/&gt;&lt;wsp:rsid wsp:val=&quot;00954233&quot;/&gt;&lt;wsp:rsid wsp:val=&quot;00954283&quot;/&gt;&lt;wsp:rsid wsp:val=&quot;0095446D&quot;/&gt;&lt;wsp:rsid wsp:val=&quot;0095452A&quot;/&gt;&lt;wsp:rsid wsp:val=&quot;0095460C&quot;/&gt;&lt;wsp:rsid wsp:val=&quot;0095480E&quot;/&gt;&lt;wsp:rsid wsp:val=&quot;00954BAD&quot;/&gt;&lt;wsp:rsid wsp:val=&quot;00954E91&quot;/&gt;&lt;wsp:rsid wsp:val=&quot;009550C2&quot;/&gt;&lt;wsp:rsid wsp:val=&quot;0095533C&quot;/&gt;&lt;wsp:rsid wsp:val=&quot;009557A8&quot;/&gt;&lt;wsp:rsid wsp:val=&quot;00955DE6&quot;/&gt;&lt;wsp:rsid wsp:val=&quot;00955DF3&quot;/&gt;&lt;wsp:rsid wsp:val=&quot;00955DFE&quot;/&gt;&lt;wsp:rsid wsp:val=&quot;00955F0C&quot;/&gt;&lt;wsp:rsid wsp:val=&quot;009560F5&quot;/&gt;&lt;wsp:rsid wsp:val=&quot;00956C7D&quot;/&gt;&lt;wsp:rsid wsp:val=&quot;00956CDB&quot;/&gt;&lt;wsp:rsid wsp:val=&quot;0095730C&quot;/&gt;&lt;wsp:rsid wsp:val=&quot;00957695&quot;/&gt;&lt;wsp:rsid wsp:val=&quot;009576DE&quot;/&gt;&lt;wsp:rsid wsp:val=&quot;00957CC0&quot;/&gt;&lt;wsp:rsid wsp:val=&quot;00957D47&quot;/&gt;&lt;wsp:rsid wsp:val=&quot;00957EC5&quot;/&gt;&lt;wsp:rsid wsp:val=&quot;00960237&quot;/&gt;&lt;wsp:rsid wsp:val=&quot;0096032B&quot;/&gt;&lt;wsp:rsid wsp:val=&quot;009606AB&quot;/&gt;&lt;wsp:rsid wsp:val=&quot;009609B8&quot;/&gt;&lt;wsp:rsid wsp:val=&quot;00960A1B&quot;/&gt;&lt;wsp:rsid wsp:val=&quot;00960A5B&quot;/&gt;&lt;wsp:rsid wsp:val=&quot;00960DD3&quot;/&gt;&lt;wsp:rsid wsp:val=&quot;00960DF8&quot;/&gt;&lt;wsp:rsid wsp:val=&quot;00960F40&quot;/&gt;&lt;wsp:rsid wsp:val=&quot;00960FA4&quot;/&gt;&lt;wsp:rsid wsp:val=&quot;00961315&quot;/&gt;&lt;wsp:rsid wsp:val=&quot;0096148D&quot;/&gt;&lt;wsp:rsid wsp:val=&quot;00962566&quot;/&gt;&lt;wsp:rsid wsp:val=&quot;00962DEC&quot;/&gt;&lt;wsp:rsid wsp:val=&quot;0096305B&quot;/&gt;&lt;wsp:rsid wsp:val=&quot;00963321&quot;/&gt;&lt;wsp:rsid wsp:val=&quot;0096374E&quot;/&gt;&lt;wsp:rsid wsp:val=&quot;0096384C&quot;/&gt;&lt;wsp:rsid wsp:val=&quot;00963990&quot;/&gt;&lt;wsp:rsid wsp:val=&quot;00963F3E&quot;/&gt;&lt;wsp:rsid wsp:val=&quot;00963FB5&quot;/&gt;&lt;wsp:rsid wsp:val=&quot;00964615&quot;/&gt;&lt;wsp:rsid wsp:val=&quot;00964654&quot;/&gt;&lt;wsp:rsid wsp:val=&quot;009648C7&quot;/&gt;&lt;wsp:rsid wsp:val=&quot;00964F94&quot;/&gt;&lt;wsp:rsid wsp:val=&quot;009655CE&quot;/&gt;&lt;wsp:rsid wsp:val=&quot;00965D54&quot;/&gt;&lt;wsp:rsid wsp:val=&quot;009662CE&quot;/&gt;&lt;wsp:rsid wsp:val=&quot;00966480&quot;/&gt;&lt;wsp:rsid wsp:val=&quot;009667B5&quot;/&gt;&lt;wsp:rsid wsp:val=&quot;0096690C&quot;/&gt;&lt;wsp:rsid wsp:val=&quot;00966956&quot;/&gt;&lt;wsp:rsid wsp:val=&quot;00966A9F&quot;/&gt;&lt;wsp:rsid wsp:val=&quot;0096711A&quot;/&gt;&lt;wsp:rsid wsp:val=&quot;00967304&quot;/&gt;&lt;wsp:rsid wsp:val=&quot;00967551&quot;/&gt;&lt;wsp:rsid wsp:val=&quot;009675E9&quot;/&gt;&lt;wsp:rsid wsp:val=&quot;009677A1&quot;/&gt;&lt;wsp:rsid wsp:val=&quot;00970D50&quot;/&gt;&lt;wsp:rsid wsp:val=&quot;00970FEB&quot;/&gt;&lt;wsp:rsid wsp:val=&quot;00971110&quot;/&gt;&lt;wsp:rsid wsp:val=&quot;0097136E&quot;/&gt;&lt;wsp:rsid wsp:val=&quot;009713D0&quot;/&gt;&lt;wsp:rsid wsp:val=&quot;00971927&quot;/&gt;&lt;wsp:rsid wsp:val=&quot;00971969&quot;/&gt;&lt;wsp:rsid wsp:val=&quot;00971BC7&quot;/&gt;&lt;wsp:rsid wsp:val=&quot;00971C05&quot;/&gt;&lt;wsp:rsid wsp:val=&quot;00971CAA&quot;/&gt;&lt;wsp:rsid wsp:val=&quot;00972210&quot;/&gt;&lt;wsp:rsid wsp:val=&quot;0097343E&quot;/&gt;&lt;wsp:rsid wsp:val=&quot;00973AAB&quot;/&gt;&lt;wsp:rsid wsp:val=&quot;00973C00&quot;/&gt;&lt;wsp:rsid wsp:val=&quot;00973D92&quot;/&gt;&lt;wsp:rsid wsp:val=&quot;00973E53&quot;/&gt;&lt;wsp:rsid wsp:val=&quot;00974110&quot;/&gt;&lt;wsp:rsid wsp:val=&quot;009741DD&quot;/&gt;&lt;wsp:rsid wsp:val=&quot;009742E5&quot;/&gt;&lt;wsp:rsid wsp:val=&quot;00974907&quot;/&gt;&lt;wsp:rsid wsp:val=&quot;00974AE7&quot;/&gt;&lt;wsp:rsid wsp:val=&quot;0097550F&quot;/&gt;&lt;wsp:rsid wsp:val=&quot;0097594A&quot;/&gt;&lt;wsp:rsid wsp:val=&quot;009759C3&quot;/&gt;&lt;wsp:rsid wsp:val=&quot;00975A0E&quot;/&gt;&lt;wsp:rsid wsp:val=&quot;00976090&quot;/&gt;&lt;wsp:rsid wsp:val=&quot;0097735E&quot;/&gt;&lt;wsp:rsid wsp:val=&quot;0097784C&quot;/&gt;&lt;wsp:rsid wsp:val=&quot;009778A0&quot;/&gt;&lt;wsp:rsid wsp:val=&quot;00977B6E&quot;/&gt;&lt;wsp:rsid wsp:val=&quot;00977D78&quot;/&gt;&lt;wsp:rsid wsp:val=&quot;009801FA&quot;/&gt;&lt;wsp:rsid wsp:val=&quot;00980377&quot;/&gt;&lt;wsp:rsid wsp:val=&quot;00980390&quot;/&gt;&lt;wsp:rsid wsp:val=&quot;009803F5&quot;/&gt;&lt;wsp:rsid wsp:val=&quot;00980790&quot;/&gt;&lt;wsp:rsid wsp:val=&quot;00980BB9&quot;/&gt;&lt;wsp:rsid wsp:val=&quot;00980E2A&quot;/&gt;&lt;wsp:rsid wsp:val=&quot;00980EC8&quot;/&gt;&lt;wsp:rsid wsp:val=&quot;009815C2&quot;/&gt;&lt;wsp:rsid wsp:val=&quot;0098278D&quot;/&gt;&lt;wsp:rsid wsp:val=&quot;00982AC4&quot;/&gt;&lt;wsp:rsid wsp:val=&quot;0098346C&quot;/&gt;&lt;wsp:rsid wsp:val=&quot;0098353D&quot;/&gt;&lt;wsp:rsid wsp:val=&quot;009835FB&quot;/&gt;&lt;wsp:rsid wsp:val=&quot;00983797&quot;/&gt;&lt;wsp:rsid wsp:val=&quot;00983827&quot;/&gt;&lt;wsp:rsid wsp:val=&quot;0098488D&quot;/&gt;&lt;wsp:rsid wsp:val=&quot;00984A8C&quot;/&gt;&lt;wsp:rsid wsp:val=&quot;00984AAD&quot;/&gt;&lt;wsp:rsid wsp:val=&quot;00984B8B&quot;/&gt;&lt;wsp:rsid wsp:val=&quot;00984D74&quot;/&gt;&lt;wsp:rsid wsp:val=&quot;00984DD8&quot;/&gt;&lt;wsp:rsid wsp:val=&quot;0098508E&quot;/&gt;&lt;wsp:rsid wsp:val=&quot;009852F4&quot;/&gt;&lt;wsp:rsid wsp:val=&quot;009859BF&quot;/&gt;&lt;wsp:rsid wsp:val=&quot;00987163&quot;/&gt;&lt;wsp:rsid wsp:val=&quot;0098754F&quot;/&gt;&lt;wsp:rsid wsp:val=&quot;00987980&quot;/&gt;&lt;wsp:rsid wsp:val=&quot;00987E89&quot;/&gt;&lt;wsp:rsid wsp:val=&quot;00991459&quot;/&gt;&lt;wsp:rsid wsp:val=&quot;00991671&quot;/&gt;&lt;wsp:rsid wsp:val=&quot;00991782&quot;/&gt;&lt;wsp:rsid wsp:val=&quot;009917E3&quot;/&gt;&lt;wsp:rsid wsp:val=&quot;00991A13&quot;/&gt;&lt;wsp:rsid wsp:val=&quot;00991E2A&quot;/&gt;&lt;wsp:rsid wsp:val=&quot;009921AD&quot;/&gt;&lt;wsp:rsid wsp:val=&quot;009921D4&quot;/&gt;&lt;wsp:rsid wsp:val=&quot;0099278A&quot;/&gt;&lt;wsp:rsid wsp:val=&quot;00992869&quot;/&gt;&lt;wsp:rsid wsp:val=&quot;00992C3D&quot;/&gt;&lt;wsp:rsid wsp:val=&quot;00992DE3&quot;/&gt;&lt;wsp:rsid wsp:val=&quot;0099312A&quot;/&gt;&lt;wsp:rsid wsp:val=&quot;00993200&quot;/&gt;&lt;wsp:rsid wsp:val=&quot;00993249&quot;/&gt;&lt;wsp:rsid wsp:val=&quot;00993475&quot;/&gt;&lt;wsp:rsid wsp:val=&quot;00993B49&quot;/&gt;&lt;wsp:rsid wsp:val=&quot;00993BD3&quot;/&gt;&lt;wsp:rsid wsp:val=&quot;00994D3E&quot;/&gt;&lt;wsp:rsid wsp:val=&quot;009955E0&quot;/&gt;&lt;wsp:rsid wsp:val=&quot;00995611&quot;/&gt;&lt;wsp:rsid wsp:val=&quot;009957D0&quot;/&gt;&lt;wsp:rsid wsp:val=&quot;009958F6&quot;/&gt;&lt;wsp:rsid wsp:val=&quot;00995A30&quot;/&gt;&lt;wsp:rsid wsp:val=&quot;00995C78&quot;/&gt;&lt;wsp:rsid wsp:val=&quot;00995D52&quot;/&gt;&lt;wsp:rsid wsp:val=&quot;00995D62&quot;/&gt;&lt;wsp:rsid wsp:val=&quot;00995EED&quot;/&gt;&lt;wsp:rsid wsp:val=&quot;0099609C&quot;/&gt;&lt;wsp:rsid wsp:val=&quot;009967AD&quot;/&gt;&lt;wsp:rsid wsp:val=&quot;00996821&quot;/&gt;&lt;wsp:rsid wsp:val=&quot;009969C4&quot;/&gt;&lt;wsp:rsid wsp:val=&quot;00996C5E&quot;/&gt;&lt;wsp:rsid wsp:val=&quot;00996E57&quot;/&gt;&lt;wsp:rsid wsp:val=&quot;009972EB&quot;/&gt;&lt;wsp:rsid wsp:val=&quot;00997809&quot;/&gt;&lt;wsp:rsid wsp:val=&quot;009A00EF&quot;/&gt;&lt;wsp:rsid wsp:val=&quot;009A031D&quot;/&gt;&lt;wsp:rsid wsp:val=&quot;009A0546&quot;/&gt;&lt;wsp:rsid wsp:val=&quot;009A0691&quot;/&gt;&lt;wsp:rsid wsp:val=&quot;009A0AA4&quot;/&gt;&lt;wsp:rsid wsp:val=&quot;009A1202&quot;/&gt;&lt;wsp:rsid wsp:val=&quot;009A16E8&quot;/&gt;&lt;wsp:rsid wsp:val=&quot;009A170E&quot;/&gt;&lt;wsp:rsid wsp:val=&quot;009A1756&quot;/&gt;&lt;wsp:rsid wsp:val=&quot;009A179F&quot;/&gt;&lt;wsp:rsid wsp:val=&quot;009A1F5C&quot;/&gt;&lt;wsp:rsid wsp:val=&quot;009A215F&quot;/&gt;&lt;wsp:rsid wsp:val=&quot;009A24E6&quot;/&gt;&lt;wsp:rsid wsp:val=&quot;009A24F6&quot;/&gt;&lt;wsp:rsid wsp:val=&quot;009A2528&quot;/&gt;&lt;wsp:rsid wsp:val=&quot;009A261F&quot;/&gt;&lt;wsp:rsid wsp:val=&quot;009A295F&quot;/&gt;&lt;wsp:rsid wsp:val=&quot;009A2EEB&quot;/&gt;&lt;wsp:rsid wsp:val=&quot;009A3A57&quot;/&gt;&lt;wsp:rsid wsp:val=&quot;009A3CCC&quot;/&gt;&lt;wsp:rsid wsp:val=&quot;009A4396&quot;/&gt;&lt;wsp:rsid wsp:val=&quot;009A452F&quot;/&gt;&lt;wsp:rsid wsp:val=&quot;009A46B8&quot;/&gt;&lt;wsp:rsid wsp:val=&quot;009A4725&quot;/&gt;&lt;wsp:rsid wsp:val=&quot;009A4863&quot;/&gt;&lt;wsp:rsid wsp:val=&quot;009A4996&quot;/&gt;&lt;wsp:rsid wsp:val=&quot;009A4BC2&quot;/&gt;&lt;wsp:rsid wsp:val=&quot;009A4F9A&quot;/&gt;&lt;wsp:rsid wsp:val=&quot;009A5039&quot;/&gt;&lt;wsp:rsid wsp:val=&quot;009A519E&quot;/&gt;&lt;wsp:rsid wsp:val=&quot;009A5423&quot;/&gt;&lt;wsp:rsid wsp:val=&quot;009A5468&quot;/&gt;&lt;wsp:rsid wsp:val=&quot;009A57B5&quot;/&gt;&lt;wsp:rsid wsp:val=&quot;009A5B9A&quot;/&gt;&lt;wsp:rsid wsp:val=&quot;009A5E75&quot;/&gt;&lt;wsp:rsid wsp:val=&quot;009A60AE&quot;/&gt;&lt;wsp:rsid wsp:val=&quot;009A616D&quot;/&gt;&lt;wsp:rsid wsp:val=&quot;009A6712&quot;/&gt;&lt;wsp:rsid wsp:val=&quot;009A68F1&quot;/&gt;&lt;wsp:rsid wsp:val=&quot;009A6A5B&quot;/&gt;&lt;wsp:rsid wsp:val=&quot;009A6B39&quot;/&gt;&lt;wsp:rsid wsp:val=&quot;009A6D9B&quot;/&gt;&lt;wsp:rsid wsp:val=&quot;009A7078&quot;/&gt;&lt;wsp:rsid wsp:val=&quot;009A751C&quot;/&gt;&lt;wsp:rsid wsp:val=&quot;009A7768&quot;/&gt;&lt;wsp:rsid wsp:val=&quot;009A778F&quot;/&gt;&lt;wsp:rsid wsp:val=&quot;009A7BB0&quot;/&gt;&lt;wsp:rsid wsp:val=&quot;009A7BFB&quot;/&gt;&lt;wsp:rsid wsp:val=&quot;009A7C9E&quot;/&gt;&lt;wsp:rsid wsp:val=&quot;009B030A&quot;/&gt;&lt;wsp:rsid wsp:val=&quot;009B0BA0&quot;/&gt;&lt;wsp:rsid wsp:val=&quot;009B0D0E&quot;/&gt;&lt;wsp:rsid wsp:val=&quot;009B0D1C&quot;/&gt;&lt;wsp:rsid wsp:val=&quot;009B1D40&quot;/&gt;&lt;wsp:rsid wsp:val=&quot;009B2453&quot;/&gt;&lt;wsp:rsid wsp:val=&quot;009B25C0&quot;/&gt;&lt;wsp:rsid wsp:val=&quot;009B2649&quot;/&gt;&lt;wsp:rsid wsp:val=&quot;009B27CF&quot;/&gt;&lt;wsp:rsid wsp:val=&quot;009B2818&quot;/&gt;&lt;wsp:rsid wsp:val=&quot;009B2A7E&quot;/&gt;&lt;wsp:rsid wsp:val=&quot;009B2AAF&quot;/&gt;&lt;wsp:rsid wsp:val=&quot;009B2AFC&quot;/&gt;&lt;wsp:rsid wsp:val=&quot;009B2B4B&quot;/&gt;&lt;wsp:rsid wsp:val=&quot;009B2DDF&quot;/&gt;&lt;wsp:rsid wsp:val=&quot;009B3261&quot;/&gt;&lt;wsp:rsid wsp:val=&quot;009B3DE1&quot;/&gt;&lt;wsp:rsid wsp:val=&quot;009B4723&quot;/&gt;&lt;wsp:rsid wsp:val=&quot;009B4B92&quot;/&gt;&lt;wsp:rsid wsp:val=&quot;009B54B4&quot;/&gt;&lt;wsp:rsid wsp:val=&quot;009B5A4D&quot;/&gt;&lt;wsp:rsid wsp:val=&quot;009B5BB6&quot;/&gt;&lt;wsp:rsid wsp:val=&quot;009B6CDE&quot;/&gt;&lt;wsp:rsid wsp:val=&quot;009B7120&quot;/&gt;&lt;wsp:rsid wsp:val=&quot;009B79FA&quot;/&gt;&lt;wsp:rsid wsp:val=&quot;009B7A35&quot;/&gt;&lt;wsp:rsid wsp:val=&quot;009B7B82&quot;/&gt;&lt;wsp:rsid wsp:val=&quot;009B7DC2&quot;/&gt;&lt;wsp:rsid wsp:val=&quot;009C053E&quot;/&gt;&lt;wsp:rsid wsp:val=&quot;009C06B6&quot;/&gt;&lt;wsp:rsid wsp:val=&quot;009C08EA&quot;/&gt;&lt;wsp:rsid wsp:val=&quot;009C09FD&quot;/&gt;&lt;wsp:rsid wsp:val=&quot;009C0D5C&quot;/&gt;&lt;wsp:rsid wsp:val=&quot;009C1451&quot;/&gt;&lt;wsp:rsid wsp:val=&quot;009C1F4F&quot;/&gt;&lt;wsp:rsid wsp:val=&quot;009C2072&quot;/&gt;&lt;wsp:rsid wsp:val=&quot;009C23D6&quot;/&gt;&lt;wsp:rsid wsp:val=&quot;009C2722&quot;/&gt;&lt;wsp:rsid wsp:val=&quot;009C2729&quot;/&gt;&lt;wsp:rsid wsp:val=&quot;009C2784&quot;/&gt;&lt;wsp:rsid wsp:val=&quot;009C2AEA&quot;/&gt;&lt;wsp:rsid wsp:val=&quot;009C2C3F&quot;/&gt;&lt;wsp:rsid wsp:val=&quot;009C2FDD&quot;/&gt;&lt;wsp:rsid wsp:val=&quot;009C34F9&quot;/&gt;&lt;wsp:rsid wsp:val=&quot;009C35E7&quot;/&gt;&lt;wsp:rsid wsp:val=&quot;009C36E7&quot;/&gt;&lt;wsp:rsid wsp:val=&quot;009C38E9&quot;/&gt;&lt;wsp:rsid wsp:val=&quot;009C39F3&quot;/&gt;&lt;wsp:rsid wsp:val=&quot;009C3E94&quot;/&gt;&lt;wsp:rsid wsp:val=&quot;009C3FCC&quot;/&gt;&lt;wsp:rsid wsp:val=&quot;009C4BE5&quot;/&gt;&lt;wsp:rsid wsp:val=&quot;009C4ED7&quot;/&gt;&lt;wsp:rsid wsp:val=&quot;009C4F74&quot;/&gt;&lt;wsp:rsid wsp:val=&quot;009C5115&quot;/&gt;&lt;wsp:rsid wsp:val=&quot;009C517E&quot;/&gt;&lt;wsp:rsid wsp:val=&quot;009C542D&quot;/&gt;&lt;wsp:rsid wsp:val=&quot;009C57E9&quot;/&gt;&lt;wsp:rsid wsp:val=&quot;009C5B1C&quot;/&gt;&lt;wsp:rsid wsp:val=&quot;009C5BC1&quot;/&gt;&lt;wsp:rsid wsp:val=&quot;009C6835&quot;/&gt;&lt;wsp:rsid wsp:val=&quot;009C696A&quot;/&gt;&lt;wsp:rsid wsp:val=&quot;009C6BF5&quot;/&gt;&lt;wsp:rsid wsp:val=&quot;009C708E&quot;/&gt;&lt;wsp:rsid wsp:val=&quot;009C715D&quot;/&gt;&lt;wsp:rsid wsp:val=&quot;009C76B8&quot;/&gt;&lt;wsp:rsid wsp:val=&quot;009C7E16&quot;/&gt;&lt;wsp:rsid wsp:val=&quot;009C7E8B&quot;/&gt;&lt;wsp:rsid wsp:val=&quot;009C7F54&quot;/&gt;&lt;wsp:rsid wsp:val=&quot;009C7F9F&quot;/&gt;&lt;wsp:rsid wsp:val=&quot;009D04EE&quot;/&gt;&lt;wsp:rsid wsp:val=&quot;009D07C5&quot;/&gt;&lt;wsp:rsid wsp:val=&quot;009D0A80&quot;/&gt;&lt;wsp:rsid wsp:val=&quot;009D0AA1&quot;/&gt;&lt;wsp:rsid wsp:val=&quot;009D0AF6&quot;/&gt;&lt;wsp:rsid wsp:val=&quot;009D0B58&quot;/&gt;&lt;wsp:rsid wsp:val=&quot;009D0BEB&quot;/&gt;&lt;wsp:rsid wsp:val=&quot;009D11AD&quot;/&gt;&lt;wsp:rsid wsp:val=&quot;009D1479&quot;/&gt;&lt;wsp:rsid wsp:val=&quot;009D15E4&quot;/&gt;&lt;wsp:rsid wsp:val=&quot;009D162D&quot;/&gt;&lt;wsp:rsid wsp:val=&quot;009D17A0&quot;/&gt;&lt;wsp:rsid wsp:val=&quot;009D19F1&quot;/&gt;&lt;wsp:rsid wsp:val=&quot;009D2125&quot;/&gt;&lt;wsp:rsid wsp:val=&quot;009D227E&quot;/&gt;&lt;wsp:rsid wsp:val=&quot;009D23AA&quot;/&gt;&lt;wsp:rsid wsp:val=&quot;009D23C0&quot;/&gt;&lt;wsp:rsid wsp:val=&quot;009D281F&quot;/&gt;&lt;wsp:rsid wsp:val=&quot;009D298A&quot;/&gt;&lt;wsp:rsid wsp:val=&quot;009D29F0&quot;/&gt;&lt;wsp:rsid wsp:val=&quot;009D2B6B&quot;/&gt;&lt;wsp:rsid wsp:val=&quot;009D2BE3&quot;/&gt;&lt;wsp:rsid wsp:val=&quot;009D2E4A&quot;/&gt;&lt;wsp:rsid wsp:val=&quot;009D2EBB&quot;/&gt;&lt;wsp:rsid wsp:val=&quot;009D2FBB&quot;/&gt;&lt;wsp:rsid wsp:val=&quot;009D31E6&quot;/&gt;&lt;wsp:rsid wsp:val=&quot;009D35BB&quot;/&gt;&lt;wsp:rsid wsp:val=&quot;009D3A39&quot;/&gt;&lt;wsp:rsid wsp:val=&quot;009D3AE1&quot;/&gt;&lt;wsp:rsid wsp:val=&quot;009D3AF5&quot;/&gt;&lt;wsp:rsid wsp:val=&quot;009D461A&quot;/&gt;&lt;wsp:rsid wsp:val=&quot;009D56D5&quot;/&gt;&lt;wsp:rsid wsp:val=&quot;009D57B6&quot;/&gt;&lt;wsp:rsid wsp:val=&quot;009D5916&quot;/&gt;&lt;wsp:rsid wsp:val=&quot;009D5D5E&quot;/&gt;&lt;wsp:rsid wsp:val=&quot;009D6099&quot;/&gt;&lt;wsp:rsid wsp:val=&quot;009D61D7&quot;/&gt;&lt;wsp:rsid wsp:val=&quot;009D61E5&quot;/&gt;&lt;wsp:rsid wsp:val=&quot;009D6605&quot;/&gt;&lt;wsp:rsid wsp:val=&quot;009D67EA&quot;/&gt;&lt;wsp:rsid wsp:val=&quot;009D6ABA&quot;/&gt;&lt;wsp:rsid wsp:val=&quot;009D6ABF&quot;/&gt;&lt;wsp:rsid wsp:val=&quot;009D6D5A&quot;/&gt;&lt;wsp:rsid wsp:val=&quot;009D79DB&quot;/&gt;&lt;wsp:rsid wsp:val=&quot;009D7A84&quot;/&gt;&lt;wsp:rsid wsp:val=&quot;009D7AB4&quot;/&gt;&lt;wsp:rsid wsp:val=&quot;009D7D1E&quot;/&gt;&lt;wsp:rsid wsp:val=&quot;009D7FD1&quot;/&gt;&lt;wsp:rsid wsp:val=&quot;009E037F&quot;/&gt;&lt;wsp:rsid wsp:val=&quot;009E07DE&quot;/&gt;&lt;wsp:rsid wsp:val=&quot;009E0BCD&quot;/&gt;&lt;wsp:rsid wsp:val=&quot;009E0BEF&quot;/&gt;&lt;wsp:rsid wsp:val=&quot;009E0DD7&quot;/&gt;&lt;wsp:rsid wsp:val=&quot;009E0F4D&quot;/&gt;&lt;wsp:rsid wsp:val=&quot;009E0FB4&quot;/&gt;&lt;wsp:rsid wsp:val=&quot;009E1086&quot;/&gt;&lt;wsp:rsid wsp:val=&quot;009E1294&quot;/&gt;&lt;wsp:rsid wsp:val=&quot;009E19F8&quot;/&gt;&lt;wsp:rsid wsp:val=&quot;009E1C77&quot;/&gt;&lt;wsp:rsid wsp:val=&quot;009E2DEE&quot;/&gt;&lt;wsp:rsid wsp:val=&quot;009E36EB&quot;/&gt;&lt;wsp:rsid wsp:val=&quot;009E3E4C&quot;/&gt;&lt;wsp:rsid wsp:val=&quot;009E3FFF&quot;/&gt;&lt;wsp:rsid wsp:val=&quot;009E45F4&quot;/&gt;&lt;wsp:rsid wsp:val=&quot;009E4622&quot;/&gt;&lt;wsp:rsid wsp:val=&quot;009E48F5&quot;/&gt;&lt;wsp:rsid wsp:val=&quot;009E5044&quot;/&gt;&lt;wsp:rsid wsp:val=&quot;009E5060&quot;/&gt;&lt;wsp:rsid wsp:val=&quot;009E53F0&quot;/&gt;&lt;wsp:rsid wsp:val=&quot;009E53F2&quot;/&gt;&lt;wsp:rsid wsp:val=&quot;009E5666&quot;/&gt;&lt;wsp:rsid wsp:val=&quot;009E56C1&quot;/&gt;&lt;wsp:rsid wsp:val=&quot;009E591E&quot;/&gt;&lt;wsp:rsid wsp:val=&quot;009E5D87&quot;/&gt;&lt;wsp:rsid wsp:val=&quot;009E5DE0&quot;/&gt;&lt;wsp:rsid wsp:val=&quot;009E68A8&quot;/&gt;&lt;wsp:rsid wsp:val=&quot;009E6988&quot;/&gt;&lt;wsp:rsid wsp:val=&quot;009E6C73&quot;/&gt;&lt;wsp:rsid wsp:val=&quot;009E6CC9&quot;/&gt;&lt;wsp:rsid wsp:val=&quot;009E71EE&quot;/&gt;&lt;wsp:rsid wsp:val=&quot;009E7D27&quot;/&gt;&lt;wsp:rsid wsp:val=&quot;009F0DAA&quot;/&gt;&lt;wsp:rsid wsp:val=&quot;009F0E30&quot;/&gt;&lt;wsp:rsid wsp:val=&quot;009F1039&quot;/&gt;&lt;wsp:rsid wsp:val=&quot;009F1B40&quot;/&gt;&lt;wsp:rsid wsp:val=&quot;009F1C8A&quot;/&gt;&lt;wsp:rsid wsp:val=&quot;009F254F&quot;/&gt;&lt;wsp:rsid wsp:val=&quot;009F26F9&quot;/&gt;&lt;wsp:rsid wsp:val=&quot;009F2846&quot;/&gt;&lt;wsp:rsid wsp:val=&quot;009F2AFA&quot;/&gt;&lt;wsp:rsid wsp:val=&quot;009F2D02&quot;/&gt;&lt;wsp:rsid wsp:val=&quot;009F3060&quot;/&gt;&lt;wsp:rsid wsp:val=&quot;009F37DD&quot;/&gt;&lt;wsp:rsid wsp:val=&quot;009F3857&quot;/&gt;&lt;wsp:rsid wsp:val=&quot;009F3960&quot;/&gt;&lt;wsp:rsid wsp:val=&quot;009F3C41&quot;/&gt;&lt;wsp:rsid wsp:val=&quot;009F426A&quot;/&gt;&lt;wsp:rsid wsp:val=&quot;009F4681&quot;/&gt;&lt;wsp:rsid wsp:val=&quot;009F48C5&quot;/&gt;&lt;wsp:rsid wsp:val=&quot;009F4D8C&quot;/&gt;&lt;wsp:rsid wsp:val=&quot;009F4FFF&quot;/&gt;&lt;wsp:rsid wsp:val=&quot;009F519D&quot;/&gt;&lt;wsp:rsid wsp:val=&quot;009F5232&quot;/&gt;&lt;wsp:rsid wsp:val=&quot;009F52A3&quot;/&gt;&lt;wsp:rsid wsp:val=&quot;009F53C7&quot;/&gt;&lt;wsp:rsid wsp:val=&quot;009F56F5&quot;/&gt;&lt;wsp:rsid wsp:val=&quot;009F590B&quot;/&gt;&lt;wsp:rsid wsp:val=&quot;009F5AF6&quot;/&gt;&lt;wsp:rsid wsp:val=&quot;009F5EC0&quot;/&gt;&lt;wsp:rsid wsp:val=&quot;009F6174&quot;/&gt;&lt;wsp:rsid wsp:val=&quot;009F61F3&quot;/&gt;&lt;wsp:rsid wsp:val=&quot;009F6612&quot;/&gt;&lt;wsp:rsid wsp:val=&quot;009F66D0&quot;/&gt;&lt;wsp:rsid wsp:val=&quot;009F6BFF&quot;/&gt;&lt;wsp:rsid wsp:val=&quot;009F6C12&quot;/&gt;&lt;wsp:rsid wsp:val=&quot;009F6C6F&quot;/&gt;&lt;wsp:rsid wsp:val=&quot;009F6D60&quot;/&gt;&lt;wsp:rsid wsp:val=&quot;009F6E91&quot;/&gt;&lt;wsp:rsid wsp:val=&quot;009F7704&quot;/&gt;&lt;wsp:rsid wsp:val=&quot;009F7E7D&quot;/&gt;&lt;wsp:rsid wsp:val=&quot;00A00108&quot;/&gt;&lt;wsp:rsid wsp:val=&quot;00A0029D&quot;/&gt;&lt;wsp:rsid wsp:val=&quot;00A006E2&quot;/&gt;&lt;wsp:rsid wsp:val=&quot;00A006EE&quot;/&gt;&lt;wsp:rsid wsp:val=&quot;00A0074F&quot;/&gt;&lt;wsp:rsid wsp:val=&quot;00A00F23&quot;/&gt;&lt;wsp:rsid wsp:val=&quot;00A013C1&quot;/&gt;&lt;wsp:rsid wsp:val=&quot;00A01BB7&quot;/&gt;&lt;wsp:rsid wsp:val=&quot;00A01BBC&quot;/&gt;&lt;wsp:rsid wsp:val=&quot;00A01C6B&quot;/&gt;&lt;wsp:rsid wsp:val=&quot;00A01CBE&quot;/&gt;&lt;wsp:rsid wsp:val=&quot;00A0234B&quot;/&gt;&lt;wsp:rsid wsp:val=&quot;00A024CC&quot;/&gt;&lt;wsp:rsid wsp:val=&quot;00A02851&quot;/&gt;&lt;wsp:rsid wsp:val=&quot;00A02878&quot;/&gt;&lt;wsp:rsid wsp:val=&quot;00A02CB7&quot;/&gt;&lt;wsp:rsid wsp:val=&quot;00A0335B&quot;/&gt;&lt;wsp:rsid wsp:val=&quot;00A03B79&quot;/&gt;&lt;wsp:rsid wsp:val=&quot;00A03E14&quot;/&gt;&lt;wsp:rsid wsp:val=&quot;00A04440&quot;/&gt;&lt;wsp:rsid wsp:val=&quot;00A04E5B&quot;/&gt;&lt;wsp:rsid wsp:val=&quot;00A04F29&quot;/&gt;&lt;wsp:rsid wsp:val=&quot;00A05038&quot;/&gt;&lt;wsp:rsid wsp:val=&quot;00A0578A&quot;/&gt;&lt;wsp:rsid wsp:val=&quot;00A05925&quot;/&gt;&lt;wsp:rsid wsp:val=&quot;00A05AA3&quot;/&gt;&lt;wsp:rsid wsp:val=&quot;00A05F18&quot;/&gt;&lt;wsp:rsid wsp:val=&quot;00A06349&quot;/&gt;&lt;wsp:rsid wsp:val=&quot;00A06389&quot;/&gt;&lt;wsp:rsid wsp:val=&quot;00A063D6&quot;/&gt;&lt;wsp:rsid wsp:val=&quot;00A06AF7&quot;/&gt;&lt;wsp:rsid wsp:val=&quot;00A06C3B&quot;/&gt;&lt;wsp:rsid wsp:val=&quot;00A0705C&quot;/&gt;&lt;wsp:rsid wsp:val=&quot;00A071F0&quot;/&gt;&lt;wsp:rsid wsp:val=&quot;00A0795B&quot;/&gt;&lt;wsp:rsid wsp:val=&quot;00A07FD5&quot;/&gt;&lt;wsp:rsid wsp:val=&quot;00A10198&quot;/&gt;&lt;wsp:rsid wsp:val=&quot;00A101C2&quot;/&gt;&lt;wsp:rsid wsp:val=&quot;00A10679&quot;/&gt;&lt;wsp:rsid wsp:val=&quot;00A106EB&quot;/&gt;&lt;wsp:rsid wsp:val=&quot;00A109EE&quot;/&gt;&lt;wsp:rsid wsp:val=&quot;00A112E7&quot;/&gt;&lt;wsp:rsid wsp:val=&quot;00A11859&quot;/&gt;&lt;wsp:rsid wsp:val=&quot;00A11F40&quot;/&gt;&lt;wsp:rsid wsp:val=&quot;00A12240&quot;/&gt;&lt;wsp:rsid wsp:val=&quot;00A12640&quot;/&gt;&lt;wsp:rsid wsp:val=&quot;00A128AA&quot;/&gt;&lt;wsp:rsid wsp:val=&quot;00A12C11&quot;/&gt;&lt;wsp:rsid wsp:val=&quot;00A12C12&quot;/&gt;&lt;wsp:rsid wsp:val=&quot;00A12D6A&quot;/&gt;&lt;wsp:rsid wsp:val=&quot;00A12D7C&quot;/&gt;&lt;wsp:rsid wsp:val=&quot;00A1375D&quot;/&gt;&lt;wsp:rsid wsp:val=&quot;00A1385D&quot;/&gt;&lt;wsp:rsid wsp:val=&quot;00A13B28&quot;/&gt;&lt;wsp:rsid wsp:val=&quot;00A13D39&quot;/&gt;&lt;wsp:rsid wsp:val=&quot;00A13F73&quot;/&gt;&lt;wsp:rsid wsp:val=&quot;00A13F82&quot;/&gt;&lt;wsp:rsid wsp:val=&quot;00A13FED&quot;/&gt;&lt;wsp:rsid wsp:val=&quot;00A14252&quot;/&gt;&lt;wsp:rsid wsp:val=&quot;00A148D1&quot;/&gt;&lt;wsp:rsid wsp:val=&quot;00A148FB&quot;/&gt;&lt;wsp:rsid wsp:val=&quot;00A14FE7&quot;/&gt;&lt;wsp:rsid wsp:val=&quot;00A150D5&quot;/&gt;&lt;wsp:rsid wsp:val=&quot;00A15168&quot;/&gt;&lt;wsp:rsid wsp:val=&quot;00A1543F&quot;/&gt;&lt;wsp:rsid wsp:val=&quot;00A15572&quot;/&gt;&lt;wsp:rsid wsp:val=&quot;00A15783&quot;/&gt;&lt;wsp:rsid wsp:val=&quot;00A15C97&quot;/&gt;&lt;wsp:rsid wsp:val=&quot;00A15CBA&quot;/&gt;&lt;wsp:rsid wsp:val=&quot;00A16141&quot;/&gt;&lt;wsp:rsid wsp:val=&quot;00A166D0&quot;/&gt;&lt;wsp:rsid wsp:val=&quot;00A16A35&quot;/&gt;&lt;wsp:rsid wsp:val=&quot;00A1722D&quot;/&gt;&lt;wsp:rsid wsp:val=&quot;00A1763E&quot;/&gt;&lt;wsp:rsid wsp:val=&quot;00A17B2D&quot;/&gt;&lt;wsp:rsid wsp:val=&quot;00A17C35&quot;/&gt;&lt;wsp:rsid wsp:val=&quot;00A17D80&quot;/&gt;&lt;wsp:rsid wsp:val=&quot;00A17DDB&quot;/&gt;&lt;wsp:rsid wsp:val=&quot;00A17E93&quot;/&gt;&lt;wsp:rsid wsp:val=&quot;00A17FD5&quot;/&gt;&lt;wsp:rsid wsp:val=&quot;00A20378&quot;/&gt;&lt;wsp:rsid wsp:val=&quot;00A209EA&quot;/&gt;&lt;wsp:rsid wsp:val=&quot;00A20D10&quot;/&gt;&lt;wsp:rsid wsp:val=&quot;00A20E6C&quot;/&gt;&lt;wsp:rsid wsp:val=&quot;00A20F11&quot;/&gt;&lt;wsp:rsid wsp:val=&quot;00A21ABD&quot;/&gt;&lt;wsp:rsid wsp:val=&quot;00A21BFA&quot;/&gt;&lt;wsp:rsid wsp:val=&quot;00A21CE4&quot;/&gt;&lt;wsp:rsid wsp:val=&quot;00A2207C&quot;/&gt;&lt;wsp:rsid wsp:val=&quot;00A22137&quot;/&gt;&lt;wsp:rsid wsp:val=&quot;00A226FC&quot;/&gt;&lt;wsp:rsid wsp:val=&quot;00A226FF&quot;/&gt;&lt;wsp:rsid wsp:val=&quot;00A2291F&quot;/&gt;&lt;wsp:rsid wsp:val=&quot;00A22E0D&quot;/&gt;&lt;wsp:rsid wsp:val=&quot;00A22F42&quot;/&gt;&lt;wsp:rsid wsp:val=&quot;00A23506&quot;/&gt;&lt;wsp:rsid wsp:val=&quot;00A23648&quot;/&gt;&lt;wsp:rsid wsp:val=&quot;00A23994&quot;/&gt;&lt;wsp:rsid wsp:val=&quot;00A23B5E&quot;/&gt;&lt;wsp:rsid wsp:val=&quot;00A24233&quot;/&gt;&lt;wsp:rsid wsp:val=&quot;00A24248&quot;/&gt;&lt;wsp:rsid wsp:val=&quot;00A24A2D&quot;/&gt;&lt;wsp:rsid wsp:val=&quot;00A252E7&quot;/&gt;&lt;wsp:rsid wsp:val=&quot;00A2593E&quot;/&gt;&lt;wsp:rsid wsp:val=&quot;00A261A7&quot;/&gt;&lt;wsp:rsid wsp:val=&quot;00A262EE&quot;/&gt;&lt;wsp:rsid wsp:val=&quot;00A270A3&quot;/&gt;&lt;wsp:rsid wsp:val=&quot;00A27218&quot;/&gt;&lt;wsp:rsid wsp:val=&quot;00A272C0&quot;/&gt;&lt;wsp:rsid wsp:val=&quot;00A27335&quot;/&gt;&lt;wsp:rsid wsp:val=&quot;00A27758&quot;/&gt;&lt;wsp:rsid wsp:val=&quot;00A27EF4&quot;/&gt;&lt;wsp:rsid wsp:val=&quot;00A27F1E&quot;/&gt;&lt;wsp:rsid wsp:val=&quot;00A30022&quot;/&gt;&lt;wsp:rsid wsp:val=&quot;00A30405&quot;/&gt;&lt;wsp:rsid wsp:val=&quot;00A30473&quot;/&gt;&lt;wsp:rsid wsp:val=&quot;00A304F6&quot;/&gt;&lt;wsp:rsid wsp:val=&quot;00A30940&quot;/&gt;&lt;wsp:rsid wsp:val=&quot;00A30C79&quot;/&gt;&lt;wsp:rsid wsp:val=&quot;00A30CD9&quot;/&gt;&lt;wsp:rsid wsp:val=&quot;00A30D84&quot;/&gt;&lt;wsp:rsid wsp:val=&quot;00A310F8&quot;/&gt;&lt;wsp:rsid wsp:val=&quot;00A31154&quot;/&gt;&lt;wsp:rsid wsp:val=&quot;00A3124A&quot;/&gt;&lt;wsp:rsid wsp:val=&quot;00A31811&quot;/&gt;&lt;wsp:rsid wsp:val=&quot;00A31CD5&quot;/&gt;&lt;wsp:rsid wsp:val=&quot;00A32633&quot;/&gt;&lt;wsp:rsid wsp:val=&quot;00A32EF9&quot;/&gt;&lt;wsp:rsid wsp:val=&quot;00A3384E&quot;/&gt;&lt;wsp:rsid wsp:val=&quot;00A33D51&quot;/&gt;&lt;wsp:rsid wsp:val=&quot;00A33EAA&quot;/&gt;&lt;wsp:rsid wsp:val=&quot;00A34099&quot;/&gt;&lt;wsp:rsid wsp:val=&quot;00A343F7&quot;/&gt;&lt;wsp:rsid wsp:val=&quot;00A34488&quot;/&gt;&lt;wsp:rsid wsp:val=&quot;00A34787&quot;/&gt;&lt;wsp:rsid wsp:val=&quot;00A3483B&quot;/&gt;&lt;wsp:rsid wsp:val=&quot;00A348E8&quot;/&gt;&lt;wsp:rsid wsp:val=&quot;00A34919&quot;/&gt;&lt;wsp:rsid wsp:val=&quot;00A34AB2&quot;/&gt;&lt;wsp:rsid wsp:val=&quot;00A3521D&quot;/&gt;&lt;wsp:rsid wsp:val=&quot;00A352D6&quot;/&gt;&lt;wsp:rsid wsp:val=&quot;00A35655&quot;/&gt;&lt;wsp:rsid wsp:val=&quot;00A35DA5&quot;/&gt;&lt;wsp:rsid wsp:val=&quot;00A3602A&quot;/&gt;&lt;wsp:rsid wsp:val=&quot;00A3612D&quot;/&gt;&lt;wsp:rsid wsp:val=&quot;00A3687D&quot;/&gt;&lt;wsp:rsid wsp:val=&quot;00A36911&quot;/&gt;&lt;wsp:rsid wsp:val=&quot;00A36FC7&quot;/&gt;&lt;wsp:rsid wsp:val=&quot;00A375E3&quot;/&gt;&lt;wsp:rsid wsp:val=&quot;00A37CCC&quot;/&gt;&lt;wsp:rsid wsp:val=&quot;00A37D0D&quot;/&gt;&lt;wsp:rsid wsp:val=&quot;00A40248&quot;/&gt;&lt;wsp:rsid wsp:val=&quot;00A40A2D&quot;/&gt;&lt;wsp:rsid wsp:val=&quot;00A40C6F&quot;/&gt;&lt;wsp:rsid wsp:val=&quot;00A40F5C&quot;/&gt;&lt;wsp:rsid wsp:val=&quot;00A41847&quot;/&gt;&lt;wsp:rsid wsp:val=&quot;00A41B59&quot;/&gt;&lt;wsp:rsid wsp:val=&quot;00A41EEF&quot;/&gt;&lt;wsp:rsid wsp:val=&quot;00A4240B&quot;/&gt;&lt;wsp:rsid wsp:val=&quot;00A4252A&quot;/&gt;&lt;wsp:rsid wsp:val=&quot;00A429A0&quot;/&gt;&lt;wsp:rsid wsp:val=&quot;00A43176&quot;/&gt;&lt;wsp:rsid wsp:val=&quot;00A43177&quot;/&gt;&lt;wsp:rsid wsp:val=&quot;00A43326&quot;/&gt;&lt;wsp:rsid wsp:val=&quot;00A43637&quot;/&gt;&lt;wsp:rsid wsp:val=&quot;00A4383F&quot;/&gt;&lt;wsp:rsid wsp:val=&quot;00A43F6D&quot;/&gt;&lt;wsp:rsid wsp:val=&quot;00A442DB&quot;/&gt;&lt;wsp:rsid wsp:val=&quot;00A44F49&quot;/&gt;&lt;wsp:rsid wsp:val=&quot;00A465D5&quot;/&gt;&lt;wsp:rsid wsp:val=&quot;00A47257&quot;/&gt;&lt;wsp:rsid wsp:val=&quot;00A4729B&quot;/&gt;&lt;wsp:rsid wsp:val=&quot;00A4778F&quot;/&gt;&lt;wsp:rsid wsp:val=&quot;00A47AEC&quot;/&gt;&lt;wsp:rsid wsp:val=&quot;00A47F2C&quot;/&gt;&lt;wsp:rsid wsp:val=&quot;00A50056&quot;/&gt;&lt;wsp:rsid wsp:val=&quot;00A5053E&quot;/&gt;&lt;wsp:rsid wsp:val=&quot;00A50D97&quot;/&gt;&lt;wsp:rsid wsp:val=&quot;00A51313&quot;/&gt;&lt;wsp:rsid wsp:val=&quot;00A513B8&quot;/&gt;&lt;wsp:rsid wsp:val=&quot;00A51795&quot;/&gt;&lt;wsp:rsid wsp:val=&quot;00A51870&quot;/&gt;&lt;wsp:rsid wsp:val=&quot;00A518ED&quot;/&gt;&lt;wsp:rsid wsp:val=&quot;00A51CA5&quot;/&gt;&lt;wsp:rsid wsp:val=&quot;00A51F41&quot;/&gt;&lt;wsp:rsid wsp:val=&quot;00A51F64&quot;/&gt;&lt;wsp:rsid wsp:val=&quot;00A52270&quot;/&gt;&lt;wsp:rsid wsp:val=&quot;00A526BB&quot;/&gt;&lt;wsp:rsid wsp:val=&quot;00A528FE&quot;/&gt;&lt;wsp:rsid wsp:val=&quot;00A52AB8&quot;/&gt;&lt;wsp:rsid wsp:val=&quot;00A52C16&quot;/&gt;&lt;wsp:rsid wsp:val=&quot;00A52FAE&quot;/&gt;&lt;wsp:rsid wsp:val=&quot;00A53478&quot;/&gt;&lt;wsp:rsid wsp:val=&quot;00A537B8&quot;/&gt;&lt;wsp:rsid wsp:val=&quot;00A537CA&quot;/&gt;&lt;wsp:rsid wsp:val=&quot;00A53809&quot;/&gt;&lt;wsp:rsid wsp:val=&quot;00A53D59&quot;/&gt;&lt;wsp:rsid wsp:val=&quot;00A53E21&quot;/&gt;&lt;wsp:rsid wsp:val=&quot;00A54816&quot;/&gt;&lt;wsp:rsid wsp:val=&quot;00A54971&quot;/&gt;&lt;wsp:rsid wsp:val=&quot;00A54E31&quot;/&gt;&lt;wsp:rsid wsp:val=&quot;00A5553C&quot;/&gt;&lt;wsp:rsid wsp:val=&quot;00A55B82&quot;/&gt;&lt;wsp:rsid wsp:val=&quot;00A56042&quot;/&gt;&lt;wsp:rsid wsp:val=&quot;00A5604E&quot;/&gt;&lt;wsp:rsid wsp:val=&quot;00A56484&quot;/&gt;&lt;wsp:rsid wsp:val=&quot;00A56E0B&quot;/&gt;&lt;wsp:rsid wsp:val=&quot;00A575B8&quot;/&gt;&lt;wsp:rsid wsp:val=&quot;00A57746&quot;/&gt;&lt;wsp:rsid wsp:val=&quot;00A57A97&quot;/&gt;&lt;wsp:rsid wsp:val=&quot;00A57D2D&quot;/&gt;&lt;wsp:rsid wsp:val=&quot;00A6006A&quot;/&gt;&lt;wsp:rsid wsp:val=&quot;00A6014E&quot;/&gt;&lt;wsp:rsid wsp:val=&quot;00A604C0&quot;/&gt;&lt;wsp:rsid wsp:val=&quot;00A607AF&quot;/&gt;&lt;wsp:rsid wsp:val=&quot;00A60DD1&quot;/&gt;&lt;wsp:rsid wsp:val=&quot;00A6113E&quot;/&gt;&lt;wsp:rsid wsp:val=&quot;00A6171A&quot;/&gt;&lt;wsp:rsid wsp:val=&quot;00A61798&quot;/&gt;&lt;wsp:rsid wsp:val=&quot;00A6194C&quot;/&gt;&lt;wsp:rsid wsp:val=&quot;00A61983&quot;/&gt;&lt;wsp:rsid wsp:val=&quot;00A61A8E&quot;/&gt;&lt;wsp:rsid wsp:val=&quot;00A61DB3&quot;/&gt;&lt;wsp:rsid wsp:val=&quot;00A61E69&quot;/&gt;&lt;wsp:rsid wsp:val=&quot;00A62020&quot;/&gt;&lt;wsp:rsid wsp:val=&quot;00A626B2&quot;/&gt;&lt;wsp:rsid wsp:val=&quot;00A627DD&quot;/&gt;&lt;wsp:rsid wsp:val=&quot;00A629DA&quot;/&gt;&lt;wsp:rsid wsp:val=&quot;00A6304F&quot;/&gt;&lt;wsp:rsid wsp:val=&quot;00A63AA4&quot;/&gt;&lt;wsp:rsid wsp:val=&quot;00A63B13&quot;/&gt;&lt;wsp:rsid wsp:val=&quot;00A63D49&quot;/&gt;&lt;wsp:rsid wsp:val=&quot;00A64267&quot;/&gt;&lt;wsp:rsid wsp:val=&quot;00A648AE&quot;/&gt;&lt;wsp:rsid wsp:val=&quot;00A64BC5&quot;/&gt;&lt;wsp:rsid wsp:val=&quot;00A64D66&quot;/&gt;&lt;wsp:rsid wsp:val=&quot;00A65203&quot;/&gt;&lt;wsp:rsid wsp:val=&quot;00A65267&quot;/&gt;&lt;wsp:rsid wsp:val=&quot;00A6539A&quot;/&gt;&lt;wsp:rsid wsp:val=&quot;00A65429&quot;/&gt;&lt;wsp:rsid wsp:val=&quot;00A65763&quot;/&gt;&lt;wsp:rsid wsp:val=&quot;00A65CF2&quot;/&gt;&lt;wsp:rsid wsp:val=&quot;00A65FB1&quot;/&gt;&lt;wsp:rsid wsp:val=&quot;00A660DE&quot;/&gt;&lt;wsp:rsid wsp:val=&quot;00A66337&quot;/&gt;&lt;wsp:rsid wsp:val=&quot;00A66855&quot;/&gt;&lt;wsp:rsid wsp:val=&quot;00A66C91&quot;/&gt;&lt;wsp:rsid wsp:val=&quot;00A66D12&quot;/&gt;&lt;wsp:rsid wsp:val=&quot;00A66D7A&quot;/&gt;&lt;wsp:rsid wsp:val=&quot;00A670D6&quot;/&gt;&lt;wsp:rsid wsp:val=&quot;00A6729D&quot;/&gt;&lt;wsp:rsid wsp:val=&quot;00A67394&quot;/&gt;&lt;wsp:rsid wsp:val=&quot;00A677B5&quot;/&gt;&lt;wsp:rsid wsp:val=&quot;00A6790F&quot;/&gt;&lt;wsp:rsid wsp:val=&quot;00A67912&quot;/&gt;&lt;wsp:rsid wsp:val=&quot;00A67DAC&quot;/&gt;&lt;wsp:rsid wsp:val=&quot;00A701FD&quot;/&gt;&lt;wsp:rsid wsp:val=&quot;00A707D4&quot;/&gt;&lt;wsp:rsid wsp:val=&quot;00A70A5B&quot;/&gt;&lt;wsp:rsid wsp:val=&quot;00A70BDE&quot;/&gt;&lt;wsp:rsid wsp:val=&quot;00A70E8D&quot;/&gt;&lt;wsp:rsid wsp:val=&quot;00A70EC1&quot;/&gt;&lt;wsp:rsid wsp:val=&quot;00A70F52&quot;/&gt;&lt;wsp:rsid wsp:val=&quot;00A710F7&quot;/&gt;&lt;wsp:rsid wsp:val=&quot;00A71124&quot;/&gt;&lt;wsp:rsid wsp:val=&quot;00A7121B&quot;/&gt;&lt;wsp:rsid wsp:val=&quot;00A715C6&quot;/&gt;&lt;wsp:rsid wsp:val=&quot;00A715FD&quot;/&gt;&lt;wsp:rsid wsp:val=&quot;00A71A9A&quot;/&gt;&lt;wsp:rsid wsp:val=&quot;00A71FF8&quot;/&gt;&lt;wsp:rsid wsp:val=&quot;00A7266F&quot;/&gt;&lt;wsp:rsid wsp:val=&quot;00A72C11&quot;/&gt;&lt;wsp:rsid wsp:val=&quot;00A72E7A&quot;/&gt;&lt;wsp:rsid wsp:val=&quot;00A7352C&quot;/&gt;&lt;wsp:rsid wsp:val=&quot;00A73841&quot;/&gt;&lt;wsp:rsid wsp:val=&quot;00A73A59&quot;/&gt;&lt;wsp:rsid wsp:val=&quot;00A73D44&quot;/&gt;&lt;wsp:rsid wsp:val=&quot;00A741C8&quot;/&gt;&lt;wsp:rsid wsp:val=&quot;00A74A9A&quot;/&gt;&lt;wsp:rsid wsp:val=&quot;00A74C38&quot;/&gt;&lt;wsp:rsid wsp:val=&quot;00A75314&quot;/&gt;&lt;wsp:rsid wsp:val=&quot;00A7562A&quot;/&gt;&lt;wsp:rsid wsp:val=&quot;00A75D66&quot;/&gt;&lt;wsp:rsid wsp:val=&quot;00A75E31&quot;/&gt;&lt;wsp:rsid wsp:val=&quot;00A75E76&quot;/&gt;&lt;wsp:rsid wsp:val=&quot;00A76326&quot;/&gt;&lt;wsp:rsid wsp:val=&quot;00A765A2&quot;/&gt;&lt;wsp:rsid wsp:val=&quot;00A765C0&quot;/&gt;&lt;wsp:rsid wsp:val=&quot;00A7686C&quot;/&gt;&lt;wsp:rsid wsp:val=&quot;00A76A08&quot;/&gt;&lt;wsp:rsid wsp:val=&quot;00A76A40&quot;/&gt;&lt;wsp:rsid wsp:val=&quot;00A76B2A&quot;/&gt;&lt;wsp:rsid wsp:val=&quot;00A76D07&quot;/&gt;&lt;wsp:rsid wsp:val=&quot;00A76E3C&quot;/&gt;&lt;wsp:rsid wsp:val=&quot;00A7790D&quot;/&gt;&lt;wsp:rsid wsp:val=&quot;00A77B57&quot;/&gt;&lt;wsp:rsid wsp:val=&quot;00A77BFB&quot;/&gt;&lt;wsp:rsid wsp:val=&quot;00A800B3&quot;/&gt;&lt;wsp:rsid wsp:val=&quot;00A80333&quot;/&gt;&lt;wsp:rsid wsp:val=&quot;00A807B7&quot;/&gt;&lt;wsp:rsid wsp:val=&quot;00A80877&quot;/&gt;&lt;wsp:rsid wsp:val=&quot;00A80892&quot;/&gt;&lt;wsp:rsid wsp:val=&quot;00A80A0E&quot;/&gt;&lt;wsp:rsid wsp:val=&quot;00A80A86&quot;/&gt;&lt;wsp:rsid wsp:val=&quot;00A810F9&quot;/&gt;&lt;wsp:rsid wsp:val=&quot;00A8111C&quot;/&gt;&lt;wsp:rsid wsp:val=&quot;00A8170A&quot;/&gt;&lt;wsp:rsid wsp:val=&quot;00A818A4&quot;/&gt;&lt;wsp:rsid wsp:val=&quot;00A81DD7&quot;/&gt;&lt;wsp:rsid wsp:val=&quot;00A820B4&quot;/&gt;&lt;wsp:rsid wsp:val=&quot;00A82346&quot;/&gt;&lt;wsp:rsid wsp:val=&quot;00A82675&quot;/&gt;&lt;wsp:rsid wsp:val=&quot;00A82773&quot;/&gt;&lt;wsp:rsid wsp:val=&quot;00A8277D&quot;/&gt;&lt;wsp:rsid wsp:val=&quot;00A83BFC&quot;/&gt;&lt;wsp:rsid wsp:val=&quot;00A83DD5&quot;/&gt;&lt;wsp:rsid wsp:val=&quot;00A841A8&quot;/&gt;&lt;wsp:rsid wsp:val=&quot;00A8425B&quot;/&gt;&lt;wsp:rsid wsp:val=&quot;00A84D1E&quot;/&gt;&lt;wsp:rsid wsp:val=&quot;00A85234&quot;/&gt;&lt;wsp:rsid wsp:val=&quot;00A853B5&quot;/&gt;&lt;wsp:rsid wsp:val=&quot;00A855A2&quot;/&gt;&lt;wsp:rsid wsp:val=&quot;00A85755&quot;/&gt;&lt;wsp:rsid wsp:val=&quot;00A858ED&quot;/&gt;&lt;wsp:rsid wsp:val=&quot;00A85A20&quot;/&gt;&lt;wsp:rsid wsp:val=&quot;00A85D90&quot;/&gt;&lt;wsp:rsid wsp:val=&quot;00A85E89&quot;/&gt;&lt;wsp:rsid wsp:val=&quot;00A85EB0&quot;/&gt;&lt;wsp:rsid wsp:val=&quot;00A86531&quot;/&gt;&lt;wsp:rsid wsp:val=&quot;00A867EB&quot;/&gt;&lt;wsp:rsid wsp:val=&quot;00A86B33&quot;/&gt;&lt;wsp:rsid wsp:val=&quot;00A86EEB&quot;/&gt;&lt;wsp:rsid wsp:val=&quot;00A87155&quot;/&gt;&lt;wsp:rsid wsp:val=&quot;00A87208&quot;/&gt;&lt;wsp:rsid wsp:val=&quot;00A87724&quot;/&gt;&lt;wsp:rsid wsp:val=&quot;00A87820&quot;/&gt;&lt;wsp:rsid wsp:val=&quot;00A8788D&quot;/&gt;&lt;wsp:rsid wsp:val=&quot;00A878A4&quot;/&gt;&lt;wsp:rsid wsp:val=&quot;00A879D6&quot;/&gt;&lt;wsp:rsid wsp:val=&quot;00A87C29&quot;/&gt;&lt;wsp:rsid wsp:val=&quot;00A87F41&quot;/&gt;&lt;wsp:rsid wsp:val=&quot;00A903DE&quot;/&gt;&lt;wsp:rsid wsp:val=&quot;00A90584&quot;/&gt;&lt;wsp:rsid wsp:val=&quot;00A90A12&quot;/&gt;&lt;wsp:rsid wsp:val=&quot;00A90F31&quot;/&gt;&lt;wsp:rsid wsp:val=&quot;00A912DD&quot;/&gt;&lt;wsp:rsid wsp:val=&quot;00A915D8&quot;/&gt;&lt;wsp:rsid wsp:val=&quot;00A91839&quot;/&gt;&lt;wsp:rsid wsp:val=&quot;00A91B76&quot;/&gt;&lt;wsp:rsid wsp:val=&quot;00A91B9A&quot;/&gt;&lt;wsp:rsid wsp:val=&quot;00A91E08&quot;/&gt;&lt;wsp:rsid wsp:val=&quot;00A92168&quot;/&gt;&lt;wsp:rsid wsp:val=&quot;00A92513&quot;/&gt;&lt;wsp:rsid wsp:val=&quot;00A928DB&quot;/&gt;&lt;wsp:rsid wsp:val=&quot;00A9295F&quot;/&gt;&lt;wsp:rsid wsp:val=&quot;00A92B87&quot;/&gt;&lt;wsp:rsid wsp:val=&quot;00A9315B&quot;/&gt;&lt;wsp:rsid wsp:val=&quot;00A931F2&quot;/&gt;&lt;wsp:rsid wsp:val=&quot;00A93507&quot;/&gt;&lt;wsp:rsid wsp:val=&quot;00A935C3&quot;/&gt;&lt;wsp:rsid wsp:val=&quot;00A93D4E&quot;/&gt;&lt;wsp:rsid wsp:val=&quot;00A93DE5&quot;/&gt;&lt;wsp:rsid wsp:val=&quot;00A93DE8&quot;/&gt;&lt;wsp:rsid wsp:val=&quot;00A93F76&quot;/&gt;&lt;wsp:rsid wsp:val=&quot;00A94491&quot;/&gt;&lt;wsp:rsid wsp:val=&quot;00A9480B&quot;/&gt;&lt;wsp:rsid wsp:val=&quot;00A94810&quot;/&gt;&lt;wsp:rsid wsp:val=&quot;00A951C6&quot;/&gt;&lt;wsp:rsid wsp:val=&quot;00A95BEC&quot;/&gt;&lt;wsp:rsid wsp:val=&quot;00A961BB&quot;/&gt;&lt;wsp:rsid wsp:val=&quot;00A9681E&quot;/&gt;&lt;wsp:rsid wsp:val=&quot;00A96A52&quot;/&gt;&lt;wsp:rsid wsp:val=&quot;00A96A66&quot;/&gt;&lt;wsp:rsid wsp:val=&quot;00A96AE7&quot;/&gt;&lt;wsp:rsid wsp:val=&quot;00A96EA8&quot;/&gt;&lt;wsp:rsid wsp:val=&quot;00A97920&quot;/&gt;&lt;wsp:rsid wsp:val=&quot;00A97D65&quot;/&gt;&lt;wsp:rsid wsp:val=&quot;00A97F1F&quot;/&gt;&lt;wsp:rsid wsp:val=&quot;00AA02FD&quot;/&gt;&lt;wsp:rsid wsp:val=&quot;00AA042C&quot;/&gt;&lt;wsp:rsid wsp:val=&quot;00AA0584&quot;/&gt;&lt;wsp:rsid wsp:val=&quot;00AA069E&quot;/&gt;&lt;wsp:rsid wsp:val=&quot;00AA0A78&quot;/&gt;&lt;wsp:rsid wsp:val=&quot;00AA0C0C&quot;/&gt;&lt;wsp:rsid wsp:val=&quot;00AA0C45&quot;/&gt;&lt;wsp:rsid wsp:val=&quot;00AA1080&quot;/&gt;&lt;wsp:rsid wsp:val=&quot;00AA1CBC&quot;/&gt;&lt;wsp:rsid wsp:val=&quot;00AA23FC&quot;/&gt;&lt;wsp:rsid wsp:val=&quot;00AA2521&quot;/&gt;&lt;wsp:rsid wsp:val=&quot;00AA2F18&quot;/&gt;&lt;wsp:rsid wsp:val=&quot;00AA314E&quot;/&gt;&lt;wsp:rsid wsp:val=&quot;00AA33A4&quot;/&gt;&lt;wsp:rsid wsp:val=&quot;00AA346B&quot;/&gt;&lt;wsp:rsid wsp:val=&quot;00AA3476&quot;/&gt;&lt;wsp:rsid wsp:val=&quot;00AA3937&quot;/&gt;&lt;wsp:rsid wsp:val=&quot;00AA3B2C&quot;/&gt;&lt;wsp:rsid wsp:val=&quot;00AA3C7A&quot;/&gt;&lt;wsp:rsid wsp:val=&quot;00AA3CBE&quot;/&gt;&lt;wsp:rsid wsp:val=&quot;00AA4246&quot;/&gt;&lt;wsp:rsid wsp:val=&quot;00AA4607&quot;/&gt;&lt;wsp:rsid wsp:val=&quot;00AA47E8&quot;/&gt;&lt;wsp:rsid wsp:val=&quot;00AA48A3&quot;/&gt;&lt;wsp:rsid wsp:val=&quot;00AA4924&quot;/&gt;&lt;wsp:rsid wsp:val=&quot;00AA4D99&quot;/&gt;&lt;wsp:rsid wsp:val=&quot;00AA4E2D&quot;/&gt;&lt;wsp:rsid wsp:val=&quot;00AA510B&quot;/&gt;&lt;wsp:rsid wsp:val=&quot;00AA512E&quot;/&gt;&lt;wsp:rsid wsp:val=&quot;00AA51BB&quot;/&gt;&lt;wsp:rsid wsp:val=&quot;00AA52B0&quot;/&gt;&lt;wsp:rsid wsp:val=&quot;00AA54CF&quot;/&gt;&lt;wsp:rsid wsp:val=&quot;00AA55AC&quot;/&gt;&lt;wsp:rsid wsp:val=&quot;00AA55DC&quot;/&gt;&lt;wsp:rsid wsp:val=&quot;00AA5A0A&quot;/&gt;&lt;wsp:rsid wsp:val=&quot;00AA5D36&quot;/&gt;&lt;wsp:rsid wsp:val=&quot;00AA5F33&quot;/&gt;&lt;wsp:rsid wsp:val=&quot;00AA66CE&quot;/&gt;&lt;wsp:rsid wsp:val=&quot;00AA6F5D&quot;/&gt;&lt;wsp:rsid wsp:val=&quot;00AA7915&quot;/&gt;&lt;wsp:rsid wsp:val=&quot;00AB097D&quot;/&gt;&lt;wsp:rsid wsp:val=&quot;00AB0B87&quot;/&gt;&lt;wsp:rsid wsp:val=&quot;00AB0E1C&quot;/&gt;&lt;wsp:rsid wsp:val=&quot;00AB10CD&quot;/&gt;&lt;wsp:rsid wsp:val=&quot;00AB1244&quot;/&gt;&lt;wsp:rsid wsp:val=&quot;00AB1504&quot;/&gt;&lt;wsp:rsid wsp:val=&quot;00AB20B0&quot;/&gt;&lt;wsp:rsid wsp:val=&quot;00AB2119&quot;/&gt;&lt;wsp:rsid wsp:val=&quot;00AB237C&quot;/&gt;&lt;wsp:rsid wsp:val=&quot;00AB269D&quot;/&gt;&lt;wsp:rsid wsp:val=&quot;00AB274E&quot;/&gt;&lt;wsp:rsid wsp:val=&quot;00AB292A&quot;/&gt;&lt;wsp:rsid wsp:val=&quot;00AB2CF5&quot;/&gt;&lt;wsp:rsid wsp:val=&quot;00AB2E72&quot;/&gt;&lt;wsp:rsid wsp:val=&quot;00AB2F00&quot;/&gt;&lt;wsp:rsid wsp:val=&quot;00AB301B&quot;/&gt;&lt;wsp:rsid wsp:val=&quot;00AB308B&quot;/&gt;&lt;wsp:rsid wsp:val=&quot;00AB3408&quot;/&gt;&lt;wsp:rsid wsp:val=&quot;00AB364B&quot;/&gt;&lt;wsp:rsid wsp:val=&quot;00AB389E&quot;/&gt;&lt;wsp:rsid wsp:val=&quot;00AB3D6A&quot;/&gt;&lt;wsp:rsid wsp:val=&quot;00AB42B0&quot;/&gt;&lt;wsp:rsid wsp:val=&quot;00AB47F0&quot;/&gt;&lt;wsp:rsid wsp:val=&quot;00AB4952&quot;/&gt;&lt;wsp:rsid wsp:val=&quot;00AB4C51&quot;/&gt;&lt;wsp:rsid wsp:val=&quot;00AB4C7F&quot;/&gt;&lt;wsp:rsid wsp:val=&quot;00AB4E24&quot;/&gt;&lt;wsp:rsid wsp:val=&quot;00AB4FE3&quot;/&gt;&lt;wsp:rsid wsp:val=&quot;00AB504C&quot;/&gt;&lt;wsp:rsid wsp:val=&quot;00AB51FA&quot;/&gt;&lt;wsp:rsid wsp:val=&quot;00AB5375&quot;/&gt;&lt;wsp:rsid wsp:val=&quot;00AB5404&quot;/&gt;&lt;wsp:rsid wsp:val=&quot;00AB55DD&quot;/&gt;&lt;wsp:rsid wsp:val=&quot;00AB5747&quot;/&gt;&lt;wsp:rsid wsp:val=&quot;00AB5B35&quot;/&gt;&lt;wsp:rsid wsp:val=&quot;00AB5CE5&quot;/&gt;&lt;wsp:rsid wsp:val=&quot;00AB67B5&quot;/&gt;&lt;wsp:rsid wsp:val=&quot;00AB67F3&quot;/&gt;&lt;wsp:rsid wsp:val=&quot;00AB6D48&quot;/&gt;&lt;wsp:rsid wsp:val=&quot;00AB6EC3&quot;/&gt;&lt;wsp:rsid wsp:val=&quot;00AB7C45&quot;/&gt;&lt;wsp:rsid wsp:val=&quot;00AC0763&quot;/&gt;&lt;wsp:rsid wsp:val=&quot;00AC0967&quot;/&gt;&lt;wsp:rsid wsp:val=&quot;00AC0D90&quot;/&gt;&lt;wsp:rsid wsp:val=&quot;00AC1044&quot;/&gt;&lt;wsp:rsid wsp:val=&quot;00AC1366&quot;/&gt;&lt;wsp:rsid wsp:val=&quot;00AC1455&quot;/&gt;&lt;wsp:rsid wsp:val=&quot;00AC18E9&quot;/&gt;&lt;wsp:rsid wsp:val=&quot;00AC19BD&quot;/&gt;&lt;wsp:rsid wsp:val=&quot;00AC2032&quot;/&gt;&lt;wsp:rsid wsp:val=&quot;00AC20DA&quot;/&gt;&lt;wsp:rsid wsp:val=&quot;00AC22D2&quot;/&gt;&lt;wsp:rsid wsp:val=&quot;00AC2495&quot;/&gt;&lt;wsp:rsid wsp:val=&quot;00AC2652&quot;/&gt;&lt;wsp:rsid wsp:val=&quot;00AC2926&quot;/&gt;&lt;wsp:rsid wsp:val=&quot;00AC2B5B&quot;/&gt;&lt;wsp:rsid wsp:val=&quot;00AC308A&quot;/&gt;&lt;wsp:rsid wsp:val=&quot;00AC358E&quot;/&gt;&lt;wsp:rsid wsp:val=&quot;00AC3903&quot;/&gt;&lt;wsp:rsid wsp:val=&quot;00AC4063&quot;/&gt;&lt;wsp:rsid wsp:val=&quot;00AC40EE&quot;/&gt;&lt;wsp:rsid wsp:val=&quot;00AC4234&quot;/&gt;&lt;wsp:rsid wsp:val=&quot;00AC4D26&quot;/&gt;&lt;wsp:rsid wsp:val=&quot;00AC4E76&quot;/&gt;&lt;wsp:rsid wsp:val=&quot;00AC4F73&quot;/&gt;&lt;wsp:rsid wsp:val=&quot;00AC533B&quot;/&gt;&lt;wsp:rsid wsp:val=&quot;00AC56DD&quot;/&gt;&lt;wsp:rsid wsp:val=&quot;00AC5796&quot;/&gt;&lt;wsp:rsid wsp:val=&quot;00AC650B&quot;/&gt;&lt;wsp:rsid wsp:val=&quot;00AC6598&quot;/&gt;&lt;wsp:rsid wsp:val=&quot;00AC68D8&quot;/&gt;&lt;wsp:rsid wsp:val=&quot;00AC699A&quot;/&gt;&lt;wsp:rsid wsp:val=&quot;00AC6C6D&quot;/&gt;&lt;wsp:rsid wsp:val=&quot;00AC6DC2&quot;/&gt;&lt;wsp:rsid wsp:val=&quot;00AC704A&quot;/&gt;&lt;wsp:rsid wsp:val=&quot;00AC73C4&quot;/&gt;&lt;wsp:rsid wsp:val=&quot;00AC77AC&quot;/&gt;&lt;wsp:rsid wsp:val=&quot;00AC7D8E&quot;/&gt;&lt;wsp:rsid wsp:val=&quot;00AD009D&quot;/&gt;&lt;wsp:rsid wsp:val=&quot;00AD034D&quot;/&gt;&lt;wsp:rsid wsp:val=&quot;00AD040A&quot;/&gt;&lt;wsp:rsid wsp:val=&quot;00AD0684&quot;/&gt;&lt;wsp:rsid wsp:val=&quot;00AD0779&quot;/&gt;&lt;wsp:rsid wsp:val=&quot;00AD08EF&quot;/&gt;&lt;wsp:rsid wsp:val=&quot;00AD1039&quot;/&gt;&lt;wsp:rsid wsp:val=&quot;00AD1BF3&quot;/&gt;&lt;wsp:rsid wsp:val=&quot;00AD1E48&quot;/&gt;&lt;wsp:rsid wsp:val=&quot;00AD2171&quot;/&gt;&lt;wsp:rsid wsp:val=&quot;00AD3062&quot;/&gt;&lt;wsp:rsid wsp:val=&quot;00AD3099&quot;/&gt;&lt;wsp:rsid wsp:val=&quot;00AD312C&quot;/&gt;&lt;wsp:rsid wsp:val=&quot;00AD32CE&quot;/&gt;&lt;wsp:rsid wsp:val=&quot;00AD334F&quot;/&gt;&lt;wsp:rsid wsp:val=&quot;00AD3D3D&quot;/&gt;&lt;wsp:rsid wsp:val=&quot;00AD405F&quot;/&gt;&lt;wsp:rsid wsp:val=&quot;00AD40C2&quot;/&gt;&lt;wsp:rsid wsp:val=&quot;00AD4218&quot;/&gt;&lt;wsp:rsid wsp:val=&quot;00AD4487&quot;/&gt;&lt;wsp:rsid wsp:val=&quot;00AD46B1&quot;/&gt;&lt;wsp:rsid wsp:val=&quot;00AD475B&quot;/&gt;&lt;wsp:rsid wsp:val=&quot;00AD4D3C&quot;/&gt;&lt;wsp:rsid wsp:val=&quot;00AD502A&quot;/&gt;&lt;wsp:rsid wsp:val=&quot;00AD56C8&quot;/&gt;&lt;wsp:rsid wsp:val=&quot;00AD5D9A&quot;/&gt;&lt;wsp:rsid wsp:val=&quot;00AD5DF1&quot;/&gt;&lt;wsp:rsid wsp:val=&quot;00AD63F8&quot;/&gt;&lt;wsp:rsid wsp:val=&quot;00AD67A3&quot;/&gt;&lt;wsp:rsid wsp:val=&quot;00AD67D1&quot;/&gt;&lt;wsp:rsid wsp:val=&quot;00AD6D97&quot;/&gt;&lt;wsp:rsid wsp:val=&quot;00AD6F2C&quot;/&gt;&lt;wsp:rsid wsp:val=&quot;00AD74DE&quot;/&gt;&lt;wsp:rsid wsp:val=&quot;00AD75D9&quot;/&gt;&lt;wsp:rsid wsp:val=&quot;00AD767D&quot;/&gt;&lt;wsp:rsid wsp:val=&quot;00AD79C8&quot;/&gt;&lt;wsp:rsid wsp:val=&quot;00AE024C&quot;/&gt;&lt;wsp:rsid wsp:val=&quot;00AE068F&quot;/&gt;&lt;wsp:rsid wsp:val=&quot;00AE0719&quot;/&gt;&lt;wsp:rsid wsp:val=&quot;00AE084B&quot;/&gt;&lt;wsp:rsid wsp:val=&quot;00AE0FEB&quot;/&gt;&lt;wsp:rsid wsp:val=&quot;00AE0FF8&quot;/&gt;&lt;wsp:rsid wsp:val=&quot;00AE1545&quot;/&gt;&lt;wsp:rsid wsp:val=&quot;00AE15DC&quot;/&gt;&lt;wsp:rsid wsp:val=&quot;00AE1955&quot;/&gt;&lt;wsp:rsid wsp:val=&quot;00AE1B40&quot;/&gt;&lt;wsp:rsid wsp:val=&quot;00AE20EA&quot;/&gt;&lt;wsp:rsid wsp:val=&quot;00AE224C&quot;/&gt;&lt;wsp:rsid wsp:val=&quot;00AE278A&quot;/&gt;&lt;wsp:rsid wsp:val=&quot;00AE2AC4&quot;/&gt;&lt;wsp:rsid wsp:val=&quot;00AE32E1&quot;/&gt;&lt;wsp:rsid wsp:val=&quot;00AE3803&quot;/&gt;&lt;wsp:rsid wsp:val=&quot;00AE3814&quot;/&gt;&lt;wsp:rsid wsp:val=&quot;00AE38C8&quot;/&gt;&lt;wsp:rsid wsp:val=&quot;00AE46DB&quot;/&gt;&lt;wsp:rsid wsp:val=&quot;00AE4840&quot;/&gt;&lt;wsp:rsid wsp:val=&quot;00AE5283&quot;/&gt;&lt;wsp:rsid wsp:val=&quot;00AE542C&quot;/&gt;&lt;wsp:rsid wsp:val=&quot;00AE5D98&quot;/&gt;&lt;wsp:rsid wsp:val=&quot;00AE5E12&quot;/&gt;&lt;wsp:rsid wsp:val=&quot;00AE5E2B&quot;/&gt;&lt;wsp:rsid wsp:val=&quot;00AE5EA0&quot;/&gt;&lt;wsp:rsid wsp:val=&quot;00AE69C5&quot;/&gt;&lt;wsp:rsid wsp:val=&quot;00AE6EB1&quot;/&gt;&lt;wsp:rsid wsp:val=&quot;00AE6F8E&quot;/&gt;&lt;wsp:rsid wsp:val=&quot;00AE76BD&quot;/&gt;&lt;wsp:rsid wsp:val=&quot;00AE794E&quot;/&gt;&lt;wsp:rsid wsp:val=&quot;00AE7B87&quot;/&gt;&lt;wsp:rsid wsp:val=&quot;00AF04F5&quot;/&gt;&lt;wsp:rsid wsp:val=&quot;00AF077C&quot;/&gt;&lt;wsp:rsid wsp:val=&quot;00AF078B&quot;/&gt;&lt;wsp:rsid wsp:val=&quot;00AF0C3E&quot;/&gt;&lt;wsp:rsid wsp:val=&quot;00AF14A8&quot;/&gt;&lt;wsp:rsid wsp:val=&quot;00AF1564&quot;/&gt;&lt;wsp:rsid wsp:val=&quot;00AF1B37&quot;/&gt;&lt;wsp:rsid wsp:val=&quot;00AF2287&quot;/&gt;&lt;wsp:rsid wsp:val=&quot;00AF2712&quot;/&gt;&lt;wsp:rsid wsp:val=&quot;00AF2CC9&quot;/&gt;&lt;wsp:rsid wsp:val=&quot;00AF2D3E&quot;/&gt;&lt;wsp:rsid wsp:val=&quot;00AF2F7A&quot;/&gt;&lt;wsp:rsid wsp:val=&quot;00AF2F9D&quot;/&gt;&lt;wsp:rsid wsp:val=&quot;00AF3149&quot;/&gt;&lt;wsp:rsid wsp:val=&quot;00AF3509&quot;/&gt;&lt;wsp:rsid wsp:val=&quot;00AF3529&quot;/&gt;&lt;wsp:rsid wsp:val=&quot;00AF3B58&quot;/&gt;&lt;wsp:rsid wsp:val=&quot;00AF3E49&quot;/&gt;&lt;wsp:rsid wsp:val=&quot;00AF424F&quot;/&gt;&lt;wsp:rsid wsp:val=&quot;00AF4343&quot;/&gt;&lt;wsp:rsid wsp:val=&quot;00AF55AA&quot;/&gt;&lt;wsp:rsid wsp:val=&quot;00AF56AE&quot;/&gt;&lt;wsp:rsid wsp:val=&quot;00AF5852&quot;/&gt;&lt;wsp:rsid wsp:val=&quot;00AF5A03&quot;/&gt;&lt;wsp:rsid wsp:val=&quot;00AF5B3E&quot;/&gt;&lt;wsp:rsid wsp:val=&quot;00AF5FD0&quot;/&gt;&lt;wsp:rsid wsp:val=&quot;00AF6623&quot;/&gt;&lt;wsp:rsid wsp:val=&quot;00AF6C6E&quot;/&gt;&lt;wsp:rsid wsp:val=&quot;00AF6F3F&quot;/&gt;&lt;wsp:rsid wsp:val=&quot;00AF7725&quot;/&gt;&lt;wsp:rsid wsp:val=&quot;00AF7759&quot;/&gt;&lt;wsp:rsid wsp:val=&quot;00B003B5&quot;/&gt;&lt;wsp:rsid wsp:val=&quot;00B00493&quot;/&gt;&lt;wsp:rsid wsp:val=&quot;00B006EA&quot;/&gt;&lt;wsp:rsid wsp:val=&quot;00B00992&quot;/&gt;&lt;wsp:rsid wsp:val=&quot;00B00A3C&quot;/&gt;&lt;wsp:rsid wsp:val=&quot;00B00DA1&quot;/&gt;&lt;wsp:rsid wsp:val=&quot;00B00DA4&quot;/&gt;&lt;wsp:rsid wsp:val=&quot;00B00DC4&quot;/&gt;&lt;wsp:rsid wsp:val=&quot;00B0124C&quot;/&gt;&lt;wsp:rsid wsp:val=&quot;00B01375&quot;/&gt;&lt;wsp:rsid wsp:val=&quot;00B01420&quot;/&gt;&lt;wsp:rsid wsp:val=&quot;00B016D4&quot;/&gt;&lt;wsp:rsid wsp:val=&quot;00B01D43&quot;/&gt;&lt;wsp:rsid wsp:val=&quot;00B01FC6&quot;/&gt;&lt;wsp:rsid wsp:val=&quot;00B02031&quot;/&gt;&lt;wsp:rsid wsp:val=&quot;00B026F6&quot;/&gt;&lt;wsp:rsid wsp:val=&quot;00B02F28&quot;/&gt;&lt;wsp:rsid wsp:val=&quot;00B0318E&quot;/&gt;&lt;wsp:rsid wsp:val=&quot;00B033E0&quot;/&gt;&lt;wsp:rsid wsp:val=&quot;00B03510&quot;/&gt;&lt;wsp:rsid wsp:val=&quot;00B03804&quot;/&gt;&lt;wsp:rsid wsp:val=&quot;00B03DEE&quot;/&gt;&lt;wsp:rsid wsp:val=&quot;00B045D9&quot;/&gt;&lt;wsp:rsid wsp:val=&quot;00B04A0F&quot;/&gt;&lt;wsp:rsid wsp:val=&quot;00B04AE7&quot;/&gt;&lt;wsp:rsid wsp:val=&quot;00B04EEB&quot;/&gt;&lt;wsp:rsid wsp:val=&quot;00B04F2C&quot;/&gt;&lt;wsp:rsid wsp:val=&quot;00B053A9&quot;/&gt;&lt;wsp:rsid wsp:val=&quot;00B05AC4&quot;/&gt;&lt;wsp:rsid wsp:val=&quot;00B05EA9&quot;/&gt;&lt;wsp:rsid wsp:val=&quot;00B05F50&quot;/&gt;&lt;wsp:rsid wsp:val=&quot;00B0603D&quot;/&gt;&lt;wsp:rsid wsp:val=&quot;00B06108&quot;/&gt;&lt;wsp:rsid wsp:val=&quot;00B06342&quot;/&gt;&lt;wsp:rsid wsp:val=&quot;00B063E9&quot;/&gt;&lt;wsp:rsid wsp:val=&quot;00B066FE&quot;/&gt;&lt;wsp:rsid wsp:val=&quot;00B067B6&quot;/&gt;&lt;wsp:rsid wsp:val=&quot;00B069EB&quot;/&gt;&lt;wsp:rsid wsp:val=&quot;00B06D78&quot;/&gt;&lt;wsp:rsid wsp:val=&quot;00B074B7&quot;/&gt;&lt;wsp:rsid wsp:val=&quot;00B07A34&quot;/&gt;&lt;wsp:rsid wsp:val=&quot;00B07A9B&quot;/&gt;&lt;wsp:rsid wsp:val=&quot;00B07C0E&quot;/&gt;&lt;wsp:rsid wsp:val=&quot;00B101E2&quot;/&gt;&lt;wsp:rsid wsp:val=&quot;00B10273&quot;/&gt;&lt;wsp:rsid wsp:val=&quot;00B102A5&quot;/&gt;&lt;wsp:rsid wsp:val=&quot;00B10437&quot;/&gt;&lt;wsp:rsid wsp:val=&quot;00B105C4&quot;/&gt;&lt;wsp:rsid wsp:val=&quot;00B10857&quot;/&gt;&lt;wsp:rsid wsp:val=&quot;00B114AA&quot;/&gt;&lt;wsp:rsid wsp:val=&quot;00B11588&quot;/&gt;&lt;wsp:rsid wsp:val=&quot;00B11AF5&quot;/&gt;&lt;wsp:rsid wsp:val=&quot;00B11C47&quot;/&gt;&lt;wsp:rsid wsp:val=&quot;00B12253&quot;/&gt;&lt;wsp:rsid wsp:val=&quot;00B1237E&quot;/&gt;&lt;wsp:rsid wsp:val=&quot;00B12763&quot;/&gt;&lt;wsp:rsid wsp:val=&quot;00B12A63&quot;/&gt;&lt;wsp:rsid wsp:val=&quot;00B12BF1&quot;/&gt;&lt;wsp:rsid wsp:val=&quot;00B12CB5&quot;/&gt;&lt;wsp:rsid wsp:val=&quot;00B12D76&quot;/&gt;&lt;wsp:rsid wsp:val=&quot;00B12EAC&quot;/&gt;&lt;wsp:rsid wsp:val=&quot;00B13341&quot;/&gt;&lt;wsp:rsid wsp:val=&quot;00B1351D&quot;/&gt;&lt;wsp:rsid wsp:val=&quot;00B13820&quot;/&gt;&lt;wsp:rsid wsp:val=&quot;00B1420F&quot;/&gt;&lt;wsp:rsid wsp:val=&quot;00B14339&quot;/&gt;&lt;wsp:rsid wsp:val=&quot;00B1488F&quot;/&gt;&lt;wsp:rsid wsp:val=&quot;00B1495C&quot;/&gt;&lt;wsp:rsid wsp:val=&quot;00B14964&quot;/&gt;&lt;wsp:rsid wsp:val=&quot;00B14EC4&quot;/&gt;&lt;wsp:rsid wsp:val=&quot;00B14FB8&quot;/&gt;&lt;wsp:rsid wsp:val=&quot;00B150F3&quot;/&gt;&lt;wsp:rsid wsp:val=&quot;00B1542F&quot;/&gt;&lt;wsp:rsid wsp:val=&quot;00B15BB8&quot;/&gt;&lt;wsp:rsid wsp:val=&quot;00B15BD5&quot;/&gt;&lt;wsp:rsid wsp:val=&quot;00B1658C&quot;/&gt;&lt;wsp:rsid wsp:val=&quot;00B165F4&quot;/&gt;&lt;wsp:rsid wsp:val=&quot;00B16B51&quot;/&gt;&lt;wsp:rsid wsp:val=&quot;00B16CE4&quot;/&gt;&lt;wsp:rsid wsp:val=&quot;00B17267&quot;/&gt;&lt;wsp:rsid wsp:val=&quot;00B17A6F&quot;/&gt;&lt;wsp:rsid wsp:val=&quot;00B17A77&quot;/&gt;&lt;wsp:rsid wsp:val=&quot;00B17F34&quot;/&gt;&lt;wsp:rsid wsp:val=&quot;00B2037C&quot;/&gt;&lt;wsp:rsid wsp:val=&quot;00B206CE&quot;/&gt;&lt;wsp:rsid wsp:val=&quot;00B207CE&quot;/&gt;&lt;wsp:rsid wsp:val=&quot;00B207EC&quot;/&gt;&lt;wsp:rsid wsp:val=&quot;00B208ED&quot;/&gt;&lt;wsp:rsid wsp:val=&quot;00B211C4&quot;/&gt;&lt;wsp:rsid wsp:val=&quot;00B21203&quot;/&gt;&lt;wsp:rsid wsp:val=&quot;00B214B2&quot;/&gt;&lt;wsp:rsid wsp:val=&quot;00B215AA&quot;/&gt;&lt;wsp:rsid wsp:val=&quot;00B215BC&quot;/&gt;&lt;wsp:rsid wsp:val=&quot;00B21620&quot;/&gt;&lt;wsp:rsid wsp:val=&quot;00B22E8F&quot;/&gt;&lt;wsp:rsid wsp:val=&quot;00B22F40&quot;/&gt;&lt;wsp:rsid wsp:val=&quot;00B23200&quot;/&gt;&lt;wsp:rsid wsp:val=&quot;00B2379C&quot;/&gt;&lt;wsp:rsid wsp:val=&quot;00B23892&quot;/&gt;&lt;wsp:rsid wsp:val=&quot;00B23D2B&quot;/&gt;&lt;wsp:rsid wsp:val=&quot;00B246A6&quot;/&gt;&lt;wsp:rsid wsp:val=&quot;00B24E41&quot;/&gt;&lt;wsp:rsid wsp:val=&quot;00B24E66&quot;/&gt;&lt;wsp:rsid wsp:val=&quot;00B25027&quot;/&gt;&lt;wsp:rsid wsp:val=&quot;00B2582C&quot;/&gt;&lt;wsp:rsid wsp:val=&quot;00B25907&quot;/&gt;&lt;wsp:rsid wsp:val=&quot;00B264BA&quot;/&gt;&lt;wsp:rsid wsp:val=&quot;00B267C6&quot;/&gt;&lt;wsp:rsid wsp:val=&quot;00B26F46&quot;/&gt;&lt;wsp:rsid wsp:val=&quot;00B270F2&quot;/&gt;&lt;wsp:rsid wsp:val=&quot;00B271B9&quot;/&gt;&lt;wsp:rsid wsp:val=&quot;00B27380&quot;/&gt;&lt;wsp:rsid wsp:val=&quot;00B274BB&quot;/&gt;&lt;wsp:rsid wsp:val=&quot;00B27520&quot;/&gt;&lt;wsp:rsid wsp:val=&quot;00B275DE&quot;/&gt;&lt;wsp:rsid wsp:val=&quot;00B27710&quot;/&gt;&lt;wsp:rsid wsp:val=&quot;00B2772A&quot;/&gt;&lt;wsp:rsid wsp:val=&quot;00B27B90&quot;/&gt;&lt;wsp:rsid wsp:val=&quot;00B27BDA&quot;/&gt;&lt;wsp:rsid wsp:val=&quot;00B302EC&quot;/&gt;&lt;wsp:rsid wsp:val=&quot;00B304C9&quot;/&gt;&lt;wsp:rsid wsp:val=&quot;00B3096D&quot;/&gt;&lt;wsp:rsid wsp:val=&quot;00B30EC9&quot;/&gt;&lt;wsp:rsid wsp:val=&quot;00B31340&quot;/&gt;&lt;wsp:rsid wsp:val=&quot;00B316E7&quot;/&gt;&lt;wsp:rsid wsp:val=&quot;00B31A7D&quot;/&gt;&lt;wsp:rsid wsp:val=&quot;00B31B75&quot;/&gt;&lt;wsp:rsid wsp:val=&quot;00B31F3B&quot;/&gt;&lt;wsp:rsid wsp:val=&quot;00B3255B&quot;/&gt;&lt;wsp:rsid wsp:val=&quot;00B32722&quot;/&gt;&lt;wsp:rsid wsp:val=&quot;00B32901&quot;/&gt;&lt;wsp:rsid wsp:val=&quot;00B32BC4&quot;/&gt;&lt;wsp:rsid wsp:val=&quot;00B32F30&quot;/&gt;&lt;wsp:rsid wsp:val=&quot;00B334E2&quot;/&gt;&lt;wsp:rsid wsp:val=&quot;00B340D8&quot;/&gt;&lt;wsp:rsid wsp:val=&quot;00B34423&quot;/&gt;&lt;wsp:rsid wsp:val=&quot;00B345E1&quot;/&gt;&lt;wsp:rsid wsp:val=&quot;00B34696&quot;/&gt;&lt;wsp:rsid wsp:val=&quot;00B34A3A&quot;/&gt;&lt;wsp:rsid wsp:val=&quot;00B3508E&quot;/&gt;&lt;wsp:rsid wsp:val=&quot;00B35471&quot;/&gt;&lt;wsp:rsid wsp:val=&quot;00B355F7&quot;/&gt;&lt;wsp:rsid wsp:val=&quot;00B355F9&quot;/&gt;&lt;wsp:rsid wsp:val=&quot;00B357FC&quot;/&gt;&lt;wsp:rsid wsp:val=&quot;00B35891&quot;/&gt;&lt;wsp:rsid wsp:val=&quot;00B358AC&quot;/&gt;&lt;wsp:rsid wsp:val=&quot;00B358E9&quot;/&gt;&lt;wsp:rsid wsp:val=&quot;00B35CC2&quot;/&gt;&lt;wsp:rsid wsp:val=&quot;00B36659&quot;/&gt;&lt;wsp:rsid wsp:val=&quot;00B366D3&quot;/&gt;&lt;wsp:rsid wsp:val=&quot;00B3693E&quot;/&gt;&lt;wsp:rsid wsp:val=&quot;00B37158&quot;/&gt;&lt;wsp:rsid wsp:val=&quot;00B373C5&quot;/&gt;&lt;wsp:rsid wsp:val=&quot;00B373F6&quot;/&gt;&lt;wsp:rsid wsp:val=&quot;00B3753C&quot;/&gt;&lt;wsp:rsid wsp:val=&quot;00B37824&quot;/&gt;&lt;wsp:rsid wsp:val=&quot;00B379CB&quot;/&gt;&lt;wsp:rsid wsp:val=&quot;00B37AB0&quot;/&gt;&lt;wsp:rsid wsp:val=&quot;00B37B1C&quot;/&gt;&lt;wsp:rsid wsp:val=&quot;00B37D83&quot;/&gt;&lt;wsp:rsid wsp:val=&quot;00B4003F&quot;/&gt;&lt;wsp:rsid wsp:val=&quot;00B4027C&quot;/&gt;&lt;wsp:rsid wsp:val=&quot;00B405AA&quot;/&gt;&lt;wsp:rsid wsp:val=&quot;00B41129&quot;/&gt;&lt;wsp:rsid wsp:val=&quot;00B41EB7&quot;/&gt;&lt;wsp:rsid wsp:val=&quot;00B420EF&quot;/&gt;&lt;wsp:rsid wsp:val=&quot;00B4230F&quot;/&gt;&lt;wsp:rsid wsp:val=&quot;00B42619&quot;/&gt;&lt;wsp:rsid wsp:val=&quot;00B42645&quot;/&gt;&lt;wsp:rsid wsp:val=&quot;00B4304B&quot;/&gt;&lt;wsp:rsid wsp:val=&quot;00B43378&quot;/&gt;&lt;wsp:rsid wsp:val=&quot;00B4338C&quot;/&gt;&lt;wsp:rsid wsp:val=&quot;00B43BD7&quot;/&gt;&lt;wsp:rsid wsp:val=&quot;00B43C58&quot;/&gt;&lt;wsp:rsid wsp:val=&quot;00B44956&quot;/&gt;&lt;wsp:rsid wsp:val=&quot;00B4527D&quot;/&gt;&lt;wsp:rsid wsp:val=&quot;00B45F5B&quot;/&gt;&lt;wsp:rsid wsp:val=&quot;00B45F5C&quot;/&gt;&lt;wsp:rsid wsp:val=&quot;00B4613C&quot;/&gt;&lt;wsp:rsid wsp:val=&quot;00B464BF&quot;/&gt;&lt;wsp:rsid wsp:val=&quot;00B47705&quot;/&gt;&lt;wsp:rsid wsp:val=&quot;00B47ABD&quot;/&gt;&lt;wsp:rsid wsp:val=&quot;00B47AD1&quot;/&gt;&lt;wsp:rsid wsp:val=&quot;00B47CF4&quot;/&gt;&lt;wsp:rsid wsp:val=&quot;00B47D36&quot;/&gt;&lt;wsp:rsid wsp:val=&quot;00B502BB&quot;/&gt;&lt;wsp:rsid wsp:val=&quot;00B503FD&quot;/&gt;&lt;wsp:rsid wsp:val=&quot;00B50466&quot;/&gt;&lt;wsp:rsid wsp:val=&quot;00B5046F&quot;/&gt;&lt;wsp:rsid wsp:val=&quot;00B505A0&quot;/&gt;&lt;wsp:rsid wsp:val=&quot;00B5084A&quot;/&gt;&lt;wsp:rsid wsp:val=&quot;00B50D60&quot;/&gt;&lt;wsp:rsid wsp:val=&quot;00B5111F&quot;/&gt;&lt;wsp:rsid wsp:val=&quot;00B5185C&quot;/&gt;&lt;wsp:rsid wsp:val=&quot;00B51AB7&quot;/&gt;&lt;wsp:rsid wsp:val=&quot;00B5203B&quot;/&gt;&lt;wsp:rsid wsp:val=&quot;00B52188&quot;/&gt;&lt;wsp:rsid wsp:val=&quot;00B5250E&quot;/&gt;&lt;wsp:rsid wsp:val=&quot;00B5261C&quot;/&gt;&lt;wsp:rsid wsp:val=&quot;00B526AE&quot;/&gt;&lt;wsp:rsid wsp:val=&quot;00B52770&quot;/&gt;&lt;wsp:rsid wsp:val=&quot;00B52A1C&quot;/&gt;&lt;wsp:rsid wsp:val=&quot;00B52A23&quot;/&gt;&lt;wsp:rsid wsp:val=&quot;00B52B05&quot;/&gt;&lt;wsp:rsid wsp:val=&quot;00B52D02&quot;/&gt;&lt;wsp:rsid wsp:val=&quot;00B5318B&quot;/&gt;&lt;wsp:rsid wsp:val=&quot;00B531BC&quot;/&gt;&lt;wsp:rsid wsp:val=&quot;00B53482&quot;/&gt;&lt;wsp:rsid wsp:val=&quot;00B5387F&quot;/&gt;&lt;wsp:rsid wsp:val=&quot;00B5389B&quot;/&gt;&lt;wsp:rsid wsp:val=&quot;00B538F1&quot;/&gt;&lt;wsp:rsid wsp:val=&quot;00B539E7&quot;/&gt;&lt;wsp:rsid wsp:val=&quot;00B53E93&quot;/&gt;&lt;wsp:rsid wsp:val=&quot;00B54064&quot;/&gt;&lt;wsp:rsid wsp:val=&quot;00B54297&quot;/&gt;&lt;wsp:rsid wsp:val=&quot;00B546F4&quot;/&gt;&lt;wsp:rsid wsp:val=&quot;00B54741&quot;/&gt;&lt;wsp:rsid wsp:val=&quot;00B55036&quot;/&gt;&lt;wsp:rsid wsp:val=&quot;00B55249&quot;/&gt;&lt;wsp:rsid wsp:val=&quot;00B5525F&quot;/&gt;&lt;wsp:rsid wsp:val=&quot;00B55663&quot;/&gt;&lt;wsp:rsid wsp:val=&quot;00B55685&quot;/&gt;&lt;wsp:rsid wsp:val=&quot;00B55912&quot;/&gt;&lt;wsp:rsid wsp:val=&quot;00B561D6&quot;/&gt;&lt;wsp:rsid wsp:val=&quot;00B561F7&quot;/&gt;&lt;wsp:rsid wsp:val=&quot;00B5637B&quot;/&gt;&lt;wsp:rsid wsp:val=&quot;00B56DF4&quot;/&gt;&lt;wsp:rsid wsp:val=&quot;00B57213&quot;/&gt;&lt;wsp:rsid wsp:val=&quot;00B573A4&quot;/&gt;&lt;wsp:rsid wsp:val=&quot;00B5750A&quot;/&gt;&lt;wsp:rsid wsp:val=&quot;00B57E4C&quot;/&gt;&lt;wsp:rsid wsp:val=&quot;00B608C4&quot;/&gt;&lt;wsp:rsid wsp:val=&quot;00B609CB&quot;/&gt;&lt;wsp:rsid wsp:val=&quot;00B61A4B&quot;/&gt;&lt;wsp:rsid wsp:val=&quot;00B61D45&quot;/&gt;&lt;wsp:rsid wsp:val=&quot;00B621BD&quot;/&gt;&lt;wsp:rsid wsp:val=&quot;00B622DE&quot;/&gt;&lt;wsp:rsid wsp:val=&quot;00B6234B&quot;/&gt;&lt;wsp:rsid wsp:val=&quot;00B6240A&quot;/&gt;&lt;wsp:rsid wsp:val=&quot;00B6240F&quot;/&gt;&lt;wsp:rsid wsp:val=&quot;00B626C5&quot;/&gt;&lt;wsp:rsid wsp:val=&quot;00B626D5&quot;/&gt;&lt;wsp:rsid wsp:val=&quot;00B62CEE&quot;/&gt;&lt;wsp:rsid wsp:val=&quot;00B63154&quot;/&gt;&lt;wsp:rsid wsp:val=&quot;00B636AA&quot;/&gt;&lt;wsp:rsid wsp:val=&quot;00B642D8&quot;/&gt;&lt;wsp:rsid wsp:val=&quot;00B647B6&quot;/&gt;&lt;wsp:rsid wsp:val=&quot;00B64D1F&quot;/&gt;&lt;wsp:rsid wsp:val=&quot;00B64D40&quot;/&gt;&lt;wsp:rsid wsp:val=&quot;00B6520B&quot;/&gt;&lt;wsp:rsid wsp:val=&quot;00B657C0&quot;/&gt;&lt;wsp:rsid wsp:val=&quot;00B659C5&quot;/&gt;&lt;wsp:rsid wsp:val=&quot;00B66936&quot;/&gt;&lt;wsp:rsid wsp:val=&quot;00B66BE4&quot;/&gt;&lt;wsp:rsid wsp:val=&quot;00B67407&quot;/&gt;&lt;wsp:rsid wsp:val=&quot;00B674C9&quot;/&gt;&lt;wsp:rsid wsp:val=&quot;00B6750B&quot;/&gt;&lt;wsp:rsid wsp:val=&quot;00B67969&quot;/&gt;&lt;wsp:rsid wsp:val=&quot;00B7024E&quot;/&gt;&lt;wsp:rsid wsp:val=&quot;00B70395&quot;/&gt;&lt;wsp:rsid wsp:val=&quot;00B70444&quot;/&gt;&lt;wsp:rsid wsp:val=&quot;00B70C63&quot;/&gt;&lt;wsp:rsid wsp:val=&quot;00B70D4A&quot;/&gt;&lt;wsp:rsid wsp:val=&quot;00B719DC&quot;/&gt;&lt;wsp:rsid wsp:val=&quot;00B71DF4&quot;/&gt;&lt;wsp:rsid wsp:val=&quot;00B71FF8&quot;/&gt;&lt;wsp:rsid wsp:val=&quot;00B7214D&quot;/&gt;&lt;wsp:rsid wsp:val=&quot;00B7237E&quot;/&gt;&lt;wsp:rsid wsp:val=&quot;00B72491&quot;/&gt;&lt;wsp:rsid wsp:val=&quot;00B72997&quot;/&gt;&lt;wsp:rsid wsp:val=&quot;00B72B2D&quot;/&gt;&lt;wsp:rsid wsp:val=&quot;00B73379&quot;/&gt;&lt;wsp:rsid wsp:val=&quot;00B738A1&quot;/&gt;&lt;wsp:rsid wsp:val=&quot;00B73E83&quot;/&gt;&lt;wsp:rsid wsp:val=&quot;00B73F7D&quot;/&gt;&lt;wsp:rsid wsp:val=&quot;00B7404A&quot;/&gt;&lt;wsp:rsid wsp:val=&quot;00B743DB&quot;/&gt;&lt;wsp:rsid wsp:val=&quot;00B74423&quot;/&gt;&lt;wsp:rsid wsp:val=&quot;00B74642&quot;/&gt;&lt;wsp:rsid wsp:val=&quot;00B74D25&quot;/&gt;&lt;wsp:rsid wsp:val=&quot;00B7536C&quot;/&gt;&lt;wsp:rsid wsp:val=&quot;00B7552C&quot;/&gt;&lt;wsp:rsid wsp:val=&quot;00B757CF&quot;/&gt;&lt;wsp:rsid wsp:val=&quot;00B7595E&quot;/&gt;&lt;wsp:rsid wsp:val=&quot;00B75F42&quot;/&gt;&lt;wsp:rsid wsp:val=&quot;00B766BB&quot;/&gt;&lt;wsp:rsid wsp:val=&quot;00B766D1&quot;/&gt;&lt;wsp:rsid wsp:val=&quot;00B769B6&quot;/&gt;&lt;wsp:rsid wsp:val=&quot;00B76C16&quot;/&gt;&lt;wsp:rsid wsp:val=&quot;00B77226&quot;/&gt;&lt;wsp:rsid wsp:val=&quot;00B7723F&quot;/&gt;&lt;wsp:rsid wsp:val=&quot;00B77294&quot;/&gt;&lt;wsp:rsid wsp:val=&quot;00B77450&quot;/&gt;&lt;wsp:rsid wsp:val=&quot;00B776BA&quot;/&gt;&lt;wsp:rsid wsp:val=&quot;00B77C3D&quot;/&gt;&lt;wsp:rsid wsp:val=&quot;00B803FB&quot;/&gt;&lt;wsp:rsid wsp:val=&quot;00B804AA&quot;/&gt;&lt;wsp:rsid wsp:val=&quot;00B8054A&quot;/&gt;&lt;wsp:rsid wsp:val=&quot;00B8064A&quot;/&gt;&lt;wsp:rsid wsp:val=&quot;00B81830&quot;/&gt;&lt;wsp:rsid wsp:val=&quot;00B81AF0&quot;/&gt;&lt;wsp:rsid wsp:val=&quot;00B81B2D&quot;/&gt;&lt;wsp:rsid wsp:val=&quot;00B82189&quot;/&gt;&lt;wsp:rsid wsp:val=&quot;00B82335&quot;/&gt;&lt;wsp:rsid wsp:val=&quot;00B82367&quot;/&gt;&lt;wsp:rsid wsp:val=&quot;00B825BC&quot;/&gt;&lt;wsp:rsid wsp:val=&quot;00B8299B&quot;/&gt;&lt;wsp:rsid wsp:val=&quot;00B82BB6&quot;/&gt;&lt;wsp:rsid wsp:val=&quot;00B830E9&quot;/&gt;&lt;wsp:rsid wsp:val=&quot;00B8316D&quot;/&gt;&lt;wsp:rsid wsp:val=&quot;00B83687&quot;/&gt;&lt;wsp:rsid wsp:val=&quot;00B83B40&quot;/&gt;&lt;wsp:rsid wsp:val=&quot;00B83E28&quot;/&gt;&lt;wsp:rsid wsp:val=&quot;00B8416F&quot;/&gt;&lt;wsp:rsid wsp:val=&quot;00B84482&quot;/&gt;&lt;wsp:rsid wsp:val=&quot;00B845CB&quot;/&gt;&lt;wsp:rsid wsp:val=&quot;00B8472E&quot;/&gt;&lt;wsp:rsid wsp:val=&quot;00B84801&quot;/&gt;&lt;wsp:rsid wsp:val=&quot;00B8506F&quot;/&gt;&lt;wsp:rsid wsp:val=&quot;00B85311&quot;/&gt;&lt;wsp:rsid wsp:val=&quot;00B859FF&quot;/&gt;&lt;wsp:rsid wsp:val=&quot;00B85A40&quot;/&gt;&lt;wsp:rsid wsp:val=&quot;00B85B95&quot;/&gt;&lt;wsp:rsid wsp:val=&quot;00B85DAE&quot;/&gt;&lt;wsp:rsid wsp:val=&quot;00B85DF7&quot;/&gt;&lt;wsp:rsid wsp:val=&quot;00B85FDF&quot;/&gt;&lt;wsp:rsid wsp:val=&quot;00B86233&quot;/&gt;&lt;wsp:rsid wsp:val=&quot;00B868D1&quot;/&gt;&lt;wsp:rsid wsp:val=&quot;00B870B9&quot;/&gt;&lt;wsp:rsid wsp:val=&quot;00B87548&quot;/&gt;&lt;wsp:rsid wsp:val=&quot;00B87808&quot;/&gt;&lt;wsp:rsid wsp:val=&quot;00B87C05&quot;/&gt;&lt;wsp:rsid wsp:val=&quot;00B87FF0&quot;/&gt;&lt;wsp:rsid wsp:val=&quot;00B90186&quot;/&gt;&lt;wsp:rsid wsp:val=&quot;00B90220&quot;/&gt;&lt;wsp:rsid wsp:val=&quot;00B9055C&quot;/&gt;&lt;wsp:rsid wsp:val=&quot;00B90A24&quot;/&gt;&lt;wsp:rsid wsp:val=&quot;00B90AFB&quot;/&gt;&lt;wsp:rsid wsp:val=&quot;00B91017&quot;/&gt;&lt;wsp:rsid wsp:val=&quot;00B91019&quot;/&gt;&lt;wsp:rsid wsp:val=&quot;00B91898&quot;/&gt;&lt;wsp:rsid wsp:val=&quot;00B91D43&quot;/&gt;&lt;wsp:rsid wsp:val=&quot;00B91FFC&quot;/&gt;&lt;wsp:rsid wsp:val=&quot;00B922CF&quot;/&gt;&lt;wsp:rsid wsp:val=&quot;00B9259B&quot;/&gt;&lt;wsp:rsid wsp:val=&quot;00B925A4&quot;/&gt;&lt;wsp:rsid wsp:val=&quot;00B92867&quot;/&gt;&lt;wsp:rsid wsp:val=&quot;00B92C8B&quot;/&gt;&lt;wsp:rsid wsp:val=&quot;00B92CE3&quot;/&gt;&lt;wsp:rsid wsp:val=&quot;00B92EDF&quot;/&gt;&lt;wsp:rsid wsp:val=&quot;00B933ED&quot;/&gt;&lt;wsp:rsid wsp:val=&quot;00B9374D&quot;/&gt;&lt;wsp:rsid wsp:val=&quot;00B939BE&quot;/&gt;&lt;wsp:rsid wsp:val=&quot;00B93A53&quot;/&gt;&lt;wsp:rsid wsp:val=&quot;00B93E91&quot;/&gt;&lt;wsp:rsid wsp:val=&quot;00B94416&quot;/&gt;&lt;wsp:rsid wsp:val=&quot;00B945F6&quot;/&gt;&lt;wsp:rsid wsp:val=&quot;00B9494F&quot;/&gt;&lt;wsp:rsid wsp:val=&quot;00B949CD&quot;/&gt;&lt;wsp:rsid wsp:val=&quot;00B94DD4&quot;/&gt;&lt;wsp:rsid wsp:val=&quot;00B957E1&quot;/&gt;&lt;wsp:rsid wsp:val=&quot;00B95A70&quot;/&gt;&lt;wsp:rsid wsp:val=&quot;00B95F0E&quot;/&gt;&lt;wsp:rsid wsp:val=&quot;00B96800&quot;/&gt;&lt;wsp:rsid wsp:val=&quot;00B96DC9&quot;/&gt;&lt;wsp:rsid wsp:val=&quot;00B96EA0&quot;/&gt;&lt;wsp:rsid wsp:val=&quot;00B972E9&quot;/&gt;&lt;wsp:rsid wsp:val=&quot;00BA00D0&quot;/&gt;&lt;wsp:rsid wsp:val=&quot;00BA0219&quot;/&gt;&lt;wsp:rsid wsp:val=&quot;00BA0229&quot;/&gt;&lt;wsp:rsid wsp:val=&quot;00BA0362&quot;/&gt;&lt;wsp:rsid wsp:val=&quot;00BA0611&quot;/&gt;&lt;wsp:rsid wsp:val=&quot;00BA0A56&quot;/&gt;&lt;wsp:rsid wsp:val=&quot;00BA149A&quot;/&gt;&lt;wsp:rsid wsp:val=&quot;00BA162E&quot;/&gt;&lt;wsp:rsid wsp:val=&quot;00BA178A&quot;/&gt;&lt;wsp:rsid wsp:val=&quot;00BA2D52&quot;/&gt;&lt;wsp:rsid wsp:val=&quot;00BA2D5D&quot;/&gt;&lt;wsp:rsid wsp:val=&quot;00BA3151&quot;/&gt;&lt;wsp:rsid wsp:val=&quot;00BA34EC&quot;/&gt;&lt;wsp:rsid wsp:val=&quot;00BA38D3&quot;/&gt;&lt;wsp:rsid wsp:val=&quot;00BA3DB2&quot;/&gt;&lt;wsp:rsid wsp:val=&quot;00BA3E49&quot;/&gt;&lt;wsp:rsid wsp:val=&quot;00BA43FA&quot;/&gt;&lt;wsp:rsid wsp:val=&quot;00BA4C42&quot;/&gt;&lt;wsp:rsid wsp:val=&quot;00BA4D6A&quot;/&gt;&lt;wsp:rsid wsp:val=&quot;00BA5CA8&quot;/&gt;&lt;wsp:rsid wsp:val=&quot;00BA5DFF&quot;/&gt;&lt;wsp:rsid wsp:val=&quot;00BA5FEF&quot;/&gt;&lt;wsp:rsid wsp:val=&quot;00BA61E1&quot;/&gt;&lt;wsp:rsid wsp:val=&quot;00BA63A1&quot;/&gt;&lt;wsp:rsid wsp:val=&quot;00BA683E&quot;/&gt;&lt;wsp:rsid wsp:val=&quot;00BA68F0&quot;/&gt;&lt;wsp:rsid wsp:val=&quot;00BA6BF0&quot;/&gt;&lt;wsp:rsid wsp:val=&quot;00BA6EF9&quot;/&gt;&lt;wsp:rsid wsp:val=&quot;00BA6FA4&quot;/&gt;&lt;wsp:rsid wsp:val=&quot;00BA7546&quot;/&gt;&lt;wsp:rsid wsp:val=&quot;00BA7725&quot;/&gt;&lt;wsp:rsid wsp:val=&quot;00BA7AD3&quot;/&gt;&lt;wsp:rsid wsp:val=&quot;00BA7FCF&quot;/&gt;&lt;wsp:rsid wsp:val=&quot;00BB022C&quot;/&gt;&lt;wsp:rsid wsp:val=&quot;00BB06E2&quot;/&gt;&lt;wsp:rsid wsp:val=&quot;00BB0DAB&quot;/&gt;&lt;wsp:rsid wsp:val=&quot;00BB167D&quot;/&gt;&lt;wsp:rsid wsp:val=&quot;00BB2025&quot;/&gt;&lt;wsp:rsid wsp:val=&quot;00BB2060&quot;/&gt;&lt;wsp:rsid wsp:val=&quot;00BB20A4&quot;/&gt;&lt;wsp:rsid wsp:val=&quot;00BB2AF6&quot;/&gt;&lt;wsp:rsid wsp:val=&quot;00BB2FFB&quot;/&gt;&lt;wsp:rsid wsp:val=&quot;00BB311C&quot;/&gt;&lt;wsp:rsid wsp:val=&quot;00BB337E&quot;/&gt;&lt;wsp:rsid wsp:val=&quot;00BB34A9&quot;/&gt;&lt;wsp:rsid wsp:val=&quot;00BB350E&quot;/&gt;&lt;wsp:rsid wsp:val=&quot;00BB36C0&quot;/&gt;&lt;wsp:rsid wsp:val=&quot;00BB3A28&quot;/&gt;&lt;wsp:rsid wsp:val=&quot;00BB3B2D&quot;/&gt;&lt;wsp:rsid wsp:val=&quot;00BB409B&quot;/&gt;&lt;wsp:rsid wsp:val=&quot;00BB40BB&quot;/&gt;&lt;wsp:rsid wsp:val=&quot;00BB4189&quot;/&gt;&lt;wsp:rsid wsp:val=&quot;00BB42C2&quot;/&gt;&lt;wsp:rsid wsp:val=&quot;00BB4456&quot;/&gt;&lt;wsp:rsid wsp:val=&quot;00BB44E6&quot;/&gt;&lt;wsp:rsid wsp:val=&quot;00BB4C96&quot;/&gt;&lt;wsp:rsid wsp:val=&quot;00BB4FFB&quot;/&gt;&lt;wsp:rsid wsp:val=&quot;00BB50AC&quot;/&gt;&lt;wsp:rsid wsp:val=&quot;00BB5B79&quot;/&gt;&lt;wsp:rsid wsp:val=&quot;00BB5B9B&quot;/&gt;&lt;wsp:rsid wsp:val=&quot;00BB5C44&quot;/&gt;&lt;wsp:rsid wsp:val=&quot;00BB5F33&quot;/&gt;&lt;wsp:rsid wsp:val=&quot;00BB6048&quot;/&gt;&lt;wsp:rsid wsp:val=&quot;00BB61AC&quot;/&gt;&lt;wsp:rsid wsp:val=&quot;00BB6470&quot;/&gt;&lt;wsp:rsid wsp:val=&quot;00BB6844&quot;/&gt;&lt;wsp:rsid wsp:val=&quot;00BB6956&quot;/&gt;&lt;wsp:rsid wsp:val=&quot;00BB6A39&quot;/&gt;&lt;wsp:rsid wsp:val=&quot;00BB6A44&quot;/&gt;&lt;wsp:rsid wsp:val=&quot;00BB6A93&quot;/&gt;&lt;wsp:rsid wsp:val=&quot;00BB6D27&quot;/&gt;&lt;wsp:rsid wsp:val=&quot;00BB74DB&quot;/&gt;&lt;wsp:rsid wsp:val=&quot;00BB757B&quot;/&gt;&lt;wsp:rsid wsp:val=&quot;00BB77E4&quot;/&gt;&lt;wsp:rsid wsp:val=&quot;00BB782C&quot;/&gt;&lt;wsp:rsid wsp:val=&quot;00BB786D&quot;/&gt;&lt;wsp:rsid wsp:val=&quot;00BB7993&quot;/&gt;&lt;wsp:rsid wsp:val=&quot;00BB7B40&quot;/&gt;&lt;wsp:rsid wsp:val=&quot;00BB7C66&quot;/&gt;&lt;wsp:rsid wsp:val=&quot;00BC0314&quot;/&gt;&lt;wsp:rsid wsp:val=&quot;00BC05B3&quot;/&gt;&lt;wsp:rsid wsp:val=&quot;00BC073A&quot;/&gt;&lt;wsp:rsid wsp:val=&quot;00BC0F9C&quot;/&gt;&lt;wsp:rsid wsp:val=&quot;00BC106A&quot;/&gt;&lt;wsp:rsid wsp:val=&quot;00BC12BA&quot;/&gt;&lt;wsp:rsid wsp:val=&quot;00BC13B7&quot;/&gt;&lt;wsp:rsid wsp:val=&quot;00BC1604&quot;/&gt;&lt;wsp:rsid wsp:val=&quot;00BC1A09&quot;/&gt;&lt;wsp:rsid wsp:val=&quot;00BC1A9E&quot;/&gt;&lt;wsp:rsid wsp:val=&quot;00BC21DC&quot;/&gt;&lt;wsp:rsid wsp:val=&quot;00BC26BD&quot;/&gt;&lt;wsp:rsid wsp:val=&quot;00BC2834&quot;/&gt;&lt;wsp:rsid wsp:val=&quot;00BC2EB8&quot;/&gt;&lt;wsp:rsid wsp:val=&quot;00BC3404&quot;/&gt;&lt;wsp:rsid wsp:val=&quot;00BC34B3&quot;/&gt;&lt;wsp:rsid wsp:val=&quot;00BC37BB&quot;/&gt;&lt;wsp:rsid wsp:val=&quot;00BC37ED&quot;/&gt;&lt;wsp:rsid wsp:val=&quot;00BC3E79&quot;/&gt;&lt;wsp:rsid wsp:val=&quot;00BC3F4F&quot;/&gt;&lt;wsp:rsid wsp:val=&quot;00BC402B&quot;/&gt;&lt;wsp:rsid wsp:val=&quot;00BC40C2&quot;/&gt;&lt;wsp:rsid wsp:val=&quot;00BC4464&quot;/&gt;&lt;wsp:rsid wsp:val=&quot;00BC4A1C&quot;/&gt;&lt;wsp:rsid wsp:val=&quot;00BC4A5E&quot;/&gt;&lt;wsp:rsid wsp:val=&quot;00BC4CDE&quot;/&gt;&lt;wsp:rsid wsp:val=&quot;00BC4F0F&quot;/&gt;&lt;wsp:rsid wsp:val=&quot;00BC4F86&quot;/&gt;&lt;wsp:rsid wsp:val=&quot;00BC5197&quot;/&gt;&lt;wsp:rsid wsp:val=&quot;00BC51DE&quot;/&gt;&lt;wsp:rsid wsp:val=&quot;00BC569F&quot;/&gt;&lt;wsp:rsid wsp:val=&quot;00BC59F6&quot;/&gt;&lt;wsp:rsid wsp:val=&quot;00BC5B02&quot;/&gt;&lt;wsp:rsid wsp:val=&quot;00BC5E6B&quot;/&gt;&lt;wsp:rsid wsp:val=&quot;00BC645D&quot;/&gt;&lt;wsp:rsid wsp:val=&quot;00BC689E&quot;/&gt;&lt;wsp:rsid wsp:val=&quot;00BC6E57&quot;/&gt;&lt;wsp:rsid wsp:val=&quot;00BC6FF0&quot;/&gt;&lt;wsp:rsid wsp:val=&quot;00BC7003&quot;/&gt;&lt;wsp:rsid wsp:val=&quot;00BC72DF&quot;/&gt;&lt;wsp:rsid wsp:val=&quot;00BC7514&quot;/&gt;&lt;wsp:rsid wsp:val=&quot;00BC7A8A&quot;/&gt;&lt;wsp:rsid wsp:val=&quot;00BC7E36&quot;/&gt;&lt;wsp:rsid wsp:val=&quot;00BD0239&quot;/&gt;&lt;wsp:rsid wsp:val=&quot;00BD028C&quot;/&gt;&lt;wsp:rsid wsp:val=&quot;00BD0665&quot;/&gt;&lt;wsp:rsid wsp:val=&quot;00BD07EF&quot;/&gt;&lt;wsp:rsid wsp:val=&quot;00BD07F5&quot;/&gt;&lt;wsp:rsid wsp:val=&quot;00BD0E05&quot;/&gt;&lt;wsp:rsid wsp:val=&quot;00BD0EC3&quot;/&gt;&lt;wsp:rsid wsp:val=&quot;00BD1044&quot;/&gt;&lt;wsp:rsid wsp:val=&quot;00BD1408&quot;/&gt;&lt;wsp:rsid wsp:val=&quot;00BD15C5&quot;/&gt;&lt;wsp:rsid wsp:val=&quot;00BD16AD&quot;/&gt;&lt;wsp:rsid wsp:val=&quot;00BD183E&quot;/&gt;&lt;wsp:rsid wsp:val=&quot;00BD1966&quot;/&gt;&lt;wsp:rsid wsp:val=&quot;00BD19F8&quot;/&gt;&lt;wsp:rsid wsp:val=&quot;00BD21EF&quot;/&gt;&lt;wsp:rsid wsp:val=&quot;00BD2722&quot;/&gt;&lt;wsp:rsid wsp:val=&quot;00BD290B&quot;/&gt;&lt;wsp:rsid wsp:val=&quot;00BD2A30&quot;/&gt;&lt;wsp:rsid wsp:val=&quot;00BD2C67&quot;/&gt;&lt;wsp:rsid wsp:val=&quot;00BD319D&quot;/&gt;&lt;wsp:rsid wsp:val=&quot;00BD3B1A&quot;/&gt;&lt;wsp:rsid wsp:val=&quot;00BD3CC7&quot;/&gt;&lt;wsp:rsid wsp:val=&quot;00BD47CB&quot;/&gt;&lt;wsp:rsid wsp:val=&quot;00BD4986&quot;/&gt;&lt;wsp:rsid wsp:val=&quot;00BD4A06&quot;/&gt;&lt;wsp:rsid wsp:val=&quot;00BD4D4D&quot;/&gt;&lt;wsp:rsid wsp:val=&quot;00BD4F72&quot;/&gt;&lt;wsp:rsid wsp:val=&quot;00BD5117&quot;/&gt;&lt;wsp:rsid wsp:val=&quot;00BD52AB&quot;/&gt;&lt;wsp:rsid wsp:val=&quot;00BD5483&quot;/&gt;&lt;wsp:rsid wsp:val=&quot;00BD5626&quot;/&gt;&lt;wsp:rsid wsp:val=&quot;00BD57FD&quot;/&gt;&lt;wsp:rsid wsp:val=&quot;00BD5E7B&quot;/&gt;&lt;wsp:rsid wsp:val=&quot;00BD67E2&quot;/&gt;&lt;wsp:rsid wsp:val=&quot;00BD6DBD&quot;/&gt;&lt;wsp:rsid wsp:val=&quot;00BD6E04&quot;/&gt;&lt;wsp:rsid wsp:val=&quot;00BD73E0&quot;/&gt;&lt;wsp:rsid wsp:val=&quot;00BD746B&quot;/&gt;&lt;wsp:rsid wsp:val=&quot;00BD7971&quot;/&gt;&lt;wsp:rsid wsp:val=&quot;00BD7A89&quot;/&gt;&lt;wsp:rsid wsp:val=&quot;00BD7AB5&quot;/&gt;&lt;wsp:rsid wsp:val=&quot;00BD7C5B&quot;/&gt;&lt;wsp:rsid wsp:val=&quot;00BD7CEE&quot;/&gt;&lt;wsp:rsid wsp:val=&quot;00BD7D8E&quot;/&gt;&lt;wsp:rsid wsp:val=&quot;00BE0028&quot;/&gt;&lt;wsp:rsid wsp:val=&quot;00BE06B0&quot;/&gt;&lt;wsp:rsid wsp:val=&quot;00BE06D9&quot;/&gt;&lt;wsp:rsid wsp:val=&quot;00BE09AD&quot;/&gt;&lt;wsp:rsid wsp:val=&quot;00BE0B76&quot;/&gt;&lt;wsp:rsid wsp:val=&quot;00BE18A5&quot;/&gt;&lt;wsp:rsid wsp:val=&quot;00BE19E5&quot;/&gt;&lt;wsp:rsid wsp:val=&quot;00BE1DE4&quot;/&gt;&lt;wsp:rsid wsp:val=&quot;00BE1F06&quot;/&gt;&lt;wsp:rsid wsp:val=&quot;00BE1FDE&quot;/&gt;&lt;wsp:rsid wsp:val=&quot;00BE24B8&quot;/&gt;&lt;wsp:rsid wsp:val=&quot;00BE2516&quot;/&gt;&lt;wsp:rsid wsp:val=&quot;00BE2676&quot;/&gt;&lt;wsp:rsid wsp:val=&quot;00BE27F3&quot;/&gt;&lt;wsp:rsid wsp:val=&quot;00BE2B0C&quot;/&gt;&lt;wsp:rsid wsp:val=&quot;00BE2E84&quot;/&gt;&lt;wsp:rsid wsp:val=&quot;00BE2FC2&quot;/&gt;&lt;wsp:rsid wsp:val=&quot;00BE303E&quot;/&gt;&lt;wsp:rsid wsp:val=&quot;00BE333D&quot;/&gt;&lt;wsp:rsid wsp:val=&quot;00BE3465&quot;/&gt;&lt;wsp:rsid wsp:val=&quot;00BE4325&quot;/&gt;&lt;wsp:rsid wsp:val=&quot;00BE52FA&quot;/&gt;&lt;wsp:rsid wsp:val=&quot;00BE5611&quot;/&gt;&lt;wsp:rsid wsp:val=&quot;00BE56AA&quot;/&gt;&lt;wsp:rsid wsp:val=&quot;00BE56CB&quot;/&gt;&lt;wsp:rsid wsp:val=&quot;00BE58B2&quot;/&gt;&lt;wsp:rsid wsp:val=&quot;00BE6197&quot;/&gt;&lt;wsp:rsid wsp:val=&quot;00BE6510&quot;/&gt;&lt;wsp:rsid wsp:val=&quot;00BE6562&quot;/&gt;&lt;wsp:rsid wsp:val=&quot;00BE6B39&quot;/&gt;&lt;wsp:rsid wsp:val=&quot;00BE6C2F&quot;/&gt;&lt;wsp:rsid wsp:val=&quot;00BE6CE0&quot;/&gt;&lt;wsp:rsid wsp:val=&quot;00BE712C&quot;/&gt;&lt;wsp:rsid wsp:val=&quot;00BE75E1&quot;/&gt;&lt;wsp:rsid wsp:val=&quot;00BE76C2&quot;/&gt;&lt;wsp:rsid wsp:val=&quot;00BE785F&quot;/&gt;&lt;wsp:rsid wsp:val=&quot;00BE78BC&quot;/&gt;&lt;wsp:rsid wsp:val=&quot;00BE7C9B&quot;/&gt;&lt;wsp:rsid wsp:val=&quot;00BF00BE&quot;/&gt;&lt;wsp:rsid wsp:val=&quot;00BF018E&quot;/&gt;&lt;wsp:rsid wsp:val=&quot;00BF04F4&quot;/&gt;&lt;wsp:rsid wsp:val=&quot;00BF07C9&quot;/&gt;&lt;wsp:rsid wsp:val=&quot;00BF092E&quot;/&gt;&lt;wsp:rsid wsp:val=&quot;00BF0D10&quot;/&gt;&lt;wsp:rsid wsp:val=&quot;00BF0E67&quot;/&gt;&lt;wsp:rsid wsp:val=&quot;00BF0F6C&quot;/&gt;&lt;wsp:rsid wsp:val=&quot;00BF14A4&quot;/&gt;&lt;wsp:rsid wsp:val=&quot;00BF1503&quot;/&gt;&lt;wsp:rsid wsp:val=&quot;00BF1995&quot;/&gt;&lt;wsp:rsid wsp:val=&quot;00BF20B3&quot;/&gt;&lt;wsp:rsid wsp:val=&quot;00BF2226&quot;/&gt;&lt;wsp:rsid wsp:val=&quot;00BF2A9A&quot;/&gt;&lt;wsp:rsid wsp:val=&quot;00BF3C18&quot;/&gt;&lt;wsp:rsid wsp:val=&quot;00BF4105&quot;/&gt;&lt;wsp:rsid wsp:val=&quot;00BF418D&quot;/&gt;&lt;wsp:rsid wsp:val=&quot;00BF452F&quot;/&gt;&lt;wsp:rsid wsp:val=&quot;00BF456D&quot;/&gt;&lt;wsp:rsid wsp:val=&quot;00BF55FF&quot;/&gt;&lt;wsp:rsid wsp:val=&quot;00BF571A&quot;/&gt;&lt;wsp:rsid wsp:val=&quot;00BF5A3A&quot;/&gt;&lt;wsp:rsid wsp:val=&quot;00BF5B6E&quot;/&gt;&lt;wsp:rsid wsp:val=&quot;00BF5D51&quot;/&gt;&lt;wsp:rsid wsp:val=&quot;00BF5FB4&quot;/&gt;&lt;wsp:rsid wsp:val=&quot;00BF6487&quot;/&gt;&lt;wsp:rsid wsp:val=&quot;00BF6693&quot;/&gt;&lt;wsp:rsid wsp:val=&quot;00BF66D7&quot;/&gt;&lt;wsp:rsid wsp:val=&quot;00BF6AF7&quot;/&gt;&lt;wsp:rsid wsp:val=&quot;00BF6D3E&quot;/&gt;&lt;wsp:rsid wsp:val=&quot;00BF6F1F&quot;/&gt;&lt;wsp:rsid wsp:val=&quot;00BF7145&quot;/&gt;&lt;wsp:rsid wsp:val=&quot;00BF7221&quot;/&gt;&lt;wsp:rsid wsp:val=&quot;00BF7B8D&quot;/&gt;&lt;wsp:rsid wsp:val=&quot;00BF7EAE&quot;/&gt;&lt;wsp:rsid wsp:val=&quot;00C00180&quot;/&gt;&lt;wsp:rsid wsp:val=&quot;00C002A6&quot;/&gt;&lt;wsp:rsid wsp:val=&quot;00C0040F&quot;/&gt;&lt;wsp:rsid wsp:val=&quot;00C00B97&quot;/&gt;&lt;wsp:rsid wsp:val=&quot;00C00ED8&quot;/&gt;&lt;wsp:rsid wsp:val=&quot;00C011B7&quot;/&gt;&lt;wsp:rsid wsp:val=&quot;00C01350&quot;/&gt;&lt;wsp:rsid wsp:val=&quot;00C017BB&quot;/&gt;&lt;wsp:rsid wsp:val=&quot;00C01DB8&quot;/&gt;&lt;wsp:rsid wsp:val=&quot;00C01E51&quot;/&gt;&lt;wsp:rsid wsp:val=&quot;00C01F8C&quot;/&gt;&lt;wsp:rsid wsp:val=&quot;00C0200B&quot;/&gt;&lt;wsp:rsid wsp:val=&quot;00C020FC&quot;/&gt;&lt;wsp:rsid wsp:val=&quot;00C02143&quot;/&gt;&lt;wsp:rsid wsp:val=&quot;00C02566&quot;/&gt;&lt;wsp:rsid wsp:val=&quot;00C02775&quot;/&gt;&lt;wsp:rsid wsp:val=&quot;00C02AB4&quot;/&gt;&lt;wsp:rsid wsp:val=&quot;00C02B6E&quot;/&gt;&lt;wsp:rsid wsp:val=&quot;00C02C7F&quot;/&gt;&lt;wsp:rsid wsp:val=&quot;00C02FC6&quot;/&gt;&lt;wsp:rsid wsp:val=&quot;00C03236&quot;/&gt;&lt;wsp:rsid wsp:val=&quot;00C03A12&quot;/&gt;&lt;wsp:rsid wsp:val=&quot;00C03E02&quot;/&gt;&lt;wsp:rsid wsp:val=&quot;00C03F80&quot;/&gt;&lt;wsp:rsid wsp:val=&quot;00C04424&quot;/&gt;&lt;wsp:rsid wsp:val=&quot;00C0453D&quot;/&gt;&lt;wsp:rsid wsp:val=&quot;00C05095&quot;/&gt;&lt;wsp:rsid wsp:val=&quot;00C05A2D&quot;/&gt;&lt;wsp:rsid wsp:val=&quot;00C05D31&quot;/&gt;&lt;wsp:rsid wsp:val=&quot;00C05E10&quot;/&gt;&lt;wsp:rsid wsp:val=&quot;00C060E2&quot;/&gt;&lt;wsp:rsid wsp:val=&quot;00C06660&quot;/&gt;&lt;wsp:rsid wsp:val=&quot;00C0691F&quot;/&gt;&lt;wsp:rsid wsp:val=&quot;00C06953&quot;/&gt;&lt;wsp:rsid wsp:val=&quot;00C06CC3&quot;/&gt;&lt;wsp:rsid wsp:val=&quot;00C06DF9&quot;/&gt;&lt;wsp:rsid wsp:val=&quot;00C06FB3&quot;/&gt;&lt;wsp:rsid wsp:val=&quot;00C070C3&quot;/&gt;&lt;wsp:rsid wsp:val=&quot;00C078EE&quot;/&gt;&lt;wsp:rsid wsp:val=&quot;00C07BC7&quot;/&gt;&lt;wsp:rsid wsp:val=&quot;00C10240&quot;/&gt;&lt;wsp:rsid wsp:val=&quot;00C102D6&quot;/&gt;&lt;wsp:rsid wsp:val=&quot;00C104EA&quot;/&gt;&lt;wsp:rsid wsp:val=&quot;00C10512&quot;/&gt;&lt;wsp:rsid wsp:val=&quot;00C10BF8&quot;/&gt;&lt;wsp:rsid wsp:val=&quot;00C10D7B&quot;/&gt;&lt;wsp:rsid wsp:val=&quot;00C10F49&quot;/&gt;&lt;wsp:rsid wsp:val=&quot;00C11443&quot;/&gt;&lt;wsp:rsid wsp:val=&quot;00C11555&quot;/&gt;&lt;wsp:rsid wsp:val=&quot;00C1180F&quot;/&gt;&lt;wsp:rsid wsp:val=&quot;00C11BE8&quot;/&gt;&lt;wsp:rsid wsp:val=&quot;00C11EA5&quot;/&gt;&lt;wsp:rsid wsp:val=&quot;00C11F74&quot;/&gt;&lt;wsp:rsid wsp:val=&quot;00C129E9&quot;/&gt;&lt;wsp:rsid wsp:val=&quot;00C12C11&quot;/&gt;&lt;wsp:rsid wsp:val=&quot;00C12C97&quot;/&gt;&lt;wsp:rsid wsp:val=&quot;00C13509&quot;/&gt;&lt;wsp:rsid wsp:val=&quot;00C13555&quot;/&gt;&lt;wsp:rsid wsp:val=&quot;00C135A5&quot;/&gt;&lt;wsp:rsid wsp:val=&quot;00C137B3&quot;/&gt;&lt;wsp:rsid wsp:val=&quot;00C13AE6&quot;/&gt;&lt;wsp:rsid wsp:val=&quot;00C13EEF&quot;/&gt;&lt;wsp:rsid wsp:val=&quot;00C14134&quot;/&gt;&lt;wsp:rsid wsp:val=&quot;00C1486A&quot;/&gt;&lt;wsp:rsid wsp:val=&quot;00C14D0F&quot;/&gt;&lt;wsp:rsid wsp:val=&quot;00C150B0&quot;/&gt;&lt;wsp:rsid wsp:val=&quot;00C152AF&quot;/&gt;&lt;wsp:rsid wsp:val=&quot;00C15325&quot;/&gt;&lt;wsp:rsid wsp:val=&quot;00C15977&quot;/&gt;&lt;wsp:rsid wsp:val=&quot;00C15C67&quot;/&gt;&lt;wsp:rsid wsp:val=&quot;00C15EE9&quot;/&gt;&lt;wsp:rsid wsp:val=&quot;00C15F3E&quot;/&gt;&lt;wsp:rsid wsp:val=&quot;00C162BB&quot;/&gt;&lt;wsp:rsid wsp:val=&quot;00C1648E&quot;/&gt;&lt;wsp:rsid wsp:val=&quot;00C16B62&quot;/&gt;&lt;wsp:rsid wsp:val=&quot;00C16CD0&quot;/&gt;&lt;wsp:rsid wsp:val=&quot;00C16D8C&quot;/&gt;&lt;wsp:rsid wsp:val=&quot;00C1711A&quot;/&gt;&lt;wsp:rsid wsp:val=&quot;00C174BB&quot;/&gt;&lt;wsp:rsid wsp:val=&quot;00C17BF1&quot;/&gt;&lt;wsp:rsid wsp:val=&quot;00C17C09&quot;/&gt;&lt;wsp:rsid wsp:val=&quot;00C20128&quot;/&gt;&lt;wsp:rsid wsp:val=&quot;00C201C6&quot;/&gt;&lt;wsp:rsid wsp:val=&quot;00C20663&quot;/&gt;&lt;wsp:rsid wsp:val=&quot;00C208B3&quot;/&gt;&lt;wsp:rsid wsp:val=&quot;00C20A81&quot;/&gt;&lt;wsp:rsid wsp:val=&quot;00C20C04&quot;/&gt;&lt;wsp:rsid wsp:val=&quot;00C213C5&quot;/&gt;&lt;wsp:rsid wsp:val=&quot;00C2147C&quot;/&gt;&lt;wsp:rsid wsp:val=&quot;00C21867&quot;/&gt;&lt;wsp:rsid wsp:val=&quot;00C21BF0&quot;/&gt;&lt;wsp:rsid wsp:val=&quot;00C21CA2&quot;/&gt;&lt;wsp:rsid wsp:val=&quot;00C21FB6&quot;/&gt;&lt;wsp:rsid wsp:val=&quot;00C220D9&quot;/&gt;&lt;wsp:rsid wsp:val=&quot;00C22109&quot;/&gt;&lt;wsp:rsid wsp:val=&quot;00C22165&quot;/&gt;&lt;wsp:rsid wsp:val=&quot;00C22178&quot;/&gt;&lt;wsp:rsid wsp:val=&quot;00C22628&quot;/&gt;&lt;wsp:rsid wsp:val=&quot;00C22699&quot;/&gt;&lt;wsp:rsid wsp:val=&quot;00C2292E&quot;/&gt;&lt;wsp:rsid wsp:val=&quot;00C22AA2&quot;/&gt;&lt;wsp:rsid wsp:val=&quot;00C22F8E&quot;/&gt;&lt;wsp:rsid wsp:val=&quot;00C23063&quot;/&gt;&lt;wsp:rsid wsp:val=&quot;00C236A3&quot;/&gt;&lt;wsp:rsid wsp:val=&quot;00C236BB&quot;/&gt;&lt;wsp:rsid wsp:val=&quot;00C23703&quot;/&gt;&lt;wsp:rsid wsp:val=&quot;00C239A2&quot;/&gt;&lt;wsp:rsid wsp:val=&quot;00C23EA5&quot;/&gt;&lt;wsp:rsid wsp:val=&quot;00C23EFC&quot;/&gt;&lt;wsp:rsid wsp:val=&quot;00C23F8F&quot;/&gt;&lt;wsp:rsid wsp:val=&quot;00C24301&quot;/&gt;&lt;wsp:rsid wsp:val=&quot;00C244F8&quot;/&gt;&lt;wsp:rsid wsp:val=&quot;00C24626&quot;/&gt;&lt;wsp:rsid wsp:val=&quot;00C24A64&quot;/&gt;&lt;wsp:rsid wsp:val=&quot;00C24E2A&quot;/&gt;&lt;wsp:rsid wsp:val=&quot;00C24E2B&quot;/&gt;&lt;wsp:rsid wsp:val=&quot;00C24F63&quot;/&gt;&lt;wsp:rsid wsp:val=&quot;00C250B1&quot;/&gt;&lt;wsp:rsid wsp:val=&quot;00C2586A&quot;/&gt;&lt;wsp:rsid wsp:val=&quot;00C25936&quot;/&gt;&lt;wsp:rsid wsp:val=&quot;00C25DE7&quot;/&gt;&lt;wsp:rsid wsp:val=&quot;00C260AE&quot;/&gt;&lt;wsp:rsid wsp:val=&quot;00C26418&quot;/&gt;&lt;wsp:rsid wsp:val=&quot;00C267CE&quot;/&gt;&lt;wsp:rsid wsp:val=&quot;00C27C00&quot;/&gt;&lt;wsp:rsid wsp:val=&quot;00C3012D&quot;/&gt;&lt;wsp:rsid wsp:val=&quot;00C309C4&quot;/&gt;&lt;wsp:rsid wsp:val=&quot;00C30C4F&quot;/&gt;&lt;wsp:rsid wsp:val=&quot;00C30FEC&quot;/&gt;&lt;wsp:rsid wsp:val=&quot;00C310A6&quot;/&gt;&lt;wsp:rsid wsp:val=&quot;00C313EB&quot;/&gt;&lt;wsp:rsid wsp:val=&quot;00C31477&quot;/&gt;&lt;wsp:rsid wsp:val=&quot;00C3163C&quot;/&gt;&lt;wsp:rsid wsp:val=&quot;00C3189B&quot;/&gt;&lt;wsp:rsid wsp:val=&quot;00C31991&quot;/&gt;&lt;wsp:rsid wsp:val=&quot;00C31BF9&quot;/&gt;&lt;wsp:rsid wsp:val=&quot;00C31E68&quot;/&gt;&lt;wsp:rsid wsp:val=&quot;00C31E98&quot;/&gt;&lt;wsp:rsid wsp:val=&quot;00C31F06&quot;/&gt;&lt;wsp:rsid wsp:val=&quot;00C3200E&quot;/&gt;&lt;wsp:rsid wsp:val=&quot;00C32227&quot;/&gt;&lt;wsp:rsid wsp:val=&quot;00C32521&quot;/&gt;&lt;wsp:rsid wsp:val=&quot;00C3256D&quot;/&gt;&lt;wsp:rsid wsp:val=&quot;00C326F5&quot;/&gt;&lt;wsp:rsid wsp:val=&quot;00C328C0&quot;/&gt;&lt;wsp:rsid wsp:val=&quot;00C329BB&quot;/&gt;&lt;wsp:rsid wsp:val=&quot;00C32CD7&quot;/&gt;&lt;wsp:rsid wsp:val=&quot;00C32D73&quot;/&gt;&lt;wsp:rsid wsp:val=&quot;00C33480&quot;/&gt;&lt;wsp:rsid wsp:val=&quot;00C3351E&quot;/&gt;&lt;wsp:rsid wsp:val=&quot;00C33ABF&quot;/&gt;&lt;wsp:rsid wsp:val=&quot;00C33F88&quot;/&gt;&lt;wsp:rsid wsp:val=&quot;00C347EB&quot;/&gt;&lt;wsp:rsid wsp:val=&quot;00C34A8A&quot;/&gt;&lt;wsp:rsid wsp:val=&quot;00C34E96&quot;/&gt;&lt;wsp:rsid wsp:val=&quot;00C34F98&quot;/&gt;&lt;wsp:rsid wsp:val=&quot;00C34FE9&quot;/&gt;&lt;wsp:rsid wsp:val=&quot;00C351F0&quot;/&gt;&lt;wsp:rsid wsp:val=&quot;00C3528E&quot;/&gt;&lt;wsp:rsid wsp:val=&quot;00C3546C&quot;/&gt;&lt;wsp:rsid wsp:val=&quot;00C36345&quot;/&gt;&lt;wsp:rsid wsp:val=&quot;00C36660&quot;/&gt;&lt;wsp:rsid wsp:val=&quot;00C36908&quot;/&gt;&lt;wsp:rsid wsp:val=&quot;00C36A6C&quot;/&gt;&lt;wsp:rsid wsp:val=&quot;00C36D0F&quot;/&gt;&lt;wsp:rsid wsp:val=&quot;00C36F38&quot;/&gt;&lt;wsp:rsid wsp:val=&quot;00C36F53&quot;/&gt;&lt;wsp:rsid wsp:val=&quot;00C375DD&quot;/&gt;&lt;wsp:rsid wsp:val=&quot;00C37B8B&quot;/&gt;&lt;wsp:rsid wsp:val=&quot;00C40486&quot;/&gt;&lt;wsp:rsid wsp:val=&quot;00C405F4&quot;/&gt;&lt;wsp:rsid wsp:val=&quot;00C40609&quot;/&gt;&lt;wsp:rsid wsp:val=&quot;00C40777&quot;/&gt;&lt;wsp:rsid wsp:val=&quot;00C408E3&quot;/&gt;&lt;wsp:rsid wsp:val=&quot;00C409E2&quot;/&gt;&lt;wsp:rsid wsp:val=&quot;00C40A4C&quot;/&gt;&lt;wsp:rsid wsp:val=&quot;00C40A63&quot;/&gt;&lt;wsp:rsid wsp:val=&quot;00C40D3E&quot;/&gt;&lt;wsp:rsid wsp:val=&quot;00C40E93&quot;/&gt;&lt;wsp:rsid wsp:val=&quot;00C40F5C&quot;/&gt;&lt;wsp:rsid wsp:val=&quot;00C40F77&quot;/&gt;&lt;wsp:rsid wsp:val=&quot;00C4136B&quot;/&gt;&lt;wsp:rsid wsp:val=&quot;00C413B2&quot;/&gt;&lt;wsp:rsid wsp:val=&quot;00C413CD&quot;/&gt;&lt;wsp:rsid wsp:val=&quot;00C41992&quot;/&gt;&lt;wsp:rsid wsp:val=&quot;00C419F9&quot;/&gt;&lt;wsp:rsid wsp:val=&quot;00C41CC2&quot;/&gt;&lt;wsp:rsid wsp:val=&quot;00C41DFC&quot;/&gt;&lt;wsp:rsid wsp:val=&quot;00C41E87&quot;/&gt;&lt;wsp:rsid wsp:val=&quot;00C41F13&quot;/&gt;&lt;wsp:rsid wsp:val=&quot;00C42424&quot;/&gt;&lt;wsp:rsid wsp:val=&quot;00C43286&quot;/&gt;&lt;wsp:rsid wsp:val=&quot;00C4358D&quot;/&gt;&lt;wsp:rsid wsp:val=&quot;00C4370D&quot;/&gt;&lt;wsp:rsid wsp:val=&quot;00C44058&quot;/&gt;&lt;wsp:rsid wsp:val=&quot;00C4495F&quot;/&gt;&lt;wsp:rsid wsp:val=&quot;00C45325&quot;/&gt;&lt;wsp:rsid wsp:val=&quot;00C453A3&quot;/&gt;&lt;wsp:rsid wsp:val=&quot;00C45ADF&quot;/&gt;&lt;wsp:rsid wsp:val=&quot;00C45CB8&quot;/&gt;&lt;wsp:rsid wsp:val=&quot;00C46336&quot;/&gt;&lt;wsp:rsid wsp:val=&quot;00C4689A&quot;/&gt;&lt;wsp:rsid wsp:val=&quot;00C46E54&quot;/&gt;&lt;wsp:rsid wsp:val=&quot;00C4703A&quot;/&gt;&lt;wsp:rsid wsp:val=&quot;00C474C1&quot;/&gt;&lt;wsp:rsid wsp:val=&quot;00C47EAC&quot;/&gt;&lt;wsp:rsid wsp:val=&quot;00C47FE1&quot;/&gt;&lt;wsp:rsid wsp:val=&quot;00C5008A&quot;/&gt;&lt;wsp:rsid wsp:val=&quot;00C507B2&quot;/&gt;&lt;wsp:rsid wsp:val=&quot;00C50B28&quot;/&gt;&lt;wsp:rsid wsp:val=&quot;00C50B89&quot;/&gt;&lt;wsp:rsid wsp:val=&quot;00C51397&quot;/&gt;&lt;wsp:rsid wsp:val=&quot;00C516C6&quot;/&gt;&lt;wsp:rsid wsp:val=&quot;00C51953&quot;/&gt;&lt;wsp:rsid wsp:val=&quot;00C52043&quot;/&gt;&lt;wsp:rsid wsp:val=&quot;00C5268A&quot;/&gt;&lt;wsp:rsid wsp:val=&quot;00C529CC&quot;/&gt;&lt;wsp:rsid wsp:val=&quot;00C52D26&quot;/&gt;&lt;wsp:rsid wsp:val=&quot;00C53272&quot;/&gt;&lt;wsp:rsid wsp:val=&quot;00C53E29&quot;/&gt;&lt;wsp:rsid wsp:val=&quot;00C53EAE&quot;/&gt;&lt;wsp:rsid wsp:val=&quot;00C53F85&quot;/&gt;&lt;wsp:rsid wsp:val=&quot;00C54548&quot;/&gt;&lt;wsp:rsid wsp:val=&quot;00C549F3&quot;/&gt;&lt;wsp:rsid wsp:val=&quot;00C54CE5&quot;/&gt;&lt;wsp:rsid wsp:val=&quot;00C54D13&quot;/&gt;&lt;wsp:rsid wsp:val=&quot;00C54EF1&quot;/&gt;&lt;wsp:rsid wsp:val=&quot;00C5502B&quot;/&gt;&lt;wsp:rsid wsp:val=&quot;00C551F8&quot;/&gt;&lt;wsp:rsid wsp:val=&quot;00C552FA&quot;/&gt;&lt;wsp:rsid wsp:val=&quot;00C5557C&quot;/&gt;&lt;wsp:rsid wsp:val=&quot;00C55714&quot;/&gt;&lt;wsp:rsid wsp:val=&quot;00C5571A&quot;/&gt;&lt;wsp:rsid wsp:val=&quot;00C55833&quot;/&gt;&lt;wsp:rsid wsp:val=&quot;00C55ABB&quot;/&gt;&lt;wsp:rsid wsp:val=&quot;00C55C94&quot;/&gt;&lt;wsp:rsid wsp:val=&quot;00C560ED&quot;/&gt;&lt;wsp:rsid wsp:val=&quot;00C56423&quot;/&gt;&lt;wsp:rsid wsp:val=&quot;00C56B2B&quot;/&gt;&lt;wsp:rsid wsp:val=&quot;00C56DFA&quot;/&gt;&lt;wsp:rsid wsp:val=&quot;00C5706C&quot;/&gt;&lt;wsp:rsid wsp:val=&quot;00C5748D&quot;/&gt;&lt;wsp:rsid wsp:val=&quot;00C57495&quot;/&gt;&lt;wsp:rsid wsp:val=&quot;00C5764E&quot;/&gt;&lt;wsp:rsid wsp:val=&quot;00C57724&quot;/&gt;&lt;wsp:rsid wsp:val=&quot;00C578BE&quot;/&gt;&lt;wsp:rsid wsp:val=&quot;00C57A7C&quot;/&gt;&lt;wsp:rsid wsp:val=&quot;00C57ABD&quot;/&gt;&lt;wsp:rsid wsp:val=&quot;00C57E0C&quot;/&gt;&lt;wsp:rsid wsp:val=&quot;00C60420&quot;/&gt;&lt;wsp:rsid wsp:val=&quot;00C608EB&quot;/&gt;&lt;wsp:rsid wsp:val=&quot;00C61442&quot;/&gt;&lt;wsp:rsid wsp:val=&quot;00C6148E&quot;/&gt;&lt;wsp:rsid wsp:val=&quot;00C616DC&quot;/&gt;&lt;wsp:rsid wsp:val=&quot;00C61D53&quot;/&gt;&lt;wsp:rsid wsp:val=&quot;00C628B9&quot;/&gt;&lt;wsp:rsid wsp:val=&quot;00C62D5C&quot;/&gt;&lt;wsp:rsid wsp:val=&quot;00C62D63&quot;/&gt;&lt;wsp:rsid wsp:val=&quot;00C62FD1&quot;/&gt;&lt;wsp:rsid wsp:val=&quot;00C63112&quot;/&gt;&lt;wsp:rsid wsp:val=&quot;00C6323C&quot;/&gt;&lt;wsp:rsid wsp:val=&quot;00C632AB&quot;/&gt;&lt;wsp:rsid wsp:val=&quot;00C635E9&quot;/&gt;&lt;wsp:rsid wsp:val=&quot;00C63676&quot;/&gt;&lt;wsp:rsid wsp:val=&quot;00C638AE&quot;/&gt;&lt;wsp:rsid wsp:val=&quot;00C6396D&quot;/&gt;&lt;wsp:rsid wsp:val=&quot;00C63FC5&quot;/&gt;&lt;wsp:rsid wsp:val=&quot;00C64147&quot;/&gt;&lt;wsp:rsid wsp:val=&quot;00C64212&quot;/&gt;&lt;wsp:rsid wsp:val=&quot;00C64557&quot;/&gt;&lt;wsp:rsid wsp:val=&quot;00C648CB&quot;/&gt;&lt;wsp:rsid wsp:val=&quot;00C64B1E&quot;/&gt;&lt;wsp:rsid wsp:val=&quot;00C64B99&quot;/&gt;&lt;wsp:rsid wsp:val=&quot;00C64FFC&quot;/&gt;&lt;wsp:rsid wsp:val=&quot;00C64FFD&quot;/&gt;&lt;wsp:rsid wsp:val=&quot;00C65030&quot;/&gt;&lt;wsp:rsid wsp:val=&quot;00C655D5&quot;/&gt;&lt;wsp:rsid wsp:val=&quot;00C65CFF&quot;/&gt;&lt;wsp:rsid wsp:val=&quot;00C65EEE&quot;/&gt;&lt;wsp:rsid wsp:val=&quot;00C662BB&quot;/&gt;&lt;wsp:rsid wsp:val=&quot;00C66354&quot;/&gt;&lt;wsp:rsid wsp:val=&quot;00C66A8E&quot;/&gt;&lt;wsp:rsid wsp:val=&quot;00C66B4B&quot;/&gt;&lt;wsp:rsid wsp:val=&quot;00C670A3&quot;/&gt;&lt;wsp:rsid wsp:val=&quot;00C670AE&quot;/&gt;&lt;wsp:rsid wsp:val=&quot;00C671DE&quot;/&gt;&lt;wsp:rsid wsp:val=&quot;00C673C5&quot;/&gt;&lt;wsp:rsid wsp:val=&quot;00C67831&quot;/&gt;&lt;wsp:rsid wsp:val=&quot;00C67EA5&quot;/&gt;&lt;wsp:rsid wsp:val=&quot;00C67F6C&quot;/&gt;&lt;wsp:rsid wsp:val=&quot;00C701DC&quot;/&gt;&lt;wsp:rsid wsp:val=&quot;00C70366&quot;/&gt;&lt;wsp:rsid wsp:val=&quot;00C70A2A&quot;/&gt;&lt;wsp:rsid wsp:val=&quot;00C71651&quot;/&gt;&lt;wsp:rsid wsp:val=&quot;00C71716&quot;/&gt;&lt;wsp:rsid wsp:val=&quot;00C71B9C&quot;/&gt;&lt;wsp:rsid wsp:val=&quot;00C71BAB&quot;/&gt;&lt;wsp:rsid wsp:val=&quot;00C71BCA&quot;/&gt;&lt;wsp:rsid wsp:val=&quot;00C71DA3&quot;/&gt;&lt;wsp:rsid wsp:val=&quot;00C71FEF&quot;/&gt;&lt;wsp:rsid wsp:val=&quot;00C723D3&quot;/&gt;&lt;wsp:rsid wsp:val=&quot;00C7245C&quot;/&gt;&lt;wsp:rsid wsp:val=&quot;00C72BF5&quot;/&gt;&lt;wsp:rsid wsp:val=&quot;00C72E28&quot;/&gt;&lt;wsp:rsid wsp:val=&quot;00C72E48&quot;/&gt;&lt;wsp:rsid wsp:val=&quot;00C72F9F&quot;/&gt;&lt;wsp:rsid wsp:val=&quot;00C730B0&quot;/&gt;&lt;wsp:rsid wsp:val=&quot;00C73AB5&quot;/&gt;&lt;wsp:rsid wsp:val=&quot;00C742F4&quot;/&gt;&lt;wsp:rsid wsp:val=&quot;00C74456&quot;/&gt;&lt;wsp:rsid wsp:val=&quot;00C744F9&quot;/&gt;&lt;wsp:rsid wsp:val=&quot;00C74CB4&quot;/&gt;&lt;wsp:rsid wsp:val=&quot;00C7506D&quot;/&gt;&lt;wsp:rsid wsp:val=&quot;00C75070&quot;/&gt;&lt;wsp:rsid wsp:val=&quot;00C7519E&quot;/&gt;&lt;wsp:rsid wsp:val=&quot;00C755A3&quot;/&gt;&lt;wsp:rsid wsp:val=&quot;00C75D11&quot;/&gt;&lt;wsp:rsid wsp:val=&quot;00C75E9E&quot;/&gt;&lt;wsp:rsid wsp:val=&quot;00C76290&quot;/&gt;&lt;wsp:rsid wsp:val=&quot;00C764DC&quot;/&gt;&lt;wsp:rsid wsp:val=&quot;00C76567&quot;/&gt;&lt;wsp:rsid wsp:val=&quot;00C76946&quot;/&gt;&lt;wsp:rsid wsp:val=&quot;00C76B5E&quot;/&gt;&lt;wsp:rsid wsp:val=&quot;00C76D1B&quot;/&gt;&lt;wsp:rsid wsp:val=&quot;00C770A4&quot;/&gt;&lt;wsp:rsid wsp:val=&quot;00C77201&quot;/&gt;&lt;wsp:rsid wsp:val=&quot;00C7749B&quot;/&gt;&lt;wsp:rsid wsp:val=&quot;00C774E8&quot;/&gt;&lt;wsp:rsid wsp:val=&quot;00C77D52&quot;/&gt;&lt;wsp:rsid wsp:val=&quot;00C804F3&quot;/&gt;&lt;wsp:rsid wsp:val=&quot;00C805E2&quot;/&gt;&lt;wsp:rsid wsp:val=&quot;00C806F4&quot;/&gt;&lt;wsp:rsid wsp:val=&quot;00C80E41&quot;/&gt;&lt;wsp:rsid wsp:val=&quot;00C810E4&quot;/&gt;&lt;wsp:rsid wsp:val=&quot;00C8182A&quot;/&gt;&lt;wsp:rsid wsp:val=&quot;00C81C54&quot;/&gt;&lt;wsp:rsid wsp:val=&quot;00C81D9B&quot;/&gt;&lt;wsp:rsid wsp:val=&quot;00C822FD&quot;/&gt;&lt;wsp:rsid wsp:val=&quot;00C82360&quot;/&gt;&lt;wsp:rsid wsp:val=&quot;00C823D2&quot;/&gt;&lt;wsp:rsid wsp:val=&quot;00C825B6&quot;/&gt;&lt;wsp:rsid wsp:val=&quot;00C82D07&quot;/&gt;&lt;wsp:rsid wsp:val=&quot;00C82EE1&quot;/&gt;&lt;wsp:rsid wsp:val=&quot;00C834B5&quot;/&gt;&lt;wsp:rsid wsp:val=&quot;00C836AB&quot;/&gt;&lt;wsp:rsid wsp:val=&quot;00C83829&quot;/&gt;&lt;wsp:rsid wsp:val=&quot;00C83AB1&quot;/&gt;&lt;wsp:rsid wsp:val=&quot;00C83C0B&quot;/&gt;&lt;wsp:rsid wsp:val=&quot;00C84335&quot;/&gt;&lt;wsp:rsid wsp:val=&quot;00C84382&quot;/&gt;&lt;wsp:rsid wsp:val=&quot;00C846D6&quot;/&gt;&lt;wsp:rsid wsp:val=&quot;00C84879&quot;/&gt;&lt;wsp:rsid wsp:val=&quot;00C8490D&quot;/&gt;&lt;wsp:rsid wsp:val=&quot;00C849C3&quot;/&gt;&lt;wsp:rsid wsp:val=&quot;00C84CA9&quot;/&gt;&lt;wsp:rsid wsp:val=&quot;00C84DAA&quot;/&gt;&lt;wsp:rsid wsp:val=&quot;00C85290&quot;/&gt;&lt;wsp:rsid wsp:val=&quot;00C8537C&quot;/&gt;&lt;wsp:rsid wsp:val=&quot;00C8545B&quot;/&gt;&lt;wsp:rsid wsp:val=&quot;00C85463&quot;/&gt;&lt;wsp:rsid wsp:val=&quot;00C86660&quot;/&gt;&lt;wsp:rsid wsp:val=&quot;00C866CF&quot;/&gt;&lt;wsp:rsid wsp:val=&quot;00C86725&quot;/&gt;&lt;wsp:rsid wsp:val=&quot;00C86798&quot;/&gt;&lt;wsp:rsid wsp:val=&quot;00C869FF&quot;/&gt;&lt;wsp:rsid wsp:val=&quot;00C86B66&quot;/&gt;&lt;wsp:rsid wsp:val=&quot;00C8703E&quot;/&gt;&lt;wsp:rsid wsp:val=&quot;00C87047&quot;/&gt;&lt;wsp:rsid wsp:val=&quot;00C871AB&quot;/&gt;&lt;wsp:rsid wsp:val=&quot;00C8759E&quot;/&gt;&lt;wsp:rsid wsp:val=&quot;00C878DD&quot;/&gt;&lt;wsp:rsid wsp:val=&quot;00C87E7C&quot;/&gt;&lt;wsp:rsid wsp:val=&quot;00C901B8&quot;/&gt;&lt;wsp:rsid wsp:val=&quot;00C901D2&quot;/&gt;&lt;wsp:rsid wsp:val=&quot;00C902BC&quot;/&gt;&lt;wsp:rsid wsp:val=&quot;00C903C5&quot;/&gt;&lt;wsp:rsid wsp:val=&quot;00C90E9F&quot;/&gt;&lt;wsp:rsid wsp:val=&quot;00C90F68&quot;/&gt;&lt;wsp:rsid wsp:val=&quot;00C90FAD&quot;/&gt;&lt;wsp:rsid wsp:val=&quot;00C911C4&quot;/&gt;&lt;wsp:rsid wsp:val=&quot;00C91235&quot;/&gt;&lt;wsp:rsid wsp:val=&quot;00C91579&quot;/&gt;&lt;wsp:rsid wsp:val=&quot;00C91B03&quot;/&gt;&lt;wsp:rsid wsp:val=&quot;00C91B1A&quot;/&gt;&lt;wsp:rsid wsp:val=&quot;00C91B69&quot;/&gt;&lt;wsp:rsid wsp:val=&quot;00C91B6B&quot;/&gt;&lt;wsp:rsid wsp:val=&quot;00C91D6B&quot;/&gt;&lt;wsp:rsid wsp:val=&quot;00C92840&quot;/&gt;&lt;wsp:rsid wsp:val=&quot;00C92C3E&quot;/&gt;&lt;wsp:rsid wsp:val=&quot;00C92C8B&quot;/&gt;&lt;wsp:rsid wsp:val=&quot;00C92FE3&quot;/&gt;&lt;wsp:rsid wsp:val=&quot;00C93213&quot;/&gt;&lt;wsp:rsid wsp:val=&quot;00C9359D&quot;/&gt;&lt;wsp:rsid wsp:val=&quot;00C93794&quot;/&gt;&lt;wsp:rsid wsp:val=&quot;00C93AB1&quot;/&gt;&lt;wsp:rsid wsp:val=&quot;00C93C1C&quot;/&gt;&lt;wsp:rsid wsp:val=&quot;00C93C71&quot;/&gt;&lt;wsp:rsid wsp:val=&quot;00C94BF7&quot;/&gt;&lt;wsp:rsid wsp:val=&quot;00C94FDA&quot;/&gt;&lt;wsp:rsid wsp:val=&quot;00C952F2&quot;/&gt;&lt;wsp:rsid wsp:val=&quot;00C95593&quot;/&gt;&lt;wsp:rsid wsp:val=&quot;00C95601&quot;/&gt;&lt;wsp:rsid wsp:val=&quot;00C95761&quot;/&gt;&lt;wsp:rsid wsp:val=&quot;00C95B50&quot;/&gt;&lt;wsp:rsid wsp:val=&quot;00C95B74&quot;/&gt;&lt;wsp:rsid wsp:val=&quot;00C95DA9&quot;/&gt;&lt;wsp:rsid wsp:val=&quot;00C95FCB&quot;/&gt;&lt;wsp:rsid wsp:val=&quot;00C96008&quot;/&gt;&lt;wsp:rsid wsp:val=&quot;00C96072&quot;/&gt;&lt;wsp:rsid wsp:val=&quot;00C96114&quot;/&gt;&lt;wsp:rsid wsp:val=&quot;00C96342&quot;/&gt;&lt;wsp:rsid wsp:val=&quot;00C96488&quot;/&gt;&lt;wsp:rsid wsp:val=&quot;00C965F4&quot;/&gt;&lt;wsp:rsid wsp:val=&quot;00C966E7&quot;/&gt;&lt;wsp:rsid wsp:val=&quot;00C967C3&quot;/&gt;&lt;wsp:rsid wsp:val=&quot;00C967C7&quot;/&gt;&lt;wsp:rsid wsp:val=&quot;00C967D6&quot;/&gt;&lt;wsp:rsid wsp:val=&quot;00C96A2F&quot;/&gt;&lt;wsp:rsid wsp:val=&quot;00C96F4D&quot;/&gt;&lt;wsp:rsid wsp:val=&quot;00C973B5&quot;/&gt;&lt;wsp:rsid wsp:val=&quot;00C97477&quot;/&gt;&lt;wsp:rsid wsp:val=&quot;00C976FC&quot;/&gt;&lt;wsp:rsid wsp:val=&quot;00C977D5&quot;/&gt;&lt;wsp:rsid wsp:val=&quot;00C97877&quot;/&gt;&lt;wsp:rsid wsp:val=&quot;00C978CE&quot;/&gt;&lt;wsp:rsid wsp:val=&quot;00C97AD6&quot;/&gt;&lt;wsp:rsid wsp:val=&quot;00C97AE1&quot;/&gt;&lt;wsp:rsid wsp:val=&quot;00C97DD6&quot;/&gt;&lt;wsp:rsid wsp:val=&quot;00C97F8E&quot;/&gt;&lt;wsp:rsid wsp:val=&quot;00CA0429&quot;/&gt;&lt;wsp:rsid wsp:val=&quot;00CA05C1&quot;/&gt;&lt;wsp:rsid wsp:val=&quot;00CA0D15&quot;/&gt;&lt;wsp:rsid wsp:val=&quot;00CA0E1C&quot;/&gt;&lt;wsp:rsid wsp:val=&quot;00CA11A6&quot;/&gt;&lt;wsp:rsid wsp:val=&quot;00CA1764&quot;/&gt;&lt;wsp:rsid wsp:val=&quot;00CA184C&quot;/&gt;&lt;wsp:rsid wsp:val=&quot;00CA1A12&quot;/&gt;&lt;wsp:rsid wsp:val=&quot;00CA1A44&quot;/&gt;&lt;wsp:rsid wsp:val=&quot;00CA2208&quot;/&gt;&lt;wsp:rsid wsp:val=&quot;00CA2352&quot;/&gt;&lt;wsp:rsid wsp:val=&quot;00CA27D4&quot;/&gt;&lt;wsp:rsid wsp:val=&quot;00CA28E3&quot;/&gt;&lt;wsp:rsid wsp:val=&quot;00CA3429&quot;/&gt;&lt;wsp:rsid wsp:val=&quot;00CA3A9A&quot;/&gt;&lt;wsp:rsid wsp:val=&quot;00CA3C06&quot;/&gt;&lt;wsp:rsid wsp:val=&quot;00CA42DE&quot;/&gt;&lt;wsp:rsid wsp:val=&quot;00CA4D0F&quot;/&gt;&lt;wsp:rsid wsp:val=&quot;00CA5771&quot;/&gt;&lt;wsp:rsid wsp:val=&quot;00CA57F7&quot;/&gt;&lt;wsp:rsid wsp:val=&quot;00CA5873&quot;/&gt;&lt;wsp:rsid wsp:val=&quot;00CA5DDF&quot;/&gt;&lt;wsp:rsid wsp:val=&quot;00CA6218&quot;/&gt;&lt;wsp:rsid wsp:val=&quot;00CA6293&quot;/&gt;&lt;wsp:rsid wsp:val=&quot;00CA6487&quot;/&gt;&lt;wsp:rsid wsp:val=&quot;00CA6560&quot;/&gt;&lt;wsp:rsid wsp:val=&quot;00CA6A93&quot;/&gt;&lt;wsp:rsid wsp:val=&quot;00CA6BAC&quot;/&gt;&lt;wsp:rsid wsp:val=&quot;00CA6C37&quot;/&gt;&lt;wsp:rsid wsp:val=&quot;00CA6C42&quot;/&gt;&lt;wsp:rsid wsp:val=&quot;00CA76DA&quot;/&gt;&lt;wsp:rsid wsp:val=&quot;00CA7A78&quot;/&gt;&lt;wsp:rsid wsp:val=&quot;00CA7CA6&quot;/&gt;&lt;wsp:rsid wsp:val=&quot;00CB0586&quot;/&gt;&lt;wsp:rsid wsp:val=&quot;00CB08AF&quot;/&gt;&lt;wsp:rsid wsp:val=&quot;00CB0DF6&quot;/&gt;&lt;wsp:rsid wsp:val=&quot;00CB13A4&quot;/&gt;&lt;wsp:rsid wsp:val=&quot;00CB15CF&quot;/&gt;&lt;wsp:rsid wsp:val=&quot;00CB1CF7&quot;/&gt;&lt;wsp:rsid wsp:val=&quot;00CB1DF2&quot;/&gt;&lt;wsp:rsid wsp:val=&quot;00CB1FB6&quot;/&gt;&lt;wsp:rsid wsp:val=&quot;00CB2765&quot;/&gt;&lt;wsp:rsid wsp:val=&quot;00CB279B&quot;/&gt;&lt;wsp:rsid wsp:val=&quot;00CB28F7&quot;/&gt;&lt;wsp:rsid wsp:val=&quot;00CB2CB7&quot;/&gt;&lt;wsp:rsid wsp:val=&quot;00CB2DEC&quot;/&gt;&lt;wsp:rsid wsp:val=&quot;00CB3059&quot;/&gt;&lt;wsp:rsid wsp:val=&quot;00CB30E1&quot;/&gt;&lt;wsp:rsid wsp:val=&quot;00CB3228&quot;/&gt;&lt;wsp:rsid wsp:val=&quot;00CB32CE&quot;/&gt;&lt;wsp:rsid wsp:val=&quot;00CB3560&quot;/&gt;&lt;wsp:rsid wsp:val=&quot;00CB3830&quot;/&gt;&lt;wsp:rsid wsp:val=&quot;00CB3B40&quot;/&gt;&lt;wsp:rsid wsp:val=&quot;00CB3C16&quot;/&gt;&lt;wsp:rsid wsp:val=&quot;00CB3DC2&quot;/&gt;&lt;wsp:rsid wsp:val=&quot;00CB3EBC&quot;/&gt;&lt;wsp:rsid wsp:val=&quot;00CB437F&quot;/&gt;&lt;wsp:rsid wsp:val=&quot;00CB4605&quot;/&gt;&lt;wsp:rsid wsp:val=&quot;00CB4A00&quot;/&gt;&lt;wsp:rsid wsp:val=&quot;00CB4B6A&quot;/&gt;&lt;wsp:rsid wsp:val=&quot;00CB4BB0&quot;/&gt;&lt;wsp:rsid wsp:val=&quot;00CB4F1F&quot;/&gt;&lt;wsp:rsid wsp:val=&quot;00CB51BA&quot;/&gt;&lt;wsp:rsid wsp:val=&quot;00CB52C1&quot;/&gt;&lt;wsp:rsid wsp:val=&quot;00CB55C5&quot;/&gt;&lt;wsp:rsid wsp:val=&quot;00CB570F&quot;/&gt;&lt;wsp:rsid wsp:val=&quot;00CB5D3D&quot;/&gt;&lt;wsp:rsid wsp:val=&quot;00CB5E81&quot;/&gt;&lt;wsp:rsid wsp:val=&quot;00CB602C&quot;/&gt;&lt;wsp:rsid wsp:val=&quot;00CB622A&quot;/&gt;&lt;wsp:rsid wsp:val=&quot;00CB624B&quot;/&gt;&lt;wsp:rsid wsp:val=&quot;00CB70DA&quot;/&gt;&lt;wsp:rsid wsp:val=&quot;00CB71E9&quot;/&gt;&lt;wsp:rsid wsp:val=&quot;00CB731A&quot;/&gt;&lt;wsp:rsid wsp:val=&quot;00CB7C20&quot;/&gt;&lt;wsp:rsid wsp:val=&quot;00CB7F49&quot;/&gt;&lt;wsp:rsid wsp:val=&quot;00CC0290&quot;/&gt;&lt;wsp:rsid wsp:val=&quot;00CC02B8&quot;/&gt;&lt;wsp:rsid wsp:val=&quot;00CC0726&quot;/&gt;&lt;wsp:rsid wsp:val=&quot;00CC0ECB&quot;/&gt;&lt;wsp:rsid wsp:val=&quot;00CC0F0E&quot;/&gt;&lt;wsp:rsid wsp:val=&quot;00CC0F11&quot;/&gt;&lt;wsp:rsid wsp:val=&quot;00CC0FD5&quot;/&gt;&lt;wsp:rsid wsp:val=&quot;00CC122D&quot;/&gt;&lt;wsp:rsid wsp:val=&quot;00CC1355&quot;/&gt;&lt;wsp:rsid wsp:val=&quot;00CC19B5&quot;/&gt;&lt;wsp:rsid wsp:val=&quot;00CC1A4D&quot;/&gt;&lt;wsp:rsid wsp:val=&quot;00CC20E3&quot;/&gt;&lt;wsp:rsid wsp:val=&quot;00CC214D&quot;/&gt;&lt;wsp:rsid wsp:val=&quot;00CC2210&quot;/&gt;&lt;wsp:rsid wsp:val=&quot;00CC2929&quot;/&gt;&lt;wsp:rsid wsp:val=&quot;00CC29E8&quot;/&gt;&lt;wsp:rsid wsp:val=&quot;00CC333D&quot;/&gt;&lt;wsp:rsid wsp:val=&quot;00CC3544&quot;/&gt;&lt;wsp:rsid wsp:val=&quot;00CC4220&quot;/&gt;&lt;wsp:rsid wsp:val=&quot;00CC445D&quot;/&gt;&lt;wsp:rsid wsp:val=&quot;00CC478C&quot;/&gt;&lt;wsp:rsid wsp:val=&quot;00CC4B48&quot;/&gt;&lt;wsp:rsid wsp:val=&quot;00CC4CFB&quot;/&gt;&lt;wsp:rsid wsp:val=&quot;00CC4D82&quot;/&gt;&lt;wsp:rsid wsp:val=&quot;00CC4DB5&quot;/&gt;&lt;wsp:rsid wsp:val=&quot;00CC4F1B&quot;/&gt;&lt;wsp:rsid wsp:val=&quot;00CC4F79&quot;/&gt;&lt;wsp:rsid wsp:val=&quot;00CC5049&quot;/&gt;&lt;wsp:rsid wsp:val=&quot;00CC549F&quot;/&gt;&lt;wsp:rsid wsp:val=&quot;00CC54A5&quot;/&gt;&lt;wsp:rsid wsp:val=&quot;00CC54E7&quot;/&gt;&lt;wsp:rsid wsp:val=&quot;00CC576B&quot;/&gt;&lt;wsp:rsid wsp:val=&quot;00CC6555&quot;/&gt;&lt;wsp:rsid wsp:val=&quot;00CC66D5&quot;/&gt;&lt;wsp:rsid wsp:val=&quot;00CC6A0B&quot;/&gt;&lt;wsp:rsid wsp:val=&quot;00CC6B94&quot;/&gt;&lt;wsp:rsid wsp:val=&quot;00CC6D80&quot;/&gt;&lt;wsp:rsid wsp:val=&quot;00CC6F86&quot;/&gt;&lt;wsp:rsid wsp:val=&quot;00CC74EB&quot;/&gt;&lt;wsp:rsid wsp:val=&quot;00CC769F&quot;/&gt;&lt;wsp:rsid wsp:val=&quot;00CC7BE7&quot;/&gt;&lt;wsp:rsid wsp:val=&quot;00CC7DE4&quot;/&gt;&lt;wsp:rsid wsp:val=&quot;00CC7E5A&quot;/&gt;&lt;wsp:rsid wsp:val=&quot;00CC7F47&quot;/&gt;&lt;wsp:rsid wsp:val=&quot;00CD07B5&quot;/&gt;&lt;wsp:rsid wsp:val=&quot;00CD0B3E&quot;/&gt;&lt;wsp:rsid wsp:val=&quot;00CD183A&quot;/&gt;&lt;wsp:rsid wsp:val=&quot;00CD279A&quot;/&gt;&lt;wsp:rsid wsp:val=&quot;00CD2F2A&quot;/&gt;&lt;wsp:rsid wsp:val=&quot;00CD2FDE&quot;/&gt;&lt;wsp:rsid wsp:val=&quot;00CD3649&quot;/&gt;&lt;wsp:rsid wsp:val=&quot;00CD393A&quot;/&gt;&lt;wsp:rsid wsp:val=&quot;00CD397B&quot;/&gt;&lt;wsp:rsid wsp:val=&quot;00CD3BCE&quot;/&gt;&lt;wsp:rsid wsp:val=&quot;00CD41CE&quot;/&gt;&lt;wsp:rsid wsp:val=&quot;00CD4871&quot;/&gt;&lt;wsp:rsid wsp:val=&quot;00CD4925&quot;/&gt;&lt;wsp:rsid wsp:val=&quot;00CD4A65&quot;/&gt;&lt;wsp:rsid wsp:val=&quot;00CD4FF8&quot;/&gt;&lt;wsp:rsid wsp:val=&quot;00CD53EB&quot;/&gt;&lt;wsp:rsid wsp:val=&quot;00CD5422&quot;/&gt;&lt;wsp:rsid wsp:val=&quot;00CD5490&quot;/&gt;&lt;wsp:rsid wsp:val=&quot;00CD587E&quot;/&gt;&lt;wsp:rsid wsp:val=&quot;00CD5931&quot;/&gt;&lt;wsp:rsid wsp:val=&quot;00CD59DC&quot;/&gt;&lt;wsp:rsid wsp:val=&quot;00CD5AF8&quot;/&gt;&lt;wsp:rsid wsp:val=&quot;00CD5AFE&quot;/&gt;&lt;wsp:rsid wsp:val=&quot;00CD5E2C&quot;/&gt;&lt;wsp:rsid wsp:val=&quot;00CD5EE3&quot;/&gt;&lt;wsp:rsid wsp:val=&quot;00CD61B3&quot;/&gt;&lt;wsp:rsid wsp:val=&quot;00CD6401&quot;/&gt;&lt;wsp:rsid wsp:val=&quot;00CD64FF&quot;/&gt;&lt;wsp:rsid wsp:val=&quot;00CD676D&quot;/&gt;&lt;wsp:rsid wsp:val=&quot;00CD68ED&quot;/&gt;&lt;wsp:rsid wsp:val=&quot;00CD69A9&quot;/&gt;&lt;wsp:rsid wsp:val=&quot;00CD69FB&quot;/&gt;&lt;wsp:rsid wsp:val=&quot;00CD6C45&quot;/&gt;&lt;wsp:rsid wsp:val=&quot;00CD717E&quot;/&gt;&lt;wsp:rsid wsp:val=&quot;00CD742C&quot;/&gt;&lt;wsp:rsid wsp:val=&quot;00CD7497&quot;/&gt;&lt;wsp:rsid wsp:val=&quot;00CD74C0&quot;/&gt;&lt;wsp:rsid wsp:val=&quot;00CD781F&quot;/&gt;&lt;wsp:rsid wsp:val=&quot;00CD7969&quot;/&gt;&lt;wsp:rsid wsp:val=&quot;00CD7BFF&quot;/&gt;&lt;wsp:rsid wsp:val=&quot;00CD7F01&quot;/&gt;&lt;wsp:rsid wsp:val=&quot;00CE011C&quot;/&gt;&lt;wsp:rsid wsp:val=&quot;00CE01CE&quot;/&gt;&lt;wsp:rsid wsp:val=&quot;00CE01E6&quot;/&gt;&lt;wsp:rsid wsp:val=&quot;00CE039C&quot;/&gt;&lt;wsp:rsid wsp:val=&quot;00CE040F&quot;/&gt;&lt;wsp:rsid wsp:val=&quot;00CE0773&quot;/&gt;&lt;wsp:rsid wsp:val=&quot;00CE1129&quot;/&gt;&lt;wsp:rsid wsp:val=&quot;00CE1A13&quot;/&gt;&lt;wsp:rsid wsp:val=&quot;00CE1C38&quot;/&gt;&lt;wsp:rsid wsp:val=&quot;00CE2255&quot;/&gt;&lt;wsp:rsid wsp:val=&quot;00CE2939&quot;/&gt;&lt;wsp:rsid wsp:val=&quot;00CE2A86&quot;/&gt;&lt;wsp:rsid wsp:val=&quot;00CE2CEE&quot;/&gt;&lt;wsp:rsid wsp:val=&quot;00CE2D22&quot;/&gt;&lt;wsp:rsid wsp:val=&quot;00CE30F8&quot;/&gt;&lt;wsp:rsid wsp:val=&quot;00CE38BA&quot;/&gt;&lt;wsp:rsid wsp:val=&quot;00CE4326&quot;/&gt;&lt;wsp:rsid wsp:val=&quot;00CE4A88&quot;/&gt;&lt;wsp:rsid wsp:val=&quot;00CE4E60&quot;/&gt;&lt;wsp:rsid wsp:val=&quot;00CE4E88&quot;/&gt;&lt;wsp:rsid wsp:val=&quot;00CE5060&quot;/&gt;&lt;wsp:rsid wsp:val=&quot;00CE5502&quot;/&gt;&lt;wsp:rsid wsp:val=&quot;00CE57B6&quot;/&gt;&lt;wsp:rsid wsp:val=&quot;00CE5B49&quot;/&gt;&lt;wsp:rsid wsp:val=&quot;00CE5B63&quot;/&gt;&lt;wsp:rsid wsp:val=&quot;00CE5FE4&quot;/&gt;&lt;wsp:rsid wsp:val=&quot;00CE6974&quot;/&gt;&lt;wsp:rsid wsp:val=&quot;00CE6F09&quot;/&gt;&lt;wsp:rsid wsp:val=&quot;00CE6F9A&quot;/&gt;&lt;wsp:rsid wsp:val=&quot;00CE739E&quot;/&gt;&lt;wsp:rsid wsp:val=&quot;00CE775D&quot;/&gt;&lt;wsp:rsid wsp:val=&quot;00CF0D65&quot;/&gt;&lt;wsp:rsid wsp:val=&quot;00CF107E&quot;/&gt;&lt;wsp:rsid wsp:val=&quot;00CF117E&quot;/&gt;&lt;wsp:rsid wsp:val=&quot;00CF1B47&quot;/&gt;&lt;wsp:rsid wsp:val=&quot;00CF26A4&quot;/&gt;&lt;wsp:rsid wsp:val=&quot;00CF27DA&quot;/&gt;&lt;wsp:rsid wsp:val=&quot;00CF3872&quot;/&gt;&lt;wsp:rsid wsp:val=&quot;00CF3924&quot;/&gt;&lt;wsp:rsid wsp:val=&quot;00CF3A0F&quot;/&gt;&lt;wsp:rsid wsp:val=&quot;00CF3A21&quot;/&gt;&lt;wsp:rsid wsp:val=&quot;00CF3B70&quot;/&gt;&lt;wsp:rsid wsp:val=&quot;00CF3E6D&quot;/&gt;&lt;wsp:rsid wsp:val=&quot;00CF42E7&quot;/&gt;&lt;wsp:rsid wsp:val=&quot;00CF4459&quot;/&gt;&lt;wsp:rsid wsp:val=&quot;00CF4689&quot;/&gt;&lt;wsp:rsid wsp:val=&quot;00CF4A56&quot;/&gt;&lt;wsp:rsid wsp:val=&quot;00CF4F93&quot;/&gt;&lt;wsp:rsid wsp:val=&quot;00CF50A0&quot;/&gt;&lt;wsp:rsid wsp:val=&quot;00CF56E8&quot;/&gt;&lt;wsp:rsid wsp:val=&quot;00CF58E7&quot;/&gt;&lt;wsp:rsid wsp:val=&quot;00CF592B&quot;/&gt;&lt;wsp:rsid wsp:val=&quot;00CF59F3&quot;/&gt;&lt;wsp:rsid wsp:val=&quot;00CF5C7A&quot;/&gt;&lt;wsp:rsid wsp:val=&quot;00CF5E35&quot;/&gt;&lt;wsp:rsid wsp:val=&quot;00CF5E51&quot;/&gt;&lt;wsp:rsid wsp:val=&quot;00CF623C&quot;/&gt;&lt;wsp:rsid wsp:val=&quot;00CF6AFF&quot;/&gt;&lt;wsp:rsid wsp:val=&quot;00CF7168&quot;/&gt;&lt;wsp:rsid wsp:val=&quot;00CF73B8&quot;/&gt;&lt;wsp:rsid wsp:val=&quot;00CF7415&quot;/&gt;&lt;wsp:rsid wsp:val=&quot;00CF77B3&quot;/&gt;&lt;wsp:rsid wsp:val=&quot;00CF78B2&quot;/&gt;&lt;wsp:rsid wsp:val=&quot;00D00593&quot;/&gt;&lt;wsp:rsid wsp:val=&quot;00D005B9&quot;/&gt;&lt;wsp:rsid wsp:val=&quot;00D0077A&quot;/&gt;&lt;wsp:rsid wsp:val=&quot;00D00D9A&quot;/&gt;&lt;wsp:rsid wsp:val=&quot;00D0113B&quot;/&gt;&lt;wsp:rsid wsp:val=&quot;00D017A9&quot;/&gt;&lt;wsp:rsid wsp:val=&quot;00D01994&quot;/&gt;&lt;wsp:rsid wsp:val=&quot;00D019B9&quot;/&gt;&lt;wsp:rsid wsp:val=&quot;00D01F4F&quot;/&gt;&lt;wsp:rsid wsp:val=&quot;00D01FA5&quot;/&gt;&lt;wsp:rsid wsp:val=&quot;00D02279&quot;/&gt;&lt;wsp:rsid wsp:val=&quot;00D022B8&quot;/&gt;&lt;wsp:rsid wsp:val=&quot;00D0261F&quot;/&gt;&lt;wsp:rsid wsp:val=&quot;00D02F13&quot;/&gt;&lt;wsp:rsid wsp:val=&quot;00D02FE2&quot;/&gt;&lt;wsp:rsid wsp:val=&quot;00D03302&quot;/&gt;&lt;wsp:rsid wsp:val=&quot;00D03309&quot;/&gt;&lt;wsp:rsid wsp:val=&quot;00D03652&quot;/&gt;&lt;wsp:rsid wsp:val=&quot;00D03900&quot;/&gt;&lt;wsp:rsid wsp:val=&quot;00D03D46&quot;/&gt;&lt;wsp:rsid wsp:val=&quot;00D03E43&quot;/&gt;&lt;wsp:rsid wsp:val=&quot;00D04430&quot;/&gt;&lt;wsp:rsid wsp:val=&quot;00D05571&quot;/&gt;&lt;wsp:rsid wsp:val=&quot;00D0571D&quot;/&gt;&lt;wsp:rsid wsp:val=&quot;00D059EF&quot;/&gt;&lt;wsp:rsid wsp:val=&quot;00D05B66&quot;/&gt;&lt;wsp:rsid wsp:val=&quot;00D05D06&quot;/&gt;&lt;wsp:rsid wsp:val=&quot;00D06000&quot;/&gt;&lt;wsp:rsid wsp:val=&quot;00D0649B&quot;/&gt;&lt;wsp:rsid wsp:val=&quot;00D067F3&quot;/&gt;&lt;wsp:rsid wsp:val=&quot;00D07D78&quot;/&gt;&lt;wsp:rsid wsp:val=&quot;00D07E5C&quot;/&gt;&lt;wsp:rsid wsp:val=&quot;00D07F5A&quot;/&gt;&lt;wsp:rsid wsp:val=&quot;00D07FEA&quot;/&gt;&lt;wsp:rsid wsp:val=&quot;00D10C47&quot;/&gt;&lt;wsp:rsid wsp:val=&quot;00D10F61&quot;/&gt;&lt;wsp:rsid wsp:val=&quot;00D11A47&quot;/&gt;&lt;wsp:rsid wsp:val=&quot;00D11BBE&quot;/&gt;&lt;wsp:rsid wsp:val=&quot;00D11BC5&quot;/&gt;&lt;wsp:rsid wsp:val=&quot;00D120A3&quot;/&gt;&lt;wsp:rsid wsp:val=&quot;00D12124&quot;/&gt;&lt;wsp:rsid wsp:val=&quot;00D1215C&quot;/&gt;&lt;wsp:rsid wsp:val=&quot;00D128A4&quot;/&gt;&lt;wsp:rsid wsp:val=&quot;00D12983&quot;/&gt;&lt;wsp:rsid wsp:val=&quot;00D12D49&quot;/&gt;&lt;wsp:rsid wsp:val=&quot;00D12E4E&quot;/&gt;&lt;wsp:rsid wsp:val=&quot;00D12FE3&quot;/&gt;&lt;wsp:rsid wsp:val=&quot;00D130F2&quot;/&gt;&lt;wsp:rsid wsp:val=&quot;00D13DC3&quot;/&gt;&lt;wsp:rsid wsp:val=&quot;00D143DF&quot;/&gt;&lt;wsp:rsid wsp:val=&quot;00D14B32&quot;/&gt;&lt;wsp:rsid wsp:val=&quot;00D14DFF&quot;/&gt;&lt;wsp:rsid wsp:val=&quot;00D14E96&quot;/&gt;&lt;wsp:rsid wsp:val=&quot;00D1567E&quot;/&gt;&lt;wsp:rsid wsp:val=&quot;00D15732&quot;/&gt;&lt;wsp:rsid wsp:val=&quot;00D164B9&quot;/&gt;&lt;wsp:rsid wsp:val=&quot;00D16750&quot;/&gt;&lt;wsp:rsid wsp:val=&quot;00D16BCA&quot;/&gt;&lt;wsp:rsid wsp:val=&quot;00D16DBD&quot;/&gt;&lt;wsp:rsid wsp:val=&quot;00D16F4D&quot;/&gt;&lt;wsp:rsid wsp:val=&quot;00D17157&quot;/&gt;&lt;wsp:rsid wsp:val=&quot;00D173FA&quot;/&gt;&lt;wsp:rsid wsp:val=&quot;00D17940&quot;/&gt;&lt;wsp:rsid wsp:val=&quot;00D17E8C&quot;/&gt;&lt;wsp:rsid wsp:val=&quot;00D200AD&quot;/&gt;&lt;wsp:rsid wsp:val=&quot;00D209D7&quot;/&gt;&lt;wsp:rsid wsp:val=&quot;00D20C20&quot;/&gt;&lt;wsp:rsid wsp:val=&quot;00D217CF&quot;/&gt;&lt;wsp:rsid wsp:val=&quot;00D21CD2&quot;/&gt;&lt;wsp:rsid wsp:val=&quot;00D21CFA&quot;/&gt;&lt;wsp:rsid wsp:val=&quot;00D22113&quot;/&gt;&lt;wsp:rsid wsp:val=&quot;00D221B7&quot;/&gt;&lt;wsp:rsid wsp:val=&quot;00D222C6&quot;/&gt;&lt;wsp:rsid wsp:val=&quot;00D2283C&quot;/&gt;&lt;wsp:rsid wsp:val=&quot;00D22A80&quot;/&gt;&lt;wsp:rsid wsp:val=&quot;00D22C0A&quot;/&gt;&lt;wsp:rsid wsp:val=&quot;00D22C30&quot;/&gt;&lt;wsp:rsid wsp:val=&quot;00D22D4A&quot;/&gt;&lt;wsp:rsid wsp:val=&quot;00D22F3C&quot;/&gt;&lt;wsp:rsid wsp:val=&quot;00D230A4&quot;/&gt;&lt;wsp:rsid wsp:val=&quot;00D230F3&quot;/&gt;&lt;wsp:rsid wsp:val=&quot;00D23122&quot;/&gt;&lt;wsp:rsid wsp:val=&quot;00D232BF&quot;/&gt;&lt;wsp:rsid wsp:val=&quot;00D235CC&quot;/&gt;&lt;wsp:rsid wsp:val=&quot;00D2386E&quot;/&gt;&lt;wsp:rsid wsp:val=&quot;00D23D5B&quot;/&gt;&lt;wsp:rsid wsp:val=&quot;00D241B0&quot;/&gt;&lt;wsp:rsid wsp:val=&quot;00D2453C&quot;/&gt;&lt;wsp:rsid wsp:val=&quot;00D2459F&quot;/&gt;&lt;wsp:rsid wsp:val=&quot;00D24907&quot;/&gt;&lt;wsp:rsid wsp:val=&quot;00D249D2&quot;/&gt;&lt;wsp:rsid wsp:val=&quot;00D24DE7&quot;/&gt;&lt;wsp:rsid wsp:val=&quot;00D2516D&quot;/&gt;&lt;wsp:rsid wsp:val=&quot;00D25873&quot;/&gt;&lt;wsp:rsid wsp:val=&quot;00D25DAF&quot;/&gt;&lt;wsp:rsid wsp:val=&quot;00D26301&quot;/&gt;&lt;wsp:rsid wsp:val=&quot;00D26D39&quot;/&gt;&lt;wsp:rsid wsp:val=&quot;00D27409&quot;/&gt;&lt;wsp:rsid wsp:val=&quot;00D27540&quot;/&gt;&lt;wsp:rsid wsp:val=&quot;00D27769&quot;/&gt;&lt;wsp:rsid wsp:val=&quot;00D279B8&quot;/&gt;&lt;wsp:rsid wsp:val=&quot;00D27F7C&quot;/&gt;&lt;wsp:rsid wsp:val=&quot;00D30128&quot;/&gt;&lt;wsp:rsid wsp:val=&quot;00D30372&quot;/&gt;&lt;wsp:rsid wsp:val=&quot;00D307D2&quot;/&gt;&lt;wsp:rsid wsp:val=&quot;00D30BD5&quot;/&gt;&lt;wsp:rsid wsp:val=&quot;00D30C40&quot;/&gt;&lt;wsp:rsid wsp:val=&quot;00D310FA&quot;/&gt;&lt;wsp:rsid wsp:val=&quot;00D315BB&quot;/&gt;&lt;wsp:rsid wsp:val=&quot;00D31981&quot;/&gt;&lt;wsp:rsid wsp:val=&quot;00D31BA6&quot;/&gt;&lt;wsp:rsid wsp:val=&quot;00D31CFC&quot;/&gt;&lt;wsp:rsid wsp:val=&quot;00D322C2&quot;/&gt;&lt;wsp:rsid wsp:val=&quot;00D32411&quot;/&gt;&lt;wsp:rsid wsp:val=&quot;00D324ED&quot;/&gt;&lt;wsp:rsid wsp:val=&quot;00D33035&quot;/&gt;&lt;wsp:rsid wsp:val=&quot;00D33038&quot;/&gt;&lt;wsp:rsid wsp:val=&quot;00D33275&quot;/&gt;&lt;wsp:rsid wsp:val=&quot;00D33278&quot;/&gt;&lt;wsp:rsid wsp:val=&quot;00D335C3&quot;/&gt;&lt;wsp:rsid wsp:val=&quot;00D3375E&quot;/&gt;&lt;wsp:rsid wsp:val=&quot;00D33852&quot;/&gt;&lt;wsp:rsid wsp:val=&quot;00D33D31&quot;/&gt;&lt;wsp:rsid wsp:val=&quot;00D344A7&quot;/&gt;&lt;wsp:rsid wsp:val=&quot;00D34757&quot;/&gt;&lt;wsp:rsid wsp:val=&quot;00D34B46&quot;/&gt;&lt;wsp:rsid wsp:val=&quot;00D350C4&quot;/&gt;&lt;wsp:rsid wsp:val=&quot;00D3559B&quot;/&gt;&lt;wsp:rsid wsp:val=&quot;00D35E85&quot;/&gt;&lt;wsp:rsid wsp:val=&quot;00D360F1&quot;/&gt;&lt;wsp:rsid wsp:val=&quot;00D36322&quot;/&gt;&lt;wsp:rsid wsp:val=&quot;00D366D9&quot;/&gt;&lt;wsp:rsid wsp:val=&quot;00D36DF2&quot;/&gt;&lt;wsp:rsid wsp:val=&quot;00D37431&quot;/&gt;&lt;wsp:rsid wsp:val=&quot;00D37733&quot;/&gt;&lt;wsp:rsid wsp:val=&quot;00D37A21&quot;/&gt;&lt;wsp:rsid wsp:val=&quot;00D37AAF&quot;/&gt;&lt;wsp:rsid wsp:val=&quot;00D37B37&quot;/&gt;&lt;wsp:rsid wsp:val=&quot;00D37BFA&quot;/&gt;&lt;wsp:rsid wsp:val=&quot;00D37EA6&quot;/&gt;&lt;wsp:rsid wsp:val=&quot;00D40872&quot;/&gt;&lt;wsp:rsid wsp:val=&quot;00D40E7C&quot;/&gt;&lt;wsp:rsid wsp:val=&quot;00D40F27&quot;/&gt;&lt;wsp:rsid wsp:val=&quot;00D41179&quot;/&gt;&lt;wsp:rsid wsp:val=&quot;00D41803&quot;/&gt;&lt;wsp:rsid wsp:val=&quot;00D41A05&quot;/&gt;&lt;wsp:rsid wsp:val=&quot;00D41A3B&quot;/&gt;&lt;wsp:rsid wsp:val=&quot;00D41A7D&quot;/&gt;&lt;wsp:rsid wsp:val=&quot;00D41C03&quot;/&gt;&lt;wsp:rsid wsp:val=&quot;00D42B7C&quot;/&gt;&lt;wsp:rsid wsp:val=&quot;00D43133&quot;/&gt;&lt;wsp:rsid wsp:val=&quot;00D4322E&quot;/&gt;&lt;wsp:rsid wsp:val=&quot;00D43AFC&quot;/&gt;&lt;wsp:rsid wsp:val=&quot;00D43C8E&quot;/&gt;&lt;wsp:rsid wsp:val=&quot;00D43DA5&quot;/&gt;&lt;wsp:rsid wsp:val=&quot;00D44404&quot;/&gt;&lt;wsp:rsid wsp:val=&quot;00D44638&quot;/&gt;&lt;wsp:rsid wsp:val=&quot;00D4497C&quot;/&gt;&lt;wsp:rsid wsp:val=&quot;00D449A0&quot;/&gt;&lt;wsp:rsid wsp:val=&quot;00D44E88&quot;/&gt;&lt;wsp:rsid wsp:val=&quot;00D450A2&quot;/&gt;&lt;wsp:rsid wsp:val=&quot;00D45419&quot;/&gt;&lt;wsp:rsid wsp:val=&quot;00D457BD&quot;/&gt;&lt;wsp:rsid wsp:val=&quot;00D46514&quot;/&gt;&lt;wsp:rsid wsp:val=&quot;00D46798&quot;/&gt;&lt;wsp:rsid wsp:val=&quot;00D46ADF&quot;/&gt;&lt;wsp:rsid wsp:val=&quot;00D46C81&quot;/&gt;&lt;wsp:rsid wsp:val=&quot;00D47673&quot;/&gt;&lt;wsp:rsid wsp:val=&quot;00D47B77&quot;/&gt;&lt;wsp:rsid wsp:val=&quot;00D50034&quot;/&gt;&lt;wsp:rsid wsp:val=&quot;00D503EC&quot;/&gt;&lt;wsp:rsid wsp:val=&quot;00D50F65&quot;/&gt;&lt;wsp:rsid wsp:val=&quot;00D50F81&quot;/&gt;&lt;wsp:rsid wsp:val=&quot;00D51720&quot;/&gt;&lt;wsp:rsid wsp:val=&quot;00D51B2A&quot;/&gt;&lt;wsp:rsid wsp:val=&quot;00D51D4A&quot;/&gt;&lt;wsp:rsid wsp:val=&quot;00D52209&quot;/&gt;&lt;wsp:rsid wsp:val=&quot;00D5234B&quot;/&gt;&lt;wsp:rsid wsp:val=&quot;00D52395&quot;/&gt;&lt;wsp:rsid wsp:val=&quot;00D52581&quot;/&gt;&lt;wsp:rsid wsp:val=&quot;00D52759&quot;/&gt;&lt;wsp:rsid wsp:val=&quot;00D52769&quot;/&gt;&lt;wsp:rsid wsp:val=&quot;00D52807&quot;/&gt;&lt;wsp:rsid wsp:val=&quot;00D52BB3&quot;/&gt;&lt;wsp:rsid wsp:val=&quot;00D52C1D&quot;/&gt;&lt;wsp:rsid wsp:val=&quot;00D53964&quot;/&gt;&lt;wsp:rsid wsp:val=&quot;00D53984&quot;/&gt;&lt;wsp:rsid wsp:val=&quot;00D53BAC&quot;/&gt;&lt;wsp:rsid wsp:val=&quot;00D53BE1&quot;/&gt;&lt;wsp:rsid wsp:val=&quot;00D53C87&quot;/&gt;&lt;wsp:rsid wsp:val=&quot;00D54868&quot;/&gt;&lt;wsp:rsid wsp:val=&quot;00D54C61&quot;/&gt;&lt;wsp:rsid wsp:val=&quot;00D54D1E&quot;/&gt;&lt;wsp:rsid wsp:val=&quot;00D55266&quot;/&gt;&lt;wsp:rsid wsp:val=&quot;00D55283&quot;/&gt;&lt;wsp:rsid wsp:val=&quot;00D5595E&quot;/&gt;&lt;wsp:rsid wsp:val=&quot;00D55BCE&quot;/&gt;&lt;wsp:rsid wsp:val=&quot;00D5613C&quot;/&gt;&lt;wsp:rsid wsp:val=&quot;00D56253&quot;/&gt;&lt;wsp:rsid wsp:val=&quot;00D56498&quot;/&gt;&lt;wsp:rsid wsp:val=&quot;00D567FE&quot;/&gt;&lt;wsp:rsid wsp:val=&quot;00D56CE8&quot;/&gt;&lt;wsp:rsid wsp:val=&quot;00D5731E&quot;/&gt;&lt;wsp:rsid wsp:val=&quot;00D579C3&quot;/&gt;&lt;wsp:rsid wsp:val=&quot;00D57E09&quot;/&gt;&lt;wsp:rsid wsp:val=&quot;00D6016A&quot;/&gt;&lt;wsp:rsid wsp:val=&quot;00D60191&quot;/&gt;&lt;wsp:rsid wsp:val=&quot;00D61005&quot;/&gt;&lt;wsp:rsid wsp:val=&quot;00D61015&quot;/&gt;&lt;wsp:rsid wsp:val=&quot;00D61131&quot;/&gt;&lt;wsp:rsid wsp:val=&quot;00D611BB&quot;/&gt;&lt;wsp:rsid wsp:val=&quot;00D61829&quot;/&gt;&lt;wsp:rsid wsp:val=&quot;00D61A11&quot;/&gt;&lt;wsp:rsid wsp:val=&quot;00D61ADA&quot;/&gt;&lt;wsp:rsid wsp:val=&quot;00D61BEC&quot;/&gt;&lt;wsp:rsid wsp:val=&quot;00D61EBC&quot;/&gt;&lt;wsp:rsid wsp:val=&quot;00D61F64&quot;/&gt;&lt;wsp:rsid wsp:val=&quot;00D620A2&quot;/&gt;&lt;wsp:rsid wsp:val=&quot;00D622CE&quot;/&gt;&lt;wsp:rsid wsp:val=&quot;00D625F9&quot;/&gt;&lt;wsp:rsid wsp:val=&quot;00D626BE&quot;/&gt;&lt;wsp:rsid wsp:val=&quot;00D627CF&quot;/&gt;&lt;wsp:rsid wsp:val=&quot;00D62824&quot;/&gt;&lt;wsp:rsid wsp:val=&quot;00D6298A&quot;/&gt;&lt;wsp:rsid wsp:val=&quot;00D62A18&quot;/&gt;&lt;wsp:rsid wsp:val=&quot;00D62B58&quot;/&gt;&lt;wsp:rsid wsp:val=&quot;00D630C5&quot;/&gt;&lt;wsp:rsid wsp:val=&quot;00D636AD&quot;/&gt;&lt;wsp:rsid wsp:val=&quot;00D63D63&quot;/&gt;&lt;wsp:rsid wsp:val=&quot;00D64252&quot;/&gt;&lt;wsp:rsid wsp:val=&quot;00D64417&quot;/&gt;&lt;wsp:rsid wsp:val=&quot;00D6444A&quot;/&gt;&lt;wsp:rsid wsp:val=&quot;00D644E7&quot;/&gt;&lt;wsp:rsid wsp:val=&quot;00D646C6&quot;/&gt;&lt;wsp:rsid wsp:val=&quot;00D64822&quot;/&gt;&lt;wsp:rsid wsp:val=&quot;00D652FF&quot;/&gt;&lt;wsp:rsid wsp:val=&quot;00D653DB&quot;/&gt;&lt;wsp:rsid wsp:val=&quot;00D654C8&quot;/&gt;&lt;wsp:rsid wsp:val=&quot;00D6567B&quot;/&gt;&lt;wsp:rsid wsp:val=&quot;00D65AA1&quot;/&gt;&lt;wsp:rsid wsp:val=&quot;00D6638B&quot;/&gt;&lt;wsp:rsid wsp:val=&quot;00D66DD9&quot;/&gt;&lt;wsp:rsid wsp:val=&quot;00D66FA6&quot;/&gt;&lt;wsp:rsid wsp:val=&quot;00D671DD&quot;/&gt;&lt;wsp:rsid wsp:val=&quot;00D67240&quot;/&gt;&lt;wsp:rsid wsp:val=&quot;00D678AC&quot;/&gt;&lt;wsp:rsid wsp:val=&quot;00D67A44&quot;/&gt;&lt;wsp:rsid wsp:val=&quot;00D67C73&quot;/&gt;&lt;wsp:rsid wsp:val=&quot;00D7030E&quot;/&gt;&lt;wsp:rsid wsp:val=&quot;00D703A3&quot;/&gt;&lt;wsp:rsid wsp:val=&quot;00D7040C&quot;/&gt;&lt;wsp:rsid wsp:val=&quot;00D705E7&quot;/&gt;&lt;wsp:rsid wsp:val=&quot;00D7074F&quot;/&gt;&lt;wsp:rsid wsp:val=&quot;00D70CD1&quot;/&gt;&lt;wsp:rsid wsp:val=&quot;00D70E7A&quot;/&gt;&lt;wsp:rsid wsp:val=&quot;00D70F4A&quot;/&gt;&lt;wsp:rsid wsp:val=&quot;00D71546&quot;/&gt;&lt;wsp:rsid wsp:val=&quot;00D716E8&quot;/&gt;&lt;wsp:rsid wsp:val=&quot;00D71916&quot;/&gt;&lt;wsp:rsid wsp:val=&quot;00D719E6&quot;/&gt;&lt;wsp:rsid wsp:val=&quot;00D71CEF&quot;/&gt;&lt;wsp:rsid wsp:val=&quot;00D7218F&quot;/&gt;&lt;wsp:rsid wsp:val=&quot;00D72199&quot;/&gt;&lt;wsp:rsid wsp:val=&quot;00D72232&quot;/&gt;&lt;wsp:rsid wsp:val=&quot;00D722CF&quot;/&gt;&lt;wsp:rsid wsp:val=&quot;00D725DB&quot;/&gt;&lt;wsp:rsid wsp:val=&quot;00D72C5F&quot;/&gt;&lt;wsp:rsid wsp:val=&quot;00D72DA4&quot;/&gt;&lt;wsp:rsid wsp:val=&quot;00D732EE&quot;/&gt;&lt;wsp:rsid wsp:val=&quot;00D73338&quot;/&gt;&lt;wsp:rsid wsp:val=&quot;00D73348&quot;/&gt;&lt;wsp:rsid wsp:val=&quot;00D73FD6&quot;/&gt;&lt;wsp:rsid wsp:val=&quot;00D74262&quot;/&gt;&lt;wsp:rsid wsp:val=&quot;00D7433C&quot;/&gt;&lt;wsp:rsid wsp:val=&quot;00D74575&quot;/&gt;&lt;wsp:rsid wsp:val=&quot;00D7465E&quot;/&gt;&lt;wsp:rsid wsp:val=&quot;00D74A56&quot;/&gt;&lt;wsp:rsid wsp:val=&quot;00D74D31&quot;/&gt;&lt;wsp:rsid wsp:val=&quot;00D74D6F&quot;/&gt;&lt;wsp:rsid wsp:val=&quot;00D74EF6&quot;/&gt;&lt;wsp:rsid wsp:val=&quot;00D74F07&quot;/&gt;&lt;wsp:rsid wsp:val=&quot;00D74F9C&quot;/&gt;&lt;wsp:rsid wsp:val=&quot;00D75012&quot;/&gt;&lt;wsp:rsid wsp:val=&quot;00D75773&quot;/&gt;&lt;wsp:rsid wsp:val=&quot;00D760A9&quot;/&gt;&lt;wsp:rsid wsp:val=&quot;00D760CF&quot;/&gt;&lt;wsp:rsid wsp:val=&quot;00D763C6&quot;/&gt;&lt;wsp:rsid wsp:val=&quot;00D76440&quot;/&gt;&lt;wsp:rsid wsp:val=&quot;00D76731&quot;/&gt;&lt;wsp:rsid wsp:val=&quot;00D7695D&quot;/&gt;&lt;wsp:rsid wsp:val=&quot;00D77746&quot;/&gt;&lt;wsp:rsid wsp:val=&quot;00D778C2&quot;/&gt;&lt;wsp:rsid wsp:val=&quot;00D77CA3&quot;/&gt;&lt;wsp:rsid wsp:val=&quot;00D8038B&quot;/&gt;&lt;wsp:rsid wsp:val=&quot;00D803E5&quot;/&gt;&lt;wsp:rsid wsp:val=&quot;00D80BA3&quot;/&gt;&lt;wsp:rsid wsp:val=&quot;00D80E47&quot;/&gt;&lt;wsp:rsid wsp:val=&quot;00D813D1&quot;/&gt;&lt;wsp:rsid wsp:val=&quot;00D81428&quot;/&gt;&lt;wsp:rsid wsp:val=&quot;00D818D9&quot;/&gt;&lt;wsp:rsid wsp:val=&quot;00D81B53&quot;/&gt;&lt;wsp:rsid wsp:val=&quot;00D81D91&quot;/&gt;&lt;wsp:rsid wsp:val=&quot;00D81E8A&quot;/&gt;&lt;wsp:rsid wsp:val=&quot;00D82675&quot;/&gt;&lt;wsp:rsid wsp:val=&quot;00D8270A&quot;/&gt;&lt;wsp:rsid wsp:val=&quot;00D82A8E&quot;/&gt;&lt;wsp:rsid wsp:val=&quot;00D82DF1&quot;/&gt;&lt;wsp:rsid wsp:val=&quot;00D82EF5&quot;/&gt;&lt;wsp:rsid wsp:val=&quot;00D831D9&quot;/&gt;&lt;wsp:rsid wsp:val=&quot;00D83235&quot;/&gt;&lt;wsp:rsid wsp:val=&quot;00D8393F&quot;/&gt;&lt;wsp:rsid wsp:val=&quot;00D840E6&quot;/&gt;&lt;wsp:rsid wsp:val=&quot;00D8429C&quot;/&gt;&lt;wsp:rsid wsp:val=&quot;00D842D4&quot;/&gt;&lt;wsp:rsid wsp:val=&quot;00D84621&quot;/&gt;&lt;wsp:rsid wsp:val=&quot;00D8462B&quot;/&gt;&lt;wsp:rsid wsp:val=&quot;00D84941&quot;/&gt;&lt;wsp:rsid wsp:val=&quot;00D8521F&quot;/&gt;&lt;wsp:rsid wsp:val=&quot;00D85335&quot;/&gt;&lt;wsp:rsid wsp:val=&quot;00D856EC&quot;/&gt;&lt;wsp:rsid wsp:val=&quot;00D8570C&quot;/&gt;&lt;wsp:rsid wsp:val=&quot;00D85824&quot;/&gt;&lt;wsp:rsid wsp:val=&quot;00D85C69&quot;/&gt;&lt;wsp:rsid wsp:val=&quot;00D85C72&quot;/&gt;&lt;wsp:rsid wsp:val=&quot;00D85DEB&quot;/&gt;&lt;wsp:rsid wsp:val=&quot;00D861F0&quot;/&gt;&lt;wsp:rsid wsp:val=&quot;00D86504&quot;/&gt;&lt;wsp:rsid wsp:val=&quot;00D86DFF&quot;/&gt;&lt;wsp:rsid wsp:val=&quot;00D87212&quot;/&gt;&lt;wsp:rsid wsp:val=&quot;00D87551&quot;/&gt;&lt;wsp:rsid wsp:val=&quot;00D87C1E&quot;/&gt;&lt;wsp:rsid wsp:val=&quot;00D90067&quot;/&gt;&lt;wsp:rsid wsp:val=&quot;00D903FC&quot;/&gt;&lt;wsp:rsid wsp:val=&quot;00D903FF&quot;/&gt;&lt;wsp:rsid wsp:val=&quot;00D9066D&quot;/&gt;&lt;wsp:rsid wsp:val=&quot;00D90844&quot;/&gt;&lt;wsp:rsid wsp:val=&quot;00D90C47&quot;/&gt;&lt;wsp:rsid wsp:val=&quot;00D90CDB&quot;/&gt;&lt;wsp:rsid wsp:val=&quot;00D9124E&quot;/&gt;&lt;wsp:rsid wsp:val=&quot;00D917CA&quot;/&gt;&lt;wsp:rsid wsp:val=&quot;00D918CD&quot;/&gt;&lt;wsp:rsid wsp:val=&quot;00D9196C&quot;/&gt;&lt;wsp:rsid wsp:val=&quot;00D91C21&quot;/&gt;&lt;wsp:rsid wsp:val=&quot;00D91EC6&quot;/&gt;&lt;wsp:rsid wsp:val=&quot;00D91F11&quot;/&gt;&lt;wsp:rsid wsp:val=&quot;00D91FF6&quot;/&gt;&lt;wsp:rsid wsp:val=&quot;00D922E8&quot;/&gt;&lt;wsp:rsid wsp:val=&quot;00D92491&quot;/&gt;&lt;wsp:rsid wsp:val=&quot;00D92AE3&quot;/&gt;&lt;wsp:rsid wsp:val=&quot;00D92CE4&quot;/&gt;&lt;wsp:rsid wsp:val=&quot;00D934D4&quot;/&gt;&lt;wsp:rsid wsp:val=&quot;00D935B0&quot;/&gt;&lt;wsp:rsid wsp:val=&quot;00D93895&quot;/&gt;&lt;wsp:rsid wsp:val=&quot;00D93B30&quot;/&gt;&lt;wsp:rsid wsp:val=&quot;00D93EE5&quot;/&gt;&lt;wsp:rsid wsp:val=&quot;00D9400B&quot;/&gt;&lt;wsp:rsid wsp:val=&quot;00D94351&quot;/&gt;&lt;wsp:rsid wsp:val=&quot;00D9436E&quot;/&gt;&lt;wsp:rsid wsp:val=&quot;00D9442C&quot;/&gt;&lt;wsp:rsid wsp:val=&quot;00D94635&quot;/&gt;&lt;wsp:rsid wsp:val=&quot;00D95228&quot;/&gt;&lt;wsp:rsid wsp:val=&quot;00D957C3&quot;/&gt;&lt;wsp:rsid wsp:val=&quot;00D95AF4&quot;/&gt;&lt;wsp:rsid wsp:val=&quot;00D95CB7&quot;/&gt;&lt;wsp:rsid wsp:val=&quot;00D96247&quot;/&gt;&lt;wsp:rsid wsp:val=&quot;00D9632F&quot;/&gt;&lt;wsp:rsid wsp:val=&quot;00D9690E&quot;/&gt;&lt;wsp:rsid wsp:val=&quot;00D97DC7&quot;/&gt;&lt;wsp:rsid wsp:val=&quot;00D97EE3&quot;/&gt;&lt;wsp:rsid wsp:val=&quot;00DA00AE&quot;/&gt;&lt;wsp:rsid wsp:val=&quot;00DA0108&quot;/&gt;&lt;wsp:rsid wsp:val=&quot;00DA01C4&quot;/&gt;&lt;wsp:rsid wsp:val=&quot;00DA0DD0&quot;/&gt;&lt;wsp:rsid wsp:val=&quot;00DA1876&quot;/&gt;&lt;wsp:rsid wsp:val=&quot;00DA1992&quot;/&gt;&lt;wsp:rsid wsp:val=&quot;00DA1A61&quot;/&gt;&lt;wsp:rsid wsp:val=&quot;00DA1BBD&quot;/&gt;&lt;wsp:rsid wsp:val=&quot;00DA27FD&quot;/&gt;&lt;wsp:rsid wsp:val=&quot;00DA281D&quot;/&gt;&lt;wsp:rsid wsp:val=&quot;00DA2B3F&quot;/&gt;&lt;wsp:rsid wsp:val=&quot;00DA2D48&quot;/&gt;&lt;wsp:rsid wsp:val=&quot;00DA31D6&quot;/&gt;&lt;wsp:rsid wsp:val=&quot;00DA32ED&quot;/&gt;&lt;wsp:rsid wsp:val=&quot;00DA355F&quot;/&gt;&lt;wsp:rsid wsp:val=&quot;00DA3637&quot;/&gt;&lt;wsp:rsid wsp:val=&quot;00DA3DE0&quot;/&gt;&lt;wsp:rsid wsp:val=&quot;00DA452D&quot;/&gt;&lt;wsp:rsid wsp:val=&quot;00DA4785&quot;/&gt;&lt;wsp:rsid wsp:val=&quot;00DA47F3&quot;/&gt;&lt;wsp:rsid wsp:val=&quot;00DA48A9&quot;/&gt;&lt;wsp:rsid wsp:val=&quot;00DA4AAB&quot;/&gt;&lt;wsp:rsid wsp:val=&quot;00DA4BE1&quot;/&gt;&lt;wsp:rsid wsp:val=&quot;00DA4C15&quot;/&gt;&lt;wsp:rsid wsp:val=&quot;00DA4CE7&quot;/&gt;&lt;wsp:rsid wsp:val=&quot;00DA4E26&quot;/&gt;&lt;wsp:rsid wsp:val=&quot;00DA4EDE&quot;/&gt;&lt;wsp:rsid wsp:val=&quot;00DA549C&quot;/&gt;&lt;wsp:rsid wsp:val=&quot;00DA54CD&quot;/&gt;&lt;wsp:rsid wsp:val=&quot;00DA571E&quot;/&gt;&lt;wsp:rsid wsp:val=&quot;00DA5943&quot;/&gt;&lt;wsp:rsid wsp:val=&quot;00DA5F1F&quot;/&gt;&lt;wsp:rsid wsp:val=&quot;00DA61F5&quot;/&gt;&lt;wsp:rsid wsp:val=&quot;00DA6232&quot;/&gt;&lt;wsp:rsid wsp:val=&quot;00DA65B2&quot;/&gt;&lt;wsp:rsid wsp:val=&quot;00DA662D&quot;/&gt;&lt;wsp:rsid wsp:val=&quot;00DA6ABD&quot;/&gt;&lt;wsp:rsid wsp:val=&quot;00DA6E57&quot;/&gt;&lt;wsp:rsid wsp:val=&quot;00DA7056&quot;/&gt;&lt;wsp:rsid wsp:val=&quot;00DA7340&quot;/&gt;&lt;wsp:rsid wsp:val=&quot;00DA7BA4&quot;/&gt;&lt;wsp:rsid wsp:val=&quot;00DA7E61&quot;/&gt;&lt;wsp:rsid wsp:val=&quot;00DA7FCB&quot;/&gt;&lt;wsp:rsid wsp:val=&quot;00DB01DB&quot;/&gt;&lt;wsp:rsid wsp:val=&quot;00DB09AB&quot;/&gt;&lt;wsp:rsid wsp:val=&quot;00DB0A6B&quot;/&gt;&lt;wsp:rsid wsp:val=&quot;00DB0C61&quot;/&gt;&lt;wsp:rsid wsp:val=&quot;00DB0FD0&quot;/&gt;&lt;wsp:rsid wsp:val=&quot;00DB111F&quot;/&gt;&lt;wsp:rsid wsp:val=&quot;00DB1156&quot;/&gt;&lt;wsp:rsid wsp:val=&quot;00DB1ADE&quot;/&gt;&lt;wsp:rsid wsp:val=&quot;00DB21F9&quot;/&gt;&lt;wsp:rsid wsp:val=&quot;00DB23E1&quot;/&gt;&lt;wsp:rsid wsp:val=&quot;00DB242E&quot;/&gt;&lt;wsp:rsid wsp:val=&quot;00DB247B&quot;/&gt;&lt;wsp:rsid wsp:val=&quot;00DB2500&quot;/&gt;&lt;wsp:rsid wsp:val=&quot;00DB25F7&quot;/&gt;&lt;wsp:rsid wsp:val=&quot;00DB2745&quot;/&gt;&lt;wsp:rsid wsp:val=&quot;00DB2810&quot;/&gt;&lt;wsp:rsid wsp:val=&quot;00DB296C&quot;/&gt;&lt;wsp:rsid wsp:val=&quot;00DB2979&quot;/&gt;&lt;wsp:rsid wsp:val=&quot;00DB29FA&quot;/&gt;&lt;wsp:rsid wsp:val=&quot;00DB2B88&quot;/&gt;&lt;wsp:rsid wsp:val=&quot;00DB2C50&quot;/&gt;&lt;wsp:rsid wsp:val=&quot;00DB32C4&quot;/&gt;&lt;wsp:rsid wsp:val=&quot;00DB3873&quot;/&gt;&lt;wsp:rsid wsp:val=&quot;00DB38FF&quot;/&gt;&lt;wsp:rsid wsp:val=&quot;00DB3F39&quot;/&gt;&lt;wsp:rsid wsp:val=&quot;00DB3FF4&quot;/&gt;&lt;wsp:rsid wsp:val=&quot;00DB4EA6&quot;/&gt;&lt;wsp:rsid wsp:val=&quot;00DB51A7&quot;/&gt;&lt;wsp:rsid wsp:val=&quot;00DB5222&quot;/&gt;&lt;wsp:rsid wsp:val=&quot;00DB5A41&quot;/&gt;&lt;wsp:rsid wsp:val=&quot;00DB5DD7&quot;/&gt;&lt;wsp:rsid wsp:val=&quot;00DB64EB&quot;/&gt;&lt;wsp:rsid wsp:val=&quot;00DB6A15&quot;/&gt;&lt;wsp:rsid wsp:val=&quot;00DB6C7B&quot;/&gt;&lt;wsp:rsid wsp:val=&quot;00DB71FD&quot;/&gt;&lt;wsp:rsid wsp:val=&quot;00DB756B&quot;/&gt;&lt;wsp:rsid wsp:val=&quot;00DB7684&quot;/&gt;&lt;wsp:rsid wsp:val=&quot;00DB7D5B&quot;/&gt;&lt;wsp:rsid wsp:val=&quot;00DB7F4C&quot;/&gt;&lt;wsp:rsid wsp:val=&quot;00DC037E&quot;/&gt;&lt;wsp:rsid wsp:val=&quot;00DC0828&quot;/&gt;&lt;wsp:rsid wsp:val=&quot;00DC085B&quot;/&gt;&lt;wsp:rsid wsp:val=&quot;00DC08CF&quot;/&gt;&lt;wsp:rsid wsp:val=&quot;00DC0984&quot;/&gt;&lt;wsp:rsid wsp:val=&quot;00DC0EC9&quot;/&gt;&lt;wsp:rsid wsp:val=&quot;00DC0ECC&quot;/&gt;&lt;wsp:rsid wsp:val=&quot;00DC141E&quot;/&gt;&lt;wsp:rsid wsp:val=&quot;00DC15EC&quot;/&gt;&lt;wsp:rsid wsp:val=&quot;00DC1957&quot;/&gt;&lt;wsp:rsid wsp:val=&quot;00DC1CFE&quot;/&gt;&lt;wsp:rsid wsp:val=&quot;00DC21D5&quot;/&gt;&lt;wsp:rsid wsp:val=&quot;00DC27DA&quot;/&gt;&lt;wsp:rsid wsp:val=&quot;00DC2C4C&quot;/&gt;&lt;wsp:rsid wsp:val=&quot;00DC2EE7&quot;/&gt;&lt;wsp:rsid wsp:val=&quot;00DC3280&quot;/&gt;&lt;wsp:rsid wsp:val=&quot;00DC3341&quot;/&gt;&lt;wsp:rsid wsp:val=&quot;00DC339F&quot;/&gt;&lt;wsp:rsid wsp:val=&quot;00DC33AB&quot;/&gt;&lt;wsp:rsid wsp:val=&quot;00DC3481&quot;/&gt;&lt;wsp:rsid wsp:val=&quot;00DC38A8&quot;/&gt;&lt;wsp:rsid wsp:val=&quot;00DC38BC&quot;/&gt;&lt;wsp:rsid wsp:val=&quot;00DC3992&quot;/&gt;&lt;wsp:rsid wsp:val=&quot;00DC3E04&quot;/&gt;&lt;wsp:rsid wsp:val=&quot;00DC402E&quot;/&gt;&lt;wsp:rsid wsp:val=&quot;00DC4284&quot;/&gt;&lt;wsp:rsid wsp:val=&quot;00DC4376&quot;/&gt;&lt;wsp:rsid wsp:val=&quot;00DC50F1&quot;/&gt;&lt;wsp:rsid wsp:val=&quot;00DC520C&quot;/&gt;&lt;wsp:rsid wsp:val=&quot;00DC535D&quot;/&gt;&lt;wsp:rsid wsp:val=&quot;00DC5445&quot;/&gt;&lt;wsp:rsid wsp:val=&quot;00DC562B&quot;/&gt;&lt;wsp:rsid wsp:val=&quot;00DC5FEC&quot;/&gt;&lt;wsp:rsid wsp:val=&quot;00DC6606&quot;/&gt;&lt;wsp:rsid wsp:val=&quot;00DC673D&quot;/&gt;&lt;wsp:rsid wsp:val=&quot;00DC67C7&quot;/&gt;&lt;wsp:rsid wsp:val=&quot;00DC69E6&quot;/&gt;&lt;wsp:rsid wsp:val=&quot;00DC6EDE&quot;/&gt;&lt;wsp:rsid wsp:val=&quot;00DC6F21&quot;/&gt;&lt;wsp:rsid wsp:val=&quot;00DC741A&quot;/&gt;&lt;wsp:rsid wsp:val=&quot;00DC751E&quot;/&gt;&lt;wsp:rsid wsp:val=&quot;00DC7B73&quot;/&gt;&lt;wsp:rsid wsp:val=&quot;00DC7C4E&quot;/&gt;&lt;wsp:rsid wsp:val=&quot;00DC7E15&quot;/&gt;&lt;wsp:rsid wsp:val=&quot;00DC7E27&quot;/&gt;&lt;wsp:rsid wsp:val=&quot;00DD01DC&quot;/&gt;&lt;wsp:rsid wsp:val=&quot;00DD042E&quot;/&gt;&lt;wsp:rsid wsp:val=&quot;00DD0A18&quot;/&gt;&lt;wsp:rsid wsp:val=&quot;00DD0A2F&quot;/&gt;&lt;wsp:rsid wsp:val=&quot;00DD0B4F&quot;/&gt;&lt;wsp:rsid wsp:val=&quot;00DD0C8C&quot;/&gt;&lt;wsp:rsid wsp:val=&quot;00DD109B&quot;/&gt;&lt;wsp:rsid wsp:val=&quot;00DD16ED&quot;/&gt;&lt;wsp:rsid wsp:val=&quot;00DD17BD&quot;/&gt;&lt;wsp:rsid wsp:val=&quot;00DD1B72&quot;/&gt;&lt;wsp:rsid wsp:val=&quot;00DD1D1C&quot;/&gt;&lt;wsp:rsid wsp:val=&quot;00DD237A&quot;/&gt;&lt;wsp:rsid wsp:val=&quot;00DD397C&quot;/&gt;&lt;wsp:rsid wsp:val=&quot;00DD3CEA&quot;/&gt;&lt;wsp:rsid wsp:val=&quot;00DD4838&quot;/&gt;&lt;wsp:rsid wsp:val=&quot;00DD4C81&quot;/&gt;&lt;wsp:rsid wsp:val=&quot;00DD54F2&quot;/&gt;&lt;wsp:rsid wsp:val=&quot;00DD55B0&quot;/&gt;&lt;wsp:rsid wsp:val=&quot;00DD68AB&quot;/&gt;&lt;wsp:rsid wsp:val=&quot;00DD69F4&quot;/&gt;&lt;wsp:rsid wsp:val=&quot;00DD7431&quot;/&gt;&lt;wsp:rsid wsp:val=&quot;00DD760A&quot;/&gt;&lt;wsp:rsid wsp:val=&quot;00DD7A76&quot;/&gt;&lt;wsp:rsid wsp:val=&quot;00DD7BC2&quot;/&gt;&lt;wsp:rsid wsp:val=&quot;00DD7E50&quot;/&gt;&lt;wsp:rsid wsp:val=&quot;00DE032C&quot;/&gt;&lt;wsp:rsid wsp:val=&quot;00DE0474&quot;/&gt;&lt;wsp:rsid wsp:val=&quot;00DE0727&quot;/&gt;&lt;wsp:rsid wsp:val=&quot;00DE0A01&quot;/&gt;&lt;wsp:rsid wsp:val=&quot;00DE0F9E&quot;/&gt;&lt;wsp:rsid wsp:val=&quot;00DE0FA7&quot;/&gt;&lt;wsp:rsid wsp:val=&quot;00DE1511&quot;/&gt;&lt;wsp:rsid wsp:val=&quot;00DE1522&quot;/&gt;&lt;wsp:rsid wsp:val=&quot;00DE1AC8&quot;/&gt;&lt;wsp:rsid wsp:val=&quot;00DE1F3F&quot;/&gt;&lt;wsp:rsid wsp:val=&quot;00DE2077&quot;/&gt;&lt;wsp:rsid wsp:val=&quot;00DE257A&quot;/&gt;&lt;wsp:rsid wsp:val=&quot;00DE287C&quot;/&gt;&lt;wsp:rsid wsp:val=&quot;00DE31E6&quot;/&gt;&lt;wsp:rsid wsp:val=&quot;00DE3718&quot;/&gt;&lt;wsp:rsid wsp:val=&quot;00DE38C1&quot;/&gt;&lt;wsp:rsid wsp:val=&quot;00DE3990&quot;/&gt;&lt;wsp:rsid wsp:val=&quot;00DE3D4C&quot;/&gt;&lt;wsp:rsid wsp:val=&quot;00DE3F61&quot;/&gt;&lt;wsp:rsid wsp:val=&quot;00DE4264&quot;/&gt;&lt;wsp:rsid wsp:val=&quot;00DE473A&quot;/&gt;&lt;wsp:rsid wsp:val=&quot;00DE47DB&quot;/&gt;&lt;wsp:rsid wsp:val=&quot;00DE4B48&quot;/&gt;&lt;wsp:rsid wsp:val=&quot;00DE4BD2&quot;/&gt;&lt;wsp:rsid wsp:val=&quot;00DE4C60&quot;/&gt;&lt;wsp:rsid wsp:val=&quot;00DE4E7A&quot;/&gt;&lt;wsp:rsid wsp:val=&quot;00DE585A&quot;/&gt;&lt;wsp:rsid wsp:val=&quot;00DE6784&quot;/&gt;&lt;wsp:rsid wsp:val=&quot;00DE6861&quot;/&gt;&lt;wsp:rsid wsp:val=&quot;00DE6C98&quot;/&gt;&lt;wsp:rsid wsp:val=&quot;00DE6F68&quot;/&gt;&lt;wsp:rsid wsp:val=&quot;00DE7C17&quot;/&gt;&lt;wsp:rsid wsp:val=&quot;00DE7CE1&quot;/&gt;&lt;wsp:rsid wsp:val=&quot;00DF02B9&quot;/&gt;&lt;wsp:rsid wsp:val=&quot;00DF043D&quot;/&gt;&lt;wsp:rsid wsp:val=&quot;00DF04F9&quot;/&gt;&lt;wsp:rsid wsp:val=&quot;00DF05F2&quot;/&gt;&lt;wsp:rsid wsp:val=&quot;00DF0C83&quot;/&gt;&lt;wsp:rsid wsp:val=&quot;00DF122E&quot;/&gt;&lt;wsp:rsid wsp:val=&quot;00DF1835&quot;/&gt;&lt;wsp:rsid wsp:val=&quot;00DF1838&quot;/&gt;&lt;wsp:rsid wsp:val=&quot;00DF1BB2&quot;/&gt;&lt;wsp:rsid wsp:val=&quot;00DF1CC0&quot;/&gt;&lt;wsp:rsid wsp:val=&quot;00DF2033&quot;/&gt;&lt;wsp:rsid wsp:val=&quot;00DF22C7&quot;/&gt;&lt;wsp:rsid wsp:val=&quot;00DF2408&quot;/&gt;&lt;wsp:rsid wsp:val=&quot;00DF281A&quot;/&gt;&lt;wsp:rsid wsp:val=&quot;00DF2B2A&quot;/&gt;&lt;wsp:rsid wsp:val=&quot;00DF2B65&quot;/&gt;&lt;wsp:rsid wsp:val=&quot;00DF324D&quot;/&gt;&lt;wsp:rsid wsp:val=&quot;00DF34E6&quot;/&gt;&lt;wsp:rsid wsp:val=&quot;00DF3C68&quot;/&gt;&lt;wsp:rsid wsp:val=&quot;00DF4AAE&quot;/&gt;&lt;wsp:rsid wsp:val=&quot;00DF4BE1&quot;/&gt;&lt;wsp:rsid wsp:val=&quot;00DF4DC9&quot;/&gt;&lt;wsp:rsid wsp:val=&quot;00DF4E74&quot;/&gt;&lt;wsp:rsid wsp:val=&quot;00DF54DF&quot;/&gt;&lt;wsp:rsid wsp:val=&quot;00DF55D6&quot;/&gt;&lt;wsp:rsid wsp:val=&quot;00DF5623&quot;/&gt;&lt;wsp:rsid wsp:val=&quot;00DF5F78&quot;/&gt;&lt;wsp:rsid wsp:val=&quot;00DF5FC0&quot;/&gt;&lt;wsp:rsid wsp:val=&quot;00DF6021&quot;/&gt;&lt;wsp:rsid wsp:val=&quot;00DF6457&quot;/&gt;&lt;wsp:rsid wsp:val=&quot;00DF64F5&quot;/&gt;&lt;wsp:rsid wsp:val=&quot;00DF6B13&quot;/&gt;&lt;wsp:rsid wsp:val=&quot;00DF737B&quot;/&gt;&lt;wsp:rsid wsp:val=&quot;00DF7C16&quot;/&gt;&lt;wsp:rsid wsp:val=&quot;00E00185&quot;/&gt;&lt;wsp:rsid wsp:val=&quot;00E0093C&quot;/&gt;&lt;wsp:rsid wsp:val=&quot;00E01018&quot;/&gt;&lt;wsp:rsid wsp:val=&quot;00E01634&quot;/&gt;&lt;wsp:rsid wsp:val=&quot;00E01C55&quot;/&gt;&lt;wsp:rsid wsp:val=&quot;00E01D5B&quot;/&gt;&lt;wsp:rsid wsp:val=&quot;00E01DC2&quot;/&gt;&lt;wsp:rsid wsp:val=&quot;00E021CD&quot;/&gt;&lt;wsp:rsid wsp:val=&quot;00E02227&quot;/&gt;&lt;wsp:rsid wsp:val=&quot;00E027BD&quot;/&gt;&lt;wsp:rsid wsp:val=&quot;00E02C60&quot;/&gt;&lt;wsp:rsid wsp:val=&quot;00E02EF2&quot;/&gt;&lt;wsp:rsid wsp:val=&quot;00E02FCD&quot;/&gt;&lt;wsp:rsid wsp:val=&quot;00E03172&quot;/&gt;&lt;wsp:rsid wsp:val=&quot;00E0321A&quot;/&gt;&lt;wsp:rsid wsp:val=&quot;00E03563&quot;/&gt;&lt;wsp:rsid wsp:val=&quot;00E037E5&quot;/&gt;&lt;wsp:rsid wsp:val=&quot;00E0384A&quot;/&gt;&lt;wsp:rsid wsp:val=&quot;00E0397E&quot;/&gt;&lt;wsp:rsid wsp:val=&quot;00E03CB0&quot;/&gt;&lt;wsp:rsid wsp:val=&quot;00E043AD&quot;/&gt;&lt;wsp:rsid wsp:val=&quot;00E0468B&quot;/&gt;&lt;wsp:rsid wsp:val=&quot;00E04764&quot;/&gt;&lt;wsp:rsid wsp:val=&quot;00E04C8A&quot;/&gt;&lt;wsp:rsid wsp:val=&quot;00E0514D&quot;/&gt;&lt;wsp:rsid wsp:val=&quot;00E0525B&quot;/&gt;&lt;wsp:rsid wsp:val=&quot;00E0547E&quot;/&gt;&lt;wsp:rsid wsp:val=&quot;00E0548D&quot;/&gt;&lt;wsp:rsid wsp:val=&quot;00E0589C&quot;/&gt;&lt;wsp:rsid wsp:val=&quot;00E05B76&quot;/&gt;&lt;wsp:rsid wsp:val=&quot;00E05E36&quot;/&gt;&lt;wsp:rsid wsp:val=&quot;00E06078&quot;/&gt;&lt;wsp:rsid wsp:val=&quot;00E06183&quot;/&gt;&lt;wsp:rsid wsp:val=&quot;00E06199&quot;/&gt;&lt;wsp:rsid wsp:val=&quot;00E064A1&quot;/&gt;&lt;wsp:rsid wsp:val=&quot;00E064D5&quot;/&gt;&lt;wsp:rsid wsp:val=&quot;00E068E7&quot;/&gt;&lt;wsp:rsid wsp:val=&quot;00E06D23&quot;/&gt;&lt;wsp:rsid wsp:val=&quot;00E07323&quot;/&gt;&lt;wsp:rsid wsp:val=&quot;00E07CED&quot;/&gt;&lt;wsp:rsid wsp:val=&quot;00E10057&quot;/&gt;&lt;wsp:rsid wsp:val=&quot;00E1009B&quot;/&gt;&lt;wsp:rsid wsp:val=&quot;00E10270&quot;/&gt;&lt;wsp:rsid wsp:val=&quot;00E10421&quot;/&gt;&lt;wsp:rsid wsp:val=&quot;00E104FF&quot;/&gt;&lt;wsp:rsid wsp:val=&quot;00E10748&quot;/&gt;&lt;wsp:rsid wsp:val=&quot;00E10E90&quot;/&gt;&lt;wsp:rsid wsp:val=&quot;00E10F69&quot;/&gt;&lt;wsp:rsid wsp:val=&quot;00E1107E&quot;/&gt;&lt;wsp:rsid wsp:val=&quot;00E111E0&quot;/&gt;&lt;wsp:rsid wsp:val=&quot;00E11503&quot;/&gt;&lt;wsp:rsid wsp:val=&quot;00E1151C&quot;/&gt;&lt;wsp:rsid wsp:val=&quot;00E11848&quot;/&gt;&lt;wsp:rsid wsp:val=&quot;00E11B3A&quot;/&gt;&lt;wsp:rsid wsp:val=&quot;00E11E52&quot;/&gt;&lt;wsp:rsid wsp:val=&quot;00E11F1C&quot;/&gt;&lt;wsp:rsid wsp:val=&quot;00E123DD&quot;/&gt;&lt;wsp:rsid wsp:val=&quot;00E126D5&quot;/&gt;&lt;wsp:rsid wsp:val=&quot;00E12E70&quot;/&gt;&lt;wsp:rsid wsp:val=&quot;00E1397B&quot;/&gt;&lt;wsp:rsid wsp:val=&quot;00E13F67&quot;/&gt;&lt;wsp:rsid wsp:val=&quot;00E14087&quot;/&gt;&lt;wsp:rsid wsp:val=&quot;00E140B5&quot;/&gt;&lt;wsp:rsid wsp:val=&quot;00E1418D&quot;/&gt;&lt;wsp:rsid wsp:val=&quot;00E1423A&quot;/&gt;&lt;wsp:rsid wsp:val=&quot;00E1461B&quot;/&gt;&lt;wsp:rsid wsp:val=&quot;00E14BC2&quot;/&gt;&lt;wsp:rsid wsp:val=&quot;00E14C96&quot;/&gt;&lt;wsp:rsid wsp:val=&quot;00E1560A&quot;/&gt;&lt;wsp:rsid wsp:val=&quot;00E1567C&quot;/&gt;&lt;wsp:rsid wsp:val=&quot;00E15869&quot;/&gt;&lt;wsp:rsid wsp:val=&quot;00E1609B&quot;/&gt;&lt;wsp:rsid wsp:val=&quot;00E166C2&quot;/&gt;&lt;wsp:rsid wsp:val=&quot;00E1675A&quot;/&gt;&lt;wsp:rsid wsp:val=&quot;00E167F9&quot;/&gt;&lt;wsp:rsid wsp:val=&quot;00E168A2&quot;/&gt;&lt;wsp:rsid wsp:val=&quot;00E16ADA&quot;/&gt;&lt;wsp:rsid wsp:val=&quot;00E16E47&quot;/&gt;&lt;wsp:rsid wsp:val=&quot;00E2023E&quot;/&gt;&lt;wsp:rsid wsp:val=&quot;00E20289&quot;/&gt;&lt;wsp:rsid wsp:val=&quot;00E20441&quot;/&gt;&lt;wsp:rsid wsp:val=&quot;00E204BF&quot;/&gt;&lt;wsp:rsid wsp:val=&quot;00E20548&quot;/&gt;&lt;wsp:rsid wsp:val=&quot;00E20830&quot;/&gt;&lt;wsp:rsid wsp:val=&quot;00E20A15&quot;/&gt;&lt;wsp:rsid wsp:val=&quot;00E20A70&quot;/&gt;&lt;wsp:rsid wsp:val=&quot;00E20B01&quot;/&gt;&lt;wsp:rsid wsp:val=&quot;00E20E29&quot;/&gt;&lt;wsp:rsid wsp:val=&quot;00E212C2&quot;/&gt;&lt;wsp:rsid wsp:val=&quot;00E21687&quot;/&gt;&lt;wsp:rsid wsp:val=&quot;00E21A4E&quot;/&gt;&lt;wsp:rsid wsp:val=&quot;00E21CCC&quot;/&gt;&lt;wsp:rsid wsp:val=&quot;00E21F08&quot;/&gt;&lt;wsp:rsid wsp:val=&quot;00E22182&quot;/&gt;&lt;wsp:rsid wsp:val=&quot;00E221B8&quot;/&gt;&lt;wsp:rsid wsp:val=&quot;00E227E9&quot;/&gt;&lt;wsp:rsid wsp:val=&quot;00E2290E&quot;/&gt;&lt;wsp:rsid wsp:val=&quot;00E22C48&quot;/&gt;&lt;wsp:rsid wsp:val=&quot;00E22F19&quot;/&gt;&lt;wsp:rsid wsp:val=&quot;00E23299&quot;/&gt;&lt;wsp:rsid wsp:val=&quot;00E237B6&quot;/&gt;&lt;wsp:rsid wsp:val=&quot;00E238DE&quot;/&gt;&lt;wsp:rsid wsp:val=&quot;00E23CC0&quot;/&gt;&lt;wsp:rsid wsp:val=&quot;00E24A62&quot;/&gt;&lt;wsp:rsid wsp:val=&quot;00E24B9B&quot;/&gt;&lt;wsp:rsid wsp:val=&quot;00E24BEA&quot;/&gt;&lt;wsp:rsid wsp:val=&quot;00E24E54&quot;/&gt;&lt;wsp:rsid wsp:val=&quot;00E24EDA&quot;/&gt;&lt;wsp:rsid wsp:val=&quot;00E25072&quot;/&gt;&lt;wsp:rsid wsp:val=&quot;00E25593&quot;/&gt;&lt;wsp:rsid wsp:val=&quot;00E25888&quot;/&gt;&lt;wsp:rsid wsp:val=&quot;00E25E6C&quot;/&gt;&lt;wsp:rsid wsp:val=&quot;00E25E82&quot;/&gt;&lt;wsp:rsid wsp:val=&quot;00E25EB6&quot;/&gt;&lt;wsp:rsid wsp:val=&quot;00E25FFA&quot;/&gt;&lt;wsp:rsid wsp:val=&quot;00E26226&quot;/&gt;&lt;wsp:rsid wsp:val=&quot;00E264E6&quot;/&gt;&lt;wsp:rsid wsp:val=&quot;00E26C3F&quot;/&gt;&lt;wsp:rsid wsp:val=&quot;00E2702B&quot;/&gt;&lt;wsp:rsid wsp:val=&quot;00E271D3&quot;/&gt;&lt;wsp:rsid wsp:val=&quot;00E27479&quot;/&gt;&lt;wsp:rsid wsp:val=&quot;00E30596&quot;/&gt;&lt;wsp:rsid wsp:val=&quot;00E306C3&quot;/&gt;&lt;wsp:rsid wsp:val=&quot;00E307C6&quot;/&gt;&lt;wsp:rsid wsp:val=&quot;00E30AFB&quot;/&gt;&lt;wsp:rsid wsp:val=&quot;00E30BAF&quot;/&gt;&lt;wsp:rsid wsp:val=&quot;00E31856&quot;/&gt;&lt;wsp:rsid wsp:val=&quot;00E31C9C&quot;/&gt;&lt;wsp:rsid wsp:val=&quot;00E31F8E&quot;/&gt;&lt;wsp:rsid wsp:val=&quot;00E3221D&quot;/&gt;&lt;wsp:rsid wsp:val=&quot;00E326FD&quot;/&gt;&lt;wsp:rsid wsp:val=&quot;00E32CF9&quot;/&gt;&lt;wsp:rsid wsp:val=&quot;00E32FF4&quot;/&gt;&lt;wsp:rsid wsp:val=&quot;00E33143&quot;/&gt;&lt;wsp:rsid wsp:val=&quot;00E33356&quot;/&gt;&lt;wsp:rsid wsp:val=&quot;00E3397C&quot;/&gt;&lt;wsp:rsid wsp:val=&quot;00E33D42&quot;/&gt;&lt;wsp:rsid wsp:val=&quot;00E343CE&quot;/&gt;&lt;wsp:rsid wsp:val=&quot;00E344DA&quot;/&gt;&lt;wsp:rsid wsp:val=&quot;00E3491A&quot;/&gt;&lt;wsp:rsid wsp:val=&quot;00E349B8&quot;/&gt;&lt;wsp:rsid wsp:val=&quot;00E34CA7&quot;/&gt;&lt;wsp:rsid wsp:val=&quot;00E352F7&quot;/&gt;&lt;wsp:rsid wsp:val=&quot;00E353D9&quot;/&gt;&lt;wsp:rsid wsp:val=&quot;00E35D66&quot;/&gt;&lt;wsp:rsid wsp:val=&quot;00E35E4B&quot;/&gt;&lt;wsp:rsid wsp:val=&quot;00E360FF&quot;/&gt;&lt;wsp:rsid wsp:val=&quot;00E3611C&quot;/&gt;&lt;wsp:rsid wsp:val=&quot;00E36230&quot;/&gt;&lt;wsp:rsid wsp:val=&quot;00E3631E&quot;/&gt;&lt;wsp:rsid wsp:val=&quot;00E368E4&quot;/&gt;&lt;wsp:rsid wsp:val=&quot;00E36976&quot;/&gt;&lt;wsp:rsid wsp:val=&quot;00E36BAA&quot;/&gt;&lt;wsp:rsid wsp:val=&quot;00E36CFB&quot;/&gt;&lt;wsp:rsid wsp:val=&quot;00E36D5C&quot;/&gt;&lt;wsp:rsid wsp:val=&quot;00E3715C&quot;/&gt;&lt;wsp:rsid wsp:val=&quot;00E37189&quot;/&gt;&lt;wsp:rsid wsp:val=&quot;00E371DE&quot;/&gt;&lt;wsp:rsid wsp:val=&quot;00E375F3&quot;/&gt;&lt;wsp:rsid wsp:val=&quot;00E376AB&quot;/&gt;&lt;wsp:rsid wsp:val=&quot;00E379D1&quot;/&gt;&lt;wsp:rsid wsp:val=&quot;00E37EC0&quot;/&gt;&lt;wsp:rsid wsp:val=&quot;00E408A8&quot;/&gt;&lt;wsp:rsid wsp:val=&quot;00E40E8C&quot;/&gt;&lt;wsp:rsid wsp:val=&quot;00E41B1C&quot;/&gt;&lt;wsp:rsid wsp:val=&quot;00E41C61&quot;/&gt;&lt;wsp:rsid wsp:val=&quot;00E41C86&quot;/&gt;&lt;wsp:rsid wsp:val=&quot;00E42244&quot;/&gt;&lt;wsp:rsid wsp:val=&quot;00E4230D&quot;/&gt;&lt;wsp:rsid wsp:val=&quot;00E42425&quot;/&gt;&lt;wsp:rsid wsp:val=&quot;00E4251A&quot;/&gt;&lt;wsp:rsid wsp:val=&quot;00E42B3F&quot;/&gt;&lt;wsp:rsid wsp:val=&quot;00E42F92&quot;/&gt;&lt;wsp:rsid wsp:val=&quot;00E4306E&quot;/&gt;&lt;wsp:rsid wsp:val=&quot;00E43143&quot;/&gt;&lt;wsp:rsid wsp:val=&quot;00E4319B&quot;/&gt;&lt;wsp:rsid wsp:val=&quot;00E431C0&quot;/&gt;&lt;wsp:rsid wsp:val=&quot;00E435DB&quot;/&gt;&lt;wsp:rsid wsp:val=&quot;00E438F3&quot;/&gt;&lt;wsp:rsid wsp:val=&quot;00E43E10&quot;/&gt;&lt;wsp:rsid wsp:val=&quot;00E44403&quot;/&gt;&lt;wsp:rsid wsp:val=&quot;00E4459E&quot;/&gt;&lt;wsp:rsid wsp:val=&quot;00E44B2F&quot;/&gt;&lt;wsp:rsid wsp:val=&quot;00E44BB0&quot;/&gt;&lt;wsp:rsid wsp:val=&quot;00E44BD4&quot;/&gt;&lt;wsp:rsid wsp:val=&quot;00E44E92&quot;/&gt;&lt;wsp:rsid wsp:val=&quot;00E44F03&quot;/&gt;&lt;wsp:rsid wsp:val=&quot;00E4550C&quot;/&gt;&lt;wsp:rsid wsp:val=&quot;00E455FF&quot;/&gt;&lt;wsp:rsid wsp:val=&quot;00E45677&quot;/&gt;&lt;wsp:rsid wsp:val=&quot;00E4598D&quot;/&gt;&lt;wsp:rsid wsp:val=&quot;00E45A35&quot;/&gt;&lt;wsp:rsid wsp:val=&quot;00E45E51&quot;/&gt;&lt;wsp:rsid wsp:val=&quot;00E46055&quot;/&gt;&lt;wsp:rsid wsp:val=&quot;00E46079&quot;/&gt;&lt;wsp:rsid wsp:val=&quot;00E46636&quot;/&gt;&lt;wsp:rsid wsp:val=&quot;00E467B0&quot;/&gt;&lt;wsp:rsid wsp:val=&quot;00E46983&quot;/&gt;&lt;wsp:rsid wsp:val=&quot;00E47160&quot;/&gt;&lt;wsp:rsid wsp:val=&quot;00E47596&quot;/&gt;&lt;wsp:rsid wsp:val=&quot;00E4778B&quot;/&gt;&lt;wsp:rsid wsp:val=&quot;00E47A0A&quot;/&gt;&lt;wsp:rsid wsp:val=&quot;00E5045D&quot;/&gt;&lt;wsp:rsid wsp:val=&quot;00E5056B&quot;/&gt;&lt;wsp:rsid wsp:val=&quot;00E50844&quot;/&gt;&lt;wsp:rsid wsp:val=&quot;00E50CB4&quot;/&gt;&lt;wsp:rsid wsp:val=&quot;00E50F14&quot;/&gt;&lt;wsp:rsid wsp:val=&quot;00E5122B&quot;/&gt;&lt;wsp:rsid wsp:val=&quot;00E5129B&quot;/&gt;&lt;wsp:rsid wsp:val=&quot;00E513EC&quot;/&gt;&lt;wsp:rsid wsp:val=&quot;00E51579&quot;/&gt;&lt;wsp:rsid wsp:val=&quot;00E51952&quot;/&gt;&lt;wsp:rsid wsp:val=&quot;00E51B97&quot;/&gt;&lt;wsp:rsid wsp:val=&quot;00E51E7C&quot;/&gt;&lt;wsp:rsid wsp:val=&quot;00E51FD7&quot;/&gt;&lt;wsp:rsid wsp:val=&quot;00E5213D&quot;/&gt;&lt;wsp:rsid wsp:val=&quot;00E5219B&quot;/&gt;&lt;wsp:rsid wsp:val=&quot;00E521BE&quot;/&gt;&lt;wsp:rsid wsp:val=&quot;00E52552&quot;/&gt;&lt;wsp:rsid wsp:val=&quot;00E52B77&quot;/&gt;&lt;wsp:rsid wsp:val=&quot;00E52F14&quot;/&gt;&lt;wsp:rsid wsp:val=&quot;00E5310C&quot;/&gt;&lt;wsp:rsid wsp:val=&quot;00E53438&quot;/&gt;&lt;wsp:rsid wsp:val=&quot;00E54149&quot;/&gt;&lt;wsp:rsid wsp:val=&quot;00E546C4&quot;/&gt;&lt;wsp:rsid wsp:val=&quot;00E548E2&quot;/&gt;&lt;wsp:rsid wsp:val=&quot;00E54DE3&quot;/&gt;&lt;wsp:rsid wsp:val=&quot;00E54F4D&quot;/&gt;&lt;wsp:rsid wsp:val=&quot;00E55287&quot;/&gt;&lt;wsp:rsid wsp:val=&quot;00E55299&quot;/&gt;&lt;wsp:rsid wsp:val=&quot;00E55714&quot;/&gt;&lt;wsp:rsid wsp:val=&quot;00E55985&quot;/&gt;&lt;wsp:rsid wsp:val=&quot;00E55B0C&quot;/&gt;&lt;wsp:rsid wsp:val=&quot;00E55F2F&quot;/&gt;&lt;wsp:rsid wsp:val=&quot;00E560A8&quot;/&gt;&lt;wsp:rsid wsp:val=&quot;00E56390&quot;/&gt;&lt;wsp:rsid wsp:val=&quot;00E56D0D&quot;/&gt;&lt;wsp:rsid wsp:val=&quot;00E572E9&quot;/&gt;&lt;wsp:rsid wsp:val=&quot;00E574AC&quot;/&gt;&lt;wsp:rsid wsp:val=&quot;00E57956&quot;/&gt;&lt;wsp:rsid wsp:val=&quot;00E57C5D&quot;/&gt;&lt;wsp:rsid wsp:val=&quot;00E6016A&quot;/&gt;&lt;wsp:rsid wsp:val=&quot;00E605E6&quot;/&gt;&lt;wsp:rsid wsp:val=&quot;00E60873&quot;/&gt;&lt;wsp:rsid wsp:val=&quot;00E6090C&quot;/&gt;&lt;wsp:rsid wsp:val=&quot;00E609AB&quot;/&gt;&lt;wsp:rsid wsp:val=&quot;00E60BB3&quot;/&gt;&lt;wsp:rsid wsp:val=&quot;00E6105C&quot;/&gt;&lt;wsp:rsid wsp:val=&quot;00E61077&quot;/&gt;&lt;wsp:rsid wsp:val=&quot;00E6123A&quot;/&gt;&lt;wsp:rsid wsp:val=&quot;00E6126C&quot;/&gt;&lt;wsp:rsid wsp:val=&quot;00E614BD&quot;/&gt;&lt;wsp:rsid wsp:val=&quot;00E61CE1&quot;/&gt;&lt;wsp:rsid wsp:val=&quot;00E61EF0&quot;/&gt;&lt;wsp:rsid wsp:val=&quot;00E61F27&quot;/&gt;&lt;wsp:rsid wsp:val=&quot;00E624E9&quot;/&gt;&lt;wsp:rsid wsp:val=&quot;00E6252C&quot;/&gt;&lt;wsp:rsid wsp:val=&quot;00E62570&quot;/&gt;&lt;wsp:rsid wsp:val=&quot;00E629E2&quot;/&gt;&lt;wsp:rsid wsp:val=&quot;00E63481&quot;/&gt;&lt;wsp:rsid wsp:val=&quot;00E63590&quot;/&gt;&lt;wsp:rsid wsp:val=&quot;00E63907&quot;/&gt;&lt;wsp:rsid wsp:val=&quot;00E63A14&quot;/&gt;&lt;wsp:rsid wsp:val=&quot;00E63A34&quot;/&gt;&lt;wsp:rsid wsp:val=&quot;00E63B2E&quot;/&gt;&lt;wsp:rsid wsp:val=&quot;00E646AD&quot;/&gt;&lt;wsp:rsid wsp:val=&quot;00E6471A&quot;/&gt;&lt;wsp:rsid wsp:val=&quot;00E64A13&quot;/&gt;&lt;wsp:rsid wsp:val=&quot;00E64A84&quot;/&gt;&lt;wsp:rsid wsp:val=&quot;00E64B4F&quot;/&gt;&lt;wsp:rsid wsp:val=&quot;00E64D9B&quot;/&gt;&lt;wsp:rsid wsp:val=&quot;00E64F93&quot;/&gt;&lt;wsp:rsid wsp:val=&quot;00E651D6&quot;/&gt;&lt;wsp:rsid wsp:val=&quot;00E654FC&quot;/&gt;&lt;wsp:rsid wsp:val=&quot;00E65612&quot;/&gt;&lt;wsp:rsid wsp:val=&quot;00E65743&quot;/&gt;&lt;wsp:rsid wsp:val=&quot;00E6581C&quot;/&gt;&lt;wsp:rsid wsp:val=&quot;00E65BBB&quot;/&gt;&lt;wsp:rsid wsp:val=&quot;00E65C3D&quot;/&gt;&lt;wsp:rsid wsp:val=&quot;00E6616C&quot;/&gt;&lt;wsp:rsid wsp:val=&quot;00E6643A&quot;/&gt;&lt;wsp:rsid wsp:val=&quot;00E66695&quot;/&gt;&lt;wsp:rsid wsp:val=&quot;00E66A8E&quot;/&gt;&lt;wsp:rsid wsp:val=&quot;00E66B7D&quot;/&gt;&lt;wsp:rsid wsp:val=&quot;00E66D4C&quot;/&gt;&lt;wsp:rsid wsp:val=&quot;00E66D4D&quot;/&gt;&lt;wsp:rsid wsp:val=&quot;00E66E8A&quot;/&gt;&lt;wsp:rsid wsp:val=&quot;00E6750E&quot;/&gt;&lt;wsp:rsid wsp:val=&quot;00E6759D&quot;/&gt;&lt;wsp:rsid wsp:val=&quot;00E6772B&quot;/&gt;&lt;wsp:rsid wsp:val=&quot;00E678F9&quot;/&gt;&lt;wsp:rsid wsp:val=&quot;00E67B4B&quot;/&gt;&lt;wsp:rsid wsp:val=&quot;00E7000C&quot;/&gt;&lt;wsp:rsid wsp:val=&quot;00E706FA&quot;/&gt;&lt;wsp:rsid wsp:val=&quot;00E707F8&quot;/&gt;&lt;wsp:rsid wsp:val=&quot;00E713E0&quot;/&gt;&lt;wsp:rsid wsp:val=&quot;00E7152F&quot;/&gt;&lt;wsp:rsid wsp:val=&quot;00E71D13&quot;/&gt;&lt;wsp:rsid wsp:val=&quot;00E71EA7&quot;/&gt;&lt;wsp:rsid wsp:val=&quot;00E7208C&quot;/&gt;&lt;wsp:rsid wsp:val=&quot;00E721CE&quot;/&gt;&lt;wsp:rsid wsp:val=&quot;00E7293A&quot;/&gt;&lt;wsp:rsid wsp:val=&quot;00E72DDA&quot;/&gt;&lt;wsp:rsid wsp:val=&quot;00E72F61&quot;/&gt;&lt;wsp:rsid wsp:val=&quot;00E73885&quot;/&gt;&lt;wsp:rsid wsp:val=&quot;00E73CA7&quot;/&gt;&lt;wsp:rsid wsp:val=&quot;00E742D9&quot;/&gt;&lt;wsp:rsid wsp:val=&quot;00E74854&quot;/&gt;&lt;wsp:rsid wsp:val=&quot;00E748FD&quot;/&gt;&lt;wsp:rsid wsp:val=&quot;00E74DF5&quot;/&gt;&lt;wsp:rsid wsp:val=&quot;00E74ECB&quot;/&gt;&lt;wsp:rsid wsp:val=&quot;00E75347&quot;/&gt;&lt;wsp:rsid wsp:val=&quot;00E75766&quot;/&gt;&lt;wsp:rsid wsp:val=&quot;00E75AF9&quot;/&gt;&lt;wsp:rsid wsp:val=&quot;00E75B4C&quot;/&gt;&lt;wsp:rsid wsp:val=&quot;00E75BC5&quot;/&gt;&lt;wsp:rsid wsp:val=&quot;00E75C95&quot;/&gt;&lt;wsp:rsid wsp:val=&quot;00E76086&quot;/&gt;&lt;wsp:rsid wsp:val=&quot;00E763C9&quot;/&gt;&lt;wsp:rsid wsp:val=&quot;00E76AB5&quot;/&gt;&lt;wsp:rsid wsp:val=&quot;00E76BB2&quot;/&gt;&lt;wsp:rsid wsp:val=&quot;00E76E06&quot;/&gt;&lt;wsp:rsid wsp:val=&quot;00E775A5&quot;/&gt;&lt;wsp:rsid wsp:val=&quot;00E77BBA&quot;/&gt;&lt;wsp:rsid wsp:val=&quot;00E77D22&quot;/&gt;&lt;wsp:rsid wsp:val=&quot;00E77F4D&quot;/&gt;&lt;wsp:rsid wsp:val=&quot;00E8009A&quot;/&gt;&lt;wsp:rsid wsp:val=&quot;00E8096C&quot;/&gt;&lt;wsp:rsid wsp:val=&quot;00E814AB&quot;/&gt;&lt;wsp:rsid wsp:val=&quot;00E81E23&quot;/&gt;&lt;wsp:rsid wsp:val=&quot;00E81EE8&quot;/&gt;&lt;wsp:rsid wsp:val=&quot;00E821AE&quot;/&gt;&lt;wsp:rsid wsp:val=&quot;00E82D72&quot;/&gt;&lt;wsp:rsid wsp:val=&quot;00E832EF&quot;/&gt;&lt;wsp:rsid wsp:val=&quot;00E8379A&quot;/&gt;&lt;wsp:rsid wsp:val=&quot;00E83D45&quot;/&gt;&lt;wsp:rsid wsp:val=&quot;00E842A7&quot;/&gt;&lt;wsp:rsid wsp:val=&quot;00E84ACA&quot;/&gt;&lt;wsp:rsid wsp:val=&quot;00E84CA0&quot;/&gt;&lt;wsp:rsid wsp:val=&quot;00E84CA5&quot;/&gt;&lt;wsp:rsid wsp:val=&quot;00E851D6&quot;/&gt;&lt;wsp:rsid wsp:val=&quot;00E85474&quot;/&gt;&lt;wsp:rsid wsp:val=&quot;00E857D7&quot;/&gt;&lt;wsp:rsid wsp:val=&quot;00E85B41&quot;/&gt;&lt;wsp:rsid wsp:val=&quot;00E85F55&quot;/&gt;&lt;wsp:rsid wsp:val=&quot;00E85FC7&quot;/&gt;&lt;wsp:rsid wsp:val=&quot;00E86086&quot;/&gt;&lt;wsp:rsid wsp:val=&quot;00E86E29&quot;/&gt;&lt;wsp:rsid wsp:val=&quot;00E8751B&quot;/&gt;&lt;wsp:rsid wsp:val=&quot;00E87611&quot;/&gt;&lt;wsp:rsid wsp:val=&quot;00E87F79&quot;/&gt;&lt;wsp:rsid wsp:val=&quot;00E904CE&quot;/&gt;&lt;wsp:rsid wsp:val=&quot;00E90538&quot;/&gt;&lt;wsp:rsid wsp:val=&quot;00E90753&quot;/&gt;&lt;wsp:rsid wsp:val=&quot;00E91093&quot;/&gt;&lt;wsp:rsid wsp:val=&quot;00E910EC&quot;/&gt;&lt;wsp:rsid wsp:val=&quot;00E91341&quot;/&gt;&lt;wsp:rsid wsp:val=&quot;00E91899&quot;/&gt;&lt;wsp:rsid wsp:val=&quot;00E9205E&quot;/&gt;&lt;wsp:rsid wsp:val=&quot;00E921A2&quot;/&gt;&lt;wsp:rsid wsp:val=&quot;00E924FF&quot;/&gt;&lt;wsp:rsid wsp:val=&quot;00E932F1&quot;/&gt;&lt;wsp:rsid wsp:val=&quot;00E939CA&quot;/&gt;&lt;wsp:rsid wsp:val=&quot;00E93C91&quot;/&gt;&lt;wsp:rsid wsp:val=&quot;00E93F4B&quot;/&gt;&lt;wsp:rsid wsp:val=&quot;00E941EC&quot;/&gt;&lt;wsp:rsid wsp:val=&quot;00E94910&quot;/&gt;&lt;wsp:rsid wsp:val=&quot;00E94B53&quot;/&gt;&lt;wsp:rsid wsp:val=&quot;00E94DCE&quot;/&gt;&lt;wsp:rsid wsp:val=&quot;00E94DFA&quot;/&gt;&lt;wsp:rsid wsp:val=&quot;00E94E86&quot;/&gt;&lt;wsp:rsid wsp:val=&quot;00E9518C&quot;/&gt;&lt;wsp:rsid wsp:val=&quot;00E951C0&quot;/&gt;&lt;wsp:rsid wsp:val=&quot;00E952A0&quot;/&gt;&lt;wsp:rsid wsp:val=&quot;00E95571&quot;/&gt;&lt;wsp:rsid wsp:val=&quot;00E955EA&quot;/&gt;&lt;wsp:rsid wsp:val=&quot;00E960BD&quot;/&gt;&lt;wsp:rsid wsp:val=&quot;00E964D1&quot;/&gt;&lt;wsp:rsid wsp:val=&quot;00E96552&quot;/&gt;&lt;wsp:rsid wsp:val=&quot;00E96B7A&quot;/&gt;&lt;wsp:rsid wsp:val=&quot;00E96F4E&quot;/&gt;&lt;wsp:rsid wsp:val=&quot;00E97B42&quot;/&gt;&lt;wsp:rsid wsp:val=&quot;00E97EB7&quot;/&gt;&lt;wsp:rsid wsp:val=&quot;00EA008A&quot;/&gt;&lt;wsp:rsid wsp:val=&quot;00EA0622&quot;/&gt;&lt;wsp:rsid wsp:val=&quot;00EA0A20&quot;/&gt;&lt;wsp:rsid wsp:val=&quot;00EA0A62&quot;/&gt;&lt;wsp:rsid wsp:val=&quot;00EA0A7C&quot;/&gt;&lt;wsp:rsid wsp:val=&quot;00EA0C0E&quot;/&gt;&lt;wsp:rsid wsp:val=&quot;00EA0FB2&quot;/&gt;&lt;wsp:rsid wsp:val=&quot;00EA11C8&quot;/&gt;&lt;wsp:rsid wsp:val=&quot;00EA1508&quot;/&gt;&lt;wsp:rsid wsp:val=&quot;00EA16F8&quot;/&gt;&lt;wsp:rsid wsp:val=&quot;00EA1920&quot;/&gt;&lt;wsp:rsid wsp:val=&quot;00EA1B80&quot;/&gt;&lt;wsp:rsid wsp:val=&quot;00EA1CCE&quot;/&gt;&lt;wsp:rsid wsp:val=&quot;00EA1D6D&quot;/&gt;&lt;wsp:rsid wsp:val=&quot;00EA1DB9&quot;/&gt;&lt;wsp:rsid wsp:val=&quot;00EA2EED&quot;/&gt;&lt;wsp:rsid wsp:val=&quot;00EA3084&quot;/&gt;&lt;wsp:rsid wsp:val=&quot;00EA3C9C&quot;/&gt;&lt;wsp:rsid wsp:val=&quot;00EA3EAD&quot;/&gt;&lt;wsp:rsid wsp:val=&quot;00EA3ECD&quot;/&gt;&lt;wsp:rsid wsp:val=&quot;00EA46CB&quot;/&gt;&lt;wsp:rsid wsp:val=&quot;00EA4758&quot;/&gt;&lt;wsp:rsid wsp:val=&quot;00EA47F2&quot;/&gt;&lt;wsp:rsid wsp:val=&quot;00EA4A67&quot;/&gt;&lt;wsp:rsid wsp:val=&quot;00EA4D1B&quot;/&gt;&lt;wsp:rsid wsp:val=&quot;00EA4F72&quot;/&gt;&lt;wsp:rsid wsp:val=&quot;00EA53C1&quot;/&gt;&lt;wsp:rsid wsp:val=&quot;00EA57CD&quot;/&gt;&lt;wsp:rsid wsp:val=&quot;00EA5AB4&quot;/&gt;&lt;wsp:rsid wsp:val=&quot;00EA5B0F&quot;/&gt;&lt;wsp:rsid wsp:val=&quot;00EA6801&quot;/&gt;&lt;wsp:rsid wsp:val=&quot;00EA682A&quot;/&gt;&lt;wsp:rsid wsp:val=&quot;00EA72CD&quot;/&gt;&lt;wsp:rsid wsp:val=&quot;00EA740E&quot;/&gt;&lt;wsp:rsid wsp:val=&quot;00EA7C1D&quot;/&gt;&lt;wsp:rsid wsp:val=&quot;00EA7E2B&quot;/&gt;&lt;wsp:rsid wsp:val=&quot;00EB0220&quot;/&gt;&lt;wsp:rsid wsp:val=&quot;00EB03FF&quot;/&gt;&lt;wsp:rsid wsp:val=&quot;00EB048D&quot;/&gt;&lt;wsp:rsid wsp:val=&quot;00EB051C&quot;/&gt;&lt;wsp:rsid wsp:val=&quot;00EB13F2&quot;/&gt;&lt;wsp:rsid wsp:val=&quot;00EB1444&quot;/&gt;&lt;wsp:rsid wsp:val=&quot;00EB1A6B&quot;/&gt;&lt;wsp:rsid wsp:val=&quot;00EB2F23&quot;/&gt;&lt;wsp:rsid wsp:val=&quot;00EB3208&quot;/&gt;&lt;wsp:rsid wsp:val=&quot;00EB3D15&quot;/&gt;&lt;wsp:rsid wsp:val=&quot;00EB3D97&quot;/&gt;&lt;wsp:rsid wsp:val=&quot;00EB42BA&quot;/&gt;&lt;wsp:rsid wsp:val=&quot;00EB434F&quot;/&gt;&lt;wsp:rsid wsp:val=&quot;00EB43DE&quot;/&gt;&lt;wsp:rsid wsp:val=&quot;00EB46C9&quot;/&gt;&lt;wsp:rsid wsp:val=&quot;00EB55FB&quot;/&gt;&lt;wsp:rsid wsp:val=&quot;00EB5B27&quot;/&gt;&lt;wsp:rsid wsp:val=&quot;00EB5CD1&quot;/&gt;&lt;wsp:rsid wsp:val=&quot;00EB5EE6&quot;/&gt;&lt;wsp:rsid wsp:val=&quot;00EB6FD3&quot;/&gt;&lt;wsp:rsid wsp:val=&quot;00EB7AC5&quot;/&gt;&lt;wsp:rsid wsp:val=&quot;00EC03A0&quot;/&gt;&lt;wsp:rsid wsp:val=&quot;00EC042C&quot;/&gt;&lt;wsp:rsid wsp:val=&quot;00EC05FB&quot;/&gt;&lt;wsp:rsid wsp:val=&quot;00EC09D2&quot;/&gt;&lt;wsp:rsid wsp:val=&quot;00EC0BB0&quot;/&gt;&lt;wsp:rsid wsp:val=&quot;00EC0D7E&quot;/&gt;&lt;wsp:rsid wsp:val=&quot;00EC0F4A&quot;/&gt;&lt;wsp:rsid wsp:val=&quot;00EC166D&quot;/&gt;&lt;wsp:rsid wsp:val=&quot;00EC1C8B&quot;/&gt;&lt;wsp:rsid wsp:val=&quot;00EC2080&quot;/&gt;&lt;wsp:rsid wsp:val=&quot;00EC209C&quot;/&gt;&lt;wsp:rsid wsp:val=&quot;00EC20D6&quot;/&gt;&lt;wsp:rsid wsp:val=&quot;00EC226E&quot;/&gt;&lt;wsp:rsid wsp:val=&quot;00EC2273&quot;/&gt;&lt;wsp:rsid wsp:val=&quot;00EC24D4&quot;/&gt;&lt;wsp:rsid wsp:val=&quot;00EC254D&quot;/&gt;&lt;wsp:rsid wsp:val=&quot;00EC25D1&quot;/&gt;&lt;wsp:rsid wsp:val=&quot;00EC26F3&quot;/&gt;&lt;wsp:rsid wsp:val=&quot;00EC28C1&quot;/&gt;&lt;wsp:rsid wsp:val=&quot;00EC2B08&quot;/&gt;&lt;wsp:rsid wsp:val=&quot;00EC2B9B&quot;/&gt;&lt;wsp:rsid wsp:val=&quot;00EC2D59&quot;/&gt;&lt;wsp:rsid wsp:val=&quot;00EC2FC8&quot;/&gt;&lt;wsp:rsid wsp:val=&quot;00EC2FF7&quot;/&gt;&lt;wsp:rsid wsp:val=&quot;00EC35E1&quot;/&gt;&lt;wsp:rsid wsp:val=&quot;00EC3CA8&quot;/&gt;&lt;wsp:rsid wsp:val=&quot;00EC3CC4&quot;/&gt;&lt;wsp:rsid wsp:val=&quot;00EC3EC4&quot;/&gt;&lt;wsp:rsid wsp:val=&quot;00EC41DD&quot;/&gt;&lt;wsp:rsid wsp:val=&quot;00EC4332&quot;/&gt;&lt;wsp:rsid wsp:val=&quot;00EC43A5&quot;/&gt;&lt;wsp:rsid wsp:val=&quot;00EC43C6&quot;/&gt;&lt;wsp:rsid wsp:val=&quot;00EC453F&quot;/&gt;&lt;wsp:rsid wsp:val=&quot;00EC4945&quot;/&gt;&lt;wsp:rsid wsp:val=&quot;00EC4BB0&quot;/&gt;&lt;wsp:rsid wsp:val=&quot;00EC4C52&quot;/&gt;&lt;wsp:rsid wsp:val=&quot;00EC4D27&quot;/&gt;&lt;wsp:rsid wsp:val=&quot;00EC4F43&quot;/&gt;&lt;wsp:rsid wsp:val=&quot;00EC5044&quot;/&gt;&lt;wsp:rsid wsp:val=&quot;00EC5293&quot;/&gt;&lt;wsp:rsid wsp:val=&quot;00EC52D4&quot;/&gt;&lt;wsp:rsid wsp:val=&quot;00EC53D6&quot;/&gt;&lt;wsp:rsid wsp:val=&quot;00EC5570&quot;/&gt;&lt;wsp:rsid wsp:val=&quot;00EC5578&quot;/&gt;&lt;wsp:rsid wsp:val=&quot;00EC56B2&quot;/&gt;&lt;wsp:rsid wsp:val=&quot;00EC61BB&quot;/&gt;&lt;wsp:rsid wsp:val=&quot;00EC63AA&quot;/&gt;&lt;wsp:rsid wsp:val=&quot;00EC6858&quot;/&gt;&lt;wsp:rsid wsp:val=&quot;00EC7E56&quot;/&gt;&lt;wsp:rsid wsp:val=&quot;00ED047E&quot;/&gt;&lt;wsp:rsid wsp:val=&quot;00ED0561&quot;/&gt;&lt;wsp:rsid wsp:val=&quot;00ED0BA1&quot;/&gt;&lt;wsp:rsid wsp:val=&quot;00ED0BD8&quot;/&gt;&lt;wsp:rsid wsp:val=&quot;00ED1468&quot;/&gt;&lt;wsp:rsid wsp:val=&quot;00ED166F&quot;/&gt;&lt;wsp:rsid wsp:val=&quot;00ED17B3&quot;/&gt;&lt;wsp:rsid wsp:val=&quot;00ED1C2A&quot;/&gt;&lt;wsp:rsid wsp:val=&quot;00ED21DA&quot;/&gt;&lt;wsp:rsid wsp:val=&quot;00ED2269&quot;/&gt;&lt;wsp:rsid wsp:val=&quot;00ED2590&quot;/&gt;&lt;wsp:rsid wsp:val=&quot;00ED2734&quot;/&gt;&lt;wsp:rsid wsp:val=&quot;00ED2921&quot;/&gt;&lt;wsp:rsid wsp:val=&quot;00ED3167&quot;/&gt;&lt;wsp:rsid wsp:val=&quot;00ED35D4&quot;/&gt;&lt;wsp:rsid wsp:val=&quot;00ED3625&quot;/&gt;&lt;wsp:rsid wsp:val=&quot;00ED3641&quot;/&gt;&lt;wsp:rsid wsp:val=&quot;00ED3669&quot;/&gt;&lt;wsp:rsid wsp:val=&quot;00ED3815&quot;/&gt;&lt;wsp:rsid wsp:val=&quot;00ED3855&quot;/&gt;&lt;wsp:rsid wsp:val=&quot;00ED3DD5&quot;/&gt;&lt;wsp:rsid wsp:val=&quot;00ED4170&quot;/&gt;&lt;wsp:rsid wsp:val=&quot;00ED4A85&quot;/&gt;&lt;wsp:rsid wsp:val=&quot;00ED4C0F&quot;/&gt;&lt;wsp:rsid wsp:val=&quot;00ED4DF4&quot;/&gt;&lt;wsp:rsid wsp:val=&quot;00ED51D0&quot;/&gt;&lt;wsp:rsid wsp:val=&quot;00ED52CD&quot;/&gt;&lt;wsp:rsid wsp:val=&quot;00ED6325&quot;/&gt;&lt;wsp:rsid wsp:val=&quot;00ED6DD9&quot;/&gt;&lt;wsp:rsid wsp:val=&quot;00ED6DFA&quot;/&gt;&lt;wsp:rsid wsp:val=&quot;00ED7202&quot;/&gt;&lt;wsp:rsid wsp:val=&quot;00ED7278&quot;/&gt;&lt;wsp:rsid wsp:val=&quot;00ED77C7&quot;/&gt;&lt;wsp:rsid wsp:val=&quot;00ED79A5&quot;/&gt;&lt;wsp:rsid wsp:val=&quot;00ED79B9&quot;/&gt;&lt;wsp:rsid wsp:val=&quot;00ED7CE8&quot;/&gt;&lt;wsp:rsid wsp:val=&quot;00EE0012&quot;/&gt;&lt;wsp:rsid wsp:val=&quot;00EE0289&quot;/&gt;&lt;wsp:rsid wsp:val=&quot;00EE0771&quot;/&gt;&lt;wsp:rsid wsp:val=&quot;00EE0B99&quot;/&gt;&lt;wsp:rsid wsp:val=&quot;00EE1305&quot;/&gt;&lt;wsp:rsid wsp:val=&quot;00EE1534&quot;/&gt;&lt;wsp:rsid wsp:val=&quot;00EE170F&quot;/&gt;&lt;wsp:rsid wsp:val=&quot;00EE22B5&quot;/&gt;&lt;wsp:rsid wsp:val=&quot;00EE2F95&quot;/&gt;&lt;wsp:rsid wsp:val=&quot;00EE42B5&quot;/&gt;&lt;wsp:rsid wsp:val=&quot;00EE4B84&quot;/&gt;&lt;wsp:rsid wsp:val=&quot;00EE5377&quot;/&gt;&lt;wsp:rsid wsp:val=&quot;00EE54C8&quot;/&gt;&lt;wsp:rsid wsp:val=&quot;00EE560E&quot;/&gt;&lt;wsp:rsid wsp:val=&quot;00EE57F7&quot;/&gt;&lt;wsp:rsid wsp:val=&quot;00EE5ADB&quot;/&gt;&lt;wsp:rsid wsp:val=&quot;00EE5B70&quot;/&gt;&lt;wsp:rsid wsp:val=&quot;00EE5CA9&quot;/&gt;&lt;wsp:rsid wsp:val=&quot;00EE5D08&quot;/&gt;&lt;wsp:rsid wsp:val=&quot;00EE5E7A&quot;/&gt;&lt;wsp:rsid wsp:val=&quot;00EE6247&quot;/&gt;&lt;wsp:rsid wsp:val=&quot;00EE66E8&quot;/&gt;&lt;wsp:rsid wsp:val=&quot;00EE6794&quot;/&gt;&lt;wsp:rsid wsp:val=&quot;00EE6F09&quot;/&gt;&lt;wsp:rsid wsp:val=&quot;00EE703F&quot;/&gt;&lt;wsp:rsid wsp:val=&quot;00EE769A&quot;/&gt;&lt;wsp:rsid wsp:val=&quot;00EE7A07&quot;/&gt;&lt;wsp:rsid wsp:val=&quot;00EE7A8A&quot;/&gt;&lt;wsp:rsid wsp:val=&quot;00EE7B58&quot;/&gt;&lt;wsp:rsid wsp:val=&quot;00EE7C58&quot;/&gt;&lt;wsp:rsid wsp:val=&quot;00EE7D33&quot;/&gt;&lt;wsp:rsid wsp:val=&quot;00EF009B&quot;/&gt;&lt;wsp:rsid wsp:val=&quot;00EF05CB&quot;/&gt;&lt;wsp:rsid wsp:val=&quot;00EF0A27&quot;/&gt;&lt;wsp:rsid wsp:val=&quot;00EF0C5F&quot;/&gt;&lt;wsp:rsid wsp:val=&quot;00EF12B0&quot;/&gt;&lt;wsp:rsid wsp:val=&quot;00EF1519&quot;/&gt;&lt;wsp:rsid wsp:val=&quot;00EF1B12&quot;/&gt;&lt;wsp:rsid wsp:val=&quot;00EF22E0&quot;/&gt;&lt;wsp:rsid wsp:val=&quot;00EF2300&quot;/&gt;&lt;wsp:rsid wsp:val=&quot;00EF234D&quot;/&gt;&lt;wsp:rsid wsp:val=&quot;00EF2557&quot;/&gt;&lt;wsp:rsid wsp:val=&quot;00EF2C3F&quot;/&gt;&lt;wsp:rsid wsp:val=&quot;00EF30CB&quot;/&gt;&lt;wsp:rsid wsp:val=&quot;00EF3151&quot;/&gt;&lt;wsp:rsid wsp:val=&quot;00EF3173&quot;/&gt;&lt;wsp:rsid wsp:val=&quot;00EF331D&quot;/&gt;&lt;wsp:rsid wsp:val=&quot;00EF3355&quot;/&gt;&lt;wsp:rsid wsp:val=&quot;00EF3521&quot;/&gt;&lt;wsp:rsid wsp:val=&quot;00EF3AD9&quot;/&gt;&lt;wsp:rsid wsp:val=&quot;00EF3CC0&quot;/&gt;&lt;wsp:rsid wsp:val=&quot;00EF3D69&quot;/&gt;&lt;wsp:rsid wsp:val=&quot;00EF3E7F&quot;/&gt;&lt;wsp:rsid wsp:val=&quot;00EF3EE3&quot;/&gt;&lt;wsp:rsid wsp:val=&quot;00EF40AE&quot;/&gt;&lt;wsp:rsid wsp:val=&quot;00EF4228&quot;/&gt;&lt;wsp:rsid wsp:val=&quot;00EF4415&quot;/&gt;&lt;wsp:rsid wsp:val=&quot;00EF4AD3&quot;/&gt;&lt;wsp:rsid wsp:val=&quot;00EF4C3A&quot;/&gt;&lt;wsp:rsid wsp:val=&quot;00EF5180&quot;/&gt;&lt;wsp:rsid wsp:val=&quot;00EF5299&quot;/&gt;&lt;wsp:rsid wsp:val=&quot;00EF541D&quot;/&gt;&lt;wsp:rsid wsp:val=&quot;00EF5422&quot;/&gt;&lt;wsp:rsid wsp:val=&quot;00EF55FC&quot;/&gt;&lt;wsp:rsid wsp:val=&quot;00EF5804&quot;/&gt;&lt;wsp:rsid wsp:val=&quot;00EF59F0&quot;/&gt;&lt;wsp:rsid wsp:val=&quot;00EF5ECB&quot;/&gt;&lt;wsp:rsid wsp:val=&quot;00EF60E3&quot;/&gt;&lt;wsp:rsid wsp:val=&quot;00EF65E7&quot;/&gt;&lt;wsp:rsid wsp:val=&quot;00EF673E&quot;/&gt;&lt;wsp:rsid wsp:val=&quot;00EF678C&quot;/&gt;&lt;wsp:rsid wsp:val=&quot;00EF6B9A&quot;/&gt;&lt;wsp:rsid wsp:val=&quot;00EF70AF&quot;/&gt;&lt;wsp:rsid wsp:val=&quot;00EF7734&quot;/&gt;&lt;wsp:rsid wsp:val=&quot;00EF7A85&quot;/&gt;&lt;wsp:rsid wsp:val=&quot;00EF7DA7&quot;/&gt;&lt;wsp:rsid wsp:val=&quot;00EF7F6D&quot;/&gt;&lt;wsp:rsid wsp:val=&quot;00F0035F&quot;/&gt;&lt;wsp:rsid wsp:val=&quot;00F004A9&quot;/&gt;&lt;wsp:rsid wsp:val=&quot;00F0088E&quot;/&gt;&lt;wsp:rsid wsp:val=&quot;00F00996&quot;/&gt;&lt;wsp:rsid wsp:val=&quot;00F00F21&quot;/&gt;&lt;wsp:rsid wsp:val=&quot;00F0144B&quot;/&gt;&lt;wsp:rsid wsp:val=&quot;00F01C83&quot;/&gt;&lt;wsp:rsid wsp:val=&quot;00F01DFC&quot;/&gt;&lt;wsp:rsid wsp:val=&quot;00F01FD5&quot;/&gt;&lt;wsp:rsid wsp:val=&quot;00F02358&quot;/&gt;&lt;wsp:rsid wsp:val=&quot;00F02432&quot;/&gt;&lt;wsp:rsid wsp:val=&quot;00F02483&quot;/&gt;&lt;wsp:rsid wsp:val=&quot;00F025F2&quot;/&gt;&lt;wsp:rsid wsp:val=&quot;00F026D8&quot;/&gt;&lt;wsp:rsid wsp:val=&quot;00F02774&quot;/&gt;&lt;wsp:rsid wsp:val=&quot;00F027A9&quot;/&gt;&lt;wsp:rsid wsp:val=&quot;00F0286E&quot;/&gt;&lt;wsp:rsid wsp:val=&quot;00F02B1B&quot;/&gt;&lt;wsp:rsid wsp:val=&quot;00F02DD4&quot;/&gt;&lt;wsp:rsid wsp:val=&quot;00F02DEE&quot;/&gt;&lt;wsp:rsid wsp:val=&quot;00F0359C&quot;/&gt;&lt;wsp:rsid wsp:val=&quot;00F03916&quot;/&gt;&lt;wsp:rsid wsp:val=&quot;00F03B59&quot;/&gt;&lt;wsp:rsid wsp:val=&quot;00F045D3&quot;/&gt;&lt;wsp:rsid wsp:val=&quot;00F049A0&quot;/&gt;&lt;wsp:rsid wsp:val=&quot;00F04A75&quot;/&gt;&lt;wsp:rsid wsp:val=&quot;00F04BDD&quot;/&gt;&lt;wsp:rsid wsp:val=&quot;00F04E08&quot;/&gt;&lt;wsp:rsid wsp:val=&quot;00F054BD&quot;/&gt;&lt;wsp:rsid wsp:val=&quot;00F057FE&quot;/&gt;&lt;wsp:rsid wsp:val=&quot;00F05D3A&quot;/&gt;&lt;wsp:rsid wsp:val=&quot;00F05E2B&quot;/&gt;&lt;wsp:rsid wsp:val=&quot;00F06E64&quot;/&gt;&lt;wsp:rsid wsp:val=&quot;00F0727B&quot;/&gt;&lt;wsp:rsid wsp:val=&quot;00F074A9&quot;/&gt;&lt;wsp:rsid wsp:val=&quot;00F0755B&quot;/&gt;&lt;wsp:rsid wsp:val=&quot;00F07834&quot;/&gt;&lt;wsp:rsid wsp:val=&quot;00F07C3E&quot;/&gt;&lt;wsp:rsid wsp:val=&quot;00F07F57&quot;/&gt;&lt;wsp:rsid wsp:val=&quot;00F10726&quot;/&gt;&lt;wsp:rsid wsp:val=&quot;00F109A9&quot;/&gt;&lt;wsp:rsid wsp:val=&quot;00F11004&quot;/&gt;&lt;wsp:rsid wsp:val=&quot;00F1123F&quot;/&gt;&lt;wsp:rsid wsp:val=&quot;00F11260&quot;/&gt;&lt;wsp:rsid wsp:val=&quot;00F1126B&quot;/&gt;&lt;wsp:rsid wsp:val=&quot;00F11280&quot;/&gt;&lt;wsp:rsid wsp:val=&quot;00F11782&quot;/&gt;&lt;wsp:rsid wsp:val=&quot;00F11AA8&quot;/&gt;&lt;wsp:rsid wsp:val=&quot;00F11F8D&quot;/&gt;&lt;wsp:rsid wsp:val=&quot;00F12000&quot;/&gt;&lt;wsp:rsid wsp:val=&quot;00F1226F&quot;/&gt;&lt;wsp:rsid wsp:val=&quot;00F1245B&quot;/&gt;&lt;wsp:rsid wsp:val=&quot;00F12540&quot;/&gt;&lt;wsp:rsid wsp:val=&quot;00F1290E&quot;/&gt;&lt;wsp:rsid wsp:val=&quot;00F12BF6&quot;/&gt;&lt;wsp:rsid wsp:val=&quot;00F12F98&quot;/&gt;&lt;wsp:rsid wsp:val=&quot;00F13075&quot;/&gt;&lt;wsp:rsid wsp:val=&quot;00F132A2&quot;/&gt;&lt;wsp:rsid wsp:val=&quot;00F134AF&quot;/&gt;&lt;wsp:rsid wsp:val=&quot;00F13608&quot;/&gt;&lt;wsp:rsid wsp:val=&quot;00F13713&quot;/&gt;&lt;wsp:rsid wsp:val=&quot;00F13AB4&quot;/&gt;&lt;wsp:rsid wsp:val=&quot;00F13C47&quot;/&gt;&lt;wsp:rsid wsp:val=&quot;00F13DB9&quot;/&gt;&lt;wsp:rsid wsp:val=&quot;00F1491B&quot;/&gt;&lt;wsp:rsid wsp:val=&quot;00F14BE6&quot;/&gt;&lt;wsp:rsid wsp:val=&quot;00F153D9&quot;/&gt;&lt;wsp:rsid wsp:val=&quot;00F1544B&quot;/&gt;&lt;wsp:rsid wsp:val=&quot;00F15C05&quot;/&gt;&lt;wsp:rsid wsp:val=&quot;00F15C95&quot;/&gt;&lt;wsp:rsid wsp:val=&quot;00F15D94&quot;/&gt;&lt;wsp:rsid wsp:val=&quot;00F162B0&quot;/&gt;&lt;wsp:rsid wsp:val=&quot;00F16509&quot;/&gt;&lt;wsp:rsid wsp:val=&quot;00F165E8&quot;/&gt;&lt;wsp:rsid wsp:val=&quot;00F16982&quot;/&gt;&lt;wsp:rsid wsp:val=&quot;00F16BBE&quot;/&gt;&lt;wsp:rsid wsp:val=&quot;00F16BE5&quot;/&gt;&lt;wsp:rsid wsp:val=&quot;00F16E3B&quot;/&gt;&lt;wsp:rsid wsp:val=&quot;00F16EBC&quot;/&gt;&lt;wsp:rsid wsp:val=&quot;00F171E9&quot;/&gt;&lt;wsp:rsid wsp:val=&quot;00F17511&quot;/&gt;&lt;wsp:rsid wsp:val=&quot;00F17CED&quot;/&gt;&lt;wsp:rsid wsp:val=&quot;00F20399&quot;/&gt;&lt;wsp:rsid wsp:val=&quot;00F20586&quot;/&gt;&lt;wsp:rsid wsp:val=&quot;00F2069C&quot;/&gt;&lt;wsp:rsid wsp:val=&quot;00F20991&quot;/&gt;&lt;wsp:rsid wsp:val=&quot;00F209DC&quot;/&gt;&lt;wsp:rsid wsp:val=&quot;00F20B5D&quot;/&gt;&lt;wsp:rsid wsp:val=&quot;00F2119F&quot;/&gt;&lt;wsp:rsid wsp:val=&quot;00F214C8&quot;/&gt;&lt;wsp:rsid wsp:val=&quot;00F217BB&quot;/&gt;&lt;wsp:rsid wsp:val=&quot;00F21BB3&quot;/&gt;&lt;wsp:rsid wsp:val=&quot;00F220BD&quot;/&gt;&lt;wsp:rsid wsp:val=&quot;00F22245&quot;/&gt;&lt;wsp:rsid wsp:val=&quot;00F22432&quot;/&gt;&lt;wsp:rsid wsp:val=&quot;00F22D42&quot;/&gt;&lt;wsp:rsid wsp:val=&quot;00F22D63&quot;/&gt;&lt;wsp:rsid wsp:val=&quot;00F23926&quot;/&gt;&lt;wsp:rsid wsp:val=&quot;00F23988&quot;/&gt;&lt;wsp:rsid wsp:val=&quot;00F239DB&quot;/&gt;&lt;wsp:rsid wsp:val=&quot;00F248B6&quot;/&gt;&lt;wsp:rsid wsp:val=&quot;00F25BA1&quot;/&gt;&lt;wsp:rsid wsp:val=&quot;00F25F4F&quot;/&gt;&lt;wsp:rsid wsp:val=&quot;00F25F66&quot;/&gt;&lt;wsp:rsid wsp:val=&quot;00F26186&quot;/&gt;&lt;wsp:rsid wsp:val=&quot;00F26946&quot;/&gt;&lt;wsp:rsid wsp:val=&quot;00F2697D&quot;/&gt;&lt;wsp:rsid wsp:val=&quot;00F26E0B&quot;/&gt;&lt;wsp:rsid wsp:val=&quot;00F26FC9&quot;/&gt;&lt;wsp:rsid wsp:val=&quot;00F270EB&quot;/&gt;&lt;wsp:rsid wsp:val=&quot;00F276A7&quot;/&gt;&lt;wsp:rsid wsp:val=&quot;00F27FFC&quot;/&gt;&lt;wsp:rsid wsp:val=&quot;00F306BB&quot;/&gt;&lt;wsp:rsid wsp:val=&quot;00F30864&quot;/&gt;&lt;wsp:rsid wsp:val=&quot;00F30DB2&quot;/&gt;&lt;wsp:rsid wsp:val=&quot;00F30E0A&quot;/&gt;&lt;wsp:rsid wsp:val=&quot;00F30E1F&quot;/&gt;&lt;wsp:rsid wsp:val=&quot;00F30E53&quot;/&gt;&lt;wsp:rsid wsp:val=&quot;00F30ECA&quot;/&gt;&lt;wsp:rsid wsp:val=&quot;00F30F2F&quot;/&gt;&lt;wsp:rsid wsp:val=&quot;00F3114F&quot;/&gt;&lt;wsp:rsid wsp:val=&quot;00F31374&quot;/&gt;&lt;wsp:rsid wsp:val=&quot;00F31531&quot;/&gt;&lt;wsp:rsid wsp:val=&quot;00F315FD&quot;/&gt;&lt;wsp:rsid wsp:val=&quot;00F32CC9&quot;/&gt;&lt;wsp:rsid wsp:val=&quot;00F32D06&quot;/&gt;&lt;wsp:rsid wsp:val=&quot;00F32F61&quot;/&gt;&lt;wsp:rsid wsp:val=&quot;00F3306C&quot;/&gt;&lt;wsp:rsid wsp:val=&quot;00F330A7&quot;/&gt;&lt;wsp:rsid wsp:val=&quot;00F332C8&quot;/&gt;&lt;wsp:rsid wsp:val=&quot;00F334E2&quot;/&gt;&lt;wsp:rsid wsp:val=&quot;00F33D91&quot;/&gt;&lt;wsp:rsid wsp:val=&quot;00F3452C&quot;/&gt;&lt;wsp:rsid wsp:val=&quot;00F34EFB&quot;/&gt;&lt;wsp:rsid wsp:val=&quot;00F34F7B&quot;/&gt;&lt;wsp:rsid wsp:val=&quot;00F3510B&quot;/&gt;&lt;wsp:rsid wsp:val=&quot;00F35798&quot;/&gt;&lt;wsp:rsid wsp:val=&quot;00F36084&quot;/&gt;&lt;wsp:rsid wsp:val=&quot;00F36644&quot;/&gt;&lt;wsp:rsid wsp:val=&quot;00F3720A&quot;/&gt;&lt;wsp:rsid wsp:val=&quot;00F3737B&quot;/&gt;&lt;wsp:rsid wsp:val=&quot;00F3746E&quot;/&gt;&lt;wsp:rsid wsp:val=&quot;00F378D0&quot;/&gt;&lt;wsp:rsid wsp:val=&quot;00F4014F&quot;/&gt;&lt;wsp:rsid wsp:val=&quot;00F40169&quot;/&gt;&lt;wsp:rsid wsp:val=&quot;00F40E08&quot;/&gt;&lt;wsp:rsid wsp:val=&quot;00F40E6C&quot;/&gt;&lt;wsp:rsid wsp:val=&quot;00F41130&quot;/&gt;&lt;wsp:rsid wsp:val=&quot;00F41547&quot;/&gt;&lt;wsp:rsid wsp:val=&quot;00F41755&quot;/&gt;&lt;wsp:rsid wsp:val=&quot;00F41C49&quot;/&gt;&lt;wsp:rsid wsp:val=&quot;00F42189&quot;/&gt;&lt;wsp:rsid wsp:val=&quot;00F4257D&quot;/&gt;&lt;wsp:rsid wsp:val=&quot;00F425C6&quot;/&gt;&lt;wsp:rsid wsp:val=&quot;00F42938&quot;/&gt;&lt;wsp:rsid wsp:val=&quot;00F429A0&quot;/&gt;&lt;wsp:rsid wsp:val=&quot;00F42A33&quot;/&gt;&lt;wsp:rsid wsp:val=&quot;00F42D66&quot;/&gt;&lt;wsp:rsid wsp:val=&quot;00F4309F&quot;/&gt;&lt;wsp:rsid wsp:val=&quot;00F43281&quot;/&gt;&lt;wsp:rsid wsp:val=&quot;00F4349A&quot;/&gt;&lt;wsp:rsid wsp:val=&quot;00F435B7&quot;/&gt;&lt;wsp:rsid wsp:val=&quot;00F43749&quot;/&gt;&lt;wsp:rsid wsp:val=&quot;00F43B29&quot;/&gt;&lt;wsp:rsid wsp:val=&quot;00F44116&quot;/&gt;&lt;wsp:rsid wsp:val=&quot;00F4420F&quot;/&gt;&lt;wsp:rsid wsp:val=&quot;00F44464&quot;/&gt;&lt;wsp:rsid wsp:val=&quot;00F45A2D&quot;/&gt;&lt;wsp:rsid wsp:val=&quot;00F45B5C&quot;/&gt;&lt;wsp:rsid wsp:val=&quot;00F45E2F&quot;/&gt;&lt;wsp:rsid wsp:val=&quot;00F4666B&quot;/&gt;&lt;wsp:rsid wsp:val=&quot;00F468B3&quot;/&gt;&lt;wsp:rsid wsp:val=&quot;00F46947&quot;/&gt;&lt;wsp:rsid wsp:val=&quot;00F46BBC&quot;/&gt;&lt;wsp:rsid wsp:val=&quot;00F47164&quot;/&gt;&lt;wsp:rsid wsp:val=&quot;00F47605&quot;/&gt;&lt;wsp:rsid wsp:val=&quot;00F4791C&quot;/&gt;&lt;wsp:rsid wsp:val=&quot;00F50B49&quot;/&gt;&lt;wsp:rsid wsp:val=&quot;00F50BFE&quot;/&gt;&lt;wsp:rsid wsp:val=&quot;00F50CB7&quot;/&gt;&lt;wsp:rsid wsp:val=&quot;00F50D52&quot;/&gt;&lt;wsp:rsid wsp:val=&quot;00F50E3D&quot;/&gt;&lt;wsp:rsid wsp:val=&quot;00F510DF&quot;/&gt;&lt;wsp:rsid wsp:val=&quot;00F5130C&quot;/&gt;&lt;wsp:rsid wsp:val=&quot;00F515BE&quot;/&gt;&lt;wsp:rsid wsp:val=&quot;00F51774&quot;/&gt;&lt;wsp:rsid wsp:val=&quot;00F51AE6&quot;/&gt;&lt;wsp:rsid wsp:val=&quot;00F51CB1&quot;/&gt;&lt;wsp:rsid wsp:val=&quot;00F51E79&quot;/&gt;&lt;wsp:rsid wsp:val=&quot;00F51FFA&quot;/&gt;&lt;wsp:rsid wsp:val=&quot;00F52361&quot;/&gt;&lt;wsp:rsid wsp:val=&quot;00F524A7&quot;/&gt;&lt;wsp:rsid wsp:val=&quot;00F533D1&quot;/&gt;&lt;wsp:rsid wsp:val=&quot;00F534D4&quot;/&gt;&lt;wsp:rsid wsp:val=&quot;00F53523&quot;/&gt;&lt;wsp:rsid wsp:val=&quot;00F535F4&quot;/&gt;&lt;wsp:rsid wsp:val=&quot;00F53D3A&quot;/&gt;&lt;wsp:rsid wsp:val=&quot;00F53DD9&quot;/&gt;&lt;wsp:rsid wsp:val=&quot;00F54446&quot;/&gt;&lt;wsp:rsid wsp:val=&quot;00F5463A&quot;/&gt;&lt;wsp:rsid wsp:val=&quot;00F549C9&quot;/&gt;&lt;wsp:rsid wsp:val=&quot;00F54D7E&quot;/&gt;&lt;wsp:rsid wsp:val=&quot;00F54EF2&quot;/&gt;&lt;wsp:rsid wsp:val=&quot;00F553A0&quot;/&gt;&lt;wsp:rsid wsp:val=&quot;00F553F3&quot;/&gt;&lt;wsp:rsid wsp:val=&quot;00F55717&quot;/&gt;&lt;wsp:rsid wsp:val=&quot;00F557A0&quot;/&gt;&lt;wsp:rsid wsp:val=&quot;00F55827&quot;/&gt;&lt;wsp:rsid wsp:val=&quot;00F559F1&quot;/&gt;&lt;wsp:rsid wsp:val=&quot;00F55C4B&quot;/&gt;&lt;wsp:rsid wsp:val=&quot;00F56030&quot;/&gt;&lt;wsp:rsid wsp:val=&quot;00F56198&quot;/&gt;&lt;wsp:rsid wsp:val=&quot;00F56346&quot;/&gt;&lt;wsp:rsid wsp:val=&quot;00F56A8D&quot;/&gt;&lt;wsp:rsid wsp:val=&quot;00F56D1D&quot;/&gt;&lt;wsp:rsid wsp:val=&quot;00F56D8D&quot;/&gt;&lt;wsp:rsid wsp:val=&quot;00F56F57&quot;/&gt;&lt;wsp:rsid wsp:val=&quot;00F57A19&quot;/&gt;&lt;wsp:rsid wsp:val=&quot;00F57AD3&quot;/&gt;&lt;wsp:rsid wsp:val=&quot;00F57DBF&quot;/&gt;&lt;wsp:rsid wsp:val=&quot;00F60254&quot;/&gt;&lt;wsp:rsid wsp:val=&quot;00F60780&quot;/&gt;&lt;wsp:rsid wsp:val=&quot;00F610E2&quot;/&gt;&lt;wsp:rsid wsp:val=&quot;00F611C7&quot;/&gt;&lt;wsp:rsid wsp:val=&quot;00F61226&quot;/&gt;&lt;wsp:rsid wsp:val=&quot;00F614D7&quot;/&gt;&lt;wsp:rsid wsp:val=&quot;00F61649&quot;/&gt;&lt;wsp:rsid wsp:val=&quot;00F6170F&quot;/&gt;&lt;wsp:rsid wsp:val=&quot;00F61B5A&quot;/&gt;&lt;wsp:rsid wsp:val=&quot;00F61EF1&quot;/&gt;&lt;wsp:rsid wsp:val=&quot;00F6263C&quot;/&gt;&lt;wsp:rsid wsp:val=&quot;00F62D8E&quot;/&gt;&lt;wsp:rsid wsp:val=&quot;00F6324B&quot;/&gt;&lt;wsp:rsid wsp:val=&quot;00F632CF&quot;/&gt;&lt;wsp:rsid wsp:val=&quot;00F633DF&quot;/&gt;&lt;wsp:rsid wsp:val=&quot;00F635EB&quot;/&gt;&lt;wsp:rsid wsp:val=&quot;00F636D8&quot;/&gt;&lt;wsp:rsid wsp:val=&quot;00F63B09&quot;/&gt;&lt;wsp:rsid wsp:val=&quot;00F63CD5&quot;/&gt;&lt;wsp:rsid wsp:val=&quot;00F63D5A&quot;/&gt;&lt;wsp:rsid wsp:val=&quot;00F63D6F&quot;/&gt;&lt;wsp:rsid wsp:val=&quot;00F63EE9&quot;/&gt;&lt;wsp:rsid wsp:val=&quot;00F64154&quot;/&gt;&lt;wsp:rsid wsp:val=&quot;00F64265&quot;/&gt;&lt;wsp:rsid wsp:val=&quot;00F64337&quot;/&gt;&lt;wsp:rsid wsp:val=&quot;00F64483&quot;/&gt;&lt;wsp:rsid wsp:val=&quot;00F6553F&quot;/&gt;&lt;wsp:rsid wsp:val=&quot;00F6560A&quot;/&gt;&lt;wsp:rsid wsp:val=&quot;00F65768&quot;/&gt;&lt;wsp:rsid wsp:val=&quot;00F65908&quot;/&gt;&lt;wsp:rsid wsp:val=&quot;00F65A7E&quot;/&gt;&lt;wsp:rsid wsp:val=&quot;00F66318&quot;/&gt;&lt;wsp:rsid wsp:val=&quot;00F66610&quot;/&gt;&lt;wsp:rsid wsp:val=&quot;00F66707&quot;/&gt;&lt;wsp:rsid wsp:val=&quot;00F66708&quot;/&gt;&lt;wsp:rsid wsp:val=&quot;00F66F00&quot;/&gt;&lt;wsp:rsid wsp:val=&quot;00F66FAB&quot;/&gt;&lt;wsp:rsid wsp:val=&quot;00F67415&quot;/&gt;&lt;wsp:rsid wsp:val=&quot;00F6753F&quot;/&gt;&lt;wsp:rsid wsp:val=&quot;00F67AC2&quot;/&gt;&lt;wsp:rsid wsp:val=&quot;00F67CB4&quot;/&gt;&lt;wsp:rsid wsp:val=&quot;00F67CEB&quot;/&gt;&lt;wsp:rsid wsp:val=&quot;00F67D22&quot;/&gt;&lt;wsp:rsid wsp:val=&quot;00F67FFB&quot;/&gt;&lt;wsp:rsid wsp:val=&quot;00F70430&quot;/&gt;&lt;wsp:rsid wsp:val=&quot;00F706B8&quot;/&gt;&lt;wsp:rsid wsp:val=&quot;00F7081B&quot;/&gt;&lt;wsp:rsid wsp:val=&quot;00F70F04&quot;/&gt;&lt;wsp:rsid wsp:val=&quot;00F710CE&quot;/&gt;&lt;wsp:rsid wsp:val=&quot;00F71249&quot;/&gt;&lt;wsp:rsid wsp:val=&quot;00F715F9&quot;/&gt;&lt;wsp:rsid wsp:val=&quot;00F71C31&quot;/&gt;&lt;wsp:rsid wsp:val=&quot;00F71D0F&quot;/&gt;&lt;wsp:rsid wsp:val=&quot;00F7207F&quot;/&gt;&lt;wsp:rsid wsp:val=&quot;00F72142&quot;/&gt;&lt;wsp:rsid wsp:val=&quot;00F72156&quot;/&gt;&lt;wsp:rsid wsp:val=&quot;00F72FB8&quot;/&gt;&lt;wsp:rsid wsp:val=&quot;00F73302&quot;/&gt;&lt;wsp:rsid wsp:val=&quot;00F7366E&quot;/&gt;&lt;wsp:rsid wsp:val=&quot;00F738C0&quot;/&gt;&lt;wsp:rsid wsp:val=&quot;00F74BDB&quot;/&gt;&lt;wsp:rsid wsp:val=&quot;00F74DA1&quot;/&gt;&lt;wsp:rsid wsp:val=&quot;00F74FBC&quot;/&gt;&lt;wsp:rsid wsp:val=&quot;00F75343&quot;/&gt;&lt;wsp:rsid wsp:val=&quot;00F75733&quot;/&gt;&lt;wsp:rsid wsp:val=&quot;00F75983&quot;/&gt;&lt;wsp:rsid wsp:val=&quot;00F75995&quot;/&gt;&lt;wsp:rsid wsp:val=&quot;00F75B2C&quot;/&gt;&lt;wsp:rsid wsp:val=&quot;00F75E73&quot;/&gt;&lt;wsp:rsid wsp:val=&quot;00F75F1C&quot;/&gt;&lt;wsp:rsid wsp:val=&quot;00F76507&quot;/&gt;&lt;wsp:rsid wsp:val=&quot;00F76DE0&quot;/&gt;&lt;wsp:rsid wsp:val=&quot;00F772CB&quot;/&gt;&lt;wsp:rsid wsp:val=&quot;00F77526&quot;/&gt;&lt;wsp:rsid wsp:val=&quot;00F77867&quot;/&gt;&lt;wsp:rsid wsp:val=&quot;00F77A01&quot;/&gt;&lt;wsp:rsid wsp:val=&quot;00F77D4D&quot;/&gt;&lt;wsp:rsid wsp:val=&quot;00F80059&quot;/&gt;&lt;wsp:rsid wsp:val=&quot;00F800B6&quot;/&gt;&lt;wsp:rsid wsp:val=&quot;00F8013D&quot;/&gt;&lt;wsp:rsid wsp:val=&quot;00F8064C&quot;/&gt;&lt;wsp:rsid wsp:val=&quot;00F8097E&quot;/&gt;&lt;wsp:rsid wsp:val=&quot;00F80FD7&quot;/&gt;&lt;wsp:rsid wsp:val=&quot;00F815EB&quot;/&gt;&lt;wsp:rsid wsp:val=&quot;00F81FFE&quot;/&gt;&lt;wsp:rsid wsp:val=&quot;00F8227B&quot;/&gt;&lt;wsp:rsid wsp:val=&quot;00F82E2E&quot;/&gt;&lt;wsp:rsid wsp:val=&quot;00F830B3&quot;/&gt;&lt;wsp:rsid wsp:val=&quot;00F831CE&quot;/&gt;&lt;wsp:rsid wsp:val=&quot;00F83617&quot;/&gt;&lt;wsp:rsid wsp:val=&quot;00F83C98&quot;/&gt;&lt;wsp:rsid wsp:val=&quot;00F84063&quot;/&gt;&lt;wsp:rsid wsp:val=&quot;00F84147&quot;/&gt;&lt;wsp:rsid wsp:val=&quot;00F843A5&quot;/&gt;&lt;wsp:rsid wsp:val=&quot;00F84777&quot;/&gt;&lt;wsp:rsid wsp:val=&quot;00F84B77&quot;/&gt;&lt;wsp:rsid wsp:val=&quot;00F8559F&quot;/&gt;&lt;wsp:rsid wsp:val=&quot;00F85738&quot;/&gt;&lt;wsp:rsid wsp:val=&quot;00F859C5&quot;/&gt;&lt;wsp:rsid wsp:val=&quot;00F85D84&quot;/&gt;&lt;wsp:rsid wsp:val=&quot;00F85E7A&quot;/&gt;&lt;wsp:rsid wsp:val=&quot;00F8609A&quot;/&gt;&lt;wsp:rsid wsp:val=&quot;00F86338&quot;/&gt;&lt;wsp:rsid wsp:val=&quot;00F8693C&quot;/&gt;&lt;wsp:rsid wsp:val=&quot;00F86FFC&quot;/&gt;&lt;wsp:rsid wsp:val=&quot;00F871F6&quot;/&gt;&lt;wsp:rsid wsp:val=&quot;00F87838&quot;/&gt;&lt;wsp:rsid wsp:val=&quot;00F87867&quot;/&gt;&lt;wsp:rsid wsp:val=&quot;00F8786C&quot;/&gt;&lt;wsp:rsid wsp:val=&quot;00F900C4&quot;/&gt;&lt;wsp:rsid wsp:val=&quot;00F90109&quot;/&gt;&lt;wsp:rsid wsp:val=&quot;00F90192&quot;/&gt;&lt;wsp:rsid wsp:val=&quot;00F90A4C&quot;/&gt;&lt;wsp:rsid wsp:val=&quot;00F90A62&quot;/&gt;&lt;wsp:rsid wsp:val=&quot;00F90DE3&quot;/&gt;&lt;wsp:rsid wsp:val=&quot;00F91036&quot;/&gt;&lt;wsp:rsid wsp:val=&quot;00F915B0&quot;/&gt;&lt;wsp:rsid wsp:val=&quot;00F91F1B&quot;/&gt;&lt;wsp:rsid wsp:val=&quot;00F92253&quot;/&gt;&lt;wsp:rsid wsp:val=&quot;00F92447&quot;/&gt;&lt;wsp:rsid wsp:val=&quot;00F92CC4&quot;/&gt;&lt;wsp:rsid wsp:val=&quot;00F92DAA&quot;/&gt;&lt;wsp:rsid wsp:val=&quot;00F92EE6&quot;/&gt;&lt;wsp:rsid wsp:val=&quot;00F92FDD&quot;/&gt;&lt;wsp:rsid wsp:val=&quot;00F930C4&quot;/&gt;&lt;wsp:rsid wsp:val=&quot;00F932FB&quot;/&gt;&lt;wsp:rsid wsp:val=&quot;00F934B8&quot;/&gt;&lt;wsp:rsid wsp:val=&quot;00F9371D&quot;/&gt;&lt;wsp:rsid wsp:val=&quot;00F938A4&quot;/&gt;&lt;wsp:rsid wsp:val=&quot;00F93A2B&quot;/&gt;&lt;wsp:rsid wsp:val=&quot;00F93A8D&quot;/&gt;&lt;wsp:rsid wsp:val=&quot;00F93B83&quot;/&gt;&lt;wsp:rsid wsp:val=&quot;00F93D94&quot;/&gt;&lt;wsp:rsid wsp:val=&quot;00F93E13&quot;/&gt;&lt;wsp:rsid wsp:val=&quot;00F94910&quot;/&gt;&lt;wsp:rsid wsp:val=&quot;00F94927&quot;/&gt;&lt;wsp:rsid wsp:val=&quot;00F94B0C&quot;/&gt;&lt;wsp:rsid wsp:val=&quot;00F94C0B&quot;/&gt;&lt;wsp:rsid wsp:val=&quot;00F95AEB&quot;/&gt;&lt;wsp:rsid wsp:val=&quot;00F95EAF&quot;/&gt;&lt;wsp:rsid wsp:val=&quot;00F95EE3&quot;/&gt;&lt;wsp:rsid wsp:val=&quot;00F96327&quot;/&gt;&lt;wsp:rsid wsp:val=&quot;00F96387&quot;/&gt;&lt;wsp:rsid wsp:val=&quot;00F96ABC&quot;/&gt;&lt;wsp:rsid wsp:val=&quot;00F96C7A&quot;/&gt;&lt;wsp:rsid wsp:val=&quot;00F97541&quot;/&gt;&lt;wsp:rsid wsp:val=&quot;00F9773A&quot;/&gt;&lt;wsp:rsid wsp:val=&quot;00F97F36&quot;/&gt;&lt;wsp:rsid wsp:val=&quot;00FA00A0&quot;/&gt;&lt;wsp:rsid wsp:val=&quot;00FA01C0&quot;/&gt;&lt;wsp:rsid wsp:val=&quot;00FA033C&quot;/&gt;&lt;wsp:rsid wsp:val=&quot;00FA04BE&quot;/&gt;&lt;wsp:rsid wsp:val=&quot;00FA05F4&quot;/&gt;&lt;wsp:rsid wsp:val=&quot;00FA0C1B&quot;/&gt;&lt;wsp:rsid wsp:val=&quot;00FA1B8C&quot;/&gt;&lt;wsp:rsid wsp:val=&quot;00FA1BC3&quot;/&gt;&lt;wsp:rsid wsp:val=&quot;00FA1DE7&quot;/&gt;&lt;wsp:rsid wsp:val=&quot;00FA2244&quot;/&gt;&lt;wsp:rsid wsp:val=&quot;00FA2540&quot;/&gt;&lt;wsp:rsid wsp:val=&quot;00FA26BE&quot;/&gt;&lt;wsp:rsid wsp:val=&quot;00FA2818&quot;/&gt;&lt;wsp:rsid wsp:val=&quot;00FA2A08&quot;/&gt;&lt;wsp:rsid wsp:val=&quot;00FA2A8E&quot;/&gt;&lt;wsp:rsid wsp:val=&quot;00FA30F6&quot;/&gt;&lt;wsp:rsid wsp:val=&quot;00FA32BD&quot;/&gt;&lt;wsp:rsid wsp:val=&quot;00FA34AC&quot;/&gt;&lt;wsp:rsid wsp:val=&quot;00FA3BCD&quot;/&gt;&lt;wsp:rsid wsp:val=&quot;00FA3F2B&quot;/&gt;&lt;wsp:rsid wsp:val=&quot;00FA41C1&quot;/&gt;&lt;wsp:rsid wsp:val=&quot;00FA4765&quot;/&gt;&lt;wsp:rsid wsp:val=&quot;00FA49C8&quot;/&gt;&lt;wsp:rsid wsp:val=&quot;00FA4FBA&quot;/&gt;&lt;wsp:rsid wsp:val=&quot;00FA504F&quot;/&gt;&lt;wsp:rsid wsp:val=&quot;00FA5CE8&quot;/&gt;&lt;wsp:rsid wsp:val=&quot;00FA60DF&quot;/&gt;&lt;wsp:rsid wsp:val=&quot;00FA67C6&quot;/&gt;&lt;wsp:rsid wsp:val=&quot;00FA6C93&quot;/&gt;&lt;wsp:rsid wsp:val=&quot;00FA764F&quot;/&gt;&lt;wsp:rsid wsp:val=&quot;00FA7B49&quot;/&gt;&lt;wsp:rsid wsp:val=&quot;00FA7FD0&quot;/&gt;&lt;wsp:rsid wsp:val=&quot;00FB00AE&quot;/&gt;&lt;wsp:rsid wsp:val=&quot;00FB045A&quot;/&gt;&lt;wsp:rsid wsp:val=&quot;00FB05A8&quot;/&gt;&lt;wsp:rsid wsp:val=&quot;00FB06EE&quot;/&gt;&lt;wsp:rsid wsp:val=&quot;00FB0D00&quot;/&gt;&lt;wsp:rsid wsp:val=&quot;00FB0F95&quot;/&gt;&lt;wsp:rsid wsp:val=&quot;00FB12DD&quot;/&gt;&lt;wsp:rsid wsp:val=&quot;00FB1C96&quot;/&gt;&lt;wsp:rsid wsp:val=&quot;00FB2222&quot;/&gt;&lt;wsp:rsid wsp:val=&quot;00FB230F&quot;/&gt;&lt;wsp:rsid wsp:val=&quot;00FB26CE&quot;/&gt;&lt;wsp:rsid wsp:val=&quot;00FB2C27&quot;/&gt;&lt;wsp:rsid wsp:val=&quot;00FB3464&quot;/&gt;&lt;wsp:rsid wsp:val=&quot;00FB36A0&quot;/&gt;&lt;wsp:rsid wsp:val=&quot;00FB378F&quot;/&gt;&lt;wsp:rsid wsp:val=&quot;00FB3CA8&quot;/&gt;&lt;wsp:rsid wsp:val=&quot;00FB3D65&quot;/&gt;&lt;wsp:rsid wsp:val=&quot;00FB4896&quot;/&gt;&lt;wsp:rsid wsp:val=&quot;00FB49C9&quot;/&gt;&lt;wsp:rsid wsp:val=&quot;00FB5479&quot;/&gt;&lt;wsp:rsid wsp:val=&quot;00FB5BE0&quot;/&gt;&lt;wsp:rsid wsp:val=&quot;00FB66DF&quot;/&gt;&lt;wsp:rsid wsp:val=&quot;00FB67FB&quot;/&gt;&lt;wsp:rsid wsp:val=&quot;00FB68B4&quot;/&gt;&lt;wsp:rsid wsp:val=&quot;00FB6D37&quot;/&gt;&lt;wsp:rsid wsp:val=&quot;00FB6FE3&quot;/&gt;&lt;wsp:rsid wsp:val=&quot;00FB7158&quot;/&gt;&lt;wsp:rsid wsp:val=&quot;00FB726C&quot;/&gt;&lt;wsp:rsid wsp:val=&quot;00FB75F6&quot;/&gt;&lt;wsp:rsid wsp:val=&quot;00FC0929&quot;/&gt;&lt;wsp:rsid wsp:val=&quot;00FC0B69&quot;/&gt;&lt;wsp:rsid wsp:val=&quot;00FC0DD7&quot;/&gt;&lt;wsp:rsid wsp:val=&quot;00FC15A1&quot;/&gt;&lt;wsp:rsid wsp:val=&quot;00FC15B6&quot;/&gt;&lt;wsp:rsid wsp:val=&quot;00FC1E7C&quot;/&gt;&lt;wsp:rsid wsp:val=&quot;00FC211A&quot;/&gt;&lt;wsp:rsid wsp:val=&quot;00FC24EE&quot;/&gt;&lt;wsp:rsid wsp:val=&quot;00FC2522&quot;/&gt;&lt;wsp:rsid wsp:val=&quot;00FC2C55&quot;/&gt;&lt;wsp:rsid wsp:val=&quot;00FC312E&quot;/&gt;&lt;wsp:rsid wsp:val=&quot;00FC346A&quot;/&gt;&lt;wsp:rsid wsp:val=&quot;00FC3BE2&quot;/&gt;&lt;wsp:rsid wsp:val=&quot;00FC3F56&quot;/&gt;&lt;wsp:rsid wsp:val=&quot;00FC42D9&quot;/&gt;&lt;wsp:rsid wsp:val=&quot;00FC49F9&quot;/&gt;&lt;wsp:rsid wsp:val=&quot;00FC4F0F&quot;/&gt;&lt;wsp:rsid wsp:val=&quot;00FC4F67&quot;/&gt;&lt;wsp:rsid wsp:val=&quot;00FC509E&quot;/&gt;&lt;wsp:rsid wsp:val=&quot;00FC525E&quot;/&gt;&lt;wsp:rsid wsp:val=&quot;00FC55B4&quot;/&gt;&lt;wsp:rsid wsp:val=&quot;00FC5ADA&quot;/&gt;&lt;wsp:rsid wsp:val=&quot;00FC60AF&quot;/&gt;&lt;wsp:rsid wsp:val=&quot;00FC6224&quot;/&gt;&lt;wsp:rsid wsp:val=&quot;00FC6496&quot;/&gt;&lt;wsp:rsid wsp:val=&quot;00FC6906&quot;/&gt;&lt;wsp:rsid wsp:val=&quot;00FC69CA&quot;/&gt;&lt;wsp:rsid wsp:val=&quot;00FC6B75&quot;/&gt;&lt;wsp:rsid wsp:val=&quot;00FC7632&quot;/&gt;&lt;wsp:rsid wsp:val=&quot;00FC7807&quot;/&gt;&lt;wsp:rsid wsp:val=&quot;00FC7B72&quot;/&gt;&lt;wsp:rsid wsp:val=&quot;00FC7D2A&quot;/&gt;&lt;wsp:rsid wsp:val=&quot;00FC7F6A&quot;/&gt;&lt;wsp:rsid wsp:val=&quot;00FD01AC&quot;/&gt;&lt;wsp:rsid wsp:val=&quot;00FD01BA&quot;/&gt;&lt;wsp:rsid wsp:val=&quot;00FD06A4&quot;/&gt;&lt;wsp:rsid wsp:val=&quot;00FD0897&quot;/&gt;&lt;wsp:rsid wsp:val=&quot;00FD0912&quot;/&gt;&lt;wsp:rsid wsp:val=&quot;00FD10F6&quot;/&gt;&lt;wsp:rsid wsp:val=&quot;00FD12B2&quot;/&gt;&lt;wsp:rsid wsp:val=&quot;00FD12B3&quot;/&gt;&lt;wsp:rsid wsp:val=&quot;00FD1AE0&quot;/&gt;&lt;wsp:rsid wsp:val=&quot;00FD2D3C&quot;/&gt;&lt;wsp:rsid wsp:val=&quot;00FD375E&quot;/&gt;&lt;wsp:rsid wsp:val=&quot;00FD399B&quot;/&gt;&lt;wsp:rsid wsp:val=&quot;00FD3F7E&quot;/&gt;&lt;wsp:rsid wsp:val=&quot;00FD41C0&quot;/&gt;&lt;wsp:rsid wsp:val=&quot;00FD4CF6&quot;/&gt;&lt;wsp:rsid wsp:val=&quot;00FD5455&quot;/&gt;&lt;wsp:rsid wsp:val=&quot;00FD5531&quot;/&gt;&lt;wsp:rsid wsp:val=&quot;00FD584E&quot;/&gt;&lt;wsp:rsid wsp:val=&quot;00FD5AE7&quot;/&gt;&lt;wsp:rsid wsp:val=&quot;00FD5F9D&quot;/&gt;&lt;wsp:rsid wsp:val=&quot;00FD618D&quot;/&gt;&lt;wsp:rsid wsp:val=&quot;00FD66C9&quot;/&gt;&lt;wsp:rsid wsp:val=&quot;00FD6D27&quot;/&gt;&lt;wsp:rsid wsp:val=&quot;00FD6F86&quot;/&gt;&lt;wsp:rsid wsp:val=&quot;00FD75D7&quot;/&gt;&lt;wsp:rsid wsp:val=&quot;00FD762F&quot;/&gt;&lt;wsp:rsid wsp:val=&quot;00FD76A1&quot;/&gt;&lt;wsp:rsid wsp:val=&quot;00FD7D93&quot;/&gt;&lt;wsp:rsid wsp:val=&quot;00FD7DE1&quot;/&gt;&lt;wsp:rsid wsp:val=&quot;00FE029E&quot;/&gt;&lt;wsp:rsid wsp:val=&quot;00FE036B&quot;/&gt;&lt;wsp:rsid wsp:val=&quot;00FE0473&quot;/&gt;&lt;wsp:rsid wsp:val=&quot;00FE051B&quot;/&gt;&lt;wsp:rsid wsp:val=&quot;00FE05F2&quot;/&gt;&lt;wsp:rsid wsp:val=&quot;00FE0609&quot;/&gt;&lt;wsp:rsid wsp:val=&quot;00FE08A0&quot;/&gt;&lt;wsp:rsid wsp:val=&quot;00FE0BA6&quot;/&gt;&lt;wsp:rsid wsp:val=&quot;00FE0C80&quot;/&gt;&lt;wsp:rsid wsp:val=&quot;00FE0EEB&quot;/&gt;&lt;wsp:rsid wsp:val=&quot;00FE1247&quot;/&gt;&lt;wsp:rsid wsp:val=&quot;00FE13FE&quot;/&gt;&lt;wsp:rsid wsp:val=&quot;00FE1543&quot;/&gt;&lt;wsp:rsid wsp:val=&quot;00FE174B&quot;/&gt;&lt;wsp:rsid wsp:val=&quot;00FE1BF0&quot;/&gt;&lt;wsp:rsid wsp:val=&quot;00FE1C12&quot;/&gt;&lt;wsp:rsid wsp:val=&quot;00FE23D2&quot;/&gt;&lt;wsp:rsid wsp:val=&quot;00FE2C75&quot;/&gt;&lt;wsp:rsid wsp:val=&quot;00FE2EA9&quot;/&gt;&lt;wsp:rsid wsp:val=&quot;00FE2F88&quot;/&gt;&lt;wsp:rsid wsp:val=&quot;00FE3205&quot;/&gt;&lt;wsp:rsid wsp:val=&quot;00FE3508&quot;/&gt;&lt;wsp:rsid wsp:val=&quot;00FE4194&quot;/&gt;&lt;wsp:rsid wsp:val=&quot;00FE4C69&quot;/&gt;&lt;wsp:rsid wsp:val=&quot;00FE50F5&quot;/&gt;&lt;wsp:rsid wsp:val=&quot;00FE5A67&quot;/&gt;&lt;wsp:rsid wsp:val=&quot;00FE5B4E&quot;/&gt;&lt;wsp:rsid wsp:val=&quot;00FE5BB6&quot;/&gt;&lt;wsp:rsid wsp:val=&quot;00FE5FE2&quot;/&gt;&lt;wsp:rsid wsp:val=&quot;00FE68AF&quot;/&gt;&lt;wsp:rsid wsp:val=&quot;00FE69FF&quot;/&gt;&lt;wsp:rsid wsp:val=&quot;00FE6B81&quot;/&gt;&lt;wsp:rsid wsp:val=&quot;00FE6F08&quot;/&gt;&lt;wsp:rsid wsp:val=&quot;00FE73DA&quot;/&gt;&lt;wsp:rsid wsp:val=&quot;00FE7461&quot;/&gt;&lt;wsp:rsid wsp:val=&quot;00FE7AE3&quot;/&gt;&lt;wsp:rsid wsp:val=&quot;00FE7B60&quot;/&gt;&lt;wsp:rsid wsp:val=&quot;00FE7DA7&quot;/&gt;&lt;wsp:rsid wsp:val=&quot;00FF008D&quot;/&gt;&lt;wsp:rsid wsp:val=&quot;00FF035A&quot;/&gt;&lt;wsp:rsid wsp:val=&quot;00FF0673&quot;/&gt;&lt;wsp:rsid wsp:val=&quot;00FF0D10&quot;/&gt;&lt;wsp:rsid wsp:val=&quot;00FF0F50&quot;/&gt;&lt;wsp:rsid wsp:val=&quot;00FF1047&quot;/&gt;&lt;wsp:rsid wsp:val=&quot;00FF14A9&quot;/&gt;&lt;wsp:rsid wsp:val=&quot;00FF1544&quot;/&gt;&lt;wsp:rsid wsp:val=&quot;00FF17EF&quot;/&gt;&lt;wsp:rsid wsp:val=&quot;00FF1913&quot;/&gt;&lt;wsp:rsid wsp:val=&quot;00FF1B3F&quot;/&gt;&lt;wsp:rsid wsp:val=&quot;00FF2053&quot;/&gt;&lt;wsp:rsid wsp:val=&quot;00FF21AF&quot;/&gt;&lt;wsp:rsid wsp:val=&quot;00FF23D4&quot;/&gt;&lt;wsp:rsid wsp:val=&quot;00FF2490&quot;/&gt;&lt;wsp:rsid wsp:val=&quot;00FF24C2&quot;/&gt;&lt;wsp:rsid wsp:val=&quot;00FF2651&quot;/&gt;&lt;wsp:rsid wsp:val=&quot;00FF2697&quot;/&gt;&lt;wsp:rsid wsp:val=&quot;00FF26E2&quot;/&gt;&lt;wsp:rsid wsp:val=&quot;00FF2FA3&quot;/&gt;&lt;wsp:rsid wsp:val=&quot;00FF3527&quot;/&gt;&lt;wsp:rsid wsp:val=&quot;00FF3F2D&quot;/&gt;&lt;wsp:rsid wsp:val=&quot;00FF3FDC&quot;/&gt;&lt;wsp:rsid wsp:val=&quot;00FF418C&quot;/&gt;&lt;wsp:rsid wsp:val=&quot;00FF458A&quot;/&gt;&lt;wsp:rsid wsp:val=&quot;00FF4B3E&quot;/&gt;&lt;wsp:rsid wsp:val=&quot;00FF4BC9&quot;/&gt;&lt;wsp:rsid wsp:val=&quot;00FF4BCD&quot;/&gt;&lt;wsp:rsid wsp:val=&quot;00FF4CE9&quot;/&gt;&lt;wsp:rsid wsp:val=&quot;00FF4F95&quot;/&gt;&lt;wsp:rsid wsp:val=&quot;00FF5096&quot;/&gt;&lt;wsp:rsid wsp:val=&quot;00FF529E&quot;/&gt;&lt;wsp:rsid wsp:val=&quot;00FF549F&quot;/&gt;&lt;wsp:rsid wsp:val=&quot;00FF54B7&quot;/&gt;&lt;wsp:rsid wsp:val=&quot;00FF5666&quot;/&gt;&lt;wsp:rsid wsp:val=&quot;00FF56A5&quot;/&gt;&lt;wsp:rsid wsp:val=&quot;00FF5BF6&quot;/&gt;&lt;wsp:rsid wsp:val=&quot;00FF5C6D&quot;/&gt;&lt;wsp:rsid wsp:val=&quot;00FF5C6E&quot;/&gt;&lt;wsp:rsid wsp:val=&quot;00FF633F&quot;/&gt;&lt;wsp:rsid wsp:val=&quot;00FF66CC&quot;/&gt;&lt;wsp:rsid wsp:val=&quot;00FF67D3&quot;/&gt;&lt;wsp:rsid wsp:val=&quot;00FF6B0E&quot;/&gt;&lt;wsp:rsid wsp:val=&quot;00FF6B43&quot;/&gt;&lt;wsp:rsid wsp:val=&quot;00FF6F3F&quot;/&gt;&lt;wsp:rsid wsp:val=&quot;00FF7328&quot;/&gt;&lt;wsp:rsid wsp:val=&quot;00FF7600&quot;/&gt;&lt;wsp:rsid wsp:val=&quot;00FF77A7&quot;/&gt;&lt;wsp:rsid wsp:val=&quot;00FF7B0F&quot;/&gt;&lt;wsp:rsid wsp:val=&quot;00FF7D42&quot;/&gt;&lt;wsp:rsid wsp:val=&quot;00FF7F25&quot;/&gt;&lt;/wsp:rsids&gt;&lt;/w:docPr&gt;&lt;w:body&gt;&lt;w:p wsp:rsidR=&quot;00000000&quot; wsp:rsidRDefault=&quot;009F1039&quot;&gt;&lt;m:oMathPara&gt;&lt;m:oMath&gt;&lt;m:r&gt;&lt;w:rPr&gt;&lt;w:rFonts w:ascii=&quot;Cambria Math&quot; w:fareast=&quot;Times New Roman&quot; w:h-ansi=&quot;Cambria Math&quot;/&gt;&lt;wx:font wx:val=&quot;Cambria Math&quot;/&gt;&lt;w:i/&gt;&lt;w:sz w:val=&quot;28&quot;/&gt;&lt;w:sz-cs w:val=&quot;24&quot;/&gt;&lt;w:lang w:fareast=&quot;RU&quot;/&gt;&lt;/w:rPr&gt;&lt;m:t&gt;H=43666Г—&lt;/m:t&gt;&lt;/m:r&gt;&lt;m:sSup&gt;&lt;m:sSupPr&gt;&lt;m:ctrlPr&gt;&lt;w:rPr&gt;&lt;w:rFonts w:ascii=&quot;Cambria Math&quot; w:fareast=&quot;Times New Roman&quot; w:h-ansi=&quot;Cambria Math&quot;/&gt;&lt;wx:font wx:val=&quot;Cambria Math&quot;/&gt;&lt;w:i/&gt;&lt;w:sz w:val=&quot;28&quot;/&gt;&lt;w:sz-cs w:val=&quot;24&quot;/&gt;&lt;w:lang w:fareast=&quot;RU&quot;/&gt;&lt;/w:rPr&gt;&lt;/m:ctrlPr&gt;&lt;/m:sSupPr&gt;&lt;m:e&gt;&lt;m:r&gt;&lt;w:rPr&gt;&lt;w:rFonts w:ascii=&quot;Cambria Math&quot; w:fareast=&quot;Times New Roman&quot; w:h-ansi=&quot;Cambria Math&quot;/&gt;&lt;wx:font wx:val=&quot;Cambria Math&quot;/&gt;&lt;w:i/&gt;&lt;w:sz w:val=&quot;28&quot;/&gt;&lt;w:sz-cs w:val=&quot;24&quot;/&gt;&lt;w:lang w:fareast=&quot;RU&quot;/&gt;&lt;/w:rPr&gt;&lt;m:t&gt;(1+&lt;/m:t&gt;&lt;/m:r&gt;&lt;m:f&gt;&lt;m:fPr&gt;&lt;m:ctrlPr&gt;&lt;w:rPr&gt;&lt;w:rFonts w:ascii=&quot;Cambria Math&quot; w:fareast=&quot;Times New Roman&quot; w:h-ansi=&quot;Cambria Math&quot;/&gt;&lt;wx:font wx:val=&quot;Cambria Math&quot;/&gt;&lt;w:i/&gt;&lt;w:sz w:val=&quot;28&quot;/&gt;&lt;w:sz-cs w:val=&quot;24&quot;/&gt;&lt;w:lang w:fareast=&quot;RU&quot;/&gt;&lt;/w:rPr&gt;&lt;/m:ctrlPr&gt;&lt;/m:fPr&gt;&lt;m:num&gt;&lt;m:r&gt;&lt;w:rPr&gt;&lt;w:rFonts w:ascii=&quot;Cambria Math&quot; w:fareast=&quot;Times New Roman&quot; w:h-ansi=&quot;Cambria Math&quot;/&gt;&lt;wx:font wx:val=&quot;Cambria Math&quot;/&gt;&lt;w:i/&gt;&lt;w:sz w:val=&quot;28&quot;/&gt;&lt;w:sz-cs w:val=&quot;24&quot;/&gt;&lt;w:lang w:fareast=&quot;RU&quot;/&gt;&lt;/w:rPr&gt;&lt;m:t&gt;-0,38%-0,16%&lt;/m:t&gt;&lt;/m:r&gt;&lt;/m:num&gt;&lt;m:den&gt;&lt;m:r&gt;&lt;w:rPr&gt;&lt;w:rFonts w:ascii=&quot;Cambria Math&quot; w:fareast=&quot;Times New Roman&quot; w:h-ansi=&quot;Cambria Math&quot;/&gt;&lt;wx:font wx:val=&quot;Cambria Math&quot;/&gt;&lt;w:i/&gt;&lt;w:sz w:val=&quot;28&quot;/&gt;&lt;w:sz-cs w:val=&quot;24&quot;/&gt;&lt;w:lang w:fareast=&quot;RU&quot;/&gt;&lt;/w:rPr&gt;&lt;m:t&gt;100&lt;/m:t&gt;&lt;/m:r&gt;&lt;/m:den&gt;&lt;/m:f&gt;&lt;m:r&gt;&lt;w:rPr&gt;&lt;w:rFonts w:ascii=&quot;Cambria Math&quot; w:fareast=&quot;Times New Roman&quot; w:h-ansi=&quot;Cambria Math&quot;/&gt;&lt;wx:font wx:val=&quot;Cambria Math&quot;/&gt;&lt;w:i/&gt;&lt;w:sz w:val=&quot;28&quot;/&gt;&lt;w:sz-cs w:val=&quot;24&quot;/&gt;&lt;w:lang w:fareast=&quot;RU&quot;/&gt;&lt;/w:rPr&gt;&lt;m:t&gt;)&lt;/m:t&gt;&lt;/m:r&gt;&lt;/m:e&gt;&lt;m:sup&gt;&lt;m:r&gt;&lt;w:rPr&gt;&lt;w:rFonts w:ascii=&quot;Cambria Math&quot; w:fareast=&quot;Times New Roman&quot; w:h-ansi=&quot;Cambria Math&quot;/&gt;&lt;wx:font wx:val=&quot;Cambria Math&quot;/&gt;&lt;w:i/&gt;&lt;w:sz w:val=&quot;28&quot;/&gt;&lt;w:sz-cs w:val=&quot;24&quot;/&gt;&lt;w:lang w:fareast=&quot;RU&quot;/&gt;&lt;/w:rPr&gt;&lt;m:t&gt;20&lt;/m:t&gt;&lt;/m:r&gt;&lt;/m:sup&gt;&lt;/m:sSup&gt;&lt;m:r&gt;&lt;w:rPr&gt;&lt;w:rFonts w:ascii=&quot;Cambria Math&quot; w:fareast=&quot;Times New Roman&quot; w:h-ansi=&quot;Cambria Math&quot;/&gt;&lt;wx:font wx:val=&quot;Cambria Math&quot;/&gt;&lt;w:i/&gt;&lt;w:sz w:val=&quot;28&quot;/&gt;&lt;w:sz-cs w:val=&quot;24&quot;/&gt;&lt;w:lang w:fareast=&quot;RU&quot;/&gt;&lt;/w:rPr&gt;&lt;m:t&gt;=39128&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4" o:title="" chromakey="white"/>
          </v:shape>
        </w:pict>
      </w:r>
    </w:p>
    <w:p w:rsidR="002D1E45" w:rsidRPr="00B95F0E" w:rsidRDefault="002D1E45" w:rsidP="00B95F0E">
      <w:pPr>
        <w:spacing w:after="0" w:line="240" w:lineRule="auto"/>
        <w:ind w:firstLine="709"/>
        <w:jc w:val="both"/>
        <w:rPr>
          <w:rFonts w:ascii="Times New Roman" w:hAnsi="Times New Roman"/>
          <w:sz w:val="28"/>
          <w:szCs w:val="24"/>
          <w:lang w:eastAsia="ru-RU"/>
        </w:rPr>
      </w:pPr>
    </w:p>
    <w:p w:rsidR="002D1E45" w:rsidRPr="00B95F0E" w:rsidRDefault="002D1E45" w:rsidP="00B95F0E">
      <w:pPr>
        <w:spacing w:after="0" w:line="240" w:lineRule="auto"/>
        <w:ind w:firstLine="709"/>
        <w:jc w:val="both"/>
        <w:rPr>
          <w:rFonts w:ascii="Times New Roman" w:hAnsi="Times New Roman"/>
          <w:sz w:val="28"/>
          <w:szCs w:val="24"/>
          <w:lang w:eastAsia="ru-RU"/>
        </w:rPr>
      </w:pPr>
      <w:r w:rsidRPr="00B95F0E">
        <w:rPr>
          <w:rFonts w:ascii="Times New Roman" w:hAnsi="Times New Roman"/>
          <w:sz w:val="28"/>
          <w:szCs w:val="24"/>
          <w:lang w:eastAsia="ru-RU"/>
        </w:rPr>
        <w:t xml:space="preserve">Во </w:t>
      </w:r>
      <w:r w:rsidRPr="00B95F0E">
        <w:rPr>
          <w:rFonts w:ascii="Times New Roman" w:hAnsi="Times New Roman"/>
          <w:sz w:val="28"/>
          <w:szCs w:val="24"/>
          <w:lang w:val="en-US" w:eastAsia="ru-RU"/>
        </w:rPr>
        <w:t>II</w:t>
      </w:r>
      <w:r>
        <w:rPr>
          <w:rFonts w:ascii="Times New Roman" w:hAnsi="Times New Roman"/>
          <w:sz w:val="28"/>
          <w:szCs w:val="24"/>
          <w:lang w:eastAsia="ru-RU"/>
        </w:rPr>
        <w:t> </w:t>
      </w:r>
      <w:r w:rsidRPr="00B95F0E">
        <w:rPr>
          <w:rFonts w:ascii="Times New Roman" w:hAnsi="Times New Roman"/>
          <w:sz w:val="28"/>
          <w:szCs w:val="24"/>
          <w:lang w:eastAsia="ru-RU"/>
        </w:rPr>
        <w:t>варианте используются данные о</w:t>
      </w:r>
      <w:r>
        <w:rPr>
          <w:rFonts w:ascii="Times New Roman" w:hAnsi="Times New Roman"/>
          <w:sz w:val="28"/>
          <w:szCs w:val="24"/>
          <w:lang w:eastAsia="ru-RU"/>
        </w:rPr>
        <w:t> </w:t>
      </w:r>
      <w:r w:rsidRPr="00B95F0E">
        <w:rPr>
          <w:rFonts w:ascii="Times New Roman" w:hAnsi="Times New Roman"/>
          <w:sz w:val="28"/>
          <w:szCs w:val="24"/>
          <w:lang w:eastAsia="ru-RU"/>
        </w:rPr>
        <w:t>демографическом движении населения за</w:t>
      </w:r>
      <w:r>
        <w:rPr>
          <w:rFonts w:ascii="Times New Roman" w:hAnsi="Times New Roman"/>
          <w:sz w:val="28"/>
          <w:szCs w:val="24"/>
          <w:lang w:eastAsia="ru-RU"/>
        </w:rPr>
        <w:t> </w:t>
      </w:r>
      <w:r w:rsidRPr="00B95F0E">
        <w:rPr>
          <w:rFonts w:ascii="Times New Roman" w:hAnsi="Times New Roman"/>
          <w:sz w:val="28"/>
          <w:szCs w:val="24"/>
          <w:lang w:eastAsia="ru-RU"/>
        </w:rPr>
        <w:t xml:space="preserve">последний год. </w:t>
      </w:r>
    </w:p>
    <w:p w:rsidR="002D1E45" w:rsidRPr="00B95F0E" w:rsidRDefault="002D1E45" w:rsidP="00B95F0E">
      <w:pPr>
        <w:spacing w:after="0" w:line="240" w:lineRule="auto"/>
        <w:ind w:firstLine="709"/>
        <w:jc w:val="both"/>
        <w:rPr>
          <w:rFonts w:ascii="Times New Roman" w:hAnsi="Times New Roman"/>
          <w:sz w:val="28"/>
          <w:szCs w:val="24"/>
          <w:lang w:eastAsia="ru-RU"/>
        </w:rPr>
      </w:pPr>
      <w:r w:rsidRPr="00B95F0E">
        <w:rPr>
          <w:rFonts w:ascii="Times New Roman" w:hAnsi="Times New Roman"/>
          <w:sz w:val="28"/>
          <w:szCs w:val="24"/>
          <w:lang w:eastAsia="ru-RU"/>
        </w:rPr>
        <w:t>Для 1 очереди (20</w:t>
      </w:r>
      <w:r>
        <w:rPr>
          <w:rFonts w:ascii="Times New Roman" w:hAnsi="Times New Roman"/>
          <w:sz w:val="28"/>
          <w:szCs w:val="24"/>
          <w:lang w:eastAsia="ru-RU"/>
        </w:rPr>
        <w:t>30</w:t>
      </w:r>
      <w:r w:rsidRPr="00B95F0E">
        <w:rPr>
          <w:rFonts w:ascii="Times New Roman" w:hAnsi="Times New Roman"/>
          <w:sz w:val="28"/>
          <w:szCs w:val="24"/>
          <w:lang w:eastAsia="ru-RU"/>
        </w:rPr>
        <w:t xml:space="preserve"> год):</w:t>
      </w:r>
    </w:p>
    <w:p w:rsidR="002D1E45" w:rsidRPr="00B95F0E" w:rsidRDefault="002D1E45" w:rsidP="00B95F0E">
      <w:pPr>
        <w:spacing w:after="0" w:line="240" w:lineRule="auto"/>
        <w:ind w:firstLine="709"/>
        <w:jc w:val="both"/>
        <w:rPr>
          <w:rFonts w:ascii="Times New Roman" w:hAnsi="Times New Roman"/>
          <w:sz w:val="28"/>
          <w:szCs w:val="24"/>
          <w:lang w:eastAsia="ru-RU"/>
        </w:rPr>
      </w:pPr>
    </w:p>
    <w:p w:rsidR="002D1E45" w:rsidRPr="00B95F0E" w:rsidRDefault="002D1E45" w:rsidP="00B95F0E">
      <w:pPr>
        <w:spacing w:after="0" w:line="240" w:lineRule="auto"/>
        <w:ind w:firstLine="709"/>
        <w:jc w:val="both"/>
        <w:rPr>
          <w:rFonts w:ascii="Times New Roman" w:hAnsi="Times New Roman"/>
          <w:sz w:val="28"/>
          <w:szCs w:val="24"/>
          <w:lang w:eastAsia="ru-RU"/>
        </w:rPr>
      </w:pPr>
      <w:r>
        <w:pict>
          <v:shape id="_x0000_i1050" type="#_x0000_t75" style="width:298.5pt;height:36.75pt" equationxml="&lt;?xml version=&quot;1.0&quot; encoding=&quot;UTF-8&quot; standalone=&quot;yes&quot;?&gt;&#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stylePaneFormatFilter w:val=&quot;3F01&quot;/&gt;&lt;w:defaultTabStop w:val=&quot;709&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55249&quot;/&gt;&lt;wsp:rsid wsp:val=&quot;00000069&quot;/&gt;&lt;wsp:rsid wsp:val=&quot;0000011C&quot;/&gt;&lt;wsp:rsid wsp:val=&quot;00000437&quot;/&gt;&lt;wsp:rsid wsp:val=&quot;00001379&quot;/&gt;&lt;wsp:rsid wsp:val=&quot;0000148E&quot;/&gt;&lt;wsp:rsid wsp:val=&quot;00001718&quot;/&gt;&lt;wsp:rsid wsp:val=&quot;000017EA&quot;/&gt;&lt;wsp:rsid wsp:val=&quot;00001828&quot;/&gt;&lt;wsp:rsid wsp:val=&quot;00001D98&quot;/&gt;&lt;wsp:rsid wsp:val=&quot;0000229E&quot;/&gt;&lt;wsp:rsid wsp:val=&quot;000027D5&quot;/&gt;&lt;wsp:rsid wsp:val=&quot;00002824&quot;/&gt;&lt;wsp:rsid wsp:val=&quot;00002C12&quot;/&gt;&lt;wsp:rsid wsp:val=&quot;00002C43&quot;/&gt;&lt;wsp:rsid wsp:val=&quot;00002D9C&quot;/&gt;&lt;wsp:rsid wsp:val=&quot;00002F36&quot;/&gt;&lt;wsp:rsid wsp:val=&quot;0000302F&quot;/&gt;&lt;wsp:rsid wsp:val=&quot;00003030&quot;/&gt;&lt;wsp:rsid wsp:val=&quot;00003EFF&quot;/&gt;&lt;wsp:rsid wsp:val=&quot;0000414C&quot;/&gt;&lt;wsp:rsid wsp:val=&quot;0000443D&quot;/&gt;&lt;wsp:rsid wsp:val=&quot;000046CC&quot;/&gt;&lt;wsp:rsid wsp:val=&quot;00004716&quot;/&gt;&lt;wsp:rsid wsp:val=&quot;0000486D&quot;/&gt;&lt;wsp:rsid wsp:val=&quot;000049C0&quot;/&gt;&lt;wsp:rsid wsp:val=&quot;00004D19&quot;/&gt;&lt;wsp:rsid wsp:val=&quot;00004FAE&quot;/&gt;&lt;wsp:rsid wsp:val=&quot;00004FFC&quot;/&gt;&lt;wsp:rsid wsp:val=&quot;00005636&quot;/&gt;&lt;wsp:rsid wsp:val=&quot;000056E1&quot;/&gt;&lt;wsp:rsid wsp:val=&quot;00005DAF&quot;/&gt;&lt;wsp:rsid wsp:val=&quot;00005F1A&quot;/&gt;&lt;wsp:rsid wsp:val=&quot;00005FEB&quot;/&gt;&lt;wsp:rsid wsp:val=&quot;00006392&quot;/&gt;&lt;wsp:rsid wsp:val=&quot;000063D0&quot;/&gt;&lt;wsp:rsid wsp:val=&quot;00006AE8&quot;/&gt;&lt;wsp:rsid wsp:val=&quot;00006D6F&quot;/&gt;&lt;wsp:rsid wsp:val=&quot;00007175&quot;/&gt;&lt;wsp:rsid wsp:val=&quot;00007274&quot;/&gt;&lt;wsp:rsid wsp:val=&quot;00007B99&quot;/&gt;&lt;wsp:rsid wsp:val=&quot;000101C0&quot;/&gt;&lt;wsp:rsid wsp:val=&quot;00010212&quot;/&gt;&lt;wsp:rsid wsp:val=&quot;00010264&quot;/&gt;&lt;wsp:rsid wsp:val=&quot;000102BD&quot;/&gt;&lt;wsp:rsid wsp:val=&quot;000102EA&quot;/&gt;&lt;wsp:rsid wsp:val=&quot;00010466&quot;/&gt;&lt;wsp:rsid wsp:val=&quot;00010AB4&quot;/&gt;&lt;wsp:rsid wsp:val=&quot;00010B0B&quot;/&gt;&lt;wsp:rsid wsp:val=&quot;00010C3B&quot;/&gt;&lt;wsp:rsid wsp:val=&quot;00010F91&quot;/&gt;&lt;wsp:rsid wsp:val=&quot;000112EE&quot;/&gt;&lt;wsp:rsid wsp:val=&quot;0001146D&quot;/&gt;&lt;wsp:rsid wsp:val=&quot;00011665&quot;/&gt;&lt;wsp:rsid wsp:val=&quot;00011B64&quot;/&gt;&lt;wsp:rsid wsp:val=&quot;00011CA8&quot;/&gt;&lt;wsp:rsid wsp:val=&quot;00011DE4&quot;/&gt;&lt;wsp:rsid wsp:val=&quot;000124AE&quot;/&gt;&lt;wsp:rsid wsp:val=&quot;000127BC&quot;/&gt;&lt;wsp:rsid wsp:val=&quot;00012A66&quot;/&gt;&lt;wsp:rsid wsp:val=&quot;00012DA8&quot;/&gt;&lt;wsp:rsid wsp:val=&quot;00013A20&quot;/&gt;&lt;wsp:rsid wsp:val=&quot;00013A8A&quot;/&gt;&lt;wsp:rsid wsp:val=&quot;00013CAF&quot;/&gt;&lt;wsp:rsid wsp:val=&quot;00013FBF&quot;/&gt;&lt;wsp:rsid wsp:val=&quot;00014152&quot;/&gt;&lt;wsp:rsid wsp:val=&quot;00014177&quot;/&gt;&lt;wsp:rsid wsp:val=&quot;0001436E&quot;/&gt;&lt;wsp:rsid wsp:val=&quot;00014640&quot;/&gt;&lt;wsp:rsid wsp:val=&quot;000146AB&quot;/&gt;&lt;wsp:rsid wsp:val=&quot;0001483D&quot;/&gt;&lt;wsp:rsid wsp:val=&quot;00014851&quot;/&gt;&lt;wsp:rsid wsp:val=&quot;00014B97&quot;/&gt;&lt;wsp:rsid wsp:val=&quot;00014CA6&quot;/&gt;&lt;wsp:rsid wsp:val=&quot;00015089&quot;/&gt;&lt;wsp:rsid wsp:val=&quot;00015200&quot;/&gt;&lt;wsp:rsid wsp:val=&quot;00015247&quot;/&gt;&lt;wsp:rsid wsp:val=&quot;00015471&quot;/&gt;&lt;wsp:rsid wsp:val=&quot;00015475&quot;/&gt;&lt;wsp:rsid wsp:val=&quot;000156EB&quot;/&gt;&lt;wsp:rsid wsp:val=&quot;00015CFD&quot;/&gt;&lt;wsp:rsid wsp:val=&quot;00015E89&quot;/&gt;&lt;wsp:rsid wsp:val=&quot;000162CA&quot;/&gt;&lt;wsp:rsid wsp:val=&quot;000168D8&quot;/&gt;&lt;wsp:rsid wsp:val=&quot;00016BF0&quot;/&gt;&lt;wsp:rsid wsp:val=&quot;00016DD4&quot;/&gt;&lt;wsp:rsid wsp:val=&quot;00016F5A&quot;/&gt;&lt;wsp:rsid wsp:val=&quot;000171AD&quot;/&gt;&lt;wsp:rsid wsp:val=&quot;0001725E&quot;/&gt;&lt;wsp:rsid wsp:val=&quot;000173C4&quot;/&gt;&lt;wsp:rsid wsp:val=&quot;0001783F&quot;/&gt;&lt;wsp:rsid wsp:val=&quot;00017B5A&quot;/&gt;&lt;wsp:rsid wsp:val=&quot;00017FC8&quot;/&gt;&lt;wsp:rsid wsp:val=&quot;000200B7&quot;/&gt;&lt;wsp:rsid wsp:val=&quot;00020690&quot;/&gt;&lt;wsp:rsid wsp:val=&quot;000207BC&quot;/&gt;&lt;wsp:rsid wsp:val=&quot;00020B70&quot;/&gt;&lt;wsp:rsid wsp:val=&quot;00020CF2&quot;/&gt;&lt;wsp:rsid wsp:val=&quot;00020D15&quot;/&gt;&lt;wsp:rsid wsp:val=&quot;0002146E&quot;/&gt;&lt;wsp:rsid wsp:val=&quot;000216FC&quot;/&gt;&lt;wsp:rsid wsp:val=&quot;00021808&quot;/&gt;&lt;wsp:rsid wsp:val=&quot;00021864&quot;/&gt;&lt;wsp:rsid wsp:val=&quot;000219DD&quot;/&gt;&lt;wsp:rsid wsp:val=&quot;00021A57&quot;/&gt;&lt;wsp:rsid wsp:val=&quot;00021C1B&quot;/&gt;&lt;wsp:rsid wsp:val=&quot;00021C6A&quot;/&gt;&lt;wsp:rsid wsp:val=&quot;0002261A&quot;/&gt;&lt;wsp:rsid wsp:val=&quot;00022689&quot;/&gt;&lt;wsp:rsid wsp:val=&quot;0002275A&quot;/&gt;&lt;wsp:rsid wsp:val=&quot;00022976&quot;/&gt;&lt;wsp:rsid wsp:val=&quot;00022B13&quot;/&gt;&lt;wsp:rsid wsp:val=&quot;00022C89&quot;/&gt;&lt;wsp:rsid wsp:val=&quot;00022ED3&quot;/&gt;&lt;wsp:rsid wsp:val=&quot;0002310D&quot;/&gt;&lt;wsp:rsid wsp:val=&quot;0002325C&quot;/&gt;&lt;wsp:rsid wsp:val=&quot;000233B5&quot;/&gt;&lt;wsp:rsid wsp:val=&quot;000235C8&quot;/&gt;&lt;wsp:rsid wsp:val=&quot;000237E7&quot;/&gt;&lt;wsp:rsid wsp:val=&quot;000238DD&quot;/&gt;&lt;wsp:rsid wsp:val=&quot;00023B4A&quot;/&gt;&lt;wsp:rsid wsp:val=&quot;00023CDA&quot;/&gt;&lt;wsp:rsid wsp:val=&quot;0002413B&quot;/&gt;&lt;wsp:rsid wsp:val=&quot;000244A8&quot;/&gt;&lt;wsp:rsid wsp:val=&quot;0002487C&quot;/&gt;&lt;wsp:rsid wsp:val=&quot;00024D37&quot;/&gt;&lt;wsp:rsid wsp:val=&quot;00024F28&quot;/&gt;&lt;wsp:rsid wsp:val=&quot;000252B6&quot;/&gt;&lt;wsp:rsid wsp:val=&quot;000254CC&quot;/&gt;&lt;wsp:rsid wsp:val=&quot;00025586&quot;/&gt;&lt;wsp:rsid wsp:val=&quot;000260FE&quot;/&gt;&lt;wsp:rsid wsp:val=&quot;00026294&quot;/&gt;&lt;wsp:rsid wsp:val=&quot;00026338&quot;/&gt;&lt;wsp:rsid wsp:val=&quot;000266C8&quot;/&gt;&lt;wsp:rsid wsp:val=&quot;00026ABE&quot;/&gt;&lt;wsp:rsid wsp:val=&quot;00026FF4&quot;/&gt;&lt;wsp:rsid wsp:val=&quot;0002729C&quot;/&gt;&lt;wsp:rsid wsp:val=&quot;000279E6&quot;/&gt;&lt;wsp:rsid wsp:val=&quot;00027B3A&quot;/&gt;&lt;wsp:rsid wsp:val=&quot;00027C41&quot;/&gt;&lt;wsp:rsid wsp:val=&quot;00027F89&quot;/&gt;&lt;wsp:rsid wsp:val=&quot;0003050D&quot;/&gt;&lt;wsp:rsid wsp:val=&quot;00030523&quot;/&gt;&lt;wsp:rsid wsp:val=&quot;00031209&quot;/&gt;&lt;wsp:rsid wsp:val=&quot;00031883&quot;/&gt;&lt;wsp:rsid wsp:val=&quot;00032460&quot;/&gt;&lt;wsp:rsid wsp:val=&quot;0003252F&quot;/&gt;&lt;wsp:rsid wsp:val=&quot;000325E4&quot;/&gt;&lt;wsp:rsid wsp:val=&quot;000329BA&quot;/&gt;&lt;wsp:rsid wsp:val=&quot;00032F20&quot;/&gt;&lt;wsp:rsid wsp:val=&quot;000330C7&quot;/&gt;&lt;wsp:rsid wsp:val=&quot;00033121&quot;/&gt;&lt;wsp:rsid wsp:val=&quot;000332E2&quot;/&gt;&lt;wsp:rsid wsp:val=&quot;00033895&quot;/&gt;&lt;wsp:rsid wsp:val=&quot;00033D2D&quot;/&gt;&lt;wsp:rsid wsp:val=&quot;0003401B&quot;/&gt;&lt;wsp:rsid wsp:val=&quot;000341CE&quot;/&gt;&lt;wsp:rsid wsp:val=&quot;00034258&quot;/&gt;&lt;wsp:rsid wsp:val=&quot;00034677&quot;/&gt;&lt;wsp:rsid wsp:val=&quot;000355D5&quot;/&gt;&lt;wsp:rsid wsp:val=&quot;0003587E&quot;/&gt;&lt;wsp:rsid wsp:val=&quot;000358E5&quot;/&gt;&lt;wsp:rsid wsp:val=&quot;00035FC8&quot;/&gt;&lt;wsp:rsid wsp:val=&quot;00036085&quot;/&gt;&lt;wsp:rsid wsp:val=&quot;0003610F&quot;/&gt;&lt;wsp:rsid wsp:val=&quot;00036574&quot;/&gt;&lt;wsp:rsid wsp:val=&quot;00036A0C&quot;/&gt;&lt;wsp:rsid wsp:val=&quot;0003741C&quot;/&gt;&lt;wsp:rsid wsp:val=&quot;000375A9&quot;/&gt;&lt;wsp:rsid wsp:val=&quot;000375E4&quot;/&gt;&lt;wsp:rsid wsp:val=&quot;00037990&quot;/&gt;&lt;wsp:rsid wsp:val=&quot;000379E2&quot;/&gt;&lt;wsp:rsid wsp:val=&quot;00037A8B&quot;/&gt;&lt;wsp:rsid wsp:val=&quot;00037B44&quot;/&gt;&lt;wsp:rsid wsp:val=&quot;00037D86&quot;/&gt;&lt;wsp:rsid wsp:val=&quot;000401B5&quot;/&gt;&lt;wsp:rsid wsp:val=&quot;00040704&quot;/&gt;&lt;wsp:rsid wsp:val=&quot;00040747&quot;/&gt;&lt;wsp:rsid wsp:val=&quot;00040937&quot;/&gt;&lt;wsp:rsid wsp:val=&quot;00040B84&quot;/&gt;&lt;wsp:rsid wsp:val=&quot;00040C12&quot;/&gt;&lt;wsp:rsid wsp:val=&quot;00040DA1&quot;/&gt;&lt;wsp:rsid wsp:val=&quot;00040F18&quot;/&gt;&lt;wsp:rsid wsp:val=&quot;0004110F&quot;/&gt;&lt;wsp:rsid wsp:val=&quot;000412EB&quot;/&gt;&lt;wsp:rsid wsp:val=&quot;0004138D&quot;/&gt;&lt;wsp:rsid wsp:val=&quot;000413F1&quot;/&gt;&lt;wsp:rsid wsp:val=&quot;000414C0&quot;/&gt;&lt;wsp:rsid wsp:val=&quot;00041E8F&quot;/&gt;&lt;wsp:rsid wsp:val=&quot;00041F06&quot;/&gt;&lt;wsp:rsid wsp:val=&quot;0004255B&quot;/&gt;&lt;wsp:rsid wsp:val=&quot;00042594&quot;/&gt;&lt;wsp:rsid wsp:val=&quot;0004273E&quot;/&gt;&lt;wsp:rsid wsp:val=&quot;00042764&quot;/&gt;&lt;wsp:rsid wsp:val=&quot;00042F4A&quot;/&gt;&lt;wsp:rsid wsp:val=&quot;000430F4&quot;/&gt;&lt;wsp:rsid wsp:val=&quot;00043921&quot;/&gt;&lt;wsp:rsid wsp:val=&quot;00043935&quot;/&gt;&lt;wsp:rsid wsp:val=&quot;00043EB2&quot;/&gt;&lt;wsp:rsid wsp:val=&quot;0004419F&quot;/&gt;&lt;wsp:rsid wsp:val=&quot;00044391&quot;/&gt;&lt;wsp:rsid wsp:val=&quot;0004446E&quot;/&gt;&lt;wsp:rsid wsp:val=&quot;000444B3&quot;/&gt;&lt;wsp:rsid wsp:val=&quot;00044538&quot;/&gt;&lt;wsp:rsid wsp:val=&quot;0004488A&quot;/&gt;&lt;wsp:rsid wsp:val=&quot;000449CE&quot;/&gt;&lt;wsp:rsid wsp:val=&quot;00044A16&quot;/&gt;&lt;wsp:rsid wsp:val=&quot;00044B5C&quot;/&gt;&lt;wsp:rsid wsp:val=&quot;00044D18&quot;/&gt;&lt;wsp:rsid wsp:val=&quot;00044E73&quot;/&gt;&lt;wsp:rsid wsp:val=&quot;00044F28&quot;/&gt;&lt;wsp:rsid wsp:val=&quot;00044FEF&quot;/&gt;&lt;wsp:rsid wsp:val=&quot;00045598&quot;/&gt;&lt;wsp:rsid wsp:val=&quot;00045B35&quot;/&gt;&lt;wsp:rsid wsp:val=&quot;00045E51&quot;/&gt;&lt;wsp:rsid wsp:val=&quot;00046110&quot;/&gt;&lt;wsp:rsid wsp:val=&quot;00046429&quot;/&gt;&lt;wsp:rsid wsp:val=&quot;0004668C&quot;/&gt;&lt;wsp:rsid wsp:val=&quot;000475D4&quot;/&gt;&lt;wsp:rsid wsp:val=&quot;00047C17&quot;/&gt;&lt;wsp:rsid wsp:val=&quot;00047C27&quot;/&gt;&lt;wsp:rsid wsp:val=&quot;00047C59&quot;/&gt;&lt;wsp:rsid wsp:val=&quot;00047F34&quot;/&gt;&lt;wsp:rsid wsp:val=&quot;000504F0&quot;/&gt;&lt;wsp:rsid wsp:val=&quot;00050664&quot;/&gt;&lt;wsp:rsid wsp:val=&quot;00050880&quot;/&gt;&lt;wsp:rsid wsp:val=&quot;00050993&quot;/&gt;&lt;wsp:rsid wsp:val=&quot;00050FD6&quot;/&gt;&lt;wsp:rsid wsp:val=&quot;00051206&quot;/&gt;&lt;wsp:rsid wsp:val=&quot;000515A2&quot;/&gt;&lt;wsp:rsid wsp:val=&quot;00051F54&quot;/&gt;&lt;wsp:rsid wsp:val=&quot;000520A1&quot;/&gt;&lt;wsp:rsid wsp:val=&quot;000525EB&quot;/&gt;&lt;wsp:rsid wsp:val=&quot;0005266E&quot;/&gt;&lt;wsp:rsid wsp:val=&quot;000527E0&quot;/&gt;&lt;wsp:rsid wsp:val=&quot;00052923&quot;/&gt;&lt;wsp:rsid wsp:val=&quot;00052D26&quot;/&gt;&lt;wsp:rsid wsp:val=&quot;00052E31&quot;/&gt;&lt;wsp:rsid wsp:val=&quot;000535A5&quot;/&gt;&lt;wsp:rsid wsp:val=&quot;000536A3&quot;/&gt;&lt;wsp:rsid wsp:val=&quot;00053D10&quot;/&gt;&lt;wsp:rsid wsp:val=&quot;00053F2B&quot;/&gt;&lt;wsp:rsid wsp:val=&quot;00053F37&quot;/&gt;&lt;wsp:rsid wsp:val=&quot;000546C9&quot;/&gt;&lt;wsp:rsid wsp:val=&quot;000547F3&quot;/&gt;&lt;wsp:rsid wsp:val=&quot;000548C7&quot;/&gt;&lt;wsp:rsid wsp:val=&quot;00054E12&quot;/&gt;&lt;wsp:rsid wsp:val=&quot;00054E32&quot;/&gt;&lt;wsp:rsid wsp:val=&quot;000551DD&quot;/&gt;&lt;wsp:rsid wsp:val=&quot;0005551E&quot;/&gt;&lt;wsp:rsid wsp:val=&quot;00055725&quot;/&gt;&lt;wsp:rsid wsp:val=&quot;0005582F&quot;/&gt;&lt;wsp:rsid wsp:val=&quot;000558B6&quot;/&gt;&lt;wsp:rsid wsp:val=&quot;00055A9A&quot;/&gt;&lt;wsp:rsid wsp:val=&quot;00055D45&quot;/&gt;&lt;wsp:rsid wsp:val=&quot;00055E28&quot;/&gt;&lt;wsp:rsid wsp:val=&quot;000563E2&quot;/&gt;&lt;wsp:rsid wsp:val=&quot;0005646A&quot;/&gt;&lt;wsp:rsid wsp:val=&quot;00056820&quot;/&gt;&lt;wsp:rsid wsp:val=&quot;00056C8F&quot;/&gt;&lt;wsp:rsid wsp:val=&quot;000570B4&quot;/&gt;&lt;wsp:rsid wsp:val=&quot;00057287&quot;/&gt;&lt;wsp:rsid wsp:val=&quot;00057450&quot;/&gt;&lt;wsp:rsid wsp:val=&quot;00057FD1&quot;/&gt;&lt;wsp:rsid wsp:val=&quot;000605C6&quot;/&gt;&lt;wsp:rsid wsp:val=&quot;0006094F&quot;/&gt;&lt;wsp:rsid wsp:val=&quot;00060D9A&quot;/&gt;&lt;wsp:rsid wsp:val=&quot;0006114D&quot;/&gt;&lt;wsp:rsid wsp:val=&quot;00061342&quot;/&gt;&lt;wsp:rsid wsp:val=&quot;000616FB&quot;/&gt;&lt;wsp:rsid wsp:val=&quot;00061D4B&quot;/&gt;&lt;wsp:rsid wsp:val=&quot;0006251F&quot;/&gt;&lt;wsp:rsid wsp:val=&quot;00062BCA&quot;/&gt;&lt;wsp:rsid wsp:val=&quot;00063845&quot;/&gt;&lt;wsp:rsid wsp:val=&quot;00063E7D&quot;/&gt;&lt;wsp:rsid wsp:val=&quot;00063F8C&quot;/&gt;&lt;wsp:rsid wsp:val=&quot;00064336&quot;/&gt;&lt;wsp:rsid wsp:val=&quot;000643A2&quot;/&gt;&lt;wsp:rsid wsp:val=&quot;00064B66&quot;/&gt;&lt;wsp:rsid wsp:val=&quot;00064F9D&quot;/&gt;&lt;wsp:rsid wsp:val=&quot;0006561A&quot;/&gt;&lt;wsp:rsid wsp:val=&quot;000659B9&quot;/&gt;&lt;wsp:rsid wsp:val=&quot;00065B48&quot;/&gt;&lt;wsp:rsid wsp:val=&quot;00065F03&quot;/&gt;&lt;wsp:rsid wsp:val=&quot;00066175&quot;/&gt;&lt;wsp:rsid wsp:val=&quot;000661F0&quot;/&gt;&lt;wsp:rsid wsp:val=&quot;00066384&quot;/&gt;&lt;wsp:rsid wsp:val=&quot;00066556&quot;/&gt;&lt;wsp:rsid wsp:val=&quot;00066C9F&quot;/&gt;&lt;wsp:rsid wsp:val=&quot;00066D83&quot;/&gt;&lt;wsp:rsid wsp:val=&quot;00067045&quot;/&gt;&lt;wsp:rsid wsp:val=&quot;00067A40&quot;/&gt;&lt;wsp:rsid wsp:val=&quot;00067AA3&quot;/&gt;&lt;wsp:rsid wsp:val=&quot;00067AB9&quot;/&gt;&lt;wsp:rsid wsp:val=&quot;00070000&quot;/&gt;&lt;wsp:rsid wsp:val=&quot;00070067&quot;/&gt;&lt;wsp:rsid wsp:val=&quot;0007015F&quot;/&gt;&lt;wsp:rsid wsp:val=&quot;000702C2&quot;/&gt;&lt;wsp:rsid wsp:val=&quot;000702C6&quot;/&gt;&lt;wsp:rsid wsp:val=&quot;00070A24&quot;/&gt;&lt;wsp:rsid wsp:val=&quot;00071628&quot;/&gt;&lt;wsp:rsid wsp:val=&quot;0007185F&quot;/&gt;&lt;wsp:rsid wsp:val=&quot;00072553&quot;/&gt;&lt;wsp:rsid wsp:val=&quot;00072E07&quot;/&gt;&lt;wsp:rsid wsp:val=&quot;00073729&quot;/&gt;&lt;wsp:rsid wsp:val=&quot;000739F2&quot;/&gt;&lt;wsp:rsid wsp:val=&quot;00073E02&quot;/&gt;&lt;wsp:rsid wsp:val=&quot;00074052&quot;/&gt;&lt;wsp:rsid wsp:val=&quot;00074807&quot;/&gt;&lt;wsp:rsid wsp:val=&quot;00075396&quot;/&gt;&lt;wsp:rsid wsp:val=&quot;00075542&quot;/&gt;&lt;wsp:rsid wsp:val=&quot;00075821&quot;/&gt;&lt;wsp:rsid wsp:val=&quot;00075BDC&quot;/&gt;&lt;wsp:rsid wsp:val=&quot;00075C12&quot;/&gt;&lt;wsp:rsid wsp:val=&quot;00076244&quot;/&gt;&lt;wsp:rsid wsp:val=&quot;0007658B&quot;/&gt;&lt;wsp:rsid wsp:val=&quot;000765A5&quot;/&gt;&lt;wsp:rsid wsp:val=&quot;000766B1&quot;/&gt;&lt;wsp:rsid wsp:val=&quot;00076AEC&quot;/&gt;&lt;wsp:rsid wsp:val=&quot;00076B85&quot;/&gt;&lt;wsp:rsid wsp:val=&quot;00077223&quot;/&gt;&lt;wsp:rsid wsp:val=&quot;000775BC&quot;/&gt;&lt;wsp:rsid wsp:val=&quot;00077735&quot;/&gt;&lt;wsp:rsid wsp:val=&quot;00077964&quot;/&gt;&lt;wsp:rsid wsp:val=&quot;00077AC7&quot;/&gt;&lt;wsp:rsid wsp:val=&quot;00080093&quot;/&gt;&lt;wsp:rsid wsp:val=&quot;00080B60&quot;/&gt;&lt;wsp:rsid wsp:val=&quot;00080D86&quot;/&gt;&lt;wsp:rsid wsp:val=&quot;0008123C&quot;/&gt;&lt;wsp:rsid wsp:val=&quot;000815B0&quot;/&gt;&lt;wsp:rsid wsp:val=&quot;000822F8&quot;/&gt;&lt;wsp:rsid wsp:val=&quot;0008289C&quot;/&gt;&lt;wsp:rsid wsp:val=&quot;00082ACC&quot;/&gt;&lt;wsp:rsid wsp:val=&quot;00082EC5&quot;/&gt;&lt;wsp:rsid wsp:val=&quot;00083307&quot;/&gt;&lt;wsp:rsid wsp:val=&quot;0008338D&quot;/&gt;&lt;wsp:rsid wsp:val=&quot;00083405&quot;/&gt;&lt;wsp:rsid wsp:val=&quot;00083653&quot;/&gt;&lt;wsp:rsid wsp:val=&quot;00083ADB&quot;/&gt;&lt;wsp:rsid wsp:val=&quot;00083BC4&quot;/&gt;&lt;wsp:rsid wsp:val=&quot;00083C79&quot;/&gt;&lt;wsp:rsid wsp:val=&quot;000845BC&quot;/&gt;&lt;wsp:rsid wsp:val=&quot;00084681&quot;/&gt;&lt;wsp:rsid wsp:val=&quot;000849E2&quot;/&gt;&lt;wsp:rsid wsp:val=&quot;00085033&quot;/&gt;&lt;wsp:rsid wsp:val=&quot;0008530A&quot;/&gt;&lt;wsp:rsid wsp:val=&quot;00085A95&quot;/&gt;&lt;wsp:rsid wsp:val=&quot;00085CFD&quot;/&gt;&lt;wsp:rsid wsp:val=&quot;0008620C&quot;/&gt;&lt;wsp:rsid wsp:val=&quot;00086329&quot;/&gt;&lt;wsp:rsid wsp:val=&quot;0008638E&quot;/&gt;&lt;wsp:rsid wsp:val=&quot;00086444&quot;/&gt;&lt;wsp:rsid wsp:val=&quot;00086BB9&quot;/&gt;&lt;wsp:rsid wsp:val=&quot;00087727&quot;/&gt;&lt;wsp:rsid wsp:val=&quot;000877E2&quot;/&gt;&lt;wsp:rsid wsp:val=&quot;00087AC4&quot;/&gt;&lt;wsp:rsid wsp:val=&quot;00087E23&quot;/&gt;&lt;wsp:rsid wsp:val=&quot;0009014C&quot;/&gt;&lt;wsp:rsid wsp:val=&quot;0009092E&quot;/&gt;&lt;wsp:rsid wsp:val=&quot;00090D88&quot;/&gt;&lt;wsp:rsid wsp:val=&quot;00091590&quot;/&gt;&lt;wsp:rsid wsp:val=&quot;0009167E&quot;/&gt;&lt;wsp:rsid wsp:val=&quot;00091B44&quot;/&gt;&lt;wsp:rsid wsp:val=&quot;00091DDD&quot;/&gt;&lt;wsp:rsid wsp:val=&quot;00092244&quot;/&gt;&lt;wsp:rsid wsp:val=&quot;000922A0&quot;/&gt;&lt;wsp:rsid wsp:val=&quot;0009250A&quot;/&gt;&lt;wsp:rsid wsp:val=&quot;00092832&quot;/&gt;&lt;wsp:rsid wsp:val=&quot;00092880&quot;/&gt;&lt;wsp:rsid wsp:val=&quot;000928B8&quot;/&gt;&lt;wsp:rsid wsp:val=&quot;00092BDB&quot;/&gt;&lt;wsp:rsid wsp:val=&quot;00092D38&quot;/&gt;&lt;wsp:rsid wsp:val=&quot;00092DF8&quot;/&gt;&lt;wsp:rsid wsp:val=&quot;00093306&quot;/&gt;&lt;wsp:rsid wsp:val=&quot;00093658&quot;/&gt;&lt;wsp:rsid wsp:val=&quot;000936D3&quot;/&gt;&lt;wsp:rsid wsp:val=&quot;00093D53&quot;/&gt;&lt;wsp:rsid wsp:val=&quot;00093FD6&quot;/&gt;&lt;wsp:rsid wsp:val=&quot;000943A3&quot;/&gt;&lt;wsp:rsid wsp:val=&quot;0009494C&quot;/&gt;&lt;wsp:rsid wsp:val=&quot;00094EE1&quot;/&gt;&lt;wsp:rsid wsp:val=&quot;00095196&quot;/&gt;&lt;wsp:rsid wsp:val=&quot;00095C3B&quot;/&gt;&lt;wsp:rsid wsp:val=&quot;00096485&quot;/&gt;&lt;wsp:rsid wsp:val=&quot;000964BF&quot;/&gt;&lt;wsp:rsid wsp:val=&quot;00096807&quot;/&gt;&lt;wsp:rsid wsp:val=&quot;00096843&quot;/&gt;&lt;wsp:rsid wsp:val=&quot;000968B5&quot;/&gt;&lt;wsp:rsid wsp:val=&quot;00096B2F&quot;/&gt;&lt;wsp:rsid wsp:val=&quot;00096F78&quot;/&gt;&lt;wsp:rsid wsp:val=&quot;00097521&quot;/&gt;&lt;wsp:rsid wsp:val=&quot;000978B1&quot;/&gt;&lt;wsp:rsid wsp:val=&quot;000A002B&quot;/&gt;&lt;wsp:rsid wsp:val=&quot;000A0434&quot;/&gt;&lt;wsp:rsid wsp:val=&quot;000A04F0&quot;/&gt;&lt;wsp:rsid wsp:val=&quot;000A08A6&quot;/&gt;&lt;wsp:rsid wsp:val=&quot;000A0932&quot;/&gt;&lt;wsp:rsid wsp:val=&quot;000A0A93&quot;/&gt;&lt;wsp:rsid wsp:val=&quot;000A0BB0&quot;/&gt;&lt;wsp:rsid wsp:val=&quot;000A0DA2&quot;/&gt;&lt;wsp:rsid wsp:val=&quot;000A16CC&quot;/&gt;&lt;wsp:rsid wsp:val=&quot;000A1A46&quot;/&gt;&lt;wsp:rsid wsp:val=&quot;000A1B18&quot;/&gt;&lt;wsp:rsid wsp:val=&quot;000A1C8A&quot;/&gt;&lt;wsp:rsid wsp:val=&quot;000A379F&quot;/&gt;&lt;wsp:rsid wsp:val=&quot;000A38E0&quot;/&gt;&lt;wsp:rsid wsp:val=&quot;000A39DE&quot;/&gt;&lt;wsp:rsid wsp:val=&quot;000A3C68&quot;/&gt;&lt;wsp:rsid wsp:val=&quot;000A3F95&quot;/&gt;&lt;wsp:rsid wsp:val=&quot;000A4373&quot;/&gt;&lt;wsp:rsid wsp:val=&quot;000A4670&quot;/&gt;&lt;wsp:rsid wsp:val=&quot;000A477D&quot;/&gt;&lt;wsp:rsid wsp:val=&quot;000A47CF&quot;/&gt;&lt;wsp:rsid wsp:val=&quot;000A4C05&quot;/&gt;&lt;wsp:rsid wsp:val=&quot;000A4D03&quot;/&gt;&lt;wsp:rsid wsp:val=&quot;000A4FB4&quot;/&gt;&lt;wsp:rsid wsp:val=&quot;000A4FF6&quot;/&gt;&lt;wsp:rsid wsp:val=&quot;000A512E&quot;/&gt;&lt;wsp:rsid wsp:val=&quot;000A525A&quot;/&gt;&lt;wsp:rsid wsp:val=&quot;000A52FF&quot;/&gt;&lt;wsp:rsid wsp:val=&quot;000A57A2&quot;/&gt;&lt;wsp:rsid wsp:val=&quot;000A5EA9&quot;/&gt;&lt;wsp:rsid wsp:val=&quot;000A611E&quot;/&gt;&lt;wsp:rsid wsp:val=&quot;000A6372&quot;/&gt;&lt;wsp:rsid wsp:val=&quot;000A68B1&quot;/&gt;&lt;wsp:rsid wsp:val=&quot;000A6AAC&quot;/&gt;&lt;wsp:rsid wsp:val=&quot;000A6BF9&quot;/&gt;&lt;wsp:rsid wsp:val=&quot;000A6E06&quot;/&gt;&lt;wsp:rsid wsp:val=&quot;000A718C&quot;/&gt;&lt;wsp:rsid wsp:val=&quot;000A741A&quot;/&gt;&lt;wsp:rsid wsp:val=&quot;000A7430&quot;/&gt;&lt;wsp:rsid wsp:val=&quot;000A7482&quot;/&gt;&lt;wsp:rsid wsp:val=&quot;000A7895&quot;/&gt;&lt;wsp:rsid wsp:val=&quot;000A7BD7&quot;/&gt;&lt;wsp:rsid wsp:val=&quot;000A7D80&quot;/&gt;&lt;wsp:rsid wsp:val=&quot;000B1142&quot;/&gt;&lt;wsp:rsid wsp:val=&quot;000B1322&quot;/&gt;&lt;wsp:rsid wsp:val=&quot;000B149A&quot;/&gt;&lt;wsp:rsid wsp:val=&quot;000B14DF&quot;/&gt;&lt;wsp:rsid wsp:val=&quot;000B167D&quot;/&gt;&lt;wsp:rsid wsp:val=&quot;000B1B67&quot;/&gt;&lt;wsp:rsid wsp:val=&quot;000B1E31&quot;/&gt;&lt;wsp:rsid wsp:val=&quot;000B221A&quot;/&gt;&lt;wsp:rsid wsp:val=&quot;000B251B&quot;/&gt;&lt;wsp:rsid wsp:val=&quot;000B25C3&quot;/&gt;&lt;wsp:rsid wsp:val=&quot;000B27FD&quot;/&gt;&lt;wsp:rsid wsp:val=&quot;000B286C&quot;/&gt;&lt;wsp:rsid wsp:val=&quot;000B2B47&quot;/&gt;&lt;wsp:rsid wsp:val=&quot;000B2B6B&quot;/&gt;&lt;wsp:rsid wsp:val=&quot;000B2C1A&quot;/&gt;&lt;wsp:rsid wsp:val=&quot;000B2EB4&quot;/&gt;&lt;wsp:rsid wsp:val=&quot;000B3481&quot;/&gt;&lt;wsp:rsid wsp:val=&quot;000B3B79&quot;/&gt;&lt;wsp:rsid wsp:val=&quot;000B4097&quot;/&gt;&lt;wsp:rsid wsp:val=&quot;000B40D5&quot;/&gt;&lt;wsp:rsid wsp:val=&quot;000B439E&quot;/&gt;&lt;wsp:rsid wsp:val=&quot;000B4880&quot;/&gt;&lt;wsp:rsid wsp:val=&quot;000B4C48&quot;/&gt;&lt;wsp:rsid wsp:val=&quot;000B51E8&quot;/&gt;&lt;wsp:rsid wsp:val=&quot;000B5B75&quot;/&gt;&lt;wsp:rsid wsp:val=&quot;000B5B94&quot;/&gt;&lt;wsp:rsid wsp:val=&quot;000B5C9E&quot;/&gt;&lt;wsp:rsid wsp:val=&quot;000B641C&quot;/&gt;&lt;wsp:rsid wsp:val=&quot;000B6424&quot;/&gt;&lt;wsp:rsid wsp:val=&quot;000B6501&quot;/&gt;&lt;wsp:rsid wsp:val=&quot;000B6618&quot;/&gt;&lt;wsp:rsid wsp:val=&quot;000B693A&quot;/&gt;&lt;wsp:rsid wsp:val=&quot;000B69BA&quot;/&gt;&lt;wsp:rsid wsp:val=&quot;000B6EF4&quot;/&gt;&lt;wsp:rsid wsp:val=&quot;000B6F17&quot;/&gt;&lt;wsp:rsid wsp:val=&quot;000B6F8A&quot;/&gt;&lt;wsp:rsid wsp:val=&quot;000B7311&quot;/&gt;&lt;wsp:rsid wsp:val=&quot;000B7768&quot;/&gt;&lt;wsp:rsid wsp:val=&quot;000B79A3&quot;/&gt;&lt;wsp:rsid wsp:val=&quot;000C060E&quot;/&gt;&lt;wsp:rsid wsp:val=&quot;000C0854&quot;/&gt;&lt;wsp:rsid wsp:val=&quot;000C0E5A&quot;/&gt;&lt;wsp:rsid wsp:val=&quot;000C0F02&quot;/&gt;&lt;wsp:rsid wsp:val=&quot;000C134A&quot;/&gt;&lt;wsp:rsid wsp:val=&quot;000C1706&quot;/&gt;&lt;wsp:rsid wsp:val=&quot;000C1C1D&quot;/&gt;&lt;wsp:rsid wsp:val=&quot;000C1CF9&quot;/&gt;&lt;wsp:rsid wsp:val=&quot;000C1E63&quot;/&gt;&lt;wsp:rsid wsp:val=&quot;000C1FAA&quot;/&gt;&lt;wsp:rsid wsp:val=&quot;000C2A69&quot;/&gt;&lt;wsp:rsid wsp:val=&quot;000C313A&quot;/&gt;&lt;wsp:rsid wsp:val=&quot;000C313D&quot;/&gt;&lt;wsp:rsid wsp:val=&quot;000C324D&quot;/&gt;&lt;wsp:rsid wsp:val=&quot;000C3271&quot;/&gt;&lt;wsp:rsid wsp:val=&quot;000C34E4&quot;/&gt;&lt;wsp:rsid wsp:val=&quot;000C3563&quot;/&gt;&lt;wsp:rsid wsp:val=&quot;000C36F0&quot;/&gt;&lt;wsp:rsid wsp:val=&quot;000C3850&quot;/&gt;&lt;wsp:rsid wsp:val=&quot;000C3B1C&quot;/&gt;&lt;wsp:rsid wsp:val=&quot;000C3D26&quot;/&gt;&lt;wsp:rsid wsp:val=&quot;000C3E41&quot;/&gt;&lt;wsp:rsid wsp:val=&quot;000C40E5&quot;/&gt;&lt;wsp:rsid wsp:val=&quot;000C458C&quot;/&gt;&lt;wsp:rsid wsp:val=&quot;000C4D5D&quot;/&gt;&lt;wsp:rsid wsp:val=&quot;000C55A4&quot;/&gt;&lt;wsp:rsid wsp:val=&quot;000C5DF7&quot;/&gt;&lt;wsp:rsid wsp:val=&quot;000C6617&quot;/&gt;&lt;wsp:rsid wsp:val=&quot;000C68A4&quot;/&gt;&lt;wsp:rsid wsp:val=&quot;000C695C&quot;/&gt;&lt;wsp:rsid wsp:val=&quot;000C7051&quot;/&gt;&lt;wsp:rsid wsp:val=&quot;000C75BD&quot;/&gt;&lt;wsp:rsid wsp:val=&quot;000C771E&quot;/&gt;&lt;wsp:rsid wsp:val=&quot;000C7AF7&quot;/&gt;&lt;wsp:rsid wsp:val=&quot;000C7FDE&quot;/&gt;&lt;wsp:rsid wsp:val=&quot;000D024B&quot;/&gt;&lt;wsp:rsid wsp:val=&quot;000D03D3&quot;/&gt;&lt;wsp:rsid wsp:val=&quot;000D04D2&quot;/&gt;&lt;wsp:rsid wsp:val=&quot;000D05CB&quot;/&gt;&lt;wsp:rsid wsp:val=&quot;000D06AA&quot;/&gt;&lt;wsp:rsid wsp:val=&quot;000D0A5E&quot;/&gt;&lt;wsp:rsid wsp:val=&quot;000D0E34&quot;/&gt;&lt;wsp:rsid wsp:val=&quot;000D123D&quot;/&gt;&lt;wsp:rsid wsp:val=&quot;000D12B2&quot;/&gt;&lt;wsp:rsid wsp:val=&quot;000D1489&quot;/&gt;&lt;wsp:rsid wsp:val=&quot;000D1698&quot;/&gt;&lt;wsp:rsid wsp:val=&quot;000D1A50&quot;/&gt;&lt;wsp:rsid wsp:val=&quot;000D1C03&quot;/&gt;&lt;wsp:rsid wsp:val=&quot;000D1D53&quot;/&gt;&lt;wsp:rsid wsp:val=&quot;000D232C&quot;/&gt;&lt;wsp:rsid wsp:val=&quot;000D285E&quot;/&gt;&lt;wsp:rsid wsp:val=&quot;000D28F0&quot;/&gt;&lt;wsp:rsid wsp:val=&quot;000D296A&quot;/&gt;&lt;wsp:rsid wsp:val=&quot;000D2992&quot;/&gt;&lt;wsp:rsid wsp:val=&quot;000D2C72&quot;/&gt;&lt;wsp:rsid wsp:val=&quot;000D31FD&quot;/&gt;&lt;wsp:rsid wsp:val=&quot;000D3378&quot;/&gt;&lt;wsp:rsid wsp:val=&quot;000D35B2&quot;/&gt;&lt;wsp:rsid wsp:val=&quot;000D3671&quot;/&gt;&lt;wsp:rsid wsp:val=&quot;000D409D&quot;/&gt;&lt;wsp:rsid wsp:val=&quot;000D4513&quot;/&gt;&lt;wsp:rsid wsp:val=&quot;000D4CD0&quot;/&gt;&lt;wsp:rsid wsp:val=&quot;000D4D1D&quot;/&gt;&lt;wsp:rsid wsp:val=&quot;000D4DC6&quot;/&gt;&lt;wsp:rsid wsp:val=&quot;000D4F86&quot;/&gt;&lt;wsp:rsid wsp:val=&quot;000D50D1&quot;/&gt;&lt;wsp:rsid wsp:val=&quot;000D54E7&quot;/&gt;&lt;wsp:rsid wsp:val=&quot;000D5542&quot;/&gt;&lt;wsp:rsid wsp:val=&quot;000D569C&quot;/&gt;&lt;wsp:rsid wsp:val=&quot;000D57B5&quot;/&gt;&lt;wsp:rsid wsp:val=&quot;000D580C&quot;/&gt;&lt;wsp:rsid wsp:val=&quot;000D5848&quot;/&gt;&lt;wsp:rsid wsp:val=&quot;000D59E3&quot;/&gt;&lt;wsp:rsid wsp:val=&quot;000D5ACC&quot;/&gt;&lt;wsp:rsid wsp:val=&quot;000D5E6D&quot;/&gt;&lt;wsp:rsid wsp:val=&quot;000D5ED1&quot;/&gt;&lt;wsp:rsid wsp:val=&quot;000D6903&quot;/&gt;&lt;wsp:rsid wsp:val=&quot;000D6F84&quot;/&gt;&lt;wsp:rsid wsp:val=&quot;000D6FE1&quot;/&gt;&lt;wsp:rsid wsp:val=&quot;000D708D&quot;/&gt;&lt;wsp:rsid wsp:val=&quot;000D753B&quot;/&gt;&lt;wsp:rsid wsp:val=&quot;000D7FBD&quot;/&gt;&lt;wsp:rsid wsp:val=&quot;000E00E8&quot;/&gt;&lt;wsp:rsid wsp:val=&quot;000E013F&quot;/&gt;&lt;wsp:rsid wsp:val=&quot;000E08A7&quot;/&gt;&lt;wsp:rsid wsp:val=&quot;000E0D19&quot;/&gt;&lt;wsp:rsid wsp:val=&quot;000E1064&quot;/&gt;&lt;wsp:rsid wsp:val=&quot;000E1137&quot;/&gt;&lt;wsp:rsid wsp:val=&quot;000E1324&quot;/&gt;&lt;wsp:rsid wsp:val=&quot;000E147C&quot;/&gt;&lt;wsp:rsid wsp:val=&quot;000E16EE&quot;/&gt;&lt;wsp:rsid wsp:val=&quot;000E1736&quot;/&gt;&lt;wsp:rsid wsp:val=&quot;000E1B5F&quot;/&gt;&lt;wsp:rsid wsp:val=&quot;000E20CF&quot;/&gt;&lt;wsp:rsid wsp:val=&quot;000E2277&quot;/&gt;&lt;wsp:rsid wsp:val=&quot;000E22A7&quot;/&gt;&lt;wsp:rsid wsp:val=&quot;000E22ED&quot;/&gt;&lt;wsp:rsid wsp:val=&quot;000E25F1&quot;/&gt;&lt;wsp:rsid wsp:val=&quot;000E2A13&quot;/&gt;&lt;wsp:rsid wsp:val=&quot;000E32F7&quot;/&gt;&lt;wsp:rsid wsp:val=&quot;000E381E&quot;/&gt;&lt;wsp:rsid wsp:val=&quot;000E3AEB&quot;/&gt;&lt;wsp:rsid wsp:val=&quot;000E4019&quot;/&gt;&lt;wsp:rsid wsp:val=&quot;000E4421&quot;/&gt;&lt;wsp:rsid wsp:val=&quot;000E4906&quot;/&gt;&lt;wsp:rsid wsp:val=&quot;000E4CA2&quot;/&gt;&lt;wsp:rsid wsp:val=&quot;000E4F6D&quot;/&gt;&lt;wsp:rsid wsp:val=&quot;000E5496&quot;/&gt;&lt;wsp:rsid wsp:val=&quot;000E56AD&quot;/&gt;&lt;wsp:rsid wsp:val=&quot;000E56C5&quot;/&gt;&lt;wsp:rsid wsp:val=&quot;000E5B04&quot;/&gt;&lt;wsp:rsid wsp:val=&quot;000E64B9&quot;/&gt;&lt;wsp:rsid wsp:val=&quot;000E6562&quot;/&gt;&lt;wsp:rsid wsp:val=&quot;000E6586&quot;/&gt;&lt;wsp:rsid wsp:val=&quot;000E72CA&quot;/&gt;&lt;wsp:rsid wsp:val=&quot;000E7460&quot;/&gt;&lt;wsp:rsid wsp:val=&quot;000E785F&quot;/&gt;&lt;wsp:rsid wsp:val=&quot;000F0095&quot;/&gt;&lt;wsp:rsid wsp:val=&quot;000F0866&quot;/&gt;&lt;wsp:rsid wsp:val=&quot;000F08DE&quot;/&gt;&lt;wsp:rsid wsp:val=&quot;000F0AEA&quot;/&gt;&lt;wsp:rsid wsp:val=&quot;000F0B14&quot;/&gt;&lt;wsp:rsid wsp:val=&quot;000F0D9D&quot;/&gt;&lt;wsp:rsid wsp:val=&quot;000F1187&quot;/&gt;&lt;wsp:rsid wsp:val=&quot;000F13C2&quot;/&gt;&lt;wsp:rsid wsp:val=&quot;000F15F2&quot;/&gt;&lt;wsp:rsid wsp:val=&quot;000F1830&quot;/&gt;&lt;wsp:rsid wsp:val=&quot;000F2759&quot;/&gt;&lt;wsp:rsid wsp:val=&quot;000F317F&quot;/&gt;&lt;wsp:rsid wsp:val=&quot;000F337B&quot;/&gt;&lt;wsp:rsid wsp:val=&quot;000F3CC7&quot;/&gt;&lt;wsp:rsid wsp:val=&quot;000F403D&quot;/&gt;&lt;wsp:rsid wsp:val=&quot;000F4287&quot;/&gt;&lt;wsp:rsid wsp:val=&quot;000F4389&quot;/&gt;&lt;wsp:rsid wsp:val=&quot;000F484B&quot;/&gt;&lt;wsp:rsid wsp:val=&quot;000F4FAE&quot;/&gt;&lt;wsp:rsid wsp:val=&quot;000F5591&quot;/&gt;&lt;wsp:rsid wsp:val=&quot;000F57E4&quot;/&gt;&lt;wsp:rsid wsp:val=&quot;000F5C16&quot;/&gt;&lt;wsp:rsid wsp:val=&quot;000F60E6&quot;/&gt;&lt;wsp:rsid wsp:val=&quot;000F6F5B&quot;/&gt;&lt;wsp:rsid wsp:val=&quot;000F743B&quot;/&gt;&lt;wsp:rsid wsp:val=&quot;000F79ED&quot;/&gt;&lt;wsp:rsid wsp:val=&quot;000F7E8F&quot;/&gt;&lt;wsp:rsid wsp:val=&quot;00100565&quot;/&gt;&lt;wsp:rsid wsp:val=&quot;0010079F&quot;/&gt;&lt;wsp:rsid wsp:val=&quot;001007F6&quot;/&gt;&lt;wsp:rsid wsp:val=&quot;0010085A&quot;/&gt;&lt;wsp:rsid wsp:val=&quot;00100B18&quot;/&gt;&lt;wsp:rsid wsp:val=&quot;00100C0C&quot;/&gt;&lt;wsp:rsid wsp:val=&quot;00100FA1&quot;/&gt;&lt;wsp:rsid wsp:val=&quot;00100FA5&quot;/&gt;&lt;wsp:rsid wsp:val=&quot;0010136D&quot;/&gt;&lt;wsp:rsid wsp:val=&quot;001013C0&quot;/&gt;&lt;wsp:rsid wsp:val=&quot;0010153E&quot;/&gt;&lt;wsp:rsid wsp:val=&quot;001017D1&quot;/&gt;&lt;wsp:rsid wsp:val=&quot;00101889&quot;/&gt;&lt;wsp:rsid wsp:val=&quot;00101BF0&quot;/&gt;&lt;wsp:rsid wsp:val=&quot;00102343&quot;/&gt;&lt;wsp:rsid wsp:val=&quot;00102433&quot;/&gt;&lt;wsp:rsid wsp:val=&quot;00102564&quot;/&gt;&lt;wsp:rsid wsp:val=&quot;001028FB&quot;/&gt;&lt;wsp:rsid wsp:val=&quot;0010291C&quot;/&gt;&lt;wsp:rsid wsp:val=&quot;00102B88&quot;/&gt;&lt;wsp:rsid wsp:val=&quot;00102C99&quot;/&gt;&lt;wsp:rsid wsp:val=&quot;00103887&quot;/&gt;&lt;wsp:rsid wsp:val=&quot;00103962&quot;/&gt;&lt;wsp:rsid wsp:val=&quot;00103D38&quot;/&gt;&lt;wsp:rsid wsp:val=&quot;00104722&quot;/&gt;&lt;wsp:rsid wsp:val=&quot;00104A66&quot;/&gt;&lt;wsp:rsid wsp:val=&quot;00104A96&quot;/&gt;&lt;wsp:rsid wsp:val=&quot;00104DF2&quot;/&gt;&lt;wsp:rsid wsp:val=&quot;00104E38&quot;/&gt;&lt;wsp:rsid wsp:val=&quot;00104E39&quot;/&gt;&lt;wsp:rsid wsp:val=&quot;001053AC&quot;/&gt;&lt;wsp:rsid wsp:val=&quot;001055E1&quot;/&gt;&lt;wsp:rsid wsp:val=&quot;001057A1&quot;/&gt;&lt;wsp:rsid wsp:val=&quot;00105C11&quot;/&gt;&lt;wsp:rsid wsp:val=&quot;00105CA0&quot;/&gt;&lt;wsp:rsid wsp:val=&quot;0010630B&quot;/&gt;&lt;wsp:rsid wsp:val=&quot;0010653D&quot;/&gt;&lt;wsp:rsid wsp:val=&quot;0010728C&quot;/&gt;&lt;wsp:rsid wsp:val=&quot;00107807&quot;/&gt;&lt;wsp:rsid wsp:val=&quot;0010780B&quot;/&gt;&lt;wsp:rsid wsp:val=&quot;0010794E&quot;/&gt;&lt;wsp:rsid wsp:val=&quot;00107B11&quot;/&gt;&lt;wsp:rsid wsp:val=&quot;00107B79&quot;/&gt;&lt;wsp:rsid wsp:val=&quot;00107D7C&quot;/&gt;&lt;wsp:rsid wsp:val=&quot;00107DE6&quot;/&gt;&lt;wsp:rsid wsp:val=&quot;00110460&quot;/&gt;&lt;wsp:rsid wsp:val=&quot;00110AD1&quot;/&gt;&lt;wsp:rsid wsp:val=&quot;00110B44&quot;/&gt;&lt;wsp:rsid wsp:val=&quot;00110C30&quot;/&gt;&lt;wsp:rsid wsp:val=&quot;00110DE8&quot;/&gt;&lt;wsp:rsid wsp:val=&quot;00111278&quot;/&gt;&lt;wsp:rsid wsp:val=&quot;00111481&quot;/&gt;&lt;wsp:rsid wsp:val=&quot;00111703&quot;/&gt;&lt;wsp:rsid wsp:val=&quot;001122D9&quot;/&gt;&lt;wsp:rsid wsp:val=&quot;001125E5&quot;/&gt;&lt;wsp:rsid wsp:val=&quot;001125E7&quot;/&gt;&lt;wsp:rsid wsp:val=&quot;0011327A&quot;/&gt;&lt;wsp:rsid wsp:val=&quot;001132D9&quot;/&gt;&lt;wsp:rsid wsp:val=&quot;00113605&quot;/&gt;&lt;wsp:rsid wsp:val=&quot;00113943&quot;/&gt;&lt;wsp:rsid wsp:val=&quot;00113975&quot;/&gt;&lt;wsp:rsid wsp:val=&quot;00113AE1&quot;/&gt;&lt;wsp:rsid wsp:val=&quot;00113D29&quot;/&gt;&lt;wsp:rsid wsp:val=&quot;0011400E&quot;/&gt;&lt;wsp:rsid wsp:val=&quot;0011403F&quot;/&gt;&lt;wsp:rsid wsp:val=&quot;001144DA&quot;/&gt;&lt;wsp:rsid wsp:val=&quot;0011463D&quot;/&gt;&lt;wsp:rsid wsp:val=&quot;001147C3&quot;/&gt;&lt;wsp:rsid wsp:val=&quot;00115092&quot;/&gt;&lt;wsp:rsid wsp:val=&quot;001151F3&quot;/&gt;&lt;wsp:rsid wsp:val=&quot;001151FC&quot;/&gt;&lt;wsp:rsid wsp:val=&quot;00115369&quot;/&gt;&lt;wsp:rsid wsp:val=&quot;00115564&quot;/&gt;&lt;wsp:rsid wsp:val=&quot;00115E0B&quot;/&gt;&lt;wsp:rsid wsp:val=&quot;00115E7A&quot;/&gt;&lt;wsp:rsid wsp:val=&quot;00115FB8&quot;/&gt;&lt;wsp:rsid wsp:val=&quot;001163B4&quot;/&gt;&lt;wsp:rsid wsp:val=&quot;0011652B&quot;/&gt;&lt;wsp:rsid wsp:val=&quot;0011673A&quot;/&gt;&lt;wsp:rsid wsp:val=&quot;001167F3&quot;/&gt;&lt;wsp:rsid wsp:val=&quot;0011681B&quot;/&gt;&lt;wsp:rsid wsp:val=&quot;00116D9F&quot;/&gt;&lt;wsp:rsid wsp:val=&quot;00117135&quot;/&gt;&lt;wsp:rsid wsp:val=&quot;00117DF4&quot;/&gt;&lt;wsp:rsid wsp:val=&quot;00117E44&quot;/&gt;&lt;wsp:rsid wsp:val=&quot;001208F5&quot;/&gt;&lt;wsp:rsid wsp:val=&quot;00120EEF&quot;/&gt;&lt;wsp:rsid wsp:val=&quot;00121126&quot;/&gt;&lt;wsp:rsid wsp:val=&quot;00121370&quot;/&gt;&lt;wsp:rsid wsp:val=&quot;00121427&quot;/&gt;&lt;wsp:rsid wsp:val=&quot;00121B9F&quot;/&gt;&lt;wsp:rsid wsp:val=&quot;001225E5&quot;/&gt;&lt;wsp:rsid wsp:val=&quot;00123406&quot;/&gt;&lt;wsp:rsid wsp:val=&quot;00124033&quot;/&gt;&lt;wsp:rsid wsp:val=&quot;0012413D&quot;/&gt;&lt;wsp:rsid wsp:val=&quot;0012415F&quot;/&gt;&lt;wsp:rsid wsp:val=&quot;0012466D&quot;/&gt;&lt;wsp:rsid wsp:val=&quot;001246E9&quot;/&gt;&lt;wsp:rsid wsp:val=&quot;00124768&quot;/&gt;&lt;wsp:rsid wsp:val=&quot;0012480C&quot;/&gt;&lt;wsp:rsid wsp:val=&quot;00124B97&quot;/&gt;&lt;wsp:rsid wsp:val=&quot;00124D10&quot;/&gt;&lt;wsp:rsid wsp:val=&quot;00124EFA&quot;/&gt;&lt;wsp:rsid wsp:val=&quot;001253F8&quot;/&gt;&lt;wsp:rsid wsp:val=&quot;001256E6&quot;/&gt;&lt;wsp:rsid wsp:val=&quot;00125704&quot;/&gt;&lt;wsp:rsid wsp:val=&quot;00125993&quot;/&gt;&lt;wsp:rsid wsp:val=&quot;00125E3E&quot;/&gt;&lt;wsp:rsid wsp:val=&quot;00125EC8&quot;/&gt;&lt;wsp:rsid wsp:val=&quot;001267F3&quot;/&gt;&lt;wsp:rsid wsp:val=&quot;00126B33&quot;/&gt;&lt;wsp:rsid wsp:val=&quot;00126B66&quot;/&gt;&lt;wsp:rsid wsp:val=&quot;00126C2D&quot;/&gt;&lt;wsp:rsid wsp:val=&quot;001275D2&quot;/&gt;&lt;wsp:rsid wsp:val=&quot;0012786E&quot;/&gt;&lt;wsp:rsid wsp:val=&quot;00127BAB&quot;/&gt;&lt;wsp:rsid wsp:val=&quot;00127E98&quot;/&gt;&lt;wsp:rsid wsp:val=&quot;00127FB2&quot;/&gt;&lt;wsp:rsid wsp:val=&quot;00127FB5&quot;/&gt;&lt;wsp:rsid wsp:val=&quot;00130A74&quot;/&gt;&lt;wsp:rsid wsp:val=&quot;00130C1F&quot;/&gt;&lt;wsp:rsid wsp:val=&quot;00130DF6&quot;/&gt;&lt;wsp:rsid wsp:val=&quot;001312C9&quot;/&gt;&lt;wsp:rsid wsp:val=&quot;001321C2&quot;/&gt;&lt;wsp:rsid wsp:val=&quot;0013228C&quot;/&gt;&lt;wsp:rsid wsp:val=&quot;00132445&quot;/&gt;&lt;wsp:rsid wsp:val=&quot;001324E1&quot;/&gt;&lt;wsp:rsid wsp:val=&quot;00132A51&quot;/&gt;&lt;wsp:rsid wsp:val=&quot;00132F01&quot;/&gt;&lt;wsp:rsid wsp:val=&quot;001331C9&quot;/&gt;&lt;wsp:rsid wsp:val=&quot;00133252&quot;/&gt;&lt;wsp:rsid wsp:val=&quot;0013329B&quot;/&gt;&lt;wsp:rsid wsp:val=&quot;0013382F&quot;/&gt;&lt;wsp:rsid wsp:val=&quot;00133B6E&quot;/&gt;&lt;wsp:rsid wsp:val=&quot;00133C59&quot;/&gt;&lt;wsp:rsid wsp:val=&quot;001340D6&quot;/&gt;&lt;wsp:rsid wsp:val=&quot;0013449E&quot;/&gt;&lt;wsp:rsid wsp:val=&quot;001348A5&quot;/&gt;&lt;wsp:rsid wsp:val=&quot;00134C65&quot;/&gt;&lt;wsp:rsid wsp:val=&quot;00135B13&quot;/&gt;&lt;wsp:rsid wsp:val=&quot;00135BE2&quot;/&gt;&lt;wsp:rsid wsp:val=&quot;00135E40&quot;/&gt;&lt;wsp:rsid wsp:val=&quot;00136038&quot;/&gt;&lt;wsp:rsid wsp:val=&quot;00136172&quot;/&gt;&lt;wsp:rsid wsp:val=&quot;00136726&quot;/&gt;&lt;wsp:rsid wsp:val=&quot;0013675C&quot;/&gt;&lt;wsp:rsid wsp:val=&quot;00136943&quot;/&gt;&lt;wsp:rsid wsp:val=&quot;00136DD5&quot;/&gt;&lt;wsp:rsid wsp:val=&quot;00137CD1&quot;/&gt;&lt;wsp:rsid wsp:val=&quot;00137DDF&quot;/&gt;&lt;wsp:rsid wsp:val=&quot;00140462&quot;/&gt;&lt;wsp:rsid wsp:val=&quot;001405F2&quot;/&gt;&lt;wsp:rsid wsp:val=&quot;00140671&quot;/&gt;&lt;wsp:rsid wsp:val=&quot;00140930&quot;/&gt;&lt;wsp:rsid wsp:val=&quot;00140D73&quot;/&gt;&lt;wsp:rsid wsp:val=&quot;0014116A&quot;/&gt;&lt;wsp:rsid wsp:val=&quot;0014122E&quot;/&gt;&lt;wsp:rsid wsp:val=&quot;001412BE&quot;/&gt;&lt;wsp:rsid wsp:val=&quot;0014148D&quot;/&gt;&lt;wsp:rsid wsp:val=&quot;00141775&quot;/&gt;&lt;wsp:rsid wsp:val=&quot;001419DB&quot;/&gt;&lt;wsp:rsid wsp:val=&quot;00141C07&quot;/&gt;&lt;wsp:rsid wsp:val=&quot;00141C08&quot;/&gt;&lt;wsp:rsid wsp:val=&quot;00141C38&quot;/&gt;&lt;wsp:rsid wsp:val=&quot;00141EB4&quot;/&gt;&lt;wsp:rsid wsp:val=&quot;00141F2E&quot;/&gt;&lt;wsp:rsid wsp:val=&quot;00141FDD&quot;/&gt;&lt;wsp:rsid wsp:val=&quot;0014294F&quot;/&gt;&lt;wsp:rsid wsp:val=&quot;001429CB&quot;/&gt;&lt;wsp:rsid wsp:val=&quot;00142FE8&quot;/&gt;&lt;wsp:rsid wsp:val=&quot;0014322A&quot;/&gt;&lt;wsp:rsid wsp:val=&quot;001436EE&quot;/&gt;&lt;wsp:rsid wsp:val=&quot;00143B0F&quot;/&gt;&lt;wsp:rsid wsp:val=&quot;00143BC4&quot;/&gt;&lt;wsp:rsid wsp:val=&quot;00143C67&quot;/&gt;&lt;wsp:rsid wsp:val=&quot;00143F7F&quot;/&gt;&lt;wsp:rsid wsp:val=&quot;00144047&quot;/&gt;&lt;wsp:rsid wsp:val=&quot;00144059&quot;/&gt;&lt;wsp:rsid wsp:val=&quot;001440E7&quot;/&gt;&lt;wsp:rsid wsp:val=&quot;00144344&quot;/&gt;&lt;wsp:rsid wsp:val=&quot;00144374&quot;/&gt;&lt;wsp:rsid wsp:val=&quot;0014437D&quot;/&gt;&lt;wsp:rsid wsp:val=&quot;0014466E&quot;/&gt;&lt;wsp:rsid wsp:val=&quot;00144673&quot;/&gt;&lt;wsp:rsid wsp:val=&quot;001446D2&quot;/&gt;&lt;wsp:rsid wsp:val=&quot;00144726&quot;/&gt;&lt;wsp:rsid wsp:val=&quot;00144767&quot;/&gt;&lt;wsp:rsid wsp:val=&quot;0014490D&quot;/&gt;&lt;wsp:rsid wsp:val=&quot;00144F35&quot;/&gt;&lt;wsp:rsid wsp:val=&quot;00145331&quot;/&gt;&lt;wsp:rsid wsp:val=&quot;001455DE&quot;/&gt;&lt;wsp:rsid wsp:val=&quot;00145803&quot;/&gt;&lt;wsp:rsid wsp:val=&quot;00145BF2&quot;/&gt;&lt;wsp:rsid wsp:val=&quot;00145C4D&quot;/&gt;&lt;wsp:rsid wsp:val=&quot;00146184&quot;/&gt;&lt;wsp:rsid wsp:val=&quot;00146391&quot;/&gt;&lt;wsp:rsid wsp:val=&quot;00146607&quot;/&gt;&lt;wsp:rsid wsp:val=&quot;0014699F&quot;/&gt;&lt;wsp:rsid wsp:val=&quot;00146A2F&quot;/&gt;&lt;wsp:rsid wsp:val=&quot;00146B05&quot;/&gt;&lt;wsp:rsid wsp:val=&quot;00146C8A&quot;/&gt;&lt;wsp:rsid wsp:val=&quot;00146D55&quot;/&gt;&lt;wsp:rsid wsp:val=&quot;00146F18&quot;/&gt;&lt;wsp:rsid wsp:val=&quot;00147126&quot;/&gt;&lt;wsp:rsid wsp:val=&quot;0014724F&quot;/&gt;&lt;wsp:rsid wsp:val=&quot;00147295&quot;/&gt;&lt;wsp:rsid wsp:val=&quot;00147818&quot;/&gt;&lt;wsp:rsid wsp:val=&quot;00147FEF&quot;/&gt;&lt;wsp:rsid wsp:val=&quot;00150376&quot;/&gt;&lt;wsp:rsid wsp:val=&quot;001503D0&quot;/&gt;&lt;wsp:rsid wsp:val=&quot;00150521&quot;/&gt;&lt;wsp:rsid wsp:val=&quot;00150814&quot;/&gt;&lt;wsp:rsid wsp:val=&quot;0015087D&quot;/&gt;&lt;wsp:rsid wsp:val=&quot;0015097F&quot;/&gt;&lt;wsp:rsid wsp:val=&quot;001509CA&quot;/&gt;&lt;wsp:rsid wsp:val=&quot;00150C1E&quot;/&gt;&lt;wsp:rsid wsp:val=&quot;0015167F&quot;/&gt;&lt;wsp:rsid wsp:val=&quot;00151943&quot;/&gt;&lt;wsp:rsid wsp:val=&quot;00151F94&quot;/&gt;&lt;wsp:rsid wsp:val=&quot;001524FB&quot;/&gt;&lt;wsp:rsid wsp:val=&quot;00152701&quot;/&gt;&lt;wsp:rsid wsp:val=&quot;00152B08&quot;/&gt;&lt;wsp:rsid wsp:val=&quot;00153540&quot;/&gt;&lt;wsp:rsid wsp:val=&quot;00153976&quot;/&gt;&lt;wsp:rsid wsp:val=&quot;00153DAE&quot;/&gt;&lt;wsp:rsid wsp:val=&quot;00153DC2&quot;/&gt;&lt;wsp:rsid wsp:val=&quot;001540BA&quot;/&gt;&lt;wsp:rsid wsp:val=&quot;00154274&quot;/&gt;&lt;wsp:rsid wsp:val=&quot;001543E0&quot;/&gt;&lt;wsp:rsid wsp:val=&quot;00154653&quot;/&gt;&lt;wsp:rsid wsp:val=&quot;00154F6D&quot;/&gt;&lt;wsp:rsid wsp:val=&quot;001556FC&quot;/&gt;&lt;wsp:rsid wsp:val=&quot;0015573A&quot;/&gt;&lt;wsp:rsid wsp:val=&quot;00155EEA&quot;/&gt;&lt;wsp:rsid wsp:val=&quot;00155FD9&quot;/&gt;&lt;wsp:rsid wsp:val=&quot;00156434&quot;/&gt;&lt;wsp:rsid wsp:val=&quot;00156556&quot;/&gt;&lt;wsp:rsid wsp:val=&quot;00156744&quot;/&gt;&lt;wsp:rsid wsp:val=&quot;00157387&quot;/&gt;&lt;wsp:rsid wsp:val=&quot;00157584&quot;/&gt;&lt;wsp:rsid wsp:val=&quot;001575D4&quot;/&gt;&lt;wsp:rsid wsp:val=&quot;001575F8&quot;/&gt;&lt;wsp:rsid wsp:val=&quot;00157648&quot;/&gt;&lt;wsp:rsid wsp:val=&quot;00157866&quot;/&gt;&lt;wsp:rsid wsp:val=&quot;00157980&quot;/&gt;&lt;wsp:rsid wsp:val=&quot;00157E05&quot;/&gt;&lt;wsp:rsid wsp:val=&quot;00160454&quot;/&gt;&lt;wsp:rsid wsp:val=&quot;0016058D&quot;/&gt;&lt;wsp:rsid wsp:val=&quot;001607E5&quot;/&gt;&lt;wsp:rsid wsp:val=&quot;00160980&quot;/&gt;&lt;wsp:rsid wsp:val=&quot;00160AD4&quot;/&gt;&lt;wsp:rsid wsp:val=&quot;00160BC7&quot;/&gt;&lt;wsp:rsid wsp:val=&quot;0016130B&quot;/&gt;&lt;wsp:rsid wsp:val=&quot;00161353&quot;/&gt;&lt;wsp:rsid wsp:val=&quot;00161462&quot;/&gt;&lt;wsp:rsid wsp:val=&quot;00161490&quot;/&gt;&lt;wsp:rsid wsp:val=&quot;0016182B&quot;/&gt;&lt;wsp:rsid wsp:val=&quot;00161DB9&quot;/&gt;&lt;wsp:rsid wsp:val=&quot;00162104&quot;/&gt;&lt;wsp:rsid wsp:val=&quot;00162740&quot;/&gt;&lt;wsp:rsid wsp:val=&quot;001628A9&quot;/&gt;&lt;wsp:rsid wsp:val=&quot;00162E69&quot;/&gt;&lt;wsp:rsid wsp:val=&quot;00163665&quot;/&gt;&lt;wsp:rsid wsp:val=&quot;00163743&quot;/&gt;&lt;wsp:rsid wsp:val=&quot;00163994&quot;/&gt;&lt;wsp:rsid wsp:val=&quot;001639AB&quot;/&gt;&lt;wsp:rsid wsp:val=&quot;001645C3&quot;/&gt;&lt;wsp:rsid wsp:val=&quot;00164650&quot;/&gt;&lt;wsp:rsid wsp:val=&quot;001649E4&quot;/&gt;&lt;wsp:rsid wsp:val=&quot;00164C4E&quot;/&gt;&lt;wsp:rsid wsp:val=&quot;00164FC4&quot;/&gt;&lt;wsp:rsid wsp:val=&quot;001657A1&quot;/&gt;&lt;wsp:rsid wsp:val=&quot;00165961&quot;/&gt;&lt;wsp:rsid wsp:val=&quot;00165B3A&quot;/&gt;&lt;wsp:rsid wsp:val=&quot;001669D3&quot;/&gt;&lt;wsp:rsid wsp:val=&quot;00166F4B&quot;/&gt;&lt;wsp:rsid wsp:val=&quot;00166FBD&quot;/&gt;&lt;wsp:rsid wsp:val=&quot;0016714B&quot;/&gt;&lt;wsp:rsid wsp:val=&quot;001674EC&quot;/&gt;&lt;wsp:rsid wsp:val=&quot;00167577&quot;/&gt;&lt;wsp:rsid wsp:val=&quot;0017016D&quot;/&gt;&lt;wsp:rsid wsp:val=&quot;001701DB&quot;/&gt;&lt;wsp:rsid wsp:val=&quot;001702AB&quot;/&gt;&lt;wsp:rsid wsp:val=&quot;001702D1&quot;/&gt;&lt;wsp:rsid wsp:val=&quot;001711EE&quot;/&gt;&lt;wsp:rsid wsp:val=&quot;001715F7&quot;/&gt;&lt;wsp:rsid wsp:val=&quot;00171C5B&quot;/&gt;&lt;wsp:rsid wsp:val=&quot;00171D1D&quot;/&gt;&lt;wsp:rsid wsp:val=&quot;00171D8A&quot;/&gt;&lt;wsp:rsid wsp:val=&quot;00172378&quot;/&gt;&lt;wsp:rsid wsp:val=&quot;001727E1&quot;/&gt;&lt;wsp:rsid wsp:val=&quot;0017294C&quot;/&gt;&lt;wsp:rsid wsp:val=&quot;00172971&quot;/&gt;&lt;wsp:rsid wsp:val=&quot;00173011&quot;/&gt;&lt;wsp:rsid wsp:val=&quot;0017323B&quot;/&gt;&lt;wsp:rsid wsp:val=&quot;00173241&quot;/&gt;&lt;wsp:rsid wsp:val=&quot;00173670&quot;/&gt;&lt;wsp:rsid wsp:val=&quot;0017389A&quot;/&gt;&lt;wsp:rsid wsp:val=&quot;00173C4A&quot;/&gt;&lt;wsp:rsid wsp:val=&quot;00173ECC&quot;/&gt;&lt;wsp:rsid wsp:val=&quot;00174454&quot;/&gt;&lt;wsp:rsid wsp:val=&quot;001745DE&quot;/&gt;&lt;wsp:rsid wsp:val=&quot;00175009&quot;/&gt;&lt;wsp:rsid wsp:val=&quot;001751C4&quot;/&gt;&lt;wsp:rsid wsp:val=&quot;00175348&quot;/&gt;&lt;wsp:rsid wsp:val=&quot;00175713&quot;/&gt;&lt;wsp:rsid wsp:val=&quot;00175844&quot;/&gt;&lt;wsp:rsid wsp:val=&quot;001762BD&quot;/&gt;&lt;wsp:rsid wsp:val=&quot;001769AA&quot;/&gt;&lt;wsp:rsid wsp:val=&quot;001773E7&quot;/&gt;&lt;wsp:rsid wsp:val=&quot;001774A5&quot;/&gt;&lt;wsp:rsid wsp:val=&quot;00177518&quot;/&gt;&lt;wsp:rsid wsp:val=&quot;001775EF&quot;/&gt;&lt;wsp:rsid wsp:val=&quot;00177C23&quot;/&gt;&lt;wsp:rsid wsp:val=&quot;00177C63&quot;/&gt;&lt;wsp:rsid wsp:val=&quot;00177D8A&quot;/&gt;&lt;wsp:rsid wsp:val=&quot;0018028C&quot;/&gt;&lt;wsp:rsid wsp:val=&quot;0018034A&quot;/&gt;&lt;wsp:rsid wsp:val=&quot;001804DC&quot;/&gt;&lt;wsp:rsid wsp:val=&quot;0018072A&quot;/&gt;&lt;wsp:rsid wsp:val=&quot;00180756&quot;/&gt;&lt;wsp:rsid wsp:val=&quot;001807D6&quot;/&gt;&lt;wsp:rsid wsp:val=&quot;00180838&quot;/&gt;&lt;wsp:rsid wsp:val=&quot;00180AB2&quot;/&gt;&lt;wsp:rsid wsp:val=&quot;00180AC9&quot;/&gt;&lt;wsp:rsid wsp:val=&quot;00180C62&quot;/&gt;&lt;wsp:rsid wsp:val=&quot;00180CB8&quot;/&gt;&lt;wsp:rsid wsp:val=&quot;0018185E&quot;/&gt;&lt;wsp:rsid wsp:val=&quot;00181916&quot;/&gt;&lt;wsp:rsid wsp:val=&quot;001819E1&quot;/&gt;&lt;wsp:rsid wsp:val=&quot;00181AF5&quot;/&gt;&lt;wsp:rsid wsp:val=&quot;00181D86&quot;/&gt;&lt;wsp:rsid wsp:val=&quot;00182435&quot;/&gt;&lt;wsp:rsid wsp:val=&quot;0018270F&quot;/&gt;&lt;wsp:rsid wsp:val=&quot;00182B5D&quot;/&gt;&lt;wsp:rsid wsp:val=&quot;00182C59&quot;/&gt;&lt;wsp:rsid wsp:val=&quot;00182D3D&quot;/&gt;&lt;wsp:rsid wsp:val=&quot;00182DD9&quot;/&gt;&lt;wsp:rsid wsp:val=&quot;001830E6&quot;/&gt;&lt;wsp:rsid wsp:val=&quot;001833EA&quot;/&gt;&lt;wsp:rsid wsp:val=&quot;0018344F&quot;/&gt;&lt;wsp:rsid wsp:val=&quot;00183C87&quot;/&gt;&lt;wsp:rsid wsp:val=&quot;00184DF4&quot;/&gt;&lt;wsp:rsid wsp:val=&quot;00184E1F&quot;/&gt;&lt;wsp:rsid wsp:val=&quot;00184E5F&quot;/&gt;&lt;wsp:rsid wsp:val=&quot;00184EA7&quot;/&gt;&lt;wsp:rsid wsp:val=&quot;00184F02&quot;/&gt;&lt;wsp:rsid wsp:val=&quot;001851CE&quot;/&gt;&lt;wsp:rsid wsp:val=&quot;001859B1&quot;/&gt;&lt;wsp:rsid wsp:val=&quot;0018645F&quot;/&gt;&lt;wsp:rsid wsp:val=&quot;00186981&quot;/&gt;&lt;wsp:rsid wsp:val=&quot;00186F25&quot;/&gt;&lt;wsp:rsid wsp:val=&quot;00187388&quot;/&gt;&lt;wsp:rsid wsp:val=&quot;00187D3C&quot;/&gt;&lt;wsp:rsid wsp:val=&quot;00187E46&quot;/&gt;&lt;wsp:rsid wsp:val=&quot;00190701&quot;/&gt;&lt;wsp:rsid wsp:val=&quot;00190B5D&quot;/&gt;&lt;wsp:rsid wsp:val=&quot;00190C3E&quot;/&gt;&lt;wsp:rsid wsp:val=&quot;00190EBA&quot;/&gt;&lt;wsp:rsid wsp:val=&quot;00191054&quot;/&gt;&lt;wsp:rsid wsp:val=&quot;0019249F&quot;/&gt;&lt;wsp:rsid wsp:val=&quot;00192717&quot;/&gt;&lt;wsp:rsid wsp:val=&quot;00192EA2&quot;/&gt;&lt;wsp:rsid wsp:val=&quot;00193079&quot;/&gt;&lt;wsp:rsid wsp:val=&quot;0019361F&quot;/&gt;&lt;wsp:rsid wsp:val=&quot;0019383D&quot;/&gt;&lt;wsp:rsid wsp:val=&quot;00194523&quot;/&gt;&lt;wsp:rsid wsp:val=&quot;0019482F&quot;/&gt;&lt;wsp:rsid wsp:val=&quot;00194E37&quot;/&gt;&lt;wsp:rsid wsp:val=&quot;00194EE0&quot;/&gt;&lt;wsp:rsid wsp:val=&quot;00195278&quot;/&gt;&lt;wsp:rsid wsp:val=&quot;001952EF&quot;/&gt;&lt;wsp:rsid wsp:val=&quot;0019531D&quot;/&gt;&lt;wsp:rsid wsp:val=&quot;001959E3&quot;/&gt;&lt;wsp:rsid wsp:val=&quot;00195B86&quot;/&gt;&lt;wsp:rsid wsp:val=&quot;00195F8B&quot;/&gt;&lt;wsp:rsid wsp:val=&quot;00196048&quot;/&gt;&lt;wsp:rsid wsp:val=&quot;00196061&quot;/&gt;&lt;wsp:rsid wsp:val=&quot;00196267&quot;/&gt;&lt;wsp:rsid wsp:val=&quot;001962DB&quot;/&gt;&lt;wsp:rsid wsp:val=&quot;001964A3&quot;/&gt;&lt;wsp:rsid wsp:val=&quot;001965B3&quot;/&gt;&lt;wsp:rsid wsp:val=&quot;0019674E&quot;/&gt;&lt;wsp:rsid wsp:val=&quot;0019686A&quot;/&gt;&lt;wsp:rsid wsp:val=&quot;00196903&quot;/&gt;&lt;wsp:rsid wsp:val=&quot;00196CEE&quot;/&gt;&lt;wsp:rsid wsp:val=&quot;00196D2C&quot;/&gt;&lt;wsp:rsid wsp:val=&quot;00196E61&quot;/&gt;&lt;wsp:rsid wsp:val=&quot;0019781F&quot;/&gt;&lt;wsp:rsid wsp:val=&quot;001978D8&quot;/&gt;&lt;wsp:rsid wsp:val=&quot;0019796F&quot;/&gt;&lt;wsp:rsid wsp:val=&quot;00197ACD&quot;/&gt;&lt;wsp:rsid wsp:val=&quot;00197BD5&quot;/&gt;&lt;wsp:rsid wsp:val=&quot;00197C63&quot;/&gt;&lt;wsp:rsid wsp:val=&quot;00197D10&quot;/&gt;&lt;wsp:rsid wsp:val=&quot;001A01F8&quot;/&gt;&lt;wsp:rsid wsp:val=&quot;001A0910&quot;/&gt;&lt;wsp:rsid wsp:val=&quot;001A0D8A&quot;/&gt;&lt;wsp:rsid wsp:val=&quot;001A1081&quot;/&gt;&lt;wsp:rsid wsp:val=&quot;001A137C&quot;/&gt;&lt;wsp:rsid wsp:val=&quot;001A15C6&quot;/&gt;&lt;wsp:rsid wsp:val=&quot;001A1E78&quot;/&gt;&lt;wsp:rsid wsp:val=&quot;001A24C9&quot;/&gt;&lt;wsp:rsid wsp:val=&quot;001A26BE&quot;/&gt;&lt;wsp:rsid wsp:val=&quot;001A2BC3&quot;/&gt;&lt;wsp:rsid wsp:val=&quot;001A3487&quot;/&gt;&lt;wsp:rsid wsp:val=&quot;001A3995&quot;/&gt;&lt;wsp:rsid wsp:val=&quot;001A4906&quot;/&gt;&lt;wsp:rsid wsp:val=&quot;001A4F58&quot;/&gt;&lt;wsp:rsid wsp:val=&quot;001A58EB&quot;/&gt;&lt;wsp:rsid wsp:val=&quot;001A5E4D&quot;/&gt;&lt;wsp:rsid wsp:val=&quot;001A5F78&quot;/&gt;&lt;wsp:rsid wsp:val=&quot;001A62C8&quot;/&gt;&lt;wsp:rsid wsp:val=&quot;001A642D&quot;/&gt;&lt;wsp:rsid wsp:val=&quot;001A65EA&quot;/&gt;&lt;wsp:rsid wsp:val=&quot;001A66B2&quot;/&gt;&lt;wsp:rsid wsp:val=&quot;001A7199&quot;/&gt;&lt;wsp:rsid wsp:val=&quot;001A7307&quot;/&gt;&lt;wsp:rsid wsp:val=&quot;001A786A&quot;/&gt;&lt;wsp:rsid wsp:val=&quot;001A7B4C&quot;/&gt;&lt;wsp:rsid wsp:val=&quot;001A7BCF&quot;/&gt;&lt;wsp:rsid wsp:val=&quot;001A7D02&quot;/&gt;&lt;wsp:rsid wsp:val=&quot;001A7E5E&quot;/&gt;&lt;wsp:rsid wsp:val=&quot;001A7E73&quot;/&gt;&lt;wsp:rsid wsp:val=&quot;001B0343&quot;/&gt;&lt;wsp:rsid wsp:val=&quot;001B0C29&quot;/&gt;&lt;wsp:rsid wsp:val=&quot;001B143F&quot;/&gt;&lt;wsp:rsid wsp:val=&quot;001B177A&quot;/&gt;&lt;wsp:rsid wsp:val=&quot;001B1E97&quot;/&gt;&lt;wsp:rsid wsp:val=&quot;001B1F9B&quot;/&gt;&lt;wsp:rsid wsp:val=&quot;001B2007&quot;/&gt;&lt;wsp:rsid wsp:val=&quot;001B24B5&quot;/&gt;&lt;wsp:rsid wsp:val=&quot;001B2C07&quot;/&gt;&lt;wsp:rsid wsp:val=&quot;001B2C65&quot;/&gt;&lt;wsp:rsid wsp:val=&quot;001B30B6&quot;/&gt;&lt;wsp:rsid wsp:val=&quot;001B3352&quot;/&gt;&lt;wsp:rsid wsp:val=&quot;001B366C&quot;/&gt;&lt;wsp:rsid wsp:val=&quot;001B480D&quot;/&gt;&lt;wsp:rsid wsp:val=&quot;001B50EC&quot;/&gt;&lt;wsp:rsid wsp:val=&quot;001B5245&quot;/&gt;&lt;wsp:rsid wsp:val=&quot;001B5723&quot;/&gt;&lt;wsp:rsid wsp:val=&quot;001B5778&quot;/&gt;&lt;wsp:rsid wsp:val=&quot;001B59EA&quot;/&gt;&lt;wsp:rsid wsp:val=&quot;001B5CF0&quot;/&gt;&lt;wsp:rsid wsp:val=&quot;001B5F1B&quot;/&gt;&lt;wsp:rsid wsp:val=&quot;001B5FC3&quot;/&gt;&lt;wsp:rsid wsp:val=&quot;001B6134&quot;/&gt;&lt;wsp:rsid wsp:val=&quot;001B62BE&quot;/&gt;&lt;wsp:rsid wsp:val=&quot;001B6449&quot;/&gt;&lt;wsp:rsid wsp:val=&quot;001B6589&quot;/&gt;&lt;wsp:rsid wsp:val=&quot;001B6727&quot;/&gt;&lt;wsp:rsid wsp:val=&quot;001B677A&quot;/&gt;&lt;wsp:rsid wsp:val=&quot;001B6841&quot;/&gt;&lt;wsp:rsid wsp:val=&quot;001B6EA0&quot;/&gt;&lt;wsp:rsid wsp:val=&quot;001B7237&quot;/&gt;&lt;wsp:rsid wsp:val=&quot;001B72A0&quot;/&gt;&lt;wsp:rsid wsp:val=&quot;001B72CE&quot;/&gt;&lt;wsp:rsid wsp:val=&quot;001B7314&quot;/&gt;&lt;wsp:rsid wsp:val=&quot;001B7436&quot;/&gt;&lt;wsp:rsid wsp:val=&quot;001B7EC8&quot;/&gt;&lt;wsp:rsid wsp:val=&quot;001C0401&quot;/&gt;&lt;wsp:rsid wsp:val=&quot;001C04E9&quot;/&gt;&lt;wsp:rsid wsp:val=&quot;001C0961&quot;/&gt;&lt;wsp:rsid wsp:val=&quot;001C0976&quot;/&gt;&lt;wsp:rsid wsp:val=&quot;001C09FF&quot;/&gt;&lt;wsp:rsid wsp:val=&quot;001C0A5F&quot;/&gt;&lt;wsp:rsid wsp:val=&quot;001C0AE9&quot;/&gt;&lt;wsp:rsid wsp:val=&quot;001C0B0E&quot;/&gt;&lt;wsp:rsid wsp:val=&quot;001C0C95&quot;/&gt;&lt;wsp:rsid wsp:val=&quot;001C0CD6&quot;/&gt;&lt;wsp:rsid wsp:val=&quot;001C16B9&quot;/&gt;&lt;wsp:rsid wsp:val=&quot;001C187C&quot;/&gt;&lt;wsp:rsid wsp:val=&quot;001C18C0&quot;/&gt;&lt;wsp:rsid wsp:val=&quot;001C1C58&quot;/&gt;&lt;wsp:rsid wsp:val=&quot;001C1CAC&quot;/&gt;&lt;wsp:rsid wsp:val=&quot;001C1CEE&quot;/&gt;&lt;wsp:rsid wsp:val=&quot;001C1D1F&quot;/&gt;&lt;wsp:rsid wsp:val=&quot;001C1D75&quot;/&gt;&lt;wsp:rsid wsp:val=&quot;001C2147&quot;/&gt;&lt;wsp:rsid wsp:val=&quot;001C26C9&quot;/&gt;&lt;wsp:rsid wsp:val=&quot;001C2A51&quot;/&gt;&lt;wsp:rsid wsp:val=&quot;001C2A5E&quot;/&gt;&lt;wsp:rsid wsp:val=&quot;001C2C7F&quot;/&gt;&lt;wsp:rsid wsp:val=&quot;001C2E20&quot;/&gt;&lt;wsp:rsid wsp:val=&quot;001C3050&quot;/&gt;&lt;wsp:rsid wsp:val=&quot;001C30A9&quot;/&gt;&lt;wsp:rsid wsp:val=&quot;001C3959&quot;/&gt;&lt;wsp:rsid wsp:val=&quot;001C3C48&quot;/&gt;&lt;wsp:rsid wsp:val=&quot;001C3C6C&quot;/&gt;&lt;wsp:rsid wsp:val=&quot;001C3F0F&quot;/&gt;&lt;wsp:rsid wsp:val=&quot;001C4AEA&quot;/&gt;&lt;wsp:rsid wsp:val=&quot;001C58BD&quot;/&gt;&lt;wsp:rsid wsp:val=&quot;001C5C69&quot;/&gt;&lt;wsp:rsid wsp:val=&quot;001C5C94&quot;/&gt;&lt;wsp:rsid wsp:val=&quot;001C5CEE&quot;/&gt;&lt;wsp:rsid wsp:val=&quot;001C5D71&quot;/&gt;&lt;wsp:rsid wsp:val=&quot;001C6447&quot;/&gt;&lt;wsp:rsid wsp:val=&quot;001C654D&quot;/&gt;&lt;wsp:rsid wsp:val=&quot;001C6B80&quot;/&gt;&lt;wsp:rsid wsp:val=&quot;001C70D3&quot;/&gt;&lt;wsp:rsid wsp:val=&quot;001C71F9&quot;/&gt;&lt;wsp:rsid wsp:val=&quot;001C7204&quot;/&gt;&lt;wsp:rsid wsp:val=&quot;001C7629&quot;/&gt;&lt;wsp:rsid wsp:val=&quot;001C7A9C&quot;/&gt;&lt;wsp:rsid wsp:val=&quot;001C7CE1&quot;/&gt;&lt;wsp:rsid wsp:val=&quot;001D00B9&quot;/&gt;&lt;wsp:rsid wsp:val=&quot;001D0A1C&quot;/&gt;&lt;wsp:rsid wsp:val=&quot;001D0B9D&quot;/&gt;&lt;wsp:rsid wsp:val=&quot;001D0C26&quot;/&gt;&lt;wsp:rsid wsp:val=&quot;001D0DE5&quot;/&gt;&lt;wsp:rsid wsp:val=&quot;001D10EF&quot;/&gt;&lt;wsp:rsid wsp:val=&quot;001D1184&quot;/&gt;&lt;wsp:rsid wsp:val=&quot;001D1322&quot;/&gt;&lt;wsp:rsid wsp:val=&quot;001D1489&quot;/&gt;&lt;wsp:rsid wsp:val=&quot;001D1803&quot;/&gt;&lt;wsp:rsid wsp:val=&quot;001D196E&quot;/&gt;&lt;wsp:rsid wsp:val=&quot;001D1F57&quot;/&gt;&lt;wsp:rsid wsp:val=&quot;001D2001&quot;/&gt;&lt;wsp:rsid wsp:val=&quot;001D2179&quot;/&gt;&lt;wsp:rsid wsp:val=&quot;001D23B3&quot;/&gt;&lt;wsp:rsid wsp:val=&quot;001D26B4&quot;/&gt;&lt;wsp:rsid wsp:val=&quot;001D26D4&quot;/&gt;&lt;wsp:rsid wsp:val=&quot;001D29DD&quot;/&gt;&lt;wsp:rsid wsp:val=&quot;001D2F24&quot;/&gt;&lt;wsp:rsid wsp:val=&quot;001D34A9&quot;/&gt;&lt;wsp:rsid wsp:val=&quot;001D38F3&quot;/&gt;&lt;wsp:rsid wsp:val=&quot;001D3900&quot;/&gt;&lt;wsp:rsid wsp:val=&quot;001D3B05&quot;/&gt;&lt;wsp:rsid wsp:val=&quot;001D4033&quot;/&gt;&lt;wsp:rsid wsp:val=&quot;001D40B1&quot;/&gt;&lt;wsp:rsid wsp:val=&quot;001D42F8&quot;/&gt;&lt;wsp:rsid wsp:val=&quot;001D45EE&quot;/&gt;&lt;wsp:rsid wsp:val=&quot;001D4B4C&quot;/&gt;&lt;wsp:rsid wsp:val=&quot;001D4BB6&quot;/&gt;&lt;wsp:rsid wsp:val=&quot;001D4C1E&quot;/&gt;&lt;wsp:rsid wsp:val=&quot;001D509C&quot;/&gt;&lt;wsp:rsid wsp:val=&quot;001D526E&quot;/&gt;&lt;wsp:rsid wsp:val=&quot;001D5701&quot;/&gt;&lt;wsp:rsid wsp:val=&quot;001D57C5&quot;/&gt;&lt;wsp:rsid wsp:val=&quot;001D5C93&quot;/&gt;&lt;wsp:rsid wsp:val=&quot;001D5E01&quot;/&gt;&lt;wsp:rsid wsp:val=&quot;001D5E5D&quot;/&gt;&lt;wsp:rsid wsp:val=&quot;001D5EE4&quot;/&gt;&lt;wsp:rsid wsp:val=&quot;001D6949&quot;/&gt;&lt;wsp:rsid wsp:val=&quot;001D73C5&quot;/&gt;&lt;wsp:rsid wsp:val=&quot;001D76F6&quot;/&gt;&lt;wsp:rsid wsp:val=&quot;001D775D&quot;/&gt;&lt;wsp:rsid wsp:val=&quot;001D786C&quot;/&gt;&lt;wsp:rsid wsp:val=&quot;001D7CC4&quot;/&gt;&lt;wsp:rsid wsp:val=&quot;001D7D2F&quot;/&gt;&lt;wsp:rsid wsp:val=&quot;001E0296&quot;/&gt;&lt;wsp:rsid wsp:val=&quot;001E04E8&quot;/&gt;&lt;wsp:rsid wsp:val=&quot;001E07A2&quot;/&gt;&lt;wsp:rsid wsp:val=&quot;001E08FD&quot;/&gt;&lt;wsp:rsid wsp:val=&quot;001E1354&quot;/&gt;&lt;wsp:rsid wsp:val=&quot;001E14B9&quot;/&gt;&lt;wsp:rsid wsp:val=&quot;001E18D9&quot;/&gt;&lt;wsp:rsid wsp:val=&quot;001E1FCF&quot;/&gt;&lt;wsp:rsid wsp:val=&quot;001E20FD&quot;/&gt;&lt;wsp:rsid wsp:val=&quot;001E2267&quot;/&gt;&lt;wsp:rsid wsp:val=&quot;001E2637&quot;/&gt;&lt;wsp:rsid wsp:val=&quot;001E2A20&quot;/&gt;&lt;wsp:rsid wsp:val=&quot;001E2D8A&quot;/&gt;&lt;wsp:rsid wsp:val=&quot;001E2EB0&quot;/&gt;&lt;wsp:rsid wsp:val=&quot;001E300D&quot;/&gt;&lt;wsp:rsid wsp:val=&quot;001E30B2&quot;/&gt;&lt;wsp:rsid wsp:val=&quot;001E373C&quot;/&gt;&lt;wsp:rsid wsp:val=&quot;001E3D7D&quot;/&gt;&lt;wsp:rsid wsp:val=&quot;001E3F78&quot;/&gt;&lt;wsp:rsid wsp:val=&quot;001E4198&quot;/&gt;&lt;wsp:rsid wsp:val=&quot;001E43ED&quot;/&gt;&lt;wsp:rsid wsp:val=&quot;001E4F2E&quot;/&gt;&lt;wsp:rsid wsp:val=&quot;001E5033&quot;/&gt;&lt;wsp:rsid wsp:val=&quot;001E5217&quot;/&gt;&lt;wsp:rsid wsp:val=&quot;001E572B&quot;/&gt;&lt;wsp:rsid wsp:val=&quot;001E5C1C&quot;/&gt;&lt;wsp:rsid wsp:val=&quot;001E5C97&quot;/&gt;&lt;wsp:rsid wsp:val=&quot;001E5EDA&quot;/&gt;&lt;wsp:rsid wsp:val=&quot;001E6651&quot;/&gt;&lt;wsp:rsid wsp:val=&quot;001E69EF&quot;/&gt;&lt;wsp:rsid wsp:val=&quot;001E6D44&quot;/&gt;&lt;wsp:rsid wsp:val=&quot;001E7750&quot;/&gt;&lt;wsp:rsid wsp:val=&quot;001E7880&quot;/&gt;&lt;wsp:rsid wsp:val=&quot;001E7EF3&quot;/&gt;&lt;wsp:rsid wsp:val=&quot;001E7F09&quot;/&gt;&lt;wsp:rsid wsp:val=&quot;001F059E&quot;/&gt;&lt;wsp:rsid wsp:val=&quot;001F087D&quot;/&gt;&lt;wsp:rsid wsp:val=&quot;001F0A2D&quot;/&gt;&lt;wsp:rsid wsp:val=&quot;001F0AF1&quot;/&gt;&lt;wsp:rsid wsp:val=&quot;001F1028&quot;/&gt;&lt;wsp:rsid wsp:val=&quot;001F1230&quot;/&gt;&lt;wsp:rsid wsp:val=&quot;001F1778&quot;/&gt;&lt;wsp:rsid wsp:val=&quot;001F1A47&quot;/&gt;&lt;wsp:rsid wsp:val=&quot;001F1C7D&quot;/&gt;&lt;wsp:rsid wsp:val=&quot;001F1D47&quot;/&gt;&lt;wsp:rsid wsp:val=&quot;001F2564&quot;/&gt;&lt;wsp:rsid wsp:val=&quot;001F2779&quot;/&gt;&lt;wsp:rsid wsp:val=&quot;001F2E44&quot;/&gt;&lt;wsp:rsid wsp:val=&quot;001F3051&quot;/&gt;&lt;wsp:rsid wsp:val=&quot;001F31D9&quot;/&gt;&lt;wsp:rsid wsp:val=&quot;001F342D&quot;/&gt;&lt;wsp:rsid wsp:val=&quot;001F35B9&quot;/&gt;&lt;wsp:rsid wsp:val=&quot;001F395C&quot;/&gt;&lt;wsp:rsid wsp:val=&quot;001F399A&quot;/&gt;&lt;wsp:rsid wsp:val=&quot;001F3B40&quot;/&gt;&lt;wsp:rsid wsp:val=&quot;001F4026&quot;/&gt;&lt;wsp:rsid wsp:val=&quot;001F42A4&quot;/&gt;&lt;wsp:rsid wsp:val=&quot;001F42DD&quot;/&gt;&lt;wsp:rsid wsp:val=&quot;001F44DE&quot;/&gt;&lt;wsp:rsid wsp:val=&quot;001F4A12&quot;/&gt;&lt;wsp:rsid wsp:val=&quot;001F4A64&quot;/&gt;&lt;wsp:rsid wsp:val=&quot;001F4B50&quot;/&gt;&lt;wsp:rsid wsp:val=&quot;001F591D&quot;/&gt;&lt;wsp:rsid wsp:val=&quot;001F5BFE&quot;/&gt;&lt;wsp:rsid wsp:val=&quot;001F5FAF&quot;/&gt;&lt;wsp:rsid wsp:val=&quot;001F6325&quot;/&gt;&lt;wsp:rsid wsp:val=&quot;001F653B&quot;/&gt;&lt;wsp:rsid wsp:val=&quot;001F678F&quot;/&gt;&lt;wsp:rsid wsp:val=&quot;001F69FE&quot;/&gt;&lt;wsp:rsid wsp:val=&quot;001F6A0A&quot;/&gt;&lt;wsp:rsid wsp:val=&quot;001F6C9D&quot;/&gt;&lt;wsp:rsid wsp:val=&quot;001F71DE&quot;/&gt;&lt;wsp:rsid wsp:val=&quot;001F728E&quot;/&gt;&lt;wsp:rsid wsp:val=&quot;001F7335&quot;/&gt;&lt;wsp:rsid wsp:val=&quot;001F746B&quot;/&gt;&lt;wsp:rsid wsp:val=&quot;001F783B&quot;/&gt;&lt;wsp:rsid wsp:val=&quot;002004B5&quot;/&gt;&lt;wsp:rsid wsp:val=&quot;00200A58&quot;/&gt;&lt;wsp:rsid wsp:val=&quot;0020115B&quot;/&gt;&lt;wsp:rsid wsp:val=&quot;0020118E&quot;/&gt;&lt;wsp:rsid wsp:val=&quot;00201390&quot;/&gt;&lt;wsp:rsid wsp:val=&quot;00201AD3&quot;/&gt;&lt;wsp:rsid wsp:val=&quot;00201B4F&quot;/&gt;&lt;wsp:rsid wsp:val=&quot;00202731&quot;/&gt;&lt;wsp:rsid wsp:val=&quot;00202FF3&quot;/&gt;&lt;wsp:rsid wsp:val=&quot;00203214&quot;/&gt;&lt;wsp:rsid wsp:val=&quot;00203669&quot;/&gt;&lt;wsp:rsid wsp:val=&quot;00203884&quot;/&gt;&lt;wsp:rsid wsp:val=&quot;00203A11&quot;/&gt;&lt;wsp:rsid wsp:val=&quot;00203A3D&quot;/&gt;&lt;wsp:rsid wsp:val=&quot;00203E63&quot;/&gt;&lt;wsp:rsid wsp:val=&quot;00203F61&quot;/&gt;&lt;wsp:rsid wsp:val=&quot;002040BA&quot;/&gt;&lt;wsp:rsid wsp:val=&quot;00204234&quot;/&gt;&lt;wsp:rsid wsp:val=&quot;00204CB2&quot;/&gt;&lt;wsp:rsid wsp:val=&quot;00204EB1&quot;/&gt;&lt;wsp:rsid wsp:val=&quot;002052F6&quot;/&gt;&lt;wsp:rsid wsp:val=&quot;00205787&quot;/&gt;&lt;wsp:rsid wsp:val=&quot;00205C1E&quot;/&gt;&lt;wsp:rsid wsp:val=&quot;002062A1&quot;/&gt;&lt;wsp:rsid wsp:val=&quot;002062ED&quot;/&gt;&lt;wsp:rsid wsp:val=&quot;002063F5&quot;/&gt;&lt;wsp:rsid wsp:val=&quot;00206B0F&quot;/&gt;&lt;wsp:rsid wsp:val=&quot;00206F17&quot;/&gt;&lt;wsp:rsid wsp:val=&quot;002070B9&quot;/&gt;&lt;wsp:rsid wsp:val=&quot;00207292&quot;/&gt;&lt;wsp:rsid wsp:val=&quot;00207A76&quot;/&gt;&lt;wsp:rsid wsp:val=&quot;00207E9C&quot;/&gt;&lt;wsp:rsid wsp:val=&quot;002109EC&quot;/&gt;&lt;wsp:rsid wsp:val=&quot;00210ED5&quot;/&gt;&lt;wsp:rsid wsp:val=&quot;0021131D&quot;/&gt;&lt;wsp:rsid wsp:val=&quot;00211415&quot;/&gt;&lt;wsp:rsid wsp:val=&quot;0021154F&quot;/&gt;&lt;wsp:rsid wsp:val=&quot;00211603&quot;/&gt;&lt;wsp:rsid wsp:val=&quot;0021178A&quot;/&gt;&lt;wsp:rsid wsp:val=&quot;00211A9D&quot;/&gt;&lt;wsp:rsid wsp:val=&quot;00211E3A&quot;/&gt;&lt;wsp:rsid wsp:val=&quot;00212629&quot;/&gt;&lt;wsp:rsid wsp:val=&quot;00212D0A&quot;/&gt;&lt;wsp:rsid wsp:val=&quot;0021342F&quot;/&gt;&lt;wsp:rsid wsp:val=&quot;00213716&quot;/&gt;&lt;wsp:rsid wsp:val=&quot;00213AA3&quot;/&gt;&lt;wsp:rsid wsp:val=&quot;00213AE7&quot;/&gt;&lt;wsp:rsid wsp:val=&quot;00213CD1&quot;/&gt;&lt;wsp:rsid wsp:val=&quot;002144B9&quot;/&gt;&lt;wsp:rsid wsp:val=&quot;002145B2&quot;/&gt;&lt;wsp:rsid wsp:val=&quot;002148B7&quot;/&gt;&lt;wsp:rsid wsp:val=&quot;00215153&quot;/&gt;&lt;wsp:rsid wsp:val=&quot;002152B4&quot;/&gt;&lt;wsp:rsid wsp:val=&quot;00215363&quot;/&gt;&lt;wsp:rsid wsp:val=&quot;002155D5&quot;/&gt;&lt;wsp:rsid wsp:val=&quot;002157D0&quot;/&gt;&lt;wsp:rsid wsp:val=&quot;002158BB&quot;/&gt;&lt;wsp:rsid wsp:val=&quot;00215923&quot;/&gt;&lt;wsp:rsid wsp:val=&quot;00215B16&quot;/&gt;&lt;wsp:rsid wsp:val=&quot;00216252&quot;/&gt;&lt;wsp:rsid wsp:val=&quot;00216A42&quot;/&gt;&lt;wsp:rsid wsp:val=&quot;0021762E&quot;/&gt;&lt;wsp:rsid wsp:val=&quot;00217863&quot;/&gt;&lt;wsp:rsid wsp:val=&quot;00217875&quot;/&gt;&lt;wsp:rsid wsp:val=&quot;00217C16&quot;/&gt;&lt;wsp:rsid wsp:val=&quot;00217CDD&quot;/&gt;&lt;wsp:rsid wsp:val=&quot;00217DF4&quot;/&gt;&lt;wsp:rsid wsp:val=&quot;00217FF3&quot;/&gt;&lt;wsp:rsid wsp:val=&quot;002201D1&quot;/&gt;&lt;wsp:rsid wsp:val=&quot;0022087F&quot;/&gt;&lt;wsp:rsid wsp:val=&quot;00220A70&quot;/&gt;&lt;wsp:rsid wsp:val=&quot;00220E2B&quot;/&gt;&lt;wsp:rsid wsp:val=&quot;00220FF9&quot;/&gt;&lt;wsp:rsid wsp:val=&quot;00221C9E&quot;/&gt;&lt;wsp:rsid wsp:val=&quot;00221CE5&quot;/&gt;&lt;wsp:rsid wsp:val=&quot;00222238&quot;/&gt;&lt;wsp:rsid wsp:val=&quot;002223C9&quot;/&gt;&lt;wsp:rsid wsp:val=&quot;00222500&quot;/&gt;&lt;wsp:rsid wsp:val=&quot;002226AA&quot;/&gt;&lt;wsp:rsid wsp:val=&quot;0022270D&quot;/&gt;&lt;wsp:rsid wsp:val=&quot;00222C43&quot;/&gt;&lt;wsp:rsid wsp:val=&quot;00222D7F&quot;/&gt;&lt;wsp:rsid wsp:val=&quot;00222DC8&quot;/&gt;&lt;wsp:rsid wsp:val=&quot;002231EE&quot;/&gt;&lt;wsp:rsid wsp:val=&quot;002233E3&quot;/&gt;&lt;wsp:rsid wsp:val=&quot;002239B7&quot;/&gt;&lt;wsp:rsid wsp:val=&quot;00223A30&quot;/&gt;&lt;wsp:rsid wsp:val=&quot;00223B60&quot;/&gt;&lt;wsp:rsid wsp:val=&quot;00223DE6&quot;/&gt;&lt;wsp:rsid wsp:val=&quot;00223F62&quot;/&gt;&lt;wsp:rsid wsp:val=&quot;00223F9C&quot;/&gt;&lt;wsp:rsid wsp:val=&quot;00223FFC&quot;/&gt;&lt;wsp:rsid wsp:val=&quot;002249B1&quot;/&gt;&lt;wsp:rsid wsp:val=&quot;00224B87&quot;/&gt;&lt;wsp:rsid wsp:val=&quot;002252A4&quot;/&gt;&lt;wsp:rsid wsp:val=&quot;002256D7&quot;/&gt;&lt;wsp:rsid wsp:val=&quot;002256F8&quot;/&gt;&lt;wsp:rsid wsp:val=&quot;0022588E&quot;/&gt;&lt;wsp:rsid wsp:val=&quot;00226142&quot;/&gt;&lt;wsp:rsid wsp:val=&quot;00226165&quot;/&gt;&lt;wsp:rsid wsp:val=&quot;0022658A&quot;/&gt;&lt;wsp:rsid wsp:val=&quot;00226901&quot;/&gt;&lt;wsp:rsid wsp:val=&quot;00226C9A&quot;/&gt;&lt;wsp:rsid wsp:val=&quot;00226CAA&quot;/&gt;&lt;wsp:rsid wsp:val=&quot;00226E16&quot;/&gt;&lt;wsp:rsid wsp:val=&quot;00226F0D&quot;/&gt;&lt;wsp:rsid wsp:val=&quot;00226FCA&quot;/&gt;&lt;wsp:rsid wsp:val=&quot;00227818&quot;/&gt;&lt;wsp:rsid wsp:val=&quot;0022783D&quot;/&gt;&lt;wsp:rsid wsp:val=&quot;00227A0E&quot;/&gt;&lt;wsp:rsid wsp:val=&quot;00227CA3&quot;/&gt;&lt;wsp:rsid wsp:val=&quot;00227CAC&quot;/&gt;&lt;wsp:rsid wsp:val=&quot;00227F09&quot;/&gt;&lt;wsp:rsid wsp:val=&quot;002300C7&quot;/&gt;&lt;wsp:rsid wsp:val=&quot;002300D2&quot;/&gt;&lt;wsp:rsid wsp:val=&quot;00230153&quot;/&gt;&lt;wsp:rsid wsp:val=&quot;00230303&quot;/&gt;&lt;wsp:rsid wsp:val=&quot;00230718&quot;/&gt;&lt;wsp:rsid wsp:val=&quot;00230D26&quot;/&gt;&lt;wsp:rsid wsp:val=&quot;002314F1&quot;/&gt;&lt;wsp:rsid wsp:val=&quot;00231683&quot;/&gt;&lt;wsp:rsid wsp:val=&quot;00231CB7&quot;/&gt;&lt;wsp:rsid wsp:val=&quot;00231EF3&quot;/&gt;&lt;wsp:rsid wsp:val=&quot;0023208D&quot;/&gt;&lt;wsp:rsid wsp:val=&quot;00232266&quot;/&gt;&lt;wsp:rsid wsp:val=&quot;002324A6&quot;/&gt;&lt;wsp:rsid wsp:val=&quot;002325A1&quot;/&gt;&lt;wsp:rsid wsp:val=&quot;00232989&quot;/&gt;&lt;wsp:rsid wsp:val=&quot;00232A0A&quot;/&gt;&lt;wsp:rsid wsp:val=&quot;00232B15&quot;/&gt;&lt;wsp:rsid wsp:val=&quot;00232B66&quot;/&gt;&lt;wsp:rsid wsp:val=&quot;00232E63&quot;/&gt;&lt;wsp:rsid wsp:val=&quot;00233149&quot;/&gt;&lt;wsp:rsid wsp:val=&quot;0023329A&quot;/&gt;&lt;wsp:rsid wsp:val=&quot;002333DE&quot;/&gt;&lt;wsp:rsid wsp:val=&quot;00233477&quot;/&gt;&lt;wsp:rsid wsp:val=&quot;00233F42&quot;/&gt;&lt;wsp:rsid wsp:val=&quot;002348CB&quot;/&gt;&lt;wsp:rsid wsp:val=&quot;002349BD&quot;/&gt;&lt;wsp:rsid wsp:val=&quot;00234A0C&quot;/&gt;&lt;wsp:rsid wsp:val=&quot;0023556F&quot;/&gt;&lt;wsp:rsid wsp:val=&quot;00235ACA&quot;/&gt;&lt;wsp:rsid wsp:val=&quot;00236590&quot;/&gt;&lt;wsp:rsid wsp:val=&quot;00236846&quot;/&gt;&lt;wsp:rsid wsp:val=&quot;00236C23&quot;/&gt;&lt;wsp:rsid wsp:val=&quot;00236C72&quot;/&gt;&lt;wsp:rsid wsp:val=&quot;00236C7C&quot;/&gt;&lt;wsp:rsid wsp:val=&quot;00236D67&quot;/&gt;&lt;wsp:rsid wsp:val=&quot;0023725F&quot;/&gt;&lt;wsp:rsid wsp:val=&quot;00237F39&quot;/&gt;&lt;wsp:rsid wsp:val=&quot;002402F2&quot;/&gt;&lt;wsp:rsid wsp:val=&quot;002413BD&quot;/&gt;&lt;wsp:rsid wsp:val=&quot;00241542&quot;/&gt;&lt;wsp:rsid wsp:val=&quot;0024185C&quot;/&gt;&lt;wsp:rsid wsp:val=&quot;002418E7&quot;/&gt;&lt;wsp:rsid wsp:val=&quot;00241A04&quot;/&gt;&lt;wsp:rsid wsp:val=&quot;00241A62&quot;/&gt;&lt;wsp:rsid wsp:val=&quot;00241B80&quot;/&gt;&lt;wsp:rsid wsp:val=&quot;00241C03&quot;/&gt;&lt;wsp:rsid wsp:val=&quot;00241F45&quot;/&gt;&lt;wsp:rsid wsp:val=&quot;00241F5F&quot;/&gt;&lt;wsp:rsid wsp:val=&quot;0024244A&quot;/&gt;&lt;wsp:rsid wsp:val=&quot;0024265F&quot;/&gt;&lt;wsp:rsid wsp:val=&quot;002426C6&quot;/&gt;&lt;wsp:rsid wsp:val=&quot;002427E0&quot;/&gt;&lt;wsp:rsid wsp:val=&quot;00242B14&quot;/&gt;&lt;wsp:rsid wsp:val=&quot;00242C0C&quot;/&gt;&lt;wsp:rsid wsp:val=&quot;00242E31&quot;/&gt;&lt;wsp:rsid wsp:val=&quot;0024301C&quot;/&gt;&lt;wsp:rsid wsp:val=&quot;0024379A&quot;/&gt;&lt;wsp:rsid wsp:val=&quot;00243812&quot;/&gt;&lt;wsp:rsid wsp:val=&quot;00243ACD&quot;/&gt;&lt;wsp:rsid wsp:val=&quot;00243BBE&quot;/&gt;&lt;wsp:rsid wsp:val=&quot;00243C6C&quot;/&gt;&lt;wsp:rsid wsp:val=&quot;0024489F&quot;/&gt;&lt;wsp:rsid wsp:val=&quot;00244FD7&quot;/&gt;&lt;wsp:rsid wsp:val=&quot;0024598B&quot;/&gt;&lt;wsp:rsid wsp:val=&quot;00245AEB&quot;/&gt;&lt;wsp:rsid wsp:val=&quot;002461EA&quot;/&gt;&lt;wsp:rsid wsp:val=&quot;002462E4&quot;/&gt;&lt;wsp:rsid wsp:val=&quot;002467DF&quot;/&gt;&lt;wsp:rsid wsp:val=&quot;0024687E&quot;/&gt;&lt;wsp:rsid wsp:val=&quot;002470B2&quot;/&gt;&lt;wsp:rsid wsp:val=&quot;00247351&quot;/&gt;&lt;wsp:rsid wsp:val=&quot;0024791D&quot;/&gt;&lt;wsp:rsid wsp:val=&quot;00247ACC&quot;/&gt;&lt;wsp:rsid wsp:val=&quot;00247FB1&quot;/&gt;&lt;wsp:rsid wsp:val=&quot;00250170&quot;/&gt;&lt;wsp:rsid wsp:val=&quot;0025022B&quot;/&gt;&lt;wsp:rsid wsp:val=&quot;00251027&quot;/&gt;&lt;wsp:rsid wsp:val=&quot;002510E4&quot;/&gt;&lt;wsp:rsid wsp:val=&quot;0025119D&quot;/&gt;&lt;wsp:rsid wsp:val=&quot;002512E4&quot;/&gt;&lt;wsp:rsid wsp:val=&quot;0025156F&quot;/&gt;&lt;wsp:rsid wsp:val=&quot;00251989&quot;/&gt;&lt;wsp:rsid wsp:val=&quot;00251B43&quot;/&gt;&lt;wsp:rsid wsp:val=&quot;00251FAE&quot;/&gt;&lt;wsp:rsid wsp:val=&quot;002520F8&quot;/&gt;&lt;wsp:rsid wsp:val=&quot;0025211D&quot;/&gt;&lt;wsp:rsid wsp:val=&quot;002526AA&quot;/&gt;&lt;wsp:rsid wsp:val=&quot;0025346F&quot;/&gt;&lt;wsp:rsid wsp:val=&quot;002535C1&quot;/&gt;&lt;wsp:rsid wsp:val=&quot;002535F2&quot;/&gt;&lt;wsp:rsid wsp:val=&quot;00253A28&quot;/&gt;&lt;wsp:rsid wsp:val=&quot;00253B29&quot;/&gt;&lt;wsp:rsid wsp:val=&quot;002540E7&quot;/&gt;&lt;wsp:rsid wsp:val=&quot;0025414B&quot;/&gt;&lt;wsp:rsid wsp:val=&quot;002543FB&quot;/&gt;&lt;wsp:rsid wsp:val=&quot;00254992&quot;/&gt;&lt;wsp:rsid wsp:val=&quot;00254A31&quot;/&gt;&lt;wsp:rsid wsp:val=&quot;00254B17&quot;/&gt;&lt;wsp:rsid wsp:val=&quot;0025529C&quot;/&gt;&lt;wsp:rsid wsp:val=&quot;0025553E&quot;/&gt;&lt;wsp:rsid wsp:val=&quot;002559DA&quot;/&gt;&lt;wsp:rsid wsp:val=&quot;00255A5F&quot;/&gt;&lt;wsp:rsid wsp:val=&quot;002567B3&quot;/&gt;&lt;wsp:rsid wsp:val=&quot;002567D9&quot;/&gt;&lt;wsp:rsid wsp:val=&quot;00257074&quot;/&gt;&lt;wsp:rsid wsp:val=&quot;0025716B&quot;/&gt;&lt;wsp:rsid wsp:val=&quot;002572DE&quot;/&gt;&lt;wsp:rsid wsp:val=&quot;002574AB&quot;/&gt;&lt;wsp:rsid wsp:val=&quot;00257710&quot;/&gt;&lt;wsp:rsid wsp:val=&quot;00257D51&quot;/&gt;&lt;wsp:rsid wsp:val=&quot;00260D34&quot;/&gt;&lt;wsp:rsid wsp:val=&quot;00260E55&quot;/&gt;&lt;wsp:rsid wsp:val=&quot;002617C9&quot;/&gt;&lt;wsp:rsid wsp:val=&quot;002618C2&quot;/&gt;&lt;wsp:rsid wsp:val=&quot;00261D85&quot;/&gt;&lt;wsp:rsid wsp:val=&quot;00262087&quot;/&gt;&lt;wsp:rsid wsp:val=&quot;0026227B&quot;/&gt;&lt;wsp:rsid wsp:val=&quot;00262456&quot;/&gt;&lt;wsp:rsid wsp:val=&quot;0026246C&quot;/&gt;&lt;wsp:rsid wsp:val=&quot;002624A1&quot;/&gt;&lt;wsp:rsid wsp:val=&quot;002627F3&quot;/&gt;&lt;wsp:rsid wsp:val=&quot;00262BD7&quot;/&gt;&lt;wsp:rsid wsp:val=&quot;00262C4D&quot;/&gt;&lt;wsp:rsid wsp:val=&quot;0026359A&quot;/&gt;&lt;wsp:rsid wsp:val=&quot;002636A2&quot;/&gt;&lt;wsp:rsid wsp:val=&quot;002636E9&quot;/&gt;&lt;wsp:rsid wsp:val=&quot;0026396F&quot;/&gt;&lt;wsp:rsid wsp:val=&quot;00263A8D&quot;/&gt;&lt;wsp:rsid wsp:val=&quot;00263C47&quot;/&gt;&lt;wsp:rsid wsp:val=&quot;00263C9F&quot;/&gt;&lt;wsp:rsid wsp:val=&quot;00263E47&quot;/&gt;&lt;wsp:rsid wsp:val=&quot;00263FB4&quot;/&gt;&lt;wsp:rsid wsp:val=&quot;002640D0&quot;/&gt;&lt;wsp:rsid wsp:val=&quot;002643DA&quot;/&gt;&lt;wsp:rsid wsp:val=&quot;002644E2&quot;/&gt;&lt;wsp:rsid wsp:val=&quot;0026461E&quot;/&gt;&lt;wsp:rsid wsp:val=&quot;00264E91&quot;/&gt;&lt;wsp:rsid wsp:val=&quot;00264F6D&quot;/&gt;&lt;wsp:rsid wsp:val=&quot;002655F6&quot;/&gt;&lt;wsp:rsid wsp:val=&quot;0026560C&quot;/&gt;&lt;wsp:rsid wsp:val=&quot;00265FF0&quot;/&gt;&lt;wsp:rsid wsp:val=&quot;00266E09&quot;/&gt;&lt;wsp:rsid wsp:val=&quot;0026739F&quot;/&gt;&lt;wsp:rsid wsp:val=&quot;00267640&quot;/&gt;&lt;wsp:rsid wsp:val=&quot;00270029&quot;/&gt;&lt;wsp:rsid wsp:val=&quot;0027018D&quot;/&gt;&lt;wsp:rsid wsp:val=&quot;00270611&quot;/&gt;&lt;wsp:rsid wsp:val=&quot;00270697&quot;/&gt;&lt;wsp:rsid wsp:val=&quot;00270755&quot;/&gt;&lt;wsp:rsid wsp:val=&quot;00270B47&quot;/&gt;&lt;wsp:rsid wsp:val=&quot;00270D59&quot;/&gt;&lt;wsp:rsid wsp:val=&quot;00271289&quot;/&gt;&lt;wsp:rsid wsp:val=&quot;0027134C&quot;/&gt;&lt;wsp:rsid wsp:val=&quot;00271593&quot;/&gt;&lt;wsp:rsid wsp:val=&quot;002715A6&quot;/&gt;&lt;wsp:rsid wsp:val=&quot;0027161F&quot;/&gt;&lt;wsp:rsid wsp:val=&quot;00271D4D&quot;/&gt;&lt;wsp:rsid wsp:val=&quot;00271E47&quot;/&gt;&lt;wsp:rsid wsp:val=&quot;0027224A&quot;/&gt;&lt;wsp:rsid wsp:val=&quot;002724EF&quot;/&gt;&lt;wsp:rsid wsp:val=&quot;002724F4&quot;/&gt;&lt;wsp:rsid wsp:val=&quot;00272C48&quot;/&gt;&lt;wsp:rsid wsp:val=&quot;002732D0&quot;/&gt;&lt;wsp:rsid wsp:val=&quot;002736D7&quot;/&gt;&lt;wsp:rsid wsp:val=&quot;0027373B&quot;/&gt;&lt;wsp:rsid wsp:val=&quot;00274050&quot;/&gt;&lt;wsp:rsid wsp:val=&quot;00274196&quot;/&gt;&lt;wsp:rsid wsp:val=&quot;00274205&quot;/&gt;&lt;wsp:rsid wsp:val=&quot;002744A3&quot;/&gt;&lt;wsp:rsid wsp:val=&quot;002744AA&quot;/&gt;&lt;wsp:rsid wsp:val=&quot;002747BF&quot;/&gt;&lt;wsp:rsid wsp:val=&quot;002747D0&quot;/&gt;&lt;wsp:rsid wsp:val=&quot;002748ED&quot;/&gt;&lt;wsp:rsid wsp:val=&quot;00274955&quot;/&gt;&lt;wsp:rsid wsp:val=&quot;0027499C&quot;/&gt;&lt;wsp:rsid wsp:val=&quot;00274A6C&quot;/&gt;&lt;wsp:rsid wsp:val=&quot;00274C83&quot;/&gt;&lt;wsp:rsid wsp:val=&quot;00274CDA&quot;/&gt;&lt;wsp:rsid wsp:val=&quot;0027513F&quot;/&gt;&lt;wsp:rsid wsp:val=&quot;00275142&quot;/&gt;&lt;wsp:rsid wsp:val=&quot;00275637&quot;/&gt;&lt;wsp:rsid wsp:val=&quot;002757D0&quot;/&gt;&lt;wsp:rsid wsp:val=&quot;00275A5D&quot;/&gt;&lt;wsp:rsid wsp:val=&quot;00275AD2&quot;/&gt;&lt;wsp:rsid wsp:val=&quot;0027613B&quot;/&gt;&lt;wsp:rsid wsp:val=&quot;0027644C&quot;/&gt;&lt;wsp:rsid wsp:val=&quot;002765AD&quot;/&gt;&lt;wsp:rsid wsp:val=&quot;002767D0&quot;/&gt;&lt;wsp:rsid wsp:val=&quot;00276D6C&quot;/&gt;&lt;wsp:rsid wsp:val=&quot;00276F23&quot;/&gt;&lt;wsp:rsid wsp:val=&quot;0027716C&quot;/&gt;&lt;wsp:rsid wsp:val=&quot;002779DD&quot;/&gt;&lt;wsp:rsid wsp:val=&quot;00277F07&quot;/&gt;&lt;wsp:rsid wsp:val=&quot;0028013C&quot;/&gt;&lt;wsp:rsid wsp:val=&quot;002803DE&quot;/&gt;&lt;wsp:rsid wsp:val=&quot;002804A3&quot;/&gt;&lt;wsp:rsid wsp:val=&quot;00280893&quot;/&gt;&lt;wsp:rsid wsp:val=&quot;002812C9&quot;/&gt;&lt;wsp:rsid wsp:val=&quot;002814EC&quot;/&gt;&lt;wsp:rsid wsp:val=&quot;0028166F&quot;/&gt;&lt;wsp:rsid wsp:val=&quot;00281860&quot;/&gt;&lt;wsp:rsid wsp:val=&quot;00281952&quot;/&gt;&lt;wsp:rsid wsp:val=&quot;00282A78&quot;/&gt;&lt;wsp:rsid wsp:val=&quot;00282B4B&quot;/&gt;&lt;wsp:rsid wsp:val=&quot;00282BDA&quot;/&gt;&lt;wsp:rsid wsp:val=&quot;00282E4D&quot;/&gt;&lt;wsp:rsid wsp:val=&quot;002832E0&quot;/&gt;&lt;wsp:rsid wsp:val=&quot;002833BB&quot;/&gt;&lt;wsp:rsid wsp:val=&quot;0028346E&quot;/&gt;&lt;wsp:rsid wsp:val=&quot;002835C7&quot;/&gt;&lt;wsp:rsid wsp:val=&quot;00284392&quot;/&gt;&lt;wsp:rsid wsp:val=&quot;00284567&quot;/&gt;&lt;wsp:rsid wsp:val=&quot;00284A7F&quot;/&gt;&lt;wsp:rsid wsp:val=&quot;00284BC4&quot;/&gt;&lt;wsp:rsid wsp:val=&quot;00284C0D&quot;/&gt;&lt;wsp:rsid wsp:val=&quot;00285346&quot;/&gt;&lt;wsp:rsid wsp:val=&quot;0028553F&quot;/&gt;&lt;wsp:rsid wsp:val=&quot;00285701&quot;/&gt;&lt;wsp:rsid wsp:val=&quot;00285A7F&quot;/&gt;&lt;wsp:rsid wsp:val=&quot;00285AF2&quot;/&gt;&lt;wsp:rsid wsp:val=&quot;00285FC0&quot;/&gt;&lt;wsp:rsid wsp:val=&quot;00285FC5&quot;/&gt;&lt;wsp:rsid wsp:val=&quot;0028641F&quot;/&gt;&lt;wsp:rsid wsp:val=&quot;002867AA&quot;/&gt;&lt;wsp:rsid wsp:val=&quot;002869F5&quot;/&gt;&lt;wsp:rsid wsp:val=&quot;00286F24&quot;/&gt;&lt;wsp:rsid wsp:val=&quot;00286F32&quot;/&gt;&lt;wsp:rsid wsp:val=&quot;00287223&quot;/&gt;&lt;wsp:rsid wsp:val=&quot;00287681&quot;/&gt;&lt;wsp:rsid wsp:val=&quot;00287EBD&quot;/&gt;&lt;wsp:rsid wsp:val=&quot;00287F8E&quot;/&gt;&lt;wsp:rsid wsp:val=&quot;0029008F&quot;/&gt;&lt;wsp:rsid wsp:val=&quot;0029079A&quot;/&gt;&lt;wsp:rsid wsp:val=&quot;00290A2D&quot;/&gt;&lt;wsp:rsid wsp:val=&quot;002910F2&quot;/&gt;&lt;wsp:rsid wsp:val=&quot;002911F5&quot;/&gt;&lt;wsp:rsid wsp:val=&quot;00291250&quot;/&gt;&lt;wsp:rsid wsp:val=&quot;0029135F&quot;/&gt;&lt;wsp:rsid wsp:val=&quot;0029196D&quot;/&gt;&lt;wsp:rsid wsp:val=&quot;00291A01&quot;/&gt;&lt;wsp:rsid wsp:val=&quot;00291A62&quot;/&gt;&lt;wsp:rsid wsp:val=&quot;00291F28&quot;/&gt;&lt;wsp:rsid wsp:val=&quot;00292687&quot;/&gt;&lt;wsp:rsid wsp:val=&quot;002929B3&quot;/&gt;&lt;wsp:rsid wsp:val=&quot;00292B75&quot;/&gt;&lt;wsp:rsid wsp:val=&quot;00292E90&quot;/&gt;&lt;wsp:rsid wsp:val=&quot;00292F01&quot;/&gt;&lt;wsp:rsid wsp:val=&quot;0029342F&quot;/&gt;&lt;wsp:rsid wsp:val=&quot;002934B1&quot;/&gt;&lt;wsp:rsid wsp:val=&quot;00293626&quot;/&gt;&lt;wsp:rsid wsp:val=&quot;00293B87&quot;/&gt;&lt;wsp:rsid wsp:val=&quot;00293C9E&quot;/&gt;&lt;wsp:rsid wsp:val=&quot;00293DAA&quot;/&gt;&lt;wsp:rsid wsp:val=&quot;00293E69&quot;/&gt;&lt;wsp:rsid wsp:val=&quot;00294076&quot;/&gt;&lt;wsp:rsid wsp:val=&quot;00294094&quot;/&gt;&lt;wsp:rsid wsp:val=&quot;002942B9&quot;/&gt;&lt;wsp:rsid wsp:val=&quot;002944AD&quot;/&gt;&lt;wsp:rsid wsp:val=&quot;00294D12&quot;/&gt;&lt;wsp:rsid wsp:val=&quot;00295814&quot;/&gt;&lt;wsp:rsid wsp:val=&quot;00295EBF&quot;/&gt;&lt;wsp:rsid wsp:val=&quot;00295FCC&quot;/&gt;&lt;wsp:rsid wsp:val=&quot;00296318&quot;/&gt;&lt;wsp:rsid wsp:val=&quot;002963ED&quot;/&gt;&lt;wsp:rsid wsp:val=&quot;00296B3C&quot;/&gt;&lt;wsp:rsid wsp:val=&quot;002976EF&quot;/&gt;&lt;wsp:rsid wsp:val=&quot;00297F6D&quot;/&gt;&lt;wsp:rsid wsp:val=&quot;002A017C&quot;/&gt;&lt;wsp:rsid wsp:val=&quot;002A043F&quot;/&gt;&lt;wsp:rsid wsp:val=&quot;002A082D&quot;/&gt;&lt;wsp:rsid wsp:val=&quot;002A0AC1&quot;/&gt;&lt;wsp:rsid wsp:val=&quot;002A1683&quot;/&gt;&lt;wsp:rsid wsp:val=&quot;002A18F0&quot;/&gt;&lt;wsp:rsid wsp:val=&quot;002A195B&quot;/&gt;&lt;wsp:rsid wsp:val=&quot;002A1B4D&quot;/&gt;&lt;wsp:rsid wsp:val=&quot;002A1D8E&quot;/&gt;&lt;wsp:rsid wsp:val=&quot;002A226C&quot;/&gt;&lt;wsp:rsid wsp:val=&quot;002A25D6&quot;/&gt;&lt;wsp:rsid wsp:val=&quot;002A287D&quot;/&gt;&lt;wsp:rsid wsp:val=&quot;002A30A8&quot;/&gt;&lt;wsp:rsid wsp:val=&quot;002A325C&quot;/&gt;&lt;wsp:rsid wsp:val=&quot;002A354B&quot;/&gt;&lt;wsp:rsid wsp:val=&quot;002A3C55&quot;/&gt;&lt;wsp:rsid wsp:val=&quot;002A3E93&quot;/&gt;&lt;wsp:rsid wsp:val=&quot;002A40B5&quot;/&gt;&lt;wsp:rsid wsp:val=&quot;002A40BF&quot;/&gt;&lt;wsp:rsid wsp:val=&quot;002A438B&quot;/&gt;&lt;wsp:rsid wsp:val=&quot;002A43DA&quot;/&gt;&lt;wsp:rsid wsp:val=&quot;002A4413&quot;/&gt;&lt;wsp:rsid wsp:val=&quot;002A47C6&quot;/&gt;&lt;wsp:rsid wsp:val=&quot;002A4B45&quot;/&gt;&lt;wsp:rsid wsp:val=&quot;002A4F64&quot;/&gt;&lt;wsp:rsid wsp:val=&quot;002A4FAA&quot;/&gt;&lt;wsp:rsid wsp:val=&quot;002A543C&quot;/&gt;&lt;wsp:rsid wsp:val=&quot;002A5850&quot;/&gt;&lt;wsp:rsid wsp:val=&quot;002A5E2B&quot;/&gt;&lt;wsp:rsid wsp:val=&quot;002A60AB&quot;/&gt;&lt;wsp:rsid wsp:val=&quot;002A62D4&quot;/&gt;&lt;wsp:rsid wsp:val=&quot;002A6559&quot;/&gt;&lt;wsp:rsid wsp:val=&quot;002A72E4&quot;/&gt;&lt;wsp:rsid wsp:val=&quot;002A7464&quot;/&gt;&lt;wsp:rsid wsp:val=&quot;002A753D&quot;/&gt;&lt;wsp:rsid wsp:val=&quot;002A76F0&quot;/&gt;&lt;wsp:rsid wsp:val=&quot;002A78B2&quot;/&gt;&lt;wsp:rsid wsp:val=&quot;002A7969&quot;/&gt;&lt;wsp:rsid wsp:val=&quot;002A7DE4&quot;/&gt;&lt;wsp:rsid wsp:val=&quot;002B07B5&quot;/&gt;&lt;wsp:rsid wsp:val=&quot;002B07D5&quot;/&gt;&lt;wsp:rsid wsp:val=&quot;002B0B06&quot;/&gt;&lt;wsp:rsid wsp:val=&quot;002B0B36&quot;/&gt;&lt;wsp:rsid wsp:val=&quot;002B1469&quot;/&gt;&lt;wsp:rsid wsp:val=&quot;002B21F2&quot;/&gt;&lt;wsp:rsid wsp:val=&quot;002B22FF&quot;/&gt;&lt;wsp:rsid wsp:val=&quot;002B2487&quot;/&gt;&lt;wsp:rsid wsp:val=&quot;002B2750&quot;/&gt;&lt;wsp:rsid wsp:val=&quot;002B2CDA&quot;/&gt;&lt;wsp:rsid wsp:val=&quot;002B3B40&quot;/&gt;&lt;wsp:rsid wsp:val=&quot;002B3B45&quot;/&gt;&lt;wsp:rsid wsp:val=&quot;002B3C6E&quot;/&gt;&lt;wsp:rsid wsp:val=&quot;002B4636&quot;/&gt;&lt;wsp:rsid wsp:val=&quot;002B5679&quot;/&gt;&lt;wsp:rsid wsp:val=&quot;002B589F&quot;/&gt;&lt;wsp:rsid wsp:val=&quot;002B5CDE&quot;/&gt;&lt;wsp:rsid wsp:val=&quot;002B6271&quot;/&gt;&lt;wsp:rsid wsp:val=&quot;002B63AB&quot;/&gt;&lt;wsp:rsid wsp:val=&quot;002B6969&quot;/&gt;&lt;wsp:rsid wsp:val=&quot;002B6B15&quot;/&gt;&lt;wsp:rsid wsp:val=&quot;002B6C6C&quot;/&gt;&lt;wsp:rsid wsp:val=&quot;002B6E38&quot;/&gt;&lt;wsp:rsid wsp:val=&quot;002B7093&quot;/&gt;&lt;wsp:rsid wsp:val=&quot;002C028F&quot;/&gt;&lt;wsp:rsid wsp:val=&quot;002C02EC&quot;/&gt;&lt;wsp:rsid wsp:val=&quot;002C02EF&quot;/&gt;&lt;wsp:rsid wsp:val=&quot;002C0435&quot;/&gt;&lt;wsp:rsid wsp:val=&quot;002C0475&quot;/&gt;&lt;wsp:rsid wsp:val=&quot;002C049C&quot;/&gt;&lt;wsp:rsid wsp:val=&quot;002C06A2&quot;/&gt;&lt;wsp:rsid wsp:val=&quot;002C0797&quot;/&gt;&lt;wsp:rsid wsp:val=&quot;002C09C9&quot;/&gt;&lt;wsp:rsid wsp:val=&quot;002C1425&quot;/&gt;&lt;wsp:rsid wsp:val=&quot;002C196B&quot;/&gt;&lt;wsp:rsid wsp:val=&quot;002C1A16&quot;/&gt;&lt;wsp:rsid wsp:val=&quot;002C1D69&quot;/&gt;&lt;wsp:rsid wsp:val=&quot;002C2023&quot;/&gt;&lt;wsp:rsid wsp:val=&quot;002C2E78&quot;/&gt;&lt;wsp:rsid wsp:val=&quot;002C341B&quot;/&gt;&lt;wsp:rsid wsp:val=&quot;002C36FF&quot;/&gt;&lt;wsp:rsid wsp:val=&quot;002C3863&quot;/&gt;&lt;wsp:rsid wsp:val=&quot;002C38D3&quot;/&gt;&lt;wsp:rsid wsp:val=&quot;002C399A&quot;/&gt;&lt;wsp:rsid wsp:val=&quot;002C3F6E&quot;/&gt;&lt;wsp:rsid wsp:val=&quot;002C40E3&quot;/&gt;&lt;wsp:rsid wsp:val=&quot;002C426B&quot;/&gt;&lt;wsp:rsid wsp:val=&quot;002C4910&quot;/&gt;&lt;wsp:rsid wsp:val=&quot;002C51F4&quot;/&gt;&lt;wsp:rsid wsp:val=&quot;002C52BD&quot;/&gt;&lt;wsp:rsid wsp:val=&quot;002C5465&quot;/&gt;&lt;wsp:rsid wsp:val=&quot;002C580B&quot;/&gt;&lt;wsp:rsid wsp:val=&quot;002C5A9A&quot;/&gt;&lt;wsp:rsid wsp:val=&quot;002C5D82&quot;/&gt;&lt;wsp:rsid wsp:val=&quot;002C5F99&quot;/&gt;&lt;wsp:rsid wsp:val=&quot;002C6221&quot;/&gt;&lt;wsp:rsid wsp:val=&quot;002C6936&quot;/&gt;&lt;wsp:rsid wsp:val=&quot;002C6EF6&quot;/&gt;&lt;wsp:rsid wsp:val=&quot;002C70A1&quot;/&gt;&lt;wsp:rsid wsp:val=&quot;002C70EB&quot;/&gt;&lt;wsp:rsid wsp:val=&quot;002C71BC&quot;/&gt;&lt;wsp:rsid wsp:val=&quot;002C7CB3&quot;/&gt;&lt;wsp:rsid wsp:val=&quot;002D01B6&quot;/&gt;&lt;wsp:rsid wsp:val=&quot;002D051A&quot;/&gt;&lt;wsp:rsid wsp:val=&quot;002D066C&quot;/&gt;&lt;wsp:rsid wsp:val=&quot;002D0BD7&quot;/&gt;&lt;wsp:rsid wsp:val=&quot;002D0D75&quot;/&gt;&lt;wsp:rsid wsp:val=&quot;002D17A6&quot;/&gt;&lt;wsp:rsid wsp:val=&quot;002D1F87&quot;/&gt;&lt;wsp:rsid wsp:val=&quot;002D2373&quot;/&gt;&lt;wsp:rsid wsp:val=&quot;002D26F6&quot;/&gt;&lt;wsp:rsid wsp:val=&quot;002D2A19&quot;/&gt;&lt;wsp:rsid wsp:val=&quot;002D2A84&quot;/&gt;&lt;wsp:rsid wsp:val=&quot;002D30BE&quot;/&gt;&lt;wsp:rsid wsp:val=&quot;002D325A&quot;/&gt;&lt;wsp:rsid wsp:val=&quot;002D3A06&quot;/&gt;&lt;wsp:rsid wsp:val=&quot;002D3E99&quot;/&gt;&lt;wsp:rsid wsp:val=&quot;002D3FAD&quot;/&gt;&lt;wsp:rsid wsp:val=&quot;002D4667&quot;/&gt;&lt;wsp:rsid wsp:val=&quot;002D48AC&quot;/&gt;&lt;wsp:rsid wsp:val=&quot;002D4A83&quot;/&gt;&lt;wsp:rsid wsp:val=&quot;002D4C2A&quot;/&gt;&lt;wsp:rsid wsp:val=&quot;002D5156&quot;/&gt;&lt;wsp:rsid wsp:val=&quot;002D5221&quot;/&gt;&lt;wsp:rsid wsp:val=&quot;002D54B2&quot;/&gt;&lt;wsp:rsid wsp:val=&quot;002D5AD5&quot;/&gt;&lt;wsp:rsid wsp:val=&quot;002D5F75&quot;/&gt;&lt;wsp:rsid wsp:val=&quot;002D60C7&quot;/&gt;&lt;wsp:rsid wsp:val=&quot;002D6528&quot;/&gt;&lt;wsp:rsid wsp:val=&quot;002D655D&quot;/&gt;&lt;wsp:rsid wsp:val=&quot;002D6810&quot;/&gt;&lt;wsp:rsid wsp:val=&quot;002D68CE&quot;/&gt;&lt;wsp:rsid wsp:val=&quot;002D68D1&quot;/&gt;&lt;wsp:rsid wsp:val=&quot;002D68F0&quot;/&gt;&lt;wsp:rsid wsp:val=&quot;002D6938&quot;/&gt;&lt;wsp:rsid wsp:val=&quot;002D6EA4&quot;/&gt;&lt;wsp:rsid wsp:val=&quot;002D6F4C&quot;/&gt;&lt;wsp:rsid wsp:val=&quot;002D712B&quot;/&gt;&lt;wsp:rsid wsp:val=&quot;002D7489&quot;/&gt;&lt;wsp:rsid wsp:val=&quot;002D75E1&quot;/&gt;&lt;wsp:rsid wsp:val=&quot;002D7852&quot;/&gt;&lt;wsp:rsid wsp:val=&quot;002D7876&quot;/&gt;&lt;wsp:rsid wsp:val=&quot;002D7F7C&quot;/&gt;&lt;wsp:rsid wsp:val=&quot;002E00F5&quot;/&gt;&lt;wsp:rsid wsp:val=&quot;002E0245&quot;/&gt;&lt;wsp:rsid wsp:val=&quot;002E09BB&quot;/&gt;&lt;wsp:rsid wsp:val=&quot;002E10DC&quot;/&gt;&lt;wsp:rsid wsp:val=&quot;002E155F&quot;/&gt;&lt;wsp:rsid wsp:val=&quot;002E1B96&quot;/&gt;&lt;wsp:rsid wsp:val=&quot;002E1D4F&quot;/&gt;&lt;wsp:rsid wsp:val=&quot;002E1F15&quot;/&gt;&lt;wsp:rsid wsp:val=&quot;002E1F17&quot;/&gt;&lt;wsp:rsid wsp:val=&quot;002E205D&quot;/&gt;&lt;wsp:rsid wsp:val=&quot;002E22DB&quot;/&gt;&lt;wsp:rsid wsp:val=&quot;002E28BB&quot;/&gt;&lt;wsp:rsid wsp:val=&quot;002E2C03&quot;/&gt;&lt;wsp:rsid wsp:val=&quot;002E2EC0&quot;/&gt;&lt;wsp:rsid wsp:val=&quot;002E3387&quot;/&gt;&lt;wsp:rsid wsp:val=&quot;002E34D6&quot;/&gt;&lt;wsp:rsid wsp:val=&quot;002E3B88&quot;/&gt;&lt;wsp:rsid wsp:val=&quot;002E3D5B&quot;/&gt;&lt;wsp:rsid wsp:val=&quot;002E3DAD&quot;/&gt;&lt;wsp:rsid wsp:val=&quot;002E3ED7&quot;/&gt;&lt;wsp:rsid wsp:val=&quot;002E4583&quot;/&gt;&lt;wsp:rsid wsp:val=&quot;002E4707&quot;/&gt;&lt;wsp:rsid wsp:val=&quot;002E4B35&quot;/&gt;&lt;wsp:rsid wsp:val=&quot;002E542B&quot;/&gt;&lt;wsp:rsid wsp:val=&quot;002E6D9B&quot;/&gt;&lt;wsp:rsid wsp:val=&quot;002E7A1F&quot;/&gt;&lt;wsp:rsid wsp:val=&quot;002E7AE0&quot;/&gt;&lt;wsp:rsid wsp:val=&quot;002E7B93&quot;/&gt;&lt;wsp:rsid wsp:val=&quot;002E7F73&quot;/&gt;&lt;wsp:rsid wsp:val=&quot;002F0117&quot;/&gt;&lt;wsp:rsid wsp:val=&quot;002F033F&quot;/&gt;&lt;wsp:rsid wsp:val=&quot;002F0447&quot;/&gt;&lt;wsp:rsid wsp:val=&quot;002F046F&quot;/&gt;&lt;wsp:rsid wsp:val=&quot;002F0546&quot;/&gt;&lt;wsp:rsid wsp:val=&quot;002F0E28&quot;/&gt;&lt;wsp:rsid wsp:val=&quot;002F0F50&quot;/&gt;&lt;wsp:rsid wsp:val=&quot;002F0FBF&quot;/&gt;&lt;wsp:rsid wsp:val=&quot;002F12A5&quot;/&gt;&lt;wsp:rsid wsp:val=&quot;002F1589&quot;/&gt;&lt;wsp:rsid wsp:val=&quot;002F17EF&quot;/&gt;&lt;wsp:rsid wsp:val=&quot;002F1969&quot;/&gt;&lt;wsp:rsid wsp:val=&quot;002F1FC7&quot;/&gt;&lt;wsp:rsid wsp:val=&quot;002F2886&quot;/&gt;&lt;wsp:rsid wsp:val=&quot;002F309F&quot;/&gt;&lt;wsp:rsid wsp:val=&quot;002F33C7&quot;/&gt;&lt;wsp:rsid wsp:val=&quot;002F3538&quot;/&gt;&lt;wsp:rsid wsp:val=&quot;002F3CF1&quot;/&gt;&lt;wsp:rsid wsp:val=&quot;002F3D37&quot;/&gt;&lt;wsp:rsid wsp:val=&quot;002F42BA&quot;/&gt;&lt;wsp:rsid wsp:val=&quot;002F452B&quot;/&gt;&lt;wsp:rsid wsp:val=&quot;002F4635&quot;/&gt;&lt;wsp:rsid wsp:val=&quot;002F4CC1&quot;/&gt;&lt;wsp:rsid wsp:val=&quot;002F4E53&quot;/&gt;&lt;wsp:rsid wsp:val=&quot;002F4E82&quot;/&gt;&lt;wsp:rsid wsp:val=&quot;002F4FEE&quot;/&gt;&lt;wsp:rsid wsp:val=&quot;002F50B4&quot;/&gt;&lt;wsp:rsid wsp:val=&quot;002F5550&quot;/&gt;&lt;wsp:rsid wsp:val=&quot;002F57FD&quot;/&gt;&lt;wsp:rsid wsp:val=&quot;002F5DB6&quot;/&gt;&lt;wsp:rsid wsp:val=&quot;002F5EEF&quot;/&gt;&lt;wsp:rsid wsp:val=&quot;002F5FFD&quot;/&gt;&lt;wsp:rsid wsp:val=&quot;002F6510&quot;/&gt;&lt;wsp:rsid wsp:val=&quot;002F6A30&quot;/&gt;&lt;wsp:rsid wsp:val=&quot;002F6C71&quot;/&gt;&lt;wsp:rsid wsp:val=&quot;002F762A&quot;/&gt;&lt;wsp:rsid wsp:val=&quot;002F7CDE&quot;/&gt;&lt;wsp:rsid wsp:val=&quot;00300614&quot;/&gt;&lt;wsp:rsid wsp:val=&quot;0030079A&quot;/&gt;&lt;wsp:rsid wsp:val=&quot;00300A4F&quot;/&gt;&lt;wsp:rsid wsp:val=&quot;003011E0&quot;/&gt;&lt;wsp:rsid wsp:val=&quot;00301AB9&quot;/&gt;&lt;wsp:rsid wsp:val=&quot;00301E31&quot;/&gt;&lt;wsp:rsid wsp:val=&quot;003020F0&quot;/&gt;&lt;wsp:rsid wsp:val=&quot;003021E3&quot;/&gt;&lt;wsp:rsid wsp:val=&quot;003021EB&quot;/&gt;&lt;wsp:rsid wsp:val=&quot;0030234F&quot;/&gt;&lt;wsp:rsid wsp:val=&quot;003024F1&quot;/&gt;&lt;wsp:rsid wsp:val=&quot;00302C47&quot;/&gt;&lt;wsp:rsid wsp:val=&quot;00302DE7&quot;/&gt;&lt;wsp:rsid wsp:val=&quot;00302E2C&quot;/&gt;&lt;wsp:rsid wsp:val=&quot;0030381E&quot;/&gt;&lt;wsp:rsid wsp:val=&quot;00303848&quot;/&gt;&lt;wsp:rsid wsp:val=&quot;00303894&quot;/&gt;&lt;wsp:rsid wsp:val=&quot;00303A13&quot;/&gt;&lt;wsp:rsid wsp:val=&quot;00303D41&quot;/&gt;&lt;wsp:rsid wsp:val=&quot;0030400B&quot;/&gt;&lt;wsp:rsid wsp:val=&quot;003040BB&quot;/&gt;&lt;wsp:rsid wsp:val=&quot;003042E2&quot;/&gt;&lt;wsp:rsid wsp:val=&quot;00304465&quot;/&gt;&lt;wsp:rsid wsp:val=&quot;00304543&quot;/&gt;&lt;wsp:rsid wsp:val=&quot;00304659&quot;/&gt;&lt;wsp:rsid wsp:val=&quot;00304816&quot;/&gt;&lt;wsp:rsid wsp:val=&quot;00305216&quot;/&gt;&lt;wsp:rsid wsp:val=&quot;00305929&quot;/&gt;&lt;wsp:rsid wsp:val=&quot;00305A87&quot;/&gt;&lt;wsp:rsid wsp:val=&quot;003064CB&quot;/&gt;&lt;wsp:rsid wsp:val=&quot;00306A6A&quot;/&gt;&lt;wsp:rsid wsp:val=&quot;00306AA7&quot;/&gt;&lt;wsp:rsid wsp:val=&quot;00306CB1&quot;/&gt;&lt;wsp:rsid wsp:val=&quot;00306F51&quot;/&gt;&lt;wsp:rsid wsp:val=&quot;00306F9A&quot;/&gt;&lt;wsp:rsid wsp:val=&quot;00307117&quot;/&gt;&lt;wsp:rsid wsp:val=&quot;00307711&quot;/&gt;&lt;wsp:rsid wsp:val=&quot;003077AC&quot;/&gt;&lt;wsp:rsid wsp:val=&quot;00307B03&quot;/&gt;&lt;wsp:rsid wsp:val=&quot;0031013A&quot;/&gt;&lt;wsp:rsid wsp:val=&quot;0031018C&quot;/&gt;&lt;wsp:rsid wsp:val=&quot;003105B2&quot;/&gt;&lt;wsp:rsid wsp:val=&quot;00310832&quot;/&gt;&lt;wsp:rsid wsp:val=&quot;00310AC6&quot;/&gt;&lt;wsp:rsid wsp:val=&quot;00310E02&quot;/&gt;&lt;wsp:rsid wsp:val=&quot;003111BD&quot;/&gt;&lt;wsp:rsid wsp:val=&quot;00311355&quot;/&gt;&lt;wsp:rsid wsp:val=&quot;003118E0&quot;/&gt;&lt;wsp:rsid wsp:val=&quot;00311967&quot;/&gt;&lt;wsp:rsid wsp:val=&quot;00311BFF&quot;/&gt;&lt;wsp:rsid wsp:val=&quot;0031201D&quot;/&gt;&lt;wsp:rsid wsp:val=&quot;003124A8&quot;/&gt;&lt;wsp:rsid wsp:val=&quot;0031286E&quot;/&gt;&lt;wsp:rsid wsp:val=&quot;00312EEF&quot;/&gt;&lt;wsp:rsid wsp:val=&quot;00312FD4&quot;/&gt;&lt;wsp:rsid wsp:val=&quot;0031302C&quot;/&gt;&lt;wsp:rsid wsp:val=&quot;00313A91&quot;/&gt;&lt;wsp:rsid wsp:val=&quot;00313C73&quot;/&gt;&lt;wsp:rsid wsp:val=&quot;0031435C&quot;/&gt;&lt;wsp:rsid wsp:val=&quot;003144DA&quot;/&gt;&lt;wsp:rsid wsp:val=&quot;00314577&quot;/&gt;&lt;wsp:rsid wsp:val=&quot;003145BA&quot;/&gt;&lt;wsp:rsid wsp:val=&quot;003146B3&quot;/&gt;&lt;wsp:rsid wsp:val=&quot;003148C5&quot;/&gt;&lt;wsp:rsid wsp:val=&quot;003148E8&quot;/&gt;&lt;wsp:rsid wsp:val=&quot;0031494A&quot;/&gt;&lt;wsp:rsid wsp:val=&quot;00314D64&quot;/&gt;&lt;wsp:rsid wsp:val=&quot;003153AB&quot;/&gt;&lt;wsp:rsid wsp:val=&quot;00315C1F&quot;/&gt;&lt;wsp:rsid wsp:val=&quot;00316A8D&quot;/&gt;&lt;wsp:rsid wsp:val=&quot;00316B3D&quot;/&gt;&lt;wsp:rsid wsp:val=&quot;0031710A&quot;/&gt;&lt;wsp:rsid wsp:val=&quot;0031727B&quot;/&gt;&lt;wsp:rsid wsp:val=&quot;003173FE&quot;/&gt;&lt;wsp:rsid wsp:val=&quot;0031743E&quot;/&gt;&lt;wsp:rsid wsp:val=&quot;003175D3&quot;/&gt;&lt;wsp:rsid wsp:val=&quot;003176EF&quot;/&gt;&lt;wsp:rsid wsp:val=&quot;00317939&quot;/&gt;&lt;wsp:rsid wsp:val=&quot;00317951&quot;/&gt;&lt;wsp:rsid wsp:val=&quot;003179E4&quot;/&gt;&lt;wsp:rsid wsp:val=&quot;00317A5B&quot;/&gt;&lt;wsp:rsid wsp:val=&quot;00317B85&quot;/&gt;&lt;wsp:rsid wsp:val=&quot;00317C82&quot;/&gt;&lt;wsp:rsid wsp:val=&quot;00317C8D&quot;/&gt;&lt;wsp:rsid wsp:val=&quot;00320125&quot;/&gt;&lt;wsp:rsid wsp:val=&quot;00320258&quot;/&gt;&lt;wsp:rsid wsp:val=&quot;00320778&quot;/&gt;&lt;wsp:rsid wsp:val=&quot;003208F1&quot;/&gt;&lt;wsp:rsid wsp:val=&quot;00320B46&quot;/&gt;&lt;wsp:rsid wsp:val=&quot;00321345&quot;/&gt;&lt;wsp:rsid wsp:val=&quot;003219C6&quot;/&gt;&lt;wsp:rsid wsp:val=&quot;00321BAA&quot;/&gt;&lt;wsp:rsid wsp:val=&quot;00321FE8&quot;/&gt;&lt;wsp:rsid wsp:val=&quot;003228E7&quot;/&gt;&lt;wsp:rsid wsp:val=&quot;00322C86&quot;/&gt;&lt;wsp:rsid wsp:val=&quot;00322F9C&quot;/&gt;&lt;wsp:rsid wsp:val=&quot;00323064&quot;/&gt;&lt;wsp:rsid wsp:val=&quot;00323789&quot;/&gt;&lt;wsp:rsid wsp:val=&quot;003237CD&quot;/&gt;&lt;wsp:rsid wsp:val=&quot;003239FE&quot;/&gt;&lt;wsp:rsid wsp:val=&quot;00323A36&quot;/&gt;&lt;wsp:rsid wsp:val=&quot;00323C3F&quot;/&gt;&lt;wsp:rsid wsp:val=&quot;00324043&quot;/&gt;&lt;wsp:rsid wsp:val=&quot;003240C6&quot;/&gt;&lt;wsp:rsid wsp:val=&quot;003240DB&quot;/&gt;&lt;wsp:rsid wsp:val=&quot;00324172&quot;/&gt;&lt;wsp:rsid wsp:val=&quot;003243F1&quot;/&gt;&lt;wsp:rsid wsp:val=&quot;00324811&quot;/&gt;&lt;wsp:rsid wsp:val=&quot;00324D96&quot;/&gt;&lt;wsp:rsid wsp:val=&quot;003251F5&quot;/&gt;&lt;wsp:rsid wsp:val=&quot;003251FD&quot;/&gt;&lt;wsp:rsid wsp:val=&quot;003252DE&quot;/&gt;&lt;wsp:rsid wsp:val=&quot;0032561C&quot;/&gt;&lt;wsp:rsid wsp:val=&quot;003256BF&quot;/&gt;&lt;wsp:rsid wsp:val=&quot;0032627E&quot;/&gt;&lt;wsp:rsid wsp:val=&quot;003263D2&quot;/&gt;&lt;wsp:rsid wsp:val=&quot;003265DD&quot;/&gt;&lt;wsp:rsid wsp:val=&quot;00326D3E&quot;/&gt;&lt;wsp:rsid wsp:val=&quot;0032714F&quot;/&gt;&lt;wsp:rsid wsp:val=&quot;0032737B&quot;/&gt;&lt;wsp:rsid wsp:val=&quot;0032755B&quot;/&gt;&lt;wsp:rsid wsp:val=&quot;0032756B&quot;/&gt;&lt;wsp:rsid wsp:val=&quot;003278B6&quot;/&gt;&lt;wsp:rsid wsp:val=&quot;00327A8B&quot;/&gt;&lt;wsp:rsid wsp:val=&quot;00327CA0&quot;/&gt;&lt;wsp:rsid wsp:val=&quot;00327E04&quot;/&gt;&lt;wsp:rsid wsp:val=&quot;00327E52&quot;/&gt;&lt;wsp:rsid wsp:val=&quot;00330024&quot;/&gt;&lt;wsp:rsid wsp:val=&quot;0033034B&quot;/&gt;&lt;wsp:rsid wsp:val=&quot;00330B34&quot;/&gt;&lt;wsp:rsid wsp:val=&quot;00331365&quot;/&gt;&lt;wsp:rsid wsp:val=&quot;003316ED&quot;/&gt;&lt;wsp:rsid wsp:val=&quot;0033175A&quot;/&gt;&lt;wsp:rsid wsp:val=&quot;003318EC&quot;/&gt;&lt;wsp:rsid wsp:val=&quot;00331ACB&quot;/&gt;&lt;wsp:rsid wsp:val=&quot;0033226E&quot;/&gt;&lt;wsp:rsid wsp:val=&quot;003322C0&quot;/&gt;&lt;wsp:rsid wsp:val=&quot;0033245B&quot;/&gt;&lt;wsp:rsid wsp:val=&quot;003327D1&quot;/&gt;&lt;wsp:rsid wsp:val=&quot;00332A9F&quot;/&gt;&lt;wsp:rsid wsp:val=&quot;00332C11&quot;/&gt;&lt;wsp:rsid wsp:val=&quot;0033316B&quot;/&gt;&lt;wsp:rsid wsp:val=&quot;003331E4&quot;/&gt;&lt;wsp:rsid wsp:val=&quot;003332A5&quot;/&gt;&lt;wsp:rsid wsp:val=&quot;003332B4&quot;/&gt;&lt;wsp:rsid wsp:val=&quot;003332C9&quot;/&gt;&lt;wsp:rsid wsp:val=&quot;00333498&quot;/&gt;&lt;wsp:rsid wsp:val=&quot;00333521&quot;/&gt;&lt;wsp:rsid wsp:val=&quot;00333680&quot;/&gt;&lt;wsp:rsid wsp:val=&quot;00333F62&quot;/&gt;&lt;wsp:rsid wsp:val=&quot;003340C4&quot;/&gt;&lt;wsp:rsid wsp:val=&quot;003342C3&quot;/&gt;&lt;wsp:rsid wsp:val=&quot;00334AB7&quot;/&gt;&lt;wsp:rsid wsp:val=&quot;00334DBD&quot;/&gt;&lt;wsp:rsid wsp:val=&quot;00334F85&quot;/&gt;&lt;wsp:rsid wsp:val=&quot;0033524F&quot;/&gt;&lt;wsp:rsid wsp:val=&quot;003354E8&quot;/&gt;&lt;wsp:rsid wsp:val=&quot;00335704&quot;/&gt;&lt;wsp:rsid wsp:val=&quot;00335B8C&quot;/&gt;&lt;wsp:rsid wsp:val=&quot;00335BEC&quot;/&gt;&lt;wsp:rsid wsp:val=&quot;00335C3B&quot;/&gt;&lt;wsp:rsid wsp:val=&quot;00335FEF&quot;/&gt;&lt;wsp:rsid wsp:val=&quot;00336121&quot;/&gt;&lt;wsp:rsid wsp:val=&quot;00336146&quot;/&gt;&lt;wsp:rsid wsp:val=&quot;003369C1&quot;/&gt;&lt;wsp:rsid wsp:val=&quot;00336D68&quot;/&gt;&lt;wsp:rsid wsp:val=&quot;00336D7E&quot;/&gt;&lt;wsp:rsid wsp:val=&quot;00337075&quot;/&gt;&lt;wsp:rsid wsp:val=&quot;0033707C&quot;/&gt;&lt;wsp:rsid wsp:val=&quot;003373A9&quot;/&gt;&lt;wsp:rsid wsp:val=&quot;003373F7&quot;/&gt;&lt;wsp:rsid wsp:val=&quot;003375F2&quot;/&gt;&lt;wsp:rsid wsp:val=&quot;0033764C&quot;/&gt;&lt;wsp:rsid wsp:val=&quot;003379E1&quot;/&gt;&lt;wsp:rsid wsp:val=&quot;0034005A&quot;/&gt;&lt;wsp:rsid wsp:val=&quot;00340105&quot;/&gt;&lt;wsp:rsid wsp:val=&quot;003405F2&quot;/&gt;&lt;wsp:rsid wsp:val=&quot;0034077B&quot;/&gt;&lt;wsp:rsid wsp:val=&quot;00340B3C&quot;/&gt;&lt;wsp:rsid wsp:val=&quot;00340EA3&quot;/&gt;&lt;wsp:rsid wsp:val=&quot;00340EC3&quot;/&gt;&lt;wsp:rsid wsp:val=&quot;00341352&quot;/&gt;&lt;wsp:rsid wsp:val=&quot;0034136D&quot;/&gt;&lt;wsp:rsid wsp:val=&quot;00341648&quot;/&gt;&lt;wsp:rsid wsp:val=&quot;00341871&quot;/&gt;&lt;wsp:rsid wsp:val=&quot;00341BA2&quot;/&gt;&lt;wsp:rsid wsp:val=&quot;0034246D&quot;/&gt;&lt;wsp:rsid wsp:val=&quot;003426DD&quot;/&gt;&lt;wsp:rsid wsp:val=&quot;003429BB&quot;/&gt;&lt;wsp:rsid wsp:val=&quot;00342C6D&quot;/&gt;&lt;wsp:rsid wsp:val=&quot;00342D91&quot;/&gt;&lt;wsp:rsid wsp:val=&quot;0034360D&quot;/&gt;&lt;wsp:rsid wsp:val=&quot;00343823&quot;/&gt;&lt;wsp:rsid wsp:val=&quot;00343AEB&quot;/&gt;&lt;wsp:rsid wsp:val=&quot;00343B37&quot;/&gt;&lt;wsp:rsid wsp:val=&quot;003441AF&quot;/&gt;&lt;wsp:rsid wsp:val=&quot;0034430C&quot;/&gt;&lt;wsp:rsid wsp:val=&quot;0034477E&quot;/&gt;&lt;wsp:rsid wsp:val=&quot;0034499B&quot;/&gt;&lt;wsp:rsid wsp:val=&quot;003449EE&quot;/&gt;&lt;wsp:rsid wsp:val=&quot;00344C86&quot;/&gt;&lt;wsp:rsid wsp:val=&quot;00345346&quot;/&gt;&lt;wsp:rsid wsp:val=&quot;003459A5&quot;/&gt;&lt;wsp:rsid wsp:val=&quot;00345E3E&quot;/&gt;&lt;wsp:rsid wsp:val=&quot;00345E83&quot;/&gt;&lt;wsp:rsid wsp:val=&quot;003461A8&quot;/&gt;&lt;wsp:rsid wsp:val=&quot;003461B5&quot;/&gt;&lt;wsp:rsid wsp:val=&quot;0034647F&quot;/&gt;&lt;wsp:rsid wsp:val=&quot;003465BD&quot;/&gt;&lt;wsp:rsid wsp:val=&quot;003467BA&quot;/&gt;&lt;wsp:rsid wsp:val=&quot;003472CE&quot;/&gt;&lt;wsp:rsid wsp:val=&quot;003474C7&quot;/&gt;&lt;wsp:rsid wsp:val=&quot;00347AEC&quot;/&gt;&lt;wsp:rsid wsp:val=&quot;00350027&quot;/&gt;&lt;wsp:rsid wsp:val=&quot;003501D8&quot;/&gt;&lt;wsp:rsid wsp:val=&quot;003506E8&quot;/&gt;&lt;wsp:rsid wsp:val=&quot;00350808&quot;/&gt;&lt;wsp:rsid wsp:val=&quot;00350B40&quot;/&gt;&lt;wsp:rsid wsp:val=&quot;00350BE1&quot;/&gt;&lt;wsp:rsid wsp:val=&quot;00350C45&quot;/&gt;&lt;wsp:rsid wsp:val=&quot;00350D37&quot;/&gt;&lt;wsp:rsid wsp:val=&quot;003513D0&quot;/&gt;&lt;wsp:rsid wsp:val=&quot;00351544&quot;/&gt;&lt;wsp:rsid wsp:val=&quot;00351D23&quot;/&gt;&lt;wsp:rsid wsp:val=&quot;00352111&quot;/&gt;&lt;wsp:rsid wsp:val=&quot;0035243E&quot;/&gt;&lt;wsp:rsid wsp:val=&quot;003529B5&quot;/&gt;&lt;wsp:rsid wsp:val=&quot;003529C4&quot;/&gt;&lt;wsp:rsid wsp:val=&quot;00352D51&quot;/&gt;&lt;wsp:rsid wsp:val=&quot;0035318B&quot;/&gt;&lt;wsp:rsid wsp:val=&quot;0035377D&quot;/&gt;&lt;wsp:rsid wsp:val=&quot;00353951&quot;/&gt;&lt;wsp:rsid wsp:val=&quot;00353DEF&quot;/&gt;&lt;wsp:rsid wsp:val=&quot;003548CE&quot;/&gt;&lt;wsp:rsid wsp:val=&quot;003550CB&quot;/&gt;&lt;wsp:rsid wsp:val=&quot;0035532F&quot;/&gt;&lt;wsp:rsid wsp:val=&quot;00355506&quot;/&gt;&lt;wsp:rsid wsp:val=&quot;0035582D&quot;/&gt;&lt;wsp:rsid wsp:val=&quot;003558B6&quot;/&gt;&lt;wsp:rsid wsp:val=&quot;0035596F&quot;/&gt;&lt;wsp:rsid wsp:val=&quot;00355B23&quot;/&gt;&lt;wsp:rsid wsp:val=&quot;003564AF&quot;/&gt;&lt;wsp:rsid wsp:val=&quot;003576FD&quot;/&gt;&lt;wsp:rsid wsp:val=&quot;0035786F&quot;/&gt;&lt;wsp:rsid wsp:val=&quot;00357B2B&quot;/&gt;&lt;wsp:rsid wsp:val=&quot;00357BD4&quot;/&gt;&lt;wsp:rsid wsp:val=&quot;0036002A&quot;/&gt;&lt;wsp:rsid wsp:val=&quot;0036041D&quot;/&gt;&lt;wsp:rsid wsp:val=&quot;00360810&quot;/&gt;&lt;wsp:rsid wsp:val=&quot;00360C9D&quot;/&gt;&lt;wsp:rsid wsp:val=&quot;00360FA1&quot;/&gt;&lt;wsp:rsid wsp:val=&quot;003611FD&quot;/&gt;&lt;wsp:rsid wsp:val=&quot;00361663&quot;/&gt;&lt;wsp:rsid wsp:val=&quot;00361B72&quot;/&gt;&lt;wsp:rsid wsp:val=&quot;00361FD5&quot;/&gt;&lt;wsp:rsid wsp:val=&quot;003620B5&quot;/&gt;&lt;wsp:rsid wsp:val=&quot;003620DB&quot;/&gt;&lt;wsp:rsid wsp:val=&quot;003621B7&quot;/&gt;&lt;wsp:rsid wsp:val=&quot;0036259B&quot;/&gt;&lt;wsp:rsid wsp:val=&quot;00362A92&quot;/&gt;&lt;wsp:rsid wsp:val=&quot;00362BC1&quot;/&gt;&lt;wsp:rsid wsp:val=&quot;00362FE2&quot;/&gt;&lt;wsp:rsid wsp:val=&quot;003630BD&quot;/&gt;&lt;wsp:rsid wsp:val=&quot;0036312A&quot;/&gt;&lt;wsp:rsid wsp:val=&quot;00363568&quot;/&gt;&lt;wsp:rsid wsp:val=&quot;003638A2&quot;/&gt;&lt;wsp:rsid wsp:val=&quot;00363E3B&quot;/&gt;&lt;wsp:rsid wsp:val=&quot;00363E47&quot;/&gt;&lt;wsp:rsid wsp:val=&quot;0036416D&quot;/&gt;&lt;wsp:rsid wsp:val=&quot;00364582&quot;/&gt;&lt;wsp:rsid wsp:val=&quot;003645D7&quot;/&gt;&lt;wsp:rsid wsp:val=&quot;00364A82&quot;/&gt;&lt;wsp:rsid wsp:val=&quot;00365286&quot;/&gt;&lt;wsp:rsid wsp:val=&quot;00365C52&quot;/&gt;&lt;wsp:rsid wsp:val=&quot;00365F41&quot;/&gt;&lt;wsp:rsid wsp:val=&quot;00366017&quot;/&gt;&lt;wsp:rsid wsp:val=&quot;00366401&quot;/&gt;&lt;wsp:rsid wsp:val=&quot;00366520&quot;/&gt;&lt;wsp:rsid wsp:val=&quot;003666EE&quot;/&gt;&lt;wsp:rsid wsp:val=&quot;00366833&quot;/&gt;&lt;wsp:rsid wsp:val=&quot;00366FF4&quot;/&gt;&lt;wsp:rsid wsp:val=&quot;0036702E&quot;/&gt;&lt;wsp:rsid wsp:val=&quot;00367099&quot;/&gt;&lt;wsp:rsid wsp:val=&quot;00367116&quot;/&gt;&lt;wsp:rsid wsp:val=&quot;003671C2&quot;/&gt;&lt;wsp:rsid wsp:val=&quot;003673CB&quot;/&gt;&lt;wsp:rsid wsp:val=&quot;00367508&quot;/&gt;&lt;wsp:rsid wsp:val=&quot;00367CAA&quot;/&gt;&lt;wsp:rsid wsp:val=&quot;00370218&quot;/&gt;&lt;wsp:rsid wsp:val=&quot;00370956&quot;/&gt;&lt;wsp:rsid wsp:val=&quot;00370A0F&quot;/&gt;&lt;wsp:rsid wsp:val=&quot;00370D91&quot;/&gt;&lt;wsp:rsid wsp:val=&quot;00371DDF&quot;/&gt;&lt;wsp:rsid wsp:val=&quot;00371E75&quot;/&gt;&lt;wsp:rsid wsp:val=&quot;00372B2C&quot;/&gt;&lt;wsp:rsid wsp:val=&quot;00372B94&quot;/&gt;&lt;wsp:rsid wsp:val=&quot;00372E1F&quot;/&gt;&lt;wsp:rsid wsp:val=&quot;0037305D&quot;/&gt;&lt;wsp:rsid wsp:val=&quot;00373080&quot;/&gt;&lt;wsp:rsid wsp:val=&quot;0037327A&quot;/&gt;&lt;wsp:rsid wsp:val=&quot;003733B9&quot;/&gt;&lt;wsp:rsid wsp:val=&quot;003734EA&quot;/&gt;&lt;wsp:rsid wsp:val=&quot;00373772&quot;/&gt;&lt;wsp:rsid wsp:val=&quot;0037381A&quot;/&gt;&lt;wsp:rsid wsp:val=&quot;00373863&quot;/&gt;&lt;wsp:rsid wsp:val=&quot;0037417F&quot;/&gt;&lt;wsp:rsid wsp:val=&quot;0037434F&quot;/&gt;&lt;wsp:rsid wsp:val=&quot;003744B2&quot;/&gt;&lt;wsp:rsid wsp:val=&quot;00374A1A&quot;/&gt;&lt;wsp:rsid wsp:val=&quot;00374CFC&quot;/&gt;&lt;wsp:rsid wsp:val=&quot;003751DB&quot;/&gt;&lt;wsp:rsid wsp:val=&quot;00375561&quot;/&gt;&lt;wsp:rsid wsp:val=&quot;0037566E&quot;/&gt;&lt;wsp:rsid wsp:val=&quot;0037573E&quot;/&gt;&lt;wsp:rsid wsp:val=&quot;0037587B&quot;/&gt;&lt;wsp:rsid wsp:val=&quot;00375FE1&quot;/&gt;&lt;wsp:rsid wsp:val=&quot;0037620D&quot;/&gt;&lt;wsp:rsid wsp:val=&quot;00376889&quot;/&gt;&lt;wsp:rsid wsp:val=&quot;0037688C&quot;/&gt;&lt;wsp:rsid wsp:val=&quot;0037736A&quot;/&gt;&lt;wsp:rsid wsp:val=&quot;003778DE&quot;/&gt;&lt;wsp:rsid wsp:val=&quot;00377A92&quot;/&gt;&lt;wsp:rsid wsp:val=&quot;00377CAB&quot;/&gt;&lt;wsp:rsid wsp:val=&quot;00377CCF&quot;/&gt;&lt;wsp:rsid wsp:val=&quot;003800B0&quot;/&gt;&lt;wsp:rsid wsp:val=&quot;00380150&quot;/&gt;&lt;wsp:rsid wsp:val=&quot;0038021F&quot;/&gt;&lt;wsp:rsid wsp:val=&quot;00380627&quot;/&gt;&lt;wsp:rsid wsp:val=&quot;00380A43&quot;/&gt;&lt;wsp:rsid wsp:val=&quot;00380BE5&quot;/&gt;&lt;wsp:rsid wsp:val=&quot;00380D61&quot;/&gt;&lt;wsp:rsid wsp:val=&quot;00380E4F&quot;/&gt;&lt;wsp:rsid wsp:val=&quot;00381580&quot;/&gt;&lt;wsp:rsid wsp:val=&quot;003816B6&quot;/&gt;&lt;wsp:rsid wsp:val=&quot;00381735&quot;/&gt;&lt;wsp:rsid wsp:val=&quot;00381A47&quot;/&gt;&lt;wsp:rsid wsp:val=&quot;00381AE0&quot;/&gt;&lt;wsp:rsid wsp:val=&quot;00381F29&quot;/&gt;&lt;wsp:rsid wsp:val=&quot;003822F0&quot;/&gt;&lt;wsp:rsid wsp:val=&quot;0038263F&quot;/&gt;&lt;wsp:rsid wsp:val=&quot;003829FF&quot;/&gt;&lt;wsp:rsid wsp:val=&quot;00382C25&quot;/&gt;&lt;wsp:rsid wsp:val=&quot;00382E60&quot;/&gt;&lt;wsp:rsid wsp:val=&quot;0038324A&quot;/&gt;&lt;wsp:rsid wsp:val=&quot;00383257&quot;/&gt;&lt;wsp:rsid wsp:val=&quot;003835F4&quot;/&gt;&lt;wsp:rsid wsp:val=&quot;00383A82&quot;/&gt;&lt;wsp:rsid wsp:val=&quot;00383B9A&quot;/&gt;&lt;wsp:rsid wsp:val=&quot;0038426B&quot;/&gt;&lt;wsp:rsid wsp:val=&quot;003843D7&quot;/&gt;&lt;wsp:rsid wsp:val=&quot;003849FB&quot;/&gt;&lt;wsp:rsid wsp:val=&quot;00384B3B&quot;/&gt;&lt;wsp:rsid wsp:val=&quot;00385C5F&quot;/&gt;&lt;wsp:rsid wsp:val=&quot;00385DE1&quot;/&gt;&lt;wsp:rsid wsp:val=&quot;00386363&quot;/&gt;&lt;wsp:rsid wsp:val=&quot;003867F0&quot;/&gt;&lt;wsp:rsid wsp:val=&quot;003871D5&quot;/&gt;&lt;wsp:rsid wsp:val=&quot;00387309&quot;/&gt;&lt;wsp:rsid wsp:val=&quot;0038764F&quot;/&gt;&lt;wsp:rsid wsp:val=&quot;00387679&quot;/&gt;&lt;wsp:rsid wsp:val=&quot;003878E4&quot;/&gt;&lt;wsp:rsid wsp:val=&quot;00387CCC&quot;/&gt;&lt;wsp:rsid wsp:val=&quot;00387D94&quot;/&gt;&lt;wsp:rsid wsp:val=&quot;00390021&quot;/&gt;&lt;wsp:rsid wsp:val=&quot;003902EC&quot;/&gt;&lt;wsp:rsid wsp:val=&quot;0039034E&quot;/&gt;&lt;wsp:rsid wsp:val=&quot;0039053A&quot;/&gt;&lt;wsp:rsid wsp:val=&quot;00390919&quot;/&gt;&lt;wsp:rsid wsp:val=&quot;00390925&quot;/&gt;&lt;wsp:rsid wsp:val=&quot;00390A07&quot;/&gt;&lt;wsp:rsid wsp:val=&quot;00390FA8&quot;/&gt;&lt;wsp:rsid wsp:val=&quot;00391369&quot;/&gt;&lt;wsp:rsid wsp:val=&quot;003917CB&quot;/&gt;&lt;wsp:rsid wsp:val=&quot;00391998&quot;/&gt;&lt;wsp:rsid wsp:val=&quot;00391E4D&quot;/&gt;&lt;wsp:rsid wsp:val=&quot;0039240C&quot;/&gt;&lt;wsp:rsid wsp:val=&quot;0039253A&quot;/&gt;&lt;wsp:rsid wsp:val=&quot;0039272C&quot;/&gt;&lt;wsp:rsid wsp:val=&quot;00392801&quot;/&gt;&lt;wsp:rsid wsp:val=&quot;00392907&quot;/&gt;&lt;wsp:rsid wsp:val=&quot;00392AAD&quot;/&gt;&lt;wsp:rsid wsp:val=&quot;003941C6&quot;/&gt;&lt;wsp:rsid wsp:val=&quot;003941CF&quot;/&gt;&lt;wsp:rsid wsp:val=&quot;003943D7&quot;/&gt;&lt;wsp:rsid wsp:val=&quot;00394690&quot;/&gt;&lt;wsp:rsid wsp:val=&quot;0039499C&quot;/&gt;&lt;wsp:rsid wsp:val=&quot;00394B2F&quot;/&gt;&lt;wsp:rsid wsp:val=&quot;00394D37&quot;/&gt;&lt;wsp:rsid wsp:val=&quot;0039501D&quot;/&gt;&lt;wsp:rsid wsp:val=&quot;00395940&quot;/&gt;&lt;wsp:rsid wsp:val=&quot;00395BC4&quot;/&gt;&lt;wsp:rsid wsp:val=&quot;00395E6F&quot;/&gt;&lt;wsp:rsid wsp:val=&quot;0039633C&quot;/&gt;&lt;wsp:rsid wsp:val=&quot;00396746&quot;/&gt;&lt;wsp:rsid wsp:val=&quot;00396CC7&quot;/&gt;&lt;wsp:rsid wsp:val=&quot;00396FF0&quot;/&gt;&lt;wsp:rsid wsp:val=&quot;003976D0&quot;/&gt;&lt;wsp:rsid wsp:val=&quot;0039784D&quot;/&gt;&lt;wsp:rsid wsp:val=&quot;00397969&quot;/&gt;&lt;wsp:rsid wsp:val=&quot;00397A5E&quot;/&gt;&lt;wsp:rsid wsp:val=&quot;00397AAD&quot;/&gt;&lt;wsp:rsid wsp:val=&quot;00397CB3&quot;/&gt;&lt;wsp:rsid wsp:val=&quot;00397FF2&quot;/&gt;&lt;wsp:rsid wsp:val=&quot;003A0398&quot;/&gt;&lt;wsp:rsid wsp:val=&quot;003A047C&quot;/&gt;&lt;wsp:rsid wsp:val=&quot;003A0DB5&quot;/&gt;&lt;wsp:rsid wsp:val=&quot;003A145B&quot;/&gt;&lt;wsp:rsid wsp:val=&quot;003A157A&quot;/&gt;&lt;wsp:rsid wsp:val=&quot;003A176A&quot;/&gt;&lt;wsp:rsid wsp:val=&quot;003A1844&quot;/&gt;&lt;wsp:rsid wsp:val=&quot;003A184C&quot;/&gt;&lt;wsp:rsid wsp:val=&quot;003A1899&quot;/&gt;&lt;wsp:rsid wsp:val=&quot;003A1926&quot;/&gt;&lt;wsp:rsid wsp:val=&quot;003A1C22&quot;/&gt;&lt;wsp:rsid wsp:val=&quot;003A1C65&quot;/&gt;&lt;wsp:rsid wsp:val=&quot;003A1CF9&quot;/&gt;&lt;wsp:rsid wsp:val=&quot;003A26FA&quot;/&gt;&lt;wsp:rsid wsp:val=&quot;003A287A&quot;/&gt;&lt;wsp:rsid wsp:val=&quot;003A29E9&quot;/&gt;&lt;wsp:rsid wsp:val=&quot;003A2A7F&quot;/&gt;&lt;wsp:rsid wsp:val=&quot;003A33E2&quot;/&gt;&lt;wsp:rsid wsp:val=&quot;003A38DD&quot;/&gt;&lt;wsp:rsid wsp:val=&quot;003A3D24&quot;/&gt;&lt;wsp:rsid wsp:val=&quot;003A3D53&quot;/&gt;&lt;wsp:rsid wsp:val=&quot;003A40F3&quot;/&gt;&lt;wsp:rsid wsp:val=&quot;003A436D&quot;/&gt;&lt;wsp:rsid wsp:val=&quot;003A4A59&quot;/&gt;&lt;wsp:rsid wsp:val=&quot;003A4A81&quot;/&gt;&lt;wsp:rsid wsp:val=&quot;003A4FE4&quot;/&gt;&lt;wsp:rsid wsp:val=&quot;003A5190&quot;/&gt;&lt;wsp:rsid wsp:val=&quot;003A528D&quot;/&gt;&lt;wsp:rsid wsp:val=&quot;003A5646&quot;/&gt;&lt;wsp:rsid wsp:val=&quot;003A566F&quot;/&gt;&lt;wsp:rsid wsp:val=&quot;003A5A32&quot;/&gt;&lt;wsp:rsid wsp:val=&quot;003A5E41&quot;/&gt;&lt;wsp:rsid wsp:val=&quot;003A65B1&quot;/&gt;&lt;wsp:rsid wsp:val=&quot;003A673B&quot;/&gt;&lt;wsp:rsid wsp:val=&quot;003A6859&quot;/&gt;&lt;wsp:rsid wsp:val=&quot;003A68E3&quot;/&gt;&lt;wsp:rsid wsp:val=&quot;003A6912&quot;/&gt;&lt;wsp:rsid wsp:val=&quot;003A70B3&quot;/&gt;&lt;wsp:rsid wsp:val=&quot;003A723C&quot;/&gt;&lt;wsp:rsid wsp:val=&quot;003A7262&quot;/&gt;&lt;wsp:rsid wsp:val=&quot;003A7901&quot;/&gt;&lt;wsp:rsid wsp:val=&quot;003A7925&quot;/&gt;&lt;wsp:rsid wsp:val=&quot;003A7CF6&quot;/&gt;&lt;wsp:rsid wsp:val=&quot;003A7FFD&quot;/&gt;&lt;wsp:rsid wsp:val=&quot;003B01AD&quot;/&gt;&lt;wsp:rsid wsp:val=&quot;003B05ED&quot;/&gt;&lt;wsp:rsid wsp:val=&quot;003B0B3D&quot;/&gt;&lt;wsp:rsid wsp:val=&quot;003B0C2D&quot;/&gt;&lt;wsp:rsid wsp:val=&quot;003B0E52&quot;/&gt;&lt;wsp:rsid wsp:val=&quot;003B132D&quot;/&gt;&lt;wsp:rsid wsp:val=&quot;003B17C5&quot;/&gt;&lt;wsp:rsid wsp:val=&quot;003B1B51&quot;/&gt;&lt;wsp:rsid wsp:val=&quot;003B22F7&quot;/&gt;&lt;wsp:rsid wsp:val=&quot;003B2A75&quot;/&gt;&lt;wsp:rsid wsp:val=&quot;003B2CEE&quot;/&gt;&lt;wsp:rsid wsp:val=&quot;003B2D31&quot;/&gt;&lt;wsp:rsid wsp:val=&quot;003B303C&quot;/&gt;&lt;wsp:rsid wsp:val=&quot;003B304A&quot;/&gt;&lt;wsp:rsid wsp:val=&quot;003B3172&quot;/&gt;&lt;wsp:rsid wsp:val=&quot;003B3279&quot;/&gt;&lt;wsp:rsid wsp:val=&quot;003B357E&quot;/&gt;&lt;wsp:rsid wsp:val=&quot;003B3978&quot;/&gt;&lt;wsp:rsid wsp:val=&quot;003B41AB&quot;/&gt;&lt;wsp:rsid wsp:val=&quot;003B41AF&quot;/&gt;&lt;wsp:rsid wsp:val=&quot;003B44F3&quot;/&gt;&lt;wsp:rsid wsp:val=&quot;003B4F57&quot;/&gt;&lt;wsp:rsid wsp:val=&quot;003B5077&quot;/&gt;&lt;wsp:rsid wsp:val=&quot;003B52A8&quot;/&gt;&lt;wsp:rsid wsp:val=&quot;003B52F7&quot;/&gt;&lt;wsp:rsid wsp:val=&quot;003B578C&quot;/&gt;&lt;wsp:rsid wsp:val=&quot;003B5E36&quot;/&gt;&lt;wsp:rsid wsp:val=&quot;003B5F0A&quot;/&gt;&lt;wsp:rsid wsp:val=&quot;003B61CB&quot;/&gt;&lt;wsp:rsid wsp:val=&quot;003B677D&quot;/&gt;&lt;wsp:rsid wsp:val=&quot;003B6C29&quot;/&gt;&lt;wsp:rsid wsp:val=&quot;003B6DC4&quot;/&gt;&lt;wsp:rsid wsp:val=&quot;003B6E68&quot;/&gt;&lt;wsp:rsid wsp:val=&quot;003B7010&quot;/&gt;&lt;wsp:rsid wsp:val=&quot;003B7D7F&quot;/&gt;&lt;wsp:rsid wsp:val=&quot;003B7FB5&quot;/&gt;&lt;wsp:rsid wsp:val=&quot;003C0009&quot;/&gt;&lt;wsp:rsid wsp:val=&quot;003C048B&quot;/&gt;&lt;wsp:rsid wsp:val=&quot;003C04E1&quot;/&gt;&lt;wsp:rsid wsp:val=&quot;003C0AEF&quot;/&gt;&lt;wsp:rsid wsp:val=&quot;003C0CE2&quot;/&gt;&lt;wsp:rsid wsp:val=&quot;003C1700&quot;/&gt;&lt;wsp:rsid wsp:val=&quot;003C1993&quot;/&gt;&lt;wsp:rsid wsp:val=&quot;003C1E3E&quot;/&gt;&lt;wsp:rsid wsp:val=&quot;003C2055&quot;/&gt;&lt;wsp:rsid wsp:val=&quot;003C270C&quot;/&gt;&lt;wsp:rsid wsp:val=&quot;003C29CB&quot;/&gt;&lt;wsp:rsid wsp:val=&quot;003C2BE4&quot;/&gt;&lt;wsp:rsid wsp:val=&quot;003C2D08&quot;/&gt;&lt;wsp:rsid wsp:val=&quot;003C2E68&quot;/&gt;&lt;wsp:rsid wsp:val=&quot;003C2EE3&quot;/&gt;&lt;wsp:rsid wsp:val=&quot;003C317C&quot;/&gt;&lt;wsp:rsid wsp:val=&quot;003C3719&quot;/&gt;&lt;wsp:rsid wsp:val=&quot;003C38EF&quot;/&gt;&lt;wsp:rsid wsp:val=&quot;003C3FD5&quot;/&gt;&lt;wsp:rsid wsp:val=&quot;003C421F&quot;/&gt;&lt;wsp:rsid wsp:val=&quot;003C44DE&quot;/&gt;&lt;wsp:rsid wsp:val=&quot;003C4928&quot;/&gt;&lt;wsp:rsid wsp:val=&quot;003C4A82&quot;/&gt;&lt;wsp:rsid wsp:val=&quot;003C524F&quot;/&gt;&lt;wsp:rsid wsp:val=&quot;003C57DC&quot;/&gt;&lt;wsp:rsid wsp:val=&quot;003C5C6B&quot;/&gt;&lt;wsp:rsid wsp:val=&quot;003C62E6&quot;/&gt;&lt;wsp:rsid wsp:val=&quot;003C6388&quot;/&gt;&lt;wsp:rsid wsp:val=&quot;003C63E0&quot;/&gt;&lt;wsp:rsid wsp:val=&quot;003C6DC2&quot;/&gt;&lt;wsp:rsid wsp:val=&quot;003C712E&quot;/&gt;&lt;wsp:rsid wsp:val=&quot;003C74EB&quot;/&gt;&lt;wsp:rsid wsp:val=&quot;003C776C&quot;/&gt;&lt;wsp:rsid wsp:val=&quot;003C7E38&quot;/&gt;&lt;wsp:rsid wsp:val=&quot;003C7E92&quot;/&gt;&lt;wsp:rsid wsp:val=&quot;003D022D&quot;/&gt;&lt;wsp:rsid wsp:val=&quot;003D0BB2&quot;/&gt;&lt;wsp:rsid wsp:val=&quot;003D0E03&quot;/&gt;&lt;wsp:rsid wsp:val=&quot;003D1172&quot;/&gt;&lt;wsp:rsid wsp:val=&quot;003D14AF&quot;/&gt;&lt;wsp:rsid wsp:val=&quot;003D1738&quot;/&gt;&lt;wsp:rsid wsp:val=&quot;003D1997&quot;/&gt;&lt;wsp:rsid wsp:val=&quot;003D1A47&quot;/&gt;&lt;wsp:rsid wsp:val=&quot;003D20A7&quot;/&gt;&lt;wsp:rsid wsp:val=&quot;003D23EC&quot;/&gt;&lt;wsp:rsid wsp:val=&quot;003D403E&quot;/&gt;&lt;wsp:rsid wsp:val=&quot;003D42D9&quot;/&gt;&lt;wsp:rsid wsp:val=&quot;003D4367&quot;/&gt;&lt;wsp:rsid wsp:val=&quot;003D4767&quot;/&gt;&lt;wsp:rsid wsp:val=&quot;003D48E3&quot;/&gt;&lt;wsp:rsid wsp:val=&quot;003D49D6&quot;/&gt;&lt;wsp:rsid wsp:val=&quot;003D4B23&quot;/&gt;&lt;wsp:rsid wsp:val=&quot;003D4C60&quot;/&gt;&lt;wsp:rsid wsp:val=&quot;003D4D6B&quot;/&gt;&lt;wsp:rsid wsp:val=&quot;003D50EC&quot;/&gt;&lt;wsp:rsid wsp:val=&quot;003D5179&quot;/&gt;&lt;wsp:rsid wsp:val=&quot;003D5451&quot;/&gt;&lt;wsp:rsid wsp:val=&quot;003D5514&quot;/&gt;&lt;wsp:rsid wsp:val=&quot;003D5668&quot;/&gt;&lt;wsp:rsid wsp:val=&quot;003D57A3&quot;/&gt;&lt;wsp:rsid wsp:val=&quot;003D5AD7&quot;/&gt;&lt;wsp:rsid wsp:val=&quot;003D5CDE&quot;/&gt;&lt;wsp:rsid wsp:val=&quot;003D6174&quot;/&gt;&lt;wsp:rsid wsp:val=&quot;003D6413&quot;/&gt;&lt;wsp:rsid wsp:val=&quot;003D6472&quot;/&gt;&lt;wsp:rsid wsp:val=&quot;003D65C0&quot;/&gt;&lt;wsp:rsid wsp:val=&quot;003D661A&quot;/&gt;&lt;wsp:rsid wsp:val=&quot;003D67A1&quot;/&gt;&lt;wsp:rsid wsp:val=&quot;003D6BB6&quot;/&gt;&lt;wsp:rsid wsp:val=&quot;003D6D7D&quot;/&gt;&lt;wsp:rsid wsp:val=&quot;003D6E42&quot;/&gt;&lt;wsp:rsid wsp:val=&quot;003D6E49&quot;/&gt;&lt;wsp:rsid wsp:val=&quot;003D6E59&quot;/&gt;&lt;wsp:rsid wsp:val=&quot;003D711E&quot;/&gt;&lt;wsp:rsid wsp:val=&quot;003D7374&quot;/&gt;&lt;wsp:rsid wsp:val=&quot;003D779F&quot;/&gt;&lt;wsp:rsid wsp:val=&quot;003D794B&quot;/&gt;&lt;wsp:rsid wsp:val=&quot;003D7975&quot;/&gt;&lt;wsp:rsid wsp:val=&quot;003D7EBB&quot;/&gt;&lt;wsp:rsid wsp:val=&quot;003D7F48&quot;/&gt;&lt;wsp:rsid wsp:val=&quot;003D7F9B&quot;/&gt;&lt;wsp:rsid wsp:val=&quot;003D7FC5&quot;/&gt;&lt;wsp:rsid wsp:val=&quot;003E010D&quot;/&gt;&lt;wsp:rsid wsp:val=&quot;003E07BA&quot;/&gt;&lt;wsp:rsid wsp:val=&quot;003E0BF1&quot;/&gt;&lt;wsp:rsid wsp:val=&quot;003E10D2&quot;/&gt;&lt;wsp:rsid wsp:val=&quot;003E1204&quot;/&gt;&lt;wsp:rsid wsp:val=&quot;003E15D2&quot;/&gt;&lt;wsp:rsid wsp:val=&quot;003E1949&quot;/&gt;&lt;wsp:rsid wsp:val=&quot;003E199F&quot;/&gt;&lt;wsp:rsid wsp:val=&quot;003E1BF0&quot;/&gt;&lt;wsp:rsid wsp:val=&quot;003E1F2C&quot;/&gt;&lt;wsp:rsid wsp:val=&quot;003E2283&quot;/&gt;&lt;wsp:rsid wsp:val=&quot;003E23AB&quot;/&gt;&lt;wsp:rsid wsp:val=&quot;003E25C2&quot;/&gt;&lt;wsp:rsid wsp:val=&quot;003E2B7A&quot;/&gt;&lt;wsp:rsid wsp:val=&quot;003E2C82&quot;/&gt;&lt;wsp:rsid wsp:val=&quot;003E343B&quot;/&gt;&lt;wsp:rsid wsp:val=&quot;003E3710&quot;/&gt;&lt;wsp:rsid wsp:val=&quot;003E3805&quot;/&gt;&lt;wsp:rsid wsp:val=&quot;003E3AC0&quot;/&gt;&lt;wsp:rsid wsp:val=&quot;003E413E&quot;/&gt;&lt;wsp:rsid wsp:val=&quot;003E4553&quot;/&gt;&lt;wsp:rsid wsp:val=&quot;003E483E&quot;/&gt;&lt;wsp:rsid wsp:val=&quot;003E4999&quot;/&gt;&lt;wsp:rsid wsp:val=&quot;003E4DB9&quot;/&gt;&lt;wsp:rsid wsp:val=&quot;003E5106&quot;/&gt;&lt;wsp:rsid wsp:val=&quot;003E5452&quot;/&gt;&lt;wsp:rsid wsp:val=&quot;003E5ED4&quot;/&gt;&lt;wsp:rsid wsp:val=&quot;003E5F64&quot;/&gt;&lt;wsp:rsid wsp:val=&quot;003E6036&quot;/&gt;&lt;wsp:rsid wsp:val=&quot;003E60CA&quot;/&gt;&lt;wsp:rsid wsp:val=&quot;003E6739&quot;/&gt;&lt;wsp:rsid wsp:val=&quot;003E6A00&quot;/&gt;&lt;wsp:rsid wsp:val=&quot;003E6D4C&quot;/&gt;&lt;wsp:rsid wsp:val=&quot;003E6DD0&quot;/&gt;&lt;wsp:rsid wsp:val=&quot;003E6EB5&quot;/&gt;&lt;wsp:rsid wsp:val=&quot;003E738E&quot;/&gt;&lt;wsp:rsid wsp:val=&quot;003E7466&quot;/&gt;&lt;wsp:rsid wsp:val=&quot;003E747E&quot;/&gt;&lt;wsp:rsid wsp:val=&quot;003E75D8&quot;/&gt;&lt;wsp:rsid wsp:val=&quot;003E75DD&quot;/&gt;&lt;wsp:rsid wsp:val=&quot;003E7F03&quot;/&gt;&lt;wsp:rsid wsp:val=&quot;003E7F56&quot;/&gt;&lt;wsp:rsid wsp:val=&quot;003F05A1&quot;/&gt;&lt;wsp:rsid wsp:val=&quot;003F072E&quot;/&gt;&lt;wsp:rsid wsp:val=&quot;003F0A77&quot;/&gt;&lt;wsp:rsid wsp:val=&quot;003F0DC0&quot;/&gt;&lt;wsp:rsid wsp:val=&quot;003F0F06&quot;/&gt;&lt;wsp:rsid wsp:val=&quot;003F10C2&quot;/&gt;&lt;wsp:rsid wsp:val=&quot;003F163B&quot;/&gt;&lt;wsp:rsid wsp:val=&quot;003F1962&quot;/&gt;&lt;wsp:rsid wsp:val=&quot;003F1D3F&quot;/&gt;&lt;wsp:rsid wsp:val=&quot;003F27FE&quot;/&gt;&lt;wsp:rsid wsp:val=&quot;003F2CD6&quot;/&gt;&lt;wsp:rsid wsp:val=&quot;003F2D9D&quot;/&gt;&lt;wsp:rsid wsp:val=&quot;003F2F74&quot;/&gt;&lt;wsp:rsid wsp:val=&quot;003F4232&quot;/&gt;&lt;wsp:rsid wsp:val=&quot;003F535C&quot;/&gt;&lt;wsp:rsid wsp:val=&quot;003F5782&quot;/&gt;&lt;wsp:rsid wsp:val=&quot;003F59F3&quot;/&gt;&lt;wsp:rsid wsp:val=&quot;003F5A09&quot;/&gt;&lt;wsp:rsid wsp:val=&quot;003F5A71&quot;/&gt;&lt;wsp:rsid wsp:val=&quot;003F5AB8&quot;/&gt;&lt;wsp:rsid wsp:val=&quot;003F5BCF&quot;/&gt;&lt;wsp:rsid wsp:val=&quot;003F61F2&quot;/&gt;&lt;wsp:rsid wsp:val=&quot;003F6306&quot;/&gt;&lt;wsp:rsid wsp:val=&quot;003F64A7&quot;/&gt;&lt;wsp:rsid wsp:val=&quot;003F651F&quot;/&gt;&lt;wsp:rsid wsp:val=&quot;003F67D5&quot;/&gt;&lt;wsp:rsid wsp:val=&quot;003F6EDE&quot;/&gt;&lt;wsp:rsid wsp:val=&quot;003F72B3&quot;/&gt;&lt;wsp:rsid wsp:val=&quot;003F77BC&quot;/&gt;&lt;wsp:rsid wsp:val=&quot;00400167&quot;/&gt;&lt;wsp:rsid wsp:val=&quot;00400AD1&quot;/&gt;&lt;wsp:rsid wsp:val=&quot;00401163&quot;/&gt;&lt;wsp:rsid wsp:val=&quot;00401171&quot;/&gt;&lt;wsp:rsid wsp:val=&quot;00402199&quot;/&gt;&lt;wsp:rsid wsp:val=&quot;004021F6&quot;/&gt;&lt;wsp:rsid wsp:val=&quot;00402823&quot;/&gt;&lt;wsp:rsid wsp:val=&quot;00402A93&quot;/&gt;&lt;wsp:rsid wsp:val=&quot;004032F0&quot;/&gt;&lt;wsp:rsid wsp:val=&quot;00403AB8&quot;/&gt;&lt;wsp:rsid wsp:val=&quot;00403EC3&quot;/&gt;&lt;wsp:rsid wsp:val=&quot;004041F7&quot;/&gt;&lt;wsp:rsid wsp:val=&quot;00404D42&quot;/&gt;&lt;wsp:rsid wsp:val=&quot;00404E76&quot;/&gt;&lt;wsp:rsid wsp:val=&quot;00405380&quot;/&gt;&lt;wsp:rsid wsp:val=&quot;00405393&quot;/&gt;&lt;wsp:rsid wsp:val=&quot;00405409&quot;/&gt;&lt;wsp:rsid wsp:val=&quot;00405452&quot;/&gt;&lt;wsp:rsid wsp:val=&quot;00405C6D&quot;/&gt;&lt;wsp:rsid wsp:val=&quot;0040601C&quot;/&gt;&lt;wsp:rsid wsp:val=&quot;0040604D&quot;/&gt;&lt;wsp:rsid wsp:val=&quot;0040662E&quot;/&gt;&lt;wsp:rsid wsp:val=&quot;00406706&quot;/&gt;&lt;wsp:rsid wsp:val=&quot;00406B1B&quot;/&gt;&lt;wsp:rsid wsp:val=&quot;00407073&quot;/&gt;&lt;wsp:rsid wsp:val=&quot;00407C7E&quot;/&gt;&lt;wsp:rsid wsp:val=&quot;00407D27&quot;/&gt;&lt;wsp:rsid wsp:val=&quot;004102C5&quot;/&gt;&lt;wsp:rsid wsp:val=&quot;0041080E&quot;/&gt;&lt;wsp:rsid wsp:val=&quot;004108CF&quot;/&gt;&lt;wsp:rsid wsp:val=&quot;004113CF&quot;/&gt;&lt;wsp:rsid wsp:val=&quot;00411874&quot;/&gt;&lt;wsp:rsid wsp:val=&quot;00411C07&quot;/&gt;&lt;wsp:rsid wsp:val=&quot;00411C3A&quot;/&gt;&lt;wsp:rsid wsp:val=&quot;00411D59&quot;/&gt;&lt;wsp:rsid wsp:val=&quot;00411DBF&quot;/&gt;&lt;wsp:rsid wsp:val=&quot;00412120&quot;/&gt;&lt;wsp:rsid wsp:val=&quot;004122B7&quot;/&gt;&lt;wsp:rsid wsp:val=&quot;004125F8&quot;/&gt;&lt;wsp:rsid wsp:val=&quot;004126D8&quot;/&gt;&lt;wsp:rsid wsp:val=&quot;00412732&quot;/&gt;&lt;wsp:rsid wsp:val=&quot;0041287E&quot;/&gt;&lt;wsp:rsid wsp:val=&quot;00412941&quot;/&gt;&lt;wsp:rsid wsp:val=&quot;00412A1C&quot;/&gt;&lt;wsp:rsid wsp:val=&quot;00412A9A&quot;/&gt;&lt;wsp:rsid wsp:val=&quot;00412B05&quot;/&gt;&lt;wsp:rsid wsp:val=&quot;00412E3E&quot;/&gt;&lt;wsp:rsid wsp:val=&quot;0041306D&quot;/&gt;&lt;wsp:rsid wsp:val=&quot;004137A0&quot;/&gt;&lt;wsp:rsid wsp:val=&quot;00413C4F&quot;/&gt;&lt;wsp:rsid wsp:val=&quot;00413DAA&quot;/&gt;&lt;wsp:rsid wsp:val=&quot;00413DB7&quot;/&gt;&lt;wsp:rsid wsp:val=&quot;00414227&quot;/&gt;&lt;wsp:rsid wsp:val=&quot;00415034&quot;/&gt;&lt;wsp:rsid wsp:val=&quot;00415974&quot;/&gt;&lt;wsp:rsid wsp:val=&quot;00415A40&quot;/&gt;&lt;wsp:rsid wsp:val=&quot;00416097&quot;/&gt;&lt;wsp:rsid wsp:val=&quot;00416277&quot;/&gt;&lt;wsp:rsid wsp:val=&quot;00416715&quot;/&gt;&lt;wsp:rsid wsp:val=&quot;00416D6C&quot;/&gt;&lt;wsp:rsid wsp:val=&quot;00416D9B&quot;/&gt;&lt;wsp:rsid wsp:val=&quot;00416E1D&quot;/&gt;&lt;wsp:rsid wsp:val=&quot;004171AC&quot;/&gt;&lt;wsp:rsid wsp:val=&quot;00417426&quot;/&gt;&lt;wsp:rsid wsp:val=&quot;00417963&quot;/&gt;&lt;wsp:rsid wsp:val=&quot;00417F00&quot;/&gt;&lt;wsp:rsid wsp:val=&quot;004201F9&quot;/&gt;&lt;wsp:rsid wsp:val=&quot;00420691&quot;/&gt;&lt;wsp:rsid wsp:val=&quot;00420919&quot;/&gt;&lt;wsp:rsid wsp:val=&quot;004209EA&quot;/&gt;&lt;wsp:rsid wsp:val=&quot;00420C86&quot;/&gt;&lt;wsp:rsid wsp:val=&quot;00420DA8&quot;/&gt;&lt;wsp:rsid wsp:val=&quot;004214D1&quot;/&gt;&lt;wsp:rsid wsp:val=&quot;0042172F&quot;/&gt;&lt;wsp:rsid wsp:val=&quot;00421879&quot;/&gt;&lt;wsp:rsid wsp:val=&quot;004226DD&quot;/&gt;&lt;wsp:rsid wsp:val=&quot;00422703&quot;/&gt;&lt;wsp:rsid wsp:val=&quot;004228DB&quot;/&gt;&lt;wsp:rsid wsp:val=&quot;00422CCB&quot;/&gt;&lt;wsp:rsid wsp:val=&quot;00422F61&quot;/&gt;&lt;wsp:rsid wsp:val=&quot;0042399D&quot;/&gt;&lt;wsp:rsid wsp:val=&quot;00423D45&quot;/&gt;&lt;wsp:rsid wsp:val=&quot;004256B2&quot;/&gt;&lt;wsp:rsid wsp:val=&quot;004258EB&quot;/&gt;&lt;wsp:rsid wsp:val=&quot;00425C65&quot;/&gt;&lt;wsp:rsid wsp:val=&quot;00426242&quot;/&gt;&lt;wsp:rsid wsp:val=&quot;004263DD&quot;/&gt;&lt;wsp:rsid wsp:val=&quot;00426B31&quot;/&gt;&lt;wsp:rsid wsp:val=&quot;00426C16&quot;/&gt;&lt;wsp:rsid wsp:val=&quot;00426C3D&quot;/&gt;&lt;wsp:rsid wsp:val=&quot;00426C91&quot;/&gt;&lt;wsp:rsid wsp:val=&quot;004272E7&quot;/&gt;&lt;wsp:rsid wsp:val=&quot;00427382&quot;/&gt;&lt;wsp:rsid wsp:val=&quot;00427A8E&quot;/&gt;&lt;wsp:rsid wsp:val=&quot;00427CBB&quot;/&gt;&lt;wsp:rsid wsp:val=&quot;00427F05&quot;/&gt;&lt;wsp:rsid wsp:val=&quot;0043005A&quot;/&gt;&lt;wsp:rsid wsp:val=&quot;004302FC&quot;/&gt;&lt;wsp:rsid wsp:val=&quot;004306DF&quot;/&gt;&lt;wsp:rsid wsp:val=&quot;00430728&quot;/&gt;&lt;wsp:rsid wsp:val=&quot;00430D53&quot;/&gt;&lt;wsp:rsid wsp:val=&quot;00431053&quot;/&gt;&lt;wsp:rsid wsp:val=&quot;00431166&quot;/&gt;&lt;wsp:rsid wsp:val=&quot;004312AC&quot;/&gt;&lt;wsp:rsid wsp:val=&quot;0043143D&quot;/&gt;&lt;wsp:rsid wsp:val=&quot;0043160B&quot;/&gt;&lt;wsp:rsid wsp:val=&quot;00431BD6&quot;/&gt;&lt;wsp:rsid wsp:val=&quot;00431D5A&quot;/&gt;&lt;wsp:rsid wsp:val=&quot;00432A0F&quot;/&gt;&lt;wsp:rsid wsp:val=&quot;00432B6D&quot;/&gt;&lt;wsp:rsid wsp:val=&quot;00432BD9&quot;/&gt;&lt;wsp:rsid wsp:val=&quot;00432F24&quot;/&gt;&lt;wsp:rsid wsp:val=&quot;00433063&quot;/&gt;&lt;wsp:rsid wsp:val=&quot;00433294&quot;/&gt;&lt;wsp:rsid wsp:val=&quot;00433353&quot;/&gt;&lt;wsp:rsid wsp:val=&quot;004338D5&quot;/&gt;&lt;wsp:rsid wsp:val=&quot;0043394F&quot;/&gt;&lt;wsp:rsid wsp:val=&quot;0043418B&quot;/&gt;&lt;wsp:rsid wsp:val=&quot;00434456&quot;/&gt;&lt;wsp:rsid wsp:val=&quot;0043487C&quot;/&gt;&lt;wsp:rsid wsp:val=&quot;00434B6B&quot;/&gt;&lt;wsp:rsid wsp:val=&quot;00435106&quot;/&gt;&lt;wsp:rsid wsp:val=&quot;00435446&quot;/&gt;&lt;wsp:rsid wsp:val=&quot;00435560&quot;/&gt;&lt;wsp:rsid wsp:val=&quot;00435CC3&quot;/&gt;&lt;wsp:rsid wsp:val=&quot;00435E1B&quot;/&gt;&lt;wsp:rsid wsp:val=&quot;00436526&quot;/&gt;&lt;wsp:rsid wsp:val=&quot;004368E1&quot;/&gt;&lt;wsp:rsid wsp:val=&quot;0043698F&quot;/&gt;&lt;wsp:rsid wsp:val=&quot;00436AE0&quot;/&gt;&lt;wsp:rsid wsp:val=&quot;00436AEF&quot;/&gt;&lt;wsp:rsid wsp:val=&quot;00436CF7&quot;/&gt;&lt;wsp:rsid wsp:val=&quot;00436E5C&quot;/&gt;&lt;wsp:rsid wsp:val=&quot;004371E9&quot;/&gt;&lt;wsp:rsid wsp:val=&quot;004375B1&quot;/&gt;&lt;wsp:rsid wsp:val=&quot;0043778B&quot;/&gt;&lt;wsp:rsid wsp:val=&quot;00437831&quot;/&gt;&lt;wsp:rsid wsp:val=&quot;00437BF6&quot;/&gt;&lt;wsp:rsid wsp:val=&quot;00437CAC&quot;/&gt;&lt;wsp:rsid wsp:val=&quot;00437E9D&quot;/&gt;&lt;wsp:rsid wsp:val=&quot;00440C3D&quot;/&gt;&lt;wsp:rsid wsp:val=&quot;0044147E&quot;/&gt;&lt;wsp:rsid wsp:val=&quot;004417DE&quot;/&gt;&lt;wsp:rsid wsp:val=&quot;00441A53&quot;/&gt;&lt;wsp:rsid wsp:val=&quot;00441B1C&quot;/&gt;&lt;wsp:rsid wsp:val=&quot;00441BC1&quot;/&gt;&lt;wsp:rsid wsp:val=&quot;00441C6D&quot;/&gt;&lt;wsp:rsid wsp:val=&quot;00441E1C&quot;/&gt;&lt;wsp:rsid wsp:val=&quot;00441EA7&quot;/&gt;&lt;wsp:rsid wsp:val=&quot;004420A8&quot;/&gt;&lt;wsp:rsid wsp:val=&quot;00442B06&quot;/&gt;&lt;wsp:rsid wsp:val=&quot;00442D41&quot;/&gt;&lt;wsp:rsid wsp:val=&quot;00442DBF&quot;/&gt;&lt;wsp:rsid wsp:val=&quot;00442E23&quot;/&gt;&lt;wsp:rsid wsp:val=&quot;00443044&quot;/&gt;&lt;wsp:rsid wsp:val=&quot;00443103&quot;/&gt;&lt;wsp:rsid wsp:val=&quot;00443143&quot;/&gt;&lt;wsp:rsid wsp:val=&quot;00443533&quot;/&gt;&lt;wsp:rsid wsp:val=&quot;004438F7&quot;/&gt;&lt;wsp:rsid wsp:val=&quot;00443985&quot;/&gt;&lt;wsp:rsid wsp:val=&quot;00443C76&quot;/&gt;&lt;wsp:rsid wsp:val=&quot;0044419D&quot;/&gt;&lt;wsp:rsid wsp:val=&quot;0044438A&quot;/&gt;&lt;wsp:rsid wsp:val=&quot;00444562&quot;/&gt;&lt;wsp:rsid wsp:val=&quot;0044478E&quot;/&gt;&lt;wsp:rsid wsp:val=&quot;004447EA&quot;/&gt;&lt;wsp:rsid wsp:val=&quot;0044488E&quot;/&gt;&lt;wsp:rsid wsp:val=&quot;00444C19&quot;/&gt;&lt;wsp:rsid wsp:val=&quot;00444F9D&quot;/&gt;&lt;wsp:rsid wsp:val=&quot;004458CA&quot;/&gt;&lt;wsp:rsid wsp:val=&quot;00445AFA&quot;/&gt;&lt;wsp:rsid wsp:val=&quot;00445D01&quot;/&gt;&lt;wsp:rsid wsp:val=&quot;00445E5F&quot;/&gt;&lt;wsp:rsid wsp:val=&quot;00446157&quot;/&gt;&lt;wsp:rsid wsp:val=&quot;004461A4&quot;/&gt;&lt;wsp:rsid wsp:val=&quot;004461D0&quot;/&gt;&lt;wsp:rsid wsp:val=&quot;004462D2&quot;/&gt;&lt;wsp:rsid wsp:val=&quot;00446374&quot;/&gt;&lt;wsp:rsid wsp:val=&quot;00446489&quot;/&gt;&lt;wsp:rsid wsp:val=&quot;00446537&quot;/&gt;&lt;wsp:rsid wsp:val=&quot;00446605&quot;/&gt;&lt;wsp:rsid wsp:val=&quot;004466CD&quot;/&gt;&lt;wsp:rsid wsp:val=&quot;0044671A&quot;/&gt;&lt;wsp:rsid wsp:val=&quot;00446798&quot;/&gt;&lt;wsp:rsid wsp:val=&quot;00446B30&quot;/&gt;&lt;wsp:rsid wsp:val=&quot;00447387&quot;/&gt;&lt;wsp:rsid wsp:val=&quot;00447397&quot;/&gt;&lt;wsp:rsid wsp:val=&quot;0044789A&quot;/&gt;&lt;wsp:rsid wsp:val=&quot;00447CC2&quot;/&gt;&lt;wsp:rsid wsp:val=&quot;00447FCB&quot;/&gt;&lt;wsp:rsid wsp:val=&quot;0045026C&quot;/&gt;&lt;wsp:rsid wsp:val=&quot;00450663&quot;/&gt;&lt;wsp:rsid wsp:val=&quot;004507D7&quot;/&gt;&lt;wsp:rsid wsp:val=&quot;00450BC6&quot;/&gt;&lt;wsp:rsid wsp:val=&quot;00450DAD&quot;/&gt;&lt;wsp:rsid wsp:val=&quot;00450E01&quot;/&gt;&lt;wsp:rsid wsp:val=&quot;00450FA8&quot;/&gt;&lt;wsp:rsid wsp:val=&quot;00451177&quot;/&gt;&lt;wsp:rsid wsp:val=&quot;0045123E&quot;/&gt;&lt;wsp:rsid wsp:val=&quot;004512ED&quot;/&gt;&lt;wsp:rsid wsp:val=&quot;004518D0&quot;/&gt;&lt;wsp:rsid wsp:val=&quot;00452310&quot;/&gt;&lt;wsp:rsid wsp:val=&quot;0045288A&quot;/&gt;&lt;wsp:rsid wsp:val=&quot;00452ACD&quot;/&gt;&lt;wsp:rsid wsp:val=&quot;00452B84&quot;/&gt;&lt;wsp:rsid wsp:val=&quot;00452C80&quot;/&gt;&lt;wsp:rsid wsp:val=&quot;004531A4&quot;/&gt;&lt;wsp:rsid wsp:val=&quot;00453268&quot;/&gt;&lt;wsp:rsid wsp:val=&quot;00453577&quot;/&gt;&lt;wsp:rsid wsp:val=&quot;00453C5D&quot;/&gt;&lt;wsp:rsid wsp:val=&quot;00454170&quot;/&gt;&lt;wsp:rsid wsp:val=&quot;00454832&quot;/&gt;&lt;wsp:rsid wsp:val=&quot;00454890&quot;/&gt;&lt;wsp:rsid wsp:val=&quot;00454A4D&quot;/&gt;&lt;wsp:rsid wsp:val=&quot;00454F20&quot;/&gt;&lt;wsp:rsid wsp:val=&quot;004553C6&quot;/&gt;&lt;wsp:rsid wsp:val=&quot;00455834&quot;/&gt;&lt;wsp:rsid wsp:val=&quot;00455B45&quot;/&gt;&lt;wsp:rsid wsp:val=&quot;00455B9C&quot;/&gt;&lt;wsp:rsid wsp:val=&quot;00455BB7&quot;/&gt;&lt;wsp:rsid wsp:val=&quot;00456165&quot;/&gt;&lt;wsp:rsid wsp:val=&quot;0045649E&quot;/&gt;&lt;wsp:rsid wsp:val=&quot;004565EB&quot;/&gt;&lt;wsp:rsid wsp:val=&quot;00456861&quot;/&gt;&lt;wsp:rsid wsp:val=&quot;004572A3&quot;/&gt;&lt;wsp:rsid wsp:val=&quot;004576F2&quot;/&gt;&lt;wsp:rsid wsp:val=&quot;004577F9&quot;/&gt;&lt;wsp:rsid wsp:val=&quot;00457CC6&quot;/&gt;&lt;wsp:rsid wsp:val=&quot;00457DE2&quot;/&gt;&lt;wsp:rsid wsp:val=&quot;00457FB3&quot;/&gt;&lt;wsp:rsid wsp:val=&quot;004608B6&quot;/&gt;&lt;wsp:rsid wsp:val=&quot;004608EE&quot;/&gt;&lt;wsp:rsid wsp:val=&quot;0046098B&quot;/&gt;&lt;wsp:rsid wsp:val=&quot;004610D7&quot;/&gt;&lt;wsp:rsid wsp:val=&quot;00461155&quot;/&gt;&lt;wsp:rsid wsp:val=&quot;004615C4&quot;/&gt;&lt;wsp:rsid wsp:val=&quot;00461628&quot;/&gt;&lt;wsp:rsid wsp:val=&quot;00461A79&quot;/&gt;&lt;wsp:rsid wsp:val=&quot;0046245E&quot;/&gt;&lt;wsp:rsid wsp:val=&quot;00462996&quot;/&gt;&lt;wsp:rsid wsp:val=&quot;00462A41&quot;/&gt;&lt;wsp:rsid wsp:val=&quot;00462B20&quot;/&gt;&lt;wsp:rsid wsp:val=&quot;00462BD0&quot;/&gt;&lt;wsp:rsid wsp:val=&quot;00462D04&quot;/&gt;&lt;wsp:rsid wsp:val=&quot;00463017&quot;/&gt;&lt;wsp:rsid wsp:val=&quot;00463593&quot;/&gt;&lt;wsp:rsid wsp:val=&quot;004635B6&quot;/&gt;&lt;wsp:rsid wsp:val=&quot;0046376F&quot;/&gt;&lt;wsp:rsid wsp:val=&quot;00463986&quot;/&gt;&lt;wsp:rsid wsp:val=&quot;00463CF2&quot;/&gt;&lt;wsp:rsid wsp:val=&quot;0046420B&quot;/&gt;&lt;wsp:rsid wsp:val=&quot;00464B26&quot;/&gt;&lt;wsp:rsid wsp:val=&quot;00464CC2&quot;/&gt;&lt;wsp:rsid wsp:val=&quot;00464DAA&quot;/&gt;&lt;wsp:rsid wsp:val=&quot;004655C4&quot;/&gt;&lt;wsp:rsid wsp:val=&quot;004657FF&quot;/&gt;&lt;wsp:rsid wsp:val=&quot;00465892&quot;/&gt;&lt;wsp:rsid wsp:val=&quot;00465895&quot;/&gt;&lt;wsp:rsid wsp:val=&quot;00465A53&quot;/&gt;&lt;wsp:rsid wsp:val=&quot;00465CB2&quot;/&gt;&lt;wsp:rsid wsp:val=&quot;00465D75&quot;/&gt;&lt;wsp:rsid wsp:val=&quot;004661B1&quot;/&gt;&lt;wsp:rsid wsp:val=&quot;004663F7&quot;/&gt;&lt;wsp:rsid wsp:val=&quot;00466D7E&quot;/&gt;&lt;wsp:rsid wsp:val=&quot;004674C1&quot;/&gt;&lt;wsp:rsid wsp:val=&quot;00467852&quot;/&gt;&lt;wsp:rsid wsp:val=&quot;004679FD&quot;/&gt;&lt;wsp:rsid wsp:val=&quot;00470019&quot;/&gt;&lt;wsp:rsid wsp:val=&quot;00470308&quot;/&gt;&lt;wsp:rsid wsp:val=&quot;0047046B&quot;/&gt;&lt;wsp:rsid wsp:val=&quot;00470DB4&quot;/&gt;&lt;wsp:rsid wsp:val=&quot;0047107A&quot;/&gt;&lt;wsp:rsid wsp:val=&quot;004710D3&quot;/&gt;&lt;wsp:rsid wsp:val=&quot;004710DF&quot;/&gt;&lt;wsp:rsid wsp:val=&quot;004714D2&quot;/&gt;&lt;wsp:rsid wsp:val=&quot;00471507&quot;/&gt;&lt;wsp:rsid wsp:val=&quot;00471D6C&quot;/&gt;&lt;wsp:rsid wsp:val=&quot;00471E47&quot;/&gt;&lt;wsp:rsid wsp:val=&quot;00471FC5&quot;/&gt;&lt;wsp:rsid wsp:val=&quot;00472074&quot;/&gt;&lt;wsp:rsid wsp:val=&quot;00472AEE&quot;/&gt;&lt;wsp:rsid wsp:val=&quot;00472B3C&quot;/&gt;&lt;wsp:rsid wsp:val=&quot;00472B9D&quot;/&gt;&lt;wsp:rsid wsp:val=&quot;00472D20&quot;/&gt;&lt;wsp:rsid wsp:val=&quot;004737B3&quot;/&gt;&lt;wsp:rsid wsp:val=&quot;004738E4&quot;/&gt;&lt;wsp:rsid wsp:val=&quot;004738E5&quot;/&gt;&lt;wsp:rsid wsp:val=&quot;00473F1D&quot;/&gt;&lt;wsp:rsid wsp:val=&quot;004740CB&quot;/&gt;&lt;wsp:rsid wsp:val=&quot;004743A8&quot;/&gt;&lt;wsp:rsid wsp:val=&quot;0047459B&quot;/&gt;&lt;wsp:rsid wsp:val=&quot;0047466C&quot;/&gt;&lt;wsp:rsid wsp:val=&quot;00474928&quot;/&gt;&lt;wsp:rsid wsp:val=&quot;0047513F&quot;/&gt;&lt;wsp:rsid wsp:val=&quot;0047556E&quot;/&gt;&lt;wsp:rsid wsp:val=&quot;0047565B&quot;/&gt;&lt;wsp:rsid wsp:val=&quot;004757A8&quot;/&gt;&lt;wsp:rsid wsp:val=&quot;0047598B&quot;/&gt;&lt;wsp:rsid wsp:val=&quot;00475DAC&quot;/&gt;&lt;wsp:rsid wsp:val=&quot;004761DC&quot;/&gt;&lt;wsp:rsid wsp:val=&quot;0047633A&quot;/&gt;&lt;wsp:rsid wsp:val=&quot;0047634B&quot;/&gt;&lt;wsp:rsid wsp:val=&quot;00476428&quot;/&gt;&lt;wsp:rsid wsp:val=&quot;00476588&quot;/&gt;&lt;wsp:rsid wsp:val=&quot;00476831&quot;/&gt;&lt;wsp:rsid wsp:val=&quot;00476EBB&quot;/&gt;&lt;wsp:rsid wsp:val=&quot;0047711B&quot;/&gt;&lt;wsp:rsid wsp:val=&quot;00477336&quot;/&gt;&lt;wsp:rsid wsp:val=&quot;00477AA4&quot;/&gt;&lt;wsp:rsid wsp:val=&quot;00477C62&quot;/&gt;&lt;wsp:rsid wsp:val=&quot;00477E82&quot;/&gt;&lt;wsp:rsid wsp:val=&quot;00477FB2&quot;/&gt;&lt;wsp:rsid wsp:val=&quot;0048004E&quot;/&gt;&lt;wsp:rsid wsp:val=&quot;00480129&quot;/&gt;&lt;wsp:rsid wsp:val=&quot;00480575&quot;/&gt;&lt;wsp:rsid wsp:val=&quot;00480F11&quot;/&gt;&lt;wsp:rsid wsp:val=&quot;00482083&quot;/&gt;&lt;wsp:rsid wsp:val=&quot;004823C1&quot;/&gt;&lt;wsp:rsid wsp:val=&quot;004823D0&quot;/&gt;&lt;wsp:rsid wsp:val=&quot;004825D7&quot;/&gt;&lt;wsp:rsid wsp:val=&quot;004831BB&quot;/&gt;&lt;wsp:rsid wsp:val=&quot;00483290&quot;/&gt;&lt;wsp:rsid wsp:val=&quot;004834B7&quot;/&gt;&lt;wsp:rsid wsp:val=&quot;00483841&quot;/&gt;&lt;wsp:rsid wsp:val=&quot;00483914&quot;/&gt;&lt;wsp:rsid wsp:val=&quot;00483C6F&quot;/&gt;&lt;wsp:rsid wsp:val=&quot;00484263&quot;/&gt;&lt;wsp:rsid wsp:val=&quot;004843B5&quot;/&gt;&lt;wsp:rsid wsp:val=&quot;004844FC&quot;/&gt;&lt;wsp:rsid wsp:val=&quot;00484FDF&quot;/&gt;&lt;wsp:rsid wsp:val=&quot;004854A5&quot;/&gt;&lt;wsp:rsid wsp:val=&quot;004855F1&quot;/&gt;&lt;wsp:rsid wsp:val=&quot;00485A07&quot;/&gt;&lt;wsp:rsid wsp:val=&quot;00485A73&quot;/&gt;&lt;wsp:rsid wsp:val=&quot;00485D62&quot;/&gt;&lt;wsp:rsid wsp:val=&quot;00485D6D&quot;/&gt;&lt;wsp:rsid wsp:val=&quot;00485EDD&quot;/&gt;&lt;wsp:rsid wsp:val=&quot;00486243&quot;/&gt;&lt;wsp:rsid wsp:val=&quot;00486319&quot;/&gt;&lt;wsp:rsid wsp:val=&quot;004864A6&quot;/&gt;&lt;wsp:rsid wsp:val=&quot;004865EE&quot;/&gt;&lt;wsp:rsid wsp:val=&quot;004868A0&quot;/&gt;&lt;wsp:rsid wsp:val=&quot;00486B0E&quot;/&gt;&lt;wsp:rsid wsp:val=&quot;00487952&quot;/&gt;&lt;wsp:rsid wsp:val=&quot;00487F97&quot;/&gt;&lt;wsp:rsid wsp:val=&quot;00490235&quot;/&gt;&lt;wsp:rsid wsp:val=&quot;004904F5&quot;/&gt;&lt;wsp:rsid wsp:val=&quot;00490575&quot;/&gt;&lt;wsp:rsid wsp:val=&quot;0049105E&quot;/&gt;&lt;wsp:rsid wsp:val=&quot;0049114B&quot;/&gt;&lt;wsp:rsid wsp:val=&quot;004913BD&quot;/&gt;&lt;wsp:rsid wsp:val=&quot;00491B51&quot;/&gt;&lt;wsp:rsid wsp:val=&quot;0049254E&quot;/&gt;&lt;wsp:rsid wsp:val=&quot;00492B5E&quot;/&gt;&lt;wsp:rsid wsp:val=&quot;00492B75&quot;/&gt;&lt;wsp:rsid wsp:val=&quot;00492BDE&quot;/&gt;&lt;wsp:rsid wsp:val=&quot;00493194&quot;/&gt;&lt;wsp:rsid wsp:val=&quot;004933E0&quot;/&gt;&lt;wsp:rsid wsp:val=&quot;0049407C&quot;/&gt;&lt;wsp:rsid wsp:val=&quot;004947BD&quot;/&gt;&lt;wsp:rsid wsp:val=&quot;004948E4&quot;/&gt;&lt;wsp:rsid wsp:val=&quot;00494D55&quot;/&gt;&lt;wsp:rsid wsp:val=&quot;004953A7&quot;/&gt;&lt;wsp:rsid wsp:val=&quot;00495729&quot;/&gt;&lt;wsp:rsid wsp:val=&quot;00495C08&quot;/&gt;&lt;wsp:rsid wsp:val=&quot;00495C16&quot;/&gt;&lt;wsp:rsid wsp:val=&quot;00495EDB&quot;/&gt;&lt;wsp:rsid wsp:val=&quot;00495FEA&quot;/&gt;&lt;wsp:rsid wsp:val=&quot;004963FD&quot;/&gt;&lt;wsp:rsid wsp:val=&quot;004975DF&quot;/&gt;&lt;wsp:rsid wsp:val=&quot;004976A3&quot;/&gt;&lt;wsp:rsid wsp:val=&quot;00497F41&quot;/&gt;&lt;wsp:rsid wsp:val=&quot;004A0140&quot;/&gt;&lt;wsp:rsid wsp:val=&quot;004A0471&quot;/&gt;&lt;wsp:rsid wsp:val=&quot;004A09B6&quot;/&gt;&lt;wsp:rsid wsp:val=&quot;004A12A2&quot;/&gt;&lt;wsp:rsid wsp:val=&quot;004A1350&quot;/&gt;&lt;wsp:rsid wsp:val=&quot;004A138A&quot;/&gt;&lt;wsp:rsid wsp:val=&quot;004A1B0F&quot;/&gt;&lt;wsp:rsid wsp:val=&quot;004A1CF9&quot;/&gt;&lt;wsp:rsid wsp:val=&quot;004A1FE1&quot;/&gt;&lt;wsp:rsid wsp:val=&quot;004A2013&quot;/&gt;&lt;wsp:rsid wsp:val=&quot;004A228C&quot;/&gt;&lt;wsp:rsid wsp:val=&quot;004A29C1&quot;/&gt;&lt;wsp:rsid wsp:val=&quot;004A29F7&quot;/&gt;&lt;wsp:rsid wsp:val=&quot;004A2FEB&quot;/&gt;&lt;wsp:rsid wsp:val=&quot;004A3467&quot;/&gt;&lt;wsp:rsid wsp:val=&quot;004A34BC&quot;/&gt;&lt;wsp:rsid wsp:val=&quot;004A4183&quot;/&gt;&lt;wsp:rsid wsp:val=&quot;004A460D&quot;/&gt;&lt;wsp:rsid wsp:val=&quot;004A4913&quot;/&gt;&lt;wsp:rsid wsp:val=&quot;004A4985&quot;/&gt;&lt;wsp:rsid wsp:val=&quot;004A49CD&quot;/&gt;&lt;wsp:rsid wsp:val=&quot;004A4D4D&quot;/&gt;&lt;wsp:rsid wsp:val=&quot;004A526B&quot;/&gt;&lt;wsp:rsid wsp:val=&quot;004A52FC&quot;/&gt;&lt;wsp:rsid wsp:val=&quot;004A535F&quot;/&gt;&lt;wsp:rsid wsp:val=&quot;004A55B8&quot;/&gt;&lt;wsp:rsid wsp:val=&quot;004A5826&quot;/&gt;&lt;wsp:rsid wsp:val=&quot;004A6463&quot;/&gt;&lt;wsp:rsid wsp:val=&quot;004A659B&quot;/&gt;&lt;wsp:rsid wsp:val=&quot;004A65E6&quot;/&gt;&lt;wsp:rsid wsp:val=&quot;004A6695&quot;/&gt;&lt;wsp:rsid wsp:val=&quot;004A671E&quot;/&gt;&lt;wsp:rsid wsp:val=&quot;004A673C&quot;/&gt;&lt;wsp:rsid wsp:val=&quot;004A6C23&quot;/&gt;&lt;wsp:rsid wsp:val=&quot;004A7471&quot;/&gt;&lt;wsp:rsid wsp:val=&quot;004A77E1&quot;/&gt;&lt;wsp:rsid wsp:val=&quot;004A783D&quot;/&gt;&lt;wsp:rsid wsp:val=&quot;004B0247&quot;/&gt;&lt;wsp:rsid wsp:val=&quot;004B064C&quot;/&gt;&lt;wsp:rsid wsp:val=&quot;004B1565&quot;/&gt;&lt;wsp:rsid wsp:val=&quot;004B1868&quot;/&gt;&lt;wsp:rsid wsp:val=&quot;004B1AFA&quot;/&gt;&lt;wsp:rsid wsp:val=&quot;004B204C&quot;/&gt;&lt;wsp:rsid wsp:val=&quot;004B208C&quot;/&gt;&lt;wsp:rsid wsp:val=&quot;004B2265&quot;/&gt;&lt;wsp:rsid wsp:val=&quot;004B2807&quot;/&gt;&lt;wsp:rsid wsp:val=&quot;004B2918&quot;/&gt;&lt;wsp:rsid wsp:val=&quot;004B3418&quot;/&gt;&lt;wsp:rsid wsp:val=&quot;004B3574&quot;/&gt;&lt;wsp:rsid wsp:val=&quot;004B3864&quot;/&gt;&lt;wsp:rsid wsp:val=&quot;004B3D7B&quot;/&gt;&lt;wsp:rsid wsp:val=&quot;004B3DD6&quot;/&gt;&lt;wsp:rsid wsp:val=&quot;004B3FD2&quot;/&gt;&lt;wsp:rsid wsp:val=&quot;004B40A6&quot;/&gt;&lt;wsp:rsid wsp:val=&quot;004B4A4D&quot;/&gt;&lt;wsp:rsid wsp:val=&quot;004B4D89&quot;/&gt;&lt;wsp:rsid wsp:val=&quot;004B4EBD&quot;/&gt;&lt;wsp:rsid wsp:val=&quot;004B54E6&quot;/&gt;&lt;wsp:rsid wsp:val=&quot;004B5828&quot;/&gt;&lt;wsp:rsid wsp:val=&quot;004B5884&quot;/&gt;&lt;wsp:rsid wsp:val=&quot;004B5B64&quot;/&gt;&lt;wsp:rsid wsp:val=&quot;004B5B9E&quot;/&gt;&lt;wsp:rsid wsp:val=&quot;004B5CD7&quot;/&gt;&lt;wsp:rsid wsp:val=&quot;004B5D77&quot;/&gt;&lt;wsp:rsid wsp:val=&quot;004B6016&quot;/&gt;&lt;wsp:rsid wsp:val=&quot;004B635B&quot;/&gt;&lt;wsp:rsid wsp:val=&quot;004B665D&quot;/&gt;&lt;wsp:rsid wsp:val=&quot;004B68B5&quot;/&gt;&lt;wsp:rsid wsp:val=&quot;004B69F9&quot;/&gt;&lt;wsp:rsid wsp:val=&quot;004B6C92&quot;/&gt;&lt;wsp:rsid wsp:val=&quot;004B6FBE&quot;/&gt;&lt;wsp:rsid wsp:val=&quot;004B7820&quot;/&gt;&lt;wsp:rsid wsp:val=&quot;004B7D4C&quot;/&gt;&lt;wsp:rsid wsp:val=&quot;004C01AC&quot;/&gt;&lt;wsp:rsid wsp:val=&quot;004C09A9&quot;/&gt;&lt;wsp:rsid wsp:val=&quot;004C0B00&quot;/&gt;&lt;wsp:rsid wsp:val=&quot;004C18D7&quot;/&gt;&lt;wsp:rsid wsp:val=&quot;004C1BEF&quot;/&gt;&lt;wsp:rsid wsp:val=&quot;004C1CB1&quot;/&gt;&lt;wsp:rsid wsp:val=&quot;004C23AD&quot;/&gt;&lt;wsp:rsid wsp:val=&quot;004C250D&quot;/&gt;&lt;wsp:rsid wsp:val=&quot;004C25C6&quot;/&gt;&lt;wsp:rsid wsp:val=&quot;004C2D23&quot;/&gt;&lt;wsp:rsid wsp:val=&quot;004C2E11&quot;/&gt;&lt;wsp:rsid wsp:val=&quot;004C32C2&quot;/&gt;&lt;wsp:rsid wsp:val=&quot;004C333E&quot;/&gt;&lt;wsp:rsid wsp:val=&quot;004C34B9&quot;/&gt;&lt;wsp:rsid wsp:val=&quot;004C4198&quot;/&gt;&lt;wsp:rsid wsp:val=&quot;004C4728&quot;/&gt;&lt;wsp:rsid wsp:val=&quot;004C4B4F&quot;/&gt;&lt;wsp:rsid wsp:val=&quot;004C4B62&quot;/&gt;&lt;wsp:rsid wsp:val=&quot;004C4C89&quot;/&gt;&lt;wsp:rsid wsp:val=&quot;004C599B&quot;/&gt;&lt;wsp:rsid wsp:val=&quot;004C5EBE&quot;/&gt;&lt;wsp:rsid wsp:val=&quot;004C6382&quot;/&gt;&lt;wsp:rsid wsp:val=&quot;004C63EC&quot;/&gt;&lt;wsp:rsid wsp:val=&quot;004C6C36&quot;/&gt;&lt;wsp:rsid wsp:val=&quot;004C6F21&quot;/&gt;&lt;wsp:rsid wsp:val=&quot;004C71AA&quot;/&gt;&lt;wsp:rsid wsp:val=&quot;004C7984&quot;/&gt;&lt;wsp:rsid wsp:val=&quot;004C7A1E&quot;/&gt;&lt;wsp:rsid wsp:val=&quot;004D03BC&quot;/&gt;&lt;wsp:rsid wsp:val=&quot;004D071E&quot;/&gt;&lt;wsp:rsid wsp:val=&quot;004D0B5C&quot;/&gt;&lt;wsp:rsid wsp:val=&quot;004D0D8C&quot;/&gt;&lt;wsp:rsid wsp:val=&quot;004D0EED&quot;/&gt;&lt;wsp:rsid wsp:val=&quot;004D0F83&quot;/&gt;&lt;wsp:rsid wsp:val=&quot;004D10C5&quot;/&gt;&lt;wsp:rsid wsp:val=&quot;004D1891&quot;/&gt;&lt;wsp:rsid wsp:val=&quot;004D1ABA&quot;/&gt;&lt;wsp:rsid wsp:val=&quot;004D1BF0&quot;/&gt;&lt;wsp:rsid wsp:val=&quot;004D1C79&quot;/&gt;&lt;wsp:rsid wsp:val=&quot;004D21E0&quot;/&gt;&lt;wsp:rsid wsp:val=&quot;004D2573&quot;/&gt;&lt;wsp:rsid wsp:val=&quot;004D25A3&quot;/&gt;&lt;wsp:rsid wsp:val=&quot;004D275D&quot;/&gt;&lt;wsp:rsid wsp:val=&quot;004D2765&quot;/&gt;&lt;wsp:rsid wsp:val=&quot;004D277D&quot;/&gt;&lt;wsp:rsid wsp:val=&quot;004D2F4E&quot;/&gt;&lt;wsp:rsid wsp:val=&quot;004D30BB&quot;/&gt;&lt;wsp:rsid wsp:val=&quot;004D33EA&quot;/&gt;&lt;wsp:rsid wsp:val=&quot;004D39E7&quot;/&gt;&lt;wsp:rsid wsp:val=&quot;004D3E26&quot;/&gt;&lt;wsp:rsid wsp:val=&quot;004D3EE1&quot;/&gt;&lt;wsp:rsid wsp:val=&quot;004D3FC0&quot;/&gt;&lt;wsp:rsid wsp:val=&quot;004D4395&quot;/&gt;&lt;wsp:rsid wsp:val=&quot;004D444D&quot;/&gt;&lt;wsp:rsid wsp:val=&quot;004D47AB&quot;/&gt;&lt;wsp:rsid wsp:val=&quot;004D4AC7&quot;/&gt;&lt;wsp:rsid wsp:val=&quot;004D4D68&quot;/&gt;&lt;wsp:rsid wsp:val=&quot;004D5020&quot;/&gt;&lt;wsp:rsid wsp:val=&quot;004D5071&quot;/&gt;&lt;wsp:rsid wsp:val=&quot;004D5804&quot;/&gt;&lt;wsp:rsid wsp:val=&quot;004D5A8D&quot;/&gt;&lt;wsp:rsid wsp:val=&quot;004D5F5C&quot;/&gt;&lt;wsp:rsid wsp:val=&quot;004D5FD4&quot;/&gt;&lt;wsp:rsid wsp:val=&quot;004D6295&quot;/&gt;&lt;wsp:rsid wsp:val=&quot;004D67A6&quot;/&gt;&lt;wsp:rsid wsp:val=&quot;004D77DE&quot;/&gt;&lt;wsp:rsid wsp:val=&quot;004D77FD&quot;/&gt;&lt;wsp:rsid wsp:val=&quot;004D7C39&quot;/&gt;&lt;wsp:rsid wsp:val=&quot;004D7C90&quot;/&gt;&lt;wsp:rsid wsp:val=&quot;004E0426&quot;/&gt;&lt;wsp:rsid wsp:val=&quot;004E05BD&quot;/&gt;&lt;wsp:rsid wsp:val=&quot;004E083A&quot;/&gt;&lt;wsp:rsid wsp:val=&quot;004E0C40&quot;/&gt;&lt;wsp:rsid wsp:val=&quot;004E0DE8&quot;/&gt;&lt;wsp:rsid wsp:val=&quot;004E0F77&quot;/&gt;&lt;wsp:rsid wsp:val=&quot;004E0FF8&quot;/&gt;&lt;wsp:rsid wsp:val=&quot;004E1812&quot;/&gt;&lt;wsp:rsid wsp:val=&quot;004E23F3&quot;/&gt;&lt;wsp:rsid wsp:val=&quot;004E2C7E&quot;/&gt;&lt;wsp:rsid wsp:val=&quot;004E2D66&quot;/&gt;&lt;wsp:rsid wsp:val=&quot;004E2E3E&quot;/&gt;&lt;wsp:rsid wsp:val=&quot;004E335C&quot;/&gt;&lt;wsp:rsid wsp:val=&quot;004E3A87&quot;/&gt;&lt;wsp:rsid wsp:val=&quot;004E3B92&quot;/&gt;&lt;wsp:rsid wsp:val=&quot;004E3D74&quot;/&gt;&lt;wsp:rsid wsp:val=&quot;004E3DDC&quot;/&gt;&lt;wsp:rsid wsp:val=&quot;004E3E91&quot;/&gt;&lt;wsp:rsid wsp:val=&quot;004E4004&quot;/&gt;&lt;wsp:rsid wsp:val=&quot;004E42DB&quot;/&gt;&lt;wsp:rsid wsp:val=&quot;004E43EC&quot;/&gt;&lt;wsp:rsid wsp:val=&quot;004E499A&quot;/&gt;&lt;wsp:rsid wsp:val=&quot;004E4CBB&quot;/&gt;&lt;wsp:rsid wsp:val=&quot;004E4D99&quot;/&gt;&lt;wsp:rsid wsp:val=&quot;004E53BC&quot;/&gt;&lt;wsp:rsid wsp:val=&quot;004E5962&quot;/&gt;&lt;wsp:rsid wsp:val=&quot;004E599D&quot;/&gt;&lt;wsp:rsid wsp:val=&quot;004E59C9&quot;/&gt;&lt;wsp:rsid wsp:val=&quot;004E5BD3&quot;/&gt;&lt;wsp:rsid wsp:val=&quot;004E5D2E&quot;/&gt;&lt;wsp:rsid wsp:val=&quot;004E6536&quot;/&gt;&lt;wsp:rsid wsp:val=&quot;004E6641&quot;/&gt;&lt;wsp:rsid wsp:val=&quot;004E73C7&quot;/&gt;&lt;wsp:rsid wsp:val=&quot;004E7C33&quot;/&gt;&lt;wsp:rsid wsp:val=&quot;004E7D31&quot;/&gt;&lt;wsp:rsid wsp:val=&quot;004F06A5&quot;/&gt;&lt;wsp:rsid wsp:val=&quot;004F079A&quot;/&gt;&lt;wsp:rsid wsp:val=&quot;004F0CB5&quot;/&gt;&lt;wsp:rsid wsp:val=&quot;004F0D68&quot;/&gt;&lt;wsp:rsid wsp:val=&quot;004F0FA8&quot;/&gt;&lt;wsp:rsid wsp:val=&quot;004F1289&quot;/&gt;&lt;wsp:rsid wsp:val=&quot;004F12F9&quot;/&gt;&lt;wsp:rsid wsp:val=&quot;004F13D4&quot;/&gt;&lt;wsp:rsid wsp:val=&quot;004F1476&quot;/&gt;&lt;wsp:rsid wsp:val=&quot;004F1559&quot;/&gt;&lt;wsp:rsid wsp:val=&quot;004F185C&quot;/&gt;&lt;wsp:rsid wsp:val=&quot;004F1E33&quot;/&gt;&lt;wsp:rsid wsp:val=&quot;004F1F62&quot;/&gt;&lt;wsp:rsid wsp:val=&quot;004F2016&quot;/&gt;&lt;wsp:rsid wsp:val=&quot;004F21E8&quot;/&gt;&lt;wsp:rsid wsp:val=&quot;004F2253&quot;/&gt;&lt;wsp:rsid wsp:val=&quot;004F2456&quot;/&gt;&lt;wsp:rsid wsp:val=&quot;004F2B1A&quot;/&gt;&lt;wsp:rsid wsp:val=&quot;004F2C0A&quot;/&gt;&lt;wsp:rsid wsp:val=&quot;004F2CEB&quot;/&gt;&lt;wsp:rsid wsp:val=&quot;004F2E19&quot;/&gt;&lt;wsp:rsid wsp:val=&quot;004F2F6E&quot;/&gt;&lt;wsp:rsid wsp:val=&quot;004F3332&quot;/&gt;&lt;wsp:rsid wsp:val=&quot;004F35E4&quot;/&gt;&lt;wsp:rsid wsp:val=&quot;004F37F2&quot;/&gt;&lt;wsp:rsid wsp:val=&quot;004F3BD5&quot;/&gt;&lt;wsp:rsid wsp:val=&quot;004F3DF1&quot;/&gt;&lt;wsp:rsid wsp:val=&quot;004F3E04&quot;/&gt;&lt;wsp:rsid wsp:val=&quot;004F3EA2&quot;/&gt;&lt;wsp:rsid wsp:val=&quot;004F4149&quot;/&gt;&lt;wsp:rsid wsp:val=&quot;004F459E&quot;/&gt;&lt;wsp:rsid wsp:val=&quot;004F48F8&quot;/&gt;&lt;wsp:rsid wsp:val=&quot;004F493C&quot;/&gt;&lt;wsp:rsid wsp:val=&quot;004F499C&quot;/&gt;&lt;wsp:rsid wsp:val=&quot;004F49A5&quot;/&gt;&lt;wsp:rsid wsp:val=&quot;004F49BE&quot;/&gt;&lt;wsp:rsid wsp:val=&quot;004F4AD3&quot;/&gt;&lt;wsp:rsid wsp:val=&quot;004F4C62&quot;/&gt;&lt;wsp:rsid wsp:val=&quot;004F4E5C&quot;/&gt;&lt;wsp:rsid wsp:val=&quot;004F4FE3&quot;/&gt;&lt;wsp:rsid wsp:val=&quot;004F50D5&quot;/&gt;&lt;wsp:rsid wsp:val=&quot;004F558C&quot;/&gt;&lt;wsp:rsid wsp:val=&quot;004F570C&quot;/&gt;&lt;wsp:rsid wsp:val=&quot;004F5743&quot;/&gt;&lt;wsp:rsid wsp:val=&quot;004F584B&quot;/&gt;&lt;wsp:rsid wsp:val=&quot;004F5EA8&quot;/&gt;&lt;wsp:rsid wsp:val=&quot;004F5F4E&quot;/&gt;&lt;wsp:rsid wsp:val=&quot;004F610E&quot;/&gt;&lt;wsp:rsid wsp:val=&quot;004F614C&quot;/&gt;&lt;wsp:rsid wsp:val=&quot;004F640C&quot;/&gt;&lt;wsp:rsid wsp:val=&quot;004F648F&quot;/&gt;&lt;wsp:rsid wsp:val=&quot;004F661A&quot;/&gt;&lt;wsp:rsid wsp:val=&quot;004F66B1&quot;/&gt;&lt;wsp:rsid wsp:val=&quot;004F6921&quot;/&gt;&lt;wsp:rsid wsp:val=&quot;004F6A7F&quot;/&gt;&lt;wsp:rsid wsp:val=&quot;004F7E50&quot;/&gt;&lt;wsp:rsid wsp:val=&quot;00500024&quot;/&gt;&lt;wsp:rsid wsp:val=&quot;00500107&quot;/&gt;&lt;wsp:rsid wsp:val=&quot;005009D2&quot;/&gt;&lt;wsp:rsid wsp:val=&quot;00500BD8&quot;/&gt;&lt;wsp:rsid wsp:val=&quot;00501096&quot;/&gt;&lt;wsp:rsid wsp:val=&quot;00501673&quot;/&gt;&lt;wsp:rsid wsp:val=&quot;00501987&quot;/&gt;&lt;wsp:rsid wsp:val=&quot;00501B01&quot;/&gt;&lt;wsp:rsid wsp:val=&quot;00501DCB&quot;/&gt;&lt;wsp:rsid wsp:val=&quot;00502AD0&quot;/&gt;&lt;wsp:rsid wsp:val=&quot;00502BB3&quot;/&gt;&lt;wsp:rsid wsp:val=&quot;00502C3F&quot;/&gt;&lt;wsp:rsid wsp:val=&quot;005035A1&quot;/&gt;&lt;wsp:rsid wsp:val=&quot;00503842&quot;/&gt;&lt;wsp:rsid wsp:val=&quot;005044D5&quot;/&gt;&lt;wsp:rsid wsp:val=&quot;00504A51&quot;/&gt;&lt;wsp:rsid wsp:val=&quot;005051ED&quot;/&gt;&lt;wsp:rsid wsp:val=&quot;00505FBE&quot;/&gt;&lt;wsp:rsid wsp:val=&quot;00506378&quot;/&gt;&lt;wsp:rsid wsp:val=&quot;00506592&quot;/&gt;&lt;wsp:rsid wsp:val=&quot;00506747&quot;/&gt;&lt;wsp:rsid wsp:val=&quot;0050687B&quot;/&gt;&lt;wsp:rsid wsp:val=&quot;005069F5&quot;/&gt;&lt;wsp:rsid wsp:val=&quot;00506FD2&quot;/&gt;&lt;wsp:rsid wsp:val=&quot;00507179&quot;/&gt;&lt;wsp:rsid wsp:val=&quot;005072F6&quot;/&gt;&lt;wsp:rsid wsp:val=&quot;00507381&quot;/&gt;&lt;wsp:rsid wsp:val=&quot;0050773C&quot;/&gt;&lt;wsp:rsid wsp:val=&quot;00507779&quot;/&gt;&lt;wsp:rsid wsp:val=&quot;00507D35&quot;/&gt;&lt;wsp:rsid wsp:val=&quot;00507F4E&quot;/&gt;&lt;wsp:rsid wsp:val=&quot;00507F57&quot;/&gt;&lt;wsp:rsid wsp:val=&quot;00510163&quot;/&gt;&lt;wsp:rsid wsp:val=&quot;00510930&quot;/&gt;&lt;wsp:rsid wsp:val=&quot;00510E58&quot;/&gt;&lt;wsp:rsid wsp:val=&quot;00511235&quot;/&gt;&lt;wsp:rsid wsp:val=&quot;00511361&quot;/&gt;&lt;wsp:rsid wsp:val=&quot;00511736&quot;/&gt;&lt;wsp:rsid wsp:val=&quot;0051182C&quot;/&gt;&lt;wsp:rsid wsp:val=&quot;0051189B&quot;/&gt;&lt;wsp:rsid wsp:val=&quot;00512066&quot;/&gt;&lt;wsp:rsid wsp:val=&quot;005120DF&quot;/&gt;&lt;wsp:rsid wsp:val=&quot;0051292A&quot;/&gt;&lt;wsp:rsid wsp:val=&quot;00513042&quot;/&gt;&lt;wsp:rsid wsp:val=&quot;00513388&quot;/&gt;&lt;wsp:rsid wsp:val=&quot;0051363C&quot;/&gt;&lt;wsp:rsid wsp:val=&quot;0051372D&quot;/&gt;&lt;wsp:rsid wsp:val=&quot;0051374C&quot;/&gt;&lt;wsp:rsid wsp:val=&quot;00513BE8&quot;/&gt;&lt;wsp:rsid wsp:val=&quot;00513C79&quot;/&gt;&lt;wsp:rsid wsp:val=&quot;00513DBA&quot;/&gt;&lt;wsp:rsid wsp:val=&quot;00514228&quot;/&gt;&lt;wsp:rsid wsp:val=&quot;00514E5D&quot;/&gt;&lt;wsp:rsid wsp:val=&quot;005151F6&quot;/&gt;&lt;wsp:rsid wsp:val=&quot;005154BA&quot;/&gt;&lt;wsp:rsid wsp:val=&quot;00515673&quot;/&gt;&lt;wsp:rsid wsp:val=&quot;005158CD&quot;/&gt;&lt;wsp:rsid wsp:val=&quot;00515A5C&quot;/&gt;&lt;wsp:rsid wsp:val=&quot;00516006&quot;/&gt;&lt;wsp:rsid wsp:val=&quot;0051654E&quot;/&gt;&lt;wsp:rsid wsp:val=&quot;00516F54&quot;/&gt;&lt;wsp:rsid wsp:val=&quot;00516FB9&quot;/&gt;&lt;wsp:rsid wsp:val=&quot;00517056&quot;/&gt;&lt;wsp:rsid wsp:val=&quot;0051738D&quot;/&gt;&lt;wsp:rsid wsp:val=&quot;005177AA&quot;/&gt;&lt;wsp:rsid wsp:val=&quot;00517F51&quot;/&gt;&lt;wsp:rsid wsp:val=&quot;00520168&quot;/&gt;&lt;wsp:rsid wsp:val=&quot;00520389&quot;/&gt;&lt;wsp:rsid wsp:val=&quot;005205D4&quot;/&gt;&lt;wsp:rsid wsp:val=&quot;00520884&quot;/&gt;&lt;wsp:rsid wsp:val=&quot;00520F1C&quot;/&gt;&lt;wsp:rsid wsp:val=&quot;005212C4&quot;/&gt;&lt;wsp:rsid wsp:val=&quot;0052132B&quot;/&gt;&lt;wsp:rsid wsp:val=&quot;005217F1&quot;/&gt;&lt;wsp:rsid wsp:val=&quot;00521DC4&quot;/&gt;&lt;wsp:rsid wsp:val=&quot;00521EC4&quot;/&gt;&lt;wsp:rsid wsp:val=&quot;0052253C&quot;/&gt;&lt;wsp:rsid wsp:val=&quot;00522688&quot;/&gt;&lt;wsp:rsid wsp:val=&quot;00522804&quot;/&gt;&lt;wsp:rsid wsp:val=&quot;00522A82&quot;/&gt;&lt;wsp:rsid wsp:val=&quot;00522FB4&quot;/&gt;&lt;wsp:rsid wsp:val=&quot;00523487&quot;/&gt;&lt;wsp:rsid wsp:val=&quot;005238EC&quot;/&gt;&lt;wsp:rsid wsp:val=&quot;00523D71&quot;/&gt;&lt;wsp:rsid wsp:val=&quot;00523DA4&quot;/&gt;&lt;wsp:rsid wsp:val=&quot;00523EED&quot;/&gt;&lt;wsp:rsid wsp:val=&quot;00523FBF&quot;/&gt;&lt;wsp:rsid wsp:val=&quot;0052442B&quot;/&gt;&lt;wsp:rsid wsp:val=&quot;005245AE&quot;/&gt;&lt;wsp:rsid wsp:val=&quot;005245C6&quot;/&gt;&lt;wsp:rsid wsp:val=&quot;0052478D&quot;/&gt;&lt;wsp:rsid wsp:val=&quot;005247D8&quot;/&gt;&lt;wsp:rsid wsp:val=&quot;00524D49&quot;/&gt;&lt;wsp:rsid wsp:val=&quot;005254BF&quot;/&gt;&lt;wsp:rsid wsp:val=&quot;005255AF&quot;/&gt;&lt;wsp:rsid wsp:val=&quot;00525B54&quot;/&gt;&lt;wsp:rsid wsp:val=&quot;00525E90&quot;/&gt;&lt;wsp:rsid wsp:val=&quot;00525FFB&quot;/&gt;&lt;wsp:rsid wsp:val=&quot;005260A9&quot;/&gt;&lt;wsp:rsid wsp:val=&quot;00526109&quot;/&gt;&lt;wsp:rsid wsp:val=&quot;00526E53&quot;/&gt;&lt;wsp:rsid wsp:val=&quot;00526EDD&quot;/&gt;&lt;wsp:rsid wsp:val=&quot;0052703E&quot;/&gt;&lt;wsp:rsid wsp:val=&quot;00527289&quot;/&gt;&lt;wsp:rsid wsp:val=&quot;00527CBA&quot;/&gt;&lt;wsp:rsid wsp:val=&quot;00530412&quot;/&gt;&lt;wsp:rsid wsp:val=&quot;005308A3&quot;/&gt;&lt;wsp:rsid wsp:val=&quot;00530BAD&quot;/&gt;&lt;wsp:rsid wsp:val=&quot;00530D07&quot;/&gt;&lt;wsp:rsid wsp:val=&quot;005314D2&quot;/&gt;&lt;wsp:rsid wsp:val=&quot;00531A24&quot;/&gt;&lt;wsp:rsid wsp:val=&quot;00532160&quot;/&gt;&lt;wsp:rsid wsp:val=&quot;0053238B&quot;/&gt;&lt;wsp:rsid wsp:val=&quot;00532486&quot;/&gt;&lt;wsp:rsid wsp:val=&quot;005324E5&quot;/&gt;&lt;wsp:rsid wsp:val=&quot;005329A8&quot;/&gt;&lt;wsp:rsid wsp:val=&quot;00532B2A&quot;/&gt;&lt;wsp:rsid wsp:val=&quot;00532F0D&quot;/&gt;&lt;wsp:rsid wsp:val=&quot;0053335A&quot;/&gt;&lt;wsp:rsid wsp:val=&quot;005335C8&quot;/&gt;&lt;wsp:rsid wsp:val=&quot;00533850&quot;/&gt;&lt;wsp:rsid wsp:val=&quot;00533D2B&quot;/&gt;&lt;wsp:rsid wsp:val=&quot;00533E8C&quot;/&gt;&lt;wsp:rsid wsp:val=&quot;00533F94&quot;/&gt;&lt;wsp:rsid wsp:val=&quot;0053419B&quot;/&gt;&lt;wsp:rsid wsp:val=&quot;005348E7&quot;/&gt;&lt;wsp:rsid wsp:val=&quot;00534921&quot;/&gt;&lt;wsp:rsid wsp:val=&quot;00535204&quot;/&gt;&lt;wsp:rsid wsp:val=&quot;00535364&quot;/&gt;&lt;wsp:rsid wsp:val=&quot;00535D15&quot;/&gt;&lt;wsp:rsid wsp:val=&quot;00535E04&quot;/&gt;&lt;wsp:rsid wsp:val=&quot;005367F3&quot;/&gt;&lt;wsp:rsid wsp:val=&quot;005369FC&quot;/&gt;&lt;wsp:rsid wsp:val=&quot;00536BEA&quot;/&gt;&lt;wsp:rsid wsp:val=&quot;0053739E&quot;/&gt;&lt;wsp:rsid wsp:val=&quot;00537593&quot;/&gt;&lt;wsp:rsid wsp:val=&quot;005376AC&quot;/&gt;&lt;wsp:rsid wsp:val=&quot;00537A5E&quot;/&gt;&lt;wsp:rsid wsp:val=&quot;005401B7&quot;/&gt;&lt;wsp:rsid wsp:val=&quot;00540586&quot;/&gt;&lt;wsp:rsid wsp:val=&quot;00540626&quot;/&gt;&lt;wsp:rsid wsp:val=&quot;00540BBF&quot;/&gt;&lt;wsp:rsid wsp:val=&quot;00540BE8&quot;/&gt;&lt;wsp:rsid wsp:val=&quot;00540CAE&quot;/&gt;&lt;wsp:rsid wsp:val=&quot;00541043&quot;/&gt;&lt;wsp:rsid wsp:val=&quot;00541503&quot;/&gt;&lt;wsp:rsid wsp:val=&quot;00541761&quot;/&gt;&lt;wsp:rsid wsp:val=&quot;00542050&quot;/&gt;&lt;wsp:rsid wsp:val=&quot;00542548&quot;/&gt;&lt;wsp:rsid wsp:val=&quot;00542876&quot;/&gt;&lt;wsp:rsid wsp:val=&quot;00542B60&quot;/&gt;&lt;wsp:rsid wsp:val=&quot;00542BD8&quot;/&gt;&lt;wsp:rsid wsp:val=&quot;00542D44&quot;/&gt;&lt;wsp:rsid wsp:val=&quot;00542E9C&quot;/&gt;&lt;wsp:rsid wsp:val=&quot;00543459&quot;/&gt;&lt;wsp:rsid wsp:val=&quot;00543D53&quot;/&gt;&lt;wsp:rsid wsp:val=&quot;00544120&quot;/&gt;&lt;wsp:rsid wsp:val=&quot;00544895&quot;/&gt;&lt;wsp:rsid wsp:val=&quot;005449D5&quot;/&gt;&lt;wsp:rsid wsp:val=&quot;00545012&quot;/&gt;&lt;wsp:rsid wsp:val=&quot;005454FC&quot;/&gt;&lt;wsp:rsid wsp:val=&quot;0054566F&quot;/&gt;&lt;wsp:rsid wsp:val=&quot;00545D06&quot;/&gt;&lt;wsp:rsid wsp:val=&quot;005463E8&quot;/&gt;&lt;wsp:rsid wsp:val=&quot;0054694F&quot;/&gt;&lt;wsp:rsid wsp:val=&quot;0054697A&quot;/&gt;&lt;wsp:rsid wsp:val=&quot;00546AFD&quot;/&gt;&lt;wsp:rsid wsp:val=&quot;005470B2&quot;/&gt;&lt;wsp:rsid wsp:val=&quot;005470DB&quot;/&gt;&lt;wsp:rsid wsp:val=&quot;00547106&quot;/&gt;&lt;wsp:rsid wsp:val=&quot;00547118&quot;/&gt;&lt;wsp:rsid wsp:val=&quot;00547431&quot;/&gt;&lt;wsp:rsid wsp:val=&quot;00550205&quot;/&gt;&lt;wsp:rsid wsp:val=&quot;005505DC&quot;/&gt;&lt;wsp:rsid wsp:val=&quot;0055192F&quot;/&gt;&lt;wsp:rsid wsp:val=&quot;00551A6E&quot;/&gt;&lt;wsp:rsid wsp:val=&quot;00551D09&quot;/&gt;&lt;wsp:rsid wsp:val=&quot;00552BB8&quot;/&gt;&lt;wsp:rsid wsp:val=&quot;0055306C&quot;/&gt;&lt;wsp:rsid wsp:val=&quot;00553144&quot;/&gt;&lt;wsp:rsid wsp:val=&quot;0055338B&quot;/&gt;&lt;wsp:rsid wsp:val=&quot;00553604&quot;/&gt;&lt;wsp:rsid wsp:val=&quot;0055385F&quot;/&gt;&lt;wsp:rsid wsp:val=&quot;005538D9&quot;/&gt;&lt;wsp:rsid wsp:val=&quot;00553D3E&quot;/&gt;&lt;wsp:rsid wsp:val=&quot;00553EE3&quot;/&gt;&lt;wsp:rsid wsp:val=&quot;00554580&quot;/&gt;&lt;wsp:rsid wsp:val=&quot;00555624&quot;/&gt;&lt;wsp:rsid wsp:val=&quot;00555778&quot;/&gt;&lt;wsp:rsid wsp:val=&quot;00555EC6&quot;/&gt;&lt;wsp:rsid wsp:val=&quot;00555F65&quot;/&gt;&lt;wsp:rsid wsp:val=&quot;00555F66&quot;/&gt;&lt;wsp:rsid wsp:val=&quot;0055620C&quot;/&gt;&lt;wsp:rsid wsp:val=&quot;005568E2&quot;/&gt;&lt;wsp:rsid wsp:val=&quot;0055690E&quot;/&gt;&lt;wsp:rsid wsp:val=&quot;00556A1F&quot;/&gt;&lt;wsp:rsid wsp:val=&quot;00556F2D&quot;/&gt;&lt;wsp:rsid wsp:val=&quot;00557440&quot;/&gt;&lt;wsp:rsid wsp:val=&quot;0055764E&quot;/&gt;&lt;wsp:rsid wsp:val=&quot;0055768F&quot;/&gt;&lt;wsp:rsid wsp:val=&quot;005576C2&quot;/&gt;&lt;wsp:rsid wsp:val=&quot;00557B28&quot;/&gt;&lt;wsp:rsid wsp:val=&quot;00557C49&quot;/&gt;&lt;wsp:rsid wsp:val=&quot;0056031D&quot;/&gt;&lt;wsp:rsid wsp:val=&quot;00560FA8&quot;/&gt;&lt;wsp:rsid wsp:val=&quot;005613BC&quot;/&gt;&lt;wsp:rsid wsp:val=&quot;005615A8&quot;/&gt;&lt;wsp:rsid wsp:val=&quot;00561679&quot;/&gt;&lt;wsp:rsid wsp:val=&quot;00561A9F&quot;/&gt;&lt;wsp:rsid wsp:val=&quot;00561DED&quot;/&gt;&lt;wsp:rsid wsp:val=&quot;0056207D&quot;/&gt;&lt;wsp:rsid wsp:val=&quot;00562272&quot;/&gt;&lt;wsp:rsid wsp:val=&quot;00562A2D&quot;/&gt;&lt;wsp:rsid wsp:val=&quot;00562DC4&quot;/&gt;&lt;wsp:rsid wsp:val=&quot;005636B1&quot;/&gt;&lt;wsp:rsid wsp:val=&quot;0056395C&quot;/&gt;&lt;wsp:rsid wsp:val=&quot;00565155&quot;/&gt;&lt;wsp:rsid wsp:val=&quot;00565317&quot;/&gt;&lt;wsp:rsid wsp:val=&quot;00565367&quot;/&gt;&lt;wsp:rsid wsp:val=&quot;00566368&quot;/&gt;&lt;wsp:rsid wsp:val=&quot;005672F9&quot;/&gt;&lt;wsp:rsid wsp:val=&quot;00567EE4&quot;/&gt;&lt;wsp:rsid wsp:val=&quot;00570032&quot;/&gt;&lt;wsp:rsid wsp:val=&quot;0057047D&quot;/&gt;&lt;wsp:rsid wsp:val=&quot;0057049E&quot;/&gt;&lt;wsp:rsid wsp:val=&quot;00570564&quot;/&gt;&lt;wsp:rsid wsp:val=&quot;00570605&quot;/&gt;&lt;wsp:rsid wsp:val=&quot;005708EC&quot;/&gt;&lt;wsp:rsid wsp:val=&quot;00570F63&quot;/&gt;&lt;wsp:rsid wsp:val=&quot;00571270&quot;/&gt;&lt;wsp:rsid wsp:val=&quot;005713CC&quot;/&gt;&lt;wsp:rsid wsp:val=&quot;00571754&quot;/&gt;&lt;wsp:rsid wsp:val=&quot;0057188B&quot;/&gt;&lt;wsp:rsid wsp:val=&quot;00571BC6&quot;/&gt;&lt;wsp:rsid wsp:val=&quot;00571D1F&quot;/&gt;&lt;wsp:rsid wsp:val=&quot;00571D7A&quot;/&gt;&lt;wsp:rsid wsp:val=&quot;00571E3F&quot;/&gt;&lt;wsp:rsid wsp:val=&quot;00571E5F&quot;/&gt;&lt;wsp:rsid wsp:val=&quot;00571F49&quot;/&gt;&lt;wsp:rsid wsp:val=&quot;00572056&quot;/&gt;&lt;wsp:rsid wsp:val=&quot;005723B6&quot;/&gt;&lt;wsp:rsid wsp:val=&quot;00572832&quot;/&gt;&lt;wsp:rsid wsp:val=&quot;00572B81&quot;/&gt;&lt;wsp:rsid wsp:val=&quot;00572F15&quot;/&gt;&lt;wsp:rsid wsp:val=&quot;00573188&quot;/&gt;&lt;wsp:rsid wsp:val=&quot;005732BD&quot;/&gt;&lt;wsp:rsid wsp:val=&quot;005732EA&quot;/&gt;&lt;wsp:rsid wsp:val=&quot;00573331&quot;/&gt;&lt;wsp:rsid wsp:val=&quot;005739FB&quot;/&gt;&lt;wsp:rsid wsp:val=&quot;00573B41&quot;/&gt;&lt;wsp:rsid wsp:val=&quot;00573F1A&quot;/&gt;&lt;wsp:rsid wsp:val=&quot;005745F8&quot;/&gt;&lt;wsp:rsid wsp:val=&quot;0057470C&quot;/&gt;&lt;wsp:rsid wsp:val=&quot;00574866&quot;/&gt;&lt;wsp:rsid wsp:val=&quot;00574B0F&quot;/&gt;&lt;wsp:rsid wsp:val=&quot;00574EE5&quot;/&gt;&lt;wsp:rsid wsp:val=&quot;0057658C&quot;/&gt;&lt;wsp:rsid wsp:val=&quot;00576ACB&quot;/&gt;&lt;wsp:rsid wsp:val=&quot;00576BF4&quot;/&gt;&lt;wsp:rsid wsp:val=&quot;00576E03&quot;/&gt;&lt;wsp:rsid wsp:val=&quot;005770F1&quot;/&gt;&lt;wsp:rsid wsp:val=&quot;0057714E&quot;/&gt;&lt;wsp:rsid wsp:val=&quot;00577559&quot;/&gt;&lt;wsp:rsid wsp:val=&quot;00577699&quot;/&gt;&lt;wsp:rsid wsp:val=&quot;00577EBD&quot;/&gt;&lt;wsp:rsid wsp:val=&quot;00577F10&quot;/&gt;&lt;wsp:rsid wsp:val=&quot;00580790&quot;/&gt;&lt;wsp:rsid wsp:val=&quot;00581446&quot;/&gt;&lt;wsp:rsid wsp:val=&quot;00581A52&quot;/&gt;&lt;wsp:rsid wsp:val=&quot;00581B3D&quot;/&gt;&lt;wsp:rsid wsp:val=&quot;00581EC4&quot;/&gt;&lt;wsp:rsid wsp:val=&quot;00582109&quot;/&gt;&lt;wsp:rsid wsp:val=&quot;00582153&quot;/&gt;&lt;wsp:rsid wsp:val=&quot;005824B7&quot;/&gt;&lt;wsp:rsid wsp:val=&quot;00582F4D&quot;/&gt;&lt;wsp:rsid wsp:val=&quot;00582FF3&quot;/&gt;&lt;wsp:rsid wsp:val=&quot;00583296&quot;/&gt;&lt;wsp:rsid wsp:val=&quot;0058336C&quot;/&gt;&lt;wsp:rsid wsp:val=&quot;005839B5&quot;/&gt;&lt;wsp:rsid wsp:val=&quot;005839C0&quot;/&gt;&lt;wsp:rsid wsp:val=&quot;00583C7E&quot;/&gt;&lt;wsp:rsid wsp:val=&quot;005842BF&quot;/&gt;&lt;wsp:rsid wsp:val=&quot;005845BE&quot;/&gt;&lt;wsp:rsid wsp:val=&quot;005847DF&quot;/&gt;&lt;wsp:rsid wsp:val=&quot;00584A10&quot;/&gt;&lt;wsp:rsid wsp:val=&quot;00584EB7&quot;/&gt;&lt;wsp:rsid wsp:val=&quot;0058558C&quot;/&gt;&lt;wsp:rsid wsp:val=&quot;00585592&quot;/&gt;&lt;wsp:rsid wsp:val=&quot;005868A0&quot;/&gt;&lt;wsp:rsid wsp:val=&quot;00586A23&quot;/&gt;&lt;wsp:rsid wsp:val=&quot;0058793B&quot;/&gt;&lt;wsp:rsid wsp:val=&quot;0059029B&quot;/&gt;&lt;wsp:rsid wsp:val=&quot;005902CD&quot;/&gt;&lt;wsp:rsid wsp:val=&quot;00590911&quot;/&gt;&lt;wsp:rsid wsp:val=&quot;00590AE1&quot;/&gt;&lt;wsp:rsid wsp:val=&quot;00590BAF&quot;/&gt;&lt;wsp:rsid wsp:val=&quot;00590BB7&quot;/&gt;&lt;wsp:rsid wsp:val=&quot;00590E01&quot;/&gt;&lt;wsp:rsid wsp:val=&quot;00591205&quot;/&gt;&lt;wsp:rsid wsp:val=&quot;005912F3&quot;/&gt;&lt;wsp:rsid wsp:val=&quot;005916F8&quot;/&gt;&lt;wsp:rsid wsp:val=&quot;005919FD&quot;/&gt;&lt;wsp:rsid wsp:val=&quot;00591DF6&quot;/&gt;&lt;wsp:rsid wsp:val=&quot;00591DFA&quot;/&gt;&lt;wsp:rsid wsp:val=&quot;00591F1A&quot;/&gt;&lt;wsp:rsid wsp:val=&quot;00591F7F&quot;/&gt;&lt;wsp:rsid wsp:val=&quot;00592164&quot;/&gt;&lt;wsp:rsid wsp:val=&quot;00592648&quot;/&gt;&lt;wsp:rsid wsp:val=&quot;005926E1&quot;/&gt;&lt;wsp:rsid wsp:val=&quot;005928D4&quot;/&gt;&lt;wsp:rsid wsp:val=&quot;00592A64&quot;/&gt;&lt;wsp:rsid wsp:val=&quot;00592AF3&quot;/&gt;&lt;wsp:rsid wsp:val=&quot;00592C7B&quot;/&gt;&lt;wsp:rsid wsp:val=&quot;00592DD6&quot;/&gt;&lt;wsp:rsid wsp:val=&quot;00592E26&quot;/&gt;&lt;wsp:rsid wsp:val=&quot;00593031&quot;/&gt;&lt;wsp:rsid wsp:val=&quot;005931B9&quot;/&gt;&lt;wsp:rsid wsp:val=&quot;00593609&quot;/&gt;&lt;wsp:rsid wsp:val=&quot;00593CE8&quot;/&gt;&lt;wsp:rsid wsp:val=&quot;00593CE9&quot;/&gt;&lt;wsp:rsid wsp:val=&quot;00593F69&quot;/&gt;&lt;wsp:rsid wsp:val=&quot;00594110&quot;/&gt;&lt;wsp:rsid wsp:val=&quot;00594273&quot;/&gt;&lt;wsp:rsid wsp:val=&quot;00594372&quot;/&gt;&lt;wsp:rsid wsp:val=&quot;00594667&quot;/&gt;&lt;wsp:rsid wsp:val=&quot;00594EBD&quot;/&gt;&lt;wsp:rsid wsp:val=&quot;00595156&quot;/&gt;&lt;wsp:rsid wsp:val=&quot;00595C16&quot;/&gt;&lt;wsp:rsid wsp:val=&quot;00595D5A&quot;/&gt;&lt;wsp:rsid wsp:val=&quot;005963B3&quot;/&gt;&lt;wsp:rsid wsp:val=&quot;0059688E&quot;/&gt;&lt;wsp:rsid wsp:val=&quot;005969ED&quot;/&gt;&lt;wsp:rsid wsp:val=&quot;00596DF9&quot;/&gt;&lt;wsp:rsid wsp:val=&quot;00596E70&quot;/&gt;&lt;wsp:rsid wsp:val=&quot;00597124&quot;/&gt;&lt;wsp:rsid wsp:val=&quot;0059756C&quot;/&gt;&lt;wsp:rsid wsp:val=&quot;00597690&quot;/&gt;&lt;wsp:rsid wsp:val=&quot;005A0231&quot;/&gt;&lt;wsp:rsid wsp:val=&quot;005A0669&quot;/&gt;&lt;wsp:rsid wsp:val=&quot;005A0966&quot;/&gt;&lt;wsp:rsid wsp:val=&quot;005A0A0D&quot;/&gt;&lt;wsp:rsid wsp:val=&quot;005A14E9&quot;/&gt;&lt;wsp:rsid wsp:val=&quot;005A1829&quot;/&gt;&lt;wsp:rsid wsp:val=&quot;005A18BC&quot;/&gt;&lt;wsp:rsid wsp:val=&quot;005A2506&quot;/&gt;&lt;wsp:rsid wsp:val=&quot;005A2BCA&quot;/&gt;&lt;wsp:rsid wsp:val=&quot;005A2CAD&quot;/&gt;&lt;wsp:rsid wsp:val=&quot;005A3105&quot;/&gt;&lt;wsp:rsid wsp:val=&quot;005A33B6&quot;/&gt;&lt;wsp:rsid wsp:val=&quot;005A3C70&quot;/&gt;&lt;wsp:rsid wsp:val=&quot;005A3F1B&quot;/&gt;&lt;wsp:rsid wsp:val=&quot;005A45C2&quot;/&gt;&lt;wsp:rsid wsp:val=&quot;005A47A2&quot;/&gt;&lt;wsp:rsid wsp:val=&quot;005A52A5&quot;/&gt;&lt;wsp:rsid wsp:val=&quot;005A5316&quot;/&gt;&lt;wsp:rsid wsp:val=&quot;005A5863&quot;/&gt;&lt;wsp:rsid wsp:val=&quot;005A5C8A&quot;/&gt;&lt;wsp:rsid wsp:val=&quot;005A5FB0&quot;/&gt;&lt;wsp:rsid wsp:val=&quot;005A620B&quot;/&gt;&lt;wsp:rsid wsp:val=&quot;005A6239&quot;/&gt;&lt;wsp:rsid wsp:val=&quot;005A6529&quot;/&gt;&lt;wsp:rsid wsp:val=&quot;005A6600&quot;/&gt;&lt;wsp:rsid wsp:val=&quot;005A6A04&quot;/&gt;&lt;wsp:rsid wsp:val=&quot;005A6CA1&quot;/&gt;&lt;wsp:rsid wsp:val=&quot;005A72AC&quot;/&gt;&lt;wsp:rsid wsp:val=&quot;005A750D&quot;/&gt;&lt;wsp:rsid wsp:val=&quot;005A75BA&quot;/&gt;&lt;wsp:rsid wsp:val=&quot;005A7D99&quot;/&gt;&lt;wsp:rsid wsp:val=&quot;005B013C&quot;/&gt;&lt;wsp:rsid wsp:val=&quot;005B04AD&quot;/&gt;&lt;wsp:rsid wsp:val=&quot;005B081D&quot;/&gt;&lt;wsp:rsid wsp:val=&quot;005B0EBE&quot;/&gt;&lt;wsp:rsid wsp:val=&quot;005B1086&quot;/&gt;&lt;wsp:rsid wsp:val=&quot;005B11F7&quot;/&gt;&lt;wsp:rsid wsp:val=&quot;005B131E&quot;/&gt;&lt;wsp:rsid wsp:val=&quot;005B183A&quot;/&gt;&lt;wsp:rsid wsp:val=&quot;005B185B&quot;/&gt;&lt;wsp:rsid wsp:val=&quot;005B1D53&quot;/&gt;&lt;wsp:rsid wsp:val=&quot;005B1F1D&quot;/&gt;&lt;wsp:rsid wsp:val=&quot;005B1FA9&quot;/&gt;&lt;wsp:rsid wsp:val=&quot;005B2143&quot;/&gt;&lt;wsp:rsid wsp:val=&quot;005B2191&quot;/&gt;&lt;wsp:rsid wsp:val=&quot;005B244A&quot;/&gt;&lt;wsp:rsid wsp:val=&quot;005B25ED&quot;/&gt;&lt;wsp:rsid wsp:val=&quot;005B320A&quot;/&gt;&lt;wsp:rsid wsp:val=&quot;005B3214&quot;/&gt;&lt;wsp:rsid wsp:val=&quot;005B3327&quot;/&gt;&lt;wsp:rsid wsp:val=&quot;005B397B&quot;/&gt;&lt;wsp:rsid wsp:val=&quot;005B3BE3&quot;/&gt;&lt;wsp:rsid wsp:val=&quot;005B4122&quot;/&gt;&lt;wsp:rsid wsp:val=&quot;005B413F&quot;/&gt;&lt;wsp:rsid wsp:val=&quot;005B42EB&quot;/&gt;&lt;wsp:rsid wsp:val=&quot;005B44E7&quot;/&gt;&lt;wsp:rsid wsp:val=&quot;005B45F3&quot;/&gt;&lt;wsp:rsid wsp:val=&quot;005B481E&quot;/&gt;&lt;wsp:rsid wsp:val=&quot;005B485C&quot;/&gt;&lt;wsp:rsid wsp:val=&quot;005B4892&quot;/&gt;&lt;wsp:rsid wsp:val=&quot;005B48F6&quot;/&gt;&lt;wsp:rsid wsp:val=&quot;005B4F08&quot;/&gt;&lt;wsp:rsid wsp:val=&quot;005B522C&quot;/&gt;&lt;wsp:rsid wsp:val=&quot;005B5589&quot;/&gt;&lt;wsp:rsid wsp:val=&quot;005B57A2&quot;/&gt;&lt;wsp:rsid wsp:val=&quot;005B5822&quot;/&gt;&lt;wsp:rsid wsp:val=&quot;005B5B8F&quot;/&gt;&lt;wsp:rsid wsp:val=&quot;005B5F9D&quot;/&gt;&lt;wsp:rsid wsp:val=&quot;005B673C&quot;/&gt;&lt;wsp:rsid wsp:val=&quot;005B6A0A&quot;/&gt;&lt;wsp:rsid wsp:val=&quot;005B74C4&quot;/&gt;&lt;wsp:rsid wsp:val=&quot;005B7A4F&quot;/&gt;&lt;wsp:rsid wsp:val=&quot;005B7C91&quot;/&gt;&lt;wsp:rsid wsp:val=&quot;005C02CF&quot;/&gt;&lt;wsp:rsid wsp:val=&quot;005C02DF&quot;/&gt;&lt;wsp:rsid wsp:val=&quot;005C03F6&quot;/&gt;&lt;wsp:rsid wsp:val=&quot;005C06D2&quot;/&gt;&lt;wsp:rsid wsp:val=&quot;005C08AC&quot;/&gt;&lt;wsp:rsid wsp:val=&quot;005C12D7&quot;/&gt;&lt;wsp:rsid wsp:val=&quot;005C19D6&quot;/&gt;&lt;wsp:rsid wsp:val=&quot;005C1C02&quot;/&gt;&lt;wsp:rsid wsp:val=&quot;005C1C1E&quot;/&gt;&lt;wsp:rsid wsp:val=&quot;005C2151&quot;/&gt;&lt;wsp:rsid wsp:val=&quot;005C21EE&quot;/&gt;&lt;wsp:rsid wsp:val=&quot;005C272C&quot;/&gt;&lt;wsp:rsid wsp:val=&quot;005C2C42&quot;/&gt;&lt;wsp:rsid wsp:val=&quot;005C2C5C&quot;/&gt;&lt;wsp:rsid wsp:val=&quot;005C2EEA&quot;/&gt;&lt;wsp:rsid wsp:val=&quot;005C34B1&quot;/&gt;&lt;wsp:rsid wsp:val=&quot;005C395F&quot;/&gt;&lt;wsp:rsid wsp:val=&quot;005C3978&quot;/&gt;&lt;wsp:rsid wsp:val=&quot;005C3E21&quot;/&gt;&lt;wsp:rsid wsp:val=&quot;005C4186&quot;/&gt;&lt;wsp:rsid wsp:val=&quot;005C435E&quot;/&gt;&lt;wsp:rsid wsp:val=&quot;005C44AC&quot;/&gt;&lt;wsp:rsid wsp:val=&quot;005C45C1&quot;/&gt;&lt;wsp:rsid wsp:val=&quot;005C45D9&quot;/&gt;&lt;wsp:rsid wsp:val=&quot;005C4930&quot;/&gt;&lt;wsp:rsid wsp:val=&quot;005C4978&quot;/&gt;&lt;wsp:rsid wsp:val=&quot;005C4A43&quot;/&gt;&lt;wsp:rsid wsp:val=&quot;005C4D7A&quot;/&gt;&lt;wsp:rsid wsp:val=&quot;005C50FB&quot;/&gt;&lt;wsp:rsid wsp:val=&quot;005C5659&quot;/&gt;&lt;wsp:rsid wsp:val=&quot;005C570F&quot;/&gt;&lt;wsp:rsid wsp:val=&quot;005C5BA8&quot;/&gt;&lt;wsp:rsid wsp:val=&quot;005C600D&quot;/&gt;&lt;wsp:rsid wsp:val=&quot;005C668A&quot;/&gt;&lt;wsp:rsid wsp:val=&quot;005C67B2&quot;/&gt;&lt;wsp:rsid wsp:val=&quot;005C6AB3&quot;/&gt;&lt;wsp:rsid wsp:val=&quot;005C6C39&quot;/&gt;&lt;wsp:rsid wsp:val=&quot;005C6D1C&quot;/&gt;&lt;wsp:rsid wsp:val=&quot;005C6F75&quot;/&gt;&lt;wsp:rsid wsp:val=&quot;005C7013&quot;/&gt;&lt;wsp:rsid wsp:val=&quot;005C712C&quot;/&gt;&lt;wsp:rsid wsp:val=&quot;005C773C&quot;/&gt;&lt;wsp:rsid wsp:val=&quot;005C789A&quot;/&gt;&lt;wsp:rsid wsp:val=&quot;005C7F12&quot;/&gt;&lt;wsp:rsid wsp:val=&quot;005C7F96&quot;/&gt;&lt;wsp:rsid wsp:val=&quot;005D00AC&quot;/&gt;&lt;wsp:rsid wsp:val=&quot;005D021A&quot;/&gt;&lt;wsp:rsid wsp:val=&quot;005D0682&quot;/&gt;&lt;wsp:rsid wsp:val=&quot;005D0A5B&quot;/&gt;&lt;wsp:rsid wsp:val=&quot;005D0AC2&quot;/&gt;&lt;wsp:rsid wsp:val=&quot;005D10A8&quot;/&gt;&lt;wsp:rsid wsp:val=&quot;005D11F2&quot;/&gt;&lt;wsp:rsid wsp:val=&quot;005D1643&quot;/&gt;&lt;wsp:rsid wsp:val=&quot;005D188E&quot;/&gt;&lt;wsp:rsid wsp:val=&quot;005D18E3&quot;/&gt;&lt;wsp:rsid wsp:val=&quot;005D1CB5&quot;/&gt;&lt;wsp:rsid wsp:val=&quot;005D22D8&quot;/&gt;&lt;wsp:rsid wsp:val=&quot;005D2741&quot;/&gt;&lt;wsp:rsid wsp:val=&quot;005D288B&quot;/&gt;&lt;wsp:rsid wsp:val=&quot;005D28B1&quot;/&gt;&lt;wsp:rsid wsp:val=&quot;005D291C&quot;/&gt;&lt;wsp:rsid wsp:val=&quot;005D2A30&quot;/&gt;&lt;wsp:rsid wsp:val=&quot;005D2B9F&quot;/&gt;&lt;wsp:rsid wsp:val=&quot;005D2F6C&quot;/&gt;&lt;wsp:rsid wsp:val=&quot;005D3491&quot;/&gt;&lt;wsp:rsid wsp:val=&quot;005D3C06&quot;/&gt;&lt;wsp:rsid wsp:val=&quot;005D3F4B&quot;/&gt;&lt;wsp:rsid wsp:val=&quot;005D41A4&quot;/&gt;&lt;wsp:rsid wsp:val=&quot;005D4AF4&quot;/&gt;&lt;wsp:rsid wsp:val=&quot;005D4B83&quot;/&gt;&lt;wsp:rsid wsp:val=&quot;005D4BAC&quot;/&gt;&lt;wsp:rsid wsp:val=&quot;005D4CCB&quot;/&gt;&lt;wsp:rsid wsp:val=&quot;005D51AD&quot;/&gt;&lt;wsp:rsid wsp:val=&quot;005D5B11&quot;/&gt;&lt;wsp:rsid wsp:val=&quot;005D5E04&quot;/&gt;&lt;wsp:rsid wsp:val=&quot;005D6865&quot;/&gt;&lt;wsp:rsid wsp:val=&quot;005D68DC&quot;/&gt;&lt;wsp:rsid wsp:val=&quot;005D69CD&quot;/&gt;&lt;wsp:rsid wsp:val=&quot;005D6BF7&quot;/&gt;&lt;wsp:rsid wsp:val=&quot;005D6D08&quot;/&gt;&lt;wsp:rsid wsp:val=&quot;005D6F58&quot;/&gt;&lt;wsp:rsid wsp:val=&quot;005D72C6&quot;/&gt;&lt;wsp:rsid wsp:val=&quot;005D7728&quot;/&gt;&lt;wsp:rsid wsp:val=&quot;005D7B70&quot;/&gt;&lt;wsp:rsid wsp:val=&quot;005D7CF2&quot;/&gt;&lt;wsp:rsid wsp:val=&quot;005E02A5&quot;/&gt;&lt;wsp:rsid wsp:val=&quot;005E066D&quot;/&gt;&lt;wsp:rsid wsp:val=&quot;005E07B0&quot;/&gt;&lt;wsp:rsid wsp:val=&quot;005E08D6&quot;/&gt;&lt;wsp:rsid wsp:val=&quot;005E0C87&quot;/&gt;&lt;wsp:rsid wsp:val=&quot;005E0CB6&quot;/&gt;&lt;wsp:rsid wsp:val=&quot;005E0FB5&quot;/&gt;&lt;wsp:rsid wsp:val=&quot;005E11CF&quot;/&gt;&lt;wsp:rsid wsp:val=&quot;005E12AB&quot;/&gt;&lt;wsp:rsid wsp:val=&quot;005E12B1&quot;/&gt;&lt;wsp:rsid wsp:val=&quot;005E1470&quot;/&gt;&lt;wsp:rsid wsp:val=&quot;005E149E&quot;/&gt;&lt;wsp:rsid wsp:val=&quot;005E1ECD&quot;/&gt;&lt;wsp:rsid wsp:val=&quot;005E20B7&quot;/&gt;&lt;wsp:rsid wsp:val=&quot;005E21CD&quot;/&gt;&lt;wsp:rsid wsp:val=&quot;005E29AA&quot;/&gt;&lt;wsp:rsid wsp:val=&quot;005E2A00&quot;/&gt;&lt;wsp:rsid wsp:val=&quot;005E39B2&quot;/&gt;&lt;wsp:rsid wsp:val=&quot;005E3CC1&quot;/&gt;&lt;wsp:rsid wsp:val=&quot;005E3F77&quot;/&gt;&lt;wsp:rsid wsp:val=&quot;005E44FA&quot;/&gt;&lt;wsp:rsid wsp:val=&quot;005E4AD3&quot;/&gt;&lt;wsp:rsid wsp:val=&quot;005E4FC9&quot;/&gt;&lt;wsp:rsid wsp:val=&quot;005E518D&quot;/&gt;&lt;wsp:rsid wsp:val=&quot;005E51FE&quot;/&gt;&lt;wsp:rsid wsp:val=&quot;005E541D&quot;/&gt;&lt;wsp:rsid wsp:val=&quot;005E6026&quot;/&gt;&lt;wsp:rsid wsp:val=&quot;005E6678&quot;/&gt;&lt;wsp:rsid wsp:val=&quot;005E6805&quot;/&gt;&lt;wsp:rsid wsp:val=&quot;005E6B35&quot;/&gt;&lt;wsp:rsid wsp:val=&quot;005E6D87&quot;/&gt;&lt;wsp:rsid wsp:val=&quot;005E718A&quot;/&gt;&lt;wsp:rsid wsp:val=&quot;005E7278&quot;/&gt;&lt;wsp:rsid wsp:val=&quot;005E73B5&quot;/&gt;&lt;wsp:rsid wsp:val=&quot;005E7724&quot;/&gt;&lt;wsp:rsid wsp:val=&quot;005E7753&quot;/&gt;&lt;wsp:rsid wsp:val=&quot;005E780A&quot;/&gt;&lt;wsp:rsid wsp:val=&quot;005E7D5E&quot;/&gt;&lt;wsp:rsid wsp:val=&quot;005E7F26&quot;/&gt;&lt;wsp:rsid wsp:val=&quot;005E7F7D&quot;/&gt;&lt;wsp:rsid wsp:val=&quot;005E7FCC&quot;/&gt;&lt;wsp:rsid wsp:val=&quot;005F0579&quot;/&gt;&lt;wsp:rsid wsp:val=&quot;005F0589&quot;/&gt;&lt;wsp:rsid wsp:val=&quot;005F092D&quot;/&gt;&lt;wsp:rsid wsp:val=&quot;005F09C4&quot;/&gt;&lt;wsp:rsid wsp:val=&quot;005F0A2B&quot;/&gt;&lt;wsp:rsid wsp:val=&quot;005F1406&quot;/&gt;&lt;wsp:rsid wsp:val=&quot;005F1444&quot;/&gt;&lt;wsp:rsid wsp:val=&quot;005F19EB&quot;/&gt;&lt;wsp:rsid wsp:val=&quot;005F1DBA&quot;/&gt;&lt;wsp:rsid wsp:val=&quot;005F21C6&quot;/&gt;&lt;wsp:rsid wsp:val=&quot;005F2240&quot;/&gt;&lt;wsp:rsid wsp:val=&quot;005F2482&quot;/&gt;&lt;wsp:rsid wsp:val=&quot;005F2843&quot;/&gt;&lt;wsp:rsid wsp:val=&quot;005F3A48&quot;/&gt;&lt;wsp:rsid wsp:val=&quot;005F3B32&quot;/&gt;&lt;wsp:rsid wsp:val=&quot;005F3CE2&quot;/&gt;&lt;wsp:rsid wsp:val=&quot;005F4064&quot;/&gt;&lt;wsp:rsid wsp:val=&quot;005F4875&quot;/&gt;&lt;wsp:rsid wsp:val=&quot;005F531B&quot;/&gt;&lt;wsp:rsid wsp:val=&quot;005F5794&quot;/&gt;&lt;wsp:rsid wsp:val=&quot;005F5E3B&quot;/&gt;&lt;wsp:rsid wsp:val=&quot;005F66D2&quot;/&gt;&lt;wsp:rsid wsp:val=&quot;005F6859&quot;/&gt;&lt;wsp:rsid wsp:val=&quot;005F6AC9&quot;/&gt;&lt;wsp:rsid wsp:val=&quot;005F6B62&quot;/&gt;&lt;wsp:rsid wsp:val=&quot;005F714D&quot;/&gt;&lt;wsp:rsid wsp:val=&quot;005F7208&quot;/&gt;&lt;wsp:rsid wsp:val=&quot;005F7655&quot;/&gt;&lt;wsp:rsid wsp:val=&quot;005F78C9&quot;/&gt;&lt;wsp:rsid wsp:val=&quot;005F78DB&quot;/&gt;&lt;wsp:rsid wsp:val=&quot;005F79CA&quot;/&gt;&lt;wsp:rsid wsp:val=&quot;005F7A86&quot;/&gt;&lt;wsp:rsid wsp:val=&quot;005F7CC1&quot;/&gt;&lt;wsp:rsid wsp:val=&quot;00600930&quot;/&gt;&lt;wsp:rsid wsp:val=&quot;00600950&quot;/&gt;&lt;wsp:rsid wsp:val=&quot;00600BCC&quot;/&gt;&lt;wsp:rsid wsp:val=&quot;006013E0&quot;/&gt;&lt;wsp:rsid wsp:val=&quot;006016CC&quot;/&gt;&lt;wsp:rsid wsp:val=&quot;006017A0&quot;/&gt;&lt;wsp:rsid wsp:val=&quot;00601803&quot;/&gt;&lt;wsp:rsid wsp:val=&quot;00601E47&quot;/&gt;&lt;wsp:rsid wsp:val=&quot;0060215F&quot;/&gt;&lt;wsp:rsid wsp:val=&quot;00602662&quot;/&gt;&lt;wsp:rsid wsp:val=&quot;00602692&quot;/&gt;&lt;wsp:rsid wsp:val=&quot;00602DBF&quot;/&gt;&lt;wsp:rsid wsp:val=&quot;0060343D&quot;/&gt;&lt;wsp:rsid wsp:val=&quot;00603443&quot;/&gt;&lt;wsp:rsid wsp:val=&quot;0060380F&quot;/&gt;&lt;wsp:rsid wsp:val=&quot;00603D72&quot;/&gt;&lt;wsp:rsid wsp:val=&quot;006041F4&quot;/&gt;&lt;wsp:rsid wsp:val=&quot;00604A70&quot;/&gt;&lt;wsp:rsid wsp:val=&quot;00604F77&quot;/&gt;&lt;wsp:rsid wsp:val=&quot;00605312&quot;/&gt;&lt;wsp:rsid wsp:val=&quot;006053FA&quot;/&gt;&lt;wsp:rsid wsp:val=&quot;00605497&quot;/&gt;&lt;wsp:rsid wsp:val=&quot;0060579C&quot;/&gt;&lt;wsp:rsid wsp:val=&quot;0060599D&quot;/&gt;&lt;wsp:rsid wsp:val=&quot;00605AC6&quot;/&gt;&lt;wsp:rsid wsp:val=&quot;00605F21&quot;/&gt;&lt;wsp:rsid wsp:val=&quot;00605FD5&quot;/&gt;&lt;wsp:rsid wsp:val=&quot;00606495&quot;/&gt;&lt;wsp:rsid wsp:val=&quot;0060692A&quot;/&gt;&lt;wsp:rsid wsp:val=&quot;00606C67&quot;/&gt;&lt;wsp:rsid wsp:val=&quot;00606D91&quot;/&gt;&lt;wsp:rsid wsp:val=&quot;00606EE9&quot;/&gt;&lt;wsp:rsid wsp:val=&quot;006071F8&quot;/&gt;&lt;wsp:rsid wsp:val=&quot;0060750E&quot;/&gt;&lt;wsp:rsid wsp:val=&quot;0060760E&quot;/&gt;&lt;wsp:rsid wsp:val=&quot;00607D2A&quot;/&gt;&lt;wsp:rsid wsp:val=&quot;006104A0&quot;/&gt;&lt;wsp:rsid wsp:val=&quot;006104C4&quot;/&gt;&lt;wsp:rsid wsp:val=&quot;00610B4F&quot;/&gt;&lt;wsp:rsid wsp:val=&quot;00610B60&quot;/&gt;&lt;wsp:rsid wsp:val=&quot;00610DED&quot;/&gt;&lt;wsp:rsid wsp:val=&quot;006110B1&quot;/&gt;&lt;wsp:rsid wsp:val=&quot;006117EC&quot;/&gt;&lt;wsp:rsid wsp:val=&quot;006119F6&quot;/&gt;&lt;wsp:rsid wsp:val=&quot;00611AD8&quot;/&gt;&lt;wsp:rsid wsp:val=&quot;00611BE2&quot;/&gt;&lt;wsp:rsid wsp:val=&quot;00611D1C&quot;/&gt;&lt;wsp:rsid wsp:val=&quot;00611FBB&quot;/&gt;&lt;wsp:rsid wsp:val=&quot;0061247F&quot;/&gt;&lt;wsp:rsid wsp:val=&quot;00612698&quot;/&gt;&lt;wsp:rsid wsp:val=&quot;00612D04&quot;/&gt;&lt;wsp:rsid wsp:val=&quot;00612D9D&quot;/&gt;&lt;wsp:rsid wsp:val=&quot;00612F3C&quot;/&gt;&lt;wsp:rsid wsp:val=&quot;00613568&quot;/&gt;&lt;wsp:rsid wsp:val=&quot;00613A58&quot;/&gt;&lt;wsp:rsid wsp:val=&quot;00614164&quot;/&gt;&lt;wsp:rsid wsp:val=&quot;00614DB8&quot;/&gt;&lt;wsp:rsid wsp:val=&quot;0061523E&quot;/&gt;&lt;wsp:rsid wsp:val=&quot;006155C4&quot;/&gt;&lt;wsp:rsid wsp:val=&quot;006157DD&quot;/&gt;&lt;wsp:rsid wsp:val=&quot;00615934&quot;/&gt;&lt;wsp:rsid wsp:val=&quot;0061673B&quot;/&gt;&lt;wsp:rsid wsp:val=&quot;0061748C&quot;/&gt;&lt;wsp:rsid wsp:val=&quot;006175A1&quot;/&gt;&lt;wsp:rsid wsp:val=&quot;00617905&quot;/&gt;&lt;wsp:rsid wsp:val=&quot;0062018E&quot;/&gt;&lt;wsp:rsid wsp:val=&quot;0062025C&quot;/&gt;&lt;wsp:rsid wsp:val=&quot;0062098F&quot;/&gt;&lt;wsp:rsid wsp:val=&quot;006209F6&quot;/&gt;&lt;wsp:rsid wsp:val=&quot;00620B1B&quot;/&gt;&lt;wsp:rsid wsp:val=&quot;0062139E&quot;/&gt;&lt;wsp:rsid wsp:val=&quot;00621405&quot;/&gt;&lt;wsp:rsid wsp:val=&quot;00621469&quot;/&gt;&lt;wsp:rsid wsp:val=&quot;006217A3&quot;/&gt;&lt;wsp:rsid wsp:val=&quot;00621D04&quot;/&gt;&lt;wsp:rsid wsp:val=&quot;00621EF6&quot;/&gt;&lt;wsp:rsid wsp:val=&quot;0062218E&quot;/&gt;&lt;wsp:rsid wsp:val=&quot;006223C5&quot;/&gt;&lt;wsp:rsid wsp:val=&quot;006226D9&quot;/&gt;&lt;wsp:rsid wsp:val=&quot;006227A3&quot;/&gt;&lt;wsp:rsid wsp:val=&quot;00622857&quot;/&gt;&lt;wsp:rsid wsp:val=&quot;00622DDC&quot;/&gt;&lt;wsp:rsid wsp:val=&quot;00622F55&quot;/&gt;&lt;wsp:rsid wsp:val=&quot;0062392F&quot;/&gt;&lt;wsp:rsid wsp:val=&quot;00623AEA&quot;/&gt;&lt;wsp:rsid wsp:val=&quot;00623EF3&quot;/&gt;&lt;wsp:rsid wsp:val=&quot;0062407A&quot;/&gt;&lt;wsp:rsid wsp:val=&quot;006242F0&quot;/&gt;&lt;wsp:rsid wsp:val=&quot;006243EC&quot;/&gt;&lt;wsp:rsid wsp:val=&quot;006245DD&quot;/&gt;&lt;wsp:rsid wsp:val=&quot;00624D61&quot;/&gt;&lt;wsp:rsid wsp:val=&quot;00624FA7&quot;/&gt;&lt;wsp:rsid wsp:val=&quot;0062577F&quot;/&gt;&lt;wsp:rsid wsp:val=&quot;006259EC&quot;/&gt;&lt;wsp:rsid wsp:val=&quot;00625B1E&quot;/&gt;&lt;wsp:rsid wsp:val=&quot;00625CD1&quot;/&gt;&lt;wsp:rsid wsp:val=&quot;0062612E&quot;/&gt;&lt;wsp:rsid wsp:val=&quot;0062615D&quot;/&gt;&lt;wsp:rsid wsp:val=&quot;00626276&quot;/&gt;&lt;wsp:rsid wsp:val=&quot;006264D5&quot;/&gt;&lt;wsp:rsid wsp:val=&quot;0062667D&quot;/&gt;&lt;wsp:rsid wsp:val=&quot;006267E9&quot;/&gt;&lt;wsp:rsid wsp:val=&quot;00626876&quot;/&gt;&lt;wsp:rsid wsp:val=&quot;00626F72&quot;/&gt;&lt;wsp:rsid wsp:val=&quot;00626FE3&quot;/&gt;&lt;wsp:rsid wsp:val=&quot;006270E2&quot;/&gt;&lt;wsp:rsid wsp:val=&quot;0062713D&quot;/&gt;&lt;wsp:rsid wsp:val=&quot;00627332&quot;/&gt;&lt;wsp:rsid wsp:val=&quot;006278BC&quot;/&gt;&lt;wsp:rsid wsp:val=&quot;00627A09&quot;/&gt;&lt;wsp:rsid wsp:val=&quot;00627DE4&quot;/&gt;&lt;wsp:rsid wsp:val=&quot;006300A5&quot;/&gt;&lt;wsp:rsid wsp:val=&quot;0063069B&quot;/&gt;&lt;wsp:rsid wsp:val=&quot;00630CE0&quot;/&gt;&lt;wsp:rsid wsp:val=&quot;00631241&quot;/&gt;&lt;wsp:rsid wsp:val=&quot;00631489&quot;/&gt;&lt;wsp:rsid wsp:val=&quot;00631D68&quot;/&gt;&lt;wsp:rsid wsp:val=&quot;0063235E&quot;/&gt;&lt;wsp:rsid wsp:val=&quot;00632421&quot;/&gt;&lt;wsp:rsid wsp:val=&quot;00632AE3&quot;/&gt;&lt;wsp:rsid wsp:val=&quot;00632D4E&quot;/&gt;&lt;wsp:rsid wsp:val=&quot;0063345C&quot;/&gt;&lt;wsp:rsid wsp:val=&quot;00633EC5&quot;/&gt;&lt;wsp:rsid wsp:val=&quot;00634545&quot;/&gt;&lt;wsp:rsid wsp:val=&quot;00635069&quot;/&gt;&lt;wsp:rsid wsp:val=&quot;006350B5&quot;/&gt;&lt;wsp:rsid wsp:val=&quot;0063528A&quot;/&gt;&lt;wsp:rsid wsp:val=&quot;0063595F&quot;/&gt;&lt;wsp:rsid wsp:val=&quot;0063596B&quot;/&gt;&lt;wsp:rsid wsp:val=&quot;00635AB7&quot;/&gt;&lt;wsp:rsid wsp:val=&quot;00635EFC&quot;/&gt;&lt;wsp:rsid wsp:val=&quot;00635F4D&quot;/&gt;&lt;wsp:rsid wsp:val=&quot;006360FC&quot;/&gt;&lt;wsp:rsid wsp:val=&quot;006363B0&quot;/&gt;&lt;wsp:rsid wsp:val=&quot;0063654F&quot;/&gt;&lt;wsp:rsid wsp:val=&quot;006369F7&quot;/&gt;&lt;wsp:rsid wsp:val=&quot;00636BE0&quot;/&gt;&lt;wsp:rsid wsp:val=&quot;0063749D&quot;/&gt;&lt;wsp:rsid wsp:val=&quot;0063771D&quot;/&gt;&lt;wsp:rsid wsp:val=&quot;0063795F&quot;/&gt;&lt;wsp:rsid wsp:val=&quot;00637F48&quot;/&gt;&lt;wsp:rsid wsp:val=&quot;00640631&quot;/&gt;&lt;wsp:rsid wsp:val=&quot;00640A8C&quot;/&gt;&lt;wsp:rsid wsp:val=&quot;00640D8C&quot;/&gt;&lt;wsp:rsid wsp:val=&quot;00641490&quot;/&gt;&lt;wsp:rsid wsp:val=&quot;0064184F&quot;/&gt;&lt;wsp:rsid wsp:val=&quot;00641B62&quot;/&gt;&lt;wsp:rsid wsp:val=&quot;00641E49&quot;/&gt;&lt;wsp:rsid wsp:val=&quot;006420AF&quot;/&gt;&lt;wsp:rsid wsp:val=&quot;00642223&quot;/&gt;&lt;wsp:rsid wsp:val=&quot;0064262B&quot;/&gt;&lt;wsp:rsid wsp:val=&quot;00642A27&quot;/&gt;&lt;wsp:rsid wsp:val=&quot;00642B8A&quot;/&gt;&lt;wsp:rsid wsp:val=&quot;00642ECC&quot;/&gt;&lt;wsp:rsid wsp:val=&quot;006431C3&quot;/&gt;&lt;wsp:rsid wsp:val=&quot;006431DB&quot;/&gt;&lt;wsp:rsid wsp:val=&quot;00643392&quot;/&gt;&lt;wsp:rsid wsp:val=&quot;00643447&quot;/&gt;&lt;wsp:rsid wsp:val=&quot;00643462&quot;/&gt;&lt;wsp:rsid wsp:val=&quot;006437F1&quot;/&gt;&lt;wsp:rsid wsp:val=&quot;00643E5F&quot;/&gt;&lt;wsp:rsid wsp:val=&quot;00643F90&quot;/&gt;&lt;wsp:rsid wsp:val=&quot;0064437A&quot;/&gt;&lt;wsp:rsid wsp:val=&quot;00644513&quot;/&gt;&lt;wsp:rsid wsp:val=&quot;00644784&quot;/&gt;&lt;wsp:rsid wsp:val=&quot;00644BFD&quot;/&gt;&lt;wsp:rsid wsp:val=&quot;00645728&quot;/&gt;&lt;wsp:rsid wsp:val=&quot;00645C8E&quot;/&gt;&lt;wsp:rsid wsp:val=&quot;00645FC2&quot;/&gt;&lt;wsp:rsid wsp:val=&quot;00646136&quot;/&gt;&lt;wsp:rsid wsp:val=&quot;0064614D&quot;/&gt;&lt;wsp:rsid wsp:val=&quot;00646159&quot;/&gt;&lt;wsp:rsid wsp:val=&quot;00646ADF&quot;/&gt;&lt;wsp:rsid wsp:val=&quot;00646E98&quot;/&gt;&lt;wsp:rsid wsp:val=&quot;006470E8&quot;/&gt;&lt;wsp:rsid wsp:val=&quot;006471AA&quot;/&gt;&lt;wsp:rsid wsp:val=&quot;0064762B&quot;/&gt;&lt;wsp:rsid wsp:val=&quot;006479FB&quot;/&gt;&lt;wsp:rsid wsp:val=&quot;00647F4E&quot;/&gt;&lt;wsp:rsid wsp:val=&quot;00650673&quot;/&gt;&lt;wsp:rsid wsp:val=&quot;006507BF&quot;/&gt;&lt;wsp:rsid wsp:val=&quot;006509FC&quot;/&gt;&lt;wsp:rsid wsp:val=&quot;00650D4F&quot;/&gt;&lt;wsp:rsid wsp:val=&quot;00650E1F&quot;/&gt;&lt;wsp:rsid wsp:val=&quot;00650F51&quot;/&gt;&lt;wsp:rsid wsp:val=&quot;006510CD&quot;/&gt;&lt;wsp:rsid wsp:val=&quot;00651160&quot;/&gt;&lt;wsp:rsid wsp:val=&quot;0065129C&quot;/&gt;&lt;wsp:rsid wsp:val=&quot;0065174F&quot;/&gt;&lt;wsp:rsid wsp:val=&quot;00651803&quot;/&gt;&lt;wsp:rsid wsp:val=&quot;00651979&quot;/&gt;&lt;wsp:rsid wsp:val=&quot;00651A8A&quot;/&gt;&lt;wsp:rsid wsp:val=&quot;00652017&quot;/&gt;&lt;wsp:rsid wsp:val=&quot;0065251B&quot;/&gt;&lt;wsp:rsid wsp:val=&quot;00652ADE&quot;/&gt;&lt;wsp:rsid wsp:val=&quot;0065368B&quot;/&gt;&lt;wsp:rsid wsp:val=&quot;006537C8&quot;/&gt;&lt;wsp:rsid wsp:val=&quot;00653AEB&quot;/&gt;&lt;wsp:rsid wsp:val=&quot;00654161&quot;/&gt;&lt;wsp:rsid wsp:val=&quot;006543DB&quot;/&gt;&lt;wsp:rsid wsp:val=&quot;00654CE5&quot;/&gt;&lt;wsp:rsid wsp:val=&quot;00654D86&quot;/&gt;&lt;wsp:rsid wsp:val=&quot;006551F9&quot;/&gt;&lt;wsp:rsid wsp:val=&quot;0065540E&quot;/&gt;&lt;wsp:rsid wsp:val=&quot;006559B0&quot;/&gt;&lt;wsp:rsid wsp:val=&quot;006561C5&quot;/&gt;&lt;wsp:rsid wsp:val=&quot;0065623A&quot;/&gt;&lt;wsp:rsid wsp:val=&quot;00656A16&quot;/&gt;&lt;wsp:rsid wsp:val=&quot;00656C07&quot;/&gt;&lt;wsp:rsid wsp:val=&quot;00657224&quot;/&gt;&lt;wsp:rsid wsp:val=&quot;00657298&quot;/&gt;&lt;wsp:rsid wsp:val=&quot;00657E13&quot;/&gt;&lt;wsp:rsid wsp:val=&quot;00660129&quot;/&gt;&lt;wsp:rsid wsp:val=&quot;006602A5&quot;/&gt;&lt;wsp:rsid wsp:val=&quot;00660EA0&quot;/&gt;&lt;wsp:rsid wsp:val=&quot;00660EB5&quot;/&gt;&lt;wsp:rsid wsp:val=&quot;00660F1A&quot;/&gt;&lt;wsp:rsid wsp:val=&quot;00661281&quot;/&gt;&lt;wsp:rsid wsp:val=&quot;006614BB&quot;/&gt;&lt;wsp:rsid wsp:val=&quot;00661BAE&quot;/&gt;&lt;wsp:rsid wsp:val=&quot;00661D4C&quot;/&gt;&lt;wsp:rsid wsp:val=&quot;00661F6A&quot;/&gt;&lt;wsp:rsid wsp:val=&quot;00662647&quot;/&gt;&lt;wsp:rsid wsp:val=&quot;006627B8&quot;/&gt;&lt;wsp:rsid wsp:val=&quot;00662857&quot;/&gt;&lt;wsp:rsid wsp:val=&quot;00662971&quot;/&gt;&lt;wsp:rsid wsp:val=&quot;00662B06&quot;/&gt;&lt;wsp:rsid wsp:val=&quot;00662FAB&quot;/&gt;&lt;wsp:rsid wsp:val=&quot;006632F3&quot;/&gt;&lt;wsp:rsid wsp:val=&quot;006638BE&quot;/&gt;&lt;wsp:rsid wsp:val=&quot;00663B1D&quot;/&gt;&lt;wsp:rsid wsp:val=&quot;00663C31&quot;/&gt;&lt;wsp:rsid wsp:val=&quot;00663C78&quot;/&gt;&lt;wsp:rsid wsp:val=&quot;00663F87&quot;/&gt;&lt;wsp:rsid wsp:val=&quot;00663FF8&quot;/&gt;&lt;wsp:rsid wsp:val=&quot;00664239&quot;/&gt;&lt;wsp:rsid wsp:val=&quot;006642D3&quot;/&gt;&lt;wsp:rsid wsp:val=&quot;006648F8&quot;/&gt;&lt;wsp:rsid wsp:val=&quot;00664930&quot;/&gt;&lt;wsp:rsid wsp:val=&quot;00664A22&quot;/&gt;&lt;wsp:rsid wsp:val=&quot;00664AF8&quot;/&gt;&lt;wsp:rsid wsp:val=&quot;00665012&quot;/&gt;&lt;wsp:rsid wsp:val=&quot;006651FC&quot;/&gt;&lt;wsp:rsid wsp:val=&quot;00665343&quot;/&gt;&lt;wsp:rsid wsp:val=&quot;006655AD&quot;/&gt;&lt;wsp:rsid wsp:val=&quot;006659B7&quot;/&gt;&lt;wsp:rsid wsp:val=&quot;00665B99&quot;/&gt;&lt;wsp:rsid wsp:val=&quot;00666106&quot;/&gt;&lt;wsp:rsid wsp:val=&quot;006662AF&quot;/&gt;&lt;wsp:rsid wsp:val=&quot;0066679D&quot;/&gt;&lt;wsp:rsid wsp:val=&quot;00666B4F&quot;/&gt;&lt;wsp:rsid wsp:val=&quot;00666FA8&quot;/&gt;&lt;wsp:rsid wsp:val=&quot;00667403&quot;/&gt;&lt;wsp:rsid wsp:val=&quot;0066746B&quot;/&gt;&lt;wsp:rsid wsp:val=&quot;006676C5&quot;/&gt;&lt;wsp:rsid wsp:val=&quot;00667AA9&quot;/&gt;&lt;wsp:rsid wsp:val=&quot;00670520&quot;/&gt;&lt;wsp:rsid wsp:val=&quot;006706ED&quot;/&gt;&lt;wsp:rsid wsp:val=&quot;00670865&quot;/&gt;&lt;wsp:rsid wsp:val=&quot;006709EE&quot;/&gt;&lt;wsp:rsid wsp:val=&quot;00670FD3&quot;/&gt;&lt;wsp:rsid wsp:val=&quot;006711C3&quot;/&gt;&lt;wsp:rsid wsp:val=&quot;006714A8&quot;/&gt;&lt;wsp:rsid wsp:val=&quot;006715FA&quot;/&gt;&lt;wsp:rsid wsp:val=&quot;006717A7&quot;/&gt;&lt;wsp:rsid wsp:val=&quot;00671BEC&quot;/&gt;&lt;wsp:rsid wsp:val=&quot;00671C9B&quot;/&gt;&lt;wsp:rsid wsp:val=&quot;00671D4A&quot;/&gt;&lt;wsp:rsid wsp:val=&quot;00672310&quot;/&gt;&lt;wsp:rsid wsp:val=&quot;006723C1&quot;/&gt;&lt;wsp:rsid wsp:val=&quot;006726C5&quot;/&gt;&lt;wsp:rsid wsp:val=&quot;006728DA&quot;/&gt;&lt;wsp:rsid wsp:val=&quot;00672995&quot;/&gt;&lt;wsp:rsid wsp:val=&quot;00672ADD&quot;/&gt;&lt;wsp:rsid wsp:val=&quot;00672BA9&quot;/&gt;&lt;wsp:rsid wsp:val=&quot;00672CCB&quot;/&gt;&lt;wsp:rsid wsp:val=&quot;00672CF8&quot;/&gt;&lt;wsp:rsid wsp:val=&quot;00673040&quot;/&gt;&lt;wsp:rsid wsp:val=&quot;00673567&quot;/&gt;&lt;wsp:rsid wsp:val=&quot;00673DF6&quot;/&gt;&lt;wsp:rsid wsp:val=&quot;00673E3B&quot;/&gt;&lt;wsp:rsid wsp:val=&quot;00673EFD&quot;/&gt;&lt;wsp:rsid wsp:val=&quot;006741C6&quot;/&gt;&lt;wsp:rsid wsp:val=&quot;006742EE&quot;/&gt;&lt;wsp:rsid wsp:val=&quot;006746B9&quot;/&gt;&lt;wsp:rsid wsp:val=&quot;006746BC&quot;/&gt;&lt;wsp:rsid wsp:val=&quot;0067497C&quot;/&gt;&lt;wsp:rsid wsp:val=&quot;006749ED&quot;/&gt;&lt;wsp:rsid wsp:val=&quot;0067515D&quot;/&gt;&lt;wsp:rsid wsp:val=&quot;0067517C&quot;/&gt;&lt;wsp:rsid wsp:val=&quot;0067575D&quot;/&gt;&lt;wsp:rsid wsp:val=&quot;00675FE0&quot;/&gt;&lt;wsp:rsid wsp:val=&quot;00676050&quot;/&gt;&lt;wsp:rsid wsp:val=&quot;006763A3&quot;/&gt;&lt;wsp:rsid wsp:val=&quot;00676663&quot;/&gt;&lt;wsp:rsid wsp:val=&quot;006766B7&quot;/&gt;&lt;wsp:rsid wsp:val=&quot;006768A4&quot;/&gt;&lt;wsp:rsid wsp:val=&quot;00676C34&quot;/&gt;&lt;wsp:rsid wsp:val=&quot;00676E60&quot;/&gt;&lt;wsp:rsid wsp:val=&quot;00677122&quot;/&gt;&lt;wsp:rsid wsp:val=&quot;0067743C&quot;/&gt;&lt;wsp:rsid wsp:val=&quot;006779D8&quot;/&gt;&lt;wsp:rsid wsp:val=&quot;00677A34&quot;/&gt;&lt;wsp:rsid wsp:val=&quot;00677B37&quot;/&gt;&lt;wsp:rsid wsp:val=&quot;00677DEB&quot;/&gt;&lt;wsp:rsid wsp:val=&quot;00680488&quot;/&gt;&lt;wsp:rsid wsp:val=&quot;00680574&quot;/&gt;&lt;wsp:rsid wsp:val=&quot;006805C0&quot;/&gt;&lt;wsp:rsid wsp:val=&quot;00680663&quot;/&gt;&lt;wsp:rsid wsp:val=&quot;00680F3C&quot;/&gt;&lt;wsp:rsid wsp:val=&quot;0068127D&quot;/&gt;&lt;wsp:rsid wsp:val=&quot;00681DBF&quot;/&gt;&lt;wsp:rsid wsp:val=&quot;00682184&quot;/&gt;&lt;wsp:rsid wsp:val=&quot;006829F2&quot;/&gt;&lt;wsp:rsid wsp:val=&quot;0068310B&quot;/&gt;&lt;wsp:rsid wsp:val=&quot;00683281&quot;/&gt;&lt;wsp:rsid wsp:val=&quot;0068357D&quot;/&gt;&lt;wsp:rsid wsp:val=&quot;006835C7&quot;/&gt;&lt;wsp:rsid wsp:val=&quot;00683A27&quot;/&gt;&lt;wsp:rsid wsp:val=&quot;00683AB8&quot;/&gt;&lt;wsp:rsid wsp:val=&quot;00684040&quot;/&gt;&lt;wsp:rsid wsp:val=&quot;0068404B&quot;/&gt;&lt;wsp:rsid wsp:val=&quot;0068405C&quot;/&gt;&lt;wsp:rsid wsp:val=&quot;006841EF&quot;/&gt;&lt;wsp:rsid wsp:val=&quot;006843AB&quot;/&gt;&lt;wsp:rsid wsp:val=&quot;0068457A&quot;/&gt;&lt;wsp:rsid wsp:val=&quot;0068460D&quot;/&gt;&lt;wsp:rsid wsp:val=&quot;0068515F&quot;/&gt;&lt;wsp:rsid wsp:val=&quot;00685188&quot;/&gt;&lt;wsp:rsid wsp:val=&quot;006858CE&quot;/&gt;&lt;wsp:rsid wsp:val=&quot;006859F6&quot;/&gt;&lt;wsp:rsid wsp:val=&quot;00685E06&quot;/&gt;&lt;wsp:rsid wsp:val=&quot;00686281&quot;/&gt;&lt;wsp:rsid wsp:val=&quot;006862C0&quot;/&gt;&lt;wsp:rsid wsp:val=&quot;006862CD&quot;/&gt;&lt;wsp:rsid wsp:val=&quot;00686434&quot;/&gt;&lt;wsp:rsid wsp:val=&quot;00686967&quot;/&gt;&lt;wsp:rsid wsp:val=&quot;00686DF4&quot;/&gt;&lt;wsp:rsid wsp:val=&quot;00686EE2&quot;/&gt;&lt;wsp:rsid wsp:val=&quot;006872CF&quot;/&gt;&lt;wsp:rsid wsp:val=&quot;00687A8A&quot;/&gt;&lt;wsp:rsid wsp:val=&quot;00687BB3&quot;/&gt;&lt;wsp:rsid wsp:val=&quot;00687DDA&quot;/&gt;&lt;wsp:rsid wsp:val=&quot;00687F39&quot;/&gt;&lt;wsp:rsid wsp:val=&quot;006903A9&quot;/&gt;&lt;wsp:rsid wsp:val=&quot;00690466&quot;/&gt;&lt;wsp:rsid wsp:val=&quot;00690684&quot;/&gt;&lt;wsp:rsid wsp:val=&quot;00690D12&quot;/&gt;&lt;wsp:rsid wsp:val=&quot;00691069&quot;/&gt;&lt;wsp:rsid wsp:val=&quot;00691498&quot;/&gt;&lt;wsp:rsid wsp:val=&quot;0069193D&quot;/&gt;&lt;wsp:rsid wsp:val=&quot;00691A80&quot;/&gt;&lt;wsp:rsid wsp:val=&quot;00692016&quot;/&gt;&lt;wsp:rsid wsp:val=&quot;006922A3&quot;/&gt;&lt;wsp:rsid wsp:val=&quot;00692E59&quot;/&gt;&lt;wsp:rsid wsp:val=&quot;0069309E&quot;/&gt;&lt;wsp:rsid wsp:val=&quot;006930A2&quot;/&gt;&lt;wsp:rsid wsp:val=&quot;0069351F&quot;/&gt;&lt;wsp:rsid wsp:val=&quot;00693AD5&quot;/&gt;&lt;wsp:rsid wsp:val=&quot;00693C5D&quot;/&gt;&lt;wsp:rsid wsp:val=&quot;00694C29&quot;/&gt;&lt;wsp:rsid wsp:val=&quot;00695015&quot;/&gt;&lt;wsp:rsid wsp:val=&quot;00695334&quot;/&gt;&lt;wsp:rsid wsp:val=&quot;00695491&quot;/&gt;&lt;wsp:rsid wsp:val=&quot;006955E6&quot;/&gt;&lt;wsp:rsid wsp:val=&quot;00695B0C&quot;/&gt;&lt;wsp:rsid wsp:val=&quot;00695F3C&quot;/&gt;&lt;wsp:rsid wsp:val=&quot;0069625B&quot;/&gt;&lt;wsp:rsid wsp:val=&quot;00696525&quot;/&gt;&lt;wsp:rsid wsp:val=&quot;00696657&quot;/&gt;&lt;wsp:rsid wsp:val=&quot;006966BB&quot;/&gt;&lt;wsp:rsid wsp:val=&quot;00696F99&quot;/&gt;&lt;wsp:rsid wsp:val=&quot;00697280&quot;/&gt;&lt;wsp:rsid wsp:val=&quot;00697553&quot;/&gt;&lt;wsp:rsid wsp:val=&quot;00697731&quot;/&gt;&lt;wsp:rsid wsp:val=&quot;00697D69&quot;/&gt;&lt;wsp:rsid wsp:val=&quot;006A07B0&quot;/&gt;&lt;wsp:rsid wsp:val=&quot;006A0B33&quot;/&gt;&lt;wsp:rsid wsp:val=&quot;006A0D22&quot;/&gt;&lt;wsp:rsid wsp:val=&quot;006A0EE8&quot;/&gt;&lt;wsp:rsid wsp:val=&quot;006A10FD&quot;/&gt;&lt;wsp:rsid wsp:val=&quot;006A154A&quot;/&gt;&lt;wsp:rsid wsp:val=&quot;006A183A&quot;/&gt;&lt;wsp:rsid wsp:val=&quot;006A1BD3&quot;/&gt;&lt;wsp:rsid wsp:val=&quot;006A1F30&quot;/&gt;&lt;wsp:rsid wsp:val=&quot;006A1FCF&quot;/&gt;&lt;wsp:rsid wsp:val=&quot;006A24BD&quot;/&gt;&lt;wsp:rsid wsp:val=&quot;006A2538&quot;/&gt;&lt;wsp:rsid wsp:val=&quot;006A275F&quot;/&gt;&lt;wsp:rsid wsp:val=&quot;006A27D9&quot;/&gt;&lt;wsp:rsid wsp:val=&quot;006A2A5E&quot;/&gt;&lt;wsp:rsid wsp:val=&quot;006A2E58&quot;/&gt;&lt;wsp:rsid wsp:val=&quot;006A2E8D&quot;/&gt;&lt;wsp:rsid wsp:val=&quot;006A3080&quot;/&gt;&lt;wsp:rsid wsp:val=&quot;006A30B7&quot;/&gt;&lt;wsp:rsid wsp:val=&quot;006A3443&quot;/&gt;&lt;wsp:rsid wsp:val=&quot;006A350D&quot;/&gt;&lt;wsp:rsid wsp:val=&quot;006A376F&quot;/&gt;&lt;wsp:rsid wsp:val=&quot;006A3796&quot;/&gt;&lt;wsp:rsid wsp:val=&quot;006A37EF&quot;/&gt;&lt;wsp:rsid wsp:val=&quot;006A3D61&quot;/&gt;&lt;wsp:rsid wsp:val=&quot;006A3D77&quot;/&gt;&lt;wsp:rsid wsp:val=&quot;006A4B64&quot;/&gt;&lt;wsp:rsid wsp:val=&quot;006A4D14&quot;/&gt;&lt;wsp:rsid wsp:val=&quot;006A4E62&quot;/&gt;&lt;wsp:rsid wsp:val=&quot;006A4EB8&quot;/&gt;&lt;wsp:rsid wsp:val=&quot;006A4F4B&quot;/&gt;&lt;wsp:rsid wsp:val=&quot;006A5004&quot;/&gt;&lt;wsp:rsid wsp:val=&quot;006A53B7&quot;/&gt;&lt;wsp:rsid wsp:val=&quot;006A53F0&quot;/&gt;&lt;wsp:rsid wsp:val=&quot;006A5469&quot;/&gt;&lt;wsp:rsid wsp:val=&quot;006A58AA&quot;/&gt;&lt;wsp:rsid wsp:val=&quot;006A6045&quot;/&gt;&lt;wsp:rsid wsp:val=&quot;006A60ED&quot;/&gt;&lt;wsp:rsid wsp:val=&quot;006A68A8&quot;/&gt;&lt;wsp:rsid wsp:val=&quot;006A6A47&quot;/&gt;&lt;wsp:rsid wsp:val=&quot;006A6E30&quot;/&gt;&lt;wsp:rsid wsp:val=&quot;006A6FDC&quot;/&gt;&lt;wsp:rsid wsp:val=&quot;006A706A&quot;/&gt;&lt;wsp:rsid wsp:val=&quot;006A70D8&quot;/&gt;&lt;wsp:rsid wsp:val=&quot;006A76ED&quot;/&gt;&lt;wsp:rsid wsp:val=&quot;006A77CF&quot;/&gt;&lt;wsp:rsid wsp:val=&quot;006A7DEC&quot;/&gt;&lt;wsp:rsid wsp:val=&quot;006B02DE&quot;/&gt;&lt;wsp:rsid wsp:val=&quot;006B034F&quot;/&gt;&lt;wsp:rsid wsp:val=&quot;006B038A&quot;/&gt;&lt;wsp:rsid wsp:val=&quot;006B0F8C&quot;/&gt;&lt;wsp:rsid wsp:val=&quot;006B0FC1&quot;/&gt;&lt;wsp:rsid wsp:val=&quot;006B10BC&quot;/&gt;&lt;wsp:rsid wsp:val=&quot;006B13A5&quot;/&gt;&lt;wsp:rsid wsp:val=&quot;006B18F3&quot;/&gt;&lt;wsp:rsid wsp:val=&quot;006B1927&quot;/&gt;&lt;wsp:rsid wsp:val=&quot;006B1FBD&quot;/&gt;&lt;wsp:rsid wsp:val=&quot;006B259B&quot;/&gt;&lt;wsp:rsid wsp:val=&quot;006B2A8B&quot;/&gt;&lt;wsp:rsid wsp:val=&quot;006B2F9E&quot;/&gt;&lt;wsp:rsid wsp:val=&quot;006B322F&quot;/&gt;&lt;wsp:rsid wsp:val=&quot;006B33D4&quot;/&gt;&lt;wsp:rsid wsp:val=&quot;006B373C&quot;/&gt;&lt;wsp:rsid wsp:val=&quot;006B376E&quot;/&gt;&lt;wsp:rsid wsp:val=&quot;006B3792&quot;/&gt;&lt;wsp:rsid wsp:val=&quot;006B40BB&quot;/&gt;&lt;wsp:rsid wsp:val=&quot;006B40EE&quot;/&gt;&lt;wsp:rsid wsp:val=&quot;006B44A3&quot;/&gt;&lt;wsp:rsid wsp:val=&quot;006B474C&quot;/&gt;&lt;wsp:rsid wsp:val=&quot;006B49F4&quot;/&gt;&lt;wsp:rsid wsp:val=&quot;006B4AB7&quot;/&gt;&lt;wsp:rsid wsp:val=&quot;006B5043&quot;/&gt;&lt;wsp:rsid wsp:val=&quot;006B51AE&quot;/&gt;&lt;wsp:rsid wsp:val=&quot;006B530D&quot;/&gt;&lt;wsp:rsid wsp:val=&quot;006B53EE&quot;/&gt;&lt;wsp:rsid wsp:val=&quot;006B54D5&quot;/&gt;&lt;wsp:rsid wsp:val=&quot;006B595C&quot;/&gt;&lt;wsp:rsid wsp:val=&quot;006B5B02&quot;/&gt;&lt;wsp:rsid wsp:val=&quot;006B5B3E&quot;/&gt;&lt;wsp:rsid wsp:val=&quot;006B6138&quot;/&gt;&lt;wsp:rsid wsp:val=&quot;006B660F&quot;/&gt;&lt;wsp:rsid wsp:val=&quot;006B67A5&quot;/&gt;&lt;wsp:rsid wsp:val=&quot;006B69B9&quot;/&gt;&lt;wsp:rsid wsp:val=&quot;006B6A63&quot;/&gt;&lt;wsp:rsid wsp:val=&quot;006B6C85&quot;/&gt;&lt;wsp:rsid wsp:val=&quot;006B6ECE&quot;/&gt;&lt;wsp:rsid wsp:val=&quot;006B6F30&quot;/&gt;&lt;wsp:rsid wsp:val=&quot;006B76FD&quot;/&gt;&lt;wsp:rsid wsp:val=&quot;006B7AD4&quot;/&gt;&lt;wsp:rsid wsp:val=&quot;006C00BF&quot;/&gt;&lt;wsp:rsid wsp:val=&quot;006C0191&quot;/&gt;&lt;wsp:rsid wsp:val=&quot;006C01B1&quot;/&gt;&lt;wsp:rsid wsp:val=&quot;006C05C4&quot;/&gt;&lt;wsp:rsid wsp:val=&quot;006C062C&quot;/&gt;&lt;wsp:rsid wsp:val=&quot;006C0771&quot;/&gt;&lt;wsp:rsid wsp:val=&quot;006C1095&quot;/&gt;&lt;wsp:rsid wsp:val=&quot;006C12C6&quot;/&gt;&lt;wsp:rsid wsp:val=&quot;006C1522&quot;/&gt;&lt;wsp:rsid wsp:val=&quot;006C1ECD&quot;/&gt;&lt;wsp:rsid wsp:val=&quot;006C20A0&quot;/&gt;&lt;wsp:rsid wsp:val=&quot;006C2549&quot;/&gt;&lt;wsp:rsid wsp:val=&quot;006C254F&quot;/&gt;&lt;wsp:rsid wsp:val=&quot;006C2893&quot;/&gt;&lt;wsp:rsid wsp:val=&quot;006C2AA7&quot;/&gt;&lt;wsp:rsid wsp:val=&quot;006C2BEC&quot;/&gt;&lt;wsp:rsid wsp:val=&quot;006C33CE&quot;/&gt;&lt;wsp:rsid wsp:val=&quot;006C357C&quot;/&gt;&lt;wsp:rsid wsp:val=&quot;006C361E&quot;/&gt;&lt;wsp:rsid wsp:val=&quot;006C3ED3&quot;/&gt;&lt;wsp:rsid wsp:val=&quot;006C5141&quot;/&gt;&lt;wsp:rsid wsp:val=&quot;006C5191&quot;/&gt;&lt;wsp:rsid wsp:val=&quot;006C5F7C&quot;/&gt;&lt;wsp:rsid wsp:val=&quot;006C6093&quot;/&gt;&lt;wsp:rsid wsp:val=&quot;006C669D&quot;/&gt;&lt;wsp:rsid wsp:val=&quot;006C6EC7&quot;/&gt;&lt;wsp:rsid wsp:val=&quot;006C77A2&quot;/&gt;&lt;wsp:rsid wsp:val=&quot;006C7ABE&quot;/&gt;&lt;wsp:rsid wsp:val=&quot;006C7C3B&quot;/&gt;&lt;wsp:rsid wsp:val=&quot;006D0013&quot;/&gt;&lt;wsp:rsid wsp:val=&quot;006D081C&quot;/&gt;&lt;wsp:rsid wsp:val=&quot;006D15EF&quot;/&gt;&lt;wsp:rsid wsp:val=&quot;006D1757&quot;/&gt;&lt;wsp:rsid wsp:val=&quot;006D1C73&quot;/&gt;&lt;wsp:rsid wsp:val=&quot;006D1E4A&quot;/&gt;&lt;wsp:rsid wsp:val=&quot;006D209C&quot;/&gt;&lt;wsp:rsid wsp:val=&quot;006D226C&quot;/&gt;&lt;wsp:rsid wsp:val=&quot;006D26AD&quot;/&gt;&lt;wsp:rsid wsp:val=&quot;006D2947&quot;/&gt;&lt;wsp:rsid wsp:val=&quot;006D2A72&quot;/&gt;&lt;wsp:rsid wsp:val=&quot;006D2A7F&quot;/&gt;&lt;wsp:rsid wsp:val=&quot;006D2B78&quot;/&gt;&lt;wsp:rsid wsp:val=&quot;006D2E52&quot;/&gt;&lt;wsp:rsid wsp:val=&quot;006D36E8&quot;/&gt;&lt;wsp:rsid wsp:val=&quot;006D3E7D&quot;/&gt;&lt;wsp:rsid wsp:val=&quot;006D3F95&quot;/&gt;&lt;wsp:rsid wsp:val=&quot;006D410B&quot;/&gt;&lt;wsp:rsid wsp:val=&quot;006D43AB&quot;/&gt;&lt;wsp:rsid wsp:val=&quot;006D4695&quot;/&gt;&lt;wsp:rsid wsp:val=&quot;006D4746&quot;/&gt;&lt;wsp:rsid wsp:val=&quot;006D54A3&quot;/&gt;&lt;wsp:rsid wsp:val=&quot;006D54E8&quot;/&gt;&lt;wsp:rsid wsp:val=&quot;006D636C&quot;/&gt;&lt;wsp:rsid wsp:val=&quot;006D63D7&quot;/&gt;&lt;wsp:rsid wsp:val=&quot;006D685E&quot;/&gt;&lt;wsp:rsid wsp:val=&quot;006D68DB&quot;/&gt;&lt;wsp:rsid wsp:val=&quot;006D6A1E&quot;/&gt;&lt;wsp:rsid wsp:val=&quot;006D6C69&quot;/&gt;&lt;wsp:rsid wsp:val=&quot;006D6D66&quot;/&gt;&lt;wsp:rsid wsp:val=&quot;006D6EB7&quot;/&gt;&lt;wsp:rsid wsp:val=&quot;006D7689&quot;/&gt;&lt;wsp:rsid wsp:val=&quot;006E0634&quot;/&gt;&lt;wsp:rsid wsp:val=&quot;006E086C&quot;/&gt;&lt;wsp:rsid wsp:val=&quot;006E180D&quot;/&gt;&lt;wsp:rsid wsp:val=&quot;006E18EA&quot;/&gt;&lt;wsp:rsid wsp:val=&quot;006E1DFB&quot;/&gt;&lt;wsp:rsid wsp:val=&quot;006E1E8E&quot;/&gt;&lt;wsp:rsid wsp:val=&quot;006E26A7&quot;/&gt;&lt;wsp:rsid wsp:val=&quot;006E2832&quot;/&gt;&lt;wsp:rsid wsp:val=&quot;006E2EA0&quot;/&gt;&lt;wsp:rsid wsp:val=&quot;006E311D&quot;/&gt;&lt;wsp:rsid wsp:val=&quot;006E320C&quot;/&gt;&lt;wsp:rsid wsp:val=&quot;006E3245&quot;/&gt;&lt;wsp:rsid wsp:val=&quot;006E33A2&quot;/&gt;&lt;wsp:rsid wsp:val=&quot;006E35DA&quot;/&gt;&lt;wsp:rsid wsp:val=&quot;006E371D&quot;/&gt;&lt;wsp:rsid wsp:val=&quot;006E39D3&quot;/&gt;&lt;wsp:rsid wsp:val=&quot;006E3A49&quot;/&gt;&lt;wsp:rsid wsp:val=&quot;006E3C78&quot;/&gt;&lt;wsp:rsid wsp:val=&quot;006E41FB&quot;/&gt;&lt;wsp:rsid wsp:val=&quot;006E4295&quot;/&gt;&lt;wsp:rsid wsp:val=&quot;006E439A&quot;/&gt;&lt;wsp:rsid wsp:val=&quot;006E4844&quot;/&gt;&lt;wsp:rsid wsp:val=&quot;006E4B63&quot;/&gt;&lt;wsp:rsid wsp:val=&quot;006E4CD3&quot;/&gt;&lt;wsp:rsid wsp:val=&quot;006E4F57&quot;/&gt;&lt;wsp:rsid wsp:val=&quot;006E521E&quot;/&gt;&lt;wsp:rsid wsp:val=&quot;006E54C7&quot;/&gt;&lt;wsp:rsid wsp:val=&quot;006E58C0&quot;/&gt;&lt;wsp:rsid wsp:val=&quot;006E5A2F&quot;/&gt;&lt;wsp:rsid wsp:val=&quot;006E5A89&quot;/&gt;&lt;wsp:rsid wsp:val=&quot;006E5C7C&quot;/&gt;&lt;wsp:rsid wsp:val=&quot;006E5D25&quot;/&gt;&lt;wsp:rsid wsp:val=&quot;006E5D9B&quot;/&gt;&lt;wsp:rsid wsp:val=&quot;006E6D4F&quot;/&gt;&lt;wsp:rsid wsp:val=&quot;006E6D51&quot;/&gt;&lt;wsp:rsid wsp:val=&quot;006E6E20&quot;/&gt;&lt;wsp:rsid wsp:val=&quot;006E6E2A&quot;/&gt;&lt;wsp:rsid wsp:val=&quot;006E7567&quot;/&gt;&lt;wsp:rsid wsp:val=&quot;006F00AE&quot;/&gt;&lt;wsp:rsid wsp:val=&quot;006F07E7&quot;/&gt;&lt;wsp:rsid wsp:val=&quot;006F07E8&quot;/&gt;&lt;wsp:rsid wsp:val=&quot;006F0B29&quot;/&gt;&lt;wsp:rsid wsp:val=&quot;006F0BB2&quot;/&gt;&lt;wsp:rsid wsp:val=&quot;006F1257&quot;/&gt;&lt;wsp:rsid wsp:val=&quot;006F130F&quot;/&gt;&lt;wsp:rsid wsp:val=&quot;006F1669&quot;/&gt;&lt;wsp:rsid wsp:val=&quot;006F1828&quot;/&gt;&lt;wsp:rsid wsp:val=&quot;006F18DE&quot;/&gt;&lt;wsp:rsid wsp:val=&quot;006F1C57&quot;/&gt;&lt;wsp:rsid wsp:val=&quot;006F1E5F&quot;/&gt;&lt;wsp:rsid wsp:val=&quot;006F2839&quot;/&gt;&lt;wsp:rsid wsp:val=&quot;006F291C&quot;/&gt;&lt;wsp:rsid wsp:val=&quot;006F2D5F&quot;/&gt;&lt;wsp:rsid wsp:val=&quot;006F3637&quot;/&gt;&lt;wsp:rsid wsp:val=&quot;006F4419&quot;/&gt;&lt;wsp:rsid wsp:val=&quot;006F4495&quot;/&gt;&lt;wsp:rsid wsp:val=&quot;006F4E97&quot;/&gt;&lt;wsp:rsid wsp:val=&quot;006F5710&quot;/&gt;&lt;wsp:rsid wsp:val=&quot;006F5796&quot;/&gt;&lt;wsp:rsid wsp:val=&quot;006F5A23&quot;/&gt;&lt;wsp:rsid wsp:val=&quot;006F5D32&quot;/&gt;&lt;wsp:rsid wsp:val=&quot;006F5E6B&quot;/&gt;&lt;wsp:rsid wsp:val=&quot;006F5F7E&quot;/&gt;&lt;wsp:rsid wsp:val=&quot;006F61A7&quot;/&gt;&lt;wsp:rsid wsp:val=&quot;006F66DD&quot;/&gt;&lt;wsp:rsid wsp:val=&quot;006F6F6C&quot;/&gt;&lt;wsp:rsid wsp:val=&quot;006F74DE&quot;/&gt;&lt;wsp:rsid wsp:val=&quot;006F769C&quot;/&gt;&lt;wsp:rsid wsp:val=&quot;006F7778&quot;/&gt;&lt;wsp:rsid wsp:val=&quot;006F7CA7&quot;/&gt;&lt;wsp:rsid wsp:val=&quot;00700907&quot;/&gt;&lt;wsp:rsid wsp:val=&quot;00700C00&quot;/&gt;&lt;wsp:rsid wsp:val=&quot;00700D1A&quot;/&gt;&lt;wsp:rsid wsp:val=&quot;007013F4&quot;/&gt;&lt;wsp:rsid wsp:val=&quot;00701714&quot;/&gt;&lt;wsp:rsid wsp:val=&quot;007017F4&quot;/&gt;&lt;wsp:rsid wsp:val=&quot;00701BD4&quot;/&gt;&lt;wsp:rsid wsp:val=&quot;00701E52&quot;/&gt;&lt;wsp:rsid wsp:val=&quot;007020AC&quot;/&gt;&lt;wsp:rsid wsp:val=&quot;007027F1&quot;/&gt;&lt;wsp:rsid wsp:val=&quot;00702D57&quot;/&gt;&lt;wsp:rsid wsp:val=&quot;00702EDD&quot;/&gt;&lt;wsp:rsid wsp:val=&quot;00703226&quot;/&gt;&lt;wsp:rsid wsp:val=&quot;00703705&quot;/&gt;&lt;wsp:rsid wsp:val=&quot;0070387D&quot;/&gt;&lt;wsp:rsid wsp:val=&quot;00703A1B&quot;/&gt;&lt;wsp:rsid wsp:val=&quot;0070411E&quot;/&gt;&lt;wsp:rsid wsp:val=&quot;007042E0&quot;/&gt;&lt;wsp:rsid wsp:val=&quot;007044B9&quot;/&gt;&lt;wsp:rsid wsp:val=&quot;00704D54&quot;/&gt;&lt;wsp:rsid wsp:val=&quot;00705021&quot;/&gt;&lt;wsp:rsid wsp:val=&quot;007051F7&quot;/&gt;&lt;wsp:rsid wsp:val=&quot;00705341&quot;/&gt;&lt;wsp:rsid wsp:val=&quot;0070545F&quot;/&gt;&lt;wsp:rsid wsp:val=&quot;00705FC5&quot;/&gt;&lt;wsp:rsid wsp:val=&quot;00705FD4&quot;/&gt;&lt;wsp:rsid wsp:val=&quot;0070670F&quot;/&gt;&lt;wsp:rsid wsp:val=&quot;00707129&quot;/&gt;&lt;wsp:rsid wsp:val=&quot;007075A4&quot;/&gt;&lt;wsp:rsid wsp:val=&quot;00707623&quot;/&gt;&lt;wsp:rsid wsp:val=&quot;00707C79&quot;/&gt;&lt;wsp:rsid wsp:val=&quot;00707E25&quot;/&gt;&lt;wsp:rsid wsp:val=&quot;00707F4F&quot;/&gt;&lt;wsp:rsid wsp:val=&quot;00710A6A&quot;/&gt;&lt;wsp:rsid wsp:val=&quot;00710BE7&quot;/&gt;&lt;wsp:rsid wsp:val=&quot;00711A58&quot;/&gt;&lt;wsp:rsid wsp:val=&quot;00711BB1&quot;/&gt;&lt;wsp:rsid wsp:val=&quot;00712131&quot;/&gt;&lt;wsp:rsid wsp:val=&quot;007125C5&quot;/&gt;&lt;wsp:rsid wsp:val=&quot;007126F3&quot;/&gt;&lt;wsp:rsid wsp:val=&quot;00712CF5&quot;/&gt;&lt;wsp:rsid wsp:val=&quot;007133A4&quot;/&gt;&lt;wsp:rsid wsp:val=&quot;00713762&quot;/&gt;&lt;wsp:rsid wsp:val=&quot;00713A6C&quot;/&gt;&lt;wsp:rsid wsp:val=&quot;00714097&quot;/&gt;&lt;wsp:rsid wsp:val=&quot;007144E2&quot;/&gt;&lt;wsp:rsid wsp:val=&quot;007145A0&quot;/&gt;&lt;wsp:rsid wsp:val=&quot;00714960&quot;/&gt;&lt;wsp:rsid wsp:val=&quot;00714B14&quot;/&gt;&lt;wsp:rsid wsp:val=&quot;00714B81&quot;/&gt;&lt;wsp:rsid wsp:val=&quot;00714BC7&quot;/&gt;&lt;wsp:rsid wsp:val=&quot;00714D74&quot;/&gt;&lt;wsp:rsid wsp:val=&quot;007153E9&quot;/&gt;&lt;wsp:rsid wsp:val=&quot;007156FA&quot;/&gt;&lt;wsp:rsid wsp:val=&quot;007159BC&quot;/&gt;&lt;wsp:rsid wsp:val=&quot;007159D5&quot;/&gt;&lt;wsp:rsid wsp:val=&quot;00715DCF&quot;/&gt;&lt;wsp:rsid wsp:val=&quot;00715E2C&quot;/&gt;&lt;wsp:rsid wsp:val=&quot;00715E71&quot;/&gt;&lt;wsp:rsid wsp:val=&quot;00716358&quot;/&gt;&lt;wsp:rsid wsp:val=&quot;00716B47&quot;/&gt;&lt;wsp:rsid wsp:val=&quot;00716E9F&quot;/&gt;&lt;wsp:rsid wsp:val=&quot;007170C2&quot;/&gt;&lt;wsp:rsid wsp:val=&quot;0071733E&quot;/&gt;&lt;wsp:rsid wsp:val=&quot;00717779&quot;/&gt;&lt;wsp:rsid wsp:val=&quot;00717848&quot;/&gt;&lt;wsp:rsid wsp:val=&quot;00717D5F&quot;/&gt;&lt;wsp:rsid wsp:val=&quot;00717EFA&quot;/&gt;&lt;wsp:rsid wsp:val=&quot;00720301&quot;/&gt;&lt;wsp:rsid wsp:val=&quot;0072051C&quot;/&gt;&lt;wsp:rsid wsp:val=&quot;00720AAA&quot;/&gt;&lt;wsp:rsid wsp:val=&quot;00720D20&quot;/&gt;&lt;wsp:rsid wsp:val=&quot;00720E75&quot;/&gt;&lt;wsp:rsid wsp:val=&quot;00720ECB&quot;/&gt;&lt;wsp:rsid wsp:val=&quot;00720F71&quot;/&gt;&lt;wsp:rsid wsp:val=&quot;00721566&quot;/&gt;&lt;wsp:rsid wsp:val=&quot;00721717&quot;/&gt;&lt;wsp:rsid wsp:val=&quot;007218D9&quot;/&gt;&lt;wsp:rsid wsp:val=&quot;00721DC7&quot;/&gt;&lt;wsp:rsid wsp:val=&quot;0072220F&quot;/&gt;&lt;wsp:rsid wsp:val=&quot;00722AB5&quot;/&gt;&lt;wsp:rsid wsp:val=&quot;00722BBE&quot;/&gt;&lt;wsp:rsid wsp:val=&quot;00722C32&quot;/&gt;&lt;wsp:rsid wsp:val=&quot;00722CA8&quot;/&gt;&lt;wsp:rsid wsp:val=&quot;00723034&quot;/&gt;&lt;wsp:rsid wsp:val=&quot;007231FF&quot;/&gt;&lt;wsp:rsid wsp:val=&quot;00723360&quot;/&gt;&lt;wsp:rsid wsp:val=&quot;007234D9&quot;/&gt;&lt;wsp:rsid wsp:val=&quot;00723698&quot;/&gt;&lt;wsp:rsid wsp:val=&quot;00723858&quot;/&gt;&lt;wsp:rsid wsp:val=&quot;00723DB1&quot;/&gt;&lt;wsp:rsid wsp:val=&quot;00724343&quot;/&gt;&lt;wsp:rsid wsp:val=&quot;007247BE&quot;/&gt;&lt;wsp:rsid wsp:val=&quot;007248AD&quot;/&gt;&lt;wsp:rsid wsp:val=&quot;00724F79&quot;/&gt;&lt;wsp:rsid wsp:val=&quot;00725728&quot;/&gt;&lt;wsp:rsid wsp:val=&quot;007258DE&quot;/&gt;&lt;wsp:rsid wsp:val=&quot;00725C8F&quot;/&gt;&lt;wsp:rsid wsp:val=&quot;00725CB7&quot;/&gt;&lt;wsp:rsid wsp:val=&quot;00726540&quot;/&gt;&lt;wsp:rsid wsp:val=&quot;00726643&quot;/&gt;&lt;wsp:rsid wsp:val=&quot;00726775&quot;/&gt;&lt;wsp:rsid wsp:val=&quot;00726832&quot;/&gt;&lt;wsp:rsid wsp:val=&quot;00726C96&quot;/&gt;&lt;wsp:rsid wsp:val=&quot;00726DEE&quot;/&gt;&lt;wsp:rsid wsp:val=&quot;00726F22&quot;/&gt;&lt;wsp:rsid wsp:val=&quot;0072712D&quot;/&gt;&lt;wsp:rsid wsp:val=&quot;007276D4&quot;/&gt;&lt;wsp:rsid wsp:val=&quot;00727975&quot;/&gt;&lt;wsp:rsid wsp:val=&quot;00727D72&quot;/&gt;&lt;wsp:rsid wsp:val=&quot;00727E44&quot;/&gt;&lt;wsp:rsid wsp:val=&quot;0073045A&quot;/&gt;&lt;wsp:rsid wsp:val=&quot;00730487&quot;/&gt;&lt;wsp:rsid wsp:val=&quot;00730527&quot;/&gt;&lt;wsp:rsid wsp:val=&quot;00730CE2&quot;/&gt;&lt;wsp:rsid wsp:val=&quot;00731069&quot;/&gt;&lt;wsp:rsid wsp:val=&quot;0073158E&quot;/&gt;&lt;wsp:rsid wsp:val=&quot;007316AC&quot;/&gt;&lt;wsp:rsid wsp:val=&quot;00731AB7&quot;/&gt;&lt;wsp:rsid wsp:val=&quot;00731DBA&quot;/&gt;&lt;wsp:rsid wsp:val=&quot;00732375&quot;/&gt;&lt;wsp:rsid wsp:val=&quot;00732535&quot;/&gt;&lt;wsp:rsid wsp:val=&quot;007328C7&quot;/&gt;&lt;wsp:rsid wsp:val=&quot;00732A0B&quot;/&gt;&lt;wsp:rsid wsp:val=&quot;00732AA4&quot;/&gt;&lt;wsp:rsid wsp:val=&quot;00732D14&quot;/&gt;&lt;wsp:rsid wsp:val=&quot;00732ED4&quot;/&gt;&lt;wsp:rsid wsp:val=&quot;007333B4&quot;/&gt;&lt;wsp:rsid wsp:val=&quot;0073364D&quot;/&gt;&lt;wsp:rsid wsp:val=&quot;007336CF&quot;/&gt;&lt;wsp:rsid wsp:val=&quot;00733801&quot;/&gt;&lt;wsp:rsid wsp:val=&quot;00733804&quot;/&gt;&lt;wsp:rsid wsp:val=&quot;00733C32&quot;/&gt;&lt;wsp:rsid wsp:val=&quot;00733D0E&quot;/&gt;&lt;wsp:rsid wsp:val=&quot;00734556&quot;/&gt;&lt;wsp:rsid wsp:val=&quot;0073475A&quot;/&gt;&lt;wsp:rsid wsp:val=&quot;0073476E&quot;/&gt;&lt;wsp:rsid wsp:val=&quot;00734850&quot;/&gt;&lt;wsp:rsid wsp:val=&quot;00734ADF&quot;/&gt;&lt;wsp:rsid wsp:val=&quot;00734E89&quot;/&gt;&lt;wsp:rsid wsp:val=&quot;00734F23&quot;/&gt;&lt;wsp:rsid wsp:val=&quot;0073530E&quot;/&gt;&lt;wsp:rsid wsp:val=&quot;00735DB4&quot;/&gt;&lt;wsp:rsid wsp:val=&quot;00735DE3&quot;/&gt;&lt;wsp:rsid wsp:val=&quot;00736038&quot;/&gt;&lt;wsp:rsid wsp:val=&quot;007362F7&quot;/&gt;&lt;wsp:rsid wsp:val=&quot;0073654D&quot;/&gt;&lt;wsp:rsid wsp:val=&quot;007365A5&quot;/&gt;&lt;wsp:rsid wsp:val=&quot;007369BB&quot;/&gt;&lt;wsp:rsid wsp:val=&quot;007369C1&quot;/&gt;&lt;wsp:rsid wsp:val=&quot;007369D0&quot;/&gt;&lt;wsp:rsid wsp:val=&quot;00736A59&quot;/&gt;&lt;wsp:rsid wsp:val=&quot;0073718A&quot;/&gt;&lt;wsp:rsid wsp:val=&quot;007372BD&quot;/&gt;&lt;wsp:rsid wsp:val=&quot;007372F8&quot;/&gt;&lt;wsp:rsid wsp:val=&quot;007375D7&quot;/&gt;&lt;wsp:rsid wsp:val=&quot;007378B2&quot;/&gt;&lt;wsp:rsid wsp:val=&quot;007378FC&quot;/&gt;&lt;wsp:rsid wsp:val=&quot;00737A1C&quot;/&gt;&lt;wsp:rsid wsp:val=&quot;00737D10&quot;/&gt;&lt;wsp:rsid wsp:val=&quot;00737E00&quot;/&gt;&lt;wsp:rsid wsp:val=&quot;0074009A&quot;/&gt;&lt;wsp:rsid wsp:val=&quot;007401BD&quot;/&gt;&lt;wsp:rsid wsp:val=&quot;00740293&quot;/&gt;&lt;wsp:rsid wsp:val=&quot;00740509&quot;/&gt;&lt;wsp:rsid wsp:val=&quot;00740A70&quot;/&gt;&lt;wsp:rsid wsp:val=&quot;00740CF5&quot;/&gt;&lt;wsp:rsid wsp:val=&quot;007410A8&quot;/&gt;&lt;wsp:rsid wsp:val=&quot;0074117D&quot;/&gt;&lt;wsp:rsid wsp:val=&quot;0074170F&quot;/&gt;&lt;wsp:rsid wsp:val=&quot;007423C7&quot;/&gt;&lt;wsp:rsid wsp:val=&quot;00742573&quot;/&gt;&lt;wsp:rsid wsp:val=&quot;00742AE6&quot;/&gt;&lt;wsp:rsid wsp:val=&quot;00742F23&quot;/&gt;&lt;wsp:rsid wsp:val=&quot;00743205&quot;/&gt;&lt;wsp:rsid wsp:val=&quot;007432C3&quot;/&gt;&lt;wsp:rsid wsp:val=&quot;007436C2&quot;/&gt;&lt;wsp:rsid wsp:val=&quot;00743C1C&quot;/&gt;&lt;wsp:rsid wsp:val=&quot;00744224&quot;/&gt;&lt;wsp:rsid wsp:val=&quot;0074458F&quot;/&gt;&lt;wsp:rsid wsp:val=&quot;00744599&quot;/&gt;&lt;wsp:rsid wsp:val=&quot;0074542A&quot;/&gt;&lt;wsp:rsid wsp:val=&quot;007456B3&quot;/&gt;&lt;wsp:rsid wsp:val=&quot;00745A90&quot;/&gt;&lt;wsp:rsid wsp:val=&quot;00745BB5&quot;/&gt;&lt;wsp:rsid wsp:val=&quot;00745C45&quot;/&gt;&lt;wsp:rsid wsp:val=&quot;00745E43&quot;/&gt;&lt;wsp:rsid wsp:val=&quot;00745E84&quot;/&gt;&lt;wsp:rsid wsp:val=&quot;0074606C&quot;/&gt;&lt;wsp:rsid wsp:val=&quot;00746235&quot;/&gt;&lt;wsp:rsid wsp:val=&quot;007462D6&quot;/&gt;&lt;wsp:rsid wsp:val=&quot;0074641C&quot;/&gt;&lt;wsp:rsid wsp:val=&quot;00746441&quot;/&gt;&lt;wsp:rsid wsp:val=&quot;00746896&quot;/&gt;&lt;wsp:rsid wsp:val=&quot;0074697A&quot;/&gt;&lt;wsp:rsid wsp:val=&quot;00746AD9&quot;/&gt;&lt;wsp:rsid wsp:val=&quot;00747900&quot;/&gt;&lt;wsp:rsid wsp:val=&quot;00747BCE&quot;/&gt;&lt;wsp:rsid wsp:val=&quot;00747E96&quot;/&gt;&lt;wsp:rsid wsp:val=&quot;0075014A&quot;/&gt;&lt;wsp:rsid wsp:val=&quot;007508DC&quot;/&gt;&lt;wsp:rsid wsp:val=&quot;0075112E&quot;/&gt;&lt;wsp:rsid wsp:val=&quot;00751224&quot;/&gt;&lt;wsp:rsid wsp:val=&quot;007512C6&quot;/&gt;&lt;wsp:rsid wsp:val=&quot;00751394&quot;/&gt;&lt;wsp:rsid wsp:val=&quot;007513EF&quot;/&gt;&lt;wsp:rsid wsp:val=&quot;00751753&quot;/&gt;&lt;wsp:rsid wsp:val=&quot;00751B06&quot;/&gt;&lt;wsp:rsid wsp:val=&quot;00751C38&quot;/&gt;&lt;wsp:rsid wsp:val=&quot;00752BAE&quot;/&gt;&lt;wsp:rsid wsp:val=&quot;00752D85&quot;/&gt;&lt;wsp:rsid wsp:val=&quot;0075302E&quot;/&gt;&lt;wsp:rsid wsp:val=&quot;007536D0&quot;/&gt;&lt;wsp:rsid wsp:val=&quot;00753B06&quot;/&gt;&lt;wsp:rsid wsp:val=&quot;00753B30&quot;/&gt;&lt;wsp:rsid wsp:val=&quot;00753F1B&quot;/&gt;&lt;wsp:rsid wsp:val=&quot;00754243&quot;/&gt;&lt;wsp:rsid wsp:val=&quot;00754335&quot;/&gt;&lt;wsp:rsid wsp:val=&quot;00754F43&quot;/&gt;&lt;wsp:rsid wsp:val=&quot;00755225&quot;/&gt;&lt;wsp:rsid wsp:val=&quot;007554A3&quot;/&gt;&lt;wsp:rsid wsp:val=&quot;00755B84&quot;/&gt;&lt;wsp:rsid wsp:val=&quot;00755D24&quot;/&gt;&lt;wsp:rsid wsp:val=&quot;00756554&quot;/&gt;&lt;wsp:rsid wsp:val=&quot;00756F92&quot;/&gt;&lt;wsp:rsid wsp:val=&quot;00757024&quot;/&gt;&lt;wsp:rsid wsp:val=&quot;007571C5&quot;/&gt;&lt;wsp:rsid wsp:val=&quot;00757301&quot;/&gt;&lt;wsp:rsid wsp:val=&quot;0075733E&quot;/&gt;&lt;wsp:rsid wsp:val=&quot;00757D6C&quot;/&gt;&lt;wsp:rsid wsp:val=&quot;00757E2A&quot;/&gt;&lt;wsp:rsid wsp:val=&quot;00757E50&quot;/&gt;&lt;wsp:rsid wsp:val=&quot;0076005D&quot;/&gt;&lt;wsp:rsid wsp:val=&quot;00760420&quot;/&gt;&lt;wsp:rsid wsp:val=&quot;00760BD6&quot;/&gt;&lt;wsp:rsid wsp:val=&quot;00760BE7&quot;/&gt;&lt;wsp:rsid wsp:val=&quot;00760CE4&quot;/&gt;&lt;wsp:rsid wsp:val=&quot;00760EDD&quot;/&gt;&lt;wsp:rsid wsp:val=&quot;00761063&quot;/&gt;&lt;wsp:rsid wsp:val=&quot;00761912&quot;/&gt;&lt;wsp:rsid wsp:val=&quot;00761B07&quot;/&gt;&lt;wsp:rsid wsp:val=&quot;00761F1D&quot;/&gt;&lt;wsp:rsid wsp:val=&quot;00761FED&quot;/&gt;&lt;wsp:rsid wsp:val=&quot;0076227B&quot;/&gt;&lt;wsp:rsid wsp:val=&quot;00762318&quot;/&gt;&lt;wsp:rsid wsp:val=&quot;007623C9&quot;/&gt;&lt;wsp:rsid wsp:val=&quot;0076240E&quot;/&gt;&lt;wsp:rsid wsp:val=&quot;00762612&quot;/&gt;&lt;wsp:rsid wsp:val=&quot;00762CA7&quot;/&gt;&lt;wsp:rsid wsp:val=&quot;00762CF6&quot;/&gt;&lt;wsp:rsid wsp:val=&quot;00762ED6&quot;/&gt;&lt;wsp:rsid wsp:val=&quot;00763055&quot;/&gt;&lt;wsp:rsid wsp:val=&quot;00763252&quot;/&gt;&lt;wsp:rsid wsp:val=&quot;00763A2C&quot;/&gt;&lt;wsp:rsid wsp:val=&quot;00763B3C&quot;/&gt;&lt;wsp:rsid wsp:val=&quot;00763BC7&quot;/&gt;&lt;wsp:rsid wsp:val=&quot;00763D97&quot;/&gt;&lt;wsp:rsid wsp:val=&quot;00763F9F&quot;/&gt;&lt;wsp:rsid wsp:val=&quot;0076423F&quot;/&gt;&lt;wsp:rsid wsp:val=&quot;007643C0&quot;/&gt;&lt;wsp:rsid wsp:val=&quot;007643C5&quot;/&gt;&lt;wsp:rsid wsp:val=&quot;007646D3&quot;/&gt;&lt;wsp:rsid wsp:val=&quot;00764701&quot;/&gt;&lt;wsp:rsid wsp:val=&quot;00764862&quot;/&gt;&lt;wsp:rsid wsp:val=&quot;00764A8F&quot;/&gt;&lt;wsp:rsid wsp:val=&quot;00764B34&quot;/&gt;&lt;wsp:rsid wsp:val=&quot;00764C33&quot;/&gt;&lt;wsp:rsid wsp:val=&quot;00764D51&quot;/&gt;&lt;wsp:rsid wsp:val=&quot;00764D91&quot;/&gt;&lt;wsp:rsid wsp:val=&quot;00764DD5&quot;/&gt;&lt;wsp:rsid wsp:val=&quot;00764E3F&quot;/&gt;&lt;wsp:rsid wsp:val=&quot;00764FCE&quot;/&gt;&lt;wsp:rsid wsp:val=&quot;0076556F&quot;/&gt;&lt;wsp:rsid wsp:val=&quot;00765719&quot;/&gt;&lt;wsp:rsid wsp:val=&quot;00765832&quot;/&gt;&lt;wsp:rsid wsp:val=&quot;0076596A&quot;/&gt;&lt;wsp:rsid wsp:val=&quot;00765DBC&quot;/&gt;&lt;wsp:rsid wsp:val=&quot;0076670C&quot;/&gt;&lt;wsp:rsid wsp:val=&quot;00766EFE&quot;/&gt;&lt;wsp:rsid wsp:val=&quot;00767339&quot;/&gt;&lt;wsp:rsid wsp:val=&quot;00767E15&quot;/&gt;&lt;wsp:rsid wsp:val=&quot;00767EF4&quot;/&gt;&lt;wsp:rsid wsp:val=&quot;0077003D&quot;/&gt;&lt;wsp:rsid wsp:val=&quot;007708BC&quot;/&gt;&lt;wsp:rsid wsp:val=&quot;007712D3&quot;/&gt;&lt;wsp:rsid wsp:val=&quot;007713CB&quot;/&gt;&lt;wsp:rsid wsp:val=&quot;0077174E&quot;/&gt;&lt;wsp:rsid wsp:val=&quot;00771AE3&quot;/&gt;&lt;wsp:rsid wsp:val=&quot;00771B46&quot;/&gt;&lt;wsp:rsid wsp:val=&quot;0077205B&quot;/&gt;&lt;wsp:rsid wsp:val=&quot;007722DE&quot;/&gt;&lt;wsp:rsid wsp:val=&quot;00772770&quot;/&gt;&lt;wsp:rsid wsp:val=&quot;00772A5D&quot;/&gt;&lt;wsp:rsid wsp:val=&quot;00772B4D&quot;/&gt;&lt;wsp:rsid wsp:val=&quot;00772EF5&quot;/&gt;&lt;wsp:rsid wsp:val=&quot;0077325B&quot;/&gt;&lt;wsp:rsid wsp:val=&quot;007733FF&quot;/&gt;&lt;wsp:rsid wsp:val=&quot;0077341D&quot;/&gt;&lt;wsp:rsid wsp:val=&quot;007735EF&quot;/&gt;&lt;wsp:rsid wsp:val=&quot;0077368F&quot;/&gt;&lt;wsp:rsid wsp:val=&quot;007736B1&quot;/&gt;&lt;wsp:rsid wsp:val=&quot;007737C1&quot;/&gt;&lt;wsp:rsid wsp:val=&quot;00773CB5&quot;/&gt;&lt;wsp:rsid wsp:val=&quot;00773EE9&quot;/&gt;&lt;wsp:rsid wsp:val=&quot;00773F92&quot;/&gt;&lt;wsp:rsid wsp:val=&quot;00773FB6&quot;/&gt;&lt;wsp:rsid wsp:val=&quot;0077401E&quot;/&gt;&lt;wsp:rsid wsp:val=&quot;00774436&quot;/&gt;&lt;wsp:rsid wsp:val=&quot;00774BC0&quot;/&gt;&lt;wsp:rsid wsp:val=&quot;00774D56&quot;/&gt;&lt;wsp:rsid wsp:val=&quot;007750CC&quot;/&gt;&lt;wsp:rsid wsp:val=&quot;0077534F&quot;/&gt;&lt;wsp:rsid wsp:val=&quot;00775784&quot;/&gt;&lt;wsp:rsid wsp:val=&quot;007758D1&quot;/&gt;&lt;wsp:rsid wsp:val=&quot;00775A32&quot;/&gt;&lt;wsp:rsid wsp:val=&quot;00775AAA&quot;/&gt;&lt;wsp:rsid wsp:val=&quot;00775E17&quot;/&gt;&lt;wsp:rsid wsp:val=&quot;00775FE1&quot;/&gt;&lt;wsp:rsid wsp:val=&quot;00776037&quot;/&gt;&lt;wsp:rsid wsp:val=&quot;00776370&quot;/&gt;&lt;wsp:rsid wsp:val=&quot;007766CF&quot;/&gt;&lt;wsp:rsid wsp:val=&quot;00776D5E&quot;/&gt;&lt;wsp:rsid wsp:val=&quot;00776D66&quot;/&gt;&lt;wsp:rsid wsp:val=&quot;00777421&quot;/&gt;&lt;wsp:rsid wsp:val=&quot;007777D9&quot;/&gt;&lt;wsp:rsid wsp:val=&quot;007777EA&quot;/&gt;&lt;wsp:rsid wsp:val=&quot;007801B0&quot;/&gt;&lt;wsp:rsid wsp:val=&quot;007803DE&quot;/&gt;&lt;wsp:rsid wsp:val=&quot;00780725&quot;/&gt;&lt;wsp:rsid wsp:val=&quot;00780C90&quot;/&gt;&lt;wsp:rsid wsp:val=&quot;00780F45&quot;/&gt;&lt;wsp:rsid wsp:val=&quot;00780F93&quot;/&gt;&lt;wsp:rsid wsp:val=&quot;00781180&quot;/&gt;&lt;wsp:rsid wsp:val=&quot;007812D4&quot;/&gt;&lt;wsp:rsid wsp:val=&quot;0078134A&quot;/&gt;&lt;wsp:rsid wsp:val=&quot;00781E85&quot;/&gt;&lt;wsp:rsid wsp:val=&quot;007822F1&quot;/&gt;&lt;wsp:rsid wsp:val=&quot;007825AC&quot;/&gt;&lt;wsp:rsid wsp:val=&quot;0078282E&quot;/&gt;&lt;wsp:rsid wsp:val=&quot;0078289F&quot;/&gt;&lt;wsp:rsid wsp:val=&quot;00782E11&quot;/&gt;&lt;wsp:rsid wsp:val=&quot;0078331E&quot;/&gt;&lt;wsp:rsid wsp:val=&quot;00783528&quot;/&gt;&lt;wsp:rsid wsp:val=&quot;0078376F&quot;/&gt;&lt;wsp:rsid wsp:val=&quot;007839B8&quot;/&gt;&lt;wsp:rsid wsp:val=&quot;007847FD&quot;/&gt;&lt;wsp:rsid wsp:val=&quot;0078487F&quot;/&gt;&lt;wsp:rsid wsp:val=&quot;00784AAE&quot;/&gt;&lt;wsp:rsid wsp:val=&quot;007850AF&quot;/&gt;&lt;wsp:rsid wsp:val=&quot;0078552C&quot;/&gt;&lt;wsp:rsid wsp:val=&quot;00785862&quot;/&gt;&lt;wsp:rsid wsp:val=&quot;00785AA9&quot;/&gt;&lt;wsp:rsid wsp:val=&quot;00785AD3&quot;/&gt;&lt;wsp:rsid wsp:val=&quot;00785DA7&quot;/&gt;&lt;wsp:rsid wsp:val=&quot;00785F57&quot;/&gt;&lt;wsp:rsid wsp:val=&quot;00786231&quot;/&gt;&lt;wsp:rsid wsp:val=&quot;00786707&quot;/&gt;&lt;wsp:rsid wsp:val=&quot;00786A04&quot;/&gt;&lt;wsp:rsid wsp:val=&quot;00786BB2&quot;/&gt;&lt;wsp:rsid wsp:val=&quot;00787174&quot;/&gt;&lt;wsp:rsid wsp:val=&quot;007872C0&quot;/&gt;&lt;wsp:rsid wsp:val=&quot;00787318&quot;/&gt;&lt;wsp:rsid wsp:val=&quot;00787440&quot;/&gt;&lt;wsp:rsid wsp:val=&quot;00787935&quot;/&gt;&lt;wsp:rsid wsp:val=&quot;00787A5A&quot;/&gt;&lt;wsp:rsid wsp:val=&quot;00787E07&quot;/&gt;&lt;wsp:rsid wsp:val=&quot;007903D7&quot;/&gt;&lt;wsp:rsid wsp:val=&quot;007907DA&quot;/&gt;&lt;wsp:rsid wsp:val=&quot;00790922&quot;/&gt;&lt;wsp:rsid wsp:val=&quot;00790AD6&quot;/&gt;&lt;wsp:rsid wsp:val=&quot;00790B02&quot;/&gt;&lt;wsp:rsid wsp:val=&quot;00790E0B&quot;/&gt;&lt;wsp:rsid wsp:val=&quot;00791069&quot;/&gt;&lt;wsp:rsid wsp:val=&quot;007922A2&quot;/&gt;&lt;wsp:rsid wsp:val=&quot;00792975&quot;/&gt;&lt;wsp:rsid wsp:val=&quot;00792A32&quot;/&gt;&lt;wsp:rsid wsp:val=&quot;00792BE9&quot;/&gt;&lt;wsp:rsid wsp:val=&quot;00792C66&quot;/&gt;&lt;wsp:rsid wsp:val=&quot;00792F7E&quot;/&gt;&lt;wsp:rsid wsp:val=&quot;00792FEE&quot;/&gt;&lt;wsp:rsid wsp:val=&quot;0079373C&quot;/&gt;&lt;wsp:rsid wsp:val=&quot;00793773&quot;/&gt;&lt;wsp:rsid wsp:val=&quot;00793DA9&quot;/&gt;&lt;wsp:rsid wsp:val=&quot;00794559&quot;/&gt;&lt;wsp:rsid wsp:val=&quot;0079487B&quot;/&gt;&lt;wsp:rsid wsp:val=&quot;00794BC0&quot;/&gt;&lt;wsp:rsid wsp:val=&quot;00794BEC&quot;/&gt;&lt;wsp:rsid wsp:val=&quot;00794EF8&quot;/&gt;&lt;wsp:rsid wsp:val=&quot;00795215&quot;/&gt;&lt;wsp:rsid wsp:val=&quot;0079539F&quot;/&gt;&lt;wsp:rsid wsp:val=&quot;00795433&quot;/&gt;&lt;wsp:rsid wsp:val=&quot;0079573F&quot;/&gt;&lt;wsp:rsid wsp:val=&quot;00795EF8&quot;/&gt;&lt;wsp:rsid wsp:val=&quot;0079662D&quot;/&gt;&lt;wsp:rsid wsp:val=&quot;00796954&quot;/&gt;&lt;wsp:rsid wsp:val=&quot;007969A1&quot;/&gt;&lt;wsp:rsid wsp:val=&quot;00797587&quot;/&gt;&lt;wsp:rsid wsp:val=&quot;0079772A&quot;/&gt;&lt;wsp:rsid wsp:val=&quot;007977EE&quot;/&gt;&lt;wsp:rsid wsp:val=&quot;007A03CB&quot;/&gt;&lt;wsp:rsid wsp:val=&quot;007A046B&quot;/&gt;&lt;wsp:rsid wsp:val=&quot;007A0493&quot;/&gt;&lt;wsp:rsid wsp:val=&quot;007A0658&quot;/&gt;&lt;wsp:rsid wsp:val=&quot;007A0677&quot;/&gt;&lt;wsp:rsid wsp:val=&quot;007A19BF&quot;/&gt;&lt;wsp:rsid wsp:val=&quot;007A1CE1&quot;/&gt;&lt;wsp:rsid wsp:val=&quot;007A209B&quot;/&gt;&lt;wsp:rsid wsp:val=&quot;007A24DC&quot;/&gt;&lt;wsp:rsid wsp:val=&quot;007A29D5&quot;/&gt;&lt;wsp:rsid wsp:val=&quot;007A2AFD&quot;/&gt;&lt;wsp:rsid wsp:val=&quot;007A2E34&quot;/&gt;&lt;wsp:rsid wsp:val=&quot;007A2F54&quot;/&gt;&lt;wsp:rsid wsp:val=&quot;007A340D&quot;/&gt;&lt;wsp:rsid wsp:val=&quot;007A3481&quot;/&gt;&lt;wsp:rsid wsp:val=&quot;007A353A&quot;/&gt;&lt;wsp:rsid wsp:val=&quot;007A39E2&quot;/&gt;&lt;wsp:rsid wsp:val=&quot;007A3A60&quot;/&gt;&lt;wsp:rsid wsp:val=&quot;007A3C15&quot;/&gt;&lt;wsp:rsid wsp:val=&quot;007A4178&quot;/&gt;&lt;wsp:rsid wsp:val=&quot;007A435C&quot;/&gt;&lt;wsp:rsid wsp:val=&quot;007A586B&quot;/&gt;&lt;wsp:rsid wsp:val=&quot;007A6453&quot;/&gt;&lt;wsp:rsid wsp:val=&quot;007A677B&quot;/&gt;&lt;wsp:rsid wsp:val=&quot;007A6A0B&quot;/&gt;&lt;wsp:rsid wsp:val=&quot;007A6E31&quot;/&gt;&lt;wsp:rsid wsp:val=&quot;007A6FE8&quot;/&gt;&lt;wsp:rsid wsp:val=&quot;007A72AA&quot;/&gt;&lt;wsp:rsid wsp:val=&quot;007A72EC&quot;/&gt;&lt;wsp:rsid wsp:val=&quot;007A73A7&quot;/&gt;&lt;wsp:rsid wsp:val=&quot;007A7A17&quot;/&gt;&lt;wsp:rsid wsp:val=&quot;007A7B90&quot;/&gt;&lt;wsp:rsid wsp:val=&quot;007B019A&quot;/&gt;&lt;wsp:rsid wsp:val=&quot;007B0610&quot;/&gt;&lt;wsp:rsid wsp:val=&quot;007B07BD&quot;/&gt;&lt;wsp:rsid wsp:val=&quot;007B0814&quot;/&gt;&lt;wsp:rsid wsp:val=&quot;007B0ABE&quot;/&gt;&lt;wsp:rsid wsp:val=&quot;007B16A9&quot;/&gt;&lt;wsp:rsid wsp:val=&quot;007B211A&quot;/&gt;&lt;wsp:rsid wsp:val=&quot;007B2583&quot;/&gt;&lt;wsp:rsid wsp:val=&quot;007B275C&quot;/&gt;&lt;wsp:rsid wsp:val=&quot;007B307E&quot;/&gt;&lt;wsp:rsid wsp:val=&quot;007B33FF&quot;/&gt;&lt;wsp:rsid wsp:val=&quot;007B3610&quot;/&gt;&lt;wsp:rsid wsp:val=&quot;007B38D1&quot;/&gt;&lt;wsp:rsid wsp:val=&quot;007B3B6A&quot;/&gt;&lt;wsp:rsid wsp:val=&quot;007B3BDC&quot;/&gt;&lt;wsp:rsid wsp:val=&quot;007B3F99&quot;/&gt;&lt;wsp:rsid wsp:val=&quot;007B42E4&quot;/&gt;&lt;wsp:rsid wsp:val=&quot;007B50D5&quot;/&gt;&lt;wsp:rsid wsp:val=&quot;007B50D6&quot;/&gt;&lt;wsp:rsid wsp:val=&quot;007B5141&quot;/&gt;&lt;wsp:rsid wsp:val=&quot;007B5358&quot;/&gt;&lt;wsp:rsid wsp:val=&quot;007B54A0&quot;/&gt;&lt;wsp:rsid wsp:val=&quot;007B580B&quot;/&gt;&lt;wsp:rsid wsp:val=&quot;007B5B44&quot;/&gt;&lt;wsp:rsid wsp:val=&quot;007B5E24&quot;/&gt;&lt;wsp:rsid wsp:val=&quot;007B69CA&quot;/&gt;&lt;wsp:rsid wsp:val=&quot;007B6B46&quot;/&gt;&lt;wsp:rsid wsp:val=&quot;007B741A&quot;/&gt;&lt;wsp:rsid wsp:val=&quot;007B771F&quot;/&gt;&lt;wsp:rsid wsp:val=&quot;007B7D7F&quot;/&gt;&lt;wsp:rsid wsp:val=&quot;007B7E7D&quot;/&gt;&lt;wsp:rsid wsp:val=&quot;007B7FCB&quot;/&gt;&lt;wsp:rsid wsp:val=&quot;007C0CFB&quot;/&gt;&lt;wsp:rsid wsp:val=&quot;007C0FF4&quot;/&gt;&lt;wsp:rsid wsp:val=&quot;007C11C8&quot;/&gt;&lt;wsp:rsid wsp:val=&quot;007C1591&quot;/&gt;&lt;wsp:rsid wsp:val=&quot;007C20DB&quot;/&gt;&lt;wsp:rsid wsp:val=&quot;007C23CA&quot;/&gt;&lt;wsp:rsid wsp:val=&quot;007C29E7&quot;/&gt;&lt;wsp:rsid wsp:val=&quot;007C2ECB&quot;/&gt;&lt;wsp:rsid wsp:val=&quot;007C2EEE&quot;/&gt;&lt;wsp:rsid wsp:val=&quot;007C32BA&quot;/&gt;&lt;wsp:rsid wsp:val=&quot;007C3367&quot;/&gt;&lt;wsp:rsid wsp:val=&quot;007C364E&quot;/&gt;&lt;wsp:rsid wsp:val=&quot;007C36B1&quot;/&gt;&lt;wsp:rsid wsp:val=&quot;007C3722&quot;/&gt;&lt;wsp:rsid wsp:val=&quot;007C3747&quot;/&gt;&lt;wsp:rsid wsp:val=&quot;007C38D9&quot;/&gt;&lt;wsp:rsid wsp:val=&quot;007C3DE5&quot;/&gt;&lt;wsp:rsid wsp:val=&quot;007C4074&quot;/&gt;&lt;wsp:rsid wsp:val=&quot;007C4F5A&quot;/&gt;&lt;wsp:rsid wsp:val=&quot;007C50F4&quot;/&gt;&lt;wsp:rsid wsp:val=&quot;007C5200&quot;/&gt;&lt;wsp:rsid wsp:val=&quot;007C5581&quot;/&gt;&lt;wsp:rsid wsp:val=&quot;007C5732&quot;/&gt;&lt;wsp:rsid wsp:val=&quot;007C5A5A&quot;/&gt;&lt;wsp:rsid wsp:val=&quot;007C5DA4&quot;/&gt;&lt;wsp:rsid wsp:val=&quot;007C5DD1&quot;/&gt;&lt;wsp:rsid wsp:val=&quot;007C6326&quot;/&gt;&lt;wsp:rsid wsp:val=&quot;007C684E&quot;/&gt;&lt;wsp:rsid wsp:val=&quot;007C6C41&quot;/&gt;&lt;wsp:rsid wsp:val=&quot;007C72F0&quot;/&gt;&lt;wsp:rsid wsp:val=&quot;007C73BA&quot;/&gt;&lt;wsp:rsid wsp:val=&quot;007C7797&quot;/&gt;&lt;wsp:rsid wsp:val=&quot;007C7A6B&quot;/&gt;&lt;wsp:rsid wsp:val=&quot;007C7C0D&quot;/&gt;&lt;wsp:rsid wsp:val=&quot;007D0152&quot;/&gt;&lt;wsp:rsid wsp:val=&quot;007D0A4F&quot;/&gt;&lt;wsp:rsid wsp:val=&quot;007D0CEE&quot;/&gt;&lt;wsp:rsid wsp:val=&quot;007D0E99&quot;/&gt;&lt;wsp:rsid wsp:val=&quot;007D0EC3&quot;/&gt;&lt;wsp:rsid wsp:val=&quot;007D124F&quot;/&gt;&lt;wsp:rsid wsp:val=&quot;007D12C0&quot;/&gt;&lt;wsp:rsid wsp:val=&quot;007D150B&quot;/&gt;&lt;wsp:rsid wsp:val=&quot;007D1607&quot;/&gt;&lt;wsp:rsid wsp:val=&quot;007D1645&quot;/&gt;&lt;wsp:rsid wsp:val=&quot;007D18E0&quot;/&gt;&lt;wsp:rsid wsp:val=&quot;007D1BC1&quot;/&gt;&lt;wsp:rsid wsp:val=&quot;007D1C66&quot;/&gt;&lt;wsp:rsid wsp:val=&quot;007D1CC7&quot;/&gt;&lt;wsp:rsid wsp:val=&quot;007D1CFA&quot;/&gt;&lt;wsp:rsid wsp:val=&quot;007D1E39&quot;/&gt;&lt;wsp:rsid wsp:val=&quot;007D2240&quot;/&gt;&lt;wsp:rsid wsp:val=&quot;007D22B0&quot;/&gt;&lt;wsp:rsid wsp:val=&quot;007D2504&quot;/&gt;&lt;wsp:rsid wsp:val=&quot;007D279A&quot;/&gt;&lt;wsp:rsid wsp:val=&quot;007D2ABA&quot;/&gt;&lt;wsp:rsid wsp:val=&quot;007D2ADC&quot;/&gt;&lt;wsp:rsid wsp:val=&quot;007D2D26&quot;/&gt;&lt;wsp:rsid wsp:val=&quot;007D2EB8&quot;/&gt;&lt;wsp:rsid wsp:val=&quot;007D2EC6&quot;/&gt;&lt;wsp:rsid wsp:val=&quot;007D3264&quot;/&gt;&lt;wsp:rsid wsp:val=&quot;007D32FF&quot;/&gt;&lt;wsp:rsid wsp:val=&quot;007D375C&quot;/&gt;&lt;wsp:rsid wsp:val=&quot;007D3C9B&quot;/&gt;&lt;wsp:rsid wsp:val=&quot;007D409B&quot;/&gt;&lt;wsp:rsid wsp:val=&quot;007D41AB&quot;/&gt;&lt;wsp:rsid wsp:val=&quot;007D4587&quot;/&gt;&lt;wsp:rsid wsp:val=&quot;007D47CB&quot;/&gt;&lt;wsp:rsid wsp:val=&quot;007D4BC7&quot;/&gt;&lt;wsp:rsid wsp:val=&quot;007D4C39&quot;/&gt;&lt;wsp:rsid wsp:val=&quot;007D4D48&quot;/&gt;&lt;wsp:rsid wsp:val=&quot;007D4DA5&quot;/&gt;&lt;wsp:rsid wsp:val=&quot;007D5948&quot;/&gt;&lt;wsp:rsid wsp:val=&quot;007D5B4C&quot;/&gt;&lt;wsp:rsid wsp:val=&quot;007D5C25&quot;/&gt;&lt;wsp:rsid wsp:val=&quot;007D5D86&quot;/&gt;&lt;wsp:rsid wsp:val=&quot;007D5EA0&quot;/&gt;&lt;wsp:rsid wsp:val=&quot;007D5FDB&quot;/&gt;&lt;wsp:rsid wsp:val=&quot;007D627E&quot;/&gt;&lt;wsp:rsid wsp:val=&quot;007D62FD&quot;/&gt;&lt;wsp:rsid wsp:val=&quot;007D6494&quot;/&gt;&lt;wsp:rsid wsp:val=&quot;007D64A7&quot;/&gt;&lt;wsp:rsid wsp:val=&quot;007D6508&quot;/&gt;&lt;wsp:rsid wsp:val=&quot;007D6C21&quot;/&gt;&lt;wsp:rsid wsp:val=&quot;007D716E&quot;/&gt;&lt;wsp:rsid wsp:val=&quot;007D7ACF&quot;/&gt;&lt;wsp:rsid wsp:val=&quot;007D7BCF&quot;/&gt;&lt;wsp:rsid wsp:val=&quot;007E00E4&quot;/&gt;&lt;wsp:rsid wsp:val=&quot;007E0268&quot;/&gt;&lt;wsp:rsid wsp:val=&quot;007E060E&quot;/&gt;&lt;wsp:rsid wsp:val=&quot;007E087A&quot;/&gt;&lt;wsp:rsid wsp:val=&quot;007E0969&quot;/&gt;&lt;wsp:rsid wsp:val=&quot;007E09FA&quot;/&gt;&lt;wsp:rsid wsp:val=&quot;007E1244&quot;/&gt;&lt;wsp:rsid wsp:val=&quot;007E1A43&quot;/&gt;&lt;wsp:rsid wsp:val=&quot;007E1A52&quot;/&gt;&lt;wsp:rsid wsp:val=&quot;007E1ADE&quot;/&gt;&lt;wsp:rsid wsp:val=&quot;007E1D43&quot;/&gt;&lt;wsp:rsid wsp:val=&quot;007E1D4D&quot;/&gt;&lt;wsp:rsid wsp:val=&quot;007E2123&quot;/&gt;&lt;wsp:rsid wsp:val=&quot;007E241C&quot;/&gt;&lt;wsp:rsid wsp:val=&quot;007E2834&quot;/&gt;&lt;wsp:rsid wsp:val=&quot;007E2BC4&quot;/&gt;&lt;wsp:rsid wsp:val=&quot;007E2DA6&quot;/&gt;&lt;wsp:rsid wsp:val=&quot;007E2FA4&quot;/&gt;&lt;wsp:rsid wsp:val=&quot;007E30B9&quot;/&gt;&lt;wsp:rsid wsp:val=&quot;007E3370&quot;/&gt;&lt;wsp:rsid wsp:val=&quot;007E3593&quot;/&gt;&lt;wsp:rsid wsp:val=&quot;007E3686&quot;/&gt;&lt;wsp:rsid wsp:val=&quot;007E3EA5&quot;/&gt;&lt;wsp:rsid wsp:val=&quot;007E3F11&quot;/&gt;&lt;wsp:rsid wsp:val=&quot;007E3F9E&quot;/&gt;&lt;wsp:rsid wsp:val=&quot;007E47F7&quot;/&gt;&lt;wsp:rsid wsp:val=&quot;007E48E6&quot;/&gt;&lt;wsp:rsid wsp:val=&quot;007E4A75&quot;/&gt;&lt;wsp:rsid wsp:val=&quot;007E4A99&quot;/&gt;&lt;wsp:rsid wsp:val=&quot;007E4C83&quot;/&gt;&lt;wsp:rsid wsp:val=&quot;007E4FF9&quot;/&gt;&lt;wsp:rsid wsp:val=&quot;007E56C3&quot;/&gt;&lt;wsp:rsid wsp:val=&quot;007E5D09&quot;/&gt;&lt;wsp:rsid wsp:val=&quot;007E5D15&quot;/&gt;&lt;wsp:rsid wsp:val=&quot;007E60E4&quot;/&gt;&lt;wsp:rsid wsp:val=&quot;007E61AF&quot;/&gt;&lt;wsp:rsid wsp:val=&quot;007E61DC&quot;/&gt;&lt;wsp:rsid wsp:val=&quot;007E6348&quot;/&gt;&lt;wsp:rsid wsp:val=&quot;007E63EE&quot;/&gt;&lt;wsp:rsid wsp:val=&quot;007E64B8&quot;/&gt;&lt;wsp:rsid wsp:val=&quot;007E6716&quot;/&gt;&lt;wsp:rsid wsp:val=&quot;007E67E9&quot;/&gt;&lt;wsp:rsid wsp:val=&quot;007E6845&quot;/&gt;&lt;wsp:rsid wsp:val=&quot;007E684D&quot;/&gt;&lt;wsp:rsid wsp:val=&quot;007E6ADF&quot;/&gt;&lt;wsp:rsid wsp:val=&quot;007E6AFE&quot;/&gt;&lt;wsp:rsid wsp:val=&quot;007E6EC8&quot;/&gt;&lt;wsp:rsid wsp:val=&quot;007E710C&quot;/&gt;&lt;wsp:rsid wsp:val=&quot;007E72A0&quot;/&gt;&lt;wsp:rsid wsp:val=&quot;007E7602&quot;/&gt;&lt;wsp:rsid wsp:val=&quot;007E769B&quot;/&gt;&lt;wsp:rsid wsp:val=&quot;007E76D6&quot;/&gt;&lt;wsp:rsid wsp:val=&quot;007E775F&quot;/&gt;&lt;wsp:rsid wsp:val=&quot;007E7799&quot;/&gt;&lt;wsp:rsid wsp:val=&quot;007E7C3A&quot;/&gt;&lt;wsp:rsid wsp:val=&quot;007F0137&quot;/&gt;&lt;wsp:rsid wsp:val=&quot;007F0F44&quot;/&gt;&lt;wsp:rsid wsp:val=&quot;007F13C7&quot;/&gt;&lt;wsp:rsid wsp:val=&quot;007F13E5&quot;/&gt;&lt;wsp:rsid wsp:val=&quot;007F1C37&quot;/&gt;&lt;wsp:rsid wsp:val=&quot;007F1C87&quot;/&gt;&lt;wsp:rsid wsp:val=&quot;007F1EB8&quot;/&gt;&lt;wsp:rsid wsp:val=&quot;007F2148&quot;/&gt;&lt;wsp:rsid wsp:val=&quot;007F2178&quot;/&gt;&lt;wsp:rsid wsp:val=&quot;007F2329&quot;/&gt;&lt;wsp:rsid wsp:val=&quot;007F2475&quot;/&gt;&lt;wsp:rsid wsp:val=&quot;007F28FE&quot;/&gt;&lt;wsp:rsid wsp:val=&quot;007F2C05&quot;/&gt;&lt;wsp:rsid wsp:val=&quot;007F2F0B&quot;/&gt;&lt;wsp:rsid wsp:val=&quot;007F3061&quot;/&gt;&lt;wsp:rsid wsp:val=&quot;007F31BC&quot;/&gt;&lt;wsp:rsid wsp:val=&quot;007F34DE&quot;/&gt;&lt;wsp:rsid wsp:val=&quot;007F390A&quot;/&gt;&lt;wsp:rsid wsp:val=&quot;007F4472&quot;/&gt;&lt;wsp:rsid wsp:val=&quot;007F4B96&quot;/&gt;&lt;wsp:rsid wsp:val=&quot;007F4F74&quot;/&gt;&lt;wsp:rsid wsp:val=&quot;007F5177&quot;/&gt;&lt;wsp:rsid wsp:val=&quot;007F60E6&quot;/&gt;&lt;wsp:rsid wsp:val=&quot;007F6270&quot;/&gt;&lt;wsp:rsid wsp:val=&quot;007F6404&quot;/&gt;&lt;wsp:rsid wsp:val=&quot;007F718E&quot;/&gt;&lt;wsp:rsid wsp:val=&quot;007F771F&quot;/&gt;&lt;wsp:rsid wsp:val=&quot;007F7A4C&quot;/&gt;&lt;wsp:rsid wsp:val=&quot;008001D8&quot;/&gt;&lt;wsp:rsid wsp:val=&quot;008006A8&quot;/&gt;&lt;wsp:rsid wsp:val=&quot;00800BB8&quot;/&gt;&lt;wsp:rsid wsp:val=&quot;00800E2C&quot;/&gt;&lt;wsp:rsid wsp:val=&quot;00800F0F&quot;/&gt;&lt;wsp:rsid wsp:val=&quot;00801002&quot;/&gt;&lt;wsp:rsid wsp:val=&quot;00802450&quot;/&gt;&lt;wsp:rsid wsp:val=&quot;008025B5&quot;/&gt;&lt;wsp:rsid wsp:val=&quot;0080274C&quot;/&gt;&lt;wsp:rsid wsp:val=&quot;00802CB7&quot;/&gt;&lt;wsp:rsid wsp:val=&quot;00802CDF&quot;/&gt;&lt;wsp:rsid wsp:val=&quot;00802E4A&quot;/&gt;&lt;wsp:rsid wsp:val=&quot;00802EE9&quot;/&gt;&lt;wsp:rsid wsp:val=&quot;00803A2E&quot;/&gt;&lt;wsp:rsid wsp:val=&quot;00803FF4&quot;/&gt;&lt;wsp:rsid wsp:val=&quot;0080414C&quot;/&gt;&lt;wsp:rsid wsp:val=&quot;008041B4&quot;/&gt;&lt;wsp:rsid wsp:val=&quot;008043C2&quot;/&gt;&lt;wsp:rsid wsp:val=&quot;00804428&quot;/&gt;&lt;wsp:rsid wsp:val=&quot;00804761&quot;/&gt;&lt;wsp:rsid wsp:val=&quot;008047A2&quot;/&gt;&lt;wsp:rsid wsp:val=&quot;00804A49&quot;/&gt;&lt;wsp:rsid wsp:val=&quot;00804C46&quot;/&gt;&lt;wsp:rsid wsp:val=&quot;008050C6&quot;/&gt;&lt;wsp:rsid wsp:val=&quot;0080576A&quot;/&gt;&lt;wsp:rsid wsp:val=&quot;00805848&quot;/&gt;&lt;wsp:rsid wsp:val=&quot;00806065&quot;/&gt;&lt;wsp:rsid wsp:val=&quot;00806A5A&quot;/&gt;&lt;wsp:rsid wsp:val=&quot;008071B3&quot;/&gt;&lt;wsp:rsid wsp:val=&quot;00807212&quot;/&gt;&lt;wsp:rsid wsp:val=&quot;0080760F&quot;/&gt;&lt;wsp:rsid wsp:val=&quot;00807880&quot;/&gt;&lt;wsp:rsid wsp:val=&quot;00807C26&quot;/&gt;&lt;wsp:rsid wsp:val=&quot;00807F63&quot;/&gt;&lt;wsp:rsid wsp:val=&quot;00810315&quot;/&gt;&lt;wsp:rsid wsp:val=&quot;00810398&quot;/&gt;&lt;wsp:rsid wsp:val=&quot;00810414&quot;/&gt;&lt;wsp:rsid wsp:val=&quot;00810708&quot;/&gt;&lt;wsp:rsid wsp:val=&quot;008108F0&quot;/&gt;&lt;wsp:rsid wsp:val=&quot;008109F5&quot;/&gt;&lt;wsp:rsid wsp:val=&quot;00810C6B&quot;/&gt;&lt;wsp:rsid wsp:val=&quot;00811081&quot;/&gt;&lt;wsp:rsid wsp:val=&quot;008110E1&quot;/&gt;&lt;wsp:rsid wsp:val=&quot;00811601&quot;/&gt;&lt;wsp:rsid wsp:val=&quot;00811852&quot;/&gt;&lt;wsp:rsid wsp:val=&quot;00811902&quot;/&gt;&lt;wsp:rsid wsp:val=&quot;00811A43&quot;/&gt;&lt;wsp:rsid wsp:val=&quot;00811FE4&quot;/&gt;&lt;wsp:rsid wsp:val=&quot;00812170&quot;/&gt;&lt;wsp:rsid wsp:val=&quot;0081258B&quot;/&gt;&lt;wsp:rsid wsp:val=&quot;00812BBB&quot;/&gt;&lt;wsp:rsid wsp:val=&quot;00812C46&quot;/&gt;&lt;wsp:rsid wsp:val=&quot;00812CD9&quot;/&gt;&lt;wsp:rsid wsp:val=&quot;008132A5&quot;/&gt;&lt;wsp:rsid wsp:val=&quot;00813330&quot;/&gt;&lt;wsp:rsid wsp:val=&quot;00813361&quot;/&gt;&lt;wsp:rsid wsp:val=&quot;008134AA&quot;/&gt;&lt;wsp:rsid wsp:val=&quot;008137F2&quot;/&gt;&lt;wsp:rsid wsp:val=&quot;00813849&quot;/&gt;&lt;wsp:rsid wsp:val=&quot;00814082&quot;/&gt;&lt;wsp:rsid wsp:val=&quot;0081486F&quot;/&gt;&lt;wsp:rsid wsp:val=&quot;00814B3B&quot;/&gt;&lt;wsp:rsid wsp:val=&quot;00814B61&quot;/&gt;&lt;wsp:rsid wsp:val=&quot;00815174&quot;/&gt;&lt;wsp:rsid wsp:val=&quot;008155F9&quot;/&gt;&lt;wsp:rsid wsp:val=&quot;008159A1&quot;/&gt;&lt;wsp:rsid wsp:val=&quot;00815B37&quot;/&gt;&lt;wsp:rsid wsp:val=&quot;00815EA7&quot;/&gt;&lt;wsp:rsid wsp:val=&quot;00815EBD&quot;/&gt;&lt;wsp:rsid wsp:val=&quot;008162FE&quot;/&gt;&lt;wsp:rsid wsp:val=&quot;00816398&quot;/&gt;&lt;wsp:rsid wsp:val=&quot;0081654E&quot;/&gt;&lt;wsp:rsid wsp:val=&quot;00816C1E&quot;/&gt;&lt;wsp:rsid wsp:val=&quot;00816C46&quot;/&gt;&lt;wsp:rsid wsp:val=&quot;00816D56&quot;/&gt;&lt;wsp:rsid wsp:val=&quot;008171AB&quot;/&gt;&lt;wsp:rsid wsp:val=&quot;008172B0&quot;/&gt;&lt;wsp:rsid wsp:val=&quot;00817387&quot;/&gt;&lt;wsp:rsid wsp:val=&quot;0081797F&quot;/&gt;&lt;wsp:rsid wsp:val=&quot;008200DC&quot;/&gt;&lt;wsp:rsid wsp:val=&quot;008203C2&quot;/&gt;&lt;wsp:rsid wsp:val=&quot;00821293&quot;/&gt;&lt;wsp:rsid wsp:val=&quot;00821807&quot;/&gt;&lt;wsp:rsid wsp:val=&quot;00821895&quot;/&gt;&lt;wsp:rsid wsp:val=&quot;00821A6B&quot;/&gt;&lt;wsp:rsid wsp:val=&quot;00821CE2&quot;/&gt;&lt;wsp:rsid wsp:val=&quot;008220BB&quot;/&gt;&lt;wsp:rsid wsp:val=&quot;00822539&quot;/&gt;&lt;wsp:rsid wsp:val=&quot;008234B3&quot;/&gt;&lt;wsp:rsid wsp:val=&quot;00823566&quot;/&gt;&lt;wsp:rsid wsp:val=&quot;00823B15&quot;/&gt;&lt;wsp:rsid wsp:val=&quot;00824561&quot;/&gt;&lt;wsp:rsid wsp:val=&quot;0082502E&quot;/&gt;&lt;wsp:rsid wsp:val=&quot;008251CA&quot;/&gt;&lt;wsp:rsid wsp:val=&quot;008253C6&quot;/&gt;&lt;wsp:rsid wsp:val=&quot;008253F0&quot;/&gt;&lt;wsp:rsid wsp:val=&quot;008256F2&quot;/&gt;&lt;wsp:rsid wsp:val=&quot;00825F83&quot;/&gt;&lt;wsp:rsid wsp:val=&quot;0082612E&quot;/&gt;&lt;wsp:rsid wsp:val=&quot;008262C5&quot;/&gt;&lt;wsp:rsid wsp:val=&quot;00826510&quot;/&gt;&lt;wsp:rsid wsp:val=&quot;0082706E&quot;/&gt;&lt;wsp:rsid wsp:val=&quot;0082759B&quot;/&gt;&lt;wsp:rsid wsp:val=&quot;00827BCA&quot;/&gt;&lt;wsp:rsid wsp:val=&quot;00827DAD&quot;/&gt;&lt;wsp:rsid wsp:val=&quot;00827F05&quot;/&gt;&lt;wsp:rsid wsp:val=&quot;00827F6D&quot;/&gt;&lt;wsp:rsid wsp:val=&quot;0083080E&quot;/&gt;&lt;wsp:rsid wsp:val=&quot;0083086C&quot;/&gt;&lt;wsp:rsid wsp:val=&quot;00830CF4&quot;/&gt;&lt;wsp:rsid wsp:val=&quot;00830DAF&quot;/&gt;&lt;wsp:rsid wsp:val=&quot;00830F63&quot;/&gt;&lt;wsp:rsid wsp:val=&quot;00830F77&quot;/&gt;&lt;wsp:rsid wsp:val=&quot;008311D9&quot;/&gt;&lt;wsp:rsid wsp:val=&quot;00831486&quot;/&gt;&lt;wsp:rsid wsp:val=&quot;00831AC1&quot;/&gt;&lt;wsp:rsid wsp:val=&quot;00831F2E&quot;/&gt;&lt;wsp:rsid wsp:val=&quot;008325A4&quot;/&gt;&lt;wsp:rsid wsp:val=&quot;00832ADC&quot;/&gt;&lt;wsp:rsid wsp:val=&quot;00832E81&quot;/&gt;&lt;wsp:rsid wsp:val=&quot;00833A63&quot;/&gt;&lt;wsp:rsid wsp:val=&quot;00833BF2&quot;/&gt;&lt;wsp:rsid wsp:val=&quot;00833D11&quot;/&gt;&lt;wsp:rsid wsp:val=&quot;00833D69&quot;/&gt;&lt;wsp:rsid wsp:val=&quot;00833F52&quot;/&gt;&lt;wsp:rsid wsp:val=&quot;00834120&quot;/&gt;&lt;wsp:rsid wsp:val=&quot;00834185&quot;/&gt;&lt;wsp:rsid wsp:val=&quot;00834541&quot;/&gt;&lt;wsp:rsid wsp:val=&quot;00834920&quot;/&gt;&lt;wsp:rsid wsp:val=&quot;008349E6&quot;/&gt;&lt;wsp:rsid wsp:val=&quot;00834C64&quot;/&gt;&lt;wsp:rsid wsp:val=&quot;00834ECA&quot;/&gt;&lt;wsp:rsid wsp:val=&quot;00834ED1&quot;/&gt;&lt;wsp:rsid wsp:val=&quot;00834EE9&quot;/&gt;&lt;wsp:rsid wsp:val=&quot;00835031&quot;/&gt;&lt;wsp:rsid wsp:val=&quot;008354B6&quot;/&gt;&lt;wsp:rsid wsp:val=&quot;00835797&quot;/&gt;&lt;wsp:rsid wsp:val=&quot;00835A24&quot;/&gt;&lt;wsp:rsid wsp:val=&quot;00835B9C&quot;/&gt;&lt;wsp:rsid wsp:val=&quot;00835BEA&quot;/&gt;&lt;wsp:rsid wsp:val=&quot;00835C42&quot;/&gt;&lt;wsp:rsid wsp:val=&quot;00836133&quot;/&gt;&lt;wsp:rsid wsp:val=&quot;0083635A&quot;/&gt;&lt;wsp:rsid wsp:val=&quot;008365CB&quot;/&gt;&lt;wsp:rsid wsp:val=&quot;00836C7C&quot;/&gt;&lt;wsp:rsid wsp:val=&quot;00836DB2&quot;/&gt;&lt;wsp:rsid wsp:val=&quot;00836F53&quot;/&gt;&lt;wsp:rsid wsp:val=&quot;00837197&quot;/&gt;&lt;wsp:rsid wsp:val=&quot;008375F6&quot;/&gt;&lt;wsp:rsid wsp:val=&quot;008377FE&quot;/&gt;&lt;wsp:rsid wsp:val=&quot;00837A1D&quot;/&gt;&lt;wsp:rsid wsp:val=&quot;00837D64&quot;/&gt;&lt;wsp:rsid wsp:val=&quot;00837E77&quot;/&gt;&lt;wsp:rsid wsp:val=&quot;008400EC&quot;/&gt;&lt;wsp:rsid wsp:val=&quot;0084034A&quot;/&gt;&lt;wsp:rsid wsp:val=&quot;00840447&quot;/&gt;&lt;wsp:rsid wsp:val=&quot;0084099B&quot;/&gt;&lt;wsp:rsid wsp:val=&quot;00840F5A&quot;/&gt;&lt;wsp:rsid wsp:val=&quot;00840FC2&quot;/&gt;&lt;wsp:rsid wsp:val=&quot;0084150B&quot;/&gt;&lt;wsp:rsid wsp:val=&quot;0084178A&quot;/&gt;&lt;wsp:rsid wsp:val=&quot;00841F2F&quot;/&gt;&lt;wsp:rsid wsp:val=&quot;00841F32&quot;/&gt;&lt;wsp:rsid wsp:val=&quot;00841FD5&quot;/&gt;&lt;wsp:rsid wsp:val=&quot;0084207E&quot;/&gt;&lt;wsp:rsid wsp:val=&quot;00843913&quot;/&gt;&lt;wsp:rsid wsp:val=&quot;00843B1E&quot;/&gt;&lt;wsp:rsid wsp:val=&quot;00843B27&quot;/&gt;&lt;wsp:rsid wsp:val=&quot;00844103&quot;/&gt;&lt;wsp:rsid wsp:val=&quot;008441EA&quot;/&gt;&lt;wsp:rsid wsp:val=&quot;00844794&quot;/&gt;&lt;wsp:rsid wsp:val=&quot;008447E6&quot;/&gt;&lt;wsp:rsid wsp:val=&quot;0084482C&quot;/&gt;&lt;wsp:rsid wsp:val=&quot;00845048&quot;/&gt;&lt;wsp:rsid wsp:val=&quot;008452FB&quot;/&gt;&lt;wsp:rsid wsp:val=&quot;008457C9&quot;/&gt;&lt;wsp:rsid wsp:val=&quot;00845898&quot;/&gt;&lt;wsp:rsid wsp:val=&quot;00845C8D&quot;/&gt;&lt;wsp:rsid wsp:val=&quot;00845F37&quot;/&gt;&lt;wsp:rsid wsp:val=&quot;0084642F&quot;/&gt;&lt;wsp:rsid wsp:val=&quot;00846458&quot;/&gt;&lt;wsp:rsid wsp:val=&quot;008465F4&quot;/&gt;&lt;wsp:rsid wsp:val=&quot;00846A80&quot;/&gt;&lt;wsp:rsid wsp:val=&quot;00847162&quot;/&gt;&lt;wsp:rsid wsp:val=&quot;008472BD&quot;/&gt;&lt;wsp:rsid wsp:val=&quot;008473E4&quot;/&gt;&lt;wsp:rsid wsp:val=&quot;008477EC&quot;/&gt;&lt;wsp:rsid wsp:val=&quot;008479D2&quot;/&gt;&lt;wsp:rsid wsp:val=&quot;00847D45&quot;/&gt;&lt;wsp:rsid wsp:val=&quot;00847DFB&quot;/&gt;&lt;wsp:rsid wsp:val=&quot;00847E31&quot;/&gt;&lt;wsp:rsid wsp:val=&quot;00850BAB&quot;/&gt;&lt;wsp:rsid wsp:val=&quot;00851693&quot;/&gt;&lt;wsp:rsid wsp:val=&quot;0085176F&quot;/&gt;&lt;wsp:rsid wsp:val=&quot;0085195C&quot;/&gt;&lt;wsp:rsid wsp:val=&quot;00851F11&quot;/&gt;&lt;wsp:rsid wsp:val=&quot;008521E1&quot;/&gt;&lt;wsp:rsid wsp:val=&quot;0085225F&quot;/&gt;&lt;wsp:rsid wsp:val=&quot;00852400&quot;/&gt;&lt;wsp:rsid wsp:val=&quot;00852D44&quot;/&gt;&lt;wsp:rsid wsp:val=&quot;008530EB&quot;/&gt;&lt;wsp:rsid wsp:val=&quot;0085337D&quot;/&gt;&lt;wsp:rsid wsp:val=&quot;008533E2&quot;/&gt;&lt;wsp:rsid wsp:val=&quot;0085363E&quot;/&gt;&lt;wsp:rsid wsp:val=&quot;00853EC8&quot;/&gt;&lt;wsp:rsid wsp:val=&quot;00853EDE&quot;/&gt;&lt;wsp:rsid wsp:val=&quot;0085402E&quot;/&gt;&lt;wsp:rsid wsp:val=&quot;008541BF&quot;/&gt;&lt;wsp:rsid wsp:val=&quot;008545D3&quot;/&gt;&lt;wsp:rsid wsp:val=&quot;00854628&quot;/&gt;&lt;wsp:rsid wsp:val=&quot;008547C4&quot;/&gt;&lt;wsp:rsid wsp:val=&quot;00854A4F&quot;/&gt;&lt;wsp:rsid wsp:val=&quot;00854D45&quot;/&gt;&lt;wsp:rsid wsp:val=&quot;00854F38&quot;/&gt;&lt;wsp:rsid wsp:val=&quot;00855083&quot;/&gt;&lt;wsp:rsid wsp:val=&quot;00855EDE&quot;/&gt;&lt;wsp:rsid wsp:val=&quot;00855F9C&quot;/&gt;&lt;wsp:rsid wsp:val=&quot;00856487&quot;/&gt;&lt;wsp:rsid wsp:val=&quot;0085684E&quot;/&gt;&lt;wsp:rsid wsp:val=&quot;00856EBC&quot;/&gt;&lt;wsp:rsid wsp:val=&quot;00857644&quot;/&gt;&lt;wsp:rsid wsp:val=&quot;00857B5D&quot;/&gt;&lt;wsp:rsid wsp:val=&quot;00857BD4&quot;/&gt;&lt;wsp:rsid wsp:val=&quot;00857C3A&quot;/&gt;&lt;wsp:rsid wsp:val=&quot;00857F77&quot;/&gt;&lt;wsp:rsid wsp:val=&quot;00860617&quot;/&gt;&lt;wsp:rsid wsp:val=&quot;008606ED&quot;/&gt;&lt;wsp:rsid wsp:val=&quot;0086099B&quot;/&gt;&lt;wsp:rsid wsp:val=&quot;00860CB8&quot;/&gt;&lt;wsp:rsid wsp:val=&quot;00860E78&quot;/&gt;&lt;wsp:rsid wsp:val=&quot;00860F42&quot;/&gt;&lt;wsp:rsid wsp:val=&quot;0086129F&quot;/&gt;&lt;wsp:rsid wsp:val=&quot;00861D60&quot;/&gt;&lt;wsp:rsid wsp:val=&quot;0086286D&quot;/&gt;&lt;wsp:rsid wsp:val=&quot;0086299E&quot;/&gt;&lt;wsp:rsid wsp:val=&quot;00862A79&quot;/&gt;&lt;wsp:rsid wsp:val=&quot;00862B26&quot;/&gt;&lt;wsp:rsid wsp:val=&quot;00862DF6&quot;/&gt;&lt;wsp:rsid wsp:val=&quot;0086306A&quot;/&gt;&lt;wsp:rsid wsp:val=&quot;0086392F&quot;/&gt;&lt;wsp:rsid wsp:val=&quot;00863A18&quot;/&gt;&lt;wsp:rsid wsp:val=&quot;00863A9C&quot;/&gt;&lt;wsp:rsid wsp:val=&quot;00863AAB&quot;/&gt;&lt;wsp:rsid wsp:val=&quot;00863B3E&quot;/&gt;&lt;wsp:rsid wsp:val=&quot;00863BCA&quot;/&gt;&lt;wsp:rsid wsp:val=&quot;00863C5D&quot;/&gt;&lt;wsp:rsid wsp:val=&quot;00864B9C&quot;/&gt;&lt;wsp:rsid wsp:val=&quot;00864DD5&quot;/&gt;&lt;wsp:rsid wsp:val=&quot;00864E60&quot;/&gt;&lt;wsp:rsid wsp:val=&quot;008651C2&quot;/&gt;&lt;wsp:rsid wsp:val=&quot;008656B8&quot;/&gt;&lt;wsp:rsid wsp:val=&quot;0086572F&quot;/&gt;&lt;wsp:rsid wsp:val=&quot;00865818&quot;/&gt;&lt;wsp:rsid wsp:val=&quot;0086582D&quot;/&gt;&lt;wsp:rsid wsp:val=&quot;00865D23&quot;/&gt;&lt;wsp:rsid wsp:val=&quot;00866052&quot;/&gt;&lt;wsp:rsid wsp:val=&quot;00866268&quot;/&gt;&lt;wsp:rsid wsp:val=&quot;008668B7&quot;/&gt;&lt;wsp:rsid wsp:val=&quot;00866EEA&quot;/&gt;&lt;wsp:rsid wsp:val=&quot;0086727A&quot;/&gt;&lt;wsp:rsid wsp:val=&quot;00867798&quot;/&gt;&lt;wsp:rsid wsp:val=&quot;008677CD&quot;/&gt;&lt;wsp:rsid wsp:val=&quot;00867A65&quot;/&gt;&lt;wsp:rsid wsp:val=&quot;00867C5A&quot;/&gt;&lt;wsp:rsid wsp:val=&quot;00867CB4&quot;/&gt;&lt;wsp:rsid wsp:val=&quot;00867CC3&quot;/&gt;&lt;wsp:rsid wsp:val=&quot;00867D03&quot;/&gt;&lt;wsp:rsid wsp:val=&quot;00867D35&quot;/&gt;&lt;wsp:rsid wsp:val=&quot;0087007F&quot;/&gt;&lt;wsp:rsid wsp:val=&quot;0087015A&quot;/&gt;&lt;wsp:rsid wsp:val=&quot;00870441&quot;/&gt;&lt;wsp:rsid wsp:val=&quot;008705CF&quot;/&gt;&lt;wsp:rsid wsp:val=&quot;00870F38&quot;/&gt;&lt;wsp:rsid wsp:val=&quot;00871074&quot;/&gt;&lt;wsp:rsid wsp:val=&quot;00871C8C&quot;/&gt;&lt;wsp:rsid wsp:val=&quot;008720CB&quot;/&gt;&lt;wsp:rsid wsp:val=&quot;008726A9&quot;/&gt;&lt;wsp:rsid wsp:val=&quot;00872787&quot;/&gt;&lt;wsp:rsid wsp:val=&quot;008729D0&quot;/&gt;&lt;wsp:rsid wsp:val=&quot;00872C40&quot;/&gt;&lt;wsp:rsid wsp:val=&quot;00872D7F&quot;/&gt;&lt;wsp:rsid wsp:val=&quot;00872DB3&quot;/&gt;&lt;wsp:rsid wsp:val=&quot;008736C3&quot;/&gt;&lt;wsp:rsid wsp:val=&quot;0087390D&quot;/&gt;&lt;wsp:rsid wsp:val=&quot;00873CBA&quot;/&gt;&lt;wsp:rsid wsp:val=&quot;00874008&quot;/&gt;&lt;wsp:rsid wsp:val=&quot;008740A4&quot;/&gt;&lt;wsp:rsid wsp:val=&quot;00874188&quot;/&gt;&lt;wsp:rsid wsp:val=&quot;0087486B&quot;/&gt;&lt;wsp:rsid wsp:val=&quot;00875314&quot;/&gt;&lt;wsp:rsid wsp:val=&quot;0087532C&quot;/&gt;&lt;wsp:rsid wsp:val=&quot;00875357&quot;/&gt;&lt;wsp:rsid wsp:val=&quot;00875535&quot;/&gt;&lt;wsp:rsid wsp:val=&quot;00875647&quot;/&gt;&lt;wsp:rsid wsp:val=&quot;00875C02&quot;/&gt;&lt;wsp:rsid wsp:val=&quot;00875C95&quot;/&gt;&lt;wsp:rsid wsp:val=&quot;0087627E&quot;/&gt;&lt;wsp:rsid wsp:val=&quot;00876323&quot;/&gt;&lt;wsp:rsid wsp:val=&quot;00876E08&quot;/&gt;&lt;wsp:rsid wsp:val=&quot;008771C4&quot;/&gt;&lt;wsp:rsid wsp:val=&quot;008771E1&quot;/&gt;&lt;wsp:rsid wsp:val=&quot;008772EF&quot;/&gt;&lt;wsp:rsid wsp:val=&quot;00877482&quot;/&gt;&lt;wsp:rsid wsp:val=&quot;0087793A&quot;/&gt;&lt;wsp:rsid wsp:val=&quot;00877A42&quot;/&gt;&lt;wsp:rsid wsp:val=&quot;00877CCA&quot;/&gt;&lt;wsp:rsid wsp:val=&quot;00877E26&quot;/&gt;&lt;wsp:rsid wsp:val=&quot;00877F97&quot;/&gt;&lt;wsp:rsid wsp:val=&quot;00880187&quot;/&gt;&lt;wsp:rsid wsp:val=&quot;008807B2&quot;/&gt;&lt;wsp:rsid wsp:val=&quot;00880B0F&quot;/&gt;&lt;wsp:rsid wsp:val=&quot;00880B38&quot;/&gt;&lt;wsp:rsid wsp:val=&quot;008810ED&quot;/&gt;&lt;wsp:rsid wsp:val=&quot;0088155F&quot;/&gt;&lt;wsp:rsid wsp:val=&quot;00881959&quot;/&gt;&lt;wsp:rsid wsp:val=&quot;00881ABE&quot;/&gt;&lt;wsp:rsid wsp:val=&quot;00881C47&quot;/&gt;&lt;wsp:rsid wsp:val=&quot;00881FA6&quot;/&gt;&lt;wsp:rsid wsp:val=&quot;00881FC5&quot;/&gt;&lt;wsp:rsid wsp:val=&quot;008827B5&quot;/&gt;&lt;wsp:rsid wsp:val=&quot;00882E0E&quot;/&gt;&lt;wsp:rsid wsp:val=&quot;00883479&quot;/&gt;&lt;wsp:rsid wsp:val=&quot;00883601&quot;/&gt;&lt;wsp:rsid wsp:val=&quot;00884438&quot;/&gt;&lt;wsp:rsid wsp:val=&quot;008845D2&quot;/&gt;&lt;wsp:rsid wsp:val=&quot;00884689&quot;/&gt;&lt;wsp:rsid wsp:val=&quot;00884986&quot;/&gt;&lt;wsp:rsid wsp:val=&quot;00884E3A&quot;/&gt;&lt;wsp:rsid wsp:val=&quot;00884F66&quot;/&gt;&lt;wsp:rsid wsp:val=&quot;00885945&quot;/&gt;&lt;wsp:rsid wsp:val=&quot;00886031&quot;/&gt;&lt;wsp:rsid wsp:val=&quot;00886287&quot;/&gt;&lt;wsp:rsid wsp:val=&quot;008865EF&quot;/&gt;&lt;wsp:rsid wsp:val=&quot;00886926&quot;/&gt;&lt;wsp:rsid wsp:val=&quot;008869CD&quot;/&gt;&lt;wsp:rsid wsp:val=&quot;00886C82&quot;/&gt;&lt;wsp:rsid wsp:val=&quot;00886CA9&quot;/&gt;&lt;wsp:rsid wsp:val=&quot;00886F3F&quot;/&gt;&lt;wsp:rsid wsp:val=&quot;00887159&quot;/&gt;&lt;wsp:rsid wsp:val=&quot;008871E3&quot;/&gt;&lt;wsp:rsid wsp:val=&quot;0088732A&quot;/&gt;&lt;wsp:rsid wsp:val=&quot;008876C3&quot;/&gt;&lt;wsp:rsid wsp:val=&quot;0088771E&quot;/&gt;&lt;wsp:rsid wsp:val=&quot;00887E0A&quot;/&gt;&lt;wsp:rsid wsp:val=&quot;00887F79&quot;/&gt;&lt;wsp:rsid wsp:val=&quot;00890178&quot;/&gt;&lt;wsp:rsid wsp:val=&quot;0089018B&quot;/&gt;&lt;wsp:rsid wsp:val=&quot;008908F5&quot;/&gt;&lt;wsp:rsid wsp:val=&quot;00890907&quot;/&gt;&lt;wsp:rsid wsp:val=&quot;00890DFA&quot;/&gt;&lt;wsp:rsid wsp:val=&quot;00890F78&quot;/&gt;&lt;wsp:rsid wsp:val=&quot;0089120C&quot;/&gt;&lt;wsp:rsid wsp:val=&quot;008912E6&quot;/&gt;&lt;wsp:rsid wsp:val=&quot;0089138D&quot;/&gt;&lt;wsp:rsid wsp:val=&quot;00891863&quot;/&gt;&lt;wsp:rsid wsp:val=&quot;00891FAF&quot;/&gt;&lt;wsp:rsid wsp:val=&quot;008925B1&quot;/&gt;&lt;wsp:rsid wsp:val=&quot;0089275F&quot;/&gt;&lt;wsp:rsid wsp:val=&quot;00892A3B&quot;/&gt;&lt;wsp:rsid wsp:val=&quot;00892CA5&quot;/&gt;&lt;wsp:rsid wsp:val=&quot;00892E00&quot;/&gt;&lt;wsp:rsid wsp:val=&quot;00892E48&quot;/&gt;&lt;wsp:rsid wsp:val=&quot;00892E84&quot;/&gt;&lt;wsp:rsid wsp:val=&quot;0089333C&quot;/&gt;&lt;wsp:rsid wsp:val=&quot;00893479&quot;/&gt;&lt;wsp:rsid wsp:val=&quot;00893902&quot;/&gt;&lt;wsp:rsid wsp:val=&quot;00893A12&quot;/&gt;&lt;wsp:rsid wsp:val=&quot;00894712&quot;/&gt;&lt;wsp:rsid wsp:val=&quot;00894888&quot;/&gt;&lt;wsp:rsid wsp:val=&quot;008949DC&quot;/&gt;&lt;wsp:rsid wsp:val=&quot;00894D38&quot;/&gt;&lt;wsp:rsid wsp:val=&quot;00894EB0&quot;/&gt;&lt;wsp:rsid wsp:val=&quot;008950DA&quot;/&gt;&lt;wsp:rsid wsp:val=&quot;00895431&quot;/&gt;&lt;wsp:rsid wsp:val=&quot;00896177&quot;/&gt;&lt;wsp:rsid wsp:val=&quot;0089699E&quot;/&gt;&lt;wsp:rsid wsp:val=&quot;00896A7F&quot;/&gt;&lt;wsp:rsid wsp:val=&quot;00897169&quot;/&gt;&lt;wsp:rsid wsp:val=&quot;00897285&quot;/&gt;&lt;wsp:rsid wsp:val=&quot;00897399&quot;/&gt;&lt;wsp:rsid wsp:val=&quot;00897681&quot;/&gt;&lt;wsp:rsid wsp:val=&quot;0089779C&quot;/&gt;&lt;wsp:rsid wsp:val=&quot;00897D80&quot;/&gt;&lt;wsp:rsid wsp:val=&quot;00897DD2&quot;/&gt;&lt;wsp:rsid wsp:val=&quot;008A0385&quot;/&gt;&lt;wsp:rsid wsp:val=&quot;008A0DCD&quot;/&gt;&lt;wsp:rsid wsp:val=&quot;008A0EDE&quot;/&gt;&lt;wsp:rsid wsp:val=&quot;008A0EE8&quot;/&gt;&lt;wsp:rsid wsp:val=&quot;008A1306&quot;/&gt;&lt;wsp:rsid wsp:val=&quot;008A14C4&quot;/&gt;&lt;wsp:rsid wsp:val=&quot;008A20A1&quot;/&gt;&lt;wsp:rsid wsp:val=&quot;008A241C&quot;/&gt;&lt;wsp:rsid wsp:val=&quot;008A247F&quot;/&gt;&lt;wsp:rsid wsp:val=&quot;008A25DF&quot;/&gt;&lt;wsp:rsid wsp:val=&quot;008A2A7F&quot;/&gt;&lt;wsp:rsid wsp:val=&quot;008A2BC2&quot;/&gt;&lt;wsp:rsid wsp:val=&quot;008A2EED&quot;/&gt;&lt;wsp:rsid wsp:val=&quot;008A3B93&quot;/&gt;&lt;wsp:rsid wsp:val=&quot;008A3C64&quot;/&gt;&lt;wsp:rsid wsp:val=&quot;008A3D0B&quot;/&gt;&lt;wsp:rsid wsp:val=&quot;008A3EBD&quot;/&gt;&lt;wsp:rsid wsp:val=&quot;008A3FE9&quot;/&gt;&lt;wsp:rsid wsp:val=&quot;008A4144&quot;/&gt;&lt;wsp:rsid wsp:val=&quot;008A4E20&quot;/&gt;&lt;wsp:rsid wsp:val=&quot;008A4EA3&quot;/&gt;&lt;wsp:rsid wsp:val=&quot;008A5893&quot;/&gt;&lt;wsp:rsid wsp:val=&quot;008A5F7B&quot;/&gt;&lt;wsp:rsid wsp:val=&quot;008A6419&quot;/&gt;&lt;wsp:rsid wsp:val=&quot;008A6E62&quot;/&gt;&lt;wsp:rsid wsp:val=&quot;008A7024&quot;/&gt;&lt;wsp:rsid wsp:val=&quot;008A760B&quot;/&gt;&lt;wsp:rsid wsp:val=&quot;008A7E5B&quot;/&gt;&lt;wsp:rsid wsp:val=&quot;008A7F16&quot;/&gt;&lt;wsp:rsid wsp:val=&quot;008A7FF1&quot;/&gt;&lt;wsp:rsid wsp:val=&quot;008B03B8&quot;/&gt;&lt;wsp:rsid wsp:val=&quot;008B0AEA&quot;/&gt;&lt;wsp:rsid wsp:val=&quot;008B0CE3&quot;/&gt;&lt;wsp:rsid wsp:val=&quot;008B0CFB&quot;/&gt;&lt;wsp:rsid wsp:val=&quot;008B0D74&quot;/&gt;&lt;wsp:rsid wsp:val=&quot;008B1657&quot;/&gt;&lt;wsp:rsid wsp:val=&quot;008B167F&quot;/&gt;&lt;wsp:rsid wsp:val=&quot;008B1B1E&quot;/&gt;&lt;wsp:rsid wsp:val=&quot;008B1C53&quot;/&gt;&lt;wsp:rsid wsp:val=&quot;008B1EDF&quot;/&gt;&lt;wsp:rsid wsp:val=&quot;008B21D4&quot;/&gt;&lt;wsp:rsid wsp:val=&quot;008B22BA&quot;/&gt;&lt;wsp:rsid wsp:val=&quot;008B2A6C&quot;/&gt;&lt;wsp:rsid wsp:val=&quot;008B2C88&quot;/&gt;&lt;wsp:rsid wsp:val=&quot;008B317E&quot;/&gt;&lt;wsp:rsid wsp:val=&quot;008B3BFC&quot;/&gt;&lt;wsp:rsid wsp:val=&quot;008B417A&quot;/&gt;&lt;wsp:rsid wsp:val=&quot;008B47DF&quot;/&gt;&lt;wsp:rsid wsp:val=&quot;008B4ACB&quot;/&gt;&lt;wsp:rsid wsp:val=&quot;008B4BD6&quot;/&gt;&lt;wsp:rsid wsp:val=&quot;008B4C4F&quot;/&gt;&lt;wsp:rsid wsp:val=&quot;008B4CD5&quot;/&gt;&lt;wsp:rsid wsp:val=&quot;008B4D67&quot;/&gt;&lt;wsp:rsid wsp:val=&quot;008B513C&quot;/&gt;&lt;wsp:rsid wsp:val=&quot;008B515C&quot;/&gt;&lt;wsp:rsid wsp:val=&quot;008B544C&quot;/&gt;&lt;wsp:rsid wsp:val=&quot;008B5962&quot;/&gt;&lt;wsp:rsid wsp:val=&quot;008B62D2&quot;/&gt;&lt;wsp:rsid wsp:val=&quot;008B6326&quot;/&gt;&lt;wsp:rsid wsp:val=&quot;008B6513&quot;/&gt;&lt;wsp:rsid wsp:val=&quot;008B6CC7&quot;/&gt;&lt;wsp:rsid wsp:val=&quot;008B7083&quot;/&gt;&lt;wsp:rsid wsp:val=&quot;008B79F6&quot;/&gt;&lt;wsp:rsid wsp:val=&quot;008B7BA6&quot;/&gt;&lt;wsp:rsid wsp:val=&quot;008B7BDD&quot;/&gt;&lt;wsp:rsid wsp:val=&quot;008C004F&quot;/&gt;&lt;wsp:rsid wsp:val=&quot;008C00FA&quot;/&gt;&lt;wsp:rsid wsp:val=&quot;008C031E&quot;/&gt;&lt;wsp:rsid wsp:val=&quot;008C0496&quot;/&gt;&lt;wsp:rsid wsp:val=&quot;008C0725&quot;/&gt;&lt;wsp:rsid wsp:val=&quot;008C09C3&quot;/&gt;&lt;wsp:rsid wsp:val=&quot;008C0A2C&quot;/&gt;&lt;wsp:rsid wsp:val=&quot;008C0CD1&quot;/&gt;&lt;wsp:rsid wsp:val=&quot;008C0FCD&quot;/&gt;&lt;wsp:rsid wsp:val=&quot;008C141C&quot;/&gt;&lt;wsp:rsid wsp:val=&quot;008C178B&quot;/&gt;&lt;wsp:rsid wsp:val=&quot;008C1CEF&quot;/&gt;&lt;wsp:rsid wsp:val=&quot;008C1FB8&quot;/&gt;&lt;wsp:rsid wsp:val=&quot;008C2188&quot;/&gt;&lt;wsp:rsid wsp:val=&quot;008C28FC&quot;/&gt;&lt;wsp:rsid wsp:val=&quot;008C2B53&quot;/&gt;&lt;wsp:rsid wsp:val=&quot;008C2C5D&quot;/&gt;&lt;wsp:rsid wsp:val=&quot;008C2DF1&quot;/&gt;&lt;wsp:rsid wsp:val=&quot;008C2E09&quot;/&gt;&lt;wsp:rsid wsp:val=&quot;008C2E73&quot;/&gt;&lt;wsp:rsid wsp:val=&quot;008C2F26&quot;/&gt;&lt;wsp:rsid wsp:val=&quot;008C304E&quot;/&gt;&lt;wsp:rsid wsp:val=&quot;008C3341&quot;/&gt;&lt;wsp:rsid wsp:val=&quot;008C3B27&quot;/&gt;&lt;wsp:rsid wsp:val=&quot;008C40F4&quot;/&gt;&lt;wsp:rsid wsp:val=&quot;008C4236&quot;/&gt;&lt;wsp:rsid wsp:val=&quot;008C440D&quot;/&gt;&lt;wsp:rsid wsp:val=&quot;008C45EB&quot;/&gt;&lt;wsp:rsid wsp:val=&quot;008C4AA7&quot;/&gt;&lt;wsp:rsid wsp:val=&quot;008C5370&quot;/&gt;&lt;wsp:rsid wsp:val=&quot;008C53E6&quot;/&gt;&lt;wsp:rsid wsp:val=&quot;008C61E8&quot;/&gt;&lt;wsp:rsid wsp:val=&quot;008C65D8&quot;/&gt;&lt;wsp:rsid wsp:val=&quot;008C6723&quot;/&gt;&lt;wsp:rsid wsp:val=&quot;008C69F0&quot;/&gt;&lt;wsp:rsid wsp:val=&quot;008C6F58&quot;/&gt;&lt;wsp:rsid wsp:val=&quot;008C71C6&quot;/&gt;&lt;wsp:rsid wsp:val=&quot;008C7236&quot;/&gt;&lt;wsp:rsid wsp:val=&quot;008C7457&quot;/&gt;&lt;wsp:rsid wsp:val=&quot;008C765C&quot;/&gt;&lt;wsp:rsid wsp:val=&quot;008C7731&quot;/&gt;&lt;wsp:rsid wsp:val=&quot;008C77E4&quot;/&gt;&lt;wsp:rsid wsp:val=&quot;008C7A0B&quot;/&gt;&lt;wsp:rsid wsp:val=&quot;008C7A60&quot;/&gt;&lt;wsp:rsid wsp:val=&quot;008C7B67&quot;/&gt;&lt;wsp:rsid wsp:val=&quot;008C7F15&quot;/&gt;&lt;wsp:rsid wsp:val=&quot;008D09DE&quot;/&gt;&lt;wsp:rsid wsp:val=&quot;008D0F15&quot;/&gt;&lt;wsp:rsid wsp:val=&quot;008D1621&quot;/&gt;&lt;wsp:rsid wsp:val=&quot;008D172B&quot;/&gt;&lt;wsp:rsid wsp:val=&quot;008D1BA5&quot;/&gt;&lt;wsp:rsid wsp:val=&quot;008D2C98&quot;/&gt;&lt;wsp:rsid wsp:val=&quot;008D3458&quot;/&gt;&lt;wsp:rsid wsp:val=&quot;008D345E&quot;/&gt;&lt;wsp:rsid wsp:val=&quot;008D3466&quot;/&gt;&lt;wsp:rsid wsp:val=&quot;008D3B15&quot;/&gt;&lt;wsp:rsid wsp:val=&quot;008D3B7B&quot;/&gt;&lt;wsp:rsid wsp:val=&quot;008D3C87&quot;/&gt;&lt;wsp:rsid wsp:val=&quot;008D4662&quot;/&gt;&lt;wsp:rsid wsp:val=&quot;008D46B1&quot;/&gt;&lt;wsp:rsid wsp:val=&quot;008D5085&quot;/&gt;&lt;wsp:rsid wsp:val=&quot;008D514A&quot;/&gt;&lt;wsp:rsid wsp:val=&quot;008D55C8&quot;/&gt;&lt;wsp:rsid wsp:val=&quot;008D621C&quot;/&gt;&lt;wsp:rsid wsp:val=&quot;008D656C&quot;/&gt;&lt;wsp:rsid wsp:val=&quot;008D6AB6&quot;/&gt;&lt;wsp:rsid wsp:val=&quot;008D6AEA&quot;/&gt;&lt;wsp:rsid wsp:val=&quot;008D6F9D&quot;/&gt;&lt;wsp:rsid wsp:val=&quot;008D72C8&quot;/&gt;&lt;wsp:rsid wsp:val=&quot;008D770F&quot;/&gt;&lt;wsp:rsid wsp:val=&quot;008D7967&quot;/&gt;&lt;wsp:rsid wsp:val=&quot;008D7A0C&quot;/&gt;&lt;wsp:rsid wsp:val=&quot;008D7B18&quot;/&gt;&lt;wsp:rsid wsp:val=&quot;008E0261&quot;/&gt;&lt;wsp:rsid wsp:val=&quot;008E050A&quot;/&gt;&lt;wsp:rsid wsp:val=&quot;008E06ED&quot;/&gt;&lt;wsp:rsid wsp:val=&quot;008E093D&quot;/&gt;&lt;wsp:rsid wsp:val=&quot;008E14EB&quot;/&gt;&lt;wsp:rsid wsp:val=&quot;008E15B8&quot;/&gt;&lt;wsp:rsid wsp:val=&quot;008E1948&quot;/&gt;&lt;wsp:rsid wsp:val=&quot;008E1BEC&quot;/&gt;&lt;wsp:rsid wsp:val=&quot;008E1CB1&quot;/&gt;&lt;wsp:rsid wsp:val=&quot;008E1F08&quot;/&gt;&lt;wsp:rsid wsp:val=&quot;008E2320&quot;/&gt;&lt;wsp:rsid wsp:val=&quot;008E240F&quot;/&gt;&lt;wsp:rsid wsp:val=&quot;008E2575&quot;/&gt;&lt;wsp:rsid wsp:val=&quot;008E2A9B&quot;/&gt;&lt;wsp:rsid wsp:val=&quot;008E2BD1&quot;/&gt;&lt;wsp:rsid wsp:val=&quot;008E3342&quot;/&gt;&lt;wsp:rsid wsp:val=&quot;008E3398&quot;/&gt;&lt;wsp:rsid wsp:val=&quot;008E39F4&quot;/&gt;&lt;wsp:rsid wsp:val=&quot;008E3B1C&quot;/&gt;&lt;wsp:rsid wsp:val=&quot;008E3EB2&quot;/&gt;&lt;wsp:rsid wsp:val=&quot;008E4C43&quot;/&gt;&lt;wsp:rsid wsp:val=&quot;008E52F2&quot;/&gt;&lt;wsp:rsid wsp:val=&quot;008E539B&quot;/&gt;&lt;wsp:rsid wsp:val=&quot;008E5769&quot;/&gt;&lt;wsp:rsid wsp:val=&quot;008E58ED&quot;/&gt;&lt;wsp:rsid wsp:val=&quot;008E5B55&quot;/&gt;&lt;wsp:rsid wsp:val=&quot;008E5BD6&quot;/&gt;&lt;wsp:rsid wsp:val=&quot;008E5F0C&quot;/&gt;&lt;wsp:rsid wsp:val=&quot;008E6158&quot;/&gt;&lt;wsp:rsid wsp:val=&quot;008E62F9&quot;/&gt;&lt;wsp:rsid wsp:val=&quot;008E6605&quot;/&gt;&lt;wsp:rsid wsp:val=&quot;008E673A&quot;/&gt;&lt;wsp:rsid wsp:val=&quot;008E67E1&quot;/&gt;&lt;wsp:rsid wsp:val=&quot;008E6921&quot;/&gt;&lt;wsp:rsid wsp:val=&quot;008E6AEC&quot;/&gt;&lt;wsp:rsid wsp:val=&quot;008E6BFD&quot;/&gt;&lt;wsp:rsid wsp:val=&quot;008E6CBC&quot;/&gt;&lt;wsp:rsid wsp:val=&quot;008E6F19&quot;/&gt;&lt;wsp:rsid wsp:val=&quot;008E79A0&quot;/&gt;&lt;wsp:rsid wsp:val=&quot;008E7DAA&quot;/&gt;&lt;wsp:rsid wsp:val=&quot;008F0505&quot;/&gt;&lt;wsp:rsid wsp:val=&quot;008F0771&quot;/&gt;&lt;wsp:rsid wsp:val=&quot;008F0966&quot;/&gt;&lt;wsp:rsid wsp:val=&quot;008F0E42&quot;/&gt;&lt;wsp:rsid wsp:val=&quot;008F0E74&quot;/&gt;&lt;wsp:rsid wsp:val=&quot;008F1131&quot;/&gt;&lt;wsp:rsid wsp:val=&quot;008F195C&quot;/&gt;&lt;wsp:rsid wsp:val=&quot;008F1A00&quot;/&gt;&lt;wsp:rsid wsp:val=&quot;008F1AD7&quot;/&gt;&lt;wsp:rsid wsp:val=&quot;008F22D5&quot;/&gt;&lt;wsp:rsid wsp:val=&quot;008F23C5&quot;/&gt;&lt;wsp:rsid wsp:val=&quot;008F26C8&quot;/&gt;&lt;wsp:rsid wsp:val=&quot;008F29EB&quot;/&gt;&lt;wsp:rsid wsp:val=&quot;008F2DDD&quot;/&gt;&lt;wsp:rsid wsp:val=&quot;008F30D9&quot;/&gt;&lt;wsp:rsid wsp:val=&quot;008F359F&quot;/&gt;&lt;wsp:rsid wsp:val=&quot;008F37EC&quot;/&gt;&lt;wsp:rsid wsp:val=&quot;008F3CF8&quot;/&gt;&lt;wsp:rsid wsp:val=&quot;008F3D5C&quot;/&gt;&lt;wsp:rsid wsp:val=&quot;008F3F23&quot;/&gt;&lt;wsp:rsid wsp:val=&quot;008F3F37&quot;/&gt;&lt;wsp:rsid wsp:val=&quot;008F46EB&quot;/&gt;&lt;wsp:rsid wsp:val=&quot;008F4BD8&quot;/&gt;&lt;wsp:rsid wsp:val=&quot;008F4D67&quot;/&gt;&lt;wsp:rsid wsp:val=&quot;008F4E9C&quot;/&gt;&lt;wsp:rsid wsp:val=&quot;008F514D&quot;/&gt;&lt;wsp:rsid wsp:val=&quot;008F546D&quot;/&gt;&lt;wsp:rsid wsp:val=&quot;008F5489&quot;/&gt;&lt;wsp:rsid wsp:val=&quot;008F5BE4&quot;/&gt;&lt;wsp:rsid wsp:val=&quot;008F5C1E&quot;/&gt;&lt;wsp:rsid wsp:val=&quot;008F5C8A&quot;/&gt;&lt;wsp:rsid wsp:val=&quot;008F601F&quot;/&gt;&lt;wsp:rsid wsp:val=&quot;008F6099&quot;/&gt;&lt;wsp:rsid wsp:val=&quot;008F618B&quot;/&gt;&lt;wsp:rsid wsp:val=&quot;008F667B&quot;/&gt;&lt;wsp:rsid wsp:val=&quot;008F6C87&quot;/&gt;&lt;wsp:rsid wsp:val=&quot;008F70CD&quot;/&gt;&lt;wsp:rsid wsp:val=&quot;008F7C27&quot;/&gt;&lt;wsp:rsid wsp:val=&quot;00900513&quot;/&gt;&lt;wsp:rsid wsp:val=&quot;00900E61&quot;/&gt;&lt;wsp:rsid wsp:val=&quot;0090117A&quot;/&gt;&lt;wsp:rsid wsp:val=&quot;0090154D&quot;/&gt;&lt;wsp:rsid wsp:val=&quot;00901580&quot;/&gt;&lt;wsp:rsid wsp:val=&quot;0090189D&quot;/&gt;&lt;wsp:rsid wsp:val=&quot;0090293D&quot;/&gt;&lt;wsp:rsid wsp:val=&quot;00902AC5&quot;/&gt;&lt;wsp:rsid wsp:val=&quot;00902C25&quot;/&gt;&lt;wsp:rsid wsp:val=&quot;0090300A&quot;/&gt;&lt;wsp:rsid wsp:val=&quot;00903216&quot;/&gt;&lt;wsp:rsid wsp:val=&quot;00903272&quot;/&gt;&lt;wsp:rsid wsp:val=&quot;00903532&quot;/&gt;&lt;wsp:rsid wsp:val=&quot;00903794&quot;/&gt;&lt;wsp:rsid wsp:val=&quot;00904FBC&quot;/&gt;&lt;wsp:rsid wsp:val=&quot;009055EB&quot;/&gt;&lt;wsp:rsid wsp:val=&quot;00905B69&quot;/&gt;&lt;wsp:rsid wsp:val=&quot;009060A8&quot;/&gt;&lt;wsp:rsid wsp:val=&quot;00906853&quot;/&gt;&lt;wsp:rsid wsp:val=&quot;00906856&quot;/&gt;&lt;wsp:rsid wsp:val=&quot;00906864&quot;/&gt;&lt;wsp:rsid wsp:val=&quot;00906A15&quot;/&gt;&lt;wsp:rsid wsp:val=&quot;00906ABF&quot;/&gt;&lt;wsp:rsid wsp:val=&quot;00906C11&quot;/&gt;&lt;wsp:rsid wsp:val=&quot;009071AE&quot;/&gt;&lt;wsp:rsid wsp:val=&quot;0090749D&quot;/&gt;&lt;wsp:rsid wsp:val=&quot;00907596&quot;/&gt;&lt;wsp:rsid wsp:val=&quot;0090764B&quot;/&gt;&lt;wsp:rsid wsp:val=&quot;009076CB&quot;/&gt;&lt;wsp:rsid wsp:val=&quot;009078AF&quot;/&gt;&lt;wsp:rsid wsp:val=&quot;00907EB1&quot;/&gt;&lt;wsp:rsid wsp:val=&quot;00907EEC&quot;/&gt;&lt;wsp:rsid wsp:val=&quot;009102C4&quot;/&gt;&lt;wsp:rsid wsp:val=&quot;00910BA2&quot;/&gt;&lt;wsp:rsid wsp:val=&quot;00910D04&quot;/&gt;&lt;wsp:rsid wsp:val=&quot;00910F7B&quot;/&gt;&lt;wsp:rsid wsp:val=&quot;009115C8&quot;/&gt;&lt;wsp:rsid wsp:val=&quot;00911733&quot;/&gt;&lt;wsp:rsid wsp:val=&quot;0091179B&quot;/&gt;&lt;wsp:rsid wsp:val=&quot;0091257C&quot;/&gt;&lt;wsp:rsid wsp:val=&quot;0091271F&quot;/&gt;&lt;wsp:rsid wsp:val=&quot;00912CE0&quot;/&gt;&lt;wsp:rsid wsp:val=&quot;00912DD2&quot;/&gt;&lt;wsp:rsid wsp:val=&quot;00912F07&quot;/&gt;&lt;wsp:rsid wsp:val=&quot;00912F87&quot;/&gt;&lt;wsp:rsid wsp:val=&quot;009132AA&quot;/&gt;&lt;wsp:rsid wsp:val=&quot;009135E5&quot;/&gt;&lt;wsp:rsid wsp:val=&quot;00913717&quot;/&gt;&lt;wsp:rsid wsp:val=&quot;00913790&quot;/&gt;&lt;wsp:rsid wsp:val=&quot;00913C7F&quot;/&gt;&lt;wsp:rsid wsp:val=&quot;00913D47&quot;/&gt;&lt;wsp:rsid wsp:val=&quot;00913E9D&quot;/&gt;&lt;wsp:rsid wsp:val=&quot;009143DF&quot;/&gt;&lt;wsp:rsid wsp:val=&quot;00914437&quot;/&gt;&lt;wsp:rsid wsp:val=&quot;009147CE&quot;/&gt;&lt;wsp:rsid wsp:val=&quot;00914AB9&quot;/&gt;&lt;wsp:rsid wsp:val=&quot;00914F69&quot;/&gt;&lt;wsp:rsid wsp:val=&quot;009157B4&quot;/&gt;&lt;wsp:rsid wsp:val=&quot;0091624C&quot;/&gt;&lt;wsp:rsid wsp:val=&quot;00916658&quot;/&gt;&lt;wsp:rsid wsp:val=&quot;00916E5A&quot;/&gt;&lt;wsp:rsid wsp:val=&quot;00917177&quot;/&gt;&lt;wsp:rsid wsp:val=&quot;009175C8&quot;/&gt;&lt;wsp:rsid wsp:val=&quot;00917B3B&quot;/&gt;&lt;wsp:rsid wsp:val=&quot;0092006C&quot;/&gt;&lt;wsp:rsid wsp:val=&quot;00920473&quot;/&gt;&lt;wsp:rsid wsp:val=&quot;0092088B&quot;/&gt;&lt;wsp:rsid wsp:val=&quot;00920AD2&quot;/&gt;&lt;wsp:rsid wsp:val=&quot;00920FA4&quot;/&gt;&lt;wsp:rsid wsp:val=&quot;0092109F&quot;/&gt;&lt;wsp:rsid wsp:val=&quot;00921510&quot;/&gt;&lt;wsp:rsid wsp:val=&quot;0092193B&quot;/&gt;&lt;wsp:rsid wsp:val=&quot;009219D3&quot;/&gt;&lt;wsp:rsid wsp:val=&quot;00921D32&quot;/&gt;&lt;wsp:rsid wsp:val=&quot;0092209F&quot;/&gt;&lt;wsp:rsid wsp:val=&quot;00922279&quot;/&gt;&lt;wsp:rsid wsp:val=&quot;00922548&quot;/&gt;&lt;wsp:rsid wsp:val=&quot;0092254B&quot;/&gt;&lt;wsp:rsid wsp:val=&quot;00922B18&quot;/&gt;&lt;wsp:rsid wsp:val=&quot;00923118&quot;/&gt;&lt;wsp:rsid wsp:val=&quot;009236E3&quot;/&gt;&lt;wsp:rsid wsp:val=&quot;00923A43&quot;/&gt;&lt;wsp:rsid wsp:val=&quot;00923AE0&quot;/&gt;&lt;wsp:rsid wsp:val=&quot;00923BC3&quot;/&gt;&lt;wsp:rsid wsp:val=&quot;00923E43&quot;/&gt;&lt;wsp:rsid wsp:val=&quot;00923F54&quot;/&gt;&lt;wsp:rsid wsp:val=&quot;00924E02&quot;/&gt;&lt;wsp:rsid wsp:val=&quot;00924E30&quot;/&gt;&lt;wsp:rsid wsp:val=&quot;009251D0&quot;/&gt;&lt;wsp:rsid wsp:val=&quot;00925774&quot;/&gt;&lt;wsp:rsid wsp:val=&quot;00925821&quot;/&gt;&lt;wsp:rsid wsp:val=&quot;00925FF3&quot;/&gt;&lt;wsp:rsid wsp:val=&quot;00926802&quot;/&gt;&lt;wsp:rsid wsp:val=&quot;009269F5&quot;/&gt;&lt;wsp:rsid wsp:val=&quot;00927BAA&quot;/&gt;&lt;wsp:rsid wsp:val=&quot;00927CCF&quot;/&gt;&lt;wsp:rsid wsp:val=&quot;00927DB4&quot;/&gt;&lt;wsp:rsid wsp:val=&quot;00927F77&quot;/&gt;&lt;wsp:rsid wsp:val=&quot;00927FEB&quot;/&gt;&lt;wsp:rsid wsp:val=&quot;009304F1&quot;/&gt;&lt;wsp:rsid wsp:val=&quot;00930641&quot;/&gt;&lt;wsp:rsid wsp:val=&quot;0093088D&quot;/&gt;&lt;wsp:rsid wsp:val=&quot;00930C11&quot;/&gt;&lt;wsp:rsid wsp:val=&quot;00930D0B&quot;/&gt;&lt;wsp:rsid wsp:val=&quot;00930DD3&quot;/&gt;&lt;wsp:rsid wsp:val=&quot;009313EC&quot;/&gt;&lt;wsp:rsid wsp:val=&quot;00931554&quot;/&gt;&lt;wsp:rsid wsp:val=&quot;00931B48&quot;/&gt;&lt;wsp:rsid wsp:val=&quot;00931CE2&quot;/&gt;&lt;wsp:rsid wsp:val=&quot;0093200C&quot;/&gt;&lt;wsp:rsid wsp:val=&quot;009325ED&quot;/&gt;&lt;wsp:rsid wsp:val=&quot;0093275E&quot;/&gt;&lt;wsp:rsid wsp:val=&quot;0093287D&quot;/&gt;&lt;wsp:rsid wsp:val=&quot;00932D4D&quot;/&gt;&lt;wsp:rsid wsp:val=&quot;00932DE2&quot;/&gt;&lt;wsp:rsid wsp:val=&quot;00932E21&quot;/&gt;&lt;wsp:rsid wsp:val=&quot;0093355D&quot;/&gt;&lt;wsp:rsid wsp:val=&quot;00933887&quot;/&gt;&lt;wsp:rsid wsp:val=&quot;009339E0&quot;/&gt;&lt;wsp:rsid wsp:val=&quot;00933DB8&quot;/&gt;&lt;wsp:rsid wsp:val=&quot;00933E9F&quot;/&gt;&lt;wsp:rsid wsp:val=&quot;0093457B&quot;/&gt;&lt;wsp:rsid wsp:val=&quot;00934D3B&quot;/&gt;&lt;wsp:rsid wsp:val=&quot;0093523C&quot;/&gt;&lt;wsp:rsid wsp:val=&quot;009352D1&quot;/&gt;&lt;wsp:rsid wsp:val=&quot;00935CC2&quot;/&gt;&lt;wsp:rsid wsp:val=&quot;00935D23&quot;/&gt;&lt;wsp:rsid wsp:val=&quot;0093605F&quot;/&gt;&lt;wsp:rsid wsp:val=&quot;009360C9&quot;/&gt;&lt;wsp:rsid wsp:val=&quot;00936545&quot;/&gt;&lt;wsp:rsid wsp:val=&quot;00936D64&quot;/&gt;&lt;wsp:rsid wsp:val=&quot;00936F3A&quot;/&gt;&lt;wsp:rsid wsp:val=&quot;00936F68&quot;/&gt;&lt;wsp:rsid wsp:val=&quot;00937205&quot;/&gt;&lt;wsp:rsid wsp:val=&quot;0093729E&quot;/&gt;&lt;wsp:rsid wsp:val=&quot;009378CC&quot;/&gt;&lt;wsp:rsid wsp:val=&quot;00937B53&quot;/&gt;&lt;wsp:rsid wsp:val=&quot;00937BA2&quot;/&gt;&lt;wsp:rsid wsp:val=&quot;00940009&quot;/&gt;&lt;wsp:rsid wsp:val=&quot;009403B1&quot;/&gt;&lt;wsp:rsid wsp:val=&quot;00940992&quot;/&gt;&lt;wsp:rsid wsp:val=&quot;00940B40&quot;/&gt;&lt;wsp:rsid wsp:val=&quot;00940B47&quot;/&gt;&lt;wsp:rsid wsp:val=&quot;00940C7A&quot;/&gt;&lt;wsp:rsid wsp:val=&quot;00940E2E&quot;/&gt;&lt;wsp:rsid wsp:val=&quot;00940ECD&quot;/&gt;&lt;wsp:rsid wsp:val=&quot;00941161&quot;/&gt;&lt;wsp:rsid wsp:val=&quot;0094116E&quot;/&gt;&lt;wsp:rsid wsp:val=&quot;00941302&quot;/&gt;&lt;wsp:rsid wsp:val=&quot;0094131C&quot;/&gt;&lt;wsp:rsid wsp:val=&quot;0094136B&quot;/&gt;&lt;wsp:rsid wsp:val=&quot;00941555&quot;/&gt;&lt;wsp:rsid wsp:val=&quot;00941B19&quot;/&gt;&lt;wsp:rsid wsp:val=&quot;009424BE&quot;/&gt;&lt;wsp:rsid wsp:val=&quot;009426FC&quot;/&gt;&lt;wsp:rsid wsp:val=&quot;009428F9&quot;/&gt;&lt;wsp:rsid wsp:val=&quot;00943268&quot;/&gt;&lt;wsp:rsid wsp:val=&quot;00943605&quot;/&gt;&lt;wsp:rsid wsp:val=&quot;00943812&quot;/&gt;&lt;wsp:rsid wsp:val=&quot;00943923&quot;/&gt;&lt;wsp:rsid wsp:val=&quot;00943EB7&quot;/&gt;&lt;wsp:rsid wsp:val=&quot;00943F71&quot;/&gt;&lt;wsp:rsid wsp:val=&quot;00943FBC&quot;/&gt;&lt;wsp:rsid wsp:val=&quot;009452AE&quot;/&gt;&lt;wsp:rsid wsp:val=&quot;00945548&quot;/&gt;&lt;wsp:rsid wsp:val=&quot;00945834&quot;/&gt;&lt;wsp:rsid wsp:val=&quot;009458E4&quot;/&gt;&lt;wsp:rsid wsp:val=&quot;00945A9F&quot;/&gt;&lt;wsp:rsid wsp:val=&quot;00945CDE&quot;/&gt;&lt;wsp:rsid wsp:val=&quot;00945DD4&quot;/&gt;&lt;wsp:rsid wsp:val=&quot;0094626E&quot;/&gt;&lt;wsp:rsid wsp:val=&quot;009463D7&quot;/&gt;&lt;wsp:rsid wsp:val=&quot;00946B1E&quot;/&gt;&lt;wsp:rsid wsp:val=&quot;00946EC2&quot;/&gt;&lt;wsp:rsid wsp:val=&quot;0094764A&quot;/&gt;&lt;wsp:rsid wsp:val=&quot;009479DB&quot;/&gt;&lt;wsp:rsid wsp:val=&quot;0095016A&quot;/&gt;&lt;wsp:rsid wsp:val=&quot;0095038D&quot;/&gt;&lt;wsp:rsid wsp:val=&quot;00951969&quot;/&gt;&lt;wsp:rsid wsp:val=&quot;00951BB1&quot;/&gt;&lt;wsp:rsid wsp:val=&quot;00951ED8&quot;/&gt;&lt;wsp:rsid wsp:val=&quot;009524C6&quot;/&gt;&lt;wsp:rsid wsp:val=&quot;009527FE&quot;/&gt;&lt;wsp:rsid wsp:val=&quot;00952805&quot;/&gt;&lt;wsp:rsid wsp:val=&quot;00952C7D&quot;/&gt;&lt;wsp:rsid wsp:val=&quot;00952ED4&quot;/&gt;&lt;wsp:rsid wsp:val=&quot;00953062&quot;/&gt;&lt;wsp:rsid wsp:val=&quot;00953263&quot;/&gt;&lt;wsp:rsid wsp:val=&quot;00953AFF&quot;/&gt;&lt;wsp:rsid wsp:val=&quot;00953BA1&quot;/&gt;&lt;wsp:rsid wsp:val=&quot;00953E7D&quot;/&gt;&lt;wsp:rsid wsp:val=&quot;00953FA0&quot;/&gt;&lt;wsp:rsid wsp:val=&quot;00954233&quot;/&gt;&lt;wsp:rsid wsp:val=&quot;00954283&quot;/&gt;&lt;wsp:rsid wsp:val=&quot;0095446D&quot;/&gt;&lt;wsp:rsid wsp:val=&quot;0095452A&quot;/&gt;&lt;wsp:rsid wsp:val=&quot;0095460C&quot;/&gt;&lt;wsp:rsid wsp:val=&quot;0095480E&quot;/&gt;&lt;wsp:rsid wsp:val=&quot;00954BAD&quot;/&gt;&lt;wsp:rsid wsp:val=&quot;00954E91&quot;/&gt;&lt;wsp:rsid wsp:val=&quot;009550C2&quot;/&gt;&lt;wsp:rsid wsp:val=&quot;0095533C&quot;/&gt;&lt;wsp:rsid wsp:val=&quot;009557A8&quot;/&gt;&lt;wsp:rsid wsp:val=&quot;00955DE6&quot;/&gt;&lt;wsp:rsid wsp:val=&quot;00955DF3&quot;/&gt;&lt;wsp:rsid wsp:val=&quot;00955DFE&quot;/&gt;&lt;wsp:rsid wsp:val=&quot;00955F0C&quot;/&gt;&lt;wsp:rsid wsp:val=&quot;009560F5&quot;/&gt;&lt;wsp:rsid wsp:val=&quot;00956C7D&quot;/&gt;&lt;wsp:rsid wsp:val=&quot;00956CDB&quot;/&gt;&lt;wsp:rsid wsp:val=&quot;0095730C&quot;/&gt;&lt;wsp:rsid wsp:val=&quot;00957695&quot;/&gt;&lt;wsp:rsid wsp:val=&quot;009576DE&quot;/&gt;&lt;wsp:rsid wsp:val=&quot;00957CC0&quot;/&gt;&lt;wsp:rsid wsp:val=&quot;00957D47&quot;/&gt;&lt;wsp:rsid wsp:val=&quot;00957EC5&quot;/&gt;&lt;wsp:rsid wsp:val=&quot;00960237&quot;/&gt;&lt;wsp:rsid wsp:val=&quot;0096032B&quot;/&gt;&lt;wsp:rsid wsp:val=&quot;009606AB&quot;/&gt;&lt;wsp:rsid wsp:val=&quot;009609B8&quot;/&gt;&lt;wsp:rsid wsp:val=&quot;00960A1B&quot;/&gt;&lt;wsp:rsid wsp:val=&quot;00960A5B&quot;/&gt;&lt;wsp:rsid wsp:val=&quot;00960DD3&quot;/&gt;&lt;wsp:rsid wsp:val=&quot;00960DF8&quot;/&gt;&lt;wsp:rsid wsp:val=&quot;00960F40&quot;/&gt;&lt;wsp:rsid wsp:val=&quot;00960FA4&quot;/&gt;&lt;wsp:rsid wsp:val=&quot;00961315&quot;/&gt;&lt;wsp:rsid wsp:val=&quot;0096148D&quot;/&gt;&lt;wsp:rsid wsp:val=&quot;00962566&quot;/&gt;&lt;wsp:rsid wsp:val=&quot;00962DEC&quot;/&gt;&lt;wsp:rsid wsp:val=&quot;0096305B&quot;/&gt;&lt;wsp:rsid wsp:val=&quot;00963321&quot;/&gt;&lt;wsp:rsid wsp:val=&quot;0096374E&quot;/&gt;&lt;wsp:rsid wsp:val=&quot;0096384C&quot;/&gt;&lt;wsp:rsid wsp:val=&quot;00963990&quot;/&gt;&lt;wsp:rsid wsp:val=&quot;00963F3E&quot;/&gt;&lt;wsp:rsid wsp:val=&quot;00963FB5&quot;/&gt;&lt;wsp:rsid wsp:val=&quot;00964615&quot;/&gt;&lt;wsp:rsid wsp:val=&quot;00964654&quot;/&gt;&lt;wsp:rsid wsp:val=&quot;009648C7&quot;/&gt;&lt;wsp:rsid wsp:val=&quot;00964F94&quot;/&gt;&lt;wsp:rsid wsp:val=&quot;009655CE&quot;/&gt;&lt;wsp:rsid wsp:val=&quot;00965D54&quot;/&gt;&lt;wsp:rsid wsp:val=&quot;009662CE&quot;/&gt;&lt;wsp:rsid wsp:val=&quot;00966480&quot;/&gt;&lt;wsp:rsid wsp:val=&quot;009667B5&quot;/&gt;&lt;wsp:rsid wsp:val=&quot;0096690C&quot;/&gt;&lt;wsp:rsid wsp:val=&quot;00966956&quot;/&gt;&lt;wsp:rsid wsp:val=&quot;00966A9F&quot;/&gt;&lt;wsp:rsid wsp:val=&quot;0096711A&quot;/&gt;&lt;wsp:rsid wsp:val=&quot;00967304&quot;/&gt;&lt;wsp:rsid wsp:val=&quot;00967551&quot;/&gt;&lt;wsp:rsid wsp:val=&quot;009675E9&quot;/&gt;&lt;wsp:rsid wsp:val=&quot;009677A1&quot;/&gt;&lt;wsp:rsid wsp:val=&quot;00970D50&quot;/&gt;&lt;wsp:rsid wsp:val=&quot;00970FEB&quot;/&gt;&lt;wsp:rsid wsp:val=&quot;00971110&quot;/&gt;&lt;wsp:rsid wsp:val=&quot;0097136E&quot;/&gt;&lt;wsp:rsid wsp:val=&quot;009713D0&quot;/&gt;&lt;wsp:rsid wsp:val=&quot;00971927&quot;/&gt;&lt;wsp:rsid wsp:val=&quot;00971969&quot;/&gt;&lt;wsp:rsid wsp:val=&quot;00971BC7&quot;/&gt;&lt;wsp:rsid wsp:val=&quot;00971C05&quot;/&gt;&lt;wsp:rsid wsp:val=&quot;00971CAA&quot;/&gt;&lt;wsp:rsid wsp:val=&quot;00972210&quot;/&gt;&lt;wsp:rsid wsp:val=&quot;0097343E&quot;/&gt;&lt;wsp:rsid wsp:val=&quot;00973AAB&quot;/&gt;&lt;wsp:rsid wsp:val=&quot;00973C00&quot;/&gt;&lt;wsp:rsid wsp:val=&quot;00973D92&quot;/&gt;&lt;wsp:rsid wsp:val=&quot;00973E53&quot;/&gt;&lt;wsp:rsid wsp:val=&quot;00974110&quot;/&gt;&lt;wsp:rsid wsp:val=&quot;009741DD&quot;/&gt;&lt;wsp:rsid wsp:val=&quot;009742E5&quot;/&gt;&lt;wsp:rsid wsp:val=&quot;00974907&quot;/&gt;&lt;wsp:rsid wsp:val=&quot;00974AE7&quot;/&gt;&lt;wsp:rsid wsp:val=&quot;0097550F&quot;/&gt;&lt;wsp:rsid wsp:val=&quot;0097594A&quot;/&gt;&lt;wsp:rsid wsp:val=&quot;009759C3&quot;/&gt;&lt;wsp:rsid wsp:val=&quot;00975A0E&quot;/&gt;&lt;wsp:rsid wsp:val=&quot;00976090&quot;/&gt;&lt;wsp:rsid wsp:val=&quot;0097735E&quot;/&gt;&lt;wsp:rsid wsp:val=&quot;0097784C&quot;/&gt;&lt;wsp:rsid wsp:val=&quot;009778A0&quot;/&gt;&lt;wsp:rsid wsp:val=&quot;00977B6E&quot;/&gt;&lt;wsp:rsid wsp:val=&quot;00977D78&quot;/&gt;&lt;wsp:rsid wsp:val=&quot;009801FA&quot;/&gt;&lt;wsp:rsid wsp:val=&quot;00980377&quot;/&gt;&lt;wsp:rsid wsp:val=&quot;00980390&quot;/&gt;&lt;wsp:rsid wsp:val=&quot;009803F5&quot;/&gt;&lt;wsp:rsid wsp:val=&quot;00980790&quot;/&gt;&lt;wsp:rsid wsp:val=&quot;00980BB9&quot;/&gt;&lt;wsp:rsid wsp:val=&quot;00980E2A&quot;/&gt;&lt;wsp:rsid wsp:val=&quot;00980EC8&quot;/&gt;&lt;wsp:rsid wsp:val=&quot;009815C2&quot;/&gt;&lt;wsp:rsid wsp:val=&quot;0098278D&quot;/&gt;&lt;wsp:rsid wsp:val=&quot;00982AC4&quot;/&gt;&lt;wsp:rsid wsp:val=&quot;0098346C&quot;/&gt;&lt;wsp:rsid wsp:val=&quot;0098353D&quot;/&gt;&lt;wsp:rsid wsp:val=&quot;009835FB&quot;/&gt;&lt;wsp:rsid wsp:val=&quot;00983797&quot;/&gt;&lt;wsp:rsid wsp:val=&quot;00983827&quot;/&gt;&lt;wsp:rsid wsp:val=&quot;0098488D&quot;/&gt;&lt;wsp:rsid wsp:val=&quot;00984A8C&quot;/&gt;&lt;wsp:rsid wsp:val=&quot;00984AAD&quot;/&gt;&lt;wsp:rsid wsp:val=&quot;00984B8B&quot;/&gt;&lt;wsp:rsid wsp:val=&quot;00984D74&quot;/&gt;&lt;wsp:rsid wsp:val=&quot;00984DD8&quot;/&gt;&lt;wsp:rsid wsp:val=&quot;0098508E&quot;/&gt;&lt;wsp:rsid wsp:val=&quot;009852F4&quot;/&gt;&lt;wsp:rsid wsp:val=&quot;009859BF&quot;/&gt;&lt;wsp:rsid wsp:val=&quot;00987163&quot;/&gt;&lt;wsp:rsid wsp:val=&quot;0098754F&quot;/&gt;&lt;wsp:rsid wsp:val=&quot;00987980&quot;/&gt;&lt;wsp:rsid wsp:val=&quot;00987E89&quot;/&gt;&lt;wsp:rsid wsp:val=&quot;00991459&quot;/&gt;&lt;wsp:rsid wsp:val=&quot;00991671&quot;/&gt;&lt;wsp:rsid wsp:val=&quot;00991782&quot;/&gt;&lt;wsp:rsid wsp:val=&quot;009917E3&quot;/&gt;&lt;wsp:rsid wsp:val=&quot;00991A13&quot;/&gt;&lt;wsp:rsid wsp:val=&quot;00991E2A&quot;/&gt;&lt;wsp:rsid wsp:val=&quot;009921AD&quot;/&gt;&lt;wsp:rsid wsp:val=&quot;009921D4&quot;/&gt;&lt;wsp:rsid wsp:val=&quot;0099278A&quot;/&gt;&lt;wsp:rsid wsp:val=&quot;00992869&quot;/&gt;&lt;wsp:rsid wsp:val=&quot;00992C3D&quot;/&gt;&lt;wsp:rsid wsp:val=&quot;00992DE3&quot;/&gt;&lt;wsp:rsid wsp:val=&quot;0099312A&quot;/&gt;&lt;wsp:rsid wsp:val=&quot;00993200&quot;/&gt;&lt;wsp:rsid wsp:val=&quot;00993249&quot;/&gt;&lt;wsp:rsid wsp:val=&quot;00993475&quot;/&gt;&lt;wsp:rsid wsp:val=&quot;00993B49&quot;/&gt;&lt;wsp:rsid wsp:val=&quot;00993BD3&quot;/&gt;&lt;wsp:rsid wsp:val=&quot;00994D3E&quot;/&gt;&lt;wsp:rsid wsp:val=&quot;009955E0&quot;/&gt;&lt;wsp:rsid wsp:val=&quot;00995611&quot;/&gt;&lt;wsp:rsid wsp:val=&quot;009957D0&quot;/&gt;&lt;wsp:rsid wsp:val=&quot;009958F6&quot;/&gt;&lt;wsp:rsid wsp:val=&quot;00995A30&quot;/&gt;&lt;wsp:rsid wsp:val=&quot;00995C78&quot;/&gt;&lt;wsp:rsid wsp:val=&quot;00995D52&quot;/&gt;&lt;wsp:rsid wsp:val=&quot;00995D62&quot;/&gt;&lt;wsp:rsid wsp:val=&quot;00995EED&quot;/&gt;&lt;wsp:rsid wsp:val=&quot;0099609C&quot;/&gt;&lt;wsp:rsid wsp:val=&quot;009967AD&quot;/&gt;&lt;wsp:rsid wsp:val=&quot;00996821&quot;/&gt;&lt;wsp:rsid wsp:val=&quot;009969C4&quot;/&gt;&lt;wsp:rsid wsp:val=&quot;00996C5E&quot;/&gt;&lt;wsp:rsid wsp:val=&quot;00996E57&quot;/&gt;&lt;wsp:rsid wsp:val=&quot;009972EB&quot;/&gt;&lt;wsp:rsid wsp:val=&quot;00997809&quot;/&gt;&lt;wsp:rsid wsp:val=&quot;009A00EF&quot;/&gt;&lt;wsp:rsid wsp:val=&quot;009A031D&quot;/&gt;&lt;wsp:rsid wsp:val=&quot;009A0546&quot;/&gt;&lt;wsp:rsid wsp:val=&quot;009A0691&quot;/&gt;&lt;wsp:rsid wsp:val=&quot;009A0AA4&quot;/&gt;&lt;wsp:rsid wsp:val=&quot;009A1202&quot;/&gt;&lt;wsp:rsid wsp:val=&quot;009A16E8&quot;/&gt;&lt;wsp:rsid wsp:val=&quot;009A170E&quot;/&gt;&lt;wsp:rsid wsp:val=&quot;009A1756&quot;/&gt;&lt;wsp:rsid wsp:val=&quot;009A179F&quot;/&gt;&lt;wsp:rsid wsp:val=&quot;009A1F5C&quot;/&gt;&lt;wsp:rsid wsp:val=&quot;009A215F&quot;/&gt;&lt;wsp:rsid wsp:val=&quot;009A24E6&quot;/&gt;&lt;wsp:rsid wsp:val=&quot;009A24F6&quot;/&gt;&lt;wsp:rsid wsp:val=&quot;009A2528&quot;/&gt;&lt;wsp:rsid wsp:val=&quot;009A261F&quot;/&gt;&lt;wsp:rsid wsp:val=&quot;009A295F&quot;/&gt;&lt;wsp:rsid wsp:val=&quot;009A2EEB&quot;/&gt;&lt;wsp:rsid wsp:val=&quot;009A3A57&quot;/&gt;&lt;wsp:rsid wsp:val=&quot;009A3CCC&quot;/&gt;&lt;wsp:rsid wsp:val=&quot;009A4396&quot;/&gt;&lt;wsp:rsid wsp:val=&quot;009A452F&quot;/&gt;&lt;wsp:rsid wsp:val=&quot;009A46B8&quot;/&gt;&lt;wsp:rsid wsp:val=&quot;009A4725&quot;/&gt;&lt;wsp:rsid wsp:val=&quot;009A4863&quot;/&gt;&lt;wsp:rsid wsp:val=&quot;009A4996&quot;/&gt;&lt;wsp:rsid wsp:val=&quot;009A4BC2&quot;/&gt;&lt;wsp:rsid wsp:val=&quot;009A4F9A&quot;/&gt;&lt;wsp:rsid wsp:val=&quot;009A5039&quot;/&gt;&lt;wsp:rsid wsp:val=&quot;009A519E&quot;/&gt;&lt;wsp:rsid wsp:val=&quot;009A5423&quot;/&gt;&lt;wsp:rsid wsp:val=&quot;009A5468&quot;/&gt;&lt;wsp:rsid wsp:val=&quot;009A57B5&quot;/&gt;&lt;wsp:rsid wsp:val=&quot;009A5B9A&quot;/&gt;&lt;wsp:rsid wsp:val=&quot;009A5E75&quot;/&gt;&lt;wsp:rsid wsp:val=&quot;009A60AE&quot;/&gt;&lt;wsp:rsid wsp:val=&quot;009A616D&quot;/&gt;&lt;wsp:rsid wsp:val=&quot;009A6712&quot;/&gt;&lt;wsp:rsid wsp:val=&quot;009A68F1&quot;/&gt;&lt;wsp:rsid wsp:val=&quot;009A6A5B&quot;/&gt;&lt;wsp:rsid wsp:val=&quot;009A6B39&quot;/&gt;&lt;wsp:rsid wsp:val=&quot;009A6D9B&quot;/&gt;&lt;wsp:rsid wsp:val=&quot;009A7078&quot;/&gt;&lt;wsp:rsid wsp:val=&quot;009A751C&quot;/&gt;&lt;wsp:rsid wsp:val=&quot;009A7768&quot;/&gt;&lt;wsp:rsid wsp:val=&quot;009A778F&quot;/&gt;&lt;wsp:rsid wsp:val=&quot;009A7BB0&quot;/&gt;&lt;wsp:rsid wsp:val=&quot;009A7BFB&quot;/&gt;&lt;wsp:rsid wsp:val=&quot;009A7C9E&quot;/&gt;&lt;wsp:rsid wsp:val=&quot;009B030A&quot;/&gt;&lt;wsp:rsid wsp:val=&quot;009B0BA0&quot;/&gt;&lt;wsp:rsid wsp:val=&quot;009B0D0E&quot;/&gt;&lt;wsp:rsid wsp:val=&quot;009B0D1C&quot;/&gt;&lt;wsp:rsid wsp:val=&quot;009B1D40&quot;/&gt;&lt;wsp:rsid wsp:val=&quot;009B2453&quot;/&gt;&lt;wsp:rsid wsp:val=&quot;009B25C0&quot;/&gt;&lt;wsp:rsid wsp:val=&quot;009B2649&quot;/&gt;&lt;wsp:rsid wsp:val=&quot;009B27CF&quot;/&gt;&lt;wsp:rsid wsp:val=&quot;009B2818&quot;/&gt;&lt;wsp:rsid wsp:val=&quot;009B2A7E&quot;/&gt;&lt;wsp:rsid wsp:val=&quot;009B2AAF&quot;/&gt;&lt;wsp:rsid wsp:val=&quot;009B2AFC&quot;/&gt;&lt;wsp:rsid wsp:val=&quot;009B2B4B&quot;/&gt;&lt;wsp:rsid wsp:val=&quot;009B2DDF&quot;/&gt;&lt;wsp:rsid wsp:val=&quot;009B3261&quot;/&gt;&lt;wsp:rsid wsp:val=&quot;009B3DE1&quot;/&gt;&lt;wsp:rsid wsp:val=&quot;009B4723&quot;/&gt;&lt;wsp:rsid wsp:val=&quot;009B4B92&quot;/&gt;&lt;wsp:rsid wsp:val=&quot;009B54B4&quot;/&gt;&lt;wsp:rsid wsp:val=&quot;009B5A4D&quot;/&gt;&lt;wsp:rsid wsp:val=&quot;009B5BB6&quot;/&gt;&lt;wsp:rsid wsp:val=&quot;009B6CDE&quot;/&gt;&lt;wsp:rsid wsp:val=&quot;009B7120&quot;/&gt;&lt;wsp:rsid wsp:val=&quot;009B79FA&quot;/&gt;&lt;wsp:rsid wsp:val=&quot;009B7A35&quot;/&gt;&lt;wsp:rsid wsp:val=&quot;009B7B82&quot;/&gt;&lt;wsp:rsid wsp:val=&quot;009B7DC2&quot;/&gt;&lt;wsp:rsid wsp:val=&quot;009C053E&quot;/&gt;&lt;wsp:rsid wsp:val=&quot;009C06B6&quot;/&gt;&lt;wsp:rsid wsp:val=&quot;009C08EA&quot;/&gt;&lt;wsp:rsid wsp:val=&quot;009C09FD&quot;/&gt;&lt;wsp:rsid wsp:val=&quot;009C0D5C&quot;/&gt;&lt;wsp:rsid wsp:val=&quot;009C1451&quot;/&gt;&lt;wsp:rsid wsp:val=&quot;009C1F4F&quot;/&gt;&lt;wsp:rsid wsp:val=&quot;009C2072&quot;/&gt;&lt;wsp:rsid wsp:val=&quot;009C23D6&quot;/&gt;&lt;wsp:rsid wsp:val=&quot;009C2722&quot;/&gt;&lt;wsp:rsid wsp:val=&quot;009C2729&quot;/&gt;&lt;wsp:rsid wsp:val=&quot;009C2784&quot;/&gt;&lt;wsp:rsid wsp:val=&quot;009C2AEA&quot;/&gt;&lt;wsp:rsid wsp:val=&quot;009C2C3F&quot;/&gt;&lt;wsp:rsid wsp:val=&quot;009C2FDD&quot;/&gt;&lt;wsp:rsid wsp:val=&quot;009C34F9&quot;/&gt;&lt;wsp:rsid wsp:val=&quot;009C35E7&quot;/&gt;&lt;wsp:rsid wsp:val=&quot;009C36E7&quot;/&gt;&lt;wsp:rsid wsp:val=&quot;009C38E9&quot;/&gt;&lt;wsp:rsid wsp:val=&quot;009C39F3&quot;/&gt;&lt;wsp:rsid wsp:val=&quot;009C3E94&quot;/&gt;&lt;wsp:rsid wsp:val=&quot;009C3FCC&quot;/&gt;&lt;wsp:rsid wsp:val=&quot;009C4BE5&quot;/&gt;&lt;wsp:rsid wsp:val=&quot;009C4ED7&quot;/&gt;&lt;wsp:rsid wsp:val=&quot;009C4F74&quot;/&gt;&lt;wsp:rsid wsp:val=&quot;009C5115&quot;/&gt;&lt;wsp:rsid wsp:val=&quot;009C517E&quot;/&gt;&lt;wsp:rsid wsp:val=&quot;009C542D&quot;/&gt;&lt;wsp:rsid wsp:val=&quot;009C57E9&quot;/&gt;&lt;wsp:rsid wsp:val=&quot;009C5B1C&quot;/&gt;&lt;wsp:rsid wsp:val=&quot;009C5BC1&quot;/&gt;&lt;wsp:rsid wsp:val=&quot;009C6835&quot;/&gt;&lt;wsp:rsid wsp:val=&quot;009C696A&quot;/&gt;&lt;wsp:rsid wsp:val=&quot;009C6BF5&quot;/&gt;&lt;wsp:rsid wsp:val=&quot;009C708E&quot;/&gt;&lt;wsp:rsid wsp:val=&quot;009C715D&quot;/&gt;&lt;wsp:rsid wsp:val=&quot;009C76B8&quot;/&gt;&lt;wsp:rsid wsp:val=&quot;009C7E16&quot;/&gt;&lt;wsp:rsid wsp:val=&quot;009C7E8B&quot;/&gt;&lt;wsp:rsid wsp:val=&quot;009C7F54&quot;/&gt;&lt;wsp:rsid wsp:val=&quot;009C7F9F&quot;/&gt;&lt;wsp:rsid wsp:val=&quot;009D04EE&quot;/&gt;&lt;wsp:rsid wsp:val=&quot;009D07C5&quot;/&gt;&lt;wsp:rsid wsp:val=&quot;009D0A80&quot;/&gt;&lt;wsp:rsid wsp:val=&quot;009D0AA1&quot;/&gt;&lt;wsp:rsid wsp:val=&quot;009D0AF6&quot;/&gt;&lt;wsp:rsid wsp:val=&quot;009D0B58&quot;/&gt;&lt;wsp:rsid wsp:val=&quot;009D0BEB&quot;/&gt;&lt;wsp:rsid wsp:val=&quot;009D11AD&quot;/&gt;&lt;wsp:rsid wsp:val=&quot;009D1479&quot;/&gt;&lt;wsp:rsid wsp:val=&quot;009D15E4&quot;/&gt;&lt;wsp:rsid wsp:val=&quot;009D162D&quot;/&gt;&lt;wsp:rsid wsp:val=&quot;009D17A0&quot;/&gt;&lt;wsp:rsid wsp:val=&quot;009D19F1&quot;/&gt;&lt;wsp:rsid wsp:val=&quot;009D2125&quot;/&gt;&lt;wsp:rsid wsp:val=&quot;009D227E&quot;/&gt;&lt;wsp:rsid wsp:val=&quot;009D23AA&quot;/&gt;&lt;wsp:rsid wsp:val=&quot;009D23C0&quot;/&gt;&lt;wsp:rsid wsp:val=&quot;009D281F&quot;/&gt;&lt;wsp:rsid wsp:val=&quot;009D298A&quot;/&gt;&lt;wsp:rsid wsp:val=&quot;009D29F0&quot;/&gt;&lt;wsp:rsid wsp:val=&quot;009D2B6B&quot;/&gt;&lt;wsp:rsid wsp:val=&quot;009D2BE3&quot;/&gt;&lt;wsp:rsid wsp:val=&quot;009D2E4A&quot;/&gt;&lt;wsp:rsid wsp:val=&quot;009D2EBB&quot;/&gt;&lt;wsp:rsid wsp:val=&quot;009D2FBB&quot;/&gt;&lt;wsp:rsid wsp:val=&quot;009D31E6&quot;/&gt;&lt;wsp:rsid wsp:val=&quot;009D35BB&quot;/&gt;&lt;wsp:rsid wsp:val=&quot;009D3A39&quot;/&gt;&lt;wsp:rsid wsp:val=&quot;009D3AE1&quot;/&gt;&lt;wsp:rsid wsp:val=&quot;009D3AF5&quot;/&gt;&lt;wsp:rsid wsp:val=&quot;009D461A&quot;/&gt;&lt;wsp:rsid wsp:val=&quot;009D56D5&quot;/&gt;&lt;wsp:rsid wsp:val=&quot;009D57B6&quot;/&gt;&lt;wsp:rsid wsp:val=&quot;009D5916&quot;/&gt;&lt;wsp:rsid wsp:val=&quot;009D5D5E&quot;/&gt;&lt;wsp:rsid wsp:val=&quot;009D6099&quot;/&gt;&lt;wsp:rsid wsp:val=&quot;009D61D7&quot;/&gt;&lt;wsp:rsid wsp:val=&quot;009D61E5&quot;/&gt;&lt;wsp:rsid wsp:val=&quot;009D6605&quot;/&gt;&lt;wsp:rsid wsp:val=&quot;009D67EA&quot;/&gt;&lt;wsp:rsid wsp:val=&quot;009D6ABA&quot;/&gt;&lt;wsp:rsid wsp:val=&quot;009D6ABF&quot;/&gt;&lt;wsp:rsid wsp:val=&quot;009D6D5A&quot;/&gt;&lt;wsp:rsid wsp:val=&quot;009D79DB&quot;/&gt;&lt;wsp:rsid wsp:val=&quot;009D7A84&quot;/&gt;&lt;wsp:rsid wsp:val=&quot;009D7AB4&quot;/&gt;&lt;wsp:rsid wsp:val=&quot;009D7D1E&quot;/&gt;&lt;wsp:rsid wsp:val=&quot;009D7FD1&quot;/&gt;&lt;wsp:rsid wsp:val=&quot;009E037F&quot;/&gt;&lt;wsp:rsid wsp:val=&quot;009E07DE&quot;/&gt;&lt;wsp:rsid wsp:val=&quot;009E0BCD&quot;/&gt;&lt;wsp:rsid wsp:val=&quot;009E0BEF&quot;/&gt;&lt;wsp:rsid wsp:val=&quot;009E0DD7&quot;/&gt;&lt;wsp:rsid wsp:val=&quot;009E0F4D&quot;/&gt;&lt;wsp:rsid wsp:val=&quot;009E0FB4&quot;/&gt;&lt;wsp:rsid wsp:val=&quot;009E1086&quot;/&gt;&lt;wsp:rsid wsp:val=&quot;009E1294&quot;/&gt;&lt;wsp:rsid wsp:val=&quot;009E19F8&quot;/&gt;&lt;wsp:rsid wsp:val=&quot;009E1C77&quot;/&gt;&lt;wsp:rsid wsp:val=&quot;009E2DEE&quot;/&gt;&lt;wsp:rsid wsp:val=&quot;009E36EB&quot;/&gt;&lt;wsp:rsid wsp:val=&quot;009E3E4C&quot;/&gt;&lt;wsp:rsid wsp:val=&quot;009E3FFF&quot;/&gt;&lt;wsp:rsid wsp:val=&quot;009E45F4&quot;/&gt;&lt;wsp:rsid wsp:val=&quot;009E4622&quot;/&gt;&lt;wsp:rsid wsp:val=&quot;009E48F5&quot;/&gt;&lt;wsp:rsid wsp:val=&quot;009E5044&quot;/&gt;&lt;wsp:rsid wsp:val=&quot;009E5060&quot;/&gt;&lt;wsp:rsid wsp:val=&quot;009E53F0&quot;/&gt;&lt;wsp:rsid wsp:val=&quot;009E53F2&quot;/&gt;&lt;wsp:rsid wsp:val=&quot;009E5666&quot;/&gt;&lt;wsp:rsid wsp:val=&quot;009E56C1&quot;/&gt;&lt;wsp:rsid wsp:val=&quot;009E591E&quot;/&gt;&lt;wsp:rsid wsp:val=&quot;009E5D87&quot;/&gt;&lt;wsp:rsid wsp:val=&quot;009E5DE0&quot;/&gt;&lt;wsp:rsid wsp:val=&quot;009E68A8&quot;/&gt;&lt;wsp:rsid wsp:val=&quot;009E6988&quot;/&gt;&lt;wsp:rsid wsp:val=&quot;009E6C73&quot;/&gt;&lt;wsp:rsid wsp:val=&quot;009E6CC9&quot;/&gt;&lt;wsp:rsid wsp:val=&quot;009E71EE&quot;/&gt;&lt;wsp:rsid wsp:val=&quot;009E7D27&quot;/&gt;&lt;wsp:rsid wsp:val=&quot;009F0DAA&quot;/&gt;&lt;wsp:rsid wsp:val=&quot;009F0E30&quot;/&gt;&lt;wsp:rsid wsp:val=&quot;009F1B40&quot;/&gt;&lt;wsp:rsid wsp:val=&quot;009F1C8A&quot;/&gt;&lt;wsp:rsid wsp:val=&quot;009F254F&quot;/&gt;&lt;wsp:rsid wsp:val=&quot;009F26F9&quot;/&gt;&lt;wsp:rsid wsp:val=&quot;009F2846&quot;/&gt;&lt;wsp:rsid wsp:val=&quot;009F2AFA&quot;/&gt;&lt;wsp:rsid wsp:val=&quot;009F2D02&quot;/&gt;&lt;wsp:rsid wsp:val=&quot;009F3060&quot;/&gt;&lt;wsp:rsid wsp:val=&quot;009F37DD&quot;/&gt;&lt;wsp:rsid wsp:val=&quot;009F3857&quot;/&gt;&lt;wsp:rsid wsp:val=&quot;009F3960&quot;/&gt;&lt;wsp:rsid wsp:val=&quot;009F3C41&quot;/&gt;&lt;wsp:rsid wsp:val=&quot;009F426A&quot;/&gt;&lt;wsp:rsid wsp:val=&quot;009F4681&quot;/&gt;&lt;wsp:rsid wsp:val=&quot;009F48C5&quot;/&gt;&lt;wsp:rsid wsp:val=&quot;009F4D8C&quot;/&gt;&lt;wsp:rsid wsp:val=&quot;009F4FFF&quot;/&gt;&lt;wsp:rsid wsp:val=&quot;009F519D&quot;/&gt;&lt;wsp:rsid wsp:val=&quot;009F5232&quot;/&gt;&lt;wsp:rsid wsp:val=&quot;009F52A3&quot;/&gt;&lt;wsp:rsid wsp:val=&quot;009F53C7&quot;/&gt;&lt;wsp:rsid wsp:val=&quot;009F56F5&quot;/&gt;&lt;wsp:rsid wsp:val=&quot;009F590B&quot;/&gt;&lt;wsp:rsid wsp:val=&quot;009F5AF6&quot;/&gt;&lt;wsp:rsid wsp:val=&quot;009F5EC0&quot;/&gt;&lt;wsp:rsid wsp:val=&quot;009F6174&quot;/&gt;&lt;wsp:rsid wsp:val=&quot;009F61F3&quot;/&gt;&lt;wsp:rsid wsp:val=&quot;009F6612&quot;/&gt;&lt;wsp:rsid wsp:val=&quot;009F66D0&quot;/&gt;&lt;wsp:rsid wsp:val=&quot;009F6BFF&quot;/&gt;&lt;wsp:rsid wsp:val=&quot;009F6C12&quot;/&gt;&lt;wsp:rsid wsp:val=&quot;009F6C6F&quot;/&gt;&lt;wsp:rsid wsp:val=&quot;009F6D60&quot;/&gt;&lt;wsp:rsid wsp:val=&quot;009F6E91&quot;/&gt;&lt;wsp:rsid wsp:val=&quot;009F7704&quot;/&gt;&lt;wsp:rsid wsp:val=&quot;009F7E7D&quot;/&gt;&lt;wsp:rsid wsp:val=&quot;00A00108&quot;/&gt;&lt;wsp:rsid wsp:val=&quot;00A0029D&quot;/&gt;&lt;wsp:rsid wsp:val=&quot;00A006E2&quot;/&gt;&lt;wsp:rsid wsp:val=&quot;00A006EE&quot;/&gt;&lt;wsp:rsid wsp:val=&quot;00A0074F&quot;/&gt;&lt;wsp:rsid wsp:val=&quot;00A00F23&quot;/&gt;&lt;wsp:rsid wsp:val=&quot;00A013C1&quot;/&gt;&lt;wsp:rsid wsp:val=&quot;00A01BB7&quot;/&gt;&lt;wsp:rsid wsp:val=&quot;00A01BBC&quot;/&gt;&lt;wsp:rsid wsp:val=&quot;00A01C6B&quot;/&gt;&lt;wsp:rsid wsp:val=&quot;00A01CBE&quot;/&gt;&lt;wsp:rsid wsp:val=&quot;00A0234B&quot;/&gt;&lt;wsp:rsid wsp:val=&quot;00A024CC&quot;/&gt;&lt;wsp:rsid wsp:val=&quot;00A02851&quot;/&gt;&lt;wsp:rsid wsp:val=&quot;00A02878&quot;/&gt;&lt;wsp:rsid wsp:val=&quot;00A02CB7&quot;/&gt;&lt;wsp:rsid wsp:val=&quot;00A0335B&quot;/&gt;&lt;wsp:rsid wsp:val=&quot;00A03B79&quot;/&gt;&lt;wsp:rsid wsp:val=&quot;00A03E14&quot;/&gt;&lt;wsp:rsid wsp:val=&quot;00A04440&quot;/&gt;&lt;wsp:rsid wsp:val=&quot;00A04E5B&quot;/&gt;&lt;wsp:rsid wsp:val=&quot;00A04F29&quot;/&gt;&lt;wsp:rsid wsp:val=&quot;00A05038&quot;/&gt;&lt;wsp:rsid wsp:val=&quot;00A0578A&quot;/&gt;&lt;wsp:rsid wsp:val=&quot;00A05925&quot;/&gt;&lt;wsp:rsid wsp:val=&quot;00A05AA3&quot;/&gt;&lt;wsp:rsid wsp:val=&quot;00A05F18&quot;/&gt;&lt;wsp:rsid wsp:val=&quot;00A06349&quot;/&gt;&lt;wsp:rsid wsp:val=&quot;00A06389&quot;/&gt;&lt;wsp:rsid wsp:val=&quot;00A063D6&quot;/&gt;&lt;wsp:rsid wsp:val=&quot;00A06AF7&quot;/&gt;&lt;wsp:rsid wsp:val=&quot;00A06C3B&quot;/&gt;&lt;wsp:rsid wsp:val=&quot;00A0705C&quot;/&gt;&lt;wsp:rsid wsp:val=&quot;00A071F0&quot;/&gt;&lt;wsp:rsid wsp:val=&quot;00A0795B&quot;/&gt;&lt;wsp:rsid wsp:val=&quot;00A07FD5&quot;/&gt;&lt;wsp:rsid wsp:val=&quot;00A10198&quot;/&gt;&lt;wsp:rsid wsp:val=&quot;00A101C2&quot;/&gt;&lt;wsp:rsid wsp:val=&quot;00A10679&quot;/&gt;&lt;wsp:rsid wsp:val=&quot;00A106EB&quot;/&gt;&lt;wsp:rsid wsp:val=&quot;00A109EE&quot;/&gt;&lt;wsp:rsid wsp:val=&quot;00A112E7&quot;/&gt;&lt;wsp:rsid wsp:val=&quot;00A11859&quot;/&gt;&lt;wsp:rsid wsp:val=&quot;00A11F40&quot;/&gt;&lt;wsp:rsid wsp:val=&quot;00A12240&quot;/&gt;&lt;wsp:rsid wsp:val=&quot;00A12640&quot;/&gt;&lt;wsp:rsid wsp:val=&quot;00A128AA&quot;/&gt;&lt;wsp:rsid wsp:val=&quot;00A12C11&quot;/&gt;&lt;wsp:rsid wsp:val=&quot;00A12C12&quot;/&gt;&lt;wsp:rsid wsp:val=&quot;00A12D6A&quot;/&gt;&lt;wsp:rsid wsp:val=&quot;00A12D7C&quot;/&gt;&lt;wsp:rsid wsp:val=&quot;00A1375D&quot;/&gt;&lt;wsp:rsid wsp:val=&quot;00A1385D&quot;/&gt;&lt;wsp:rsid wsp:val=&quot;00A13B28&quot;/&gt;&lt;wsp:rsid wsp:val=&quot;00A13D39&quot;/&gt;&lt;wsp:rsid wsp:val=&quot;00A13F73&quot;/&gt;&lt;wsp:rsid wsp:val=&quot;00A13F82&quot;/&gt;&lt;wsp:rsid wsp:val=&quot;00A13FED&quot;/&gt;&lt;wsp:rsid wsp:val=&quot;00A14252&quot;/&gt;&lt;wsp:rsid wsp:val=&quot;00A148D1&quot;/&gt;&lt;wsp:rsid wsp:val=&quot;00A148FB&quot;/&gt;&lt;wsp:rsid wsp:val=&quot;00A14FE7&quot;/&gt;&lt;wsp:rsid wsp:val=&quot;00A150D5&quot;/&gt;&lt;wsp:rsid wsp:val=&quot;00A15168&quot;/&gt;&lt;wsp:rsid wsp:val=&quot;00A1543F&quot;/&gt;&lt;wsp:rsid wsp:val=&quot;00A15572&quot;/&gt;&lt;wsp:rsid wsp:val=&quot;00A15783&quot;/&gt;&lt;wsp:rsid wsp:val=&quot;00A15C97&quot;/&gt;&lt;wsp:rsid wsp:val=&quot;00A15CBA&quot;/&gt;&lt;wsp:rsid wsp:val=&quot;00A16141&quot;/&gt;&lt;wsp:rsid wsp:val=&quot;00A166D0&quot;/&gt;&lt;wsp:rsid wsp:val=&quot;00A16A35&quot;/&gt;&lt;wsp:rsid wsp:val=&quot;00A1722D&quot;/&gt;&lt;wsp:rsid wsp:val=&quot;00A1763E&quot;/&gt;&lt;wsp:rsid wsp:val=&quot;00A17B2D&quot;/&gt;&lt;wsp:rsid wsp:val=&quot;00A17C35&quot;/&gt;&lt;wsp:rsid wsp:val=&quot;00A17D80&quot;/&gt;&lt;wsp:rsid wsp:val=&quot;00A17DDB&quot;/&gt;&lt;wsp:rsid wsp:val=&quot;00A17E93&quot;/&gt;&lt;wsp:rsid wsp:val=&quot;00A17FD5&quot;/&gt;&lt;wsp:rsid wsp:val=&quot;00A20378&quot;/&gt;&lt;wsp:rsid wsp:val=&quot;00A209EA&quot;/&gt;&lt;wsp:rsid wsp:val=&quot;00A20D10&quot;/&gt;&lt;wsp:rsid wsp:val=&quot;00A20E6C&quot;/&gt;&lt;wsp:rsid wsp:val=&quot;00A20F11&quot;/&gt;&lt;wsp:rsid wsp:val=&quot;00A21ABD&quot;/&gt;&lt;wsp:rsid wsp:val=&quot;00A21BFA&quot;/&gt;&lt;wsp:rsid wsp:val=&quot;00A21CE4&quot;/&gt;&lt;wsp:rsid wsp:val=&quot;00A2207C&quot;/&gt;&lt;wsp:rsid wsp:val=&quot;00A22137&quot;/&gt;&lt;wsp:rsid wsp:val=&quot;00A226FC&quot;/&gt;&lt;wsp:rsid wsp:val=&quot;00A226FF&quot;/&gt;&lt;wsp:rsid wsp:val=&quot;00A2291F&quot;/&gt;&lt;wsp:rsid wsp:val=&quot;00A22E0D&quot;/&gt;&lt;wsp:rsid wsp:val=&quot;00A22F42&quot;/&gt;&lt;wsp:rsid wsp:val=&quot;00A23506&quot;/&gt;&lt;wsp:rsid wsp:val=&quot;00A23648&quot;/&gt;&lt;wsp:rsid wsp:val=&quot;00A23994&quot;/&gt;&lt;wsp:rsid wsp:val=&quot;00A23B5E&quot;/&gt;&lt;wsp:rsid wsp:val=&quot;00A24233&quot;/&gt;&lt;wsp:rsid wsp:val=&quot;00A24248&quot;/&gt;&lt;wsp:rsid wsp:val=&quot;00A24A2D&quot;/&gt;&lt;wsp:rsid wsp:val=&quot;00A252E7&quot;/&gt;&lt;wsp:rsid wsp:val=&quot;00A2593E&quot;/&gt;&lt;wsp:rsid wsp:val=&quot;00A261A7&quot;/&gt;&lt;wsp:rsid wsp:val=&quot;00A262EE&quot;/&gt;&lt;wsp:rsid wsp:val=&quot;00A270A3&quot;/&gt;&lt;wsp:rsid wsp:val=&quot;00A27218&quot;/&gt;&lt;wsp:rsid wsp:val=&quot;00A272C0&quot;/&gt;&lt;wsp:rsid wsp:val=&quot;00A27335&quot;/&gt;&lt;wsp:rsid wsp:val=&quot;00A27758&quot;/&gt;&lt;wsp:rsid wsp:val=&quot;00A27EF4&quot;/&gt;&lt;wsp:rsid wsp:val=&quot;00A27F1E&quot;/&gt;&lt;wsp:rsid wsp:val=&quot;00A30022&quot;/&gt;&lt;wsp:rsid wsp:val=&quot;00A30405&quot;/&gt;&lt;wsp:rsid wsp:val=&quot;00A30473&quot;/&gt;&lt;wsp:rsid wsp:val=&quot;00A304F6&quot;/&gt;&lt;wsp:rsid wsp:val=&quot;00A30940&quot;/&gt;&lt;wsp:rsid wsp:val=&quot;00A30C79&quot;/&gt;&lt;wsp:rsid wsp:val=&quot;00A30CD9&quot;/&gt;&lt;wsp:rsid wsp:val=&quot;00A30D84&quot;/&gt;&lt;wsp:rsid wsp:val=&quot;00A310F8&quot;/&gt;&lt;wsp:rsid wsp:val=&quot;00A31154&quot;/&gt;&lt;wsp:rsid wsp:val=&quot;00A3124A&quot;/&gt;&lt;wsp:rsid wsp:val=&quot;00A31811&quot;/&gt;&lt;wsp:rsid wsp:val=&quot;00A31CD5&quot;/&gt;&lt;wsp:rsid wsp:val=&quot;00A32633&quot;/&gt;&lt;wsp:rsid wsp:val=&quot;00A32EF9&quot;/&gt;&lt;wsp:rsid wsp:val=&quot;00A3384E&quot;/&gt;&lt;wsp:rsid wsp:val=&quot;00A33D51&quot;/&gt;&lt;wsp:rsid wsp:val=&quot;00A33EAA&quot;/&gt;&lt;wsp:rsid wsp:val=&quot;00A34099&quot;/&gt;&lt;wsp:rsid wsp:val=&quot;00A343F7&quot;/&gt;&lt;wsp:rsid wsp:val=&quot;00A34488&quot;/&gt;&lt;wsp:rsid wsp:val=&quot;00A34787&quot;/&gt;&lt;wsp:rsid wsp:val=&quot;00A3483B&quot;/&gt;&lt;wsp:rsid wsp:val=&quot;00A348E8&quot;/&gt;&lt;wsp:rsid wsp:val=&quot;00A34919&quot;/&gt;&lt;wsp:rsid wsp:val=&quot;00A34AB2&quot;/&gt;&lt;wsp:rsid wsp:val=&quot;00A3521D&quot;/&gt;&lt;wsp:rsid wsp:val=&quot;00A352D6&quot;/&gt;&lt;wsp:rsid wsp:val=&quot;00A35655&quot;/&gt;&lt;wsp:rsid wsp:val=&quot;00A35DA5&quot;/&gt;&lt;wsp:rsid wsp:val=&quot;00A3602A&quot;/&gt;&lt;wsp:rsid wsp:val=&quot;00A3612D&quot;/&gt;&lt;wsp:rsid wsp:val=&quot;00A3687D&quot;/&gt;&lt;wsp:rsid wsp:val=&quot;00A36911&quot;/&gt;&lt;wsp:rsid wsp:val=&quot;00A36FC7&quot;/&gt;&lt;wsp:rsid wsp:val=&quot;00A375E3&quot;/&gt;&lt;wsp:rsid wsp:val=&quot;00A37CCC&quot;/&gt;&lt;wsp:rsid wsp:val=&quot;00A37D0D&quot;/&gt;&lt;wsp:rsid wsp:val=&quot;00A40248&quot;/&gt;&lt;wsp:rsid wsp:val=&quot;00A40A2D&quot;/&gt;&lt;wsp:rsid wsp:val=&quot;00A40C6F&quot;/&gt;&lt;wsp:rsid wsp:val=&quot;00A40F5C&quot;/&gt;&lt;wsp:rsid wsp:val=&quot;00A41847&quot;/&gt;&lt;wsp:rsid wsp:val=&quot;00A41B59&quot;/&gt;&lt;wsp:rsid wsp:val=&quot;00A41EEF&quot;/&gt;&lt;wsp:rsid wsp:val=&quot;00A4240B&quot;/&gt;&lt;wsp:rsid wsp:val=&quot;00A4252A&quot;/&gt;&lt;wsp:rsid wsp:val=&quot;00A429A0&quot;/&gt;&lt;wsp:rsid wsp:val=&quot;00A43176&quot;/&gt;&lt;wsp:rsid wsp:val=&quot;00A43177&quot;/&gt;&lt;wsp:rsid wsp:val=&quot;00A43326&quot;/&gt;&lt;wsp:rsid wsp:val=&quot;00A43637&quot;/&gt;&lt;wsp:rsid wsp:val=&quot;00A4383F&quot;/&gt;&lt;wsp:rsid wsp:val=&quot;00A43F6D&quot;/&gt;&lt;wsp:rsid wsp:val=&quot;00A442DB&quot;/&gt;&lt;wsp:rsid wsp:val=&quot;00A44F49&quot;/&gt;&lt;wsp:rsid wsp:val=&quot;00A465D5&quot;/&gt;&lt;wsp:rsid wsp:val=&quot;00A47257&quot;/&gt;&lt;wsp:rsid wsp:val=&quot;00A4729B&quot;/&gt;&lt;wsp:rsid wsp:val=&quot;00A4778F&quot;/&gt;&lt;wsp:rsid wsp:val=&quot;00A47AEC&quot;/&gt;&lt;wsp:rsid wsp:val=&quot;00A47F2C&quot;/&gt;&lt;wsp:rsid wsp:val=&quot;00A50056&quot;/&gt;&lt;wsp:rsid wsp:val=&quot;00A5053E&quot;/&gt;&lt;wsp:rsid wsp:val=&quot;00A50D97&quot;/&gt;&lt;wsp:rsid wsp:val=&quot;00A51313&quot;/&gt;&lt;wsp:rsid wsp:val=&quot;00A513B8&quot;/&gt;&lt;wsp:rsid wsp:val=&quot;00A51795&quot;/&gt;&lt;wsp:rsid wsp:val=&quot;00A51870&quot;/&gt;&lt;wsp:rsid wsp:val=&quot;00A518ED&quot;/&gt;&lt;wsp:rsid wsp:val=&quot;00A51CA5&quot;/&gt;&lt;wsp:rsid wsp:val=&quot;00A51F41&quot;/&gt;&lt;wsp:rsid wsp:val=&quot;00A51F64&quot;/&gt;&lt;wsp:rsid wsp:val=&quot;00A52270&quot;/&gt;&lt;wsp:rsid wsp:val=&quot;00A526BB&quot;/&gt;&lt;wsp:rsid wsp:val=&quot;00A528FE&quot;/&gt;&lt;wsp:rsid wsp:val=&quot;00A52AB8&quot;/&gt;&lt;wsp:rsid wsp:val=&quot;00A52C16&quot;/&gt;&lt;wsp:rsid wsp:val=&quot;00A52FAE&quot;/&gt;&lt;wsp:rsid wsp:val=&quot;00A53478&quot;/&gt;&lt;wsp:rsid wsp:val=&quot;00A537B8&quot;/&gt;&lt;wsp:rsid wsp:val=&quot;00A537CA&quot;/&gt;&lt;wsp:rsid wsp:val=&quot;00A53809&quot;/&gt;&lt;wsp:rsid wsp:val=&quot;00A53D59&quot;/&gt;&lt;wsp:rsid wsp:val=&quot;00A53E21&quot;/&gt;&lt;wsp:rsid wsp:val=&quot;00A54816&quot;/&gt;&lt;wsp:rsid wsp:val=&quot;00A54971&quot;/&gt;&lt;wsp:rsid wsp:val=&quot;00A54E31&quot;/&gt;&lt;wsp:rsid wsp:val=&quot;00A5553C&quot;/&gt;&lt;wsp:rsid wsp:val=&quot;00A55B82&quot;/&gt;&lt;wsp:rsid wsp:val=&quot;00A56042&quot;/&gt;&lt;wsp:rsid wsp:val=&quot;00A5604E&quot;/&gt;&lt;wsp:rsid wsp:val=&quot;00A56484&quot;/&gt;&lt;wsp:rsid wsp:val=&quot;00A56E0B&quot;/&gt;&lt;wsp:rsid wsp:val=&quot;00A575B8&quot;/&gt;&lt;wsp:rsid wsp:val=&quot;00A57746&quot;/&gt;&lt;wsp:rsid wsp:val=&quot;00A57A97&quot;/&gt;&lt;wsp:rsid wsp:val=&quot;00A57D2D&quot;/&gt;&lt;wsp:rsid wsp:val=&quot;00A6006A&quot;/&gt;&lt;wsp:rsid wsp:val=&quot;00A6014E&quot;/&gt;&lt;wsp:rsid wsp:val=&quot;00A604C0&quot;/&gt;&lt;wsp:rsid wsp:val=&quot;00A607AF&quot;/&gt;&lt;wsp:rsid wsp:val=&quot;00A60DD1&quot;/&gt;&lt;wsp:rsid wsp:val=&quot;00A6113E&quot;/&gt;&lt;wsp:rsid wsp:val=&quot;00A6171A&quot;/&gt;&lt;wsp:rsid wsp:val=&quot;00A61798&quot;/&gt;&lt;wsp:rsid wsp:val=&quot;00A6194C&quot;/&gt;&lt;wsp:rsid wsp:val=&quot;00A61983&quot;/&gt;&lt;wsp:rsid wsp:val=&quot;00A61A8E&quot;/&gt;&lt;wsp:rsid wsp:val=&quot;00A61DB3&quot;/&gt;&lt;wsp:rsid wsp:val=&quot;00A61E69&quot;/&gt;&lt;wsp:rsid wsp:val=&quot;00A62020&quot;/&gt;&lt;wsp:rsid wsp:val=&quot;00A626B2&quot;/&gt;&lt;wsp:rsid wsp:val=&quot;00A627DD&quot;/&gt;&lt;wsp:rsid wsp:val=&quot;00A629DA&quot;/&gt;&lt;wsp:rsid wsp:val=&quot;00A6304F&quot;/&gt;&lt;wsp:rsid wsp:val=&quot;00A63AA4&quot;/&gt;&lt;wsp:rsid wsp:val=&quot;00A63B13&quot;/&gt;&lt;wsp:rsid wsp:val=&quot;00A63D49&quot;/&gt;&lt;wsp:rsid wsp:val=&quot;00A64267&quot;/&gt;&lt;wsp:rsid wsp:val=&quot;00A648AE&quot;/&gt;&lt;wsp:rsid wsp:val=&quot;00A64BC5&quot;/&gt;&lt;wsp:rsid wsp:val=&quot;00A64D66&quot;/&gt;&lt;wsp:rsid wsp:val=&quot;00A65203&quot;/&gt;&lt;wsp:rsid wsp:val=&quot;00A65267&quot;/&gt;&lt;wsp:rsid wsp:val=&quot;00A6539A&quot;/&gt;&lt;wsp:rsid wsp:val=&quot;00A65429&quot;/&gt;&lt;wsp:rsid wsp:val=&quot;00A65763&quot;/&gt;&lt;wsp:rsid wsp:val=&quot;00A65CF2&quot;/&gt;&lt;wsp:rsid wsp:val=&quot;00A65FB1&quot;/&gt;&lt;wsp:rsid wsp:val=&quot;00A660DE&quot;/&gt;&lt;wsp:rsid wsp:val=&quot;00A66337&quot;/&gt;&lt;wsp:rsid wsp:val=&quot;00A66855&quot;/&gt;&lt;wsp:rsid wsp:val=&quot;00A66C91&quot;/&gt;&lt;wsp:rsid wsp:val=&quot;00A66D12&quot;/&gt;&lt;wsp:rsid wsp:val=&quot;00A66D7A&quot;/&gt;&lt;wsp:rsid wsp:val=&quot;00A670D6&quot;/&gt;&lt;wsp:rsid wsp:val=&quot;00A6729D&quot;/&gt;&lt;wsp:rsid wsp:val=&quot;00A67394&quot;/&gt;&lt;wsp:rsid wsp:val=&quot;00A677B5&quot;/&gt;&lt;wsp:rsid wsp:val=&quot;00A6790F&quot;/&gt;&lt;wsp:rsid wsp:val=&quot;00A67912&quot;/&gt;&lt;wsp:rsid wsp:val=&quot;00A67DAC&quot;/&gt;&lt;wsp:rsid wsp:val=&quot;00A701FD&quot;/&gt;&lt;wsp:rsid wsp:val=&quot;00A707D4&quot;/&gt;&lt;wsp:rsid wsp:val=&quot;00A70A5B&quot;/&gt;&lt;wsp:rsid wsp:val=&quot;00A70BDE&quot;/&gt;&lt;wsp:rsid wsp:val=&quot;00A70E8D&quot;/&gt;&lt;wsp:rsid wsp:val=&quot;00A70EC1&quot;/&gt;&lt;wsp:rsid wsp:val=&quot;00A70F52&quot;/&gt;&lt;wsp:rsid wsp:val=&quot;00A710F7&quot;/&gt;&lt;wsp:rsid wsp:val=&quot;00A71124&quot;/&gt;&lt;wsp:rsid wsp:val=&quot;00A7121B&quot;/&gt;&lt;wsp:rsid wsp:val=&quot;00A715C6&quot;/&gt;&lt;wsp:rsid wsp:val=&quot;00A715FD&quot;/&gt;&lt;wsp:rsid wsp:val=&quot;00A71A9A&quot;/&gt;&lt;wsp:rsid wsp:val=&quot;00A71FF8&quot;/&gt;&lt;wsp:rsid wsp:val=&quot;00A7266F&quot;/&gt;&lt;wsp:rsid wsp:val=&quot;00A72C11&quot;/&gt;&lt;wsp:rsid wsp:val=&quot;00A72E7A&quot;/&gt;&lt;wsp:rsid wsp:val=&quot;00A7352C&quot;/&gt;&lt;wsp:rsid wsp:val=&quot;00A73841&quot;/&gt;&lt;wsp:rsid wsp:val=&quot;00A73A59&quot;/&gt;&lt;wsp:rsid wsp:val=&quot;00A73D44&quot;/&gt;&lt;wsp:rsid wsp:val=&quot;00A741C8&quot;/&gt;&lt;wsp:rsid wsp:val=&quot;00A74A9A&quot;/&gt;&lt;wsp:rsid wsp:val=&quot;00A74C38&quot;/&gt;&lt;wsp:rsid wsp:val=&quot;00A75314&quot;/&gt;&lt;wsp:rsid wsp:val=&quot;00A7562A&quot;/&gt;&lt;wsp:rsid wsp:val=&quot;00A75D66&quot;/&gt;&lt;wsp:rsid wsp:val=&quot;00A75E31&quot;/&gt;&lt;wsp:rsid wsp:val=&quot;00A75E76&quot;/&gt;&lt;wsp:rsid wsp:val=&quot;00A76326&quot;/&gt;&lt;wsp:rsid wsp:val=&quot;00A765A2&quot;/&gt;&lt;wsp:rsid wsp:val=&quot;00A765C0&quot;/&gt;&lt;wsp:rsid wsp:val=&quot;00A7686C&quot;/&gt;&lt;wsp:rsid wsp:val=&quot;00A76A08&quot;/&gt;&lt;wsp:rsid wsp:val=&quot;00A76A40&quot;/&gt;&lt;wsp:rsid wsp:val=&quot;00A76B2A&quot;/&gt;&lt;wsp:rsid wsp:val=&quot;00A76D07&quot;/&gt;&lt;wsp:rsid wsp:val=&quot;00A76E3C&quot;/&gt;&lt;wsp:rsid wsp:val=&quot;00A7790D&quot;/&gt;&lt;wsp:rsid wsp:val=&quot;00A77B57&quot;/&gt;&lt;wsp:rsid wsp:val=&quot;00A77BFB&quot;/&gt;&lt;wsp:rsid wsp:val=&quot;00A800B3&quot;/&gt;&lt;wsp:rsid wsp:val=&quot;00A80333&quot;/&gt;&lt;wsp:rsid wsp:val=&quot;00A807B7&quot;/&gt;&lt;wsp:rsid wsp:val=&quot;00A80877&quot;/&gt;&lt;wsp:rsid wsp:val=&quot;00A80892&quot;/&gt;&lt;wsp:rsid wsp:val=&quot;00A80A0E&quot;/&gt;&lt;wsp:rsid wsp:val=&quot;00A80A86&quot;/&gt;&lt;wsp:rsid wsp:val=&quot;00A810F9&quot;/&gt;&lt;wsp:rsid wsp:val=&quot;00A8111C&quot;/&gt;&lt;wsp:rsid wsp:val=&quot;00A8170A&quot;/&gt;&lt;wsp:rsid wsp:val=&quot;00A818A4&quot;/&gt;&lt;wsp:rsid wsp:val=&quot;00A81DD7&quot;/&gt;&lt;wsp:rsid wsp:val=&quot;00A820B4&quot;/&gt;&lt;wsp:rsid wsp:val=&quot;00A82346&quot;/&gt;&lt;wsp:rsid wsp:val=&quot;00A82675&quot;/&gt;&lt;wsp:rsid wsp:val=&quot;00A82773&quot;/&gt;&lt;wsp:rsid wsp:val=&quot;00A8277D&quot;/&gt;&lt;wsp:rsid wsp:val=&quot;00A83BFC&quot;/&gt;&lt;wsp:rsid wsp:val=&quot;00A83DD5&quot;/&gt;&lt;wsp:rsid wsp:val=&quot;00A841A8&quot;/&gt;&lt;wsp:rsid wsp:val=&quot;00A8425B&quot;/&gt;&lt;wsp:rsid wsp:val=&quot;00A84D1E&quot;/&gt;&lt;wsp:rsid wsp:val=&quot;00A85234&quot;/&gt;&lt;wsp:rsid wsp:val=&quot;00A853B5&quot;/&gt;&lt;wsp:rsid wsp:val=&quot;00A855A2&quot;/&gt;&lt;wsp:rsid wsp:val=&quot;00A85755&quot;/&gt;&lt;wsp:rsid wsp:val=&quot;00A858ED&quot;/&gt;&lt;wsp:rsid wsp:val=&quot;00A85A20&quot;/&gt;&lt;wsp:rsid wsp:val=&quot;00A85D90&quot;/&gt;&lt;wsp:rsid wsp:val=&quot;00A85E89&quot;/&gt;&lt;wsp:rsid wsp:val=&quot;00A85EB0&quot;/&gt;&lt;wsp:rsid wsp:val=&quot;00A86531&quot;/&gt;&lt;wsp:rsid wsp:val=&quot;00A867EB&quot;/&gt;&lt;wsp:rsid wsp:val=&quot;00A86B33&quot;/&gt;&lt;wsp:rsid wsp:val=&quot;00A86EEB&quot;/&gt;&lt;wsp:rsid wsp:val=&quot;00A87155&quot;/&gt;&lt;wsp:rsid wsp:val=&quot;00A87208&quot;/&gt;&lt;wsp:rsid wsp:val=&quot;00A87724&quot;/&gt;&lt;wsp:rsid wsp:val=&quot;00A87820&quot;/&gt;&lt;wsp:rsid wsp:val=&quot;00A8788D&quot;/&gt;&lt;wsp:rsid wsp:val=&quot;00A878A4&quot;/&gt;&lt;wsp:rsid wsp:val=&quot;00A879D6&quot;/&gt;&lt;wsp:rsid wsp:val=&quot;00A87C29&quot;/&gt;&lt;wsp:rsid wsp:val=&quot;00A87F41&quot;/&gt;&lt;wsp:rsid wsp:val=&quot;00A903DE&quot;/&gt;&lt;wsp:rsid wsp:val=&quot;00A90584&quot;/&gt;&lt;wsp:rsid wsp:val=&quot;00A90A12&quot;/&gt;&lt;wsp:rsid wsp:val=&quot;00A90F31&quot;/&gt;&lt;wsp:rsid wsp:val=&quot;00A912DD&quot;/&gt;&lt;wsp:rsid wsp:val=&quot;00A915D8&quot;/&gt;&lt;wsp:rsid wsp:val=&quot;00A91839&quot;/&gt;&lt;wsp:rsid wsp:val=&quot;00A91B76&quot;/&gt;&lt;wsp:rsid wsp:val=&quot;00A91B9A&quot;/&gt;&lt;wsp:rsid wsp:val=&quot;00A91E08&quot;/&gt;&lt;wsp:rsid wsp:val=&quot;00A92168&quot;/&gt;&lt;wsp:rsid wsp:val=&quot;00A92513&quot;/&gt;&lt;wsp:rsid wsp:val=&quot;00A928DB&quot;/&gt;&lt;wsp:rsid wsp:val=&quot;00A9295F&quot;/&gt;&lt;wsp:rsid wsp:val=&quot;00A92B87&quot;/&gt;&lt;wsp:rsid wsp:val=&quot;00A9315B&quot;/&gt;&lt;wsp:rsid wsp:val=&quot;00A931F2&quot;/&gt;&lt;wsp:rsid wsp:val=&quot;00A93507&quot;/&gt;&lt;wsp:rsid wsp:val=&quot;00A935C3&quot;/&gt;&lt;wsp:rsid wsp:val=&quot;00A93D4E&quot;/&gt;&lt;wsp:rsid wsp:val=&quot;00A93DE5&quot;/&gt;&lt;wsp:rsid wsp:val=&quot;00A93DE8&quot;/&gt;&lt;wsp:rsid wsp:val=&quot;00A93F76&quot;/&gt;&lt;wsp:rsid wsp:val=&quot;00A94491&quot;/&gt;&lt;wsp:rsid wsp:val=&quot;00A9480B&quot;/&gt;&lt;wsp:rsid wsp:val=&quot;00A94810&quot;/&gt;&lt;wsp:rsid wsp:val=&quot;00A951C6&quot;/&gt;&lt;wsp:rsid wsp:val=&quot;00A95BEC&quot;/&gt;&lt;wsp:rsid wsp:val=&quot;00A961BB&quot;/&gt;&lt;wsp:rsid wsp:val=&quot;00A9681E&quot;/&gt;&lt;wsp:rsid wsp:val=&quot;00A96A52&quot;/&gt;&lt;wsp:rsid wsp:val=&quot;00A96A66&quot;/&gt;&lt;wsp:rsid wsp:val=&quot;00A96AE7&quot;/&gt;&lt;wsp:rsid wsp:val=&quot;00A96EA8&quot;/&gt;&lt;wsp:rsid wsp:val=&quot;00A97920&quot;/&gt;&lt;wsp:rsid wsp:val=&quot;00A97D65&quot;/&gt;&lt;wsp:rsid wsp:val=&quot;00A97F1F&quot;/&gt;&lt;wsp:rsid wsp:val=&quot;00AA02FD&quot;/&gt;&lt;wsp:rsid wsp:val=&quot;00AA042C&quot;/&gt;&lt;wsp:rsid wsp:val=&quot;00AA0584&quot;/&gt;&lt;wsp:rsid wsp:val=&quot;00AA069E&quot;/&gt;&lt;wsp:rsid wsp:val=&quot;00AA0A78&quot;/&gt;&lt;wsp:rsid wsp:val=&quot;00AA0C0C&quot;/&gt;&lt;wsp:rsid wsp:val=&quot;00AA0C45&quot;/&gt;&lt;wsp:rsid wsp:val=&quot;00AA1080&quot;/&gt;&lt;wsp:rsid wsp:val=&quot;00AA1CBC&quot;/&gt;&lt;wsp:rsid wsp:val=&quot;00AA23FC&quot;/&gt;&lt;wsp:rsid wsp:val=&quot;00AA2521&quot;/&gt;&lt;wsp:rsid wsp:val=&quot;00AA2F18&quot;/&gt;&lt;wsp:rsid wsp:val=&quot;00AA314E&quot;/&gt;&lt;wsp:rsid wsp:val=&quot;00AA33A4&quot;/&gt;&lt;wsp:rsid wsp:val=&quot;00AA346B&quot;/&gt;&lt;wsp:rsid wsp:val=&quot;00AA3476&quot;/&gt;&lt;wsp:rsid wsp:val=&quot;00AA3937&quot;/&gt;&lt;wsp:rsid wsp:val=&quot;00AA3B2C&quot;/&gt;&lt;wsp:rsid wsp:val=&quot;00AA3C7A&quot;/&gt;&lt;wsp:rsid wsp:val=&quot;00AA3CBE&quot;/&gt;&lt;wsp:rsid wsp:val=&quot;00AA4246&quot;/&gt;&lt;wsp:rsid wsp:val=&quot;00AA4607&quot;/&gt;&lt;wsp:rsid wsp:val=&quot;00AA47E8&quot;/&gt;&lt;wsp:rsid wsp:val=&quot;00AA48A3&quot;/&gt;&lt;wsp:rsid wsp:val=&quot;00AA4924&quot;/&gt;&lt;wsp:rsid wsp:val=&quot;00AA4D99&quot;/&gt;&lt;wsp:rsid wsp:val=&quot;00AA4E2D&quot;/&gt;&lt;wsp:rsid wsp:val=&quot;00AA510B&quot;/&gt;&lt;wsp:rsid wsp:val=&quot;00AA512E&quot;/&gt;&lt;wsp:rsid wsp:val=&quot;00AA51BB&quot;/&gt;&lt;wsp:rsid wsp:val=&quot;00AA52B0&quot;/&gt;&lt;wsp:rsid wsp:val=&quot;00AA54CF&quot;/&gt;&lt;wsp:rsid wsp:val=&quot;00AA55AC&quot;/&gt;&lt;wsp:rsid wsp:val=&quot;00AA55DC&quot;/&gt;&lt;wsp:rsid wsp:val=&quot;00AA5A0A&quot;/&gt;&lt;wsp:rsid wsp:val=&quot;00AA5D36&quot;/&gt;&lt;wsp:rsid wsp:val=&quot;00AA5F33&quot;/&gt;&lt;wsp:rsid wsp:val=&quot;00AA66CE&quot;/&gt;&lt;wsp:rsid wsp:val=&quot;00AA6F5D&quot;/&gt;&lt;wsp:rsid wsp:val=&quot;00AA7915&quot;/&gt;&lt;wsp:rsid wsp:val=&quot;00AB097D&quot;/&gt;&lt;wsp:rsid wsp:val=&quot;00AB0B87&quot;/&gt;&lt;wsp:rsid wsp:val=&quot;00AB0E1C&quot;/&gt;&lt;wsp:rsid wsp:val=&quot;00AB10CD&quot;/&gt;&lt;wsp:rsid wsp:val=&quot;00AB1244&quot;/&gt;&lt;wsp:rsid wsp:val=&quot;00AB1504&quot;/&gt;&lt;wsp:rsid wsp:val=&quot;00AB20B0&quot;/&gt;&lt;wsp:rsid wsp:val=&quot;00AB2119&quot;/&gt;&lt;wsp:rsid wsp:val=&quot;00AB237C&quot;/&gt;&lt;wsp:rsid wsp:val=&quot;00AB269D&quot;/&gt;&lt;wsp:rsid wsp:val=&quot;00AB274E&quot;/&gt;&lt;wsp:rsid wsp:val=&quot;00AB292A&quot;/&gt;&lt;wsp:rsid wsp:val=&quot;00AB2CF5&quot;/&gt;&lt;wsp:rsid wsp:val=&quot;00AB2E72&quot;/&gt;&lt;wsp:rsid wsp:val=&quot;00AB2F00&quot;/&gt;&lt;wsp:rsid wsp:val=&quot;00AB301B&quot;/&gt;&lt;wsp:rsid wsp:val=&quot;00AB308B&quot;/&gt;&lt;wsp:rsid wsp:val=&quot;00AB3408&quot;/&gt;&lt;wsp:rsid wsp:val=&quot;00AB364B&quot;/&gt;&lt;wsp:rsid wsp:val=&quot;00AB389E&quot;/&gt;&lt;wsp:rsid wsp:val=&quot;00AB3D6A&quot;/&gt;&lt;wsp:rsid wsp:val=&quot;00AB42B0&quot;/&gt;&lt;wsp:rsid wsp:val=&quot;00AB47F0&quot;/&gt;&lt;wsp:rsid wsp:val=&quot;00AB4952&quot;/&gt;&lt;wsp:rsid wsp:val=&quot;00AB4C51&quot;/&gt;&lt;wsp:rsid wsp:val=&quot;00AB4C7F&quot;/&gt;&lt;wsp:rsid wsp:val=&quot;00AB4E24&quot;/&gt;&lt;wsp:rsid wsp:val=&quot;00AB4FE3&quot;/&gt;&lt;wsp:rsid wsp:val=&quot;00AB504C&quot;/&gt;&lt;wsp:rsid wsp:val=&quot;00AB51FA&quot;/&gt;&lt;wsp:rsid wsp:val=&quot;00AB5375&quot;/&gt;&lt;wsp:rsid wsp:val=&quot;00AB5404&quot;/&gt;&lt;wsp:rsid wsp:val=&quot;00AB55DD&quot;/&gt;&lt;wsp:rsid wsp:val=&quot;00AB5747&quot;/&gt;&lt;wsp:rsid wsp:val=&quot;00AB5B35&quot;/&gt;&lt;wsp:rsid wsp:val=&quot;00AB5CE5&quot;/&gt;&lt;wsp:rsid wsp:val=&quot;00AB67B5&quot;/&gt;&lt;wsp:rsid wsp:val=&quot;00AB67F3&quot;/&gt;&lt;wsp:rsid wsp:val=&quot;00AB6D48&quot;/&gt;&lt;wsp:rsid wsp:val=&quot;00AB6EC3&quot;/&gt;&lt;wsp:rsid wsp:val=&quot;00AB7C45&quot;/&gt;&lt;wsp:rsid wsp:val=&quot;00AC0763&quot;/&gt;&lt;wsp:rsid wsp:val=&quot;00AC0967&quot;/&gt;&lt;wsp:rsid wsp:val=&quot;00AC0D90&quot;/&gt;&lt;wsp:rsid wsp:val=&quot;00AC1044&quot;/&gt;&lt;wsp:rsid wsp:val=&quot;00AC1366&quot;/&gt;&lt;wsp:rsid wsp:val=&quot;00AC1455&quot;/&gt;&lt;wsp:rsid wsp:val=&quot;00AC18E9&quot;/&gt;&lt;wsp:rsid wsp:val=&quot;00AC19BD&quot;/&gt;&lt;wsp:rsid wsp:val=&quot;00AC2032&quot;/&gt;&lt;wsp:rsid wsp:val=&quot;00AC20DA&quot;/&gt;&lt;wsp:rsid wsp:val=&quot;00AC22D2&quot;/&gt;&lt;wsp:rsid wsp:val=&quot;00AC2495&quot;/&gt;&lt;wsp:rsid wsp:val=&quot;00AC2652&quot;/&gt;&lt;wsp:rsid wsp:val=&quot;00AC2926&quot;/&gt;&lt;wsp:rsid wsp:val=&quot;00AC2B5B&quot;/&gt;&lt;wsp:rsid wsp:val=&quot;00AC308A&quot;/&gt;&lt;wsp:rsid wsp:val=&quot;00AC358E&quot;/&gt;&lt;wsp:rsid wsp:val=&quot;00AC3903&quot;/&gt;&lt;wsp:rsid wsp:val=&quot;00AC4063&quot;/&gt;&lt;wsp:rsid wsp:val=&quot;00AC40EE&quot;/&gt;&lt;wsp:rsid wsp:val=&quot;00AC4234&quot;/&gt;&lt;wsp:rsid wsp:val=&quot;00AC4D26&quot;/&gt;&lt;wsp:rsid wsp:val=&quot;00AC4E76&quot;/&gt;&lt;wsp:rsid wsp:val=&quot;00AC4F73&quot;/&gt;&lt;wsp:rsid wsp:val=&quot;00AC533B&quot;/&gt;&lt;wsp:rsid wsp:val=&quot;00AC56DD&quot;/&gt;&lt;wsp:rsid wsp:val=&quot;00AC5796&quot;/&gt;&lt;wsp:rsid wsp:val=&quot;00AC650B&quot;/&gt;&lt;wsp:rsid wsp:val=&quot;00AC6598&quot;/&gt;&lt;wsp:rsid wsp:val=&quot;00AC68D8&quot;/&gt;&lt;wsp:rsid wsp:val=&quot;00AC699A&quot;/&gt;&lt;wsp:rsid wsp:val=&quot;00AC6C6D&quot;/&gt;&lt;wsp:rsid wsp:val=&quot;00AC6DC2&quot;/&gt;&lt;wsp:rsid wsp:val=&quot;00AC704A&quot;/&gt;&lt;wsp:rsid wsp:val=&quot;00AC73C4&quot;/&gt;&lt;wsp:rsid wsp:val=&quot;00AC77AC&quot;/&gt;&lt;wsp:rsid wsp:val=&quot;00AC7D8E&quot;/&gt;&lt;wsp:rsid wsp:val=&quot;00AD009D&quot;/&gt;&lt;wsp:rsid wsp:val=&quot;00AD034D&quot;/&gt;&lt;wsp:rsid wsp:val=&quot;00AD040A&quot;/&gt;&lt;wsp:rsid wsp:val=&quot;00AD0684&quot;/&gt;&lt;wsp:rsid wsp:val=&quot;00AD0779&quot;/&gt;&lt;wsp:rsid wsp:val=&quot;00AD08EF&quot;/&gt;&lt;wsp:rsid wsp:val=&quot;00AD1039&quot;/&gt;&lt;wsp:rsid wsp:val=&quot;00AD1BF3&quot;/&gt;&lt;wsp:rsid wsp:val=&quot;00AD1E48&quot;/&gt;&lt;wsp:rsid wsp:val=&quot;00AD2171&quot;/&gt;&lt;wsp:rsid wsp:val=&quot;00AD3062&quot;/&gt;&lt;wsp:rsid wsp:val=&quot;00AD3099&quot;/&gt;&lt;wsp:rsid wsp:val=&quot;00AD312C&quot;/&gt;&lt;wsp:rsid wsp:val=&quot;00AD32CE&quot;/&gt;&lt;wsp:rsid wsp:val=&quot;00AD334F&quot;/&gt;&lt;wsp:rsid wsp:val=&quot;00AD3D3D&quot;/&gt;&lt;wsp:rsid wsp:val=&quot;00AD405F&quot;/&gt;&lt;wsp:rsid wsp:val=&quot;00AD40C2&quot;/&gt;&lt;wsp:rsid wsp:val=&quot;00AD4218&quot;/&gt;&lt;wsp:rsid wsp:val=&quot;00AD4487&quot;/&gt;&lt;wsp:rsid wsp:val=&quot;00AD46B1&quot;/&gt;&lt;wsp:rsid wsp:val=&quot;00AD475B&quot;/&gt;&lt;wsp:rsid wsp:val=&quot;00AD4D3C&quot;/&gt;&lt;wsp:rsid wsp:val=&quot;00AD502A&quot;/&gt;&lt;wsp:rsid wsp:val=&quot;00AD56C8&quot;/&gt;&lt;wsp:rsid wsp:val=&quot;00AD5D9A&quot;/&gt;&lt;wsp:rsid wsp:val=&quot;00AD5DF1&quot;/&gt;&lt;wsp:rsid wsp:val=&quot;00AD63F8&quot;/&gt;&lt;wsp:rsid wsp:val=&quot;00AD67A3&quot;/&gt;&lt;wsp:rsid wsp:val=&quot;00AD67D1&quot;/&gt;&lt;wsp:rsid wsp:val=&quot;00AD6D97&quot;/&gt;&lt;wsp:rsid wsp:val=&quot;00AD6F2C&quot;/&gt;&lt;wsp:rsid wsp:val=&quot;00AD74DE&quot;/&gt;&lt;wsp:rsid wsp:val=&quot;00AD75D9&quot;/&gt;&lt;wsp:rsid wsp:val=&quot;00AD767D&quot;/&gt;&lt;wsp:rsid wsp:val=&quot;00AD79C8&quot;/&gt;&lt;wsp:rsid wsp:val=&quot;00AE024C&quot;/&gt;&lt;wsp:rsid wsp:val=&quot;00AE068F&quot;/&gt;&lt;wsp:rsid wsp:val=&quot;00AE0719&quot;/&gt;&lt;wsp:rsid wsp:val=&quot;00AE084B&quot;/&gt;&lt;wsp:rsid wsp:val=&quot;00AE0FEB&quot;/&gt;&lt;wsp:rsid wsp:val=&quot;00AE0FF8&quot;/&gt;&lt;wsp:rsid wsp:val=&quot;00AE1545&quot;/&gt;&lt;wsp:rsid wsp:val=&quot;00AE15DC&quot;/&gt;&lt;wsp:rsid wsp:val=&quot;00AE1955&quot;/&gt;&lt;wsp:rsid wsp:val=&quot;00AE1B40&quot;/&gt;&lt;wsp:rsid wsp:val=&quot;00AE20EA&quot;/&gt;&lt;wsp:rsid wsp:val=&quot;00AE224C&quot;/&gt;&lt;wsp:rsid wsp:val=&quot;00AE278A&quot;/&gt;&lt;wsp:rsid wsp:val=&quot;00AE2AC4&quot;/&gt;&lt;wsp:rsid wsp:val=&quot;00AE32E1&quot;/&gt;&lt;wsp:rsid wsp:val=&quot;00AE3803&quot;/&gt;&lt;wsp:rsid wsp:val=&quot;00AE3814&quot;/&gt;&lt;wsp:rsid wsp:val=&quot;00AE38C8&quot;/&gt;&lt;wsp:rsid wsp:val=&quot;00AE46DB&quot;/&gt;&lt;wsp:rsid wsp:val=&quot;00AE4840&quot;/&gt;&lt;wsp:rsid wsp:val=&quot;00AE5283&quot;/&gt;&lt;wsp:rsid wsp:val=&quot;00AE542C&quot;/&gt;&lt;wsp:rsid wsp:val=&quot;00AE5D98&quot;/&gt;&lt;wsp:rsid wsp:val=&quot;00AE5E12&quot;/&gt;&lt;wsp:rsid wsp:val=&quot;00AE5E2B&quot;/&gt;&lt;wsp:rsid wsp:val=&quot;00AE5EA0&quot;/&gt;&lt;wsp:rsid wsp:val=&quot;00AE69C5&quot;/&gt;&lt;wsp:rsid wsp:val=&quot;00AE6EB1&quot;/&gt;&lt;wsp:rsid wsp:val=&quot;00AE6F8E&quot;/&gt;&lt;wsp:rsid wsp:val=&quot;00AE76BD&quot;/&gt;&lt;wsp:rsid wsp:val=&quot;00AE794E&quot;/&gt;&lt;wsp:rsid wsp:val=&quot;00AE7B87&quot;/&gt;&lt;wsp:rsid wsp:val=&quot;00AF04F5&quot;/&gt;&lt;wsp:rsid wsp:val=&quot;00AF077C&quot;/&gt;&lt;wsp:rsid wsp:val=&quot;00AF078B&quot;/&gt;&lt;wsp:rsid wsp:val=&quot;00AF0C3E&quot;/&gt;&lt;wsp:rsid wsp:val=&quot;00AF14A8&quot;/&gt;&lt;wsp:rsid wsp:val=&quot;00AF1564&quot;/&gt;&lt;wsp:rsid wsp:val=&quot;00AF1B37&quot;/&gt;&lt;wsp:rsid wsp:val=&quot;00AF2287&quot;/&gt;&lt;wsp:rsid wsp:val=&quot;00AF2712&quot;/&gt;&lt;wsp:rsid wsp:val=&quot;00AF2CC9&quot;/&gt;&lt;wsp:rsid wsp:val=&quot;00AF2D3E&quot;/&gt;&lt;wsp:rsid wsp:val=&quot;00AF2F7A&quot;/&gt;&lt;wsp:rsid wsp:val=&quot;00AF2F9D&quot;/&gt;&lt;wsp:rsid wsp:val=&quot;00AF3149&quot;/&gt;&lt;wsp:rsid wsp:val=&quot;00AF3509&quot;/&gt;&lt;wsp:rsid wsp:val=&quot;00AF3529&quot;/&gt;&lt;wsp:rsid wsp:val=&quot;00AF3B58&quot;/&gt;&lt;wsp:rsid wsp:val=&quot;00AF3E49&quot;/&gt;&lt;wsp:rsid wsp:val=&quot;00AF424F&quot;/&gt;&lt;wsp:rsid wsp:val=&quot;00AF4343&quot;/&gt;&lt;wsp:rsid wsp:val=&quot;00AF55AA&quot;/&gt;&lt;wsp:rsid wsp:val=&quot;00AF56AE&quot;/&gt;&lt;wsp:rsid wsp:val=&quot;00AF5852&quot;/&gt;&lt;wsp:rsid wsp:val=&quot;00AF5A03&quot;/&gt;&lt;wsp:rsid wsp:val=&quot;00AF5B3E&quot;/&gt;&lt;wsp:rsid wsp:val=&quot;00AF5FD0&quot;/&gt;&lt;wsp:rsid wsp:val=&quot;00AF6623&quot;/&gt;&lt;wsp:rsid wsp:val=&quot;00AF6C6E&quot;/&gt;&lt;wsp:rsid wsp:val=&quot;00AF6F3F&quot;/&gt;&lt;wsp:rsid wsp:val=&quot;00AF7725&quot;/&gt;&lt;wsp:rsid wsp:val=&quot;00AF7759&quot;/&gt;&lt;wsp:rsid wsp:val=&quot;00B003B5&quot;/&gt;&lt;wsp:rsid wsp:val=&quot;00B00493&quot;/&gt;&lt;wsp:rsid wsp:val=&quot;00B006EA&quot;/&gt;&lt;wsp:rsid wsp:val=&quot;00B00992&quot;/&gt;&lt;wsp:rsid wsp:val=&quot;00B00A3C&quot;/&gt;&lt;wsp:rsid wsp:val=&quot;00B00DA1&quot;/&gt;&lt;wsp:rsid wsp:val=&quot;00B00DA4&quot;/&gt;&lt;wsp:rsid wsp:val=&quot;00B00DC4&quot;/&gt;&lt;wsp:rsid wsp:val=&quot;00B0124C&quot;/&gt;&lt;wsp:rsid wsp:val=&quot;00B01375&quot;/&gt;&lt;wsp:rsid wsp:val=&quot;00B01420&quot;/&gt;&lt;wsp:rsid wsp:val=&quot;00B016D4&quot;/&gt;&lt;wsp:rsid wsp:val=&quot;00B01D43&quot;/&gt;&lt;wsp:rsid wsp:val=&quot;00B01FC6&quot;/&gt;&lt;wsp:rsid wsp:val=&quot;00B02031&quot;/&gt;&lt;wsp:rsid wsp:val=&quot;00B026F6&quot;/&gt;&lt;wsp:rsid wsp:val=&quot;00B02F28&quot;/&gt;&lt;wsp:rsid wsp:val=&quot;00B0318E&quot;/&gt;&lt;wsp:rsid wsp:val=&quot;00B033E0&quot;/&gt;&lt;wsp:rsid wsp:val=&quot;00B03510&quot;/&gt;&lt;wsp:rsid wsp:val=&quot;00B03804&quot;/&gt;&lt;wsp:rsid wsp:val=&quot;00B03DEE&quot;/&gt;&lt;wsp:rsid wsp:val=&quot;00B045D9&quot;/&gt;&lt;wsp:rsid wsp:val=&quot;00B04A0F&quot;/&gt;&lt;wsp:rsid wsp:val=&quot;00B04AE7&quot;/&gt;&lt;wsp:rsid wsp:val=&quot;00B04EEB&quot;/&gt;&lt;wsp:rsid wsp:val=&quot;00B04F2C&quot;/&gt;&lt;wsp:rsid wsp:val=&quot;00B053A9&quot;/&gt;&lt;wsp:rsid wsp:val=&quot;00B05AC4&quot;/&gt;&lt;wsp:rsid wsp:val=&quot;00B05EA9&quot;/&gt;&lt;wsp:rsid wsp:val=&quot;00B05F50&quot;/&gt;&lt;wsp:rsid wsp:val=&quot;00B0603D&quot;/&gt;&lt;wsp:rsid wsp:val=&quot;00B06108&quot;/&gt;&lt;wsp:rsid wsp:val=&quot;00B06342&quot;/&gt;&lt;wsp:rsid wsp:val=&quot;00B063E9&quot;/&gt;&lt;wsp:rsid wsp:val=&quot;00B066FE&quot;/&gt;&lt;wsp:rsid wsp:val=&quot;00B067B6&quot;/&gt;&lt;wsp:rsid wsp:val=&quot;00B069EB&quot;/&gt;&lt;wsp:rsid wsp:val=&quot;00B06D78&quot;/&gt;&lt;wsp:rsid wsp:val=&quot;00B074B7&quot;/&gt;&lt;wsp:rsid wsp:val=&quot;00B07A34&quot;/&gt;&lt;wsp:rsid wsp:val=&quot;00B07A9B&quot;/&gt;&lt;wsp:rsid wsp:val=&quot;00B07C0E&quot;/&gt;&lt;wsp:rsid wsp:val=&quot;00B101E2&quot;/&gt;&lt;wsp:rsid wsp:val=&quot;00B10273&quot;/&gt;&lt;wsp:rsid wsp:val=&quot;00B102A5&quot;/&gt;&lt;wsp:rsid wsp:val=&quot;00B10437&quot;/&gt;&lt;wsp:rsid wsp:val=&quot;00B105C4&quot;/&gt;&lt;wsp:rsid wsp:val=&quot;00B10857&quot;/&gt;&lt;wsp:rsid wsp:val=&quot;00B114AA&quot;/&gt;&lt;wsp:rsid wsp:val=&quot;00B11588&quot;/&gt;&lt;wsp:rsid wsp:val=&quot;00B11AF5&quot;/&gt;&lt;wsp:rsid wsp:val=&quot;00B11C47&quot;/&gt;&lt;wsp:rsid wsp:val=&quot;00B12253&quot;/&gt;&lt;wsp:rsid wsp:val=&quot;00B1237E&quot;/&gt;&lt;wsp:rsid wsp:val=&quot;00B12763&quot;/&gt;&lt;wsp:rsid wsp:val=&quot;00B12A63&quot;/&gt;&lt;wsp:rsid wsp:val=&quot;00B12BF1&quot;/&gt;&lt;wsp:rsid wsp:val=&quot;00B12CB5&quot;/&gt;&lt;wsp:rsid wsp:val=&quot;00B12D76&quot;/&gt;&lt;wsp:rsid wsp:val=&quot;00B12EAC&quot;/&gt;&lt;wsp:rsid wsp:val=&quot;00B13341&quot;/&gt;&lt;wsp:rsid wsp:val=&quot;00B1351D&quot;/&gt;&lt;wsp:rsid wsp:val=&quot;00B13820&quot;/&gt;&lt;wsp:rsid wsp:val=&quot;00B1420F&quot;/&gt;&lt;wsp:rsid wsp:val=&quot;00B14339&quot;/&gt;&lt;wsp:rsid wsp:val=&quot;00B1488F&quot;/&gt;&lt;wsp:rsid wsp:val=&quot;00B1495C&quot;/&gt;&lt;wsp:rsid wsp:val=&quot;00B14964&quot;/&gt;&lt;wsp:rsid wsp:val=&quot;00B14EC4&quot;/&gt;&lt;wsp:rsid wsp:val=&quot;00B14FB8&quot;/&gt;&lt;wsp:rsid wsp:val=&quot;00B150F3&quot;/&gt;&lt;wsp:rsid wsp:val=&quot;00B1542F&quot;/&gt;&lt;wsp:rsid wsp:val=&quot;00B15BB8&quot;/&gt;&lt;wsp:rsid wsp:val=&quot;00B15BD5&quot;/&gt;&lt;wsp:rsid wsp:val=&quot;00B1658C&quot;/&gt;&lt;wsp:rsid wsp:val=&quot;00B165F4&quot;/&gt;&lt;wsp:rsid wsp:val=&quot;00B16B51&quot;/&gt;&lt;wsp:rsid wsp:val=&quot;00B16CE4&quot;/&gt;&lt;wsp:rsid wsp:val=&quot;00B17267&quot;/&gt;&lt;wsp:rsid wsp:val=&quot;00B17A6F&quot;/&gt;&lt;wsp:rsid wsp:val=&quot;00B17A77&quot;/&gt;&lt;wsp:rsid wsp:val=&quot;00B17F34&quot;/&gt;&lt;wsp:rsid wsp:val=&quot;00B2037C&quot;/&gt;&lt;wsp:rsid wsp:val=&quot;00B206CE&quot;/&gt;&lt;wsp:rsid wsp:val=&quot;00B207CE&quot;/&gt;&lt;wsp:rsid wsp:val=&quot;00B207EC&quot;/&gt;&lt;wsp:rsid wsp:val=&quot;00B208ED&quot;/&gt;&lt;wsp:rsid wsp:val=&quot;00B211C4&quot;/&gt;&lt;wsp:rsid wsp:val=&quot;00B21203&quot;/&gt;&lt;wsp:rsid wsp:val=&quot;00B214B2&quot;/&gt;&lt;wsp:rsid wsp:val=&quot;00B215AA&quot;/&gt;&lt;wsp:rsid wsp:val=&quot;00B215BC&quot;/&gt;&lt;wsp:rsid wsp:val=&quot;00B21620&quot;/&gt;&lt;wsp:rsid wsp:val=&quot;00B22E8F&quot;/&gt;&lt;wsp:rsid wsp:val=&quot;00B22F40&quot;/&gt;&lt;wsp:rsid wsp:val=&quot;00B23200&quot;/&gt;&lt;wsp:rsid wsp:val=&quot;00B2379C&quot;/&gt;&lt;wsp:rsid wsp:val=&quot;00B23892&quot;/&gt;&lt;wsp:rsid wsp:val=&quot;00B23D2B&quot;/&gt;&lt;wsp:rsid wsp:val=&quot;00B246A6&quot;/&gt;&lt;wsp:rsid wsp:val=&quot;00B24E41&quot;/&gt;&lt;wsp:rsid wsp:val=&quot;00B24E66&quot;/&gt;&lt;wsp:rsid wsp:val=&quot;00B25027&quot;/&gt;&lt;wsp:rsid wsp:val=&quot;00B2582C&quot;/&gt;&lt;wsp:rsid wsp:val=&quot;00B25907&quot;/&gt;&lt;wsp:rsid wsp:val=&quot;00B264BA&quot;/&gt;&lt;wsp:rsid wsp:val=&quot;00B267C6&quot;/&gt;&lt;wsp:rsid wsp:val=&quot;00B26F46&quot;/&gt;&lt;wsp:rsid wsp:val=&quot;00B270F2&quot;/&gt;&lt;wsp:rsid wsp:val=&quot;00B271B9&quot;/&gt;&lt;wsp:rsid wsp:val=&quot;00B27380&quot;/&gt;&lt;wsp:rsid wsp:val=&quot;00B274BB&quot;/&gt;&lt;wsp:rsid wsp:val=&quot;00B27520&quot;/&gt;&lt;wsp:rsid wsp:val=&quot;00B275DE&quot;/&gt;&lt;wsp:rsid wsp:val=&quot;00B27710&quot;/&gt;&lt;wsp:rsid wsp:val=&quot;00B2772A&quot;/&gt;&lt;wsp:rsid wsp:val=&quot;00B27B90&quot;/&gt;&lt;wsp:rsid wsp:val=&quot;00B27BDA&quot;/&gt;&lt;wsp:rsid wsp:val=&quot;00B302EC&quot;/&gt;&lt;wsp:rsid wsp:val=&quot;00B304C9&quot;/&gt;&lt;wsp:rsid wsp:val=&quot;00B3096D&quot;/&gt;&lt;wsp:rsid wsp:val=&quot;00B30EC9&quot;/&gt;&lt;wsp:rsid wsp:val=&quot;00B31340&quot;/&gt;&lt;wsp:rsid wsp:val=&quot;00B316E7&quot;/&gt;&lt;wsp:rsid wsp:val=&quot;00B31A7D&quot;/&gt;&lt;wsp:rsid wsp:val=&quot;00B31B75&quot;/&gt;&lt;wsp:rsid wsp:val=&quot;00B31F3B&quot;/&gt;&lt;wsp:rsid wsp:val=&quot;00B3255B&quot;/&gt;&lt;wsp:rsid wsp:val=&quot;00B32722&quot;/&gt;&lt;wsp:rsid wsp:val=&quot;00B32901&quot;/&gt;&lt;wsp:rsid wsp:val=&quot;00B32BC4&quot;/&gt;&lt;wsp:rsid wsp:val=&quot;00B32F30&quot;/&gt;&lt;wsp:rsid wsp:val=&quot;00B334E2&quot;/&gt;&lt;wsp:rsid wsp:val=&quot;00B340D8&quot;/&gt;&lt;wsp:rsid wsp:val=&quot;00B34423&quot;/&gt;&lt;wsp:rsid wsp:val=&quot;00B345E1&quot;/&gt;&lt;wsp:rsid wsp:val=&quot;00B34696&quot;/&gt;&lt;wsp:rsid wsp:val=&quot;00B34A3A&quot;/&gt;&lt;wsp:rsid wsp:val=&quot;00B3508E&quot;/&gt;&lt;wsp:rsid wsp:val=&quot;00B35471&quot;/&gt;&lt;wsp:rsid wsp:val=&quot;00B355F7&quot;/&gt;&lt;wsp:rsid wsp:val=&quot;00B355F9&quot;/&gt;&lt;wsp:rsid wsp:val=&quot;00B357FC&quot;/&gt;&lt;wsp:rsid wsp:val=&quot;00B35891&quot;/&gt;&lt;wsp:rsid wsp:val=&quot;00B358AC&quot;/&gt;&lt;wsp:rsid wsp:val=&quot;00B358E9&quot;/&gt;&lt;wsp:rsid wsp:val=&quot;00B35CC2&quot;/&gt;&lt;wsp:rsid wsp:val=&quot;00B36659&quot;/&gt;&lt;wsp:rsid wsp:val=&quot;00B366D3&quot;/&gt;&lt;wsp:rsid wsp:val=&quot;00B3693E&quot;/&gt;&lt;wsp:rsid wsp:val=&quot;00B37158&quot;/&gt;&lt;wsp:rsid wsp:val=&quot;00B373C5&quot;/&gt;&lt;wsp:rsid wsp:val=&quot;00B373F6&quot;/&gt;&lt;wsp:rsid wsp:val=&quot;00B3753C&quot;/&gt;&lt;wsp:rsid wsp:val=&quot;00B37824&quot;/&gt;&lt;wsp:rsid wsp:val=&quot;00B379CB&quot;/&gt;&lt;wsp:rsid wsp:val=&quot;00B37AB0&quot;/&gt;&lt;wsp:rsid wsp:val=&quot;00B37B1C&quot;/&gt;&lt;wsp:rsid wsp:val=&quot;00B37D83&quot;/&gt;&lt;wsp:rsid wsp:val=&quot;00B4003F&quot;/&gt;&lt;wsp:rsid wsp:val=&quot;00B4027C&quot;/&gt;&lt;wsp:rsid wsp:val=&quot;00B405AA&quot;/&gt;&lt;wsp:rsid wsp:val=&quot;00B41129&quot;/&gt;&lt;wsp:rsid wsp:val=&quot;00B41EB7&quot;/&gt;&lt;wsp:rsid wsp:val=&quot;00B420EF&quot;/&gt;&lt;wsp:rsid wsp:val=&quot;00B4230F&quot;/&gt;&lt;wsp:rsid wsp:val=&quot;00B42619&quot;/&gt;&lt;wsp:rsid wsp:val=&quot;00B42645&quot;/&gt;&lt;wsp:rsid wsp:val=&quot;00B4304B&quot;/&gt;&lt;wsp:rsid wsp:val=&quot;00B43378&quot;/&gt;&lt;wsp:rsid wsp:val=&quot;00B4338C&quot;/&gt;&lt;wsp:rsid wsp:val=&quot;00B43BD7&quot;/&gt;&lt;wsp:rsid wsp:val=&quot;00B43C58&quot;/&gt;&lt;wsp:rsid wsp:val=&quot;00B44956&quot;/&gt;&lt;wsp:rsid wsp:val=&quot;00B4527D&quot;/&gt;&lt;wsp:rsid wsp:val=&quot;00B45F5B&quot;/&gt;&lt;wsp:rsid wsp:val=&quot;00B45F5C&quot;/&gt;&lt;wsp:rsid wsp:val=&quot;00B4613C&quot;/&gt;&lt;wsp:rsid wsp:val=&quot;00B464BF&quot;/&gt;&lt;wsp:rsid wsp:val=&quot;00B47705&quot;/&gt;&lt;wsp:rsid wsp:val=&quot;00B47ABD&quot;/&gt;&lt;wsp:rsid wsp:val=&quot;00B47AD1&quot;/&gt;&lt;wsp:rsid wsp:val=&quot;00B47CF4&quot;/&gt;&lt;wsp:rsid wsp:val=&quot;00B47D36&quot;/&gt;&lt;wsp:rsid wsp:val=&quot;00B502BB&quot;/&gt;&lt;wsp:rsid wsp:val=&quot;00B503FD&quot;/&gt;&lt;wsp:rsid wsp:val=&quot;00B50466&quot;/&gt;&lt;wsp:rsid wsp:val=&quot;00B5046F&quot;/&gt;&lt;wsp:rsid wsp:val=&quot;00B505A0&quot;/&gt;&lt;wsp:rsid wsp:val=&quot;00B5084A&quot;/&gt;&lt;wsp:rsid wsp:val=&quot;00B50D60&quot;/&gt;&lt;wsp:rsid wsp:val=&quot;00B5111F&quot;/&gt;&lt;wsp:rsid wsp:val=&quot;00B5185C&quot;/&gt;&lt;wsp:rsid wsp:val=&quot;00B51AB7&quot;/&gt;&lt;wsp:rsid wsp:val=&quot;00B5203B&quot;/&gt;&lt;wsp:rsid wsp:val=&quot;00B52188&quot;/&gt;&lt;wsp:rsid wsp:val=&quot;00B5250E&quot;/&gt;&lt;wsp:rsid wsp:val=&quot;00B5261C&quot;/&gt;&lt;wsp:rsid wsp:val=&quot;00B526AE&quot;/&gt;&lt;wsp:rsid wsp:val=&quot;00B52770&quot;/&gt;&lt;wsp:rsid wsp:val=&quot;00B52A1C&quot;/&gt;&lt;wsp:rsid wsp:val=&quot;00B52A23&quot;/&gt;&lt;wsp:rsid wsp:val=&quot;00B52B05&quot;/&gt;&lt;wsp:rsid wsp:val=&quot;00B52D02&quot;/&gt;&lt;wsp:rsid wsp:val=&quot;00B5318B&quot;/&gt;&lt;wsp:rsid wsp:val=&quot;00B531BC&quot;/&gt;&lt;wsp:rsid wsp:val=&quot;00B53482&quot;/&gt;&lt;wsp:rsid wsp:val=&quot;00B5387F&quot;/&gt;&lt;wsp:rsid wsp:val=&quot;00B5389B&quot;/&gt;&lt;wsp:rsid wsp:val=&quot;00B538F1&quot;/&gt;&lt;wsp:rsid wsp:val=&quot;00B539E7&quot;/&gt;&lt;wsp:rsid wsp:val=&quot;00B53E93&quot;/&gt;&lt;wsp:rsid wsp:val=&quot;00B54064&quot;/&gt;&lt;wsp:rsid wsp:val=&quot;00B54297&quot;/&gt;&lt;wsp:rsid wsp:val=&quot;00B546F4&quot;/&gt;&lt;wsp:rsid wsp:val=&quot;00B54741&quot;/&gt;&lt;wsp:rsid wsp:val=&quot;00B55036&quot;/&gt;&lt;wsp:rsid wsp:val=&quot;00B55249&quot;/&gt;&lt;wsp:rsid wsp:val=&quot;00B5525F&quot;/&gt;&lt;wsp:rsid wsp:val=&quot;00B55663&quot;/&gt;&lt;wsp:rsid wsp:val=&quot;00B55685&quot;/&gt;&lt;wsp:rsid wsp:val=&quot;00B55912&quot;/&gt;&lt;wsp:rsid wsp:val=&quot;00B561D6&quot;/&gt;&lt;wsp:rsid wsp:val=&quot;00B561F7&quot;/&gt;&lt;wsp:rsid wsp:val=&quot;00B5637B&quot;/&gt;&lt;wsp:rsid wsp:val=&quot;00B56DF4&quot;/&gt;&lt;wsp:rsid wsp:val=&quot;00B57213&quot;/&gt;&lt;wsp:rsid wsp:val=&quot;00B573A4&quot;/&gt;&lt;wsp:rsid wsp:val=&quot;00B5750A&quot;/&gt;&lt;wsp:rsid wsp:val=&quot;00B57E4C&quot;/&gt;&lt;wsp:rsid wsp:val=&quot;00B608C4&quot;/&gt;&lt;wsp:rsid wsp:val=&quot;00B609CB&quot;/&gt;&lt;wsp:rsid wsp:val=&quot;00B61A4B&quot;/&gt;&lt;wsp:rsid wsp:val=&quot;00B61D45&quot;/&gt;&lt;wsp:rsid wsp:val=&quot;00B621BD&quot;/&gt;&lt;wsp:rsid wsp:val=&quot;00B622DE&quot;/&gt;&lt;wsp:rsid wsp:val=&quot;00B6234B&quot;/&gt;&lt;wsp:rsid wsp:val=&quot;00B6240A&quot;/&gt;&lt;wsp:rsid wsp:val=&quot;00B6240F&quot;/&gt;&lt;wsp:rsid wsp:val=&quot;00B626C5&quot;/&gt;&lt;wsp:rsid wsp:val=&quot;00B626D5&quot;/&gt;&lt;wsp:rsid wsp:val=&quot;00B62CEE&quot;/&gt;&lt;wsp:rsid wsp:val=&quot;00B63154&quot;/&gt;&lt;wsp:rsid wsp:val=&quot;00B636AA&quot;/&gt;&lt;wsp:rsid wsp:val=&quot;00B642D8&quot;/&gt;&lt;wsp:rsid wsp:val=&quot;00B647B6&quot;/&gt;&lt;wsp:rsid wsp:val=&quot;00B64D1F&quot;/&gt;&lt;wsp:rsid wsp:val=&quot;00B64D40&quot;/&gt;&lt;wsp:rsid wsp:val=&quot;00B6520B&quot;/&gt;&lt;wsp:rsid wsp:val=&quot;00B657C0&quot;/&gt;&lt;wsp:rsid wsp:val=&quot;00B659C5&quot;/&gt;&lt;wsp:rsid wsp:val=&quot;00B66936&quot;/&gt;&lt;wsp:rsid wsp:val=&quot;00B66BE4&quot;/&gt;&lt;wsp:rsid wsp:val=&quot;00B67407&quot;/&gt;&lt;wsp:rsid wsp:val=&quot;00B674C9&quot;/&gt;&lt;wsp:rsid wsp:val=&quot;00B6750B&quot;/&gt;&lt;wsp:rsid wsp:val=&quot;00B67969&quot;/&gt;&lt;wsp:rsid wsp:val=&quot;00B7024E&quot;/&gt;&lt;wsp:rsid wsp:val=&quot;00B70395&quot;/&gt;&lt;wsp:rsid wsp:val=&quot;00B70444&quot;/&gt;&lt;wsp:rsid wsp:val=&quot;00B70C63&quot;/&gt;&lt;wsp:rsid wsp:val=&quot;00B70D4A&quot;/&gt;&lt;wsp:rsid wsp:val=&quot;00B719DC&quot;/&gt;&lt;wsp:rsid wsp:val=&quot;00B71DF4&quot;/&gt;&lt;wsp:rsid wsp:val=&quot;00B71FF8&quot;/&gt;&lt;wsp:rsid wsp:val=&quot;00B7214D&quot;/&gt;&lt;wsp:rsid wsp:val=&quot;00B7237E&quot;/&gt;&lt;wsp:rsid wsp:val=&quot;00B72491&quot;/&gt;&lt;wsp:rsid wsp:val=&quot;00B72997&quot;/&gt;&lt;wsp:rsid wsp:val=&quot;00B72B2D&quot;/&gt;&lt;wsp:rsid wsp:val=&quot;00B73379&quot;/&gt;&lt;wsp:rsid wsp:val=&quot;00B738A1&quot;/&gt;&lt;wsp:rsid wsp:val=&quot;00B73E83&quot;/&gt;&lt;wsp:rsid wsp:val=&quot;00B73F7D&quot;/&gt;&lt;wsp:rsid wsp:val=&quot;00B7404A&quot;/&gt;&lt;wsp:rsid wsp:val=&quot;00B743DB&quot;/&gt;&lt;wsp:rsid wsp:val=&quot;00B74423&quot;/&gt;&lt;wsp:rsid wsp:val=&quot;00B74642&quot;/&gt;&lt;wsp:rsid wsp:val=&quot;00B74D25&quot;/&gt;&lt;wsp:rsid wsp:val=&quot;00B7536C&quot;/&gt;&lt;wsp:rsid wsp:val=&quot;00B7552C&quot;/&gt;&lt;wsp:rsid wsp:val=&quot;00B757CF&quot;/&gt;&lt;wsp:rsid wsp:val=&quot;00B7595E&quot;/&gt;&lt;wsp:rsid wsp:val=&quot;00B75F42&quot;/&gt;&lt;wsp:rsid wsp:val=&quot;00B766BB&quot;/&gt;&lt;wsp:rsid wsp:val=&quot;00B766D1&quot;/&gt;&lt;wsp:rsid wsp:val=&quot;00B769B6&quot;/&gt;&lt;wsp:rsid wsp:val=&quot;00B76C16&quot;/&gt;&lt;wsp:rsid wsp:val=&quot;00B77226&quot;/&gt;&lt;wsp:rsid wsp:val=&quot;00B7723F&quot;/&gt;&lt;wsp:rsid wsp:val=&quot;00B77294&quot;/&gt;&lt;wsp:rsid wsp:val=&quot;00B77450&quot;/&gt;&lt;wsp:rsid wsp:val=&quot;00B776BA&quot;/&gt;&lt;wsp:rsid wsp:val=&quot;00B77C3D&quot;/&gt;&lt;wsp:rsid wsp:val=&quot;00B803FB&quot;/&gt;&lt;wsp:rsid wsp:val=&quot;00B804AA&quot;/&gt;&lt;wsp:rsid wsp:val=&quot;00B8054A&quot;/&gt;&lt;wsp:rsid wsp:val=&quot;00B8064A&quot;/&gt;&lt;wsp:rsid wsp:val=&quot;00B81830&quot;/&gt;&lt;wsp:rsid wsp:val=&quot;00B81AF0&quot;/&gt;&lt;wsp:rsid wsp:val=&quot;00B81B2D&quot;/&gt;&lt;wsp:rsid wsp:val=&quot;00B82189&quot;/&gt;&lt;wsp:rsid wsp:val=&quot;00B82335&quot;/&gt;&lt;wsp:rsid wsp:val=&quot;00B82367&quot;/&gt;&lt;wsp:rsid wsp:val=&quot;00B825BC&quot;/&gt;&lt;wsp:rsid wsp:val=&quot;00B8299B&quot;/&gt;&lt;wsp:rsid wsp:val=&quot;00B82BB6&quot;/&gt;&lt;wsp:rsid wsp:val=&quot;00B830E9&quot;/&gt;&lt;wsp:rsid wsp:val=&quot;00B8316D&quot;/&gt;&lt;wsp:rsid wsp:val=&quot;00B83687&quot;/&gt;&lt;wsp:rsid wsp:val=&quot;00B83B40&quot;/&gt;&lt;wsp:rsid wsp:val=&quot;00B83E28&quot;/&gt;&lt;wsp:rsid wsp:val=&quot;00B8416F&quot;/&gt;&lt;wsp:rsid wsp:val=&quot;00B84482&quot;/&gt;&lt;wsp:rsid wsp:val=&quot;00B845CB&quot;/&gt;&lt;wsp:rsid wsp:val=&quot;00B8472E&quot;/&gt;&lt;wsp:rsid wsp:val=&quot;00B84801&quot;/&gt;&lt;wsp:rsid wsp:val=&quot;00B8506F&quot;/&gt;&lt;wsp:rsid wsp:val=&quot;00B85311&quot;/&gt;&lt;wsp:rsid wsp:val=&quot;00B859FF&quot;/&gt;&lt;wsp:rsid wsp:val=&quot;00B85A40&quot;/&gt;&lt;wsp:rsid wsp:val=&quot;00B85B95&quot;/&gt;&lt;wsp:rsid wsp:val=&quot;00B85DAE&quot;/&gt;&lt;wsp:rsid wsp:val=&quot;00B85DF7&quot;/&gt;&lt;wsp:rsid wsp:val=&quot;00B85FDF&quot;/&gt;&lt;wsp:rsid wsp:val=&quot;00B86233&quot;/&gt;&lt;wsp:rsid wsp:val=&quot;00B868D1&quot;/&gt;&lt;wsp:rsid wsp:val=&quot;00B870B9&quot;/&gt;&lt;wsp:rsid wsp:val=&quot;00B87548&quot;/&gt;&lt;wsp:rsid wsp:val=&quot;00B87808&quot;/&gt;&lt;wsp:rsid wsp:val=&quot;00B87C05&quot;/&gt;&lt;wsp:rsid wsp:val=&quot;00B87FF0&quot;/&gt;&lt;wsp:rsid wsp:val=&quot;00B90186&quot;/&gt;&lt;wsp:rsid wsp:val=&quot;00B90220&quot;/&gt;&lt;wsp:rsid wsp:val=&quot;00B9055C&quot;/&gt;&lt;wsp:rsid wsp:val=&quot;00B90A24&quot;/&gt;&lt;wsp:rsid wsp:val=&quot;00B90AFB&quot;/&gt;&lt;wsp:rsid wsp:val=&quot;00B91017&quot;/&gt;&lt;wsp:rsid wsp:val=&quot;00B91019&quot;/&gt;&lt;wsp:rsid wsp:val=&quot;00B91898&quot;/&gt;&lt;wsp:rsid wsp:val=&quot;00B91D43&quot;/&gt;&lt;wsp:rsid wsp:val=&quot;00B91FFC&quot;/&gt;&lt;wsp:rsid wsp:val=&quot;00B922CF&quot;/&gt;&lt;wsp:rsid wsp:val=&quot;00B9259B&quot;/&gt;&lt;wsp:rsid wsp:val=&quot;00B925A4&quot;/&gt;&lt;wsp:rsid wsp:val=&quot;00B92867&quot;/&gt;&lt;wsp:rsid wsp:val=&quot;00B92C8B&quot;/&gt;&lt;wsp:rsid wsp:val=&quot;00B92CE3&quot;/&gt;&lt;wsp:rsid wsp:val=&quot;00B92EDF&quot;/&gt;&lt;wsp:rsid wsp:val=&quot;00B933ED&quot;/&gt;&lt;wsp:rsid wsp:val=&quot;00B9374D&quot;/&gt;&lt;wsp:rsid wsp:val=&quot;00B939BE&quot;/&gt;&lt;wsp:rsid wsp:val=&quot;00B93A53&quot;/&gt;&lt;wsp:rsid wsp:val=&quot;00B93E91&quot;/&gt;&lt;wsp:rsid wsp:val=&quot;00B94416&quot;/&gt;&lt;wsp:rsid wsp:val=&quot;00B945F6&quot;/&gt;&lt;wsp:rsid wsp:val=&quot;00B9494F&quot;/&gt;&lt;wsp:rsid wsp:val=&quot;00B949CD&quot;/&gt;&lt;wsp:rsid wsp:val=&quot;00B94DD4&quot;/&gt;&lt;wsp:rsid wsp:val=&quot;00B957E1&quot;/&gt;&lt;wsp:rsid wsp:val=&quot;00B95A70&quot;/&gt;&lt;wsp:rsid wsp:val=&quot;00B95F0E&quot;/&gt;&lt;wsp:rsid wsp:val=&quot;00B96800&quot;/&gt;&lt;wsp:rsid wsp:val=&quot;00B96DC9&quot;/&gt;&lt;wsp:rsid wsp:val=&quot;00B96EA0&quot;/&gt;&lt;wsp:rsid wsp:val=&quot;00B972E9&quot;/&gt;&lt;wsp:rsid wsp:val=&quot;00BA00D0&quot;/&gt;&lt;wsp:rsid wsp:val=&quot;00BA0219&quot;/&gt;&lt;wsp:rsid wsp:val=&quot;00BA0229&quot;/&gt;&lt;wsp:rsid wsp:val=&quot;00BA0362&quot;/&gt;&lt;wsp:rsid wsp:val=&quot;00BA0611&quot;/&gt;&lt;wsp:rsid wsp:val=&quot;00BA0A56&quot;/&gt;&lt;wsp:rsid wsp:val=&quot;00BA149A&quot;/&gt;&lt;wsp:rsid wsp:val=&quot;00BA162E&quot;/&gt;&lt;wsp:rsid wsp:val=&quot;00BA178A&quot;/&gt;&lt;wsp:rsid wsp:val=&quot;00BA2D52&quot;/&gt;&lt;wsp:rsid wsp:val=&quot;00BA2D5D&quot;/&gt;&lt;wsp:rsid wsp:val=&quot;00BA3151&quot;/&gt;&lt;wsp:rsid wsp:val=&quot;00BA34EC&quot;/&gt;&lt;wsp:rsid wsp:val=&quot;00BA38D3&quot;/&gt;&lt;wsp:rsid wsp:val=&quot;00BA3DB2&quot;/&gt;&lt;wsp:rsid wsp:val=&quot;00BA3E49&quot;/&gt;&lt;wsp:rsid wsp:val=&quot;00BA43FA&quot;/&gt;&lt;wsp:rsid wsp:val=&quot;00BA4C42&quot;/&gt;&lt;wsp:rsid wsp:val=&quot;00BA4D6A&quot;/&gt;&lt;wsp:rsid wsp:val=&quot;00BA5CA8&quot;/&gt;&lt;wsp:rsid wsp:val=&quot;00BA5DFF&quot;/&gt;&lt;wsp:rsid wsp:val=&quot;00BA5FEF&quot;/&gt;&lt;wsp:rsid wsp:val=&quot;00BA61E1&quot;/&gt;&lt;wsp:rsid wsp:val=&quot;00BA63A1&quot;/&gt;&lt;wsp:rsid wsp:val=&quot;00BA683E&quot;/&gt;&lt;wsp:rsid wsp:val=&quot;00BA68F0&quot;/&gt;&lt;wsp:rsid wsp:val=&quot;00BA6BF0&quot;/&gt;&lt;wsp:rsid wsp:val=&quot;00BA6EF9&quot;/&gt;&lt;wsp:rsid wsp:val=&quot;00BA6FA4&quot;/&gt;&lt;wsp:rsid wsp:val=&quot;00BA7546&quot;/&gt;&lt;wsp:rsid wsp:val=&quot;00BA7725&quot;/&gt;&lt;wsp:rsid wsp:val=&quot;00BA7AD3&quot;/&gt;&lt;wsp:rsid wsp:val=&quot;00BA7FCF&quot;/&gt;&lt;wsp:rsid wsp:val=&quot;00BB022C&quot;/&gt;&lt;wsp:rsid wsp:val=&quot;00BB06E2&quot;/&gt;&lt;wsp:rsid wsp:val=&quot;00BB0DAB&quot;/&gt;&lt;wsp:rsid wsp:val=&quot;00BB167D&quot;/&gt;&lt;wsp:rsid wsp:val=&quot;00BB2025&quot;/&gt;&lt;wsp:rsid wsp:val=&quot;00BB2060&quot;/&gt;&lt;wsp:rsid wsp:val=&quot;00BB20A4&quot;/&gt;&lt;wsp:rsid wsp:val=&quot;00BB2AF6&quot;/&gt;&lt;wsp:rsid wsp:val=&quot;00BB2FFB&quot;/&gt;&lt;wsp:rsid wsp:val=&quot;00BB311C&quot;/&gt;&lt;wsp:rsid wsp:val=&quot;00BB337E&quot;/&gt;&lt;wsp:rsid wsp:val=&quot;00BB34A9&quot;/&gt;&lt;wsp:rsid wsp:val=&quot;00BB350E&quot;/&gt;&lt;wsp:rsid wsp:val=&quot;00BB36C0&quot;/&gt;&lt;wsp:rsid wsp:val=&quot;00BB3A28&quot;/&gt;&lt;wsp:rsid wsp:val=&quot;00BB3B2D&quot;/&gt;&lt;wsp:rsid wsp:val=&quot;00BB409B&quot;/&gt;&lt;wsp:rsid wsp:val=&quot;00BB40BB&quot;/&gt;&lt;wsp:rsid wsp:val=&quot;00BB4189&quot;/&gt;&lt;wsp:rsid wsp:val=&quot;00BB42C2&quot;/&gt;&lt;wsp:rsid wsp:val=&quot;00BB4456&quot;/&gt;&lt;wsp:rsid wsp:val=&quot;00BB44E6&quot;/&gt;&lt;wsp:rsid wsp:val=&quot;00BB4C96&quot;/&gt;&lt;wsp:rsid wsp:val=&quot;00BB4FFB&quot;/&gt;&lt;wsp:rsid wsp:val=&quot;00BB50AC&quot;/&gt;&lt;wsp:rsid wsp:val=&quot;00BB5B79&quot;/&gt;&lt;wsp:rsid wsp:val=&quot;00BB5B9B&quot;/&gt;&lt;wsp:rsid wsp:val=&quot;00BB5C44&quot;/&gt;&lt;wsp:rsid wsp:val=&quot;00BB5F33&quot;/&gt;&lt;wsp:rsid wsp:val=&quot;00BB6048&quot;/&gt;&lt;wsp:rsid wsp:val=&quot;00BB61AC&quot;/&gt;&lt;wsp:rsid wsp:val=&quot;00BB6470&quot;/&gt;&lt;wsp:rsid wsp:val=&quot;00BB6844&quot;/&gt;&lt;wsp:rsid wsp:val=&quot;00BB6956&quot;/&gt;&lt;wsp:rsid wsp:val=&quot;00BB6A39&quot;/&gt;&lt;wsp:rsid wsp:val=&quot;00BB6A44&quot;/&gt;&lt;wsp:rsid wsp:val=&quot;00BB6A93&quot;/&gt;&lt;wsp:rsid wsp:val=&quot;00BB6D27&quot;/&gt;&lt;wsp:rsid wsp:val=&quot;00BB74DB&quot;/&gt;&lt;wsp:rsid wsp:val=&quot;00BB757B&quot;/&gt;&lt;wsp:rsid wsp:val=&quot;00BB77E4&quot;/&gt;&lt;wsp:rsid wsp:val=&quot;00BB782C&quot;/&gt;&lt;wsp:rsid wsp:val=&quot;00BB786D&quot;/&gt;&lt;wsp:rsid wsp:val=&quot;00BB7993&quot;/&gt;&lt;wsp:rsid wsp:val=&quot;00BB7B40&quot;/&gt;&lt;wsp:rsid wsp:val=&quot;00BB7C66&quot;/&gt;&lt;wsp:rsid wsp:val=&quot;00BC0314&quot;/&gt;&lt;wsp:rsid wsp:val=&quot;00BC05B3&quot;/&gt;&lt;wsp:rsid wsp:val=&quot;00BC073A&quot;/&gt;&lt;wsp:rsid wsp:val=&quot;00BC0F9C&quot;/&gt;&lt;wsp:rsid wsp:val=&quot;00BC106A&quot;/&gt;&lt;wsp:rsid wsp:val=&quot;00BC12BA&quot;/&gt;&lt;wsp:rsid wsp:val=&quot;00BC13B7&quot;/&gt;&lt;wsp:rsid wsp:val=&quot;00BC1604&quot;/&gt;&lt;wsp:rsid wsp:val=&quot;00BC1A09&quot;/&gt;&lt;wsp:rsid wsp:val=&quot;00BC1A9E&quot;/&gt;&lt;wsp:rsid wsp:val=&quot;00BC21DC&quot;/&gt;&lt;wsp:rsid wsp:val=&quot;00BC26BD&quot;/&gt;&lt;wsp:rsid wsp:val=&quot;00BC2834&quot;/&gt;&lt;wsp:rsid wsp:val=&quot;00BC2EB8&quot;/&gt;&lt;wsp:rsid wsp:val=&quot;00BC3404&quot;/&gt;&lt;wsp:rsid wsp:val=&quot;00BC34B3&quot;/&gt;&lt;wsp:rsid wsp:val=&quot;00BC37BB&quot;/&gt;&lt;wsp:rsid wsp:val=&quot;00BC37ED&quot;/&gt;&lt;wsp:rsid wsp:val=&quot;00BC3E79&quot;/&gt;&lt;wsp:rsid wsp:val=&quot;00BC3F4F&quot;/&gt;&lt;wsp:rsid wsp:val=&quot;00BC402B&quot;/&gt;&lt;wsp:rsid wsp:val=&quot;00BC40C2&quot;/&gt;&lt;wsp:rsid wsp:val=&quot;00BC4464&quot;/&gt;&lt;wsp:rsid wsp:val=&quot;00BC4A1C&quot;/&gt;&lt;wsp:rsid wsp:val=&quot;00BC4A5E&quot;/&gt;&lt;wsp:rsid wsp:val=&quot;00BC4CDE&quot;/&gt;&lt;wsp:rsid wsp:val=&quot;00BC4F0F&quot;/&gt;&lt;wsp:rsid wsp:val=&quot;00BC4F86&quot;/&gt;&lt;wsp:rsid wsp:val=&quot;00BC5197&quot;/&gt;&lt;wsp:rsid wsp:val=&quot;00BC51DE&quot;/&gt;&lt;wsp:rsid wsp:val=&quot;00BC569F&quot;/&gt;&lt;wsp:rsid wsp:val=&quot;00BC59F6&quot;/&gt;&lt;wsp:rsid wsp:val=&quot;00BC5B02&quot;/&gt;&lt;wsp:rsid wsp:val=&quot;00BC5E6B&quot;/&gt;&lt;wsp:rsid wsp:val=&quot;00BC645D&quot;/&gt;&lt;wsp:rsid wsp:val=&quot;00BC689E&quot;/&gt;&lt;wsp:rsid wsp:val=&quot;00BC6E57&quot;/&gt;&lt;wsp:rsid wsp:val=&quot;00BC6FF0&quot;/&gt;&lt;wsp:rsid wsp:val=&quot;00BC7003&quot;/&gt;&lt;wsp:rsid wsp:val=&quot;00BC72DF&quot;/&gt;&lt;wsp:rsid wsp:val=&quot;00BC7514&quot;/&gt;&lt;wsp:rsid wsp:val=&quot;00BC7A8A&quot;/&gt;&lt;wsp:rsid wsp:val=&quot;00BC7E36&quot;/&gt;&lt;wsp:rsid wsp:val=&quot;00BD0239&quot;/&gt;&lt;wsp:rsid wsp:val=&quot;00BD028C&quot;/&gt;&lt;wsp:rsid wsp:val=&quot;00BD0665&quot;/&gt;&lt;wsp:rsid wsp:val=&quot;00BD07EF&quot;/&gt;&lt;wsp:rsid wsp:val=&quot;00BD07F5&quot;/&gt;&lt;wsp:rsid wsp:val=&quot;00BD0E05&quot;/&gt;&lt;wsp:rsid wsp:val=&quot;00BD0EC3&quot;/&gt;&lt;wsp:rsid wsp:val=&quot;00BD1044&quot;/&gt;&lt;wsp:rsid wsp:val=&quot;00BD1408&quot;/&gt;&lt;wsp:rsid wsp:val=&quot;00BD15C5&quot;/&gt;&lt;wsp:rsid wsp:val=&quot;00BD16AD&quot;/&gt;&lt;wsp:rsid wsp:val=&quot;00BD183E&quot;/&gt;&lt;wsp:rsid wsp:val=&quot;00BD1966&quot;/&gt;&lt;wsp:rsid wsp:val=&quot;00BD19F8&quot;/&gt;&lt;wsp:rsid wsp:val=&quot;00BD21EF&quot;/&gt;&lt;wsp:rsid wsp:val=&quot;00BD2722&quot;/&gt;&lt;wsp:rsid wsp:val=&quot;00BD290B&quot;/&gt;&lt;wsp:rsid wsp:val=&quot;00BD2A30&quot;/&gt;&lt;wsp:rsid wsp:val=&quot;00BD2C67&quot;/&gt;&lt;wsp:rsid wsp:val=&quot;00BD319D&quot;/&gt;&lt;wsp:rsid wsp:val=&quot;00BD3B1A&quot;/&gt;&lt;wsp:rsid wsp:val=&quot;00BD3CC7&quot;/&gt;&lt;wsp:rsid wsp:val=&quot;00BD47CB&quot;/&gt;&lt;wsp:rsid wsp:val=&quot;00BD4986&quot;/&gt;&lt;wsp:rsid wsp:val=&quot;00BD4A06&quot;/&gt;&lt;wsp:rsid wsp:val=&quot;00BD4D4D&quot;/&gt;&lt;wsp:rsid wsp:val=&quot;00BD4F72&quot;/&gt;&lt;wsp:rsid wsp:val=&quot;00BD5117&quot;/&gt;&lt;wsp:rsid wsp:val=&quot;00BD52AB&quot;/&gt;&lt;wsp:rsid wsp:val=&quot;00BD5483&quot;/&gt;&lt;wsp:rsid wsp:val=&quot;00BD5626&quot;/&gt;&lt;wsp:rsid wsp:val=&quot;00BD57FD&quot;/&gt;&lt;wsp:rsid wsp:val=&quot;00BD5E7B&quot;/&gt;&lt;wsp:rsid wsp:val=&quot;00BD67E2&quot;/&gt;&lt;wsp:rsid wsp:val=&quot;00BD6DBD&quot;/&gt;&lt;wsp:rsid wsp:val=&quot;00BD6E04&quot;/&gt;&lt;wsp:rsid wsp:val=&quot;00BD73E0&quot;/&gt;&lt;wsp:rsid wsp:val=&quot;00BD746B&quot;/&gt;&lt;wsp:rsid wsp:val=&quot;00BD7971&quot;/&gt;&lt;wsp:rsid wsp:val=&quot;00BD7A89&quot;/&gt;&lt;wsp:rsid wsp:val=&quot;00BD7AB5&quot;/&gt;&lt;wsp:rsid wsp:val=&quot;00BD7C5B&quot;/&gt;&lt;wsp:rsid wsp:val=&quot;00BD7CEE&quot;/&gt;&lt;wsp:rsid wsp:val=&quot;00BD7D8E&quot;/&gt;&lt;wsp:rsid wsp:val=&quot;00BE0028&quot;/&gt;&lt;wsp:rsid wsp:val=&quot;00BE06B0&quot;/&gt;&lt;wsp:rsid wsp:val=&quot;00BE06D9&quot;/&gt;&lt;wsp:rsid wsp:val=&quot;00BE09AD&quot;/&gt;&lt;wsp:rsid wsp:val=&quot;00BE0B76&quot;/&gt;&lt;wsp:rsid wsp:val=&quot;00BE18A5&quot;/&gt;&lt;wsp:rsid wsp:val=&quot;00BE19E5&quot;/&gt;&lt;wsp:rsid wsp:val=&quot;00BE1DE4&quot;/&gt;&lt;wsp:rsid wsp:val=&quot;00BE1F06&quot;/&gt;&lt;wsp:rsid wsp:val=&quot;00BE1FDE&quot;/&gt;&lt;wsp:rsid wsp:val=&quot;00BE24B8&quot;/&gt;&lt;wsp:rsid wsp:val=&quot;00BE2516&quot;/&gt;&lt;wsp:rsid wsp:val=&quot;00BE2676&quot;/&gt;&lt;wsp:rsid wsp:val=&quot;00BE27F3&quot;/&gt;&lt;wsp:rsid wsp:val=&quot;00BE2B0C&quot;/&gt;&lt;wsp:rsid wsp:val=&quot;00BE2E84&quot;/&gt;&lt;wsp:rsid wsp:val=&quot;00BE2FC2&quot;/&gt;&lt;wsp:rsid wsp:val=&quot;00BE303E&quot;/&gt;&lt;wsp:rsid wsp:val=&quot;00BE333D&quot;/&gt;&lt;wsp:rsid wsp:val=&quot;00BE3465&quot;/&gt;&lt;wsp:rsid wsp:val=&quot;00BE4325&quot;/&gt;&lt;wsp:rsid wsp:val=&quot;00BE52FA&quot;/&gt;&lt;wsp:rsid wsp:val=&quot;00BE5611&quot;/&gt;&lt;wsp:rsid wsp:val=&quot;00BE56AA&quot;/&gt;&lt;wsp:rsid wsp:val=&quot;00BE56CB&quot;/&gt;&lt;wsp:rsid wsp:val=&quot;00BE58B2&quot;/&gt;&lt;wsp:rsid wsp:val=&quot;00BE6197&quot;/&gt;&lt;wsp:rsid wsp:val=&quot;00BE6510&quot;/&gt;&lt;wsp:rsid wsp:val=&quot;00BE6562&quot;/&gt;&lt;wsp:rsid wsp:val=&quot;00BE6B39&quot;/&gt;&lt;wsp:rsid wsp:val=&quot;00BE6C2F&quot;/&gt;&lt;wsp:rsid wsp:val=&quot;00BE6CE0&quot;/&gt;&lt;wsp:rsid wsp:val=&quot;00BE712C&quot;/&gt;&lt;wsp:rsid wsp:val=&quot;00BE75E1&quot;/&gt;&lt;wsp:rsid wsp:val=&quot;00BE76C2&quot;/&gt;&lt;wsp:rsid wsp:val=&quot;00BE785F&quot;/&gt;&lt;wsp:rsid wsp:val=&quot;00BE78BC&quot;/&gt;&lt;wsp:rsid wsp:val=&quot;00BE7C9B&quot;/&gt;&lt;wsp:rsid wsp:val=&quot;00BF00BE&quot;/&gt;&lt;wsp:rsid wsp:val=&quot;00BF018E&quot;/&gt;&lt;wsp:rsid wsp:val=&quot;00BF04F4&quot;/&gt;&lt;wsp:rsid wsp:val=&quot;00BF07C9&quot;/&gt;&lt;wsp:rsid wsp:val=&quot;00BF092E&quot;/&gt;&lt;wsp:rsid wsp:val=&quot;00BF0D10&quot;/&gt;&lt;wsp:rsid wsp:val=&quot;00BF0E67&quot;/&gt;&lt;wsp:rsid wsp:val=&quot;00BF0F6C&quot;/&gt;&lt;wsp:rsid wsp:val=&quot;00BF14A4&quot;/&gt;&lt;wsp:rsid wsp:val=&quot;00BF1503&quot;/&gt;&lt;wsp:rsid wsp:val=&quot;00BF1995&quot;/&gt;&lt;wsp:rsid wsp:val=&quot;00BF20B3&quot;/&gt;&lt;wsp:rsid wsp:val=&quot;00BF2226&quot;/&gt;&lt;wsp:rsid wsp:val=&quot;00BF2A9A&quot;/&gt;&lt;wsp:rsid wsp:val=&quot;00BF3C18&quot;/&gt;&lt;wsp:rsid wsp:val=&quot;00BF4105&quot;/&gt;&lt;wsp:rsid wsp:val=&quot;00BF418D&quot;/&gt;&lt;wsp:rsid wsp:val=&quot;00BF452F&quot;/&gt;&lt;wsp:rsid wsp:val=&quot;00BF456D&quot;/&gt;&lt;wsp:rsid wsp:val=&quot;00BF55FF&quot;/&gt;&lt;wsp:rsid wsp:val=&quot;00BF571A&quot;/&gt;&lt;wsp:rsid wsp:val=&quot;00BF5A3A&quot;/&gt;&lt;wsp:rsid wsp:val=&quot;00BF5B6E&quot;/&gt;&lt;wsp:rsid wsp:val=&quot;00BF5D51&quot;/&gt;&lt;wsp:rsid wsp:val=&quot;00BF5FB4&quot;/&gt;&lt;wsp:rsid wsp:val=&quot;00BF6487&quot;/&gt;&lt;wsp:rsid wsp:val=&quot;00BF6693&quot;/&gt;&lt;wsp:rsid wsp:val=&quot;00BF66D7&quot;/&gt;&lt;wsp:rsid wsp:val=&quot;00BF6AF7&quot;/&gt;&lt;wsp:rsid wsp:val=&quot;00BF6D3E&quot;/&gt;&lt;wsp:rsid wsp:val=&quot;00BF6F1F&quot;/&gt;&lt;wsp:rsid wsp:val=&quot;00BF7145&quot;/&gt;&lt;wsp:rsid wsp:val=&quot;00BF7221&quot;/&gt;&lt;wsp:rsid wsp:val=&quot;00BF7B8D&quot;/&gt;&lt;wsp:rsid wsp:val=&quot;00BF7EAE&quot;/&gt;&lt;wsp:rsid wsp:val=&quot;00C00180&quot;/&gt;&lt;wsp:rsid wsp:val=&quot;00C002A6&quot;/&gt;&lt;wsp:rsid wsp:val=&quot;00C0040F&quot;/&gt;&lt;wsp:rsid wsp:val=&quot;00C00B97&quot;/&gt;&lt;wsp:rsid wsp:val=&quot;00C00ED8&quot;/&gt;&lt;wsp:rsid wsp:val=&quot;00C011B7&quot;/&gt;&lt;wsp:rsid wsp:val=&quot;00C01350&quot;/&gt;&lt;wsp:rsid wsp:val=&quot;00C017BB&quot;/&gt;&lt;wsp:rsid wsp:val=&quot;00C01DB8&quot;/&gt;&lt;wsp:rsid wsp:val=&quot;00C01E51&quot;/&gt;&lt;wsp:rsid wsp:val=&quot;00C01F8C&quot;/&gt;&lt;wsp:rsid wsp:val=&quot;00C0200B&quot;/&gt;&lt;wsp:rsid wsp:val=&quot;00C020FC&quot;/&gt;&lt;wsp:rsid wsp:val=&quot;00C02143&quot;/&gt;&lt;wsp:rsid wsp:val=&quot;00C02566&quot;/&gt;&lt;wsp:rsid wsp:val=&quot;00C02775&quot;/&gt;&lt;wsp:rsid wsp:val=&quot;00C02AB4&quot;/&gt;&lt;wsp:rsid wsp:val=&quot;00C02B6E&quot;/&gt;&lt;wsp:rsid wsp:val=&quot;00C02C7F&quot;/&gt;&lt;wsp:rsid wsp:val=&quot;00C02FC6&quot;/&gt;&lt;wsp:rsid wsp:val=&quot;00C03236&quot;/&gt;&lt;wsp:rsid wsp:val=&quot;00C03A12&quot;/&gt;&lt;wsp:rsid wsp:val=&quot;00C03E02&quot;/&gt;&lt;wsp:rsid wsp:val=&quot;00C03F80&quot;/&gt;&lt;wsp:rsid wsp:val=&quot;00C04424&quot;/&gt;&lt;wsp:rsid wsp:val=&quot;00C0453D&quot;/&gt;&lt;wsp:rsid wsp:val=&quot;00C05095&quot;/&gt;&lt;wsp:rsid wsp:val=&quot;00C05A2D&quot;/&gt;&lt;wsp:rsid wsp:val=&quot;00C05D31&quot;/&gt;&lt;wsp:rsid wsp:val=&quot;00C05E10&quot;/&gt;&lt;wsp:rsid wsp:val=&quot;00C060E2&quot;/&gt;&lt;wsp:rsid wsp:val=&quot;00C06660&quot;/&gt;&lt;wsp:rsid wsp:val=&quot;00C0691F&quot;/&gt;&lt;wsp:rsid wsp:val=&quot;00C06953&quot;/&gt;&lt;wsp:rsid wsp:val=&quot;00C06CC3&quot;/&gt;&lt;wsp:rsid wsp:val=&quot;00C06DF9&quot;/&gt;&lt;wsp:rsid wsp:val=&quot;00C06FB3&quot;/&gt;&lt;wsp:rsid wsp:val=&quot;00C070C3&quot;/&gt;&lt;wsp:rsid wsp:val=&quot;00C078EE&quot;/&gt;&lt;wsp:rsid wsp:val=&quot;00C07BC7&quot;/&gt;&lt;wsp:rsid wsp:val=&quot;00C10240&quot;/&gt;&lt;wsp:rsid wsp:val=&quot;00C102D6&quot;/&gt;&lt;wsp:rsid wsp:val=&quot;00C104EA&quot;/&gt;&lt;wsp:rsid wsp:val=&quot;00C10512&quot;/&gt;&lt;wsp:rsid wsp:val=&quot;00C10BF8&quot;/&gt;&lt;wsp:rsid wsp:val=&quot;00C10D7B&quot;/&gt;&lt;wsp:rsid wsp:val=&quot;00C10F49&quot;/&gt;&lt;wsp:rsid wsp:val=&quot;00C11443&quot;/&gt;&lt;wsp:rsid wsp:val=&quot;00C11555&quot;/&gt;&lt;wsp:rsid wsp:val=&quot;00C1180F&quot;/&gt;&lt;wsp:rsid wsp:val=&quot;00C11BE8&quot;/&gt;&lt;wsp:rsid wsp:val=&quot;00C11EA5&quot;/&gt;&lt;wsp:rsid wsp:val=&quot;00C11F74&quot;/&gt;&lt;wsp:rsid wsp:val=&quot;00C129E9&quot;/&gt;&lt;wsp:rsid wsp:val=&quot;00C12C11&quot;/&gt;&lt;wsp:rsid wsp:val=&quot;00C12C97&quot;/&gt;&lt;wsp:rsid wsp:val=&quot;00C13509&quot;/&gt;&lt;wsp:rsid wsp:val=&quot;00C13555&quot;/&gt;&lt;wsp:rsid wsp:val=&quot;00C135A5&quot;/&gt;&lt;wsp:rsid wsp:val=&quot;00C137B3&quot;/&gt;&lt;wsp:rsid wsp:val=&quot;00C13AE6&quot;/&gt;&lt;wsp:rsid wsp:val=&quot;00C13EEF&quot;/&gt;&lt;wsp:rsid wsp:val=&quot;00C14134&quot;/&gt;&lt;wsp:rsid wsp:val=&quot;00C1486A&quot;/&gt;&lt;wsp:rsid wsp:val=&quot;00C14D0F&quot;/&gt;&lt;wsp:rsid wsp:val=&quot;00C150B0&quot;/&gt;&lt;wsp:rsid wsp:val=&quot;00C152AF&quot;/&gt;&lt;wsp:rsid wsp:val=&quot;00C15325&quot;/&gt;&lt;wsp:rsid wsp:val=&quot;00C15977&quot;/&gt;&lt;wsp:rsid wsp:val=&quot;00C15C67&quot;/&gt;&lt;wsp:rsid wsp:val=&quot;00C15EE9&quot;/&gt;&lt;wsp:rsid wsp:val=&quot;00C15F3E&quot;/&gt;&lt;wsp:rsid wsp:val=&quot;00C162BB&quot;/&gt;&lt;wsp:rsid wsp:val=&quot;00C1648E&quot;/&gt;&lt;wsp:rsid wsp:val=&quot;00C16B62&quot;/&gt;&lt;wsp:rsid wsp:val=&quot;00C16CD0&quot;/&gt;&lt;wsp:rsid wsp:val=&quot;00C16D8C&quot;/&gt;&lt;wsp:rsid wsp:val=&quot;00C1711A&quot;/&gt;&lt;wsp:rsid wsp:val=&quot;00C174BB&quot;/&gt;&lt;wsp:rsid wsp:val=&quot;00C17BF1&quot;/&gt;&lt;wsp:rsid wsp:val=&quot;00C17C09&quot;/&gt;&lt;wsp:rsid wsp:val=&quot;00C20128&quot;/&gt;&lt;wsp:rsid wsp:val=&quot;00C201C6&quot;/&gt;&lt;wsp:rsid wsp:val=&quot;00C20663&quot;/&gt;&lt;wsp:rsid wsp:val=&quot;00C208B3&quot;/&gt;&lt;wsp:rsid wsp:val=&quot;00C20A81&quot;/&gt;&lt;wsp:rsid wsp:val=&quot;00C20C04&quot;/&gt;&lt;wsp:rsid wsp:val=&quot;00C213C5&quot;/&gt;&lt;wsp:rsid wsp:val=&quot;00C2147C&quot;/&gt;&lt;wsp:rsid wsp:val=&quot;00C21867&quot;/&gt;&lt;wsp:rsid wsp:val=&quot;00C21BF0&quot;/&gt;&lt;wsp:rsid wsp:val=&quot;00C21CA2&quot;/&gt;&lt;wsp:rsid wsp:val=&quot;00C21FB6&quot;/&gt;&lt;wsp:rsid wsp:val=&quot;00C220D9&quot;/&gt;&lt;wsp:rsid wsp:val=&quot;00C22109&quot;/&gt;&lt;wsp:rsid wsp:val=&quot;00C22165&quot;/&gt;&lt;wsp:rsid wsp:val=&quot;00C22178&quot;/&gt;&lt;wsp:rsid wsp:val=&quot;00C22628&quot;/&gt;&lt;wsp:rsid wsp:val=&quot;00C22699&quot;/&gt;&lt;wsp:rsid wsp:val=&quot;00C2292E&quot;/&gt;&lt;wsp:rsid wsp:val=&quot;00C22AA2&quot;/&gt;&lt;wsp:rsid wsp:val=&quot;00C22F8E&quot;/&gt;&lt;wsp:rsid wsp:val=&quot;00C23063&quot;/&gt;&lt;wsp:rsid wsp:val=&quot;00C236A3&quot;/&gt;&lt;wsp:rsid wsp:val=&quot;00C236BB&quot;/&gt;&lt;wsp:rsid wsp:val=&quot;00C23703&quot;/&gt;&lt;wsp:rsid wsp:val=&quot;00C239A2&quot;/&gt;&lt;wsp:rsid wsp:val=&quot;00C23EA5&quot;/&gt;&lt;wsp:rsid wsp:val=&quot;00C23EFC&quot;/&gt;&lt;wsp:rsid wsp:val=&quot;00C23F8F&quot;/&gt;&lt;wsp:rsid wsp:val=&quot;00C24301&quot;/&gt;&lt;wsp:rsid wsp:val=&quot;00C244F8&quot;/&gt;&lt;wsp:rsid wsp:val=&quot;00C24626&quot;/&gt;&lt;wsp:rsid wsp:val=&quot;00C24A64&quot;/&gt;&lt;wsp:rsid wsp:val=&quot;00C24E2A&quot;/&gt;&lt;wsp:rsid wsp:val=&quot;00C24E2B&quot;/&gt;&lt;wsp:rsid wsp:val=&quot;00C24F63&quot;/&gt;&lt;wsp:rsid wsp:val=&quot;00C250B1&quot;/&gt;&lt;wsp:rsid wsp:val=&quot;00C2586A&quot;/&gt;&lt;wsp:rsid wsp:val=&quot;00C25936&quot;/&gt;&lt;wsp:rsid wsp:val=&quot;00C25DE7&quot;/&gt;&lt;wsp:rsid wsp:val=&quot;00C260AE&quot;/&gt;&lt;wsp:rsid wsp:val=&quot;00C26418&quot;/&gt;&lt;wsp:rsid wsp:val=&quot;00C267CE&quot;/&gt;&lt;wsp:rsid wsp:val=&quot;00C27C00&quot;/&gt;&lt;wsp:rsid wsp:val=&quot;00C3012D&quot;/&gt;&lt;wsp:rsid wsp:val=&quot;00C309C4&quot;/&gt;&lt;wsp:rsid wsp:val=&quot;00C30C4F&quot;/&gt;&lt;wsp:rsid wsp:val=&quot;00C30FEC&quot;/&gt;&lt;wsp:rsid wsp:val=&quot;00C310A6&quot;/&gt;&lt;wsp:rsid wsp:val=&quot;00C313EB&quot;/&gt;&lt;wsp:rsid wsp:val=&quot;00C31477&quot;/&gt;&lt;wsp:rsid wsp:val=&quot;00C3163C&quot;/&gt;&lt;wsp:rsid wsp:val=&quot;00C3189B&quot;/&gt;&lt;wsp:rsid wsp:val=&quot;00C31991&quot;/&gt;&lt;wsp:rsid wsp:val=&quot;00C31BF9&quot;/&gt;&lt;wsp:rsid wsp:val=&quot;00C31E68&quot;/&gt;&lt;wsp:rsid wsp:val=&quot;00C31E98&quot;/&gt;&lt;wsp:rsid wsp:val=&quot;00C31F06&quot;/&gt;&lt;wsp:rsid wsp:val=&quot;00C3200E&quot;/&gt;&lt;wsp:rsid wsp:val=&quot;00C32227&quot;/&gt;&lt;wsp:rsid wsp:val=&quot;00C32521&quot;/&gt;&lt;wsp:rsid wsp:val=&quot;00C3256D&quot;/&gt;&lt;wsp:rsid wsp:val=&quot;00C326F5&quot;/&gt;&lt;wsp:rsid wsp:val=&quot;00C328C0&quot;/&gt;&lt;wsp:rsid wsp:val=&quot;00C329BB&quot;/&gt;&lt;wsp:rsid wsp:val=&quot;00C32CD7&quot;/&gt;&lt;wsp:rsid wsp:val=&quot;00C32D73&quot;/&gt;&lt;wsp:rsid wsp:val=&quot;00C33480&quot;/&gt;&lt;wsp:rsid wsp:val=&quot;00C3351E&quot;/&gt;&lt;wsp:rsid wsp:val=&quot;00C33ABF&quot;/&gt;&lt;wsp:rsid wsp:val=&quot;00C33F88&quot;/&gt;&lt;wsp:rsid wsp:val=&quot;00C347EB&quot;/&gt;&lt;wsp:rsid wsp:val=&quot;00C34A8A&quot;/&gt;&lt;wsp:rsid wsp:val=&quot;00C34E96&quot;/&gt;&lt;wsp:rsid wsp:val=&quot;00C34F98&quot;/&gt;&lt;wsp:rsid wsp:val=&quot;00C34FE9&quot;/&gt;&lt;wsp:rsid wsp:val=&quot;00C351F0&quot;/&gt;&lt;wsp:rsid wsp:val=&quot;00C3528E&quot;/&gt;&lt;wsp:rsid wsp:val=&quot;00C3546C&quot;/&gt;&lt;wsp:rsid wsp:val=&quot;00C36345&quot;/&gt;&lt;wsp:rsid wsp:val=&quot;00C36660&quot;/&gt;&lt;wsp:rsid wsp:val=&quot;00C36908&quot;/&gt;&lt;wsp:rsid wsp:val=&quot;00C36A6C&quot;/&gt;&lt;wsp:rsid wsp:val=&quot;00C36D0F&quot;/&gt;&lt;wsp:rsid wsp:val=&quot;00C36F38&quot;/&gt;&lt;wsp:rsid wsp:val=&quot;00C36F53&quot;/&gt;&lt;wsp:rsid wsp:val=&quot;00C375DD&quot;/&gt;&lt;wsp:rsid wsp:val=&quot;00C37B8B&quot;/&gt;&lt;wsp:rsid wsp:val=&quot;00C40486&quot;/&gt;&lt;wsp:rsid wsp:val=&quot;00C405F4&quot;/&gt;&lt;wsp:rsid wsp:val=&quot;00C40609&quot;/&gt;&lt;wsp:rsid wsp:val=&quot;00C40777&quot;/&gt;&lt;wsp:rsid wsp:val=&quot;00C408E3&quot;/&gt;&lt;wsp:rsid wsp:val=&quot;00C409E2&quot;/&gt;&lt;wsp:rsid wsp:val=&quot;00C40A4C&quot;/&gt;&lt;wsp:rsid wsp:val=&quot;00C40A63&quot;/&gt;&lt;wsp:rsid wsp:val=&quot;00C40D3E&quot;/&gt;&lt;wsp:rsid wsp:val=&quot;00C40E93&quot;/&gt;&lt;wsp:rsid wsp:val=&quot;00C40F5C&quot;/&gt;&lt;wsp:rsid wsp:val=&quot;00C40F77&quot;/&gt;&lt;wsp:rsid wsp:val=&quot;00C4136B&quot;/&gt;&lt;wsp:rsid wsp:val=&quot;00C413B2&quot;/&gt;&lt;wsp:rsid wsp:val=&quot;00C413CD&quot;/&gt;&lt;wsp:rsid wsp:val=&quot;00C41992&quot;/&gt;&lt;wsp:rsid wsp:val=&quot;00C419F9&quot;/&gt;&lt;wsp:rsid wsp:val=&quot;00C41CC2&quot;/&gt;&lt;wsp:rsid wsp:val=&quot;00C41DFC&quot;/&gt;&lt;wsp:rsid wsp:val=&quot;00C41E87&quot;/&gt;&lt;wsp:rsid wsp:val=&quot;00C41F13&quot;/&gt;&lt;wsp:rsid wsp:val=&quot;00C42424&quot;/&gt;&lt;wsp:rsid wsp:val=&quot;00C43286&quot;/&gt;&lt;wsp:rsid wsp:val=&quot;00C4358D&quot;/&gt;&lt;wsp:rsid wsp:val=&quot;00C4370D&quot;/&gt;&lt;wsp:rsid wsp:val=&quot;00C44058&quot;/&gt;&lt;wsp:rsid wsp:val=&quot;00C4495F&quot;/&gt;&lt;wsp:rsid wsp:val=&quot;00C45325&quot;/&gt;&lt;wsp:rsid wsp:val=&quot;00C453A3&quot;/&gt;&lt;wsp:rsid wsp:val=&quot;00C45ADF&quot;/&gt;&lt;wsp:rsid wsp:val=&quot;00C45CB8&quot;/&gt;&lt;wsp:rsid wsp:val=&quot;00C46336&quot;/&gt;&lt;wsp:rsid wsp:val=&quot;00C4689A&quot;/&gt;&lt;wsp:rsid wsp:val=&quot;00C46E54&quot;/&gt;&lt;wsp:rsid wsp:val=&quot;00C4703A&quot;/&gt;&lt;wsp:rsid wsp:val=&quot;00C474C1&quot;/&gt;&lt;wsp:rsid wsp:val=&quot;00C47EAC&quot;/&gt;&lt;wsp:rsid wsp:val=&quot;00C47FE1&quot;/&gt;&lt;wsp:rsid wsp:val=&quot;00C5008A&quot;/&gt;&lt;wsp:rsid wsp:val=&quot;00C507B2&quot;/&gt;&lt;wsp:rsid wsp:val=&quot;00C50B28&quot;/&gt;&lt;wsp:rsid wsp:val=&quot;00C50B89&quot;/&gt;&lt;wsp:rsid wsp:val=&quot;00C51397&quot;/&gt;&lt;wsp:rsid wsp:val=&quot;00C516C6&quot;/&gt;&lt;wsp:rsid wsp:val=&quot;00C51953&quot;/&gt;&lt;wsp:rsid wsp:val=&quot;00C52043&quot;/&gt;&lt;wsp:rsid wsp:val=&quot;00C5268A&quot;/&gt;&lt;wsp:rsid wsp:val=&quot;00C529CC&quot;/&gt;&lt;wsp:rsid wsp:val=&quot;00C52D26&quot;/&gt;&lt;wsp:rsid wsp:val=&quot;00C53272&quot;/&gt;&lt;wsp:rsid wsp:val=&quot;00C53E29&quot;/&gt;&lt;wsp:rsid wsp:val=&quot;00C53EAE&quot;/&gt;&lt;wsp:rsid wsp:val=&quot;00C53F85&quot;/&gt;&lt;wsp:rsid wsp:val=&quot;00C54548&quot;/&gt;&lt;wsp:rsid wsp:val=&quot;00C549F3&quot;/&gt;&lt;wsp:rsid wsp:val=&quot;00C54CE5&quot;/&gt;&lt;wsp:rsid wsp:val=&quot;00C54D13&quot;/&gt;&lt;wsp:rsid wsp:val=&quot;00C54EF1&quot;/&gt;&lt;wsp:rsid wsp:val=&quot;00C5502B&quot;/&gt;&lt;wsp:rsid wsp:val=&quot;00C551F8&quot;/&gt;&lt;wsp:rsid wsp:val=&quot;00C552FA&quot;/&gt;&lt;wsp:rsid wsp:val=&quot;00C5557C&quot;/&gt;&lt;wsp:rsid wsp:val=&quot;00C55714&quot;/&gt;&lt;wsp:rsid wsp:val=&quot;00C5571A&quot;/&gt;&lt;wsp:rsid wsp:val=&quot;00C55833&quot;/&gt;&lt;wsp:rsid wsp:val=&quot;00C55ABB&quot;/&gt;&lt;wsp:rsid wsp:val=&quot;00C55C94&quot;/&gt;&lt;wsp:rsid wsp:val=&quot;00C560ED&quot;/&gt;&lt;wsp:rsid wsp:val=&quot;00C56423&quot;/&gt;&lt;wsp:rsid wsp:val=&quot;00C56B2B&quot;/&gt;&lt;wsp:rsid wsp:val=&quot;00C56DFA&quot;/&gt;&lt;wsp:rsid wsp:val=&quot;00C5706C&quot;/&gt;&lt;wsp:rsid wsp:val=&quot;00C5748D&quot;/&gt;&lt;wsp:rsid wsp:val=&quot;00C57495&quot;/&gt;&lt;wsp:rsid wsp:val=&quot;00C5764E&quot;/&gt;&lt;wsp:rsid wsp:val=&quot;00C57724&quot;/&gt;&lt;wsp:rsid wsp:val=&quot;00C578BE&quot;/&gt;&lt;wsp:rsid wsp:val=&quot;00C57A7C&quot;/&gt;&lt;wsp:rsid wsp:val=&quot;00C57ABD&quot;/&gt;&lt;wsp:rsid wsp:val=&quot;00C57E0C&quot;/&gt;&lt;wsp:rsid wsp:val=&quot;00C60420&quot;/&gt;&lt;wsp:rsid wsp:val=&quot;00C608EB&quot;/&gt;&lt;wsp:rsid wsp:val=&quot;00C61442&quot;/&gt;&lt;wsp:rsid wsp:val=&quot;00C6148E&quot;/&gt;&lt;wsp:rsid wsp:val=&quot;00C616DC&quot;/&gt;&lt;wsp:rsid wsp:val=&quot;00C61D53&quot;/&gt;&lt;wsp:rsid wsp:val=&quot;00C628B9&quot;/&gt;&lt;wsp:rsid wsp:val=&quot;00C62D5C&quot;/&gt;&lt;wsp:rsid wsp:val=&quot;00C62D63&quot;/&gt;&lt;wsp:rsid wsp:val=&quot;00C62FD1&quot;/&gt;&lt;wsp:rsid wsp:val=&quot;00C63112&quot;/&gt;&lt;wsp:rsid wsp:val=&quot;00C6323C&quot;/&gt;&lt;wsp:rsid wsp:val=&quot;00C632AB&quot;/&gt;&lt;wsp:rsid wsp:val=&quot;00C635E9&quot;/&gt;&lt;wsp:rsid wsp:val=&quot;00C63676&quot;/&gt;&lt;wsp:rsid wsp:val=&quot;00C638AE&quot;/&gt;&lt;wsp:rsid wsp:val=&quot;00C6396D&quot;/&gt;&lt;wsp:rsid wsp:val=&quot;00C63FC5&quot;/&gt;&lt;wsp:rsid wsp:val=&quot;00C64147&quot;/&gt;&lt;wsp:rsid wsp:val=&quot;00C64212&quot;/&gt;&lt;wsp:rsid wsp:val=&quot;00C64557&quot;/&gt;&lt;wsp:rsid wsp:val=&quot;00C648CB&quot;/&gt;&lt;wsp:rsid wsp:val=&quot;00C64B1E&quot;/&gt;&lt;wsp:rsid wsp:val=&quot;00C64B99&quot;/&gt;&lt;wsp:rsid wsp:val=&quot;00C64FFC&quot;/&gt;&lt;wsp:rsid wsp:val=&quot;00C64FFD&quot;/&gt;&lt;wsp:rsid wsp:val=&quot;00C65030&quot;/&gt;&lt;wsp:rsid wsp:val=&quot;00C655D5&quot;/&gt;&lt;wsp:rsid wsp:val=&quot;00C65CFF&quot;/&gt;&lt;wsp:rsid wsp:val=&quot;00C65EEE&quot;/&gt;&lt;wsp:rsid wsp:val=&quot;00C662BB&quot;/&gt;&lt;wsp:rsid wsp:val=&quot;00C66354&quot;/&gt;&lt;wsp:rsid wsp:val=&quot;00C66A8E&quot;/&gt;&lt;wsp:rsid wsp:val=&quot;00C66B4B&quot;/&gt;&lt;wsp:rsid wsp:val=&quot;00C670A3&quot;/&gt;&lt;wsp:rsid wsp:val=&quot;00C670AE&quot;/&gt;&lt;wsp:rsid wsp:val=&quot;00C671DE&quot;/&gt;&lt;wsp:rsid wsp:val=&quot;00C673C5&quot;/&gt;&lt;wsp:rsid wsp:val=&quot;00C67831&quot;/&gt;&lt;wsp:rsid wsp:val=&quot;00C67EA5&quot;/&gt;&lt;wsp:rsid wsp:val=&quot;00C67F6C&quot;/&gt;&lt;wsp:rsid wsp:val=&quot;00C701DC&quot;/&gt;&lt;wsp:rsid wsp:val=&quot;00C70366&quot;/&gt;&lt;wsp:rsid wsp:val=&quot;00C70A2A&quot;/&gt;&lt;wsp:rsid wsp:val=&quot;00C71651&quot;/&gt;&lt;wsp:rsid wsp:val=&quot;00C71716&quot;/&gt;&lt;wsp:rsid wsp:val=&quot;00C71B9C&quot;/&gt;&lt;wsp:rsid wsp:val=&quot;00C71BAB&quot;/&gt;&lt;wsp:rsid wsp:val=&quot;00C71BCA&quot;/&gt;&lt;wsp:rsid wsp:val=&quot;00C71DA3&quot;/&gt;&lt;wsp:rsid wsp:val=&quot;00C71FEF&quot;/&gt;&lt;wsp:rsid wsp:val=&quot;00C723D3&quot;/&gt;&lt;wsp:rsid wsp:val=&quot;00C7245C&quot;/&gt;&lt;wsp:rsid wsp:val=&quot;00C72BF5&quot;/&gt;&lt;wsp:rsid wsp:val=&quot;00C72E28&quot;/&gt;&lt;wsp:rsid wsp:val=&quot;00C72E48&quot;/&gt;&lt;wsp:rsid wsp:val=&quot;00C72F9F&quot;/&gt;&lt;wsp:rsid wsp:val=&quot;00C730B0&quot;/&gt;&lt;wsp:rsid wsp:val=&quot;00C73AB5&quot;/&gt;&lt;wsp:rsid wsp:val=&quot;00C742F4&quot;/&gt;&lt;wsp:rsid wsp:val=&quot;00C74456&quot;/&gt;&lt;wsp:rsid wsp:val=&quot;00C744F9&quot;/&gt;&lt;wsp:rsid wsp:val=&quot;00C74CB4&quot;/&gt;&lt;wsp:rsid wsp:val=&quot;00C7506D&quot;/&gt;&lt;wsp:rsid wsp:val=&quot;00C75070&quot;/&gt;&lt;wsp:rsid wsp:val=&quot;00C7519E&quot;/&gt;&lt;wsp:rsid wsp:val=&quot;00C755A3&quot;/&gt;&lt;wsp:rsid wsp:val=&quot;00C75D11&quot;/&gt;&lt;wsp:rsid wsp:val=&quot;00C75E9E&quot;/&gt;&lt;wsp:rsid wsp:val=&quot;00C76290&quot;/&gt;&lt;wsp:rsid wsp:val=&quot;00C764DC&quot;/&gt;&lt;wsp:rsid wsp:val=&quot;00C76567&quot;/&gt;&lt;wsp:rsid wsp:val=&quot;00C76946&quot;/&gt;&lt;wsp:rsid wsp:val=&quot;00C76B5E&quot;/&gt;&lt;wsp:rsid wsp:val=&quot;00C76D1B&quot;/&gt;&lt;wsp:rsid wsp:val=&quot;00C770A4&quot;/&gt;&lt;wsp:rsid wsp:val=&quot;00C77201&quot;/&gt;&lt;wsp:rsid wsp:val=&quot;00C7749B&quot;/&gt;&lt;wsp:rsid wsp:val=&quot;00C774E8&quot;/&gt;&lt;wsp:rsid wsp:val=&quot;00C77D52&quot;/&gt;&lt;wsp:rsid wsp:val=&quot;00C804F3&quot;/&gt;&lt;wsp:rsid wsp:val=&quot;00C805E2&quot;/&gt;&lt;wsp:rsid wsp:val=&quot;00C806F4&quot;/&gt;&lt;wsp:rsid wsp:val=&quot;00C80E41&quot;/&gt;&lt;wsp:rsid wsp:val=&quot;00C810E4&quot;/&gt;&lt;wsp:rsid wsp:val=&quot;00C8182A&quot;/&gt;&lt;wsp:rsid wsp:val=&quot;00C81C54&quot;/&gt;&lt;wsp:rsid wsp:val=&quot;00C81D9B&quot;/&gt;&lt;wsp:rsid wsp:val=&quot;00C822FD&quot;/&gt;&lt;wsp:rsid wsp:val=&quot;00C82360&quot;/&gt;&lt;wsp:rsid wsp:val=&quot;00C823D2&quot;/&gt;&lt;wsp:rsid wsp:val=&quot;00C825B6&quot;/&gt;&lt;wsp:rsid wsp:val=&quot;00C82D07&quot;/&gt;&lt;wsp:rsid wsp:val=&quot;00C82EE1&quot;/&gt;&lt;wsp:rsid wsp:val=&quot;00C834B5&quot;/&gt;&lt;wsp:rsid wsp:val=&quot;00C836AB&quot;/&gt;&lt;wsp:rsid wsp:val=&quot;00C83829&quot;/&gt;&lt;wsp:rsid wsp:val=&quot;00C83AB1&quot;/&gt;&lt;wsp:rsid wsp:val=&quot;00C83C0B&quot;/&gt;&lt;wsp:rsid wsp:val=&quot;00C84335&quot;/&gt;&lt;wsp:rsid wsp:val=&quot;00C84382&quot;/&gt;&lt;wsp:rsid wsp:val=&quot;00C846D6&quot;/&gt;&lt;wsp:rsid wsp:val=&quot;00C84879&quot;/&gt;&lt;wsp:rsid wsp:val=&quot;00C8490D&quot;/&gt;&lt;wsp:rsid wsp:val=&quot;00C849C3&quot;/&gt;&lt;wsp:rsid wsp:val=&quot;00C84CA9&quot;/&gt;&lt;wsp:rsid wsp:val=&quot;00C84DAA&quot;/&gt;&lt;wsp:rsid wsp:val=&quot;00C85290&quot;/&gt;&lt;wsp:rsid wsp:val=&quot;00C8537C&quot;/&gt;&lt;wsp:rsid wsp:val=&quot;00C8545B&quot;/&gt;&lt;wsp:rsid wsp:val=&quot;00C85463&quot;/&gt;&lt;wsp:rsid wsp:val=&quot;00C86660&quot;/&gt;&lt;wsp:rsid wsp:val=&quot;00C866CF&quot;/&gt;&lt;wsp:rsid wsp:val=&quot;00C86725&quot;/&gt;&lt;wsp:rsid wsp:val=&quot;00C86798&quot;/&gt;&lt;wsp:rsid wsp:val=&quot;00C869FF&quot;/&gt;&lt;wsp:rsid wsp:val=&quot;00C86B66&quot;/&gt;&lt;wsp:rsid wsp:val=&quot;00C8703E&quot;/&gt;&lt;wsp:rsid wsp:val=&quot;00C87047&quot;/&gt;&lt;wsp:rsid wsp:val=&quot;00C871AB&quot;/&gt;&lt;wsp:rsid wsp:val=&quot;00C8759E&quot;/&gt;&lt;wsp:rsid wsp:val=&quot;00C878DD&quot;/&gt;&lt;wsp:rsid wsp:val=&quot;00C87E7C&quot;/&gt;&lt;wsp:rsid wsp:val=&quot;00C901B8&quot;/&gt;&lt;wsp:rsid wsp:val=&quot;00C901D2&quot;/&gt;&lt;wsp:rsid wsp:val=&quot;00C902BC&quot;/&gt;&lt;wsp:rsid wsp:val=&quot;00C903C5&quot;/&gt;&lt;wsp:rsid wsp:val=&quot;00C90E9F&quot;/&gt;&lt;wsp:rsid wsp:val=&quot;00C90F68&quot;/&gt;&lt;wsp:rsid wsp:val=&quot;00C90FAD&quot;/&gt;&lt;wsp:rsid wsp:val=&quot;00C911C4&quot;/&gt;&lt;wsp:rsid wsp:val=&quot;00C91235&quot;/&gt;&lt;wsp:rsid wsp:val=&quot;00C91579&quot;/&gt;&lt;wsp:rsid wsp:val=&quot;00C91B03&quot;/&gt;&lt;wsp:rsid wsp:val=&quot;00C91B1A&quot;/&gt;&lt;wsp:rsid wsp:val=&quot;00C91B69&quot;/&gt;&lt;wsp:rsid wsp:val=&quot;00C91B6B&quot;/&gt;&lt;wsp:rsid wsp:val=&quot;00C91D6B&quot;/&gt;&lt;wsp:rsid wsp:val=&quot;00C92840&quot;/&gt;&lt;wsp:rsid wsp:val=&quot;00C92C3E&quot;/&gt;&lt;wsp:rsid wsp:val=&quot;00C92C8B&quot;/&gt;&lt;wsp:rsid wsp:val=&quot;00C92FE3&quot;/&gt;&lt;wsp:rsid wsp:val=&quot;00C93213&quot;/&gt;&lt;wsp:rsid wsp:val=&quot;00C9359D&quot;/&gt;&lt;wsp:rsid wsp:val=&quot;00C93794&quot;/&gt;&lt;wsp:rsid wsp:val=&quot;00C93AB1&quot;/&gt;&lt;wsp:rsid wsp:val=&quot;00C93C1C&quot;/&gt;&lt;wsp:rsid wsp:val=&quot;00C93C71&quot;/&gt;&lt;wsp:rsid wsp:val=&quot;00C94BF7&quot;/&gt;&lt;wsp:rsid wsp:val=&quot;00C94FDA&quot;/&gt;&lt;wsp:rsid wsp:val=&quot;00C952F2&quot;/&gt;&lt;wsp:rsid wsp:val=&quot;00C95593&quot;/&gt;&lt;wsp:rsid wsp:val=&quot;00C95601&quot;/&gt;&lt;wsp:rsid wsp:val=&quot;00C95761&quot;/&gt;&lt;wsp:rsid wsp:val=&quot;00C95B50&quot;/&gt;&lt;wsp:rsid wsp:val=&quot;00C95B74&quot;/&gt;&lt;wsp:rsid wsp:val=&quot;00C95DA9&quot;/&gt;&lt;wsp:rsid wsp:val=&quot;00C95FCB&quot;/&gt;&lt;wsp:rsid wsp:val=&quot;00C96008&quot;/&gt;&lt;wsp:rsid wsp:val=&quot;00C96072&quot;/&gt;&lt;wsp:rsid wsp:val=&quot;00C96114&quot;/&gt;&lt;wsp:rsid wsp:val=&quot;00C96342&quot;/&gt;&lt;wsp:rsid wsp:val=&quot;00C96488&quot;/&gt;&lt;wsp:rsid wsp:val=&quot;00C965F4&quot;/&gt;&lt;wsp:rsid wsp:val=&quot;00C966E7&quot;/&gt;&lt;wsp:rsid wsp:val=&quot;00C967C3&quot;/&gt;&lt;wsp:rsid wsp:val=&quot;00C967C7&quot;/&gt;&lt;wsp:rsid wsp:val=&quot;00C967D6&quot;/&gt;&lt;wsp:rsid wsp:val=&quot;00C96A2F&quot;/&gt;&lt;wsp:rsid wsp:val=&quot;00C96F4D&quot;/&gt;&lt;wsp:rsid wsp:val=&quot;00C973B5&quot;/&gt;&lt;wsp:rsid wsp:val=&quot;00C97477&quot;/&gt;&lt;wsp:rsid wsp:val=&quot;00C976FC&quot;/&gt;&lt;wsp:rsid wsp:val=&quot;00C977D5&quot;/&gt;&lt;wsp:rsid wsp:val=&quot;00C97877&quot;/&gt;&lt;wsp:rsid wsp:val=&quot;00C978CE&quot;/&gt;&lt;wsp:rsid wsp:val=&quot;00C97AD6&quot;/&gt;&lt;wsp:rsid wsp:val=&quot;00C97AE1&quot;/&gt;&lt;wsp:rsid wsp:val=&quot;00C97DD6&quot;/&gt;&lt;wsp:rsid wsp:val=&quot;00C97F8E&quot;/&gt;&lt;wsp:rsid wsp:val=&quot;00CA0429&quot;/&gt;&lt;wsp:rsid wsp:val=&quot;00CA05C1&quot;/&gt;&lt;wsp:rsid wsp:val=&quot;00CA0D15&quot;/&gt;&lt;wsp:rsid wsp:val=&quot;00CA0E1C&quot;/&gt;&lt;wsp:rsid wsp:val=&quot;00CA11A6&quot;/&gt;&lt;wsp:rsid wsp:val=&quot;00CA1764&quot;/&gt;&lt;wsp:rsid wsp:val=&quot;00CA184C&quot;/&gt;&lt;wsp:rsid wsp:val=&quot;00CA1A12&quot;/&gt;&lt;wsp:rsid wsp:val=&quot;00CA1A44&quot;/&gt;&lt;wsp:rsid wsp:val=&quot;00CA2208&quot;/&gt;&lt;wsp:rsid wsp:val=&quot;00CA2352&quot;/&gt;&lt;wsp:rsid wsp:val=&quot;00CA27D4&quot;/&gt;&lt;wsp:rsid wsp:val=&quot;00CA28E3&quot;/&gt;&lt;wsp:rsid wsp:val=&quot;00CA3429&quot;/&gt;&lt;wsp:rsid wsp:val=&quot;00CA3A9A&quot;/&gt;&lt;wsp:rsid wsp:val=&quot;00CA3C06&quot;/&gt;&lt;wsp:rsid wsp:val=&quot;00CA42DE&quot;/&gt;&lt;wsp:rsid wsp:val=&quot;00CA4D0F&quot;/&gt;&lt;wsp:rsid wsp:val=&quot;00CA5771&quot;/&gt;&lt;wsp:rsid wsp:val=&quot;00CA57F7&quot;/&gt;&lt;wsp:rsid wsp:val=&quot;00CA5873&quot;/&gt;&lt;wsp:rsid wsp:val=&quot;00CA5DDF&quot;/&gt;&lt;wsp:rsid wsp:val=&quot;00CA6218&quot;/&gt;&lt;wsp:rsid wsp:val=&quot;00CA6293&quot;/&gt;&lt;wsp:rsid wsp:val=&quot;00CA6487&quot;/&gt;&lt;wsp:rsid wsp:val=&quot;00CA6560&quot;/&gt;&lt;wsp:rsid wsp:val=&quot;00CA6A93&quot;/&gt;&lt;wsp:rsid wsp:val=&quot;00CA6BAC&quot;/&gt;&lt;wsp:rsid wsp:val=&quot;00CA6C37&quot;/&gt;&lt;wsp:rsid wsp:val=&quot;00CA6C42&quot;/&gt;&lt;wsp:rsid wsp:val=&quot;00CA76DA&quot;/&gt;&lt;wsp:rsid wsp:val=&quot;00CA7A78&quot;/&gt;&lt;wsp:rsid wsp:val=&quot;00CA7CA6&quot;/&gt;&lt;wsp:rsid wsp:val=&quot;00CB0586&quot;/&gt;&lt;wsp:rsid wsp:val=&quot;00CB08AF&quot;/&gt;&lt;wsp:rsid wsp:val=&quot;00CB0DF6&quot;/&gt;&lt;wsp:rsid wsp:val=&quot;00CB13A4&quot;/&gt;&lt;wsp:rsid wsp:val=&quot;00CB15CF&quot;/&gt;&lt;wsp:rsid wsp:val=&quot;00CB1CF7&quot;/&gt;&lt;wsp:rsid wsp:val=&quot;00CB1DF2&quot;/&gt;&lt;wsp:rsid wsp:val=&quot;00CB1FB6&quot;/&gt;&lt;wsp:rsid wsp:val=&quot;00CB2765&quot;/&gt;&lt;wsp:rsid wsp:val=&quot;00CB279B&quot;/&gt;&lt;wsp:rsid wsp:val=&quot;00CB28F7&quot;/&gt;&lt;wsp:rsid wsp:val=&quot;00CB2CB7&quot;/&gt;&lt;wsp:rsid wsp:val=&quot;00CB2DEC&quot;/&gt;&lt;wsp:rsid wsp:val=&quot;00CB3059&quot;/&gt;&lt;wsp:rsid wsp:val=&quot;00CB30E1&quot;/&gt;&lt;wsp:rsid wsp:val=&quot;00CB3228&quot;/&gt;&lt;wsp:rsid wsp:val=&quot;00CB32CE&quot;/&gt;&lt;wsp:rsid wsp:val=&quot;00CB3560&quot;/&gt;&lt;wsp:rsid wsp:val=&quot;00CB3830&quot;/&gt;&lt;wsp:rsid wsp:val=&quot;00CB3B40&quot;/&gt;&lt;wsp:rsid wsp:val=&quot;00CB3C16&quot;/&gt;&lt;wsp:rsid wsp:val=&quot;00CB3DC2&quot;/&gt;&lt;wsp:rsid wsp:val=&quot;00CB3EBC&quot;/&gt;&lt;wsp:rsid wsp:val=&quot;00CB437F&quot;/&gt;&lt;wsp:rsid wsp:val=&quot;00CB4605&quot;/&gt;&lt;wsp:rsid wsp:val=&quot;00CB4A00&quot;/&gt;&lt;wsp:rsid wsp:val=&quot;00CB4B6A&quot;/&gt;&lt;wsp:rsid wsp:val=&quot;00CB4BB0&quot;/&gt;&lt;wsp:rsid wsp:val=&quot;00CB4F1F&quot;/&gt;&lt;wsp:rsid wsp:val=&quot;00CB51BA&quot;/&gt;&lt;wsp:rsid wsp:val=&quot;00CB52C1&quot;/&gt;&lt;wsp:rsid wsp:val=&quot;00CB55C5&quot;/&gt;&lt;wsp:rsid wsp:val=&quot;00CB570F&quot;/&gt;&lt;wsp:rsid wsp:val=&quot;00CB5D3D&quot;/&gt;&lt;wsp:rsid wsp:val=&quot;00CB5E81&quot;/&gt;&lt;wsp:rsid wsp:val=&quot;00CB602C&quot;/&gt;&lt;wsp:rsid wsp:val=&quot;00CB622A&quot;/&gt;&lt;wsp:rsid wsp:val=&quot;00CB624B&quot;/&gt;&lt;wsp:rsid wsp:val=&quot;00CB70DA&quot;/&gt;&lt;wsp:rsid wsp:val=&quot;00CB71E9&quot;/&gt;&lt;wsp:rsid wsp:val=&quot;00CB731A&quot;/&gt;&lt;wsp:rsid wsp:val=&quot;00CB7C20&quot;/&gt;&lt;wsp:rsid wsp:val=&quot;00CB7F49&quot;/&gt;&lt;wsp:rsid wsp:val=&quot;00CC0290&quot;/&gt;&lt;wsp:rsid wsp:val=&quot;00CC02B8&quot;/&gt;&lt;wsp:rsid wsp:val=&quot;00CC0726&quot;/&gt;&lt;wsp:rsid wsp:val=&quot;00CC0ECB&quot;/&gt;&lt;wsp:rsid wsp:val=&quot;00CC0F0E&quot;/&gt;&lt;wsp:rsid wsp:val=&quot;00CC0F11&quot;/&gt;&lt;wsp:rsid wsp:val=&quot;00CC0FD5&quot;/&gt;&lt;wsp:rsid wsp:val=&quot;00CC122D&quot;/&gt;&lt;wsp:rsid wsp:val=&quot;00CC1355&quot;/&gt;&lt;wsp:rsid wsp:val=&quot;00CC19B5&quot;/&gt;&lt;wsp:rsid wsp:val=&quot;00CC1A4D&quot;/&gt;&lt;wsp:rsid wsp:val=&quot;00CC20E3&quot;/&gt;&lt;wsp:rsid wsp:val=&quot;00CC214D&quot;/&gt;&lt;wsp:rsid wsp:val=&quot;00CC2210&quot;/&gt;&lt;wsp:rsid wsp:val=&quot;00CC2929&quot;/&gt;&lt;wsp:rsid wsp:val=&quot;00CC29E8&quot;/&gt;&lt;wsp:rsid wsp:val=&quot;00CC333D&quot;/&gt;&lt;wsp:rsid wsp:val=&quot;00CC3544&quot;/&gt;&lt;wsp:rsid wsp:val=&quot;00CC4220&quot;/&gt;&lt;wsp:rsid wsp:val=&quot;00CC445D&quot;/&gt;&lt;wsp:rsid wsp:val=&quot;00CC478C&quot;/&gt;&lt;wsp:rsid wsp:val=&quot;00CC4B48&quot;/&gt;&lt;wsp:rsid wsp:val=&quot;00CC4CFB&quot;/&gt;&lt;wsp:rsid wsp:val=&quot;00CC4D82&quot;/&gt;&lt;wsp:rsid wsp:val=&quot;00CC4DB5&quot;/&gt;&lt;wsp:rsid wsp:val=&quot;00CC4F1B&quot;/&gt;&lt;wsp:rsid wsp:val=&quot;00CC4F79&quot;/&gt;&lt;wsp:rsid wsp:val=&quot;00CC5049&quot;/&gt;&lt;wsp:rsid wsp:val=&quot;00CC549F&quot;/&gt;&lt;wsp:rsid wsp:val=&quot;00CC54A5&quot;/&gt;&lt;wsp:rsid wsp:val=&quot;00CC54E7&quot;/&gt;&lt;wsp:rsid wsp:val=&quot;00CC576B&quot;/&gt;&lt;wsp:rsid wsp:val=&quot;00CC6555&quot;/&gt;&lt;wsp:rsid wsp:val=&quot;00CC66D5&quot;/&gt;&lt;wsp:rsid wsp:val=&quot;00CC6A0B&quot;/&gt;&lt;wsp:rsid wsp:val=&quot;00CC6B94&quot;/&gt;&lt;wsp:rsid wsp:val=&quot;00CC6D80&quot;/&gt;&lt;wsp:rsid wsp:val=&quot;00CC6F86&quot;/&gt;&lt;wsp:rsid wsp:val=&quot;00CC74EB&quot;/&gt;&lt;wsp:rsid wsp:val=&quot;00CC769F&quot;/&gt;&lt;wsp:rsid wsp:val=&quot;00CC7BE7&quot;/&gt;&lt;wsp:rsid wsp:val=&quot;00CC7DE4&quot;/&gt;&lt;wsp:rsid wsp:val=&quot;00CC7E5A&quot;/&gt;&lt;wsp:rsid wsp:val=&quot;00CC7F47&quot;/&gt;&lt;wsp:rsid wsp:val=&quot;00CD07B5&quot;/&gt;&lt;wsp:rsid wsp:val=&quot;00CD0B3E&quot;/&gt;&lt;wsp:rsid wsp:val=&quot;00CD183A&quot;/&gt;&lt;wsp:rsid wsp:val=&quot;00CD279A&quot;/&gt;&lt;wsp:rsid wsp:val=&quot;00CD2F2A&quot;/&gt;&lt;wsp:rsid wsp:val=&quot;00CD2FDE&quot;/&gt;&lt;wsp:rsid wsp:val=&quot;00CD3649&quot;/&gt;&lt;wsp:rsid wsp:val=&quot;00CD393A&quot;/&gt;&lt;wsp:rsid wsp:val=&quot;00CD397B&quot;/&gt;&lt;wsp:rsid wsp:val=&quot;00CD3BCE&quot;/&gt;&lt;wsp:rsid wsp:val=&quot;00CD41CE&quot;/&gt;&lt;wsp:rsid wsp:val=&quot;00CD4871&quot;/&gt;&lt;wsp:rsid wsp:val=&quot;00CD4925&quot;/&gt;&lt;wsp:rsid wsp:val=&quot;00CD4A65&quot;/&gt;&lt;wsp:rsid wsp:val=&quot;00CD4FF8&quot;/&gt;&lt;wsp:rsid wsp:val=&quot;00CD53EB&quot;/&gt;&lt;wsp:rsid wsp:val=&quot;00CD5422&quot;/&gt;&lt;wsp:rsid wsp:val=&quot;00CD5490&quot;/&gt;&lt;wsp:rsid wsp:val=&quot;00CD587E&quot;/&gt;&lt;wsp:rsid wsp:val=&quot;00CD5931&quot;/&gt;&lt;wsp:rsid wsp:val=&quot;00CD59DC&quot;/&gt;&lt;wsp:rsid wsp:val=&quot;00CD5AF8&quot;/&gt;&lt;wsp:rsid wsp:val=&quot;00CD5AFE&quot;/&gt;&lt;wsp:rsid wsp:val=&quot;00CD5E2C&quot;/&gt;&lt;wsp:rsid wsp:val=&quot;00CD5EE3&quot;/&gt;&lt;wsp:rsid wsp:val=&quot;00CD61B3&quot;/&gt;&lt;wsp:rsid wsp:val=&quot;00CD6401&quot;/&gt;&lt;wsp:rsid wsp:val=&quot;00CD64FF&quot;/&gt;&lt;wsp:rsid wsp:val=&quot;00CD676D&quot;/&gt;&lt;wsp:rsid wsp:val=&quot;00CD68ED&quot;/&gt;&lt;wsp:rsid wsp:val=&quot;00CD69A9&quot;/&gt;&lt;wsp:rsid wsp:val=&quot;00CD69FB&quot;/&gt;&lt;wsp:rsid wsp:val=&quot;00CD6C45&quot;/&gt;&lt;wsp:rsid wsp:val=&quot;00CD717E&quot;/&gt;&lt;wsp:rsid wsp:val=&quot;00CD742C&quot;/&gt;&lt;wsp:rsid wsp:val=&quot;00CD7497&quot;/&gt;&lt;wsp:rsid wsp:val=&quot;00CD74C0&quot;/&gt;&lt;wsp:rsid wsp:val=&quot;00CD781F&quot;/&gt;&lt;wsp:rsid wsp:val=&quot;00CD7969&quot;/&gt;&lt;wsp:rsid wsp:val=&quot;00CD7BFF&quot;/&gt;&lt;wsp:rsid wsp:val=&quot;00CD7F01&quot;/&gt;&lt;wsp:rsid wsp:val=&quot;00CE011C&quot;/&gt;&lt;wsp:rsid wsp:val=&quot;00CE01CE&quot;/&gt;&lt;wsp:rsid wsp:val=&quot;00CE01E6&quot;/&gt;&lt;wsp:rsid wsp:val=&quot;00CE039C&quot;/&gt;&lt;wsp:rsid wsp:val=&quot;00CE040F&quot;/&gt;&lt;wsp:rsid wsp:val=&quot;00CE0773&quot;/&gt;&lt;wsp:rsid wsp:val=&quot;00CE1129&quot;/&gt;&lt;wsp:rsid wsp:val=&quot;00CE1A13&quot;/&gt;&lt;wsp:rsid wsp:val=&quot;00CE1C38&quot;/&gt;&lt;wsp:rsid wsp:val=&quot;00CE2255&quot;/&gt;&lt;wsp:rsid wsp:val=&quot;00CE2939&quot;/&gt;&lt;wsp:rsid wsp:val=&quot;00CE2A86&quot;/&gt;&lt;wsp:rsid wsp:val=&quot;00CE2CEE&quot;/&gt;&lt;wsp:rsid wsp:val=&quot;00CE2D22&quot;/&gt;&lt;wsp:rsid wsp:val=&quot;00CE30F8&quot;/&gt;&lt;wsp:rsid wsp:val=&quot;00CE38BA&quot;/&gt;&lt;wsp:rsid wsp:val=&quot;00CE4326&quot;/&gt;&lt;wsp:rsid wsp:val=&quot;00CE4A88&quot;/&gt;&lt;wsp:rsid wsp:val=&quot;00CE4E60&quot;/&gt;&lt;wsp:rsid wsp:val=&quot;00CE4E88&quot;/&gt;&lt;wsp:rsid wsp:val=&quot;00CE5060&quot;/&gt;&lt;wsp:rsid wsp:val=&quot;00CE5502&quot;/&gt;&lt;wsp:rsid wsp:val=&quot;00CE57B6&quot;/&gt;&lt;wsp:rsid wsp:val=&quot;00CE5B49&quot;/&gt;&lt;wsp:rsid wsp:val=&quot;00CE5B63&quot;/&gt;&lt;wsp:rsid wsp:val=&quot;00CE5FE4&quot;/&gt;&lt;wsp:rsid wsp:val=&quot;00CE6974&quot;/&gt;&lt;wsp:rsid wsp:val=&quot;00CE6F09&quot;/&gt;&lt;wsp:rsid wsp:val=&quot;00CE6F9A&quot;/&gt;&lt;wsp:rsid wsp:val=&quot;00CE739E&quot;/&gt;&lt;wsp:rsid wsp:val=&quot;00CE775D&quot;/&gt;&lt;wsp:rsid wsp:val=&quot;00CF0D65&quot;/&gt;&lt;wsp:rsid wsp:val=&quot;00CF107E&quot;/&gt;&lt;wsp:rsid wsp:val=&quot;00CF117E&quot;/&gt;&lt;wsp:rsid wsp:val=&quot;00CF1B47&quot;/&gt;&lt;wsp:rsid wsp:val=&quot;00CF26A4&quot;/&gt;&lt;wsp:rsid wsp:val=&quot;00CF27DA&quot;/&gt;&lt;wsp:rsid wsp:val=&quot;00CF3872&quot;/&gt;&lt;wsp:rsid wsp:val=&quot;00CF3924&quot;/&gt;&lt;wsp:rsid wsp:val=&quot;00CF3A0F&quot;/&gt;&lt;wsp:rsid wsp:val=&quot;00CF3A21&quot;/&gt;&lt;wsp:rsid wsp:val=&quot;00CF3B70&quot;/&gt;&lt;wsp:rsid wsp:val=&quot;00CF3E6D&quot;/&gt;&lt;wsp:rsid wsp:val=&quot;00CF42E7&quot;/&gt;&lt;wsp:rsid wsp:val=&quot;00CF4459&quot;/&gt;&lt;wsp:rsid wsp:val=&quot;00CF4689&quot;/&gt;&lt;wsp:rsid wsp:val=&quot;00CF4A56&quot;/&gt;&lt;wsp:rsid wsp:val=&quot;00CF4F93&quot;/&gt;&lt;wsp:rsid wsp:val=&quot;00CF50A0&quot;/&gt;&lt;wsp:rsid wsp:val=&quot;00CF56E8&quot;/&gt;&lt;wsp:rsid wsp:val=&quot;00CF58E7&quot;/&gt;&lt;wsp:rsid wsp:val=&quot;00CF592B&quot;/&gt;&lt;wsp:rsid wsp:val=&quot;00CF59F3&quot;/&gt;&lt;wsp:rsid wsp:val=&quot;00CF5C7A&quot;/&gt;&lt;wsp:rsid wsp:val=&quot;00CF5E35&quot;/&gt;&lt;wsp:rsid wsp:val=&quot;00CF5E51&quot;/&gt;&lt;wsp:rsid wsp:val=&quot;00CF623C&quot;/&gt;&lt;wsp:rsid wsp:val=&quot;00CF6AFF&quot;/&gt;&lt;wsp:rsid wsp:val=&quot;00CF7168&quot;/&gt;&lt;wsp:rsid wsp:val=&quot;00CF73B8&quot;/&gt;&lt;wsp:rsid wsp:val=&quot;00CF7415&quot;/&gt;&lt;wsp:rsid wsp:val=&quot;00CF77B3&quot;/&gt;&lt;wsp:rsid wsp:val=&quot;00CF78B2&quot;/&gt;&lt;wsp:rsid wsp:val=&quot;00D00593&quot;/&gt;&lt;wsp:rsid wsp:val=&quot;00D005B9&quot;/&gt;&lt;wsp:rsid wsp:val=&quot;00D0077A&quot;/&gt;&lt;wsp:rsid wsp:val=&quot;00D00D9A&quot;/&gt;&lt;wsp:rsid wsp:val=&quot;00D0113B&quot;/&gt;&lt;wsp:rsid wsp:val=&quot;00D017A9&quot;/&gt;&lt;wsp:rsid wsp:val=&quot;00D01994&quot;/&gt;&lt;wsp:rsid wsp:val=&quot;00D019B9&quot;/&gt;&lt;wsp:rsid wsp:val=&quot;00D01F4F&quot;/&gt;&lt;wsp:rsid wsp:val=&quot;00D01FA5&quot;/&gt;&lt;wsp:rsid wsp:val=&quot;00D02279&quot;/&gt;&lt;wsp:rsid wsp:val=&quot;00D022B8&quot;/&gt;&lt;wsp:rsid wsp:val=&quot;00D0261F&quot;/&gt;&lt;wsp:rsid wsp:val=&quot;00D02F13&quot;/&gt;&lt;wsp:rsid wsp:val=&quot;00D02FE2&quot;/&gt;&lt;wsp:rsid wsp:val=&quot;00D03302&quot;/&gt;&lt;wsp:rsid wsp:val=&quot;00D03309&quot;/&gt;&lt;wsp:rsid wsp:val=&quot;00D03652&quot;/&gt;&lt;wsp:rsid wsp:val=&quot;00D03900&quot;/&gt;&lt;wsp:rsid wsp:val=&quot;00D03D46&quot;/&gt;&lt;wsp:rsid wsp:val=&quot;00D03E43&quot;/&gt;&lt;wsp:rsid wsp:val=&quot;00D04430&quot;/&gt;&lt;wsp:rsid wsp:val=&quot;00D05571&quot;/&gt;&lt;wsp:rsid wsp:val=&quot;00D0571D&quot;/&gt;&lt;wsp:rsid wsp:val=&quot;00D059EF&quot;/&gt;&lt;wsp:rsid wsp:val=&quot;00D05B66&quot;/&gt;&lt;wsp:rsid wsp:val=&quot;00D05D06&quot;/&gt;&lt;wsp:rsid wsp:val=&quot;00D06000&quot;/&gt;&lt;wsp:rsid wsp:val=&quot;00D0649B&quot;/&gt;&lt;wsp:rsid wsp:val=&quot;00D067F3&quot;/&gt;&lt;wsp:rsid wsp:val=&quot;00D07D78&quot;/&gt;&lt;wsp:rsid wsp:val=&quot;00D07E5C&quot;/&gt;&lt;wsp:rsid wsp:val=&quot;00D07F5A&quot;/&gt;&lt;wsp:rsid wsp:val=&quot;00D07FEA&quot;/&gt;&lt;wsp:rsid wsp:val=&quot;00D10C47&quot;/&gt;&lt;wsp:rsid wsp:val=&quot;00D10F61&quot;/&gt;&lt;wsp:rsid wsp:val=&quot;00D11A47&quot;/&gt;&lt;wsp:rsid wsp:val=&quot;00D11BBE&quot;/&gt;&lt;wsp:rsid wsp:val=&quot;00D11BC5&quot;/&gt;&lt;wsp:rsid wsp:val=&quot;00D120A3&quot;/&gt;&lt;wsp:rsid wsp:val=&quot;00D12124&quot;/&gt;&lt;wsp:rsid wsp:val=&quot;00D1215C&quot;/&gt;&lt;wsp:rsid wsp:val=&quot;00D128A4&quot;/&gt;&lt;wsp:rsid wsp:val=&quot;00D12983&quot;/&gt;&lt;wsp:rsid wsp:val=&quot;00D12D49&quot;/&gt;&lt;wsp:rsid wsp:val=&quot;00D12E4E&quot;/&gt;&lt;wsp:rsid wsp:val=&quot;00D12FE3&quot;/&gt;&lt;wsp:rsid wsp:val=&quot;00D130F2&quot;/&gt;&lt;wsp:rsid wsp:val=&quot;00D13DC3&quot;/&gt;&lt;wsp:rsid wsp:val=&quot;00D143DF&quot;/&gt;&lt;wsp:rsid wsp:val=&quot;00D14B32&quot;/&gt;&lt;wsp:rsid wsp:val=&quot;00D14DFF&quot;/&gt;&lt;wsp:rsid wsp:val=&quot;00D14E96&quot;/&gt;&lt;wsp:rsid wsp:val=&quot;00D1567E&quot;/&gt;&lt;wsp:rsid wsp:val=&quot;00D15732&quot;/&gt;&lt;wsp:rsid wsp:val=&quot;00D164B9&quot;/&gt;&lt;wsp:rsid wsp:val=&quot;00D16750&quot;/&gt;&lt;wsp:rsid wsp:val=&quot;00D16BCA&quot;/&gt;&lt;wsp:rsid wsp:val=&quot;00D16DBD&quot;/&gt;&lt;wsp:rsid wsp:val=&quot;00D16F4D&quot;/&gt;&lt;wsp:rsid wsp:val=&quot;00D17157&quot;/&gt;&lt;wsp:rsid wsp:val=&quot;00D173FA&quot;/&gt;&lt;wsp:rsid wsp:val=&quot;00D17940&quot;/&gt;&lt;wsp:rsid wsp:val=&quot;00D17E8C&quot;/&gt;&lt;wsp:rsid wsp:val=&quot;00D200AD&quot;/&gt;&lt;wsp:rsid wsp:val=&quot;00D209D7&quot;/&gt;&lt;wsp:rsid wsp:val=&quot;00D20C20&quot;/&gt;&lt;wsp:rsid wsp:val=&quot;00D217CF&quot;/&gt;&lt;wsp:rsid wsp:val=&quot;00D21CD2&quot;/&gt;&lt;wsp:rsid wsp:val=&quot;00D21CFA&quot;/&gt;&lt;wsp:rsid wsp:val=&quot;00D22113&quot;/&gt;&lt;wsp:rsid wsp:val=&quot;00D221B7&quot;/&gt;&lt;wsp:rsid wsp:val=&quot;00D222C6&quot;/&gt;&lt;wsp:rsid wsp:val=&quot;00D2283C&quot;/&gt;&lt;wsp:rsid wsp:val=&quot;00D22A80&quot;/&gt;&lt;wsp:rsid wsp:val=&quot;00D22C0A&quot;/&gt;&lt;wsp:rsid wsp:val=&quot;00D22C30&quot;/&gt;&lt;wsp:rsid wsp:val=&quot;00D22D4A&quot;/&gt;&lt;wsp:rsid wsp:val=&quot;00D22F3C&quot;/&gt;&lt;wsp:rsid wsp:val=&quot;00D230A4&quot;/&gt;&lt;wsp:rsid wsp:val=&quot;00D230F3&quot;/&gt;&lt;wsp:rsid wsp:val=&quot;00D23122&quot;/&gt;&lt;wsp:rsid wsp:val=&quot;00D232BF&quot;/&gt;&lt;wsp:rsid wsp:val=&quot;00D235CC&quot;/&gt;&lt;wsp:rsid wsp:val=&quot;00D2386E&quot;/&gt;&lt;wsp:rsid wsp:val=&quot;00D23D5B&quot;/&gt;&lt;wsp:rsid wsp:val=&quot;00D241B0&quot;/&gt;&lt;wsp:rsid wsp:val=&quot;00D2453C&quot;/&gt;&lt;wsp:rsid wsp:val=&quot;00D2459F&quot;/&gt;&lt;wsp:rsid wsp:val=&quot;00D24907&quot;/&gt;&lt;wsp:rsid wsp:val=&quot;00D249D2&quot;/&gt;&lt;wsp:rsid wsp:val=&quot;00D24DE7&quot;/&gt;&lt;wsp:rsid wsp:val=&quot;00D2516D&quot;/&gt;&lt;wsp:rsid wsp:val=&quot;00D25873&quot;/&gt;&lt;wsp:rsid wsp:val=&quot;00D25DAF&quot;/&gt;&lt;wsp:rsid wsp:val=&quot;00D26301&quot;/&gt;&lt;wsp:rsid wsp:val=&quot;00D26D39&quot;/&gt;&lt;wsp:rsid wsp:val=&quot;00D27409&quot;/&gt;&lt;wsp:rsid wsp:val=&quot;00D27540&quot;/&gt;&lt;wsp:rsid wsp:val=&quot;00D27769&quot;/&gt;&lt;wsp:rsid wsp:val=&quot;00D279B8&quot;/&gt;&lt;wsp:rsid wsp:val=&quot;00D27F7C&quot;/&gt;&lt;wsp:rsid wsp:val=&quot;00D30128&quot;/&gt;&lt;wsp:rsid wsp:val=&quot;00D30372&quot;/&gt;&lt;wsp:rsid wsp:val=&quot;00D307D2&quot;/&gt;&lt;wsp:rsid wsp:val=&quot;00D30BD5&quot;/&gt;&lt;wsp:rsid wsp:val=&quot;00D30C40&quot;/&gt;&lt;wsp:rsid wsp:val=&quot;00D310FA&quot;/&gt;&lt;wsp:rsid wsp:val=&quot;00D315BB&quot;/&gt;&lt;wsp:rsid wsp:val=&quot;00D31981&quot;/&gt;&lt;wsp:rsid wsp:val=&quot;00D31BA6&quot;/&gt;&lt;wsp:rsid wsp:val=&quot;00D31CFC&quot;/&gt;&lt;wsp:rsid wsp:val=&quot;00D322C2&quot;/&gt;&lt;wsp:rsid wsp:val=&quot;00D32411&quot;/&gt;&lt;wsp:rsid wsp:val=&quot;00D324ED&quot;/&gt;&lt;wsp:rsid wsp:val=&quot;00D33035&quot;/&gt;&lt;wsp:rsid wsp:val=&quot;00D33038&quot;/&gt;&lt;wsp:rsid wsp:val=&quot;00D33275&quot;/&gt;&lt;wsp:rsid wsp:val=&quot;00D33278&quot;/&gt;&lt;wsp:rsid wsp:val=&quot;00D335C3&quot;/&gt;&lt;wsp:rsid wsp:val=&quot;00D3375E&quot;/&gt;&lt;wsp:rsid wsp:val=&quot;00D33852&quot;/&gt;&lt;wsp:rsid wsp:val=&quot;00D33D31&quot;/&gt;&lt;wsp:rsid wsp:val=&quot;00D344A7&quot;/&gt;&lt;wsp:rsid wsp:val=&quot;00D34757&quot;/&gt;&lt;wsp:rsid wsp:val=&quot;00D34B46&quot;/&gt;&lt;wsp:rsid wsp:val=&quot;00D350C4&quot;/&gt;&lt;wsp:rsid wsp:val=&quot;00D3559B&quot;/&gt;&lt;wsp:rsid wsp:val=&quot;00D35E85&quot;/&gt;&lt;wsp:rsid wsp:val=&quot;00D360F1&quot;/&gt;&lt;wsp:rsid wsp:val=&quot;00D36322&quot;/&gt;&lt;wsp:rsid wsp:val=&quot;00D366D9&quot;/&gt;&lt;wsp:rsid wsp:val=&quot;00D36DF2&quot;/&gt;&lt;wsp:rsid wsp:val=&quot;00D37431&quot;/&gt;&lt;wsp:rsid wsp:val=&quot;00D37733&quot;/&gt;&lt;wsp:rsid wsp:val=&quot;00D37A21&quot;/&gt;&lt;wsp:rsid wsp:val=&quot;00D37AAF&quot;/&gt;&lt;wsp:rsid wsp:val=&quot;00D37B37&quot;/&gt;&lt;wsp:rsid wsp:val=&quot;00D37BFA&quot;/&gt;&lt;wsp:rsid wsp:val=&quot;00D37EA6&quot;/&gt;&lt;wsp:rsid wsp:val=&quot;00D40872&quot;/&gt;&lt;wsp:rsid wsp:val=&quot;00D40E7C&quot;/&gt;&lt;wsp:rsid wsp:val=&quot;00D40F27&quot;/&gt;&lt;wsp:rsid wsp:val=&quot;00D41179&quot;/&gt;&lt;wsp:rsid wsp:val=&quot;00D41803&quot;/&gt;&lt;wsp:rsid wsp:val=&quot;00D41A05&quot;/&gt;&lt;wsp:rsid wsp:val=&quot;00D41A3B&quot;/&gt;&lt;wsp:rsid wsp:val=&quot;00D41A7D&quot;/&gt;&lt;wsp:rsid wsp:val=&quot;00D41C03&quot;/&gt;&lt;wsp:rsid wsp:val=&quot;00D42B7C&quot;/&gt;&lt;wsp:rsid wsp:val=&quot;00D43133&quot;/&gt;&lt;wsp:rsid wsp:val=&quot;00D4322E&quot;/&gt;&lt;wsp:rsid wsp:val=&quot;00D43AFC&quot;/&gt;&lt;wsp:rsid wsp:val=&quot;00D43C8E&quot;/&gt;&lt;wsp:rsid wsp:val=&quot;00D43DA5&quot;/&gt;&lt;wsp:rsid wsp:val=&quot;00D44404&quot;/&gt;&lt;wsp:rsid wsp:val=&quot;00D44638&quot;/&gt;&lt;wsp:rsid wsp:val=&quot;00D4497C&quot;/&gt;&lt;wsp:rsid wsp:val=&quot;00D449A0&quot;/&gt;&lt;wsp:rsid wsp:val=&quot;00D44E88&quot;/&gt;&lt;wsp:rsid wsp:val=&quot;00D450A2&quot;/&gt;&lt;wsp:rsid wsp:val=&quot;00D45419&quot;/&gt;&lt;wsp:rsid wsp:val=&quot;00D457BD&quot;/&gt;&lt;wsp:rsid wsp:val=&quot;00D46514&quot;/&gt;&lt;wsp:rsid wsp:val=&quot;00D46798&quot;/&gt;&lt;wsp:rsid wsp:val=&quot;00D46ADF&quot;/&gt;&lt;wsp:rsid wsp:val=&quot;00D46C81&quot;/&gt;&lt;wsp:rsid wsp:val=&quot;00D47673&quot;/&gt;&lt;wsp:rsid wsp:val=&quot;00D47B77&quot;/&gt;&lt;wsp:rsid wsp:val=&quot;00D50034&quot;/&gt;&lt;wsp:rsid wsp:val=&quot;00D503EC&quot;/&gt;&lt;wsp:rsid wsp:val=&quot;00D50F65&quot;/&gt;&lt;wsp:rsid wsp:val=&quot;00D50F81&quot;/&gt;&lt;wsp:rsid wsp:val=&quot;00D51720&quot;/&gt;&lt;wsp:rsid wsp:val=&quot;00D51B2A&quot;/&gt;&lt;wsp:rsid wsp:val=&quot;00D51D4A&quot;/&gt;&lt;wsp:rsid wsp:val=&quot;00D52209&quot;/&gt;&lt;wsp:rsid wsp:val=&quot;00D5234B&quot;/&gt;&lt;wsp:rsid wsp:val=&quot;00D52395&quot;/&gt;&lt;wsp:rsid wsp:val=&quot;00D52581&quot;/&gt;&lt;wsp:rsid wsp:val=&quot;00D52759&quot;/&gt;&lt;wsp:rsid wsp:val=&quot;00D52769&quot;/&gt;&lt;wsp:rsid wsp:val=&quot;00D52807&quot;/&gt;&lt;wsp:rsid wsp:val=&quot;00D52BB3&quot;/&gt;&lt;wsp:rsid wsp:val=&quot;00D52C1D&quot;/&gt;&lt;wsp:rsid wsp:val=&quot;00D53964&quot;/&gt;&lt;wsp:rsid wsp:val=&quot;00D53984&quot;/&gt;&lt;wsp:rsid wsp:val=&quot;00D53BAC&quot;/&gt;&lt;wsp:rsid wsp:val=&quot;00D53BE1&quot;/&gt;&lt;wsp:rsid wsp:val=&quot;00D53C87&quot;/&gt;&lt;wsp:rsid wsp:val=&quot;00D54868&quot;/&gt;&lt;wsp:rsid wsp:val=&quot;00D54C61&quot;/&gt;&lt;wsp:rsid wsp:val=&quot;00D54D1E&quot;/&gt;&lt;wsp:rsid wsp:val=&quot;00D55266&quot;/&gt;&lt;wsp:rsid wsp:val=&quot;00D55283&quot;/&gt;&lt;wsp:rsid wsp:val=&quot;00D5595E&quot;/&gt;&lt;wsp:rsid wsp:val=&quot;00D55BCE&quot;/&gt;&lt;wsp:rsid wsp:val=&quot;00D5613C&quot;/&gt;&lt;wsp:rsid wsp:val=&quot;00D56253&quot;/&gt;&lt;wsp:rsid wsp:val=&quot;00D56498&quot;/&gt;&lt;wsp:rsid wsp:val=&quot;00D567FE&quot;/&gt;&lt;wsp:rsid wsp:val=&quot;00D56CE8&quot;/&gt;&lt;wsp:rsid wsp:val=&quot;00D5731E&quot;/&gt;&lt;wsp:rsid wsp:val=&quot;00D579C3&quot;/&gt;&lt;wsp:rsid wsp:val=&quot;00D57E09&quot;/&gt;&lt;wsp:rsid wsp:val=&quot;00D6016A&quot;/&gt;&lt;wsp:rsid wsp:val=&quot;00D60191&quot;/&gt;&lt;wsp:rsid wsp:val=&quot;00D61005&quot;/&gt;&lt;wsp:rsid wsp:val=&quot;00D61015&quot;/&gt;&lt;wsp:rsid wsp:val=&quot;00D61131&quot;/&gt;&lt;wsp:rsid wsp:val=&quot;00D611BB&quot;/&gt;&lt;wsp:rsid wsp:val=&quot;00D61829&quot;/&gt;&lt;wsp:rsid wsp:val=&quot;00D61A11&quot;/&gt;&lt;wsp:rsid wsp:val=&quot;00D61ADA&quot;/&gt;&lt;wsp:rsid wsp:val=&quot;00D61BEC&quot;/&gt;&lt;wsp:rsid wsp:val=&quot;00D61EBC&quot;/&gt;&lt;wsp:rsid wsp:val=&quot;00D61F64&quot;/&gt;&lt;wsp:rsid wsp:val=&quot;00D620A2&quot;/&gt;&lt;wsp:rsid wsp:val=&quot;00D622CE&quot;/&gt;&lt;wsp:rsid wsp:val=&quot;00D625F9&quot;/&gt;&lt;wsp:rsid wsp:val=&quot;00D626BE&quot;/&gt;&lt;wsp:rsid wsp:val=&quot;00D627CF&quot;/&gt;&lt;wsp:rsid wsp:val=&quot;00D62824&quot;/&gt;&lt;wsp:rsid wsp:val=&quot;00D6298A&quot;/&gt;&lt;wsp:rsid wsp:val=&quot;00D62A18&quot;/&gt;&lt;wsp:rsid wsp:val=&quot;00D62B58&quot;/&gt;&lt;wsp:rsid wsp:val=&quot;00D630C5&quot;/&gt;&lt;wsp:rsid wsp:val=&quot;00D636AD&quot;/&gt;&lt;wsp:rsid wsp:val=&quot;00D63D63&quot;/&gt;&lt;wsp:rsid wsp:val=&quot;00D64252&quot;/&gt;&lt;wsp:rsid wsp:val=&quot;00D64417&quot;/&gt;&lt;wsp:rsid wsp:val=&quot;00D6444A&quot;/&gt;&lt;wsp:rsid wsp:val=&quot;00D644E7&quot;/&gt;&lt;wsp:rsid wsp:val=&quot;00D646C6&quot;/&gt;&lt;wsp:rsid wsp:val=&quot;00D64822&quot;/&gt;&lt;wsp:rsid wsp:val=&quot;00D652FF&quot;/&gt;&lt;wsp:rsid wsp:val=&quot;00D653DB&quot;/&gt;&lt;wsp:rsid wsp:val=&quot;00D654C8&quot;/&gt;&lt;wsp:rsid wsp:val=&quot;00D6567B&quot;/&gt;&lt;wsp:rsid wsp:val=&quot;00D65AA1&quot;/&gt;&lt;wsp:rsid wsp:val=&quot;00D6638B&quot;/&gt;&lt;wsp:rsid wsp:val=&quot;00D66DD9&quot;/&gt;&lt;wsp:rsid wsp:val=&quot;00D66FA6&quot;/&gt;&lt;wsp:rsid wsp:val=&quot;00D671DD&quot;/&gt;&lt;wsp:rsid wsp:val=&quot;00D67240&quot;/&gt;&lt;wsp:rsid wsp:val=&quot;00D678AC&quot;/&gt;&lt;wsp:rsid wsp:val=&quot;00D67A44&quot;/&gt;&lt;wsp:rsid wsp:val=&quot;00D67C73&quot;/&gt;&lt;wsp:rsid wsp:val=&quot;00D7030E&quot;/&gt;&lt;wsp:rsid wsp:val=&quot;00D703A3&quot;/&gt;&lt;wsp:rsid wsp:val=&quot;00D7040C&quot;/&gt;&lt;wsp:rsid wsp:val=&quot;00D705E7&quot;/&gt;&lt;wsp:rsid wsp:val=&quot;00D7074F&quot;/&gt;&lt;wsp:rsid wsp:val=&quot;00D70CD1&quot;/&gt;&lt;wsp:rsid wsp:val=&quot;00D70E7A&quot;/&gt;&lt;wsp:rsid wsp:val=&quot;00D70F4A&quot;/&gt;&lt;wsp:rsid wsp:val=&quot;00D71546&quot;/&gt;&lt;wsp:rsid wsp:val=&quot;00D716E8&quot;/&gt;&lt;wsp:rsid wsp:val=&quot;00D71916&quot;/&gt;&lt;wsp:rsid wsp:val=&quot;00D719E6&quot;/&gt;&lt;wsp:rsid wsp:val=&quot;00D71CEF&quot;/&gt;&lt;wsp:rsid wsp:val=&quot;00D7218F&quot;/&gt;&lt;wsp:rsid wsp:val=&quot;00D72199&quot;/&gt;&lt;wsp:rsid wsp:val=&quot;00D72232&quot;/&gt;&lt;wsp:rsid wsp:val=&quot;00D722CF&quot;/&gt;&lt;wsp:rsid wsp:val=&quot;00D725DB&quot;/&gt;&lt;wsp:rsid wsp:val=&quot;00D72C5F&quot;/&gt;&lt;wsp:rsid wsp:val=&quot;00D72DA4&quot;/&gt;&lt;wsp:rsid wsp:val=&quot;00D732EE&quot;/&gt;&lt;wsp:rsid wsp:val=&quot;00D73338&quot;/&gt;&lt;wsp:rsid wsp:val=&quot;00D73348&quot;/&gt;&lt;wsp:rsid wsp:val=&quot;00D73FD6&quot;/&gt;&lt;wsp:rsid wsp:val=&quot;00D74262&quot;/&gt;&lt;wsp:rsid wsp:val=&quot;00D7433C&quot;/&gt;&lt;wsp:rsid wsp:val=&quot;00D74575&quot;/&gt;&lt;wsp:rsid wsp:val=&quot;00D7465E&quot;/&gt;&lt;wsp:rsid wsp:val=&quot;00D74A56&quot;/&gt;&lt;wsp:rsid wsp:val=&quot;00D74D31&quot;/&gt;&lt;wsp:rsid wsp:val=&quot;00D74D6F&quot;/&gt;&lt;wsp:rsid wsp:val=&quot;00D74EF6&quot;/&gt;&lt;wsp:rsid wsp:val=&quot;00D74F07&quot;/&gt;&lt;wsp:rsid wsp:val=&quot;00D74F9C&quot;/&gt;&lt;wsp:rsid wsp:val=&quot;00D75012&quot;/&gt;&lt;wsp:rsid wsp:val=&quot;00D75773&quot;/&gt;&lt;wsp:rsid wsp:val=&quot;00D760A9&quot;/&gt;&lt;wsp:rsid wsp:val=&quot;00D760CF&quot;/&gt;&lt;wsp:rsid wsp:val=&quot;00D763C6&quot;/&gt;&lt;wsp:rsid wsp:val=&quot;00D76440&quot;/&gt;&lt;wsp:rsid wsp:val=&quot;00D76731&quot;/&gt;&lt;wsp:rsid wsp:val=&quot;00D7695D&quot;/&gt;&lt;wsp:rsid wsp:val=&quot;00D77746&quot;/&gt;&lt;wsp:rsid wsp:val=&quot;00D778C2&quot;/&gt;&lt;wsp:rsid wsp:val=&quot;00D77CA3&quot;/&gt;&lt;wsp:rsid wsp:val=&quot;00D8038B&quot;/&gt;&lt;wsp:rsid wsp:val=&quot;00D803E5&quot;/&gt;&lt;wsp:rsid wsp:val=&quot;00D80BA3&quot;/&gt;&lt;wsp:rsid wsp:val=&quot;00D80E47&quot;/&gt;&lt;wsp:rsid wsp:val=&quot;00D813D1&quot;/&gt;&lt;wsp:rsid wsp:val=&quot;00D81428&quot;/&gt;&lt;wsp:rsid wsp:val=&quot;00D818D9&quot;/&gt;&lt;wsp:rsid wsp:val=&quot;00D81B53&quot;/&gt;&lt;wsp:rsid wsp:val=&quot;00D81D91&quot;/&gt;&lt;wsp:rsid wsp:val=&quot;00D81E8A&quot;/&gt;&lt;wsp:rsid wsp:val=&quot;00D82675&quot;/&gt;&lt;wsp:rsid wsp:val=&quot;00D8270A&quot;/&gt;&lt;wsp:rsid wsp:val=&quot;00D82A8E&quot;/&gt;&lt;wsp:rsid wsp:val=&quot;00D82DF1&quot;/&gt;&lt;wsp:rsid wsp:val=&quot;00D82EF5&quot;/&gt;&lt;wsp:rsid wsp:val=&quot;00D831D9&quot;/&gt;&lt;wsp:rsid wsp:val=&quot;00D83235&quot;/&gt;&lt;wsp:rsid wsp:val=&quot;00D8393F&quot;/&gt;&lt;wsp:rsid wsp:val=&quot;00D840E6&quot;/&gt;&lt;wsp:rsid wsp:val=&quot;00D8429C&quot;/&gt;&lt;wsp:rsid wsp:val=&quot;00D842D4&quot;/&gt;&lt;wsp:rsid wsp:val=&quot;00D84621&quot;/&gt;&lt;wsp:rsid wsp:val=&quot;00D8462B&quot;/&gt;&lt;wsp:rsid wsp:val=&quot;00D84941&quot;/&gt;&lt;wsp:rsid wsp:val=&quot;00D8521F&quot;/&gt;&lt;wsp:rsid wsp:val=&quot;00D85335&quot;/&gt;&lt;wsp:rsid wsp:val=&quot;00D856EC&quot;/&gt;&lt;wsp:rsid wsp:val=&quot;00D8570C&quot;/&gt;&lt;wsp:rsid wsp:val=&quot;00D85824&quot;/&gt;&lt;wsp:rsid wsp:val=&quot;00D85C69&quot;/&gt;&lt;wsp:rsid wsp:val=&quot;00D85C72&quot;/&gt;&lt;wsp:rsid wsp:val=&quot;00D85DEB&quot;/&gt;&lt;wsp:rsid wsp:val=&quot;00D861F0&quot;/&gt;&lt;wsp:rsid wsp:val=&quot;00D86504&quot;/&gt;&lt;wsp:rsid wsp:val=&quot;00D86DFF&quot;/&gt;&lt;wsp:rsid wsp:val=&quot;00D87212&quot;/&gt;&lt;wsp:rsid wsp:val=&quot;00D87551&quot;/&gt;&lt;wsp:rsid wsp:val=&quot;00D87C1E&quot;/&gt;&lt;wsp:rsid wsp:val=&quot;00D90067&quot;/&gt;&lt;wsp:rsid wsp:val=&quot;00D903FC&quot;/&gt;&lt;wsp:rsid wsp:val=&quot;00D903FF&quot;/&gt;&lt;wsp:rsid wsp:val=&quot;00D9066D&quot;/&gt;&lt;wsp:rsid wsp:val=&quot;00D90844&quot;/&gt;&lt;wsp:rsid wsp:val=&quot;00D90C47&quot;/&gt;&lt;wsp:rsid wsp:val=&quot;00D90CDB&quot;/&gt;&lt;wsp:rsid wsp:val=&quot;00D9124E&quot;/&gt;&lt;wsp:rsid wsp:val=&quot;00D917CA&quot;/&gt;&lt;wsp:rsid wsp:val=&quot;00D918CD&quot;/&gt;&lt;wsp:rsid wsp:val=&quot;00D9196C&quot;/&gt;&lt;wsp:rsid wsp:val=&quot;00D91C21&quot;/&gt;&lt;wsp:rsid wsp:val=&quot;00D91EC6&quot;/&gt;&lt;wsp:rsid wsp:val=&quot;00D91F11&quot;/&gt;&lt;wsp:rsid wsp:val=&quot;00D91FF6&quot;/&gt;&lt;wsp:rsid wsp:val=&quot;00D922E8&quot;/&gt;&lt;wsp:rsid wsp:val=&quot;00D92491&quot;/&gt;&lt;wsp:rsid wsp:val=&quot;00D92AE3&quot;/&gt;&lt;wsp:rsid wsp:val=&quot;00D92CE4&quot;/&gt;&lt;wsp:rsid wsp:val=&quot;00D934D4&quot;/&gt;&lt;wsp:rsid wsp:val=&quot;00D935B0&quot;/&gt;&lt;wsp:rsid wsp:val=&quot;00D93895&quot;/&gt;&lt;wsp:rsid wsp:val=&quot;00D93B30&quot;/&gt;&lt;wsp:rsid wsp:val=&quot;00D93EE5&quot;/&gt;&lt;wsp:rsid wsp:val=&quot;00D9400B&quot;/&gt;&lt;wsp:rsid wsp:val=&quot;00D94351&quot;/&gt;&lt;wsp:rsid wsp:val=&quot;00D9436E&quot;/&gt;&lt;wsp:rsid wsp:val=&quot;00D9442C&quot;/&gt;&lt;wsp:rsid wsp:val=&quot;00D94635&quot;/&gt;&lt;wsp:rsid wsp:val=&quot;00D95228&quot;/&gt;&lt;wsp:rsid wsp:val=&quot;00D957C3&quot;/&gt;&lt;wsp:rsid wsp:val=&quot;00D95AF4&quot;/&gt;&lt;wsp:rsid wsp:val=&quot;00D95CB7&quot;/&gt;&lt;wsp:rsid wsp:val=&quot;00D96247&quot;/&gt;&lt;wsp:rsid wsp:val=&quot;00D9632F&quot;/&gt;&lt;wsp:rsid wsp:val=&quot;00D9690E&quot;/&gt;&lt;wsp:rsid wsp:val=&quot;00D97DC7&quot;/&gt;&lt;wsp:rsid wsp:val=&quot;00D97EE3&quot;/&gt;&lt;wsp:rsid wsp:val=&quot;00DA00AE&quot;/&gt;&lt;wsp:rsid wsp:val=&quot;00DA0108&quot;/&gt;&lt;wsp:rsid wsp:val=&quot;00DA01C4&quot;/&gt;&lt;wsp:rsid wsp:val=&quot;00DA0DD0&quot;/&gt;&lt;wsp:rsid wsp:val=&quot;00DA1876&quot;/&gt;&lt;wsp:rsid wsp:val=&quot;00DA1992&quot;/&gt;&lt;wsp:rsid wsp:val=&quot;00DA1A61&quot;/&gt;&lt;wsp:rsid wsp:val=&quot;00DA1BBD&quot;/&gt;&lt;wsp:rsid wsp:val=&quot;00DA27FD&quot;/&gt;&lt;wsp:rsid wsp:val=&quot;00DA281D&quot;/&gt;&lt;wsp:rsid wsp:val=&quot;00DA2B3F&quot;/&gt;&lt;wsp:rsid wsp:val=&quot;00DA2D48&quot;/&gt;&lt;wsp:rsid wsp:val=&quot;00DA31D6&quot;/&gt;&lt;wsp:rsid wsp:val=&quot;00DA32ED&quot;/&gt;&lt;wsp:rsid wsp:val=&quot;00DA355F&quot;/&gt;&lt;wsp:rsid wsp:val=&quot;00DA3637&quot;/&gt;&lt;wsp:rsid wsp:val=&quot;00DA3DE0&quot;/&gt;&lt;wsp:rsid wsp:val=&quot;00DA452D&quot;/&gt;&lt;wsp:rsid wsp:val=&quot;00DA4785&quot;/&gt;&lt;wsp:rsid wsp:val=&quot;00DA47F3&quot;/&gt;&lt;wsp:rsid wsp:val=&quot;00DA48A9&quot;/&gt;&lt;wsp:rsid wsp:val=&quot;00DA4AAB&quot;/&gt;&lt;wsp:rsid wsp:val=&quot;00DA4BE1&quot;/&gt;&lt;wsp:rsid wsp:val=&quot;00DA4C15&quot;/&gt;&lt;wsp:rsid wsp:val=&quot;00DA4CE7&quot;/&gt;&lt;wsp:rsid wsp:val=&quot;00DA4E26&quot;/&gt;&lt;wsp:rsid wsp:val=&quot;00DA4EDE&quot;/&gt;&lt;wsp:rsid wsp:val=&quot;00DA549C&quot;/&gt;&lt;wsp:rsid wsp:val=&quot;00DA54CD&quot;/&gt;&lt;wsp:rsid wsp:val=&quot;00DA571E&quot;/&gt;&lt;wsp:rsid wsp:val=&quot;00DA5943&quot;/&gt;&lt;wsp:rsid wsp:val=&quot;00DA5F1F&quot;/&gt;&lt;wsp:rsid wsp:val=&quot;00DA61F5&quot;/&gt;&lt;wsp:rsid wsp:val=&quot;00DA6232&quot;/&gt;&lt;wsp:rsid wsp:val=&quot;00DA65B2&quot;/&gt;&lt;wsp:rsid wsp:val=&quot;00DA662D&quot;/&gt;&lt;wsp:rsid wsp:val=&quot;00DA6ABD&quot;/&gt;&lt;wsp:rsid wsp:val=&quot;00DA6E57&quot;/&gt;&lt;wsp:rsid wsp:val=&quot;00DA7056&quot;/&gt;&lt;wsp:rsid wsp:val=&quot;00DA7340&quot;/&gt;&lt;wsp:rsid wsp:val=&quot;00DA7BA4&quot;/&gt;&lt;wsp:rsid wsp:val=&quot;00DA7E61&quot;/&gt;&lt;wsp:rsid wsp:val=&quot;00DA7FCB&quot;/&gt;&lt;wsp:rsid wsp:val=&quot;00DB01DB&quot;/&gt;&lt;wsp:rsid wsp:val=&quot;00DB09AB&quot;/&gt;&lt;wsp:rsid wsp:val=&quot;00DB0A6B&quot;/&gt;&lt;wsp:rsid wsp:val=&quot;00DB0C61&quot;/&gt;&lt;wsp:rsid wsp:val=&quot;00DB0FD0&quot;/&gt;&lt;wsp:rsid wsp:val=&quot;00DB111F&quot;/&gt;&lt;wsp:rsid wsp:val=&quot;00DB1156&quot;/&gt;&lt;wsp:rsid wsp:val=&quot;00DB1ADE&quot;/&gt;&lt;wsp:rsid wsp:val=&quot;00DB21F9&quot;/&gt;&lt;wsp:rsid wsp:val=&quot;00DB23E1&quot;/&gt;&lt;wsp:rsid wsp:val=&quot;00DB242E&quot;/&gt;&lt;wsp:rsid wsp:val=&quot;00DB247B&quot;/&gt;&lt;wsp:rsid wsp:val=&quot;00DB2500&quot;/&gt;&lt;wsp:rsid wsp:val=&quot;00DB25F7&quot;/&gt;&lt;wsp:rsid wsp:val=&quot;00DB2745&quot;/&gt;&lt;wsp:rsid wsp:val=&quot;00DB2810&quot;/&gt;&lt;wsp:rsid wsp:val=&quot;00DB296C&quot;/&gt;&lt;wsp:rsid wsp:val=&quot;00DB2979&quot;/&gt;&lt;wsp:rsid wsp:val=&quot;00DB29FA&quot;/&gt;&lt;wsp:rsid wsp:val=&quot;00DB2B88&quot;/&gt;&lt;wsp:rsid wsp:val=&quot;00DB2C50&quot;/&gt;&lt;wsp:rsid wsp:val=&quot;00DB32C4&quot;/&gt;&lt;wsp:rsid wsp:val=&quot;00DB3873&quot;/&gt;&lt;wsp:rsid wsp:val=&quot;00DB38FF&quot;/&gt;&lt;wsp:rsid wsp:val=&quot;00DB3F39&quot;/&gt;&lt;wsp:rsid wsp:val=&quot;00DB3FF4&quot;/&gt;&lt;wsp:rsid wsp:val=&quot;00DB4EA6&quot;/&gt;&lt;wsp:rsid wsp:val=&quot;00DB51A7&quot;/&gt;&lt;wsp:rsid wsp:val=&quot;00DB5222&quot;/&gt;&lt;wsp:rsid wsp:val=&quot;00DB5A41&quot;/&gt;&lt;wsp:rsid wsp:val=&quot;00DB5DD7&quot;/&gt;&lt;wsp:rsid wsp:val=&quot;00DB64EB&quot;/&gt;&lt;wsp:rsid wsp:val=&quot;00DB6A15&quot;/&gt;&lt;wsp:rsid wsp:val=&quot;00DB6C7B&quot;/&gt;&lt;wsp:rsid wsp:val=&quot;00DB71FD&quot;/&gt;&lt;wsp:rsid wsp:val=&quot;00DB756B&quot;/&gt;&lt;wsp:rsid wsp:val=&quot;00DB7684&quot;/&gt;&lt;wsp:rsid wsp:val=&quot;00DB7D5B&quot;/&gt;&lt;wsp:rsid wsp:val=&quot;00DB7F4C&quot;/&gt;&lt;wsp:rsid wsp:val=&quot;00DC037E&quot;/&gt;&lt;wsp:rsid wsp:val=&quot;00DC0828&quot;/&gt;&lt;wsp:rsid wsp:val=&quot;00DC085B&quot;/&gt;&lt;wsp:rsid wsp:val=&quot;00DC08CF&quot;/&gt;&lt;wsp:rsid wsp:val=&quot;00DC0984&quot;/&gt;&lt;wsp:rsid wsp:val=&quot;00DC0EC9&quot;/&gt;&lt;wsp:rsid wsp:val=&quot;00DC0ECC&quot;/&gt;&lt;wsp:rsid wsp:val=&quot;00DC141E&quot;/&gt;&lt;wsp:rsid wsp:val=&quot;00DC15EC&quot;/&gt;&lt;wsp:rsid wsp:val=&quot;00DC1957&quot;/&gt;&lt;wsp:rsid wsp:val=&quot;00DC1CFE&quot;/&gt;&lt;wsp:rsid wsp:val=&quot;00DC21D5&quot;/&gt;&lt;wsp:rsid wsp:val=&quot;00DC27DA&quot;/&gt;&lt;wsp:rsid wsp:val=&quot;00DC2C4C&quot;/&gt;&lt;wsp:rsid wsp:val=&quot;00DC2EE7&quot;/&gt;&lt;wsp:rsid wsp:val=&quot;00DC3280&quot;/&gt;&lt;wsp:rsid wsp:val=&quot;00DC3341&quot;/&gt;&lt;wsp:rsid wsp:val=&quot;00DC339F&quot;/&gt;&lt;wsp:rsid wsp:val=&quot;00DC33AB&quot;/&gt;&lt;wsp:rsid wsp:val=&quot;00DC3481&quot;/&gt;&lt;wsp:rsid wsp:val=&quot;00DC38A8&quot;/&gt;&lt;wsp:rsid wsp:val=&quot;00DC38BC&quot;/&gt;&lt;wsp:rsid wsp:val=&quot;00DC3992&quot;/&gt;&lt;wsp:rsid wsp:val=&quot;00DC3E04&quot;/&gt;&lt;wsp:rsid wsp:val=&quot;00DC402E&quot;/&gt;&lt;wsp:rsid wsp:val=&quot;00DC4284&quot;/&gt;&lt;wsp:rsid wsp:val=&quot;00DC4376&quot;/&gt;&lt;wsp:rsid wsp:val=&quot;00DC50F1&quot;/&gt;&lt;wsp:rsid wsp:val=&quot;00DC520C&quot;/&gt;&lt;wsp:rsid wsp:val=&quot;00DC535D&quot;/&gt;&lt;wsp:rsid wsp:val=&quot;00DC5445&quot;/&gt;&lt;wsp:rsid wsp:val=&quot;00DC562B&quot;/&gt;&lt;wsp:rsid wsp:val=&quot;00DC5FEC&quot;/&gt;&lt;wsp:rsid wsp:val=&quot;00DC6606&quot;/&gt;&lt;wsp:rsid wsp:val=&quot;00DC673D&quot;/&gt;&lt;wsp:rsid wsp:val=&quot;00DC67C7&quot;/&gt;&lt;wsp:rsid wsp:val=&quot;00DC69E6&quot;/&gt;&lt;wsp:rsid wsp:val=&quot;00DC6EDE&quot;/&gt;&lt;wsp:rsid wsp:val=&quot;00DC6F21&quot;/&gt;&lt;wsp:rsid wsp:val=&quot;00DC741A&quot;/&gt;&lt;wsp:rsid wsp:val=&quot;00DC751E&quot;/&gt;&lt;wsp:rsid wsp:val=&quot;00DC7B73&quot;/&gt;&lt;wsp:rsid wsp:val=&quot;00DC7C4E&quot;/&gt;&lt;wsp:rsid wsp:val=&quot;00DC7E15&quot;/&gt;&lt;wsp:rsid wsp:val=&quot;00DC7E27&quot;/&gt;&lt;wsp:rsid wsp:val=&quot;00DD01DC&quot;/&gt;&lt;wsp:rsid wsp:val=&quot;00DD042E&quot;/&gt;&lt;wsp:rsid wsp:val=&quot;00DD0A18&quot;/&gt;&lt;wsp:rsid wsp:val=&quot;00DD0A2F&quot;/&gt;&lt;wsp:rsid wsp:val=&quot;00DD0B4F&quot;/&gt;&lt;wsp:rsid wsp:val=&quot;00DD0C8C&quot;/&gt;&lt;wsp:rsid wsp:val=&quot;00DD109B&quot;/&gt;&lt;wsp:rsid wsp:val=&quot;00DD16ED&quot;/&gt;&lt;wsp:rsid wsp:val=&quot;00DD17BD&quot;/&gt;&lt;wsp:rsid wsp:val=&quot;00DD1B72&quot;/&gt;&lt;wsp:rsid wsp:val=&quot;00DD1D1C&quot;/&gt;&lt;wsp:rsid wsp:val=&quot;00DD237A&quot;/&gt;&lt;wsp:rsid wsp:val=&quot;00DD397C&quot;/&gt;&lt;wsp:rsid wsp:val=&quot;00DD3CEA&quot;/&gt;&lt;wsp:rsid wsp:val=&quot;00DD4838&quot;/&gt;&lt;wsp:rsid wsp:val=&quot;00DD4C81&quot;/&gt;&lt;wsp:rsid wsp:val=&quot;00DD54F2&quot;/&gt;&lt;wsp:rsid wsp:val=&quot;00DD55B0&quot;/&gt;&lt;wsp:rsid wsp:val=&quot;00DD68AB&quot;/&gt;&lt;wsp:rsid wsp:val=&quot;00DD69F4&quot;/&gt;&lt;wsp:rsid wsp:val=&quot;00DD7431&quot;/&gt;&lt;wsp:rsid wsp:val=&quot;00DD760A&quot;/&gt;&lt;wsp:rsid wsp:val=&quot;00DD7A76&quot;/&gt;&lt;wsp:rsid wsp:val=&quot;00DD7BC2&quot;/&gt;&lt;wsp:rsid wsp:val=&quot;00DD7E50&quot;/&gt;&lt;wsp:rsid wsp:val=&quot;00DE032C&quot;/&gt;&lt;wsp:rsid wsp:val=&quot;00DE0474&quot;/&gt;&lt;wsp:rsid wsp:val=&quot;00DE0727&quot;/&gt;&lt;wsp:rsid wsp:val=&quot;00DE0A01&quot;/&gt;&lt;wsp:rsid wsp:val=&quot;00DE0F9E&quot;/&gt;&lt;wsp:rsid wsp:val=&quot;00DE0FA7&quot;/&gt;&lt;wsp:rsid wsp:val=&quot;00DE1511&quot;/&gt;&lt;wsp:rsid wsp:val=&quot;00DE1522&quot;/&gt;&lt;wsp:rsid wsp:val=&quot;00DE1AC8&quot;/&gt;&lt;wsp:rsid wsp:val=&quot;00DE1F3F&quot;/&gt;&lt;wsp:rsid wsp:val=&quot;00DE2077&quot;/&gt;&lt;wsp:rsid wsp:val=&quot;00DE257A&quot;/&gt;&lt;wsp:rsid wsp:val=&quot;00DE287C&quot;/&gt;&lt;wsp:rsid wsp:val=&quot;00DE31E6&quot;/&gt;&lt;wsp:rsid wsp:val=&quot;00DE3718&quot;/&gt;&lt;wsp:rsid wsp:val=&quot;00DE38C1&quot;/&gt;&lt;wsp:rsid wsp:val=&quot;00DE3990&quot;/&gt;&lt;wsp:rsid wsp:val=&quot;00DE3D4C&quot;/&gt;&lt;wsp:rsid wsp:val=&quot;00DE3F61&quot;/&gt;&lt;wsp:rsid wsp:val=&quot;00DE4264&quot;/&gt;&lt;wsp:rsid wsp:val=&quot;00DE473A&quot;/&gt;&lt;wsp:rsid wsp:val=&quot;00DE47DB&quot;/&gt;&lt;wsp:rsid wsp:val=&quot;00DE4B48&quot;/&gt;&lt;wsp:rsid wsp:val=&quot;00DE4BD2&quot;/&gt;&lt;wsp:rsid wsp:val=&quot;00DE4C60&quot;/&gt;&lt;wsp:rsid wsp:val=&quot;00DE4E7A&quot;/&gt;&lt;wsp:rsid wsp:val=&quot;00DE585A&quot;/&gt;&lt;wsp:rsid wsp:val=&quot;00DE6784&quot;/&gt;&lt;wsp:rsid wsp:val=&quot;00DE6861&quot;/&gt;&lt;wsp:rsid wsp:val=&quot;00DE6C98&quot;/&gt;&lt;wsp:rsid wsp:val=&quot;00DE6F68&quot;/&gt;&lt;wsp:rsid wsp:val=&quot;00DE7C17&quot;/&gt;&lt;wsp:rsid wsp:val=&quot;00DE7CE1&quot;/&gt;&lt;wsp:rsid wsp:val=&quot;00DF02B9&quot;/&gt;&lt;wsp:rsid wsp:val=&quot;00DF043D&quot;/&gt;&lt;wsp:rsid wsp:val=&quot;00DF04F9&quot;/&gt;&lt;wsp:rsid wsp:val=&quot;00DF05F2&quot;/&gt;&lt;wsp:rsid wsp:val=&quot;00DF0C83&quot;/&gt;&lt;wsp:rsid wsp:val=&quot;00DF122E&quot;/&gt;&lt;wsp:rsid wsp:val=&quot;00DF1835&quot;/&gt;&lt;wsp:rsid wsp:val=&quot;00DF1838&quot;/&gt;&lt;wsp:rsid wsp:val=&quot;00DF1BB2&quot;/&gt;&lt;wsp:rsid wsp:val=&quot;00DF1CC0&quot;/&gt;&lt;wsp:rsid wsp:val=&quot;00DF2033&quot;/&gt;&lt;wsp:rsid wsp:val=&quot;00DF22C7&quot;/&gt;&lt;wsp:rsid wsp:val=&quot;00DF2408&quot;/&gt;&lt;wsp:rsid wsp:val=&quot;00DF281A&quot;/&gt;&lt;wsp:rsid wsp:val=&quot;00DF2B2A&quot;/&gt;&lt;wsp:rsid wsp:val=&quot;00DF2B65&quot;/&gt;&lt;wsp:rsid wsp:val=&quot;00DF324D&quot;/&gt;&lt;wsp:rsid wsp:val=&quot;00DF34E6&quot;/&gt;&lt;wsp:rsid wsp:val=&quot;00DF3C68&quot;/&gt;&lt;wsp:rsid wsp:val=&quot;00DF4AAE&quot;/&gt;&lt;wsp:rsid wsp:val=&quot;00DF4BE1&quot;/&gt;&lt;wsp:rsid wsp:val=&quot;00DF4DC9&quot;/&gt;&lt;wsp:rsid wsp:val=&quot;00DF4E74&quot;/&gt;&lt;wsp:rsid wsp:val=&quot;00DF54DF&quot;/&gt;&lt;wsp:rsid wsp:val=&quot;00DF55D6&quot;/&gt;&lt;wsp:rsid wsp:val=&quot;00DF5623&quot;/&gt;&lt;wsp:rsid wsp:val=&quot;00DF5F78&quot;/&gt;&lt;wsp:rsid wsp:val=&quot;00DF5FC0&quot;/&gt;&lt;wsp:rsid wsp:val=&quot;00DF6021&quot;/&gt;&lt;wsp:rsid wsp:val=&quot;00DF6457&quot;/&gt;&lt;wsp:rsid wsp:val=&quot;00DF64F5&quot;/&gt;&lt;wsp:rsid wsp:val=&quot;00DF6B13&quot;/&gt;&lt;wsp:rsid wsp:val=&quot;00DF737B&quot;/&gt;&lt;wsp:rsid wsp:val=&quot;00DF7C16&quot;/&gt;&lt;wsp:rsid wsp:val=&quot;00E00185&quot;/&gt;&lt;wsp:rsid wsp:val=&quot;00E0093C&quot;/&gt;&lt;wsp:rsid wsp:val=&quot;00E01018&quot;/&gt;&lt;wsp:rsid wsp:val=&quot;00E01634&quot;/&gt;&lt;wsp:rsid wsp:val=&quot;00E01C55&quot;/&gt;&lt;wsp:rsid wsp:val=&quot;00E01D5B&quot;/&gt;&lt;wsp:rsid wsp:val=&quot;00E01DC2&quot;/&gt;&lt;wsp:rsid wsp:val=&quot;00E021CD&quot;/&gt;&lt;wsp:rsid wsp:val=&quot;00E02227&quot;/&gt;&lt;wsp:rsid wsp:val=&quot;00E027BD&quot;/&gt;&lt;wsp:rsid wsp:val=&quot;00E02C60&quot;/&gt;&lt;wsp:rsid wsp:val=&quot;00E02EF2&quot;/&gt;&lt;wsp:rsid wsp:val=&quot;00E02FCD&quot;/&gt;&lt;wsp:rsid wsp:val=&quot;00E03172&quot;/&gt;&lt;wsp:rsid wsp:val=&quot;00E0321A&quot;/&gt;&lt;wsp:rsid wsp:val=&quot;00E03563&quot;/&gt;&lt;wsp:rsid wsp:val=&quot;00E037E5&quot;/&gt;&lt;wsp:rsid wsp:val=&quot;00E0384A&quot;/&gt;&lt;wsp:rsid wsp:val=&quot;00E0397E&quot;/&gt;&lt;wsp:rsid wsp:val=&quot;00E03CB0&quot;/&gt;&lt;wsp:rsid wsp:val=&quot;00E043AD&quot;/&gt;&lt;wsp:rsid wsp:val=&quot;00E0468B&quot;/&gt;&lt;wsp:rsid wsp:val=&quot;00E04764&quot;/&gt;&lt;wsp:rsid wsp:val=&quot;00E04C8A&quot;/&gt;&lt;wsp:rsid wsp:val=&quot;00E0514D&quot;/&gt;&lt;wsp:rsid wsp:val=&quot;00E0525B&quot;/&gt;&lt;wsp:rsid wsp:val=&quot;00E0547E&quot;/&gt;&lt;wsp:rsid wsp:val=&quot;00E0548D&quot;/&gt;&lt;wsp:rsid wsp:val=&quot;00E0589C&quot;/&gt;&lt;wsp:rsid wsp:val=&quot;00E05B76&quot;/&gt;&lt;wsp:rsid wsp:val=&quot;00E05E36&quot;/&gt;&lt;wsp:rsid wsp:val=&quot;00E06078&quot;/&gt;&lt;wsp:rsid wsp:val=&quot;00E06183&quot;/&gt;&lt;wsp:rsid wsp:val=&quot;00E06199&quot;/&gt;&lt;wsp:rsid wsp:val=&quot;00E064A1&quot;/&gt;&lt;wsp:rsid wsp:val=&quot;00E064D5&quot;/&gt;&lt;wsp:rsid wsp:val=&quot;00E068E7&quot;/&gt;&lt;wsp:rsid wsp:val=&quot;00E06D23&quot;/&gt;&lt;wsp:rsid wsp:val=&quot;00E07323&quot;/&gt;&lt;wsp:rsid wsp:val=&quot;00E07CED&quot;/&gt;&lt;wsp:rsid wsp:val=&quot;00E10057&quot;/&gt;&lt;wsp:rsid wsp:val=&quot;00E1009B&quot;/&gt;&lt;wsp:rsid wsp:val=&quot;00E10270&quot;/&gt;&lt;wsp:rsid wsp:val=&quot;00E10421&quot;/&gt;&lt;wsp:rsid wsp:val=&quot;00E104FF&quot;/&gt;&lt;wsp:rsid wsp:val=&quot;00E10748&quot;/&gt;&lt;wsp:rsid wsp:val=&quot;00E10E90&quot;/&gt;&lt;wsp:rsid wsp:val=&quot;00E10F69&quot;/&gt;&lt;wsp:rsid wsp:val=&quot;00E1107E&quot;/&gt;&lt;wsp:rsid wsp:val=&quot;00E111E0&quot;/&gt;&lt;wsp:rsid wsp:val=&quot;00E11503&quot;/&gt;&lt;wsp:rsid wsp:val=&quot;00E1151C&quot;/&gt;&lt;wsp:rsid wsp:val=&quot;00E11848&quot;/&gt;&lt;wsp:rsid wsp:val=&quot;00E11B3A&quot;/&gt;&lt;wsp:rsid wsp:val=&quot;00E11E52&quot;/&gt;&lt;wsp:rsid wsp:val=&quot;00E11F1C&quot;/&gt;&lt;wsp:rsid wsp:val=&quot;00E123DD&quot;/&gt;&lt;wsp:rsid wsp:val=&quot;00E126D5&quot;/&gt;&lt;wsp:rsid wsp:val=&quot;00E12E70&quot;/&gt;&lt;wsp:rsid wsp:val=&quot;00E1397B&quot;/&gt;&lt;wsp:rsid wsp:val=&quot;00E13F67&quot;/&gt;&lt;wsp:rsid wsp:val=&quot;00E14087&quot;/&gt;&lt;wsp:rsid wsp:val=&quot;00E140B5&quot;/&gt;&lt;wsp:rsid wsp:val=&quot;00E1418D&quot;/&gt;&lt;wsp:rsid wsp:val=&quot;00E1423A&quot;/&gt;&lt;wsp:rsid wsp:val=&quot;00E1461B&quot;/&gt;&lt;wsp:rsid wsp:val=&quot;00E14BC2&quot;/&gt;&lt;wsp:rsid wsp:val=&quot;00E14C96&quot;/&gt;&lt;wsp:rsid wsp:val=&quot;00E1560A&quot;/&gt;&lt;wsp:rsid wsp:val=&quot;00E1567C&quot;/&gt;&lt;wsp:rsid wsp:val=&quot;00E15869&quot;/&gt;&lt;wsp:rsid wsp:val=&quot;00E1609B&quot;/&gt;&lt;wsp:rsid wsp:val=&quot;00E166C2&quot;/&gt;&lt;wsp:rsid wsp:val=&quot;00E1675A&quot;/&gt;&lt;wsp:rsid wsp:val=&quot;00E167F9&quot;/&gt;&lt;wsp:rsid wsp:val=&quot;00E168A2&quot;/&gt;&lt;wsp:rsid wsp:val=&quot;00E16ADA&quot;/&gt;&lt;wsp:rsid wsp:val=&quot;00E16E47&quot;/&gt;&lt;wsp:rsid wsp:val=&quot;00E2023E&quot;/&gt;&lt;wsp:rsid wsp:val=&quot;00E20289&quot;/&gt;&lt;wsp:rsid wsp:val=&quot;00E20441&quot;/&gt;&lt;wsp:rsid wsp:val=&quot;00E204BF&quot;/&gt;&lt;wsp:rsid wsp:val=&quot;00E20548&quot;/&gt;&lt;wsp:rsid wsp:val=&quot;00E20830&quot;/&gt;&lt;wsp:rsid wsp:val=&quot;00E20A15&quot;/&gt;&lt;wsp:rsid wsp:val=&quot;00E20A70&quot;/&gt;&lt;wsp:rsid wsp:val=&quot;00E20B01&quot;/&gt;&lt;wsp:rsid wsp:val=&quot;00E20E29&quot;/&gt;&lt;wsp:rsid wsp:val=&quot;00E212C2&quot;/&gt;&lt;wsp:rsid wsp:val=&quot;00E21687&quot;/&gt;&lt;wsp:rsid wsp:val=&quot;00E21A4E&quot;/&gt;&lt;wsp:rsid wsp:val=&quot;00E21CCC&quot;/&gt;&lt;wsp:rsid wsp:val=&quot;00E21F08&quot;/&gt;&lt;wsp:rsid wsp:val=&quot;00E22182&quot;/&gt;&lt;wsp:rsid wsp:val=&quot;00E221B8&quot;/&gt;&lt;wsp:rsid wsp:val=&quot;00E227E9&quot;/&gt;&lt;wsp:rsid wsp:val=&quot;00E2290E&quot;/&gt;&lt;wsp:rsid wsp:val=&quot;00E22C48&quot;/&gt;&lt;wsp:rsid wsp:val=&quot;00E22F19&quot;/&gt;&lt;wsp:rsid wsp:val=&quot;00E23299&quot;/&gt;&lt;wsp:rsid wsp:val=&quot;00E237B6&quot;/&gt;&lt;wsp:rsid wsp:val=&quot;00E238DE&quot;/&gt;&lt;wsp:rsid wsp:val=&quot;00E23CC0&quot;/&gt;&lt;wsp:rsid wsp:val=&quot;00E24A62&quot;/&gt;&lt;wsp:rsid wsp:val=&quot;00E24B9B&quot;/&gt;&lt;wsp:rsid wsp:val=&quot;00E24BEA&quot;/&gt;&lt;wsp:rsid wsp:val=&quot;00E24E54&quot;/&gt;&lt;wsp:rsid wsp:val=&quot;00E24EDA&quot;/&gt;&lt;wsp:rsid wsp:val=&quot;00E25072&quot;/&gt;&lt;wsp:rsid wsp:val=&quot;00E25593&quot;/&gt;&lt;wsp:rsid wsp:val=&quot;00E25888&quot;/&gt;&lt;wsp:rsid wsp:val=&quot;00E25E6C&quot;/&gt;&lt;wsp:rsid wsp:val=&quot;00E25E82&quot;/&gt;&lt;wsp:rsid wsp:val=&quot;00E25EB6&quot;/&gt;&lt;wsp:rsid wsp:val=&quot;00E25FFA&quot;/&gt;&lt;wsp:rsid wsp:val=&quot;00E26226&quot;/&gt;&lt;wsp:rsid wsp:val=&quot;00E264E6&quot;/&gt;&lt;wsp:rsid wsp:val=&quot;00E26C3F&quot;/&gt;&lt;wsp:rsid wsp:val=&quot;00E2702B&quot;/&gt;&lt;wsp:rsid wsp:val=&quot;00E271D3&quot;/&gt;&lt;wsp:rsid wsp:val=&quot;00E27479&quot;/&gt;&lt;wsp:rsid wsp:val=&quot;00E30596&quot;/&gt;&lt;wsp:rsid wsp:val=&quot;00E306C3&quot;/&gt;&lt;wsp:rsid wsp:val=&quot;00E307C6&quot;/&gt;&lt;wsp:rsid wsp:val=&quot;00E30AFB&quot;/&gt;&lt;wsp:rsid wsp:val=&quot;00E30BAF&quot;/&gt;&lt;wsp:rsid wsp:val=&quot;00E31856&quot;/&gt;&lt;wsp:rsid wsp:val=&quot;00E31C9C&quot;/&gt;&lt;wsp:rsid wsp:val=&quot;00E31F8E&quot;/&gt;&lt;wsp:rsid wsp:val=&quot;00E3221D&quot;/&gt;&lt;wsp:rsid wsp:val=&quot;00E326FD&quot;/&gt;&lt;wsp:rsid wsp:val=&quot;00E32CF9&quot;/&gt;&lt;wsp:rsid wsp:val=&quot;00E32FF4&quot;/&gt;&lt;wsp:rsid wsp:val=&quot;00E33143&quot;/&gt;&lt;wsp:rsid wsp:val=&quot;00E33356&quot;/&gt;&lt;wsp:rsid wsp:val=&quot;00E3397C&quot;/&gt;&lt;wsp:rsid wsp:val=&quot;00E33D42&quot;/&gt;&lt;wsp:rsid wsp:val=&quot;00E343CE&quot;/&gt;&lt;wsp:rsid wsp:val=&quot;00E344DA&quot;/&gt;&lt;wsp:rsid wsp:val=&quot;00E3491A&quot;/&gt;&lt;wsp:rsid wsp:val=&quot;00E349B8&quot;/&gt;&lt;wsp:rsid wsp:val=&quot;00E34CA7&quot;/&gt;&lt;wsp:rsid wsp:val=&quot;00E352F7&quot;/&gt;&lt;wsp:rsid wsp:val=&quot;00E353D9&quot;/&gt;&lt;wsp:rsid wsp:val=&quot;00E35D66&quot;/&gt;&lt;wsp:rsid wsp:val=&quot;00E35E4B&quot;/&gt;&lt;wsp:rsid wsp:val=&quot;00E360FF&quot;/&gt;&lt;wsp:rsid wsp:val=&quot;00E3611C&quot;/&gt;&lt;wsp:rsid wsp:val=&quot;00E36230&quot;/&gt;&lt;wsp:rsid wsp:val=&quot;00E3631E&quot;/&gt;&lt;wsp:rsid wsp:val=&quot;00E368E4&quot;/&gt;&lt;wsp:rsid wsp:val=&quot;00E36976&quot;/&gt;&lt;wsp:rsid wsp:val=&quot;00E36BAA&quot;/&gt;&lt;wsp:rsid wsp:val=&quot;00E36CFB&quot;/&gt;&lt;wsp:rsid wsp:val=&quot;00E36D5C&quot;/&gt;&lt;wsp:rsid wsp:val=&quot;00E3715C&quot;/&gt;&lt;wsp:rsid wsp:val=&quot;00E37189&quot;/&gt;&lt;wsp:rsid wsp:val=&quot;00E371DE&quot;/&gt;&lt;wsp:rsid wsp:val=&quot;00E375F3&quot;/&gt;&lt;wsp:rsid wsp:val=&quot;00E376AB&quot;/&gt;&lt;wsp:rsid wsp:val=&quot;00E379D1&quot;/&gt;&lt;wsp:rsid wsp:val=&quot;00E37EC0&quot;/&gt;&lt;wsp:rsid wsp:val=&quot;00E408A8&quot;/&gt;&lt;wsp:rsid wsp:val=&quot;00E40E8C&quot;/&gt;&lt;wsp:rsid wsp:val=&quot;00E41B1C&quot;/&gt;&lt;wsp:rsid wsp:val=&quot;00E41C61&quot;/&gt;&lt;wsp:rsid wsp:val=&quot;00E41C86&quot;/&gt;&lt;wsp:rsid wsp:val=&quot;00E42244&quot;/&gt;&lt;wsp:rsid wsp:val=&quot;00E4230D&quot;/&gt;&lt;wsp:rsid wsp:val=&quot;00E42425&quot;/&gt;&lt;wsp:rsid wsp:val=&quot;00E4251A&quot;/&gt;&lt;wsp:rsid wsp:val=&quot;00E42B3F&quot;/&gt;&lt;wsp:rsid wsp:val=&quot;00E42F92&quot;/&gt;&lt;wsp:rsid wsp:val=&quot;00E4306E&quot;/&gt;&lt;wsp:rsid wsp:val=&quot;00E43143&quot;/&gt;&lt;wsp:rsid wsp:val=&quot;00E4319B&quot;/&gt;&lt;wsp:rsid wsp:val=&quot;00E431C0&quot;/&gt;&lt;wsp:rsid wsp:val=&quot;00E435DB&quot;/&gt;&lt;wsp:rsid wsp:val=&quot;00E438F3&quot;/&gt;&lt;wsp:rsid wsp:val=&quot;00E43E10&quot;/&gt;&lt;wsp:rsid wsp:val=&quot;00E44403&quot;/&gt;&lt;wsp:rsid wsp:val=&quot;00E4459E&quot;/&gt;&lt;wsp:rsid wsp:val=&quot;00E44B2F&quot;/&gt;&lt;wsp:rsid wsp:val=&quot;00E44BB0&quot;/&gt;&lt;wsp:rsid wsp:val=&quot;00E44BD4&quot;/&gt;&lt;wsp:rsid wsp:val=&quot;00E44E92&quot;/&gt;&lt;wsp:rsid wsp:val=&quot;00E44F03&quot;/&gt;&lt;wsp:rsid wsp:val=&quot;00E4550C&quot;/&gt;&lt;wsp:rsid wsp:val=&quot;00E455FF&quot;/&gt;&lt;wsp:rsid wsp:val=&quot;00E45677&quot;/&gt;&lt;wsp:rsid wsp:val=&quot;00E4598D&quot;/&gt;&lt;wsp:rsid wsp:val=&quot;00E45A35&quot;/&gt;&lt;wsp:rsid wsp:val=&quot;00E45E51&quot;/&gt;&lt;wsp:rsid wsp:val=&quot;00E46055&quot;/&gt;&lt;wsp:rsid wsp:val=&quot;00E46079&quot;/&gt;&lt;wsp:rsid wsp:val=&quot;00E46636&quot;/&gt;&lt;wsp:rsid wsp:val=&quot;00E467B0&quot;/&gt;&lt;wsp:rsid wsp:val=&quot;00E46983&quot;/&gt;&lt;wsp:rsid wsp:val=&quot;00E47160&quot;/&gt;&lt;wsp:rsid wsp:val=&quot;00E47596&quot;/&gt;&lt;wsp:rsid wsp:val=&quot;00E4778B&quot;/&gt;&lt;wsp:rsid wsp:val=&quot;00E47A0A&quot;/&gt;&lt;wsp:rsid wsp:val=&quot;00E5045D&quot;/&gt;&lt;wsp:rsid wsp:val=&quot;00E5056B&quot;/&gt;&lt;wsp:rsid wsp:val=&quot;00E50844&quot;/&gt;&lt;wsp:rsid wsp:val=&quot;00E50CB4&quot;/&gt;&lt;wsp:rsid wsp:val=&quot;00E50F14&quot;/&gt;&lt;wsp:rsid wsp:val=&quot;00E5122B&quot;/&gt;&lt;wsp:rsid wsp:val=&quot;00E5129B&quot;/&gt;&lt;wsp:rsid wsp:val=&quot;00E513EC&quot;/&gt;&lt;wsp:rsid wsp:val=&quot;00E51579&quot;/&gt;&lt;wsp:rsid wsp:val=&quot;00E51952&quot;/&gt;&lt;wsp:rsid wsp:val=&quot;00E51B97&quot;/&gt;&lt;wsp:rsid wsp:val=&quot;00E51E7C&quot;/&gt;&lt;wsp:rsid wsp:val=&quot;00E51FD7&quot;/&gt;&lt;wsp:rsid wsp:val=&quot;00E5213D&quot;/&gt;&lt;wsp:rsid wsp:val=&quot;00E5219B&quot;/&gt;&lt;wsp:rsid wsp:val=&quot;00E521BE&quot;/&gt;&lt;wsp:rsid wsp:val=&quot;00E52552&quot;/&gt;&lt;wsp:rsid wsp:val=&quot;00E52B77&quot;/&gt;&lt;wsp:rsid wsp:val=&quot;00E52F14&quot;/&gt;&lt;wsp:rsid wsp:val=&quot;00E5310C&quot;/&gt;&lt;wsp:rsid wsp:val=&quot;00E53438&quot;/&gt;&lt;wsp:rsid wsp:val=&quot;00E54149&quot;/&gt;&lt;wsp:rsid wsp:val=&quot;00E546C4&quot;/&gt;&lt;wsp:rsid wsp:val=&quot;00E548E2&quot;/&gt;&lt;wsp:rsid wsp:val=&quot;00E54DE3&quot;/&gt;&lt;wsp:rsid wsp:val=&quot;00E54F4D&quot;/&gt;&lt;wsp:rsid wsp:val=&quot;00E55287&quot;/&gt;&lt;wsp:rsid wsp:val=&quot;00E55299&quot;/&gt;&lt;wsp:rsid wsp:val=&quot;00E55714&quot;/&gt;&lt;wsp:rsid wsp:val=&quot;00E55985&quot;/&gt;&lt;wsp:rsid wsp:val=&quot;00E55B0C&quot;/&gt;&lt;wsp:rsid wsp:val=&quot;00E55F2F&quot;/&gt;&lt;wsp:rsid wsp:val=&quot;00E560A8&quot;/&gt;&lt;wsp:rsid wsp:val=&quot;00E56390&quot;/&gt;&lt;wsp:rsid wsp:val=&quot;00E56D0D&quot;/&gt;&lt;wsp:rsid wsp:val=&quot;00E572E9&quot;/&gt;&lt;wsp:rsid wsp:val=&quot;00E574AC&quot;/&gt;&lt;wsp:rsid wsp:val=&quot;00E57956&quot;/&gt;&lt;wsp:rsid wsp:val=&quot;00E57C5D&quot;/&gt;&lt;wsp:rsid wsp:val=&quot;00E6016A&quot;/&gt;&lt;wsp:rsid wsp:val=&quot;00E605E6&quot;/&gt;&lt;wsp:rsid wsp:val=&quot;00E60873&quot;/&gt;&lt;wsp:rsid wsp:val=&quot;00E6090C&quot;/&gt;&lt;wsp:rsid wsp:val=&quot;00E609AB&quot;/&gt;&lt;wsp:rsid wsp:val=&quot;00E60BB3&quot;/&gt;&lt;wsp:rsid wsp:val=&quot;00E6105C&quot;/&gt;&lt;wsp:rsid wsp:val=&quot;00E61077&quot;/&gt;&lt;wsp:rsid wsp:val=&quot;00E6123A&quot;/&gt;&lt;wsp:rsid wsp:val=&quot;00E6126C&quot;/&gt;&lt;wsp:rsid wsp:val=&quot;00E614BD&quot;/&gt;&lt;wsp:rsid wsp:val=&quot;00E61CE1&quot;/&gt;&lt;wsp:rsid wsp:val=&quot;00E61EF0&quot;/&gt;&lt;wsp:rsid wsp:val=&quot;00E61F27&quot;/&gt;&lt;wsp:rsid wsp:val=&quot;00E624E9&quot;/&gt;&lt;wsp:rsid wsp:val=&quot;00E6252C&quot;/&gt;&lt;wsp:rsid wsp:val=&quot;00E62570&quot;/&gt;&lt;wsp:rsid wsp:val=&quot;00E629E2&quot;/&gt;&lt;wsp:rsid wsp:val=&quot;00E63481&quot;/&gt;&lt;wsp:rsid wsp:val=&quot;00E63590&quot;/&gt;&lt;wsp:rsid wsp:val=&quot;00E63907&quot;/&gt;&lt;wsp:rsid wsp:val=&quot;00E63A14&quot;/&gt;&lt;wsp:rsid wsp:val=&quot;00E63A34&quot;/&gt;&lt;wsp:rsid wsp:val=&quot;00E63B2E&quot;/&gt;&lt;wsp:rsid wsp:val=&quot;00E646AD&quot;/&gt;&lt;wsp:rsid wsp:val=&quot;00E6471A&quot;/&gt;&lt;wsp:rsid wsp:val=&quot;00E64A13&quot;/&gt;&lt;wsp:rsid wsp:val=&quot;00E64A84&quot;/&gt;&lt;wsp:rsid wsp:val=&quot;00E64B4F&quot;/&gt;&lt;wsp:rsid wsp:val=&quot;00E64D9B&quot;/&gt;&lt;wsp:rsid wsp:val=&quot;00E64F93&quot;/&gt;&lt;wsp:rsid wsp:val=&quot;00E651D6&quot;/&gt;&lt;wsp:rsid wsp:val=&quot;00E654FC&quot;/&gt;&lt;wsp:rsid wsp:val=&quot;00E65612&quot;/&gt;&lt;wsp:rsid wsp:val=&quot;00E65743&quot;/&gt;&lt;wsp:rsid wsp:val=&quot;00E6581C&quot;/&gt;&lt;wsp:rsid wsp:val=&quot;00E65BBB&quot;/&gt;&lt;wsp:rsid wsp:val=&quot;00E65C3D&quot;/&gt;&lt;wsp:rsid wsp:val=&quot;00E6616C&quot;/&gt;&lt;wsp:rsid wsp:val=&quot;00E6643A&quot;/&gt;&lt;wsp:rsid wsp:val=&quot;00E66695&quot;/&gt;&lt;wsp:rsid wsp:val=&quot;00E66A8E&quot;/&gt;&lt;wsp:rsid wsp:val=&quot;00E66B7D&quot;/&gt;&lt;wsp:rsid wsp:val=&quot;00E66D4C&quot;/&gt;&lt;wsp:rsid wsp:val=&quot;00E66D4D&quot;/&gt;&lt;wsp:rsid wsp:val=&quot;00E66E8A&quot;/&gt;&lt;wsp:rsid wsp:val=&quot;00E6750E&quot;/&gt;&lt;wsp:rsid wsp:val=&quot;00E6759D&quot;/&gt;&lt;wsp:rsid wsp:val=&quot;00E6772B&quot;/&gt;&lt;wsp:rsid wsp:val=&quot;00E678F9&quot;/&gt;&lt;wsp:rsid wsp:val=&quot;00E67B4B&quot;/&gt;&lt;wsp:rsid wsp:val=&quot;00E7000C&quot;/&gt;&lt;wsp:rsid wsp:val=&quot;00E706FA&quot;/&gt;&lt;wsp:rsid wsp:val=&quot;00E707F8&quot;/&gt;&lt;wsp:rsid wsp:val=&quot;00E713E0&quot;/&gt;&lt;wsp:rsid wsp:val=&quot;00E7152F&quot;/&gt;&lt;wsp:rsid wsp:val=&quot;00E71D13&quot;/&gt;&lt;wsp:rsid wsp:val=&quot;00E71EA7&quot;/&gt;&lt;wsp:rsid wsp:val=&quot;00E7208C&quot;/&gt;&lt;wsp:rsid wsp:val=&quot;00E721CE&quot;/&gt;&lt;wsp:rsid wsp:val=&quot;00E7293A&quot;/&gt;&lt;wsp:rsid wsp:val=&quot;00E72DDA&quot;/&gt;&lt;wsp:rsid wsp:val=&quot;00E72F61&quot;/&gt;&lt;wsp:rsid wsp:val=&quot;00E73885&quot;/&gt;&lt;wsp:rsid wsp:val=&quot;00E73CA7&quot;/&gt;&lt;wsp:rsid wsp:val=&quot;00E742D9&quot;/&gt;&lt;wsp:rsid wsp:val=&quot;00E74854&quot;/&gt;&lt;wsp:rsid wsp:val=&quot;00E748FD&quot;/&gt;&lt;wsp:rsid wsp:val=&quot;00E74DF5&quot;/&gt;&lt;wsp:rsid wsp:val=&quot;00E74ECB&quot;/&gt;&lt;wsp:rsid wsp:val=&quot;00E75347&quot;/&gt;&lt;wsp:rsid wsp:val=&quot;00E75766&quot;/&gt;&lt;wsp:rsid wsp:val=&quot;00E75AF9&quot;/&gt;&lt;wsp:rsid wsp:val=&quot;00E75B4C&quot;/&gt;&lt;wsp:rsid wsp:val=&quot;00E75BC5&quot;/&gt;&lt;wsp:rsid wsp:val=&quot;00E75C95&quot;/&gt;&lt;wsp:rsid wsp:val=&quot;00E76086&quot;/&gt;&lt;wsp:rsid wsp:val=&quot;00E763C9&quot;/&gt;&lt;wsp:rsid wsp:val=&quot;00E76AB5&quot;/&gt;&lt;wsp:rsid wsp:val=&quot;00E76BB2&quot;/&gt;&lt;wsp:rsid wsp:val=&quot;00E76E06&quot;/&gt;&lt;wsp:rsid wsp:val=&quot;00E775A5&quot;/&gt;&lt;wsp:rsid wsp:val=&quot;00E77BBA&quot;/&gt;&lt;wsp:rsid wsp:val=&quot;00E77D22&quot;/&gt;&lt;wsp:rsid wsp:val=&quot;00E77F4D&quot;/&gt;&lt;wsp:rsid wsp:val=&quot;00E8009A&quot;/&gt;&lt;wsp:rsid wsp:val=&quot;00E8096C&quot;/&gt;&lt;wsp:rsid wsp:val=&quot;00E814AB&quot;/&gt;&lt;wsp:rsid wsp:val=&quot;00E81E23&quot;/&gt;&lt;wsp:rsid wsp:val=&quot;00E81EE8&quot;/&gt;&lt;wsp:rsid wsp:val=&quot;00E821AE&quot;/&gt;&lt;wsp:rsid wsp:val=&quot;00E82D72&quot;/&gt;&lt;wsp:rsid wsp:val=&quot;00E832EF&quot;/&gt;&lt;wsp:rsid wsp:val=&quot;00E8379A&quot;/&gt;&lt;wsp:rsid wsp:val=&quot;00E83D45&quot;/&gt;&lt;wsp:rsid wsp:val=&quot;00E842A7&quot;/&gt;&lt;wsp:rsid wsp:val=&quot;00E84ACA&quot;/&gt;&lt;wsp:rsid wsp:val=&quot;00E84CA0&quot;/&gt;&lt;wsp:rsid wsp:val=&quot;00E84CA5&quot;/&gt;&lt;wsp:rsid wsp:val=&quot;00E851D6&quot;/&gt;&lt;wsp:rsid wsp:val=&quot;00E85474&quot;/&gt;&lt;wsp:rsid wsp:val=&quot;00E857D7&quot;/&gt;&lt;wsp:rsid wsp:val=&quot;00E85B41&quot;/&gt;&lt;wsp:rsid wsp:val=&quot;00E85F55&quot;/&gt;&lt;wsp:rsid wsp:val=&quot;00E85FC7&quot;/&gt;&lt;wsp:rsid wsp:val=&quot;00E86086&quot;/&gt;&lt;wsp:rsid wsp:val=&quot;00E86E29&quot;/&gt;&lt;wsp:rsid wsp:val=&quot;00E8751B&quot;/&gt;&lt;wsp:rsid wsp:val=&quot;00E87611&quot;/&gt;&lt;wsp:rsid wsp:val=&quot;00E87F79&quot;/&gt;&lt;wsp:rsid wsp:val=&quot;00E904CE&quot;/&gt;&lt;wsp:rsid wsp:val=&quot;00E90538&quot;/&gt;&lt;wsp:rsid wsp:val=&quot;00E90753&quot;/&gt;&lt;wsp:rsid wsp:val=&quot;00E91093&quot;/&gt;&lt;wsp:rsid wsp:val=&quot;00E910EC&quot;/&gt;&lt;wsp:rsid wsp:val=&quot;00E91341&quot;/&gt;&lt;wsp:rsid wsp:val=&quot;00E91899&quot;/&gt;&lt;wsp:rsid wsp:val=&quot;00E9205E&quot;/&gt;&lt;wsp:rsid wsp:val=&quot;00E921A2&quot;/&gt;&lt;wsp:rsid wsp:val=&quot;00E924FF&quot;/&gt;&lt;wsp:rsid wsp:val=&quot;00E932F1&quot;/&gt;&lt;wsp:rsid wsp:val=&quot;00E939CA&quot;/&gt;&lt;wsp:rsid wsp:val=&quot;00E93C91&quot;/&gt;&lt;wsp:rsid wsp:val=&quot;00E93F4B&quot;/&gt;&lt;wsp:rsid wsp:val=&quot;00E941EC&quot;/&gt;&lt;wsp:rsid wsp:val=&quot;00E94910&quot;/&gt;&lt;wsp:rsid wsp:val=&quot;00E94B53&quot;/&gt;&lt;wsp:rsid wsp:val=&quot;00E94DCE&quot;/&gt;&lt;wsp:rsid wsp:val=&quot;00E94DFA&quot;/&gt;&lt;wsp:rsid wsp:val=&quot;00E94E86&quot;/&gt;&lt;wsp:rsid wsp:val=&quot;00E9518C&quot;/&gt;&lt;wsp:rsid wsp:val=&quot;00E951C0&quot;/&gt;&lt;wsp:rsid wsp:val=&quot;00E952A0&quot;/&gt;&lt;wsp:rsid wsp:val=&quot;00E95571&quot;/&gt;&lt;wsp:rsid wsp:val=&quot;00E955EA&quot;/&gt;&lt;wsp:rsid wsp:val=&quot;00E960BD&quot;/&gt;&lt;wsp:rsid wsp:val=&quot;00E964D1&quot;/&gt;&lt;wsp:rsid wsp:val=&quot;00E96552&quot;/&gt;&lt;wsp:rsid wsp:val=&quot;00E96B7A&quot;/&gt;&lt;wsp:rsid wsp:val=&quot;00E96F4E&quot;/&gt;&lt;wsp:rsid wsp:val=&quot;00E97B42&quot;/&gt;&lt;wsp:rsid wsp:val=&quot;00E97EB7&quot;/&gt;&lt;wsp:rsid wsp:val=&quot;00EA008A&quot;/&gt;&lt;wsp:rsid wsp:val=&quot;00EA0622&quot;/&gt;&lt;wsp:rsid wsp:val=&quot;00EA0A20&quot;/&gt;&lt;wsp:rsid wsp:val=&quot;00EA0A62&quot;/&gt;&lt;wsp:rsid wsp:val=&quot;00EA0A7C&quot;/&gt;&lt;wsp:rsid wsp:val=&quot;00EA0C0E&quot;/&gt;&lt;wsp:rsid wsp:val=&quot;00EA0FB2&quot;/&gt;&lt;wsp:rsid wsp:val=&quot;00EA11C8&quot;/&gt;&lt;wsp:rsid wsp:val=&quot;00EA1508&quot;/&gt;&lt;wsp:rsid wsp:val=&quot;00EA16F8&quot;/&gt;&lt;wsp:rsid wsp:val=&quot;00EA1920&quot;/&gt;&lt;wsp:rsid wsp:val=&quot;00EA1B80&quot;/&gt;&lt;wsp:rsid wsp:val=&quot;00EA1CCE&quot;/&gt;&lt;wsp:rsid wsp:val=&quot;00EA1D6D&quot;/&gt;&lt;wsp:rsid wsp:val=&quot;00EA1DB9&quot;/&gt;&lt;wsp:rsid wsp:val=&quot;00EA2EED&quot;/&gt;&lt;wsp:rsid wsp:val=&quot;00EA3084&quot;/&gt;&lt;wsp:rsid wsp:val=&quot;00EA3C9C&quot;/&gt;&lt;wsp:rsid wsp:val=&quot;00EA3EAD&quot;/&gt;&lt;wsp:rsid wsp:val=&quot;00EA3ECD&quot;/&gt;&lt;wsp:rsid wsp:val=&quot;00EA46CB&quot;/&gt;&lt;wsp:rsid wsp:val=&quot;00EA4758&quot;/&gt;&lt;wsp:rsid wsp:val=&quot;00EA47F2&quot;/&gt;&lt;wsp:rsid wsp:val=&quot;00EA4A67&quot;/&gt;&lt;wsp:rsid wsp:val=&quot;00EA4D1B&quot;/&gt;&lt;wsp:rsid wsp:val=&quot;00EA4F72&quot;/&gt;&lt;wsp:rsid wsp:val=&quot;00EA53C1&quot;/&gt;&lt;wsp:rsid wsp:val=&quot;00EA57CD&quot;/&gt;&lt;wsp:rsid wsp:val=&quot;00EA5AB4&quot;/&gt;&lt;wsp:rsid wsp:val=&quot;00EA5B0F&quot;/&gt;&lt;wsp:rsid wsp:val=&quot;00EA6801&quot;/&gt;&lt;wsp:rsid wsp:val=&quot;00EA682A&quot;/&gt;&lt;wsp:rsid wsp:val=&quot;00EA72CD&quot;/&gt;&lt;wsp:rsid wsp:val=&quot;00EA740E&quot;/&gt;&lt;wsp:rsid wsp:val=&quot;00EA7C1D&quot;/&gt;&lt;wsp:rsid wsp:val=&quot;00EA7E2B&quot;/&gt;&lt;wsp:rsid wsp:val=&quot;00EB0220&quot;/&gt;&lt;wsp:rsid wsp:val=&quot;00EB03FF&quot;/&gt;&lt;wsp:rsid wsp:val=&quot;00EB048D&quot;/&gt;&lt;wsp:rsid wsp:val=&quot;00EB051C&quot;/&gt;&lt;wsp:rsid wsp:val=&quot;00EB13F2&quot;/&gt;&lt;wsp:rsid wsp:val=&quot;00EB1444&quot;/&gt;&lt;wsp:rsid wsp:val=&quot;00EB1A6B&quot;/&gt;&lt;wsp:rsid wsp:val=&quot;00EB2F23&quot;/&gt;&lt;wsp:rsid wsp:val=&quot;00EB3208&quot;/&gt;&lt;wsp:rsid wsp:val=&quot;00EB3D15&quot;/&gt;&lt;wsp:rsid wsp:val=&quot;00EB3D97&quot;/&gt;&lt;wsp:rsid wsp:val=&quot;00EB42BA&quot;/&gt;&lt;wsp:rsid wsp:val=&quot;00EB434F&quot;/&gt;&lt;wsp:rsid wsp:val=&quot;00EB43DE&quot;/&gt;&lt;wsp:rsid wsp:val=&quot;00EB46C9&quot;/&gt;&lt;wsp:rsid wsp:val=&quot;00EB55FB&quot;/&gt;&lt;wsp:rsid wsp:val=&quot;00EB5B27&quot;/&gt;&lt;wsp:rsid wsp:val=&quot;00EB5CD1&quot;/&gt;&lt;wsp:rsid wsp:val=&quot;00EB5EE6&quot;/&gt;&lt;wsp:rsid wsp:val=&quot;00EB6FD3&quot;/&gt;&lt;wsp:rsid wsp:val=&quot;00EB7AC5&quot;/&gt;&lt;wsp:rsid wsp:val=&quot;00EC03A0&quot;/&gt;&lt;wsp:rsid wsp:val=&quot;00EC042C&quot;/&gt;&lt;wsp:rsid wsp:val=&quot;00EC05FB&quot;/&gt;&lt;wsp:rsid wsp:val=&quot;00EC09D2&quot;/&gt;&lt;wsp:rsid wsp:val=&quot;00EC0BB0&quot;/&gt;&lt;wsp:rsid wsp:val=&quot;00EC0D7E&quot;/&gt;&lt;wsp:rsid wsp:val=&quot;00EC0F4A&quot;/&gt;&lt;wsp:rsid wsp:val=&quot;00EC166D&quot;/&gt;&lt;wsp:rsid wsp:val=&quot;00EC1C8B&quot;/&gt;&lt;wsp:rsid wsp:val=&quot;00EC2080&quot;/&gt;&lt;wsp:rsid wsp:val=&quot;00EC209C&quot;/&gt;&lt;wsp:rsid wsp:val=&quot;00EC20D6&quot;/&gt;&lt;wsp:rsid wsp:val=&quot;00EC226E&quot;/&gt;&lt;wsp:rsid wsp:val=&quot;00EC2273&quot;/&gt;&lt;wsp:rsid wsp:val=&quot;00EC24D4&quot;/&gt;&lt;wsp:rsid wsp:val=&quot;00EC254D&quot;/&gt;&lt;wsp:rsid wsp:val=&quot;00EC25D1&quot;/&gt;&lt;wsp:rsid wsp:val=&quot;00EC26F3&quot;/&gt;&lt;wsp:rsid wsp:val=&quot;00EC28C1&quot;/&gt;&lt;wsp:rsid wsp:val=&quot;00EC2B08&quot;/&gt;&lt;wsp:rsid wsp:val=&quot;00EC2B9B&quot;/&gt;&lt;wsp:rsid wsp:val=&quot;00EC2D59&quot;/&gt;&lt;wsp:rsid wsp:val=&quot;00EC2FC8&quot;/&gt;&lt;wsp:rsid wsp:val=&quot;00EC2FF7&quot;/&gt;&lt;wsp:rsid wsp:val=&quot;00EC35E1&quot;/&gt;&lt;wsp:rsid wsp:val=&quot;00EC3CA8&quot;/&gt;&lt;wsp:rsid wsp:val=&quot;00EC3CC4&quot;/&gt;&lt;wsp:rsid wsp:val=&quot;00EC3EC4&quot;/&gt;&lt;wsp:rsid wsp:val=&quot;00EC41DD&quot;/&gt;&lt;wsp:rsid wsp:val=&quot;00EC4332&quot;/&gt;&lt;wsp:rsid wsp:val=&quot;00EC43A5&quot;/&gt;&lt;wsp:rsid wsp:val=&quot;00EC43C6&quot;/&gt;&lt;wsp:rsid wsp:val=&quot;00EC453F&quot;/&gt;&lt;wsp:rsid wsp:val=&quot;00EC4945&quot;/&gt;&lt;wsp:rsid wsp:val=&quot;00EC4BB0&quot;/&gt;&lt;wsp:rsid wsp:val=&quot;00EC4C52&quot;/&gt;&lt;wsp:rsid wsp:val=&quot;00EC4D27&quot;/&gt;&lt;wsp:rsid wsp:val=&quot;00EC4F43&quot;/&gt;&lt;wsp:rsid wsp:val=&quot;00EC5044&quot;/&gt;&lt;wsp:rsid wsp:val=&quot;00EC5293&quot;/&gt;&lt;wsp:rsid wsp:val=&quot;00EC52D4&quot;/&gt;&lt;wsp:rsid wsp:val=&quot;00EC53D6&quot;/&gt;&lt;wsp:rsid wsp:val=&quot;00EC5570&quot;/&gt;&lt;wsp:rsid wsp:val=&quot;00EC5578&quot;/&gt;&lt;wsp:rsid wsp:val=&quot;00EC56B2&quot;/&gt;&lt;wsp:rsid wsp:val=&quot;00EC61BB&quot;/&gt;&lt;wsp:rsid wsp:val=&quot;00EC63AA&quot;/&gt;&lt;wsp:rsid wsp:val=&quot;00EC6858&quot;/&gt;&lt;wsp:rsid wsp:val=&quot;00EC7E56&quot;/&gt;&lt;wsp:rsid wsp:val=&quot;00ED047E&quot;/&gt;&lt;wsp:rsid wsp:val=&quot;00ED0561&quot;/&gt;&lt;wsp:rsid wsp:val=&quot;00ED0BA1&quot;/&gt;&lt;wsp:rsid wsp:val=&quot;00ED0BD8&quot;/&gt;&lt;wsp:rsid wsp:val=&quot;00ED1468&quot;/&gt;&lt;wsp:rsid wsp:val=&quot;00ED166F&quot;/&gt;&lt;wsp:rsid wsp:val=&quot;00ED17B3&quot;/&gt;&lt;wsp:rsid wsp:val=&quot;00ED1C2A&quot;/&gt;&lt;wsp:rsid wsp:val=&quot;00ED21DA&quot;/&gt;&lt;wsp:rsid wsp:val=&quot;00ED2269&quot;/&gt;&lt;wsp:rsid wsp:val=&quot;00ED2590&quot;/&gt;&lt;wsp:rsid wsp:val=&quot;00ED2734&quot;/&gt;&lt;wsp:rsid wsp:val=&quot;00ED2921&quot;/&gt;&lt;wsp:rsid wsp:val=&quot;00ED3167&quot;/&gt;&lt;wsp:rsid wsp:val=&quot;00ED35D4&quot;/&gt;&lt;wsp:rsid wsp:val=&quot;00ED3625&quot;/&gt;&lt;wsp:rsid wsp:val=&quot;00ED3641&quot;/&gt;&lt;wsp:rsid wsp:val=&quot;00ED3669&quot;/&gt;&lt;wsp:rsid wsp:val=&quot;00ED3815&quot;/&gt;&lt;wsp:rsid wsp:val=&quot;00ED3855&quot;/&gt;&lt;wsp:rsid wsp:val=&quot;00ED3DD5&quot;/&gt;&lt;wsp:rsid wsp:val=&quot;00ED4170&quot;/&gt;&lt;wsp:rsid wsp:val=&quot;00ED4A85&quot;/&gt;&lt;wsp:rsid wsp:val=&quot;00ED4C0F&quot;/&gt;&lt;wsp:rsid wsp:val=&quot;00ED4DF4&quot;/&gt;&lt;wsp:rsid wsp:val=&quot;00ED51D0&quot;/&gt;&lt;wsp:rsid wsp:val=&quot;00ED52CD&quot;/&gt;&lt;wsp:rsid wsp:val=&quot;00ED6325&quot;/&gt;&lt;wsp:rsid wsp:val=&quot;00ED6DD9&quot;/&gt;&lt;wsp:rsid wsp:val=&quot;00ED6DFA&quot;/&gt;&lt;wsp:rsid wsp:val=&quot;00ED7202&quot;/&gt;&lt;wsp:rsid wsp:val=&quot;00ED7278&quot;/&gt;&lt;wsp:rsid wsp:val=&quot;00ED77C7&quot;/&gt;&lt;wsp:rsid wsp:val=&quot;00ED79A5&quot;/&gt;&lt;wsp:rsid wsp:val=&quot;00ED79B9&quot;/&gt;&lt;wsp:rsid wsp:val=&quot;00ED7CE8&quot;/&gt;&lt;wsp:rsid wsp:val=&quot;00EE0012&quot;/&gt;&lt;wsp:rsid wsp:val=&quot;00EE0289&quot;/&gt;&lt;wsp:rsid wsp:val=&quot;00EE0771&quot;/&gt;&lt;wsp:rsid wsp:val=&quot;00EE0B99&quot;/&gt;&lt;wsp:rsid wsp:val=&quot;00EE1305&quot;/&gt;&lt;wsp:rsid wsp:val=&quot;00EE1534&quot;/&gt;&lt;wsp:rsid wsp:val=&quot;00EE170F&quot;/&gt;&lt;wsp:rsid wsp:val=&quot;00EE22B5&quot;/&gt;&lt;wsp:rsid wsp:val=&quot;00EE2F95&quot;/&gt;&lt;wsp:rsid wsp:val=&quot;00EE42B5&quot;/&gt;&lt;wsp:rsid wsp:val=&quot;00EE4B84&quot;/&gt;&lt;wsp:rsid wsp:val=&quot;00EE5377&quot;/&gt;&lt;wsp:rsid wsp:val=&quot;00EE54C8&quot;/&gt;&lt;wsp:rsid wsp:val=&quot;00EE560E&quot;/&gt;&lt;wsp:rsid wsp:val=&quot;00EE57F7&quot;/&gt;&lt;wsp:rsid wsp:val=&quot;00EE5ADB&quot;/&gt;&lt;wsp:rsid wsp:val=&quot;00EE5B70&quot;/&gt;&lt;wsp:rsid wsp:val=&quot;00EE5CA9&quot;/&gt;&lt;wsp:rsid wsp:val=&quot;00EE5D08&quot;/&gt;&lt;wsp:rsid wsp:val=&quot;00EE5E7A&quot;/&gt;&lt;wsp:rsid wsp:val=&quot;00EE6247&quot;/&gt;&lt;wsp:rsid wsp:val=&quot;00EE66E8&quot;/&gt;&lt;wsp:rsid wsp:val=&quot;00EE6794&quot;/&gt;&lt;wsp:rsid wsp:val=&quot;00EE6F09&quot;/&gt;&lt;wsp:rsid wsp:val=&quot;00EE703F&quot;/&gt;&lt;wsp:rsid wsp:val=&quot;00EE769A&quot;/&gt;&lt;wsp:rsid wsp:val=&quot;00EE7A07&quot;/&gt;&lt;wsp:rsid wsp:val=&quot;00EE7A8A&quot;/&gt;&lt;wsp:rsid wsp:val=&quot;00EE7B58&quot;/&gt;&lt;wsp:rsid wsp:val=&quot;00EE7C58&quot;/&gt;&lt;wsp:rsid wsp:val=&quot;00EE7D33&quot;/&gt;&lt;wsp:rsid wsp:val=&quot;00EF009B&quot;/&gt;&lt;wsp:rsid wsp:val=&quot;00EF05CB&quot;/&gt;&lt;wsp:rsid wsp:val=&quot;00EF0A27&quot;/&gt;&lt;wsp:rsid wsp:val=&quot;00EF0C5F&quot;/&gt;&lt;wsp:rsid wsp:val=&quot;00EF12B0&quot;/&gt;&lt;wsp:rsid wsp:val=&quot;00EF1519&quot;/&gt;&lt;wsp:rsid wsp:val=&quot;00EF1B12&quot;/&gt;&lt;wsp:rsid wsp:val=&quot;00EF22E0&quot;/&gt;&lt;wsp:rsid wsp:val=&quot;00EF2300&quot;/&gt;&lt;wsp:rsid wsp:val=&quot;00EF234D&quot;/&gt;&lt;wsp:rsid wsp:val=&quot;00EF2557&quot;/&gt;&lt;wsp:rsid wsp:val=&quot;00EF2C3F&quot;/&gt;&lt;wsp:rsid wsp:val=&quot;00EF30CB&quot;/&gt;&lt;wsp:rsid wsp:val=&quot;00EF3151&quot;/&gt;&lt;wsp:rsid wsp:val=&quot;00EF3173&quot;/&gt;&lt;wsp:rsid wsp:val=&quot;00EF331D&quot;/&gt;&lt;wsp:rsid wsp:val=&quot;00EF3355&quot;/&gt;&lt;wsp:rsid wsp:val=&quot;00EF3521&quot;/&gt;&lt;wsp:rsid wsp:val=&quot;00EF3AD9&quot;/&gt;&lt;wsp:rsid wsp:val=&quot;00EF3CC0&quot;/&gt;&lt;wsp:rsid wsp:val=&quot;00EF3D69&quot;/&gt;&lt;wsp:rsid wsp:val=&quot;00EF3E7F&quot;/&gt;&lt;wsp:rsid wsp:val=&quot;00EF3EE3&quot;/&gt;&lt;wsp:rsid wsp:val=&quot;00EF40AE&quot;/&gt;&lt;wsp:rsid wsp:val=&quot;00EF4228&quot;/&gt;&lt;wsp:rsid wsp:val=&quot;00EF4415&quot;/&gt;&lt;wsp:rsid wsp:val=&quot;00EF4AD3&quot;/&gt;&lt;wsp:rsid wsp:val=&quot;00EF4C3A&quot;/&gt;&lt;wsp:rsid wsp:val=&quot;00EF5180&quot;/&gt;&lt;wsp:rsid wsp:val=&quot;00EF5299&quot;/&gt;&lt;wsp:rsid wsp:val=&quot;00EF541D&quot;/&gt;&lt;wsp:rsid wsp:val=&quot;00EF5422&quot;/&gt;&lt;wsp:rsid wsp:val=&quot;00EF55FC&quot;/&gt;&lt;wsp:rsid wsp:val=&quot;00EF5804&quot;/&gt;&lt;wsp:rsid wsp:val=&quot;00EF59F0&quot;/&gt;&lt;wsp:rsid wsp:val=&quot;00EF5ECB&quot;/&gt;&lt;wsp:rsid wsp:val=&quot;00EF60E3&quot;/&gt;&lt;wsp:rsid wsp:val=&quot;00EF65E7&quot;/&gt;&lt;wsp:rsid wsp:val=&quot;00EF673E&quot;/&gt;&lt;wsp:rsid wsp:val=&quot;00EF678C&quot;/&gt;&lt;wsp:rsid wsp:val=&quot;00EF6B9A&quot;/&gt;&lt;wsp:rsid wsp:val=&quot;00EF70AF&quot;/&gt;&lt;wsp:rsid wsp:val=&quot;00EF7734&quot;/&gt;&lt;wsp:rsid wsp:val=&quot;00EF7A85&quot;/&gt;&lt;wsp:rsid wsp:val=&quot;00EF7DA7&quot;/&gt;&lt;wsp:rsid wsp:val=&quot;00EF7F6D&quot;/&gt;&lt;wsp:rsid wsp:val=&quot;00F0035F&quot;/&gt;&lt;wsp:rsid wsp:val=&quot;00F004A9&quot;/&gt;&lt;wsp:rsid wsp:val=&quot;00F0088E&quot;/&gt;&lt;wsp:rsid wsp:val=&quot;00F00996&quot;/&gt;&lt;wsp:rsid wsp:val=&quot;00F00F21&quot;/&gt;&lt;wsp:rsid wsp:val=&quot;00F0144B&quot;/&gt;&lt;wsp:rsid wsp:val=&quot;00F01C83&quot;/&gt;&lt;wsp:rsid wsp:val=&quot;00F01DFC&quot;/&gt;&lt;wsp:rsid wsp:val=&quot;00F01FD5&quot;/&gt;&lt;wsp:rsid wsp:val=&quot;00F02358&quot;/&gt;&lt;wsp:rsid wsp:val=&quot;00F02432&quot;/&gt;&lt;wsp:rsid wsp:val=&quot;00F02483&quot;/&gt;&lt;wsp:rsid wsp:val=&quot;00F025F2&quot;/&gt;&lt;wsp:rsid wsp:val=&quot;00F026D8&quot;/&gt;&lt;wsp:rsid wsp:val=&quot;00F02774&quot;/&gt;&lt;wsp:rsid wsp:val=&quot;00F027A9&quot;/&gt;&lt;wsp:rsid wsp:val=&quot;00F0286E&quot;/&gt;&lt;wsp:rsid wsp:val=&quot;00F02B1B&quot;/&gt;&lt;wsp:rsid wsp:val=&quot;00F02DD4&quot;/&gt;&lt;wsp:rsid wsp:val=&quot;00F02DEE&quot;/&gt;&lt;wsp:rsid wsp:val=&quot;00F0359C&quot;/&gt;&lt;wsp:rsid wsp:val=&quot;00F03916&quot;/&gt;&lt;wsp:rsid wsp:val=&quot;00F03B59&quot;/&gt;&lt;wsp:rsid wsp:val=&quot;00F045D3&quot;/&gt;&lt;wsp:rsid wsp:val=&quot;00F049A0&quot;/&gt;&lt;wsp:rsid wsp:val=&quot;00F04A75&quot;/&gt;&lt;wsp:rsid wsp:val=&quot;00F04BDD&quot;/&gt;&lt;wsp:rsid wsp:val=&quot;00F04E08&quot;/&gt;&lt;wsp:rsid wsp:val=&quot;00F054BD&quot;/&gt;&lt;wsp:rsid wsp:val=&quot;00F057FE&quot;/&gt;&lt;wsp:rsid wsp:val=&quot;00F05D3A&quot;/&gt;&lt;wsp:rsid wsp:val=&quot;00F05E2B&quot;/&gt;&lt;wsp:rsid wsp:val=&quot;00F06E64&quot;/&gt;&lt;wsp:rsid wsp:val=&quot;00F0727B&quot;/&gt;&lt;wsp:rsid wsp:val=&quot;00F074A9&quot;/&gt;&lt;wsp:rsid wsp:val=&quot;00F0755B&quot;/&gt;&lt;wsp:rsid wsp:val=&quot;00F07834&quot;/&gt;&lt;wsp:rsid wsp:val=&quot;00F07C3E&quot;/&gt;&lt;wsp:rsid wsp:val=&quot;00F07F57&quot;/&gt;&lt;wsp:rsid wsp:val=&quot;00F10726&quot;/&gt;&lt;wsp:rsid wsp:val=&quot;00F109A9&quot;/&gt;&lt;wsp:rsid wsp:val=&quot;00F11004&quot;/&gt;&lt;wsp:rsid wsp:val=&quot;00F1123F&quot;/&gt;&lt;wsp:rsid wsp:val=&quot;00F11260&quot;/&gt;&lt;wsp:rsid wsp:val=&quot;00F1126B&quot;/&gt;&lt;wsp:rsid wsp:val=&quot;00F11280&quot;/&gt;&lt;wsp:rsid wsp:val=&quot;00F11782&quot;/&gt;&lt;wsp:rsid wsp:val=&quot;00F11AA8&quot;/&gt;&lt;wsp:rsid wsp:val=&quot;00F11F8D&quot;/&gt;&lt;wsp:rsid wsp:val=&quot;00F12000&quot;/&gt;&lt;wsp:rsid wsp:val=&quot;00F1226F&quot;/&gt;&lt;wsp:rsid wsp:val=&quot;00F1245B&quot;/&gt;&lt;wsp:rsid wsp:val=&quot;00F12540&quot;/&gt;&lt;wsp:rsid wsp:val=&quot;00F1290E&quot;/&gt;&lt;wsp:rsid wsp:val=&quot;00F12BF6&quot;/&gt;&lt;wsp:rsid wsp:val=&quot;00F12F98&quot;/&gt;&lt;wsp:rsid wsp:val=&quot;00F13075&quot;/&gt;&lt;wsp:rsid wsp:val=&quot;00F132A2&quot;/&gt;&lt;wsp:rsid wsp:val=&quot;00F134AF&quot;/&gt;&lt;wsp:rsid wsp:val=&quot;00F13608&quot;/&gt;&lt;wsp:rsid wsp:val=&quot;00F13713&quot;/&gt;&lt;wsp:rsid wsp:val=&quot;00F13AB4&quot;/&gt;&lt;wsp:rsid wsp:val=&quot;00F13C47&quot;/&gt;&lt;wsp:rsid wsp:val=&quot;00F13DB9&quot;/&gt;&lt;wsp:rsid wsp:val=&quot;00F1491B&quot;/&gt;&lt;wsp:rsid wsp:val=&quot;00F14BE6&quot;/&gt;&lt;wsp:rsid wsp:val=&quot;00F153D9&quot;/&gt;&lt;wsp:rsid wsp:val=&quot;00F1544B&quot;/&gt;&lt;wsp:rsid wsp:val=&quot;00F15C05&quot;/&gt;&lt;wsp:rsid wsp:val=&quot;00F15C95&quot;/&gt;&lt;wsp:rsid wsp:val=&quot;00F15D94&quot;/&gt;&lt;wsp:rsid wsp:val=&quot;00F162B0&quot;/&gt;&lt;wsp:rsid wsp:val=&quot;00F16509&quot;/&gt;&lt;wsp:rsid wsp:val=&quot;00F165E8&quot;/&gt;&lt;wsp:rsid wsp:val=&quot;00F16982&quot;/&gt;&lt;wsp:rsid wsp:val=&quot;00F16BBE&quot;/&gt;&lt;wsp:rsid wsp:val=&quot;00F16BE5&quot;/&gt;&lt;wsp:rsid wsp:val=&quot;00F16E3B&quot;/&gt;&lt;wsp:rsid wsp:val=&quot;00F16EBC&quot;/&gt;&lt;wsp:rsid wsp:val=&quot;00F171E9&quot;/&gt;&lt;wsp:rsid wsp:val=&quot;00F17511&quot;/&gt;&lt;wsp:rsid wsp:val=&quot;00F17CED&quot;/&gt;&lt;wsp:rsid wsp:val=&quot;00F20399&quot;/&gt;&lt;wsp:rsid wsp:val=&quot;00F20586&quot;/&gt;&lt;wsp:rsid wsp:val=&quot;00F2069C&quot;/&gt;&lt;wsp:rsid wsp:val=&quot;00F20991&quot;/&gt;&lt;wsp:rsid wsp:val=&quot;00F209DC&quot;/&gt;&lt;wsp:rsid wsp:val=&quot;00F20B5D&quot;/&gt;&lt;wsp:rsid wsp:val=&quot;00F2119F&quot;/&gt;&lt;wsp:rsid wsp:val=&quot;00F214C8&quot;/&gt;&lt;wsp:rsid wsp:val=&quot;00F217BB&quot;/&gt;&lt;wsp:rsid wsp:val=&quot;00F21BB3&quot;/&gt;&lt;wsp:rsid wsp:val=&quot;00F220BD&quot;/&gt;&lt;wsp:rsid wsp:val=&quot;00F22245&quot;/&gt;&lt;wsp:rsid wsp:val=&quot;00F22432&quot;/&gt;&lt;wsp:rsid wsp:val=&quot;00F22D42&quot;/&gt;&lt;wsp:rsid wsp:val=&quot;00F22D63&quot;/&gt;&lt;wsp:rsid wsp:val=&quot;00F23926&quot;/&gt;&lt;wsp:rsid wsp:val=&quot;00F23988&quot;/&gt;&lt;wsp:rsid wsp:val=&quot;00F239DB&quot;/&gt;&lt;wsp:rsid wsp:val=&quot;00F248B6&quot;/&gt;&lt;wsp:rsid wsp:val=&quot;00F25BA1&quot;/&gt;&lt;wsp:rsid wsp:val=&quot;00F25F4F&quot;/&gt;&lt;wsp:rsid wsp:val=&quot;00F25F66&quot;/&gt;&lt;wsp:rsid wsp:val=&quot;00F26186&quot;/&gt;&lt;wsp:rsid wsp:val=&quot;00F26946&quot;/&gt;&lt;wsp:rsid wsp:val=&quot;00F2697D&quot;/&gt;&lt;wsp:rsid wsp:val=&quot;00F26E0B&quot;/&gt;&lt;wsp:rsid wsp:val=&quot;00F26FC9&quot;/&gt;&lt;wsp:rsid wsp:val=&quot;00F270EB&quot;/&gt;&lt;wsp:rsid wsp:val=&quot;00F276A7&quot;/&gt;&lt;wsp:rsid wsp:val=&quot;00F27FFC&quot;/&gt;&lt;wsp:rsid wsp:val=&quot;00F306BB&quot;/&gt;&lt;wsp:rsid wsp:val=&quot;00F30864&quot;/&gt;&lt;wsp:rsid wsp:val=&quot;00F30DB2&quot;/&gt;&lt;wsp:rsid wsp:val=&quot;00F30E0A&quot;/&gt;&lt;wsp:rsid wsp:val=&quot;00F30E1F&quot;/&gt;&lt;wsp:rsid wsp:val=&quot;00F30E53&quot;/&gt;&lt;wsp:rsid wsp:val=&quot;00F30ECA&quot;/&gt;&lt;wsp:rsid wsp:val=&quot;00F30F2F&quot;/&gt;&lt;wsp:rsid wsp:val=&quot;00F3114F&quot;/&gt;&lt;wsp:rsid wsp:val=&quot;00F31374&quot;/&gt;&lt;wsp:rsid wsp:val=&quot;00F31531&quot;/&gt;&lt;wsp:rsid wsp:val=&quot;00F315FD&quot;/&gt;&lt;wsp:rsid wsp:val=&quot;00F32CC9&quot;/&gt;&lt;wsp:rsid wsp:val=&quot;00F32D06&quot;/&gt;&lt;wsp:rsid wsp:val=&quot;00F32F61&quot;/&gt;&lt;wsp:rsid wsp:val=&quot;00F3306C&quot;/&gt;&lt;wsp:rsid wsp:val=&quot;00F330A7&quot;/&gt;&lt;wsp:rsid wsp:val=&quot;00F332C8&quot;/&gt;&lt;wsp:rsid wsp:val=&quot;00F334E2&quot;/&gt;&lt;wsp:rsid wsp:val=&quot;00F33D91&quot;/&gt;&lt;wsp:rsid wsp:val=&quot;00F3452C&quot;/&gt;&lt;wsp:rsid wsp:val=&quot;00F34EFB&quot;/&gt;&lt;wsp:rsid wsp:val=&quot;00F34F7B&quot;/&gt;&lt;wsp:rsid wsp:val=&quot;00F3510B&quot;/&gt;&lt;wsp:rsid wsp:val=&quot;00F35798&quot;/&gt;&lt;wsp:rsid wsp:val=&quot;00F36084&quot;/&gt;&lt;wsp:rsid wsp:val=&quot;00F36644&quot;/&gt;&lt;wsp:rsid wsp:val=&quot;00F3720A&quot;/&gt;&lt;wsp:rsid wsp:val=&quot;00F3737B&quot;/&gt;&lt;wsp:rsid wsp:val=&quot;00F3746E&quot;/&gt;&lt;wsp:rsid wsp:val=&quot;00F378D0&quot;/&gt;&lt;wsp:rsid wsp:val=&quot;00F4014F&quot;/&gt;&lt;wsp:rsid wsp:val=&quot;00F40169&quot;/&gt;&lt;wsp:rsid wsp:val=&quot;00F40E08&quot;/&gt;&lt;wsp:rsid wsp:val=&quot;00F40E6C&quot;/&gt;&lt;wsp:rsid wsp:val=&quot;00F41130&quot;/&gt;&lt;wsp:rsid wsp:val=&quot;00F41547&quot;/&gt;&lt;wsp:rsid wsp:val=&quot;00F41755&quot;/&gt;&lt;wsp:rsid wsp:val=&quot;00F41C49&quot;/&gt;&lt;wsp:rsid wsp:val=&quot;00F42189&quot;/&gt;&lt;wsp:rsid wsp:val=&quot;00F4257D&quot;/&gt;&lt;wsp:rsid wsp:val=&quot;00F425C6&quot;/&gt;&lt;wsp:rsid wsp:val=&quot;00F42938&quot;/&gt;&lt;wsp:rsid wsp:val=&quot;00F429A0&quot;/&gt;&lt;wsp:rsid wsp:val=&quot;00F42A33&quot;/&gt;&lt;wsp:rsid wsp:val=&quot;00F42D66&quot;/&gt;&lt;wsp:rsid wsp:val=&quot;00F4309F&quot;/&gt;&lt;wsp:rsid wsp:val=&quot;00F43281&quot;/&gt;&lt;wsp:rsid wsp:val=&quot;00F4349A&quot;/&gt;&lt;wsp:rsid wsp:val=&quot;00F435B7&quot;/&gt;&lt;wsp:rsid wsp:val=&quot;00F43749&quot;/&gt;&lt;wsp:rsid wsp:val=&quot;00F43B29&quot;/&gt;&lt;wsp:rsid wsp:val=&quot;00F44116&quot;/&gt;&lt;wsp:rsid wsp:val=&quot;00F4420F&quot;/&gt;&lt;wsp:rsid wsp:val=&quot;00F44464&quot;/&gt;&lt;wsp:rsid wsp:val=&quot;00F45A2D&quot;/&gt;&lt;wsp:rsid wsp:val=&quot;00F45B5C&quot;/&gt;&lt;wsp:rsid wsp:val=&quot;00F45E2F&quot;/&gt;&lt;wsp:rsid wsp:val=&quot;00F4666B&quot;/&gt;&lt;wsp:rsid wsp:val=&quot;00F468B3&quot;/&gt;&lt;wsp:rsid wsp:val=&quot;00F46947&quot;/&gt;&lt;wsp:rsid wsp:val=&quot;00F46BBC&quot;/&gt;&lt;wsp:rsid wsp:val=&quot;00F47164&quot;/&gt;&lt;wsp:rsid wsp:val=&quot;00F47605&quot;/&gt;&lt;wsp:rsid wsp:val=&quot;00F4791C&quot;/&gt;&lt;wsp:rsid wsp:val=&quot;00F50B49&quot;/&gt;&lt;wsp:rsid wsp:val=&quot;00F50BFE&quot;/&gt;&lt;wsp:rsid wsp:val=&quot;00F50CB7&quot;/&gt;&lt;wsp:rsid wsp:val=&quot;00F50D52&quot;/&gt;&lt;wsp:rsid wsp:val=&quot;00F50E3D&quot;/&gt;&lt;wsp:rsid wsp:val=&quot;00F510DF&quot;/&gt;&lt;wsp:rsid wsp:val=&quot;00F5130C&quot;/&gt;&lt;wsp:rsid wsp:val=&quot;00F515BE&quot;/&gt;&lt;wsp:rsid wsp:val=&quot;00F51774&quot;/&gt;&lt;wsp:rsid wsp:val=&quot;00F51AE6&quot;/&gt;&lt;wsp:rsid wsp:val=&quot;00F51CB1&quot;/&gt;&lt;wsp:rsid wsp:val=&quot;00F51E79&quot;/&gt;&lt;wsp:rsid wsp:val=&quot;00F51FFA&quot;/&gt;&lt;wsp:rsid wsp:val=&quot;00F52361&quot;/&gt;&lt;wsp:rsid wsp:val=&quot;00F524A7&quot;/&gt;&lt;wsp:rsid wsp:val=&quot;00F533D1&quot;/&gt;&lt;wsp:rsid wsp:val=&quot;00F534D4&quot;/&gt;&lt;wsp:rsid wsp:val=&quot;00F53523&quot;/&gt;&lt;wsp:rsid wsp:val=&quot;00F535F4&quot;/&gt;&lt;wsp:rsid wsp:val=&quot;00F53D3A&quot;/&gt;&lt;wsp:rsid wsp:val=&quot;00F53DD9&quot;/&gt;&lt;wsp:rsid wsp:val=&quot;00F54446&quot;/&gt;&lt;wsp:rsid wsp:val=&quot;00F5463A&quot;/&gt;&lt;wsp:rsid wsp:val=&quot;00F549C9&quot;/&gt;&lt;wsp:rsid wsp:val=&quot;00F54D7E&quot;/&gt;&lt;wsp:rsid wsp:val=&quot;00F54EF2&quot;/&gt;&lt;wsp:rsid wsp:val=&quot;00F553A0&quot;/&gt;&lt;wsp:rsid wsp:val=&quot;00F553F3&quot;/&gt;&lt;wsp:rsid wsp:val=&quot;00F55717&quot;/&gt;&lt;wsp:rsid wsp:val=&quot;00F557A0&quot;/&gt;&lt;wsp:rsid wsp:val=&quot;00F55827&quot;/&gt;&lt;wsp:rsid wsp:val=&quot;00F559F1&quot;/&gt;&lt;wsp:rsid wsp:val=&quot;00F55C4B&quot;/&gt;&lt;wsp:rsid wsp:val=&quot;00F56030&quot;/&gt;&lt;wsp:rsid wsp:val=&quot;00F56198&quot;/&gt;&lt;wsp:rsid wsp:val=&quot;00F56346&quot;/&gt;&lt;wsp:rsid wsp:val=&quot;00F56A8D&quot;/&gt;&lt;wsp:rsid wsp:val=&quot;00F56D1D&quot;/&gt;&lt;wsp:rsid wsp:val=&quot;00F56D8D&quot;/&gt;&lt;wsp:rsid wsp:val=&quot;00F56F57&quot;/&gt;&lt;wsp:rsid wsp:val=&quot;00F57A19&quot;/&gt;&lt;wsp:rsid wsp:val=&quot;00F57AD3&quot;/&gt;&lt;wsp:rsid wsp:val=&quot;00F57DBF&quot;/&gt;&lt;wsp:rsid wsp:val=&quot;00F60254&quot;/&gt;&lt;wsp:rsid wsp:val=&quot;00F60780&quot;/&gt;&lt;wsp:rsid wsp:val=&quot;00F610E2&quot;/&gt;&lt;wsp:rsid wsp:val=&quot;00F611C7&quot;/&gt;&lt;wsp:rsid wsp:val=&quot;00F61226&quot;/&gt;&lt;wsp:rsid wsp:val=&quot;00F614D7&quot;/&gt;&lt;wsp:rsid wsp:val=&quot;00F61649&quot;/&gt;&lt;wsp:rsid wsp:val=&quot;00F6170F&quot;/&gt;&lt;wsp:rsid wsp:val=&quot;00F61B5A&quot;/&gt;&lt;wsp:rsid wsp:val=&quot;00F61EF1&quot;/&gt;&lt;wsp:rsid wsp:val=&quot;00F6263C&quot;/&gt;&lt;wsp:rsid wsp:val=&quot;00F62D8E&quot;/&gt;&lt;wsp:rsid wsp:val=&quot;00F6324B&quot;/&gt;&lt;wsp:rsid wsp:val=&quot;00F632CF&quot;/&gt;&lt;wsp:rsid wsp:val=&quot;00F633DF&quot;/&gt;&lt;wsp:rsid wsp:val=&quot;00F635EB&quot;/&gt;&lt;wsp:rsid wsp:val=&quot;00F636D8&quot;/&gt;&lt;wsp:rsid wsp:val=&quot;00F63B09&quot;/&gt;&lt;wsp:rsid wsp:val=&quot;00F63CD5&quot;/&gt;&lt;wsp:rsid wsp:val=&quot;00F63D5A&quot;/&gt;&lt;wsp:rsid wsp:val=&quot;00F63D6F&quot;/&gt;&lt;wsp:rsid wsp:val=&quot;00F63EE9&quot;/&gt;&lt;wsp:rsid wsp:val=&quot;00F64154&quot;/&gt;&lt;wsp:rsid wsp:val=&quot;00F64265&quot;/&gt;&lt;wsp:rsid wsp:val=&quot;00F64337&quot;/&gt;&lt;wsp:rsid wsp:val=&quot;00F64483&quot;/&gt;&lt;wsp:rsid wsp:val=&quot;00F6553F&quot;/&gt;&lt;wsp:rsid wsp:val=&quot;00F6560A&quot;/&gt;&lt;wsp:rsid wsp:val=&quot;00F65768&quot;/&gt;&lt;wsp:rsid wsp:val=&quot;00F65908&quot;/&gt;&lt;wsp:rsid wsp:val=&quot;00F65A7E&quot;/&gt;&lt;wsp:rsid wsp:val=&quot;00F66318&quot;/&gt;&lt;wsp:rsid wsp:val=&quot;00F66610&quot;/&gt;&lt;wsp:rsid wsp:val=&quot;00F66707&quot;/&gt;&lt;wsp:rsid wsp:val=&quot;00F66708&quot;/&gt;&lt;wsp:rsid wsp:val=&quot;00F66F00&quot;/&gt;&lt;wsp:rsid wsp:val=&quot;00F66FAB&quot;/&gt;&lt;wsp:rsid wsp:val=&quot;00F67415&quot;/&gt;&lt;wsp:rsid wsp:val=&quot;00F6753F&quot;/&gt;&lt;wsp:rsid wsp:val=&quot;00F67AC2&quot;/&gt;&lt;wsp:rsid wsp:val=&quot;00F67CB4&quot;/&gt;&lt;wsp:rsid wsp:val=&quot;00F67CEB&quot;/&gt;&lt;wsp:rsid wsp:val=&quot;00F67D22&quot;/&gt;&lt;wsp:rsid wsp:val=&quot;00F67FFB&quot;/&gt;&lt;wsp:rsid wsp:val=&quot;00F70430&quot;/&gt;&lt;wsp:rsid wsp:val=&quot;00F706B8&quot;/&gt;&lt;wsp:rsid wsp:val=&quot;00F7081B&quot;/&gt;&lt;wsp:rsid wsp:val=&quot;00F70F04&quot;/&gt;&lt;wsp:rsid wsp:val=&quot;00F710CE&quot;/&gt;&lt;wsp:rsid wsp:val=&quot;00F71249&quot;/&gt;&lt;wsp:rsid wsp:val=&quot;00F715F9&quot;/&gt;&lt;wsp:rsid wsp:val=&quot;00F71C31&quot;/&gt;&lt;wsp:rsid wsp:val=&quot;00F71D0F&quot;/&gt;&lt;wsp:rsid wsp:val=&quot;00F7207F&quot;/&gt;&lt;wsp:rsid wsp:val=&quot;00F72142&quot;/&gt;&lt;wsp:rsid wsp:val=&quot;00F72156&quot;/&gt;&lt;wsp:rsid wsp:val=&quot;00F72FB8&quot;/&gt;&lt;wsp:rsid wsp:val=&quot;00F73302&quot;/&gt;&lt;wsp:rsid wsp:val=&quot;00F7366E&quot;/&gt;&lt;wsp:rsid wsp:val=&quot;00F738C0&quot;/&gt;&lt;wsp:rsid wsp:val=&quot;00F74BDB&quot;/&gt;&lt;wsp:rsid wsp:val=&quot;00F74DA1&quot;/&gt;&lt;wsp:rsid wsp:val=&quot;00F74FBC&quot;/&gt;&lt;wsp:rsid wsp:val=&quot;00F75343&quot;/&gt;&lt;wsp:rsid wsp:val=&quot;00F75733&quot;/&gt;&lt;wsp:rsid wsp:val=&quot;00F75983&quot;/&gt;&lt;wsp:rsid wsp:val=&quot;00F75995&quot;/&gt;&lt;wsp:rsid wsp:val=&quot;00F75B2C&quot;/&gt;&lt;wsp:rsid wsp:val=&quot;00F75E73&quot;/&gt;&lt;wsp:rsid wsp:val=&quot;00F75F1C&quot;/&gt;&lt;wsp:rsid wsp:val=&quot;00F76507&quot;/&gt;&lt;wsp:rsid wsp:val=&quot;00F76DE0&quot;/&gt;&lt;wsp:rsid wsp:val=&quot;00F772CB&quot;/&gt;&lt;wsp:rsid wsp:val=&quot;00F77526&quot;/&gt;&lt;wsp:rsid wsp:val=&quot;00F77867&quot;/&gt;&lt;wsp:rsid wsp:val=&quot;00F77A01&quot;/&gt;&lt;wsp:rsid wsp:val=&quot;00F77D4D&quot;/&gt;&lt;wsp:rsid wsp:val=&quot;00F80059&quot;/&gt;&lt;wsp:rsid wsp:val=&quot;00F800B6&quot;/&gt;&lt;wsp:rsid wsp:val=&quot;00F8013D&quot;/&gt;&lt;wsp:rsid wsp:val=&quot;00F8064C&quot;/&gt;&lt;wsp:rsid wsp:val=&quot;00F8097E&quot;/&gt;&lt;wsp:rsid wsp:val=&quot;00F80FD7&quot;/&gt;&lt;wsp:rsid wsp:val=&quot;00F815EB&quot;/&gt;&lt;wsp:rsid wsp:val=&quot;00F81FFE&quot;/&gt;&lt;wsp:rsid wsp:val=&quot;00F8227B&quot;/&gt;&lt;wsp:rsid wsp:val=&quot;00F82E2E&quot;/&gt;&lt;wsp:rsid wsp:val=&quot;00F830B3&quot;/&gt;&lt;wsp:rsid wsp:val=&quot;00F831CE&quot;/&gt;&lt;wsp:rsid wsp:val=&quot;00F83617&quot;/&gt;&lt;wsp:rsid wsp:val=&quot;00F83C98&quot;/&gt;&lt;wsp:rsid wsp:val=&quot;00F84063&quot;/&gt;&lt;wsp:rsid wsp:val=&quot;00F84147&quot;/&gt;&lt;wsp:rsid wsp:val=&quot;00F843A5&quot;/&gt;&lt;wsp:rsid wsp:val=&quot;00F84777&quot;/&gt;&lt;wsp:rsid wsp:val=&quot;00F84B77&quot;/&gt;&lt;wsp:rsid wsp:val=&quot;00F8559F&quot;/&gt;&lt;wsp:rsid wsp:val=&quot;00F85738&quot;/&gt;&lt;wsp:rsid wsp:val=&quot;00F859C5&quot;/&gt;&lt;wsp:rsid wsp:val=&quot;00F85D84&quot;/&gt;&lt;wsp:rsid wsp:val=&quot;00F85E7A&quot;/&gt;&lt;wsp:rsid wsp:val=&quot;00F8609A&quot;/&gt;&lt;wsp:rsid wsp:val=&quot;00F86338&quot;/&gt;&lt;wsp:rsid wsp:val=&quot;00F8693C&quot;/&gt;&lt;wsp:rsid wsp:val=&quot;00F86FFC&quot;/&gt;&lt;wsp:rsid wsp:val=&quot;00F871F6&quot;/&gt;&lt;wsp:rsid wsp:val=&quot;00F87739&quot;/&gt;&lt;wsp:rsid wsp:val=&quot;00F87838&quot;/&gt;&lt;wsp:rsid wsp:val=&quot;00F87867&quot;/&gt;&lt;wsp:rsid wsp:val=&quot;00F8786C&quot;/&gt;&lt;wsp:rsid wsp:val=&quot;00F900C4&quot;/&gt;&lt;wsp:rsid wsp:val=&quot;00F90109&quot;/&gt;&lt;wsp:rsid wsp:val=&quot;00F90192&quot;/&gt;&lt;wsp:rsid wsp:val=&quot;00F90A4C&quot;/&gt;&lt;wsp:rsid wsp:val=&quot;00F90A62&quot;/&gt;&lt;wsp:rsid wsp:val=&quot;00F90DE3&quot;/&gt;&lt;wsp:rsid wsp:val=&quot;00F91036&quot;/&gt;&lt;wsp:rsid wsp:val=&quot;00F915B0&quot;/&gt;&lt;wsp:rsid wsp:val=&quot;00F91F1B&quot;/&gt;&lt;wsp:rsid wsp:val=&quot;00F92253&quot;/&gt;&lt;wsp:rsid wsp:val=&quot;00F92447&quot;/&gt;&lt;wsp:rsid wsp:val=&quot;00F92CC4&quot;/&gt;&lt;wsp:rsid wsp:val=&quot;00F92DAA&quot;/&gt;&lt;wsp:rsid wsp:val=&quot;00F92EE6&quot;/&gt;&lt;wsp:rsid wsp:val=&quot;00F92FDD&quot;/&gt;&lt;wsp:rsid wsp:val=&quot;00F930C4&quot;/&gt;&lt;wsp:rsid wsp:val=&quot;00F932FB&quot;/&gt;&lt;wsp:rsid wsp:val=&quot;00F934B8&quot;/&gt;&lt;wsp:rsid wsp:val=&quot;00F9371D&quot;/&gt;&lt;wsp:rsid wsp:val=&quot;00F938A4&quot;/&gt;&lt;wsp:rsid wsp:val=&quot;00F93A2B&quot;/&gt;&lt;wsp:rsid wsp:val=&quot;00F93A8D&quot;/&gt;&lt;wsp:rsid wsp:val=&quot;00F93B83&quot;/&gt;&lt;wsp:rsid wsp:val=&quot;00F93D94&quot;/&gt;&lt;wsp:rsid wsp:val=&quot;00F93E13&quot;/&gt;&lt;wsp:rsid wsp:val=&quot;00F94910&quot;/&gt;&lt;wsp:rsid wsp:val=&quot;00F94927&quot;/&gt;&lt;wsp:rsid wsp:val=&quot;00F94B0C&quot;/&gt;&lt;wsp:rsid wsp:val=&quot;00F94C0B&quot;/&gt;&lt;wsp:rsid wsp:val=&quot;00F95AEB&quot;/&gt;&lt;wsp:rsid wsp:val=&quot;00F95EAF&quot;/&gt;&lt;wsp:rsid wsp:val=&quot;00F95EE3&quot;/&gt;&lt;wsp:rsid wsp:val=&quot;00F96327&quot;/&gt;&lt;wsp:rsid wsp:val=&quot;00F96387&quot;/&gt;&lt;wsp:rsid wsp:val=&quot;00F96ABC&quot;/&gt;&lt;wsp:rsid wsp:val=&quot;00F96C7A&quot;/&gt;&lt;wsp:rsid wsp:val=&quot;00F97541&quot;/&gt;&lt;wsp:rsid wsp:val=&quot;00F9773A&quot;/&gt;&lt;wsp:rsid wsp:val=&quot;00F97F36&quot;/&gt;&lt;wsp:rsid wsp:val=&quot;00FA00A0&quot;/&gt;&lt;wsp:rsid wsp:val=&quot;00FA01C0&quot;/&gt;&lt;wsp:rsid wsp:val=&quot;00FA033C&quot;/&gt;&lt;wsp:rsid wsp:val=&quot;00FA04BE&quot;/&gt;&lt;wsp:rsid wsp:val=&quot;00FA05F4&quot;/&gt;&lt;wsp:rsid wsp:val=&quot;00FA0C1B&quot;/&gt;&lt;wsp:rsid wsp:val=&quot;00FA1B8C&quot;/&gt;&lt;wsp:rsid wsp:val=&quot;00FA1BC3&quot;/&gt;&lt;wsp:rsid wsp:val=&quot;00FA1DE7&quot;/&gt;&lt;wsp:rsid wsp:val=&quot;00FA2244&quot;/&gt;&lt;wsp:rsid wsp:val=&quot;00FA2540&quot;/&gt;&lt;wsp:rsid wsp:val=&quot;00FA26BE&quot;/&gt;&lt;wsp:rsid wsp:val=&quot;00FA2818&quot;/&gt;&lt;wsp:rsid wsp:val=&quot;00FA2A08&quot;/&gt;&lt;wsp:rsid wsp:val=&quot;00FA2A8E&quot;/&gt;&lt;wsp:rsid wsp:val=&quot;00FA30F6&quot;/&gt;&lt;wsp:rsid wsp:val=&quot;00FA32BD&quot;/&gt;&lt;wsp:rsid wsp:val=&quot;00FA34AC&quot;/&gt;&lt;wsp:rsid wsp:val=&quot;00FA3BCD&quot;/&gt;&lt;wsp:rsid wsp:val=&quot;00FA3F2B&quot;/&gt;&lt;wsp:rsid wsp:val=&quot;00FA41C1&quot;/&gt;&lt;wsp:rsid wsp:val=&quot;00FA4765&quot;/&gt;&lt;wsp:rsid wsp:val=&quot;00FA49C8&quot;/&gt;&lt;wsp:rsid wsp:val=&quot;00FA4FBA&quot;/&gt;&lt;wsp:rsid wsp:val=&quot;00FA504F&quot;/&gt;&lt;wsp:rsid wsp:val=&quot;00FA5CE8&quot;/&gt;&lt;wsp:rsid wsp:val=&quot;00FA60DF&quot;/&gt;&lt;wsp:rsid wsp:val=&quot;00FA67C6&quot;/&gt;&lt;wsp:rsid wsp:val=&quot;00FA6C93&quot;/&gt;&lt;wsp:rsid wsp:val=&quot;00FA764F&quot;/&gt;&lt;wsp:rsid wsp:val=&quot;00FA7B49&quot;/&gt;&lt;wsp:rsid wsp:val=&quot;00FA7FD0&quot;/&gt;&lt;wsp:rsid wsp:val=&quot;00FB00AE&quot;/&gt;&lt;wsp:rsid wsp:val=&quot;00FB045A&quot;/&gt;&lt;wsp:rsid wsp:val=&quot;00FB05A8&quot;/&gt;&lt;wsp:rsid wsp:val=&quot;00FB06EE&quot;/&gt;&lt;wsp:rsid wsp:val=&quot;00FB0D00&quot;/&gt;&lt;wsp:rsid wsp:val=&quot;00FB0F95&quot;/&gt;&lt;wsp:rsid wsp:val=&quot;00FB12DD&quot;/&gt;&lt;wsp:rsid wsp:val=&quot;00FB1C96&quot;/&gt;&lt;wsp:rsid wsp:val=&quot;00FB2222&quot;/&gt;&lt;wsp:rsid wsp:val=&quot;00FB230F&quot;/&gt;&lt;wsp:rsid wsp:val=&quot;00FB26CE&quot;/&gt;&lt;wsp:rsid wsp:val=&quot;00FB2C27&quot;/&gt;&lt;wsp:rsid wsp:val=&quot;00FB3464&quot;/&gt;&lt;wsp:rsid wsp:val=&quot;00FB36A0&quot;/&gt;&lt;wsp:rsid wsp:val=&quot;00FB378F&quot;/&gt;&lt;wsp:rsid wsp:val=&quot;00FB3CA8&quot;/&gt;&lt;wsp:rsid wsp:val=&quot;00FB3D65&quot;/&gt;&lt;wsp:rsid wsp:val=&quot;00FB4896&quot;/&gt;&lt;wsp:rsid wsp:val=&quot;00FB49C9&quot;/&gt;&lt;wsp:rsid wsp:val=&quot;00FB5479&quot;/&gt;&lt;wsp:rsid wsp:val=&quot;00FB5BE0&quot;/&gt;&lt;wsp:rsid wsp:val=&quot;00FB66DF&quot;/&gt;&lt;wsp:rsid wsp:val=&quot;00FB67FB&quot;/&gt;&lt;wsp:rsid wsp:val=&quot;00FB68B4&quot;/&gt;&lt;wsp:rsid wsp:val=&quot;00FB6D37&quot;/&gt;&lt;wsp:rsid wsp:val=&quot;00FB6FE3&quot;/&gt;&lt;wsp:rsid wsp:val=&quot;00FB7158&quot;/&gt;&lt;wsp:rsid wsp:val=&quot;00FB726C&quot;/&gt;&lt;wsp:rsid wsp:val=&quot;00FB75F6&quot;/&gt;&lt;wsp:rsid wsp:val=&quot;00FC0929&quot;/&gt;&lt;wsp:rsid wsp:val=&quot;00FC0B69&quot;/&gt;&lt;wsp:rsid wsp:val=&quot;00FC0DD7&quot;/&gt;&lt;wsp:rsid wsp:val=&quot;00FC15A1&quot;/&gt;&lt;wsp:rsid wsp:val=&quot;00FC15B6&quot;/&gt;&lt;wsp:rsid wsp:val=&quot;00FC1E7C&quot;/&gt;&lt;wsp:rsid wsp:val=&quot;00FC211A&quot;/&gt;&lt;wsp:rsid wsp:val=&quot;00FC24EE&quot;/&gt;&lt;wsp:rsid wsp:val=&quot;00FC2522&quot;/&gt;&lt;wsp:rsid wsp:val=&quot;00FC2C55&quot;/&gt;&lt;wsp:rsid wsp:val=&quot;00FC312E&quot;/&gt;&lt;wsp:rsid wsp:val=&quot;00FC346A&quot;/&gt;&lt;wsp:rsid wsp:val=&quot;00FC3BE2&quot;/&gt;&lt;wsp:rsid wsp:val=&quot;00FC3F56&quot;/&gt;&lt;wsp:rsid wsp:val=&quot;00FC42D9&quot;/&gt;&lt;wsp:rsid wsp:val=&quot;00FC49F9&quot;/&gt;&lt;wsp:rsid wsp:val=&quot;00FC4F0F&quot;/&gt;&lt;wsp:rsid wsp:val=&quot;00FC4F67&quot;/&gt;&lt;wsp:rsid wsp:val=&quot;00FC509E&quot;/&gt;&lt;wsp:rsid wsp:val=&quot;00FC525E&quot;/&gt;&lt;wsp:rsid wsp:val=&quot;00FC55B4&quot;/&gt;&lt;wsp:rsid wsp:val=&quot;00FC5ADA&quot;/&gt;&lt;wsp:rsid wsp:val=&quot;00FC60AF&quot;/&gt;&lt;wsp:rsid wsp:val=&quot;00FC6224&quot;/&gt;&lt;wsp:rsid wsp:val=&quot;00FC6496&quot;/&gt;&lt;wsp:rsid wsp:val=&quot;00FC6906&quot;/&gt;&lt;wsp:rsid wsp:val=&quot;00FC69CA&quot;/&gt;&lt;wsp:rsid wsp:val=&quot;00FC6B75&quot;/&gt;&lt;wsp:rsid wsp:val=&quot;00FC7632&quot;/&gt;&lt;wsp:rsid wsp:val=&quot;00FC7807&quot;/&gt;&lt;wsp:rsid wsp:val=&quot;00FC7B72&quot;/&gt;&lt;wsp:rsid wsp:val=&quot;00FC7D2A&quot;/&gt;&lt;wsp:rsid wsp:val=&quot;00FC7F6A&quot;/&gt;&lt;wsp:rsid wsp:val=&quot;00FD01AC&quot;/&gt;&lt;wsp:rsid wsp:val=&quot;00FD01BA&quot;/&gt;&lt;wsp:rsid wsp:val=&quot;00FD06A4&quot;/&gt;&lt;wsp:rsid wsp:val=&quot;00FD0897&quot;/&gt;&lt;wsp:rsid wsp:val=&quot;00FD0912&quot;/&gt;&lt;wsp:rsid wsp:val=&quot;00FD10F6&quot;/&gt;&lt;wsp:rsid wsp:val=&quot;00FD12B2&quot;/&gt;&lt;wsp:rsid wsp:val=&quot;00FD12B3&quot;/&gt;&lt;wsp:rsid wsp:val=&quot;00FD1AE0&quot;/&gt;&lt;wsp:rsid wsp:val=&quot;00FD2D3C&quot;/&gt;&lt;wsp:rsid wsp:val=&quot;00FD375E&quot;/&gt;&lt;wsp:rsid wsp:val=&quot;00FD399B&quot;/&gt;&lt;wsp:rsid wsp:val=&quot;00FD3F7E&quot;/&gt;&lt;wsp:rsid wsp:val=&quot;00FD41C0&quot;/&gt;&lt;wsp:rsid wsp:val=&quot;00FD4CF6&quot;/&gt;&lt;wsp:rsid wsp:val=&quot;00FD5455&quot;/&gt;&lt;wsp:rsid wsp:val=&quot;00FD5531&quot;/&gt;&lt;wsp:rsid wsp:val=&quot;00FD584E&quot;/&gt;&lt;wsp:rsid wsp:val=&quot;00FD5AE7&quot;/&gt;&lt;wsp:rsid wsp:val=&quot;00FD5F9D&quot;/&gt;&lt;wsp:rsid wsp:val=&quot;00FD618D&quot;/&gt;&lt;wsp:rsid wsp:val=&quot;00FD66C9&quot;/&gt;&lt;wsp:rsid wsp:val=&quot;00FD6D27&quot;/&gt;&lt;wsp:rsid wsp:val=&quot;00FD6F86&quot;/&gt;&lt;wsp:rsid wsp:val=&quot;00FD75D7&quot;/&gt;&lt;wsp:rsid wsp:val=&quot;00FD762F&quot;/&gt;&lt;wsp:rsid wsp:val=&quot;00FD76A1&quot;/&gt;&lt;wsp:rsid wsp:val=&quot;00FD7D93&quot;/&gt;&lt;wsp:rsid wsp:val=&quot;00FD7DE1&quot;/&gt;&lt;wsp:rsid wsp:val=&quot;00FE029E&quot;/&gt;&lt;wsp:rsid wsp:val=&quot;00FE036B&quot;/&gt;&lt;wsp:rsid wsp:val=&quot;00FE0473&quot;/&gt;&lt;wsp:rsid wsp:val=&quot;00FE051B&quot;/&gt;&lt;wsp:rsid wsp:val=&quot;00FE05F2&quot;/&gt;&lt;wsp:rsid wsp:val=&quot;00FE0609&quot;/&gt;&lt;wsp:rsid wsp:val=&quot;00FE08A0&quot;/&gt;&lt;wsp:rsid wsp:val=&quot;00FE0BA6&quot;/&gt;&lt;wsp:rsid wsp:val=&quot;00FE0C80&quot;/&gt;&lt;wsp:rsid wsp:val=&quot;00FE0EEB&quot;/&gt;&lt;wsp:rsid wsp:val=&quot;00FE1247&quot;/&gt;&lt;wsp:rsid wsp:val=&quot;00FE13FE&quot;/&gt;&lt;wsp:rsid wsp:val=&quot;00FE1543&quot;/&gt;&lt;wsp:rsid wsp:val=&quot;00FE174B&quot;/&gt;&lt;wsp:rsid wsp:val=&quot;00FE1BF0&quot;/&gt;&lt;wsp:rsid wsp:val=&quot;00FE1C12&quot;/&gt;&lt;wsp:rsid wsp:val=&quot;00FE23D2&quot;/&gt;&lt;wsp:rsid wsp:val=&quot;00FE2C75&quot;/&gt;&lt;wsp:rsid wsp:val=&quot;00FE2EA9&quot;/&gt;&lt;wsp:rsid wsp:val=&quot;00FE2F88&quot;/&gt;&lt;wsp:rsid wsp:val=&quot;00FE3205&quot;/&gt;&lt;wsp:rsid wsp:val=&quot;00FE3508&quot;/&gt;&lt;wsp:rsid wsp:val=&quot;00FE4194&quot;/&gt;&lt;wsp:rsid wsp:val=&quot;00FE4C69&quot;/&gt;&lt;wsp:rsid wsp:val=&quot;00FE50F5&quot;/&gt;&lt;wsp:rsid wsp:val=&quot;00FE5A67&quot;/&gt;&lt;wsp:rsid wsp:val=&quot;00FE5B4E&quot;/&gt;&lt;wsp:rsid wsp:val=&quot;00FE5BB6&quot;/&gt;&lt;wsp:rsid wsp:val=&quot;00FE5FE2&quot;/&gt;&lt;wsp:rsid wsp:val=&quot;00FE68AF&quot;/&gt;&lt;wsp:rsid wsp:val=&quot;00FE69FF&quot;/&gt;&lt;wsp:rsid wsp:val=&quot;00FE6B81&quot;/&gt;&lt;wsp:rsid wsp:val=&quot;00FE6F08&quot;/&gt;&lt;wsp:rsid wsp:val=&quot;00FE73DA&quot;/&gt;&lt;wsp:rsid wsp:val=&quot;00FE7461&quot;/&gt;&lt;wsp:rsid wsp:val=&quot;00FE7AE3&quot;/&gt;&lt;wsp:rsid wsp:val=&quot;00FE7B60&quot;/&gt;&lt;wsp:rsid wsp:val=&quot;00FE7DA7&quot;/&gt;&lt;wsp:rsid wsp:val=&quot;00FF008D&quot;/&gt;&lt;wsp:rsid wsp:val=&quot;00FF035A&quot;/&gt;&lt;wsp:rsid wsp:val=&quot;00FF0673&quot;/&gt;&lt;wsp:rsid wsp:val=&quot;00FF0D10&quot;/&gt;&lt;wsp:rsid wsp:val=&quot;00FF0F50&quot;/&gt;&lt;wsp:rsid wsp:val=&quot;00FF1047&quot;/&gt;&lt;wsp:rsid wsp:val=&quot;00FF14A9&quot;/&gt;&lt;wsp:rsid wsp:val=&quot;00FF1544&quot;/&gt;&lt;wsp:rsid wsp:val=&quot;00FF17EF&quot;/&gt;&lt;wsp:rsid wsp:val=&quot;00FF1913&quot;/&gt;&lt;wsp:rsid wsp:val=&quot;00FF1B3F&quot;/&gt;&lt;wsp:rsid wsp:val=&quot;00FF2053&quot;/&gt;&lt;wsp:rsid wsp:val=&quot;00FF21AF&quot;/&gt;&lt;wsp:rsid wsp:val=&quot;00FF23D4&quot;/&gt;&lt;wsp:rsid wsp:val=&quot;00FF2490&quot;/&gt;&lt;wsp:rsid wsp:val=&quot;00FF24C2&quot;/&gt;&lt;wsp:rsid wsp:val=&quot;00FF2651&quot;/&gt;&lt;wsp:rsid wsp:val=&quot;00FF2697&quot;/&gt;&lt;wsp:rsid wsp:val=&quot;00FF26E2&quot;/&gt;&lt;wsp:rsid wsp:val=&quot;00FF2FA3&quot;/&gt;&lt;wsp:rsid wsp:val=&quot;00FF3527&quot;/&gt;&lt;wsp:rsid wsp:val=&quot;00FF3F2D&quot;/&gt;&lt;wsp:rsid wsp:val=&quot;00FF3FDC&quot;/&gt;&lt;wsp:rsid wsp:val=&quot;00FF418C&quot;/&gt;&lt;wsp:rsid wsp:val=&quot;00FF458A&quot;/&gt;&lt;wsp:rsid wsp:val=&quot;00FF4B3E&quot;/&gt;&lt;wsp:rsid wsp:val=&quot;00FF4BC9&quot;/&gt;&lt;wsp:rsid wsp:val=&quot;00FF4BCD&quot;/&gt;&lt;wsp:rsid wsp:val=&quot;00FF4CE9&quot;/&gt;&lt;wsp:rsid wsp:val=&quot;00FF4F95&quot;/&gt;&lt;wsp:rsid wsp:val=&quot;00FF5096&quot;/&gt;&lt;wsp:rsid wsp:val=&quot;00FF529E&quot;/&gt;&lt;wsp:rsid wsp:val=&quot;00FF549F&quot;/&gt;&lt;wsp:rsid wsp:val=&quot;00FF54B7&quot;/&gt;&lt;wsp:rsid wsp:val=&quot;00FF5666&quot;/&gt;&lt;wsp:rsid wsp:val=&quot;00FF56A5&quot;/&gt;&lt;wsp:rsid wsp:val=&quot;00FF5BF6&quot;/&gt;&lt;wsp:rsid wsp:val=&quot;00FF5C6D&quot;/&gt;&lt;wsp:rsid wsp:val=&quot;00FF5C6E&quot;/&gt;&lt;wsp:rsid wsp:val=&quot;00FF633F&quot;/&gt;&lt;wsp:rsid wsp:val=&quot;00FF66CC&quot;/&gt;&lt;wsp:rsid wsp:val=&quot;00FF67D3&quot;/&gt;&lt;wsp:rsid wsp:val=&quot;00FF6B0E&quot;/&gt;&lt;wsp:rsid wsp:val=&quot;00FF6B43&quot;/&gt;&lt;wsp:rsid wsp:val=&quot;00FF6F3F&quot;/&gt;&lt;wsp:rsid wsp:val=&quot;00FF7328&quot;/&gt;&lt;wsp:rsid wsp:val=&quot;00FF7600&quot;/&gt;&lt;wsp:rsid wsp:val=&quot;00FF77A7&quot;/&gt;&lt;wsp:rsid wsp:val=&quot;00FF7B0F&quot;/&gt;&lt;wsp:rsid wsp:val=&quot;00FF7D42&quot;/&gt;&lt;wsp:rsid wsp:val=&quot;00FF7F25&quot;/&gt;&lt;/wsp:rsids&gt;&lt;/w:docPr&gt;&lt;w:body&gt;&lt;w:p wsp:rsidR=&quot;00000000&quot; wsp:rsidRDefault=&quot;00F87739&quot;&gt;&lt;m:oMathPara&gt;&lt;m:oMath&gt;&lt;m:r&gt;&lt;w:rPr&gt;&lt;w:rFonts w:ascii=&quot;Cambria Math&quot; w:fareast=&quot;Times New Roman&quot; w:h-ansi=&quot;Cambria Math&quot;/&gt;&lt;wx:font wx:val=&quot;Cambria Math&quot;/&gt;&lt;w:i/&gt;&lt;w:sz w:val=&quot;28&quot;/&gt;&lt;w:sz-cs w:val=&quot;24&quot;/&gt;&lt;w:lang w:fareast=&quot;RU&quot;/&gt;&lt;/w:rPr&gt;&lt;m:t&gt;H=43666Г—&lt;/m:t&gt;&lt;/m:r&gt;&lt;m:sSup&gt;&lt;m:sSupPr&gt;&lt;m:ctrlPr&gt;&lt;w:rPr&gt;&lt;w:rFonts w:ascii=&quot;Cambria Math&quot; w:fareast=&quot;Times New Roman&quot; w:h-ansi=&quot;Cambria Math&quot;/&gt;&lt;wx:font wx:val=&quot;Cambria Math&quot;/&gt;&lt;w:i/&gt;&lt;w:sz w:val=&quot;28&quot;/&gt;&lt;w:sz-cs w:val=&quot;24&quot;/&gt;&lt;w:lang w:fareast=&quot;RU&quot;/&gt;&lt;/w:rPr&gt;&lt;/m:ctrlPr&gt;&lt;/m:sSupPr&gt;&lt;m:e&gt;&lt;m:r&gt;&lt;w:rPr&gt;&lt;w:rFonts w:ascii=&quot;Cambria Math&quot; w:fareast=&quot;Times New Roman&quot; w:h-ansi=&quot;Cambria Math&quot;/&gt;&lt;wx:font wx:val=&quot;Cambria Math&quot;/&gt;&lt;w:i/&gt;&lt;w:sz w:val=&quot;28&quot;/&gt;&lt;w:sz-cs w:val=&quot;24&quot;/&gt;&lt;w:lang w:fareast=&quot;RU&quot;/&gt;&lt;/w:rPr&gt;&lt;m:t&gt;(1+&lt;/m:t&gt;&lt;/m:r&gt;&lt;m:f&gt;&lt;m:fPr&gt;&lt;m:ctrlPr&gt;&lt;w:rPr&gt;&lt;w:rFonts w:ascii=&quot;Cambria Math&quot; w:fareast=&quot;Times New Roman&quot; w:h-ansi=&quot;Cambria Math&quot;/&gt;&lt;wx:font wx:val=&quot;Cambria Math&quot;/&gt;&lt;w:i/&gt;&lt;w:sz w:val=&quot;28&quot;/&gt;&lt;w:sz-cs w:val=&quot;24&quot;/&gt;&lt;w:lang w:fareast=&quot;RU&quot;/&gt;&lt;/w:rPr&gt;&lt;/m:ctrlPr&gt;&lt;/m:fPr&gt;&lt;m:num&gt;&lt;m:r&gt;&lt;w:rPr&gt;&lt;w:rFonts w:ascii=&quot;Cambria Math&quot; w:fareast=&quot;Times New Roman&quot; w:h-ansi=&quot;Cambria Math&quot;/&gt;&lt;wx:font wx:val=&quot;Cambria Math&quot;/&gt;&lt;w:i/&gt;&lt;w:sz w:val=&quot;28&quot;/&gt;&lt;w:sz-cs w:val=&quot;24&quot;/&gt;&lt;w:lang w:fareast=&quot;RU&quot;/&gt;&lt;/w:rPr&gt;&lt;m:t&gt;-0,52%-0,07%&lt;/m:t&gt;&lt;/m:r&gt;&lt;/m:num&gt;&lt;m:den&gt;&lt;m:r&gt;&lt;w:rPr&gt;&lt;w:rFonts w:ascii=&quot;Cambria Math&quot; w:fareast=&quot;Times New Roman&quot; w:h-ansi=&quot;Cambria Math&quot;/&gt;&lt;wx:font wx:val=&quot;Cambria Math&quot;/&gt;&lt;w:i/&gt;&lt;w:sz w:val=&quot;28&quot;/&gt;&lt;w:sz-cs w:val=&quot;24&quot;/&gt;&lt;w:lang w:fareast=&quot;RU&quot;/&gt;&lt;/w:rPr&gt;&lt;m:t&gt;100&lt;/m:t&gt;&lt;/m:r&gt;&lt;/m:den&gt;&lt;/m:f&gt;&lt;m:r&gt;&lt;w:rPr&gt;&lt;w:rFonts w:ascii=&quot;Cambria Math&quot; w:fareast=&quot;Times New Roman&quot; w:h-ansi=&quot;Cambria Math&quot;/&gt;&lt;wx:font wx:val=&quot;Cambria Math&quot;/&gt;&lt;w:i/&gt;&lt;w:sz w:val=&quot;28&quot;/&gt;&lt;w:sz-cs w:val=&quot;24&quot;/&gt;&lt;w:lang w:fareast=&quot;RU&quot;/&gt;&lt;/w:rPr&gt;&lt;m:t&gt;)&lt;/m:t&gt;&lt;/m:r&gt;&lt;/m:e&gt;&lt;m:sup&gt;&lt;m:r&gt;&lt;w:rPr&gt;&lt;w:rFonts w:ascii=&quot;Cambria Math&quot; w:fareast=&quot;Times New Roman&quot; w:h-ansi=&quot;Cambria Math&quot;/&gt;&lt;wx:font wx:val=&quot;Cambria Math&quot;/&gt;&lt;w:i/&gt;&lt;w:sz w:val=&quot;28&quot;/&gt;&lt;w:sz-cs w:val=&quot;24&quot;/&gt;&lt;w:lang w:fareast=&quot;RU&quot;/&gt;&lt;/w:rPr&gt;&lt;m:t&gt;10&lt;/m:t&gt;&lt;/m:r&gt;&lt;/m:sup&gt;&lt;/m:sSup&gt;&lt;m:r&gt;&lt;w:rPr&gt;&lt;w:rFonts w:ascii=&quot;Cambria Math&quot; w:fareast=&quot;Times New Roman&quot; w:h-ansi=&quot;Cambria Math&quot;/&gt;&lt;wx:font wx:val=&quot;Cambria Math&quot;/&gt;&lt;w:i/&gt;&lt;w:sz w:val=&quot;28&quot;/&gt;&lt;w:sz-cs w:val=&quot;24&quot;/&gt;&lt;w:lang w:fareast=&quot;RU&quot;/&gt;&lt;/w:rPr&gt;&lt;m:t&gt;=41135&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5" o:title="" chromakey="white"/>
          </v:shape>
        </w:pict>
      </w:r>
    </w:p>
    <w:p w:rsidR="002D1E45" w:rsidRPr="00B95F0E" w:rsidRDefault="002D1E45" w:rsidP="00B95F0E">
      <w:pPr>
        <w:spacing w:after="0" w:line="240" w:lineRule="auto"/>
        <w:ind w:firstLine="709"/>
        <w:jc w:val="both"/>
        <w:rPr>
          <w:rFonts w:ascii="Times New Roman" w:hAnsi="Times New Roman"/>
          <w:sz w:val="28"/>
          <w:szCs w:val="24"/>
          <w:lang w:eastAsia="ru-RU"/>
        </w:rPr>
      </w:pPr>
    </w:p>
    <w:p w:rsidR="002D1E45" w:rsidRPr="00B95F0E" w:rsidRDefault="002D1E45" w:rsidP="00B95F0E">
      <w:pPr>
        <w:spacing w:after="0" w:line="240" w:lineRule="auto"/>
        <w:ind w:firstLine="709"/>
        <w:jc w:val="both"/>
        <w:rPr>
          <w:rFonts w:ascii="Times New Roman" w:hAnsi="Times New Roman"/>
          <w:sz w:val="28"/>
          <w:szCs w:val="24"/>
          <w:lang w:eastAsia="ru-RU"/>
        </w:rPr>
      </w:pPr>
      <w:r w:rsidRPr="00B95F0E">
        <w:rPr>
          <w:rFonts w:ascii="Times New Roman" w:hAnsi="Times New Roman"/>
          <w:sz w:val="28"/>
          <w:szCs w:val="24"/>
          <w:lang w:eastAsia="ru-RU"/>
        </w:rPr>
        <w:t>Для расчётного срока (20</w:t>
      </w:r>
      <w:r>
        <w:rPr>
          <w:rFonts w:ascii="Times New Roman" w:hAnsi="Times New Roman"/>
          <w:sz w:val="28"/>
          <w:szCs w:val="24"/>
          <w:lang w:eastAsia="ru-RU"/>
        </w:rPr>
        <w:t>40</w:t>
      </w:r>
      <w:r w:rsidRPr="00B95F0E">
        <w:rPr>
          <w:rFonts w:ascii="Times New Roman" w:hAnsi="Times New Roman"/>
          <w:sz w:val="28"/>
          <w:szCs w:val="24"/>
          <w:lang w:eastAsia="ru-RU"/>
        </w:rPr>
        <w:t xml:space="preserve"> год):</w:t>
      </w:r>
    </w:p>
    <w:p w:rsidR="002D1E45" w:rsidRPr="00B95F0E" w:rsidRDefault="002D1E45" w:rsidP="00B95F0E">
      <w:pPr>
        <w:spacing w:after="0" w:line="240" w:lineRule="auto"/>
        <w:ind w:firstLine="709"/>
        <w:jc w:val="both"/>
        <w:rPr>
          <w:rFonts w:ascii="Times New Roman" w:hAnsi="Times New Roman"/>
          <w:sz w:val="28"/>
          <w:szCs w:val="24"/>
          <w:lang w:eastAsia="ru-RU"/>
        </w:rPr>
      </w:pPr>
    </w:p>
    <w:p w:rsidR="002D1E45" w:rsidRPr="00B95F0E" w:rsidRDefault="002D1E45" w:rsidP="00B95F0E">
      <w:pPr>
        <w:spacing w:after="0" w:line="240" w:lineRule="auto"/>
        <w:ind w:firstLine="709"/>
        <w:jc w:val="both"/>
        <w:rPr>
          <w:rFonts w:ascii="Times New Roman" w:hAnsi="Times New Roman"/>
          <w:sz w:val="28"/>
          <w:szCs w:val="24"/>
          <w:lang w:eastAsia="ru-RU"/>
        </w:rPr>
      </w:pPr>
      <w:r>
        <w:pict>
          <v:shape id="_x0000_i1051" type="#_x0000_t75" style="width:298.5pt;height:36.75pt" equationxml="&lt;?xml version=&quot;1.0&quot; encoding=&quot;UTF-8&quot; standalone=&quot;yes&quot;?&gt;&#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stylePaneFormatFilter w:val=&quot;3F01&quot;/&gt;&lt;w:defaultTabStop w:val=&quot;709&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55249&quot;/&gt;&lt;wsp:rsid wsp:val=&quot;00000069&quot;/&gt;&lt;wsp:rsid wsp:val=&quot;0000011C&quot;/&gt;&lt;wsp:rsid wsp:val=&quot;00000437&quot;/&gt;&lt;wsp:rsid wsp:val=&quot;00001379&quot;/&gt;&lt;wsp:rsid wsp:val=&quot;0000148E&quot;/&gt;&lt;wsp:rsid wsp:val=&quot;00001718&quot;/&gt;&lt;wsp:rsid wsp:val=&quot;000017EA&quot;/&gt;&lt;wsp:rsid wsp:val=&quot;00001828&quot;/&gt;&lt;wsp:rsid wsp:val=&quot;00001D98&quot;/&gt;&lt;wsp:rsid wsp:val=&quot;0000229E&quot;/&gt;&lt;wsp:rsid wsp:val=&quot;000027D5&quot;/&gt;&lt;wsp:rsid wsp:val=&quot;00002824&quot;/&gt;&lt;wsp:rsid wsp:val=&quot;00002C12&quot;/&gt;&lt;wsp:rsid wsp:val=&quot;00002C43&quot;/&gt;&lt;wsp:rsid wsp:val=&quot;00002D9C&quot;/&gt;&lt;wsp:rsid wsp:val=&quot;00002F36&quot;/&gt;&lt;wsp:rsid wsp:val=&quot;0000302F&quot;/&gt;&lt;wsp:rsid wsp:val=&quot;00003030&quot;/&gt;&lt;wsp:rsid wsp:val=&quot;00003EFF&quot;/&gt;&lt;wsp:rsid wsp:val=&quot;0000414C&quot;/&gt;&lt;wsp:rsid wsp:val=&quot;0000443D&quot;/&gt;&lt;wsp:rsid wsp:val=&quot;000046CC&quot;/&gt;&lt;wsp:rsid wsp:val=&quot;00004716&quot;/&gt;&lt;wsp:rsid wsp:val=&quot;0000486D&quot;/&gt;&lt;wsp:rsid wsp:val=&quot;000049C0&quot;/&gt;&lt;wsp:rsid wsp:val=&quot;00004D19&quot;/&gt;&lt;wsp:rsid wsp:val=&quot;00004FAE&quot;/&gt;&lt;wsp:rsid wsp:val=&quot;00004FFC&quot;/&gt;&lt;wsp:rsid wsp:val=&quot;00005636&quot;/&gt;&lt;wsp:rsid wsp:val=&quot;000056E1&quot;/&gt;&lt;wsp:rsid wsp:val=&quot;00005DAF&quot;/&gt;&lt;wsp:rsid wsp:val=&quot;00005F1A&quot;/&gt;&lt;wsp:rsid wsp:val=&quot;00005FEB&quot;/&gt;&lt;wsp:rsid wsp:val=&quot;00006392&quot;/&gt;&lt;wsp:rsid wsp:val=&quot;000063D0&quot;/&gt;&lt;wsp:rsid wsp:val=&quot;00006AE8&quot;/&gt;&lt;wsp:rsid wsp:val=&quot;00006D6F&quot;/&gt;&lt;wsp:rsid wsp:val=&quot;00007175&quot;/&gt;&lt;wsp:rsid wsp:val=&quot;00007274&quot;/&gt;&lt;wsp:rsid wsp:val=&quot;00007B99&quot;/&gt;&lt;wsp:rsid wsp:val=&quot;000101C0&quot;/&gt;&lt;wsp:rsid wsp:val=&quot;00010212&quot;/&gt;&lt;wsp:rsid wsp:val=&quot;00010264&quot;/&gt;&lt;wsp:rsid wsp:val=&quot;000102BD&quot;/&gt;&lt;wsp:rsid wsp:val=&quot;000102EA&quot;/&gt;&lt;wsp:rsid wsp:val=&quot;00010466&quot;/&gt;&lt;wsp:rsid wsp:val=&quot;00010AB4&quot;/&gt;&lt;wsp:rsid wsp:val=&quot;00010B0B&quot;/&gt;&lt;wsp:rsid wsp:val=&quot;00010C3B&quot;/&gt;&lt;wsp:rsid wsp:val=&quot;00010F91&quot;/&gt;&lt;wsp:rsid wsp:val=&quot;000112EE&quot;/&gt;&lt;wsp:rsid wsp:val=&quot;0001146D&quot;/&gt;&lt;wsp:rsid wsp:val=&quot;00011665&quot;/&gt;&lt;wsp:rsid wsp:val=&quot;00011B64&quot;/&gt;&lt;wsp:rsid wsp:val=&quot;00011CA8&quot;/&gt;&lt;wsp:rsid wsp:val=&quot;00011DE4&quot;/&gt;&lt;wsp:rsid wsp:val=&quot;000124AE&quot;/&gt;&lt;wsp:rsid wsp:val=&quot;000127BC&quot;/&gt;&lt;wsp:rsid wsp:val=&quot;00012A66&quot;/&gt;&lt;wsp:rsid wsp:val=&quot;00012DA8&quot;/&gt;&lt;wsp:rsid wsp:val=&quot;00013A20&quot;/&gt;&lt;wsp:rsid wsp:val=&quot;00013A8A&quot;/&gt;&lt;wsp:rsid wsp:val=&quot;00013CAF&quot;/&gt;&lt;wsp:rsid wsp:val=&quot;00013FBF&quot;/&gt;&lt;wsp:rsid wsp:val=&quot;00014152&quot;/&gt;&lt;wsp:rsid wsp:val=&quot;00014177&quot;/&gt;&lt;wsp:rsid wsp:val=&quot;0001436E&quot;/&gt;&lt;wsp:rsid wsp:val=&quot;00014640&quot;/&gt;&lt;wsp:rsid wsp:val=&quot;000146AB&quot;/&gt;&lt;wsp:rsid wsp:val=&quot;0001483D&quot;/&gt;&lt;wsp:rsid wsp:val=&quot;00014851&quot;/&gt;&lt;wsp:rsid wsp:val=&quot;00014B97&quot;/&gt;&lt;wsp:rsid wsp:val=&quot;00014CA6&quot;/&gt;&lt;wsp:rsid wsp:val=&quot;00015089&quot;/&gt;&lt;wsp:rsid wsp:val=&quot;00015200&quot;/&gt;&lt;wsp:rsid wsp:val=&quot;00015247&quot;/&gt;&lt;wsp:rsid wsp:val=&quot;00015471&quot;/&gt;&lt;wsp:rsid wsp:val=&quot;00015475&quot;/&gt;&lt;wsp:rsid wsp:val=&quot;000156EB&quot;/&gt;&lt;wsp:rsid wsp:val=&quot;00015CFD&quot;/&gt;&lt;wsp:rsid wsp:val=&quot;00015E89&quot;/&gt;&lt;wsp:rsid wsp:val=&quot;000162CA&quot;/&gt;&lt;wsp:rsid wsp:val=&quot;000168D8&quot;/&gt;&lt;wsp:rsid wsp:val=&quot;00016BF0&quot;/&gt;&lt;wsp:rsid wsp:val=&quot;00016DD4&quot;/&gt;&lt;wsp:rsid wsp:val=&quot;00016F5A&quot;/&gt;&lt;wsp:rsid wsp:val=&quot;000171AD&quot;/&gt;&lt;wsp:rsid wsp:val=&quot;0001725E&quot;/&gt;&lt;wsp:rsid wsp:val=&quot;000173C4&quot;/&gt;&lt;wsp:rsid wsp:val=&quot;0001783F&quot;/&gt;&lt;wsp:rsid wsp:val=&quot;00017B5A&quot;/&gt;&lt;wsp:rsid wsp:val=&quot;00017FC8&quot;/&gt;&lt;wsp:rsid wsp:val=&quot;000200B7&quot;/&gt;&lt;wsp:rsid wsp:val=&quot;00020690&quot;/&gt;&lt;wsp:rsid wsp:val=&quot;000207BC&quot;/&gt;&lt;wsp:rsid wsp:val=&quot;00020B70&quot;/&gt;&lt;wsp:rsid wsp:val=&quot;00020CF2&quot;/&gt;&lt;wsp:rsid wsp:val=&quot;00020D15&quot;/&gt;&lt;wsp:rsid wsp:val=&quot;0002146E&quot;/&gt;&lt;wsp:rsid wsp:val=&quot;000216FC&quot;/&gt;&lt;wsp:rsid wsp:val=&quot;00021808&quot;/&gt;&lt;wsp:rsid wsp:val=&quot;00021864&quot;/&gt;&lt;wsp:rsid wsp:val=&quot;000219DD&quot;/&gt;&lt;wsp:rsid wsp:val=&quot;00021A57&quot;/&gt;&lt;wsp:rsid wsp:val=&quot;00021C1B&quot;/&gt;&lt;wsp:rsid wsp:val=&quot;00021C6A&quot;/&gt;&lt;wsp:rsid wsp:val=&quot;0002261A&quot;/&gt;&lt;wsp:rsid wsp:val=&quot;00022689&quot;/&gt;&lt;wsp:rsid wsp:val=&quot;0002275A&quot;/&gt;&lt;wsp:rsid wsp:val=&quot;00022976&quot;/&gt;&lt;wsp:rsid wsp:val=&quot;00022B13&quot;/&gt;&lt;wsp:rsid wsp:val=&quot;00022C89&quot;/&gt;&lt;wsp:rsid wsp:val=&quot;00022ED3&quot;/&gt;&lt;wsp:rsid wsp:val=&quot;0002310D&quot;/&gt;&lt;wsp:rsid wsp:val=&quot;0002325C&quot;/&gt;&lt;wsp:rsid wsp:val=&quot;000233B5&quot;/&gt;&lt;wsp:rsid wsp:val=&quot;000235C8&quot;/&gt;&lt;wsp:rsid wsp:val=&quot;000237E7&quot;/&gt;&lt;wsp:rsid wsp:val=&quot;000238DD&quot;/&gt;&lt;wsp:rsid wsp:val=&quot;00023B4A&quot;/&gt;&lt;wsp:rsid wsp:val=&quot;00023CDA&quot;/&gt;&lt;wsp:rsid wsp:val=&quot;0002413B&quot;/&gt;&lt;wsp:rsid wsp:val=&quot;000244A8&quot;/&gt;&lt;wsp:rsid wsp:val=&quot;0002487C&quot;/&gt;&lt;wsp:rsid wsp:val=&quot;00024D37&quot;/&gt;&lt;wsp:rsid wsp:val=&quot;00024F28&quot;/&gt;&lt;wsp:rsid wsp:val=&quot;000252B6&quot;/&gt;&lt;wsp:rsid wsp:val=&quot;000254CC&quot;/&gt;&lt;wsp:rsid wsp:val=&quot;00025586&quot;/&gt;&lt;wsp:rsid wsp:val=&quot;000260FE&quot;/&gt;&lt;wsp:rsid wsp:val=&quot;00026294&quot;/&gt;&lt;wsp:rsid wsp:val=&quot;00026338&quot;/&gt;&lt;wsp:rsid wsp:val=&quot;000266C8&quot;/&gt;&lt;wsp:rsid wsp:val=&quot;00026ABE&quot;/&gt;&lt;wsp:rsid wsp:val=&quot;00026FF4&quot;/&gt;&lt;wsp:rsid wsp:val=&quot;0002729C&quot;/&gt;&lt;wsp:rsid wsp:val=&quot;000279E6&quot;/&gt;&lt;wsp:rsid wsp:val=&quot;00027B3A&quot;/&gt;&lt;wsp:rsid wsp:val=&quot;00027C41&quot;/&gt;&lt;wsp:rsid wsp:val=&quot;00027F89&quot;/&gt;&lt;wsp:rsid wsp:val=&quot;0003050D&quot;/&gt;&lt;wsp:rsid wsp:val=&quot;00030523&quot;/&gt;&lt;wsp:rsid wsp:val=&quot;00031209&quot;/&gt;&lt;wsp:rsid wsp:val=&quot;00031883&quot;/&gt;&lt;wsp:rsid wsp:val=&quot;00032460&quot;/&gt;&lt;wsp:rsid wsp:val=&quot;0003252F&quot;/&gt;&lt;wsp:rsid wsp:val=&quot;000325E4&quot;/&gt;&lt;wsp:rsid wsp:val=&quot;000329BA&quot;/&gt;&lt;wsp:rsid wsp:val=&quot;00032F20&quot;/&gt;&lt;wsp:rsid wsp:val=&quot;000330C7&quot;/&gt;&lt;wsp:rsid wsp:val=&quot;00033121&quot;/&gt;&lt;wsp:rsid wsp:val=&quot;000332E2&quot;/&gt;&lt;wsp:rsid wsp:val=&quot;00033895&quot;/&gt;&lt;wsp:rsid wsp:val=&quot;00033D2D&quot;/&gt;&lt;wsp:rsid wsp:val=&quot;0003401B&quot;/&gt;&lt;wsp:rsid wsp:val=&quot;000341CE&quot;/&gt;&lt;wsp:rsid wsp:val=&quot;00034258&quot;/&gt;&lt;wsp:rsid wsp:val=&quot;00034677&quot;/&gt;&lt;wsp:rsid wsp:val=&quot;000355D5&quot;/&gt;&lt;wsp:rsid wsp:val=&quot;0003587E&quot;/&gt;&lt;wsp:rsid wsp:val=&quot;000358E5&quot;/&gt;&lt;wsp:rsid wsp:val=&quot;00035FC8&quot;/&gt;&lt;wsp:rsid wsp:val=&quot;00036085&quot;/&gt;&lt;wsp:rsid wsp:val=&quot;0003610F&quot;/&gt;&lt;wsp:rsid wsp:val=&quot;00036574&quot;/&gt;&lt;wsp:rsid wsp:val=&quot;00036A0C&quot;/&gt;&lt;wsp:rsid wsp:val=&quot;0003741C&quot;/&gt;&lt;wsp:rsid wsp:val=&quot;000375A9&quot;/&gt;&lt;wsp:rsid wsp:val=&quot;000375E4&quot;/&gt;&lt;wsp:rsid wsp:val=&quot;00037990&quot;/&gt;&lt;wsp:rsid wsp:val=&quot;000379E2&quot;/&gt;&lt;wsp:rsid wsp:val=&quot;00037A8B&quot;/&gt;&lt;wsp:rsid wsp:val=&quot;00037B44&quot;/&gt;&lt;wsp:rsid wsp:val=&quot;00037D86&quot;/&gt;&lt;wsp:rsid wsp:val=&quot;000401B5&quot;/&gt;&lt;wsp:rsid wsp:val=&quot;00040704&quot;/&gt;&lt;wsp:rsid wsp:val=&quot;00040747&quot;/&gt;&lt;wsp:rsid wsp:val=&quot;00040937&quot;/&gt;&lt;wsp:rsid wsp:val=&quot;00040B84&quot;/&gt;&lt;wsp:rsid wsp:val=&quot;00040C12&quot;/&gt;&lt;wsp:rsid wsp:val=&quot;00040DA1&quot;/&gt;&lt;wsp:rsid wsp:val=&quot;00040F18&quot;/&gt;&lt;wsp:rsid wsp:val=&quot;0004110F&quot;/&gt;&lt;wsp:rsid wsp:val=&quot;000412EB&quot;/&gt;&lt;wsp:rsid wsp:val=&quot;0004138D&quot;/&gt;&lt;wsp:rsid wsp:val=&quot;000413F1&quot;/&gt;&lt;wsp:rsid wsp:val=&quot;000414C0&quot;/&gt;&lt;wsp:rsid wsp:val=&quot;00041E8F&quot;/&gt;&lt;wsp:rsid wsp:val=&quot;00041F06&quot;/&gt;&lt;wsp:rsid wsp:val=&quot;0004255B&quot;/&gt;&lt;wsp:rsid wsp:val=&quot;00042594&quot;/&gt;&lt;wsp:rsid wsp:val=&quot;0004273E&quot;/&gt;&lt;wsp:rsid wsp:val=&quot;00042764&quot;/&gt;&lt;wsp:rsid wsp:val=&quot;00042F4A&quot;/&gt;&lt;wsp:rsid wsp:val=&quot;000430F4&quot;/&gt;&lt;wsp:rsid wsp:val=&quot;00043921&quot;/&gt;&lt;wsp:rsid wsp:val=&quot;00043935&quot;/&gt;&lt;wsp:rsid wsp:val=&quot;00043EB2&quot;/&gt;&lt;wsp:rsid wsp:val=&quot;0004419F&quot;/&gt;&lt;wsp:rsid wsp:val=&quot;00044391&quot;/&gt;&lt;wsp:rsid wsp:val=&quot;0004446E&quot;/&gt;&lt;wsp:rsid wsp:val=&quot;000444B3&quot;/&gt;&lt;wsp:rsid wsp:val=&quot;00044538&quot;/&gt;&lt;wsp:rsid wsp:val=&quot;0004488A&quot;/&gt;&lt;wsp:rsid wsp:val=&quot;000449CE&quot;/&gt;&lt;wsp:rsid wsp:val=&quot;00044A16&quot;/&gt;&lt;wsp:rsid wsp:val=&quot;00044B5C&quot;/&gt;&lt;wsp:rsid wsp:val=&quot;00044D18&quot;/&gt;&lt;wsp:rsid wsp:val=&quot;00044E73&quot;/&gt;&lt;wsp:rsid wsp:val=&quot;00044F28&quot;/&gt;&lt;wsp:rsid wsp:val=&quot;00044FEF&quot;/&gt;&lt;wsp:rsid wsp:val=&quot;00045598&quot;/&gt;&lt;wsp:rsid wsp:val=&quot;00045B35&quot;/&gt;&lt;wsp:rsid wsp:val=&quot;00045E51&quot;/&gt;&lt;wsp:rsid wsp:val=&quot;00046110&quot;/&gt;&lt;wsp:rsid wsp:val=&quot;00046429&quot;/&gt;&lt;wsp:rsid wsp:val=&quot;0004668C&quot;/&gt;&lt;wsp:rsid wsp:val=&quot;000475D4&quot;/&gt;&lt;wsp:rsid wsp:val=&quot;00047C17&quot;/&gt;&lt;wsp:rsid wsp:val=&quot;00047C27&quot;/&gt;&lt;wsp:rsid wsp:val=&quot;00047C59&quot;/&gt;&lt;wsp:rsid wsp:val=&quot;00047F34&quot;/&gt;&lt;wsp:rsid wsp:val=&quot;000504F0&quot;/&gt;&lt;wsp:rsid wsp:val=&quot;00050664&quot;/&gt;&lt;wsp:rsid wsp:val=&quot;00050880&quot;/&gt;&lt;wsp:rsid wsp:val=&quot;00050993&quot;/&gt;&lt;wsp:rsid wsp:val=&quot;00050FD6&quot;/&gt;&lt;wsp:rsid wsp:val=&quot;00051206&quot;/&gt;&lt;wsp:rsid wsp:val=&quot;000515A2&quot;/&gt;&lt;wsp:rsid wsp:val=&quot;00051F54&quot;/&gt;&lt;wsp:rsid wsp:val=&quot;000520A1&quot;/&gt;&lt;wsp:rsid wsp:val=&quot;000525EB&quot;/&gt;&lt;wsp:rsid wsp:val=&quot;0005266E&quot;/&gt;&lt;wsp:rsid wsp:val=&quot;000527E0&quot;/&gt;&lt;wsp:rsid wsp:val=&quot;00052923&quot;/&gt;&lt;wsp:rsid wsp:val=&quot;00052D26&quot;/&gt;&lt;wsp:rsid wsp:val=&quot;00052E31&quot;/&gt;&lt;wsp:rsid wsp:val=&quot;000535A5&quot;/&gt;&lt;wsp:rsid wsp:val=&quot;000536A3&quot;/&gt;&lt;wsp:rsid wsp:val=&quot;00053D10&quot;/&gt;&lt;wsp:rsid wsp:val=&quot;00053F2B&quot;/&gt;&lt;wsp:rsid wsp:val=&quot;00053F37&quot;/&gt;&lt;wsp:rsid wsp:val=&quot;000546C9&quot;/&gt;&lt;wsp:rsid wsp:val=&quot;000547F3&quot;/&gt;&lt;wsp:rsid wsp:val=&quot;000548C7&quot;/&gt;&lt;wsp:rsid wsp:val=&quot;00054E12&quot;/&gt;&lt;wsp:rsid wsp:val=&quot;00054E32&quot;/&gt;&lt;wsp:rsid wsp:val=&quot;000551DD&quot;/&gt;&lt;wsp:rsid wsp:val=&quot;0005551E&quot;/&gt;&lt;wsp:rsid wsp:val=&quot;00055725&quot;/&gt;&lt;wsp:rsid wsp:val=&quot;0005582F&quot;/&gt;&lt;wsp:rsid wsp:val=&quot;000558B6&quot;/&gt;&lt;wsp:rsid wsp:val=&quot;00055A9A&quot;/&gt;&lt;wsp:rsid wsp:val=&quot;00055D45&quot;/&gt;&lt;wsp:rsid wsp:val=&quot;00055E28&quot;/&gt;&lt;wsp:rsid wsp:val=&quot;000563E2&quot;/&gt;&lt;wsp:rsid wsp:val=&quot;0005646A&quot;/&gt;&lt;wsp:rsid wsp:val=&quot;00056820&quot;/&gt;&lt;wsp:rsid wsp:val=&quot;00056C8F&quot;/&gt;&lt;wsp:rsid wsp:val=&quot;000570B4&quot;/&gt;&lt;wsp:rsid wsp:val=&quot;00057287&quot;/&gt;&lt;wsp:rsid wsp:val=&quot;00057450&quot;/&gt;&lt;wsp:rsid wsp:val=&quot;00057FD1&quot;/&gt;&lt;wsp:rsid wsp:val=&quot;000605C6&quot;/&gt;&lt;wsp:rsid wsp:val=&quot;0006094F&quot;/&gt;&lt;wsp:rsid wsp:val=&quot;00060D9A&quot;/&gt;&lt;wsp:rsid wsp:val=&quot;0006114D&quot;/&gt;&lt;wsp:rsid wsp:val=&quot;00061342&quot;/&gt;&lt;wsp:rsid wsp:val=&quot;000616FB&quot;/&gt;&lt;wsp:rsid wsp:val=&quot;00061D4B&quot;/&gt;&lt;wsp:rsid wsp:val=&quot;0006251F&quot;/&gt;&lt;wsp:rsid wsp:val=&quot;00062BCA&quot;/&gt;&lt;wsp:rsid wsp:val=&quot;00063845&quot;/&gt;&lt;wsp:rsid wsp:val=&quot;00063E7D&quot;/&gt;&lt;wsp:rsid wsp:val=&quot;00063F8C&quot;/&gt;&lt;wsp:rsid wsp:val=&quot;00064336&quot;/&gt;&lt;wsp:rsid wsp:val=&quot;000643A2&quot;/&gt;&lt;wsp:rsid wsp:val=&quot;00064B66&quot;/&gt;&lt;wsp:rsid wsp:val=&quot;00064F9D&quot;/&gt;&lt;wsp:rsid wsp:val=&quot;0006561A&quot;/&gt;&lt;wsp:rsid wsp:val=&quot;000659B9&quot;/&gt;&lt;wsp:rsid wsp:val=&quot;00065B48&quot;/&gt;&lt;wsp:rsid wsp:val=&quot;00065F03&quot;/&gt;&lt;wsp:rsid wsp:val=&quot;00066175&quot;/&gt;&lt;wsp:rsid wsp:val=&quot;000661F0&quot;/&gt;&lt;wsp:rsid wsp:val=&quot;00066384&quot;/&gt;&lt;wsp:rsid wsp:val=&quot;00066556&quot;/&gt;&lt;wsp:rsid wsp:val=&quot;00066C9F&quot;/&gt;&lt;wsp:rsid wsp:val=&quot;00066D83&quot;/&gt;&lt;wsp:rsid wsp:val=&quot;00067045&quot;/&gt;&lt;wsp:rsid wsp:val=&quot;00067A40&quot;/&gt;&lt;wsp:rsid wsp:val=&quot;00067AA3&quot;/&gt;&lt;wsp:rsid wsp:val=&quot;00067AB9&quot;/&gt;&lt;wsp:rsid wsp:val=&quot;00070000&quot;/&gt;&lt;wsp:rsid wsp:val=&quot;00070067&quot;/&gt;&lt;wsp:rsid wsp:val=&quot;0007015F&quot;/&gt;&lt;wsp:rsid wsp:val=&quot;000702C2&quot;/&gt;&lt;wsp:rsid wsp:val=&quot;000702C6&quot;/&gt;&lt;wsp:rsid wsp:val=&quot;00070A24&quot;/&gt;&lt;wsp:rsid wsp:val=&quot;00071628&quot;/&gt;&lt;wsp:rsid wsp:val=&quot;0007185F&quot;/&gt;&lt;wsp:rsid wsp:val=&quot;00072553&quot;/&gt;&lt;wsp:rsid wsp:val=&quot;00072E07&quot;/&gt;&lt;wsp:rsid wsp:val=&quot;00073729&quot;/&gt;&lt;wsp:rsid wsp:val=&quot;000739F2&quot;/&gt;&lt;wsp:rsid wsp:val=&quot;00073E02&quot;/&gt;&lt;wsp:rsid wsp:val=&quot;00074052&quot;/&gt;&lt;wsp:rsid wsp:val=&quot;00074807&quot;/&gt;&lt;wsp:rsid wsp:val=&quot;00075396&quot;/&gt;&lt;wsp:rsid wsp:val=&quot;00075542&quot;/&gt;&lt;wsp:rsid wsp:val=&quot;00075821&quot;/&gt;&lt;wsp:rsid wsp:val=&quot;00075BDC&quot;/&gt;&lt;wsp:rsid wsp:val=&quot;00075C12&quot;/&gt;&lt;wsp:rsid wsp:val=&quot;00076244&quot;/&gt;&lt;wsp:rsid wsp:val=&quot;0007658B&quot;/&gt;&lt;wsp:rsid wsp:val=&quot;000765A5&quot;/&gt;&lt;wsp:rsid wsp:val=&quot;000766B1&quot;/&gt;&lt;wsp:rsid wsp:val=&quot;00076AEC&quot;/&gt;&lt;wsp:rsid wsp:val=&quot;00076B85&quot;/&gt;&lt;wsp:rsid wsp:val=&quot;00077223&quot;/&gt;&lt;wsp:rsid wsp:val=&quot;000775BC&quot;/&gt;&lt;wsp:rsid wsp:val=&quot;00077735&quot;/&gt;&lt;wsp:rsid wsp:val=&quot;00077964&quot;/&gt;&lt;wsp:rsid wsp:val=&quot;00077AC7&quot;/&gt;&lt;wsp:rsid wsp:val=&quot;00080093&quot;/&gt;&lt;wsp:rsid wsp:val=&quot;00080B60&quot;/&gt;&lt;wsp:rsid wsp:val=&quot;00080D86&quot;/&gt;&lt;wsp:rsid wsp:val=&quot;0008123C&quot;/&gt;&lt;wsp:rsid wsp:val=&quot;000815B0&quot;/&gt;&lt;wsp:rsid wsp:val=&quot;000822F8&quot;/&gt;&lt;wsp:rsid wsp:val=&quot;0008289C&quot;/&gt;&lt;wsp:rsid wsp:val=&quot;00082ACC&quot;/&gt;&lt;wsp:rsid wsp:val=&quot;00082EC5&quot;/&gt;&lt;wsp:rsid wsp:val=&quot;00083307&quot;/&gt;&lt;wsp:rsid wsp:val=&quot;0008338D&quot;/&gt;&lt;wsp:rsid wsp:val=&quot;00083405&quot;/&gt;&lt;wsp:rsid wsp:val=&quot;00083653&quot;/&gt;&lt;wsp:rsid wsp:val=&quot;00083ADB&quot;/&gt;&lt;wsp:rsid wsp:val=&quot;00083BC4&quot;/&gt;&lt;wsp:rsid wsp:val=&quot;00083C79&quot;/&gt;&lt;wsp:rsid wsp:val=&quot;000845BC&quot;/&gt;&lt;wsp:rsid wsp:val=&quot;00084681&quot;/&gt;&lt;wsp:rsid wsp:val=&quot;000849E2&quot;/&gt;&lt;wsp:rsid wsp:val=&quot;00085033&quot;/&gt;&lt;wsp:rsid wsp:val=&quot;0008530A&quot;/&gt;&lt;wsp:rsid wsp:val=&quot;00085A95&quot;/&gt;&lt;wsp:rsid wsp:val=&quot;00085CFD&quot;/&gt;&lt;wsp:rsid wsp:val=&quot;0008620C&quot;/&gt;&lt;wsp:rsid wsp:val=&quot;00086329&quot;/&gt;&lt;wsp:rsid wsp:val=&quot;0008638E&quot;/&gt;&lt;wsp:rsid wsp:val=&quot;00086444&quot;/&gt;&lt;wsp:rsid wsp:val=&quot;00086BB9&quot;/&gt;&lt;wsp:rsid wsp:val=&quot;00087727&quot;/&gt;&lt;wsp:rsid wsp:val=&quot;000877E2&quot;/&gt;&lt;wsp:rsid wsp:val=&quot;00087AC4&quot;/&gt;&lt;wsp:rsid wsp:val=&quot;00087E23&quot;/&gt;&lt;wsp:rsid wsp:val=&quot;0009014C&quot;/&gt;&lt;wsp:rsid wsp:val=&quot;0009092E&quot;/&gt;&lt;wsp:rsid wsp:val=&quot;00090D88&quot;/&gt;&lt;wsp:rsid wsp:val=&quot;00091590&quot;/&gt;&lt;wsp:rsid wsp:val=&quot;0009167E&quot;/&gt;&lt;wsp:rsid wsp:val=&quot;00091B44&quot;/&gt;&lt;wsp:rsid wsp:val=&quot;00091DDD&quot;/&gt;&lt;wsp:rsid wsp:val=&quot;00092244&quot;/&gt;&lt;wsp:rsid wsp:val=&quot;000922A0&quot;/&gt;&lt;wsp:rsid wsp:val=&quot;0009250A&quot;/&gt;&lt;wsp:rsid wsp:val=&quot;00092832&quot;/&gt;&lt;wsp:rsid wsp:val=&quot;00092880&quot;/&gt;&lt;wsp:rsid wsp:val=&quot;000928B8&quot;/&gt;&lt;wsp:rsid wsp:val=&quot;00092BDB&quot;/&gt;&lt;wsp:rsid wsp:val=&quot;00092D38&quot;/&gt;&lt;wsp:rsid wsp:val=&quot;00092DF8&quot;/&gt;&lt;wsp:rsid wsp:val=&quot;00093306&quot;/&gt;&lt;wsp:rsid wsp:val=&quot;00093658&quot;/&gt;&lt;wsp:rsid wsp:val=&quot;000936D3&quot;/&gt;&lt;wsp:rsid wsp:val=&quot;00093D53&quot;/&gt;&lt;wsp:rsid wsp:val=&quot;00093FD6&quot;/&gt;&lt;wsp:rsid wsp:val=&quot;000943A3&quot;/&gt;&lt;wsp:rsid wsp:val=&quot;0009494C&quot;/&gt;&lt;wsp:rsid wsp:val=&quot;00094EE1&quot;/&gt;&lt;wsp:rsid wsp:val=&quot;00095196&quot;/&gt;&lt;wsp:rsid wsp:val=&quot;00095C3B&quot;/&gt;&lt;wsp:rsid wsp:val=&quot;00096485&quot;/&gt;&lt;wsp:rsid wsp:val=&quot;000964BF&quot;/&gt;&lt;wsp:rsid wsp:val=&quot;00096807&quot;/&gt;&lt;wsp:rsid wsp:val=&quot;00096843&quot;/&gt;&lt;wsp:rsid wsp:val=&quot;000968B5&quot;/&gt;&lt;wsp:rsid wsp:val=&quot;00096B2F&quot;/&gt;&lt;wsp:rsid wsp:val=&quot;00096F78&quot;/&gt;&lt;wsp:rsid wsp:val=&quot;00097521&quot;/&gt;&lt;wsp:rsid wsp:val=&quot;000978B1&quot;/&gt;&lt;wsp:rsid wsp:val=&quot;000A002B&quot;/&gt;&lt;wsp:rsid wsp:val=&quot;000A0434&quot;/&gt;&lt;wsp:rsid wsp:val=&quot;000A04F0&quot;/&gt;&lt;wsp:rsid wsp:val=&quot;000A08A6&quot;/&gt;&lt;wsp:rsid wsp:val=&quot;000A0932&quot;/&gt;&lt;wsp:rsid wsp:val=&quot;000A0A93&quot;/&gt;&lt;wsp:rsid wsp:val=&quot;000A0BB0&quot;/&gt;&lt;wsp:rsid wsp:val=&quot;000A0DA2&quot;/&gt;&lt;wsp:rsid wsp:val=&quot;000A16CC&quot;/&gt;&lt;wsp:rsid wsp:val=&quot;000A1A46&quot;/&gt;&lt;wsp:rsid wsp:val=&quot;000A1B18&quot;/&gt;&lt;wsp:rsid wsp:val=&quot;000A1C8A&quot;/&gt;&lt;wsp:rsid wsp:val=&quot;000A379F&quot;/&gt;&lt;wsp:rsid wsp:val=&quot;000A38E0&quot;/&gt;&lt;wsp:rsid wsp:val=&quot;000A39DE&quot;/&gt;&lt;wsp:rsid wsp:val=&quot;000A3C68&quot;/&gt;&lt;wsp:rsid wsp:val=&quot;000A3F95&quot;/&gt;&lt;wsp:rsid wsp:val=&quot;000A4373&quot;/&gt;&lt;wsp:rsid wsp:val=&quot;000A4670&quot;/&gt;&lt;wsp:rsid wsp:val=&quot;000A477D&quot;/&gt;&lt;wsp:rsid wsp:val=&quot;000A47CF&quot;/&gt;&lt;wsp:rsid wsp:val=&quot;000A4C05&quot;/&gt;&lt;wsp:rsid wsp:val=&quot;000A4D03&quot;/&gt;&lt;wsp:rsid wsp:val=&quot;000A4FB4&quot;/&gt;&lt;wsp:rsid wsp:val=&quot;000A4FF6&quot;/&gt;&lt;wsp:rsid wsp:val=&quot;000A512E&quot;/&gt;&lt;wsp:rsid wsp:val=&quot;000A525A&quot;/&gt;&lt;wsp:rsid wsp:val=&quot;000A52FF&quot;/&gt;&lt;wsp:rsid wsp:val=&quot;000A57A2&quot;/&gt;&lt;wsp:rsid wsp:val=&quot;000A5EA9&quot;/&gt;&lt;wsp:rsid wsp:val=&quot;000A611E&quot;/&gt;&lt;wsp:rsid wsp:val=&quot;000A6372&quot;/&gt;&lt;wsp:rsid wsp:val=&quot;000A68B1&quot;/&gt;&lt;wsp:rsid wsp:val=&quot;000A6AAC&quot;/&gt;&lt;wsp:rsid wsp:val=&quot;000A6BF9&quot;/&gt;&lt;wsp:rsid wsp:val=&quot;000A6E06&quot;/&gt;&lt;wsp:rsid wsp:val=&quot;000A718C&quot;/&gt;&lt;wsp:rsid wsp:val=&quot;000A741A&quot;/&gt;&lt;wsp:rsid wsp:val=&quot;000A7430&quot;/&gt;&lt;wsp:rsid wsp:val=&quot;000A7482&quot;/&gt;&lt;wsp:rsid wsp:val=&quot;000A7895&quot;/&gt;&lt;wsp:rsid wsp:val=&quot;000A7BD7&quot;/&gt;&lt;wsp:rsid wsp:val=&quot;000A7D80&quot;/&gt;&lt;wsp:rsid wsp:val=&quot;000B1142&quot;/&gt;&lt;wsp:rsid wsp:val=&quot;000B1322&quot;/&gt;&lt;wsp:rsid wsp:val=&quot;000B149A&quot;/&gt;&lt;wsp:rsid wsp:val=&quot;000B14DF&quot;/&gt;&lt;wsp:rsid wsp:val=&quot;000B167D&quot;/&gt;&lt;wsp:rsid wsp:val=&quot;000B1B67&quot;/&gt;&lt;wsp:rsid wsp:val=&quot;000B1E31&quot;/&gt;&lt;wsp:rsid wsp:val=&quot;000B221A&quot;/&gt;&lt;wsp:rsid wsp:val=&quot;000B251B&quot;/&gt;&lt;wsp:rsid wsp:val=&quot;000B25C3&quot;/&gt;&lt;wsp:rsid wsp:val=&quot;000B27FD&quot;/&gt;&lt;wsp:rsid wsp:val=&quot;000B286C&quot;/&gt;&lt;wsp:rsid wsp:val=&quot;000B2B47&quot;/&gt;&lt;wsp:rsid wsp:val=&quot;000B2B6B&quot;/&gt;&lt;wsp:rsid wsp:val=&quot;000B2C1A&quot;/&gt;&lt;wsp:rsid wsp:val=&quot;000B2EB4&quot;/&gt;&lt;wsp:rsid wsp:val=&quot;000B3481&quot;/&gt;&lt;wsp:rsid wsp:val=&quot;000B3B79&quot;/&gt;&lt;wsp:rsid wsp:val=&quot;000B4097&quot;/&gt;&lt;wsp:rsid wsp:val=&quot;000B40D5&quot;/&gt;&lt;wsp:rsid wsp:val=&quot;000B439E&quot;/&gt;&lt;wsp:rsid wsp:val=&quot;000B4880&quot;/&gt;&lt;wsp:rsid wsp:val=&quot;000B4C48&quot;/&gt;&lt;wsp:rsid wsp:val=&quot;000B51E8&quot;/&gt;&lt;wsp:rsid wsp:val=&quot;000B5B75&quot;/&gt;&lt;wsp:rsid wsp:val=&quot;000B5B94&quot;/&gt;&lt;wsp:rsid wsp:val=&quot;000B5C9E&quot;/&gt;&lt;wsp:rsid wsp:val=&quot;000B641C&quot;/&gt;&lt;wsp:rsid wsp:val=&quot;000B6424&quot;/&gt;&lt;wsp:rsid wsp:val=&quot;000B6501&quot;/&gt;&lt;wsp:rsid wsp:val=&quot;000B6618&quot;/&gt;&lt;wsp:rsid wsp:val=&quot;000B693A&quot;/&gt;&lt;wsp:rsid wsp:val=&quot;000B69BA&quot;/&gt;&lt;wsp:rsid wsp:val=&quot;000B6EF4&quot;/&gt;&lt;wsp:rsid wsp:val=&quot;000B6F17&quot;/&gt;&lt;wsp:rsid wsp:val=&quot;000B6F8A&quot;/&gt;&lt;wsp:rsid wsp:val=&quot;000B7311&quot;/&gt;&lt;wsp:rsid wsp:val=&quot;000B7768&quot;/&gt;&lt;wsp:rsid wsp:val=&quot;000B79A3&quot;/&gt;&lt;wsp:rsid wsp:val=&quot;000C060E&quot;/&gt;&lt;wsp:rsid wsp:val=&quot;000C0854&quot;/&gt;&lt;wsp:rsid wsp:val=&quot;000C0E5A&quot;/&gt;&lt;wsp:rsid wsp:val=&quot;000C0F02&quot;/&gt;&lt;wsp:rsid wsp:val=&quot;000C134A&quot;/&gt;&lt;wsp:rsid wsp:val=&quot;000C1706&quot;/&gt;&lt;wsp:rsid wsp:val=&quot;000C1C1D&quot;/&gt;&lt;wsp:rsid wsp:val=&quot;000C1CF9&quot;/&gt;&lt;wsp:rsid wsp:val=&quot;000C1E63&quot;/&gt;&lt;wsp:rsid wsp:val=&quot;000C1FAA&quot;/&gt;&lt;wsp:rsid wsp:val=&quot;000C2A69&quot;/&gt;&lt;wsp:rsid wsp:val=&quot;000C313A&quot;/&gt;&lt;wsp:rsid wsp:val=&quot;000C313D&quot;/&gt;&lt;wsp:rsid wsp:val=&quot;000C324D&quot;/&gt;&lt;wsp:rsid wsp:val=&quot;000C3271&quot;/&gt;&lt;wsp:rsid wsp:val=&quot;000C34E4&quot;/&gt;&lt;wsp:rsid wsp:val=&quot;000C3563&quot;/&gt;&lt;wsp:rsid wsp:val=&quot;000C36F0&quot;/&gt;&lt;wsp:rsid wsp:val=&quot;000C3850&quot;/&gt;&lt;wsp:rsid wsp:val=&quot;000C3B1C&quot;/&gt;&lt;wsp:rsid wsp:val=&quot;000C3D26&quot;/&gt;&lt;wsp:rsid wsp:val=&quot;000C3E41&quot;/&gt;&lt;wsp:rsid wsp:val=&quot;000C40E5&quot;/&gt;&lt;wsp:rsid wsp:val=&quot;000C458C&quot;/&gt;&lt;wsp:rsid wsp:val=&quot;000C4D5D&quot;/&gt;&lt;wsp:rsid wsp:val=&quot;000C55A4&quot;/&gt;&lt;wsp:rsid wsp:val=&quot;000C5DF7&quot;/&gt;&lt;wsp:rsid wsp:val=&quot;000C6617&quot;/&gt;&lt;wsp:rsid wsp:val=&quot;000C68A4&quot;/&gt;&lt;wsp:rsid wsp:val=&quot;000C695C&quot;/&gt;&lt;wsp:rsid wsp:val=&quot;000C7051&quot;/&gt;&lt;wsp:rsid wsp:val=&quot;000C75BD&quot;/&gt;&lt;wsp:rsid wsp:val=&quot;000C771E&quot;/&gt;&lt;wsp:rsid wsp:val=&quot;000C7AF7&quot;/&gt;&lt;wsp:rsid wsp:val=&quot;000C7FDE&quot;/&gt;&lt;wsp:rsid wsp:val=&quot;000D024B&quot;/&gt;&lt;wsp:rsid wsp:val=&quot;000D03D3&quot;/&gt;&lt;wsp:rsid wsp:val=&quot;000D04D2&quot;/&gt;&lt;wsp:rsid wsp:val=&quot;000D05CB&quot;/&gt;&lt;wsp:rsid wsp:val=&quot;000D06AA&quot;/&gt;&lt;wsp:rsid wsp:val=&quot;000D0A5E&quot;/&gt;&lt;wsp:rsid wsp:val=&quot;000D0E34&quot;/&gt;&lt;wsp:rsid wsp:val=&quot;000D123D&quot;/&gt;&lt;wsp:rsid wsp:val=&quot;000D12B2&quot;/&gt;&lt;wsp:rsid wsp:val=&quot;000D1489&quot;/&gt;&lt;wsp:rsid wsp:val=&quot;000D1698&quot;/&gt;&lt;wsp:rsid wsp:val=&quot;000D1A50&quot;/&gt;&lt;wsp:rsid wsp:val=&quot;000D1C03&quot;/&gt;&lt;wsp:rsid wsp:val=&quot;000D1D53&quot;/&gt;&lt;wsp:rsid wsp:val=&quot;000D232C&quot;/&gt;&lt;wsp:rsid wsp:val=&quot;000D285E&quot;/&gt;&lt;wsp:rsid wsp:val=&quot;000D28F0&quot;/&gt;&lt;wsp:rsid wsp:val=&quot;000D296A&quot;/&gt;&lt;wsp:rsid wsp:val=&quot;000D2992&quot;/&gt;&lt;wsp:rsid wsp:val=&quot;000D2C72&quot;/&gt;&lt;wsp:rsid wsp:val=&quot;000D31FD&quot;/&gt;&lt;wsp:rsid wsp:val=&quot;000D3378&quot;/&gt;&lt;wsp:rsid wsp:val=&quot;000D35B2&quot;/&gt;&lt;wsp:rsid wsp:val=&quot;000D3671&quot;/&gt;&lt;wsp:rsid wsp:val=&quot;000D409D&quot;/&gt;&lt;wsp:rsid wsp:val=&quot;000D4513&quot;/&gt;&lt;wsp:rsid wsp:val=&quot;000D4CD0&quot;/&gt;&lt;wsp:rsid wsp:val=&quot;000D4D1D&quot;/&gt;&lt;wsp:rsid wsp:val=&quot;000D4DC6&quot;/&gt;&lt;wsp:rsid wsp:val=&quot;000D4F86&quot;/&gt;&lt;wsp:rsid wsp:val=&quot;000D50D1&quot;/&gt;&lt;wsp:rsid wsp:val=&quot;000D54E7&quot;/&gt;&lt;wsp:rsid wsp:val=&quot;000D5542&quot;/&gt;&lt;wsp:rsid wsp:val=&quot;000D569C&quot;/&gt;&lt;wsp:rsid wsp:val=&quot;000D57B5&quot;/&gt;&lt;wsp:rsid wsp:val=&quot;000D580C&quot;/&gt;&lt;wsp:rsid wsp:val=&quot;000D5848&quot;/&gt;&lt;wsp:rsid wsp:val=&quot;000D59E3&quot;/&gt;&lt;wsp:rsid wsp:val=&quot;000D5ACC&quot;/&gt;&lt;wsp:rsid wsp:val=&quot;000D5E6D&quot;/&gt;&lt;wsp:rsid wsp:val=&quot;000D5ED1&quot;/&gt;&lt;wsp:rsid wsp:val=&quot;000D6903&quot;/&gt;&lt;wsp:rsid wsp:val=&quot;000D6F84&quot;/&gt;&lt;wsp:rsid wsp:val=&quot;000D6FE1&quot;/&gt;&lt;wsp:rsid wsp:val=&quot;000D708D&quot;/&gt;&lt;wsp:rsid wsp:val=&quot;000D753B&quot;/&gt;&lt;wsp:rsid wsp:val=&quot;000D7FBD&quot;/&gt;&lt;wsp:rsid wsp:val=&quot;000E00E8&quot;/&gt;&lt;wsp:rsid wsp:val=&quot;000E013F&quot;/&gt;&lt;wsp:rsid wsp:val=&quot;000E08A7&quot;/&gt;&lt;wsp:rsid wsp:val=&quot;000E0D19&quot;/&gt;&lt;wsp:rsid wsp:val=&quot;000E1064&quot;/&gt;&lt;wsp:rsid wsp:val=&quot;000E1137&quot;/&gt;&lt;wsp:rsid wsp:val=&quot;000E1324&quot;/&gt;&lt;wsp:rsid wsp:val=&quot;000E147C&quot;/&gt;&lt;wsp:rsid wsp:val=&quot;000E16EE&quot;/&gt;&lt;wsp:rsid wsp:val=&quot;000E1736&quot;/&gt;&lt;wsp:rsid wsp:val=&quot;000E1B5F&quot;/&gt;&lt;wsp:rsid wsp:val=&quot;000E20CF&quot;/&gt;&lt;wsp:rsid wsp:val=&quot;000E2277&quot;/&gt;&lt;wsp:rsid wsp:val=&quot;000E22A7&quot;/&gt;&lt;wsp:rsid wsp:val=&quot;000E22ED&quot;/&gt;&lt;wsp:rsid wsp:val=&quot;000E25F1&quot;/&gt;&lt;wsp:rsid wsp:val=&quot;000E2A13&quot;/&gt;&lt;wsp:rsid wsp:val=&quot;000E32F7&quot;/&gt;&lt;wsp:rsid wsp:val=&quot;000E381E&quot;/&gt;&lt;wsp:rsid wsp:val=&quot;000E3AEB&quot;/&gt;&lt;wsp:rsid wsp:val=&quot;000E4019&quot;/&gt;&lt;wsp:rsid wsp:val=&quot;000E4421&quot;/&gt;&lt;wsp:rsid wsp:val=&quot;000E4906&quot;/&gt;&lt;wsp:rsid wsp:val=&quot;000E4CA2&quot;/&gt;&lt;wsp:rsid wsp:val=&quot;000E4F6D&quot;/&gt;&lt;wsp:rsid wsp:val=&quot;000E5496&quot;/&gt;&lt;wsp:rsid wsp:val=&quot;000E56AD&quot;/&gt;&lt;wsp:rsid wsp:val=&quot;000E56C5&quot;/&gt;&lt;wsp:rsid wsp:val=&quot;000E5B04&quot;/&gt;&lt;wsp:rsid wsp:val=&quot;000E64B9&quot;/&gt;&lt;wsp:rsid wsp:val=&quot;000E6562&quot;/&gt;&lt;wsp:rsid wsp:val=&quot;000E6586&quot;/&gt;&lt;wsp:rsid wsp:val=&quot;000E72CA&quot;/&gt;&lt;wsp:rsid wsp:val=&quot;000E7460&quot;/&gt;&lt;wsp:rsid wsp:val=&quot;000E785F&quot;/&gt;&lt;wsp:rsid wsp:val=&quot;000F0095&quot;/&gt;&lt;wsp:rsid wsp:val=&quot;000F0866&quot;/&gt;&lt;wsp:rsid wsp:val=&quot;000F08DE&quot;/&gt;&lt;wsp:rsid wsp:val=&quot;000F0AEA&quot;/&gt;&lt;wsp:rsid wsp:val=&quot;000F0B14&quot;/&gt;&lt;wsp:rsid wsp:val=&quot;000F0D9D&quot;/&gt;&lt;wsp:rsid wsp:val=&quot;000F1187&quot;/&gt;&lt;wsp:rsid wsp:val=&quot;000F13C2&quot;/&gt;&lt;wsp:rsid wsp:val=&quot;000F15F2&quot;/&gt;&lt;wsp:rsid wsp:val=&quot;000F1830&quot;/&gt;&lt;wsp:rsid wsp:val=&quot;000F2759&quot;/&gt;&lt;wsp:rsid wsp:val=&quot;000F317F&quot;/&gt;&lt;wsp:rsid wsp:val=&quot;000F337B&quot;/&gt;&lt;wsp:rsid wsp:val=&quot;000F3CC7&quot;/&gt;&lt;wsp:rsid wsp:val=&quot;000F403D&quot;/&gt;&lt;wsp:rsid wsp:val=&quot;000F4287&quot;/&gt;&lt;wsp:rsid wsp:val=&quot;000F4389&quot;/&gt;&lt;wsp:rsid wsp:val=&quot;000F484B&quot;/&gt;&lt;wsp:rsid wsp:val=&quot;000F4FAE&quot;/&gt;&lt;wsp:rsid wsp:val=&quot;000F5591&quot;/&gt;&lt;wsp:rsid wsp:val=&quot;000F57E4&quot;/&gt;&lt;wsp:rsid wsp:val=&quot;000F5C16&quot;/&gt;&lt;wsp:rsid wsp:val=&quot;000F60E6&quot;/&gt;&lt;wsp:rsid wsp:val=&quot;000F6F5B&quot;/&gt;&lt;wsp:rsid wsp:val=&quot;000F743B&quot;/&gt;&lt;wsp:rsid wsp:val=&quot;000F79ED&quot;/&gt;&lt;wsp:rsid wsp:val=&quot;000F7E8F&quot;/&gt;&lt;wsp:rsid wsp:val=&quot;00100565&quot;/&gt;&lt;wsp:rsid wsp:val=&quot;0010079F&quot;/&gt;&lt;wsp:rsid wsp:val=&quot;001007F6&quot;/&gt;&lt;wsp:rsid wsp:val=&quot;0010085A&quot;/&gt;&lt;wsp:rsid wsp:val=&quot;00100B18&quot;/&gt;&lt;wsp:rsid wsp:val=&quot;00100C0C&quot;/&gt;&lt;wsp:rsid wsp:val=&quot;00100FA1&quot;/&gt;&lt;wsp:rsid wsp:val=&quot;00100FA5&quot;/&gt;&lt;wsp:rsid wsp:val=&quot;0010136D&quot;/&gt;&lt;wsp:rsid wsp:val=&quot;001013C0&quot;/&gt;&lt;wsp:rsid wsp:val=&quot;0010153E&quot;/&gt;&lt;wsp:rsid wsp:val=&quot;001017D1&quot;/&gt;&lt;wsp:rsid wsp:val=&quot;00101889&quot;/&gt;&lt;wsp:rsid wsp:val=&quot;00101BF0&quot;/&gt;&lt;wsp:rsid wsp:val=&quot;00102343&quot;/&gt;&lt;wsp:rsid wsp:val=&quot;00102433&quot;/&gt;&lt;wsp:rsid wsp:val=&quot;00102564&quot;/&gt;&lt;wsp:rsid wsp:val=&quot;001028FB&quot;/&gt;&lt;wsp:rsid wsp:val=&quot;0010291C&quot;/&gt;&lt;wsp:rsid wsp:val=&quot;00102B88&quot;/&gt;&lt;wsp:rsid wsp:val=&quot;00102C99&quot;/&gt;&lt;wsp:rsid wsp:val=&quot;00103887&quot;/&gt;&lt;wsp:rsid wsp:val=&quot;00103962&quot;/&gt;&lt;wsp:rsid wsp:val=&quot;00103D38&quot;/&gt;&lt;wsp:rsid wsp:val=&quot;00104722&quot;/&gt;&lt;wsp:rsid wsp:val=&quot;00104A66&quot;/&gt;&lt;wsp:rsid wsp:val=&quot;00104A96&quot;/&gt;&lt;wsp:rsid wsp:val=&quot;00104DF2&quot;/&gt;&lt;wsp:rsid wsp:val=&quot;00104E38&quot;/&gt;&lt;wsp:rsid wsp:val=&quot;00104E39&quot;/&gt;&lt;wsp:rsid wsp:val=&quot;001053AC&quot;/&gt;&lt;wsp:rsid wsp:val=&quot;001055E1&quot;/&gt;&lt;wsp:rsid wsp:val=&quot;001057A1&quot;/&gt;&lt;wsp:rsid wsp:val=&quot;00105C11&quot;/&gt;&lt;wsp:rsid wsp:val=&quot;00105CA0&quot;/&gt;&lt;wsp:rsid wsp:val=&quot;0010630B&quot;/&gt;&lt;wsp:rsid wsp:val=&quot;0010653D&quot;/&gt;&lt;wsp:rsid wsp:val=&quot;0010728C&quot;/&gt;&lt;wsp:rsid wsp:val=&quot;00107807&quot;/&gt;&lt;wsp:rsid wsp:val=&quot;0010780B&quot;/&gt;&lt;wsp:rsid wsp:val=&quot;0010794E&quot;/&gt;&lt;wsp:rsid wsp:val=&quot;00107B11&quot;/&gt;&lt;wsp:rsid wsp:val=&quot;00107B79&quot;/&gt;&lt;wsp:rsid wsp:val=&quot;00107D7C&quot;/&gt;&lt;wsp:rsid wsp:val=&quot;00107DE6&quot;/&gt;&lt;wsp:rsid wsp:val=&quot;00110460&quot;/&gt;&lt;wsp:rsid wsp:val=&quot;00110AD1&quot;/&gt;&lt;wsp:rsid wsp:val=&quot;00110B44&quot;/&gt;&lt;wsp:rsid wsp:val=&quot;00110C30&quot;/&gt;&lt;wsp:rsid wsp:val=&quot;00110DE8&quot;/&gt;&lt;wsp:rsid wsp:val=&quot;00111278&quot;/&gt;&lt;wsp:rsid wsp:val=&quot;00111481&quot;/&gt;&lt;wsp:rsid wsp:val=&quot;00111703&quot;/&gt;&lt;wsp:rsid wsp:val=&quot;001122D9&quot;/&gt;&lt;wsp:rsid wsp:val=&quot;001125E5&quot;/&gt;&lt;wsp:rsid wsp:val=&quot;001125E7&quot;/&gt;&lt;wsp:rsid wsp:val=&quot;0011327A&quot;/&gt;&lt;wsp:rsid wsp:val=&quot;001132D9&quot;/&gt;&lt;wsp:rsid wsp:val=&quot;00113605&quot;/&gt;&lt;wsp:rsid wsp:val=&quot;00113943&quot;/&gt;&lt;wsp:rsid wsp:val=&quot;00113975&quot;/&gt;&lt;wsp:rsid wsp:val=&quot;00113AE1&quot;/&gt;&lt;wsp:rsid wsp:val=&quot;00113D29&quot;/&gt;&lt;wsp:rsid wsp:val=&quot;0011400E&quot;/&gt;&lt;wsp:rsid wsp:val=&quot;0011403F&quot;/&gt;&lt;wsp:rsid wsp:val=&quot;001144DA&quot;/&gt;&lt;wsp:rsid wsp:val=&quot;0011463D&quot;/&gt;&lt;wsp:rsid wsp:val=&quot;001147C3&quot;/&gt;&lt;wsp:rsid wsp:val=&quot;00115092&quot;/&gt;&lt;wsp:rsid wsp:val=&quot;001151F3&quot;/&gt;&lt;wsp:rsid wsp:val=&quot;001151FC&quot;/&gt;&lt;wsp:rsid wsp:val=&quot;00115369&quot;/&gt;&lt;wsp:rsid wsp:val=&quot;00115564&quot;/&gt;&lt;wsp:rsid wsp:val=&quot;00115E0B&quot;/&gt;&lt;wsp:rsid wsp:val=&quot;00115E7A&quot;/&gt;&lt;wsp:rsid wsp:val=&quot;00115FB8&quot;/&gt;&lt;wsp:rsid wsp:val=&quot;001163B4&quot;/&gt;&lt;wsp:rsid wsp:val=&quot;0011652B&quot;/&gt;&lt;wsp:rsid wsp:val=&quot;0011673A&quot;/&gt;&lt;wsp:rsid wsp:val=&quot;001167F3&quot;/&gt;&lt;wsp:rsid wsp:val=&quot;0011681B&quot;/&gt;&lt;wsp:rsid wsp:val=&quot;00116D9F&quot;/&gt;&lt;wsp:rsid wsp:val=&quot;00117135&quot;/&gt;&lt;wsp:rsid wsp:val=&quot;00117DF4&quot;/&gt;&lt;wsp:rsid wsp:val=&quot;00117E44&quot;/&gt;&lt;wsp:rsid wsp:val=&quot;001208F5&quot;/&gt;&lt;wsp:rsid wsp:val=&quot;00120EEF&quot;/&gt;&lt;wsp:rsid wsp:val=&quot;00121126&quot;/&gt;&lt;wsp:rsid wsp:val=&quot;00121370&quot;/&gt;&lt;wsp:rsid wsp:val=&quot;00121427&quot;/&gt;&lt;wsp:rsid wsp:val=&quot;00121B9F&quot;/&gt;&lt;wsp:rsid wsp:val=&quot;001225E5&quot;/&gt;&lt;wsp:rsid wsp:val=&quot;00123406&quot;/&gt;&lt;wsp:rsid wsp:val=&quot;00124033&quot;/&gt;&lt;wsp:rsid wsp:val=&quot;0012413D&quot;/&gt;&lt;wsp:rsid wsp:val=&quot;0012415F&quot;/&gt;&lt;wsp:rsid wsp:val=&quot;0012466D&quot;/&gt;&lt;wsp:rsid wsp:val=&quot;001246E9&quot;/&gt;&lt;wsp:rsid wsp:val=&quot;00124768&quot;/&gt;&lt;wsp:rsid wsp:val=&quot;0012480C&quot;/&gt;&lt;wsp:rsid wsp:val=&quot;00124B97&quot;/&gt;&lt;wsp:rsid wsp:val=&quot;00124D10&quot;/&gt;&lt;wsp:rsid wsp:val=&quot;00124EFA&quot;/&gt;&lt;wsp:rsid wsp:val=&quot;001253F8&quot;/&gt;&lt;wsp:rsid wsp:val=&quot;001256E6&quot;/&gt;&lt;wsp:rsid wsp:val=&quot;00125704&quot;/&gt;&lt;wsp:rsid wsp:val=&quot;00125993&quot;/&gt;&lt;wsp:rsid wsp:val=&quot;00125E3E&quot;/&gt;&lt;wsp:rsid wsp:val=&quot;00125EC8&quot;/&gt;&lt;wsp:rsid wsp:val=&quot;001267F3&quot;/&gt;&lt;wsp:rsid wsp:val=&quot;00126B33&quot;/&gt;&lt;wsp:rsid wsp:val=&quot;00126B66&quot;/&gt;&lt;wsp:rsid wsp:val=&quot;00126C2D&quot;/&gt;&lt;wsp:rsid wsp:val=&quot;001275D2&quot;/&gt;&lt;wsp:rsid wsp:val=&quot;0012786E&quot;/&gt;&lt;wsp:rsid wsp:val=&quot;00127BAB&quot;/&gt;&lt;wsp:rsid wsp:val=&quot;00127E98&quot;/&gt;&lt;wsp:rsid wsp:val=&quot;00127FB2&quot;/&gt;&lt;wsp:rsid wsp:val=&quot;00127FB5&quot;/&gt;&lt;wsp:rsid wsp:val=&quot;00130A74&quot;/&gt;&lt;wsp:rsid wsp:val=&quot;00130C1F&quot;/&gt;&lt;wsp:rsid wsp:val=&quot;00130DF6&quot;/&gt;&lt;wsp:rsid wsp:val=&quot;001312C9&quot;/&gt;&lt;wsp:rsid wsp:val=&quot;001321C2&quot;/&gt;&lt;wsp:rsid wsp:val=&quot;0013228C&quot;/&gt;&lt;wsp:rsid wsp:val=&quot;00132445&quot;/&gt;&lt;wsp:rsid wsp:val=&quot;001324E1&quot;/&gt;&lt;wsp:rsid wsp:val=&quot;00132A51&quot;/&gt;&lt;wsp:rsid wsp:val=&quot;00132F01&quot;/&gt;&lt;wsp:rsid wsp:val=&quot;001331C9&quot;/&gt;&lt;wsp:rsid wsp:val=&quot;00133252&quot;/&gt;&lt;wsp:rsid wsp:val=&quot;0013329B&quot;/&gt;&lt;wsp:rsid wsp:val=&quot;0013382F&quot;/&gt;&lt;wsp:rsid wsp:val=&quot;00133B6E&quot;/&gt;&lt;wsp:rsid wsp:val=&quot;00133C59&quot;/&gt;&lt;wsp:rsid wsp:val=&quot;001340D6&quot;/&gt;&lt;wsp:rsid wsp:val=&quot;0013449E&quot;/&gt;&lt;wsp:rsid wsp:val=&quot;001348A5&quot;/&gt;&lt;wsp:rsid wsp:val=&quot;00134C65&quot;/&gt;&lt;wsp:rsid wsp:val=&quot;00135B13&quot;/&gt;&lt;wsp:rsid wsp:val=&quot;00135BE2&quot;/&gt;&lt;wsp:rsid wsp:val=&quot;00135E40&quot;/&gt;&lt;wsp:rsid wsp:val=&quot;00136038&quot;/&gt;&lt;wsp:rsid wsp:val=&quot;00136172&quot;/&gt;&lt;wsp:rsid wsp:val=&quot;00136726&quot;/&gt;&lt;wsp:rsid wsp:val=&quot;0013675C&quot;/&gt;&lt;wsp:rsid wsp:val=&quot;00136943&quot;/&gt;&lt;wsp:rsid wsp:val=&quot;00136DD5&quot;/&gt;&lt;wsp:rsid wsp:val=&quot;00137CD1&quot;/&gt;&lt;wsp:rsid wsp:val=&quot;00137DDF&quot;/&gt;&lt;wsp:rsid wsp:val=&quot;00140462&quot;/&gt;&lt;wsp:rsid wsp:val=&quot;001405F2&quot;/&gt;&lt;wsp:rsid wsp:val=&quot;00140671&quot;/&gt;&lt;wsp:rsid wsp:val=&quot;00140930&quot;/&gt;&lt;wsp:rsid wsp:val=&quot;00140D73&quot;/&gt;&lt;wsp:rsid wsp:val=&quot;0014116A&quot;/&gt;&lt;wsp:rsid wsp:val=&quot;0014122E&quot;/&gt;&lt;wsp:rsid wsp:val=&quot;001412BE&quot;/&gt;&lt;wsp:rsid wsp:val=&quot;0014148D&quot;/&gt;&lt;wsp:rsid wsp:val=&quot;00141775&quot;/&gt;&lt;wsp:rsid wsp:val=&quot;001419DB&quot;/&gt;&lt;wsp:rsid wsp:val=&quot;00141C07&quot;/&gt;&lt;wsp:rsid wsp:val=&quot;00141C08&quot;/&gt;&lt;wsp:rsid wsp:val=&quot;00141C38&quot;/&gt;&lt;wsp:rsid wsp:val=&quot;00141EB4&quot;/&gt;&lt;wsp:rsid wsp:val=&quot;00141F2E&quot;/&gt;&lt;wsp:rsid wsp:val=&quot;00141FDD&quot;/&gt;&lt;wsp:rsid wsp:val=&quot;0014294F&quot;/&gt;&lt;wsp:rsid wsp:val=&quot;001429CB&quot;/&gt;&lt;wsp:rsid wsp:val=&quot;00142FE8&quot;/&gt;&lt;wsp:rsid wsp:val=&quot;0014322A&quot;/&gt;&lt;wsp:rsid wsp:val=&quot;001436EE&quot;/&gt;&lt;wsp:rsid wsp:val=&quot;00143B0F&quot;/&gt;&lt;wsp:rsid wsp:val=&quot;00143BC4&quot;/&gt;&lt;wsp:rsid wsp:val=&quot;00143C67&quot;/&gt;&lt;wsp:rsid wsp:val=&quot;00143F7F&quot;/&gt;&lt;wsp:rsid wsp:val=&quot;00144047&quot;/&gt;&lt;wsp:rsid wsp:val=&quot;00144059&quot;/&gt;&lt;wsp:rsid wsp:val=&quot;001440E7&quot;/&gt;&lt;wsp:rsid wsp:val=&quot;00144344&quot;/&gt;&lt;wsp:rsid wsp:val=&quot;00144374&quot;/&gt;&lt;wsp:rsid wsp:val=&quot;0014437D&quot;/&gt;&lt;wsp:rsid wsp:val=&quot;0014466E&quot;/&gt;&lt;wsp:rsid wsp:val=&quot;00144673&quot;/&gt;&lt;wsp:rsid wsp:val=&quot;001446D2&quot;/&gt;&lt;wsp:rsid wsp:val=&quot;00144726&quot;/&gt;&lt;wsp:rsid wsp:val=&quot;00144767&quot;/&gt;&lt;wsp:rsid wsp:val=&quot;0014490D&quot;/&gt;&lt;wsp:rsid wsp:val=&quot;00144F35&quot;/&gt;&lt;wsp:rsid wsp:val=&quot;00145331&quot;/&gt;&lt;wsp:rsid wsp:val=&quot;001455DE&quot;/&gt;&lt;wsp:rsid wsp:val=&quot;00145803&quot;/&gt;&lt;wsp:rsid wsp:val=&quot;00145BF2&quot;/&gt;&lt;wsp:rsid wsp:val=&quot;00145C4D&quot;/&gt;&lt;wsp:rsid wsp:val=&quot;00146184&quot;/&gt;&lt;wsp:rsid wsp:val=&quot;00146391&quot;/&gt;&lt;wsp:rsid wsp:val=&quot;00146607&quot;/&gt;&lt;wsp:rsid wsp:val=&quot;0014699F&quot;/&gt;&lt;wsp:rsid wsp:val=&quot;00146A2F&quot;/&gt;&lt;wsp:rsid wsp:val=&quot;00146B05&quot;/&gt;&lt;wsp:rsid wsp:val=&quot;00146C8A&quot;/&gt;&lt;wsp:rsid wsp:val=&quot;00146D55&quot;/&gt;&lt;wsp:rsid wsp:val=&quot;00146F18&quot;/&gt;&lt;wsp:rsid wsp:val=&quot;00147126&quot;/&gt;&lt;wsp:rsid wsp:val=&quot;0014724F&quot;/&gt;&lt;wsp:rsid wsp:val=&quot;00147295&quot;/&gt;&lt;wsp:rsid wsp:val=&quot;00147818&quot;/&gt;&lt;wsp:rsid wsp:val=&quot;00147FEF&quot;/&gt;&lt;wsp:rsid wsp:val=&quot;00150376&quot;/&gt;&lt;wsp:rsid wsp:val=&quot;001503D0&quot;/&gt;&lt;wsp:rsid wsp:val=&quot;00150521&quot;/&gt;&lt;wsp:rsid wsp:val=&quot;00150814&quot;/&gt;&lt;wsp:rsid wsp:val=&quot;0015087D&quot;/&gt;&lt;wsp:rsid wsp:val=&quot;0015097F&quot;/&gt;&lt;wsp:rsid wsp:val=&quot;001509CA&quot;/&gt;&lt;wsp:rsid wsp:val=&quot;00150C1E&quot;/&gt;&lt;wsp:rsid wsp:val=&quot;0015167F&quot;/&gt;&lt;wsp:rsid wsp:val=&quot;00151943&quot;/&gt;&lt;wsp:rsid wsp:val=&quot;00151F94&quot;/&gt;&lt;wsp:rsid wsp:val=&quot;001524FB&quot;/&gt;&lt;wsp:rsid wsp:val=&quot;00152701&quot;/&gt;&lt;wsp:rsid wsp:val=&quot;00152B08&quot;/&gt;&lt;wsp:rsid wsp:val=&quot;00153540&quot;/&gt;&lt;wsp:rsid wsp:val=&quot;00153976&quot;/&gt;&lt;wsp:rsid wsp:val=&quot;00153DAE&quot;/&gt;&lt;wsp:rsid wsp:val=&quot;00153DC2&quot;/&gt;&lt;wsp:rsid wsp:val=&quot;001540BA&quot;/&gt;&lt;wsp:rsid wsp:val=&quot;00154274&quot;/&gt;&lt;wsp:rsid wsp:val=&quot;001543E0&quot;/&gt;&lt;wsp:rsid wsp:val=&quot;00154653&quot;/&gt;&lt;wsp:rsid wsp:val=&quot;00154F6D&quot;/&gt;&lt;wsp:rsid wsp:val=&quot;001556FC&quot;/&gt;&lt;wsp:rsid wsp:val=&quot;0015573A&quot;/&gt;&lt;wsp:rsid wsp:val=&quot;00155EEA&quot;/&gt;&lt;wsp:rsid wsp:val=&quot;00155FD9&quot;/&gt;&lt;wsp:rsid wsp:val=&quot;00156434&quot;/&gt;&lt;wsp:rsid wsp:val=&quot;00156556&quot;/&gt;&lt;wsp:rsid wsp:val=&quot;00156744&quot;/&gt;&lt;wsp:rsid wsp:val=&quot;00157387&quot;/&gt;&lt;wsp:rsid wsp:val=&quot;00157584&quot;/&gt;&lt;wsp:rsid wsp:val=&quot;001575D4&quot;/&gt;&lt;wsp:rsid wsp:val=&quot;001575F8&quot;/&gt;&lt;wsp:rsid wsp:val=&quot;00157648&quot;/&gt;&lt;wsp:rsid wsp:val=&quot;00157866&quot;/&gt;&lt;wsp:rsid wsp:val=&quot;00157980&quot;/&gt;&lt;wsp:rsid wsp:val=&quot;00157E05&quot;/&gt;&lt;wsp:rsid wsp:val=&quot;00160454&quot;/&gt;&lt;wsp:rsid wsp:val=&quot;0016058D&quot;/&gt;&lt;wsp:rsid wsp:val=&quot;001607E5&quot;/&gt;&lt;wsp:rsid wsp:val=&quot;00160980&quot;/&gt;&lt;wsp:rsid wsp:val=&quot;00160AD4&quot;/&gt;&lt;wsp:rsid wsp:val=&quot;00160BC7&quot;/&gt;&lt;wsp:rsid wsp:val=&quot;0016130B&quot;/&gt;&lt;wsp:rsid wsp:val=&quot;00161353&quot;/&gt;&lt;wsp:rsid wsp:val=&quot;00161462&quot;/&gt;&lt;wsp:rsid wsp:val=&quot;00161490&quot;/&gt;&lt;wsp:rsid wsp:val=&quot;0016182B&quot;/&gt;&lt;wsp:rsid wsp:val=&quot;00161DB9&quot;/&gt;&lt;wsp:rsid wsp:val=&quot;00162104&quot;/&gt;&lt;wsp:rsid wsp:val=&quot;00162740&quot;/&gt;&lt;wsp:rsid wsp:val=&quot;001628A9&quot;/&gt;&lt;wsp:rsid wsp:val=&quot;00162E69&quot;/&gt;&lt;wsp:rsid wsp:val=&quot;00163665&quot;/&gt;&lt;wsp:rsid wsp:val=&quot;00163743&quot;/&gt;&lt;wsp:rsid wsp:val=&quot;00163994&quot;/&gt;&lt;wsp:rsid wsp:val=&quot;001639AB&quot;/&gt;&lt;wsp:rsid wsp:val=&quot;001645C3&quot;/&gt;&lt;wsp:rsid wsp:val=&quot;00164650&quot;/&gt;&lt;wsp:rsid wsp:val=&quot;001649E4&quot;/&gt;&lt;wsp:rsid wsp:val=&quot;00164C4E&quot;/&gt;&lt;wsp:rsid wsp:val=&quot;00164FC4&quot;/&gt;&lt;wsp:rsid wsp:val=&quot;001657A1&quot;/&gt;&lt;wsp:rsid wsp:val=&quot;00165961&quot;/&gt;&lt;wsp:rsid wsp:val=&quot;00165B3A&quot;/&gt;&lt;wsp:rsid wsp:val=&quot;001669D3&quot;/&gt;&lt;wsp:rsid wsp:val=&quot;00166F4B&quot;/&gt;&lt;wsp:rsid wsp:val=&quot;00166FBD&quot;/&gt;&lt;wsp:rsid wsp:val=&quot;0016714B&quot;/&gt;&lt;wsp:rsid wsp:val=&quot;001674EC&quot;/&gt;&lt;wsp:rsid wsp:val=&quot;00167577&quot;/&gt;&lt;wsp:rsid wsp:val=&quot;0017016D&quot;/&gt;&lt;wsp:rsid wsp:val=&quot;001701DB&quot;/&gt;&lt;wsp:rsid wsp:val=&quot;001702AB&quot;/&gt;&lt;wsp:rsid wsp:val=&quot;001702D1&quot;/&gt;&lt;wsp:rsid wsp:val=&quot;001711EE&quot;/&gt;&lt;wsp:rsid wsp:val=&quot;001715F7&quot;/&gt;&lt;wsp:rsid wsp:val=&quot;00171C5B&quot;/&gt;&lt;wsp:rsid wsp:val=&quot;00171D1D&quot;/&gt;&lt;wsp:rsid wsp:val=&quot;00171D8A&quot;/&gt;&lt;wsp:rsid wsp:val=&quot;00172378&quot;/&gt;&lt;wsp:rsid wsp:val=&quot;001727E1&quot;/&gt;&lt;wsp:rsid wsp:val=&quot;0017294C&quot;/&gt;&lt;wsp:rsid wsp:val=&quot;00172971&quot;/&gt;&lt;wsp:rsid wsp:val=&quot;00173011&quot;/&gt;&lt;wsp:rsid wsp:val=&quot;0017323B&quot;/&gt;&lt;wsp:rsid wsp:val=&quot;00173241&quot;/&gt;&lt;wsp:rsid wsp:val=&quot;00173670&quot;/&gt;&lt;wsp:rsid wsp:val=&quot;0017389A&quot;/&gt;&lt;wsp:rsid wsp:val=&quot;00173C4A&quot;/&gt;&lt;wsp:rsid wsp:val=&quot;00173ECC&quot;/&gt;&lt;wsp:rsid wsp:val=&quot;00174454&quot;/&gt;&lt;wsp:rsid wsp:val=&quot;001745DE&quot;/&gt;&lt;wsp:rsid wsp:val=&quot;00175009&quot;/&gt;&lt;wsp:rsid wsp:val=&quot;001751C4&quot;/&gt;&lt;wsp:rsid wsp:val=&quot;00175348&quot;/&gt;&lt;wsp:rsid wsp:val=&quot;00175713&quot;/&gt;&lt;wsp:rsid wsp:val=&quot;00175844&quot;/&gt;&lt;wsp:rsid wsp:val=&quot;001762BD&quot;/&gt;&lt;wsp:rsid wsp:val=&quot;001769AA&quot;/&gt;&lt;wsp:rsid wsp:val=&quot;001773E7&quot;/&gt;&lt;wsp:rsid wsp:val=&quot;001774A5&quot;/&gt;&lt;wsp:rsid wsp:val=&quot;00177518&quot;/&gt;&lt;wsp:rsid wsp:val=&quot;001775EF&quot;/&gt;&lt;wsp:rsid wsp:val=&quot;00177C23&quot;/&gt;&lt;wsp:rsid wsp:val=&quot;00177C63&quot;/&gt;&lt;wsp:rsid wsp:val=&quot;00177D8A&quot;/&gt;&lt;wsp:rsid wsp:val=&quot;0018028C&quot;/&gt;&lt;wsp:rsid wsp:val=&quot;0018034A&quot;/&gt;&lt;wsp:rsid wsp:val=&quot;001804DC&quot;/&gt;&lt;wsp:rsid wsp:val=&quot;0018072A&quot;/&gt;&lt;wsp:rsid wsp:val=&quot;00180756&quot;/&gt;&lt;wsp:rsid wsp:val=&quot;001807D6&quot;/&gt;&lt;wsp:rsid wsp:val=&quot;00180838&quot;/&gt;&lt;wsp:rsid wsp:val=&quot;00180AB2&quot;/&gt;&lt;wsp:rsid wsp:val=&quot;00180AC9&quot;/&gt;&lt;wsp:rsid wsp:val=&quot;00180C62&quot;/&gt;&lt;wsp:rsid wsp:val=&quot;00180CB8&quot;/&gt;&lt;wsp:rsid wsp:val=&quot;0018185E&quot;/&gt;&lt;wsp:rsid wsp:val=&quot;00181916&quot;/&gt;&lt;wsp:rsid wsp:val=&quot;001819E1&quot;/&gt;&lt;wsp:rsid wsp:val=&quot;00181AF5&quot;/&gt;&lt;wsp:rsid wsp:val=&quot;00181D86&quot;/&gt;&lt;wsp:rsid wsp:val=&quot;00182435&quot;/&gt;&lt;wsp:rsid wsp:val=&quot;0018270F&quot;/&gt;&lt;wsp:rsid wsp:val=&quot;00182B5D&quot;/&gt;&lt;wsp:rsid wsp:val=&quot;00182C59&quot;/&gt;&lt;wsp:rsid wsp:val=&quot;00182D3D&quot;/&gt;&lt;wsp:rsid wsp:val=&quot;00182DD9&quot;/&gt;&lt;wsp:rsid wsp:val=&quot;001830E6&quot;/&gt;&lt;wsp:rsid wsp:val=&quot;001833EA&quot;/&gt;&lt;wsp:rsid wsp:val=&quot;0018344F&quot;/&gt;&lt;wsp:rsid wsp:val=&quot;00183C87&quot;/&gt;&lt;wsp:rsid wsp:val=&quot;00184DF4&quot;/&gt;&lt;wsp:rsid wsp:val=&quot;00184E1F&quot;/&gt;&lt;wsp:rsid wsp:val=&quot;00184E5F&quot;/&gt;&lt;wsp:rsid wsp:val=&quot;00184EA7&quot;/&gt;&lt;wsp:rsid wsp:val=&quot;00184F02&quot;/&gt;&lt;wsp:rsid wsp:val=&quot;001851CE&quot;/&gt;&lt;wsp:rsid wsp:val=&quot;001859B1&quot;/&gt;&lt;wsp:rsid wsp:val=&quot;0018645F&quot;/&gt;&lt;wsp:rsid wsp:val=&quot;00186981&quot;/&gt;&lt;wsp:rsid wsp:val=&quot;00186F25&quot;/&gt;&lt;wsp:rsid wsp:val=&quot;00187388&quot;/&gt;&lt;wsp:rsid wsp:val=&quot;00187D3C&quot;/&gt;&lt;wsp:rsid wsp:val=&quot;00187E46&quot;/&gt;&lt;wsp:rsid wsp:val=&quot;00190701&quot;/&gt;&lt;wsp:rsid wsp:val=&quot;00190B5D&quot;/&gt;&lt;wsp:rsid wsp:val=&quot;00190C3E&quot;/&gt;&lt;wsp:rsid wsp:val=&quot;00190EBA&quot;/&gt;&lt;wsp:rsid wsp:val=&quot;00191054&quot;/&gt;&lt;wsp:rsid wsp:val=&quot;0019249F&quot;/&gt;&lt;wsp:rsid wsp:val=&quot;00192717&quot;/&gt;&lt;wsp:rsid wsp:val=&quot;00192EA2&quot;/&gt;&lt;wsp:rsid wsp:val=&quot;00193079&quot;/&gt;&lt;wsp:rsid wsp:val=&quot;0019361F&quot;/&gt;&lt;wsp:rsid wsp:val=&quot;0019383D&quot;/&gt;&lt;wsp:rsid wsp:val=&quot;00194523&quot;/&gt;&lt;wsp:rsid wsp:val=&quot;0019482F&quot;/&gt;&lt;wsp:rsid wsp:val=&quot;00194E37&quot;/&gt;&lt;wsp:rsid wsp:val=&quot;00194EE0&quot;/&gt;&lt;wsp:rsid wsp:val=&quot;00195278&quot;/&gt;&lt;wsp:rsid wsp:val=&quot;001952EF&quot;/&gt;&lt;wsp:rsid wsp:val=&quot;0019531D&quot;/&gt;&lt;wsp:rsid wsp:val=&quot;001959E3&quot;/&gt;&lt;wsp:rsid wsp:val=&quot;00195B86&quot;/&gt;&lt;wsp:rsid wsp:val=&quot;00195F8B&quot;/&gt;&lt;wsp:rsid wsp:val=&quot;00196048&quot;/&gt;&lt;wsp:rsid wsp:val=&quot;00196061&quot;/&gt;&lt;wsp:rsid wsp:val=&quot;00196267&quot;/&gt;&lt;wsp:rsid wsp:val=&quot;001962DB&quot;/&gt;&lt;wsp:rsid wsp:val=&quot;001964A3&quot;/&gt;&lt;wsp:rsid wsp:val=&quot;001965B3&quot;/&gt;&lt;wsp:rsid wsp:val=&quot;0019674E&quot;/&gt;&lt;wsp:rsid wsp:val=&quot;0019686A&quot;/&gt;&lt;wsp:rsid wsp:val=&quot;00196903&quot;/&gt;&lt;wsp:rsid wsp:val=&quot;00196CEE&quot;/&gt;&lt;wsp:rsid wsp:val=&quot;00196D2C&quot;/&gt;&lt;wsp:rsid wsp:val=&quot;00196E61&quot;/&gt;&lt;wsp:rsid wsp:val=&quot;0019781F&quot;/&gt;&lt;wsp:rsid wsp:val=&quot;001978D8&quot;/&gt;&lt;wsp:rsid wsp:val=&quot;0019796F&quot;/&gt;&lt;wsp:rsid wsp:val=&quot;00197ACD&quot;/&gt;&lt;wsp:rsid wsp:val=&quot;00197BD5&quot;/&gt;&lt;wsp:rsid wsp:val=&quot;00197C63&quot;/&gt;&lt;wsp:rsid wsp:val=&quot;00197D10&quot;/&gt;&lt;wsp:rsid wsp:val=&quot;001A01F8&quot;/&gt;&lt;wsp:rsid wsp:val=&quot;001A0910&quot;/&gt;&lt;wsp:rsid wsp:val=&quot;001A0D8A&quot;/&gt;&lt;wsp:rsid wsp:val=&quot;001A1081&quot;/&gt;&lt;wsp:rsid wsp:val=&quot;001A137C&quot;/&gt;&lt;wsp:rsid wsp:val=&quot;001A15C6&quot;/&gt;&lt;wsp:rsid wsp:val=&quot;001A1E78&quot;/&gt;&lt;wsp:rsid wsp:val=&quot;001A24C9&quot;/&gt;&lt;wsp:rsid wsp:val=&quot;001A26BE&quot;/&gt;&lt;wsp:rsid wsp:val=&quot;001A2BC3&quot;/&gt;&lt;wsp:rsid wsp:val=&quot;001A3487&quot;/&gt;&lt;wsp:rsid wsp:val=&quot;001A3995&quot;/&gt;&lt;wsp:rsid wsp:val=&quot;001A4906&quot;/&gt;&lt;wsp:rsid wsp:val=&quot;001A4F58&quot;/&gt;&lt;wsp:rsid wsp:val=&quot;001A58EB&quot;/&gt;&lt;wsp:rsid wsp:val=&quot;001A5E4D&quot;/&gt;&lt;wsp:rsid wsp:val=&quot;001A5F78&quot;/&gt;&lt;wsp:rsid wsp:val=&quot;001A62C8&quot;/&gt;&lt;wsp:rsid wsp:val=&quot;001A642D&quot;/&gt;&lt;wsp:rsid wsp:val=&quot;001A65EA&quot;/&gt;&lt;wsp:rsid wsp:val=&quot;001A66B2&quot;/&gt;&lt;wsp:rsid wsp:val=&quot;001A7199&quot;/&gt;&lt;wsp:rsid wsp:val=&quot;001A7307&quot;/&gt;&lt;wsp:rsid wsp:val=&quot;001A786A&quot;/&gt;&lt;wsp:rsid wsp:val=&quot;001A7B4C&quot;/&gt;&lt;wsp:rsid wsp:val=&quot;001A7BCF&quot;/&gt;&lt;wsp:rsid wsp:val=&quot;001A7D02&quot;/&gt;&lt;wsp:rsid wsp:val=&quot;001A7E5E&quot;/&gt;&lt;wsp:rsid wsp:val=&quot;001A7E73&quot;/&gt;&lt;wsp:rsid wsp:val=&quot;001B0343&quot;/&gt;&lt;wsp:rsid wsp:val=&quot;001B0C29&quot;/&gt;&lt;wsp:rsid wsp:val=&quot;001B143F&quot;/&gt;&lt;wsp:rsid wsp:val=&quot;001B177A&quot;/&gt;&lt;wsp:rsid wsp:val=&quot;001B1E97&quot;/&gt;&lt;wsp:rsid wsp:val=&quot;001B1F9B&quot;/&gt;&lt;wsp:rsid wsp:val=&quot;001B2007&quot;/&gt;&lt;wsp:rsid wsp:val=&quot;001B24B5&quot;/&gt;&lt;wsp:rsid wsp:val=&quot;001B2C07&quot;/&gt;&lt;wsp:rsid wsp:val=&quot;001B2C65&quot;/&gt;&lt;wsp:rsid wsp:val=&quot;001B30B6&quot;/&gt;&lt;wsp:rsid wsp:val=&quot;001B3352&quot;/&gt;&lt;wsp:rsid wsp:val=&quot;001B366C&quot;/&gt;&lt;wsp:rsid wsp:val=&quot;001B480D&quot;/&gt;&lt;wsp:rsid wsp:val=&quot;001B50EC&quot;/&gt;&lt;wsp:rsid wsp:val=&quot;001B5245&quot;/&gt;&lt;wsp:rsid wsp:val=&quot;001B5723&quot;/&gt;&lt;wsp:rsid wsp:val=&quot;001B5778&quot;/&gt;&lt;wsp:rsid wsp:val=&quot;001B59EA&quot;/&gt;&lt;wsp:rsid wsp:val=&quot;001B5CF0&quot;/&gt;&lt;wsp:rsid wsp:val=&quot;001B5F1B&quot;/&gt;&lt;wsp:rsid wsp:val=&quot;001B5FC3&quot;/&gt;&lt;wsp:rsid wsp:val=&quot;001B6134&quot;/&gt;&lt;wsp:rsid wsp:val=&quot;001B62BE&quot;/&gt;&lt;wsp:rsid wsp:val=&quot;001B6449&quot;/&gt;&lt;wsp:rsid wsp:val=&quot;001B6589&quot;/&gt;&lt;wsp:rsid wsp:val=&quot;001B6727&quot;/&gt;&lt;wsp:rsid wsp:val=&quot;001B677A&quot;/&gt;&lt;wsp:rsid wsp:val=&quot;001B6841&quot;/&gt;&lt;wsp:rsid wsp:val=&quot;001B6EA0&quot;/&gt;&lt;wsp:rsid wsp:val=&quot;001B7237&quot;/&gt;&lt;wsp:rsid wsp:val=&quot;001B72A0&quot;/&gt;&lt;wsp:rsid wsp:val=&quot;001B72CE&quot;/&gt;&lt;wsp:rsid wsp:val=&quot;001B7314&quot;/&gt;&lt;wsp:rsid wsp:val=&quot;001B7436&quot;/&gt;&lt;wsp:rsid wsp:val=&quot;001B7EC8&quot;/&gt;&lt;wsp:rsid wsp:val=&quot;001C0401&quot;/&gt;&lt;wsp:rsid wsp:val=&quot;001C04E9&quot;/&gt;&lt;wsp:rsid wsp:val=&quot;001C0961&quot;/&gt;&lt;wsp:rsid wsp:val=&quot;001C0976&quot;/&gt;&lt;wsp:rsid wsp:val=&quot;001C09FF&quot;/&gt;&lt;wsp:rsid wsp:val=&quot;001C0A5F&quot;/&gt;&lt;wsp:rsid wsp:val=&quot;001C0AE9&quot;/&gt;&lt;wsp:rsid wsp:val=&quot;001C0B0E&quot;/&gt;&lt;wsp:rsid wsp:val=&quot;001C0C95&quot;/&gt;&lt;wsp:rsid wsp:val=&quot;001C0CD6&quot;/&gt;&lt;wsp:rsid wsp:val=&quot;001C16B9&quot;/&gt;&lt;wsp:rsid wsp:val=&quot;001C187C&quot;/&gt;&lt;wsp:rsid wsp:val=&quot;001C18C0&quot;/&gt;&lt;wsp:rsid wsp:val=&quot;001C1C58&quot;/&gt;&lt;wsp:rsid wsp:val=&quot;001C1CAC&quot;/&gt;&lt;wsp:rsid wsp:val=&quot;001C1CEE&quot;/&gt;&lt;wsp:rsid wsp:val=&quot;001C1D1F&quot;/&gt;&lt;wsp:rsid wsp:val=&quot;001C1D75&quot;/&gt;&lt;wsp:rsid wsp:val=&quot;001C2147&quot;/&gt;&lt;wsp:rsid wsp:val=&quot;001C26C9&quot;/&gt;&lt;wsp:rsid wsp:val=&quot;001C2A51&quot;/&gt;&lt;wsp:rsid wsp:val=&quot;001C2A5E&quot;/&gt;&lt;wsp:rsid wsp:val=&quot;001C2C7F&quot;/&gt;&lt;wsp:rsid wsp:val=&quot;001C2E20&quot;/&gt;&lt;wsp:rsid wsp:val=&quot;001C3050&quot;/&gt;&lt;wsp:rsid wsp:val=&quot;001C30A9&quot;/&gt;&lt;wsp:rsid wsp:val=&quot;001C3959&quot;/&gt;&lt;wsp:rsid wsp:val=&quot;001C3C48&quot;/&gt;&lt;wsp:rsid wsp:val=&quot;001C3C6C&quot;/&gt;&lt;wsp:rsid wsp:val=&quot;001C3F0F&quot;/&gt;&lt;wsp:rsid wsp:val=&quot;001C4AEA&quot;/&gt;&lt;wsp:rsid wsp:val=&quot;001C58BD&quot;/&gt;&lt;wsp:rsid wsp:val=&quot;001C5C69&quot;/&gt;&lt;wsp:rsid wsp:val=&quot;001C5C94&quot;/&gt;&lt;wsp:rsid wsp:val=&quot;001C5CEE&quot;/&gt;&lt;wsp:rsid wsp:val=&quot;001C5D71&quot;/&gt;&lt;wsp:rsid wsp:val=&quot;001C6447&quot;/&gt;&lt;wsp:rsid wsp:val=&quot;001C654D&quot;/&gt;&lt;wsp:rsid wsp:val=&quot;001C6B80&quot;/&gt;&lt;wsp:rsid wsp:val=&quot;001C70D3&quot;/&gt;&lt;wsp:rsid wsp:val=&quot;001C71F9&quot;/&gt;&lt;wsp:rsid wsp:val=&quot;001C7204&quot;/&gt;&lt;wsp:rsid wsp:val=&quot;001C7629&quot;/&gt;&lt;wsp:rsid wsp:val=&quot;001C7A9C&quot;/&gt;&lt;wsp:rsid wsp:val=&quot;001C7CE1&quot;/&gt;&lt;wsp:rsid wsp:val=&quot;001D00B9&quot;/&gt;&lt;wsp:rsid wsp:val=&quot;001D0A1C&quot;/&gt;&lt;wsp:rsid wsp:val=&quot;001D0B9D&quot;/&gt;&lt;wsp:rsid wsp:val=&quot;001D0C26&quot;/&gt;&lt;wsp:rsid wsp:val=&quot;001D0DE5&quot;/&gt;&lt;wsp:rsid wsp:val=&quot;001D10EF&quot;/&gt;&lt;wsp:rsid wsp:val=&quot;001D1184&quot;/&gt;&lt;wsp:rsid wsp:val=&quot;001D1322&quot;/&gt;&lt;wsp:rsid wsp:val=&quot;001D1489&quot;/&gt;&lt;wsp:rsid wsp:val=&quot;001D1803&quot;/&gt;&lt;wsp:rsid wsp:val=&quot;001D196E&quot;/&gt;&lt;wsp:rsid wsp:val=&quot;001D1F57&quot;/&gt;&lt;wsp:rsid wsp:val=&quot;001D2001&quot;/&gt;&lt;wsp:rsid wsp:val=&quot;001D2179&quot;/&gt;&lt;wsp:rsid wsp:val=&quot;001D23B3&quot;/&gt;&lt;wsp:rsid wsp:val=&quot;001D26B4&quot;/&gt;&lt;wsp:rsid wsp:val=&quot;001D26D4&quot;/&gt;&lt;wsp:rsid wsp:val=&quot;001D29DD&quot;/&gt;&lt;wsp:rsid wsp:val=&quot;001D2F24&quot;/&gt;&lt;wsp:rsid wsp:val=&quot;001D34A9&quot;/&gt;&lt;wsp:rsid wsp:val=&quot;001D38F3&quot;/&gt;&lt;wsp:rsid wsp:val=&quot;001D3900&quot;/&gt;&lt;wsp:rsid wsp:val=&quot;001D3B05&quot;/&gt;&lt;wsp:rsid wsp:val=&quot;001D4033&quot;/&gt;&lt;wsp:rsid wsp:val=&quot;001D40B1&quot;/&gt;&lt;wsp:rsid wsp:val=&quot;001D42F8&quot;/&gt;&lt;wsp:rsid wsp:val=&quot;001D45EE&quot;/&gt;&lt;wsp:rsid wsp:val=&quot;001D4B4C&quot;/&gt;&lt;wsp:rsid wsp:val=&quot;001D4BB6&quot;/&gt;&lt;wsp:rsid wsp:val=&quot;001D4C1E&quot;/&gt;&lt;wsp:rsid wsp:val=&quot;001D509C&quot;/&gt;&lt;wsp:rsid wsp:val=&quot;001D526E&quot;/&gt;&lt;wsp:rsid wsp:val=&quot;001D5701&quot;/&gt;&lt;wsp:rsid wsp:val=&quot;001D57C5&quot;/&gt;&lt;wsp:rsid wsp:val=&quot;001D5C93&quot;/&gt;&lt;wsp:rsid wsp:val=&quot;001D5E01&quot;/&gt;&lt;wsp:rsid wsp:val=&quot;001D5E5D&quot;/&gt;&lt;wsp:rsid wsp:val=&quot;001D5EE4&quot;/&gt;&lt;wsp:rsid wsp:val=&quot;001D6949&quot;/&gt;&lt;wsp:rsid wsp:val=&quot;001D73C5&quot;/&gt;&lt;wsp:rsid wsp:val=&quot;001D76F6&quot;/&gt;&lt;wsp:rsid wsp:val=&quot;001D775D&quot;/&gt;&lt;wsp:rsid wsp:val=&quot;001D786C&quot;/&gt;&lt;wsp:rsid wsp:val=&quot;001D7CC4&quot;/&gt;&lt;wsp:rsid wsp:val=&quot;001D7D2F&quot;/&gt;&lt;wsp:rsid wsp:val=&quot;001E0296&quot;/&gt;&lt;wsp:rsid wsp:val=&quot;001E04E8&quot;/&gt;&lt;wsp:rsid wsp:val=&quot;001E07A2&quot;/&gt;&lt;wsp:rsid wsp:val=&quot;001E08FD&quot;/&gt;&lt;wsp:rsid wsp:val=&quot;001E1354&quot;/&gt;&lt;wsp:rsid wsp:val=&quot;001E14B9&quot;/&gt;&lt;wsp:rsid wsp:val=&quot;001E18D9&quot;/&gt;&lt;wsp:rsid wsp:val=&quot;001E1FCF&quot;/&gt;&lt;wsp:rsid wsp:val=&quot;001E20FD&quot;/&gt;&lt;wsp:rsid wsp:val=&quot;001E2267&quot;/&gt;&lt;wsp:rsid wsp:val=&quot;001E2637&quot;/&gt;&lt;wsp:rsid wsp:val=&quot;001E2A20&quot;/&gt;&lt;wsp:rsid wsp:val=&quot;001E2D8A&quot;/&gt;&lt;wsp:rsid wsp:val=&quot;001E2EB0&quot;/&gt;&lt;wsp:rsid wsp:val=&quot;001E300D&quot;/&gt;&lt;wsp:rsid wsp:val=&quot;001E30B2&quot;/&gt;&lt;wsp:rsid wsp:val=&quot;001E373C&quot;/&gt;&lt;wsp:rsid wsp:val=&quot;001E3D7D&quot;/&gt;&lt;wsp:rsid wsp:val=&quot;001E3F78&quot;/&gt;&lt;wsp:rsid wsp:val=&quot;001E4198&quot;/&gt;&lt;wsp:rsid wsp:val=&quot;001E43ED&quot;/&gt;&lt;wsp:rsid wsp:val=&quot;001E4F2E&quot;/&gt;&lt;wsp:rsid wsp:val=&quot;001E5033&quot;/&gt;&lt;wsp:rsid wsp:val=&quot;001E5217&quot;/&gt;&lt;wsp:rsid wsp:val=&quot;001E572B&quot;/&gt;&lt;wsp:rsid wsp:val=&quot;001E5C1C&quot;/&gt;&lt;wsp:rsid wsp:val=&quot;001E5C97&quot;/&gt;&lt;wsp:rsid wsp:val=&quot;001E5EDA&quot;/&gt;&lt;wsp:rsid wsp:val=&quot;001E6651&quot;/&gt;&lt;wsp:rsid wsp:val=&quot;001E69EF&quot;/&gt;&lt;wsp:rsid wsp:val=&quot;001E6D44&quot;/&gt;&lt;wsp:rsid wsp:val=&quot;001E7750&quot;/&gt;&lt;wsp:rsid wsp:val=&quot;001E7880&quot;/&gt;&lt;wsp:rsid wsp:val=&quot;001E7EF3&quot;/&gt;&lt;wsp:rsid wsp:val=&quot;001E7F09&quot;/&gt;&lt;wsp:rsid wsp:val=&quot;001F059E&quot;/&gt;&lt;wsp:rsid wsp:val=&quot;001F087D&quot;/&gt;&lt;wsp:rsid wsp:val=&quot;001F0A2D&quot;/&gt;&lt;wsp:rsid wsp:val=&quot;001F0AF1&quot;/&gt;&lt;wsp:rsid wsp:val=&quot;001F1028&quot;/&gt;&lt;wsp:rsid wsp:val=&quot;001F1230&quot;/&gt;&lt;wsp:rsid wsp:val=&quot;001F1778&quot;/&gt;&lt;wsp:rsid wsp:val=&quot;001F1A47&quot;/&gt;&lt;wsp:rsid wsp:val=&quot;001F1C7D&quot;/&gt;&lt;wsp:rsid wsp:val=&quot;001F1D47&quot;/&gt;&lt;wsp:rsid wsp:val=&quot;001F2564&quot;/&gt;&lt;wsp:rsid wsp:val=&quot;001F2779&quot;/&gt;&lt;wsp:rsid wsp:val=&quot;001F2E44&quot;/&gt;&lt;wsp:rsid wsp:val=&quot;001F3051&quot;/&gt;&lt;wsp:rsid wsp:val=&quot;001F31D9&quot;/&gt;&lt;wsp:rsid wsp:val=&quot;001F342D&quot;/&gt;&lt;wsp:rsid wsp:val=&quot;001F35B9&quot;/&gt;&lt;wsp:rsid wsp:val=&quot;001F395C&quot;/&gt;&lt;wsp:rsid wsp:val=&quot;001F399A&quot;/&gt;&lt;wsp:rsid wsp:val=&quot;001F3B40&quot;/&gt;&lt;wsp:rsid wsp:val=&quot;001F4026&quot;/&gt;&lt;wsp:rsid wsp:val=&quot;001F42A4&quot;/&gt;&lt;wsp:rsid wsp:val=&quot;001F42DD&quot;/&gt;&lt;wsp:rsid wsp:val=&quot;001F44DE&quot;/&gt;&lt;wsp:rsid wsp:val=&quot;001F4A12&quot;/&gt;&lt;wsp:rsid wsp:val=&quot;001F4A64&quot;/&gt;&lt;wsp:rsid wsp:val=&quot;001F4B50&quot;/&gt;&lt;wsp:rsid wsp:val=&quot;001F591D&quot;/&gt;&lt;wsp:rsid wsp:val=&quot;001F5BFE&quot;/&gt;&lt;wsp:rsid wsp:val=&quot;001F5FAF&quot;/&gt;&lt;wsp:rsid wsp:val=&quot;001F6325&quot;/&gt;&lt;wsp:rsid wsp:val=&quot;001F653B&quot;/&gt;&lt;wsp:rsid wsp:val=&quot;001F678F&quot;/&gt;&lt;wsp:rsid wsp:val=&quot;001F69FE&quot;/&gt;&lt;wsp:rsid wsp:val=&quot;001F6A0A&quot;/&gt;&lt;wsp:rsid wsp:val=&quot;001F6C9D&quot;/&gt;&lt;wsp:rsid wsp:val=&quot;001F71DE&quot;/&gt;&lt;wsp:rsid wsp:val=&quot;001F728E&quot;/&gt;&lt;wsp:rsid wsp:val=&quot;001F7335&quot;/&gt;&lt;wsp:rsid wsp:val=&quot;001F746B&quot;/&gt;&lt;wsp:rsid wsp:val=&quot;001F783B&quot;/&gt;&lt;wsp:rsid wsp:val=&quot;002004B5&quot;/&gt;&lt;wsp:rsid wsp:val=&quot;00200A58&quot;/&gt;&lt;wsp:rsid wsp:val=&quot;0020115B&quot;/&gt;&lt;wsp:rsid wsp:val=&quot;0020118E&quot;/&gt;&lt;wsp:rsid wsp:val=&quot;00201390&quot;/&gt;&lt;wsp:rsid wsp:val=&quot;00201AD3&quot;/&gt;&lt;wsp:rsid wsp:val=&quot;00201B4F&quot;/&gt;&lt;wsp:rsid wsp:val=&quot;00202731&quot;/&gt;&lt;wsp:rsid wsp:val=&quot;00202FF3&quot;/&gt;&lt;wsp:rsid wsp:val=&quot;00203214&quot;/&gt;&lt;wsp:rsid wsp:val=&quot;00203669&quot;/&gt;&lt;wsp:rsid wsp:val=&quot;00203884&quot;/&gt;&lt;wsp:rsid wsp:val=&quot;00203A11&quot;/&gt;&lt;wsp:rsid wsp:val=&quot;00203A3D&quot;/&gt;&lt;wsp:rsid wsp:val=&quot;00203E63&quot;/&gt;&lt;wsp:rsid wsp:val=&quot;00203F61&quot;/&gt;&lt;wsp:rsid wsp:val=&quot;002040BA&quot;/&gt;&lt;wsp:rsid wsp:val=&quot;00204234&quot;/&gt;&lt;wsp:rsid wsp:val=&quot;00204CB2&quot;/&gt;&lt;wsp:rsid wsp:val=&quot;00204EB1&quot;/&gt;&lt;wsp:rsid wsp:val=&quot;002052F6&quot;/&gt;&lt;wsp:rsid wsp:val=&quot;00205787&quot;/&gt;&lt;wsp:rsid wsp:val=&quot;00205C1E&quot;/&gt;&lt;wsp:rsid wsp:val=&quot;002062A1&quot;/&gt;&lt;wsp:rsid wsp:val=&quot;002062ED&quot;/&gt;&lt;wsp:rsid wsp:val=&quot;002063F5&quot;/&gt;&lt;wsp:rsid wsp:val=&quot;00206B0F&quot;/&gt;&lt;wsp:rsid wsp:val=&quot;00206F17&quot;/&gt;&lt;wsp:rsid wsp:val=&quot;002070B9&quot;/&gt;&lt;wsp:rsid wsp:val=&quot;00207292&quot;/&gt;&lt;wsp:rsid wsp:val=&quot;00207A76&quot;/&gt;&lt;wsp:rsid wsp:val=&quot;00207E9C&quot;/&gt;&lt;wsp:rsid wsp:val=&quot;002109EC&quot;/&gt;&lt;wsp:rsid wsp:val=&quot;00210ED5&quot;/&gt;&lt;wsp:rsid wsp:val=&quot;0021131D&quot;/&gt;&lt;wsp:rsid wsp:val=&quot;00211415&quot;/&gt;&lt;wsp:rsid wsp:val=&quot;0021154F&quot;/&gt;&lt;wsp:rsid wsp:val=&quot;00211603&quot;/&gt;&lt;wsp:rsid wsp:val=&quot;0021178A&quot;/&gt;&lt;wsp:rsid wsp:val=&quot;00211A9D&quot;/&gt;&lt;wsp:rsid wsp:val=&quot;00211E3A&quot;/&gt;&lt;wsp:rsid wsp:val=&quot;00212629&quot;/&gt;&lt;wsp:rsid wsp:val=&quot;00212D0A&quot;/&gt;&lt;wsp:rsid wsp:val=&quot;0021342F&quot;/&gt;&lt;wsp:rsid wsp:val=&quot;00213716&quot;/&gt;&lt;wsp:rsid wsp:val=&quot;00213AA3&quot;/&gt;&lt;wsp:rsid wsp:val=&quot;00213AE7&quot;/&gt;&lt;wsp:rsid wsp:val=&quot;00213CD1&quot;/&gt;&lt;wsp:rsid wsp:val=&quot;002144B9&quot;/&gt;&lt;wsp:rsid wsp:val=&quot;002145B2&quot;/&gt;&lt;wsp:rsid wsp:val=&quot;002148B7&quot;/&gt;&lt;wsp:rsid wsp:val=&quot;00215153&quot;/&gt;&lt;wsp:rsid wsp:val=&quot;002152B4&quot;/&gt;&lt;wsp:rsid wsp:val=&quot;00215363&quot;/&gt;&lt;wsp:rsid wsp:val=&quot;002155D5&quot;/&gt;&lt;wsp:rsid wsp:val=&quot;002157D0&quot;/&gt;&lt;wsp:rsid wsp:val=&quot;002158BB&quot;/&gt;&lt;wsp:rsid wsp:val=&quot;00215923&quot;/&gt;&lt;wsp:rsid wsp:val=&quot;00215B16&quot;/&gt;&lt;wsp:rsid wsp:val=&quot;00216252&quot;/&gt;&lt;wsp:rsid wsp:val=&quot;00216A42&quot;/&gt;&lt;wsp:rsid wsp:val=&quot;0021762E&quot;/&gt;&lt;wsp:rsid wsp:val=&quot;00217863&quot;/&gt;&lt;wsp:rsid wsp:val=&quot;00217875&quot;/&gt;&lt;wsp:rsid wsp:val=&quot;00217C16&quot;/&gt;&lt;wsp:rsid wsp:val=&quot;00217CDD&quot;/&gt;&lt;wsp:rsid wsp:val=&quot;00217DF4&quot;/&gt;&lt;wsp:rsid wsp:val=&quot;00217FF3&quot;/&gt;&lt;wsp:rsid wsp:val=&quot;002201D1&quot;/&gt;&lt;wsp:rsid wsp:val=&quot;0022087F&quot;/&gt;&lt;wsp:rsid wsp:val=&quot;00220A70&quot;/&gt;&lt;wsp:rsid wsp:val=&quot;00220E2B&quot;/&gt;&lt;wsp:rsid wsp:val=&quot;00220FF9&quot;/&gt;&lt;wsp:rsid wsp:val=&quot;00221C9E&quot;/&gt;&lt;wsp:rsid wsp:val=&quot;00221CE5&quot;/&gt;&lt;wsp:rsid wsp:val=&quot;00222238&quot;/&gt;&lt;wsp:rsid wsp:val=&quot;002223C9&quot;/&gt;&lt;wsp:rsid wsp:val=&quot;00222500&quot;/&gt;&lt;wsp:rsid wsp:val=&quot;002226AA&quot;/&gt;&lt;wsp:rsid wsp:val=&quot;0022270D&quot;/&gt;&lt;wsp:rsid wsp:val=&quot;00222C43&quot;/&gt;&lt;wsp:rsid wsp:val=&quot;00222D7F&quot;/&gt;&lt;wsp:rsid wsp:val=&quot;00222DC8&quot;/&gt;&lt;wsp:rsid wsp:val=&quot;002231EE&quot;/&gt;&lt;wsp:rsid wsp:val=&quot;002233E3&quot;/&gt;&lt;wsp:rsid wsp:val=&quot;002239B7&quot;/&gt;&lt;wsp:rsid wsp:val=&quot;00223A30&quot;/&gt;&lt;wsp:rsid wsp:val=&quot;00223B60&quot;/&gt;&lt;wsp:rsid wsp:val=&quot;00223DE6&quot;/&gt;&lt;wsp:rsid wsp:val=&quot;00223F62&quot;/&gt;&lt;wsp:rsid wsp:val=&quot;00223F9C&quot;/&gt;&lt;wsp:rsid wsp:val=&quot;00223FFC&quot;/&gt;&lt;wsp:rsid wsp:val=&quot;002249B1&quot;/&gt;&lt;wsp:rsid wsp:val=&quot;00224B87&quot;/&gt;&lt;wsp:rsid wsp:val=&quot;002252A4&quot;/&gt;&lt;wsp:rsid wsp:val=&quot;002256D7&quot;/&gt;&lt;wsp:rsid wsp:val=&quot;002256F8&quot;/&gt;&lt;wsp:rsid wsp:val=&quot;0022588E&quot;/&gt;&lt;wsp:rsid wsp:val=&quot;00226142&quot;/&gt;&lt;wsp:rsid wsp:val=&quot;00226165&quot;/&gt;&lt;wsp:rsid wsp:val=&quot;0022658A&quot;/&gt;&lt;wsp:rsid wsp:val=&quot;00226901&quot;/&gt;&lt;wsp:rsid wsp:val=&quot;00226C9A&quot;/&gt;&lt;wsp:rsid wsp:val=&quot;00226CAA&quot;/&gt;&lt;wsp:rsid wsp:val=&quot;00226E16&quot;/&gt;&lt;wsp:rsid wsp:val=&quot;00226F0D&quot;/&gt;&lt;wsp:rsid wsp:val=&quot;00226FCA&quot;/&gt;&lt;wsp:rsid wsp:val=&quot;00227818&quot;/&gt;&lt;wsp:rsid wsp:val=&quot;0022783D&quot;/&gt;&lt;wsp:rsid wsp:val=&quot;00227A0E&quot;/&gt;&lt;wsp:rsid wsp:val=&quot;00227CA3&quot;/&gt;&lt;wsp:rsid wsp:val=&quot;00227CAC&quot;/&gt;&lt;wsp:rsid wsp:val=&quot;00227F09&quot;/&gt;&lt;wsp:rsid wsp:val=&quot;002300C7&quot;/&gt;&lt;wsp:rsid wsp:val=&quot;002300D2&quot;/&gt;&lt;wsp:rsid wsp:val=&quot;00230153&quot;/&gt;&lt;wsp:rsid wsp:val=&quot;00230303&quot;/&gt;&lt;wsp:rsid wsp:val=&quot;00230718&quot;/&gt;&lt;wsp:rsid wsp:val=&quot;00230D26&quot;/&gt;&lt;wsp:rsid wsp:val=&quot;002314F1&quot;/&gt;&lt;wsp:rsid wsp:val=&quot;00231683&quot;/&gt;&lt;wsp:rsid wsp:val=&quot;00231CB7&quot;/&gt;&lt;wsp:rsid wsp:val=&quot;00231EF3&quot;/&gt;&lt;wsp:rsid wsp:val=&quot;0023208D&quot;/&gt;&lt;wsp:rsid wsp:val=&quot;00232266&quot;/&gt;&lt;wsp:rsid wsp:val=&quot;002324A6&quot;/&gt;&lt;wsp:rsid wsp:val=&quot;002325A1&quot;/&gt;&lt;wsp:rsid wsp:val=&quot;00232989&quot;/&gt;&lt;wsp:rsid wsp:val=&quot;00232A0A&quot;/&gt;&lt;wsp:rsid wsp:val=&quot;00232B15&quot;/&gt;&lt;wsp:rsid wsp:val=&quot;00232B66&quot;/&gt;&lt;wsp:rsid wsp:val=&quot;00232E63&quot;/&gt;&lt;wsp:rsid wsp:val=&quot;00233149&quot;/&gt;&lt;wsp:rsid wsp:val=&quot;0023329A&quot;/&gt;&lt;wsp:rsid wsp:val=&quot;002333DE&quot;/&gt;&lt;wsp:rsid wsp:val=&quot;00233477&quot;/&gt;&lt;wsp:rsid wsp:val=&quot;00233F42&quot;/&gt;&lt;wsp:rsid wsp:val=&quot;002348CB&quot;/&gt;&lt;wsp:rsid wsp:val=&quot;002349BD&quot;/&gt;&lt;wsp:rsid wsp:val=&quot;00234A0C&quot;/&gt;&lt;wsp:rsid wsp:val=&quot;0023556F&quot;/&gt;&lt;wsp:rsid wsp:val=&quot;00235ACA&quot;/&gt;&lt;wsp:rsid wsp:val=&quot;00236590&quot;/&gt;&lt;wsp:rsid wsp:val=&quot;00236846&quot;/&gt;&lt;wsp:rsid wsp:val=&quot;00236C23&quot;/&gt;&lt;wsp:rsid wsp:val=&quot;00236C72&quot;/&gt;&lt;wsp:rsid wsp:val=&quot;00236C7C&quot;/&gt;&lt;wsp:rsid wsp:val=&quot;00236D67&quot;/&gt;&lt;wsp:rsid wsp:val=&quot;0023725F&quot;/&gt;&lt;wsp:rsid wsp:val=&quot;00237F39&quot;/&gt;&lt;wsp:rsid wsp:val=&quot;002402F2&quot;/&gt;&lt;wsp:rsid wsp:val=&quot;002413BD&quot;/&gt;&lt;wsp:rsid wsp:val=&quot;00241542&quot;/&gt;&lt;wsp:rsid wsp:val=&quot;0024185C&quot;/&gt;&lt;wsp:rsid wsp:val=&quot;002418E7&quot;/&gt;&lt;wsp:rsid wsp:val=&quot;00241A04&quot;/&gt;&lt;wsp:rsid wsp:val=&quot;00241A62&quot;/&gt;&lt;wsp:rsid wsp:val=&quot;00241B80&quot;/&gt;&lt;wsp:rsid wsp:val=&quot;00241C03&quot;/&gt;&lt;wsp:rsid wsp:val=&quot;00241F45&quot;/&gt;&lt;wsp:rsid wsp:val=&quot;00241F5F&quot;/&gt;&lt;wsp:rsid wsp:val=&quot;0024244A&quot;/&gt;&lt;wsp:rsid wsp:val=&quot;0024265F&quot;/&gt;&lt;wsp:rsid wsp:val=&quot;002426C6&quot;/&gt;&lt;wsp:rsid wsp:val=&quot;002427E0&quot;/&gt;&lt;wsp:rsid wsp:val=&quot;00242B14&quot;/&gt;&lt;wsp:rsid wsp:val=&quot;00242C0C&quot;/&gt;&lt;wsp:rsid wsp:val=&quot;00242E31&quot;/&gt;&lt;wsp:rsid wsp:val=&quot;0024301C&quot;/&gt;&lt;wsp:rsid wsp:val=&quot;0024379A&quot;/&gt;&lt;wsp:rsid wsp:val=&quot;00243812&quot;/&gt;&lt;wsp:rsid wsp:val=&quot;00243ACD&quot;/&gt;&lt;wsp:rsid wsp:val=&quot;00243BBE&quot;/&gt;&lt;wsp:rsid wsp:val=&quot;00243C6C&quot;/&gt;&lt;wsp:rsid wsp:val=&quot;0024489F&quot;/&gt;&lt;wsp:rsid wsp:val=&quot;00244FD7&quot;/&gt;&lt;wsp:rsid wsp:val=&quot;0024598B&quot;/&gt;&lt;wsp:rsid wsp:val=&quot;00245AEB&quot;/&gt;&lt;wsp:rsid wsp:val=&quot;002461EA&quot;/&gt;&lt;wsp:rsid wsp:val=&quot;002462E4&quot;/&gt;&lt;wsp:rsid wsp:val=&quot;002467DF&quot;/&gt;&lt;wsp:rsid wsp:val=&quot;0024687E&quot;/&gt;&lt;wsp:rsid wsp:val=&quot;002470B2&quot;/&gt;&lt;wsp:rsid wsp:val=&quot;00247351&quot;/&gt;&lt;wsp:rsid wsp:val=&quot;0024791D&quot;/&gt;&lt;wsp:rsid wsp:val=&quot;00247ACC&quot;/&gt;&lt;wsp:rsid wsp:val=&quot;00247FB1&quot;/&gt;&lt;wsp:rsid wsp:val=&quot;00250170&quot;/&gt;&lt;wsp:rsid wsp:val=&quot;0025022B&quot;/&gt;&lt;wsp:rsid wsp:val=&quot;00251027&quot;/&gt;&lt;wsp:rsid wsp:val=&quot;002510E4&quot;/&gt;&lt;wsp:rsid wsp:val=&quot;0025119D&quot;/&gt;&lt;wsp:rsid wsp:val=&quot;002512E4&quot;/&gt;&lt;wsp:rsid wsp:val=&quot;0025156F&quot;/&gt;&lt;wsp:rsid wsp:val=&quot;00251989&quot;/&gt;&lt;wsp:rsid wsp:val=&quot;00251B43&quot;/&gt;&lt;wsp:rsid wsp:val=&quot;00251FAE&quot;/&gt;&lt;wsp:rsid wsp:val=&quot;002520F8&quot;/&gt;&lt;wsp:rsid wsp:val=&quot;0025211D&quot;/&gt;&lt;wsp:rsid wsp:val=&quot;002526AA&quot;/&gt;&lt;wsp:rsid wsp:val=&quot;0025346F&quot;/&gt;&lt;wsp:rsid wsp:val=&quot;002535C1&quot;/&gt;&lt;wsp:rsid wsp:val=&quot;002535F2&quot;/&gt;&lt;wsp:rsid wsp:val=&quot;00253A28&quot;/&gt;&lt;wsp:rsid wsp:val=&quot;00253B29&quot;/&gt;&lt;wsp:rsid wsp:val=&quot;002540E7&quot;/&gt;&lt;wsp:rsid wsp:val=&quot;0025414B&quot;/&gt;&lt;wsp:rsid wsp:val=&quot;002543FB&quot;/&gt;&lt;wsp:rsid wsp:val=&quot;00254992&quot;/&gt;&lt;wsp:rsid wsp:val=&quot;00254A31&quot;/&gt;&lt;wsp:rsid wsp:val=&quot;00254B17&quot;/&gt;&lt;wsp:rsid wsp:val=&quot;0025529C&quot;/&gt;&lt;wsp:rsid wsp:val=&quot;0025553E&quot;/&gt;&lt;wsp:rsid wsp:val=&quot;002559DA&quot;/&gt;&lt;wsp:rsid wsp:val=&quot;00255A5F&quot;/&gt;&lt;wsp:rsid wsp:val=&quot;002567B3&quot;/&gt;&lt;wsp:rsid wsp:val=&quot;002567D9&quot;/&gt;&lt;wsp:rsid wsp:val=&quot;00257074&quot;/&gt;&lt;wsp:rsid wsp:val=&quot;0025716B&quot;/&gt;&lt;wsp:rsid wsp:val=&quot;002572DE&quot;/&gt;&lt;wsp:rsid wsp:val=&quot;002574AB&quot;/&gt;&lt;wsp:rsid wsp:val=&quot;00257710&quot;/&gt;&lt;wsp:rsid wsp:val=&quot;00257D51&quot;/&gt;&lt;wsp:rsid wsp:val=&quot;00260D34&quot;/&gt;&lt;wsp:rsid wsp:val=&quot;00260E55&quot;/&gt;&lt;wsp:rsid wsp:val=&quot;002617C9&quot;/&gt;&lt;wsp:rsid wsp:val=&quot;002618C2&quot;/&gt;&lt;wsp:rsid wsp:val=&quot;00261D85&quot;/&gt;&lt;wsp:rsid wsp:val=&quot;00262087&quot;/&gt;&lt;wsp:rsid wsp:val=&quot;0026227B&quot;/&gt;&lt;wsp:rsid wsp:val=&quot;00262456&quot;/&gt;&lt;wsp:rsid wsp:val=&quot;0026246C&quot;/&gt;&lt;wsp:rsid wsp:val=&quot;002624A1&quot;/&gt;&lt;wsp:rsid wsp:val=&quot;002627F3&quot;/&gt;&lt;wsp:rsid wsp:val=&quot;00262BD7&quot;/&gt;&lt;wsp:rsid wsp:val=&quot;00262C4D&quot;/&gt;&lt;wsp:rsid wsp:val=&quot;0026359A&quot;/&gt;&lt;wsp:rsid wsp:val=&quot;002636A2&quot;/&gt;&lt;wsp:rsid wsp:val=&quot;002636E9&quot;/&gt;&lt;wsp:rsid wsp:val=&quot;0026396F&quot;/&gt;&lt;wsp:rsid wsp:val=&quot;00263A8D&quot;/&gt;&lt;wsp:rsid wsp:val=&quot;00263C47&quot;/&gt;&lt;wsp:rsid wsp:val=&quot;00263C9F&quot;/&gt;&lt;wsp:rsid wsp:val=&quot;00263E47&quot;/&gt;&lt;wsp:rsid wsp:val=&quot;00263FB4&quot;/&gt;&lt;wsp:rsid wsp:val=&quot;002640D0&quot;/&gt;&lt;wsp:rsid wsp:val=&quot;002643DA&quot;/&gt;&lt;wsp:rsid wsp:val=&quot;002644E2&quot;/&gt;&lt;wsp:rsid wsp:val=&quot;0026461E&quot;/&gt;&lt;wsp:rsid wsp:val=&quot;00264E91&quot;/&gt;&lt;wsp:rsid wsp:val=&quot;00264F6D&quot;/&gt;&lt;wsp:rsid wsp:val=&quot;002655F6&quot;/&gt;&lt;wsp:rsid wsp:val=&quot;0026560C&quot;/&gt;&lt;wsp:rsid wsp:val=&quot;00265FF0&quot;/&gt;&lt;wsp:rsid wsp:val=&quot;00266E09&quot;/&gt;&lt;wsp:rsid wsp:val=&quot;0026739F&quot;/&gt;&lt;wsp:rsid wsp:val=&quot;00267640&quot;/&gt;&lt;wsp:rsid wsp:val=&quot;00270029&quot;/&gt;&lt;wsp:rsid wsp:val=&quot;0027018D&quot;/&gt;&lt;wsp:rsid wsp:val=&quot;00270611&quot;/&gt;&lt;wsp:rsid wsp:val=&quot;00270697&quot;/&gt;&lt;wsp:rsid wsp:val=&quot;00270755&quot;/&gt;&lt;wsp:rsid wsp:val=&quot;00270B47&quot;/&gt;&lt;wsp:rsid wsp:val=&quot;00270D59&quot;/&gt;&lt;wsp:rsid wsp:val=&quot;00271289&quot;/&gt;&lt;wsp:rsid wsp:val=&quot;0027134C&quot;/&gt;&lt;wsp:rsid wsp:val=&quot;00271593&quot;/&gt;&lt;wsp:rsid wsp:val=&quot;002715A6&quot;/&gt;&lt;wsp:rsid wsp:val=&quot;0027161F&quot;/&gt;&lt;wsp:rsid wsp:val=&quot;00271D4D&quot;/&gt;&lt;wsp:rsid wsp:val=&quot;00271E47&quot;/&gt;&lt;wsp:rsid wsp:val=&quot;0027224A&quot;/&gt;&lt;wsp:rsid wsp:val=&quot;002724EF&quot;/&gt;&lt;wsp:rsid wsp:val=&quot;002724F4&quot;/&gt;&lt;wsp:rsid wsp:val=&quot;00272C48&quot;/&gt;&lt;wsp:rsid wsp:val=&quot;002732D0&quot;/&gt;&lt;wsp:rsid wsp:val=&quot;002736D7&quot;/&gt;&lt;wsp:rsid wsp:val=&quot;0027373B&quot;/&gt;&lt;wsp:rsid wsp:val=&quot;00274050&quot;/&gt;&lt;wsp:rsid wsp:val=&quot;00274196&quot;/&gt;&lt;wsp:rsid wsp:val=&quot;00274205&quot;/&gt;&lt;wsp:rsid wsp:val=&quot;002744A3&quot;/&gt;&lt;wsp:rsid wsp:val=&quot;002744AA&quot;/&gt;&lt;wsp:rsid wsp:val=&quot;002747BF&quot;/&gt;&lt;wsp:rsid wsp:val=&quot;002747D0&quot;/&gt;&lt;wsp:rsid wsp:val=&quot;002748ED&quot;/&gt;&lt;wsp:rsid wsp:val=&quot;00274955&quot;/&gt;&lt;wsp:rsid wsp:val=&quot;0027499C&quot;/&gt;&lt;wsp:rsid wsp:val=&quot;00274A6C&quot;/&gt;&lt;wsp:rsid wsp:val=&quot;00274C83&quot;/&gt;&lt;wsp:rsid wsp:val=&quot;00274CDA&quot;/&gt;&lt;wsp:rsid wsp:val=&quot;0027513F&quot;/&gt;&lt;wsp:rsid wsp:val=&quot;00275142&quot;/&gt;&lt;wsp:rsid wsp:val=&quot;00275637&quot;/&gt;&lt;wsp:rsid wsp:val=&quot;002757D0&quot;/&gt;&lt;wsp:rsid wsp:val=&quot;00275A5D&quot;/&gt;&lt;wsp:rsid wsp:val=&quot;00275AD2&quot;/&gt;&lt;wsp:rsid wsp:val=&quot;0027613B&quot;/&gt;&lt;wsp:rsid wsp:val=&quot;0027644C&quot;/&gt;&lt;wsp:rsid wsp:val=&quot;002765AD&quot;/&gt;&lt;wsp:rsid wsp:val=&quot;002767D0&quot;/&gt;&lt;wsp:rsid wsp:val=&quot;00276D6C&quot;/&gt;&lt;wsp:rsid wsp:val=&quot;00276F23&quot;/&gt;&lt;wsp:rsid wsp:val=&quot;0027716C&quot;/&gt;&lt;wsp:rsid wsp:val=&quot;002779DD&quot;/&gt;&lt;wsp:rsid wsp:val=&quot;00277F07&quot;/&gt;&lt;wsp:rsid wsp:val=&quot;0028013C&quot;/&gt;&lt;wsp:rsid wsp:val=&quot;002803DE&quot;/&gt;&lt;wsp:rsid wsp:val=&quot;002804A3&quot;/&gt;&lt;wsp:rsid wsp:val=&quot;00280893&quot;/&gt;&lt;wsp:rsid wsp:val=&quot;002812C9&quot;/&gt;&lt;wsp:rsid wsp:val=&quot;002814EC&quot;/&gt;&lt;wsp:rsid wsp:val=&quot;0028166F&quot;/&gt;&lt;wsp:rsid wsp:val=&quot;00281860&quot;/&gt;&lt;wsp:rsid wsp:val=&quot;00281952&quot;/&gt;&lt;wsp:rsid wsp:val=&quot;00282A78&quot;/&gt;&lt;wsp:rsid wsp:val=&quot;00282B4B&quot;/&gt;&lt;wsp:rsid wsp:val=&quot;00282BDA&quot;/&gt;&lt;wsp:rsid wsp:val=&quot;00282E4D&quot;/&gt;&lt;wsp:rsid wsp:val=&quot;002832E0&quot;/&gt;&lt;wsp:rsid wsp:val=&quot;002833BB&quot;/&gt;&lt;wsp:rsid wsp:val=&quot;0028346E&quot;/&gt;&lt;wsp:rsid wsp:val=&quot;002835C7&quot;/&gt;&lt;wsp:rsid wsp:val=&quot;00284392&quot;/&gt;&lt;wsp:rsid wsp:val=&quot;00284567&quot;/&gt;&lt;wsp:rsid wsp:val=&quot;00284A7F&quot;/&gt;&lt;wsp:rsid wsp:val=&quot;00284BC4&quot;/&gt;&lt;wsp:rsid wsp:val=&quot;00284C0D&quot;/&gt;&lt;wsp:rsid wsp:val=&quot;00285346&quot;/&gt;&lt;wsp:rsid wsp:val=&quot;0028553F&quot;/&gt;&lt;wsp:rsid wsp:val=&quot;00285701&quot;/&gt;&lt;wsp:rsid wsp:val=&quot;00285A7F&quot;/&gt;&lt;wsp:rsid wsp:val=&quot;00285AF2&quot;/&gt;&lt;wsp:rsid wsp:val=&quot;00285FC0&quot;/&gt;&lt;wsp:rsid wsp:val=&quot;00285FC5&quot;/&gt;&lt;wsp:rsid wsp:val=&quot;0028641F&quot;/&gt;&lt;wsp:rsid wsp:val=&quot;002867AA&quot;/&gt;&lt;wsp:rsid wsp:val=&quot;002869F5&quot;/&gt;&lt;wsp:rsid wsp:val=&quot;00286F24&quot;/&gt;&lt;wsp:rsid wsp:val=&quot;00286F32&quot;/&gt;&lt;wsp:rsid wsp:val=&quot;00287223&quot;/&gt;&lt;wsp:rsid wsp:val=&quot;00287681&quot;/&gt;&lt;wsp:rsid wsp:val=&quot;00287EBD&quot;/&gt;&lt;wsp:rsid wsp:val=&quot;00287F8E&quot;/&gt;&lt;wsp:rsid wsp:val=&quot;0029008F&quot;/&gt;&lt;wsp:rsid wsp:val=&quot;0029079A&quot;/&gt;&lt;wsp:rsid wsp:val=&quot;00290A2D&quot;/&gt;&lt;wsp:rsid wsp:val=&quot;002910F2&quot;/&gt;&lt;wsp:rsid wsp:val=&quot;002911F5&quot;/&gt;&lt;wsp:rsid wsp:val=&quot;00291250&quot;/&gt;&lt;wsp:rsid wsp:val=&quot;0029135F&quot;/&gt;&lt;wsp:rsid wsp:val=&quot;0029196D&quot;/&gt;&lt;wsp:rsid wsp:val=&quot;00291A01&quot;/&gt;&lt;wsp:rsid wsp:val=&quot;00291A62&quot;/&gt;&lt;wsp:rsid wsp:val=&quot;00291F28&quot;/&gt;&lt;wsp:rsid wsp:val=&quot;00292687&quot;/&gt;&lt;wsp:rsid wsp:val=&quot;002929B3&quot;/&gt;&lt;wsp:rsid wsp:val=&quot;00292B75&quot;/&gt;&lt;wsp:rsid wsp:val=&quot;00292E90&quot;/&gt;&lt;wsp:rsid wsp:val=&quot;00292F01&quot;/&gt;&lt;wsp:rsid wsp:val=&quot;0029342F&quot;/&gt;&lt;wsp:rsid wsp:val=&quot;002934B1&quot;/&gt;&lt;wsp:rsid wsp:val=&quot;00293626&quot;/&gt;&lt;wsp:rsid wsp:val=&quot;00293B87&quot;/&gt;&lt;wsp:rsid wsp:val=&quot;00293C9E&quot;/&gt;&lt;wsp:rsid wsp:val=&quot;00293DAA&quot;/&gt;&lt;wsp:rsid wsp:val=&quot;00293E69&quot;/&gt;&lt;wsp:rsid wsp:val=&quot;00294076&quot;/&gt;&lt;wsp:rsid wsp:val=&quot;00294094&quot;/&gt;&lt;wsp:rsid wsp:val=&quot;002942B9&quot;/&gt;&lt;wsp:rsid wsp:val=&quot;002944AD&quot;/&gt;&lt;wsp:rsid wsp:val=&quot;00294D12&quot;/&gt;&lt;wsp:rsid wsp:val=&quot;00295814&quot;/&gt;&lt;wsp:rsid wsp:val=&quot;00295EBF&quot;/&gt;&lt;wsp:rsid wsp:val=&quot;00295FCC&quot;/&gt;&lt;wsp:rsid wsp:val=&quot;00296318&quot;/&gt;&lt;wsp:rsid wsp:val=&quot;002963ED&quot;/&gt;&lt;wsp:rsid wsp:val=&quot;00296B3C&quot;/&gt;&lt;wsp:rsid wsp:val=&quot;002976EF&quot;/&gt;&lt;wsp:rsid wsp:val=&quot;00297F6D&quot;/&gt;&lt;wsp:rsid wsp:val=&quot;002A017C&quot;/&gt;&lt;wsp:rsid wsp:val=&quot;002A043F&quot;/&gt;&lt;wsp:rsid wsp:val=&quot;002A082D&quot;/&gt;&lt;wsp:rsid wsp:val=&quot;002A0AC1&quot;/&gt;&lt;wsp:rsid wsp:val=&quot;002A1683&quot;/&gt;&lt;wsp:rsid wsp:val=&quot;002A18F0&quot;/&gt;&lt;wsp:rsid wsp:val=&quot;002A195B&quot;/&gt;&lt;wsp:rsid wsp:val=&quot;002A1B4D&quot;/&gt;&lt;wsp:rsid wsp:val=&quot;002A1D8E&quot;/&gt;&lt;wsp:rsid wsp:val=&quot;002A226C&quot;/&gt;&lt;wsp:rsid wsp:val=&quot;002A25D6&quot;/&gt;&lt;wsp:rsid wsp:val=&quot;002A287D&quot;/&gt;&lt;wsp:rsid wsp:val=&quot;002A30A8&quot;/&gt;&lt;wsp:rsid wsp:val=&quot;002A325C&quot;/&gt;&lt;wsp:rsid wsp:val=&quot;002A354B&quot;/&gt;&lt;wsp:rsid wsp:val=&quot;002A3C55&quot;/&gt;&lt;wsp:rsid wsp:val=&quot;002A3E93&quot;/&gt;&lt;wsp:rsid wsp:val=&quot;002A40B5&quot;/&gt;&lt;wsp:rsid wsp:val=&quot;002A40BF&quot;/&gt;&lt;wsp:rsid wsp:val=&quot;002A438B&quot;/&gt;&lt;wsp:rsid wsp:val=&quot;002A43DA&quot;/&gt;&lt;wsp:rsid wsp:val=&quot;002A4413&quot;/&gt;&lt;wsp:rsid wsp:val=&quot;002A47C6&quot;/&gt;&lt;wsp:rsid wsp:val=&quot;002A4B45&quot;/&gt;&lt;wsp:rsid wsp:val=&quot;002A4F64&quot;/&gt;&lt;wsp:rsid wsp:val=&quot;002A4FAA&quot;/&gt;&lt;wsp:rsid wsp:val=&quot;002A543C&quot;/&gt;&lt;wsp:rsid wsp:val=&quot;002A5850&quot;/&gt;&lt;wsp:rsid wsp:val=&quot;002A5E2B&quot;/&gt;&lt;wsp:rsid wsp:val=&quot;002A60AB&quot;/&gt;&lt;wsp:rsid wsp:val=&quot;002A62D4&quot;/&gt;&lt;wsp:rsid wsp:val=&quot;002A6559&quot;/&gt;&lt;wsp:rsid wsp:val=&quot;002A72E4&quot;/&gt;&lt;wsp:rsid wsp:val=&quot;002A7464&quot;/&gt;&lt;wsp:rsid wsp:val=&quot;002A753D&quot;/&gt;&lt;wsp:rsid wsp:val=&quot;002A76F0&quot;/&gt;&lt;wsp:rsid wsp:val=&quot;002A78B2&quot;/&gt;&lt;wsp:rsid wsp:val=&quot;002A7969&quot;/&gt;&lt;wsp:rsid wsp:val=&quot;002A7DE4&quot;/&gt;&lt;wsp:rsid wsp:val=&quot;002B07B5&quot;/&gt;&lt;wsp:rsid wsp:val=&quot;002B07D5&quot;/&gt;&lt;wsp:rsid wsp:val=&quot;002B0B06&quot;/&gt;&lt;wsp:rsid wsp:val=&quot;002B0B36&quot;/&gt;&lt;wsp:rsid wsp:val=&quot;002B1469&quot;/&gt;&lt;wsp:rsid wsp:val=&quot;002B21F2&quot;/&gt;&lt;wsp:rsid wsp:val=&quot;002B22FF&quot;/&gt;&lt;wsp:rsid wsp:val=&quot;002B2487&quot;/&gt;&lt;wsp:rsid wsp:val=&quot;002B2750&quot;/&gt;&lt;wsp:rsid wsp:val=&quot;002B2CDA&quot;/&gt;&lt;wsp:rsid wsp:val=&quot;002B3B40&quot;/&gt;&lt;wsp:rsid wsp:val=&quot;002B3B45&quot;/&gt;&lt;wsp:rsid wsp:val=&quot;002B3C6E&quot;/&gt;&lt;wsp:rsid wsp:val=&quot;002B4636&quot;/&gt;&lt;wsp:rsid wsp:val=&quot;002B5679&quot;/&gt;&lt;wsp:rsid wsp:val=&quot;002B589F&quot;/&gt;&lt;wsp:rsid wsp:val=&quot;002B5CDE&quot;/&gt;&lt;wsp:rsid wsp:val=&quot;002B6271&quot;/&gt;&lt;wsp:rsid wsp:val=&quot;002B63AB&quot;/&gt;&lt;wsp:rsid wsp:val=&quot;002B6969&quot;/&gt;&lt;wsp:rsid wsp:val=&quot;002B6B15&quot;/&gt;&lt;wsp:rsid wsp:val=&quot;002B6C6C&quot;/&gt;&lt;wsp:rsid wsp:val=&quot;002B6E38&quot;/&gt;&lt;wsp:rsid wsp:val=&quot;002B7093&quot;/&gt;&lt;wsp:rsid wsp:val=&quot;002C028F&quot;/&gt;&lt;wsp:rsid wsp:val=&quot;002C02EC&quot;/&gt;&lt;wsp:rsid wsp:val=&quot;002C02EF&quot;/&gt;&lt;wsp:rsid wsp:val=&quot;002C0435&quot;/&gt;&lt;wsp:rsid wsp:val=&quot;002C0475&quot;/&gt;&lt;wsp:rsid wsp:val=&quot;002C049C&quot;/&gt;&lt;wsp:rsid wsp:val=&quot;002C06A2&quot;/&gt;&lt;wsp:rsid wsp:val=&quot;002C0797&quot;/&gt;&lt;wsp:rsid wsp:val=&quot;002C09C9&quot;/&gt;&lt;wsp:rsid wsp:val=&quot;002C1425&quot;/&gt;&lt;wsp:rsid wsp:val=&quot;002C196B&quot;/&gt;&lt;wsp:rsid wsp:val=&quot;002C1A16&quot;/&gt;&lt;wsp:rsid wsp:val=&quot;002C1D69&quot;/&gt;&lt;wsp:rsid wsp:val=&quot;002C2023&quot;/&gt;&lt;wsp:rsid wsp:val=&quot;002C2E78&quot;/&gt;&lt;wsp:rsid wsp:val=&quot;002C341B&quot;/&gt;&lt;wsp:rsid wsp:val=&quot;002C36FF&quot;/&gt;&lt;wsp:rsid wsp:val=&quot;002C3863&quot;/&gt;&lt;wsp:rsid wsp:val=&quot;002C38D3&quot;/&gt;&lt;wsp:rsid wsp:val=&quot;002C399A&quot;/&gt;&lt;wsp:rsid wsp:val=&quot;002C3F6E&quot;/&gt;&lt;wsp:rsid wsp:val=&quot;002C40E3&quot;/&gt;&lt;wsp:rsid wsp:val=&quot;002C426B&quot;/&gt;&lt;wsp:rsid wsp:val=&quot;002C4910&quot;/&gt;&lt;wsp:rsid wsp:val=&quot;002C51F4&quot;/&gt;&lt;wsp:rsid wsp:val=&quot;002C52BD&quot;/&gt;&lt;wsp:rsid wsp:val=&quot;002C5465&quot;/&gt;&lt;wsp:rsid wsp:val=&quot;002C580B&quot;/&gt;&lt;wsp:rsid wsp:val=&quot;002C5A9A&quot;/&gt;&lt;wsp:rsid wsp:val=&quot;002C5D82&quot;/&gt;&lt;wsp:rsid wsp:val=&quot;002C5F99&quot;/&gt;&lt;wsp:rsid wsp:val=&quot;002C6221&quot;/&gt;&lt;wsp:rsid wsp:val=&quot;002C6936&quot;/&gt;&lt;wsp:rsid wsp:val=&quot;002C6EF6&quot;/&gt;&lt;wsp:rsid wsp:val=&quot;002C70A1&quot;/&gt;&lt;wsp:rsid wsp:val=&quot;002C70EB&quot;/&gt;&lt;wsp:rsid wsp:val=&quot;002C71BC&quot;/&gt;&lt;wsp:rsid wsp:val=&quot;002C7CB3&quot;/&gt;&lt;wsp:rsid wsp:val=&quot;002D01B6&quot;/&gt;&lt;wsp:rsid wsp:val=&quot;002D051A&quot;/&gt;&lt;wsp:rsid wsp:val=&quot;002D066C&quot;/&gt;&lt;wsp:rsid wsp:val=&quot;002D0BD7&quot;/&gt;&lt;wsp:rsid wsp:val=&quot;002D0D75&quot;/&gt;&lt;wsp:rsid wsp:val=&quot;002D17A6&quot;/&gt;&lt;wsp:rsid wsp:val=&quot;002D1F87&quot;/&gt;&lt;wsp:rsid wsp:val=&quot;002D2373&quot;/&gt;&lt;wsp:rsid wsp:val=&quot;002D26F6&quot;/&gt;&lt;wsp:rsid wsp:val=&quot;002D2A19&quot;/&gt;&lt;wsp:rsid wsp:val=&quot;002D2A84&quot;/&gt;&lt;wsp:rsid wsp:val=&quot;002D30BE&quot;/&gt;&lt;wsp:rsid wsp:val=&quot;002D325A&quot;/&gt;&lt;wsp:rsid wsp:val=&quot;002D3A06&quot;/&gt;&lt;wsp:rsid wsp:val=&quot;002D3E99&quot;/&gt;&lt;wsp:rsid wsp:val=&quot;002D3FAD&quot;/&gt;&lt;wsp:rsid wsp:val=&quot;002D4667&quot;/&gt;&lt;wsp:rsid wsp:val=&quot;002D48AC&quot;/&gt;&lt;wsp:rsid wsp:val=&quot;002D4A83&quot;/&gt;&lt;wsp:rsid wsp:val=&quot;002D4C2A&quot;/&gt;&lt;wsp:rsid wsp:val=&quot;002D5156&quot;/&gt;&lt;wsp:rsid wsp:val=&quot;002D5221&quot;/&gt;&lt;wsp:rsid wsp:val=&quot;002D54B2&quot;/&gt;&lt;wsp:rsid wsp:val=&quot;002D5AD5&quot;/&gt;&lt;wsp:rsid wsp:val=&quot;002D5F75&quot;/&gt;&lt;wsp:rsid wsp:val=&quot;002D60C7&quot;/&gt;&lt;wsp:rsid wsp:val=&quot;002D6528&quot;/&gt;&lt;wsp:rsid wsp:val=&quot;002D655D&quot;/&gt;&lt;wsp:rsid wsp:val=&quot;002D6810&quot;/&gt;&lt;wsp:rsid wsp:val=&quot;002D68CE&quot;/&gt;&lt;wsp:rsid wsp:val=&quot;002D68D1&quot;/&gt;&lt;wsp:rsid wsp:val=&quot;002D68F0&quot;/&gt;&lt;wsp:rsid wsp:val=&quot;002D6938&quot;/&gt;&lt;wsp:rsid wsp:val=&quot;002D6EA4&quot;/&gt;&lt;wsp:rsid wsp:val=&quot;002D6F4C&quot;/&gt;&lt;wsp:rsid wsp:val=&quot;002D712B&quot;/&gt;&lt;wsp:rsid wsp:val=&quot;002D7489&quot;/&gt;&lt;wsp:rsid wsp:val=&quot;002D75E1&quot;/&gt;&lt;wsp:rsid wsp:val=&quot;002D7852&quot;/&gt;&lt;wsp:rsid wsp:val=&quot;002D7876&quot;/&gt;&lt;wsp:rsid wsp:val=&quot;002D7F7C&quot;/&gt;&lt;wsp:rsid wsp:val=&quot;002E00F5&quot;/&gt;&lt;wsp:rsid wsp:val=&quot;002E0245&quot;/&gt;&lt;wsp:rsid wsp:val=&quot;002E09BB&quot;/&gt;&lt;wsp:rsid wsp:val=&quot;002E10DC&quot;/&gt;&lt;wsp:rsid wsp:val=&quot;002E155F&quot;/&gt;&lt;wsp:rsid wsp:val=&quot;002E1B96&quot;/&gt;&lt;wsp:rsid wsp:val=&quot;002E1D4F&quot;/&gt;&lt;wsp:rsid wsp:val=&quot;002E1F15&quot;/&gt;&lt;wsp:rsid wsp:val=&quot;002E1F17&quot;/&gt;&lt;wsp:rsid wsp:val=&quot;002E205D&quot;/&gt;&lt;wsp:rsid wsp:val=&quot;002E22DB&quot;/&gt;&lt;wsp:rsid wsp:val=&quot;002E28BB&quot;/&gt;&lt;wsp:rsid wsp:val=&quot;002E2C03&quot;/&gt;&lt;wsp:rsid wsp:val=&quot;002E2EC0&quot;/&gt;&lt;wsp:rsid wsp:val=&quot;002E3387&quot;/&gt;&lt;wsp:rsid wsp:val=&quot;002E34D6&quot;/&gt;&lt;wsp:rsid wsp:val=&quot;002E3B88&quot;/&gt;&lt;wsp:rsid wsp:val=&quot;002E3D5B&quot;/&gt;&lt;wsp:rsid wsp:val=&quot;002E3DAD&quot;/&gt;&lt;wsp:rsid wsp:val=&quot;002E3ED7&quot;/&gt;&lt;wsp:rsid wsp:val=&quot;002E4583&quot;/&gt;&lt;wsp:rsid wsp:val=&quot;002E4707&quot;/&gt;&lt;wsp:rsid wsp:val=&quot;002E4B35&quot;/&gt;&lt;wsp:rsid wsp:val=&quot;002E542B&quot;/&gt;&lt;wsp:rsid wsp:val=&quot;002E6D9B&quot;/&gt;&lt;wsp:rsid wsp:val=&quot;002E7A1F&quot;/&gt;&lt;wsp:rsid wsp:val=&quot;002E7AE0&quot;/&gt;&lt;wsp:rsid wsp:val=&quot;002E7B93&quot;/&gt;&lt;wsp:rsid wsp:val=&quot;002E7F73&quot;/&gt;&lt;wsp:rsid wsp:val=&quot;002F0117&quot;/&gt;&lt;wsp:rsid wsp:val=&quot;002F033F&quot;/&gt;&lt;wsp:rsid wsp:val=&quot;002F0447&quot;/&gt;&lt;wsp:rsid wsp:val=&quot;002F046F&quot;/&gt;&lt;wsp:rsid wsp:val=&quot;002F0546&quot;/&gt;&lt;wsp:rsid wsp:val=&quot;002F0E28&quot;/&gt;&lt;wsp:rsid wsp:val=&quot;002F0F50&quot;/&gt;&lt;wsp:rsid wsp:val=&quot;002F0FBF&quot;/&gt;&lt;wsp:rsid wsp:val=&quot;002F12A5&quot;/&gt;&lt;wsp:rsid wsp:val=&quot;002F1589&quot;/&gt;&lt;wsp:rsid wsp:val=&quot;002F17EF&quot;/&gt;&lt;wsp:rsid wsp:val=&quot;002F1969&quot;/&gt;&lt;wsp:rsid wsp:val=&quot;002F1FC7&quot;/&gt;&lt;wsp:rsid wsp:val=&quot;002F2886&quot;/&gt;&lt;wsp:rsid wsp:val=&quot;002F309F&quot;/&gt;&lt;wsp:rsid wsp:val=&quot;002F33C7&quot;/&gt;&lt;wsp:rsid wsp:val=&quot;002F3538&quot;/&gt;&lt;wsp:rsid wsp:val=&quot;002F3CF1&quot;/&gt;&lt;wsp:rsid wsp:val=&quot;002F3D37&quot;/&gt;&lt;wsp:rsid wsp:val=&quot;002F42BA&quot;/&gt;&lt;wsp:rsid wsp:val=&quot;002F452B&quot;/&gt;&lt;wsp:rsid wsp:val=&quot;002F4635&quot;/&gt;&lt;wsp:rsid wsp:val=&quot;002F4CC1&quot;/&gt;&lt;wsp:rsid wsp:val=&quot;002F4E53&quot;/&gt;&lt;wsp:rsid wsp:val=&quot;002F4E82&quot;/&gt;&lt;wsp:rsid wsp:val=&quot;002F4FEE&quot;/&gt;&lt;wsp:rsid wsp:val=&quot;002F50B4&quot;/&gt;&lt;wsp:rsid wsp:val=&quot;002F5550&quot;/&gt;&lt;wsp:rsid wsp:val=&quot;002F57FD&quot;/&gt;&lt;wsp:rsid wsp:val=&quot;002F5DB6&quot;/&gt;&lt;wsp:rsid wsp:val=&quot;002F5EEF&quot;/&gt;&lt;wsp:rsid wsp:val=&quot;002F5FFD&quot;/&gt;&lt;wsp:rsid wsp:val=&quot;002F6510&quot;/&gt;&lt;wsp:rsid wsp:val=&quot;002F6A30&quot;/&gt;&lt;wsp:rsid wsp:val=&quot;002F6C71&quot;/&gt;&lt;wsp:rsid wsp:val=&quot;002F762A&quot;/&gt;&lt;wsp:rsid wsp:val=&quot;002F7CDE&quot;/&gt;&lt;wsp:rsid wsp:val=&quot;00300614&quot;/&gt;&lt;wsp:rsid wsp:val=&quot;0030079A&quot;/&gt;&lt;wsp:rsid wsp:val=&quot;00300A4F&quot;/&gt;&lt;wsp:rsid wsp:val=&quot;003011E0&quot;/&gt;&lt;wsp:rsid wsp:val=&quot;00301AB9&quot;/&gt;&lt;wsp:rsid wsp:val=&quot;00301E31&quot;/&gt;&lt;wsp:rsid wsp:val=&quot;003020F0&quot;/&gt;&lt;wsp:rsid wsp:val=&quot;003021E3&quot;/&gt;&lt;wsp:rsid wsp:val=&quot;003021EB&quot;/&gt;&lt;wsp:rsid wsp:val=&quot;0030234F&quot;/&gt;&lt;wsp:rsid wsp:val=&quot;003024F1&quot;/&gt;&lt;wsp:rsid wsp:val=&quot;00302C47&quot;/&gt;&lt;wsp:rsid wsp:val=&quot;00302DE7&quot;/&gt;&lt;wsp:rsid wsp:val=&quot;00302E2C&quot;/&gt;&lt;wsp:rsid wsp:val=&quot;0030381E&quot;/&gt;&lt;wsp:rsid wsp:val=&quot;00303848&quot;/&gt;&lt;wsp:rsid wsp:val=&quot;00303894&quot;/&gt;&lt;wsp:rsid wsp:val=&quot;00303A13&quot;/&gt;&lt;wsp:rsid wsp:val=&quot;00303D41&quot;/&gt;&lt;wsp:rsid wsp:val=&quot;0030400B&quot;/&gt;&lt;wsp:rsid wsp:val=&quot;003040BB&quot;/&gt;&lt;wsp:rsid wsp:val=&quot;003042E2&quot;/&gt;&lt;wsp:rsid wsp:val=&quot;00304465&quot;/&gt;&lt;wsp:rsid wsp:val=&quot;00304543&quot;/&gt;&lt;wsp:rsid wsp:val=&quot;00304659&quot;/&gt;&lt;wsp:rsid wsp:val=&quot;00304816&quot;/&gt;&lt;wsp:rsid wsp:val=&quot;00305216&quot;/&gt;&lt;wsp:rsid wsp:val=&quot;00305929&quot;/&gt;&lt;wsp:rsid wsp:val=&quot;00305A87&quot;/&gt;&lt;wsp:rsid wsp:val=&quot;003064CB&quot;/&gt;&lt;wsp:rsid wsp:val=&quot;00306A6A&quot;/&gt;&lt;wsp:rsid wsp:val=&quot;00306AA7&quot;/&gt;&lt;wsp:rsid wsp:val=&quot;00306CB1&quot;/&gt;&lt;wsp:rsid wsp:val=&quot;00306F51&quot;/&gt;&lt;wsp:rsid wsp:val=&quot;00306F9A&quot;/&gt;&lt;wsp:rsid wsp:val=&quot;00307117&quot;/&gt;&lt;wsp:rsid wsp:val=&quot;00307711&quot;/&gt;&lt;wsp:rsid wsp:val=&quot;003077AC&quot;/&gt;&lt;wsp:rsid wsp:val=&quot;00307B03&quot;/&gt;&lt;wsp:rsid wsp:val=&quot;0031013A&quot;/&gt;&lt;wsp:rsid wsp:val=&quot;0031018C&quot;/&gt;&lt;wsp:rsid wsp:val=&quot;003105B2&quot;/&gt;&lt;wsp:rsid wsp:val=&quot;00310832&quot;/&gt;&lt;wsp:rsid wsp:val=&quot;00310AC6&quot;/&gt;&lt;wsp:rsid wsp:val=&quot;00310E02&quot;/&gt;&lt;wsp:rsid wsp:val=&quot;003111BD&quot;/&gt;&lt;wsp:rsid wsp:val=&quot;00311355&quot;/&gt;&lt;wsp:rsid wsp:val=&quot;003118E0&quot;/&gt;&lt;wsp:rsid wsp:val=&quot;00311967&quot;/&gt;&lt;wsp:rsid wsp:val=&quot;00311BFF&quot;/&gt;&lt;wsp:rsid wsp:val=&quot;0031201D&quot;/&gt;&lt;wsp:rsid wsp:val=&quot;003124A8&quot;/&gt;&lt;wsp:rsid wsp:val=&quot;0031286E&quot;/&gt;&lt;wsp:rsid wsp:val=&quot;00312EEF&quot;/&gt;&lt;wsp:rsid wsp:val=&quot;00312FD4&quot;/&gt;&lt;wsp:rsid wsp:val=&quot;0031302C&quot;/&gt;&lt;wsp:rsid wsp:val=&quot;00313A91&quot;/&gt;&lt;wsp:rsid wsp:val=&quot;00313C73&quot;/&gt;&lt;wsp:rsid wsp:val=&quot;0031435C&quot;/&gt;&lt;wsp:rsid wsp:val=&quot;003144DA&quot;/&gt;&lt;wsp:rsid wsp:val=&quot;00314577&quot;/&gt;&lt;wsp:rsid wsp:val=&quot;003145BA&quot;/&gt;&lt;wsp:rsid wsp:val=&quot;003146B3&quot;/&gt;&lt;wsp:rsid wsp:val=&quot;003148C5&quot;/&gt;&lt;wsp:rsid wsp:val=&quot;003148E8&quot;/&gt;&lt;wsp:rsid wsp:val=&quot;0031494A&quot;/&gt;&lt;wsp:rsid wsp:val=&quot;00314D64&quot;/&gt;&lt;wsp:rsid wsp:val=&quot;003153AB&quot;/&gt;&lt;wsp:rsid wsp:val=&quot;00315C1F&quot;/&gt;&lt;wsp:rsid wsp:val=&quot;00316A8D&quot;/&gt;&lt;wsp:rsid wsp:val=&quot;00316B3D&quot;/&gt;&lt;wsp:rsid wsp:val=&quot;0031710A&quot;/&gt;&lt;wsp:rsid wsp:val=&quot;0031727B&quot;/&gt;&lt;wsp:rsid wsp:val=&quot;003173FE&quot;/&gt;&lt;wsp:rsid wsp:val=&quot;0031743E&quot;/&gt;&lt;wsp:rsid wsp:val=&quot;003175D3&quot;/&gt;&lt;wsp:rsid wsp:val=&quot;003176EF&quot;/&gt;&lt;wsp:rsid wsp:val=&quot;00317939&quot;/&gt;&lt;wsp:rsid wsp:val=&quot;00317951&quot;/&gt;&lt;wsp:rsid wsp:val=&quot;003179E4&quot;/&gt;&lt;wsp:rsid wsp:val=&quot;00317A5B&quot;/&gt;&lt;wsp:rsid wsp:val=&quot;00317B85&quot;/&gt;&lt;wsp:rsid wsp:val=&quot;00317C82&quot;/&gt;&lt;wsp:rsid wsp:val=&quot;00317C8D&quot;/&gt;&lt;wsp:rsid wsp:val=&quot;00320125&quot;/&gt;&lt;wsp:rsid wsp:val=&quot;00320258&quot;/&gt;&lt;wsp:rsid wsp:val=&quot;00320778&quot;/&gt;&lt;wsp:rsid wsp:val=&quot;003208F1&quot;/&gt;&lt;wsp:rsid wsp:val=&quot;00320B46&quot;/&gt;&lt;wsp:rsid wsp:val=&quot;00321345&quot;/&gt;&lt;wsp:rsid wsp:val=&quot;003219C6&quot;/&gt;&lt;wsp:rsid wsp:val=&quot;00321BAA&quot;/&gt;&lt;wsp:rsid wsp:val=&quot;00321FE8&quot;/&gt;&lt;wsp:rsid wsp:val=&quot;003228E7&quot;/&gt;&lt;wsp:rsid wsp:val=&quot;00322C86&quot;/&gt;&lt;wsp:rsid wsp:val=&quot;00322F9C&quot;/&gt;&lt;wsp:rsid wsp:val=&quot;00323064&quot;/&gt;&lt;wsp:rsid wsp:val=&quot;00323789&quot;/&gt;&lt;wsp:rsid wsp:val=&quot;003237CD&quot;/&gt;&lt;wsp:rsid wsp:val=&quot;003239FE&quot;/&gt;&lt;wsp:rsid wsp:val=&quot;00323A36&quot;/&gt;&lt;wsp:rsid wsp:val=&quot;00323C3F&quot;/&gt;&lt;wsp:rsid wsp:val=&quot;00324043&quot;/&gt;&lt;wsp:rsid wsp:val=&quot;003240C6&quot;/&gt;&lt;wsp:rsid wsp:val=&quot;003240DB&quot;/&gt;&lt;wsp:rsid wsp:val=&quot;00324172&quot;/&gt;&lt;wsp:rsid wsp:val=&quot;003243F1&quot;/&gt;&lt;wsp:rsid wsp:val=&quot;00324811&quot;/&gt;&lt;wsp:rsid wsp:val=&quot;00324D96&quot;/&gt;&lt;wsp:rsid wsp:val=&quot;003251F5&quot;/&gt;&lt;wsp:rsid wsp:val=&quot;003251FD&quot;/&gt;&lt;wsp:rsid wsp:val=&quot;003252DE&quot;/&gt;&lt;wsp:rsid wsp:val=&quot;0032561C&quot;/&gt;&lt;wsp:rsid wsp:val=&quot;003256BF&quot;/&gt;&lt;wsp:rsid wsp:val=&quot;0032627E&quot;/&gt;&lt;wsp:rsid wsp:val=&quot;003263D2&quot;/&gt;&lt;wsp:rsid wsp:val=&quot;003265DD&quot;/&gt;&lt;wsp:rsid wsp:val=&quot;00326D3E&quot;/&gt;&lt;wsp:rsid wsp:val=&quot;0032714F&quot;/&gt;&lt;wsp:rsid wsp:val=&quot;0032737B&quot;/&gt;&lt;wsp:rsid wsp:val=&quot;0032755B&quot;/&gt;&lt;wsp:rsid wsp:val=&quot;0032756B&quot;/&gt;&lt;wsp:rsid wsp:val=&quot;003278B6&quot;/&gt;&lt;wsp:rsid wsp:val=&quot;00327A8B&quot;/&gt;&lt;wsp:rsid wsp:val=&quot;00327CA0&quot;/&gt;&lt;wsp:rsid wsp:val=&quot;00327E04&quot;/&gt;&lt;wsp:rsid wsp:val=&quot;00327E52&quot;/&gt;&lt;wsp:rsid wsp:val=&quot;00330024&quot;/&gt;&lt;wsp:rsid wsp:val=&quot;0033034B&quot;/&gt;&lt;wsp:rsid wsp:val=&quot;00330B34&quot;/&gt;&lt;wsp:rsid wsp:val=&quot;00331365&quot;/&gt;&lt;wsp:rsid wsp:val=&quot;003316ED&quot;/&gt;&lt;wsp:rsid wsp:val=&quot;0033175A&quot;/&gt;&lt;wsp:rsid wsp:val=&quot;003318EC&quot;/&gt;&lt;wsp:rsid wsp:val=&quot;00331ACB&quot;/&gt;&lt;wsp:rsid wsp:val=&quot;0033226E&quot;/&gt;&lt;wsp:rsid wsp:val=&quot;003322C0&quot;/&gt;&lt;wsp:rsid wsp:val=&quot;0033245B&quot;/&gt;&lt;wsp:rsid wsp:val=&quot;003327D1&quot;/&gt;&lt;wsp:rsid wsp:val=&quot;00332A9F&quot;/&gt;&lt;wsp:rsid wsp:val=&quot;00332C11&quot;/&gt;&lt;wsp:rsid wsp:val=&quot;0033316B&quot;/&gt;&lt;wsp:rsid wsp:val=&quot;003331E4&quot;/&gt;&lt;wsp:rsid wsp:val=&quot;003332A5&quot;/&gt;&lt;wsp:rsid wsp:val=&quot;003332B4&quot;/&gt;&lt;wsp:rsid wsp:val=&quot;003332C9&quot;/&gt;&lt;wsp:rsid wsp:val=&quot;00333498&quot;/&gt;&lt;wsp:rsid wsp:val=&quot;00333521&quot;/&gt;&lt;wsp:rsid wsp:val=&quot;00333680&quot;/&gt;&lt;wsp:rsid wsp:val=&quot;00333F62&quot;/&gt;&lt;wsp:rsid wsp:val=&quot;003340C4&quot;/&gt;&lt;wsp:rsid wsp:val=&quot;003342C3&quot;/&gt;&lt;wsp:rsid wsp:val=&quot;00334AB7&quot;/&gt;&lt;wsp:rsid wsp:val=&quot;00334DBD&quot;/&gt;&lt;wsp:rsid wsp:val=&quot;00334F85&quot;/&gt;&lt;wsp:rsid wsp:val=&quot;0033524F&quot;/&gt;&lt;wsp:rsid wsp:val=&quot;003354E8&quot;/&gt;&lt;wsp:rsid wsp:val=&quot;00335704&quot;/&gt;&lt;wsp:rsid wsp:val=&quot;00335B8C&quot;/&gt;&lt;wsp:rsid wsp:val=&quot;00335BEC&quot;/&gt;&lt;wsp:rsid wsp:val=&quot;00335C3B&quot;/&gt;&lt;wsp:rsid wsp:val=&quot;00335FEF&quot;/&gt;&lt;wsp:rsid wsp:val=&quot;00336121&quot;/&gt;&lt;wsp:rsid wsp:val=&quot;00336146&quot;/&gt;&lt;wsp:rsid wsp:val=&quot;003369C1&quot;/&gt;&lt;wsp:rsid wsp:val=&quot;00336D68&quot;/&gt;&lt;wsp:rsid wsp:val=&quot;00336D7E&quot;/&gt;&lt;wsp:rsid wsp:val=&quot;00337075&quot;/&gt;&lt;wsp:rsid wsp:val=&quot;0033707C&quot;/&gt;&lt;wsp:rsid wsp:val=&quot;003373A9&quot;/&gt;&lt;wsp:rsid wsp:val=&quot;003373F7&quot;/&gt;&lt;wsp:rsid wsp:val=&quot;003375F2&quot;/&gt;&lt;wsp:rsid wsp:val=&quot;0033764C&quot;/&gt;&lt;wsp:rsid wsp:val=&quot;003379E1&quot;/&gt;&lt;wsp:rsid wsp:val=&quot;0034005A&quot;/&gt;&lt;wsp:rsid wsp:val=&quot;00340105&quot;/&gt;&lt;wsp:rsid wsp:val=&quot;003405F2&quot;/&gt;&lt;wsp:rsid wsp:val=&quot;0034077B&quot;/&gt;&lt;wsp:rsid wsp:val=&quot;00340B3C&quot;/&gt;&lt;wsp:rsid wsp:val=&quot;00340EA3&quot;/&gt;&lt;wsp:rsid wsp:val=&quot;00340EC3&quot;/&gt;&lt;wsp:rsid wsp:val=&quot;00341352&quot;/&gt;&lt;wsp:rsid wsp:val=&quot;0034136D&quot;/&gt;&lt;wsp:rsid wsp:val=&quot;00341648&quot;/&gt;&lt;wsp:rsid wsp:val=&quot;00341871&quot;/&gt;&lt;wsp:rsid wsp:val=&quot;00341BA2&quot;/&gt;&lt;wsp:rsid wsp:val=&quot;0034246D&quot;/&gt;&lt;wsp:rsid wsp:val=&quot;003426DD&quot;/&gt;&lt;wsp:rsid wsp:val=&quot;003429BB&quot;/&gt;&lt;wsp:rsid wsp:val=&quot;00342C6D&quot;/&gt;&lt;wsp:rsid wsp:val=&quot;00342D91&quot;/&gt;&lt;wsp:rsid wsp:val=&quot;0034360D&quot;/&gt;&lt;wsp:rsid wsp:val=&quot;00343823&quot;/&gt;&lt;wsp:rsid wsp:val=&quot;00343AEB&quot;/&gt;&lt;wsp:rsid wsp:val=&quot;00343B37&quot;/&gt;&lt;wsp:rsid wsp:val=&quot;003441AF&quot;/&gt;&lt;wsp:rsid wsp:val=&quot;0034430C&quot;/&gt;&lt;wsp:rsid wsp:val=&quot;0034477E&quot;/&gt;&lt;wsp:rsid wsp:val=&quot;0034499B&quot;/&gt;&lt;wsp:rsid wsp:val=&quot;003449EE&quot;/&gt;&lt;wsp:rsid wsp:val=&quot;00344C86&quot;/&gt;&lt;wsp:rsid wsp:val=&quot;00345346&quot;/&gt;&lt;wsp:rsid wsp:val=&quot;003459A5&quot;/&gt;&lt;wsp:rsid wsp:val=&quot;00345E3E&quot;/&gt;&lt;wsp:rsid wsp:val=&quot;00345E83&quot;/&gt;&lt;wsp:rsid wsp:val=&quot;003461A8&quot;/&gt;&lt;wsp:rsid wsp:val=&quot;003461B5&quot;/&gt;&lt;wsp:rsid wsp:val=&quot;0034647F&quot;/&gt;&lt;wsp:rsid wsp:val=&quot;003465BD&quot;/&gt;&lt;wsp:rsid wsp:val=&quot;003467BA&quot;/&gt;&lt;wsp:rsid wsp:val=&quot;003472CE&quot;/&gt;&lt;wsp:rsid wsp:val=&quot;003474C7&quot;/&gt;&lt;wsp:rsid wsp:val=&quot;00347AEC&quot;/&gt;&lt;wsp:rsid wsp:val=&quot;00350027&quot;/&gt;&lt;wsp:rsid wsp:val=&quot;003501D8&quot;/&gt;&lt;wsp:rsid wsp:val=&quot;003506E8&quot;/&gt;&lt;wsp:rsid wsp:val=&quot;00350808&quot;/&gt;&lt;wsp:rsid wsp:val=&quot;00350B40&quot;/&gt;&lt;wsp:rsid wsp:val=&quot;00350BE1&quot;/&gt;&lt;wsp:rsid wsp:val=&quot;00350C45&quot;/&gt;&lt;wsp:rsid wsp:val=&quot;00350D37&quot;/&gt;&lt;wsp:rsid wsp:val=&quot;003513D0&quot;/&gt;&lt;wsp:rsid wsp:val=&quot;00351544&quot;/&gt;&lt;wsp:rsid wsp:val=&quot;00351D23&quot;/&gt;&lt;wsp:rsid wsp:val=&quot;00352111&quot;/&gt;&lt;wsp:rsid wsp:val=&quot;0035243E&quot;/&gt;&lt;wsp:rsid wsp:val=&quot;003529B5&quot;/&gt;&lt;wsp:rsid wsp:val=&quot;003529C4&quot;/&gt;&lt;wsp:rsid wsp:val=&quot;00352D51&quot;/&gt;&lt;wsp:rsid wsp:val=&quot;0035318B&quot;/&gt;&lt;wsp:rsid wsp:val=&quot;0035377D&quot;/&gt;&lt;wsp:rsid wsp:val=&quot;00353951&quot;/&gt;&lt;wsp:rsid wsp:val=&quot;00353DEF&quot;/&gt;&lt;wsp:rsid wsp:val=&quot;003548CE&quot;/&gt;&lt;wsp:rsid wsp:val=&quot;003550CB&quot;/&gt;&lt;wsp:rsid wsp:val=&quot;0035532F&quot;/&gt;&lt;wsp:rsid wsp:val=&quot;00355506&quot;/&gt;&lt;wsp:rsid wsp:val=&quot;0035582D&quot;/&gt;&lt;wsp:rsid wsp:val=&quot;003558B6&quot;/&gt;&lt;wsp:rsid wsp:val=&quot;0035596F&quot;/&gt;&lt;wsp:rsid wsp:val=&quot;00355B23&quot;/&gt;&lt;wsp:rsid wsp:val=&quot;003564AF&quot;/&gt;&lt;wsp:rsid wsp:val=&quot;003576FD&quot;/&gt;&lt;wsp:rsid wsp:val=&quot;0035786F&quot;/&gt;&lt;wsp:rsid wsp:val=&quot;00357B2B&quot;/&gt;&lt;wsp:rsid wsp:val=&quot;00357BD4&quot;/&gt;&lt;wsp:rsid wsp:val=&quot;0036002A&quot;/&gt;&lt;wsp:rsid wsp:val=&quot;0036041D&quot;/&gt;&lt;wsp:rsid wsp:val=&quot;00360810&quot;/&gt;&lt;wsp:rsid wsp:val=&quot;00360C9D&quot;/&gt;&lt;wsp:rsid wsp:val=&quot;00360FA1&quot;/&gt;&lt;wsp:rsid wsp:val=&quot;003611FD&quot;/&gt;&lt;wsp:rsid wsp:val=&quot;00361663&quot;/&gt;&lt;wsp:rsid wsp:val=&quot;00361B72&quot;/&gt;&lt;wsp:rsid wsp:val=&quot;00361FD5&quot;/&gt;&lt;wsp:rsid wsp:val=&quot;003620B5&quot;/&gt;&lt;wsp:rsid wsp:val=&quot;003620DB&quot;/&gt;&lt;wsp:rsid wsp:val=&quot;003621B7&quot;/&gt;&lt;wsp:rsid wsp:val=&quot;0036259B&quot;/&gt;&lt;wsp:rsid wsp:val=&quot;00362A92&quot;/&gt;&lt;wsp:rsid wsp:val=&quot;00362BC1&quot;/&gt;&lt;wsp:rsid wsp:val=&quot;00362FE2&quot;/&gt;&lt;wsp:rsid wsp:val=&quot;003630BD&quot;/&gt;&lt;wsp:rsid wsp:val=&quot;0036312A&quot;/&gt;&lt;wsp:rsid wsp:val=&quot;00363568&quot;/&gt;&lt;wsp:rsid wsp:val=&quot;003638A2&quot;/&gt;&lt;wsp:rsid wsp:val=&quot;00363E3B&quot;/&gt;&lt;wsp:rsid wsp:val=&quot;00363E47&quot;/&gt;&lt;wsp:rsid wsp:val=&quot;0036416D&quot;/&gt;&lt;wsp:rsid wsp:val=&quot;00364582&quot;/&gt;&lt;wsp:rsid wsp:val=&quot;003645D7&quot;/&gt;&lt;wsp:rsid wsp:val=&quot;00364A82&quot;/&gt;&lt;wsp:rsid wsp:val=&quot;00365286&quot;/&gt;&lt;wsp:rsid wsp:val=&quot;00365C52&quot;/&gt;&lt;wsp:rsid wsp:val=&quot;00365F41&quot;/&gt;&lt;wsp:rsid wsp:val=&quot;00366017&quot;/&gt;&lt;wsp:rsid wsp:val=&quot;00366401&quot;/&gt;&lt;wsp:rsid wsp:val=&quot;00366520&quot;/&gt;&lt;wsp:rsid wsp:val=&quot;003666EE&quot;/&gt;&lt;wsp:rsid wsp:val=&quot;00366833&quot;/&gt;&lt;wsp:rsid wsp:val=&quot;00366FF4&quot;/&gt;&lt;wsp:rsid wsp:val=&quot;0036702E&quot;/&gt;&lt;wsp:rsid wsp:val=&quot;00367099&quot;/&gt;&lt;wsp:rsid wsp:val=&quot;00367116&quot;/&gt;&lt;wsp:rsid wsp:val=&quot;003671C2&quot;/&gt;&lt;wsp:rsid wsp:val=&quot;003673CB&quot;/&gt;&lt;wsp:rsid wsp:val=&quot;00367508&quot;/&gt;&lt;wsp:rsid wsp:val=&quot;00367CAA&quot;/&gt;&lt;wsp:rsid wsp:val=&quot;00370218&quot;/&gt;&lt;wsp:rsid wsp:val=&quot;00370956&quot;/&gt;&lt;wsp:rsid wsp:val=&quot;00370A0F&quot;/&gt;&lt;wsp:rsid wsp:val=&quot;00370D91&quot;/&gt;&lt;wsp:rsid wsp:val=&quot;00371DDF&quot;/&gt;&lt;wsp:rsid wsp:val=&quot;00371E75&quot;/&gt;&lt;wsp:rsid wsp:val=&quot;00372B2C&quot;/&gt;&lt;wsp:rsid wsp:val=&quot;00372B94&quot;/&gt;&lt;wsp:rsid wsp:val=&quot;00372E1F&quot;/&gt;&lt;wsp:rsid wsp:val=&quot;0037305D&quot;/&gt;&lt;wsp:rsid wsp:val=&quot;00373080&quot;/&gt;&lt;wsp:rsid wsp:val=&quot;0037327A&quot;/&gt;&lt;wsp:rsid wsp:val=&quot;003733B9&quot;/&gt;&lt;wsp:rsid wsp:val=&quot;003734EA&quot;/&gt;&lt;wsp:rsid wsp:val=&quot;00373772&quot;/&gt;&lt;wsp:rsid wsp:val=&quot;0037381A&quot;/&gt;&lt;wsp:rsid wsp:val=&quot;00373863&quot;/&gt;&lt;wsp:rsid wsp:val=&quot;0037417F&quot;/&gt;&lt;wsp:rsid wsp:val=&quot;0037434F&quot;/&gt;&lt;wsp:rsid wsp:val=&quot;003744B2&quot;/&gt;&lt;wsp:rsid wsp:val=&quot;00374A1A&quot;/&gt;&lt;wsp:rsid wsp:val=&quot;00374CFC&quot;/&gt;&lt;wsp:rsid wsp:val=&quot;003751DB&quot;/&gt;&lt;wsp:rsid wsp:val=&quot;00375561&quot;/&gt;&lt;wsp:rsid wsp:val=&quot;0037566E&quot;/&gt;&lt;wsp:rsid wsp:val=&quot;0037573E&quot;/&gt;&lt;wsp:rsid wsp:val=&quot;0037587B&quot;/&gt;&lt;wsp:rsid wsp:val=&quot;00375FE1&quot;/&gt;&lt;wsp:rsid wsp:val=&quot;0037620D&quot;/&gt;&lt;wsp:rsid wsp:val=&quot;00376889&quot;/&gt;&lt;wsp:rsid wsp:val=&quot;0037688C&quot;/&gt;&lt;wsp:rsid wsp:val=&quot;0037736A&quot;/&gt;&lt;wsp:rsid wsp:val=&quot;003778DE&quot;/&gt;&lt;wsp:rsid wsp:val=&quot;00377A92&quot;/&gt;&lt;wsp:rsid wsp:val=&quot;00377CAB&quot;/&gt;&lt;wsp:rsid wsp:val=&quot;00377CCF&quot;/&gt;&lt;wsp:rsid wsp:val=&quot;003800B0&quot;/&gt;&lt;wsp:rsid wsp:val=&quot;00380150&quot;/&gt;&lt;wsp:rsid wsp:val=&quot;0038021F&quot;/&gt;&lt;wsp:rsid wsp:val=&quot;00380627&quot;/&gt;&lt;wsp:rsid wsp:val=&quot;00380A43&quot;/&gt;&lt;wsp:rsid wsp:val=&quot;00380BE5&quot;/&gt;&lt;wsp:rsid wsp:val=&quot;00380D61&quot;/&gt;&lt;wsp:rsid wsp:val=&quot;00380E4F&quot;/&gt;&lt;wsp:rsid wsp:val=&quot;00381580&quot;/&gt;&lt;wsp:rsid wsp:val=&quot;003816B6&quot;/&gt;&lt;wsp:rsid wsp:val=&quot;00381735&quot;/&gt;&lt;wsp:rsid wsp:val=&quot;00381A47&quot;/&gt;&lt;wsp:rsid wsp:val=&quot;00381AE0&quot;/&gt;&lt;wsp:rsid wsp:val=&quot;00381F29&quot;/&gt;&lt;wsp:rsid wsp:val=&quot;003822F0&quot;/&gt;&lt;wsp:rsid wsp:val=&quot;0038263F&quot;/&gt;&lt;wsp:rsid wsp:val=&quot;003829FF&quot;/&gt;&lt;wsp:rsid wsp:val=&quot;00382C25&quot;/&gt;&lt;wsp:rsid wsp:val=&quot;00382E60&quot;/&gt;&lt;wsp:rsid wsp:val=&quot;0038324A&quot;/&gt;&lt;wsp:rsid wsp:val=&quot;00383257&quot;/&gt;&lt;wsp:rsid wsp:val=&quot;003835F4&quot;/&gt;&lt;wsp:rsid wsp:val=&quot;00383A82&quot;/&gt;&lt;wsp:rsid wsp:val=&quot;00383B9A&quot;/&gt;&lt;wsp:rsid wsp:val=&quot;0038426B&quot;/&gt;&lt;wsp:rsid wsp:val=&quot;003843D7&quot;/&gt;&lt;wsp:rsid wsp:val=&quot;003849FB&quot;/&gt;&lt;wsp:rsid wsp:val=&quot;00384B3B&quot;/&gt;&lt;wsp:rsid wsp:val=&quot;00385C5F&quot;/&gt;&lt;wsp:rsid wsp:val=&quot;00385DE1&quot;/&gt;&lt;wsp:rsid wsp:val=&quot;00386363&quot;/&gt;&lt;wsp:rsid wsp:val=&quot;003867F0&quot;/&gt;&lt;wsp:rsid wsp:val=&quot;003871D5&quot;/&gt;&lt;wsp:rsid wsp:val=&quot;00387309&quot;/&gt;&lt;wsp:rsid wsp:val=&quot;0038764F&quot;/&gt;&lt;wsp:rsid wsp:val=&quot;00387679&quot;/&gt;&lt;wsp:rsid wsp:val=&quot;003878E4&quot;/&gt;&lt;wsp:rsid wsp:val=&quot;00387CCC&quot;/&gt;&lt;wsp:rsid wsp:val=&quot;00387D94&quot;/&gt;&lt;wsp:rsid wsp:val=&quot;00390021&quot;/&gt;&lt;wsp:rsid wsp:val=&quot;003902EC&quot;/&gt;&lt;wsp:rsid wsp:val=&quot;0039034E&quot;/&gt;&lt;wsp:rsid wsp:val=&quot;0039053A&quot;/&gt;&lt;wsp:rsid wsp:val=&quot;00390919&quot;/&gt;&lt;wsp:rsid wsp:val=&quot;00390925&quot;/&gt;&lt;wsp:rsid wsp:val=&quot;00390A07&quot;/&gt;&lt;wsp:rsid wsp:val=&quot;00390FA8&quot;/&gt;&lt;wsp:rsid wsp:val=&quot;00391369&quot;/&gt;&lt;wsp:rsid wsp:val=&quot;003917CB&quot;/&gt;&lt;wsp:rsid wsp:val=&quot;00391998&quot;/&gt;&lt;wsp:rsid wsp:val=&quot;00391E4D&quot;/&gt;&lt;wsp:rsid wsp:val=&quot;0039240C&quot;/&gt;&lt;wsp:rsid wsp:val=&quot;0039253A&quot;/&gt;&lt;wsp:rsid wsp:val=&quot;0039272C&quot;/&gt;&lt;wsp:rsid wsp:val=&quot;00392801&quot;/&gt;&lt;wsp:rsid wsp:val=&quot;00392907&quot;/&gt;&lt;wsp:rsid wsp:val=&quot;00392AAD&quot;/&gt;&lt;wsp:rsid wsp:val=&quot;003941C6&quot;/&gt;&lt;wsp:rsid wsp:val=&quot;003941CF&quot;/&gt;&lt;wsp:rsid wsp:val=&quot;003943D7&quot;/&gt;&lt;wsp:rsid wsp:val=&quot;00394690&quot;/&gt;&lt;wsp:rsid wsp:val=&quot;0039499C&quot;/&gt;&lt;wsp:rsid wsp:val=&quot;00394B2F&quot;/&gt;&lt;wsp:rsid wsp:val=&quot;00394D37&quot;/&gt;&lt;wsp:rsid wsp:val=&quot;0039501D&quot;/&gt;&lt;wsp:rsid wsp:val=&quot;00395940&quot;/&gt;&lt;wsp:rsid wsp:val=&quot;00395BC4&quot;/&gt;&lt;wsp:rsid wsp:val=&quot;00395E6F&quot;/&gt;&lt;wsp:rsid wsp:val=&quot;0039633C&quot;/&gt;&lt;wsp:rsid wsp:val=&quot;00396746&quot;/&gt;&lt;wsp:rsid wsp:val=&quot;00396CC7&quot;/&gt;&lt;wsp:rsid wsp:val=&quot;00396FF0&quot;/&gt;&lt;wsp:rsid wsp:val=&quot;003976D0&quot;/&gt;&lt;wsp:rsid wsp:val=&quot;0039784D&quot;/&gt;&lt;wsp:rsid wsp:val=&quot;00397969&quot;/&gt;&lt;wsp:rsid wsp:val=&quot;00397A5E&quot;/&gt;&lt;wsp:rsid wsp:val=&quot;00397AAD&quot;/&gt;&lt;wsp:rsid wsp:val=&quot;00397CB3&quot;/&gt;&lt;wsp:rsid wsp:val=&quot;00397FF2&quot;/&gt;&lt;wsp:rsid wsp:val=&quot;003A0398&quot;/&gt;&lt;wsp:rsid wsp:val=&quot;003A047C&quot;/&gt;&lt;wsp:rsid wsp:val=&quot;003A0DB5&quot;/&gt;&lt;wsp:rsid wsp:val=&quot;003A145B&quot;/&gt;&lt;wsp:rsid wsp:val=&quot;003A157A&quot;/&gt;&lt;wsp:rsid wsp:val=&quot;003A176A&quot;/&gt;&lt;wsp:rsid wsp:val=&quot;003A1844&quot;/&gt;&lt;wsp:rsid wsp:val=&quot;003A184C&quot;/&gt;&lt;wsp:rsid wsp:val=&quot;003A1899&quot;/&gt;&lt;wsp:rsid wsp:val=&quot;003A1926&quot;/&gt;&lt;wsp:rsid wsp:val=&quot;003A1C22&quot;/&gt;&lt;wsp:rsid wsp:val=&quot;003A1C65&quot;/&gt;&lt;wsp:rsid wsp:val=&quot;003A1CF9&quot;/&gt;&lt;wsp:rsid wsp:val=&quot;003A26FA&quot;/&gt;&lt;wsp:rsid wsp:val=&quot;003A287A&quot;/&gt;&lt;wsp:rsid wsp:val=&quot;003A29E9&quot;/&gt;&lt;wsp:rsid wsp:val=&quot;003A2A7F&quot;/&gt;&lt;wsp:rsid wsp:val=&quot;003A33E2&quot;/&gt;&lt;wsp:rsid wsp:val=&quot;003A38DD&quot;/&gt;&lt;wsp:rsid wsp:val=&quot;003A3D24&quot;/&gt;&lt;wsp:rsid wsp:val=&quot;003A3D53&quot;/&gt;&lt;wsp:rsid wsp:val=&quot;003A40F3&quot;/&gt;&lt;wsp:rsid wsp:val=&quot;003A436D&quot;/&gt;&lt;wsp:rsid wsp:val=&quot;003A4A59&quot;/&gt;&lt;wsp:rsid wsp:val=&quot;003A4A81&quot;/&gt;&lt;wsp:rsid wsp:val=&quot;003A4FE4&quot;/&gt;&lt;wsp:rsid wsp:val=&quot;003A5190&quot;/&gt;&lt;wsp:rsid wsp:val=&quot;003A528D&quot;/&gt;&lt;wsp:rsid wsp:val=&quot;003A5646&quot;/&gt;&lt;wsp:rsid wsp:val=&quot;003A566F&quot;/&gt;&lt;wsp:rsid wsp:val=&quot;003A5A32&quot;/&gt;&lt;wsp:rsid wsp:val=&quot;003A5E41&quot;/&gt;&lt;wsp:rsid wsp:val=&quot;003A65B1&quot;/&gt;&lt;wsp:rsid wsp:val=&quot;003A673B&quot;/&gt;&lt;wsp:rsid wsp:val=&quot;003A6859&quot;/&gt;&lt;wsp:rsid wsp:val=&quot;003A68E3&quot;/&gt;&lt;wsp:rsid wsp:val=&quot;003A6912&quot;/&gt;&lt;wsp:rsid wsp:val=&quot;003A70B3&quot;/&gt;&lt;wsp:rsid wsp:val=&quot;003A723C&quot;/&gt;&lt;wsp:rsid wsp:val=&quot;003A7262&quot;/&gt;&lt;wsp:rsid wsp:val=&quot;003A7901&quot;/&gt;&lt;wsp:rsid wsp:val=&quot;003A7925&quot;/&gt;&lt;wsp:rsid wsp:val=&quot;003A7CF6&quot;/&gt;&lt;wsp:rsid wsp:val=&quot;003A7FFD&quot;/&gt;&lt;wsp:rsid wsp:val=&quot;003B01AD&quot;/&gt;&lt;wsp:rsid wsp:val=&quot;003B05ED&quot;/&gt;&lt;wsp:rsid wsp:val=&quot;003B0B3D&quot;/&gt;&lt;wsp:rsid wsp:val=&quot;003B0C2D&quot;/&gt;&lt;wsp:rsid wsp:val=&quot;003B0E52&quot;/&gt;&lt;wsp:rsid wsp:val=&quot;003B132D&quot;/&gt;&lt;wsp:rsid wsp:val=&quot;003B17C5&quot;/&gt;&lt;wsp:rsid wsp:val=&quot;003B1B51&quot;/&gt;&lt;wsp:rsid wsp:val=&quot;003B22F7&quot;/&gt;&lt;wsp:rsid wsp:val=&quot;003B2A75&quot;/&gt;&lt;wsp:rsid wsp:val=&quot;003B2CEE&quot;/&gt;&lt;wsp:rsid wsp:val=&quot;003B2D31&quot;/&gt;&lt;wsp:rsid wsp:val=&quot;003B303C&quot;/&gt;&lt;wsp:rsid wsp:val=&quot;003B304A&quot;/&gt;&lt;wsp:rsid wsp:val=&quot;003B3172&quot;/&gt;&lt;wsp:rsid wsp:val=&quot;003B3279&quot;/&gt;&lt;wsp:rsid wsp:val=&quot;003B357E&quot;/&gt;&lt;wsp:rsid wsp:val=&quot;003B3978&quot;/&gt;&lt;wsp:rsid wsp:val=&quot;003B41AB&quot;/&gt;&lt;wsp:rsid wsp:val=&quot;003B41AF&quot;/&gt;&lt;wsp:rsid wsp:val=&quot;003B44F3&quot;/&gt;&lt;wsp:rsid wsp:val=&quot;003B4F57&quot;/&gt;&lt;wsp:rsid wsp:val=&quot;003B5077&quot;/&gt;&lt;wsp:rsid wsp:val=&quot;003B52A8&quot;/&gt;&lt;wsp:rsid wsp:val=&quot;003B52F7&quot;/&gt;&lt;wsp:rsid wsp:val=&quot;003B578C&quot;/&gt;&lt;wsp:rsid wsp:val=&quot;003B5E36&quot;/&gt;&lt;wsp:rsid wsp:val=&quot;003B5F0A&quot;/&gt;&lt;wsp:rsid wsp:val=&quot;003B61CB&quot;/&gt;&lt;wsp:rsid wsp:val=&quot;003B677D&quot;/&gt;&lt;wsp:rsid wsp:val=&quot;003B6C29&quot;/&gt;&lt;wsp:rsid wsp:val=&quot;003B6DC4&quot;/&gt;&lt;wsp:rsid wsp:val=&quot;003B6E68&quot;/&gt;&lt;wsp:rsid wsp:val=&quot;003B7010&quot;/&gt;&lt;wsp:rsid wsp:val=&quot;003B7D7F&quot;/&gt;&lt;wsp:rsid wsp:val=&quot;003B7FB5&quot;/&gt;&lt;wsp:rsid wsp:val=&quot;003C0009&quot;/&gt;&lt;wsp:rsid wsp:val=&quot;003C048B&quot;/&gt;&lt;wsp:rsid wsp:val=&quot;003C04E1&quot;/&gt;&lt;wsp:rsid wsp:val=&quot;003C0AEF&quot;/&gt;&lt;wsp:rsid wsp:val=&quot;003C0CE2&quot;/&gt;&lt;wsp:rsid wsp:val=&quot;003C1700&quot;/&gt;&lt;wsp:rsid wsp:val=&quot;003C1993&quot;/&gt;&lt;wsp:rsid wsp:val=&quot;003C1E3E&quot;/&gt;&lt;wsp:rsid wsp:val=&quot;003C2055&quot;/&gt;&lt;wsp:rsid wsp:val=&quot;003C270C&quot;/&gt;&lt;wsp:rsid wsp:val=&quot;003C29CB&quot;/&gt;&lt;wsp:rsid wsp:val=&quot;003C2BE4&quot;/&gt;&lt;wsp:rsid wsp:val=&quot;003C2D08&quot;/&gt;&lt;wsp:rsid wsp:val=&quot;003C2E68&quot;/&gt;&lt;wsp:rsid wsp:val=&quot;003C2EE3&quot;/&gt;&lt;wsp:rsid wsp:val=&quot;003C317C&quot;/&gt;&lt;wsp:rsid wsp:val=&quot;003C3719&quot;/&gt;&lt;wsp:rsid wsp:val=&quot;003C38EF&quot;/&gt;&lt;wsp:rsid wsp:val=&quot;003C3FD5&quot;/&gt;&lt;wsp:rsid wsp:val=&quot;003C421F&quot;/&gt;&lt;wsp:rsid wsp:val=&quot;003C44DE&quot;/&gt;&lt;wsp:rsid wsp:val=&quot;003C4928&quot;/&gt;&lt;wsp:rsid wsp:val=&quot;003C4A82&quot;/&gt;&lt;wsp:rsid wsp:val=&quot;003C524F&quot;/&gt;&lt;wsp:rsid wsp:val=&quot;003C57DC&quot;/&gt;&lt;wsp:rsid wsp:val=&quot;003C5C6B&quot;/&gt;&lt;wsp:rsid wsp:val=&quot;003C62E6&quot;/&gt;&lt;wsp:rsid wsp:val=&quot;003C6388&quot;/&gt;&lt;wsp:rsid wsp:val=&quot;003C63E0&quot;/&gt;&lt;wsp:rsid wsp:val=&quot;003C6DC2&quot;/&gt;&lt;wsp:rsid wsp:val=&quot;003C712E&quot;/&gt;&lt;wsp:rsid wsp:val=&quot;003C74EB&quot;/&gt;&lt;wsp:rsid wsp:val=&quot;003C776C&quot;/&gt;&lt;wsp:rsid wsp:val=&quot;003C7E38&quot;/&gt;&lt;wsp:rsid wsp:val=&quot;003C7E92&quot;/&gt;&lt;wsp:rsid wsp:val=&quot;003D022D&quot;/&gt;&lt;wsp:rsid wsp:val=&quot;003D0BB2&quot;/&gt;&lt;wsp:rsid wsp:val=&quot;003D0E03&quot;/&gt;&lt;wsp:rsid wsp:val=&quot;003D1172&quot;/&gt;&lt;wsp:rsid wsp:val=&quot;003D14AF&quot;/&gt;&lt;wsp:rsid wsp:val=&quot;003D1738&quot;/&gt;&lt;wsp:rsid wsp:val=&quot;003D1997&quot;/&gt;&lt;wsp:rsid wsp:val=&quot;003D1A47&quot;/&gt;&lt;wsp:rsid wsp:val=&quot;003D20A7&quot;/&gt;&lt;wsp:rsid wsp:val=&quot;003D23EC&quot;/&gt;&lt;wsp:rsid wsp:val=&quot;003D403E&quot;/&gt;&lt;wsp:rsid wsp:val=&quot;003D42D9&quot;/&gt;&lt;wsp:rsid wsp:val=&quot;003D4367&quot;/&gt;&lt;wsp:rsid wsp:val=&quot;003D4767&quot;/&gt;&lt;wsp:rsid wsp:val=&quot;003D48E3&quot;/&gt;&lt;wsp:rsid wsp:val=&quot;003D49D6&quot;/&gt;&lt;wsp:rsid wsp:val=&quot;003D4B23&quot;/&gt;&lt;wsp:rsid wsp:val=&quot;003D4C60&quot;/&gt;&lt;wsp:rsid wsp:val=&quot;003D4D6B&quot;/&gt;&lt;wsp:rsid wsp:val=&quot;003D50EC&quot;/&gt;&lt;wsp:rsid wsp:val=&quot;003D5179&quot;/&gt;&lt;wsp:rsid wsp:val=&quot;003D5451&quot;/&gt;&lt;wsp:rsid wsp:val=&quot;003D5514&quot;/&gt;&lt;wsp:rsid wsp:val=&quot;003D5668&quot;/&gt;&lt;wsp:rsid wsp:val=&quot;003D57A3&quot;/&gt;&lt;wsp:rsid wsp:val=&quot;003D5AD7&quot;/&gt;&lt;wsp:rsid wsp:val=&quot;003D5CDE&quot;/&gt;&lt;wsp:rsid wsp:val=&quot;003D6174&quot;/&gt;&lt;wsp:rsid wsp:val=&quot;003D6413&quot;/&gt;&lt;wsp:rsid wsp:val=&quot;003D6472&quot;/&gt;&lt;wsp:rsid wsp:val=&quot;003D65C0&quot;/&gt;&lt;wsp:rsid wsp:val=&quot;003D661A&quot;/&gt;&lt;wsp:rsid wsp:val=&quot;003D67A1&quot;/&gt;&lt;wsp:rsid wsp:val=&quot;003D6BB6&quot;/&gt;&lt;wsp:rsid wsp:val=&quot;003D6D7D&quot;/&gt;&lt;wsp:rsid wsp:val=&quot;003D6E42&quot;/&gt;&lt;wsp:rsid wsp:val=&quot;003D6E49&quot;/&gt;&lt;wsp:rsid wsp:val=&quot;003D6E59&quot;/&gt;&lt;wsp:rsid wsp:val=&quot;003D711E&quot;/&gt;&lt;wsp:rsid wsp:val=&quot;003D7374&quot;/&gt;&lt;wsp:rsid wsp:val=&quot;003D779F&quot;/&gt;&lt;wsp:rsid wsp:val=&quot;003D794B&quot;/&gt;&lt;wsp:rsid wsp:val=&quot;003D7975&quot;/&gt;&lt;wsp:rsid wsp:val=&quot;003D7EBB&quot;/&gt;&lt;wsp:rsid wsp:val=&quot;003D7F48&quot;/&gt;&lt;wsp:rsid wsp:val=&quot;003D7F9B&quot;/&gt;&lt;wsp:rsid wsp:val=&quot;003D7FC5&quot;/&gt;&lt;wsp:rsid wsp:val=&quot;003E010D&quot;/&gt;&lt;wsp:rsid wsp:val=&quot;003E07BA&quot;/&gt;&lt;wsp:rsid wsp:val=&quot;003E0BF1&quot;/&gt;&lt;wsp:rsid wsp:val=&quot;003E10D2&quot;/&gt;&lt;wsp:rsid wsp:val=&quot;003E1204&quot;/&gt;&lt;wsp:rsid wsp:val=&quot;003E15D2&quot;/&gt;&lt;wsp:rsid wsp:val=&quot;003E1949&quot;/&gt;&lt;wsp:rsid wsp:val=&quot;003E199F&quot;/&gt;&lt;wsp:rsid wsp:val=&quot;003E1BF0&quot;/&gt;&lt;wsp:rsid wsp:val=&quot;003E1F2C&quot;/&gt;&lt;wsp:rsid wsp:val=&quot;003E2283&quot;/&gt;&lt;wsp:rsid wsp:val=&quot;003E23AB&quot;/&gt;&lt;wsp:rsid wsp:val=&quot;003E25C2&quot;/&gt;&lt;wsp:rsid wsp:val=&quot;003E2B7A&quot;/&gt;&lt;wsp:rsid wsp:val=&quot;003E2C82&quot;/&gt;&lt;wsp:rsid wsp:val=&quot;003E343B&quot;/&gt;&lt;wsp:rsid wsp:val=&quot;003E3710&quot;/&gt;&lt;wsp:rsid wsp:val=&quot;003E3805&quot;/&gt;&lt;wsp:rsid wsp:val=&quot;003E3AC0&quot;/&gt;&lt;wsp:rsid wsp:val=&quot;003E413E&quot;/&gt;&lt;wsp:rsid wsp:val=&quot;003E4553&quot;/&gt;&lt;wsp:rsid wsp:val=&quot;003E483E&quot;/&gt;&lt;wsp:rsid wsp:val=&quot;003E4999&quot;/&gt;&lt;wsp:rsid wsp:val=&quot;003E4DB9&quot;/&gt;&lt;wsp:rsid wsp:val=&quot;003E5106&quot;/&gt;&lt;wsp:rsid wsp:val=&quot;003E5452&quot;/&gt;&lt;wsp:rsid wsp:val=&quot;003E5ED4&quot;/&gt;&lt;wsp:rsid wsp:val=&quot;003E5F64&quot;/&gt;&lt;wsp:rsid wsp:val=&quot;003E6036&quot;/&gt;&lt;wsp:rsid wsp:val=&quot;003E60CA&quot;/&gt;&lt;wsp:rsid wsp:val=&quot;003E6739&quot;/&gt;&lt;wsp:rsid wsp:val=&quot;003E6A00&quot;/&gt;&lt;wsp:rsid wsp:val=&quot;003E6D4C&quot;/&gt;&lt;wsp:rsid wsp:val=&quot;003E6DD0&quot;/&gt;&lt;wsp:rsid wsp:val=&quot;003E6EB5&quot;/&gt;&lt;wsp:rsid wsp:val=&quot;003E738E&quot;/&gt;&lt;wsp:rsid wsp:val=&quot;003E7466&quot;/&gt;&lt;wsp:rsid wsp:val=&quot;003E747E&quot;/&gt;&lt;wsp:rsid wsp:val=&quot;003E75D8&quot;/&gt;&lt;wsp:rsid wsp:val=&quot;003E75DD&quot;/&gt;&lt;wsp:rsid wsp:val=&quot;003E7F03&quot;/&gt;&lt;wsp:rsid wsp:val=&quot;003E7F56&quot;/&gt;&lt;wsp:rsid wsp:val=&quot;003F05A1&quot;/&gt;&lt;wsp:rsid wsp:val=&quot;003F072E&quot;/&gt;&lt;wsp:rsid wsp:val=&quot;003F0A77&quot;/&gt;&lt;wsp:rsid wsp:val=&quot;003F0DC0&quot;/&gt;&lt;wsp:rsid wsp:val=&quot;003F0F06&quot;/&gt;&lt;wsp:rsid wsp:val=&quot;003F10C2&quot;/&gt;&lt;wsp:rsid wsp:val=&quot;003F163B&quot;/&gt;&lt;wsp:rsid wsp:val=&quot;003F1962&quot;/&gt;&lt;wsp:rsid wsp:val=&quot;003F1D3F&quot;/&gt;&lt;wsp:rsid wsp:val=&quot;003F27FE&quot;/&gt;&lt;wsp:rsid wsp:val=&quot;003F2CD6&quot;/&gt;&lt;wsp:rsid wsp:val=&quot;003F2D9D&quot;/&gt;&lt;wsp:rsid wsp:val=&quot;003F2F74&quot;/&gt;&lt;wsp:rsid wsp:val=&quot;003F4232&quot;/&gt;&lt;wsp:rsid wsp:val=&quot;003F535C&quot;/&gt;&lt;wsp:rsid wsp:val=&quot;003F5782&quot;/&gt;&lt;wsp:rsid wsp:val=&quot;003F59F3&quot;/&gt;&lt;wsp:rsid wsp:val=&quot;003F5A09&quot;/&gt;&lt;wsp:rsid wsp:val=&quot;003F5A71&quot;/&gt;&lt;wsp:rsid wsp:val=&quot;003F5AB8&quot;/&gt;&lt;wsp:rsid wsp:val=&quot;003F5BCF&quot;/&gt;&lt;wsp:rsid wsp:val=&quot;003F61F2&quot;/&gt;&lt;wsp:rsid wsp:val=&quot;003F6306&quot;/&gt;&lt;wsp:rsid wsp:val=&quot;003F64A7&quot;/&gt;&lt;wsp:rsid wsp:val=&quot;003F651F&quot;/&gt;&lt;wsp:rsid wsp:val=&quot;003F67D5&quot;/&gt;&lt;wsp:rsid wsp:val=&quot;003F6EDE&quot;/&gt;&lt;wsp:rsid wsp:val=&quot;003F72B3&quot;/&gt;&lt;wsp:rsid wsp:val=&quot;003F77BC&quot;/&gt;&lt;wsp:rsid wsp:val=&quot;00400167&quot;/&gt;&lt;wsp:rsid wsp:val=&quot;00400AD1&quot;/&gt;&lt;wsp:rsid wsp:val=&quot;00401163&quot;/&gt;&lt;wsp:rsid wsp:val=&quot;00401171&quot;/&gt;&lt;wsp:rsid wsp:val=&quot;00402199&quot;/&gt;&lt;wsp:rsid wsp:val=&quot;004021F6&quot;/&gt;&lt;wsp:rsid wsp:val=&quot;00402823&quot;/&gt;&lt;wsp:rsid wsp:val=&quot;00402A93&quot;/&gt;&lt;wsp:rsid wsp:val=&quot;004032F0&quot;/&gt;&lt;wsp:rsid wsp:val=&quot;00403AB8&quot;/&gt;&lt;wsp:rsid wsp:val=&quot;00403EC3&quot;/&gt;&lt;wsp:rsid wsp:val=&quot;004041F7&quot;/&gt;&lt;wsp:rsid wsp:val=&quot;00404D42&quot;/&gt;&lt;wsp:rsid wsp:val=&quot;00404E76&quot;/&gt;&lt;wsp:rsid wsp:val=&quot;00405380&quot;/&gt;&lt;wsp:rsid wsp:val=&quot;00405393&quot;/&gt;&lt;wsp:rsid wsp:val=&quot;00405409&quot;/&gt;&lt;wsp:rsid wsp:val=&quot;00405452&quot;/&gt;&lt;wsp:rsid wsp:val=&quot;00405C6D&quot;/&gt;&lt;wsp:rsid wsp:val=&quot;0040601C&quot;/&gt;&lt;wsp:rsid wsp:val=&quot;0040604D&quot;/&gt;&lt;wsp:rsid wsp:val=&quot;0040662E&quot;/&gt;&lt;wsp:rsid wsp:val=&quot;00406706&quot;/&gt;&lt;wsp:rsid wsp:val=&quot;00406B1B&quot;/&gt;&lt;wsp:rsid wsp:val=&quot;00407073&quot;/&gt;&lt;wsp:rsid wsp:val=&quot;00407C7E&quot;/&gt;&lt;wsp:rsid wsp:val=&quot;00407D27&quot;/&gt;&lt;wsp:rsid wsp:val=&quot;004102C5&quot;/&gt;&lt;wsp:rsid wsp:val=&quot;0041080E&quot;/&gt;&lt;wsp:rsid wsp:val=&quot;004108CF&quot;/&gt;&lt;wsp:rsid wsp:val=&quot;004113CF&quot;/&gt;&lt;wsp:rsid wsp:val=&quot;00411874&quot;/&gt;&lt;wsp:rsid wsp:val=&quot;00411C07&quot;/&gt;&lt;wsp:rsid wsp:val=&quot;00411C3A&quot;/&gt;&lt;wsp:rsid wsp:val=&quot;00411D59&quot;/&gt;&lt;wsp:rsid wsp:val=&quot;00411DBF&quot;/&gt;&lt;wsp:rsid wsp:val=&quot;00412120&quot;/&gt;&lt;wsp:rsid wsp:val=&quot;004122B7&quot;/&gt;&lt;wsp:rsid wsp:val=&quot;004125F8&quot;/&gt;&lt;wsp:rsid wsp:val=&quot;004126D8&quot;/&gt;&lt;wsp:rsid wsp:val=&quot;00412732&quot;/&gt;&lt;wsp:rsid wsp:val=&quot;0041287E&quot;/&gt;&lt;wsp:rsid wsp:val=&quot;00412941&quot;/&gt;&lt;wsp:rsid wsp:val=&quot;00412A1C&quot;/&gt;&lt;wsp:rsid wsp:val=&quot;00412A9A&quot;/&gt;&lt;wsp:rsid wsp:val=&quot;00412B05&quot;/&gt;&lt;wsp:rsid wsp:val=&quot;00412E3E&quot;/&gt;&lt;wsp:rsid wsp:val=&quot;0041306D&quot;/&gt;&lt;wsp:rsid wsp:val=&quot;004137A0&quot;/&gt;&lt;wsp:rsid wsp:val=&quot;00413C4F&quot;/&gt;&lt;wsp:rsid wsp:val=&quot;00413DAA&quot;/&gt;&lt;wsp:rsid wsp:val=&quot;00413DB7&quot;/&gt;&lt;wsp:rsid wsp:val=&quot;00414227&quot;/&gt;&lt;wsp:rsid wsp:val=&quot;00415034&quot;/&gt;&lt;wsp:rsid wsp:val=&quot;00415974&quot;/&gt;&lt;wsp:rsid wsp:val=&quot;00415A40&quot;/&gt;&lt;wsp:rsid wsp:val=&quot;00416097&quot;/&gt;&lt;wsp:rsid wsp:val=&quot;00416277&quot;/&gt;&lt;wsp:rsid wsp:val=&quot;00416715&quot;/&gt;&lt;wsp:rsid wsp:val=&quot;00416D6C&quot;/&gt;&lt;wsp:rsid wsp:val=&quot;00416D9B&quot;/&gt;&lt;wsp:rsid wsp:val=&quot;00416E1D&quot;/&gt;&lt;wsp:rsid wsp:val=&quot;004171AC&quot;/&gt;&lt;wsp:rsid wsp:val=&quot;00417426&quot;/&gt;&lt;wsp:rsid wsp:val=&quot;00417963&quot;/&gt;&lt;wsp:rsid wsp:val=&quot;00417F00&quot;/&gt;&lt;wsp:rsid wsp:val=&quot;004201F9&quot;/&gt;&lt;wsp:rsid wsp:val=&quot;00420691&quot;/&gt;&lt;wsp:rsid wsp:val=&quot;00420919&quot;/&gt;&lt;wsp:rsid wsp:val=&quot;004209EA&quot;/&gt;&lt;wsp:rsid wsp:val=&quot;00420C86&quot;/&gt;&lt;wsp:rsid wsp:val=&quot;00420DA8&quot;/&gt;&lt;wsp:rsid wsp:val=&quot;004214D1&quot;/&gt;&lt;wsp:rsid wsp:val=&quot;0042172F&quot;/&gt;&lt;wsp:rsid wsp:val=&quot;00421879&quot;/&gt;&lt;wsp:rsid wsp:val=&quot;004226DD&quot;/&gt;&lt;wsp:rsid wsp:val=&quot;00422703&quot;/&gt;&lt;wsp:rsid wsp:val=&quot;004228DB&quot;/&gt;&lt;wsp:rsid wsp:val=&quot;00422CCB&quot;/&gt;&lt;wsp:rsid wsp:val=&quot;00422F61&quot;/&gt;&lt;wsp:rsid wsp:val=&quot;0042399D&quot;/&gt;&lt;wsp:rsid wsp:val=&quot;00423D45&quot;/&gt;&lt;wsp:rsid wsp:val=&quot;004256B2&quot;/&gt;&lt;wsp:rsid wsp:val=&quot;004258EB&quot;/&gt;&lt;wsp:rsid wsp:val=&quot;00425C65&quot;/&gt;&lt;wsp:rsid wsp:val=&quot;00426242&quot;/&gt;&lt;wsp:rsid wsp:val=&quot;004263DD&quot;/&gt;&lt;wsp:rsid wsp:val=&quot;00426B31&quot;/&gt;&lt;wsp:rsid wsp:val=&quot;00426C16&quot;/&gt;&lt;wsp:rsid wsp:val=&quot;00426C3D&quot;/&gt;&lt;wsp:rsid wsp:val=&quot;00426C91&quot;/&gt;&lt;wsp:rsid wsp:val=&quot;004272E7&quot;/&gt;&lt;wsp:rsid wsp:val=&quot;00427382&quot;/&gt;&lt;wsp:rsid wsp:val=&quot;00427A8E&quot;/&gt;&lt;wsp:rsid wsp:val=&quot;00427CBB&quot;/&gt;&lt;wsp:rsid wsp:val=&quot;00427F05&quot;/&gt;&lt;wsp:rsid wsp:val=&quot;0043005A&quot;/&gt;&lt;wsp:rsid wsp:val=&quot;004302FC&quot;/&gt;&lt;wsp:rsid wsp:val=&quot;004306DF&quot;/&gt;&lt;wsp:rsid wsp:val=&quot;00430728&quot;/&gt;&lt;wsp:rsid wsp:val=&quot;00430D53&quot;/&gt;&lt;wsp:rsid wsp:val=&quot;00431053&quot;/&gt;&lt;wsp:rsid wsp:val=&quot;00431166&quot;/&gt;&lt;wsp:rsid wsp:val=&quot;004312AC&quot;/&gt;&lt;wsp:rsid wsp:val=&quot;0043143D&quot;/&gt;&lt;wsp:rsid wsp:val=&quot;0043160B&quot;/&gt;&lt;wsp:rsid wsp:val=&quot;00431BD6&quot;/&gt;&lt;wsp:rsid wsp:val=&quot;00431D5A&quot;/&gt;&lt;wsp:rsid wsp:val=&quot;00432A0F&quot;/&gt;&lt;wsp:rsid wsp:val=&quot;00432B6D&quot;/&gt;&lt;wsp:rsid wsp:val=&quot;00432BD9&quot;/&gt;&lt;wsp:rsid wsp:val=&quot;00432F24&quot;/&gt;&lt;wsp:rsid wsp:val=&quot;00433063&quot;/&gt;&lt;wsp:rsid wsp:val=&quot;00433294&quot;/&gt;&lt;wsp:rsid wsp:val=&quot;00433353&quot;/&gt;&lt;wsp:rsid wsp:val=&quot;004338D5&quot;/&gt;&lt;wsp:rsid wsp:val=&quot;0043394F&quot;/&gt;&lt;wsp:rsid wsp:val=&quot;0043418B&quot;/&gt;&lt;wsp:rsid wsp:val=&quot;00434456&quot;/&gt;&lt;wsp:rsid wsp:val=&quot;0043487C&quot;/&gt;&lt;wsp:rsid wsp:val=&quot;00434B6B&quot;/&gt;&lt;wsp:rsid wsp:val=&quot;00435106&quot;/&gt;&lt;wsp:rsid wsp:val=&quot;00435446&quot;/&gt;&lt;wsp:rsid wsp:val=&quot;00435560&quot;/&gt;&lt;wsp:rsid wsp:val=&quot;00435CC3&quot;/&gt;&lt;wsp:rsid wsp:val=&quot;00435E1B&quot;/&gt;&lt;wsp:rsid wsp:val=&quot;00436526&quot;/&gt;&lt;wsp:rsid wsp:val=&quot;004368E1&quot;/&gt;&lt;wsp:rsid wsp:val=&quot;0043698F&quot;/&gt;&lt;wsp:rsid wsp:val=&quot;00436AE0&quot;/&gt;&lt;wsp:rsid wsp:val=&quot;00436AEF&quot;/&gt;&lt;wsp:rsid wsp:val=&quot;00436CF7&quot;/&gt;&lt;wsp:rsid wsp:val=&quot;00436E5C&quot;/&gt;&lt;wsp:rsid wsp:val=&quot;004371E9&quot;/&gt;&lt;wsp:rsid wsp:val=&quot;004375B1&quot;/&gt;&lt;wsp:rsid wsp:val=&quot;0043778B&quot;/&gt;&lt;wsp:rsid wsp:val=&quot;00437831&quot;/&gt;&lt;wsp:rsid wsp:val=&quot;00437BF6&quot;/&gt;&lt;wsp:rsid wsp:val=&quot;00437CAC&quot;/&gt;&lt;wsp:rsid wsp:val=&quot;00437E9D&quot;/&gt;&lt;wsp:rsid wsp:val=&quot;00440C3D&quot;/&gt;&lt;wsp:rsid wsp:val=&quot;0044147E&quot;/&gt;&lt;wsp:rsid wsp:val=&quot;004417DE&quot;/&gt;&lt;wsp:rsid wsp:val=&quot;00441A53&quot;/&gt;&lt;wsp:rsid wsp:val=&quot;00441B1C&quot;/&gt;&lt;wsp:rsid wsp:val=&quot;00441BC1&quot;/&gt;&lt;wsp:rsid wsp:val=&quot;00441C6D&quot;/&gt;&lt;wsp:rsid wsp:val=&quot;00441E1C&quot;/&gt;&lt;wsp:rsid wsp:val=&quot;00441EA7&quot;/&gt;&lt;wsp:rsid wsp:val=&quot;004420A8&quot;/&gt;&lt;wsp:rsid wsp:val=&quot;00442B06&quot;/&gt;&lt;wsp:rsid wsp:val=&quot;00442D41&quot;/&gt;&lt;wsp:rsid wsp:val=&quot;00442DBF&quot;/&gt;&lt;wsp:rsid wsp:val=&quot;00442E23&quot;/&gt;&lt;wsp:rsid wsp:val=&quot;00443044&quot;/&gt;&lt;wsp:rsid wsp:val=&quot;00443103&quot;/&gt;&lt;wsp:rsid wsp:val=&quot;00443143&quot;/&gt;&lt;wsp:rsid wsp:val=&quot;00443533&quot;/&gt;&lt;wsp:rsid wsp:val=&quot;004438F7&quot;/&gt;&lt;wsp:rsid wsp:val=&quot;00443985&quot;/&gt;&lt;wsp:rsid wsp:val=&quot;00443C76&quot;/&gt;&lt;wsp:rsid wsp:val=&quot;0044419D&quot;/&gt;&lt;wsp:rsid wsp:val=&quot;0044438A&quot;/&gt;&lt;wsp:rsid wsp:val=&quot;00444562&quot;/&gt;&lt;wsp:rsid wsp:val=&quot;0044478E&quot;/&gt;&lt;wsp:rsid wsp:val=&quot;004447EA&quot;/&gt;&lt;wsp:rsid wsp:val=&quot;0044488E&quot;/&gt;&lt;wsp:rsid wsp:val=&quot;00444C19&quot;/&gt;&lt;wsp:rsid wsp:val=&quot;00444F9D&quot;/&gt;&lt;wsp:rsid wsp:val=&quot;004458CA&quot;/&gt;&lt;wsp:rsid wsp:val=&quot;00445AFA&quot;/&gt;&lt;wsp:rsid wsp:val=&quot;00445D01&quot;/&gt;&lt;wsp:rsid wsp:val=&quot;00445E5F&quot;/&gt;&lt;wsp:rsid wsp:val=&quot;00446157&quot;/&gt;&lt;wsp:rsid wsp:val=&quot;004461A4&quot;/&gt;&lt;wsp:rsid wsp:val=&quot;004461D0&quot;/&gt;&lt;wsp:rsid wsp:val=&quot;004462D2&quot;/&gt;&lt;wsp:rsid wsp:val=&quot;00446374&quot;/&gt;&lt;wsp:rsid wsp:val=&quot;00446489&quot;/&gt;&lt;wsp:rsid wsp:val=&quot;00446537&quot;/&gt;&lt;wsp:rsid wsp:val=&quot;00446605&quot;/&gt;&lt;wsp:rsid wsp:val=&quot;004466CD&quot;/&gt;&lt;wsp:rsid wsp:val=&quot;0044671A&quot;/&gt;&lt;wsp:rsid wsp:val=&quot;00446798&quot;/&gt;&lt;wsp:rsid wsp:val=&quot;00446B30&quot;/&gt;&lt;wsp:rsid wsp:val=&quot;00447387&quot;/&gt;&lt;wsp:rsid wsp:val=&quot;00447397&quot;/&gt;&lt;wsp:rsid wsp:val=&quot;0044789A&quot;/&gt;&lt;wsp:rsid wsp:val=&quot;00447CC2&quot;/&gt;&lt;wsp:rsid wsp:val=&quot;00447FCB&quot;/&gt;&lt;wsp:rsid wsp:val=&quot;0045026C&quot;/&gt;&lt;wsp:rsid wsp:val=&quot;00450663&quot;/&gt;&lt;wsp:rsid wsp:val=&quot;004507D7&quot;/&gt;&lt;wsp:rsid wsp:val=&quot;00450BC6&quot;/&gt;&lt;wsp:rsid wsp:val=&quot;00450DAD&quot;/&gt;&lt;wsp:rsid wsp:val=&quot;00450E01&quot;/&gt;&lt;wsp:rsid wsp:val=&quot;00450FA8&quot;/&gt;&lt;wsp:rsid wsp:val=&quot;00451177&quot;/&gt;&lt;wsp:rsid wsp:val=&quot;0045123E&quot;/&gt;&lt;wsp:rsid wsp:val=&quot;004512ED&quot;/&gt;&lt;wsp:rsid wsp:val=&quot;004518D0&quot;/&gt;&lt;wsp:rsid wsp:val=&quot;00452310&quot;/&gt;&lt;wsp:rsid wsp:val=&quot;0045288A&quot;/&gt;&lt;wsp:rsid wsp:val=&quot;00452ACD&quot;/&gt;&lt;wsp:rsid wsp:val=&quot;00452B84&quot;/&gt;&lt;wsp:rsid wsp:val=&quot;00452C80&quot;/&gt;&lt;wsp:rsid wsp:val=&quot;004531A4&quot;/&gt;&lt;wsp:rsid wsp:val=&quot;00453268&quot;/&gt;&lt;wsp:rsid wsp:val=&quot;00453577&quot;/&gt;&lt;wsp:rsid wsp:val=&quot;00453C5D&quot;/&gt;&lt;wsp:rsid wsp:val=&quot;00454170&quot;/&gt;&lt;wsp:rsid wsp:val=&quot;00454832&quot;/&gt;&lt;wsp:rsid wsp:val=&quot;00454890&quot;/&gt;&lt;wsp:rsid wsp:val=&quot;00454A4D&quot;/&gt;&lt;wsp:rsid wsp:val=&quot;00454F20&quot;/&gt;&lt;wsp:rsid wsp:val=&quot;004553C6&quot;/&gt;&lt;wsp:rsid wsp:val=&quot;00455834&quot;/&gt;&lt;wsp:rsid wsp:val=&quot;00455B45&quot;/&gt;&lt;wsp:rsid wsp:val=&quot;00455B9C&quot;/&gt;&lt;wsp:rsid wsp:val=&quot;00455BB7&quot;/&gt;&lt;wsp:rsid wsp:val=&quot;00456165&quot;/&gt;&lt;wsp:rsid wsp:val=&quot;0045649E&quot;/&gt;&lt;wsp:rsid wsp:val=&quot;004565EB&quot;/&gt;&lt;wsp:rsid wsp:val=&quot;00456861&quot;/&gt;&lt;wsp:rsid wsp:val=&quot;004572A3&quot;/&gt;&lt;wsp:rsid wsp:val=&quot;004576F2&quot;/&gt;&lt;wsp:rsid wsp:val=&quot;004577F9&quot;/&gt;&lt;wsp:rsid wsp:val=&quot;00457CC6&quot;/&gt;&lt;wsp:rsid wsp:val=&quot;00457DE2&quot;/&gt;&lt;wsp:rsid wsp:val=&quot;00457FB3&quot;/&gt;&lt;wsp:rsid wsp:val=&quot;004608B6&quot;/&gt;&lt;wsp:rsid wsp:val=&quot;004608EE&quot;/&gt;&lt;wsp:rsid wsp:val=&quot;0046098B&quot;/&gt;&lt;wsp:rsid wsp:val=&quot;004610D7&quot;/&gt;&lt;wsp:rsid wsp:val=&quot;00461155&quot;/&gt;&lt;wsp:rsid wsp:val=&quot;004615C4&quot;/&gt;&lt;wsp:rsid wsp:val=&quot;00461628&quot;/&gt;&lt;wsp:rsid wsp:val=&quot;00461A79&quot;/&gt;&lt;wsp:rsid wsp:val=&quot;0046245E&quot;/&gt;&lt;wsp:rsid wsp:val=&quot;00462996&quot;/&gt;&lt;wsp:rsid wsp:val=&quot;00462A41&quot;/&gt;&lt;wsp:rsid wsp:val=&quot;00462B20&quot;/&gt;&lt;wsp:rsid wsp:val=&quot;00462BD0&quot;/&gt;&lt;wsp:rsid wsp:val=&quot;00462D04&quot;/&gt;&lt;wsp:rsid wsp:val=&quot;00463017&quot;/&gt;&lt;wsp:rsid wsp:val=&quot;00463593&quot;/&gt;&lt;wsp:rsid wsp:val=&quot;004635B6&quot;/&gt;&lt;wsp:rsid wsp:val=&quot;0046376F&quot;/&gt;&lt;wsp:rsid wsp:val=&quot;00463986&quot;/&gt;&lt;wsp:rsid wsp:val=&quot;00463CF2&quot;/&gt;&lt;wsp:rsid wsp:val=&quot;0046420B&quot;/&gt;&lt;wsp:rsid wsp:val=&quot;00464B26&quot;/&gt;&lt;wsp:rsid wsp:val=&quot;00464CC2&quot;/&gt;&lt;wsp:rsid wsp:val=&quot;00464DAA&quot;/&gt;&lt;wsp:rsid wsp:val=&quot;004655C4&quot;/&gt;&lt;wsp:rsid wsp:val=&quot;004657FF&quot;/&gt;&lt;wsp:rsid wsp:val=&quot;00465892&quot;/&gt;&lt;wsp:rsid wsp:val=&quot;00465895&quot;/&gt;&lt;wsp:rsid wsp:val=&quot;00465A53&quot;/&gt;&lt;wsp:rsid wsp:val=&quot;00465CB2&quot;/&gt;&lt;wsp:rsid wsp:val=&quot;00465D75&quot;/&gt;&lt;wsp:rsid wsp:val=&quot;004661B1&quot;/&gt;&lt;wsp:rsid wsp:val=&quot;004663F7&quot;/&gt;&lt;wsp:rsid wsp:val=&quot;00466D7E&quot;/&gt;&lt;wsp:rsid wsp:val=&quot;004674C1&quot;/&gt;&lt;wsp:rsid wsp:val=&quot;00467852&quot;/&gt;&lt;wsp:rsid wsp:val=&quot;004679FD&quot;/&gt;&lt;wsp:rsid wsp:val=&quot;00470019&quot;/&gt;&lt;wsp:rsid wsp:val=&quot;00470308&quot;/&gt;&lt;wsp:rsid wsp:val=&quot;0047046B&quot;/&gt;&lt;wsp:rsid wsp:val=&quot;00470DB4&quot;/&gt;&lt;wsp:rsid wsp:val=&quot;0047107A&quot;/&gt;&lt;wsp:rsid wsp:val=&quot;004710D3&quot;/&gt;&lt;wsp:rsid wsp:val=&quot;004710DF&quot;/&gt;&lt;wsp:rsid wsp:val=&quot;004714D2&quot;/&gt;&lt;wsp:rsid wsp:val=&quot;00471507&quot;/&gt;&lt;wsp:rsid wsp:val=&quot;00471D6C&quot;/&gt;&lt;wsp:rsid wsp:val=&quot;00471E47&quot;/&gt;&lt;wsp:rsid wsp:val=&quot;00471FC5&quot;/&gt;&lt;wsp:rsid wsp:val=&quot;00472074&quot;/&gt;&lt;wsp:rsid wsp:val=&quot;00472AEE&quot;/&gt;&lt;wsp:rsid wsp:val=&quot;00472B3C&quot;/&gt;&lt;wsp:rsid wsp:val=&quot;00472B9D&quot;/&gt;&lt;wsp:rsid wsp:val=&quot;00472D20&quot;/&gt;&lt;wsp:rsid wsp:val=&quot;004737B3&quot;/&gt;&lt;wsp:rsid wsp:val=&quot;004738E4&quot;/&gt;&lt;wsp:rsid wsp:val=&quot;004738E5&quot;/&gt;&lt;wsp:rsid wsp:val=&quot;00473F1D&quot;/&gt;&lt;wsp:rsid wsp:val=&quot;004740CB&quot;/&gt;&lt;wsp:rsid wsp:val=&quot;004743A8&quot;/&gt;&lt;wsp:rsid wsp:val=&quot;0047459B&quot;/&gt;&lt;wsp:rsid wsp:val=&quot;0047466C&quot;/&gt;&lt;wsp:rsid wsp:val=&quot;00474928&quot;/&gt;&lt;wsp:rsid wsp:val=&quot;0047513F&quot;/&gt;&lt;wsp:rsid wsp:val=&quot;0047556E&quot;/&gt;&lt;wsp:rsid wsp:val=&quot;0047565B&quot;/&gt;&lt;wsp:rsid wsp:val=&quot;004757A8&quot;/&gt;&lt;wsp:rsid wsp:val=&quot;0047598B&quot;/&gt;&lt;wsp:rsid wsp:val=&quot;00475DAC&quot;/&gt;&lt;wsp:rsid wsp:val=&quot;004761DC&quot;/&gt;&lt;wsp:rsid wsp:val=&quot;0047633A&quot;/&gt;&lt;wsp:rsid wsp:val=&quot;0047634B&quot;/&gt;&lt;wsp:rsid wsp:val=&quot;00476428&quot;/&gt;&lt;wsp:rsid wsp:val=&quot;00476588&quot;/&gt;&lt;wsp:rsid wsp:val=&quot;00476831&quot;/&gt;&lt;wsp:rsid wsp:val=&quot;00476EBB&quot;/&gt;&lt;wsp:rsid wsp:val=&quot;0047711B&quot;/&gt;&lt;wsp:rsid wsp:val=&quot;00477336&quot;/&gt;&lt;wsp:rsid wsp:val=&quot;00477AA4&quot;/&gt;&lt;wsp:rsid wsp:val=&quot;00477C62&quot;/&gt;&lt;wsp:rsid wsp:val=&quot;00477E82&quot;/&gt;&lt;wsp:rsid wsp:val=&quot;00477FB2&quot;/&gt;&lt;wsp:rsid wsp:val=&quot;0048004E&quot;/&gt;&lt;wsp:rsid wsp:val=&quot;00480129&quot;/&gt;&lt;wsp:rsid wsp:val=&quot;00480575&quot;/&gt;&lt;wsp:rsid wsp:val=&quot;00480F11&quot;/&gt;&lt;wsp:rsid wsp:val=&quot;00482083&quot;/&gt;&lt;wsp:rsid wsp:val=&quot;004823C1&quot;/&gt;&lt;wsp:rsid wsp:val=&quot;004823D0&quot;/&gt;&lt;wsp:rsid wsp:val=&quot;004825D7&quot;/&gt;&lt;wsp:rsid wsp:val=&quot;004831BB&quot;/&gt;&lt;wsp:rsid wsp:val=&quot;00483290&quot;/&gt;&lt;wsp:rsid wsp:val=&quot;004834B7&quot;/&gt;&lt;wsp:rsid wsp:val=&quot;00483841&quot;/&gt;&lt;wsp:rsid wsp:val=&quot;00483914&quot;/&gt;&lt;wsp:rsid wsp:val=&quot;00483C6F&quot;/&gt;&lt;wsp:rsid wsp:val=&quot;00484263&quot;/&gt;&lt;wsp:rsid wsp:val=&quot;004843B5&quot;/&gt;&lt;wsp:rsid wsp:val=&quot;004844FC&quot;/&gt;&lt;wsp:rsid wsp:val=&quot;00484FDF&quot;/&gt;&lt;wsp:rsid wsp:val=&quot;004854A5&quot;/&gt;&lt;wsp:rsid wsp:val=&quot;004855F1&quot;/&gt;&lt;wsp:rsid wsp:val=&quot;00485A07&quot;/&gt;&lt;wsp:rsid wsp:val=&quot;00485A73&quot;/&gt;&lt;wsp:rsid wsp:val=&quot;00485D62&quot;/&gt;&lt;wsp:rsid wsp:val=&quot;00485D6D&quot;/&gt;&lt;wsp:rsid wsp:val=&quot;00485EDD&quot;/&gt;&lt;wsp:rsid wsp:val=&quot;00486243&quot;/&gt;&lt;wsp:rsid wsp:val=&quot;00486319&quot;/&gt;&lt;wsp:rsid wsp:val=&quot;004864A6&quot;/&gt;&lt;wsp:rsid wsp:val=&quot;004865EE&quot;/&gt;&lt;wsp:rsid wsp:val=&quot;004868A0&quot;/&gt;&lt;wsp:rsid wsp:val=&quot;00486B0E&quot;/&gt;&lt;wsp:rsid wsp:val=&quot;00487952&quot;/&gt;&lt;wsp:rsid wsp:val=&quot;00487F97&quot;/&gt;&lt;wsp:rsid wsp:val=&quot;00490235&quot;/&gt;&lt;wsp:rsid wsp:val=&quot;004904F5&quot;/&gt;&lt;wsp:rsid wsp:val=&quot;00490575&quot;/&gt;&lt;wsp:rsid wsp:val=&quot;0049105E&quot;/&gt;&lt;wsp:rsid wsp:val=&quot;0049114B&quot;/&gt;&lt;wsp:rsid wsp:val=&quot;004913BD&quot;/&gt;&lt;wsp:rsid wsp:val=&quot;00491B51&quot;/&gt;&lt;wsp:rsid wsp:val=&quot;0049254E&quot;/&gt;&lt;wsp:rsid wsp:val=&quot;00492B5E&quot;/&gt;&lt;wsp:rsid wsp:val=&quot;00492B75&quot;/&gt;&lt;wsp:rsid wsp:val=&quot;00492BDE&quot;/&gt;&lt;wsp:rsid wsp:val=&quot;00493194&quot;/&gt;&lt;wsp:rsid wsp:val=&quot;004933E0&quot;/&gt;&lt;wsp:rsid wsp:val=&quot;0049407C&quot;/&gt;&lt;wsp:rsid wsp:val=&quot;004947BD&quot;/&gt;&lt;wsp:rsid wsp:val=&quot;004948E4&quot;/&gt;&lt;wsp:rsid wsp:val=&quot;00494D55&quot;/&gt;&lt;wsp:rsid wsp:val=&quot;004953A7&quot;/&gt;&lt;wsp:rsid wsp:val=&quot;00495729&quot;/&gt;&lt;wsp:rsid wsp:val=&quot;00495C08&quot;/&gt;&lt;wsp:rsid wsp:val=&quot;00495C16&quot;/&gt;&lt;wsp:rsid wsp:val=&quot;00495EDB&quot;/&gt;&lt;wsp:rsid wsp:val=&quot;00495FEA&quot;/&gt;&lt;wsp:rsid wsp:val=&quot;004963FD&quot;/&gt;&lt;wsp:rsid wsp:val=&quot;004975DF&quot;/&gt;&lt;wsp:rsid wsp:val=&quot;004976A3&quot;/&gt;&lt;wsp:rsid wsp:val=&quot;00497F41&quot;/&gt;&lt;wsp:rsid wsp:val=&quot;004A0140&quot;/&gt;&lt;wsp:rsid wsp:val=&quot;004A0471&quot;/&gt;&lt;wsp:rsid wsp:val=&quot;004A09B6&quot;/&gt;&lt;wsp:rsid wsp:val=&quot;004A12A2&quot;/&gt;&lt;wsp:rsid wsp:val=&quot;004A1350&quot;/&gt;&lt;wsp:rsid wsp:val=&quot;004A138A&quot;/&gt;&lt;wsp:rsid wsp:val=&quot;004A1B0F&quot;/&gt;&lt;wsp:rsid wsp:val=&quot;004A1CF9&quot;/&gt;&lt;wsp:rsid wsp:val=&quot;004A1FE1&quot;/&gt;&lt;wsp:rsid wsp:val=&quot;004A2013&quot;/&gt;&lt;wsp:rsid wsp:val=&quot;004A228C&quot;/&gt;&lt;wsp:rsid wsp:val=&quot;004A29C1&quot;/&gt;&lt;wsp:rsid wsp:val=&quot;004A29F7&quot;/&gt;&lt;wsp:rsid wsp:val=&quot;004A2FEB&quot;/&gt;&lt;wsp:rsid wsp:val=&quot;004A3467&quot;/&gt;&lt;wsp:rsid wsp:val=&quot;004A34BC&quot;/&gt;&lt;wsp:rsid wsp:val=&quot;004A4183&quot;/&gt;&lt;wsp:rsid wsp:val=&quot;004A460D&quot;/&gt;&lt;wsp:rsid wsp:val=&quot;004A4913&quot;/&gt;&lt;wsp:rsid wsp:val=&quot;004A4985&quot;/&gt;&lt;wsp:rsid wsp:val=&quot;004A49CD&quot;/&gt;&lt;wsp:rsid wsp:val=&quot;004A4D4D&quot;/&gt;&lt;wsp:rsid wsp:val=&quot;004A526B&quot;/&gt;&lt;wsp:rsid wsp:val=&quot;004A52FC&quot;/&gt;&lt;wsp:rsid wsp:val=&quot;004A535F&quot;/&gt;&lt;wsp:rsid wsp:val=&quot;004A55B8&quot;/&gt;&lt;wsp:rsid wsp:val=&quot;004A5826&quot;/&gt;&lt;wsp:rsid wsp:val=&quot;004A6463&quot;/&gt;&lt;wsp:rsid wsp:val=&quot;004A659B&quot;/&gt;&lt;wsp:rsid wsp:val=&quot;004A65E6&quot;/&gt;&lt;wsp:rsid wsp:val=&quot;004A6695&quot;/&gt;&lt;wsp:rsid wsp:val=&quot;004A671E&quot;/&gt;&lt;wsp:rsid wsp:val=&quot;004A673C&quot;/&gt;&lt;wsp:rsid wsp:val=&quot;004A6C23&quot;/&gt;&lt;wsp:rsid wsp:val=&quot;004A7471&quot;/&gt;&lt;wsp:rsid wsp:val=&quot;004A77E1&quot;/&gt;&lt;wsp:rsid wsp:val=&quot;004A783D&quot;/&gt;&lt;wsp:rsid wsp:val=&quot;004B0247&quot;/&gt;&lt;wsp:rsid wsp:val=&quot;004B064C&quot;/&gt;&lt;wsp:rsid wsp:val=&quot;004B1565&quot;/&gt;&lt;wsp:rsid wsp:val=&quot;004B1868&quot;/&gt;&lt;wsp:rsid wsp:val=&quot;004B1AFA&quot;/&gt;&lt;wsp:rsid wsp:val=&quot;004B204C&quot;/&gt;&lt;wsp:rsid wsp:val=&quot;004B208C&quot;/&gt;&lt;wsp:rsid wsp:val=&quot;004B2265&quot;/&gt;&lt;wsp:rsid wsp:val=&quot;004B2807&quot;/&gt;&lt;wsp:rsid wsp:val=&quot;004B2918&quot;/&gt;&lt;wsp:rsid wsp:val=&quot;004B3418&quot;/&gt;&lt;wsp:rsid wsp:val=&quot;004B3574&quot;/&gt;&lt;wsp:rsid wsp:val=&quot;004B3864&quot;/&gt;&lt;wsp:rsid wsp:val=&quot;004B3D7B&quot;/&gt;&lt;wsp:rsid wsp:val=&quot;004B3DD6&quot;/&gt;&lt;wsp:rsid wsp:val=&quot;004B3FD2&quot;/&gt;&lt;wsp:rsid wsp:val=&quot;004B40A6&quot;/&gt;&lt;wsp:rsid wsp:val=&quot;004B4A4D&quot;/&gt;&lt;wsp:rsid wsp:val=&quot;004B4D89&quot;/&gt;&lt;wsp:rsid wsp:val=&quot;004B4EBD&quot;/&gt;&lt;wsp:rsid wsp:val=&quot;004B54E6&quot;/&gt;&lt;wsp:rsid wsp:val=&quot;004B5828&quot;/&gt;&lt;wsp:rsid wsp:val=&quot;004B5884&quot;/&gt;&lt;wsp:rsid wsp:val=&quot;004B5B64&quot;/&gt;&lt;wsp:rsid wsp:val=&quot;004B5B9E&quot;/&gt;&lt;wsp:rsid wsp:val=&quot;004B5CD7&quot;/&gt;&lt;wsp:rsid wsp:val=&quot;004B5D77&quot;/&gt;&lt;wsp:rsid wsp:val=&quot;004B6016&quot;/&gt;&lt;wsp:rsid wsp:val=&quot;004B635B&quot;/&gt;&lt;wsp:rsid wsp:val=&quot;004B665D&quot;/&gt;&lt;wsp:rsid wsp:val=&quot;004B68B5&quot;/&gt;&lt;wsp:rsid wsp:val=&quot;004B69F9&quot;/&gt;&lt;wsp:rsid wsp:val=&quot;004B6C92&quot;/&gt;&lt;wsp:rsid wsp:val=&quot;004B6FBE&quot;/&gt;&lt;wsp:rsid wsp:val=&quot;004B7820&quot;/&gt;&lt;wsp:rsid wsp:val=&quot;004B7D4C&quot;/&gt;&lt;wsp:rsid wsp:val=&quot;004C01AC&quot;/&gt;&lt;wsp:rsid wsp:val=&quot;004C09A9&quot;/&gt;&lt;wsp:rsid wsp:val=&quot;004C0B00&quot;/&gt;&lt;wsp:rsid wsp:val=&quot;004C18D7&quot;/&gt;&lt;wsp:rsid wsp:val=&quot;004C1BEF&quot;/&gt;&lt;wsp:rsid wsp:val=&quot;004C1CB1&quot;/&gt;&lt;wsp:rsid wsp:val=&quot;004C23AD&quot;/&gt;&lt;wsp:rsid wsp:val=&quot;004C250D&quot;/&gt;&lt;wsp:rsid wsp:val=&quot;004C25C6&quot;/&gt;&lt;wsp:rsid wsp:val=&quot;004C2D23&quot;/&gt;&lt;wsp:rsid wsp:val=&quot;004C2E11&quot;/&gt;&lt;wsp:rsid wsp:val=&quot;004C32C2&quot;/&gt;&lt;wsp:rsid wsp:val=&quot;004C333E&quot;/&gt;&lt;wsp:rsid wsp:val=&quot;004C34B9&quot;/&gt;&lt;wsp:rsid wsp:val=&quot;004C4198&quot;/&gt;&lt;wsp:rsid wsp:val=&quot;004C4728&quot;/&gt;&lt;wsp:rsid wsp:val=&quot;004C4B4F&quot;/&gt;&lt;wsp:rsid wsp:val=&quot;004C4B62&quot;/&gt;&lt;wsp:rsid wsp:val=&quot;004C4C89&quot;/&gt;&lt;wsp:rsid wsp:val=&quot;004C599B&quot;/&gt;&lt;wsp:rsid wsp:val=&quot;004C5EBE&quot;/&gt;&lt;wsp:rsid wsp:val=&quot;004C6382&quot;/&gt;&lt;wsp:rsid wsp:val=&quot;004C63EC&quot;/&gt;&lt;wsp:rsid wsp:val=&quot;004C6C36&quot;/&gt;&lt;wsp:rsid wsp:val=&quot;004C6F21&quot;/&gt;&lt;wsp:rsid wsp:val=&quot;004C71AA&quot;/&gt;&lt;wsp:rsid wsp:val=&quot;004C7984&quot;/&gt;&lt;wsp:rsid wsp:val=&quot;004C7A1E&quot;/&gt;&lt;wsp:rsid wsp:val=&quot;004D03BC&quot;/&gt;&lt;wsp:rsid wsp:val=&quot;004D071E&quot;/&gt;&lt;wsp:rsid wsp:val=&quot;004D0B5C&quot;/&gt;&lt;wsp:rsid wsp:val=&quot;004D0D8C&quot;/&gt;&lt;wsp:rsid wsp:val=&quot;004D0EED&quot;/&gt;&lt;wsp:rsid wsp:val=&quot;004D0F83&quot;/&gt;&lt;wsp:rsid wsp:val=&quot;004D10C5&quot;/&gt;&lt;wsp:rsid wsp:val=&quot;004D1891&quot;/&gt;&lt;wsp:rsid wsp:val=&quot;004D1ABA&quot;/&gt;&lt;wsp:rsid wsp:val=&quot;004D1BF0&quot;/&gt;&lt;wsp:rsid wsp:val=&quot;004D1C79&quot;/&gt;&lt;wsp:rsid wsp:val=&quot;004D21E0&quot;/&gt;&lt;wsp:rsid wsp:val=&quot;004D2573&quot;/&gt;&lt;wsp:rsid wsp:val=&quot;004D25A3&quot;/&gt;&lt;wsp:rsid wsp:val=&quot;004D275D&quot;/&gt;&lt;wsp:rsid wsp:val=&quot;004D2765&quot;/&gt;&lt;wsp:rsid wsp:val=&quot;004D277D&quot;/&gt;&lt;wsp:rsid wsp:val=&quot;004D2F4E&quot;/&gt;&lt;wsp:rsid wsp:val=&quot;004D30BB&quot;/&gt;&lt;wsp:rsid wsp:val=&quot;004D33EA&quot;/&gt;&lt;wsp:rsid wsp:val=&quot;004D39E7&quot;/&gt;&lt;wsp:rsid wsp:val=&quot;004D3E26&quot;/&gt;&lt;wsp:rsid wsp:val=&quot;004D3EE1&quot;/&gt;&lt;wsp:rsid wsp:val=&quot;004D3FC0&quot;/&gt;&lt;wsp:rsid wsp:val=&quot;004D4395&quot;/&gt;&lt;wsp:rsid wsp:val=&quot;004D444D&quot;/&gt;&lt;wsp:rsid wsp:val=&quot;004D47AB&quot;/&gt;&lt;wsp:rsid wsp:val=&quot;004D4AC7&quot;/&gt;&lt;wsp:rsid wsp:val=&quot;004D4D68&quot;/&gt;&lt;wsp:rsid wsp:val=&quot;004D5020&quot;/&gt;&lt;wsp:rsid wsp:val=&quot;004D5071&quot;/&gt;&lt;wsp:rsid wsp:val=&quot;004D5804&quot;/&gt;&lt;wsp:rsid wsp:val=&quot;004D5A8D&quot;/&gt;&lt;wsp:rsid wsp:val=&quot;004D5F5C&quot;/&gt;&lt;wsp:rsid wsp:val=&quot;004D5FD4&quot;/&gt;&lt;wsp:rsid wsp:val=&quot;004D6295&quot;/&gt;&lt;wsp:rsid wsp:val=&quot;004D67A6&quot;/&gt;&lt;wsp:rsid wsp:val=&quot;004D77DE&quot;/&gt;&lt;wsp:rsid wsp:val=&quot;004D77FD&quot;/&gt;&lt;wsp:rsid wsp:val=&quot;004D7C39&quot;/&gt;&lt;wsp:rsid wsp:val=&quot;004D7C90&quot;/&gt;&lt;wsp:rsid wsp:val=&quot;004E0426&quot;/&gt;&lt;wsp:rsid wsp:val=&quot;004E05BD&quot;/&gt;&lt;wsp:rsid wsp:val=&quot;004E083A&quot;/&gt;&lt;wsp:rsid wsp:val=&quot;004E0C40&quot;/&gt;&lt;wsp:rsid wsp:val=&quot;004E0DE8&quot;/&gt;&lt;wsp:rsid wsp:val=&quot;004E0F77&quot;/&gt;&lt;wsp:rsid wsp:val=&quot;004E0FF8&quot;/&gt;&lt;wsp:rsid wsp:val=&quot;004E1812&quot;/&gt;&lt;wsp:rsid wsp:val=&quot;004E23F3&quot;/&gt;&lt;wsp:rsid wsp:val=&quot;004E2C7E&quot;/&gt;&lt;wsp:rsid wsp:val=&quot;004E2D66&quot;/&gt;&lt;wsp:rsid wsp:val=&quot;004E2E3E&quot;/&gt;&lt;wsp:rsid wsp:val=&quot;004E335C&quot;/&gt;&lt;wsp:rsid wsp:val=&quot;004E3A87&quot;/&gt;&lt;wsp:rsid wsp:val=&quot;004E3B92&quot;/&gt;&lt;wsp:rsid wsp:val=&quot;004E3D74&quot;/&gt;&lt;wsp:rsid wsp:val=&quot;004E3DDC&quot;/&gt;&lt;wsp:rsid wsp:val=&quot;004E3E91&quot;/&gt;&lt;wsp:rsid wsp:val=&quot;004E4004&quot;/&gt;&lt;wsp:rsid wsp:val=&quot;004E42DB&quot;/&gt;&lt;wsp:rsid wsp:val=&quot;004E43EC&quot;/&gt;&lt;wsp:rsid wsp:val=&quot;004E499A&quot;/&gt;&lt;wsp:rsid wsp:val=&quot;004E4CBB&quot;/&gt;&lt;wsp:rsid wsp:val=&quot;004E4D99&quot;/&gt;&lt;wsp:rsid wsp:val=&quot;004E53BC&quot;/&gt;&lt;wsp:rsid wsp:val=&quot;004E5962&quot;/&gt;&lt;wsp:rsid wsp:val=&quot;004E599D&quot;/&gt;&lt;wsp:rsid wsp:val=&quot;004E59C9&quot;/&gt;&lt;wsp:rsid wsp:val=&quot;004E5BD3&quot;/&gt;&lt;wsp:rsid wsp:val=&quot;004E5D2E&quot;/&gt;&lt;wsp:rsid wsp:val=&quot;004E6536&quot;/&gt;&lt;wsp:rsid wsp:val=&quot;004E6641&quot;/&gt;&lt;wsp:rsid wsp:val=&quot;004E73C7&quot;/&gt;&lt;wsp:rsid wsp:val=&quot;004E7C33&quot;/&gt;&lt;wsp:rsid wsp:val=&quot;004E7D31&quot;/&gt;&lt;wsp:rsid wsp:val=&quot;004F06A5&quot;/&gt;&lt;wsp:rsid wsp:val=&quot;004F079A&quot;/&gt;&lt;wsp:rsid wsp:val=&quot;004F0CB5&quot;/&gt;&lt;wsp:rsid wsp:val=&quot;004F0D68&quot;/&gt;&lt;wsp:rsid wsp:val=&quot;004F0FA8&quot;/&gt;&lt;wsp:rsid wsp:val=&quot;004F1289&quot;/&gt;&lt;wsp:rsid wsp:val=&quot;004F12F9&quot;/&gt;&lt;wsp:rsid wsp:val=&quot;004F13D4&quot;/&gt;&lt;wsp:rsid wsp:val=&quot;004F1476&quot;/&gt;&lt;wsp:rsid wsp:val=&quot;004F1559&quot;/&gt;&lt;wsp:rsid wsp:val=&quot;004F185C&quot;/&gt;&lt;wsp:rsid wsp:val=&quot;004F1E33&quot;/&gt;&lt;wsp:rsid wsp:val=&quot;004F1F62&quot;/&gt;&lt;wsp:rsid wsp:val=&quot;004F2016&quot;/&gt;&lt;wsp:rsid wsp:val=&quot;004F21E8&quot;/&gt;&lt;wsp:rsid wsp:val=&quot;004F2253&quot;/&gt;&lt;wsp:rsid wsp:val=&quot;004F2456&quot;/&gt;&lt;wsp:rsid wsp:val=&quot;004F2B1A&quot;/&gt;&lt;wsp:rsid wsp:val=&quot;004F2C0A&quot;/&gt;&lt;wsp:rsid wsp:val=&quot;004F2CEB&quot;/&gt;&lt;wsp:rsid wsp:val=&quot;004F2E19&quot;/&gt;&lt;wsp:rsid wsp:val=&quot;004F2F6E&quot;/&gt;&lt;wsp:rsid wsp:val=&quot;004F3332&quot;/&gt;&lt;wsp:rsid wsp:val=&quot;004F35E4&quot;/&gt;&lt;wsp:rsid wsp:val=&quot;004F37F2&quot;/&gt;&lt;wsp:rsid wsp:val=&quot;004F3BD5&quot;/&gt;&lt;wsp:rsid wsp:val=&quot;004F3DF1&quot;/&gt;&lt;wsp:rsid wsp:val=&quot;004F3E04&quot;/&gt;&lt;wsp:rsid wsp:val=&quot;004F3EA2&quot;/&gt;&lt;wsp:rsid wsp:val=&quot;004F4149&quot;/&gt;&lt;wsp:rsid wsp:val=&quot;004F459E&quot;/&gt;&lt;wsp:rsid wsp:val=&quot;004F48F8&quot;/&gt;&lt;wsp:rsid wsp:val=&quot;004F493C&quot;/&gt;&lt;wsp:rsid wsp:val=&quot;004F499C&quot;/&gt;&lt;wsp:rsid wsp:val=&quot;004F49A5&quot;/&gt;&lt;wsp:rsid wsp:val=&quot;004F49BE&quot;/&gt;&lt;wsp:rsid wsp:val=&quot;004F4AD3&quot;/&gt;&lt;wsp:rsid wsp:val=&quot;004F4C62&quot;/&gt;&lt;wsp:rsid wsp:val=&quot;004F4E5C&quot;/&gt;&lt;wsp:rsid wsp:val=&quot;004F4FE3&quot;/&gt;&lt;wsp:rsid wsp:val=&quot;004F50D5&quot;/&gt;&lt;wsp:rsid wsp:val=&quot;004F558C&quot;/&gt;&lt;wsp:rsid wsp:val=&quot;004F570C&quot;/&gt;&lt;wsp:rsid wsp:val=&quot;004F5743&quot;/&gt;&lt;wsp:rsid wsp:val=&quot;004F584B&quot;/&gt;&lt;wsp:rsid wsp:val=&quot;004F5EA8&quot;/&gt;&lt;wsp:rsid wsp:val=&quot;004F5F4E&quot;/&gt;&lt;wsp:rsid wsp:val=&quot;004F610E&quot;/&gt;&lt;wsp:rsid wsp:val=&quot;004F614C&quot;/&gt;&lt;wsp:rsid wsp:val=&quot;004F640C&quot;/&gt;&lt;wsp:rsid wsp:val=&quot;004F648F&quot;/&gt;&lt;wsp:rsid wsp:val=&quot;004F661A&quot;/&gt;&lt;wsp:rsid wsp:val=&quot;004F66B1&quot;/&gt;&lt;wsp:rsid wsp:val=&quot;004F6921&quot;/&gt;&lt;wsp:rsid wsp:val=&quot;004F6A7F&quot;/&gt;&lt;wsp:rsid wsp:val=&quot;004F7E50&quot;/&gt;&lt;wsp:rsid wsp:val=&quot;00500024&quot;/&gt;&lt;wsp:rsid wsp:val=&quot;00500107&quot;/&gt;&lt;wsp:rsid wsp:val=&quot;005009D2&quot;/&gt;&lt;wsp:rsid wsp:val=&quot;00500BD8&quot;/&gt;&lt;wsp:rsid wsp:val=&quot;00501096&quot;/&gt;&lt;wsp:rsid wsp:val=&quot;00501673&quot;/&gt;&lt;wsp:rsid wsp:val=&quot;00501987&quot;/&gt;&lt;wsp:rsid wsp:val=&quot;00501B01&quot;/&gt;&lt;wsp:rsid wsp:val=&quot;00501DCB&quot;/&gt;&lt;wsp:rsid wsp:val=&quot;00502AD0&quot;/&gt;&lt;wsp:rsid wsp:val=&quot;00502BB3&quot;/&gt;&lt;wsp:rsid wsp:val=&quot;00502C3F&quot;/&gt;&lt;wsp:rsid wsp:val=&quot;005035A1&quot;/&gt;&lt;wsp:rsid wsp:val=&quot;00503842&quot;/&gt;&lt;wsp:rsid wsp:val=&quot;005044D5&quot;/&gt;&lt;wsp:rsid wsp:val=&quot;00504A51&quot;/&gt;&lt;wsp:rsid wsp:val=&quot;005051ED&quot;/&gt;&lt;wsp:rsid wsp:val=&quot;00505FBE&quot;/&gt;&lt;wsp:rsid wsp:val=&quot;00506378&quot;/&gt;&lt;wsp:rsid wsp:val=&quot;00506592&quot;/&gt;&lt;wsp:rsid wsp:val=&quot;00506747&quot;/&gt;&lt;wsp:rsid wsp:val=&quot;0050687B&quot;/&gt;&lt;wsp:rsid wsp:val=&quot;005069F5&quot;/&gt;&lt;wsp:rsid wsp:val=&quot;00506FD2&quot;/&gt;&lt;wsp:rsid wsp:val=&quot;00507179&quot;/&gt;&lt;wsp:rsid wsp:val=&quot;005072F6&quot;/&gt;&lt;wsp:rsid wsp:val=&quot;00507381&quot;/&gt;&lt;wsp:rsid wsp:val=&quot;0050773C&quot;/&gt;&lt;wsp:rsid wsp:val=&quot;00507779&quot;/&gt;&lt;wsp:rsid wsp:val=&quot;00507D35&quot;/&gt;&lt;wsp:rsid wsp:val=&quot;00507F4E&quot;/&gt;&lt;wsp:rsid wsp:val=&quot;00507F57&quot;/&gt;&lt;wsp:rsid wsp:val=&quot;00510163&quot;/&gt;&lt;wsp:rsid wsp:val=&quot;00510930&quot;/&gt;&lt;wsp:rsid wsp:val=&quot;00510E58&quot;/&gt;&lt;wsp:rsid wsp:val=&quot;00511235&quot;/&gt;&lt;wsp:rsid wsp:val=&quot;00511361&quot;/&gt;&lt;wsp:rsid wsp:val=&quot;00511736&quot;/&gt;&lt;wsp:rsid wsp:val=&quot;0051182C&quot;/&gt;&lt;wsp:rsid wsp:val=&quot;0051189B&quot;/&gt;&lt;wsp:rsid wsp:val=&quot;00512066&quot;/&gt;&lt;wsp:rsid wsp:val=&quot;005120DF&quot;/&gt;&lt;wsp:rsid wsp:val=&quot;0051292A&quot;/&gt;&lt;wsp:rsid wsp:val=&quot;00513042&quot;/&gt;&lt;wsp:rsid wsp:val=&quot;00513388&quot;/&gt;&lt;wsp:rsid wsp:val=&quot;0051363C&quot;/&gt;&lt;wsp:rsid wsp:val=&quot;0051372D&quot;/&gt;&lt;wsp:rsid wsp:val=&quot;0051374C&quot;/&gt;&lt;wsp:rsid wsp:val=&quot;00513BE8&quot;/&gt;&lt;wsp:rsid wsp:val=&quot;00513C79&quot;/&gt;&lt;wsp:rsid wsp:val=&quot;00513DBA&quot;/&gt;&lt;wsp:rsid wsp:val=&quot;00514228&quot;/&gt;&lt;wsp:rsid wsp:val=&quot;00514E5D&quot;/&gt;&lt;wsp:rsid wsp:val=&quot;005151F6&quot;/&gt;&lt;wsp:rsid wsp:val=&quot;005154BA&quot;/&gt;&lt;wsp:rsid wsp:val=&quot;00515673&quot;/&gt;&lt;wsp:rsid wsp:val=&quot;005158CD&quot;/&gt;&lt;wsp:rsid wsp:val=&quot;00515A5C&quot;/&gt;&lt;wsp:rsid wsp:val=&quot;00516006&quot;/&gt;&lt;wsp:rsid wsp:val=&quot;0051654E&quot;/&gt;&lt;wsp:rsid wsp:val=&quot;00516F54&quot;/&gt;&lt;wsp:rsid wsp:val=&quot;00516FB9&quot;/&gt;&lt;wsp:rsid wsp:val=&quot;00517056&quot;/&gt;&lt;wsp:rsid wsp:val=&quot;0051738D&quot;/&gt;&lt;wsp:rsid wsp:val=&quot;005177AA&quot;/&gt;&lt;wsp:rsid wsp:val=&quot;00517F51&quot;/&gt;&lt;wsp:rsid wsp:val=&quot;00520168&quot;/&gt;&lt;wsp:rsid wsp:val=&quot;00520389&quot;/&gt;&lt;wsp:rsid wsp:val=&quot;005205D4&quot;/&gt;&lt;wsp:rsid wsp:val=&quot;00520884&quot;/&gt;&lt;wsp:rsid wsp:val=&quot;00520F1C&quot;/&gt;&lt;wsp:rsid wsp:val=&quot;005212C4&quot;/&gt;&lt;wsp:rsid wsp:val=&quot;0052132B&quot;/&gt;&lt;wsp:rsid wsp:val=&quot;005217F1&quot;/&gt;&lt;wsp:rsid wsp:val=&quot;00521DC4&quot;/&gt;&lt;wsp:rsid wsp:val=&quot;00521EC4&quot;/&gt;&lt;wsp:rsid wsp:val=&quot;0052253C&quot;/&gt;&lt;wsp:rsid wsp:val=&quot;00522688&quot;/&gt;&lt;wsp:rsid wsp:val=&quot;00522804&quot;/&gt;&lt;wsp:rsid wsp:val=&quot;00522A82&quot;/&gt;&lt;wsp:rsid wsp:val=&quot;00522FB4&quot;/&gt;&lt;wsp:rsid wsp:val=&quot;00523487&quot;/&gt;&lt;wsp:rsid wsp:val=&quot;005238EC&quot;/&gt;&lt;wsp:rsid wsp:val=&quot;00523D71&quot;/&gt;&lt;wsp:rsid wsp:val=&quot;00523DA4&quot;/&gt;&lt;wsp:rsid wsp:val=&quot;00523EED&quot;/&gt;&lt;wsp:rsid wsp:val=&quot;00523FBF&quot;/&gt;&lt;wsp:rsid wsp:val=&quot;0052442B&quot;/&gt;&lt;wsp:rsid wsp:val=&quot;005245AE&quot;/&gt;&lt;wsp:rsid wsp:val=&quot;005245C6&quot;/&gt;&lt;wsp:rsid wsp:val=&quot;0052478D&quot;/&gt;&lt;wsp:rsid wsp:val=&quot;005247D8&quot;/&gt;&lt;wsp:rsid wsp:val=&quot;00524D49&quot;/&gt;&lt;wsp:rsid wsp:val=&quot;005254BF&quot;/&gt;&lt;wsp:rsid wsp:val=&quot;005255AF&quot;/&gt;&lt;wsp:rsid wsp:val=&quot;00525B54&quot;/&gt;&lt;wsp:rsid wsp:val=&quot;00525E90&quot;/&gt;&lt;wsp:rsid wsp:val=&quot;00525FFB&quot;/&gt;&lt;wsp:rsid wsp:val=&quot;005260A9&quot;/&gt;&lt;wsp:rsid wsp:val=&quot;00526109&quot;/&gt;&lt;wsp:rsid wsp:val=&quot;00526E53&quot;/&gt;&lt;wsp:rsid wsp:val=&quot;00526EDD&quot;/&gt;&lt;wsp:rsid wsp:val=&quot;0052703E&quot;/&gt;&lt;wsp:rsid wsp:val=&quot;00527289&quot;/&gt;&lt;wsp:rsid wsp:val=&quot;00527CBA&quot;/&gt;&lt;wsp:rsid wsp:val=&quot;00530412&quot;/&gt;&lt;wsp:rsid wsp:val=&quot;005308A3&quot;/&gt;&lt;wsp:rsid wsp:val=&quot;00530BAD&quot;/&gt;&lt;wsp:rsid wsp:val=&quot;00530D07&quot;/&gt;&lt;wsp:rsid wsp:val=&quot;005314D2&quot;/&gt;&lt;wsp:rsid wsp:val=&quot;00531A24&quot;/&gt;&lt;wsp:rsid wsp:val=&quot;00532160&quot;/&gt;&lt;wsp:rsid wsp:val=&quot;0053238B&quot;/&gt;&lt;wsp:rsid wsp:val=&quot;00532486&quot;/&gt;&lt;wsp:rsid wsp:val=&quot;005324E5&quot;/&gt;&lt;wsp:rsid wsp:val=&quot;005329A8&quot;/&gt;&lt;wsp:rsid wsp:val=&quot;00532B2A&quot;/&gt;&lt;wsp:rsid wsp:val=&quot;00532F0D&quot;/&gt;&lt;wsp:rsid wsp:val=&quot;0053335A&quot;/&gt;&lt;wsp:rsid wsp:val=&quot;005335C8&quot;/&gt;&lt;wsp:rsid wsp:val=&quot;00533850&quot;/&gt;&lt;wsp:rsid wsp:val=&quot;00533D2B&quot;/&gt;&lt;wsp:rsid wsp:val=&quot;00533E8C&quot;/&gt;&lt;wsp:rsid wsp:val=&quot;00533F94&quot;/&gt;&lt;wsp:rsid wsp:val=&quot;0053419B&quot;/&gt;&lt;wsp:rsid wsp:val=&quot;005348E7&quot;/&gt;&lt;wsp:rsid wsp:val=&quot;00534921&quot;/&gt;&lt;wsp:rsid wsp:val=&quot;00535204&quot;/&gt;&lt;wsp:rsid wsp:val=&quot;00535364&quot;/&gt;&lt;wsp:rsid wsp:val=&quot;00535D15&quot;/&gt;&lt;wsp:rsid wsp:val=&quot;00535E04&quot;/&gt;&lt;wsp:rsid wsp:val=&quot;005367F3&quot;/&gt;&lt;wsp:rsid wsp:val=&quot;005369FC&quot;/&gt;&lt;wsp:rsid wsp:val=&quot;00536BEA&quot;/&gt;&lt;wsp:rsid wsp:val=&quot;0053739E&quot;/&gt;&lt;wsp:rsid wsp:val=&quot;00537593&quot;/&gt;&lt;wsp:rsid wsp:val=&quot;005376AC&quot;/&gt;&lt;wsp:rsid wsp:val=&quot;00537A5E&quot;/&gt;&lt;wsp:rsid wsp:val=&quot;005401B7&quot;/&gt;&lt;wsp:rsid wsp:val=&quot;00540586&quot;/&gt;&lt;wsp:rsid wsp:val=&quot;00540626&quot;/&gt;&lt;wsp:rsid wsp:val=&quot;00540BBF&quot;/&gt;&lt;wsp:rsid wsp:val=&quot;00540BE8&quot;/&gt;&lt;wsp:rsid wsp:val=&quot;00540CAE&quot;/&gt;&lt;wsp:rsid wsp:val=&quot;00541043&quot;/&gt;&lt;wsp:rsid wsp:val=&quot;00541503&quot;/&gt;&lt;wsp:rsid wsp:val=&quot;00541761&quot;/&gt;&lt;wsp:rsid wsp:val=&quot;00542050&quot;/&gt;&lt;wsp:rsid wsp:val=&quot;00542548&quot;/&gt;&lt;wsp:rsid wsp:val=&quot;00542876&quot;/&gt;&lt;wsp:rsid wsp:val=&quot;00542B60&quot;/&gt;&lt;wsp:rsid wsp:val=&quot;00542BD8&quot;/&gt;&lt;wsp:rsid wsp:val=&quot;00542D44&quot;/&gt;&lt;wsp:rsid wsp:val=&quot;00542E9C&quot;/&gt;&lt;wsp:rsid wsp:val=&quot;00543459&quot;/&gt;&lt;wsp:rsid wsp:val=&quot;00543D53&quot;/&gt;&lt;wsp:rsid wsp:val=&quot;00544120&quot;/&gt;&lt;wsp:rsid wsp:val=&quot;00544895&quot;/&gt;&lt;wsp:rsid wsp:val=&quot;005449D5&quot;/&gt;&lt;wsp:rsid wsp:val=&quot;00545012&quot;/&gt;&lt;wsp:rsid wsp:val=&quot;005454FC&quot;/&gt;&lt;wsp:rsid wsp:val=&quot;0054566F&quot;/&gt;&lt;wsp:rsid wsp:val=&quot;00545D06&quot;/&gt;&lt;wsp:rsid wsp:val=&quot;005463E8&quot;/&gt;&lt;wsp:rsid wsp:val=&quot;0054694F&quot;/&gt;&lt;wsp:rsid wsp:val=&quot;0054697A&quot;/&gt;&lt;wsp:rsid wsp:val=&quot;00546AFD&quot;/&gt;&lt;wsp:rsid wsp:val=&quot;005470B2&quot;/&gt;&lt;wsp:rsid wsp:val=&quot;005470DB&quot;/&gt;&lt;wsp:rsid wsp:val=&quot;00547106&quot;/&gt;&lt;wsp:rsid wsp:val=&quot;00547118&quot;/&gt;&lt;wsp:rsid wsp:val=&quot;00547431&quot;/&gt;&lt;wsp:rsid wsp:val=&quot;00550205&quot;/&gt;&lt;wsp:rsid wsp:val=&quot;005505DC&quot;/&gt;&lt;wsp:rsid wsp:val=&quot;0055192F&quot;/&gt;&lt;wsp:rsid wsp:val=&quot;00551A6E&quot;/&gt;&lt;wsp:rsid wsp:val=&quot;00551D09&quot;/&gt;&lt;wsp:rsid wsp:val=&quot;00552BB8&quot;/&gt;&lt;wsp:rsid wsp:val=&quot;0055306C&quot;/&gt;&lt;wsp:rsid wsp:val=&quot;00553144&quot;/&gt;&lt;wsp:rsid wsp:val=&quot;0055338B&quot;/&gt;&lt;wsp:rsid wsp:val=&quot;00553604&quot;/&gt;&lt;wsp:rsid wsp:val=&quot;0055385F&quot;/&gt;&lt;wsp:rsid wsp:val=&quot;005538D9&quot;/&gt;&lt;wsp:rsid wsp:val=&quot;00553D3E&quot;/&gt;&lt;wsp:rsid wsp:val=&quot;00553EE3&quot;/&gt;&lt;wsp:rsid wsp:val=&quot;00554580&quot;/&gt;&lt;wsp:rsid wsp:val=&quot;00555624&quot;/&gt;&lt;wsp:rsid wsp:val=&quot;00555778&quot;/&gt;&lt;wsp:rsid wsp:val=&quot;00555EC6&quot;/&gt;&lt;wsp:rsid wsp:val=&quot;00555F65&quot;/&gt;&lt;wsp:rsid wsp:val=&quot;00555F66&quot;/&gt;&lt;wsp:rsid wsp:val=&quot;0055620C&quot;/&gt;&lt;wsp:rsid wsp:val=&quot;005568E2&quot;/&gt;&lt;wsp:rsid wsp:val=&quot;0055690E&quot;/&gt;&lt;wsp:rsid wsp:val=&quot;00556A1F&quot;/&gt;&lt;wsp:rsid wsp:val=&quot;00556F2D&quot;/&gt;&lt;wsp:rsid wsp:val=&quot;00557440&quot;/&gt;&lt;wsp:rsid wsp:val=&quot;0055764E&quot;/&gt;&lt;wsp:rsid wsp:val=&quot;0055768F&quot;/&gt;&lt;wsp:rsid wsp:val=&quot;005576C2&quot;/&gt;&lt;wsp:rsid wsp:val=&quot;00557B28&quot;/&gt;&lt;wsp:rsid wsp:val=&quot;00557C49&quot;/&gt;&lt;wsp:rsid wsp:val=&quot;0056031D&quot;/&gt;&lt;wsp:rsid wsp:val=&quot;00560FA8&quot;/&gt;&lt;wsp:rsid wsp:val=&quot;005613BC&quot;/&gt;&lt;wsp:rsid wsp:val=&quot;005615A8&quot;/&gt;&lt;wsp:rsid wsp:val=&quot;00561679&quot;/&gt;&lt;wsp:rsid wsp:val=&quot;00561A9F&quot;/&gt;&lt;wsp:rsid wsp:val=&quot;00561DED&quot;/&gt;&lt;wsp:rsid wsp:val=&quot;0056207D&quot;/&gt;&lt;wsp:rsid wsp:val=&quot;00562272&quot;/&gt;&lt;wsp:rsid wsp:val=&quot;00562A2D&quot;/&gt;&lt;wsp:rsid wsp:val=&quot;00562DC4&quot;/&gt;&lt;wsp:rsid wsp:val=&quot;005636B1&quot;/&gt;&lt;wsp:rsid wsp:val=&quot;0056395C&quot;/&gt;&lt;wsp:rsid wsp:val=&quot;00565155&quot;/&gt;&lt;wsp:rsid wsp:val=&quot;00565317&quot;/&gt;&lt;wsp:rsid wsp:val=&quot;00565367&quot;/&gt;&lt;wsp:rsid wsp:val=&quot;00566368&quot;/&gt;&lt;wsp:rsid wsp:val=&quot;005672F9&quot;/&gt;&lt;wsp:rsid wsp:val=&quot;00567EE4&quot;/&gt;&lt;wsp:rsid wsp:val=&quot;00570032&quot;/&gt;&lt;wsp:rsid wsp:val=&quot;0057047D&quot;/&gt;&lt;wsp:rsid wsp:val=&quot;0057049E&quot;/&gt;&lt;wsp:rsid wsp:val=&quot;00570564&quot;/&gt;&lt;wsp:rsid wsp:val=&quot;00570605&quot;/&gt;&lt;wsp:rsid wsp:val=&quot;005708EC&quot;/&gt;&lt;wsp:rsid wsp:val=&quot;00570F63&quot;/&gt;&lt;wsp:rsid wsp:val=&quot;00571270&quot;/&gt;&lt;wsp:rsid wsp:val=&quot;005713CC&quot;/&gt;&lt;wsp:rsid wsp:val=&quot;00571754&quot;/&gt;&lt;wsp:rsid wsp:val=&quot;0057188B&quot;/&gt;&lt;wsp:rsid wsp:val=&quot;00571BC6&quot;/&gt;&lt;wsp:rsid wsp:val=&quot;00571D1F&quot;/&gt;&lt;wsp:rsid wsp:val=&quot;00571D7A&quot;/&gt;&lt;wsp:rsid wsp:val=&quot;00571E3F&quot;/&gt;&lt;wsp:rsid wsp:val=&quot;00571E5F&quot;/&gt;&lt;wsp:rsid wsp:val=&quot;00571F49&quot;/&gt;&lt;wsp:rsid wsp:val=&quot;00572056&quot;/&gt;&lt;wsp:rsid wsp:val=&quot;005723B6&quot;/&gt;&lt;wsp:rsid wsp:val=&quot;00572832&quot;/&gt;&lt;wsp:rsid wsp:val=&quot;00572B81&quot;/&gt;&lt;wsp:rsid wsp:val=&quot;00572F15&quot;/&gt;&lt;wsp:rsid wsp:val=&quot;00573188&quot;/&gt;&lt;wsp:rsid wsp:val=&quot;005732BD&quot;/&gt;&lt;wsp:rsid wsp:val=&quot;005732EA&quot;/&gt;&lt;wsp:rsid wsp:val=&quot;00573331&quot;/&gt;&lt;wsp:rsid wsp:val=&quot;005739FB&quot;/&gt;&lt;wsp:rsid wsp:val=&quot;00573B41&quot;/&gt;&lt;wsp:rsid wsp:val=&quot;00573F1A&quot;/&gt;&lt;wsp:rsid wsp:val=&quot;005745F8&quot;/&gt;&lt;wsp:rsid wsp:val=&quot;0057470C&quot;/&gt;&lt;wsp:rsid wsp:val=&quot;00574866&quot;/&gt;&lt;wsp:rsid wsp:val=&quot;00574B0F&quot;/&gt;&lt;wsp:rsid wsp:val=&quot;00574EE5&quot;/&gt;&lt;wsp:rsid wsp:val=&quot;0057658C&quot;/&gt;&lt;wsp:rsid wsp:val=&quot;00576ACB&quot;/&gt;&lt;wsp:rsid wsp:val=&quot;00576BF4&quot;/&gt;&lt;wsp:rsid wsp:val=&quot;00576E03&quot;/&gt;&lt;wsp:rsid wsp:val=&quot;005770F1&quot;/&gt;&lt;wsp:rsid wsp:val=&quot;0057714E&quot;/&gt;&lt;wsp:rsid wsp:val=&quot;00577559&quot;/&gt;&lt;wsp:rsid wsp:val=&quot;00577699&quot;/&gt;&lt;wsp:rsid wsp:val=&quot;00577EBD&quot;/&gt;&lt;wsp:rsid wsp:val=&quot;00577F10&quot;/&gt;&lt;wsp:rsid wsp:val=&quot;00580790&quot;/&gt;&lt;wsp:rsid wsp:val=&quot;00581446&quot;/&gt;&lt;wsp:rsid wsp:val=&quot;00581A52&quot;/&gt;&lt;wsp:rsid wsp:val=&quot;00581B3D&quot;/&gt;&lt;wsp:rsid wsp:val=&quot;00581EC4&quot;/&gt;&lt;wsp:rsid wsp:val=&quot;00582109&quot;/&gt;&lt;wsp:rsid wsp:val=&quot;00582153&quot;/&gt;&lt;wsp:rsid wsp:val=&quot;005824B7&quot;/&gt;&lt;wsp:rsid wsp:val=&quot;00582F4D&quot;/&gt;&lt;wsp:rsid wsp:val=&quot;00582FF3&quot;/&gt;&lt;wsp:rsid wsp:val=&quot;00583296&quot;/&gt;&lt;wsp:rsid wsp:val=&quot;0058336C&quot;/&gt;&lt;wsp:rsid wsp:val=&quot;005839B5&quot;/&gt;&lt;wsp:rsid wsp:val=&quot;005839C0&quot;/&gt;&lt;wsp:rsid wsp:val=&quot;00583C7E&quot;/&gt;&lt;wsp:rsid wsp:val=&quot;005842BF&quot;/&gt;&lt;wsp:rsid wsp:val=&quot;005845BE&quot;/&gt;&lt;wsp:rsid wsp:val=&quot;005847DF&quot;/&gt;&lt;wsp:rsid wsp:val=&quot;00584A10&quot;/&gt;&lt;wsp:rsid wsp:val=&quot;00584EB7&quot;/&gt;&lt;wsp:rsid wsp:val=&quot;0058558C&quot;/&gt;&lt;wsp:rsid wsp:val=&quot;00585592&quot;/&gt;&lt;wsp:rsid wsp:val=&quot;005868A0&quot;/&gt;&lt;wsp:rsid wsp:val=&quot;00586A23&quot;/&gt;&lt;wsp:rsid wsp:val=&quot;0058793B&quot;/&gt;&lt;wsp:rsid wsp:val=&quot;0059029B&quot;/&gt;&lt;wsp:rsid wsp:val=&quot;005902CD&quot;/&gt;&lt;wsp:rsid wsp:val=&quot;00590911&quot;/&gt;&lt;wsp:rsid wsp:val=&quot;00590AE1&quot;/&gt;&lt;wsp:rsid wsp:val=&quot;00590BAF&quot;/&gt;&lt;wsp:rsid wsp:val=&quot;00590BB7&quot;/&gt;&lt;wsp:rsid wsp:val=&quot;00590E01&quot;/&gt;&lt;wsp:rsid wsp:val=&quot;00591205&quot;/&gt;&lt;wsp:rsid wsp:val=&quot;005912F3&quot;/&gt;&lt;wsp:rsid wsp:val=&quot;005916F8&quot;/&gt;&lt;wsp:rsid wsp:val=&quot;005919FD&quot;/&gt;&lt;wsp:rsid wsp:val=&quot;00591DF6&quot;/&gt;&lt;wsp:rsid wsp:val=&quot;00591DFA&quot;/&gt;&lt;wsp:rsid wsp:val=&quot;00591F1A&quot;/&gt;&lt;wsp:rsid wsp:val=&quot;00591F7F&quot;/&gt;&lt;wsp:rsid wsp:val=&quot;00592164&quot;/&gt;&lt;wsp:rsid wsp:val=&quot;00592648&quot;/&gt;&lt;wsp:rsid wsp:val=&quot;005926E1&quot;/&gt;&lt;wsp:rsid wsp:val=&quot;005928D4&quot;/&gt;&lt;wsp:rsid wsp:val=&quot;00592A64&quot;/&gt;&lt;wsp:rsid wsp:val=&quot;00592AF3&quot;/&gt;&lt;wsp:rsid wsp:val=&quot;00592C7B&quot;/&gt;&lt;wsp:rsid wsp:val=&quot;00592DD6&quot;/&gt;&lt;wsp:rsid wsp:val=&quot;00592E26&quot;/&gt;&lt;wsp:rsid wsp:val=&quot;00593031&quot;/&gt;&lt;wsp:rsid wsp:val=&quot;005931B9&quot;/&gt;&lt;wsp:rsid wsp:val=&quot;00593609&quot;/&gt;&lt;wsp:rsid wsp:val=&quot;00593CE8&quot;/&gt;&lt;wsp:rsid wsp:val=&quot;00593CE9&quot;/&gt;&lt;wsp:rsid wsp:val=&quot;00593F69&quot;/&gt;&lt;wsp:rsid wsp:val=&quot;00594110&quot;/&gt;&lt;wsp:rsid wsp:val=&quot;00594273&quot;/&gt;&lt;wsp:rsid wsp:val=&quot;00594372&quot;/&gt;&lt;wsp:rsid wsp:val=&quot;00594667&quot;/&gt;&lt;wsp:rsid wsp:val=&quot;00594EBD&quot;/&gt;&lt;wsp:rsid wsp:val=&quot;00595156&quot;/&gt;&lt;wsp:rsid wsp:val=&quot;00595C16&quot;/&gt;&lt;wsp:rsid wsp:val=&quot;00595D5A&quot;/&gt;&lt;wsp:rsid wsp:val=&quot;005963B3&quot;/&gt;&lt;wsp:rsid wsp:val=&quot;0059688E&quot;/&gt;&lt;wsp:rsid wsp:val=&quot;005969ED&quot;/&gt;&lt;wsp:rsid wsp:val=&quot;00596DF9&quot;/&gt;&lt;wsp:rsid wsp:val=&quot;00596E70&quot;/&gt;&lt;wsp:rsid wsp:val=&quot;00597124&quot;/&gt;&lt;wsp:rsid wsp:val=&quot;0059756C&quot;/&gt;&lt;wsp:rsid wsp:val=&quot;00597690&quot;/&gt;&lt;wsp:rsid wsp:val=&quot;005A0231&quot;/&gt;&lt;wsp:rsid wsp:val=&quot;005A0669&quot;/&gt;&lt;wsp:rsid wsp:val=&quot;005A0966&quot;/&gt;&lt;wsp:rsid wsp:val=&quot;005A0A0D&quot;/&gt;&lt;wsp:rsid wsp:val=&quot;005A14E9&quot;/&gt;&lt;wsp:rsid wsp:val=&quot;005A1829&quot;/&gt;&lt;wsp:rsid wsp:val=&quot;005A18BC&quot;/&gt;&lt;wsp:rsid wsp:val=&quot;005A2506&quot;/&gt;&lt;wsp:rsid wsp:val=&quot;005A2BCA&quot;/&gt;&lt;wsp:rsid wsp:val=&quot;005A2CAD&quot;/&gt;&lt;wsp:rsid wsp:val=&quot;005A3105&quot;/&gt;&lt;wsp:rsid wsp:val=&quot;005A33B6&quot;/&gt;&lt;wsp:rsid wsp:val=&quot;005A3C70&quot;/&gt;&lt;wsp:rsid wsp:val=&quot;005A3F1B&quot;/&gt;&lt;wsp:rsid wsp:val=&quot;005A45C2&quot;/&gt;&lt;wsp:rsid wsp:val=&quot;005A47A2&quot;/&gt;&lt;wsp:rsid wsp:val=&quot;005A52A5&quot;/&gt;&lt;wsp:rsid wsp:val=&quot;005A5316&quot;/&gt;&lt;wsp:rsid wsp:val=&quot;005A5863&quot;/&gt;&lt;wsp:rsid wsp:val=&quot;005A5C8A&quot;/&gt;&lt;wsp:rsid wsp:val=&quot;005A5FB0&quot;/&gt;&lt;wsp:rsid wsp:val=&quot;005A620B&quot;/&gt;&lt;wsp:rsid wsp:val=&quot;005A6239&quot;/&gt;&lt;wsp:rsid wsp:val=&quot;005A6529&quot;/&gt;&lt;wsp:rsid wsp:val=&quot;005A6600&quot;/&gt;&lt;wsp:rsid wsp:val=&quot;005A6A04&quot;/&gt;&lt;wsp:rsid wsp:val=&quot;005A6CA1&quot;/&gt;&lt;wsp:rsid wsp:val=&quot;005A72AC&quot;/&gt;&lt;wsp:rsid wsp:val=&quot;005A750D&quot;/&gt;&lt;wsp:rsid wsp:val=&quot;005A75BA&quot;/&gt;&lt;wsp:rsid wsp:val=&quot;005A7D99&quot;/&gt;&lt;wsp:rsid wsp:val=&quot;005B013C&quot;/&gt;&lt;wsp:rsid wsp:val=&quot;005B04AD&quot;/&gt;&lt;wsp:rsid wsp:val=&quot;005B081D&quot;/&gt;&lt;wsp:rsid wsp:val=&quot;005B0EBE&quot;/&gt;&lt;wsp:rsid wsp:val=&quot;005B1086&quot;/&gt;&lt;wsp:rsid wsp:val=&quot;005B11F7&quot;/&gt;&lt;wsp:rsid wsp:val=&quot;005B131E&quot;/&gt;&lt;wsp:rsid wsp:val=&quot;005B183A&quot;/&gt;&lt;wsp:rsid wsp:val=&quot;005B185B&quot;/&gt;&lt;wsp:rsid wsp:val=&quot;005B1D53&quot;/&gt;&lt;wsp:rsid wsp:val=&quot;005B1F1D&quot;/&gt;&lt;wsp:rsid wsp:val=&quot;005B1FA9&quot;/&gt;&lt;wsp:rsid wsp:val=&quot;005B2143&quot;/&gt;&lt;wsp:rsid wsp:val=&quot;005B2191&quot;/&gt;&lt;wsp:rsid wsp:val=&quot;005B244A&quot;/&gt;&lt;wsp:rsid wsp:val=&quot;005B25ED&quot;/&gt;&lt;wsp:rsid wsp:val=&quot;005B320A&quot;/&gt;&lt;wsp:rsid wsp:val=&quot;005B3214&quot;/&gt;&lt;wsp:rsid wsp:val=&quot;005B3327&quot;/&gt;&lt;wsp:rsid wsp:val=&quot;005B397B&quot;/&gt;&lt;wsp:rsid wsp:val=&quot;005B3BE3&quot;/&gt;&lt;wsp:rsid wsp:val=&quot;005B4122&quot;/&gt;&lt;wsp:rsid wsp:val=&quot;005B413F&quot;/&gt;&lt;wsp:rsid wsp:val=&quot;005B42EB&quot;/&gt;&lt;wsp:rsid wsp:val=&quot;005B44E7&quot;/&gt;&lt;wsp:rsid wsp:val=&quot;005B45F3&quot;/&gt;&lt;wsp:rsid wsp:val=&quot;005B481E&quot;/&gt;&lt;wsp:rsid wsp:val=&quot;005B485C&quot;/&gt;&lt;wsp:rsid wsp:val=&quot;005B4892&quot;/&gt;&lt;wsp:rsid wsp:val=&quot;005B48F6&quot;/&gt;&lt;wsp:rsid wsp:val=&quot;005B4F08&quot;/&gt;&lt;wsp:rsid wsp:val=&quot;005B522C&quot;/&gt;&lt;wsp:rsid wsp:val=&quot;005B5589&quot;/&gt;&lt;wsp:rsid wsp:val=&quot;005B57A2&quot;/&gt;&lt;wsp:rsid wsp:val=&quot;005B5822&quot;/&gt;&lt;wsp:rsid wsp:val=&quot;005B5B8F&quot;/&gt;&lt;wsp:rsid wsp:val=&quot;005B5F9D&quot;/&gt;&lt;wsp:rsid wsp:val=&quot;005B673C&quot;/&gt;&lt;wsp:rsid wsp:val=&quot;005B6A0A&quot;/&gt;&lt;wsp:rsid wsp:val=&quot;005B74C4&quot;/&gt;&lt;wsp:rsid wsp:val=&quot;005B7A4F&quot;/&gt;&lt;wsp:rsid wsp:val=&quot;005B7C91&quot;/&gt;&lt;wsp:rsid wsp:val=&quot;005C02CF&quot;/&gt;&lt;wsp:rsid wsp:val=&quot;005C02DF&quot;/&gt;&lt;wsp:rsid wsp:val=&quot;005C03F6&quot;/&gt;&lt;wsp:rsid wsp:val=&quot;005C06D2&quot;/&gt;&lt;wsp:rsid wsp:val=&quot;005C08AC&quot;/&gt;&lt;wsp:rsid wsp:val=&quot;005C12D7&quot;/&gt;&lt;wsp:rsid wsp:val=&quot;005C19D6&quot;/&gt;&lt;wsp:rsid wsp:val=&quot;005C1C02&quot;/&gt;&lt;wsp:rsid wsp:val=&quot;005C1C1E&quot;/&gt;&lt;wsp:rsid wsp:val=&quot;005C2151&quot;/&gt;&lt;wsp:rsid wsp:val=&quot;005C21EE&quot;/&gt;&lt;wsp:rsid wsp:val=&quot;005C272C&quot;/&gt;&lt;wsp:rsid wsp:val=&quot;005C2C42&quot;/&gt;&lt;wsp:rsid wsp:val=&quot;005C2C5C&quot;/&gt;&lt;wsp:rsid wsp:val=&quot;005C2EEA&quot;/&gt;&lt;wsp:rsid wsp:val=&quot;005C34B1&quot;/&gt;&lt;wsp:rsid wsp:val=&quot;005C395F&quot;/&gt;&lt;wsp:rsid wsp:val=&quot;005C3978&quot;/&gt;&lt;wsp:rsid wsp:val=&quot;005C3E21&quot;/&gt;&lt;wsp:rsid wsp:val=&quot;005C4186&quot;/&gt;&lt;wsp:rsid wsp:val=&quot;005C435E&quot;/&gt;&lt;wsp:rsid wsp:val=&quot;005C44AC&quot;/&gt;&lt;wsp:rsid wsp:val=&quot;005C45C1&quot;/&gt;&lt;wsp:rsid wsp:val=&quot;005C45D9&quot;/&gt;&lt;wsp:rsid wsp:val=&quot;005C4930&quot;/&gt;&lt;wsp:rsid wsp:val=&quot;005C4978&quot;/&gt;&lt;wsp:rsid wsp:val=&quot;005C4A43&quot;/&gt;&lt;wsp:rsid wsp:val=&quot;005C4D7A&quot;/&gt;&lt;wsp:rsid wsp:val=&quot;005C50FB&quot;/&gt;&lt;wsp:rsid wsp:val=&quot;005C5659&quot;/&gt;&lt;wsp:rsid wsp:val=&quot;005C570F&quot;/&gt;&lt;wsp:rsid wsp:val=&quot;005C5BA8&quot;/&gt;&lt;wsp:rsid wsp:val=&quot;005C600D&quot;/&gt;&lt;wsp:rsid wsp:val=&quot;005C668A&quot;/&gt;&lt;wsp:rsid wsp:val=&quot;005C67B2&quot;/&gt;&lt;wsp:rsid wsp:val=&quot;005C6AB3&quot;/&gt;&lt;wsp:rsid wsp:val=&quot;005C6C39&quot;/&gt;&lt;wsp:rsid wsp:val=&quot;005C6D1C&quot;/&gt;&lt;wsp:rsid wsp:val=&quot;005C6F75&quot;/&gt;&lt;wsp:rsid wsp:val=&quot;005C7013&quot;/&gt;&lt;wsp:rsid wsp:val=&quot;005C712C&quot;/&gt;&lt;wsp:rsid wsp:val=&quot;005C773C&quot;/&gt;&lt;wsp:rsid wsp:val=&quot;005C789A&quot;/&gt;&lt;wsp:rsid wsp:val=&quot;005C7F12&quot;/&gt;&lt;wsp:rsid wsp:val=&quot;005C7F96&quot;/&gt;&lt;wsp:rsid wsp:val=&quot;005D00AC&quot;/&gt;&lt;wsp:rsid wsp:val=&quot;005D021A&quot;/&gt;&lt;wsp:rsid wsp:val=&quot;005D0682&quot;/&gt;&lt;wsp:rsid wsp:val=&quot;005D0A5B&quot;/&gt;&lt;wsp:rsid wsp:val=&quot;005D0AC2&quot;/&gt;&lt;wsp:rsid wsp:val=&quot;005D10A8&quot;/&gt;&lt;wsp:rsid wsp:val=&quot;005D11F2&quot;/&gt;&lt;wsp:rsid wsp:val=&quot;005D1643&quot;/&gt;&lt;wsp:rsid wsp:val=&quot;005D188E&quot;/&gt;&lt;wsp:rsid wsp:val=&quot;005D18E3&quot;/&gt;&lt;wsp:rsid wsp:val=&quot;005D1CB5&quot;/&gt;&lt;wsp:rsid wsp:val=&quot;005D22D8&quot;/&gt;&lt;wsp:rsid wsp:val=&quot;005D2741&quot;/&gt;&lt;wsp:rsid wsp:val=&quot;005D288B&quot;/&gt;&lt;wsp:rsid wsp:val=&quot;005D28B1&quot;/&gt;&lt;wsp:rsid wsp:val=&quot;005D291C&quot;/&gt;&lt;wsp:rsid wsp:val=&quot;005D2A30&quot;/&gt;&lt;wsp:rsid wsp:val=&quot;005D2B9F&quot;/&gt;&lt;wsp:rsid wsp:val=&quot;005D2F6C&quot;/&gt;&lt;wsp:rsid wsp:val=&quot;005D3491&quot;/&gt;&lt;wsp:rsid wsp:val=&quot;005D3C06&quot;/&gt;&lt;wsp:rsid wsp:val=&quot;005D3F4B&quot;/&gt;&lt;wsp:rsid wsp:val=&quot;005D41A4&quot;/&gt;&lt;wsp:rsid wsp:val=&quot;005D4AF4&quot;/&gt;&lt;wsp:rsid wsp:val=&quot;005D4B83&quot;/&gt;&lt;wsp:rsid wsp:val=&quot;005D4BAC&quot;/&gt;&lt;wsp:rsid wsp:val=&quot;005D4CCB&quot;/&gt;&lt;wsp:rsid wsp:val=&quot;005D51AD&quot;/&gt;&lt;wsp:rsid wsp:val=&quot;005D5B11&quot;/&gt;&lt;wsp:rsid wsp:val=&quot;005D5E04&quot;/&gt;&lt;wsp:rsid wsp:val=&quot;005D6865&quot;/&gt;&lt;wsp:rsid wsp:val=&quot;005D68DC&quot;/&gt;&lt;wsp:rsid wsp:val=&quot;005D69CD&quot;/&gt;&lt;wsp:rsid wsp:val=&quot;005D6BF7&quot;/&gt;&lt;wsp:rsid wsp:val=&quot;005D6D08&quot;/&gt;&lt;wsp:rsid wsp:val=&quot;005D6F58&quot;/&gt;&lt;wsp:rsid wsp:val=&quot;005D72C6&quot;/&gt;&lt;wsp:rsid wsp:val=&quot;005D7728&quot;/&gt;&lt;wsp:rsid wsp:val=&quot;005D7B70&quot;/&gt;&lt;wsp:rsid wsp:val=&quot;005D7CF2&quot;/&gt;&lt;wsp:rsid wsp:val=&quot;005E02A5&quot;/&gt;&lt;wsp:rsid wsp:val=&quot;005E066D&quot;/&gt;&lt;wsp:rsid wsp:val=&quot;005E07B0&quot;/&gt;&lt;wsp:rsid wsp:val=&quot;005E08D6&quot;/&gt;&lt;wsp:rsid wsp:val=&quot;005E0C87&quot;/&gt;&lt;wsp:rsid wsp:val=&quot;005E0CB6&quot;/&gt;&lt;wsp:rsid wsp:val=&quot;005E0FB5&quot;/&gt;&lt;wsp:rsid wsp:val=&quot;005E11CF&quot;/&gt;&lt;wsp:rsid wsp:val=&quot;005E12AB&quot;/&gt;&lt;wsp:rsid wsp:val=&quot;005E12B1&quot;/&gt;&lt;wsp:rsid wsp:val=&quot;005E1470&quot;/&gt;&lt;wsp:rsid wsp:val=&quot;005E149E&quot;/&gt;&lt;wsp:rsid wsp:val=&quot;005E1ECD&quot;/&gt;&lt;wsp:rsid wsp:val=&quot;005E20B7&quot;/&gt;&lt;wsp:rsid wsp:val=&quot;005E21CD&quot;/&gt;&lt;wsp:rsid wsp:val=&quot;005E29AA&quot;/&gt;&lt;wsp:rsid wsp:val=&quot;005E2A00&quot;/&gt;&lt;wsp:rsid wsp:val=&quot;005E39B2&quot;/&gt;&lt;wsp:rsid wsp:val=&quot;005E3CC1&quot;/&gt;&lt;wsp:rsid wsp:val=&quot;005E3F77&quot;/&gt;&lt;wsp:rsid wsp:val=&quot;005E44FA&quot;/&gt;&lt;wsp:rsid wsp:val=&quot;005E4AD3&quot;/&gt;&lt;wsp:rsid wsp:val=&quot;005E4FC9&quot;/&gt;&lt;wsp:rsid wsp:val=&quot;005E518D&quot;/&gt;&lt;wsp:rsid wsp:val=&quot;005E51FE&quot;/&gt;&lt;wsp:rsid wsp:val=&quot;005E541D&quot;/&gt;&lt;wsp:rsid wsp:val=&quot;005E6026&quot;/&gt;&lt;wsp:rsid wsp:val=&quot;005E6678&quot;/&gt;&lt;wsp:rsid wsp:val=&quot;005E6805&quot;/&gt;&lt;wsp:rsid wsp:val=&quot;005E6B35&quot;/&gt;&lt;wsp:rsid wsp:val=&quot;005E6D87&quot;/&gt;&lt;wsp:rsid wsp:val=&quot;005E718A&quot;/&gt;&lt;wsp:rsid wsp:val=&quot;005E7278&quot;/&gt;&lt;wsp:rsid wsp:val=&quot;005E73B5&quot;/&gt;&lt;wsp:rsid wsp:val=&quot;005E7724&quot;/&gt;&lt;wsp:rsid wsp:val=&quot;005E7753&quot;/&gt;&lt;wsp:rsid wsp:val=&quot;005E780A&quot;/&gt;&lt;wsp:rsid wsp:val=&quot;005E7D5E&quot;/&gt;&lt;wsp:rsid wsp:val=&quot;005E7F26&quot;/&gt;&lt;wsp:rsid wsp:val=&quot;005E7F7D&quot;/&gt;&lt;wsp:rsid wsp:val=&quot;005E7FCC&quot;/&gt;&lt;wsp:rsid wsp:val=&quot;005F0579&quot;/&gt;&lt;wsp:rsid wsp:val=&quot;005F0589&quot;/&gt;&lt;wsp:rsid wsp:val=&quot;005F092D&quot;/&gt;&lt;wsp:rsid wsp:val=&quot;005F09C4&quot;/&gt;&lt;wsp:rsid wsp:val=&quot;005F0A2B&quot;/&gt;&lt;wsp:rsid wsp:val=&quot;005F1406&quot;/&gt;&lt;wsp:rsid wsp:val=&quot;005F1444&quot;/&gt;&lt;wsp:rsid wsp:val=&quot;005F19EB&quot;/&gt;&lt;wsp:rsid wsp:val=&quot;005F1DBA&quot;/&gt;&lt;wsp:rsid wsp:val=&quot;005F21C6&quot;/&gt;&lt;wsp:rsid wsp:val=&quot;005F2240&quot;/&gt;&lt;wsp:rsid wsp:val=&quot;005F2482&quot;/&gt;&lt;wsp:rsid wsp:val=&quot;005F2843&quot;/&gt;&lt;wsp:rsid wsp:val=&quot;005F3A48&quot;/&gt;&lt;wsp:rsid wsp:val=&quot;005F3B32&quot;/&gt;&lt;wsp:rsid wsp:val=&quot;005F3CE2&quot;/&gt;&lt;wsp:rsid wsp:val=&quot;005F4064&quot;/&gt;&lt;wsp:rsid wsp:val=&quot;005F4875&quot;/&gt;&lt;wsp:rsid wsp:val=&quot;005F531B&quot;/&gt;&lt;wsp:rsid wsp:val=&quot;005F5794&quot;/&gt;&lt;wsp:rsid wsp:val=&quot;005F5E3B&quot;/&gt;&lt;wsp:rsid wsp:val=&quot;005F66D2&quot;/&gt;&lt;wsp:rsid wsp:val=&quot;005F6859&quot;/&gt;&lt;wsp:rsid wsp:val=&quot;005F6AC9&quot;/&gt;&lt;wsp:rsid wsp:val=&quot;005F6B62&quot;/&gt;&lt;wsp:rsid wsp:val=&quot;005F714D&quot;/&gt;&lt;wsp:rsid wsp:val=&quot;005F7208&quot;/&gt;&lt;wsp:rsid wsp:val=&quot;005F7655&quot;/&gt;&lt;wsp:rsid wsp:val=&quot;005F78C9&quot;/&gt;&lt;wsp:rsid wsp:val=&quot;005F78DB&quot;/&gt;&lt;wsp:rsid wsp:val=&quot;005F79CA&quot;/&gt;&lt;wsp:rsid wsp:val=&quot;005F7A86&quot;/&gt;&lt;wsp:rsid wsp:val=&quot;005F7CC1&quot;/&gt;&lt;wsp:rsid wsp:val=&quot;00600930&quot;/&gt;&lt;wsp:rsid wsp:val=&quot;00600950&quot;/&gt;&lt;wsp:rsid wsp:val=&quot;00600BCC&quot;/&gt;&lt;wsp:rsid wsp:val=&quot;006013E0&quot;/&gt;&lt;wsp:rsid wsp:val=&quot;006016CC&quot;/&gt;&lt;wsp:rsid wsp:val=&quot;006017A0&quot;/&gt;&lt;wsp:rsid wsp:val=&quot;00601803&quot;/&gt;&lt;wsp:rsid wsp:val=&quot;00601E47&quot;/&gt;&lt;wsp:rsid wsp:val=&quot;0060215F&quot;/&gt;&lt;wsp:rsid wsp:val=&quot;00602662&quot;/&gt;&lt;wsp:rsid wsp:val=&quot;00602692&quot;/&gt;&lt;wsp:rsid wsp:val=&quot;00602DBF&quot;/&gt;&lt;wsp:rsid wsp:val=&quot;0060343D&quot;/&gt;&lt;wsp:rsid wsp:val=&quot;00603443&quot;/&gt;&lt;wsp:rsid wsp:val=&quot;0060380F&quot;/&gt;&lt;wsp:rsid wsp:val=&quot;00603D72&quot;/&gt;&lt;wsp:rsid wsp:val=&quot;006041F4&quot;/&gt;&lt;wsp:rsid wsp:val=&quot;00604A70&quot;/&gt;&lt;wsp:rsid wsp:val=&quot;00604F77&quot;/&gt;&lt;wsp:rsid wsp:val=&quot;00605312&quot;/&gt;&lt;wsp:rsid wsp:val=&quot;006053FA&quot;/&gt;&lt;wsp:rsid wsp:val=&quot;00605497&quot;/&gt;&lt;wsp:rsid wsp:val=&quot;0060579C&quot;/&gt;&lt;wsp:rsid wsp:val=&quot;0060599D&quot;/&gt;&lt;wsp:rsid wsp:val=&quot;00605AC6&quot;/&gt;&lt;wsp:rsid wsp:val=&quot;00605F21&quot;/&gt;&lt;wsp:rsid wsp:val=&quot;00605FD5&quot;/&gt;&lt;wsp:rsid wsp:val=&quot;00606495&quot;/&gt;&lt;wsp:rsid wsp:val=&quot;0060692A&quot;/&gt;&lt;wsp:rsid wsp:val=&quot;00606C67&quot;/&gt;&lt;wsp:rsid wsp:val=&quot;00606D91&quot;/&gt;&lt;wsp:rsid wsp:val=&quot;00606EE9&quot;/&gt;&lt;wsp:rsid wsp:val=&quot;006071F8&quot;/&gt;&lt;wsp:rsid wsp:val=&quot;0060750E&quot;/&gt;&lt;wsp:rsid wsp:val=&quot;0060760E&quot;/&gt;&lt;wsp:rsid wsp:val=&quot;00607D2A&quot;/&gt;&lt;wsp:rsid wsp:val=&quot;006104A0&quot;/&gt;&lt;wsp:rsid wsp:val=&quot;006104C4&quot;/&gt;&lt;wsp:rsid wsp:val=&quot;00610B4F&quot;/&gt;&lt;wsp:rsid wsp:val=&quot;00610B60&quot;/&gt;&lt;wsp:rsid wsp:val=&quot;00610DED&quot;/&gt;&lt;wsp:rsid wsp:val=&quot;006110B1&quot;/&gt;&lt;wsp:rsid wsp:val=&quot;006117EC&quot;/&gt;&lt;wsp:rsid wsp:val=&quot;006119F6&quot;/&gt;&lt;wsp:rsid wsp:val=&quot;00611AD8&quot;/&gt;&lt;wsp:rsid wsp:val=&quot;00611BE2&quot;/&gt;&lt;wsp:rsid wsp:val=&quot;00611D1C&quot;/&gt;&lt;wsp:rsid wsp:val=&quot;00611FBB&quot;/&gt;&lt;wsp:rsid wsp:val=&quot;0061247F&quot;/&gt;&lt;wsp:rsid wsp:val=&quot;00612698&quot;/&gt;&lt;wsp:rsid wsp:val=&quot;00612D04&quot;/&gt;&lt;wsp:rsid wsp:val=&quot;00612D9D&quot;/&gt;&lt;wsp:rsid wsp:val=&quot;00612F3C&quot;/&gt;&lt;wsp:rsid wsp:val=&quot;00613568&quot;/&gt;&lt;wsp:rsid wsp:val=&quot;00613A58&quot;/&gt;&lt;wsp:rsid wsp:val=&quot;00614164&quot;/&gt;&lt;wsp:rsid wsp:val=&quot;00614DB8&quot;/&gt;&lt;wsp:rsid wsp:val=&quot;0061523E&quot;/&gt;&lt;wsp:rsid wsp:val=&quot;006155C4&quot;/&gt;&lt;wsp:rsid wsp:val=&quot;006157DD&quot;/&gt;&lt;wsp:rsid wsp:val=&quot;00615934&quot;/&gt;&lt;wsp:rsid wsp:val=&quot;0061673B&quot;/&gt;&lt;wsp:rsid wsp:val=&quot;0061748C&quot;/&gt;&lt;wsp:rsid wsp:val=&quot;006175A1&quot;/&gt;&lt;wsp:rsid wsp:val=&quot;00617905&quot;/&gt;&lt;wsp:rsid wsp:val=&quot;0062018E&quot;/&gt;&lt;wsp:rsid wsp:val=&quot;0062025C&quot;/&gt;&lt;wsp:rsid wsp:val=&quot;0062098F&quot;/&gt;&lt;wsp:rsid wsp:val=&quot;006209F6&quot;/&gt;&lt;wsp:rsid wsp:val=&quot;00620B1B&quot;/&gt;&lt;wsp:rsid wsp:val=&quot;0062139E&quot;/&gt;&lt;wsp:rsid wsp:val=&quot;00621405&quot;/&gt;&lt;wsp:rsid wsp:val=&quot;00621469&quot;/&gt;&lt;wsp:rsid wsp:val=&quot;006217A3&quot;/&gt;&lt;wsp:rsid wsp:val=&quot;00621D04&quot;/&gt;&lt;wsp:rsid wsp:val=&quot;00621EF6&quot;/&gt;&lt;wsp:rsid wsp:val=&quot;0062218E&quot;/&gt;&lt;wsp:rsid wsp:val=&quot;006223C5&quot;/&gt;&lt;wsp:rsid wsp:val=&quot;006226D9&quot;/&gt;&lt;wsp:rsid wsp:val=&quot;006227A3&quot;/&gt;&lt;wsp:rsid wsp:val=&quot;00622857&quot;/&gt;&lt;wsp:rsid wsp:val=&quot;00622DDC&quot;/&gt;&lt;wsp:rsid wsp:val=&quot;00622F55&quot;/&gt;&lt;wsp:rsid wsp:val=&quot;0062392F&quot;/&gt;&lt;wsp:rsid wsp:val=&quot;00623AEA&quot;/&gt;&lt;wsp:rsid wsp:val=&quot;00623EF3&quot;/&gt;&lt;wsp:rsid wsp:val=&quot;0062407A&quot;/&gt;&lt;wsp:rsid wsp:val=&quot;006242F0&quot;/&gt;&lt;wsp:rsid wsp:val=&quot;006243EC&quot;/&gt;&lt;wsp:rsid wsp:val=&quot;006245DD&quot;/&gt;&lt;wsp:rsid wsp:val=&quot;00624D61&quot;/&gt;&lt;wsp:rsid wsp:val=&quot;00624FA7&quot;/&gt;&lt;wsp:rsid wsp:val=&quot;0062577F&quot;/&gt;&lt;wsp:rsid wsp:val=&quot;006259EC&quot;/&gt;&lt;wsp:rsid wsp:val=&quot;00625B1E&quot;/&gt;&lt;wsp:rsid wsp:val=&quot;00625CD1&quot;/&gt;&lt;wsp:rsid wsp:val=&quot;0062612E&quot;/&gt;&lt;wsp:rsid wsp:val=&quot;0062615D&quot;/&gt;&lt;wsp:rsid wsp:val=&quot;00626276&quot;/&gt;&lt;wsp:rsid wsp:val=&quot;006264D5&quot;/&gt;&lt;wsp:rsid wsp:val=&quot;0062667D&quot;/&gt;&lt;wsp:rsid wsp:val=&quot;006267E9&quot;/&gt;&lt;wsp:rsid wsp:val=&quot;00626876&quot;/&gt;&lt;wsp:rsid wsp:val=&quot;00626F72&quot;/&gt;&lt;wsp:rsid wsp:val=&quot;00626FE3&quot;/&gt;&lt;wsp:rsid wsp:val=&quot;006270E2&quot;/&gt;&lt;wsp:rsid wsp:val=&quot;0062713D&quot;/&gt;&lt;wsp:rsid wsp:val=&quot;00627332&quot;/&gt;&lt;wsp:rsid wsp:val=&quot;006278BC&quot;/&gt;&lt;wsp:rsid wsp:val=&quot;00627A09&quot;/&gt;&lt;wsp:rsid wsp:val=&quot;00627DE4&quot;/&gt;&lt;wsp:rsid wsp:val=&quot;006300A5&quot;/&gt;&lt;wsp:rsid wsp:val=&quot;0063069B&quot;/&gt;&lt;wsp:rsid wsp:val=&quot;00630CE0&quot;/&gt;&lt;wsp:rsid wsp:val=&quot;00631241&quot;/&gt;&lt;wsp:rsid wsp:val=&quot;00631489&quot;/&gt;&lt;wsp:rsid wsp:val=&quot;00631D68&quot;/&gt;&lt;wsp:rsid wsp:val=&quot;0063235E&quot;/&gt;&lt;wsp:rsid wsp:val=&quot;00632421&quot;/&gt;&lt;wsp:rsid wsp:val=&quot;00632AE3&quot;/&gt;&lt;wsp:rsid wsp:val=&quot;00632D4E&quot;/&gt;&lt;wsp:rsid wsp:val=&quot;0063345C&quot;/&gt;&lt;wsp:rsid wsp:val=&quot;00633EC5&quot;/&gt;&lt;wsp:rsid wsp:val=&quot;00634545&quot;/&gt;&lt;wsp:rsid wsp:val=&quot;00635069&quot;/&gt;&lt;wsp:rsid wsp:val=&quot;006350B5&quot;/&gt;&lt;wsp:rsid wsp:val=&quot;0063528A&quot;/&gt;&lt;wsp:rsid wsp:val=&quot;0063595F&quot;/&gt;&lt;wsp:rsid wsp:val=&quot;0063596B&quot;/&gt;&lt;wsp:rsid wsp:val=&quot;00635AB7&quot;/&gt;&lt;wsp:rsid wsp:val=&quot;00635EFC&quot;/&gt;&lt;wsp:rsid wsp:val=&quot;00635F4D&quot;/&gt;&lt;wsp:rsid wsp:val=&quot;006360FC&quot;/&gt;&lt;wsp:rsid wsp:val=&quot;006363B0&quot;/&gt;&lt;wsp:rsid wsp:val=&quot;0063654F&quot;/&gt;&lt;wsp:rsid wsp:val=&quot;006369F7&quot;/&gt;&lt;wsp:rsid wsp:val=&quot;00636BE0&quot;/&gt;&lt;wsp:rsid wsp:val=&quot;0063749D&quot;/&gt;&lt;wsp:rsid wsp:val=&quot;0063771D&quot;/&gt;&lt;wsp:rsid wsp:val=&quot;0063795F&quot;/&gt;&lt;wsp:rsid wsp:val=&quot;00637F48&quot;/&gt;&lt;wsp:rsid wsp:val=&quot;00640631&quot;/&gt;&lt;wsp:rsid wsp:val=&quot;00640A8C&quot;/&gt;&lt;wsp:rsid wsp:val=&quot;00640D8C&quot;/&gt;&lt;wsp:rsid wsp:val=&quot;00641490&quot;/&gt;&lt;wsp:rsid wsp:val=&quot;0064184F&quot;/&gt;&lt;wsp:rsid wsp:val=&quot;00641B62&quot;/&gt;&lt;wsp:rsid wsp:val=&quot;00641E49&quot;/&gt;&lt;wsp:rsid wsp:val=&quot;006420AF&quot;/&gt;&lt;wsp:rsid wsp:val=&quot;00642223&quot;/&gt;&lt;wsp:rsid wsp:val=&quot;0064262B&quot;/&gt;&lt;wsp:rsid wsp:val=&quot;00642A27&quot;/&gt;&lt;wsp:rsid wsp:val=&quot;00642B8A&quot;/&gt;&lt;wsp:rsid wsp:val=&quot;00642ECC&quot;/&gt;&lt;wsp:rsid wsp:val=&quot;006431C3&quot;/&gt;&lt;wsp:rsid wsp:val=&quot;006431DB&quot;/&gt;&lt;wsp:rsid wsp:val=&quot;00643392&quot;/&gt;&lt;wsp:rsid wsp:val=&quot;00643447&quot;/&gt;&lt;wsp:rsid wsp:val=&quot;00643462&quot;/&gt;&lt;wsp:rsid wsp:val=&quot;006437F1&quot;/&gt;&lt;wsp:rsid wsp:val=&quot;00643E5F&quot;/&gt;&lt;wsp:rsid wsp:val=&quot;00643F90&quot;/&gt;&lt;wsp:rsid wsp:val=&quot;0064437A&quot;/&gt;&lt;wsp:rsid wsp:val=&quot;00644513&quot;/&gt;&lt;wsp:rsid wsp:val=&quot;00644784&quot;/&gt;&lt;wsp:rsid wsp:val=&quot;00644BFD&quot;/&gt;&lt;wsp:rsid wsp:val=&quot;00645728&quot;/&gt;&lt;wsp:rsid wsp:val=&quot;00645C8E&quot;/&gt;&lt;wsp:rsid wsp:val=&quot;00645FC2&quot;/&gt;&lt;wsp:rsid wsp:val=&quot;00646136&quot;/&gt;&lt;wsp:rsid wsp:val=&quot;0064614D&quot;/&gt;&lt;wsp:rsid wsp:val=&quot;00646159&quot;/&gt;&lt;wsp:rsid wsp:val=&quot;00646ADF&quot;/&gt;&lt;wsp:rsid wsp:val=&quot;00646E98&quot;/&gt;&lt;wsp:rsid wsp:val=&quot;006470E8&quot;/&gt;&lt;wsp:rsid wsp:val=&quot;006471AA&quot;/&gt;&lt;wsp:rsid wsp:val=&quot;0064762B&quot;/&gt;&lt;wsp:rsid wsp:val=&quot;006479FB&quot;/&gt;&lt;wsp:rsid wsp:val=&quot;00647F4E&quot;/&gt;&lt;wsp:rsid wsp:val=&quot;00650673&quot;/&gt;&lt;wsp:rsid wsp:val=&quot;006507BF&quot;/&gt;&lt;wsp:rsid wsp:val=&quot;006509FC&quot;/&gt;&lt;wsp:rsid wsp:val=&quot;00650D4F&quot;/&gt;&lt;wsp:rsid wsp:val=&quot;00650E1F&quot;/&gt;&lt;wsp:rsid wsp:val=&quot;00650F51&quot;/&gt;&lt;wsp:rsid wsp:val=&quot;006510CD&quot;/&gt;&lt;wsp:rsid wsp:val=&quot;00651160&quot;/&gt;&lt;wsp:rsid wsp:val=&quot;0065129C&quot;/&gt;&lt;wsp:rsid wsp:val=&quot;0065174F&quot;/&gt;&lt;wsp:rsid wsp:val=&quot;00651803&quot;/&gt;&lt;wsp:rsid wsp:val=&quot;00651979&quot;/&gt;&lt;wsp:rsid wsp:val=&quot;00651A8A&quot;/&gt;&lt;wsp:rsid wsp:val=&quot;00652017&quot;/&gt;&lt;wsp:rsid wsp:val=&quot;0065251B&quot;/&gt;&lt;wsp:rsid wsp:val=&quot;00652ADE&quot;/&gt;&lt;wsp:rsid wsp:val=&quot;0065368B&quot;/&gt;&lt;wsp:rsid wsp:val=&quot;006537C8&quot;/&gt;&lt;wsp:rsid wsp:val=&quot;00653AEB&quot;/&gt;&lt;wsp:rsid wsp:val=&quot;00654161&quot;/&gt;&lt;wsp:rsid wsp:val=&quot;006543DB&quot;/&gt;&lt;wsp:rsid wsp:val=&quot;00654CE5&quot;/&gt;&lt;wsp:rsid wsp:val=&quot;00654D86&quot;/&gt;&lt;wsp:rsid wsp:val=&quot;006551F9&quot;/&gt;&lt;wsp:rsid wsp:val=&quot;0065540E&quot;/&gt;&lt;wsp:rsid wsp:val=&quot;006559B0&quot;/&gt;&lt;wsp:rsid wsp:val=&quot;006561C5&quot;/&gt;&lt;wsp:rsid wsp:val=&quot;0065623A&quot;/&gt;&lt;wsp:rsid wsp:val=&quot;00656A16&quot;/&gt;&lt;wsp:rsid wsp:val=&quot;00656C07&quot;/&gt;&lt;wsp:rsid wsp:val=&quot;00657224&quot;/&gt;&lt;wsp:rsid wsp:val=&quot;00657298&quot;/&gt;&lt;wsp:rsid wsp:val=&quot;00657E13&quot;/&gt;&lt;wsp:rsid wsp:val=&quot;00660129&quot;/&gt;&lt;wsp:rsid wsp:val=&quot;006602A5&quot;/&gt;&lt;wsp:rsid wsp:val=&quot;00660EA0&quot;/&gt;&lt;wsp:rsid wsp:val=&quot;00660EB5&quot;/&gt;&lt;wsp:rsid wsp:val=&quot;00660F1A&quot;/&gt;&lt;wsp:rsid wsp:val=&quot;00661281&quot;/&gt;&lt;wsp:rsid wsp:val=&quot;006614BB&quot;/&gt;&lt;wsp:rsid wsp:val=&quot;00661BAE&quot;/&gt;&lt;wsp:rsid wsp:val=&quot;00661D4C&quot;/&gt;&lt;wsp:rsid wsp:val=&quot;00661F6A&quot;/&gt;&lt;wsp:rsid wsp:val=&quot;00662647&quot;/&gt;&lt;wsp:rsid wsp:val=&quot;006627B8&quot;/&gt;&lt;wsp:rsid wsp:val=&quot;00662857&quot;/&gt;&lt;wsp:rsid wsp:val=&quot;00662971&quot;/&gt;&lt;wsp:rsid wsp:val=&quot;00662B06&quot;/&gt;&lt;wsp:rsid wsp:val=&quot;00662FAB&quot;/&gt;&lt;wsp:rsid wsp:val=&quot;006632F3&quot;/&gt;&lt;wsp:rsid wsp:val=&quot;006638BE&quot;/&gt;&lt;wsp:rsid wsp:val=&quot;00663B1D&quot;/&gt;&lt;wsp:rsid wsp:val=&quot;00663C31&quot;/&gt;&lt;wsp:rsid wsp:val=&quot;00663C78&quot;/&gt;&lt;wsp:rsid wsp:val=&quot;00663F87&quot;/&gt;&lt;wsp:rsid wsp:val=&quot;00663FF8&quot;/&gt;&lt;wsp:rsid wsp:val=&quot;00664239&quot;/&gt;&lt;wsp:rsid wsp:val=&quot;006642D3&quot;/&gt;&lt;wsp:rsid wsp:val=&quot;006648F8&quot;/&gt;&lt;wsp:rsid wsp:val=&quot;00664930&quot;/&gt;&lt;wsp:rsid wsp:val=&quot;00664A22&quot;/&gt;&lt;wsp:rsid wsp:val=&quot;00664AF8&quot;/&gt;&lt;wsp:rsid wsp:val=&quot;00665012&quot;/&gt;&lt;wsp:rsid wsp:val=&quot;006651FC&quot;/&gt;&lt;wsp:rsid wsp:val=&quot;00665343&quot;/&gt;&lt;wsp:rsid wsp:val=&quot;006655AD&quot;/&gt;&lt;wsp:rsid wsp:val=&quot;006659B7&quot;/&gt;&lt;wsp:rsid wsp:val=&quot;00665B99&quot;/&gt;&lt;wsp:rsid wsp:val=&quot;00666106&quot;/&gt;&lt;wsp:rsid wsp:val=&quot;006662AF&quot;/&gt;&lt;wsp:rsid wsp:val=&quot;0066679D&quot;/&gt;&lt;wsp:rsid wsp:val=&quot;00666B4F&quot;/&gt;&lt;wsp:rsid wsp:val=&quot;00666FA8&quot;/&gt;&lt;wsp:rsid wsp:val=&quot;00667403&quot;/&gt;&lt;wsp:rsid wsp:val=&quot;0066746B&quot;/&gt;&lt;wsp:rsid wsp:val=&quot;006676C5&quot;/&gt;&lt;wsp:rsid wsp:val=&quot;00667AA9&quot;/&gt;&lt;wsp:rsid wsp:val=&quot;00670520&quot;/&gt;&lt;wsp:rsid wsp:val=&quot;006706ED&quot;/&gt;&lt;wsp:rsid wsp:val=&quot;00670865&quot;/&gt;&lt;wsp:rsid wsp:val=&quot;006709EE&quot;/&gt;&lt;wsp:rsid wsp:val=&quot;00670FD3&quot;/&gt;&lt;wsp:rsid wsp:val=&quot;006711C3&quot;/&gt;&lt;wsp:rsid wsp:val=&quot;006714A8&quot;/&gt;&lt;wsp:rsid wsp:val=&quot;006715FA&quot;/&gt;&lt;wsp:rsid wsp:val=&quot;006717A7&quot;/&gt;&lt;wsp:rsid wsp:val=&quot;00671BEC&quot;/&gt;&lt;wsp:rsid wsp:val=&quot;00671C9B&quot;/&gt;&lt;wsp:rsid wsp:val=&quot;00671D4A&quot;/&gt;&lt;wsp:rsid wsp:val=&quot;00672310&quot;/&gt;&lt;wsp:rsid wsp:val=&quot;006723C1&quot;/&gt;&lt;wsp:rsid wsp:val=&quot;006726C5&quot;/&gt;&lt;wsp:rsid wsp:val=&quot;006728DA&quot;/&gt;&lt;wsp:rsid wsp:val=&quot;00672995&quot;/&gt;&lt;wsp:rsid wsp:val=&quot;00672ADD&quot;/&gt;&lt;wsp:rsid wsp:val=&quot;00672BA9&quot;/&gt;&lt;wsp:rsid wsp:val=&quot;00672CCB&quot;/&gt;&lt;wsp:rsid wsp:val=&quot;00672CF8&quot;/&gt;&lt;wsp:rsid wsp:val=&quot;00673040&quot;/&gt;&lt;wsp:rsid wsp:val=&quot;00673567&quot;/&gt;&lt;wsp:rsid wsp:val=&quot;00673DF6&quot;/&gt;&lt;wsp:rsid wsp:val=&quot;00673E3B&quot;/&gt;&lt;wsp:rsid wsp:val=&quot;00673EFD&quot;/&gt;&lt;wsp:rsid wsp:val=&quot;006741C6&quot;/&gt;&lt;wsp:rsid wsp:val=&quot;006742EE&quot;/&gt;&lt;wsp:rsid wsp:val=&quot;006746B9&quot;/&gt;&lt;wsp:rsid wsp:val=&quot;006746BC&quot;/&gt;&lt;wsp:rsid wsp:val=&quot;0067497C&quot;/&gt;&lt;wsp:rsid wsp:val=&quot;006749ED&quot;/&gt;&lt;wsp:rsid wsp:val=&quot;0067515D&quot;/&gt;&lt;wsp:rsid wsp:val=&quot;0067517C&quot;/&gt;&lt;wsp:rsid wsp:val=&quot;0067575D&quot;/&gt;&lt;wsp:rsid wsp:val=&quot;00675FE0&quot;/&gt;&lt;wsp:rsid wsp:val=&quot;00676050&quot;/&gt;&lt;wsp:rsid wsp:val=&quot;006763A3&quot;/&gt;&lt;wsp:rsid wsp:val=&quot;00676663&quot;/&gt;&lt;wsp:rsid wsp:val=&quot;006766B7&quot;/&gt;&lt;wsp:rsid wsp:val=&quot;006768A4&quot;/&gt;&lt;wsp:rsid wsp:val=&quot;00676C34&quot;/&gt;&lt;wsp:rsid wsp:val=&quot;00676E60&quot;/&gt;&lt;wsp:rsid wsp:val=&quot;00677122&quot;/&gt;&lt;wsp:rsid wsp:val=&quot;0067743C&quot;/&gt;&lt;wsp:rsid wsp:val=&quot;006779D8&quot;/&gt;&lt;wsp:rsid wsp:val=&quot;00677A34&quot;/&gt;&lt;wsp:rsid wsp:val=&quot;00677B37&quot;/&gt;&lt;wsp:rsid wsp:val=&quot;00677DEB&quot;/&gt;&lt;wsp:rsid wsp:val=&quot;00680488&quot;/&gt;&lt;wsp:rsid wsp:val=&quot;00680574&quot;/&gt;&lt;wsp:rsid wsp:val=&quot;006805C0&quot;/&gt;&lt;wsp:rsid wsp:val=&quot;00680663&quot;/&gt;&lt;wsp:rsid wsp:val=&quot;00680F3C&quot;/&gt;&lt;wsp:rsid wsp:val=&quot;0068127D&quot;/&gt;&lt;wsp:rsid wsp:val=&quot;00681DBF&quot;/&gt;&lt;wsp:rsid wsp:val=&quot;00682184&quot;/&gt;&lt;wsp:rsid wsp:val=&quot;006829F2&quot;/&gt;&lt;wsp:rsid wsp:val=&quot;0068310B&quot;/&gt;&lt;wsp:rsid wsp:val=&quot;00683281&quot;/&gt;&lt;wsp:rsid wsp:val=&quot;0068357D&quot;/&gt;&lt;wsp:rsid wsp:val=&quot;006835C7&quot;/&gt;&lt;wsp:rsid wsp:val=&quot;00683A27&quot;/&gt;&lt;wsp:rsid wsp:val=&quot;00683AB8&quot;/&gt;&lt;wsp:rsid wsp:val=&quot;00684040&quot;/&gt;&lt;wsp:rsid wsp:val=&quot;0068404B&quot;/&gt;&lt;wsp:rsid wsp:val=&quot;0068405C&quot;/&gt;&lt;wsp:rsid wsp:val=&quot;006841EF&quot;/&gt;&lt;wsp:rsid wsp:val=&quot;006843AB&quot;/&gt;&lt;wsp:rsid wsp:val=&quot;0068457A&quot;/&gt;&lt;wsp:rsid wsp:val=&quot;0068460D&quot;/&gt;&lt;wsp:rsid wsp:val=&quot;0068515F&quot;/&gt;&lt;wsp:rsid wsp:val=&quot;00685188&quot;/&gt;&lt;wsp:rsid wsp:val=&quot;006858CE&quot;/&gt;&lt;wsp:rsid wsp:val=&quot;006859F6&quot;/&gt;&lt;wsp:rsid wsp:val=&quot;00685E06&quot;/&gt;&lt;wsp:rsid wsp:val=&quot;00686281&quot;/&gt;&lt;wsp:rsid wsp:val=&quot;006862C0&quot;/&gt;&lt;wsp:rsid wsp:val=&quot;006862CD&quot;/&gt;&lt;wsp:rsid wsp:val=&quot;00686434&quot;/&gt;&lt;wsp:rsid wsp:val=&quot;00686967&quot;/&gt;&lt;wsp:rsid wsp:val=&quot;00686DF4&quot;/&gt;&lt;wsp:rsid wsp:val=&quot;00686EE2&quot;/&gt;&lt;wsp:rsid wsp:val=&quot;006872CF&quot;/&gt;&lt;wsp:rsid wsp:val=&quot;00687A8A&quot;/&gt;&lt;wsp:rsid wsp:val=&quot;00687BB3&quot;/&gt;&lt;wsp:rsid wsp:val=&quot;00687DDA&quot;/&gt;&lt;wsp:rsid wsp:val=&quot;00687F39&quot;/&gt;&lt;wsp:rsid wsp:val=&quot;006903A9&quot;/&gt;&lt;wsp:rsid wsp:val=&quot;00690466&quot;/&gt;&lt;wsp:rsid wsp:val=&quot;00690684&quot;/&gt;&lt;wsp:rsid wsp:val=&quot;00690D12&quot;/&gt;&lt;wsp:rsid wsp:val=&quot;00691069&quot;/&gt;&lt;wsp:rsid wsp:val=&quot;00691498&quot;/&gt;&lt;wsp:rsid wsp:val=&quot;0069193D&quot;/&gt;&lt;wsp:rsid wsp:val=&quot;00691A80&quot;/&gt;&lt;wsp:rsid wsp:val=&quot;00692016&quot;/&gt;&lt;wsp:rsid wsp:val=&quot;006922A3&quot;/&gt;&lt;wsp:rsid wsp:val=&quot;00692E59&quot;/&gt;&lt;wsp:rsid wsp:val=&quot;0069309E&quot;/&gt;&lt;wsp:rsid wsp:val=&quot;006930A2&quot;/&gt;&lt;wsp:rsid wsp:val=&quot;0069351F&quot;/&gt;&lt;wsp:rsid wsp:val=&quot;00693AD5&quot;/&gt;&lt;wsp:rsid wsp:val=&quot;00693C5D&quot;/&gt;&lt;wsp:rsid wsp:val=&quot;00694C29&quot;/&gt;&lt;wsp:rsid wsp:val=&quot;00695015&quot;/&gt;&lt;wsp:rsid wsp:val=&quot;00695334&quot;/&gt;&lt;wsp:rsid wsp:val=&quot;00695491&quot;/&gt;&lt;wsp:rsid wsp:val=&quot;006955E6&quot;/&gt;&lt;wsp:rsid wsp:val=&quot;00695B0C&quot;/&gt;&lt;wsp:rsid wsp:val=&quot;00695F3C&quot;/&gt;&lt;wsp:rsid wsp:val=&quot;0069625B&quot;/&gt;&lt;wsp:rsid wsp:val=&quot;00696525&quot;/&gt;&lt;wsp:rsid wsp:val=&quot;00696657&quot;/&gt;&lt;wsp:rsid wsp:val=&quot;006966BB&quot;/&gt;&lt;wsp:rsid wsp:val=&quot;00696F99&quot;/&gt;&lt;wsp:rsid wsp:val=&quot;00697280&quot;/&gt;&lt;wsp:rsid wsp:val=&quot;00697553&quot;/&gt;&lt;wsp:rsid wsp:val=&quot;00697731&quot;/&gt;&lt;wsp:rsid wsp:val=&quot;00697D69&quot;/&gt;&lt;wsp:rsid wsp:val=&quot;006A07B0&quot;/&gt;&lt;wsp:rsid wsp:val=&quot;006A0B33&quot;/&gt;&lt;wsp:rsid wsp:val=&quot;006A0D22&quot;/&gt;&lt;wsp:rsid wsp:val=&quot;006A0EE8&quot;/&gt;&lt;wsp:rsid wsp:val=&quot;006A10FD&quot;/&gt;&lt;wsp:rsid wsp:val=&quot;006A154A&quot;/&gt;&lt;wsp:rsid wsp:val=&quot;006A183A&quot;/&gt;&lt;wsp:rsid wsp:val=&quot;006A1BD3&quot;/&gt;&lt;wsp:rsid wsp:val=&quot;006A1F30&quot;/&gt;&lt;wsp:rsid wsp:val=&quot;006A1FCF&quot;/&gt;&lt;wsp:rsid wsp:val=&quot;006A24BD&quot;/&gt;&lt;wsp:rsid wsp:val=&quot;006A2538&quot;/&gt;&lt;wsp:rsid wsp:val=&quot;006A275F&quot;/&gt;&lt;wsp:rsid wsp:val=&quot;006A27D9&quot;/&gt;&lt;wsp:rsid wsp:val=&quot;006A2A5E&quot;/&gt;&lt;wsp:rsid wsp:val=&quot;006A2E58&quot;/&gt;&lt;wsp:rsid wsp:val=&quot;006A2E8D&quot;/&gt;&lt;wsp:rsid wsp:val=&quot;006A3080&quot;/&gt;&lt;wsp:rsid wsp:val=&quot;006A30B7&quot;/&gt;&lt;wsp:rsid wsp:val=&quot;006A3443&quot;/&gt;&lt;wsp:rsid wsp:val=&quot;006A350D&quot;/&gt;&lt;wsp:rsid wsp:val=&quot;006A376F&quot;/&gt;&lt;wsp:rsid wsp:val=&quot;006A3796&quot;/&gt;&lt;wsp:rsid wsp:val=&quot;006A37EF&quot;/&gt;&lt;wsp:rsid wsp:val=&quot;006A3D61&quot;/&gt;&lt;wsp:rsid wsp:val=&quot;006A3D77&quot;/&gt;&lt;wsp:rsid wsp:val=&quot;006A4B64&quot;/&gt;&lt;wsp:rsid wsp:val=&quot;006A4D14&quot;/&gt;&lt;wsp:rsid wsp:val=&quot;006A4E62&quot;/&gt;&lt;wsp:rsid wsp:val=&quot;006A4EB8&quot;/&gt;&lt;wsp:rsid wsp:val=&quot;006A4F4B&quot;/&gt;&lt;wsp:rsid wsp:val=&quot;006A5004&quot;/&gt;&lt;wsp:rsid wsp:val=&quot;006A53B7&quot;/&gt;&lt;wsp:rsid wsp:val=&quot;006A53F0&quot;/&gt;&lt;wsp:rsid wsp:val=&quot;006A5469&quot;/&gt;&lt;wsp:rsid wsp:val=&quot;006A58AA&quot;/&gt;&lt;wsp:rsid wsp:val=&quot;006A6045&quot;/&gt;&lt;wsp:rsid wsp:val=&quot;006A60ED&quot;/&gt;&lt;wsp:rsid wsp:val=&quot;006A68A8&quot;/&gt;&lt;wsp:rsid wsp:val=&quot;006A6A47&quot;/&gt;&lt;wsp:rsid wsp:val=&quot;006A6E30&quot;/&gt;&lt;wsp:rsid wsp:val=&quot;006A6FDC&quot;/&gt;&lt;wsp:rsid wsp:val=&quot;006A706A&quot;/&gt;&lt;wsp:rsid wsp:val=&quot;006A70D8&quot;/&gt;&lt;wsp:rsid wsp:val=&quot;006A76ED&quot;/&gt;&lt;wsp:rsid wsp:val=&quot;006A77CF&quot;/&gt;&lt;wsp:rsid wsp:val=&quot;006A7DEC&quot;/&gt;&lt;wsp:rsid wsp:val=&quot;006B02DE&quot;/&gt;&lt;wsp:rsid wsp:val=&quot;006B034F&quot;/&gt;&lt;wsp:rsid wsp:val=&quot;006B038A&quot;/&gt;&lt;wsp:rsid wsp:val=&quot;006B0F8C&quot;/&gt;&lt;wsp:rsid wsp:val=&quot;006B0FC1&quot;/&gt;&lt;wsp:rsid wsp:val=&quot;006B10BC&quot;/&gt;&lt;wsp:rsid wsp:val=&quot;006B13A5&quot;/&gt;&lt;wsp:rsid wsp:val=&quot;006B18F3&quot;/&gt;&lt;wsp:rsid wsp:val=&quot;006B1927&quot;/&gt;&lt;wsp:rsid wsp:val=&quot;006B1FBD&quot;/&gt;&lt;wsp:rsid wsp:val=&quot;006B259B&quot;/&gt;&lt;wsp:rsid wsp:val=&quot;006B2A8B&quot;/&gt;&lt;wsp:rsid wsp:val=&quot;006B2F9E&quot;/&gt;&lt;wsp:rsid wsp:val=&quot;006B322F&quot;/&gt;&lt;wsp:rsid wsp:val=&quot;006B33D4&quot;/&gt;&lt;wsp:rsid wsp:val=&quot;006B373C&quot;/&gt;&lt;wsp:rsid wsp:val=&quot;006B376E&quot;/&gt;&lt;wsp:rsid wsp:val=&quot;006B3792&quot;/&gt;&lt;wsp:rsid wsp:val=&quot;006B40BB&quot;/&gt;&lt;wsp:rsid wsp:val=&quot;006B40EE&quot;/&gt;&lt;wsp:rsid wsp:val=&quot;006B44A3&quot;/&gt;&lt;wsp:rsid wsp:val=&quot;006B474C&quot;/&gt;&lt;wsp:rsid wsp:val=&quot;006B49F4&quot;/&gt;&lt;wsp:rsid wsp:val=&quot;006B4AB7&quot;/&gt;&lt;wsp:rsid wsp:val=&quot;006B5043&quot;/&gt;&lt;wsp:rsid wsp:val=&quot;006B51AE&quot;/&gt;&lt;wsp:rsid wsp:val=&quot;006B530D&quot;/&gt;&lt;wsp:rsid wsp:val=&quot;006B53EE&quot;/&gt;&lt;wsp:rsid wsp:val=&quot;006B54D5&quot;/&gt;&lt;wsp:rsid wsp:val=&quot;006B595C&quot;/&gt;&lt;wsp:rsid wsp:val=&quot;006B5B02&quot;/&gt;&lt;wsp:rsid wsp:val=&quot;006B5B3E&quot;/&gt;&lt;wsp:rsid wsp:val=&quot;006B6138&quot;/&gt;&lt;wsp:rsid wsp:val=&quot;006B660F&quot;/&gt;&lt;wsp:rsid wsp:val=&quot;006B67A5&quot;/&gt;&lt;wsp:rsid wsp:val=&quot;006B69B9&quot;/&gt;&lt;wsp:rsid wsp:val=&quot;006B6A63&quot;/&gt;&lt;wsp:rsid wsp:val=&quot;006B6C85&quot;/&gt;&lt;wsp:rsid wsp:val=&quot;006B6ECE&quot;/&gt;&lt;wsp:rsid wsp:val=&quot;006B6F30&quot;/&gt;&lt;wsp:rsid wsp:val=&quot;006B76FD&quot;/&gt;&lt;wsp:rsid wsp:val=&quot;006B7AD4&quot;/&gt;&lt;wsp:rsid wsp:val=&quot;006C00BF&quot;/&gt;&lt;wsp:rsid wsp:val=&quot;006C0191&quot;/&gt;&lt;wsp:rsid wsp:val=&quot;006C01B1&quot;/&gt;&lt;wsp:rsid wsp:val=&quot;006C05C4&quot;/&gt;&lt;wsp:rsid wsp:val=&quot;006C062C&quot;/&gt;&lt;wsp:rsid wsp:val=&quot;006C0771&quot;/&gt;&lt;wsp:rsid wsp:val=&quot;006C1095&quot;/&gt;&lt;wsp:rsid wsp:val=&quot;006C12C6&quot;/&gt;&lt;wsp:rsid wsp:val=&quot;006C1522&quot;/&gt;&lt;wsp:rsid wsp:val=&quot;006C1ECD&quot;/&gt;&lt;wsp:rsid wsp:val=&quot;006C20A0&quot;/&gt;&lt;wsp:rsid wsp:val=&quot;006C2549&quot;/&gt;&lt;wsp:rsid wsp:val=&quot;006C254F&quot;/&gt;&lt;wsp:rsid wsp:val=&quot;006C2893&quot;/&gt;&lt;wsp:rsid wsp:val=&quot;006C2AA7&quot;/&gt;&lt;wsp:rsid wsp:val=&quot;006C2BEC&quot;/&gt;&lt;wsp:rsid wsp:val=&quot;006C33CE&quot;/&gt;&lt;wsp:rsid wsp:val=&quot;006C357C&quot;/&gt;&lt;wsp:rsid wsp:val=&quot;006C361E&quot;/&gt;&lt;wsp:rsid wsp:val=&quot;006C3ED3&quot;/&gt;&lt;wsp:rsid wsp:val=&quot;006C5141&quot;/&gt;&lt;wsp:rsid wsp:val=&quot;006C5191&quot;/&gt;&lt;wsp:rsid wsp:val=&quot;006C5F7C&quot;/&gt;&lt;wsp:rsid wsp:val=&quot;006C6093&quot;/&gt;&lt;wsp:rsid wsp:val=&quot;006C669D&quot;/&gt;&lt;wsp:rsid wsp:val=&quot;006C6EC7&quot;/&gt;&lt;wsp:rsid wsp:val=&quot;006C77A2&quot;/&gt;&lt;wsp:rsid wsp:val=&quot;006C7ABE&quot;/&gt;&lt;wsp:rsid wsp:val=&quot;006C7C3B&quot;/&gt;&lt;wsp:rsid wsp:val=&quot;006D0013&quot;/&gt;&lt;wsp:rsid wsp:val=&quot;006D081C&quot;/&gt;&lt;wsp:rsid wsp:val=&quot;006D15EF&quot;/&gt;&lt;wsp:rsid wsp:val=&quot;006D1757&quot;/&gt;&lt;wsp:rsid wsp:val=&quot;006D1C73&quot;/&gt;&lt;wsp:rsid wsp:val=&quot;006D1E4A&quot;/&gt;&lt;wsp:rsid wsp:val=&quot;006D209C&quot;/&gt;&lt;wsp:rsid wsp:val=&quot;006D226C&quot;/&gt;&lt;wsp:rsid wsp:val=&quot;006D26AD&quot;/&gt;&lt;wsp:rsid wsp:val=&quot;006D2947&quot;/&gt;&lt;wsp:rsid wsp:val=&quot;006D2A72&quot;/&gt;&lt;wsp:rsid wsp:val=&quot;006D2A7F&quot;/&gt;&lt;wsp:rsid wsp:val=&quot;006D2B78&quot;/&gt;&lt;wsp:rsid wsp:val=&quot;006D2E52&quot;/&gt;&lt;wsp:rsid wsp:val=&quot;006D36E8&quot;/&gt;&lt;wsp:rsid wsp:val=&quot;006D3E7D&quot;/&gt;&lt;wsp:rsid wsp:val=&quot;006D3F95&quot;/&gt;&lt;wsp:rsid wsp:val=&quot;006D410B&quot;/&gt;&lt;wsp:rsid wsp:val=&quot;006D43AB&quot;/&gt;&lt;wsp:rsid wsp:val=&quot;006D4695&quot;/&gt;&lt;wsp:rsid wsp:val=&quot;006D4746&quot;/&gt;&lt;wsp:rsid wsp:val=&quot;006D54A3&quot;/&gt;&lt;wsp:rsid wsp:val=&quot;006D54E8&quot;/&gt;&lt;wsp:rsid wsp:val=&quot;006D636C&quot;/&gt;&lt;wsp:rsid wsp:val=&quot;006D63D7&quot;/&gt;&lt;wsp:rsid wsp:val=&quot;006D685E&quot;/&gt;&lt;wsp:rsid wsp:val=&quot;006D68DB&quot;/&gt;&lt;wsp:rsid wsp:val=&quot;006D6A1E&quot;/&gt;&lt;wsp:rsid wsp:val=&quot;006D6C69&quot;/&gt;&lt;wsp:rsid wsp:val=&quot;006D6D66&quot;/&gt;&lt;wsp:rsid wsp:val=&quot;006D6EB7&quot;/&gt;&lt;wsp:rsid wsp:val=&quot;006D7689&quot;/&gt;&lt;wsp:rsid wsp:val=&quot;006E0634&quot;/&gt;&lt;wsp:rsid wsp:val=&quot;006E086C&quot;/&gt;&lt;wsp:rsid wsp:val=&quot;006E180D&quot;/&gt;&lt;wsp:rsid wsp:val=&quot;006E18EA&quot;/&gt;&lt;wsp:rsid wsp:val=&quot;006E1DFB&quot;/&gt;&lt;wsp:rsid wsp:val=&quot;006E1E8E&quot;/&gt;&lt;wsp:rsid wsp:val=&quot;006E26A7&quot;/&gt;&lt;wsp:rsid wsp:val=&quot;006E2832&quot;/&gt;&lt;wsp:rsid wsp:val=&quot;006E2EA0&quot;/&gt;&lt;wsp:rsid wsp:val=&quot;006E311D&quot;/&gt;&lt;wsp:rsid wsp:val=&quot;006E320C&quot;/&gt;&lt;wsp:rsid wsp:val=&quot;006E3245&quot;/&gt;&lt;wsp:rsid wsp:val=&quot;006E33A2&quot;/&gt;&lt;wsp:rsid wsp:val=&quot;006E35DA&quot;/&gt;&lt;wsp:rsid wsp:val=&quot;006E371D&quot;/&gt;&lt;wsp:rsid wsp:val=&quot;006E39D3&quot;/&gt;&lt;wsp:rsid wsp:val=&quot;006E3A49&quot;/&gt;&lt;wsp:rsid wsp:val=&quot;006E3C78&quot;/&gt;&lt;wsp:rsid wsp:val=&quot;006E41FB&quot;/&gt;&lt;wsp:rsid wsp:val=&quot;006E4295&quot;/&gt;&lt;wsp:rsid wsp:val=&quot;006E439A&quot;/&gt;&lt;wsp:rsid wsp:val=&quot;006E4844&quot;/&gt;&lt;wsp:rsid wsp:val=&quot;006E4B63&quot;/&gt;&lt;wsp:rsid wsp:val=&quot;006E4CD3&quot;/&gt;&lt;wsp:rsid wsp:val=&quot;006E4F57&quot;/&gt;&lt;wsp:rsid wsp:val=&quot;006E521E&quot;/&gt;&lt;wsp:rsid wsp:val=&quot;006E54C7&quot;/&gt;&lt;wsp:rsid wsp:val=&quot;006E58C0&quot;/&gt;&lt;wsp:rsid wsp:val=&quot;006E5A2F&quot;/&gt;&lt;wsp:rsid wsp:val=&quot;006E5A89&quot;/&gt;&lt;wsp:rsid wsp:val=&quot;006E5C7C&quot;/&gt;&lt;wsp:rsid wsp:val=&quot;006E5D25&quot;/&gt;&lt;wsp:rsid wsp:val=&quot;006E5D9B&quot;/&gt;&lt;wsp:rsid wsp:val=&quot;006E6D4F&quot;/&gt;&lt;wsp:rsid wsp:val=&quot;006E6D51&quot;/&gt;&lt;wsp:rsid wsp:val=&quot;006E6E20&quot;/&gt;&lt;wsp:rsid wsp:val=&quot;006E6E2A&quot;/&gt;&lt;wsp:rsid wsp:val=&quot;006E7567&quot;/&gt;&lt;wsp:rsid wsp:val=&quot;006F00AE&quot;/&gt;&lt;wsp:rsid wsp:val=&quot;006F07E7&quot;/&gt;&lt;wsp:rsid wsp:val=&quot;006F07E8&quot;/&gt;&lt;wsp:rsid wsp:val=&quot;006F0B29&quot;/&gt;&lt;wsp:rsid wsp:val=&quot;006F0BB2&quot;/&gt;&lt;wsp:rsid wsp:val=&quot;006F1257&quot;/&gt;&lt;wsp:rsid wsp:val=&quot;006F130F&quot;/&gt;&lt;wsp:rsid wsp:val=&quot;006F1669&quot;/&gt;&lt;wsp:rsid wsp:val=&quot;006F1828&quot;/&gt;&lt;wsp:rsid wsp:val=&quot;006F18DE&quot;/&gt;&lt;wsp:rsid wsp:val=&quot;006F1C57&quot;/&gt;&lt;wsp:rsid wsp:val=&quot;006F1E5F&quot;/&gt;&lt;wsp:rsid wsp:val=&quot;006F2839&quot;/&gt;&lt;wsp:rsid wsp:val=&quot;006F291C&quot;/&gt;&lt;wsp:rsid wsp:val=&quot;006F2D5F&quot;/&gt;&lt;wsp:rsid wsp:val=&quot;006F3637&quot;/&gt;&lt;wsp:rsid wsp:val=&quot;006F4419&quot;/&gt;&lt;wsp:rsid wsp:val=&quot;006F4495&quot;/&gt;&lt;wsp:rsid wsp:val=&quot;006F4E97&quot;/&gt;&lt;wsp:rsid wsp:val=&quot;006F5710&quot;/&gt;&lt;wsp:rsid wsp:val=&quot;006F5796&quot;/&gt;&lt;wsp:rsid wsp:val=&quot;006F5A23&quot;/&gt;&lt;wsp:rsid wsp:val=&quot;006F5D32&quot;/&gt;&lt;wsp:rsid wsp:val=&quot;006F5E6B&quot;/&gt;&lt;wsp:rsid wsp:val=&quot;006F5F7E&quot;/&gt;&lt;wsp:rsid wsp:val=&quot;006F61A7&quot;/&gt;&lt;wsp:rsid wsp:val=&quot;006F66DD&quot;/&gt;&lt;wsp:rsid wsp:val=&quot;006F6F6C&quot;/&gt;&lt;wsp:rsid wsp:val=&quot;006F74DE&quot;/&gt;&lt;wsp:rsid wsp:val=&quot;006F769C&quot;/&gt;&lt;wsp:rsid wsp:val=&quot;006F7778&quot;/&gt;&lt;wsp:rsid wsp:val=&quot;006F7CA7&quot;/&gt;&lt;wsp:rsid wsp:val=&quot;00700907&quot;/&gt;&lt;wsp:rsid wsp:val=&quot;00700C00&quot;/&gt;&lt;wsp:rsid wsp:val=&quot;00700D1A&quot;/&gt;&lt;wsp:rsid wsp:val=&quot;007013F4&quot;/&gt;&lt;wsp:rsid wsp:val=&quot;00701714&quot;/&gt;&lt;wsp:rsid wsp:val=&quot;007017F4&quot;/&gt;&lt;wsp:rsid wsp:val=&quot;00701BD4&quot;/&gt;&lt;wsp:rsid wsp:val=&quot;00701E52&quot;/&gt;&lt;wsp:rsid wsp:val=&quot;007020AC&quot;/&gt;&lt;wsp:rsid wsp:val=&quot;007027F1&quot;/&gt;&lt;wsp:rsid wsp:val=&quot;00702D57&quot;/&gt;&lt;wsp:rsid wsp:val=&quot;00702EDD&quot;/&gt;&lt;wsp:rsid wsp:val=&quot;00703226&quot;/&gt;&lt;wsp:rsid wsp:val=&quot;00703705&quot;/&gt;&lt;wsp:rsid wsp:val=&quot;0070387D&quot;/&gt;&lt;wsp:rsid wsp:val=&quot;00703A1B&quot;/&gt;&lt;wsp:rsid wsp:val=&quot;0070411E&quot;/&gt;&lt;wsp:rsid wsp:val=&quot;007042E0&quot;/&gt;&lt;wsp:rsid wsp:val=&quot;007044B9&quot;/&gt;&lt;wsp:rsid wsp:val=&quot;00704D54&quot;/&gt;&lt;wsp:rsid wsp:val=&quot;00705021&quot;/&gt;&lt;wsp:rsid wsp:val=&quot;007051F7&quot;/&gt;&lt;wsp:rsid wsp:val=&quot;00705341&quot;/&gt;&lt;wsp:rsid wsp:val=&quot;0070545F&quot;/&gt;&lt;wsp:rsid wsp:val=&quot;00705FC5&quot;/&gt;&lt;wsp:rsid wsp:val=&quot;00705FD4&quot;/&gt;&lt;wsp:rsid wsp:val=&quot;0070670F&quot;/&gt;&lt;wsp:rsid wsp:val=&quot;00707129&quot;/&gt;&lt;wsp:rsid wsp:val=&quot;007075A4&quot;/&gt;&lt;wsp:rsid wsp:val=&quot;00707623&quot;/&gt;&lt;wsp:rsid wsp:val=&quot;00707C79&quot;/&gt;&lt;wsp:rsid wsp:val=&quot;00707E25&quot;/&gt;&lt;wsp:rsid wsp:val=&quot;00707F4F&quot;/&gt;&lt;wsp:rsid wsp:val=&quot;00710A6A&quot;/&gt;&lt;wsp:rsid wsp:val=&quot;00710BE7&quot;/&gt;&lt;wsp:rsid wsp:val=&quot;00711A58&quot;/&gt;&lt;wsp:rsid wsp:val=&quot;00711BB1&quot;/&gt;&lt;wsp:rsid wsp:val=&quot;00712131&quot;/&gt;&lt;wsp:rsid wsp:val=&quot;007125C5&quot;/&gt;&lt;wsp:rsid wsp:val=&quot;007126F3&quot;/&gt;&lt;wsp:rsid wsp:val=&quot;00712CF5&quot;/&gt;&lt;wsp:rsid wsp:val=&quot;007133A4&quot;/&gt;&lt;wsp:rsid wsp:val=&quot;00713762&quot;/&gt;&lt;wsp:rsid wsp:val=&quot;00713A6C&quot;/&gt;&lt;wsp:rsid wsp:val=&quot;00714097&quot;/&gt;&lt;wsp:rsid wsp:val=&quot;007144E2&quot;/&gt;&lt;wsp:rsid wsp:val=&quot;007145A0&quot;/&gt;&lt;wsp:rsid wsp:val=&quot;00714960&quot;/&gt;&lt;wsp:rsid wsp:val=&quot;00714B14&quot;/&gt;&lt;wsp:rsid wsp:val=&quot;00714B81&quot;/&gt;&lt;wsp:rsid wsp:val=&quot;00714BC7&quot;/&gt;&lt;wsp:rsid wsp:val=&quot;00714D74&quot;/&gt;&lt;wsp:rsid wsp:val=&quot;007153E9&quot;/&gt;&lt;wsp:rsid wsp:val=&quot;007156FA&quot;/&gt;&lt;wsp:rsid wsp:val=&quot;007159BC&quot;/&gt;&lt;wsp:rsid wsp:val=&quot;007159D5&quot;/&gt;&lt;wsp:rsid wsp:val=&quot;00715DCF&quot;/&gt;&lt;wsp:rsid wsp:val=&quot;00715E2C&quot;/&gt;&lt;wsp:rsid wsp:val=&quot;00715E71&quot;/&gt;&lt;wsp:rsid wsp:val=&quot;00716358&quot;/&gt;&lt;wsp:rsid wsp:val=&quot;00716B47&quot;/&gt;&lt;wsp:rsid wsp:val=&quot;00716E9F&quot;/&gt;&lt;wsp:rsid wsp:val=&quot;007170C2&quot;/&gt;&lt;wsp:rsid wsp:val=&quot;0071733E&quot;/&gt;&lt;wsp:rsid wsp:val=&quot;00717779&quot;/&gt;&lt;wsp:rsid wsp:val=&quot;00717848&quot;/&gt;&lt;wsp:rsid wsp:val=&quot;00717D5F&quot;/&gt;&lt;wsp:rsid wsp:val=&quot;00717EFA&quot;/&gt;&lt;wsp:rsid wsp:val=&quot;00720301&quot;/&gt;&lt;wsp:rsid wsp:val=&quot;0072051C&quot;/&gt;&lt;wsp:rsid wsp:val=&quot;00720AAA&quot;/&gt;&lt;wsp:rsid wsp:val=&quot;00720D20&quot;/&gt;&lt;wsp:rsid wsp:val=&quot;00720E75&quot;/&gt;&lt;wsp:rsid wsp:val=&quot;00720ECB&quot;/&gt;&lt;wsp:rsid wsp:val=&quot;00720F71&quot;/&gt;&lt;wsp:rsid wsp:val=&quot;00721566&quot;/&gt;&lt;wsp:rsid wsp:val=&quot;00721717&quot;/&gt;&lt;wsp:rsid wsp:val=&quot;007218D9&quot;/&gt;&lt;wsp:rsid wsp:val=&quot;00721DC7&quot;/&gt;&lt;wsp:rsid wsp:val=&quot;0072220F&quot;/&gt;&lt;wsp:rsid wsp:val=&quot;00722AB5&quot;/&gt;&lt;wsp:rsid wsp:val=&quot;00722BBE&quot;/&gt;&lt;wsp:rsid wsp:val=&quot;00722C32&quot;/&gt;&lt;wsp:rsid wsp:val=&quot;00722CA8&quot;/&gt;&lt;wsp:rsid wsp:val=&quot;00723034&quot;/&gt;&lt;wsp:rsid wsp:val=&quot;007231FF&quot;/&gt;&lt;wsp:rsid wsp:val=&quot;00723360&quot;/&gt;&lt;wsp:rsid wsp:val=&quot;007234D9&quot;/&gt;&lt;wsp:rsid wsp:val=&quot;00723698&quot;/&gt;&lt;wsp:rsid wsp:val=&quot;00723858&quot;/&gt;&lt;wsp:rsid wsp:val=&quot;00723DB1&quot;/&gt;&lt;wsp:rsid wsp:val=&quot;00724343&quot;/&gt;&lt;wsp:rsid wsp:val=&quot;007247BE&quot;/&gt;&lt;wsp:rsid wsp:val=&quot;007248AD&quot;/&gt;&lt;wsp:rsid wsp:val=&quot;00724F79&quot;/&gt;&lt;wsp:rsid wsp:val=&quot;00725728&quot;/&gt;&lt;wsp:rsid wsp:val=&quot;007258DE&quot;/&gt;&lt;wsp:rsid wsp:val=&quot;00725C8F&quot;/&gt;&lt;wsp:rsid wsp:val=&quot;00725CB7&quot;/&gt;&lt;wsp:rsid wsp:val=&quot;00726540&quot;/&gt;&lt;wsp:rsid wsp:val=&quot;00726643&quot;/&gt;&lt;wsp:rsid wsp:val=&quot;00726775&quot;/&gt;&lt;wsp:rsid wsp:val=&quot;00726832&quot;/&gt;&lt;wsp:rsid wsp:val=&quot;00726C96&quot;/&gt;&lt;wsp:rsid wsp:val=&quot;00726DEE&quot;/&gt;&lt;wsp:rsid wsp:val=&quot;00726F22&quot;/&gt;&lt;wsp:rsid wsp:val=&quot;0072712D&quot;/&gt;&lt;wsp:rsid wsp:val=&quot;007276D4&quot;/&gt;&lt;wsp:rsid wsp:val=&quot;00727975&quot;/&gt;&lt;wsp:rsid wsp:val=&quot;00727D72&quot;/&gt;&lt;wsp:rsid wsp:val=&quot;00727E44&quot;/&gt;&lt;wsp:rsid wsp:val=&quot;0073045A&quot;/&gt;&lt;wsp:rsid wsp:val=&quot;00730487&quot;/&gt;&lt;wsp:rsid wsp:val=&quot;00730527&quot;/&gt;&lt;wsp:rsid wsp:val=&quot;00730CE2&quot;/&gt;&lt;wsp:rsid wsp:val=&quot;00731069&quot;/&gt;&lt;wsp:rsid wsp:val=&quot;0073158E&quot;/&gt;&lt;wsp:rsid wsp:val=&quot;007316AC&quot;/&gt;&lt;wsp:rsid wsp:val=&quot;00731AB7&quot;/&gt;&lt;wsp:rsid wsp:val=&quot;00731DBA&quot;/&gt;&lt;wsp:rsid wsp:val=&quot;00732375&quot;/&gt;&lt;wsp:rsid wsp:val=&quot;00732535&quot;/&gt;&lt;wsp:rsid wsp:val=&quot;007328C7&quot;/&gt;&lt;wsp:rsid wsp:val=&quot;00732A0B&quot;/&gt;&lt;wsp:rsid wsp:val=&quot;00732AA4&quot;/&gt;&lt;wsp:rsid wsp:val=&quot;00732D14&quot;/&gt;&lt;wsp:rsid wsp:val=&quot;00732ED4&quot;/&gt;&lt;wsp:rsid wsp:val=&quot;007333B4&quot;/&gt;&lt;wsp:rsid wsp:val=&quot;0073364D&quot;/&gt;&lt;wsp:rsid wsp:val=&quot;007336CF&quot;/&gt;&lt;wsp:rsid wsp:val=&quot;00733801&quot;/&gt;&lt;wsp:rsid wsp:val=&quot;00733804&quot;/&gt;&lt;wsp:rsid wsp:val=&quot;00733C32&quot;/&gt;&lt;wsp:rsid wsp:val=&quot;00733D0E&quot;/&gt;&lt;wsp:rsid wsp:val=&quot;00734556&quot;/&gt;&lt;wsp:rsid wsp:val=&quot;0073475A&quot;/&gt;&lt;wsp:rsid wsp:val=&quot;0073476E&quot;/&gt;&lt;wsp:rsid wsp:val=&quot;00734850&quot;/&gt;&lt;wsp:rsid wsp:val=&quot;00734ADF&quot;/&gt;&lt;wsp:rsid wsp:val=&quot;00734E89&quot;/&gt;&lt;wsp:rsid wsp:val=&quot;00734F23&quot;/&gt;&lt;wsp:rsid wsp:val=&quot;0073530E&quot;/&gt;&lt;wsp:rsid wsp:val=&quot;00735DB4&quot;/&gt;&lt;wsp:rsid wsp:val=&quot;00735DE3&quot;/&gt;&lt;wsp:rsid wsp:val=&quot;00736038&quot;/&gt;&lt;wsp:rsid wsp:val=&quot;007362F7&quot;/&gt;&lt;wsp:rsid wsp:val=&quot;0073654D&quot;/&gt;&lt;wsp:rsid wsp:val=&quot;007365A5&quot;/&gt;&lt;wsp:rsid wsp:val=&quot;007369BB&quot;/&gt;&lt;wsp:rsid wsp:val=&quot;007369C1&quot;/&gt;&lt;wsp:rsid wsp:val=&quot;007369D0&quot;/&gt;&lt;wsp:rsid wsp:val=&quot;00736A59&quot;/&gt;&lt;wsp:rsid wsp:val=&quot;0073718A&quot;/&gt;&lt;wsp:rsid wsp:val=&quot;007372BD&quot;/&gt;&lt;wsp:rsid wsp:val=&quot;007372F8&quot;/&gt;&lt;wsp:rsid wsp:val=&quot;007375D7&quot;/&gt;&lt;wsp:rsid wsp:val=&quot;007378B2&quot;/&gt;&lt;wsp:rsid wsp:val=&quot;007378FC&quot;/&gt;&lt;wsp:rsid wsp:val=&quot;00737A1C&quot;/&gt;&lt;wsp:rsid wsp:val=&quot;00737D10&quot;/&gt;&lt;wsp:rsid wsp:val=&quot;00737E00&quot;/&gt;&lt;wsp:rsid wsp:val=&quot;0074009A&quot;/&gt;&lt;wsp:rsid wsp:val=&quot;007401BD&quot;/&gt;&lt;wsp:rsid wsp:val=&quot;00740293&quot;/&gt;&lt;wsp:rsid wsp:val=&quot;00740509&quot;/&gt;&lt;wsp:rsid wsp:val=&quot;00740A70&quot;/&gt;&lt;wsp:rsid wsp:val=&quot;00740CF5&quot;/&gt;&lt;wsp:rsid wsp:val=&quot;007410A8&quot;/&gt;&lt;wsp:rsid wsp:val=&quot;0074117D&quot;/&gt;&lt;wsp:rsid wsp:val=&quot;0074170F&quot;/&gt;&lt;wsp:rsid wsp:val=&quot;007423C7&quot;/&gt;&lt;wsp:rsid wsp:val=&quot;00742573&quot;/&gt;&lt;wsp:rsid wsp:val=&quot;00742AE6&quot;/&gt;&lt;wsp:rsid wsp:val=&quot;00742F23&quot;/&gt;&lt;wsp:rsid wsp:val=&quot;00743205&quot;/&gt;&lt;wsp:rsid wsp:val=&quot;007432C3&quot;/&gt;&lt;wsp:rsid wsp:val=&quot;007436C2&quot;/&gt;&lt;wsp:rsid wsp:val=&quot;00743C1C&quot;/&gt;&lt;wsp:rsid wsp:val=&quot;00744224&quot;/&gt;&lt;wsp:rsid wsp:val=&quot;0074458F&quot;/&gt;&lt;wsp:rsid wsp:val=&quot;00744599&quot;/&gt;&lt;wsp:rsid wsp:val=&quot;0074542A&quot;/&gt;&lt;wsp:rsid wsp:val=&quot;007456B3&quot;/&gt;&lt;wsp:rsid wsp:val=&quot;00745A90&quot;/&gt;&lt;wsp:rsid wsp:val=&quot;00745BB5&quot;/&gt;&lt;wsp:rsid wsp:val=&quot;00745C45&quot;/&gt;&lt;wsp:rsid wsp:val=&quot;00745E43&quot;/&gt;&lt;wsp:rsid wsp:val=&quot;00745E84&quot;/&gt;&lt;wsp:rsid wsp:val=&quot;0074606C&quot;/&gt;&lt;wsp:rsid wsp:val=&quot;00746235&quot;/&gt;&lt;wsp:rsid wsp:val=&quot;007462D6&quot;/&gt;&lt;wsp:rsid wsp:val=&quot;0074641C&quot;/&gt;&lt;wsp:rsid wsp:val=&quot;00746441&quot;/&gt;&lt;wsp:rsid wsp:val=&quot;00746896&quot;/&gt;&lt;wsp:rsid wsp:val=&quot;0074697A&quot;/&gt;&lt;wsp:rsid wsp:val=&quot;00746AD9&quot;/&gt;&lt;wsp:rsid wsp:val=&quot;00747900&quot;/&gt;&lt;wsp:rsid wsp:val=&quot;00747BCE&quot;/&gt;&lt;wsp:rsid wsp:val=&quot;00747E96&quot;/&gt;&lt;wsp:rsid wsp:val=&quot;0075014A&quot;/&gt;&lt;wsp:rsid wsp:val=&quot;007508DC&quot;/&gt;&lt;wsp:rsid wsp:val=&quot;0075112E&quot;/&gt;&lt;wsp:rsid wsp:val=&quot;00751224&quot;/&gt;&lt;wsp:rsid wsp:val=&quot;007512C6&quot;/&gt;&lt;wsp:rsid wsp:val=&quot;00751394&quot;/&gt;&lt;wsp:rsid wsp:val=&quot;007513EF&quot;/&gt;&lt;wsp:rsid wsp:val=&quot;00751753&quot;/&gt;&lt;wsp:rsid wsp:val=&quot;00751B06&quot;/&gt;&lt;wsp:rsid wsp:val=&quot;00751C38&quot;/&gt;&lt;wsp:rsid wsp:val=&quot;00752BAE&quot;/&gt;&lt;wsp:rsid wsp:val=&quot;00752D85&quot;/&gt;&lt;wsp:rsid wsp:val=&quot;0075302E&quot;/&gt;&lt;wsp:rsid wsp:val=&quot;007536D0&quot;/&gt;&lt;wsp:rsid wsp:val=&quot;00753B06&quot;/&gt;&lt;wsp:rsid wsp:val=&quot;00753B30&quot;/&gt;&lt;wsp:rsid wsp:val=&quot;00753F1B&quot;/&gt;&lt;wsp:rsid wsp:val=&quot;00754243&quot;/&gt;&lt;wsp:rsid wsp:val=&quot;00754335&quot;/&gt;&lt;wsp:rsid wsp:val=&quot;00754F43&quot;/&gt;&lt;wsp:rsid wsp:val=&quot;00755225&quot;/&gt;&lt;wsp:rsid wsp:val=&quot;007554A3&quot;/&gt;&lt;wsp:rsid wsp:val=&quot;00755B84&quot;/&gt;&lt;wsp:rsid wsp:val=&quot;00755D24&quot;/&gt;&lt;wsp:rsid wsp:val=&quot;00756554&quot;/&gt;&lt;wsp:rsid wsp:val=&quot;00756F92&quot;/&gt;&lt;wsp:rsid wsp:val=&quot;00757024&quot;/&gt;&lt;wsp:rsid wsp:val=&quot;007571C5&quot;/&gt;&lt;wsp:rsid wsp:val=&quot;00757301&quot;/&gt;&lt;wsp:rsid wsp:val=&quot;0075733E&quot;/&gt;&lt;wsp:rsid wsp:val=&quot;00757D6C&quot;/&gt;&lt;wsp:rsid wsp:val=&quot;00757E2A&quot;/&gt;&lt;wsp:rsid wsp:val=&quot;00757E50&quot;/&gt;&lt;wsp:rsid wsp:val=&quot;0076005D&quot;/&gt;&lt;wsp:rsid wsp:val=&quot;00760420&quot;/&gt;&lt;wsp:rsid wsp:val=&quot;00760BD6&quot;/&gt;&lt;wsp:rsid wsp:val=&quot;00760BE7&quot;/&gt;&lt;wsp:rsid wsp:val=&quot;00760CE4&quot;/&gt;&lt;wsp:rsid wsp:val=&quot;00760EDD&quot;/&gt;&lt;wsp:rsid wsp:val=&quot;00761063&quot;/&gt;&lt;wsp:rsid wsp:val=&quot;00761912&quot;/&gt;&lt;wsp:rsid wsp:val=&quot;00761B07&quot;/&gt;&lt;wsp:rsid wsp:val=&quot;00761F1D&quot;/&gt;&lt;wsp:rsid wsp:val=&quot;00761FED&quot;/&gt;&lt;wsp:rsid wsp:val=&quot;0076227B&quot;/&gt;&lt;wsp:rsid wsp:val=&quot;00762318&quot;/&gt;&lt;wsp:rsid wsp:val=&quot;007623C9&quot;/&gt;&lt;wsp:rsid wsp:val=&quot;0076240E&quot;/&gt;&lt;wsp:rsid wsp:val=&quot;00762612&quot;/&gt;&lt;wsp:rsid wsp:val=&quot;00762CA7&quot;/&gt;&lt;wsp:rsid wsp:val=&quot;00762CF6&quot;/&gt;&lt;wsp:rsid wsp:val=&quot;00762ED6&quot;/&gt;&lt;wsp:rsid wsp:val=&quot;00763055&quot;/&gt;&lt;wsp:rsid wsp:val=&quot;00763252&quot;/&gt;&lt;wsp:rsid wsp:val=&quot;00763A2C&quot;/&gt;&lt;wsp:rsid wsp:val=&quot;00763B3C&quot;/&gt;&lt;wsp:rsid wsp:val=&quot;00763BC7&quot;/&gt;&lt;wsp:rsid wsp:val=&quot;00763D97&quot;/&gt;&lt;wsp:rsid wsp:val=&quot;00763F9F&quot;/&gt;&lt;wsp:rsid wsp:val=&quot;0076423F&quot;/&gt;&lt;wsp:rsid wsp:val=&quot;007643C0&quot;/&gt;&lt;wsp:rsid wsp:val=&quot;007643C5&quot;/&gt;&lt;wsp:rsid wsp:val=&quot;007646D3&quot;/&gt;&lt;wsp:rsid wsp:val=&quot;00764701&quot;/&gt;&lt;wsp:rsid wsp:val=&quot;00764862&quot;/&gt;&lt;wsp:rsid wsp:val=&quot;00764A8F&quot;/&gt;&lt;wsp:rsid wsp:val=&quot;00764B34&quot;/&gt;&lt;wsp:rsid wsp:val=&quot;00764C33&quot;/&gt;&lt;wsp:rsid wsp:val=&quot;00764D51&quot;/&gt;&lt;wsp:rsid wsp:val=&quot;00764D91&quot;/&gt;&lt;wsp:rsid wsp:val=&quot;00764DD5&quot;/&gt;&lt;wsp:rsid wsp:val=&quot;00764E3F&quot;/&gt;&lt;wsp:rsid wsp:val=&quot;00764FCE&quot;/&gt;&lt;wsp:rsid wsp:val=&quot;0076556F&quot;/&gt;&lt;wsp:rsid wsp:val=&quot;00765719&quot;/&gt;&lt;wsp:rsid wsp:val=&quot;00765832&quot;/&gt;&lt;wsp:rsid wsp:val=&quot;0076596A&quot;/&gt;&lt;wsp:rsid wsp:val=&quot;00765DBC&quot;/&gt;&lt;wsp:rsid wsp:val=&quot;0076670C&quot;/&gt;&lt;wsp:rsid wsp:val=&quot;00766EFE&quot;/&gt;&lt;wsp:rsid wsp:val=&quot;00767339&quot;/&gt;&lt;wsp:rsid wsp:val=&quot;00767E15&quot;/&gt;&lt;wsp:rsid wsp:val=&quot;00767EF4&quot;/&gt;&lt;wsp:rsid wsp:val=&quot;0077003D&quot;/&gt;&lt;wsp:rsid wsp:val=&quot;007708BC&quot;/&gt;&lt;wsp:rsid wsp:val=&quot;007712D3&quot;/&gt;&lt;wsp:rsid wsp:val=&quot;007713CB&quot;/&gt;&lt;wsp:rsid wsp:val=&quot;0077174E&quot;/&gt;&lt;wsp:rsid wsp:val=&quot;00771AE3&quot;/&gt;&lt;wsp:rsid wsp:val=&quot;00771B46&quot;/&gt;&lt;wsp:rsid wsp:val=&quot;0077205B&quot;/&gt;&lt;wsp:rsid wsp:val=&quot;007722DE&quot;/&gt;&lt;wsp:rsid wsp:val=&quot;00772770&quot;/&gt;&lt;wsp:rsid wsp:val=&quot;00772A5D&quot;/&gt;&lt;wsp:rsid wsp:val=&quot;00772B4D&quot;/&gt;&lt;wsp:rsid wsp:val=&quot;00772EF5&quot;/&gt;&lt;wsp:rsid wsp:val=&quot;0077325B&quot;/&gt;&lt;wsp:rsid wsp:val=&quot;007733FF&quot;/&gt;&lt;wsp:rsid wsp:val=&quot;0077341D&quot;/&gt;&lt;wsp:rsid wsp:val=&quot;007735EF&quot;/&gt;&lt;wsp:rsid wsp:val=&quot;0077368F&quot;/&gt;&lt;wsp:rsid wsp:val=&quot;007736B1&quot;/&gt;&lt;wsp:rsid wsp:val=&quot;007737C1&quot;/&gt;&lt;wsp:rsid wsp:val=&quot;00773CB5&quot;/&gt;&lt;wsp:rsid wsp:val=&quot;00773EE9&quot;/&gt;&lt;wsp:rsid wsp:val=&quot;00773F92&quot;/&gt;&lt;wsp:rsid wsp:val=&quot;00773FB6&quot;/&gt;&lt;wsp:rsid wsp:val=&quot;0077401E&quot;/&gt;&lt;wsp:rsid wsp:val=&quot;00774436&quot;/&gt;&lt;wsp:rsid wsp:val=&quot;00774BC0&quot;/&gt;&lt;wsp:rsid wsp:val=&quot;00774D56&quot;/&gt;&lt;wsp:rsid wsp:val=&quot;007750CC&quot;/&gt;&lt;wsp:rsid wsp:val=&quot;0077534F&quot;/&gt;&lt;wsp:rsid wsp:val=&quot;00775784&quot;/&gt;&lt;wsp:rsid wsp:val=&quot;007758D1&quot;/&gt;&lt;wsp:rsid wsp:val=&quot;00775A32&quot;/&gt;&lt;wsp:rsid wsp:val=&quot;00775AAA&quot;/&gt;&lt;wsp:rsid wsp:val=&quot;00775E17&quot;/&gt;&lt;wsp:rsid wsp:val=&quot;00775FE1&quot;/&gt;&lt;wsp:rsid wsp:val=&quot;00776037&quot;/&gt;&lt;wsp:rsid wsp:val=&quot;00776370&quot;/&gt;&lt;wsp:rsid wsp:val=&quot;007766CF&quot;/&gt;&lt;wsp:rsid wsp:val=&quot;00776D5E&quot;/&gt;&lt;wsp:rsid wsp:val=&quot;00776D66&quot;/&gt;&lt;wsp:rsid wsp:val=&quot;00777421&quot;/&gt;&lt;wsp:rsid wsp:val=&quot;007777D9&quot;/&gt;&lt;wsp:rsid wsp:val=&quot;007777EA&quot;/&gt;&lt;wsp:rsid wsp:val=&quot;007801B0&quot;/&gt;&lt;wsp:rsid wsp:val=&quot;007803DE&quot;/&gt;&lt;wsp:rsid wsp:val=&quot;00780725&quot;/&gt;&lt;wsp:rsid wsp:val=&quot;00780C90&quot;/&gt;&lt;wsp:rsid wsp:val=&quot;00780F45&quot;/&gt;&lt;wsp:rsid wsp:val=&quot;00780F93&quot;/&gt;&lt;wsp:rsid wsp:val=&quot;00781180&quot;/&gt;&lt;wsp:rsid wsp:val=&quot;007812D4&quot;/&gt;&lt;wsp:rsid wsp:val=&quot;0078134A&quot;/&gt;&lt;wsp:rsid wsp:val=&quot;00781E85&quot;/&gt;&lt;wsp:rsid wsp:val=&quot;007822F1&quot;/&gt;&lt;wsp:rsid wsp:val=&quot;007825AC&quot;/&gt;&lt;wsp:rsid wsp:val=&quot;0078282E&quot;/&gt;&lt;wsp:rsid wsp:val=&quot;0078289F&quot;/&gt;&lt;wsp:rsid wsp:val=&quot;00782E11&quot;/&gt;&lt;wsp:rsid wsp:val=&quot;0078331E&quot;/&gt;&lt;wsp:rsid wsp:val=&quot;00783528&quot;/&gt;&lt;wsp:rsid wsp:val=&quot;0078376F&quot;/&gt;&lt;wsp:rsid wsp:val=&quot;007839B8&quot;/&gt;&lt;wsp:rsid wsp:val=&quot;007847FD&quot;/&gt;&lt;wsp:rsid wsp:val=&quot;0078487F&quot;/&gt;&lt;wsp:rsid wsp:val=&quot;00784AAE&quot;/&gt;&lt;wsp:rsid wsp:val=&quot;007850AF&quot;/&gt;&lt;wsp:rsid wsp:val=&quot;0078552C&quot;/&gt;&lt;wsp:rsid wsp:val=&quot;00785862&quot;/&gt;&lt;wsp:rsid wsp:val=&quot;00785AA9&quot;/&gt;&lt;wsp:rsid wsp:val=&quot;00785AD3&quot;/&gt;&lt;wsp:rsid wsp:val=&quot;00785DA7&quot;/&gt;&lt;wsp:rsid wsp:val=&quot;00785F57&quot;/&gt;&lt;wsp:rsid wsp:val=&quot;00786231&quot;/&gt;&lt;wsp:rsid wsp:val=&quot;00786707&quot;/&gt;&lt;wsp:rsid wsp:val=&quot;00786A04&quot;/&gt;&lt;wsp:rsid wsp:val=&quot;00786BB2&quot;/&gt;&lt;wsp:rsid wsp:val=&quot;00787174&quot;/&gt;&lt;wsp:rsid wsp:val=&quot;007872C0&quot;/&gt;&lt;wsp:rsid wsp:val=&quot;00787318&quot;/&gt;&lt;wsp:rsid wsp:val=&quot;00787440&quot;/&gt;&lt;wsp:rsid wsp:val=&quot;00787935&quot;/&gt;&lt;wsp:rsid wsp:val=&quot;00787A5A&quot;/&gt;&lt;wsp:rsid wsp:val=&quot;00787E07&quot;/&gt;&lt;wsp:rsid wsp:val=&quot;007903D7&quot;/&gt;&lt;wsp:rsid wsp:val=&quot;007907DA&quot;/&gt;&lt;wsp:rsid wsp:val=&quot;00790922&quot;/&gt;&lt;wsp:rsid wsp:val=&quot;00790AD6&quot;/&gt;&lt;wsp:rsid wsp:val=&quot;00790B02&quot;/&gt;&lt;wsp:rsid wsp:val=&quot;00790E0B&quot;/&gt;&lt;wsp:rsid wsp:val=&quot;00791069&quot;/&gt;&lt;wsp:rsid wsp:val=&quot;007922A2&quot;/&gt;&lt;wsp:rsid wsp:val=&quot;00792975&quot;/&gt;&lt;wsp:rsid wsp:val=&quot;00792A32&quot;/&gt;&lt;wsp:rsid wsp:val=&quot;00792BE9&quot;/&gt;&lt;wsp:rsid wsp:val=&quot;00792C66&quot;/&gt;&lt;wsp:rsid wsp:val=&quot;00792F7E&quot;/&gt;&lt;wsp:rsid wsp:val=&quot;00792FEE&quot;/&gt;&lt;wsp:rsid wsp:val=&quot;0079373C&quot;/&gt;&lt;wsp:rsid wsp:val=&quot;00793773&quot;/&gt;&lt;wsp:rsid wsp:val=&quot;00793DA9&quot;/&gt;&lt;wsp:rsid wsp:val=&quot;00794559&quot;/&gt;&lt;wsp:rsid wsp:val=&quot;0079487B&quot;/&gt;&lt;wsp:rsid wsp:val=&quot;00794BC0&quot;/&gt;&lt;wsp:rsid wsp:val=&quot;00794BEC&quot;/&gt;&lt;wsp:rsid wsp:val=&quot;00794EF8&quot;/&gt;&lt;wsp:rsid wsp:val=&quot;00795215&quot;/&gt;&lt;wsp:rsid wsp:val=&quot;0079539F&quot;/&gt;&lt;wsp:rsid wsp:val=&quot;00795433&quot;/&gt;&lt;wsp:rsid wsp:val=&quot;0079573F&quot;/&gt;&lt;wsp:rsid wsp:val=&quot;00795EF8&quot;/&gt;&lt;wsp:rsid wsp:val=&quot;0079662D&quot;/&gt;&lt;wsp:rsid wsp:val=&quot;00796954&quot;/&gt;&lt;wsp:rsid wsp:val=&quot;007969A1&quot;/&gt;&lt;wsp:rsid wsp:val=&quot;00797587&quot;/&gt;&lt;wsp:rsid wsp:val=&quot;0079772A&quot;/&gt;&lt;wsp:rsid wsp:val=&quot;007977EE&quot;/&gt;&lt;wsp:rsid wsp:val=&quot;007A03CB&quot;/&gt;&lt;wsp:rsid wsp:val=&quot;007A046B&quot;/&gt;&lt;wsp:rsid wsp:val=&quot;007A0493&quot;/&gt;&lt;wsp:rsid wsp:val=&quot;007A0658&quot;/&gt;&lt;wsp:rsid wsp:val=&quot;007A0677&quot;/&gt;&lt;wsp:rsid wsp:val=&quot;007A19BF&quot;/&gt;&lt;wsp:rsid wsp:val=&quot;007A1CE1&quot;/&gt;&lt;wsp:rsid wsp:val=&quot;007A209B&quot;/&gt;&lt;wsp:rsid wsp:val=&quot;007A24DC&quot;/&gt;&lt;wsp:rsid wsp:val=&quot;007A29D5&quot;/&gt;&lt;wsp:rsid wsp:val=&quot;007A2AFD&quot;/&gt;&lt;wsp:rsid wsp:val=&quot;007A2E34&quot;/&gt;&lt;wsp:rsid wsp:val=&quot;007A2F54&quot;/&gt;&lt;wsp:rsid wsp:val=&quot;007A340D&quot;/&gt;&lt;wsp:rsid wsp:val=&quot;007A3481&quot;/&gt;&lt;wsp:rsid wsp:val=&quot;007A353A&quot;/&gt;&lt;wsp:rsid wsp:val=&quot;007A39E2&quot;/&gt;&lt;wsp:rsid wsp:val=&quot;007A3A60&quot;/&gt;&lt;wsp:rsid wsp:val=&quot;007A3C15&quot;/&gt;&lt;wsp:rsid wsp:val=&quot;007A4178&quot;/&gt;&lt;wsp:rsid wsp:val=&quot;007A435C&quot;/&gt;&lt;wsp:rsid wsp:val=&quot;007A586B&quot;/&gt;&lt;wsp:rsid wsp:val=&quot;007A6453&quot;/&gt;&lt;wsp:rsid wsp:val=&quot;007A677B&quot;/&gt;&lt;wsp:rsid wsp:val=&quot;007A6A0B&quot;/&gt;&lt;wsp:rsid wsp:val=&quot;007A6E31&quot;/&gt;&lt;wsp:rsid wsp:val=&quot;007A6FE8&quot;/&gt;&lt;wsp:rsid wsp:val=&quot;007A72AA&quot;/&gt;&lt;wsp:rsid wsp:val=&quot;007A72EC&quot;/&gt;&lt;wsp:rsid wsp:val=&quot;007A73A7&quot;/&gt;&lt;wsp:rsid wsp:val=&quot;007A7A17&quot;/&gt;&lt;wsp:rsid wsp:val=&quot;007A7B90&quot;/&gt;&lt;wsp:rsid wsp:val=&quot;007B019A&quot;/&gt;&lt;wsp:rsid wsp:val=&quot;007B0610&quot;/&gt;&lt;wsp:rsid wsp:val=&quot;007B07BD&quot;/&gt;&lt;wsp:rsid wsp:val=&quot;007B0814&quot;/&gt;&lt;wsp:rsid wsp:val=&quot;007B0ABE&quot;/&gt;&lt;wsp:rsid wsp:val=&quot;007B16A9&quot;/&gt;&lt;wsp:rsid wsp:val=&quot;007B211A&quot;/&gt;&lt;wsp:rsid wsp:val=&quot;007B2583&quot;/&gt;&lt;wsp:rsid wsp:val=&quot;007B275C&quot;/&gt;&lt;wsp:rsid wsp:val=&quot;007B307E&quot;/&gt;&lt;wsp:rsid wsp:val=&quot;007B33FF&quot;/&gt;&lt;wsp:rsid wsp:val=&quot;007B3610&quot;/&gt;&lt;wsp:rsid wsp:val=&quot;007B38D1&quot;/&gt;&lt;wsp:rsid wsp:val=&quot;007B3B6A&quot;/&gt;&lt;wsp:rsid wsp:val=&quot;007B3BDC&quot;/&gt;&lt;wsp:rsid wsp:val=&quot;007B3F99&quot;/&gt;&lt;wsp:rsid wsp:val=&quot;007B42E4&quot;/&gt;&lt;wsp:rsid wsp:val=&quot;007B50D5&quot;/&gt;&lt;wsp:rsid wsp:val=&quot;007B50D6&quot;/&gt;&lt;wsp:rsid wsp:val=&quot;007B5141&quot;/&gt;&lt;wsp:rsid wsp:val=&quot;007B5358&quot;/&gt;&lt;wsp:rsid wsp:val=&quot;007B54A0&quot;/&gt;&lt;wsp:rsid wsp:val=&quot;007B580B&quot;/&gt;&lt;wsp:rsid wsp:val=&quot;007B5B44&quot;/&gt;&lt;wsp:rsid wsp:val=&quot;007B5E24&quot;/&gt;&lt;wsp:rsid wsp:val=&quot;007B69CA&quot;/&gt;&lt;wsp:rsid wsp:val=&quot;007B6B46&quot;/&gt;&lt;wsp:rsid wsp:val=&quot;007B741A&quot;/&gt;&lt;wsp:rsid wsp:val=&quot;007B771F&quot;/&gt;&lt;wsp:rsid wsp:val=&quot;007B7D7F&quot;/&gt;&lt;wsp:rsid wsp:val=&quot;007B7E7D&quot;/&gt;&lt;wsp:rsid wsp:val=&quot;007B7FCB&quot;/&gt;&lt;wsp:rsid wsp:val=&quot;007C0CFB&quot;/&gt;&lt;wsp:rsid wsp:val=&quot;007C0FF4&quot;/&gt;&lt;wsp:rsid wsp:val=&quot;007C11C8&quot;/&gt;&lt;wsp:rsid wsp:val=&quot;007C1591&quot;/&gt;&lt;wsp:rsid wsp:val=&quot;007C20DB&quot;/&gt;&lt;wsp:rsid wsp:val=&quot;007C23CA&quot;/&gt;&lt;wsp:rsid wsp:val=&quot;007C29E7&quot;/&gt;&lt;wsp:rsid wsp:val=&quot;007C2ECB&quot;/&gt;&lt;wsp:rsid wsp:val=&quot;007C2EEE&quot;/&gt;&lt;wsp:rsid wsp:val=&quot;007C32BA&quot;/&gt;&lt;wsp:rsid wsp:val=&quot;007C3367&quot;/&gt;&lt;wsp:rsid wsp:val=&quot;007C364E&quot;/&gt;&lt;wsp:rsid wsp:val=&quot;007C36B1&quot;/&gt;&lt;wsp:rsid wsp:val=&quot;007C3722&quot;/&gt;&lt;wsp:rsid wsp:val=&quot;007C3747&quot;/&gt;&lt;wsp:rsid wsp:val=&quot;007C38D9&quot;/&gt;&lt;wsp:rsid wsp:val=&quot;007C3DE5&quot;/&gt;&lt;wsp:rsid wsp:val=&quot;007C4074&quot;/&gt;&lt;wsp:rsid wsp:val=&quot;007C4F5A&quot;/&gt;&lt;wsp:rsid wsp:val=&quot;007C50F4&quot;/&gt;&lt;wsp:rsid wsp:val=&quot;007C5200&quot;/&gt;&lt;wsp:rsid wsp:val=&quot;007C5581&quot;/&gt;&lt;wsp:rsid wsp:val=&quot;007C5732&quot;/&gt;&lt;wsp:rsid wsp:val=&quot;007C5A5A&quot;/&gt;&lt;wsp:rsid wsp:val=&quot;007C5DA4&quot;/&gt;&lt;wsp:rsid wsp:val=&quot;007C5DD1&quot;/&gt;&lt;wsp:rsid wsp:val=&quot;007C6326&quot;/&gt;&lt;wsp:rsid wsp:val=&quot;007C684E&quot;/&gt;&lt;wsp:rsid wsp:val=&quot;007C6C41&quot;/&gt;&lt;wsp:rsid wsp:val=&quot;007C72F0&quot;/&gt;&lt;wsp:rsid wsp:val=&quot;007C73BA&quot;/&gt;&lt;wsp:rsid wsp:val=&quot;007C7797&quot;/&gt;&lt;wsp:rsid wsp:val=&quot;007C7A6B&quot;/&gt;&lt;wsp:rsid wsp:val=&quot;007C7C0D&quot;/&gt;&lt;wsp:rsid wsp:val=&quot;007D0152&quot;/&gt;&lt;wsp:rsid wsp:val=&quot;007D0A4F&quot;/&gt;&lt;wsp:rsid wsp:val=&quot;007D0CEE&quot;/&gt;&lt;wsp:rsid wsp:val=&quot;007D0E99&quot;/&gt;&lt;wsp:rsid wsp:val=&quot;007D0EC3&quot;/&gt;&lt;wsp:rsid wsp:val=&quot;007D124F&quot;/&gt;&lt;wsp:rsid wsp:val=&quot;007D12C0&quot;/&gt;&lt;wsp:rsid wsp:val=&quot;007D150B&quot;/&gt;&lt;wsp:rsid wsp:val=&quot;007D1607&quot;/&gt;&lt;wsp:rsid wsp:val=&quot;007D1645&quot;/&gt;&lt;wsp:rsid wsp:val=&quot;007D18E0&quot;/&gt;&lt;wsp:rsid wsp:val=&quot;007D1BC1&quot;/&gt;&lt;wsp:rsid wsp:val=&quot;007D1C66&quot;/&gt;&lt;wsp:rsid wsp:val=&quot;007D1CC7&quot;/&gt;&lt;wsp:rsid wsp:val=&quot;007D1CFA&quot;/&gt;&lt;wsp:rsid wsp:val=&quot;007D1E39&quot;/&gt;&lt;wsp:rsid wsp:val=&quot;007D2240&quot;/&gt;&lt;wsp:rsid wsp:val=&quot;007D22B0&quot;/&gt;&lt;wsp:rsid wsp:val=&quot;007D2504&quot;/&gt;&lt;wsp:rsid wsp:val=&quot;007D279A&quot;/&gt;&lt;wsp:rsid wsp:val=&quot;007D2ABA&quot;/&gt;&lt;wsp:rsid wsp:val=&quot;007D2ADC&quot;/&gt;&lt;wsp:rsid wsp:val=&quot;007D2D26&quot;/&gt;&lt;wsp:rsid wsp:val=&quot;007D2EB8&quot;/&gt;&lt;wsp:rsid wsp:val=&quot;007D2EC6&quot;/&gt;&lt;wsp:rsid wsp:val=&quot;007D3264&quot;/&gt;&lt;wsp:rsid wsp:val=&quot;007D32FF&quot;/&gt;&lt;wsp:rsid wsp:val=&quot;007D375C&quot;/&gt;&lt;wsp:rsid wsp:val=&quot;007D3C9B&quot;/&gt;&lt;wsp:rsid wsp:val=&quot;007D409B&quot;/&gt;&lt;wsp:rsid wsp:val=&quot;007D41AB&quot;/&gt;&lt;wsp:rsid wsp:val=&quot;007D4587&quot;/&gt;&lt;wsp:rsid wsp:val=&quot;007D47CB&quot;/&gt;&lt;wsp:rsid wsp:val=&quot;007D4BC7&quot;/&gt;&lt;wsp:rsid wsp:val=&quot;007D4C39&quot;/&gt;&lt;wsp:rsid wsp:val=&quot;007D4D48&quot;/&gt;&lt;wsp:rsid wsp:val=&quot;007D4DA5&quot;/&gt;&lt;wsp:rsid wsp:val=&quot;007D5948&quot;/&gt;&lt;wsp:rsid wsp:val=&quot;007D5B4C&quot;/&gt;&lt;wsp:rsid wsp:val=&quot;007D5C25&quot;/&gt;&lt;wsp:rsid wsp:val=&quot;007D5D86&quot;/&gt;&lt;wsp:rsid wsp:val=&quot;007D5EA0&quot;/&gt;&lt;wsp:rsid wsp:val=&quot;007D5FDB&quot;/&gt;&lt;wsp:rsid wsp:val=&quot;007D627E&quot;/&gt;&lt;wsp:rsid wsp:val=&quot;007D62FD&quot;/&gt;&lt;wsp:rsid wsp:val=&quot;007D6494&quot;/&gt;&lt;wsp:rsid wsp:val=&quot;007D64A7&quot;/&gt;&lt;wsp:rsid wsp:val=&quot;007D6508&quot;/&gt;&lt;wsp:rsid wsp:val=&quot;007D6C21&quot;/&gt;&lt;wsp:rsid wsp:val=&quot;007D716E&quot;/&gt;&lt;wsp:rsid wsp:val=&quot;007D7ACF&quot;/&gt;&lt;wsp:rsid wsp:val=&quot;007D7BCF&quot;/&gt;&lt;wsp:rsid wsp:val=&quot;007E00E4&quot;/&gt;&lt;wsp:rsid wsp:val=&quot;007E0268&quot;/&gt;&lt;wsp:rsid wsp:val=&quot;007E060E&quot;/&gt;&lt;wsp:rsid wsp:val=&quot;007E087A&quot;/&gt;&lt;wsp:rsid wsp:val=&quot;007E0969&quot;/&gt;&lt;wsp:rsid wsp:val=&quot;007E09FA&quot;/&gt;&lt;wsp:rsid wsp:val=&quot;007E1244&quot;/&gt;&lt;wsp:rsid wsp:val=&quot;007E1A43&quot;/&gt;&lt;wsp:rsid wsp:val=&quot;007E1A52&quot;/&gt;&lt;wsp:rsid wsp:val=&quot;007E1ADE&quot;/&gt;&lt;wsp:rsid wsp:val=&quot;007E1D43&quot;/&gt;&lt;wsp:rsid wsp:val=&quot;007E1D4D&quot;/&gt;&lt;wsp:rsid wsp:val=&quot;007E2123&quot;/&gt;&lt;wsp:rsid wsp:val=&quot;007E241C&quot;/&gt;&lt;wsp:rsid wsp:val=&quot;007E2834&quot;/&gt;&lt;wsp:rsid wsp:val=&quot;007E2BC4&quot;/&gt;&lt;wsp:rsid wsp:val=&quot;007E2DA6&quot;/&gt;&lt;wsp:rsid wsp:val=&quot;007E2FA4&quot;/&gt;&lt;wsp:rsid wsp:val=&quot;007E30B9&quot;/&gt;&lt;wsp:rsid wsp:val=&quot;007E3370&quot;/&gt;&lt;wsp:rsid wsp:val=&quot;007E3593&quot;/&gt;&lt;wsp:rsid wsp:val=&quot;007E3686&quot;/&gt;&lt;wsp:rsid wsp:val=&quot;007E3EA5&quot;/&gt;&lt;wsp:rsid wsp:val=&quot;007E3F11&quot;/&gt;&lt;wsp:rsid wsp:val=&quot;007E3F9E&quot;/&gt;&lt;wsp:rsid wsp:val=&quot;007E47F7&quot;/&gt;&lt;wsp:rsid wsp:val=&quot;007E48E6&quot;/&gt;&lt;wsp:rsid wsp:val=&quot;007E4A75&quot;/&gt;&lt;wsp:rsid wsp:val=&quot;007E4A99&quot;/&gt;&lt;wsp:rsid wsp:val=&quot;007E4C83&quot;/&gt;&lt;wsp:rsid wsp:val=&quot;007E4FF9&quot;/&gt;&lt;wsp:rsid wsp:val=&quot;007E56C3&quot;/&gt;&lt;wsp:rsid wsp:val=&quot;007E5D09&quot;/&gt;&lt;wsp:rsid wsp:val=&quot;007E5D15&quot;/&gt;&lt;wsp:rsid wsp:val=&quot;007E60E4&quot;/&gt;&lt;wsp:rsid wsp:val=&quot;007E61AF&quot;/&gt;&lt;wsp:rsid wsp:val=&quot;007E61DC&quot;/&gt;&lt;wsp:rsid wsp:val=&quot;007E6348&quot;/&gt;&lt;wsp:rsid wsp:val=&quot;007E63EE&quot;/&gt;&lt;wsp:rsid wsp:val=&quot;007E64B8&quot;/&gt;&lt;wsp:rsid wsp:val=&quot;007E6716&quot;/&gt;&lt;wsp:rsid wsp:val=&quot;007E67E9&quot;/&gt;&lt;wsp:rsid wsp:val=&quot;007E6845&quot;/&gt;&lt;wsp:rsid wsp:val=&quot;007E684D&quot;/&gt;&lt;wsp:rsid wsp:val=&quot;007E6ADF&quot;/&gt;&lt;wsp:rsid wsp:val=&quot;007E6AFE&quot;/&gt;&lt;wsp:rsid wsp:val=&quot;007E6EC8&quot;/&gt;&lt;wsp:rsid wsp:val=&quot;007E710C&quot;/&gt;&lt;wsp:rsid wsp:val=&quot;007E72A0&quot;/&gt;&lt;wsp:rsid wsp:val=&quot;007E7602&quot;/&gt;&lt;wsp:rsid wsp:val=&quot;007E769B&quot;/&gt;&lt;wsp:rsid wsp:val=&quot;007E76D6&quot;/&gt;&lt;wsp:rsid wsp:val=&quot;007E775F&quot;/&gt;&lt;wsp:rsid wsp:val=&quot;007E7799&quot;/&gt;&lt;wsp:rsid wsp:val=&quot;007E7C3A&quot;/&gt;&lt;wsp:rsid wsp:val=&quot;007F0137&quot;/&gt;&lt;wsp:rsid wsp:val=&quot;007F0F44&quot;/&gt;&lt;wsp:rsid wsp:val=&quot;007F13C7&quot;/&gt;&lt;wsp:rsid wsp:val=&quot;007F13E5&quot;/&gt;&lt;wsp:rsid wsp:val=&quot;007F1C37&quot;/&gt;&lt;wsp:rsid wsp:val=&quot;007F1C87&quot;/&gt;&lt;wsp:rsid wsp:val=&quot;007F1EB8&quot;/&gt;&lt;wsp:rsid wsp:val=&quot;007F2148&quot;/&gt;&lt;wsp:rsid wsp:val=&quot;007F2178&quot;/&gt;&lt;wsp:rsid wsp:val=&quot;007F2329&quot;/&gt;&lt;wsp:rsid wsp:val=&quot;007F2475&quot;/&gt;&lt;wsp:rsid wsp:val=&quot;007F28FE&quot;/&gt;&lt;wsp:rsid wsp:val=&quot;007F2C05&quot;/&gt;&lt;wsp:rsid wsp:val=&quot;007F2F0B&quot;/&gt;&lt;wsp:rsid wsp:val=&quot;007F3061&quot;/&gt;&lt;wsp:rsid wsp:val=&quot;007F31BC&quot;/&gt;&lt;wsp:rsid wsp:val=&quot;007F34DE&quot;/&gt;&lt;wsp:rsid wsp:val=&quot;007F390A&quot;/&gt;&lt;wsp:rsid wsp:val=&quot;007F4472&quot;/&gt;&lt;wsp:rsid wsp:val=&quot;007F4B96&quot;/&gt;&lt;wsp:rsid wsp:val=&quot;007F4F74&quot;/&gt;&lt;wsp:rsid wsp:val=&quot;007F5177&quot;/&gt;&lt;wsp:rsid wsp:val=&quot;007F60E6&quot;/&gt;&lt;wsp:rsid wsp:val=&quot;007F6270&quot;/&gt;&lt;wsp:rsid wsp:val=&quot;007F6404&quot;/&gt;&lt;wsp:rsid wsp:val=&quot;007F718E&quot;/&gt;&lt;wsp:rsid wsp:val=&quot;007F771F&quot;/&gt;&lt;wsp:rsid wsp:val=&quot;007F7A4C&quot;/&gt;&lt;wsp:rsid wsp:val=&quot;008001D8&quot;/&gt;&lt;wsp:rsid wsp:val=&quot;008006A8&quot;/&gt;&lt;wsp:rsid wsp:val=&quot;00800BB8&quot;/&gt;&lt;wsp:rsid wsp:val=&quot;00800E2C&quot;/&gt;&lt;wsp:rsid wsp:val=&quot;00800F0F&quot;/&gt;&lt;wsp:rsid wsp:val=&quot;00801002&quot;/&gt;&lt;wsp:rsid wsp:val=&quot;00802450&quot;/&gt;&lt;wsp:rsid wsp:val=&quot;008025B5&quot;/&gt;&lt;wsp:rsid wsp:val=&quot;0080274C&quot;/&gt;&lt;wsp:rsid wsp:val=&quot;00802CB7&quot;/&gt;&lt;wsp:rsid wsp:val=&quot;00802CDF&quot;/&gt;&lt;wsp:rsid wsp:val=&quot;00802E4A&quot;/&gt;&lt;wsp:rsid wsp:val=&quot;00802EE9&quot;/&gt;&lt;wsp:rsid wsp:val=&quot;00803A2E&quot;/&gt;&lt;wsp:rsid wsp:val=&quot;00803FF4&quot;/&gt;&lt;wsp:rsid wsp:val=&quot;0080414C&quot;/&gt;&lt;wsp:rsid wsp:val=&quot;008041B4&quot;/&gt;&lt;wsp:rsid wsp:val=&quot;008043C2&quot;/&gt;&lt;wsp:rsid wsp:val=&quot;00804428&quot;/&gt;&lt;wsp:rsid wsp:val=&quot;00804761&quot;/&gt;&lt;wsp:rsid wsp:val=&quot;008047A2&quot;/&gt;&lt;wsp:rsid wsp:val=&quot;00804A49&quot;/&gt;&lt;wsp:rsid wsp:val=&quot;00804C46&quot;/&gt;&lt;wsp:rsid wsp:val=&quot;008050C6&quot;/&gt;&lt;wsp:rsid wsp:val=&quot;0080576A&quot;/&gt;&lt;wsp:rsid wsp:val=&quot;00805848&quot;/&gt;&lt;wsp:rsid wsp:val=&quot;00806065&quot;/&gt;&lt;wsp:rsid wsp:val=&quot;00806A5A&quot;/&gt;&lt;wsp:rsid wsp:val=&quot;008071B3&quot;/&gt;&lt;wsp:rsid wsp:val=&quot;00807212&quot;/&gt;&lt;wsp:rsid wsp:val=&quot;0080760F&quot;/&gt;&lt;wsp:rsid wsp:val=&quot;00807880&quot;/&gt;&lt;wsp:rsid wsp:val=&quot;00807C26&quot;/&gt;&lt;wsp:rsid wsp:val=&quot;00807F63&quot;/&gt;&lt;wsp:rsid wsp:val=&quot;00810315&quot;/&gt;&lt;wsp:rsid wsp:val=&quot;00810398&quot;/&gt;&lt;wsp:rsid wsp:val=&quot;00810414&quot;/&gt;&lt;wsp:rsid wsp:val=&quot;00810708&quot;/&gt;&lt;wsp:rsid wsp:val=&quot;008108F0&quot;/&gt;&lt;wsp:rsid wsp:val=&quot;008109F5&quot;/&gt;&lt;wsp:rsid wsp:val=&quot;00810C6B&quot;/&gt;&lt;wsp:rsid wsp:val=&quot;00811081&quot;/&gt;&lt;wsp:rsid wsp:val=&quot;008110E1&quot;/&gt;&lt;wsp:rsid wsp:val=&quot;00811601&quot;/&gt;&lt;wsp:rsid wsp:val=&quot;00811852&quot;/&gt;&lt;wsp:rsid wsp:val=&quot;00811902&quot;/&gt;&lt;wsp:rsid wsp:val=&quot;00811A43&quot;/&gt;&lt;wsp:rsid wsp:val=&quot;00811FE4&quot;/&gt;&lt;wsp:rsid wsp:val=&quot;00812170&quot;/&gt;&lt;wsp:rsid wsp:val=&quot;0081258B&quot;/&gt;&lt;wsp:rsid wsp:val=&quot;00812BBB&quot;/&gt;&lt;wsp:rsid wsp:val=&quot;00812C46&quot;/&gt;&lt;wsp:rsid wsp:val=&quot;00812CD9&quot;/&gt;&lt;wsp:rsid wsp:val=&quot;008132A5&quot;/&gt;&lt;wsp:rsid wsp:val=&quot;00813330&quot;/&gt;&lt;wsp:rsid wsp:val=&quot;00813361&quot;/&gt;&lt;wsp:rsid wsp:val=&quot;008134AA&quot;/&gt;&lt;wsp:rsid wsp:val=&quot;008137F2&quot;/&gt;&lt;wsp:rsid wsp:val=&quot;00813849&quot;/&gt;&lt;wsp:rsid wsp:val=&quot;00814082&quot;/&gt;&lt;wsp:rsid wsp:val=&quot;0081486F&quot;/&gt;&lt;wsp:rsid wsp:val=&quot;00814B3B&quot;/&gt;&lt;wsp:rsid wsp:val=&quot;00814B61&quot;/&gt;&lt;wsp:rsid wsp:val=&quot;00815174&quot;/&gt;&lt;wsp:rsid wsp:val=&quot;008155F9&quot;/&gt;&lt;wsp:rsid wsp:val=&quot;008159A1&quot;/&gt;&lt;wsp:rsid wsp:val=&quot;00815B37&quot;/&gt;&lt;wsp:rsid wsp:val=&quot;00815EA7&quot;/&gt;&lt;wsp:rsid wsp:val=&quot;00815EBD&quot;/&gt;&lt;wsp:rsid wsp:val=&quot;008162FE&quot;/&gt;&lt;wsp:rsid wsp:val=&quot;00816398&quot;/&gt;&lt;wsp:rsid wsp:val=&quot;0081654E&quot;/&gt;&lt;wsp:rsid wsp:val=&quot;00816C1E&quot;/&gt;&lt;wsp:rsid wsp:val=&quot;00816C46&quot;/&gt;&lt;wsp:rsid wsp:val=&quot;00816D56&quot;/&gt;&lt;wsp:rsid wsp:val=&quot;008171AB&quot;/&gt;&lt;wsp:rsid wsp:val=&quot;008172B0&quot;/&gt;&lt;wsp:rsid wsp:val=&quot;00817387&quot;/&gt;&lt;wsp:rsid wsp:val=&quot;0081797F&quot;/&gt;&lt;wsp:rsid wsp:val=&quot;008200DC&quot;/&gt;&lt;wsp:rsid wsp:val=&quot;008203C2&quot;/&gt;&lt;wsp:rsid wsp:val=&quot;00821293&quot;/&gt;&lt;wsp:rsid wsp:val=&quot;00821807&quot;/&gt;&lt;wsp:rsid wsp:val=&quot;00821895&quot;/&gt;&lt;wsp:rsid wsp:val=&quot;00821A6B&quot;/&gt;&lt;wsp:rsid wsp:val=&quot;00821CE2&quot;/&gt;&lt;wsp:rsid wsp:val=&quot;008220BB&quot;/&gt;&lt;wsp:rsid wsp:val=&quot;00822539&quot;/&gt;&lt;wsp:rsid wsp:val=&quot;008234B3&quot;/&gt;&lt;wsp:rsid wsp:val=&quot;00823566&quot;/&gt;&lt;wsp:rsid wsp:val=&quot;00823B15&quot;/&gt;&lt;wsp:rsid wsp:val=&quot;00824561&quot;/&gt;&lt;wsp:rsid wsp:val=&quot;0082502E&quot;/&gt;&lt;wsp:rsid wsp:val=&quot;008251CA&quot;/&gt;&lt;wsp:rsid wsp:val=&quot;008253C6&quot;/&gt;&lt;wsp:rsid wsp:val=&quot;008253F0&quot;/&gt;&lt;wsp:rsid wsp:val=&quot;008256F2&quot;/&gt;&lt;wsp:rsid wsp:val=&quot;00825F83&quot;/&gt;&lt;wsp:rsid wsp:val=&quot;0082612E&quot;/&gt;&lt;wsp:rsid wsp:val=&quot;008262C5&quot;/&gt;&lt;wsp:rsid wsp:val=&quot;00826510&quot;/&gt;&lt;wsp:rsid wsp:val=&quot;0082706E&quot;/&gt;&lt;wsp:rsid wsp:val=&quot;0082759B&quot;/&gt;&lt;wsp:rsid wsp:val=&quot;00827BCA&quot;/&gt;&lt;wsp:rsid wsp:val=&quot;00827DAD&quot;/&gt;&lt;wsp:rsid wsp:val=&quot;00827F05&quot;/&gt;&lt;wsp:rsid wsp:val=&quot;00827F6D&quot;/&gt;&lt;wsp:rsid wsp:val=&quot;0083080E&quot;/&gt;&lt;wsp:rsid wsp:val=&quot;0083086C&quot;/&gt;&lt;wsp:rsid wsp:val=&quot;00830CF4&quot;/&gt;&lt;wsp:rsid wsp:val=&quot;00830DAF&quot;/&gt;&lt;wsp:rsid wsp:val=&quot;00830F63&quot;/&gt;&lt;wsp:rsid wsp:val=&quot;00830F77&quot;/&gt;&lt;wsp:rsid wsp:val=&quot;008311D9&quot;/&gt;&lt;wsp:rsid wsp:val=&quot;00831486&quot;/&gt;&lt;wsp:rsid wsp:val=&quot;00831AC1&quot;/&gt;&lt;wsp:rsid wsp:val=&quot;00831F2E&quot;/&gt;&lt;wsp:rsid wsp:val=&quot;008325A4&quot;/&gt;&lt;wsp:rsid wsp:val=&quot;00832ADC&quot;/&gt;&lt;wsp:rsid wsp:val=&quot;00832E81&quot;/&gt;&lt;wsp:rsid wsp:val=&quot;00833A63&quot;/&gt;&lt;wsp:rsid wsp:val=&quot;00833BF2&quot;/&gt;&lt;wsp:rsid wsp:val=&quot;00833D11&quot;/&gt;&lt;wsp:rsid wsp:val=&quot;00833D69&quot;/&gt;&lt;wsp:rsid wsp:val=&quot;00833F52&quot;/&gt;&lt;wsp:rsid wsp:val=&quot;00834120&quot;/&gt;&lt;wsp:rsid wsp:val=&quot;00834185&quot;/&gt;&lt;wsp:rsid wsp:val=&quot;00834541&quot;/&gt;&lt;wsp:rsid wsp:val=&quot;00834920&quot;/&gt;&lt;wsp:rsid wsp:val=&quot;008349E6&quot;/&gt;&lt;wsp:rsid wsp:val=&quot;00834C64&quot;/&gt;&lt;wsp:rsid wsp:val=&quot;00834ECA&quot;/&gt;&lt;wsp:rsid wsp:val=&quot;00834ED1&quot;/&gt;&lt;wsp:rsid wsp:val=&quot;00834EE9&quot;/&gt;&lt;wsp:rsid wsp:val=&quot;00835031&quot;/&gt;&lt;wsp:rsid wsp:val=&quot;008354B6&quot;/&gt;&lt;wsp:rsid wsp:val=&quot;00835797&quot;/&gt;&lt;wsp:rsid wsp:val=&quot;00835A24&quot;/&gt;&lt;wsp:rsid wsp:val=&quot;00835B9C&quot;/&gt;&lt;wsp:rsid wsp:val=&quot;00835BEA&quot;/&gt;&lt;wsp:rsid wsp:val=&quot;00835C42&quot;/&gt;&lt;wsp:rsid wsp:val=&quot;00836133&quot;/&gt;&lt;wsp:rsid wsp:val=&quot;0083635A&quot;/&gt;&lt;wsp:rsid wsp:val=&quot;008365CB&quot;/&gt;&lt;wsp:rsid wsp:val=&quot;00836C7C&quot;/&gt;&lt;wsp:rsid wsp:val=&quot;00836DB2&quot;/&gt;&lt;wsp:rsid wsp:val=&quot;00836F53&quot;/&gt;&lt;wsp:rsid wsp:val=&quot;00837197&quot;/&gt;&lt;wsp:rsid wsp:val=&quot;008375F6&quot;/&gt;&lt;wsp:rsid wsp:val=&quot;008377FE&quot;/&gt;&lt;wsp:rsid wsp:val=&quot;00837A1D&quot;/&gt;&lt;wsp:rsid wsp:val=&quot;00837D64&quot;/&gt;&lt;wsp:rsid wsp:val=&quot;00837E77&quot;/&gt;&lt;wsp:rsid wsp:val=&quot;008400EC&quot;/&gt;&lt;wsp:rsid wsp:val=&quot;0084034A&quot;/&gt;&lt;wsp:rsid wsp:val=&quot;00840447&quot;/&gt;&lt;wsp:rsid wsp:val=&quot;0084099B&quot;/&gt;&lt;wsp:rsid wsp:val=&quot;00840F5A&quot;/&gt;&lt;wsp:rsid wsp:val=&quot;00840FC2&quot;/&gt;&lt;wsp:rsid wsp:val=&quot;0084150B&quot;/&gt;&lt;wsp:rsid wsp:val=&quot;0084178A&quot;/&gt;&lt;wsp:rsid wsp:val=&quot;00841F2F&quot;/&gt;&lt;wsp:rsid wsp:val=&quot;00841F32&quot;/&gt;&lt;wsp:rsid wsp:val=&quot;00841FD5&quot;/&gt;&lt;wsp:rsid wsp:val=&quot;0084207E&quot;/&gt;&lt;wsp:rsid wsp:val=&quot;00843913&quot;/&gt;&lt;wsp:rsid wsp:val=&quot;00843B1E&quot;/&gt;&lt;wsp:rsid wsp:val=&quot;00843B27&quot;/&gt;&lt;wsp:rsid wsp:val=&quot;00844103&quot;/&gt;&lt;wsp:rsid wsp:val=&quot;008441EA&quot;/&gt;&lt;wsp:rsid wsp:val=&quot;00844794&quot;/&gt;&lt;wsp:rsid wsp:val=&quot;008447E6&quot;/&gt;&lt;wsp:rsid wsp:val=&quot;0084482C&quot;/&gt;&lt;wsp:rsid wsp:val=&quot;00845048&quot;/&gt;&lt;wsp:rsid wsp:val=&quot;008452FB&quot;/&gt;&lt;wsp:rsid wsp:val=&quot;008457C9&quot;/&gt;&lt;wsp:rsid wsp:val=&quot;00845898&quot;/&gt;&lt;wsp:rsid wsp:val=&quot;00845C8D&quot;/&gt;&lt;wsp:rsid wsp:val=&quot;00845F37&quot;/&gt;&lt;wsp:rsid wsp:val=&quot;0084642F&quot;/&gt;&lt;wsp:rsid wsp:val=&quot;00846458&quot;/&gt;&lt;wsp:rsid wsp:val=&quot;008465F4&quot;/&gt;&lt;wsp:rsid wsp:val=&quot;00846A80&quot;/&gt;&lt;wsp:rsid wsp:val=&quot;00847162&quot;/&gt;&lt;wsp:rsid wsp:val=&quot;008472BD&quot;/&gt;&lt;wsp:rsid wsp:val=&quot;008473E4&quot;/&gt;&lt;wsp:rsid wsp:val=&quot;008477EC&quot;/&gt;&lt;wsp:rsid wsp:val=&quot;008479D2&quot;/&gt;&lt;wsp:rsid wsp:val=&quot;00847D45&quot;/&gt;&lt;wsp:rsid wsp:val=&quot;00847DFB&quot;/&gt;&lt;wsp:rsid wsp:val=&quot;00847E31&quot;/&gt;&lt;wsp:rsid wsp:val=&quot;00850BAB&quot;/&gt;&lt;wsp:rsid wsp:val=&quot;00851693&quot;/&gt;&lt;wsp:rsid wsp:val=&quot;0085176F&quot;/&gt;&lt;wsp:rsid wsp:val=&quot;0085195C&quot;/&gt;&lt;wsp:rsid wsp:val=&quot;00851F11&quot;/&gt;&lt;wsp:rsid wsp:val=&quot;008521E1&quot;/&gt;&lt;wsp:rsid wsp:val=&quot;0085225F&quot;/&gt;&lt;wsp:rsid wsp:val=&quot;00852400&quot;/&gt;&lt;wsp:rsid wsp:val=&quot;00852D44&quot;/&gt;&lt;wsp:rsid wsp:val=&quot;008530EB&quot;/&gt;&lt;wsp:rsid wsp:val=&quot;0085337D&quot;/&gt;&lt;wsp:rsid wsp:val=&quot;008533E2&quot;/&gt;&lt;wsp:rsid wsp:val=&quot;0085363E&quot;/&gt;&lt;wsp:rsid wsp:val=&quot;00853EC8&quot;/&gt;&lt;wsp:rsid wsp:val=&quot;00853EDE&quot;/&gt;&lt;wsp:rsid wsp:val=&quot;0085402E&quot;/&gt;&lt;wsp:rsid wsp:val=&quot;008541BF&quot;/&gt;&lt;wsp:rsid wsp:val=&quot;008545D3&quot;/&gt;&lt;wsp:rsid wsp:val=&quot;00854628&quot;/&gt;&lt;wsp:rsid wsp:val=&quot;008547C4&quot;/&gt;&lt;wsp:rsid wsp:val=&quot;00854A4F&quot;/&gt;&lt;wsp:rsid wsp:val=&quot;00854D45&quot;/&gt;&lt;wsp:rsid wsp:val=&quot;00854F38&quot;/&gt;&lt;wsp:rsid wsp:val=&quot;00855083&quot;/&gt;&lt;wsp:rsid wsp:val=&quot;00855EDE&quot;/&gt;&lt;wsp:rsid wsp:val=&quot;00855F9C&quot;/&gt;&lt;wsp:rsid wsp:val=&quot;00856487&quot;/&gt;&lt;wsp:rsid wsp:val=&quot;0085684E&quot;/&gt;&lt;wsp:rsid wsp:val=&quot;00856EBC&quot;/&gt;&lt;wsp:rsid wsp:val=&quot;00857644&quot;/&gt;&lt;wsp:rsid wsp:val=&quot;00857B5D&quot;/&gt;&lt;wsp:rsid wsp:val=&quot;00857BD4&quot;/&gt;&lt;wsp:rsid wsp:val=&quot;00857C3A&quot;/&gt;&lt;wsp:rsid wsp:val=&quot;00857F77&quot;/&gt;&lt;wsp:rsid wsp:val=&quot;00860617&quot;/&gt;&lt;wsp:rsid wsp:val=&quot;008606ED&quot;/&gt;&lt;wsp:rsid wsp:val=&quot;0086099B&quot;/&gt;&lt;wsp:rsid wsp:val=&quot;00860CB8&quot;/&gt;&lt;wsp:rsid wsp:val=&quot;00860E78&quot;/&gt;&lt;wsp:rsid wsp:val=&quot;00860F42&quot;/&gt;&lt;wsp:rsid wsp:val=&quot;0086129F&quot;/&gt;&lt;wsp:rsid wsp:val=&quot;00861D60&quot;/&gt;&lt;wsp:rsid wsp:val=&quot;0086286D&quot;/&gt;&lt;wsp:rsid wsp:val=&quot;0086299E&quot;/&gt;&lt;wsp:rsid wsp:val=&quot;00862A79&quot;/&gt;&lt;wsp:rsid wsp:val=&quot;00862B26&quot;/&gt;&lt;wsp:rsid wsp:val=&quot;00862DF6&quot;/&gt;&lt;wsp:rsid wsp:val=&quot;0086306A&quot;/&gt;&lt;wsp:rsid wsp:val=&quot;0086392F&quot;/&gt;&lt;wsp:rsid wsp:val=&quot;00863A18&quot;/&gt;&lt;wsp:rsid wsp:val=&quot;00863A9C&quot;/&gt;&lt;wsp:rsid wsp:val=&quot;00863AAB&quot;/&gt;&lt;wsp:rsid wsp:val=&quot;00863B3E&quot;/&gt;&lt;wsp:rsid wsp:val=&quot;00863BCA&quot;/&gt;&lt;wsp:rsid wsp:val=&quot;00863C5D&quot;/&gt;&lt;wsp:rsid wsp:val=&quot;00864B9C&quot;/&gt;&lt;wsp:rsid wsp:val=&quot;00864DD5&quot;/&gt;&lt;wsp:rsid wsp:val=&quot;00864E60&quot;/&gt;&lt;wsp:rsid wsp:val=&quot;008651C2&quot;/&gt;&lt;wsp:rsid wsp:val=&quot;008656B8&quot;/&gt;&lt;wsp:rsid wsp:val=&quot;0086572F&quot;/&gt;&lt;wsp:rsid wsp:val=&quot;00865818&quot;/&gt;&lt;wsp:rsid wsp:val=&quot;0086582D&quot;/&gt;&lt;wsp:rsid wsp:val=&quot;00865D23&quot;/&gt;&lt;wsp:rsid wsp:val=&quot;00866052&quot;/&gt;&lt;wsp:rsid wsp:val=&quot;00866268&quot;/&gt;&lt;wsp:rsid wsp:val=&quot;008668B7&quot;/&gt;&lt;wsp:rsid wsp:val=&quot;00866EEA&quot;/&gt;&lt;wsp:rsid wsp:val=&quot;0086727A&quot;/&gt;&lt;wsp:rsid wsp:val=&quot;00867798&quot;/&gt;&lt;wsp:rsid wsp:val=&quot;008677CD&quot;/&gt;&lt;wsp:rsid wsp:val=&quot;00867A65&quot;/&gt;&lt;wsp:rsid wsp:val=&quot;00867C5A&quot;/&gt;&lt;wsp:rsid wsp:val=&quot;00867CB4&quot;/&gt;&lt;wsp:rsid wsp:val=&quot;00867CC3&quot;/&gt;&lt;wsp:rsid wsp:val=&quot;00867D03&quot;/&gt;&lt;wsp:rsid wsp:val=&quot;00867D35&quot;/&gt;&lt;wsp:rsid wsp:val=&quot;0087007F&quot;/&gt;&lt;wsp:rsid wsp:val=&quot;0087015A&quot;/&gt;&lt;wsp:rsid wsp:val=&quot;00870441&quot;/&gt;&lt;wsp:rsid wsp:val=&quot;008705CF&quot;/&gt;&lt;wsp:rsid wsp:val=&quot;00870F38&quot;/&gt;&lt;wsp:rsid wsp:val=&quot;00871074&quot;/&gt;&lt;wsp:rsid wsp:val=&quot;00871C8C&quot;/&gt;&lt;wsp:rsid wsp:val=&quot;008720CB&quot;/&gt;&lt;wsp:rsid wsp:val=&quot;008726A9&quot;/&gt;&lt;wsp:rsid wsp:val=&quot;00872787&quot;/&gt;&lt;wsp:rsid wsp:val=&quot;008729D0&quot;/&gt;&lt;wsp:rsid wsp:val=&quot;00872C40&quot;/&gt;&lt;wsp:rsid wsp:val=&quot;00872D7F&quot;/&gt;&lt;wsp:rsid wsp:val=&quot;00872DB3&quot;/&gt;&lt;wsp:rsid wsp:val=&quot;008736C3&quot;/&gt;&lt;wsp:rsid wsp:val=&quot;0087390D&quot;/&gt;&lt;wsp:rsid wsp:val=&quot;00873CBA&quot;/&gt;&lt;wsp:rsid wsp:val=&quot;00874008&quot;/&gt;&lt;wsp:rsid wsp:val=&quot;008740A4&quot;/&gt;&lt;wsp:rsid wsp:val=&quot;00874188&quot;/&gt;&lt;wsp:rsid wsp:val=&quot;0087486B&quot;/&gt;&lt;wsp:rsid wsp:val=&quot;00875314&quot;/&gt;&lt;wsp:rsid wsp:val=&quot;0087532C&quot;/&gt;&lt;wsp:rsid wsp:val=&quot;00875357&quot;/&gt;&lt;wsp:rsid wsp:val=&quot;00875535&quot;/&gt;&lt;wsp:rsid wsp:val=&quot;00875647&quot;/&gt;&lt;wsp:rsid wsp:val=&quot;00875C02&quot;/&gt;&lt;wsp:rsid wsp:val=&quot;00875C95&quot;/&gt;&lt;wsp:rsid wsp:val=&quot;0087627E&quot;/&gt;&lt;wsp:rsid wsp:val=&quot;00876323&quot;/&gt;&lt;wsp:rsid wsp:val=&quot;00876E08&quot;/&gt;&lt;wsp:rsid wsp:val=&quot;008771C4&quot;/&gt;&lt;wsp:rsid wsp:val=&quot;008771E1&quot;/&gt;&lt;wsp:rsid wsp:val=&quot;008772EF&quot;/&gt;&lt;wsp:rsid wsp:val=&quot;00877482&quot;/&gt;&lt;wsp:rsid wsp:val=&quot;0087793A&quot;/&gt;&lt;wsp:rsid wsp:val=&quot;00877A42&quot;/&gt;&lt;wsp:rsid wsp:val=&quot;00877CCA&quot;/&gt;&lt;wsp:rsid wsp:val=&quot;00877E26&quot;/&gt;&lt;wsp:rsid wsp:val=&quot;00877F97&quot;/&gt;&lt;wsp:rsid wsp:val=&quot;00880187&quot;/&gt;&lt;wsp:rsid wsp:val=&quot;008807B2&quot;/&gt;&lt;wsp:rsid wsp:val=&quot;00880B0F&quot;/&gt;&lt;wsp:rsid wsp:val=&quot;00880B38&quot;/&gt;&lt;wsp:rsid wsp:val=&quot;008810ED&quot;/&gt;&lt;wsp:rsid wsp:val=&quot;0088155F&quot;/&gt;&lt;wsp:rsid wsp:val=&quot;00881959&quot;/&gt;&lt;wsp:rsid wsp:val=&quot;00881ABE&quot;/&gt;&lt;wsp:rsid wsp:val=&quot;00881C47&quot;/&gt;&lt;wsp:rsid wsp:val=&quot;00881FA6&quot;/&gt;&lt;wsp:rsid wsp:val=&quot;00881FC5&quot;/&gt;&lt;wsp:rsid wsp:val=&quot;008827B5&quot;/&gt;&lt;wsp:rsid wsp:val=&quot;00882E0E&quot;/&gt;&lt;wsp:rsid wsp:val=&quot;00883479&quot;/&gt;&lt;wsp:rsid wsp:val=&quot;00883601&quot;/&gt;&lt;wsp:rsid wsp:val=&quot;00884438&quot;/&gt;&lt;wsp:rsid wsp:val=&quot;008845D2&quot;/&gt;&lt;wsp:rsid wsp:val=&quot;00884689&quot;/&gt;&lt;wsp:rsid wsp:val=&quot;00884986&quot;/&gt;&lt;wsp:rsid wsp:val=&quot;00884E3A&quot;/&gt;&lt;wsp:rsid wsp:val=&quot;00884F66&quot;/&gt;&lt;wsp:rsid wsp:val=&quot;00885945&quot;/&gt;&lt;wsp:rsid wsp:val=&quot;00886031&quot;/&gt;&lt;wsp:rsid wsp:val=&quot;00886287&quot;/&gt;&lt;wsp:rsid wsp:val=&quot;008865EF&quot;/&gt;&lt;wsp:rsid wsp:val=&quot;00886926&quot;/&gt;&lt;wsp:rsid wsp:val=&quot;008869CD&quot;/&gt;&lt;wsp:rsid wsp:val=&quot;00886C82&quot;/&gt;&lt;wsp:rsid wsp:val=&quot;00886CA9&quot;/&gt;&lt;wsp:rsid wsp:val=&quot;00886F3F&quot;/&gt;&lt;wsp:rsid wsp:val=&quot;00887159&quot;/&gt;&lt;wsp:rsid wsp:val=&quot;008871E3&quot;/&gt;&lt;wsp:rsid wsp:val=&quot;0088732A&quot;/&gt;&lt;wsp:rsid wsp:val=&quot;008876C3&quot;/&gt;&lt;wsp:rsid wsp:val=&quot;0088771E&quot;/&gt;&lt;wsp:rsid wsp:val=&quot;00887E0A&quot;/&gt;&lt;wsp:rsid wsp:val=&quot;00887F79&quot;/&gt;&lt;wsp:rsid wsp:val=&quot;00890178&quot;/&gt;&lt;wsp:rsid wsp:val=&quot;0089018B&quot;/&gt;&lt;wsp:rsid wsp:val=&quot;008908F5&quot;/&gt;&lt;wsp:rsid wsp:val=&quot;00890907&quot;/&gt;&lt;wsp:rsid wsp:val=&quot;00890DFA&quot;/&gt;&lt;wsp:rsid wsp:val=&quot;00890F78&quot;/&gt;&lt;wsp:rsid wsp:val=&quot;0089120C&quot;/&gt;&lt;wsp:rsid wsp:val=&quot;008912E6&quot;/&gt;&lt;wsp:rsid wsp:val=&quot;0089138D&quot;/&gt;&lt;wsp:rsid wsp:val=&quot;00891863&quot;/&gt;&lt;wsp:rsid wsp:val=&quot;00891FAF&quot;/&gt;&lt;wsp:rsid wsp:val=&quot;008925B1&quot;/&gt;&lt;wsp:rsid wsp:val=&quot;0089275F&quot;/&gt;&lt;wsp:rsid wsp:val=&quot;00892A3B&quot;/&gt;&lt;wsp:rsid wsp:val=&quot;00892CA5&quot;/&gt;&lt;wsp:rsid wsp:val=&quot;00892E00&quot;/&gt;&lt;wsp:rsid wsp:val=&quot;00892E48&quot;/&gt;&lt;wsp:rsid wsp:val=&quot;00892E84&quot;/&gt;&lt;wsp:rsid wsp:val=&quot;0089333C&quot;/&gt;&lt;wsp:rsid wsp:val=&quot;00893479&quot;/&gt;&lt;wsp:rsid wsp:val=&quot;00893902&quot;/&gt;&lt;wsp:rsid wsp:val=&quot;00893A12&quot;/&gt;&lt;wsp:rsid wsp:val=&quot;00894712&quot;/&gt;&lt;wsp:rsid wsp:val=&quot;00894888&quot;/&gt;&lt;wsp:rsid wsp:val=&quot;008949DC&quot;/&gt;&lt;wsp:rsid wsp:val=&quot;00894D38&quot;/&gt;&lt;wsp:rsid wsp:val=&quot;00894EB0&quot;/&gt;&lt;wsp:rsid wsp:val=&quot;008950DA&quot;/&gt;&lt;wsp:rsid wsp:val=&quot;00895431&quot;/&gt;&lt;wsp:rsid wsp:val=&quot;00896177&quot;/&gt;&lt;wsp:rsid wsp:val=&quot;0089699E&quot;/&gt;&lt;wsp:rsid wsp:val=&quot;00896A7F&quot;/&gt;&lt;wsp:rsid wsp:val=&quot;00897169&quot;/&gt;&lt;wsp:rsid wsp:val=&quot;00897285&quot;/&gt;&lt;wsp:rsid wsp:val=&quot;00897399&quot;/&gt;&lt;wsp:rsid wsp:val=&quot;00897681&quot;/&gt;&lt;wsp:rsid wsp:val=&quot;0089779C&quot;/&gt;&lt;wsp:rsid wsp:val=&quot;00897D80&quot;/&gt;&lt;wsp:rsid wsp:val=&quot;00897DD2&quot;/&gt;&lt;wsp:rsid wsp:val=&quot;008A0385&quot;/&gt;&lt;wsp:rsid wsp:val=&quot;008A0DCD&quot;/&gt;&lt;wsp:rsid wsp:val=&quot;008A0EDE&quot;/&gt;&lt;wsp:rsid wsp:val=&quot;008A0EE8&quot;/&gt;&lt;wsp:rsid wsp:val=&quot;008A1306&quot;/&gt;&lt;wsp:rsid wsp:val=&quot;008A14C4&quot;/&gt;&lt;wsp:rsid wsp:val=&quot;008A20A1&quot;/&gt;&lt;wsp:rsid wsp:val=&quot;008A241C&quot;/&gt;&lt;wsp:rsid wsp:val=&quot;008A247F&quot;/&gt;&lt;wsp:rsid wsp:val=&quot;008A25DF&quot;/&gt;&lt;wsp:rsid wsp:val=&quot;008A2A7F&quot;/&gt;&lt;wsp:rsid wsp:val=&quot;008A2BC2&quot;/&gt;&lt;wsp:rsid wsp:val=&quot;008A2EED&quot;/&gt;&lt;wsp:rsid wsp:val=&quot;008A3B93&quot;/&gt;&lt;wsp:rsid wsp:val=&quot;008A3C64&quot;/&gt;&lt;wsp:rsid wsp:val=&quot;008A3D0B&quot;/&gt;&lt;wsp:rsid wsp:val=&quot;008A3EBD&quot;/&gt;&lt;wsp:rsid wsp:val=&quot;008A3FE9&quot;/&gt;&lt;wsp:rsid wsp:val=&quot;008A4144&quot;/&gt;&lt;wsp:rsid wsp:val=&quot;008A4E20&quot;/&gt;&lt;wsp:rsid wsp:val=&quot;008A4EA3&quot;/&gt;&lt;wsp:rsid wsp:val=&quot;008A5893&quot;/&gt;&lt;wsp:rsid wsp:val=&quot;008A5F7B&quot;/&gt;&lt;wsp:rsid wsp:val=&quot;008A6419&quot;/&gt;&lt;wsp:rsid wsp:val=&quot;008A6E62&quot;/&gt;&lt;wsp:rsid wsp:val=&quot;008A7024&quot;/&gt;&lt;wsp:rsid wsp:val=&quot;008A760B&quot;/&gt;&lt;wsp:rsid wsp:val=&quot;008A7E5B&quot;/&gt;&lt;wsp:rsid wsp:val=&quot;008A7F16&quot;/&gt;&lt;wsp:rsid wsp:val=&quot;008A7FF1&quot;/&gt;&lt;wsp:rsid wsp:val=&quot;008B03B8&quot;/&gt;&lt;wsp:rsid wsp:val=&quot;008B0AEA&quot;/&gt;&lt;wsp:rsid wsp:val=&quot;008B0CE3&quot;/&gt;&lt;wsp:rsid wsp:val=&quot;008B0CFB&quot;/&gt;&lt;wsp:rsid wsp:val=&quot;008B0D74&quot;/&gt;&lt;wsp:rsid wsp:val=&quot;008B1657&quot;/&gt;&lt;wsp:rsid wsp:val=&quot;008B167F&quot;/&gt;&lt;wsp:rsid wsp:val=&quot;008B1B1E&quot;/&gt;&lt;wsp:rsid wsp:val=&quot;008B1C53&quot;/&gt;&lt;wsp:rsid wsp:val=&quot;008B1EDF&quot;/&gt;&lt;wsp:rsid wsp:val=&quot;008B21D4&quot;/&gt;&lt;wsp:rsid wsp:val=&quot;008B22BA&quot;/&gt;&lt;wsp:rsid wsp:val=&quot;008B2A6C&quot;/&gt;&lt;wsp:rsid wsp:val=&quot;008B2C88&quot;/&gt;&lt;wsp:rsid wsp:val=&quot;008B317E&quot;/&gt;&lt;wsp:rsid wsp:val=&quot;008B3BFC&quot;/&gt;&lt;wsp:rsid wsp:val=&quot;008B417A&quot;/&gt;&lt;wsp:rsid wsp:val=&quot;008B47DF&quot;/&gt;&lt;wsp:rsid wsp:val=&quot;008B4ACB&quot;/&gt;&lt;wsp:rsid wsp:val=&quot;008B4BD6&quot;/&gt;&lt;wsp:rsid wsp:val=&quot;008B4C4F&quot;/&gt;&lt;wsp:rsid wsp:val=&quot;008B4CD5&quot;/&gt;&lt;wsp:rsid wsp:val=&quot;008B4D67&quot;/&gt;&lt;wsp:rsid wsp:val=&quot;008B513C&quot;/&gt;&lt;wsp:rsid wsp:val=&quot;008B515C&quot;/&gt;&lt;wsp:rsid wsp:val=&quot;008B544C&quot;/&gt;&lt;wsp:rsid wsp:val=&quot;008B5962&quot;/&gt;&lt;wsp:rsid wsp:val=&quot;008B62D2&quot;/&gt;&lt;wsp:rsid wsp:val=&quot;008B6326&quot;/&gt;&lt;wsp:rsid wsp:val=&quot;008B6513&quot;/&gt;&lt;wsp:rsid wsp:val=&quot;008B6CC7&quot;/&gt;&lt;wsp:rsid wsp:val=&quot;008B7083&quot;/&gt;&lt;wsp:rsid wsp:val=&quot;008B79F6&quot;/&gt;&lt;wsp:rsid wsp:val=&quot;008B7BA6&quot;/&gt;&lt;wsp:rsid wsp:val=&quot;008B7BDD&quot;/&gt;&lt;wsp:rsid wsp:val=&quot;008C004F&quot;/&gt;&lt;wsp:rsid wsp:val=&quot;008C00FA&quot;/&gt;&lt;wsp:rsid wsp:val=&quot;008C031E&quot;/&gt;&lt;wsp:rsid wsp:val=&quot;008C0496&quot;/&gt;&lt;wsp:rsid wsp:val=&quot;008C0725&quot;/&gt;&lt;wsp:rsid wsp:val=&quot;008C09C3&quot;/&gt;&lt;wsp:rsid wsp:val=&quot;008C0A2C&quot;/&gt;&lt;wsp:rsid wsp:val=&quot;008C0CD1&quot;/&gt;&lt;wsp:rsid wsp:val=&quot;008C0FCD&quot;/&gt;&lt;wsp:rsid wsp:val=&quot;008C141C&quot;/&gt;&lt;wsp:rsid wsp:val=&quot;008C178B&quot;/&gt;&lt;wsp:rsid wsp:val=&quot;008C1CEF&quot;/&gt;&lt;wsp:rsid wsp:val=&quot;008C1FB8&quot;/&gt;&lt;wsp:rsid wsp:val=&quot;008C2188&quot;/&gt;&lt;wsp:rsid wsp:val=&quot;008C28FC&quot;/&gt;&lt;wsp:rsid wsp:val=&quot;008C2B53&quot;/&gt;&lt;wsp:rsid wsp:val=&quot;008C2C5D&quot;/&gt;&lt;wsp:rsid wsp:val=&quot;008C2DF1&quot;/&gt;&lt;wsp:rsid wsp:val=&quot;008C2E09&quot;/&gt;&lt;wsp:rsid wsp:val=&quot;008C2E73&quot;/&gt;&lt;wsp:rsid wsp:val=&quot;008C2F26&quot;/&gt;&lt;wsp:rsid wsp:val=&quot;008C304E&quot;/&gt;&lt;wsp:rsid wsp:val=&quot;008C3341&quot;/&gt;&lt;wsp:rsid wsp:val=&quot;008C3B27&quot;/&gt;&lt;wsp:rsid wsp:val=&quot;008C40F4&quot;/&gt;&lt;wsp:rsid wsp:val=&quot;008C4236&quot;/&gt;&lt;wsp:rsid wsp:val=&quot;008C440D&quot;/&gt;&lt;wsp:rsid wsp:val=&quot;008C45EB&quot;/&gt;&lt;wsp:rsid wsp:val=&quot;008C4AA7&quot;/&gt;&lt;wsp:rsid wsp:val=&quot;008C5370&quot;/&gt;&lt;wsp:rsid wsp:val=&quot;008C53E6&quot;/&gt;&lt;wsp:rsid wsp:val=&quot;008C61E8&quot;/&gt;&lt;wsp:rsid wsp:val=&quot;008C65D8&quot;/&gt;&lt;wsp:rsid wsp:val=&quot;008C6723&quot;/&gt;&lt;wsp:rsid wsp:val=&quot;008C69F0&quot;/&gt;&lt;wsp:rsid wsp:val=&quot;008C6F58&quot;/&gt;&lt;wsp:rsid wsp:val=&quot;008C71C6&quot;/&gt;&lt;wsp:rsid wsp:val=&quot;008C7236&quot;/&gt;&lt;wsp:rsid wsp:val=&quot;008C7457&quot;/&gt;&lt;wsp:rsid wsp:val=&quot;008C765C&quot;/&gt;&lt;wsp:rsid wsp:val=&quot;008C7731&quot;/&gt;&lt;wsp:rsid wsp:val=&quot;008C77E4&quot;/&gt;&lt;wsp:rsid wsp:val=&quot;008C7A0B&quot;/&gt;&lt;wsp:rsid wsp:val=&quot;008C7A60&quot;/&gt;&lt;wsp:rsid wsp:val=&quot;008C7B67&quot;/&gt;&lt;wsp:rsid wsp:val=&quot;008C7F15&quot;/&gt;&lt;wsp:rsid wsp:val=&quot;008D09DE&quot;/&gt;&lt;wsp:rsid wsp:val=&quot;008D0F15&quot;/&gt;&lt;wsp:rsid wsp:val=&quot;008D1621&quot;/&gt;&lt;wsp:rsid wsp:val=&quot;008D172B&quot;/&gt;&lt;wsp:rsid wsp:val=&quot;008D1BA5&quot;/&gt;&lt;wsp:rsid wsp:val=&quot;008D2C98&quot;/&gt;&lt;wsp:rsid wsp:val=&quot;008D3458&quot;/&gt;&lt;wsp:rsid wsp:val=&quot;008D345E&quot;/&gt;&lt;wsp:rsid wsp:val=&quot;008D3466&quot;/&gt;&lt;wsp:rsid wsp:val=&quot;008D3B15&quot;/&gt;&lt;wsp:rsid wsp:val=&quot;008D3B7B&quot;/&gt;&lt;wsp:rsid wsp:val=&quot;008D3C87&quot;/&gt;&lt;wsp:rsid wsp:val=&quot;008D4662&quot;/&gt;&lt;wsp:rsid wsp:val=&quot;008D46B1&quot;/&gt;&lt;wsp:rsid wsp:val=&quot;008D5085&quot;/&gt;&lt;wsp:rsid wsp:val=&quot;008D514A&quot;/&gt;&lt;wsp:rsid wsp:val=&quot;008D55C8&quot;/&gt;&lt;wsp:rsid wsp:val=&quot;008D621C&quot;/&gt;&lt;wsp:rsid wsp:val=&quot;008D656C&quot;/&gt;&lt;wsp:rsid wsp:val=&quot;008D6AB6&quot;/&gt;&lt;wsp:rsid wsp:val=&quot;008D6AEA&quot;/&gt;&lt;wsp:rsid wsp:val=&quot;008D6F9D&quot;/&gt;&lt;wsp:rsid wsp:val=&quot;008D72C8&quot;/&gt;&lt;wsp:rsid wsp:val=&quot;008D770F&quot;/&gt;&lt;wsp:rsid wsp:val=&quot;008D7967&quot;/&gt;&lt;wsp:rsid wsp:val=&quot;008D7A0C&quot;/&gt;&lt;wsp:rsid wsp:val=&quot;008D7B18&quot;/&gt;&lt;wsp:rsid wsp:val=&quot;008E0261&quot;/&gt;&lt;wsp:rsid wsp:val=&quot;008E050A&quot;/&gt;&lt;wsp:rsid wsp:val=&quot;008E06ED&quot;/&gt;&lt;wsp:rsid wsp:val=&quot;008E093D&quot;/&gt;&lt;wsp:rsid wsp:val=&quot;008E14EB&quot;/&gt;&lt;wsp:rsid wsp:val=&quot;008E15B8&quot;/&gt;&lt;wsp:rsid wsp:val=&quot;008E1948&quot;/&gt;&lt;wsp:rsid wsp:val=&quot;008E1BEC&quot;/&gt;&lt;wsp:rsid wsp:val=&quot;008E1CB1&quot;/&gt;&lt;wsp:rsid wsp:val=&quot;008E1F08&quot;/&gt;&lt;wsp:rsid wsp:val=&quot;008E2320&quot;/&gt;&lt;wsp:rsid wsp:val=&quot;008E240F&quot;/&gt;&lt;wsp:rsid wsp:val=&quot;008E2575&quot;/&gt;&lt;wsp:rsid wsp:val=&quot;008E2A9B&quot;/&gt;&lt;wsp:rsid wsp:val=&quot;008E2BD1&quot;/&gt;&lt;wsp:rsid wsp:val=&quot;008E3342&quot;/&gt;&lt;wsp:rsid wsp:val=&quot;008E3398&quot;/&gt;&lt;wsp:rsid wsp:val=&quot;008E39F4&quot;/&gt;&lt;wsp:rsid wsp:val=&quot;008E3B1C&quot;/&gt;&lt;wsp:rsid wsp:val=&quot;008E3EB2&quot;/&gt;&lt;wsp:rsid wsp:val=&quot;008E4C43&quot;/&gt;&lt;wsp:rsid wsp:val=&quot;008E52F2&quot;/&gt;&lt;wsp:rsid wsp:val=&quot;008E539B&quot;/&gt;&lt;wsp:rsid wsp:val=&quot;008E5769&quot;/&gt;&lt;wsp:rsid wsp:val=&quot;008E58ED&quot;/&gt;&lt;wsp:rsid wsp:val=&quot;008E5B55&quot;/&gt;&lt;wsp:rsid wsp:val=&quot;008E5BD6&quot;/&gt;&lt;wsp:rsid wsp:val=&quot;008E5F0C&quot;/&gt;&lt;wsp:rsid wsp:val=&quot;008E6158&quot;/&gt;&lt;wsp:rsid wsp:val=&quot;008E62F9&quot;/&gt;&lt;wsp:rsid wsp:val=&quot;008E6605&quot;/&gt;&lt;wsp:rsid wsp:val=&quot;008E673A&quot;/&gt;&lt;wsp:rsid wsp:val=&quot;008E67E1&quot;/&gt;&lt;wsp:rsid wsp:val=&quot;008E6921&quot;/&gt;&lt;wsp:rsid wsp:val=&quot;008E6AEC&quot;/&gt;&lt;wsp:rsid wsp:val=&quot;008E6BFD&quot;/&gt;&lt;wsp:rsid wsp:val=&quot;008E6CBC&quot;/&gt;&lt;wsp:rsid wsp:val=&quot;008E6F19&quot;/&gt;&lt;wsp:rsid wsp:val=&quot;008E79A0&quot;/&gt;&lt;wsp:rsid wsp:val=&quot;008E7DAA&quot;/&gt;&lt;wsp:rsid wsp:val=&quot;008F0505&quot;/&gt;&lt;wsp:rsid wsp:val=&quot;008F0771&quot;/&gt;&lt;wsp:rsid wsp:val=&quot;008F0966&quot;/&gt;&lt;wsp:rsid wsp:val=&quot;008F0E42&quot;/&gt;&lt;wsp:rsid wsp:val=&quot;008F0E74&quot;/&gt;&lt;wsp:rsid wsp:val=&quot;008F1131&quot;/&gt;&lt;wsp:rsid wsp:val=&quot;008F195C&quot;/&gt;&lt;wsp:rsid wsp:val=&quot;008F1A00&quot;/&gt;&lt;wsp:rsid wsp:val=&quot;008F1AD7&quot;/&gt;&lt;wsp:rsid wsp:val=&quot;008F22D5&quot;/&gt;&lt;wsp:rsid wsp:val=&quot;008F23C5&quot;/&gt;&lt;wsp:rsid wsp:val=&quot;008F26C8&quot;/&gt;&lt;wsp:rsid wsp:val=&quot;008F29EB&quot;/&gt;&lt;wsp:rsid wsp:val=&quot;008F2DDD&quot;/&gt;&lt;wsp:rsid wsp:val=&quot;008F30D9&quot;/&gt;&lt;wsp:rsid wsp:val=&quot;008F359F&quot;/&gt;&lt;wsp:rsid wsp:val=&quot;008F37EC&quot;/&gt;&lt;wsp:rsid wsp:val=&quot;008F3CF8&quot;/&gt;&lt;wsp:rsid wsp:val=&quot;008F3D5C&quot;/&gt;&lt;wsp:rsid wsp:val=&quot;008F3F23&quot;/&gt;&lt;wsp:rsid wsp:val=&quot;008F3F37&quot;/&gt;&lt;wsp:rsid wsp:val=&quot;008F46EB&quot;/&gt;&lt;wsp:rsid wsp:val=&quot;008F4BD8&quot;/&gt;&lt;wsp:rsid wsp:val=&quot;008F4D67&quot;/&gt;&lt;wsp:rsid wsp:val=&quot;008F4E9C&quot;/&gt;&lt;wsp:rsid wsp:val=&quot;008F514D&quot;/&gt;&lt;wsp:rsid wsp:val=&quot;008F546D&quot;/&gt;&lt;wsp:rsid wsp:val=&quot;008F5489&quot;/&gt;&lt;wsp:rsid wsp:val=&quot;008F5BE4&quot;/&gt;&lt;wsp:rsid wsp:val=&quot;008F5C1E&quot;/&gt;&lt;wsp:rsid wsp:val=&quot;008F5C8A&quot;/&gt;&lt;wsp:rsid wsp:val=&quot;008F601F&quot;/&gt;&lt;wsp:rsid wsp:val=&quot;008F6099&quot;/&gt;&lt;wsp:rsid wsp:val=&quot;008F618B&quot;/&gt;&lt;wsp:rsid wsp:val=&quot;008F667B&quot;/&gt;&lt;wsp:rsid wsp:val=&quot;008F6C87&quot;/&gt;&lt;wsp:rsid wsp:val=&quot;008F70CD&quot;/&gt;&lt;wsp:rsid wsp:val=&quot;008F7C27&quot;/&gt;&lt;wsp:rsid wsp:val=&quot;00900513&quot;/&gt;&lt;wsp:rsid wsp:val=&quot;00900E61&quot;/&gt;&lt;wsp:rsid wsp:val=&quot;0090117A&quot;/&gt;&lt;wsp:rsid wsp:val=&quot;0090154D&quot;/&gt;&lt;wsp:rsid wsp:val=&quot;00901580&quot;/&gt;&lt;wsp:rsid wsp:val=&quot;0090189D&quot;/&gt;&lt;wsp:rsid wsp:val=&quot;0090293D&quot;/&gt;&lt;wsp:rsid wsp:val=&quot;00902AC5&quot;/&gt;&lt;wsp:rsid wsp:val=&quot;00902C25&quot;/&gt;&lt;wsp:rsid wsp:val=&quot;0090300A&quot;/&gt;&lt;wsp:rsid wsp:val=&quot;00903216&quot;/&gt;&lt;wsp:rsid wsp:val=&quot;00903272&quot;/&gt;&lt;wsp:rsid wsp:val=&quot;00903532&quot;/&gt;&lt;wsp:rsid wsp:val=&quot;00903794&quot;/&gt;&lt;wsp:rsid wsp:val=&quot;00904FBC&quot;/&gt;&lt;wsp:rsid wsp:val=&quot;009055EB&quot;/&gt;&lt;wsp:rsid wsp:val=&quot;00905B69&quot;/&gt;&lt;wsp:rsid wsp:val=&quot;009060A8&quot;/&gt;&lt;wsp:rsid wsp:val=&quot;00906853&quot;/&gt;&lt;wsp:rsid wsp:val=&quot;00906856&quot;/&gt;&lt;wsp:rsid wsp:val=&quot;00906864&quot;/&gt;&lt;wsp:rsid wsp:val=&quot;00906A15&quot;/&gt;&lt;wsp:rsid wsp:val=&quot;00906ABF&quot;/&gt;&lt;wsp:rsid wsp:val=&quot;00906C11&quot;/&gt;&lt;wsp:rsid wsp:val=&quot;009071AE&quot;/&gt;&lt;wsp:rsid wsp:val=&quot;0090749D&quot;/&gt;&lt;wsp:rsid wsp:val=&quot;00907596&quot;/&gt;&lt;wsp:rsid wsp:val=&quot;0090764B&quot;/&gt;&lt;wsp:rsid wsp:val=&quot;009076CB&quot;/&gt;&lt;wsp:rsid wsp:val=&quot;009078AF&quot;/&gt;&lt;wsp:rsid wsp:val=&quot;00907EB1&quot;/&gt;&lt;wsp:rsid wsp:val=&quot;00907EEC&quot;/&gt;&lt;wsp:rsid wsp:val=&quot;009102C4&quot;/&gt;&lt;wsp:rsid wsp:val=&quot;00910BA2&quot;/&gt;&lt;wsp:rsid wsp:val=&quot;00910D04&quot;/&gt;&lt;wsp:rsid wsp:val=&quot;00910F7B&quot;/&gt;&lt;wsp:rsid wsp:val=&quot;009115C8&quot;/&gt;&lt;wsp:rsid wsp:val=&quot;00911733&quot;/&gt;&lt;wsp:rsid wsp:val=&quot;0091179B&quot;/&gt;&lt;wsp:rsid wsp:val=&quot;0091257C&quot;/&gt;&lt;wsp:rsid wsp:val=&quot;0091271F&quot;/&gt;&lt;wsp:rsid wsp:val=&quot;00912CE0&quot;/&gt;&lt;wsp:rsid wsp:val=&quot;00912DD2&quot;/&gt;&lt;wsp:rsid wsp:val=&quot;00912F07&quot;/&gt;&lt;wsp:rsid wsp:val=&quot;00912F87&quot;/&gt;&lt;wsp:rsid wsp:val=&quot;009132AA&quot;/&gt;&lt;wsp:rsid wsp:val=&quot;009135E5&quot;/&gt;&lt;wsp:rsid wsp:val=&quot;00913717&quot;/&gt;&lt;wsp:rsid wsp:val=&quot;00913790&quot;/&gt;&lt;wsp:rsid wsp:val=&quot;00913C7F&quot;/&gt;&lt;wsp:rsid wsp:val=&quot;00913D47&quot;/&gt;&lt;wsp:rsid wsp:val=&quot;00913E9D&quot;/&gt;&lt;wsp:rsid wsp:val=&quot;009143DF&quot;/&gt;&lt;wsp:rsid wsp:val=&quot;00914437&quot;/&gt;&lt;wsp:rsid wsp:val=&quot;009147CE&quot;/&gt;&lt;wsp:rsid wsp:val=&quot;00914AB9&quot;/&gt;&lt;wsp:rsid wsp:val=&quot;00914F69&quot;/&gt;&lt;wsp:rsid wsp:val=&quot;009157B4&quot;/&gt;&lt;wsp:rsid wsp:val=&quot;0091624C&quot;/&gt;&lt;wsp:rsid wsp:val=&quot;00916658&quot;/&gt;&lt;wsp:rsid wsp:val=&quot;00916E5A&quot;/&gt;&lt;wsp:rsid wsp:val=&quot;00917177&quot;/&gt;&lt;wsp:rsid wsp:val=&quot;009175C8&quot;/&gt;&lt;wsp:rsid wsp:val=&quot;00917B3B&quot;/&gt;&lt;wsp:rsid wsp:val=&quot;0092006C&quot;/&gt;&lt;wsp:rsid wsp:val=&quot;00920473&quot;/&gt;&lt;wsp:rsid wsp:val=&quot;0092088B&quot;/&gt;&lt;wsp:rsid wsp:val=&quot;00920AD2&quot;/&gt;&lt;wsp:rsid wsp:val=&quot;00920FA4&quot;/&gt;&lt;wsp:rsid wsp:val=&quot;0092109F&quot;/&gt;&lt;wsp:rsid wsp:val=&quot;00921510&quot;/&gt;&lt;wsp:rsid wsp:val=&quot;0092193B&quot;/&gt;&lt;wsp:rsid wsp:val=&quot;009219D3&quot;/&gt;&lt;wsp:rsid wsp:val=&quot;00921D32&quot;/&gt;&lt;wsp:rsid wsp:val=&quot;0092209F&quot;/&gt;&lt;wsp:rsid wsp:val=&quot;00922279&quot;/&gt;&lt;wsp:rsid wsp:val=&quot;00922548&quot;/&gt;&lt;wsp:rsid wsp:val=&quot;0092254B&quot;/&gt;&lt;wsp:rsid wsp:val=&quot;00922B18&quot;/&gt;&lt;wsp:rsid wsp:val=&quot;00923118&quot;/&gt;&lt;wsp:rsid wsp:val=&quot;009236E3&quot;/&gt;&lt;wsp:rsid wsp:val=&quot;00923A43&quot;/&gt;&lt;wsp:rsid wsp:val=&quot;00923AE0&quot;/&gt;&lt;wsp:rsid wsp:val=&quot;00923BC3&quot;/&gt;&lt;wsp:rsid wsp:val=&quot;00923E43&quot;/&gt;&lt;wsp:rsid wsp:val=&quot;00923F54&quot;/&gt;&lt;wsp:rsid wsp:val=&quot;00924E02&quot;/&gt;&lt;wsp:rsid wsp:val=&quot;00924E30&quot;/&gt;&lt;wsp:rsid wsp:val=&quot;009251D0&quot;/&gt;&lt;wsp:rsid wsp:val=&quot;00925774&quot;/&gt;&lt;wsp:rsid wsp:val=&quot;00925821&quot;/&gt;&lt;wsp:rsid wsp:val=&quot;00925FF3&quot;/&gt;&lt;wsp:rsid wsp:val=&quot;00926802&quot;/&gt;&lt;wsp:rsid wsp:val=&quot;009269F5&quot;/&gt;&lt;wsp:rsid wsp:val=&quot;00927BAA&quot;/&gt;&lt;wsp:rsid wsp:val=&quot;00927CCF&quot;/&gt;&lt;wsp:rsid wsp:val=&quot;00927DB4&quot;/&gt;&lt;wsp:rsid wsp:val=&quot;00927F77&quot;/&gt;&lt;wsp:rsid wsp:val=&quot;00927FEB&quot;/&gt;&lt;wsp:rsid wsp:val=&quot;009304F1&quot;/&gt;&lt;wsp:rsid wsp:val=&quot;00930641&quot;/&gt;&lt;wsp:rsid wsp:val=&quot;0093088D&quot;/&gt;&lt;wsp:rsid wsp:val=&quot;00930C11&quot;/&gt;&lt;wsp:rsid wsp:val=&quot;00930D0B&quot;/&gt;&lt;wsp:rsid wsp:val=&quot;00930DD3&quot;/&gt;&lt;wsp:rsid wsp:val=&quot;009313EC&quot;/&gt;&lt;wsp:rsid wsp:val=&quot;00931554&quot;/&gt;&lt;wsp:rsid wsp:val=&quot;00931B48&quot;/&gt;&lt;wsp:rsid wsp:val=&quot;00931CE2&quot;/&gt;&lt;wsp:rsid wsp:val=&quot;0093200C&quot;/&gt;&lt;wsp:rsid wsp:val=&quot;009325ED&quot;/&gt;&lt;wsp:rsid wsp:val=&quot;0093275E&quot;/&gt;&lt;wsp:rsid wsp:val=&quot;0093287D&quot;/&gt;&lt;wsp:rsid wsp:val=&quot;00932D4D&quot;/&gt;&lt;wsp:rsid wsp:val=&quot;00932DE2&quot;/&gt;&lt;wsp:rsid wsp:val=&quot;00932E21&quot;/&gt;&lt;wsp:rsid wsp:val=&quot;0093355D&quot;/&gt;&lt;wsp:rsid wsp:val=&quot;00933887&quot;/&gt;&lt;wsp:rsid wsp:val=&quot;009339E0&quot;/&gt;&lt;wsp:rsid wsp:val=&quot;00933DB8&quot;/&gt;&lt;wsp:rsid wsp:val=&quot;00933E9F&quot;/&gt;&lt;wsp:rsid wsp:val=&quot;0093457B&quot;/&gt;&lt;wsp:rsid wsp:val=&quot;00934D3B&quot;/&gt;&lt;wsp:rsid wsp:val=&quot;0093523C&quot;/&gt;&lt;wsp:rsid wsp:val=&quot;009352D1&quot;/&gt;&lt;wsp:rsid wsp:val=&quot;00935CC2&quot;/&gt;&lt;wsp:rsid wsp:val=&quot;00935D23&quot;/&gt;&lt;wsp:rsid wsp:val=&quot;0093605F&quot;/&gt;&lt;wsp:rsid wsp:val=&quot;009360C9&quot;/&gt;&lt;wsp:rsid wsp:val=&quot;00936545&quot;/&gt;&lt;wsp:rsid wsp:val=&quot;00936D64&quot;/&gt;&lt;wsp:rsid wsp:val=&quot;00936F3A&quot;/&gt;&lt;wsp:rsid wsp:val=&quot;00936F68&quot;/&gt;&lt;wsp:rsid wsp:val=&quot;00937205&quot;/&gt;&lt;wsp:rsid wsp:val=&quot;0093729E&quot;/&gt;&lt;wsp:rsid wsp:val=&quot;009378CC&quot;/&gt;&lt;wsp:rsid wsp:val=&quot;00937B53&quot;/&gt;&lt;wsp:rsid wsp:val=&quot;00937BA2&quot;/&gt;&lt;wsp:rsid wsp:val=&quot;00940009&quot;/&gt;&lt;wsp:rsid wsp:val=&quot;009403B1&quot;/&gt;&lt;wsp:rsid wsp:val=&quot;00940992&quot;/&gt;&lt;wsp:rsid wsp:val=&quot;00940B40&quot;/&gt;&lt;wsp:rsid wsp:val=&quot;00940B47&quot;/&gt;&lt;wsp:rsid wsp:val=&quot;00940C7A&quot;/&gt;&lt;wsp:rsid wsp:val=&quot;00940E2E&quot;/&gt;&lt;wsp:rsid wsp:val=&quot;00940ECD&quot;/&gt;&lt;wsp:rsid wsp:val=&quot;00941161&quot;/&gt;&lt;wsp:rsid wsp:val=&quot;0094116E&quot;/&gt;&lt;wsp:rsid wsp:val=&quot;00941302&quot;/&gt;&lt;wsp:rsid wsp:val=&quot;0094131C&quot;/&gt;&lt;wsp:rsid wsp:val=&quot;0094136B&quot;/&gt;&lt;wsp:rsid wsp:val=&quot;00941555&quot;/&gt;&lt;wsp:rsid wsp:val=&quot;00941B19&quot;/&gt;&lt;wsp:rsid wsp:val=&quot;009424BE&quot;/&gt;&lt;wsp:rsid wsp:val=&quot;009426FC&quot;/&gt;&lt;wsp:rsid wsp:val=&quot;009428F9&quot;/&gt;&lt;wsp:rsid wsp:val=&quot;00943268&quot;/&gt;&lt;wsp:rsid wsp:val=&quot;00943605&quot;/&gt;&lt;wsp:rsid wsp:val=&quot;00943812&quot;/&gt;&lt;wsp:rsid wsp:val=&quot;00943923&quot;/&gt;&lt;wsp:rsid wsp:val=&quot;00943EB7&quot;/&gt;&lt;wsp:rsid wsp:val=&quot;00943F71&quot;/&gt;&lt;wsp:rsid wsp:val=&quot;00943FBC&quot;/&gt;&lt;wsp:rsid wsp:val=&quot;009452AE&quot;/&gt;&lt;wsp:rsid wsp:val=&quot;00945548&quot;/&gt;&lt;wsp:rsid wsp:val=&quot;00945834&quot;/&gt;&lt;wsp:rsid wsp:val=&quot;009458E4&quot;/&gt;&lt;wsp:rsid wsp:val=&quot;00945A9F&quot;/&gt;&lt;wsp:rsid wsp:val=&quot;00945CDE&quot;/&gt;&lt;wsp:rsid wsp:val=&quot;00945DD4&quot;/&gt;&lt;wsp:rsid wsp:val=&quot;0094626E&quot;/&gt;&lt;wsp:rsid wsp:val=&quot;009463D7&quot;/&gt;&lt;wsp:rsid wsp:val=&quot;00946B1E&quot;/&gt;&lt;wsp:rsid wsp:val=&quot;00946EC2&quot;/&gt;&lt;wsp:rsid wsp:val=&quot;0094764A&quot;/&gt;&lt;wsp:rsid wsp:val=&quot;009479DB&quot;/&gt;&lt;wsp:rsid wsp:val=&quot;0095016A&quot;/&gt;&lt;wsp:rsid wsp:val=&quot;0095038D&quot;/&gt;&lt;wsp:rsid wsp:val=&quot;00951969&quot;/&gt;&lt;wsp:rsid wsp:val=&quot;00951BB1&quot;/&gt;&lt;wsp:rsid wsp:val=&quot;00951ED8&quot;/&gt;&lt;wsp:rsid wsp:val=&quot;009524C6&quot;/&gt;&lt;wsp:rsid wsp:val=&quot;009527FE&quot;/&gt;&lt;wsp:rsid wsp:val=&quot;00952805&quot;/&gt;&lt;wsp:rsid wsp:val=&quot;00952C7D&quot;/&gt;&lt;wsp:rsid wsp:val=&quot;00952ED4&quot;/&gt;&lt;wsp:rsid wsp:val=&quot;00953062&quot;/&gt;&lt;wsp:rsid wsp:val=&quot;00953263&quot;/&gt;&lt;wsp:rsid wsp:val=&quot;00953AFF&quot;/&gt;&lt;wsp:rsid wsp:val=&quot;00953BA1&quot;/&gt;&lt;wsp:rsid wsp:val=&quot;00953E7D&quot;/&gt;&lt;wsp:rsid wsp:val=&quot;00953FA0&quot;/&gt;&lt;wsp:rsid wsp:val=&quot;00954233&quot;/&gt;&lt;wsp:rsid wsp:val=&quot;00954283&quot;/&gt;&lt;wsp:rsid wsp:val=&quot;0095446D&quot;/&gt;&lt;wsp:rsid wsp:val=&quot;0095452A&quot;/&gt;&lt;wsp:rsid wsp:val=&quot;0095460C&quot;/&gt;&lt;wsp:rsid wsp:val=&quot;0095480E&quot;/&gt;&lt;wsp:rsid wsp:val=&quot;00954BAD&quot;/&gt;&lt;wsp:rsid wsp:val=&quot;00954E91&quot;/&gt;&lt;wsp:rsid wsp:val=&quot;009550C2&quot;/&gt;&lt;wsp:rsid wsp:val=&quot;0095533C&quot;/&gt;&lt;wsp:rsid wsp:val=&quot;009557A8&quot;/&gt;&lt;wsp:rsid wsp:val=&quot;00955DE6&quot;/&gt;&lt;wsp:rsid wsp:val=&quot;00955DF3&quot;/&gt;&lt;wsp:rsid wsp:val=&quot;00955DFE&quot;/&gt;&lt;wsp:rsid wsp:val=&quot;00955F0C&quot;/&gt;&lt;wsp:rsid wsp:val=&quot;009560F5&quot;/&gt;&lt;wsp:rsid wsp:val=&quot;00956C7D&quot;/&gt;&lt;wsp:rsid wsp:val=&quot;00956CDB&quot;/&gt;&lt;wsp:rsid wsp:val=&quot;0095730C&quot;/&gt;&lt;wsp:rsid wsp:val=&quot;00957695&quot;/&gt;&lt;wsp:rsid wsp:val=&quot;009576DE&quot;/&gt;&lt;wsp:rsid wsp:val=&quot;00957CC0&quot;/&gt;&lt;wsp:rsid wsp:val=&quot;00957D47&quot;/&gt;&lt;wsp:rsid wsp:val=&quot;00957EC5&quot;/&gt;&lt;wsp:rsid wsp:val=&quot;00960237&quot;/&gt;&lt;wsp:rsid wsp:val=&quot;0096032B&quot;/&gt;&lt;wsp:rsid wsp:val=&quot;009606AB&quot;/&gt;&lt;wsp:rsid wsp:val=&quot;009609B8&quot;/&gt;&lt;wsp:rsid wsp:val=&quot;00960A1B&quot;/&gt;&lt;wsp:rsid wsp:val=&quot;00960A5B&quot;/&gt;&lt;wsp:rsid wsp:val=&quot;00960DD3&quot;/&gt;&lt;wsp:rsid wsp:val=&quot;00960DF8&quot;/&gt;&lt;wsp:rsid wsp:val=&quot;00960F40&quot;/&gt;&lt;wsp:rsid wsp:val=&quot;00960FA4&quot;/&gt;&lt;wsp:rsid wsp:val=&quot;00961315&quot;/&gt;&lt;wsp:rsid wsp:val=&quot;0096148D&quot;/&gt;&lt;wsp:rsid wsp:val=&quot;00962566&quot;/&gt;&lt;wsp:rsid wsp:val=&quot;00962DEC&quot;/&gt;&lt;wsp:rsid wsp:val=&quot;0096305B&quot;/&gt;&lt;wsp:rsid wsp:val=&quot;00963321&quot;/&gt;&lt;wsp:rsid wsp:val=&quot;0096374E&quot;/&gt;&lt;wsp:rsid wsp:val=&quot;0096384C&quot;/&gt;&lt;wsp:rsid wsp:val=&quot;00963990&quot;/&gt;&lt;wsp:rsid wsp:val=&quot;00963F3E&quot;/&gt;&lt;wsp:rsid wsp:val=&quot;00963FB5&quot;/&gt;&lt;wsp:rsid wsp:val=&quot;00964615&quot;/&gt;&lt;wsp:rsid wsp:val=&quot;00964654&quot;/&gt;&lt;wsp:rsid wsp:val=&quot;009648C7&quot;/&gt;&lt;wsp:rsid wsp:val=&quot;00964F94&quot;/&gt;&lt;wsp:rsid wsp:val=&quot;009655CE&quot;/&gt;&lt;wsp:rsid wsp:val=&quot;00965D54&quot;/&gt;&lt;wsp:rsid wsp:val=&quot;009662CE&quot;/&gt;&lt;wsp:rsid wsp:val=&quot;00966480&quot;/&gt;&lt;wsp:rsid wsp:val=&quot;009667B5&quot;/&gt;&lt;wsp:rsid wsp:val=&quot;0096690C&quot;/&gt;&lt;wsp:rsid wsp:val=&quot;00966956&quot;/&gt;&lt;wsp:rsid wsp:val=&quot;00966A9F&quot;/&gt;&lt;wsp:rsid wsp:val=&quot;0096711A&quot;/&gt;&lt;wsp:rsid wsp:val=&quot;00967304&quot;/&gt;&lt;wsp:rsid wsp:val=&quot;00967551&quot;/&gt;&lt;wsp:rsid wsp:val=&quot;009675E9&quot;/&gt;&lt;wsp:rsid wsp:val=&quot;009677A1&quot;/&gt;&lt;wsp:rsid wsp:val=&quot;00970D50&quot;/&gt;&lt;wsp:rsid wsp:val=&quot;00970FEB&quot;/&gt;&lt;wsp:rsid wsp:val=&quot;00971110&quot;/&gt;&lt;wsp:rsid wsp:val=&quot;0097136E&quot;/&gt;&lt;wsp:rsid wsp:val=&quot;009713D0&quot;/&gt;&lt;wsp:rsid wsp:val=&quot;00971927&quot;/&gt;&lt;wsp:rsid wsp:val=&quot;00971969&quot;/&gt;&lt;wsp:rsid wsp:val=&quot;00971BC7&quot;/&gt;&lt;wsp:rsid wsp:val=&quot;00971C05&quot;/&gt;&lt;wsp:rsid wsp:val=&quot;00971CAA&quot;/&gt;&lt;wsp:rsid wsp:val=&quot;00972210&quot;/&gt;&lt;wsp:rsid wsp:val=&quot;0097343E&quot;/&gt;&lt;wsp:rsid wsp:val=&quot;00973AAB&quot;/&gt;&lt;wsp:rsid wsp:val=&quot;00973C00&quot;/&gt;&lt;wsp:rsid wsp:val=&quot;00973D92&quot;/&gt;&lt;wsp:rsid wsp:val=&quot;00973E53&quot;/&gt;&lt;wsp:rsid wsp:val=&quot;00974110&quot;/&gt;&lt;wsp:rsid wsp:val=&quot;009741DD&quot;/&gt;&lt;wsp:rsid wsp:val=&quot;009742E5&quot;/&gt;&lt;wsp:rsid wsp:val=&quot;00974907&quot;/&gt;&lt;wsp:rsid wsp:val=&quot;00974AE7&quot;/&gt;&lt;wsp:rsid wsp:val=&quot;0097550F&quot;/&gt;&lt;wsp:rsid wsp:val=&quot;0097594A&quot;/&gt;&lt;wsp:rsid wsp:val=&quot;009759C3&quot;/&gt;&lt;wsp:rsid wsp:val=&quot;00975A0E&quot;/&gt;&lt;wsp:rsid wsp:val=&quot;00976090&quot;/&gt;&lt;wsp:rsid wsp:val=&quot;0097735E&quot;/&gt;&lt;wsp:rsid wsp:val=&quot;0097784C&quot;/&gt;&lt;wsp:rsid wsp:val=&quot;009778A0&quot;/&gt;&lt;wsp:rsid wsp:val=&quot;00977B6E&quot;/&gt;&lt;wsp:rsid wsp:val=&quot;00977D78&quot;/&gt;&lt;wsp:rsid wsp:val=&quot;009801FA&quot;/&gt;&lt;wsp:rsid wsp:val=&quot;00980377&quot;/&gt;&lt;wsp:rsid wsp:val=&quot;00980390&quot;/&gt;&lt;wsp:rsid wsp:val=&quot;009803F5&quot;/&gt;&lt;wsp:rsid wsp:val=&quot;00980790&quot;/&gt;&lt;wsp:rsid wsp:val=&quot;00980BB9&quot;/&gt;&lt;wsp:rsid wsp:val=&quot;00980E2A&quot;/&gt;&lt;wsp:rsid wsp:val=&quot;00980EC8&quot;/&gt;&lt;wsp:rsid wsp:val=&quot;009815C2&quot;/&gt;&lt;wsp:rsid wsp:val=&quot;0098278D&quot;/&gt;&lt;wsp:rsid wsp:val=&quot;00982AC4&quot;/&gt;&lt;wsp:rsid wsp:val=&quot;0098346C&quot;/&gt;&lt;wsp:rsid wsp:val=&quot;0098353D&quot;/&gt;&lt;wsp:rsid wsp:val=&quot;009835FB&quot;/&gt;&lt;wsp:rsid wsp:val=&quot;00983797&quot;/&gt;&lt;wsp:rsid wsp:val=&quot;00983827&quot;/&gt;&lt;wsp:rsid wsp:val=&quot;0098488D&quot;/&gt;&lt;wsp:rsid wsp:val=&quot;00984A8C&quot;/&gt;&lt;wsp:rsid wsp:val=&quot;00984AAD&quot;/&gt;&lt;wsp:rsid wsp:val=&quot;00984B8B&quot;/&gt;&lt;wsp:rsid wsp:val=&quot;00984D74&quot;/&gt;&lt;wsp:rsid wsp:val=&quot;00984DD8&quot;/&gt;&lt;wsp:rsid wsp:val=&quot;0098508E&quot;/&gt;&lt;wsp:rsid wsp:val=&quot;009852F4&quot;/&gt;&lt;wsp:rsid wsp:val=&quot;009859BF&quot;/&gt;&lt;wsp:rsid wsp:val=&quot;00987163&quot;/&gt;&lt;wsp:rsid wsp:val=&quot;0098754F&quot;/&gt;&lt;wsp:rsid wsp:val=&quot;00987980&quot;/&gt;&lt;wsp:rsid wsp:val=&quot;00987E89&quot;/&gt;&lt;wsp:rsid wsp:val=&quot;00991459&quot;/&gt;&lt;wsp:rsid wsp:val=&quot;00991671&quot;/&gt;&lt;wsp:rsid wsp:val=&quot;00991782&quot;/&gt;&lt;wsp:rsid wsp:val=&quot;009917E3&quot;/&gt;&lt;wsp:rsid wsp:val=&quot;00991A13&quot;/&gt;&lt;wsp:rsid wsp:val=&quot;00991E2A&quot;/&gt;&lt;wsp:rsid wsp:val=&quot;009921AD&quot;/&gt;&lt;wsp:rsid wsp:val=&quot;009921D4&quot;/&gt;&lt;wsp:rsid wsp:val=&quot;0099278A&quot;/&gt;&lt;wsp:rsid wsp:val=&quot;00992869&quot;/&gt;&lt;wsp:rsid wsp:val=&quot;00992C3D&quot;/&gt;&lt;wsp:rsid wsp:val=&quot;00992DE3&quot;/&gt;&lt;wsp:rsid wsp:val=&quot;0099312A&quot;/&gt;&lt;wsp:rsid wsp:val=&quot;00993200&quot;/&gt;&lt;wsp:rsid wsp:val=&quot;00993249&quot;/&gt;&lt;wsp:rsid wsp:val=&quot;00993475&quot;/&gt;&lt;wsp:rsid wsp:val=&quot;00993B49&quot;/&gt;&lt;wsp:rsid wsp:val=&quot;00993BD3&quot;/&gt;&lt;wsp:rsid wsp:val=&quot;00994D3E&quot;/&gt;&lt;wsp:rsid wsp:val=&quot;009955E0&quot;/&gt;&lt;wsp:rsid wsp:val=&quot;00995611&quot;/&gt;&lt;wsp:rsid wsp:val=&quot;009957D0&quot;/&gt;&lt;wsp:rsid wsp:val=&quot;009958F6&quot;/&gt;&lt;wsp:rsid wsp:val=&quot;00995A30&quot;/&gt;&lt;wsp:rsid wsp:val=&quot;00995C78&quot;/&gt;&lt;wsp:rsid wsp:val=&quot;00995D52&quot;/&gt;&lt;wsp:rsid wsp:val=&quot;00995D62&quot;/&gt;&lt;wsp:rsid wsp:val=&quot;00995EED&quot;/&gt;&lt;wsp:rsid wsp:val=&quot;0099609C&quot;/&gt;&lt;wsp:rsid wsp:val=&quot;009967AD&quot;/&gt;&lt;wsp:rsid wsp:val=&quot;00996821&quot;/&gt;&lt;wsp:rsid wsp:val=&quot;009969C4&quot;/&gt;&lt;wsp:rsid wsp:val=&quot;00996C5E&quot;/&gt;&lt;wsp:rsid wsp:val=&quot;00996E57&quot;/&gt;&lt;wsp:rsid wsp:val=&quot;009972EB&quot;/&gt;&lt;wsp:rsid wsp:val=&quot;00997809&quot;/&gt;&lt;wsp:rsid wsp:val=&quot;009A00EF&quot;/&gt;&lt;wsp:rsid wsp:val=&quot;009A031D&quot;/&gt;&lt;wsp:rsid wsp:val=&quot;009A0546&quot;/&gt;&lt;wsp:rsid wsp:val=&quot;009A0691&quot;/&gt;&lt;wsp:rsid wsp:val=&quot;009A0AA4&quot;/&gt;&lt;wsp:rsid wsp:val=&quot;009A1202&quot;/&gt;&lt;wsp:rsid wsp:val=&quot;009A16E8&quot;/&gt;&lt;wsp:rsid wsp:val=&quot;009A170E&quot;/&gt;&lt;wsp:rsid wsp:val=&quot;009A1756&quot;/&gt;&lt;wsp:rsid wsp:val=&quot;009A179F&quot;/&gt;&lt;wsp:rsid wsp:val=&quot;009A1F5C&quot;/&gt;&lt;wsp:rsid wsp:val=&quot;009A215F&quot;/&gt;&lt;wsp:rsid wsp:val=&quot;009A24E6&quot;/&gt;&lt;wsp:rsid wsp:val=&quot;009A24F6&quot;/&gt;&lt;wsp:rsid wsp:val=&quot;009A2528&quot;/&gt;&lt;wsp:rsid wsp:val=&quot;009A261F&quot;/&gt;&lt;wsp:rsid wsp:val=&quot;009A295F&quot;/&gt;&lt;wsp:rsid wsp:val=&quot;009A2EEB&quot;/&gt;&lt;wsp:rsid wsp:val=&quot;009A3A57&quot;/&gt;&lt;wsp:rsid wsp:val=&quot;009A3CCC&quot;/&gt;&lt;wsp:rsid wsp:val=&quot;009A4396&quot;/&gt;&lt;wsp:rsid wsp:val=&quot;009A452F&quot;/&gt;&lt;wsp:rsid wsp:val=&quot;009A46B8&quot;/&gt;&lt;wsp:rsid wsp:val=&quot;009A4725&quot;/&gt;&lt;wsp:rsid wsp:val=&quot;009A4863&quot;/&gt;&lt;wsp:rsid wsp:val=&quot;009A4996&quot;/&gt;&lt;wsp:rsid wsp:val=&quot;009A4BC2&quot;/&gt;&lt;wsp:rsid wsp:val=&quot;009A4F9A&quot;/&gt;&lt;wsp:rsid wsp:val=&quot;009A5039&quot;/&gt;&lt;wsp:rsid wsp:val=&quot;009A519E&quot;/&gt;&lt;wsp:rsid wsp:val=&quot;009A5423&quot;/&gt;&lt;wsp:rsid wsp:val=&quot;009A5468&quot;/&gt;&lt;wsp:rsid wsp:val=&quot;009A57B5&quot;/&gt;&lt;wsp:rsid wsp:val=&quot;009A5B9A&quot;/&gt;&lt;wsp:rsid wsp:val=&quot;009A5E75&quot;/&gt;&lt;wsp:rsid wsp:val=&quot;009A60AE&quot;/&gt;&lt;wsp:rsid wsp:val=&quot;009A616D&quot;/&gt;&lt;wsp:rsid wsp:val=&quot;009A6712&quot;/&gt;&lt;wsp:rsid wsp:val=&quot;009A68F1&quot;/&gt;&lt;wsp:rsid wsp:val=&quot;009A6A5B&quot;/&gt;&lt;wsp:rsid wsp:val=&quot;009A6B39&quot;/&gt;&lt;wsp:rsid wsp:val=&quot;009A6D9B&quot;/&gt;&lt;wsp:rsid wsp:val=&quot;009A7078&quot;/&gt;&lt;wsp:rsid wsp:val=&quot;009A751C&quot;/&gt;&lt;wsp:rsid wsp:val=&quot;009A7768&quot;/&gt;&lt;wsp:rsid wsp:val=&quot;009A778F&quot;/&gt;&lt;wsp:rsid wsp:val=&quot;009A7BB0&quot;/&gt;&lt;wsp:rsid wsp:val=&quot;009A7BFB&quot;/&gt;&lt;wsp:rsid wsp:val=&quot;009A7C9E&quot;/&gt;&lt;wsp:rsid wsp:val=&quot;009B030A&quot;/&gt;&lt;wsp:rsid wsp:val=&quot;009B0BA0&quot;/&gt;&lt;wsp:rsid wsp:val=&quot;009B0D0E&quot;/&gt;&lt;wsp:rsid wsp:val=&quot;009B0D1C&quot;/&gt;&lt;wsp:rsid wsp:val=&quot;009B1D40&quot;/&gt;&lt;wsp:rsid wsp:val=&quot;009B2453&quot;/&gt;&lt;wsp:rsid wsp:val=&quot;009B25C0&quot;/&gt;&lt;wsp:rsid wsp:val=&quot;009B2649&quot;/&gt;&lt;wsp:rsid wsp:val=&quot;009B27CF&quot;/&gt;&lt;wsp:rsid wsp:val=&quot;009B2818&quot;/&gt;&lt;wsp:rsid wsp:val=&quot;009B2A7E&quot;/&gt;&lt;wsp:rsid wsp:val=&quot;009B2AAF&quot;/&gt;&lt;wsp:rsid wsp:val=&quot;009B2AFC&quot;/&gt;&lt;wsp:rsid wsp:val=&quot;009B2B4B&quot;/&gt;&lt;wsp:rsid wsp:val=&quot;009B2DDF&quot;/&gt;&lt;wsp:rsid wsp:val=&quot;009B3261&quot;/&gt;&lt;wsp:rsid wsp:val=&quot;009B3DE1&quot;/&gt;&lt;wsp:rsid wsp:val=&quot;009B4723&quot;/&gt;&lt;wsp:rsid wsp:val=&quot;009B4B92&quot;/&gt;&lt;wsp:rsid wsp:val=&quot;009B54B4&quot;/&gt;&lt;wsp:rsid wsp:val=&quot;009B5A4D&quot;/&gt;&lt;wsp:rsid wsp:val=&quot;009B5BB6&quot;/&gt;&lt;wsp:rsid wsp:val=&quot;009B6CDE&quot;/&gt;&lt;wsp:rsid wsp:val=&quot;009B7120&quot;/&gt;&lt;wsp:rsid wsp:val=&quot;009B79FA&quot;/&gt;&lt;wsp:rsid wsp:val=&quot;009B7A35&quot;/&gt;&lt;wsp:rsid wsp:val=&quot;009B7B82&quot;/&gt;&lt;wsp:rsid wsp:val=&quot;009B7DC2&quot;/&gt;&lt;wsp:rsid wsp:val=&quot;009C053E&quot;/&gt;&lt;wsp:rsid wsp:val=&quot;009C06B6&quot;/&gt;&lt;wsp:rsid wsp:val=&quot;009C08EA&quot;/&gt;&lt;wsp:rsid wsp:val=&quot;009C09FD&quot;/&gt;&lt;wsp:rsid wsp:val=&quot;009C0D5C&quot;/&gt;&lt;wsp:rsid wsp:val=&quot;009C1451&quot;/&gt;&lt;wsp:rsid wsp:val=&quot;009C1F4F&quot;/&gt;&lt;wsp:rsid wsp:val=&quot;009C2072&quot;/&gt;&lt;wsp:rsid wsp:val=&quot;009C23D6&quot;/&gt;&lt;wsp:rsid wsp:val=&quot;009C2722&quot;/&gt;&lt;wsp:rsid wsp:val=&quot;009C2729&quot;/&gt;&lt;wsp:rsid wsp:val=&quot;009C2784&quot;/&gt;&lt;wsp:rsid wsp:val=&quot;009C2AEA&quot;/&gt;&lt;wsp:rsid wsp:val=&quot;009C2C3F&quot;/&gt;&lt;wsp:rsid wsp:val=&quot;009C2FDD&quot;/&gt;&lt;wsp:rsid wsp:val=&quot;009C34F9&quot;/&gt;&lt;wsp:rsid wsp:val=&quot;009C35E7&quot;/&gt;&lt;wsp:rsid wsp:val=&quot;009C36E7&quot;/&gt;&lt;wsp:rsid wsp:val=&quot;009C38E9&quot;/&gt;&lt;wsp:rsid wsp:val=&quot;009C39F3&quot;/&gt;&lt;wsp:rsid wsp:val=&quot;009C3E94&quot;/&gt;&lt;wsp:rsid wsp:val=&quot;009C3FCC&quot;/&gt;&lt;wsp:rsid wsp:val=&quot;009C4BE5&quot;/&gt;&lt;wsp:rsid wsp:val=&quot;009C4ED7&quot;/&gt;&lt;wsp:rsid wsp:val=&quot;009C4F74&quot;/&gt;&lt;wsp:rsid wsp:val=&quot;009C5115&quot;/&gt;&lt;wsp:rsid wsp:val=&quot;009C517E&quot;/&gt;&lt;wsp:rsid wsp:val=&quot;009C542D&quot;/&gt;&lt;wsp:rsid wsp:val=&quot;009C57E9&quot;/&gt;&lt;wsp:rsid wsp:val=&quot;009C5B1C&quot;/&gt;&lt;wsp:rsid wsp:val=&quot;009C5BC1&quot;/&gt;&lt;wsp:rsid wsp:val=&quot;009C6835&quot;/&gt;&lt;wsp:rsid wsp:val=&quot;009C696A&quot;/&gt;&lt;wsp:rsid wsp:val=&quot;009C6BF5&quot;/&gt;&lt;wsp:rsid wsp:val=&quot;009C708E&quot;/&gt;&lt;wsp:rsid wsp:val=&quot;009C715D&quot;/&gt;&lt;wsp:rsid wsp:val=&quot;009C76B8&quot;/&gt;&lt;wsp:rsid wsp:val=&quot;009C7E16&quot;/&gt;&lt;wsp:rsid wsp:val=&quot;009C7E8B&quot;/&gt;&lt;wsp:rsid wsp:val=&quot;009C7F54&quot;/&gt;&lt;wsp:rsid wsp:val=&quot;009C7F9F&quot;/&gt;&lt;wsp:rsid wsp:val=&quot;009D04EE&quot;/&gt;&lt;wsp:rsid wsp:val=&quot;009D07C5&quot;/&gt;&lt;wsp:rsid wsp:val=&quot;009D0A80&quot;/&gt;&lt;wsp:rsid wsp:val=&quot;009D0AA1&quot;/&gt;&lt;wsp:rsid wsp:val=&quot;009D0AF6&quot;/&gt;&lt;wsp:rsid wsp:val=&quot;009D0B58&quot;/&gt;&lt;wsp:rsid wsp:val=&quot;009D0BEB&quot;/&gt;&lt;wsp:rsid wsp:val=&quot;009D11AD&quot;/&gt;&lt;wsp:rsid wsp:val=&quot;009D1479&quot;/&gt;&lt;wsp:rsid wsp:val=&quot;009D15E4&quot;/&gt;&lt;wsp:rsid wsp:val=&quot;009D162D&quot;/&gt;&lt;wsp:rsid wsp:val=&quot;009D17A0&quot;/&gt;&lt;wsp:rsid wsp:val=&quot;009D19F1&quot;/&gt;&lt;wsp:rsid wsp:val=&quot;009D2125&quot;/&gt;&lt;wsp:rsid wsp:val=&quot;009D227E&quot;/&gt;&lt;wsp:rsid wsp:val=&quot;009D23AA&quot;/&gt;&lt;wsp:rsid wsp:val=&quot;009D23C0&quot;/&gt;&lt;wsp:rsid wsp:val=&quot;009D281F&quot;/&gt;&lt;wsp:rsid wsp:val=&quot;009D298A&quot;/&gt;&lt;wsp:rsid wsp:val=&quot;009D29F0&quot;/&gt;&lt;wsp:rsid wsp:val=&quot;009D2B6B&quot;/&gt;&lt;wsp:rsid wsp:val=&quot;009D2BE3&quot;/&gt;&lt;wsp:rsid wsp:val=&quot;009D2E4A&quot;/&gt;&lt;wsp:rsid wsp:val=&quot;009D2EBB&quot;/&gt;&lt;wsp:rsid wsp:val=&quot;009D2FBB&quot;/&gt;&lt;wsp:rsid wsp:val=&quot;009D31E6&quot;/&gt;&lt;wsp:rsid wsp:val=&quot;009D35BB&quot;/&gt;&lt;wsp:rsid wsp:val=&quot;009D3A39&quot;/&gt;&lt;wsp:rsid wsp:val=&quot;009D3AE1&quot;/&gt;&lt;wsp:rsid wsp:val=&quot;009D3AF5&quot;/&gt;&lt;wsp:rsid wsp:val=&quot;009D461A&quot;/&gt;&lt;wsp:rsid wsp:val=&quot;009D56D5&quot;/&gt;&lt;wsp:rsid wsp:val=&quot;009D57B6&quot;/&gt;&lt;wsp:rsid wsp:val=&quot;009D5916&quot;/&gt;&lt;wsp:rsid wsp:val=&quot;009D5D5E&quot;/&gt;&lt;wsp:rsid wsp:val=&quot;009D6099&quot;/&gt;&lt;wsp:rsid wsp:val=&quot;009D61D7&quot;/&gt;&lt;wsp:rsid wsp:val=&quot;009D61E5&quot;/&gt;&lt;wsp:rsid wsp:val=&quot;009D6605&quot;/&gt;&lt;wsp:rsid wsp:val=&quot;009D67EA&quot;/&gt;&lt;wsp:rsid wsp:val=&quot;009D6ABA&quot;/&gt;&lt;wsp:rsid wsp:val=&quot;009D6ABF&quot;/&gt;&lt;wsp:rsid wsp:val=&quot;009D6D5A&quot;/&gt;&lt;wsp:rsid wsp:val=&quot;009D79DB&quot;/&gt;&lt;wsp:rsid wsp:val=&quot;009D7A84&quot;/&gt;&lt;wsp:rsid wsp:val=&quot;009D7AB4&quot;/&gt;&lt;wsp:rsid wsp:val=&quot;009D7D1E&quot;/&gt;&lt;wsp:rsid wsp:val=&quot;009D7FD1&quot;/&gt;&lt;wsp:rsid wsp:val=&quot;009E037F&quot;/&gt;&lt;wsp:rsid wsp:val=&quot;009E07DE&quot;/&gt;&lt;wsp:rsid wsp:val=&quot;009E0BCD&quot;/&gt;&lt;wsp:rsid wsp:val=&quot;009E0BEF&quot;/&gt;&lt;wsp:rsid wsp:val=&quot;009E0DD7&quot;/&gt;&lt;wsp:rsid wsp:val=&quot;009E0F4D&quot;/&gt;&lt;wsp:rsid wsp:val=&quot;009E0FB4&quot;/&gt;&lt;wsp:rsid wsp:val=&quot;009E1086&quot;/&gt;&lt;wsp:rsid wsp:val=&quot;009E1294&quot;/&gt;&lt;wsp:rsid wsp:val=&quot;009E19F8&quot;/&gt;&lt;wsp:rsid wsp:val=&quot;009E1C77&quot;/&gt;&lt;wsp:rsid wsp:val=&quot;009E2DEE&quot;/&gt;&lt;wsp:rsid wsp:val=&quot;009E36EB&quot;/&gt;&lt;wsp:rsid wsp:val=&quot;009E3E4C&quot;/&gt;&lt;wsp:rsid wsp:val=&quot;009E3FFF&quot;/&gt;&lt;wsp:rsid wsp:val=&quot;009E45F4&quot;/&gt;&lt;wsp:rsid wsp:val=&quot;009E4622&quot;/&gt;&lt;wsp:rsid wsp:val=&quot;009E48F5&quot;/&gt;&lt;wsp:rsid wsp:val=&quot;009E5044&quot;/&gt;&lt;wsp:rsid wsp:val=&quot;009E5060&quot;/&gt;&lt;wsp:rsid wsp:val=&quot;009E53F0&quot;/&gt;&lt;wsp:rsid wsp:val=&quot;009E53F2&quot;/&gt;&lt;wsp:rsid wsp:val=&quot;009E5666&quot;/&gt;&lt;wsp:rsid wsp:val=&quot;009E56C1&quot;/&gt;&lt;wsp:rsid wsp:val=&quot;009E591E&quot;/&gt;&lt;wsp:rsid wsp:val=&quot;009E5D87&quot;/&gt;&lt;wsp:rsid wsp:val=&quot;009E5DE0&quot;/&gt;&lt;wsp:rsid wsp:val=&quot;009E68A8&quot;/&gt;&lt;wsp:rsid wsp:val=&quot;009E6988&quot;/&gt;&lt;wsp:rsid wsp:val=&quot;009E6C73&quot;/&gt;&lt;wsp:rsid wsp:val=&quot;009E6CC9&quot;/&gt;&lt;wsp:rsid wsp:val=&quot;009E71EE&quot;/&gt;&lt;wsp:rsid wsp:val=&quot;009E7D27&quot;/&gt;&lt;wsp:rsid wsp:val=&quot;009F0DAA&quot;/&gt;&lt;wsp:rsid wsp:val=&quot;009F0E30&quot;/&gt;&lt;wsp:rsid wsp:val=&quot;009F1B40&quot;/&gt;&lt;wsp:rsid wsp:val=&quot;009F1C8A&quot;/&gt;&lt;wsp:rsid wsp:val=&quot;009F254F&quot;/&gt;&lt;wsp:rsid wsp:val=&quot;009F26F9&quot;/&gt;&lt;wsp:rsid wsp:val=&quot;009F2846&quot;/&gt;&lt;wsp:rsid wsp:val=&quot;009F2AFA&quot;/&gt;&lt;wsp:rsid wsp:val=&quot;009F2D02&quot;/&gt;&lt;wsp:rsid wsp:val=&quot;009F3060&quot;/&gt;&lt;wsp:rsid wsp:val=&quot;009F37DD&quot;/&gt;&lt;wsp:rsid wsp:val=&quot;009F3857&quot;/&gt;&lt;wsp:rsid wsp:val=&quot;009F3960&quot;/&gt;&lt;wsp:rsid wsp:val=&quot;009F3C41&quot;/&gt;&lt;wsp:rsid wsp:val=&quot;009F426A&quot;/&gt;&lt;wsp:rsid wsp:val=&quot;009F4681&quot;/&gt;&lt;wsp:rsid wsp:val=&quot;009F48C5&quot;/&gt;&lt;wsp:rsid wsp:val=&quot;009F4D8C&quot;/&gt;&lt;wsp:rsid wsp:val=&quot;009F4FFF&quot;/&gt;&lt;wsp:rsid wsp:val=&quot;009F519D&quot;/&gt;&lt;wsp:rsid wsp:val=&quot;009F5232&quot;/&gt;&lt;wsp:rsid wsp:val=&quot;009F52A3&quot;/&gt;&lt;wsp:rsid wsp:val=&quot;009F53C7&quot;/&gt;&lt;wsp:rsid wsp:val=&quot;009F56F5&quot;/&gt;&lt;wsp:rsid wsp:val=&quot;009F590B&quot;/&gt;&lt;wsp:rsid wsp:val=&quot;009F5AF6&quot;/&gt;&lt;wsp:rsid wsp:val=&quot;009F5EC0&quot;/&gt;&lt;wsp:rsid wsp:val=&quot;009F6174&quot;/&gt;&lt;wsp:rsid wsp:val=&quot;009F61F3&quot;/&gt;&lt;wsp:rsid wsp:val=&quot;009F6612&quot;/&gt;&lt;wsp:rsid wsp:val=&quot;009F66D0&quot;/&gt;&lt;wsp:rsid wsp:val=&quot;009F6BFF&quot;/&gt;&lt;wsp:rsid wsp:val=&quot;009F6C12&quot;/&gt;&lt;wsp:rsid wsp:val=&quot;009F6C6F&quot;/&gt;&lt;wsp:rsid wsp:val=&quot;009F6D60&quot;/&gt;&lt;wsp:rsid wsp:val=&quot;009F6E91&quot;/&gt;&lt;wsp:rsid wsp:val=&quot;009F7704&quot;/&gt;&lt;wsp:rsid wsp:val=&quot;009F7E7D&quot;/&gt;&lt;wsp:rsid wsp:val=&quot;00A00108&quot;/&gt;&lt;wsp:rsid wsp:val=&quot;00A0029D&quot;/&gt;&lt;wsp:rsid wsp:val=&quot;00A006E2&quot;/&gt;&lt;wsp:rsid wsp:val=&quot;00A006EE&quot;/&gt;&lt;wsp:rsid wsp:val=&quot;00A0074F&quot;/&gt;&lt;wsp:rsid wsp:val=&quot;00A00F23&quot;/&gt;&lt;wsp:rsid wsp:val=&quot;00A013C1&quot;/&gt;&lt;wsp:rsid wsp:val=&quot;00A01BB7&quot;/&gt;&lt;wsp:rsid wsp:val=&quot;00A01BBC&quot;/&gt;&lt;wsp:rsid wsp:val=&quot;00A01C6B&quot;/&gt;&lt;wsp:rsid wsp:val=&quot;00A01CBE&quot;/&gt;&lt;wsp:rsid wsp:val=&quot;00A0234B&quot;/&gt;&lt;wsp:rsid wsp:val=&quot;00A024CC&quot;/&gt;&lt;wsp:rsid wsp:val=&quot;00A02851&quot;/&gt;&lt;wsp:rsid wsp:val=&quot;00A02878&quot;/&gt;&lt;wsp:rsid wsp:val=&quot;00A02CB7&quot;/&gt;&lt;wsp:rsid wsp:val=&quot;00A0335B&quot;/&gt;&lt;wsp:rsid wsp:val=&quot;00A03B79&quot;/&gt;&lt;wsp:rsid wsp:val=&quot;00A03E14&quot;/&gt;&lt;wsp:rsid wsp:val=&quot;00A04440&quot;/&gt;&lt;wsp:rsid wsp:val=&quot;00A04E5B&quot;/&gt;&lt;wsp:rsid wsp:val=&quot;00A04F29&quot;/&gt;&lt;wsp:rsid wsp:val=&quot;00A05038&quot;/&gt;&lt;wsp:rsid wsp:val=&quot;00A0578A&quot;/&gt;&lt;wsp:rsid wsp:val=&quot;00A05925&quot;/&gt;&lt;wsp:rsid wsp:val=&quot;00A05AA3&quot;/&gt;&lt;wsp:rsid wsp:val=&quot;00A05F18&quot;/&gt;&lt;wsp:rsid wsp:val=&quot;00A06349&quot;/&gt;&lt;wsp:rsid wsp:val=&quot;00A06389&quot;/&gt;&lt;wsp:rsid wsp:val=&quot;00A063D6&quot;/&gt;&lt;wsp:rsid wsp:val=&quot;00A06AF7&quot;/&gt;&lt;wsp:rsid wsp:val=&quot;00A06C3B&quot;/&gt;&lt;wsp:rsid wsp:val=&quot;00A0705C&quot;/&gt;&lt;wsp:rsid wsp:val=&quot;00A071F0&quot;/&gt;&lt;wsp:rsid wsp:val=&quot;00A0795B&quot;/&gt;&lt;wsp:rsid wsp:val=&quot;00A07FD5&quot;/&gt;&lt;wsp:rsid wsp:val=&quot;00A10198&quot;/&gt;&lt;wsp:rsid wsp:val=&quot;00A101C2&quot;/&gt;&lt;wsp:rsid wsp:val=&quot;00A10679&quot;/&gt;&lt;wsp:rsid wsp:val=&quot;00A106EB&quot;/&gt;&lt;wsp:rsid wsp:val=&quot;00A109EE&quot;/&gt;&lt;wsp:rsid wsp:val=&quot;00A112E7&quot;/&gt;&lt;wsp:rsid wsp:val=&quot;00A11859&quot;/&gt;&lt;wsp:rsid wsp:val=&quot;00A11F40&quot;/&gt;&lt;wsp:rsid wsp:val=&quot;00A12240&quot;/&gt;&lt;wsp:rsid wsp:val=&quot;00A12640&quot;/&gt;&lt;wsp:rsid wsp:val=&quot;00A128AA&quot;/&gt;&lt;wsp:rsid wsp:val=&quot;00A12C11&quot;/&gt;&lt;wsp:rsid wsp:val=&quot;00A12C12&quot;/&gt;&lt;wsp:rsid wsp:val=&quot;00A12D6A&quot;/&gt;&lt;wsp:rsid wsp:val=&quot;00A12D7C&quot;/&gt;&lt;wsp:rsid wsp:val=&quot;00A1375D&quot;/&gt;&lt;wsp:rsid wsp:val=&quot;00A1385D&quot;/&gt;&lt;wsp:rsid wsp:val=&quot;00A13B28&quot;/&gt;&lt;wsp:rsid wsp:val=&quot;00A13D39&quot;/&gt;&lt;wsp:rsid wsp:val=&quot;00A13F73&quot;/&gt;&lt;wsp:rsid wsp:val=&quot;00A13F82&quot;/&gt;&lt;wsp:rsid wsp:val=&quot;00A13FED&quot;/&gt;&lt;wsp:rsid wsp:val=&quot;00A14252&quot;/&gt;&lt;wsp:rsid wsp:val=&quot;00A148D1&quot;/&gt;&lt;wsp:rsid wsp:val=&quot;00A148FB&quot;/&gt;&lt;wsp:rsid wsp:val=&quot;00A14FE7&quot;/&gt;&lt;wsp:rsid wsp:val=&quot;00A150D5&quot;/&gt;&lt;wsp:rsid wsp:val=&quot;00A15168&quot;/&gt;&lt;wsp:rsid wsp:val=&quot;00A1543F&quot;/&gt;&lt;wsp:rsid wsp:val=&quot;00A15572&quot;/&gt;&lt;wsp:rsid wsp:val=&quot;00A15783&quot;/&gt;&lt;wsp:rsid wsp:val=&quot;00A15C97&quot;/&gt;&lt;wsp:rsid wsp:val=&quot;00A15CBA&quot;/&gt;&lt;wsp:rsid wsp:val=&quot;00A16141&quot;/&gt;&lt;wsp:rsid wsp:val=&quot;00A166D0&quot;/&gt;&lt;wsp:rsid wsp:val=&quot;00A16A35&quot;/&gt;&lt;wsp:rsid wsp:val=&quot;00A1722D&quot;/&gt;&lt;wsp:rsid wsp:val=&quot;00A1763E&quot;/&gt;&lt;wsp:rsid wsp:val=&quot;00A17B2D&quot;/&gt;&lt;wsp:rsid wsp:val=&quot;00A17C35&quot;/&gt;&lt;wsp:rsid wsp:val=&quot;00A17D80&quot;/&gt;&lt;wsp:rsid wsp:val=&quot;00A17DDB&quot;/&gt;&lt;wsp:rsid wsp:val=&quot;00A17E93&quot;/&gt;&lt;wsp:rsid wsp:val=&quot;00A17FD5&quot;/&gt;&lt;wsp:rsid wsp:val=&quot;00A20378&quot;/&gt;&lt;wsp:rsid wsp:val=&quot;00A209EA&quot;/&gt;&lt;wsp:rsid wsp:val=&quot;00A20D10&quot;/&gt;&lt;wsp:rsid wsp:val=&quot;00A20E6C&quot;/&gt;&lt;wsp:rsid wsp:val=&quot;00A20F11&quot;/&gt;&lt;wsp:rsid wsp:val=&quot;00A21ABD&quot;/&gt;&lt;wsp:rsid wsp:val=&quot;00A21BFA&quot;/&gt;&lt;wsp:rsid wsp:val=&quot;00A21CE4&quot;/&gt;&lt;wsp:rsid wsp:val=&quot;00A2207C&quot;/&gt;&lt;wsp:rsid wsp:val=&quot;00A22137&quot;/&gt;&lt;wsp:rsid wsp:val=&quot;00A226FC&quot;/&gt;&lt;wsp:rsid wsp:val=&quot;00A226FF&quot;/&gt;&lt;wsp:rsid wsp:val=&quot;00A2291F&quot;/&gt;&lt;wsp:rsid wsp:val=&quot;00A22E0D&quot;/&gt;&lt;wsp:rsid wsp:val=&quot;00A22F42&quot;/&gt;&lt;wsp:rsid wsp:val=&quot;00A23506&quot;/&gt;&lt;wsp:rsid wsp:val=&quot;00A23648&quot;/&gt;&lt;wsp:rsid wsp:val=&quot;00A23994&quot;/&gt;&lt;wsp:rsid wsp:val=&quot;00A23B5E&quot;/&gt;&lt;wsp:rsid wsp:val=&quot;00A24233&quot;/&gt;&lt;wsp:rsid wsp:val=&quot;00A24248&quot;/&gt;&lt;wsp:rsid wsp:val=&quot;00A24A2D&quot;/&gt;&lt;wsp:rsid wsp:val=&quot;00A252E7&quot;/&gt;&lt;wsp:rsid wsp:val=&quot;00A2593E&quot;/&gt;&lt;wsp:rsid wsp:val=&quot;00A261A7&quot;/&gt;&lt;wsp:rsid wsp:val=&quot;00A262EE&quot;/&gt;&lt;wsp:rsid wsp:val=&quot;00A270A3&quot;/&gt;&lt;wsp:rsid wsp:val=&quot;00A27218&quot;/&gt;&lt;wsp:rsid wsp:val=&quot;00A272C0&quot;/&gt;&lt;wsp:rsid wsp:val=&quot;00A27335&quot;/&gt;&lt;wsp:rsid wsp:val=&quot;00A27758&quot;/&gt;&lt;wsp:rsid wsp:val=&quot;00A27EF4&quot;/&gt;&lt;wsp:rsid wsp:val=&quot;00A27F1E&quot;/&gt;&lt;wsp:rsid wsp:val=&quot;00A30022&quot;/&gt;&lt;wsp:rsid wsp:val=&quot;00A30405&quot;/&gt;&lt;wsp:rsid wsp:val=&quot;00A30473&quot;/&gt;&lt;wsp:rsid wsp:val=&quot;00A304F6&quot;/&gt;&lt;wsp:rsid wsp:val=&quot;00A30940&quot;/&gt;&lt;wsp:rsid wsp:val=&quot;00A30C79&quot;/&gt;&lt;wsp:rsid wsp:val=&quot;00A30CD9&quot;/&gt;&lt;wsp:rsid wsp:val=&quot;00A30D84&quot;/&gt;&lt;wsp:rsid wsp:val=&quot;00A310F8&quot;/&gt;&lt;wsp:rsid wsp:val=&quot;00A31154&quot;/&gt;&lt;wsp:rsid wsp:val=&quot;00A3124A&quot;/&gt;&lt;wsp:rsid wsp:val=&quot;00A31811&quot;/&gt;&lt;wsp:rsid wsp:val=&quot;00A31CD5&quot;/&gt;&lt;wsp:rsid wsp:val=&quot;00A32633&quot;/&gt;&lt;wsp:rsid wsp:val=&quot;00A32EF9&quot;/&gt;&lt;wsp:rsid wsp:val=&quot;00A3384E&quot;/&gt;&lt;wsp:rsid wsp:val=&quot;00A33D51&quot;/&gt;&lt;wsp:rsid wsp:val=&quot;00A33EAA&quot;/&gt;&lt;wsp:rsid wsp:val=&quot;00A34099&quot;/&gt;&lt;wsp:rsid wsp:val=&quot;00A343F7&quot;/&gt;&lt;wsp:rsid wsp:val=&quot;00A34488&quot;/&gt;&lt;wsp:rsid wsp:val=&quot;00A34787&quot;/&gt;&lt;wsp:rsid wsp:val=&quot;00A3483B&quot;/&gt;&lt;wsp:rsid wsp:val=&quot;00A348E8&quot;/&gt;&lt;wsp:rsid wsp:val=&quot;00A34919&quot;/&gt;&lt;wsp:rsid wsp:val=&quot;00A34AB2&quot;/&gt;&lt;wsp:rsid wsp:val=&quot;00A3521D&quot;/&gt;&lt;wsp:rsid wsp:val=&quot;00A352D6&quot;/&gt;&lt;wsp:rsid wsp:val=&quot;00A35655&quot;/&gt;&lt;wsp:rsid wsp:val=&quot;00A35DA5&quot;/&gt;&lt;wsp:rsid wsp:val=&quot;00A3602A&quot;/&gt;&lt;wsp:rsid wsp:val=&quot;00A3612D&quot;/&gt;&lt;wsp:rsid wsp:val=&quot;00A3687D&quot;/&gt;&lt;wsp:rsid wsp:val=&quot;00A36911&quot;/&gt;&lt;wsp:rsid wsp:val=&quot;00A36FC7&quot;/&gt;&lt;wsp:rsid wsp:val=&quot;00A375E3&quot;/&gt;&lt;wsp:rsid wsp:val=&quot;00A37CCC&quot;/&gt;&lt;wsp:rsid wsp:val=&quot;00A37D0D&quot;/&gt;&lt;wsp:rsid wsp:val=&quot;00A40248&quot;/&gt;&lt;wsp:rsid wsp:val=&quot;00A40A2D&quot;/&gt;&lt;wsp:rsid wsp:val=&quot;00A40C6F&quot;/&gt;&lt;wsp:rsid wsp:val=&quot;00A40F5C&quot;/&gt;&lt;wsp:rsid wsp:val=&quot;00A41847&quot;/&gt;&lt;wsp:rsid wsp:val=&quot;00A41B59&quot;/&gt;&lt;wsp:rsid wsp:val=&quot;00A41EEF&quot;/&gt;&lt;wsp:rsid wsp:val=&quot;00A4240B&quot;/&gt;&lt;wsp:rsid wsp:val=&quot;00A4252A&quot;/&gt;&lt;wsp:rsid wsp:val=&quot;00A429A0&quot;/&gt;&lt;wsp:rsid wsp:val=&quot;00A43176&quot;/&gt;&lt;wsp:rsid wsp:val=&quot;00A43177&quot;/&gt;&lt;wsp:rsid wsp:val=&quot;00A43326&quot;/&gt;&lt;wsp:rsid wsp:val=&quot;00A43637&quot;/&gt;&lt;wsp:rsid wsp:val=&quot;00A4383F&quot;/&gt;&lt;wsp:rsid wsp:val=&quot;00A43F6D&quot;/&gt;&lt;wsp:rsid wsp:val=&quot;00A442DB&quot;/&gt;&lt;wsp:rsid wsp:val=&quot;00A44F49&quot;/&gt;&lt;wsp:rsid wsp:val=&quot;00A465D5&quot;/&gt;&lt;wsp:rsid wsp:val=&quot;00A47257&quot;/&gt;&lt;wsp:rsid wsp:val=&quot;00A4729B&quot;/&gt;&lt;wsp:rsid wsp:val=&quot;00A4778F&quot;/&gt;&lt;wsp:rsid wsp:val=&quot;00A47AEC&quot;/&gt;&lt;wsp:rsid wsp:val=&quot;00A47F2C&quot;/&gt;&lt;wsp:rsid wsp:val=&quot;00A50056&quot;/&gt;&lt;wsp:rsid wsp:val=&quot;00A5053E&quot;/&gt;&lt;wsp:rsid wsp:val=&quot;00A50D97&quot;/&gt;&lt;wsp:rsid wsp:val=&quot;00A51313&quot;/&gt;&lt;wsp:rsid wsp:val=&quot;00A513B8&quot;/&gt;&lt;wsp:rsid wsp:val=&quot;00A51795&quot;/&gt;&lt;wsp:rsid wsp:val=&quot;00A51870&quot;/&gt;&lt;wsp:rsid wsp:val=&quot;00A518ED&quot;/&gt;&lt;wsp:rsid wsp:val=&quot;00A51CA5&quot;/&gt;&lt;wsp:rsid wsp:val=&quot;00A51F41&quot;/&gt;&lt;wsp:rsid wsp:val=&quot;00A51F64&quot;/&gt;&lt;wsp:rsid wsp:val=&quot;00A52270&quot;/&gt;&lt;wsp:rsid wsp:val=&quot;00A526BB&quot;/&gt;&lt;wsp:rsid wsp:val=&quot;00A528FE&quot;/&gt;&lt;wsp:rsid wsp:val=&quot;00A52AB8&quot;/&gt;&lt;wsp:rsid wsp:val=&quot;00A52C16&quot;/&gt;&lt;wsp:rsid wsp:val=&quot;00A52FAE&quot;/&gt;&lt;wsp:rsid wsp:val=&quot;00A53478&quot;/&gt;&lt;wsp:rsid wsp:val=&quot;00A537B8&quot;/&gt;&lt;wsp:rsid wsp:val=&quot;00A537CA&quot;/&gt;&lt;wsp:rsid wsp:val=&quot;00A53809&quot;/&gt;&lt;wsp:rsid wsp:val=&quot;00A53D59&quot;/&gt;&lt;wsp:rsid wsp:val=&quot;00A53E21&quot;/&gt;&lt;wsp:rsid wsp:val=&quot;00A54816&quot;/&gt;&lt;wsp:rsid wsp:val=&quot;00A54971&quot;/&gt;&lt;wsp:rsid wsp:val=&quot;00A54E31&quot;/&gt;&lt;wsp:rsid wsp:val=&quot;00A5553C&quot;/&gt;&lt;wsp:rsid wsp:val=&quot;00A55B82&quot;/&gt;&lt;wsp:rsid wsp:val=&quot;00A56042&quot;/&gt;&lt;wsp:rsid wsp:val=&quot;00A5604E&quot;/&gt;&lt;wsp:rsid wsp:val=&quot;00A56484&quot;/&gt;&lt;wsp:rsid wsp:val=&quot;00A56E0B&quot;/&gt;&lt;wsp:rsid wsp:val=&quot;00A575B8&quot;/&gt;&lt;wsp:rsid wsp:val=&quot;00A57746&quot;/&gt;&lt;wsp:rsid wsp:val=&quot;00A57A97&quot;/&gt;&lt;wsp:rsid wsp:val=&quot;00A57D2D&quot;/&gt;&lt;wsp:rsid wsp:val=&quot;00A6006A&quot;/&gt;&lt;wsp:rsid wsp:val=&quot;00A6014E&quot;/&gt;&lt;wsp:rsid wsp:val=&quot;00A604C0&quot;/&gt;&lt;wsp:rsid wsp:val=&quot;00A607AF&quot;/&gt;&lt;wsp:rsid wsp:val=&quot;00A60DD1&quot;/&gt;&lt;wsp:rsid wsp:val=&quot;00A6113E&quot;/&gt;&lt;wsp:rsid wsp:val=&quot;00A6171A&quot;/&gt;&lt;wsp:rsid wsp:val=&quot;00A61798&quot;/&gt;&lt;wsp:rsid wsp:val=&quot;00A6194C&quot;/&gt;&lt;wsp:rsid wsp:val=&quot;00A61983&quot;/&gt;&lt;wsp:rsid wsp:val=&quot;00A61A8E&quot;/&gt;&lt;wsp:rsid wsp:val=&quot;00A61DB3&quot;/&gt;&lt;wsp:rsid wsp:val=&quot;00A61E69&quot;/&gt;&lt;wsp:rsid wsp:val=&quot;00A62020&quot;/&gt;&lt;wsp:rsid wsp:val=&quot;00A626B2&quot;/&gt;&lt;wsp:rsid wsp:val=&quot;00A627DD&quot;/&gt;&lt;wsp:rsid wsp:val=&quot;00A629DA&quot;/&gt;&lt;wsp:rsid wsp:val=&quot;00A6304F&quot;/&gt;&lt;wsp:rsid wsp:val=&quot;00A63AA4&quot;/&gt;&lt;wsp:rsid wsp:val=&quot;00A63B13&quot;/&gt;&lt;wsp:rsid wsp:val=&quot;00A63D49&quot;/&gt;&lt;wsp:rsid wsp:val=&quot;00A64267&quot;/&gt;&lt;wsp:rsid wsp:val=&quot;00A648AE&quot;/&gt;&lt;wsp:rsid wsp:val=&quot;00A64BC5&quot;/&gt;&lt;wsp:rsid wsp:val=&quot;00A64D66&quot;/&gt;&lt;wsp:rsid wsp:val=&quot;00A65203&quot;/&gt;&lt;wsp:rsid wsp:val=&quot;00A65267&quot;/&gt;&lt;wsp:rsid wsp:val=&quot;00A6539A&quot;/&gt;&lt;wsp:rsid wsp:val=&quot;00A65429&quot;/&gt;&lt;wsp:rsid wsp:val=&quot;00A65763&quot;/&gt;&lt;wsp:rsid wsp:val=&quot;00A65CF2&quot;/&gt;&lt;wsp:rsid wsp:val=&quot;00A65FB1&quot;/&gt;&lt;wsp:rsid wsp:val=&quot;00A660DE&quot;/&gt;&lt;wsp:rsid wsp:val=&quot;00A66337&quot;/&gt;&lt;wsp:rsid wsp:val=&quot;00A66855&quot;/&gt;&lt;wsp:rsid wsp:val=&quot;00A66C91&quot;/&gt;&lt;wsp:rsid wsp:val=&quot;00A66D12&quot;/&gt;&lt;wsp:rsid wsp:val=&quot;00A66D7A&quot;/&gt;&lt;wsp:rsid wsp:val=&quot;00A670D6&quot;/&gt;&lt;wsp:rsid wsp:val=&quot;00A6729D&quot;/&gt;&lt;wsp:rsid wsp:val=&quot;00A67394&quot;/&gt;&lt;wsp:rsid wsp:val=&quot;00A677B5&quot;/&gt;&lt;wsp:rsid wsp:val=&quot;00A6790F&quot;/&gt;&lt;wsp:rsid wsp:val=&quot;00A67912&quot;/&gt;&lt;wsp:rsid wsp:val=&quot;00A67DAC&quot;/&gt;&lt;wsp:rsid wsp:val=&quot;00A701FD&quot;/&gt;&lt;wsp:rsid wsp:val=&quot;00A707D4&quot;/&gt;&lt;wsp:rsid wsp:val=&quot;00A70A5B&quot;/&gt;&lt;wsp:rsid wsp:val=&quot;00A70BDE&quot;/&gt;&lt;wsp:rsid wsp:val=&quot;00A70E8D&quot;/&gt;&lt;wsp:rsid wsp:val=&quot;00A70EC1&quot;/&gt;&lt;wsp:rsid wsp:val=&quot;00A70F52&quot;/&gt;&lt;wsp:rsid wsp:val=&quot;00A710F7&quot;/&gt;&lt;wsp:rsid wsp:val=&quot;00A71124&quot;/&gt;&lt;wsp:rsid wsp:val=&quot;00A7121B&quot;/&gt;&lt;wsp:rsid wsp:val=&quot;00A715C6&quot;/&gt;&lt;wsp:rsid wsp:val=&quot;00A715FD&quot;/&gt;&lt;wsp:rsid wsp:val=&quot;00A71A9A&quot;/&gt;&lt;wsp:rsid wsp:val=&quot;00A71FF8&quot;/&gt;&lt;wsp:rsid wsp:val=&quot;00A7266F&quot;/&gt;&lt;wsp:rsid wsp:val=&quot;00A72C11&quot;/&gt;&lt;wsp:rsid wsp:val=&quot;00A72E7A&quot;/&gt;&lt;wsp:rsid wsp:val=&quot;00A7352C&quot;/&gt;&lt;wsp:rsid wsp:val=&quot;00A73841&quot;/&gt;&lt;wsp:rsid wsp:val=&quot;00A73A59&quot;/&gt;&lt;wsp:rsid wsp:val=&quot;00A73D44&quot;/&gt;&lt;wsp:rsid wsp:val=&quot;00A741C8&quot;/&gt;&lt;wsp:rsid wsp:val=&quot;00A74A9A&quot;/&gt;&lt;wsp:rsid wsp:val=&quot;00A74C38&quot;/&gt;&lt;wsp:rsid wsp:val=&quot;00A75314&quot;/&gt;&lt;wsp:rsid wsp:val=&quot;00A7562A&quot;/&gt;&lt;wsp:rsid wsp:val=&quot;00A75D66&quot;/&gt;&lt;wsp:rsid wsp:val=&quot;00A75E31&quot;/&gt;&lt;wsp:rsid wsp:val=&quot;00A75E76&quot;/&gt;&lt;wsp:rsid wsp:val=&quot;00A76326&quot;/&gt;&lt;wsp:rsid wsp:val=&quot;00A765A2&quot;/&gt;&lt;wsp:rsid wsp:val=&quot;00A765C0&quot;/&gt;&lt;wsp:rsid wsp:val=&quot;00A7686C&quot;/&gt;&lt;wsp:rsid wsp:val=&quot;00A76A08&quot;/&gt;&lt;wsp:rsid wsp:val=&quot;00A76A40&quot;/&gt;&lt;wsp:rsid wsp:val=&quot;00A76B2A&quot;/&gt;&lt;wsp:rsid wsp:val=&quot;00A76D07&quot;/&gt;&lt;wsp:rsid wsp:val=&quot;00A76E3C&quot;/&gt;&lt;wsp:rsid wsp:val=&quot;00A7790D&quot;/&gt;&lt;wsp:rsid wsp:val=&quot;00A77B57&quot;/&gt;&lt;wsp:rsid wsp:val=&quot;00A77BFB&quot;/&gt;&lt;wsp:rsid wsp:val=&quot;00A800B3&quot;/&gt;&lt;wsp:rsid wsp:val=&quot;00A80333&quot;/&gt;&lt;wsp:rsid wsp:val=&quot;00A807B7&quot;/&gt;&lt;wsp:rsid wsp:val=&quot;00A80877&quot;/&gt;&lt;wsp:rsid wsp:val=&quot;00A80892&quot;/&gt;&lt;wsp:rsid wsp:val=&quot;00A80A0E&quot;/&gt;&lt;wsp:rsid wsp:val=&quot;00A80A86&quot;/&gt;&lt;wsp:rsid wsp:val=&quot;00A810F9&quot;/&gt;&lt;wsp:rsid wsp:val=&quot;00A8111C&quot;/&gt;&lt;wsp:rsid wsp:val=&quot;00A8170A&quot;/&gt;&lt;wsp:rsid wsp:val=&quot;00A818A4&quot;/&gt;&lt;wsp:rsid wsp:val=&quot;00A81DD7&quot;/&gt;&lt;wsp:rsid wsp:val=&quot;00A820B4&quot;/&gt;&lt;wsp:rsid wsp:val=&quot;00A82346&quot;/&gt;&lt;wsp:rsid wsp:val=&quot;00A82675&quot;/&gt;&lt;wsp:rsid wsp:val=&quot;00A82773&quot;/&gt;&lt;wsp:rsid wsp:val=&quot;00A8277D&quot;/&gt;&lt;wsp:rsid wsp:val=&quot;00A83BFC&quot;/&gt;&lt;wsp:rsid wsp:val=&quot;00A83DD5&quot;/&gt;&lt;wsp:rsid wsp:val=&quot;00A841A8&quot;/&gt;&lt;wsp:rsid wsp:val=&quot;00A8425B&quot;/&gt;&lt;wsp:rsid wsp:val=&quot;00A84D1E&quot;/&gt;&lt;wsp:rsid wsp:val=&quot;00A85234&quot;/&gt;&lt;wsp:rsid wsp:val=&quot;00A853B5&quot;/&gt;&lt;wsp:rsid wsp:val=&quot;00A855A2&quot;/&gt;&lt;wsp:rsid wsp:val=&quot;00A85755&quot;/&gt;&lt;wsp:rsid wsp:val=&quot;00A858ED&quot;/&gt;&lt;wsp:rsid wsp:val=&quot;00A85A20&quot;/&gt;&lt;wsp:rsid wsp:val=&quot;00A85D90&quot;/&gt;&lt;wsp:rsid wsp:val=&quot;00A85E89&quot;/&gt;&lt;wsp:rsid wsp:val=&quot;00A85EB0&quot;/&gt;&lt;wsp:rsid wsp:val=&quot;00A86531&quot;/&gt;&lt;wsp:rsid wsp:val=&quot;00A867EB&quot;/&gt;&lt;wsp:rsid wsp:val=&quot;00A86B33&quot;/&gt;&lt;wsp:rsid wsp:val=&quot;00A86EEB&quot;/&gt;&lt;wsp:rsid wsp:val=&quot;00A87155&quot;/&gt;&lt;wsp:rsid wsp:val=&quot;00A87208&quot;/&gt;&lt;wsp:rsid wsp:val=&quot;00A87724&quot;/&gt;&lt;wsp:rsid wsp:val=&quot;00A87820&quot;/&gt;&lt;wsp:rsid wsp:val=&quot;00A8788D&quot;/&gt;&lt;wsp:rsid wsp:val=&quot;00A878A4&quot;/&gt;&lt;wsp:rsid wsp:val=&quot;00A879D6&quot;/&gt;&lt;wsp:rsid wsp:val=&quot;00A87C29&quot;/&gt;&lt;wsp:rsid wsp:val=&quot;00A87F41&quot;/&gt;&lt;wsp:rsid wsp:val=&quot;00A903DE&quot;/&gt;&lt;wsp:rsid wsp:val=&quot;00A90584&quot;/&gt;&lt;wsp:rsid wsp:val=&quot;00A90A12&quot;/&gt;&lt;wsp:rsid wsp:val=&quot;00A90F31&quot;/&gt;&lt;wsp:rsid wsp:val=&quot;00A912DD&quot;/&gt;&lt;wsp:rsid wsp:val=&quot;00A915D8&quot;/&gt;&lt;wsp:rsid wsp:val=&quot;00A91839&quot;/&gt;&lt;wsp:rsid wsp:val=&quot;00A91B76&quot;/&gt;&lt;wsp:rsid wsp:val=&quot;00A91B9A&quot;/&gt;&lt;wsp:rsid wsp:val=&quot;00A91E08&quot;/&gt;&lt;wsp:rsid wsp:val=&quot;00A92168&quot;/&gt;&lt;wsp:rsid wsp:val=&quot;00A92513&quot;/&gt;&lt;wsp:rsid wsp:val=&quot;00A928DB&quot;/&gt;&lt;wsp:rsid wsp:val=&quot;00A9295F&quot;/&gt;&lt;wsp:rsid wsp:val=&quot;00A92B87&quot;/&gt;&lt;wsp:rsid wsp:val=&quot;00A9315B&quot;/&gt;&lt;wsp:rsid wsp:val=&quot;00A931F2&quot;/&gt;&lt;wsp:rsid wsp:val=&quot;00A93507&quot;/&gt;&lt;wsp:rsid wsp:val=&quot;00A935C3&quot;/&gt;&lt;wsp:rsid wsp:val=&quot;00A93D4E&quot;/&gt;&lt;wsp:rsid wsp:val=&quot;00A93DE5&quot;/&gt;&lt;wsp:rsid wsp:val=&quot;00A93DE8&quot;/&gt;&lt;wsp:rsid wsp:val=&quot;00A93F76&quot;/&gt;&lt;wsp:rsid wsp:val=&quot;00A94491&quot;/&gt;&lt;wsp:rsid wsp:val=&quot;00A9480B&quot;/&gt;&lt;wsp:rsid wsp:val=&quot;00A94810&quot;/&gt;&lt;wsp:rsid wsp:val=&quot;00A951C6&quot;/&gt;&lt;wsp:rsid wsp:val=&quot;00A95BEC&quot;/&gt;&lt;wsp:rsid wsp:val=&quot;00A961BB&quot;/&gt;&lt;wsp:rsid wsp:val=&quot;00A9681E&quot;/&gt;&lt;wsp:rsid wsp:val=&quot;00A96A52&quot;/&gt;&lt;wsp:rsid wsp:val=&quot;00A96A66&quot;/&gt;&lt;wsp:rsid wsp:val=&quot;00A96AE7&quot;/&gt;&lt;wsp:rsid wsp:val=&quot;00A96EA8&quot;/&gt;&lt;wsp:rsid wsp:val=&quot;00A97920&quot;/&gt;&lt;wsp:rsid wsp:val=&quot;00A97D65&quot;/&gt;&lt;wsp:rsid wsp:val=&quot;00A97F1F&quot;/&gt;&lt;wsp:rsid wsp:val=&quot;00AA02FD&quot;/&gt;&lt;wsp:rsid wsp:val=&quot;00AA042C&quot;/&gt;&lt;wsp:rsid wsp:val=&quot;00AA0584&quot;/&gt;&lt;wsp:rsid wsp:val=&quot;00AA069E&quot;/&gt;&lt;wsp:rsid wsp:val=&quot;00AA0A78&quot;/&gt;&lt;wsp:rsid wsp:val=&quot;00AA0C0C&quot;/&gt;&lt;wsp:rsid wsp:val=&quot;00AA0C45&quot;/&gt;&lt;wsp:rsid wsp:val=&quot;00AA1080&quot;/&gt;&lt;wsp:rsid wsp:val=&quot;00AA1CBC&quot;/&gt;&lt;wsp:rsid wsp:val=&quot;00AA23FC&quot;/&gt;&lt;wsp:rsid wsp:val=&quot;00AA2521&quot;/&gt;&lt;wsp:rsid wsp:val=&quot;00AA2F18&quot;/&gt;&lt;wsp:rsid wsp:val=&quot;00AA314E&quot;/&gt;&lt;wsp:rsid wsp:val=&quot;00AA33A4&quot;/&gt;&lt;wsp:rsid wsp:val=&quot;00AA346B&quot;/&gt;&lt;wsp:rsid wsp:val=&quot;00AA3476&quot;/&gt;&lt;wsp:rsid wsp:val=&quot;00AA3937&quot;/&gt;&lt;wsp:rsid wsp:val=&quot;00AA3B2C&quot;/&gt;&lt;wsp:rsid wsp:val=&quot;00AA3C7A&quot;/&gt;&lt;wsp:rsid wsp:val=&quot;00AA3CBE&quot;/&gt;&lt;wsp:rsid wsp:val=&quot;00AA4246&quot;/&gt;&lt;wsp:rsid wsp:val=&quot;00AA4607&quot;/&gt;&lt;wsp:rsid wsp:val=&quot;00AA47E8&quot;/&gt;&lt;wsp:rsid wsp:val=&quot;00AA48A3&quot;/&gt;&lt;wsp:rsid wsp:val=&quot;00AA4924&quot;/&gt;&lt;wsp:rsid wsp:val=&quot;00AA4D99&quot;/&gt;&lt;wsp:rsid wsp:val=&quot;00AA4E2D&quot;/&gt;&lt;wsp:rsid wsp:val=&quot;00AA510B&quot;/&gt;&lt;wsp:rsid wsp:val=&quot;00AA512E&quot;/&gt;&lt;wsp:rsid wsp:val=&quot;00AA51BB&quot;/&gt;&lt;wsp:rsid wsp:val=&quot;00AA52B0&quot;/&gt;&lt;wsp:rsid wsp:val=&quot;00AA54CF&quot;/&gt;&lt;wsp:rsid wsp:val=&quot;00AA55AC&quot;/&gt;&lt;wsp:rsid wsp:val=&quot;00AA55DC&quot;/&gt;&lt;wsp:rsid wsp:val=&quot;00AA5A0A&quot;/&gt;&lt;wsp:rsid wsp:val=&quot;00AA5D36&quot;/&gt;&lt;wsp:rsid wsp:val=&quot;00AA5F33&quot;/&gt;&lt;wsp:rsid wsp:val=&quot;00AA66CE&quot;/&gt;&lt;wsp:rsid wsp:val=&quot;00AA6F5D&quot;/&gt;&lt;wsp:rsid wsp:val=&quot;00AA7915&quot;/&gt;&lt;wsp:rsid wsp:val=&quot;00AB097D&quot;/&gt;&lt;wsp:rsid wsp:val=&quot;00AB0B87&quot;/&gt;&lt;wsp:rsid wsp:val=&quot;00AB0E1C&quot;/&gt;&lt;wsp:rsid wsp:val=&quot;00AB10CD&quot;/&gt;&lt;wsp:rsid wsp:val=&quot;00AB1244&quot;/&gt;&lt;wsp:rsid wsp:val=&quot;00AB1504&quot;/&gt;&lt;wsp:rsid wsp:val=&quot;00AB20B0&quot;/&gt;&lt;wsp:rsid wsp:val=&quot;00AB2119&quot;/&gt;&lt;wsp:rsid wsp:val=&quot;00AB2216&quot;/&gt;&lt;wsp:rsid wsp:val=&quot;00AB237C&quot;/&gt;&lt;wsp:rsid wsp:val=&quot;00AB269D&quot;/&gt;&lt;wsp:rsid wsp:val=&quot;00AB274E&quot;/&gt;&lt;wsp:rsid wsp:val=&quot;00AB292A&quot;/&gt;&lt;wsp:rsid wsp:val=&quot;00AB2CF5&quot;/&gt;&lt;wsp:rsid wsp:val=&quot;00AB2E72&quot;/&gt;&lt;wsp:rsid wsp:val=&quot;00AB2F00&quot;/&gt;&lt;wsp:rsid wsp:val=&quot;00AB301B&quot;/&gt;&lt;wsp:rsid wsp:val=&quot;00AB308B&quot;/&gt;&lt;wsp:rsid wsp:val=&quot;00AB3408&quot;/&gt;&lt;wsp:rsid wsp:val=&quot;00AB364B&quot;/&gt;&lt;wsp:rsid wsp:val=&quot;00AB389E&quot;/&gt;&lt;wsp:rsid wsp:val=&quot;00AB3D6A&quot;/&gt;&lt;wsp:rsid wsp:val=&quot;00AB42B0&quot;/&gt;&lt;wsp:rsid wsp:val=&quot;00AB47F0&quot;/&gt;&lt;wsp:rsid wsp:val=&quot;00AB4952&quot;/&gt;&lt;wsp:rsid wsp:val=&quot;00AB4C51&quot;/&gt;&lt;wsp:rsid wsp:val=&quot;00AB4C7F&quot;/&gt;&lt;wsp:rsid wsp:val=&quot;00AB4E24&quot;/&gt;&lt;wsp:rsid wsp:val=&quot;00AB4FE3&quot;/&gt;&lt;wsp:rsid wsp:val=&quot;00AB504C&quot;/&gt;&lt;wsp:rsid wsp:val=&quot;00AB51FA&quot;/&gt;&lt;wsp:rsid wsp:val=&quot;00AB5375&quot;/&gt;&lt;wsp:rsid wsp:val=&quot;00AB5404&quot;/&gt;&lt;wsp:rsid wsp:val=&quot;00AB55DD&quot;/&gt;&lt;wsp:rsid wsp:val=&quot;00AB5747&quot;/&gt;&lt;wsp:rsid wsp:val=&quot;00AB5B35&quot;/&gt;&lt;wsp:rsid wsp:val=&quot;00AB5CE5&quot;/&gt;&lt;wsp:rsid wsp:val=&quot;00AB67B5&quot;/&gt;&lt;wsp:rsid wsp:val=&quot;00AB67F3&quot;/&gt;&lt;wsp:rsid wsp:val=&quot;00AB6D48&quot;/&gt;&lt;wsp:rsid wsp:val=&quot;00AB6EC3&quot;/&gt;&lt;wsp:rsid wsp:val=&quot;00AB7C45&quot;/&gt;&lt;wsp:rsid wsp:val=&quot;00AC0763&quot;/&gt;&lt;wsp:rsid wsp:val=&quot;00AC0967&quot;/&gt;&lt;wsp:rsid wsp:val=&quot;00AC0D90&quot;/&gt;&lt;wsp:rsid wsp:val=&quot;00AC1044&quot;/&gt;&lt;wsp:rsid wsp:val=&quot;00AC1366&quot;/&gt;&lt;wsp:rsid wsp:val=&quot;00AC1455&quot;/&gt;&lt;wsp:rsid wsp:val=&quot;00AC18E9&quot;/&gt;&lt;wsp:rsid wsp:val=&quot;00AC19BD&quot;/&gt;&lt;wsp:rsid wsp:val=&quot;00AC2032&quot;/&gt;&lt;wsp:rsid wsp:val=&quot;00AC20DA&quot;/&gt;&lt;wsp:rsid wsp:val=&quot;00AC22D2&quot;/&gt;&lt;wsp:rsid wsp:val=&quot;00AC2495&quot;/&gt;&lt;wsp:rsid wsp:val=&quot;00AC2652&quot;/&gt;&lt;wsp:rsid wsp:val=&quot;00AC2926&quot;/&gt;&lt;wsp:rsid wsp:val=&quot;00AC2B5B&quot;/&gt;&lt;wsp:rsid wsp:val=&quot;00AC308A&quot;/&gt;&lt;wsp:rsid wsp:val=&quot;00AC358E&quot;/&gt;&lt;wsp:rsid wsp:val=&quot;00AC3903&quot;/&gt;&lt;wsp:rsid wsp:val=&quot;00AC4063&quot;/&gt;&lt;wsp:rsid wsp:val=&quot;00AC40EE&quot;/&gt;&lt;wsp:rsid wsp:val=&quot;00AC4234&quot;/&gt;&lt;wsp:rsid wsp:val=&quot;00AC4D26&quot;/&gt;&lt;wsp:rsid wsp:val=&quot;00AC4E76&quot;/&gt;&lt;wsp:rsid wsp:val=&quot;00AC4F73&quot;/&gt;&lt;wsp:rsid wsp:val=&quot;00AC533B&quot;/&gt;&lt;wsp:rsid wsp:val=&quot;00AC56DD&quot;/&gt;&lt;wsp:rsid wsp:val=&quot;00AC5796&quot;/&gt;&lt;wsp:rsid wsp:val=&quot;00AC650B&quot;/&gt;&lt;wsp:rsid wsp:val=&quot;00AC6598&quot;/&gt;&lt;wsp:rsid wsp:val=&quot;00AC68D8&quot;/&gt;&lt;wsp:rsid wsp:val=&quot;00AC699A&quot;/&gt;&lt;wsp:rsid wsp:val=&quot;00AC6C6D&quot;/&gt;&lt;wsp:rsid wsp:val=&quot;00AC6DC2&quot;/&gt;&lt;wsp:rsid wsp:val=&quot;00AC704A&quot;/&gt;&lt;wsp:rsid wsp:val=&quot;00AC73C4&quot;/&gt;&lt;wsp:rsid wsp:val=&quot;00AC77AC&quot;/&gt;&lt;wsp:rsid wsp:val=&quot;00AC7D8E&quot;/&gt;&lt;wsp:rsid wsp:val=&quot;00AD009D&quot;/&gt;&lt;wsp:rsid wsp:val=&quot;00AD034D&quot;/&gt;&lt;wsp:rsid wsp:val=&quot;00AD040A&quot;/&gt;&lt;wsp:rsid wsp:val=&quot;00AD0684&quot;/&gt;&lt;wsp:rsid wsp:val=&quot;00AD0779&quot;/&gt;&lt;wsp:rsid wsp:val=&quot;00AD08EF&quot;/&gt;&lt;wsp:rsid wsp:val=&quot;00AD1039&quot;/&gt;&lt;wsp:rsid wsp:val=&quot;00AD1BF3&quot;/&gt;&lt;wsp:rsid wsp:val=&quot;00AD1E48&quot;/&gt;&lt;wsp:rsid wsp:val=&quot;00AD2171&quot;/&gt;&lt;wsp:rsid wsp:val=&quot;00AD3062&quot;/&gt;&lt;wsp:rsid wsp:val=&quot;00AD3099&quot;/&gt;&lt;wsp:rsid wsp:val=&quot;00AD312C&quot;/&gt;&lt;wsp:rsid wsp:val=&quot;00AD32CE&quot;/&gt;&lt;wsp:rsid wsp:val=&quot;00AD334F&quot;/&gt;&lt;wsp:rsid wsp:val=&quot;00AD3D3D&quot;/&gt;&lt;wsp:rsid wsp:val=&quot;00AD405F&quot;/&gt;&lt;wsp:rsid wsp:val=&quot;00AD40C2&quot;/&gt;&lt;wsp:rsid wsp:val=&quot;00AD4218&quot;/&gt;&lt;wsp:rsid wsp:val=&quot;00AD4487&quot;/&gt;&lt;wsp:rsid wsp:val=&quot;00AD46B1&quot;/&gt;&lt;wsp:rsid wsp:val=&quot;00AD475B&quot;/&gt;&lt;wsp:rsid wsp:val=&quot;00AD4D3C&quot;/&gt;&lt;wsp:rsid wsp:val=&quot;00AD502A&quot;/&gt;&lt;wsp:rsid wsp:val=&quot;00AD56C8&quot;/&gt;&lt;wsp:rsid wsp:val=&quot;00AD5D9A&quot;/&gt;&lt;wsp:rsid wsp:val=&quot;00AD5DF1&quot;/&gt;&lt;wsp:rsid wsp:val=&quot;00AD63F8&quot;/&gt;&lt;wsp:rsid wsp:val=&quot;00AD67A3&quot;/&gt;&lt;wsp:rsid wsp:val=&quot;00AD67D1&quot;/&gt;&lt;wsp:rsid wsp:val=&quot;00AD6D97&quot;/&gt;&lt;wsp:rsid wsp:val=&quot;00AD6F2C&quot;/&gt;&lt;wsp:rsid wsp:val=&quot;00AD74DE&quot;/&gt;&lt;wsp:rsid wsp:val=&quot;00AD75D9&quot;/&gt;&lt;wsp:rsid wsp:val=&quot;00AD767D&quot;/&gt;&lt;wsp:rsid wsp:val=&quot;00AD79C8&quot;/&gt;&lt;wsp:rsid wsp:val=&quot;00AE024C&quot;/&gt;&lt;wsp:rsid wsp:val=&quot;00AE068F&quot;/&gt;&lt;wsp:rsid wsp:val=&quot;00AE0719&quot;/&gt;&lt;wsp:rsid wsp:val=&quot;00AE084B&quot;/&gt;&lt;wsp:rsid wsp:val=&quot;00AE0FEB&quot;/&gt;&lt;wsp:rsid wsp:val=&quot;00AE0FF8&quot;/&gt;&lt;wsp:rsid wsp:val=&quot;00AE1545&quot;/&gt;&lt;wsp:rsid wsp:val=&quot;00AE15DC&quot;/&gt;&lt;wsp:rsid wsp:val=&quot;00AE1955&quot;/&gt;&lt;wsp:rsid wsp:val=&quot;00AE1B40&quot;/&gt;&lt;wsp:rsid wsp:val=&quot;00AE20EA&quot;/&gt;&lt;wsp:rsid wsp:val=&quot;00AE224C&quot;/&gt;&lt;wsp:rsid wsp:val=&quot;00AE278A&quot;/&gt;&lt;wsp:rsid wsp:val=&quot;00AE2AC4&quot;/&gt;&lt;wsp:rsid wsp:val=&quot;00AE32E1&quot;/&gt;&lt;wsp:rsid wsp:val=&quot;00AE3803&quot;/&gt;&lt;wsp:rsid wsp:val=&quot;00AE3814&quot;/&gt;&lt;wsp:rsid wsp:val=&quot;00AE38C8&quot;/&gt;&lt;wsp:rsid wsp:val=&quot;00AE46DB&quot;/&gt;&lt;wsp:rsid wsp:val=&quot;00AE4840&quot;/&gt;&lt;wsp:rsid wsp:val=&quot;00AE5283&quot;/&gt;&lt;wsp:rsid wsp:val=&quot;00AE542C&quot;/&gt;&lt;wsp:rsid wsp:val=&quot;00AE5D98&quot;/&gt;&lt;wsp:rsid wsp:val=&quot;00AE5E12&quot;/&gt;&lt;wsp:rsid wsp:val=&quot;00AE5E2B&quot;/&gt;&lt;wsp:rsid wsp:val=&quot;00AE5EA0&quot;/&gt;&lt;wsp:rsid wsp:val=&quot;00AE69C5&quot;/&gt;&lt;wsp:rsid wsp:val=&quot;00AE6EB1&quot;/&gt;&lt;wsp:rsid wsp:val=&quot;00AE6F8E&quot;/&gt;&lt;wsp:rsid wsp:val=&quot;00AE76BD&quot;/&gt;&lt;wsp:rsid wsp:val=&quot;00AE794E&quot;/&gt;&lt;wsp:rsid wsp:val=&quot;00AE7B87&quot;/&gt;&lt;wsp:rsid wsp:val=&quot;00AF04F5&quot;/&gt;&lt;wsp:rsid wsp:val=&quot;00AF077C&quot;/&gt;&lt;wsp:rsid wsp:val=&quot;00AF078B&quot;/&gt;&lt;wsp:rsid wsp:val=&quot;00AF0C3E&quot;/&gt;&lt;wsp:rsid wsp:val=&quot;00AF14A8&quot;/&gt;&lt;wsp:rsid wsp:val=&quot;00AF1564&quot;/&gt;&lt;wsp:rsid wsp:val=&quot;00AF1B37&quot;/&gt;&lt;wsp:rsid wsp:val=&quot;00AF2287&quot;/&gt;&lt;wsp:rsid wsp:val=&quot;00AF2712&quot;/&gt;&lt;wsp:rsid wsp:val=&quot;00AF2CC9&quot;/&gt;&lt;wsp:rsid wsp:val=&quot;00AF2D3E&quot;/&gt;&lt;wsp:rsid wsp:val=&quot;00AF2F7A&quot;/&gt;&lt;wsp:rsid wsp:val=&quot;00AF2F9D&quot;/&gt;&lt;wsp:rsid wsp:val=&quot;00AF3149&quot;/&gt;&lt;wsp:rsid wsp:val=&quot;00AF3509&quot;/&gt;&lt;wsp:rsid wsp:val=&quot;00AF3529&quot;/&gt;&lt;wsp:rsid wsp:val=&quot;00AF3B58&quot;/&gt;&lt;wsp:rsid wsp:val=&quot;00AF3E49&quot;/&gt;&lt;wsp:rsid wsp:val=&quot;00AF424F&quot;/&gt;&lt;wsp:rsid wsp:val=&quot;00AF4343&quot;/&gt;&lt;wsp:rsid wsp:val=&quot;00AF55AA&quot;/&gt;&lt;wsp:rsid wsp:val=&quot;00AF56AE&quot;/&gt;&lt;wsp:rsid wsp:val=&quot;00AF5852&quot;/&gt;&lt;wsp:rsid wsp:val=&quot;00AF5A03&quot;/&gt;&lt;wsp:rsid wsp:val=&quot;00AF5B3E&quot;/&gt;&lt;wsp:rsid wsp:val=&quot;00AF5FD0&quot;/&gt;&lt;wsp:rsid wsp:val=&quot;00AF6623&quot;/&gt;&lt;wsp:rsid wsp:val=&quot;00AF6C6E&quot;/&gt;&lt;wsp:rsid wsp:val=&quot;00AF6F3F&quot;/&gt;&lt;wsp:rsid wsp:val=&quot;00AF7725&quot;/&gt;&lt;wsp:rsid wsp:val=&quot;00AF7759&quot;/&gt;&lt;wsp:rsid wsp:val=&quot;00B003B5&quot;/&gt;&lt;wsp:rsid wsp:val=&quot;00B00493&quot;/&gt;&lt;wsp:rsid wsp:val=&quot;00B006EA&quot;/&gt;&lt;wsp:rsid wsp:val=&quot;00B00992&quot;/&gt;&lt;wsp:rsid wsp:val=&quot;00B00A3C&quot;/&gt;&lt;wsp:rsid wsp:val=&quot;00B00DA1&quot;/&gt;&lt;wsp:rsid wsp:val=&quot;00B00DA4&quot;/&gt;&lt;wsp:rsid wsp:val=&quot;00B00DC4&quot;/&gt;&lt;wsp:rsid wsp:val=&quot;00B0124C&quot;/&gt;&lt;wsp:rsid wsp:val=&quot;00B01375&quot;/&gt;&lt;wsp:rsid wsp:val=&quot;00B01420&quot;/&gt;&lt;wsp:rsid wsp:val=&quot;00B016D4&quot;/&gt;&lt;wsp:rsid wsp:val=&quot;00B01D43&quot;/&gt;&lt;wsp:rsid wsp:val=&quot;00B01FC6&quot;/&gt;&lt;wsp:rsid wsp:val=&quot;00B02031&quot;/&gt;&lt;wsp:rsid wsp:val=&quot;00B026F6&quot;/&gt;&lt;wsp:rsid wsp:val=&quot;00B02F28&quot;/&gt;&lt;wsp:rsid wsp:val=&quot;00B0318E&quot;/&gt;&lt;wsp:rsid wsp:val=&quot;00B033E0&quot;/&gt;&lt;wsp:rsid wsp:val=&quot;00B03510&quot;/&gt;&lt;wsp:rsid wsp:val=&quot;00B03804&quot;/&gt;&lt;wsp:rsid wsp:val=&quot;00B03DEE&quot;/&gt;&lt;wsp:rsid wsp:val=&quot;00B045D9&quot;/&gt;&lt;wsp:rsid wsp:val=&quot;00B04A0F&quot;/&gt;&lt;wsp:rsid wsp:val=&quot;00B04AE7&quot;/&gt;&lt;wsp:rsid wsp:val=&quot;00B04EEB&quot;/&gt;&lt;wsp:rsid wsp:val=&quot;00B04F2C&quot;/&gt;&lt;wsp:rsid wsp:val=&quot;00B053A9&quot;/&gt;&lt;wsp:rsid wsp:val=&quot;00B05AC4&quot;/&gt;&lt;wsp:rsid wsp:val=&quot;00B05EA9&quot;/&gt;&lt;wsp:rsid wsp:val=&quot;00B05F50&quot;/&gt;&lt;wsp:rsid wsp:val=&quot;00B0603D&quot;/&gt;&lt;wsp:rsid wsp:val=&quot;00B06108&quot;/&gt;&lt;wsp:rsid wsp:val=&quot;00B06342&quot;/&gt;&lt;wsp:rsid wsp:val=&quot;00B063E9&quot;/&gt;&lt;wsp:rsid wsp:val=&quot;00B066FE&quot;/&gt;&lt;wsp:rsid wsp:val=&quot;00B067B6&quot;/&gt;&lt;wsp:rsid wsp:val=&quot;00B069EB&quot;/&gt;&lt;wsp:rsid wsp:val=&quot;00B06D78&quot;/&gt;&lt;wsp:rsid wsp:val=&quot;00B074B7&quot;/&gt;&lt;wsp:rsid wsp:val=&quot;00B07A34&quot;/&gt;&lt;wsp:rsid wsp:val=&quot;00B07A9B&quot;/&gt;&lt;wsp:rsid wsp:val=&quot;00B07C0E&quot;/&gt;&lt;wsp:rsid wsp:val=&quot;00B101E2&quot;/&gt;&lt;wsp:rsid wsp:val=&quot;00B10273&quot;/&gt;&lt;wsp:rsid wsp:val=&quot;00B102A5&quot;/&gt;&lt;wsp:rsid wsp:val=&quot;00B10437&quot;/&gt;&lt;wsp:rsid wsp:val=&quot;00B105C4&quot;/&gt;&lt;wsp:rsid wsp:val=&quot;00B10857&quot;/&gt;&lt;wsp:rsid wsp:val=&quot;00B114AA&quot;/&gt;&lt;wsp:rsid wsp:val=&quot;00B11588&quot;/&gt;&lt;wsp:rsid wsp:val=&quot;00B11AF5&quot;/&gt;&lt;wsp:rsid wsp:val=&quot;00B11C47&quot;/&gt;&lt;wsp:rsid wsp:val=&quot;00B12253&quot;/&gt;&lt;wsp:rsid wsp:val=&quot;00B1237E&quot;/&gt;&lt;wsp:rsid wsp:val=&quot;00B12763&quot;/&gt;&lt;wsp:rsid wsp:val=&quot;00B12A63&quot;/&gt;&lt;wsp:rsid wsp:val=&quot;00B12BF1&quot;/&gt;&lt;wsp:rsid wsp:val=&quot;00B12CB5&quot;/&gt;&lt;wsp:rsid wsp:val=&quot;00B12D76&quot;/&gt;&lt;wsp:rsid wsp:val=&quot;00B12EAC&quot;/&gt;&lt;wsp:rsid wsp:val=&quot;00B13341&quot;/&gt;&lt;wsp:rsid wsp:val=&quot;00B1351D&quot;/&gt;&lt;wsp:rsid wsp:val=&quot;00B13820&quot;/&gt;&lt;wsp:rsid wsp:val=&quot;00B1420F&quot;/&gt;&lt;wsp:rsid wsp:val=&quot;00B14339&quot;/&gt;&lt;wsp:rsid wsp:val=&quot;00B1488F&quot;/&gt;&lt;wsp:rsid wsp:val=&quot;00B1495C&quot;/&gt;&lt;wsp:rsid wsp:val=&quot;00B14964&quot;/&gt;&lt;wsp:rsid wsp:val=&quot;00B14EC4&quot;/&gt;&lt;wsp:rsid wsp:val=&quot;00B14FB8&quot;/&gt;&lt;wsp:rsid wsp:val=&quot;00B150F3&quot;/&gt;&lt;wsp:rsid wsp:val=&quot;00B1542F&quot;/&gt;&lt;wsp:rsid wsp:val=&quot;00B15BB8&quot;/&gt;&lt;wsp:rsid wsp:val=&quot;00B15BD5&quot;/&gt;&lt;wsp:rsid wsp:val=&quot;00B1658C&quot;/&gt;&lt;wsp:rsid wsp:val=&quot;00B165F4&quot;/&gt;&lt;wsp:rsid wsp:val=&quot;00B16B51&quot;/&gt;&lt;wsp:rsid wsp:val=&quot;00B16CE4&quot;/&gt;&lt;wsp:rsid wsp:val=&quot;00B17267&quot;/&gt;&lt;wsp:rsid wsp:val=&quot;00B17A6F&quot;/&gt;&lt;wsp:rsid wsp:val=&quot;00B17A77&quot;/&gt;&lt;wsp:rsid wsp:val=&quot;00B17F34&quot;/&gt;&lt;wsp:rsid wsp:val=&quot;00B2037C&quot;/&gt;&lt;wsp:rsid wsp:val=&quot;00B206CE&quot;/&gt;&lt;wsp:rsid wsp:val=&quot;00B207CE&quot;/&gt;&lt;wsp:rsid wsp:val=&quot;00B207EC&quot;/&gt;&lt;wsp:rsid wsp:val=&quot;00B208ED&quot;/&gt;&lt;wsp:rsid wsp:val=&quot;00B211C4&quot;/&gt;&lt;wsp:rsid wsp:val=&quot;00B21203&quot;/&gt;&lt;wsp:rsid wsp:val=&quot;00B214B2&quot;/&gt;&lt;wsp:rsid wsp:val=&quot;00B215AA&quot;/&gt;&lt;wsp:rsid wsp:val=&quot;00B215BC&quot;/&gt;&lt;wsp:rsid wsp:val=&quot;00B21620&quot;/&gt;&lt;wsp:rsid wsp:val=&quot;00B22E8F&quot;/&gt;&lt;wsp:rsid wsp:val=&quot;00B22F40&quot;/&gt;&lt;wsp:rsid wsp:val=&quot;00B23200&quot;/&gt;&lt;wsp:rsid wsp:val=&quot;00B2379C&quot;/&gt;&lt;wsp:rsid wsp:val=&quot;00B23892&quot;/&gt;&lt;wsp:rsid wsp:val=&quot;00B23D2B&quot;/&gt;&lt;wsp:rsid wsp:val=&quot;00B246A6&quot;/&gt;&lt;wsp:rsid wsp:val=&quot;00B24E41&quot;/&gt;&lt;wsp:rsid wsp:val=&quot;00B24E66&quot;/&gt;&lt;wsp:rsid wsp:val=&quot;00B25027&quot;/&gt;&lt;wsp:rsid wsp:val=&quot;00B2582C&quot;/&gt;&lt;wsp:rsid wsp:val=&quot;00B25907&quot;/&gt;&lt;wsp:rsid wsp:val=&quot;00B264BA&quot;/&gt;&lt;wsp:rsid wsp:val=&quot;00B267C6&quot;/&gt;&lt;wsp:rsid wsp:val=&quot;00B26F46&quot;/&gt;&lt;wsp:rsid wsp:val=&quot;00B270F2&quot;/&gt;&lt;wsp:rsid wsp:val=&quot;00B271B9&quot;/&gt;&lt;wsp:rsid wsp:val=&quot;00B27380&quot;/&gt;&lt;wsp:rsid wsp:val=&quot;00B274BB&quot;/&gt;&lt;wsp:rsid wsp:val=&quot;00B27520&quot;/&gt;&lt;wsp:rsid wsp:val=&quot;00B275DE&quot;/&gt;&lt;wsp:rsid wsp:val=&quot;00B27710&quot;/&gt;&lt;wsp:rsid wsp:val=&quot;00B2772A&quot;/&gt;&lt;wsp:rsid wsp:val=&quot;00B27B90&quot;/&gt;&lt;wsp:rsid wsp:val=&quot;00B27BDA&quot;/&gt;&lt;wsp:rsid wsp:val=&quot;00B302EC&quot;/&gt;&lt;wsp:rsid wsp:val=&quot;00B304C9&quot;/&gt;&lt;wsp:rsid wsp:val=&quot;00B3096D&quot;/&gt;&lt;wsp:rsid wsp:val=&quot;00B30EC9&quot;/&gt;&lt;wsp:rsid wsp:val=&quot;00B31340&quot;/&gt;&lt;wsp:rsid wsp:val=&quot;00B316E7&quot;/&gt;&lt;wsp:rsid wsp:val=&quot;00B31A7D&quot;/&gt;&lt;wsp:rsid wsp:val=&quot;00B31B75&quot;/&gt;&lt;wsp:rsid wsp:val=&quot;00B31F3B&quot;/&gt;&lt;wsp:rsid wsp:val=&quot;00B3255B&quot;/&gt;&lt;wsp:rsid wsp:val=&quot;00B32722&quot;/&gt;&lt;wsp:rsid wsp:val=&quot;00B32901&quot;/&gt;&lt;wsp:rsid wsp:val=&quot;00B32BC4&quot;/&gt;&lt;wsp:rsid wsp:val=&quot;00B32F30&quot;/&gt;&lt;wsp:rsid wsp:val=&quot;00B334E2&quot;/&gt;&lt;wsp:rsid wsp:val=&quot;00B340D8&quot;/&gt;&lt;wsp:rsid wsp:val=&quot;00B34423&quot;/&gt;&lt;wsp:rsid wsp:val=&quot;00B345E1&quot;/&gt;&lt;wsp:rsid wsp:val=&quot;00B34696&quot;/&gt;&lt;wsp:rsid wsp:val=&quot;00B34A3A&quot;/&gt;&lt;wsp:rsid wsp:val=&quot;00B3508E&quot;/&gt;&lt;wsp:rsid wsp:val=&quot;00B35471&quot;/&gt;&lt;wsp:rsid wsp:val=&quot;00B355F7&quot;/&gt;&lt;wsp:rsid wsp:val=&quot;00B355F9&quot;/&gt;&lt;wsp:rsid wsp:val=&quot;00B357FC&quot;/&gt;&lt;wsp:rsid wsp:val=&quot;00B35891&quot;/&gt;&lt;wsp:rsid wsp:val=&quot;00B358AC&quot;/&gt;&lt;wsp:rsid wsp:val=&quot;00B358E9&quot;/&gt;&lt;wsp:rsid wsp:val=&quot;00B35CC2&quot;/&gt;&lt;wsp:rsid wsp:val=&quot;00B36659&quot;/&gt;&lt;wsp:rsid wsp:val=&quot;00B366D3&quot;/&gt;&lt;wsp:rsid wsp:val=&quot;00B3693E&quot;/&gt;&lt;wsp:rsid wsp:val=&quot;00B37158&quot;/&gt;&lt;wsp:rsid wsp:val=&quot;00B373C5&quot;/&gt;&lt;wsp:rsid wsp:val=&quot;00B373F6&quot;/&gt;&lt;wsp:rsid wsp:val=&quot;00B3753C&quot;/&gt;&lt;wsp:rsid wsp:val=&quot;00B37824&quot;/&gt;&lt;wsp:rsid wsp:val=&quot;00B379CB&quot;/&gt;&lt;wsp:rsid wsp:val=&quot;00B37AB0&quot;/&gt;&lt;wsp:rsid wsp:val=&quot;00B37B1C&quot;/&gt;&lt;wsp:rsid wsp:val=&quot;00B37D83&quot;/&gt;&lt;wsp:rsid wsp:val=&quot;00B4003F&quot;/&gt;&lt;wsp:rsid wsp:val=&quot;00B4027C&quot;/&gt;&lt;wsp:rsid wsp:val=&quot;00B405AA&quot;/&gt;&lt;wsp:rsid wsp:val=&quot;00B41129&quot;/&gt;&lt;wsp:rsid wsp:val=&quot;00B41EB7&quot;/&gt;&lt;wsp:rsid wsp:val=&quot;00B420EF&quot;/&gt;&lt;wsp:rsid wsp:val=&quot;00B4230F&quot;/&gt;&lt;wsp:rsid wsp:val=&quot;00B42619&quot;/&gt;&lt;wsp:rsid wsp:val=&quot;00B42645&quot;/&gt;&lt;wsp:rsid wsp:val=&quot;00B4304B&quot;/&gt;&lt;wsp:rsid wsp:val=&quot;00B43378&quot;/&gt;&lt;wsp:rsid wsp:val=&quot;00B4338C&quot;/&gt;&lt;wsp:rsid wsp:val=&quot;00B43BD7&quot;/&gt;&lt;wsp:rsid wsp:val=&quot;00B43C58&quot;/&gt;&lt;wsp:rsid wsp:val=&quot;00B44956&quot;/&gt;&lt;wsp:rsid wsp:val=&quot;00B4527D&quot;/&gt;&lt;wsp:rsid wsp:val=&quot;00B45F5B&quot;/&gt;&lt;wsp:rsid wsp:val=&quot;00B45F5C&quot;/&gt;&lt;wsp:rsid wsp:val=&quot;00B4613C&quot;/&gt;&lt;wsp:rsid wsp:val=&quot;00B464BF&quot;/&gt;&lt;wsp:rsid wsp:val=&quot;00B47705&quot;/&gt;&lt;wsp:rsid wsp:val=&quot;00B47ABD&quot;/&gt;&lt;wsp:rsid wsp:val=&quot;00B47AD1&quot;/&gt;&lt;wsp:rsid wsp:val=&quot;00B47CF4&quot;/&gt;&lt;wsp:rsid wsp:val=&quot;00B47D36&quot;/&gt;&lt;wsp:rsid wsp:val=&quot;00B502BB&quot;/&gt;&lt;wsp:rsid wsp:val=&quot;00B503FD&quot;/&gt;&lt;wsp:rsid wsp:val=&quot;00B50466&quot;/&gt;&lt;wsp:rsid wsp:val=&quot;00B5046F&quot;/&gt;&lt;wsp:rsid wsp:val=&quot;00B505A0&quot;/&gt;&lt;wsp:rsid wsp:val=&quot;00B5084A&quot;/&gt;&lt;wsp:rsid wsp:val=&quot;00B50D60&quot;/&gt;&lt;wsp:rsid wsp:val=&quot;00B5111F&quot;/&gt;&lt;wsp:rsid wsp:val=&quot;00B5185C&quot;/&gt;&lt;wsp:rsid wsp:val=&quot;00B51AB7&quot;/&gt;&lt;wsp:rsid wsp:val=&quot;00B5203B&quot;/&gt;&lt;wsp:rsid wsp:val=&quot;00B52188&quot;/&gt;&lt;wsp:rsid wsp:val=&quot;00B5250E&quot;/&gt;&lt;wsp:rsid wsp:val=&quot;00B5261C&quot;/&gt;&lt;wsp:rsid wsp:val=&quot;00B526AE&quot;/&gt;&lt;wsp:rsid wsp:val=&quot;00B52770&quot;/&gt;&lt;wsp:rsid wsp:val=&quot;00B52A1C&quot;/&gt;&lt;wsp:rsid wsp:val=&quot;00B52A23&quot;/&gt;&lt;wsp:rsid wsp:val=&quot;00B52B05&quot;/&gt;&lt;wsp:rsid wsp:val=&quot;00B52D02&quot;/&gt;&lt;wsp:rsid wsp:val=&quot;00B5318B&quot;/&gt;&lt;wsp:rsid wsp:val=&quot;00B531BC&quot;/&gt;&lt;wsp:rsid wsp:val=&quot;00B53482&quot;/&gt;&lt;wsp:rsid wsp:val=&quot;00B5387F&quot;/&gt;&lt;wsp:rsid wsp:val=&quot;00B5389B&quot;/&gt;&lt;wsp:rsid wsp:val=&quot;00B538F1&quot;/&gt;&lt;wsp:rsid wsp:val=&quot;00B539E7&quot;/&gt;&lt;wsp:rsid wsp:val=&quot;00B53E93&quot;/&gt;&lt;wsp:rsid wsp:val=&quot;00B54064&quot;/&gt;&lt;wsp:rsid wsp:val=&quot;00B54297&quot;/&gt;&lt;wsp:rsid wsp:val=&quot;00B546F4&quot;/&gt;&lt;wsp:rsid wsp:val=&quot;00B54741&quot;/&gt;&lt;wsp:rsid wsp:val=&quot;00B55036&quot;/&gt;&lt;wsp:rsid wsp:val=&quot;00B55249&quot;/&gt;&lt;wsp:rsid wsp:val=&quot;00B5525F&quot;/&gt;&lt;wsp:rsid wsp:val=&quot;00B55663&quot;/&gt;&lt;wsp:rsid wsp:val=&quot;00B55685&quot;/&gt;&lt;wsp:rsid wsp:val=&quot;00B55912&quot;/&gt;&lt;wsp:rsid wsp:val=&quot;00B561D6&quot;/&gt;&lt;wsp:rsid wsp:val=&quot;00B561F7&quot;/&gt;&lt;wsp:rsid wsp:val=&quot;00B5637B&quot;/&gt;&lt;wsp:rsid wsp:val=&quot;00B56DF4&quot;/&gt;&lt;wsp:rsid wsp:val=&quot;00B57213&quot;/&gt;&lt;wsp:rsid wsp:val=&quot;00B573A4&quot;/&gt;&lt;wsp:rsid wsp:val=&quot;00B5750A&quot;/&gt;&lt;wsp:rsid wsp:val=&quot;00B57E4C&quot;/&gt;&lt;wsp:rsid wsp:val=&quot;00B608C4&quot;/&gt;&lt;wsp:rsid wsp:val=&quot;00B609CB&quot;/&gt;&lt;wsp:rsid wsp:val=&quot;00B61A4B&quot;/&gt;&lt;wsp:rsid wsp:val=&quot;00B61D45&quot;/&gt;&lt;wsp:rsid wsp:val=&quot;00B621BD&quot;/&gt;&lt;wsp:rsid wsp:val=&quot;00B622DE&quot;/&gt;&lt;wsp:rsid wsp:val=&quot;00B6234B&quot;/&gt;&lt;wsp:rsid wsp:val=&quot;00B6240A&quot;/&gt;&lt;wsp:rsid wsp:val=&quot;00B6240F&quot;/&gt;&lt;wsp:rsid wsp:val=&quot;00B626C5&quot;/&gt;&lt;wsp:rsid wsp:val=&quot;00B626D5&quot;/&gt;&lt;wsp:rsid wsp:val=&quot;00B62CEE&quot;/&gt;&lt;wsp:rsid wsp:val=&quot;00B63154&quot;/&gt;&lt;wsp:rsid wsp:val=&quot;00B636AA&quot;/&gt;&lt;wsp:rsid wsp:val=&quot;00B642D8&quot;/&gt;&lt;wsp:rsid wsp:val=&quot;00B647B6&quot;/&gt;&lt;wsp:rsid wsp:val=&quot;00B64D1F&quot;/&gt;&lt;wsp:rsid wsp:val=&quot;00B64D40&quot;/&gt;&lt;wsp:rsid wsp:val=&quot;00B6520B&quot;/&gt;&lt;wsp:rsid wsp:val=&quot;00B657C0&quot;/&gt;&lt;wsp:rsid wsp:val=&quot;00B659C5&quot;/&gt;&lt;wsp:rsid wsp:val=&quot;00B66936&quot;/&gt;&lt;wsp:rsid wsp:val=&quot;00B66BE4&quot;/&gt;&lt;wsp:rsid wsp:val=&quot;00B67407&quot;/&gt;&lt;wsp:rsid wsp:val=&quot;00B674C9&quot;/&gt;&lt;wsp:rsid wsp:val=&quot;00B6750B&quot;/&gt;&lt;wsp:rsid wsp:val=&quot;00B67969&quot;/&gt;&lt;wsp:rsid wsp:val=&quot;00B7024E&quot;/&gt;&lt;wsp:rsid wsp:val=&quot;00B70395&quot;/&gt;&lt;wsp:rsid wsp:val=&quot;00B70444&quot;/&gt;&lt;wsp:rsid wsp:val=&quot;00B70C63&quot;/&gt;&lt;wsp:rsid wsp:val=&quot;00B70D4A&quot;/&gt;&lt;wsp:rsid wsp:val=&quot;00B719DC&quot;/&gt;&lt;wsp:rsid wsp:val=&quot;00B71DF4&quot;/&gt;&lt;wsp:rsid wsp:val=&quot;00B71FF8&quot;/&gt;&lt;wsp:rsid wsp:val=&quot;00B7214D&quot;/&gt;&lt;wsp:rsid wsp:val=&quot;00B7237E&quot;/&gt;&lt;wsp:rsid wsp:val=&quot;00B72491&quot;/&gt;&lt;wsp:rsid wsp:val=&quot;00B72997&quot;/&gt;&lt;wsp:rsid wsp:val=&quot;00B72B2D&quot;/&gt;&lt;wsp:rsid wsp:val=&quot;00B73379&quot;/&gt;&lt;wsp:rsid wsp:val=&quot;00B738A1&quot;/&gt;&lt;wsp:rsid wsp:val=&quot;00B73E83&quot;/&gt;&lt;wsp:rsid wsp:val=&quot;00B73F7D&quot;/&gt;&lt;wsp:rsid wsp:val=&quot;00B7404A&quot;/&gt;&lt;wsp:rsid wsp:val=&quot;00B743DB&quot;/&gt;&lt;wsp:rsid wsp:val=&quot;00B74423&quot;/&gt;&lt;wsp:rsid wsp:val=&quot;00B74642&quot;/&gt;&lt;wsp:rsid wsp:val=&quot;00B74D25&quot;/&gt;&lt;wsp:rsid wsp:val=&quot;00B7536C&quot;/&gt;&lt;wsp:rsid wsp:val=&quot;00B7552C&quot;/&gt;&lt;wsp:rsid wsp:val=&quot;00B757CF&quot;/&gt;&lt;wsp:rsid wsp:val=&quot;00B7595E&quot;/&gt;&lt;wsp:rsid wsp:val=&quot;00B75F42&quot;/&gt;&lt;wsp:rsid wsp:val=&quot;00B766BB&quot;/&gt;&lt;wsp:rsid wsp:val=&quot;00B766D1&quot;/&gt;&lt;wsp:rsid wsp:val=&quot;00B769B6&quot;/&gt;&lt;wsp:rsid wsp:val=&quot;00B76C16&quot;/&gt;&lt;wsp:rsid wsp:val=&quot;00B77226&quot;/&gt;&lt;wsp:rsid wsp:val=&quot;00B7723F&quot;/&gt;&lt;wsp:rsid wsp:val=&quot;00B77294&quot;/&gt;&lt;wsp:rsid wsp:val=&quot;00B77450&quot;/&gt;&lt;wsp:rsid wsp:val=&quot;00B776BA&quot;/&gt;&lt;wsp:rsid wsp:val=&quot;00B77C3D&quot;/&gt;&lt;wsp:rsid wsp:val=&quot;00B803FB&quot;/&gt;&lt;wsp:rsid wsp:val=&quot;00B804AA&quot;/&gt;&lt;wsp:rsid wsp:val=&quot;00B8054A&quot;/&gt;&lt;wsp:rsid wsp:val=&quot;00B8064A&quot;/&gt;&lt;wsp:rsid wsp:val=&quot;00B81830&quot;/&gt;&lt;wsp:rsid wsp:val=&quot;00B81AF0&quot;/&gt;&lt;wsp:rsid wsp:val=&quot;00B81B2D&quot;/&gt;&lt;wsp:rsid wsp:val=&quot;00B82189&quot;/&gt;&lt;wsp:rsid wsp:val=&quot;00B82335&quot;/&gt;&lt;wsp:rsid wsp:val=&quot;00B82367&quot;/&gt;&lt;wsp:rsid wsp:val=&quot;00B825BC&quot;/&gt;&lt;wsp:rsid wsp:val=&quot;00B8299B&quot;/&gt;&lt;wsp:rsid wsp:val=&quot;00B82BB6&quot;/&gt;&lt;wsp:rsid wsp:val=&quot;00B830E9&quot;/&gt;&lt;wsp:rsid wsp:val=&quot;00B8316D&quot;/&gt;&lt;wsp:rsid wsp:val=&quot;00B83687&quot;/&gt;&lt;wsp:rsid wsp:val=&quot;00B83B40&quot;/&gt;&lt;wsp:rsid wsp:val=&quot;00B83E28&quot;/&gt;&lt;wsp:rsid wsp:val=&quot;00B8416F&quot;/&gt;&lt;wsp:rsid wsp:val=&quot;00B84482&quot;/&gt;&lt;wsp:rsid wsp:val=&quot;00B845CB&quot;/&gt;&lt;wsp:rsid wsp:val=&quot;00B8472E&quot;/&gt;&lt;wsp:rsid wsp:val=&quot;00B84801&quot;/&gt;&lt;wsp:rsid wsp:val=&quot;00B8506F&quot;/&gt;&lt;wsp:rsid wsp:val=&quot;00B85311&quot;/&gt;&lt;wsp:rsid wsp:val=&quot;00B859FF&quot;/&gt;&lt;wsp:rsid wsp:val=&quot;00B85A40&quot;/&gt;&lt;wsp:rsid wsp:val=&quot;00B85B95&quot;/&gt;&lt;wsp:rsid wsp:val=&quot;00B85DAE&quot;/&gt;&lt;wsp:rsid wsp:val=&quot;00B85DF7&quot;/&gt;&lt;wsp:rsid wsp:val=&quot;00B85FDF&quot;/&gt;&lt;wsp:rsid wsp:val=&quot;00B86233&quot;/&gt;&lt;wsp:rsid wsp:val=&quot;00B868D1&quot;/&gt;&lt;wsp:rsid wsp:val=&quot;00B870B9&quot;/&gt;&lt;wsp:rsid wsp:val=&quot;00B87548&quot;/&gt;&lt;wsp:rsid wsp:val=&quot;00B87808&quot;/&gt;&lt;wsp:rsid wsp:val=&quot;00B87C05&quot;/&gt;&lt;wsp:rsid wsp:val=&quot;00B87FF0&quot;/&gt;&lt;wsp:rsid wsp:val=&quot;00B90186&quot;/&gt;&lt;wsp:rsid wsp:val=&quot;00B90220&quot;/&gt;&lt;wsp:rsid wsp:val=&quot;00B9055C&quot;/&gt;&lt;wsp:rsid wsp:val=&quot;00B90A24&quot;/&gt;&lt;wsp:rsid wsp:val=&quot;00B90AFB&quot;/&gt;&lt;wsp:rsid wsp:val=&quot;00B91017&quot;/&gt;&lt;wsp:rsid wsp:val=&quot;00B91019&quot;/&gt;&lt;wsp:rsid wsp:val=&quot;00B91898&quot;/&gt;&lt;wsp:rsid wsp:val=&quot;00B91D43&quot;/&gt;&lt;wsp:rsid wsp:val=&quot;00B91FFC&quot;/&gt;&lt;wsp:rsid wsp:val=&quot;00B922CF&quot;/&gt;&lt;wsp:rsid wsp:val=&quot;00B9259B&quot;/&gt;&lt;wsp:rsid wsp:val=&quot;00B925A4&quot;/&gt;&lt;wsp:rsid wsp:val=&quot;00B92867&quot;/&gt;&lt;wsp:rsid wsp:val=&quot;00B92C8B&quot;/&gt;&lt;wsp:rsid wsp:val=&quot;00B92CE3&quot;/&gt;&lt;wsp:rsid wsp:val=&quot;00B92EDF&quot;/&gt;&lt;wsp:rsid wsp:val=&quot;00B933ED&quot;/&gt;&lt;wsp:rsid wsp:val=&quot;00B9374D&quot;/&gt;&lt;wsp:rsid wsp:val=&quot;00B939BE&quot;/&gt;&lt;wsp:rsid wsp:val=&quot;00B93A53&quot;/&gt;&lt;wsp:rsid wsp:val=&quot;00B93E91&quot;/&gt;&lt;wsp:rsid wsp:val=&quot;00B94416&quot;/&gt;&lt;wsp:rsid wsp:val=&quot;00B945F6&quot;/&gt;&lt;wsp:rsid wsp:val=&quot;00B9494F&quot;/&gt;&lt;wsp:rsid wsp:val=&quot;00B949CD&quot;/&gt;&lt;wsp:rsid wsp:val=&quot;00B94DD4&quot;/&gt;&lt;wsp:rsid wsp:val=&quot;00B957E1&quot;/&gt;&lt;wsp:rsid wsp:val=&quot;00B95A70&quot;/&gt;&lt;wsp:rsid wsp:val=&quot;00B95F0E&quot;/&gt;&lt;wsp:rsid wsp:val=&quot;00B96800&quot;/&gt;&lt;wsp:rsid wsp:val=&quot;00B96DC9&quot;/&gt;&lt;wsp:rsid wsp:val=&quot;00B96EA0&quot;/&gt;&lt;wsp:rsid wsp:val=&quot;00B972E9&quot;/&gt;&lt;wsp:rsid wsp:val=&quot;00BA00D0&quot;/&gt;&lt;wsp:rsid wsp:val=&quot;00BA0219&quot;/&gt;&lt;wsp:rsid wsp:val=&quot;00BA0229&quot;/&gt;&lt;wsp:rsid wsp:val=&quot;00BA0362&quot;/&gt;&lt;wsp:rsid wsp:val=&quot;00BA0611&quot;/&gt;&lt;wsp:rsid wsp:val=&quot;00BA0A56&quot;/&gt;&lt;wsp:rsid wsp:val=&quot;00BA149A&quot;/&gt;&lt;wsp:rsid wsp:val=&quot;00BA162E&quot;/&gt;&lt;wsp:rsid wsp:val=&quot;00BA178A&quot;/&gt;&lt;wsp:rsid wsp:val=&quot;00BA2D52&quot;/&gt;&lt;wsp:rsid wsp:val=&quot;00BA2D5D&quot;/&gt;&lt;wsp:rsid wsp:val=&quot;00BA3151&quot;/&gt;&lt;wsp:rsid wsp:val=&quot;00BA34EC&quot;/&gt;&lt;wsp:rsid wsp:val=&quot;00BA38D3&quot;/&gt;&lt;wsp:rsid wsp:val=&quot;00BA3DB2&quot;/&gt;&lt;wsp:rsid wsp:val=&quot;00BA3E49&quot;/&gt;&lt;wsp:rsid wsp:val=&quot;00BA43FA&quot;/&gt;&lt;wsp:rsid wsp:val=&quot;00BA4C42&quot;/&gt;&lt;wsp:rsid wsp:val=&quot;00BA4D6A&quot;/&gt;&lt;wsp:rsid wsp:val=&quot;00BA5CA8&quot;/&gt;&lt;wsp:rsid wsp:val=&quot;00BA5DFF&quot;/&gt;&lt;wsp:rsid wsp:val=&quot;00BA5FEF&quot;/&gt;&lt;wsp:rsid wsp:val=&quot;00BA61E1&quot;/&gt;&lt;wsp:rsid wsp:val=&quot;00BA63A1&quot;/&gt;&lt;wsp:rsid wsp:val=&quot;00BA683E&quot;/&gt;&lt;wsp:rsid wsp:val=&quot;00BA68F0&quot;/&gt;&lt;wsp:rsid wsp:val=&quot;00BA6BF0&quot;/&gt;&lt;wsp:rsid wsp:val=&quot;00BA6EF9&quot;/&gt;&lt;wsp:rsid wsp:val=&quot;00BA6FA4&quot;/&gt;&lt;wsp:rsid wsp:val=&quot;00BA7546&quot;/&gt;&lt;wsp:rsid wsp:val=&quot;00BA7725&quot;/&gt;&lt;wsp:rsid wsp:val=&quot;00BA7AD3&quot;/&gt;&lt;wsp:rsid wsp:val=&quot;00BA7FCF&quot;/&gt;&lt;wsp:rsid wsp:val=&quot;00BB022C&quot;/&gt;&lt;wsp:rsid wsp:val=&quot;00BB06E2&quot;/&gt;&lt;wsp:rsid wsp:val=&quot;00BB0DAB&quot;/&gt;&lt;wsp:rsid wsp:val=&quot;00BB167D&quot;/&gt;&lt;wsp:rsid wsp:val=&quot;00BB2025&quot;/&gt;&lt;wsp:rsid wsp:val=&quot;00BB2060&quot;/&gt;&lt;wsp:rsid wsp:val=&quot;00BB20A4&quot;/&gt;&lt;wsp:rsid wsp:val=&quot;00BB2AF6&quot;/&gt;&lt;wsp:rsid wsp:val=&quot;00BB2FFB&quot;/&gt;&lt;wsp:rsid wsp:val=&quot;00BB311C&quot;/&gt;&lt;wsp:rsid wsp:val=&quot;00BB337E&quot;/&gt;&lt;wsp:rsid wsp:val=&quot;00BB34A9&quot;/&gt;&lt;wsp:rsid wsp:val=&quot;00BB350E&quot;/&gt;&lt;wsp:rsid wsp:val=&quot;00BB36C0&quot;/&gt;&lt;wsp:rsid wsp:val=&quot;00BB3A28&quot;/&gt;&lt;wsp:rsid wsp:val=&quot;00BB3B2D&quot;/&gt;&lt;wsp:rsid wsp:val=&quot;00BB409B&quot;/&gt;&lt;wsp:rsid wsp:val=&quot;00BB40BB&quot;/&gt;&lt;wsp:rsid wsp:val=&quot;00BB4189&quot;/&gt;&lt;wsp:rsid wsp:val=&quot;00BB42C2&quot;/&gt;&lt;wsp:rsid wsp:val=&quot;00BB4456&quot;/&gt;&lt;wsp:rsid wsp:val=&quot;00BB44E6&quot;/&gt;&lt;wsp:rsid wsp:val=&quot;00BB4C96&quot;/&gt;&lt;wsp:rsid wsp:val=&quot;00BB4FFB&quot;/&gt;&lt;wsp:rsid wsp:val=&quot;00BB50AC&quot;/&gt;&lt;wsp:rsid wsp:val=&quot;00BB5B79&quot;/&gt;&lt;wsp:rsid wsp:val=&quot;00BB5B9B&quot;/&gt;&lt;wsp:rsid wsp:val=&quot;00BB5C44&quot;/&gt;&lt;wsp:rsid wsp:val=&quot;00BB5F33&quot;/&gt;&lt;wsp:rsid wsp:val=&quot;00BB6048&quot;/&gt;&lt;wsp:rsid wsp:val=&quot;00BB61AC&quot;/&gt;&lt;wsp:rsid wsp:val=&quot;00BB6470&quot;/&gt;&lt;wsp:rsid wsp:val=&quot;00BB6844&quot;/&gt;&lt;wsp:rsid wsp:val=&quot;00BB6956&quot;/&gt;&lt;wsp:rsid wsp:val=&quot;00BB6A39&quot;/&gt;&lt;wsp:rsid wsp:val=&quot;00BB6A44&quot;/&gt;&lt;wsp:rsid wsp:val=&quot;00BB6A93&quot;/&gt;&lt;wsp:rsid wsp:val=&quot;00BB6D27&quot;/&gt;&lt;wsp:rsid wsp:val=&quot;00BB74DB&quot;/&gt;&lt;wsp:rsid wsp:val=&quot;00BB757B&quot;/&gt;&lt;wsp:rsid wsp:val=&quot;00BB77E4&quot;/&gt;&lt;wsp:rsid wsp:val=&quot;00BB782C&quot;/&gt;&lt;wsp:rsid wsp:val=&quot;00BB786D&quot;/&gt;&lt;wsp:rsid wsp:val=&quot;00BB7993&quot;/&gt;&lt;wsp:rsid wsp:val=&quot;00BB7B40&quot;/&gt;&lt;wsp:rsid wsp:val=&quot;00BB7C66&quot;/&gt;&lt;wsp:rsid wsp:val=&quot;00BC0314&quot;/&gt;&lt;wsp:rsid wsp:val=&quot;00BC05B3&quot;/&gt;&lt;wsp:rsid wsp:val=&quot;00BC073A&quot;/&gt;&lt;wsp:rsid wsp:val=&quot;00BC0F9C&quot;/&gt;&lt;wsp:rsid wsp:val=&quot;00BC106A&quot;/&gt;&lt;wsp:rsid wsp:val=&quot;00BC12BA&quot;/&gt;&lt;wsp:rsid wsp:val=&quot;00BC13B7&quot;/&gt;&lt;wsp:rsid wsp:val=&quot;00BC1604&quot;/&gt;&lt;wsp:rsid wsp:val=&quot;00BC1A09&quot;/&gt;&lt;wsp:rsid wsp:val=&quot;00BC1A9E&quot;/&gt;&lt;wsp:rsid wsp:val=&quot;00BC21DC&quot;/&gt;&lt;wsp:rsid wsp:val=&quot;00BC26BD&quot;/&gt;&lt;wsp:rsid wsp:val=&quot;00BC2834&quot;/&gt;&lt;wsp:rsid wsp:val=&quot;00BC2EB8&quot;/&gt;&lt;wsp:rsid wsp:val=&quot;00BC3404&quot;/&gt;&lt;wsp:rsid wsp:val=&quot;00BC34B3&quot;/&gt;&lt;wsp:rsid wsp:val=&quot;00BC37BB&quot;/&gt;&lt;wsp:rsid wsp:val=&quot;00BC37ED&quot;/&gt;&lt;wsp:rsid wsp:val=&quot;00BC3E79&quot;/&gt;&lt;wsp:rsid wsp:val=&quot;00BC3F4F&quot;/&gt;&lt;wsp:rsid wsp:val=&quot;00BC402B&quot;/&gt;&lt;wsp:rsid wsp:val=&quot;00BC40C2&quot;/&gt;&lt;wsp:rsid wsp:val=&quot;00BC4464&quot;/&gt;&lt;wsp:rsid wsp:val=&quot;00BC4A1C&quot;/&gt;&lt;wsp:rsid wsp:val=&quot;00BC4A5E&quot;/&gt;&lt;wsp:rsid wsp:val=&quot;00BC4CDE&quot;/&gt;&lt;wsp:rsid wsp:val=&quot;00BC4F0F&quot;/&gt;&lt;wsp:rsid wsp:val=&quot;00BC4F86&quot;/&gt;&lt;wsp:rsid wsp:val=&quot;00BC5197&quot;/&gt;&lt;wsp:rsid wsp:val=&quot;00BC51DE&quot;/&gt;&lt;wsp:rsid wsp:val=&quot;00BC569F&quot;/&gt;&lt;wsp:rsid wsp:val=&quot;00BC59F6&quot;/&gt;&lt;wsp:rsid wsp:val=&quot;00BC5B02&quot;/&gt;&lt;wsp:rsid wsp:val=&quot;00BC5E6B&quot;/&gt;&lt;wsp:rsid wsp:val=&quot;00BC645D&quot;/&gt;&lt;wsp:rsid wsp:val=&quot;00BC689E&quot;/&gt;&lt;wsp:rsid wsp:val=&quot;00BC6E57&quot;/&gt;&lt;wsp:rsid wsp:val=&quot;00BC6FF0&quot;/&gt;&lt;wsp:rsid wsp:val=&quot;00BC7003&quot;/&gt;&lt;wsp:rsid wsp:val=&quot;00BC72DF&quot;/&gt;&lt;wsp:rsid wsp:val=&quot;00BC7514&quot;/&gt;&lt;wsp:rsid wsp:val=&quot;00BC7A8A&quot;/&gt;&lt;wsp:rsid wsp:val=&quot;00BC7E36&quot;/&gt;&lt;wsp:rsid wsp:val=&quot;00BD0239&quot;/&gt;&lt;wsp:rsid wsp:val=&quot;00BD028C&quot;/&gt;&lt;wsp:rsid wsp:val=&quot;00BD0665&quot;/&gt;&lt;wsp:rsid wsp:val=&quot;00BD07EF&quot;/&gt;&lt;wsp:rsid wsp:val=&quot;00BD07F5&quot;/&gt;&lt;wsp:rsid wsp:val=&quot;00BD0E05&quot;/&gt;&lt;wsp:rsid wsp:val=&quot;00BD0EC3&quot;/&gt;&lt;wsp:rsid wsp:val=&quot;00BD1044&quot;/&gt;&lt;wsp:rsid wsp:val=&quot;00BD1408&quot;/&gt;&lt;wsp:rsid wsp:val=&quot;00BD15C5&quot;/&gt;&lt;wsp:rsid wsp:val=&quot;00BD16AD&quot;/&gt;&lt;wsp:rsid wsp:val=&quot;00BD183E&quot;/&gt;&lt;wsp:rsid wsp:val=&quot;00BD1966&quot;/&gt;&lt;wsp:rsid wsp:val=&quot;00BD19F8&quot;/&gt;&lt;wsp:rsid wsp:val=&quot;00BD21EF&quot;/&gt;&lt;wsp:rsid wsp:val=&quot;00BD2722&quot;/&gt;&lt;wsp:rsid wsp:val=&quot;00BD290B&quot;/&gt;&lt;wsp:rsid wsp:val=&quot;00BD2A30&quot;/&gt;&lt;wsp:rsid wsp:val=&quot;00BD2C67&quot;/&gt;&lt;wsp:rsid wsp:val=&quot;00BD319D&quot;/&gt;&lt;wsp:rsid wsp:val=&quot;00BD3B1A&quot;/&gt;&lt;wsp:rsid wsp:val=&quot;00BD3CC7&quot;/&gt;&lt;wsp:rsid wsp:val=&quot;00BD47CB&quot;/&gt;&lt;wsp:rsid wsp:val=&quot;00BD4986&quot;/&gt;&lt;wsp:rsid wsp:val=&quot;00BD4A06&quot;/&gt;&lt;wsp:rsid wsp:val=&quot;00BD4D4D&quot;/&gt;&lt;wsp:rsid wsp:val=&quot;00BD4F72&quot;/&gt;&lt;wsp:rsid wsp:val=&quot;00BD5117&quot;/&gt;&lt;wsp:rsid wsp:val=&quot;00BD52AB&quot;/&gt;&lt;wsp:rsid wsp:val=&quot;00BD5483&quot;/&gt;&lt;wsp:rsid wsp:val=&quot;00BD5626&quot;/&gt;&lt;wsp:rsid wsp:val=&quot;00BD57FD&quot;/&gt;&lt;wsp:rsid wsp:val=&quot;00BD5E7B&quot;/&gt;&lt;wsp:rsid wsp:val=&quot;00BD67E2&quot;/&gt;&lt;wsp:rsid wsp:val=&quot;00BD6DBD&quot;/&gt;&lt;wsp:rsid wsp:val=&quot;00BD6E04&quot;/&gt;&lt;wsp:rsid wsp:val=&quot;00BD73E0&quot;/&gt;&lt;wsp:rsid wsp:val=&quot;00BD746B&quot;/&gt;&lt;wsp:rsid wsp:val=&quot;00BD7971&quot;/&gt;&lt;wsp:rsid wsp:val=&quot;00BD7A89&quot;/&gt;&lt;wsp:rsid wsp:val=&quot;00BD7AB5&quot;/&gt;&lt;wsp:rsid wsp:val=&quot;00BD7C5B&quot;/&gt;&lt;wsp:rsid wsp:val=&quot;00BD7CEE&quot;/&gt;&lt;wsp:rsid wsp:val=&quot;00BD7D8E&quot;/&gt;&lt;wsp:rsid wsp:val=&quot;00BE0028&quot;/&gt;&lt;wsp:rsid wsp:val=&quot;00BE06B0&quot;/&gt;&lt;wsp:rsid wsp:val=&quot;00BE06D9&quot;/&gt;&lt;wsp:rsid wsp:val=&quot;00BE09AD&quot;/&gt;&lt;wsp:rsid wsp:val=&quot;00BE0B76&quot;/&gt;&lt;wsp:rsid wsp:val=&quot;00BE18A5&quot;/&gt;&lt;wsp:rsid wsp:val=&quot;00BE19E5&quot;/&gt;&lt;wsp:rsid wsp:val=&quot;00BE1DE4&quot;/&gt;&lt;wsp:rsid wsp:val=&quot;00BE1F06&quot;/&gt;&lt;wsp:rsid wsp:val=&quot;00BE1FDE&quot;/&gt;&lt;wsp:rsid wsp:val=&quot;00BE24B8&quot;/&gt;&lt;wsp:rsid wsp:val=&quot;00BE2516&quot;/&gt;&lt;wsp:rsid wsp:val=&quot;00BE2676&quot;/&gt;&lt;wsp:rsid wsp:val=&quot;00BE27F3&quot;/&gt;&lt;wsp:rsid wsp:val=&quot;00BE2B0C&quot;/&gt;&lt;wsp:rsid wsp:val=&quot;00BE2E84&quot;/&gt;&lt;wsp:rsid wsp:val=&quot;00BE2FC2&quot;/&gt;&lt;wsp:rsid wsp:val=&quot;00BE303E&quot;/&gt;&lt;wsp:rsid wsp:val=&quot;00BE333D&quot;/&gt;&lt;wsp:rsid wsp:val=&quot;00BE3465&quot;/&gt;&lt;wsp:rsid wsp:val=&quot;00BE4325&quot;/&gt;&lt;wsp:rsid wsp:val=&quot;00BE52FA&quot;/&gt;&lt;wsp:rsid wsp:val=&quot;00BE5611&quot;/&gt;&lt;wsp:rsid wsp:val=&quot;00BE56AA&quot;/&gt;&lt;wsp:rsid wsp:val=&quot;00BE56CB&quot;/&gt;&lt;wsp:rsid wsp:val=&quot;00BE58B2&quot;/&gt;&lt;wsp:rsid wsp:val=&quot;00BE6197&quot;/&gt;&lt;wsp:rsid wsp:val=&quot;00BE6510&quot;/&gt;&lt;wsp:rsid wsp:val=&quot;00BE6562&quot;/&gt;&lt;wsp:rsid wsp:val=&quot;00BE6B39&quot;/&gt;&lt;wsp:rsid wsp:val=&quot;00BE6C2F&quot;/&gt;&lt;wsp:rsid wsp:val=&quot;00BE6CE0&quot;/&gt;&lt;wsp:rsid wsp:val=&quot;00BE712C&quot;/&gt;&lt;wsp:rsid wsp:val=&quot;00BE75E1&quot;/&gt;&lt;wsp:rsid wsp:val=&quot;00BE76C2&quot;/&gt;&lt;wsp:rsid wsp:val=&quot;00BE785F&quot;/&gt;&lt;wsp:rsid wsp:val=&quot;00BE78BC&quot;/&gt;&lt;wsp:rsid wsp:val=&quot;00BE7C9B&quot;/&gt;&lt;wsp:rsid wsp:val=&quot;00BF00BE&quot;/&gt;&lt;wsp:rsid wsp:val=&quot;00BF018E&quot;/&gt;&lt;wsp:rsid wsp:val=&quot;00BF04F4&quot;/&gt;&lt;wsp:rsid wsp:val=&quot;00BF07C9&quot;/&gt;&lt;wsp:rsid wsp:val=&quot;00BF092E&quot;/&gt;&lt;wsp:rsid wsp:val=&quot;00BF0D10&quot;/&gt;&lt;wsp:rsid wsp:val=&quot;00BF0E67&quot;/&gt;&lt;wsp:rsid wsp:val=&quot;00BF0F6C&quot;/&gt;&lt;wsp:rsid wsp:val=&quot;00BF14A4&quot;/&gt;&lt;wsp:rsid wsp:val=&quot;00BF1503&quot;/&gt;&lt;wsp:rsid wsp:val=&quot;00BF1995&quot;/&gt;&lt;wsp:rsid wsp:val=&quot;00BF20B3&quot;/&gt;&lt;wsp:rsid wsp:val=&quot;00BF2226&quot;/&gt;&lt;wsp:rsid wsp:val=&quot;00BF2A9A&quot;/&gt;&lt;wsp:rsid wsp:val=&quot;00BF3C18&quot;/&gt;&lt;wsp:rsid wsp:val=&quot;00BF4105&quot;/&gt;&lt;wsp:rsid wsp:val=&quot;00BF418D&quot;/&gt;&lt;wsp:rsid wsp:val=&quot;00BF452F&quot;/&gt;&lt;wsp:rsid wsp:val=&quot;00BF456D&quot;/&gt;&lt;wsp:rsid wsp:val=&quot;00BF55FF&quot;/&gt;&lt;wsp:rsid wsp:val=&quot;00BF571A&quot;/&gt;&lt;wsp:rsid wsp:val=&quot;00BF5A3A&quot;/&gt;&lt;wsp:rsid wsp:val=&quot;00BF5B6E&quot;/&gt;&lt;wsp:rsid wsp:val=&quot;00BF5D51&quot;/&gt;&lt;wsp:rsid wsp:val=&quot;00BF5FB4&quot;/&gt;&lt;wsp:rsid wsp:val=&quot;00BF6487&quot;/&gt;&lt;wsp:rsid wsp:val=&quot;00BF6693&quot;/&gt;&lt;wsp:rsid wsp:val=&quot;00BF66D7&quot;/&gt;&lt;wsp:rsid wsp:val=&quot;00BF6AF7&quot;/&gt;&lt;wsp:rsid wsp:val=&quot;00BF6D3E&quot;/&gt;&lt;wsp:rsid wsp:val=&quot;00BF6F1F&quot;/&gt;&lt;wsp:rsid wsp:val=&quot;00BF7145&quot;/&gt;&lt;wsp:rsid wsp:val=&quot;00BF7221&quot;/&gt;&lt;wsp:rsid wsp:val=&quot;00BF7B8D&quot;/&gt;&lt;wsp:rsid wsp:val=&quot;00BF7EAE&quot;/&gt;&lt;wsp:rsid wsp:val=&quot;00C00180&quot;/&gt;&lt;wsp:rsid wsp:val=&quot;00C002A6&quot;/&gt;&lt;wsp:rsid wsp:val=&quot;00C0040F&quot;/&gt;&lt;wsp:rsid wsp:val=&quot;00C00B97&quot;/&gt;&lt;wsp:rsid wsp:val=&quot;00C00ED8&quot;/&gt;&lt;wsp:rsid wsp:val=&quot;00C011B7&quot;/&gt;&lt;wsp:rsid wsp:val=&quot;00C01350&quot;/&gt;&lt;wsp:rsid wsp:val=&quot;00C017BB&quot;/&gt;&lt;wsp:rsid wsp:val=&quot;00C01DB8&quot;/&gt;&lt;wsp:rsid wsp:val=&quot;00C01E51&quot;/&gt;&lt;wsp:rsid wsp:val=&quot;00C01F8C&quot;/&gt;&lt;wsp:rsid wsp:val=&quot;00C0200B&quot;/&gt;&lt;wsp:rsid wsp:val=&quot;00C020FC&quot;/&gt;&lt;wsp:rsid wsp:val=&quot;00C02143&quot;/&gt;&lt;wsp:rsid wsp:val=&quot;00C02566&quot;/&gt;&lt;wsp:rsid wsp:val=&quot;00C02775&quot;/&gt;&lt;wsp:rsid wsp:val=&quot;00C02AB4&quot;/&gt;&lt;wsp:rsid wsp:val=&quot;00C02B6E&quot;/&gt;&lt;wsp:rsid wsp:val=&quot;00C02C7F&quot;/&gt;&lt;wsp:rsid wsp:val=&quot;00C02FC6&quot;/&gt;&lt;wsp:rsid wsp:val=&quot;00C03236&quot;/&gt;&lt;wsp:rsid wsp:val=&quot;00C03A12&quot;/&gt;&lt;wsp:rsid wsp:val=&quot;00C03E02&quot;/&gt;&lt;wsp:rsid wsp:val=&quot;00C03F80&quot;/&gt;&lt;wsp:rsid wsp:val=&quot;00C04424&quot;/&gt;&lt;wsp:rsid wsp:val=&quot;00C0453D&quot;/&gt;&lt;wsp:rsid wsp:val=&quot;00C05095&quot;/&gt;&lt;wsp:rsid wsp:val=&quot;00C05A2D&quot;/&gt;&lt;wsp:rsid wsp:val=&quot;00C05D31&quot;/&gt;&lt;wsp:rsid wsp:val=&quot;00C05E10&quot;/&gt;&lt;wsp:rsid wsp:val=&quot;00C060E2&quot;/&gt;&lt;wsp:rsid wsp:val=&quot;00C06660&quot;/&gt;&lt;wsp:rsid wsp:val=&quot;00C0691F&quot;/&gt;&lt;wsp:rsid wsp:val=&quot;00C06953&quot;/&gt;&lt;wsp:rsid wsp:val=&quot;00C06CC3&quot;/&gt;&lt;wsp:rsid wsp:val=&quot;00C06DF9&quot;/&gt;&lt;wsp:rsid wsp:val=&quot;00C06FB3&quot;/&gt;&lt;wsp:rsid wsp:val=&quot;00C070C3&quot;/&gt;&lt;wsp:rsid wsp:val=&quot;00C078EE&quot;/&gt;&lt;wsp:rsid wsp:val=&quot;00C07BC7&quot;/&gt;&lt;wsp:rsid wsp:val=&quot;00C10240&quot;/&gt;&lt;wsp:rsid wsp:val=&quot;00C102D6&quot;/&gt;&lt;wsp:rsid wsp:val=&quot;00C104EA&quot;/&gt;&lt;wsp:rsid wsp:val=&quot;00C10512&quot;/&gt;&lt;wsp:rsid wsp:val=&quot;00C10BF8&quot;/&gt;&lt;wsp:rsid wsp:val=&quot;00C10D7B&quot;/&gt;&lt;wsp:rsid wsp:val=&quot;00C10F49&quot;/&gt;&lt;wsp:rsid wsp:val=&quot;00C11443&quot;/&gt;&lt;wsp:rsid wsp:val=&quot;00C11555&quot;/&gt;&lt;wsp:rsid wsp:val=&quot;00C1180F&quot;/&gt;&lt;wsp:rsid wsp:val=&quot;00C11BE8&quot;/&gt;&lt;wsp:rsid wsp:val=&quot;00C11EA5&quot;/&gt;&lt;wsp:rsid wsp:val=&quot;00C11F74&quot;/&gt;&lt;wsp:rsid wsp:val=&quot;00C129E9&quot;/&gt;&lt;wsp:rsid wsp:val=&quot;00C12C11&quot;/&gt;&lt;wsp:rsid wsp:val=&quot;00C12C97&quot;/&gt;&lt;wsp:rsid wsp:val=&quot;00C13509&quot;/&gt;&lt;wsp:rsid wsp:val=&quot;00C13555&quot;/&gt;&lt;wsp:rsid wsp:val=&quot;00C135A5&quot;/&gt;&lt;wsp:rsid wsp:val=&quot;00C137B3&quot;/&gt;&lt;wsp:rsid wsp:val=&quot;00C13AE6&quot;/&gt;&lt;wsp:rsid wsp:val=&quot;00C13EEF&quot;/&gt;&lt;wsp:rsid wsp:val=&quot;00C14134&quot;/&gt;&lt;wsp:rsid wsp:val=&quot;00C1486A&quot;/&gt;&lt;wsp:rsid wsp:val=&quot;00C14D0F&quot;/&gt;&lt;wsp:rsid wsp:val=&quot;00C150B0&quot;/&gt;&lt;wsp:rsid wsp:val=&quot;00C152AF&quot;/&gt;&lt;wsp:rsid wsp:val=&quot;00C15325&quot;/&gt;&lt;wsp:rsid wsp:val=&quot;00C15977&quot;/&gt;&lt;wsp:rsid wsp:val=&quot;00C15C67&quot;/&gt;&lt;wsp:rsid wsp:val=&quot;00C15EE9&quot;/&gt;&lt;wsp:rsid wsp:val=&quot;00C15F3E&quot;/&gt;&lt;wsp:rsid wsp:val=&quot;00C162BB&quot;/&gt;&lt;wsp:rsid wsp:val=&quot;00C1648E&quot;/&gt;&lt;wsp:rsid wsp:val=&quot;00C16B62&quot;/&gt;&lt;wsp:rsid wsp:val=&quot;00C16CD0&quot;/&gt;&lt;wsp:rsid wsp:val=&quot;00C16D8C&quot;/&gt;&lt;wsp:rsid wsp:val=&quot;00C1711A&quot;/&gt;&lt;wsp:rsid wsp:val=&quot;00C174BB&quot;/&gt;&lt;wsp:rsid wsp:val=&quot;00C17BF1&quot;/&gt;&lt;wsp:rsid wsp:val=&quot;00C17C09&quot;/&gt;&lt;wsp:rsid wsp:val=&quot;00C20128&quot;/&gt;&lt;wsp:rsid wsp:val=&quot;00C201C6&quot;/&gt;&lt;wsp:rsid wsp:val=&quot;00C20663&quot;/&gt;&lt;wsp:rsid wsp:val=&quot;00C208B3&quot;/&gt;&lt;wsp:rsid wsp:val=&quot;00C20A81&quot;/&gt;&lt;wsp:rsid wsp:val=&quot;00C20C04&quot;/&gt;&lt;wsp:rsid wsp:val=&quot;00C213C5&quot;/&gt;&lt;wsp:rsid wsp:val=&quot;00C2147C&quot;/&gt;&lt;wsp:rsid wsp:val=&quot;00C21867&quot;/&gt;&lt;wsp:rsid wsp:val=&quot;00C21BF0&quot;/&gt;&lt;wsp:rsid wsp:val=&quot;00C21CA2&quot;/&gt;&lt;wsp:rsid wsp:val=&quot;00C21FB6&quot;/&gt;&lt;wsp:rsid wsp:val=&quot;00C220D9&quot;/&gt;&lt;wsp:rsid wsp:val=&quot;00C22109&quot;/&gt;&lt;wsp:rsid wsp:val=&quot;00C22165&quot;/&gt;&lt;wsp:rsid wsp:val=&quot;00C22178&quot;/&gt;&lt;wsp:rsid wsp:val=&quot;00C22628&quot;/&gt;&lt;wsp:rsid wsp:val=&quot;00C22699&quot;/&gt;&lt;wsp:rsid wsp:val=&quot;00C2292E&quot;/&gt;&lt;wsp:rsid wsp:val=&quot;00C22AA2&quot;/&gt;&lt;wsp:rsid wsp:val=&quot;00C22F8E&quot;/&gt;&lt;wsp:rsid wsp:val=&quot;00C23063&quot;/&gt;&lt;wsp:rsid wsp:val=&quot;00C236A3&quot;/&gt;&lt;wsp:rsid wsp:val=&quot;00C236BB&quot;/&gt;&lt;wsp:rsid wsp:val=&quot;00C23703&quot;/&gt;&lt;wsp:rsid wsp:val=&quot;00C239A2&quot;/&gt;&lt;wsp:rsid wsp:val=&quot;00C23EA5&quot;/&gt;&lt;wsp:rsid wsp:val=&quot;00C23EFC&quot;/&gt;&lt;wsp:rsid wsp:val=&quot;00C23F8F&quot;/&gt;&lt;wsp:rsid wsp:val=&quot;00C24301&quot;/&gt;&lt;wsp:rsid wsp:val=&quot;00C244F8&quot;/&gt;&lt;wsp:rsid wsp:val=&quot;00C24626&quot;/&gt;&lt;wsp:rsid wsp:val=&quot;00C24A64&quot;/&gt;&lt;wsp:rsid wsp:val=&quot;00C24E2A&quot;/&gt;&lt;wsp:rsid wsp:val=&quot;00C24E2B&quot;/&gt;&lt;wsp:rsid wsp:val=&quot;00C24F63&quot;/&gt;&lt;wsp:rsid wsp:val=&quot;00C250B1&quot;/&gt;&lt;wsp:rsid wsp:val=&quot;00C2586A&quot;/&gt;&lt;wsp:rsid wsp:val=&quot;00C25936&quot;/&gt;&lt;wsp:rsid wsp:val=&quot;00C25DE7&quot;/&gt;&lt;wsp:rsid wsp:val=&quot;00C260AE&quot;/&gt;&lt;wsp:rsid wsp:val=&quot;00C26418&quot;/&gt;&lt;wsp:rsid wsp:val=&quot;00C267CE&quot;/&gt;&lt;wsp:rsid wsp:val=&quot;00C27C00&quot;/&gt;&lt;wsp:rsid wsp:val=&quot;00C3012D&quot;/&gt;&lt;wsp:rsid wsp:val=&quot;00C309C4&quot;/&gt;&lt;wsp:rsid wsp:val=&quot;00C30C4F&quot;/&gt;&lt;wsp:rsid wsp:val=&quot;00C30FEC&quot;/&gt;&lt;wsp:rsid wsp:val=&quot;00C310A6&quot;/&gt;&lt;wsp:rsid wsp:val=&quot;00C313EB&quot;/&gt;&lt;wsp:rsid wsp:val=&quot;00C31477&quot;/&gt;&lt;wsp:rsid wsp:val=&quot;00C3163C&quot;/&gt;&lt;wsp:rsid wsp:val=&quot;00C3189B&quot;/&gt;&lt;wsp:rsid wsp:val=&quot;00C31991&quot;/&gt;&lt;wsp:rsid wsp:val=&quot;00C31BF9&quot;/&gt;&lt;wsp:rsid wsp:val=&quot;00C31E68&quot;/&gt;&lt;wsp:rsid wsp:val=&quot;00C31E98&quot;/&gt;&lt;wsp:rsid wsp:val=&quot;00C31F06&quot;/&gt;&lt;wsp:rsid wsp:val=&quot;00C3200E&quot;/&gt;&lt;wsp:rsid wsp:val=&quot;00C32227&quot;/&gt;&lt;wsp:rsid wsp:val=&quot;00C32521&quot;/&gt;&lt;wsp:rsid wsp:val=&quot;00C3256D&quot;/&gt;&lt;wsp:rsid wsp:val=&quot;00C326F5&quot;/&gt;&lt;wsp:rsid wsp:val=&quot;00C328C0&quot;/&gt;&lt;wsp:rsid wsp:val=&quot;00C329BB&quot;/&gt;&lt;wsp:rsid wsp:val=&quot;00C32CD7&quot;/&gt;&lt;wsp:rsid wsp:val=&quot;00C32D73&quot;/&gt;&lt;wsp:rsid wsp:val=&quot;00C33480&quot;/&gt;&lt;wsp:rsid wsp:val=&quot;00C3351E&quot;/&gt;&lt;wsp:rsid wsp:val=&quot;00C33ABF&quot;/&gt;&lt;wsp:rsid wsp:val=&quot;00C33F88&quot;/&gt;&lt;wsp:rsid wsp:val=&quot;00C347EB&quot;/&gt;&lt;wsp:rsid wsp:val=&quot;00C34A8A&quot;/&gt;&lt;wsp:rsid wsp:val=&quot;00C34E96&quot;/&gt;&lt;wsp:rsid wsp:val=&quot;00C34F98&quot;/&gt;&lt;wsp:rsid wsp:val=&quot;00C34FE9&quot;/&gt;&lt;wsp:rsid wsp:val=&quot;00C351F0&quot;/&gt;&lt;wsp:rsid wsp:val=&quot;00C3528E&quot;/&gt;&lt;wsp:rsid wsp:val=&quot;00C3546C&quot;/&gt;&lt;wsp:rsid wsp:val=&quot;00C36345&quot;/&gt;&lt;wsp:rsid wsp:val=&quot;00C36660&quot;/&gt;&lt;wsp:rsid wsp:val=&quot;00C36908&quot;/&gt;&lt;wsp:rsid wsp:val=&quot;00C36A6C&quot;/&gt;&lt;wsp:rsid wsp:val=&quot;00C36D0F&quot;/&gt;&lt;wsp:rsid wsp:val=&quot;00C36F38&quot;/&gt;&lt;wsp:rsid wsp:val=&quot;00C36F53&quot;/&gt;&lt;wsp:rsid wsp:val=&quot;00C375DD&quot;/&gt;&lt;wsp:rsid wsp:val=&quot;00C37B8B&quot;/&gt;&lt;wsp:rsid wsp:val=&quot;00C40486&quot;/&gt;&lt;wsp:rsid wsp:val=&quot;00C405F4&quot;/&gt;&lt;wsp:rsid wsp:val=&quot;00C40609&quot;/&gt;&lt;wsp:rsid wsp:val=&quot;00C40777&quot;/&gt;&lt;wsp:rsid wsp:val=&quot;00C408E3&quot;/&gt;&lt;wsp:rsid wsp:val=&quot;00C409E2&quot;/&gt;&lt;wsp:rsid wsp:val=&quot;00C40A4C&quot;/&gt;&lt;wsp:rsid wsp:val=&quot;00C40A63&quot;/&gt;&lt;wsp:rsid wsp:val=&quot;00C40D3E&quot;/&gt;&lt;wsp:rsid wsp:val=&quot;00C40E93&quot;/&gt;&lt;wsp:rsid wsp:val=&quot;00C40F5C&quot;/&gt;&lt;wsp:rsid wsp:val=&quot;00C40F77&quot;/&gt;&lt;wsp:rsid wsp:val=&quot;00C4136B&quot;/&gt;&lt;wsp:rsid wsp:val=&quot;00C413B2&quot;/&gt;&lt;wsp:rsid wsp:val=&quot;00C413CD&quot;/&gt;&lt;wsp:rsid wsp:val=&quot;00C41992&quot;/&gt;&lt;wsp:rsid wsp:val=&quot;00C419F9&quot;/&gt;&lt;wsp:rsid wsp:val=&quot;00C41CC2&quot;/&gt;&lt;wsp:rsid wsp:val=&quot;00C41DFC&quot;/&gt;&lt;wsp:rsid wsp:val=&quot;00C41E87&quot;/&gt;&lt;wsp:rsid wsp:val=&quot;00C41F13&quot;/&gt;&lt;wsp:rsid wsp:val=&quot;00C42424&quot;/&gt;&lt;wsp:rsid wsp:val=&quot;00C43286&quot;/&gt;&lt;wsp:rsid wsp:val=&quot;00C4358D&quot;/&gt;&lt;wsp:rsid wsp:val=&quot;00C4370D&quot;/&gt;&lt;wsp:rsid wsp:val=&quot;00C44058&quot;/&gt;&lt;wsp:rsid wsp:val=&quot;00C4495F&quot;/&gt;&lt;wsp:rsid wsp:val=&quot;00C45325&quot;/&gt;&lt;wsp:rsid wsp:val=&quot;00C453A3&quot;/&gt;&lt;wsp:rsid wsp:val=&quot;00C45ADF&quot;/&gt;&lt;wsp:rsid wsp:val=&quot;00C45CB8&quot;/&gt;&lt;wsp:rsid wsp:val=&quot;00C46336&quot;/&gt;&lt;wsp:rsid wsp:val=&quot;00C4689A&quot;/&gt;&lt;wsp:rsid wsp:val=&quot;00C46E54&quot;/&gt;&lt;wsp:rsid wsp:val=&quot;00C4703A&quot;/&gt;&lt;wsp:rsid wsp:val=&quot;00C474C1&quot;/&gt;&lt;wsp:rsid wsp:val=&quot;00C47EAC&quot;/&gt;&lt;wsp:rsid wsp:val=&quot;00C47FE1&quot;/&gt;&lt;wsp:rsid wsp:val=&quot;00C5008A&quot;/&gt;&lt;wsp:rsid wsp:val=&quot;00C507B2&quot;/&gt;&lt;wsp:rsid wsp:val=&quot;00C50B28&quot;/&gt;&lt;wsp:rsid wsp:val=&quot;00C50B89&quot;/&gt;&lt;wsp:rsid wsp:val=&quot;00C51397&quot;/&gt;&lt;wsp:rsid wsp:val=&quot;00C516C6&quot;/&gt;&lt;wsp:rsid wsp:val=&quot;00C51953&quot;/&gt;&lt;wsp:rsid wsp:val=&quot;00C52043&quot;/&gt;&lt;wsp:rsid wsp:val=&quot;00C5268A&quot;/&gt;&lt;wsp:rsid wsp:val=&quot;00C529CC&quot;/&gt;&lt;wsp:rsid wsp:val=&quot;00C52D26&quot;/&gt;&lt;wsp:rsid wsp:val=&quot;00C53272&quot;/&gt;&lt;wsp:rsid wsp:val=&quot;00C53E29&quot;/&gt;&lt;wsp:rsid wsp:val=&quot;00C53EAE&quot;/&gt;&lt;wsp:rsid wsp:val=&quot;00C53F85&quot;/&gt;&lt;wsp:rsid wsp:val=&quot;00C54548&quot;/&gt;&lt;wsp:rsid wsp:val=&quot;00C549F3&quot;/&gt;&lt;wsp:rsid wsp:val=&quot;00C54CE5&quot;/&gt;&lt;wsp:rsid wsp:val=&quot;00C54D13&quot;/&gt;&lt;wsp:rsid wsp:val=&quot;00C54EF1&quot;/&gt;&lt;wsp:rsid wsp:val=&quot;00C5502B&quot;/&gt;&lt;wsp:rsid wsp:val=&quot;00C551F8&quot;/&gt;&lt;wsp:rsid wsp:val=&quot;00C552FA&quot;/&gt;&lt;wsp:rsid wsp:val=&quot;00C5557C&quot;/&gt;&lt;wsp:rsid wsp:val=&quot;00C55714&quot;/&gt;&lt;wsp:rsid wsp:val=&quot;00C5571A&quot;/&gt;&lt;wsp:rsid wsp:val=&quot;00C55833&quot;/&gt;&lt;wsp:rsid wsp:val=&quot;00C55ABB&quot;/&gt;&lt;wsp:rsid wsp:val=&quot;00C55C94&quot;/&gt;&lt;wsp:rsid wsp:val=&quot;00C560ED&quot;/&gt;&lt;wsp:rsid wsp:val=&quot;00C56423&quot;/&gt;&lt;wsp:rsid wsp:val=&quot;00C56B2B&quot;/&gt;&lt;wsp:rsid wsp:val=&quot;00C56DFA&quot;/&gt;&lt;wsp:rsid wsp:val=&quot;00C5706C&quot;/&gt;&lt;wsp:rsid wsp:val=&quot;00C5748D&quot;/&gt;&lt;wsp:rsid wsp:val=&quot;00C57495&quot;/&gt;&lt;wsp:rsid wsp:val=&quot;00C5764E&quot;/&gt;&lt;wsp:rsid wsp:val=&quot;00C57724&quot;/&gt;&lt;wsp:rsid wsp:val=&quot;00C578BE&quot;/&gt;&lt;wsp:rsid wsp:val=&quot;00C57A7C&quot;/&gt;&lt;wsp:rsid wsp:val=&quot;00C57ABD&quot;/&gt;&lt;wsp:rsid wsp:val=&quot;00C57E0C&quot;/&gt;&lt;wsp:rsid wsp:val=&quot;00C60420&quot;/&gt;&lt;wsp:rsid wsp:val=&quot;00C608EB&quot;/&gt;&lt;wsp:rsid wsp:val=&quot;00C61442&quot;/&gt;&lt;wsp:rsid wsp:val=&quot;00C6148E&quot;/&gt;&lt;wsp:rsid wsp:val=&quot;00C616DC&quot;/&gt;&lt;wsp:rsid wsp:val=&quot;00C61D53&quot;/&gt;&lt;wsp:rsid wsp:val=&quot;00C628B9&quot;/&gt;&lt;wsp:rsid wsp:val=&quot;00C62D5C&quot;/&gt;&lt;wsp:rsid wsp:val=&quot;00C62D63&quot;/&gt;&lt;wsp:rsid wsp:val=&quot;00C62FD1&quot;/&gt;&lt;wsp:rsid wsp:val=&quot;00C63112&quot;/&gt;&lt;wsp:rsid wsp:val=&quot;00C6323C&quot;/&gt;&lt;wsp:rsid wsp:val=&quot;00C632AB&quot;/&gt;&lt;wsp:rsid wsp:val=&quot;00C635E9&quot;/&gt;&lt;wsp:rsid wsp:val=&quot;00C63676&quot;/&gt;&lt;wsp:rsid wsp:val=&quot;00C638AE&quot;/&gt;&lt;wsp:rsid wsp:val=&quot;00C6396D&quot;/&gt;&lt;wsp:rsid wsp:val=&quot;00C63FC5&quot;/&gt;&lt;wsp:rsid wsp:val=&quot;00C64147&quot;/&gt;&lt;wsp:rsid wsp:val=&quot;00C64212&quot;/&gt;&lt;wsp:rsid wsp:val=&quot;00C64557&quot;/&gt;&lt;wsp:rsid wsp:val=&quot;00C648CB&quot;/&gt;&lt;wsp:rsid wsp:val=&quot;00C64B1E&quot;/&gt;&lt;wsp:rsid wsp:val=&quot;00C64B99&quot;/&gt;&lt;wsp:rsid wsp:val=&quot;00C64FFC&quot;/&gt;&lt;wsp:rsid wsp:val=&quot;00C64FFD&quot;/&gt;&lt;wsp:rsid wsp:val=&quot;00C65030&quot;/&gt;&lt;wsp:rsid wsp:val=&quot;00C655D5&quot;/&gt;&lt;wsp:rsid wsp:val=&quot;00C65CFF&quot;/&gt;&lt;wsp:rsid wsp:val=&quot;00C65EEE&quot;/&gt;&lt;wsp:rsid wsp:val=&quot;00C662BB&quot;/&gt;&lt;wsp:rsid wsp:val=&quot;00C66354&quot;/&gt;&lt;wsp:rsid wsp:val=&quot;00C66A8E&quot;/&gt;&lt;wsp:rsid wsp:val=&quot;00C66B4B&quot;/&gt;&lt;wsp:rsid wsp:val=&quot;00C670A3&quot;/&gt;&lt;wsp:rsid wsp:val=&quot;00C670AE&quot;/&gt;&lt;wsp:rsid wsp:val=&quot;00C671DE&quot;/&gt;&lt;wsp:rsid wsp:val=&quot;00C673C5&quot;/&gt;&lt;wsp:rsid wsp:val=&quot;00C67831&quot;/&gt;&lt;wsp:rsid wsp:val=&quot;00C67EA5&quot;/&gt;&lt;wsp:rsid wsp:val=&quot;00C67F6C&quot;/&gt;&lt;wsp:rsid wsp:val=&quot;00C701DC&quot;/&gt;&lt;wsp:rsid wsp:val=&quot;00C70366&quot;/&gt;&lt;wsp:rsid wsp:val=&quot;00C70A2A&quot;/&gt;&lt;wsp:rsid wsp:val=&quot;00C71651&quot;/&gt;&lt;wsp:rsid wsp:val=&quot;00C71716&quot;/&gt;&lt;wsp:rsid wsp:val=&quot;00C71B9C&quot;/&gt;&lt;wsp:rsid wsp:val=&quot;00C71BAB&quot;/&gt;&lt;wsp:rsid wsp:val=&quot;00C71BCA&quot;/&gt;&lt;wsp:rsid wsp:val=&quot;00C71DA3&quot;/&gt;&lt;wsp:rsid wsp:val=&quot;00C71FEF&quot;/&gt;&lt;wsp:rsid wsp:val=&quot;00C723D3&quot;/&gt;&lt;wsp:rsid wsp:val=&quot;00C7245C&quot;/&gt;&lt;wsp:rsid wsp:val=&quot;00C72BF5&quot;/&gt;&lt;wsp:rsid wsp:val=&quot;00C72E28&quot;/&gt;&lt;wsp:rsid wsp:val=&quot;00C72E48&quot;/&gt;&lt;wsp:rsid wsp:val=&quot;00C72F9F&quot;/&gt;&lt;wsp:rsid wsp:val=&quot;00C730B0&quot;/&gt;&lt;wsp:rsid wsp:val=&quot;00C73AB5&quot;/&gt;&lt;wsp:rsid wsp:val=&quot;00C742F4&quot;/&gt;&lt;wsp:rsid wsp:val=&quot;00C74456&quot;/&gt;&lt;wsp:rsid wsp:val=&quot;00C744F9&quot;/&gt;&lt;wsp:rsid wsp:val=&quot;00C74CB4&quot;/&gt;&lt;wsp:rsid wsp:val=&quot;00C7506D&quot;/&gt;&lt;wsp:rsid wsp:val=&quot;00C75070&quot;/&gt;&lt;wsp:rsid wsp:val=&quot;00C7519E&quot;/&gt;&lt;wsp:rsid wsp:val=&quot;00C755A3&quot;/&gt;&lt;wsp:rsid wsp:val=&quot;00C75D11&quot;/&gt;&lt;wsp:rsid wsp:val=&quot;00C75E9E&quot;/&gt;&lt;wsp:rsid wsp:val=&quot;00C76290&quot;/&gt;&lt;wsp:rsid wsp:val=&quot;00C764DC&quot;/&gt;&lt;wsp:rsid wsp:val=&quot;00C76567&quot;/&gt;&lt;wsp:rsid wsp:val=&quot;00C76946&quot;/&gt;&lt;wsp:rsid wsp:val=&quot;00C76B5E&quot;/&gt;&lt;wsp:rsid wsp:val=&quot;00C76D1B&quot;/&gt;&lt;wsp:rsid wsp:val=&quot;00C770A4&quot;/&gt;&lt;wsp:rsid wsp:val=&quot;00C77201&quot;/&gt;&lt;wsp:rsid wsp:val=&quot;00C7749B&quot;/&gt;&lt;wsp:rsid wsp:val=&quot;00C774E8&quot;/&gt;&lt;wsp:rsid wsp:val=&quot;00C77D52&quot;/&gt;&lt;wsp:rsid wsp:val=&quot;00C804F3&quot;/&gt;&lt;wsp:rsid wsp:val=&quot;00C805E2&quot;/&gt;&lt;wsp:rsid wsp:val=&quot;00C806F4&quot;/&gt;&lt;wsp:rsid wsp:val=&quot;00C80E41&quot;/&gt;&lt;wsp:rsid wsp:val=&quot;00C810E4&quot;/&gt;&lt;wsp:rsid wsp:val=&quot;00C8182A&quot;/&gt;&lt;wsp:rsid wsp:val=&quot;00C81C54&quot;/&gt;&lt;wsp:rsid wsp:val=&quot;00C81D9B&quot;/&gt;&lt;wsp:rsid wsp:val=&quot;00C822FD&quot;/&gt;&lt;wsp:rsid wsp:val=&quot;00C82360&quot;/&gt;&lt;wsp:rsid wsp:val=&quot;00C823D2&quot;/&gt;&lt;wsp:rsid wsp:val=&quot;00C825B6&quot;/&gt;&lt;wsp:rsid wsp:val=&quot;00C82D07&quot;/&gt;&lt;wsp:rsid wsp:val=&quot;00C82EE1&quot;/&gt;&lt;wsp:rsid wsp:val=&quot;00C834B5&quot;/&gt;&lt;wsp:rsid wsp:val=&quot;00C836AB&quot;/&gt;&lt;wsp:rsid wsp:val=&quot;00C83829&quot;/&gt;&lt;wsp:rsid wsp:val=&quot;00C83AB1&quot;/&gt;&lt;wsp:rsid wsp:val=&quot;00C83C0B&quot;/&gt;&lt;wsp:rsid wsp:val=&quot;00C84335&quot;/&gt;&lt;wsp:rsid wsp:val=&quot;00C84382&quot;/&gt;&lt;wsp:rsid wsp:val=&quot;00C846D6&quot;/&gt;&lt;wsp:rsid wsp:val=&quot;00C84879&quot;/&gt;&lt;wsp:rsid wsp:val=&quot;00C8490D&quot;/&gt;&lt;wsp:rsid wsp:val=&quot;00C849C3&quot;/&gt;&lt;wsp:rsid wsp:val=&quot;00C84CA9&quot;/&gt;&lt;wsp:rsid wsp:val=&quot;00C84DAA&quot;/&gt;&lt;wsp:rsid wsp:val=&quot;00C85290&quot;/&gt;&lt;wsp:rsid wsp:val=&quot;00C8537C&quot;/&gt;&lt;wsp:rsid wsp:val=&quot;00C8545B&quot;/&gt;&lt;wsp:rsid wsp:val=&quot;00C85463&quot;/&gt;&lt;wsp:rsid wsp:val=&quot;00C86660&quot;/&gt;&lt;wsp:rsid wsp:val=&quot;00C866CF&quot;/&gt;&lt;wsp:rsid wsp:val=&quot;00C86725&quot;/&gt;&lt;wsp:rsid wsp:val=&quot;00C86798&quot;/&gt;&lt;wsp:rsid wsp:val=&quot;00C869FF&quot;/&gt;&lt;wsp:rsid wsp:val=&quot;00C86B66&quot;/&gt;&lt;wsp:rsid wsp:val=&quot;00C8703E&quot;/&gt;&lt;wsp:rsid wsp:val=&quot;00C87047&quot;/&gt;&lt;wsp:rsid wsp:val=&quot;00C871AB&quot;/&gt;&lt;wsp:rsid wsp:val=&quot;00C8759E&quot;/&gt;&lt;wsp:rsid wsp:val=&quot;00C878DD&quot;/&gt;&lt;wsp:rsid wsp:val=&quot;00C87E7C&quot;/&gt;&lt;wsp:rsid wsp:val=&quot;00C901B8&quot;/&gt;&lt;wsp:rsid wsp:val=&quot;00C901D2&quot;/&gt;&lt;wsp:rsid wsp:val=&quot;00C902BC&quot;/&gt;&lt;wsp:rsid wsp:val=&quot;00C903C5&quot;/&gt;&lt;wsp:rsid wsp:val=&quot;00C90E9F&quot;/&gt;&lt;wsp:rsid wsp:val=&quot;00C90F68&quot;/&gt;&lt;wsp:rsid wsp:val=&quot;00C90FAD&quot;/&gt;&lt;wsp:rsid wsp:val=&quot;00C911C4&quot;/&gt;&lt;wsp:rsid wsp:val=&quot;00C91235&quot;/&gt;&lt;wsp:rsid wsp:val=&quot;00C91579&quot;/&gt;&lt;wsp:rsid wsp:val=&quot;00C91B03&quot;/&gt;&lt;wsp:rsid wsp:val=&quot;00C91B1A&quot;/&gt;&lt;wsp:rsid wsp:val=&quot;00C91B69&quot;/&gt;&lt;wsp:rsid wsp:val=&quot;00C91B6B&quot;/&gt;&lt;wsp:rsid wsp:val=&quot;00C91D6B&quot;/&gt;&lt;wsp:rsid wsp:val=&quot;00C92840&quot;/&gt;&lt;wsp:rsid wsp:val=&quot;00C92C3E&quot;/&gt;&lt;wsp:rsid wsp:val=&quot;00C92C8B&quot;/&gt;&lt;wsp:rsid wsp:val=&quot;00C92FE3&quot;/&gt;&lt;wsp:rsid wsp:val=&quot;00C93213&quot;/&gt;&lt;wsp:rsid wsp:val=&quot;00C9359D&quot;/&gt;&lt;wsp:rsid wsp:val=&quot;00C93794&quot;/&gt;&lt;wsp:rsid wsp:val=&quot;00C93AB1&quot;/&gt;&lt;wsp:rsid wsp:val=&quot;00C93C1C&quot;/&gt;&lt;wsp:rsid wsp:val=&quot;00C93C71&quot;/&gt;&lt;wsp:rsid wsp:val=&quot;00C94BF7&quot;/&gt;&lt;wsp:rsid wsp:val=&quot;00C94FDA&quot;/&gt;&lt;wsp:rsid wsp:val=&quot;00C952F2&quot;/&gt;&lt;wsp:rsid wsp:val=&quot;00C95593&quot;/&gt;&lt;wsp:rsid wsp:val=&quot;00C95601&quot;/&gt;&lt;wsp:rsid wsp:val=&quot;00C95761&quot;/&gt;&lt;wsp:rsid wsp:val=&quot;00C95B50&quot;/&gt;&lt;wsp:rsid wsp:val=&quot;00C95B74&quot;/&gt;&lt;wsp:rsid wsp:val=&quot;00C95DA9&quot;/&gt;&lt;wsp:rsid wsp:val=&quot;00C95FCB&quot;/&gt;&lt;wsp:rsid wsp:val=&quot;00C96008&quot;/&gt;&lt;wsp:rsid wsp:val=&quot;00C96072&quot;/&gt;&lt;wsp:rsid wsp:val=&quot;00C96114&quot;/&gt;&lt;wsp:rsid wsp:val=&quot;00C96342&quot;/&gt;&lt;wsp:rsid wsp:val=&quot;00C96488&quot;/&gt;&lt;wsp:rsid wsp:val=&quot;00C965F4&quot;/&gt;&lt;wsp:rsid wsp:val=&quot;00C966E7&quot;/&gt;&lt;wsp:rsid wsp:val=&quot;00C967C3&quot;/&gt;&lt;wsp:rsid wsp:val=&quot;00C967C7&quot;/&gt;&lt;wsp:rsid wsp:val=&quot;00C967D6&quot;/&gt;&lt;wsp:rsid wsp:val=&quot;00C96A2F&quot;/&gt;&lt;wsp:rsid wsp:val=&quot;00C96F4D&quot;/&gt;&lt;wsp:rsid wsp:val=&quot;00C973B5&quot;/&gt;&lt;wsp:rsid wsp:val=&quot;00C97477&quot;/&gt;&lt;wsp:rsid wsp:val=&quot;00C976FC&quot;/&gt;&lt;wsp:rsid wsp:val=&quot;00C977D5&quot;/&gt;&lt;wsp:rsid wsp:val=&quot;00C97877&quot;/&gt;&lt;wsp:rsid wsp:val=&quot;00C978CE&quot;/&gt;&lt;wsp:rsid wsp:val=&quot;00C97AD6&quot;/&gt;&lt;wsp:rsid wsp:val=&quot;00C97AE1&quot;/&gt;&lt;wsp:rsid wsp:val=&quot;00C97DD6&quot;/&gt;&lt;wsp:rsid wsp:val=&quot;00C97F8E&quot;/&gt;&lt;wsp:rsid wsp:val=&quot;00CA0429&quot;/&gt;&lt;wsp:rsid wsp:val=&quot;00CA05C1&quot;/&gt;&lt;wsp:rsid wsp:val=&quot;00CA0D15&quot;/&gt;&lt;wsp:rsid wsp:val=&quot;00CA0E1C&quot;/&gt;&lt;wsp:rsid wsp:val=&quot;00CA11A6&quot;/&gt;&lt;wsp:rsid wsp:val=&quot;00CA1764&quot;/&gt;&lt;wsp:rsid wsp:val=&quot;00CA184C&quot;/&gt;&lt;wsp:rsid wsp:val=&quot;00CA1A12&quot;/&gt;&lt;wsp:rsid wsp:val=&quot;00CA1A44&quot;/&gt;&lt;wsp:rsid wsp:val=&quot;00CA2208&quot;/&gt;&lt;wsp:rsid wsp:val=&quot;00CA2352&quot;/&gt;&lt;wsp:rsid wsp:val=&quot;00CA27D4&quot;/&gt;&lt;wsp:rsid wsp:val=&quot;00CA28E3&quot;/&gt;&lt;wsp:rsid wsp:val=&quot;00CA3429&quot;/&gt;&lt;wsp:rsid wsp:val=&quot;00CA3A9A&quot;/&gt;&lt;wsp:rsid wsp:val=&quot;00CA3C06&quot;/&gt;&lt;wsp:rsid wsp:val=&quot;00CA42DE&quot;/&gt;&lt;wsp:rsid wsp:val=&quot;00CA4D0F&quot;/&gt;&lt;wsp:rsid wsp:val=&quot;00CA5771&quot;/&gt;&lt;wsp:rsid wsp:val=&quot;00CA57F7&quot;/&gt;&lt;wsp:rsid wsp:val=&quot;00CA5873&quot;/&gt;&lt;wsp:rsid wsp:val=&quot;00CA5DDF&quot;/&gt;&lt;wsp:rsid wsp:val=&quot;00CA6218&quot;/&gt;&lt;wsp:rsid wsp:val=&quot;00CA6293&quot;/&gt;&lt;wsp:rsid wsp:val=&quot;00CA6487&quot;/&gt;&lt;wsp:rsid wsp:val=&quot;00CA6560&quot;/&gt;&lt;wsp:rsid wsp:val=&quot;00CA6A93&quot;/&gt;&lt;wsp:rsid wsp:val=&quot;00CA6BAC&quot;/&gt;&lt;wsp:rsid wsp:val=&quot;00CA6C37&quot;/&gt;&lt;wsp:rsid wsp:val=&quot;00CA6C42&quot;/&gt;&lt;wsp:rsid wsp:val=&quot;00CA76DA&quot;/&gt;&lt;wsp:rsid wsp:val=&quot;00CA7A78&quot;/&gt;&lt;wsp:rsid wsp:val=&quot;00CA7CA6&quot;/&gt;&lt;wsp:rsid wsp:val=&quot;00CB0586&quot;/&gt;&lt;wsp:rsid wsp:val=&quot;00CB08AF&quot;/&gt;&lt;wsp:rsid wsp:val=&quot;00CB0DF6&quot;/&gt;&lt;wsp:rsid wsp:val=&quot;00CB13A4&quot;/&gt;&lt;wsp:rsid wsp:val=&quot;00CB15CF&quot;/&gt;&lt;wsp:rsid wsp:val=&quot;00CB1CF7&quot;/&gt;&lt;wsp:rsid wsp:val=&quot;00CB1DF2&quot;/&gt;&lt;wsp:rsid wsp:val=&quot;00CB1FB6&quot;/&gt;&lt;wsp:rsid wsp:val=&quot;00CB2765&quot;/&gt;&lt;wsp:rsid wsp:val=&quot;00CB279B&quot;/&gt;&lt;wsp:rsid wsp:val=&quot;00CB28F7&quot;/&gt;&lt;wsp:rsid wsp:val=&quot;00CB2CB7&quot;/&gt;&lt;wsp:rsid wsp:val=&quot;00CB2DEC&quot;/&gt;&lt;wsp:rsid wsp:val=&quot;00CB3059&quot;/&gt;&lt;wsp:rsid wsp:val=&quot;00CB30E1&quot;/&gt;&lt;wsp:rsid wsp:val=&quot;00CB3228&quot;/&gt;&lt;wsp:rsid wsp:val=&quot;00CB32CE&quot;/&gt;&lt;wsp:rsid wsp:val=&quot;00CB3560&quot;/&gt;&lt;wsp:rsid wsp:val=&quot;00CB3830&quot;/&gt;&lt;wsp:rsid wsp:val=&quot;00CB3B40&quot;/&gt;&lt;wsp:rsid wsp:val=&quot;00CB3C16&quot;/&gt;&lt;wsp:rsid wsp:val=&quot;00CB3DC2&quot;/&gt;&lt;wsp:rsid wsp:val=&quot;00CB3EBC&quot;/&gt;&lt;wsp:rsid wsp:val=&quot;00CB437F&quot;/&gt;&lt;wsp:rsid wsp:val=&quot;00CB4605&quot;/&gt;&lt;wsp:rsid wsp:val=&quot;00CB4A00&quot;/&gt;&lt;wsp:rsid wsp:val=&quot;00CB4B6A&quot;/&gt;&lt;wsp:rsid wsp:val=&quot;00CB4BB0&quot;/&gt;&lt;wsp:rsid wsp:val=&quot;00CB4F1F&quot;/&gt;&lt;wsp:rsid wsp:val=&quot;00CB51BA&quot;/&gt;&lt;wsp:rsid wsp:val=&quot;00CB52C1&quot;/&gt;&lt;wsp:rsid wsp:val=&quot;00CB55C5&quot;/&gt;&lt;wsp:rsid wsp:val=&quot;00CB570F&quot;/&gt;&lt;wsp:rsid wsp:val=&quot;00CB5D3D&quot;/&gt;&lt;wsp:rsid wsp:val=&quot;00CB5E81&quot;/&gt;&lt;wsp:rsid wsp:val=&quot;00CB602C&quot;/&gt;&lt;wsp:rsid wsp:val=&quot;00CB622A&quot;/&gt;&lt;wsp:rsid wsp:val=&quot;00CB624B&quot;/&gt;&lt;wsp:rsid wsp:val=&quot;00CB70DA&quot;/&gt;&lt;wsp:rsid wsp:val=&quot;00CB71E9&quot;/&gt;&lt;wsp:rsid wsp:val=&quot;00CB731A&quot;/&gt;&lt;wsp:rsid wsp:val=&quot;00CB7C20&quot;/&gt;&lt;wsp:rsid wsp:val=&quot;00CB7F49&quot;/&gt;&lt;wsp:rsid wsp:val=&quot;00CC0290&quot;/&gt;&lt;wsp:rsid wsp:val=&quot;00CC02B8&quot;/&gt;&lt;wsp:rsid wsp:val=&quot;00CC0726&quot;/&gt;&lt;wsp:rsid wsp:val=&quot;00CC0ECB&quot;/&gt;&lt;wsp:rsid wsp:val=&quot;00CC0F0E&quot;/&gt;&lt;wsp:rsid wsp:val=&quot;00CC0F11&quot;/&gt;&lt;wsp:rsid wsp:val=&quot;00CC0FD5&quot;/&gt;&lt;wsp:rsid wsp:val=&quot;00CC122D&quot;/&gt;&lt;wsp:rsid wsp:val=&quot;00CC1355&quot;/&gt;&lt;wsp:rsid wsp:val=&quot;00CC19B5&quot;/&gt;&lt;wsp:rsid wsp:val=&quot;00CC1A4D&quot;/&gt;&lt;wsp:rsid wsp:val=&quot;00CC20E3&quot;/&gt;&lt;wsp:rsid wsp:val=&quot;00CC214D&quot;/&gt;&lt;wsp:rsid wsp:val=&quot;00CC2210&quot;/&gt;&lt;wsp:rsid wsp:val=&quot;00CC2929&quot;/&gt;&lt;wsp:rsid wsp:val=&quot;00CC29E8&quot;/&gt;&lt;wsp:rsid wsp:val=&quot;00CC333D&quot;/&gt;&lt;wsp:rsid wsp:val=&quot;00CC3544&quot;/&gt;&lt;wsp:rsid wsp:val=&quot;00CC4220&quot;/&gt;&lt;wsp:rsid wsp:val=&quot;00CC445D&quot;/&gt;&lt;wsp:rsid wsp:val=&quot;00CC478C&quot;/&gt;&lt;wsp:rsid wsp:val=&quot;00CC4B48&quot;/&gt;&lt;wsp:rsid wsp:val=&quot;00CC4CFB&quot;/&gt;&lt;wsp:rsid wsp:val=&quot;00CC4D82&quot;/&gt;&lt;wsp:rsid wsp:val=&quot;00CC4DB5&quot;/&gt;&lt;wsp:rsid wsp:val=&quot;00CC4F1B&quot;/&gt;&lt;wsp:rsid wsp:val=&quot;00CC4F79&quot;/&gt;&lt;wsp:rsid wsp:val=&quot;00CC5049&quot;/&gt;&lt;wsp:rsid wsp:val=&quot;00CC549F&quot;/&gt;&lt;wsp:rsid wsp:val=&quot;00CC54A5&quot;/&gt;&lt;wsp:rsid wsp:val=&quot;00CC54E7&quot;/&gt;&lt;wsp:rsid wsp:val=&quot;00CC576B&quot;/&gt;&lt;wsp:rsid wsp:val=&quot;00CC6555&quot;/&gt;&lt;wsp:rsid wsp:val=&quot;00CC66D5&quot;/&gt;&lt;wsp:rsid wsp:val=&quot;00CC6A0B&quot;/&gt;&lt;wsp:rsid wsp:val=&quot;00CC6B94&quot;/&gt;&lt;wsp:rsid wsp:val=&quot;00CC6D80&quot;/&gt;&lt;wsp:rsid wsp:val=&quot;00CC6F86&quot;/&gt;&lt;wsp:rsid wsp:val=&quot;00CC74EB&quot;/&gt;&lt;wsp:rsid wsp:val=&quot;00CC769F&quot;/&gt;&lt;wsp:rsid wsp:val=&quot;00CC7BE7&quot;/&gt;&lt;wsp:rsid wsp:val=&quot;00CC7DE4&quot;/&gt;&lt;wsp:rsid wsp:val=&quot;00CC7E5A&quot;/&gt;&lt;wsp:rsid wsp:val=&quot;00CC7F47&quot;/&gt;&lt;wsp:rsid wsp:val=&quot;00CD07B5&quot;/&gt;&lt;wsp:rsid wsp:val=&quot;00CD0B3E&quot;/&gt;&lt;wsp:rsid wsp:val=&quot;00CD183A&quot;/&gt;&lt;wsp:rsid wsp:val=&quot;00CD279A&quot;/&gt;&lt;wsp:rsid wsp:val=&quot;00CD2F2A&quot;/&gt;&lt;wsp:rsid wsp:val=&quot;00CD2FDE&quot;/&gt;&lt;wsp:rsid wsp:val=&quot;00CD3649&quot;/&gt;&lt;wsp:rsid wsp:val=&quot;00CD393A&quot;/&gt;&lt;wsp:rsid wsp:val=&quot;00CD397B&quot;/&gt;&lt;wsp:rsid wsp:val=&quot;00CD3BCE&quot;/&gt;&lt;wsp:rsid wsp:val=&quot;00CD41CE&quot;/&gt;&lt;wsp:rsid wsp:val=&quot;00CD4871&quot;/&gt;&lt;wsp:rsid wsp:val=&quot;00CD4925&quot;/&gt;&lt;wsp:rsid wsp:val=&quot;00CD4A65&quot;/&gt;&lt;wsp:rsid wsp:val=&quot;00CD4FF8&quot;/&gt;&lt;wsp:rsid wsp:val=&quot;00CD53EB&quot;/&gt;&lt;wsp:rsid wsp:val=&quot;00CD5422&quot;/&gt;&lt;wsp:rsid wsp:val=&quot;00CD5490&quot;/&gt;&lt;wsp:rsid wsp:val=&quot;00CD587E&quot;/&gt;&lt;wsp:rsid wsp:val=&quot;00CD5931&quot;/&gt;&lt;wsp:rsid wsp:val=&quot;00CD59DC&quot;/&gt;&lt;wsp:rsid wsp:val=&quot;00CD5AF8&quot;/&gt;&lt;wsp:rsid wsp:val=&quot;00CD5AFE&quot;/&gt;&lt;wsp:rsid wsp:val=&quot;00CD5E2C&quot;/&gt;&lt;wsp:rsid wsp:val=&quot;00CD5EE3&quot;/&gt;&lt;wsp:rsid wsp:val=&quot;00CD61B3&quot;/&gt;&lt;wsp:rsid wsp:val=&quot;00CD6401&quot;/&gt;&lt;wsp:rsid wsp:val=&quot;00CD64FF&quot;/&gt;&lt;wsp:rsid wsp:val=&quot;00CD676D&quot;/&gt;&lt;wsp:rsid wsp:val=&quot;00CD68ED&quot;/&gt;&lt;wsp:rsid wsp:val=&quot;00CD69A9&quot;/&gt;&lt;wsp:rsid wsp:val=&quot;00CD69FB&quot;/&gt;&lt;wsp:rsid wsp:val=&quot;00CD6C45&quot;/&gt;&lt;wsp:rsid wsp:val=&quot;00CD717E&quot;/&gt;&lt;wsp:rsid wsp:val=&quot;00CD742C&quot;/&gt;&lt;wsp:rsid wsp:val=&quot;00CD7497&quot;/&gt;&lt;wsp:rsid wsp:val=&quot;00CD74C0&quot;/&gt;&lt;wsp:rsid wsp:val=&quot;00CD781F&quot;/&gt;&lt;wsp:rsid wsp:val=&quot;00CD7969&quot;/&gt;&lt;wsp:rsid wsp:val=&quot;00CD7BFF&quot;/&gt;&lt;wsp:rsid wsp:val=&quot;00CD7F01&quot;/&gt;&lt;wsp:rsid wsp:val=&quot;00CE011C&quot;/&gt;&lt;wsp:rsid wsp:val=&quot;00CE01CE&quot;/&gt;&lt;wsp:rsid wsp:val=&quot;00CE01E6&quot;/&gt;&lt;wsp:rsid wsp:val=&quot;00CE039C&quot;/&gt;&lt;wsp:rsid wsp:val=&quot;00CE040F&quot;/&gt;&lt;wsp:rsid wsp:val=&quot;00CE0773&quot;/&gt;&lt;wsp:rsid wsp:val=&quot;00CE1129&quot;/&gt;&lt;wsp:rsid wsp:val=&quot;00CE1A13&quot;/&gt;&lt;wsp:rsid wsp:val=&quot;00CE1C38&quot;/&gt;&lt;wsp:rsid wsp:val=&quot;00CE2255&quot;/&gt;&lt;wsp:rsid wsp:val=&quot;00CE2939&quot;/&gt;&lt;wsp:rsid wsp:val=&quot;00CE2A86&quot;/&gt;&lt;wsp:rsid wsp:val=&quot;00CE2CEE&quot;/&gt;&lt;wsp:rsid wsp:val=&quot;00CE2D22&quot;/&gt;&lt;wsp:rsid wsp:val=&quot;00CE30F8&quot;/&gt;&lt;wsp:rsid wsp:val=&quot;00CE38BA&quot;/&gt;&lt;wsp:rsid wsp:val=&quot;00CE4326&quot;/&gt;&lt;wsp:rsid wsp:val=&quot;00CE4A88&quot;/&gt;&lt;wsp:rsid wsp:val=&quot;00CE4E60&quot;/&gt;&lt;wsp:rsid wsp:val=&quot;00CE4E88&quot;/&gt;&lt;wsp:rsid wsp:val=&quot;00CE5060&quot;/&gt;&lt;wsp:rsid wsp:val=&quot;00CE5502&quot;/&gt;&lt;wsp:rsid wsp:val=&quot;00CE57B6&quot;/&gt;&lt;wsp:rsid wsp:val=&quot;00CE5B49&quot;/&gt;&lt;wsp:rsid wsp:val=&quot;00CE5B63&quot;/&gt;&lt;wsp:rsid wsp:val=&quot;00CE5FE4&quot;/&gt;&lt;wsp:rsid wsp:val=&quot;00CE6974&quot;/&gt;&lt;wsp:rsid wsp:val=&quot;00CE6F09&quot;/&gt;&lt;wsp:rsid wsp:val=&quot;00CE6F9A&quot;/&gt;&lt;wsp:rsid wsp:val=&quot;00CE739E&quot;/&gt;&lt;wsp:rsid wsp:val=&quot;00CE775D&quot;/&gt;&lt;wsp:rsid wsp:val=&quot;00CF0D65&quot;/&gt;&lt;wsp:rsid wsp:val=&quot;00CF107E&quot;/&gt;&lt;wsp:rsid wsp:val=&quot;00CF117E&quot;/&gt;&lt;wsp:rsid wsp:val=&quot;00CF1B47&quot;/&gt;&lt;wsp:rsid wsp:val=&quot;00CF26A4&quot;/&gt;&lt;wsp:rsid wsp:val=&quot;00CF27DA&quot;/&gt;&lt;wsp:rsid wsp:val=&quot;00CF3872&quot;/&gt;&lt;wsp:rsid wsp:val=&quot;00CF3924&quot;/&gt;&lt;wsp:rsid wsp:val=&quot;00CF3A0F&quot;/&gt;&lt;wsp:rsid wsp:val=&quot;00CF3A21&quot;/&gt;&lt;wsp:rsid wsp:val=&quot;00CF3B70&quot;/&gt;&lt;wsp:rsid wsp:val=&quot;00CF3E6D&quot;/&gt;&lt;wsp:rsid wsp:val=&quot;00CF42E7&quot;/&gt;&lt;wsp:rsid wsp:val=&quot;00CF4459&quot;/&gt;&lt;wsp:rsid wsp:val=&quot;00CF4689&quot;/&gt;&lt;wsp:rsid wsp:val=&quot;00CF4A56&quot;/&gt;&lt;wsp:rsid wsp:val=&quot;00CF4F93&quot;/&gt;&lt;wsp:rsid wsp:val=&quot;00CF50A0&quot;/&gt;&lt;wsp:rsid wsp:val=&quot;00CF56E8&quot;/&gt;&lt;wsp:rsid wsp:val=&quot;00CF58E7&quot;/&gt;&lt;wsp:rsid wsp:val=&quot;00CF592B&quot;/&gt;&lt;wsp:rsid wsp:val=&quot;00CF59F3&quot;/&gt;&lt;wsp:rsid wsp:val=&quot;00CF5C7A&quot;/&gt;&lt;wsp:rsid wsp:val=&quot;00CF5E35&quot;/&gt;&lt;wsp:rsid wsp:val=&quot;00CF5E51&quot;/&gt;&lt;wsp:rsid wsp:val=&quot;00CF623C&quot;/&gt;&lt;wsp:rsid wsp:val=&quot;00CF6AFF&quot;/&gt;&lt;wsp:rsid wsp:val=&quot;00CF7168&quot;/&gt;&lt;wsp:rsid wsp:val=&quot;00CF73B8&quot;/&gt;&lt;wsp:rsid wsp:val=&quot;00CF7415&quot;/&gt;&lt;wsp:rsid wsp:val=&quot;00CF77B3&quot;/&gt;&lt;wsp:rsid wsp:val=&quot;00CF78B2&quot;/&gt;&lt;wsp:rsid wsp:val=&quot;00D00593&quot;/&gt;&lt;wsp:rsid wsp:val=&quot;00D005B9&quot;/&gt;&lt;wsp:rsid wsp:val=&quot;00D0077A&quot;/&gt;&lt;wsp:rsid wsp:val=&quot;00D00D9A&quot;/&gt;&lt;wsp:rsid wsp:val=&quot;00D0113B&quot;/&gt;&lt;wsp:rsid wsp:val=&quot;00D017A9&quot;/&gt;&lt;wsp:rsid wsp:val=&quot;00D01994&quot;/&gt;&lt;wsp:rsid wsp:val=&quot;00D019B9&quot;/&gt;&lt;wsp:rsid wsp:val=&quot;00D01F4F&quot;/&gt;&lt;wsp:rsid wsp:val=&quot;00D01FA5&quot;/&gt;&lt;wsp:rsid wsp:val=&quot;00D02279&quot;/&gt;&lt;wsp:rsid wsp:val=&quot;00D022B8&quot;/&gt;&lt;wsp:rsid wsp:val=&quot;00D0261F&quot;/&gt;&lt;wsp:rsid wsp:val=&quot;00D02F13&quot;/&gt;&lt;wsp:rsid wsp:val=&quot;00D02FE2&quot;/&gt;&lt;wsp:rsid wsp:val=&quot;00D03302&quot;/&gt;&lt;wsp:rsid wsp:val=&quot;00D03309&quot;/&gt;&lt;wsp:rsid wsp:val=&quot;00D03652&quot;/&gt;&lt;wsp:rsid wsp:val=&quot;00D03900&quot;/&gt;&lt;wsp:rsid wsp:val=&quot;00D03D46&quot;/&gt;&lt;wsp:rsid wsp:val=&quot;00D03E43&quot;/&gt;&lt;wsp:rsid wsp:val=&quot;00D04430&quot;/&gt;&lt;wsp:rsid wsp:val=&quot;00D05571&quot;/&gt;&lt;wsp:rsid wsp:val=&quot;00D0571D&quot;/&gt;&lt;wsp:rsid wsp:val=&quot;00D059EF&quot;/&gt;&lt;wsp:rsid wsp:val=&quot;00D05B66&quot;/&gt;&lt;wsp:rsid wsp:val=&quot;00D05D06&quot;/&gt;&lt;wsp:rsid wsp:val=&quot;00D06000&quot;/&gt;&lt;wsp:rsid wsp:val=&quot;00D0649B&quot;/&gt;&lt;wsp:rsid wsp:val=&quot;00D067F3&quot;/&gt;&lt;wsp:rsid wsp:val=&quot;00D07D78&quot;/&gt;&lt;wsp:rsid wsp:val=&quot;00D07E5C&quot;/&gt;&lt;wsp:rsid wsp:val=&quot;00D07F5A&quot;/&gt;&lt;wsp:rsid wsp:val=&quot;00D07FEA&quot;/&gt;&lt;wsp:rsid wsp:val=&quot;00D10C47&quot;/&gt;&lt;wsp:rsid wsp:val=&quot;00D10F61&quot;/&gt;&lt;wsp:rsid wsp:val=&quot;00D11A47&quot;/&gt;&lt;wsp:rsid wsp:val=&quot;00D11BBE&quot;/&gt;&lt;wsp:rsid wsp:val=&quot;00D11BC5&quot;/&gt;&lt;wsp:rsid wsp:val=&quot;00D120A3&quot;/&gt;&lt;wsp:rsid wsp:val=&quot;00D12124&quot;/&gt;&lt;wsp:rsid wsp:val=&quot;00D1215C&quot;/&gt;&lt;wsp:rsid wsp:val=&quot;00D128A4&quot;/&gt;&lt;wsp:rsid wsp:val=&quot;00D12983&quot;/&gt;&lt;wsp:rsid wsp:val=&quot;00D12D49&quot;/&gt;&lt;wsp:rsid wsp:val=&quot;00D12E4E&quot;/&gt;&lt;wsp:rsid wsp:val=&quot;00D12FE3&quot;/&gt;&lt;wsp:rsid wsp:val=&quot;00D130F2&quot;/&gt;&lt;wsp:rsid wsp:val=&quot;00D13DC3&quot;/&gt;&lt;wsp:rsid wsp:val=&quot;00D143DF&quot;/&gt;&lt;wsp:rsid wsp:val=&quot;00D14B32&quot;/&gt;&lt;wsp:rsid wsp:val=&quot;00D14DFF&quot;/&gt;&lt;wsp:rsid wsp:val=&quot;00D14E96&quot;/&gt;&lt;wsp:rsid wsp:val=&quot;00D1567E&quot;/&gt;&lt;wsp:rsid wsp:val=&quot;00D15732&quot;/&gt;&lt;wsp:rsid wsp:val=&quot;00D164B9&quot;/&gt;&lt;wsp:rsid wsp:val=&quot;00D16750&quot;/&gt;&lt;wsp:rsid wsp:val=&quot;00D16BCA&quot;/&gt;&lt;wsp:rsid wsp:val=&quot;00D16DBD&quot;/&gt;&lt;wsp:rsid wsp:val=&quot;00D16F4D&quot;/&gt;&lt;wsp:rsid wsp:val=&quot;00D17157&quot;/&gt;&lt;wsp:rsid wsp:val=&quot;00D173FA&quot;/&gt;&lt;wsp:rsid wsp:val=&quot;00D17940&quot;/&gt;&lt;wsp:rsid wsp:val=&quot;00D17E8C&quot;/&gt;&lt;wsp:rsid wsp:val=&quot;00D200AD&quot;/&gt;&lt;wsp:rsid wsp:val=&quot;00D209D7&quot;/&gt;&lt;wsp:rsid wsp:val=&quot;00D20C20&quot;/&gt;&lt;wsp:rsid wsp:val=&quot;00D217CF&quot;/&gt;&lt;wsp:rsid wsp:val=&quot;00D21CD2&quot;/&gt;&lt;wsp:rsid wsp:val=&quot;00D21CFA&quot;/&gt;&lt;wsp:rsid wsp:val=&quot;00D22113&quot;/&gt;&lt;wsp:rsid wsp:val=&quot;00D221B7&quot;/&gt;&lt;wsp:rsid wsp:val=&quot;00D222C6&quot;/&gt;&lt;wsp:rsid wsp:val=&quot;00D2283C&quot;/&gt;&lt;wsp:rsid wsp:val=&quot;00D22A80&quot;/&gt;&lt;wsp:rsid wsp:val=&quot;00D22C0A&quot;/&gt;&lt;wsp:rsid wsp:val=&quot;00D22C30&quot;/&gt;&lt;wsp:rsid wsp:val=&quot;00D22D4A&quot;/&gt;&lt;wsp:rsid wsp:val=&quot;00D22F3C&quot;/&gt;&lt;wsp:rsid wsp:val=&quot;00D230A4&quot;/&gt;&lt;wsp:rsid wsp:val=&quot;00D230F3&quot;/&gt;&lt;wsp:rsid wsp:val=&quot;00D23122&quot;/&gt;&lt;wsp:rsid wsp:val=&quot;00D232BF&quot;/&gt;&lt;wsp:rsid wsp:val=&quot;00D235CC&quot;/&gt;&lt;wsp:rsid wsp:val=&quot;00D2386E&quot;/&gt;&lt;wsp:rsid wsp:val=&quot;00D23D5B&quot;/&gt;&lt;wsp:rsid wsp:val=&quot;00D241B0&quot;/&gt;&lt;wsp:rsid wsp:val=&quot;00D2453C&quot;/&gt;&lt;wsp:rsid wsp:val=&quot;00D2459F&quot;/&gt;&lt;wsp:rsid wsp:val=&quot;00D24907&quot;/&gt;&lt;wsp:rsid wsp:val=&quot;00D249D2&quot;/&gt;&lt;wsp:rsid wsp:val=&quot;00D24DE7&quot;/&gt;&lt;wsp:rsid wsp:val=&quot;00D2516D&quot;/&gt;&lt;wsp:rsid wsp:val=&quot;00D25873&quot;/&gt;&lt;wsp:rsid wsp:val=&quot;00D25DAF&quot;/&gt;&lt;wsp:rsid wsp:val=&quot;00D26301&quot;/&gt;&lt;wsp:rsid wsp:val=&quot;00D26D39&quot;/&gt;&lt;wsp:rsid wsp:val=&quot;00D27409&quot;/&gt;&lt;wsp:rsid wsp:val=&quot;00D27540&quot;/&gt;&lt;wsp:rsid wsp:val=&quot;00D27769&quot;/&gt;&lt;wsp:rsid wsp:val=&quot;00D279B8&quot;/&gt;&lt;wsp:rsid wsp:val=&quot;00D27F7C&quot;/&gt;&lt;wsp:rsid wsp:val=&quot;00D30128&quot;/&gt;&lt;wsp:rsid wsp:val=&quot;00D30372&quot;/&gt;&lt;wsp:rsid wsp:val=&quot;00D307D2&quot;/&gt;&lt;wsp:rsid wsp:val=&quot;00D30BD5&quot;/&gt;&lt;wsp:rsid wsp:val=&quot;00D30C40&quot;/&gt;&lt;wsp:rsid wsp:val=&quot;00D310FA&quot;/&gt;&lt;wsp:rsid wsp:val=&quot;00D315BB&quot;/&gt;&lt;wsp:rsid wsp:val=&quot;00D31981&quot;/&gt;&lt;wsp:rsid wsp:val=&quot;00D31BA6&quot;/&gt;&lt;wsp:rsid wsp:val=&quot;00D31CFC&quot;/&gt;&lt;wsp:rsid wsp:val=&quot;00D322C2&quot;/&gt;&lt;wsp:rsid wsp:val=&quot;00D32411&quot;/&gt;&lt;wsp:rsid wsp:val=&quot;00D324ED&quot;/&gt;&lt;wsp:rsid wsp:val=&quot;00D33035&quot;/&gt;&lt;wsp:rsid wsp:val=&quot;00D33038&quot;/&gt;&lt;wsp:rsid wsp:val=&quot;00D33275&quot;/&gt;&lt;wsp:rsid wsp:val=&quot;00D33278&quot;/&gt;&lt;wsp:rsid wsp:val=&quot;00D335C3&quot;/&gt;&lt;wsp:rsid wsp:val=&quot;00D3375E&quot;/&gt;&lt;wsp:rsid wsp:val=&quot;00D33852&quot;/&gt;&lt;wsp:rsid wsp:val=&quot;00D33D31&quot;/&gt;&lt;wsp:rsid wsp:val=&quot;00D344A7&quot;/&gt;&lt;wsp:rsid wsp:val=&quot;00D34757&quot;/&gt;&lt;wsp:rsid wsp:val=&quot;00D34B46&quot;/&gt;&lt;wsp:rsid wsp:val=&quot;00D350C4&quot;/&gt;&lt;wsp:rsid wsp:val=&quot;00D3559B&quot;/&gt;&lt;wsp:rsid wsp:val=&quot;00D35E85&quot;/&gt;&lt;wsp:rsid wsp:val=&quot;00D360F1&quot;/&gt;&lt;wsp:rsid wsp:val=&quot;00D36322&quot;/&gt;&lt;wsp:rsid wsp:val=&quot;00D366D9&quot;/&gt;&lt;wsp:rsid wsp:val=&quot;00D36DF2&quot;/&gt;&lt;wsp:rsid wsp:val=&quot;00D37431&quot;/&gt;&lt;wsp:rsid wsp:val=&quot;00D37733&quot;/&gt;&lt;wsp:rsid wsp:val=&quot;00D37A21&quot;/&gt;&lt;wsp:rsid wsp:val=&quot;00D37AAF&quot;/&gt;&lt;wsp:rsid wsp:val=&quot;00D37B37&quot;/&gt;&lt;wsp:rsid wsp:val=&quot;00D37BFA&quot;/&gt;&lt;wsp:rsid wsp:val=&quot;00D37EA6&quot;/&gt;&lt;wsp:rsid wsp:val=&quot;00D40872&quot;/&gt;&lt;wsp:rsid wsp:val=&quot;00D40E7C&quot;/&gt;&lt;wsp:rsid wsp:val=&quot;00D40F27&quot;/&gt;&lt;wsp:rsid wsp:val=&quot;00D41179&quot;/&gt;&lt;wsp:rsid wsp:val=&quot;00D41803&quot;/&gt;&lt;wsp:rsid wsp:val=&quot;00D41A05&quot;/&gt;&lt;wsp:rsid wsp:val=&quot;00D41A3B&quot;/&gt;&lt;wsp:rsid wsp:val=&quot;00D41A7D&quot;/&gt;&lt;wsp:rsid wsp:val=&quot;00D41C03&quot;/&gt;&lt;wsp:rsid wsp:val=&quot;00D42B7C&quot;/&gt;&lt;wsp:rsid wsp:val=&quot;00D43133&quot;/&gt;&lt;wsp:rsid wsp:val=&quot;00D4322E&quot;/&gt;&lt;wsp:rsid wsp:val=&quot;00D43AFC&quot;/&gt;&lt;wsp:rsid wsp:val=&quot;00D43C8E&quot;/&gt;&lt;wsp:rsid wsp:val=&quot;00D43DA5&quot;/&gt;&lt;wsp:rsid wsp:val=&quot;00D44404&quot;/&gt;&lt;wsp:rsid wsp:val=&quot;00D44638&quot;/&gt;&lt;wsp:rsid wsp:val=&quot;00D4497C&quot;/&gt;&lt;wsp:rsid wsp:val=&quot;00D449A0&quot;/&gt;&lt;wsp:rsid wsp:val=&quot;00D44E88&quot;/&gt;&lt;wsp:rsid wsp:val=&quot;00D450A2&quot;/&gt;&lt;wsp:rsid wsp:val=&quot;00D45419&quot;/&gt;&lt;wsp:rsid wsp:val=&quot;00D457BD&quot;/&gt;&lt;wsp:rsid wsp:val=&quot;00D46514&quot;/&gt;&lt;wsp:rsid wsp:val=&quot;00D46798&quot;/&gt;&lt;wsp:rsid wsp:val=&quot;00D46ADF&quot;/&gt;&lt;wsp:rsid wsp:val=&quot;00D46C81&quot;/&gt;&lt;wsp:rsid wsp:val=&quot;00D47673&quot;/&gt;&lt;wsp:rsid wsp:val=&quot;00D47B77&quot;/&gt;&lt;wsp:rsid wsp:val=&quot;00D50034&quot;/&gt;&lt;wsp:rsid wsp:val=&quot;00D503EC&quot;/&gt;&lt;wsp:rsid wsp:val=&quot;00D50F65&quot;/&gt;&lt;wsp:rsid wsp:val=&quot;00D50F81&quot;/&gt;&lt;wsp:rsid wsp:val=&quot;00D51720&quot;/&gt;&lt;wsp:rsid wsp:val=&quot;00D51B2A&quot;/&gt;&lt;wsp:rsid wsp:val=&quot;00D51D4A&quot;/&gt;&lt;wsp:rsid wsp:val=&quot;00D52209&quot;/&gt;&lt;wsp:rsid wsp:val=&quot;00D5234B&quot;/&gt;&lt;wsp:rsid wsp:val=&quot;00D52395&quot;/&gt;&lt;wsp:rsid wsp:val=&quot;00D52581&quot;/&gt;&lt;wsp:rsid wsp:val=&quot;00D52759&quot;/&gt;&lt;wsp:rsid wsp:val=&quot;00D52769&quot;/&gt;&lt;wsp:rsid wsp:val=&quot;00D52807&quot;/&gt;&lt;wsp:rsid wsp:val=&quot;00D52BB3&quot;/&gt;&lt;wsp:rsid wsp:val=&quot;00D52C1D&quot;/&gt;&lt;wsp:rsid wsp:val=&quot;00D53964&quot;/&gt;&lt;wsp:rsid wsp:val=&quot;00D53984&quot;/&gt;&lt;wsp:rsid wsp:val=&quot;00D53BAC&quot;/&gt;&lt;wsp:rsid wsp:val=&quot;00D53BE1&quot;/&gt;&lt;wsp:rsid wsp:val=&quot;00D53C87&quot;/&gt;&lt;wsp:rsid wsp:val=&quot;00D54868&quot;/&gt;&lt;wsp:rsid wsp:val=&quot;00D54C61&quot;/&gt;&lt;wsp:rsid wsp:val=&quot;00D54D1E&quot;/&gt;&lt;wsp:rsid wsp:val=&quot;00D55266&quot;/&gt;&lt;wsp:rsid wsp:val=&quot;00D55283&quot;/&gt;&lt;wsp:rsid wsp:val=&quot;00D5595E&quot;/&gt;&lt;wsp:rsid wsp:val=&quot;00D55BCE&quot;/&gt;&lt;wsp:rsid wsp:val=&quot;00D5613C&quot;/&gt;&lt;wsp:rsid wsp:val=&quot;00D56253&quot;/&gt;&lt;wsp:rsid wsp:val=&quot;00D56498&quot;/&gt;&lt;wsp:rsid wsp:val=&quot;00D567FE&quot;/&gt;&lt;wsp:rsid wsp:val=&quot;00D56CE8&quot;/&gt;&lt;wsp:rsid wsp:val=&quot;00D5731E&quot;/&gt;&lt;wsp:rsid wsp:val=&quot;00D579C3&quot;/&gt;&lt;wsp:rsid wsp:val=&quot;00D57E09&quot;/&gt;&lt;wsp:rsid wsp:val=&quot;00D6016A&quot;/&gt;&lt;wsp:rsid wsp:val=&quot;00D60191&quot;/&gt;&lt;wsp:rsid wsp:val=&quot;00D61005&quot;/&gt;&lt;wsp:rsid wsp:val=&quot;00D61015&quot;/&gt;&lt;wsp:rsid wsp:val=&quot;00D61131&quot;/&gt;&lt;wsp:rsid wsp:val=&quot;00D611BB&quot;/&gt;&lt;wsp:rsid wsp:val=&quot;00D61829&quot;/&gt;&lt;wsp:rsid wsp:val=&quot;00D61A11&quot;/&gt;&lt;wsp:rsid wsp:val=&quot;00D61ADA&quot;/&gt;&lt;wsp:rsid wsp:val=&quot;00D61BEC&quot;/&gt;&lt;wsp:rsid wsp:val=&quot;00D61EBC&quot;/&gt;&lt;wsp:rsid wsp:val=&quot;00D61F64&quot;/&gt;&lt;wsp:rsid wsp:val=&quot;00D620A2&quot;/&gt;&lt;wsp:rsid wsp:val=&quot;00D622CE&quot;/&gt;&lt;wsp:rsid wsp:val=&quot;00D625F9&quot;/&gt;&lt;wsp:rsid wsp:val=&quot;00D626BE&quot;/&gt;&lt;wsp:rsid wsp:val=&quot;00D627CF&quot;/&gt;&lt;wsp:rsid wsp:val=&quot;00D62824&quot;/&gt;&lt;wsp:rsid wsp:val=&quot;00D6298A&quot;/&gt;&lt;wsp:rsid wsp:val=&quot;00D62A18&quot;/&gt;&lt;wsp:rsid wsp:val=&quot;00D62B58&quot;/&gt;&lt;wsp:rsid wsp:val=&quot;00D630C5&quot;/&gt;&lt;wsp:rsid wsp:val=&quot;00D636AD&quot;/&gt;&lt;wsp:rsid wsp:val=&quot;00D63D63&quot;/&gt;&lt;wsp:rsid wsp:val=&quot;00D64252&quot;/&gt;&lt;wsp:rsid wsp:val=&quot;00D64417&quot;/&gt;&lt;wsp:rsid wsp:val=&quot;00D6444A&quot;/&gt;&lt;wsp:rsid wsp:val=&quot;00D644E7&quot;/&gt;&lt;wsp:rsid wsp:val=&quot;00D646C6&quot;/&gt;&lt;wsp:rsid wsp:val=&quot;00D64822&quot;/&gt;&lt;wsp:rsid wsp:val=&quot;00D652FF&quot;/&gt;&lt;wsp:rsid wsp:val=&quot;00D653DB&quot;/&gt;&lt;wsp:rsid wsp:val=&quot;00D654C8&quot;/&gt;&lt;wsp:rsid wsp:val=&quot;00D6567B&quot;/&gt;&lt;wsp:rsid wsp:val=&quot;00D65AA1&quot;/&gt;&lt;wsp:rsid wsp:val=&quot;00D6638B&quot;/&gt;&lt;wsp:rsid wsp:val=&quot;00D66DD9&quot;/&gt;&lt;wsp:rsid wsp:val=&quot;00D66FA6&quot;/&gt;&lt;wsp:rsid wsp:val=&quot;00D671DD&quot;/&gt;&lt;wsp:rsid wsp:val=&quot;00D67240&quot;/&gt;&lt;wsp:rsid wsp:val=&quot;00D678AC&quot;/&gt;&lt;wsp:rsid wsp:val=&quot;00D67A44&quot;/&gt;&lt;wsp:rsid wsp:val=&quot;00D67C73&quot;/&gt;&lt;wsp:rsid wsp:val=&quot;00D7030E&quot;/&gt;&lt;wsp:rsid wsp:val=&quot;00D703A3&quot;/&gt;&lt;wsp:rsid wsp:val=&quot;00D7040C&quot;/&gt;&lt;wsp:rsid wsp:val=&quot;00D705E7&quot;/&gt;&lt;wsp:rsid wsp:val=&quot;00D7074F&quot;/&gt;&lt;wsp:rsid wsp:val=&quot;00D70CD1&quot;/&gt;&lt;wsp:rsid wsp:val=&quot;00D70E7A&quot;/&gt;&lt;wsp:rsid wsp:val=&quot;00D70F4A&quot;/&gt;&lt;wsp:rsid wsp:val=&quot;00D71546&quot;/&gt;&lt;wsp:rsid wsp:val=&quot;00D716E8&quot;/&gt;&lt;wsp:rsid wsp:val=&quot;00D71916&quot;/&gt;&lt;wsp:rsid wsp:val=&quot;00D719E6&quot;/&gt;&lt;wsp:rsid wsp:val=&quot;00D71CEF&quot;/&gt;&lt;wsp:rsid wsp:val=&quot;00D7218F&quot;/&gt;&lt;wsp:rsid wsp:val=&quot;00D72199&quot;/&gt;&lt;wsp:rsid wsp:val=&quot;00D72232&quot;/&gt;&lt;wsp:rsid wsp:val=&quot;00D722CF&quot;/&gt;&lt;wsp:rsid wsp:val=&quot;00D725DB&quot;/&gt;&lt;wsp:rsid wsp:val=&quot;00D72C5F&quot;/&gt;&lt;wsp:rsid wsp:val=&quot;00D72DA4&quot;/&gt;&lt;wsp:rsid wsp:val=&quot;00D732EE&quot;/&gt;&lt;wsp:rsid wsp:val=&quot;00D73338&quot;/&gt;&lt;wsp:rsid wsp:val=&quot;00D73348&quot;/&gt;&lt;wsp:rsid wsp:val=&quot;00D73FD6&quot;/&gt;&lt;wsp:rsid wsp:val=&quot;00D74262&quot;/&gt;&lt;wsp:rsid wsp:val=&quot;00D7433C&quot;/&gt;&lt;wsp:rsid wsp:val=&quot;00D74575&quot;/&gt;&lt;wsp:rsid wsp:val=&quot;00D7465E&quot;/&gt;&lt;wsp:rsid wsp:val=&quot;00D74A56&quot;/&gt;&lt;wsp:rsid wsp:val=&quot;00D74D31&quot;/&gt;&lt;wsp:rsid wsp:val=&quot;00D74D6F&quot;/&gt;&lt;wsp:rsid wsp:val=&quot;00D74EF6&quot;/&gt;&lt;wsp:rsid wsp:val=&quot;00D74F07&quot;/&gt;&lt;wsp:rsid wsp:val=&quot;00D74F9C&quot;/&gt;&lt;wsp:rsid wsp:val=&quot;00D75012&quot;/&gt;&lt;wsp:rsid wsp:val=&quot;00D75773&quot;/&gt;&lt;wsp:rsid wsp:val=&quot;00D760A9&quot;/&gt;&lt;wsp:rsid wsp:val=&quot;00D760CF&quot;/&gt;&lt;wsp:rsid wsp:val=&quot;00D763C6&quot;/&gt;&lt;wsp:rsid wsp:val=&quot;00D76440&quot;/&gt;&lt;wsp:rsid wsp:val=&quot;00D76731&quot;/&gt;&lt;wsp:rsid wsp:val=&quot;00D7695D&quot;/&gt;&lt;wsp:rsid wsp:val=&quot;00D77746&quot;/&gt;&lt;wsp:rsid wsp:val=&quot;00D778C2&quot;/&gt;&lt;wsp:rsid wsp:val=&quot;00D77CA3&quot;/&gt;&lt;wsp:rsid wsp:val=&quot;00D8038B&quot;/&gt;&lt;wsp:rsid wsp:val=&quot;00D803E5&quot;/&gt;&lt;wsp:rsid wsp:val=&quot;00D80BA3&quot;/&gt;&lt;wsp:rsid wsp:val=&quot;00D80E47&quot;/&gt;&lt;wsp:rsid wsp:val=&quot;00D813D1&quot;/&gt;&lt;wsp:rsid wsp:val=&quot;00D81428&quot;/&gt;&lt;wsp:rsid wsp:val=&quot;00D818D9&quot;/&gt;&lt;wsp:rsid wsp:val=&quot;00D81B53&quot;/&gt;&lt;wsp:rsid wsp:val=&quot;00D81D91&quot;/&gt;&lt;wsp:rsid wsp:val=&quot;00D81E8A&quot;/&gt;&lt;wsp:rsid wsp:val=&quot;00D82675&quot;/&gt;&lt;wsp:rsid wsp:val=&quot;00D8270A&quot;/&gt;&lt;wsp:rsid wsp:val=&quot;00D82A8E&quot;/&gt;&lt;wsp:rsid wsp:val=&quot;00D82DF1&quot;/&gt;&lt;wsp:rsid wsp:val=&quot;00D82EF5&quot;/&gt;&lt;wsp:rsid wsp:val=&quot;00D831D9&quot;/&gt;&lt;wsp:rsid wsp:val=&quot;00D83235&quot;/&gt;&lt;wsp:rsid wsp:val=&quot;00D8393F&quot;/&gt;&lt;wsp:rsid wsp:val=&quot;00D840E6&quot;/&gt;&lt;wsp:rsid wsp:val=&quot;00D8429C&quot;/&gt;&lt;wsp:rsid wsp:val=&quot;00D842D4&quot;/&gt;&lt;wsp:rsid wsp:val=&quot;00D84621&quot;/&gt;&lt;wsp:rsid wsp:val=&quot;00D8462B&quot;/&gt;&lt;wsp:rsid wsp:val=&quot;00D84941&quot;/&gt;&lt;wsp:rsid wsp:val=&quot;00D8521F&quot;/&gt;&lt;wsp:rsid wsp:val=&quot;00D85335&quot;/&gt;&lt;wsp:rsid wsp:val=&quot;00D856EC&quot;/&gt;&lt;wsp:rsid wsp:val=&quot;00D8570C&quot;/&gt;&lt;wsp:rsid wsp:val=&quot;00D85824&quot;/&gt;&lt;wsp:rsid wsp:val=&quot;00D85C69&quot;/&gt;&lt;wsp:rsid wsp:val=&quot;00D85C72&quot;/&gt;&lt;wsp:rsid wsp:val=&quot;00D85DEB&quot;/&gt;&lt;wsp:rsid wsp:val=&quot;00D861F0&quot;/&gt;&lt;wsp:rsid wsp:val=&quot;00D86504&quot;/&gt;&lt;wsp:rsid wsp:val=&quot;00D86DFF&quot;/&gt;&lt;wsp:rsid wsp:val=&quot;00D87212&quot;/&gt;&lt;wsp:rsid wsp:val=&quot;00D87551&quot;/&gt;&lt;wsp:rsid wsp:val=&quot;00D87C1E&quot;/&gt;&lt;wsp:rsid wsp:val=&quot;00D90067&quot;/&gt;&lt;wsp:rsid wsp:val=&quot;00D903FC&quot;/&gt;&lt;wsp:rsid wsp:val=&quot;00D903FF&quot;/&gt;&lt;wsp:rsid wsp:val=&quot;00D9066D&quot;/&gt;&lt;wsp:rsid wsp:val=&quot;00D90844&quot;/&gt;&lt;wsp:rsid wsp:val=&quot;00D90C47&quot;/&gt;&lt;wsp:rsid wsp:val=&quot;00D90CDB&quot;/&gt;&lt;wsp:rsid wsp:val=&quot;00D9124E&quot;/&gt;&lt;wsp:rsid wsp:val=&quot;00D917CA&quot;/&gt;&lt;wsp:rsid wsp:val=&quot;00D918CD&quot;/&gt;&lt;wsp:rsid wsp:val=&quot;00D9196C&quot;/&gt;&lt;wsp:rsid wsp:val=&quot;00D91C21&quot;/&gt;&lt;wsp:rsid wsp:val=&quot;00D91EC6&quot;/&gt;&lt;wsp:rsid wsp:val=&quot;00D91F11&quot;/&gt;&lt;wsp:rsid wsp:val=&quot;00D91FF6&quot;/&gt;&lt;wsp:rsid wsp:val=&quot;00D922E8&quot;/&gt;&lt;wsp:rsid wsp:val=&quot;00D92491&quot;/&gt;&lt;wsp:rsid wsp:val=&quot;00D92AE3&quot;/&gt;&lt;wsp:rsid wsp:val=&quot;00D92CE4&quot;/&gt;&lt;wsp:rsid wsp:val=&quot;00D934D4&quot;/&gt;&lt;wsp:rsid wsp:val=&quot;00D935B0&quot;/&gt;&lt;wsp:rsid wsp:val=&quot;00D93895&quot;/&gt;&lt;wsp:rsid wsp:val=&quot;00D93B30&quot;/&gt;&lt;wsp:rsid wsp:val=&quot;00D93EE5&quot;/&gt;&lt;wsp:rsid wsp:val=&quot;00D9400B&quot;/&gt;&lt;wsp:rsid wsp:val=&quot;00D94351&quot;/&gt;&lt;wsp:rsid wsp:val=&quot;00D9436E&quot;/&gt;&lt;wsp:rsid wsp:val=&quot;00D9442C&quot;/&gt;&lt;wsp:rsid wsp:val=&quot;00D94635&quot;/&gt;&lt;wsp:rsid wsp:val=&quot;00D95228&quot;/&gt;&lt;wsp:rsid wsp:val=&quot;00D957C3&quot;/&gt;&lt;wsp:rsid wsp:val=&quot;00D95AF4&quot;/&gt;&lt;wsp:rsid wsp:val=&quot;00D95CB7&quot;/&gt;&lt;wsp:rsid wsp:val=&quot;00D96247&quot;/&gt;&lt;wsp:rsid wsp:val=&quot;00D9632F&quot;/&gt;&lt;wsp:rsid wsp:val=&quot;00D9690E&quot;/&gt;&lt;wsp:rsid wsp:val=&quot;00D97DC7&quot;/&gt;&lt;wsp:rsid wsp:val=&quot;00D97EE3&quot;/&gt;&lt;wsp:rsid wsp:val=&quot;00DA00AE&quot;/&gt;&lt;wsp:rsid wsp:val=&quot;00DA0108&quot;/&gt;&lt;wsp:rsid wsp:val=&quot;00DA01C4&quot;/&gt;&lt;wsp:rsid wsp:val=&quot;00DA0DD0&quot;/&gt;&lt;wsp:rsid wsp:val=&quot;00DA1876&quot;/&gt;&lt;wsp:rsid wsp:val=&quot;00DA1992&quot;/&gt;&lt;wsp:rsid wsp:val=&quot;00DA1A61&quot;/&gt;&lt;wsp:rsid wsp:val=&quot;00DA1BBD&quot;/&gt;&lt;wsp:rsid wsp:val=&quot;00DA27FD&quot;/&gt;&lt;wsp:rsid wsp:val=&quot;00DA281D&quot;/&gt;&lt;wsp:rsid wsp:val=&quot;00DA2B3F&quot;/&gt;&lt;wsp:rsid wsp:val=&quot;00DA2D48&quot;/&gt;&lt;wsp:rsid wsp:val=&quot;00DA31D6&quot;/&gt;&lt;wsp:rsid wsp:val=&quot;00DA32ED&quot;/&gt;&lt;wsp:rsid wsp:val=&quot;00DA355F&quot;/&gt;&lt;wsp:rsid wsp:val=&quot;00DA3637&quot;/&gt;&lt;wsp:rsid wsp:val=&quot;00DA3DE0&quot;/&gt;&lt;wsp:rsid wsp:val=&quot;00DA452D&quot;/&gt;&lt;wsp:rsid wsp:val=&quot;00DA4785&quot;/&gt;&lt;wsp:rsid wsp:val=&quot;00DA47F3&quot;/&gt;&lt;wsp:rsid wsp:val=&quot;00DA48A9&quot;/&gt;&lt;wsp:rsid wsp:val=&quot;00DA4AAB&quot;/&gt;&lt;wsp:rsid wsp:val=&quot;00DA4BE1&quot;/&gt;&lt;wsp:rsid wsp:val=&quot;00DA4C15&quot;/&gt;&lt;wsp:rsid wsp:val=&quot;00DA4CE7&quot;/&gt;&lt;wsp:rsid wsp:val=&quot;00DA4E26&quot;/&gt;&lt;wsp:rsid wsp:val=&quot;00DA4EDE&quot;/&gt;&lt;wsp:rsid wsp:val=&quot;00DA549C&quot;/&gt;&lt;wsp:rsid wsp:val=&quot;00DA54CD&quot;/&gt;&lt;wsp:rsid wsp:val=&quot;00DA571E&quot;/&gt;&lt;wsp:rsid wsp:val=&quot;00DA5943&quot;/&gt;&lt;wsp:rsid wsp:val=&quot;00DA5F1F&quot;/&gt;&lt;wsp:rsid wsp:val=&quot;00DA61F5&quot;/&gt;&lt;wsp:rsid wsp:val=&quot;00DA6232&quot;/&gt;&lt;wsp:rsid wsp:val=&quot;00DA65B2&quot;/&gt;&lt;wsp:rsid wsp:val=&quot;00DA662D&quot;/&gt;&lt;wsp:rsid wsp:val=&quot;00DA6ABD&quot;/&gt;&lt;wsp:rsid wsp:val=&quot;00DA6E57&quot;/&gt;&lt;wsp:rsid wsp:val=&quot;00DA7056&quot;/&gt;&lt;wsp:rsid wsp:val=&quot;00DA7340&quot;/&gt;&lt;wsp:rsid wsp:val=&quot;00DA7BA4&quot;/&gt;&lt;wsp:rsid wsp:val=&quot;00DA7E61&quot;/&gt;&lt;wsp:rsid wsp:val=&quot;00DA7FCB&quot;/&gt;&lt;wsp:rsid wsp:val=&quot;00DB01DB&quot;/&gt;&lt;wsp:rsid wsp:val=&quot;00DB09AB&quot;/&gt;&lt;wsp:rsid wsp:val=&quot;00DB0A6B&quot;/&gt;&lt;wsp:rsid wsp:val=&quot;00DB0C61&quot;/&gt;&lt;wsp:rsid wsp:val=&quot;00DB0FD0&quot;/&gt;&lt;wsp:rsid wsp:val=&quot;00DB111F&quot;/&gt;&lt;wsp:rsid wsp:val=&quot;00DB1156&quot;/&gt;&lt;wsp:rsid wsp:val=&quot;00DB1ADE&quot;/&gt;&lt;wsp:rsid wsp:val=&quot;00DB21F9&quot;/&gt;&lt;wsp:rsid wsp:val=&quot;00DB23E1&quot;/&gt;&lt;wsp:rsid wsp:val=&quot;00DB242E&quot;/&gt;&lt;wsp:rsid wsp:val=&quot;00DB247B&quot;/&gt;&lt;wsp:rsid wsp:val=&quot;00DB2500&quot;/&gt;&lt;wsp:rsid wsp:val=&quot;00DB25F7&quot;/&gt;&lt;wsp:rsid wsp:val=&quot;00DB2745&quot;/&gt;&lt;wsp:rsid wsp:val=&quot;00DB2810&quot;/&gt;&lt;wsp:rsid wsp:val=&quot;00DB296C&quot;/&gt;&lt;wsp:rsid wsp:val=&quot;00DB2979&quot;/&gt;&lt;wsp:rsid wsp:val=&quot;00DB29FA&quot;/&gt;&lt;wsp:rsid wsp:val=&quot;00DB2B88&quot;/&gt;&lt;wsp:rsid wsp:val=&quot;00DB2C50&quot;/&gt;&lt;wsp:rsid wsp:val=&quot;00DB32C4&quot;/&gt;&lt;wsp:rsid wsp:val=&quot;00DB3873&quot;/&gt;&lt;wsp:rsid wsp:val=&quot;00DB38FF&quot;/&gt;&lt;wsp:rsid wsp:val=&quot;00DB3F39&quot;/&gt;&lt;wsp:rsid wsp:val=&quot;00DB3FF4&quot;/&gt;&lt;wsp:rsid wsp:val=&quot;00DB4EA6&quot;/&gt;&lt;wsp:rsid wsp:val=&quot;00DB51A7&quot;/&gt;&lt;wsp:rsid wsp:val=&quot;00DB5222&quot;/&gt;&lt;wsp:rsid wsp:val=&quot;00DB5A41&quot;/&gt;&lt;wsp:rsid wsp:val=&quot;00DB5DD7&quot;/&gt;&lt;wsp:rsid wsp:val=&quot;00DB64EB&quot;/&gt;&lt;wsp:rsid wsp:val=&quot;00DB6A15&quot;/&gt;&lt;wsp:rsid wsp:val=&quot;00DB6C7B&quot;/&gt;&lt;wsp:rsid wsp:val=&quot;00DB71FD&quot;/&gt;&lt;wsp:rsid wsp:val=&quot;00DB756B&quot;/&gt;&lt;wsp:rsid wsp:val=&quot;00DB7684&quot;/&gt;&lt;wsp:rsid wsp:val=&quot;00DB7D5B&quot;/&gt;&lt;wsp:rsid wsp:val=&quot;00DB7F4C&quot;/&gt;&lt;wsp:rsid wsp:val=&quot;00DC037E&quot;/&gt;&lt;wsp:rsid wsp:val=&quot;00DC0828&quot;/&gt;&lt;wsp:rsid wsp:val=&quot;00DC085B&quot;/&gt;&lt;wsp:rsid wsp:val=&quot;00DC08CF&quot;/&gt;&lt;wsp:rsid wsp:val=&quot;00DC0984&quot;/&gt;&lt;wsp:rsid wsp:val=&quot;00DC0EC9&quot;/&gt;&lt;wsp:rsid wsp:val=&quot;00DC0ECC&quot;/&gt;&lt;wsp:rsid wsp:val=&quot;00DC141E&quot;/&gt;&lt;wsp:rsid wsp:val=&quot;00DC15EC&quot;/&gt;&lt;wsp:rsid wsp:val=&quot;00DC1957&quot;/&gt;&lt;wsp:rsid wsp:val=&quot;00DC1CFE&quot;/&gt;&lt;wsp:rsid wsp:val=&quot;00DC21D5&quot;/&gt;&lt;wsp:rsid wsp:val=&quot;00DC27DA&quot;/&gt;&lt;wsp:rsid wsp:val=&quot;00DC2C4C&quot;/&gt;&lt;wsp:rsid wsp:val=&quot;00DC2EE7&quot;/&gt;&lt;wsp:rsid wsp:val=&quot;00DC3280&quot;/&gt;&lt;wsp:rsid wsp:val=&quot;00DC3341&quot;/&gt;&lt;wsp:rsid wsp:val=&quot;00DC339F&quot;/&gt;&lt;wsp:rsid wsp:val=&quot;00DC33AB&quot;/&gt;&lt;wsp:rsid wsp:val=&quot;00DC3481&quot;/&gt;&lt;wsp:rsid wsp:val=&quot;00DC38A8&quot;/&gt;&lt;wsp:rsid wsp:val=&quot;00DC38BC&quot;/&gt;&lt;wsp:rsid wsp:val=&quot;00DC3992&quot;/&gt;&lt;wsp:rsid wsp:val=&quot;00DC3E04&quot;/&gt;&lt;wsp:rsid wsp:val=&quot;00DC402E&quot;/&gt;&lt;wsp:rsid wsp:val=&quot;00DC4284&quot;/&gt;&lt;wsp:rsid wsp:val=&quot;00DC4376&quot;/&gt;&lt;wsp:rsid wsp:val=&quot;00DC50F1&quot;/&gt;&lt;wsp:rsid wsp:val=&quot;00DC520C&quot;/&gt;&lt;wsp:rsid wsp:val=&quot;00DC535D&quot;/&gt;&lt;wsp:rsid wsp:val=&quot;00DC5445&quot;/&gt;&lt;wsp:rsid wsp:val=&quot;00DC562B&quot;/&gt;&lt;wsp:rsid wsp:val=&quot;00DC5FEC&quot;/&gt;&lt;wsp:rsid wsp:val=&quot;00DC6606&quot;/&gt;&lt;wsp:rsid wsp:val=&quot;00DC673D&quot;/&gt;&lt;wsp:rsid wsp:val=&quot;00DC67C7&quot;/&gt;&lt;wsp:rsid wsp:val=&quot;00DC69E6&quot;/&gt;&lt;wsp:rsid wsp:val=&quot;00DC6EDE&quot;/&gt;&lt;wsp:rsid wsp:val=&quot;00DC6F21&quot;/&gt;&lt;wsp:rsid wsp:val=&quot;00DC741A&quot;/&gt;&lt;wsp:rsid wsp:val=&quot;00DC751E&quot;/&gt;&lt;wsp:rsid wsp:val=&quot;00DC7B73&quot;/&gt;&lt;wsp:rsid wsp:val=&quot;00DC7C4E&quot;/&gt;&lt;wsp:rsid wsp:val=&quot;00DC7E15&quot;/&gt;&lt;wsp:rsid wsp:val=&quot;00DC7E27&quot;/&gt;&lt;wsp:rsid wsp:val=&quot;00DD01DC&quot;/&gt;&lt;wsp:rsid wsp:val=&quot;00DD042E&quot;/&gt;&lt;wsp:rsid wsp:val=&quot;00DD0A18&quot;/&gt;&lt;wsp:rsid wsp:val=&quot;00DD0A2F&quot;/&gt;&lt;wsp:rsid wsp:val=&quot;00DD0B4F&quot;/&gt;&lt;wsp:rsid wsp:val=&quot;00DD0C8C&quot;/&gt;&lt;wsp:rsid wsp:val=&quot;00DD109B&quot;/&gt;&lt;wsp:rsid wsp:val=&quot;00DD16ED&quot;/&gt;&lt;wsp:rsid wsp:val=&quot;00DD17BD&quot;/&gt;&lt;wsp:rsid wsp:val=&quot;00DD1B72&quot;/&gt;&lt;wsp:rsid wsp:val=&quot;00DD1D1C&quot;/&gt;&lt;wsp:rsid wsp:val=&quot;00DD237A&quot;/&gt;&lt;wsp:rsid wsp:val=&quot;00DD397C&quot;/&gt;&lt;wsp:rsid wsp:val=&quot;00DD3CEA&quot;/&gt;&lt;wsp:rsid wsp:val=&quot;00DD4838&quot;/&gt;&lt;wsp:rsid wsp:val=&quot;00DD4C81&quot;/&gt;&lt;wsp:rsid wsp:val=&quot;00DD54F2&quot;/&gt;&lt;wsp:rsid wsp:val=&quot;00DD55B0&quot;/&gt;&lt;wsp:rsid wsp:val=&quot;00DD68AB&quot;/&gt;&lt;wsp:rsid wsp:val=&quot;00DD69F4&quot;/&gt;&lt;wsp:rsid wsp:val=&quot;00DD7431&quot;/&gt;&lt;wsp:rsid wsp:val=&quot;00DD760A&quot;/&gt;&lt;wsp:rsid wsp:val=&quot;00DD7A76&quot;/&gt;&lt;wsp:rsid wsp:val=&quot;00DD7BC2&quot;/&gt;&lt;wsp:rsid wsp:val=&quot;00DD7E50&quot;/&gt;&lt;wsp:rsid wsp:val=&quot;00DE032C&quot;/&gt;&lt;wsp:rsid wsp:val=&quot;00DE0474&quot;/&gt;&lt;wsp:rsid wsp:val=&quot;00DE0727&quot;/&gt;&lt;wsp:rsid wsp:val=&quot;00DE0A01&quot;/&gt;&lt;wsp:rsid wsp:val=&quot;00DE0F9E&quot;/&gt;&lt;wsp:rsid wsp:val=&quot;00DE0FA7&quot;/&gt;&lt;wsp:rsid wsp:val=&quot;00DE1511&quot;/&gt;&lt;wsp:rsid wsp:val=&quot;00DE1522&quot;/&gt;&lt;wsp:rsid wsp:val=&quot;00DE1AC8&quot;/&gt;&lt;wsp:rsid wsp:val=&quot;00DE1F3F&quot;/&gt;&lt;wsp:rsid wsp:val=&quot;00DE2077&quot;/&gt;&lt;wsp:rsid wsp:val=&quot;00DE257A&quot;/&gt;&lt;wsp:rsid wsp:val=&quot;00DE287C&quot;/&gt;&lt;wsp:rsid wsp:val=&quot;00DE31E6&quot;/&gt;&lt;wsp:rsid wsp:val=&quot;00DE3718&quot;/&gt;&lt;wsp:rsid wsp:val=&quot;00DE38C1&quot;/&gt;&lt;wsp:rsid wsp:val=&quot;00DE3990&quot;/&gt;&lt;wsp:rsid wsp:val=&quot;00DE3D4C&quot;/&gt;&lt;wsp:rsid wsp:val=&quot;00DE3F61&quot;/&gt;&lt;wsp:rsid wsp:val=&quot;00DE4264&quot;/&gt;&lt;wsp:rsid wsp:val=&quot;00DE473A&quot;/&gt;&lt;wsp:rsid wsp:val=&quot;00DE47DB&quot;/&gt;&lt;wsp:rsid wsp:val=&quot;00DE4B48&quot;/&gt;&lt;wsp:rsid wsp:val=&quot;00DE4BD2&quot;/&gt;&lt;wsp:rsid wsp:val=&quot;00DE4C60&quot;/&gt;&lt;wsp:rsid wsp:val=&quot;00DE4E7A&quot;/&gt;&lt;wsp:rsid wsp:val=&quot;00DE585A&quot;/&gt;&lt;wsp:rsid wsp:val=&quot;00DE6784&quot;/&gt;&lt;wsp:rsid wsp:val=&quot;00DE6861&quot;/&gt;&lt;wsp:rsid wsp:val=&quot;00DE6C98&quot;/&gt;&lt;wsp:rsid wsp:val=&quot;00DE6F68&quot;/&gt;&lt;wsp:rsid wsp:val=&quot;00DE7C17&quot;/&gt;&lt;wsp:rsid wsp:val=&quot;00DE7CE1&quot;/&gt;&lt;wsp:rsid wsp:val=&quot;00DF02B9&quot;/&gt;&lt;wsp:rsid wsp:val=&quot;00DF043D&quot;/&gt;&lt;wsp:rsid wsp:val=&quot;00DF04F9&quot;/&gt;&lt;wsp:rsid wsp:val=&quot;00DF05F2&quot;/&gt;&lt;wsp:rsid wsp:val=&quot;00DF0C83&quot;/&gt;&lt;wsp:rsid wsp:val=&quot;00DF122E&quot;/&gt;&lt;wsp:rsid wsp:val=&quot;00DF1835&quot;/&gt;&lt;wsp:rsid wsp:val=&quot;00DF1838&quot;/&gt;&lt;wsp:rsid wsp:val=&quot;00DF1BB2&quot;/&gt;&lt;wsp:rsid wsp:val=&quot;00DF1CC0&quot;/&gt;&lt;wsp:rsid wsp:val=&quot;00DF2033&quot;/&gt;&lt;wsp:rsid wsp:val=&quot;00DF22C7&quot;/&gt;&lt;wsp:rsid wsp:val=&quot;00DF2408&quot;/&gt;&lt;wsp:rsid wsp:val=&quot;00DF281A&quot;/&gt;&lt;wsp:rsid wsp:val=&quot;00DF2B2A&quot;/&gt;&lt;wsp:rsid wsp:val=&quot;00DF2B65&quot;/&gt;&lt;wsp:rsid wsp:val=&quot;00DF324D&quot;/&gt;&lt;wsp:rsid wsp:val=&quot;00DF34E6&quot;/&gt;&lt;wsp:rsid wsp:val=&quot;00DF3C68&quot;/&gt;&lt;wsp:rsid wsp:val=&quot;00DF4AAE&quot;/&gt;&lt;wsp:rsid wsp:val=&quot;00DF4BE1&quot;/&gt;&lt;wsp:rsid wsp:val=&quot;00DF4DC9&quot;/&gt;&lt;wsp:rsid wsp:val=&quot;00DF4E74&quot;/&gt;&lt;wsp:rsid wsp:val=&quot;00DF54DF&quot;/&gt;&lt;wsp:rsid wsp:val=&quot;00DF55D6&quot;/&gt;&lt;wsp:rsid wsp:val=&quot;00DF5623&quot;/&gt;&lt;wsp:rsid wsp:val=&quot;00DF5F78&quot;/&gt;&lt;wsp:rsid wsp:val=&quot;00DF5FC0&quot;/&gt;&lt;wsp:rsid wsp:val=&quot;00DF6021&quot;/&gt;&lt;wsp:rsid wsp:val=&quot;00DF6457&quot;/&gt;&lt;wsp:rsid wsp:val=&quot;00DF64F5&quot;/&gt;&lt;wsp:rsid wsp:val=&quot;00DF6B13&quot;/&gt;&lt;wsp:rsid wsp:val=&quot;00DF737B&quot;/&gt;&lt;wsp:rsid wsp:val=&quot;00DF7C16&quot;/&gt;&lt;wsp:rsid wsp:val=&quot;00E00185&quot;/&gt;&lt;wsp:rsid wsp:val=&quot;00E0093C&quot;/&gt;&lt;wsp:rsid wsp:val=&quot;00E01018&quot;/&gt;&lt;wsp:rsid wsp:val=&quot;00E01634&quot;/&gt;&lt;wsp:rsid wsp:val=&quot;00E01C55&quot;/&gt;&lt;wsp:rsid wsp:val=&quot;00E01D5B&quot;/&gt;&lt;wsp:rsid wsp:val=&quot;00E01DC2&quot;/&gt;&lt;wsp:rsid wsp:val=&quot;00E021CD&quot;/&gt;&lt;wsp:rsid wsp:val=&quot;00E02227&quot;/&gt;&lt;wsp:rsid wsp:val=&quot;00E027BD&quot;/&gt;&lt;wsp:rsid wsp:val=&quot;00E02C60&quot;/&gt;&lt;wsp:rsid wsp:val=&quot;00E02EF2&quot;/&gt;&lt;wsp:rsid wsp:val=&quot;00E02FCD&quot;/&gt;&lt;wsp:rsid wsp:val=&quot;00E03172&quot;/&gt;&lt;wsp:rsid wsp:val=&quot;00E0321A&quot;/&gt;&lt;wsp:rsid wsp:val=&quot;00E03563&quot;/&gt;&lt;wsp:rsid wsp:val=&quot;00E037E5&quot;/&gt;&lt;wsp:rsid wsp:val=&quot;00E0384A&quot;/&gt;&lt;wsp:rsid wsp:val=&quot;00E0397E&quot;/&gt;&lt;wsp:rsid wsp:val=&quot;00E03CB0&quot;/&gt;&lt;wsp:rsid wsp:val=&quot;00E043AD&quot;/&gt;&lt;wsp:rsid wsp:val=&quot;00E0468B&quot;/&gt;&lt;wsp:rsid wsp:val=&quot;00E04764&quot;/&gt;&lt;wsp:rsid wsp:val=&quot;00E04C8A&quot;/&gt;&lt;wsp:rsid wsp:val=&quot;00E0514D&quot;/&gt;&lt;wsp:rsid wsp:val=&quot;00E0525B&quot;/&gt;&lt;wsp:rsid wsp:val=&quot;00E0547E&quot;/&gt;&lt;wsp:rsid wsp:val=&quot;00E0548D&quot;/&gt;&lt;wsp:rsid wsp:val=&quot;00E0589C&quot;/&gt;&lt;wsp:rsid wsp:val=&quot;00E05B76&quot;/&gt;&lt;wsp:rsid wsp:val=&quot;00E05E36&quot;/&gt;&lt;wsp:rsid wsp:val=&quot;00E06078&quot;/&gt;&lt;wsp:rsid wsp:val=&quot;00E06183&quot;/&gt;&lt;wsp:rsid wsp:val=&quot;00E06199&quot;/&gt;&lt;wsp:rsid wsp:val=&quot;00E064A1&quot;/&gt;&lt;wsp:rsid wsp:val=&quot;00E064D5&quot;/&gt;&lt;wsp:rsid wsp:val=&quot;00E068E7&quot;/&gt;&lt;wsp:rsid wsp:val=&quot;00E06D23&quot;/&gt;&lt;wsp:rsid wsp:val=&quot;00E07323&quot;/&gt;&lt;wsp:rsid wsp:val=&quot;00E07CED&quot;/&gt;&lt;wsp:rsid wsp:val=&quot;00E10057&quot;/&gt;&lt;wsp:rsid wsp:val=&quot;00E1009B&quot;/&gt;&lt;wsp:rsid wsp:val=&quot;00E10270&quot;/&gt;&lt;wsp:rsid wsp:val=&quot;00E10421&quot;/&gt;&lt;wsp:rsid wsp:val=&quot;00E104FF&quot;/&gt;&lt;wsp:rsid wsp:val=&quot;00E10748&quot;/&gt;&lt;wsp:rsid wsp:val=&quot;00E10E90&quot;/&gt;&lt;wsp:rsid wsp:val=&quot;00E10F69&quot;/&gt;&lt;wsp:rsid wsp:val=&quot;00E1107E&quot;/&gt;&lt;wsp:rsid wsp:val=&quot;00E111E0&quot;/&gt;&lt;wsp:rsid wsp:val=&quot;00E11503&quot;/&gt;&lt;wsp:rsid wsp:val=&quot;00E1151C&quot;/&gt;&lt;wsp:rsid wsp:val=&quot;00E11848&quot;/&gt;&lt;wsp:rsid wsp:val=&quot;00E11B3A&quot;/&gt;&lt;wsp:rsid wsp:val=&quot;00E11E52&quot;/&gt;&lt;wsp:rsid wsp:val=&quot;00E11F1C&quot;/&gt;&lt;wsp:rsid wsp:val=&quot;00E123DD&quot;/&gt;&lt;wsp:rsid wsp:val=&quot;00E126D5&quot;/&gt;&lt;wsp:rsid wsp:val=&quot;00E12E70&quot;/&gt;&lt;wsp:rsid wsp:val=&quot;00E1397B&quot;/&gt;&lt;wsp:rsid wsp:val=&quot;00E13F67&quot;/&gt;&lt;wsp:rsid wsp:val=&quot;00E14087&quot;/&gt;&lt;wsp:rsid wsp:val=&quot;00E140B5&quot;/&gt;&lt;wsp:rsid wsp:val=&quot;00E1418D&quot;/&gt;&lt;wsp:rsid wsp:val=&quot;00E1423A&quot;/&gt;&lt;wsp:rsid wsp:val=&quot;00E1461B&quot;/&gt;&lt;wsp:rsid wsp:val=&quot;00E14BC2&quot;/&gt;&lt;wsp:rsid wsp:val=&quot;00E14C96&quot;/&gt;&lt;wsp:rsid wsp:val=&quot;00E1560A&quot;/&gt;&lt;wsp:rsid wsp:val=&quot;00E1567C&quot;/&gt;&lt;wsp:rsid wsp:val=&quot;00E15869&quot;/&gt;&lt;wsp:rsid wsp:val=&quot;00E1609B&quot;/&gt;&lt;wsp:rsid wsp:val=&quot;00E166C2&quot;/&gt;&lt;wsp:rsid wsp:val=&quot;00E1675A&quot;/&gt;&lt;wsp:rsid wsp:val=&quot;00E167F9&quot;/&gt;&lt;wsp:rsid wsp:val=&quot;00E168A2&quot;/&gt;&lt;wsp:rsid wsp:val=&quot;00E16ADA&quot;/&gt;&lt;wsp:rsid wsp:val=&quot;00E16E47&quot;/&gt;&lt;wsp:rsid wsp:val=&quot;00E2023E&quot;/&gt;&lt;wsp:rsid wsp:val=&quot;00E20289&quot;/&gt;&lt;wsp:rsid wsp:val=&quot;00E20441&quot;/&gt;&lt;wsp:rsid wsp:val=&quot;00E204BF&quot;/&gt;&lt;wsp:rsid wsp:val=&quot;00E20548&quot;/&gt;&lt;wsp:rsid wsp:val=&quot;00E20830&quot;/&gt;&lt;wsp:rsid wsp:val=&quot;00E20A15&quot;/&gt;&lt;wsp:rsid wsp:val=&quot;00E20A70&quot;/&gt;&lt;wsp:rsid wsp:val=&quot;00E20B01&quot;/&gt;&lt;wsp:rsid wsp:val=&quot;00E20E29&quot;/&gt;&lt;wsp:rsid wsp:val=&quot;00E212C2&quot;/&gt;&lt;wsp:rsid wsp:val=&quot;00E21687&quot;/&gt;&lt;wsp:rsid wsp:val=&quot;00E21A4E&quot;/&gt;&lt;wsp:rsid wsp:val=&quot;00E21CCC&quot;/&gt;&lt;wsp:rsid wsp:val=&quot;00E21F08&quot;/&gt;&lt;wsp:rsid wsp:val=&quot;00E22182&quot;/&gt;&lt;wsp:rsid wsp:val=&quot;00E221B8&quot;/&gt;&lt;wsp:rsid wsp:val=&quot;00E227E9&quot;/&gt;&lt;wsp:rsid wsp:val=&quot;00E2290E&quot;/&gt;&lt;wsp:rsid wsp:val=&quot;00E22C48&quot;/&gt;&lt;wsp:rsid wsp:val=&quot;00E22F19&quot;/&gt;&lt;wsp:rsid wsp:val=&quot;00E23299&quot;/&gt;&lt;wsp:rsid wsp:val=&quot;00E237B6&quot;/&gt;&lt;wsp:rsid wsp:val=&quot;00E238DE&quot;/&gt;&lt;wsp:rsid wsp:val=&quot;00E23CC0&quot;/&gt;&lt;wsp:rsid wsp:val=&quot;00E24A62&quot;/&gt;&lt;wsp:rsid wsp:val=&quot;00E24B9B&quot;/&gt;&lt;wsp:rsid wsp:val=&quot;00E24BEA&quot;/&gt;&lt;wsp:rsid wsp:val=&quot;00E24E54&quot;/&gt;&lt;wsp:rsid wsp:val=&quot;00E24EDA&quot;/&gt;&lt;wsp:rsid wsp:val=&quot;00E25072&quot;/&gt;&lt;wsp:rsid wsp:val=&quot;00E25593&quot;/&gt;&lt;wsp:rsid wsp:val=&quot;00E25888&quot;/&gt;&lt;wsp:rsid wsp:val=&quot;00E25E6C&quot;/&gt;&lt;wsp:rsid wsp:val=&quot;00E25E82&quot;/&gt;&lt;wsp:rsid wsp:val=&quot;00E25EB6&quot;/&gt;&lt;wsp:rsid wsp:val=&quot;00E25FFA&quot;/&gt;&lt;wsp:rsid wsp:val=&quot;00E26226&quot;/&gt;&lt;wsp:rsid wsp:val=&quot;00E264E6&quot;/&gt;&lt;wsp:rsid wsp:val=&quot;00E26C3F&quot;/&gt;&lt;wsp:rsid wsp:val=&quot;00E2702B&quot;/&gt;&lt;wsp:rsid wsp:val=&quot;00E271D3&quot;/&gt;&lt;wsp:rsid wsp:val=&quot;00E27479&quot;/&gt;&lt;wsp:rsid wsp:val=&quot;00E30596&quot;/&gt;&lt;wsp:rsid wsp:val=&quot;00E306C3&quot;/&gt;&lt;wsp:rsid wsp:val=&quot;00E307C6&quot;/&gt;&lt;wsp:rsid wsp:val=&quot;00E30AFB&quot;/&gt;&lt;wsp:rsid wsp:val=&quot;00E30BAF&quot;/&gt;&lt;wsp:rsid wsp:val=&quot;00E31856&quot;/&gt;&lt;wsp:rsid wsp:val=&quot;00E31C9C&quot;/&gt;&lt;wsp:rsid wsp:val=&quot;00E31F8E&quot;/&gt;&lt;wsp:rsid wsp:val=&quot;00E3221D&quot;/&gt;&lt;wsp:rsid wsp:val=&quot;00E326FD&quot;/&gt;&lt;wsp:rsid wsp:val=&quot;00E32CF9&quot;/&gt;&lt;wsp:rsid wsp:val=&quot;00E32FF4&quot;/&gt;&lt;wsp:rsid wsp:val=&quot;00E33143&quot;/&gt;&lt;wsp:rsid wsp:val=&quot;00E33356&quot;/&gt;&lt;wsp:rsid wsp:val=&quot;00E3397C&quot;/&gt;&lt;wsp:rsid wsp:val=&quot;00E33D42&quot;/&gt;&lt;wsp:rsid wsp:val=&quot;00E343CE&quot;/&gt;&lt;wsp:rsid wsp:val=&quot;00E344DA&quot;/&gt;&lt;wsp:rsid wsp:val=&quot;00E3491A&quot;/&gt;&lt;wsp:rsid wsp:val=&quot;00E349B8&quot;/&gt;&lt;wsp:rsid wsp:val=&quot;00E34CA7&quot;/&gt;&lt;wsp:rsid wsp:val=&quot;00E352F7&quot;/&gt;&lt;wsp:rsid wsp:val=&quot;00E353D9&quot;/&gt;&lt;wsp:rsid wsp:val=&quot;00E35D66&quot;/&gt;&lt;wsp:rsid wsp:val=&quot;00E35E4B&quot;/&gt;&lt;wsp:rsid wsp:val=&quot;00E360FF&quot;/&gt;&lt;wsp:rsid wsp:val=&quot;00E3611C&quot;/&gt;&lt;wsp:rsid wsp:val=&quot;00E36230&quot;/&gt;&lt;wsp:rsid wsp:val=&quot;00E3631E&quot;/&gt;&lt;wsp:rsid wsp:val=&quot;00E368E4&quot;/&gt;&lt;wsp:rsid wsp:val=&quot;00E36976&quot;/&gt;&lt;wsp:rsid wsp:val=&quot;00E36BAA&quot;/&gt;&lt;wsp:rsid wsp:val=&quot;00E36CFB&quot;/&gt;&lt;wsp:rsid wsp:val=&quot;00E36D5C&quot;/&gt;&lt;wsp:rsid wsp:val=&quot;00E3715C&quot;/&gt;&lt;wsp:rsid wsp:val=&quot;00E37189&quot;/&gt;&lt;wsp:rsid wsp:val=&quot;00E371DE&quot;/&gt;&lt;wsp:rsid wsp:val=&quot;00E375F3&quot;/&gt;&lt;wsp:rsid wsp:val=&quot;00E376AB&quot;/&gt;&lt;wsp:rsid wsp:val=&quot;00E379D1&quot;/&gt;&lt;wsp:rsid wsp:val=&quot;00E37EC0&quot;/&gt;&lt;wsp:rsid wsp:val=&quot;00E408A8&quot;/&gt;&lt;wsp:rsid wsp:val=&quot;00E40E8C&quot;/&gt;&lt;wsp:rsid wsp:val=&quot;00E41B1C&quot;/&gt;&lt;wsp:rsid wsp:val=&quot;00E41C61&quot;/&gt;&lt;wsp:rsid wsp:val=&quot;00E41C86&quot;/&gt;&lt;wsp:rsid wsp:val=&quot;00E42244&quot;/&gt;&lt;wsp:rsid wsp:val=&quot;00E4230D&quot;/&gt;&lt;wsp:rsid wsp:val=&quot;00E42425&quot;/&gt;&lt;wsp:rsid wsp:val=&quot;00E4251A&quot;/&gt;&lt;wsp:rsid wsp:val=&quot;00E42B3F&quot;/&gt;&lt;wsp:rsid wsp:val=&quot;00E42F92&quot;/&gt;&lt;wsp:rsid wsp:val=&quot;00E4306E&quot;/&gt;&lt;wsp:rsid wsp:val=&quot;00E43143&quot;/&gt;&lt;wsp:rsid wsp:val=&quot;00E4319B&quot;/&gt;&lt;wsp:rsid wsp:val=&quot;00E431C0&quot;/&gt;&lt;wsp:rsid wsp:val=&quot;00E435DB&quot;/&gt;&lt;wsp:rsid wsp:val=&quot;00E438F3&quot;/&gt;&lt;wsp:rsid wsp:val=&quot;00E43E10&quot;/&gt;&lt;wsp:rsid wsp:val=&quot;00E44403&quot;/&gt;&lt;wsp:rsid wsp:val=&quot;00E4459E&quot;/&gt;&lt;wsp:rsid wsp:val=&quot;00E44B2F&quot;/&gt;&lt;wsp:rsid wsp:val=&quot;00E44BB0&quot;/&gt;&lt;wsp:rsid wsp:val=&quot;00E44BD4&quot;/&gt;&lt;wsp:rsid wsp:val=&quot;00E44E92&quot;/&gt;&lt;wsp:rsid wsp:val=&quot;00E44F03&quot;/&gt;&lt;wsp:rsid wsp:val=&quot;00E4550C&quot;/&gt;&lt;wsp:rsid wsp:val=&quot;00E455FF&quot;/&gt;&lt;wsp:rsid wsp:val=&quot;00E45677&quot;/&gt;&lt;wsp:rsid wsp:val=&quot;00E4598D&quot;/&gt;&lt;wsp:rsid wsp:val=&quot;00E45A35&quot;/&gt;&lt;wsp:rsid wsp:val=&quot;00E45E51&quot;/&gt;&lt;wsp:rsid wsp:val=&quot;00E46055&quot;/&gt;&lt;wsp:rsid wsp:val=&quot;00E46079&quot;/&gt;&lt;wsp:rsid wsp:val=&quot;00E46636&quot;/&gt;&lt;wsp:rsid wsp:val=&quot;00E467B0&quot;/&gt;&lt;wsp:rsid wsp:val=&quot;00E46983&quot;/&gt;&lt;wsp:rsid wsp:val=&quot;00E47160&quot;/&gt;&lt;wsp:rsid wsp:val=&quot;00E47596&quot;/&gt;&lt;wsp:rsid wsp:val=&quot;00E4778B&quot;/&gt;&lt;wsp:rsid wsp:val=&quot;00E47A0A&quot;/&gt;&lt;wsp:rsid wsp:val=&quot;00E5045D&quot;/&gt;&lt;wsp:rsid wsp:val=&quot;00E5056B&quot;/&gt;&lt;wsp:rsid wsp:val=&quot;00E50844&quot;/&gt;&lt;wsp:rsid wsp:val=&quot;00E50CB4&quot;/&gt;&lt;wsp:rsid wsp:val=&quot;00E50F14&quot;/&gt;&lt;wsp:rsid wsp:val=&quot;00E5122B&quot;/&gt;&lt;wsp:rsid wsp:val=&quot;00E5129B&quot;/&gt;&lt;wsp:rsid wsp:val=&quot;00E513EC&quot;/&gt;&lt;wsp:rsid wsp:val=&quot;00E51579&quot;/&gt;&lt;wsp:rsid wsp:val=&quot;00E51952&quot;/&gt;&lt;wsp:rsid wsp:val=&quot;00E51B97&quot;/&gt;&lt;wsp:rsid wsp:val=&quot;00E51E7C&quot;/&gt;&lt;wsp:rsid wsp:val=&quot;00E51FD7&quot;/&gt;&lt;wsp:rsid wsp:val=&quot;00E5213D&quot;/&gt;&lt;wsp:rsid wsp:val=&quot;00E5219B&quot;/&gt;&lt;wsp:rsid wsp:val=&quot;00E521BE&quot;/&gt;&lt;wsp:rsid wsp:val=&quot;00E52552&quot;/&gt;&lt;wsp:rsid wsp:val=&quot;00E52B77&quot;/&gt;&lt;wsp:rsid wsp:val=&quot;00E52F14&quot;/&gt;&lt;wsp:rsid wsp:val=&quot;00E5310C&quot;/&gt;&lt;wsp:rsid wsp:val=&quot;00E53438&quot;/&gt;&lt;wsp:rsid wsp:val=&quot;00E54149&quot;/&gt;&lt;wsp:rsid wsp:val=&quot;00E546C4&quot;/&gt;&lt;wsp:rsid wsp:val=&quot;00E548E2&quot;/&gt;&lt;wsp:rsid wsp:val=&quot;00E54DE3&quot;/&gt;&lt;wsp:rsid wsp:val=&quot;00E54F4D&quot;/&gt;&lt;wsp:rsid wsp:val=&quot;00E55287&quot;/&gt;&lt;wsp:rsid wsp:val=&quot;00E55299&quot;/&gt;&lt;wsp:rsid wsp:val=&quot;00E55714&quot;/&gt;&lt;wsp:rsid wsp:val=&quot;00E55985&quot;/&gt;&lt;wsp:rsid wsp:val=&quot;00E55B0C&quot;/&gt;&lt;wsp:rsid wsp:val=&quot;00E55F2F&quot;/&gt;&lt;wsp:rsid wsp:val=&quot;00E560A8&quot;/&gt;&lt;wsp:rsid wsp:val=&quot;00E56390&quot;/&gt;&lt;wsp:rsid wsp:val=&quot;00E56D0D&quot;/&gt;&lt;wsp:rsid wsp:val=&quot;00E572E9&quot;/&gt;&lt;wsp:rsid wsp:val=&quot;00E574AC&quot;/&gt;&lt;wsp:rsid wsp:val=&quot;00E57956&quot;/&gt;&lt;wsp:rsid wsp:val=&quot;00E57C5D&quot;/&gt;&lt;wsp:rsid wsp:val=&quot;00E6016A&quot;/&gt;&lt;wsp:rsid wsp:val=&quot;00E605E6&quot;/&gt;&lt;wsp:rsid wsp:val=&quot;00E60873&quot;/&gt;&lt;wsp:rsid wsp:val=&quot;00E6090C&quot;/&gt;&lt;wsp:rsid wsp:val=&quot;00E609AB&quot;/&gt;&lt;wsp:rsid wsp:val=&quot;00E60BB3&quot;/&gt;&lt;wsp:rsid wsp:val=&quot;00E6105C&quot;/&gt;&lt;wsp:rsid wsp:val=&quot;00E61077&quot;/&gt;&lt;wsp:rsid wsp:val=&quot;00E6123A&quot;/&gt;&lt;wsp:rsid wsp:val=&quot;00E6126C&quot;/&gt;&lt;wsp:rsid wsp:val=&quot;00E614BD&quot;/&gt;&lt;wsp:rsid wsp:val=&quot;00E61CE1&quot;/&gt;&lt;wsp:rsid wsp:val=&quot;00E61EF0&quot;/&gt;&lt;wsp:rsid wsp:val=&quot;00E61F27&quot;/&gt;&lt;wsp:rsid wsp:val=&quot;00E624E9&quot;/&gt;&lt;wsp:rsid wsp:val=&quot;00E6252C&quot;/&gt;&lt;wsp:rsid wsp:val=&quot;00E62570&quot;/&gt;&lt;wsp:rsid wsp:val=&quot;00E629E2&quot;/&gt;&lt;wsp:rsid wsp:val=&quot;00E63481&quot;/&gt;&lt;wsp:rsid wsp:val=&quot;00E63590&quot;/&gt;&lt;wsp:rsid wsp:val=&quot;00E63907&quot;/&gt;&lt;wsp:rsid wsp:val=&quot;00E63A14&quot;/&gt;&lt;wsp:rsid wsp:val=&quot;00E63A34&quot;/&gt;&lt;wsp:rsid wsp:val=&quot;00E63B2E&quot;/&gt;&lt;wsp:rsid wsp:val=&quot;00E646AD&quot;/&gt;&lt;wsp:rsid wsp:val=&quot;00E6471A&quot;/&gt;&lt;wsp:rsid wsp:val=&quot;00E64A13&quot;/&gt;&lt;wsp:rsid wsp:val=&quot;00E64A84&quot;/&gt;&lt;wsp:rsid wsp:val=&quot;00E64B4F&quot;/&gt;&lt;wsp:rsid wsp:val=&quot;00E64D9B&quot;/&gt;&lt;wsp:rsid wsp:val=&quot;00E64F93&quot;/&gt;&lt;wsp:rsid wsp:val=&quot;00E651D6&quot;/&gt;&lt;wsp:rsid wsp:val=&quot;00E654FC&quot;/&gt;&lt;wsp:rsid wsp:val=&quot;00E65612&quot;/&gt;&lt;wsp:rsid wsp:val=&quot;00E65743&quot;/&gt;&lt;wsp:rsid wsp:val=&quot;00E6581C&quot;/&gt;&lt;wsp:rsid wsp:val=&quot;00E65BBB&quot;/&gt;&lt;wsp:rsid wsp:val=&quot;00E65C3D&quot;/&gt;&lt;wsp:rsid wsp:val=&quot;00E6616C&quot;/&gt;&lt;wsp:rsid wsp:val=&quot;00E6643A&quot;/&gt;&lt;wsp:rsid wsp:val=&quot;00E66695&quot;/&gt;&lt;wsp:rsid wsp:val=&quot;00E66A8E&quot;/&gt;&lt;wsp:rsid wsp:val=&quot;00E66B7D&quot;/&gt;&lt;wsp:rsid wsp:val=&quot;00E66D4C&quot;/&gt;&lt;wsp:rsid wsp:val=&quot;00E66D4D&quot;/&gt;&lt;wsp:rsid wsp:val=&quot;00E66E8A&quot;/&gt;&lt;wsp:rsid wsp:val=&quot;00E6750E&quot;/&gt;&lt;wsp:rsid wsp:val=&quot;00E6759D&quot;/&gt;&lt;wsp:rsid wsp:val=&quot;00E6772B&quot;/&gt;&lt;wsp:rsid wsp:val=&quot;00E678F9&quot;/&gt;&lt;wsp:rsid wsp:val=&quot;00E67B4B&quot;/&gt;&lt;wsp:rsid wsp:val=&quot;00E7000C&quot;/&gt;&lt;wsp:rsid wsp:val=&quot;00E706FA&quot;/&gt;&lt;wsp:rsid wsp:val=&quot;00E707F8&quot;/&gt;&lt;wsp:rsid wsp:val=&quot;00E713E0&quot;/&gt;&lt;wsp:rsid wsp:val=&quot;00E7152F&quot;/&gt;&lt;wsp:rsid wsp:val=&quot;00E71D13&quot;/&gt;&lt;wsp:rsid wsp:val=&quot;00E71EA7&quot;/&gt;&lt;wsp:rsid wsp:val=&quot;00E7208C&quot;/&gt;&lt;wsp:rsid wsp:val=&quot;00E721CE&quot;/&gt;&lt;wsp:rsid wsp:val=&quot;00E7293A&quot;/&gt;&lt;wsp:rsid wsp:val=&quot;00E72DDA&quot;/&gt;&lt;wsp:rsid wsp:val=&quot;00E72F61&quot;/&gt;&lt;wsp:rsid wsp:val=&quot;00E73885&quot;/&gt;&lt;wsp:rsid wsp:val=&quot;00E73CA7&quot;/&gt;&lt;wsp:rsid wsp:val=&quot;00E742D9&quot;/&gt;&lt;wsp:rsid wsp:val=&quot;00E74854&quot;/&gt;&lt;wsp:rsid wsp:val=&quot;00E748FD&quot;/&gt;&lt;wsp:rsid wsp:val=&quot;00E74DF5&quot;/&gt;&lt;wsp:rsid wsp:val=&quot;00E74ECB&quot;/&gt;&lt;wsp:rsid wsp:val=&quot;00E75347&quot;/&gt;&lt;wsp:rsid wsp:val=&quot;00E75766&quot;/&gt;&lt;wsp:rsid wsp:val=&quot;00E75AF9&quot;/&gt;&lt;wsp:rsid wsp:val=&quot;00E75B4C&quot;/&gt;&lt;wsp:rsid wsp:val=&quot;00E75BC5&quot;/&gt;&lt;wsp:rsid wsp:val=&quot;00E75C95&quot;/&gt;&lt;wsp:rsid wsp:val=&quot;00E76086&quot;/&gt;&lt;wsp:rsid wsp:val=&quot;00E763C9&quot;/&gt;&lt;wsp:rsid wsp:val=&quot;00E76AB5&quot;/&gt;&lt;wsp:rsid wsp:val=&quot;00E76BB2&quot;/&gt;&lt;wsp:rsid wsp:val=&quot;00E76E06&quot;/&gt;&lt;wsp:rsid wsp:val=&quot;00E775A5&quot;/&gt;&lt;wsp:rsid wsp:val=&quot;00E77BBA&quot;/&gt;&lt;wsp:rsid wsp:val=&quot;00E77D22&quot;/&gt;&lt;wsp:rsid wsp:val=&quot;00E77F4D&quot;/&gt;&lt;wsp:rsid wsp:val=&quot;00E8009A&quot;/&gt;&lt;wsp:rsid wsp:val=&quot;00E8096C&quot;/&gt;&lt;wsp:rsid wsp:val=&quot;00E814AB&quot;/&gt;&lt;wsp:rsid wsp:val=&quot;00E81E23&quot;/&gt;&lt;wsp:rsid wsp:val=&quot;00E81EE8&quot;/&gt;&lt;wsp:rsid wsp:val=&quot;00E821AE&quot;/&gt;&lt;wsp:rsid wsp:val=&quot;00E82D72&quot;/&gt;&lt;wsp:rsid wsp:val=&quot;00E832EF&quot;/&gt;&lt;wsp:rsid wsp:val=&quot;00E8379A&quot;/&gt;&lt;wsp:rsid wsp:val=&quot;00E83D45&quot;/&gt;&lt;wsp:rsid wsp:val=&quot;00E842A7&quot;/&gt;&lt;wsp:rsid wsp:val=&quot;00E84ACA&quot;/&gt;&lt;wsp:rsid wsp:val=&quot;00E84CA0&quot;/&gt;&lt;wsp:rsid wsp:val=&quot;00E84CA5&quot;/&gt;&lt;wsp:rsid wsp:val=&quot;00E851D6&quot;/&gt;&lt;wsp:rsid wsp:val=&quot;00E85474&quot;/&gt;&lt;wsp:rsid wsp:val=&quot;00E857D7&quot;/&gt;&lt;wsp:rsid wsp:val=&quot;00E85B41&quot;/&gt;&lt;wsp:rsid wsp:val=&quot;00E85F55&quot;/&gt;&lt;wsp:rsid wsp:val=&quot;00E85FC7&quot;/&gt;&lt;wsp:rsid wsp:val=&quot;00E86086&quot;/&gt;&lt;wsp:rsid wsp:val=&quot;00E86E29&quot;/&gt;&lt;wsp:rsid wsp:val=&quot;00E8751B&quot;/&gt;&lt;wsp:rsid wsp:val=&quot;00E87611&quot;/&gt;&lt;wsp:rsid wsp:val=&quot;00E87F79&quot;/&gt;&lt;wsp:rsid wsp:val=&quot;00E904CE&quot;/&gt;&lt;wsp:rsid wsp:val=&quot;00E90538&quot;/&gt;&lt;wsp:rsid wsp:val=&quot;00E90753&quot;/&gt;&lt;wsp:rsid wsp:val=&quot;00E91093&quot;/&gt;&lt;wsp:rsid wsp:val=&quot;00E910EC&quot;/&gt;&lt;wsp:rsid wsp:val=&quot;00E91341&quot;/&gt;&lt;wsp:rsid wsp:val=&quot;00E91899&quot;/&gt;&lt;wsp:rsid wsp:val=&quot;00E9205E&quot;/&gt;&lt;wsp:rsid wsp:val=&quot;00E921A2&quot;/&gt;&lt;wsp:rsid wsp:val=&quot;00E924FF&quot;/&gt;&lt;wsp:rsid wsp:val=&quot;00E932F1&quot;/&gt;&lt;wsp:rsid wsp:val=&quot;00E939CA&quot;/&gt;&lt;wsp:rsid wsp:val=&quot;00E93C91&quot;/&gt;&lt;wsp:rsid wsp:val=&quot;00E93F4B&quot;/&gt;&lt;wsp:rsid wsp:val=&quot;00E941EC&quot;/&gt;&lt;wsp:rsid wsp:val=&quot;00E94910&quot;/&gt;&lt;wsp:rsid wsp:val=&quot;00E94B53&quot;/&gt;&lt;wsp:rsid wsp:val=&quot;00E94DCE&quot;/&gt;&lt;wsp:rsid wsp:val=&quot;00E94DFA&quot;/&gt;&lt;wsp:rsid wsp:val=&quot;00E94E86&quot;/&gt;&lt;wsp:rsid wsp:val=&quot;00E9518C&quot;/&gt;&lt;wsp:rsid wsp:val=&quot;00E951C0&quot;/&gt;&lt;wsp:rsid wsp:val=&quot;00E952A0&quot;/&gt;&lt;wsp:rsid wsp:val=&quot;00E95571&quot;/&gt;&lt;wsp:rsid wsp:val=&quot;00E955EA&quot;/&gt;&lt;wsp:rsid wsp:val=&quot;00E960BD&quot;/&gt;&lt;wsp:rsid wsp:val=&quot;00E964D1&quot;/&gt;&lt;wsp:rsid wsp:val=&quot;00E96552&quot;/&gt;&lt;wsp:rsid wsp:val=&quot;00E96B7A&quot;/&gt;&lt;wsp:rsid wsp:val=&quot;00E96F4E&quot;/&gt;&lt;wsp:rsid wsp:val=&quot;00E97B42&quot;/&gt;&lt;wsp:rsid wsp:val=&quot;00E97EB7&quot;/&gt;&lt;wsp:rsid wsp:val=&quot;00EA008A&quot;/&gt;&lt;wsp:rsid wsp:val=&quot;00EA0622&quot;/&gt;&lt;wsp:rsid wsp:val=&quot;00EA0A20&quot;/&gt;&lt;wsp:rsid wsp:val=&quot;00EA0A62&quot;/&gt;&lt;wsp:rsid wsp:val=&quot;00EA0A7C&quot;/&gt;&lt;wsp:rsid wsp:val=&quot;00EA0C0E&quot;/&gt;&lt;wsp:rsid wsp:val=&quot;00EA0FB2&quot;/&gt;&lt;wsp:rsid wsp:val=&quot;00EA11C8&quot;/&gt;&lt;wsp:rsid wsp:val=&quot;00EA1508&quot;/&gt;&lt;wsp:rsid wsp:val=&quot;00EA16F8&quot;/&gt;&lt;wsp:rsid wsp:val=&quot;00EA1920&quot;/&gt;&lt;wsp:rsid wsp:val=&quot;00EA1B80&quot;/&gt;&lt;wsp:rsid wsp:val=&quot;00EA1CCE&quot;/&gt;&lt;wsp:rsid wsp:val=&quot;00EA1D6D&quot;/&gt;&lt;wsp:rsid wsp:val=&quot;00EA1DB9&quot;/&gt;&lt;wsp:rsid wsp:val=&quot;00EA2EED&quot;/&gt;&lt;wsp:rsid wsp:val=&quot;00EA3084&quot;/&gt;&lt;wsp:rsid wsp:val=&quot;00EA3C9C&quot;/&gt;&lt;wsp:rsid wsp:val=&quot;00EA3EAD&quot;/&gt;&lt;wsp:rsid wsp:val=&quot;00EA3ECD&quot;/&gt;&lt;wsp:rsid wsp:val=&quot;00EA46CB&quot;/&gt;&lt;wsp:rsid wsp:val=&quot;00EA4758&quot;/&gt;&lt;wsp:rsid wsp:val=&quot;00EA47F2&quot;/&gt;&lt;wsp:rsid wsp:val=&quot;00EA4A67&quot;/&gt;&lt;wsp:rsid wsp:val=&quot;00EA4D1B&quot;/&gt;&lt;wsp:rsid wsp:val=&quot;00EA4F72&quot;/&gt;&lt;wsp:rsid wsp:val=&quot;00EA53C1&quot;/&gt;&lt;wsp:rsid wsp:val=&quot;00EA57CD&quot;/&gt;&lt;wsp:rsid wsp:val=&quot;00EA5AB4&quot;/&gt;&lt;wsp:rsid wsp:val=&quot;00EA5B0F&quot;/&gt;&lt;wsp:rsid wsp:val=&quot;00EA6801&quot;/&gt;&lt;wsp:rsid wsp:val=&quot;00EA682A&quot;/&gt;&lt;wsp:rsid wsp:val=&quot;00EA72CD&quot;/&gt;&lt;wsp:rsid wsp:val=&quot;00EA740E&quot;/&gt;&lt;wsp:rsid wsp:val=&quot;00EA7C1D&quot;/&gt;&lt;wsp:rsid wsp:val=&quot;00EA7E2B&quot;/&gt;&lt;wsp:rsid wsp:val=&quot;00EB0220&quot;/&gt;&lt;wsp:rsid wsp:val=&quot;00EB03FF&quot;/&gt;&lt;wsp:rsid wsp:val=&quot;00EB048D&quot;/&gt;&lt;wsp:rsid wsp:val=&quot;00EB051C&quot;/&gt;&lt;wsp:rsid wsp:val=&quot;00EB13F2&quot;/&gt;&lt;wsp:rsid wsp:val=&quot;00EB1444&quot;/&gt;&lt;wsp:rsid wsp:val=&quot;00EB1A6B&quot;/&gt;&lt;wsp:rsid wsp:val=&quot;00EB2F23&quot;/&gt;&lt;wsp:rsid wsp:val=&quot;00EB3208&quot;/&gt;&lt;wsp:rsid wsp:val=&quot;00EB3D15&quot;/&gt;&lt;wsp:rsid wsp:val=&quot;00EB3D97&quot;/&gt;&lt;wsp:rsid wsp:val=&quot;00EB42BA&quot;/&gt;&lt;wsp:rsid wsp:val=&quot;00EB434F&quot;/&gt;&lt;wsp:rsid wsp:val=&quot;00EB43DE&quot;/&gt;&lt;wsp:rsid wsp:val=&quot;00EB46C9&quot;/&gt;&lt;wsp:rsid wsp:val=&quot;00EB55FB&quot;/&gt;&lt;wsp:rsid wsp:val=&quot;00EB5B27&quot;/&gt;&lt;wsp:rsid wsp:val=&quot;00EB5CD1&quot;/&gt;&lt;wsp:rsid wsp:val=&quot;00EB5EE6&quot;/&gt;&lt;wsp:rsid wsp:val=&quot;00EB6FD3&quot;/&gt;&lt;wsp:rsid wsp:val=&quot;00EB7AC5&quot;/&gt;&lt;wsp:rsid wsp:val=&quot;00EC03A0&quot;/&gt;&lt;wsp:rsid wsp:val=&quot;00EC042C&quot;/&gt;&lt;wsp:rsid wsp:val=&quot;00EC05FB&quot;/&gt;&lt;wsp:rsid wsp:val=&quot;00EC09D2&quot;/&gt;&lt;wsp:rsid wsp:val=&quot;00EC0BB0&quot;/&gt;&lt;wsp:rsid wsp:val=&quot;00EC0D7E&quot;/&gt;&lt;wsp:rsid wsp:val=&quot;00EC0F4A&quot;/&gt;&lt;wsp:rsid wsp:val=&quot;00EC166D&quot;/&gt;&lt;wsp:rsid wsp:val=&quot;00EC1C8B&quot;/&gt;&lt;wsp:rsid wsp:val=&quot;00EC2080&quot;/&gt;&lt;wsp:rsid wsp:val=&quot;00EC209C&quot;/&gt;&lt;wsp:rsid wsp:val=&quot;00EC20D6&quot;/&gt;&lt;wsp:rsid wsp:val=&quot;00EC226E&quot;/&gt;&lt;wsp:rsid wsp:val=&quot;00EC2273&quot;/&gt;&lt;wsp:rsid wsp:val=&quot;00EC24D4&quot;/&gt;&lt;wsp:rsid wsp:val=&quot;00EC254D&quot;/&gt;&lt;wsp:rsid wsp:val=&quot;00EC25D1&quot;/&gt;&lt;wsp:rsid wsp:val=&quot;00EC26F3&quot;/&gt;&lt;wsp:rsid wsp:val=&quot;00EC28C1&quot;/&gt;&lt;wsp:rsid wsp:val=&quot;00EC2B08&quot;/&gt;&lt;wsp:rsid wsp:val=&quot;00EC2B9B&quot;/&gt;&lt;wsp:rsid wsp:val=&quot;00EC2D59&quot;/&gt;&lt;wsp:rsid wsp:val=&quot;00EC2FC8&quot;/&gt;&lt;wsp:rsid wsp:val=&quot;00EC2FF7&quot;/&gt;&lt;wsp:rsid wsp:val=&quot;00EC35E1&quot;/&gt;&lt;wsp:rsid wsp:val=&quot;00EC3CA8&quot;/&gt;&lt;wsp:rsid wsp:val=&quot;00EC3CC4&quot;/&gt;&lt;wsp:rsid wsp:val=&quot;00EC3EC4&quot;/&gt;&lt;wsp:rsid wsp:val=&quot;00EC41DD&quot;/&gt;&lt;wsp:rsid wsp:val=&quot;00EC4332&quot;/&gt;&lt;wsp:rsid wsp:val=&quot;00EC43A5&quot;/&gt;&lt;wsp:rsid wsp:val=&quot;00EC43C6&quot;/&gt;&lt;wsp:rsid wsp:val=&quot;00EC453F&quot;/&gt;&lt;wsp:rsid wsp:val=&quot;00EC4945&quot;/&gt;&lt;wsp:rsid wsp:val=&quot;00EC4BB0&quot;/&gt;&lt;wsp:rsid wsp:val=&quot;00EC4C52&quot;/&gt;&lt;wsp:rsid wsp:val=&quot;00EC4D27&quot;/&gt;&lt;wsp:rsid wsp:val=&quot;00EC4F43&quot;/&gt;&lt;wsp:rsid wsp:val=&quot;00EC5044&quot;/&gt;&lt;wsp:rsid wsp:val=&quot;00EC5293&quot;/&gt;&lt;wsp:rsid wsp:val=&quot;00EC52D4&quot;/&gt;&lt;wsp:rsid wsp:val=&quot;00EC53D6&quot;/&gt;&lt;wsp:rsid wsp:val=&quot;00EC5570&quot;/&gt;&lt;wsp:rsid wsp:val=&quot;00EC5578&quot;/&gt;&lt;wsp:rsid wsp:val=&quot;00EC56B2&quot;/&gt;&lt;wsp:rsid wsp:val=&quot;00EC61BB&quot;/&gt;&lt;wsp:rsid wsp:val=&quot;00EC63AA&quot;/&gt;&lt;wsp:rsid wsp:val=&quot;00EC6858&quot;/&gt;&lt;wsp:rsid wsp:val=&quot;00EC7E56&quot;/&gt;&lt;wsp:rsid wsp:val=&quot;00ED047E&quot;/&gt;&lt;wsp:rsid wsp:val=&quot;00ED0561&quot;/&gt;&lt;wsp:rsid wsp:val=&quot;00ED0BA1&quot;/&gt;&lt;wsp:rsid wsp:val=&quot;00ED0BD8&quot;/&gt;&lt;wsp:rsid wsp:val=&quot;00ED1468&quot;/&gt;&lt;wsp:rsid wsp:val=&quot;00ED166F&quot;/&gt;&lt;wsp:rsid wsp:val=&quot;00ED17B3&quot;/&gt;&lt;wsp:rsid wsp:val=&quot;00ED1C2A&quot;/&gt;&lt;wsp:rsid wsp:val=&quot;00ED21DA&quot;/&gt;&lt;wsp:rsid wsp:val=&quot;00ED2269&quot;/&gt;&lt;wsp:rsid wsp:val=&quot;00ED2590&quot;/&gt;&lt;wsp:rsid wsp:val=&quot;00ED2734&quot;/&gt;&lt;wsp:rsid wsp:val=&quot;00ED2921&quot;/&gt;&lt;wsp:rsid wsp:val=&quot;00ED3167&quot;/&gt;&lt;wsp:rsid wsp:val=&quot;00ED35D4&quot;/&gt;&lt;wsp:rsid wsp:val=&quot;00ED3625&quot;/&gt;&lt;wsp:rsid wsp:val=&quot;00ED3641&quot;/&gt;&lt;wsp:rsid wsp:val=&quot;00ED3669&quot;/&gt;&lt;wsp:rsid wsp:val=&quot;00ED3815&quot;/&gt;&lt;wsp:rsid wsp:val=&quot;00ED3855&quot;/&gt;&lt;wsp:rsid wsp:val=&quot;00ED3DD5&quot;/&gt;&lt;wsp:rsid wsp:val=&quot;00ED4170&quot;/&gt;&lt;wsp:rsid wsp:val=&quot;00ED4A85&quot;/&gt;&lt;wsp:rsid wsp:val=&quot;00ED4C0F&quot;/&gt;&lt;wsp:rsid wsp:val=&quot;00ED4DF4&quot;/&gt;&lt;wsp:rsid wsp:val=&quot;00ED51D0&quot;/&gt;&lt;wsp:rsid wsp:val=&quot;00ED52CD&quot;/&gt;&lt;wsp:rsid wsp:val=&quot;00ED6325&quot;/&gt;&lt;wsp:rsid wsp:val=&quot;00ED6DD9&quot;/&gt;&lt;wsp:rsid wsp:val=&quot;00ED6DFA&quot;/&gt;&lt;wsp:rsid wsp:val=&quot;00ED7202&quot;/&gt;&lt;wsp:rsid wsp:val=&quot;00ED7278&quot;/&gt;&lt;wsp:rsid wsp:val=&quot;00ED77C7&quot;/&gt;&lt;wsp:rsid wsp:val=&quot;00ED79A5&quot;/&gt;&lt;wsp:rsid wsp:val=&quot;00ED79B9&quot;/&gt;&lt;wsp:rsid wsp:val=&quot;00ED7CE8&quot;/&gt;&lt;wsp:rsid wsp:val=&quot;00EE0012&quot;/&gt;&lt;wsp:rsid wsp:val=&quot;00EE0289&quot;/&gt;&lt;wsp:rsid wsp:val=&quot;00EE0771&quot;/&gt;&lt;wsp:rsid wsp:val=&quot;00EE0B99&quot;/&gt;&lt;wsp:rsid wsp:val=&quot;00EE1305&quot;/&gt;&lt;wsp:rsid wsp:val=&quot;00EE1534&quot;/&gt;&lt;wsp:rsid wsp:val=&quot;00EE170F&quot;/&gt;&lt;wsp:rsid wsp:val=&quot;00EE22B5&quot;/&gt;&lt;wsp:rsid wsp:val=&quot;00EE2F95&quot;/&gt;&lt;wsp:rsid wsp:val=&quot;00EE42B5&quot;/&gt;&lt;wsp:rsid wsp:val=&quot;00EE4B84&quot;/&gt;&lt;wsp:rsid wsp:val=&quot;00EE5377&quot;/&gt;&lt;wsp:rsid wsp:val=&quot;00EE54C8&quot;/&gt;&lt;wsp:rsid wsp:val=&quot;00EE560E&quot;/&gt;&lt;wsp:rsid wsp:val=&quot;00EE57F7&quot;/&gt;&lt;wsp:rsid wsp:val=&quot;00EE5ADB&quot;/&gt;&lt;wsp:rsid wsp:val=&quot;00EE5B70&quot;/&gt;&lt;wsp:rsid wsp:val=&quot;00EE5CA9&quot;/&gt;&lt;wsp:rsid wsp:val=&quot;00EE5D08&quot;/&gt;&lt;wsp:rsid wsp:val=&quot;00EE5E7A&quot;/&gt;&lt;wsp:rsid wsp:val=&quot;00EE6247&quot;/&gt;&lt;wsp:rsid wsp:val=&quot;00EE66E8&quot;/&gt;&lt;wsp:rsid wsp:val=&quot;00EE6794&quot;/&gt;&lt;wsp:rsid wsp:val=&quot;00EE6F09&quot;/&gt;&lt;wsp:rsid wsp:val=&quot;00EE703F&quot;/&gt;&lt;wsp:rsid wsp:val=&quot;00EE769A&quot;/&gt;&lt;wsp:rsid wsp:val=&quot;00EE7A07&quot;/&gt;&lt;wsp:rsid wsp:val=&quot;00EE7A8A&quot;/&gt;&lt;wsp:rsid wsp:val=&quot;00EE7B58&quot;/&gt;&lt;wsp:rsid wsp:val=&quot;00EE7C58&quot;/&gt;&lt;wsp:rsid wsp:val=&quot;00EE7D33&quot;/&gt;&lt;wsp:rsid wsp:val=&quot;00EF009B&quot;/&gt;&lt;wsp:rsid wsp:val=&quot;00EF05CB&quot;/&gt;&lt;wsp:rsid wsp:val=&quot;00EF0A27&quot;/&gt;&lt;wsp:rsid wsp:val=&quot;00EF0C5F&quot;/&gt;&lt;wsp:rsid wsp:val=&quot;00EF12B0&quot;/&gt;&lt;wsp:rsid wsp:val=&quot;00EF1519&quot;/&gt;&lt;wsp:rsid wsp:val=&quot;00EF1B12&quot;/&gt;&lt;wsp:rsid wsp:val=&quot;00EF22E0&quot;/&gt;&lt;wsp:rsid wsp:val=&quot;00EF2300&quot;/&gt;&lt;wsp:rsid wsp:val=&quot;00EF234D&quot;/&gt;&lt;wsp:rsid wsp:val=&quot;00EF2557&quot;/&gt;&lt;wsp:rsid wsp:val=&quot;00EF2C3F&quot;/&gt;&lt;wsp:rsid wsp:val=&quot;00EF30CB&quot;/&gt;&lt;wsp:rsid wsp:val=&quot;00EF3151&quot;/&gt;&lt;wsp:rsid wsp:val=&quot;00EF3173&quot;/&gt;&lt;wsp:rsid wsp:val=&quot;00EF331D&quot;/&gt;&lt;wsp:rsid wsp:val=&quot;00EF3355&quot;/&gt;&lt;wsp:rsid wsp:val=&quot;00EF3521&quot;/&gt;&lt;wsp:rsid wsp:val=&quot;00EF3AD9&quot;/&gt;&lt;wsp:rsid wsp:val=&quot;00EF3CC0&quot;/&gt;&lt;wsp:rsid wsp:val=&quot;00EF3D69&quot;/&gt;&lt;wsp:rsid wsp:val=&quot;00EF3E7F&quot;/&gt;&lt;wsp:rsid wsp:val=&quot;00EF3EE3&quot;/&gt;&lt;wsp:rsid wsp:val=&quot;00EF40AE&quot;/&gt;&lt;wsp:rsid wsp:val=&quot;00EF4228&quot;/&gt;&lt;wsp:rsid wsp:val=&quot;00EF4415&quot;/&gt;&lt;wsp:rsid wsp:val=&quot;00EF4AD3&quot;/&gt;&lt;wsp:rsid wsp:val=&quot;00EF4C3A&quot;/&gt;&lt;wsp:rsid wsp:val=&quot;00EF5180&quot;/&gt;&lt;wsp:rsid wsp:val=&quot;00EF5299&quot;/&gt;&lt;wsp:rsid wsp:val=&quot;00EF541D&quot;/&gt;&lt;wsp:rsid wsp:val=&quot;00EF5422&quot;/&gt;&lt;wsp:rsid wsp:val=&quot;00EF55FC&quot;/&gt;&lt;wsp:rsid wsp:val=&quot;00EF5804&quot;/&gt;&lt;wsp:rsid wsp:val=&quot;00EF59F0&quot;/&gt;&lt;wsp:rsid wsp:val=&quot;00EF5ECB&quot;/&gt;&lt;wsp:rsid wsp:val=&quot;00EF60E3&quot;/&gt;&lt;wsp:rsid wsp:val=&quot;00EF65E7&quot;/&gt;&lt;wsp:rsid wsp:val=&quot;00EF673E&quot;/&gt;&lt;wsp:rsid wsp:val=&quot;00EF678C&quot;/&gt;&lt;wsp:rsid wsp:val=&quot;00EF6B9A&quot;/&gt;&lt;wsp:rsid wsp:val=&quot;00EF70AF&quot;/&gt;&lt;wsp:rsid wsp:val=&quot;00EF7734&quot;/&gt;&lt;wsp:rsid wsp:val=&quot;00EF7A85&quot;/&gt;&lt;wsp:rsid wsp:val=&quot;00EF7DA7&quot;/&gt;&lt;wsp:rsid wsp:val=&quot;00EF7F6D&quot;/&gt;&lt;wsp:rsid wsp:val=&quot;00F0035F&quot;/&gt;&lt;wsp:rsid wsp:val=&quot;00F004A9&quot;/&gt;&lt;wsp:rsid wsp:val=&quot;00F0088E&quot;/&gt;&lt;wsp:rsid wsp:val=&quot;00F00996&quot;/&gt;&lt;wsp:rsid wsp:val=&quot;00F00F21&quot;/&gt;&lt;wsp:rsid wsp:val=&quot;00F0144B&quot;/&gt;&lt;wsp:rsid wsp:val=&quot;00F01C83&quot;/&gt;&lt;wsp:rsid wsp:val=&quot;00F01DFC&quot;/&gt;&lt;wsp:rsid wsp:val=&quot;00F01FD5&quot;/&gt;&lt;wsp:rsid wsp:val=&quot;00F02358&quot;/&gt;&lt;wsp:rsid wsp:val=&quot;00F02432&quot;/&gt;&lt;wsp:rsid wsp:val=&quot;00F02483&quot;/&gt;&lt;wsp:rsid wsp:val=&quot;00F025F2&quot;/&gt;&lt;wsp:rsid wsp:val=&quot;00F026D8&quot;/&gt;&lt;wsp:rsid wsp:val=&quot;00F02774&quot;/&gt;&lt;wsp:rsid wsp:val=&quot;00F027A9&quot;/&gt;&lt;wsp:rsid wsp:val=&quot;00F0286E&quot;/&gt;&lt;wsp:rsid wsp:val=&quot;00F02B1B&quot;/&gt;&lt;wsp:rsid wsp:val=&quot;00F02DD4&quot;/&gt;&lt;wsp:rsid wsp:val=&quot;00F02DEE&quot;/&gt;&lt;wsp:rsid wsp:val=&quot;00F0359C&quot;/&gt;&lt;wsp:rsid wsp:val=&quot;00F03916&quot;/&gt;&lt;wsp:rsid wsp:val=&quot;00F03B59&quot;/&gt;&lt;wsp:rsid wsp:val=&quot;00F045D3&quot;/&gt;&lt;wsp:rsid wsp:val=&quot;00F049A0&quot;/&gt;&lt;wsp:rsid wsp:val=&quot;00F04A75&quot;/&gt;&lt;wsp:rsid wsp:val=&quot;00F04BDD&quot;/&gt;&lt;wsp:rsid wsp:val=&quot;00F04E08&quot;/&gt;&lt;wsp:rsid wsp:val=&quot;00F054BD&quot;/&gt;&lt;wsp:rsid wsp:val=&quot;00F057FE&quot;/&gt;&lt;wsp:rsid wsp:val=&quot;00F05D3A&quot;/&gt;&lt;wsp:rsid wsp:val=&quot;00F05E2B&quot;/&gt;&lt;wsp:rsid wsp:val=&quot;00F06E64&quot;/&gt;&lt;wsp:rsid wsp:val=&quot;00F0727B&quot;/&gt;&lt;wsp:rsid wsp:val=&quot;00F074A9&quot;/&gt;&lt;wsp:rsid wsp:val=&quot;00F0755B&quot;/&gt;&lt;wsp:rsid wsp:val=&quot;00F07834&quot;/&gt;&lt;wsp:rsid wsp:val=&quot;00F07C3E&quot;/&gt;&lt;wsp:rsid wsp:val=&quot;00F07F57&quot;/&gt;&lt;wsp:rsid wsp:val=&quot;00F10726&quot;/&gt;&lt;wsp:rsid wsp:val=&quot;00F109A9&quot;/&gt;&lt;wsp:rsid wsp:val=&quot;00F11004&quot;/&gt;&lt;wsp:rsid wsp:val=&quot;00F1123F&quot;/&gt;&lt;wsp:rsid wsp:val=&quot;00F11260&quot;/&gt;&lt;wsp:rsid wsp:val=&quot;00F1126B&quot;/&gt;&lt;wsp:rsid wsp:val=&quot;00F11280&quot;/&gt;&lt;wsp:rsid wsp:val=&quot;00F11782&quot;/&gt;&lt;wsp:rsid wsp:val=&quot;00F11AA8&quot;/&gt;&lt;wsp:rsid wsp:val=&quot;00F11F8D&quot;/&gt;&lt;wsp:rsid wsp:val=&quot;00F12000&quot;/&gt;&lt;wsp:rsid wsp:val=&quot;00F1226F&quot;/&gt;&lt;wsp:rsid wsp:val=&quot;00F1245B&quot;/&gt;&lt;wsp:rsid wsp:val=&quot;00F12540&quot;/&gt;&lt;wsp:rsid wsp:val=&quot;00F1290E&quot;/&gt;&lt;wsp:rsid wsp:val=&quot;00F12BF6&quot;/&gt;&lt;wsp:rsid wsp:val=&quot;00F12F98&quot;/&gt;&lt;wsp:rsid wsp:val=&quot;00F13075&quot;/&gt;&lt;wsp:rsid wsp:val=&quot;00F132A2&quot;/&gt;&lt;wsp:rsid wsp:val=&quot;00F134AF&quot;/&gt;&lt;wsp:rsid wsp:val=&quot;00F13608&quot;/&gt;&lt;wsp:rsid wsp:val=&quot;00F13713&quot;/&gt;&lt;wsp:rsid wsp:val=&quot;00F13AB4&quot;/&gt;&lt;wsp:rsid wsp:val=&quot;00F13C47&quot;/&gt;&lt;wsp:rsid wsp:val=&quot;00F13DB9&quot;/&gt;&lt;wsp:rsid wsp:val=&quot;00F1491B&quot;/&gt;&lt;wsp:rsid wsp:val=&quot;00F14BE6&quot;/&gt;&lt;wsp:rsid wsp:val=&quot;00F153D9&quot;/&gt;&lt;wsp:rsid wsp:val=&quot;00F1544B&quot;/&gt;&lt;wsp:rsid wsp:val=&quot;00F15C05&quot;/&gt;&lt;wsp:rsid wsp:val=&quot;00F15C95&quot;/&gt;&lt;wsp:rsid wsp:val=&quot;00F15D94&quot;/&gt;&lt;wsp:rsid wsp:val=&quot;00F162B0&quot;/&gt;&lt;wsp:rsid wsp:val=&quot;00F16509&quot;/&gt;&lt;wsp:rsid wsp:val=&quot;00F165E8&quot;/&gt;&lt;wsp:rsid wsp:val=&quot;00F16982&quot;/&gt;&lt;wsp:rsid wsp:val=&quot;00F16BBE&quot;/&gt;&lt;wsp:rsid wsp:val=&quot;00F16BE5&quot;/&gt;&lt;wsp:rsid wsp:val=&quot;00F16E3B&quot;/&gt;&lt;wsp:rsid wsp:val=&quot;00F16EBC&quot;/&gt;&lt;wsp:rsid wsp:val=&quot;00F171E9&quot;/&gt;&lt;wsp:rsid wsp:val=&quot;00F17511&quot;/&gt;&lt;wsp:rsid wsp:val=&quot;00F17CED&quot;/&gt;&lt;wsp:rsid wsp:val=&quot;00F20399&quot;/&gt;&lt;wsp:rsid wsp:val=&quot;00F20586&quot;/&gt;&lt;wsp:rsid wsp:val=&quot;00F2069C&quot;/&gt;&lt;wsp:rsid wsp:val=&quot;00F20991&quot;/&gt;&lt;wsp:rsid wsp:val=&quot;00F209DC&quot;/&gt;&lt;wsp:rsid wsp:val=&quot;00F20B5D&quot;/&gt;&lt;wsp:rsid wsp:val=&quot;00F2119F&quot;/&gt;&lt;wsp:rsid wsp:val=&quot;00F214C8&quot;/&gt;&lt;wsp:rsid wsp:val=&quot;00F217BB&quot;/&gt;&lt;wsp:rsid wsp:val=&quot;00F21BB3&quot;/&gt;&lt;wsp:rsid wsp:val=&quot;00F220BD&quot;/&gt;&lt;wsp:rsid wsp:val=&quot;00F22245&quot;/&gt;&lt;wsp:rsid wsp:val=&quot;00F22432&quot;/&gt;&lt;wsp:rsid wsp:val=&quot;00F22D42&quot;/&gt;&lt;wsp:rsid wsp:val=&quot;00F22D63&quot;/&gt;&lt;wsp:rsid wsp:val=&quot;00F23926&quot;/&gt;&lt;wsp:rsid wsp:val=&quot;00F23988&quot;/&gt;&lt;wsp:rsid wsp:val=&quot;00F239DB&quot;/&gt;&lt;wsp:rsid wsp:val=&quot;00F248B6&quot;/&gt;&lt;wsp:rsid wsp:val=&quot;00F25BA1&quot;/&gt;&lt;wsp:rsid wsp:val=&quot;00F25F4F&quot;/&gt;&lt;wsp:rsid wsp:val=&quot;00F25F66&quot;/&gt;&lt;wsp:rsid wsp:val=&quot;00F26186&quot;/&gt;&lt;wsp:rsid wsp:val=&quot;00F26946&quot;/&gt;&lt;wsp:rsid wsp:val=&quot;00F2697D&quot;/&gt;&lt;wsp:rsid wsp:val=&quot;00F26E0B&quot;/&gt;&lt;wsp:rsid wsp:val=&quot;00F26FC9&quot;/&gt;&lt;wsp:rsid wsp:val=&quot;00F270EB&quot;/&gt;&lt;wsp:rsid wsp:val=&quot;00F276A7&quot;/&gt;&lt;wsp:rsid wsp:val=&quot;00F27FFC&quot;/&gt;&lt;wsp:rsid wsp:val=&quot;00F306BB&quot;/&gt;&lt;wsp:rsid wsp:val=&quot;00F30864&quot;/&gt;&lt;wsp:rsid wsp:val=&quot;00F30DB2&quot;/&gt;&lt;wsp:rsid wsp:val=&quot;00F30E0A&quot;/&gt;&lt;wsp:rsid wsp:val=&quot;00F30E1F&quot;/&gt;&lt;wsp:rsid wsp:val=&quot;00F30E53&quot;/&gt;&lt;wsp:rsid wsp:val=&quot;00F30ECA&quot;/&gt;&lt;wsp:rsid wsp:val=&quot;00F30F2F&quot;/&gt;&lt;wsp:rsid wsp:val=&quot;00F3114F&quot;/&gt;&lt;wsp:rsid wsp:val=&quot;00F31374&quot;/&gt;&lt;wsp:rsid wsp:val=&quot;00F31531&quot;/&gt;&lt;wsp:rsid wsp:val=&quot;00F315FD&quot;/&gt;&lt;wsp:rsid wsp:val=&quot;00F32CC9&quot;/&gt;&lt;wsp:rsid wsp:val=&quot;00F32D06&quot;/&gt;&lt;wsp:rsid wsp:val=&quot;00F32F61&quot;/&gt;&lt;wsp:rsid wsp:val=&quot;00F3306C&quot;/&gt;&lt;wsp:rsid wsp:val=&quot;00F330A7&quot;/&gt;&lt;wsp:rsid wsp:val=&quot;00F332C8&quot;/&gt;&lt;wsp:rsid wsp:val=&quot;00F334E2&quot;/&gt;&lt;wsp:rsid wsp:val=&quot;00F33D91&quot;/&gt;&lt;wsp:rsid wsp:val=&quot;00F3452C&quot;/&gt;&lt;wsp:rsid wsp:val=&quot;00F34EFB&quot;/&gt;&lt;wsp:rsid wsp:val=&quot;00F34F7B&quot;/&gt;&lt;wsp:rsid wsp:val=&quot;00F3510B&quot;/&gt;&lt;wsp:rsid wsp:val=&quot;00F35798&quot;/&gt;&lt;wsp:rsid wsp:val=&quot;00F36084&quot;/&gt;&lt;wsp:rsid wsp:val=&quot;00F36644&quot;/&gt;&lt;wsp:rsid wsp:val=&quot;00F3720A&quot;/&gt;&lt;wsp:rsid wsp:val=&quot;00F3737B&quot;/&gt;&lt;wsp:rsid wsp:val=&quot;00F3746E&quot;/&gt;&lt;wsp:rsid wsp:val=&quot;00F378D0&quot;/&gt;&lt;wsp:rsid wsp:val=&quot;00F4014F&quot;/&gt;&lt;wsp:rsid wsp:val=&quot;00F40169&quot;/&gt;&lt;wsp:rsid wsp:val=&quot;00F40E08&quot;/&gt;&lt;wsp:rsid wsp:val=&quot;00F40E6C&quot;/&gt;&lt;wsp:rsid wsp:val=&quot;00F41130&quot;/&gt;&lt;wsp:rsid wsp:val=&quot;00F41547&quot;/&gt;&lt;wsp:rsid wsp:val=&quot;00F41755&quot;/&gt;&lt;wsp:rsid wsp:val=&quot;00F41C49&quot;/&gt;&lt;wsp:rsid wsp:val=&quot;00F42189&quot;/&gt;&lt;wsp:rsid wsp:val=&quot;00F4257D&quot;/&gt;&lt;wsp:rsid wsp:val=&quot;00F425C6&quot;/&gt;&lt;wsp:rsid wsp:val=&quot;00F42938&quot;/&gt;&lt;wsp:rsid wsp:val=&quot;00F429A0&quot;/&gt;&lt;wsp:rsid wsp:val=&quot;00F42A33&quot;/&gt;&lt;wsp:rsid wsp:val=&quot;00F42D66&quot;/&gt;&lt;wsp:rsid wsp:val=&quot;00F4309F&quot;/&gt;&lt;wsp:rsid wsp:val=&quot;00F43281&quot;/&gt;&lt;wsp:rsid wsp:val=&quot;00F4349A&quot;/&gt;&lt;wsp:rsid wsp:val=&quot;00F435B7&quot;/&gt;&lt;wsp:rsid wsp:val=&quot;00F43749&quot;/&gt;&lt;wsp:rsid wsp:val=&quot;00F43B29&quot;/&gt;&lt;wsp:rsid wsp:val=&quot;00F44116&quot;/&gt;&lt;wsp:rsid wsp:val=&quot;00F4420F&quot;/&gt;&lt;wsp:rsid wsp:val=&quot;00F44464&quot;/&gt;&lt;wsp:rsid wsp:val=&quot;00F45A2D&quot;/&gt;&lt;wsp:rsid wsp:val=&quot;00F45B5C&quot;/&gt;&lt;wsp:rsid wsp:val=&quot;00F45E2F&quot;/&gt;&lt;wsp:rsid wsp:val=&quot;00F4666B&quot;/&gt;&lt;wsp:rsid wsp:val=&quot;00F468B3&quot;/&gt;&lt;wsp:rsid wsp:val=&quot;00F46947&quot;/&gt;&lt;wsp:rsid wsp:val=&quot;00F46BBC&quot;/&gt;&lt;wsp:rsid wsp:val=&quot;00F47164&quot;/&gt;&lt;wsp:rsid wsp:val=&quot;00F47605&quot;/&gt;&lt;wsp:rsid wsp:val=&quot;00F4791C&quot;/&gt;&lt;wsp:rsid wsp:val=&quot;00F50B49&quot;/&gt;&lt;wsp:rsid wsp:val=&quot;00F50BFE&quot;/&gt;&lt;wsp:rsid wsp:val=&quot;00F50CB7&quot;/&gt;&lt;wsp:rsid wsp:val=&quot;00F50D52&quot;/&gt;&lt;wsp:rsid wsp:val=&quot;00F50E3D&quot;/&gt;&lt;wsp:rsid wsp:val=&quot;00F510DF&quot;/&gt;&lt;wsp:rsid wsp:val=&quot;00F5130C&quot;/&gt;&lt;wsp:rsid wsp:val=&quot;00F515BE&quot;/&gt;&lt;wsp:rsid wsp:val=&quot;00F51774&quot;/&gt;&lt;wsp:rsid wsp:val=&quot;00F51AE6&quot;/&gt;&lt;wsp:rsid wsp:val=&quot;00F51CB1&quot;/&gt;&lt;wsp:rsid wsp:val=&quot;00F51E79&quot;/&gt;&lt;wsp:rsid wsp:val=&quot;00F51FFA&quot;/&gt;&lt;wsp:rsid wsp:val=&quot;00F52361&quot;/&gt;&lt;wsp:rsid wsp:val=&quot;00F524A7&quot;/&gt;&lt;wsp:rsid wsp:val=&quot;00F533D1&quot;/&gt;&lt;wsp:rsid wsp:val=&quot;00F534D4&quot;/&gt;&lt;wsp:rsid wsp:val=&quot;00F53523&quot;/&gt;&lt;wsp:rsid wsp:val=&quot;00F535F4&quot;/&gt;&lt;wsp:rsid wsp:val=&quot;00F53D3A&quot;/&gt;&lt;wsp:rsid wsp:val=&quot;00F53DD9&quot;/&gt;&lt;wsp:rsid wsp:val=&quot;00F54446&quot;/&gt;&lt;wsp:rsid wsp:val=&quot;00F5463A&quot;/&gt;&lt;wsp:rsid wsp:val=&quot;00F549C9&quot;/&gt;&lt;wsp:rsid wsp:val=&quot;00F54D7E&quot;/&gt;&lt;wsp:rsid wsp:val=&quot;00F54EF2&quot;/&gt;&lt;wsp:rsid wsp:val=&quot;00F553A0&quot;/&gt;&lt;wsp:rsid wsp:val=&quot;00F553F3&quot;/&gt;&lt;wsp:rsid wsp:val=&quot;00F55717&quot;/&gt;&lt;wsp:rsid wsp:val=&quot;00F557A0&quot;/&gt;&lt;wsp:rsid wsp:val=&quot;00F55827&quot;/&gt;&lt;wsp:rsid wsp:val=&quot;00F559F1&quot;/&gt;&lt;wsp:rsid wsp:val=&quot;00F55C4B&quot;/&gt;&lt;wsp:rsid wsp:val=&quot;00F56030&quot;/&gt;&lt;wsp:rsid wsp:val=&quot;00F56198&quot;/&gt;&lt;wsp:rsid wsp:val=&quot;00F56346&quot;/&gt;&lt;wsp:rsid wsp:val=&quot;00F56A8D&quot;/&gt;&lt;wsp:rsid wsp:val=&quot;00F56D1D&quot;/&gt;&lt;wsp:rsid wsp:val=&quot;00F56D8D&quot;/&gt;&lt;wsp:rsid wsp:val=&quot;00F56F57&quot;/&gt;&lt;wsp:rsid wsp:val=&quot;00F57A19&quot;/&gt;&lt;wsp:rsid wsp:val=&quot;00F57AD3&quot;/&gt;&lt;wsp:rsid wsp:val=&quot;00F57DBF&quot;/&gt;&lt;wsp:rsid wsp:val=&quot;00F60254&quot;/&gt;&lt;wsp:rsid wsp:val=&quot;00F60780&quot;/&gt;&lt;wsp:rsid wsp:val=&quot;00F610E2&quot;/&gt;&lt;wsp:rsid wsp:val=&quot;00F611C7&quot;/&gt;&lt;wsp:rsid wsp:val=&quot;00F61226&quot;/&gt;&lt;wsp:rsid wsp:val=&quot;00F614D7&quot;/&gt;&lt;wsp:rsid wsp:val=&quot;00F61649&quot;/&gt;&lt;wsp:rsid wsp:val=&quot;00F6170F&quot;/&gt;&lt;wsp:rsid wsp:val=&quot;00F61B5A&quot;/&gt;&lt;wsp:rsid wsp:val=&quot;00F61EF1&quot;/&gt;&lt;wsp:rsid wsp:val=&quot;00F6263C&quot;/&gt;&lt;wsp:rsid wsp:val=&quot;00F62D8E&quot;/&gt;&lt;wsp:rsid wsp:val=&quot;00F6324B&quot;/&gt;&lt;wsp:rsid wsp:val=&quot;00F632CF&quot;/&gt;&lt;wsp:rsid wsp:val=&quot;00F633DF&quot;/&gt;&lt;wsp:rsid wsp:val=&quot;00F635EB&quot;/&gt;&lt;wsp:rsid wsp:val=&quot;00F636D8&quot;/&gt;&lt;wsp:rsid wsp:val=&quot;00F63B09&quot;/&gt;&lt;wsp:rsid wsp:val=&quot;00F63CD5&quot;/&gt;&lt;wsp:rsid wsp:val=&quot;00F63D5A&quot;/&gt;&lt;wsp:rsid wsp:val=&quot;00F63D6F&quot;/&gt;&lt;wsp:rsid wsp:val=&quot;00F63EE9&quot;/&gt;&lt;wsp:rsid wsp:val=&quot;00F64154&quot;/&gt;&lt;wsp:rsid wsp:val=&quot;00F64265&quot;/&gt;&lt;wsp:rsid wsp:val=&quot;00F64337&quot;/&gt;&lt;wsp:rsid wsp:val=&quot;00F64483&quot;/&gt;&lt;wsp:rsid wsp:val=&quot;00F6553F&quot;/&gt;&lt;wsp:rsid wsp:val=&quot;00F6560A&quot;/&gt;&lt;wsp:rsid wsp:val=&quot;00F65768&quot;/&gt;&lt;wsp:rsid wsp:val=&quot;00F65908&quot;/&gt;&lt;wsp:rsid wsp:val=&quot;00F65A7E&quot;/&gt;&lt;wsp:rsid wsp:val=&quot;00F66318&quot;/&gt;&lt;wsp:rsid wsp:val=&quot;00F66610&quot;/&gt;&lt;wsp:rsid wsp:val=&quot;00F66707&quot;/&gt;&lt;wsp:rsid wsp:val=&quot;00F66708&quot;/&gt;&lt;wsp:rsid wsp:val=&quot;00F66F00&quot;/&gt;&lt;wsp:rsid wsp:val=&quot;00F66FAB&quot;/&gt;&lt;wsp:rsid wsp:val=&quot;00F67415&quot;/&gt;&lt;wsp:rsid wsp:val=&quot;00F6753F&quot;/&gt;&lt;wsp:rsid wsp:val=&quot;00F67AC2&quot;/&gt;&lt;wsp:rsid wsp:val=&quot;00F67CB4&quot;/&gt;&lt;wsp:rsid wsp:val=&quot;00F67CEB&quot;/&gt;&lt;wsp:rsid wsp:val=&quot;00F67D22&quot;/&gt;&lt;wsp:rsid wsp:val=&quot;00F67FFB&quot;/&gt;&lt;wsp:rsid wsp:val=&quot;00F70430&quot;/&gt;&lt;wsp:rsid wsp:val=&quot;00F706B8&quot;/&gt;&lt;wsp:rsid wsp:val=&quot;00F7081B&quot;/&gt;&lt;wsp:rsid wsp:val=&quot;00F70F04&quot;/&gt;&lt;wsp:rsid wsp:val=&quot;00F710CE&quot;/&gt;&lt;wsp:rsid wsp:val=&quot;00F71249&quot;/&gt;&lt;wsp:rsid wsp:val=&quot;00F715F9&quot;/&gt;&lt;wsp:rsid wsp:val=&quot;00F71C31&quot;/&gt;&lt;wsp:rsid wsp:val=&quot;00F71D0F&quot;/&gt;&lt;wsp:rsid wsp:val=&quot;00F7207F&quot;/&gt;&lt;wsp:rsid wsp:val=&quot;00F72142&quot;/&gt;&lt;wsp:rsid wsp:val=&quot;00F72156&quot;/&gt;&lt;wsp:rsid wsp:val=&quot;00F72FB8&quot;/&gt;&lt;wsp:rsid wsp:val=&quot;00F73302&quot;/&gt;&lt;wsp:rsid wsp:val=&quot;00F7366E&quot;/&gt;&lt;wsp:rsid wsp:val=&quot;00F738C0&quot;/&gt;&lt;wsp:rsid wsp:val=&quot;00F74BDB&quot;/&gt;&lt;wsp:rsid wsp:val=&quot;00F74DA1&quot;/&gt;&lt;wsp:rsid wsp:val=&quot;00F74FBC&quot;/&gt;&lt;wsp:rsid wsp:val=&quot;00F75343&quot;/&gt;&lt;wsp:rsid wsp:val=&quot;00F75733&quot;/&gt;&lt;wsp:rsid wsp:val=&quot;00F75983&quot;/&gt;&lt;wsp:rsid wsp:val=&quot;00F75995&quot;/&gt;&lt;wsp:rsid wsp:val=&quot;00F75B2C&quot;/&gt;&lt;wsp:rsid wsp:val=&quot;00F75E73&quot;/&gt;&lt;wsp:rsid wsp:val=&quot;00F75F1C&quot;/&gt;&lt;wsp:rsid wsp:val=&quot;00F76507&quot;/&gt;&lt;wsp:rsid wsp:val=&quot;00F76DE0&quot;/&gt;&lt;wsp:rsid wsp:val=&quot;00F772CB&quot;/&gt;&lt;wsp:rsid wsp:val=&quot;00F77526&quot;/&gt;&lt;wsp:rsid wsp:val=&quot;00F77867&quot;/&gt;&lt;wsp:rsid wsp:val=&quot;00F77A01&quot;/&gt;&lt;wsp:rsid wsp:val=&quot;00F77D4D&quot;/&gt;&lt;wsp:rsid wsp:val=&quot;00F80059&quot;/&gt;&lt;wsp:rsid wsp:val=&quot;00F800B6&quot;/&gt;&lt;wsp:rsid wsp:val=&quot;00F8013D&quot;/&gt;&lt;wsp:rsid wsp:val=&quot;00F8064C&quot;/&gt;&lt;wsp:rsid wsp:val=&quot;00F8097E&quot;/&gt;&lt;wsp:rsid wsp:val=&quot;00F80FD7&quot;/&gt;&lt;wsp:rsid wsp:val=&quot;00F815EB&quot;/&gt;&lt;wsp:rsid wsp:val=&quot;00F81FFE&quot;/&gt;&lt;wsp:rsid wsp:val=&quot;00F8227B&quot;/&gt;&lt;wsp:rsid wsp:val=&quot;00F82E2E&quot;/&gt;&lt;wsp:rsid wsp:val=&quot;00F830B3&quot;/&gt;&lt;wsp:rsid wsp:val=&quot;00F831CE&quot;/&gt;&lt;wsp:rsid wsp:val=&quot;00F83617&quot;/&gt;&lt;wsp:rsid wsp:val=&quot;00F83C98&quot;/&gt;&lt;wsp:rsid wsp:val=&quot;00F84063&quot;/&gt;&lt;wsp:rsid wsp:val=&quot;00F84147&quot;/&gt;&lt;wsp:rsid wsp:val=&quot;00F843A5&quot;/&gt;&lt;wsp:rsid wsp:val=&quot;00F84777&quot;/&gt;&lt;wsp:rsid wsp:val=&quot;00F84B77&quot;/&gt;&lt;wsp:rsid wsp:val=&quot;00F8559F&quot;/&gt;&lt;wsp:rsid wsp:val=&quot;00F85738&quot;/&gt;&lt;wsp:rsid wsp:val=&quot;00F859C5&quot;/&gt;&lt;wsp:rsid wsp:val=&quot;00F85D84&quot;/&gt;&lt;wsp:rsid wsp:val=&quot;00F85E7A&quot;/&gt;&lt;wsp:rsid wsp:val=&quot;00F8609A&quot;/&gt;&lt;wsp:rsid wsp:val=&quot;00F86338&quot;/&gt;&lt;wsp:rsid wsp:val=&quot;00F8693C&quot;/&gt;&lt;wsp:rsid wsp:val=&quot;00F86FFC&quot;/&gt;&lt;wsp:rsid wsp:val=&quot;00F871F6&quot;/&gt;&lt;wsp:rsid wsp:val=&quot;00F87838&quot;/&gt;&lt;wsp:rsid wsp:val=&quot;00F87867&quot;/&gt;&lt;wsp:rsid wsp:val=&quot;00F8786C&quot;/&gt;&lt;wsp:rsid wsp:val=&quot;00F900C4&quot;/&gt;&lt;wsp:rsid wsp:val=&quot;00F90109&quot;/&gt;&lt;wsp:rsid wsp:val=&quot;00F90192&quot;/&gt;&lt;wsp:rsid wsp:val=&quot;00F90A4C&quot;/&gt;&lt;wsp:rsid wsp:val=&quot;00F90A62&quot;/&gt;&lt;wsp:rsid wsp:val=&quot;00F90DE3&quot;/&gt;&lt;wsp:rsid wsp:val=&quot;00F91036&quot;/&gt;&lt;wsp:rsid wsp:val=&quot;00F915B0&quot;/&gt;&lt;wsp:rsid wsp:val=&quot;00F91F1B&quot;/&gt;&lt;wsp:rsid wsp:val=&quot;00F92253&quot;/&gt;&lt;wsp:rsid wsp:val=&quot;00F92447&quot;/&gt;&lt;wsp:rsid wsp:val=&quot;00F92CC4&quot;/&gt;&lt;wsp:rsid wsp:val=&quot;00F92DAA&quot;/&gt;&lt;wsp:rsid wsp:val=&quot;00F92EE6&quot;/&gt;&lt;wsp:rsid wsp:val=&quot;00F92FDD&quot;/&gt;&lt;wsp:rsid wsp:val=&quot;00F930C4&quot;/&gt;&lt;wsp:rsid wsp:val=&quot;00F932FB&quot;/&gt;&lt;wsp:rsid wsp:val=&quot;00F934B8&quot;/&gt;&lt;wsp:rsid wsp:val=&quot;00F9371D&quot;/&gt;&lt;wsp:rsid wsp:val=&quot;00F938A4&quot;/&gt;&lt;wsp:rsid wsp:val=&quot;00F93A2B&quot;/&gt;&lt;wsp:rsid wsp:val=&quot;00F93A8D&quot;/&gt;&lt;wsp:rsid wsp:val=&quot;00F93B83&quot;/&gt;&lt;wsp:rsid wsp:val=&quot;00F93D94&quot;/&gt;&lt;wsp:rsid wsp:val=&quot;00F93E13&quot;/&gt;&lt;wsp:rsid wsp:val=&quot;00F94910&quot;/&gt;&lt;wsp:rsid wsp:val=&quot;00F94927&quot;/&gt;&lt;wsp:rsid wsp:val=&quot;00F94B0C&quot;/&gt;&lt;wsp:rsid wsp:val=&quot;00F94C0B&quot;/&gt;&lt;wsp:rsid wsp:val=&quot;00F95AEB&quot;/&gt;&lt;wsp:rsid wsp:val=&quot;00F95EAF&quot;/&gt;&lt;wsp:rsid wsp:val=&quot;00F95EE3&quot;/&gt;&lt;wsp:rsid wsp:val=&quot;00F96327&quot;/&gt;&lt;wsp:rsid wsp:val=&quot;00F96387&quot;/&gt;&lt;wsp:rsid wsp:val=&quot;00F96ABC&quot;/&gt;&lt;wsp:rsid wsp:val=&quot;00F96C7A&quot;/&gt;&lt;wsp:rsid wsp:val=&quot;00F97541&quot;/&gt;&lt;wsp:rsid wsp:val=&quot;00F9773A&quot;/&gt;&lt;wsp:rsid wsp:val=&quot;00F97F36&quot;/&gt;&lt;wsp:rsid wsp:val=&quot;00FA00A0&quot;/&gt;&lt;wsp:rsid wsp:val=&quot;00FA01C0&quot;/&gt;&lt;wsp:rsid wsp:val=&quot;00FA033C&quot;/&gt;&lt;wsp:rsid wsp:val=&quot;00FA04BE&quot;/&gt;&lt;wsp:rsid wsp:val=&quot;00FA05F4&quot;/&gt;&lt;wsp:rsid wsp:val=&quot;00FA0C1B&quot;/&gt;&lt;wsp:rsid wsp:val=&quot;00FA1B8C&quot;/&gt;&lt;wsp:rsid wsp:val=&quot;00FA1BC3&quot;/&gt;&lt;wsp:rsid wsp:val=&quot;00FA1DE7&quot;/&gt;&lt;wsp:rsid wsp:val=&quot;00FA2244&quot;/&gt;&lt;wsp:rsid wsp:val=&quot;00FA2540&quot;/&gt;&lt;wsp:rsid wsp:val=&quot;00FA26BE&quot;/&gt;&lt;wsp:rsid wsp:val=&quot;00FA2818&quot;/&gt;&lt;wsp:rsid wsp:val=&quot;00FA2A08&quot;/&gt;&lt;wsp:rsid wsp:val=&quot;00FA2A8E&quot;/&gt;&lt;wsp:rsid wsp:val=&quot;00FA30F6&quot;/&gt;&lt;wsp:rsid wsp:val=&quot;00FA32BD&quot;/&gt;&lt;wsp:rsid wsp:val=&quot;00FA34AC&quot;/&gt;&lt;wsp:rsid wsp:val=&quot;00FA3BCD&quot;/&gt;&lt;wsp:rsid wsp:val=&quot;00FA3F2B&quot;/&gt;&lt;wsp:rsid wsp:val=&quot;00FA41C1&quot;/&gt;&lt;wsp:rsid wsp:val=&quot;00FA4765&quot;/&gt;&lt;wsp:rsid wsp:val=&quot;00FA49C8&quot;/&gt;&lt;wsp:rsid wsp:val=&quot;00FA4FBA&quot;/&gt;&lt;wsp:rsid wsp:val=&quot;00FA504F&quot;/&gt;&lt;wsp:rsid wsp:val=&quot;00FA5CE8&quot;/&gt;&lt;wsp:rsid wsp:val=&quot;00FA60DF&quot;/&gt;&lt;wsp:rsid wsp:val=&quot;00FA67C6&quot;/&gt;&lt;wsp:rsid wsp:val=&quot;00FA6C93&quot;/&gt;&lt;wsp:rsid wsp:val=&quot;00FA764F&quot;/&gt;&lt;wsp:rsid wsp:val=&quot;00FA7B49&quot;/&gt;&lt;wsp:rsid wsp:val=&quot;00FA7FD0&quot;/&gt;&lt;wsp:rsid wsp:val=&quot;00FB00AE&quot;/&gt;&lt;wsp:rsid wsp:val=&quot;00FB045A&quot;/&gt;&lt;wsp:rsid wsp:val=&quot;00FB05A8&quot;/&gt;&lt;wsp:rsid wsp:val=&quot;00FB06EE&quot;/&gt;&lt;wsp:rsid wsp:val=&quot;00FB0D00&quot;/&gt;&lt;wsp:rsid wsp:val=&quot;00FB0F95&quot;/&gt;&lt;wsp:rsid wsp:val=&quot;00FB12DD&quot;/&gt;&lt;wsp:rsid wsp:val=&quot;00FB1C96&quot;/&gt;&lt;wsp:rsid wsp:val=&quot;00FB2222&quot;/&gt;&lt;wsp:rsid wsp:val=&quot;00FB230F&quot;/&gt;&lt;wsp:rsid wsp:val=&quot;00FB26CE&quot;/&gt;&lt;wsp:rsid wsp:val=&quot;00FB2C27&quot;/&gt;&lt;wsp:rsid wsp:val=&quot;00FB3464&quot;/&gt;&lt;wsp:rsid wsp:val=&quot;00FB36A0&quot;/&gt;&lt;wsp:rsid wsp:val=&quot;00FB378F&quot;/&gt;&lt;wsp:rsid wsp:val=&quot;00FB3CA8&quot;/&gt;&lt;wsp:rsid wsp:val=&quot;00FB3D65&quot;/&gt;&lt;wsp:rsid wsp:val=&quot;00FB4896&quot;/&gt;&lt;wsp:rsid wsp:val=&quot;00FB49C9&quot;/&gt;&lt;wsp:rsid wsp:val=&quot;00FB5479&quot;/&gt;&lt;wsp:rsid wsp:val=&quot;00FB5BE0&quot;/&gt;&lt;wsp:rsid wsp:val=&quot;00FB66DF&quot;/&gt;&lt;wsp:rsid wsp:val=&quot;00FB67FB&quot;/&gt;&lt;wsp:rsid wsp:val=&quot;00FB68B4&quot;/&gt;&lt;wsp:rsid wsp:val=&quot;00FB6D37&quot;/&gt;&lt;wsp:rsid wsp:val=&quot;00FB6FE3&quot;/&gt;&lt;wsp:rsid wsp:val=&quot;00FB7158&quot;/&gt;&lt;wsp:rsid wsp:val=&quot;00FB726C&quot;/&gt;&lt;wsp:rsid wsp:val=&quot;00FB75F6&quot;/&gt;&lt;wsp:rsid wsp:val=&quot;00FC0929&quot;/&gt;&lt;wsp:rsid wsp:val=&quot;00FC0B69&quot;/&gt;&lt;wsp:rsid wsp:val=&quot;00FC0DD7&quot;/&gt;&lt;wsp:rsid wsp:val=&quot;00FC15A1&quot;/&gt;&lt;wsp:rsid wsp:val=&quot;00FC15B6&quot;/&gt;&lt;wsp:rsid wsp:val=&quot;00FC1E7C&quot;/&gt;&lt;wsp:rsid wsp:val=&quot;00FC211A&quot;/&gt;&lt;wsp:rsid wsp:val=&quot;00FC24EE&quot;/&gt;&lt;wsp:rsid wsp:val=&quot;00FC2522&quot;/&gt;&lt;wsp:rsid wsp:val=&quot;00FC2C55&quot;/&gt;&lt;wsp:rsid wsp:val=&quot;00FC312E&quot;/&gt;&lt;wsp:rsid wsp:val=&quot;00FC346A&quot;/&gt;&lt;wsp:rsid wsp:val=&quot;00FC3BE2&quot;/&gt;&lt;wsp:rsid wsp:val=&quot;00FC3F56&quot;/&gt;&lt;wsp:rsid wsp:val=&quot;00FC42D9&quot;/&gt;&lt;wsp:rsid wsp:val=&quot;00FC49F9&quot;/&gt;&lt;wsp:rsid wsp:val=&quot;00FC4F0F&quot;/&gt;&lt;wsp:rsid wsp:val=&quot;00FC4F67&quot;/&gt;&lt;wsp:rsid wsp:val=&quot;00FC509E&quot;/&gt;&lt;wsp:rsid wsp:val=&quot;00FC525E&quot;/&gt;&lt;wsp:rsid wsp:val=&quot;00FC55B4&quot;/&gt;&lt;wsp:rsid wsp:val=&quot;00FC5ADA&quot;/&gt;&lt;wsp:rsid wsp:val=&quot;00FC60AF&quot;/&gt;&lt;wsp:rsid wsp:val=&quot;00FC6224&quot;/&gt;&lt;wsp:rsid wsp:val=&quot;00FC6496&quot;/&gt;&lt;wsp:rsid wsp:val=&quot;00FC6906&quot;/&gt;&lt;wsp:rsid wsp:val=&quot;00FC69CA&quot;/&gt;&lt;wsp:rsid wsp:val=&quot;00FC6B75&quot;/&gt;&lt;wsp:rsid wsp:val=&quot;00FC7632&quot;/&gt;&lt;wsp:rsid wsp:val=&quot;00FC7807&quot;/&gt;&lt;wsp:rsid wsp:val=&quot;00FC7B72&quot;/&gt;&lt;wsp:rsid wsp:val=&quot;00FC7D2A&quot;/&gt;&lt;wsp:rsid wsp:val=&quot;00FC7F6A&quot;/&gt;&lt;wsp:rsid wsp:val=&quot;00FD01AC&quot;/&gt;&lt;wsp:rsid wsp:val=&quot;00FD01BA&quot;/&gt;&lt;wsp:rsid wsp:val=&quot;00FD06A4&quot;/&gt;&lt;wsp:rsid wsp:val=&quot;00FD0897&quot;/&gt;&lt;wsp:rsid wsp:val=&quot;00FD0912&quot;/&gt;&lt;wsp:rsid wsp:val=&quot;00FD10F6&quot;/&gt;&lt;wsp:rsid wsp:val=&quot;00FD12B2&quot;/&gt;&lt;wsp:rsid wsp:val=&quot;00FD12B3&quot;/&gt;&lt;wsp:rsid wsp:val=&quot;00FD1AE0&quot;/&gt;&lt;wsp:rsid wsp:val=&quot;00FD2D3C&quot;/&gt;&lt;wsp:rsid wsp:val=&quot;00FD375E&quot;/&gt;&lt;wsp:rsid wsp:val=&quot;00FD399B&quot;/&gt;&lt;wsp:rsid wsp:val=&quot;00FD3F7E&quot;/&gt;&lt;wsp:rsid wsp:val=&quot;00FD41C0&quot;/&gt;&lt;wsp:rsid wsp:val=&quot;00FD4CF6&quot;/&gt;&lt;wsp:rsid wsp:val=&quot;00FD5455&quot;/&gt;&lt;wsp:rsid wsp:val=&quot;00FD5531&quot;/&gt;&lt;wsp:rsid wsp:val=&quot;00FD584E&quot;/&gt;&lt;wsp:rsid wsp:val=&quot;00FD5AE7&quot;/&gt;&lt;wsp:rsid wsp:val=&quot;00FD5F9D&quot;/&gt;&lt;wsp:rsid wsp:val=&quot;00FD618D&quot;/&gt;&lt;wsp:rsid wsp:val=&quot;00FD66C9&quot;/&gt;&lt;wsp:rsid wsp:val=&quot;00FD6D27&quot;/&gt;&lt;wsp:rsid wsp:val=&quot;00FD6F86&quot;/&gt;&lt;wsp:rsid wsp:val=&quot;00FD75D7&quot;/&gt;&lt;wsp:rsid wsp:val=&quot;00FD762F&quot;/&gt;&lt;wsp:rsid wsp:val=&quot;00FD76A1&quot;/&gt;&lt;wsp:rsid wsp:val=&quot;00FD7D93&quot;/&gt;&lt;wsp:rsid wsp:val=&quot;00FD7DE1&quot;/&gt;&lt;wsp:rsid wsp:val=&quot;00FE029E&quot;/&gt;&lt;wsp:rsid wsp:val=&quot;00FE036B&quot;/&gt;&lt;wsp:rsid wsp:val=&quot;00FE0473&quot;/&gt;&lt;wsp:rsid wsp:val=&quot;00FE051B&quot;/&gt;&lt;wsp:rsid wsp:val=&quot;00FE05F2&quot;/&gt;&lt;wsp:rsid wsp:val=&quot;00FE0609&quot;/&gt;&lt;wsp:rsid wsp:val=&quot;00FE08A0&quot;/&gt;&lt;wsp:rsid wsp:val=&quot;00FE0BA6&quot;/&gt;&lt;wsp:rsid wsp:val=&quot;00FE0C80&quot;/&gt;&lt;wsp:rsid wsp:val=&quot;00FE0EEB&quot;/&gt;&lt;wsp:rsid wsp:val=&quot;00FE1247&quot;/&gt;&lt;wsp:rsid wsp:val=&quot;00FE13FE&quot;/&gt;&lt;wsp:rsid wsp:val=&quot;00FE1543&quot;/&gt;&lt;wsp:rsid wsp:val=&quot;00FE174B&quot;/&gt;&lt;wsp:rsid wsp:val=&quot;00FE1BF0&quot;/&gt;&lt;wsp:rsid wsp:val=&quot;00FE1C12&quot;/&gt;&lt;wsp:rsid wsp:val=&quot;00FE23D2&quot;/&gt;&lt;wsp:rsid wsp:val=&quot;00FE2C75&quot;/&gt;&lt;wsp:rsid wsp:val=&quot;00FE2EA9&quot;/&gt;&lt;wsp:rsid wsp:val=&quot;00FE2F88&quot;/&gt;&lt;wsp:rsid wsp:val=&quot;00FE3205&quot;/&gt;&lt;wsp:rsid wsp:val=&quot;00FE3508&quot;/&gt;&lt;wsp:rsid wsp:val=&quot;00FE4194&quot;/&gt;&lt;wsp:rsid wsp:val=&quot;00FE4C69&quot;/&gt;&lt;wsp:rsid wsp:val=&quot;00FE50F5&quot;/&gt;&lt;wsp:rsid wsp:val=&quot;00FE5A67&quot;/&gt;&lt;wsp:rsid wsp:val=&quot;00FE5B4E&quot;/&gt;&lt;wsp:rsid wsp:val=&quot;00FE5BB6&quot;/&gt;&lt;wsp:rsid wsp:val=&quot;00FE5FE2&quot;/&gt;&lt;wsp:rsid wsp:val=&quot;00FE68AF&quot;/&gt;&lt;wsp:rsid wsp:val=&quot;00FE69FF&quot;/&gt;&lt;wsp:rsid wsp:val=&quot;00FE6B81&quot;/&gt;&lt;wsp:rsid wsp:val=&quot;00FE6F08&quot;/&gt;&lt;wsp:rsid wsp:val=&quot;00FE73DA&quot;/&gt;&lt;wsp:rsid wsp:val=&quot;00FE7461&quot;/&gt;&lt;wsp:rsid wsp:val=&quot;00FE7AE3&quot;/&gt;&lt;wsp:rsid wsp:val=&quot;00FE7B60&quot;/&gt;&lt;wsp:rsid wsp:val=&quot;00FE7DA7&quot;/&gt;&lt;wsp:rsid wsp:val=&quot;00FF008D&quot;/&gt;&lt;wsp:rsid wsp:val=&quot;00FF035A&quot;/&gt;&lt;wsp:rsid wsp:val=&quot;00FF0673&quot;/&gt;&lt;wsp:rsid wsp:val=&quot;00FF0D10&quot;/&gt;&lt;wsp:rsid wsp:val=&quot;00FF0F50&quot;/&gt;&lt;wsp:rsid wsp:val=&quot;00FF1047&quot;/&gt;&lt;wsp:rsid wsp:val=&quot;00FF14A9&quot;/&gt;&lt;wsp:rsid wsp:val=&quot;00FF1544&quot;/&gt;&lt;wsp:rsid wsp:val=&quot;00FF17EF&quot;/&gt;&lt;wsp:rsid wsp:val=&quot;00FF1913&quot;/&gt;&lt;wsp:rsid wsp:val=&quot;00FF1B3F&quot;/&gt;&lt;wsp:rsid wsp:val=&quot;00FF2053&quot;/&gt;&lt;wsp:rsid wsp:val=&quot;00FF21AF&quot;/&gt;&lt;wsp:rsid wsp:val=&quot;00FF23D4&quot;/&gt;&lt;wsp:rsid wsp:val=&quot;00FF2490&quot;/&gt;&lt;wsp:rsid wsp:val=&quot;00FF24C2&quot;/&gt;&lt;wsp:rsid wsp:val=&quot;00FF2651&quot;/&gt;&lt;wsp:rsid wsp:val=&quot;00FF2697&quot;/&gt;&lt;wsp:rsid wsp:val=&quot;00FF26E2&quot;/&gt;&lt;wsp:rsid wsp:val=&quot;00FF2FA3&quot;/&gt;&lt;wsp:rsid wsp:val=&quot;00FF3527&quot;/&gt;&lt;wsp:rsid wsp:val=&quot;00FF3F2D&quot;/&gt;&lt;wsp:rsid wsp:val=&quot;00FF3FDC&quot;/&gt;&lt;wsp:rsid wsp:val=&quot;00FF418C&quot;/&gt;&lt;wsp:rsid wsp:val=&quot;00FF458A&quot;/&gt;&lt;wsp:rsid wsp:val=&quot;00FF4B3E&quot;/&gt;&lt;wsp:rsid wsp:val=&quot;00FF4BC9&quot;/&gt;&lt;wsp:rsid wsp:val=&quot;00FF4BCD&quot;/&gt;&lt;wsp:rsid wsp:val=&quot;00FF4CE9&quot;/&gt;&lt;wsp:rsid wsp:val=&quot;00FF4F95&quot;/&gt;&lt;wsp:rsid wsp:val=&quot;00FF5096&quot;/&gt;&lt;wsp:rsid wsp:val=&quot;00FF529E&quot;/&gt;&lt;wsp:rsid wsp:val=&quot;00FF549F&quot;/&gt;&lt;wsp:rsid wsp:val=&quot;00FF54B7&quot;/&gt;&lt;wsp:rsid wsp:val=&quot;00FF5666&quot;/&gt;&lt;wsp:rsid wsp:val=&quot;00FF56A5&quot;/&gt;&lt;wsp:rsid wsp:val=&quot;00FF5BF6&quot;/&gt;&lt;wsp:rsid wsp:val=&quot;00FF5C6D&quot;/&gt;&lt;wsp:rsid wsp:val=&quot;00FF5C6E&quot;/&gt;&lt;wsp:rsid wsp:val=&quot;00FF633F&quot;/&gt;&lt;wsp:rsid wsp:val=&quot;00FF66CC&quot;/&gt;&lt;wsp:rsid wsp:val=&quot;00FF67D3&quot;/&gt;&lt;wsp:rsid wsp:val=&quot;00FF6B0E&quot;/&gt;&lt;wsp:rsid wsp:val=&quot;00FF6B43&quot;/&gt;&lt;wsp:rsid wsp:val=&quot;00FF6F3F&quot;/&gt;&lt;wsp:rsid wsp:val=&quot;00FF7328&quot;/&gt;&lt;wsp:rsid wsp:val=&quot;00FF7600&quot;/&gt;&lt;wsp:rsid wsp:val=&quot;00FF77A7&quot;/&gt;&lt;wsp:rsid wsp:val=&quot;00FF7B0F&quot;/&gt;&lt;wsp:rsid wsp:val=&quot;00FF7D42&quot;/&gt;&lt;wsp:rsid wsp:val=&quot;00FF7F25&quot;/&gt;&lt;/wsp:rsids&gt;&lt;/w:docPr&gt;&lt;w:body&gt;&lt;w:p wsp:rsidR=&quot;00000000&quot; wsp:rsidRDefault=&quot;00AB2216&quot;&gt;&lt;m:oMathPara&gt;&lt;m:oMath&gt;&lt;m:r&gt;&lt;w:rPr&gt;&lt;w:rFonts w:ascii=&quot;Cambria Math&quot; w:fareast=&quot;Times New Roman&quot; w:h-ansi=&quot;Cambria Math&quot;/&gt;&lt;wx:font wx:val=&quot;Cambria Math&quot;/&gt;&lt;w:i/&gt;&lt;w:sz w:val=&quot;28&quot;/&gt;&lt;w:sz-cs w:val=&quot;24&quot;/&gt;&lt;w:lang w:fareast=&quot;RU&quot;/&gt;&lt;/w:rPr&gt;&lt;m:t&gt;H=43666Г—&lt;/m:t&gt;&lt;/m:r&gt;&lt;m:sSup&gt;&lt;m:sSupPr&gt;&lt;m:ctrlPr&gt;&lt;w:rPr&gt;&lt;w:rFonts w:ascii=&quot;Cambria Math&quot; w:fareast=&quot;Times New Roman&quot; w:h-ansi=&quot;Cambria Math&quot;/&gt;&lt;wx:font wx:val=&quot;Cambria Math&quot;/&gt;&lt;w:i/&gt;&lt;w:sz w:val=&quot;28&quot;/&gt;&lt;w:sz-cs w:val=&quot;24&quot;/&gt;&lt;w:lang w:fareast=&quot;RU&quot;/&gt;&lt;/w:rPr&gt;&lt;/m:ctrlPr&gt;&lt;/m:sSupPr&gt;&lt;m:e&gt;&lt;m:r&gt;&lt;w:rPr&gt;&lt;w:rFonts w:ascii=&quot;Cambria Math&quot; w:fareast=&quot;Times New Roman&quot; w:h-ansi=&quot;Cambria Math&quot;/&gt;&lt;wx:font wx:val=&quot;Cambria Math&quot;/&gt;&lt;w:i/&gt;&lt;w:sz w:val=&quot;28&quot;/&gt;&lt;w:sz-cs w:val=&quot;24&quot;/&gt;&lt;w:lang w:fareast=&quot;RU&quot;/&gt;&lt;/w:rPr&gt;&lt;m:t&gt;(1+&lt;/m:t&gt;&lt;/m:r&gt;&lt;m:f&gt;&lt;m:fPr&gt;&lt;m:ctrlPr&gt;&lt;w:rPr&gt;&lt;w:rFonts w:ascii=&quot;Cambria Math&quot; w:fareast=&quot;Times New Roman&quot; w:h-ansi=&quot;Cambria Math&quot;/&gt;&lt;wx:font wx:val=&quot;Cambria Math&quot;/&gt;&lt;w:i/&gt;&lt;w:sz w:val=&quot;28&quot;/&gt;&lt;w:sz-cs w:val=&quot;24&quot;/&gt;&lt;w:lang w:fareast=&quot;RU&quot;/&gt;&lt;/w:rPr&gt;&lt;/m:ctrlPr&gt;&lt;/m:fPr&gt;&lt;m:num&gt;&lt;m:r&gt;&lt;w:rPr&gt;&lt;w:rFonts w:ascii=&quot;Cambria Math&quot; w:fareast=&quot;Times New Roman&quot; w:h-ansi=&quot;Cambria Math&quot;/&gt;&lt;wx:font wx:val=&quot;Cambria Math&quot;/&gt;&lt;w:i/&gt;&lt;w:sz w:val=&quot;28&quot;/&gt;&lt;w:sz-cs w:val=&quot;24&quot;/&gt;&lt;w:lang w:fareast=&quot;RU&quot;/&gt;&lt;/w:rPr&gt;&lt;m:t&gt;-0,52%-0,07%&lt;/m:t&gt;&lt;/m:r&gt;&lt;/m:num&gt;&lt;m:den&gt;&lt;m:r&gt;&lt;w:rPr&gt;&lt;w:rFonts w:ascii=&quot;Cambria Math&quot; w:fareast=&quot;Times New Roman&quot; w:h-ansi=&quot;Cambria Math&quot;/&gt;&lt;wx:font wx:val=&quot;Cambria Math&quot;/&gt;&lt;w:i/&gt;&lt;w:sz w:val=&quot;28&quot;/&gt;&lt;w:sz-cs w:val=&quot;24&quot;/&gt;&lt;w:lang w:fareast=&quot;RU&quot;/&gt;&lt;/w:rPr&gt;&lt;m:t&gt;100&lt;/m:t&gt;&lt;/m:r&gt;&lt;/m:den&gt;&lt;/m:f&gt;&lt;m:r&gt;&lt;w:rPr&gt;&lt;w:rFonts w:ascii=&quot;Cambria Math&quot; w:fareast=&quot;Times New Roman&quot; w:h-ansi=&quot;Cambria Math&quot;/&gt;&lt;wx:font wx:val=&quot;Cambria Math&quot;/&gt;&lt;w:i/&gt;&lt;w:sz w:val=&quot;28&quot;/&gt;&lt;w:sz-cs w:val=&quot;24&quot;/&gt;&lt;w:lang w:fareast=&quot;RU&quot;/&gt;&lt;/w:rPr&gt;&lt;m:t&gt;)&lt;/m:t&gt;&lt;/m:r&gt;&lt;/m:e&gt;&lt;m:sup&gt;&lt;m:r&gt;&lt;w:rPr&gt;&lt;w:rFonts w:ascii=&quot;Cambria Math&quot; w:fareast=&quot;Times New Roman&quot; w:h-ansi=&quot;Cambria Math&quot;/&gt;&lt;wx:font wx:val=&quot;Cambria Math&quot;/&gt;&lt;w:i/&gt;&lt;w:sz w:val=&quot;28&quot;/&gt;&lt;w:sz-cs w:val=&quot;24&quot;/&gt;&lt;w:lang w:fareast=&quot;RU&quot;/&gt;&lt;/w:rPr&gt;&lt;m:t&gt;20&lt;/m:t&gt;&lt;/m:r&gt;&lt;/m:sup&gt;&lt;/m:sSup&gt;&lt;m:r&gt;&lt;w:rPr&gt;&lt;w:rFonts w:ascii=&quot;Cambria Math&quot; w:fareast=&quot;Times New Roman&quot; w:h-ansi=&quot;Cambria Math&quot;/&gt;&lt;wx:font wx:val=&quot;Cambria Math&quot;/&gt;&lt;w:i/&gt;&lt;w:sz w:val=&quot;28&quot;/&gt;&lt;w:sz-cs w:val=&quot;24&quot;/&gt;&lt;w:lang w:fareast=&quot;RU&quot;/&gt;&lt;/w:rPr&gt;&lt;m:t&gt;=3875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6" o:title="" chromakey="white"/>
          </v:shape>
        </w:pict>
      </w:r>
    </w:p>
    <w:p w:rsidR="002D1E45" w:rsidRPr="00B95F0E" w:rsidRDefault="002D1E45" w:rsidP="00B95F0E">
      <w:pPr>
        <w:spacing w:after="0" w:line="240" w:lineRule="auto"/>
        <w:ind w:firstLine="709"/>
        <w:jc w:val="both"/>
        <w:rPr>
          <w:rFonts w:ascii="Times New Roman" w:hAnsi="Times New Roman"/>
          <w:sz w:val="28"/>
          <w:szCs w:val="24"/>
          <w:lang w:eastAsia="ru-RU"/>
        </w:rPr>
      </w:pPr>
    </w:p>
    <w:p w:rsidR="002D1E45" w:rsidRPr="00B95F0E" w:rsidRDefault="002D1E45" w:rsidP="00B95F0E">
      <w:pPr>
        <w:spacing w:after="0" w:line="240" w:lineRule="auto"/>
        <w:ind w:firstLine="709"/>
        <w:jc w:val="both"/>
        <w:rPr>
          <w:rFonts w:ascii="Times New Roman" w:hAnsi="Times New Roman"/>
          <w:sz w:val="28"/>
          <w:szCs w:val="28"/>
        </w:rPr>
      </w:pPr>
      <w:r w:rsidRPr="00A4240B">
        <w:rPr>
          <w:rFonts w:ascii="Times New Roman" w:hAnsi="Times New Roman"/>
          <w:sz w:val="28"/>
          <w:szCs w:val="28"/>
        </w:rPr>
        <w:t xml:space="preserve">Для расчёта перспективной численности </w:t>
      </w:r>
      <w:r>
        <w:rPr>
          <w:rFonts w:ascii="Times New Roman" w:hAnsi="Times New Roman"/>
          <w:sz w:val="28"/>
          <w:szCs w:val="28"/>
        </w:rPr>
        <w:t xml:space="preserve">населения города </w:t>
      </w:r>
      <w:r w:rsidRPr="00A4240B">
        <w:rPr>
          <w:rFonts w:ascii="Times New Roman" w:hAnsi="Times New Roman"/>
          <w:sz w:val="28"/>
          <w:szCs w:val="28"/>
        </w:rPr>
        <w:t>с</w:t>
      </w:r>
      <w:r>
        <w:rPr>
          <w:rFonts w:ascii="Times New Roman" w:hAnsi="Times New Roman"/>
          <w:sz w:val="28"/>
          <w:szCs w:val="28"/>
        </w:rPr>
        <w:t> </w:t>
      </w:r>
      <w:r w:rsidRPr="00A4240B">
        <w:rPr>
          <w:rFonts w:ascii="Times New Roman" w:hAnsi="Times New Roman"/>
          <w:sz w:val="28"/>
          <w:szCs w:val="28"/>
        </w:rPr>
        <w:t>учётом базового сценария развития</w:t>
      </w:r>
      <w:r>
        <w:rPr>
          <w:rFonts w:ascii="Times New Roman" w:hAnsi="Times New Roman"/>
          <w:sz w:val="28"/>
          <w:szCs w:val="28"/>
        </w:rPr>
        <w:t xml:space="preserve"> района в целом </w:t>
      </w:r>
      <w:r w:rsidRPr="00B95F0E">
        <w:rPr>
          <w:rFonts w:ascii="Times New Roman" w:hAnsi="Times New Roman"/>
          <w:sz w:val="28"/>
          <w:szCs w:val="28"/>
        </w:rPr>
        <w:t>был использован социально-экономический прогноз. Социально-экономический прогноз численности населения базируется на</w:t>
      </w:r>
      <w:r>
        <w:rPr>
          <w:rFonts w:ascii="Times New Roman" w:hAnsi="Times New Roman"/>
          <w:sz w:val="28"/>
          <w:szCs w:val="28"/>
        </w:rPr>
        <w:t> </w:t>
      </w:r>
      <w:r w:rsidRPr="00B95F0E">
        <w:rPr>
          <w:rFonts w:ascii="Times New Roman" w:hAnsi="Times New Roman"/>
          <w:sz w:val="28"/>
          <w:szCs w:val="28"/>
        </w:rPr>
        <w:t>перспективном развитии градообразующих отраслей и</w:t>
      </w:r>
      <w:r>
        <w:rPr>
          <w:rFonts w:ascii="Times New Roman" w:hAnsi="Times New Roman"/>
          <w:sz w:val="28"/>
          <w:szCs w:val="28"/>
        </w:rPr>
        <w:t> </w:t>
      </w:r>
      <w:r w:rsidRPr="00B95F0E">
        <w:rPr>
          <w:rFonts w:ascii="Times New Roman" w:hAnsi="Times New Roman"/>
          <w:sz w:val="28"/>
          <w:szCs w:val="28"/>
        </w:rPr>
        <w:t>установлении наиболее рациональных пропорций между основными группами населения: несамодеятельной, градообразующей и</w:t>
      </w:r>
      <w:r>
        <w:rPr>
          <w:rFonts w:ascii="Times New Roman" w:hAnsi="Times New Roman"/>
          <w:sz w:val="28"/>
          <w:szCs w:val="28"/>
        </w:rPr>
        <w:t> </w:t>
      </w:r>
      <w:r w:rsidRPr="00B95F0E">
        <w:rPr>
          <w:rFonts w:ascii="Times New Roman" w:hAnsi="Times New Roman"/>
          <w:sz w:val="28"/>
          <w:szCs w:val="28"/>
        </w:rPr>
        <w:t>обслуживающей.</w:t>
      </w:r>
    </w:p>
    <w:p w:rsidR="002D1E45" w:rsidRPr="00B95F0E" w:rsidRDefault="002D1E45" w:rsidP="00B95F0E">
      <w:pPr>
        <w:spacing w:after="0" w:line="240" w:lineRule="auto"/>
        <w:ind w:firstLine="709"/>
        <w:jc w:val="both"/>
        <w:rPr>
          <w:rFonts w:ascii="Times New Roman" w:hAnsi="Times New Roman"/>
          <w:b/>
          <w:bCs/>
          <w:sz w:val="28"/>
          <w:szCs w:val="28"/>
        </w:rPr>
      </w:pPr>
      <w:r w:rsidRPr="00B95F0E">
        <w:rPr>
          <w:rFonts w:ascii="Times New Roman" w:hAnsi="Times New Roman"/>
          <w:sz w:val="28"/>
          <w:szCs w:val="28"/>
        </w:rPr>
        <w:t>Оценка и</w:t>
      </w:r>
      <w:r>
        <w:rPr>
          <w:rFonts w:ascii="Times New Roman" w:hAnsi="Times New Roman"/>
          <w:sz w:val="28"/>
          <w:szCs w:val="28"/>
        </w:rPr>
        <w:t> </w:t>
      </w:r>
      <w:r w:rsidRPr="00B95F0E">
        <w:rPr>
          <w:rFonts w:ascii="Times New Roman" w:hAnsi="Times New Roman"/>
          <w:sz w:val="28"/>
          <w:szCs w:val="28"/>
        </w:rPr>
        <w:t>прогноз развития экономической базы города, предполагаемое улучшение занятости, а</w:t>
      </w:r>
      <w:r>
        <w:rPr>
          <w:rFonts w:ascii="Times New Roman" w:hAnsi="Times New Roman"/>
          <w:sz w:val="28"/>
          <w:szCs w:val="28"/>
        </w:rPr>
        <w:t> </w:t>
      </w:r>
      <w:r w:rsidRPr="00B95F0E">
        <w:rPr>
          <w:rFonts w:ascii="Times New Roman" w:hAnsi="Times New Roman"/>
          <w:sz w:val="28"/>
          <w:szCs w:val="28"/>
        </w:rPr>
        <w:t xml:space="preserve">также влияние, которое оказывает развитие жилищного строительства несомненно должны содействовать росту численности населения </w:t>
      </w:r>
      <w:r>
        <w:rPr>
          <w:rFonts w:ascii="Times New Roman" w:hAnsi="Times New Roman"/>
          <w:sz w:val="28"/>
          <w:szCs w:val="28"/>
        </w:rPr>
        <w:t>города</w:t>
      </w:r>
      <w:r w:rsidRPr="00B95F0E">
        <w:rPr>
          <w:rFonts w:ascii="Times New Roman" w:hAnsi="Times New Roman"/>
          <w:sz w:val="28"/>
          <w:szCs w:val="28"/>
        </w:rPr>
        <w:t>.</w:t>
      </w:r>
    </w:p>
    <w:p w:rsidR="002D1E45" w:rsidRPr="00B95F0E" w:rsidRDefault="002D1E45" w:rsidP="00B95F0E">
      <w:pPr>
        <w:spacing w:after="0" w:line="240" w:lineRule="auto"/>
        <w:ind w:firstLine="709"/>
        <w:jc w:val="both"/>
        <w:rPr>
          <w:rFonts w:ascii="Times New Roman" w:hAnsi="Times New Roman"/>
          <w:sz w:val="28"/>
          <w:szCs w:val="28"/>
        </w:rPr>
      </w:pPr>
      <w:r w:rsidRPr="00B95F0E">
        <w:rPr>
          <w:rFonts w:ascii="Times New Roman" w:hAnsi="Times New Roman"/>
          <w:sz w:val="28"/>
          <w:szCs w:val="28"/>
        </w:rPr>
        <w:t>Численность трудовых ресурсов на</w:t>
      </w:r>
      <w:r>
        <w:rPr>
          <w:rFonts w:ascii="Times New Roman" w:hAnsi="Times New Roman"/>
          <w:sz w:val="28"/>
          <w:szCs w:val="28"/>
        </w:rPr>
        <w:t> </w:t>
      </w:r>
      <w:r w:rsidRPr="00B95F0E">
        <w:rPr>
          <w:rFonts w:ascii="Times New Roman" w:hAnsi="Times New Roman"/>
          <w:sz w:val="28"/>
          <w:szCs w:val="28"/>
        </w:rPr>
        <w:t>начало 20</w:t>
      </w:r>
      <w:r>
        <w:rPr>
          <w:rFonts w:ascii="Times New Roman" w:hAnsi="Times New Roman"/>
          <w:sz w:val="28"/>
          <w:szCs w:val="28"/>
        </w:rPr>
        <w:t>20</w:t>
      </w:r>
      <w:r w:rsidRPr="00B95F0E">
        <w:rPr>
          <w:rFonts w:ascii="Times New Roman" w:hAnsi="Times New Roman"/>
          <w:sz w:val="28"/>
          <w:szCs w:val="28"/>
        </w:rPr>
        <w:t xml:space="preserve"> года составляла </w:t>
      </w:r>
      <w:r>
        <w:rPr>
          <w:rFonts w:ascii="Times New Roman" w:hAnsi="Times New Roman"/>
          <w:sz w:val="28"/>
          <w:szCs w:val="28"/>
        </w:rPr>
        <w:t>25,7 тыс.</w:t>
      </w:r>
      <w:r w:rsidRPr="00B95F0E">
        <w:rPr>
          <w:rFonts w:ascii="Times New Roman" w:hAnsi="Times New Roman"/>
          <w:sz w:val="28"/>
          <w:szCs w:val="28"/>
        </w:rPr>
        <w:t xml:space="preserve"> человек или </w:t>
      </w:r>
      <w:r>
        <w:rPr>
          <w:rFonts w:ascii="Times New Roman" w:hAnsi="Times New Roman"/>
          <w:sz w:val="28"/>
          <w:szCs w:val="28"/>
        </w:rPr>
        <w:t>59,1</w:t>
      </w:r>
      <w:r w:rsidRPr="00B95F0E">
        <w:rPr>
          <w:rFonts w:ascii="Times New Roman" w:hAnsi="Times New Roman"/>
          <w:sz w:val="28"/>
          <w:szCs w:val="28"/>
        </w:rPr>
        <w:t xml:space="preserve"> % от</w:t>
      </w:r>
      <w:r>
        <w:rPr>
          <w:rFonts w:ascii="Times New Roman" w:hAnsi="Times New Roman"/>
          <w:sz w:val="28"/>
          <w:szCs w:val="28"/>
        </w:rPr>
        <w:t> </w:t>
      </w:r>
      <w:r w:rsidRPr="00B95F0E">
        <w:rPr>
          <w:rFonts w:ascii="Times New Roman" w:hAnsi="Times New Roman"/>
          <w:sz w:val="28"/>
          <w:szCs w:val="28"/>
        </w:rPr>
        <w:t>общей численности постоянного населения. Заняты в</w:t>
      </w:r>
      <w:r>
        <w:rPr>
          <w:rFonts w:ascii="Times New Roman" w:hAnsi="Times New Roman"/>
          <w:sz w:val="28"/>
          <w:szCs w:val="28"/>
        </w:rPr>
        <w:t> </w:t>
      </w:r>
      <w:r w:rsidRPr="00B95F0E">
        <w:rPr>
          <w:rFonts w:ascii="Times New Roman" w:hAnsi="Times New Roman"/>
          <w:sz w:val="28"/>
          <w:szCs w:val="28"/>
        </w:rPr>
        <w:t xml:space="preserve">экономике – </w:t>
      </w:r>
      <w:r>
        <w:rPr>
          <w:rFonts w:ascii="Times New Roman" w:hAnsi="Times New Roman"/>
          <w:sz w:val="28"/>
          <w:szCs w:val="28"/>
        </w:rPr>
        <w:t>18,7</w:t>
      </w:r>
      <w:r w:rsidRPr="00B95F0E">
        <w:rPr>
          <w:rFonts w:ascii="Times New Roman" w:hAnsi="Times New Roman"/>
          <w:sz w:val="28"/>
          <w:szCs w:val="28"/>
        </w:rPr>
        <w:t xml:space="preserve"> тыс. человек (</w:t>
      </w:r>
      <w:r>
        <w:rPr>
          <w:rFonts w:ascii="Times New Roman" w:hAnsi="Times New Roman"/>
          <w:sz w:val="28"/>
          <w:szCs w:val="28"/>
        </w:rPr>
        <w:t>43</w:t>
      </w:r>
      <w:r w:rsidRPr="00B95F0E">
        <w:rPr>
          <w:rFonts w:ascii="Times New Roman" w:hAnsi="Times New Roman"/>
          <w:sz w:val="28"/>
          <w:szCs w:val="28"/>
        </w:rPr>
        <w:t xml:space="preserve"> % от</w:t>
      </w:r>
      <w:r>
        <w:rPr>
          <w:rFonts w:ascii="Times New Roman" w:hAnsi="Times New Roman"/>
          <w:sz w:val="28"/>
          <w:szCs w:val="28"/>
        </w:rPr>
        <w:t> </w:t>
      </w:r>
      <w:r w:rsidRPr="00B95F0E">
        <w:rPr>
          <w:rFonts w:ascii="Times New Roman" w:hAnsi="Times New Roman"/>
          <w:sz w:val="28"/>
          <w:szCs w:val="28"/>
        </w:rPr>
        <w:t>общей численности постоянного населения). Разделение трудовых ресурсов по</w:t>
      </w:r>
      <w:r>
        <w:rPr>
          <w:rFonts w:ascii="Times New Roman" w:hAnsi="Times New Roman"/>
          <w:sz w:val="28"/>
          <w:szCs w:val="28"/>
        </w:rPr>
        <w:t> </w:t>
      </w:r>
      <w:r w:rsidRPr="00B95F0E">
        <w:rPr>
          <w:rFonts w:ascii="Times New Roman" w:hAnsi="Times New Roman"/>
          <w:sz w:val="28"/>
          <w:szCs w:val="28"/>
        </w:rPr>
        <w:t>занятости на</w:t>
      </w:r>
      <w:r>
        <w:rPr>
          <w:rFonts w:ascii="Times New Roman" w:hAnsi="Times New Roman"/>
          <w:sz w:val="28"/>
          <w:szCs w:val="28"/>
        </w:rPr>
        <w:t> </w:t>
      </w:r>
      <w:r w:rsidRPr="00B95F0E">
        <w:rPr>
          <w:rFonts w:ascii="Times New Roman" w:hAnsi="Times New Roman"/>
          <w:sz w:val="28"/>
          <w:szCs w:val="28"/>
        </w:rPr>
        <w:t>градообразующие и</w:t>
      </w:r>
      <w:r>
        <w:rPr>
          <w:rFonts w:ascii="Times New Roman" w:hAnsi="Times New Roman"/>
          <w:sz w:val="28"/>
          <w:szCs w:val="28"/>
        </w:rPr>
        <w:t> </w:t>
      </w:r>
      <w:r w:rsidRPr="00B95F0E">
        <w:rPr>
          <w:rFonts w:ascii="Times New Roman" w:hAnsi="Times New Roman"/>
          <w:sz w:val="28"/>
          <w:szCs w:val="28"/>
        </w:rPr>
        <w:t>обслуживающие отрасли в</w:t>
      </w:r>
      <w:r>
        <w:rPr>
          <w:rFonts w:ascii="Times New Roman" w:hAnsi="Times New Roman"/>
          <w:sz w:val="28"/>
          <w:szCs w:val="28"/>
        </w:rPr>
        <w:t> городе</w:t>
      </w:r>
      <w:r w:rsidRPr="00B95F0E">
        <w:rPr>
          <w:rFonts w:ascii="Times New Roman" w:hAnsi="Times New Roman"/>
          <w:sz w:val="28"/>
          <w:szCs w:val="28"/>
        </w:rPr>
        <w:t xml:space="preserve"> на</w:t>
      </w:r>
      <w:r>
        <w:rPr>
          <w:rFonts w:ascii="Times New Roman" w:hAnsi="Times New Roman"/>
          <w:sz w:val="28"/>
          <w:szCs w:val="28"/>
        </w:rPr>
        <w:t> </w:t>
      </w:r>
      <w:r w:rsidRPr="00B95F0E">
        <w:rPr>
          <w:rFonts w:ascii="Times New Roman" w:hAnsi="Times New Roman"/>
          <w:sz w:val="28"/>
          <w:szCs w:val="28"/>
        </w:rPr>
        <w:t>начало 20</w:t>
      </w:r>
      <w:r>
        <w:rPr>
          <w:rFonts w:ascii="Times New Roman" w:hAnsi="Times New Roman"/>
          <w:sz w:val="28"/>
          <w:szCs w:val="28"/>
        </w:rPr>
        <w:t>20</w:t>
      </w:r>
      <w:r w:rsidRPr="00B95F0E">
        <w:rPr>
          <w:rFonts w:ascii="Times New Roman" w:hAnsi="Times New Roman"/>
          <w:sz w:val="28"/>
          <w:szCs w:val="28"/>
        </w:rPr>
        <w:t xml:space="preserve"> года принят</w:t>
      </w:r>
      <w:r>
        <w:rPr>
          <w:rFonts w:ascii="Times New Roman" w:hAnsi="Times New Roman"/>
          <w:sz w:val="28"/>
          <w:szCs w:val="28"/>
        </w:rPr>
        <w:t>о</w:t>
      </w:r>
      <w:r w:rsidRPr="00B95F0E">
        <w:rPr>
          <w:rFonts w:ascii="Times New Roman" w:hAnsi="Times New Roman"/>
          <w:sz w:val="28"/>
          <w:szCs w:val="28"/>
        </w:rPr>
        <w:t xml:space="preserve">: </w:t>
      </w:r>
      <w:r>
        <w:rPr>
          <w:rFonts w:ascii="Times New Roman" w:hAnsi="Times New Roman"/>
          <w:sz w:val="28"/>
          <w:szCs w:val="28"/>
        </w:rPr>
        <w:t>27</w:t>
      </w:r>
      <w:r w:rsidRPr="00B95F0E">
        <w:rPr>
          <w:rFonts w:ascii="Times New Roman" w:hAnsi="Times New Roman"/>
          <w:sz w:val="28"/>
          <w:szCs w:val="28"/>
        </w:rPr>
        <w:t xml:space="preserve"> % - заняты в</w:t>
      </w:r>
      <w:r>
        <w:rPr>
          <w:rFonts w:ascii="Times New Roman" w:hAnsi="Times New Roman"/>
          <w:sz w:val="28"/>
          <w:szCs w:val="28"/>
        </w:rPr>
        <w:t> </w:t>
      </w:r>
      <w:r w:rsidRPr="00B95F0E">
        <w:rPr>
          <w:rFonts w:ascii="Times New Roman" w:hAnsi="Times New Roman"/>
          <w:sz w:val="28"/>
          <w:szCs w:val="28"/>
        </w:rPr>
        <w:t xml:space="preserve">градообразующих отраслях, </w:t>
      </w:r>
      <w:r>
        <w:rPr>
          <w:rFonts w:ascii="Times New Roman" w:hAnsi="Times New Roman"/>
          <w:sz w:val="28"/>
          <w:szCs w:val="28"/>
        </w:rPr>
        <w:t>73</w:t>
      </w:r>
      <w:r w:rsidRPr="00B95F0E">
        <w:rPr>
          <w:rFonts w:ascii="Times New Roman" w:hAnsi="Times New Roman"/>
          <w:sz w:val="28"/>
          <w:szCs w:val="28"/>
        </w:rPr>
        <w:t xml:space="preserve"> % - в</w:t>
      </w:r>
      <w:r>
        <w:rPr>
          <w:rFonts w:ascii="Times New Roman" w:hAnsi="Times New Roman"/>
          <w:sz w:val="28"/>
          <w:szCs w:val="28"/>
        </w:rPr>
        <w:t> </w:t>
      </w:r>
      <w:r w:rsidRPr="00B95F0E">
        <w:rPr>
          <w:rFonts w:ascii="Times New Roman" w:hAnsi="Times New Roman"/>
          <w:sz w:val="28"/>
          <w:szCs w:val="28"/>
        </w:rPr>
        <w:t xml:space="preserve">обслуживающих. </w:t>
      </w:r>
    </w:p>
    <w:p w:rsidR="002D1E45" w:rsidRPr="00B95F0E" w:rsidRDefault="002D1E45" w:rsidP="00B95F0E">
      <w:pPr>
        <w:spacing w:after="0" w:line="240" w:lineRule="auto"/>
        <w:ind w:firstLine="709"/>
        <w:jc w:val="both"/>
        <w:rPr>
          <w:rFonts w:ascii="Times New Roman" w:hAnsi="Times New Roman"/>
          <w:sz w:val="28"/>
          <w:szCs w:val="28"/>
        </w:rPr>
      </w:pPr>
      <w:r w:rsidRPr="00B95F0E">
        <w:rPr>
          <w:rFonts w:ascii="Times New Roman" w:hAnsi="Times New Roman"/>
          <w:sz w:val="28"/>
          <w:szCs w:val="28"/>
        </w:rPr>
        <w:t>Перспективная структура занятости на</w:t>
      </w:r>
      <w:r>
        <w:rPr>
          <w:rFonts w:ascii="Times New Roman" w:hAnsi="Times New Roman"/>
          <w:sz w:val="28"/>
          <w:szCs w:val="28"/>
        </w:rPr>
        <w:t> </w:t>
      </w:r>
      <w:r w:rsidRPr="00B95F0E">
        <w:rPr>
          <w:rFonts w:ascii="Times New Roman" w:hAnsi="Times New Roman"/>
          <w:sz w:val="28"/>
          <w:szCs w:val="28"/>
        </w:rPr>
        <w:t>расчётный срок и</w:t>
      </w:r>
      <w:r>
        <w:rPr>
          <w:rFonts w:ascii="Times New Roman" w:hAnsi="Times New Roman"/>
          <w:sz w:val="28"/>
          <w:szCs w:val="28"/>
        </w:rPr>
        <w:t> </w:t>
      </w:r>
      <w:r w:rsidRPr="00B95F0E">
        <w:rPr>
          <w:rFonts w:ascii="Times New Roman" w:hAnsi="Times New Roman"/>
          <w:sz w:val="28"/>
          <w:szCs w:val="28"/>
        </w:rPr>
        <w:t>первую очередь определена исходя из</w:t>
      </w:r>
      <w:r>
        <w:rPr>
          <w:rFonts w:ascii="Times New Roman" w:hAnsi="Times New Roman"/>
          <w:sz w:val="28"/>
          <w:szCs w:val="28"/>
        </w:rPr>
        <w:t> </w:t>
      </w:r>
      <w:r w:rsidRPr="00B95F0E">
        <w:rPr>
          <w:rFonts w:ascii="Times New Roman" w:hAnsi="Times New Roman"/>
          <w:sz w:val="28"/>
          <w:szCs w:val="28"/>
        </w:rPr>
        <w:t>проведённого анализа современной возрастной структуры, миграции, занятости населения, а</w:t>
      </w:r>
      <w:r>
        <w:rPr>
          <w:rFonts w:ascii="Times New Roman" w:hAnsi="Times New Roman"/>
          <w:sz w:val="28"/>
          <w:szCs w:val="28"/>
        </w:rPr>
        <w:t> </w:t>
      </w:r>
      <w:r w:rsidRPr="00B95F0E">
        <w:rPr>
          <w:rFonts w:ascii="Times New Roman" w:hAnsi="Times New Roman"/>
          <w:sz w:val="28"/>
          <w:szCs w:val="28"/>
        </w:rPr>
        <w:t>также наметившимся условиям для их</w:t>
      </w:r>
      <w:r>
        <w:rPr>
          <w:rFonts w:ascii="Times New Roman" w:hAnsi="Times New Roman"/>
          <w:sz w:val="28"/>
          <w:szCs w:val="28"/>
        </w:rPr>
        <w:t> </w:t>
      </w:r>
      <w:r w:rsidRPr="00B95F0E">
        <w:rPr>
          <w:rFonts w:ascii="Times New Roman" w:hAnsi="Times New Roman"/>
          <w:sz w:val="28"/>
          <w:szCs w:val="28"/>
        </w:rPr>
        <w:t xml:space="preserve">дальнейшего перераспределения. </w:t>
      </w:r>
    </w:p>
    <w:p w:rsidR="002D1E45" w:rsidRPr="00B95F0E" w:rsidRDefault="002D1E45" w:rsidP="00B95F0E">
      <w:pPr>
        <w:spacing w:after="0" w:line="240" w:lineRule="auto"/>
        <w:ind w:firstLine="709"/>
        <w:jc w:val="both"/>
        <w:rPr>
          <w:rFonts w:ascii="Times New Roman" w:hAnsi="Times New Roman"/>
          <w:sz w:val="28"/>
          <w:szCs w:val="28"/>
        </w:rPr>
      </w:pPr>
      <w:r w:rsidRPr="00B95F0E">
        <w:rPr>
          <w:rFonts w:ascii="Times New Roman" w:hAnsi="Times New Roman"/>
          <w:sz w:val="28"/>
          <w:szCs w:val="28"/>
        </w:rPr>
        <w:t>Численность населения определяется по</w:t>
      </w:r>
      <w:r>
        <w:rPr>
          <w:rFonts w:ascii="Times New Roman" w:hAnsi="Times New Roman"/>
          <w:sz w:val="28"/>
          <w:szCs w:val="28"/>
        </w:rPr>
        <w:t> </w:t>
      </w:r>
      <w:r w:rsidRPr="00B95F0E">
        <w:rPr>
          <w:rFonts w:ascii="Times New Roman" w:hAnsi="Times New Roman"/>
          <w:sz w:val="28"/>
          <w:szCs w:val="28"/>
        </w:rPr>
        <w:t>формуле:</w:t>
      </w:r>
    </w:p>
    <w:p w:rsidR="002D1E45" w:rsidRPr="00B95F0E" w:rsidRDefault="002D1E45" w:rsidP="00B95F0E">
      <w:pPr>
        <w:spacing w:after="0" w:line="240" w:lineRule="auto"/>
        <w:ind w:firstLine="709"/>
        <w:jc w:val="both"/>
        <w:rPr>
          <w:rFonts w:ascii="Times New Roman" w:hAnsi="Times New Roman"/>
          <w:sz w:val="28"/>
          <w:szCs w:val="28"/>
        </w:rPr>
      </w:pPr>
    </w:p>
    <w:p w:rsidR="002D1E45" w:rsidRPr="00B95F0E" w:rsidRDefault="002D1E45" w:rsidP="00B95F0E">
      <w:pPr>
        <w:spacing w:after="0" w:line="240" w:lineRule="auto"/>
        <w:ind w:firstLine="709"/>
        <w:jc w:val="both"/>
        <w:rPr>
          <w:rFonts w:ascii="Times New Roman" w:hAnsi="Times New Roman"/>
          <w:sz w:val="28"/>
          <w:szCs w:val="28"/>
        </w:rPr>
      </w:pPr>
      <w:r>
        <w:pict>
          <v:shape id="_x0000_i1052" type="#_x0000_t75" style="width:114.75pt;height:34.5pt" equationxml="&lt;?xml version=&quot;1.0&quot; encoding=&quot;UTF-8&quot; standalone=&quot;yes&quot;?&gt;&#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stylePaneFormatFilter w:val=&quot;3F01&quot;/&gt;&lt;w:defaultTabStop w:val=&quot;709&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55249&quot;/&gt;&lt;wsp:rsid wsp:val=&quot;00000069&quot;/&gt;&lt;wsp:rsid wsp:val=&quot;0000011C&quot;/&gt;&lt;wsp:rsid wsp:val=&quot;00000437&quot;/&gt;&lt;wsp:rsid wsp:val=&quot;00001379&quot;/&gt;&lt;wsp:rsid wsp:val=&quot;0000148E&quot;/&gt;&lt;wsp:rsid wsp:val=&quot;00001718&quot;/&gt;&lt;wsp:rsid wsp:val=&quot;000017EA&quot;/&gt;&lt;wsp:rsid wsp:val=&quot;00001828&quot;/&gt;&lt;wsp:rsid wsp:val=&quot;00001D98&quot;/&gt;&lt;wsp:rsid wsp:val=&quot;0000229E&quot;/&gt;&lt;wsp:rsid wsp:val=&quot;000027D5&quot;/&gt;&lt;wsp:rsid wsp:val=&quot;00002824&quot;/&gt;&lt;wsp:rsid wsp:val=&quot;00002C12&quot;/&gt;&lt;wsp:rsid wsp:val=&quot;00002C43&quot;/&gt;&lt;wsp:rsid wsp:val=&quot;00002D9C&quot;/&gt;&lt;wsp:rsid wsp:val=&quot;00002F36&quot;/&gt;&lt;wsp:rsid wsp:val=&quot;0000302F&quot;/&gt;&lt;wsp:rsid wsp:val=&quot;00003030&quot;/&gt;&lt;wsp:rsid wsp:val=&quot;00003EFF&quot;/&gt;&lt;wsp:rsid wsp:val=&quot;0000414C&quot;/&gt;&lt;wsp:rsid wsp:val=&quot;0000443D&quot;/&gt;&lt;wsp:rsid wsp:val=&quot;000046CC&quot;/&gt;&lt;wsp:rsid wsp:val=&quot;00004716&quot;/&gt;&lt;wsp:rsid wsp:val=&quot;0000486D&quot;/&gt;&lt;wsp:rsid wsp:val=&quot;000049C0&quot;/&gt;&lt;wsp:rsid wsp:val=&quot;00004D19&quot;/&gt;&lt;wsp:rsid wsp:val=&quot;00004FAE&quot;/&gt;&lt;wsp:rsid wsp:val=&quot;00004FFC&quot;/&gt;&lt;wsp:rsid wsp:val=&quot;00005636&quot;/&gt;&lt;wsp:rsid wsp:val=&quot;000056E1&quot;/&gt;&lt;wsp:rsid wsp:val=&quot;00005DAF&quot;/&gt;&lt;wsp:rsid wsp:val=&quot;00005F1A&quot;/&gt;&lt;wsp:rsid wsp:val=&quot;00005FEB&quot;/&gt;&lt;wsp:rsid wsp:val=&quot;00006392&quot;/&gt;&lt;wsp:rsid wsp:val=&quot;000063D0&quot;/&gt;&lt;wsp:rsid wsp:val=&quot;00006AE8&quot;/&gt;&lt;wsp:rsid wsp:val=&quot;00006D6F&quot;/&gt;&lt;wsp:rsid wsp:val=&quot;00007175&quot;/&gt;&lt;wsp:rsid wsp:val=&quot;00007274&quot;/&gt;&lt;wsp:rsid wsp:val=&quot;00007B99&quot;/&gt;&lt;wsp:rsid wsp:val=&quot;000101C0&quot;/&gt;&lt;wsp:rsid wsp:val=&quot;00010212&quot;/&gt;&lt;wsp:rsid wsp:val=&quot;00010264&quot;/&gt;&lt;wsp:rsid wsp:val=&quot;000102BD&quot;/&gt;&lt;wsp:rsid wsp:val=&quot;000102EA&quot;/&gt;&lt;wsp:rsid wsp:val=&quot;00010466&quot;/&gt;&lt;wsp:rsid wsp:val=&quot;00010AB4&quot;/&gt;&lt;wsp:rsid wsp:val=&quot;00010B0B&quot;/&gt;&lt;wsp:rsid wsp:val=&quot;00010C3B&quot;/&gt;&lt;wsp:rsid wsp:val=&quot;00010F91&quot;/&gt;&lt;wsp:rsid wsp:val=&quot;000112EE&quot;/&gt;&lt;wsp:rsid wsp:val=&quot;0001146D&quot;/&gt;&lt;wsp:rsid wsp:val=&quot;00011665&quot;/&gt;&lt;wsp:rsid wsp:val=&quot;00011B64&quot;/&gt;&lt;wsp:rsid wsp:val=&quot;00011CA8&quot;/&gt;&lt;wsp:rsid wsp:val=&quot;00011DE4&quot;/&gt;&lt;wsp:rsid wsp:val=&quot;000124AE&quot;/&gt;&lt;wsp:rsid wsp:val=&quot;000127BC&quot;/&gt;&lt;wsp:rsid wsp:val=&quot;00012A66&quot;/&gt;&lt;wsp:rsid wsp:val=&quot;00012DA8&quot;/&gt;&lt;wsp:rsid wsp:val=&quot;00013A20&quot;/&gt;&lt;wsp:rsid wsp:val=&quot;00013A8A&quot;/&gt;&lt;wsp:rsid wsp:val=&quot;00013CAF&quot;/&gt;&lt;wsp:rsid wsp:val=&quot;00013FBF&quot;/&gt;&lt;wsp:rsid wsp:val=&quot;00014152&quot;/&gt;&lt;wsp:rsid wsp:val=&quot;00014177&quot;/&gt;&lt;wsp:rsid wsp:val=&quot;0001436E&quot;/&gt;&lt;wsp:rsid wsp:val=&quot;00014640&quot;/&gt;&lt;wsp:rsid wsp:val=&quot;000146AB&quot;/&gt;&lt;wsp:rsid wsp:val=&quot;0001483D&quot;/&gt;&lt;wsp:rsid wsp:val=&quot;00014851&quot;/&gt;&lt;wsp:rsid wsp:val=&quot;00014B97&quot;/&gt;&lt;wsp:rsid wsp:val=&quot;00014CA6&quot;/&gt;&lt;wsp:rsid wsp:val=&quot;00015089&quot;/&gt;&lt;wsp:rsid wsp:val=&quot;00015200&quot;/&gt;&lt;wsp:rsid wsp:val=&quot;00015247&quot;/&gt;&lt;wsp:rsid wsp:val=&quot;00015471&quot;/&gt;&lt;wsp:rsid wsp:val=&quot;00015475&quot;/&gt;&lt;wsp:rsid wsp:val=&quot;000156EB&quot;/&gt;&lt;wsp:rsid wsp:val=&quot;00015CFD&quot;/&gt;&lt;wsp:rsid wsp:val=&quot;00015E89&quot;/&gt;&lt;wsp:rsid wsp:val=&quot;000162CA&quot;/&gt;&lt;wsp:rsid wsp:val=&quot;000168D8&quot;/&gt;&lt;wsp:rsid wsp:val=&quot;00016BF0&quot;/&gt;&lt;wsp:rsid wsp:val=&quot;00016DD4&quot;/&gt;&lt;wsp:rsid wsp:val=&quot;00016F5A&quot;/&gt;&lt;wsp:rsid wsp:val=&quot;000171AD&quot;/&gt;&lt;wsp:rsid wsp:val=&quot;0001725E&quot;/&gt;&lt;wsp:rsid wsp:val=&quot;000173C4&quot;/&gt;&lt;wsp:rsid wsp:val=&quot;0001783F&quot;/&gt;&lt;wsp:rsid wsp:val=&quot;00017B5A&quot;/&gt;&lt;wsp:rsid wsp:val=&quot;00017FC8&quot;/&gt;&lt;wsp:rsid wsp:val=&quot;000200B7&quot;/&gt;&lt;wsp:rsid wsp:val=&quot;00020690&quot;/&gt;&lt;wsp:rsid wsp:val=&quot;000207BC&quot;/&gt;&lt;wsp:rsid wsp:val=&quot;00020B70&quot;/&gt;&lt;wsp:rsid wsp:val=&quot;00020CF2&quot;/&gt;&lt;wsp:rsid wsp:val=&quot;00020D15&quot;/&gt;&lt;wsp:rsid wsp:val=&quot;0002146E&quot;/&gt;&lt;wsp:rsid wsp:val=&quot;000216FC&quot;/&gt;&lt;wsp:rsid wsp:val=&quot;00021808&quot;/&gt;&lt;wsp:rsid wsp:val=&quot;00021864&quot;/&gt;&lt;wsp:rsid wsp:val=&quot;000219DD&quot;/&gt;&lt;wsp:rsid wsp:val=&quot;00021A57&quot;/&gt;&lt;wsp:rsid wsp:val=&quot;00021C1B&quot;/&gt;&lt;wsp:rsid wsp:val=&quot;00021C6A&quot;/&gt;&lt;wsp:rsid wsp:val=&quot;0002261A&quot;/&gt;&lt;wsp:rsid wsp:val=&quot;00022689&quot;/&gt;&lt;wsp:rsid wsp:val=&quot;0002275A&quot;/&gt;&lt;wsp:rsid wsp:val=&quot;00022976&quot;/&gt;&lt;wsp:rsid wsp:val=&quot;00022B13&quot;/&gt;&lt;wsp:rsid wsp:val=&quot;00022C89&quot;/&gt;&lt;wsp:rsid wsp:val=&quot;00022ED3&quot;/&gt;&lt;wsp:rsid wsp:val=&quot;0002310D&quot;/&gt;&lt;wsp:rsid wsp:val=&quot;0002325C&quot;/&gt;&lt;wsp:rsid wsp:val=&quot;000233B5&quot;/&gt;&lt;wsp:rsid wsp:val=&quot;000235C8&quot;/&gt;&lt;wsp:rsid wsp:val=&quot;000237E7&quot;/&gt;&lt;wsp:rsid wsp:val=&quot;000238DD&quot;/&gt;&lt;wsp:rsid wsp:val=&quot;00023B4A&quot;/&gt;&lt;wsp:rsid wsp:val=&quot;00023CDA&quot;/&gt;&lt;wsp:rsid wsp:val=&quot;0002413B&quot;/&gt;&lt;wsp:rsid wsp:val=&quot;000244A8&quot;/&gt;&lt;wsp:rsid wsp:val=&quot;0002487C&quot;/&gt;&lt;wsp:rsid wsp:val=&quot;00024D37&quot;/&gt;&lt;wsp:rsid wsp:val=&quot;00024F28&quot;/&gt;&lt;wsp:rsid wsp:val=&quot;000252B6&quot;/&gt;&lt;wsp:rsid wsp:val=&quot;000254CC&quot;/&gt;&lt;wsp:rsid wsp:val=&quot;00025586&quot;/&gt;&lt;wsp:rsid wsp:val=&quot;000260FE&quot;/&gt;&lt;wsp:rsid wsp:val=&quot;00026294&quot;/&gt;&lt;wsp:rsid wsp:val=&quot;00026338&quot;/&gt;&lt;wsp:rsid wsp:val=&quot;000266C8&quot;/&gt;&lt;wsp:rsid wsp:val=&quot;00026ABE&quot;/&gt;&lt;wsp:rsid wsp:val=&quot;00026FF4&quot;/&gt;&lt;wsp:rsid wsp:val=&quot;0002729C&quot;/&gt;&lt;wsp:rsid wsp:val=&quot;000279E6&quot;/&gt;&lt;wsp:rsid wsp:val=&quot;00027B3A&quot;/&gt;&lt;wsp:rsid wsp:val=&quot;00027C41&quot;/&gt;&lt;wsp:rsid wsp:val=&quot;00027F89&quot;/&gt;&lt;wsp:rsid wsp:val=&quot;0003050D&quot;/&gt;&lt;wsp:rsid wsp:val=&quot;00030523&quot;/&gt;&lt;wsp:rsid wsp:val=&quot;00031209&quot;/&gt;&lt;wsp:rsid wsp:val=&quot;00031883&quot;/&gt;&lt;wsp:rsid wsp:val=&quot;00032460&quot;/&gt;&lt;wsp:rsid wsp:val=&quot;0003252F&quot;/&gt;&lt;wsp:rsid wsp:val=&quot;000325E4&quot;/&gt;&lt;wsp:rsid wsp:val=&quot;000329BA&quot;/&gt;&lt;wsp:rsid wsp:val=&quot;00032F20&quot;/&gt;&lt;wsp:rsid wsp:val=&quot;000330C7&quot;/&gt;&lt;wsp:rsid wsp:val=&quot;00033121&quot;/&gt;&lt;wsp:rsid wsp:val=&quot;000332E2&quot;/&gt;&lt;wsp:rsid wsp:val=&quot;00033895&quot;/&gt;&lt;wsp:rsid wsp:val=&quot;00033D2D&quot;/&gt;&lt;wsp:rsid wsp:val=&quot;0003401B&quot;/&gt;&lt;wsp:rsid wsp:val=&quot;000341CE&quot;/&gt;&lt;wsp:rsid wsp:val=&quot;00034258&quot;/&gt;&lt;wsp:rsid wsp:val=&quot;00034677&quot;/&gt;&lt;wsp:rsid wsp:val=&quot;000355D5&quot;/&gt;&lt;wsp:rsid wsp:val=&quot;0003587E&quot;/&gt;&lt;wsp:rsid wsp:val=&quot;000358E5&quot;/&gt;&lt;wsp:rsid wsp:val=&quot;00035FC8&quot;/&gt;&lt;wsp:rsid wsp:val=&quot;00036085&quot;/&gt;&lt;wsp:rsid wsp:val=&quot;0003610F&quot;/&gt;&lt;wsp:rsid wsp:val=&quot;00036574&quot;/&gt;&lt;wsp:rsid wsp:val=&quot;00036A0C&quot;/&gt;&lt;wsp:rsid wsp:val=&quot;0003741C&quot;/&gt;&lt;wsp:rsid wsp:val=&quot;000375A9&quot;/&gt;&lt;wsp:rsid wsp:val=&quot;000375E4&quot;/&gt;&lt;wsp:rsid wsp:val=&quot;00037990&quot;/&gt;&lt;wsp:rsid wsp:val=&quot;000379E2&quot;/&gt;&lt;wsp:rsid wsp:val=&quot;00037A8B&quot;/&gt;&lt;wsp:rsid wsp:val=&quot;00037B44&quot;/&gt;&lt;wsp:rsid wsp:val=&quot;00037D86&quot;/&gt;&lt;wsp:rsid wsp:val=&quot;000401B5&quot;/&gt;&lt;wsp:rsid wsp:val=&quot;00040704&quot;/&gt;&lt;wsp:rsid wsp:val=&quot;00040747&quot;/&gt;&lt;wsp:rsid wsp:val=&quot;00040937&quot;/&gt;&lt;wsp:rsid wsp:val=&quot;00040B84&quot;/&gt;&lt;wsp:rsid wsp:val=&quot;00040C12&quot;/&gt;&lt;wsp:rsid wsp:val=&quot;00040DA1&quot;/&gt;&lt;wsp:rsid wsp:val=&quot;00040F18&quot;/&gt;&lt;wsp:rsid wsp:val=&quot;0004110F&quot;/&gt;&lt;wsp:rsid wsp:val=&quot;000412EB&quot;/&gt;&lt;wsp:rsid wsp:val=&quot;0004138D&quot;/&gt;&lt;wsp:rsid wsp:val=&quot;000413F1&quot;/&gt;&lt;wsp:rsid wsp:val=&quot;000414C0&quot;/&gt;&lt;wsp:rsid wsp:val=&quot;00041E8F&quot;/&gt;&lt;wsp:rsid wsp:val=&quot;00041F06&quot;/&gt;&lt;wsp:rsid wsp:val=&quot;0004255B&quot;/&gt;&lt;wsp:rsid wsp:val=&quot;00042594&quot;/&gt;&lt;wsp:rsid wsp:val=&quot;0004273E&quot;/&gt;&lt;wsp:rsid wsp:val=&quot;00042764&quot;/&gt;&lt;wsp:rsid wsp:val=&quot;00042F4A&quot;/&gt;&lt;wsp:rsid wsp:val=&quot;000430F4&quot;/&gt;&lt;wsp:rsid wsp:val=&quot;00043921&quot;/&gt;&lt;wsp:rsid wsp:val=&quot;00043935&quot;/&gt;&lt;wsp:rsid wsp:val=&quot;00043EB2&quot;/&gt;&lt;wsp:rsid wsp:val=&quot;0004419F&quot;/&gt;&lt;wsp:rsid wsp:val=&quot;00044391&quot;/&gt;&lt;wsp:rsid wsp:val=&quot;0004446E&quot;/&gt;&lt;wsp:rsid wsp:val=&quot;000444B3&quot;/&gt;&lt;wsp:rsid wsp:val=&quot;00044538&quot;/&gt;&lt;wsp:rsid wsp:val=&quot;0004488A&quot;/&gt;&lt;wsp:rsid wsp:val=&quot;000449CE&quot;/&gt;&lt;wsp:rsid wsp:val=&quot;00044A16&quot;/&gt;&lt;wsp:rsid wsp:val=&quot;00044B5C&quot;/&gt;&lt;wsp:rsid wsp:val=&quot;00044D18&quot;/&gt;&lt;wsp:rsid wsp:val=&quot;00044E73&quot;/&gt;&lt;wsp:rsid wsp:val=&quot;00044F28&quot;/&gt;&lt;wsp:rsid wsp:val=&quot;00044FEF&quot;/&gt;&lt;wsp:rsid wsp:val=&quot;00045598&quot;/&gt;&lt;wsp:rsid wsp:val=&quot;00045B35&quot;/&gt;&lt;wsp:rsid wsp:val=&quot;00045E51&quot;/&gt;&lt;wsp:rsid wsp:val=&quot;00046110&quot;/&gt;&lt;wsp:rsid wsp:val=&quot;00046429&quot;/&gt;&lt;wsp:rsid wsp:val=&quot;0004668C&quot;/&gt;&lt;wsp:rsid wsp:val=&quot;000475D4&quot;/&gt;&lt;wsp:rsid wsp:val=&quot;00047C17&quot;/&gt;&lt;wsp:rsid wsp:val=&quot;00047C27&quot;/&gt;&lt;wsp:rsid wsp:val=&quot;00047C59&quot;/&gt;&lt;wsp:rsid wsp:val=&quot;00047F34&quot;/&gt;&lt;wsp:rsid wsp:val=&quot;000504F0&quot;/&gt;&lt;wsp:rsid wsp:val=&quot;00050664&quot;/&gt;&lt;wsp:rsid wsp:val=&quot;00050880&quot;/&gt;&lt;wsp:rsid wsp:val=&quot;00050993&quot;/&gt;&lt;wsp:rsid wsp:val=&quot;00050FD6&quot;/&gt;&lt;wsp:rsid wsp:val=&quot;00051206&quot;/&gt;&lt;wsp:rsid wsp:val=&quot;000515A2&quot;/&gt;&lt;wsp:rsid wsp:val=&quot;00051F54&quot;/&gt;&lt;wsp:rsid wsp:val=&quot;000520A1&quot;/&gt;&lt;wsp:rsid wsp:val=&quot;000525EB&quot;/&gt;&lt;wsp:rsid wsp:val=&quot;0005266E&quot;/&gt;&lt;wsp:rsid wsp:val=&quot;000527E0&quot;/&gt;&lt;wsp:rsid wsp:val=&quot;00052923&quot;/&gt;&lt;wsp:rsid wsp:val=&quot;00052D26&quot;/&gt;&lt;wsp:rsid wsp:val=&quot;00052E31&quot;/&gt;&lt;wsp:rsid wsp:val=&quot;000535A5&quot;/&gt;&lt;wsp:rsid wsp:val=&quot;000536A3&quot;/&gt;&lt;wsp:rsid wsp:val=&quot;00053D10&quot;/&gt;&lt;wsp:rsid wsp:val=&quot;00053F2B&quot;/&gt;&lt;wsp:rsid wsp:val=&quot;00053F37&quot;/&gt;&lt;wsp:rsid wsp:val=&quot;000546C9&quot;/&gt;&lt;wsp:rsid wsp:val=&quot;000547F3&quot;/&gt;&lt;wsp:rsid wsp:val=&quot;000548C7&quot;/&gt;&lt;wsp:rsid wsp:val=&quot;00054E12&quot;/&gt;&lt;wsp:rsid wsp:val=&quot;00054E32&quot;/&gt;&lt;wsp:rsid wsp:val=&quot;000551DD&quot;/&gt;&lt;wsp:rsid wsp:val=&quot;0005551E&quot;/&gt;&lt;wsp:rsid wsp:val=&quot;00055725&quot;/&gt;&lt;wsp:rsid wsp:val=&quot;0005582F&quot;/&gt;&lt;wsp:rsid wsp:val=&quot;000558B6&quot;/&gt;&lt;wsp:rsid wsp:val=&quot;00055A9A&quot;/&gt;&lt;wsp:rsid wsp:val=&quot;00055D45&quot;/&gt;&lt;wsp:rsid wsp:val=&quot;00055E28&quot;/&gt;&lt;wsp:rsid wsp:val=&quot;000563E2&quot;/&gt;&lt;wsp:rsid wsp:val=&quot;0005646A&quot;/&gt;&lt;wsp:rsid wsp:val=&quot;00056820&quot;/&gt;&lt;wsp:rsid wsp:val=&quot;00056C8F&quot;/&gt;&lt;wsp:rsid wsp:val=&quot;000570B4&quot;/&gt;&lt;wsp:rsid wsp:val=&quot;00057287&quot;/&gt;&lt;wsp:rsid wsp:val=&quot;00057450&quot;/&gt;&lt;wsp:rsid wsp:val=&quot;00057FD1&quot;/&gt;&lt;wsp:rsid wsp:val=&quot;000605C6&quot;/&gt;&lt;wsp:rsid wsp:val=&quot;0006094F&quot;/&gt;&lt;wsp:rsid wsp:val=&quot;00060D9A&quot;/&gt;&lt;wsp:rsid wsp:val=&quot;0006114D&quot;/&gt;&lt;wsp:rsid wsp:val=&quot;00061342&quot;/&gt;&lt;wsp:rsid wsp:val=&quot;000616FB&quot;/&gt;&lt;wsp:rsid wsp:val=&quot;00061D4B&quot;/&gt;&lt;wsp:rsid wsp:val=&quot;0006251F&quot;/&gt;&lt;wsp:rsid wsp:val=&quot;00062BCA&quot;/&gt;&lt;wsp:rsid wsp:val=&quot;00063845&quot;/&gt;&lt;wsp:rsid wsp:val=&quot;00063E7D&quot;/&gt;&lt;wsp:rsid wsp:val=&quot;00063F8C&quot;/&gt;&lt;wsp:rsid wsp:val=&quot;00064336&quot;/&gt;&lt;wsp:rsid wsp:val=&quot;000643A2&quot;/&gt;&lt;wsp:rsid wsp:val=&quot;00064B66&quot;/&gt;&lt;wsp:rsid wsp:val=&quot;00064F9D&quot;/&gt;&lt;wsp:rsid wsp:val=&quot;0006561A&quot;/&gt;&lt;wsp:rsid wsp:val=&quot;000659B9&quot;/&gt;&lt;wsp:rsid wsp:val=&quot;00065B48&quot;/&gt;&lt;wsp:rsid wsp:val=&quot;00065F03&quot;/&gt;&lt;wsp:rsid wsp:val=&quot;00066175&quot;/&gt;&lt;wsp:rsid wsp:val=&quot;000661F0&quot;/&gt;&lt;wsp:rsid wsp:val=&quot;00066384&quot;/&gt;&lt;wsp:rsid wsp:val=&quot;00066556&quot;/&gt;&lt;wsp:rsid wsp:val=&quot;00066C9F&quot;/&gt;&lt;wsp:rsid wsp:val=&quot;00066D83&quot;/&gt;&lt;wsp:rsid wsp:val=&quot;00067045&quot;/&gt;&lt;wsp:rsid wsp:val=&quot;00067A40&quot;/&gt;&lt;wsp:rsid wsp:val=&quot;00067AA3&quot;/&gt;&lt;wsp:rsid wsp:val=&quot;00067AB9&quot;/&gt;&lt;wsp:rsid wsp:val=&quot;00070000&quot;/&gt;&lt;wsp:rsid wsp:val=&quot;00070067&quot;/&gt;&lt;wsp:rsid wsp:val=&quot;0007015F&quot;/&gt;&lt;wsp:rsid wsp:val=&quot;000702C2&quot;/&gt;&lt;wsp:rsid wsp:val=&quot;000702C6&quot;/&gt;&lt;wsp:rsid wsp:val=&quot;00070A24&quot;/&gt;&lt;wsp:rsid wsp:val=&quot;00071628&quot;/&gt;&lt;wsp:rsid wsp:val=&quot;0007185F&quot;/&gt;&lt;wsp:rsid wsp:val=&quot;00072553&quot;/&gt;&lt;wsp:rsid wsp:val=&quot;00072E07&quot;/&gt;&lt;wsp:rsid wsp:val=&quot;00073729&quot;/&gt;&lt;wsp:rsid wsp:val=&quot;000739F2&quot;/&gt;&lt;wsp:rsid wsp:val=&quot;00073E02&quot;/&gt;&lt;wsp:rsid wsp:val=&quot;00074052&quot;/&gt;&lt;wsp:rsid wsp:val=&quot;00074807&quot;/&gt;&lt;wsp:rsid wsp:val=&quot;00075396&quot;/&gt;&lt;wsp:rsid wsp:val=&quot;00075542&quot;/&gt;&lt;wsp:rsid wsp:val=&quot;00075821&quot;/&gt;&lt;wsp:rsid wsp:val=&quot;00075BDC&quot;/&gt;&lt;wsp:rsid wsp:val=&quot;00075C12&quot;/&gt;&lt;wsp:rsid wsp:val=&quot;00076244&quot;/&gt;&lt;wsp:rsid wsp:val=&quot;0007658B&quot;/&gt;&lt;wsp:rsid wsp:val=&quot;000765A5&quot;/&gt;&lt;wsp:rsid wsp:val=&quot;000766B1&quot;/&gt;&lt;wsp:rsid wsp:val=&quot;00076AEC&quot;/&gt;&lt;wsp:rsid wsp:val=&quot;00076B85&quot;/&gt;&lt;wsp:rsid wsp:val=&quot;00077223&quot;/&gt;&lt;wsp:rsid wsp:val=&quot;000775BC&quot;/&gt;&lt;wsp:rsid wsp:val=&quot;00077735&quot;/&gt;&lt;wsp:rsid wsp:val=&quot;00077964&quot;/&gt;&lt;wsp:rsid wsp:val=&quot;00077AC7&quot;/&gt;&lt;wsp:rsid wsp:val=&quot;00080093&quot;/&gt;&lt;wsp:rsid wsp:val=&quot;00080B60&quot;/&gt;&lt;wsp:rsid wsp:val=&quot;00080D86&quot;/&gt;&lt;wsp:rsid wsp:val=&quot;0008123C&quot;/&gt;&lt;wsp:rsid wsp:val=&quot;000815B0&quot;/&gt;&lt;wsp:rsid wsp:val=&quot;000822F8&quot;/&gt;&lt;wsp:rsid wsp:val=&quot;0008289C&quot;/&gt;&lt;wsp:rsid wsp:val=&quot;00082ACC&quot;/&gt;&lt;wsp:rsid wsp:val=&quot;00082EC5&quot;/&gt;&lt;wsp:rsid wsp:val=&quot;00083307&quot;/&gt;&lt;wsp:rsid wsp:val=&quot;0008338D&quot;/&gt;&lt;wsp:rsid wsp:val=&quot;00083405&quot;/&gt;&lt;wsp:rsid wsp:val=&quot;00083653&quot;/&gt;&lt;wsp:rsid wsp:val=&quot;00083ADB&quot;/&gt;&lt;wsp:rsid wsp:val=&quot;00083BC4&quot;/&gt;&lt;wsp:rsid wsp:val=&quot;00083C79&quot;/&gt;&lt;wsp:rsid wsp:val=&quot;000845BC&quot;/&gt;&lt;wsp:rsid wsp:val=&quot;00084681&quot;/&gt;&lt;wsp:rsid wsp:val=&quot;000849E2&quot;/&gt;&lt;wsp:rsid wsp:val=&quot;00085033&quot;/&gt;&lt;wsp:rsid wsp:val=&quot;0008530A&quot;/&gt;&lt;wsp:rsid wsp:val=&quot;00085A95&quot;/&gt;&lt;wsp:rsid wsp:val=&quot;00085CFD&quot;/&gt;&lt;wsp:rsid wsp:val=&quot;0008620C&quot;/&gt;&lt;wsp:rsid wsp:val=&quot;00086329&quot;/&gt;&lt;wsp:rsid wsp:val=&quot;0008638E&quot;/&gt;&lt;wsp:rsid wsp:val=&quot;00086444&quot;/&gt;&lt;wsp:rsid wsp:val=&quot;00086BB9&quot;/&gt;&lt;wsp:rsid wsp:val=&quot;00087727&quot;/&gt;&lt;wsp:rsid wsp:val=&quot;000877E2&quot;/&gt;&lt;wsp:rsid wsp:val=&quot;00087AC4&quot;/&gt;&lt;wsp:rsid wsp:val=&quot;00087E23&quot;/&gt;&lt;wsp:rsid wsp:val=&quot;0009014C&quot;/&gt;&lt;wsp:rsid wsp:val=&quot;0009092E&quot;/&gt;&lt;wsp:rsid wsp:val=&quot;00090D88&quot;/&gt;&lt;wsp:rsid wsp:val=&quot;00091590&quot;/&gt;&lt;wsp:rsid wsp:val=&quot;0009167E&quot;/&gt;&lt;wsp:rsid wsp:val=&quot;00091B44&quot;/&gt;&lt;wsp:rsid wsp:val=&quot;00091DDD&quot;/&gt;&lt;wsp:rsid wsp:val=&quot;00092244&quot;/&gt;&lt;wsp:rsid wsp:val=&quot;000922A0&quot;/&gt;&lt;wsp:rsid wsp:val=&quot;0009250A&quot;/&gt;&lt;wsp:rsid wsp:val=&quot;00092832&quot;/&gt;&lt;wsp:rsid wsp:val=&quot;00092880&quot;/&gt;&lt;wsp:rsid wsp:val=&quot;000928B8&quot;/&gt;&lt;wsp:rsid wsp:val=&quot;00092BDB&quot;/&gt;&lt;wsp:rsid wsp:val=&quot;00092D38&quot;/&gt;&lt;wsp:rsid wsp:val=&quot;00092DF8&quot;/&gt;&lt;wsp:rsid wsp:val=&quot;00093306&quot;/&gt;&lt;wsp:rsid wsp:val=&quot;00093658&quot;/&gt;&lt;wsp:rsid wsp:val=&quot;000936D3&quot;/&gt;&lt;wsp:rsid wsp:val=&quot;00093D53&quot;/&gt;&lt;wsp:rsid wsp:val=&quot;00093FD6&quot;/&gt;&lt;wsp:rsid wsp:val=&quot;000943A3&quot;/&gt;&lt;wsp:rsid wsp:val=&quot;0009494C&quot;/&gt;&lt;wsp:rsid wsp:val=&quot;00094EE1&quot;/&gt;&lt;wsp:rsid wsp:val=&quot;00095196&quot;/&gt;&lt;wsp:rsid wsp:val=&quot;00095C3B&quot;/&gt;&lt;wsp:rsid wsp:val=&quot;00096485&quot;/&gt;&lt;wsp:rsid wsp:val=&quot;000964BF&quot;/&gt;&lt;wsp:rsid wsp:val=&quot;00096807&quot;/&gt;&lt;wsp:rsid wsp:val=&quot;00096843&quot;/&gt;&lt;wsp:rsid wsp:val=&quot;000968B5&quot;/&gt;&lt;wsp:rsid wsp:val=&quot;00096B2F&quot;/&gt;&lt;wsp:rsid wsp:val=&quot;00096F78&quot;/&gt;&lt;wsp:rsid wsp:val=&quot;00097521&quot;/&gt;&lt;wsp:rsid wsp:val=&quot;000978B1&quot;/&gt;&lt;wsp:rsid wsp:val=&quot;000A002B&quot;/&gt;&lt;wsp:rsid wsp:val=&quot;000A0434&quot;/&gt;&lt;wsp:rsid wsp:val=&quot;000A04F0&quot;/&gt;&lt;wsp:rsid wsp:val=&quot;000A08A6&quot;/&gt;&lt;wsp:rsid wsp:val=&quot;000A0932&quot;/&gt;&lt;wsp:rsid wsp:val=&quot;000A0A93&quot;/&gt;&lt;wsp:rsid wsp:val=&quot;000A0BB0&quot;/&gt;&lt;wsp:rsid wsp:val=&quot;000A0DA2&quot;/&gt;&lt;wsp:rsid wsp:val=&quot;000A16CC&quot;/&gt;&lt;wsp:rsid wsp:val=&quot;000A1A46&quot;/&gt;&lt;wsp:rsid wsp:val=&quot;000A1B18&quot;/&gt;&lt;wsp:rsid wsp:val=&quot;000A1C8A&quot;/&gt;&lt;wsp:rsid wsp:val=&quot;000A379F&quot;/&gt;&lt;wsp:rsid wsp:val=&quot;000A38E0&quot;/&gt;&lt;wsp:rsid wsp:val=&quot;000A39DE&quot;/&gt;&lt;wsp:rsid wsp:val=&quot;000A3C68&quot;/&gt;&lt;wsp:rsid wsp:val=&quot;000A3F95&quot;/&gt;&lt;wsp:rsid wsp:val=&quot;000A4373&quot;/&gt;&lt;wsp:rsid wsp:val=&quot;000A4670&quot;/&gt;&lt;wsp:rsid wsp:val=&quot;000A477D&quot;/&gt;&lt;wsp:rsid wsp:val=&quot;000A47CF&quot;/&gt;&lt;wsp:rsid wsp:val=&quot;000A4C05&quot;/&gt;&lt;wsp:rsid wsp:val=&quot;000A4D03&quot;/&gt;&lt;wsp:rsid wsp:val=&quot;000A4FB4&quot;/&gt;&lt;wsp:rsid wsp:val=&quot;000A4FF6&quot;/&gt;&lt;wsp:rsid wsp:val=&quot;000A512E&quot;/&gt;&lt;wsp:rsid wsp:val=&quot;000A525A&quot;/&gt;&lt;wsp:rsid wsp:val=&quot;000A52FF&quot;/&gt;&lt;wsp:rsid wsp:val=&quot;000A57A2&quot;/&gt;&lt;wsp:rsid wsp:val=&quot;000A5EA9&quot;/&gt;&lt;wsp:rsid wsp:val=&quot;000A611E&quot;/&gt;&lt;wsp:rsid wsp:val=&quot;000A6372&quot;/&gt;&lt;wsp:rsid wsp:val=&quot;000A68B1&quot;/&gt;&lt;wsp:rsid wsp:val=&quot;000A6AAC&quot;/&gt;&lt;wsp:rsid wsp:val=&quot;000A6BF9&quot;/&gt;&lt;wsp:rsid wsp:val=&quot;000A6E06&quot;/&gt;&lt;wsp:rsid wsp:val=&quot;000A718C&quot;/&gt;&lt;wsp:rsid wsp:val=&quot;000A741A&quot;/&gt;&lt;wsp:rsid wsp:val=&quot;000A7430&quot;/&gt;&lt;wsp:rsid wsp:val=&quot;000A7482&quot;/&gt;&lt;wsp:rsid wsp:val=&quot;000A7895&quot;/&gt;&lt;wsp:rsid wsp:val=&quot;000A7BD7&quot;/&gt;&lt;wsp:rsid wsp:val=&quot;000A7D80&quot;/&gt;&lt;wsp:rsid wsp:val=&quot;000B1142&quot;/&gt;&lt;wsp:rsid wsp:val=&quot;000B1322&quot;/&gt;&lt;wsp:rsid wsp:val=&quot;000B149A&quot;/&gt;&lt;wsp:rsid wsp:val=&quot;000B14DF&quot;/&gt;&lt;wsp:rsid wsp:val=&quot;000B167D&quot;/&gt;&lt;wsp:rsid wsp:val=&quot;000B1B67&quot;/&gt;&lt;wsp:rsid wsp:val=&quot;000B1E31&quot;/&gt;&lt;wsp:rsid wsp:val=&quot;000B221A&quot;/&gt;&lt;wsp:rsid wsp:val=&quot;000B251B&quot;/&gt;&lt;wsp:rsid wsp:val=&quot;000B25C3&quot;/&gt;&lt;wsp:rsid wsp:val=&quot;000B27FD&quot;/&gt;&lt;wsp:rsid wsp:val=&quot;000B286C&quot;/&gt;&lt;wsp:rsid wsp:val=&quot;000B2B47&quot;/&gt;&lt;wsp:rsid wsp:val=&quot;000B2B6B&quot;/&gt;&lt;wsp:rsid wsp:val=&quot;000B2C1A&quot;/&gt;&lt;wsp:rsid wsp:val=&quot;000B2EB4&quot;/&gt;&lt;wsp:rsid wsp:val=&quot;000B3481&quot;/&gt;&lt;wsp:rsid wsp:val=&quot;000B3B79&quot;/&gt;&lt;wsp:rsid wsp:val=&quot;000B4097&quot;/&gt;&lt;wsp:rsid wsp:val=&quot;000B40D5&quot;/&gt;&lt;wsp:rsid wsp:val=&quot;000B439E&quot;/&gt;&lt;wsp:rsid wsp:val=&quot;000B4880&quot;/&gt;&lt;wsp:rsid wsp:val=&quot;000B4C48&quot;/&gt;&lt;wsp:rsid wsp:val=&quot;000B51E8&quot;/&gt;&lt;wsp:rsid wsp:val=&quot;000B5B75&quot;/&gt;&lt;wsp:rsid wsp:val=&quot;000B5B94&quot;/&gt;&lt;wsp:rsid wsp:val=&quot;000B5C9E&quot;/&gt;&lt;wsp:rsid wsp:val=&quot;000B641C&quot;/&gt;&lt;wsp:rsid wsp:val=&quot;000B6424&quot;/&gt;&lt;wsp:rsid wsp:val=&quot;000B6501&quot;/&gt;&lt;wsp:rsid wsp:val=&quot;000B6618&quot;/&gt;&lt;wsp:rsid wsp:val=&quot;000B693A&quot;/&gt;&lt;wsp:rsid wsp:val=&quot;000B69BA&quot;/&gt;&lt;wsp:rsid wsp:val=&quot;000B6EF4&quot;/&gt;&lt;wsp:rsid wsp:val=&quot;000B6F17&quot;/&gt;&lt;wsp:rsid wsp:val=&quot;000B6F8A&quot;/&gt;&lt;wsp:rsid wsp:val=&quot;000B7311&quot;/&gt;&lt;wsp:rsid wsp:val=&quot;000B7768&quot;/&gt;&lt;wsp:rsid wsp:val=&quot;000B79A3&quot;/&gt;&lt;wsp:rsid wsp:val=&quot;000C060E&quot;/&gt;&lt;wsp:rsid wsp:val=&quot;000C0854&quot;/&gt;&lt;wsp:rsid wsp:val=&quot;000C0E5A&quot;/&gt;&lt;wsp:rsid wsp:val=&quot;000C0F02&quot;/&gt;&lt;wsp:rsid wsp:val=&quot;000C134A&quot;/&gt;&lt;wsp:rsid wsp:val=&quot;000C1706&quot;/&gt;&lt;wsp:rsid wsp:val=&quot;000C1C1D&quot;/&gt;&lt;wsp:rsid wsp:val=&quot;000C1CF9&quot;/&gt;&lt;wsp:rsid wsp:val=&quot;000C1E63&quot;/&gt;&lt;wsp:rsid wsp:val=&quot;000C1FAA&quot;/&gt;&lt;wsp:rsid wsp:val=&quot;000C2A69&quot;/&gt;&lt;wsp:rsid wsp:val=&quot;000C313A&quot;/&gt;&lt;wsp:rsid wsp:val=&quot;000C313D&quot;/&gt;&lt;wsp:rsid wsp:val=&quot;000C324D&quot;/&gt;&lt;wsp:rsid wsp:val=&quot;000C3271&quot;/&gt;&lt;wsp:rsid wsp:val=&quot;000C34E4&quot;/&gt;&lt;wsp:rsid wsp:val=&quot;000C3563&quot;/&gt;&lt;wsp:rsid wsp:val=&quot;000C36F0&quot;/&gt;&lt;wsp:rsid wsp:val=&quot;000C3850&quot;/&gt;&lt;wsp:rsid wsp:val=&quot;000C3B1C&quot;/&gt;&lt;wsp:rsid wsp:val=&quot;000C3D26&quot;/&gt;&lt;wsp:rsid wsp:val=&quot;000C3E41&quot;/&gt;&lt;wsp:rsid wsp:val=&quot;000C40E5&quot;/&gt;&lt;wsp:rsid wsp:val=&quot;000C458C&quot;/&gt;&lt;wsp:rsid wsp:val=&quot;000C4D5D&quot;/&gt;&lt;wsp:rsid wsp:val=&quot;000C55A4&quot;/&gt;&lt;wsp:rsid wsp:val=&quot;000C5DF7&quot;/&gt;&lt;wsp:rsid wsp:val=&quot;000C6617&quot;/&gt;&lt;wsp:rsid wsp:val=&quot;000C68A4&quot;/&gt;&lt;wsp:rsid wsp:val=&quot;000C695C&quot;/&gt;&lt;wsp:rsid wsp:val=&quot;000C7051&quot;/&gt;&lt;wsp:rsid wsp:val=&quot;000C75BD&quot;/&gt;&lt;wsp:rsid wsp:val=&quot;000C771E&quot;/&gt;&lt;wsp:rsid wsp:val=&quot;000C7AF7&quot;/&gt;&lt;wsp:rsid wsp:val=&quot;000C7FDE&quot;/&gt;&lt;wsp:rsid wsp:val=&quot;000D024B&quot;/&gt;&lt;wsp:rsid wsp:val=&quot;000D03D3&quot;/&gt;&lt;wsp:rsid wsp:val=&quot;000D04D2&quot;/&gt;&lt;wsp:rsid wsp:val=&quot;000D05CB&quot;/&gt;&lt;wsp:rsid wsp:val=&quot;000D06AA&quot;/&gt;&lt;wsp:rsid wsp:val=&quot;000D0A5E&quot;/&gt;&lt;wsp:rsid wsp:val=&quot;000D0E34&quot;/&gt;&lt;wsp:rsid wsp:val=&quot;000D123D&quot;/&gt;&lt;wsp:rsid wsp:val=&quot;000D12B2&quot;/&gt;&lt;wsp:rsid wsp:val=&quot;000D1489&quot;/&gt;&lt;wsp:rsid wsp:val=&quot;000D1698&quot;/&gt;&lt;wsp:rsid wsp:val=&quot;000D1A50&quot;/&gt;&lt;wsp:rsid wsp:val=&quot;000D1C03&quot;/&gt;&lt;wsp:rsid wsp:val=&quot;000D1D53&quot;/&gt;&lt;wsp:rsid wsp:val=&quot;000D232C&quot;/&gt;&lt;wsp:rsid wsp:val=&quot;000D285E&quot;/&gt;&lt;wsp:rsid wsp:val=&quot;000D28F0&quot;/&gt;&lt;wsp:rsid wsp:val=&quot;000D296A&quot;/&gt;&lt;wsp:rsid wsp:val=&quot;000D2992&quot;/&gt;&lt;wsp:rsid wsp:val=&quot;000D2C72&quot;/&gt;&lt;wsp:rsid wsp:val=&quot;000D31FD&quot;/&gt;&lt;wsp:rsid wsp:val=&quot;000D3378&quot;/&gt;&lt;wsp:rsid wsp:val=&quot;000D35B2&quot;/&gt;&lt;wsp:rsid wsp:val=&quot;000D3671&quot;/&gt;&lt;wsp:rsid wsp:val=&quot;000D409D&quot;/&gt;&lt;wsp:rsid wsp:val=&quot;000D4513&quot;/&gt;&lt;wsp:rsid wsp:val=&quot;000D4CD0&quot;/&gt;&lt;wsp:rsid wsp:val=&quot;000D4D1D&quot;/&gt;&lt;wsp:rsid wsp:val=&quot;000D4DC6&quot;/&gt;&lt;wsp:rsid wsp:val=&quot;000D4F86&quot;/&gt;&lt;wsp:rsid wsp:val=&quot;000D50D1&quot;/&gt;&lt;wsp:rsid wsp:val=&quot;000D54E7&quot;/&gt;&lt;wsp:rsid wsp:val=&quot;000D5542&quot;/&gt;&lt;wsp:rsid wsp:val=&quot;000D569C&quot;/&gt;&lt;wsp:rsid wsp:val=&quot;000D57B5&quot;/&gt;&lt;wsp:rsid wsp:val=&quot;000D580C&quot;/&gt;&lt;wsp:rsid wsp:val=&quot;000D5848&quot;/&gt;&lt;wsp:rsid wsp:val=&quot;000D59E3&quot;/&gt;&lt;wsp:rsid wsp:val=&quot;000D5ACC&quot;/&gt;&lt;wsp:rsid wsp:val=&quot;000D5E6D&quot;/&gt;&lt;wsp:rsid wsp:val=&quot;000D5ED1&quot;/&gt;&lt;wsp:rsid wsp:val=&quot;000D6903&quot;/&gt;&lt;wsp:rsid wsp:val=&quot;000D6F84&quot;/&gt;&lt;wsp:rsid wsp:val=&quot;000D6FE1&quot;/&gt;&lt;wsp:rsid wsp:val=&quot;000D708D&quot;/&gt;&lt;wsp:rsid wsp:val=&quot;000D753B&quot;/&gt;&lt;wsp:rsid wsp:val=&quot;000D7FBD&quot;/&gt;&lt;wsp:rsid wsp:val=&quot;000E00E8&quot;/&gt;&lt;wsp:rsid wsp:val=&quot;000E013F&quot;/&gt;&lt;wsp:rsid wsp:val=&quot;000E08A7&quot;/&gt;&lt;wsp:rsid wsp:val=&quot;000E0D19&quot;/&gt;&lt;wsp:rsid wsp:val=&quot;000E1064&quot;/&gt;&lt;wsp:rsid wsp:val=&quot;000E1137&quot;/&gt;&lt;wsp:rsid wsp:val=&quot;000E1324&quot;/&gt;&lt;wsp:rsid wsp:val=&quot;000E147C&quot;/&gt;&lt;wsp:rsid wsp:val=&quot;000E16EE&quot;/&gt;&lt;wsp:rsid wsp:val=&quot;000E1736&quot;/&gt;&lt;wsp:rsid wsp:val=&quot;000E1B5F&quot;/&gt;&lt;wsp:rsid wsp:val=&quot;000E20CF&quot;/&gt;&lt;wsp:rsid wsp:val=&quot;000E2277&quot;/&gt;&lt;wsp:rsid wsp:val=&quot;000E22A7&quot;/&gt;&lt;wsp:rsid wsp:val=&quot;000E22ED&quot;/&gt;&lt;wsp:rsid wsp:val=&quot;000E25F1&quot;/&gt;&lt;wsp:rsid wsp:val=&quot;000E2A13&quot;/&gt;&lt;wsp:rsid wsp:val=&quot;000E32F7&quot;/&gt;&lt;wsp:rsid wsp:val=&quot;000E381E&quot;/&gt;&lt;wsp:rsid wsp:val=&quot;000E3AEB&quot;/&gt;&lt;wsp:rsid wsp:val=&quot;000E4019&quot;/&gt;&lt;wsp:rsid wsp:val=&quot;000E4421&quot;/&gt;&lt;wsp:rsid wsp:val=&quot;000E4906&quot;/&gt;&lt;wsp:rsid wsp:val=&quot;000E4CA2&quot;/&gt;&lt;wsp:rsid wsp:val=&quot;000E4F6D&quot;/&gt;&lt;wsp:rsid wsp:val=&quot;000E5496&quot;/&gt;&lt;wsp:rsid wsp:val=&quot;000E56AD&quot;/&gt;&lt;wsp:rsid wsp:val=&quot;000E56C5&quot;/&gt;&lt;wsp:rsid wsp:val=&quot;000E5B04&quot;/&gt;&lt;wsp:rsid wsp:val=&quot;000E64B9&quot;/&gt;&lt;wsp:rsid wsp:val=&quot;000E6562&quot;/&gt;&lt;wsp:rsid wsp:val=&quot;000E6586&quot;/&gt;&lt;wsp:rsid wsp:val=&quot;000E72CA&quot;/&gt;&lt;wsp:rsid wsp:val=&quot;000E7460&quot;/&gt;&lt;wsp:rsid wsp:val=&quot;000E785F&quot;/&gt;&lt;wsp:rsid wsp:val=&quot;000F0095&quot;/&gt;&lt;wsp:rsid wsp:val=&quot;000F0866&quot;/&gt;&lt;wsp:rsid wsp:val=&quot;000F08DE&quot;/&gt;&lt;wsp:rsid wsp:val=&quot;000F0AEA&quot;/&gt;&lt;wsp:rsid wsp:val=&quot;000F0B14&quot;/&gt;&lt;wsp:rsid wsp:val=&quot;000F0D9D&quot;/&gt;&lt;wsp:rsid wsp:val=&quot;000F1187&quot;/&gt;&lt;wsp:rsid wsp:val=&quot;000F13C2&quot;/&gt;&lt;wsp:rsid wsp:val=&quot;000F15F2&quot;/&gt;&lt;wsp:rsid wsp:val=&quot;000F1830&quot;/&gt;&lt;wsp:rsid wsp:val=&quot;000F2759&quot;/&gt;&lt;wsp:rsid wsp:val=&quot;000F317F&quot;/&gt;&lt;wsp:rsid wsp:val=&quot;000F337B&quot;/&gt;&lt;wsp:rsid wsp:val=&quot;000F3CC7&quot;/&gt;&lt;wsp:rsid wsp:val=&quot;000F403D&quot;/&gt;&lt;wsp:rsid wsp:val=&quot;000F4287&quot;/&gt;&lt;wsp:rsid wsp:val=&quot;000F4389&quot;/&gt;&lt;wsp:rsid wsp:val=&quot;000F484B&quot;/&gt;&lt;wsp:rsid wsp:val=&quot;000F4FAE&quot;/&gt;&lt;wsp:rsid wsp:val=&quot;000F5591&quot;/&gt;&lt;wsp:rsid wsp:val=&quot;000F57E4&quot;/&gt;&lt;wsp:rsid wsp:val=&quot;000F5C16&quot;/&gt;&lt;wsp:rsid wsp:val=&quot;000F60E6&quot;/&gt;&lt;wsp:rsid wsp:val=&quot;000F6F5B&quot;/&gt;&lt;wsp:rsid wsp:val=&quot;000F743B&quot;/&gt;&lt;wsp:rsid wsp:val=&quot;000F79ED&quot;/&gt;&lt;wsp:rsid wsp:val=&quot;000F7E8F&quot;/&gt;&lt;wsp:rsid wsp:val=&quot;00100565&quot;/&gt;&lt;wsp:rsid wsp:val=&quot;0010079F&quot;/&gt;&lt;wsp:rsid wsp:val=&quot;001007F6&quot;/&gt;&lt;wsp:rsid wsp:val=&quot;0010085A&quot;/&gt;&lt;wsp:rsid wsp:val=&quot;00100B18&quot;/&gt;&lt;wsp:rsid wsp:val=&quot;00100C0C&quot;/&gt;&lt;wsp:rsid wsp:val=&quot;00100FA1&quot;/&gt;&lt;wsp:rsid wsp:val=&quot;00100FA5&quot;/&gt;&lt;wsp:rsid wsp:val=&quot;0010136D&quot;/&gt;&lt;wsp:rsid wsp:val=&quot;001013C0&quot;/&gt;&lt;wsp:rsid wsp:val=&quot;0010153E&quot;/&gt;&lt;wsp:rsid wsp:val=&quot;001017D1&quot;/&gt;&lt;wsp:rsid wsp:val=&quot;00101889&quot;/&gt;&lt;wsp:rsid wsp:val=&quot;00101BF0&quot;/&gt;&lt;wsp:rsid wsp:val=&quot;00102343&quot;/&gt;&lt;wsp:rsid wsp:val=&quot;00102433&quot;/&gt;&lt;wsp:rsid wsp:val=&quot;00102564&quot;/&gt;&lt;wsp:rsid wsp:val=&quot;001028FB&quot;/&gt;&lt;wsp:rsid wsp:val=&quot;0010291C&quot;/&gt;&lt;wsp:rsid wsp:val=&quot;00102B88&quot;/&gt;&lt;wsp:rsid wsp:val=&quot;00102C99&quot;/&gt;&lt;wsp:rsid wsp:val=&quot;00103887&quot;/&gt;&lt;wsp:rsid wsp:val=&quot;00103962&quot;/&gt;&lt;wsp:rsid wsp:val=&quot;00103D38&quot;/&gt;&lt;wsp:rsid wsp:val=&quot;00104722&quot;/&gt;&lt;wsp:rsid wsp:val=&quot;00104A66&quot;/&gt;&lt;wsp:rsid wsp:val=&quot;00104A96&quot;/&gt;&lt;wsp:rsid wsp:val=&quot;00104DF2&quot;/&gt;&lt;wsp:rsid wsp:val=&quot;00104E38&quot;/&gt;&lt;wsp:rsid wsp:val=&quot;00104E39&quot;/&gt;&lt;wsp:rsid wsp:val=&quot;001053AC&quot;/&gt;&lt;wsp:rsid wsp:val=&quot;001055E1&quot;/&gt;&lt;wsp:rsid wsp:val=&quot;001057A1&quot;/&gt;&lt;wsp:rsid wsp:val=&quot;00105C11&quot;/&gt;&lt;wsp:rsid wsp:val=&quot;00105CA0&quot;/&gt;&lt;wsp:rsid wsp:val=&quot;0010630B&quot;/&gt;&lt;wsp:rsid wsp:val=&quot;0010653D&quot;/&gt;&lt;wsp:rsid wsp:val=&quot;0010728C&quot;/&gt;&lt;wsp:rsid wsp:val=&quot;00107807&quot;/&gt;&lt;wsp:rsid wsp:val=&quot;0010780B&quot;/&gt;&lt;wsp:rsid wsp:val=&quot;0010794E&quot;/&gt;&lt;wsp:rsid wsp:val=&quot;00107B11&quot;/&gt;&lt;wsp:rsid wsp:val=&quot;00107B79&quot;/&gt;&lt;wsp:rsid wsp:val=&quot;00107D7C&quot;/&gt;&lt;wsp:rsid wsp:val=&quot;00107DE6&quot;/&gt;&lt;wsp:rsid wsp:val=&quot;00110460&quot;/&gt;&lt;wsp:rsid wsp:val=&quot;00110AD1&quot;/&gt;&lt;wsp:rsid wsp:val=&quot;00110B44&quot;/&gt;&lt;wsp:rsid wsp:val=&quot;00110C30&quot;/&gt;&lt;wsp:rsid wsp:val=&quot;00110DE8&quot;/&gt;&lt;wsp:rsid wsp:val=&quot;00111278&quot;/&gt;&lt;wsp:rsid wsp:val=&quot;00111481&quot;/&gt;&lt;wsp:rsid wsp:val=&quot;00111703&quot;/&gt;&lt;wsp:rsid wsp:val=&quot;001122D9&quot;/&gt;&lt;wsp:rsid wsp:val=&quot;001125E5&quot;/&gt;&lt;wsp:rsid wsp:val=&quot;001125E7&quot;/&gt;&lt;wsp:rsid wsp:val=&quot;0011327A&quot;/&gt;&lt;wsp:rsid wsp:val=&quot;001132D9&quot;/&gt;&lt;wsp:rsid wsp:val=&quot;00113605&quot;/&gt;&lt;wsp:rsid wsp:val=&quot;00113943&quot;/&gt;&lt;wsp:rsid wsp:val=&quot;00113975&quot;/&gt;&lt;wsp:rsid wsp:val=&quot;00113AE1&quot;/&gt;&lt;wsp:rsid wsp:val=&quot;00113D29&quot;/&gt;&lt;wsp:rsid wsp:val=&quot;0011400E&quot;/&gt;&lt;wsp:rsid wsp:val=&quot;0011403F&quot;/&gt;&lt;wsp:rsid wsp:val=&quot;001144DA&quot;/&gt;&lt;wsp:rsid wsp:val=&quot;0011463D&quot;/&gt;&lt;wsp:rsid wsp:val=&quot;001147C3&quot;/&gt;&lt;wsp:rsid wsp:val=&quot;00115092&quot;/&gt;&lt;wsp:rsid wsp:val=&quot;001151F3&quot;/&gt;&lt;wsp:rsid wsp:val=&quot;001151FC&quot;/&gt;&lt;wsp:rsid wsp:val=&quot;00115369&quot;/&gt;&lt;wsp:rsid wsp:val=&quot;00115564&quot;/&gt;&lt;wsp:rsid wsp:val=&quot;00115E0B&quot;/&gt;&lt;wsp:rsid wsp:val=&quot;00115E7A&quot;/&gt;&lt;wsp:rsid wsp:val=&quot;00115FB8&quot;/&gt;&lt;wsp:rsid wsp:val=&quot;001163B4&quot;/&gt;&lt;wsp:rsid wsp:val=&quot;0011652B&quot;/&gt;&lt;wsp:rsid wsp:val=&quot;0011673A&quot;/&gt;&lt;wsp:rsid wsp:val=&quot;001167F3&quot;/&gt;&lt;wsp:rsid wsp:val=&quot;0011681B&quot;/&gt;&lt;wsp:rsid wsp:val=&quot;00116D9F&quot;/&gt;&lt;wsp:rsid wsp:val=&quot;00117135&quot;/&gt;&lt;wsp:rsid wsp:val=&quot;00117DF4&quot;/&gt;&lt;wsp:rsid wsp:val=&quot;00117E44&quot;/&gt;&lt;wsp:rsid wsp:val=&quot;001208F5&quot;/&gt;&lt;wsp:rsid wsp:val=&quot;00120EEF&quot;/&gt;&lt;wsp:rsid wsp:val=&quot;00121126&quot;/&gt;&lt;wsp:rsid wsp:val=&quot;00121370&quot;/&gt;&lt;wsp:rsid wsp:val=&quot;00121427&quot;/&gt;&lt;wsp:rsid wsp:val=&quot;00121B9F&quot;/&gt;&lt;wsp:rsid wsp:val=&quot;001225E5&quot;/&gt;&lt;wsp:rsid wsp:val=&quot;00123406&quot;/&gt;&lt;wsp:rsid wsp:val=&quot;00124033&quot;/&gt;&lt;wsp:rsid wsp:val=&quot;0012413D&quot;/&gt;&lt;wsp:rsid wsp:val=&quot;0012415F&quot;/&gt;&lt;wsp:rsid wsp:val=&quot;0012466D&quot;/&gt;&lt;wsp:rsid wsp:val=&quot;001246E9&quot;/&gt;&lt;wsp:rsid wsp:val=&quot;00124768&quot;/&gt;&lt;wsp:rsid wsp:val=&quot;0012480C&quot;/&gt;&lt;wsp:rsid wsp:val=&quot;00124B97&quot;/&gt;&lt;wsp:rsid wsp:val=&quot;00124D10&quot;/&gt;&lt;wsp:rsid wsp:val=&quot;00124EFA&quot;/&gt;&lt;wsp:rsid wsp:val=&quot;001253F8&quot;/&gt;&lt;wsp:rsid wsp:val=&quot;001256E6&quot;/&gt;&lt;wsp:rsid wsp:val=&quot;00125704&quot;/&gt;&lt;wsp:rsid wsp:val=&quot;00125993&quot;/&gt;&lt;wsp:rsid wsp:val=&quot;00125E3E&quot;/&gt;&lt;wsp:rsid wsp:val=&quot;00125EC8&quot;/&gt;&lt;wsp:rsid wsp:val=&quot;001267F3&quot;/&gt;&lt;wsp:rsid wsp:val=&quot;00126B33&quot;/&gt;&lt;wsp:rsid wsp:val=&quot;00126B66&quot;/&gt;&lt;wsp:rsid wsp:val=&quot;00126C2D&quot;/&gt;&lt;wsp:rsid wsp:val=&quot;001275D2&quot;/&gt;&lt;wsp:rsid wsp:val=&quot;0012786E&quot;/&gt;&lt;wsp:rsid wsp:val=&quot;00127BAB&quot;/&gt;&lt;wsp:rsid wsp:val=&quot;00127E98&quot;/&gt;&lt;wsp:rsid wsp:val=&quot;00127FB2&quot;/&gt;&lt;wsp:rsid wsp:val=&quot;00127FB5&quot;/&gt;&lt;wsp:rsid wsp:val=&quot;00130A74&quot;/&gt;&lt;wsp:rsid wsp:val=&quot;00130C1F&quot;/&gt;&lt;wsp:rsid wsp:val=&quot;00130DF6&quot;/&gt;&lt;wsp:rsid wsp:val=&quot;001312C9&quot;/&gt;&lt;wsp:rsid wsp:val=&quot;001321C2&quot;/&gt;&lt;wsp:rsid wsp:val=&quot;0013228C&quot;/&gt;&lt;wsp:rsid wsp:val=&quot;00132445&quot;/&gt;&lt;wsp:rsid wsp:val=&quot;001324E1&quot;/&gt;&lt;wsp:rsid wsp:val=&quot;00132A51&quot;/&gt;&lt;wsp:rsid wsp:val=&quot;00132F01&quot;/&gt;&lt;wsp:rsid wsp:val=&quot;001331C9&quot;/&gt;&lt;wsp:rsid wsp:val=&quot;00133252&quot;/&gt;&lt;wsp:rsid wsp:val=&quot;0013329B&quot;/&gt;&lt;wsp:rsid wsp:val=&quot;0013382F&quot;/&gt;&lt;wsp:rsid wsp:val=&quot;00133B6E&quot;/&gt;&lt;wsp:rsid wsp:val=&quot;00133C59&quot;/&gt;&lt;wsp:rsid wsp:val=&quot;001340D6&quot;/&gt;&lt;wsp:rsid wsp:val=&quot;0013449E&quot;/&gt;&lt;wsp:rsid wsp:val=&quot;001348A5&quot;/&gt;&lt;wsp:rsid wsp:val=&quot;00134C65&quot;/&gt;&lt;wsp:rsid wsp:val=&quot;00135B13&quot;/&gt;&lt;wsp:rsid wsp:val=&quot;00135BE2&quot;/&gt;&lt;wsp:rsid wsp:val=&quot;00135E40&quot;/&gt;&lt;wsp:rsid wsp:val=&quot;00136038&quot;/&gt;&lt;wsp:rsid wsp:val=&quot;00136172&quot;/&gt;&lt;wsp:rsid wsp:val=&quot;00136726&quot;/&gt;&lt;wsp:rsid wsp:val=&quot;0013675C&quot;/&gt;&lt;wsp:rsid wsp:val=&quot;00136943&quot;/&gt;&lt;wsp:rsid wsp:val=&quot;00136DD5&quot;/&gt;&lt;wsp:rsid wsp:val=&quot;00137CD1&quot;/&gt;&lt;wsp:rsid wsp:val=&quot;00137DDF&quot;/&gt;&lt;wsp:rsid wsp:val=&quot;00140462&quot;/&gt;&lt;wsp:rsid wsp:val=&quot;001405F2&quot;/&gt;&lt;wsp:rsid wsp:val=&quot;00140671&quot;/&gt;&lt;wsp:rsid wsp:val=&quot;00140930&quot;/&gt;&lt;wsp:rsid wsp:val=&quot;00140D73&quot;/&gt;&lt;wsp:rsid wsp:val=&quot;0014116A&quot;/&gt;&lt;wsp:rsid wsp:val=&quot;0014122E&quot;/&gt;&lt;wsp:rsid wsp:val=&quot;001412BE&quot;/&gt;&lt;wsp:rsid wsp:val=&quot;0014148D&quot;/&gt;&lt;wsp:rsid wsp:val=&quot;00141775&quot;/&gt;&lt;wsp:rsid wsp:val=&quot;001419DB&quot;/&gt;&lt;wsp:rsid wsp:val=&quot;00141C07&quot;/&gt;&lt;wsp:rsid wsp:val=&quot;00141C08&quot;/&gt;&lt;wsp:rsid wsp:val=&quot;00141C38&quot;/&gt;&lt;wsp:rsid wsp:val=&quot;00141EB4&quot;/&gt;&lt;wsp:rsid wsp:val=&quot;00141F2E&quot;/&gt;&lt;wsp:rsid wsp:val=&quot;00141FDD&quot;/&gt;&lt;wsp:rsid wsp:val=&quot;0014294F&quot;/&gt;&lt;wsp:rsid wsp:val=&quot;001429CB&quot;/&gt;&lt;wsp:rsid wsp:val=&quot;00142FE8&quot;/&gt;&lt;wsp:rsid wsp:val=&quot;0014322A&quot;/&gt;&lt;wsp:rsid wsp:val=&quot;001436EE&quot;/&gt;&lt;wsp:rsid wsp:val=&quot;00143B0F&quot;/&gt;&lt;wsp:rsid wsp:val=&quot;00143BC4&quot;/&gt;&lt;wsp:rsid wsp:val=&quot;00143C67&quot;/&gt;&lt;wsp:rsid wsp:val=&quot;00143F7F&quot;/&gt;&lt;wsp:rsid wsp:val=&quot;00144047&quot;/&gt;&lt;wsp:rsid wsp:val=&quot;00144059&quot;/&gt;&lt;wsp:rsid wsp:val=&quot;001440E7&quot;/&gt;&lt;wsp:rsid wsp:val=&quot;00144344&quot;/&gt;&lt;wsp:rsid wsp:val=&quot;00144374&quot;/&gt;&lt;wsp:rsid wsp:val=&quot;0014437D&quot;/&gt;&lt;wsp:rsid wsp:val=&quot;0014466E&quot;/&gt;&lt;wsp:rsid wsp:val=&quot;00144673&quot;/&gt;&lt;wsp:rsid wsp:val=&quot;001446D2&quot;/&gt;&lt;wsp:rsid wsp:val=&quot;00144726&quot;/&gt;&lt;wsp:rsid wsp:val=&quot;00144767&quot;/&gt;&lt;wsp:rsid wsp:val=&quot;0014490D&quot;/&gt;&lt;wsp:rsid wsp:val=&quot;00144F35&quot;/&gt;&lt;wsp:rsid wsp:val=&quot;00145331&quot;/&gt;&lt;wsp:rsid wsp:val=&quot;001455DE&quot;/&gt;&lt;wsp:rsid wsp:val=&quot;00145803&quot;/&gt;&lt;wsp:rsid wsp:val=&quot;00145BF2&quot;/&gt;&lt;wsp:rsid wsp:val=&quot;00145C4D&quot;/&gt;&lt;wsp:rsid wsp:val=&quot;00146184&quot;/&gt;&lt;wsp:rsid wsp:val=&quot;00146391&quot;/&gt;&lt;wsp:rsid wsp:val=&quot;00146607&quot;/&gt;&lt;wsp:rsid wsp:val=&quot;0014699F&quot;/&gt;&lt;wsp:rsid wsp:val=&quot;00146A2F&quot;/&gt;&lt;wsp:rsid wsp:val=&quot;00146B05&quot;/&gt;&lt;wsp:rsid wsp:val=&quot;00146C8A&quot;/&gt;&lt;wsp:rsid wsp:val=&quot;00146D55&quot;/&gt;&lt;wsp:rsid wsp:val=&quot;00146F18&quot;/&gt;&lt;wsp:rsid wsp:val=&quot;00147126&quot;/&gt;&lt;wsp:rsid wsp:val=&quot;0014724F&quot;/&gt;&lt;wsp:rsid wsp:val=&quot;00147295&quot;/&gt;&lt;wsp:rsid wsp:val=&quot;00147818&quot;/&gt;&lt;wsp:rsid wsp:val=&quot;00147FEF&quot;/&gt;&lt;wsp:rsid wsp:val=&quot;00150376&quot;/&gt;&lt;wsp:rsid wsp:val=&quot;001503D0&quot;/&gt;&lt;wsp:rsid wsp:val=&quot;00150521&quot;/&gt;&lt;wsp:rsid wsp:val=&quot;00150814&quot;/&gt;&lt;wsp:rsid wsp:val=&quot;0015087D&quot;/&gt;&lt;wsp:rsid wsp:val=&quot;0015097F&quot;/&gt;&lt;wsp:rsid wsp:val=&quot;001509CA&quot;/&gt;&lt;wsp:rsid wsp:val=&quot;00150C1E&quot;/&gt;&lt;wsp:rsid wsp:val=&quot;0015167F&quot;/&gt;&lt;wsp:rsid wsp:val=&quot;00151943&quot;/&gt;&lt;wsp:rsid wsp:val=&quot;00151F94&quot;/&gt;&lt;wsp:rsid wsp:val=&quot;001524FB&quot;/&gt;&lt;wsp:rsid wsp:val=&quot;00152701&quot;/&gt;&lt;wsp:rsid wsp:val=&quot;00152B08&quot;/&gt;&lt;wsp:rsid wsp:val=&quot;00153540&quot;/&gt;&lt;wsp:rsid wsp:val=&quot;00153976&quot;/&gt;&lt;wsp:rsid wsp:val=&quot;00153DAE&quot;/&gt;&lt;wsp:rsid wsp:val=&quot;00153DC2&quot;/&gt;&lt;wsp:rsid wsp:val=&quot;001540BA&quot;/&gt;&lt;wsp:rsid wsp:val=&quot;00154274&quot;/&gt;&lt;wsp:rsid wsp:val=&quot;001543E0&quot;/&gt;&lt;wsp:rsid wsp:val=&quot;00154653&quot;/&gt;&lt;wsp:rsid wsp:val=&quot;00154F6D&quot;/&gt;&lt;wsp:rsid wsp:val=&quot;001556FC&quot;/&gt;&lt;wsp:rsid wsp:val=&quot;0015573A&quot;/&gt;&lt;wsp:rsid wsp:val=&quot;00155EEA&quot;/&gt;&lt;wsp:rsid wsp:val=&quot;00155FD9&quot;/&gt;&lt;wsp:rsid wsp:val=&quot;00156434&quot;/&gt;&lt;wsp:rsid wsp:val=&quot;00156556&quot;/&gt;&lt;wsp:rsid wsp:val=&quot;00156744&quot;/&gt;&lt;wsp:rsid wsp:val=&quot;00157387&quot;/&gt;&lt;wsp:rsid wsp:val=&quot;00157584&quot;/&gt;&lt;wsp:rsid wsp:val=&quot;001575D4&quot;/&gt;&lt;wsp:rsid wsp:val=&quot;001575F8&quot;/&gt;&lt;wsp:rsid wsp:val=&quot;00157648&quot;/&gt;&lt;wsp:rsid wsp:val=&quot;00157866&quot;/&gt;&lt;wsp:rsid wsp:val=&quot;00157980&quot;/&gt;&lt;wsp:rsid wsp:val=&quot;00157E05&quot;/&gt;&lt;wsp:rsid wsp:val=&quot;00160454&quot;/&gt;&lt;wsp:rsid wsp:val=&quot;0016058D&quot;/&gt;&lt;wsp:rsid wsp:val=&quot;001607E5&quot;/&gt;&lt;wsp:rsid wsp:val=&quot;00160980&quot;/&gt;&lt;wsp:rsid wsp:val=&quot;00160AD4&quot;/&gt;&lt;wsp:rsid wsp:val=&quot;00160BC7&quot;/&gt;&lt;wsp:rsid wsp:val=&quot;0016130B&quot;/&gt;&lt;wsp:rsid wsp:val=&quot;00161353&quot;/&gt;&lt;wsp:rsid wsp:val=&quot;00161462&quot;/&gt;&lt;wsp:rsid wsp:val=&quot;00161490&quot;/&gt;&lt;wsp:rsid wsp:val=&quot;0016182B&quot;/&gt;&lt;wsp:rsid wsp:val=&quot;00161DB9&quot;/&gt;&lt;wsp:rsid wsp:val=&quot;00162104&quot;/&gt;&lt;wsp:rsid wsp:val=&quot;00162740&quot;/&gt;&lt;wsp:rsid wsp:val=&quot;001628A9&quot;/&gt;&lt;wsp:rsid wsp:val=&quot;00162E69&quot;/&gt;&lt;wsp:rsid wsp:val=&quot;00163665&quot;/&gt;&lt;wsp:rsid wsp:val=&quot;00163743&quot;/&gt;&lt;wsp:rsid wsp:val=&quot;00163994&quot;/&gt;&lt;wsp:rsid wsp:val=&quot;001639AB&quot;/&gt;&lt;wsp:rsid wsp:val=&quot;001645C3&quot;/&gt;&lt;wsp:rsid wsp:val=&quot;00164650&quot;/&gt;&lt;wsp:rsid wsp:val=&quot;001649E4&quot;/&gt;&lt;wsp:rsid wsp:val=&quot;00164C4E&quot;/&gt;&lt;wsp:rsid wsp:val=&quot;00164FC4&quot;/&gt;&lt;wsp:rsid wsp:val=&quot;001657A1&quot;/&gt;&lt;wsp:rsid wsp:val=&quot;00165961&quot;/&gt;&lt;wsp:rsid wsp:val=&quot;00165B3A&quot;/&gt;&lt;wsp:rsid wsp:val=&quot;001669D3&quot;/&gt;&lt;wsp:rsid wsp:val=&quot;00166F4B&quot;/&gt;&lt;wsp:rsid wsp:val=&quot;00166FBD&quot;/&gt;&lt;wsp:rsid wsp:val=&quot;0016714B&quot;/&gt;&lt;wsp:rsid wsp:val=&quot;001674EC&quot;/&gt;&lt;wsp:rsid wsp:val=&quot;00167577&quot;/&gt;&lt;wsp:rsid wsp:val=&quot;0017016D&quot;/&gt;&lt;wsp:rsid wsp:val=&quot;001701DB&quot;/&gt;&lt;wsp:rsid wsp:val=&quot;001702AB&quot;/&gt;&lt;wsp:rsid wsp:val=&quot;001702D1&quot;/&gt;&lt;wsp:rsid wsp:val=&quot;001711EE&quot;/&gt;&lt;wsp:rsid wsp:val=&quot;001715F7&quot;/&gt;&lt;wsp:rsid wsp:val=&quot;00171C5B&quot;/&gt;&lt;wsp:rsid wsp:val=&quot;00171D1D&quot;/&gt;&lt;wsp:rsid wsp:val=&quot;00171D8A&quot;/&gt;&lt;wsp:rsid wsp:val=&quot;00172378&quot;/&gt;&lt;wsp:rsid wsp:val=&quot;001727E1&quot;/&gt;&lt;wsp:rsid wsp:val=&quot;0017294C&quot;/&gt;&lt;wsp:rsid wsp:val=&quot;00172971&quot;/&gt;&lt;wsp:rsid wsp:val=&quot;00173011&quot;/&gt;&lt;wsp:rsid wsp:val=&quot;0017323B&quot;/&gt;&lt;wsp:rsid wsp:val=&quot;00173241&quot;/&gt;&lt;wsp:rsid wsp:val=&quot;00173670&quot;/&gt;&lt;wsp:rsid wsp:val=&quot;0017389A&quot;/&gt;&lt;wsp:rsid wsp:val=&quot;00173C4A&quot;/&gt;&lt;wsp:rsid wsp:val=&quot;00173ECC&quot;/&gt;&lt;wsp:rsid wsp:val=&quot;00174454&quot;/&gt;&lt;wsp:rsid wsp:val=&quot;001745DE&quot;/&gt;&lt;wsp:rsid wsp:val=&quot;00175009&quot;/&gt;&lt;wsp:rsid wsp:val=&quot;001751C4&quot;/&gt;&lt;wsp:rsid wsp:val=&quot;00175348&quot;/&gt;&lt;wsp:rsid wsp:val=&quot;00175713&quot;/&gt;&lt;wsp:rsid wsp:val=&quot;00175844&quot;/&gt;&lt;wsp:rsid wsp:val=&quot;001762BD&quot;/&gt;&lt;wsp:rsid wsp:val=&quot;001769AA&quot;/&gt;&lt;wsp:rsid wsp:val=&quot;001773E7&quot;/&gt;&lt;wsp:rsid wsp:val=&quot;001774A5&quot;/&gt;&lt;wsp:rsid wsp:val=&quot;00177518&quot;/&gt;&lt;wsp:rsid wsp:val=&quot;001775EF&quot;/&gt;&lt;wsp:rsid wsp:val=&quot;00177C23&quot;/&gt;&lt;wsp:rsid wsp:val=&quot;00177C63&quot;/&gt;&lt;wsp:rsid wsp:val=&quot;00177D8A&quot;/&gt;&lt;wsp:rsid wsp:val=&quot;0018028C&quot;/&gt;&lt;wsp:rsid wsp:val=&quot;0018034A&quot;/&gt;&lt;wsp:rsid wsp:val=&quot;001804DC&quot;/&gt;&lt;wsp:rsid wsp:val=&quot;0018072A&quot;/&gt;&lt;wsp:rsid wsp:val=&quot;00180756&quot;/&gt;&lt;wsp:rsid wsp:val=&quot;001807D6&quot;/&gt;&lt;wsp:rsid wsp:val=&quot;00180838&quot;/&gt;&lt;wsp:rsid wsp:val=&quot;00180AB2&quot;/&gt;&lt;wsp:rsid wsp:val=&quot;00180AC9&quot;/&gt;&lt;wsp:rsid wsp:val=&quot;00180C62&quot;/&gt;&lt;wsp:rsid wsp:val=&quot;00180CB8&quot;/&gt;&lt;wsp:rsid wsp:val=&quot;0018185E&quot;/&gt;&lt;wsp:rsid wsp:val=&quot;00181916&quot;/&gt;&lt;wsp:rsid wsp:val=&quot;001819E1&quot;/&gt;&lt;wsp:rsid wsp:val=&quot;00181AF5&quot;/&gt;&lt;wsp:rsid wsp:val=&quot;00181D86&quot;/&gt;&lt;wsp:rsid wsp:val=&quot;00182435&quot;/&gt;&lt;wsp:rsid wsp:val=&quot;0018270F&quot;/&gt;&lt;wsp:rsid wsp:val=&quot;00182B5D&quot;/&gt;&lt;wsp:rsid wsp:val=&quot;00182C59&quot;/&gt;&lt;wsp:rsid wsp:val=&quot;00182D3D&quot;/&gt;&lt;wsp:rsid wsp:val=&quot;00182DD9&quot;/&gt;&lt;wsp:rsid wsp:val=&quot;001830E6&quot;/&gt;&lt;wsp:rsid wsp:val=&quot;001833EA&quot;/&gt;&lt;wsp:rsid wsp:val=&quot;0018344F&quot;/&gt;&lt;wsp:rsid wsp:val=&quot;00183C87&quot;/&gt;&lt;wsp:rsid wsp:val=&quot;00184DF4&quot;/&gt;&lt;wsp:rsid wsp:val=&quot;00184E1F&quot;/&gt;&lt;wsp:rsid wsp:val=&quot;00184E5F&quot;/&gt;&lt;wsp:rsid wsp:val=&quot;00184EA7&quot;/&gt;&lt;wsp:rsid wsp:val=&quot;00184F02&quot;/&gt;&lt;wsp:rsid wsp:val=&quot;001851CE&quot;/&gt;&lt;wsp:rsid wsp:val=&quot;001859B1&quot;/&gt;&lt;wsp:rsid wsp:val=&quot;0018645F&quot;/&gt;&lt;wsp:rsid wsp:val=&quot;00186981&quot;/&gt;&lt;wsp:rsid wsp:val=&quot;00186F25&quot;/&gt;&lt;wsp:rsid wsp:val=&quot;00187388&quot;/&gt;&lt;wsp:rsid wsp:val=&quot;00187D3C&quot;/&gt;&lt;wsp:rsid wsp:val=&quot;00187E46&quot;/&gt;&lt;wsp:rsid wsp:val=&quot;00190701&quot;/&gt;&lt;wsp:rsid wsp:val=&quot;00190B5D&quot;/&gt;&lt;wsp:rsid wsp:val=&quot;00190C3E&quot;/&gt;&lt;wsp:rsid wsp:val=&quot;00190EBA&quot;/&gt;&lt;wsp:rsid wsp:val=&quot;00191054&quot;/&gt;&lt;wsp:rsid wsp:val=&quot;0019249F&quot;/&gt;&lt;wsp:rsid wsp:val=&quot;00192717&quot;/&gt;&lt;wsp:rsid wsp:val=&quot;00192EA2&quot;/&gt;&lt;wsp:rsid wsp:val=&quot;00193079&quot;/&gt;&lt;wsp:rsid wsp:val=&quot;0019361F&quot;/&gt;&lt;wsp:rsid wsp:val=&quot;0019383D&quot;/&gt;&lt;wsp:rsid wsp:val=&quot;00194523&quot;/&gt;&lt;wsp:rsid wsp:val=&quot;0019482F&quot;/&gt;&lt;wsp:rsid wsp:val=&quot;00194E37&quot;/&gt;&lt;wsp:rsid wsp:val=&quot;00194EE0&quot;/&gt;&lt;wsp:rsid wsp:val=&quot;00195278&quot;/&gt;&lt;wsp:rsid wsp:val=&quot;001952EF&quot;/&gt;&lt;wsp:rsid wsp:val=&quot;0019531D&quot;/&gt;&lt;wsp:rsid wsp:val=&quot;001959E3&quot;/&gt;&lt;wsp:rsid wsp:val=&quot;00195B86&quot;/&gt;&lt;wsp:rsid wsp:val=&quot;00195F8B&quot;/&gt;&lt;wsp:rsid wsp:val=&quot;00196048&quot;/&gt;&lt;wsp:rsid wsp:val=&quot;00196061&quot;/&gt;&lt;wsp:rsid wsp:val=&quot;00196267&quot;/&gt;&lt;wsp:rsid wsp:val=&quot;001962DB&quot;/&gt;&lt;wsp:rsid wsp:val=&quot;001964A3&quot;/&gt;&lt;wsp:rsid wsp:val=&quot;001965B3&quot;/&gt;&lt;wsp:rsid wsp:val=&quot;0019674E&quot;/&gt;&lt;wsp:rsid wsp:val=&quot;0019686A&quot;/&gt;&lt;wsp:rsid wsp:val=&quot;00196903&quot;/&gt;&lt;wsp:rsid wsp:val=&quot;00196CEE&quot;/&gt;&lt;wsp:rsid wsp:val=&quot;00196D2C&quot;/&gt;&lt;wsp:rsid wsp:val=&quot;00196E61&quot;/&gt;&lt;wsp:rsid wsp:val=&quot;0019781F&quot;/&gt;&lt;wsp:rsid wsp:val=&quot;001978D8&quot;/&gt;&lt;wsp:rsid wsp:val=&quot;0019796F&quot;/&gt;&lt;wsp:rsid wsp:val=&quot;00197ACD&quot;/&gt;&lt;wsp:rsid wsp:val=&quot;00197BD5&quot;/&gt;&lt;wsp:rsid wsp:val=&quot;00197C63&quot;/&gt;&lt;wsp:rsid wsp:val=&quot;00197D10&quot;/&gt;&lt;wsp:rsid wsp:val=&quot;001A01F8&quot;/&gt;&lt;wsp:rsid wsp:val=&quot;001A0910&quot;/&gt;&lt;wsp:rsid wsp:val=&quot;001A0D8A&quot;/&gt;&lt;wsp:rsid wsp:val=&quot;001A1081&quot;/&gt;&lt;wsp:rsid wsp:val=&quot;001A137C&quot;/&gt;&lt;wsp:rsid wsp:val=&quot;001A15C6&quot;/&gt;&lt;wsp:rsid wsp:val=&quot;001A1E78&quot;/&gt;&lt;wsp:rsid wsp:val=&quot;001A24C9&quot;/&gt;&lt;wsp:rsid wsp:val=&quot;001A26BE&quot;/&gt;&lt;wsp:rsid wsp:val=&quot;001A2BC3&quot;/&gt;&lt;wsp:rsid wsp:val=&quot;001A3487&quot;/&gt;&lt;wsp:rsid wsp:val=&quot;001A3995&quot;/&gt;&lt;wsp:rsid wsp:val=&quot;001A4906&quot;/&gt;&lt;wsp:rsid wsp:val=&quot;001A4F58&quot;/&gt;&lt;wsp:rsid wsp:val=&quot;001A58EB&quot;/&gt;&lt;wsp:rsid wsp:val=&quot;001A5E4D&quot;/&gt;&lt;wsp:rsid wsp:val=&quot;001A5F78&quot;/&gt;&lt;wsp:rsid wsp:val=&quot;001A62C8&quot;/&gt;&lt;wsp:rsid wsp:val=&quot;001A642D&quot;/&gt;&lt;wsp:rsid wsp:val=&quot;001A65EA&quot;/&gt;&lt;wsp:rsid wsp:val=&quot;001A66B2&quot;/&gt;&lt;wsp:rsid wsp:val=&quot;001A7199&quot;/&gt;&lt;wsp:rsid wsp:val=&quot;001A7307&quot;/&gt;&lt;wsp:rsid wsp:val=&quot;001A786A&quot;/&gt;&lt;wsp:rsid wsp:val=&quot;001A7B4C&quot;/&gt;&lt;wsp:rsid wsp:val=&quot;001A7BCF&quot;/&gt;&lt;wsp:rsid wsp:val=&quot;001A7D02&quot;/&gt;&lt;wsp:rsid wsp:val=&quot;001A7E5E&quot;/&gt;&lt;wsp:rsid wsp:val=&quot;001A7E73&quot;/&gt;&lt;wsp:rsid wsp:val=&quot;001B0343&quot;/&gt;&lt;wsp:rsid wsp:val=&quot;001B0C29&quot;/&gt;&lt;wsp:rsid wsp:val=&quot;001B143F&quot;/&gt;&lt;wsp:rsid wsp:val=&quot;001B177A&quot;/&gt;&lt;wsp:rsid wsp:val=&quot;001B1E97&quot;/&gt;&lt;wsp:rsid wsp:val=&quot;001B1F9B&quot;/&gt;&lt;wsp:rsid wsp:val=&quot;001B2007&quot;/&gt;&lt;wsp:rsid wsp:val=&quot;001B24B5&quot;/&gt;&lt;wsp:rsid wsp:val=&quot;001B2C07&quot;/&gt;&lt;wsp:rsid wsp:val=&quot;001B2C65&quot;/&gt;&lt;wsp:rsid wsp:val=&quot;001B30B6&quot;/&gt;&lt;wsp:rsid wsp:val=&quot;001B3352&quot;/&gt;&lt;wsp:rsid wsp:val=&quot;001B366C&quot;/&gt;&lt;wsp:rsid wsp:val=&quot;001B480D&quot;/&gt;&lt;wsp:rsid wsp:val=&quot;001B50EC&quot;/&gt;&lt;wsp:rsid wsp:val=&quot;001B5245&quot;/&gt;&lt;wsp:rsid wsp:val=&quot;001B5723&quot;/&gt;&lt;wsp:rsid wsp:val=&quot;001B5778&quot;/&gt;&lt;wsp:rsid wsp:val=&quot;001B59EA&quot;/&gt;&lt;wsp:rsid wsp:val=&quot;001B5CF0&quot;/&gt;&lt;wsp:rsid wsp:val=&quot;001B5F1B&quot;/&gt;&lt;wsp:rsid wsp:val=&quot;001B5FC3&quot;/&gt;&lt;wsp:rsid wsp:val=&quot;001B6134&quot;/&gt;&lt;wsp:rsid wsp:val=&quot;001B62BE&quot;/&gt;&lt;wsp:rsid wsp:val=&quot;001B6449&quot;/&gt;&lt;wsp:rsid wsp:val=&quot;001B6589&quot;/&gt;&lt;wsp:rsid wsp:val=&quot;001B6727&quot;/&gt;&lt;wsp:rsid wsp:val=&quot;001B677A&quot;/&gt;&lt;wsp:rsid wsp:val=&quot;001B6841&quot;/&gt;&lt;wsp:rsid wsp:val=&quot;001B6EA0&quot;/&gt;&lt;wsp:rsid wsp:val=&quot;001B7237&quot;/&gt;&lt;wsp:rsid wsp:val=&quot;001B72A0&quot;/&gt;&lt;wsp:rsid wsp:val=&quot;001B72CE&quot;/&gt;&lt;wsp:rsid wsp:val=&quot;001B7314&quot;/&gt;&lt;wsp:rsid wsp:val=&quot;001B7436&quot;/&gt;&lt;wsp:rsid wsp:val=&quot;001B7EC8&quot;/&gt;&lt;wsp:rsid wsp:val=&quot;001C0401&quot;/&gt;&lt;wsp:rsid wsp:val=&quot;001C04E9&quot;/&gt;&lt;wsp:rsid wsp:val=&quot;001C0961&quot;/&gt;&lt;wsp:rsid wsp:val=&quot;001C0976&quot;/&gt;&lt;wsp:rsid wsp:val=&quot;001C09FF&quot;/&gt;&lt;wsp:rsid wsp:val=&quot;001C0A5F&quot;/&gt;&lt;wsp:rsid wsp:val=&quot;001C0AE9&quot;/&gt;&lt;wsp:rsid wsp:val=&quot;001C0B0E&quot;/&gt;&lt;wsp:rsid wsp:val=&quot;001C0C95&quot;/&gt;&lt;wsp:rsid wsp:val=&quot;001C0CD6&quot;/&gt;&lt;wsp:rsid wsp:val=&quot;001C16B9&quot;/&gt;&lt;wsp:rsid wsp:val=&quot;001C187C&quot;/&gt;&lt;wsp:rsid wsp:val=&quot;001C18C0&quot;/&gt;&lt;wsp:rsid wsp:val=&quot;001C1C58&quot;/&gt;&lt;wsp:rsid wsp:val=&quot;001C1CAC&quot;/&gt;&lt;wsp:rsid wsp:val=&quot;001C1CEE&quot;/&gt;&lt;wsp:rsid wsp:val=&quot;001C1D1F&quot;/&gt;&lt;wsp:rsid wsp:val=&quot;001C1D75&quot;/&gt;&lt;wsp:rsid wsp:val=&quot;001C2147&quot;/&gt;&lt;wsp:rsid wsp:val=&quot;001C26C9&quot;/&gt;&lt;wsp:rsid wsp:val=&quot;001C2A51&quot;/&gt;&lt;wsp:rsid wsp:val=&quot;001C2A5E&quot;/&gt;&lt;wsp:rsid wsp:val=&quot;001C2C7F&quot;/&gt;&lt;wsp:rsid wsp:val=&quot;001C2E20&quot;/&gt;&lt;wsp:rsid wsp:val=&quot;001C3050&quot;/&gt;&lt;wsp:rsid wsp:val=&quot;001C30A9&quot;/&gt;&lt;wsp:rsid wsp:val=&quot;001C3959&quot;/&gt;&lt;wsp:rsid wsp:val=&quot;001C3C48&quot;/&gt;&lt;wsp:rsid wsp:val=&quot;001C3C6C&quot;/&gt;&lt;wsp:rsid wsp:val=&quot;001C3F0F&quot;/&gt;&lt;wsp:rsid wsp:val=&quot;001C4AEA&quot;/&gt;&lt;wsp:rsid wsp:val=&quot;001C58BD&quot;/&gt;&lt;wsp:rsid wsp:val=&quot;001C5C69&quot;/&gt;&lt;wsp:rsid wsp:val=&quot;001C5C94&quot;/&gt;&lt;wsp:rsid wsp:val=&quot;001C5CEE&quot;/&gt;&lt;wsp:rsid wsp:val=&quot;001C5D71&quot;/&gt;&lt;wsp:rsid wsp:val=&quot;001C6447&quot;/&gt;&lt;wsp:rsid wsp:val=&quot;001C654D&quot;/&gt;&lt;wsp:rsid wsp:val=&quot;001C6B80&quot;/&gt;&lt;wsp:rsid wsp:val=&quot;001C70D3&quot;/&gt;&lt;wsp:rsid wsp:val=&quot;001C71F9&quot;/&gt;&lt;wsp:rsid wsp:val=&quot;001C7204&quot;/&gt;&lt;wsp:rsid wsp:val=&quot;001C7629&quot;/&gt;&lt;wsp:rsid wsp:val=&quot;001C7A9C&quot;/&gt;&lt;wsp:rsid wsp:val=&quot;001C7CE1&quot;/&gt;&lt;wsp:rsid wsp:val=&quot;001D00B9&quot;/&gt;&lt;wsp:rsid wsp:val=&quot;001D0A1C&quot;/&gt;&lt;wsp:rsid wsp:val=&quot;001D0B9D&quot;/&gt;&lt;wsp:rsid wsp:val=&quot;001D0C26&quot;/&gt;&lt;wsp:rsid wsp:val=&quot;001D0DE5&quot;/&gt;&lt;wsp:rsid wsp:val=&quot;001D10EF&quot;/&gt;&lt;wsp:rsid wsp:val=&quot;001D1184&quot;/&gt;&lt;wsp:rsid wsp:val=&quot;001D1322&quot;/&gt;&lt;wsp:rsid wsp:val=&quot;001D1489&quot;/&gt;&lt;wsp:rsid wsp:val=&quot;001D1803&quot;/&gt;&lt;wsp:rsid wsp:val=&quot;001D196E&quot;/&gt;&lt;wsp:rsid wsp:val=&quot;001D1F57&quot;/&gt;&lt;wsp:rsid wsp:val=&quot;001D2001&quot;/&gt;&lt;wsp:rsid wsp:val=&quot;001D2179&quot;/&gt;&lt;wsp:rsid wsp:val=&quot;001D23B3&quot;/&gt;&lt;wsp:rsid wsp:val=&quot;001D26B4&quot;/&gt;&lt;wsp:rsid wsp:val=&quot;001D26D4&quot;/&gt;&lt;wsp:rsid wsp:val=&quot;001D29DD&quot;/&gt;&lt;wsp:rsid wsp:val=&quot;001D2F24&quot;/&gt;&lt;wsp:rsid wsp:val=&quot;001D34A9&quot;/&gt;&lt;wsp:rsid wsp:val=&quot;001D38F3&quot;/&gt;&lt;wsp:rsid wsp:val=&quot;001D3900&quot;/&gt;&lt;wsp:rsid wsp:val=&quot;001D3B05&quot;/&gt;&lt;wsp:rsid wsp:val=&quot;001D4033&quot;/&gt;&lt;wsp:rsid wsp:val=&quot;001D40B1&quot;/&gt;&lt;wsp:rsid wsp:val=&quot;001D42F8&quot;/&gt;&lt;wsp:rsid wsp:val=&quot;001D45EE&quot;/&gt;&lt;wsp:rsid wsp:val=&quot;001D4B4C&quot;/&gt;&lt;wsp:rsid wsp:val=&quot;001D4BB6&quot;/&gt;&lt;wsp:rsid wsp:val=&quot;001D4C1E&quot;/&gt;&lt;wsp:rsid wsp:val=&quot;001D509C&quot;/&gt;&lt;wsp:rsid wsp:val=&quot;001D526E&quot;/&gt;&lt;wsp:rsid wsp:val=&quot;001D5701&quot;/&gt;&lt;wsp:rsid wsp:val=&quot;001D57C5&quot;/&gt;&lt;wsp:rsid wsp:val=&quot;001D5C93&quot;/&gt;&lt;wsp:rsid wsp:val=&quot;001D5E01&quot;/&gt;&lt;wsp:rsid wsp:val=&quot;001D5E5D&quot;/&gt;&lt;wsp:rsid wsp:val=&quot;001D5EE4&quot;/&gt;&lt;wsp:rsid wsp:val=&quot;001D6949&quot;/&gt;&lt;wsp:rsid wsp:val=&quot;001D73C5&quot;/&gt;&lt;wsp:rsid wsp:val=&quot;001D76F6&quot;/&gt;&lt;wsp:rsid wsp:val=&quot;001D775D&quot;/&gt;&lt;wsp:rsid wsp:val=&quot;001D786C&quot;/&gt;&lt;wsp:rsid wsp:val=&quot;001D7CC4&quot;/&gt;&lt;wsp:rsid wsp:val=&quot;001D7D2F&quot;/&gt;&lt;wsp:rsid wsp:val=&quot;001E0296&quot;/&gt;&lt;wsp:rsid wsp:val=&quot;001E04E8&quot;/&gt;&lt;wsp:rsid wsp:val=&quot;001E07A2&quot;/&gt;&lt;wsp:rsid wsp:val=&quot;001E08FD&quot;/&gt;&lt;wsp:rsid wsp:val=&quot;001E1354&quot;/&gt;&lt;wsp:rsid wsp:val=&quot;001E14B9&quot;/&gt;&lt;wsp:rsid wsp:val=&quot;001E18D9&quot;/&gt;&lt;wsp:rsid wsp:val=&quot;001E1FCF&quot;/&gt;&lt;wsp:rsid wsp:val=&quot;001E20FD&quot;/&gt;&lt;wsp:rsid wsp:val=&quot;001E2267&quot;/&gt;&lt;wsp:rsid wsp:val=&quot;001E2637&quot;/&gt;&lt;wsp:rsid wsp:val=&quot;001E2A20&quot;/&gt;&lt;wsp:rsid wsp:val=&quot;001E2D8A&quot;/&gt;&lt;wsp:rsid wsp:val=&quot;001E2EB0&quot;/&gt;&lt;wsp:rsid wsp:val=&quot;001E300D&quot;/&gt;&lt;wsp:rsid wsp:val=&quot;001E30B2&quot;/&gt;&lt;wsp:rsid wsp:val=&quot;001E373C&quot;/&gt;&lt;wsp:rsid wsp:val=&quot;001E3D7D&quot;/&gt;&lt;wsp:rsid wsp:val=&quot;001E3F78&quot;/&gt;&lt;wsp:rsid wsp:val=&quot;001E4198&quot;/&gt;&lt;wsp:rsid wsp:val=&quot;001E43ED&quot;/&gt;&lt;wsp:rsid wsp:val=&quot;001E4F2E&quot;/&gt;&lt;wsp:rsid wsp:val=&quot;001E5033&quot;/&gt;&lt;wsp:rsid wsp:val=&quot;001E5217&quot;/&gt;&lt;wsp:rsid wsp:val=&quot;001E572B&quot;/&gt;&lt;wsp:rsid wsp:val=&quot;001E5C1C&quot;/&gt;&lt;wsp:rsid wsp:val=&quot;001E5C97&quot;/&gt;&lt;wsp:rsid wsp:val=&quot;001E5EDA&quot;/&gt;&lt;wsp:rsid wsp:val=&quot;001E6651&quot;/&gt;&lt;wsp:rsid wsp:val=&quot;001E69EF&quot;/&gt;&lt;wsp:rsid wsp:val=&quot;001E6D44&quot;/&gt;&lt;wsp:rsid wsp:val=&quot;001E7750&quot;/&gt;&lt;wsp:rsid wsp:val=&quot;001E7880&quot;/&gt;&lt;wsp:rsid wsp:val=&quot;001E7EF3&quot;/&gt;&lt;wsp:rsid wsp:val=&quot;001E7F09&quot;/&gt;&lt;wsp:rsid wsp:val=&quot;001F059E&quot;/&gt;&lt;wsp:rsid wsp:val=&quot;001F087D&quot;/&gt;&lt;wsp:rsid wsp:val=&quot;001F0A2D&quot;/&gt;&lt;wsp:rsid wsp:val=&quot;001F0AF1&quot;/&gt;&lt;wsp:rsid wsp:val=&quot;001F1028&quot;/&gt;&lt;wsp:rsid wsp:val=&quot;001F1230&quot;/&gt;&lt;wsp:rsid wsp:val=&quot;001F1778&quot;/&gt;&lt;wsp:rsid wsp:val=&quot;001F1A47&quot;/&gt;&lt;wsp:rsid wsp:val=&quot;001F1C7D&quot;/&gt;&lt;wsp:rsid wsp:val=&quot;001F1D47&quot;/&gt;&lt;wsp:rsid wsp:val=&quot;001F2564&quot;/&gt;&lt;wsp:rsid wsp:val=&quot;001F2779&quot;/&gt;&lt;wsp:rsid wsp:val=&quot;001F2E44&quot;/&gt;&lt;wsp:rsid wsp:val=&quot;001F3051&quot;/&gt;&lt;wsp:rsid wsp:val=&quot;001F31D9&quot;/&gt;&lt;wsp:rsid wsp:val=&quot;001F342D&quot;/&gt;&lt;wsp:rsid wsp:val=&quot;001F35B9&quot;/&gt;&lt;wsp:rsid wsp:val=&quot;001F395C&quot;/&gt;&lt;wsp:rsid wsp:val=&quot;001F399A&quot;/&gt;&lt;wsp:rsid wsp:val=&quot;001F3B40&quot;/&gt;&lt;wsp:rsid wsp:val=&quot;001F4026&quot;/&gt;&lt;wsp:rsid wsp:val=&quot;001F42A4&quot;/&gt;&lt;wsp:rsid wsp:val=&quot;001F42DD&quot;/&gt;&lt;wsp:rsid wsp:val=&quot;001F44DE&quot;/&gt;&lt;wsp:rsid wsp:val=&quot;001F4A12&quot;/&gt;&lt;wsp:rsid wsp:val=&quot;001F4A64&quot;/&gt;&lt;wsp:rsid wsp:val=&quot;001F4B50&quot;/&gt;&lt;wsp:rsid wsp:val=&quot;001F591D&quot;/&gt;&lt;wsp:rsid wsp:val=&quot;001F5BFE&quot;/&gt;&lt;wsp:rsid wsp:val=&quot;001F5FAF&quot;/&gt;&lt;wsp:rsid wsp:val=&quot;001F6325&quot;/&gt;&lt;wsp:rsid wsp:val=&quot;001F653B&quot;/&gt;&lt;wsp:rsid wsp:val=&quot;001F678F&quot;/&gt;&lt;wsp:rsid wsp:val=&quot;001F69FE&quot;/&gt;&lt;wsp:rsid wsp:val=&quot;001F6A0A&quot;/&gt;&lt;wsp:rsid wsp:val=&quot;001F6C9D&quot;/&gt;&lt;wsp:rsid wsp:val=&quot;001F71DE&quot;/&gt;&lt;wsp:rsid wsp:val=&quot;001F728E&quot;/&gt;&lt;wsp:rsid wsp:val=&quot;001F7335&quot;/&gt;&lt;wsp:rsid wsp:val=&quot;001F746B&quot;/&gt;&lt;wsp:rsid wsp:val=&quot;001F783B&quot;/&gt;&lt;wsp:rsid wsp:val=&quot;002004B5&quot;/&gt;&lt;wsp:rsid wsp:val=&quot;00200A58&quot;/&gt;&lt;wsp:rsid wsp:val=&quot;0020115B&quot;/&gt;&lt;wsp:rsid wsp:val=&quot;0020118E&quot;/&gt;&lt;wsp:rsid wsp:val=&quot;00201390&quot;/&gt;&lt;wsp:rsid wsp:val=&quot;00201AD3&quot;/&gt;&lt;wsp:rsid wsp:val=&quot;00201B4F&quot;/&gt;&lt;wsp:rsid wsp:val=&quot;00202731&quot;/&gt;&lt;wsp:rsid wsp:val=&quot;00202FF3&quot;/&gt;&lt;wsp:rsid wsp:val=&quot;00203214&quot;/&gt;&lt;wsp:rsid wsp:val=&quot;00203669&quot;/&gt;&lt;wsp:rsid wsp:val=&quot;00203884&quot;/&gt;&lt;wsp:rsid wsp:val=&quot;00203A11&quot;/&gt;&lt;wsp:rsid wsp:val=&quot;00203A3D&quot;/&gt;&lt;wsp:rsid wsp:val=&quot;00203E63&quot;/&gt;&lt;wsp:rsid wsp:val=&quot;00203F61&quot;/&gt;&lt;wsp:rsid wsp:val=&quot;002040BA&quot;/&gt;&lt;wsp:rsid wsp:val=&quot;00204234&quot;/&gt;&lt;wsp:rsid wsp:val=&quot;00204CB2&quot;/&gt;&lt;wsp:rsid wsp:val=&quot;00204EB1&quot;/&gt;&lt;wsp:rsid wsp:val=&quot;002052F6&quot;/&gt;&lt;wsp:rsid wsp:val=&quot;00205787&quot;/&gt;&lt;wsp:rsid wsp:val=&quot;00205C1E&quot;/&gt;&lt;wsp:rsid wsp:val=&quot;002062A1&quot;/&gt;&lt;wsp:rsid wsp:val=&quot;002062ED&quot;/&gt;&lt;wsp:rsid wsp:val=&quot;002063F5&quot;/&gt;&lt;wsp:rsid wsp:val=&quot;00206B0F&quot;/&gt;&lt;wsp:rsid wsp:val=&quot;00206F17&quot;/&gt;&lt;wsp:rsid wsp:val=&quot;002070B9&quot;/&gt;&lt;wsp:rsid wsp:val=&quot;00207292&quot;/&gt;&lt;wsp:rsid wsp:val=&quot;00207A76&quot;/&gt;&lt;wsp:rsid wsp:val=&quot;00207E9C&quot;/&gt;&lt;wsp:rsid wsp:val=&quot;002109EC&quot;/&gt;&lt;wsp:rsid wsp:val=&quot;00210ED5&quot;/&gt;&lt;wsp:rsid wsp:val=&quot;0021131D&quot;/&gt;&lt;wsp:rsid wsp:val=&quot;00211415&quot;/&gt;&lt;wsp:rsid wsp:val=&quot;0021154F&quot;/&gt;&lt;wsp:rsid wsp:val=&quot;00211603&quot;/&gt;&lt;wsp:rsid wsp:val=&quot;0021178A&quot;/&gt;&lt;wsp:rsid wsp:val=&quot;00211A9D&quot;/&gt;&lt;wsp:rsid wsp:val=&quot;00211E3A&quot;/&gt;&lt;wsp:rsid wsp:val=&quot;00212629&quot;/&gt;&lt;wsp:rsid wsp:val=&quot;00212D0A&quot;/&gt;&lt;wsp:rsid wsp:val=&quot;0021342F&quot;/&gt;&lt;wsp:rsid wsp:val=&quot;00213716&quot;/&gt;&lt;wsp:rsid wsp:val=&quot;00213AA3&quot;/&gt;&lt;wsp:rsid wsp:val=&quot;00213AE7&quot;/&gt;&lt;wsp:rsid wsp:val=&quot;00213CD1&quot;/&gt;&lt;wsp:rsid wsp:val=&quot;002144B9&quot;/&gt;&lt;wsp:rsid wsp:val=&quot;002145B2&quot;/&gt;&lt;wsp:rsid wsp:val=&quot;002148B7&quot;/&gt;&lt;wsp:rsid wsp:val=&quot;00215153&quot;/&gt;&lt;wsp:rsid wsp:val=&quot;002152B4&quot;/&gt;&lt;wsp:rsid wsp:val=&quot;00215363&quot;/&gt;&lt;wsp:rsid wsp:val=&quot;002155D5&quot;/&gt;&lt;wsp:rsid wsp:val=&quot;002157D0&quot;/&gt;&lt;wsp:rsid wsp:val=&quot;002158BB&quot;/&gt;&lt;wsp:rsid wsp:val=&quot;00215923&quot;/&gt;&lt;wsp:rsid wsp:val=&quot;00215B16&quot;/&gt;&lt;wsp:rsid wsp:val=&quot;00216252&quot;/&gt;&lt;wsp:rsid wsp:val=&quot;00216A42&quot;/&gt;&lt;wsp:rsid wsp:val=&quot;0021762E&quot;/&gt;&lt;wsp:rsid wsp:val=&quot;00217863&quot;/&gt;&lt;wsp:rsid wsp:val=&quot;00217875&quot;/&gt;&lt;wsp:rsid wsp:val=&quot;00217C16&quot;/&gt;&lt;wsp:rsid wsp:val=&quot;00217CDD&quot;/&gt;&lt;wsp:rsid wsp:val=&quot;00217DF4&quot;/&gt;&lt;wsp:rsid wsp:val=&quot;00217FF3&quot;/&gt;&lt;wsp:rsid wsp:val=&quot;002201D1&quot;/&gt;&lt;wsp:rsid wsp:val=&quot;0022087F&quot;/&gt;&lt;wsp:rsid wsp:val=&quot;00220A70&quot;/&gt;&lt;wsp:rsid wsp:val=&quot;00220E2B&quot;/&gt;&lt;wsp:rsid wsp:val=&quot;00220FF9&quot;/&gt;&lt;wsp:rsid wsp:val=&quot;00221C9E&quot;/&gt;&lt;wsp:rsid wsp:val=&quot;00221CE5&quot;/&gt;&lt;wsp:rsid wsp:val=&quot;00222238&quot;/&gt;&lt;wsp:rsid wsp:val=&quot;002223C9&quot;/&gt;&lt;wsp:rsid wsp:val=&quot;00222500&quot;/&gt;&lt;wsp:rsid wsp:val=&quot;002226AA&quot;/&gt;&lt;wsp:rsid wsp:val=&quot;0022270D&quot;/&gt;&lt;wsp:rsid wsp:val=&quot;00222C43&quot;/&gt;&lt;wsp:rsid wsp:val=&quot;00222D7F&quot;/&gt;&lt;wsp:rsid wsp:val=&quot;00222DC8&quot;/&gt;&lt;wsp:rsid wsp:val=&quot;002231EE&quot;/&gt;&lt;wsp:rsid wsp:val=&quot;002233E3&quot;/&gt;&lt;wsp:rsid wsp:val=&quot;002239B7&quot;/&gt;&lt;wsp:rsid wsp:val=&quot;00223A30&quot;/&gt;&lt;wsp:rsid wsp:val=&quot;00223B60&quot;/&gt;&lt;wsp:rsid wsp:val=&quot;00223DE6&quot;/&gt;&lt;wsp:rsid wsp:val=&quot;00223F62&quot;/&gt;&lt;wsp:rsid wsp:val=&quot;00223F9C&quot;/&gt;&lt;wsp:rsid wsp:val=&quot;00223FFC&quot;/&gt;&lt;wsp:rsid wsp:val=&quot;002249B1&quot;/&gt;&lt;wsp:rsid wsp:val=&quot;00224B87&quot;/&gt;&lt;wsp:rsid wsp:val=&quot;002252A4&quot;/&gt;&lt;wsp:rsid wsp:val=&quot;002256D7&quot;/&gt;&lt;wsp:rsid wsp:val=&quot;002256F8&quot;/&gt;&lt;wsp:rsid wsp:val=&quot;0022588E&quot;/&gt;&lt;wsp:rsid wsp:val=&quot;00226142&quot;/&gt;&lt;wsp:rsid wsp:val=&quot;00226165&quot;/&gt;&lt;wsp:rsid wsp:val=&quot;0022658A&quot;/&gt;&lt;wsp:rsid wsp:val=&quot;00226901&quot;/&gt;&lt;wsp:rsid wsp:val=&quot;00226C9A&quot;/&gt;&lt;wsp:rsid wsp:val=&quot;00226CAA&quot;/&gt;&lt;wsp:rsid wsp:val=&quot;00226E16&quot;/&gt;&lt;wsp:rsid wsp:val=&quot;00226F0D&quot;/&gt;&lt;wsp:rsid wsp:val=&quot;00226FCA&quot;/&gt;&lt;wsp:rsid wsp:val=&quot;00227818&quot;/&gt;&lt;wsp:rsid wsp:val=&quot;0022783D&quot;/&gt;&lt;wsp:rsid wsp:val=&quot;00227A0E&quot;/&gt;&lt;wsp:rsid wsp:val=&quot;00227CA3&quot;/&gt;&lt;wsp:rsid wsp:val=&quot;00227CAC&quot;/&gt;&lt;wsp:rsid wsp:val=&quot;00227F09&quot;/&gt;&lt;wsp:rsid wsp:val=&quot;002300C7&quot;/&gt;&lt;wsp:rsid wsp:val=&quot;002300D2&quot;/&gt;&lt;wsp:rsid wsp:val=&quot;00230153&quot;/&gt;&lt;wsp:rsid wsp:val=&quot;00230303&quot;/&gt;&lt;wsp:rsid wsp:val=&quot;00230718&quot;/&gt;&lt;wsp:rsid wsp:val=&quot;00230D26&quot;/&gt;&lt;wsp:rsid wsp:val=&quot;002314F1&quot;/&gt;&lt;wsp:rsid wsp:val=&quot;00231683&quot;/&gt;&lt;wsp:rsid wsp:val=&quot;00231CB7&quot;/&gt;&lt;wsp:rsid wsp:val=&quot;00231EF3&quot;/&gt;&lt;wsp:rsid wsp:val=&quot;0023208D&quot;/&gt;&lt;wsp:rsid wsp:val=&quot;00232266&quot;/&gt;&lt;wsp:rsid wsp:val=&quot;002324A6&quot;/&gt;&lt;wsp:rsid wsp:val=&quot;002325A1&quot;/&gt;&lt;wsp:rsid wsp:val=&quot;00232989&quot;/&gt;&lt;wsp:rsid wsp:val=&quot;00232A0A&quot;/&gt;&lt;wsp:rsid wsp:val=&quot;00232B15&quot;/&gt;&lt;wsp:rsid wsp:val=&quot;00232B66&quot;/&gt;&lt;wsp:rsid wsp:val=&quot;00232E63&quot;/&gt;&lt;wsp:rsid wsp:val=&quot;00233149&quot;/&gt;&lt;wsp:rsid wsp:val=&quot;0023329A&quot;/&gt;&lt;wsp:rsid wsp:val=&quot;002333DE&quot;/&gt;&lt;wsp:rsid wsp:val=&quot;00233477&quot;/&gt;&lt;wsp:rsid wsp:val=&quot;00233F42&quot;/&gt;&lt;wsp:rsid wsp:val=&quot;002348CB&quot;/&gt;&lt;wsp:rsid wsp:val=&quot;002349BD&quot;/&gt;&lt;wsp:rsid wsp:val=&quot;00234A0C&quot;/&gt;&lt;wsp:rsid wsp:val=&quot;0023556F&quot;/&gt;&lt;wsp:rsid wsp:val=&quot;00235ACA&quot;/&gt;&lt;wsp:rsid wsp:val=&quot;00236590&quot;/&gt;&lt;wsp:rsid wsp:val=&quot;00236846&quot;/&gt;&lt;wsp:rsid wsp:val=&quot;00236C23&quot;/&gt;&lt;wsp:rsid wsp:val=&quot;00236C72&quot;/&gt;&lt;wsp:rsid wsp:val=&quot;00236C7C&quot;/&gt;&lt;wsp:rsid wsp:val=&quot;00236D67&quot;/&gt;&lt;wsp:rsid wsp:val=&quot;0023725F&quot;/&gt;&lt;wsp:rsid wsp:val=&quot;00237F39&quot;/&gt;&lt;wsp:rsid wsp:val=&quot;002402F2&quot;/&gt;&lt;wsp:rsid wsp:val=&quot;002413BD&quot;/&gt;&lt;wsp:rsid wsp:val=&quot;00241542&quot;/&gt;&lt;wsp:rsid wsp:val=&quot;0024185C&quot;/&gt;&lt;wsp:rsid wsp:val=&quot;002418E7&quot;/&gt;&lt;wsp:rsid wsp:val=&quot;00241A04&quot;/&gt;&lt;wsp:rsid wsp:val=&quot;00241A62&quot;/&gt;&lt;wsp:rsid wsp:val=&quot;00241B80&quot;/&gt;&lt;wsp:rsid wsp:val=&quot;00241C03&quot;/&gt;&lt;wsp:rsid wsp:val=&quot;00241F45&quot;/&gt;&lt;wsp:rsid wsp:val=&quot;00241F5F&quot;/&gt;&lt;wsp:rsid wsp:val=&quot;0024244A&quot;/&gt;&lt;wsp:rsid wsp:val=&quot;0024265F&quot;/&gt;&lt;wsp:rsid wsp:val=&quot;002426C6&quot;/&gt;&lt;wsp:rsid wsp:val=&quot;002427E0&quot;/&gt;&lt;wsp:rsid wsp:val=&quot;00242B14&quot;/&gt;&lt;wsp:rsid wsp:val=&quot;00242C0C&quot;/&gt;&lt;wsp:rsid wsp:val=&quot;00242E31&quot;/&gt;&lt;wsp:rsid wsp:val=&quot;0024301C&quot;/&gt;&lt;wsp:rsid wsp:val=&quot;0024379A&quot;/&gt;&lt;wsp:rsid wsp:val=&quot;00243812&quot;/&gt;&lt;wsp:rsid wsp:val=&quot;00243ACD&quot;/&gt;&lt;wsp:rsid wsp:val=&quot;00243BBE&quot;/&gt;&lt;wsp:rsid wsp:val=&quot;00243C6C&quot;/&gt;&lt;wsp:rsid wsp:val=&quot;0024489F&quot;/&gt;&lt;wsp:rsid wsp:val=&quot;00244FD7&quot;/&gt;&lt;wsp:rsid wsp:val=&quot;0024598B&quot;/&gt;&lt;wsp:rsid wsp:val=&quot;00245AEB&quot;/&gt;&lt;wsp:rsid wsp:val=&quot;002461EA&quot;/&gt;&lt;wsp:rsid wsp:val=&quot;002462E4&quot;/&gt;&lt;wsp:rsid wsp:val=&quot;002467DF&quot;/&gt;&lt;wsp:rsid wsp:val=&quot;0024687E&quot;/&gt;&lt;wsp:rsid wsp:val=&quot;002470B2&quot;/&gt;&lt;wsp:rsid wsp:val=&quot;00247351&quot;/&gt;&lt;wsp:rsid wsp:val=&quot;0024791D&quot;/&gt;&lt;wsp:rsid wsp:val=&quot;00247ACC&quot;/&gt;&lt;wsp:rsid wsp:val=&quot;00247FB1&quot;/&gt;&lt;wsp:rsid wsp:val=&quot;00250170&quot;/&gt;&lt;wsp:rsid wsp:val=&quot;0025022B&quot;/&gt;&lt;wsp:rsid wsp:val=&quot;00251027&quot;/&gt;&lt;wsp:rsid wsp:val=&quot;002510E4&quot;/&gt;&lt;wsp:rsid wsp:val=&quot;0025119D&quot;/&gt;&lt;wsp:rsid wsp:val=&quot;002512E4&quot;/&gt;&lt;wsp:rsid wsp:val=&quot;0025156F&quot;/&gt;&lt;wsp:rsid wsp:val=&quot;00251989&quot;/&gt;&lt;wsp:rsid wsp:val=&quot;00251B43&quot;/&gt;&lt;wsp:rsid wsp:val=&quot;00251FAE&quot;/&gt;&lt;wsp:rsid wsp:val=&quot;002520F8&quot;/&gt;&lt;wsp:rsid wsp:val=&quot;0025211D&quot;/&gt;&lt;wsp:rsid wsp:val=&quot;002526AA&quot;/&gt;&lt;wsp:rsid wsp:val=&quot;0025346F&quot;/&gt;&lt;wsp:rsid wsp:val=&quot;002535C1&quot;/&gt;&lt;wsp:rsid wsp:val=&quot;002535F2&quot;/&gt;&lt;wsp:rsid wsp:val=&quot;00253A28&quot;/&gt;&lt;wsp:rsid wsp:val=&quot;00253B29&quot;/&gt;&lt;wsp:rsid wsp:val=&quot;002540E7&quot;/&gt;&lt;wsp:rsid wsp:val=&quot;0025414B&quot;/&gt;&lt;wsp:rsid wsp:val=&quot;002543FB&quot;/&gt;&lt;wsp:rsid wsp:val=&quot;00254992&quot;/&gt;&lt;wsp:rsid wsp:val=&quot;00254A31&quot;/&gt;&lt;wsp:rsid wsp:val=&quot;00254B17&quot;/&gt;&lt;wsp:rsid wsp:val=&quot;0025529C&quot;/&gt;&lt;wsp:rsid wsp:val=&quot;0025553E&quot;/&gt;&lt;wsp:rsid wsp:val=&quot;002559DA&quot;/&gt;&lt;wsp:rsid wsp:val=&quot;00255A5F&quot;/&gt;&lt;wsp:rsid wsp:val=&quot;002567B3&quot;/&gt;&lt;wsp:rsid wsp:val=&quot;002567D9&quot;/&gt;&lt;wsp:rsid wsp:val=&quot;00257074&quot;/&gt;&lt;wsp:rsid wsp:val=&quot;0025716B&quot;/&gt;&lt;wsp:rsid wsp:val=&quot;002572DE&quot;/&gt;&lt;wsp:rsid wsp:val=&quot;002574AB&quot;/&gt;&lt;wsp:rsid wsp:val=&quot;00257710&quot;/&gt;&lt;wsp:rsid wsp:val=&quot;00257D51&quot;/&gt;&lt;wsp:rsid wsp:val=&quot;00260D34&quot;/&gt;&lt;wsp:rsid wsp:val=&quot;00260E55&quot;/&gt;&lt;wsp:rsid wsp:val=&quot;002617C9&quot;/&gt;&lt;wsp:rsid wsp:val=&quot;002618C2&quot;/&gt;&lt;wsp:rsid wsp:val=&quot;00261D85&quot;/&gt;&lt;wsp:rsid wsp:val=&quot;00262087&quot;/&gt;&lt;wsp:rsid wsp:val=&quot;0026227B&quot;/&gt;&lt;wsp:rsid wsp:val=&quot;00262456&quot;/&gt;&lt;wsp:rsid wsp:val=&quot;0026246C&quot;/&gt;&lt;wsp:rsid wsp:val=&quot;002624A1&quot;/&gt;&lt;wsp:rsid wsp:val=&quot;002627F3&quot;/&gt;&lt;wsp:rsid wsp:val=&quot;00262BD7&quot;/&gt;&lt;wsp:rsid wsp:val=&quot;00262C4D&quot;/&gt;&lt;wsp:rsid wsp:val=&quot;0026359A&quot;/&gt;&lt;wsp:rsid wsp:val=&quot;002636A2&quot;/&gt;&lt;wsp:rsid wsp:val=&quot;002636E9&quot;/&gt;&lt;wsp:rsid wsp:val=&quot;0026396F&quot;/&gt;&lt;wsp:rsid wsp:val=&quot;00263A8D&quot;/&gt;&lt;wsp:rsid wsp:val=&quot;00263C47&quot;/&gt;&lt;wsp:rsid wsp:val=&quot;00263C9F&quot;/&gt;&lt;wsp:rsid wsp:val=&quot;00263E47&quot;/&gt;&lt;wsp:rsid wsp:val=&quot;00263FB4&quot;/&gt;&lt;wsp:rsid wsp:val=&quot;002640D0&quot;/&gt;&lt;wsp:rsid wsp:val=&quot;002643DA&quot;/&gt;&lt;wsp:rsid wsp:val=&quot;002644E2&quot;/&gt;&lt;wsp:rsid wsp:val=&quot;0026461E&quot;/&gt;&lt;wsp:rsid wsp:val=&quot;00264E91&quot;/&gt;&lt;wsp:rsid wsp:val=&quot;00264F6D&quot;/&gt;&lt;wsp:rsid wsp:val=&quot;002655F6&quot;/&gt;&lt;wsp:rsid wsp:val=&quot;0026560C&quot;/&gt;&lt;wsp:rsid wsp:val=&quot;00265FF0&quot;/&gt;&lt;wsp:rsid wsp:val=&quot;00266E09&quot;/&gt;&lt;wsp:rsid wsp:val=&quot;0026739F&quot;/&gt;&lt;wsp:rsid wsp:val=&quot;00267640&quot;/&gt;&lt;wsp:rsid wsp:val=&quot;00270029&quot;/&gt;&lt;wsp:rsid wsp:val=&quot;0027018D&quot;/&gt;&lt;wsp:rsid wsp:val=&quot;00270611&quot;/&gt;&lt;wsp:rsid wsp:val=&quot;00270697&quot;/&gt;&lt;wsp:rsid wsp:val=&quot;00270755&quot;/&gt;&lt;wsp:rsid wsp:val=&quot;00270B47&quot;/&gt;&lt;wsp:rsid wsp:val=&quot;00270D59&quot;/&gt;&lt;wsp:rsid wsp:val=&quot;00271289&quot;/&gt;&lt;wsp:rsid wsp:val=&quot;0027134C&quot;/&gt;&lt;wsp:rsid wsp:val=&quot;00271593&quot;/&gt;&lt;wsp:rsid wsp:val=&quot;002715A6&quot;/&gt;&lt;wsp:rsid wsp:val=&quot;0027161F&quot;/&gt;&lt;wsp:rsid wsp:val=&quot;00271D4D&quot;/&gt;&lt;wsp:rsid wsp:val=&quot;00271E47&quot;/&gt;&lt;wsp:rsid wsp:val=&quot;0027224A&quot;/&gt;&lt;wsp:rsid wsp:val=&quot;002724EF&quot;/&gt;&lt;wsp:rsid wsp:val=&quot;002724F4&quot;/&gt;&lt;wsp:rsid wsp:val=&quot;00272C48&quot;/&gt;&lt;wsp:rsid wsp:val=&quot;002732D0&quot;/&gt;&lt;wsp:rsid wsp:val=&quot;002736D7&quot;/&gt;&lt;wsp:rsid wsp:val=&quot;0027373B&quot;/&gt;&lt;wsp:rsid wsp:val=&quot;00274050&quot;/&gt;&lt;wsp:rsid wsp:val=&quot;00274196&quot;/&gt;&lt;wsp:rsid wsp:val=&quot;00274205&quot;/&gt;&lt;wsp:rsid wsp:val=&quot;002744A3&quot;/&gt;&lt;wsp:rsid wsp:val=&quot;002744AA&quot;/&gt;&lt;wsp:rsid wsp:val=&quot;002747BF&quot;/&gt;&lt;wsp:rsid wsp:val=&quot;002747D0&quot;/&gt;&lt;wsp:rsid wsp:val=&quot;002748ED&quot;/&gt;&lt;wsp:rsid wsp:val=&quot;00274955&quot;/&gt;&lt;wsp:rsid wsp:val=&quot;0027499C&quot;/&gt;&lt;wsp:rsid wsp:val=&quot;00274A6C&quot;/&gt;&lt;wsp:rsid wsp:val=&quot;00274C83&quot;/&gt;&lt;wsp:rsid wsp:val=&quot;00274CDA&quot;/&gt;&lt;wsp:rsid wsp:val=&quot;0027513F&quot;/&gt;&lt;wsp:rsid wsp:val=&quot;00275142&quot;/&gt;&lt;wsp:rsid wsp:val=&quot;00275637&quot;/&gt;&lt;wsp:rsid wsp:val=&quot;002757D0&quot;/&gt;&lt;wsp:rsid wsp:val=&quot;00275A5D&quot;/&gt;&lt;wsp:rsid wsp:val=&quot;00275AD2&quot;/&gt;&lt;wsp:rsid wsp:val=&quot;0027613B&quot;/&gt;&lt;wsp:rsid wsp:val=&quot;0027644C&quot;/&gt;&lt;wsp:rsid wsp:val=&quot;002765AD&quot;/&gt;&lt;wsp:rsid wsp:val=&quot;002767D0&quot;/&gt;&lt;wsp:rsid wsp:val=&quot;00276D6C&quot;/&gt;&lt;wsp:rsid wsp:val=&quot;00276F23&quot;/&gt;&lt;wsp:rsid wsp:val=&quot;0027716C&quot;/&gt;&lt;wsp:rsid wsp:val=&quot;002779DD&quot;/&gt;&lt;wsp:rsid wsp:val=&quot;00277F07&quot;/&gt;&lt;wsp:rsid wsp:val=&quot;0028013C&quot;/&gt;&lt;wsp:rsid wsp:val=&quot;002803DE&quot;/&gt;&lt;wsp:rsid wsp:val=&quot;002804A3&quot;/&gt;&lt;wsp:rsid wsp:val=&quot;00280893&quot;/&gt;&lt;wsp:rsid wsp:val=&quot;002812C9&quot;/&gt;&lt;wsp:rsid wsp:val=&quot;002814EC&quot;/&gt;&lt;wsp:rsid wsp:val=&quot;0028166F&quot;/&gt;&lt;wsp:rsid wsp:val=&quot;00281860&quot;/&gt;&lt;wsp:rsid wsp:val=&quot;00281952&quot;/&gt;&lt;wsp:rsid wsp:val=&quot;00282A78&quot;/&gt;&lt;wsp:rsid wsp:val=&quot;00282B4B&quot;/&gt;&lt;wsp:rsid wsp:val=&quot;00282BDA&quot;/&gt;&lt;wsp:rsid wsp:val=&quot;00282E4D&quot;/&gt;&lt;wsp:rsid wsp:val=&quot;002832E0&quot;/&gt;&lt;wsp:rsid wsp:val=&quot;002833BB&quot;/&gt;&lt;wsp:rsid wsp:val=&quot;0028346E&quot;/&gt;&lt;wsp:rsid wsp:val=&quot;002835C7&quot;/&gt;&lt;wsp:rsid wsp:val=&quot;00284392&quot;/&gt;&lt;wsp:rsid wsp:val=&quot;00284567&quot;/&gt;&lt;wsp:rsid wsp:val=&quot;00284A7F&quot;/&gt;&lt;wsp:rsid wsp:val=&quot;00284BC4&quot;/&gt;&lt;wsp:rsid wsp:val=&quot;00284C0D&quot;/&gt;&lt;wsp:rsid wsp:val=&quot;00285346&quot;/&gt;&lt;wsp:rsid wsp:val=&quot;0028553F&quot;/&gt;&lt;wsp:rsid wsp:val=&quot;00285701&quot;/&gt;&lt;wsp:rsid wsp:val=&quot;00285A7F&quot;/&gt;&lt;wsp:rsid wsp:val=&quot;00285AF2&quot;/&gt;&lt;wsp:rsid wsp:val=&quot;00285FC0&quot;/&gt;&lt;wsp:rsid wsp:val=&quot;00285FC5&quot;/&gt;&lt;wsp:rsid wsp:val=&quot;0028641F&quot;/&gt;&lt;wsp:rsid wsp:val=&quot;002867AA&quot;/&gt;&lt;wsp:rsid wsp:val=&quot;002869F5&quot;/&gt;&lt;wsp:rsid wsp:val=&quot;00286F24&quot;/&gt;&lt;wsp:rsid wsp:val=&quot;00286F32&quot;/&gt;&lt;wsp:rsid wsp:val=&quot;00287223&quot;/&gt;&lt;wsp:rsid wsp:val=&quot;00287681&quot;/&gt;&lt;wsp:rsid wsp:val=&quot;00287EBD&quot;/&gt;&lt;wsp:rsid wsp:val=&quot;00287F8E&quot;/&gt;&lt;wsp:rsid wsp:val=&quot;0029008F&quot;/&gt;&lt;wsp:rsid wsp:val=&quot;0029079A&quot;/&gt;&lt;wsp:rsid wsp:val=&quot;00290A2D&quot;/&gt;&lt;wsp:rsid wsp:val=&quot;002910F2&quot;/&gt;&lt;wsp:rsid wsp:val=&quot;002911F5&quot;/&gt;&lt;wsp:rsid wsp:val=&quot;00291250&quot;/&gt;&lt;wsp:rsid wsp:val=&quot;0029135F&quot;/&gt;&lt;wsp:rsid wsp:val=&quot;0029196D&quot;/&gt;&lt;wsp:rsid wsp:val=&quot;00291A01&quot;/&gt;&lt;wsp:rsid wsp:val=&quot;00291A62&quot;/&gt;&lt;wsp:rsid wsp:val=&quot;00291F28&quot;/&gt;&lt;wsp:rsid wsp:val=&quot;00292687&quot;/&gt;&lt;wsp:rsid wsp:val=&quot;002929B3&quot;/&gt;&lt;wsp:rsid wsp:val=&quot;00292B75&quot;/&gt;&lt;wsp:rsid wsp:val=&quot;00292E90&quot;/&gt;&lt;wsp:rsid wsp:val=&quot;00292F01&quot;/&gt;&lt;wsp:rsid wsp:val=&quot;0029342F&quot;/&gt;&lt;wsp:rsid wsp:val=&quot;002934B1&quot;/&gt;&lt;wsp:rsid wsp:val=&quot;00293626&quot;/&gt;&lt;wsp:rsid wsp:val=&quot;00293B87&quot;/&gt;&lt;wsp:rsid wsp:val=&quot;00293C9E&quot;/&gt;&lt;wsp:rsid wsp:val=&quot;00293DAA&quot;/&gt;&lt;wsp:rsid wsp:val=&quot;00293E69&quot;/&gt;&lt;wsp:rsid wsp:val=&quot;00294076&quot;/&gt;&lt;wsp:rsid wsp:val=&quot;00294094&quot;/&gt;&lt;wsp:rsid wsp:val=&quot;002942B9&quot;/&gt;&lt;wsp:rsid wsp:val=&quot;002944AD&quot;/&gt;&lt;wsp:rsid wsp:val=&quot;00294D12&quot;/&gt;&lt;wsp:rsid wsp:val=&quot;00295814&quot;/&gt;&lt;wsp:rsid wsp:val=&quot;00295EBF&quot;/&gt;&lt;wsp:rsid wsp:val=&quot;00295FCC&quot;/&gt;&lt;wsp:rsid wsp:val=&quot;00296318&quot;/&gt;&lt;wsp:rsid wsp:val=&quot;002963ED&quot;/&gt;&lt;wsp:rsid wsp:val=&quot;00296B3C&quot;/&gt;&lt;wsp:rsid wsp:val=&quot;002976EF&quot;/&gt;&lt;wsp:rsid wsp:val=&quot;00297F6D&quot;/&gt;&lt;wsp:rsid wsp:val=&quot;002A017C&quot;/&gt;&lt;wsp:rsid wsp:val=&quot;002A043F&quot;/&gt;&lt;wsp:rsid wsp:val=&quot;002A082D&quot;/&gt;&lt;wsp:rsid wsp:val=&quot;002A0AC1&quot;/&gt;&lt;wsp:rsid wsp:val=&quot;002A1683&quot;/&gt;&lt;wsp:rsid wsp:val=&quot;002A18F0&quot;/&gt;&lt;wsp:rsid wsp:val=&quot;002A195B&quot;/&gt;&lt;wsp:rsid wsp:val=&quot;002A1B4D&quot;/&gt;&lt;wsp:rsid wsp:val=&quot;002A1D8E&quot;/&gt;&lt;wsp:rsid wsp:val=&quot;002A226C&quot;/&gt;&lt;wsp:rsid wsp:val=&quot;002A25D6&quot;/&gt;&lt;wsp:rsid wsp:val=&quot;002A287D&quot;/&gt;&lt;wsp:rsid wsp:val=&quot;002A30A8&quot;/&gt;&lt;wsp:rsid wsp:val=&quot;002A325C&quot;/&gt;&lt;wsp:rsid wsp:val=&quot;002A354B&quot;/&gt;&lt;wsp:rsid wsp:val=&quot;002A3C55&quot;/&gt;&lt;wsp:rsid wsp:val=&quot;002A3E93&quot;/&gt;&lt;wsp:rsid wsp:val=&quot;002A40B5&quot;/&gt;&lt;wsp:rsid wsp:val=&quot;002A40BF&quot;/&gt;&lt;wsp:rsid wsp:val=&quot;002A438B&quot;/&gt;&lt;wsp:rsid wsp:val=&quot;002A43DA&quot;/&gt;&lt;wsp:rsid wsp:val=&quot;002A4413&quot;/&gt;&lt;wsp:rsid wsp:val=&quot;002A47C6&quot;/&gt;&lt;wsp:rsid wsp:val=&quot;002A4B45&quot;/&gt;&lt;wsp:rsid wsp:val=&quot;002A4F64&quot;/&gt;&lt;wsp:rsid wsp:val=&quot;002A4FAA&quot;/&gt;&lt;wsp:rsid wsp:val=&quot;002A543C&quot;/&gt;&lt;wsp:rsid wsp:val=&quot;002A5850&quot;/&gt;&lt;wsp:rsid wsp:val=&quot;002A5E2B&quot;/&gt;&lt;wsp:rsid wsp:val=&quot;002A60AB&quot;/&gt;&lt;wsp:rsid wsp:val=&quot;002A62D4&quot;/&gt;&lt;wsp:rsid wsp:val=&quot;002A6559&quot;/&gt;&lt;wsp:rsid wsp:val=&quot;002A72E4&quot;/&gt;&lt;wsp:rsid wsp:val=&quot;002A7464&quot;/&gt;&lt;wsp:rsid wsp:val=&quot;002A753D&quot;/&gt;&lt;wsp:rsid wsp:val=&quot;002A76F0&quot;/&gt;&lt;wsp:rsid wsp:val=&quot;002A78B2&quot;/&gt;&lt;wsp:rsid wsp:val=&quot;002A7969&quot;/&gt;&lt;wsp:rsid wsp:val=&quot;002A7DE4&quot;/&gt;&lt;wsp:rsid wsp:val=&quot;002B07B5&quot;/&gt;&lt;wsp:rsid wsp:val=&quot;002B07D5&quot;/&gt;&lt;wsp:rsid wsp:val=&quot;002B0B06&quot;/&gt;&lt;wsp:rsid wsp:val=&quot;002B0B36&quot;/&gt;&lt;wsp:rsid wsp:val=&quot;002B1469&quot;/&gt;&lt;wsp:rsid wsp:val=&quot;002B21F2&quot;/&gt;&lt;wsp:rsid wsp:val=&quot;002B22FF&quot;/&gt;&lt;wsp:rsid wsp:val=&quot;002B2487&quot;/&gt;&lt;wsp:rsid wsp:val=&quot;002B2750&quot;/&gt;&lt;wsp:rsid wsp:val=&quot;002B2CDA&quot;/&gt;&lt;wsp:rsid wsp:val=&quot;002B3B40&quot;/&gt;&lt;wsp:rsid wsp:val=&quot;002B3B45&quot;/&gt;&lt;wsp:rsid wsp:val=&quot;002B3C6E&quot;/&gt;&lt;wsp:rsid wsp:val=&quot;002B4636&quot;/&gt;&lt;wsp:rsid wsp:val=&quot;002B5679&quot;/&gt;&lt;wsp:rsid wsp:val=&quot;002B589F&quot;/&gt;&lt;wsp:rsid wsp:val=&quot;002B5CDE&quot;/&gt;&lt;wsp:rsid wsp:val=&quot;002B6271&quot;/&gt;&lt;wsp:rsid wsp:val=&quot;002B63AB&quot;/&gt;&lt;wsp:rsid wsp:val=&quot;002B6969&quot;/&gt;&lt;wsp:rsid wsp:val=&quot;002B6B15&quot;/&gt;&lt;wsp:rsid wsp:val=&quot;002B6C6C&quot;/&gt;&lt;wsp:rsid wsp:val=&quot;002B6E38&quot;/&gt;&lt;wsp:rsid wsp:val=&quot;002B7093&quot;/&gt;&lt;wsp:rsid wsp:val=&quot;002C028F&quot;/&gt;&lt;wsp:rsid wsp:val=&quot;002C02EC&quot;/&gt;&lt;wsp:rsid wsp:val=&quot;002C02EF&quot;/&gt;&lt;wsp:rsid wsp:val=&quot;002C0435&quot;/&gt;&lt;wsp:rsid wsp:val=&quot;002C0475&quot;/&gt;&lt;wsp:rsid wsp:val=&quot;002C049C&quot;/&gt;&lt;wsp:rsid wsp:val=&quot;002C06A2&quot;/&gt;&lt;wsp:rsid wsp:val=&quot;002C0797&quot;/&gt;&lt;wsp:rsid wsp:val=&quot;002C09C9&quot;/&gt;&lt;wsp:rsid wsp:val=&quot;002C1425&quot;/&gt;&lt;wsp:rsid wsp:val=&quot;002C196B&quot;/&gt;&lt;wsp:rsid wsp:val=&quot;002C1A16&quot;/&gt;&lt;wsp:rsid wsp:val=&quot;002C1D69&quot;/&gt;&lt;wsp:rsid wsp:val=&quot;002C2023&quot;/&gt;&lt;wsp:rsid wsp:val=&quot;002C2E78&quot;/&gt;&lt;wsp:rsid wsp:val=&quot;002C341B&quot;/&gt;&lt;wsp:rsid wsp:val=&quot;002C36FF&quot;/&gt;&lt;wsp:rsid wsp:val=&quot;002C3863&quot;/&gt;&lt;wsp:rsid wsp:val=&quot;002C38D3&quot;/&gt;&lt;wsp:rsid wsp:val=&quot;002C399A&quot;/&gt;&lt;wsp:rsid wsp:val=&quot;002C3F6E&quot;/&gt;&lt;wsp:rsid wsp:val=&quot;002C40E3&quot;/&gt;&lt;wsp:rsid wsp:val=&quot;002C426B&quot;/&gt;&lt;wsp:rsid wsp:val=&quot;002C4910&quot;/&gt;&lt;wsp:rsid wsp:val=&quot;002C51F4&quot;/&gt;&lt;wsp:rsid wsp:val=&quot;002C52BD&quot;/&gt;&lt;wsp:rsid wsp:val=&quot;002C5465&quot;/&gt;&lt;wsp:rsid wsp:val=&quot;002C580B&quot;/&gt;&lt;wsp:rsid wsp:val=&quot;002C5A9A&quot;/&gt;&lt;wsp:rsid wsp:val=&quot;002C5D82&quot;/&gt;&lt;wsp:rsid wsp:val=&quot;002C5F99&quot;/&gt;&lt;wsp:rsid wsp:val=&quot;002C6221&quot;/&gt;&lt;wsp:rsid wsp:val=&quot;002C6936&quot;/&gt;&lt;wsp:rsid wsp:val=&quot;002C6EF6&quot;/&gt;&lt;wsp:rsid wsp:val=&quot;002C70A1&quot;/&gt;&lt;wsp:rsid wsp:val=&quot;002C70EB&quot;/&gt;&lt;wsp:rsid wsp:val=&quot;002C71BC&quot;/&gt;&lt;wsp:rsid wsp:val=&quot;002C7CB3&quot;/&gt;&lt;wsp:rsid wsp:val=&quot;002D01B6&quot;/&gt;&lt;wsp:rsid wsp:val=&quot;002D051A&quot;/&gt;&lt;wsp:rsid wsp:val=&quot;002D066C&quot;/&gt;&lt;wsp:rsid wsp:val=&quot;002D0BD7&quot;/&gt;&lt;wsp:rsid wsp:val=&quot;002D0D75&quot;/&gt;&lt;wsp:rsid wsp:val=&quot;002D17A6&quot;/&gt;&lt;wsp:rsid wsp:val=&quot;002D1F87&quot;/&gt;&lt;wsp:rsid wsp:val=&quot;002D2373&quot;/&gt;&lt;wsp:rsid wsp:val=&quot;002D26F6&quot;/&gt;&lt;wsp:rsid wsp:val=&quot;002D2A19&quot;/&gt;&lt;wsp:rsid wsp:val=&quot;002D2A84&quot;/&gt;&lt;wsp:rsid wsp:val=&quot;002D30BE&quot;/&gt;&lt;wsp:rsid wsp:val=&quot;002D325A&quot;/&gt;&lt;wsp:rsid wsp:val=&quot;002D3A06&quot;/&gt;&lt;wsp:rsid wsp:val=&quot;002D3E99&quot;/&gt;&lt;wsp:rsid wsp:val=&quot;002D3FAD&quot;/&gt;&lt;wsp:rsid wsp:val=&quot;002D4667&quot;/&gt;&lt;wsp:rsid wsp:val=&quot;002D48AC&quot;/&gt;&lt;wsp:rsid wsp:val=&quot;002D4A83&quot;/&gt;&lt;wsp:rsid wsp:val=&quot;002D4C2A&quot;/&gt;&lt;wsp:rsid wsp:val=&quot;002D5156&quot;/&gt;&lt;wsp:rsid wsp:val=&quot;002D5221&quot;/&gt;&lt;wsp:rsid wsp:val=&quot;002D54B2&quot;/&gt;&lt;wsp:rsid wsp:val=&quot;002D5AD5&quot;/&gt;&lt;wsp:rsid wsp:val=&quot;002D5F75&quot;/&gt;&lt;wsp:rsid wsp:val=&quot;002D60C7&quot;/&gt;&lt;wsp:rsid wsp:val=&quot;002D6528&quot;/&gt;&lt;wsp:rsid wsp:val=&quot;002D655D&quot;/&gt;&lt;wsp:rsid wsp:val=&quot;002D6810&quot;/&gt;&lt;wsp:rsid wsp:val=&quot;002D68CE&quot;/&gt;&lt;wsp:rsid wsp:val=&quot;002D68D1&quot;/&gt;&lt;wsp:rsid wsp:val=&quot;002D68F0&quot;/&gt;&lt;wsp:rsid wsp:val=&quot;002D6938&quot;/&gt;&lt;wsp:rsid wsp:val=&quot;002D6EA4&quot;/&gt;&lt;wsp:rsid wsp:val=&quot;002D6F4C&quot;/&gt;&lt;wsp:rsid wsp:val=&quot;002D712B&quot;/&gt;&lt;wsp:rsid wsp:val=&quot;002D7489&quot;/&gt;&lt;wsp:rsid wsp:val=&quot;002D75E1&quot;/&gt;&lt;wsp:rsid wsp:val=&quot;002D7852&quot;/&gt;&lt;wsp:rsid wsp:val=&quot;002D7876&quot;/&gt;&lt;wsp:rsid wsp:val=&quot;002D7F7C&quot;/&gt;&lt;wsp:rsid wsp:val=&quot;002E00F5&quot;/&gt;&lt;wsp:rsid wsp:val=&quot;002E0245&quot;/&gt;&lt;wsp:rsid wsp:val=&quot;002E09BB&quot;/&gt;&lt;wsp:rsid wsp:val=&quot;002E10DC&quot;/&gt;&lt;wsp:rsid wsp:val=&quot;002E155F&quot;/&gt;&lt;wsp:rsid wsp:val=&quot;002E1B96&quot;/&gt;&lt;wsp:rsid wsp:val=&quot;002E1D4F&quot;/&gt;&lt;wsp:rsid wsp:val=&quot;002E1F15&quot;/&gt;&lt;wsp:rsid wsp:val=&quot;002E1F17&quot;/&gt;&lt;wsp:rsid wsp:val=&quot;002E205D&quot;/&gt;&lt;wsp:rsid wsp:val=&quot;002E22DB&quot;/&gt;&lt;wsp:rsid wsp:val=&quot;002E28BB&quot;/&gt;&lt;wsp:rsid wsp:val=&quot;002E2C03&quot;/&gt;&lt;wsp:rsid wsp:val=&quot;002E2EC0&quot;/&gt;&lt;wsp:rsid wsp:val=&quot;002E3387&quot;/&gt;&lt;wsp:rsid wsp:val=&quot;002E34D6&quot;/&gt;&lt;wsp:rsid wsp:val=&quot;002E3B88&quot;/&gt;&lt;wsp:rsid wsp:val=&quot;002E3D5B&quot;/&gt;&lt;wsp:rsid wsp:val=&quot;002E3DAD&quot;/&gt;&lt;wsp:rsid wsp:val=&quot;002E3ED7&quot;/&gt;&lt;wsp:rsid wsp:val=&quot;002E4583&quot;/&gt;&lt;wsp:rsid wsp:val=&quot;002E4707&quot;/&gt;&lt;wsp:rsid wsp:val=&quot;002E4B35&quot;/&gt;&lt;wsp:rsid wsp:val=&quot;002E542B&quot;/&gt;&lt;wsp:rsid wsp:val=&quot;002E6D9B&quot;/&gt;&lt;wsp:rsid wsp:val=&quot;002E7A1F&quot;/&gt;&lt;wsp:rsid wsp:val=&quot;002E7AE0&quot;/&gt;&lt;wsp:rsid wsp:val=&quot;002E7B93&quot;/&gt;&lt;wsp:rsid wsp:val=&quot;002E7F73&quot;/&gt;&lt;wsp:rsid wsp:val=&quot;002F0117&quot;/&gt;&lt;wsp:rsid wsp:val=&quot;002F033F&quot;/&gt;&lt;wsp:rsid wsp:val=&quot;002F0447&quot;/&gt;&lt;wsp:rsid wsp:val=&quot;002F046F&quot;/&gt;&lt;wsp:rsid wsp:val=&quot;002F0546&quot;/&gt;&lt;wsp:rsid wsp:val=&quot;002F0E28&quot;/&gt;&lt;wsp:rsid wsp:val=&quot;002F0F50&quot;/&gt;&lt;wsp:rsid wsp:val=&quot;002F0FBF&quot;/&gt;&lt;wsp:rsid wsp:val=&quot;002F12A5&quot;/&gt;&lt;wsp:rsid wsp:val=&quot;002F1589&quot;/&gt;&lt;wsp:rsid wsp:val=&quot;002F17EF&quot;/&gt;&lt;wsp:rsid wsp:val=&quot;002F1969&quot;/&gt;&lt;wsp:rsid wsp:val=&quot;002F1FC7&quot;/&gt;&lt;wsp:rsid wsp:val=&quot;002F2886&quot;/&gt;&lt;wsp:rsid wsp:val=&quot;002F309F&quot;/&gt;&lt;wsp:rsid wsp:val=&quot;002F33C7&quot;/&gt;&lt;wsp:rsid wsp:val=&quot;002F3538&quot;/&gt;&lt;wsp:rsid wsp:val=&quot;002F3CF1&quot;/&gt;&lt;wsp:rsid wsp:val=&quot;002F3D37&quot;/&gt;&lt;wsp:rsid wsp:val=&quot;002F42BA&quot;/&gt;&lt;wsp:rsid wsp:val=&quot;002F452B&quot;/&gt;&lt;wsp:rsid wsp:val=&quot;002F4635&quot;/&gt;&lt;wsp:rsid wsp:val=&quot;002F4CC1&quot;/&gt;&lt;wsp:rsid wsp:val=&quot;002F4E53&quot;/&gt;&lt;wsp:rsid wsp:val=&quot;002F4E82&quot;/&gt;&lt;wsp:rsid wsp:val=&quot;002F4FEE&quot;/&gt;&lt;wsp:rsid wsp:val=&quot;002F50B4&quot;/&gt;&lt;wsp:rsid wsp:val=&quot;002F5550&quot;/&gt;&lt;wsp:rsid wsp:val=&quot;002F57FD&quot;/&gt;&lt;wsp:rsid wsp:val=&quot;002F5DB6&quot;/&gt;&lt;wsp:rsid wsp:val=&quot;002F5EEF&quot;/&gt;&lt;wsp:rsid wsp:val=&quot;002F5FFD&quot;/&gt;&lt;wsp:rsid wsp:val=&quot;002F6510&quot;/&gt;&lt;wsp:rsid wsp:val=&quot;002F6A30&quot;/&gt;&lt;wsp:rsid wsp:val=&quot;002F6C71&quot;/&gt;&lt;wsp:rsid wsp:val=&quot;002F762A&quot;/&gt;&lt;wsp:rsid wsp:val=&quot;002F7CDE&quot;/&gt;&lt;wsp:rsid wsp:val=&quot;00300614&quot;/&gt;&lt;wsp:rsid wsp:val=&quot;0030079A&quot;/&gt;&lt;wsp:rsid wsp:val=&quot;00300A4F&quot;/&gt;&lt;wsp:rsid wsp:val=&quot;003011E0&quot;/&gt;&lt;wsp:rsid wsp:val=&quot;00301AB9&quot;/&gt;&lt;wsp:rsid wsp:val=&quot;00301E31&quot;/&gt;&lt;wsp:rsid wsp:val=&quot;003020F0&quot;/&gt;&lt;wsp:rsid wsp:val=&quot;003021E3&quot;/&gt;&lt;wsp:rsid wsp:val=&quot;003021EB&quot;/&gt;&lt;wsp:rsid wsp:val=&quot;0030234F&quot;/&gt;&lt;wsp:rsid wsp:val=&quot;003024F1&quot;/&gt;&lt;wsp:rsid wsp:val=&quot;00302C47&quot;/&gt;&lt;wsp:rsid wsp:val=&quot;00302DE7&quot;/&gt;&lt;wsp:rsid wsp:val=&quot;00302E2C&quot;/&gt;&lt;wsp:rsid wsp:val=&quot;0030381E&quot;/&gt;&lt;wsp:rsid wsp:val=&quot;00303848&quot;/&gt;&lt;wsp:rsid wsp:val=&quot;00303894&quot;/&gt;&lt;wsp:rsid wsp:val=&quot;00303A13&quot;/&gt;&lt;wsp:rsid wsp:val=&quot;00303D41&quot;/&gt;&lt;wsp:rsid wsp:val=&quot;0030400B&quot;/&gt;&lt;wsp:rsid wsp:val=&quot;003040BB&quot;/&gt;&lt;wsp:rsid wsp:val=&quot;003042E2&quot;/&gt;&lt;wsp:rsid wsp:val=&quot;00304465&quot;/&gt;&lt;wsp:rsid wsp:val=&quot;00304543&quot;/&gt;&lt;wsp:rsid wsp:val=&quot;00304659&quot;/&gt;&lt;wsp:rsid wsp:val=&quot;00304816&quot;/&gt;&lt;wsp:rsid wsp:val=&quot;00305216&quot;/&gt;&lt;wsp:rsid wsp:val=&quot;00305929&quot;/&gt;&lt;wsp:rsid wsp:val=&quot;00305A87&quot;/&gt;&lt;wsp:rsid wsp:val=&quot;003064CB&quot;/&gt;&lt;wsp:rsid wsp:val=&quot;00306A6A&quot;/&gt;&lt;wsp:rsid wsp:val=&quot;00306AA7&quot;/&gt;&lt;wsp:rsid wsp:val=&quot;00306CB1&quot;/&gt;&lt;wsp:rsid wsp:val=&quot;00306F51&quot;/&gt;&lt;wsp:rsid wsp:val=&quot;00306F9A&quot;/&gt;&lt;wsp:rsid wsp:val=&quot;00307117&quot;/&gt;&lt;wsp:rsid wsp:val=&quot;00307711&quot;/&gt;&lt;wsp:rsid wsp:val=&quot;003077AC&quot;/&gt;&lt;wsp:rsid wsp:val=&quot;00307B03&quot;/&gt;&lt;wsp:rsid wsp:val=&quot;0031013A&quot;/&gt;&lt;wsp:rsid wsp:val=&quot;0031018C&quot;/&gt;&lt;wsp:rsid wsp:val=&quot;003105B2&quot;/&gt;&lt;wsp:rsid wsp:val=&quot;00310832&quot;/&gt;&lt;wsp:rsid wsp:val=&quot;00310AC6&quot;/&gt;&lt;wsp:rsid wsp:val=&quot;00310E02&quot;/&gt;&lt;wsp:rsid wsp:val=&quot;003111BD&quot;/&gt;&lt;wsp:rsid wsp:val=&quot;00311355&quot;/&gt;&lt;wsp:rsid wsp:val=&quot;003118E0&quot;/&gt;&lt;wsp:rsid wsp:val=&quot;00311967&quot;/&gt;&lt;wsp:rsid wsp:val=&quot;00311BFF&quot;/&gt;&lt;wsp:rsid wsp:val=&quot;0031201D&quot;/&gt;&lt;wsp:rsid wsp:val=&quot;003124A8&quot;/&gt;&lt;wsp:rsid wsp:val=&quot;0031286E&quot;/&gt;&lt;wsp:rsid wsp:val=&quot;00312EEF&quot;/&gt;&lt;wsp:rsid wsp:val=&quot;00312FD4&quot;/&gt;&lt;wsp:rsid wsp:val=&quot;0031302C&quot;/&gt;&lt;wsp:rsid wsp:val=&quot;00313A91&quot;/&gt;&lt;wsp:rsid wsp:val=&quot;00313C73&quot;/&gt;&lt;wsp:rsid wsp:val=&quot;0031435C&quot;/&gt;&lt;wsp:rsid wsp:val=&quot;003144DA&quot;/&gt;&lt;wsp:rsid wsp:val=&quot;00314577&quot;/&gt;&lt;wsp:rsid wsp:val=&quot;003145BA&quot;/&gt;&lt;wsp:rsid wsp:val=&quot;003146B3&quot;/&gt;&lt;wsp:rsid wsp:val=&quot;003148C5&quot;/&gt;&lt;wsp:rsid wsp:val=&quot;003148E8&quot;/&gt;&lt;wsp:rsid wsp:val=&quot;0031494A&quot;/&gt;&lt;wsp:rsid wsp:val=&quot;00314D64&quot;/&gt;&lt;wsp:rsid wsp:val=&quot;003153AB&quot;/&gt;&lt;wsp:rsid wsp:val=&quot;00315C1F&quot;/&gt;&lt;wsp:rsid wsp:val=&quot;00316A8D&quot;/&gt;&lt;wsp:rsid wsp:val=&quot;00316B3D&quot;/&gt;&lt;wsp:rsid wsp:val=&quot;0031710A&quot;/&gt;&lt;wsp:rsid wsp:val=&quot;0031727B&quot;/&gt;&lt;wsp:rsid wsp:val=&quot;003173FE&quot;/&gt;&lt;wsp:rsid wsp:val=&quot;0031743E&quot;/&gt;&lt;wsp:rsid wsp:val=&quot;003175D3&quot;/&gt;&lt;wsp:rsid wsp:val=&quot;003176EF&quot;/&gt;&lt;wsp:rsid wsp:val=&quot;00317939&quot;/&gt;&lt;wsp:rsid wsp:val=&quot;00317951&quot;/&gt;&lt;wsp:rsid wsp:val=&quot;003179E4&quot;/&gt;&lt;wsp:rsid wsp:val=&quot;00317A5B&quot;/&gt;&lt;wsp:rsid wsp:val=&quot;00317B85&quot;/&gt;&lt;wsp:rsid wsp:val=&quot;00317C82&quot;/&gt;&lt;wsp:rsid wsp:val=&quot;00317C8D&quot;/&gt;&lt;wsp:rsid wsp:val=&quot;00320125&quot;/&gt;&lt;wsp:rsid wsp:val=&quot;00320258&quot;/&gt;&lt;wsp:rsid wsp:val=&quot;00320778&quot;/&gt;&lt;wsp:rsid wsp:val=&quot;003208F1&quot;/&gt;&lt;wsp:rsid wsp:val=&quot;00320B46&quot;/&gt;&lt;wsp:rsid wsp:val=&quot;00321345&quot;/&gt;&lt;wsp:rsid wsp:val=&quot;003219C6&quot;/&gt;&lt;wsp:rsid wsp:val=&quot;00321BAA&quot;/&gt;&lt;wsp:rsid wsp:val=&quot;00321FE8&quot;/&gt;&lt;wsp:rsid wsp:val=&quot;003228E7&quot;/&gt;&lt;wsp:rsid wsp:val=&quot;00322C86&quot;/&gt;&lt;wsp:rsid wsp:val=&quot;00322F9C&quot;/&gt;&lt;wsp:rsid wsp:val=&quot;00323064&quot;/&gt;&lt;wsp:rsid wsp:val=&quot;00323789&quot;/&gt;&lt;wsp:rsid wsp:val=&quot;003237CD&quot;/&gt;&lt;wsp:rsid wsp:val=&quot;003239FE&quot;/&gt;&lt;wsp:rsid wsp:val=&quot;00323A36&quot;/&gt;&lt;wsp:rsid wsp:val=&quot;00323C3F&quot;/&gt;&lt;wsp:rsid wsp:val=&quot;00324043&quot;/&gt;&lt;wsp:rsid wsp:val=&quot;003240C6&quot;/&gt;&lt;wsp:rsid wsp:val=&quot;003240DB&quot;/&gt;&lt;wsp:rsid wsp:val=&quot;00324172&quot;/&gt;&lt;wsp:rsid wsp:val=&quot;003243F1&quot;/&gt;&lt;wsp:rsid wsp:val=&quot;00324811&quot;/&gt;&lt;wsp:rsid wsp:val=&quot;00324D96&quot;/&gt;&lt;wsp:rsid wsp:val=&quot;003251F5&quot;/&gt;&lt;wsp:rsid wsp:val=&quot;003251FD&quot;/&gt;&lt;wsp:rsid wsp:val=&quot;003252DE&quot;/&gt;&lt;wsp:rsid wsp:val=&quot;0032561C&quot;/&gt;&lt;wsp:rsid wsp:val=&quot;003256BF&quot;/&gt;&lt;wsp:rsid wsp:val=&quot;0032627E&quot;/&gt;&lt;wsp:rsid wsp:val=&quot;003263D2&quot;/&gt;&lt;wsp:rsid wsp:val=&quot;003265DD&quot;/&gt;&lt;wsp:rsid wsp:val=&quot;00326D3E&quot;/&gt;&lt;wsp:rsid wsp:val=&quot;0032714F&quot;/&gt;&lt;wsp:rsid wsp:val=&quot;0032737B&quot;/&gt;&lt;wsp:rsid wsp:val=&quot;0032755B&quot;/&gt;&lt;wsp:rsid wsp:val=&quot;0032756B&quot;/&gt;&lt;wsp:rsid wsp:val=&quot;003278B6&quot;/&gt;&lt;wsp:rsid wsp:val=&quot;00327A8B&quot;/&gt;&lt;wsp:rsid wsp:val=&quot;00327CA0&quot;/&gt;&lt;wsp:rsid wsp:val=&quot;00327E04&quot;/&gt;&lt;wsp:rsid wsp:val=&quot;00327E52&quot;/&gt;&lt;wsp:rsid wsp:val=&quot;00330024&quot;/&gt;&lt;wsp:rsid wsp:val=&quot;0033034B&quot;/&gt;&lt;wsp:rsid wsp:val=&quot;00330B34&quot;/&gt;&lt;wsp:rsid wsp:val=&quot;00331365&quot;/&gt;&lt;wsp:rsid wsp:val=&quot;003316ED&quot;/&gt;&lt;wsp:rsid wsp:val=&quot;0033175A&quot;/&gt;&lt;wsp:rsid wsp:val=&quot;003318EC&quot;/&gt;&lt;wsp:rsid wsp:val=&quot;00331ACB&quot;/&gt;&lt;wsp:rsid wsp:val=&quot;0033226E&quot;/&gt;&lt;wsp:rsid wsp:val=&quot;003322C0&quot;/&gt;&lt;wsp:rsid wsp:val=&quot;0033245B&quot;/&gt;&lt;wsp:rsid wsp:val=&quot;003327D1&quot;/&gt;&lt;wsp:rsid wsp:val=&quot;00332A9F&quot;/&gt;&lt;wsp:rsid wsp:val=&quot;00332C11&quot;/&gt;&lt;wsp:rsid wsp:val=&quot;0033316B&quot;/&gt;&lt;wsp:rsid wsp:val=&quot;003331E4&quot;/&gt;&lt;wsp:rsid wsp:val=&quot;003332A5&quot;/&gt;&lt;wsp:rsid wsp:val=&quot;003332B4&quot;/&gt;&lt;wsp:rsid wsp:val=&quot;003332C9&quot;/&gt;&lt;wsp:rsid wsp:val=&quot;00333498&quot;/&gt;&lt;wsp:rsid wsp:val=&quot;00333521&quot;/&gt;&lt;wsp:rsid wsp:val=&quot;00333680&quot;/&gt;&lt;wsp:rsid wsp:val=&quot;00333F62&quot;/&gt;&lt;wsp:rsid wsp:val=&quot;003340C4&quot;/&gt;&lt;wsp:rsid wsp:val=&quot;003342C3&quot;/&gt;&lt;wsp:rsid wsp:val=&quot;00334AB7&quot;/&gt;&lt;wsp:rsid wsp:val=&quot;00334DBD&quot;/&gt;&lt;wsp:rsid wsp:val=&quot;00334F85&quot;/&gt;&lt;wsp:rsid wsp:val=&quot;0033524F&quot;/&gt;&lt;wsp:rsid wsp:val=&quot;003354E8&quot;/&gt;&lt;wsp:rsid wsp:val=&quot;00335704&quot;/&gt;&lt;wsp:rsid wsp:val=&quot;00335B8C&quot;/&gt;&lt;wsp:rsid wsp:val=&quot;00335BEC&quot;/&gt;&lt;wsp:rsid wsp:val=&quot;00335C3B&quot;/&gt;&lt;wsp:rsid wsp:val=&quot;00335FEF&quot;/&gt;&lt;wsp:rsid wsp:val=&quot;00336121&quot;/&gt;&lt;wsp:rsid wsp:val=&quot;00336146&quot;/&gt;&lt;wsp:rsid wsp:val=&quot;003369C1&quot;/&gt;&lt;wsp:rsid wsp:val=&quot;00336D68&quot;/&gt;&lt;wsp:rsid wsp:val=&quot;00336D7E&quot;/&gt;&lt;wsp:rsid wsp:val=&quot;00337075&quot;/&gt;&lt;wsp:rsid wsp:val=&quot;0033707C&quot;/&gt;&lt;wsp:rsid wsp:val=&quot;003373A9&quot;/&gt;&lt;wsp:rsid wsp:val=&quot;003373F7&quot;/&gt;&lt;wsp:rsid wsp:val=&quot;003375F2&quot;/&gt;&lt;wsp:rsid wsp:val=&quot;0033764C&quot;/&gt;&lt;wsp:rsid wsp:val=&quot;003379E1&quot;/&gt;&lt;wsp:rsid wsp:val=&quot;0034005A&quot;/&gt;&lt;wsp:rsid wsp:val=&quot;00340105&quot;/&gt;&lt;wsp:rsid wsp:val=&quot;003405F2&quot;/&gt;&lt;wsp:rsid wsp:val=&quot;0034077B&quot;/&gt;&lt;wsp:rsid wsp:val=&quot;00340B3C&quot;/&gt;&lt;wsp:rsid wsp:val=&quot;00340EA3&quot;/&gt;&lt;wsp:rsid wsp:val=&quot;00340EC3&quot;/&gt;&lt;wsp:rsid wsp:val=&quot;00341352&quot;/&gt;&lt;wsp:rsid wsp:val=&quot;0034136D&quot;/&gt;&lt;wsp:rsid wsp:val=&quot;00341648&quot;/&gt;&lt;wsp:rsid wsp:val=&quot;00341871&quot;/&gt;&lt;wsp:rsid wsp:val=&quot;00341BA2&quot;/&gt;&lt;wsp:rsid wsp:val=&quot;0034246D&quot;/&gt;&lt;wsp:rsid wsp:val=&quot;003426DD&quot;/&gt;&lt;wsp:rsid wsp:val=&quot;003429BB&quot;/&gt;&lt;wsp:rsid wsp:val=&quot;00342C6D&quot;/&gt;&lt;wsp:rsid wsp:val=&quot;00342D91&quot;/&gt;&lt;wsp:rsid wsp:val=&quot;0034360D&quot;/&gt;&lt;wsp:rsid wsp:val=&quot;00343823&quot;/&gt;&lt;wsp:rsid wsp:val=&quot;00343AEB&quot;/&gt;&lt;wsp:rsid wsp:val=&quot;00343B37&quot;/&gt;&lt;wsp:rsid wsp:val=&quot;003441AF&quot;/&gt;&lt;wsp:rsid wsp:val=&quot;0034430C&quot;/&gt;&lt;wsp:rsid wsp:val=&quot;0034477E&quot;/&gt;&lt;wsp:rsid wsp:val=&quot;0034499B&quot;/&gt;&lt;wsp:rsid wsp:val=&quot;003449EE&quot;/&gt;&lt;wsp:rsid wsp:val=&quot;00344C86&quot;/&gt;&lt;wsp:rsid wsp:val=&quot;00345346&quot;/&gt;&lt;wsp:rsid wsp:val=&quot;003459A5&quot;/&gt;&lt;wsp:rsid wsp:val=&quot;00345E3E&quot;/&gt;&lt;wsp:rsid wsp:val=&quot;00345E83&quot;/&gt;&lt;wsp:rsid wsp:val=&quot;003461A8&quot;/&gt;&lt;wsp:rsid wsp:val=&quot;003461B5&quot;/&gt;&lt;wsp:rsid wsp:val=&quot;0034647F&quot;/&gt;&lt;wsp:rsid wsp:val=&quot;003465BD&quot;/&gt;&lt;wsp:rsid wsp:val=&quot;003467BA&quot;/&gt;&lt;wsp:rsid wsp:val=&quot;003472CE&quot;/&gt;&lt;wsp:rsid wsp:val=&quot;003474C7&quot;/&gt;&lt;wsp:rsid wsp:val=&quot;00347AEC&quot;/&gt;&lt;wsp:rsid wsp:val=&quot;00350027&quot;/&gt;&lt;wsp:rsid wsp:val=&quot;003501D8&quot;/&gt;&lt;wsp:rsid wsp:val=&quot;003506E8&quot;/&gt;&lt;wsp:rsid wsp:val=&quot;00350808&quot;/&gt;&lt;wsp:rsid wsp:val=&quot;00350B40&quot;/&gt;&lt;wsp:rsid wsp:val=&quot;00350BE1&quot;/&gt;&lt;wsp:rsid wsp:val=&quot;00350C45&quot;/&gt;&lt;wsp:rsid wsp:val=&quot;00350D37&quot;/&gt;&lt;wsp:rsid wsp:val=&quot;003513D0&quot;/&gt;&lt;wsp:rsid wsp:val=&quot;00351544&quot;/&gt;&lt;wsp:rsid wsp:val=&quot;00351D23&quot;/&gt;&lt;wsp:rsid wsp:val=&quot;00352111&quot;/&gt;&lt;wsp:rsid wsp:val=&quot;0035243E&quot;/&gt;&lt;wsp:rsid wsp:val=&quot;003529B5&quot;/&gt;&lt;wsp:rsid wsp:val=&quot;003529C4&quot;/&gt;&lt;wsp:rsid wsp:val=&quot;00352D51&quot;/&gt;&lt;wsp:rsid wsp:val=&quot;0035318B&quot;/&gt;&lt;wsp:rsid wsp:val=&quot;0035377D&quot;/&gt;&lt;wsp:rsid wsp:val=&quot;00353951&quot;/&gt;&lt;wsp:rsid wsp:val=&quot;00353DEF&quot;/&gt;&lt;wsp:rsid wsp:val=&quot;003548CE&quot;/&gt;&lt;wsp:rsid wsp:val=&quot;003550CB&quot;/&gt;&lt;wsp:rsid wsp:val=&quot;0035532F&quot;/&gt;&lt;wsp:rsid wsp:val=&quot;00355506&quot;/&gt;&lt;wsp:rsid wsp:val=&quot;0035582D&quot;/&gt;&lt;wsp:rsid wsp:val=&quot;003558B6&quot;/&gt;&lt;wsp:rsid wsp:val=&quot;0035596F&quot;/&gt;&lt;wsp:rsid wsp:val=&quot;00355B23&quot;/&gt;&lt;wsp:rsid wsp:val=&quot;003564AF&quot;/&gt;&lt;wsp:rsid wsp:val=&quot;003576FD&quot;/&gt;&lt;wsp:rsid wsp:val=&quot;0035786F&quot;/&gt;&lt;wsp:rsid wsp:val=&quot;00357B2B&quot;/&gt;&lt;wsp:rsid wsp:val=&quot;00357BD4&quot;/&gt;&lt;wsp:rsid wsp:val=&quot;0036002A&quot;/&gt;&lt;wsp:rsid wsp:val=&quot;0036041D&quot;/&gt;&lt;wsp:rsid wsp:val=&quot;00360810&quot;/&gt;&lt;wsp:rsid wsp:val=&quot;00360C9D&quot;/&gt;&lt;wsp:rsid wsp:val=&quot;00360FA1&quot;/&gt;&lt;wsp:rsid wsp:val=&quot;003611FD&quot;/&gt;&lt;wsp:rsid wsp:val=&quot;00361663&quot;/&gt;&lt;wsp:rsid wsp:val=&quot;00361B72&quot;/&gt;&lt;wsp:rsid wsp:val=&quot;00361FD5&quot;/&gt;&lt;wsp:rsid wsp:val=&quot;003620B5&quot;/&gt;&lt;wsp:rsid wsp:val=&quot;003620DB&quot;/&gt;&lt;wsp:rsid wsp:val=&quot;003621B7&quot;/&gt;&lt;wsp:rsid wsp:val=&quot;0036259B&quot;/&gt;&lt;wsp:rsid wsp:val=&quot;00362A92&quot;/&gt;&lt;wsp:rsid wsp:val=&quot;00362BC1&quot;/&gt;&lt;wsp:rsid wsp:val=&quot;00362FE2&quot;/&gt;&lt;wsp:rsid wsp:val=&quot;003630BD&quot;/&gt;&lt;wsp:rsid wsp:val=&quot;0036312A&quot;/&gt;&lt;wsp:rsid wsp:val=&quot;00363568&quot;/&gt;&lt;wsp:rsid wsp:val=&quot;003638A2&quot;/&gt;&lt;wsp:rsid wsp:val=&quot;00363E3B&quot;/&gt;&lt;wsp:rsid wsp:val=&quot;00363E47&quot;/&gt;&lt;wsp:rsid wsp:val=&quot;0036416D&quot;/&gt;&lt;wsp:rsid wsp:val=&quot;00364582&quot;/&gt;&lt;wsp:rsid wsp:val=&quot;003645D7&quot;/&gt;&lt;wsp:rsid wsp:val=&quot;00364A82&quot;/&gt;&lt;wsp:rsid wsp:val=&quot;00365286&quot;/&gt;&lt;wsp:rsid wsp:val=&quot;00365C52&quot;/&gt;&lt;wsp:rsid wsp:val=&quot;00365F41&quot;/&gt;&lt;wsp:rsid wsp:val=&quot;00366017&quot;/&gt;&lt;wsp:rsid wsp:val=&quot;00366401&quot;/&gt;&lt;wsp:rsid wsp:val=&quot;00366520&quot;/&gt;&lt;wsp:rsid wsp:val=&quot;003666EE&quot;/&gt;&lt;wsp:rsid wsp:val=&quot;00366833&quot;/&gt;&lt;wsp:rsid wsp:val=&quot;00366FF4&quot;/&gt;&lt;wsp:rsid wsp:val=&quot;0036702E&quot;/&gt;&lt;wsp:rsid wsp:val=&quot;00367099&quot;/&gt;&lt;wsp:rsid wsp:val=&quot;00367116&quot;/&gt;&lt;wsp:rsid wsp:val=&quot;003671C2&quot;/&gt;&lt;wsp:rsid wsp:val=&quot;003673CB&quot;/&gt;&lt;wsp:rsid wsp:val=&quot;00367508&quot;/&gt;&lt;wsp:rsid wsp:val=&quot;00367CAA&quot;/&gt;&lt;wsp:rsid wsp:val=&quot;00370218&quot;/&gt;&lt;wsp:rsid wsp:val=&quot;00370956&quot;/&gt;&lt;wsp:rsid wsp:val=&quot;00370A0F&quot;/&gt;&lt;wsp:rsid wsp:val=&quot;00370D91&quot;/&gt;&lt;wsp:rsid wsp:val=&quot;00371DDF&quot;/&gt;&lt;wsp:rsid wsp:val=&quot;00371E75&quot;/&gt;&lt;wsp:rsid wsp:val=&quot;00372B2C&quot;/&gt;&lt;wsp:rsid wsp:val=&quot;00372B94&quot;/&gt;&lt;wsp:rsid wsp:val=&quot;00372E1F&quot;/&gt;&lt;wsp:rsid wsp:val=&quot;0037305D&quot;/&gt;&lt;wsp:rsid wsp:val=&quot;00373080&quot;/&gt;&lt;wsp:rsid wsp:val=&quot;0037327A&quot;/&gt;&lt;wsp:rsid wsp:val=&quot;003733B9&quot;/&gt;&lt;wsp:rsid wsp:val=&quot;003734EA&quot;/&gt;&lt;wsp:rsid wsp:val=&quot;00373772&quot;/&gt;&lt;wsp:rsid wsp:val=&quot;0037381A&quot;/&gt;&lt;wsp:rsid wsp:val=&quot;00373863&quot;/&gt;&lt;wsp:rsid wsp:val=&quot;0037417F&quot;/&gt;&lt;wsp:rsid wsp:val=&quot;0037434F&quot;/&gt;&lt;wsp:rsid wsp:val=&quot;003744B2&quot;/&gt;&lt;wsp:rsid wsp:val=&quot;00374A1A&quot;/&gt;&lt;wsp:rsid wsp:val=&quot;00374CFC&quot;/&gt;&lt;wsp:rsid wsp:val=&quot;003751DB&quot;/&gt;&lt;wsp:rsid wsp:val=&quot;00375561&quot;/&gt;&lt;wsp:rsid wsp:val=&quot;0037566E&quot;/&gt;&lt;wsp:rsid wsp:val=&quot;0037573E&quot;/&gt;&lt;wsp:rsid wsp:val=&quot;0037587B&quot;/&gt;&lt;wsp:rsid wsp:val=&quot;00375FE1&quot;/&gt;&lt;wsp:rsid wsp:val=&quot;0037620D&quot;/&gt;&lt;wsp:rsid wsp:val=&quot;00376889&quot;/&gt;&lt;wsp:rsid wsp:val=&quot;0037688C&quot;/&gt;&lt;wsp:rsid wsp:val=&quot;0037736A&quot;/&gt;&lt;wsp:rsid wsp:val=&quot;003778DE&quot;/&gt;&lt;wsp:rsid wsp:val=&quot;00377A92&quot;/&gt;&lt;wsp:rsid wsp:val=&quot;00377CAB&quot;/&gt;&lt;wsp:rsid wsp:val=&quot;00377CCF&quot;/&gt;&lt;wsp:rsid wsp:val=&quot;003800B0&quot;/&gt;&lt;wsp:rsid wsp:val=&quot;00380150&quot;/&gt;&lt;wsp:rsid wsp:val=&quot;0038021F&quot;/&gt;&lt;wsp:rsid wsp:val=&quot;00380627&quot;/&gt;&lt;wsp:rsid wsp:val=&quot;00380A43&quot;/&gt;&lt;wsp:rsid wsp:val=&quot;00380BE5&quot;/&gt;&lt;wsp:rsid wsp:val=&quot;00380D61&quot;/&gt;&lt;wsp:rsid wsp:val=&quot;00380E4F&quot;/&gt;&lt;wsp:rsid wsp:val=&quot;00381580&quot;/&gt;&lt;wsp:rsid wsp:val=&quot;003816B6&quot;/&gt;&lt;wsp:rsid wsp:val=&quot;00381735&quot;/&gt;&lt;wsp:rsid wsp:val=&quot;00381A47&quot;/&gt;&lt;wsp:rsid wsp:val=&quot;00381AE0&quot;/&gt;&lt;wsp:rsid wsp:val=&quot;00381F29&quot;/&gt;&lt;wsp:rsid wsp:val=&quot;003822F0&quot;/&gt;&lt;wsp:rsid wsp:val=&quot;0038263F&quot;/&gt;&lt;wsp:rsid wsp:val=&quot;003829FF&quot;/&gt;&lt;wsp:rsid wsp:val=&quot;00382C25&quot;/&gt;&lt;wsp:rsid wsp:val=&quot;00382E60&quot;/&gt;&lt;wsp:rsid wsp:val=&quot;0038324A&quot;/&gt;&lt;wsp:rsid wsp:val=&quot;00383257&quot;/&gt;&lt;wsp:rsid wsp:val=&quot;003835F4&quot;/&gt;&lt;wsp:rsid wsp:val=&quot;00383A82&quot;/&gt;&lt;wsp:rsid wsp:val=&quot;00383B9A&quot;/&gt;&lt;wsp:rsid wsp:val=&quot;0038426B&quot;/&gt;&lt;wsp:rsid wsp:val=&quot;003843D7&quot;/&gt;&lt;wsp:rsid wsp:val=&quot;003849FB&quot;/&gt;&lt;wsp:rsid wsp:val=&quot;00384B3B&quot;/&gt;&lt;wsp:rsid wsp:val=&quot;00385C5F&quot;/&gt;&lt;wsp:rsid wsp:val=&quot;00385DE1&quot;/&gt;&lt;wsp:rsid wsp:val=&quot;00386363&quot;/&gt;&lt;wsp:rsid wsp:val=&quot;003867F0&quot;/&gt;&lt;wsp:rsid wsp:val=&quot;003871D5&quot;/&gt;&lt;wsp:rsid wsp:val=&quot;00387309&quot;/&gt;&lt;wsp:rsid wsp:val=&quot;0038764F&quot;/&gt;&lt;wsp:rsid wsp:val=&quot;00387679&quot;/&gt;&lt;wsp:rsid wsp:val=&quot;003878E4&quot;/&gt;&lt;wsp:rsid wsp:val=&quot;00387CCC&quot;/&gt;&lt;wsp:rsid wsp:val=&quot;00387D94&quot;/&gt;&lt;wsp:rsid wsp:val=&quot;00390021&quot;/&gt;&lt;wsp:rsid wsp:val=&quot;003902EC&quot;/&gt;&lt;wsp:rsid wsp:val=&quot;0039034E&quot;/&gt;&lt;wsp:rsid wsp:val=&quot;0039053A&quot;/&gt;&lt;wsp:rsid wsp:val=&quot;00390919&quot;/&gt;&lt;wsp:rsid wsp:val=&quot;00390925&quot;/&gt;&lt;wsp:rsid wsp:val=&quot;00390A07&quot;/&gt;&lt;wsp:rsid wsp:val=&quot;00390FA8&quot;/&gt;&lt;wsp:rsid wsp:val=&quot;00391369&quot;/&gt;&lt;wsp:rsid wsp:val=&quot;003917CB&quot;/&gt;&lt;wsp:rsid wsp:val=&quot;00391998&quot;/&gt;&lt;wsp:rsid wsp:val=&quot;00391E4D&quot;/&gt;&lt;wsp:rsid wsp:val=&quot;0039240C&quot;/&gt;&lt;wsp:rsid wsp:val=&quot;0039253A&quot;/&gt;&lt;wsp:rsid wsp:val=&quot;0039272C&quot;/&gt;&lt;wsp:rsid wsp:val=&quot;00392801&quot;/&gt;&lt;wsp:rsid wsp:val=&quot;00392907&quot;/&gt;&lt;wsp:rsid wsp:val=&quot;00392AAD&quot;/&gt;&lt;wsp:rsid wsp:val=&quot;003941C6&quot;/&gt;&lt;wsp:rsid wsp:val=&quot;003941CF&quot;/&gt;&lt;wsp:rsid wsp:val=&quot;003943D7&quot;/&gt;&lt;wsp:rsid wsp:val=&quot;00394690&quot;/&gt;&lt;wsp:rsid wsp:val=&quot;0039499C&quot;/&gt;&lt;wsp:rsid wsp:val=&quot;00394B2F&quot;/&gt;&lt;wsp:rsid wsp:val=&quot;00394D37&quot;/&gt;&lt;wsp:rsid wsp:val=&quot;0039501D&quot;/&gt;&lt;wsp:rsid wsp:val=&quot;00395940&quot;/&gt;&lt;wsp:rsid wsp:val=&quot;00395BC4&quot;/&gt;&lt;wsp:rsid wsp:val=&quot;00395E6F&quot;/&gt;&lt;wsp:rsid wsp:val=&quot;0039633C&quot;/&gt;&lt;wsp:rsid wsp:val=&quot;00396746&quot;/&gt;&lt;wsp:rsid wsp:val=&quot;00396CC7&quot;/&gt;&lt;wsp:rsid wsp:val=&quot;00396FF0&quot;/&gt;&lt;wsp:rsid wsp:val=&quot;003976D0&quot;/&gt;&lt;wsp:rsid wsp:val=&quot;0039784D&quot;/&gt;&lt;wsp:rsid wsp:val=&quot;00397969&quot;/&gt;&lt;wsp:rsid wsp:val=&quot;00397A5E&quot;/&gt;&lt;wsp:rsid wsp:val=&quot;00397AAD&quot;/&gt;&lt;wsp:rsid wsp:val=&quot;00397CB3&quot;/&gt;&lt;wsp:rsid wsp:val=&quot;00397FF2&quot;/&gt;&lt;wsp:rsid wsp:val=&quot;003A0398&quot;/&gt;&lt;wsp:rsid wsp:val=&quot;003A047C&quot;/&gt;&lt;wsp:rsid wsp:val=&quot;003A0DB5&quot;/&gt;&lt;wsp:rsid wsp:val=&quot;003A145B&quot;/&gt;&lt;wsp:rsid wsp:val=&quot;003A157A&quot;/&gt;&lt;wsp:rsid wsp:val=&quot;003A176A&quot;/&gt;&lt;wsp:rsid wsp:val=&quot;003A1844&quot;/&gt;&lt;wsp:rsid wsp:val=&quot;003A184C&quot;/&gt;&lt;wsp:rsid wsp:val=&quot;003A1899&quot;/&gt;&lt;wsp:rsid wsp:val=&quot;003A1926&quot;/&gt;&lt;wsp:rsid wsp:val=&quot;003A1C22&quot;/&gt;&lt;wsp:rsid wsp:val=&quot;003A1C65&quot;/&gt;&lt;wsp:rsid wsp:val=&quot;003A1CF9&quot;/&gt;&lt;wsp:rsid wsp:val=&quot;003A26FA&quot;/&gt;&lt;wsp:rsid wsp:val=&quot;003A287A&quot;/&gt;&lt;wsp:rsid wsp:val=&quot;003A29E9&quot;/&gt;&lt;wsp:rsid wsp:val=&quot;003A2A7F&quot;/&gt;&lt;wsp:rsid wsp:val=&quot;003A33E2&quot;/&gt;&lt;wsp:rsid wsp:val=&quot;003A38DD&quot;/&gt;&lt;wsp:rsid wsp:val=&quot;003A3D24&quot;/&gt;&lt;wsp:rsid wsp:val=&quot;003A3D53&quot;/&gt;&lt;wsp:rsid wsp:val=&quot;003A40F3&quot;/&gt;&lt;wsp:rsid wsp:val=&quot;003A436D&quot;/&gt;&lt;wsp:rsid wsp:val=&quot;003A4A59&quot;/&gt;&lt;wsp:rsid wsp:val=&quot;003A4A81&quot;/&gt;&lt;wsp:rsid wsp:val=&quot;003A4FE4&quot;/&gt;&lt;wsp:rsid wsp:val=&quot;003A5190&quot;/&gt;&lt;wsp:rsid wsp:val=&quot;003A528D&quot;/&gt;&lt;wsp:rsid wsp:val=&quot;003A5646&quot;/&gt;&lt;wsp:rsid wsp:val=&quot;003A566F&quot;/&gt;&lt;wsp:rsid wsp:val=&quot;003A5A32&quot;/&gt;&lt;wsp:rsid wsp:val=&quot;003A5E41&quot;/&gt;&lt;wsp:rsid wsp:val=&quot;003A65B1&quot;/&gt;&lt;wsp:rsid wsp:val=&quot;003A673B&quot;/&gt;&lt;wsp:rsid wsp:val=&quot;003A6859&quot;/&gt;&lt;wsp:rsid wsp:val=&quot;003A68E3&quot;/&gt;&lt;wsp:rsid wsp:val=&quot;003A6912&quot;/&gt;&lt;wsp:rsid wsp:val=&quot;003A70B3&quot;/&gt;&lt;wsp:rsid wsp:val=&quot;003A723C&quot;/&gt;&lt;wsp:rsid wsp:val=&quot;003A7262&quot;/&gt;&lt;wsp:rsid wsp:val=&quot;003A7901&quot;/&gt;&lt;wsp:rsid wsp:val=&quot;003A7925&quot;/&gt;&lt;wsp:rsid wsp:val=&quot;003A7CF6&quot;/&gt;&lt;wsp:rsid wsp:val=&quot;003A7FFD&quot;/&gt;&lt;wsp:rsid wsp:val=&quot;003B01AD&quot;/&gt;&lt;wsp:rsid wsp:val=&quot;003B05ED&quot;/&gt;&lt;wsp:rsid wsp:val=&quot;003B0B3D&quot;/&gt;&lt;wsp:rsid wsp:val=&quot;003B0C2D&quot;/&gt;&lt;wsp:rsid wsp:val=&quot;003B0E52&quot;/&gt;&lt;wsp:rsid wsp:val=&quot;003B132D&quot;/&gt;&lt;wsp:rsid wsp:val=&quot;003B17C5&quot;/&gt;&lt;wsp:rsid wsp:val=&quot;003B1B51&quot;/&gt;&lt;wsp:rsid wsp:val=&quot;003B22F7&quot;/&gt;&lt;wsp:rsid wsp:val=&quot;003B2A75&quot;/&gt;&lt;wsp:rsid wsp:val=&quot;003B2CEE&quot;/&gt;&lt;wsp:rsid wsp:val=&quot;003B2D31&quot;/&gt;&lt;wsp:rsid wsp:val=&quot;003B303C&quot;/&gt;&lt;wsp:rsid wsp:val=&quot;003B304A&quot;/&gt;&lt;wsp:rsid wsp:val=&quot;003B3172&quot;/&gt;&lt;wsp:rsid wsp:val=&quot;003B3279&quot;/&gt;&lt;wsp:rsid wsp:val=&quot;003B357E&quot;/&gt;&lt;wsp:rsid wsp:val=&quot;003B3978&quot;/&gt;&lt;wsp:rsid wsp:val=&quot;003B41AB&quot;/&gt;&lt;wsp:rsid wsp:val=&quot;003B41AF&quot;/&gt;&lt;wsp:rsid wsp:val=&quot;003B44F3&quot;/&gt;&lt;wsp:rsid wsp:val=&quot;003B4F57&quot;/&gt;&lt;wsp:rsid wsp:val=&quot;003B5077&quot;/&gt;&lt;wsp:rsid wsp:val=&quot;003B52A8&quot;/&gt;&lt;wsp:rsid wsp:val=&quot;003B52F7&quot;/&gt;&lt;wsp:rsid wsp:val=&quot;003B578C&quot;/&gt;&lt;wsp:rsid wsp:val=&quot;003B5E36&quot;/&gt;&lt;wsp:rsid wsp:val=&quot;003B5F0A&quot;/&gt;&lt;wsp:rsid wsp:val=&quot;003B61CB&quot;/&gt;&lt;wsp:rsid wsp:val=&quot;003B677D&quot;/&gt;&lt;wsp:rsid wsp:val=&quot;003B6C29&quot;/&gt;&lt;wsp:rsid wsp:val=&quot;003B6DC4&quot;/&gt;&lt;wsp:rsid wsp:val=&quot;003B6E68&quot;/&gt;&lt;wsp:rsid wsp:val=&quot;003B7010&quot;/&gt;&lt;wsp:rsid wsp:val=&quot;003B7D7F&quot;/&gt;&lt;wsp:rsid wsp:val=&quot;003B7FB5&quot;/&gt;&lt;wsp:rsid wsp:val=&quot;003C0009&quot;/&gt;&lt;wsp:rsid wsp:val=&quot;003C048B&quot;/&gt;&lt;wsp:rsid wsp:val=&quot;003C04E1&quot;/&gt;&lt;wsp:rsid wsp:val=&quot;003C0AEF&quot;/&gt;&lt;wsp:rsid wsp:val=&quot;003C0CE2&quot;/&gt;&lt;wsp:rsid wsp:val=&quot;003C1700&quot;/&gt;&lt;wsp:rsid wsp:val=&quot;003C1993&quot;/&gt;&lt;wsp:rsid wsp:val=&quot;003C1E3E&quot;/&gt;&lt;wsp:rsid wsp:val=&quot;003C2055&quot;/&gt;&lt;wsp:rsid wsp:val=&quot;003C270C&quot;/&gt;&lt;wsp:rsid wsp:val=&quot;003C29CB&quot;/&gt;&lt;wsp:rsid wsp:val=&quot;003C2BE4&quot;/&gt;&lt;wsp:rsid wsp:val=&quot;003C2D08&quot;/&gt;&lt;wsp:rsid wsp:val=&quot;003C2E68&quot;/&gt;&lt;wsp:rsid wsp:val=&quot;003C2EE3&quot;/&gt;&lt;wsp:rsid wsp:val=&quot;003C317C&quot;/&gt;&lt;wsp:rsid wsp:val=&quot;003C3719&quot;/&gt;&lt;wsp:rsid wsp:val=&quot;003C38EF&quot;/&gt;&lt;wsp:rsid wsp:val=&quot;003C3FD5&quot;/&gt;&lt;wsp:rsid wsp:val=&quot;003C421F&quot;/&gt;&lt;wsp:rsid wsp:val=&quot;003C44DE&quot;/&gt;&lt;wsp:rsid wsp:val=&quot;003C4928&quot;/&gt;&lt;wsp:rsid wsp:val=&quot;003C4A82&quot;/&gt;&lt;wsp:rsid wsp:val=&quot;003C524F&quot;/&gt;&lt;wsp:rsid wsp:val=&quot;003C57DC&quot;/&gt;&lt;wsp:rsid wsp:val=&quot;003C5C6B&quot;/&gt;&lt;wsp:rsid wsp:val=&quot;003C62E6&quot;/&gt;&lt;wsp:rsid wsp:val=&quot;003C6388&quot;/&gt;&lt;wsp:rsid wsp:val=&quot;003C63E0&quot;/&gt;&lt;wsp:rsid wsp:val=&quot;003C6DC2&quot;/&gt;&lt;wsp:rsid wsp:val=&quot;003C712E&quot;/&gt;&lt;wsp:rsid wsp:val=&quot;003C74EB&quot;/&gt;&lt;wsp:rsid wsp:val=&quot;003C776C&quot;/&gt;&lt;wsp:rsid wsp:val=&quot;003C7E38&quot;/&gt;&lt;wsp:rsid wsp:val=&quot;003C7E92&quot;/&gt;&lt;wsp:rsid wsp:val=&quot;003D022D&quot;/&gt;&lt;wsp:rsid wsp:val=&quot;003D0BB2&quot;/&gt;&lt;wsp:rsid wsp:val=&quot;003D0E03&quot;/&gt;&lt;wsp:rsid wsp:val=&quot;003D1172&quot;/&gt;&lt;wsp:rsid wsp:val=&quot;003D14AF&quot;/&gt;&lt;wsp:rsid wsp:val=&quot;003D1738&quot;/&gt;&lt;wsp:rsid wsp:val=&quot;003D1997&quot;/&gt;&lt;wsp:rsid wsp:val=&quot;003D1A47&quot;/&gt;&lt;wsp:rsid wsp:val=&quot;003D20A7&quot;/&gt;&lt;wsp:rsid wsp:val=&quot;003D23EC&quot;/&gt;&lt;wsp:rsid wsp:val=&quot;003D403E&quot;/&gt;&lt;wsp:rsid wsp:val=&quot;003D42D9&quot;/&gt;&lt;wsp:rsid wsp:val=&quot;003D4367&quot;/&gt;&lt;wsp:rsid wsp:val=&quot;003D4767&quot;/&gt;&lt;wsp:rsid wsp:val=&quot;003D48E3&quot;/&gt;&lt;wsp:rsid wsp:val=&quot;003D49D6&quot;/&gt;&lt;wsp:rsid wsp:val=&quot;003D4B23&quot;/&gt;&lt;wsp:rsid wsp:val=&quot;003D4C60&quot;/&gt;&lt;wsp:rsid wsp:val=&quot;003D4D6B&quot;/&gt;&lt;wsp:rsid wsp:val=&quot;003D50EC&quot;/&gt;&lt;wsp:rsid wsp:val=&quot;003D5179&quot;/&gt;&lt;wsp:rsid wsp:val=&quot;003D5451&quot;/&gt;&lt;wsp:rsid wsp:val=&quot;003D5514&quot;/&gt;&lt;wsp:rsid wsp:val=&quot;003D5668&quot;/&gt;&lt;wsp:rsid wsp:val=&quot;003D57A3&quot;/&gt;&lt;wsp:rsid wsp:val=&quot;003D5AD7&quot;/&gt;&lt;wsp:rsid wsp:val=&quot;003D5CDE&quot;/&gt;&lt;wsp:rsid wsp:val=&quot;003D6174&quot;/&gt;&lt;wsp:rsid wsp:val=&quot;003D6413&quot;/&gt;&lt;wsp:rsid wsp:val=&quot;003D6472&quot;/&gt;&lt;wsp:rsid wsp:val=&quot;003D65C0&quot;/&gt;&lt;wsp:rsid wsp:val=&quot;003D661A&quot;/&gt;&lt;wsp:rsid wsp:val=&quot;003D67A1&quot;/&gt;&lt;wsp:rsid wsp:val=&quot;003D6BB6&quot;/&gt;&lt;wsp:rsid wsp:val=&quot;003D6D7D&quot;/&gt;&lt;wsp:rsid wsp:val=&quot;003D6E42&quot;/&gt;&lt;wsp:rsid wsp:val=&quot;003D6E49&quot;/&gt;&lt;wsp:rsid wsp:val=&quot;003D6E59&quot;/&gt;&lt;wsp:rsid wsp:val=&quot;003D711E&quot;/&gt;&lt;wsp:rsid wsp:val=&quot;003D7374&quot;/&gt;&lt;wsp:rsid wsp:val=&quot;003D779F&quot;/&gt;&lt;wsp:rsid wsp:val=&quot;003D794B&quot;/&gt;&lt;wsp:rsid wsp:val=&quot;003D7975&quot;/&gt;&lt;wsp:rsid wsp:val=&quot;003D7EBB&quot;/&gt;&lt;wsp:rsid wsp:val=&quot;003D7F48&quot;/&gt;&lt;wsp:rsid wsp:val=&quot;003D7F9B&quot;/&gt;&lt;wsp:rsid wsp:val=&quot;003D7FC5&quot;/&gt;&lt;wsp:rsid wsp:val=&quot;003E010D&quot;/&gt;&lt;wsp:rsid wsp:val=&quot;003E07BA&quot;/&gt;&lt;wsp:rsid wsp:val=&quot;003E0BF1&quot;/&gt;&lt;wsp:rsid wsp:val=&quot;003E10D2&quot;/&gt;&lt;wsp:rsid wsp:val=&quot;003E1204&quot;/&gt;&lt;wsp:rsid wsp:val=&quot;003E15D2&quot;/&gt;&lt;wsp:rsid wsp:val=&quot;003E1949&quot;/&gt;&lt;wsp:rsid wsp:val=&quot;003E199F&quot;/&gt;&lt;wsp:rsid wsp:val=&quot;003E1BF0&quot;/&gt;&lt;wsp:rsid wsp:val=&quot;003E1F2C&quot;/&gt;&lt;wsp:rsid wsp:val=&quot;003E2283&quot;/&gt;&lt;wsp:rsid wsp:val=&quot;003E23AB&quot;/&gt;&lt;wsp:rsid wsp:val=&quot;003E25C2&quot;/&gt;&lt;wsp:rsid wsp:val=&quot;003E2B7A&quot;/&gt;&lt;wsp:rsid wsp:val=&quot;003E2C82&quot;/&gt;&lt;wsp:rsid wsp:val=&quot;003E343B&quot;/&gt;&lt;wsp:rsid wsp:val=&quot;003E3710&quot;/&gt;&lt;wsp:rsid wsp:val=&quot;003E3805&quot;/&gt;&lt;wsp:rsid wsp:val=&quot;003E3AC0&quot;/&gt;&lt;wsp:rsid wsp:val=&quot;003E413E&quot;/&gt;&lt;wsp:rsid wsp:val=&quot;003E4553&quot;/&gt;&lt;wsp:rsid wsp:val=&quot;003E483E&quot;/&gt;&lt;wsp:rsid wsp:val=&quot;003E4999&quot;/&gt;&lt;wsp:rsid wsp:val=&quot;003E4DB9&quot;/&gt;&lt;wsp:rsid wsp:val=&quot;003E5106&quot;/&gt;&lt;wsp:rsid wsp:val=&quot;003E5452&quot;/&gt;&lt;wsp:rsid wsp:val=&quot;003E5ED4&quot;/&gt;&lt;wsp:rsid wsp:val=&quot;003E5F64&quot;/&gt;&lt;wsp:rsid wsp:val=&quot;003E6036&quot;/&gt;&lt;wsp:rsid wsp:val=&quot;003E60CA&quot;/&gt;&lt;wsp:rsid wsp:val=&quot;003E6739&quot;/&gt;&lt;wsp:rsid wsp:val=&quot;003E6A00&quot;/&gt;&lt;wsp:rsid wsp:val=&quot;003E6D4C&quot;/&gt;&lt;wsp:rsid wsp:val=&quot;003E6DD0&quot;/&gt;&lt;wsp:rsid wsp:val=&quot;003E6EB5&quot;/&gt;&lt;wsp:rsid wsp:val=&quot;003E738E&quot;/&gt;&lt;wsp:rsid wsp:val=&quot;003E7466&quot;/&gt;&lt;wsp:rsid wsp:val=&quot;003E747E&quot;/&gt;&lt;wsp:rsid wsp:val=&quot;003E75D8&quot;/&gt;&lt;wsp:rsid wsp:val=&quot;003E75DD&quot;/&gt;&lt;wsp:rsid wsp:val=&quot;003E7F03&quot;/&gt;&lt;wsp:rsid wsp:val=&quot;003E7F56&quot;/&gt;&lt;wsp:rsid wsp:val=&quot;003F05A1&quot;/&gt;&lt;wsp:rsid wsp:val=&quot;003F072E&quot;/&gt;&lt;wsp:rsid wsp:val=&quot;003F0A77&quot;/&gt;&lt;wsp:rsid wsp:val=&quot;003F0DC0&quot;/&gt;&lt;wsp:rsid wsp:val=&quot;003F0F06&quot;/&gt;&lt;wsp:rsid wsp:val=&quot;003F10C2&quot;/&gt;&lt;wsp:rsid wsp:val=&quot;003F163B&quot;/&gt;&lt;wsp:rsid wsp:val=&quot;003F1962&quot;/&gt;&lt;wsp:rsid wsp:val=&quot;003F1D3F&quot;/&gt;&lt;wsp:rsid wsp:val=&quot;003F27FE&quot;/&gt;&lt;wsp:rsid wsp:val=&quot;003F2CD6&quot;/&gt;&lt;wsp:rsid wsp:val=&quot;003F2D9D&quot;/&gt;&lt;wsp:rsid wsp:val=&quot;003F2F74&quot;/&gt;&lt;wsp:rsid wsp:val=&quot;003F4232&quot;/&gt;&lt;wsp:rsid wsp:val=&quot;003F535C&quot;/&gt;&lt;wsp:rsid wsp:val=&quot;003F5782&quot;/&gt;&lt;wsp:rsid wsp:val=&quot;003F59F3&quot;/&gt;&lt;wsp:rsid wsp:val=&quot;003F5A09&quot;/&gt;&lt;wsp:rsid wsp:val=&quot;003F5A71&quot;/&gt;&lt;wsp:rsid wsp:val=&quot;003F5AB8&quot;/&gt;&lt;wsp:rsid wsp:val=&quot;003F5BCF&quot;/&gt;&lt;wsp:rsid wsp:val=&quot;003F61F2&quot;/&gt;&lt;wsp:rsid wsp:val=&quot;003F6306&quot;/&gt;&lt;wsp:rsid wsp:val=&quot;003F64A7&quot;/&gt;&lt;wsp:rsid wsp:val=&quot;003F651F&quot;/&gt;&lt;wsp:rsid wsp:val=&quot;003F67D5&quot;/&gt;&lt;wsp:rsid wsp:val=&quot;003F6EDE&quot;/&gt;&lt;wsp:rsid wsp:val=&quot;003F72B3&quot;/&gt;&lt;wsp:rsid wsp:val=&quot;003F77BC&quot;/&gt;&lt;wsp:rsid wsp:val=&quot;00400167&quot;/&gt;&lt;wsp:rsid wsp:val=&quot;00400AD1&quot;/&gt;&lt;wsp:rsid wsp:val=&quot;00401163&quot;/&gt;&lt;wsp:rsid wsp:val=&quot;00401171&quot;/&gt;&lt;wsp:rsid wsp:val=&quot;00402199&quot;/&gt;&lt;wsp:rsid wsp:val=&quot;004021F6&quot;/&gt;&lt;wsp:rsid wsp:val=&quot;00402823&quot;/&gt;&lt;wsp:rsid wsp:val=&quot;00402A93&quot;/&gt;&lt;wsp:rsid wsp:val=&quot;004032F0&quot;/&gt;&lt;wsp:rsid wsp:val=&quot;00403AB8&quot;/&gt;&lt;wsp:rsid wsp:val=&quot;00403EC3&quot;/&gt;&lt;wsp:rsid wsp:val=&quot;004041F7&quot;/&gt;&lt;wsp:rsid wsp:val=&quot;00404D42&quot;/&gt;&lt;wsp:rsid wsp:val=&quot;00404E76&quot;/&gt;&lt;wsp:rsid wsp:val=&quot;00405380&quot;/&gt;&lt;wsp:rsid wsp:val=&quot;00405393&quot;/&gt;&lt;wsp:rsid wsp:val=&quot;00405409&quot;/&gt;&lt;wsp:rsid wsp:val=&quot;00405452&quot;/&gt;&lt;wsp:rsid wsp:val=&quot;00405C6D&quot;/&gt;&lt;wsp:rsid wsp:val=&quot;0040601C&quot;/&gt;&lt;wsp:rsid wsp:val=&quot;0040604D&quot;/&gt;&lt;wsp:rsid wsp:val=&quot;0040662E&quot;/&gt;&lt;wsp:rsid wsp:val=&quot;00406706&quot;/&gt;&lt;wsp:rsid wsp:val=&quot;00406B1B&quot;/&gt;&lt;wsp:rsid wsp:val=&quot;00407073&quot;/&gt;&lt;wsp:rsid wsp:val=&quot;00407C7E&quot;/&gt;&lt;wsp:rsid wsp:val=&quot;00407D27&quot;/&gt;&lt;wsp:rsid wsp:val=&quot;004102C5&quot;/&gt;&lt;wsp:rsid wsp:val=&quot;0041080E&quot;/&gt;&lt;wsp:rsid wsp:val=&quot;004108CF&quot;/&gt;&lt;wsp:rsid wsp:val=&quot;004113CF&quot;/&gt;&lt;wsp:rsid wsp:val=&quot;00411874&quot;/&gt;&lt;wsp:rsid wsp:val=&quot;00411C07&quot;/&gt;&lt;wsp:rsid wsp:val=&quot;00411C3A&quot;/&gt;&lt;wsp:rsid wsp:val=&quot;00411D59&quot;/&gt;&lt;wsp:rsid wsp:val=&quot;00411DBF&quot;/&gt;&lt;wsp:rsid wsp:val=&quot;00412120&quot;/&gt;&lt;wsp:rsid wsp:val=&quot;004122B7&quot;/&gt;&lt;wsp:rsid wsp:val=&quot;004125F8&quot;/&gt;&lt;wsp:rsid wsp:val=&quot;004126D8&quot;/&gt;&lt;wsp:rsid wsp:val=&quot;00412732&quot;/&gt;&lt;wsp:rsid wsp:val=&quot;0041287E&quot;/&gt;&lt;wsp:rsid wsp:val=&quot;00412941&quot;/&gt;&lt;wsp:rsid wsp:val=&quot;00412A1C&quot;/&gt;&lt;wsp:rsid wsp:val=&quot;00412A9A&quot;/&gt;&lt;wsp:rsid wsp:val=&quot;00412B05&quot;/&gt;&lt;wsp:rsid wsp:val=&quot;00412E3E&quot;/&gt;&lt;wsp:rsid wsp:val=&quot;0041306D&quot;/&gt;&lt;wsp:rsid wsp:val=&quot;004137A0&quot;/&gt;&lt;wsp:rsid wsp:val=&quot;00413C4F&quot;/&gt;&lt;wsp:rsid wsp:val=&quot;00413DAA&quot;/&gt;&lt;wsp:rsid wsp:val=&quot;00413DB7&quot;/&gt;&lt;wsp:rsid wsp:val=&quot;00414227&quot;/&gt;&lt;wsp:rsid wsp:val=&quot;00415034&quot;/&gt;&lt;wsp:rsid wsp:val=&quot;00415974&quot;/&gt;&lt;wsp:rsid wsp:val=&quot;00415A40&quot;/&gt;&lt;wsp:rsid wsp:val=&quot;00416097&quot;/&gt;&lt;wsp:rsid wsp:val=&quot;00416277&quot;/&gt;&lt;wsp:rsid wsp:val=&quot;00416715&quot;/&gt;&lt;wsp:rsid wsp:val=&quot;00416D6C&quot;/&gt;&lt;wsp:rsid wsp:val=&quot;00416D9B&quot;/&gt;&lt;wsp:rsid wsp:val=&quot;00416E1D&quot;/&gt;&lt;wsp:rsid wsp:val=&quot;004171AC&quot;/&gt;&lt;wsp:rsid wsp:val=&quot;00417426&quot;/&gt;&lt;wsp:rsid wsp:val=&quot;00417963&quot;/&gt;&lt;wsp:rsid wsp:val=&quot;00417F00&quot;/&gt;&lt;wsp:rsid wsp:val=&quot;004201F9&quot;/&gt;&lt;wsp:rsid wsp:val=&quot;00420691&quot;/&gt;&lt;wsp:rsid wsp:val=&quot;00420919&quot;/&gt;&lt;wsp:rsid wsp:val=&quot;004209EA&quot;/&gt;&lt;wsp:rsid wsp:val=&quot;00420C86&quot;/&gt;&lt;wsp:rsid wsp:val=&quot;00420DA8&quot;/&gt;&lt;wsp:rsid wsp:val=&quot;004214D1&quot;/&gt;&lt;wsp:rsid wsp:val=&quot;0042172F&quot;/&gt;&lt;wsp:rsid wsp:val=&quot;00421879&quot;/&gt;&lt;wsp:rsid wsp:val=&quot;004226DD&quot;/&gt;&lt;wsp:rsid wsp:val=&quot;00422703&quot;/&gt;&lt;wsp:rsid wsp:val=&quot;004228DB&quot;/&gt;&lt;wsp:rsid wsp:val=&quot;00422CCB&quot;/&gt;&lt;wsp:rsid wsp:val=&quot;00422F61&quot;/&gt;&lt;wsp:rsid wsp:val=&quot;0042399D&quot;/&gt;&lt;wsp:rsid wsp:val=&quot;00423D45&quot;/&gt;&lt;wsp:rsid wsp:val=&quot;004256B2&quot;/&gt;&lt;wsp:rsid wsp:val=&quot;004258EB&quot;/&gt;&lt;wsp:rsid wsp:val=&quot;00425C65&quot;/&gt;&lt;wsp:rsid wsp:val=&quot;00426242&quot;/&gt;&lt;wsp:rsid wsp:val=&quot;004263DD&quot;/&gt;&lt;wsp:rsid wsp:val=&quot;00426B31&quot;/&gt;&lt;wsp:rsid wsp:val=&quot;00426C16&quot;/&gt;&lt;wsp:rsid wsp:val=&quot;00426C3D&quot;/&gt;&lt;wsp:rsid wsp:val=&quot;00426C91&quot;/&gt;&lt;wsp:rsid wsp:val=&quot;004272E7&quot;/&gt;&lt;wsp:rsid wsp:val=&quot;00427382&quot;/&gt;&lt;wsp:rsid wsp:val=&quot;00427A8E&quot;/&gt;&lt;wsp:rsid wsp:val=&quot;00427CBB&quot;/&gt;&lt;wsp:rsid wsp:val=&quot;00427F05&quot;/&gt;&lt;wsp:rsid wsp:val=&quot;0043005A&quot;/&gt;&lt;wsp:rsid wsp:val=&quot;004302FC&quot;/&gt;&lt;wsp:rsid wsp:val=&quot;004306DF&quot;/&gt;&lt;wsp:rsid wsp:val=&quot;00430728&quot;/&gt;&lt;wsp:rsid wsp:val=&quot;00430D53&quot;/&gt;&lt;wsp:rsid wsp:val=&quot;00431053&quot;/&gt;&lt;wsp:rsid wsp:val=&quot;00431166&quot;/&gt;&lt;wsp:rsid wsp:val=&quot;004312AC&quot;/&gt;&lt;wsp:rsid wsp:val=&quot;0043143D&quot;/&gt;&lt;wsp:rsid wsp:val=&quot;0043160B&quot;/&gt;&lt;wsp:rsid wsp:val=&quot;00431BD6&quot;/&gt;&lt;wsp:rsid wsp:val=&quot;00431D5A&quot;/&gt;&lt;wsp:rsid wsp:val=&quot;00432A0F&quot;/&gt;&lt;wsp:rsid wsp:val=&quot;00432B6D&quot;/&gt;&lt;wsp:rsid wsp:val=&quot;00432BD9&quot;/&gt;&lt;wsp:rsid wsp:val=&quot;00432F24&quot;/&gt;&lt;wsp:rsid wsp:val=&quot;00433063&quot;/&gt;&lt;wsp:rsid wsp:val=&quot;00433294&quot;/&gt;&lt;wsp:rsid wsp:val=&quot;00433353&quot;/&gt;&lt;wsp:rsid wsp:val=&quot;004338D5&quot;/&gt;&lt;wsp:rsid wsp:val=&quot;0043394F&quot;/&gt;&lt;wsp:rsid wsp:val=&quot;0043418B&quot;/&gt;&lt;wsp:rsid wsp:val=&quot;00434456&quot;/&gt;&lt;wsp:rsid wsp:val=&quot;0043487C&quot;/&gt;&lt;wsp:rsid wsp:val=&quot;00434B6B&quot;/&gt;&lt;wsp:rsid wsp:val=&quot;00435106&quot;/&gt;&lt;wsp:rsid wsp:val=&quot;00435446&quot;/&gt;&lt;wsp:rsid wsp:val=&quot;00435560&quot;/&gt;&lt;wsp:rsid wsp:val=&quot;00435CC3&quot;/&gt;&lt;wsp:rsid wsp:val=&quot;00435E1B&quot;/&gt;&lt;wsp:rsid wsp:val=&quot;00436526&quot;/&gt;&lt;wsp:rsid wsp:val=&quot;004368E1&quot;/&gt;&lt;wsp:rsid wsp:val=&quot;0043698F&quot;/&gt;&lt;wsp:rsid wsp:val=&quot;00436AE0&quot;/&gt;&lt;wsp:rsid wsp:val=&quot;00436AEF&quot;/&gt;&lt;wsp:rsid wsp:val=&quot;00436CF7&quot;/&gt;&lt;wsp:rsid wsp:val=&quot;00436E5C&quot;/&gt;&lt;wsp:rsid wsp:val=&quot;004371E9&quot;/&gt;&lt;wsp:rsid wsp:val=&quot;004375B1&quot;/&gt;&lt;wsp:rsid wsp:val=&quot;0043778B&quot;/&gt;&lt;wsp:rsid wsp:val=&quot;00437831&quot;/&gt;&lt;wsp:rsid wsp:val=&quot;00437BF6&quot;/&gt;&lt;wsp:rsid wsp:val=&quot;00437CAC&quot;/&gt;&lt;wsp:rsid wsp:val=&quot;00437E9D&quot;/&gt;&lt;wsp:rsid wsp:val=&quot;00440C3D&quot;/&gt;&lt;wsp:rsid wsp:val=&quot;0044147E&quot;/&gt;&lt;wsp:rsid wsp:val=&quot;004417DE&quot;/&gt;&lt;wsp:rsid wsp:val=&quot;00441A53&quot;/&gt;&lt;wsp:rsid wsp:val=&quot;00441B1C&quot;/&gt;&lt;wsp:rsid wsp:val=&quot;00441BC1&quot;/&gt;&lt;wsp:rsid wsp:val=&quot;00441C6D&quot;/&gt;&lt;wsp:rsid wsp:val=&quot;00441E1C&quot;/&gt;&lt;wsp:rsid wsp:val=&quot;00441EA7&quot;/&gt;&lt;wsp:rsid wsp:val=&quot;004420A8&quot;/&gt;&lt;wsp:rsid wsp:val=&quot;00442B06&quot;/&gt;&lt;wsp:rsid wsp:val=&quot;00442D41&quot;/&gt;&lt;wsp:rsid wsp:val=&quot;00442DBF&quot;/&gt;&lt;wsp:rsid wsp:val=&quot;00442E23&quot;/&gt;&lt;wsp:rsid wsp:val=&quot;00443044&quot;/&gt;&lt;wsp:rsid wsp:val=&quot;00443103&quot;/&gt;&lt;wsp:rsid wsp:val=&quot;00443143&quot;/&gt;&lt;wsp:rsid wsp:val=&quot;00443533&quot;/&gt;&lt;wsp:rsid wsp:val=&quot;004438F7&quot;/&gt;&lt;wsp:rsid wsp:val=&quot;00443985&quot;/&gt;&lt;wsp:rsid wsp:val=&quot;00443C76&quot;/&gt;&lt;wsp:rsid wsp:val=&quot;0044419D&quot;/&gt;&lt;wsp:rsid wsp:val=&quot;0044438A&quot;/&gt;&lt;wsp:rsid wsp:val=&quot;00444562&quot;/&gt;&lt;wsp:rsid wsp:val=&quot;0044478E&quot;/&gt;&lt;wsp:rsid wsp:val=&quot;004447EA&quot;/&gt;&lt;wsp:rsid wsp:val=&quot;0044488E&quot;/&gt;&lt;wsp:rsid wsp:val=&quot;00444C19&quot;/&gt;&lt;wsp:rsid wsp:val=&quot;00444F9D&quot;/&gt;&lt;wsp:rsid wsp:val=&quot;004458CA&quot;/&gt;&lt;wsp:rsid wsp:val=&quot;00445AFA&quot;/&gt;&lt;wsp:rsid wsp:val=&quot;00445D01&quot;/&gt;&lt;wsp:rsid wsp:val=&quot;00445E5F&quot;/&gt;&lt;wsp:rsid wsp:val=&quot;00446157&quot;/&gt;&lt;wsp:rsid wsp:val=&quot;004461A4&quot;/&gt;&lt;wsp:rsid wsp:val=&quot;004461D0&quot;/&gt;&lt;wsp:rsid wsp:val=&quot;004462D2&quot;/&gt;&lt;wsp:rsid wsp:val=&quot;00446374&quot;/&gt;&lt;wsp:rsid wsp:val=&quot;00446489&quot;/&gt;&lt;wsp:rsid wsp:val=&quot;00446537&quot;/&gt;&lt;wsp:rsid wsp:val=&quot;00446605&quot;/&gt;&lt;wsp:rsid wsp:val=&quot;004466CD&quot;/&gt;&lt;wsp:rsid wsp:val=&quot;0044671A&quot;/&gt;&lt;wsp:rsid wsp:val=&quot;00446798&quot;/&gt;&lt;wsp:rsid wsp:val=&quot;00446B30&quot;/&gt;&lt;wsp:rsid wsp:val=&quot;00447387&quot;/&gt;&lt;wsp:rsid wsp:val=&quot;00447397&quot;/&gt;&lt;wsp:rsid wsp:val=&quot;0044789A&quot;/&gt;&lt;wsp:rsid wsp:val=&quot;00447CC2&quot;/&gt;&lt;wsp:rsid wsp:val=&quot;00447FCB&quot;/&gt;&lt;wsp:rsid wsp:val=&quot;0045026C&quot;/&gt;&lt;wsp:rsid wsp:val=&quot;00450663&quot;/&gt;&lt;wsp:rsid wsp:val=&quot;004507D7&quot;/&gt;&lt;wsp:rsid wsp:val=&quot;00450BC6&quot;/&gt;&lt;wsp:rsid wsp:val=&quot;00450DAD&quot;/&gt;&lt;wsp:rsid wsp:val=&quot;00450E01&quot;/&gt;&lt;wsp:rsid wsp:val=&quot;00450FA8&quot;/&gt;&lt;wsp:rsid wsp:val=&quot;00451177&quot;/&gt;&lt;wsp:rsid wsp:val=&quot;0045123E&quot;/&gt;&lt;wsp:rsid wsp:val=&quot;004512ED&quot;/&gt;&lt;wsp:rsid wsp:val=&quot;004518D0&quot;/&gt;&lt;wsp:rsid wsp:val=&quot;00452310&quot;/&gt;&lt;wsp:rsid wsp:val=&quot;0045288A&quot;/&gt;&lt;wsp:rsid wsp:val=&quot;00452ACD&quot;/&gt;&lt;wsp:rsid wsp:val=&quot;00452B84&quot;/&gt;&lt;wsp:rsid wsp:val=&quot;00452C80&quot;/&gt;&lt;wsp:rsid wsp:val=&quot;004531A4&quot;/&gt;&lt;wsp:rsid wsp:val=&quot;00453268&quot;/&gt;&lt;wsp:rsid wsp:val=&quot;00453577&quot;/&gt;&lt;wsp:rsid wsp:val=&quot;00453C5D&quot;/&gt;&lt;wsp:rsid wsp:val=&quot;00454170&quot;/&gt;&lt;wsp:rsid wsp:val=&quot;00454832&quot;/&gt;&lt;wsp:rsid wsp:val=&quot;00454890&quot;/&gt;&lt;wsp:rsid wsp:val=&quot;00454A4D&quot;/&gt;&lt;wsp:rsid wsp:val=&quot;00454F20&quot;/&gt;&lt;wsp:rsid wsp:val=&quot;004553C6&quot;/&gt;&lt;wsp:rsid wsp:val=&quot;00455834&quot;/&gt;&lt;wsp:rsid wsp:val=&quot;00455B45&quot;/&gt;&lt;wsp:rsid wsp:val=&quot;00455B9C&quot;/&gt;&lt;wsp:rsid wsp:val=&quot;00455BB7&quot;/&gt;&lt;wsp:rsid wsp:val=&quot;00456165&quot;/&gt;&lt;wsp:rsid wsp:val=&quot;0045649E&quot;/&gt;&lt;wsp:rsid wsp:val=&quot;004565EB&quot;/&gt;&lt;wsp:rsid wsp:val=&quot;00456861&quot;/&gt;&lt;wsp:rsid wsp:val=&quot;004572A3&quot;/&gt;&lt;wsp:rsid wsp:val=&quot;004576F2&quot;/&gt;&lt;wsp:rsid wsp:val=&quot;004577F9&quot;/&gt;&lt;wsp:rsid wsp:val=&quot;00457CC6&quot;/&gt;&lt;wsp:rsid wsp:val=&quot;00457DE2&quot;/&gt;&lt;wsp:rsid wsp:val=&quot;00457FB3&quot;/&gt;&lt;wsp:rsid wsp:val=&quot;004608B6&quot;/&gt;&lt;wsp:rsid wsp:val=&quot;004608EE&quot;/&gt;&lt;wsp:rsid wsp:val=&quot;0046098B&quot;/&gt;&lt;wsp:rsid wsp:val=&quot;004610D7&quot;/&gt;&lt;wsp:rsid wsp:val=&quot;00461155&quot;/&gt;&lt;wsp:rsid wsp:val=&quot;004615C4&quot;/&gt;&lt;wsp:rsid wsp:val=&quot;00461628&quot;/&gt;&lt;wsp:rsid wsp:val=&quot;00461A79&quot;/&gt;&lt;wsp:rsid wsp:val=&quot;0046245E&quot;/&gt;&lt;wsp:rsid wsp:val=&quot;00462996&quot;/&gt;&lt;wsp:rsid wsp:val=&quot;00462A41&quot;/&gt;&lt;wsp:rsid wsp:val=&quot;00462B20&quot;/&gt;&lt;wsp:rsid wsp:val=&quot;00462BD0&quot;/&gt;&lt;wsp:rsid wsp:val=&quot;00462D04&quot;/&gt;&lt;wsp:rsid wsp:val=&quot;00463017&quot;/&gt;&lt;wsp:rsid wsp:val=&quot;00463593&quot;/&gt;&lt;wsp:rsid wsp:val=&quot;004635B6&quot;/&gt;&lt;wsp:rsid wsp:val=&quot;0046376F&quot;/&gt;&lt;wsp:rsid wsp:val=&quot;00463986&quot;/&gt;&lt;wsp:rsid wsp:val=&quot;00463CF2&quot;/&gt;&lt;wsp:rsid wsp:val=&quot;0046420B&quot;/&gt;&lt;wsp:rsid wsp:val=&quot;00464B26&quot;/&gt;&lt;wsp:rsid wsp:val=&quot;00464CC2&quot;/&gt;&lt;wsp:rsid wsp:val=&quot;00464DAA&quot;/&gt;&lt;wsp:rsid wsp:val=&quot;004655C4&quot;/&gt;&lt;wsp:rsid wsp:val=&quot;004657FF&quot;/&gt;&lt;wsp:rsid wsp:val=&quot;00465892&quot;/&gt;&lt;wsp:rsid wsp:val=&quot;00465895&quot;/&gt;&lt;wsp:rsid wsp:val=&quot;00465A53&quot;/&gt;&lt;wsp:rsid wsp:val=&quot;00465CB2&quot;/&gt;&lt;wsp:rsid wsp:val=&quot;00465D75&quot;/&gt;&lt;wsp:rsid wsp:val=&quot;004661B1&quot;/&gt;&lt;wsp:rsid wsp:val=&quot;004663F7&quot;/&gt;&lt;wsp:rsid wsp:val=&quot;00466D7E&quot;/&gt;&lt;wsp:rsid wsp:val=&quot;004674C1&quot;/&gt;&lt;wsp:rsid wsp:val=&quot;00467852&quot;/&gt;&lt;wsp:rsid wsp:val=&quot;004679FD&quot;/&gt;&lt;wsp:rsid wsp:val=&quot;00470019&quot;/&gt;&lt;wsp:rsid wsp:val=&quot;00470308&quot;/&gt;&lt;wsp:rsid wsp:val=&quot;0047046B&quot;/&gt;&lt;wsp:rsid wsp:val=&quot;00470DB4&quot;/&gt;&lt;wsp:rsid wsp:val=&quot;0047107A&quot;/&gt;&lt;wsp:rsid wsp:val=&quot;004710D3&quot;/&gt;&lt;wsp:rsid wsp:val=&quot;004710DF&quot;/&gt;&lt;wsp:rsid wsp:val=&quot;004714D2&quot;/&gt;&lt;wsp:rsid wsp:val=&quot;00471507&quot;/&gt;&lt;wsp:rsid wsp:val=&quot;00471D6C&quot;/&gt;&lt;wsp:rsid wsp:val=&quot;00471E47&quot;/&gt;&lt;wsp:rsid wsp:val=&quot;00471FC5&quot;/&gt;&lt;wsp:rsid wsp:val=&quot;00472074&quot;/&gt;&lt;wsp:rsid wsp:val=&quot;00472AEE&quot;/&gt;&lt;wsp:rsid wsp:val=&quot;00472B3C&quot;/&gt;&lt;wsp:rsid wsp:val=&quot;00472B9D&quot;/&gt;&lt;wsp:rsid wsp:val=&quot;00472D20&quot;/&gt;&lt;wsp:rsid wsp:val=&quot;004737B3&quot;/&gt;&lt;wsp:rsid wsp:val=&quot;004738E4&quot;/&gt;&lt;wsp:rsid wsp:val=&quot;004738E5&quot;/&gt;&lt;wsp:rsid wsp:val=&quot;00473F1D&quot;/&gt;&lt;wsp:rsid wsp:val=&quot;004740CB&quot;/&gt;&lt;wsp:rsid wsp:val=&quot;004743A8&quot;/&gt;&lt;wsp:rsid wsp:val=&quot;0047459B&quot;/&gt;&lt;wsp:rsid wsp:val=&quot;0047466C&quot;/&gt;&lt;wsp:rsid wsp:val=&quot;00474928&quot;/&gt;&lt;wsp:rsid wsp:val=&quot;0047513F&quot;/&gt;&lt;wsp:rsid wsp:val=&quot;0047556E&quot;/&gt;&lt;wsp:rsid wsp:val=&quot;0047565B&quot;/&gt;&lt;wsp:rsid wsp:val=&quot;004757A8&quot;/&gt;&lt;wsp:rsid wsp:val=&quot;0047598B&quot;/&gt;&lt;wsp:rsid wsp:val=&quot;00475DAC&quot;/&gt;&lt;wsp:rsid wsp:val=&quot;004761DC&quot;/&gt;&lt;wsp:rsid wsp:val=&quot;0047633A&quot;/&gt;&lt;wsp:rsid wsp:val=&quot;0047634B&quot;/&gt;&lt;wsp:rsid wsp:val=&quot;00476428&quot;/&gt;&lt;wsp:rsid wsp:val=&quot;00476588&quot;/&gt;&lt;wsp:rsid wsp:val=&quot;00476831&quot;/&gt;&lt;wsp:rsid wsp:val=&quot;00476EBB&quot;/&gt;&lt;wsp:rsid wsp:val=&quot;0047711B&quot;/&gt;&lt;wsp:rsid wsp:val=&quot;00477336&quot;/&gt;&lt;wsp:rsid wsp:val=&quot;00477AA4&quot;/&gt;&lt;wsp:rsid wsp:val=&quot;00477C62&quot;/&gt;&lt;wsp:rsid wsp:val=&quot;00477E82&quot;/&gt;&lt;wsp:rsid wsp:val=&quot;00477FB2&quot;/&gt;&lt;wsp:rsid wsp:val=&quot;0048004E&quot;/&gt;&lt;wsp:rsid wsp:val=&quot;00480129&quot;/&gt;&lt;wsp:rsid wsp:val=&quot;00480575&quot;/&gt;&lt;wsp:rsid wsp:val=&quot;00480F11&quot;/&gt;&lt;wsp:rsid wsp:val=&quot;00482083&quot;/&gt;&lt;wsp:rsid wsp:val=&quot;004823C1&quot;/&gt;&lt;wsp:rsid wsp:val=&quot;004823D0&quot;/&gt;&lt;wsp:rsid wsp:val=&quot;004825D7&quot;/&gt;&lt;wsp:rsid wsp:val=&quot;004831BB&quot;/&gt;&lt;wsp:rsid wsp:val=&quot;00483290&quot;/&gt;&lt;wsp:rsid wsp:val=&quot;004834B7&quot;/&gt;&lt;wsp:rsid wsp:val=&quot;00483841&quot;/&gt;&lt;wsp:rsid wsp:val=&quot;00483914&quot;/&gt;&lt;wsp:rsid wsp:val=&quot;00483C6F&quot;/&gt;&lt;wsp:rsid wsp:val=&quot;00484263&quot;/&gt;&lt;wsp:rsid wsp:val=&quot;004843B5&quot;/&gt;&lt;wsp:rsid wsp:val=&quot;004844FC&quot;/&gt;&lt;wsp:rsid wsp:val=&quot;00484FDF&quot;/&gt;&lt;wsp:rsid wsp:val=&quot;004854A5&quot;/&gt;&lt;wsp:rsid wsp:val=&quot;004855F1&quot;/&gt;&lt;wsp:rsid wsp:val=&quot;00485A07&quot;/&gt;&lt;wsp:rsid wsp:val=&quot;00485A73&quot;/&gt;&lt;wsp:rsid wsp:val=&quot;00485D62&quot;/&gt;&lt;wsp:rsid wsp:val=&quot;00485D6D&quot;/&gt;&lt;wsp:rsid wsp:val=&quot;00485EDD&quot;/&gt;&lt;wsp:rsid wsp:val=&quot;00486243&quot;/&gt;&lt;wsp:rsid wsp:val=&quot;00486319&quot;/&gt;&lt;wsp:rsid wsp:val=&quot;004864A6&quot;/&gt;&lt;wsp:rsid wsp:val=&quot;004865EE&quot;/&gt;&lt;wsp:rsid wsp:val=&quot;004868A0&quot;/&gt;&lt;wsp:rsid wsp:val=&quot;00486B0E&quot;/&gt;&lt;wsp:rsid wsp:val=&quot;00487952&quot;/&gt;&lt;wsp:rsid wsp:val=&quot;00487F97&quot;/&gt;&lt;wsp:rsid wsp:val=&quot;00490235&quot;/&gt;&lt;wsp:rsid wsp:val=&quot;004904F5&quot;/&gt;&lt;wsp:rsid wsp:val=&quot;00490575&quot;/&gt;&lt;wsp:rsid wsp:val=&quot;0049105E&quot;/&gt;&lt;wsp:rsid wsp:val=&quot;0049114B&quot;/&gt;&lt;wsp:rsid wsp:val=&quot;004913BD&quot;/&gt;&lt;wsp:rsid wsp:val=&quot;00491B51&quot;/&gt;&lt;wsp:rsid wsp:val=&quot;0049254E&quot;/&gt;&lt;wsp:rsid wsp:val=&quot;00492B5E&quot;/&gt;&lt;wsp:rsid wsp:val=&quot;00492B75&quot;/&gt;&lt;wsp:rsid wsp:val=&quot;00492BDE&quot;/&gt;&lt;wsp:rsid wsp:val=&quot;00493194&quot;/&gt;&lt;wsp:rsid wsp:val=&quot;004933E0&quot;/&gt;&lt;wsp:rsid wsp:val=&quot;0049407C&quot;/&gt;&lt;wsp:rsid wsp:val=&quot;004947BD&quot;/&gt;&lt;wsp:rsid wsp:val=&quot;004948E4&quot;/&gt;&lt;wsp:rsid wsp:val=&quot;00494D55&quot;/&gt;&lt;wsp:rsid wsp:val=&quot;004953A7&quot;/&gt;&lt;wsp:rsid wsp:val=&quot;00495729&quot;/&gt;&lt;wsp:rsid wsp:val=&quot;00495C08&quot;/&gt;&lt;wsp:rsid wsp:val=&quot;00495C16&quot;/&gt;&lt;wsp:rsid wsp:val=&quot;00495EDB&quot;/&gt;&lt;wsp:rsid wsp:val=&quot;00495FEA&quot;/&gt;&lt;wsp:rsid wsp:val=&quot;004963FD&quot;/&gt;&lt;wsp:rsid wsp:val=&quot;004975DF&quot;/&gt;&lt;wsp:rsid wsp:val=&quot;004976A3&quot;/&gt;&lt;wsp:rsid wsp:val=&quot;00497F41&quot;/&gt;&lt;wsp:rsid wsp:val=&quot;004A0140&quot;/&gt;&lt;wsp:rsid wsp:val=&quot;004A0471&quot;/&gt;&lt;wsp:rsid wsp:val=&quot;004A09B6&quot;/&gt;&lt;wsp:rsid wsp:val=&quot;004A12A2&quot;/&gt;&lt;wsp:rsid wsp:val=&quot;004A1350&quot;/&gt;&lt;wsp:rsid wsp:val=&quot;004A138A&quot;/&gt;&lt;wsp:rsid wsp:val=&quot;004A1B0F&quot;/&gt;&lt;wsp:rsid wsp:val=&quot;004A1CF9&quot;/&gt;&lt;wsp:rsid wsp:val=&quot;004A1FE1&quot;/&gt;&lt;wsp:rsid wsp:val=&quot;004A2013&quot;/&gt;&lt;wsp:rsid wsp:val=&quot;004A228C&quot;/&gt;&lt;wsp:rsid wsp:val=&quot;004A29C1&quot;/&gt;&lt;wsp:rsid wsp:val=&quot;004A29F7&quot;/&gt;&lt;wsp:rsid wsp:val=&quot;004A2FEB&quot;/&gt;&lt;wsp:rsid wsp:val=&quot;004A3467&quot;/&gt;&lt;wsp:rsid wsp:val=&quot;004A34BC&quot;/&gt;&lt;wsp:rsid wsp:val=&quot;004A4183&quot;/&gt;&lt;wsp:rsid wsp:val=&quot;004A460D&quot;/&gt;&lt;wsp:rsid wsp:val=&quot;004A4913&quot;/&gt;&lt;wsp:rsid wsp:val=&quot;004A4985&quot;/&gt;&lt;wsp:rsid wsp:val=&quot;004A49CD&quot;/&gt;&lt;wsp:rsid wsp:val=&quot;004A4D4D&quot;/&gt;&lt;wsp:rsid wsp:val=&quot;004A526B&quot;/&gt;&lt;wsp:rsid wsp:val=&quot;004A52FC&quot;/&gt;&lt;wsp:rsid wsp:val=&quot;004A535F&quot;/&gt;&lt;wsp:rsid wsp:val=&quot;004A55B8&quot;/&gt;&lt;wsp:rsid wsp:val=&quot;004A5826&quot;/&gt;&lt;wsp:rsid wsp:val=&quot;004A6463&quot;/&gt;&lt;wsp:rsid wsp:val=&quot;004A659B&quot;/&gt;&lt;wsp:rsid wsp:val=&quot;004A65E6&quot;/&gt;&lt;wsp:rsid wsp:val=&quot;004A6695&quot;/&gt;&lt;wsp:rsid wsp:val=&quot;004A671E&quot;/&gt;&lt;wsp:rsid wsp:val=&quot;004A673C&quot;/&gt;&lt;wsp:rsid wsp:val=&quot;004A6C23&quot;/&gt;&lt;wsp:rsid wsp:val=&quot;004A7471&quot;/&gt;&lt;wsp:rsid wsp:val=&quot;004A77E1&quot;/&gt;&lt;wsp:rsid wsp:val=&quot;004A783D&quot;/&gt;&lt;wsp:rsid wsp:val=&quot;004B0247&quot;/&gt;&lt;wsp:rsid wsp:val=&quot;004B064C&quot;/&gt;&lt;wsp:rsid wsp:val=&quot;004B1565&quot;/&gt;&lt;wsp:rsid wsp:val=&quot;004B1868&quot;/&gt;&lt;wsp:rsid wsp:val=&quot;004B1AFA&quot;/&gt;&lt;wsp:rsid wsp:val=&quot;004B204C&quot;/&gt;&lt;wsp:rsid wsp:val=&quot;004B208C&quot;/&gt;&lt;wsp:rsid wsp:val=&quot;004B2265&quot;/&gt;&lt;wsp:rsid wsp:val=&quot;004B2807&quot;/&gt;&lt;wsp:rsid wsp:val=&quot;004B2918&quot;/&gt;&lt;wsp:rsid wsp:val=&quot;004B3418&quot;/&gt;&lt;wsp:rsid wsp:val=&quot;004B3574&quot;/&gt;&lt;wsp:rsid wsp:val=&quot;004B3864&quot;/&gt;&lt;wsp:rsid wsp:val=&quot;004B3D7B&quot;/&gt;&lt;wsp:rsid wsp:val=&quot;004B3DD6&quot;/&gt;&lt;wsp:rsid wsp:val=&quot;004B3FD2&quot;/&gt;&lt;wsp:rsid wsp:val=&quot;004B40A6&quot;/&gt;&lt;wsp:rsid wsp:val=&quot;004B4A4D&quot;/&gt;&lt;wsp:rsid wsp:val=&quot;004B4D89&quot;/&gt;&lt;wsp:rsid wsp:val=&quot;004B4EBD&quot;/&gt;&lt;wsp:rsid wsp:val=&quot;004B54E6&quot;/&gt;&lt;wsp:rsid wsp:val=&quot;004B5828&quot;/&gt;&lt;wsp:rsid wsp:val=&quot;004B5884&quot;/&gt;&lt;wsp:rsid wsp:val=&quot;004B5B64&quot;/&gt;&lt;wsp:rsid wsp:val=&quot;004B5B9E&quot;/&gt;&lt;wsp:rsid wsp:val=&quot;004B5CD7&quot;/&gt;&lt;wsp:rsid wsp:val=&quot;004B5D77&quot;/&gt;&lt;wsp:rsid wsp:val=&quot;004B6016&quot;/&gt;&lt;wsp:rsid wsp:val=&quot;004B635B&quot;/&gt;&lt;wsp:rsid wsp:val=&quot;004B665D&quot;/&gt;&lt;wsp:rsid wsp:val=&quot;004B68B5&quot;/&gt;&lt;wsp:rsid wsp:val=&quot;004B69F9&quot;/&gt;&lt;wsp:rsid wsp:val=&quot;004B6C92&quot;/&gt;&lt;wsp:rsid wsp:val=&quot;004B6FBE&quot;/&gt;&lt;wsp:rsid wsp:val=&quot;004B7820&quot;/&gt;&lt;wsp:rsid wsp:val=&quot;004B7D4C&quot;/&gt;&lt;wsp:rsid wsp:val=&quot;004C01AC&quot;/&gt;&lt;wsp:rsid wsp:val=&quot;004C09A9&quot;/&gt;&lt;wsp:rsid wsp:val=&quot;004C0B00&quot;/&gt;&lt;wsp:rsid wsp:val=&quot;004C18D7&quot;/&gt;&lt;wsp:rsid wsp:val=&quot;004C1BEF&quot;/&gt;&lt;wsp:rsid wsp:val=&quot;004C1CB1&quot;/&gt;&lt;wsp:rsid wsp:val=&quot;004C23AD&quot;/&gt;&lt;wsp:rsid wsp:val=&quot;004C250D&quot;/&gt;&lt;wsp:rsid wsp:val=&quot;004C25C6&quot;/&gt;&lt;wsp:rsid wsp:val=&quot;004C2D23&quot;/&gt;&lt;wsp:rsid wsp:val=&quot;004C2E11&quot;/&gt;&lt;wsp:rsid wsp:val=&quot;004C32C2&quot;/&gt;&lt;wsp:rsid wsp:val=&quot;004C333E&quot;/&gt;&lt;wsp:rsid wsp:val=&quot;004C34B9&quot;/&gt;&lt;wsp:rsid wsp:val=&quot;004C4198&quot;/&gt;&lt;wsp:rsid wsp:val=&quot;004C4728&quot;/&gt;&lt;wsp:rsid wsp:val=&quot;004C4B4F&quot;/&gt;&lt;wsp:rsid wsp:val=&quot;004C4B62&quot;/&gt;&lt;wsp:rsid wsp:val=&quot;004C4C89&quot;/&gt;&lt;wsp:rsid wsp:val=&quot;004C599B&quot;/&gt;&lt;wsp:rsid wsp:val=&quot;004C5EBE&quot;/&gt;&lt;wsp:rsid wsp:val=&quot;004C6382&quot;/&gt;&lt;wsp:rsid wsp:val=&quot;004C63EC&quot;/&gt;&lt;wsp:rsid wsp:val=&quot;004C6C36&quot;/&gt;&lt;wsp:rsid wsp:val=&quot;004C6F21&quot;/&gt;&lt;wsp:rsid wsp:val=&quot;004C71AA&quot;/&gt;&lt;wsp:rsid wsp:val=&quot;004C7984&quot;/&gt;&lt;wsp:rsid wsp:val=&quot;004C7A1E&quot;/&gt;&lt;wsp:rsid wsp:val=&quot;004D03BC&quot;/&gt;&lt;wsp:rsid wsp:val=&quot;004D071E&quot;/&gt;&lt;wsp:rsid wsp:val=&quot;004D0B5C&quot;/&gt;&lt;wsp:rsid wsp:val=&quot;004D0D8C&quot;/&gt;&lt;wsp:rsid wsp:val=&quot;004D0EED&quot;/&gt;&lt;wsp:rsid wsp:val=&quot;004D0F83&quot;/&gt;&lt;wsp:rsid wsp:val=&quot;004D10C5&quot;/&gt;&lt;wsp:rsid wsp:val=&quot;004D1891&quot;/&gt;&lt;wsp:rsid wsp:val=&quot;004D1ABA&quot;/&gt;&lt;wsp:rsid wsp:val=&quot;004D1BF0&quot;/&gt;&lt;wsp:rsid wsp:val=&quot;004D1C79&quot;/&gt;&lt;wsp:rsid wsp:val=&quot;004D21E0&quot;/&gt;&lt;wsp:rsid wsp:val=&quot;004D2573&quot;/&gt;&lt;wsp:rsid wsp:val=&quot;004D25A3&quot;/&gt;&lt;wsp:rsid wsp:val=&quot;004D275D&quot;/&gt;&lt;wsp:rsid wsp:val=&quot;004D2765&quot;/&gt;&lt;wsp:rsid wsp:val=&quot;004D277D&quot;/&gt;&lt;wsp:rsid wsp:val=&quot;004D2F4E&quot;/&gt;&lt;wsp:rsid wsp:val=&quot;004D30BB&quot;/&gt;&lt;wsp:rsid wsp:val=&quot;004D33EA&quot;/&gt;&lt;wsp:rsid wsp:val=&quot;004D39E7&quot;/&gt;&lt;wsp:rsid wsp:val=&quot;004D3E26&quot;/&gt;&lt;wsp:rsid wsp:val=&quot;004D3EE1&quot;/&gt;&lt;wsp:rsid wsp:val=&quot;004D3FC0&quot;/&gt;&lt;wsp:rsid wsp:val=&quot;004D4395&quot;/&gt;&lt;wsp:rsid wsp:val=&quot;004D444D&quot;/&gt;&lt;wsp:rsid wsp:val=&quot;004D47AB&quot;/&gt;&lt;wsp:rsid wsp:val=&quot;004D4AC7&quot;/&gt;&lt;wsp:rsid wsp:val=&quot;004D4D68&quot;/&gt;&lt;wsp:rsid wsp:val=&quot;004D5020&quot;/&gt;&lt;wsp:rsid wsp:val=&quot;004D5071&quot;/&gt;&lt;wsp:rsid wsp:val=&quot;004D5804&quot;/&gt;&lt;wsp:rsid wsp:val=&quot;004D5A8D&quot;/&gt;&lt;wsp:rsid wsp:val=&quot;004D5F5C&quot;/&gt;&lt;wsp:rsid wsp:val=&quot;004D5FD4&quot;/&gt;&lt;wsp:rsid wsp:val=&quot;004D6295&quot;/&gt;&lt;wsp:rsid wsp:val=&quot;004D67A6&quot;/&gt;&lt;wsp:rsid wsp:val=&quot;004D77DE&quot;/&gt;&lt;wsp:rsid wsp:val=&quot;004D77FD&quot;/&gt;&lt;wsp:rsid wsp:val=&quot;004D7C39&quot;/&gt;&lt;wsp:rsid wsp:val=&quot;004D7C90&quot;/&gt;&lt;wsp:rsid wsp:val=&quot;004E0426&quot;/&gt;&lt;wsp:rsid wsp:val=&quot;004E05BD&quot;/&gt;&lt;wsp:rsid wsp:val=&quot;004E083A&quot;/&gt;&lt;wsp:rsid wsp:val=&quot;004E0C40&quot;/&gt;&lt;wsp:rsid wsp:val=&quot;004E0DE8&quot;/&gt;&lt;wsp:rsid wsp:val=&quot;004E0F77&quot;/&gt;&lt;wsp:rsid wsp:val=&quot;004E0FF8&quot;/&gt;&lt;wsp:rsid wsp:val=&quot;004E1812&quot;/&gt;&lt;wsp:rsid wsp:val=&quot;004E23F3&quot;/&gt;&lt;wsp:rsid wsp:val=&quot;004E2C7E&quot;/&gt;&lt;wsp:rsid wsp:val=&quot;004E2D66&quot;/&gt;&lt;wsp:rsid wsp:val=&quot;004E2E3E&quot;/&gt;&lt;wsp:rsid wsp:val=&quot;004E335C&quot;/&gt;&lt;wsp:rsid wsp:val=&quot;004E3A87&quot;/&gt;&lt;wsp:rsid wsp:val=&quot;004E3B92&quot;/&gt;&lt;wsp:rsid wsp:val=&quot;004E3D74&quot;/&gt;&lt;wsp:rsid wsp:val=&quot;004E3DDC&quot;/&gt;&lt;wsp:rsid wsp:val=&quot;004E3E91&quot;/&gt;&lt;wsp:rsid wsp:val=&quot;004E4004&quot;/&gt;&lt;wsp:rsid wsp:val=&quot;004E42DB&quot;/&gt;&lt;wsp:rsid wsp:val=&quot;004E43EC&quot;/&gt;&lt;wsp:rsid wsp:val=&quot;004E499A&quot;/&gt;&lt;wsp:rsid wsp:val=&quot;004E4CBB&quot;/&gt;&lt;wsp:rsid wsp:val=&quot;004E4D99&quot;/&gt;&lt;wsp:rsid wsp:val=&quot;004E53BC&quot;/&gt;&lt;wsp:rsid wsp:val=&quot;004E5962&quot;/&gt;&lt;wsp:rsid wsp:val=&quot;004E599D&quot;/&gt;&lt;wsp:rsid wsp:val=&quot;004E59C9&quot;/&gt;&lt;wsp:rsid wsp:val=&quot;004E5BD3&quot;/&gt;&lt;wsp:rsid wsp:val=&quot;004E5D2E&quot;/&gt;&lt;wsp:rsid wsp:val=&quot;004E6536&quot;/&gt;&lt;wsp:rsid wsp:val=&quot;004E6641&quot;/&gt;&lt;wsp:rsid wsp:val=&quot;004E73C7&quot;/&gt;&lt;wsp:rsid wsp:val=&quot;004E7C33&quot;/&gt;&lt;wsp:rsid wsp:val=&quot;004E7D31&quot;/&gt;&lt;wsp:rsid wsp:val=&quot;004F06A5&quot;/&gt;&lt;wsp:rsid wsp:val=&quot;004F079A&quot;/&gt;&lt;wsp:rsid wsp:val=&quot;004F0CB5&quot;/&gt;&lt;wsp:rsid wsp:val=&quot;004F0D68&quot;/&gt;&lt;wsp:rsid wsp:val=&quot;004F0FA8&quot;/&gt;&lt;wsp:rsid wsp:val=&quot;004F1289&quot;/&gt;&lt;wsp:rsid wsp:val=&quot;004F12F9&quot;/&gt;&lt;wsp:rsid wsp:val=&quot;004F13D4&quot;/&gt;&lt;wsp:rsid wsp:val=&quot;004F1476&quot;/&gt;&lt;wsp:rsid wsp:val=&quot;004F1559&quot;/&gt;&lt;wsp:rsid wsp:val=&quot;004F185C&quot;/&gt;&lt;wsp:rsid wsp:val=&quot;004F1E33&quot;/&gt;&lt;wsp:rsid wsp:val=&quot;004F1F62&quot;/&gt;&lt;wsp:rsid wsp:val=&quot;004F2016&quot;/&gt;&lt;wsp:rsid wsp:val=&quot;004F21E8&quot;/&gt;&lt;wsp:rsid wsp:val=&quot;004F2253&quot;/&gt;&lt;wsp:rsid wsp:val=&quot;004F2456&quot;/&gt;&lt;wsp:rsid wsp:val=&quot;004F2B1A&quot;/&gt;&lt;wsp:rsid wsp:val=&quot;004F2C0A&quot;/&gt;&lt;wsp:rsid wsp:val=&quot;004F2CEB&quot;/&gt;&lt;wsp:rsid wsp:val=&quot;004F2E19&quot;/&gt;&lt;wsp:rsid wsp:val=&quot;004F2F6E&quot;/&gt;&lt;wsp:rsid wsp:val=&quot;004F3332&quot;/&gt;&lt;wsp:rsid wsp:val=&quot;004F35E4&quot;/&gt;&lt;wsp:rsid wsp:val=&quot;004F37F2&quot;/&gt;&lt;wsp:rsid wsp:val=&quot;004F3BD5&quot;/&gt;&lt;wsp:rsid wsp:val=&quot;004F3DF1&quot;/&gt;&lt;wsp:rsid wsp:val=&quot;004F3E04&quot;/&gt;&lt;wsp:rsid wsp:val=&quot;004F3EA2&quot;/&gt;&lt;wsp:rsid wsp:val=&quot;004F4149&quot;/&gt;&lt;wsp:rsid wsp:val=&quot;004F459E&quot;/&gt;&lt;wsp:rsid wsp:val=&quot;004F48F8&quot;/&gt;&lt;wsp:rsid wsp:val=&quot;004F493C&quot;/&gt;&lt;wsp:rsid wsp:val=&quot;004F499C&quot;/&gt;&lt;wsp:rsid wsp:val=&quot;004F49A5&quot;/&gt;&lt;wsp:rsid wsp:val=&quot;004F49BE&quot;/&gt;&lt;wsp:rsid wsp:val=&quot;004F4AD3&quot;/&gt;&lt;wsp:rsid wsp:val=&quot;004F4C62&quot;/&gt;&lt;wsp:rsid wsp:val=&quot;004F4E5C&quot;/&gt;&lt;wsp:rsid wsp:val=&quot;004F4FE3&quot;/&gt;&lt;wsp:rsid wsp:val=&quot;004F50D5&quot;/&gt;&lt;wsp:rsid wsp:val=&quot;004F558C&quot;/&gt;&lt;wsp:rsid wsp:val=&quot;004F570C&quot;/&gt;&lt;wsp:rsid wsp:val=&quot;004F5743&quot;/&gt;&lt;wsp:rsid wsp:val=&quot;004F584B&quot;/&gt;&lt;wsp:rsid wsp:val=&quot;004F5EA8&quot;/&gt;&lt;wsp:rsid wsp:val=&quot;004F5F4E&quot;/&gt;&lt;wsp:rsid wsp:val=&quot;004F610E&quot;/&gt;&lt;wsp:rsid wsp:val=&quot;004F614C&quot;/&gt;&lt;wsp:rsid wsp:val=&quot;004F640C&quot;/&gt;&lt;wsp:rsid wsp:val=&quot;004F648F&quot;/&gt;&lt;wsp:rsid wsp:val=&quot;004F661A&quot;/&gt;&lt;wsp:rsid wsp:val=&quot;004F66B1&quot;/&gt;&lt;wsp:rsid wsp:val=&quot;004F6921&quot;/&gt;&lt;wsp:rsid wsp:val=&quot;004F6A7F&quot;/&gt;&lt;wsp:rsid wsp:val=&quot;004F7E50&quot;/&gt;&lt;wsp:rsid wsp:val=&quot;00500024&quot;/&gt;&lt;wsp:rsid wsp:val=&quot;00500107&quot;/&gt;&lt;wsp:rsid wsp:val=&quot;005009D2&quot;/&gt;&lt;wsp:rsid wsp:val=&quot;00500BD8&quot;/&gt;&lt;wsp:rsid wsp:val=&quot;00501096&quot;/&gt;&lt;wsp:rsid wsp:val=&quot;00501673&quot;/&gt;&lt;wsp:rsid wsp:val=&quot;00501987&quot;/&gt;&lt;wsp:rsid wsp:val=&quot;00501B01&quot;/&gt;&lt;wsp:rsid wsp:val=&quot;00501DCB&quot;/&gt;&lt;wsp:rsid wsp:val=&quot;00502AD0&quot;/&gt;&lt;wsp:rsid wsp:val=&quot;00502BB3&quot;/&gt;&lt;wsp:rsid wsp:val=&quot;00502C3F&quot;/&gt;&lt;wsp:rsid wsp:val=&quot;005035A1&quot;/&gt;&lt;wsp:rsid wsp:val=&quot;00503842&quot;/&gt;&lt;wsp:rsid wsp:val=&quot;005044D5&quot;/&gt;&lt;wsp:rsid wsp:val=&quot;00504A51&quot;/&gt;&lt;wsp:rsid wsp:val=&quot;005051ED&quot;/&gt;&lt;wsp:rsid wsp:val=&quot;00505FBE&quot;/&gt;&lt;wsp:rsid wsp:val=&quot;00506378&quot;/&gt;&lt;wsp:rsid wsp:val=&quot;00506592&quot;/&gt;&lt;wsp:rsid wsp:val=&quot;00506747&quot;/&gt;&lt;wsp:rsid wsp:val=&quot;0050687B&quot;/&gt;&lt;wsp:rsid wsp:val=&quot;005069F5&quot;/&gt;&lt;wsp:rsid wsp:val=&quot;00506FD2&quot;/&gt;&lt;wsp:rsid wsp:val=&quot;00507179&quot;/&gt;&lt;wsp:rsid wsp:val=&quot;005072F6&quot;/&gt;&lt;wsp:rsid wsp:val=&quot;00507381&quot;/&gt;&lt;wsp:rsid wsp:val=&quot;0050773C&quot;/&gt;&lt;wsp:rsid wsp:val=&quot;00507779&quot;/&gt;&lt;wsp:rsid wsp:val=&quot;00507D35&quot;/&gt;&lt;wsp:rsid wsp:val=&quot;00507F4E&quot;/&gt;&lt;wsp:rsid wsp:val=&quot;00507F57&quot;/&gt;&lt;wsp:rsid wsp:val=&quot;00510163&quot;/&gt;&lt;wsp:rsid wsp:val=&quot;00510930&quot;/&gt;&lt;wsp:rsid wsp:val=&quot;00510E58&quot;/&gt;&lt;wsp:rsid wsp:val=&quot;00511235&quot;/&gt;&lt;wsp:rsid wsp:val=&quot;00511361&quot;/&gt;&lt;wsp:rsid wsp:val=&quot;00511736&quot;/&gt;&lt;wsp:rsid wsp:val=&quot;0051182C&quot;/&gt;&lt;wsp:rsid wsp:val=&quot;0051189B&quot;/&gt;&lt;wsp:rsid wsp:val=&quot;00512066&quot;/&gt;&lt;wsp:rsid wsp:val=&quot;005120DF&quot;/&gt;&lt;wsp:rsid wsp:val=&quot;0051292A&quot;/&gt;&lt;wsp:rsid wsp:val=&quot;00513042&quot;/&gt;&lt;wsp:rsid wsp:val=&quot;00513388&quot;/&gt;&lt;wsp:rsid wsp:val=&quot;0051363C&quot;/&gt;&lt;wsp:rsid wsp:val=&quot;0051372D&quot;/&gt;&lt;wsp:rsid wsp:val=&quot;0051374C&quot;/&gt;&lt;wsp:rsid wsp:val=&quot;00513BE8&quot;/&gt;&lt;wsp:rsid wsp:val=&quot;00513C79&quot;/&gt;&lt;wsp:rsid wsp:val=&quot;00513DBA&quot;/&gt;&lt;wsp:rsid wsp:val=&quot;00514228&quot;/&gt;&lt;wsp:rsid wsp:val=&quot;00514E5D&quot;/&gt;&lt;wsp:rsid wsp:val=&quot;005151F6&quot;/&gt;&lt;wsp:rsid wsp:val=&quot;005154BA&quot;/&gt;&lt;wsp:rsid wsp:val=&quot;00515673&quot;/&gt;&lt;wsp:rsid wsp:val=&quot;005158CD&quot;/&gt;&lt;wsp:rsid wsp:val=&quot;00515A5C&quot;/&gt;&lt;wsp:rsid wsp:val=&quot;00516006&quot;/&gt;&lt;wsp:rsid wsp:val=&quot;0051654E&quot;/&gt;&lt;wsp:rsid wsp:val=&quot;00516F54&quot;/&gt;&lt;wsp:rsid wsp:val=&quot;00516FB9&quot;/&gt;&lt;wsp:rsid wsp:val=&quot;00517056&quot;/&gt;&lt;wsp:rsid wsp:val=&quot;0051738D&quot;/&gt;&lt;wsp:rsid wsp:val=&quot;005177AA&quot;/&gt;&lt;wsp:rsid wsp:val=&quot;00517F51&quot;/&gt;&lt;wsp:rsid wsp:val=&quot;00520168&quot;/&gt;&lt;wsp:rsid wsp:val=&quot;00520389&quot;/&gt;&lt;wsp:rsid wsp:val=&quot;005205D4&quot;/&gt;&lt;wsp:rsid wsp:val=&quot;00520884&quot;/&gt;&lt;wsp:rsid wsp:val=&quot;00520F1C&quot;/&gt;&lt;wsp:rsid wsp:val=&quot;005212C4&quot;/&gt;&lt;wsp:rsid wsp:val=&quot;0052132B&quot;/&gt;&lt;wsp:rsid wsp:val=&quot;005217F1&quot;/&gt;&lt;wsp:rsid wsp:val=&quot;00521DC4&quot;/&gt;&lt;wsp:rsid wsp:val=&quot;00521EC4&quot;/&gt;&lt;wsp:rsid wsp:val=&quot;0052253C&quot;/&gt;&lt;wsp:rsid wsp:val=&quot;00522688&quot;/&gt;&lt;wsp:rsid wsp:val=&quot;00522804&quot;/&gt;&lt;wsp:rsid wsp:val=&quot;00522A82&quot;/&gt;&lt;wsp:rsid wsp:val=&quot;00522FB4&quot;/&gt;&lt;wsp:rsid wsp:val=&quot;00523487&quot;/&gt;&lt;wsp:rsid wsp:val=&quot;005238EC&quot;/&gt;&lt;wsp:rsid wsp:val=&quot;00523D71&quot;/&gt;&lt;wsp:rsid wsp:val=&quot;00523DA4&quot;/&gt;&lt;wsp:rsid wsp:val=&quot;00523EED&quot;/&gt;&lt;wsp:rsid wsp:val=&quot;00523FBF&quot;/&gt;&lt;wsp:rsid wsp:val=&quot;0052442B&quot;/&gt;&lt;wsp:rsid wsp:val=&quot;005245AE&quot;/&gt;&lt;wsp:rsid wsp:val=&quot;005245C6&quot;/&gt;&lt;wsp:rsid wsp:val=&quot;0052478D&quot;/&gt;&lt;wsp:rsid wsp:val=&quot;005247D8&quot;/&gt;&lt;wsp:rsid wsp:val=&quot;00524D49&quot;/&gt;&lt;wsp:rsid wsp:val=&quot;005254BF&quot;/&gt;&lt;wsp:rsid wsp:val=&quot;005255AF&quot;/&gt;&lt;wsp:rsid wsp:val=&quot;00525B54&quot;/&gt;&lt;wsp:rsid wsp:val=&quot;00525E90&quot;/&gt;&lt;wsp:rsid wsp:val=&quot;00525FFB&quot;/&gt;&lt;wsp:rsid wsp:val=&quot;005260A9&quot;/&gt;&lt;wsp:rsid wsp:val=&quot;00526109&quot;/&gt;&lt;wsp:rsid wsp:val=&quot;00526E53&quot;/&gt;&lt;wsp:rsid wsp:val=&quot;00526EDD&quot;/&gt;&lt;wsp:rsid wsp:val=&quot;0052703E&quot;/&gt;&lt;wsp:rsid wsp:val=&quot;00527289&quot;/&gt;&lt;wsp:rsid wsp:val=&quot;00527CBA&quot;/&gt;&lt;wsp:rsid wsp:val=&quot;00530412&quot;/&gt;&lt;wsp:rsid wsp:val=&quot;005308A3&quot;/&gt;&lt;wsp:rsid wsp:val=&quot;00530BAD&quot;/&gt;&lt;wsp:rsid wsp:val=&quot;00530D07&quot;/&gt;&lt;wsp:rsid wsp:val=&quot;005314D2&quot;/&gt;&lt;wsp:rsid wsp:val=&quot;00531A24&quot;/&gt;&lt;wsp:rsid wsp:val=&quot;00532160&quot;/&gt;&lt;wsp:rsid wsp:val=&quot;0053238B&quot;/&gt;&lt;wsp:rsid wsp:val=&quot;00532486&quot;/&gt;&lt;wsp:rsid wsp:val=&quot;005324E5&quot;/&gt;&lt;wsp:rsid wsp:val=&quot;005329A8&quot;/&gt;&lt;wsp:rsid wsp:val=&quot;00532B2A&quot;/&gt;&lt;wsp:rsid wsp:val=&quot;00532F0D&quot;/&gt;&lt;wsp:rsid wsp:val=&quot;0053335A&quot;/&gt;&lt;wsp:rsid wsp:val=&quot;005335C8&quot;/&gt;&lt;wsp:rsid wsp:val=&quot;00533850&quot;/&gt;&lt;wsp:rsid wsp:val=&quot;00533D2B&quot;/&gt;&lt;wsp:rsid wsp:val=&quot;00533E8C&quot;/&gt;&lt;wsp:rsid wsp:val=&quot;00533F94&quot;/&gt;&lt;wsp:rsid wsp:val=&quot;0053419B&quot;/&gt;&lt;wsp:rsid wsp:val=&quot;005348E7&quot;/&gt;&lt;wsp:rsid wsp:val=&quot;00534921&quot;/&gt;&lt;wsp:rsid wsp:val=&quot;00535204&quot;/&gt;&lt;wsp:rsid wsp:val=&quot;00535364&quot;/&gt;&lt;wsp:rsid wsp:val=&quot;00535D15&quot;/&gt;&lt;wsp:rsid wsp:val=&quot;00535E04&quot;/&gt;&lt;wsp:rsid wsp:val=&quot;005367F3&quot;/&gt;&lt;wsp:rsid wsp:val=&quot;005369FC&quot;/&gt;&lt;wsp:rsid wsp:val=&quot;00536BEA&quot;/&gt;&lt;wsp:rsid wsp:val=&quot;0053739E&quot;/&gt;&lt;wsp:rsid wsp:val=&quot;00537593&quot;/&gt;&lt;wsp:rsid wsp:val=&quot;005376AC&quot;/&gt;&lt;wsp:rsid wsp:val=&quot;00537A5E&quot;/&gt;&lt;wsp:rsid wsp:val=&quot;005401B7&quot;/&gt;&lt;wsp:rsid wsp:val=&quot;00540586&quot;/&gt;&lt;wsp:rsid wsp:val=&quot;00540626&quot;/&gt;&lt;wsp:rsid wsp:val=&quot;00540BBF&quot;/&gt;&lt;wsp:rsid wsp:val=&quot;00540BE8&quot;/&gt;&lt;wsp:rsid wsp:val=&quot;00540CAE&quot;/&gt;&lt;wsp:rsid wsp:val=&quot;00541043&quot;/&gt;&lt;wsp:rsid wsp:val=&quot;00541503&quot;/&gt;&lt;wsp:rsid wsp:val=&quot;00541761&quot;/&gt;&lt;wsp:rsid wsp:val=&quot;00542050&quot;/&gt;&lt;wsp:rsid wsp:val=&quot;00542548&quot;/&gt;&lt;wsp:rsid wsp:val=&quot;00542876&quot;/&gt;&lt;wsp:rsid wsp:val=&quot;00542B60&quot;/&gt;&lt;wsp:rsid wsp:val=&quot;00542BD8&quot;/&gt;&lt;wsp:rsid wsp:val=&quot;00542D44&quot;/&gt;&lt;wsp:rsid wsp:val=&quot;00542E9C&quot;/&gt;&lt;wsp:rsid wsp:val=&quot;00543459&quot;/&gt;&lt;wsp:rsid wsp:val=&quot;00543D53&quot;/&gt;&lt;wsp:rsid wsp:val=&quot;00544120&quot;/&gt;&lt;wsp:rsid wsp:val=&quot;00544895&quot;/&gt;&lt;wsp:rsid wsp:val=&quot;005449D5&quot;/&gt;&lt;wsp:rsid wsp:val=&quot;00545012&quot;/&gt;&lt;wsp:rsid wsp:val=&quot;005454FC&quot;/&gt;&lt;wsp:rsid wsp:val=&quot;0054566F&quot;/&gt;&lt;wsp:rsid wsp:val=&quot;00545D06&quot;/&gt;&lt;wsp:rsid wsp:val=&quot;005463E8&quot;/&gt;&lt;wsp:rsid wsp:val=&quot;0054694F&quot;/&gt;&lt;wsp:rsid wsp:val=&quot;0054697A&quot;/&gt;&lt;wsp:rsid wsp:val=&quot;00546AFD&quot;/&gt;&lt;wsp:rsid wsp:val=&quot;005470B2&quot;/&gt;&lt;wsp:rsid wsp:val=&quot;005470DB&quot;/&gt;&lt;wsp:rsid wsp:val=&quot;00547106&quot;/&gt;&lt;wsp:rsid wsp:val=&quot;00547118&quot;/&gt;&lt;wsp:rsid wsp:val=&quot;00547431&quot;/&gt;&lt;wsp:rsid wsp:val=&quot;00550205&quot;/&gt;&lt;wsp:rsid wsp:val=&quot;005505DC&quot;/&gt;&lt;wsp:rsid wsp:val=&quot;0055192F&quot;/&gt;&lt;wsp:rsid wsp:val=&quot;00551A6E&quot;/&gt;&lt;wsp:rsid wsp:val=&quot;00551D09&quot;/&gt;&lt;wsp:rsid wsp:val=&quot;00552BB8&quot;/&gt;&lt;wsp:rsid wsp:val=&quot;0055306C&quot;/&gt;&lt;wsp:rsid wsp:val=&quot;00553144&quot;/&gt;&lt;wsp:rsid wsp:val=&quot;0055338B&quot;/&gt;&lt;wsp:rsid wsp:val=&quot;00553604&quot;/&gt;&lt;wsp:rsid wsp:val=&quot;0055385F&quot;/&gt;&lt;wsp:rsid wsp:val=&quot;005538D9&quot;/&gt;&lt;wsp:rsid wsp:val=&quot;00553D3E&quot;/&gt;&lt;wsp:rsid wsp:val=&quot;00553EE3&quot;/&gt;&lt;wsp:rsid wsp:val=&quot;00554580&quot;/&gt;&lt;wsp:rsid wsp:val=&quot;00555624&quot;/&gt;&lt;wsp:rsid wsp:val=&quot;00555778&quot;/&gt;&lt;wsp:rsid wsp:val=&quot;00555EC6&quot;/&gt;&lt;wsp:rsid wsp:val=&quot;00555F65&quot;/&gt;&lt;wsp:rsid wsp:val=&quot;00555F66&quot;/&gt;&lt;wsp:rsid wsp:val=&quot;0055620C&quot;/&gt;&lt;wsp:rsid wsp:val=&quot;005568E2&quot;/&gt;&lt;wsp:rsid wsp:val=&quot;0055690E&quot;/&gt;&lt;wsp:rsid wsp:val=&quot;00556A1F&quot;/&gt;&lt;wsp:rsid wsp:val=&quot;00556F2D&quot;/&gt;&lt;wsp:rsid wsp:val=&quot;00557440&quot;/&gt;&lt;wsp:rsid wsp:val=&quot;0055764E&quot;/&gt;&lt;wsp:rsid wsp:val=&quot;0055768F&quot;/&gt;&lt;wsp:rsid wsp:val=&quot;005576C2&quot;/&gt;&lt;wsp:rsid wsp:val=&quot;00557B28&quot;/&gt;&lt;wsp:rsid wsp:val=&quot;00557C49&quot;/&gt;&lt;wsp:rsid wsp:val=&quot;0056031D&quot;/&gt;&lt;wsp:rsid wsp:val=&quot;00560FA8&quot;/&gt;&lt;wsp:rsid wsp:val=&quot;005613BC&quot;/&gt;&lt;wsp:rsid wsp:val=&quot;005615A8&quot;/&gt;&lt;wsp:rsid wsp:val=&quot;00561679&quot;/&gt;&lt;wsp:rsid wsp:val=&quot;00561A9F&quot;/&gt;&lt;wsp:rsid wsp:val=&quot;00561DED&quot;/&gt;&lt;wsp:rsid wsp:val=&quot;0056207D&quot;/&gt;&lt;wsp:rsid wsp:val=&quot;00562272&quot;/&gt;&lt;wsp:rsid wsp:val=&quot;00562A2D&quot;/&gt;&lt;wsp:rsid wsp:val=&quot;00562DC4&quot;/&gt;&lt;wsp:rsid wsp:val=&quot;005636B1&quot;/&gt;&lt;wsp:rsid wsp:val=&quot;0056395C&quot;/&gt;&lt;wsp:rsid wsp:val=&quot;00565155&quot;/&gt;&lt;wsp:rsid wsp:val=&quot;00565317&quot;/&gt;&lt;wsp:rsid wsp:val=&quot;00565367&quot;/&gt;&lt;wsp:rsid wsp:val=&quot;00566368&quot;/&gt;&lt;wsp:rsid wsp:val=&quot;005672F9&quot;/&gt;&lt;wsp:rsid wsp:val=&quot;00567EE4&quot;/&gt;&lt;wsp:rsid wsp:val=&quot;00570032&quot;/&gt;&lt;wsp:rsid wsp:val=&quot;0057047D&quot;/&gt;&lt;wsp:rsid wsp:val=&quot;0057049E&quot;/&gt;&lt;wsp:rsid wsp:val=&quot;00570564&quot;/&gt;&lt;wsp:rsid wsp:val=&quot;00570605&quot;/&gt;&lt;wsp:rsid wsp:val=&quot;005708EC&quot;/&gt;&lt;wsp:rsid wsp:val=&quot;00570F63&quot;/&gt;&lt;wsp:rsid wsp:val=&quot;00571270&quot;/&gt;&lt;wsp:rsid wsp:val=&quot;005713CC&quot;/&gt;&lt;wsp:rsid wsp:val=&quot;00571754&quot;/&gt;&lt;wsp:rsid wsp:val=&quot;0057188B&quot;/&gt;&lt;wsp:rsid wsp:val=&quot;00571BC6&quot;/&gt;&lt;wsp:rsid wsp:val=&quot;00571D1F&quot;/&gt;&lt;wsp:rsid wsp:val=&quot;00571D7A&quot;/&gt;&lt;wsp:rsid wsp:val=&quot;00571E3F&quot;/&gt;&lt;wsp:rsid wsp:val=&quot;00571E5F&quot;/&gt;&lt;wsp:rsid wsp:val=&quot;00571F49&quot;/&gt;&lt;wsp:rsid wsp:val=&quot;00572056&quot;/&gt;&lt;wsp:rsid wsp:val=&quot;005723B6&quot;/&gt;&lt;wsp:rsid wsp:val=&quot;00572832&quot;/&gt;&lt;wsp:rsid wsp:val=&quot;00572B81&quot;/&gt;&lt;wsp:rsid wsp:val=&quot;00572F15&quot;/&gt;&lt;wsp:rsid wsp:val=&quot;00573188&quot;/&gt;&lt;wsp:rsid wsp:val=&quot;005732BD&quot;/&gt;&lt;wsp:rsid wsp:val=&quot;005732EA&quot;/&gt;&lt;wsp:rsid wsp:val=&quot;00573331&quot;/&gt;&lt;wsp:rsid wsp:val=&quot;005739FB&quot;/&gt;&lt;wsp:rsid wsp:val=&quot;00573B41&quot;/&gt;&lt;wsp:rsid wsp:val=&quot;00573F1A&quot;/&gt;&lt;wsp:rsid wsp:val=&quot;005745F8&quot;/&gt;&lt;wsp:rsid wsp:val=&quot;0057470C&quot;/&gt;&lt;wsp:rsid wsp:val=&quot;00574866&quot;/&gt;&lt;wsp:rsid wsp:val=&quot;00574B0F&quot;/&gt;&lt;wsp:rsid wsp:val=&quot;00574EE5&quot;/&gt;&lt;wsp:rsid wsp:val=&quot;0057658C&quot;/&gt;&lt;wsp:rsid wsp:val=&quot;00576ACB&quot;/&gt;&lt;wsp:rsid wsp:val=&quot;00576BF4&quot;/&gt;&lt;wsp:rsid wsp:val=&quot;00576E03&quot;/&gt;&lt;wsp:rsid wsp:val=&quot;005770F1&quot;/&gt;&lt;wsp:rsid wsp:val=&quot;0057714E&quot;/&gt;&lt;wsp:rsid wsp:val=&quot;00577559&quot;/&gt;&lt;wsp:rsid wsp:val=&quot;00577699&quot;/&gt;&lt;wsp:rsid wsp:val=&quot;00577EBD&quot;/&gt;&lt;wsp:rsid wsp:val=&quot;00577F10&quot;/&gt;&lt;wsp:rsid wsp:val=&quot;00580790&quot;/&gt;&lt;wsp:rsid wsp:val=&quot;00581446&quot;/&gt;&lt;wsp:rsid wsp:val=&quot;00581A52&quot;/&gt;&lt;wsp:rsid wsp:val=&quot;00581B3D&quot;/&gt;&lt;wsp:rsid wsp:val=&quot;00581EC4&quot;/&gt;&lt;wsp:rsid wsp:val=&quot;00582109&quot;/&gt;&lt;wsp:rsid wsp:val=&quot;00582153&quot;/&gt;&lt;wsp:rsid wsp:val=&quot;005824B7&quot;/&gt;&lt;wsp:rsid wsp:val=&quot;00582F4D&quot;/&gt;&lt;wsp:rsid wsp:val=&quot;00582FF3&quot;/&gt;&lt;wsp:rsid wsp:val=&quot;00583296&quot;/&gt;&lt;wsp:rsid wsp:val=&quot;0058336C&quot;/&gt;&lt;wsp:rsid wsp:val=&quot;005839B5&quot;/&gt;&lt;wsp:rsid wsp:val=&quot;005839C0&quot;/&gt;&lt;wsp:rsid wsp:val=&quot;00583C7E&quot;/&gt;&lt;wsp:rsid wsp:val=&quot;005842BF&quot;/&gt;&lt;wsp:rsid wsp:val=&quot;005845BE&quot;/&gt;&lt;wsp:rsid wsp:val=&quot;005847DF&quot;/&gt;&lt;wsp:rsid wsp:val=&quot;00584A10&quot;/&gt;&lt;wsp:rsid wsp:val=&quot;00584EB7&quot;/&gt;&lt;wsp:rsid wsp:val=&quot;0058558C&quot;/&gt;&lt;wsp:rsid wsp:val=&quot;00585592&quot;/&gt;&lt;wsp:rsid wsp:val=&quot;005868A0&quot;/&gt;&lt;wsp:rsid wsp:val=&quot;00586A23&quot;/&gt;&lt;wsp:rsid wsp:val=&quot;0058793B&quot;/&gt;&lt;wsp:rsid wsp:val=&quot;0059029B&quot;/&gt;&lt;wsp:rsid wsp:val=&quot;005902CD&quot;/&gt;&lt;wsp:rsid wsp:val=&quot;00590911&quot;/&gt;&lt;wsp:rsid wsp:val=&quot;00590AE1&quot;/&gt;&lt;wsp:rsid wsp:val=&quot;00590BAF&quot;/&gt;&lt;wsp:rsid wsp:val=&quot;00590BB7&quot;/&gt;&lt;wsp:rsid wsp:val=&quot;00590E01&quot;/&gt;&lt;wsp:rsid wsp:val=&quot;00591205&quot;/&gt;&lt;wsp:rsid wsp:val=&quot;005912F3&quot;/&gt;&lt;wsp:rsid wsp:val=&quot;005916F8&quot;/&gt;&lt;wsp:rsid wsp:val=&quot;005919FD&quot;/&gt;&lt;wsp:rsid wsp:val=&quot;00591DF6&quot;/&gt;&lt;wsp:rsid wsp:val=&quot;00591DFA&quot;/&gt;&lt;wsp:rsid wsp:val=&quot;00591F1A&quot;/&gt;&lt;wsp:rsid wsp:val=&quot;00591F7F&quot;/&gt;&lt;wsp:rsid wsp:val=&quot;00592164&quot;/&gt;&lt;wsp:rsid wsp:val=&quot;00592648&quot;/&gt;&lt;wsp:rsid wsp:val=&quot;005926E1&quot;/&gt;&lt;wsp:rsid wsp:val=&quot;005928D4&quot;/&gt;&lt;wsp:rsid wsp:val=&quot;00592A64&quot;/&gt;&lt;wsp:rsid wsp:val=&quot;00592AF3&quot;/&gt;&lt;wsp:rsid wsp:val=&quot;00592C7B&quot;/&gt;&lt;wsp:rsid wsp:val=&quot;00592DD6&quot;/&gt;&lt;wsp:rsid wsp:val=&quot;00592E26&quot;/&gt;&lt;wsp:rsid wsp:val=&quot;00593031&quot;/&gt;&lt;wsp:rsid wsp:val=&quot;005931B9&quot;/&gt;&lt;wsp:rsid wsp:val=&quot;00593609&quot;/&gt;&lt;wsp:rsid wsp:val=&quot;00593CE8&quot;/&gt;&lt;wsp:rsid wsp:val=&quot;00593CE9&quot;/&gt;&lt;wsp:rsid wsp:val=&quot;00593F69&quot;/&gt;&lt;wsp:rsid wsp:val=&quot;00594110&quot;/&gt;&lt;wsp:rsid wsp:val=&quot;00594273&quot;/&gt;&lt;wsp:rsid wsp:val=&quot;00594372&quot;/&gt;&lt;wsp:rsid wsp:val=&quot;00594667&quot;/&gt;&lt;wsp:rsid wsp:val=&quot;00594EBD&quot;/&gt;&lt;wsp:rsid wsp:val=&quot;00595156&quot;/&gt;&lt;wsp:rsid wsp:val=&quot;00595C16&quot;/&gt;&lt;wsp:rsid wsp:val=&quot;00595D5A&quot;/&gt;&lt;wsp:rsid wsp:val=&quot;005963B3&quot;/&gt;&lt;wsp:rsid wsp:val=&quot;0059688E&quot;/&gt;&lt;wsp:rsid wsp:val=&quot;005969ED&quot;/&gt;&lt;wsp:rsid wsp:val=&quot;00596DF9&quot;/&gt;&lt;wsp:rsid wsp:val=&quot;00596E70&quot;/&gt;&lt;wsp:rsid wsp:val=&quot;00597124&quot;/&gt;&lt;wsp:rsid wsp:val=&quot;0059756C&quot;/&gt;&lt;wsp:rsid wsp:val=&quot;00597690&quot;/&gt;&lt;wsp:rsid wsp:val=&quot;005A0231&quot;/&gt;&lt;wsp:rsid wsp:val=&quot;005A0669&quot;/&gt;&lt;wsp:rsid wsp:val=&quot;005A0966&quot;/&gt;&lt;wsp:rsid wsp:val=&quot;005A0A0D&quot;/&gt;&lt;wsp:rsid wsp:val=&quot;005A14E9&quot;/&gt;&lt;wsp:rsid wsp:val=&quot;005A1829&quot;/&gt;&lt;wsp:rsid wsp:val=&quot;005A18BC&quot;/&gt;&lt;wsp:rsid wsp:val=&quot;005A2506&quot;/&gt;&lt;wsp:rsid wsp:val=&quot;005A2BCA&quot;/&gt;&lt;wsp:rsid wsp:val=&quot;005A2CAD&quot;/&gt;&lt;wsp:rsid wsp:val=&quot;005A3105&quot;/&gt;&lt;wsp:rsid wsp:val=&quot;005A33B6&quot;/&gt;&lt;wsp:rsid wsp:val=&quot;005A3C70&quot;/&gt;&lt;wsp:rsid wsp:val=&quot;005A3F1B&quot;/&gt;&lt;wsp:rsid wsp:val=&quot;005A45C2&quot;/&gt;&lt;wsp:rsid wsp:val=&quot;005A47A2&quot;/&gt;&lt;wsp:rsid wsp:val=&quot;005A52A5&quot;/&gt;&lt;wsp:rsid wsp:val=&quot;005A5316&quot;/&gt;&lt;wsp:rsid wsp:val=&quot;005A5863&quot;/&gt;&lt;wsp:rsid wsp:val=&quot;005A5C8A&quot;/&gt;&lt;wsp:rsid wsp:val=&quot;005A5FB0&quot;/&gt;&lt;wsp:rsid wsp:val=&quot;005A620B&quot;/&gt;&lt;wsp:rsid wsp:val=&quot;005A6239&quot;/&gt;&lt;wsp:rsid wsp:val=&quot;005A6529&quot;/&gt;&lt;wsp:rsid wsp:val=&quot;005A6600&quot;/&gt;&lt;wsp:rsid wsp:val=&quot;005A6A04&quot;/&gt;&lt;wsp:rsid wsp:val=&quot;005A6CA1&quot;/&gt;&lt;wsp:rsid wsp:val=&quot;005A72AC&quot;/&gt;&lt;wsp:rsid wsp:val=&quot;005A750D&quot;/&gt;&lt;wsp:rsid wsp:val=&quot;005A75BA&quot;/&gt;&lt;wsp:rsid wsp:val=&quot;005A7D99&quot;/&gt;&lt;wsp:rsid wsp:val=&quot;005B013C&quot;/&gt;&lt;wsp:rsid wsp:val=&quot;005B04AD&quot;/&gt;&lt;wsp:rsid wsp:val=&quot;005B081D&quot;/&gt;&lt;wsp:rsid wsp:val=&quot;005B0EBE&quot;/&gt;&lt;wsp:rsid wsp:val=&quot;005B1086&quot;/&gt;&lt;wsp:rsid wsp:val=&quot;005B11F7&quot;/&gt;&lt;wsp:rsid wsp:val=&quot;005B131E&quot;/&gt;&lt;wsp:rsid wsp:val=&quot;005B183A&quot;/&gt;&lt;wsp:rsid wsp:val=&quot;005B185B&quot;/&gt;&lt;wsp:rsid wsp:val=&quot;005B1D53&quot;/&gt;&lt;wsp:rsid wsp:val=&quot;005B1F1D&quot;/&gt;&lt;wsp:rsid wsp:val=&quot;005B1FA9&quot;/&gt;&lt;wsp:rsid wsp:val=&quot;005B2143&quot;/&gt;&lt;wsp:rsid wsp:val=&quot;005B2191&quot;/&gt;&lt;wsp:rsid wsp:val=&quot;005B244A&quot;/&gt;&lt;wsp:rsid wsp:val=&quot;005B25ED&quot;/&gt;&lt;wsp:rsid wsp:val=&quot;005B320A&quot;/&gt;&lt;wsp:rsid wsp:val=&quot;005B3214&quot;/&gt;&lt;wsp:rsid wsp:val=&quot;005B3327&quot;/&gt;&lt;wsp:rsid wsp:val=&quot;005B397B&quot;/&gt;&lt;wsp:rsid wsp:val=&quot;005B3BE3&quot;/&gt;&lt;wsp:rsid wsp:val=&quot;005B4122&quot;/&gt;&lt;wsp:rsid wsp:val=&quot;005B413F&quot;/&gt;&lt;wsp:rsid wsp:val=&quot;005B42EB&quot;/&gt;&lt;wsp:rsid wsp:val=&quot;005B44E7&quot;/&gt;&lt;wsp:rsid wsp:val=&quot;005B45F3&quot;/&gt;&lt;wsp:rsid wsp:val=&quot;005B481E&quot;/&gt;&lt;wsp:rsid wsp:val=&quot;005B485C&quot;/&gt;&lt;wsp:rsid wsp:val=&quot;005B4892&quot;/&gt;&lt;wsp:rsid wsp:val=&quot;005B48F6&quot;/&gt;&lt;wsp:rsid wsp:val=&quot;005B4F08&quot;/&gt;&lt;wsp:rsid wsp:val=&quot;005B522C&quot;/&gt;&lt;wsp:rsid wsp:val=&quot;005B5589&quot;/&gt;&lt;wsp:rsid wsp:val=&quot;005B57A2&quot;/&gt;&lt;wsp:rsid wsp:val=&quot;005B5822&quot;/&gt;&lt;wsp:rsid wsp:val=&quot;005B5B8F&quot;/&gt;&lt;wsp:rsid wsp:val=&quot;005B5F9D&quot;/&gt;&lt;wsp:rsid wsp:val=&quot;005B673C&quot;/&gt;&lt;wsp:rsid wsp:val=&quot;005B6A0A&quot;/&gt;&lt;wsp:rsid wsp:val=&quot;005B74C4&quot;/&gt;&lt;wsp:rsid wsp:val=&quot;005B7A4F&quot;/&gt;&lt;wsp:rsid wsp:val=&quot;005B7C91&quot;/&gt;&lt;wsp:rsid wsp:val=&quot;005C02CF&quot;/&gt;&lt;wsp:rsid wsp:val=&quot;005C02DF&quot;/&gt;&lt;wsp:rsid wsp:val=&quot;005C03F6&quot;/&gt;&lt;wsp:rsid wsp:val=&quot;005C06D2&quot;/&gt;&lt;wsp:rsid wsp:val=&quot;005C08AC&quot;/&gt;&lt;wsp:rsid wsp:val=&quot;005C12D7&quot;/&gt;&lt;wsp:rsid wsp:val=&quot;005C19D6&quot;/&gt;&lt;wsp:rsid wsp:val=&quot;005C1C02&quot;/&gt;&lt;wsp:rsid wsp:val=&quot;005C1C1E&quot;/&gt;&lt;wsp:rsid wsp:val=&quot;005C2151&quot;/&gt;&lt;wsp:rsid wsp:val=&quot;005C21EE&quot;/&gt;&lt;wsp:rsid wsp:val=&quot;005C272C&quot;/&gt;&lt;wsp:rsid wsp:val=&quot;005C2C42&quot;/&gt;&lt;wsp:rsid wsp:val=&quot;005C2C5C&quot;/&gt;&lt;wsp:rsid wsp:val=&quot;005C2EEA&quot;/&gt;&lt;wsp:rsid wsp:val=&quot;005C34B1&quot;/&gt;&lt;wsp:rsid wsp:val=&quot;005C395F&quot;/&gt;&lt;wsp:rsid wsp:val=&quot;005C3978&quot;/&gt;&lt;wsp:rsid wsp:val=&quot;005C3E21&quot;/&gt;&lt;wsp:rsid wsp:val=&quot;005C4186&quot;/&gt;&lt;wsp:rsid wsp:val=&quot;005C435E&quot;/&gt;&lt;wsp:rsid wsp:val=&quot;005C44AC&quot;/&gt;&lt;wsp:rsid wsp:val=&quot;005C45C1&quot;/&gt;&lt;wsp:rsid wsp:val=&quot;005C45D9&quot;/&gt;&lt;wsp:rsid wsp:val=&quot;005C4930&quot;/&gt;&lt;wsp:rsid wsp:val=&quot;005C4978&quot;/&gt;&lt;wsp:rsid wsp:val=&quot;005C4A43&quot;/&gt;&lt;wsp:rsid wsp:val=&quot;005C4D7A&quot;/&gt;&lt;wsp:rsid wsp:val=&quot;005C50FB&quot;/&gt;&lt;wsp:rsid wsp:val=&quot;005C5659&quot;/&gt;&lt;wsp:rsid wsp:val=&quot;005C570F&quot;/&gt;&lt;wsp:rsid wsp:val=&quot;005C5BA8&quot;/&gt;&lt;wsp:rsid wsp:val=&quot;005C600D&quot;/&gt;&lt;wsp:rsid wsp:val=&quot;005C668A&quot;/&gt;&lt;wsp:rsid wsp:val=&quot;005C67B2&quot;/&gt;&lt;wsp:rsid wsp:val=&quot;005C6AB3&quot;/&gt;&lt;wsp:rsid wsp:val=&quot;005C6C39&quot;/&gt;&lt;wsp:rsid wsp:val=&quot;005C6D1C&quot;/&gt;&lt;wsp:rsid wsp:val=&quot;005C6F75&quot;/&gt;&lt;wsp:rsid wsp:val=&quot;005C7013&quot;/&gt;&lt;wsp:rsid wsp:val=&quot;005C712C&quot;/&gt;&lt;wsp:rsid wsp:val=&quot;005C773C&quot;/&gt;&lt;wsp:rsid wsp:val=&quot;005C789A&quot;/&gt;&lt;wsp:rsid wsp:val=&quot;005C7F12&quot;/&gt;&lt;wsp:rsid wsp:val=&quot;005C7F96&quot;/&gt;&lt;wsp:rsid wsp:val=&quot;005D00AC&quot;/&gt;&lt;wsp:rsid wsp:val=&quot;005D021A&quot;/&gt;&lt;wsp:rsid wsp:val=&quot;005D0682&quot;/&gt;&lt;wsp:rsid wsp:val=&quot;005D0A5B&quot;/&gt;&lt;wsp:rsid wsp:val=&quot;005D0AC2&quot;/&gt;&lt;wsp:rsid wsp:val=&quot;005D10A8&quot;/&gt;&lt;wsp:rsid wsp:val=&quot;005D11F2&quot;/&gt;&lt;wsp:rsid wsp:val=&quot;005D1643&quot;/&gt;&lt;wsp:rsid wsp:val=&quot;005D188E&quot;/&gt;&lt;wsp:rsid wsp:val=&quot;005D18E3&quot;/&gt;&lt;wsp:rsid wsp:val=&quot;005D1CB5&quot;/&gt;&lt;wsp:rsid wsp:val=&quot;005D22D8&quot;/&gt;&lt;wsp:rsid wsp:val=&quot;005D2741&quot;/&gt;&lt;wsp:rsid wsp:val=&quot;005D288B&quot;/&gt;&lt;wsp:rsid wsp:val=&quot;005D28B1&quot;/&gt;&lt;wsp:rsid wsp:val=&quot;005D291C&quot;/&gt;&lt;wsp:rsid wsp:val=&quot;005D2A30&quot;/&gt;&lt;wsp:rsid wsp:val=&quot;005D2B9F&quot;/&gt;&lt;wsp:rsid wsp:val=&quot;005D2F6C&quot;/&gt;&lt;wsp:rsid wsp:val=&quot;005D3491&quot;/&gt;&lt;wsp:rsid wsp:val=&quot;005D3C06&quot;/&gt;&lt;wsp:rsid wsp:val=&quot;005D3F4B&quot;/&gt;&lt;wsp:rsid wsp:val=&quot;005D41A4&quot;/&gt;&lt;wsp:rsid wsp:val=&quot;005D4AF4&quot;/&gt;&lt;wsp:rsid wsp:val=&quot;005D4B83&quot;/&gt;&lt;wsp:rsid wsp:val=&quot;005D4BAC&quot;/&gt;&lt;wsp:rsid wsp:val=&quot;005D4CCB&quot;/&gt;&lt;wsp:rsid wsp:val=&quot;005D51AD&quot;/&gt;&lt;wsp:rsid wsp:val=&quot;005D5B11&quot;/&gt;&lt;wsp:rsid wsp:val=&quot;005D5E04&quot;/&gt;&lt;wsp:rsid wsp:val=&quot;005D6865&quot;/&gt;&lt;wsp:rsid wsp:val=&quot;005D68DC&quot;/&gt;&lt;wsp:rsid wsp:val=&quot;005D69CD&quot;/&gt;&lt;wsp:rsid wsp:val=&quot;005D6BF7&quot;/&gt;&lt;wsp:rsid wsp:val=&quot;005D6D08&quot;/&gt;&lt;wsp:rsid wsp:val=&quot;005D6F58&quot;/&gt;&lt;wsp:rsid wsp:val=&quot;005D72C6&quot;/&gt;&lt;wsp:rsid wsp:val=&quot;005D7728&quot;/&gt;&lt;wsp:rsid wsp:val=&quot;005D7B70&quot;/&gt;&lt;wsp:rsid wsp:val=&quot;005D7CF2&quot;/&gt;&lt;wsp:rsid wsp:val=&quot;005E02A5&quot;/&gt;&lt;wsp:rsid wsp:val=&quot;005E066D&quot;/&gt;&lt;wsp:rsid wsp:val=&quot;005E07B0&quot;/&gt;&lt;wsp:rsid wsp:val=&quot;005E08D6&quot;/&gt;&lt;wsp:rsid wsp:val=&quot;005E0C87&quot;/&gt;&lt;wsp:rsid wsp:val=&quot;005E0CB6&quot;/&gt;&lt;wsp:rsid wsp:val=&quot;005E0FB5&quot;/&gt;&lt;wsp:rsid wsp:val=&quot;005E11CF&quot;/&gt;&lt;wsp:rsid wsp:val=&quot;005E12AB&quot;/&gt;&lt;wsp:rsid wsp:val=&quot;005E12B1&quot;/&gt;&lt;wsp:rsid wsp:val=&quot;005E1470&quot;/&gt;&lt;wsp:rsid wsp:val=&quot;005E149E&quot;/&gt;&lt;wsp:rsid wsp:val=&quot;005E1ECD&quot;/&gt;&lt;wsp:rsid wsp:val=&quot;005E20B7&quot;/&gt;&lt;wsp:rsid wsp:val=&quot;005E21CD&quot;/&gt;&lt;wsp:rsid wsp:val=&quot;005E29AA&quot;/&gt;&lt;wsp:rsid wsp:val=&quot;005E2A00&quot;/&gt;&lt;wsp:rsid wsp:val=&quot;005E39B2&quot;/&gt;&lt;wsp:rsid wsp:val=&quot;005E3CC1&quot;/&gt;&lt;wsp:rsid wsp:val=&quot;005E3F77&quot;/&gt;&lt;wsp:rsid wsp:val=&quot;005E44FA&quot;/&gt;&lt;wsp:rsid wsp:val=&quot;005E4AD3&quot;/&gt;&lt;wsp:rsid wsp:val=&quot;005E4FC9&quot;/&gt;&lt;wsp:rsid wsp:val=&quot;005E518D&quot;/&gt;&lt;wsp:rsid wsp:val=&quot;005E51FE&quot;/&gt;&lt;wsp:rsid wsp:val=&quot;005E541D&quot;/&gt;&lt;wsp:rsid wsp:val=&quot;005E6026&quot;/&gt;&lt;wsp:rsid wsp:val=&quot;005E6678&quot;/&gt;&lt;wsp:rsid wsp:val=&quot;005E6805&quot;/&gt;&lt;wsp:rsid wsp:val=&quot;005E6B35&quot;/&gt;&lt;wsp:rsid wsp:val=&quot;005E6D87&quot;/&gt;&lt;wsp:rsid wsp:val=&quot;005E718A&quot;/&gt;&lt;wsp:rsid wsp:val=&quot;005E7278&quot;/&gt;&lt;wsp:rsid wsp:val=&quot;005E73B5&quot;/&gt;&lt;wsp:rsid wsp:val=&quot;005E7724&quot;/&gt;&lt;wsp:rsid wsp:val=&quot;005E7753&quot;/&gt;&lt;wsp:rsid wsp:val=&quot;005E780A&quot;/&gt;&lt;wsp:rsid wsp:val=&quot;005E7D5E&quot;/&gt;&lt;wsp:rsid wsp:val=&quot;005E7F26&quot;/&gt;&lt;wsp:rsid wsp:val=&quot;005E7F7D&quot;/&gt;&lt;wsp:rsid wsp:val=&quot;005E7FCC&quot;/&gt;&lt;wsp:rsid wsp:val=&quot;005F0579&quot;/&gt;&lt;wsp:rsid wsp:val=&quot;005F0589&quot;/&gt;&lt;wsp:rsid wsp:val=&quot;005F092D&quot;/&gt;&lt;wsp:rsid wsp:val=&quot;005F09C4&quot;/&gt;&lt;wsp:rsid wsp:val=&quot;005F0A2B&quot;/&gt;&lt;wsp:rsid wsp:val=&quot;005F1406&quot;/&gt;&lt;wsp:rsid wsp:val=&quot;005F1444&quot;/&gt;&lt;wsp:rsid wsp:val=&quot;005F19EB&quot;/&gt;&lt;wsp:rsid wsp:val=&quot;005F1DBA&quot;/&gt;&lt;wsp:rsid wsp:val=&quot;005F21C6&quot;/&gt;&lt;wsp:rsid wsp:val=&quot;005F2240&quot;/&gt;&lt;wsp:rsid wsp:val=&quot;005F2482&quot;/&gt;&lt;wsp:rsid wsp:val=&quot;005F2843&quot;/&gt;&lt;wsp:rsid wsp:val=&quot;005F3A48&quot;/&gt;&lt;wsp:rsid wsp:val=&quot;005F3B32&quot;/&gt;&lt;wsp:rsid wsp:val=&quot;005F3CE2&quot;/&gt;&lt;wsp:rsid wsp:val=&quot;005F4064&quot;/&gt;&lt;wsp:rsid wsp:val=&quot;005F4875&quot;/&gt;&lt;wsp:rsid wsp:val=&quot;005F531B&quot;/&gt;&lt;wsp:rsid wsp:val=&quot;005F5794&quot;/&gt;&lt;wsp:rsid wsp:val=&quot;005F5E3B&quot;/&gt;&lt;wsp:rsid wsp:val=&quot;005F66D2&quot;/&gt;&lt;wsp:rsid wsp:val=&quot;005F6859&quot;/&gt;&lt;wsp:rsid wsp:val=&quot;005F6AC9&quot;/&gt;&lt;wsp:rsid wsp:val=&quot;005F6B62&quot;/&gt;&lt;wsp:rsid wsp:val=&quot;005F714D&quot;/&gt;&lt;wsp:rsid wsp:val=&quot;005F7208&quot;/&gt;&lt;wsp:rsid wsp:val=&quot;005F7655&quot;/&gt;&lt;wsp:rsid wsp:val=&quot;005F78C9&quot;/&gt;&lt;wsp:rsid wsp:val=&quot;005F78DB&quot;/&gt;&lt;wsp:rsid wsp:val=&quot;005F79CA&quot;/&gt;&lt;wsp:rsid wsp:val=&quot;005F7A86&quot;/&gt;&lt;wsp:rsid wsp:val=&quot;005F7CC1&quot;/&gt;&lt;wsp:rsid wsp:val=&quot;00600930&quot;/&gt;&lt;wsp:rsid wsp:val=&quot;00600950&quot;/&gt;&lt;wsp:rsid wsp:val=&quot;00600BCC&quot;/&gt;&lt;wsp:rsid wsp:val=&quot;006013E0&quot;/&gt;&lt;wsp:rsid wsp:val=&quot;006016CC&quot;/&gt;&lt;wsp:rsid wsp:val=&quot;006017A0&quot;/&gt;&lt;wsp:rsid wsp:val=&quot;00601803&quot;/&gt;&lt;wsp:rsid wsp:val=&quot;00601E47&quot;/&gt;&lt;wsp:rsid wsp:val=&quot;0060215F&quot;/&gt;&lt;wsp:rsid wsp:val=&quot;00602662&quot;/&gt;&lt;wsp:rsid wsp:val=&quot;00602692&quot;/&gt;&lt;wsp:rsid wsp:val=&quot;00602DBF&quot;/&gt;&lt;wsp:rsid wsp:val=&quot;0060343D&quot;/&gt;&lt;wsp:rsid wsp:val=&quot;00603443&quot;/&gt;&lt;wsp:rsid wsp:val=&quot;0060380F&quot;/&gt;&lt;wsp:rsid wsp:val=&quot;00603D72&quot;/&gt;&lt;wsp:rsid wsp:val=&quot;006041F4&quot;/&gt;&lt;wsp:rsid wsp:val=&quot;00604A70&quot;/&gt;&lt;wsp:rsid wsp:val=&quot;00604F77&quot;/&gt;&lt;wsp:rsid wsp:val=&quot;00605312&quot;/&gt;&lt;wsp:rsid wsp:val=&quot;006053FA&quot;/&gt;&lt;wsp:rsid wsp:val=&quot;00605497&quot;/&gt;&lt;wsp:rsid wsp:val=&quot;0060579C&quot;/&gt;&lt;wsp:rsid wsp:val=&quot;0060599D&quot;/&gt;&lt;wsp:rsid wsp:val=&quot;00605AC6&quot;/&gt;&lt;wsp:rsid wsp:val=&quot;00605F21&quot;/&gt;&lt;wsp:rsid wsp:val=&quot;00605FD5&quot;/&gt;&lt;wsp:rsid wsp:val=&quot;00606495&quot;/&gt;&lt;wsp:rsid wsp:val=&quot;0060692A&quot;/&gt;&lt;wsp:rsid wsp:val=&quot;00606C67&quot;/&gt;&lt;wsp:rsid wsp:val=&quot;00606D91&quot;/&gt;&lt;wsp:rsid wsp:val=&quot;00606EE9&quot;/&gt;&lt;wsp:rsid wsp:val=&quot;006071F8&quot;/&gt;&lt;wsp:rsid wsp:val=&quot;0060750E&quot;/&gt;&lt;wsp:rsid wsp:val=&quot;0060760E&quot;/&gt;&lt;wsp:rsid wsp:val=&quot;00607D2A&quot;/&gt;&lt;wsp:rsid wsp:val=&quot;006104A0&quot;/&gt;&lt;wsp:rsid wsp:val=&quot;006104C4&quot;/&gt;&lt;wsp:rsid wsp:val=&quot;00610B4F&quot;/&gt;&lt;wsp:rsid wsp:val=&quot;00610B60&quot;/&gt;&lt;wsp:rsid wsp:val=&quot;00610DED&quot;/&gt;&lt;wsp:rsid wsp:val=&quot;006110B1&quot;/&gt;&lt;wsp:rsid wsp:val=&quot;006117EC&quot;/&gt;&lt;wsp:rsid wsp:val=&quot;006119F6&quot;/&gt;&lt;wsp:rsid wsp:val=&quot;00611AD8&quot;/&gt;&lt;wsp:rsid wsp:val=&quot;00611BE2&quot;/&gt;&lt;wsp:rsid wsp:val=&quot;00611D1C&quot;/&gt;&lt;wsp:rsid wsp:val=&quot;00611FBB&quot;/&gt;&lt;wsp:rsid wsp:val=&quot;0061247F&quot;/&gt;&lt;wsp:rsid wsp:val=&quot;00612698&quot;/&gt;&lt;wsp:rsid wsp:val=&quot;00612D04&quot;/&gt;&lt;wsp:rsid wsp:val=&quot;00612D9D&quot;/&gt;&lt;wsp:rsid wsp:val=&quot;00612F3C&quot;/&gt;&lt;wsp:rsid wsp:val=&quot;00613568&quot;/&gt;&lt;wsp:rsid wsp:val=&quot;00613A58&quot;/&gt;&lt;wsp:rsid wsp:val=&quot;00614164&quot;/&gt;&lt;wsp:rsid wsp:val=&quot;00614DB8&quot;/&gt;&lt;wsp:rsid wsp:val=&quot;0061523E&quot;/&gt;&lt;wsp:rsid wsp:val=&quot;006155C4&quot;/&gt;&lt;wsp:rsid wsp:val=&quot;006157DD&quot;/&gt;&lt;wsp:rsid wsp:val=&quot;00615934&quot;/&gt;&lt;wsp:rsid wsp:val=&quot;0061673B&quot;/&gt;&lt;wsp:rsid wsp:val=&quot;0061748C&quot;/&gt;&lt;wsp:rsid wsp:val=&quot;006175A1&quot;/&gt;&lt;wsp:rsid wsp:val=&quot;00617905&quot;/&gt;&lt;wsp:rsid wsp:val=&quot;0062018E&quot;/&gt;&lt;wsp:rsid wsp:val=&quot;0062025C&quot;/&gt;&lt;wsp:rsid wsp:val=&quot;0062098F&quot;/&gt;&lt;wsp:rsid wsp:val=&quot;006209F6&quot;/&gt;&lt;wsp:rsid wsp:val=&quot;00620B1B&quot;/&gt;&lt;wsp:rsid wsp:val=&quot;0062139E&quot;/&gt;&lt;wsp:rsid wsp:val=&quot;00621405&quot;/&gt;&lt;wsp:rsid wsp:val=&quot;00621469&quot;/&gt;&lt;wsp:rsid wsp:val=&quot;006217A3&quot;/&gt;&lt;wsp:rsid wsp:val=&quot;00621D04&quot;/&gt;&lt;wsp:rsid wsp:val=&quot;00621EF6&quot;/&gt;&lt;wsp:rsid wsp:val=&quot;0062218E&quot;/&gt;&lt;wsp:rsid wsp:val=&quot;006223C5&quot;/&gt;&lt;wsp:rsid wsp:val=&quot;006226D9&quot;/&gt;&lt;wsp:rsid wsp:val=&quot;006227A3&quot;/&gt;&lt;wsp:rsid wsp:val=&quot;00622857&quot;/&gt;&lt;wsp:rsid wsp:val=&quot;00622DDC&quot;/&gt;&lt;wsp:rsid wsp:val=&quot;00622F55&quot;/&gt;&lt;wsp:rsid wsp:val=&quot;0062392F&quot;/&gt;&lt;wsp:rsid wsp:val=&quot;00623AEA&quot;/&gt;&lt;wsp:rsid wsp:val=&quot;00623EF3&quot;/&gt;&lt;wsp:rsid wsp:val=&quot;0062407A&quot;/&gt;&lt;wsp:rsid wsp:val=&quot;006242F0&quot;/&gt;&lt;wsp:rsid wsp:val=&quot;006243EC&quot;/&gt;&lt;wsp:rsid wsp:val=&quot;006245DD&quot;/&gt;&lt;wsp:rsid wsp:val=&quot;00624D61&quot;/&gt;&lt;wsp:rsid wsp:val=&quot;00624FA7&quot;/&gt;&lt;wsp:rsid wsp:val=&quot;0062577F&quot;/&gt;&lt;wsp:rsid wsp:val=&quot;006259EC&quot;/&gt;&lt;wsp:rsid wsp:val=&quot;00625B1E&quot;/&gt;&lt;wsp:rsid wsp:val=&quot;00625CD1&quot;/&gt;&lt;wsp:rsid wsp:val=&quot;0062612E&quot;/&gt;&lt;wsp:rsid wsp:val=&quot;0062615D&quot;/&gt;&lt;wsp:rsid wsp:val=&quot;00626276&quot;/&gt;&lt;wsp:rsid wsp:val=&quot;006264D5&quot;/&gt;&lt;wsp:rsid wsp:val=&quot;0062667D&quot;/&gt;&lt;wsp:rsid wsp:val=&quot;006267E9&quot;/&gt;&lt;wsp:rsid wsp:val=&quot;00626876&quot;/&gt;&lt;wsp:rsid wsp:val=&quot;00626F72&quot;/&gt;&lt;wsp:rsid wsp:val=&quot;00626FE3&quot;/&gt;&lt;wsp:rsid wsp:val=&quot;006270E2&quot;/&gt;&lt;wsp:rsid wsp:val=&quot;0062713D&quot;/&gt;&lt;wsp:rsid wsp:val=&quot;00627332&quot;/&gt;&lt;wsp:rsid wsp:val=&quot;006278BC&quot;/&gt;&lt;wsp:rsid wsp:val=&quot;00627A09&quot;/&gt;&lt;wsp:rsid wsp:val=&quot;00627DE4&quot;/&gt;&lt;wsp:rsid wsp:val=&quot;006300A5&quot;/&gt;&lt;wsp:rsid wsp:val=&quot;0063069B&quot;/&gt;&lt;wsp:rsid wsp:val=&quot;00630CE0&quot;/&gt;&lt;wsp:rsid wsp:val=&quot;00631241&quot;/&gt;&lt;wsp:rsid wsp:val=&quot;00631489&quot;/&gt;&lt;wsp:rsid wsp:val=&quot;00631D68&quot;/&gt;&lt;wsp:rsid wsp:val=&quot;0063235E&quot;/&gt;&lt;wsp:rsid wsp:val=&quot;00632421&quot;/&gt;&lt;wsp:rsid wsp:val=&quot;00632AE3&quot;/&gt;&lt;wsp:rsid wsp:val=&quot;00632D4E&quot;/&gt;&lt;wsp:rsid wsp:val=&quot;0063345C&quot;/&gt;&lt;wsp:rsid wsp:val=&quot;00633EC5&quot;/&gt;&lt;wsp:rsid wsp:val=&quot;00634545&quot;/&gt;&lt;wsp:rsid wsp:val=&quot;00635069&quot;/&gt;&lt;wsp:rsid wsp:val=&quot;006350B5&quot;/&gt;&lt;wsp:rsid wsp:val=&quot;0063528A&quot;/&gt;&lt;wsp:rsid wsp:val=&quot;0063595F&quot;/&gt;&lt;wsp:rsid wsp:val=&quot;0063596B&quot;/&gt;&lt;wsp:rsid wsp:val=&quot;00635AB7&quot;/&gt;&lt;wsp:rsid wsp:val=&quot;00635EFC&quot;/&gt;&lt;wsp:rsid wsp:val=&quot;00635F4D&quot;/&gt;&lt;wsp:rsid wsp:val=&quot;006360FC&quot;/&gt;&lt;wsp:rsid wsp:val=&quot;006363B0&quot;/&gt;&lt;wsp:rsid wsp:val=&quot;0063654F&quot;/&gt;&lt;wsp:rsid wsp:val=&quot;006369F7&quot;/&gt;&lt;wsp:rsid wsp:val=&quot;00636BE0&quot;/&gt;&lt;wsp:rsid wsp:val=&quot;0063749D&quot;/&gt;&lt;wsp:rsid wsp:val=&quot;0063771D&quot;/&gt;&lt;wsp:rsid wsp:val=&quot;0063795F&quot;/&gt;&lt;wsp:rsid wsp:val=&quot;00637F48&quot;/&gt;&lt;wsp:rsid wsp:val=&quot;00640631&quot;/&gt;&lt;wsp:rsid wsp:val=&quot;00640A8C&quot;/&gt;&lt;wsp:rsid wsp:val=&quot;00640D8C&quot;/&gt;&lt;wsp:rsid wsp:val=&quot;00641490&quot;/&gt;&lt;wsp:rsid wsp:val=&quot;0064184F&quot;/&gt;&lt;wsp:rsid wsp:val=&quot;00641B62&quot;/&gt;&lt;wsp:rsid wsp:val=&quot;00641E49&quot;/&gt;&lt;wsp:rsid wsp:val=&quot;006420AF&quot;/&gt;&lt;wsp:rsid wsp:val=&quot;00642223&quot;/&gt;&lt;wsp:rsid wsp:val=&quot;0064262B&quot;/&gt;&lt;wsp:rsid wsp:val=&quot;00642A27&quot;/&gt;&lt;wsp:rsid wsp:val=&quot;00642B8A&quot;/&gt;&lt;wsp:rsid wsp:val=&quot;00642ECC&quot;/&gt;&lt;wsp:rsid wsp:val=&quot;006431C3&quot;/&gt;&lt;wsp:rsid wsp:val=&quot;006431DB&quot;/&gt;&lt;wsp:rsid wsp:val=&quot;00643392&quot;/&gt;&lt;wsp:rsid wsp:val=&quot;00643447&quot;/&gt;&lt;wsp:rsid wsp:val=&quot;00643462&quot;/&gt;&lt;wsp:rsid wsp:val=&quot;006437F1&quot;/&gt;&lt;wsp:rsid wsp:val=&quot;00643E5F&quot;/&gt;&lt;wsp:rsid wsp:val=&quot;00643F90&quot;/&gt;&lt;wsp:rsid wsp:val=&quot;0064437A&quot;/&gt;&lt;wsp:rsid wsp:val=&quot;00644513&quot;/&gt;&lt;wsp:rsid wsp:val=&quot;00644784&quot;/&gt;&lt;wsp:rsid wsp:val=&quot;00644BFD&quot;/&gt;&lt;wsp:rsid wsp:val=&quot;00645728&quot;/&gt;&lt;wsp:rsid wsp:val=&quot;00645C8E&quot;/&gt;&lt;wsp:rsid wsp:val=&quot;00645FC2&quot;/&gt;&lt;wsp:rsid wsp:val=&quot;00646136&quot;/&gt;&lt;wsp:rsid wsp:val=&quot;0064614D&quot;/&gt;&lt;wsp:rsid wsp:val=&quot;00646159&quot;/&gt;&lt;wsp:rsid wsp:val=&quot;00646ADF&quot;/&gt;&lt;wsp:rsid wsp:val=&quot;00646E98&quot;/&gt;&lt;wsp:rsid wsp:val=&quot;006470E8&quot;/&gt;&lt;wsp:rsid wsp:val=&quot;006471AA&quot;/&gt;&lt;wsp:rsid wsp:val=&quot;0064762B&quot;/&gt;&lt;wsp:rsid wsp:val=&quot;006479FB&quot;/&gt;&lt;wsp:rsid wsp:val=&quot;00647F4E&quot;/&gt;&lt;wsp:rsid wsp:val=&quot;00650673&quot;/&gt;&lt;wsp:rsid wsp:val=&quot;006507BF&quot;/&gt;&lt;wsp:rsid wsp:val=&quot;006509FC&quot;/&gt;&lt;wsp:rsid wsp:val=&quot;00650D4F&quot;/&gt;&lt;wsp:rsid wsp:val=&quot;00650E1F&quot;/&gt;&lt;wsp:rsid wsp:val=&quot;00650F51&quot;/&gt;&lt;wsp:rsid wsp:val=&quot;006510CD&quot;/&gt;&lt;wsp:rsid wsp:val=&quot;00651160&quot;/&gt;&lt;wsp:rsid wsp:val=&quot;0065129C&quot;/&gt;&lt;wsp:rsid wsp:val=&quot;0065174F&quot;/&gt;&lt;wsp:rsid wsp:val=&quot;00651803&quot;/&gt;&lt;wsp:rsid wsp:val=&quot;00651979&quot;/&gt;&lt;wsp:rsid wsp:val=&quot;00651A8A&quot;/&gt;&lt;wsp:rsid wsp:val=&quot;00652017&quot;/&gt;&lt;wsp:rsid wsp:val=&quot;0065251B&quot;/&gt;&lt;wsp:rsid wsp:val=&quot;00652ADE&quot;/&gt;&lt;wsp:rsid wsp:val=&quot;0065368B&quot;/&gt;&lt;wsp:rsid wsp:val=&quot;006537C8&quot;/&gt;&lt;wsp:rsid wsp:val=&quot;00653AEB&quot;/&gt;&lt;wsp:rsid wsp:val=&quot;00654161&quot;/&gt;&lt;wsp:rsid wsp:val=&quot;006543DB&quot;/&gt;&lt;wsp:rsid wsp:val=&quot;00654CE5&quot;/&gt;&lt;wsp:rsid wsp:val=&quot;00654D86&quot;/&gt;&lt;wsp:rsid wsp:val=&quot;006551F9&quot;/&gt;&lt;wsp:rsid wsp:val=&quot;0065540E&quot;/&gt;&lt;wsp:rsid wsp:val=&quot;006559B0&quot;/&gt;&lt;wsp:rsid wsp:val=&quot;006561C5&quot;/&gt;&lt;wsp:rsid wsp:val=&quot;0065623A&quot;/&gt;&lt;wsp:rsid wsp:val=&quot;00656A16&quot;/&gt;&lt;wsp:rsid wsp:val=&quot;00656C07&quot;/&gt;&lt;wsp:rsid wsp:val=&quot;00657224&quot;/&gt;&lt;wsp:rsid wsp:val=&quot;00657298&quot;/&gt;&lt;wsp:rsid wsp:val=&quot;00657E13&quot;/&gt;&lt;wsp:rsid wsp:val=&quot;00660129&quot;/&gt;&lt;wsp:rsid wsp:val=&quot;006602A5&quot;/&gt;&lt;wsp:rsid wsp:val=&quot;00660EA0&quot;/&gt;&lt;wsp:rsid wsp:val=&quot;00660EB5&quot;/&gt;&lt;wsp:rsid wsp:val=&quot;00660F1A&quot;/&gt;&lt;wsp:rsid wsp:val=&quot;00661281&quot;/&gt;&lt;wsp:rsid wsp:val=&quot;006614BB&quot;/&gt;&lt;wsp:rsid wsp:val=&quot;00661BAE&quot;/&gt;&lt;wsp:rsid wsp:val=&quot;00661D4C&quot;/&gt;&lt;wsp:rsid wsp:val=&quot;00661F6A&quot;/&gt;&lt;wsp:rsid wsp:val=&quot;00662647&quot;/&gt;&lt;wsp:rsid wsp:val=&quot;006627B8&quot;/&gt;&lt;wsp:rsid wsp:val=&quot;00662857&quot;/&gt;&lt;wsp:rsid wsp:val=&quot;00662971&quot;/&gt;&lt;wsp:rsid wsp:val=&quot;00662B06&quot;/&gt;&lt;wsp:rsid wsp:val=&quot;00662FAB&quot;/&gt;&lt;wsp:rsid wsp:val=&quot;006632F3&quot;/&gt;&lt;wsp:rsid wsp:val=&quot;006638BE&quot;/&gt;&lt;wsp:rsid wsp:val=&quot;00663B1D&quot;/&gt;&lt;wsp:rsid wsp:val=&quot;00663C31&quot;/&gt;&lt;wsp:rsid wsp:val=&quot;00663C78&quot;/&gt;&lt;wsp:rsid wsp:val=&quot;00663F87&quot;/&gt;&lt;wsp:rsid wsp:val=&quot;00663FF8&quot;/&gt;&lt;wsp:rsid wsp:val=&quot;00664239&quot;/&gt;&lt;wsp:rsid wsp:val=&quot;006642D3&quot;/&gt;&lt;wsp:rsid wsp:val=&quot;006648F8&quot;/&gt;&lt;wsp:rsid wsp:val=&quot;00664930&quot;/&gt;&lt;wsp:rsid wsp:val=&quot;00664A22&quot;/&gt;&lt;wsp:rsid wsp:val=&quot;00664AF8&quot;/&gt;&lt;wsp:rsid wsp:val=&quot;00665012&quot;/&gt;&lt;wsp:rsid wsp:val=&quot;006651FC&quot;/&gt;&lt;wsp:rsid wsp:val=&quot;00665343&quot;/&gt;&lt;wsp:rsid wsp:val=&quot;006655AD&quot;/&gt;&lt;wsp:rsid wsp:val=&quot;006659B7&quot;/&gt;&lt;wsp:rsid wsp:val=&quot;00665B99&quot;/&gt;&lt;wsp:rsid wsp:val=&quot;00666106&quot;/&gt;&lt;wsp:rsid wsp:val=&quot;006662AF&quot;/&gt;&lt;wsp:rsid wsp:val=&quot;0066679D&quot;/&gt;&lt;wsp:rsid wsp:val=&quot;00666B4F&quot;/&gt;&lt;wsp:rsid wsp:val=&quot;00666FA8&quot;/&gt;&lt;wsp:rsid wsp:val=&quot;00667403&quot;/&gt;&lt;wsp:rsid wsp:val=&quot;0066746B&quot;/&gt;&lt;wsp:rsid wsp:val=&quot;006676C5&quot;/&gt;&lt;wsp:rsid wsp:val=&quot;00667AA9&quot;/&gt;&lt;wsp:rsid wsp:val=&quot;00670520&quot;/&gt;&lt;wsp:rsid wsp:val=&quot;006706ED&quot;/&gt;&lt;wsp:rsid wsp:val=&quot;00670865&quot;/&gt;&lt;wsp:rsid wsp:val=&quot;006709EE&quot;/&gt;&lt;wsp:rsid wsp:val=&quot;00670FD3&quot;/&gt;&lt;wsp:rsid wsp:val=&quot;006711C3&quot;/&gt;&lt;wsp:rsid wsp:val=&quot;006714A8&quot;/&gt;&lt;wsp:rsid wsp:val=&quot;006715FA&quot;/&gt;&lt;wsp:rsid wsp:val=&quot;006717A7&quot;/&gt;&lt;wsp:rsid wsp:val=&quot;00671BEC&quot;/&gt;&lt;wsp:rsid wsp:val=&quot;00671C9B&quot;/&gt;&lt;wsp:rsid wsp:val=&quot;00671D4A&quot;/&gt;&lt;wsp:rsid wsp:val=&quot;00672310&quot;/&gt;&lt;wsp:rsid wsp:val=&quot;006723C1&quot;/&gt;&lt;wsp:rsid wsp:val=&quot;006726C5&quot;/&gt;&lt;wsp:rsid wsp:val=&quot;006728DA&quot;/&gt;&lt;wsp:rsid wsp:val=&quot;00672995&quot;/&gt;&lt;wsp:rsid wsp:val=&quot;00672ADD&quot;/&gt;&lt;wsp:rsid wsp:val=&quot;00672BA9&quot;/&gt;&lt;wsp:rsid wsp:val=&quot;00672CCB&quot;/&gt;&lt;wsp:rsid wsp:val=&quot;00672CF8&quot;/&gt;&lt;wsp:rsid wsp:val=&quot;00673040&quot;/&gt;&lt;wsp:rsid wsp:val=&quot;00673567&quot;/&gt;&lt;wsp:rsid wsp:val=&quot;00673DF6&quot;/&gt;&lt;wsp:rsid wsp:val=&quot;00673E3B&quot;/&gt;&lt;wsp:rsid wsp:val=&quot;00673EFD&quot;/&gt;&lt;wsp:rsid wsp:val=&quot;006741C6&quot;/&gt;&lt;wsp:rsid wsp:val=&quot;006742EE&quot;/&gt;&lt;wsp:rsid wsp:val=&quot;006746B9&quot;/&gt;&lt;wsp:rsid wsp:val=&quot;006746BC&quot;/&gt;&lt;wsp:rsid wsp:val=&quot;0067497C&quot;/&gt;&lt;wsp:rsid wsp:val=&quot;006749ED&quot;/&gt;&lt;wsp:rsid wsp:val=&quot;0067515D&quot;/&gt;&lt;wsp:rsid wsp:val=&quot;0067517C&quot;/&gt;&lt;wsp:rsid wsp:val=&quot;0067575D&quot;/&gt;&lt;wsp:rsid wsp:val=&quot;00675FE0&quot;/&gt;&lt;wsp:rsid wsp:val=&quot;00676050&quot;/&gt;&lt;wsp:rsid wsp:val=&quot;006763A3&quot;/&gt;&lt;wsp:rsid wsp:val=&quot;00676663&quot;/&gt;&lt;wsp:rsid wsp:val=&quot;006766B7&quot;/&gt;&lt;wsp:rsid wsp:val=&quot;006768A4&quot;/&gt;&lt;wsp:rsid wsp:val=&quot;00676C34&quot;/&gt;&lt;wsp:rsid wsp:val=&quot;00676E60&quot;/&gt;&lt;wsp:rsid wsp:val=&quot;00677122&quot;/&gt;&lt;wsp:rsid wsp:val=&quot;0067743C&quot;/&gt;&lt;wsp:rsid wsp:val=&quot;006779D8&quot;/&gt;&lt;wsp:rsid wsp:val=&quot;00677A34&quot;/&gt;&lt;wsp:rsid wsp:val=&quot;00677B37&quot;/&gt;&lt;wsp:rsid wsp:val=&quot;00677DEB&quot;/&gt;&lt;wsp:rsid wsp:val=&quot;00680488&quot;/&gt;&lt;wsp:rsid wsp:val=&quot;00680574&quot;/&gt;&lt;wsp:rsid wsp:val=&quot;006805C0&quot;/&gt;&lt;wsp:rsid wsp:val=&quot;00680663&quot;/&gt;&lt;wsp:rsid wsp:val=&quot;00680F3C&quot;/&gt;&lt;wsp:rsid wsp:val=&quot;0068127D&quot;/&gt;&lt;wsp:rsid wsp:val=&quot;00681DBF&quot;/&gt;&lt;wsp:rsid wsp:val=&quot;00682184&quot;/&gt;&lt;wsp:rsid wsp:val=&quot;006829F2&quot;/&gt;&lt;wsp:rsid wsp:val=&quot;0068310B&quot;/&gt;&lt;wsp:rsid wsp:val=&quot;00683281&quot;/&gt;&lt;wsp:rsid wsp:val=&quot;0068357D&quot;/&gt;&lt;wsp:rsid wsp:val=&quot;006835C7&quot;/&gt;&lt;wsp:rsid wsp:val=&quot;00683A27&quot;/&gt;&lt;wsp:rsid wsp:val=&quot;00683AB8&quot;/&gt;&lt;wsp:rsid wsp:val=&quot;00684040&quot;/&gt;&lt;wsp:rsid wsp:val=&quot;0068404B&quot;/&gt;&lt;wsp:rsid wsp:val=&quot;0068405C&quot;/&gt;&lt;wsp:rsid wsp:val=&quot;006841EF&quot;/&gt;&lt;wsp:rsid wsp:val=&quot;006843AB&quot;/&gt;&lt;wsp:rsid wsp:val=&quot;0068457A&quot;/&gt;&lt;wsp:rsid wsp:val=&quot;0068460D&quot;/&gt;&lt;wsp:rsid wsp:val=&quot;0068515F&quot;/&gt;&lt;wsp:rsid wsp:val=&quot;00685188&quot;/&gt;&lt;wsp:rsid wsp:val=&quot;006858CE&quot;/&gt;&lt;wsp:rsid wsp:val=&quot;006859F6&quot;/&gt;&lt;wsp:rsid wsp:val=&quot;00685E06&quot;/&gt;&lt;wsp:rsid wsp:val=&quot;00686281&quot;/&gt;&lt;wsp:rsid wsp:val=&quot;006862C0&quot;/&gt;&lt;wsp:rsid wsp:val=&quot;006862CD&quot;/&gt;&lt;wsp:rsid wsp:val=&quot;00686434&quot;/&gt;&lt;wsp:rsid wsp:val=&quot;00686967&quot;/&gt;&lt;wsp:rsid wsp:val=&quot;00686DF4&quot;/&gt;&lt;wsp:rsid wsp:val=&quot;00686EE2&quot;/&gt;&lt;wsp:rsid wsp:val=&quot;006872CF&quot;/&gt;&lt;wsp:rsid wsp:val=&quot;00687A8A&quot;/&gt;&lt;wsp:rsid wsp:val=&quot;00687BB3&quot;/&gt;&lt;wsp:rsid wsp:val=&quot;00687DDA&quot;/&gt;&lt;wsp:rsid wsp:val=&quot;00687F39&quot;/&gt;&lt;wsp:rsid wsp:val=&quot;006903A9&quot;/&gt;&lt;wsp:rsid wsp:val=&quot;00690466&quot;/&gt;&lt;wsp:rsid wsp:val=&quot;00690684&quot;/&gt;&lt;wsp:rsid wsp:val=&quot;00690D12&quot;/&gt;&lt;wsp:rsid wsp:val=&quot;00691069&quot;/&gt;&lt;wsp:rsid wsp:val=&quot;00691498&quot;/&gt;&lt;wsp:rsid wsp:val=&quot;0069193D&quot;/&gt;&lt;wsp:rsid wsp:val=&quot;00691A80&quot;/&gt;&lt;wsp:rsid wsp:val=&quot;00692016&quot;/&gt;&lt;wsp:rsid wsp:val=&quot;006922A3&quot;/&gt;&lt;wsp:rsid wsp:val=&quot;00692E59&quot;/&gt;&lt;wsp:rsid wsp:val=&quot;0069309E&quot;/&gt;&lt;wsp:rsid wsp:val=&quot;006930A2&quot;/&gt;&lt;wsp:rsid wsp:val=&quot;0069351F&quot;/&gt;&lt;wsp:rsid wsp:val=&quot;00693AD5&quot;/&gt;&lt;wsp:rsid wsp:val=&quot;00693C5D&quot;/&gt;&lt;wsp:rsid wsp:val=&quot;00694C29&quot;/&gt;&lt;wsp:rsid wsp:val=&quot;00695015&quot;/&gt;&lt;wsp:rsid wsp:val=&quot;00695334&quot;/&gt;&lt;wsp:rsid wsp:val=&quot;00695491&quot;/&gt;&lt;wsp:rsid wsp:val=&quot;006955E6&quot;/&gt;&lt;wsp:rsid wsp:val=&quot;00695B0C&quot;/&gt;&lt;wsp:rsid wsp:val=&quot;00695F3C&quot;/&gt;&lt;wsp:rsid wsp:val=&quot;0069625B&quot;/&gt;&lt;wsp:rsid wsp:val=&quot;00696525&quot;/&gt;&lt;wsp:rsid wsp:val=&quot;00696657&quot;/&gt;&lt;wsp:rsid wsp:val=&quot;006966BB&quot;/&gt;&lt;wsp:rsid wsp:val=&quot;00696F99&quot;/&gt;&lt;wsp:rsid wsp:val=&quot;00697280&quot;/&gt;&lt;wsp:rsid wsp:val=&quot;00697553&quot;/&gt;&lt;wsp:rsid wsp:val=&quot;00697731&quot;/&gt;&lt;wsp:rsid wsp:val=&quot;00697D69&quot;/&gt;&lt;wsp:rsid wsp:val=&quot;006A07B0&quot;/&gt;&lt;wsp:rsid wsp:val=&quot;006A0B33&quot;/&gt;&lt;wsp:rsid wsp:val=&quot;006A0D22&quot;/&gt;&lt;wsp:rsid wsp:val=&quot;006A0EE8&quot;/&gt;&lt;wsp:rsid wsp:val=&quot;006A10FD&quot;/&gt;&lt;wsp:rsid wsp:val=&quot;006A154A&quot;/&gt;&lt;wsp:rsid wsp:val=&quot;006A183A&quot;/&gt;&lt;wsp:rsid wsp:val=&quot;006A1BD3&quot;/&gt;&lt;wsp:rsid wsp:val=&quot;006A1F30&quot;/&gt;&lt;wsp:rsid wsp:val=&quot;006A1FCF&quot;/&gt;&lt;wsp:rsid wsp:val=&quot;006A24BD&quot;/&gt;&lt;wsp:rsid wsp:val=&quot;006A2538&quot;/&gt;&lt;wsp:rsid wsp:val=&quot;006A275F&quot;/&gt;&lt;wsp:rsid wsp:val=&quot;006A27D9&quot;/&gt;&lt;wsp:rsid wsp:val=&quot;006A2A5E&quot;/&gt;&lt;wsp:rsid wsp:val=&quot;006A2E58&quot;/&gt;&lt;wsp:rsid wsp:val=&quot;006A2E8D&quot;/&gt;&lt;wsp:rsid wsp:val=&quot;006A3080&quot;/&gt;&lt;wsp:rsid wsp:val=&quot;006A30B7&quot;/&gt;&lt;wsp:rsid wsp:val=&quot;006A3443&quot;/&gt;&lt;wsp:rsid wsp:val=&quot;006A350D&quot;/&gt;&lt;wsp:rsid wsp:val=&quot;006A376F&quot;/&gt;&lt;wsp:rsid wsp:val=&quot;006A3796&quot;/&gt;&lt;wsp:rsid wsp:val=&quot;006A37EF&quot;/&gt;&lt;wsp:rsid wsp:val=&quot;006A3D61&quot;/&gt;&lt;wsp:rsid wsp:val=&quot;006A3D77&quot;/&gt;&lt;wsp:rsid wsp:val=&quot;006A4B64&quot;/&gt;&lt;wsp:rsid wsp:val=&quot;006A4D14&quot;/&gt;&lt;wsp:rsid wsp:val=&quot;006A4E62&quot;/&gt;&lt;wsp:rsid wsp:val=&quot;006A4EB8&quot;/&gt;&lt;wsp:rsid wsp:val=&quot;006A4F4B&quot;/&gt;&lt;wsp:rsid wsp:val=&quot;006A5004&quot;/&gt;&lt;wsp:rsid wsp:val=&quot;006A53B7&quot;/&gt;&lt;wsp:rsid wsp:val=&quot;006A53F0&quot;/&gt;&lt;wsp:rsid wsp:val=&quot;006A5469&quot;/&gt;&lt;wsp:rsid wsp:val=&quot;006A58AA&quot;/&gt;&lt;wsp:rsid wsp:val=&quot;006A6045&quot;/&gt;&lt;wsp:rsid wsp:val=&quot;006A60ED&quot;/&gt;&lt;wsp:rsid wsp:val=&quot;006A68A8&quot;/&gt;&lt;wsp:rsid wsp:val=&quot;006A6A47&quot;/&gt;&lt;wsp:rsid wsp:val=&quot;006A6E30&quot;/&gt;&lt;wsp:rsid wsp:val=&quot;006A6FDC&quot;/&gt;&lt;wsp:rsid wsp:val=&quot;006A706A&quot;/&gt;&lt;wsp:rsid wsp:val=&quot;006A70D8&quot;/&gt;&lt;wsp:rsid wsp:val=&quot;006A76ED&quot;/&gt;&lt;wsp:rsid wsp:val=&quot;006A77CF&quot;/&gt;&lt;wsp:rsid wsp:val=&quot;006A7DEC&quot;/&gt;&lt;wsp:rsid wsp:val=&quot;006B02DE&quot;/&gt;&lt;wsp:rsid wsp:val=&quot;006B034F&quot;/&gt;&lt;wsp:rsid wsp:val=&quot;006B038A&quot;/&gt;&lt;wsp:rsid wsp:val=&quot;006B0F8C&quot;/&gt;&lt;wsp:rsid wsp:val=&quot;006B0FC1&quot;/&gt;&lt;wsp:rsid wsp:val=&quot;006B10BC&quot;/&gt;&lt;wsp:rsid wsp:val=&quot;006B13A5&quot;/&gt;&lt;wsp:rsid wsp:val=&quot;006B18F3&quot;/&gt;&lt;wsp:rsid wsp:val=&quot;006B1927&quot;/&gt;&lt;wsp:rsid wsp:val=&quot;006B1FBD&quot;/&gt;&lt;wsp:rsid wsp:val=&quot;006B259B&quot;/&gt;&lt;wsp:rsid wsp:val=&quot;006B2A8B&quot;/&gt;&lt;wsp:rsid wsp:val=&quot;006B2F9E&quot;/&gt;&lt;wsp:rsid wsp:val=&quot;006B322F&quot;/&gt;&lt;wsp:rsid wsp:val=&quot;006B33D4&quot;/&gt;&lt;wsp:rsid wsp:val=&quot;006B373C&quot;/&gt;&lt;wsp:rsid wsp:val=&quot;006B376E&quot;/&gt;&lt;wsp:rsid wsp:val=&quot;006B3792&quot;/&gt;&lt;wsp:rsid wsp:val=&quot;006B40BB&quot;/&gt;&lt;wsp:rsid wsp:val=&quot;006B40EE&quot;/&gt;&lt;wsp:rsid wsp:val=&quot;006B44A3&quot;/&gt;&lt;wsp:rsid wsp:val=&quot;006B474C&quot;/&gt;&lt;wsp:rsid wsp:val=&quot;006B49F4&quot;/&gt;&lt;wsp:rsid wsp:val=&quot;006B4AB7&quot;/&gt;&lt;wsp:rsid wsp:val=&quot;006B5043&quot;/&gt;&lt;wsp:rsid wsp:val=&quot;006B51AE&quot;/&gt;&lt;wsp:rsid wsp:val=&quot;006B530D&quot;/&gt;&lt;wsp:rsid wsp:val=&quot;006B53EE&quot;/&gt;&lt;wsp:rsid wsp:val=&quot;006B54D5&quot;/&gt;&lt;wsp:rsid wsp:val=&quot;006B595C&quot;/&gt;&lt;wsp:rsid wsp:val=&quot;006B5B02&quot;/&gt;&lt;wsp:rsid wsp:val=&quot;006B5B3E&quot;/&gt;&lt;wsp:rsid wsp:val=&quot;006B6138&quot;/&gt;&lt;wsp:rsid wsp:val=&quot;006B660F&quot;/&gt;&lt;wsp:rsid wsp:val=&quot;006B67A5&quot;/&gt;&lt;wsp:rsid wsp:val=&quot;006B69B9&quot;/&gt;&lt;wsp:rsid wsp:val=&quot;006B6A63&quot;/&gt;&lt;wsp:rsid wsp:val=&quot;006B6C85&quot;/&gt;&lt;wsp:rsid wsp:val=&quot;006B6ECE&quot;/&gt;&lt;wsp:rsid wsp:val=&quot;006B6F30&quot;/&gt;&lt;wsp:rsid wsp:val=&quot;006B76FD&quot;/&gt;&lt;wsp:rsid wsp:val=&quot;006B7AD4&quot;/&gt;&lt;wsp:rsid wsp:val=&quot;006C00BF&quot;/&gt;&lt;wsp:rsid wsp:val=&quot;006C0191&quot;/&gt;&lt;wsp:rsid wsp:val=&quot;006C01B1&quot;/&gt;&lt;wsp:rsid wsp:val=&quot;006C05C4&quot;/&gt;&lt;wsp:rsid wsp:val=&quot;006C062C&quot;/&gt;&lt;wsp:rsid wsp:val=&quot;006C0771&quot;/&gt;&lt;wsp:rsid wsp:val=&quot;006C1095&quot;/&gt;&lt;wsp:rsid wsp:val=&quot;006C12C6&quot;/&gt;&lt;wsp:rsid wsp:val=&quot;006C1522&quot;/&gt;&lt;wsp:rsid wsp:val=&quot;006C1ECD&quot;/&gt;&lt;wsp:rsid wsp:val=&quot;006C20A0&quot;/&gt;&lt;wsp:rsid wsp:val=&quot;006C2549&quot;/&gt;&lt;wsp:rsid wsp:val=&quot;006C254F&quot;/&gt;&lt;wsp:rsid wsp:val=&quot;006C2893&quot;/&gt;&lt;wsp:rsid wsp:val=&quot;006C2AA7&quot;/&gt;&lt;wsp:rsid wsp:val=&quot;006C2BEC&quot;/&gt;&lt;wsp:rsid wsp:val=&quot;006C33CE&quot;/&gt;&lt;wsp:rsid wsp:val=&quot;006C357C&quot;/&gt;&lt;wsp:rsid wsp:val=&quot;006C361E&quot;/&gt;&lt;wsp:rsid wsp:val=&quot;006C3ED3&quot;/&gt;&lt;wsp:rsid wsp:val=&quot;006C5141&quot;/&gt;&lt;wsp:rsid wsp:val=&quot;006C5191&quot;/&gt;&lt;wsp:rsid wsp:val=&quot;006C5F7C&quot;/&gt;&lt;wsp:rsid wsp:val=&quot;006C6093&quot;/&gt;&lt;wsp:rsid wsp:val=&quot;006C669D&quot;/&gt;&lt;wsp:rsid wsp:val=&quot;006C6EC7&quot;/&gt;&lt;wsp:rsid wsp:val=&quot;006C77A2&quot;/&gt;&lt;wsp:rsid wsp:val=&quot;006C7ABE&quot;/&gt;&lt;wsp:rsid wsp:val=&quot;006C7C3B&quot;/&gt;&lt;wsp:rsid wsp:val=&quot;006D0013&quot;/&gt;&lt;wsp:rsid wsp:val=&quot;006D081C&quot;/&gt;&lt;wsp:rsid wsp:val=&quot;006D15EF&quot;/&gt;&lt;wsp:rsid wsp:val=&quot;006D1757&quot;/&gt;&lt;wsp:rsid wsp:val=&quot;006D1C73&quot;/&gt;&lt;wsp:rsid wsp:val=&quot;006D1E4A&quot;/&gt;&lt;wsp:rsid wsp:val=&quot;006D209C&quot;/&gt;&lt;wsp:rsid wsp:val=&quot;006D226C&quot;/&gt;&lt;wsp:rsid wsp:val=&quot;006D26AD&quot;/&gt;&lt;wsp:rsid wsp:val=&quot;006D2947&quot;/&gt;&lt;wsp:rsid wsp:val=&quot;006D2A72&quot;/&gt;&lt;wsp:rsid wsp:val=&quot;006D2A7F&quot;/&gt;&lt;wsp:rsid wsp:val=&quot;006D2B78&quot;/&gt;&lt;wsp:rsid wsp:val=&quot;006D2E52&quot;/&gt;&lt;wsp:rsid wsp:val=&quot;006D36E8&quot;/&gt;&lt;wsp:rsid wsp:val=&quot;006D3E7D&quot;/&gt;&lt;wsp:rsid wsp:val=&quot;006D3F95&quot;/&gt;&lt;wsp:rsid wsp:val=&quot;006D410B&quot;/&gt;&lt;wsp:rsid wsp:val=&quot;006D43AB&quot;/&gt;&lt;wsp:rsid wsp:val=&quot;006D4695&quot;/&gt;&lt;wsp:rsid wsp:val=&quot;006D4746&quot;/&gt;&lt;wsp:rsid wsp:val=&quot;006D54A3&quot;/&gt;&lt;wsp:rsid wsp:val=&quot;006D54E8&quot;/&gt;&lt;wsp:rsid wsp:val=&quot;006D636C&quot;/&gt;&lt;wsp:rsid wsp:val=&quot;006D63D7&quot;/&gt;&lt;wsp:rsid wsp:val=&quot;006D685E&quot;/&gt;&lt;wsp:rsid wsp:val=&quot;006D68DB&quot;/&gt;&lt;wsp:rsid wsp:val=&quot;006D6A1E&quot;/&gt;&lt;wsp:rsid wsp:val=&quot;006D6C69&quot;/&gt;&lt;wsp:rsid wsp:val=&quot;006D6D66&quot;/&gt;&lt;wsp:rsid wsp:val=&quot;006D6EB7&quot;/&gt;&lt;wsp:rsid wsp:val=&quot;006D7689&quot;/&gt;&lt;wsp:rsid wsp:val=&quot;006E0634&quot;/&gt;&lt;wsp:rsid wsp:val=&quot;006E086C&quot;/&gt;&lt;wsp:rsid wsp:val=&quot;006E180D&quot;/&gt;&lt;wsp:rsid wsp:val=&quot;006E18EA&quot;/&gt;&lt;wsp:rsid wsp:val=&quot;006E1DFB&quot;/&gt;&lt;wsp:rsid wsp:val=&quot;006E1E8E&quot;/&gt;&lt;wsp:rsid wsp:val=&quot;006E26A7&quot;/&gt;&lt;wsp:rsid wsp:val=&quot;006E2832&quot;/&gt;&lt;wsp:rsid wsp:val=&quot;006E2EA0&quot;/&gt;&lt;wsp:rsid wsp:val=&quot;006E311D&quot;/&gt;&lt;wsp:rsid wsp:val=&quot;006E320C&quot;/&gt;&lt;wsp:rsid wsp:val=&quot;006E3245&quot;/&gt;&lt;wsp:rsid wsp:val=&quot;006E33A2&quot;/&gt;&lt;wsp:rsid wsp:val=&quot;006E35DA&quot;/&gt;&lt;wsp:rsid wsp:val=&quot;006E371D&quot;/&gt;&lt;wsp:rsid wsp:val=&quot;006E39D3&quot;/&gt;&lt;wsp:rsid wsp:val=&quot;006E3A49&quot;/&gt;&lt;wsp:rsid wsp:val=&quot;006E3C78&quot;/&gt;&lt;wsp:rsid wsp:val=&quot;006E41FB&quot;/&gt;&lt;wsp:rsid wsp:val=&quot;006E4295&quot;/&gt;&lt;wsp:rsid wsp:val=&quot;006E439A&quot;/&gt;&lt;wsp:rsid wsp:val=&quot;006E4844&quot;/&gt;&lt;wsp:rsid wsp:val=&quot;006E4B63&quot;/&gt;&lt;wsp:rsid wsp:val=&quot;006E4CD3&quot;/&gt;&lt;wsp:rsid wsp:val=&quot;006E4F57&quot;/&gt;&lt;wsp:rsid wsp:val=&quot;006E521E&quot;/&gt;&lt;wsp:rsid wsp:val=&quot;006E54C7&quot;/&gt;&lt;wsp:rsid wsp:val=&quot;006E58C0&quot;/&gt;&lt;wsp:rsid wsp:val=&quot;006E5A2F&quot;/&gt;&lt;wsp:rsid wsp:val=&quot;006E5A89&quot;/&gt;&lt;wsp:rsid wsp:val=&quot;006E5C7C&quot;/&gt;&lt;wsp:rsid wsp:val=&quot;006E5D25&quot;/&gt;&lt;wsp:rsid wsp:val=&quot;006E5D9B&quot;/&gt;&lt;wsp:rsid wsp:val=&quot;006E6D4F&quot;/&gt;&lt;wsp:rsid wsp:val=&quot;006E6D51&quot;/&gt;&lt;wsp:rsid wsp:val=&quot;006E6E20&quot;/&gt;&lt;wsp:rsid wsp:val=&quot;006E6E2A&quot;/&gt;&lt;wsp:rsid wsp:val=&quot;006E7567&quot;/&gt;&lt;wsp:rsid wsp:val=&quot;006F00AE&quot;/&gt;&lt;wsp:rsid wsp:val=&quot;006F07E7&quot;/&gt;&lt;wsp:rsid wsp:val=&quot;006F07E8&quot;/&gt;&lt;wsp:rsid wsp:val=&quot;006F0B29&quot;/&gt;&lt;wsp:rsid wsp:val=&quot;006F0BB2&quot;/&gt;&lt;wsp:rsid wsp:val=&quot;006F1257&quot;/&gt;&lt;wsp:rsid wsp:val=&quot;006F130F&quot;/&gt;&lt;wsp:rsid wsp:val=&quot;006F1669&quot;/&gt;&lt;wsp:rsid wsp:val=&quot;006F1828&quot;/&gt;&lt;wsp:rsid wsp:val=&quot;006F18DE&quot;/&gt;&lt;wsp:rsid wsp:val=&quot;006F1C57&quot;/&gt;&lt;wsp:rsid wsp:val=&quot;006F1E5F&quot;/&gt;&lt;wsp:rsid wsp:val=&quot;006F2839&quot;/&gt;&lt;wsp:rsid wsp:val=&quot;006F291C&quot;/&gt;&lt;wsp:rsid wsp:val=&quot;006F2D5F&quot;/&gt;&lt;wsp:rsid wsp:val=&quot;006F3637&quot;/&gt;&lt;wsp:rsid wsp:val=&quot;006F4419&quot;/&gt;&lt;wsp:rsid wsp:val=&quot;006F4495&quot;/&gt;&lt;wsp:rsid wsp:val=&quot;006F4E97&quot;/&gt;&lt;wsp:rsid wsp:val=&quot;006F5710&quot;/&gt;&lt;wsp:rsid wsp:val=&quot;006F5796&quot;/&gt;&lt;wsp:rsid wsp:val=&quot;006F5A23&quot;/&gt;&lt;wsp:rsid wsp:val=&quot;006F5D32&quot;/&gt;&lt;wsp:rsid wsp:val=&quot;006F5E6B&quot;/&gt;&lt;wsp:rsid wsp:val=&quot;006F5F7E&quot;/&gt;&lt;wsp:rsid wsp:val=&quot;006F61A7&quot;/&gt;&lt;wsp:rsid wsp:val=&quot;006F66DD&quot;/&gt;&lt;wsp:rsid wsp:val=&quot;006F6F6C&quot;/&gt;&lt;wsp:rsid wsp:val=&quot;006F74DE&quot;/&gt;&lt;wsp:rsid wsp:val=&quot;006F769C&quot;/&gt;&lt;wsp:rsid wsp:val=&quot;006F7778&quot;/&gt;&lt;wsp:rsid wsp:val=&quot;006F7CA7&quot;/&gt;&lt;wsp:rsid wsp:val=&quot;00700907&quot;/&gt;&lt;wsp:rsid wsp:val=&quot;00700C00&quot;/&gt;&lt;wsp:rsid wsp:val=&quot;00700D1A&quot;/&gt;&lt;wsp:rsid wsp:val=&quot;007013F4&quot;/&gt;&lt;wsp:rsid wsp:val=&quot;00701714&quot;/&gt;&lt;wsp:rsid wsp:val=&quot;007017F4&quot;/&gt;&lt;wsp:rsid wsp:val=&quot;00701BD4&quot;/&gt;&lt;wsp:rsid wsp:val=&quot;00701E52&quot;/&gt;&lt;wsp:rsid wsp:val=&quot;007020AC&quot;/&gt;&lt;wsp:rsid wsp:val=&quot;007027F1&quot;/&gt;&lt;wsp:rsid wsp:val=&quot;00702D57&quot;/&gt;&lt;wsp:rsid wsp:val=&quot;00702EDD&quot;/&gt;&lt;wsp:rsid wsp:val=&quot;00703226&quot;/&gt;&lt;wsp:rsid wsp:val=&quot;00703705&quot;/&gt;&lt;wsp:rsid wsp:val=&quot;0070387D&quot;/&gt;&lt;wsp:rsid wsp:val=&quot;00703A1B&quot;/&gt;&lt;wsp:rsid wsp:val=&quot;0070411E&quot;/&gt;&lt;wsp:rsid wsp:val=&quot;007042E0&quot;/&gt;&lt;wsp:rsid wsp:val=&quot;007044B9&quot;/&gt;&lt;wsp:rsid wsp:val=&quot;00704D54&quot;/&gt;&lt;wsp:rsid wsp:val=&quot;00705021&quot;/&gt;&lt;wsp:rsid wsp:val=&quot;007051F7&quot;/&gt;&lt;wsp:rsid wsp:val=&quot;00705341&quot;/&gt;&lt;wsp:rsid wsp:val=&quot;0070545F&quot;/&gt;&lt;wsp:rsid wsp:val=&quot;00705FC5&quot;/&gt;&lt;wsp:rsid wsp:val=&quot;00705FD4&quot;/&gt;&lt;wsp:rsid wsp:val=&quot;0070670F&quot;/&gt;&lt;wsp:rsid wsp:val=&quot;00707129&quot;/&gt;&lt;wsp:rsid wsp:val=&quot;007075A4&quot;/&gt;&lt;wsp:rsid wsp:val=&quot;00707623&quot;/&gt;&lt;wsp:rsid wsp:val=&quot;00707C79&quot;/&gt;&lt;wsp:rsid wsp:val=&quot;00707E25&quot;/&gt;&lt;wsp:rsid wsp:val=&quot;00707F4F&quot;/&gt;&lt;wsp:rsid wsp:val=&quot;00710A6A&quot;/&gt;&lt;wsp:rsid wsp:val=&quot;00710BE7&quot;/&gt;&lt;wsp:rsid wsp:val=&quot;00711A58&quot;/&gt;&lt;wsp:rsid wsp:val=&quot;00711BB1&quot;/&gt;&lt;wsp:rsid wsp:val=&quot;00712131&quot;/&gt;&lt;wsp:rsid wsp:val=&quot;007125C5&quot;/&gt;&lt;wsp:rsid wsp:val=&quot;007126F3&quot;/&gt;&lt;wsp:rsid wsp:val=&quot;00712CF5&quot;/&gt;&lt;wsp:rsid wsp:val=&quot;007133A4&quot;/&gt;&lt;wsp:rsid wsp:val=&quot;00713762&quot;/&gt;&lt;wsp:rsid wsp:val=&quot;00713A6C&quot;/&gt;&lt;wsp:rsid wsp:val=&quot;00714097&quot;/&gt;&lt;wsp:rsid wsp:val=&quot;007144E2&quot;/&gt;&lt;wsp:rsid wsp:val=&quot;007145A0&quot;/&gt;&lt;wsp:rsid wsp:val=&quot;00714960&quot;/&gt;&lt;wsp:rsid wsp:val=&quot;00714B14&quot;/&gt;&lt;wsp:rsid wsp:val=&quot;00714B81&quot;/&gt;&lt;wsp:rsid wsp:val=&quot;00714BC7&quot;/&gt;&lt;wsp:rsid wsp:val=&quot;00714D74&quot;/&gt;&lt;wsp:rsid wsp:val=&quot;007153E9&quot;/&gt;&lt;wsp:rsid wsp:val=&quot;007156FA&quot;/&gt;&lt;wsp:rsid wsp:val=&quot;007159BC&quot;/&gt;&lt;wsp:rsid wsp:val=&quot;007159D5&quot;/&gt;&lt;wsp:rsid wsp:val=&quot;00715DCF&quot;/&gt;&lt;wsp:rsid wsp:val=&quot;00715E2C&quot;/&gt;&lt;wsp:rsid wsp:val=&quot;00715E71&quot;/&gt;&lt;wsp:rsid wsp:val=&quot;00716358&quot;/&gt;&lt;wsp:rsid wsp:val=&quot;00716B47&quot;/&gt;&lt;wsp:rsid wsp:val=&quot;00716E9F&quot;/&gt;&lt;wsp:rsid wsp:val=&quot;007170C2&quot;/&gt;&lt;wsp:rsid wsp:val=&quot;0071733E&quot;/&gt;&lt;wsp:rsid wsp:val=&quot;00717779&quot;/&gt;&lt;wsp:rsid wsp:val=&quot;00717848&quot;/&gt;&lt;wsp:rsid wsp:val=&quot;00717D5F&quot;/&gt;&lt;wsp:rsid wsp:val=&quot;00717EFA&quot;/&gt;&lt;wsp:rsid wsp:val=&quot;00720301&quot;/&gt;&lt;wsp:rsid wsp:val=&quot;0072051C&quot;/&gt;&lt;wsp:rsid wsp:val=&quot;00720AAA&quot;/&gt;&lt;wsp:rsid wsp:val=&quot;00720D20&quot;/&gt;&lt;wsp:rsid wsp:val=&quot;00720E75&quot;/&gt;&lt;wsp:rsid wsp:val=&quot;00720ECB&quot;/&gt;&lt;wsp:rsid wsp:val=&quot;00720F71&quot;/&gt;&lt;wsp:rsid wsp:val=&quot;00721566&quot;/&gt;&lt;wsp:rsid wsp:val=&quot;00721717&quot;/&gt;&lt;wsp:rsid wsp:val=&quot;007218D9&quot;/&gt;&lt;wsp:rsid wsp:val=&quot;00721DC7&quot;/&gt;&lt;wsp:rsid wsp:val=&quot;0072220F&quot;/&gt;&lt;wsp:rsid wsp:val=&quot;00722AB5&quot;/&gt;&lt;wsp:rsid wsp:val=&quot;00722BBE&quot;/&gt;&lt;wsp:rsid wsp:val=&quot;00722C32&quot;/&gt;&lt;wsp:rsid wsp:val=&quot;00722CA8&quot;/&gt;&lt;wsp:rsid wsp:val=&quot;00723034&quot;/&gt;&lt;wsp:rsid wsp:val=&quot;007231FF&quot;/&gt;&lt;wsp:rsid wsp:val=&quot;00723360&quot;/&gt;&lt;wsp:rsid wsp:val=&quot;007234D9&quot;/&gt;&lt;wsp:rsid wsp:val=&quot;00723698&quot;/&gt;&lt;wsp:rsid wsp:val=&quot;00723858&quot;/&gt;&lt;wsp:rsid wsp:val=&quot;00723DB1&quot;/&gt;&lt;wsp:rsid wsp:val=&quot;00724343&quot;/&gt;&lt;wsp:rsid wsp:val=&quot;007247BE&quot;/&gt;&lt;wsp:rsid wsp:val=&quot;007248AD&quot;/&gt;&lt;wsp:rsid wsp:val=&quot;00724F79&quot;/&gt;&lt;wsp:rsid wsp:val=&quot;00725728&quot;/&gt;&lt;wsp:rsid wsp:val=&quot;007258DE&quot;/&gt;&lt;wsp:rsid wsp:val=&quot;00725C8F&quot;/&gt;&lt;wsp:rsid wsp:val=&quot;00725CB7&quot;/&gt;&lt;wsp:rsid wsp:val=&quot;00726540&quot;/&gt;&lt;wsp:rsid wsp:val=&quot;00726643&quot;/&gt;&lt;wsp:rsid wsp:val=&quot;00726775&quot;/&gt;&lt;wsp:rsid wsp:val=&quot;00726832&quot;/&gt;&lt;wsp:rsid wsp:val=&quot;00726C96&quot;/&gt;&lt;wsp:rsid wsp:val=&quot;00726DEE&quot;/&gt;&lt;wsp:rsid wsp:val=&quot;00726F22&quot;/&gt;&lt;wsp:rsid wsp:val=&quot;0072712D&quot;/&gt;&lt;wsp:rsid wsp:val=&quot;007276D4&quot;/&gt;&lt;wsp:rsid wsp:val=&quot;00727975&quot;/&gt;&lt;wsp:rsid wsp:val=&quot;00727D72&quot;/&gt;&lt;wsp:rsid wsp:val=&quot;00727E44&quot;/&gt;&lt;wsp:rsid wsp:val=&quot;0073045A&quot;/&gt;&lt;wsp:rsid wsp:val=&quot;00730487&quot;/&gt;&lt;wsp:rsid wsp:val=&quot;00730527&quot;/&gt;&lt;wsp:rsid wsp:val=&quot;00730CE2&quot;/&gt;&lt;wsp:rsid wsp:val=&quot;00731069&quot;/&gt;&lt;wsp:rsid wsp:val=&quot;0073158E&quot;/&gt;&lt;wsp:rsid wsp:val=&quot;007316AC&quot;/&gt;&lt;wsp:rsid wsp:val=&quot;00731AB7&quot;/&gt;&lt;wsp:rsid wsp:val=&quot;00731DBA&quot;/&gt;&lt;wsp:rsid wsp:val=&quot;00732375&quot;/&gt;&lt;wsp:rsid wsp:val=&quot;00732535&quot;/&gt;&lt;wsp:rsid wsp:val=&quot;007328C7&quot;/&gt;&lt;wsp:rsid wsp:val=&quot;00732A0B&quot;/&gt;&lt;wsp:rsid wsp:val=&quot;00732AA4&quot;/&gt;&lt;wsp:rsid wsp:val=&quot;00732D14&quot;/&gt;&lt;wsp:rsid wsp:val=&quot;00732ED4&quot;/&gt;&lt;wsp:rsid wsp:val=&quot;007333B4&quot;/&gt;&lt;wsp:rsid wsp:val=&quot;0073364D&quot;/&gt;&lt;wsp:rsid wsp:val=&quot;007336CF&quot;/&gt;&lt;wsp:rsid wsp:val=&quot;00733801&quot;/&gt;&lt;wsp:rsid wsp:val=&quot;00733804&quot;/&gt;&lt;wsp:rsid wsp:val=&quot;00733C32&quot;/&gt;&lt;wsp:rsid wsp:val=&quot;00733D0E&quot;/&gt;&lt;wsp:rsid wsp:val=&quot;00734556&quot;/&gt;&lt;wsp:rsid wsp:val=&quot;0073475A&quot;/&gt;&lt;wsp:rsid wsp:val=&quot;0073476E&quot;/&gt;&lt;wsp:rsid wsp:val=&quot;00734850&quot;/&gt;&lt;wsp:rsid wsp:val=&quot;00734ADF&quot;/&gt;&lt;wsp:rsid wsp:val=&quot;00734E89&quot;/&gt;&lt;wsp:rsid wsp:val=&quot;00734F23&quot;/&gt;&lt;wsp:rsid wsp:val=&quot;0073530E&quot;/&gt;&lt;wsp:rsid wsp:val=&quot;00735DB4&quot;/&gt;&lt;wsp:rsid wsp:val=&quot;00735DE3&quot;/&gt;&lt;wsp:rsid wsp:val=&quot;00736038&quot;/&gt;&lt;wsp:rsid wsp:val=&quot;007362F7&quot;/&gt;&lt;wsp:rsid wsp:val=&quot;0073654D&quot;/&gt;&lt;wsp:rsid wsp:val=&quot;007365A5&quot;/&gt;&lt;wsp:rsid wsp:val=&quot;007369BB&quot;/&gt;&lt;wsp:rsid wsp:val=&quot;007369C1&quot;/&gt;&lt;wsp:rsid wsp:val=&quot;007369D0&quot;/&gt;&lt;wsp:rsid wsp:val=&quot;00736A59&quot;/&gt;&lt;wsp:rsid wsp:val=&quot;0073718A&quot;/&gt;&lt;wsp:rsid wsp:val=&quot;007372BD&quot;/&gt;&lt;wsp:rsid wsp:val=&quot;007372F8&quot;/&gt;&lt;wsp:rsid wsp:val=&quot;007375D7&quot;/&gt;&lt;wsp:rsid wsp:val=&quot;007378B2&quot;/&gt;&lt;wsp:rsid wsp:val=&quot;007378FC&quot;/&gt;&lt;wsp:rsid wsp:val=&quot;00737A1C&quot;/&gt;&lt;wsp:rsid wsp:val=&quot;00737D10&quot;/&gt;&lt;wsp:rsid wsp:val=&quot;00737E00&quot;/&gt;&lt;wsp:rsid wsp:val=&quot;0074009A&quot;/&gt;&lt;wsp:rsid wsp:val=&quot;007401BD&quot;/&gt;&lt;wsp:rsid wsp:val=&quot;00740293&quot;/&gt;&lt;wsp:rsid wsp:val=&quot;00740509&quot;/&gt;&lt;wsp:rsid wsp:val=&quot;00740A70&quot;/&gt;&lt;wsp:rsid wsp:val=&quot;00740CF5&quot;/&gt;&lt;wsp:rsid wsp:val=&quot;007410A8&quot;/&gt;&lt;wsp:rsid wsp:val=&quot;0074117D&quot;/&gt;&lt;wsp:rsid wsp:val=&quot;0074170F&quot;/&gt;&lt;wsp:rsid wsp:val=&quot;007423C7&quot;/&gt;&lt;wsp:rsid wsp:val=&quot;00742573&quot;/&gt;&lt;wsp:rsid wsp:val=&quot;00742AE6&quot;/&gt;&lt;wsp:rsid wsp:val=&quot;00742F23&quot;/&gt;&lt;wsp:rsid wsp:val=&quot;00743205&quot;/&gt;&lt;wsp:rsid wsp:val=&quot;007432C3&quot;/&gt;&lt;wsp:rsid wsp:val=&quot;007436C2&quot;/&gt;&lt;wsp:rsid wsp:val=&quot;00743C1C&quot;/&gt;&lt;wsp:rsid wsp:val=&quot;00744224&quot;/&gt;&lt;wsp:rsid wsp:val=&quot;0074458F&quot;/&gt;&lt;wsp:rsid wsp:val=&quot;00744599&quot;/&gt;&lt;wsp:rsid wsp:val=&quot;0074542A&quot;/&gt;&lt;wsp:rsid wsp:val=&quot;007456B3&quot;/&gt;&lt;wsp:rsid wsp:val=&quot;00745A90&quot;/&gt;&lt;wsp:rsid wsp:val=&quot;00745BB5&quot;/&gt;&lt;wsp:rsid wsp:val=&quot;00745C45&quot;/&gt;&lt;wsp:rsid wsp:val=&quot;00745E43&quot;/&gt;&lt;wsp:rsid wsp:val=&quot;00745E84&quot;/&gt;&lt;wsp:rsid wsp:val=&quot;0074606C&quot;/&gt;&lt;wsp:rsid wsp:val=&quot;00746235&quot;/&gt;&lt;wsp:rsid wsp:val=&quot;007462D6&quot;/&gt;&lt;wsp:rsid wsp:val=&quot;0074641C&quot;/&gt;&lt;wsp:rsid wsp:val=&quot;00746441&quot;/&gt;&lt;wsp:rsid wsp:val=&quot;00746896&quot;/&gt;&lt;wsp:rsid wsp:val=&quot;0074697A&quot;/&gt;&lt;wsp:rsid wsp:val=&quot;00746AD9&quot;/&gt;&lt;wsp:rsid wsp:val=&quot;00747900&quot;/&gt;&lt;wsp:rsid wsp:val=&quot;00747BCE&quot;/&gt;&lt;wsp:rsid wsp:val=&quot;00747E96&quot;/&gt;&lt;wsp:rsid wsp:val=&quot;0075014A&quot;/&gt;&lt;wsp:rsid wsp:val=&quot;007508DC&quot;/&gt;&lt;wsp:rsid wsp:val=&quot;0075112E&quot;/&gt;&lt;wsp:rsid wsp:val=&quot;00751224&quot;/&gt;&lt;wsp:rsid wsp:val=&quot;007512C6&quot;/&gt;&lt;wsp:rsid wsp:val=&quot;00751394&quot;/&gt;&lt;wsp:rsid wsp:val=&quot;007513EF&quot;/&gt;&lt;wsp:rsid wsp:val=&quot;00751753&quot;/&gt;&lt;wsp:rsid wsp:val=&quot;00751B06&quot;/&gt;&lt;wsp:rsid wsp:val=&quot;00751C38&quot;/&gt;&lt;wsp:rsid wsp:val=&quot;00752BAE&quot;/&gt;&lt;wsp:rsid wsp:val=&quot;00752D85&quot;/&gt;&lt;wsp:rsid wsp:val=&quot;0075302E&quot;/&gt;&lt;wsp:rsid wsp:val=&quot;007536D0&quot;/&gt;&lt;wsp:rsid wsp:val=&quot;00753B06&quot;/&gt;&lt;wsp:rsid wsp:val=&quot;00753B30&quot;/&gt;&lt;wsp:rsid wsp:val=&quot;00753F1B&quot;/&gt;&lt;wsp:rsid wsp:val=&quot;00754243&quot;/&gt;&lt;wsp:rsid wsp:val=&quot;00754335&quot;/&gt;&lt;wsp:rsid wsp:val=&quot;00754F43&quot;/&gt;&lt;wsp:rsid wsp:val=&quot;00755225&quot;/&gt;&lt;wsp:rsid wsp:val=&quot;007554A3&quot;/&gt;&lt;wsp:rsid wsp:val=&quot;00755B84&quot;/&gt;&lt;wsp:rsid wsp:val=&quot;00755D24&quot;/&gt;&lt;wsp:rsid wsp:val=&quot;00756554&quot;/&gt;&lt;wsp:rsid wsp:val=&quot;00756F92&quot;/&gt;&lt;wsp:rsid wsp:val=&quot;00757024&quot;/&gt;&lt;wsp:rsid wsp:val=&quot;007571C5&quot;/&gt;&lt;wsp:rsid wsp:val=&quot;00757301&quot;/&gt;&lt;wsp:rsid wsp:val=&quot;0075733E&quot;/&gt;&lt;wsp:rsid wsp:val=&quot;00757D6C&quot;/&gt;&lt;wsp:rsid wsp:val=&quot;00757E2A&quot;/&gt;&lt;wsp:rsid wsp:val=&quot;00757E50&quot;/&gt;&lt;wsp:rsid wsp:val=&quot;0076005D&quot;/&gt;&lt;wsp:rsid wsp:val=&quot;00760420&quot;/&gt;&lt;wsp:rsid wsp:val=&quot;00760BD6&quot;/&gt;&lt;wsp:rsid wsp:val=&quot;00760BE7&quot;/&gt;&lt;wsp:rsid wsp:val=&quot;00760CE4&quot;/&gt;&lt;wsp:rsid wsp:val=&quot;00760EDD&quot;/&gt;&lt;wsp:rsid wsp:val=&quot;00761063&quot;/&gt;&lt;wsp:rsid wsp:val=&quot;00761912&quot;/&gt;&lt;wsp:rsid wsp:val=&quot;00761B07&quot;/&gt;&lt;wsp:rsid wsp:val=&quot;00761F1D&quot;/&gt;&lt;wsp:rsid wsp:val=&quot;00761FED&quot;/&gt;&lt;wsp:rsid wsp:val=&quot;0076227B&quot;/&gt;&lt;wsp:rsid wsp:val=&quot;00762318&quot;/&gt;&lt;wsp:rsid wsp:val=&quot;007623C9&quot;/&gt;&lt;wsp:rsid wsp:val=&quot;0076240E&quot;/&gt;&lt;wsp:rsid wsp:val=&quot;00762612&quot;/&gt;&lt;wsp:rsid wsp:val=&quot;00762CA7&quot;/&gt;&lt;wsp:rsid wsp:val=&quot;00762CF6&quot;/&gt;&lt;wsp:rsid wsp:val=&quot;00762ED6&quot;/&gt;&lt;wsp:rsid wsp:val=&quot;00763055&quot;/&gt;&lt;wsp:rsid wsp:val=&quot;00763252&quot;/&gt;&lt;wsp:rsid wsp:val=&quot;00763A2C&quot;/&gt;&lt;wsp:rsid wsp:val=&quot;00763B3C&quot;/&gt;&lt;wsp:rsid wsp:val=&quot;00763BC7&quot;/&gt;&lt;wsp:rsid wsp:val=&quot;00763D97&quot;/&gt;&lt;wsp:rsid wsp:val=&quot;00763F9F&quot;/&gt;&lt;wsp:rsid wsp:val=&quot;0076423F&quot;/&gt;&lt;wsp:rsid wsp:val=&quot;007643C0&quot;/&gt;&lt;wsp:rsid wsp:val=&quot;007643C5&quot;/&gt;&lt;wsp:rsid wsp:val=&quot;007646D3&quot;/&gt;&lt;wsp:rsid wsp:val=&quot;00764701&quot;/&gt;&lt;wsp:rsid wsp:val=&quot;00764862&quot;/&gt;&lt;wsp:rsid wsp:val=&quot;00764A8F&quot;/&gt;&lt;wsp:rsid wsp:val=&quot;00764B34&quot;/&gt;&lt;wsp:rsid wsp:val=&quot;00764C33&quot;/&gt;&lt;wsp:rsid wsp:val=&quot;00764D51&quot;/&gt;&lt;wsp:rsid wsp:val=&quot;00764D91&quot;/&gt;&lt;wsp:rsid wsp:val=&quot;00764DD5&quot;/&gt;&lt;wsp:rsid wsp:val=&quot;00764E3F&quot;/&gt;&lt;wsp:rsid wsp:val=&quot;00764FCE&quot;/&gt;&lt;wsp:rsid wsp:val=&quot;0076556F&quot;/&gt;&lt;wsp:rsid wsp:val=&quot;00765719&quot;/&gt;&lt;wsp:rsid wsp:val=&quot;00765832&quot;/&gt;&lt;wsp:rsid wsp:val=&quot;0076596A&quot;/&gt;&lt;wsp:rsid wsp:val=&quot;00765DBC&quot;/&gt;&lt;wsp:rsid wsp:val=&quot;0076670C&quot;/&gt;&lt;wsp:rsid wsp:val=&quot;00766EFE&quot;/&gt;&lt;wsp:rsid wsp:val=&quot;00767339&quot;/&gt;&lt;wsp:rsid wsp:val=&quot;00767E15&quot;/&gt;&lt;wsp:rsid wsp:val=&quot;00767EF4&quot;/&gt;&lt;wsp:rsid wsp:val=&quot;0077003D&quot;/&gt;&lt;wsp:rsid wsp:val=&quot;007708BC&quot;/&gt;&lt;wsp:rsid wsp:val=&quot;007712D3&quot;/&gt;&lt;wsp:rsid wsp:val=&quot;007713CB&quot;/&gt;&lt;wsp:rsid wsp:val=&quot;0077174E&quot;/&gt;&lt;wsp:rsid wsp:val=&quot;00771AE3&quot;/&gt;&lt;wsp:rsid wsp:val=&quot;00771B46&quot;/&gt;&lt;wsp:rsid wsp:val=&quot;0077205B&quot;/&gt;&lt;wsp:rsid wsp:val=&quot;007722DE&quot;/&gt;&lt;wsp:rsid wsp:val=&quot;00772770&quot;/&gt;&lt;wsp:rsid wsp:val=&quot;00772A5D&quot;/&gt;&lt;wsp:rsid wsp:val=&quot;00772B4D&quot;/&gt;&lt;wsp:rsid wsp:val=&quot;00772EF5&quot;/&gt;&lt;wsp:rsid wsp:val=&quot;0077325B&quot;/&gt;&lt;wsp:rsid wsp:val=&quot;007733FF&quot;/&gt;&lt;wsp:rsid wsp:val=&quot;0077341D&quot;/&gt;&lt;wsp:rsid wsp:val=&quot;007735EF&quot;/&gt;&lt;wsp:rsid wsp:val=&quot;0077368F&quot;/&gt;&lt;wsp:rsid wsp:val=&quot;007736B1&quot;/&gt;&lt;wsp:rsid wsp:val=&quot;007737C1&quot;/&gt;&lt;wsp:rsid wsp:val=&quot;00773CB5&quot;/&gt;&lt;wsp:rsid wsp:val=&quot;00773EE9&quot;/&gt;&lt;wsp:rsid wsp:val=&quot;00773F92&quot;/&gt;&lt;wsp:rsid wsp:val=&quot;00773FB6&quot;/&gt;&lt;wsp:rsid wsp:val=&quot;0077401E&quot;/&gt;&lt;wsp:rsid wsp:val=&quot;00774436&quot;/&gt;&lt;wsp:rsid wsp:val=&quot;00774BC0&quot;/&gt;&lt;wsp:rsid wsp:val=&quot;00774D56&quot;/&gt;&lt;wsp:rsid wsp:val=&quot;007750CC&quot;/&gt;&lt;wsp:rsid wsp:val=&quot;0077534F&quot;/&gt;&lt;wsp:rsid wsp:val=&quot;00775784&quot;/&gt;&lt;wsp:rsid wsp:val=&quot;007758D1&quot;/&gt;&lt;wsp:rsid wsp:val=&quot;00775A32&quot;/&gt;&lt;wsp:rsid wsp:val=&quot;00775AAA&quot;/&gt;&lt;wsp:rsid wsp:val=&quot;00775E17&quot;/&gt;&lt;wsp:rsid wsp:val=&quot;00775FE1&quot;/&gt;&lt;wsp:rsid wsp:val=&quot;00776037&quot;/&gt;&lt;wsp:rsid wsp:val=&quot;00776370&quot;/&gt;&lt;wsp:rsid wsp:val=&quot;007766CF&quot;/&gt;&lt;wsp:rsid wsp:val=&quot;00776D5E&quot;/&gt;&lt;wsp:rsid wsp:val=&quot;00776D66&quot;/&gt;&lt;wsp:rsid wsp:val=&quot;00777421&quot;/&gt;&lt;wsp:rsid wsp:val=&quot;007777D9&quot;/&gt;&lt;wsp:rsid wsp:val=&quot;007777EA&quot;/&gt;&lt;wsp:rsid wsp:val=&quot;007801B0&quot;/&gt;&lt;wsp:rsid wsp:val=&quot;007803DE&quot;/&gt;&lt;wsp:rsid wsp:val=&quot;00780725&quot;/&gt;&lt;wsp:rsid wsp:val=&quot;00780C90&quot;/&gt;&lt;wsp:rsid wsp:val=&quot;00780F45&quot;/&gt;&lt;wsp:rsid wsp:val=&quot;00780F93&quot;/&gt;&lt;wsp:rsid wsp:val=&quot;00781180&quot;/&gt;&lt;wsp:rsid wsp:val=&quot;007812D4&quot;/&gt;&lt;wsp:rsid wsp:val=&quot;0078134A&quot;/&gt;&lt;wsp:rsid wsp:val=&quot;00781E85&quot;/&gt;&lt;wsp:rsid wsp:val=&quot;007822F1&quot;/&gt;&lt;wsp:rsid wsp:val=&quot;007825AC&quot;/&gt;&lt;wsp:rsid wsp:val=&quot;0078282E&quot;/&gt;&lt;wsp:rsid wsp:val=&quot;0078289F&quot;/&gt;&lt;wsp:rsid wsp:val=&quot;00782E11&quot;/&gt;&lt;wsp:rsid wsp:val=&quot;0078331E&quot;/&gt;&lt;wsp:rsid wsp:val=&quot;00783528&quot;/&gt;&lt;wsp:rsid wsp:val=&quot;0078376F&quot;/&gt;&lt;wsp:rsid wsp:val=&quot;007839B8&quot;/&gt;&lt;wsp:rsid wsp:val=&quot;007847FD&quot;/&gt;&lt;wsp:rsid wsp:val=&quot;0078487F&quot;/&gt;&lt;wsp:rsid wsp:val=&quot;00784AAE&quot;/&gt;&lt;wsp:rsid wsp:val=&quot;007850AF&quot;/&gt;&lt;wsp:rsid wsp:val=&quot;0078552C&quot;/&gt;&lt;wsp:rsid wsp:val=&quot;00785862&quot;/&gt;&lt;wsp:rsid wsp:val=&quot;00785AA9&quot;/&gt;&lt;wsp:rsid wsp:val=&quot;00785AD3&quot;/&gt;&lt;wsp:rsid wsp:val=&quot;00785DA7&quot;/&gt;&lt;wsp:rsid wsp:val=&quot;00785F57&quot;/&gt;&lt;wsp:rsid wsp:val=&quot;00786231&quot;/&gt;&lt;wsp:rsid wsp:val=&quot;00786707&quot;/&gt;&lt;wsp:rsid wsp:val=&quot;00786A04&quot;/&gt;&lt;wsp:rsid wsp:val=&quot;00786BB2&quot;/&gt;&lt;wsp:rsid wsp:val=&quot;00787174&quot;/&gt;&lt;wsp:rsid wsp:val=&quot;007872C0&quot;/&gt;&lt;wsp:rsid wsp:val=&quot;00787318&quot;/&gt;&lt;wsp:rsid wsp:val=&quot;00787440&quot;/&gt;&lt;wsp:rsid wsp:val=&quot;00787935&quot;/&gt;&lt;wsp:rsid wsp:val=&quot;00787A5A&quot;/&gt;&lt;wsp:rsid wsp:val=&quot;00787E07&quot;/&gt;&lt;wsp:rsid wsp:val=&quot;007903D7&quot;/&gt;&lt;wsp:rsid wsp:val=&quot;007907DA&quot;/&gt;&lt;wsp:rsid wsp:val=&quot;00790922&quot;/&gt;&lt;wsp:rsid wsp:val=&quot;00790AD6&quot;/&gt;&lt;wsp:rsid wsp:val=&quot;00790B02&quot;/&gt;&lt;wsp:rsid wsp:val=&quot;00790E0B&quot;/&gt;&lt;wsp:rsid wsp:val=&quot;00791069&quot;/&gt;&lt;wsp:rsid wsp:val=&quot;007922A2&quot;/&gt;&lt;wsp:rsid wsp:val=&quot;00792975&quot;/&gt;&lt;wsp:rsid wsp:val=&quot;00792A32&quot;/&gt;&lt;wsp:rsid wsp:val=&quot;00792BE9&quot;/&gt;&lt;wsp:rsid wsp:val=&quot;00792C66&quot;/&gt;&lt;wsp:rsid wsp:val=&quot;00792F7E&quot;/&gt;&lt;wsp:rsid wsp:val=&quot;00792FEE&quot;/&gt;&lt;wsp:rsid wsp:val=&quot;0079373C&quot;/&gt;&lt;wsp:rsid wsp:val=&quot;00793773&quot;/&gt;&lt;wsp:rsid wsp:val=&quot;00793DA9&quot;/&gt;&lt;wsp:rsid wsp:val=&quot;00794559&quot;/&gt;&lt;wsp:rsid wsp:val=&quot;0079487B&quot;/&gt;&lt;wsp:rsid wsp:val=&quot;00794BC0&quot;/&gt;&lt;wsp:rsid wsp:val=&quot;00794BEC&quot;/&gt;&lt;wsp:rsid wsp:val=&quot;00794EF8&quot;/&gt;&lt;wsp:rsid wsp:val=&quot;00795215&quot;/&gt;&lt;wsp:rsid wsp:val=&quot;0079539F&quot;/&gt;&lt;wsp:rsid wsp:val=&quot;00795433&quot;/&gt;&lt;wsp:rsid wsp:val=&quot;0079573F&quot;/&gt;&lt;wsp:rsid wsp:val=&quot;00795EF8&quot;/&gt;&lt;wsp:rsid wsp:val=&quot;0079662D&quot;/&gt;&lt;wsp:rsid wsp:val=&quot;00796954&quot;/&gt;&lt;wsp:rsid wsp:val=&quot;007969A1&quot;/&gt;&lt;wsp:rsid wsp:val=&quot;00797587&quot;/&gt;&lt;wsp:rsid wsp:val=&quot;0079772A&quot;/&gt;&lt;wsp:rsid wsp:val=&quot;007977EE&quot;/&gt;&lt;wsp:rsid wsp:val=&quot;007A03CB&quot;/&gt;&lt;wsp:rsid wsp:val=&quot;007A046B&quot;/&gt;&lt;wsp:rsid wsp:val=&quot;007A0493&quot;/&gt;&lt;wsp:rsid wsp:val=&quot;007A0658&quot;/&gt;&lt;wsp:rsid wsp:val=&quot;007A0677&quot;/&gt;&lt;wsp:rsid wsp:val=&quot;007A19BF&quot;/&gt;&lt;wsp:rsid wsp:val=&quot;007A1CE1&quot;/&gt;&lt;wsp:rsid wsp:val=&quot;007A209B&quot;/&gt;&lt;wsp:rsid wsp:val=&quot;007A24DC&quot;/&gt;&lt;wsp:rsid wsp:val=&quot;007A29D5&quot;/&gt;&lt;wsp:rsid wsp:val=&quot;007A2AFD&quot;/&gt;&lt;wsp:rsid wsp:val=&quot;007A2E34&quot;/&gt;&lt;wsp:rsid wsp:val=&quot;007A2F54&quot;/&gt;&lt;wsp:rsid wsp:val=&quot;007A340D&quot;/&gt;&lt;wsp:rsid wsp:val=&quot;007A3481&quot;/&gt;&lt;wsp:rsid wsp:val=&quot;007A353A&quot;/&gt;&lt;wsp:rsid wsp:val=&quot;007A39E2&quot;/&gt;&lt;wsp:rsid wsp:val=&quot;007A3A60&quot;/&gt;&lt;wsp:rsid wsp:val=&quot;007A3C15&quot;/&gt;&lt;wsp:rsid wsp:val=&quot;007A4178&quot;/&gt;&lt;wsp:rsid wsp:val=&quot;007A435C&quot;/&gt;&lt;wsp:rsid wsp:val=&quot;007A586B&quot;/&gt;&lt;wsp:rsid wsp:val=&quot;007A6453&quot;/&gt;&lt;wsp:rsid wsp:val=&quot;007A677B&quot;/&gt;&lt;wsp:rsid wsp:val=&quot;007A6A0B&quot;/&gt;&lt;wsp:rsid wsp:val=&quot;007A6E31&quot;/&gt;&lt;wsp:rsid wsp:val=&quot;007A6FE8&quot;/&gt;&lt;wsp:rsid wsp:val=&quot;007A72AA&quot;/&gt;&lt;wsp:rsid wsp:val=&quot;007A72EC&quot;/&gt;&lt;wsp:rsid wsp:val=&quot;007A73A7&quot;/&gt;&lt;wsp:rsid wsp:val=&quot;007A7A17&quot;/&gt;&lt;wsp:rsid wsp:val=&quot;007A7B90&quot;/&gt;&lt;wsp:rsid wsp:val=&quot;007B019A&quot;/&gt;&lt;wsp:rsid wsp:val=&quot;007B0610&quot;/&gt;&lt;wsp:rsid wsp:val=&quot;007B07BD&quot;/&gt;&lt;wsp:rsid wsp:val=&quot;007B0814&quot;/&gt;&lt;wsp:rsid wsp:val=&quot;007B0ABE&quot;/&gt;&lt;wsp:rsid wsp:val=&quot;007B16A9&quot;/&gt;&lt;wsp:rsid wsp:val=&quot;007B211A&quot;/&gt;&lt;wsp:rsid wsp:val=&quot;007B2583&quot;/&gt;&lt;wsp:rsid wsp:val=&quot;007B275C&quot;/&gt;&lt;wsp:rsid wsp:val=&quot;007B307E&quot;/&gt;&lt;wsp:rsid wsp:val=&quot;007B33FF&quot;/&gt;&lt;wsp:rsid wsp:val=&quot;007B3610&quot;/&gt;&lt;wsp:rsid wsp:val=&quot;007B38D1&quot;/&gt;&lt;wsp:rsid wsp:val=&quot;007B3B6A&quot;/&gt;&lt;wsp:rsid wsp:val=&quot;007B3BDC&quot;/&gt;&lt;wsp:rsid wsp:val=&quot;007B3F99&quot;/&gt;&lt;wsp:rsid wsp:val=&quot;007B42E4&quot;/&gt;&lt;wsp:rsid wsp:val=&quot;007B50D5&quot;/&gt;&lt;wsp:rsid wsp:val=&quot;007B50D6&quot;/&gt;&lt;wsp:rsid wsp:val=&quot;007B5141&quot;/&gt;&lt;wsp:rsid wsp:val=&quot;007B5358&quot;/&gt;&lt;wsp:rsid wsp:val=&quot;007B54A0&quot;/&gt;&lt;wsp:rsid wsp:val=&quot;007B580B&quot;/&gt;&lt;wsp:rsid wsp:val=&quot;007B5B44&quot;/&gt;&lt;wsp:rsid wsp:val=&quot;007B5E24&quot;/&gt;&lt;wsp:rsid wsp:val=&quot;007B69CA&quot;/&gt;&lt;wsp:rsid wsp:val=&quot;007B6B46&quot;/&gt;&lt;wsp:rsid wsp:val=&quot;007B741A&quot;/&gt;&lt;wsp:rsid wsp:val=&quot;007B771F&quot;/&gt;&lt;wsp:rsid wsp:val=&quot;007B7D7F&quot;/&gt;&lt;wsp:rsid wsp:val=&quot;007B7E7D&quot;/&gt;&lt;wsp:rsid wsp:val=&quot;007B7FCB&quot;/&gt;&lt;wsp:rsid wsp:val=&quot;007C0CFB&quot;/&gt;&lt;wsp:rsid wsp:val=&quot;007C0FF4&quot;/&gt;&lt;wsp:rsid wsp:val=&quot;007C11C8&quot;/&gt;&lt;wsp:rsid wsp:val=&quot;007C1591&quot;/&gt;&lt;wsp:rsid wsp:val=&quot;007C20DB&quot;/&gt;&lt;wsp:rsid wsp:val=&quot;007C23CA&quot;/&gt;&lt;wsp:rsid wsp:val=&quot;007C29E7&quot;/&gt;&lt;wsp:rsid wsp:val=&quot;007C2ECB&quot;/&gt;&lt;wsp:rsid wsp:val=&quot;007C2EEE&quot;/&gt;&lt;wsp:rsid wsp:val=&quot;007C32BA&quot;/&gt;&lt;wsp:rsid wsp:val=&quot;007C3367&quot;/&gt;&lt;wsp:rsid wsp:val=&quot;007C364E&quot;/&gt;&lt;wsp:rsid wsp:val=&quot;007C36B1&quot;/&gt;&lt;wsp:rsid wsp:val=&quot;007C3722&quot;/&gt;&lt;wsp:rsid wsp:val=&quot;007C3747&quot;/&gt;&lt;wsp:rsid wsp:val=&quot;007C38D9&quot;/&gt;&lt;wsp:rsid wsp:val=&quot;007C3DE5&quot;/&gt;&lt;wsp:rsid wsp:val=&quot;007C4074&quot;/&gt;&lt;wsp:rsid wsp:val=&quot;007C4F5A&quot;/&gt;&lt;wsp:rsid wsp:val=&quot;007C50F4&quot;/&gt;&lt;wsp:rsid wsp:val=&quot;007C5200&quot;/&gt;&lt;wsp:rsid wsp:val=&quot;007C5581&quot;/&gt;&lt;wsp:rsid wsp:val=&quot;007C5732&quot;/&gt;&lt;wsp:rsid wsp:val=&quot;007C5A5A&quot;/&gt;&lt;wsp:rsid wsp:val=&quot;007C5DA4&quot;/&gt;&lt;wsp:rsid wsp:val=&quot;007C5DD1&quot;/&gt;&lt;wsp:rsid wsp:val=&quot;007C6326&quot;/&gt;&lt;wsp:rsid wsp:val=&quot;007C684E&quot;/&gt;&lt;wsp:rsid wsp:val=&quot;007C6C41&quot;/&gt;&lt;wsp:rsid wsp:val=&quot;007C72F0&quot;/&gt;&lt;wsp:rsid wsp:val=&quot;007C73BA&quot;/&gt;&lt;wsp:rsid wsp:val=&quot;007C7797&quot;/&gt;&lt;wsp:rsid wsp:val=&quot;007C7A6B&quot;/&gt;&lt;wsp:rsid wsp:val=&quot;007C7C0D&quot;/&gt;&lt;wsp:rsid wsp:val=&quot;007D0152&quot;/&gt;&lt;wsp:rsid wsp:val=&quot;007D0A4F&quot;/&gt;&lt;wsp:rsid wsp:val=&quot;007D0CEE&quot;/&gt;&lt;wsp:rsid wsp:val=&quot;007D0E99&quot;/&gt;&lt;wsp:rsid wsp:val=&quot;007D0EC3&quot;/&gt;&lt;wsp:rsid wsp:val=&quot;007D124F&quot;/&gt;&lt;wsp:rsid wsp:val=&quot;007D12C0&quot;/&gt;&lt;wsp:rsid wsp:val=&quot;007D150B&quot;/&gt;&lt;wsp:rsid wsp:val=&quot;007D1607&quot;/&gt;&lt;wsp:rsid wsp:val=&quot;007D1645&quot;/&gt;&lt;wsp:rsid wsp:val=&quot;007D18E0&quot;/&gt;&lt;wsp:rsid wsp:val=&quot;007D1BC1&quot;/&gt;&lt;wsp:rsid wsp:val=&quot;007D1C66&quot;/&gt;&lt;wsp:rsid wsp:val=&quot;007D1CC7&quot;/&gt;&lt;wsp:rsid wsp:val=&quot;007D1CFA&quot;/&gt;&lt;wsp:rsid wsp:val=&quot;007D1E39&quot;/&gt;&lt;wsp:rsid wsp:val=&quot;007D2240&quot;/&gt;&lt;wsp:rsid wsp:val=&quot;007D22B0&quot;/&gt;&lt;wsp:rsid wsp:val=&quot;007D2504&quot;/&gt;&lt;wsp:rsid wsp:val=&quot;007D279A&quot;/&gt;&lt;wsp:rsid wsp:val=&quot;007D2ABA&quot;/&gt;&lt;wsp:rsid wsp:val=&quot;007D2ADC&quot;/&gt;&lt;wsp:rsid wsp:val=&quot;007D2D26&quot;/&gt;&lt;wsp:rsid wsp:val=&quot;007D2EB8&quot;/&gt;&lt;wsp:rsid wsp:val=&quot;007D2EC6&quot;/&gt;&lt;wsp:rsid wsp:val=&quot;007D3264&quot;/&gt;&lt;wsp:rsid wsp:val=&quot;007D32FF&quot;/&gt;&lt;wsp:rsid wsp:val=&quot;007D375C&quot;/&gt;&lt;wsp:rsid wsp:val=&quot;007D3C9B&quot;/&gt;&lt;wsp:rsid wsp:val=&quot;007D409B&quot;/&gt;&lt;wsp:rsid wsp:val=&quot;007D41AB&quot;/&gt;&lt;wsp:rsid wsp:val=&quot;007D4587&quot;/&gt;&lt;wsp:rsid wsp:val=&quot;007D47CB&quot;/&gt;&lt;wsp:rsid wsp:val=&quot;007D4BC7&quot;/&gt;&lt;wsp:rsid wsp:val=&quot;007D4C39&quot;/&gt;&lt;wsp:rsid wsp:val=&quot;007D4D48&quot;/&gt;&lt;wsp:rsid wsp:val=&quot;007D4DA5&quot;/&gt;&lt;wsp:rsid wsp:val=&quot;007D5948&quot;/&gt;&lt;wsp:rsid wsp:val=&quot;007D5B4C&quot;/&gt;&lt;wsp:rsid wsp:val=&quot;007D5C25&quot;/&gt;&lt;wsp:rsid wsp:val=&quot;007D5D86&quot;/&gt;&lt;wsp:rsid wsp:val=&quot;007D5EA0&quot;/&gt;&lt;wsp:rsid wsp:val=&quot;007D5FDB&quot;/&gt;&lt;wsp:rsid wsp:val=&quot;007D627E&quot;/&gt;&lt;wsp:rsid wsp:val=&quot;007D62FD&quot;/&gt;&lt;wsp:rsid wsp:val=&quot;007D6494&quot;/&gt;&lt;wsp:rsid wsp:val=&quot;007D64A7&quot;/&gt;&lt;wsp:rsid wsp:val=&quot;007D6508&quot;/&gt;&lt;wsp:rsid wsp:val=&quot;007D6C21&quot;/&gt;&lt;wsp:rsid wsp:val=&quot;007D716E&quot;/&gt;&lt;wsp:rsid wsp:val=&quot;007D7ACF&quot;/&gt;&lt;wsp:rsid wsp:val=&quot;007D7BCF&quot;/&gt;&lt;wsp:rsid wsp:val=&quot;007E00E4&quot;/&gt;&lt;wsp:rsid wsp:val=&quot;007E0268&quot;/&gt;&lt;wsp:rsid wsp:val=&quot;007E060E&quot;/&gt;&lt;wsp:rsid wsp:val=&quot;007E087A&quot;/&gt;&lt;wsp:rsid wsp:val=&quot;007E0969&quot;/&gt;&lt;wsp:rsid wsp:val=&quot;007E09FA&quot;/&gt;&lt;wsp:rsid wsp:val=&quot;007E1244&quot;/&gt;&lt;wsp:rsid wsp:val=&quot;007E1A43&quot;/&gt;&lt;wsp:rsid wsp:val=&quot;007E1A52&quot;/&gt;&lt;wsp:rsid wsp:val=&quot;007E1ADE&quot;/&gt;&lt;wsp:rsid wsp:val=&quot;007E1D43&quot;/&gt;&lt;wsp:rsid wsp:val=&quot;007E1D4D&quot;/&gt;&lt;wsp:rsid wsp:val=&quot;007E2123&quot;/&gt;&lt;wsp:rsid wsp:val=&quot;007E241C&quot;/&gt;&lt;wsp:rsid wsp:val=&quot;007E2834&quot;/&gt;&lt;wsp:rsid wsp:val=&quot;007E2BC4&quot;/&gt;&lt;wsp:rsid wsp:val=&quot;007E2DA6&quot;/&gt;&lt;wsp:rsid wsp:val=&quot;007E2FA4&quot;/&gt;&lt;wsp:rsid wsp:val=&quot;007E30B9&quot;/&gt;&lt;wsp:rsid wsp:val=&quot;007E3370&quot;/&gt;&lt;wsp:rsid wsp:val=&quot;007E3593&quot;/&gt;&lt;wsp:rsid wsp:val=&quot;007E3686&quot;/&gt;&lt;wsp:rsid wsp:val=&quot;007E3EA5&quot;/&gt;&lt;wsp:rsid wsp:val=&quot;007E3F11&quot;/&gt;&lt;wsp:rsid wsp:val=&quot;007E3F9E&quot;/&gt;&lt;wsp:rsid wsp:val=&quot;007E47F7&quot;/&gt;&lt;wsp:rsid wsp:val=&quot;007E48E6&quot;/&gt;&lt;wsp:rsid wsp:val=&quot;007E4A75&quot;/&gt;&lt;wsp:rsid wsp:val=&quot;007E4A99&quot;/&gt;&lt;wsp:rsid wsp:val=&quot;007E4C83&quot;/&gt;&lt;wsp:rsid wsp:val=&quot;007E4FF9&quot;/&gt;&lt;wsp:rsid wsp:val=&quot;007E56C3&quot;/&gt;&lt;wsp:rsid wsp:val=&quot;007E5D09&quot;/&gt;&lt;wsp:rsid wsp:val=&quot;007E5D15&quot;/&gt;&lt;wsp:rsid wsp:val=&quot;007E60E4&quot;/&gt;&lt;wsp:rsid wsp:val=&quot;007E61AF&quot;/&gt;&lt;wsp:rsid wsp:val=&quot;007E61DC&quot;/&gt;&lt;wsp:rsid wsp:val=&quot;007E6348&quot;/&gt;&lt;wsp:rsid wsp:val=&quot;007E63EE&quot;/&gt;&lt;wsp:rsid wsp:val=&quot;007E64B8&quot;/&gt;&lt;wsp:rsid wsp:val=&quot;007E6716&quot;/&gt;&lt;wsp:rsid wsp:val=&quot;007E67E9&quot;/&gt;&lt;wsp:rsid wsp:val=&quot;007E6845&quot;/&gt;&lt;wsp:rsid wsp:val=&quot;007E684D&quot;/&gt;&lt;wsp:rsid wsp:val=&quot;007E6ADF&quot;/&gt;&lt;wsp:rsid wsp:val=&quot;007E6AFE&quot;/&gt;&lt;wsp:rsid wsp:val=&quot;007E6EC8&quot;/&gt;&lt;wsp:rsid wsp:val=&quot;007E710C&quot;/&gt;&lt;wsp:rsid wsp:val=&quot;007E72A0&quot;/&gt;&lt;wsp:rsid wsp:val=&quot;007E7602&quot;/&gt;&lt;wsp:rsid wsp:val=&quot;007E769B&quot;/&gt;&lt;wsp:rsid wsp:val=&quot;007E76D6&quot;/&gt;&lt;wsp:rsid wsp:val=&quot;007E775F&quot;/&gt;&lt;wsp:rsid wsp:val=&quot;007E7799&quot;/&gt;&lt;wsp:rsid wsp:val=&quot;007E7C3A&quot;/&gt;&lt;wsp:rsid wsp:val=&quot;007F0137&quot;/&gt;&lt;wsp:rsid wsp:val=&quot;007F0F44&quot;/&gt;&lt;wsp:rsid wsp:val=&quot;007F13C7&quot;/&gt;&lt;wsp:rsid wsp:val=&quot;007F13E5&quot;/&gt;&lt;wsp:rsid wsp:val=&quot;007F1C37&quot;/&gt;&lt;wsp:rsid wsp:val=&quot;007F1C87&quot;/&gt;&lt;wsp:rsid wsp:val=&quot;007F1EB8&quot;/&gt;&lt;wsp:rsid wsp:val=&quot;007F2148&quot;/&gt;&lt;wsp:rsid wsp:val=&quot;007F2178&quot;/&gt;&lt;wsp:rsid wsp:val=&quot;007F2329&quot;/&gt;&lt;wsp:rsid wsp:val=&quot;007F2475&quot;/&gt;&lt;wsp:rsid wsp:val=&quot;007F28FE&quot;/&gt;&lt;wsp:rsid wsp:val=&quot;007F2C05&quot;/&gt;&lt;wsp:rsid wsp:val=&quot;007F2F0B&quot;/&gt;&lt;wsp:rsid wsp:val=&quot;007F3061&quot;/&gt;&lt;wsp:rsid wsp:val=&quot;007F31BC&quot;/&gt;&lt;wsp:rsid wsp:val=&quot;007F34DE&quot;/&gt;&lt;wsp:rsid wsp:val=&quot;007F390A&quot;/&gt;&lt;wsp:rsid wsp:val=&quot;007F4472&quot;/&gt;&lt;wsp:rsid wsp:val=&quot;007F4B96&quot;/&gt;&lt;wsp:rsid wsp:val=&quot;007F4F74&quot;/&gt;&lt;wsp:rsid wsp:val=&quot;007F5177&quot;/&gt;&lt;wsp:rsid wsp:val=&quot;007F60E6&quot;/&gt;&lt;wsp:rsid wsp:val=&quot;007F6270&quot;/&gt;&lt;wsp:rsid wsp:val=&quot;007F6404&quot;/&gt;&lt;wsp:rsid wsp:val=&quot;007F718E&quot;/&gt;&lt;wsp:rsid wsp:val=&quot;007F771F&quot;/&gt;&lt;wsp:rsid wsp:val=&quot;007F7A4C&quot;/&gt;&lt;wsp:rsid wsp:val=&quot;008001D8&quot;/&gt;&lt;wsp:rsid wsp:val=&quot;008006A8&quot;/&gt;&lt;wsp:rsid wsp:val=&quot;00800BB8&quot;/&gt;&lt;wsp:rsid wsp:val=&quot;00800E2C&quot;/&gt;&lt;wsp:rsid wsp:val=&quot;00800F0F&quot;/&gt;&lt;wsp:rsid wsp:val=&quot;00801002&quot;/&gt;&lt;wsp:rsid wsp:val=&quot;00802450&quot;/&gt;&lt;wsp:rsid wsp:val=&quot;008025B5&quot;/&gt;&lt;wsp:rsid wsp:val=&quot;0080274C&quot;/&gt;&lt;wsp:rsid wsp:val=&quot;00802CB7&quot;/&gt;&lt;wsp:rsid wsp:val=&quot;00802CDF&quot;/&gt;&lt;wsp:rsid wsp:val=&quot;00802E4A&quot;/&gt;&lt;wsp:rsid wsp:val=&quot;00802EE9&quot;/&gt;&lt;wsp:rsid wsp:val=&quot;00803A2E&quot;/&gt;&lt;wsp:rsid wsp:val=&quot;00803FF4&quot;/&gt;&lt;wsp:rsid wsp:val=&quot;0080414C&quot;/&gt;&lt;wsp:rsid wsp:val=&quot;008041B4&quot;/&gt;&lt;wsp:rsid wsp:val=&quot;008043C2&quot;/&gt;&lt;wsp:rsid wsp:val=&quot;00804428&quot;/&gt;&lt;wsp:rsid wsp:val=&quot;00804761&quot;/&gt;&lt;wsp:rsid wsp:val=&quot;008047A2&quot;/&gt;&lt;wsp:rsid wsp:val=&quot;00804A49&quot;/&gt;&lt;wsp:rsid wsp:val=&quot;00804C46&quot;/&gt;&lt;wsp:rsid wsp:val=&quot;008050C6&quot;/&gt;&lt;wsp:rsid wsp:val=&quot;0080576A&quot;/&gt;&lt;wsp:rsid wsp:val=&quot;00805848&quot;/&gt;&lt;wsp:rsid wsp:val=&quot;00806065&quot;/&gt;&lt;wsp:rsid wsp:val=&quot;00806A5A&quot;/&gt;&lt;wsp:rsid wsp:val=&quot;008071B3&quot;/&gt;&lt;wsp:rsid wsp:val=&quot;00807212&quot;/&gt;&lt;wsp:rsid wsp:val=&quot;0080760F&quot;/&gt;&lt;wsp:rsid wsp:val=&quot;00807880&quot;/&gt;&lt;wsp:rsid wsp:val=&quot;00807C26&quot;/&gt;&lt;wsp:rsid wsp:val=&quot;00807F63&quot;/&gt;&lt;wsp:rsid wsp:val=&quot;00810315&quot;/&gt;&lt;wsp:rsid wsp:val=&quot;00810398&quot;/&gt;&lt;wsp:rsid wsp:val=&quot;00810414&quot;/&gt;&lt;wsp:rsid wsp:val=&quot;00810708&quot;/&gt;&lt;wsp:rsid wsp:val=&quot;008108F0&quot;/&gt;&lt;wsp:rsid wsp:val=&quot;008109F5&quot;/&gt;&lt;wsp:rsid wsp:val=&quot;00810C6B&quot;/&gt;&lt;wsp:rsid wsp:val=&quot;00811081&quot;/&gt;&lt;wsp:rsid wsp:val=&quot;008110E1&quot;/&gt;&lt;wsp:rsid wsp:val=&quot;00811601&quot;/&gt;&lt;wsp:rsid wsp:val=&quot;00811852&quot;/&gt;&lt;wsp:rsid wsp:val=&quot;00811902&quot;/&gt;&lt;wsp:rsid wsp:val=&quot;00811A43&quot;/&gt;&lt;wsp:rsid wsp:val=&quot;00811FE4&quot;/&gt;&lt;wsp:rsid wsp:val=&quot;00812170&quot;/&gt;&lt;wsp:rsid wsp:val=&quot;0081258B&quot;/&gt;&lt;wsp:rsid wsp:val=&quot;00812BBB&quot;/&gt;&lt;wsp:rsid wsp:val=&quot;00812C46&quot;/&gt;&lt;wsp:rsid wsp:val=&quot;00812CD9&quot;/&gt;&lt;wsp:rsid wsp:val=&quot;008132A5&quot;/&gt;&lt;wsp:rsid wsp:val=&quot;00813330&quot;/&gt;&lt;wsp:rsid wsp:val=&quot;00813361&quot;/&gt;&lt;wsp:rsid wsp:val=&quot;008134AA&quot;/&gt;&lt;wsp:rsid wsp:val=&quot;008137F2&quot;/&gt;&lt;wsp:rsid wsp:val=&quot;00813849&quot;/&gt;&lt;wsp:rsid wsp:val=&quot;00814082&quot;/&gt;&lt;wsp:rsid wsp:val=&quot;0081486F&quot;/&gt;&lt;wsp:rsid wsp:val=&quot;00814B3B&quot;/&gt;&lt;wsp:rsid wsp:val=&quot;00814B61&quot;/&gt;&lt;wsp:rsid wsp:val=&quot;00815174&quot;/&gt;&lt;wsp:rsid wsp:val=&quot;008155F9&quot;/&gt;&lt;wsp:rsid wsp:val=&quot;008159A1&quot;/&gt;&lt;wsp:rsid wsp:val=&quot;00815B37&quot;/&gt;&lt;wsp:rsid wsp:val=&quot;00815EA7&quot;/&gt;&lt;wsp:rsid wsp:val=&quot;00815EBD&quot;/&gt;&lt;wsp:rsid wsp:val=&quot;008162FE&quot;/&gt;&lt;wsp:rsid wsp:val=&quot;00816398&quot;/&gt;&lt;wsp:rsid wsp:val=&quot;0081654E&quot;/&gt;&lt;wsp:rsid wsp:val=&quot;00816C1E&quot;/&gt;&lt;wsp:rsid wsp:val=&quot;00816C46&quot;/&gt;&lt;wsp:rsid wsp:val=&quot;00816D56&quot;/&gt;&lt;wsp:rsid wsp:val=&quot;008171AB&quot;/&gt;&lt;wsp:rsid wsp:val=&quot;008172B0&quot;/&gt;&lt;wsp:rsid wsp:val=&quot;00817387&quot;/&gt;&lt;wsp:rsid wsp:val=&quot;0081797F&quot;/&gt;&lt;wsp:rsid wsp:val=&quot;008200DC&quot;/&gt;&lt;wsp:rsid wsp:val=&quot;008203C2&quot;/&gt;&lt;wsp:rsid wsp:val=&quot;00821293&quot;/&gt;&lt;wsp:rsid wsp:val=&quot;00821807&quot;/&gt;&lt;wsp:rsid wsp:val=&quot;00821895&quot;/&gt;&lt;wsp:rsid wsp:val=&quot;00821A6B&quot;/&gt;&lt;wsp:rsid wsp:val=&quot;00821CE2&quot;/&gt;&lt;wsp:rsid wsp:val=&quot;008220BB&quot;/&gt;&lt;wsp:rsid wsp:val=&quot;00822539&quot;/&gt;&lt;wsp:rsid wsp:val=&quot;008234B3&quot;/&gt;&lt;wsp:rsid wsp:val=&quot;00823566&quot;/&gt;&lt;wsp:rsid wsp:val=&quot;00823B15&quot;/&gt;&lt;wsp:rsid wsp:val=&quot;00824561&quot;/&gt;&lt;wsp:rsid wsp:val=&quot;0082502E&quot;/&gt;&lt;wsp:rsid wsp:val=&quot;008251CA&quot;/&gt;&lt;wsp:rsid wsp:val=&quot;008253C6&quot;/&gt;&lt;wsp:rsid wsp:val=&quot;008253F0&quot;/&gt;&lt;wsp:rsid wsp:val=&quot;008256F2&quot;/&gt;&lt;wsp:rsid wsp:val=&quot;00825F83&quot;/&gt;&lt;wsp:rsid wsp:val=&quot;0082612E&quot;/&gt;&lt;wsp:rsid wsp:val=&quot;008262C5&quot;/&gt;&lt;wsp:rsid wsp:val=&quot;00826510&quot;/&gt;&lt;wsp:rsid wsp:val=&quot;0082706E&quot;/&gt;&lt;wsp:rsid wsp:val=&quot;0082759B&quot;/&gt;&lt;wsp:rsid wsp:val=&quot;00827BCA&quot;/&gt;&lt;wsp:rsid wsp:val=&quot;00827DAD&quot;/&gt;&lt;wsp:rsid wsp:val=&quot;00827F05&quot;/&gt;&lt;wsp:rsid wsp:val=&quot;00827F6D&quot;/&gt;&lt;wsp:rsid wsp:val=&quot;0083080E&quot;/&gt;&lt;wsp:rsid wsp:val=&quot;0083086C&quot;/&gt;&lt;wsp:rsid wsp:val=&quot;00830CF4&quot;/&gt;&lt;wsp:rsid wsp:val=&quot;00830DAF&quot;/&gt;&lt;wsp:rsid wsp:val=&quot;00830F63&quot;/&gt;&lt;wsp:rsid wsp:val=&quot;00830F77&quot;/&gt;&lt;wsp:rsid wsp:val=&quot;008311D9&quot;/&gt;&lt;wsp:rsid wsp:val=&quot;00831486&quot;/&gt;&lt;wsp:rsid wsp:val=&quot;00831AC1&quot;/&gt;&lt;wsp:rsid wsp:val=&quot;00831F2E&quot;/&gt;&lt;wsp:rsid wsp:val=&quot;008325A4&quot;/&gt;&lt;wsp:rsid wsp:val=&quot;00832ADC&quot;/&gt;&lt;wsp:rsid wsp:val=&quot;00832E81&quot;/&gt;&lt;wsp:rsid wsp:val=&quot;00833A63&quot;/&gt;&lt;wsp:rsid wsp:val=&quot;00833BF2&quot;/&gt;&lt;wsp:rsid wsp:val=&quot;00833D11&quot;/&gt;&lt;wsp:rsid wsp:val=&quot;00833D69&quot;/&gt;&lt;wsp:rsid wsp:val=&quot;00833F52&quot;/&gt;&lt;wsp:rsid wsp:val=&quot;00834120&quot;/&gt;&lt;wsp:rsid wsp:val=&quot;00834185&quot;/&gt;&lt;wsp:rsid wsp:val=&quot;00834541&quot;/&gt;&lt;wsp:rsid wsp:val=&quot;00834920&quot;/&gt;&lt;wsp:rsid wsp:val=&quot;008349E6&quot;/&gt;&lt;wsp:rsid wsp:val=&quot;00834C64&quot;/&gt;&lt;wsp:rsid wsp:val=&quot;00834ECA&quot;/&gt;&lt;wsp:rsid wsp:val=&quot;00834ED1&quot;/&gt;&lt;wsp:rsid wsp:val=&quot;00834EE9&quot;/&gt;&lt;wsp:rsid wsp:val=&quot;00835031&quot;/&gt;&lt;wsp:rsid wsp:val=&quot;008354B6&quot;/&gt;&lt;wsp:rsid wsp:val=&quot;00835797&quot;/&gt;&lt;wsp:rsid wsp:val=&quot;00835A24&quot;/&gt;&lt;wsp:rsid wsp:val=&quot;00835B9C&quot;/&gt;&lt;wsp:rsid wsp:val=&quot;00835BEA&quot;/&gt;&lt;wsp:rsid wsp:val=&quot;00835C42&quot;/&gt;&lt;wsp:rsid wsp:val=&quot;00836133&quot;/&gt;&lt;wsp:rsid wsp:val=&quot;0083635A&quot;/&gt;&lt;wsp:rsid wsp:val=&quot;008365CB&quot;/&gt;&lt;wsp:rsid wsp:val=&quot;00836C7C&quot;/&gt;&lt;wsp:rsid wsp:val=&quot;00836DB2&quot;/&gt;&lt;wsp:rsid wsp:val=&quot;00836F53&quot;/&gt;&lt;wsp:rsid wsp:val=&quot;00837197&quot;/&gt;&lt;wsp:rsid wsp:val=&quot;008375F6&quot;/&gt;&lt;wsp:rsid wsp:val=&quot;008377FE&quot;/&gt;&lt;wsp:rsid wsp:val=&quot;00837A1D&quot;/&gt;&lt;wsp:rsid wsp:val=&quot;00837D64&quot;/&gt;&lt;wsp:rsid wsp:val=&quot;00837E77&quot;/&gt;&lt;wsp:rsid wsp:val=&quot;008400EC&quot;/&gt;&lt;wsp:rsid wsp:val=&quot;0084034A&quot;/&gt;&lt;wsp:rsid wsp:val=&quot;00840447&quot;/&gt;&lt;wsp:rsid wsp:val=&quot;0084099B&quot;/&gt;&lt;wsp:rsid wsp:val=&quot;00840F5A&quot;/&gt;&lt;wsp:rsid wsp:val=&quot;00840FC2&quot;/&gt;&lt;wsp:rsid wsp:val=&quot;0084150B&quot;/&gt;&lt;wsp:rsid wsp:val=&quot;0084178A&quot;/&gt;&lt;wsp:rsid wsp:val=&quot;00841F2F&quot;/&gt;&lt;wsp:rsid wsp:val=&quot;00841F32&quot;/&gt;&lt;wsp:rsid wsp:val=&quot;00841FD5&quot;/&gt;&lt;wsp:rsid wsp:val=&quot;0084207E&quot;/&gt;&lt;wsp:rsid wsp:val=&quot;00843913&quot;/&gt;&lt;wsp:rsid wsp:val=&quot;00843B1E&quot;/&gt;&lt;wsp:rsid wsp:val=&quot;00843B27&quot;/&gt;&lt;wsp:rsid wsp:val=&quot;00844103&quot;/&gt;&lt;wsp:rsid wsp:val=&quot;008441EA&quot;/&gt;&lt;wsp:rsid wsp:val=&quot;00844794&quot;/&gt;&lt;wsp:rsid wsp:val=&quot;008447E6&quot;/&gt;&lt;wsp:rsid wsp:val=&quot;0084482C&quot;/&gt;&lt;wsp:rsid wsp:val=&quot;00845048&quot;/&gt;&lt;wsp:rsid wsp:val=&quot;008452FB&quot;/&gt;&lt;wsp:rsid wsp:val=&quot;008457C9&quot;/&gt;&lt;wsp:rsid wsp:val=&quot;00845898&quot;/&gt;&lt;wsp:rsid wsp:val=&quot;00845C8D&quot;/&gt;&lt;wsp:rsid wsp:val=&quot;00845F37&quot;/&gt;&lt;wsp:rsid wsp:val=&quot;0084642F&quot;/&gt;&lt;wsp:rsid wsp:val=&quot;00846458&quot;/&gt;&lt;wsp:rsid wsp:val=&quot;008465F4&quot;/&gt;&lt;wsp:rsid wsp:val=&quot;00846A80&quot;/&gt;&lt;wsp:rsid wsp:val=&quot;00847162&quot;/&gt;&lt;wsp:rsid wsp:val=&quot;008472BD&quot;/&gt;&lt;wsp:rsid wsp:val=&quot;008473E4&quot;/&gt;&lt;wsp:rsid wsp:val=&quot;008477EC&quot;/&gt;&lt;wsp:rsid wsp:val=&quot;008479D2&quot;/&gt;&lt;wsp:rsid wsp:val=&quot;00847D45&quot;/&gt;&lt;wsp:rsid wsp:val=&quot;00847DFB&quot;/&gt;&lt;wsp:rsid wsp:val=&quot;00847E31&quot;/&gt;&lt;wsp:rsid wsp:val=&quot;00850BAB&quot;/&gt;&lt;wsp:rsid wsp:val=&quot;00851693&quot;/&gt;&lt;wsp:rsid wsp:val=&quot;0085176F&quot;/&gt;&lt;wsp:rsid wsp:val=&quot;0085195C&quot;/&gt;&lt;wsp:rsid wsp:val=&quot;00851F11&quot;/&gt;&lt;wsp:rsid wsp:val=&quot;008521E1&quot;/&gt;&lt;wsp:rsid wsp:val=&quot;0085225F&quot;/&gt;&lt;wsp:rsid wsp:val=&quot;00852400&quot;/&gt;&lt;wsp:rsid wsp:val=&quot;00852D44&quot;/&gt;&lt;wsp:rsid wsp:val=&quot;008530EB&quot;/&gt;&lt;wsp:rsid wsp:val=&quot;0085337D&quot;/&gt;&lt;wsp:rsid wsp:val=&quot;008533E2&quot;/&gt;&lt;wsp:rsid wsp:val=&quot;0085363E&quot;/&gt;&lt;wsp:rsid wsp:val=&quot;00853EC8&quot;/&gt;&lt;wsp:rsid wsp:val=&quot;00853EDE&quot;/&gt;&lt;wsp:rsid wsp:val=&quot;0085402E&quot;/&gt;&lt;wsp:rsid wsp:val=&quot;008541BF&quot;/&gt;&lt;wsp:rsid wsp:val=&quot;008545D3&quot;/&gt;&lt;wsp:rsid wsp:val=&quot;00854628&quot;/&gt;&lt;wsp:rsid wsp:val=&quot;008547C4&quot;/&gt;&lt;wsp:rsid wsp:val=&quot;00854A4F&quot;/&gt;&lt;wsp:rsid wsp:val=&quot;00854D45&quot;/&gt;&lt;wsp:rsid wsp:val=&quot;00854F38&quot;/&gt;&lt;wsp:rsid wsp:val=&quot;00855083&quot;/&gt;&lt;wsp:rsid wsp:val=&quot;00855EDE&quot;/&gt;&lt;wsp:rsid wsp:val=&quot;00855F9C&quot;/&gt;&lt;wsp:rsid wsp:val=&quot;00856487&quot;/&gt;&lt;wsp:rsid wsp:val=&quot;0085684E&quot;/&gt;&lt;wsp:rsid wsp:val=&quot;00856EBC&quot;/&gt;&lt;wsp:rsid wsp:val=&quot;00857644&quot;/&gt;&lt;wsp:rsid wsp:val=&quot;00857B5D&quot;/&gt;&lt;wsp:rsid wsp:val=&quot;00857BD4&quot;/&gt;&lt;wsp:rsid wsp:val=&quot;00857C3A&quot;/&gt;&lt;wsp:rsid wsp:val=&quot;00857F77&quot;/&gt;&lt;wsp:rsid wsp:val=&quot;00860617&quot;/&gt;&lt;wsp:rsid wsp:val=&quot;008606ED&quot;/&gt;&lt;wsp:rsid wsp:val=&quot;0086099B&quot;/&gt;&lt;wsp:rsid wsp:val=&quot;00860CB8&quot;/&gt;&lt;wsp:rsid wsp:val=&quot;00860E78&quot;/&gt;&lt;wsp:rsid wsp:val=&quot;00860F42&quot;/&gt;&lt;wsp:rsid wsp:val=&quot;0086129F&quot;/&gt;&lt;wsp:rsid wsp:val=&quot;00861D60&quot;/&gt;&lt;wsp:rsid wsp:val=&quot;0086286D&quot;/&gt;&lt;wsp:rsid wsp:val=&quot;0086299E&quot;/&gt;&lt;wsp:rsid wsp:val=&quot;00862A79&quot;/&gt;&lt;wsp:rsid wsp:val=&quot;00862B26&quot;/&gt;&lt;wsp:rsid wsp:val=&quot;00862DF6&quot;/&gt;&lt;wsp:rsid wsp:val=&quot;0086306A&quot;/&gt;&lt;wsp:rsid wsp:val=&quot;0086392F&quot;/&gt;&lt;wsp:rsid wsp:val=&quot;00863A18&quot;/&gt;&lt;wsp:rsid wsp:val=&quot;00863A9C&quot;/&gt;&lt;wsp:rsid wsp:val=&quot;00863AAB&quot;/&gt;&lt;wsp:rsid wsp:val=&quot;00863B3E&quot;/&gt;&lt;wsp:rsid wsp:val=&quot;00863BCA&quot;/&gt;&lt;wsp:rsid wsp:val=&quot;00863C5D&quot;/&gt;&lt;wsp:rsid wsp:val=&quot;00864B9C&quot;/&gt;&lt;wsp:rsid wsp:val=&quot;00864DD5&quot;/&gt;&lt;wsp:rsid wsp:val=&quot;00864E60&quot;/&gt;&lt;wsp:rsid wsp:val=&quot;008651C2&quot;/&gt;&lt;wsp:rsid wsp:val=&quot;008656B8&quot;/&gt;&lt;wsp:rsid wsp:val=&quot;0086572F&quot;/&gt;&lt;wsp:rsid wsp:val=&quot;00865818&quot;/&gt;&lt;wsp:rsid wsp:val=&quot;0086582D&quot;/&gt;&lt;wsp:rsid wsp:val=&quot;00865D23&quot;/&gt;&lt;wsp:rsid wsp:val=&quot;00866052&quot;/&gt;&lt;wsp:rsid wsp:val=&quot;00866268&quot;/&gt;&lt;wsp:rsid wsp:val=&quot;008668B7&quot;/&gt;&lt;wsp:rsid wsp:val=&quot;00866EEA&quot;/&gt;&lt;wsp:rsid wsp:val=&quot;0086727A&quot;/&gt;&lt;wsp:rsid wsp:val=&quot;00867798&quot;/&gt;&lt;wsp:rsid wsp:val=&quot;008677CD&quot;/&gt;&lt;wsp:rsid wsp:val=&quot;00867A65&quot;/&gt;&lt;wsp:rsid wsp:val=&quot;00867C5A&quot;/&gt;&lt;wsp:rsid wsp:val=&quot;00867CB4&quot;/&gt;&lt;wsp:rsid wsp:val=&quot;00867CC3&quot;/&gt;&lt;wsp:rsid wsp:val=&quot;00867D03&quot;/&gt;&lt;wsp:rsid wsp:val=&quot;00867D35&quot;/&gt;&lt;wsp:rsid wsp:val=&quot;0087007F&quot;/&gt;&lt;wsp:rsid wsp:val=&quot;0087015A&quot;/&gt;&lt;wsp:rsid wsp:val=&quot;00870441&quot;/&gt;&lt;wsp:rsid wsp:val=&quot;008705CF&quot;/&gt;&lt;wsp:rsid wsp:val=&quot;00870F38&quot;/&gt;&lt;wsp:rsid wsp:val=&quot;00871074&quot;/&gt;&lt;wsp:rsid wsp:val=&quot;00871C8C&quot;/&gt;&lt;wsp:rsid wsp:val=&quot;008720CB&quot;/&gt;&lt;wsp:rsid wsp:val=&quot;008726A9&quot;/&gt;&lt;wsp:rsid wsp:val=&quot;00872787&quot;/&gt;&lt;wsp:rsid wsp:val=&quot;008729D0&quot;/&gt;&lt;wsp:rsid wsp:val=&quot;00872C40&quot;/&gt;&lt;wsp:rsid wsp:val=&quot;00872D7F&quot;/&gt;&lt;wsp:rsid wsp:val=&quot;00872DB3&quot;/&gt;&lt;wsp:rsid wsp:val=&quot;008736C3&quot;/&gt;&lt;wsp:rsid wsp:val=&quot;0087390D&quot;/&gt;&lt;wsp:rsid wsp:val=&quot;00873CBA&quot;/&gt;&lt;wsp:rsid wsp:val=&quot;00874008&quot;/&gt;&lt;wsp:rsid wsp:val=&quot;008740A4&quot;/&gt;&lt;wsp:rsid wsp:val=&quot;00874188&quot;/&gt;&lt;wsp:rsid wsp:val=&quot;0087486B&quot;/&gt;&lt;wsp:rsid wsp:val=&quot;00875314&quot;/&gt;&lt;wsp:rsid wsp:val=&quot;0087532C&quot;/&gt;&lt;wsp:rsid wsp:val=&quot;00875357&quot;/&gt;&lt;wsp:rsid wsp:val=&quot;00875535&quot;/&gt;&lt;wsp:rsid wsp:val=&quot;00875647&quot;/&gt;&lt;wsp:rsid wsp:val=&quot;00875C02&quot;/&gt;&lt;wsp:rsid wsp:val=&quot;00875C95&quot;/&gt;&lt;wsp:rsid wsp:val=&quot;0087627E&quot;/&gt;&lt;wsp:rsid wsp:val=&quot;00876323&quot;/&gt;&lt;wsp:rsid wsp:val=&quot;00876E08&quot;/&gt;&lt;wsp:rsid wsp:val=&quot;008771C4&quot;/&gt;&lt;wsp:rsid wsp:val=&quot;008771E1&quot;/&gt;&lt;wsp:rsid wsp:val=&quot;008772EF&quot;/&gt;&lt;wsp:rsid wsp:val=&quot;00877482&quot;/&gt;&lt;wsp:rsid wsp:val=&quot;0087793A&quot;/&gt;&lt;wsp:rsid wsp:val=&quot;00877A42&quot;/&gt;&lt;wsp:rsid wsp:val=&quot;00877CCA&quot;/&gt;&lt;wsp:rsid wsp:val=&quot;00877E26&quot;/&gt;&lt;wsp:rsid wsp:val=&quot;00877F97&quot;/&gt;&lt;wsp:rsid wsp:val=&quot;00880187&quot;/&gt;&lt;wsp:rsid wsp:val=&quot;008807B2&quot;/&gt;&lt;wsp:rsid wsp:val=&quot;00880B0F&quot;/&gt;&lt;wsp:rsid wsp:val=&quot;00880B38&quot;/&gt;&lt;wsp:rsid wsp:val=&quot;008810ED&quot;/&gt;&lt;wsp:rsid wsp:val=&quot;0088155F&quot;/&gt;&lt;wsp:rsid wsp:val=&quot;00881959&quot;/&gt;&lt;wsp:rsid wsp:val=&quot;00881ABE&quot;/&gt;&lt;wsp:rsid wsp:val=&quot;00881C47&quot;/&gt;&lt;wsp:rsid wsp:val=&quot;00881FA6&quot;/&gt;&lt;wsp:rsid wsp:val=&quot;00881FC5&quot;/&gt;&lt;wsp:rsid wsp:val=&quot;008827B5&quot;/&gt;&lt;wsp:rsid wsp:val=&quot;00882E0E&quot;/&gt;&lt;wsp:rsid wsp:val=&quot;00883479&quot;/&gt;&lt;wsp:rsid wsp:val=&quot;00883601&quot;/&gt;&lt;wsp:rsid wsp:val=&quot;00884438&quot;/&gt;&lt;wsp:rsid wsp:val=&quot;008845D2&quot;/&gt;&lt;wsp:rsid wsp:val=&quot;00884689&quot;/&gt;&lt;wsp:rsid wsp:val=&quot;00884986&quot;/&gt;&lt;wsp:rsid wsp:val=&quot;00884E3A&quot;/&gt;&lt;wsp:rsid wsp:val=&quot;00884F66&quot;/&gt;&lt;wsp:rsid wsp:val=&quot;00885945&quot;/&gt;&lt;wsp:rsid wsp:val=&quot;00886031&quot;/&gt;&lt;wsp:rsid wsp:val=&quot;00886287&quot;/&gt;&lt;wsp:rsid wsp:val=&quot;008865EF&quot;/&gt;&lt;wsp:rsid wsp:val=&quot;00886926&quot;/&gt;&lt;wsp:rsid wsp:val=&quot;008869CD&quot;/&gt;&lt;wsp:rsid wsp:val=&quot;00886C82&quot;/&gt;&lt;wsp:rsid wsp:val=&quot;00886CA9&quot;/&gt;&lt;wsp:rsid wsp:val=&quot;00886F3F&quot;/&gt;&lt;wsp:rsid wsp:val=&quot;00887159&quot;/&gt;&lt;wsp:rsid wsp:val=&quot;008871E3&quot;/&gt;&lt;wsp:rsid wsp:val=&quot;0088732A&quot;/&gt;&lt;wsp:rsid wsp:val=&quot;008876C3&quot;/&gt;&lt;wsp:rsid wsp:val=&quot;0088771E&quot;/&gt;&lt;wsp:rsid wsp:val=&quot;00887E0A&quot;/&gt;&lt;wsp:rsid wsp:val=&quot;00887F79&quot;/&gt;&lt;wsp:rsid wsp:val=&quot;00890178&quot;/&gt;&lt;wsp:rsid wsp:val=&quot;0089018B&quot;/&gt;&lt;wsp:rsid wsp:val=&quot;008908F5&quot;/&gt;&lt;wsp:rsid wsp:val=&quot;00890907&quot;/&gt;&lt;wsp:rsid wsp:val=&quot;00890DFA&quot;/&gt;&lt;wsp:rsid wsp:val=&quot;00890F78&quot;/&gt;&lt;wsp:rsid wsp:val=&quot;0089120C&quot;/&gt;&lt;wsp:rsid wsp:val=&quot;008912E6&quot;/&gt;&lt;wsp:rsid wsp:val=&quot;0089138D&quot;/&gt;&lt;wsp:rsid wsp:val=&quot;00891863&quot;/&gt;&lt;wsp:rsid wsp:val=&quot;00891FAF&quot;/&gt;&lt;wsp:rsid wsp:val=&quot;008925B1&quot;/&gt;&lt;wsp:rsid wsp:val=&quot;0089275F&quot;/&gt;&lt;wsp:rsid wsp:val=&quot;00892A3B&quot;/&gt;&lt;wsp:rsid wsp:val=&quot;00892CA5&quot;/&gt;&lt;wsp:rsid wsp:val=&quot;00892E00&quot;/&gt;&lt;wsp:rsid wsp:val=&quot;00892E48&quot;/&gt;&lt;wsp:rsid wsp:val=&quot;00892E84&quot;/&gt;&lt;wsp:rsid wsp:val=&quot;0089333C&quot;/&gt;&lt;wsp:rsid wsp:val=&quot;00893479&quot;/&gt;&lt;wsp:rsid wsp:val=&quot;00893902&quot;/&gt;&lt;wsp:rsid wsp:val=&quot;00893A12&quot;/&gt;&lt;wsp:rsid wsp:val=&quot;00894712&quot;/&gt;&lt;wsp:rsid wsp:val=&quot;00894888&quot;/&gt;&lt;wsp:rsid wsp:val=&quot;008949DC&quot;/&gt;&lt;wsp:rsid wsp:val=&quot;00894D38&quot;/&gt;&lt;wsp:rsid wsp:val=&quot;00894EB0&quot;/&gt;&lt;wsp:rsid wsp:val=&quot;008950DA&quot;/&gt;&lt;wsp:rsid wsp:val=&quot;00895431&quot;/&gt;&lt;wsp:rsid wsp:val=&quot;00896177&quot;/&gt;&lt;wsp:rsid wsp:val=&quot;0089699E&quot;/&gt;&lt;wsp:rsid wsp:val=&quot;00896A7F&quot;/&gt;&lt;wsp:rsid wsp:val=&quot;00897169&quot;/&gt;&lt;wsp:rsid wsp:val=&quot;00897285&quot;/&gt;&lt;wsp:rsid wsp:val=&quot;00897399&quot;/&gt;&lt;wsp:rsid wsp:val=&quot;00897681&quot;/&gt;&lt;wsp:rsid wsp:val=&quot;0089779C&quot;/&gt;&lt;wsp:rsid wsp:val=&quot;00897D80&quot;/&gt;&lt;wsp:rsid wsp:val=&quot;00897DD2&quot;/&gt;&lt;wsp:rsid wsp:val=&quot;008A0385&quot;/&gt;&lt;wsp:rsid wsp:val=&quot;008A0DCD&quot;/&gt;&lt;wsp:rsid wsp:val=&quot;008A0EDE&quot;/&gt;&lt;wsp:rsid wsp:val=&quot;008A0EE8&quot;/&gt;&lt;wsp:rsid wsp:val=&quot;008A1306&quot;/&gt;&lt;wsp:rsid wsp:val=&quot;008A14C4&quot;/&gt;&lt;wsp:rsid wsp:val=&quot;008A20A1&quot;/&gt;&lt;wsp:rsid wsp:val=&quot;008A241C&quot;/&gt;&lt;wsp:rsid wsp:val=&quot;008A247F&quot;/&gt;&lt;wsp:rsid wsp:val=&quot;008A25DF&quot;/&gt;&lt;wsp:rsid wsp:val=&quot;008A2A7F&quot;/&gt;&lt;wsp:rsid wsp:val=&quot;008A2BC2&quot;/&gt;&lt;wsp:rsid wsp:val=&quot;008A2EED&quot;/&gt;&lt;wsp:rsid wsp:val=&quot;008A3B93&quot;/&gt;&lt;wsp:rsid wsp:val=&quot;008A3C64&quot;/&gt;&lt;wsp:rsid wsp:val=&quot;008A3D0B&quot;/&gt;&lt;wsp:rsid wsp:val=&quot;008A3EBD&quot;/&gt;&lt;wsp:rsid wsp:val=&quot;008A3FE9&quot;/&gt;&lt;wsp:rsid wsp:val=&quot;008A4144&quot;/&gt;&lt;wsp:rsid wsp:val=&quot;008A4E20&quot;/&gt;&lt;wsp:rsid wsp:val=&quot;008A4EA3&quot;/&gt;&lt;wsp:rsid wsp:val=&quot;008A5893&quot;/&gt;&lt;wsp:rsid wsp:val=&quot;008A5F7B&quot;/&gt;&lt;wsp:rsid wsp:val=&quot;008A6419&quot;/&gt;&lt;wsp:rsid wsp:val=&quot;008A6E62&quot;/&gt;&lt;wsp:rsid wsp:val=&quot;008A7024&quot;/&gt;&lt;wsp:rsid wsp:val=&quot;008A760B&quot;/&gt;&lt;wsp:rsid wsp:val=&quot;008A7E5B&quot;/&gt;&lt;wsp:rsid wsp:val=&quot;008A7F16&quot;/&gt;&lt;wsp:rsid wsp:val=&quot;008A7FF1&quot;/&gt;&lt;wsp:rsid wsp:val=&quot;008B03B8&quot;/&gt;&lt;wsp:rsid wsp:val=&quot;008B0AEA&quot;/&gt;&lt;wsp:rsid wsp:val=&quot;008B0CE3&quot;/&gt;&lt;wsp:rsid wsp:val=&quot;008B0CFB&quot;/&gt;&lt;wsp:rsid wsp:val=&quot;008B0D74&quot;/&gt;&lt;wsp:rsid wsp:val=&quot;008B1657&quot;/&gt;&lt;wsp:rsid wsp:val=&quot;008B167F&quot;/&gt;&lt;wsp:rsid wsp:val=&quot;008B1B1E&quot;/&gt;&lt;wsp:rsid wsp:val=&quot;008B1C53&quot;/&gt;&lt;wsp:rsid wsp:val=&quot;008B1EDF&quot;/&gt;&lt;wsp:rsid wsp:val=&quot;008B21D4&quot;/&gt;&lt;wsp:rsid wsp:val=&quot;008B22BA&quot;/&gt;&lt;wsp:rsid wsp:val=&quot;008B2A6C&quot;/&gt;&lt;wsp:rsid wsp:val=&quot;008B2C88&quot;/&gt;&lt;wsp:rsid wsp:val=&quot;008B317E&quot;/&gt;&lt;wsp:rsid wsp:val=&quot;008B3BFC&quot;/&gt;&lt;wsp:rsid wsp:val=&quot;008B417A&quot;/&gt;&lt;wsp:rsid wsp:val=&quot;008B47DF&quot;/&gt;&lt;wsp:rsid wsp:val=&quot;008B4ACB&quot;/&gt;&lt;wsp:rsid wsp:val=&quot;008B4BD6&quot;/&gt;&lt;wsp:rsid wsp:val=&quot;008B4C4F&quot;/&gt;&lt;wsp:rsid wsp:val=&quot;008B4CD5&quot;/&gt;&lt;wsp:rsid wsp:val=&quot;008B4D67&quot;/&gt;&lt;wsp:rsid wsp:val=&quot;008B513C&quot;/&gt;&lt;wsp:rsid wsp:val=&quot;008B515C&quot;/&gt;&lt;wsp:rsid wsp:val=&quot;008B544C&quot;/&gt;&lt;wsp:rsid wsp:val=&quot;008B5962&quot;/&gt;&lt;wsp:rsid wsp:val=&quot;008B62D2&quot;/&gt;&lt;wsp:rsid wsp:val=&quot;008B6326&quot;/&gt;&lt;wsp:rsid wsp:val=&quot;008B6513&quot;/&gt;&lt;wsp:rsid wsp:val=&quot;008B6CC7&quot;/&gt;&lt;wsp:rsid wsp:val=&quot;008B7083&quot;/&gt;&lt;wsp:rsid wsp:val=&quot;008B79F6&quot;/&gt;&lt;wsp:rsid wsp:val=&quot;008B7BA6&quot;/&gt;&lt;wsp:rsid wsp:val=&quot;008B7BDD&quot;/&gt;&lt;wsp:rsid wsp:val=&quot;008C004F&quot;/&gt;&lt;wsp:rsid wsp:val=&quot;008C00FA&quot;/&gt;&lt;wsp:rsid wsp:val=&quot;008C031E&quot;/&gt;&lt;wsp:rsid wsp:val=&quot;008C0496&quot;/&gt;&lt;wsp:rsid wsp:val=&quot;008C0725&quot;/&gt;&lt;wsp:rsid wsp:val=&quot;008C09C3&quot;/&gt;&lt;wsp:rsid wsp:val=&quot;008C0A2C&quot;/&gt;&lt;wsp:rsid wsp:val=&quot;008C0CD1&quot;/&gt;&lt;wsp:rsid wsp:val=&quot;008C0FCD&quot;/&gt;&lt;wsp:rsid wsp:val=&quot;008C141C&quot;/&gt;&lt;wsp:rsid wsp:val=&quot;008C178B&quot;/&gt;&lt;wsp:rsid wsp:val=&quot;008C1CEF&quot;/&gt;&lt;wsp:rsid wsp:val=&quot;008C1FB8&quot;/&gt;&lt;wsp:rsid wsp:val=&quot;008C2188&quot;/&gt;&lt;wsp:rsid wsp:val=&quot;008C28FC&quot;/&gt;&lt;wsp:rsid wsp:val=&quot;008C2B53&quot;/&gt;&lt;wsp:rsid wsp:val=&quot;008C2C5D&quot;/&gt;&lt;wsp:rsid wsp:val=&quot;008C2DF1&quot;/&gt;&lt;wsp:rsid wsp:val=&quot;008C2E09&quot;/&gt;&lt;wsp:rsid wsp:val=&quot;008C2E73&quot;/&gt;&lt;wsp:rsid wsp:val=&quot;008C2F26&quot;/&gt;&lt;wsp:rsid wsp:val=&quot;008C304E&quot;/&gt;&lt;wsp:rsid wsp:val=&quot;008C3341&quot;/&gt;&lt;wsp:rsid wsp:val=&quot;008C3B27&quot;/&gt;&lt;wsp:rsid wsp:val=&quot;008C40F4&quot;/&gt;&lt;wsp:rsid wsp:val=&quot;008C4236&quot;/&gt;&lt;wsp:rsid wsp:val=&quot;008C440D&quot;/&gt;&lt;wsp:rsid wsp:val=&quot;008C45EB&quot;/&gt;&lt;wsp:rsid wsp:val=&quot;008C4AA7&quot;/&gt;&lt;wsp:rsid wsp:val=&quot;008C5370&quot;/&gt;&lt;wsp:rsid wsp:val=&quot;008C53E6&quot;/&gt;&lt;wsp:rsid wsp:val=&quot;008C61E8&quot;/&gt;&lt;wsp:rsid wsp:val=&quot;008C65D8&quot;/&gt;&lt;wsp:rsid wsp:val=&quot;008C6723&quot;/&gt;&lt;wsp:rsid wsp:val=&quot;008C69F0&quot;/&gt;&lt;wsp:rsid wsp:val=&quot;008C6F58&quot;/&gt;&lt;wsp:rsid wsp:val=&quot;008C71C6&quot;/&gt;&lt;wsp:rsid wsp:val=&quot;008C7236&quot;/&gt;&lt;wsp:rsid wsp:val=&quot;008C7457&quot;/&gt;&lt;wsp:rsid wsp:val=&quot;008C765C&quot;/&gt;&lt;wsp:rsid wsp:val=&quot;008C7731&quot;/&gt;&lt;wsp:rsid wsp:val=&quot;008C77E4&quot;/&gt;&lt;wsp:rsid wsp:val=&quot;008C7A0B&quot;/&gt;&lt;wsp:rsid wsp:val=&quot;008C7A60&quot;/&gt;&lt;wsp:rsid wsp:val=&quot;008C7B67&quot;/&gt;&lt;wsp:rsid wsp:val=&quot;008C7F15&quot;/&gt;&lt;wsp:rsid wsp:val=&quot;008D09DE&quot;/&gt;&lt;wsp:rsid wsp:val=&quot;008D0F15&quot;/&gt;&lt;wsp:rsid wsp:val=&quot;008D1621&quot;/&gt;&lt;wsp:rsid wsp:val=&quot;008D172B&quot;/&gt;&lt;wsp:rsid wsp:val=&quot;008D1BA5&quot;/&gt;&lt;wsp:rsid wsp:val=&quot;008D2C98&quot;/&gt;&lt;wsp:rsid wsp:val=&quot;008D3458&quot;/&gt;&lt;wsp:rsid wsp:val=&quot;008D345E&quot;/&gt;&lt;wsp:rsid wsp:val=&quot;008D3466&quot;/&gt;&lt;wsp:rsid wsp:val=&quot;008D3B15&quot;/&gt;&lt;wsp:rsid wsp:val=&quot;008D3B7B&quot;/&gt;&lt;wsp:rsid wsp:val=&quot;008D3C87&quot;/&gt;&lt;wsp:rsid wsp:val=&quot;008D4662&quot;/&gt;&lt;wsp:rsid wsp:val=&quot;008D46B1&quot;/&gt;&lt;wsp:rsid wsp:val=&quot;008D5085&quot;/&gt;&lt;wsp:rsid wsp:val=&quot;008D514A&quot;/&gt;&lt;wsp:rsid wsp:val=&quot;008D55C8&quot;/&gt;&lt;wsp:rsid wsp:val=&quot;008D621C&quot;/&gt;&lt;wsp:rsid wsp:val=&quot;008D656C&quot;/&gt;&lt;wsp:rsid wsp:val=&quot;008D6AB6&quot;/&gt;&lt;wsp:rsid wsp:val=&quot;008D6AEA&quot;/&gt;&lt;wsp:rsid wsp:val=&quot;008D6F9D&quot;/&gt;&lt;wsp:rsid wsp:val=&quot;008D72C8&quot;/&gt;&lt;wsp:rsid wsp:val=&quot;008D770F&quot;/&gt;&lt;wsp:rsid wsp:val=&quot;008D7967&quot;/&gt;&lt;wsp:rsid wsp:val=&quot;008D7A0C&quot;/&gt;&lt;wsp:rsid wsp:val=&quot;008D7B18&quot;/&gt;&lt;wsp:rsid wsp:val=&quot;008E0261&quot;/&gt;&lt;wsp:rsid wsp:val=&quot;008E050A&quot;/&gt;&lt;wsp:rsid wsp:val=&quot;008E06ED&quot;/&gt;&lt;wsp:rsid wsp:val=&quot;008E093D&quot;/&gt;&lt;wsp:rsid wsp:val=&quot;008E14EB&quot;/&gt;&lt;wsp:rsid wsp:val=&quot;008E15B8&quot;/&gt;&lt;wsp:rsid wsp:val=&quot;008E1948&quot;/&gt;&lt;wsp:rsid wsp:val=&quot;008E1BEC&quot;/&gt;&lt;wsp:rsid wsp:val=&quot;008E1CB1&quot;/&gt;&lt;wsp:rsid wsp:val=&quot;008E1F08&quot;/&gt;&lt;wsp:rsid wsp:val=&quot;008E2320&quot;/&gt;&lt;wsp:rsid wsp:val=&quot;008E240F&quot;/&gt;&lt;wsp:rsid wsp:val=&quot;008E2575&quot;/&gt;&lt;wsp:rsid wsp:val=&quot;008E2A9B&quot;/&gt;&lt;wsp:rsid wsp:val=&quot;008E2BD1&quot;/&gt;&lt;wsp:rsid wsp:val=&quot;008E3342&quot;/&gt;&lt;wsp:rsid wsp:val=&quot;008E3398&quot;/&gt;&lt;wsp:rsid wsp:val=&quot;008E39F4&quot;/&gt;&lt;wsp:rsid wsp:val=&quot;008E3B1C&quot;/&gt;&lt;wsp:rsid wsp:val=&quot;008E3EB2&quot;/&gt;&lt;wsp:rsid wsp:val=&quot;008E4C43&quot;/&gt;&lt;wsp:rsid wsp:val=&quot;008E52F2&quot;/&gt;&lt;wsp:rsid wsp:val=&quot;008E539B&quot;/&gt;&lt;wsp:rsid wsp:val=&quot;008E5769&quot;/&gt;&lt;wsp:rsid wsp:val=&quot;008E58ED&quot;/&gt;&lt;wsp:rsid wsp:val=&quot;008E5B55&quot;/&gt;&lt;wsp:rsid wsp:val=&quot;008E5BD6&quot;/&gt;&lt;wsp:rsid wsp:val=&quot;008E5F0C&quot;/&gt;&lt;wsp:rsid wsp:val=&quot;008E6158&quot;/&gt;&lt;wsp:rsid wsp:val=&quot;008E62F9&quot;/&gt;&lt;wsp:rsid wsp:val=&quot;008E6605&quot;/&gt;&lt;wsp:rsid wsp:val=&quot;008E673A&quot;/&gt;&lt;wsp:rsid wsp:val=&quot;008E67E1&quot;/&gt;&lt;wsp:rsid wsp:val=&quot;008E6921&quot;/&gt;&lt;wsp:rsid wsp:val=&quot;008E6AEC&quot;/&gt;&lt;wsp:rsid wsp:val=&quot;008E6BFD&quot;/&gt;&lt;wsp:rsid wsp:val=&quot;008E6CBC&quot;/&gt;&lt;wsp:rsid wsp:val=&quot;008E6F19&quot;/&gt;&lt;wsp:rsid wsp:val=&quot;008E79A0&quot;/&gt;&lt;wsp:rsid wsp:val=&quot;008E7DAA&quot;/&gt;&lt;wsp:rsid wsp:val=&quot;008F0505&quot;/&gt;&lt;wsp:rsid wsp:val=&quot;008F0771&quot;/&gt;&lt;wsp:rsid wsp:val=&quot;008F0966&quot;/&gt;&lt;wsp:rsid wsp:val=&quot;008F0E42&quot;/&gt;&lt;wsp:rsid wsp:val=&quot;008F0E74&quot;/&gt;&lt;wsp:rsid wsp:val=&quot;008F1131&quot;/&gt;&lt;wsp:rsid wsp:val=&quot;008F195C&quot;/&gt;&lt;wsp:rsid wsp:val=&quot;008F1A00&quot;/&gt;&lt;wsp:rsid wsp:val=&quot;008F1AD7&quot;/&gt;&lt;wsp:rsid wsp:val=&quot;008F22D5&quot;/&gt;&lt;wsp:rsid wsp:val=&quot;008F23C5&quot;/&gt;&lt;wsp:rsid wsp:val=&quot;008F26C8&quot;/&gt;&lt;wsp:rsid wsp:val=&quot;008F29EB&quot;/&gt;&lt;wsp:rsid wsp:val=&quot;008F2DDD&quot;/&gt;&lt;wsp:rsid wsp:val=&quot;008F30D9&quot;/&gt;&lt;wsp:rsid wsp:val=&quot;008F359F&quot;/&gt;&lt;wsp:rsid wsp:val=&quot;008F37EC&quot;/&gt;&lt;wsp:rsid wsp:val=&quot;008F3CF8&quot;/&gt;&lt;wsp:rsid wsp:val=&quot;008F3D5C&quot;/&gt;&lt;wsp:rsid wsp:val=&quot;008F3F23&quot;/&gt;&lt;wsp:rsid wsp:val=&quot;008F3F37&quot;/&gt;&lt;wsp:rsid wsp:val=&quot;008F46EB&quot;/&gt;&lt;wsp:rsid wsp:val=&quot;008F4BD8&quot;/&gt;&lt;wsp:rsid wsp:val=&quot;008F4D67&quot;/&gt;&lt;wsp:rsid wsp:val=&quot;008F4E9C&quot;/&gt;&lt;wsp:rsid wsp:val=&quot;008F514D&quot;/&gt;&lt;wsp:rsid wsp:val=&quot;008F546D&quot;/&gt;&lt;wsp:rsid wsp:val=&quot;008F5489&quot;/&gt;&lt;wsp:rsid wsp:val=&quot;008F5BE4&quot;/&gt;&lt;wsp:rsid wsp:val=&quot;008F5C1E&quot;/&gt;&lt;wsp:rsid wsp:val=&quot;008F5C8A&quot;/&gt;&lt;wsp:rsid wsp:val=&quot;008F601F&quot;/&gt;&lt;wsp:rsid wsp:val=&quot;008F6099&quot;/&gt;&lt;wsp:rsid wsp:val=&quot;008F618B&quot;/&gt;&lt;wsp:rsid wsp:val=&quot;008F667B&quot;/&gt;&lt;wsp:rsid wsp:val=&quot;008F6C87&quot;/&gt;&lt;wsp:rsid wsp:val=&quot;008F70CD&quot;/&gt;&lt;wsp:rsid wsp:val=&quot;008F7C27&quot;/&gt;&lt;wsp:rsid wsp:val=&quot;00900513&quot;/&gt;&lt;wsp:rsid wsp:val=&quot;00900E61&quot;/&gt;&lt;wsp:rsid wsp:val=&quot;0090117A&quot;/&gt;&lt;wsp:rsid wsp:val=&quot;0090154D&quot;/&gt;&lt;wsp:rsid wsp:val=&quot;00901580&quot;/&gt;&lt;wsp:rsid wsp:val=&quot;0090189D&quot;/&gt;&lt;wsp:rsid wsp:val=&quot;0090293D&quot;/&gt;&lt;wsp:rsid wsp:val=&quot;00902AC5&quot;/&gt;&lt;wsp:rsid wsp:val=&quot;00902C25&quot;/&gt;&lt;wsp:rsid wsp:val=&quot;0090300A&quot;/&gt;&lt;wsp:rsid wsp:val=&quot;00903216&quot;/&gt;&lt;wsp:rsid wsp:val=&quot;00903272&quot;/&gt;&lt;wsp:rsid wsp:val=&quot;00903532&quot;/&gt;&lt;wsp:rsid wsp:val=&quot;00903794&quot;/&gt;&lt;wsp:rsid wsp:val=&quot;00904FBC&quot;/&gt;&lt;wsp:rsid wsp:val=&quot;009055EB&quot;/&gt;&lt;wsp:rsid wsp:val=&quot;00905B69&quot;/&gt;&lt;wsp:rsid wsp:val=&quot;009060A8&quot;/&gt;&lt;wsp:rsid wsp:val=&quot;00906853&quot;/&gt;&lt;wsp:rsid wsp:val=&quot;00906856&quot;/&gt;&lt;wsp:rsid wsp:val=&quot;00906864&quot;/&gt;&lt;wsp:rsid wsp:val=&quot;00906A15&quot;/&gt;&lt;wsp:rsid wsp:val=&quot;00906ABF&quot;/&gt;&lt;wsp:rsid wsp:val=&quot;00906C11&quot;/&gt;&lt;wsp:rsid wsp:val=&quot;009071AE&quot;/&gt;&lt;wsp:rsid wsp:val=&quot;0090749D&quot;/&gt;&lt;wsp:rsid wsp:val=&quot;00907596&quot;/&gt;&lt;wsp:rsid wsp:val=&quot;0090764B&quot;/&gt;&lt;wsp:rsid wsp:val=&quot;009076CB&quot;/&gt;&lt;wsp:rsid wsp:val=&quot;009078AF&quot;/&gt;&lt;wsp:rsid wsp:val=&quot;00907EB1&quot;/&gt;&lt;wsp:rsid wsp:val=&quot;00907EEC&quot;/&gt;&lt;wsp:rsid wsp:val=&quot;009102C4&quot;/&gt;&lt;wsp:rsid wsp:val=&quot;00910BA2&quot;/&gt;&lt;wsp:rsid wsp:val=&quot;00910D04&quot;/&gt;&lt;wsp:rsid wsp:val=&quot;00910F7B&quot;/&gt;&lt;wsp:rsid wsp:val=&quot;009115C8&quot;/&gt;&lt;wsp:rsid wsp:val=&quot;00911733&quot;/&gt;&lt;wsp:rsid wsp:val=&quot;0091179B&quot;/&gt;&lt;wsp:rsid wsp:val=&quot;0091257C&quot;/&gt;&lt;wsp:rsid wsp:val=&quot;0091271F&quot;/&gt;&lt;wsp:rsid wsp:val=&quot;00912CE0&quot;/&gt;&lt;wsp:rsid wsp:val=&quot;00912DD2&quot;/&gt;&lt;wsp:rsid wsp:val=&quot;00912F07&quot;/&gt;&lt;wsp:rsid wsp:val=&quot;00912F87&quot;/&gt;&lt;wsp:rsid wsp:val=&quot;009132AA&quot;/&gt;&lt;wsp:rsid wsp:val=&quot;009135E5&quot;/&gt;&lt;wsp:rsid wsp:val=&quot;00913717&quot;/&gt;&lt;wsp:rsid wsp:val=&quot;00913790&quot;/&gt;&lt;wsp:rsid wsp:val=&quot;00913C7F&quot;/&gt;&lt;wsp:rsid wsp:val=&quot;00913D47&quot;/&gt;&lt;wsp:rsid wsp:val=&quot;00913E9D&quot;/&gt;&lt;wsp:rsid wsp:val=&quot;009143DF&quot;/&gt;&lt;wsp:rsid wsp:val=&quot;00914437&quot;/&gt;&lt;wsp:rsid wsp:val=&quot;009147CE&quot;/&gt;&lt;wsp:rsid wsp:val=&quot;00914AB9&quot;/&gt;&lt;wsp:rsid wsp:val=&quot;00914F69&quot;/&gt;&lt;wsp:rsid wsp:val=&quot;009157B4&quot;/&gt;&lt;wsp:rsid wsp:val=&quot;0091624C&quot;/&gt;&lt;wsp:rsid wsp:val=&quot;00916658&quot;/&gt;&lt;wsp:rsid wsp:val=&quot;00916E5A&quot;/&gt;&lt;wsp:rsid wsp:val=&quot;00917177&quot;/&gt;&lt;wsp:rsid wsp:val=&quot;009175C8&quot;/&gt;&lt;wsp:rsid wsp:val=&quot;00917B3B&quot;/&gt;&lt;wsp:rsid wsp:val=&quot;0092006C&quot;/&gt;&lt;wsp:rsid wsp:val=&quot;00920473&quot;/&gt;&lt;wsp:rsid wsp:val=&quot;0092088B&quot;/&gt;&lt;wsp:rsid wsp:val=&quot;00920AD2&quot;/&gt;&lt;wsp:rsid wsp:val=&quot;00920FA4&quot;/&gt;&lt;wsp:rsid wsp:val=&quot;0092109F&quot;/&gt;&lt;wsp:rsid wsp:val=&quot;00921510&quot;/&gt;&lt;wsp:rsid wsp:val=&quot;0092193B&quot;/&gt;&lt;wsp:rsid wsp:val=&quot;009219D3&quot;/&gt;&lt;wsp:rsid wsp:val=&quot;00921D32&quot;/&gt;&lt;wsp:rsid wsp:val=&quot;0092209F&quot;/&gt;&lt;wsp:rsid wsp:val=&quot;00922279&quot;/&gt;&lt;wsp:rsid wsp:val=&quot;00922548&quot;/&gt;&lt;wsp:rsid wsp:val=&quot;0092254B&quot;/&gt;&lt;wsp:rsid wsp:val=&quot;00922B18&quot;/&gt;&lt;wsp:rsid wsp:val=&quot;00923118&quot;/&gt;&lt;wsp:rsid wsp:val=&quot;009236E3&quot;/&gt;&lt;wsp:rsid wsp:val=&quot;00923A43&quot;/&gt;&lt;wsp:rsid wsp:val=&quot;00923AE0&quot;/&gt;&lt;wsp:rsid wsp:val=&quot;00923BC3&quot;/&gt;&lt;wsp:rsid wsp:val=&quot;00923E43&quot;/&gt;&lt;wsp:rsid wsp:val=&quot;00923F54&quot;/&gt;&lt;wsp:rsid wsp:val=&quot;00924E02&quot;/&gt;&lt;wsp:rsid wsp:val=&quot;00924E30&quot;/&gt;&lt;wsp:rsid wsp:val=&quot;009251D0&quot;/&gt;&lt;wsp:rsid wsp:val=&quot;00925774&quot;/&gt;&lt;wsp:rsid wsp:val=&quot;00925821&quot;/&gt;&lt;wsp:rsid wsp:val=&quot;00925FF3&quot;/&gt;&lt;wsp:rsid wsp:val=&quot;00926802&quot;/&gt;&lt;wsp:rsid wsp:val=&quot;009269F5&quot;/&gt;&lt;wsp:rsid wsp:val=&quot;00927BAA&quot;/&gt;&lt;wsp:rsid wsp:val=&quot;00927CCF&quot;/&gt;&lt;wsp:rsid wsp:val=&quot;00927DB4&quot;/&gt;&lt;wsp:rsid wsp:val=&quot;00927F77&quot;/&gt;&lt;wsp:rsid wsp:val=&quot;00927FEB&quot;/&gt;&lt;wsp:rsid wsp:val=&quot;009304F1&quot;/&gt;&lt;wsp:rsid wsp:val=&quot;00930641&quot;/&gt;&lt;wsp:rsid wsp:val=&quot;0093088D&quot;/&gt;&lt;wsp:rsid wsp:val=&quot;00930C11&quot;/&gt;&lt;wsp:rsid wsp:val=&quot;00930D0B&quot;/&gt;&lt;wsp:rsid wsp:val=&quot;00930DD3&quot;/&gt;&lt;wsp:rsid wsp:val=&quot;009313EC&quot;/&gt;&lt;wsp:rsid wsp:val=&quot;00931554&quot;/&gt;&lt;wsp:rsid wsp:val=&quot;00931B48&quot;/&gt;&lt;wsp:rsid wsp:val=&quot;00931CE2&quot;/&gt;&lt;wsp:rsid wsp:val=&quot;0093200C&quot;/&gt;&lt;wsp:rsid wsp:val=&quot;009325ED&quot;/&gt;&lt;wsp:rsid wsp:val=&quot;0093275E&quot;/&gt;&lt;wsp:rsid wsp:val=&quot;0093287D&quot;/&gt;&lt;wsp:rsid wsp:val=&quot;00932D4D&quot;/&gt;&lt;wsp:rsid wsp:val=&quot;00932DE2&quot;/&gt;&lt;wsp:rsid wsp:val=&quot;00932E21&quot;/&gt;&lt;wsp:rsid wsp:val=&quot;0093355D&quot;/&gt;&lt;wsp:rsid wsp:val=&quot;00933887&quot;/&gt;&lt;wsp:rsid wsp:val=&quot;009339E0&quot;/&gt;&lt;wsp:rsid wsp:val=&quot;00933DB8&quot;/&gt;&lt;wsp:rsid wsp:val=&quot;00933E9F&quot;/&gt;&lt;wsp:rsid wsp:val=&quot;0093457B&quot;/&gt;&lt;wsp:rsid wsp:val=&quot;00934D3B&quot;/&gt;&lt;wsp:rsid wsp:val=&quot;0093523C&quot;/&gt;&lt;wsp:rsid wsp:val=&quot;009352D1&quot;/&gt;&lt;wsp:rsid wsp:val=&quot;00935CC2&quot;/&gt;&lt;wsp:rsid wsp:val=&quot;00935D23&quot;/&gt;&lt;wsp:rsid wsp:val=&quot;0093605F&quot;/&gt;&lt;wsp:rsid wsp:val=&quot;009360C9&quot;/&gt;&lt;wsp:rsid wsp:val=&quot;00936545&quot;/&gt;&lt;wsp:rsid wsp:val=&quot;00936D64&quot;/&gt;&lt;wsp:rsid wsp:val=&quot;00936F3A&quot;/&gt;&lt;wsp:rsid wsp:val=&quot;00936F68&quot;/&gt;&lt;wsp:rsid wsp:val=&quot;00937205&quot;/&gt;&lt;wsp:rsid wsp:val=&quot;0093729E&quot;/&gt;&lt;wsp:rsid wsp:val=&quot;009378CC&quot;/&gt;&lt;wsp:rsid wsp:val=&quot;00937B53&quot;/&gt;&lt;wsp:rsid wsp:val=&quot;00937BA2&quot;/&gt;&lt;wsp:rsid wsp:val=&quot;00940009&quot;/&gt;&lt;wsp:rsid wsp:val=&quot;009403B1&quot;/&gt;&lt;wsp:rsid wsp:val=&quot;00940992&quot;/&gt;&lt;wsp:rsid wsp:val=&quot;00940B40&quot;/&gt;&lt;wsp:rsid wsp:val=&quot;00940B47&quot;/&gt;&lt;wsp:rsid wsp:val=&quot;00940C7A&quot;/&gt;&lt;wsp:rsid wsp:val=&quot;00940E2E&quot;/&gt;&lt;wsp:rsid wsp:val=&quot;00940ECD&quot;/&gt;&lt;wsp:rsid wsp:val=&quot;00941161&quot;/&gt;&lt;wsp:rsid wsp:val=&quot;0094116E&quot;/&gt;&lt;wsp:rsid wsp:val=&quot;00941302&quot;/&gt;&lt;wsp:rsid wsp:val=&quot;0094131C&quot;/&gt;&lt;wsp:rsid wsp:val=&quot;0094136B&quot;/&gt;&lt;wsp:rsid wsp:val=&quot;00941555&quot;/&gt;&lt;wsp:rsid wsp:val=&quot;00941B19&quot;/&gt;&lt;wsp:rsid wsp:val=&quot;009424BE&quot;/&gt;&lt;wsp:rsid wsp:val=&quot;009426FC&quot;/&gt;&lt;wsp:rsid wsp:val=&quot;009428F9&quot;/&gt;&lt;wsp:rsid wsp:val=&quot;00943268&quot;/&gt;&lt;wsp:rsid wsp:val=&quot;00943605&quot;/&gt;&lt;wsp:rsid wsp:val=&quot;00943812&quot;/&gt;&lt;wsp:rsid wsp:val=&quot;00943923&quot;/&gt;&lt;wsp:rsid wsp:val=&quot;00943EB7&quot;/&gt;&lt;wsp:rsid wsp:val=&quot;00943F71&quot;/&gt;&lt;wsp:rsid wsp:val=&quot;00943FBC&quot;/&gt;&lt;wsp:rsid wsp:val=&quot;009452AE&quot;/&gt;&lt;wsp:rsid wsp:val=&quot;00945548&quot;/&gt;&lt;wsp:rsid wsp:val=&quot;00945834&quot;/&gt;&lt;wsp:rsid wsp:val=&quot;009458E4&quot;/&gt;&lt;wsp:rsid wsp:val=&quot;00945A9F&quot;/&gt;&lt;wsp:rsid wsp:val=&quot;00945CDE&quot;/&gt;&lt;wsp:rsid wsp:val=&quot;00945DD4&quot;/&gt;&lt;wsp:rsid wsp:val=&quot;0094626E&quot;/&gt;&lt;wsp:rsid wsp:val=&quot;009463D7&quot;/&gt;&lt;wsp:rsid wsp:val=&quot;00946B1E&quot;/&gt;&lt;wsp:rsid wsp:val=&quot;00946EC2&quot;/&gt;&lt;wsp:rsid wsp:val=&quot;0094764A&quot;/&gt;&lt;wsp:rsid wsp:val=&quot;009479DB&quot;/&gt;&lt;wsp:rsid wsp:val=&quot;0095016A&quot;/&gt;&lt;wsp:rsid wsp:val=&quot;0095038D&quot;/&gt;&lt;wsp:rsid wsp:val=&quot;00951969&quot;/&gt;&lt;wsp:rsid wsp:val=&quot;00951BB1&quot;/&gt;&lt;wsp:rsid wsp:val=&quot;00951ED8&quot;/&gt;&lt;wsp:rsid wsp:val=&quot;009524C6&quot;/&gt;&lt;wsp:rsid wsp:val=&quot;009527FE&quot;/&gt;&lt;wsp:rsid wsp:val=&quot;00952805&quot;/&gt;&lt;wsp:rsid wsp:val=&quot;00952C7D&quot;/&gt;&lt;wsp:rsid wsp:val=&quot;00952ED4&quot;/&gt;&lt;wsp:rsid wsp:val=&quot;00953062&quot;/&gt;&lt;wsp:rsid wsp:val=&quot;00953263&quot;/&gt;&lt;wsp:rsid wsp:val=&quot;00953AFF&quot;/&gt;&lt;wsp:rsid wsp:val=&quot;00953BA1&quot;/&gt;&lt;wsp:rsid wsp:val=&quot;00953E7D&quot;/&gt;&lt;wsp:rsid wsp:val=&quot;00953FA0&quot;/&gt;&lt;wsp:rsid wsp:val=&quot;00954233&quot;/&gt;&lt;wsp:rsid wsp:val=&quot;00954283&quot;/&gt;&lt;wsp:rsid wsp:val=&quot;0095446D&quot;/&gt;&lt;wsp:rsid wsp:val=&quot;0095452A&quot;/&gt;&lt;wsp:rsid wsp:val=&quot;0095460C&quot;/&gt;&lt;wsp:rsid wsp:val=&quot;0095480E&quot;/&gt;&lt;wsp:rsid wsp:val=&quot;00954BAD&quot;/&gt;&lt;wsp:rsid wsp:val=&quot;00954E91&quot;/&gt;&lt;wsp:rsid wsp:val=&quot;009550C2&quot;/&gt;&lt;wsp:rsid wsp:val=&quot;0095533C&quot;/&gt;&lt;wsp:rsid wsp:val=&quot;009557A8&quot;/&gt;&lt;wsp:rsid wsp:val=&quot;00955DE6&quot;/&gt;&lt;wsp:rsid wsp:val=&quot;00955DF3&quot;/&gt;&lt;wsp:rsid wsp:val=&quot;00955DFE&quot;/&gt;&lt;wsp:rsid wsp:val=&quot;00955F0C&quot;/&gt;&lt;wsp:rsid wsp:val=&quot;009560F5&quot;/&gt;&lt;wsp:rsid wsp:val=&quot;00956C7D&quot;/&gt;&lt;wsp:rsid wsp:val=&quot;00956CDB&quot;/&gt;&lt;wsp:rsid wsp:val=&quot;0095730C&quot;/&gt;&lt;wsp:rsid wsp:val=&quot;00957695&quot;/&gt;&lt;wsp:rsid wsp:val=&quot;009576DE&quot;/&gt;&lt;wsp:rsid wsp:val=&quot;00957CC0&quot;/&gt;&lt;wsp:rsid wsp:val=&quot;00957D47&quot;/&gt;&lt;wsp:rsid wsp:val=&quot;00957EC5&quot;/&gt;&lt;wsp:rsid wsp:val=&quot;00960237&quot;/&gt;&lt;wsp:rsid wsp:val=&quot;0096032B&quot;/&gt;&lt;wsp:rsid wsp:val=&quot;009606AB&quot;/&gt;&lt;wsp:rsid wsp:val=&quot;009609B8&quot;/&gt;&lt;wsp:rsid wsp:val=&quot;00960A1B&quot;/&gt;&lt;wsp:rsid wsp:val=&quot;00960A5B&quot;/&gt;&lt;wsp:rsid wsp:val=&quot;00960DD3&quot;/&gt;&lt;wsp:rsid wsp:val=&quot;00960DF8&quot;/&gt;&lt;wsp:rsid wsp:val=&quot;00960F40&quot;/&gt;&lt;wsp:rsid wsp:val=&quot;00960FA4&quot;/&gt;&lt;wsp:rsid wsp:val=&quot;00961315&quot;/&gt;&lt;wsp:rsid wsp:val=&quot;0096148D&quot;/&gt;&lt;wsp:rsid wsp:val=&quot;00962566&quot;/&gt;&lt;wsp:rsid wsp:val=&quot;00962DEC&quot;/&gt;&lt;wsp:rsid wsp:val=&quot;0096305B&quot;/&gt;&lt;wsp:rsid wsp:val=&quot;00963321&quot;/&gt;&lt;wsp:rsid wsp:val=&quot;0096374E&quot;/&gt;&lt;wsp:rsid wsp:val=&quot;0096384C&quot;/&gt;&lt;wsp:rsid wsp:val=&quot;00963990&quot;/&gt;&lt;wsp:rsid wsp:val=&quot;00963F3E&quot;/&gt;&lt;wsp:rsid wsp:val=&quot;00963FB5&quot;/&gt;&lt;wsp:rsid wsp:val=&quot;00964615&quot;/&gt;&lt;wsp:rsid wsp:val=&quot;00964654&quot;/&gt;&lt;wsp:rsid wsp:val=&quot;009648C7&quot;/&gt;&lt;wsp:rsid wsp:val=&quot;00964F94&quot;/&gt;&lt;wsp:rsid wsp:val=&quot;009655CE&quot;/&gt;&lt;wsp:rsid wsp:val=&quot;00965D54&quot;/&gt;&lt;wsp:rsid wsp:val=&quot;009662CE&quot;/&gt;&lt;wsp:rsid wsp:val=&quot;00966480&quot;/&gt;&lt;wsp:rsid wsp:val=&quot;009667B5&quot;/&gt;&lt;wsp:rsid wsp:val=&quot;0096690C&quot;/&gt;&lt;wsp:rsid wsp:val=&quot;00966956&quot;/&gt;&lt;wsp:rsid wsp:val=&quot;00966A9F&quot;/&gt;&lt;wsp:rsid wsp:val=&quot;0096711A&quot;/&gt;&lt;wsp:rsid wsp:val=&quot;00967304&quot;/&gt;&lt;wsp:rsid wsp:val=&quot;00967551&quot;/&gt;&lt;wsp:rsid wsp:val=&quot;009675E9&quot;/&gt;&lt;wsp:rsid wsp:val=&quot;009677A1&quot;/&gt;&lt;wsp:rsid wsp:val=&quot;00970D50&quot;/&gt;&lt;wsp:rsid wsp:val=&quot;00970FEB&quot;/&gt;&lt;wsp:rsid wsp:val=&quot;00971110&quot;/&gt;&lt;wsp:rsid wsp:val=&quot;0097136E&quot;/&gt;&lt;wsp:rsid wsp:val=&quot;009713D0&quot;/&gt;&lt;wsp:rsid wsp:val=&quot;00971927&quot;/&gt;&lt;wsp:rsid wsp:val=&quot;00971969&quot;/&gt;&lt;wsp:rsid wsp:val=&quot;00971BC7&quot;/&gt;&lt;wsp:rsid wsp:val=&quot;00971C05&quot;/&gt;&lt;wsp:rsid wsp:val=&quot;00971CAA&quot;/&gt;&lt;wsp:rsid wsp:val=&quot;00972210&quot;/&gt;&lt;wsp:rsid wsp:val=&quot;0097343E&quot;/&gt;&lt;wsp:rsid wsp:val=&quot;00973AAB&quot;/&gt;&lt;wsp:rsid wsp:val=&quot;00973C00&quot;/&gt;&lt;wsp:rsid wsp:val=&quot;00973D92&quot;/&gt;&lt;wsp:rsid wsp:val=&quot;00973E53&quot;/&gt;&lt;wsp:rsid wsp:val=&quot;00974110&quot;/&gt;&lt;wsp:rsid wsp:val=&quot;009741DD&quot;/&gt;&lt;wsp:rsid wsp:val=&quot;009742E5&quot;/&gt;&lt;wsp:rsid wsp:val=&quot;00974907&quot;/&gt;&lt;wsp:rsid wsp:val=&quot;00974AE7&quot;/&gt;&lt;wsp:rsid wsp:val=&quot;0097550F&quot;/&gt;&lt;wsp:rsid wsp:val=&quot;0097594A&quot;/&gt;&lt;wsp:rsid wsp:val=&quot;009759C3&quot;/&gt;&lt;wsp:rsid wsp:val=&quot;00975A0E&quot;/&gt;&lt;wsp:rsid wsp:val=&quot;00976090&quot;/&gt;&lt;wsp:rsid wsp:val=&quot;0097735E&quot;/&gt;&lt;wsp:rsid wsp:val=&quot;0097784C&quot;/&gt;&lt;wsp:rsid wsp:val=&quot;009778A0&quot;/&gt;&lt;wsp:rsid wsp:val=&quot;00977B6E&quot;/&gt;&lt;wsp:rsid wsp:val=&quot;00977D78&quot;/&gt;&lt;wsp:rsid wsp:val=&quot;009801FA&quot;/&gt;&lt;wsp:rsid wsp:val=&quot;00980377&quot;/&gt;&lt;wsp:rsid wsp:val=&quot;00980390&quot;/&gt;&lt;wsp:rsid wsp:val=&quot;009803F5&quot;/&gt;&lt;wsp:rsid wsp:val=&quot;00980790&quot;/&gt;&lt;wsp:rsid wsp:val=&quot;00980BB9&quot;/&gt;&lt;wsp:rsid wsp:val=&quot;00980E2A&quot;/&gt;&lt;wsp:rsid wsp:val=&quot;00980EC8&quot;/&gt;&lt;wsp:rsid wsp:val=&quot;009815C2&quot;/&gt;&lt;wsp:rsid wsp:val=&quot;0098278D&quot;/&gt;&lt;wsp:rsid wsp:val=&quot;00982AC4&quot;/&gt;&lt;wsp:rsid wsp:val=&quot;0098346C&quot;/&gt;&lt;wsp:rsid wsp:val=&quot;0098353D&quot;/&gt;&lt;wsp:rsid wsp:val=&quot;009835FB&quot;/&gt;&lt;wsp:rsid wsp:val=&quot;00983797&quot;/&gt;&lt;wsp:rsid wsp:val=&quot;00983827&quot;/&gt;&lt;wsp:rsid wsp:val=&quot;0098488D&quot;/&gt;&lt;wsp:rsid wsp:val=&quot;00984A8C&quot;/&gt;&lt;wsp:rsid wsp:val=&quot;00984AAD&quot;/&gt;&lt;wsp:rsid wsp:val=&quot;00984B8B&quot;/&gt;&lt;wsp:rsid wsp:val=&quot;00984D74&quot;/&gt;&lt;wsp:rsid wsp:val=&quot;00984DD8&quot;/&gt;&lt;wsp:rsid wsp:val=&quot;0098508E&quot;/&gt;&lt;wsp:rsid wsp:val=&quot;009852F4&quot;/&gt;&lt;wsp:rsid wsp:val=&quot;009859BF&quot;/&gt;&lt;wsp:rsid wsp:val=&quot;00987163&quot;/&gt;&lt;wsp:rsid wsp:val=&quot;0098754F&quot;/&gt;&lt;wsp:rsid wsp:val=&quot;00987980&quot;/&gt;&lt;wsp:rsid wsp:val=&quot;00987E89&quot;/&gt;&lt;wsp:rsid wsp:val=&quot;00991459&quot;/&gt;&lt;wsp:rsid wsp:val=&quot;00991671&quot;/&gt;&lt;wsp:rsid wsp:val=&quot;00991782&quot;/&gt;&lt;wsp:rsid wsp:val=&quot;009917E3&quot;/&gt;&lt;wsp:rsid wsp:val=&quot;00991A13&quot;/&gt;&lt;wsp:rsid wsp:val=&quot;00991E2A&quot;/&gt;&lt;wsp:rsid wsp:val=&quot;009921AD&quot;/&gt;&lt;wsp:rsid wsp:val=&quot;009921D4&quot;/&gt;&lt;wsp:rsid wsp:val=&quot;0099278A&quot;/&gt;&lt;wsp:rsid wsp:val=&quot;00992869&quot;/&gt;&lt;wsp:rsid wsp:val=&quot;00992C3D&quot;/&gt;&lt;wsp:rsid wsp:val=&quot;00992DE3&quot;/&gt;&lt;wsp:rsid wsp:val=&quot;0099312A&quot;/&gt;&lt;wsp:rsid wsp:val=&quot;00993200&quot;/&gt;&lt;wsp:rsid wsp:val=&quot;00993249&quot;/&gt;&lt;wsp:rsid wsp:val=&quot;00993475&quot;/&gt;&lt;wsp:rsid wsp:val=&quot;00993B49&quot;/&gt;&lt;wsp:rsid wsp:val=&quot;00993BD3&quot;/&gt;&lt;wsp:rsid wsp:val=&quot;00994D3E&quot;/&gt;&lt;wsp:rsid wsp:val=&quot;009955E0&quot;/&gt;&lt;wsp:rsid wsp:val=&quot;00995611&quot;/&gt;&lt;wsp:rsid wsp:val=&quot;009957D0&quot;/&gt;&lt;wsp:rsid wsp:val=&quot;009958F6&quot;/&gt;&lt;wsp:rsid wsp:val=&quot;00995A30&quot;/&gt;&lt;wsp:rsid wsp:val=&quot;00995C78&quot;/&gt;&lt;wsp:rsid wsp:val=&quot;00995D52&quot;/&gt;&lt;wsp:rsid wsp:val=&quot;00995D62&quot;/&gt;&lt;wsp:rsid wsp:val=&quot;00995EED&quot;/&gt;&lt;wsp:rsid wsp:val=&quot;0099609C&quot;/&gt;&lt;wsp:rsid wsp:val=&quot;009967AD&quot;/&gt;&lt;wsp:rsid wsp:val=&quot;00996821&quot;/&gt;&lt;wsp:rsid wsp:val=&quot;009969C4&quot;/&gt;&lt;wsp:rsid wsp:val=&quot;00996C5E&quot;/&gt;&lt;wsp:rsid wsp:val=&quot;00996E57&quot;/&gt;&lt;wsp:rsid wsp:val=&quot;009972EB&quot;/&gt;&lt;wsp:rsid wsp:val=&quot;00997809&quot;/&gt;&lt;wsp:rsid wsp:val=&quot;009A00EF&quot;/&gt;&lt;wsp:rsid wsp:val=&quot;009A031D&quot;/&gt;&lt;wsp:rsid wsp:val=&quot;009A0546&quot;/&gt;&lt;wsp:rsid wsp:val=&quot;009A0691&quot;/&gt;&lt;wsp:rsid wsp:val=&quot;009A0AA4&quot;/&gt;&lt;wsp:rsid wsp:val=&quot;009A1202&quot;/&gt;&lt;wsp:rsid wsp:val=&quot;009A16E8&quot;/&gt;&lt;wsp:rsid wsp:val=&quot;009A170E&quot;/&gt;&lt;wsp:rsid wsp:val=&quot;009A1756&quot;/&gt;&lt;wsp:rsid wsp:val=&quot;009A179F&quot;/&gt;&lt;wsp:rsid wsp:val=&quot;009A1F5C&quot;/&gt;&lt;wsp:rsid wsp:val=&quot;009A215F&quot;/&gt;&lt;wsp:rsid wsp:val=&quot;009A24E6&quot;/&gt;&lt;wsp:rsid wsp:val=&quot;009A24F6&quot;/&gt;&lt;wsp:rsid wsp:val=&quot;009A2528&quot;/&gt;&lt;wsp:rsid wsp:val=&quot;009A261F&quot;/&gt;&lt;wsp:rsid wsp:val=&quot;009A295F&quot;/&gt;&lt;wsp:rsid wsp:val=&quot;009A2EEB&quot;/&gt;&lt;wsp:rsid wsp:val=&quot;009A3A57&quot;/&gt;&lt;wsp:rsid wsp:val=&quot;009A3CCC&quot;/&gt;&lt;wsp:rsid wsp:val=&quot;009A4396&quot;/&gt;&lt;wsp:rsid wsp:val=&quot;009A452F&quot;/&gt;&lt;wsp:rsid wsp:val=&quot;009A46B8&quot;/&gt;&lt;wsp:rsid wsp:val=&quot;009A4725&quot;/&gt;&lt;wsp:rsid wsp:val=&quot;009A4863&quot;/&gt;&lt;wsp:rsid wsp:val=&quot;009A4996&quot;/&gt;&lt;wsp:rsid wsp:val=&quot;009A4BC2&quot;/&gt;&lt;wsp:rsid wsp:val=&quot;009A4F9A&quot;/&gt;&lt;wsp:rsid wsp:val=&quot;009A5039&quot;/&gt;&lt;wsp:rsid wsp:val=&quot;009A519E&quot;/&gt;&lt;wsp:rsid wsp:val=&quot;009A5423&quot;/&gt;&lt;wsp:rsid wsp:val=&quot;009A5468&quot;/&gt;&lt;wsp:rsid wsp:val=&quot;009A57B5&quot;/&gt;&lt;wsp:rsid wsp:val=&quot;009A5B9A&quot;/&gt;&lt;wsp:rsid wsp:val=&quot;009A5E75&quot;/&gt;&lt;wsp:rsid wsp:val=&quot;009A60AE&quot;/&gt;&lt;wsp:rsid wsp:val=&quot;009A616D&quot;/&gt;&lt;wsp:rsid wsp:val=&quot;009A6712&quot;/&gt;&lt;wsp:rsid wsp:val=&quot;009A68F1&quot;/&gt;&lt;wsp:rsid wsp:val=&quot;009A6A5B&quot;/&gt;&lt;wsp:rsid wsp:val=&quot;009A6B39&quot;/&gt;&lt;wsp:rsid wsp:val=&quot;009A6D9B&quot;/&gt;&lt;wsp:rsid wsp:val=&quot;009A7078&quot;/&gt;&lt;wsp:rsid wsp:val=&quot;009A751C&quot;/&gt;&lt;wsp:rsid wsp:val=&quot;009A7768&quot;/&gt;&lt;wsp:rsid wsp:val=&quot;009A778F&quot;/&gt;&lt;wsp:rsid wsp:val=&quot;009A7BB0&quot;/&gt;&lt;wsp:rsid wsp:val=&quot;009A7BFB&quot;/&gt;&lt;wsp:rsid wsp:val=&quot;009A7C9E&quot;/&gt;&lt;wsp:rsid wsp:val=&quot;009B030A&quot;/&gt;&lt;wsp:rsid wsp:val=&quot;009B0BA0&quot;/&gt;&lt;wsp:rsid wsp:val=&quot;009B0D0E&quot;/&gt;&lt;wsp:rsid wsp:val=&quot;009B0D1C&quot;/&gt;&lt;wsp:rsid wsp:val=&quot;009B1D40&quot;/&gt;&lt;wsp:rsid wsp:val=&quot;009B2453&quot;/&gt;&lt;wsp:rsid wsp:val=&quot;009B25C0&quot;/&gt;&lt;wsp:rsid wsp:val=&quot;009B2649&quot;/&gt;&lt;wsp:rsid wsp:val=&quot;009B27CF&quot;/&gt;&lt;wsp:rsid wsp:val=&quot;009B2818&quot;/&gt;&lt;wsp:rsid wsp:val=&quot;009B2A7E&quot;/&gt;&lt;wsp:rsid wsp:val=&quot;009B2AAF&quot;/&gt;&lt;wsp:rsid wsp:val=&quot;009B2AFC&quot;/&gt;&lt;wsp:rsid wsp:val=&quot;009B2B4B&quot;/&gt;&lt;wsp:rsid wsp:val=&quot;009B2DDF&quot;/&gt;&lt;wsp:rsid wsp:val=&quot;009B3261&quot;/&gt;&lt;wsp:rsid wsp:val=&quot;009B3DE1&quot;/&gt;&lt;wsp:rsid wsp:val=&quot;009B4723&quot;/&gt;&lt;wsp:rsid wsp:val=&quot;009B4B92&quot;/&gt;&lt;wsp:rsid wsp:val=&quot;009B54B4&quot;/&gt;&lt;wsp:rsid wsp:val=&quot;009B5A4D&quot;/&gt;&lt;wsp:rsid wsp:val=&quot;009B5BB6&quot;/&gt;&lt;wsp:rsid wsp:val=&quot;009B6CDE&quot;/&gt;&lt;wsp:rsid wsp:val=&quot;009B7120&quot;/&gt;&lt;wsp:rsid wsp:val=&quot;009B79FA&quot;/&gt;&lt;wsp:rsid wsp:val=&quot;009B7A35&quot;/&gt;&lt;wsp:rsid wsp:val=&quot;009B7B82&quot;/&gt;&lt;wsp:rsid wsp:val=&quot;009B7DC2&quot;/&gt;&lt;wsp:rsid wsp:val=&quot;009C053E&quot;/&gt;&lt;wsp:rsid wsp:val=&quot;009C06B6&quot;/&gt;&lt;wsp:rsid wsp:val=&quot;009C08EA&quot;/&gt;&lt;wsp:rsid wsp:val=&quot;009C09FD&quot;/&gt;&lt;wsp:rsid wsp:val=&quot;009C0D5C&quot;/&gt;&lt;wsp:rsid wsp:val=&quot;009C1451&quot;/&gt;&lt;wsp:rsid wsp:val=&quot;009C1F4F&quot;/&gt;&lt;wsp:rsid wsp:val=&quot;009C2072&quot;/&gt;&lt;wsp:rsid wsp:val=&quot;009C23D6&quot;/&gt;&lt;wsp:rsid wsp:val=&quot;009C2722&quot;/&gt;&lt;wsp:rsid wsp:val=&quot;009C2729&quot;/&gt;&lt;wsp:rsid wsp:val=&quot;009C2784&quot;/&gt;&lt;wsp:rsid wsp:val=&quot;009C2AEA&quot;/&gt;&lt;wsp:rsid wsp:val=&quot;009C2C3F&quot;/&gt;&lt;wsp:rsid wsp:val=&quot;009C2FDD&quot;/&gt;&lt;wsp:rsid wsp:val=&quot;009C34F9&quot;/&gt;&lt;wsp:rsid wsp:val=&quot;009C35E7&quot;/&gt;&lt;wsp:rsid wsp:val=&quot;009C36E7&quot;/&gt;&lt;wsp:rsid wsp:val=&quot;009C38E9&quot;/&gt;&lt;wsp:rsid wsp:val=&quot;009C39F3&quot;/&gt;&lt;wsp:rsid wsp:val=&quot;009C3E94&quot;/&gt;&lt;wsp:rsid wsp:val=&quot;009C3FCC&quot;/&gt;&lt;wsp:rsid wsp:val=&quot;009C4BE5&quot;/&gt;&lt;wsp:rsid wsp:val=&quot;009C4ED7&quot;/&gt;&lt;wsp:rsid wsp:val=&quot;009C4F74&quot;/&gt;&lt;wsp:rsid wsp:val=&quot;009C5115&quot;/&gt;&lt;wsp:rsid wsp:val=&quot;009C517E&quot;/&gt;&lt;wsp:rsid wsp:val=&quot;009C542D&quot;/&gt;&lt;wsp:rsid wsp:val=&quot;009C57E9&quot;/&gt;&lt;wsp:rsid wsp:val=&quot;009C5B1C&quot;/&gt;&lt;wsp:rsid wsp:val=&quot;009C5BC1&quot;/&gt;&lt;wsp:rsid wsp:val=&quot;009C6835&quot;/&gt;&lt;wsp:rsid wsp:val=&quot;009C696A&quot;/&gt;&lt;wsp:rsid wsp:val=&quot;009C6BF5&quot;/&gt;&lt;wsp:rsid wsp:val=&quot;009C708E&quot;/&gt;&lt;wsp:rsid wsp:val=&quot;009C715D&quot;/&gt;&lt;wsp:rsid wsp:val=&quot;009C76B8&quot;/&gt;&lt;wsp:rsid wsp:val=&quot;009C7E16&quot;/&gt;&lt;wsp:rsid wsp:val=&quot;009C7E8B&quot;/&gt;&lt;wsp:rsid wsp:val=&quot;009C7F54&quot;/&gt;&lt;wsp:rsid wsp:val=&quot;009C7F9F&quot;/&gt;&lt;wsp:rsid wsp:val=&quot;009D04EE&quot;/&gt;&lt;wsp:rsid wsp:val=&quot;009D07C5&quot;/&gt;&lt;wsp:rsid wsp:val=&quot;009D0A80&quot;/&gt;&lt;wsp:rsid wsp:val=&quot;009D0AA1&quot;/&gt;&lt;wsp:rsid wsp:val=&quot;009D0AF6&quot;/&gt;&lt;wsp:rsid wsp:val=&quot;009D0B58&quot;/&gt;&lt;wsp:rsid wsp:val=&quot;009D0BEB&quot;/&gt;&lt;wsp:rsid wsp:val=&quot;009D11AD&quot;/&gt;&lt;wsp:rsid wsp:val=&quot;009D1479&quot;/&gt;&lt;wsp:rsid wsp:val=&quot;009D15E4&quot;/&gt;&lt;wsp:rsid wsp:val=&quot;009D162D&quot;/&gt;&lt;wsp:rsid wsp:val=&quot;009D17A0&quot;/&gt;&lt;wsp:rsid wsp:val=&quot;009D19F1&quot;/&gt;&lt;wsp:rsid wsp:val=&quot;009D2125&quot;/&gt;&lt;wsp:rsid wsp:val=&quot;009D227E&quot;/&gt;&lt;wsp:rsid wsp:val=&quot;009D23AA&quot;/&gt;&lt;wsp:rsid wsp:val=&quot;009D23C0&quot;/&gt;&lt;wsp:rsid wsp:val=&quot;009D281F&quot;/&gt;&lt;wsp:rsid wsp:val=&quot;009D298A&quot;/&gt;&lt;wsp:rsid wsp:val=&quot;009D29F0&quot;/&gt;&lt;wsp:rsid wsp:val=&quot;009D2B6B&quot;/&gt;&lt;wsp:rsid wsp:val=&quot;009D2BE3&quot;/&gt;&lt;wsp:rsid wsp:val=&quot;009D2E4A&quot;/&gt;&lt;wsp:rsid wsp:val=&quot;009D2EBB&quot;/&gt;&lt;wsp:rsid wsp:val=&quot;009D2FBB&quot;/&gt;&lt;wsp:rsid wsp:val=&quot;009D31E6&quot;/&gt;&lt;wsp:rsid wsp:val=&quot;009D35BB&quot;/&gt;&lt;wsp:rsid wsp:val=&quot;009D3A39&quot;/&gt;&lt;wsp:rsid wsp:val=&quot;009D3AE1&quot;/&gt;&lt;wsp:rsid wsp:val=&quot;009D3AF5&quot;/&gt;&lt;wsp:rsid wsp:val=&quot;009D461A&quot;/&gt;&lt;wsp:rsid wsp:val=&quot;009D56D5&quot;/&gt;&lt;wsp:rsid wsp:val=&quot;009D57B6&quot;/&gt;&lt;wsp:rsid wsp:val=&quot;009D5916&quot;/&gt;&lt;wsp:rsid wsp:val=&quot;009D5D5E&quot;/&gt;&lt;wsp:rsid wsp:val=&quot;009D6099&quot;/&gt;&lt;wsp:rsid wsp:val=&quot;009D61D7&quot;/&gt;&lt;wsp:rsid wsp:val=&quot;009D61E5&quot;/&gt;&lt;wsp:rsid wsp:val=&quot;009D6605&quot;/&gt;&lt;wsp:rsid wsp:val=&quot;009D67EA&quot;/&gt;&lt;wsp:rsid wsp:val=&quot;009D6ABA&quot;/&gt;&lt;wsp:rsid wsp:val=&quot;009D6ABF&quot;/&gt;&lt;wsp:rsid wsp:val=&quot;009D6D5A&quot;/&gt;&lt;wsp:rsid wsp:val=&quot;009D79DB&quot;/&gt;&lt;wsp:rsid wsp:val=&quot;009D7A84&quot;/&gt;&lt;wsp:rsid wsp:val=&quot;009D7AB4&quot;/&gt;&lt;wsp:rsid wsp:val=&quot;009D7D1E&quot;/&gt;&lt;wsp:rsid wsp:val=&quot;009D7FD1&quot;/&gt;&lt;wsp:rsid wsp:val=&quot;009E037F&quot;/&gt;&lt;wsp:rsid wsp:val=&quot;009E07DE&quot;/&gt;&lt;wsp:rsid wsp:val=&quot;009E0BCD&quot;/&gt;&lt;wsp:rsid wsp:val=&quot;009E0BEF&quot;/&gt;&lt;wsp:rsid wsp:val=&quot;009E0DD7&quot;/&gt;&lt;wsp:rsid wsp:val=&quot;009E0F4D&quot;/&gt;&lt;wsp:rsid wsp:val=&quot;009E0FB4&quot;/&gt;&lt;wsp:rsid wsp:val=&quot;009E1086&quot;/&gt;&lt;wsp:rsid wsp:val=&quot;009E1294&quot;/&gt;&lt;wsp:rsid wsp:val=&quot;009E19F8&quot;/&gt;&lt;wsp:rsid wsp:val=&quot;009E1C77&quot;/&gt;&lt;wsp:rsid wsp:val=&quot;009E2DEE&quot;/&gt;&lt;wsp:rsid wsp:val=&quot;009E36EB&quot;/&gt;&lt;wsp:rsid wsp:val=&quot;009E3E4C&quot;/&gt;&lt;wsp:rsid wsp:val=&quot;009E3FFF&quot;/&gt;&lt;wsp:rsid wsp:val=&quot;009E45F4&quot;/&gt;&lt;wsp:rsid wsp:val=&quot;009E4622&quot;/&gt;&lt;wsp:rsid wsp:val=&quot;009E48F5&quot;/&gt;&lt;wsp:rsid wsp:val=&quot;009E5044&quot;/&gt;&lt;wsp:rsid wsp:val=&quot;009E5060&quot;/&gt;&lt;wsp:rsid wsp:val=&quot;009E53F0&quot;/&gt;&lt;wsp:rsid wsp:val=&quot;009E53F2&quot;/&gt;&lt;wsp:rsid wsp:val=&quot;009E5666&quot;/&gt;&lt;wsp:rsid wsp:val=&quot;009E56C1&quot;/&gt;&lt;wsp:rsid wsp:val=&quot;009E591E&quot;/&gt;&lt;wsp:rsid wsp:val=&quot;009E5D87&quot;/&gt;&lt;wsp:rsid wsp:val=&quot;009E5DE0&quot;/&gt;&lt;wsp:rsid wsp:val=&quot;009E68A8&quot;/&gt;&lt;wsp:rsid wsp:val=&quot;009E6988&quot;/&gt;&lt;wsp:rsid wsp:val=&quot;009E6C73&quot;/&gt;&lt;wsp:rsid wsp:val=&quot;009E6CC9&quot;/&gt;&lt;wsp:rsid wsp:val=&quot;009E71EE&quot;/&gt;&lt;wsp:rsid wsp:val=&quot;009E7D27&quot;/&gt;&lt;wsp:rsid wsp:val=&quot;009F0DAA&quot;/&gt;&lt;wsp:rsid wsp:val=&quot;009F0E30&quot;/&gt;&lt;wsp:rsid wsp:val=&quot;009F1B40&quot;/&gt;&lt;wsp:rsid wsp:val=&quot;009F1C8A&quot;/&gt;&lt;wsp:rsid wsp:val=&quot;009F254F&quot;/&gt;&lt;wsp:rsid wsp:val=&quot;009F26F9&quot;/&gt;&lt;wsp:rsid wsp:val=&quot;009F2846&quot;/&gt;&lt;wsp:rsid wsp:val=&quot;009F2AFA&quot;/&gt;&lt;wsp:rsid wsp:val=&quot;009F2D02&quot;/&gt;&lt;wsp:rsid wsp:val=&quot;009F3060&quot;/&gt;&lt;wsp:rsid wsp:val=&quot;009F37DD&quot;/&gt;&lt;wsp:rsid wsp:val=&quot;009F3857&quot;/&gt;&lt;wsp:rsid wsp:val=&quot;009F3960&quot;/&gt;&lt;wsp:rsid wsp:val=&quot;009F3C41&quot;/&gt;&lt;wsp:rsid wsp:val=&quot;009F426A&quot;/&gt;&lt;wsp:rsid wsp:val=&quot;009F4681&quot;/&gt;&lt;wsp:rsid wsp:val=&quot;009F48C5&quot;/&gt;&lt;wsp:rsid wsp:val=&quot;009F4D8C&quot;/&gt;&lt;wsp:rsid wsp:val=&quot;009F4FFF&quot;/&gt;&lt;wsp:rsid wsp:val=&quot;009F519D&quot;/&gt;&lt;wsp:rsid wsp:val=&quot;009F5232&quot;/&gt;&lt;wsp:rsid wsp:val=&quot;009F52A3&quot;/&gt;&lt;wsp:rsid wsp:val=&quot;009F53C7&quot;/&gt;&lt;wsp:rsid wsp:val=&quot;009F56F5&quot;/&gt;&lt;wsp:rsid wsp:val=&quot;009F590B&quot;/&gt;&lt;wsp:rsid wsp:val=&quot;009F5AF6&quot;/&gt;&lt;wsp:rsid wsp:val=&quot;009F5EC0&quot;/&gt;&lt;wsp:rsid wsp:val=&quot;009F6174&quot;/&gt;&lt;wsp:rsid wsp:val=&quot;009F61F3&quot;/&gt;&lt;wsp:rsid wsp:val=&quot;009F6612&quot;/&gt;&lt;wsp:rsid wsp:val=&quot;009F66D0&quot;/&gt;&lt;wsp:rsid wsp:val=&quot;009F6BFF&quot;/&gt;&lt;wsp:rsid wsp:val=&quot;009F6C12&quot;/&gt;&lt;wsp:rsid wsp:val=&quot;009F6C6F&quot;/&gt;&lt;wsp:rsid wsp:val=&quot;009F6D60&quot;/&gt;&lt;wsp:rsid wsp:val=&quot;009F6E91&quot;/&gt;&lt;wsp:rsid wsp:val=&quot;009F7704&quot;/&gt;&lt;wsp:rsid wsp:val=&quot;009F7E7D&quot;/&gt;&lt;wsp:rsid wsp:val=&quot;00A00108&quot;/&gt;&lt;wsp:rsid wsp:val=&quot;00A0029D&quot;/&gt;&lt;wsp:rsid wsp:val=&quot;00A006E2&quot;/&gt;&lt;wsp:rsid wsp:val=&quot;00A006EE&quot;/&gt;&lt;wsp:rsid wsp:val=&quot;00A0074F&quot;/&gt;&lt;wsp:rsid wsp:val=&quot;00A00F23&quot;/&gt;&lt;wsp:rsid wsp:val=&quot;00A013C1&quot;/&gt;&lt;wsp:rsid wsp:val=&quot;00A01BB7&quot;/&gt;&lt;wsp:rsid wsp:val=&quot;00A01BBC&quot;/&gt;&lt;wsp:rsid wsp:val=&quot;00A01C6B&quot;/&gt;&lt;wsp:rsid wsp:val=&quot;00A01CBE&quot;/&gt;&lt;wsp:rsid wsp:val=&quot;00A0234B&quot;/&gt;&lt;wsp:rsid wsp:val=&quot;00A024CC&quot;/&gt;&lt;wsp:rsid wsp:val=&quot;00A02851&quot;/&gt;&lt;wsp:rsid wsp:val=&quot;00A02878&quot;/&gt;&lt;wsp:rsid wsp:val=&quot;00A02CB7&quot;/&gt;&lt;wsp:rsid wsp:val=&quot;00A0335B&quot;/&gt;&lt;wsp:rsid wsp:val=&quot;00A03B79&quot;/&gt;&lt;wsp:rsid wsp:val=&quot;00A03E14&quot;/&gt;&lt;wsp:rsid wsp:val=&quot;00A04440&quot;/&gt;&lt;wsp:rsid wsp:val=&quot;00A04E5B&quot;/&gt;&lt;wsp:rsid wsp:val=&quot;00A04F29&quot;/&gt;&lt;wsp:rsid wsp:val=&quot;00A05038&quot;/&gt;&lt;wsp:rsid wsp:val=&quot;00A0578A&quot;/&gt;&lt;wsp:rsid wsp:val=&quot;00A05925&quot;/&gt;&lt;wsp:rsid wsp:val=&quot;00A05AA3&quot;/&gt;&lt;wsp:rsid wsp:val=&quot;00A05F18&quot;/&gt;&lt;wsp:rsid wsp:val=&quot;00A06349&quot;/&gt;&lt;wsp:rsid wsp:val=&quot;00A06389&quot;/&gt;&lt;wsp:rsid wsp:val=&quot;00A063D6&quot;/&gt;&lt;wsp:rsid wsp:val=&quot;00A06AF7&quot;/&gt;&lt;wsp:rsid wsp:val=&quot;00A06C3B&quot;/&gt;&lt;wsp:rsid wsp:val=&quot;00A0705C&quot;/&gt;&lt;wsp:rsid wsp:val=&quot;00A071F0&quot;/&gt;&lt;wsp:rsid wsp:val=&quot;00A0795B&quot;/&gt;&lt;wsp:rsid wsp:val=&quot;00A07FD5&quot;/&gt;&lt;wsp:rsid wsp:val=&quot;00A10198&quot;/&gt;&lt;wsp:rsid wsp:val=&quot;00A101C2&quot;/&gt;&lt;wsp:rsid wsp:val=&quot;00A10679&quot;/&gt;&lt;wsp:rsid wsp:val=&quot;00A106EB&quot;/&gt;&lt;wsp:rsid wsp:val=&quot;00A109EE&quot;/&gt;&lt;wsp:rsid wsp:val=&quot;00A112E7&quot;/&gt;&lt;wsp:rsid wsp:val=&quot;00A11859&quot;/&gt;&lt;wsp:rsid wsp:val=&quot;00A11F40&quot;/&gt;&lt;wsp:rsid wsp:val=&quot;00A12240&quot;/&gt;&lt;wsp:rsid wsp:val=&quot;00A12640&quot;/&gt;&lt;wsp:rsid wsp:val=&quot;00A128AA&quot;/&gt;&lt;wsp:rsid wsp:val=&quot;00A12C11&quot;/&gt;&lt;wsp:rsid wsp:val=&quot;00A12C12&quot;/&gt;&lt;wsp:rsid wsp:val=&quot;00A12D6A&quot;/&gt;&lt;wsp:rsid wsp:val=&quot;00A12D7C&quot;/&gt;&lt;wsp:rsid wsp:val=&quot;00A1375D&quot;/&gt;&lt;wsp:rsid wsp:val=&quot;00A1385D&quot;/&gt;&lt;wsp:rsid wsp:val=&quot;00A13B28&quot;/&gt;&lt;wsp:rsid wsp:val=&quot;00A13D39&quot;/&gt;&lt;wsp:rsid wsp:val=&quot;00A13F73&quot;/&gt;&lt;wsp:rsid wsp:val=&quot;00A13F82&quot;/&gt;&lt;wsp:rsid wsp:val=&quot;00A13FED&quot;/&gt;&lt;wsp:rsid wsp:val=&quot;00A14252&quot;/&gt;&lt;wsp:rsid wsp:val=&quot;00A148D1&quot;/&gt;&lt;wsp:rsid wsp:val=&quot;00A148FB&quot;/&gt;&lt;wsp:rsid wsp:val=&quot;00A14FE7&quot;/&gt;&lt;wsp:rsid wsp:val=&quot;00A150D5&quot;/&gt;&lt;wsp:rsid wsp:val=&quot;00A15168&quot;/&gt;&lt;wsp:rsid wsp:val=&quot;00A1543F&quot;/&gt;&lt;wsp:rsid wsp:val=&quot;00A15572&quot;/&gt;&lt;wsp:rsid wsp:val=&quot;00A15783&quot;/&gt;&lt;wsp:rsid wsp:val=&quot;00A15C97&quot;/&gt;&lt;wsp:rsid wsp:val=&quot;00A15CBA&quot;/&gt;&lt;wsp:rsid wsp:val=&quot;00A16141&quot;/&gt;&lt;wsp:rsid wsp:val=&quot;00A166D0&quot;/&gt;&lt;wsp:rsid wsp:val=&quot;00A16A35&quot;/&gt;&lt;wsp:rsid wsp:val=&quot;00A1722D&quot;/&gt;&lt;wsp:rsid wsp:val=&quot;00A1763E&quot;/&gt;&lt;wsp:rsid wsp:val=&quot;00A17B2D&quot;/&gt;&lt;wsp:rsid wsp:val=&quot;00A17C35&quot;/&gt;&lt;wsp:rsid wsp:val=&quot;00A17D80&quot;/&gt;&lt;wsp:rsid wsp:val=&quot;00A17DDB&quot;/&gt;&lt;wsp:rsid wsp:val=&quot;00A17E93&quot;/&gt;&lt;wsp:rsid wsp:val=&quot;00A17FD5&quot;/&gt;&lt;wsp:rsid wsp:val=&quot;00A20378&quot;/&gt;&lt;wsp:rsid wsp:val=&quot;00A209EA&quot;/&gt;&lt;wsp:rsid wsp:val=&quot;00A20D10&quot;/&gt;&lt;wsp:rsid wsp:val=&quot;00A20E6C&quot;/&gt;&lt;wsp:rsid wsp:val=&quot;00A20F11&quot;/&gt;&lt;wsp:rsid wsp:val=&quot;00A21ABD&quot;/&gt;&lt;wsp:rsid wsp:val=&quot;00A21BFA&quot;/&gt;&lt;wsp:rsid wsp:val=&quot;00A21CE4&quot;/&gt;&lt;wsp:rsid wsp:val=&quot;00A2207C&quot;/&gt;&lt;wsp:rsid wsp:val=&quot;00A22137&quot;/&gt;&lt;wsp:rsid wsp:val=&quot;00A226FC&quot;/&gt;&lt;wsp:rsid wsp:val=&quot;00A226FF&quot;/&gt;&lt;wsp:rsid wsp:val=&quot;00A2291F&quot;/&gt;&lt;wsp:rsid wsp:val=&quot;00A22E0D&quot;/&gt;&lt;wsp:rsid wsp:val=&quot;00A22F42&quot;/&gt;&lt;wsp:rsid wsp:val=&quot;00A23506&quot;/&gt;&lt;wsp:rsid wsp:val=&quot;00A23648&quot;/&gt;&lt;wsp:rsid wsp:val=&quot;00A23994&quot;/&gt;&lt;wsp:rsid wsp:val=&quot;00A23B5E&quot;/&gt;&lt;wsp:rsid wsp:val=&quot;00A24233&quot;/&gt;&lt;wsp:rsid wsp:val=&quot;00A24248&quot;/&gt;&lt;wsp:rsid wsp:val=&quot;00A24A2D&quot;/&gt;&lt;wsp:rsid wsp:val=&quot;00A252E7&quot;/&gt;&lt;wsp:rsid wsp:val=&quot;00A2593E&quot;/&gt;&lt;wsp:rsid wsp:val=&quot;00A261A7&quot;/&gt;&lt;wsp:rsid wsp:val=&quot;00A262EE&quot;/&gt;&lt;wsp:rsid wsp:val=&quot;00A270A3&quot;/&gt;&lt;wsp:rsid wsp:val=&quot;00A27218&quot;/&gt;&lt;wsp:rsid wsp:val=&quot;00A272C0&quot;/&gt;&lt;wsp:rsid wsp:val=&quot;00A27335&quot;/&gt;&lt;wsp:rsid wsp:val=&quot;00A27758&quot;/&gt;&lt;wsp:rsid wsp:val=&quot;00A27EF4&quot;/&gt;&lt;wsp:rsid wsp:val=&quot;00A27F1E&quot;/&gt;&lt;wsp:rsid wsp:val=&quot;00A30022&quot;/&gt;&lt;wsp:rsid wsp:val=&quot;00A30405&quot;/&gt;&lt;wsp:rsid wsp:val=&quot;00A30473&quot;/&gt;&lt;wsp:rsid wsp:val=&quot;00A304F6&quot;/&gt;&lt;wsp:rsid wsp:val=&quot;00A30940&quot;/&gt;&lt;wsp:rsid wsp:val=&quot;00A30C79&quot;/&gt;&lt;wsp:rsid wsp:val=&quot;00A30CD9&quot;/&gt;&lt;wsp:rsid wsp:val=&quot;00A30D84&quot;/&gt;&lt;wsp:rsid wsp:val=&quot;00A310F8&quot;/&gt;&lt;wsp:rsid wsp:val=&quot;00A31154&quot;/&gt;&lt;wsp:rsid wsp:val=&quot;00A3124A&quot;/&gt;&lt;wsp:rsid wsp:val=&quot;00A31811&quot;/&gt;&lt;wsp:rsid wsp:val=&quot;00A31CD5&quot;/&gt;&lt;wsp:rsid wsp:val=&quot;00A32633&quot;/&gt;&lt;wsp:rsid wsp:val=&quot;00A32EF9&quot;/&gt;&lt;wsp:rsid wsp:val=&quot;00A3384E&quot;/&gt;&lt;wsp:rsid wsp:val=&quot;00A33D51&quot;/&gt;&lt;wsp:rsid wsp:val=&quot;00A33EAA&quot;/&gt;&lt;wsp:rsid wsp:val=&quot;00A34099&quot;/&gt;&lt;wsp:rsid wsp:val=&quot;00A343F7&quot;/&gt;&lt;wsp:rsid wsp:val=&quot;00A34488&quot;/&gt;&lt;wsp:rsid wsp:val=&quot;00A34787&quot;/&gt;&lt;wsp:rsid wsp:val=&quot;00A3483B&quot;/&gt;&lt;wsp:rsid wsp:val=&quot;00A348E8&quot;/&gt;&lt;wsp:rsid wsp:val=&quot;00A34919&quot;/&gt;&lt;wsp:rsid wsp:val=&quot;00A34AB2&quot;/&gt;&lt;wsp:rsid wsp:val=&quot;00A3521D&quot;/&gt;&lt;wsp:rsid wsp:val=&quot;00A352D6&quot;/&gt;&lt;wsp:rsid wsp:val=&quot;00A35655&quot;/&gt;&lt;wsp:rsid wsp:val=&quot;00A35DA5&quot;/&gt;&lt;wsp:rsid wsp:val=&quot;00A3602A&quot;/&gt;&lt;wsp:rsid wsp:val=&quot;00A3612D&quot;/&gt;&lt;wsp:rsid wsp:val=&quot;00A3687D&quot;/&gt;&lt;wsp:rsid wsp:val=&quot;00A36911&quot;/&gt;&lt;wsp:rsid wsp:val=&quot;00A36FC7&quot;/&gt;&lt;wsp:rsid wsp:val=&quot;00A375E3&quot;/&gt;&lt;wsp:rsid wsp:val=&quot;00A37CCC&quot;/&gt;&lt;wsp:rsid wsp:val=&quot;00A37D0D&quot;/&gt;&lt;wsp:rsid wsp:val=&quot;00A40248&quot;/&gt;&lt;wsp:rsid wsp:val=&quot;00A40A2D&quot;/&gt;&lt;wsp:rsid wsp:val=&quot;00A40C6F&quot;/&gt;&lt;wsp:rsid wsp:val=&quot;00A40F5C&quot;/&gt;&lt;wsp:rsid wsp:val=&quot;00A41847&quot;/&gt;&lt;wsp:rsid wsp:val=&quot;00A41B59&quot;/&gt;&lt;wsp:rsid wsp:val=&quot;00A41EEF&quot;/&gt;&lt;wsp:rsid wsp:val=&quot;00A4240B&quot;/&gt;&lt;wsp:rsid wsp:val=&quot;00A4252A&quot;/&gt;&lt;wsp:rsid wsp:val=&quot;00A429A0&quot;/&gt;&lt;wsp:rsid wsp:val=&quot;00A43176&quot;/&gt;&lt;wsp:rsid wsp:val=&quot;00A43177&quot;/&gt;&lt;wsp:rsid wsp:val=&quot;00A43326&quot;/&gt;&lt;wsp:rsid wsp:val=&quot;00A43637&quot;/&gt;&lt;wsp:rsid wsp:val=&quot;00A4383F&quot;/&gt;&lt;wsp:rsid wsp:val=&quot;00A43F6D&quot;/&gt;&lt;wsp:rsid wsp:val=&quot;00A442DB&quot;/&gt;&lt;wsp:rsid wsp:val=&quot;00A44F49&quot;/&gt;&lt;wsp:rsid wsp:val=&quot;00A465D5&quot;/&gt;&lt;wsp:rsid wsp:val=&quot;00A47257&quot;/&gt;&lt;wsp:rsid wsp:val=&quot;00A4729B&quot;/&gt;&lt;wsp:rsid wsp:val=&quot;00A4778F&quot;/&gt;&lt;wsp:rsid wsp:val=&quot;00A47AEC&quot;/&gt;&lt;wsp:rsid wsp:val=&quot;00A47F2C&quot;/&gt;&lt;wsp:rsid wsp:val=&quot;00A50056&quot;/&gt;&lt;wsp:rsid wsp:val=&quot;00A5053E&quot;/&gt;&lt;wsp:rsid wsp:val=&quot;00A50D97&quot;/&gt;&lt;wsp:rsid wsp:val=&quot;00A51313&quot;/&gt;&lt;wsp:rsid wsp:val=&quot;00A513B8&quot;/&gt;&lt;wsp:rsid wsp:val=&quot;00A51795&quot;/&gt;&lt;wsp:rsid wsp:val=&quot;00A51870&quot;/&gt;&lt;wsp:rsid wsp:val=&quot;00A518ED&quot;/&gt;&lt;wsp:rsid wsp:val=&quot;00A51CA5&quot;/&gt;&lt;wsp:rsid wsp:val=&quot;00A51F41&quot;/&gt;&lt;wsp:rsid wsp:val=&quot;00A51F64&quot;/&gt;&lt;wsp:rsid wsp:val=&quot;00A52270&quot;/&gt;&lt;wsp:rsid wsp:val=&quot;00A526BB&quot;/&gt;&lt;wsp:rsid wsp:val=&quot;00A528FE&quot;/&gt;&lt;wsp:rsid wsp:val=&quot;00A52AB8&quot;/&gt;&lt;wsp:rsid wsp:val=&quot;00A52C16&quot;/&gt;&lt;wsp:rsid wsp:val=&quot;00A52FAE&quot;/&gt;&lt;wsp:rsid wsp:val=&quot;00A53478&quot;/&gt;&lt;wsp:rsid wsp:val=&quot;00A537B8&quot;/&gt;&lt;wsp:rsid wsp:val=&quot;00A537CA&quot;/&gt;&lt;wsp:rsid wsp:val=&quot;00A53809&quot;/&gt;&lt;wsp:rsid wsp:val=&quot;00A53D59&quot;/&gt;&lt;wsp:rsid wsp:val=&quot;00A53E21&quot;/&gt;&lt;wsp:rsid wsp:val=&quot;00A54816&quot;/&gt;&lt;wsp:rsid wsp:val=&quot;00A54971&quot;/&gt;&lt;wsp:rsid wsp:val=&quot;00A54E31&quot;/&gt;&lt;wsp:rsid wsp:val=&quot;00A5553C&quot;/&gt;&lt;wsp:rsid wsp:val=&quot;00A55B82&quot;/&gt;&lt;wsp:rsid wsp:val=&quot;00A56042&quot;/&gt;&lt;wsp:rsid wsp:val=&quot;00A5604E&quot;/&gt;&lt;wsp:rsid wsp:val=&quot;00A56484&quot;/&gt;&lt;wsp:rsid wsp:val=&quot;00A56E0B&quot;/&gt;&lt;wsp:rsid wsp:val=&quot;00A575B8&quot;/&gt;&lt;wsp:rsid wsp:val=&quot;00A57746&quot;/&gt;&lt;wsp:rsid wsp:val=&quot;00A57A97&quot;/&gt;&lt;wsp:rsid wsp:val=&quot;00A57D2D&quot;/&gt;&lt;wsp:rsid wsp:val=&quot;00A6006A&quot;/&gt;&lt;wsp:rsid wsp:val=&quot;00A6014E&quot;/&gt;&lt;wsp:rsid wsp:val=&quot;00A604C0&quot;/&gt;&lt;wsp:rsid wsp:val=&quot;00A607AF&quot;/&gt;&lt;wsp:rsid wsp:val=&quot;00A60DD1&quot;/&gt;&lt;wsp:rsid wsp:val=&quot;00A6113E&quot;/&gt;&lt;wsp:rsid wsp:val=&quot;00A6171A&quot;/&gt;&lt;wsp:rsid wsp:val=&quot;00A61798&quot;/&gt;&lt;wsp:rsid wsp:val=&quot;00A6194C&quot;/&gt;&lt;wsp:rsid wsp:val=&quot;00A61983&quot;/&gt;&lt;wsp:rsid wsp:val=&quot;00A61A8E&quot;/&gt;&lt;wsp:rsid wsp:val=&quot;00A61DB3&quot;/&gt;&lt;wsp:rsid wsp:val=&quot;00A61E69&quot;/&gt;&lt;wsp:rsid wsp:val=&quot;00A62020&quot;/&gt;&lt;wsp:rsid wsp:val=&quot;00A626B2&quot;/&gt;&lt;wsp:rsid wsp:val=&quot;00A627DD&quot;/&gt;&lt;wsp:rsid wsp:val=&quot;00A629DA&quot;/&gt;&lt;wsp:rsid wsp:val=&quot;00A6304F&quot;/&gt;&lt;wsp:rsid wsp:val=&quot;00A63AA4&quot;/&gt;&lt;wsp:rsid wsp:val=&quot;00A63B13&quot;/&gt;&lt;wsp:rsid wsp:val=&quot;00A63D49&quot;/&gt;&lt;wsp:rsid wsp:val=&quot;00A64267&quot;/&gt;&lt;wsp:rsid wsp:val=&quot;00A648AE&quot;/&gt;&lt;wsp:rsid wsp:val=&quot;00A64BC5&quot;/&gt;&lt;wsp:rsid wsp:val=&quot;00A64D66&quot;/&gt;&lt;wsp:rsid wsp:val=&quot;00A65203&quot;/&gt;&lt;wsp:rsid wsp:val=&quot;00A65267&quot;/&gt;&lt;wsp:rsid wsp:val=&quot;00A6539A&quot;/&gt;&lt;wsp:rsid wsp:val=&quot;00A65429&quot;/&gt;&lt;wsp:rsid wsp:val=&quot;00A65763&quot;/&gt;&lt;wsp:rsid wsp:val=&quot;00A65CF2&quot;/&gt;&lt;wsp:rsid wsp:val=&quot;00A65FB1&quot;/&gt;&lt;wsp:rsid wsp:val=&quot;00A660DE&quot;/&gt;&lt;wsp:rsid wsp:val=&quot;00A66337&quot;/&gt;&lt;wsp:rsid wsp:val=&quot;00A66855&quot;/&gt;&lt;wsp:rsid wsp:val=&quot;00A66C91&quot;/&gt;&lt;wsp:rsid wsp:val=&quot;00A66D12&quot;/&gt;&lt;wsp:rsid wsp:val=&quot;00A66D7A&quot;/&gt;&lt;wsp:rsid wsp:val=&quot;00A670D6&quot;/&gt;&lt;wsp:rsid wsp:val=&quot;00A6729D&quot;/&gt;&lt;wsp:rsid wsp:val=&quot;00A67394&quot;/&gt;&lt;wsp:rsid wsp:val=&quot;00A677B5&quot;/&gt;&lt;wsp:rsid wsp:val=&quot;00A6790F&quot;/&gt;&lt;wsp:rsid wsp:val=&quot;00A67912&quot;/&gt;&lt;wsp:rsid wsp:val=&quot;00A67DAC&quot;/&gt;&lt;wsp:rsid wsp:val=&quot;00A701FD&quot;/&gt;&lt;wsp:rsid wsp:val=&quot;00A707D4&quot;/&gt;&lt;wsp:rsid wsp:val=&quot;00A70A5B&quot;/&gt;&lt;wsp:rsid wsp:val=&quot;00A70BDE&quot;/&gt;&lt;wsp:rsid wsp:val=&quot;00A70E8D&quot;/&gt;&lt;wsp:rsid wsp:val=&quot;00A70EC1&quot;/&gt;&lt;wsp:rsid wsp:val=&quot;00A70F52&quot;/&gt;&lt;wsp:rsid wsp:val=&quot;00A710F7&quot;/&gt;&lt;wsp:rsid wsp:val=&quot;00A71124&quot;/&gt;&lt;wsp:rsid wsp:val=&quot;00A7121B&quot;/&gt;&lt;wsp:rsid wsp:val=&quot;00A715C6&quot;/&gt;&lt;wsp:rsid wsp:val=&quot;00A715FD&quot;/&gt;&lt;wsp:rsid wsp:val=&quot;00A71A9A&quot;/&gt;&lt;wsp:rsid wsp:val=&quot;00A71FF8&quot;/&gt;&lt;wsp:rsid wsp:val=&quot;00A7266F&quot;/&gt;&lt;wsp:rsid wsp:val=&quot;00A72C11&quot;/&gt;&lt;wsp:rsid wsp:val=&quot;00A72E7A&quot;/&gt;&lt;wsp:rsid wsp:val=&quot;00A7352C&quot;/&gt;&lt;wsp:rsid wsp:val=&quot;00A73841&quot;/&gt;&lt;wsp:rsid wsp:val=&quot;00A73A59&quot;/&gt;&lt;wsp:rsid wsp:val=&quot;00A73D44&quot;/&gt;&lt;wsp:rsid wsp:val=&quot;00A741C8&quot;/&gt;&lt;wsp:rsid wsp:val=&quot;00A74A9A&quot;/&gt;&lt;wsp:rsid wsp:val=&quot;00A74C38&quot;/&gt;&lt;wsp:rsid wsp:val=&quot;00A75314&quot;/&gt;&lt;wsp:rsid wsp:val=&quot;00A7562A&quot;/&gt;&lt;wsp:rsid wsp:val=&quot;00A75D66&quot;/&gt;&lt;wsp:rsid wsp:val=&quot;00A75E31&quot;/&gt;&lt;wsp:rsid wsp:val=&quot;00A75E76&quot;/&gt;&lt;wsp:rsid wsp:val=&quot;00A76326&quot;/&gt;&lt;wsp:rsid wsp:val=&quot;00A765A2&quot;/&gt;&lt;wsp:rsid wsp:val=&quot;00A765C0&quot;/&gt;&lt;wsp:rsid wsp:val=&quot;00A7686C&quot;/&gt;&lt;wsp:rsid wsp:val=&quot;00A76A08&quot;/&gt;&lt;wsp:rsid wsp:val=&quot;00A76A40&quot;/&gt;&lt;wsp:rsid wsp:val=&quot;00A76B2A&quot;/&gt;&lt;wsp:rsid wsp:val=&quot;00A76D07&quot;/&gt;&lt;wsp:rsid wsp:val=&quot;00A76E3C&quot;/&gt;&lt;wsp:rsid wsp:val=&quot;00A7790D&quot;/&gt;&lt;wsp:rsid wsp:val=&quot;00A77B57&quot;/&gt;&lt;wsp:rsid wsp:val=&quot;00A77BFB&quot;/&gt;&lt;wsp:rsid wsp:val=&quot;00A800B3&quot;/&gt;&lt;wsp:rsid wsp:val=&quot;00A80333&quot;/&gt;&lt;wsp:rsid wsp:val=&quot;00A807B7&quot;/&gt;&lt;wsp:rsid wsp:val=&quot;00A80877&quot;/&gt;&lt;wsp:rsid wsp:val=&quot;00A80892&quot;/&gt;&lt;wsp:rsid wsp:val=&quot;00A80A0E&quot;/&gt;&lt;wsp:rsid wsp:val=&quot;00A80A86&quot;/&gt;&lt;wsp:rsid wsp:val=&quot;00A810F9&quot;/&gt;&lt;wsp:rsid wsp:val=&quot;00A8111C&quot;/&gt;&lt;wsp:rsid wsp:val=&quot;00A8170A&quot;/&gt;&lt;wsp:rsid wsp:val=&quot;00A818A4&quot;/&gt;&lt;wsp:rsid wsp:val=&quot;00A81DD7&quot;/&gt;&lt;wsp:rsid wsp:val=&quot;00A820B4&quot;/&gt;&lt;wsp:rsid wsp:val=&quot;00A82346&quot;/&gt;&lt;wsp:rsid wsp:val=&quot;00A82675&quot;/&gt;&lt;wsp:rsid wsp:val=&quot;00A82773&quot;/&gt;&lt;wsp:rsid wsp:val=&quot;00A8277D&quot;/&gt;&lt;wsp:rsid wsp:val=&quot;00A83BFC&quot;/&gt;&lt;wsp:rsid wsp:val=&quot;00A83DD5&quot;/&gt;&lt;wsp:rsid wsp:val=&quot;00A841A8&quot;/&gt;&lt;wsp:rsid wsp:val=&quot;00A8425B&quot;/&gt;&lt;wsp:rsid wsp:val=&quot;00A84D1E&quot;/&gt;&lt;wsp:rsid wsp:val=&quot;00A85234&quot;/&gt;&lt;wsp:rsid wsp:val=&quot;00A853B5&quot;/&gt;&lt;wsp:rsid wsp:val=&quot;00A855A2&quot;/&gt;&lt;wsp:rsid wsp:val=&quot;00A85755&quot;/&gt;&lt;wsp:rsid wsp:val=&quot;00A858ED&quot;/&gt;&lt;wsp:rsid wsp:val=&quot;00A85A20&quot;/&gt;&lt;wsp:rsid wsp:val=&quot;00A85D90&quot;/&gt;&lt;wsp:rsid wsp:val=&quot;00A85E89&quot;/&gt;&lt;wsp:rsid wsp:val=&quot;00A85EB0&quot;/&gt;&lt;wsp:rsid wsp:val=&quot;00A86531&quot;/&gt;&lt;wsp:rsid wsp:val=&quot;00A867EB&quot;/&gt;&lt;wsp:rsid wsp:val=&quot;00A86B33&quot;/&gt;&lt;wsp:rsid wsp:val=&quot;00A86EEB&quot;/&gt;&lt;wsp:rsid wsp:val=&quot;00A87155&quot;/&gt;&lt;wsp:rsid wsp:val=&quot;00A87208&quot;/&gt;&lt;wsp:rsid wsp:val=&quot;00A87724&quot;/&gt;&lt;wsp:rsid wsp:val=&quot;00A87820&quot;/&gt;&lt;wsp:rsid wsp:val=&quot;00A8788D&quot;/&gt;&lt;wsp:rsid wsp:val=&quot;00A878A4&quot;/&gt;&lt;wsp:rsid wsp:val=&quot;00A879D6&quot;/&gt;&lt;wsp:rsid wsp:val=&quot;00A87C29&quot;/&gt;&lt;wsp:rsid wsp:val=&quot;00A87F41&quot;/&gt;&lt;wsp:rsid wsp:val=&quot;00A903DE&quot;/&gt;&lt;wsp:rsid wsp:val=&quot;00A90584&quot;/&gt;&lt;wsp:rsid wsp:val=&quot;00A90A12&quot;/&gt;&lt;wsp:rsid wsp:val=&quot;00A90F31&quot;/&gt;&lt;wsp:rsid wsp:val=&quot;00A912DD&quot;/&gt;&lt;wsp:rsid wsp:val=&quot;00A915D8&quot;/&gt;&lt;wsp:rsid wsp:val=&quot;00A91839&quot;/&gt;&lt;wsp:rsid wsp:val=&quot;00A91B76&quot;/&gt;&lt;wsp:rsid wsp:val=&quot;00A91B9A&quot;/&gt;&lt;wsp:rsid wsp:val=&quot;00A91E08&quot;/&gt;&lt;wsp:rsid wsp:val=&quot;00A92168&quot;/&gt;&lt;wsp:rsid wsp:val=&quot;00A92513&quot;/&gt;&lt;wsp:rsid wsp:val=&quot;00A928DB&quot;/&gt;&lt;wsp:rsid wsp:val=&quot;00A9295F&quot;/&gt;&lt;wsp:rsid wsp:val=&quot;00A92B87&quot;/&gt;&lt;wsp:rsid wsp:val=&quot;00A9315B&quot;/&gt;&lt;wsp:rsid wsp:val=&quot;00A931F2&quot;/&gt;&lt;wsp:rsid wsp:val=&quot;00A93507&quot;/&gt;&lt;wsp:rsid wsp:val=&quot;00A935C3&quot;/&gt;&lt;wsp:rsid wsp:val=&quot;00A93D4E&quot;/&gt;&lt;wsp:rsid wsp:val=&quot;00A93DE5&quot;/&gt;&lt;wsp:rsid wsp:val=&quot;00A93DE8&quot;/&gt;&lt;wsp:rsid wsp:val=&quot;00A93F76&quot;/&gt;&lt;wsp:rsid wsp:val=&quot;00A94491&quot;/&gt;&lt;wsp:rsid wsp:val=&quot;00A9480B&quot;/&gt;&lt;wsp:rsid wsp:val=&quot;00A94810&quot;/&gt;&lt;wsp:rsid wsp:val=&quot;00A951C6&quot;/&gt;&lt;wsp:rsid wsp:val=&quot;00A95BEC&quot;/&gt;&lt;wsp:rsid wsp:val=&quot;00A961BB&quot;/&gt;&lt;wsp:rsid wsp:val=&quot;00A9681E&quot;/&gt;&lt;wsp:rsid wsp:val=&quot;00A96A52&quot;/&gt;&lt;wsp:rsid wsp:val=&quot;00A96A66&quot;/&gt;&lt;wsp:rsid wsp:val=&quot;00A96AE7&quot;/&gt;&lt;wsp:rsid wsp:val=&quot;00A96EA8&quot;/&gt;&lt;wsp:rsid wsp:val=&quot;00A97920&quot;/&gt;&lt;wsp:rsid wsp:val=&quot;00A97D65&quot;/&gt;&lt;wsp:rsid wsp:val=&quot;00A97F1F&quot;/&gt;&lt;wsp:rsid wsp:val=&quot;00AA02FD&quot;/&gt;&lt;wsp:rsid wsp:val=&quot;00AA042C&quot;/&gt;&lt;wsp:rsid wsp:val=&quot;00AA0584&quot;/&gt;&lt;wsp:rsid wsp:val=&quot;00AA069E&quot;/&gt;&lt;wsp:rsid wsp:val=&quot;00AA0A78&quot;/&gt;&lt;wsp:rsid wsp:val=&quot;00AA0C0C&quot;/&gt;&lt;wsp:rsid wsp:val=&quot;00AA0C45&quot;/&gt;&lt;wsp:rsid wsp:val=&quot;00AA1080&quot;/&gt;&lt;wsp:rsid wsp:val=&quot;00AA1CBC&quot;/&gt;&lt;wsp:rsid wsp:val=&quot;00AA23FC&quot;/&gt;&lt;wsp:rsid wsp:val=&quot;00AA2521&quot;/&gt;&lt;wsp:rsid wsp:val=&quot;00AA2F18&quot;/&gt;&lt;wsp:rsid wsp:val=&quot;00AA314E&quot;/&gt;&lt;wsp:rsid wsp:val=&quot;00AA33A4&quot;/&gt;&lt;wsp:rsid wsp:val=&quot;00AA346B&quot;/&gt;&lt;wsp:rsid wsp:val=&quot;00AA3476&quot;/&gt;&lt;wsp:rsid wsp:val=&quot;00AA3937&quot;/&gt;&lt;wsp:rsid wsp:val=&quot;00AA3B2C&quot;/&gt;&lt;wsp:rsid wsp:val=&quot;00AA3C7A&quot;/&gt;&lt;wsp:rsid wsp:val=&quot;00AA3CBE&quot;/&gt;&lt;wsp:rsid wsp:val=&quot;00AA4246&quot;/&gt;&lt;wsp:rsid wsp:val=&quot;00AA4607&quot;/&gt;&lt;wsp:rsid wsp:val=&quot;00AA47E8&quot;/&gt;&lt;wsp:rsid wsp:val=&quot;00AA48A3&quot;/&gt;&lt;wsp:rsid wsp:val=&quot;00AA4924&quot;/&gt;&lt;wsp:rsid wsp:val=&quot;00AA4D99&quot;/&gt;&lt;wsp:rsid wsp:val=&quot;00AA4E2D&quot;/&gt;&lt;wsp:rsid wsp:val=&quot;00AA510B&quot;/&gt;&lt;wsp:rsid wsp:val=&quot;00AA512E&quot;/&gt;&lt;wsp:rsid wsp:val=&quot;00AA51BB&quot;/&gt;&lt;wsp:rsid wsp:val=&quot;00AA52B0&quot;/&gt;&lt;wsp:rsid wsp:val=&quot;00AA54CF&quot;/&gt;&lt;wsp:rsid wsp:val=&quot;00AA55AC&quot;/&gt;&lt;wsp:rsid wsp:val=&quot;00AA55DC&quot;/&gt;&lt;wsp:rsid wsp:val=&quot;00AA5A0A&quot;/&gt;&lt;wsp:rsid wsp:val=&quot;00AA5D36&quot;/&gt;&lt;wsp:rsid wsp:val=&quot;00AA5F33&quot;/&gt;&lt;wsp:rsid wsp:val=&quot;00AA66CE&quot;/&gt;&lt;wsp:rsid wsp:val=&quot;00AA6F5D&quot;/&gt;&lt;wsp:rsid wsp:val=&quot;00AA7915&quot;/&gt;&lt;wsp:rsid wsp:val=&quot;00AB097D&quot;/&gt;&lt;wsp:rsid wsp:val=&quot;00AB0B87&quot;/&gt;&lt;wsp:rsid wsp:val=&quot;00AB0E1C&quot;/&gt;&lt;wsp:rsid wsp:val=&quot;00AB10CD&quot;/&gt;&lt;wsp:rsid wsp:val=&quot;00AB1244&quot;/&gt;&lt;wsp:rsid wsp:val=&quot;00AB1504&quot;/&gt;&lt;wsp:rsid wsp:val=&quot;00AB20B0&quot;/&gt;&lt;wsp:rsid wsp:val=&quot;00AB2119&quot;/&gt;&lt;wsp:rsid wsp:val=&quot;00AB237C&quot;/&gt;&lt;wsp:rsid wsp:val=&quot;00AB269D&quot;/&gt;&lt;wsp:rsid wsp:val=&quot;00AB274E&quot;/&gt;&lt;wsp:rsid wsp:val=&quot;00AB292A&quot;/&gt;&lt;wsp:rsid wsp:val=&quot;00AB2CF5&quot;/&gt;&lt;wsp:rsid wsp:val=&quot;00AB2E72&quot;/&gt;&lt;wsp:rsid wsp:val=&quot;00AB2F00&quot;/&gt;&lt;wsp:rsid wsp:val=&quot;00AB301B&quot;/&gt;&lt;wsp:rsid wsp:val=&quot;00AB308B&quot;/&gt;&lt;wsp:rsid wsp:val=&quot;00AB3408&quot;/&gt;&lt;wsp:rsid wsp:val=&quot;00AB364B&quot;/&gt;&lt;wsp:rsid wsp:val=&quot;00AB389E&quot;/&gt;&lt;wsp:rsid wsp:val=&quot;00AB3D6A&quot;/&gt;&lt;wsp:rsid wsp:val=&quot;00AB42B0&quot;/&gt;&lt;wsp:rsid wsp:val=&quot;00AB47F0&quot;/&gt;&lt;wsp:rsid wsp:val=&quot;00AB4952&quot;/&gt;&lt;wsp:rsid wsp:val=&quot;00AB4C51&quot;/&gt;&lt;wsp:rsid wsp:val=&quot;00AB4C7F&quot;/&gt;&lt;wsp:rsid wsp:val=&quot;00AB4E24&quot;/&gt;&lt;wsp:rsid wsp:val=&quot;00AB4FE3&quot;/&gt;&lt;wsp:rsid wsp:val=&quot;00AB504C&quot;/&gt;&lt;wsp:rsid wsp:val=&quot;00AB51FA&quot;/&gt;&lt;wsp:rsid wsp:val=&quot;00AB5375&quot;/&gt;&lt;wsp:rsid wsp:val=&quot;00AB5404&quot;/&gt;&lt;wsp:rsid wsp:val=&quot;00AB55DD&quot;/&gt;&lt;wsp:rsid wsp:val=&quot;00AB5747&quot;/&gt;&lt;wsp:rsid wsp:val=&quot;00AB5B35&quot;/&gt;&lt;wsp:rsid wsp:val=&quot;00AB5CE5&quot;/&gt;&lt;wsp:rsid wsp:val=&quot;00AB67B5&quot;/&gt;&lt;wsp:rsid wsp:val=&quot;00AB67F3&quot;/&gt;&lt;wsp:rsid wsp:val=&quot;00AB6D48&quot;/&gt;&lt;wsp:rsid wsp:val=&quot;00AB6EC3&quot;/&gt;&lt;wsp:rsid wsp:val=&quot;00AB7C45&quot;/&gt;&lt;wsp:rsid wsp:val=&quot;00AC0763&quot;/&gt;&lt;wsp:rsid wsp:val=&quot;00AC0967&quot;/&gt;&lt;wsp:rsid wsp:val=&quot;00AC0D90&quot;/&gt;&lt;wsp:rsid wsp:val=&quot;00AC1044&quot;/&gt;&lt;wsp:rsid wsp:val=&quot;00AC1366&quot;/&gt;&lt;wsp:rsid wsp:val=&quot;00AC1455&quot;/&gt;&lt;wsp:rsid wsp:val=&quot;00AC18E9&quot;/&gt;&lt;wsp:rsid wsp:val=&quot;00AC19BD&quot;/&gt;&lt;wsp:rsid wsp:val=&quot;00AC2032&quot;/&gt;&lt;wsp:rsid wsp:val=&quot;00AC20DA&quot;/&gt;&lt;wsp:rsid wsp:val=&quot;00AC22D2&quot;/&gt;&lt;wsp:rsid wsp:val=&quot;00AC2495&quot;/&gt;&lt;wsp:rsid wsp:val=&quot;00AC2652&quot;/&gt;&lt;wsp:rsid wsp:val=&quot;00AC2926&quot;/&gt;&lt;wsp:rsid wsp:val=&quot;00AC2B5B&quot;/&gt;&lt;wsp:rsid wsp:val=&quot;00AC308A&quot;/&gt;&lt;wsp:rsid wsp:val=&quot;00AC358E&quot;/&gt;&lt;wsp:rsid wsp:val=&quot;00AC3903&quot;/&gt;&lt;wsp:rsid wsp:val=&quot;00AC4063&quot;/&gt;&lt;wsp:rsid wsp:val=&quot;00AC40EE&quot;/&gt;&lt;wsp:rsid wsp:val=&quot;00AC4234&quot;/&gt;&lt;wsp:rsid wsp:val=&quot;00AC4D26&quot;/&gt;&lt;wsp:rsid wsp:val=&quot;00AC4E76&quot;/&gt;&lt;wsp:rsid wsp:val=&quot;00AC4F73&quot;/&gt;&lt;wsp:rsid wsp:val=&quot;00AC533B&quot;/&gt;&lt;wsp:rsid wsp:val=&quot;00AC56DD&quot;/&gt;&lt;wsp:rsid wsp:val=&quot;00AC5796&quot;/&gt;&lt;wsp:rsid wsp:val=&quot;00AC650B&quot;/&gt;&lt;wsp:rsid wsp:val=&quot;00AC6598&quot;/&gt;&lt;wsp:rsid wsp:val=&quot;00AC68D8&quot;/&gt;&lt;wsp:rsid wsp:val=&quot;00AC699A&quot;/&gt;&lt;wsp:rsid wsp:val=&quot;00AC6C6D&quot;/&gt;&lt;wsp:rsid wsp:val=&quot;00AC6DC2&quot;/&gt;&lt;wsp:rsid wsp:val=&quot;00AC704A&quot;/&gt;&lt;wsp:rsid wsp:val=&quot;00AC73C4&quot;/&gt;&lt;wsp:rsid wsp:val=&quot;00AC77AC&quot;/&gt;&lt;wsp:rsid wsp:val=&quot;00AC7D8E&quot;/&gt;&lt;wsp:rsid wsp:val=&quot;00AD009D&quot;/&gt;&lt;wsp:rsid wsp:val=&quot;00AD034D&quot;/&gt;&lt;wsp:rsid wsp:val=&quot;00AD040A&quot;/&gt;&lt;wsp:rsid wsp:val=&quot;00AD0684&quot;/&gt;&lt;wsp:rsid wsp:val=&quot;00AD0779&quot;/&gt;&lt;wsp:rsid wsp:val=&quot;00AD08EF&quot;/&gt;&lt;wsp:rsid wsp:val=&quot;00AD1039&quot;/&gt;&lt;wsp:rsid wsp:val=&quot;00AD1BF3&quot;/&gt;&lt;wsp:rsid wsp:val=&quot;00AD1E48&quot;/&gt;&lt;wsp:rsid wsp:val=&quot;00AD2171&quot;/&gt;&lt;wsp:rsid wsp:val=&quot;00AD3062&quot;/&gt;&lt;wsp:rsid wsp:val=&quot;00AD3099&quot;/&gt;&lt;wsp:rsid wsp:val=&quot;00AD312C&quot;/&gt;&lt;wsp:rsid wsp:val=&quot;00AD32CE&quot;/&gt;&lt;wsp:rsid wsp:val=&quot;00AD334F&quot;/&gt;&lt;wsp:rsid wsp:val=&quot;00AD3D3D&quot;/&gt;&lt;wsp:rsid wsp:val=&quot;00AD405F&quot;/&gt;&lt;wsp:rsid wsp:val=&quot;00AD40C2&quot;/&gt;&lt;wsp:rsid wsp:val=&quot;00AD4218&quot;/&gt;&lt;wsp:rsid wsp:val=&quot;00AD4487&quot;/&gt;&lt;wsp:rsid wsp:val=&quot;00AD46B1&quot;/&gt;&lt;wsp:rsid wsp:val=&quot;00AD475B&quot;/&gt;&lt;wsp:rsid wsp:val=&quot;00AD4D3C&quot;/&gt;&lt;wsp:rsid wsp:val=&quot;00AD502A&quot;/&gt;&lt;wsp:rsid wsp:val=&quot;00AD56C8&quot;/&gt;&lt;wsp:rsid wsp:val=&quot;00AD5D9A&quot;/&gt;&lt;wsp:rsid wsp:val=&quot;00AD5DF1&quot;/&gt;&lt;wsp:rsid wsp:val=&quot;00AD63F8&quot;/&gt;&lt;wsp:rsid wsp:val=&quot;00AD67A3&quot;/&gt;&lt;wsp:rsid wsp:val=&quot;00AD67D1&quot;/&gt;&lt;wsp:rsid wsp:val=&quot;00AD6D97&quot;/&gt;&lt;wsp:rsid wsp:val=&quot;00AD6F2C&quot;/&gt;&lt;wsp:rsid wsp:val=&quot;00AD74DE&quot;/&gt;&lt;wsp:rsid wsp:val=&quot;00AD75D9&quot;/&gt;&lt;wsp:rsid wsp:val=&quot;00AD767D&quot;/&gt;&lt;wsp:rsid wsp:val=&quot;00AD79C8&quot;/&gt;&lt;wsp:rsid wsp:val=&quot;00AE024C&quot;/&gt;&lt;wsp:rsid wsp:val=&quot;00AE068F&quot;/&gt;&lt;wsp:rsid wsp:val=&quot;00AE0719&quot;/&gt;&lt;wsp:rsid wsp:val=&quot;00AE084B&quot;/&gt;&lt;wsp:rsid wsp:val=&quot;00AE0FEB&quot;/&gt;&lt;wsp:rsid wsp:val=&quot;00AE0FF8&quot;/&gt;&lt;wsp:rsid wsp:val=&quot;00AE1545&quot;/&gt;&lt;wsp:rsid wsp:val=&quot;00AE15DC&quot;/&gt;&lt;wsp:rsid wsp:val=&quot;00AE1955&quot;/&gt;&lt;wsp:rsid wsp:val=&quot;00AE1B40&quot;/&gt;&lt;wsp:rsid wsp:val=&quot;00AE20EA&quot;/&gt;&lt;wsp:rsid wsp:val=&quot;00AE224C&quot;/&gt;&lt;wsp:rsid wsp:val=&quot;00AE278A&quot;/&gt;&lt;wsp:rsid wsp:val=&quot;00AE2AC4&quot;/&gt;&lt;wsp:rsid wsp:val=&quot;00AE32E1&quot;/&gt;&lt;wsp:rsid wsp:val=&quot;00AE3803&quot;/&gt;&lt;wsp:rsid wsp:val=&quot;00AE3814&quot;/&gt;&lt;wsp:rsid wsp:val=&quot;00AE38C8&quot;/&gt;&lt;wsp:rsid wsp:val=&quot;00AE46DB&quot;/&gt;&lt;wsp:rsid wsp:val=&quot;00AE4840&quot;/&gt;&lt;wsp:rsid wsp:val=&quot;00AE5283&quot;/&gt;&lt;wsp:rsid wsp:val=&quot;00AE542C&quot;/&gt;&lt;wsp:rsid wsp:val=&quot;00AE5D98&quot;/&gt;&lt;wsp:rsid wsp:val=&quot;00AE5E12&quot;/&gt;&lt;wsp:rsid wsp:val=&quot;00AE5E2B&quot;/&gt;&lt;wsp:rsid wsp:val=&quot;00AE5EA0&quot;/&gt;&lt;wsp:rsid wsp:val=&quot;00AE69C5&quot;/&gt;&lt;wsp:rsid wsp:val=&quot;00AE6EB1&quot;/&gt;&lt;wsp:rsid wsp:val=&quot;00AE6F8E&quot;/&gt;&lt;wsp:rsid wsp:val=&quot;00AE76BD&quot;/&gt;&lt;wsp:rsid wsp:val=&quot;00AE794E&quot;/&gt;&lt;wsp:rsid wsp:val=&quot;00AE7B87&quot;/&gt;&lt;wsp:rsid wsp:val=&quot;00AF04F5&quot;/&gt;&lt;wsp:rsid wsp:val=&quot;00AF077C&quot;/&gt;&lt;wsp:rsid wsp:val=&quot;00AF078B&quot;/&gt;&lt;wsp:rsid wsp:val=&quot;00AF0C3E&quot;/&gt;&lt;wsp:rsid wsp:val=&quot;00AF14A8&quot;/&gt;&lt;wsp:rsid wsp:val=&quot;00AF1564&quot;/&gt;&lt;wsp:rsid wsp:val=&quot;00AF1B37&quot;/&gt;&lt;wsp:rsid wsp:val=&quot;00AF2287&quot;/&gt;&lt;wsp:rsid wsp:val=&quot;00AF2712&quot;/&gt;&lt;wsp:rsid wsp:val=&quot;00AF2CC9&quot;/&gt;&lt;wsp:rsid wsp:val=&quot;00AF2D3E&quot;/&gt;&lt;wsp:rsid wsp:val=&quot;00AF2F7A&quot;/&gt;&lt;wsp:rsid wsp:val=&quot;00AF2F9D&quot;/&gt;&lt;wsp:rsid wsp:val=&quot;00AF3149&quot;/&gt;&lt;wsp:rsid wsp:val=&quot;00AF3509&quot;/&gt;&lt;wsp:rsid wsp:val=&quot;00AF3529&quot;/&gt;&lt;wsp:rsid wsp:val=&quot;00AF3B58&quot;/&gt;&lt;wsp:rsid wsp:val=&quot;00AF3E49&quot;/&gt;&lt;wsp:rsid wsp:val=&quot;00AF424F&quot;/&gt;&lt;wsp:rsid wsp:val=&quot;00AF4343&quot;/&gt;&lt;wsp:rsid wsp:val=&quot;00AF55AA&quot;/&gt;&lt;wsp:rsid wsp:val=&quot;00AF56AE&quot;/&gt;&lt;wsp:rsid wsp:val=&quot;00AF5852&quot;/&gt;&lt;wsp:rsid wsp:val=&quot;00AF5A03&quot;/&gt;&lt;wsp:rsid wsp:val=&quot;00AF5B3E&quot;/&gt;&lt;wsp:rsid wsp:val=&quot;00AF5FD0&quot;/&gt;&lt;wsp:rsid wsp:val=&quot;00AF6623&quot;/&gt;&lt;wsp:rsid wsp:val=&quot;00AF6C6E&quot;/&gt;&lt;wsp:rsid wsp:val=&quot;00AF6F3F&quot;/&gt;&lt;wsp:rsid wsp:val=&quot;00AF7725&quot;/&gt;&lt;wsp:rsid wsp:val=&quot;00AF7759&quot;/&gt;&lt;wsp:rsid wsp:val=&quot;00B003B5&quot;/&gt;&lt;wsp:rsid wsp:val=&quot;00B00493&quot;/&gt;&lt;wsp:rsid wsp:val=&quot;00B006EA&quot;/&gt;&lt;wsp:rsid wsp:val=&quot;00B00992&quot;/&gt;&lt;wsp:rsid wsp:val=&quot;00B00A3C&quot;/&gt;&lt;wsp:rsid wsp:val=&quot;00B00DA1&quot;/&gt;&lt;wsp:rsid wsp:val=&quot;00B00DA4&quot;/&gt;&lt;wsp:rsid wsp:val=&quot;00B00DC4&quot;/&gt;&lt;wsp:rsid wsp:val=&quot;00B0124C&quot;/&gt;&lt;wsp:rsid wsp:val=&quot;00B01375&quot;/&gt;&lt;wsp:rsid wsp:val=&quot;00B01420&quot;/&gt;&lt;wsp:rsid wsp:val=&quot;00B016D4&quot;/&gt;&lt;wsp:rsid wsp:val=&quot;00B01D43&quot;/&gt;&lt;wsp:rsid wsp:val=&quot;00B01FC6&quot;/&gt;&lt;wsp:rsid wsp:val=&quot;00B02031&quot;/&gt;&lt;wsp:rsid wsp:val=&quot;00B026F6&quot;/&gt;&lt;wsp:rsid wsp:val=&quot;00B02F28&quot;/&gt;&lt;wsp:rsid wsp:val=&quot;00B0318E&quot;/&gt;&lt;wsp:rsid wsp:val=&quot;00B033E0&quot;/&gt;&lt;wsp:rsid wsp:val=&quot;00B03510&quot;/&gt;&lt;wsp:rsid wsp:val=&quot;00B03804&quot;/&gt;&lt;wsp:rsid wsp:val=&quot;00B03DEE&quot;/&gt;&lt;wsp:rsid wsp:val=&quot;00B045D9&quot;/&gt;&lt;wsp:rsid wsp:val=&quot;00B04A0F&quot;/&gt;&lt;wsp:rsid wsp:val=&quot;00B04AE7&quot;/&gt;&lt;wsp:rsid wsp:val=&quot;00B04EEB&quot;/&gt;&lt;wsp:rsid wsp:val=&quot;00B04F2C&quot;/&gt;&lt;wsp:rsid wsp:val=&quot;00B053A9&quot;/&gt;&lt;wsp:rsid wsp:val=&quot;00B05AC4&quot;/&gt;&lt;wsp:rsid wsp:val=&quot;00B05EA9&quot;/&gt;&lt;wsp:rsid wsp:val=&quot;00B05F50&quot;/&gt;&lt;wsp:rsid wsp:val=&quot;00B0603D&quot;/&gt;&lt;wsp:rsid wsp:val=&quot;00B06108&quot;/&gt;&lt;wsp:rsid wsp:val=&quot;00B06342&quot;/&gt;&lt;wsp:rsid wsp:val=&quot;00B063E9&quot;/&gt;&lt;wsp:rsid wsp:val=&quot;00B066FE&quot;/&gt;&lt;wsp:rsid wsp:val=&quot;00B067B6&quot;/&gt;&lt;wsp:rsid wsp:val=&quot;00B069EB&quot;/&gt;&lt;wsp:rsid wsp:val=&quot;00B06D78&quot;/&gt;&lt;wsp:rsid wsp:val=&quot;00B074B7&quot;/&gt;&lt;wsp:rsid wsp:val=&quot;00B07A34&quot;/&gt;&lt;wsp:rsid wsp:val=&quot;00B07A9B&quot;/&gt;&lt;wsp:rsid wsp:val=&quot;00B07C0E&quot;/&gt;&lt;wsp:rsid wsp:val=&quot;00B101E2&quot;/&gt;&lt;wsp:rsid wsp:val=&quot;00B10273&quot;/&gt;&lt;wsp:rsid wsp:val=&quot;00B102A5&quot;/&gt;&lt;wsp:rsid wsp:val=&quot;00B10437&quot;/&gt;&lt;wsp:rsid wsp:val=&quot;00B105C4&quot;/&gt;&lt;wsp:rsid wsp:val=&quot;00B10857&quot;/&gt;&lt;wsp:rsid wsp:val=&quot;00B114AA&quot;/&gt;&lt;wsp:rsid wsp:val=&quot;00B11588&quot;/&gt;&lt;wsp:rsid wsp:val=&quot;00B11AF5&quot;/&gt;&lt;wsp:rsid wsp:val=&quot;00B11C47&quot;/&gt;&lt;wsp:rsid wsp:val=&quot;00B12253&quot;/&gt;&lt;wsp:rsid wsp:val=&quot;00B1237E&quot;/&gt;&lt;wsp:rsid wsp:val=&quot;00B12763&quot;/&gt;&lt;wsp:rsid wsp:val=&quot;00B12A63&quot;/&gt;&lt;wsp:rsid wsp:val=&quot;00B12BF1&quot;/&gt;&lt;wsp:rsid wsp:val=&quot;00B12CB5&quot;/&gt;&lt;wsp:rsid wsp:val=&quot;00B12D76&quot;/&gt;&lt;wsp:rsid wsp:val=&quot;00B12EAC&quot;/&gt;&lt;wsp:rsid wsp:val=&quot;00B13341&quot;/&gt;&lt;wsp:rsid wsp:val=&quot;00B1351D&quot;/&gt;&lt;wsp:rsid wsp:val=&quot;00B13820&quot;/&gt;&lt;wsp:rsid wsp:val=&quot;00B1420F&quot;/&gt;&lt;wsp:rsid wsp:val=&quot;00B14339&quot;/&gt;&lt;wsp:rsid wsp:val=&quot;00B1488F&quot;/&gt;&lt;wsp:rsid wsp:val=&quot;00B1495C&quot;/&gt;&lt;wsp:rsid wsp:val=&quot;00B14964&quot;/&gt;&lt;wsp:rsid wsp:val=&quot;00B14EC4&quot;/&gt;&lt;wsp:rsid wsp:val=&quot;00B14FB8&quot;/&gt;&lt;wsp:rsid wsp:val=&quot;00B150F3&quot;/&gt;&lt;wsp:rsid wsp:val=&quot;00B1542F&quot;/&gt;&lt;wsp:rsid wsp:val=&quot;00B15BB8&quot;/&gt;&lt;wsp:rsid wsp:val=&quot;00B15BD5&quot;/&gt;&lt;wsp:rsid wsp:val=&quot;00B1658C&quot;/&gt;&lt;wsp:rsid wsp:val=&quot;00B165F4&quot;/&gt;&lt;wsp:rsid wsp:val=&quot;00B16B51&quot;/&gt;&lt;wsp:rsid wsp:val=&quot;00B16CE4&quot;/&gt;&lt;wsp:rsid wsp:val=&quot;00B17267&quot;/&gt;&lt;wsp:rsid wsp:val=&quot;00B17A6F&quot;/&gt;&lt;wsp:rsid wsp:val=&quot;00B17A77&quot;/&gt;&lt;wsp:rsid wsp:val=&quot;00B17F34&quot;/&gt;&lt;wsp:rsid wsp:val=&quot;00B2037C&quot;/&gt;&lt;wsp:rsid wsp:val=&quot;00B206CE&quot;/&gt;&lt;wsp:rsid wsp:val=&quot;00B207CE&quot;/&gt;&lt;wsp:rsid wsp:val=&quot;00B207EC&quot;/&gt;&lt;wsp:rsid wsp:val=&quot;00B208ED&quot;/&gt;&lt;wsp:rsid wsp:val=&quot;00B211C4&quot;/&gt;&lt;wsp:rsid wsp:val=&quot;00B21203&quot;/&gt;&lt;wsp:rsid wsp:val=&quot;00B214B2&quot;/&gt;&lt;wsp:rsid wsp:val=&quot;00B215AA&quot;/&gt;&lt;wsp:rsid wsp:val=&quot;00B215BC&quot;/&gt;&lt;wsp:rsid wsp:val=&quot;00B21620&quot;/&gt;&lt;wsp:rsid wsp:val=&quot;00B22E8F&quot;/&gt;&lt;wsp:rsid wsp:val=&quot;00B22F40&quot;/&gt;&lt;wsp:rsid wsp:val=&quot;00B23200&quot;/&gt;&lt;wsp:rsid wsp:val=&quot;00B2379C&quot;/&gt;&lt;wsp:rsid wsp:val=&quot;00B23892&quot;/&gt;&lt;wsp:rsid wsp:val=&quot;00B23D2B&quot;/&gt;&lt;wsp:rsid wsp:val=&quot;00B246A6&quot;/&gt;&lt;wsp:rsid wsp:val=&quot;00B24E41&quot;/&gt;&lt;wsp:rsid wsp:val=&quot;00B24E66&quot;/&gt;&lt;wsp:rsid wsp:val=&quot;00B25027&quot;/&gt;&lt;wsp:rsid wsp:val=&quot;00B2582C&quot;/&gt;&lt;wsp:rsid wsp:val=&quot;00B25907&quot;/&gt;&lt;wsp:rsid wsp:val=&quot;00B264BA&quot;/&gt;&lt;wsp:rsid wsp:val=&quot;00B267C6&quot;/&gt;&lt;wsp:rsid wsp:val=&quot;00B26F46&quot;/&gt;&lt;wsp:rsid wsp:val=&quot;00B270F2&quot;/&gt;&lt;wsp:rsid wsp:val=&quot;00B271B9&quot;/&gt;&lt;wsp:rsid wsp:val=&quot;00B27380&quot;/&gt;&lt;wsp:rsid wsp:val=&quot;00B274BB&quot;/&gt;&lt;wsp:rsid wsp:val=&quot;00B27520&quot;/&gt;&lt;wsp:rsid wsp:val=&quot;00B275DE&quot;/&gt;&lt;wsp:rsid wsp:val=&quot;00B27710&quot;/&gt;&lt;wsp:rsid wsp:val=&quot;00B2772A&quot;/&gt;&lt;wsp:rsid wsp:val=&quot;00B27B90&quot;/&gt;&lt;wsp:rsid wsp:val=&quot;00B27BDA&quot;/&gt;&lt;wsp:rsid wsp:val=&quot;00B302EC&quot;/&gt;&lt;wsp:rsid wsp:val=&quot;00B304C9&quot;/&gt;&lt;wsp:rsid wsp:val=&quot;00B3096D&quot;/&gt;&lt;wsp:rsid wsp:val=&quot;00B30EC9&quot;/&gt;&lt;wsp:rsid wsp:val=&quot;00B31340&quot;/&gt;&lt;wsp:rsid wsp:val=&quot;00B316E7&quot;/&gt;&lt;wsp:rsid wsp:val=&quot;00B31A7D&quot;/&gt;&lt;wsp:rsid wsp:val=&quot;00B31B75&quot;/&gt;&lt;wsp:rsid wsp:val=&quot;00B31F3B&quot;/&gt;&lt;wsp:rsid wsp:val=&quot;00B3255B&quot;/&gt;&lt;wsp:rsid wsp:val=&quot;00B32722&quot;/&gt;&lt;wsp:rsid wsp:val=&quot;00B32901&quot;/&gt;&lt;wsp:rsid wsp:val=&quot;00B32BC4&quot;/&gt;&lt;wsp:rsid wsp:val=&quot;00B32F30&quot;/&gt;&lt;wsp:rsid wsp:val=&quot;00B334E2&quot;/&gt;&lt;wsp:rsid wsp:val=&quot;00B340D8&quot;/&gt;&lt;wsp:rsid wsp:val=&quot;00B34423&quot;/&gt;&lt;wsp:rsid wsp:val=&quot;00B345E1&quot;/&gt;&lt;wsp:rsid wsp:val=&quot;00B34696&quot;/&gt;&lt;wsp:rsid wsp:val=&quot;00B34A3A&quot;/&gt;&lt;wsp:rsid wsp:val=&quot;00B3508E&quot;/&gt;&lt;wsp:rsid wsp:val=&quot;00B35471&quot;/&gt;&lt;wsp:rsid wsp:val=&quot;00B355F7&quot;/&gt;&lt;wsp:rsid wsp:val=&quot;00B355F9&quot;/&gt;&lt;wsp:rsid wsp:val=&quot;00B357FC&quot;/&gt;&lt;wsp:rsid wsp:val=&quot;00B35891&quot;/&gt;&lt;wsp:rsid wsp:val=&quot;00B358AC&quot;/&gt;&lt;wsp:rsid wsp:val=&quot;00B358E9&quot;/&gt;&lt;wsp:rsid wsp:val=&quot;00B35CC2&quot;/&gt;&lt;wsp:rsid wsp:val=&quot;00B36659&quot;/&gt;&lt;wsp:rsid wsp:val=&quot;00B366D3&quot;/&gt;&lt;wsp:rsid wsp:val=&quot;00B3693E&quot;/&gt;&lt;wsp:rsid wsp:val=&quot;00B37158&quot;/&gt;&lt;wsp:rsid wsp:val=&quot;00B373C5&quot;/&gt;&lt;wsp:rsid wsp:val=&quot;00B373F6&quot;/&gt;&lt;wsp:rsid wsp:val=&quot;00B3753C&quot;/&gt;&lt;wsp:rsid wsp:val=&quot;00B37824&quot;/&gt;&lt;wsp:rsid wsp:val=&quot;00B379CB&quot;/&gt;&lt;wsp:rsid wsp:val=&quot;00B37AB0&quot;/&gt;&lt;wsp:rsid wsp:val=&quot;00B37B1C&quot;/&gt;&lt;wsp:rsid wsp:val=&quot;00B37D83&quot;/&gt;&lt;wsp:rsid wsp:val=&quot;00B4003F&quot;/&gt;&lt;wsp:rsid wsp:val=&quot;00B4027C&quot;/&gt;&lt;wsp:rsid wsp:val=&quot;00B405AA&quot;/&gt;&lt;wsp:rsid wsp:val=&quot;00B41129&quot;/&gt;&lt;wsp:rsid wsp:val=&quot;00B41EB7&quot;/&gt;&lt;wsp:rsid wsp:val=&quot;00B420EF&quot;/&gt;&lt;wsp:rsid wsp:val=&quot;00B4230F&quot;/&gt;&lt;wsp:rsid wsp:val=&quot;00B42619&quot;/&gt;&lt;wsp:rsid wsp:val=&quot;00B42645&quot;/&gt;&lt;wsp:rsid wsp:val=&quot;00B4304B&quot;/&gt;&lt;wsp:rsid wsp:val=&quot;00B43378&quot;/&gt;&lt;wsp:rsid wsp:val=&quot;00B4338C&quot;/&gt;&lt;wsp:rsid wsp:val=&quot;00B43BD7&quot;/&gt;&lt;wsp:rsid wsp:val=&quot;00B43C58&quot;/&gt;&lt;wsp:rsid wsp:val=&quot;00B44956&quot;/&gt;&lt;wsp:rsid wsp:val=&quot;00B4527D&quot;/&gt;&lt;wsp:rsid wsp:val=&quot;00B45F5B&quot;/&gt;&lt;wsp:rsid wsp:val=&quot;00B45F5C&quot;/&gt;&lt;wsp:rsid wsp:val=&quot;00B4613C&quot;/&gt;&lt;wsp:rsid wsp:val=&quot;00B464BF&quot;/&gt;&lt;wsp:rsid wsp:val=&quot;00B47705&quot;/&gt;&lt;wsp:rsid wsp:val=&quot;00B47ABD&quot;/&gt;&lt;wsp:rsid wsp:val=&quot;00B47AD1&quot;/&gt;&lt;wsp:rsid wsp:val=&quot;00B47CF4&quot;/&gt;&lt;wsp:rsid wsp:val=&quot;00B47D36&quot;/&gt;&lt;wsp:rsid wsp:val=&quot;00B502BB&quot;/&gt;&lt;wsp:rsid wsp:val=&quot;00B503FD&quot;/&gt;&lt;wsp:rsid wsp:val=&quot;00B50466&quot;/&gt;&lt;wsp:rsid wsp:val=&quot;00B5046F&quot;/&gt;&lt;wsp:rsid wsp:val=&quot;00B505A0&quot;/&gt;&lt;wsp:rsid wsp:val=&quot;00B5084A&quot;/&gt;&lt;wsp:rsid wsp:val=&quot;00B50D60&quot;/&gt;&lt;wsp:rsid wsp:val=&quot;00B5111F&quot;/&gt;&lt;wsp:rsid wsp:val=&quot;00B5185C&quot;/&gt;&lt;wsp:rsid wsp:val=&quot;00B51AB7&quot;/&gt;&lt;wsp:rsid wsp:val=&quot;00B5203B&quot;/&gt;&lt;wsp:rsid wsp:val=&quot;00B52188&quot;/&gt;&lt;wsp:rsid wsp:val=&quot;00B5250E&quot;/&gt;&lt;wsp:rsid wsp:val=&quot;00B5261C&quot;/&gt;&lt;wsp:rsid wsp:val=&quot;00B526AE&quot;/&gt;&lt;wsp:rsid wsp:val=&quot;00B52770&quot;/&gt;&lt;wsp:rsid wsp:val=&quot;00B52A1C&quot;/&gt;&lt;wsp:rsid wsp:val=&quot;00B52A23&quot;/&gt;&lt;wsp:rsid wsp:val=&quot;00B52B05&quot;/&gt;&lt;wsp:rsid wsp:val=&quot;00B52D02&quot;/&gt;&lt;wsp:rsid wsp:val=&quot;00B5318B&quot;/&gt;&lt;wsp:rsid wsp:val=&quot;00B531BC&quot;/&gt;&lt;wsp:rsid wsp:val=&quot;00B53482&quot;/&gt;&lt;wsp:rsid wsp:val=&quot;00B5387F&quot;/&gt;&lt;wsp:rsid wsp:val=&quot;00B5389B&quot;/&gt;&lt;wsp:rsid wsp:val=&quot;00B538F1&quot;/&gt;&lt;wsp:rsid wsp:val=&quot;00B539E7&quot;/&gt;&lt;wsp:rsid wsp:val=&quot;00B53E93&quot;/&gt;&lt;wsp:rsid wsp:val=&quot;00B54064&quot;/&gt;&lt;wsp:rsid wsp:val=&quot;00B54297&quot;/&gt;&lt;wsp:rsid wsp:val=&quot;00B546F4&quot;/&gt;&lt;wsp:rsid wsp:val=&quot;00B54741&quot;/&gt;&lt;wsp:rsid wsp:val=&quot;00B55036&quot;/&gt;&lt;wsp:rsid wsp:val=&quot;00B55249&quot;/&gt;&lt;wsp:rsid wsp:val=&quot;00B5525F&quot;/&gt;&lt;wsp:rsid wsp:val=&quot;00B55663&quot;/&gt;&lt;wsp:rsid wsp:val=&quot;00B55685&quot;/&gt;&lt;wsp:rsid wsp:val=&quot;00B55912&quot;/&gt;&lt;wsp:rsid wsp:val=&quot;00B561D6&quot;/&gt;&lt;wsp:rsid wsp:val=&quot;00B561F7&quot;/&gt;&lt;wsp:rsid wsp:val=&quot;00B5637B&quot;/&gt;&lt;wsp:rsid wsp:val=&quot;00B56DF4&quot;/&gt;&lt;wsp:rsid wsp:val=&quot;00B57213&quot;/&gt;&lt;wsp:rsid wsp:val=&quot;00B573A4&quot;/&gt;&lt;wsp:rsid wsp:val=&quot;00B5750A&quot;/&gt;&lt;wsp:rsid wsp:val=&quot;00B57E4C&quot;/&gt;&lt;wsp:rsid wsp:val=&quot;00B608C4&quot;/&gt;&lt;wsp:rsid wsp:val=&quot;00B609CB&quot;/&gt;&lt;wsp:rsid wsp:val=&quot;00B61A4B&quot;/&gt;&lt;wsp:rsid wsp:val=&quot;00B61D45&quot;/&gt;&lt;wsp:rsid wsp:val=&quot;00B621BD&quot;/&gt;&lt;wsp:rsid wsp:val=&quot;00B622DE&quot;/&gt;&lt;wsp:rsid wsp:val=&quot;00B6234B&quot;/&gt;&lt;wsp:rsid wsp:val=&quot;00B6240A&quot;/&gt;&lt;wsp:rsid wsp:val=&quot;00B6240F&quot;/&gt;&lt;wsp:rsid wsp:val=&quot;00B626C5&quot;/&gt;&lt;wsp:rsid wsp:val=&quot;00B626D5&quot;/&gt;&lt;wsp:rsid wsp:val=&quot;00B62CEE&quot;/&gt;&lt;wsp:rsid wsp:val=&quot;00B63154&quot;/&gt;&lt;wsp:rsid wsp:val=&quot;00B636AA&quot;/&gt;&lt;wsp:rsid wsp:val=&quot;00B642D8&quot;/&gt;&lt;wsp:rsid wsp:val=&quot;00B647B6&quot;/&gt;&lt;wsp:rsid wsp:val=&quot;00B64D1F&quot;/&gt;&lt;wsp:rsid wsp:val=&quot;00B64D40&quot;/&gt;&lt;wsp:rsid wsp:val=&quot;00B6520B&quot;/&gt;&lt;wsp:rsid wsp:val=&quot;00B657C0&quot;/&gt;&lt;wsp:rsid wsp:val=&quot;00B659C5&quot;/&gt;&lt;wsp:rsid wsp:val=&quot;00B66936&quot;/&gt;&lt;wsp:rsid wsp:val=&quot;00B66BE4&quot;/&gt;&lt;wsp:rsid wsp:val=&quot;00B67407&quot;/&gt;&lt;wsp:rsid wsp:val=&quot;00B674C9&quot;/&gt;&lt;wsp:rsid wsp:val=&quot;00B6750B&quot;/&gt;&lt;wsp:rsid wsp:val=&quot;00B67969&quot;/&gt;&lt;wsp:rsid wsp:val=&quot;00B7024E&quot;/&gt;&lt;wsp:rsid wsp:val=&quot;00B70395&quot;/&gt;&lt;wsp:rsid wsp:val=&quot;00B70444&quot;/&gt;&lt;wsp:rsid wsp:val=&quot;00B70C63&quot;/&gt;&lt;wsp:rsid wsp:val=&quot;00B70D4A&quot;/&gt;&lt;wsp:rsid wsp:val=&quot;00B719DC&quot;/&gt;&lt;wsp:rsid wsp:val=&quot;00B71DF4&quot;/&gt;&lt;wsp:rsid wsp:val=&quot;00B71FF8&quot;/&gt;&lt;wsp:rsid wsp:val=&quot;00B7214D&quot;/&gt;&lt;wsp:rsid wsp:val=&quot;00B7237E&quot;/&gt;&lt;wsp:rsid wsp:val=&quot;00B72491&quot;/&gt;&lt;wsp:rsid wsp:val=&quot;00B72997&quot;/&gt;&lt;wsp:rsid wsp:val=&quot;00B72B2D&quot;/&gt;&lt;wsp:rsid wsp:val=&quot;00B73379&quot;/&gt;&lt;wsp:rsid wsp:val=&quot;00B738A1&quot;/&gt;&lt;wsp:rsid wsp:val=&quot;00B73E83&quot;/&gt;&lt;wsp:rsid wsp:val=&quot;00B73F7D&quot;/&gt;&lt;wsp:rsid wsp:val=&quot;00B7404A&quot;/&gt;&lt;wsp:rsid wsp:val=&quot;00B743DB&quot;/&gt;&lt;wsp:rsid wsp:val=&quot;00B74423&quot;/&gt;&lt;wsp:rsid wsp:val=&quot;00B74642&quot;/&gt;&lt;wsp:rsid wsp:val=&quot;00B74D25&quot;/&gt;&lt;wsp:rsid wsp:val=&quot;00B7536C&quot;/&gt;&lt;wsp:rsid wsp:val=&quot;00B7552C&quot;/&gt;&lt;wsp:rsid wsp:val=&quot;00B757CF&quot;/&gt;&lt;wsp:rsid wsp:val=&quot;00B7595E&quot;/&gt;&lt;wsp:rsid wsp:val=&quot;00B75F42&quot;/&gt;&lt;wsp:rsid wsp:val=&quot;00B766BB&quot;/&gt;&lt;wsp:rsid wsp:val=&quot;00B766D1&quot;/&gt;&lt;wsp:rsid wsp:val=&quot;00B769B6&quot;/&gt;&lt;wsp:rsid wsp:val=&quot;00B76C16&quot;/&gt;&lt;wsp:rsid wsp:val=&quot;00B77226&quot;/&gt;&lt;wsp:rsid wsp:val=&quot;00B7723F&quot;/&gt;&lt;wsp:rsid wsp:val=&quot;00B77294&quot;/&gt;&lt;wsp:rsid wsp:val=&quot;00B77450&quot;/&gt;&lt;wsp:rsid wsp:val=&quot;00B776BA&quot;/&gt;&lt;wsp:rsid wsp:val=&quot;00B77C3D&quot;/&gt;&lt;wsp:rsid wsp:val=&quot;00B803FB&quot;/&gt;&lt;wsp:rsid wsp:val=&quot;00B804AA&quot;/&gt;&lt;wsp:rsid wsp:val=&quot;00B8054A&quot;/&gt;&lt;wsp:rsid wsp:val=&quot;00B8064A&quot;/&gt;&lt;wsp:rsid wsp:val=&quot;00B81830&quot;/&gt;&lt;wsp:rsid wsp:val=&quot;00B81AF0&quot;/&gt;&lt;wsp:rsid wsp:val=&quot;00B81B2D&quot;/&gt;&lt;wsp:rsid wsp:val=&quot;00B82189&quot;/&gt;&lt;wsp:rsid wsp:val=&quot;00B82335&quot;/&gt;&lt;wsp:rsid wsp:val=&quot;00B82367&quot;/&gt;&lt;wsp:rsid wsp:val=&quot;00B825BC&quot;/&gt;&lt;wsp:rsid wsp:val=&quot;00B8299B&quot;/&gt;&lt;wsp:rsid wsp:val=&quot;00B82BB6&quot;/&gt;&lt;wsp:rsid wsp:val=&quot;00B830E9&quot;/&gt;&lt;wsp:rsid wsp:val=&quot;00B8316D&quot;/&gt;&lt;wsp:rsid wsp:val=&quot;00B83687&quot;/&gt;&lt;wsp:rsid wsp:val=&quot;00B83B40&quot;/&gt;&lt;wsp:rsid wsp:val=&quot;00B83E28&quot;/&gt;&lt;wsp:rsid wsp:val=&quot;00B8416F&quot;/&gt;&lt;wsp:rsid wsp:val=&quot;00B84482&quot;/&gt;&lt;wsp:rsid wsp:val=&quot;00B845CB&quot;/&gt;&lt;wsp:rsid wsp:val=&quot;00B8472E&quot;/&gt;&lt;wsp:rsid wsp:val=&quot;00B84801&quot;/&gt;&lt;wsp:rsid wsp:val=&quot;00B8506F&quot;/&gt;&lt;wsp:rsid wsp:val=&quot;00B85311&quot;/&gt;&lt;wsp:rsid wsp:val=&quot;00B859FF&quot;/&gt;&lt;wsp:rsid wsp:val=&quot;00B85A40&quot;/&gt;&lt;wsp:rsid wsp:val=&quot;00B85B95&quot;/&gt;&lt;wsp:rsid wsp:val=&quot;00B85DAE&quot;/&gt;&lt;wsp:rsid wsp:val=&quot;00B85DF7&quot;/&gt;&lt;wsp:rsid wsp:val=&quot;00B85FDF&quot;/&gt;&lt;wsp:rsid wsp:val=&quot;00B86233&quot;/&gt;&lt;wsp:rsid wsp:val=&quot;00B868D1&quot;/&gt;&lt;wsp:rsid wsp:val=&quot;00B870B9&quot;/&gt;&lt;wsp:rsid wsp:val=&quot;00B87548&quot;/&gt;&lt;wsp:rsid wsp:val=&quot;00B87808&quot;/&gt;&lt;wsp:rsid wsp:val=&quot;00B87C05&quot;/&gt;&lt;wsp:rsid wsp:val=&quot;00B87FF0&quot;/&gt;&lt;wsp:rsid wsp:val=&quot;00B90186&quot;/&gt;&lt;wsp:rsid wsp:val=&quot;00B90220&quot;/&gt;&lt;wsp:rsid wsp:val=&quot;00B9055C&quot;/&gt;&lt;wsp:rsid wsp:val=&quot;00B90A24&quot;/&gt;&lt;wsp:rsid wsp:val=&quot;00B90AFB&quot;/&gt;&lt;wsp:rsid wsp:val=&quot;00B91017&quot;/&gt;&lt;wsp:rsid wsp:val=&quot;00B91019&quot;/&gt;&lt;wsp:rsid wsp:val=&quot;00B91898&quot;/&gt;&lt;wsp:rsid wsp:val=&quot;00B91D43&quot;/&gt;&lt;wsp:rsid wsp:val=&quot;00B91FFC&quot;/&gt;&lt;wsp:rsid wsp:val=&quot;00B922CF&quot;/&gt;&lt;wsp:rsid wsp:val=&quot;00B9259B&quot;/&gt;&lt;wsp:rsid wsp:val=&quot;00B925A4&quot;/&gt;&lt;wsp:rsid wsp:val=&quot;00B92867&quot;/&gt;&lt;wsp:rsid wsp:val=&quot;00B92C8B&quot;/&gt;&lt;wsp:rsid wsp:val=&quot;00B92CE3&quot;/&gt;&lt;wsp:rsid wsp:val=&quot;00B92EDF&quot;/&gt;&lt;wsp:rsid wsp:val=&quot;00B933ED&quot;/&gt;&lt;wsp:rsid wsp:val=&quot;00B9374D&quot;/&gt;&lt;wsp:rsid wsp:val=&quot;00B939BE&quot;/&gt;&lt;wsp:rsid wsp:val=&quot;00B93A53&quot;/&gt;&lt;wsp:rsid wsp:val=&quot;00B93E91&quot;/&gt;&lt;wsp:rsid wsp:val=&quot;00B94416&quot;/&gt;&lt;wsp:rsid wsp:val=&quot;00B945F6&quot;/&gt;&lt;wsp:rsid wsp:val=&quot;00B9494F&quot;/&gt;&lt;wsp:rsid wsp:val=&quot;00B949CD&quot;/&gt;&lt;wsp:rsid wsp:val=&quot;00B94DD4&quot;/&gt;&lt;wsp:rsid wsp:val=&quot;00B957E1&quot;/&gt;&lt;wsp:rsid wsp:val=&quot;00B95A70&quot;/&gt;&lt;wsp:rsid wsp:val=&quot;00B95F0E&quot;/&gt;&lt;wsp:rsid wsp:val=&quot;00B96800&quot;/&gt;&lt;wsp:rsid wsp:val=&quot;00B96DC9&quot;/&gt;&lt;wsp:rsid wsp:val=&quot;00B96EA0&quot;/&gt;&lt;wsp:rsid wsp:val=&quot;00B972E9&quot;/&gt;&lt;wsp:rsid wsp:val=&quot;00BA00D0&quot;/&gt;&lt;wsp:rsid wsp:val=&quot;00BA0219&quot;/&gt;&lt;wsp:rsid wsp:val=&quot;00BA0229&quot;/&gt;&lt;wsp:rsid wsp:val=&quot;00BA0362&quot;/&gt;&lt;wsp:rsid wsp:val=&quot;00BA0611&quot;/&gt;&lt;wsp:rsid wsp:val=&quot;00BA0A56&quot;/&gt;&lt;wsp:rsid wsp:val=&quot;00BA149A&quot;/&gt;&lt;wsp:rsid wsp:val=&quot;00BA162E&quot;/&gt;&lt;wsp:rsid wsp:val=&quot;00BA178A&quot;/&gt;&lt;wsp:rsid wsp:val=&quot;00BA2D52&quot;/&gt;&lt;wsp:rsid wsp:val=&quot;00BA2D5D&quot;/&gt;&lt;wsp:rsid wsp:val=&quot;00BA3151&quot;/&gt;&lt;wsp:rsid wsp:val=&quot;00BA34EC&quot;/&gt;&lt;wsp:rsid wsp:val=&quot;00BA38D3&quot;/&gt;&lt;wsp:rsid wsp:val=&quot;00BA3DB2&quot;/&gt;&lt;wsp:rsid wsp:val=&quot;00BA3E49&quot;/&gt;&lt;wsp:rsid wsp:val=&quot;00BA43FA&quot;/&gt;&lt;wsp:rsid wsp:val=&quot;00BA4C42&quot;/&gt;&lt;wsp:rsid wsp:val=&quot;00BA4D6A&quot;/&gt;&lt;wsp:rsid wsp:val=&quot;00BA5CA8&quot;/&gt;&lt;wsp:rsid wsp:val=&quot;00BA5DFF&quot;/&gt;&lt;wsp:rsid wsp:val=&quot;00BA5FEF&quot;/&gt;&lt;wsp:rsid wsp:val=&quot;00BA61E1&quot;/&gt;&lt;wsp:rsid wsp:val=&quot;00BA63A1&quot;/&gt;&lt;wsp:rsid wsp:val=&quot;00BA683E&quot;/&gt;&lt;wsp:rsid wsp:val=&quot;00BA68F0&quot;/&gt;&lt;wsp:rsid wsp:val=&quot;00BA6BF0&quot;/&gt;&lt;wsp:rsid wsp:val=&quot;00BA6EF9&quot;/&gt;&lt;wsp:rsid wsp:val=&quot;00BA6FA4&quot;/&gt;&lt;wsp:rsid wsp:val=&quot;00BA7546&quot;/&gt;&lt;wsp:rsid wsp:val=&quot;00BA7725&quot;/&gt;&lt;wsp:rsid wsp:val=&quot;00BA7AD3&quot;/&gt;&lt;wsp:rsid wsp:val=&quot;00BA7FCF&quot;/&gt;&lt;wsp:rsid wsp:val=&quot;00BB022C&quot;/&gt;&lt;wsp:rsid wsp:val=&quot;00BB06E2&quot;/&gt;&lt;wsp:rsid wsp:val=&quot;00BB0DAB&quot;/&gt;&lt;wsp:rsid wsp:val=&quot;00BB167D&quot;/&gt;&lt;wsp:rsid wsp:val=&quot;00BB2025&quot;/&gt;&lt;wsp:rsid wsp:val=&quot;00BB2060&quot;/&gt;&lt;wsp:rsid wsp:val=&quot;00BB20A4&quot;/&gt;&lt;wsp:rsid wsp:val=&quot;00BB2AF6&quot;/&gt;&lt;wsp:rsid wsp:val=&quot;00BB2FFB&quot;/&gt;&lt;wsp:rsid wsp:val=&quot;00BB311C&quot;/&gt;&lt;wsp:rsid wsp:val=&quot;00BB337E&quot;/&gt;&lt;wsp:rsid wsp:val=&quot;00BB34A9&quot;/&gt;&lt;wsp:rsid wsp:val=&quot;00BB350E&quot;/&gt;&lt;wsp:rsid wsp:val=&quot;00BB36C0&quot;/&gt;&lt;wsp:rsid wsp:val=&quot;00BB3A28&quot;/&gt;&lt;wsp:rsid wsp:val=&quot;00BB3B2D&quot;/&gt;&lt;wsp:rsid wsp:val=&quot;00BB409B&quot;/&gt;&lt;wsp:rsid wsp:val=&quot;00BB40BB&quot;/&gt;&lt;wsp:rsid wsp:val=&quot;00BB4189&quot;/&gt;&lt;wsp:rsid wsp:val=&quot;00BB42C2&quot;/&gt;&lt;wsp:rsid wsp:val=&quot;00BB4456&quot;/&gt;&lt;wsp:rsid wsp:val=&quot;00BB44E6&quot;/&gt;&lt;wsp:rsid wsp:val=&quot;00BB4C96&quot;/&gt;&lt;wsp:rsid wsp:val=&quot;00BB4FFB&quot;/&gt;&lt;wsp:rsid wsp:val=&quot;00BB50AC&quot;/&gt;&lt;wsp:rsid wsp:val=&quot;00BB5B79&quot;/&gt;&lt;wsp:rsid wsp:val=&quot;00BB5B9B&quot;/&gt;&lt;wsp:rsid wsp:val=&quot;00BB5C44&quot;/&gt;&lt;wsp:rsid wsp:val=&quot;00BB5F33&quot;/&gt;&lt;wsp:rsid wsp:val=&quot;00BB6048&quot;/&gt;&lt;wsp:rsid wsp:val=&quot;00BB61AC&quot;/&gt;&lt;wsp:rsid wsp:val=&quot;00BB6470&quot;/&gt;&lt;wsp:rsid wsp:val=&quot;00BB6844&quot;/&gt;&lt;wsp:rsid wsp:val=&quot;00BB6956&quot;/&gt;&lt;wsp:rsid wsp:val=&quot;00BB6A39&quot;/&gt;&lt;wsp:rsid wsp:val=&quot;00BB6A44&quot;/&gt;&lt;wsp:rsid wsp:val=&quot;00BB6A93&quot;/&gt;&lt;wsp:rsid wsp:val=&quot;00BB6D27&quot;/&gt;&lt;wsp:rsid wsp:val=&quot;00BB74DB&quot;/&gt;&lt;wsp:rsid wsp:val=&quot;00BB757B&quot;/&gt;&lt;wsp:rsid wsp:val=&quot;00BB77E4&quot;/&gt;&lt;wsp:rsid wsp:val=&quot;00BB782C&quot;/&gt;&lt;wsp:rsid wsp:val=&quot;00BB786D&quot;/&gt;&lt;wsp:rsid wsp:val=&quot;00BB7993&quot;/&gt;&lt;wsp:rsid wsp:val=&quot;00BB7B40&quot;/&gt;&lt;wsp:rsid wsp:val=&quot;00BB7C66&quot;/&gt;&lt;wsp:rsid wsp:val=&quot;00BC0314&quot;/&gt;&lt;wsp:rsid wsp:val=&quot;00BC05B3&quot;/&gt;&lt;wsp:rsid wsp:val=&quot;00BC073A&quot;/&gt;&lt;wsp:rsid wsp:val=&quot;00BC0F9C&quot;/&gt;&lt;wsp:rsid wsp:val=&quot;00BC106A&quot;/&gt;&lt;wsp:rsid wsp:val=&quot;00BC12BA&quot;/&gt;&lt;wsp:rsid wsp:val=&quot;00BC13B7&quot;/&gt;&lt;wsp:rsid wsp:val=&quot;00BC1604&quot;/&gt;&lt;wsp:rsid wsp:val=&quot;00BC1A09&quot;/&gt;&lt;wsp:rsid wsp:val=&quot;00BC1A9E&quot;/&gt;&lt;wsp:rsid wsp:val=&quot;00BC21DC&quot;/&gt;&lt;wsp:rsid wsp:val=&quot;00BC26BD&quot;/&gt;&lt;wsp:rsid wsp:val=&quot;00BC2834&quot;/&gt;&lt;wsp:rsid wsp:val=&quot;00BC2EB8&quot;/&gt;&lt;wsp:rsid wsp:val=&quot;00BC3404&quot;/&gt;&lt;wsp:rsid wsp:val=&quot;00BC34B3&quot;/&gt;&lt;wsp:rsid wsp:val=&quot;00BC37BB&quot;/&gt;&lt;wsp:rsid wsp:val=&quot;00BC37ED&quot;/&gt;&lt;wsp:rsid wsp:val=&quot;00BC3E79&quot;/&gt;&lt;wsp:rsid wsp:val=&quot;00BC3F4F&quot;/&gt;&lt;wsp:rsid wsp:val=&quot;00BC402B&quot;/&gt;&lt;wsp:rsid wsp:val=&quot;00BC40C2&quot;/&gt;&lt;wsp:rsid wsp:val=&quot;00BC4464&quot;/&gt;&lt;wsp:rsid wsp:val=&quot;00BC4A1C&quot;/&gt;&lt;wsp:rsid wsp:val=&quot;00BC4A5E&quot;/&gt;&lt;wsp:rsid wsp:val=&quot;00BC4CDE&quot;/&gt;&lt;wsp:rsid wsp:val=&quot;00BC4F0F&quot;/&gt;&lt;wsp:rsid wsp:val=&quot;00BC4F86&quot;/&gt;&lt;wsp:rsid wsp:val=&quot;00BC5197&quot;/&gt;&lt;wsp:rsid wsp:val=&quot;00BC51DE&quot;/&gt;&lt;wsp:rsid wsp:val=&quot;00BC569F&quot;/&gt;&lt;wsp:rsid wsp:val=&quot;00BC59F6&quot;/&gt;&lt;wsp:rsid wsp:val=&quot;00BC5B02&quot;/&gt;&lt;wsp:rsid wsp:val=&quot;00BC5E6B&quot;/&gt;&lt;wsp:rsid wsp:val=&quot;00BC645D&quot;/&gt;&lt;wsp:rsid wsp:val=&quot;00BC689E&quot;/&gt;&lt;wsp:rsid wsp:val=&quot;00BC6E57&quot;/&gt;&lt;wsp:rsid wsp:val=&quot;00BC6FF0&quot;/&gt;&lt;wsp:rsid wsp:val=&quot;00BC7003&quot;/&gt;&lt;wsp:rsid wsp:val=&quot;00BC72DF&quot;/&gt;&lt;wsp:rsid wsp:val=&quot;00BC7514&quot;/&gt;&lt;wsp:rsid wsp:val=&quot;00BC7A8A&quot;/&gt;&lt;wsp:rsid wsp:val=&quot;00BC7E36&quot;/&gt;&lt;wsp:rsid wsp:val=&quot;00BD0239&quot;/&gt;&lt;wsp:rsid wsp:val=&quot;00BD028C&quot;/&gt;&lt;wsp:rsid wsp:val=&quot;00BD0665&quot;/&gt;&lt;wsp:rsid wsp:val=&quot;00BD07EF&quot;/&gt;&lt;wsp:rsid wsp:val=&quot;00BD07F5&quot;/&gt;&lt;wsp:rsid wsp:val=&quot;00BD0E05&quot;/&gt;&lt;wsp:rsid wsp:val=&quot;00BD0EC3&quot;/&gt;&lt;wsp:rsid wsp:val=&quot;00BD1044&quot;/&gt;&lt;wsp:rsid wsp:val=&quot;00BD1408&quot;/&gt;&lt;wsp:rsid wsp:val=&quot;00BD15C5&quot;/&gt;&lt;wsp:rsid wsp:val=&quot;00BD16AD&quot;/&gt;&lt;wsp:rsid wsp:val=&quot;00BD183E&quot;/&gt;&lt;wsp:rsid wsp:val=&quot;00BD1966&quot;/&gt;&lt;wsp:rsid wsp:val=&quot;00BD19F8&quot;/&gt;&lt;wsp:rsid wsp:val=&quot;00BD21EF&quot;/&gt;&lt;wsp:rsid wsp:val=&quot;00BD2722&quot;/&gt;&lt;wsp:rsid wsp:val=&quot;00BD290B&quot;/&gt;&lt;wsp:rsid wsp:val=&quot;00BD2A30&quot;/&gt;&lt;wsp:rsid wsp:val=&quot;00BD2C67&quot;/&gt;&lt;wsp:rsid wsp:val=&quot;00BD319D&quot;/&gt;&lt;wsp:rsid wsp:val=&quot;00BD3B1A&quot;/&gt;&lt;wsp:rsid wsp:val=&quot;00BD3CC7&quot;/&gt;&lt;wsp:rsid wsp:val=&quot;00BD47CB&quot;/&gt;&lt;wsp:rsid wsp:val=&quot;00BD4986&quot;/&gt;&lt;wsp:rsid wsp:val=&quot;00BD4A06&quot;/&gt;&lt;wsp:rsid wsp:val=&quot;00BD4D4D&quot;/&gt;&lt;wsp:rsid wsp:val=&quot;00BD4F72&quot;/&gt;&lt;wsp:rsid wsp:val=&quot;00BD5117&quot;/&gt;&lt;wsp:rsid wsp:val=&quot;00BD52AB&quot;/&gt;&lt;wsp:rsid wsp:val=&quot;00BD5483&quot;/&gt;&lt;wsp:rsid wsp:val=&quot;00BD5626&quot;/&gt;&lt;wsp:rsid wsp:val=&quot;00BD57FD&quot;/&gt;&lt;wsp:rsid wsp:val=&quot;00BD5E7B&quot;/&gt;&lt;wsp:rsid wsp:val=&quot;00BD67E2&quot;/&gt;&lt;wsp:rsid wsp:val=&quot;00BD6DBD&quot;/&gt;&lt;wsp:rsid wsp:val=&quot;00BD6E04&quot;/&gt;&lt;wsp:rsid wsp:val=&quot;00BD73E0&quot;/&gt;&lt;wsp:rsid wsp:val=&quot;00BD746B&quot;/&gt;&lt;wsp:rsid wsp:val=&quot;00BD7971&quot;/&gt;&lt;wsp:rsid wsp:val=&quot;00BD7A89&quot;/&gt;&lt;wsp:rsid wsp:val=&quot;00BD7AB5&quot;/&gt;&lt;wsp:rsid wsp:val=&quot;00BD7C5B&quot;/&gt;&lt;wsp:rsid wsp:val=&quot;00BD7CEE&quot;/&gt;&lt;wsp:rsid wsp:val=&quot;00BD7D8E&quot;/&gt;&lt;wsp:rsid wsp:val=&quot;00BE0028&quot;/&gt;&lt;wsp:rsid wsp:val=&quot;00BE06B0&quot;/&gt;&lt;wsp:rsid wsp:val=&quot;00BE06D9&quot;/&gt;&lt;wsp:rsid wsp:val=&quot;00BE09AD&quot;/&gt;&lt;wsp:rsid wsp:val=&quot;00BE0B76&quot;/&gt;&lt;wsp:rsid wsp:val=&quot;00BE18A5&quot;/&gt;&lt;wsp:rsid wsp:val=&quot;00BE19E5&quot;/&gt;&lt;wsp:rsid wsp:val=&quot;00BE1DE4&quot;/&gt;&lt;wsp:rsid wsp:val=&quot;00BE1F06&quot;/&gt;&lt;wsp:rsid wsp:val=&quot;00BE1FDE&quot;/&gt;&lt;wsp:rsid wsp:val=&quot;00BE24B8&quot;/&gt;&lt;wsp:rsid wsp:val=&quot;00BE2516&quot;/&gt;&lt;wsp:rsid wsp:val=&quot;00BE2676&quot;/&gt;&lt;wsp:rsid wsp:val=&quot;00BE27F3&quot;/&gt;&lt;wsp:rsid wsp:val=&quot;00BE2B0C&quot;/&gt;&lt;wsp:rsid wsp:val=&quot;00BE2E84&quot;/&gt;&lt;wsp:rsid wsp:val=&quot;00BE2FC2&quot;/&gt;&lt;wsp:rsid wsp:val=&quot;00BE303E&quot;/&gt;&lt;wsp:rsid wsp:val=&quot;00BE333D&quot;/&gt;&lt;wsp:rsid wsp:val=&quot;00BE3465&quot;/&gt;&lt;wsp:rsid wsp:val=&quot;00BE4325&quot;/&gt;&lt;wsp:rsid wsp:val=&quot;00BE52FA&quot;/&gt;&lt;wsp:rsid wsp:val=&quot;00BE5611&quot;/&gt;&lt;wsp:rsid wsp:val=&quot;00BE56AA&quot;/&gt;&lt;wsp:rsid wsp:val=&quot;00BE56CB&quot;/&gt;&lt;wsp:rsid wsp:val=&quot;00BE58B2&quot;/&gt;&lt;wsp:rsid wsp:val=&quot;00BE6197&quot;/&gt;&lt;wsp:rsid wsp:val=&quot;00BE6510&quot;/&gt;&lt;wsp:rsid wsp:val=&quot;00BE6562&quot;/&gt;&lt;wsp:rsid wsp:val=&quot;00BE6B39&quot;/&gt;&lt;wsp:rsid wsp:val=&quot;00BE6C2F&quot;/&gt;&lt;wsp:rsid wsp:val=&quot;00BE6CE0&quot;/&gt;&lt;wsp:rsid wsp:val=&quot;00BE712C&quot;/&gt;&lt;wsp:rsid wsp:val=&quot;00BE75E1&quot;/&gt;&lt;wsp:rsid wsp:val=&quot;00BE76C2&quot;/&gt;&lt;wsp:rsid wsp:val=&quot;00BE785F&quot;/&gt;&lt;wsp:rsid wsp:val=&quot;00BE78BC&quot;/&gt;&lt;wsp:rsid wsp:val=&quot;00BE7C9B&quot;/&gt;&lt;wsp:rsid wsp:val=&quot;00BF00BE&quot;/&gt;&lt;wsp:rsid wsp:val=&quot;00BF018E&quot;/&gt;&lt;wsp:rsid wsp:val=&quot;00BF04F4&quot;/&gt;&lt;wsp:rsid wsp:val=&quot;00BF07C9&quot;/&gt;&lt;wsp:rsid wsp:val=&quot;00BF092E&quot;/&gt;&lt;wsp:rsid wsp:val=&quot;00BF0D10&quot;/&gt;&lt;wsp:rsid wsp:val=&quot;00BF0E67&quot;/&gt;&lt;wsp:rsid wsp:val=&quot;00BF0F6C&quot;/&gt;&lt;wsp:rsid wsp:val=&quot;00BF14A4&quot;/&gt;&lt;wsp:rsid wsp:val=&quot;00BF1503&quot;/&gt;&lt;wsp:rsid wsp:val=&quot;00BF1995&quot;/&gt;&lt;wsp:rsid wsp:val=&quot;00BF20B3&quot;/&gt;&lt;wsp:rsid wsp:val=&quot;00BF2226&quot;/&gt;&lt;wsp:rsid wsp:val=&quot;00BF2A9A&quot;/&gt;&lt;wsp:rsid wsp:val=&quot;00BF3C18&quot;/&gt;&lt;wsp:rsid wsp:val=&quot;00BF4105&quot;/&gt;&lt;wsp:rsid wsp:val=&quot;00BF418D&quot;/&gt;&lt;wsp:rsid wsp:val=&quot;00BF452F&quot;/&gt;&lt;wsp:rsid wsp:val=&quot;00BF456D&quot;/&gt;&lt;wsp:rsid wsp:val=&quot;00BF55FF&quot;/&gt;&lt;wsp:rsid wsp:val=&quot;00BF571A&quot;/&gt;&lt;wsp:rsid wsp:val=&quot;00BF5A3A&quot;/&gt;&lt;wsp:rsid wsp:val=&quot;00BF5B6E&quot;/&gt;&lt;wsp:rsid wsp:val=&quot;00BF5D51&quot;/&gt;&lt;wsp:rsid wsp:val=&quot;00BF5FB4&quot;/&gt;&lt;wsp:rsid wsp:val=&quot;00BF6487&quot;/&gt;&lt;wsp:rsid wsp:val=&quot;00BF6693&quot;/&gt;&lt;wsp:rsid wsp:val=&quot;00BF66D7&quot;/&gt;&lt;wsp:rsid wsp:val=&quot;00BF6AF7&quot;/&gt;&lt;wsp:rsid wsp:val=&quot;00BF6D3E&quot;/&gt;&lt;wsp:rsid wsp:val=&quot;00BF6F1F&quot;/&gt;&lt;wsp:rsid wsp:val=&quot;00BF7145&quot;/&gt;&lt;wsp:rsid wsp:val=&quot;00BF7221&quot;/&gt;&lt;wsp:rsid wsp:val=&quot;00BF7B8D&quot;/&gt;&lt;wsp:rsid wsp:val=&quot;00BF7EAE&quot;/&gt;&lt;wsp:rsid wsp:val=&quot;00C00180&quot;/&gt;&lt;wsp:rsid wsp:val=&quot;00C002A6&quot;/&gt;&lt;wsp:rsid wsp:val=&quot;00C0040F&quot;/&gt;&lt;wsp:rsid wsp:val=&quot;00C00B97&quot;/&gt;&lt;wsp:rsid wsp:val=&quot;00C00ED8&quot;/&gt;&lt;wsp:rsid wsp:val=&quot;00C011B7&quot;/&gt;&lt;wsp:rsid wsp:val=&quot;00C01350&quot;/&gt;&lt;wsp:rsid wsp:val=&quot;00C017BB&quot;/&gt;&lt;wsp:rsid wsp:val=&quot;00C01DB8&quot;/&gt;&lt;wsp:rsid wsp:val=&quot;00C01E51&quot;/&gt;&lt;wsp:rsid wsp:val=&quot;00C01F8C&quot;/&gt;&lt;wsp:rsid wsp:val=&quot;00C0200B&quot;/&gt;&lt;wsp:rsid wsp:val=&quot;00C020FC&quot;/&gt;&lt;wsp:rsid wsp:val=&quot;00C02143&quot;/&gt;&lt;wsp:rsid wsp:val=&quot;00C02566&quot;/&gt;&lt;wsp:rsid wsp:val=&quot;00C02775&quot;/&gt;&lt;wsp:rsid wsp:val=&quot;00C02AB4&quot;/&gt;&lt;wsp:rsid wsp:val=&quot;00C02B6E&quot;/&gt;&lt;wsp:rsid wsp:val=&quot;00C02C7F&quot;/&gt;&lt;wsp:rsid wsp:val=&quot;00C02FC6&quot;/&gt;&lt;wsp:rsid wsp:val=&quot;00C03236&quot;/&gt;&lt;wsp:rsid wsp:val=&quot;00C03A12&quot;/&gt;&lt;wsp:rsid wsp:val=&quot;00C03E02&quot;/&gt;&lt;wsp:rsid wsp:val=&quot;00C03F80&quot;/&gt;&lt;wsp:rsid wsp:val=&quot;00C04424&quot;/&gt;&lt;wsp:rsid wsp:val=&quot;00C0453D&quot;/&gt;&lt;wsp:rsid wsp:val=&quot;00C05095&quot;/&gt;&lt;wsp:rsid wsp:val=&quot;00C05A2D&quot;/&gt;&lt;wsp:rsid wsp:val=&quot;00C05D31&quot;/&gt;&lt;wsp:rsid wsp:val=&quot;00C05E10&quot;/&gt;&lt;wsp:rsid wsp:val=&quot;00C060E2&quot;/&gt;&lt;wsp:rsid wsp:val=&quot;00C06660&quot;/&gt;&lt;wsp:rsid wsp:val=&quot;00C0691F&quot;/&gt;&lt;wsp:rsid wsp:val=&quot;00C06953&quot;/&gt;&lt;wsp:rsid wsp:val=&quot;00C06CC3&quot;/&gt;&lt;wsp:rsid wsp:val=&quot;00C06DF9&quot;/&gt;&lt;wsp:rsid wsp:val=&quot;00C06FB3&quot;/&gt;&lt;wsp:rsid wsp:val=&quot;00C070C3&quot;/&gt;&lt;wsp:rsid wsp:val=&quot;00C078EE&quot;/&gt;&lt;wsp:rsid wsp:val=&quot;00C07BC7&quot;/&gt;&lt;wsp:rsid wsp:val=&quot;00C10240&quot;/&gt;&lt;wsp:rsid wsp:val=&quot;00C102D6&quot;/&gt;&lt;wsp:rsid wsp:val=&quot;00C104EA&quot;/&gt;&lt;wsp:rsid wsp:val=&quot;00C10512&quot;/&gt;&lt;wsp:rsid wsp:val=&quot;00C10BF8&quot;/&gt;&lt;wsp:rsid wsp:val=&quot;00C10D7B&quot;/&gt;&lt;wsp:rsid wsp:val=&quot;00C10F49&quot;/&gt;&lt;wsp:rsid wsp:val=&quot;00C11443&quot;/&gt;&lt;wsp:rsid wsp:val=&quot;00C11555&quot;/&gt;&lt;wsp:rsid wsp:val=&quot;00C1180F&quot;/&gt;&lt;wsp:rsid wsp:val=&quot;00C11BE8&quot;/&gt;&lt;wsp:rsid wsp:val=&quot;00C11EA5&quot;/&gt;&lt;wsp:rsid wsp:val=&quot;00C11F74&quot;/&gt;&lt;wsp:rsid wsp:val=&quot;00C129E9&quot;/&gt;&lt;wsp:rsid wsp:val=&quot;00C12C11&quot;/&gt;&lt;wsp:rsid wsp:val=&quot;00C12C97&quot;/&gt;&lt;wsp:rsid wsp:val=&quot;00C13509&quot;/&gt;&lt;wsp:rsid wsp:val=&quot;00C13555&quot;/&gt;&lt;wsp:rsid wsp:val=&quot;00C135A5&quot;/&gt;&lt;wsp:rsid wsp:val=&quot;00C137B3&quot;/&gt;&lt;wsp:rsid wsp:val=&quot;00C13AE6&quot;/&gt;&lt;wsp:rsid wsp:val=&quot;00C13EEF&quot;/&gt;&lt;wsp:rsid wsp:val=&quot;00C14134&quot;/&gt;&lt;wsp:rsid wsp:val=&quot;00C1486A&quot;/&gt;&lt;wsp:rsid wsp:val=&quot;00C14D0F&quot;/&gt;&lt;wsp:rsid wsp:val=&quot;00C150B0&quot;/&gt;&lt;wsp:rsid wsp:val=&quot;00C152AF&quot;/&gt;&lt;wsp:rsid wsp:val=&quot;00C15325&quot;/&gt;&lt;wsp:rsid wsp:val=&quot;00C15977&quot;/&gt;&lt;wsp:rsid wsp:val=&quot;00C15C67&quot;/&gt;&lt;wsp:rsid wsp:val=&quot;00C15EE9&quot;/&gt;&lt;wsp:rsid wsp:val=&quot;00C15F3E&quot;/&gt;&lt;wsp:rsid wsp:val=&quot;00C162BB&quot;/&gt;&lt;wsp:rsid wsp:val=&quot;00C1648E&quot;/&gt;&lt;wsp:rsid wsp:val=&quot;00C16B62&quot;/&gt;&lt;wsp:rsid wsp:val=&quot;00C16CD0&quot;/&gt;&lt;wsp:rsid wsp:val=&quot;00C16D8C&quot;/&gt;&lt;wsp:rsid wsp:val=&quot;00C1711A&quot;/&gt;&lt;wsp:rsid wsp:val=&quot;00C174BB&quot;/&gt;&lt;wsp:rsid wsp:val=&quot;00C17BF1&quot;/&gt;&lt;wsp:rsid wsp:val=&quot;00C17C09&quot;/&gt;&lt;wsp:rsid wsp:val=&quot;00C20128&quot;/&gt;&lt;wsp:rsid wsp:val=&quot;00C201C6&quot;/&gt;&lt;wsp:rsid wsp:val=&quot;00C20663&quot;/&gt;&lt;wsp:rsid wsp:val=&quot;00C208B3&quot;/&gt;&lt;wsp:rsid wsp:val=&quot;00C20A81&quot;/&gt;&lt;wsp:rsid wsp:val=&quot;00C20C04&quot;/&gt;&lt;wsp:rsid wsp:val=&quot;00C213C5&quot;/&gt;&lt;wsp:rsid wsp:val=&quot;00C2147C&quot;/&gt;&lt;wsp:rsid wsp:val=&quot;00C21867&quot;/&gt;&lt;wsp:rsid wsp:val=&quot;00C21BF0&quot;/&gt;&lt;wsp:rsid wsp:val=&quot;00C21CA2&quot;/&gt;&lt;wsp:rsid wsp:val=&quot;00C21FB6&quot;/&gt;&lt;wsp:rsid wsp:val=&quot;00C220D9&quot;/&gt;&lt;wsp:rsid wsp:val=&quot;00C22109&quot;/&gt;&lt;wsp:rsid wsp:val=&quot;00C22165&quot;/&gt;&lt;wsp:rsid wsp:val=&quot;00C22178&quot;/&gt;&lt;wsp:rsid wsp:val=&quot;00C22628&quot;/&gt;&lt;wsp:rsid wsp:val=&quot;00C22699&quot;/&gt;&lt;wsp:rsid wsp:val=&quot;00C2292E&quot;/&gt;&lt;wsp:rsid wsp:val=&quot;00C22AA2&quot;/&gt;&lt;wsp:rsid wsp:val=&quot;00C22F8E&quot;/&gt;&lt;wsp:rsid wsp:val=&quot;00C23063&quot;/&gt;&lt;wsp:rsid wsp:val=&quot;00C236A3&quot;/&gt;&lt;wsp:rsid wsp:val=&quot;00C236BB&quot;/&gt;&lt;wsp:rsid wsp:val=&quot;00C23703&quot;/&gt;&lt;wsp:rsid wsp:val=&quot;00C239A2&quot;/&gt;&lt;wsp:rsid wsp:val=&quot;00C23EA5&quot;/&gt;&lt;wsp:rsid wsp:val=&quot;00C23EFC&quot;/&gt;&lt;wsp:rsid wsp:val=&quot;00C23F8F&quot;/&gt;&lt;wsp:rsid wsp:val=&quot;00C24301&quot;/&gt;&lt;wsp:rsid wsp:val=&quot;00C244F8&quot;/&gt;&lt;wsp:rsid wsp:val=&quot;00C24626&quot;/&gt;&lt;wsp:rsid wsp:val=&quot;00C24A64&quot;/&gt;&lt;wsp:rsid wsp:val=&quot;00C24E2A&quot;/&gt;&lt;wsp:rsid wsp:val=&quot;00C24E2B&quot;/&gt;&lt;wsp:rsid wsp:val=&quot;00C24F63&quot;/&gt;&lt;wsp:rsid wsp:val=&quot;00C250B1&quot;/&gt;&lt;wsp:rsid wsp:val=&quot;00C2586A&quot;/&gt;&lt;wsp:rsid wsp:val=&quot;00C25936&quot;/&gt;&lt;wsp:rsid wsp:val=&quot;00C25DE7&quot;/&gt;&lt;wsp:rsid wsp:val=&quot;00C260AE&quot;/&gt;&lt;wsp:rsid wsp:val=&quot;00C26418&quot;/&gt;&lt;wsp:rsid wsp:val=&quot;00C267CE&quot;/&gt;&lt;wsp:rsid wsp:val=&quot;00C27C00&quot;/&gt;&lt;wsp:rsid wsp:val=&quot;00C3012D&quot;/&gt;&lt;wsp:rsid wsp:val=&quot;00C309C4&quot;/&gt;&lt;wsp:rsid wsp:val=&quot;00C30C4F&quot;/&gt;&lt;wsp:rsid wsp:val=&quot;00C30FEC&quot;/&gt;&lt;wsp:rsid wsp:val=&quot;00C310A6&quot;/&gt;&lt;wsp:rsid wsp:val=&quot;00C313EB&quot;/&gt;&lt;wsp:rsid wsp:val=&quot;00C31477&quot;/&gt;&lt;wsp:rsid wsp:val=&quot;00C3163C&quot;/&gt;&lt;wsp:rsid wsp:val=&quot;00C3189B&quot;/&gt;&lt;wsp:rsid wsp:val=&quot;00C31991&quot;/&gt;&lt;wsp:rsid wsp:val=&quot;00C31BF9&quot;/&gt;&lt;wsp:rsid wsp:val=&quot;00C31E68&quot;/&gt;&lt;wsp:rsid wsp:val=&quot;00C31E98&quot;/&gt;&lt;wsp:rsid wsp:val=&quot;00C31F06&quot;/&gt;&lt;wsp:rsid wsp:val=&quot;00C3200E&quot;/&gt;&lt;wsp:rsid wsp:val=&quot;00C32227&quot;/&gt;&lt;wsp:rsid wsp:val=&quot;00C32521&quot;/&gt;&lt;wsp:rsid wsp:val=&quot;00C3256D&quot;/&gt;&lt;wsp:rsid wsp:val=&quot;00C326F5&quot;/&gt;&lt;wsp:rsid wsp:val=&quot;00C328C0&quot;/&gt;&lt;wsp:rsid wsp:val=&quot;00C329BB&quot;/&gt;&lt;wsp:rsid wsp:val=&quot;00C32CD7&quot;/&gt;&lt;wsp:rsid wsp:val=&quot;00C32D73&quot;/&gt;&lt;wsp:rsid wsp:val=&quot;00C33480&quot;/&gt;&lt;wsp:rsid wsp:val=&quot;00C3351E&quot;/&gt;&lt;wsp:rsid wsp:val=&quot;00C33ABF&quot;/&gt;&lt;wsp:rsid wsp:val=&quot;00C33F88&quot;/&gt;&lt;wsp:rsid wsp:val=&quot;00C347EB&quot;/&gt;&lt;wsp:rsid wsp:val=&quot;00C34A8A&quot;/&gt;&lt;wsp:rsid wsp:val=&quot;00C34E96&quot;/&gt;&lt;wsp:rsid wsp:val=&quot;00C34F98&quot;/&gt;&lt;wsp:rsid wsp:val=&quot;00C34FE9&quot;/&gt;&lt;wsp:rsid wsp:val=&quot;00C351F0&quot;/&gt;&lt;wsp:rsid wsp:val=&quot;00C3528E&quot;/&gt;&lt;wsp:rsid wsp:val=&quot;00C3546C&quot;/&gt;&lt;wsp:rsid wsp:val=&quot;00C36345&quot;/&gt;&lt;wsp:rsid wsp:val=&quot;00C36660&quot;/&gt;&lt;wsp:rsid wsp:val=&quot;00C36908&quot;/&gt;&lt;wsp:rsid wsp:val=&quot;00C36A6C&quot;/&gt;&lt;wsp:rsid wsp:val=&quot;00C36D0F&quot;/&gt;&lt;wsp:rsid wsp:val=&quot;00C36F38&quot;/&gt;&lt;wsp:rsid wsp:val=&quot;00C36F53&quot;/&gt;&lt;wsp:rsid wsp:val=&quot;00C375DD&quot;/&gt;&lt;wsp:rsid wsp:val=&quot;00C37B8B&quot;/&gt;&lt;wsp:rsid wsp:val=&quot;00C40486&quot;/&gt;&lt;wsp:rsid wsp:val=&quot;00C405F4&quot;/&gt;&lt;wsp:rsid wsp:val=&quot;00C40609&quot;/&gt;&lt;wsp:rsid wsp:val=&quot;00C40777&quot;/&gt;&lt;wsp:rsid wsp:val=&quot;00C408E3&quot;/&gt;&lt;wsp:rsid wsp:val=&quot;00C409E2&quot;/&gt;&lt;wsp:rsid wsp:val=&quot;00C40A4C&quot;/&gt;&lt;wsp:rsid wsp:val=&quot;00C40A63&quot;/&gt;&lt;wsp:rsid wsp:val=&quot;00C40D3E&quot;/&gt;&lt;wsp:rsid wsp:val=&quot;00C40E93&quot;/&gt;&lt;wsp:rsid wsp:val=&quot;00C40F5C&quot;/&gt;&lt;wsp:rsid wsp:val=&quot;00C40F77&quot;/&gt;&lt;wsp:rsid wsp:val=&quot;00C4136B&quot;/&gt;&lt;wsp:rsid wsp:val=&quot;00C413B2&quot;/&gt;&lt;wsp:rsid wsp:val=&quot;00C413CD&quot;/&gt;&lt;wsp:rsid wsp:val=&quot;00C41992&quot;/&gt;&lt;wsp:rsid wsp:val=&quot;00C419F9&quot;/&gt;&lt;wsp:rsid wsp:val=&quot;00C41CC2&quot;/&gt;&lt;wsp:rsid wsp:val=&quot;00C41DFC&quot;/&gt;&lt;wsp:rsid wsp:val=&quot;00C41E87&quot;/&gt;&lt;wsp:rsid wsp:val=&quot;00C41F13&quot;/&gt;&lt;wsp:rsid wsp:val=&quot;00C42424&quot;/&gt;&lt;wsp:rsid wsp:val=&quot;00C43286&quot;/&gt;&lt;wsp:rsid wsp:val=&quot;00C4358D&quot;/&gt;&lt;wsp:rsid wsp:val=&quot;00C4370D&quot;/&gt;&lt;wsp:rsid wsp:val=&quot;00C44058&quot;/&gt;&lt;wsp:rsid wsp:val=&quot;00C4495F&quot;/&gt;&lt;wsp:rsid wsp:val=&quot;00C45325&quot;/&gt;&lt;wsp:rsid wsp:val=&quot;00C453A3&quot;/&gt;&lt;wsp:rsid wsp:val=&quot;00C45ADF&quot;/&gt;&lt;wsp:rsid wsp:val=&quot;00C45CB8&quot;/&gt;&lt;wsp:rsid wsp:val=&quot;00C46336&quot;/&gt;&lt;wsp:rsid wsp:val=&quot;00C4689A&quot;/&gt;&lt;wsp:rsid wsp:val=&quot;00C46E54&quot;/&gt;&lt;wsp:rsid wsp:val=&quot;00C4703A&quot;/&gt;&lt;wsp:rsid wsp:val=&quot;00C474C1&quot;/&gt;&lt;wsp:rsid wsp:val=&quot;00C47EAC&quot;/&gt;&lt;wsp:rsid wsp:val=&quot;00C47FE1&quot;/&gt;&lt;wsp:rsid wsp:val=&quot;00C5008A&quot;/&gt;&lt;wsp:rsid wsp:val=&quot;00C507B2&quot;/&gt;&lt;wsp:rsid wsp:val=&quot;00C50B28&quot;/&gt;&lt;wsp:rsid wsp:val=&quot;00C50B89&quot;/&gt;&lt;wsp:rsid wsp:val=&quot;00C51397&quot;/&gt;&lt;wsp:rsid wsp:val=&quot;00C516C6&quot;/&gt;&lt;wsp:rsid wsp:val=&quot;00C51953&quot;/&gt;&lt;wsp:rsid wsp:val=&quot;00C52043&quot;/&gt;&lt;wsp:rsid wsp:val=&quot;00C5268A&quot;/&gt;&lt;wsp:rsid wsp:val=&quot;00C529CC&quot;/&gt;&lt;wsp:rsid wsp:val=&quot;00C52D26&quot;/&gt;&lt;wsp:rsid wsp:val=&quot;00C53272&quot;/&gt;&lt;wsp:rsid wsp:val=&quot;00C53E29&quot;/&gt;&lt;wsp:rsid wsp:val=&quot;00C53EAE&quot;/&gt;&lt;wsp:rsid wsp:val=&quot;00C53F85&quot;/&gt;&lt;wsp:rsid wsp:val=&quot;00C54548&quot;/&gt;&lt;wsp:rsid wsp:val=&quot;00C549F3&quot;/&gt;&lt;wsp:rsid wsp:val=&quot;00C54CE5&quot;/&gt;&lt;wsp:rsid wsp:val=&quot;00C54D13&quot;/&gt;&lt;wsp:rsid wsp:val=&quot;00C54EF1&quot;/&gt;&lt;wsp:rsid wsp:val=&quot;00C5502B&quot;/&gt;&lt;wsp:rsid wsp:val=&quot;00C551F8&quot;/&gt;&lt;wsp:rsid wsp:val=&quot;00C552FA&quot;/&gt;&lt;wsp:rsid wsp:val=&quot;00C5557C&quot;/&gt;&lt;wsp:rsid wsp:val=&quot;00C55714&quot;/&gt;&lt;wsp:rsid wsp:val=&quot;00C5571A&quot;/&gt;&lt;wsp:rsid wsp:val=&quot;00C55833&quot;/&gt;&lt;wsp:rsid wsp:val=&quot;00C55ABB&quot;/&gt;&lt;wsp:rsid wsp:val=&quot;00C55C94&quot;/&gt;&lt;wsp:rsid wsp:val=&quot;00C560ED&quot;/&gt;&lt;wsp:rsid wsp:val=&quot;00C56423&quot;/&gt;&lt;wsp:rsid wsp:val=&quot;00C56B2B&quot;/&gt;&lt;wsp:rsid wsp:val=&quot;00C56DFA&quot;/&gt;&lt;wsp:rsid wsp:val=&quot;00C5706C&quot;/&gt;&lt;wsp:rsid wsp:val=&quot;00C5748D&quot;/&gt;&lt;wsp:rsid wsp:val=&quot;00C57495&quot;/&gt;&lt;wsp:rsid wsp:val=&quot;00C5764E&quot;/&gt;&lt;wsp:rsid wsp:val=&quot;00C57724&quot;/&gt;&lt;wsp:rsid wsp:val=&quot;00C578BE&quot;/&gt;&lt;wsp:rsid wsp:val=&quot;00C57A7C&quot;/&gt;&lt;wsp:rsid wsp:val=&quot;00C57ABD&quot;/&gt;&lt;wsp:rsid wsp:val=&quot;00C57E0C&quot;/&gt;&lt;wsp:rsid wsp:val=&quot;00C60420&quot;/&gt;&lt;wsp:rsid wsp:val=&quot;00C608EB&quot;/&gt;&lt;wsp:rsid wsp:val=&quot;00C61442&quot;/&gt;&lt;wsp:rsid wsp:val=&quot;00C6148E&quot;/&gt;&lt;wsp:rsid wsp:val=&quot;00C616DC&quot;/&gt;&lt;wsp:rsid wsp:val=&quot;00C61D53&quot;/&gt;&lt;wsp:rsid wsp:val=&quot;00C628B9&quot;/&gt;&lt;wsp:rsid wsp:val=&quot;00C62D5C&quot;/&gt;&lt;wsp:rsid wsp:val=&quot;00C62D63&quot;/&gt;&lt;wsp:rsid wsp:val=&quot;00C62FD1&quot;/&gt;&lt;wsp:rsid wsp:val=&quot;00C63112&quot;/&gt;&lt;wsp:rsid wsp:val=&quot;00C6323C&quot;/&gt;&lt;wsp:rsid wsp:val=&quot;00C632AB&quot;/&gt;&lt;wsp:rsid wsp:val=&quot;00C635E9&quot;/&gt;&lt;wsp:rsid wsp:val=&quot;00C63676&quot;/&gt;&lt;wsp:rsid wsp:val=&quot;00C638AE&quot;/&gt;&lt;wsp:rsid wsp:val=&quot;00C6396D&quot;/&gt;&lt;wsp:rsid wsp:val=&quot;00C63FC5&quot;/&gt;&lt;wsp:rsid wsp:val=&quot;00C64147&quot;/&gt;&lt;wsp:rsid wsp:val=&quot;00C64212&quot;/&gt;&lt;wsp:rsid wsp:val=&quot;00C64557&quot;/&gt;&lt;wsp:rsid wsp:val=&quot;00C648CB&quot;/&gt;&lt;wsp:rsid wsp:val=&quot;00C64B1E&quot;/&gt;&lt;wsp:rsid wsp:val=&quot;00C64B99&quot;/&gt;&lt;wsp:rsid wsp:val=&quot;00C64FFC&quot;/&gt;&lt;wsp:rsid wsp:val=&quot;00C64FFD&quot;/&gt;&lt;wsp:rsid wsp:val=&quot;00C65030&quot;/&gt;&lt;wsp:rsid wsp:val=&quot;00C655D5&quot;/&gt;&lt;wsp:rsid wsp:val=&quot;00C65CFF&quot;/&gt;&lt;wsp:rsid wsp:val=&quot;00C65EEE&quot;/&gt;&lt;wsp:rsid wsp:val=&quot;00C662BB&quot;/&gt;&lt;wsp:rsid wsp:val=&quot;00C66354&quot;/&gt;&lt;wsp:rsid wsp:val=&quot;00C66A8E&quot;/&gt;&lt;wsp:rsid wsp:val=&quot;00C66B4B&quot;/&gt;&lt;wsp:rsid wsp:val=&quot;00C670A3&quot;/&gt;&lt;wsp:rsid wsp:val=&quot;00C670AE&quot;/&gt;&lt;wsp:rsid wsp:val=&quot;00C671DE&quot;/&gt;&lt;wsp:rsid wsp:val=&quot;00C673C5&quot;/&gt;&lt;wsp:rsid wsp:val=&quot;00C67831&quot;/&gt;&lt;wsp:rsid wsp:val=&quot;00C67EA5&quot;/&gt;&lt;wsp:rsid wsp:val=&quot;00C67F6C&quot;/&gt;&lt;wsp:rsid wsp:val=&quot;00C701DC&quot;/&gt;&lt;wsp:rsid wsp:val=&quot;00C70366&quot;/&gt;&lt;wsp:rsid wsp:val=&quot;00C70A2A&quot;/&gt;&lt;wsp:rsid wsp:val=&quot;00C71651&quot;/&gt;&lt;wsp:rsid wsp:val=&quot;00C71716&quot;/&gt;&lt;wsp:rsid wsp:val=&quot;00C71B9C&quot;/&gt;&lt;wsp:rsid wsp:val=&quot;00C71BAB&quot;/&gt;&lt;wsp:rsid wsp:val=&quot;00C71BCA&quot;/&gt;&lt;wsp:rsid wsp:val=&quot;00C71DA3&quot;/&gt;&lt;wsp:rsid wsp:val=&quot;00C71FEF&quot;/&gt;&lt;wsp:rsid wsp:val=&quot;00C723D3&quot;/&gt;&lt;wsp:rsid wsp:val=&quot;00C7245C&quot;/&gt;&lt;wsp:rsid wsp:val=&quot;00C72BF5&quot;/&gt;&lt;wsp:rsid wsp:val=&quot;00C72E28&quot;/&gt;&lt;wsp:rsid wsp:val=&quot;00C72E48&quot;/&gt;&lt;wsp:rsid wsp:val=&quot;00C72F9F&quot;/&gt;&lt;wsp:rsid wsp:val=&quot;00C730B0&quot;/&gt;&lt;wsp:rsid wsp:val=&quot;00C73AB5&quot;/&gt;&lt;wsp:rsid wsp:val=&quot;00C742F4&quot;/&gt;&lt;wsp:rsid wsp:val=&quot;00C74456&quot;/&gt;&lt;wsp:rsid wsp:val=&quot;00C744F9&quot;/&gt;&lt;wsp:rsid wsp:val=&quot;00C74CB4&quot;/&gt;&lt;wsp:rsid wsp:val=&quot;00C7506D&quot;/&gt;&lt;wsp:rsid wsp:val=&quot;00C75070&quot;/&gt;&lt;wsp:rsid wsp:val=&quot;00C7519E&quot;/&gt;&lt;wsp:rsid wsp:val=&quot;00C755A3&quot;/&gt;&lt;wsp:rsid wsp:val=&quot;00C75D11&quot;/&gt;&lt;wsp:rsid wsp:val=&quot;00C75E9E&quot;/&gt;&lt;wsp:rsid wsp:val=&quot;00C76290&quot;/&gt;&lt;wsp:rsid wsp:val=&quot;00C764DC&quot;/&gt;&lt;wsp:rsid wsp:val=&quot;00C76567&quot;/&gt;&lt;wsp:rsid wsp:val=&quot;00C76946&quot;/&gt;&lt;wsp:rsid wsp:val=&quot;00C76B5E&quot;/&gt;&lt;wsp:rsid wsp:val=&quot;00C76D1B&quot;/&gt;&lt;wsp:rsid wsp:val=&quot;00C770A4&quot;/&gt;&lt;wsp:rsid wsp:val=&quot;00C77201&quot;/&gt;&lt;wsp:rsid wsp:val=&quot;00C7749B&quot;/&gt;&lt;wsp:rsid wsp:val=&quot;00C774E8&quot;/&gt;&lt;wsp:rsid wsp:val=&quot;00C77D52&quot;/&gt;&lt;wsp:rsid wsp:val=&quot;00C804F3&quot;/&gt;&lt;wsp:rsid wsp:val=&quot;00C805E2&quot;/&gt;&lt;wsp:rsid wsp:val=&quot;00C806F4&quot;/&gt;&lt;wsp:rsid wsp:val=&quot;00C80E41&quot;/&gt;&lt;wsp:rsid wsp:val=&quot;00C810E4&quot;/&gt;&lt;wsp:rsid wsp:val=&quot;00C8182A&quot;/&gt;&lt;wsp:rsid wsp:val=&quot;00C81C54&quot;/&gt;&lt;wsp:rsid wsp:val=&quot;00C81D9B&quot;/&gt;&lt;wsp:rsid wsp:val=&quot;00C822FD&quot;/&gt;&lt;wsp:rsid wsp:val=&quot;00C82360&quot;/&gt;&lt;wsp:rsid wsp:val=&quot;00C823D2&quot;/&gt;&lt;wsp:rsid wsp:val=&quot;00C825B6&quot;/&gt;&lt;wsp:rsid wsp:val=&quot;00C82D07&quot;/&gt;&lt;wsp:rsid wsp:val=&quot;00C82EE1&quot;/&gt;&lt;wsp:rsid wsp:val=&quot;00C834B5&quot;/&gt;&lt;wsp:rsid wsp:val=&quot;00C836AB&quot;/&gt;&lt;wsp:rsid wsp:val=&quot;00C83829&quot;/&gt;&lt;wsp:rsid wsp:val=&quot;00C83AB1&quot;/&gt;&lt;wsp:rsid wsp:val=&quot;00C83C0B&quot;/&gt;&lt;wsp:rsid wsp:val=&quot;00C84335&quot;/&gt;&lt;wsp:rsid wsp:val=&quot;00C84382&quot;/&gt;&lt;wsp:rsid wsp:val=&quot;00C846D6&quot;/&gt;&lt;wsp:rsid wsp:val=&quot;00C84879&quot;/&gt;&lt;wsp:rsid wsp:val=&quot;00C8490D&quot;/&gt;&lt;wsp:rsid wsp:val=&quot;00C849C3&quot;/&gt;&lt;wsp:rsid wsp:val=&quot;00C84CA9&quot;/&gt;&lt;wsp:rsid wsp:val=&quot;00C84DAA&quot;/&gt;&lt;wsp:rsid wsp:val=&quot;00C85290&quot;/&gt;&lt;wsp:rsid wsp:val=&quot;00C8537C&quot;/&gt;&lt;wsp:rsid wsp:val=&quot;00C8545B&quot;/&gt;&lt;wsp:rsid wsp:val=&quot;00C85463&quot;/&gt;&lt;wsp:rsid wsp:val=&quot;00C86660&quot;/&gt;&lt;wsp:rsid wsp:val=&quot;00C866CF&quot;/&gt;&lt;wsp:rsid wsp:val=&quot;00C86725&quot;/&gt;&lt;wsp:rsid wsp:val=&quot;00C86798&quot;/&gt;&lt;wsp:rsid wsp:val=&quot;00C869FF&quot;/&gt;&lt;wsp:rsid wsp:val=&quot;00C86B66&quot;/&gt;&lt;wsp:rsid wsp:val=&quot;00C8703E&quot;/&gt;&lt;wsp:rsid wsp:val=&quot;00C87047&quot;/&gt;&lt;wsp:rsid wsp:val=&quot;00C871AB&quot;/&gt;&lt;wsp:rsid wsp:val=&quot;00C8759E&quot;/&gt;&lt;wsp:rsid wsp:val=&quot;00C878DD&quot;/&gt;&lt;wsp:rsid wsp:val=&quot;00C87E7C&quot;/&gt;&lt;wsp:rsid wsp:val=&quot;00C901B8&quot;/&gt;&lt;wsp:rsid wsp:val=&quot;00C901D2&quot;/&gt;&lt;wsp:rsid wsp:val=&quot;00C902BC&quot;/&gt;&lt;wsp:rsid wsp:val=&quot;00C903C5&quot;/&gt;&lt;wsp:rsid wsp:val=&quot;00C90E9F&quot;/&gt;&lt;wsp:rsid wsp:val=&quot;00C90F68&quot;/&gt;&lt;wsp:rsid wsp:val=&quot;00C90FAD&quot;/&gt;&lt;wsp:rsid wsp:val=&quot;00C911C4&quot;/&gt;&lt;wsp:rsid wsp:val=&quot;00C91235&quot;/&gt;&lt;wsp:rsid wsp:val=&quot;00C91579&quot;/&gt;&lt;wsp:rsid wsp:val=&quot;00C91B03&quot;/&gt;&lt;wsp:rsid wsp:val=&quot;00C91B1A&quot;/&gt;&lt;wsp:rsid wsp:val=&quot;00C91B69&quot;/&gt;&lt;wsp:rsid wsp:val=&quot;00C91B6B&quot;/&gt;&lt;wsp:rsid wsp:val=&quot;00C91D6B&quot;/&gt;&lt;wsp:rsid wsp:val=&quot;00C92840&quot;/&gt;&lt;wsp:rsid wsp:val=&quot;00C92C3E&quot;/&gt;&lt;wsp:rsid wsp:val=&quot;00C92C8B&quot;/&gt;&lt;wsp:rsid wsp:val=&quot;00C92FE3&quot;/&gt;&lt;wsp:rsid wsp:val=&quot;00C93213&quot;/&gt;&lt;wsp:rsid wsp:val=&quot;00C9359D&quot;/&gt;&lt;wsp:rsid wsp:val=&quot;00C93794&quot;/&gt;&lt;wsp:rsid wsp:val=&quot;00C93AB1&quot;/&gt;&lt;wsp:rsid wsp:val=&quot;00C93C1C&quot;/&gt;&lt;wsp:rsid wsp:val=&quot;00C93C71&quot;/&gt;&lt;wsp:rsid wsp:val=&quot;00C94BF7&quot;/&gt;&lt;wsp:rsid wsp:val=&quot;00C94FDA&quot;/&gt;&lt;wsp:rsid wsp:val=&quot;00C952F2&quot;/&gt;&lt;wsp:rsid wsp:val=&quot;00C95593&quot;/&gt;&lt;wsp:rsid wsp:val=&quot;00C95601&quot;/&gt;&lt;wsp:rsid wsp:val=&quot;00C95761&quot;/&gt;&lt;wsp:rsid wsp:val=&quot;00C95B50&quot;/&gt;&lt;wsp:rsid wsp:val=&quot;00C95B74&quot;/&gt;&lt;wsp:rsid wsp:val=&quot;00C95DA9&quot;/&gt;&lt;wsp:rsid wsp:val=&quot;00C95FCB&quot;/&gt;&lt;wsp:rsid wsp:val=&quot;00C96008&quot;/&gt;&lt;wsp:rsid wsp:val=&quot;00C96072&quot;/&gt;&lt;wsp:rsid wsp:val=&quot;00C96114&quot;/&gt;&lt;wsp:rsid wsp:val=&quot;00C96342&quot;/&gt;&lt;wsp:rsid wsp:val=&quot;00C96488&quot;/&gt;&lt;wsp:rsid wsp:val=&quot;00C965F4&quot;/&gt;&lt;wsp:rsid wsp:val=&quot;00C966E7&quot;/&gt;&lt;wsp:rsid wsp:val=&quot;00C967C3&quot;/&gt;&lt;wsp:rsid wsp:val=&quot;00C967C7&quot;/&gt;&lt;wsp:rsid wsp:val=&quot;00C967D6&quot;/&gt;&lt;wsp:rsid wsp:val=&quot;00C96A2F&quot;/&gt;&lt;wsp:rsid wsp:val=&quot;00C96F4D&quot;/&gt;&lt;wsp:rsid wsp:val=&quot;00C973B5&quot;/&gt;&lt;wsp:rsid wsp:val=&quot;00C97477&quot;/&gt;&lt;wsp:rsid wsp:val=&quot;00C976FC&quot;/&gt;&lt;wsp:rsid wsp:val=&quot;00C977D5&quot;/&gt;&lt;wsp:rsid wsp:val=&quot;00C97877&quot;/&gt;&lt;wsp:rsid wsp:val=&quot;00C978CE&quot;/&gt;&lt;wsp:rsid wsp:val=&quot;00C97AD6&quot;/&gt;&lt;wsp:rsid wsp:val=&quot;00C97AE1&quot;/&gt;&lt;wsp:rsid wsp:val=&quot;00C97DD6&quot;/&gt;&lt;wsp:rsid wsp:val=&quot;00C97F8E&quot;/&gt;&lt;wsp:rsid wsp:val=&quot;00CA0429&quot;/&gt;&lt;wsp:rsid wsp:val=&quot;00CA05C1&quot;/&gt;&lt;wsp:rsid wsp:val=&quot;00CA0D15&quot;/&gt;&lt;wsp:rsid wsp:val=&quot;00CA0E1C&quot;/&gt;&lt;wsp:rsid wsp:val=&quot;00CA11A6&quot;/&gt;&lt;wsp:rsid wsp:val=&quot;00CA1764&quot;/&gt;&lt;wsp:rsid wsp:val=&quot;00CA184C&quot;/&gt;&lt;wsp:rsid wsp:val=&quot;00CA1A12&quot;/&gt;&lt;wsp:rsid wsp:val=&quot;00CA1A44&quot;/&gt;&lt;wsp:rsid wsp:val=&quot;00CA2208&quot;/&gt;&lt;wsp:rsid wsp:val=&quot;00CA2352&quot;/&gt;&lt;wsp:rsid wsp:val=&quot;00CA27D4&quot;/&gt;&lt;wsp:rsid wsp:val=&quot;00CA28E3&quot;/&gt;&lt;wsp:rsid wsp:val=&quot;00CA3429&quot;/&gt;&lt;wsp:rsid wsp:val=&quot;00CA3A9A&quot;/&gt;&lt;wsp:rsid wsp:val=&quot;00CA3C06&quot;/&gt;&lt;wsp:rsid wsp:val=&quot;00CA42DE&quot;/&gt;&lt;wsp:rsid wsp:val=&quot;00CA4D0F&quot;/&gt;&lt;wsp:rsid wsp:val=&quot;00CA5771&quot;/&gt;&lt;wsp:rsid wsp:val=&quot;00CA57F7&quot;/&gt;&lt;wsp:rsid wsp:val=&quot;00CA5873&quot;/&gt;&lt;wsp:rsid wsp:val=&quot;00CA5DDF&quot;/&gt;&lt;wsp:rsid wsp:val=&quot;00CA6218&quot;/&gt;&lt;wsp:rsid wsp:val=&quot;00CA6293&quot;/&gt;&lt;wsp:rsid wsp:val=&quot;00CA6487&quot;/&gt;&lt;wsp:rsid wsp:val=&quot;00CA6560&quot;/&gt;&lt;wsp:rsid wsp:val=&quot;00CA6A93&quot;/&gt;&lt;wsp:rsid wsp:val=&quot;00CA6BAC&quot;/&gt;&lt;wsp:rsid wsp:val=&quot;00CA6C37&quot;/&gt;&lt;wsp:rsid wsp:val=&quot;00CA6C42&quot;/&gt;&lt;wsp:rsid wsp:val=&quot;00CA76DA&quot;/&gt;&lt;wsp:rsid wsp:val=&quot;00CA7A78&quot;/&gt;&lt;wsp:rsid wsp:val=&quot;00CA7CA6&quot;/&gt;&lt;wsp:rsid wsp:val=&quot;00CB0586&quot;/&gt;&lt;wsp:rsid wsp:val=&quot;00CB08AF&quot;/&gt;&lt;wsp:rsid wsp:val=&quot;00CB0DF6&quot;/&gt;&lt;wsp:rsid wsp:val=&quot;00CB13A4&quot;/&gt;&lt;wsp:rsid wsp:val=&quot;00CB15CF&quot;/&gt;&lt;wsp:rsid wsp:val=&quot;00CB1CF7&quot;/&gt;&lt;wsp:rsid wsp:val=&quot;00CB1DF2&quot;/&gt;&lt;wsp:rsid wsp:val=&quot;00CB1FB6&quot;/&gt;&lt;wsp:rsid wsp:val=&quot;00CB2765&quot;/&gt;&lt;wsp:rsid wsp:val=&quot;00CB279B&quot;/&gt;&lt;wsp:rsid wsp:val=&quot;00CB28F7&quot;/&gt;&lt;wsp:rsid wsp:val=&quot;00CB2CB7&quot;/&gt;&lt;wsp:rsid wsp:val=&quot;00CB2DEC&quot;/&gt;&lt;wsp:rsid wsp:val=&quot;00CB3059&quot;/&gt;&lt;wsp:rsid wsp:val=&quot;00CB30E1&quot;/&gt;&lt;wsp:rsid wsp:val=&quot;00CB3228&quot;/&gt;&lt;wsp:rsid wsp:val=&quot;00CB32CE&quot;/&gt;&lt;wsp:rsid wsp:val=&quot;00CB3560&quot;/&gt;&lt;wsp:rsid wsp:val=&quot;00CB3830&quot;/&gt;&lt;wsp:rsid wsp:val=&quot;00CB3B40&quot;/&gt;&lt;wsp:rsid wsp:val=&quot;00CB3C16&quot;/&gt;&lt;wsp:rsid wsp:val=&quot;00CB3DC2&quot;/&gt;&lt;wsp:rsid wsp:val=&quot;00CB3EBC&quot;/&gt;&lt;wsp:rsid wsp:val=&quot;00CB437F&quot;/&gt;&lt;wsp:rsid wsp:val=&quot;00CB4605&quot;/&gt;&lt;wsp:rsid wsp:val=&quot;00CB4A00&quot;/&gt;&lt;wsp:rsid wsp:val=&quot;00CB4B6A&quot;/&gt;&lt;wsp:rsid wsp:val=&quot;00CB4BB0&quot;/&gt;&lt;wsp:rsid wsp:val=&quot;00CB4F1F&quot;/&gt;&lt;wsp:rsid wsp:val=&quot;00CB51BA&quot;/&gt;&lt;wsp:rsid wsp:val=&quot;00CB52C1&quot;/&gt;&lt;wsp:rsid wsp:val=&quot;00CB55C5&quot;/&gt;&lt;wsp:rsid wsp:val=&quot;00CB570F&quot;/&gt;&lt;wsp:rsid wsp:val=&quot;00CB5D3D&quot;/&gt;&lt;wsp:rsid wsp:val=&quot;00CB5E81&quot;/&gt;&lt;wsp:rsid wsp:val=&quot;00CB602C&quot;/&gt;&lt;wsp:rsid wsp:val=&quot;00CB622A&quot;/&gt;&lt;wsp:rsid wsp:val=&quot;00CB624B&quot;/&gt;&lt;wsp:rsid wsp:val=&quot;00CB70DA&quot;/&gt;&lt;wsp:rsid wsp:val=&quot;00CB71E9&quot;/&gt;&lt;wsp:rsid wsp:val=&quot;00CB731A&quot;/&gt;&lt;wsp:rsid wsp:val=&quot;00CB7C20&quot;/&gt;&lt;wsp:rsid wsp:val=&quot;00CB7F49&quot;/&gt;&lt;wsp:rsid wsp:val=&quot;00CC0290&quot;/&gt;&lt;wsp:rsid wsp:val=&quot;00CC02B8&quot;/&gt;&lt;wsp:rsid wsp:val=&quot;00CC0726&quot;/&gt;&lt;wsp:rsid wsp:val=&quot;00CC0ECB&quot;/&gt;&lt;wsp:rsid wsp:val=&quot;00CC0F0E&quot;/&gt;&lt;wsp:rsid wsp:val=&quot;00CC0F11&quot;/&gt;&lt;wsp:rsid wsp:val=&quot;00CC0FD5&quot;/&gt;&lt;wsp:rsid wsp:val=&quot;00CC122D&quot;/&gt;&lt;wsp:rsid wsp:val=&quot;00CC1355&quot;/&gt;&lt;wsp:rsid wsp:val=&quot;00CC19B5&quot;/&gt;&lt;wsp:rsid wsp:val=&quot;00CC1A4D&quot;/&gt;&lt;wsp:rsid wsp:val=&quot;00CC20E3&quot;/&gt;&lt;wsp:rsid wsp:val=&quot;00CC214D&quot;/&gt;&lt;wsp:rsid wsp:val=&quot;00CC2210&quot;/&gt;&lt;wsp:rsid wsp:val=&quot;00CC2929&quot;/&gt;&lt;wsp:rsid wsp:val=&quot;00CC29E8&quot;/&gt;&lt;wsp:rsid wsp:val=&quot;00CC333D&quot;/&gt;&lt;wsp:rsid wsp:val=&quot;00CC3544&quot;/&gt;&lt;wsp:rsid wsp:val=&quot;00CC4220&quot;/&gt;&lt;wsp:rsid wsp:val=&quot;00CC445D&quot;/&gt;&lt;wsp:rsid wsp:val=&quot;00CC478C&quot;/&gt;&lt;wsp:rsid wsp:val=&quot;00CC4B48&quot;/&gt;&lt;wsp:rsid wsp:val=&quot;00CC4CFB&quot;/&gt;&lt;wsp:rsid wsp:val=&quot;00CC4D82&quot;/&gt;&lt;wsp:rsid wsp:val=&quot;00CC4DB5&quot;/&gt;&lt;wsp:rsid wsp:val=&quot;00CC4F1B&quot;/&gt;&lt;wsp:rsid wsp:val=&quot;00CC4F79&quot;/&gt;&lt;wsp:rsid wsp:val=&quot;00CC5049&quot;/&gt;&lt;wsp:rsid wsp:val=&quot;00CC549F&quot;/&gt;&lt;wsp:rsid wsp:val=&quot;00CC54A5&quot;/&gt;&lt;wsp:rsid wsp:val=&quot;00CC54E7&quot;/&gt;&lt;wsp:rsid wsp:val=&quot;00CC576B&quot;/&gt;&lt;wsp:rsid wsp:val=&quot;00CC6555&quot;/&gt;&lt;wsp:rsid wsp:val=&quot;00CC66D5&quot;/&gt;&lt;wsp:rsid wsp:val=&quot;00CC6A0B&quot;/&gt;&lt;wsp:rsid wsp:val=&quot;00CC6B94&quot;/&gt;&lt;wsp:rsid wsp:val=&quot;00CC6D80&quot;/&gt;&lt;wsp:rsid wsp:val=&quot;00CC6F86&quot;/&gt;&lt;wsp:rsid wsp:val=&quot;00CC74EB&quot;/&gt;&lt;wsp:rsid wsp:val=&quot;00CC769F&quot;/&gt;&lt;wsp:rsid wsp:val=&quot;00CC7BE7&quot;/&gt;&lt;wsp:rsid wsp:val=&quot;00CC7DE4&quot;/&gt;&lt;wsp:rsid wsp:val=&quot;00CC7E5A&quot;/&gt;&lt;wsp:rsid wsp:val=&quot;00CC7F47&quot;/&gt;&lt;wsp:rsid wsp:val=&quot;00CD07B5&quot;/&gt;&lt;wsp:rsid wsp:val=&quot;00CD0B3E&quot;/&gt;&lt;wsp:rsid wsp:val=&quot;00CD183A&quot;/&gt;&lt;wsp:rsid wsp:val=&quot;00CD279A&quot;/&gt;&lt;wsp:rsid wsp:val=&quot;00CD2F2A&quot;/&gt;&lt;wsp:rsid wsp:val=&quot;00CD2FDE&quot;/&gt;&lt;wsp:rsid wsp:val=&quot;00CD3649&quot;/&gt;&lt;wsp:rsid wsp:val=&quot;00CD393A&quot;/&gt;&lt;wsp:rsid wsp:val=&quot;00CD397B&quot;/&gt;&lt;wsp:rsid wsp:val=&quot;00CD3BCE&quot;/&gt;&lt;wsp:rsid wsp:val=&quot;00CD41CE&quot;/&gt;&lt;wsp:rsid wsp:val=&quot;00CD4871&quot;/&gt;&lt;wsp:rsid wsp:val=&quot;00CD4925&quot;/&gt;&lt;wsp:rsid wsp:val=&quot;00CD4A65&quot;/&gt;&lt;wsp:rsid wsp:val=&quot;00CD4FF8&quot;/&gt;&lt;wsp:rsid wsp:val=&quot;00CD53EB&quot;/&gt;&lt;wsp:rsid wsp:val=&quot;00CD5422&quot;/&gt;&lt;wsp:rsid wsp:val=&quot;00CD5490&quot;/&gt;&lt;wsp:rsid wsp:val=&quot;00CD587E&quot;/&gt;&lt;wsp:rsid wsp:val=&quot;00CD5931&quot;/&gt;&lt;wsp:rsid wsp:val=&quot;00CD59DC&quot;/&gt;&lt;wsp:rsid wsp:val=&quot;00CD5AF8&quot;/&gt;&lt;wsp:rsid wsp:val=&quot;00CD5AFE&quot;/&gt;&lt;wsp:rsid wsp:val=&quot;00CD5E2C&quot;/&gt;&lt;wsp:rsid wsp:val=&quot;00CD5EE3&quot;/&gt;&lt;wsp:rsid wsp:val=&quot;00CD61B3&quot;/&gt;&lt;wsp:rsid wsp:val=&quot;00CD6401&quot;/&gt;&lt;wsp:rsid wsp:val=&quot;00CD64FF&quot;/&gt;&lt;wsp:rsid wsp:val=&quot;00CD676D&quot;/&gt;&lt;wsp:rsid wsp:val=&quot;00CD68ED&quot;/&gt;&lt;wsp:rsid wsp:val=&quot;00CD69A9&quot;/&gt;&lt;wsp:rsid wsp:val=&quot;00CD69FB&quot;/&gt;&lt;wsp:rsid wsp:val=&quot;00CD6C45&quot;/&gt;&lt;wsp:rsid wsp:val=&quot;00CD717E&quot;/&gt;&lt;wsp:rsid wsp:val=&quot;00CD742C&quot;/&gt;&lt;wsp:rsid wsp:val=&quot;00CD7497&quot;/&gt;&lt;wsp:rsid wsp:val=&quot;00CD74C0&quot;/&gt;&lt;wsp:rsid wsp:val=&quot;00CD781F&quot;/&gt;&lt;wsp:rsid wsp:val=&quot;00CD7969&quot;/&gt;&lt;wsp:rsid wsp:val=&quot;00CD7BFF&quot;/&gt;&lt;wsp:rsid wsp:val=&quot;00CD7F01&quot;/&gt;&lt;wsp:rsid wsp:val=&quot;00CE011C&quot;/&gt;&lt;wsp:rsid wsp:val=&quot;00CE01CE&quot;/&gt;&lt;wsp:rsid wsp:val=&quot;00CE01E6&quot;/&gt;&lt;wsp:rsid wsp:val=&quot;00CE039C&quot;/&gt;&lt;wsp:rsid wsp:val=&quot;00CE040F&quot;/&gt;&lt;wsp:rsid wsp:val=&quot;00CE0773&quot;/&gt;&lt;wsp:rsid wsp:val=&quot;00CE1129&quot;/&gt;&lt;wsp:rsid wsp:val=&quot;00CE1A13&quot;/&gt;&lt;wsp:rsid wsp:val=&quot;00CE1C38&quot;/&gt;&lt;wsp:rsid wsp:val=&quot;00CE2255&quot;/&gt;&lt;wsp:rsid wsp:val=&quot;00CE2939&quot;/&gt;&lt;wsp:rsid wsp:val=&quot;00CE2A86&quot;/&gt;&lt;wsp:rsid wsp:val=&quot;00CE2CEE&quot;/&gt;&lt;wsp:rsid wsp:val=&quot;00CE2D22&quot;/&gt;&lt;wsp:rsid wsp:val=&quot;00CE30F8&quot;/&gt;&lt;wsp:rsid wsp:val=&quot;00CE38BA&quot;/&gt;&lt;wsp:rsid wsp:val=&quot;00CE4326&quot;/&gt;&lt;wsp:rsid wsp:val=&quot;00CE4A88&quot;/&gt;&lt;wsp:rsid wsp:val=&quot;00CE4E60&quot;/&gt;&lt;wsp:rsid wsp:val=&quot;00CE4E88&quot;/&gt;&lt;wsp:rsid wsp:val=&quot;00CE5060&quot;/&gt;&lt;wsp:rsid wsp:val=&quot;00CE5502&quot;/&gt;&lt;wsp:rsid wsp:val=&quot;00CE57B6&quot;/&gt;&lt;wsp:rsid wsp:val=&quot;00CE5B49&quot;/&gt;&lt;wsp:rsid wsp:val=&quot;00CE5B63&quot;/&gt;&lt;wsp:rsid wsp:val=&quot;00CE5FE4&quot;/&gt;&lt;wsp:rsid wsp:val=&quot;00CE6974&quot;/&gt;&lt;wsp:rsid wsp:val=&quot;00CE6F09&quot;/&gt;&lt;wsp:rsid wsp:val=&quot;00CE6F9A&quot;/&gt;&lt;wsp:rsid wsp:val=&quot;00CE739E&quot;/&gt;&lt;wsp:rsid wsp:val=&quot;00CE775D&quot;/&gt;&lt;wsp:rsid wsp:val=&quot;00CF0D65&quot;/&gt;&lt;wsp:rsid wsp:val=&quot;00CF107E&quot;/&gt;&lt;wsp:rsid wsp:val=&quot;00CF117E&quot;/&gt;&lt;wsp:rsid wsp:val=&quot;00CF1B47&quot;/&gt;&lt;wsp:rsid wsp:val=&quot;00CF26A4&quot;/&gt;&lt;wsp:rsid wsp:val=&quot;00CF27DA&quot;/&gt;&lt;wsp:rsid wsp:val=&quot;00CF3872&quot;/&gt;&lt;wsp:rsid wsp:val=&quot;00CF3924&quot;/&gt;&lt;wsp:rsid wsp:val=&quot;00CF3A0F&quot;/&gt;&lt;wsp:rsid wsp:val=&quot;00CF3A21&quot;/&gt;&lt;wsp:rsid wsp:val=&quot;00CF3B70&quot;/&gt;&lt;wsp:rsid wsp:val=&quot;00CF3E6D&quot;/&gt;&lt;wsp:rsid wsp:val=&quot;00CF42E7&quot;/&gt;&lt;wsp:rsid wsp:val=&quot;00CF4459&quot;/&gt;&lt;wsp:rsid wsp:val=&quot;00CF4689&quot;/&gt;&lt;wsp:rsid wsp:val=&quot;00CF4A56&quot;/&gt;&lt;wsp:rsid wsp:val=&quot;00CF4F93&quot;/&gt;&lt;wsp:rsid wsp:val=&quot;00CF50A0&quot;/&gt;&lt;wsp:rsid wsp:val=&quot;00CF56E8&quot;/&gt;&lt;wsp:rsid wsp:val=&quot;00CF58E7&quot;/&gt;&lt;wsp:rsid wsp:val=&quot;00CF592B&quot;/&gt;&lt;wsp:rsid wsp:val=&quot;00CF59F3&quot;/&gt;&lt;wsp:rsid wsp:val=&quot;00CF5C7A&quot;/&gt;&lt;wsp:rsid wsp:val=&quot;00CF5E35&quot;/&gt;&lt;wsp:rsid wsp:val=&quot;00CF5E51&quot;/&gt;&lt;wsp:rsid wsp:val=&quot;00CF623C&quot;/&gt;&lt;wsp:rsid wsp:val=&quot;00CF6AFF&quot;/&gt;&lt;wsp:rsid wsp:val=&quot;00CF7168&quot;/&gt;&lt;wsp:rsid wsp:val=&quot;00CF73B8&quot;/&gt;&lt;wsp:rsid wsp:val=&quot;00CF7415&quot;/&gt;&lt;wsp:rsid wsp:val=&quot;00CF77B3&quot;/&gt;&lt;wsp:rsid wsp:val=&quot;00CF78B2&quot;/&gt;&lt;wsp:rsid wsp:val=&quot;00D00593&quot;/&gt;&lt;wsp:rsid wsp:val=&quot;00D005B9&quot;/&gt;&lt;wsp:rsid wsp:val=&quot;00D0077A&quot;/&gt;&lt;wsp:rsid wsp:val=&quot;00D00D9A&quot;/&gt;&lt;wsp:rsid wsp:val=&quot;00D0113B&quot;/&gt;&lt;wsp:rsid wsp:val=&quot;00D017A9&quot;/&gt;&lt;wsp:rsid wsp:val=&quot;00D01994&quot;/&gt;&lt;wsp:rsid wsp:val=&quot;00D019B9&quot;/&gt;&lt;wsp:rsid wsp:val=&quot;00D01F4F&quot;/&gt;&lt;wsp:rsid wsp:val=&quot;00D01FA5&quot;/&gt;&lt;wsp:rsid wsp:val=&quot;00D02279&quot;/&gt;&lt;wsp:rsid wsp:val=&quot;00D022B8&quot;/&gt;&lt;wsp:rsid wsp:val=&quot;00D0261F&quot;/&gt;&lt;wsp:rsid wsp:val=&quot;00D02F13&quot;/&gt;&lt;wsp:rsid wsp:val=&quot;00D02FE2&quot;/&gt;&lt;wsp:rsid wsp:val=&quot;00D03302&quot;/&gt;&lt;wsp:rsid wsp:val=&quot;00D03309&quot;/&gt;&lt;wsp:rsid wsp:val=&quot;00D03652&quot;/&gt;&lt;wsp:rsid wsp:val=&quot;00D03900&quot;/&gt;&lt;wsp:rsid wsp:val=&quot;00D03D46&quot;/&gt;&lt;wsp:rsid wsp:val=&quot;00D03E43&quot;/&gt;&lt;wsp:rsid wsp:val=&quot;00D04430&quot;/&gt;&lt;wsp:rsid wsp:val=&quot;00D05571&quot;/&gt;&lt;wsp:rsid wsp:val=&quot;00D0571D&quot;/&gt;&lt;wsp:rsid wsp:val=&quot;00D059EF&quot;/&gt;&lt;wsp:rsid wsp:val=&quot;00D05B66&quot;/&gt;&lt;wsp:rsid wsp:val=&quot;00D05D06&quot;/&gt;&lt;wsp:rsid wsp:val=&quot;00D06000&quot;/&gt;&lt;wsp:rsid wsp:val=&quot;00D0649B&quot;/&gt;&lt;wsp:rsid wsp:val=&quot;00D067F3&quot;/&gt;&lt;wsp:rsid wsp:val=&quot;00D07D78&quot;/&gt;&lt;wsp:rsid wsp:val=&quot;00D07E5C&quot;/&gt;&lt;wsp:rsid wsp:val=&quot;00D07F5A&quot;/&gt;&lt;wsp:rsid wsp:val=&quot;00D07FEA&quot;/&gt;&lt;wsp:rsid wsp:val=&quot;00D10C47&quot;/&gt;&lt;wsp:rsid wsp:val=&quot;00D10F61&quot;/&gt;&lt;wsp:rsid wsp:val=&quot;00D11A47&quot;/&gt;&lt;wsp:rsid wsp:val=&quot;00D11BBE&quot;/&gt;&lt;wsp:rsid wsp:val=&quot;00D11BC5&quot;/&gt;&lt;wsp:rsid wsp:val=&quot;00D120A3&quot;/&gt;&lt;wsp:rsid wsp:val=&quot;00D12124&quot;/&gt;&lt;wsp:rsid wsp:val=&quot;00D1215C&quot;/&gt;&lt;wsp:rsid wsp:val=&quot;00D128A4&quot;/&gt;&lt;wsp:rsid wsp:val=&quot;00D12983&quot;/&gt;&lt;wsp:rsid wsp:val=&quot;00D12D49&quot;/&gt;&lt;wsp:rsid wsp:val=&quot;00D12E4E&quot;/&gt;&lt;wsp:rsid wsp:val=&quot;00D12FE3&quot;/&gt;&lt;wsp:rsid wsp:val=&quot;00D130F2&quot;/&gt;&lt;wsp:rsid wsp:val=&quot;00D13DC3&quot;/&gt;&lt;wsp:rsid wsp:val=&quot;00D143DF&quot;/&gt;&lt;wsp:rsid wsp:val=&quot;00D14B32&quot;/&gt;&lt;wsp:rsid wsp:val=&quot;00D14DFF&quot;/&gt;&lt;wsp:rsid wsp:val=&quot;00D14E96&quot;/&gt;&lt;wsp:rsid wsp:val=&quot;00D1567E&quot;/&gt;&lt;wsp:rsid wsp:val=&quot;00D15732&quot;/&gt;&lt;wsp:rsid wsp:val=&quot;00D164B9&quot;/&gt;&lt;wsp:rsid wsp:val=&quot;00D16750&quot;/&gt;&lt;wsp:rsid wsp:val=&quot;00D16BCA&quot;/&gt;&lt;wsp:rsid wsp:val=&quot;00D16DBD&quot;/&gt;&lt;wsp:rsid wsp:val=&quot;00D16F4D&quot;/&gt;&lt;wsp:rsid wsp:val=&quot;00D17157&quot;/&gt;&lt;wsp:rsid wsp:val=&quot;00D173FA&quot;/&gt;&lt;wsp:rsid wsp:val=&quot;00D17940&quot;/&gt;&lt;wsp:rsid wsp:val=&quot;00D17E8C&quot;/&gt;&lt;wsp:rsid wsp:val=&quot;00D200AD&quot;/&gt;&lt;wsp:rsid wsp:val=&quot;00D209D7&quot;/&gt;&lt;wsp:rsid wsp:val=&quot;00D20C20&quot;/&gt;&lt;wsp:rsid wsp:val=&quot;00D217CF&quot;/&gt;&lt;wsp:rsid wsp:val=&quot;00D21CD2&quot;/&gt;&lt;wsp:rsid wsp:val=&quot;00D21CFA&quot;/&gt;&lt;wsp:rsid wsp:val=&quot;00D22113&quot;/&gt;&lt;wsp:rsid wsp:val=&quot;00D221B7&quot;/&gt;&lt;wsp:rsid wsp:val=&quot;00D222C6&quot;/&gt;&lt;wsp:rsid wsp:val=&quot;00D2283C&quot;/&gt;&lt;wsp:rsid wsp:val=&quot;00D22A80&quot;/&gt;&lt;wsp:rsid wsp:val=&quot;00D22C0A&quot;/&gt;&lt;wsp:rsid wsp:val=&quot;00D22C30&quot;/&gt;&lt;wsp:rsid wsp:val=&quot;00D22D4A&quot;/&gt;&lt;wsp:rsid wsp:val=&quot;00D22F3C&quot;/&gt;&lt;wsp:rsid wsp:val=&quot;00D230A4&quot;/&gt;&lt;wsp:rsid wsp:val=&quot;00D230F3&quot;/&gt;&lt;wsp:rsid wsp:val=&quot;00D23122&quot;/&gt;&lt;wsp:rsid wsp:val=&quot;00D232BF&quot;/&gt;&lt;wsp:rsid wsp:val=&quot;00D235CC&quot;/&gt;&lt;wsp:rsid wsp:val=&quot;00D2386E&quot;/&gt;&lt;wsp:rsid wsp:val=&quot;00D23D5B&quot;/&gt;&lt;wsp:rsid wsp:val=&quot;00D241B0&quot;/&gt;&lt;wsp:rsid wsp:val=&quot;00D2453C&quot;/&gt;&lt;wsp:rsid wsp:val=&quot;00D2459F&quot;/&gt;&lt;wsp:rsid wsp:val=&quot;00D24907&quot;/&gt;&lt;wsp:rsid wsp:val=&quot;00D249D2&quot;/&gt;&lt;wsp:rsid wsp:val=&quot;00D24DE7&quot;/&gt;&lt;wsp:rsid wsp:val=&quot;00D2516D&quot;/&gt;&lt;wsp:rsid wsp:val=&quot;00D25873&quot;/&gt;&lt;wsp:rsid wsp:val=&quot;00D25DAF&quot;/&gt;&lt;wsp:rsid wsp:val=&quot;00D26301&quot;/&gt;&lt;wsp:rsid wsp:val=&quot;00D26D39&quot;/&gt;&lt;wsp:rsid wsp:val=&quot;00D27409&quot;/&gt;&lt;wsp:rsid wsp:val=&quot;00D27540&quot;/&gt;&lt;wsp:rsid wsp:val=&quot;00D27769&quot;/&gt;&lt;wsp:rsid wsp:val=&quot;00D279B8&quot;/&gt;&lt;wsp:rsid wsp:val=&quot;00D27F7C&quot;/&gt;&lt;wsp:rsid wsp:val=&quot;00D30128&quot;/&gt;&lt;wsp:rsid wsp:val=&quot;00D30372&quot;/&gt;&lt;wsp:rsid wsp:val=&quot;00D307D2&quot;/&gt;&lt;wsp:rsid wsp:val=&quot;00D30BD5&quot;/&gt;&lt;wsp:rsid wsp:val=&quot;00D30C40&quot;/&gt;&lt;wsp:rsid wsp:val=&quot;00D310FA&quot;/&gt;&lt;wsp:rsid wsp:val=&quot;00D315BB&quot;/&gt;&lt;wsp:rsid wsp:val=&quot;00D31981&quot;/&gt;&lt;wsp:rsid wsp:val=&quot;00D31BA6&quot;/&gt;&lt;wsp:rsid wsp:val=&quot;00D31CFC&quot;/&gt;&lt;wsp:rsid wsp:val=&quot;00D322C2&quot;/&gt;&lt;wsp:rsid wsp:val=&quot;00D32411&quot;/&gt;&lt;wsp:rsid wsp:val=&quot;00D324ED&quot;/&gt;&lt;wsp:rsid wsp:val=&quot;00D33035&quot;/&gt;&lt;wsp:rsid wsp:val=&quot;00D33038&quot;/&gt;&lt;wsp:rsid wsp:val=&quot;00D33275&quot;/&gt;&lt;wsp:rsid wsp:val=&quot;00D33278&quot;/&gt;&lt;wsp:rsid wsp:val=&quot;00D335C3&quot;/&gt;&lt;wsp:rsid wsp:val=&quot;00D3375E&quot;/&gt;&lt;wsp:rsid wsp:val=&quot;00D33852&quot;/&gt;&lt;wsp:rsid wsp:val=&quot;00D33D31&quot;/&gt;&lt;wsp:rsid wsp:val=&quot;00D344A7&quot;/&gt;&lt;wsp:rsid wsp:val=&quot;00D34757&quot;/&gt;&lt;wsp:rsid wsp:val=&quot;00D34B46&quot;/&gt;&lt;wsp:rsid wsp:val=&quot;00D350C4&quot;/&gt;&lt;wsp:rsid wsp:val=&quot;00D3559B&quot;/&gt;&lt;wsp:rsid wsp:val=&quot;00D35E85&quot;/&gt;&lt;wsp:rsid wsp:val=&quot;00D360F1&quot;/&gt;&lt;wsp:rsid wsp:val=&quot;00D36322&quot;/&gt;&lt;wsp:rsid wsp:val=&quot;00D366D9&quot;/&gt;&lt;wsp:rsid wsp:val=&quot;00D36DF2&quot;/&gt;&lt;wsp:rsid wsp:val=&quot;00D37431&quot;/&gt;&lt;wsp:rsid wsp:val=&quot;00D37733&quot;/&gt;&lt;wsp:rsid wsp:val=&quot;00D37A21&quot;/&gt;&lt;wsp:rsid wsp:val=&quot;00D37AAF&quot;/&gt;&lt;wsp:rsid wsp:val=&quot;00D37B37&quot;/&gt;&lt;wsp:rsid wsp:val=&quot;00D37BFA&quot;/&gt;&lt;wsp:rsid wsp:val=&quot;00D37EA6&quot;/&gt;&lt;wsp:rsid wsp:val=&quot;00D40872&quot;/&gt;&lt;wsp:rsid wsp:val=&quot;00D40E7C&quot;/&gt;&lt;wsp:rsid wsp:val=&quot;00D40F27&quot;/&gt;&lt;wsp:rsid wsp:val=&quot;00D41179&quot;/&gt;&lt;wsp:rsid wsp:val=&quot;00D41803&quot;/&gt;&lt;wsp:rsid wsp:val=&quot;00D41A05&quot;/&gt;&lt;wsp:rsid wsp:val=&quot;00D41A3B&quot;/&gt;&lt;wsp:rsid wsp:val=&quot;00D41A7D&quot;/&gt;&lt;wsp:rsid wsp:val=&quot;00D41C03&quot;/&gt;&lt;wsp:rsid wsp:val=&quot;00D42B7C&quot;/&gt;&lt;wsp:rsid wsp:val=&quot;00D43133&quot;/&gt;&lt;wsp:rsid wsp:val=&quot;00D4322E&quot;/&gt;&lt;wsp:rsid wsp:val=&quot;00D43AFC&quot;/&gt;&lt;wsp:rsid wsp:val=&quot;00D43C8E&quot;/&gt;&lt;wsp:rsid wsp:val=&quot;00D43DA5&quot;/&gt;&lt;wsp:rsid wsp:val=&quot;00D44404&quot;/&gt;&lt;wsp:rsid wsp:val=&quot;00D44638&quot;/&gt;&lt;wsp:rsid wsp:val=&quot;00D4497C&quot;/&gt;&lt;wsp:rsid wsp:val=&quot;00D449A0&quot;/&gt;&lt;wsp:rsid wsp:val=&quot;00D44E88&quot;/&gt;&lt;wsp:rsid wsp:val=&quot;00D450A2&quot;/&gt;&lt;wsp:rsid wsp:val=&quot;00D45419&quot;/&gt;&lt;wsp:rsid wsp:val=&quot;00D457BD&quot;/&gt;&lt;wsp:rsid wsp:val=&quot;00D46514&quot;/&gt;&lt;wsp:rsid wsp:val=&quot;00D46798&quot;/&gt;&lt;wsp:rsid wsp:val=&quot;00D46ADF&quot;/&gt;&lt;wsp:rsid wsp:val=&quot;00D46C81&quot;/&gt;&lt;wsp:rsid wsp:val=&quot;00D47673&quot;/&gt;&lt;wsp:rsid wsp:val=&quot;00D47B77&quot;/&gt;&lt;wsp:rsid wsp:val=&quot;00D50034&quot;/&gt;&lt;wsp:rsid wsp:val=&quot;00D503EC&quot;/&gt;&lt;wsp:rsid wsp:val=&quot;00D50F65&quot;/&gt;&lt;wsp:rsid wsp:val=&quot;00D50F81&quot;/&gt;&lt;wsp:rsid wsp:val=&quot;00D51720&quot;/&gt;&lt;wsp:rsid wsp:val=&quot;00D51B2A&quot;/&gt;&lt;wsp:rsid wsp:val=&quot;00D51D4A&quot;/&gt;&lt;wsp:rsid wsp:val=&quot;00D52209&quot;/&gt;&lt;wsp:rsid wsp:val=&quot;00D5234B&quot;/&gt;&lt;wsp:rsid wsp:val=&quot;00D52395&quot;/&gt;&lt;wsp:rsid wsp:val=&quot;00D52581&quot;/&gt;&lt;wsp:rsid wsp:val=&quot;00D52759&quot;/&gt;&lt;wsp:rsid wsp:val=&quot;00D52769&quot;/&gt;&lt;wsp:rsid wsp:val=&quot;00D52807&quot;/&gt;&lt;wsp:rsid wsp:val=&quot;00D52BB3&quot;/&gt;&lt;wsp:rsid wsp:val=&quot;00D52C1D&quot;/&gt;&lt;wsp:rsid wsp:val=&quot;00D53964&quot;/&gt;&lt;wsp:rsid wsp:val=&quot;00D53984&quot;/&gt;&lt;wsp:rsid wsp:val=&quot;00D53BAC&quot;/&gt;&lt;wsp:rsid wsp:val=&quot;00D53BE1&quot;/&gt;&lt;wsp:rsid wsp:val=&quot;00D53C87&quot;/&gt;&lt;wsp:rsid wsp:val=&quot;00D54868&quot;/&gt;&lt;wsp:rsid wsp:val=&quot;00D54C61&quot;/&gt;&lt;wsp:rsid wsp:val=&quot;00D54D1E&quot;/&gt;&lt;wsp:rsid wsp:val=&quot;00D55266&quot;/&gt;&lt;wsp:rsid wsp:val=&quot;00D55283&quot;/&gt;&lt;wsp:rsid wsp:val=&quot;00D5595E&quot;/&gt;&lt;wsp:rsid wsp:val=&quot;00D55BCE&quot;/&gt;&lt;wsp:rsid wsp:val=&quot;00D5613C&quot;/&gt;&lt;wsp:rsid wsp:val=&quot;00D56253&quot;/&gt;&lt;wsp:rsid wsp:val=&quot;00D56498&quot;/&gt;&lt;wsp:rsid wsp:val=&quot;00D567FE&quot;/&gt;&lt;wsp:rsid wsp:val=&quot;00D56CE8&quot;/&gt;&lt;wsp:rsid wsp:val=&quot;00D5731E&quot;/&gt;&lt;wsp:rsid wsp:val=&quot;00D579C3&quot;/&gt;&lt;wsp:rsid wsp:val=&quot;00D57E09&quot;/&gt;&lt;wsp:rsid wsp:val=&quot;00D6016A&quot;/&gt;&lt;wsp:rsid wsp:val=&quot;00D60191&quot;/&gt;&lt;wsp:rsid wsp:val=&quot;00D61005&quot;/&gt;&lt;wsp:rsid wsp:val=&quot;00D61015&quot;/&gt;&lt;wsp:rsid wsp:val=&quot;00D61131&quot;/&gt;&lt;wsp:rsid wsp:val=&quot;00D611BB&quot;/&gt;&lt;wsp:rsid wsp:val=&quot;00D61829&quot;/&gt;&lt;wsp:rsid wsp:val=&quot;00D61A11&quot;/&gt;&lt;wsp:rsid wsp:val=&quot;00D61ADA&quot;/&gt;&lt;wsp:rsid wsp:val=&quot;00D61BEC&quot;/&gt;&lt;wsp:rsid wsp:val=&quot;00D61EBC&quot;/&gt;&lt;wsp:rsid wsp:val=&quot;00D61F64&quot;/&gt;&lt;wsp:rsid wsp:val=&quot;00D620A2&quot;/&gt;&lt;wsp:rsid wsp:val=&quot;00D622CE&quot;/&gt;&lt;wsp:rsid wsp:val=&quot;00D625F9&quot;/&gt;&lt;wsp:rsid wsp:val=&quot;00D626BE&quot;/&gt;&lt;wsp:rsid wsp:val=&quot;00D627CF&quot;/&gt;&lt;wsp:rsid wsp:val=&quot;00D62824&quot;/&gt;&lt;wsp:rsid wsp:val=&quot;00D6298A&quot;/&gt;&lt;wsp:rsid wsp:val=&quot;00D62A18&quot;/&gt;&lt;wsp:rsid wsp:val=&quot;00D62B58&quot;/&gt;&lt;wsp:rsid wsp:val=&quot;00D630C5&quot;/&gt;&lt;wsp:rsid wsp:val=&quot;00D636AD&quot;/&gt;&lt;wsp:rsid wsp:val=&quot;00D63D63&quot;/&gt;&lt;wsp:rsid wsp:val=&quot;00D64252&quot;/&gt;&lt;wsp:rsid wsp:val=&quot;00D64417&quot;/&gt;&lt;wsp:rsid wsp:val=&quot;00D6444A&quot;/&gt;&lt;wsp:rsid wsp:val=&quot;00D644E7&quot;/&gt;&lt;wsp:rsid wsp:val=&quot;00D646C6&quot;/&gt;&lt;wsp:rsid wsp:val=&quot;00D64822&quot;/&gt;&lt;wsp:rsid wsp:val=&quot;00D652FF&quot;/&gt;&lt;wsp:rsid wsp:val=&quot;00D653DB&quot;/&gt;&lt;wsp:rsid wsp:val=&quot;00D654C8&quot;/&gt;&lt;wsp:rsid wsp:val=&quot;00D6567B&quot;/&gt;&lt;wsp:rsid wsp:val=&quot;00D65AA1&quot;/&gt;&lt;wsp:rsid wsp:val=&quot;00D6638B&quot;/&gt;&lt;wsp:rsid wsp:val=&quot;00D66DD9&quot;/&gt;&lt;wsp:rsid wsp:val=&quot;00D66FA6&quot;/&gt;&lt;wsp:rsid wsp:val=&quot;00D671DD&quot;/&gt;&lt;wsp:rsid wsp:val=&quot;00D67240&quot;/&gt;&lt;wsp:rsid wsp:val=&quot;00D678AC&quot;/&gt;&lt;wsp:rsid wsp:val=&quot;00D67A44&quot;/&gt;&lt;wsp:rsid wsp:val=&quot;00D67C73&quot;/&gt;&lt;wsp:rsid wsp:val=&quot;00D7030E&quot;/&gt;&lt;wsp:rsid wsp:val=&quot;00D703A3&quot;/&gt;&lt;wsp:rsid wsp:val=&quot;00D7040C&quot;/&gt;&lt;wsp:rsid wsp:val=&quot;00D705E7&quot;/&gt;&lt;wsp:rsid wsp:val=&quot;00D7074F&quot;/&gt;&lt;wsp:rsid wsp:val=&quot;00D70CD1&quot;/&gt;&lt;wsp:rsid wsp:val=&quot;00D70E7A&quot;/&gt;&lt;wsp:rsid wsp:val=&quot;00D70F4A&quot;/&gt;&lt;wsp:rsid wsp:val=&quot;00D71546&quot;/&gt;&lt;wsp:rsid wsp:val=&quot;00D716E8&quot;/&gt;&lt;wsp:rsid wsp:val=&quot;00D71916&quot;/&gt;&lt;wsp:rsid wsp:val=&quot;00D719E6&quot;/&gt;&lt;wsp:rsid wsp:val=&quot;00D71CEF&quot;/&gt;&lt;wsp:rsid wsp:val=&quot;00D7218F&quot;/&gt;&lt;wsp:rsid wsp:val=&quot;00D72199&quot;/&gt;&lt;wsp:rsid wsp:val=&quot;00D72232&quot;/&gt;&lt;wsp:rsid wsp:val=&quot;00D722CF&quot;/&gt;&lt;wsp:rsid wsp:val=&quot;00D725DB&quot;/&gt;&lt;wsp:rsid wsp:val=&quot;00D72C5F&quot;/&gt;&lt;wsp:rsid wsp:val=&quot;00D72DA4&quot;/&gt;&lt;wsp:rsid wsp:val=&quot;00D732EE&quot;/&gt;&lt;wsp:rsid wsp:val=&quot;00D73338&quot;/&gt;&lt;wsp:rsid wsp:val=&quot;00D73348&quot;/&gt;&lt;wsp:rsid wsp:val=&quot;00D73FD6&quot;/&gt;&lt;wsp:rsid wsp:val=&quot;00D74262&quot;/&gt;&lt;wsp:rsid wsp:val=&quot;00D7433C&quot;/&gt;&lt;wsp:rsid wsp:val=&quot;00D74575&quot;/&gt;&lt;wsp:rsid wsp:val=&quot;00D7465E&quot;/&gt;&lt;wsp:rsid wsp:val=&quot;00D74A56&quot;/&gt;&lt;wsp:rsid wsp:val=&quot;00D74D31&quot;/&gt;&lt;wsp:rsid wsp:val=&quot;00D74D6F&quot;/&gt;&lt;wsp:rsid wsp:val=&quot;00D74EF6&quot;/&gt;&lt;wsp:rsid wsp:val=&quot;00D74F07&quot;/&gt;&lt;wsp:rsid wsp:val=&quot;00D74F9C&quot;/&gt;&lt;wsp:rsid wsp:val=&quot;00D75012&quot;/&gt;&lt;wsp:rsid wsp:val=&quot;00D75773&quot;/&gt;&lt;wsp:rsid wsp:val=&quot;00D760A9&quot;/&gt;&lt;wsp:rsid wsp:val=&quot;00D760CF&quot;/&gt;&lt;wsp:rsid wsp:val=&quot;00D763C6&quot;/&gt;&lt;wsp:rsid wsp:val=&quot;00D76440&quot;/&gt;&lt;wsp:rsid wsp:val=&quot;00D76731&quot;/&gt;&lt;wsp:rsid wsp:val=&quot;00D7695D&quot;/&gt;&lt;wsp:rsid wsp:val=&quot;00D77746&quot;/&gt;&lt;wsp:rsid wsp:val=&quot;00D778C2&quot;/&gt;&lt;wsp:rsid wsp:val=&quot;00D77CA3&quot;/&gt;&lt;wsp:rsid wsp:val=&quot;00D8038B&quot;/&gt;&lt;wsp:rsid wsp:val=&quot;00D803E5&quot;/&gt;&lt;wsp:rsid wsp:val=&quot;00D80BA3&quot;/&gt;&lt;wsp:rsid wsp:val=&quot;00D80E47&quot;/&gt;&lt;wsp:rsid wsp:val=&quot;00D813D1&quot;/&gt;&lt;wsp:rsid wsp:val=&quot;00D81428&quot;/&gt;&lt;wsp:rsid wsp:val=&quot;00D818D9&quot;/&gt;&lt;wsp:rsid wsp:val=&quot;00D81B53&quot;/&gt;&lt;wsp:rsid wsp:val=&quot;00D81D91&quot;/&gt;&lt;wsp:rsid wsp:val=&quot;00D81E8A&quot;/&gt;&lt;wsp:rsid wsp:val=&quot;00D82675&quot;/&gt;&lt;wsp:rsid wsp:val=&quot;00D8270A&quot;/&gt;&lt;wsp:rsid wsp:val=&quot;00D82A8E&quot;/&gt;&lt;wsp:rsid wsp:val=&quot;00D82DF1&quot;/&gt;&lt;wsp:rsid wsp:val=&quot;00D82EF5&quot;/&gt;&lt;wsp:rsid wsp:val=&quot;00D831D9&quot;/&gt;&lt;wsp:rsid wsp:val=&quot;00D83235&quot;/&gt;&lt;wsp:rsid wsp:val=&quot;00D8393F&quot;/&gt;&lt;wsp:rsid wsp:val=&quot;00D840E6&quot;/&gt;&lt;wsp:rsid wsp:val=&quot;00D8429C&quot;/&gt;&lt;wsp:rsid wsp:val=&quot;00D842D4&quot;/&gt;&lt;wsp:rsid wsp:val=&quot;00D84621&quot;/&gt;&lt;wsp:rsid wsp:val=&quot;00D8462B&quot;/&gt;&lt;wsp:rsid wsp:val=&quot;00D84941&quot;/&gt;&lt;wsp:rsid wsp:val=&quot;00D8521F&quot;/&gt;&lt;wsp:rsid wsp:val=&quot;00D85335&quot;/&gt;&lt;wsp:rsid wsp:val=&quot;00D856EC&quot;/&gt;&lt;wsp:rsid wsp:val=&quot;00D8570C&quot;/&gt;&lt;wsp:rsid wsp:val=&quot;00D85824&quot;/&gt;&lt;wsp:rsid wsp:val=&quot;00D85C69&quot;/&gt;&lt;wsp:rsid wsp:val=&quot;00D85C72&quot;/&gt;&lt;wsp:rsid wsp:val=&quot;00D85DEB&quot;/&gt;&lt;wsp:rsid wsp:val=&quot;00D861F0&quot;/&gt;&lt;wsp:rsid wsp:val=&quot;00D86504&quot;/&gt;&lt;wsp:rsid wsp:val=&quot;00D86DFF&quot;/&gt;&lt;wsp:rsid wsp:val=&quot;00D87212&quot;/&gt;&lt;wsp:rsid wsp:val=&quot;00D87551&quot;/&gt;&lt;wsp:rsid wsp:val=&quot;00D87C1E&quot;/&gt;&lt;wsp:rsid wsp:val=&quot;00D90067&quot;/&gt;&lt;wsp:rsid wsp:val=&quot;00D903FC&quot;/&gt;&lt;wsp:rsid wsp:val=&quot;00D903FF&quot;/&gt;&lt;wsp:rsid wsp:val=&quot;00D9066D&quot;/&gt;&lt;wsp:rsid wsp:val=&quot;00D90844&quot;/&gt;&lt;wsp:rsid wsp:val=&quot;00D90C47&quot;/&gt;&lt;wsp:rsid wsp:val=&quot;00D90CDB&quot;/&gt;&lt;wsp:rsid wsp:val=&quot;00D9124E&quot;/&gt;&lt;wsp:rsid wsp:val=&quot;00D917CA&quot;/&gt;&lt;wsp:rsid wsp:val=&quot;00D918CD&quot;/&gt;&lt;wsp:rsid wsp:val=&quot;00D9196C&quot;/&gt;&lt;wsp:rsid wsp:val=&quot;00D91C21&quot;/&gt;&lt;wsp:rsid wsp:val=&quot;00D91EC6&quot;/&gt;&lt;wsp:rsid wsp:val=&quot;00D91F11&quot;/&gt;&lt;wsp:rsid wsp:val=&quot;00D91FF6&quot;/&gt;&lt;wsp:rsid wsp:val=&quot;00D922E8&quot;/&gt;&lt;wsp:rsid wsp:val=&quot;00D92491&quot;/&gt;&lt;wsp:rsid wsp:val=&quot;00D92AE3&quot;/&gt;&lt;wsp:rsid wsp:val=&quot;00D92CE4&quot;/&gt;&lt;wsp:rsid wsp:val=&quot;00D934D4&quot;/&gt;&lt;wsp:rsid wsp:val=&quot;00D935B0&quot;/&gt;&lt;wsp:rsid wsp:val=&quot;00D93895&quot;/&gt;&lt;wsp:rsid wsp:val=&quot;00D93B30&quot;/&gt;&lt;wsp:rsid wsp:val=&quot;00D93EE5&quot;/&gt;&lt;wsp:rsid wsp:val=&quot;00D9400B&quot;/&gt;&lt;wsp:rsid wsp:val=&quot;00D94351&quot;/&gt;&lt;wsp:rsid wsp:val=&quot;00D9436E&quot;/&gt;&lt;wsp:rsid wsp:val=&quot;00D9442C&quot;/&gt;&lt;wsp:rsid wsp:val=&quot;00D94635&quot;/&gt;&lt;wsp:rsid wsp:val=&quot;00D95228&quot;/&gt;&lt;wsp:rsid wsp:val=&quot;00D957C3&quot;/&gt;&lt;wsp:rsid wsp:val=&quot;00D95AF4&quot;/&gt;&lt;wsp:rsid wsp:val=&quot;00D95CB7&quot;/&gt;&lt;wsp:rsid wsp:val=&quot;00D96247&quot;/&gt;&lt;wsp:rsid wsp:val=&quot;00D9632F&quot;/&gt;&lt;wsp:rsid wsp:val=&quot;00D9690E&quot;/&gt;&lt;wsp:rsid wsp:val=&quot;00D97DC7&quot;/&gt;&lt;wsp:rsid wsp:val=&quot;00D97EE3&quot;/&gt;&lt;wsp:rsid wsp:val=&quot;00DA00AE&quot;/&gt;&lt;wsp:rsid wsp:val=&quot;00DA0108&quot;/&gt;&lt;wsp:rsid wsp:val=&quot;00DA01C4&quot;/&gt;&lt;wsp:rsid wsp:val=&quot;00DA0DD0&quot;/&gt;&lt;wsp:rsid wsp:val=&quot;00DA1876&quot;/&gt;&lt;wsp:rsid wsp:val=&quot;00DA1992&quot;/&gt;&lt;wsp:rsid wsp:val=&quot;00DA1A61&quot;/&gt;&lt;wsp:rsid wsp:val=&quot;00DA1BBD&quot;/&gt;&lt;wsp:rsid wsp:val=&quot;00DA27FD&quot;/&gt;&lt;wsp:rsid wsp:val=&quot;00DA281D&quot;/&gt;&lt;wsp:rsid wsp:val=&quot;00DA2B3F&quot;/&gt;&lt;wsp:rsid wsp:val=&quot;00DA2D48&quot;/&gt;&lt;wsp:rsid wsp:val=&quot;00DA31D6&quot;/&gt;&lt;wsp:rsid wsp:val=&quot;00DA32ED&quot;/&gt;&lt;wsp:rsid wsp:val=&quot;00DA355F&quot;/&gt;&lt;wsp:rsid wsp:val=&quot;00DA3637&quot;/&gt;&lt;wsp:rsid wsp:val=&quot;00DA3DE0&quot;/&gt;&lt;wsp:rsid wsp:val=&quot;00DA452D&quot;/&gt;&lt;wsp:rsid wsp:val=&quot;00DA4785&quot;/&gt;&lt;wsp:rsid wsp:val=&quot;00DA47F3&quot;/&gt;&lt;wsp:rsid wsp:val=&quot;00DA48A9&quot;/&gt;&lt;wsp:rsid wsp:val=&quot;00DA4AAB&quot;/&gt;&lt;wsp:rsid wsp:val=&quot;00DA4BE1&quot;/&gt;&lt;wsp:rsid wsp:val=&quot;00DA4C15&quot;/&gt;&lt;wsp:rsid wsp:val=&quot;00DA4CE7&quot;/&gt;&lt;wsp:rsid wsp:val=&quot;00DA4E26&quot;/&gt;&lt;wsp:rsid wsp:val=&quot;00DA4EDE&quot;/&gt;&lt;wsp:rsid wsp:val=&quot;00DA549C&quot;/&gt;&lt;wsp:rsid wsp:val=&quot;00DA54CD&quot;/&gt;&lt;wsp:rsid wsp:val=&quot;00DA571E&quot;/&gt;&lt;wsp:rsid wsp:val=&quot;00DA5943&quot;/&gt;&lt;wsp:rsid wsp:val=&quot;00DA5F1F&quot;/&gt;&lt;wsp:rsid wsp:val=&quot;00DA61F5&quot;/&gt;&lt;wsp:rsid wsp:val=&quot;00DA6232&quot;/&gt;&lt;wsp:rsid wsp:val=&quot;00DA65B2&quot;/&gt;&lt;wsp:rsid wsp:val=&quot;00DA662D&quot;/&gt;&lt;wsp:rsid wsp:val=&quot;00DA6ABD&quot;/&gt;&lt;wsp:rsid wsp:val=&quot;00DA6E57&quot;/&gt;&lt;wsp:rsid wsp:val=&quot;00DA7056&quot;/&gt;&lt;wsp:rsid wsp:val=&quot;00DA7340&quot;/&gt;&lt;wsp:rsid wsp:val=&quot;00DA7BA4&quot;/&gt;&lt;wsp:rsid wsp:val=&quot;00DA7E61&quot;/&gt;&lt;wsp:rsid wsp:val=&quot;00DA7FCB&quot;/&gt;&lt;wsp:rsid wsp:val=&quot;00DB01DB&quot;/&gt;&lt;wsp:rsid wsp:val=&quot;00DB09AB&quot;/&gt;&lt;wsp:rsid wsp:val=&quot;00DB0A6B&quot;/&gt;&lt;wsp:rsid wsp:val=&quot;00DB0C61&quot;/&gt;&lt;wsp:rsid wsp:val=&quot;00DB0FD0&quot;/&gt;&lt;wsp:rsid wsp:val=&quot;00DB111F&quot;/&gt;&lt;wsp:rsid wsp:val=&quot;00DB1156&quot;/&gt;&lt;wsp:rsid wsp:val=&quot;00DB1ADE&quot;/&gt;&lt;wsp:rsid wsp:val=&quot;00DB21F9&quot;/&gt;&lt;wsp:rsid wsp:val=&quot;00DB23E1&quot;/&gt;&lt;wsp:rsid wsp:val=&quot;00DB242E&quot;/&gt;&lt;wsp:rsid wsp:val=&quot;00DB247B&quot;/&gt;&lt;wsp:rsid wsp:val=&quot;00DB2500&quot;/&gt;&lt;wsp:rsid wsp:val=&quot;00DB25F7&quot;/&gt;&lt;wsp:rsid wsp:val=&quot;00DB2745&quot;/&gt;&lt;wsp:rsid wsp:val=&quot;00DB2810&quot;/&gt;&lt;wsp:rsid wsp:val=&quot;00DB296C&quot;/&gt;&lt;wsp:rsid wsp:val=&quot;00DB2979&quot;/&gt;&lt;wsp:rsid wsp:val=&quot;00DB29FA&quot;/&gt;&lt;wsp:rsid wsp:val=&quot;00DB2B88&quot;/&gt;&lt;wsp:rsid wsp:val=&quot;00DB2C50&quot;/&gt;&lt;wsp:rsid wsp:val=&quot;00DB32C4&quot;/&gt;&lt;wsp:rsid wsp:val=&quot;00DB3873&quot;/&gt;&lt;wsp:rsid wsp:val=&quot;00DB38FF&quot;/&gt;&lt;wsp:rsid wsp:val=&quot;00DB3F39&quot;/&gt;&lt;wsp:rsid wsp:val=&quot;00DB3FF4&quot;/&gt;&lt;wsp:rsid wsp:val=&quot;00DB4EA6&quot;/&gt;&lt;wsp:rsid wsp:val=&quot;00DB51A7&quot;/&gt;&lt;wsp:rsid wsp:val=&quot;00DB5222&quot;/&gt;&lt;wsp:rsid wsp:val=&quot;00DB5A41&quot;/&gt;&lt;wsp:rsid wsp:val=&quot;00DB5DD7&quot;/&gt;&lt;wsp:rsid wsp:val=&quot;00DB64EB&quot;/&gt;&lt;wsp:rsid wsp:val=&quot;00DB6A15&quot;/&gt;&lt;wsp:rsid wsp:val=&quot;00DB6C7B&quot;/&gt;&lt;wsp:rsid wsp:val=&quot;00DB71FD&quot;/&gt;&lt;wsp:rsid wsp:val=&quot;00DB756B&quot;/&gt;&lt;wsp:rsid wsp:val=&quot;00DB7684&quot;/&gt;&lt;wsp:rsid wsp:val=&quot;00DB7D5B&quot;/&gt;&lt;wsp:rsid wsp:val=&quot;00DB7F4C&quot;/&gt;&lt;wsp:rsid wsp:val=&quot;00DC037E&quot;/&gt;&lt;wsp:rsid wsp:val=&quot;00DC0828&quot;/&gt;&lt;wsp:rsid wsp:val=&quot;00DC085B&quot;/&gt;&lt;wsp:rsid wsp:val=&quot;00DC08CF&quot;/&gt;&lt;wsp:rsid wsp:val=&quot;00DC0984&quot;/&gt;&lt;wsp:rsid wsp:val=&quot;00DC0EC9&quot;/&gt;&lt;wsp:rsid wsp:val=&quot;00DC0ECC&quot;/&gt;&lt;wsp:rsid wsp:val=&quot;00DC141E&quot;/&gt;&lt;wsp:rsid wsp:val=&quot;00DC15EC&quot;/&gt;&lt;wsp:rsid wsp:val=&quot;00DC1957&quot;/&gt;&lt;wsp:rsid wsp:val=&quot;00DC1CFE&quot;/&gt;&lt;wsp:rsid wsp:val=&quot;00DC21D5&quot;/&gt;&lt;wsp:rsid wsp:val=&quot;00DC27DA&quot;/&gt;&lt;wsp:rsid wsp:val=&quot;00DC2C4C&quot;/&gt;&lt;wsp:rsid wsp:val=&quot;00DC2EE7&quot;/&gt;&lt;wsp:rsid wsp:val=&quot;00DC3280&quot;/&gt;&lt;wsp:rsid wsp:val=&quot;00DC3341&quot;/&gt;&lt;wsp:rsid wsp:val=&quot;00DC339F&quot;/&gt;&lt;wsp:rsid wsp:val=&quot;00DC33AB&quot;/&gt;&lt;wsp:rsid wsp:val=&quot;00DC3481&quot;/&gt;&lt;wsp:rsid wsp:val=&quot;00DC38A8&quot;/&gt;&lt;wsp:rsid wsp:val=&quot;00DC38BC&quot;/&gt;&lt;wsp:rsid wsp:val=&quot;00DC3992&quot;/&gt;&lt;wsp:rsid wsp:val=&quot;00DC3E04&quot;/&gt;&lt;wsp:rsid wsp:val=&quot;00DC402E&quot;/&gt;&lt;wsp:rsid wsp:val=&quot;00DC4284&quot;/&gt;&lt;wsp:rsid wsp:val=&quot;00DC4376&quot;/&gt;&lt;wsp:rsid wsp:val=&quot;00DC50F1&quot;/&gt;&lt;wsp:rsid wsp:val=&quot;00DC520C&quot;/&gt;&lt;wsp:rsid wsp:val=&quot;00DC535D&quot;/&gt;&lt;wsp:rsid wsp:val=&quot;00DC5445&quot;/&gt;&lt;wsp:rsid wsp:val=&quot;00DC562B&quot;/&gt;&lt;wsp:rsid wsp:val=&quot;00DC5FEC&quot;/&gt;&lt;wsp:rsid wsp:val=&quot;00DC6606&quot;/&gt;&lt;wsp:rsid wsp:val=&quot;00DC673D&quot;/&gt;&lt;wsp:rsid wsp:val=&quot;00DC67C7&quot;/&gt;&lt;wsp:rsid wsp:val=&quot;00DC69E6&quot;/&gt;&lt;wsp:rsid wsp:val=&quot;00DC6EDE&quot;/&gt;&lt;wsp:rsid wsp:val=&quot;00DC6F21&quot;/&gt;&lt;wsp:rsid wsp:val=&quot;00DC741A&quot;/&gt;&lt;wsp:rsid wsp:val=&quot;00DC751E&quot;/&gt;&lt;wsp:rsid wsp:val=&quot;00DC7B73&quot;/&gt;&lt;wsp:rsid wsp:val=&quot;00DC7C4E&quot;/&gt;&lt;wsp:rsid wsp:val=&quot;00DC7E15&quot;/&gt;&lt;wsp:rsid wsp:val=&quot;00DC7E27&quot;/&gt;&lt;wsp:rsid wsp:val=&quot;00DD01DC&quot;/&gt;&lt;wsp:rsid wsp:val=&quot;00DD042E&quot;/&gt;&lt;wsp:rsid wsp:val=&quot;00DD0A18&quot;/&gt;&lt;wsp:rsid wsp:val=&quot;00DD0A2F&quot;/&gt;&lt;wsp:rsid wsp:val=&quot;00DD0B4F&quot;/&gt;&lt;wsp:rsid wsp:val=&quot;00DD0C8C&quot;/&gt;&lt;wsp:rsid wsp:val=&quot;00DD109B&quot;/&gt;&lt;wsp:rsid wsp:val=&quot;00DD16ED&quot;/&gt;&lt;wsp:rsid wsp:val=&quot;00DD17BD&quot;/&gt;&lt;wsp:rsid wsp:val=&quot;00DD1B72&quot;/&gt;&lt;wsp:rsid wsp:val=&quot;00DD1D1C&quot;/&gt;&lt;wsp:rsid wsp:val=&quot;00DD237A&quot;/&gt;&lt;wsp:rsid wsp:val=&quot;00DD397C&quot;/&gt;&lt;wsp:rsid wsp:val=&quot;00DD3CEA&quot;/&gt;&lt;wsp:rsid wsp:val=&quot;00DD4838&quot;/&gt;&lt;wsp:rsid wsp:val=&quot;00DD4C81&quot;/&gt;&lt;wsp:rsid wsp:val=&quot;00DD54F2&quot;/&gt;&lt;wsp:rsid wsp:val=&quot;00DD55B0&quot;/&gt;&lt;wsp:rsid wsp:val=&quot;00DD68AB&quot;/&gt;&lt;wsp:rsid wsp:val=&quot;00DD69F4&quot;/&gt;&lt;wsp:rsid wsp:val=&quot;00DD7431&quot;/&gt;&lt;wsp:rsid wsp:val=&quot;00DD760A&quot;/&gt;&lt;wsp:rsid wsp:val=&quot;00DD7A76&quot;/&gt;&lt;wsp:rsid wsp:val=&quot;00DD7BC2&quot;/&gt;&lt;wsp:rsid wsp:val=&quot;00DD7E50&quot;/&gt;&lt;wsp:rsid wsp:val=&quot;00DE032C&quot;/&gt;&lt;wsp:rsid wsp:val=&quot;00DE0474&quot;/&gt;&lt;wsp:rsid wsp:val=&quot;00DE0727&quot;/&gt;&lt;wsp:rsid wsp:val=&quot;00DE0A01&quot;/&gt;&lt;wsp:rsid wsp:val=&quot;00DE0F9E&quot;/&gt;&lt;wsp:rsid wsp:val=&quot;00DE0FA7&quot;/&gt;&lt;wsp:rsid wsp:val=&quot;00DE1511&quot;/&gt;&lt;wsp:rsid wsp:val=&quot;00DE1522&quot;/&gt;&lt;wsp:rsid wsp:val=&quot;00DE1AC8&quot;/&gt;&lt;wsp:rsid wsp:val=&quot;00DE1F3F&quot;/&gt;&lt;wsp:rsid wsp:val=&quot;00DE2077&quot;/&gt;&lt;wsp:rsid wsp:val=&quot;00DE257A&quot;/&gt;&lt;wsp:rsid wsp:val=&quot;00DE287C&quot;/&gt;&lt;wsp:rsid wsp:val=&quot;00DE31E6&quot;/&gt;&lt;wsp:rsid wsp:val=&quot;00DE3718&quot;/&gt;&lt;wsp:rsid wsp:val=&quot;00DE38C1&quot;/&gt;&lt;wsp:rsid wsp:val=&quot;00DE3990&quot;/&gt;&lt;wsp:rsid wsp:val=&quot;00DE3D4C&quot;/&gt;&lt;wsp:rsid wsp:val=&quot;00DE3F61&quot;/&gt;&lt;wsp:rsid wsp:val=&quot;00DE4264&quot;/&gt;&lt;wsp:rsid wsp:val=&quot;00DE473A&quot;/&gt;&lt;wsp:rsid wsp:val=&quot;00DE47DB&quot;/&gt;&lt;wsp:rsid wsp:val=&quot;00DE4B48&quot;/&gt;&lt;wsp:rsid wsp:val=&quot;00DE4BD2&quot;/&gt;&lt;wsp:rsid wsp:val=&quot;00DE4C60&quot;/&gt;&lt;wsp:rsid wsp:val=&quot;00DE4E7A&quot;/&gt;&lt;wsp:rsid wsp:val=&quot;00DE585A&quot;/&gt;&lt;wsp:rsid wsp:val=&quot;00DE6784&quot;/&gt;&lt;wsp:rsid wsp:val=&quot;00DE6861&quot;/&gt;&lt;wsp:rsid wsp:val=&quot;00DE6C98&quot;/&gt;&lt;wsp:rsid wsp:val=&quot;00DE6F68&quot;/&gt;&lt;wsp:rsid wsp:val=&quot;00DE7C17&quot;/&gt;&lt;wsp:rsid wsp:val=&quot;00DE7CE1&quot;/&gt;&lt;wsp:rsid wsp:val=&quot;00DF02B9&quot;/&gt;&lt;wsp:rsid wsp:val=&quot;00DF043D&quot;/&gt;&lt;wsp:rsid wsp:val=&quot;00DF04F9&quot;/&gt;&lt;wsp:rsid wsp:val=&quot;00DF05F2&quot;/&gt;&lt;wsp:rsid wsp:val=&quot;00DF0C83&quot;/&gt;&lt;wsp:rsid wsp:val=&quot;00DF122E&quot;/&gt;&lt;wsp:rsid wsp:val=&quot;00DF1835&quot;/&gt;&lt;wsp:rsid wsp:val=&quot;00DF1838&quot;/&gt;&lt;wsp:rsid wsp:val=&quot;00DF1BB2&quot;/&gt;&lt;wsp:rsid wsp:val=&quot;00DF1CC0&quot;/&gt;&lt;wsp:rsid wsp:val=&quot;00DF2033&quot;/&gt;&lt;wsp:rsid wsp:val=&quot;00DF22C7&quot;/&gt;&lt;wsp:rsid wsp:val=&quot;00DF2408&quot;/&gt;&lt;wsp:rsid wsp:val=&quot;00DF281A&quot;/&gt;&lt;wsp:rsid wsp:val=&quot;00DF2B2A&quot;/&gt;&lt;wsp:rsid wsp:val=&quot;00DF2B65&quot;/&gt;&lt;wsp:rsid wsp:val=&quot;00DF324D&quot;/&gt;&lt;wsp:rsid wsp:val=&quot;00DF34E6&quot;/&gt;&lt;wsp:rsid wsp:val=&quot;00DF3C68&quot;/&gt;&lt;wsp:rsid wsp:val=&quot;00DF4AAE&quot;/&gt;&lt;wsp:rsid wsp:val=&quot;00DF4BE1&quot;/&gt;&lt;wsp:rsid wsp:val=&quot;00DF4DC9&quot;/&gt;&lt;wsp:rsid wsp:val=&quot;00DF4E74&quot;/&gt;&lt;wsp:rsid wsp:val=&quot;00DF54DF&quot;/&gt;&lt;wsp:rsid wsp:val=&quot;00DF55D6&quot;/&gt;&lt;wsp:rsid wsp:val=&quot;00DF5623&quot;/&gt;&lt;wsp:rsid wsp:val=&quot;00DF5F78&quot;/&gt;&lt;wsp:rsid wsp:val=&quot;00DF5FC0&quot;/&gt;&lt;wsp:rsid wsp:val=&quot;00DF6021&quot;/&gt;&lt;wsp:rsid wsp:val=&quot;00DF6457&quot;/&gt;&lt;wsp:rsid wsp:val=&quot;00DF64F5&quot;/&gt;&lt;wsp:rsid wsp:val=&quot;00DF6B13&quot;/&gt;&lt;wsp:rsid wsp:val=&quot;00DF737B&quot;/&gt;&lt;wsp:rsid wsp:val=&quot;00DF7C16&quot;/&gt;&lt;wsp:rsid wsp:val=&quot;00E00185&quot;/&gt;&lt;wsp:rsid wsp:val=&quot;00E0093C&quot;/&gt;&lt;wsp:rsid wsp:val=&quot;00E01018&quot;/&gt;&lt;wsp:rsid wsp:val=&quot;00E01634&quot;/&gt;&lt;wsp:rsid wsp:val=&quot;00E01C55&quot;/&gt;&lt;wsp:rsid wsp:val=&quot;00E01D5B&quot;/&gt;&lt;wsp:rsid wsp:val=&quot;00E01DC2&quot;/&gt;&lt;wsp:rsid wsp:val=&quot;00E021CD&quot;/&gt;&lt;wsp:rsid wsp:val=&quot;00E02227&quot;/&gt;&lt;wsp:rsid wsp:val=&quot;00E027BD&quot;/&gt;&lt;wsp:rsid wsp:val=&quot;00E02C60&quot;/&gt;&lt;wsp:rsid wsp:val=&quot;00E02EF2&quot;/&gt;&lt;wsp:rsid wsp:val=&quot;00E02FCD&quot;/&gt;&lt;wsp:rsid wsp:val=&quot;00E03172&quot;/&gt;&lt;wsp:rsid wsp:val=&quot;00E0321A&quot;/&gt;&lt;wsp:rsid wsp:val=&quot;00E03563&quot;/&gt;&lt;wsp:rsid wsp:val=&quot;00E037E5&quot;/&gt;&lt;wsp:rsid wsp:val=&quot;00E0384A&quot;/&gt;&lt;wsp:rsid wsp:val=&quot;00E0397E&quot;/&gt;&lt;wsp:rsid wsp:val=&quot;00E03CB0&quot;/&gt;&lt;wsp:rsid wsp:val=&quot;00E043AD&quot;/&gt;&lt;wsp:rsid wsp:val=&quot;00E0468B&quot;/&gt;&lt;wsp:rsid wsp:val=&quot;00E04764&quot;/&gt;&lt;wsp:rsid wsp:val=&quot;00E04C8A&quot;/&gt;&lt;wsp:rsid wsp:val=&quot;00E0514D&quot;/&gt;&lt;wsp:rsid wsp:val=&quot;00E0525B&quot;/&gt;&lt;wsp:rsid wsp:val=&quot;00E0547E&quot;/&gt;&lt;wsp:rsid wsp:val=&quot;00E0548D&quot;/&gt;&lt;wsp:rsid wsp:val=&quot;00E0589C&quot;/&gt;&lt;wsp:rsid wsp:val=&quot;00E05B76&quot;/&gt;&lt;wsp:rsid wsp:val=&quot;00E05E36&quot;/&gt;&lt;wsp:rsid wsp:val=&quot;00E06078&quot;/&gt;&lt;wsp:rsid wsp:val=&quot;00E06183&quot;/&gt;&lt;wsp:rsid wsp:val=&quot;00E06199&quot;/&gt;&lt;wsp:rsid wsp:val=&quot;00E064A1&quot;/&gt;&lt;wsp:rsid wsp:val=&quot;00E064D5&quot;/&gt;&lt;wsp:rsid wsp:val=&quot;00E068E7&quot;/&gt;&lt;wsp:rsid wsp:val=&quot;00E06D23&quot;/&gt;&lt;wsp:rsid wsp:val=&quot;00E07323&quot;/&gt;&lt;wsp:rsid wsp:val=&quot;00E07CED&quot;/&gt;&lt;wsp:rsid wsp:val=&quot;00E10057&quot;/&gt;&lt;wsp:rsid wsp:val=&quot;00E1009B&quot;/&gt;&lt;wsp:rsid wsp:val=&quot;00E10270&quot;/&gt;&lt;wsp:rsid wsp:val=&quot;00E10421&quot;/&gt;&lt;wsp:rsid wsp:val=&quot;00E104FF&quot;/&gt;&lt;wsp:rsid wsp:val=&quot;00E10748&quot;/&gt;&lt;wsp:rsid wsp:val=&quot;00E10E90&quot;/&gt;&lt;wsp:rsid wsp:val=&quot;00E10F69&quot;/&gt;&lt;wsp:rsid wsp:val=&quot;00E1107E&quot;/&gt;&lt;wsp:rsid wsp:val=&quot;00E111E0&quot;/&gt;&lt;wsp:rsid wsp:val=&quot;00E11503&quot;/&gt;&lt;wsp:rsid wsp:val=&quot;00E1151C&quot;/&gt;&lt;wsp:rsid wsp:val=&quot;00E11848&quot;/&gt;&lt;wsp:rsid wsp:val=&quot;00E11B3A&quot;/&gt;&lt;wsp:rsid wsp:val=&quot;00E11E52&quot;/&gt;&lt;wsp:rsid wsp:val=&quot;00E11F1C&quot;/&gt;&lt;wsp:rsid wsp:val=&quot;00E123DD&quot;/&gt;&lt;wsp:rsid wsp:val=&quot;00E126D5&quot;/&gt;&lt;wsp:rsid wsp:val=&quot;00E12E70&quot;/&gt;&lt;wsp:rsid wsp:val=&quot;00E1397B&quot;/&gt;&lt;wsp:rsid wsp:val=&quot;00E13F67&quot;/&gt;&lt;wsp:rsid wsp:val=&quot;00E14087&quot;/&gt;&lt;wsp:rsid wsp:val=&quot;00E140B5&quot;/&gt;&lt;wsp:rsid wsp:val=&quot;00E1418D&quot;/&gt;&lt;wsp:rsid wsp:val=&quot;00E1423A&quot;/&gt;&lt;wsp:rsid wsp:val=&quot;00E1461B&quot;/&gt;&lt;wsp:rsid wsp:val=&quot;00E14BC2&quot;/&gt;&lt;wsp:rsid wsp:val=&quot;00E14C96&quot;/&gt;&lt;wsp:rsid wsp:val=&quot;00E1560A&quot;/&gt;&lt;wsp:rsid wsp:val=&quot;00E1567C&quot;/&gt;&lt;wsp:rsid wsp:val=&quot;00E15869&quot;/&gt;&lt;wsp:rsid wsp:val=&quot;00E1609B&quot;/&gt;&lt;wsp:rsid wsp:val=&quot;00E166C2&quot;/&gt;&lt;wsp:rsid wsp:val=&quot;00E1675A&quot;/&gt;&lt;wsp:rsid wsp:val=&quot;00E167F9&quot;/&gt;&lt;wsp:rsid wsp:val=&quot;00E168A2&quot;/&gt;&lt;wsp:rsid wsp:val=&quot;00E16ADA&quot;/&gt;&lt;wsp:rsid wsp:val=&quot;00E16E47&quot;/&gt;&lt;wsp:rsid wsp:val=&quot;00E2023E&quot;/&gt;&lt;wsp:rsid wsp:val=&quot;00E20289&quot;/&gt;&lt;wsp:rsid wsp:val=&quot;00E20441&quot;/&gt;&lt;wsp:rsid wsp:val=&quot;00E204BF&quot;/&gt;&lt;wsp:rsid wsp:val=&quot;00E20548&quot;/&gt;&lt;wsp:rsid wsp:val=&quot;00E20830&quot;/&gt;&lt;wsp:rsid wsp:val=&quot;00E20A15&quot;/&gt;&lt;wsp:rsid wsp:val=&quot;00E20A70&quot;/&gt;&lt;wsp:rsid wsp:val=&quot;00E20B01&quot;/&gt;&lt;wsp:rsid wsp:val=&quot;00E20E29&quot;/&gt;&lt;wsp:rsid wsp:val=&quot;00E212C2&quot;/&gt;&lt;wsp:rsid wsp:val=&quot;00E21687&quot;/&gt;&lt;wsp:rsid wsp:val=&quot;00E21A4E&quot;/&gt;&lt;wsp:rsid wsp:val=&quot;00E21CCC&quot;/&gt;&lt;wsp:rsid wsp:val=&quot;00E21F08&quot;/&gt;&lt;wsp:rsid wsp:val=&quot;00E22182&quot;/&gt;&lt;wsp:rsid wsp:val=&quot;00E221B8&quot;/&gt;&lt;wsp:rsid wsp:val=&quot;00E227E9&quot;/&gt;&lt;wsp:rsid wsp:val=&quot;00E2290E&quot;/&gt;&lt;wsp:rsid wsp:val=&quot;00E22C48&quot;/&gt;&lt;wsp:rsid wsp:val=&quot;00E22F19&quot;/&gt;&lt;wsp:rsid wsp:val=&quot;00E23299&quot;/&gt;&lt;wsp:rsid wsp:val=&quot;00E237B6&quot;/&gt;&lt;wsp:rsid wsp:val=&quot;00E238DE&quot;/&gt;&lt;wsp:rsid wsp:val=&quot;00E23CC0&quot;/&gt;&lt;wsp:rsid wsp:val=&quot;00E24A62&quot;/&gt;&lt;wsp:rsid wsp:val=&quot;00E24B9B&quot;/&gt;&lt;wsp:rsid wsp:val=&quot;00E24BEA&quot;/&gt;&lt;wsp:rsid wsp:val=&quot;00E24E54&quot;/&gt;&lt;wsp:rsid wsp:val=&quot;00E24EDA&quot;/&gt;&lt;wsp:rsid wsp:val=&quot;00E25072&quot;/&gt;&lt;wsp:rsid wsp:val=&quot;00E25593&quot;/&gt;&lt;wsp:rsid wsp:val=&quot;00E25888&quot;/&gt;&lt;wsp:rsid wsp:val=&quot;00E25E6C&quot;/&gt;&lt;wsp:rsid wsp:val=&quot;00E25E82&quot;/&gt;&lt;wsp:rsid wsp:val=&quot;00E25EB6&quot;/&gt;&lt;wsp:rsid wsp:val=&quot;00E25FFA&quot;/&gt;&lt;wsp:rsid wsp:val=&quot;00E26226&quot;/&gt;&lt;wsp:rsid wsp:val=&quot;00E264E6&quot;/&gt;&lt;wsp:rsid wsp:val=&quot;00E26C3F&quot;/&gt;&lt;wsp:rsid wsp:val=&quot;00E2702B&quot;/&gt;&lt;wsp:rsid wsp:val=&quot;00E271D3&quot;/&gt;&lt;wsp:rsid wsp:val=&quot;00E27479&quot;/&gt;&lt;wsp:rsid wsp:val=&quot;00E30596&quot;/&gt;&lt;wsp:rsid wsp:val=&quot;00E306C3&quot;/&gt;&lt;wsp:rsid wsp:val=&quot;00E307C6&quot;/&gt;&lt;wsp:rsid wsp:val=&quot;00E30AFB&quot;/&gt;&lt;wsp:rsid wsp:val=&quot;00E30BAF&quot;/&gt;&lt;wsp:rsid wsp:val=&quot;00E31856&quot;/&gt;&lt;wsp:rsid wsp:val=&quot;00E31C9C&quot;/&gt;&lt;wsp:rsid wsp:val=&quot;00E31F8E&quot;/&gt;&lt;wsp:rsid wsp:val=&quot;00E3221D&quot;/&gt;&lt;wsp:rsid wsp:val=&quot;00E326FD&quot;/&gt;&lt;wsp:rsid wsp:val=&quot;00E32CF9&quot;/&gt;&lt;wsp:rsid wsp:val=&quot;00E32FF4&quot;/&gt;&lt;wsp:rsid wsp:val=&quot;00E33143&quot;/&gt;&lt;wsp:rsid wsp:val=&quot;00E33356&quot;/&gt;&lt;wsp:rsid wsp:val=&quot;00E3397C&quot;/&gt;&lt;wsp:rsid wsp:val=&quot;00E33D42&quot;/&gt;&lt;wsp:rsid wsp:val=&quot;00E343CE&quot;/&gt;&lt;wsp:rsid wsp:val=&quot;00E344DA&quot;/&gt;&lt;wsp:rsid wsp:val=&quot;00E3491A&quot;/&gt;&lt;wsp:rsid wsp:val=&quot;00E349B8&quot;/&gt;&lt;wsp:rsid wsp:val=&quot;00E34CA7&quot;/&gt;&lt;wsp:rsid wsp:val=&quot;00E352F7&quot;/&gt;&lt;wsp:rsid wsp:val=&quot;00E353D9&quot;/&gt;&lt;wsp:rsid wsp:val=&quot;00E35D66&quot;/&gt;&lt;wsp:rsid wsp:val=&quot;00E35E4B&quot;/&gt;&lt;wsp:rsid wsp:val=&quot;00E360FF&quot;/&gt;&lt;wsp:rsid wsp:val=&quot;00E3611C&quot;/&gt;&lt;wsp:rsid wsp:val=&quot;00E36230&quot;/&gt;&lt;wsp:rsid wsp:val=&quot;00E3631E&quot;/&gt;&lt;wsp:rsid wsp:val=&quot;00E368E4&quot;/&gt;&lt;wsp:rsid wsp:val=&quot;00E36976&quot;/&gt;&lt;wsp:rsid wsp:val=&quot;00E36BAA&quot;/&gt;&lt;wsp:rsid wsp:val=&quot;00E36CFB&quot;/&gt;&lt;wsp:rsid wsp:val=&quot;00E36D5C&quot;/&gt;&lt;wsp:rsid wsp:val=&quot;00E3715C&quot;/&gt;&lt;wsp:rsid wsp:val=&quot;00E37189&quot;/&gt;&lt;wsp:rsid wsp:val=&quot;00E371DE&quot;/&gt;&lt;wsp:rsid wsp:val=&quot;00E375F3&quot;/&gt;&lt;wsp:rsid wsp:val=&quot;00E376AB&quot;/&gt;&lt;wsp:rsid wsp:val=&quot;00E379D1&quot;/&gt;&lt;wsp:rsid wsp:val=&quot;00E37EC0&quot;/&gt;&lt;wsp:rsid wsp:val=&quot;00E408A8&quot;/&gt;&lt;wsp:rsid wsp:val=&quot;00E40E8C&quot;/&gt;&lt;wsp:rsid wsp:val=&quot;00E41B1C&quot;/&gt;&lt;wsp:rsid wsp:val=&quot;00E41C61&quot;/&gt;&lt;wsp:rsid wsp:val=&quot;00E41C86&quot;/&gt;&lt;wsp:rsid wsp:val=&quot;00E42244&quot;/&gt;&lt;wsp:rsid wsp:val=&quot;00E4230D&quot;/&gt;&lt;wsp:rsid wsp:val=&quot;00E42425&quot;/&gt;&lt;wsp:rsid wsp:val=&quot;00E4251A&quot;/&gt;&lt;wsp:rsid wsp:val=&quot;00E42B3F&quot;/&gt;&lt;wsp:rsid wsp:val=&quot;00E42F92&quot;/&gt;&lt;wsp:rsid wsp:val=&quot;00E4306E&quot;/&gt;&lt;wsp:rsid wsp:val=&quot;00E43143&quot;/&gt;&lt;wsp:rsid wsp:val=&quot;00E4319B&quot;/&gt;&lt;wsp:rsid wsp:val=&quot;00E431C0&quot;/&gt;&lt;wsp:rsid wsp:val=&quot;00E435DB&quot;/&gt;&lt;wsp:rsid wsp:val=&quot;00E438F3&quot;/&gt;&lt;wsp:rsid wsp:val=&quot;00E43E10&quot;/&gt;&lt;wsp:rsid wsp:val=&quot;00E44403&quot;/&gt;&lt;wsp:rsid wsp:val=&quot;00E4459E&quot;/&gt;&lt;wsp:rsid wsp:val=&quot;00E44B2F&quot;/&gt;&lt;wsp:rsid wsp:val=&quot;00E44BB0&quot;/&gt;&lt;wsp:rsid wsp:val=&quot;00E44BD4&quot;/&gt;&lt;wsp:rsid wsp:val=&quot;00E44E92&quot;/&gt;&lt;wsp:rsid wsp:val=&quot;00E44F03&quot;/&gt;&lt;wsp:rsid wsp:val=&quot;00E4550C&quot;/&gt;&lt;wsp:rsid wsp:val=&quot;00E455FF&quot;/&gt;&lt;wsp:rsid wsp:val=&quot;00E45677&quot;/&gt;&lt;wsp:rsid wsp:val=&quot;00E4598D&quot;/&gt;&lt;wsp:rsid wsp:val=&quot;00E45A35&quot;/&gt;&lt;wsp:rsid wsp:val=&quot;00E45E51&quot;/&gt;&lt;wsp:rsid wsp:val=&quot;00E46055&quot;/&gt;&lt;wsp:rsid wsp:val=&quot;00E46079&quot;/&gt;&lt;wsp:rsid wsp:val=&quot;00E46636&quot;/&gt;&lt;wsp:rsid wsp:val=&quot;00E467B0&quot;/&gt;&lt;wsp:rsid wsp:val=&quot;00E46983&quot;/&gt;&lt;wsp:rsid wsp:val=&quot;00E47160&quot;/&gt;&lt;wsp:rsid wsp:val=&quot;00E47596&quot;/&gt;&lt;wsp:rsid wsp:val=&quot;00E4778B&quot;/&gt;&lt;wsp:rsid wsp:val=&quot;00E47A0A&quot;/&gt;&lt;wsp:rsid wsp:val=&quot;00E5045D&quot;/&gt;&lt;wsp:rsid wsp:val=&quot;00E5056B&quot;/&gt;&lt;wsp:rsid wsp:val=&quot;00E50844&quot;/&gt;&lt;wsp:rsid wsp:val=&quot;00E50CB4&quot;/&gt;&lt;wsp:rsid wsp:val=&quot;00E50F14&quot;/&gt;&lt;wsp:rsid wsp:val=&quot;00E5122B&quot;/&gt;&lt;wsp:rsid wsp:val=&quot;00E5129B&quot;/&gt;&lt;wsp:rsid wsp:val=&quot;00E513EC&quot;/&gt;&lt;wsp:rsid wsp:val=&quot;00E51579&quot;/&gt;&lt;wsp:rsid wsp:val=&quot;00E51952&quot;/&gt;&lt;wsp:rsid wsp:val=&quot;00E51B97&quot;/&gt;&lt;wsp:rsid wsp:val=&quot;00E51E7C&quot;/&gt;&lt;wsp:rsid wsp:val=&quot;00E51FD7&quot;/&gt;&lt;wsp:rsid wsp:val=&quot;00E5213D&quot;/&gt;&lt;wsp:rsid wsp:val=&quot;00E5219B&quot;/&gt;&lt;wsp:rsid wsp:val=&quot;00E521BE&quot;/&gt;&lt;wsp:rsid wsp:val=&quot;00E52552&quot;/&gt;&lt;wsp:rsid wsp:val=&quot;00E52B77&quot;/&gt;&lt;wsp:rsid wsp:val=&quot;00E52F14&quot;/&gt;&lt;wsp:rsid wsp:val=&quot;00E5310C&quot;/&gt;&lt;wsp:rsid wsp:val=&quot;00E53438&quot;/&gt;&lt;wsp:rsid wsp:val=&quot;00E54149&quot;/&gt;&lt;wsp:rsid wsp:val=&quot;00E546C4&quot;/&gt;&lt;wsp:rsid wsp:val=&quot;00E548E2&quot;/&gt;&lt;wsp:rsid wsp:val=&quot;00E54DE3&quot;/&gt;&lt;wsp:rsid wsp:val=&quot;00E54F4D&quot;/&gt;&lt;wsp:rsid wsp:val=&quot;00E55287&quot;/&gt;&lt;wsp:rsid wsp:val=&quot;00E55299&quot;/&gt;&lt;wsp:rsid wsp:val=&quot;00E55714&quot;/&gt;&lt;wsp:rsid wsp:val=&quot;00E55985&quot;/&gt;&lt;wsp:rsid wsp:val=&quot;00E55B0C&quot;/&gt;&lt;wsp:rsid wsp:val=&quot;00E55F2F&quot;/&gt;&lt;wsp:rsid wsp:val=&quot;00E560A8&quot;/&gt;&lt;wsp:rsid wsp:val=&quot;00E56390&quot;/&gt;&lt;wsp:rsid wsp:val=&quot;00E56D0D&quot;/&gt;&lt;wsp:rsid wsp:val=&quot;00E572E9&quot;/&gt;&lt;wsp:rsid wsp:val=&quot;00E574AC&quot;/&gt;&lt;wsp:rsid wsp:val=&quot;00E57956&quot;/&gt;&lt;wsp:rsid wsp:val=&quot;00E57C5D&quot;/&gt;&lt;wsp:rsid wsp:val=&quot;00E6016A&quot;/&gt;&lt;wsp:rsid wsp:val=&quot;00E605E6&quot;/&gt;&lt;wsp:rsid wsp:val=&quot;00E60873&quot;/&gt;&lt;wsp:rsid wsp:val=&quot;00E60897&quot;/&gt;&lt;wsp:rsid wsp:val=&quot;00E6090C&quot;/&gt;&lt;wsp:rsid wsp:val=&quot;00E609AB&quot;/&gt;&lt;wsp:rsid wsp:val=&quot;00E60BB3&quot;/&gt;&lt;wsp:rsid wsp:val=&quot;00E6105C&quot;/&gt;&lt;wsp:rsid wsp:val=&quot;00E61077&quot;/&gt;&lt;wsp:rsid wsp:val=&quot;00E6123A&quot;/&gt;&lt;wsp:rsid wsp:val=&quot;00E6126C&quot;/&gt;&lt;wsp:rsid wsp:val=&quot;00E614BD&quot;/&gt;&lt;wsp:rsid wsp:val=&quot;00E61CE1&quot;/&gt;&lt;wsp:rsid wsp:val=&quot;00E61EF0&quot;/&gt;&lt;wsp:rsid wsp:val=&quot;00E61F27&quot;/&gt;&lt;wsp:rsid wsp:val=&quot;00E624E9&quot;/&gt;&lt;wsp:rsid wsp:val=&quot;00E6252C&quot;/&gt;&lt;wsp:rsid wsp:val=&quot;00E62570&quot;/&gt;&lt;wsp:rsid wsp:val=&quot;00E629E2&quot;/&gt;&lt;wsp:rsid wsp:val=&quot;00E63481&quot;/&gt;&lt;wsp:rsid wsp:val=&quot;00E63590&quot;/&gt;&lt;wsp:rsid wsp:val=&quot;00E63907&quot;/&gt;&lt;wsp:rsid wsp:val=&quot;00E63A14&quot;/&gt;&lt;wsp:rsid wsp:val=&quot;00E63A34&quot;/&gt;&lt;wsp:rsid wsp:val=&quot;00E63B2E&quot;/&gt;&lt;wsp:rsid wsp:val=&quot;00E646AD&quot;/&gt;&lt;wsp:rsid wsp:val=&quot;00E6471A&quot;/&gt;&lt;wsp:rsid wsp:val=&quot;00E64A13&quot;/&gt;&lt;wsp:rsid wsp:val=&quot;00E64A84&quot;/&gt;&lt;wsp:rsid wsp:val=&quot;00E64B4F&quot;/&gt;&lt;wsp:rsid wsp:val=&quot;00E64D9B&quot;/&gt;&lt;wsp:rsid wsp:val=&quot;00E64F93&quot;/&gt;&lt;wsp:rsid wsp:val=&quot;00E651D6&quot;/&gt;&lt;wsp:rsid wsp:val=&quot;00E654FC&quot;/&gt;&lt;wsp:rsid wsp:val=&quot;00E65612&quot;/&gt;&lt;wsp:rsid wsp:val=&quot;00E65743&quot;/&gt;&lt;wsp:rsid wsp:val=&quot;00E6581C&quot;/&gt;&lt;wsp:rsid wsp:val=&quot;00E65BBB&quot;/&gt;&lt;wsp:rsid wsp:val=&quot;00E65C3D&quot;/&gt;&lt;wsp:rsid wsp:val=&quot;00E6616C&quot;/&gt;&lt;wsp:rsid wsp:val=&quot;00E6643A&quot;/&gt;&lt;wsp:rsid wsp:val=&quot;00E66695&quot;/&gt;&lt;wsp:rsid wsp:val=&quot;00E66A8E&quot;/&gt;&lt;wsp:rsid wsp:val=&quot;00E66B7D&quot;/&gt;&lt;wsp:rsid wsp:val=&quot;00E66D4C&quot;/&gt;&lt;wsp:rsid wsp:val=&quot;00E66D4D&quot;/&gt;&lt;wsp:rsid wsp:val=&quot;00E66E8A&quot;/&gt;&lt;wsp:rsid wsp:val=&quot;00E6750E&quot;/&gt;&lt;wsp:rsid wsp:val=&quot;00E6759D&quot;/&gt;&lt;wsp:rsid wsp:val=&quot;00E6772B&quot;/&gt;&lt;wsp:rsid wsp:val=&quot;00E678F9&quot;/&gt;&lt;wsp:rsid wsp:val=&quot;00E67B4B&quot;/&gt;&lt;wsp:rsid wsp:val=&quot;00E7000C&quot;/&gt;&lt;wsp:rsid wsp:val=&quot;00E706FA&quot;/&gt;&lt;wsp:rsid wsp:val=&quot;00E707F8&quot;/&gt;&lt;wsp:rsid wsp:val=&quot;00E713E0&quot;/&gt;&lt;wsp:rsid wsp:val=&quot;00E7152F&quot;/&gt;&lt;wsp:rsid wsp:val=&quot;00E71D13&quot;/&gt;&lt;wsp:rsid wsp:val=&quot;00E71EA7&quot;/&gt;&lt;wsp:rsid wsp:val=&quot;00E7208C&quot;/&gt;&lt;wsp:rsid wsp:val=&quot;00E721CE&quot;/&gt;&lt;wsp:rsid wsp:val=&quot;00E7293A&quot;/&gt;&lt;wsp:rsid wsp:val=&quot;00E72DDA&quot;/&gt;&lt;wsp:rsid wsp:val=&quot;00E72F61&quot;/&gt;&lt;wsp:rsid wsp:val=&quot;00E73885&quot;/&gt;&lt;wsp:rsid wsp:val=&quot;00E73CA7&quot;/&gt;&lt;wsp:rsid wsp:val=&quot;00E742D9&quot;/&gt;&lt;wsp:rsid wsp:val=&quot;00E74854&quot;/&gt;&lt;wsp:rsid wsp:val=&quot;00E748FD&quot;/&gt;&lt;wsp:rsid wsp:val=&quot;00E74DF5&quot;/&gt;&lt;wsp:rsid wsp:val=&quot;00E74ECB&quot;/&gt;&lt;wsp:rsid wsp:val=&quot;00E75347&quot;/&gt;&lt;wsp:rsid wsp:val=&quot;00E75766&quot;/&gt;&lt;wsp:rsid wsp:val=&quot;00E75AF9&quot;/&gt;&lt;wsp:rsid wsp:val=&quot;00E75B4C&quot;/&gt;&lt;wsp:rsid wsp:val=&quot;00E75BC5&quot;/&gt;&lt;wsp:rsid wsp:val=&quot;00E75C95&quot;/&gt;&lt;wsp:rsid wsp:val=&quot;00E76086&quot;/&gt;&lt;wsp:rsid wsp:val=&quot;00E763C9&quot;/&gt;&lt;wsp:rsid wsp:val=&quot;00E76AB5&quot;/&gt;&lt;wsp:rsid wsp:val=&quot;00E76BB2&quot;/&gt;&lt;wsp:rsid wsp:val=&quot;00E76E06&quot;/&gt;&lt;wsp:rsid wsp:val=&quot;00E775A5&quot;/&gt;&lt;wsp:rsid wsp:val=&quot;00E77BBA&quot;/&gt;&lt;wsp:rsid wsp:val=&quot;00E77D22&quot;/&gt;&lt;wsp:rsid wsp:val=&quot;00E77F4D&quot;/&gt;&lt;wsp:rsid wsp:val=&quot;00E8009A&quot;/&gt;&lt;wsp:rsid wsp:val=&quot;00E8096C&quot;/&gt;&lt;wsp:rsid wsp:val=&quot;00E814AB&quot;/&gt;&lt;wsp:rsid wsp:val=&quot;00E81E23&quot;/&gt;&lt;wsp:rsid wsp:val=&quot;00E81EE8&quot;/&gt;&lt;wsp:rsid wsp:val=&quot;00E821AE&quot;/&gt;&lt;wsp:rsid wsp:val=&quot;00E82D72&quot;/&gt;&lt;wsp:rsid wsp:val=&quot;00E832EF&quot;/&gt;&lt;wsp:rsid wsp:val=&quot;00E8379A&quot;/&gt;&lt;wsp:rsid wsp:val=&quot;00E83D45&quot;/&gt;&lt;wsp:rsid wsp:val=&quot;00E842A7&quot;/&gt;&lt;wsp:rsid wsp:val=&quot;00E84ACA&quot;/&gt;&lt;wsp:rsid wsp:val=&quot;00E84CA0&quot;/&gt;&lt;wsp:rsid wsp:val=&quot;00E84CA5&quot;/&gt;&lt;wsp:rsid wsp:val=&quot;00E851D6&quot;/&gt;&lt;wsp:rsid wsp:val=&quot;00E85474&quot;/&gt;&lt;wsp:rsid wsp:val=&quot;00E857D7&quot;/&gt;&lt;wsp:rsid wsp:val=&quot;00E85B41&quot;/&gt;&lt;wsp:rsid wsp:val=&quot;00E85F55&quot;/&gt;&lt;wsp:rsid wsp:val=&quot;00E85FC7&quot;/&gt;&lt;wsp:rsid wsp:val=&quot;00E86086&quot;/&gt;&lt;wsp:rsid wsp:val=&quot;00E86E29&quot;/&gt;&lt;wsp:rsid wsp:val=&quot;00E8751B&quot;/&gt;&lt;wsp:rsid wsp:val=&quot;00E87611&quot;/&gt;&lt;wsp:rsid wsp:val=&quot;00E87F79&quot;/&gt;&lt;wsp:rsid wsp:val=&quot;00E904CE&quot;/&gt;&lt;wsp:rsid wsp:val=&quot;00E90538&quot;/&gt;&lt;wsp:rsid wsp:val=&quot;00E90753&quot;/&gt;&lt;wsp:rsid wsp:val=&quot;00E91093&quot;/&gt;&lt;wsp:rsid wsp:val=&quot;00E910EC&quot;/&gt;&lt;wsp:rsid wsp:val=&quot;00E91341&quot;/&gt;&lt;wsp:rsid wsp:val=&quot;00E91899&quot;/&gt;&lt;wsp:rsid wsp:val=&quot;00E9205E&quot;/&gt;&lt;wsp:rsid wsp:val=&quot;00E921A2&quot;/&gt;&lt;wsp:rsid wsp:val=&quot;00E924FF&quot;/&gt;&lt;wsp:rsid wsp:val=&quot;00E932F1&quot;/&gt;&lt;wsp:rsid wsp:val=&quot;00E939CA&quot;/&gt;&lt;wsp:rsid wsp:val=&quot;00E93C91&quot;/&gt;&lt;wsp:rsid wsp:val=&quot;00E93F4B&quot;/&gt;&lt;wsp:rsid wsp:val=&quot;00E941EC&quot;/&gt;&lt;wsp:rsid wsp:val=&quot;00E94910&quot;/&gt;&lt;wsp:rsid wsp:val=&quot;00E94B53&quot;/&gt;&lt;wsp:rsid wsp:val=&quot;00E94DCE&quot;/&gt;&lt;wsp:rsid wsp:val=&quot;00E94DFA&quot;/&gt;&lt;wsp:rsid wsp:val=&quot;00E94E86&quot;/&gt;&lt;wsp:rsid wsp:val=&quot;00E9518C&quot;/&gt;&lt;wsp:rsid wsp:val=&quot;00E951C0&quot;/&gt;&lt;wsp:rsid wsp:val=&quot;00E952A0&quot;/&gt;&lt;wsp:rsid wsp:val=&quot;00E95571&quot;/&gt;&lt;wsp:rsid wsp:val=&quot;00E955EA&quot;/&gt;&lt;wsp:rsid wsp:val=&quot;00E960BD&quot;/&gt;&lt;wsp:rsid wsp:val=&quot;00E964D1&quot;/&gt;&lt;wsp:rsid wsp:val=&quot;00E96552&quot;/&gt;&lt;wsp:rsid wsp:val=&quot;00E96B7A&quot;/&gt;&lt;wsp:rsid wsp:val=&quot;00E96F4E&quot;/&gt;&lt;wsp:rsid wsp:val=&quot;00E97B42&quot;/&gt;&lt;wsp:rsid wsp:val=&quot;00E97EB7&quot;/&gt;&lt;wsp:rsid wsp:val=&quot;00EA008A&quot;/&gt;&lt;wsp:rsid wsp:val=&quot;00EA0622&quot;/&gt;&lt;wsp:rsid wsp:val=&quot;00EA0A20&quot;/&gt;&lt;wsp:rsid wsp:val=&quot;00EA0A62&quot;/&gt;&lt;wsp:rsid wsp:val=&quot;00EA0A7C&quot;/&gt;&lt;wsp:rsid wsp:val=&quot;00EA0C0E&quot;/&gt;&lt;wsp:rsid wsp:val=&quot;00EA0FB2&quot;/&gt;&lt;wsp:rsid wsp:val=&quot;00EA11C8&quot;/&gt;&lt;wsp:rsid wsp:val=&quot;00EA1508&quot;/&gt;&lt;wsp:rsid wsp:val=&quot;00EA16F8&quot;/&gt;&lt;wsp:rsid wsp:val=&quot;00EA1920&quot;/&gt;&lt;wsp:rsid wsp:val=&quot;00EA1B80&quot;/&gt;&lt;wsp:rsid wsp:val=&quot;00EA1CCE&quot;/&gt;&lt;wsp:rsid wsp:val=&quot;00EA1D6D&quot;/&gt;&lt;wsp:rsid wsp:val=&quot;00EA1DB9&quot;/&gt;&lt;wsp:rsid wsp:val=&quot;00EA2EED&quot;/&gt;&lt;wsp:rsid wsp:val=&quot;00EA3084&quot;/&gt;&lt;wsp:rsid wsp:val=&quot;00EA3C9C&quot;/&gt;&lt;wsp:rsid wsp:val=&quot;00EA3EAD&quot;/&gt;&lt;wsp:rsid wsp:val=&quot;00EA3ECD&quot;/&gt;&lt;wsp:rsid wsp:val=&quot;00EA46CB&quot;/&gt;&lt;wsp:rsid wsp:val=&quot;00EA4758&quot;/&gt;&lt;wsp:rsid wsp:val=&quot;00EA47F2&quot;/&gt;&lt;wsp:rsid wsp:val=&quot;00EA4A67&quot;/&gt;&lt;wsp:rsid wsp:val=&quot;00EA4D1B&quot;/&gt;&lt;wsp:rsid wsp:val=&quot;00EA4F72&quot;/&gt;&lt;wsp:rsid wsp:val=&quot;00EA53C1&quot;/&gt;&lt;wsp:rsid wsp:val=&quot;00EA57CD&quot;/&gt;&lt;wsp:rsid wsp:val=&quot;00EA5AB4&quot;/&gt;&lt;wsp:rsid wsp:val=&quot;00EA5B0F&quot;/&gt;&lt;wsp:rsid wsp:val=&quot;00EA6801&quot;/&gt;&lt;wsp:rsid wsp:val=&quot;00EA682A&quot;/&gt;&lt;wsp:rsid wsp:val=&quot;00EA72CD&quot;/&gt;&lt;wsp:rsid wsp:val=&quot;00EA740E&quot;/&gt;&lt;wsp:rsid wsp:val=&quot;00EA7C1D&quot;/&gt;&lt;wsp:rsid wsp:val=&quot;00EA7E2B&quot;/&gt;&lt;wsp:rsid wsp:val=&quot;00EB0220&quot;/&gt;&lt;wsp:rsid wsp:val=&quot;00EB03FF&quot;/&gt;&lt;wsp:rsid wsp:val=&quot;00EB048D&quot;/&gt;&lt;wsp:rsid wsp:val=&quot;00EB051C&quot;/&gt;&lt;wsp:rsid wsp:val=&quot;00EB13F2&quot;/&gt;&lt;wsp:rsid wsp:val=&quot;00EB1444&quot;/&gt;&lt;wsp:rsid wsp:val=&quot;00EB1A6B&quot;/&gt;&lt;wsp:rsid wsp:val=&quot;00EB2F23&quot;/&gt;&lt;wsp:rsid wsp:val=&quot;00EB3208&quot;/&gt;&lt;wsp:rsid wsp:val=&quot;00EB3D15&quot;/&gt;&lt;wsp:rsid wsp:val=&quot;00EB3D97&quot;/&gt;&lt;wsp:rsid wsp:val=&quot;00EB42BA&quot;/&gt;&lt;wsp:rsid wsp:val=&quot;00EB434F&quot;/&gt;&lt;wsp:rsid wsp:val=&quot;00EB43DE&quot;/&gt;&lt;wsp:rsid wsp:val=&quot;00EB46C9&quot;/&gt;&lt;wsp:rsid wsp:val=&quot;00EB55FB&quot;/&gt;&lt;wsp:rsid wsp:val=&quot;00EB5B27&quot;/&gt;&lt;wsp:rsid wsp:val=&quot;00EB5CD1&quot;/&gt;&lt;wsp:rsid wsp:val=&quot;00EB5EE6&quot;/&gt;&lt;wsp:rsid wsp:val=&quot;00EB6FD3&quot;/&gt;&lt;wsp:rsid wsp:val=&quot;00EB7AC5&quot;/&gt;&lt;wsp:rsid wsp:val=&quot;00EC03A0&quot;/&gt;&lt;wsp:rsid wsp:val=&quot;00EC042C&quot;/&gt;&lt;wsp:rsid wsp:val=&quot;00EC05FB&quot;/&gt;&lt;wsp:rsid wsp:val=&quot;00EC09D2&quot;/&gt;&lt;wsp:rsid wsp:val=&quot;00EC0BB0&quot;/&gt;&lt;wsp:rsid wsp:val=&quot;00EC0D7E&quot;/&gt;&lt;wsp:rsid wsp:val=&quot;00EC0F4A&quot;/&gt;&lt;wsp:rsid wsp:val=&quot;00EC166D&quot;/&gt;&lt;wsp:rsid wsp:val=&quot;00EC1C8B&quot;/&gt;&lt;wsp:rsid wsp:val=&quot;00EC2080&quot;/&gt;&lt;wsp:rsid wsp:val=&quot;00EC209C&quot;/&gt;&lt;wsp:rsid wsp:val=&quot;00EC20D6&quot;/&gt;&lt;wsp:rsid wsp:val=&quot;00EC226E&quot;/&gt;&lt;wsp:rsid wsp:val=&quot;00EC2273&quot;/&gt;&lt;wsp:rsid wsp:val=&quot;00EC24D4&quot;/&gt;&lt;wsp:rsid wsp:val=&quot;00EC254D&quot;/&gt;&lt;wsp:rsid wsp:val=&quot;00EC25D1&quot;/&gt;&lt;wsp:rsid wsp:val=&quot;00EC26F3&quot;/&gt;&lt;wsp:rsid wsp:val=&quot;00EC28C1&quot;/&gt;&lt;wsp:rsid wsp:val=&quot;00EC2B08&quot;/&gt;&lt;wsp:rsid wsp:val=&quot;00EC2B9B&quot;/&gt;&lt;wsp:rsid wsp:val=&quot;00EC2D59&quot;/&gt;&lt;wsp:rsid wsp:val=&quot;00EC2FC8&quot;/&gt;&lt;wsp:rsid wsp:val=&quot;00EC2FF7&quot;/&gt;&lt;wsp:rsid wsp:val=&quot;00EC35E1&quot;/&gt;&lt;wsp:rsid wsp:val=&quot;00EC3CA8&quot;/&gt;&lt;wsp:rsid wsp:val=&quot;00EC3CC4&quot;/&gt;&lt;wsp:rsid wsp:val=&quot;00EC3EC4&quot;/&gt;&lt;wsp:rsid wsp:val=&quot;00EC41DD&quot;/&gt;&lt;wsp:rsid wsp:val=&quot;00EC4332&quot;/&gt;&lt;wsp:rsid wsp:val=&quot;00EC43A5&quot;/&gt;&lt;wsp:rsid wsp:val=&quot;00EC43C6&quot;/&gt;&lt;wsp:rsid wsp:val=&quot;00EC453F&quot;/&gt;&lt;wsp:rsid wsp:val=&quot;00EC4945&quot;/&gt;&lt;wsp:rsid wsp:val=&quot;00EC4BB0&quot;/&gt;&lt;wsp:rsid wsp:val=&quot;00EC4C52&quot;/&gt;&lt;wsp:rsid wsp:val=&quot;00EC4D27&quot;/&gt;&lt;wsp:rsid wsp:val=&quot;00EC4F43&quot;/&gt;&lt;wsp:rsid wsp:val=&quot;00EC5044&quot;/&gt;&lt;wsp:rsid wsp:val=&quot;00EC5293&quot;/&gt;&lt;wsp:rsid wsp:val=&quot;00EC52D4&quot;/&gt;&lt;wsp:rsid wsp:val=&quot;00EC53D6&quot;/&gt;&lt;wsp:rsid wsp:val=&quot;00EC5570&quot;/&gt;&lt;wsp:rsid wsp:val=&quot;00EC5578&quot;/&gt;&lt;wsp:rsid wsp:val=&quot;00EC56B2&quot;/&gt;&lt;wsp:rsid wsp:val=&quot;00EC61BB&quot;/&gt;&lt;wsp:rsid wsp:val=&quot;00EC63AA&quot;/&gt;&lt;wsp:rsid wsp:val=&quot;00EC6858&quot;/&gt;&lt;wsp:rsid wsp:val=&quot;00EC7E56&quot;/&gt;&lt;wsp:rsid wsp:val=&quot;00ED047E&quot;/&gt;&lt;wsp:rsid wsp:val=&quot;00ED0561&quot;/&gt;&lt;wsp:rsid wsp:val=&quot;00ED0BA1&quot;/&gt;&lt;wsp:rsid wsp:val=&quot;00ED0BD8&quot;/&gt;&lt;wsp:rsid wsp:val=&quot;00ED1468&quot;/&gt;&lt;wsp:rsid wsp:val=&quot;00ED166F&quot;/&gt;&lt;wsp:rsid wsp:val=&quot;00ED17B3&quot;/&gt;&lt;wsp:rsid wsp:val=&quot;00ED1C2A&quot;/&gt;&lt;wsp:rsid wsp:val=&quot;00ED21DA&quot;/&gt;&lt;wsp:rsid wsp:val=&quot;00ED2269&quot;/&gt;&lt;wsp:rsid wsp:val=&quot;00ED2590&quot;/&gt;&lt;wsp:rsid wsp:val=&quot;00ED2734&quot;/&gt;&lt;wsp:rsid wsp:val=&quot;00ED2921&quot;/&gt;&lt;wsp:rsid wsp:val=&quot;00ED3167&quot;/&gt;&lt;wsp:rsid wsp:val=&quot;00ED35D4&quot;/&gt;&lt;wsp:rsid wsp:val=&quot;00ED3625&quot;/&gt;&lt;wsp:rsid wsp:val=&quot;00ED3641&quot;/&gt;&lt;wsp:rsid wsp:val=&quot;00ED3669&quot;/&gt;&lt;wsp:rsid wsp:val=&quot;00ED3815&quot;/&gt;&lt;wsp:rsid wsp:val=&quot;00ED3855&quot;/&gt;&lt;wsp:rsid wsp:val=&quot;00ED3DD5&quot;/&gt;&lt;wsp:rsid wsp:val=&quot;00ED4170&quot;/&gt;&lt;wsp:rsid wsp:val=&quot;00ED4A85&quot;/&gt;&lt;wsp:rsid wsp:val=&quot;00ED4C0F&quot;/&gt;&lt;wsp:rsid wsp:val=&quot;00ED4DF4&quot;/&gt;&lt;wsp:rsid wsp:val=&quot;00ED51D0&quot;/&gt;&lt;wsp:rsid wsp:val=&quot;00ED52CD&quot;/&gt;&lt;wsp:rsid wsp:val=&quot;00ED6325&quot;/&gt;&lt;wsp:rsid wsp:val=&quot;00ED6DD9&quot;/&gt;&lt;wsp:rsid wsp:val=&quot;00ED6DFA&quot;/&gt;&lt;wsp:rsid wsp:val=&quot;00ED7202&quot;/&gt;&lt;wsp:rsid wsp:val=&quot;00ED7278&quot;/&gt;&lt;wsp:rsid wsp:val=&quot;00ED77C7&quot;/&gt;&lt;wsp:rsid wsp:val=&quot;00ED79A5&quot;/&gt;&lt;wsp:rsid wsp:val=&quot;00ED79B9&quot;/&gt;&lt;wsp:rsid wsp:val=&quot;00ED7CE8&quot;/&gt;&lt;wsp:rsid wsp:val=&quot;00EE0012&quot;/&gt;&lt;wsp:rsid wsp:val=&quot;00EE0289&quot;/&gt;&lt;wsp:rsid wsp:val=&quot;00EE0771&quot;/&gt;&lt;wsp:rsid wsp:val=&quot;00EE0B99&quot;/&gt;&lt;wsp:rsid wsp:val=&quot;00EE1305&quot;/&gt;&lt;wsp:rsid wsp:val=&quot;00EE1534&quot;/&gt;&lt;wsp:rsid wsp:val=&quot;00EE170F&quot;/&gt;&lt;wsp:rsid wsp:val=&quot;00EE22B5&quot;/&gt;&lt;wsp:rsid wsp:val=&quot;00EE2F95&quot;/&gt;&lt;wsp:rsid wsp:val=&quot;00EE42B5&quot;/&gt;&lt;wsp:rsid wsp:val=&quot;00EE4B84&quot;/&gt;&lt;wsp:rsid wsp:val=&quot;00EE5377&quot;/&gt;&lt;wsp:rsid wsp:val=&quot;00EE54C8&quot;/&gt;&lt;wsp:rsid wsp:val=&quot;00EE560E&quot;/&gt;&lt;wsp:rsid wsp:val=&quot;00EE57F7&quot;/&gt;&lt;wsp:rsid wsp:val=&quot;00EE5ADB&quot;/&gt;&lt;wsp:rsid wsp:val=&quot;00EE5B70&quot;/&gt;&lt;wsp:rsid wsp:val=&quot;00EE5CA9&quot;/&gt;&lt;wsp:rsid wsp:val=&quot;00EE5D08&quot;/&gt;&lt;wsp:rsid wsp:val=&quot;00EE5E7A&quot;/&gt;&lt;wsp:rsid wsp:val=&quot;00EE6247&quot;/&gt;&lt;wsp:rsid wsp:val=&quot;00EE66E8&quot;/&gt;&lt;wsp:rsid wsp:val=&quot;00EE6794&quot;/&gt;&lt;wsp:rsid wsp:val=&quot;00EE6F09&quot;/&gt;&lt;wsp:rsid wsp:val=&quot;00EE703F&quot;/&gt;&lt;wsp:rsid wsp:val=&quot;00EE769A&quot;/&gt;&lt;wsp:rsid wsp:val=&quot;00EE7A07&quot;/&gt;&lt;wsp:rsid wsp:val=&quot;00EE7A8A&quot;/&gt;&lt;wsp:rsid wsp:val=&quot;00EE7B58&quot;/&gt;&lt;wsp:rsid wsp:val=&quot;00EE7C58&quot;/&gt;&lt;wsp:rsid wsp:val=&quot;00EE7D33&quot;/&gt;&lt;wsp:rsid wsp:val=&quot;00EF009B&quot;/&gt;&lt;wsp:rsid wsp:val=&quot;00EF05CB&quot;/&gt;&lt;wsp:rsid wsp:val=&quot;00EF0A27&quot;/&gt;&lt;wsp:rsid wsp:val=&quot;00EF0C5F&quot;/&gt;&lt;wsp:rsid wsp:val=&quot;00EF12B0&quot;/&gt;&lt;wsp:rsid wsp:val=&quot;00EF1519&quot;/&gt;&lt;wsp:rsid wsp:val=&quot;00EF1B12&quot;/&gt;&lt;wsp:rsid wsp:val=&quot;00EF22E0&quot;/&gt;&lt;wsp:rsid wsp:val=&quot;00EF2300&quot;/&gt;&lt;wsp:rsid wsp:val=&quot;00EF234D&quot;/&gt;&lt;wsp:rsid wsp:val=&quot;00EF2557&quot;/&gt;&lt;wsp:rsid wsp:val=&quot;00EF2C3F&quot;/&gt;&lt;wsp:rsid wsp:val=&quot;00EF30CB&quot;/&gt;&lt;wsp:rsid wsp:val=&quot;00EF3151&quot;/&gt;&lt;wsp:rsid wsp:val=&quot;00EF3173&quot;/&gt;&lt;wsp:rsid wsp:val=&quot;00EF331D&quot;/&gt;&lt;wsp:rsid wsp:val=&quot;00EF3355&quot;/&gt;&lt;wsp:rsid wsp:val=&quot;00EF3521&quot;/&gt;&lt;wsp:rsid wsp:val=&quot;00EF3AD9&quot;/&gt;&lt;wsp:rsid wsp:val=&quot;00EF3CC0&quot;/&gt;&lt;wsp:rsid wsp:val=&quot;00EF3D69&quot;/&gt;&lt;wsp:rsid wsp:val=&quot;00EF3E7F&quot;/&gt;&lt;wsp:rsid wsp:val=&quot;00EF3EE3&quot;/&gt;&lt;wsp:rsid wsp:val=&quot;00EF40AE&quot;/&gt;&lt;wsp:rsid wsp:val=&quot;00EF4228&quot;/&gt;&lt;wsp:rsid wsp:val=&quot;00EF4415&quot;/&gt;&lt;wsp:rsid wsp:val=&quot;00EF4AD3&quot;/&gt;&lt;wsp:rsid wsp:val=&quot;00EF4C3A&quot;/&gt;&lt;wsp:rsid wsp:val=&quot;00EF5180&quot;/&gt;&lt;wsp:rsid wsp:val=&quot;00EF5299&quot;/&gt;&lt;wsp:rsid wsp:val=&quot;00EF541D&quot;/&gt;&lt;wsp:rsid wsp:val=&quot;00EF5422&quot;/&gt;&lt;wsp:rsid wsp:val=&quot;00EF55FC&quot;/&gt;&lt;wsp:rsid wsp:val=&quot;00EF5804&quot;/&gt;&lt;wsp:rsid wsp:val=&quot;00EF59F0&quot;/&gt;&lt;wsp:rsid wsp:val=&quot;00EF5ECB&quot;/&gt;&lt;wsp:rsid wsp:val=&quot;00EF60E3&quot;/&gt;&lt;wsp:rsid wsp:val=&quot;00EF65E7&quot;/&gt;&lt;wsp:rsid wsp:val=&quot;00EF673E&quot;/&gt;&lt;wsp:rsid wsp:val=&quot;00EF678C&quot;/&gt;&lt;wsp:rsid wsp:val=&quot;00EF6B9A&quot;/&gt;&lt;wsp:rsid wsp:val=&quot;00EF70AF&quot;/&gt;&lt;wsp:rsid wsp:val=&quot;00EF7734&quot;/&gt;&lt;wsp:rsid wsp:val=&quot;00EF7A85&quot;/&gt;&lt;wsp:rsid wsp:val=&quot;00EF7DA7&quot;/&gt;&lt;wsp:rsid wsp:val=&quot;00EF7F6D&quot;/&gt;&lt;wsp:rsid wsp:val=&quot;00F0035F&quot;/&gt;&lt;wsp:rsid wsp:val=&quot;00F004A9&quot;/&gt;&lt;wsp:rsid wsp:val=&quot;00F0088E&quot;/&gt;&lt;wsp:rsid wsp:val=&quot;00F00996&quot;/&gt;&lt;wsp:rsid wsp:val=&quot;00F00F21&quot;/&gt;&lt;wsp:rsid wsp:val=&quot;00F0144B&quot;/&gt;&lt;wsp:rsid wsp:val=&quot;00F01C83&quot;/&gt;&lt;wsp:rsid wsp:val=&quot;00F01DFC&quot;/&gt;&lt;wsp:rsid wsp:val=&quot;00F01FD5&quot;/&gt;&lt;wsp:rsid wsp:val=&quot;00F02358&quot;/&gt;&lt;wsp:rsid wsp:val=&quot;00F02432&quot;/&gt;&lt;wsp:rsid wsp:val=&quot;00F02483&quot;/&gt;&lt;wsp:rsid wsp:val=&quot;00F025F2&quot;/&gt;&lt;wsp:rsid wsp:val=&quot;00F026D8&quot;/&gt;&lt;wsp:rsid wsp:val=&quot;00F02774&quot;/&gt;&lt;wsp:rsid wsp:val=&quot;00F027A9&quot;/&gt;&lt;wsp:rsid wsp:val=&quot;00F0286E&quot;/&gt;&lt;wsp:rsid wsp:val=&quot;00F02B1B&quot;/&gt;&lt;wsp:rsid wsp:val=&quot;00F02DD4&quot;/&gt;&lt;wsp:rsid wsp:val=&quot;00F02DEE&quot;/&gt;&lt;wsp:rsid wsp:val=&quot;00F0359C&quot;/&gt;&lt;wsp:rsid wsp:val=&quot;00F03916&quot;/&gt;&lt;wsp:rsid wsp:val=&quot;00F03B59&quot;/&gt;&lt;wsp:rsid wsp:val=&quot;00F045D3&quot;/&gt;&lt;wsp:rsid wsp:val=&quot;00F049A0&quot;/&gt;&lt;wsp:rsid wsp:val=&quot;00F04A75&quot;/&gt;&lt;wsp:rsid wsp:val=&quot;00F04BDD&quot;/&gt;&lt;wsp:rsid wsp:val=&quot;00F04E08&quot;/&gt;&lt;wsp:rsid wsp:val=&quot;00F054BD&quot;/&gt;&lt;wsp:rsid wsp:val=&quot;00F057FE&quot;/&gt;&lt;wsp:rsid wsp:val=&quot;00F05D3A&quot;/&gt;&lt;wsp:rsid wsp:val=&quot;00F05E2B&quot;/&gt;&lt;wsp:rsid wsp:val=&quot;00F06E64&quot;/&gt;&lt;wsp:rsid wsp:val=&quot;00F0727B&quot;/&gt;&lt;wsp:rsid wsp:val=&quot;00F074A9&quot;/&gt;&lt;wsp:rsid wsp:val=&quot;00F0755B&quot;/&gt;&lt;wsp:rsid wsp:val=&quot;00F07834&quot;/&gt;&lt;wsp:rsid wsp:val=&quot;00F07C3E&quot;/&gt;&lt;wsp:rsid wsp:val=&quot;00F07F57&quot;/&gt;&lt;wsp:rsid wsp:val=&quot;00F10726&quot;/&gt;&lt;wsp:rsid wsp:val=&quot;00F109A9&quot;/&gt;&lt;wsp:rsid wsp:val=&quot;00F11004&quot;/&gt;&lt;wsp:rsid wsp:val=&quot;00F1123F&quot;/&gt;&lt;wsp:rsid wsp:val=&quot;00F11260&quot;/&gt;&lt;wsp:rsid wsp:val=&quot;00F1126B&quot;/&gt;&lt;wsp:rsid wsp:val=&quot;00F11280&quot;/&gt;&lt;wsp:rsid wsp:val=&quot;00F11782&quot;/&gt;&lt;wsp:rsid wsp:val=&quot;00F11AA8&quot;/&gt;&lt;wsp:rsid wsp:val=&quot;00F11F8D&quot;/&gt;&lt;wsp:rsid wsp:val=&quot;00F12000&quot;/&gt;&lt;wsp:rsid wsp:val=&quot;00F1226F&quot;/&gt;&lt;wsp:rsid wsp:val=&quot;00F1245B&quot;/&gt;&lt;wsp:rsid wsp:val=&quot;00F12540&quot;/&gt;&lt;wsp:rsid wsp:val=&quot;00F1290E&quot;/&gt;&lt;wsp:rsid wsp:val=&quot;00F12BF6&quot;/&gt;&lt;wsp:rsid wsp:val=&quot;00F12F98&quot;/&gt;&lt;wsp:rsid wsp:val=&quot;00F13075&quot;/&gt;&lt;wsp:rsid wsp:val=&quot;00F132A2&quot;/&gt;&lt;wsp:rsid wsp:val=&quot;00F134AF&quot;/&gt;&lt;wsp:rsid wsp:val=&quot;00F13608&quot;/&gt;&lt;wsp:rsid wsp:val=&quot;00F13713&quot;/&gt;&lt;wsp:rsid wsp:val=&quot;00F13AB4&quot;/&gt;&lt;wsp:rsid wsp:val=&quot;00F13C47&quot;/&gt;&lt;wsp:rsid wsp:val=&quot;00F13DB9&quot;/&gt;&lt;wsp:rsid wsp:val=&quot;00F1491B&quot;/&gt;&lt;wsp:rsid wsp:val=&quot;00F14BE6&quot;/&gt;&lt;wsp:rsid wsp:val=&quot;00F153D9&quot;/&gt;&lt;wsp:rsid wsp:val=&quot;00F1544B&quot;/&gt;&lt;wsp:rsid wsp:val=&quot;00F15C05&quot;/&gt;&lt;wsp:rsid wsp:val=&quot;00F15C95&quot;/&gt;&lt;wsp:rsid wsp:val=&quot;00F15D94&quot;/&gt;&lt;wsp:rsid wsp:val=&quot;00F162B0&quot;/&gt;&lt;wsp:rsid wsp:val=&quot;00F16509&quot;/&gt;&lt;wsp:rsid wsp:val=&quot;00F165E8&quot;/&gt;&lt;wsp:rsid wsp:val=&quot;00F16982&quot;/&gt;&lt;wsp:rsid wsp:val=&quot;00F16BBE&quot;/&gt;&lt;wsp:rsid wsp:val=&quot;00F16BE5&quot;/&gt;&lt;wsp:rsid wsp:val=&quot;00F16E3B&quot;/&gt;&lt;wsp:rsid wsp:val=&quot;00F16EBC&quot;/&gt;&lt;wsp:rsid wsp:val=&quot;00F171E9&quot;/&gt;&lt;wsp:rsid wsp:val=&quot;00F17511&quot;/&gt;&lt;wsp:rsid wsp:val=&quot;00F17CED&quot;/&gt;&lt;wsp:rsid wsp:val=&quot;00F20399&quot;/&gt;&lt;wsp:rsid wsp:val=&quot;00F20586&quot;/&gt;&lt;wsp:rsid wsp:val=&quot;00F2069C&quot;/&gt;&lt;wsp:rsid wsp:val=&quot;00F20991&quot;/&gt;&lt;wsp:rsid wsp:val=&quot;00F209DC&quot;/&gt;&lt;wsp:rsid wsp:val=&quot;00F20B5D&quot;/&gt;&lt;wsp:rsid wsp:val=&quot;00F2119F&quot;/&gt;&lt;wsp:rsid wsp:val=&quot;00F214C8&quot;/&gt;&lt;wsp:rsid wsp:val=&quot;00F217BB&quot;/&gt;&lt;wsp:rsid wsp:val=&quot;00F21BB3&quot;/&gt;&lt;wsp:rsid wsp:val=&quot;00F220BD&quot;/&gt;&lt;wsp:rsid wsp:val=&quot;00F22245&quot;/&gt;&lt;wsp:rsid wsp:val=&quot;00F22432&quot;/&gt;&lt;wsp:rsid wsp:val=&quot;00F22D42&quot;/&gt;&lt;wsp:rsid wsp:val=&quot;00F22D63&quot;/&gt;&lt;wsp:rsid wsp:val=&quot;00F23926&quot;/&gt;&lt;wsp:rsid wsp:val=&quot;00F23988&quot;/&gt;&lt;wsp:rsid wsp:val=&quot;00F239DB&quot;/&gt;&lt;wsp:rsid wsp:val=&quot;00F248B6&quot;/&gt;&lt;wsp:rsid wsp:val=&quot;00F25BA1&quot;/&gt;&lt;wsp:rsid wsp:val=&quot;00F25F4F&quot;/&gt;&lt;wsp:rsid wsp:val=&quot;00F25F66&quot;/&gt;&lt;wsp:rsid wsp:val=&quot;00F26186&quot;/&gt;&lt;wsp:rsid wsp:val=&quot;00F26946&quot;/&gt;&lt;wsp:rsid wsp:val=&quot;00F2697D&quot;/&gt;&lt;wsp:rsid wsp:val=&quot;00F26E0B&quot;/&gt;&lt;wsp:rsid wsp:val=&quot;00F26FC9&quot;/&gt;&lt;wsp:rsid wsp:val=&quot;00F270EB&quot;/&gt;&lt;wsp:rsid wsp:val=&quot;00F276A7&quot;/&gt;&lt;wsp:rsid wsp:val=&quot;00F27FFC&quot;/&gt;&lt;wsp:rsid wsp:val=&quot;00F306BB&quot;/&gt;&lt;wsp:rsid wsp:val=&quot;00F30864&quot;/&gt;&lt;wsp:rsid wsp:val=&quot;00F30DB2&quot;/&gt;&lt;wsp:rsid wsp:val=&quot;00F30E0A&quot;/&gt;&lt;wsp:rsid wsp:val=&quot;00F30E1F&quot;/&gt;&lt;wsp:rsid wsp:val=&quot;00F30E53&quot;/&gt;&lt;wsp:rsid wsp:val=&quot;00F30ECA&quot;/&gt;&lt;wsp:rsid wsp:val=&quot;00F30F2F&quot;/&gt;&lt;wsp:rsid wsp:val=&quot;00F3114F&quot;/&gt;&lt;wsp:rsid wsp:val=&quot;00F31374&quot;/&gt;&lt;wsp:rsid wsp:val=&quot;00F31531&quot;/&gt;&lt;wsp:rsid wsp:val=&quot;00F315FD&quot;/&gt;&lt;wsp:rsid wsp:val=&quot;00F32CC9&quot;/&gt;&lt;wsp:rsid wsp:val=&quot;00F32D06&quot;/&gt;&lt;wsp:rsid wsp:val=&quot;00F32F61&quot;/&gt;&lt;wsp:rsid wsp:val=&quot;00F3306C&quot;/&gt;&lt;wsp:rsid wsp:val=&quot;00F330A7&quot;/&gt;&lt;wsp:rsid wsp:val=&quot;00F332C8&quot;/&gt;&lt;wsp:rsid wsp:val=&quot;00F334E2&quot;/&gt;&lt;wsp:rsid wsp:val=&quot;00F33D91&quot;/&gt;&lt;wsp:rsid wsp:val=&quot;00F3452C&quot;/&gt;&lt;wsp:rsid wsp:val=&quot;00F34EFB&quot;/&gt;&lt;wsp:rsid wsp:val=&quot;00F34F7B&quot;/&gt;&lt;wsp:rsid wsp:val=&quot;00F3510B&quot;/&gt;&lt;wsp:rsid wsp:val=&quot;00F35798&quot;/&gt;&lt;wsp:rsid wsp:val=&quot;00F36084&quot;/&gt;&lt;wsp:rsid wsp:val=&quot;00F36644&quot;/&gt;&lt;wsp:rsid wsp:val=&quot;00F3720A&quot;/&gt;&lt;wsp:rsid wsp:val=&quot;00F3737B&quot;/&gt;&lt;wsp:rsid wsp:val=&quot;00F3746E&quot;/&gt;&lt;wsp:rsid wsp:val=&quot;00F378D0&quot;/&gt;&lt;wsp:rsid wsp:val=&quot;00F4014F&quot;/&gt;&lt;wsp:rsid wsp:val=&quot;00F40169&quot;/&gt;&lt;wsp:rsid wsp:val=&quot;00F40E08&quot;/&gt;&lt;wsp:rsid wsp:val=&quot;00F40E6C&quot;/&gt;&lt;wsp:rsid wsp:val=&quot;00F41130&quot;/&gt;&lt;wsp:rsid wsp:val=&quot;00F41547&quot;/&gt;&lt;wsp:rsid wsp:val=&quot;00F41755&quot;/&gt;&lt;wsp:rsid wsp:val=&quot;00F41C49&quot;/&gt;&lt;wsp:rsid wsp:val=&quot;00F42189&quot;/&gt;&lt;wsp:rsid wsp:val=&quot;00F4257D&quot;/&gt;&lt;wsp:rsid wsp:val=&quot;00F425C6&quot;/&gt;&lt;wsp:rsid wsp:val=&quot;00F42938&quot;/&gt;&lt;wsp:rsid wsp:val=&quot;00F429A0&quot;/&gt;&lt;wsp:rsid wsp:val=&quot;00F42A33&quot;/&gt;&lt;wsp:rsid wsp:val=&quot;00F42D66&quot;/&gt;&lt;wsp:rsid wsp:val=&quot;00F4309F&quot;/&gt;&lt;wsp:rsid wsp:val=&quot;00F43281&quot;/&gt;&lt;wsp:rsid wsp:val=&quot;00F4349A&quot;/&gt;&lt;wsp:rsid wsp:val=&quot;00F435B7&quot;/&gt;&lt;wsp:rsid wsp:val=&quot;00F43749&quot;/&gt;&lt;wsp:rsid wsp:val=&quot;00F43B29&quot;/&gt;&lt;wsp:rsid wsp:val=&quot;00F44116&quot;/&gt;&lt;wsp:rsid wsp:val=&quot;00F4420F&quot;/&gt;&lt;wsp:rsid wsp:val=&quot;00F44464&quot;/&gt;&lt;wsp:rsid wsp:val=&quot;00F45A2D&quot;/&gt;&lt;wsp:rsid wsp:val=&quot;00F45B5C&quot;/&gt;&lt;wsp:rsid wsp:val=&quot;00F45E2F&quot;/&gt;&lt;wsp:rsid wsp:val=&quot;00F4666B&quot;/&gt;&lt;wsp:rsid wsp:val=&quot;00F468B3&quot;/&gt;&lt;wsp:rsid wsp:val=&quot;00F46947&quot;/&gt;&lt;wsp:rsid wsp:val=&quot;00F46BBC&quot;/&gt;&lt;wsp:rsid wsp:val=&quot;00F47164&quot;/&gt;&lt;wsp:rsid wsp:val=&quot;00F47605&quot;/&gt;&lt;wsp:rsid wsp:val=&quot;00F4791C&quot;/&gt;&lt;wsp:rsid wsp:val=&quot;00F50B49&quot;/&gt;&lt;wsp:rsid wsp:val=&quot;00F50BFE&quot;/&gt;&lt;wsp:rsid wsp:val=&quot;00F50CB7&quot;/&gt;&lt;wsp:rsid wsp:val=&quot;00F50D52&quot;/&gt;&lt;wsp:rsid wsp:val=&quot;00F50E3D&quot;/&gt;&lt;wsp:rsid wsp:val=&quot;00F510DF&quot;/&gt;&lt;wsp:rsid wsp:val=&quot;00F5130C&quot;/&gt;&lt;wsp:rsid wsp:val=&quot;00F515BE&quot;/&gt;&lt;wsp:rsid wsp:val=&quot;00F51774&quot;/&gt;&lt;wsp:rsid wsp:val=&quot;00F51AE6&quot;/&gt;&lt;wsp:rsid wsp:val=&quot;00F51CB1&quot;/&gt;&lt;wsp:rsid wsp:val=&quot;00F51E79&quot;/&gt;&lt;wsp:rsid wsp:val=&quot;00F51FFA&quot;/&gt;&lt;wsp:rsid wsp:val=&quot;00F52361&quot;/&gt;&lt;wsp:rsid wsp:val=&quot;00F524A7&quot;/&gt;&lt;wsp:rsid wsp:val=&quot;00F533D1&quot;/&gt;&lt;wsp:rsid wsp:val=&quot;00F534D4&quot;/&gt;&lt;wsp:rsid wsp:val=&quot;00F53523&quot;/&gt;&lt;wsp:rsid wsp:val=&quot;00F535F4&quot;/&gt;&lt;wsp:rsid wsp:val=&quot;00F53D3A&quot;/&gt;&lt;wsp:rsid wsp:val=&quot;00F53DD9&quot;/&gt;&lt;wsp:rsid wsp:val=&quot;00F54446&quot;/&gt;&lt;wsp:rsid wsp:val=&quot;00F5463A&quot;/&gt;&lt;wsp:rsid wsp:val=&quot;00F549C9&quot;/&gt;&lt;wsp:rsid wsp:val=&quot;00F54D7E&quot;/&gt;&lt;wsp:rsid wsp:val=&quot;00F54EF2&quot;/&gt;&lt;wsp:rsid wsp:val=&quot;00F553A0&quot;/&gt;&lt;wsp:rsid wsp:val=&quot;00F553F3&quot;/&gt;&lt;wsp:rsid wsp:val=&quot;00F55717&quot;/&gt;&lt;wsp:rsid wsp:val=&quot;00F557A0&quot;/&gt;&lt;wsp:rsid wsp:val=&quot;00F55827&quot;/&gt;&lt;wsp:rsid wsp:val=&quot;00F559F1&quot;/&gt;&lt;wsp:rsid wsp:val=&quot;00F55C4B&quot;/&gt;&lt;wsp:rsid wsp:val=&quot;00F56030&quot;/&gt;&lt;wsp:rsid wsp:val=&quot;00F56198&quot;/&gt;&lt;wsp:rsid wsp:val=&quot;00F56346&quot;/&gt;&lt;wsp:rsid wsp:val=&quot;00F56A8D&quot;/&gt;&lt;wsp:rsid wsp:val=&quot;00F56D1D&quot;/&gt;&lt;wsp:rsid wsp:val=&quot;00F56D8D&quot;/&gt;&lt;wsp:rsid wsp:val=&quot;00F56F57&quot;/&gt;&lt;wsp:rsid wsp:val=&quot;00F57A19&quot;/&gt;&lt;wsp:rsid wsp:val=&quot;00F57AD3&quot;/&gt;&lt;wsp:rsid wsp:val=&quot;00F57DBF&quot;/&gt;&lt;wsp:rsid wsp:val=&quot;00F60254&quot;/&gt;&lt;wsp:rsid wsp:val=&quot;00F60780&quot;/&gt;&lt;wsp:rsid wsp:val=&quot;00F610E2&quot;/&gt;&lt;wsp:rsid wsp:val=&quot;00F611C7&quot;/&gt;&lt;wsp:rsid wsp:val=&quot;00F61226&quot;/&gt;&lt;wsp:rsid wsp:val=&quot;00F614D7&quot;/&gt;&lt;wsp:rsid wsp:val=&quot;00F61649&quot;/&gt;&lt;wsp:rsid wsp:val=&quot;00F6170F&quot;/&gt;&lt;wsp:rsid wsp:val=&quot;00F61B5A&quot;/&gt;&lt;wsp:rsid wsp:val=&quot;00F61EF1&quot;/&gt;&lt;wsp:rsid wsp:val=&quot;00F6263C&quot;/&gt;&lt;wsp:rsid wsp:val=&quot;00F62D8E&quot;/&gt;&lt;wsp:rsid wsp:val=&quot;00F6324B&quot;/&gt;&lt;wsp:rsid wsp:val=&quot;00F632CF&quot;/&gt;&lt;wsp:rsid wsp:val=&quot;00F633DF&quot;/&gt;&lt;wsp:rsid wsp:val=&quot;00F635EB&quot;/&gt;&lt;wsp:rsid wsp:val=&quot;00F636D8&quot;/&gt;&lt;wsp:rsid wsp:val=&quot;00F63B09&quot;/&gt;&lt;wsp:rsid wsp:val=&quot;00F63CD5&quot;/&gt;&lt;wsp:rsid wsp:val=&quot;00F63D5A&quot;/&gt;&lt;wsp:rsid wsp:val=&quot;00F63D6F&quot;/&gt;&lt;wsp:rsid wsp:val=&quot;00F63EE9&quot;/&gt;&lt;wsp:rsid wsp:val=&quot;00F64154&quot;/&gt;&lt;wsp:rsid wsp:val=&quot;00F64265&quot;/&gt;&lt;wsp:rsid wsp:val=&quot;00F64337&quot;/&gt;&lt;wsp:rsid wsp:val=&quot;00F64483&quot;/&gt;&lt;wsp:rsid wsp:val=&quot;00F6553F&quot;/&gt;&lt;wsp:rsid wsp:val=&quot;00F6560A&quot;/&gt;&lt;wsp:rsid wsp:val=&quot;00F65768&quot;/&gt;&lt;wsp:rsid wsp:val=&quot;00F65908&quot;/&gt;&lt;wsp:rsid wsp:val=&quot;00F65A7E&quot;/&gt;&lt;wsp:rsid wsp:val=&quot;00F66318&quot;/&gt;&lt;wsp:rsid wsp:val=&quot;00F66610&quot;/&gt;&lt;wsp:rsid wsp:val=&quot;00F66707&quot;/&gt;&lt;wsp:rsid wsp:val=&quot;00F66708&quot;/&gt;&lt;wsp:rsid wsp:val=&quot;00F66F00&quot;/&gt;&lt;wsp:rsid wsp:val=&quot;00F66FAB&quot;/&gt;&lt;wsp:rsid wsp:val=&quot;00F67415&quot;/&gt;&lt;wsp:rsid wsp:val=&quot;00F6753F&quot;/&gt;&lt;wsp:rsid wsp:val=&quot;00F67AC2&quot;/&gt;&lt;wsp:rsid wsp:val=&quot;00F67CB4&quot;/&gt;&lt;wsp:rsid wsp:val=&quot;00F67CEB&quot;/&gt;&lt;wsp:rsid wsp:val=&quot;00F67D22&quot;/&gt;&lt;wsp:rsid wsp:val=&quot;00F67FFB&quot;/&gt;&lt;wsp:rsid wsp:val=&quot;00F70430&quot;/&gt;&lt;wsp:rsid wsp:val=&quot;00F706B8&quot;/&gt;&lt;wsp:rsid wsp:val=&quot;00F7081B&quot;/&gt;&lt;wsp:rsid wsp:val=&quot;00F70F04&quot;/&gt;&lt;wsp:rsid wsp:val=&quot;00F710CE&quot;/&gt;&lt;wsp:rsid wsp:val=&quot;00F71249&quot;/&gt;&lt;wsp:rsid wsp:val=&quot;00F715F9&quot;/&gt;&lt;wsp:rsid wsp:val=&quot;00F71C31&quot;/&gt;&lt;wsp:rsid wsp:val=&quot;00F71D0F&quot;/&gt;&lt;wsp:rsid wsp:val=&quot;00F7207F&quot;/&gt;&lt;wsp:rsid wsp:val=&quot;00F72142&quot;/&gt;&lt;wsp:rsid wsp:val=&quot;00F72156&quot;/&gt;&lt;wsp:rsid wsp:val=&quot;00F72FB8&quot;/&gt;&lt;wsp:rsid wsp:val=&quot;00F73302&quot;/&gt;&lt;wsp:rsid wsp:val=&quot;00F7366E&quot;/&gt;&lt;wsp:rsid wsp:val=&quot;00F738C0&quot;/&gt;&lt;wsp:rsid wsp:val=&quot;00F74BDB&quot;/&gt;&lt;wsp:rsid wsp:val=&quot;00F74DA1&quot;/&gt;&lt;wsp:rsid wsp:val=&quot;00F74FBC&quot;/&gt;&lt;wsp:rsid wsp:val=&quot;00F75343&quot;/&gt;&lt;wsp:rsid wsp:val=&quot;00F75733&quot;/&gt;&lt;wsp:rsid wsp:val=&quot;00F75983&quot;/&gt;&lt;wsp:rsid wsp:val=&quot;00F75995&quot;/&gt;&lt;wsp:rsid wsp:val=&quot;00F75B2C&quot;/&gt;&lt;wsp:rsid wsp:val=&quot;00F75E73&quot;/&gt;&lt;wsp:rsid wsp:val=&quot;00F75F1C&quot;/&gt;&lt;wsp:rsid wsp:val=&quot;00F76507&quot;/&gt;&lt;wsp:rsid wsp:val=&quot;00F76DE0&quot;/&gt;&lt;wsp:rsid wsp:val=&quot;00F772CB&quot;/&gt;&lt;wsp:rsid wsp:val=&quot;00F77526&quot;/&gt;&lt;wsp:rsid wsp:val=&quot;00F77867&quot;/&gt;&lt;wsp:rsid wsp:val=&quot;00F77A01&quot;/&gt;&lt;wsp:rsid wsp:val=&quot;00F77D4D&quot;/&gt;&lt;wsp:rsid wsp:val=&quot;00F80059&quot;/&gt;&lt;wsp:rsid wsp:val=&quot;00F800B6&quot;/&gt;&lt;wsp:rsid wsp:val=&quot;00F8013D&quot;/&gt;&lt;wsp:rsid wsp:val=&quot;00F8064C&quot;/&gt;&lt;wsp:rsid wsp:val=&quot;00F8097E&quot;/&gt;&lt;wsp:rsid wsp:val=&quot;00F80FD7&quot;/&gt;&lt;wsp:rsid wsp:val=&quot;00F815EB&quot;/&gt;&lt;wsp:rsid wsp:val=&quot;00F81FFE&quot;/&gt;&lt;wsp:rsid wsp:val=&quot;00F8227B&quot;/&gt;&lt;wsp:rsid wsp:val=&quot;00F82E2E&quot;/&gt;&lt;wsp:rsid wsp:val=&quot;00F830B3&quot;/&gt;&lt;wsp:rsid wsp:val=&quot;00F831CE&quot;/&gt;&lt;wsp:rsid wsp:val=&quot;00F83617&quot;/&gt;&lt;wsp:rsid wsp:val=&quot;00F83C98&quot;/&gt;&lt;wsp:rsid wsp:val=&quot;00F84063&quot;/&gt;&lt;wsp:rsid wsp:val=&quot;00F84147&quot;/&gt;&lt;wsp:rsid wsp:val=&quot;00F843A5&quot;/&gt;&lt;wsp:rsid wsp:val=&quot;00F84777&quot;/&gt;&lt;wsp:rsid wsp:val=&quot;00F84B77&quot;/&gt;&lt;wsp:rsid wsp:val=&quot;00F8559F&quot;/&gt;&lt;wsp:rsid wsp:val=&quot;00F85738&quot;/&gt;&lt;wsp:rsid wsp:val=&quot;00F859C5&quot;/&gt;&lt;wsp:rsid wsp:val=&quot;00F85D84&quot;/&gt;&lt;wsp:rsid wsp:val=&quot;00F85E7A&quot;/&gt;&lt;wsp:rsid wsp:val=&quot;00F8609A&quot;/&gt;&lt;wsp:rsid wsp:val=&quot;00F86338&quot;/&gt;&lt;wsp:rsid wsp:val=&quot;00F8693C&quot;/&gt;&lt;wsp:rsid wsp:val=&quot;00F86FFC&quot;/&gt;&lt;wsp:rsid wsp:val=&quot;00F871F6&quot;/&gt;&lt;wsp:rsid wsp:val=&quot;00F87838&quot;/&gt;&lt;wsp:rsid wsp:val=&quot;00F87867&quot;/&gt;&lt;wsp:rsid wsp:val=&quot;00F8786C&quot;/&gt;&lt;wsp:rsid wsp:val=&quot;00F900C4&quot;/&gt;&lt;wsp:rsid wsp:val=&quot;00F90109&quot;/&gt;&lt;wsp:rsid wsp:val=&quot;00F90192&quot;/&gt;&lt;wsp:rsid wsp:val=&quot;00F90A4C&quot;/&gt;&lt;wsp:rsid wsp:val=&quot;00F90A62&quot;/&gt;&lt;wsp:rsid wsp:val=&quot;00F90DE3&quot;/&gt;&lt;wsp:rsid wsp:val=&quot;00F91036&quot;/&gt;&lt;wsp:rsid wsp:val=&quot;00F915B0&quot;/&gt;&lt;wsp:rsid wsp:val=&quot;00F91F1B&quot;/&gt;&lt;wsp:rsid wsp:val=&quot;00F92253&quot;/&gt;&lt;wsp:rsid wsp:val=&quot;00F92447&quot;/&gt;&lt;wsp:rsid wsp:val=&quot;00F92CC4&quot;/&gt;&lt;wsp:rsid wsp:val=&quot;00F92DAA&quot;/&gt;&lt;wsp:rsid wsp:val=&quot;00F92EE6&quot;/&gt;&lt;wsp:rsid wsp:val=&quot;00F92FDD&quot;/&gt;&lt;wsp:rsid wsp:val=&quot;00F930C4&quot;/&gt;&lt;wsp:rsid wsp:val=&quot;00F932FB&quot;/&gt;&lt;wsp:rsid wsp:val=&quot;00F934B8&quot;/&gt;&lt;wsp:rsid wsp:val=&quot;00F9371D&quot;/&gt;&lt;wsp:rsid wsp:val=&quot;00F938A4&quot;/&gt;&lt;wsp:rsid wsp:val=&quot;00F93A2B&quot;/&gt;&lt;wsp:rsid wsp:val=&quot;00F93A8D&quot;/&gt;&lt;wsp:rsid wsp:val=&quot;00F93B83&quot;/&gt;&lt;wsp:rsid wsp:val=&quot;00F93D94&quot;/&gt;&lt;wsp:rsid wsp:val=&quot;00F93E13&quot;/&gt;&lt;wsp:rsid wsp:val=&quot;00F94910&quot;/&gt;&lt;wsp:rsid wsp:val=&quot;00F94927&quot;/&gt;&lt;wsp:rsid wsp:val=&quot;00F94B0C&quot;/&gt;&lt;wsp:rsid wsp:val=&quot;00F94C0B&quot;/&gt;&lt;wsp:rsid wsp:val=&quot;00F95AEB&quot;/&gt;&lt;wsp:rsid wsp:val=&quot;00F95EAF&quot;/&gt;&lt;wsp:rsid wsp:val=&quot;00F95EE3&quot;/&gt;&lt;wsp:rsid wsp:val=&quot;00F96327&quot;/&gt;&lt;wsp:rsid wsp:val=&quot;00F96387&quot;/&gt;&lt;wsp:rsid wsp:val=&quot;00F96ABC&quot;/&gt;&lt;wsp:rsid wsp:val=&quot;00F96C7A&quot;/&gt;&lt;wsp:rsid wsp:val=&quot;00F97541&quot;/&gt;&lt;wsp:rsid wsp:val=&quot;00F9773A&quot;/&gt;&lt;wsp:rsid wsp:val=&quot;00F97F36&quot;/&gt;&lt;wsp:rsid wsp:val=&quot;00FA00A0&quot;/&gt;&lt;wsp:rsid wsp:val=&quot;00FA01C0&quot;/&gt;&lt;wsp:rsid wsp:val=&quot;00FA033C&quot;/&gt;&lt;wsp:rsid wsp:val=&quot;00FA04BE&quot;/&gt;&lt;wsp:rsid wsp:val=&quot;00FA05F4&quot;/&gt;&lt;wsp:rsid wsp:val=&quot;00FA0C1B&quot;/&gt;&lt;wsp:rsid wsp:val=&quot;00FA1B8C&quot;/&gt;&lt;wsp:rsid wsp:val=&quot;00FA1BC3&quot;/&gt;&lt;wsp:rsid wsp:val=&quot;00FA1DE7&quot;/&gt;&lt;wsp:rsid wsp:val=&quot;00FA2244&quot;/&gt;&lt;wsp:rsid wsp:val=&quot;00FA2540&quot;/&gt;&lt;wsp:rsid wsp:val=&quot;00FA26BE&quot;/&gt;&lt;wsp:rsid wsp:val=&quot;00FA2818&quot;/&gt;&lt;wsp:rsid wsp:val=&quot;00FA2A08&quot;/&gt;&lt;wsp:rsid wsp:val=&quot;00FA2A8E&quot;/&gt;&lt;wsp:rsid wsp:val=&quot;00FA30F6&quot;/&gt;&lt;wsp:rsid wsp:val=&quot;00FA32BD&quot;/&gt;&lt;wsp:rsid wsp:val=&quot;00FA34AC&quot;/&gt;&lt;wsp:rsid wsp:val=&quot;00FA3BCD&quot;/&gt;&lt;wsp:rsid wsp:val=&quot;00FA3F2B&quot;/&gt;&lt;wsp:rsid wsp:val=&quot;00FA41C1&quot;/&gt;&lt;wsp:rsid wsp:val=&quot;00FA4765&quot;/&gt;&lt;wsp:rsid wsp:val=&quot;00FA49C8&quot;/&gt;&lt;wsp:rsid wsp:val=&quot;00FA4FBA&quot;/&gt;&lt;wsp:rsid wsp:val=&quot;00FA504F&quot;/&gt;&lt;wsp:rsid wsp:val=&quot;00FA5CE8&quot;/&gt;&lt;wsp:rsid wsp:val=&quot;00FA60DF&quot;/&gt;&lt;wsp:rsid wsp:val=&quot;00FA67C6&quot;/&gt;&lt;wsp:rsid wsp:val=&quot;00FA6C93&quot;/&gt;&lt;wsp:rsid wsp:val=&quot;00FA764F&quot;/&gt;&lt;wsp:rsid wsp:val=&quot;00FA7B49&quot;/&gt;&lt;wsp:rsid wsp:val=&quot;00FA7FD0&quot;/&gt;&lt;wsp:rsid wsp:val=&quot;00FB00AE&quot;/&gt;&lt;wsp:rsid wsp:val=&quot;00FB045A&quot;/&gt;&lt;wsp:rsid wsp:val=&quot;00FB05A8&quot;/&gt;&lt;wsp:rsid wsp:val=&quot;00FB06EE&quot;/&gt;&lt;wsp:rsid wsp:val=&quot;00FB0D00&quot;/&gt;&lt;wsp:rsid wsp:val=&quot;00FB0F95&quot;/&gt;&lt;wsp:rsid wsp:val=&quot;00FB12DD&quot;/&gt;&lt;wsp:rsid wsp:val=&quot;00FB1C96&quot;/&gt;&lt;wsp:rsid wsp:val=&quot;00FB2222&quot;/&gt;&lt;wsp:rsid wsp:val=&quot;00FB230F&quot;/&gt;&lt;wsp:rsid wsp:val=&quot;00FB26CE&quot;/&gt;&lt;wsp:rsid wsp:val=&quot;00FB2C27&quot;/&gt;&lt;wsp:rsid wsp:val=&quot;00FB3464&quot;/&gt;&lt;wsp:rsid wsp:val=&quot;00FB36A0&quot;/&gt;&lt;wsp:rsid wsp:val=&quot;00FB378F&quot;/&gt;&lt;wsp:rsid wsp:val=&quot;00FB3CA8&quot;/&gt;&lt;wsp:rsid wsp:val=&quot;00FB3D65&quot;/&gt;&lt;wsp:rsid wsp:val=&quot;00FB4896&quot;/&gt;&lt;wsp:rsid wsp:val=&quot;00FB49C9&quot;/&gt;&lt;wsp:rsid wsp:val=&quot;00FB5479&quot;/&gt;&lt;wsp:rsid wsp:val=&quot;00FB5BE0&quot;/&gt;&lt;wsp:rsid wsp:val=&quot;00FB66DF&quot;/&gt;&lt;wsp:rsid wsp:val=&quot;00FB67FB&quot;/&gt;&lt;wsp:rsid wsp:val=&quot;00FB68B4&quot;/&gt;&lt;wsp:rsid wsp:val=&quot;00FB6D37&quot;/&gt;&lt;wsp:rsid wsp:val=&quot;00FB6FE3&quot;/&gt;&lt;wsp:rsid wsp:val=&quot;00FB7158&quot;/&gt;&lt;wsp:rsid wsp:val=&quot;00FB726C&quot;/&gt;&lt;wsp:rsid wsp:val=&quot;00FB75F6&quot;/&gt;&lt;wsp:rsid wsp:val=&quot;00FC0929&quot;/&gt;&lt;wsp:rsid wsp:val=&quot;00FC0B69&quot;/&gt;&lt;wsp:rsid wsp:val=&quot;00FC0DD7&quot;/&gt;&lt;wsp:rsid wsp:val=&quot;00FC15A1&quot;/&gt;&lt;wsp:rsid wsp:val=&quot;00FC15B6&quot;/&gt;&lt;wsp:rsid wsp:val=&quot;00FC1E7C&quot;/&gt;&lt;wsp:rsid wsp:val=&quot;00FC211A&quot;/&gt;&lt;wsp:rsid wsp:val=&quot;00FC24EE&quot;/&gt;&lt;wsp:rsid wsp:val=&quot;00FC2522&quot;/&gt;&lt;wsp:rsid wsp:val=&quot;00FC2C55&quot;/&gt;&lt;wsp:rsid wsp:val=&quot;00FC312E&quot;/&gt;&lt;wsp:rsid wsp:val=&quot;00FC346A&quot;/&gt;&lt;wsp:rsid wsp:val=&quot;00FC3BE2&quot;/&gt;&lt;wsp:rsid wsp:val=&quot;00FC3F56&quot;/&gt;&lt;wsp:rsid wsp:val=&quot;00FC42D9&quot;/&gt;&lt;wsp:rsid wsp:val=&quot;00FC49F9&quot;/&gt;&lt;wsp:rsid wsp:val=&quot;00FC4F0F&quot;/&gt;&lt;wsp:rsid wsp:val=&quot;00FC4F67&quot;/&gt;&lt;wsp:rsid wsp:val=&quot;00FC509E&quot;/&gt;&lt;wsp:rsid wsp:val=&quot;00FC525E&quot;/&gt;&lt;wsp:rsid wsp:val=&quot;00FC55B4&quot;/&gt;&lt;wsp:rsid wsp:val=&quot;00FC5ADA&quot;/&gt;&lt;wsp:rsid wsp:val=&quot;00FC60AF&quot;/&gt;&lt;wsp:rsid wsp:val=&quot;00FC6224&quot;/&gt;&lt;wsp:rsid wsp:val=&quot;00FC6496&quot;/&gt;&lt;wsp:rsid wsp:val=&quot;00FC6906&quot;/&gt;&lt;wsp:rsid wsp:val=&quot;00FC69CA&quot;/&gt;&lt;wsp:rsid wsp:val=&quot;00FC6B75&quot;/&gt;&lt;wsp:rsid wsp:val=&quot;00FC7632&quot;/&gt;&lt;wsp:rsid wsp:val=&quot;00FC7807&quot;/&gt;&lt;wsp:rsid wsp:val=&quot;00FC7B72&quot;/&gt;&lt;wsp:rsid wsp:val=&quot;00FC7D2A&quot;/&gt;&lt;wsp:rsid wsp:val=&quot;00FC7F6A&quot;/&gt;&lt;wsp:rsid wsp:val=&quot;00FD01AC&quot;/&gt;&lt;wsp:rsid wsp:val=&quot;00FD01BA&quot;/&gt;&lt;wsp:rsid wsp:val=&quot;00FD06A4&quot;/&gt;&lt;wsp:rsid wsp:val=&quot;00FD0897&quot;/&gt;&lt;wsp:rsid wsp:val=&quot;00FD0912&quot;/&gt;&lt;wsp:rsid wsp:val=&quot;00FD10F6&quot;/&gt;&lt;wsp:rsid wsp:val=&quot;00FD12B2&quot;/&gt;&lt;wsp:rsid wsp:val=&quot;00FD12B3&quot;/&gt;&lt;wsp:rsid wsp:val=&quot;00FD1AE0&quot;/&gt;&lt;wsp:rsid wsp:val=&quot;00FD2D3C&quot;/&gt;&lt;wsp:rsid wsp:val=&quot;00FD375E&quot;/&gt;&lt;wsp:rsid wsp:val=&quot;00FD399B&quot;/&gt;&lt;wsp:rsid wsp:val=&quot;00FD3F7E&quot;/&gt;&lt;wsp:rsid wsp:val=&quot;00FD41C0&quot;/&gt;&lt;wsp:rsid wsp:val=&quot;00FD4CF6&quot;/&gt;&lt;wsp:rsid wsp:val=&quot;00FD5455&quot;/&gt;&lt;wsp:rsid wsp:val=&quot;00FD5531&quot;/&gt;&lt;wsp:rsid wsp:val=&quot;00FD584E&quot;/&gt;&lt;wsp:rsid wsp:val=&quot;00FD5AE7&quot;/&gt;&lt;wsp:rsid wsp:val=&quot;00FD5F9D&quot;/&gt;&lt;wsp:rsid wsp:val=&quot;00FD618D&quot;/&gt;&lt;wsp:rsid wsp:val=&quot;00FD66C9&quot;/&gt;&lt;wsp:rsid wsp:val=&quot;00FD6D27&quot;/&gt;&lt;wsp:rsid wsp:val=&quot;00FD6F86&quot;/&gt;&lt;wsp:rsid wsp:val=&quot;00FD75D7&quot;/&gt;&lt;wsp:rsid wsp:val=&quot;00FD762F&quot;/&gt;&lt;wsp:rsid wsp:val=&quot;00FD76A1&quot;/&gt;&lt;wsp:rsid wsp:val=&quot;00FD7D93&quot;/&gt;&lt;wsp:rsid wsp:val=&quot;00FD7DE1&quot;/&gt;&lt;wsp:rsid wsp:val=&quot;00FE029E&quot;/&gt;&lt;wsp:rsid wsp:val=&quot;00FE036B&quot;/&gt;&lt;wsp:rsid wsp:val=&quot;00FE0473&quot;/&gt;&lt;wsp:rsid wsp:val=&quot;00FE051B&quot;/&gt;&lt;wsp:rsid wsp:val=&quot;00FE05F2&quot;/&gt;&lt;wsp:rsid wsp:val=&quot;00FE0609&quot;/&gt;&lt;wsp:rsid wsp:val=&quot;00FE08A0&quot;/&gt;&lt;wsp:rsid wsp:val=&quot;00FE0BA6&quot;/&gt;&lt;wsp:rsid wsp:val=&quot;00FE0C80&quot;/&gt;&lt;wsp:rsid wsp:val=&quot;00FE0EEB&quot;/&gt;&lt;wsp:rsid wsp:val=&quot;00FE1247&quot;/&gt;&lt;wsp:rsid wsp:val=&quot;00FE13FE&quot;/&gt;&lt;wsp:rsid wsp:val=&quot;00FE1543&quot;/&gt;&lt;wsp:rsid wsp:val=&quot;00FE174B&quot;/&gt;&lt;wsp:rsid wsp:val=&quot;00FE1BF0&quot;/&gt;&lt;wsp:rsid wsp:val=&quot;00FE1C12&quot;/&gt;&lt;wsp:rsid wsp:val=&quot;00FE23D2&quot;/&gt;&lt;wsp:rsid wsp:val=&quot;00FE2C75&quot;/&gt;&lt;wsp:rsid wsp:val=&quot;00FE2EA9&quot;/&gt;&lt;wsp:rsid wsp:val=&quot;00FE2F88&quot;/&gt;&lt;wsp:rsid wsp:val=&quot;00FE3205&quot;/&gt;&lt;wsp:rsid wsp:val=&quot;00FE3508&quot;/&gt;&lt;wsp:rsid wsp:val=&quot;00FE4194&quot;/&gt;&lt;wsp:rsid wsp:val=&quot;00FE4C69&quot;/&gt;&lt;wsp:rsid wsp:val=&quot;00FE50F5&quot;/&gt;&lt;wsp:rsid wsp:val=&quot;00FE5A67&quot;/&gt;&lt;wsp:rsid wsp:val=&quot;00FE5B4E&quot;/&gt;&lt;wsp:rsid wsp:val=&quot;00FE5BB6&quot;/&gt;&lt;wsp:rsid wsp:val=&quot;00FE5FE2&quot;/&gt;&lt;wsp:rsid wsp:val=&quot;00FE68AF&quot;/&gt;&lt;wsp:rsid wsp:val=&quot;00FE69FF&quot;/&gt;&lt;wsp:rsid wsp:val=&quot;00FE6B81&quot;/&gt;&lt;wsp:rsid wsp:val=&quot;00FE6F08&quot;/&gt;&lt;wsp:rsid wsp:val=&quot;00FE73DA&quot;/&gt;&lt;wsp:rsid wsp:val=&quot;00FE7461&quot;/&gt;&lt;wsp:rsid wsp:val=&quot;00FE7AE3&quot;/&gt;&lt;wsp:rsid wsp:val=&quot;00FE7B60&quot;/&gt;&lt;wsp:rsid wsp:val=&quot;00FE7DA7&quot;/&gt;&lt;wsp:rsid wsp:val=&quot;00FF008D&quot;/&gt;&lt;wsp:rsid wsp:val=&quot;00FF035A&quot;/&gt;&lt;wsp:rsid wsp:val=&quot;00FF0673&quot;/&gt;&lt;wsp:rsid wsp:val=&quot;00FF0D10&quot;/&gt;&lt;wsp:rsid wsp:val=&quot;00FF0F50&quot;/&gt;&lt;wsp:rsid wsp:val=&quot;00FF1047&quot;/&gt;&lt;wsp:rsid wsp:val=&quot;00FF14A9&quot;/&gt;&lt;wsp:rsid wsp:val=&quot;00FF1544&quot;/&gt;&lt;wsp:rsid wsp:val=&quot;00FF17EF&quot;/&gt;&lt;wsp:rsid wsp:val=&quot;00FF1913&quot;/&gt;&lt;wsp:rsid wsp:val=&quot;00FF1B3F&quot;/&gt;&lt;wsp:rsid wsp:val=&quot;00FF2053&quot;/&gt;&lt;wsp:rsid wsp:val=&quot;00FF21AF&quot;/&gt;&lt;wsp:rsid wsp:val=&quot;00FF23D4&quot;/&gt;&lt;wsp:rsid wsp:val=&quot;00FF2490&quot;/&gt;&lt;wsp:rsid wsp:val=&quot;00FF24C2&quot;/&gt;&lt;wsp:rsid wsp:val=&quot;00FF2651&quot;/&gt;&lt;wsp:rsid wsp:val=&quot;00FF2697&quot;/&gt;&lt;wsp:rsid wsp:val=&quot;00FF26E2&quot;/&gt;&lt;wsp:rsid wsp:val=&quot;00FF2FA3&quot;/&gt;&lt;wsp:rsid wsp:val=&quot;00FF3527&quot;/&gt;&lt;wsp:rsid wsp:val=&quot;00FF3F2D&quot;/&gt;&lt;wsp:rsid wsp:val=&quot;00FF3FDC&quot;/&gt;&lt;wsp:rsid wsp:val=&quot;00FF418C&quot;/&gt;&lt;wsp:rsid wsp:val=&quot;00FF458A&quot;/&gt;&lt;wsp:rsid wsp:val=&quot;00FF4B3E&quot;/&gt;&lt;wsp:rsid wsp:val=&quot;00FF4BC9&quot;/&gt;&lt;wsp:rsid wsp:val=&quot;00FF4BCD&quot;/&gt;&lt;wsp:rsid wsp:val=&quot;00FF4CE9&quot;/&gt;&lt;wsp:rsid wsp:val=&quot;00FF4F95&quot;/&gt;&lt;wsp:rsid wsp:val=&quot;00FF5096&quot;/&gt;&lt;wsp:rsid wsp:val=&quot;00FF529E&quot;/&gt;&lt;wsp:rsid wsp:val=&quot;00FF549F&quot;/&gt;&lt;wsp:rsid wsp:val=&quot;00FF54B7&quot;/&gt;&lt;wsp:rsid wsp:val=&quot;00FF5666&quot;/&gt;&lt;wsp:rsid wsp:val=&quot;00FF56A5&quot;/&gt;&lt;wsp:rsid wsp:val=&quot;00FF5BF6&quot;/&gt;&lt;wsp:rsid wsp:val=&quot;00FF5C6D&quot;/&gt;&lt;wsp:rsid wsp:val=&quot;00FF5C6E&quot;/&gt;&lt;wsp:rsid wsp:val=&quot;00FF633F&quot;/&gt;&lt;wsp:rsid wsp:val=&quot;00FF66CC&quot;/&gt;&lt;wsp:rsid wsp:val=&quot;00FF67D3&quot;/&gt;&lt;wsp:rsid wsp:val=&quot;00FF6B0E&quot;/&gt;&lt;wsp:rsid wsp:val=&quot;00FF6B43&quot;/&gt;&lt;wsp:rsid wsp:val=&quot;00FF6F3F&quot;/&gt;&lt;wsp:rsid wsp:val=&quot;00FF7328&quot;/&gt;&lt;wsp:rsid wsp:val=&quot;00FF7600&quot;/&gt;&lt;wsp:rsid wsp:val=&quot;00FF77A7&quot;/&gt;&lt;wsp:rsid wsp:val=&quot;00FF7B0F&quot;/&gt;&lt;wsp:rsid wsp:val=&quot;00FF7D42&quot;/&gt;&lt;wsp:rsid wsp:val=&quot;00FF7F25&quot;/&gt;&lt;/wsp:rsids&gt;&lt;/w:docPr&gt;&lt;w:body&gt;&lt;w:p wsp:rsidR=&quot;00000000&quot; wsp:rsidRDefault=&quot;00E60897&quot;&gt;&lt;m:oMathPara&gt;&lt;m:oMath&gt;&lt;m:r&gt;&lt;w:rPr&gt;&lt;w:rFonts w:ascii=&quot;Cambria Math&quot; w:h-ansi=&quot;Cambria Math&quot;/&gt;&lt;wx:font wx:val=&quot;Cambria Math&quot;/&gt;&lt;w:i/&gt;&lt;w:sz w:val=&quot;28&quot;/&gt;&lt;w:sz-cs w:val=&quot;28&quot;/&gt;&lt;/w:rPr&gt;&lt;m:t&gt;H=&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РђГ—100&lt;/m:t&gt;&lt;/m:r&gt;&lt;/m:num&gt;&lt;m:den&gt;&lt;m:r&gt;&lt;w:rPr&gt;&lt;w:rFonts w:ascii=&quot;Cambria Math&quot; w:h-ansi=&quot;Cambria Math&quot;/&gt;&lt;wx:font wx:val=&quot;Cambria Math&quot;/&gt;&lt;w:i/&gt;&lt;w:sz w:val=&quot;28&quot;/&gt;&lt;w:sz-cs w:val=&quot;28&quot;/&gt;&lt;/w:rPr&gt;&lt;m:t&gt;100-(Р‘+Р’)&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7" o:title="" chromakey="white"/>
          </v:shape>
        </w:pict>
      </w:r>
    </w:p>
    <w:p w:rsidR="002D1E45" w:rsidRPr="00B95F0E" w:rsidRDefault="002D1E45" w:rsidP="00B95F0E">
      <w:pPr>
        <w:spacing w:after="0" w:line="240" w:lineRule="auto"/>
        <w:ind w:firstLine="709"/>
        <w:jc w:val="both"/>
        <w:rPr>
          <w:rFonts w:ascii="Times New Roman" w:hAnsi="Times New Roman"/>
          <w:sz w:val="28"/>
          <w:szCs w:val="28"/>
        </w:rPr>
      </w:pPr>
    </w:p>
    <w:p w:rsidR="002D1E45" w:rsidRPr="00B95F0E" w:rsidRDefault="002D1E45" w:rsidP="00B95F0E">
      <w:pPr>
        <w:spacing w:after="0" w:line="240" w:lineRule="auto"/>
        <w:ind w:firstLine="709"/>
        <w:jc w:val="both"/>
        <w:rPr>
          <w:rFonts w:ascii="Times New Roman" w:hAnsi="Times New Roman"/>
          <w:sz w:val="28"/>
          <w:szCs w:val="28"/>
        </w:rPr>
      </w:pPr>
      <w:r w:rsidRPr="00B95F0E">
        <w:rPr>
          <w:rFonts w:ascii="Times New Roman" w:hAnsi="Times New Roman"/>
          <w:sz w:val="28"/>
          <w:szCs w:val="28"/>
        </w:rPr>
        <w:t>где:</w:t>
      </w:r>
    </w:p>
    <w:p w:rsidR="002D1E45" w:rsidRPr="00B95F0E" w:rsidRDefault="002D1E45" w:rsidP="00B95F0E">
      <w:pPr>
        <w:spacing w:after="0" w:line="240" w:lineRule="auto"/>
        <w:ind w:firstLine="709"/>
        <w:jc w:val="both"/>
        <w:rPr>
          <w:rFonts w:ascii="Times New Roman" w:hAnsi="Times New Roman"/>
          <w:sz w:val="28"/>
          <w:szCs w:val="28"/>
        </w:rPr>
      </w:pPr>
      <w:r w:rsidRPr="00B95F0E">
        <w:rPr>
          <w:rFonts w:ascii="Times New Roman" w:hAnsi="Times New Roman"/>
          <w:sz w:val="28"/>
          <w:szCs w:val="28"/>
        </w:rPr>
        <w:t>Н – ожидаемая численность населения, тыс. чел.;</w:t>
      </w:r>
    </w:p>
    <w:p w:rsidR="002D1E45" w:rsidRPr="00B95F0E" w:rsidRDefault="002D1E45" w:rsidP="00B95F0E">
      <w:pPr>
        <w:spacing w:after="0" w:line="240" w:lineRule="auto"/>
        <w:ind w:firstLine="709"/>
        <w:jc w:val="both"/>
        <w:rPr>
          <w:rFonts w:ascii="Times New Roman" w:hAnsi="Times New Roman"/>
          <w:sz w:val="28"/>
          <w:szCs w:val="28"/>
        </w:rPr>
      </w:pPr>
      <w:r w:rsidRPr="00B95F0E">
        <w:rPr>
          <w:rFonts w:ascii="Times New Roman" w:hAnsi="Times New Roman"/>
          <w:sz w:val="28"/>
          <w:szCs w:val="28"/>
        </w:rPr>
        <w:t>А – абсолютная численность градообразующих кадров (с учётом уезжающих за</w:t>
      </w:r>
      <w:r>
        <w:rPr>
          <w:rFonts w:ascii="Times New Roman" w:hAnsi="Times New Roman"/>
          <w:sz w:val="28"/>
          <w:szCs w:val="28"/>
        </w:rPr>
        <w:t> </w:t>
      </w:r>
      <w:r w:rsidRPr="00B95F0E">
        <w:rPr>
          <w:rFonts w:ascii="Times New Roman" w:hAnsi="Times New Roman"/>
          <w:sz w:val="28"/>
          <w:szCs w:val="28"/>
        </w:rPr>
        <w:t>пределы поселения), тыс. чел.;</w:t>
      </w:r>
    </w:p>
    <w:p w:rsidR="002D1E45" w:rsidRPr="00B95F0E" w:rsidRDefault="002D1E45" w:rsidP="00B95F0E">
      <w:pPr>
        <w:spacing w:after="0" w:line="240" w:lineRule="auto"/>
        <w:ind w:firstLine="709"/>
        <w:jc w:val="both"/>
        <w:rPr>
          <w:rFonts w:ascii="Times New Roman" w:hAnsi="Times New Roman"/>
          <w:sz w:val="28"/>
          <w:szCs w:val="28"/>
        </w:rPr>
      </w:pPr>
      <w:r w:rsidRPr="00B95F0E">
        <w:rPr>
          <w:rFonts w:ascii="Times New Roman" w:hAnsi="Times New Roman"/>
          <w:sz w:val="28"/>
          <w:szCs w:val="28"/>
        </w:rPr>
        <w:t>Б – численность занятых в</w:t>
      </w:r>
      <w:r>
        <w:rPr>
          <w:rFonts w:ascii="Times New Roman" w:hAnsi="Times New Roman"/>
          <w:sz w:val="28"/>
          <w:szCs w:val="28"/>
        </w:rPr>
        <w:t> </w:t>
      </w:r>
      <w:r w:rsidRPr="00B95F0E">
        <w:rPr>
          <w:rFonts w:ascii="Times New Roman" w:hAnsi="Times New Roman"/>
          <w:sz w:val="28"/>
          <w:szCs w:val="28"/>
        </w:rPr>
        <w:t>сфере обслуживания, %;</w:t>
      </w:r>
    </w:p>
    <w:p w:rsidR="002D1E45" w:rsidRPr="00B95F0E" w:rsidRDefault="002D1E45" w:rsidP="00B95F0E">
      <w:pPr>
        <w:spacing w:after="0" w:line="240" w:lineRule="auto"/>
        <w:ind w:firstLine="709"/>
        <w:jc w:val="both"/>
        <w:rPr>
          <w:rFonts w:ascii="Times New Roman" w:hAnsi="Times New Roman"/>
          <w:sz w:val="28"/>
          <w:szCs w:val="28"/>
        </w:rPr>
      </w:pPr>
      <w:r w:rsidRPr="00B95F0E">
        <w:rPr>
          <w:rFonts w:ascii="Times New Roman" w:hAnsi="Times New Roman"/>
          <w:sz w:val="28"/>
          <w:szCs w:val="28"/>
        </w:rPr>
        <w:t>В – доля несамодеятельного населения, %.</w:t>
      </w:r>
    </w:p>
    <w:p w:rsidR="002D1E45" w:rsidRPr="00B95F0E" w:rsidRDefault="002D1E45" w:rsidP="00B95F0E">
      <w:pPr>
        <w:spacing w:after="0" w:line="240" w:lineRule="auto"/>
        <w:ind w:firstLine="709"/>
        <w:jc w:val="both"/>
        <w:rPr>
          <w:rFonts w:ascii="Times New Roman" w:hAnsi="Times New Roman"/>
          <w:sz w:val="28"/>
          <w:szCs w:val="28"/>
        </w:rPr>
      </w:pPr>
      <w:r w:rsidRPr="00B95F0E">
        <w:rPr>
          <w:rFonts w:ascii="Times New Roman" w:hAnsi="Times New Roman"/>
          <w:sz w:val="28"/>
          <w:szCs w:val="28"/>
        </w:rPr>
        <w:t>Ориентировочный расчёт приведён в</w:t>
      </w:r>
      <w:r>
        <w:rPr>
          <w:rFonts w:ascii="Times New Roman" w:hAnsi="Times New Roman"/>
          <w:sz w:val="28"/>
          <w:szCs w:val="28"/>
        </w:rPr>
        <w:t> </w:t>
      </w:r>
      <w:r w:rsidRPr="00B95F0E">
        <w:rPr>
          <w:rFonts w:ascii="Times New Roman" w:hAnsi="Times New Roman"/>
          <w:sz w:val="28"/>
          <w:szCs w:val="28"/>
        </w:rPr>
        <w:t xml:space="preserve">таблице </w:t>
      </w:r>
      <w:fldSimple w:instr=" REF Fgr_Var3 \h  \* MERGEFORMAT ">
        <w:r>
          <w:rPr>
            <w:rFonts w:ascii="Times New Roman" w:hAnsi="Times New Roman"/>
            <w:noProof/>
            <w:sz w:val="28"/>
            <w:szCs w:val="28"/>
            <w:lang w:eastAsia="ru-RU"/>
          </w:rPr>
          <w:t>45</w:t>
        </w:r>
      </w:fldSimple>
      <w:r w:rsidRPr="00B95F0E">
        <w:rPr>
          <w:rFonts w:ascii="Times New Roman" w:hAnsi="Times New Roman"/>
          <w:sz w:val="28"/>
          <w:szCs w:val="28"/>
        </w:rPr>
        <w:t>. Согласно произведённым расчётам, численность населения по</w:t>
      </w:r>
      <w:r>
        <w:rPr>
          <w:rFonts w:ascii="Times New Roman" w:hAnsi="Times New Roman"/>
          <w:sz w:val="28"/>
          <w:szCs w:val="28"/>
        </w:rPr>
        <w:t> </w:t>
      </w:r>
      <w:r w:rsidRPr="00B95F0E">
        <w:rPr>
          <w:rFonts w:ascii="Times New Roman" w:hAnsi="Times New Roman"/>
          <w:sz w:val="28"/>
          <w:szCs w:val="28"/>
        </w:rPr>
        <w:t>этому методу на</w:t>
      </w:r>
      <w:r>
        <w:rPr>
          <w:rFonts w:ascii="Times New Roman" w:hAnsi="Times New Roman"/>
          <w:sz w:val="28"/>
          <w:szCs w:val="28"/>
        </w:rPr>
        <w:t> </w:t>
      </w:r>
      <w:r w:rsidRPr="00B95F0E">
        <w:rPr>
          <w:rFonts w:ascii="Times New Roman" w:hAnsi="Times New Roman"/>
          <w:sz w:val="28"/>
          <w:szCs w:val="28"/>
        </w:rPr>
        <w:t xml:space="preserve">первую очередь составит </w:t>
      </w:r>
      <w:r>
        <w:rPr>
          <w:rFonts w:ascii="Times New Roman" w:hAnsi="Times New Roman"/>
          <w:sz w:val="28"/>
          <w:szCs w:val="28"/>
        </w:rPr>
        <w:t>6800</w:t>
      </w:r>
      <w:r w:rsidRPr="00B95F0E">
        <w:rPr>
          <w:rFonts w:ascii="Times New Roman" w:hAnsi="Times New Roman"/>
          <w:sz w:val="28"/>
          <w:szCs w:val="28"/>
        </w:rPr>
        <w:t xml:space="preserve"> человек, на</w:t>
      </w:r>
      <w:r>
        <w:rPr>
          <w:rFonts w:ascii="Times New Roman" w:hAnsi="Times New Roman"/>
          <w:sz w:val="28"/>
          <w:szCs w:val="28"/>
        </w:rPr>
        <w:t> </w:t>
      </w:r>
      <w:r w:rsidRPr="00B95F0E">
        <w:rPr>
          <w:rFonts w:ascii="Times New Roman" w:hAnsi="Times New Roman"/>
          <w:sz w:val="28"/>
          <w:szCs w:val="28"/>
        </w:rPr>
        <w:t xml:space="preserve">расчётный срок </w:t>
      </w:r>
      <w:r>
        <w:rPr>
          <w:rFonts w:ascii="Times New Roman" w:hAnsi="Times New Roman"/>
          <w:sz w:val="28"/>
          <w:szCs w:val="28"/>
        </w:rPr>
        <w:t>6900</w:t>
      </w:r>
      <w:r w:rsidRPr="00B95F0E">
        <w:rPr>
          <w:rFonts w:ascii="Times New Roman" w:hAnsi="Times New Roman"/>
          <w:sz w:val="28"/>
          <w:szCs w:val="28"/>
        </w:rPr>
        <w:t xml:space="preserve"> человек.</w:t>
      </w:r>
    </w:p>
    <w:p w:rsidR="002D1E45" w:rsidRPr="00B95F0E" w:rsidRDefault="002D1E45" w:rsidP="00B95F0E">
      <w:pPr>
        <w:autoSpaceDE w:val="0"/>
        <w:autoSpaceDN w:val="0"/>
        <w:adjustRightInd w:val="0"/>
        <w:spacing w:after="0" w:line="240" w:lineRule="auto"/>
        <w:jc w:val="right"/>
        <w:rPr>
          <w:rFonts w:ascii="Times New Roman" w:hAnsi="Times New Roman"/>
          <w:sz w:val="28"/>
          <w:szCs w:val="28"/>
          <w:lang w:eastAsia="ru-RU"/>
        </w:rPr>
      </w:pPr>
      <w:r w:rsidRPr="00B95F0E">
        <w:rPr>
          <w:rFonts w:ascii="Times New Roman" w:hAnsi="Times New Roman"/>
          <w:sz w:val="28"/>
          <w:szCs w:val="28"/>
          <w:lang w:eastAsia="ru-RU"/>
        </w:rPr>
        <w:t xml:space="preserve">Таблица </w:t>
      </w:r>
      <w:bookmarkStart w:id="236" w:name="Fgr_Var3"/>
      <w:r w:rsidRPr="00B95F0E">
        <w:rPr>
          <w:rFonts w:ascii="Times New Roman" w:hAnsi="Times New Roman"/>
          <w:sz w:val="28"/>
          <w:szCs w:val="28"/>
          <w:lang w:eastAsia="ru-RU"/>
        </w:rPr>
        <w:fldChar w:fldCharType="begin"/>
      </w:r>
      <w:r w:rsidRPr="00B95F0E">
        <w:rPr>
          <w:rFonts w:ascii="Times New Roman" w:hAnsi="Times New Roman"/>
          <w:sz w:val="28"/>
          <w:szCs w:val="28"/>
          <w:lang w:eastAsia="ru-RU"/>
        </w:rPr>
        <w:instrText xml:space="preserve"> SEQ Таблица \* ARABIC </w:instrText>
      </w:r>
      <w:r w:rsidRPr="00B95F0E">
        <w:rPr>
          <w:rFonts w:ascii="Times New Roman" w:hAnsi="Times New Roman"/>
          <w:sz w:val="28"/>
          <w:szCs w:val="28"/>
          <w:lang w:eastAsia="ru-RU"/>
        </w:rPr>
        <w:fldChar w:fldCharType="separate"/>
      </w:r>
      <w:r>
        <w:rPr>
          <w:rFonts w:ascii="Times New Roman" w:hAnsi="Times New Roman"/>
          <w:noProof/>
          <w:sz w:val="28"/>
          <w:szCs w:val="28"/>
          <w:lang w:eastAsia="ru-RU"/>
        </w:rPr>
        <w:t>45</w:t>
      </w:r>
      <w:r w:rsidRPr="00B95F0E">
        <w:rPr>
          <w:rFonts w:ascii="Times New Roman" w:hAnsi="Times New Roman"/>
          <w:sz w:val="28"/>
          <w:szCs w:val="28"/>
          <w:lang w:eastAsia="ru-RU"/>
        </w:rPr>
        <w:fldChar w:fldCharType="end"/>
      </w:r>
      <w:bookmarkEnd w:id="236"/>
    </w:p>
    <w:p w:rsidR="002D1E45" w:rsidRPr="00B95F0E" w:rsidRDefault="002D1E45" w:rsidP="00B95F0E">
      <w:pPr>
        <w:spacing w:after="120" w:line="240" w:lineRule="auto"/>
        <w:jc w:val="center"/>
        <w:rPr>
          <w:rFonts w:ascii="Times New Roman" w:hAnsi="Times New Roman"/>
          <w:sz w:val="28"/>
          <w:szCs w:val="28"/>
        </w:rPr>
      </w:pPr>
      <w:r w:rsidRPr="00B95F0E">
        <w:rPr>
          <w:rFonts w:ascii="Times New Roman" w:hAnsi="Times New Roman"/>
          <w:sz w:val="28"/>
          <w:szCs w:val="28"/>
        </w:rPr>
        <w:t xml:space="preserve">Прогнозная численность населения </w:t>
      </w:r>
      <w:r>
        <w:rPr>
          <w:rFonts w:ascii="Times New Roman" w:hAnsi="Times New Roman"/>
          <w:sz w:val="28"/>
          <w:szCs w:val="28"/>
        </w:rPr>
        <w:t>Города Куйбышева</w:t>
      </w:r>
      <w:r w:rsidRPr="00B95F0E">
        <w:rPr>
          <w:rFonts w:ascii="Times New Roman" w:hAnsi="Times New Roman"/>
          <w:sz w:val="28"/>
          <w:szCs w:val="28"/>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62"/>
        <w:gridCol w:w="3274"/>
        <w:gridCol w:w="1121"/>
        <w:gridCol w:w="851"/>
        <w:gridCol w:w="1133"/>
        <w:gridCol w:w="847"/>
      </w:tblGrid>
      <w:tr w:rsidR="002D1E45" w:rsidRPr="00B95F0E" w:rsidTr="0004110F">
        <w:trPr>
          <w:trHeight w:val="270"/>
          <w:tblHeader/>
          <w:jc w:val="center"/>
        </w:trPr>
        <w:tc>
          <w:tcPr>
            <w:tcW w:w="562" w:type="dxa"/>
            <w:vMerge w:val="restart"/>
            <w:vAlign w:val="center"/>
          </w:tcPr>
          <w:p w:rsidR="002D1E45" w:rsidRPr="00B95F0E" w:rsidRDefault="002D1E45" w:rsidP="00B95F0E">
            <w:pPr>
              <w:spacing w:after="0" w:line="240" w:lineRule="auto"/>
              <w:jc w:val="center"/>
              <w:rPr>
                <w:rFonts w:ascii="Times New Roman" w:hAnsi="Times New Roman"/>
                <w:sz w:val="24"/>
                <w:szCs w:val="24"/>
              </w:rPr>
            </w:pPr>
            <w:r w:rsidRPr="00B95F0E">
              <w:rPr>
                <w:rFonts w:ascii="Times New Roman" w:hAnsi="Times New Roman"/>
                <w:sz w:val="24"/>
                <w:szCs w:val="24"/>
              </w:rPr>
              <w:t>№ п/п</w:t>
            </w:r>
          </w:p>
        </w:tc>
        <w:tc>
          <w:tcPr>
            <w:tcW w:w="3274" w:type="dxa"/>
            <w:vMerge w:val="restart"/>
            <w:vAlign w:val="center"/>
          </w:tcPr>
          <w:p w:rsidR="002D1E45" w:rsidRPr="00B95F0E" w:rsidRDefault="002D1E45" w:rsidP="00B95F0E">
            <w:pPr>
              <w:spacing w:after="0" w:line="240" w:lineRule="auto"/>
              <w:jc w:val="center"/>
              <w:rPr>
                <w:rFonts w:ascii="Times New Roman" w:hAnsi="Times New Roman"/>
                <w:sz w:val="24"/>
                <w:szCs w:val="24"/>
              </w:rPr>
            </w:pPr>
            <w:r w:rsidRPr="00B95F0E">
              <w:rPr>
                <w:rFonts w:ascii="Times New Roman" w:hAnsi="Times New Roman"/>
                <w:sz w:val="24"/>
                <w:szCs w:val="24"/>
              </w:rPr>
              <w:t>Группа населения</w:t>
            </w:r>
          </w:p>
        </w:tc>
        <w:tc>
          <w:tcPr>
            <w:tcW w:w="1972" w:type="dxa"/>
            <w:gridSpan w:val="2"/>
            <w:vAlign w:val="center"/>
          </w:tcPr>
          <w:p w:rsidR="002D1E45" w:rsidRPr="00B95F0E" w:rsidRDefault="002D1E45" w:rsidP="00B95F0E">
            <w:pPr>
              <w:spacing w:after="0" w:line="240" w:lineRule="auto"/>
              <w:jc w:val="center"/>
              <w:rPr>
                <w:rFonts w:ascii="Times New Roman" w:hAnsi="Times New Roman"/>
                <w:sz w:val="24"/>
                <w:szCs w:val="24"/>
              </w:rPr>
            </w:pPr>
            <w:r w:rsidRPr="00B95F0E">
              <w:rPr>
                <w:rFonts w:ascii="Times New Roman" w:hAnsi="Times New Roman"/>
                <w:sz w:val="24"/>
                <w:szCs w:val="24"/>
              </w:rPr>
              <w:t>Первая очередь</w:t>
            </w:r>
          </w:p>
          <w:p w:rsidR="002D1E45" w:rsidRPr="00B95F0E" w:rsidRDefault="002D1E45" w:rsidP="00B95F0E">
            <w:pPr>
              <w:spacing w:after="0" w:line="240" w:lineRule="auto"/>
              <w:jc w:val="center"/>
              <w:rPr>
                <w:rFonts w:ascii="Times New Roman" w:hAnsi="Times New Roman"/>
                <w:sz w:val="24"/>
                <w:szCs w:val="24"/>
              </w:rPr>
            </w:pPr>
            <w:r w:rsidRPr="00B95F0E">
              <w:rPr>
                <w:rFonts w:ascii="Times New Roman" w:hAnsi="Times New Roman"/>
                <w:sz w:val="24"/>
                <w:szCs w:val="24"/>
              </w:rPr>
              <w:t>(20</w:t>
            </w:r>
            <w:r>
              <w:rPr>
                <w:rFonts w:ascii="Times New Roman" w:hAnsi="Times New Roman"/>
                <w:sz w:val="24"/>
                <w:szCs w:val="24"/>
              </w:rPr>
              <w:t>30</w:t>
            </w:r>
            <w:r w:rsidRPr="00B95F0E">
              <w:rPr>
                <w:rFonts w:ascii="Times New Roman" w:hAnsi="Times New Roman"/>
                <w:sz w:val="24"/>
                <w:szCs w:val="24"/>
              </w:rPr>
              <w:t> г.)</w:t>
            </w:r>
          </w:p>
        </w:tc>
        <w:tc>
          <w:tcPr>
            <w:tcW w:w="1980" w:type="dxa"/>
            <w:gridSpan w:val="2"/>
            <w:vAlign w:val="center"/>
          </w:tcPr>
          <w:p w:rsidR="002D1E45" w:rsidRPr="00B95F0E" w:rsidRDefault="002D1E45" w:rsidP="00B95F0E">
            <w:pPr>
              <w:spacing w:after="0" w:line="240" w:lineRule="auto"/>
              <w:jc w:val="center"/>
              <w:rPr>
                <w:rFonts w:ascii="Times New Roman" w:hAnsi="Times New Roman"/>
                <w:sz w:val="24"/>
                <w:szCs w:val="24"/>
              </w:rPr>
            </w:pPr>
            <w:r w:rsidRPr="00B95F0E">
              <w:rPr>
                <w:rFonts w:ascii="Times New Roman" w:hAnsi="Times New Roman"/>
                <w:sz w:val="24"/>
                <w:szCs w:val="24"/>
              </w:rPr>
              <w:t>Расчётный срок</w:t>
            </w:r>
          </w:p>
          <w:p w:rsidR="002D1E45" w:rsidRPr="00B95F0E" w:rsidRDefault="002D1E45" w:rsidP="00B95F0E">
            <w:pPr>
              <w:spacing w:after="0" w:line="240" w:lineRule="auto"/>
              <w:jc w:val="center"/>
              <w:rPr>
                <w:rFonts w:ascii="Times New Roman" w:hAnsi="Times New Roman"/>
                <w:sz w:val="24"/>
                <w:szCs w:val="24"/>
              </w:rPr>
            </w:pPr>
            <w:r w:rsidRPr="00B95F0E">
              <w:rPr>
                <w:rFonts w:ascii="Times New Roman" w:hAnsi="Times New Roman"/>
                <w:sz w:val="24"/>
                <w:szCs w:val="24"/>
              </w:rPr>
              <w:t>(20</w:t>
            </w:r>
            <w:r>
              <w:rPr>
                <w:rFonts w:ascii="Times New Roman" w:hAnsi="Times New Roman"/>
                <w:sz w:val="24"/>
                <w:szCs w:val="24"/>
              </w:rPr>
              <w:t>40</w:t>
            </w:r>
            <w:r w:rsidRPr="00B95F0E">
              <w:rPr>
                <w:rFonts w:ascii="Times New Roman" w:hAnsi="Times New Roman"/>
                <w:sz w:val="24"/>
                <w:szCs w:val="24"/>
              </w:rPr>
              <w:t> г.)</w:t>
            </w:r>
          </w:p>
        </w:tc>
      </w:tr>
      <w:tr w:rsidR="002D1E45" w:rsidRPr="00B95F0E" w:rsidTr="0004110F">
        <w:trPr>
          <w:trHeight w:val="270"/>
          <w:tblHeader/>
          <w:jc w:val="center"/>
        </w:trPr>
        <w:tc>
          <w:tcPr>
            <w:tcW w:w="562" w:type="dxa"/>
            <w:vMerge/>
            <w:vAlign w:val="center"/>
          </w:tcPr>
          <w:p w:rsidR="002D1E45" w:rsidRPr="00B95F0E" w:rsidRDefault="002D1E45" w:rsidP="00B95F0E">
            <w:pPr>
              <w:spacing w:after="0" w:line="240" w:lineRule="auto"/>
              <w:jc w:val="center"/>
              <w:rPr>
                <w:rFonts w:ascii="Times New Roman" w:hAnsi="Times New Roman"/>
                <w:sz w:val="24"/>
                <w:szCs w:val="24"/>
              </w:rPr>
            </w:pPr>
          </w:p>
        </w:tc>
        <w:tc>
          <w:tcPr>
            <w:tcW w:w="3274" w:type="dxa"/>
            <w:vMerge/>
            <w:vAlign w:val="center"/>
          </w:tcPr>
          <w:p w:rsidR="002D1E45" w:rsidRPr="00B95F0E" w:rsidRDefault="002D1E45" w:rsidP="00B95F0E">
            <w:pPr>
              <w:spacing w:after="0" w:line="240" w:lineRule="auto"/>
              <w:jc w:val="center"/>
              <w:rPr>
                <w:rFonts w:ascii="Times New Roman" w:hAnsi="Times New Roman"/>
                <w:sz w:val="24"/>
                <w:szCs w:val="24"/>
              </w:rPr>
            </w:pPr>
          </w:p>
        </w:tc>
        <w:tc>
          <w:tcPr>
            <w:tcW w:w="1121" w:type="dxa"/>
            <w:vAlign w:val="center"/>
          </w:tcPr>
          <w:p w:rsidR="002D1E45" w:rsidRPr="00B95F0E" w:rsidRDefault="002D1E45" w:rsidP="00B95F0E">
            <w:pPr>
              <w:spacing w:after="0" w:line="240" w:lineRule="auto"/>
              <w:jc w:val="center"/>
              <w:rPr>
                <w:rFonts w:ascii="Times New Roman" w:hAnsi="Times New Roman"/>
                <w:sz w:val="24"/>
                <w:szCs w:val="24"/>
              </w:rPr>
            </w:pPr>
            <w:r w:rsidRPr="00B95F0E">
              <w:rPr>
                <w:rFonts w:ascii="Times New Roman" w:hAnsi="Times New Roman"/>
                <w:sz w:val="24"/>
                <w:szCs w:val="24"/>
              </w:rPr>
              <w:t>чел</w:t>
            </w:r>
          </w:p>
        </w:tc>
        <w:tc>
          <w:tcPr>
            <w:tcW w:w="851" w:type="dxa"/>
            <w:vAlign w:val="center"/>
          </w:tcPr>
          <w:p w:rsidR="002D1E45" w:rsidRPr="00B95F0E" w:rsidRDefault="002D1E45" w:rsidP="00B95F0E">
            <w:pPr>
              <w:spacing w:after="0" w:line="240" w:lineRule="auto"/>
              <w:jc w:val="center"/>
              <w:rPr>
                <w:rFonts w:ascii="Times New Roman" w:hAnsi="Times New Roman"/>
                <w:sz w:val="24"/>
                <w:szCs w:val="24"/>
              </w:rPr>
            </w:pPr>
            <w:r w:rsidRPr="00B95F0E">
              <w:rPr>
                <w:rFonts w:ascii="Times New Roman" w:hAnsi="Times New Roman"/>
                <w:sz w:val="24"/>
                <w:szCs w:val="24"/>
              </w:rPr>
              <w:t>%</w:t>
            </w:r>
          </w:p>
        </w:tc>
        <w:tc>
          <w:tcPr>
            <w:tcW w:w="1133" w:type="dxa"/>
            <w:vAlign w:val="center"/>
          </w:tcPr>
          <w:p w:rsidR="002D1E45" w:rsidRPr="00B95F0E" w:rsidRDefault="002D1E45" w:rsidP="00B95F0E">
            <w:pPr>
              <w:spacing w:after="0" w:line="240" w:lineRule="auto"/>
              <w:jc w:val="center"/>
              <w:rPr>
                <w:rFonts w:ascii="Times New Roman" w:hAnsi="Times New Roman"/>
                <w:sz w:val="24"/>
                <w:szCs w:val="24"/>
              </w:rPr>
            </w:pPr>
            <w:r w:rsidRPr="00B95F0E">
              <w:rPr>
                <w:rFonts w:ascii="Times New Roman" w:hAnsi="Times New Roman"/>
                <w:sz w:val="24"/>
                <w:szCs w:val="24"/>
              </w:rPr>
              <w:t>чел.</w:t>
            </w:r>
          </w:p>
        </w:tc>
        <w:tc>
          <w:tcPr>
            <w:tcW w:w="847" w:type="dxa"/>
            <w:vAlign w:val="center"/>
          </w:tcPr>
          <w:p w:rsidR="002D1E45" w:rsidRPr="00B95F0E" w:rsidRDefault="002D1E45" w:rsidP="00B95F0E">
            <w:pPr>
              <w:spacing w:after="0" w:line="240" w:lineRule="auto"/>
              <w:jc w:val="center"/>
              <w:rPr>
                <w:rFonts w:ascii="Times New Roman" w:hAnsi="Times New Roman"/>
                <w:sz w:val="24"/>
                <w:szCs w:val="24"/>
              </w:rPr>
            </w:pPr>
            <w:r w:rsidRPr="00B95F0E">
              <w:rPr>
                <w:rFonts w:ascii="Times New Roman" w:hAnsi="Times New Roman"/>
                <w:sz w:val="24"/>
                <w:szCs w:val="24"/>
              </w:rPr>
              <w:t>%</w:t>
            </w:r>
          </w:p>
        </w:tc>
      </w:tr>
      <w:tr w:rsidR="002D1E45" w:rsidRPr="00017FC8" w:rsidTr="003175D3">
        <w:trPr>
          <w:trHeight w:val="270"/>
          <w:jc w:val="center"/>
        </w:trPr>
        <w:tc>
          <w:tcPr>
            <w:tcW w:w="562" w:type="dxa"/>
          </w:tcPr>
          <w:p w:rsidR="002D1E45" w:rsidRPr="00017FC8" w:rsidRDefault="002D1E45" w:rsidP="0001146D">
            <w:pPr>
              <w:spacing w:after="0" w:line="240" w:lineRule="auto"/>
              <w:jc w:val="center"/>
              <w:rPr>
                <w:rFonts w:ascii="Times New Roman" w:hAnsi="Times New Roman"/>
                <w:bCs/>
                <w:iCs/>
                <w:sz w:val="24"/>
                <w:szCs w:val="24"/>
              </w:rPr>
            </w:pPr>
            <w:r w:rsidRPr="00017FC8">
              <w:rPr>
                <w:rFonts w:ascii="Times New Roman" w:hAnsi="Times New Roman"/>
                <w:bCs/>
                <w:iCs/>
                <w:sz w:val="24"/>
                <w:szCs w:val="24"/>
              </w:rPr>
              <w:t>1</w:t>
            </w:r>
          </w:p>
        </w:tc>
        <w:tc>
          <w:tcPr>
            <w:tcW w:w="3274" w:type="dxa"/>
          </w:tcPr>
          <w:p w:rsidR="002D1E45" w:rsidRPr="00017FC8" w:rsidRDefault="002D1E45" w:rsidP="0001146D">
            <w:pPr>
              <w:spacing w:after="0" w:line="240" w:lineRule="auto"/>
              <w:rPr>
                <w:rFonts w:ascii="Times New Roman" w:hAnsi="Times New Roman"/>
                <w:bCs/>
                <w:iCs/>
                <w:sz w:val="24"/>
                <w:szCs w:val="24"/>
              </w:rPr>
            </w:pPr>
            <w:r w:rsidRPr="00017FC8">
              <w:rPr>
                <w:rFonts w:ascii="Times New Roman" w:hAnsi="Times New Roman"/>
                <w:bCs/>
                <w:iCs/>
                <w:sz w:val="24"/>
                <w:szCs w:val="24"/>
              </w:rPr>
              <w:t>Население, всего. В</w:t>
            </w:r>
            <w:r>
              <w:rPr>
                <w:rFonts w:ascii="Times New Roman" w:hAnsi="Times New Roman"/>
                <w:bCs/>
                <w:iCs/>
                <w:sz w:val="24"/>
                <w:szCs w:val="24"/>
              </w:rPr>
              <w:t> </w:t>
            </w:r>
            <w:r w:rsidRPr="00017FC8">
              <w:rPr>
                <w:rFonts w:ascii="Times New Roman" w:hAnsi="Times New Roman"/>
                <w:bCs/>
                <w:iCs/>
                <w:sz w:val="24"/>
                <w:szCs w:val="24"/>
              </w:rPr>
              <w:t>т.ч.:</w:t>
            </w:r>
          </w:p>
        </w:tc>
        <w:tc>
          <w:tcPr>
            <w:tcW w:w="1121" w:type="dxa"/>
          </w:tcPr>
          <w:p w:rsidR="002D1E45" w:rsidRPr="00110B44" w:rsidRDefault="002D1E45" w:rsidP="0001146D">
            <w:pPr>
              <w:spacing w:after="0" w:line="240" w:lineRule="auto"/>
              <w:jc w:val="center"/>
              <w:rPr>
                <w:rFonts w:ascii="Times New Roman" w:hAnsi="Times New Roman"/>
                <w:sz w:val="24"/>
                <w:szCs w:val="24"/>
              </w:rPr>
            </w:pPr>
            <w:r w:rsidRPr="0001146D">
              <w:rPr>
                <w:rFonts w:ascii="Times New Roman" w:hAnsi="Times New Roman"/>
                <w:sz w:val="24"/>
                <w:szCs w:val="24"/>
              </w:rPr>
              <w:t>41250</w:t>
            </w:r>
          </w:p>
        </w:tc>
        <w:tc>
          <w:tcPr>
            <w:tcW w:w="851" w:type="dxa"/>
            <w:tcBorders>
              <w:left w:val="nil"/>
            </w:tcBorders>
          </w:tcPr>
          <w:p w:rsidR="002D1E45" w:rsidRPr="00110B44" w:rsidRDefault="002D1E45" w:rsidP="0001146D">
            <w:pPr>
              <w:spacing w:after="0" w:line="240" w:lineRule="auto"/>
              <w:jc w:val="center"/>
              <w:rPr>
                <w:rFonts w:ascii="Times New Roman" w:hAnsi="Times New Roman"/>
                <w:sz w:val="24"/>
                <w:szCs w:val="24"/>
              </w:rPr>
            </w:pPr>
            <w:r w:rsidRPr="0001146D">
              <w:rPr>
                <w:rFonts w:ascii="Times New Roman" w:hAnsi="Times New Roman"/>
                <w:sz w:val="24"/>
                <w:szCs w:val="24"/>
              </w:rPr>
              <w:t>100,0</w:t>
            </w:r>
          </w:p>
        </w:tc>
        <w:tc>
          <w:tcPr>
            <w:tcW w:w="1133" w:type="dxa"/>
            <w:tcBorders>
              <w:left w:val="nil"/>
            </w:tcBorders>
          </w:tcPr>
          <w:p w:rsidR="002D1E45" w:rsidRPr="00110B44" w:rsidRDefault="002D1E45" w:rsidP="0001146D">
            <w:pPr>
              <w:spacing w:after="0" w:line="240" w:lineRule="auto"/>
              <w:jc w:val="center"/>
              <w:rPr>
                <w:rFonts w:ascii="Times New Roman" w:hAnsi="Times New Roman"/>
                <w:sz w:val="24"/>
                <w:szCs w:val="24"/>
              </w:rPr>
            </w:pPr>
            <w:r w:rsidRPr="0001146D">
              <w:rPr>
                <w:rFonts w:ascii="Times New Roman" w:hAnsi="Times New Roman"/>
                <w:sz w:val="24"/>
                <w:szCs w:val="24"/>
              </w:rPr>
              <w:t>38950</w:t>
            </w:r>
          </w:p>
        </w:tc>
        <w:tc>
          <w:tcPr>
            <w:tcW w:w="847" w:type="dxa"/>
            <w:tcBorders>
              <w:left w:val="nil"/>
            </w:tcBorders>
          </w:tcPr>
          <w:p w:rsidR="002D1E45" w:rsidRPr="00110B44" w:rsidRDefault="002D1E45" w:rsidP="0001146D">
            <w:pPr>
              <w:spacing w:after="0" w:line="240" w:lineRule="auto"/>
              <w:jc w:val="center"/>
              <w:rPr>
                <w:rFonts w:ascii="Times New Roman" w:hAnsi="Times New Roman"/>
                <w:sz w:val="24"/>
                <w:szCs w:val="24"/>
              </w:rPr>
            </w:pPr>
            <w:r w:rsidRPr="0001146D">
              <w:rPr>
                <w:rFonts w:ascii="Times New Roman" w:hAnsi="Times New Roman"/>
                <w:sz w:val="24"/>
                <w:szCs w:val="24"/>
              </w:rPr>
              <w:t>100,0</w:t>
            </w:r>
          </w:p>
        </w:tc>
      </w:tr>
      <w:tr w:rsidR="002D1E45" w:rsidRPr="00B95F0E" w:rsidTr="003175D3">
        <w:trPr>
          <w:trHeight w:val="270"/>
          <w:jc w:val="center"/>
        </w:trPr>
        <w:tc>
          <w:tcPr>
            <w:tcW w:w="562" w:type="dxa"/>
          </w:tcPr>
          <w:p w:rsidR="002D1E45" w:rsidRPr="00B95F0E" w:rsidRDefault="002D1E45" w:rsidP="0001146D">
            <w:pPr>
              <w:spacing w:after="0" w:line="240" w:lineRule="auto"/>
              <w:jc w:val="center"/>
              <w:rPr>
                <w:rFonts w:ascii="Times New Roman" w:hAnsi="Times New Roman"/>
                <w:sz w:val="24"/>
                <w:szCs w:val="24"/>
              </w:rPr>
            </w:pPr>
          </w:p>
        </w:tc>
        <w:tc>
          <w:tcPr>
            <w:tcW w:w="3274" w:type="dxa"/>
          </w:tcPr>
          <w:p w:rsidR="002D1E45" w:rsidRPr="00B95F0E" w:rsidRDefault="002D1E45" w:rsidP="00852938">
            <w:pPr>
              <w:numPr>
                <w:ilvl w:val="0"/>
                <w:numId w:val="71"/>
              </w:numPr>
              <w:spacing w:after="0" w:line="240" w:lineRule="auto"/>
              <w:ind w:left="314" w:hanging="219"/>
              <w:contextualSpacing/>
              <w:rPr>
                <w:rFonts w:ascii="Times New Roman" w:hAnsi="Times New Roman"/>
                <w:sz w:val="24"/>
                <w:szCs w:val="24"/>
              </w:rPr>
            </w:pPr>
            <w:r>
              <w:rPr>
                <w:rFonts w:ascii="Times New Roman" w:hAnsi="Times New Roman"/>
                <w:sz w:val="24"/>
                <w:szCs w:val="24"/>
              </w:rPr>
              <w:t>г. Куйбышев</w:t>
            </w:r>
          </w:p>
        </w:tc>
        <w:tc>
          <w:tcPr>
            <w:tcW w:w="1121" w:type="dxa"/>
            <w:tcBorders>
              <w:top w:val="nil"/>
            </w:tcBorders>
          </w:tcPr>
          <w:p w:rsidR="002D1E45" w:rsidRPr="000B439E" w:rsidRDefault="002D1E45" w:rsidP="0001146D">
            <w:pPr>
              <w:spacing w:after="0" w:line="240" w:lineRule="auto"/>
              <w:jc w:val="center"/>
              <w:rPr>
                <w:rFonts w:ascii="Times New Roman" w:hAnsi="Times New Roman"/>
                <w:sz w:val="24"/>
                <w:szCs w:val="24"/>
              </w:rPr>
            </w:pPr>
            <w:r w:rsidRPr="0001146D">
              <w:rPr>
                <w:rFonts w:ascii="Times New Roman" w:hAnsi="Times New Roman"/>
                <w:sz w:val="24"/>
                <w:szCs w:val="24"/>
              </w:rPr>
              <w:t>41250</w:t>
            </w:r>
          </w:p>
        </w:tc>
        <w:tc>
          <w:tcPr>
            <w:tcW w:w="851" w:type="dxa"/>
            <w:tcBorders>
              <w:top w:val="nil"/>
              <w:left w:val="nil"/>
            </w:tcBorders>
          </w:tcPr>
          <w:p w:rsidR="002D1E45" w:rsidRPr="000B439E" w:rsidRDefault="002D1E45" w:rsidP="0001146D">
            <w:pPr>
              <w:spacing w:after="0" w:line="240" w:lineRule="auto"/>
              <w:jc w:val="center"/>
              <w:rPr>
                <w:rFonts w:ascii="Times New Roman" w:hAnsi="Times New Roman"/>
                <w:sz w:val="24"/>
                <w:szCs w:val="24"/>
              </w:rPr>
            </w:pPr>
            <w:r w:rsidRPr="0001146D">
              <w:rPr>
                <w:rFonts w:ascii="Times New Roman" w:hAnsi="Times New Roman"/>
                <w:sz w:val="24"/>
                <w:szCs w:val="24"/>
              </w:rPr>
              <w:t>100,0</w:t>
            </w:r>
          </w:p>
        </w:tc>
        <w:tc>
          <w:tcPr>
            <w:tcW w:w="1133" w:type="dxa"/>
            <w:tcBorders>
              <w:top w:val="nil"/>
              <w:left w:val="nil"/>
            </w:tcBorders>
          </w:tcPr>
          <w:p w:rsidR="002D1E45" w:rsidRPr="000B439E" w:rsidRDefault="002D1E45" w:rsidP="0001146D">
            <w:pPr>
              <w:spacing w:after="0" w:line="240" w:lineRule="auto"/>
              <w:jc w:val="center"/>
              <w:rPr>
                <w:rFonts w:ascii="Times New Roman" w:hAnsi="Times New Roman"/>
                <w:sz w:val="24"/>
                <w:szCs w:val="24"/>
              </w:rPr>
            </w:pPr>
            <w:r w:rsidRPr="0001146D">
              <w:rPr>
                <w:rFonts w:ascii="Times New Roman" w:hAnsi="Times New Roman"/>
                <w:sz w:val="24"/>
                <w:szCs w:val="24"/>
              </w:rPr>
              <w:t>38950</w:t>
            </w:r>
          </w:p>
        </w:tc>
        <w:tc>
          <w:tcPr>
            <w:tcW w:w="847" w:type="dxa"/>
            <w:tcBorders>
              <w:top w:val="nil"/>
              <w:left w:val="nil"/>
            </w:tcBorders>
          </w:tcPr>
          <w:p w:rsidR="002D1E45" w:rsidRPr="000B439E" w:rsidRDefault="002D1E45" w:rsidP="0001146D">
            <w:pPr>
              <w:spacing w:after="0" w:line="240" w:lineRule="auto"/>
              <w:jc w:val="center"/>
              <w:rPr>
                <w:rFonts w:ascii="Times New Roman" w:hAnsi="Times New Roman"/>
                <w:sz w:val="24"/>
                <w:szCs w:val="24"/>
              </w:rPr>
            </w:pPr>
            <w:r w:rsidRPr="0001146D">
              <w:rPr>
                <w:rFonts w:ascii="Times New Roman" w:hAnsi="Times New Roman"/>
                <w:sz w:val="24"/>
                <w:szCs w:val="24"/>
              </w:rPr>
              <w:t>100,0</w:t>
            </w:r>
          </w:p>
        </w:tc>
      </w:tr>
      <w:tr w:rsidR="002D1E45" w:rsidRPr="00B95F0E" w:rsidTr="003175D3">
        <w:trPr>
          <w:trHeight w:val="270"/>
          <w:jc w:val="center"/>
        </w:trPr>
        <w:tc>
          <w:tcPr>
            <w:tcW w:w="562" w:type="dxa"/>
          </w:tcPr>
          <w:p w:rsidR="002D1E45" w:rsidRPr="00B95F0E" w:rsidRDefault="002D1E45" w:rsidP="0001146D">
            <w:pPr>
              <w:spacing w:after="0" w:line="240" w:lineRule="auto"/>
              <w:jc w:val="center"/>
              <w:rPr>
                <w:rFonts w:ascii="Times New Roman" w:hAnsi="Times New Roman"/>
                <w:sz w:val="24"/>
                <w:szCs w:val="24"/>
              </w:rPr>
            </w:pPr>
            <w:r w:rsidRPr="00B95F0E">
              <w:rPr>
                <w:rFonts w:ascii="Times New Roman" w:hAnsi="Times New Roman"/>
                <w:sz w:val="24"/>
                <w:szCs w:val="24"/>
              </w:rPr>
              <w:t>2</w:t>
            </w:r>
          </w:p>
        </w:tc>
        <w:tc>
          <w:tcPr>
            <w:tcW w:w="3274" w:type="dxa"/>
          </w:tcPr>
          <w:p w:rsidR="002D1E45" w:rsidRPr="00B95F0E" w:rsidRDefault="002D1E45" w:rsidP="0001146D">
            <w:pPr>
              <w:spacing w:after="0" w:line="240" w:lineRule="auto"/>
              <w:rPr>
                <w:rFonts w:ascii="Times New Roman" w:hAnsi="Times New Roman"/>
                <w:sz w:val="24"/>
                <w:szCs w:val="24"/>
              </w:rPr>
            </w:pPr>
            <w:r w:rsidRPr="00B95F0E">
              <w:rPr>
                <w:rFonts w:ascii="Times New Roman" w:hAnsi="Times New Roman"/>
                <w:sz w:val="24"/>
                <w:szCs w:val="24"/>
              </w:rPr>
              <w:t>Самодеятельное население</w:t>
            </w:r>
          </w:p>
        </w:tc>
        <w:tc>
          <w:tcPr>
            <w:tcW w:w="1121" w:type="dxa"/>
            <w:tcBorders>
              <w:top w:val="nil"/>
            </w:tcBorders>
          </w:tcPr>
          <w:p w:rsidR="002D1E45" w:rsidRPr="000B439E" w:rsidRDefault="002D1E45" w:rsidP="0001146D">
            <w:pPr>
              <w:spacing w:after="0" w:line="240" w:lineRule="auto"/>
              <w:jc w:val="center"/>
              <w:rPr>
                <w:rFonts w:ascii="Times New Roman" w:hAnsi="Times New Roman"/>
                <w:sz w:val="24"/>
                <w:szCs w:val="24"/>
              </w:rPr>
            </w:pPr>
            <w:r w:rsidRPr="0001146D">
              <w:rPr>
                <w:rFonts w:ascii="Times New Roman" w:hAnsi="Times New Roman"/>
                <w:sz w:val="24"/>
                <w:szCs w:val="24"/>
              </w:rPr>
              <w:t>17740</w:t>
            </w:r>
          </w:p>
        </w:tc>
        <w:tc>
          <w:tcPr>
            <w:tcW w:w="851" w:type="dxa"/>
            <w:tcBorders>
              <w:top w:val="nil"/>
              <w:left w:val="nil"/>
            </w:tcBorders>
          </w:tcPr>
          <w:p w:rsidR="002D1E45" w:rsidRPr="000B439E" w:rsidRDefault="002D1E45" w:rsidP="0001146D">
            <w:pPr>
              <w:spacing w:after="0" w:line="240" w:lineRule="auto"/>
              <w:jc w:val="center"/>
              <w:rPr>
                <w:rFonts w:ascii="Times New Roman" w:hAnsi="Times New Roman"/>
                <w:sz w:val="24"/>
                <w:szCs w:val="24"/>
              </w:rPr>
            </w:pPr>
            <w:r w:rsidRPr="0001146D">
              <w:rPr>
                <w:rFonts w:ascii="Times New Roman" w:hAnsi="Times New Roman"/>
                <w:sz w:val="24"/>
                <w:szCs w:val="24"/>
              </w:rPr>
              <w:t>43,0</w:t>
            </w:r>
          </w:p>
        </w:tc>
        <w:tc>
          <w:tcPr>
            <w:tcW w:w="1133" w:type="dxa"/>
            <w:tcBorders>
              <w:top w:val="nil"/>
              <w:left w:val="nil"/>
            </w:tcBorders>
          </w:tcPr>
          <w:p w:rsidR="002D1E45" w:rsidRPr="000B439E" w:rsidRDefault="002D1E45" w:rsidP="0001146D">
            <w:pPr>
              <w:spacing w:after="0" w:line="240" w:lineRule="auto"/>
              <w:jc w:val="center"/>
              <w:rPr>
                <w:rFonts w:ascii="Times New Roman" w:hAnsi="Times New Roman"/>
                <w:sz w:val="24"/>
                <w:szCs w:val="24"/>
              </w:rPr>
            </w:pPr>
            <w:r w:rsidRPr="0001146D">
              <w:rPr>
                <w:rFonts w:ascii="Times New Roman" w:hAnsi="Times New Roman"/>
                <w:sz w:val="24"/>
                <w:szCs w:val="24"/>
              </w:rPr>
              <w:t>17528</w:t>
            </w:r>
          </w:p>
        </w:tc>
        <w:tc>
          <w:tcPr>
            <w:tcW w:w="847" w:type="dxa"/>
            <w:tcBorders>
              <w:top w:val="nil"/>
              <w:left w:val="nil"/>
            </w:tcBorders>
          </w:tcPr>
          <w:p w:rsidR="002D1E45" w:rsidRPr="000B439E" w:rsidRDefault="002D1E45" w:rsidP="0001146D">
            <w:pPr>
              <w:spacing w:after="0" w:line="240" w:lineRule="auto"/>
              <w:jc w:val="center"/>
              <w:rPr>
                <w:rFonts w:ascii="Times New Roman" w:hAnsi="Times New Roman"/>
                <w:sz w:val="24"/>
                <w:szCs w:val="24"/>
              </w:rPr>
            </w:pPr>
            <w:r w:rsidRPr="0001146D">
              <w:rPr>
                <w:rFonts w:ascii="Times New Roman" w:hAnsi="Times New Roman"/>
                <w:sz w:val="24"/>
                <w:szCs w:val="24"/>
              </w:rPr>
              <w:t>45,0</w:t>
            </w:r>
          </w:p>
        </w:tc>
      </w:tr>
      <w:tr w:rsidR="002D1E45" w:rsidRPr="00B95F0E" w:rsidTr="003175D3">
        <w:trPr>
          <w:trHeight w:val="270"/>
          <w:jc w:val="center"/>
        </w:trPr>
        <w:tc>
          <w:tcPr>
            <w:tcW w:w="562" w:type="dxa"/>
          </w:tcPr>
          <w:p w:rsidR="002D1E45" w:rsidRPr="00B95F0E" w:rsidRDefault="002D1E45" w:rsidP="0001146D">
            <w:pPr>
              <w:spacing w:after="0" w:line="240" w:lineRule="auto"/>
              <w:jc w:val="center"/>
              <w:rPr>
                <w:rFonts w:ascii="Times New Roman" w:hAnsi="Times New Roman"/>
                <w:sz w:val="24"/>
                <w:szCs w:val="24"/>
              </w:rPr>
            </w:pPr>
          </w:p>
        </w:tc>
        <w:tc>
          <w:tcPr>
            <w:tcW w:w="3274" w:type="dxa"/>
          </w:tcPr>
          <w:p w:rsidR="002D1E45" w:rsidRPr="00B95F0E" w:rsidRDefault="002D1E45" w:rsidP="0001146D">
            <w:pPr>
              <w:spacing w:after="0" w:line="240" w:lineRule="auto"/>
              <w:rPr>
                <w:rFonts w:ascii="Times New Roman" w:hAnsi="Times New Roman"/>
                <w:sz w:val="24"/>
                <w:szCs w:val="24"/>
              </w:rPr>
            </w:pPr>
            <w:r w:rsidRPr="00B95F0E">
              <w:rPr>
                <w:rFonts w:ascii="Times New Roman" w:hAnsi="Times New Roman"/>
                <w:sz w:val="24"/>
                <w:szCs w:val="24"/>
              </w:rPr>
              <w:t>В том числе:</w:t>
            </w:r>
          </w:p>
        </w:tc>
        <w:tc>
          <w:tcPr>
            <w:tcW w:w="1121" w:type="dxa"/>
            <w:tcBorders>
              <w:top w:val="nil"/>
            </w:tcBorders>
          </w:tcPr>
          <w:p w:rsidR="002D1E45" w:rsidRPr="000B439E" w:rsidRDefault="002D1E45" w:rsidP="0001146D">
            <w:pPr>
              <w:spacing w:after="0" w:line="240" w:lineRule="auto"/>
              <w:jc w:val="center"/>
              <w:rPr>
                <w:rFonts w:ascii="Times New Roman" w:hAnsi="Times New Roman"/>
                <w:sz w:val="24"/>
                <w:szCs w:val="24"/>
              </w:rPr>
            </w:pPr>
          </w:p>
        </w:tc>
        <w:tc>
          <w:tcPr>
            <w:tcW w:w="851" w:type="dxa"/>
            <w:tcBorders>
              <w:top w:val="nil"/>
              <w:left w:val="nil"/>
            </w:tcBorders>
          </w:tcPr>
          <w:p w:rsidR="002D1E45" w:rsidRPr="000B439E" w:rsidRDefault="002D1E45" w:rsidP="0001146D">
            <w:pPr>
              <w:spacing w:after="0" w:line="240" w:lineRule="auto"/>
              <w:jc w:val="center"/>
              <w:rPr>
                <w:rFonts w:ascii="Times New Roman" w:hAnsi="Times New Roman"/>
                <w:sz w:val="24"/>
                <w:szCs w:val="24"/>
              </w:rPr>
            </w:pPr>
          </w:p>
        </w:tc>
        <w:tc>
          <w:tcPr>
            <w:tcW w:w="1133" w:type="dxa"/>
            <w:tcBorders>
              <w:top w:val="nil"/>
              <w:left w:val="nil"/>
            </w:tcBorders>
          </w:tcPr>
          <w:p w:rsidR="002D1E45" w:rsidRPr="000B439E" w:rsidRDefault="002D1E45" w:rsidP="0001146D">
            <w:pPr>
              <w:spacing w:after="0" w:line="240" w:lineRule="auto"/>
              <w:jc w:val="center"/>
              <w:rPr>
                <w:rFonts w:ascii="Times New Roman" w:hAnsi="Times New Roman"/>
                <w:sz w:val="24"/>
                <w:szCs w:val="24"/>
              </w:rPr>
            </w:pPr>
          </w:p>
        </w:tc>
        <w:tc>
          <w:tcPr>
            <w:tcW w:w="847" w:type="dxa"/>
            <w:tcBorders>
              <w:top w:val="nil"/>
              <w:left w:val="nil"/>
            </w:tcBorders>
          </w:tcPr>
          <w:p w:rsidR="002D1E45" w:rsidRPr="000B439E" w:rsidRDefault="002D1E45" w:rsidP="0001146D">
            <w:pPr>
              <w:spacing w:after="0" w:line="240" w:lineRule="auto"/>
              <w:jc w:val="center"/>
              <w:rPr>
                <w:rFonts w:ascii="Times New Roman" w:hAnsi="Times New Roman"/>
                <w:sz w:val="24"/>
                <w:szCs w:val="24"/>
              </w:rPr>
            </w:pPr>
          </w:p>
        </w:tc>
      </w:tr>
      <w:tr w:rsidR="002D1E45" w:rsidRPr="00B95F0E" w:rsidTr="003175D3">
        <w:trPr>
          <w:trHeight w:val="270"/>
          <w:jc w:val="center"/>
        </w:trPr>
        <w:tc>
          <w:tcPr>
            <w:tcW w:w="562" w:type="dxa"/>
          </w:tcPr>
          <w:p w:rsidR="002D1E45" w:rsidRPr="00B95F0E" w:rsidRDefault="002D1E45" w:rsidP="0001146D">
            <w:pPr>
              <w:spacing w:after="0" w:line="240" w:lineRule="auto"/>
              <w:jc w:val="center"/>
              <w:rPr>
                <w:rFonts w:ascii="Times New Roman" w:hAnsi="Times New Roman"/>
                <w:sz w:val="24"/>
                <w:szCs w:val="24"/>
              </w:rPr>
            </w:pPr>
          </w:p>
        </w:tc>
        <w:tc>
          <w:tcPr>
            <w:tcW w:w="3274" w:type="dxa"/>
          </w:tcPr>
          <w:p w:rsidR="002D1E45" w:rsidRPr="00B95F0E" w:rsidRDefault="002D1E45" w:rsidP="00852938">
            <w:pPr>
              <w:numPr>
                <w:ilvl w:val="0"/>
                <w:numId w:val="71"/>
              </w:numPr>
              <w:spacing w:after="0" w:line="240" w:lineRule="auto"/>
              <w:ind w:left="314" w:hanging="219"/>
              <w:contextualSpacing/>
              <w:rPr>
                <w:rFonts w:ascii="Times New Roman" w:hAnsi="Times New Roman"/>
                <w:sz w:val="24"/>
                <w:szCs w:val="24"/>
              </w:rPr>
            </w:pPr>
            <w:r w:rsidRPr="00B95F0E">
              <w:rPr>
                <w:rFonts w:ascii="Times New Roman" w:hAnsi="Times New Roman"/>
                <w:sz w:val="24"/>
                <w:szCs w:val="24"/>
              </w:rPr>
              <w:t>градообразующая группа</w:t>
            </w:r>
          </w:p>
        </w:tc>
        <w:tc>
          <w:tcPr>
            <w:tcW w:w="1121" w:type="dxa"/>
            <w:tcBorders>
              <w:top w:val="nil"/>
            </w:tcBorders>
          </w:tcPr>
          <w:p w:rsidR="002D1E45" w:rsidRPr="000B439E" w:rsidRDefault="002D1E45" w:rsidP="0001146D">
            <w:pPr>
              <w:spacing w:after="0" w:line="240" w:lineRule="auto"/>
              <w:jc w:val="center"/>
              <w:rPr>
                <w:rFonts w:ascii="Times New Roman" w:hAnsi="Times New Roman"/>
                <w:sz w:val="24"/>
                <w:szCs w:val="24"/>
              </w:rPr>
            </w:pPr>
            <w:r w:rsidRPr="0001146D">
              <w:rPr>
                <w:rFonts w:ascii="Times New Roman" w:hAnsi="Times New Roman"/>
                <w:sz w:val="24"/>
                <w:szCs w:val="24"/>
              </w:rPr>
              <w:t>4733</w:t>
            </w:r>
          </w:p>
        </w:tc>
        <w:tc>
          <w:tcPr>
            <w:tcW w:w="851" w:type="dxa"/>
            <w:tcBorders>
              <w:top w:val="nil"/>
              <w:left w:val="nil"/>
            </w:tcBorders>
          </w:tcPr>
          <w:p w:rsidR="002D1E45" w:rsidRPr="000B439E" w:rsidRDefault="002D1E45" w:rsidP="0001146D">
            <w:pPr>
              <w:spacing w:after="0" w:line="240" w:lineRule="auto"/>
              <w:jc w:val="center"/>
              <w:rPr>
                <w:rFonts w:ascii="Times New Roman" w:hAnsi="Times New Roman"/>
                <w:sz w:val="24"/>
                <w:szCs w:val="24"/>
              </w:rPr>
            </w:pPr>
            <w:r w:rsidRPr="0001146D">
              <w:rPr>
                <w:rFonts w:ascii="Times New Roman" w:hAnsi="Times New Roman"/>
                <w:sz w:val="24"/>
                <w:szCs w:val="24"/>
              </w:rPr>
              <w:t>11,5</w:t>
            </w:r>
          </w:p>
        </w:tc>
        <w:tc>
          <w:tcPr>
            <w:tcW w:w="1133" w:type="dxa"/>
            <w:tcBorders>
              <w:top w:val="nil"/>
              <w:left w:val="nil"/>
            </w:tcBorders>
          </w:tcPr>
          <w:p w:rsidR="002D1E45" w:rsidRPr="000B439E" w:rsidRDefault="002D1E45" w:rsidP="0001146D">
            <w:pPr>
              <w:spacing w:after="0" w:line="240" w:lineRule="auto"/>
              <w:jc w:val="center"/>
              <w:rPr>
                <w:rFonts w:ascii="Times New Roman" w:hAnsi="Times New Roman"/>
                <w:sz w:val="24"/>
                <w:szCs w:val="24"/>
              </w:rPr>
            </w:pPr>
            <w:r w:rsidRPr="0001146D">
              <w:rPr>
                <w:rFonts w:ascii="Times New Roman" w:hAnsi="Times New Roman"/>
                <w:sz w:val="24"/>
                <w:szCs w:val="24"/>
              </w:rPr>
              <w:t>4732</w:t>
            </w:r>
          </w:p>
        </w:tc>
        <w:tc>
          <w:tcPr>
            <w:tcW w:w="847" w:type="dxa"/>
            <w:tcBorders>
              <w:top w:val="nil"/>
              <w:left w:val="nil"/>
            </w:tcBorders>
          </w:tcPr>
          <w:p w:rsidR="002D1E45" w:rsidRPr="000B439E" w:rsidRDefault="002D1E45" w:rsidP="0001146D">
            <w:pPr>
              <w:spacing w:after="0" w:line="240" w:lineRule="auto"/>
              <w:jc w:val="center"/>
              <w:rPr>
                <w:rFonts w:ascii="Times New Roman" w:hAnsi="Times New Roman"/>
                <w:sz w:val="24"/>
                <w:szCs w:val="24"/>
              </w:rPr>
            </w:pPr>
            <w:r w:rsidRPr="0001146D">
              <w:rPr>
                <w:rFonts w:ascii="Times New Roman" w:hAnsi="Times New Roman"/>
                <w:sz w:val="24"/>
                <w:szCs w:val="24"/>
              </w:rPr>
              <w:t>12,2</w:t>
            </w:r>
          </w:p>
        </w:tc>
      </w:tr>
      <w:tr w:rsidR="002D1E45" w:rsidRPr="00B95F0E" w:rsidTr="003175D3">
        <w:trPr>
          <w:trHeight w:val="270"/>
          <w:jc w:val="center"/>
        </w:trPr>
        <w:tc>
          <w:tcPr>
            <w:tcW w:w="562" w:type="dxa"/>
          </w:tcPr>
          <w:p w:rsidR="002D1E45" w:rsidRPr="00B95F0E" w:rsidRDefault="002D1E45" w:rsidP="0001146D">
            <w:pPr>
              <w:spacing w:after="0" w:line="240" w:lineRule="auto"/>
              <w:jc w:val="center"/>
              <w:rPr>
                <w:rFonts w:ascii="Times New Roman" w:hAnsi="Times New Roman"/>
                <w:sz w:val="24"/>
                <w:szCs w:val="24"/>
              </w:rPr>
            </w:pPr>
          </w:p>
        </w:tc>
        <w:tc>
          <w:tcPr>
            <w:tcW w:w="3274" w:type="dxa"/>
          </w:tcPr>
          <w:p w:rsidR="002D1E45" w:rsidRPr="00B95F0E" w:rsidRDefault="002D1E45" w:rsidP="00852938">
            <w:pPr>
              <w:numPr>
                <w:ilvl w:val="0"/>
                <w:numId w:val="71"/>
              </w:numPr>
              <w:spacing w:after="0" w:line="240" w:lineRule="auto"/>
              <w:ind w:left="314" w:hanging="219"/>
              <w:contextualSpacing/>
              <w:rPr>
                <w:rFonts w:ascii="Times New Roman" w:hAnsi="Times New Roman"/>
                <w:sz w:val="24"/>
                <w:szCs w:val="24"/>
              </w:rPr>
            </w:pPr>
            <w:r w:rsidRPr="00B95F0E">
              <w:rPr>
                <w:rFonts w:ascii="Times New Roman" w:hAnsi="Times New Roman"/>
                <w:sz w:val="24"/>
                <w:szCs w:val="24"/>
              </w:rPr>
              <w:t>обслуживающая группа</w:t>
            </w:r>
          </w:p>
        </w:tc>
        <w:tc>
          <w:tcPr>
            <w:tcW w:w="1121" w:type="dxa"/>
            <w:tcBorders>
              <w:top w:val="nil"/>
            </w:tcBorders>
          </w:tcPr>
          <w:p w:rsidR="002D1E45" w:rsidRPr="000B439E" w:rsidRDefault="002D1E45" w:rsidP="0001146D">
            <w:pPr>
              <w:spacing w:after="0" w:line="240" w:lineRule="auto"/>
              <w:jc w:val="center"/>
              <w:rPr>
                <w:rFonts w:ascii="Times New Roman" w:hAnsi="Times New Roman"/>
                <w:sz w:val="24"/>
                <w:szCs w:val="24"/>
              </w:rPr>
            </w:pPr>
            <w:r w:rsidRPr="0001146D">
              <w:rPr>
                <w:rFonts w:ascii="Times New Roman" w:hAnsi="Times New Roman"/>
                <w:sz w:val="24"/>
                <w:szCs w:val="24"/>
              </w:rPr>
              <w:t>13007</w:t>
            </w:r>
          </w:p>
        </w:tc>
        <w:tc>
          <w:tcPr>
            <w:tcW w:w="851" w:type="dxa"/>
            <w:tcBorders>
              <w:top w:val="nil"/>
              <w:left w:val="nil"/>
            </w:tcBorders>
          </w:tcPr>
          <w:p w:rsidR="002D1E45" w:rsidRPr="000B439E" w:rsidRDefault="002D1E45" w:rsidP="0001146D">
            <w:pPr>
              <w:spacing w:after="0" w:line="240" w:lineRule="auto"/>
              <w:jc w:val="center"/>
              <w:rPr>
                <w:rFonts w:ascii="Times New Roman" w:hAnsi="Times New Roman"/>
                <w:sz w:val="24"/>
                <w:szCs w:val="24"/>
              </w:rPr>
            </w:pPr>
            <w:r w:rsidRPr="0001146D">
              <w:rPr>
                <w:rFonts w:ascii="Times New Roman" w:hAnsi="Times New Roman"/>
                <w:sz w:val="24"/>
                <w:szCs w:val="24"/>
              </w:rPr>
              <w:t>31,5</w:t>
            </w:r>
          </w:p>
        </w:tc>
        <w:tc>
          <w:tcPr>
            <w:tcW w:w="1133" w:type="dxa"/>
            <w:tcBorders>
              <w:top w:val="nil"/>
              <w:left w:val="nil"/>
            </w:tcBorders>
          </w:tcPr>
          <w:p w:rsidR="002D1E45" w:rsidRPr="000B439E" w:rsidRDefault="002D1E45" w:rsidP="0001146D">
            <w:pPr>
              <w:spacing w:after="0" w:line="240" w:lineRule="auto"/>
              <w:jc w:val="center"/>
              <w:rPr>
                <w:rFonts w:ascii="Times New Roman" w:hAnsi="Times New Roman"/>
                <w:sz w:val="24"/>
                <w:szCs w:val="24"/>
              </w:rPr>
            </w:pPr>
            <w:r w:rsidRPr="0001146D">
              <w:rPr>
                <w:rFonts w:ascii="Times New Roman" w:hAnsi="Times New Roman"/>
                <w:sz w:val="24"/>
                <w:szCs w:val="24"/>
              </w:rPr>
              <w:t>12795</w:t>
            </w:r>
          </w:p>
        </w:tc>
        <w:tc>
          <w:tcPr>
            <w:tcW w:w="847" w:type="dxa"/>
            <w:tcBorders>
              <w:top w:val="nil"/>
              <w:left w:val="nil"/>
            </w:tcBorders>
          </w:tcPr>
          <w:p w:rsidR="002D1E45" w:rsidRPr="000B439E" w:rsidRDefault="002D1E45" w:rsidP="0001146D">
            <w:pPr>
              <w:spacing w:after="0" w:line="240" w:lineRule="auto"/>
              <w:jc w:val="center"/>
              <w:rPr>
                <w:rFonts w:ascii="Times New Roman" w:hAnsi="Times New Roman"/>
                <w:sz w:val="24"/>
                <w:szCs w:val="24"/>
              </w:rPr>
            </w:pPr>
            <w:r w:rsidRPr="0001146D">
              <w:rPr>
                <w:rFonts w:ascii="Times New Roman" w:hAnsi="Times New Roman"/>
                <w:sz w:val="24"/>
                <w:szCs w:val="24"/>
              </w:rPr>
              <w:t>32,9</w:t>
            </w:r>
          </w:p>
        </w:tc>
      </w:tr>
      <w:tr w:rsidR="002D1E45" w:rsidRPr="00B95F0E" w:rsidTr="003175D3">
        <w:trPr>
          <w:trHeight w:val="270"/>
          <w:jc w:val="center"/>
        </w:trPr>
        <w:tc>
          <w:tcPr>
            <w:tcW w:w="562" w:type="dxa"/>
          </w:tcPr>
          <w:p w:rsidR="002D1E45" w:rsidRPr="00B95F0E" w:rsidRDefault="002D1E45" w:rsidP="0001146D">
            <w:pPr>
              <w:spacing w:after="0" w:line="240" w:lineRule="auto"/>
              <w:jc w:val="center"/>
              <w:rPr>
                <w:rFonts w:ascii="Times New Roman" w:hAnsi="Times New Roman"/>
                <w:sz w:val="24"/>
                <w:szCs w:val="24"/>
              </w:rPr>
            </w:pPr>
            <w:r w:rsidRPr="00B95F0E">
              <w:rPr>
                <w:rFonts w:ascii="Times New Roman" w:hAnsi="Times New Roman"/>
                <w:sz w:val="24"/>
                <w:szCs w:val="24"/>
              </w:rPr>
              <w:t>3</w:t>
            </w:r>
          </w:p>
        </w:tc>
        <w:tc>
          <w:tcPr>
            <w:tcW w:w="3274" w:type="dxa"/>
          </w:tcPr>
          <w:p w:rsidR="002D1E45" w:rsidRPr="00B95F0E" w:rsidRDefault="002D1E45" w:rsidP="0001146D">
            <w:pPr>
              <w:spacing w:after="0" w:line="240" w:lineRule="auto"/>
              <w:rPr>
                <w:rFonts w:ascii="Times New Roman" w:hAnsi="Times New Roman"/>
                <w:sz w:val="24"/>
                <w:szCs w:val="24"/>
              </w:rPr>
            </w:pPr>
            <w:r w:rsidRPr="00B95F0E">
              <w:rPr>
                <w:rFonts w:ascii="Times New Roman" w:hAnsi="Times New Roman"/>
                <w:sz w:val="24"/>
                <w:szCs w:val="24"/>
              </w:rPr>
              <w:t>Несамодеятельное население</w:t>
            </w:r>
          </w:p>
        </w:tc>
        <w:tc>
          <w:tcPr>
            <w:tcW w:w="1121" w:type="dxa"/>
            <w:tcBorders>
              <w:top w:val="nil"/>
            </w:tcBorders>
          </w:tcPr>
          <w:p w:rsidR="002D1E45" w:rsidRPr="000B439E" w:rsidRDefault="002D1E45" w:rsidP="0001146D">
            <w:pPr>
              <w:spacing w:after="0" w:line="240" w:lineRule="auto"/>
              <w:jc w:val="center"/>
              <w:rPr>
                <w:rFonts w:ascii="Times New Roman" w:hAnsi="Times New Roman"/>
                <w:sz w:val="24"/>
                <w:szCs w:val="24"/>
              </w:rPr>
            </w:pPr>
            <w:r w:rsidRPr="0001146D">
              <w:rPr>
                <w:rFonts w:ascii="Times New Roman" w:hAnsi="Times New Roman"/>
                <w:sz w:val="24"/>
                <w:szCs w:val="24"/>
              </w:rPr>
              <w:t>23510</w:t>
            </w:r>
          </w:p>
        </w:tc>
        <w:tc>
          <w:tcPr>
            <w:tcW w:w="851" w:type="dxa"/>
            <w:tcBorders>
              <w:top w:val="nil"/>
              <w:left w:val="nil"/>
            </w:tcBorders>
          </w:tcPr>
          <w:p w:rsidR="002D1E45" w:rsidRPr="000B439E" w:rsidRDefault="002D1E45" w:rsidP="0001146D">
            <w:pPr>
              <w:spacing w:after="0" w:line="240" w:lineRule="auto"/>
              <w:jc w:val="center"/>
              <w:rPr>
                <w:rFonts w:ascii="Times New Roman" w:hAnsi="Times New Roman"/>
                <w:sz w:val="24"/>
                <w:szCs w:val="24"/>
              </w:rPr>
            </w:pPr>
            <w:r w:rsidRPr="0001146D">
              <w:rPr>
                <w:rFonts w:ascii="Times New Roman" w:hAnsi="Times New Roman"/>
                <w:sz w:val="24"/>
                <w:szCs w:val="24"/>
              </w:rPr>
              <w:t>57,0</w:t>
            </w:r>
          </w:p>
        </w:tc>
        <w:tc>
          <w:tcPr>
            <w:tcW w:w="1133" w:type="dxa"/>
            <w:tcBorders>
              <w:top w:val="nil"/>
              <w:left w:val="nil"/>
            </w:tcBorders>
          </w:tcPr>
          <w:p w:rsidR="002D1E45" w:rsidRPr="000B439E" w:rsidRDefault="002D1E45" w:rsidP="0001146D">
            <w:pPr>
              <w:spacing w:after="0" w:line="240" w:lineRule="auto"/>
              <w:jc w:val="center"/>
              <w:rPr>
                <w:rFonts w:ascii="Times New Roman" w:hAnsi="Times New Roman"/>
                <w:sz w:val="24"/>
                <w:szCs w:val="24"/>
              </w:rPr>
            </w:pPr>
            <w:r w:rsidRPr="0001146D">
              <w:rPr>
                <w:rFonts w:ascii="Times New Roman" w:hAnsi="Times New Roman"/>
                <w:sz w:val="24"/>
                <w:szCs w:val="24"/>
              </w:rPr>
              <w:t>21423</w:t>
            </w:r>
          </w:p>
        </w:tc>
        <w:tc>
          <w:tcPr>
            <w:tcW w:w="847" w:type="dxa"/>
            <w:tcBorders>
              <w:top w:val="nil"/>
              <w:left w:val="nil"/>
            </w:tcBorders>
          </w:tcPr>
          <w:p w:rsidR="002D1E45" w:rsidRPr="000B439E" w:rsidRDefault="002D1E45" w:rsidP="0001146D">
            <w:pPr>
              <w:spacing w:after="0" w:line="240" w:lineRule="auto"/>
              <w:jc w:val="center"/>
              <w:rPr>
                <w:rFonts w:ascii="Times New Roman" w:hAnsi="Times New Roman"/>
                <w:sz w:val="24"/>
                <w:szCs w:val="24"/>
              </w:rPr>
            </w:pPr>
            <w:r w:rsidRPr="0001146D">
              <w:rPr>
                <w:rFonts w:ascii="Times New Roman" w:hAnsi="Times New Roman"/>
                <w:sz w:val="24"/>
                <w:szCs w:val="24"/>
              </w:rPr>
              <w:t>55,0</w:t>
            </w:r>
          </w:p>
        </w:tc>
      </w:tr>
    </w:tbl>
    <w:p w:rsidR="002D1E45" w:rsidRPr="00B95F0E" w:rsidRDefault="002D1E45" w:rsidP="00B95F0E">
      <w:pPr>
        <w:spacing w:after="120" w:line="240" w:lineRule="auto"/>
        <w:jc w:val="center"/>
        <w:rPr>
          <w:rFonts w:ascii="Times New Roman" w:hAnsi="Times New Roman"/>
          <w:sz w:val="28"/>
          <w:szCs w:val="28"/>
        </w:rPr>
      </w:pPr>
    </w:p>
    <w:p w:rsidR="002D1E45" w:rsidRPr="00B95F0E" w:rsidRDefault="002D1E45" w:rsidP="00B95F0E">
      <w:pPr>
        <w:shd w:val="clear" w:color="auto" w:fill="FFFFFF"/>
        <w:spacing w:after="0" w:line="240" w:lineRule="auto"/>
        <w:ind w:firstLine="709"/>
        <w:jc w:val="both"/>
        <w:rPr>
          <w:rFonts w:ascii="Times New Roman" w:hAnsi="Times New Roman"/>
          <w:sz w:val="28"/>
          <w:szCs w:val="28"/>
        </w:rPr>
      </w:pPr>
      <w:r w:rsidRPr="00B95F0E">
        <w:rPr>
          <w:rFonts w:ascii="Times New Roman" w:hAnsi="Times New Roman"/>
          <w:sz w:val="28"/>
          <w:szCs w:val="28"/>
        </w:rPr>
        <w:t>При определении трудовых ресурсов, необходимых для расчёта населения из</w:t>
      </w:r>
      <w:r>
        <w:rPr>
          <w:rFonts w:ascii="Times New Roman" w:hAnsi="Times New Roman"/>
          <w:sz w:val="28"/>
          <w:szCs w:val="28"/>
        </w:rPr>
        <w:t> </w:t>
      </w:r>
      <w:r w:rsidRPr="00B95F0E">
        <w:rPr>
          <w:rFonts w:ascii="Times New Roman" w:hAnsi="Times New Roman"/>
          <w:sz w:val="28"/>
          <w:szCs w:val="28"/>
        </w:rPr>
        <w:t>общей численности населения в</w:t>
      </w:r>
      <w:r>
        <w:rPr>
          <w:rFonts w:ascii="Times New Roman" w:hAnsi="Times New Roman"/>
          <w:sz w:val="28"/>
          <w:szCs w:val="28"/>
        </w:rPr>
        <w:t> </w:t>
      </w:r>
      <w:r w:rsidRPr="00B95F0E">
        <w:rPr>
          <w:rFonts w:ascii="Times New Roman" w:hAnsi="Times New Roman"/>
          <w:sz w:val="28"/>
          <w:szCs w:val="28"/>
        </w:rPr>
        <w:t>трудоспособном возрасте исключаются следующие группы населения:</w:t>
      </w:r>
    </w:p>
    <w:p w:rsidR="002D1E45" w:rsidRPr="00B95F0E" w:rsidRDefault="002D1E45" w:rsidP="00852938">
      <w:pPr>
        <w:numPr>
          <w:ilvl w:val="0"/>
          <w:numId w:val="24"/>
        </w:numPr>
        <w:tabs>
          <w:tab w:val="left" w:pos="1134"/>
        </w:tabs>
        <w:spacing w:after="0" w:line="240" w:lineRule="auto"/>
        <w:ind w:left="1134"/>
        <w:jc w:val="both"/>
        <w:rPr>
          <w:rFonts w:ascii="Times New Roman" w:hAnsi="Times New Roman"/>
          <w:sz w:val="28"/>
          <w:szCs w:val="28"/>
        </w:rPr>
      </w:pPr>
      <w:r w:rsidRPr="00B95F0E">
        <w:rPr>
          <w:rFonts w:ascii="Times New Roman" w:hAnsi="Times New Roman"/>
          <w:sz w:val="28"/>
          <w:szCs w:val="28"/>
        </w:rPr>
        <w:t>лица, занятые в</w:t>
      </w:r>
      <w:r>
        <w:rPr>
          <w:rFonts w:ascii="Times New Roman" w:hAnsi="Times New Roman"/>
          <w:sz w:val="28"/>
          <w:szCs w:val="28"/>
        </w:rPr>
        <w:t> </w:t>
      </w:r>
      <w:r w:rsidRPr="00B95F0E">
        <w:rPr>
          <w:rFonts w:ascii="Times New Roman" w:hAnsi="Times New Roman"/>
          <w:sz w:val="28"/>
          <w:szCs w:val="28"/>
        </w:rPr>
        <w:t>домашнем и</w:t>
      </w:r>
      <w:r>
        <w:rPr>
          <w:rFonts w:ascii="Times New Roman" w:hAnsi="Times New Roman"/>
          <w:sz w:val="28"/>
          <w:szCs w:val="28"/>
        </w:rPr>
        <w:t> </w:t>
      </w:r>
      <w:r w:rsidRPr="00B95F0E">
        <w:rPr>
          <w:rFonts w:ascii="Times New Roman" w:hAnsi="Times New Roman"/>
          <w:sz w:val="28"/>
          <w:szCs w:val="28"/>
        </w:rPr>
        <w:t>личном подсобном хозяйстве;</w:t>
      </w:r>
    </w:p>
    <w:p w:rsidR="002D1E45" w:rsidRPr="00B95F0E" w:rsidRDefault="002D1E45" w:rsidP="00852938">
      <w:pPr>
        <w:numPr>
          <w:ilvl w:val="0"/>
          <w:numId w:val="24"/>
        </w:numPr>
        <w:tabs>
          <w:tab w:val="left" w:pos="1134"/>
        </w:tabs>
        <w:spacing w:after="0" w:line="240" w:lineRule="auto"/>
        <w:ind w:left="1134"/>
        <w:jc w:val="both"/>
        <w:rPr>
          <w:rFonts w:ascii="Times New Roman" w:hAnsi="Times New Roman"/>
          <w:sz w:val="28"/>
          <w:szCs w:val="28"/>
        </w:rPr>
      </w:pPr>
      <w:r w:rsidRPr="00B95F0E">
        <w:rPr>
          <w:rFonts w:ascii="Times New Roman" w:hAnsi="Times New Roman"/>
          <w:sz w:val="28"/>
          <w:szCs w:val="28"/>
        </w:rPr>
        <w:t>инвалиды труда в</w:t>
      </w:r>
      <w:r>
        <w:rPr>
          <w:rFonts w:ascii="Times New Roman" w:hAnsi="Times New Roman"/>
          <w:sz w:val="28"/>
          <w:szCs w:val="28"/>
        </w:rPr>
        <w:t> </w:t>
      </w:r>
      <w:r w:rsidRPr="00B95F0E">
        <w:rPr>
          <w:rFonts w:ascii="Times New Roman" w:hAnsi="Times New Roman"/>
          <w:sz w:val="28"/>
          <w:szCs w:val="28"/>
        </w:rPr>
        <w:t>трудоспособном возрасте;</w:t>
      </w:r>
    </w:p>
    <w:p w:rsidR="002D1E45" w:rsidRPr="00B95F0E" w:rsidRDefault="002D1E45" w:rsidP="00852938">
      <w:pPr>
        <w:numPr>
          <w:ilvl w:val="0"/>
          <w:numId w:val="24"/>
        </w:numPr>
        <w:tabs>
          <w:tab w:val="left" w:pos="1134"/>
        </w:tabs>
        <w:spacing w:after="0" w:line="240" w:lineRule="auto"/>
        <w:ind w:left="1134"/>
        <w:jc w:val="both"/>
        <w:rPr>
          <w:rFonts w:ascii="Times New Roman" w:hAnsi="Times New Roman"/>
          <w:sz w:val="28"/>
          <w:szCs w:val="28"/>
        </w:rPr>
      </w:pPr>
      <w:r w:rsidRPr="00B95F0E">
        <w:rPr>
          <w:rFonts w:ascii="Times New Roman" w:hAnsi="Times New Roman"/>
          <w:sz w:val="28"/>
          <w:szCs w:val="28"/>
        </w:rPr>
        <w:t>100 % учащихся высших и</w:t>
      </w:r>
      <w:r>
        <w:rPr>
          <w:rFonts w:ascii="Times New Roman" w:hAnsi="Times New Roman"/>
          <w:sz w:val="28"/>
          <w:szCs w:val="28"/>
        </w:rPr>
        <w:t> </w:t>
      </w:r>
      <w:r w:rsidRPr="00B95F0E">
        <w:rPr>
          <w:rFonts w:ascii="Times New Roman" w:hAnsi="Times New Roman"/>
          <w:sz w:val="28"/>
          <w:szCs w:val="28"/>
        </w:rPr>
        <w:t>средних специальных учебных заведений, обучающихся в</w:t>
      </w:r>
      <w:r>
        <w:rPr>
          <w:rFonts w:ascii="Times New Roman" w:hAnsi="Times New Roman"/>
          <w:sz w:val="28"/>
          <w:szCs w:val="28"/>
        </w:rPr>
        <w:t> </w:t>
      </w:r>
      <w:r w:rsidRPr="00B95F0E">
        <w:rPr>
          <w:rFonts w:ascii="Times New Roman" w:hAnsi="Times New Roman"/>
          <w:sz w:val="28"/>
          <w:szCs w:val="28"/>
        </w:rPr>
        <w:t>отрыве от</w:t>
      </w:r>
      <w:r>
        <w:rPr>
          <w:rFonts w:ascii="Times New Roman" w:hAnsi="Times New Roman"/>
          <w:sz w:val="28"/>
          <w:szCs w:val="28"/>
        </w:rPr>
        <w:t> </w:t>
      </w:r>
      <w:r w:rsidRPr="00B95F0E">
        <w:rPr>
          <w:rFonts w:ascii="Times New Roman" w:hAnsi="Times New Roman"/>
          <w:sz w:val="28"/>
          <w:szCs w:val="28"/>
        </w:rPr>
        <w:t>производства;</w:t>
      </w:r>
    </w:p>
    <w:p w:rsidR="002D1E45" w:rsidRPr="00B95F0E" w:rsidRDefault="002D1E45" w:rsidP="00852938">
      <w:pPr>
        <w:numPr>
          <w:ilvl w:val="0"/>
          <w:numId w:val="24"/>
        </w:numPr>
        <w:tabs>
          <w:tab w:val="left" w:pos="1134"/>
        </w:tabs>
        <w:spacing w:after="0" w:line="240" w:lineRule="auto"/>
        <w:ind w:left="1134"/>
        <w:jc w:val="both"/>
        <w:rPr>
          <w:rFonts w:ascii="Times New Roman" w:hAnsi="Times New Roman"/>
          <w:sz w:val="28"/>
          <w:szCs w:val="28"/>
        </w:rPr>
      </w:pPr>
      <w:r w:rsidRPr="00B95F0E">
        <w:rPr>
          <w:rFonts w:ascii="Times New Roman" w:hAnsi="Times New Roman"/>
          <w:sz w:val="28"/>
          <w:szCs w:val="28"/>
        </w:rPr>
        <w:t>лица, зарегистрированные на</w:t>
      </w:r>
      <w:r>
        <w:rPr>
          <w:rFonts w:ascii="Times New Roman" w:hAnsi="Times New Roman"/>
          <w:sz w:val="28"/>
          <w:szCs w:val="28"/>
        </w:rPr>
        <w:t> </w:t>
      </w:r>
      <w:r w:rsidRPr="00B95F0E">
        <w:rPr>
          <w:rFonts w:ascii="Times New Roman" w:hAnsi="Times New Roman"/>
          <w:sz w:val="28"/>
          <w:szCs w:val="28"/>
        </w:rPr>
        <w:t>бирже труда.</w:t>
      </w:r>
    </w:p>
    <w:p w:rsidR="002D1E45" w:rsidRPr="00B95F0E" w:rsidRDefault="002D1E45" w:rsidP="00B95F0E">
      <w:pPr>
        <w:shd w:val="clear" w:color="auto" w:fill="FFFFFF"/>
        <w:spacing w:after="0" w:line="240" w:lineRule="auto"/>
        <w:ind w:firstLine="709"/>
        <w:jc w:val="both"/>
        <w:rPr>
          <w:rFonts w:ascii="Times New Roman" w:hAnsi="Times New Roman"/>
          <w:sz w:val="28"/>
          <w:szCs w:val="28"/>
        </w:rPr>
      </w:pPr>
      <w:r w:rsidRPr="00B95F0E">
        <w:rPr>
          <w:rFonts w:ascii="Times New Roman" w:hAnsi="Times New Roman"/>
          <w:sz w:val="28"/>
          <w:szCs w:val="28"/>
        </w:rPr>
        <w:t>В составе трудовых ресурсов учитываются дополнительно лица пенсионного возраста, продолжающие участвовать в</w:t>
      </w:r>
      <w:r>
        <w:rPr>
          <w:rFonts w:ascii="Times New Roman" w:hAnsi="Times New Roman"/>
          <w:sz w:val="28"/>
          <w:szCs w:val="28"/>
        </w:rPr>
        <w:t> </w:t>
      </w:r>
      <w:r w:rsidRPr="00B95F0E">
        <w:rPr>
          <w:rFonts w:ascii="Times New Roman" w:hAnsi="Times New Roman"/>
          <w:sz w:val="28"/>
          <w:szCs w:val="28"/>
        </w:rPr>
        <w:t>общественном производстве.</w:t>
      </w:r>
    </w:p>
    <w:p w:rsidR="002D1E45" w:rsidRPr="00B95F0E" w:rsidRDefault="002D1E45" w:rsidP="00B95F0E">
      <w:pPr>
        <w:shd w:val="clear" w:color="auto" w:fill="FFFFFF"/>
        <w:spacing w:after="0" w:line="240" w:lineRule="auto"/>
        <w:ind w:firstLine="709"/>
        <w:jc w:val="both"/>
        <w:rPr>
          <w:rFonts w:ascii="Times New Roman" w:hAnsi="Times New Roman"/>
          <w:sz w:val="28"/>
          <w:szCs w:val="28"/>
        </w:rPr>
      </w:pPr>
      <w:r>
        <w:rPr>
          <w:rFonts w:ascii="Times New Roman" w:hAnsi="Times New Roman"/>
          <w:sz w:val="28"/>
          <w:szCs w:val="28"/>
        </w:rPr>
        <w:t>Данный вариант</w:t>
      </w:r>
      <w:r w:rsidRPr="00B95F0E">
        <w:rPr>
          <w:rFonts w:ascii="Times New Roman" w:hAnsi="Times New Roman"/>
          <w:sz w:val="28"/>
          <w:szCs w:val="28"/>
        </w:rPr>
        <w:t xml:space="preserve"> </w:t>
      </w:r>
      <w:r>
        <w:rPr>
          <w:rFonts w:ascii="Times New Roman" w:hAnsi="Times New Roman"/>
          <w:sz w:val="28"/>
          <w:szCs w:val="28"/>
        </w:rPr>
        <w:t xml:space="preserve">расчёта демографических показателей </w:t>
      </w:r>
      <w:r w:rsidRPr="00B95F0E">
        <w:rPr>
          <w:rFonts w:ascii="Times New Roman" w:hAnsi="Times New Roman"/>
          <w:sz w:val="28"/>
          <w:szCs w:val="28"/>
        </w:rPr>
        <w:t>предполагает развитие основных отраслей промышленности на</w:t>
      </w:r>
      <w:r>
        <w:rPr>
          <w:rFonts w:ascii="Times New Roman" w:hAnsi="Times New Roman"/>
          <w:sz w:val="28"/>
          <w:szCs w:val="28"/>
        </w:rPr>
        <w:t> </w:t>
      </w:r>
      <w:r w:rsidRPr="00B95F0E">
        <w:rPr>
          <w:rFonts w:ascii="Times New Roman" w:hAnsi="Times New Roman"/>
          <w:sz w:val="28"/>
          <w:szCs w:val="28"/>
        </w:rPr>
        <w:t>базе их</w:t>
      </w:r>
      <w:r>
        <w:rPr>
          <w:rFonts w:ascii="Times New Roman" w:hAnsi="Times New Roman"/>
          <w:sz w:val="28"/>
          <w:szCs w:val="28"/>
        </w:rPr>
        <w:t> </w:t>
      </w:r>
      <w:r w:rsidRPr="00B95F0E">
        <w:rPr>
          <w:rFonts w:ascii="Times New Roman" w:hAnsi="Times New Roman"/>
          <w:sz w:val="28"/>
          <w:szCs w:val="28"/>
        </w:rPr>
        <w:t>модернизации и</w:t>
      </w:r>
      <w:r>
        <w:rPr>
          <w:rFonts w:ascii="Times New Roman" w:hAnsi="Times New Roman"/>
          <w:sz w:val="28"/>
          <w:szCs w:val="28"/>
        </w:rPr>
        <w:t> </w:t>
      </w:r>
      <w:r w:rsidRPr="00B95F0E">
        <w:rPr>
          <w:rFonts w:ascii="Times New Roman" w:hAnsi="Times New Roman"/>
          <w:sz w:val="28"/>
          <w:szCs w:val="28"/>
        </w:rPr>
        <w:t>развития на</w:t>
      </w:r>
      <w:r>
        <w:rPr>
          <w:rFonts w:ascii="Times New Roman" w:hAnsi="Times New Roman"/>
          <w:sz w:val="28"/>
          <w:szCs w:val="28"/>
        </w:rPr>
        <w:t> </w:t>
      </w:r>
      <w:r w:rsidRPr="00B95F0E">
        <w:rPr>
          <w:rFonts w:ascii="Times New Roman" w:hAnsi="Times New Roman"/>
          <w:sz w:val="28"/>
          <w:szCs w:val="28"/>
        </w:rPr>
        <w:t>новом технологическом уровне; создании благоприятных условий для развития инвестиционной деятельности на</w:t>
      </w:r>
      <w:r>
        <w:rPr>
          <w:rFonts w:ascii="Times New Roman" w:hAnsi="Times New Roman"/>
          <w:sz w:val="28"/>
          <w:szCs w:val="28"/>
        </w:rPr>
        <w:t> </w:t>
      </w:r>
      <w:r w:rsidRPr="00B95F0E">
        <w:rPr>
          <w:rFonts w:ascii="Times New Roman" w:hAnsi="Times New Roman"/>
          <w:sz w:val="28"/>
          <w:szCs w:val="28"/>
        </w:rPr>
        <w:t xml:space="preserve">территории </w:t>
      </w:r>
      <w:r>
        <w:rPr>
          <w:rFonts w:ascii="Times New Roman" w:hAnsi="Times New Roman"/>
          <w:sz w:val="28"/>
          <w:szCs w:val="28"/>
        </w:rPr>
        <w:t>города</w:t>
      </w:r>
      <w:r w:rsidRPr="00B95F0E">
        <w:rPr>
          <w:rFonts w:ascii="Times New Roman" w:hAnsi="Times New Roman"/>
          <w:sz w:val="28"/>
          <w:szCs w:val="28"/>
        </w:rPr>
        <w:t>; комплексном развитии транспортной отрасли и</w:t>
      </w:r>
      <w:r>
        <w:rPr>
          <w:rFonts w:ascii="Times New Roman" w:hAnsi="Times New Roman"/>
          <w:sz w:val="28"/>
          <w:szCs w:val="28"/>
        </w:rPr>
        <w:t> </w:t>
      </w:r>
      <w:r w:rsidRPr="00B95F0E">
        <w:rPr>
          <w:rFonts w:ascii="Times New Roman" w:hAnsi="Times New Roman"/>
          <w:sz w:val="28"/>
          <w:szCs w:val="28"/>
        </w:rPr>
        <w:t>связи для удовлетворения потребностей населения и</w:t>
      </w:r>
      <w:r>
        <w:rPr>
          <w:rFonts w:ascii="Times New Roman" w:hAnsi="Times New Roman"/>
          <w:sz w:val="28"/>
          <w:szCs w:val="28"/>
        </w:rPr>
        <w:t> </w:t>
      </w:r>
      <w:r w:rsidRPr="00B95F0E">
        <w:rPr>
          <w:rFonts w:ascii="Times New Roman" w:hAnsi="Times New Roman"/>
          <w:sz w:val="28"/>
          <w:szCs w:val="28"/>
        </w:rPr>
        <w:t xml:space="preserve">экономики. </w:t>
      </w:r>
    </w:p>
    <w:p w:rsidR="002D1E45" w:rsidRPr="003A7901" w:rsidRDefault="002D1E45" w:rsidP="003A7901">
      <w:pPr>
        <w:spacing w:after="0" w:line="240" w:lineRule="auto"/>
        <w:ind w:firstLine="709"/>
        <w:contextualSpacing/>
        <w:jc w:val="both"/>
        <w:rPr>
          <w:rFonts w:ascii="Times New Roman" w:hAnsi="Times New Roman"/>
          <w:sz w:val="24"/>
          <w:szCs w:val="24"/>
          <w:lang w:eastAsia="ru-RU"/>
        </w:rPr>
      </w:pPr>
      <w:r>
        <w:rPr>
          <w:rFonts w:ascii="Times New Roman" w:hAnsi="Times New Roman"/>
          <w:sz w:val="28"/>
          <w:szCs w:val="24"/>
          <w:lang w:eastAsia="ru-RU"/>
        </w:rPr>
        <w:t xml:space="preserve">Численность детей </w:t>
      </w:r>
      <w:r w:rsidRPr="003A7901">
        <w:rPr>
          <w:rFonts w:ascii="Times New Roman" w:hAnsi="Times New Roman"/>
          <w:sz w:val="28"/>
          <w:szCs w:val="24"/>
          <w:lang w:eastAsia="ru-RU"/>
        </w:rPr>
        <w:t>в</w:t>
      </w:r>
      <w:r>
        <w:rPr>
          <w:rFonts w:ascii="Times New Roman" w:hAnsi="Times New Roman"/>
          <w:sz w:val="28"/>
          <w:szCs w:val="24"/>
          <w:lang w:eastAsia="ru-RU"/>
        </w:rPr>
        <w:t> </w:t>
      </w:r>
      <w:r w:rsidRPr="003A7901">
        <w:rPr>
          <w:rFonts w:ascii="Times New Roman" w:hAnsi="Times New Roman"/>
          <w:sz w:val="28"/>
          <w:szCs w:val="24"/>
          <w:lang w:eastAsia="ru-RU"/>
        </w:rPr>
        <w:t>школьном и</w:t>
      </w:r>
      <w:r>
        <w:rPr>
          <w:rFonts w:ascii="Times New Roman" w:hAnsi="Times New Roman"/>
          <w:sz w:val="28"/>
          <w:szCs w:val="24"/>
          <w:lang w:eastAsia="ru-RU"/>
        </w:rPr>
        <w:t> </w:t>
      </w:r>
      <w:r w:rsidRPr="003A7901">
        <w:rPr>
          <w:rFonts w:ascii="Times New Roman" w:hAnsi="Times New Roman"/>
          <w:sz w:val="28"/>
          <w:szCs w:val="24"/>
          <w:lang w:eastAsia="ru-RU"/>
        </w:rPr>
        <w:t>дошкольном возрастах в</w:t>
      </w:r>
      <w:r>
        <w:rPr>
          <w:rFonts w:ascii="Times New Roman" w:hAnsi="Times New Roman"/>
          <w:sz w:val="28"/>
          <w:szCs w:val="24"/>
          <w:lang w:eastAsia="ru-RU"/>
        </w:rPr>
        <w:t> городе Куйбышеве</w:t>
      </w:r>
      <w:r w:rsidRPr="003A7901">
        <w:rPr>
          <w:rFonts w:ascii="Times New Roman" w:hAnsi="Times New Roman"/>
          <w:sz w:val="28"/>
          <w:szCs w:val="24"/>
          <w:lang w:eastAsia="ru-RU"/>
        </w:rPr>
        <w:t xml:space="preserve"> представлена ниже.</w:t>
      </w:r>
    </w:p>
    <w:p w:rsidR="002D1E45" w:rsidRPr="003A7901" w:rsidRDefault="002D1E45" w:rsidP="003A7901">
      <w:pPr>
        <w:autoSpaceDE w:val="0"/>
        <w:autoSpaceDN w:val="0"/>
        <w:adjustRightInd w:val="0"/>
        <w:spacing w:after="0" w:line="360" w:lineRule="auto"/>
        <w:ind w:firstLine="709"/>
        <w:jc w:val="right"/>
        <w:rPr>
          <w:rFonts w:ascii="Times New Roman" w:hAnsi="Times New Roman"/>
          <w:sz w:val="28"/>
          <w:szCs w:val="24"/>
          <w:lang w:eastAsia="ru-RU"/>
        </w:rPr>
      </w:pPr>
      <w:r w:rsidRPr="003A7901">
        <w:rPr>
          <w:rFonts w:ascii="Times New Roman" w:hAnsi="Times New Roman"/>
          <w:sz w:val="28"/>
          <w:szCs w:val="24"/>
          <w:lang w:eastAsia="ru-RU"/>
        </w:rPr>
        <w:t xml:space="preserve">Таблица </w:t>
      </w:r>
      <w:r w:rsidRPr="003A7901">
        <w:rPr>
          <w:rFonts w:ascii="Times New Roman" w:hAnsi="Times New Roman"/>
          <w:sz w:val="28"/>
          <w:szCs w:val="24"/>
        </w:rPr>
        <w:fldChar w:fldCharType="begin"/>
      </w:r>
      <w:r w:rsidRPr="003A7901">
        <w:rPr>
          <w:rFonts w:ascii="Times New Roman" w:hAnsi="Times New Roman"/>
          <w:sz w:val="28"/>
          <w:szCs w:val="24"/>
        </w:rPr>
        <w:instrText xml:space="preserve"> SEQ Таблица \* ARABIC </w:instrText>
      </w:r>
      <w:r w:rsidRPr="003A7901">
        <w:rPr>
          <w:rFonts w:ascii="Times New Roman" w:hAnsi="Times New Roman"/>
          <w:sz w:val="28"/>
          <w:szCs w:val="24"/>
        </w:rPr>
        <w:fldChar w:fldCharType="separate"/>
      </w:r>
      <w:r>
        <w:rPr>
          <w:rFonts w:ascii="Times New Roman" w:hAnsi="Times New Roman"/>
          <w:noProof/>
          <w:sz w:val="28"/>
          <w:szCs w:val="24"/>
        </w:rPr>
        <w:t>46</w:t>
      </w:r>
      <w:r w:rsidRPr="003A7901">
        <w:rPr>
          <w:rFonts w:ascii="Times New Roman" w:hAnsi="Times New Roman"/>
          <w:sz w:val="28"/>
          <w:szCs w:val="24"/>
        </w:rPr>
        <w:fldChar w:fldCharType="end"/>
      </w:r>
    </w:p>
    <w:p w:rsidR="002D1E45" w:rsidRPr="003A7901" w:rsidRDefault="002D1E45" w:rsidP="003A7901">
      <w:pPr>
        <w:spacing w:line="240" w:lineRule="auto"/>
        <w:jc w:val="center"/>
        <w:rPr>
          <w:rFonts w:ascii="Times New Roman" w:hAnsi="Times New Roman"/>
          <w:sz w:val="28"/>
          <w:szCs w:val="24"/>
          <w:lang w:eastAsia="ru-RU"/>
        </w:rPr>
      </w:pPr>
      <w:r w:rsidRPr="003A7901">
        <w:rPr>
          <w:rFonts w:ascii="Times New Roman" w:hAnsi="Times New Roman"/>
          <w:sz w:val="28"/>
          <w:szCs w:val="24"/>
          <w:lang w:eastAsia="ru-RU"/>
        </w:rPr>
        <w:t>Прогноз численности населения в</w:t>
      </w:r>
      <w:r>
        <w:rPr>
          <w:rFonts w:ascii="Times New Roman" w:hAnsi="Times New Roman"/>
          <w:sz w:val="28"/>
          <w:szCs w:val="24"/>
          <w:lang w:eastAsia="ru-RU"/>
        </w:rPr>
        <w:t> </w:t>
      </w:r>
      <w:r w:rsidRPr="003A7901">
        <w:rPr>
          <w:rFonts w:ascii="Times New Roman" w:hAnsi="Times New Roman"/>
          <w:sz w:val="28"/>
          <w:szCs w:val="24"/>
          <w:lang w:eastAsia="ru-RU"/>
        </w:rPr>
        <w:t xml:space="preserve">дошкольном возрасте (0-7 лет) </w:t>
      </w:r>
      <w:r>
        <w:rPr>
          <w:rFonts w:ascii="Times New Roman" w:hAnsi="Times New Roman"/>
          <w:sz w:val="28"/>
          <w:szCs w:val="24"/>
          <w:lang w:eastAsia="ru-RU"/>
        </w:rPr>
        <w:t>в анализируемых населённых пунктах</w:t>
      </w:r>
    </w:p>
    <w:p w:rsidR="002D1E45" w:rsidRPr="003A7901" w:rsidRDefault="002D1E45" w:rsidP="003A7901">
      <w:pPr>
        <w:spacing w:after="0" w:line="240" w:lineRule="auto"/>
        <w:rPr>
          <w:rFonts w:ascii="Times New Roman" w:hAnsi="Times New Roman"/>
          <w:vanish/>
          <w:sz w:val="2"/>
          <w:szCs w:val="2"/>
        </w:rPr>
      </w:pP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14"/>
        <w:gridCol w:w="1070"/>
        <w:gridCol w:w="1953"/>
        <w:gridCol w:w="2029"/>
      </w:tblGrid>
      <w:tr w:rsidR="002D1E45" w:rsidRPr="003A7901" w:rsidTr="00034258">
        <w:trPr>
          <w:trHeight w:val="612"/>
          <w:tblHeader/>
          <w:jc w:val="center"/>
        </w:trPr>
        <w:tc>
          <w:tcPr>
            <w:tcW w:w="3114" w:type="dxa"/>
            <w:noWrap/>
            <w:vAlign w:val="center"/>
          </w:tcPr>
          <w:p w:rsidR="002D1E45" w:rsidRPr="003A7901" w:rsidRDefault="002D1E45" w:rsidP="003A7901">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Населённый пункт</w:t>
            </w:r>
          </w:p>
        </w:tc>
        <w:tc>
          <w:tcPr>
            <w:tcW w:w="1070" w:type="dxa"/>
            <w:noWrap/>
            <w:vAlign w:val="center"/>
          </w:tcPr>
          <w:p w:rsidR="002D1E45" w:rsidRPr="003A7901" w:rsidRDefault="002D1E45" w:rsidP="003A7901">
            <w:pPr>
              <w:spacing w:after="0" w:line="240" w:lineRule="auto"/>
              <w:jc w:val="center"/>
              <w:rPr>
                <w:rFonts w:ascii="Times New Roman" w:hAnsi="Times New Roman"/>
                <w:sz w:val="24"/>
                <w:szCs w:val="24"/>
                <w:lang w:eastAsia="ru-RU"/>
              </w:rPr>
            </w:pPr>
            <w:r w:rsidRPr="003A7901">
              <w:rPr>
                <w:rFonts w:ascii="Times New Roman" w:hAnsi="Times New Roman"/>
                <w:sz w:val="24"/>
                <w:szCs w:val="24"/>
                <w:lang w:eastAsia="ru-RU"/>
              </w:rPr>
              <w:t>20</w:t>
            </w:r>
            <w:r>
              <w:rPr>
                <w:rFonts w:ascii="Times New Roman" w:hAnsi="Times New Roman"/>
                <w:sz w:val="24"/>
                <w:szCs w:val="24"/>
                <w:lang w:eastAsia="ru-RU"/>
              </w:rPr>
              <w:t xml:space="preserve">20 </w:t>
            </w:r>
            <w:r w:rsidRPr="003A7901">
              <w:rPr>
                <w:rFonts w:ascii="Times New Roman" w:hAnsi="Times New Roman"/>
                <w:sz w:val="24"/>
                <w:szCs w:val="24"/>
                <w:lang w:eastAsia="ru-RU"/>
              </w:rPr>
              <w:t>г., чел.</w:t>
            </w:r>
          </w:p>
        </w:tc>
        <w:tc>
          <w:tcPr>
            <w:tcW w:w="1953" w:type="dxa"/>
            <w:noWrap/>
            <w:vAlign w:val="center"/>
          </w:tcPr>
          <w:p w:rsidR="002D1E45" w:rsidRPr="003A7901" w:rsidRDefault="002D1E45" w:rsidP="003A7901">
            <w:pPr>
              <w:spacing w:after="0" w:line="240" w:lineRule="auto"/>
              <w:jc w:val="center"/>
              <w:rPr>
                <w:rFonts w:ascii="Times New Roman" w:hAnsi="Times New Roman"/>
                <w:sz w:val="24"/>
                <w:szCs w:val="24"/>
                <w:lang w:eastAsia="ru-RU"/>
              </w:rPr>
            </w:pPr>
            <w:r w:rsidRPr="003A7901">
              <w:rPr>
                <w:rFonts w:ascii="Times New Roman" w:hAnsi="Times New Roman"/>
                <w:sz w:val="24"/>
                <w:szCs w:val="24"/>
                <w:lang w:eastAsia="ru-RU"/>
              </w:rPr>
              <w:t>Первая очередь, 20</w:t>
            </w:r>
            <w:r>
              <w:rPr>
                <w:rFonts w:ascii="Times New Roman" w:hAnsi="Times New Roman"/>
                <w:sz w:val="24"/>
                <w:szCs w:val="24"/>
                <w:lang w:eastAsia="ru-RU"/>
              </w:rPr>
              <w:t>30</w:t>
            </w:r>
            <w:r w:rsidRPr="003A7901">
              <w:rPr>
                <w:rFonts w:ascii="Times New Roman" w:hAnsi="Times New Roman"/>
                <w:sz w:val="24"/>
                <w:szCs w:val="24"/>
                <w:lang w:eastAsia="ru-RU"/>
              </w:rPr>
              <w:t xml:space="preserve"> г., чел.</w:t>
            </w:r>
          </w:p>
        </w:tc>
        <w:tc>
          <w:tcPr>
            <w:tcW w:w="2029" w:type="dxa"/>
            <w:noWrap/>
            <w:vAlign w:val="center"/>
          </w:tcPr>
          <w:p w:rsidR="002D1E45" w:rsidRPr="003A7901" w:rsidRDefault="002D1E45" w:rsidP="003A7901">
            <w:pPr>
              <w:spacing w:after="0" w:line="240" w:lineRule="auto"/>
              <w:jc w:val="center"/>
              <w:rPr>
                <w:rFonts w:ascii="Times New Roman" w:hAnsi="Times New Roman"/>
                <w:sz w:val="24"/>
                <w:szCs w:val="24"/>
                <w:lang w:eastAsia="ru-RU"/>
              </w:rPr>
            </w:pPr>
            <w:r w:rsidRPr="003A7901">
              <w:rPr>
                <w:rFonts w:ascii="Times New Roman" w:hAnsi="Times New Roman"/>
                <w:sz w:val="24"/>
                <w:szCs w:val="24"/>
                <w:lang w:eastAsia="ru-RU"/>
              </w:rPr>
              <w:t>Расчётный срок, 20</w:t>
            </w:r>
            <w:r>
              <w:rPr>
                <w:rFonts w:ascii="Times New Roman" w:hAnsi="Times New Roman"/>
                <w:sz w:val="24"/>
                <w:szCs w:val="24"/>
                <w:lang w:eastAsia="ru-RU"/>
              </w:rPr>
              <w:t>40</w:t>
            </w:r>
            <w:r w:rsidRPr="003A7901">
              <w:rPr>
                <w:rFonts w:ascii="Times New Roman" w:hAnsi="Times New Roman"/>
                <w:sz w:val="24"/>
                <w:szCs w:val="24"/>
                <w:lang w:eastAsia="ru-RU"/>
              </w:rPr>
              <w:t xml:space="preserve"> г., чел.</w:t>
            </w:r>
          </w:p>
        </w:tc>
      </w:tr>
      <w:tr w:rsidR="002D1E45" w:rsidRPr="003A7901" w:rsidTr="00017FC8">
        <w:trPr>
          <w:trHeight w:val="255"/>
          <w:jc w:val="center"/>
        </w:trPr>
        <w:tc>
          <w:tcPr>
            <w:tcW w:w="3114" w:type="dxa"/>
            <w:noWrap/>
          </w:tcPr>
          <w:p w:rsidR="002D1E45" w:rsidRPr="00017FC8" w:rsidRDefault="002D1E45" w:rsidP="008472BD">
            <w:pPr>
              <w:spacing w:after="0" w:line="240" w:lineRule="auto"/>
              <w:rPr>
                <w:rFonts w:ascii="Times New Roman" w:hAnsi="Times New Roman"/>
                <w:color w:val="000000"/>
                <w:sz w:val="24"/>
                <w:szCs w:val="24"/>
                <w:lang w:eastAsia="ru-RU"/>
              </w:rPr>
            </w:pPr>
            <w:r>
              <w:rPr>
                <w:rFonts w:ascii="Times New Roman" w:hAnsi="Times New Roman"/>
                <w:color w:val="000000"/>
                <w:sz w:val="24"/>
                <w:szCs w:val="24"/>
                <w:lang w:eastAsia="ru-RU"/>
              </w:rPr>
              <w:t>г. Куйбышев</w:t>
            </w:r>
          </w:p>
        </w:tc>
        <w:tc>
          <w:tcPr>
            <w:tcW w:w="1070" w:type="dxa"/>
            <w:noWrap/>
          </w:tcPr>
          <w:p w:rsidR="002D1E45" w:rsidRPr="00C96072" w:rsidRDefault="002D1E45" w:rsidP="008472BD">
            <w:pPr>
              <w:spacing w:after="0" w:line="240" w:lineRule="auto"/>
              <w:jc w:val="center"/>
              <w:rPr>
                <w:rFonts w:ascii="Times New Roman" w:hAnsi="Times New Roman"/>
                <w:sz w:val="24"/>
                <w:szCs w:val="24"/>
                <w:lang w:eastAsia="ru-RU"/>
              </w:rPr>
            </w:pPr>
            <w:r w:rsidRPr="008472BD">
              <w:rPr>
                <w:rFonts w:ascii="Times New Roman" w:hAnsi="Times New Roman"/>
                <w:sz w:val="24"/>
                <w:szCs w:val="24"/>
                <w:lang w:eastAsia="ru-RU"/>
              </w:rPr>
              <w:t>3880</w:t>
            </w:r>
          </w:p>
        </w:tc>
        <w:tc>
          <w:tcPr>
            <w:tcW w:w="1953" w:type="dxa"/>
            <w:noWrap/>
          </w:tcPr>
          <w:p w:rsidR="002D1E45" w:rsidRPr="00C96072" w:rsidRDefault="002D1E45" w:rsidP="008472BD">
            <w:pPr>
              <w:spacing w:after="0" w:line="240" w:lineRule="auto"/>
              <w:jc w:val="center"/>
              <w:rPr>
                <w:rFonts w:ascii="Times New Roman" w:hAnsi="Times New Roman"/>
                <w:sz w:val="24"/>
                <w:szCs w:val="24"/>
                <w:lang w:eastAsia="ru-RU"/>
              </w:rPr>
            </w:pPr>
            <w:r w:rsidRPr="008472BD">
              <w:rPr>
                <w:rFonts w:ascii="Times New Roman" w:hAnsi="Times New Roman"/>
                <w:sz w:val="24"/>
                <w:szCs w:val="24"/>
                <w:lang w:eastAsia="ru-RU"/>
              </w:rPr>
              <w:t>3506</w:t>
            </w:r>
          </w:p>
        </w:tc>
        <w:tc>
          <w:tcPr>
            <w:tcW w:w="2029" w:type="dxa"/>
            <w:noWrap/>
          </w:tcPr>
          <w:p w:rsidR="002D1E45" w:rsidRPr="00C96072" w:rsidRDefault="002D1E45" w:rsidP="008472BD">
            <w:pPr>
              <w:spacing w:after="0" w:line="240" w:lineRule="auto"/>
              <w:jc w:val="center"/>
              <w:rPr>
                <w:rFonts w:ascii="Times New Roman" w:hAnsi="Times New Roman"/>
                <w:sz w:val="24"/>
                <w:szCs w:val="24"/>
                <w:lang w:eastAsia="ru-RU"/>
              </w:rPr>
            </w:pPr>
            <w:r w:rsidRPr="008472BD">
              <w:rPr>
                <w:rFonts w:ascii="Times New Roman" w:hAnsi="Times New Roman"/>
                <w:sz w:val="24"/>
                <w:szCs w:val="24"/>
                <w:lang w:eastAsia="ru-RU"/>
              </w:rPr>
              <w:t>3389</w:t>
            </w:r>
          </w:p>
        </w:tc>
      </w:tr>
    </w:tbl>
    <w:p w:rsidR="002D1E45" w:rsidRDefault="002D1E45" w:rsidP="003A7901">
      <w:pPr>
        <w:autoSpaceDE w:val="0"/>
        <w:autoSpaceDN w:val="0"/>
        <w:adjustRightInd w:val="0"/>
        <w:spacing w:after="0" w:line="360" w:lineRule="auto"/>
        <w:ind w:firstLine="709"/>
        <w:jc w:val="right"/>
        <w:rPr>
          <w:rFonts w:ascii="Times New Roman" w:hAnsi="Times New Roman"/>
          <w:sz w:val="28"/>
          <w:szCs w:val="24"/>
          <w:lang w:eastAsia="ru-RU"/>
        </w:rPr>
      </w:pPr>
    </w:p>
    <w:p w:rsidR="002D1E45" w:rsidRDefault="002D1E45" w:rsidP="003A7901">
      <w:pPr>
        <w:autoSpaceDE w:val="0"/>
        <w:autoSpaceDN w:val="0"/>
        <w:adjustRightInd w:val="0"/>
        <w:spacing w:after="0" w:line="360" w:lineRule="auto"/>
        <w:ind w:firstLine="709"/>
        <w:jc w:val="right"/>
        <w:rPr>
          <w:rFonts w:ascii="Times New Roman" w:hAnsi="Times New Roman"/>
          <w:sz w:val="28"/>
          <w:szCs w:val="24"/>
          <w:lang w:eastAsia="ru-RU"/>
        </w:rPr>
      </w:pPr>
    </w:p>
    <w:p w:rsidR="002D1E45" w:rsidRPr="003A7901" w:rsidRDefault="002D1E45" w:rsidP="003A7901">
      <w:pPr>
        <w:autoSpaceDE w:val="0"/>
        <w:autoSpaceDN w:val="0"/>
        <w:adjustRightInd w:val="0"/>
        <w:spacing w:after="0" w:line="360" w:lineRule="auto"/>
        <w:ind w:firstLine="709"/>
        <w:jc w:val="right"/>
        <w:rPr>
          <w:rFonts w:ascii="Times New Roman" w:hAnsi="Times New Roman"/>
          <w:sz w:val="28"/>
          <w:szCs w:val="24"/>
          <w:lang w:eastAsia="ru-RU"/>
        </w:rPr>
      </w:pPr>
      <w:r w:rsidRPr="003A7901">
        <w:rPr>
          <w:rFonts w:ascii="Times New Roman" w:hAnsi="Times New Roman"/>
          <w:sz w:val="28"/>
          <w:szCs w:val="24"/>
          <w:lang w:eastAsia="ru-RU"/>
        </w:rPr>
        <w:t xml:space="preserve">Таблица </w:t>
      </w:r>
      <w:r w:rsidRPr="003A7901">
        <w:rPr>
          <w:rFonts w:ascii="Times New Roman" w:hAnsi="Times New Roman"/>
          <w:sz w:val="28"/>
          <w:szCs w:val="24"/>
          <w:lang w:eastAsia="ru-RU"/>
        </w:rPr>
        <w:fldChar w:fldCharType="begin"/>
      </w:r>
      <w:r w:rsidRPr="003A7901">
        <w:rPr>
          <w:rFonts w:ascii="Times New Roman" w:hAnsi="Times New Roman"/>
          <w:sz w:val="28"/>
          <w:szCs w:val="24"/>
          <w:lang w:eastAsia="ru-RU"/>
        </w:rPr>
        <w:instrText xml:space="preserve"> SEQ Таблица \* ARABIC </w:instrText>
      </w:r>
      <w:r w:rsidRPr="003A7901">
        <w:rPr>
          <w:rFonts w:ascii="Times New Roman" w:hAnsi="Times New Roman"/>
          <w:sz w:val="28"/>
          <w:szCs w:val="24"/>
          <w:lang w:eastAsia="ru-RU"/>
        </w:rPr>
        <w:fldChar w:fldCharType="separate"/>
      </w:r>
      <w:r>
        <w:rPr>
          <w:rFonts w:ascii="Times New Roman" w:hAnsi="Times New Roman"/>
          <w:noProof/>
          <w:sz w:val="28"/>
          <w:szCs w:val="24"/>
          <w:lang w:eastAsia="ru-RU"/>
        </w:rPr>
        <w:t>47</w:t>
      </w:r>
      <w:r w:rsidRPr="003A7901">
        <w:rPr>
          <w:rFonts w:ascii="Times New Roman" w:hAnsi="Times New Roman"/>
          <w:sz w:val="28"/>
          <w:szCs w:val="24"/>
          <w:lang w:eastAsia="ru-RU"/>
        </w:rPr>
        <w:fldChar w:fldCharType="end"/>
      </w:r>
    </w:p>
    <w:p w:rsidR="002D1E45" w:rsidRPr="003A7901" w:rsidRDefault="002D1E45" w:rsidP="003B52A8">
      <w:pPr>
        <w:spacing w:line="240" w:lineRule="auto"/>
        <w:jc w:val="center"/>
        <w:rPr>
          <w:rFonts w:ascii="Times New Roman" w:hAnsi="Times New Roman"/>
          <w:sz w:val="28"/>
          <w:szCs w:val="24"/>
          <w:lang w:eastAsia="ru-RU"/>
        </w:rPr>
      </w:pPr>
      <w:r w:rsidRPr="003A7901">
        <w:rPr>
          <w:rFonts w:ascii="Times New Roman" w:hAnsi="Times New Roman"/>
          <w:sz w:val="28"/>
          <w:szCs w:val="24"/>
          <w:lang w:eastAsia="ru-RU"/>
        </w:rPr>
        <w:t>Прогноз численности населения в</w:t>
      </w:r>
      <w:r>
        <w:rPr>
          <w:rFonts w:ascii="Times New Roman" w:hAnsi="Times New Roman"/>
          <w:sz w:val="28"/>
          <w:szCs w:val="24"/>
          <w:lang w:eastAsia="ru-RU"/>
        </w:rPr>
        <w:t> </w:t>
      </w:r>
      <w:r w:rsidRPr="003A7901">
        <w:rPr>
          <w:rFonts w:ascii="Times New Roman" w:hAnsi="Times New Roman"/>
          <w:sz w:val="28"/>
          <w:szCs w:val="24"/>
          <w:lang w:eastAsia="ru-RU"/>
        </w:rPr>
        <w:t xml:space="preserve">школьном возрасте (8-17 лет) </w:t>
      </w:r>
      <w:r>
        <w:rPr>
          <w:rFonts w:ascii="Times New Roman" w:hAnsi="Times New Roman"/>
          <w:sz w:val="28"/>
          <w:szCs w:val="24"/>
          <w:lang w:eastAsia="ru-RU"/>
        </w:rPr>
        <w:t>в анализируемых населённых пунктах</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14"/>
        <w:gridCol w:w="1070"/>
        <w:gridCol w:w="1953"/>
        <w:gridCol w:w="2029"/>
      </w:tblGrid>
      <w:tr w:rsidR="002D1E45" w:rsidRPr="003A7901" w:rsidTr="00FF6F3F">
        <w:trPr>
          <w:trHeight w:val="612"/>
          <w:jc w:val="center"/>
        </w:trPr>
        <w:tc>
          <w:tcPr>
            <w:tcW w:w="3114" w:type="dxa"/>
            <w:noWrap/>
            <w:vAlign w:val="center"/>
          </w:tcPr>
          <w:p w:rsidR="002D1E45" w:rsidRPr="003A7901" w:rsidRDefault="002D1E45" w:rsidP="00CD676D">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Населённый пункт</w:t>
            </w:r>
          </w:p>
        </w:tc>
        <w:tc>
          <w:tcPr>
            <w:tcW w:w="1070" w:type="dxa"/>
            <w:noWrap/>
            <w:vAlign w:val="center"/>
          </w:tcPr>
          <w:p w:rsidR="002D1E45" w:rsidRPr="003A7901" w:rsidRDefault="002D1E45" w:rsidP="00CD676D">
            <w:pPr>
              <w:spacing w:after="0" w:line="240" w:lineRule="auto"/>
              <w:jc w:val="center"/>
              <w:rPr>
                <w:rFonts w:ascii="Times New Roman" w:hAnsi="Times New Roman"/>
                <w:sz w:val="24"/>
                <w:szCs w:val="24"/>
                <w:lang w:eastAsia="ru-RU"/>
              </w:rPr>
            </w:pPr>
            <w:r w:rsidRPr="003A7901">
              <w:rPr>
                <w:rFonts w:ascii="Times New Roman" w:hAnsi="Times New Roman"/>
                <w:sz w:val="24"/>
                <w:szCs w:val="24"/>
                <w:lang w:eastAsia="ru-RU"/>
              </w:rPr>
              <w:t>20</w:t>
            </w:r>
            <w:r>
              <w:rPr>
                <w:rFonts w:ascii="Times New Roman" w:hAnsi="Times New Roman"/>
                <w:sz w:val="24"/>
                <w:szCs w:val="24"/>
                <w:lang w:eastAsia="ru-RU"/>
              </w:rPr>
              <w:t xml:space="preserve">20 </w:t>
            </w:r>
            <w:r w:rsidRPr="003A7901">
              <w:rPr>
                <w:rFonts w:ascii="Times New Roman" w:hAnsi="Times New Roman"/>
                <w:sz w:val="24"/>
                <w:szCs w:val="24"/>
                <w:lang w:eastAsia="ru-RU"/>
              </w:rPr>
              <w:t>г., чел.</w:t>
            </w:r>
          </w:p>
        </w:tc>
        <w:tc>
          <w:tcPr>
            <w:tcW w:w="1953" w:type="dxa"/>
            <w:noWrap/>
            <w:vAlign w:val="center"/>
          </w:tcPr>
          <w:p w:rsidR="002D1E45" w:rsidRPr="003A7901" w:rsidRDefault="002D1E45" w:rsidP="00CD676D">
            <w:pPr>
              <w:spacing w:after="0" w:line="240" w:lineRule="auto"/>
              <w:jc w:val="center"/>
              <w:rPr>
                <w:rFonts w:ascii="Times New Roman" w:hAnsi="Times New Roman"/>
                <w:sz w:val="24"/>
                <w:szCs w:val="24"/>
                <w:lang w:eastAsia="ru-RU"/>
              </w:rPr>
            </w:pPr>
            <w:r w:rsidRPr="003A7901">
              <w:rPr>
                <w:rFonts w:ascii="Times New Roman" w:hAnsi="Times New Roman"/>
                <w:sz w:val="24"/>
                <w:szCs w:val="24"/>
                <w:lang w:eastAsia="ru-RU"/>
              </w:rPr>
              <w:t>Первая очередь, 20</w:t>
            </w:r>
            <w:r>
              <w:rPr>
                <w:rFonts w:ascii="Times New Roman" w:hAnsi="Times New Roman"/>
                <w:sz w:val="24"/>
                <w:szCs w:val="24"/>
                <w:lang w:eastAsia="ru-RU"/>
              </w:rPr>
              <w:t>30</w:t>
            </w:r>
            <w:r w:rsidRPr="003A7901">
              <w:rPr>
                <w:rFonts w:ascii="Times New Roman" w:hAnsi="Times New Roman"/>
                <w:sz w:val="24"/>
                <w:szCs w:val="24"/>
                <w:lang w:eastAsia="ru-RU"/>
              </w:rPr>
              <w:t xml:space="preserve"> г., чел.</w:t>
            </w:r>
          </w:p>
        </w:tc>
        <w:tc>
          <w:tcPr>
            <w:tcW w:w="2029" w:type="dxa"/>
            <w:noWrap/>
            <w:vAlign w:val="center"/>
          </w:tcPr>
          <w:p w:rsidR="002D1E45" w:rsidRPr="003A7901" w:rsidRDefault="002D1E45" w:rsidP="00CD676D">
            <w:pPr>
              <w:spacing w:after="0" w:line="240" w:lineRule="auto"/>
              <w:jc w:val="center"/>
              <w:rPr>
                <w:rFonts w:ascii="Times New Roman" w:hAnsi="Times New Roman"/>
                <w:sz w:val="24"/>
                <w:szCs w:val="24"/>
                <w:lang w:eastAsia="ru-RU"/>
              </w:rPr>
            </w:pPr>
            <w:r w:rsidRPr="003A7901">
              <w:rPr>
                <w:rFonts w:ascii="Times New Roman" w:hAnsi="Times New Roman"/>
                <w:sz w:val="24"/>
                <w:szCs w:val="24"/>
                <w:lang w:eastAsia="ru-RU"/>
              </w:rPr>
              <w:t>Расчётный срок, 20</w:t>
            </w:r>
            <w:r>
              <w:rPr>
                <w:rFonts w:ascii="Times New Roman" w:hAnsi="Times New Roman"/>
                <w:sz w:val="24"/>
                <w:szCs w:val="24"/>
                <w:lang w:eastAsia="ru-RU"/>
              </w:rPr>
              <w:t>40</w:t>
            </w:r>
            <w:r w:rsidRPr="003A7901">
              <w:rPr>
                <w:rFonts w:ascii="Times New Roman" w:hAnsi="Times New Roman"/>
                <w:sz w:val="24"/>
                <w:szCs w:val="24"/>
                <w:lang w:eastAsia="ru-RU"/>
              </w:rPr>
              <w:t xml:space="preserve"> г., чел.</w:t>
            </w:r>
          </w:p>
        </w:tc>
      </w:tr>
      <w:tr w:rsidR="002D1E45" w:rsidRPr="003A7901" w:rsidTr="00017FC8">
        <w:trPr>
          <w:trHeight w:val="255"/>
          <w:jc w:val="center"/>
        </w:trPr>
        <w:tc>
          <w:tcPr>
            <w:tcW w:w="3114" w:type="dxa"/>
            <w:noWrap/>
          </w:tcPr>
          <w:p w:rsidR="002D1E45" w:rsidRPr="00380BE5" w:rsidRDefault="002D1E45" w:rsidP="008472BD">
            <w:pPr>
              <w:spacing w:after="0" w:line="240" w:lineRule="auto"/>
              <w:ind w:left="57" w:right="57"/>
              <w:rPr>
                <w:rFonts w:ascii="Times New Roman" w:hAnsi="Times New Roman"/>
                <w:sz w:val="24"/>
                <w:szCs w:val="24"/>
                <w:lang w:eastAsia="ru-RU"/>
              </w:rPr>
            </w:pPr>
            <w:r>
              <w:rPr>
                <w:rFonts w:ascii="Times New Roman" w:hAnsi="Times New Roman"/>
                <w:color w:val="000000"/>
                <w:sz w:val="24"/>
                <w:szCs w:val="24"/>
                <w:lang w:eastAsia="ru-RU"/>
              </w:rPr>
              <w:t>г. Куйбышев</w:t>
            </w:r>
          </w:p>
        </w:tc>
        <w:tc>
          <w:tcPr>
            <w:tcW w:w="1070" w:type="dxa"/>
            <w:tcBorders>
              <w:left w:val="nil"/>
            </w:tcBorders>
            <w:noWrap/>
          </w:tcPr>
          <w:p w:rsidR="002D1E45" w:rsidRPr="00FF6F3F" w:rsidRDefault="002D1E45" w:rsidP="008472BD">
            <w:pPr>
              <w:spacing w:after="0" w:line="240" w:lineRule="auto"/>
              <w:jc w:val="center"/>
              <w:rPr>
                <w:rFonts w:ascii="Times New Roman" w:hAnsi="Times New Roman"/>
                <w:sz w:val="24"/>
                <w:szCs w:val="24"/>
                <w:lang w:eastAsia="ru-RU"/>
              </w:rPr>
            </w:pPr>
            <w:r w:rsidRPr="008472BD">
              <w:rPr>
                <w:rFonts w:ascii="Times New Roman" w:hAnsi="Times New Roman"/>
                <w:sz w:val="24"/>
                <w:szCs w:val="24"/>
                <w:lang w:eastAsia="ru-RU"/>
              </w:rPr>
              <w:t>5124</w:t>
            </w:r>
          </w:p>
        </w:tc>
        <w:tc>
          <w:tcPr>
            <w:tcW w:w="1953" w:type="dxa"/>
            <w:noWrap/>
          </w:tcPr>
          <w:p w:rsidR="002D1E45" w:rsidRPr="00FF6F3F" w:rsidRDefault="002D1E45" w:rsidP="008472BD">
            <w:pPr>
              <w:spacing w:after="0" w:line="240" w:lineRule="auto"/>
              <w:jc w:val="center"/>
              <w:rPr>
                <w:rFonts w:ascii="Times New Roman" w:hAnsi="Times New Roman"/>
                <w:sz w:val="24"/>
                <w:szCs w:val="24"/>
                <w:lang w:eastAsia="ru-RU"/>
              </w:rPr>
            </w:pPr>
            <w:r w:rsidRPr="008472BD">
              <w:rPr>
                <w:rFonts w:ascii="Times New Roman" w:hAnsi="Times New Roman"/>
                <w:sz w:val="24"/>
                <w:szCs w:val="24"/>
                <w:lang w:eastAsia="ru-RU"/>
              </w:rPr>
              <w:t>4744</w:t>
            </w:r>
          </w:p>
        </w:tc>
        <w:tc>
          <w:tcPr>
            <w:tcW w:w="2029" w:type="dxa"/>
            <w:noWrap/>
          </w:tcPr>
          <w:p w:rsidR="002D1E45" w:rsidRPr="00FF6F3F" w:rsidRDefault="002D1E45" w:rsidP="008472BD">
            <w:pPr>
              <w:spacing w:after="0" w:line="240" w:lineRule="auto"/>
              <w:jc w:val="center"/>
              <w:rPr>
                <w:rFonts w:ascii="Times New Roman" w:hAnsi="Times New Roman"/>
                <w:sz w:val="24"/>
                <w:szCs w:val="24"/>
                <w:lang w:eastAsia="ru-RU"/>
              </w:rPr>
            </w:pPr>
            <w:r w:rsidRPr="008472BD">
              <w:rPr>
                <w:rFonts w:ascii="Times New Roman" w:hAnsi="Times New Roman"/>
                <w:sz w:val="24"/>
                <w:szCs w:val="24"/>
                <w:lang w:eastAsia="ru-RU"/>
              </w:rPr>
              <w:t>4285</w:t>
            </w:r>
          </w:p>
        </w:tc>
      </w:tr>
    </w:tbl>
    <w:p w:rsidR="002D1E45" w:rsidRPr="003A7901" w:rsidRDefault="002D1E45" w:rsidP="003A7901">
      <w:pPr>
        <w:spacing w:after="0" w:line="360" w:lineRule="auto"/>
        <w:jc w:val="center"/>
        <w:rPr>
          <w:rFonts w:ascii="Times New Roman" w:hAnsi="Times New Roman"/>
          <w:sz w:val="24"/>
          <w:szCs w:val="24"/>
          <w:lang w:eastAsia="ru-RU"/>
        </w:rPr>
      </w:pPr>
    </w:p>
    <w:p w:rsidR="002D1E45" w:rsidRDefault="002D1E45" w:rsidP="003A7901">
      <w:pPr>
        <w:spacing w:after="0" w:line="240" w:lineRule="auto"/>
        <w:ind w:firstLine="709"/>
        <w:contextualSpacing/>
        <w:jc w:val="both"/>
        <w:rPr>
          <w:rFonts w:ascii="Times New Roman" w:hAnsi="Times New Roman"/>
          <w:sz w:val="28"/>
          <w:szCs w:val="24"/>
          <w:lang w:eastAsia="ru-RU"/>
        </w:rPr>
      </w:pPr>
      <w:r w:rsidRPr="003A7901">
        <w:rPr>
          <w:rFonts w:ascii="Times New Roman" w:hAnsi="Times New Roman"/>
          <w:sz w:val="28"/>
          <w:szCs w:val="24"/>
          <w:lang w:eastAsia="ru-RU"/>
        </w:rPr>
        <w:t>В динамике численности населения в</w:t>
      </w:r>
      <w:r>
        <w:rPr>
          <w:rFonts w:ascii="Times New Roman" w:hAnsi="Times New Roman"/>
          <w:sz w:val="28"/>
          <w:szCs w:val="24"/>
          <w:lang w:eastAsia="ru-RU"/>
        </w:rPr>
        <w:t> </w:t>
      </w:r>
      <w:r w:rsidRPr="003A7901">
        <w:rPr>
          <w:rFonts w:ascii="Times New Roman" w:hAnsi="Times New Roman"/>
          <w:sz w:val="28"/>
          <w:szCs w:val="24"/>
          <w:lang w:eastAsia="ru-RU"/>
        </w:rPr>
        <w:t>школьном и</w:t>
      </w:r>
      <w:r>
        <w:rPr>
          <w:rFonts w:ascii="Times New Roman" w:hAnsi="Times New Roman"/>
          <w:sz w:val="28"/>
          <w:szCs w:val="24"/>
          <w:lang w:eastAsia="ru-RU"/>
        </w:rPr>
        <w:t> </w:t>
      </w:r>
      <w:r w:rsidRPr="003A7901">
        <w:rPr>
          <w:rFonts w:ascii="Times New Roman" w:hAnsi="Times New Roman"/>
          <w:sz w:val="28"/>
          <w:szCs w:val="24"/>
          <w:lang w:eastAsia="ru-RU"/>
        </w:rPr>
        <w:t>дошкольном возрастах наблюдаются примерно те</w:t>
      </w:r>
      <w:r>
        <w:rPr>
          <w:rFonts w:ascii="Times New Roman" w:hAnsi="Times New Roman"/>
          <w:sz w:val="28"/>
          <w:szCs w:val="24"/>
          <w:lang w:eastAsia="ru-RU"/>
        </w:rPr>
        <w:t> </w:t>
      </w:r>
      <w:r w:rsidRPr="003A7901">
        <w:rPr>
          <w:rFonts w:ascii="Times New Roman" w:hAnsi="Times New Roman"/>
          <w:sz w:val="28"/>
          <w:szCs w:val="24"/>
          <w:lang w:eastAsia="ru-RU"/>
        </w:rPr>
        <w:t>же</w:t>
      </w:r>
      <w:r>
        <w:rPr>
          <w:rFonts w:ascii="Times New Roman" w:hAnsi="Times New Roman"/>
          <w:sz w:val="28"/>
          <w:szCs w:val="24"/>
          <w:lang w:eastAsia="ru-RU"/>
        </w:rPr>
        <w:t> </w:t>
      </w:r>
      <w:r w:rsidRPr="003A7901">
        <w:rPr>
          <w:rFonts w:ascii="Times New Roman" w:hAnsi="Times New Roman"/>
          <w:sz w:val="28"/>
          <w:szCs w:val="24"/>
          <w:lang w:eastAsia="ru-RU"/>
        </w:rPr>
        <w:t>тенденции, что и</w:t>
      </w:r>
      <w:r>
        <w:rPr>
          <w:rFonts w:ascii="Times New Roman" w:hAnsi="Times New Roman"/>
          <w:sz w:val="28"/>
          <w:szCs w:val="24"/>
          <w:lang w:eastAsia="ru-RU"/>
        </w:rPr>
        <w:t> </w:t>
      </w:r>
      <w:r w:rsidRPr="003A7901">
        <w:rPr>
          <w:rFonts w:ascii="Times New Roman" w:hAnsi="Times New Roman"/>
          <w:sz w:val="28"/>
          <w:szCs w:val="24"/>
          <w:lang w:eastAsia="ru-RU"/>
        </w:rPr>
        <w:t>в</w:t>
      </w:r>
      <w:r>
        <w:rPr>
          <w:rFonts w:ascii="Times New Roman" w:hAnsi="Times New Roman"/>
          <w:sz w:val="28"/>
          <w:szCs w:val="24"/>
          <w:lang w:eastAsia="ru-RU"/>
        </w:rPr>
        <w:t> </w:t>
      </w:r>
      <w:r w:rsidRPr="003A7901">
        <w:rPr>
          <w:rFonts w:ascii="Times New Roman" w:hAnsi="Times New Roman"/>
          <w:sz w:val="28"/>
          <w:szCs w:val="24"/>
          <w:lang w:eastAsia="ru-RU"/>
        </w:rPr>
        <w:t xml:space="preserve">динамике численности всего населения. </w:t>
      </w:r>
    </w:p>
    <w:p w:rsidR="002D1E45" w:rsidRPr="003A7901" w:rsidRDefault="002D1E45" w:rsidP="003A7901">
      <w:pPr>
        <w:spacing w:after="0" w:line="240" w:lineRule="auto"/>
        <w:ind w:firstLine="709"/>
        <w:contextualSpacing/>
        <w:jc w:val="both"/>
        <w:rPr>
          <w:rFonts w:ascii="Times New Roman" w:hAnsi="Times New Roman"/>
          <w:sz w:val="28"/>
          <w:szCs w:val="24"/>
          <w:lang w:eastAsia="ru-RU"/>
        </w:rPr>
      </w:pPr>
    </w:p>
    <w:p w:rsidR="002D1E45" w:rsidRPr="00DA4785" w:rsidRDefault="002D1E45" w:rsidP="00D05D06">
      <w:pPr>
        <w:pStyle w:val="Heading1"/>
        <w:numPr>
          <w:ilvl w:val="0"/>
          <w:numId w:val="65"/>
        </w:numPr>
        <w:spacing w:after="240" w:line="240" w:lineRule="auto"/>
        <w:rPr>
          <w:b/>
          <w:sz w:val="32"/>
        </w:rPr>
      </w:pPr>
      <w:bookmarkStart w:id="237" w:name="_Toc468971946"/>
      <w:bookmarkStart w:id="238" w:name="_Toc475037112"/>
      <w:bookmarkStart w:id="239" w:name="_Toc84936053"/>
      <w:r w:rsidRPr="00DA4785">
        <w:rPr>
          <w:b/>
          <w:sz w:val="32"/>
        </w:rPr>
        <w:t xml:space="preserve">Проектное решение территориального развития </w:t>
      </w:r>
      <w:bookmarkEnd w:id="237"/>
      <w:bookmarkEnd w:id="238"/>
      <w:r>
        <w:rPr>
          <w:b/>
          <w:sz w:val="32"/>
        </w:rPr>
        <w:t>города Куйбышева</w:t>
      </w:r>
      <w:bookmarkEnd w:id="239"/>
    </w:p>
    <w:p w:rsidR="002D1E45" w:rsidRPr="003A7901" w:rsidRDefault="002D1E45" w:rsidP="003A7901">
      <w:pPr>
        <w:spacing w:after="0" w:line="240" w:lineRule="auto"/>
        <w:ind w:firstLine="709"/>
        <w:jc w:val="both"/>
        <w:rPr>
          <w:rFonts w:ascii="Times New Roman" w:hAnsi="Times New Roman"/>
          <w:sz w:val="28"/>
          <w:szCs w:val="28"/>
        </w:rPr>
      </w:pPr>
      <w:r w:rsidRPr="003A7901">
        <w:rPr>
          <w:rFonts w:ascii="Times New Roman" w:hAnsi="Times New Roman"/>
          <w:sz w:val="28"/>
          <w:szCs w:val="28"/>
        </w:rPr>
        <w:t xml:space="preserve">На территории </w:t>
      </w:r>
      <w:r>
        <w:rPr>
          <w:rFonts w:ascii="Times New Roman" w:hAnsi="Times New Roman"/>
          <w:sz w:val="28"/>
          <w:szCs w:val="24"/>
          <w:lang w:eastAsia="ru-RU"/>
        </w:rPr>
        <w:t xml:space="preserve">города </w:t>
      </w:r>
      <w:r w:rsidRPr="003A7901">
        <w:rPr>
          <w:rFonts w:ascii="Times New Roman" w:hAnsi="Times New Roman"/>
          <w:sz w:val="28"/>
          <w:szCs w:val="28"/>
        </w:rPr>
        <w:t>в</w:t>
      </w:r>
      <w:r>
        <w:rPr>
          <w:rFonts w:ascii="Times New Roman" w:hAnsi="Times New Roman"/>
          <w:sz w:val="28"/>
          <w:szCs w:val="24"/>
          <w:lang w:eastAsia="ru-RU"/>
        </w:rPr>
        <w:t> </w:t>
      </w:r>
      <w:r w:rsidRPr="003A7901">
        <w:rPr>
          <w:rFonts w:ascii="Times New Roman" w:hAnsi="Times New Roman"/>
          <w:sz w:val="28"/>
          <w:szCs w:val="28"/>
        </w:rPr>
        <w:t xml:space="preserve">части, касающейся </w:t>
      </w:r>
      <w:r>
        <w:rPr>
          <w:rFonts w:ascii="Times New Roman" w:hAnsi="Times New Roman"/>
          <w:sz w:val="28"/>
          <w:szCs w:val="28"/>
        </w:rPr>
        <w:t>города Куйбышева,</w:t>
      </w:r>
      <w:r w:rsidRPr="003A7901">
        <w:rPr>
          <w:rFonts w:ascii="Times New Roman" w:hAnsi="Times New Roman"/>
          <w:sz w:val="28"/>
          <w:szCs w:val="28"/>
        </w:rPr>
        <w:t xml:space="preserve"> действуют следующие </w:t>
      </w:r>
      <w:r>
        <w:rPr>
          <w:rFonts w:ascii="Times New Roman" w:hAnsi="Times New Roman"/>
          <w:sz w:val="28"/>
          <w:szCs w:val="28"/>
        </w:rPr>
        <w:t xml:space="preserve">региональные </w:t>
      </w:r>
      <w:r w:rsidRPr="003A7901">
        <w:rPr>
          <w:rFonts w:ascii="Times New Roman" w:hAnsi="Times New Roman"/>
          <w:sz w:val="28"/>
          <w:szCs w:val="28"/>
        </w:rPr>
        <w:t>стратегические документы в</w:t>
      </w:r>
      <w:r>
        <w:rPr>
          <w:rFonts w:ascii="Times New Roman" w:hAnsi="Times New Roman"/>
          <w:sz w:val="28"/>
          <w:szCs w:val="28"/>
        </w:rPr>
        <w:t> </w:t>
      </w:r>
      <w:r w:rsidRPr="003A7901">
        <w:rPr>
          <w:rFonts w:ascii="Times New Roman" w:hAnsi="Times New Roman"/>
          <w:sz w:val="28"/>
          <w:szCs w:val="28"/>
        </w:rPr>
        <w:t xml:space="preserve">сфере социально-экономического развития, </w:t>
      </w:r>
      <w:r>
        <w:rPr>
          <w:rFonts w:ascii="Times New Roman" w:hAnsi="Times New Roman"/>
          <w:sz w:val="28"/>
          <w:szCs w:val="28"/>
        </w:rPr>
        <w:t xml:space="preserve">а также документы территориального планирования, </w:t>
      </w:r>
      <w:r w:rsidRPr="003A7901">
        <w:rPr>
          <w:rFonts w:ascii="Times New Roman" w:hAnsi="Times New Roman"/>
          <w:sz w:val="28"/>
          <w:szCs w:val="28"/>
        </w:rPr>
        <w:t>в</w:t>
      </w:r>
      <w:r>
        <w:rPr>
          <w:rFonts w:ascii="Times New Roman" w:hAnsi="Times New Roman"/>
          <w:sz w:val="28"/>
          <w:szCs w:val="28"/>
        </w:rPr>
        <w:t> </w:t>
      </w:r>
      <w:r w:rsidRPr="003A7901">
        <w:rPr>
          <w:rFonts w:ascii="Times New Roman" w:hAnsi="Times New Roman"/>
          <w:sz w:val="28"/>
          <w:szCs w:val="28"/>
        </w:rPr>
        <w:t>соответствии с</w:t>
      </w:r>
      <w:r>
        <w:rPr>
          <w:rFonts w:ascii="Times New Roman" w:hAnsi="Times New Roman"/>
          <w:sz w:val="28"/>
          <w:szCs w:val="28"/>
        </w:rPr>
        <w:t> </w:t>
      </w:r>
      <w:r w:rsidRPr="003A7901">
        <w:rPr>
          <w:rFonts w:ascii="Times New Roman" w:hAnsi="Times New Roman"/>
          <w:sz w:val="28"/>
          <w:szCs w:val="28"/>
        </w:rPr>
        <w:t>которыми велась разработка Генерального плана:</w:t>
      </w:r>
    </w:p>
    <w:p w:rsidR="002D1E45" w:rsidRDefault="002D1E45" w:rsidP="0007185F">
      <w:pPr>
        <w:numPr>
          <w:ilvl w:val="0"/>
          <w:numId w:val="24"/>
        </w:numPr>
        <w:tabs>
          <w:tab w:val="left" w:pos="1134"/>
        </w:tabs>
        <w:spacing w:after="0" w:line="240" w:lineRule="auto"/>
        <w:jc w:val="both"/>
        <w:rPr>
          <w:rFonts w:ascii="Times New Roman" w:hAnsi="Times New Roman"/>
          <w:sz w:val="28"/>
          <w:szCs w:val="28"/>
        </w:rPr>
      </w:pPr>
      <w:r>
        <w:rPr>
          <w:rFonts w:ascii="Times New Roman" w:hAnsi="Times New Roman"/>
          <w:sz w:val="28"/>
          <w:szCs w:val="28"/>
        </w:rPr>
        <w:t>Стратегия</w:t>
      </w:r>
      <w:r w:rsidRPr="0007185F">
        <w:rPr>
          <w:rFonts w:ascii="Times New Roman" w:hAnsi="Times New Roman"/>
          <w:sz w:val="28"/>
          <w:szCs w:val="28"/>
        </w:rPr>
        <w:t xml:space="preserve"> </w:t>
      </w:r>
      <w:r w:rsidRPr="00F209DC">
        <w:rPr>
          <w:rFonts w:ascii="Times New Roman" w:hAnsi="Times New Roman"/>
          <w:sz w:val="28"/>
          <w:szCs w:val="28"/>
        </w:rPr>
        <w:t xml:space="preserve">социально-экономического развития </w:t>
      </w:r>
      <w:r>
        <w:rPr>
          <w:rFonts w:ascii="Times New Roman" w:hAnsi="Times New Roman"/>
          <w:sz w:val="28"/>
          <w:szCs w:val="28"/>
        </w:rPr>
        <w:t>Новосибирской</w:t>
      </w:r>
      <w:r w:rsidRPr="00F209DC">
        <w:rPr>
          <w:rFonts w:ascii="Times New Roman" w:hAnsi="Times New Roman"/>
          <w:sz w:val="28"/>
          <w:szCs w:val="28"/>
        </w:rPr>
        <w:t xml:space="preserve"> области на</w:t>
      </w:r>
      <w:r>
        <w:rPr>
          <w:rFonts w:ascii="Times New Roman" w:hAnsi="Times New Roman"/>
          <w:sz w:val="28"/>
          <w:szCs w:val="28"/>
        </w:rPr>
        <w:t> </w:t>
      </w:r>
      <w:r w:rsidRPr="00F209DC">
        <w:rPr>
          <w:rFonts w:ascii="Times New Roman" w:hAnsi="Times New Roman"/>
          <w:sz w:val="28"/>
          <w:szCs w:val="28"/>
        </w:rPr>
        <w:t>период до 2030 года, утверждённ</w:t>
      </w:r>
      <w:r>
        <w:rPr>
          <w:rFonts w:ascii="Times New Roman" w:hAnsi="Times New Roman"/>
          <w:sz w:val="28"/>
          <w:szCs w:val="28"/>
        </w:rPr>
        <w:t>ая</w:t>
      </w:r>
      <w:r w:rsidRPr="00F209DC">
        <w:rPr>
          <w:rFonts w:ascii="Times New Roman" w:hAnsi="Times New Roman"/>
          <w:sz w:val="28"/>
          <w:szCs w:val="28"/>
        </w:rPr>
        <w:t xml:space="preserve"> </w:t>
      </w:r>
      <w:r w:rsidRPr="00FF6F3F">
        <w:rPr>
          <w:rFonts w:ascii="Times New Roman" w:hAnsi="Times New Roman"/>
          <w:sz w:val="28"/>
          <w:szCs w:val="28"/>
        </w:rPr>
        <w:t>Постановление</w:t>
      </w:r>
      <w:r>
        <w:rPr>
          <w:rFonts w:ascii="Times New Roman" w:hAnsi="Times New Roman"/>
          <w:sz w:val="28"/>
          <w:szCs w:val="28"/>
        </w:rPr>
        <w:t>м</w:t>
      </w:r>
      <w:r w:rsidRPr="00FF6F3F">
        <w:rPr>
          <w:rFonts w:ascii="Times New Roman" w:hAnsi="Times New Roman"/>
          <w:sz w:val="28"/>
          <w:szCs w:val="28"/>
        </w:rPr>
        <w:t xml:space="preserve"> </w:t>
      </w:r>
      <w:r w:rsidRPr="00A61983">
        <w:rPr>
          <w:rFonts w:ascii="Times New Roman" w:hAnsi="Times New Roman"/>
          <w:sz w:val="28"/>
          <w:szCs w:val="28"/>
        </w:rPr>
        <w:t>Правительства Новосибирской области от 19.03.2019 № 105-п</w:t>
      </w:r>
      <w:r>
        <w:rPr>
          <w:rFonts w:ascii="Times New Roman" w:hAnsi="Times New Roman"/>
          <w:sz w:val="28"/>
          <w:szCs w:val="28"/>
        </w:rPr>
        <w:t>;</w:t>
      </w:r>
    </w:p>
    <w:p w:rsidR="002D1E45" w:rsidRPr="003A7901" w:rsidRDefault="002D1E45" w:rsidP="007E6716">
      <w:pPr>
        <w:numPr>
          <w:ilvl w:val="0"/>
          <w:numId w:val="24"/>
        </w:numPr>
        <w:tabs>
          <w:tab w:val="left" w:pos="1134"/>
        </w:tabs>
        <w:spacing w:after="0" w:line="240" w:lineRule="auto"/>
        <w:jc w:val="both"/>
        <w:rPr>
          <w:rFonts w:ascii="Times New Roman" w:hAnsi="Times New Roman"/>
          <w:sz w:val="28"/>
          <w:szCs w:val="28"/>
        </w:rPr>
      </w:pPr>
      <w:r w:rsidRPr="00FF6F3F">
        <w:rPr>
          <w:rFonts w:ascii="Times New Roman" w:hAnsi="Times New Roman"/>
          <w:sz w:val="28"/>
          <w:szCs w:val="28"/>
        </w:rPr>
        <w:t>Инвестиционн</w:t>
      </w:r>
      <w:r>
        <w:rPr>
          <w:rFonts w:ascii="Times New Roman" w:hAnsi="Times New Roman"/>
          <w:sz w:val="28"/>
          <w:szCs w:val="28"/>
        </w:rPr>
        <w:t>ая</w:t>
      </w:r>
      <w:r w:rsidRPr="00FF6F3F">
        <w:rPr>
          <w:rFonts w:ascii="Times New Roman" w:hAnsi="Times New Roman"/>
          <w:sz w:val="28"/>
          <w:szCs w:val="28"/>
        </w:rPr>
        <w:t xml:space="preserve"> стратеги</w:t>
      </w:r>
      <w:r>
        <w:rPr>
          <w:rFonts w:ascii="Times New Roman" w:hAnsi="Times New Roman"/>
          <w:sz w:val="28"/>
          <w:szCs w:val="28"/>
        </w:rPr>
        <w:t>я</w:t>
      </w:r>
      <w:r w:rsidRPr="00FF6F3F">
        <w:rPr>
          <w:rFonts w:ascii="Times New Roman" w:hAnsi="Times New Roman"/>
          <w:sz w:val="28"/>
          <w:szCs w:val="28"/>
        </w:rPr>
        <w:t xml:space="preserve"> Новосибирской области до 2030 года</w:t>
      </w:r>
      <w:r w:rsidRPr="00F209DC">
        <w:rPr>
          <w:rFonts w:ascii="Times New Roman" w:hAnsi="Times New Roman"/>
          <w:sz w:val="28"/>
          <w:szCs w:val="28"/>
        </w:rPr>
        <w:t>, утверждённ</w:t>
      </w:r>
      <w:r>
        <w:rPr>
          <w:rFonts w:ascii="Times New Roman" w:hAnsi="Times New Roman"/>
          <w:sz w:val="28"/>
          <w:szCs w:val="28"/>
        </w:rPr>
        <w:t>ая</w:t>
      </w:r>
      <w:r w:rsidRPr="00F209DC">
        <w:rPr>
          <w:rFonts w:ascii="Times New Roman" w:hAnsi="Times New Roman"/>
          <w:sz w:val="28"/>
          <w:szCs w:val="28"/>
        </w:rPr>
        <w:t xml:space="preserve"> </w:t>
      </w:r>
      <w:r w:rsidRPr="00FF6F3F">
        <w:rPr>
          <w:rFonts w:ascii="Times New Roman" w:hAnsi="Times New Roman"/>
          <w:sz w:val="28"/>
          <w:szCs w:val="28"/>
        </w:rPr>
        <w:t>Постановление</w:t>
      </w:r>
      <w:r>
        <w:rPr>
          <w:rFonts w:ascii="Times New Roman" w:hAnsi="Times New Roman"/>
          <w:sz w:val="28"/>
          <w:szCs w:val="28"/>
        </w:rPr>
        <w:t>м</w:t>
      </w:r>
      <w:r w:rsidRPr="00FF6F3F">
        <w:rPr>
          <w:rFonts w:ascii="Times New Roman" w:hAnsi="Times New Roman"/>
          <w:sz w:val="28"/>
          <w:szCs w:val="28"/>
        </w:rPr>
        <w:t xml:space="preserve"> Правительства Новосибирской области от 25.12.2014 № 541-п</w:t>
      </w:r>
      <w:r w:rsidRPr="003A7901">
        <w:rPr>
          <w:rFonts w:ascii="Times New Roman" w:hAnsi="Times New Roman"/>
          <w:sz w:val="28"/>
          <w:szCs w:val="28"/>
        </w:rPr>
        <w:t>;</w:t>
      </w:r>
    </w:p>
    <w:p w:rsidR="002D1E45" w:rsidRPr="00F209DC" w:rsidRDefault="002D1E45" w:rsidP="00633EC5">
      <w:pPr>
        <w:numPr>
          <w:ilvl w:val="0"/>
          <w:numId w:val="24"/>
        </w:numPr>
        <w:tabs>
          <w:tab w:val="left" w:pos="1134"/>
        </w:tabs>
        <w:spacing w:after="0" w:line="240" w:lineRule="auto"/>
        <w:jc w:val="both"/>
        <w:rPr>
          <w:rFonts w:ascii="Times New Roman" w:hAnsi="Times New Roman"/>
          <w:sz w:val="28"/>
          <w:szCs w:val="28"/>
        </w:rPr>
      </w:pPr>
      <w:r w:rsidRPr="00F209DC">
        <w:rPr>
          <w:rFonts w:ascii="Times New Roman" w:hAnsi="Times New Roman"/>
          <w:sz w:val="28"/>
          <w:szCs w:val="28"/>
        </w:rPr>
        <w:t xml:space="preserve">Схема территориального планирования </w:t>
      </w:r>
      <w:r w:rsidRPr="00FF6F3F">
        <w:rPr>
          <w:rFonts w:ascii="Times New Roman" w:hAnsi="Times New Roman"/>
          <w:sz w:val="28"/>
          <w:szCs w:val="28"/>
        </w:rPr>
        <w:t xml:space="preserve">Новосибирской </w:t>
      </w:r>
      <w:r w:rsidRPr="00F209DC">
        <w:rPr>
          <w:rFonts w:ascii="Times New Roman" w:hAnsi="Times New Roman"/>
          <w:sz w:val="28"/>
          <w:szCs w:val="28"/>
        </w:rPr>
        <w:t xml:space="preserve">области, утверждённая </w:t>
      </w:r>
      <w:r w:rsidRPr="00D91F11">
        <w:rPr>
          <w:rFonts w:ascii="Times New Roman" w:hAnsi="Times New Roman"/>
          <w:sz w:val="28"/>
          <w:szCs w:val="28"/>
        </w:rPr>
        <w:t>Постановление</w:t>
      </w:r>
      <w:r>
        <w:rPr>
          <w:rFonts w:ascii="Times New Roman" w:hAnsi="Times New Roman"/>
          <w:sz w:val="28"/>
          <w:szCs w:val="28"/>
        </w:rPr>
        <w:t>м</w:t>
      </w:r>
      <w:r w:rsidRPr="00D91F11">
        <w:rPr>
          <w:rFonts w:ascii="Times New Roman" w:hAnsi="Times New Roman"/>
          <w:sz w:val="28"/>
          <w:szCs w:val="28"/>
        </w:rPr>
        <w:t xml:space="preserve"> Администрации Новосибирской области от 07.09.2009 № 339-па</w:t>
      </w:r>
      <w:r w:rsidRPr="00F209DC">
        <w:rPr>
          <w:rFonts w:ascii="Times New Roman" w:hAnsi="Times New Roman"/>
          <w:sz w:val="28"/>
          <w:szCs w:val="28"/>
        </w:rPr>
        <w:t>;</w:t>
      </w:r>
    </w:p>
    <w:p w:rsidR="002D1E45" w:rsidRDefault="002D1E45" w:rsidP="000964BF">
      <w:pPr>
        <w:numPr>
          <w:ilvl w:val="0"/>
          <w:numId w:val="24"/>
        </w:numPr>
        <w:spacing w:after="0" w:line="240" w:lineRule="auto"/>
        <w:contextualSpacing/>
        <w:jc w:val="both"/>
        <w:rPr>
          <w:rFonts w:ascii="Times New Roman" w:hAnsi="Times New Roman"/>
          <w:sz w:val="28"/>
          <w:szCs w:val="28"/>
        </w:rPr>
      </w:pPr>
      <w:r w:rsidRPr="0058793B">
        <w:rPr>
          <w:rFonts w:ascii="Times New Roman" w:hAnsi="Times New Roman"/>
          <w:sz w:val="28"/>
          <w:szCs w:val="28"/>
        </w:rPr>
        <w:t xml:space="preserve">Схема территориального планирования </w:t>
      </w:r>
      <w:r>
        <w:rPr>
          <w:rFonts w:ascii="Times New Roman" w:hAnsi="Times New Roman"/>
          <w:sz w:val="28"/>
          <w:szCs w:val="28"/>
        </w:rPr>
        <w:t>Куйбышевского района</w:t>
      </w:r>
      <w:r w:rsidRPr="0058793B">
        <w:rPr>
          <w:rFonts w:ascii="Times New Roman" w:hAnsi="Times New Roman"/>
          <w:sz w:val="28"/>
          <w:szCs w:val="28"/>
        </w:rPr>
        <w:t>, Новосибирской области</w:t>
      </w:r>
      <w:r>
        <w:rPr>
          <w:rFonts w:ascii="Times New Roman" w:hAnsi="Times New Roman"/>
          <w:sz w:val="28"/>
          <w:szCs w:val="28"/>
        </w:rPr>
        <w:t>,</w:t>
      </w:r>
      <w:r w:rsidRPr="0058793B">
        <w:rPr>
          <w:rFonts w:ascii="Times New Roman" w:hAnsi="Times New Roman"/>
          <w:sz w:val="28"/>
          <w:szCs w:val="28"/>
        </w:rPr>
        <w:t xml:space="preserve"> утверждённая </w:t>
      </w:r>
      <w:r>
        <w:rPr>
          <w:rFonts w:ascii="Times New Roman" w:hAnsi="Times New Roman"/>
          <w:sz w:val="28"/>
          <w:szCs w:val="28"/>
        </w:rPr>
        <w:t>р</w:t>
      </w:r>
      <w:r w:rsidRPr="00DA0108">
        <w:rPr>
          <w:rFonts w:ascii="Times New Roman" w:hAnsi="Times New Roman"/>
          <w:sz w:val="28"/>
          <w:szCs w:val="28"/>
        </w:rPr>
        <w:t>ешение</w:t>
      </w:r>
      <w:r>
        <w:rPr>
          <w:rFonts w:ascii="Times New Roman" w:hAnsi="Times New Roman"/>
          <w:sz w:val="28"/>
          <w:szCs w:val="28"/>
        </w:rPr>
        <w:t>м</w:t>
      </w:r>
      <w:r w:rsidRPr="00DA0108">
        <w:rPr>
          <w:rFonts w:ascii="Times New Roman" w:hAnsi="Times New Roman"/>
          <w:sz w:val="28"/>
          <w:szCs w:val="28"/>
        </w:rPr>
        <w:t xml:space="preserve"> сессии Совета депутатов Куйбышевского района </w:t>
      </w:r>
      <w:r w:rsidRPr="0058793B">
        <w:rPr>
          <w:rFonts w:ascii="Times New Roman" w:hAnsi="Times New Roman"/>
          <w:sz w:val="28"/>
          <w:szCs w:val="28"/>
        </w:rPr>
        <w:t xml:space="preserve">от </w:t>
      </w:r>
      <w:r w:rsidRPr="00DA0108">
        <w:rPr>
          <w:rFonts w:ascii="Times New Roman" w:hAnsi="Times New Roman"/>
          <w:sz w:val="28"/>
          <w:szCs w:val="28"/>
        </w:rPr>
        <w:t>14.03.2013</w:t>
      </w:r>
      <w:r w:rsidRPr="0058793B">
        <w:rPr>
          <w:rFonts w:ascii="Times New Roman" w:hAnsi="Times New Roman"/>
          <w:sz w:val="28"/>
          <w:szCs w:val="28"/>
        </w:rPr>
        <w:t xml:space="preserve"> № </w:t>
      </w:r>
      <w:r>
        <w:rPr>
          <w:rFonts w:ascii="Times New Roman" w:hAnsi="Times New Roman"/>
          <w:sz w:val="28"/>
          <w:szCs w:val="28"/>
        </w:rPr>
        <w:t>11;</w:t>
      </w:r>
    </w:p>
    <w:p w:rsidR="002D1E45" w:rsidRPr="00602662" w:rsidRDefault="002D1E45" w:rsidP="009D6605">
      <w:pPr>
        <w:numPr>
          <w:ilvl w:val="0"/>
          <w:numId w:val="24"/>
        </w:numPr>
        <w:tabs>
          <w:tab w:val="left" w:pos="1134"/>
        </w:tabs>
        <w:spacing w:after="0" w:line="240" w:lineRule="auto"/>
        <w:jc w:val="both"/>
        <w:rPr>
          <w:rFonts w:ascii="Times New Roman" w:hAnsi="Times New Roman"/>
          <w:sz w:val="28"/>
          <w:szCs w:val="28"/>
        </w:rPr>
      </w:pPr>
      <w:r w:rsidRPr="00602662">
        <w:rPr>
          <w:rFonts w:ascii="Times New Roman" w:hAnsi="Times New Roman"/>
          <w:sz w:val="28"/>
          <w:szCs w:val="28"/>
        </w:rPr>
        <w:t>Стратеги</w:t>
      </w:r>
      <w:r>
        <w:rPr>
          <w:rFonts w:ascii="Times New Roman" w:hAnsi="Times New Roman"/>
          <w:sz w:val="28"/>
          <w:szCs w:val="28"/>
        </w:rPr>
        <w:t>я</w:t>
      </w:r>
      <w:r w:rsidRPr="00602662">
        <w:rPr>
          <w:rFonts w:ascii="Times New Roman" w:hAnsi="Times New Roman"/>
          <w:sz w:val="28"/>
          <w:szCs w:val="28"/>
        </w:rPr>
        <w:t xml:space="preserve"> социально-экономического развития </w:t>
      </w:r>
      <w:r>
        <w:rPr>
          <w:rFonts w:ascii="Times New Roman" w:hAnsi="Times New Roman"/>
          <w:sz w:val="28"/>
          <w:szCs w:val="28"/>
        </w:rPr>
        <w:t>Куйбышевского</w:t>
      </w:r>
      <w:r w:rsidRPr="00602662">
        <w:rPr>
          <w:rFonts w:ascii="Times New Roman" w:hAnsi="Times New Roman"/>
          <w:sz w:val="28"/>
          <w:szCs w:val="28"/>
        </w:rPr>
        <w:t xml:space="preserve"> района </w:t>
      </w:r>
      <w:r>
        <w:rPr>
          <w:rFonts w:ascii="Times New Roman" w:hAnsi="Times New Roman"/>
          <w:sz w:val="28"/>
          <w:szCs w:val="28"/>
        </w:rPr>
        <w:t xml:space="preserve">до </w:t>
      </w:r>
      <w:r w:rsidRPr="00602662">
        <w:rPr>
          <w:rFonts w:ascii="Times New Roman" w:hAnsi="Times New Roman"/>
          <w:sz w:val="28"/>
          <w:szCs w:val="28"/>
        </w:rPr>
        <w:t>2030 год</w:t>
      </w:r>
      <w:r>
        <w:rPr>
          <w:rFonts w:ascii="Times New Roman" w:hAnsi="Times New Roman"/>
          <w:sz w:val="28"/>
          <w:szCs w:val="28"/>
        </w:rPr>
        <w:t>а.</w:t>
      </w:r>
    </w:p>
    <w:p w:rsidR="002D1E45" w:rsidRPr="003A7901" w:rsidRDefault="002D1E45" w:rsidP="003A7901">
      <w:pPr>
        <w:spacing w:after="0" w:line="240" w:lineRule="auto"/>
        <w:ind w:firstLine="709"/>
        <w:jc w:val="both"/>
        <w:rPr>
          <w:rFonts w:ascii="Times New Roman" w:hAnsi="Times New Roman"/>
          <w:sz w:val="28"/>
          <w:szCs w:val="28"/>
        </w:rPr>
      </w:pPr>
      <w:r w:rsidRPr="003A7901">
        <w:rPr>
          <w:rFonts w:ascii="Times New Roman" w:hAnsi="Times New Roman"/>
          <w:sz w:val="28"/>
          <w:szCs w:val="28"/>
        </w:rPr>
        <w:t xml:space="preserve">Главной целью территориального планирования </w:t>
      </w:r>
      <w:r>
        <w:rPr>
          <w:rFonts w:ascii="Times New Roman" w:hAnsi="Times New Roman"/>
          <w:sz w:val="28"/>
          <w:szCs w:val="28"/>
        </w:rPr>
        <w:t>города Куйбышева</w:t>
      </w:r>
      <w:r w:rsidRPr="003A7901">
        <w:rPr>
          <w:rFonts w:ascii="Times New Roman" w:hAnsi="Times New Roman"/>
          <w:sz w:val="28"/>
          <w:szCs w:val="28"/>
        </w:rPr>
        <w:t xml:space="preserve"> является определение стратегических направлений развития и</w:t>
      </w:r>
      <w:r>
        <w:rPr>
          <w:rFonts w:ascii="Times New Roman" w:hAnsi="Times New Roman"/>
          <w:sz w:val="28"/>
          <w:szCs w:val="28"/>
        </w:rPr>
        <w:t> </w:t>
      </w:r>
      <w:r w:rsidRPr="003A7901">
        <w:rPr>
          <w:rFonts w:ascii="Times New Roman" w:hAnsi="Times New Roman"/>
          <w:sz w:val="28"/>
          <w:szCs w:val="28"/>
        </w:rPr>
        <w:t>территориальная организация на</w:t>
      </w:r>
      <w:r>
        <w:rPr>
          <w:rFonts w:ascii="Times New Roman" w:hAnsi="Times New Roman"/>
          <w:sz w:val="28"/>
          <w:szCs w:val="28"/>
        </w:rPr>
        <w:t> </w:t>
      </w:r>
      <w:r w:rsidRPr="003A7901">
        <w:rPr>
          <w:rFonts w:ascii="Times New Roman" w:hAnsi="Times New Roman"/>
          <w:sz w:val="28"/>
          <w:szCs w:val="28"/>
        </w:rPr>
        <w:t>основе анализа и</w:t>
      </w:r>
      <w:r>
        <w:rPr>
          <w:rFonts w:ascii="Times New Roman" w:hAnsi="Times New Roman"/>
          <w:sz w:val="28"/>
          <w:szCs w:val="28"/>
        </w:rPr>
        <w:t> </w:t>
      </w:r>
      <w:r w:rsidRPr="003A7901">
        <w:rPr>
          <w:rFonts w:ascii="Times New Roman" w:hAnsi="Times New Roman"/>
          <w:sz w:val="28"/>
          <w:szCs w:val="28"/>
        </w:rPr>
        <w:t>комплексной оценки природно-климатических, градостроительных, социально-экономических и</w:t>
      </w:r>
      <w:r>
        <w:rPr>
          <w:rFonts w:ascii="Times New Roman" w:hAnsi="Times New Roman"/>
          <w:sz w:val="28"/>
          <w:szCs w:val="28"/>
        </w:rPr>
        <w:t> </w:t>
      </w:r>
      <w:r w:rsidRPr="003A7901">
        <w:rPr>
          <w:rFonts w:ascii="Times New Roman" w:hAnsi="Times New Roman"/>
          <w:sz w:val="28"/>
          <w:szCs w:val="28"/>
        </w:rPr>
        <w:t>культурно-исторических условий. Территориальное планирование муниципального образования – планирование развития его территории, включая определение функциональных зон, зон планируемого размещения объектов капитального строительства, зон с</w:t>
      </w:r>
      <w:r>
        <w:rPr>
          <w:rFonts w:ascii="Times New Roman" w:hAnsi="Times New Roman"/>
          <w:sz w:val="28"/>
          <w:szCs w:val="28"/>
        </w:rPr>
        <w:t> </w:t>
      </w:r>
      <w:r w:rsidRPr="003A7901">
        <w:rPr>
          <w:rFonts w:ascii="Times New Roman" w:hAnsi="Times New Roman"/>
          <w:sz w:val="28"/>
          <w:szCs w:val="28"/>
        </w:rPr>
        <w:t>особыми условиями использования.</w:t>
      </w:r>
    </w:p>
    <w:p w:rsidR="002D1E45" w:rsidRDefault="002D1E45" w:rsidP="003A7901">
      <w:pPr>
        <w:spacing w:after="0" w:line="240" w:lineRule="auto"/>
        <w:rPr>
          <w:rFonts w:ascii="Times New Roman" w:hAnsi="Times New Roman"/>
          <w:sz w:val="16"/>
          <w:szCs w:val="16"/>
          <w:lang w:eastAsia="ru-RU"/>
        </w:rPr>
      </w:pPr>
    </w:p>
    <w:p w:rsidR="002D1E45" w:rsidRPr="003A7901" w:rsidRDefault="002D1E45" w:rsidP="003A7901">
      <w:pPr>
        <w:spacing w:after="0" w:line="240" w:lineRule="auto"/>
        <w:rPr>
          <w:rFonts w:ascii="Times New Roman" w:hAnsi="Times New Roman"/>
          <w:sz w:val="16"/>
          <w:szCs w:val="16"/>
          <w:lang w:eastAsia="ru-RU"/>
        </w:rPr>
      </w:pPr>
    </w:p>
    <w:p w:rsidR="002D1E45" w:rsidRPr="00070067" w:rsidRDefault="002D1E45" w:rsidP="00852938">
      <w:pPr>
        <w:pStyle w:val="Heading2"/>
        <w:numPr>
          <w:ilvl w:val="1"/>
          <w:numId w:val="65"/>
        </w:numPr>
        <w:spacing w:before="240"/>
        <w:ind w:left="993" w:hanging="633"/>
        <w:jc w:val="both"/>
        <w:rPr>
          <w:b/>
        </w:rPr>
      </w:pPr>
      <w:bookmarkStart w:id="240" w:name="_Toc468971947"/>
      <w:bookmarkStart w:id="241" w:name="_Toc475037113"/>
      <w:bookmarkStart w:id="242" w:name="_Toc84936054"/>
      <w:r w:rsidRPr="00070067">
        <w:rPr>
          <w:b/>
        </w:rPr>
        <w:t>Архитектурно-планировочное решение</w:t>
      </w:r>
      <w:bookmarkEnd w:id="240"/>
      <w:bookmarkEnd w:id="241"/>
      <w:bookmarkEnd w:id="242"/>
    </w:p>
    <w:p w:rsidR="002D1E45" w:rsidRPr="003A7901" w:rsidRDefault="002D1E45" w:rsidP="003A7901">
      <w:pPr>
        <w:spacing w:after="0" w:line="240" w:lineRule="auto"/>
        <w:rPr>
          <w:rFonts w:ascii="Times New Roman" w:hAnsi="Times New Roman"/>
          <w:sz w:val="16"/>
          <w:szCs w:val="16"/>
          <w:lang w:eastAsia="ru-RU"/>
        </w:rPr>
      </w:pPr>
    </w:p>
    <w:p w:rsidR="002D1E45" w:rsidRPr="003A7901" w:rsidRDefault="002D1E45" w:rsidP="003A7901">
      <w:pPr>
        <w:spacing w:after="0" w:line="240" w:lineRule="auto"/>
        <w:rPr>
          <w:rFonts w:ascii="Times New Roman" w:hAnsi="Times New Roman"/>
          <w:sz w:val="16"/>
          <w:szCs w:val="16"/>
          <w:lang w:eastAsia="ru-RU"/>
        </w:rPr>
      </w:pPr>
    </w:p>
    <w:p w:rsidR="002D1E45" w:rsidRPr="00B069EB" w:rsidRDefault="002D1E45" w:rsidP="00B069EB">
      <w:pPr>
        <w:spacing w:after="0" w:line="240" w:lineRule="auto"/>
        <w:ind w:firstLine="709"/>
        <w:contextualSpacing/>
        <w:jc w:val="both"/>
        <w:rPr>
          <w:rFonts w:ascii="Times New Roman" w:hAnsi="Times New Roman"/>
          <w:sz w:val="28"/>
          <w:szCs w:val="24"/>
        </w:rPr>
      </w:pPr>
      <w:r w:rsidRPr="00B069EB">
        <w:rPr>
          <w:rFonts w:ascii="Times New Roman" w:hAnsi="Times New Roman"/>
          <w:sz w:val="28"/>
          <w:szCs w:val="24"/>
        </w:rPr>
        <w:t xml:space="preserve">Главная задача пространственного развития территории </w:t>
      </w:r>
      <w:r>
        <w:rPr>
          <w:rFonts w:ascii="Times New Roman" w:hAnsi="Times New Roman"/>
          <w:sz w:val="28"/>
          <w:szCs w:val="28"/>
        </w:rPr>
        <w:t>города Куйбышева</w:t>
      </w:r>
      <w:r w:rsidRPr="003A7901">
        <w:rPr>
          <w:rFonts w:ascii="Times New Roman" w:hAnsi="Times New Roman"/>
          <w:sz w:val="28"/>
          <w:szCs w:val="28"/>
        </w:rPr>
        <w:t xml:space="preserve"> </w:t>
      </w:r>
      <w:r w:rsidRPr="00B069EB">
        <w:rPr>
          <w:rFonts w:ascii="Times New Roman" w:hAnsi="Times New Roman"/>
          <w:sz w:val="28"/>
          <w:szCs w:val="24"/>
        </w:rPr>
        <w:t>заключается в</w:t>
      </w:r>
      <w:r>
        <w:rPr>
          <w:rFonts w:ascii="Times New Roman" w:hAnsi="Times New Roman"/>
          <w:sz w:val="28"/>
          <w:szCs w:val="24"/>
        </w:rPr>
        <w:t> </w:t>
      </w:r>
      <w:r w:rsidRPr="00B069EB">
        <w:rPr>
          <w:rFonts w:ascii="Times New Roman" w:hAnsi="Times New Roman"/>
          <w:sz w:val="28"/>
          <w:szCs w:val="24"/>
        </w:rPr>
        <w:t>определении территориальных возможностей и</w:t>
      </w:r>
      <w:r>
        <w:rPr>
          <w:rFonts w:ascii="Times New Roman" w:hAnsi="Times New Roman"/>
          <w:sz w:val="28"/>
          <w:szCs w:val="24"/>
        </w:rPr>
        <w:t> </w:t>
      </w:r>
      <w:r w:rsidRPr="00B069EB">
        <w:rPr>
          <w:rFonts w:ascii="Times New Roman" w:hAnsi="Times New Roman"/>
          <w:sz w:val="28"/>
          <w:szCs w:val="24"/>
        </w:rPr>
        <w:t>сопоставления их</w:t>
      </w:r>
      <w:r>
        <w:rPr>
          <w:rFonts w:ascii="Times New Roman" w:hAnsi="Times New Roman"/>
          <w:sz w:val="28"/>
          <w:szCs w:val="24"/>
        </w:rPr>
        <w:t> </w:t>
      </w:r>
      <w:r w:rsidRPr="00B069EB">
        <w:rPr>
          <w:rFonts w:ascii="Times New Roman" w:hAnsi="Times New Roman"/>
          <w:sz w:val="28"/>
          <w:szCs w:val="24"/>
        </w:rPr>
        <w:t>с</w:t>
      </w:r>
      <w:r>
        <w:rPr>
          <w:rFonts w:ascii="Times New Roman" w:hAnsi="Times New Roman"/>
          <w:sz w:val="28"/>
          <w:szCs w:val="24"/>
        </w:rPr>
        <w:t> </w:t>
      </w:r>
      <w:r w:rsidRPr="00B069EB">
        <w:rPr>
          <w:rFonts w:ascii="Times New Roman" w:hAnsi="Times New Roman"/>
          <w:sz w:val="28"/>
          <w:szCs w:val="24"/>
        </w:rPr>
        <w:t>планируемым размещением объектов регионального, местного значения, строительство которых необходимо, исходя из</w:t>
      </w:r>
      <w:r>
        <w:rPr>
          <w:rFonts w:ascii="Times New Roman" w:hAnsi="Times New Roman"/>
          <w:sz w:val="28"/>
          <w:szCs w:val="24"/>
        </w:rPr>
        <w:t> </w:t>
      </w:r>
      <w:r w:rsidRPr="00B069EB">
        <w:rPr>
          <w:rFonts w:ascii="Times New Roman" w:hAnsi="Times New Roman"/>
          <w:sz w:val="28"/>
          <w:szCs w:val="24"/>
        </w:rPr>
        <w:t xml:space="preserve">анализа использования </w:t>
      </w:r>
      <w:r>
        <w:rPr>
          <w:rFonts w:ascii="Times New Roman" w:hAnsi="Times New Roman"/>
          <w:sz w:val="28"/>
          <w:szCs w:val="24"/>
        </w:rPr>
        <w:t xml:space="preserve">данной </w:t>
      </w:r>
      <w:r w:rsidRPr="00B069EB">
        <w:rPr>
          <w:rFonts w:ascii="Times New Roman" w:hAnsi="Times New Roman"/>
          <w:sz w:val="28"/>
          <w:szCs w:val="24"/>
        </w:rPr>
        <w:t>территории и</w:t>
      </w:r>
      <w:r>
        <w:rPr>
          <w:rFonts w:ascii="Times New Roman" w:hAnsi="Times New Roman"/>
          <w:sz w:val="28"/>
          <w:szCs w:val="24"/>
        </w:rPr>
        <w:t> </w:t>
      </w:r>
      <w:r w:rsidRPr="00B069EB">
        <w:rPr>
          <w:rFonts w:ascii="Times New Roman" w:hAnsi="Times New Roman"/>
          <w:sz w:val="28"/>
          <w:szCs w:val="24"/>
        </w:rPr>
        <w:t>нормативов градостроительного планирования, действующих</w:t>
      </w:r>
      <w:r>
        <w:rPr>
          <w:rFonts w:ascii="Times New Roman" w:hAnsi="Times New Roman"/>
          <w:sz w:val="28"/>
          <w:szCs w:val="24"/>
        </w:rPr>
        <w:t xml:space="preserve"> </w:t>
      </w:r>
      <w:r w:rsidRPr="00B069EB">
        <w:rPr>
          <w:rFonts w:ascii="Times New Roman" w:hAnsi="Times New Roman"/>
          <w:sz w:val="28"/>
          <w:szCs w:val="24"/>
        </w:rPr>
        <w:t>на</w:t>
      </w:r>
      <w:r>
        <w:rPr>
          <w:rFonts w:ascii="Times New Roman" w:hAnsi="Times New Roman"/>
          <w:sz w:val="28"/>
          <w:szCs w:val="24"/>
        </w:rPr>
        <w:t> </w:t>
      </w:r>
      <w:r w:rsidRPr="00B069EB">
        <w:rPr>
          <w:rFonts w:ascii="Times New Roman" w:hAnsi="Times New Roman"/>
          <w:sz w:val="28"/>
          <w:szCs w:val="24"/>
        </w:rPr>
        <w:t>территории</w:t>
      </w:r>
      <w:r w:rsidRPr="008A3FE9">
        <w:rPr>
          <w:rFonts w:ascii="Times New Roman" w:hAnsi="Times New Roman"/>
          <w:sz w:val="28"/>
          <w:szCs w:val="28"/>
        </w:rPr>
        <w:t xml:space="preserve"> </w:t>
      </w:r>
      <w:r>
        <w:rPr>
          <w:rFonts w:ascii="Times New Roman" w:hAnsi="Times New Roman"/>
          <w:sz w:val="28"/>
          <w:szCs w:val="28"/>
        </w:rPr>
        <w:t>города.</w:t>
      </w:r>
      <w:r w:rsidRPr="00B069EB">
        <w:rPr>
          <w:rFonts w:ascii="Times New Roman" w:hAnsi="Times New Roman"/>
          <w:sz w:val="28"/>
          <w:szCs w:val="24"/>
        </w:rPr>
        <w:t xml:space="preserve"> </w:t>
      </w:r>
    </w:p>
    <w:p w:rsidR="002D1E45" w:rsidRPr="00B069EB" w:rsidRDefault="002D1E45" w:rsidP="00B069EB">
      <w:pPr>
        <w:spacing w:after="0" w:line="240" w:lineRule="auto"/>
        <w:ind w:firstLine="709"/>
        <w:contextualSpacing/>
        <w:jc w:val="both"/>
        <w:rPr>
          <w:rFonts w:ascii="Times New Roman" w:hAnsi="Times New Roman"/>
          <w:sz w:val="28"/>
          <w:szCs w:val="24"/>
        </w:rPr>
      </w:pPr>
      <w:r w:rsidRPr="00B069EB">
        <w:rPr>
          <w:rFonts w:ascii="Times New Roman" w:hAnsi="Times New Roman"/>
          <w:sz w:val="28"/>
          <w:szCs w:val="24"/>
        </w:rPr>
        <w:t>Для удовлетворения потребности в</w:t>
      </w:r>
      <w:r>
        <w:rPr>
          <w:rFonts w:ascii="Times New Roman" w:hAnsi="Times New Roman"/>
          <w:sz w:val="28"/>
          <w:szCs w:val="24"/>
        </w:rPr>
        <w:t> </w:t>
      </w:r>
      <w:r w:rsidRPr="00B069EB">
        <w:rPr>
          <w:rFonts w:ascii="Times New Roman" w:hAnsi="Times New Roman"/>
          <w:sz w:val="28"/>
          <w:szCs w:val="24"/>
        </w:rPr>
        <w:t>новом жилищном строительстве необходимо определить территории исходя из</w:t>
      </w:r>
      <w:r>
        <w:rPr>
          <w:rFonts w:ascii="Times New Roman" w:hAnsi="Times New Roman"/>
          <w:sz w:val="28"/>
          <w:szCs w:val="24"/>
        </w:rPr>
        <w:t> </w:t>
      </w:r>
      <w:r w:rsidRPr="00B069EB">
        <w:rPr>
          <w:rFonts w:ascii="Times New Roman" w:hAnsi="Times New Roman"/>
          <w:sz w:val="28"/>
          <w:szCs w:val="24"/>
        </w:rPr>
        <w:t xml:space="preserve">проектной численности населения </w:t>
      </w:r>
      <w:r>
        <w:rPr>
          <w:rFonts w:ascii="Times New Roman" w:hAnsi="Times New Roman"/>
          <w:sz w:val="28"/>
          <w:szCs w:val="24"/>
        </w:rPr>
        <w:t>6900</w:t>
      </w:r>
      <w:r w:rsidRPr="00B069EB">
        <w:rPr>
          <w:rFonts w:ascii="Times New Roman" w:hAnsi="Times New Roman"/>
          <w:sz w:val="28"/>
          <w:szCs w:val="24"/>
        </w:rPr>
        <w:t xml:space="preserve"> человек.</w:t>
      </w:r>
    </w:p>
    <w:p w:rsidR="002D1E45" w:rsidRPr="00B069EB" w:rsidRDefault="002D1E45" w:rsidP="00B069EB">
      <w:pPr>
        <w:spacing w:after="0" w:line="240" w:lineRule="auto"/>
        <w:ind w:firstLine="709"/>
        <w:contextualSpacing/>
        <w:jc w:val="both"/>
        <w:rPr>
          <w:rFonts w:ascii="Times New Roman" w:hAnsi="Times New Roman"/>
          <w:sz w:val="28"/>
          <w:szCs w:val="24"/>
        </w:rPr>
      </w:pPr>
      <w:r w:rsidRPr="00B069EB">
        <w:rPr>
          <w:rFonts w:ascii="Times New Roman" w:hAnsi="Times New Roman"/>
          <w:sz w:val="28"/>
          <w:szCs w:val="24"/>
        </w:rPr>
        <w:t>Основным направлением территориального развития селитебных территорий является:</w:t>
      </w:r>
    </w:p>
    <w:p w:rsidR="002D1E45" w:rsidRPr="00751B06" w:rsidRDefault="002D1E45" w:rsidP="00751B06">
      <w:pPr>
        <w:numPr>
          <w:ilvl w:val="0"/>
          <w:numId w:val="24"/>
        </w:numPr>
        <w:tabs>
          <w:tab w:val="left" w:pos="1134"/>
        </w:tabs>
        <w:spacing w:after="0" w:line="240" w:lineRule="auto"/>
        <w:jc w:val="both"/>
        <w:rPr>
          <w:rFonts w:ascii="Times New Roman" w:hAnsi="Times New Roman"/>
          <w:sz w:val="28"/>
          <w:szCs w:val="28"/>
        </w:rPr>
      </w:pPr>
      <w:r w:rsidRPr="00751B06">
        <w:rPr>
          <w:rFonts w:ascii="Times New Roman" w:hAnsi="Times New Roman"/>
          <w:sz w:val="28"/>
          <w:szCs w:val="28"/>
        </w:rPr>
        <w:t>эффективное использование застроенных жилых кварталов за</w:t>
      </w:r>
      <w:r>
        <w:rPr>
          <w:rFonts w:ascii="Times New Roman" w:hAnsi="Times New Roman"/>
          <w:sz w:val="28"/>
          <w:szCs w:val="28"/>
        </w:rPr>
        <w:t> </w:t>
      </w:r>
      <w:r w:rsidRPr="00751B06">
        <w:rPr>
          <w:rFonts w:ascii="Times New Roman" w:hAnsi="Times New Roman"/>
          <w:sz w:val="28"/>
          <w:szCs w:val="28"/>
        </w:rPr>
        <w:t>счёт повышения плотности и</w:t>
      </w:r>
      <w:r>
        <w:rPr>
          <w:rFonts w:ascii="Times New Roman" w:hAnsi="Times New Roman"/>
          <w:sz w:val="28"/>
          <w:szCs w:val="28"/>
        </w:rPr>
        <w:t> </w:t>
      </w:r>
      <w:r w:rsidRPr="00751B06">
        <w:rPr>
          <w:rFonts w:ascii="Times New Roman" w:hAnsi="Times New Roman"/>
          <w:sz w:val="28"/>
          <w:szCs w:val="28"/>
        </w:rPr>
        <w:t>этажности застройки, снос ветхого фонда и</w:t>
      </w:r>
      <w:r>
        <w:rPr>
          <w:rFonts w:ascii="Times New Roman" w:hAnsi="Times New Roman"/>
          <w:sz w:val="28"/>
          <w:szCs w:val="28"/>
        </w:rPr>
        <w:t> </w:t>
      </w:r>
      <w:r w:rsidRPr="00751B06">
        <w:rPr>
          <w:rFonts w:ascii="Times New Roman" w:hAnsi="Times New Roman"/>
          <w:sz w:val="28"/>
          <w:szCs w:val="28"/>
        </w:rPr>
        <w:t>строительство современных жилых домов в</w:t>
      </w:r>
      <w:r>
        <w:rPr>
          <w:rFonts w:ascii="Times New Roman" w:hAnsi="Times New Roman"/>
          <w:sz w:val="28"/>
          <w:szCs w:val="28"/>
        </w:rPr>
        <w:t> </w:t>
      </w:r>
      <w:r w:rsidRPr="00751B06">
        <w:rPr>
          <w:rFonts w:ascii="Times New Roman" w:hAnsi="Times New Roman"/>
          <w:sz w:val="28"/>
          <w:szCs w:val="28"/>
        </w:rPr>
        <w:t>соответствии с</w:t>
      </w:r>
      <w:r>
        <w:rPr>
          <w:rFonts w:ascii="Times New Roman" w:hAnsi="Times New Roman"/>
          <w:sz w:val="28"/>
          <w:szCs w:val="28"/>
        </w:rPr>
        <w:t> </w:t>
      </w:r>
      <w:r w:rsidRPr="00751B06">
        <w:rPr>
          <w:rFonts w:ascii="Times New Roman" w:hAnsi="Times New Roman"/>
          <w:sz w:val="28"/>
          <w:szCs w:val="28"/>
        </w:rPr>
        <w:t>проектами планировки;</w:t>
      </w:r>
    </w:p>
    <w:p w:rsidR="002D1E45" w:rsidRPr="00CE6F09" w:rsidRDefault="002D1E45" w:rsidP="00751B06">
      <w:pPr>
        <w:numPr>
          <w:ilvl w:val="0"/>
          <w:numId w:val="24"/>
        </w:numPr>
        <w:tabs>
          <w:tab w:val="left" w:pos="1134"/>
        </w:tabs>
        <w:spacing w:after="0" w:line="240" w:lineRule="auto"/>
        <w:jc w:val="both"/>
        <w:rPr>
          <w:rFonts w:ascii="Times New Roman" w:hAnsi="Times New Roman"/>
          <w:sz w:val="28"/>
          <w:szCs w:val="28"/>
        </w:rPr>
      </w:pPr>
      <w:r>
        <w:rPr>
          <w:rFonts w:ascii="Times New Roman" w:hAnsi="Times New Roman"/>
          <w:sz w:val="28"/>
          <w:szCs w:val="28"/>
        </w:rPr>
        <w:t>к</w:t>
      </w:r>
      <w:r w:rsidRPr="00CE6F09">
        <w:rPr>
          <w:rFonts w:ascii="Times New Roman" w:hAnsi="Times New Roman"/>
          <w:sz w:val="28"/>
          <w:szCs w:val="28"/>
        </w:rPr>
        <w:t xml:space="preserve">орректировка существующего транспортного каркаса </w:t>
      </w:r>
      <w:r>
        <w:rPr>
          <w:rFonts w:ascii="Times New Roman" w:hAnsi="Times New Roman"/>
          <w:sz w:val="28"/>
          <w:szCs w:val="28"/>
        </w:rPr>
        <w:t>населённого пункта</w:t>
      </w:r>
      <w:r w:rsidRPr="00CE6F09">
        <w:rPr>
          <w:rFonts w:ascii="Times New Roman" w:hAnsi="Times New Roman"/>
          <w:sz w:val="28"/>
          <w:szCs w:val="28"/>
        </w:rPr>
        <w:t>, совершенствование улично-дорожной сети с</w:t>
      </w:r>
      <w:r>
        <w:rPr>
          <w:rFonts w:ascii="Times New Roman" w:hAnsi="Times New Roman"/>
          <w:sz w:val="28"/>
          <w:szCs w:val="28"/>
        </w:rPr>
        <w:t> </w:t>
      </w:r>
      <w:r w:rsidRPr="00CE6F09">
        <w:rPr>
          <w:rFonts w:ascii="Times New Roman" w:hAnsi="Times New Roman"/>
          <w:sz w:val="28"/>
          <w:szCs w:val="28"/>
        </w:rPr>
        <w:t>учётом перспективных направлений развития селитебных территорий;</w:t>
      </w:r>
    </w:p>
    <w:p w:rsidR="002D1E45" w:rsidRPr="00751B06" w:rsidRDefault="002D1E45" w:rsidP="00751B06">
      <w:pPr>
        <w:numPr>
          <w:ilvl w:val="0"/>
          <w:numId w:val="24"/>
        </w:numPr>
        <w:tabs>
          <w:tab w:val="left" w:pos="1134"/>
        </w:tabs>
        <w:spacing w:after="0" w:line="240" w:lineRule="auto"/>
        <w:jc w:val="both"/>
        <w:rPr>
          <w:rFonts w:ascii="Times New Roman" w:hAnsi="Times New Roman"/>
          <w:sz w:val="28"/>
          <w:szCs w:val="28"/>
        </w:rPr>
      </w:pPr>
      <w:r w:rsidRPr="00751B06">
        <w:rPr>
          <w:rFonts w:ascii="Times New Roman" w:hAnsi="Times New Roman"/>
          <w:sz w:val="28"/>
          <w:szCs w:val="28"/>
        </w:rPr>
        <w:t>упорядочение сложившегося общественного центра, наполнение объектами общественно-деловой, социальной инфраструктуры;</w:t>
      </w:r>
    </w:p>
    <w:p w:rsidR="002D1E45" w:rsidRPr="00751B06" w:rsidRDefault="002D1E45" w:rsidP="00751B06">
      <w:pPr>
        <w:numPr>
          <w:ilvl w:val="0"/>
          <w:numId w:val="24"/>
        </w:numPr>
        <w:tabs>
          <w:tab w:val="left" w:pos="1134"/>
        </w:tabs>
        <w:spacing w:after="0" w:line="240" w:lineRule="auto"/>
        <w:jc w:val="both"/>
        <w:rPr>
          <w:rFonts w:ascii="Times New Roman" w:hAnsi="Times New Roman"/>
          <w:sz w:val="28"/>
          <w:szCs w:val="28"/>
        </w:rPr>
      </w:pPr>
      <w:r w:rsidRPr="00751B06">
        <w:rPr>
          <w:rFonts w:ascii="Times New Roman" w:hAnsi="Times New Roman"/>
          <w:sz w:val="28"/>
          <w:szCs w:val="28"/>
        </w:rPr>
        <w:t>формирование зон отдыха населения.</w:t>
      </w:r>
    </w:p>
    <w:p w:rsidR="002D1E45" w:rsidRPr="00B069EB" w:rsidRDefault="002D1E45" w:rsidP="00B069EB">
      <w:pPr>
        <w:spacing w:after="0" w:line="240" w:lineRule="auto"/>
        <w:ind w:firstLine="709"/>
        <w:contextualSpacing/>
        <w:jc w:val="both"/>
        <w:rPr>
          <w:rFonts w:ascii="Times New Roman" w:hAnsi="Times New Roman"/>
          <w:sz w:val="28"/>
          <w:szCs w:val="24"/>
        </w:rPr>
      </w:pPr>
      <w:r w:rsidRPr="00B069EB">
        <w:rPr>
          <w:rFonts w:ascii="Times New Roman" w:hAnsi="Times New Roman"/>
          <w:sz w:val="28"/>
          <w:szCs w:val="24"/>
        </w:rPr>
        <w:t>Основными мероприятиями по</w:t>
      </w:r>
      <w:r>
        <w:rPr>
          <w:rFonts w:ascii="Times New Roman" w:hAnsi="Times New Roman"/>
          <w:sz w:val="28"/>
          <w:szCs w:val="24"/>
        </w:rPr>
        <w:t> </w:t>
      </w:r>
      <w:r w:rsidRPr="00B069EB">
        <w:rPr>
          <w:rFonts w:ascii="Times New Roman" w:hAnsi="Times New Roman"/>
          <w:sz w:val="28"/>
          <w:szCs w:val="24"/>
        </w:rPr>
        <w:t>инженерной инфраструктуре и</w:t>
      </w:r>
      <w:r>
        <w:rPr>
          <w:rFonts w:ascii="Times New Roman" w:hAnsi="Times New Roman"/>
          <w:sz w:val="28"/>
          <w:szCs w:val="24"/>
        </w:rPr>
        <w:t> </w:t>
      </w:r>
      <w:r w:rsidRPr="00B069EB">
        <w:rPr>
          <w:rFonts w:ascii="Times New Roman" w:hAnsi="Times New Roman"/>
          <w:sz w:val="28"/>
          <w:szCs w:val="24"/>
        </w:rPr>
        <w:t xml:space="preserve">благоустройству территории населённых пунктов определены: </w:t>
      </w:r>
    </w:p>
    <w:p w:rsidR="002D1E45" w:rsidRPr="00751B06" w:rsidRDefault="002D1E45" w:rsidP="00751B06">
      <w:pPr>
        <w:numPr>
          <w:ilvl w:val="0"/>
          <w:numId w:val="24"/>
        </w:numPr>
        <w:tabs>
          <w:tab w:val="left" w:pos="1134"/>
        </w:tabs>
        <w:spacing w:after="0" w:line="240" w:lineRule="auto"/>
        <w:jc w:val="both"/>
        <w:rPr>
          <w:rFonts w:ascii="Times New Roman" w:hAnsi="Times New Roman"/>
          <w:sz w:val="28"/>
          <w:szCs w:val="28"/>
        </w:rPr>
      </w:pPr>
      <w:r w:rsidRPr="00751B06">
        <w:rPr>
          <w:rFonts w:ascii="Times New Roman" w:hAnsi="Times New Roman"/>
          <w:sz w:val="28"/>
          <w:szCs w:val="28"/>
        </w:rPr>
        <w:t>полное инженерное обеспечение населённых пунктов с</w:t>
      </w:r>
      <w:r>
        <w:rPr>
          <w:rFonts w:ascii="Times New Roman" w:hAnsi="Times New Roman"/>
          <w:sz w:val="28"/>
          <w:szCs w:val="28"/>
        </w:rPr>
        <w:t> </w:t>
      </w:r>
      <w:r w:rsidRPr="00751B06">
        <w:rPr>
          <w:rFonts w:ascii="Times New Roman" w:hAnsi="Times New Roman"/>
          <w:sz w:val="28"/>
          <w:szCs w:val="28"/>
        </w:rPr>
        <w:t>учётом существующих сетей и</w:t>
      </w:r>
      <w:r>
        <w:rPr>
          <w:rFonts w:ascii="Times New Roman" w:hAnsi="Times New Roman"/>
          <w:sz w:val="28"/>
          <w:szCs w:val="28"/>
        </w:rPr>
        <w:t> </w:t>
      </w:r>
      <w:r w:rsidRPr="00751B06">
        <w:rPr>
          <w:rFonts w:ascii="Times New Roman" w:hAnsi="Times New Roman"/>
          <w:sz w:val="28"/>
          <w:szCs w:val="28"/>
        </w:rPr>
        <w:t>проектных разработок;</w:t>
      </w:r>
    </w:p>
    <w:p w:rsidR="002D1E45" w:rsidRPr="00751B06" w:rsidRDefault="002D1E45" w:rsidP="00751B06">
      <w:pPr>
        <w:numPr>
          <w:ilvl w:val="0"/>
          <w:numId w:val="24"/>
        </w:numPr>
        <w:tabs>
          <w:tab w:val="left" w:pos="1134"/>
        </w:tabs>
        <w:spacing w:after="0" w:line="240" w:lineRule="auto"/>
        <w:jc w:val="both"/>
        <w:rPr>
          <w:rFonts w:ascii="Times New Roman" w:hAnsi="Times New Roman"/>
          <w:sz w:val="28"/>
          <w:szCs w:val="28"/>
        </w:rPr>
      </w:pPr>
      <w:r w:rsidRPr="00751B06">
        <w:rPr>
          <w:rFonts w:ascii="Times New Roman" w:hAnsi="Times New Roman"/>
          <w:sz w:val="28"/>
          <w:szCs w:val="28"/>
        </w:rPr>
        <w:t>организация водоотвода дождевых и</w:t>
      </w:r>
      <w:r>
        <w:rPr>
          <w:rFonts w:ascii="Times New Roman" w:hAnsi="Times New Roman"/>
          <w:sz w:val="28"/>
          <w:szCs w:val="28"/>
        </w:rPr>
        <w:t> </w:t>
      </w:r>
      <w:r w:rsidRPr="00751B06">
        <w:rPr>
          <w:rFonts w:ascii="Times New Roman" w:hAnsi="Times New Roman"/>
          <w:sz w:val="28"/>
          <w:szCs w:val="28"/>
        </w:rPr>
        <w:t>паводковых вод, озеленение застроенной территорий.</w:t>
      </w:r>
    </w:p>
    <w:p w:rsidR="002D1E45" w:rsidRPr="00B03DEE" w:rsidRDefault="002D1E45" w:rsidP="00B03DEE">
      <w:pPr>
        <w:spacing w:after="0" w:line="240" w:lineRule="auto"/>
        <w:ind w:firstLine="709"/>
        <w:contextualSpacing/>
        <w:jc w:val="both"/>
        <w:rPr>
          <w:rFonts w:ascii="Times New Roman" w:hAnsi="Times New Roman"/>
          <w:sz w:val="28"/>
          <w:szCs w:val="24"/>
        </w:rPr>
      </w:pPr>
      <w:r w:rsidRPr="00B03DEE">
        <w:rPr>
          <w:rFonts w:ascii="Times New Roman" w:hAnsi="Times New Roman"/>
          <w:sz w:val="28"/>
          <w:szCs w:val="24"/>
        </w:rPr>
        <w:t>Сложившаяся структура территорий и</w:t>
      </w:r>
      <w:r>
        <w:rPr>
          <w:rFonts w:ascii="Times New Roman" w:hAnsi="Times New Roman"/>
          <w:sz w:val="28"/>
          <w:szCs w:val="24"/>
        </w:rPr>
        <w:t> </w:t>
      </w:r>
      <w:r w:rsidRPr="00B03DEE">
        <w:rPr>
          <w:rFonts w:ascii="Times New Roman" w:hAnsi="Times New Roman"/>
          <w:sz w:val="28"/>
          <w:szCs w:val="24"/>
        </w:rPr>
        <w:t>существующий природный каркас являются основой для проектных предложений по</w:t>
      </w:r>
      <w:r>
        <w:rPr>
          <w:rFonts w:ascii="Times New Roman" w:hAnsi="Times New Roman"/>
          <w:sz w:val="28"/>
          <w:szCs w:val="24"/>
        </w:rPr>
        <w:t> </w:t>
      </w:r>
      <w:r w:rsidRPr="00B03DEE">
        <w:rPr>
          <w:rFonts w:ascii="Times New Roman" w:hAnsi="Times New Roman"/>
          <w:sz w:val="28"/>
          <w:szCs w:val="24"/>
        </w:rPr>
        <w:t xml:space="preserve">формированию планировочной структуры </w:t>
      </w:r>
      <w:r>
        <w:rPr>
          <w:rFonts w:ascii="Times New Roman" w:hAnsi="Times New Roman"/>
          <w:sz w:val="28"/>
          <w:szCs w:val="28"/>
        </w:rPr>
        <w:t>Города Куйбышева</w:t>
      </w:r>
      <w:r>
        <w:rPr>
          <w:rFonts w:ascii="Times New Roman" w:hAnsi="Times New Roman"/>
          <w:sz w:val="28"/>
          <w:szCs w:val="24"/>
        </w:rPr>
        <w:t>.</w:t>
      </w:r>
    </w:p>
    <w:p w:rsidR="002D1E45" w:rsidRPr="00B03DEE" w:rsidRDefault="002D1E45" w:rsidP="00B03DEE">
      <w:pPr>
        <w:spacing w:after="0" w:line="240" w:lineRule="auto"/>
        <w:ind w:firstLine="709"/>
        <w:contextualSpacing/>
        <w:jc w:val="both"/>
        <w:rPr>
          <w:rFonts w:ascii="Times New Roman" w:hAnsi="Times New Roman"/>
          <w:sz w:val="28"/>
          <w:szCs w:val="24"/>
        </w:rPr>
      </w:pPr>
      <w:r w:rsidRPr="00B03DEE">
        <w:rPr>
          <w:rFonts w:ascii="Times New Roman" w:hAnsi="Times New Roman"/>
          <w:sz w:val="28"/>
          <w:szCs w:val="24"/>
        </w:rPr>
        <w:t>Вне границ населённ</w:t>
      </w:r>
      <w:r>
        <w:rPr>
          <w:rFonts w:ascii="Times New Roman" w:hAnsi="Times New Roman"/>
          <w:sz w:val="28"/>
          <w:szCs w:val="24"/>
        </w:rPr>
        <w:t>ого</w:t>
      </w:r>
      <w:r w:rsidRPr="00B03DEE">
        <w:rPr>
          <w:rFonts w:ascii="Times New Roman" w:hAnsi="Times New Roman"/>
          <w:sz w:val="28"/>
          <w:szCs w:val="24"/>
        </w:rPr>
        <w:t xml:space="preserve"> пункт</w:t>
      </w:r>
      <w:r>
        <w:rPr>
          <w:rFonts w:ascii="Times New Roman" w:hAnsi="Times New Roman"/>
          <w:sz w:val="28"/>
          <w:szCs w:val="24"/>
        </w:rPr>
        <w:t>а</w:t>
      </w:r>
      <w:r w:rsidRPr="00B03DEE">
        <w:rPr>
          <w:rFonts w:ascii="Times New Roman" w:hAnsi="Times New Roman"/>
          <w:sz w:val="28"/>
          <w:szCs w:val="24"/>
        </w:rPr>
        <w:t xml:space="preserve"> на</w:t>
      </w:r>
      <w:r>
        <w:rPr>
          <w:rFonts w:ascii="Times New Roman" w:hAnsi="Times New Roman"/>
          <w:sz w:val="28"/>
          <w:szCs w:val="24"/>
        </w:rPr>
        <w:t> </w:t>
      </w:r>
      <w:r w:rsidRPr="00B03DEE">
        <w:rPr>
          <w:rFonts w:ascii="Times New Roman" w:hAnsi="Times New Roman"/>
          <w:sz w:val="28"/>
          <w:szCs w:val="24"/>
        </w:rPr>
        <w:t xml:space="preserve">территории </w:t>
      </w:r>
      <w:r>
        <w:rPr>
          <w:rFonts w:ascii="Times New Roman" w:hAnsi="Times New Roman"/>
          <w:sz w:val="28"/>
          <w:szCs w:val="24"/>
        </w:rPr>
        <w:t>муниципального образования</w:t>
      </w:r>
      <w:r w:rsidRPr="00B03DEE">
        <w:rPr>
          <w:rFonts w:ascii="Times New Roman" w:hAnsi="Times New Roman"/>
          <w:sz w:val="28"/>
          <w:szCs w:val="24"/>
        </w:rPr>
        <w:t xml:space="preserve"> сформированы зоны транспортной инфраструктуры, специального назначения (кладбища), сельскохозяйственных угодий и</w:t>
      </w:r>
      <w:r>
        <w:rPr>
          <w:rFonts w:ascii="Times New Roman" w:hAnsi="Times New Roman"/>
          <w:sz w:val="28"/>
          <w:szCs w:val="24"/>
        </w:rPr>
        <w:t> </w:t>
      </w:r>
      <w:r w:rsidRPr="00B03DEE">
        <w:rPr>
          <w:rFonts w:ascii="Times New Roman" w:hAnsi="Times New Roman"/>
          <w:sz w:val="28"/>
          <w:szCs w:val="24"/>
        </w:rPr>
        <w:t>производственного и</w:t>
      </w:r>
      <w:r>
        <w:rPr>
          <w:rFonts w:ascii="Times New Roman" w:hAnsi="Times New Roman"/>
          <w:sz w:val="28"/>
          <w:szCs w:val="24"/>
        </w:rPr>
        <w:t> </w:t>
      </w:r>
      <w:r w:rsidRPr="00B03DEE">
        <w:rPr>
          <w:rFonts w:ascii="Times New Roman" w:hAnsi="Times New Roman"/>
          <w:sz w:val="28"/>
          <w:szCs w:val="24"/>
        </w:rPr>
        <w:t>коммунально-складского назначения.</w:t>
      </w:r>
    </w:p>
    <w:p w:rsidR="002D1E45" w:rsidRPr="00B03DEE" w:rsidRDefault="002D1E45" w:rsidP="00B03DEE">
      <w:pPr>
        <w:spacing w:after="0" w:line="240" w:lineRule="auto"/>
        <w:ind w:firstLine="709"/>
        <w:contextualSpacing/>
        <w:jc w:val="both"/>
        <w:rPr>
          <w:rFonts w:ascii="Times New Roman" w:hAnsi="Times New Roman"/>
          <w:sz w:val="28"/>
          <w:szCs w:val="24"/>
        </w:rPr>
      </w:pPr>
      <w:r w:rsidRPr="00B03DEE">
        <w:rPr>
          <w:rFonts w:ascii="Times New Roman" w:hAnsi="Times New Roman"/>
          <w:sz w:val="28"/>
          <w:szCs w:val="24"/>
        </w:rPr>
        <w:t>Генеральным планом предложено уплотнение селитебных территорий с</w:t>
      </w:r>
      <w:r>
        <w:rPr>
          <w:rFonts w:ascii="Times New Roman" w:hAnsi="Times New Roman"/>
          <w:sz w:val="28"/>
          <w:szCs w:val="24"/>
        </w:rPr>
        <w:t> </w:t>
      </w:r>
      <w:r w:rsidRPr="00B03DEE">
        <w:rPr>
          <w:rFonts w:ascii="Times New Roman" w:hAnsi="Times New Roman"/>
          <w:sz w:val="28"/>
          <w:szCs w:val="24"/>
        </w:rPr>
        <w:t>сохранением сложившейся планировочной структуры.</w:t>
      </w:r>
      <w:r>
        <w:rPr>
          <w:rFonts w:ascii="Times New Roman" w:hAnsi="Times New Roman"/>
          <w:sz w:val="28"/>
          <w:szCs w:val="24"/>
        </w:rPr>
        <w:t xml:space="preserve"> </w:t>
      </w:r>
      <w:r w:rsidRPr="00B03DEE">
        <w:rPr>
          <w:rFonts w:ascii="Times New Roman" w:hAnsi="Times New Roman"/>
          <w:sz w:val="28"/>
          <w:szCs w:val="24"/>
        </w:rPr>
        <w:t xml:space="preserve">Кроме этого, генеральным планом предусмотрена организация рекреационных зон. </w:t>
      </w:r>
    </w:p>
    <w:p w:rsidR="002D1E45" w:rsidRPr="00B03DEE" w:rsidRDefault="002D1E45" w:rsidP="00B03DEE">
      <w:pPr>
        <w:spacing w:after="0" w:line="240" w:lineRule="auto"/>
        <w:ind w:firstLine="709"/>
        <w:contextualSpacing/>
        <w:jc w:val="both"/>
        <w:rPr>
          <w:rFonts w:ascii="Times New Roman" w:hAnsi="Times New Roman"/>
          <w:sz w:val="28"/>
          <w:szCs w:val="24"/>
        </w:rPr>
      </w:pPr>
      <w:r w:rsidRPr="00B03DEE">
        <w:rPr>
          <w:rFonts w:ascii="Times New Roman" w:hAnsi="Times New Roman"/>
          <w:sz w:val="28"/>
          <w:szCs w:val="24"/>
        </w:rPr>
        <w:t>Также генеральным планом предлагается сохранение существующей общественно-деловой застройки с</w:t>
      </w:r>
      <w:r>
        <w:rPr>
          <w:rFonts w:ascii="Times New Roman" w:hAnsi="Times New Roman"/>
          <w:sz w:val="28"/>
          <w:szCs w:val="24"/>
        </w:rPr>
        <w:t> </w:t>
      </w:r>
      <w:r w:rsidRPr="00B03DEE">
        <w:rPr>
          <w:rFonts w:ascii="Times New Roman" w:hAnsi="Times New Roman"/>
          <w:sz w:val="28"/>
          <w:szCs w:val="24"/>
        </w:rPr>
        <w:t>последующим е</w:t>
      </w:r>
      <w:r>
        <w:rPr>
          <w:rFonts w:ascii="Times New Roman" w:hAnsi="Times New Roman"/>
          <w:sz w:val="28"/>
          <w:szCs w:val="24"/>
        </w:rPr>
        <w:t>ё</w:t>
      </w:r>
      <w:r w:rsidRPr="00B03DEE">
        <w:rPr>
          <w:rFonts w:ascii="Times New Roman" w:hAnsi="Times New Roman"/>
          <w:sz w:val="28"/>
          <w:szCs w:val="24"/>
        </w:rPr>
        <w:t xml:space="preserve"> развитием на</w:t>
      </w:r>
      <w:r>
        <w:rPr>
          <w:rFonts w:ascii="Times New Roman" w:hAnsi="Times New Roman"/>
          <w:sz w:val="28"/>
          <w:szCs w:val="24"/>
        </w:rPr>
        <w:t> </w:t>
      </w:r>
      <w:r w:rsidRPr="00B03DEE">
        <w:rPr>
          <w:rFonts w:ascii="Times New Roman" w:hAnsi="Times New Roman"/>
          <w:sz w:val="28"/>
          <w:szCs w:val="24"/>
        </w:rPr>
        <w:t xml:space="preserve">отдельных территориях. </w:t>
      </w:r>
    </w:p>
    <w:p w:rsidR="002D1E45" w:rsidRDefault="002D1E45" w:rsidP="006B1FBD">
      <w:pPr>
        <w:spacing w:after="0" w:line="240" w:lineRule="auto"/>
        <w:ind w:firstLine="709"/>
        <w:contextualSpacing/>
        <w:jc w:val="both"/>
        <w:rPr>
          <w:rFonts w:ascii="Times New Roman" w:hAnsi="Times New Roman"/>
          <w:sz w:val="28"/>
          <w:szCs w:val="24"/>
        </w:rPr>
      </w:pPr>
      <w:r w:rsidRPr="00B03DEE">
        <w:rPr>
          <w:rFonts w:ascii="Times New Roman" w:hAnsi="Times New Roman"/>
          <w:sz w:val="28"/>
          <w:szCs w:val="24"/>
        </w:rPr>
        <w:t>Территории, предназначенные для размещения производственных и</w:t>
      </w:r>
      <w:r>
        <w:rPr>
          <w:rFonts w:ascii="Times New Roman" w:hAnsi="Times New Roman"/>
          <w:sz w:val="28"/>
          <w:szCs w:val="24"/>
        </w:rPr>
        <w:t> </w:t>
      </w:r>
      <w:r w:rsidRPr="00B03DEE">
        <w:rPr>
          <w:rFonts w:ascii="Times New Roman" w:hAnsi="Times New Roman"/>
          <w:sz w:val="28"/>
          <w:szCs w:val="24"/>
        </w:rPr>
        <w:t xml:space="preserve">коммунально-складских объектов, сохраняются. </w:t>
      </w:r>
    </w:p>
    <w:p w:rsidR="002D1E45" w:rsidRPr="008A3FE9" w:rsidRDefault="002D1E45" w:rsidP="00852938">
      <w:pPr>
        <w:pStyle w:val="Heading2"/>
        <w:numPr>
          <w:ilvl w:val="1"/>
          <w:numId w:val="65"/>
        </w:numPr>
        <w:spacing w:before="240"/>
        <w:ind w:left="993" w:hanging="633"/>
        <w:jc w:val="both"/>
        <w:rPr>
          <w:b/>
        </w:rPr>
      </w:pPr>
      <w:bookmarkStart w:id="243" w:name="_Toc468971948"/>
      <w:bookmarkStart w:id="244" w:name="_Toc475037114"/>
      <w:bookmarkStart w:id="245" w:name="_Toc84936055"/>
      <w:r w:rsidRPr="008A3FE9">
        <w:rPr>
          <w:b/>
        </w:rPr>
        <w:t>Развитие жилой зоны</w:t>
      </w:r>
      <w:bookmarkEnd w:id="243"/>
      <w:bookmarkEnd w:id="244"/>
      <w:bookmarkEnd w:id="245"/>
    </w:p>
    <w:p w:rsidR="002D1E45" w:rsidRPr="003A7901" w:rsidRDefault="002D1E45" w:rsidP="003A7901">
      <w:pPr>
        <w:spacing w:after="0" w:line="240" w:lineRule="auto"/>
        <w:rPr>
          <w:rFonts w:ascii="Times New Roman" w:hAnsi="Times New Roman"/>
          <w:sz w:val="16"/>
          <w:szCs w:val="16"/>
          <w:lang w:eastAsia="ru-RU"/>
        </w:rPr>
      </w:pPr>
    </w:p>
    <w:p w:rsidR="002D1E45" w:rsidRPr="00CA5873" w:rsidRDefault="002D1E45" w:rsidP="00CA5873">
      <w:pPr>
        <w:spacing w:after="0" w:line="240" w:lineRule="auto"/>
        <w:ind w:firstLine="709"/>
        <w:contextualSpacing/>
        <w:jc w:val="both"/>
        <w:rPr>
          <w:rFonts w:ascii="Times New Roman" w:hAnsi="Times New Roman"/>
          <w:sz w:val="28"/>
          <w:szCs w:val="24"/>
        </w:rPr>
      </w:pPr>
      <w:r w:rsidRPr="00CA5873">
        <w:rPr>
          <w:rFonts w:ascii="Times New Roman" w:hAnsi="Times New Roman"/>
          <w:sz w:val="28"/>
          <w:szCs w:val="24"/>
        </w:rPr>
        <w:t>Целью проектных решений генерального плана в</w:t>
      </w:r>
      <w:r>
        <w:rPr>
          <w:rFonts w:ascii="Times New Roman" w:hAnsi="Times New Roman"/>
          <w:sz w:val="28"/>
          <w:szCs w:val="24"/>
        </w:rPr>
        <w:t> </w:t>
      </w:r>
      <w:r w:rsidRPr="00CA5873">
        <w:rPr>
          <w:rFonts w:ascii="Times New Roman" w:hAnsi="Times New Roman"/>
          <w:sz w:val="28"/>
          <w:szCs w:val="24"/>
        </w:rPr>
        <w:t>сфере жилищного строительства является обеспечение растущих потребностей населения в</w:t>
      </w:r>
      <w:r>
        <w:rPr>
          <w:rFonts w:ascii="Times New Roman" w:hAnsi="Times New Roman"/>
          <w:sz w:val="28"/>
          <w:szCs w:val="24"/>
        </w:rPr>
        <w:t> </w:t>
      </w:r>
      <w:r w:rsidRPr="00CA5873">
        <w:rPr>
          <w:rFonts w:ascii="Times New Roman" w:hAnsi="Times New Roman"/>
          <w:sz w:val="28"/>
          <w:szCs w:val="24"/>
        </w:rPr>
        <w:t>жилье и</w:t>
      </w:r>
      <w:r>
        <w:rPr>
          <w:rFonts w:ascii="Times New Roman" w:hAnsi="Times New Roman"/>
          <w:sz w:val="28"/>
          <w:szCs w:val="24"/>
        </w:rPr>
        <w:t> </w:t>
      </w:r>
      <w:r w:rsidRPr="00CA5873">
        <w:rPr>
          <w:rFonts w:ascii="Times New Roman" w:hAnsi="Times New Roman"/>
          <w:sz w:val="28"/>
          <w:szCs w:val="24"/>
        </w:rPr>
        <w:t>достижение требуемого уровня средней жилищной обеспеченности.</w:t>
      </w:r>
    </w:p>
    <w:p w:rsidR="002D1E45" w:rsidRPr="00AC6DC2" w:rsidRDefault="002D1E45" w:rsidP="00857BD4">
      <w:pPr>
        <w:spacing w:after="0" w:line="240" w:lineRule="auto"/>
        <w:ind w:firstLine="709"/>
        <w:contextualSpacing/>
        <w:jc w:val="both"/>
        <w:rPr>
          <w:rFonts w:ascii="Times New Roman" w:hAnsi="Times New Roman"/>
          <w:sz w:val="28"/>
          <w:szCs w:val="24"/>
        </w:rPr>
      </w:pPr>
      <w:r w:rsidRPr="00AC6DC2">
        <w:rPr>
          <w:rFonts w:ascii="Times New Roman" w:hAnsi="Times New Roman"/>
          <w:sz w:val="28"/>
          <w:szCs w:val="24"/>
        </w:rPr>
        <w:t>В целях обеспечения жильём и</w:t>
      </w:r>
      <w:r>
        <w:rPr>
          <w:rFonts w:ascii="Times New Roman" w:hAnsi="Times New Roman"/>
          <w:sz w:val="28"/>
          <w:szCs w:val="24"/>
        </w:rPr>
        <w:t> </w:t>
      </w:r>
      <w:r w:rsidRPr="00AC6DC2">
        <w:rPr>
          <w:rFonts w:ascii="Times New Roman" w:hAnsi="Times New Roman"/>
          <w:sz w:val="28"/>
          <w:szCs w:val="24"/>
        </w:rPr>
        <w:t>улучшения жилищных условий граждан разработан</w:t>
      </w:r>
      <w:r>
        <w:rPr>
          <w:rFonts w:ascii="Times New Roman" w:hAnsi="Times New Roman"/>
          <w:sz w:val="28"/>
          <w:szCs w:val="24"/>
        </w:rPr>
        <w:t>ы</w:t>
      </w:r>
      <w:r w:rsidRPr="00AC6DC2">
        <w:rPr>
          <w:rFonts w:ascii="Times New Roman" w:hAnsi="Times New Roman"/>
          <w:sz w:val="28"/>
          <w:szCs w:val="24"/>
        </w:rPr>
        <w:t xml:space="preserve"> </w:t>
      </w:r>
      <w:r w:rsidRPr="008A0EDE">
        <w:rPr>
          <w:rFonts w:ascii="Times New Roman" w:hAnsi="Times New Roman"/>
          <w:sz w:val="28"/>
          <w:szCs w:val="24"/>
        </w:rPr>
        <w:t>государственн</w:t>
      </w:r>
      <w:r>
        <w:rPr>
          <w:rFonts w:ascii="Times New Roman" w:hAnsi="Times New Roman"/>
          <w:sz w:val="28"/>
          <w:szCs w:val="24"/>
        </w:rPr>
        <w:t>ые</w:t>
      </w:r>
      <w:r w:rsidRPr="008A0EDE">
        <w:rPr>
          <w:rFonts w:ascii="Times New Roman" w:hAnsi="Times New Roman"/>
          <w:sz w:val="28"/>
          <w:szCs w:val="24"/>
        </w:rPr>
        <w:t xml:space="preserve"> программ</w:t>
      </w:r>
      <w:r>
        <w:rPr>
          <w:rFonts w:ascii="Times New Roman" w:hAnsi="Times New Roman"/>
          <w:sz w:val="28"/>
          <w:szCs w:val="24"/>
        </w:rPr>
        <w:t>ы</w:t>
      </w:r>
      <w:r w:rsidRPr="008A0EDE">
        <w:rPr>
          <w:rFonts w:ascii="Times New Roman" w:hAnsi="Times New Roman"/>
          <w:sz w:val="28"/>
          <w:szCs w:val="24"/>
        </w:rPr>
        <w:t xml:space="preserve"> </w:t>
      </w:r>
      <w:r>
        <w:rPr>
          <w:rFonts w:ascii="Times New Roman" w:hAnsi="Times New Roman"/>
          <w:sz w:val="28"/>
          <w:szCs w:val="24"/>
        </w:rPr>
        <w:t>Новосибирской</w:t>
      </w:r>
      <w:r w:rsidRPr="008A0EDE">
        <w:rPr>
          <w:rFonts w:ascii="Times New Roman" w:hAnsi="Times New Roman"/>
          <w:sz w:val="28"/>
          <w:szCs w:val="24"/>
        </w:rPr>
        <w:t xml:space="preserve"> области </w:t>
      </w:r>
      <w:r w:rsidRPr="00B71FF8">
        <w:rPr>
          <w:rFonts w:ascii="Times New Roman" w:hAnsi="Times New Roman"/>
          <w:sz w:val="28"/>
          <w:szCs w:val="24"/>
        </w:rPr>
        <w:t>«Стимулирование развития жилищного строительства в</w:t>
      </w:r>
      <w:r>
        <w:rPr>
          <w:rFonts w:ascii="Times New Roman" w:hAnsi="Times New Roman"/>
          <w:sz w:val="28"/>
          <w:szCs w:val="24"/>
        </w:rPr>
        <w:t> </w:t>
      </w:r>
      <w:r w:rsidRPr="00B71FF8">
        <w:rPr>
          <w:rFonts w:ascii="Times New Roman" w:hAnsi="Times New Roman"/>
          <w:sz w:val="28"/>
          <w:szCs w:val="24"/>
        </w:rPr>
        <w:t>Новосибирской области на 2015-2020 годы»</w:t>
      </w:r>
      <w:r>
        <w:rPr>
          <w:rFonts w:ascii="Times New Roman" w:hAnsi="Times New Roman"/>
          <w:sz w:val="28"/>
          <w:szCs w:val="24"/>
        </w:rPr>
        <w:t xml:space="preserve"> и</w:t>
      </w:r>
      <w:r w:rsidRPr="00167577">
        <w:rPr>
          <w:rFonts w:ascii="Times New Roman" w:hAnsi="Times New Roman"/>
          <w:sz w:val="28"/>
          <w:szCs w:val="24"/>
        </w:rPr>
        <w:t xml:space="preserve"> «Обеспечение жильём молодых семей в</w:t>
      </w:r>
      <w:r>
        <w:rPr>
          <w:rFonts w:ascii="Times New Roman" w:hAnsi="Times New Roman"/>
          <w:sz w:val="28"/>
          <w:szCs w:val="24"/>
        </w:rPr>
        <w:t> </w:t>
      </w:r>
      <w:r w:rsidRPr="00167577">
        <w:rPr>
          <w:rFonts w:ascii="Times New Roman" w:hAnsi="Times New Roman"/>
          <w:sz w:val="28"/>
          <w:szCs w:val="24"/>
        </w:rPr>
        <w:t>Новосибирской области на 2015-2020 годы</w:t>
      </w:r>
      <w:r>
        <w:rPr>
          <w:rFonts w:ascii="Times New Roman" w:hAnsi="Times New Roman"/>
          <w:sz w:val="28"/>
          <w:szCs w:val="24"/>
        </w:rPr>
        <w:t>.</w:t>
      </w:r>
    </w:p>
    <w:p w:rsidR="002D1E45" w:rsidRPr="00AC6DC2" w:rsidRDefault="002D1E45" w:rsidP="00857BD4">
      <w:pPr>
        <w:spacing w:after="0" w:line="240" w:lineRule="auto"/>
        <w:ind w:firstLine="709"/>
        <w:contextualSpacing/>
        <w:jc w:val="both"/>
        <w:rPr>
          <w:rFonts w:ascii="Times New Roman" w:hAnsi="Times New Roman"/>
          <w:sz w:val="28"/>
          <w:szCs w:val="24"/>
        </w:rPr>
      </w:pPr>
      <w:r w:rsidRPr="00AC6DC2">
        <w:rPr>
          <w:rFonts w:ascii="Times New Roman" w:hAnsi="Times New Roman"/>
          <w:sz w:val="28"/>
          <w:szCs w:val="24"/>
        </w:rPr>
        <w:t>Основные задачи Программ:</w:t>
      </w:r>
    </w:p>
    <w:p w:rsidR="002D1E45" w:rsidRPr="008A0EDE" w:rsidRDefault="002D1E45" w:rsidP="00D05D06">
      <w:pPr>
        <w:pStyle w:val="ListParagraph"/>
        <w:numPr>
          <w:ilvl w:val="0"/>
          <w:numId w:val="61"/>
        </w:numPr>
        <w:spacing w:after="0" w:line="240" w:lineRule="auto"/>
        <w:jc w:val="both"/>
        <w:rPr>
          <w:rFonts w:ascii="Times New Roman" w:hAnsi="Times New Roman"/>
          <w:sz w:val="28"/>
          <w:szCs w:val="24"/>
        </w:rPr>
      </w:pPr>
      <w:r w:rsidRPr="008A0EDE">
        <w:rPr>
          <w:rFonts w:ascii="Times New Roman" w:hAnsi="Times New Roman"/>
          <w:sz w:val="28"/>
          <w:szCs w:val="24"/>
        </w:rPr>
        <w:t>Увеличение объёма ввода в</w:t>
      </w:r>
      <w:r>
        <w:rPr>
          <w:rFonts w:ascii="Times New Roman" w:hAnsi="Times New Roman"/>
          <w:sz w:val="28"/>
          <w:szCs w:val="24"/>
        </w:rPr>
        <w:t> </w:t>
      </w:r>
      <w:r w:rsidRPr="008A0EDE">
        <w:rPr>
          <w:rFonts w:ascii="Times New Roman" w:hAnsi="Times New Roman"/>
          <w:sz w:val="28"/>
          <w:szCs w:val="24"/>
        </w:rPr>
        <w:t>эксплуатацию жилья экономического класса и</w:t>
      </w:r>
      <w:r>
        <w:rPr>
          <w:rFonts w:ascii="Times New Roman" w:hAnsi="Times New Roman"/>
          <w:sz w:val="28"/>
          <w:szCs w:val="24"/>
        </w:rPr>
        <w:t> </w:t>
      </w:r>
      <w:r w:rsidRPr="008A0EDE">
        <w:rPr>
          <w:rFonts w:ascii="Times New Roman" w:hAnsi="Times New Roman"/>
          <w:sz w:val="28"/>
          <w:szCs w:val="24"/>
        </w:rPr>
        <w:t>объектов инфраструктуры;</w:t>
      </w:r>
    </w:p>
    <w:p w:rsidR="002D1E45" w:rsidRPr="008A0EDE" w:rsidRDefault="002D1E45" w:rsidP="00D05D06">
      <w:pPr>
        <w:pStyle w:val="ListParagraph"/>
        <w:numPr>
          <w:ilvl w:val="0"/>
          <w:numId w:val="61"/>
        </w:numPr>
        <w:spacing w:after="0" w:line="240" w:lineRule="auto"/>
        <w:jc w:val="both"/>
        <w:rPr>
          <w:rFonts w:ascii="Times New Roman" w:hAnsi="Times New Roman"/>
          <w:sz w:val="28"/>
          <w:szCs w:val="24"/>
        </w:rPr>
      </w:pPr>
      <w:r w:rsidRPr="008A0EDE">
        <w:rPr>
          <w:rFonts w:ascii="Times New Roman" w:hAnsi="Times New Roman"/>
          <w:sz w:val="28"/>
          <w:szCs w:val="24"/>
        </w:rPr>
        <w:t>Вовлечение в</w:t>
      </w:r>
      <w:r>
        <w:rPr>
          <w:rFonts w:ascii="Times New Roman" w:hAnsi="Times New Roman"/>
          <w:sz w:val="28"/>
          <w:szCs w:val="24"/>
        </w:rPr>
        <w:t> </w:t>
      </w:r>
      <w:r w:rsidRPr="008A0EDE">
        <w:rPr>
          <w:rFonts w:ascii="Times New Roman" w:hAnsi="Times New Roman"/>
          <w:sz w:val="28"/>
          <w:szCs w:val="24"/>
        </w:rPr>
        <w:t>оборот земельных участков в</w:t>
      </w:r>
      <w:r>
        <w:rPr>
          <w:rFonts w:ascii="Times New Roman" w:hAnsi="Times New Roman"/>
          <w:sz w:val="28"/>
          <w:szCs w:val="24"/>
        </w:rPr>
        <w:t> </w:t>
      </w:r>
      <w:r w:rsidRPr="008A0EDE">
        <w:rPr>
          <w:rFonts w:ascii="Times New Roman" w:hAnsi="Times New Roman"/>
          <w:sz w:val="28"/>
          <w:szCs w:val="24"/>
        </w:rPr>
        <w:t>целях строительства жилья эконом класса и</w:t>
      </w:r>
      <w:r>
        <w:rPr>
          <w:rFonts w:ascii="Times New Roman" w:hAnsi="Times New Roman"/>
          <w:sz w:val="28"/>
          <w:szCs w:val="24"/>
        </w:rPr>
        <w:t> </w:t>
      </w:r>
      <w:r w:rsidRPr="008A0EDE">
        <w:rPr>
          <w:rFonts w:ascii="Times New Roman" w:hAnsi="Times New Roman"/>
          <w:sz w:val="28"/>
          <w:szCs w:val="24"/>
        </w:rPr>
        <w:t>обустройство территорий посредством строительства объектов социальной, транспортной и</w:t>
      </w:r>
      <w:r>
        <w:rPr>
          <w:rFonts w:ascii="Times New Roman" w:hAnsi="Times New Roman"/>
          <w:sz w:val="28"/>
          <w:szCs w:val="24"/>
        </w:rPr>
        <w:t> </w:t>
      </w:r>
      <w:r w:rsidRPr="008A0EDE">
        <w:rPr>
          <w:rFonts w:ascii="Times New Roman" w:hAnsi="Times New Roman"/>
          <w:sz w:val="28"/>
          <w:szCs w:val="24"/>
        </w:rPr>
        <w:t>инженерной инфраструктуры;</w:t>
      </w:r>
    </w:p>
    <w:p w:rsidR="002D1E45" w:rsidRPr="008A0EDE" w:rsidRDefault="002D1E45" w:rsidP="00D05D06">
      <w:pPr>
        <w:pStyle w:val="ListParagraph"/>
        <w:numPr>
          <w:ilvl w:val="0"/>
          <w:numId w:val="61"/>
        </w:numPr>
        <w:spacing w:after="0" w:line="240" w:lineRule="auto"/>
        <w:jc w:val="both"/>
        <w:rPr>
          <w:rFonts w:ascii="Times New Roman" w:hAnsi="Times New Roman"/>
          <w:sz w:val="28"/>
          <w:szCs w:val="24"/>
        </w:rPr>
      </w:pPr>
      <w:r w:rsidRPr="008A0EDE">
        <w:rPr>
          <w:rFonts w:ascii="Times New Roman" w:hAnsi="Times New Roman"/>
          <w:sz w:val="28"/>
          <w:szCs w:val="24"/>
        </w:rPr>
        <w:t>Разработка и</w:t>
      </w:r>
      <w:r>
        <w:rPr>
          <w:rFonts w:ascii="Times New Roman" w:hAnsi="Times New Roman"/>
          <w:sz w:val="28"/>
          <w:szCs w:val="24"/>
        </w:rPr>
        <w:t> </w:t>
      </w:r>
      <w:r w:rsidRPr="008A0EDE">
        <w:rPr>
          <w:rFonts w:ascii="Times New Roman" w:hAnsi="Times New Roman"/>
          <w:sz w:val="28"/>
          <w:szCs w:val="24"/>
        </w:rPr>
        <w:t>реализация документов территориального планирования, градостроительного зонирования, документации по</w:t>
      </w:r>
      <w:r>
        <w:rPr>
          <w:rFonts w:ascii="Times New Roman" w:hAnsi="Times New Roman"/>
          <w:sz w:val="28"/>
          <w:szCs w:val="24"/>
        </w:rPr>
        <w:t> </w:t>
      </w:r>
      <w:r w:rsidRPr="008A0EDE">
        <w:rPr>
          <w:rFonts w:ascii="Times New Roman" w:hAnsi="Times New Roman"/>
          <w:sz w:val="28"/>
          <w:szCs w:val="24"/>
        </w:rPr>
        <w:t>планировке территории;</w:t>
      </w:r>
    </w:p>
    <w:p w:rsidR="002D1E45" w:rsidRPr="008A0EDE" w:rsidRDefault="002D1E45" w:rsidP="00D05D06">
      <w:pPr>
        <w:pStyle w:val="ListParagraph"/>
        <w:numPr>
          <w:ilvl w:val="0"/>
          <w:numId w:val="61"/>
        </w:numPr>
        <w:spacing w:after="0" w:line="240" w:lineRule="auto"/>
        <w:jc w:val="both"/>
        <w:rPr>
          <w:rFonts w:ascii="Times New Roman" w:hAnsi="Times New Roman"/>
          <w:sz w:val="28"/>
          <w:szCs w:val="24"/>
        </w:rPr>
      </w:pPr>
      <w:r w:rsidRPr="008A0EDE">
        <w:rPr>
          <w:rFonts w:ascii="Times New Roman" w:hAnsi="Times New Roman"/>
          <w:sz w:val="28"/>
          <w:szCs w:val="24"/>
        </w:rPr>
        <w:t>Снижение административных барьеров в</w:t>
      </w:r>
      <w:r>
        <w:rPr>
          <w:rFonts w:ascii="Times New Roman" w:hAnsi="Times New Roman"/>
          <w:sz w:val="28"/>
          <w:szCs w:val="24"/>
        </w:rPr>
        <w:t> </w:t>
      </w:r>
      <w:r w:rsidRPr="008A0EDE">
        <w:rPr>
          <w:rFonts w:ascii="Times New Roman" w:hAnsi="Times New Roman"/>
          <w:sz w:val="28"/>
          <w:szCs w:val="24"/>
        </w:rPr>
        <w:t>строительстве;</w:t>
      </w:r>
    </w:p>
    <w:p w:rsidR="002D1E45" w:rsidRPr="008A0EDE" w:rsidRDefault="002D1E45" w:rsidP="00D05D06">
      <w:pPr>
        <w:pStyle w:val="ListParagraph"/>
        <w:numPr>
          <w:ilvl w:val="0"/>
          <w:numId w:val="61"/>
        </w:numPr>
        <w:spacing w:after="0" w:line="240" w:lineRule="auto"/>
        <w:jc w:val="both"/>
        <w:rPr>
          <w:rFonts w:ascii="Times New Roman" w:hAnsi="Times New Roman"/>
          <w:sz w:val="28"/>
          <w:szCs w:val="24"/>
        </w:rPr>
      </w:pPr>
      <w:r w:rsidRPr="008A0EDE">
        <w:rPr>
          <w:rFonts w:ascii="Times New Roman" w:hAnsi="Times New Roman"/>
          <w:sz w:val="28"/>
          <w:szCs w:val="24"/>
        </w:rPr>
        <w:t>Содействие внедрению новых современных, энергоэффективных и</w:t>
      </w:r>
      <w:r>
        <w:rPr>
          <w:rFonts w:ascii="Times New Roman" w:hAnsi="Times New Roman"/>
          <w:sz w:val="28"/>
          <w:szCs w:val="24"/>
        </w:rPr>
        <w:t> </w:t>
      </w:r>
      <w:r w:rsidRPr="008A0EDE">
        <w:rPr>
          <w:rFonts w:ascii="Times New Roman" w:hAnsi="Times New Roman"/>
          <w:sz w:val="28"/>
          <w:szCs w:val="24"/>
        </w:rPr>
        <w:t>ресурсосберегающих технологий в</w:t>
      </w:r>
      <w:r>
        <w:rPr>
          <w:rFonts w:ascii="Times New Roman" w:hAnsi="Times New Roman"/>
          <w:sz w:val="28"/>
          <w:szCs w:val="24"/>
        </w:rPr>
        <w:t> </w:t>
      </w:r>
      <w:r w:rsidRPr="008A0EDE">
        <w:rPr>
          <w:rFonts w:ascii="Times New Roman" w:hAnsi="Times New Roman"/>
          <w:sz w:val="28"/>
          <w:szCs w:val="24"/>
        </w:rPr>
        <w:t>жилищное строительство и</w:t>
      </w:r>
      <w:r>
        <w:rPr>
          <w:rFonts w:ascii="Times New Roman" w:hAnsi="Times New Roman"/>
          <w:sz w:val="28"/>
          <w:szCs w:val="24"/>
        </w:rPr>
        <w:t> </w:t>
      </w:r>
      <w:r w:rsidRPr="008A0EDE">
        <w:rPr>
          <w:rFonts w:ascii="Times New Roman" w:hAnsi="Times New Roman"/>
          <w:sz w:val="28"/>
          <w:szCs w:val="24"/>
        </w:rPr>
        <w:t>производство строительных материалов, используемых в</w:t>
      </w:r>
      <w:r>
        <w:rPr>
          <w:rFonts w:ascii="Times New Roman" w:hAnsi="Times New Roman"/>
          <w:sz w:val="28"/>
          <w:szCs w:val="24"/>
        </w:rPr>
        <w:t> </w:t>
      </w:r>
      <w:r w:rsidRPr="008A0EDE">
        <w:rPr>
          <w:rFonts w:ascii="Times New Roman" w:hAnsi="Times New Roman"/>
          <w:sz w:val="28"/>
          <w:szCs w:val="24"/>
        </w:rPr>
        <w:t>жилищном строительстве;</w:t>
      </w:r>
    </w:p>
    <w:p w:rsidR="002D1E45" w:rsidRPr="008A0EDE" w:rsidRDefault="002D1E45" w:rsidP="00D05D06">
      <w:pPr>
        <w:pStyle w:val="ListParagraph"/>
        <w:numPr>
          <w:ilvl w:val="0"/>
          <w:numId w:val="61"/>
        </w:numPr>
        <w:spacing w:after="0" w:line="240" w:lineRule="auto"/>
        <w:jc w:val="both"/>
        <w:rPr>
          <w:rFonts w:ascii="Times New Roman" w:hAnsi="Times New Roman"/>
          <w:sz w:val="28"/>
          <w:szCs w:val="24"/>
        </w:rPr>
      </w:pPr>
      <w:r w:rsidRPr="008A0EDE">
        <w:rPr>
          <w:rFonts w:ascii="Times New Roman" w:hAnsi="Times New Roman"/>
          <w:sz w:val="28"/>
          <w:szCs w:val="24"/>
        </w:rPr>
        <w:t>Повышение доступности ипотечных жилищных кредитов для населения;</w:t>
      </w:r>
    </w:p>
    <w:p w:rsidR="002D1E45" w:rsidRPr="008A0EDE" w:rsidRDefault="002D1E45" w:rsidP="00D05D06">
      <w:pPr>
        <w:pStyle w:val="ListParagraph"/>
        <w:numPr>
          <w:ilvl w:val="0"/>
          <w:numId w:val="61"/>
        </w:numPr>
        <w:spacing w:after="0" w:line="240" w:lineRule="auto"/>
        <w:jc w:val="both"/>
        <w:rPr>
          <w:rFonts w:ascii="Times New Roman" w:hAnsi="Times New Roman"/>
          <w:sz w:val="28"/>
          <w:szCs w:val="24"/>
        </w:rPr>
      </w:pPr>
      <w:r w:rsidRPr="008A0EDE">
        <w:rPr>
          <w:rFonts w:ascii="Times New Roman" w:hAnsi="Times New Roman"/>
          <w:sz w:val="28"/>
          <w:szCs w:val="24"/>
        </w:rPr>
        <w:t>Расселение аварийного жилищного фонда;</w:t>
      </w:r>
    </w:p>
    <w:p w:rsidR="002D1E45" w:rsidRPr="008A0EDE" w:rsidRDefault="002D1E45" w:rsidP="00D05D06">
      <w:pPr>
        <w:pStyle w:val="ListParagraph"/>
        <w:numPr>
          <w:ilvl w:val="0"/>
          <w:numId w:val="61"/>
        </w:numPr>
        <w:spacing w:after="0" w:line="240" w:lineRule="auto"/>
        <w:jc w:val="both"/>
        <w:rPr>
          <w:rFonts w:ascii="Times New Roman" w:hAnsi="Times New Roman"/>
          <w:sz w:val="28"/>
          <w:szCs w:val="24"/>
        </w:rPr>
      </w:pPr>
      <w:r w:rsidRPr="008A0EDE">
        <w:rPr>
          <w:rFonts w:ascii="Times New Roman" w:hAnsi="Times New Roman"/>
          <w:sz w:val="28"/>
          <w:szCs w:val="24"/>
        </w:rPr>
        <w:t>Выполнение государственных обязательств по</w:t>
      </w:r>
      <w:r>
        <w:rPr>
          <w:rFonts w:ascii="Times New Roman" w:hAnsi="Times New Roman"/>
          <w:sz w:val="28"/>
          <w:szCs w:val="24"/>
        </w:rPr>
        <w:t> </w:t>
      </w:r>
      <w:r w:rsidRPr="008A0EDE">
        <w:rPr>
          <w:rFonts w:ascii="Times New Roman" w:hAnsi="Times New Roman"/>
          <w:sz w:val="28"/>
          <w:szCs w:val="24"/>
        </w:rPr>
        <w:t>обеспечению жильём отдельных категорий граждан, установленных федеральным и</w:t>
      </w:r>
      <w:r>
        <w:rPr>
          <w:rFonts w:ascii="Times New Roman" w:hAnsi="Times New Roman"/>
          <w:sz w:val="28"/>
          <w:szCs w:val="24"/>
        </w:rPr>
        <w:t> </w:t>
      </w:r>
      <w:r w:rsidRPr="008A0EDE">
        <w:rPr>
          <w:rFonts w:ascii="Times New Roman" w:hAnsi="Times New Roman"/>
          <w:sz w:val="28"/>
          <w:szCs w:val="24"/>
        </w:rPr>
        <w:t>областным законодательством;</w:t>
      </w:r>
    </w:p>
    <w:p w:rsidR="002D1E45" w:rsidRDefault="002D1E45" w:rsidP="00D05D06">
      <w:pPr>
        <w:pStyle w:val="ListParagraph"/>
        <w:numPr>
          <w:ilvl w:val="0"/>
          <w:numId w:val="61"/>
        </w:numPr>
        <w:spacing w:after="0" w:line="240" w:lineRule="auto"/>
        <w:jc w:val="both"/>
        <w:rPr>
          <w:rFonts w:ascii="Times New Roman" w:hAnsi="Times New Roman"/>
          <w:sz w:val="28"/>
          <w:szCs w:val="24"/>
        </w:rPr>
      </w:pPr>
      <w:r w:rsidRPr="008A0EDE">
        <w:rPr>
          <w:rFonts w:ascii="Times New Roman" w:hAnsi="Times New Roman"/>
          <w:sz w:val="28"/>
          <w:szCs w:val="24"/>
        </w:rPr>
        <w:t>Создание условий для увеличения объёма капитального ремонта жилищного фонда для повышения его комфортности и</w:t>
      </w:r>
      <w:r>
        <w:rPr>
          <w:rFonts w:ascii="Times New Roman" w:hAnsi="Times New Roman"/>
          <w:sz w:val="28"/>
          <w:szCs w:val="24"/>
        </w:rPr>
        <w:t> </w:t>
      </w:r>
      <w:r w:rsidRPr="008A0EDE">
        <w:rPr>
          <w:rFonts w:ascii="Times New Roman" w:hAnsi="Times New Roman"/>
          <w:sz w:val="28"/>
          <w:szCs w:val="24"/>
        </w:rPr>
        <w:t>энергоэффективности;</w:t>
      </w:r>
    </w:p>
    <w:p w:rsidR="002D1E45" w:rsidRPr="00AC6DC2" w:rsidRDefault="002D1E45" w:rsidP="00D05D06">
      <w:pPr>
        <w:pStyle w:val="ListParagraph"/>
        <w:numPr>
          <w:ilvl w:val="0"/>
          <w:numId w:val="61"/>
        </w:numPr>
        <w:spacing w:after="0" w:line="240" w:lineRule="auto"/>
        <w:jc w:val="both"/>
        <w:rPr>
          <w:rFonts w:ascii="Times New Roman" w:hAnsi="Times New Roman"/>
          <w:sz w:val="28"/>
          <w:szCs w:val="24"/>
        </w:rPr>
      </w:pPr>
      <w:r>
        <w:rPr>
          <w:rFonts w:ascii="Times New Roman" w:hAnsi="Times New Roman"/>
          <w:sz w:val="28"/>
          <w:szCs w:val="24"/>
        </w:rPr>
        <w:t>П</w:t>
      </w:r>
      <w:r w:rsidRPr="008A0EDE">
        <w:rPr>
          <w:rFonts w:ascii="Times New Roman" w:hAnsi="Times New Roman"/>
          <w:sz w:val="28"/>
          <w:szCs w:val="24"/>
        </w:rPr>
        <w:t xml:space="preserve">редоставление молодым семьям, проживающим </w:t>
      </w:r>
      <w:r>
        <w:rPr>
          <w:rFonts w:ascii="Times New Roman" w:hAnsi="Times New Roman"/>
          <w:sz w:val="28"/>
          <w:szCs w:val="24"/>
        </w:rPr>
        <w:t>в том числе и </w:t>
      </w:r>
      <w:r w:rsidRPr="008A0EDE">
        <w:rPr>
          <w:rFonts w:ascii="Times New Roman" w:hAnsi="Times New Roman"/>
          <w:sz w:val="28"/>
          <w:szCs w:val="24"/>
        </w:rPr>
        <w:t>на</w:t>
      </w:r>
      <w:r>
        <w:rPr>
          <w:rFonts w:ascii="Times New Roman" w:hAnsi="Times New Roman"/>
          <w:sz w:val="28"/>
          <w:szCs w:val="24"/>
        </w:rPr>
        <w:t> </w:t>
      </w:r>
      <w:r w:rsidRPr="008A0EDE">
        <w:rPr>
          <w:rFonts w:ascii="Times New Roman" w:hAnsi="Times New Roman"/>
          <w:sz w:val="28"/>
          <w:szCs w:val="24"/>
        </w:rPr>
        <w:t xml:space="preserve">территории </w:t>
      </w:r>
      <w:r>
        <w:rPr>
          <w:rFonts w:ascii="Times New Roman" w:hAnsi="Times New Roman"/>
          <w:sz w:val="28"/>
          <w:szCs w:val="28"/>
        </w:rPr>
        <w:t xml:space="preserve">Куйбышевского </w:t>
      </w:r>
      <w:r w:rsidRPr="008A0EDE">
        <w:rPr>
          <w:rFonts w:ascii="Times New Roman" w:hAnsi="Times New Roman"/>
          <w:sz w:val="28"/>
          <w:szCs w:val="24"/>
        </w:rPr>
        <w:t>района, социальных выплат на</w:t>
      </w:r>
      <w:r>
        <w:rPr>
          <w:rFonts w:ascii="Times New Roman" w:hAnsi="Times New Roman"/>
          <w:sz w:val="28"/>
          <w:szCs w:val="24"/>
        </w:rPr>
        <w:t> </w:t>
      </w:r>
      <w:r w:rsidRPr="008A0EDE">
        <w:rPr>
          <w:rFonts w:ascii="Times New Roman" w:hAnsi="Times New Roman"/>
          <w:sz w:val="28"/>
          <w:szCs w:val="24"/>
        </w:rPr>
        <w:t>приобретение жилья эконом класса или строительство индивидуального жилого дома эконом класса</w:t>
      </w:r>
      <w:r>
        <w:rPr>
          <w:rFonts w:ascii="Times New Roman" w:hAnsi="Times New Roman"/>
          <w:sz w:val="28"/>
          <w:szCs w:val="24"/>
        </w:rPr>
        <w:t>.</w:t>
      </w:r>
    </w:p>
    <w:p w:rsidR="002D1E45" w:rsidRPr="003A7901" w:rsidRDefault="002D1E45" w:rsidP="00857BD4">
      <w:pPr>
        <w:spacing w:after="0" w:line="240" w:lineRule="auto"/>
        <w:ind w:firstLine="709"/>
        <w:contextualSpacing/>
        <w:jc w:val="both"/>
        <w:rPr>
          <w:rFonts w:ascii="Times New Roman" w:hAnsi="Times New Roman"/>
          <w:sz w:val="28"/>
          <w:szCs w:val="24"/>
        </w:rPr>
      </w:pPr>
      <w:r w:rsidRPr="003A7901">
        <w:rPr>
          <w:rFonts w:ascii="Times New Roman" w:hAnsi="Times New Roman"/>
          <w:sz w:val="28"/>
          <w:szCs w:val="24"/>
        </w:rPr>
        <w:t>Дополнительное развитие жилищного строительства стало возможным и</w:t>
      </w:r>
      <w:r>
        <w:rPr>
          <w:rFonts w:ascii="Times New Roman" w:hAnsi="Times New Roman"/>
          <w:sz w:val="28"/>
          <w:szCs w:val="24"/>
        </w:rPr>
        <w:t> </w:t>
      </w:r>
      <w:r w:rsidRPr="003A7901">
        <w:rPr>
          <w:rFonts w:ascii="Times New Roman" w:hAnsi="Times New Roman"/>
          <w:sz w:val="28"/>
          <w:szCs w:val="24"/>
        </w:rPr>
        <w:t>в</w:t>
      </w:r>
      <w:r>
        <w:rPr>
          <w:rFonts w:ascii="Times New Roman" w:hAnsi="Times New Roman"/>
          <w:sz w:val="28"/>
          <w:szCs w:val="24"/>
        </w:rPr>
        <w:t> </w:t>
      </w:r>
      <w:r w:rsidRPr="003A7901">
        <w:rPr>
          <w:rFonts w:ascii="Times New Roman" w:hAnsi="Times New Roman"/>
          <w:sz w:val="28"/>
          <w:szCs w:val="24"/>
        </w:rPr>
        <w:t>связи с</w:t>
      </w:r>
      <w:r>
        <w:rPr>
          <w:rFonts w:ascii="Times New Roman" w:hAnsi="Times New Roman"/>
          <w:sz w:val="28"/>
          <w:szCs w:val="24"/>
        </w:rPr>
        <w:t> </w:t>
      </w:r>
      <w:r w:rsidRPr="003A7901">
        <w:rPr>
          <w:rFonts w:ascii="Times New Roman" w:hAnsi="Times New Roman"/>
          <w:sz w:val="28"/>
          <w:szCs w:val="24"/>
        </w:rPr>
        <w:t>тем, что в</w:t>
      </w:r>
      <w:r>
        <w:rPr>
          <w:rFonts w:ascii="Times New Roman" w:hAnsi="Times New Roman"/>
          <w:sz w:val="28"/>
          <w:szCs w:val="24"/>
        </w:rPr>
        <w:t> </w:t>
      </w:r>
      <w:r w:rsidRPr="003A7901">
        <w:rPr>
          <w:rFonts w:ascii="Times New Roman" w:hAnsi="Times New Roman"/>
          <w:sz w:val="28"/>
          <w:szCs w:val="24"/>
        </w:rPr>
        <w:t>соответствии с</w:t>
      </w:r>
      <w:r>
        <w:rPr>
          <w:rFonts w:ascii="Times New Roman" w:hAnsi="Times New Roman"/>
          <w:sz w:val="28"/>
          <w:szCs w:val="24"/>
        </w:rPr>
        <w:t> </w:t>
      </w:r>
      <w:r w:rsidRPr="003A7901">
        <w:rPr>
          <w:rFonts w:ascii="Times New Roman" w:hAnsi="Times New Roman"/>
          <w:sz w:val="28"/>
          <w:szCs w:val="24"/>
        </w:rPr>
        <w:t>Жилищным Кодексом РФ</w:t>
      </w:r>
      <w:r>
        <w:rPr>
          <w:rFonts w:ascii="Times New Roman" w:hAnsi="Times New Roman"/>
          <w:sz w:val="28"/>
          <w:szCs w:val="24"/>
        </w:rPr>
        <w:t> </w:t>
      </w:r>
      <w:r w:rsidRPr="003A7901">
        <w:rPr>
          <w:rFonts w:ascii="Times New Roman" w:hAnsi="Times New Roman"/>
          <w:sz w:val="28"/>
          <w:szCs w:val="24"/>
        </w:rPr>
        <w:t>и</w:t>
      </w:r>
      <w:r>
        <w:rPr>
          <w:rFonts w:ascii="Times New Roman" w:hAnsi="Times New Roman"/>
          <w:sz w:val="28"/>
          <w:szCs w:val="24"/>
        </w:rPr>
        <w:t> </w:t>
      </w:r>
      <w:r w:rsidRPr="003A7901">
        <w:rPr>
          <w:rFonts w:ascii="Times New Roman" w:hAnsi="Times New Roman"/>
          <w:sz w:val="28"/>
          <w:szCs w:val="24"/>
        </w:rPr>
        <w:t>постановлением Правительства РФ</w:t>
      </w:r>
      <w:r>
        <w:rPr>
          <w:rFonts w:ascii="Times New Roman" w:hAnsi="Times New Roman"/>
          <w:sz w:val="28"/>
          <w:szCs w:val="24"/>
        </w:rPr>
        <w:t> </w:t>
      </w:r>
      <w:r w:rsidRPr="003A7901">
        <w:rPr>
          <w:rFonts w:ascii="Times New Roman" w:hAnsi="Times New Roman"/>
          <w:sz w:val="28"/>
          <w:szCs w:val="24"/>
        </w:rPr>
        <w:t>от 17.12.2010 № 1050 «О федеральной целевой программе «Жилище» на 2015</w:t>
      </w:r>
      <w:r w:rsidRPr="003A7901">
        <w:rPr>
          <w:rFonts w:ascii="Times New Roman" w:hAnsi="Times New Roman"/>
          <w:sz w:val="28"/>
          <w:szCs w:val="24"/>
        </w:rPr>
        <w:noBreakHyphen/>
        <w:t>2020 годы», на</w:t>
      </w:r>
      <w:r>
        <w:rPr>
          <w:rFonts w:ascii="Times New Roman" w:hAnsi="Times New Roman"/>
          <w:sz w:val="28"/>
          <w:szCs w:val="24"/>
        </w:rPr>
        <w:t> </w:t>
      </w:r>
      <w:r w:rsidRPr="003A7901">
        <w:rPr>
          <w:rFonts w:ascii="Times New Roman" w:hAnsi="Times New Roman"/>
          <w:sz w:val="28"/>
          <w:szCs w:val="24"/>
        </w:rPr>
        <w:t>территории муниципального образования предусматривается реализация следующих подпрограмм федеральной целевой программы:</w:t>
      </w:r>
    </w:p>
    <w:p w:rsidR="002D1E45" w:rsidRPr="003A7901" w:rsidRDefault="002D1E45" w:rsidP="00852938">
      <w:pPr>
        <w:numPr>
          <w:ilvl w:val="0"/>
          <w:numId w:val="24"/>
        </w:numPr>
        <w:tabs>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подпрограмма «Обеспечение жильём молодых семей»;</w:t>
      </w:r>
    </w:p>
    <w:p w:rsidR="002D1E45" w:rsidRPr="003A7901" w:rsidRDefault="002D1E45" w:rsidP="00852938">
      <w:pPr>
        <w:numPr>
          <w:ilvl w:val="0"/>
          <w:numId w:val="24"/>
        </w:numPr>
        <w:tabs>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подпрограмма «Выполнение государственных обязательств по</w:t>
      </w:r>
      <w:r>
        <w:rPr>
          <w:rFonts w:ascii="Times New Roman" w:hAnsi="Times New Roman"/>
          <w:sz w:val="28"/>
          <w:szCs w:val="24"/>
        </w:rPr>
        <w:t> </w:t>
      </w:r>
      <w:r w:rsidRPr="003A7901">
        <w:rPr>
          <w:rFonts w:ascii="Times New Roman" w:hAnsi="Times New Roman"/>
          <w:sz w:val="28"/>
          <w:szCs w:val="24"/>
        </w:rPr>
        <w:t>обеспечению жильём категорий граждан, установленных федеральным законодательством».</w:t>
      </w:r>
    </w:p>
    <w:p w:rsidR="002D1E45" w:rsidRPr="003A7901" w:rsidRDefault="002D1E45" w:rsidP="00857BD4">
      <w:pPr>
        <w:spacing w:after="0" w:line="240" w:lineRule="auto"/>
        <w:ind w:firstLine="709"/>
        <w:contextualSpacing/>
        <w:jc w:val="both"/>
        <w:rPr>
          <w:rFonts w:ascii="Times New Roman" w:hAnsi="Times New Roman"/>
          <w:sz w:val="28"/>
          <w:szCs w:val="24"/>
        </w:rPr>
      </w:pPr>
      <w:r w:rsidRPr="003A7901">
        <w:rPr>
          <w:rFonts w:ascii="Times New Roman" w:hAnsi="Times New Roman"/>
          <w:sz w:val="28"/>
          <w:szCs w:val="24"/>
        </w:rPr>
        <w:t>Основной стратегической задачей после реализации данных программ будет обеспечение устойчивого функционирования жилищной сферы, которое позволит удовлетворять жилищные потребности населения без существенного участия государства и</w:t>
      </w:r>
      <w:r>
        <w:rPr>
          <w:rFonts w:ascii="Times New Roman" w:hAnsi="Times New Roman"/>
          <w:sz w:val="28"/>
          <w:szCs w:val="24"/>
        </w:rPr>
        <w:t> </w:t>
      </w:r>
      <w:r w:rsidRPr="003A7901">
        <w:rPr>
          <w:rFonts w:ascii="Times New Roman" w:hAnsi="Times New Roman"/>
          <w:sz w:val="28"/>
          <w:szCs w:val="24"/>
        </w:rPr>
        <w:t xml:space="preserve">привлечения значительных объёмов бюджетных средств. </w:t>
      </w:r>
    </w:p>
    <w:p w:rsidR="002D1E45" w:rsidRPr="003A7901" w:rsidRDefault="002D1E45" w:rsidP="00857BD4">
      <w:pPr>
        <w:spacing w:after="0" w:line="240" w:lineRule="auto"/>
        <w:ind w:firstLine="709"/>
        <w:contextualSpacing/>
        <w:jc w:val="both"/>
        <w:rPr>
          <w:rFonts w:ascii="Times New Roman" w:hAnsi="Times New Roman"/>
          <w:sz w:val="28"/>
          <w:szCs w:val="24"/>
        </w:rPr>
      </w:pPr>
      <w:r w:rsidRPr="003A7901">
        <w:rPr>
          <w:rFonts w:ascii="Times New Roman" w:hAnsi="Times New Roman"/>
          <w:sz w:val="28"/>
          <w:szCs w:val="24"/>
        </w:rPr>
        <w:t>Для достижения поставленных целей необходимо решение следующих задач:</w:t>
      </w:r>
    </w:p>
    <w:p w:rsidR="002D1E45" w:rsidRPr="003A7901" w:rsidRDefault="002D1E45" w:rsidP="00852938">
      <w:pPr>
        <w:numPr>
          <w:ilvl w:val="0"/>
          <w:numId w:val="24"/>
        </w:numPr>
        <w:tabs>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широкое применение малоэтажной застройки различных типов (усадебная, коттеджная, высокоплотная малоэтажная блокированная застройка);</w:t>
      </w:r>
    </w:p>
    <w:p w:rsidR="002D1E45" w:rsidRPr="003A7901" w:rsidRDefault="002D1E45" w:rsidP="00852938">
      <w:pPr>
        <w:numPr>
          <w:ilvl w:val="0"/>
          <w:numId w:val="24"/>
        </w:numPr>
        <w:tabs>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создание условий для улучшения демографической ситуации в</w:t>
      </w:r>
      <w:r>
        <w:rPr>
          <w:rFonts w:ascii="Times New Roman" w:hAnsi="Times New Roman"/>
          <w:sz w:val="28"/>
          <w:szCs w:val="24"/>
        </w:rPr>
        <w:t> </w:t>
      </w:r>
      <w:r>
        <w:rPr>
          <w:rFonts w:ascii="Times New Roman" w:hAnsi="Times New Roman"/>
          <w:sz w:val="28"/>
          <w:szCs w:val="24"/>
          <w:lang w:eastAsia="ru-RU"/>
        </w:rPr>
        <w:t>городе Куйбышеве</w:t>
      </w:r>
      <w:r w:rsidRPr="003A7901">
        <w:rPr>
          <w:rFonts w:ascii="Times New Roman" w:hAnsi="Times New Roman"/>
          <w:sz w:val="28"/>
          <w:szCs w:val="24"/>
        </w:rPr>
        <w:t>;</w:t>
      </w:r>
    </w:p>
    <w:p w:rsidR="002D1E45" w:rsidRPr="003A7901" w:rsidRDefault="002D1E45" w:rsidP="00852938">
      <w:pPr>
        <w:numPr>
          <w:ilvl w:val="0"/>
          <w:numId w:val="24"/>
        </w:numPr>
        <w:tabs>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комплексное решение вопросов ликвидации непригодного для проживания жилья и</w:t>
      </w:r>
      <w:r>
        <w:rPr>
          <w:rFonts w:ascii="Times New Roman" w:hAnsi="Times New Roman"/>
          <w:sz w:val="28"/>
          <w:szCs w:val="24"/>
        </w:rPr>
        <w:t> </w:t>
      </w:r>
      <w:r w:rsidRPr="003A7901">
        <w:rPr>
          <w:rFonts w:ascii="Times New Roman" w:hAnsi="Times New Roman"/>
          <w:sz w:val="28"/>
          <w:szCs w:val="24"/>
        </w:rPr>
        <w:t>строительство нового жилья;</w:t>
      </w:r>
    </w:p>
    <w:p w:rsidR="002D1E45" w:rsidRPr="003A7901" w:rsidRDefault="002D1E45" w:rsidP="00852938">
      <w:pPr>
        <w:numPr>
          <w:ilvl w:val="0"/>
          <w:numId w:val="24"/>
        </w:numPr>
        <w:tabs>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поддержка инвесторов и</w:t>
      </w:r>
      <w:r>
        <w:rPr>
          <w:rFonts w:ascii="Times New Roman" w:hAnsi="Times New Roman"/>
          <w:sz w:val="28"/>
          <w:szCs w:val="24"/>
        </w:rPr>
        <w:t> </w:t>
      </w:r>
      <w:r w:rsidRPr="003A7901">
        <w:rPr>
          <w:rFonts w:ascii="Times New Roman" w:hAnsi="Times New Roman"/>
          <w:sz w:val="28"/>
          <w:szCs w:val="24"/>
        </w:rPr>
        <w:t>застройщиков предоставлением налоговых льгот;</w:t>
      </w:r>
    </w:p>
    <w:p w:rsidR="002D1E45" w:rsidRPr="003A7901" w:rsidRDefault="002D1E45" w:rsidP="00852938">
      <w:pPr>
        <w:numPr>
          <w:ilvl w:val="0"/>
          <w:numId w:val="24"/>
        </w:numPr>
        <w:tabs>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развитие промышленности строительной индустрии и</w:t>
      </w:r>
      <w:r>
        <w:rPr>
          <w:rFonts w:ascii="Times New Roman" w:hAnsi="Times New Roman"/>
          <w:sz w:val="28"/>
          <w:szCs w:val="24"/>
        </w:rPr>
        <w:t> </w:t>
      </w:r>
      <w:r w:rsidRPr="003A7901">
        <w:rPr>
          <w:rFonts w:ascii="Times New Roman" w:hAnsi="Times New Roman"/>
          <w:sz w:val="28"/>
          <w:szCs w:val="24"/>
        </w:rPr>
        <w:t>строительных материалов;</w:t>
      </w:r>
    </w:p>
    <w:p w:rsidR="002D1E45" w:rsidRPr="003A7901" w:rsidRDefault="002D1E45" w:rsidP="00852938">
      <w:pPr>
        <w:numPr>
          <w:ilvl w:val="0"/>
          <w:numId w:val="24"/>
        </w:numPr>
        <w:tabs>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обеспечение опережающего развития коммунальной инфраструктуры для увеличения предложения жилья на</w:t>
      </w:r>
      <w:r>
        <w:rPr>
          <w:rFonts w:ascii="Times New Roman" w:hAnsi="Times New Roman"/>
          <w:sz w:val="28"/>
          <w:szCs w:val="24"/>
        </w:rPr>
        <w:t> </w:t>
      </w:r>
      <w:r w:rsidRPr="003A7901">
        <w:rPr>
          <w:rFonts w:ascii="Times New Roman" w:hAnsi="Times New Roman"/>
          <w:sz w:val="28"/>
          <w:szCs w:val="24"/>
        </w:rPr>
        <w:t>конкурентном рынке жилищного строительства, формирование рынка подготовленных к</w:t>
      </w:r>
      <w:r>
        <w:rPr>
          <w:rFonts w:ascii="Times New Roman" w:hAnsi="Times New Roman"/>
          <w:sz w:val="28"/>
          <w:szCs w:val="24"/>
        </w:rPr>
        <w:t> </w:t>
      </w:r>
      <w:r w:rsidRPr="003A7901">
        <w:rPr>
          <w:rFonts w:ascii="Times New Roman" w:hAnsi="Times New Roman"/>
          <w:sz w:val="28"/>
          <w:szCs w:val="24"/>
        </w:rPr>
        <w:t>строительству земельных участков;</w:t>
      </w:r>
    </w:p>
    <w:p w:rsidR="002D1E45" w:rsidRPr="003A7901" w:rsidRDefault="002D1E45" w:rsidP="00852938">
      <w:pPr>
        <w:numPr>
          <w:ilvl w:val="0"/>
          <w:numId w:val="24"/>
        </w:numPr>
        <w:tabs>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создание базы для развития специальной рыночной деятельности по</w:t>
      </w:r>
      <w:r>
        <w:rPr>
          <w:rFonts w:ascii="Times New Roman" w:hAnsi="Times New Roman"/>
          <w:sz w:val="28"/>
          <w:szCs w:val="24"/>
        </w:rPr>
        <w:t> </w:t>
      </w:r>
      <w:r w:rsidRPr="003A7901">
        <w:rPr>
          <w:rFonts w:ascii="Times New Roman" w:hAnsi="Times New Roman"/>
          <w:sz w:val="28"/>
          <w:szCs w:val="24"/>
        </w:rPr>
        <w:t>обустройству территорий, предназначенных под жилищное строительство (девелопмент).</w:t>
      </w:r>
    </w:p>
    <w:p w:rsidR="002D1E45" w:rsidRPr="006D6A1E" w:rsidRDefault="002D1E45" w:rsidP="006D6A1E">
      <w:pPr>
        <w:spacing w:after="0" w:line="240" w:lineRule="auto"/>
        <w:ind w:firstLine="709"/>
        <w:contextualSpacing/>
        <w:jc w:val="both"/>
        <w:rPr>
          <w:rFonts w:ascii="Times New Roman" w:hAnsi="Times New Roman"/>
          <w:sz w:val="28"/>
          <w:szCs w:val="24"/>
        </w:rPr>
      </w:pPr>
      <w:r w:rsidRPr="006D6A1E">
        <w:rPr>
          <w:rFonts w:ascii="Times New Roman" w:hAnsi="Times New Roman"/>
          <w:sz w:val="28"/>
          <w:szCs w:val="24"/>
        </w:rPr>
        <w:t>Согласно ориентирам Стратегии социально-экономического развития Новосибирской</w:t>
      </w:r>
      <w:r w:rsidRPr="006D6A1E">
        <w:rPr>
          <w:rFonts w:ascii="Times New Roman" w:hAnsi="Times New Roman"/>
          <w:sz w:val="28"/>
          <w:szCs w:val="28"/>
        </w:rPr>
        <w:t xml:space="preserve"> области</w:t>
      </w:r>
      <w:r w:rsidRPr="006D6A1E">
        <w:rPr>
          <w:rFonts w:ascii="Times New Roman" w:hAnsi="Times New Roman"/>
          <w:sz w:val="28"/>
          <w:szCs w:val="24"/>
        </w:rPr>
        <w:t>, уровень средней жилищной обеспеченности должен достигнуть 25,32 м</w:t>
      </w:r>
      <w:r w:rsidRPr="006D6A1E">
        <w:rPr>
          <w:rFonts w:ascii="Times New Roman" w:hAnsi="Times New Roman"/>
          <w:sz w:val="28"/>
          <w:szCs w:val="24"/>
          <w:vertAlign w:val="superscript"/>
        </w:rPr>
        <w:t>2</w:t>
      </w:r>
      <w:r w:rsidRPr="006D6A1E">
        <w:rPr>
          <w:rFonts w:ascii="Times New Roman" w:hAnsi="Times New Roman"/>
          <w:sz w:val="28"/>
          <w:szCs w:val="24"/>
        </w:rPr>
        <w:t xml:space="preserve"> на человека к 2030 году. </w:t>
      </w:r>
    </w:p>
    <w:p w:rsidR="002D1E45" w:rsidRDefault="002D1E45" w:rsidP="00CA5873">
      <w:pPr>
        <w:spacing w:after="0" w:line="240" w:lineRule="auto"/>
        <w:ind w:firstLine="709"/>
        <w:contextualSpacing/>
        <w:jc w:val="both"/>
        <w:rPr>
          <w:rFonts w:ascii="Times New Roman" w:hAnsi="Times New Roman"/>
          <w:sz w:val="28"/>
          <w:szCs w:val="24"/>
        </w:rPr>
      </w:pPr>
      <w:r w:rsidRPr="00CA5873">
        <w:rPr>
          <w:rFonts w:ascii="Times New Roman" w:hAnsi="Times New Roman"/>
          <w:sz w:val="28"/>
          <w:szCs w:val="24"/>
        </w:rPr>
        <w:t>Принимая во</w:t>
      </w:r>
      <w:r>
        <w:rPr>
          <w:rFonts w:ascii="Times New Roman" w:hAnsi="Times New Roman"/>
          <w:sz w:val="28"/>
          <w:szCs w:val="24"/>
        </w:rPr>
        <w:t> </w:t>
      </w:r>
      <w:r w:rsidRPr="00CA5873">
        <w:rPr>
          <w:rFonts w:ascii="Times New Roman" w:hAnsi="Times New Roman"/>
          <w:sz w:val="28"/>
          <w:szCs w:val="24"/>
        </w:rPr>
        <w:t xml:space="preserve">внимание фактический уровень средней жилищной обеспеченности </w:t>
      </w:r>
      <w:r>
        <w:rPr>
          <w:rFonts w:ascii="Times New Roman" w:hAnsi="Times New Roman"/>
          <w:sz w:val="28"/>
          <w:szCs w:val="24"/>
        </w:rPr>
        <w:t xml:space="preserve">в городе </w:t>
      </w:r>
      <w:r w:rsidRPr="00CA5873">
        <w:rPr>
          <w:rFonts w:ascii="Times New Roman" w:hAnsi="Times New Roman"/>
          <w:sz w:val="28"/>
          <w:szCs w:val="24"/>
        </w:rPr>
        <w:t>на</w:t>
      </w:r>
      <w:r>
        <w:rPr>
          <w:rFonts w:ascii="Times New Roman" w:hAnsi="Times New Roman"/>
          <w:sz w:val="28"/>
          <w:szCs w:val="24"/>
        </w:rPr>
        <w:t> </w:t>
      </w:r>
      <w:r w:rsidRPr="00CA5873">
        <w:rPr>
          <w:rFonts w:ascii="Times New Roman" w:hAnsi="Times New Roman"/>
          <w:sz w:val="28"/>
          <w:szCs w:val="24"/>
        </w:rPr>
        <w:t>начало 20</w:t>
      </w:r>
      <w:r>
        <w:rPr>
          <w:rFonts w:ascii="Times New Roman" w:hAnsi="Times New Roman"/>
          <w:sz w:val="28"/>
          <w:szCs w:val="24"/>
        </w:rPr>
        <w:t>20</w:t>
      </w:r>
      <w:r w:rsidRPr="00CA5873">
        <w:rPr>
          <w:rFonts w:ascii="Times New Roman" w:hAnsi="Times New Roman"/>
          <w:sz w:val="28"/>
          <w:szCs w:val="24"/>
        </w:rPr>
        <w:t xml:space="preserve"> года </w:t>
      </w:r>
      <w:r>
        <w:rPr>
          <w:rFonts w:ascii="Times New Roman" w:hAnsi="Times New Roman"/>
          <w:sz w:val="28"/>
          <w:szCs w:val="24"/>
        </w:rPr>
        <w:t xml:space="preserve">в размере 21,5 </w:t>
      </w:r>
      <w:r w:rsidRPr="00CA5873">
        <w:rPr>
          <w:rFonts w:ascii="Times New Roman" w:hAnsi="Times New Roman"/>
          <w:sz w:val="28"/>
          <w:szCs w:val="24"/>
        </w:rPr>
        <w:t>м</w:t>
      </w:r>
      <w:r>
        <w:rPr>
          <w:rFonts w:ascii="Times New Roman" w:hAnsi="Times New Roman"/>
          <w:sz w:val="28"/>
          <w:szCs w:val="24"/>
          <w:vertAlign w:val="superscript"/>
        </w:rPr>
        <w:t xml:space="preserve">2 </w:t>
      </w:r>
      <w:r w:rsidRPr="00CA5873">
        <w:rPr>
          <w:rFonts w:ascii="Times New Roman" w:hAnsi="Times New Roman"/>
          <w:sz w:val="28"/>
          <w:szCs w:val="24"/>
        </w:rPr>
        <w:t>и</w:t>
      </w:r>
      <w:r>
        <w:rPr>
          <w:rFonts w:ascii="Times New Roman" w:hAnsi="Times New Roman"/>
          <w:sz w:val="28"/>
          <w:szCs w:val="24"/>
          <w:vertAlign w:val="superscript"/>
        </w:rPr>
        <w:t> </w:t>
      </w:r>
      <w:r w:rsidRPr="00CA5873">
        <w:rPr>
          <w:rFonts w:ascii="Times New Roman" w:hAnsi="Times New Roman"/>
          <w:sz w:val="28"/>
          <w:szCs w:val="24"/>
        </w:rPr>
        <w:t xml:space="preserve">прогнозируемые объёмы жилищного строительства </w:t>
      </w:r>
      <w:r>
        <w:rPr>
          <w:rFonts w:ascii="Times New Roman" w:hAnsi="Times New Roman"/>
          <w:sz w:val="28"/>
          <w:szCs w:val="24"/>
        </w:rPr>
        <w:t>муниципальном образовании</w:t>
      </w:r>
      <w:r w:rsidRPr="00CA5873">
        <w:rPr>
          <w:rFonts w:ascii="Times New Roman" w:hAnsi="Times New Roman"/>
          <w:sz w:val="28"/>
          <w:szCs w:val="24"/>
        </w:rPr>
        <w:t>, а</w:t>
      </w:r>
      <w:r>
        <w:rPr>
          <w:rFonts w:ascii="Times New Roman" w:hAnsi="Times New Roman"/>
          <w:sz w:val="28"/>
          <w:szCs w:val="24"/>
        </w:rPr>
        <w:t> </w:t>
      </w:r>
      <w:r w:rsidRPr="00CA5873">
        <w:rPr>
          <w:rFonts w:ascii="Times New Roman" w:hAnsi="Times New Roman"/>
          <w:sz w:val="28"/>
          <w:szCs w:val="24"/>
        </w:rPr>
        <w:t>также особенности территорий населённ</w:t>
      </w:r>
      <w:r>
        <w:rPr>
          <w:rFonts w:ascii="Times New Roman" w:hAnsi="Times New Roman"/>
          <w:sz w:val="28"/>
          <w:szCs w:val="24"/>
        </w:rPr>
        <w:t>ого</w:t>
      </w:r>
      <w:r w:rsidRPr="00CA5873">
        <w:rPr>
          <w:rFonts w:ascii="Times New Roman" w:hAnsi="Times New Roman"/>
          <w:sz w:val="28"/>
          <w:szCs w:val="24"/>
        </w:rPr>
        <w:t xml:space="preserve"> пункт</w:t>
      </w:r>
      <w:r>
        <w:rPr>
          <w:rFonts w:ascii="Times New Roman" w:hAnsi="Times New Roman"/>
          <w:sz w:val="28"/>
          <w:szCs w:val="24"/>
        </w:rPr>
        <w:t>а</w:t>
      </w:r>
      <w:r w:rsidRPr="00CA5873">
        <w:rPr>
          <w:rFonts w:ascii="Times New Roman" w:hAnsi="Times New Roman"/>
          <w:sz w:val="28"/>
          <w:szCs w:val="24"/>
        </w:rPr>
        <w:t xml:space="preserve">, проектом </w:t>
      </w:r>
      <w:r w:rsidRPr="007C5200">
        <w:rPr>
          <w:rFonts w:ascii="Times New Roman" w:hAnsi="Times New Roman"/>
          <w:sz w:val="28"/>
          <w:szCs w:val="24"/>
        </w:rPr>
        <w:t>корректировк</w:t>
      </w:r>
      <w:r>
        <w:rPr>
          <w:rFonts w:ascii="Times New Roman" w:hAnsi="Times New Roman"/>
          <w:sz w:val="28"/>
          <w:szCs w:val="24"/>
        </w:rPr>
        <w:t>и</w:t>
      </w:r>
      <w:r w:rsidRPr="007C5200">
        <w:rPr>
          <w:rFonts w:ascii="Times New Roman" w:hAnsi="Times New Roman"/>
          <w:sz w:val="28"/>
          <w:szCs w:val="24"/>
        </w:rPr>
        <w:t xml:space="preserve"> </w:t>
      </w:r>
      <w:r w:rsidRPr="00CA5873">
        <w:rPr>
          <w:rFonts w:ascii="Times New Roman" w:hAnsi="Times New Roman"/>
          <w:sz w:val="28"/>
          <w:szCs w:val="24"/>
        </w:rPr>
        <w:t>генеральн</w:t>
      </w:r>
      <w:r>
        <w:rPr>
          <w:rFonts w:ascii="Times New Roman" w:hAnsi="Times New Roman"/>
          <w:sz w:val="28"/>
          <w:szCs w:val="24"/>
        </w:rPr>
        <w:t>ого</w:t>
      </w:r>
      <w:r w:rsidRPr="00CA5873">
        <w:rPr>
          <w:rFonts w:ascii="Times New Roman" w:hAnsi="Times New Roman"/>
          <w:sz w:val="28"/>
          <w:szCs w:val="24"/>
        </w:rPr>
        <w:t xml:space="preserve"> план</w:t>
      </w:r>
      <w:r>
        <w:rPr>
          <w:rFonts w:ascii="Times New Roman" w:hAnsi="Times New Roman"/>
          <w:sz w:val="28"/>
          <w:szCs w:val="24"/>
        </w:rPr>
        <w:t>а</w:t>
      </w:r>
      <w:r w:rsidRPr="00CA5873">
        <w:rPr>
          <w:rFonts w:ascii="Times New Roman" w:hAnsi="Times New Roman"/>
          <w:sz w:val="28"/>
          <w:szCs w:val="24"/>
        </w:rPr>
        <w:t xml:space="preserve"> принято значение средней жилищной обеспеченности к 20</w:t>
      </w:r>
      <w:r>
        <w:rPr>
          <w:rFonts w:ascii="Times New Roman" w:hAnsi="Times New Roman"/>
          <w:sz w:val="28"/>
          <w:szCs w:val="24"/>
        </w:rPr>
        <w:t>30</w:t>
      </w:r>
      <w:r w:rsidRPr="00CA5873">
        <w:rPr>
          <w:rFonts w:ascii="Times New Roman" w:hAnsi="Times New Roman"/>
          <w:sz w:val="28"/>
          <w:szCs w:val="24"/>
        </w:rPr>
        <w:t xml:space="preserve"> год</w:t>
      </w:r>
      <w:r>
        <w:rPr>
          <w:rFonts w:ascii="Times New Roman" w:hAnsi="Times New Roman"/>
          <w:sz w:val="28"/>
          <w:szCs w:val="24"/>
        </w:rPr>
        <w:t>у – 24,5</w:t>
      </w:r>
      <w:r w:rsidRPr="00CA5873">
        <w:rPr>
          <w:rFonts w:ascii="Times New Roman" w:hAnsi="Times New Roman"/>
          <w:sz w:val="28"/>
          <w:szCs w:val="24"/>
        </w:rPr>
        <w:t xml:space="preserve"> м</w:t>
      </w:r>
      <w:r>
        <w:rPr>
          <w:rFonts w:ascii="Times New Roman" w:hAnsi="Times New Roman"/>
          <w:sz w:val="28"/>
          <w:szCs w:val="24"/>
          <w:vertAlign w:val="superscript"/>
        </w:rPr>
        <w:t>2</w:t>
      </w:r>
      <w:r w:rsidRPr="00CA5873">
        <w:rPr>
          <w:rFonts w:ascii="Times New Roman" w:hAnsi="Times New Roman"/>
          <w:sz w:val="28"/>
          <w:szCs w:val="24"/>
        </w:rPr>
        <w:t xml:space="preserve"> общей площади жилых помещений на</w:t>
      </w:r>
      <w:r>
        <w:rPr>
          <w:rFonts w:ascii="Times New Roman" w:hAnsi="Times New Roman"/>
          <w:sz w:val="28"/>
          <w:szCs w:val="24"/>
        </w:rPr>
        <w:t> </w:t>
      </w:r>
      <w:r w:rsidRPr="00CA5873">
        <w:rPr>
          <w:rFonts w:ascii="Times New Roman" w:hAnsi="Times New Roman"/>
          <w:sz w:val="28"/>
          <w:szCs w:val="24"/>
        </w:rPr>
        <w:t>одного человека</w:t>
      </w:r>
      <w:r>
        <w:rPr>
          <w:rFonts w:ascii="Times New Roman" w:hAnsi="Times New Roman"/>
          <w:sz w:val="28"/>
          <w:szCs w:val="24"/>
        </w:rPr>
        <w:t xml:space="preserve">, к 2040 году – 28 </w:t>
      </w:r>
      <w:r w:rsidRPr="00CA5873">
        <w:rPr>
          <w:rFonts w:ascii="Times New Roman" w:hAnsi="Times New Roman"/>
          <w:sz w:val="28"/>
          <w:szCs w:val="24"/>
        </w:rPr>
        <w:t>м</w:t>
      </w:r>
      <w:r>
        <w:rPr>
          <w:rFonts w:ascii="Times New Roman" w:hAnsi="Times New Roman"/>
          <w:sz w:val="28"/>
          <w:szCs w:val="24"/>
          <w:vertAlign w:val="superscript"/>
        </w:rPr>
        <w:t>2</w:t>
      </w:r>
      <w:r>
        <w:rPr>
          <w:rFonts w:ascii="Times New Roman" w:hAnsi="Times New Roman"/>
          <w:sz w:val="28"/>
          <w:szCs w:val="24"/>
        </w:rPr>
        <w:t xml:space="preserve">. </w:t>
      </w:r>
    </w:p>
    <w:p w:rsidR="002D1E45" w:rsidRDefault="002D1E45" w:rsidP="007903D7">
      <w:pPr>
        <w:spacing w:after="0" w:line="240" w:lineRule="auto"/>
        <w:ind w:firstLine="709"/>
        <w:contextualSpacing/>
        <w:jc w:val="both"/>
        <w:rPr>
          <w:rFonts w:ascii="Times New Roman" w:hAnsi="Times New Roman"/>
          <w:sz w:val="28"/>
          <w:szCs w:val="24"/>
        </w:rPr>
      </w:pPr>
      <w:r w:rsidRPr="00CA5873">
        <w:rPr>
          <w:rFonts w:ascii="Times New Roman" w:hAnsi="Times New Roman"/>
          <w:sz w:val="28"/>
          <w:szCs w:val="24"/>
        </w:rPr>
        <w:t>Проектом предлагается размещение жилой застройки индивидуальными домами усадебного типа</w:t>
      </w:r>
      <w:r w:rsidRPr="005963B3">
        <w:rPr>
          <w:rFonts w:ascii="Times New Roman" w:hAnsi="Times New Roman"/>
          <w:sz w:val="28"/>
          <w:szCs w:val="24"/>
        </w:rPr>
        <w:t xml:space="preserve"> </w:t>
      </w:r>
      <w:r>
        <w:rPr>
          <w:rFonts w:ascii="Times New Roman" w:hAnsi="Times New Roman"/>
          <w:sz w:val="28"/>
          <w:szCs w:val="24"/>
        </w:rPr>
        <w:t>и малоэтажными многоквартирными домами</w:t>
      </w:r>
      <w:r w:rsidRPr="00CA5873">
        <w:rPr>
          <w:rFonts w:ascii="Times New Roman" w:hAnsi="Times New Roman"/>
          <w:sz w:val="28"/>
          <w:szCs w:val="24"/>
        </w:rPr>
        <w:t>. С</w:t>
      </w:r>
      <w:r>
        <w:rPr>
          <w:rFonts w:ascii="Times New Roman" w:hAnsi="Times New Roman"/>
          <w:sz w:val="28"/>
          <w:szCs w:val="24"/>
        </w:rPr>
        <w:t> </w:t>
      </w:r>
      <w:r w:rsidRPr="00CA5873">
        <w:rPr>
          <w:rFonts w:ascii="Times New Roman" w:hAnsi="Times New Roman"/>
          <w:sz w:val="28"/>
          <w:szCs w:val="24"/>
        </w:rPr>
        <w:t>учётом прогнозной численности населения к</w:t>
      </w:r>
      <w:r>
        <w:rPr>
          <w:rFonts w:ascii="Times New Roman" w:hAnsi="Times New Roman"/>
          <w:sz w:val="28"/>
          <w:szCs w:val="24"/>
        </w:rPr>
        <w:t> </w:t>
      </w:r>
      <w:r w:rsidRPr="00CA5873">
        <w:rPr>
          <w:rFonts w:ascii="Times New Roman" w:hAnsi="Times New Roman"/>
          <w:sz w:val="28"/>
          <w:szCs w:val="24"/>
        </w:rPr>
        <w:t>концу 20</w:t>
      </w:r>
      <w:r>
        <w:rPr>
          <w:rFonts w:ascii="Times New Roman" w:hAnsi="Times New Roman"/>
          <w:sz w:val="28"/>
          <w:szCs w:val="24"/>
        </w:rPr>
        <w:t>40</w:t>
      </w:r>
      <w:r w:rsidRPr="00CA5873">
        <w:rPr>
          <w:rFonts w:ascii="Times New Roman" w:hAnsi="Times New Roman"/>
          <w:sz w:val="28"/>
          <w:szCs w:val="24"/>
        </w:rPr>
        <w:t xml:space="preserve"> года и</w:t>
      </w:r>
      <w:r>
        <w:rPr>
          <w:rFonts w:ascii="Times New Roman" w:hAnsi="Times New Roman"/>
          <w:sz w:val="28"/>
          <w:szCs w:val="24"/>
        </w:rPr>
        <w:t> </w:t>
      </w:r>
      <w:r w:rsidRPr="00CA5873">
        <w:rPr>
          <w:rFonts w:ascii="Times New Roman" w:hAnsi="Times New Roman"/>
          <w:sz w:val="28"/>
          <w:szCs w:val="24"/>
        </w:rPr>
        <w:t>уровня средней жилищной обеспеченности, общий объ</w:t>
      </w:r>
      <w:r>
        <w:rPr>
          <w:rFonts w:ascii="Times New Roman" w:hAnsi="Times New Roman"/>
          <w:sz w:val="28"/>
          <w:szCs w:val="24"/>
        </w:rPr>
        <w:t>ё</w:t>
      </w:r>
      <w:r w:rsidRPr="00CA5873">
        <w:rPr>
          <w:rFonts w:ascii="Times New Roman" w:hAnsi="Times New Roman"/>
          <w:sz w:val="28"/>
          <w:szCs w:val="24"/>
        </w:rPr>
        <w:t xml:space="preserve">м жилищного фонда </w:t>
      </w:r>
      <w:r>
        <w:rPr>
          <w:rFonts w:ascii="Times New Roman" w:hAnsi="Times New Roman"/>
          <w:sz w:val="28"/>
          <w:szCs w:val="24"/>
        </w:rPr>
        <w:t xml:space="preserve">города </w:t>
      </w:r>
      <w:r w:rsidRPr="00CA5873">
        <w:rPr>
          <w:rFonts w:ascii="Times New Roman" w:hAnsi="Times New Roman"/>
          <w:sz w:val="28"/>
          <w:szCs w:val="24"/>
        </w:rPr>
        <w:t>должен составить не</w:t>
      </w:r>
      <w:r>
        <w:rPr>
          <w:rFonts w:ascii="Times New Roman" w:hAnsi="Times New Roman"/>
          <w:sz w:val="28"/>
          <w:szCs w:val="24"/>
        </w:rPr>
        <w:t> </w:t>
      </w:r>
      <w:r w:rsidRPr="00CA5873">
        <w:rPr>
          <w:rFonts w:ascii="Times New Roman" w:hAnsi="Times New Roman"/>
          <w:sz w:val="28"/>
          <w:szCs w:val="24"/>
        </w:rPr>
        <w:t xml:space="preserve">менее </w:t>
      </w:r>
      <w:r>
        <w:rPr>
          <w:rFonts w:ascii="Times New Roman" w:hAnsi="Times New Roman"/>
          <w:sz w:val="28"/>
          <w:szCs w:val="24"/>
        </w:rPr>
        <w:t xml:space="preserve">1090,6 </w:t>
      </w:r>
      <w:r w:rsidRPr="00CA5873">
        <w:rPr>
          <w:rFonts w:ascii="Times New Roman" w:hAnsi="Times New Roman"/>
          <w:sz w:val="28"/>
          <w:szCs w:val="24"/>
        </w:rPr>
        <w:t>тыс. м</w:t>
      </w:r>
      <w:r>
        <w:rPr>
          <w:rFonts w:ascii="Times New Roman" w:hAnsi="Times New Roman"/>
          <w:sz w:val="28"/>
          <w:szCs w:val="24"/>
          <w:vertAlign w:val="superscript"/>
        </w:rPr>
        <w:t>2</w:t>
      </w:r>
      <w:r w:rsidRPr="00CA5873">
        <w:rPr>
          <w:rFonts w:ascii="Times New Roman" w:hAnsi="Times New Roman"/>
          <w:sz w:val="28"/>
          <w:szCs w:val="24"/>
        </w:rPr>
        <w:t xml:space="preserve"> общей площади жилых помещений. Существующая жилая застройка будет сохранена исходя из</w:t>
      </w:r>
      <w:r>
        <w:rPr>
          <w:rFonts w:ascii="Times New Roman" w:hAnsi="Times New Roman"/>
          <w:sz w:val="28"/>
          <w:szCs w:val="24"/>
        </w:rPr>
        <w:t> </w:t>
      </w:r>
      <w:r w:rsidRPr="00CA5873">
        <w:rPr>
          <w:rFonts w:ascii="Times New Roman" w:hAnsi="Times New Roman"/>
          <w:sz w:val="28"/>
          <w:szCs w:val="24"/>
        </w:rPr>
        <w:t xml:space="preserve">технического состояния жилищного фонда. </w:t>
      </w:r>
    </w:p>
    <w:p w:rsidR="002D1E45" w:rsidRPr="000D7FBD" w:rsidRDefault="002D1E45" w:rsidP="00AC6DC2">
      <w:pPr>
        <w:spacing w:after="0" w:line="240" w:lineRule="auto"/>
        <w:ind w:firstLine="709"/>
        <w:contextualSpacing/>
        <w:jc w:val="both"/>
        <w:rPr>
          <w:rFonts w:ascii="Times New Roman" w:hAnsi="Times New Roman"/>
          <w:sz w:val="28"/>
          <w:szCs w:val="24"/>
        </w:rPr>
      </w:pPr>
      <w:r w:rsidRPr="000D7FBD">
        <w:rPr>
          <w:rFonts w:ascii="Times New Roman" w:hAnsi="Times New Roman"/>
          <w:sz w:val="28"/>
          <w:szCs w:val="24"/>
        </w:rPr>
        <w:t>Жиль</w:t>
      </w:r>
      <w:r>
        <w:rPr>
          <w:rFonts w:ascii="Times New Roman" w:hAnsi="Times New Roman"/>
          <w:sz w:val="28"/>
          <w:szCs w:val="24"/>
        </w:rPr>
        <w:t>ё</w:t>
      </w:r>
      <w:r w:rsidRPr="000D7FBD">
        <w:rPr>
          <w:rFonts w:ascii="Times New Roman" w:hAnsi="Times New Roman"/>
          <w:sz w:val="28"/>
          <w:szCs w:val="24"/>
        </w:rPr>
        <w:t>, попавшее в</w:t>
      </w:r>
      <w:r>
        <w:rPr>
          <w:rFonts w:ascii="Times New Roman" w:hAnsi="Times New Roman"/>
          <w:sz w:val="28"/>
          <w:szCs w:val="24"/>
        </w:rPr>
        <w:t> </w:t>
      </w:r>
      <w:r w:rsidRPr="000D7FBD">
        <w:rPr>
          <w:rFonts w:ascii="Times New Roman" w:hAnsi="Times New Roman"/>
          <w:sz w:val="28"/>
          <w:szCs w:val="24"/>
        </w:rPr>
        <w:t>санитарные зоны промышленных площадок, сохраняется до</w:t>
      </w:r>
      <w:r>
        <w:rPr>
          <w:rFonts w:ascii="Times New Roman" w:hAnsi="Times New Roman"/>
          <w:sz w:val="28"/>
          <w:szCs w:val="24"/>
        </w:rPr>
        <w:t> </w:t>
      </w:r>
      <w:r w:rsidRPr="000D7FBD">
        <w:rPr>
          <w:rFonts w:ascii="Times New Roman" w:hAnsi="Times New Roman"/>
          <w:sz w:val="28"/>
          <w:szCs w:val="24"/>
        </w:rPr>
        <w:t>амортизации. В</w:t>
      </w:r>
      <w:r>
        <w:rPr>
          <w:rFonts w:ascii="Times New Roman" w:hAnsi="Times New Roman"/>
          <w:sz w:val="28"/>
          <w:szCs w:val="24"/>
        </w:rPr>
        <w:t> </w:t>
      </w:r>
      <w:r w:rsidRPr="000D7FBD">
        <w:rPr>
          <w:rFonts w:ascii="Times New Roman" w:hAnsi="Times New Roman"/>
          <w:sz w:val="28"/>
          <w:szCs w:val="24"/>
        </w:rPr>
        <w:t>перспективе данная территория должна озеленяться. Для уменьшения вредности от</w:t>
      </w:r>
      <w:r>
        <w:rPr>
          <w:rFonts w:ascii="Times New Roman" w:hAnsi="Times New Roman"/>
          <w:sz w:val="28"/>
          <w:szCs w:val="24"/>
        </w:rPr>
        <w:t> </w:t>
      </w:r>
      <w:r w:rsidRPr="000D7FBD">
        <w:rPr>
          <w:rFonts w:ascii="Times New Roman" w:hAnsi="Times New Roman"/>
          <w:sz w:val="28"/>
          <w:szCs w:val="24"/>
        </w:rPr>
        <w:t>предприятий проектом предлагаются защитные лесопосадки вдоль границ производственных территорий и</w:t>
      </w:r>
      <w:r>
        <w:rPr>
          <w:rFonts w:ascii="Times New Roman" w:hAnsi="Times New Roman"/>
          <w:sz w:val="28"/>
          <w:szCs w:val="24"/>
        </w:rPr>
        <w:t> </w:t>
      </w:r>
      <w:r w:rsidRPr="000D7FBD">
        <w:rPr>
          <w:rFonts w:ascii="Times New Roman" w:hAnsi="Times New Roman"/>
          <w:sz w:val="28"/>
          <w:szCs w:val="24"/>
        </w:rPr>
        <w:t>максимальное озеленение пустырей между жильём и</w:t>
      </w:r>
      <w:r>
        <w:rPr>
          <w:rFonts w:ascii="Times New Roman" w:hAnsi="Times New Roman"/>
          <w:sz w:val="28"/>
          <w:szCs w:val="24"/>
        </w:rPr>
        <w:t> </w:t>
      </w:r>
      <w:r w:rsidRPr="000D7FBD">
        <w:rPr>
          <w:rFonts w:ascii="Times New Roman" w:hAnsi="Times New Roman"/>
          <w:sz w:val="28"/>
          <w:szCs w:val="24"/>
        </w:rPr>
        <w:t>производством. Новое жилищное строительство вблизи производственных зон не</w:t>
      </w:r>
      <w:r>
        <w:rPr>
          <w:rFonts w:ascii="Times New Roman" w:hAnsi="Times New Roman"/>
          <w:sz w:val="28"/>
          <w:szCs w:val="24"/>
        </w:rPr>
        <w:t> </w:t>
      </w:r>
      <w:r w:rsidRPr="000D7FBD">
        <w:rPr>
          <w:rFonts w:ascii="Times New Roman" w:hAnsi="Times New Roman"/>
          <w:sz w:val="28"/>
          <w:szCs w:val="24"/>
        </w:rPr>
        <w:t xml:space="preserve">предусмотрено. </w:t>
      </w:r>
    </w:p>
    <w:p w:rsidR="002D1E45" w:rsidRPr="003A7901" w:rsidRDefault="002D1E45" w:rsidP="003A7901">
      <w:pPr>
        <w:spacing w:after="0" w:line="240" w:lineRule="auto"/>
        <w:ind w:firstLine="709"/>
        <w:contextualSpacing/>
        <w:jc w:val="both"/>
        <w:rPr>
          <w:rFonts w:ascii="Times New Roman" w:hAnsi="Times New Roman"/>
          <w:sz w:val="28"/>
          <w:szCs w:val="24"/>
        </w:rPr>
      </w:pPr>
      <w:r w:rsidRPr="003A7901">
        <w:rPr>
          <w:rFonts w:ascii="Times New Roman" w:hAnsi="Times New Roman"/>
          <w:sz w:val="28"/>
          <w:szCs w:val="24"/>
        </w:rPr>
        <w:t>При расчёте необходимых объёмов нового жилищного строительства исходим из</w:t>
      </w:r>
      <w:r>
        <w:rPr>
          <w:rFonts w:ascii="Times New Roman" w:hAnsi="Times New Roman"/>
          <w:sz w:val="28"/>
          <w:szCs w:val="24"/>
        </w:rPr>
        <w:t> </w:t>
      </w:r>
      <w:r w:rsidRPr="003A7901">
        <w:rPr>
          <w:rFonts w:ascii="Times New Roman" w:hAnsi="Times New Roman"/>
          <w:sz w:val="28"/>
          <w:szCs w:val="24"/>
        </w:rPr>
        <w:t>того, что с</w:t>
      </w:r>
      <w:r>
        <w:rPr>
          <w:rFonts w:ascii="Times New Roman" w:hAnsi="Times New Roman"/>
          <w:sz w:val="28"/>
          <w:szCs w:val="24"/>
        </w:rPr>
        <w:t> </w:t>
      </w:r>
      <w:r w:rsidRPr="003A7901">
        <w:rPr>
          <w:rFonts w:ascii="Times New Roman" w:hAnsi="Times New Roman"/>
          <w:sz w:val="28"/>
          <w:szCs w:val="24"/>
        </w:rPr>
        <w:t>развитием новых производств и</w:t>
      </w:r>
      <w:r>
        <w:rPr>
          <w:rFonts w:ascii="Times New Roman" w:hAnsi="Times New Roman"/>
          <w:sz w:val="28"/>
          <w:szCs w:val="24"/>
        </w:rPr>
        <w:t> </w:t>
      </w:r>
      <w:r w:rsidRPr="003A7901">
        <w:rPr>
          <w:rFonts w:ascii="Times New Roman" w:hAnsi="Times New Roman"/>
          <w:sz w:val="28"/>
          <w:szCs w:val="24"/>
        </w:rPr>
        <w:t>инфраструктуры, уровень благосостояния местного населения будет повышаться и, следовательно, увеличатся возможности строительства нового жилья.</w:t>
      </w:r>
    </w:p>
    <w:p w:rsidR="002D1E45" w:rsidRDefault="002D1E45" w:rsidP="003A7901">
      <w:pPr>
        <w:spacing w:after="0" w:line="240" w:lineRule="auto"/>
        <w:ind w:firstLine="709"/>
        <w:contextualSpacing/>
        <w:jc w:val="both"/>
        <w:rPr>
          <w:rFonts w:ascii="Times New Roman" w:hAnsi="Times New Roman"/>
          <w:sz w:val="28"/>
          <w:szCs w:val="24"/>
        </w:rPr>
      </w:pPr>
      <w:r w:rsidRPr="003A7901">
        <w:rPr>
          <w:rFonts w:ascii="Times New Roman" w:hAnsi="Times New Roman"/>
          <w:sz w:val="28"/>
          <w:szCs w:val="24"/>
        </w:rPr>
        <w:t xml:space="preserve">В основу проектного решения развития </w:t>
      </w:r>
      <w:r>
        <w:rPr>
          <w:rFonts w:ascii="Times New Roman" w:hAnsi="Times New Roman"/>
          <w:sz w:val="28"/>
          <w:szCs w:val="24"/>
          <w:lang w:eastAsia="ru-RU"/>
        </w:rPr>
        <w:t xml:space="preserve">населённых пунктов </w:t>
      </w:r>
      <w:r w:rsidRPr="003A7901">
        <w:rPr>
          <w:rFonts w:ascii="Times New Roman" w:hAnsi="Times New Roman"/>
          <w:sz w:val="28"/>
          <w:szCs w:val="24"/>
        </w:rPr>
        <w:t>положен принцип оптимального упорядочения и</w:t>
      </w:r>
      <w:r>
        <w:rPr>
          <w:rFonts w:ascii="Times New Roman" w:hAnsi="Times New Roman"/>
          <w:sz w:val="28"/>
          <w:szCs w:val="24"/>
        </w:rPr>
        <w:t> </w:t>
      </w:r>
      <w:r w:rsidRPr="003A7901">
        <w:rPr>
          <w:rFonts w:ascii="Times New Roman" w:hAnsi="Times New Roman"/>
          <w:sz w:val="28"/>
          <w:szCs w:val="24"/>
        </w:rPr>
        <w:t>развития функциональных зон с</w:t>
      </w:r>
      <w:r>
        <w:rPr>
          <w:rFonts w:ascii="Times New Roman" w:hAnsi="Times New Roman"/>
          <w:sz w:val="28"/>
          <w:szCs w:val="24"/>
        </w:rPr>
        <w:t> </w:t>
      </w:r>
      <w:r w:rsidRPr="003A7901">
        <w:rPr>
          <w:rFonts w:ascii="Times New Roman" w:hAnsi="Times New Roman"/>
          <w:sz w:val="28"/>
          <w:szCs w:val="24"/>
        </w:rPr>
        <w:t>чётким выделением жилой, общественно-деловой, производственной зон</w:t>
      </w:r>
      <w:r>
        <w:rPr>
          <w:rFonts w:ascii="Times New Roman" w:hAnsi="Times New Roman"/>
          <w:sz w:val="28"/>
          <w:szCs w:val="24"/>
        </w:rPr>
        <w:t>ы</w:t>
      </w:r>
      <w:r w:rsidRPr="003A7901">
        <w:rPr>
          <w:rFonts w:ascii="Times New Roman" w:hAnsi="Times New Roman"/>
          <w:sz w:val="28"/>
          <w:szCs w:val="24"/>
        </w:rPr>
        <w:t>, зон инженерной и</w:t>
      </w:r>
      <w:r>
        <w:rPr>
          <w:rFonts w:ascii="Times New Roman" w:hAnsi="Times New Roman"/>
          <w:sz w:val="28"/>
          <w:szCs w:val="24"/>
        </w:rPr>
        <w:t> </w:t>
      </w:r>
      <w:r w:rsidRPr="003A7901">
        <w:rPr>
          <w:rFonts w:ascii="Times New Roman" w:hAnsi="Times New Roman"/>
          <w:sz w:val="28"/>
          <w:szCs w:val="24"/>
        </w:rPr>
        <w:t>транспортной инфраструктуры, зоны рекреационного назначения, зоны специального назначения.</w:t>
      </w:r>
    </w:p>
    <w:p w:rsidR="002D1E45" w:rsidRDefault="002D1E45" w:rsidP="00872C40">
      <w:pPr>
        <w:spacing w:after="0" w:line="240" w:lineRule="auto"/>
        <w:ind w:firstLine="709"/>
        <w:contextualSpacing/>
        <w:jc w:val="both"/>
        <w:rPr>
          <w:rFonts w:ascii="Times New Roman" w:hAnsi="Times New Roman"/>
          <w:sz w:val="28"/>
          <w:szCs w:val="24"/>
        </w:rPr>
      </w:pPr>
      <w:r w:rsidRPr="00CA5873">
        <w:rPr>
          <w:rFonts w:ascii="Times New Roman" w:hAnsi="Times New Roman"/>
          <w:sz w:val="28"/>
          <w:szCs w:val="24"/>
        </w:rPr>
        <w:t>Объ</w:t>
      </w:r>
      <w:r>
        <w:rPr>
          <w:rFonts w:ascii="Times New Roman" w:hAnsi="Times New Roman"/>
          <w:sz w:val="28"/>
          <w:szCs w:val="24"/>
        </w:rPr>
        <w:t>ё</w:t>
      </w:r>
      <w:r w:rsidRPr="00CA5873">
        <w:rPr>
          <w:rFonts w:ascii="Times New Roman" w:hAnsi="Times New Roman"/>
          <w:sz w:val="28"/>
          <w:szCs w:val="24"/>
        </w:rPr>
        <w:t>м жилищного строительства с</w:t>
      </w:r>
      <w:r>
        <w:rPr>
          <w:rFonts w:ascii="Times New Roman" w:hAnsi="Times New Roman"/>
          <w:sz w:val="28"/>
          <w:szCs w:val="24"/>
        </w:rPr>
        <w:t> </w:t>
      </w:r>
      <w:r w:rsidRPr="00CA5873">
        <w:rPr>
          <w:rFonts w:ascii="Times New Roman" w:hAnsi="Times New Roman"/>
          <w:sz w:val="28"/>
          <w:szCs w:val="24"/>
        </w:rPr>
        <w:t>учётом сноса непригодного для проживания жилья, прироста численности населения и</w:t>
      </w:r>
      <w:r>
        <w:rPr>
          <w:rFonts w:ascii="Times New Roman" w:hAnsi="Times New Roman"/>
          <w:sz w:val="28"/>
          <w:szCs w:val="24"/>
        </w:rPr>
        <w:t> </w:t>
      </w:r>
      <w:r w:rsidRPr="00CA5873">
        <w:rPr>
          <w:rFonts w:ascii="Times New Roman" w:hAnsi="Times New Roman"/>
          <w:sz w:val="28"/>
          <w:szCs w:val="24"/>
        </w:rPr>
        <w:t>увеличения показателя средней жилищной обеспеченности к</w:t>
      </w:r>
      <w:r>
        <w:rPr>
          <w:rFonts w:ascii="Times New Roman" w:hAnsi="Times New Roman"/>
          <w:sz w:val="28"/>
          <w:szCs w:val="24"/>
        </w:rPr>
        <w:t> </w:t>
      </w:r>
      <w:r w:rsidRPr="00CA5873">
        <w:rPr>
          <w:rFonts w:ascii="Times New Roman" w:hAnsi="Times New Roman"/>
          <w:sz w:val="28"/>
          <w:szCs w:val="24"/>
        </w:rPr>
        <w:t>концу расчётного срока должен составить не</w:t>
      </w:r>
      <w:r>
        <w:rPr>
          <w:rFonts w:ascii="Times New Roman" w:hAnsi="Times New Roman"/>
          <w:sz w:val="28"/>
          <w:szCs w:val="24"/>
        </w:rPr>
        <w:t> </w:t>
      </w:r>
      <w:r w:rsidRPr="00CA5873">
        <w:rPr>
          <w:rFonts w:ascii="Times New Roman" w:hAnsi="Times New Roman"/>
          <w:sz w:val="28"/>
          <w:szCs w:val="24"/>
        </w:rPr>
        <w:t xml:space="preserve">менее </w:t>
      </w:r>
      <w:r>
        <w:rPr>
          <w:rFonts w:ascii="Times New Roman" w:hAnsi="Times New Roman"/>
          <w:sz w:val="28"/>
          <w:szCs w:val="24"/>
        </w:rPr>
        <w:t>154,6</w:t>
      </w:r>
      <w:r w:rsidRPr="00CA5873">
        <w:rPr>
          <w:rFonts w:ascii="Times New Roman" w:hAnsi="Times New Roman"/>
          <w:sz w:val="28"/>
          <w:szCs w:val="24"/>
        </w:rPr>
        <w:t xml:space="preserve"> тыс. м</w:t>
      </w:r>
      <w:r>
        <w:rPr>
          <w:rFonts w:ascii="Times New Roman" w:hAnsi="Times New Roman"/>
          <w:sz w:val="28"/>
          <w:szCs w:val="24"/>
          <w:vertAlign w:val="superscript"/>
        </w:rPr>
        <w:t xml:space="preserve">2 </w:t>
      </w:r>
      <w:r w:rsidRPr="00CA5873">
        <w:rPr>
          <w:rFonts w:ascii="Times New Roman" w:hAnsi="Times New Roman"/>
          <w:sz w:val="28"/>
          <w:szCs w:val="24"/>
        </w:rPr>
        <w:t>общей площади жилых помещений. Для достижения заданных параметров ежегодные темпы ввода жилья должны увеличиться и</w:t>
      </w:r>
      <w:r>
        <w:rPr>
          <w:rFonts w:ascii="Times New Roman" w:hAnsi="Times New Roman"/>
          <w:sz w:val="28"/>
          <w:szCs w:val="24"/>
        </w:rPr>
        <w:t> </w:t>
      </w:r>
      <w:r w:rsidRPr="00CA5873">
        <w:rPr>
          <w:rFonts w:ascii="Times New Roman" w:hAnsi="Times New Roman"/>
          <w:sz w:val="28"/>
          <w:szCs w:val="24"/>
        </w:rPr>
        <w:t>составить не</w:t>
      </w:r>
      <w:r>
        <w:rPr>
          <w:rFonts w:ascii="Times New Roman" w:hAnsi="Times New Roman"/>
          <w:sz w:val="28"/>
          <w:szCs w:val="24"/>
        </w:rPr>
        <w:t> </w:t>
      </w:r>
      <w:r w:rsidRPr="00CA5873">
        <w:rPr>
          <w:rFonts w:ascii="Times New Roman" w:hAnsi="Times New Roman"/>
          <w:sz w:val="28"/>
          <w:szCs w:val="24"/>
        </w:rPr>
        <w:t xml:space="preserve">менее </w:t>
      </w:r>
      <w:r>
        <w:rPr>
          <w:rFonts w:ascii="Times New Roman" w:hAnsi="Times New Roman"/>
          <w:sz w:val="28"/>
          <w:szCs w:val="24"/>
        </w:rPr>
        <w:t>7,4</w:t>
      </w:r>
      <w:r w:rsidRPr="00CA5873">
        <w:rPr>
          <w:rFonts w:ascii="Times New Roman" w:hAnsi="Times New Roman"/>
          <w:sz w:val="28"/>
          <w:szCs w:val="24"/>
        </w:rPr>
        <w:t xml:space="preserve"> тыс. м</w:t>
      </w:r>
      <w:r>
        <w:rPr>
          <w:rFonts w:ascii="Times New Roman" w:hAnsi="Times New Roman"/>
          <w:sz w:val="28"/>
          <w:szCs w:val="24"/>
          <w:vertAlign w:val="superscript"/>
        </w:rPr>
        <w:t>2</w:t>
      </w:r>
      <w:r w:rsidRPr="00CA5873">
        <w:rPr>
          <w:rFonts w:ascii="Times New Roman" w:hAnsi="Times New Roman"/>
          <w:sz w:val="28"/>
          <w:szCs w:val="24"/>
        </w:rPr>
        <w:t>.</w:t>
      </w:r>
    </w:p>
    <w:p w:rsidR="002D1E45" w:rsidRPr="003A7901" w:rsidRDefault="002D1E45" w:rsidP="00B83B40">
      <w:pPr>
        <w:autoSpaceDE w:val="0"/>
        <w:autoSpaceDN w:val="0"/>
        <w:adjustRightInd w:val="0"/>
        <w:spacing w:after="0" w:line="240" w:lineRule="auto"/>
        <w:ind w:left="709"/>
        <w:jc w:val="right"/>
        <w:rPr>
          <w:rFonts w:ascii="Times New Roman" w:hAnsi="Times New Roman"/>
          <w:sz w:val="28"/>
          <w:szCs w:val="24"/>
          <w:lang w:eastAsia="ru-RU"/>
        </w:rPr>
      </w:pPr>
      <w:r w:rsidRPr="003A7901">
        <w:rPr>
          <w:rFonts w:ascii="Times New Roman" w:hAnsi="Times New Roman"/>
          <w:sz w:val="28"/>
          <w:szCs w:val="24"/>
          <w:lang w:eastAsia="ru-RU"/>
        </w:rPr>
        <w:t xml:space="preserve">Таблица </w:t>
      </w:r>
      <w:r w:rsidRPr="003A7901">
        <w:rPr>
          <w:rFonts w:ascii="Times New Roman" w:hAnsi="Times New Roman"/>
          <w:sz w:val="28"/>
          <w:szCs w:val="24"/>
        </w:rPr>
        <w:fldChar w:fldCharType="begin"/>
      </w:r>
      <w:r w:rsidRPr="003A7901">
        <w:rPr>
          <w:rFonts w:ascii="Times New Roman" w:hAnsi="Times New Roman"/>
          <w:sz w:val="28"/>
          <w:szCs w:val="24"/>
        </w:rPr>
        <w:instrText xml:space="preserve"> SEQ Таблица \* ARABIC </w:instrText>
      </w:r>
      <w:r w:rsidRPr="003A7901">
        <w:rPr>
          <w:rFonts w:ascii="Times New Roman" w:hAnsi="Times New Roman"/>
          <w:sz w:val="28"/>
          <w:szCs w:val="24"/>
        </w:rPr>
        <w:fldChar w:fldCharType="separate"/>
      </w:r>
      <w:r>
        <w:rPr>
          <w:rFonts w:ascii="Times New Roman" w:hAnsi="Times New Roman"/>
          <w:noProof/>
          <w:sz w:val="28"/>
          <w:szCs w:val="24"/>
        </w:rPr>
        <w:t>48</w:t>
      </w:r>
      <w:r w:rsidRPr="003A7901">
        <w:rPr>
          <w:rFonts w:ascii="Times New Roman" w:hAnsi="Times New Roman"/>
          <w:sz w:val="28"/>
          <w:szCs w:val="24"/>
        </w:rPr>
        <w:fldChar w:fldCharType="end"/>
      </w:r>
    </w:p>
    <w:p w:rsidR="002D1E45" w:rsidRDefault="002D1E45" w:rsidP="00B83B40">
      <w:pPr>
        <w:spacing w:after="120" w:line="240" w:lineRule="auto"/>
        <w:jc w:val="center"/>
        <w:rPr>
          <w:rFonts w:ascii="Times New Roman" w:hAnsi="Times New Roman"/>
          <w:bCs/>
          <w:color w:val="000000"/>
          <w:sz w:val="28"/>
          <w:szCs w:val="24"/>
          <w:lang w:eastAsia="ru-RU"/>
        </w:rPr>
      </w:pPr>
      <w:r w:rsidRPr="007903D7">
        <w:rPr>
          <w:rFonts w:ascii="Times New Roman" w:hAnsi="Times New Roman"/>
          <w:bCs/>
          <w:color w:val="000000"/>
          <w:sz w:val="28"/>
          <w:szCs w:val="24"/>
          <w:lang w:eastAsia="ru-RU"/>
        </w:rPr>
        <w:t>Движение жилого фонда по</w:t>
      </w:r>
      <w:r>
        <w:rPr>
          <w:rFonts w:ascii="Times New Roman" w:hAnsi="Times New Roman"/>
          <w:bCs/>
          <w:color w:val="000000"/>
          <w:sz w:val="28"/>
          <w:szCs w:val="24"/>
          <w:lang w:eastAsia="ru-RU"/>
        </w:rPr>
        <w:t> </w:t>
      </w:r>
      <w:r w:rsidRPr="007903D7">
        <w:rPr>
          <w:rFonts w:ascii="Times New Roman" w:hAnsi="Times New Roman"/>
          <w:bCs/>
          <w:color w:val="000000"/>
          <w:sz w:val="28"/>
          <w:szCs w:val="24"/>
          <w:lang w:eastAsia="ru-RU"/>
        </w:rPr>
        <w:t>этапам планирования</w:t>
      </w:r>
    </w:p>
    <w:tbl>
      <w:tblPr>
        <w:tblW w:w="0" w:type="auto"/>
        <w:jc w:val="center"/>
        <w:tblLayout w:type="fixed"/>
        <w:tblLook w:val="00A0"/>
      </w:tblPr>
      <w:tblGrid>
        <w:gridCol w:w="2048"/>
        <w:gridCol w:w="2924"/>
        <w:gridCol w:w="1523"/>
        <w:gridCol w:w="1272"/>
        <w:gridCol w:w="1158"/>
        <w:gridCol w:w="1270"/>
      </w:tblGrid>
      <w:tr w:rsidR="002D1E45" w:rsidRPr="00A209EA" w:rsidTr="007903D7">
        <w:trPr>
          <w:trHeight w:val="170"/>
          <w:jc w:val="center"/>
        </w:trPr>
        <w:tc>
          <w:tcPr>
            <w:tcW w:w="2048" w:type="dxa"/>
            <w:tcBorders>
              <w:top w:val="single" w:sz="4" w:space="0" w:color="auto"/>
              <w:left w:val="single" w:sz="4" w:space="0" w:color="auto"/>
              <w:bottom w:val="single" w:sz="4" w:space="0" w:color="auto"/>
              <w:right w:val="single" w:sz="4" w:space="0" w:color="auto"/>
            </w:tcBorders>
            <w:vAlign w:val="center"/>
          </w:tcPr>
          <w:p w:rsidR="002D1E45" w:rsidRPr="00A209EA" w:rsidRDefault="002D1E45" w:rsidP="007903D7">
            <w:pPr>
              <w:spacing w:after="0" w:line="240" w:lineRule="auto"/>
              <w:jc w:val="center"/>
              <w:rPr>
                <w:rFonts w:ascii="Times New Roman" w:hAnsi="Times New Roman"/>
                <w:color w:val="000000"/>
                <w:sz w:val="20"/>
                <w:szCs w:val="20"/>
                <w:lang w:eastAsia="ru-RU"/>
              </w:rPr>
            </w:pPr>
            <w:r w:rsidRPr="00A209EA">
              <w:rPr>
                <w:rFonts w:ascii="Times New Roman" w:hAnsi="Times New Roman"/>
                <w:color w:val="000000"/>
                <w:sz w:val="20"/>
                <w:szCs w:val="20"/>
                <w:lang w:eastAsia="ru-RU"/>
              </w:rPr>
              <w:t>Муниципальное образование</w:t>
            </w:r>
          </w:p>
        </w:tc>
        <w:tc>
          <w:tcPr>
            <w:tcW w:w="2924" w:type="dxa"/>
            <w:tcBorders>
              <w:top w:val="single" w:sz="4" w:space="0" w:color="auto"/>
              <w:left w:val="nil"/>
              <w:bottom w:val="single" w:sz="4" w:space="0" w:color="auto"/>
              <w:right w:val="single" w:sz="4" w:space="0" w:color="auto"/>
            </w:tcBorders>
            <w:vAlign w:val="center"/>
          </w:tcPr>
          <w:p w:rsidR="002D1E45" w:rsidRPr="00A209EA" w:rsidRDefault="002D1E45" w:rsidP="007903D7">
            <w:pPr>
              <w:spacing w:after="0" w:line="240" w:lineRule="auto"/>
              <w:jc w:val="center"/>
              <w:rPr>
                <w:rFonts w:ascii="Times New Roman" w:hAnsi="Times New Roman"/>
                <w:color w:val="000000"/>
                <w:sz w:val="20"/>
                <w:szCs w:val="20"/>
                <w:lang w:eastAsia="ru-RU"/>
              </w:rPr>
            </w:pPr>
            <w:r w:rsidRPr="00A209EA">
              <w:rPr>
                <w:rFonts w:ascii="Times New Roman" w:hAnsi="Times New Roman"/>
                <w:color w:val="000000"/>
                <w:sz w:val="20"/>
                <w:szCs w:val="20"/>
                <w:lang w:eastAsia="ru-RU"/>
              </w:rPr>
              <w:t>Показатели</w:t>
            </w:r>
          </w:p>
        </w:tc>
        <w:tc>
          <w:tcPr>
            <w:tcW w:w="1523" w:type="dxa"/>
            <w:tcBorders>
              <w:top w:val="single" w:sz="4" w:space="0" w:color="auto"/>
              <w:left w:val="nil"/>
              <w:bottom w:val="single" w:sz="4" w:space="0" w:color="auto"/>
              <w:right w:val="single" w:sz="4" w:space="0" w:color="auto"/>
            </w:tcBorders>
            <w:vAlign w:val="center"/>
          </w:tcPr>
          <w:p w:rsidR="002D1E45" w:rsidRPr="00A209EA" w:rsidRDefault="002D1E45" w:rsidP="007903D7">
            <w:pPr>
              <w:spacing w:after="0" w:line="240" w:lineRule="auto"/>
              <w:jc w:val="center"/>
              <w:rPr>
                <w:rFonts w:ascii="Times New Roman" w:hAnsi="Times New Roman"/>
                <w:color w:val="000000"/>
                <w:sz w:val="20"/>
                <w:szCs w:val="20"/>
                <w:lang w:eastAsia="ru-RU"/>
              </w:rPr>
            </w:pPr>
            <w:r w:rsidRPr="00A209EA">
              <w:rPr>
                <w:rFonts w:ascii="Times New Roman" w:hAnsi="Times New Roman"/>
                <w:color w:val="000000"/>
                <w:sz w:val="20"/>
                <w:szCs w:val="20"/>
                <w:lang w:eastAsia="ru-RU"/>
              </w:rPr>
              <w:t>2030 год</w:t>
            </w:r>
          </w:p>
        </w:tc>
        <w:tc>
          <w:tcPr>
            <w:tcW w:w="1272" w:type="dxa"/>
            <w:tcBorders>
              <w:top w:val="single" w:sz="4" w:space="0" w:color="auto"/>
              <w:left w:val="nil"/>
              <w:bottom w:val="single" w:sz="4" w:space="0" w:color="auto"/>
              <w:right w:val="single" w:sz="4" w:space="0" w:color="auto"/>
            </w:tcBorders>
            <w:vAlign w:val="center"/>
          </w:tcPr>
          <w:p w:rsidR="002D1E45" w:rsidRPr="00A209EA" w:rsidRDefault="002D1E45" w:rsidP="007903D7">
            <w:pPr>
              <w:spacing w:after="0" w:line="240" w:lineRule="auto"/>
              <w:jc w:val="center"/>
              <w:rPr>
                <w:rFonts w:ascii="Times New Roman" w:hAnsi="Times New Roman"/>
                <w:color w:val="000000"/>
                <w:sz w:val="20"/>
                <w:szCs w:val="20"/>
                <w:lang w:eastAsia="ru-RU"/>
              </w:rPr>
            </w:pPr>
            <w:r w:rsidRPr="00A209EA">
              <w:rPr>
                <w:rFonts w:ascii="Times New Roman" w:hAnsi="Times New Roman"/>
                <w:color w:val="000000"/>
                <w:sz w:val="20"/>
                <w:szCs w:val="20"/>
                <w:lang w:eastAsia="ru-RU"/>
              </w:rPr>
              <w:t>Прирост нового жилья, м</w:t>
            </w:r>
            <w:r w:rsidRPr="00A209EA">
              <w:rPr>
                <w:rFonts w:ascii="Times New Roman" w:hAnsi="Times New Roman"/>
                <w:color w:val="000000"/>
                <w:sz w:val="20"/>
                <w:szCs w:val="20"/>
                <w:vertAlign w:val="superscript"/>
                <w:lang w:eastAsia="ru-RU"/>
              </w:rPr>
              <w:t>2</w:t>
            </w:r>
          </w:p>
        </w:tc>
        <w:tc>
          <w:tcPr>
            <w:tcW w:w="1158" w:type="dxa"/>
            <w:tcBorders>
              <w:top w:val="single" w:sz="4" w:space="0" w:color="auto"/>
              <w:left w:val="nil"/>
              <w:bottom w:val="single" w:sz="4" w:space="0" w:color="auto"/>
              <w:right w:val="single" w:sz="4" w:space="0" w:color="auto"/>
            </w:tcBorders>
            <w:vAlign w:val="center"/>
          </w:tcPr>
          <w:p w:rsidR="002D1E45" w:rsidRPr="00A209EA" w:rsidRDefault="002D1E45" w:rsidP="007903D7">
            <w:pPr>
              <w:spacing w:after="0" w:line="240" w:lineRule="auto"/>
              <w:jc w:val="center"/>
              <w:rPr>
                <w:rFonts w:ascii="Times New Roman" w:hAnsi="Times New Roman"/>
                <w:color w:val="000000"/>
                <w:sz w:val="20"/>
                <w:szCs w:val="20"/>
                <w:lang w:eastAsia="ru-RU"/>
              </w:rPr>
            </w:pPr>
            <w:r w:rsidRPr="00A209EA">
              <w:rPr>
                <w:rFonts w:ascii="Times New Roman" w:hAnsi="Times New Roman"/>
                <w:color w:val="000000"/>
                <w:sz w:val="20"/>
                <w:szCs w:val="20"/>
                <w:lang w:eastAsia="ru-RU"/>
              </w:rPr>
              <w:t>2040 год</w:t>
            </w:r>
          </w:p>
        </w:tc>
        <w:tc>
          <w:tcPr>
            <w:tcW w:w="1270" w:type="dxa"/>
            <w:tcBorders>
              <w:top w:val="single" w:sz="4" w:space="0" w:color="auto"/>
              <w:left w:val="nil"/>
              <w:bottom w:val="single" w:sz="4" w:space="0" w:color="auto"/>
              <w:right w:val="single" w:sz="4" w:space="0" w:color="auto"/>
            </w:tcBorders>
            <w:vAlign w:val="center"/>
          </w:tcPr>
          <w:p w:rsidR="002D1E45" w:rsidRPr="00A209EA" w:rsidRDefault="002D1E45" w:rsidP="007903D7">
            <w:pPr>
              <w:spacing w:after="0" w:line="240" w:lineRule="auto"/>
              <w:jc w:val="center"/>
              <w:rPr>
                <w:rFonts w:ascii="Times New Roman" w:hAnsi="Times New Roman"/>
                <w:color w:val="000000"/>
                <w:sz w:val="20"/>
                <w:szCs w:val="20"/>
                <w:lang w:eastAsia="ru-RU"/>
              </w:rPr>
            </w:pPr>
            <w:r w:rsidRPr="00A209EA">
              <w:rPr>
                <w:rFonts w:ascii="Times New Roman" w:hAnsi="Times New Roman"/>
                <w:color w:val="000000"/>
                <w:sz w:val="20"/>
                <w:szCs w:val="20"/>
                <w:lang w:eastAsia="ru-RU"/>
              </w:rPr>
              <w:t>Прирост нового жилья, м</w:t>
            </w:r>
            <w:r w:rsidRPr="00A209EA">
              <w:rPr>
                <w:rFonts w:ascii="Times New Roman" w:hAnsi="Times New Roman"/>
                <w:color w:val="000000"/>
                <w:sz w:val="20"/>
                <w:szCs w:val="20"/>
                <w:vertAlign w:val="superscript"/>
                <w:lang w:eastAsia="ru-RU"/>
              </w:rPr>
              <w:t>2</w:t>
            </w:r>
          </w:p>
        </w:tc>
      </w:tr>
      <w:tr w:rsidR="002D1E45" w:rsidRPr="00B74642" w:rsidTr="00B74642">
        <w:trPr>
          <w:trHeight w:val="170"/>
          <w:jc w:val="center"/>
        </w:trPr>
        <w:tc>
          <w:tcPr>
            <w:tcW w:w="2048" w:type="dxa"/>
            <w:vMerge w:val="restart"/>
            <w:tcBorders>
              <w:top w:val="nil"/>
              <w:left w:val="single" w:sz="4" w:space="0" w:color="auto"/>
              <w:bottom w:val="single" w:sz="4" w:space="0" w:color="auto"/>
              <w:right w:val="single" w:sz="4" w:space="0" w:color="auto"/>
            </w:tcBorders>
            <w:vAlign w:val="center"/>
          </w:tcPr>
          <w:p w:rsidR="002D1E45" w:rsidRPr="00A209EA" w:rsidRDefault="002D1E45" w:rsidP="00B74642">
            <w:pPr>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г. Куйбышев</w:t>
            </w:r>
          </w:p>
        </w:tc>
        <w:tc>
          <w:tcPr>
            <w:tcW w:w="2924" w:type="dxa"/>
            <w:tcBorders>
              <w:top w:val="nil"/>
              <w:left w:val="nil"/>
              <w:bottom w:val="single" w:sz="4" w:space="0" w:color="auto"/>
              <w:right w:val="single" w:sz="4" w:space="0" w:color="auto"/>
            </w:tcBorders>
            <w:vAlign w:val="center"/>
          </w:tcPr>
          <w:p w:rsidR="002D1E45" w:rsidRPr="00A209EA" w:rsidRDefault="002D1E45" w:rsidP="00B74642">
            <w:pPr>
              <w:spacing w:after="0" w:line="240" w:lineRule="auto"/>
              <w:rPr>
                <w:rFonts w:ascii="Times New Roman" w:hAnsi="Times New Roman"/>
                <w:color w:val="000000"/>
                <w:sz w:val="20"/>
                <w:szCs w:val="20"/>
                <w:lang w:eastAsia="ru-RU"/>
              </w:rPr>
            </w:pPr>
            <w:r w:rsidRPr="00A209EA">
              <w:rPr>
                <w:rFonts w:ascii="Times New Roman" w:hAnsi="Times New Roman"/>
                <w:color w:val="000000"/>
                <w:sz w:val="20"/>
                <w:szCs w:val="20"/>
                <w:lang w:eastAsia="ru-RU"/>
              </w:rPr>
              <w:t>Население, чел.</w:t>
            </w:r>
          </w:p>
        </w:tc>
        <w:tc>
          <w:tcPr>
            <w:tcW w:w="1523" w:type="dxa"/>
            <w:tcBorders>
              <w:top w:val="nil"/>
              <w:left w:val="nil"/>
              <w:bottom w:val="single" w:sz="4" w:space="0" w:color="auto"/>
              <w:right w:val="single" w:sz="4" w:space="0" w:color="auto"/>
            </w:tcBorders>
            <w:vAlign w:val="center"/>
          </w:tcPr>
          <w:p w:rsidR="002D1E45" w:rsidRPr="00A209EA" w:rsidRDefault="002D1E45" w:rsidP="00B74642">
            <w:pPr>
              <w:spacing w:after="0" w:line="240" w:lineRule="auto"/>
              <w:jc w:val="center"/>
              <w:rPr>
                <w:rFonts w:ascii="Times New Roman" w:hAnsi="Times New Roman"/>
                <w:color w:val="000000"/>
                <w:sz w:val="20"/>
                <w:szCs w:val="20"/>
                <w:lang w:eastAsia="ru-RU"/>
              </w:rPr>
            </w:pPr>
            <w:r w:rsidRPr="00B74642">
              <w:rPr>
                <w:rFonts w:ascii="Times New Roman" w:hAnsi="Times New Roman"/>
                <w:color w:val="000000"/>
                <w:sz w:val="20"/>
                <w:szCs w:val="20"/>
                <w:lang w:eastAsia="ru-RU"/>
              </w:rPr>
              <w:t>41 250</w:t>
            </w:r>
          </w:p>
        </w:tc>
        <w:tc>
          <w:tcPr>
            <w:tcW w:w="1272" w:type="dxa"/>
            <w:vMerge w:val="restart"/>
            <w:tcBorders>
              <w:top w:val="nil"/>
              <w:left w:val="single" w:sz="4" w:space="0" w:color="auto"/>
              <w:bottom w:val="single" w:sz="4" w:space="0" w:color="auto"/>
              <w:right w:val="single" w:sz="4" w:space="0" w:color="auto"/>
            </w:tcBorders>
            <w:vAlign w:val="center"/>
          </w:tcPr>
          <w:p w:rsidR="002D1E45" w:rsidRPr="00A209EA" w:rsidRDefault="002D1E45" w:rsidP="00B74642">
            <w:pPr>
              <w:spacing w:after="0" w:line="240" w:lineRule="auto"/>
              <w:jc w:val="center"/>
              <w:rPr>
                <w:rFonts w:ascii="Times New Roman" w:hAnsi="Times New Roman"/>
                <w:color w:val="000000"/>
                <w:sz w:val="20"/>
                <w:szCs w:val="20"/>
                <w:lang w:eastAsia="ru-RU"/>
              </w:rPr>
            </w:pPr>
            <w:r w:rsidRPr="00B74642">
              <w:rPr>
                <w:rFonts w:ascii="Times New Roman" w:hAnsi="Times New Roman"/>
                <w:color w:val="000000"/>
                <w:sz w:val="20"/>
                <w:szCs w:val="20"/>
                <w:lang w:eastAsia="ru-RU"/>
              </w:rPr>
              <w:t>74 581</w:t>
            </w:r>
          </w:p>
          <w:p w:rsidR="002D1E45" w:rsidRPr="00A209EA" w:rsidRDefault="002D1E45" w:rsidP="00B74642">
            <w:pPr>
              <w:spacing w:after="0" w:line="240" w:lineRule="auto"/>
              <w:jc w:val="center"/>
              <w:rPr>
                <w:rFonts w:ascii="Times New Roman" w:hAnsi="Times New Roman"/>
                <w:color w:val="000000"/>
                <w:sz w:val="20"/>
                <w:szCs w:val="20"/>
                <w:lang w:eastAsia="ru-RU"/>
              </w:rPr>
            </w:pPr>
          </w:p>
        </w:tc>
        <w:tc>
          <w:tcPr>
            <w:tcW w:w="1158" w:type="dxa"/>
            <w:tcBorders>
              <w:top w:val="nil"/>
              <w:left w:val="nil"/>
              <w:bottom w:val="single" w:sz="4" w:space="0" w:color="auto"/>
              <w:right w:val="single" w:sz="4" w:space="0" w:color="auto"/>
            </w:tcBorders>
            <w:vAlign w:val="center"/>
          </w:tcPr>
          <w:p w:rsidR="002D1E45" w:rsidRPr="00A209EA" w:rsidRDefault="002D1E45" w:rsidP="00B74642">
            <w:pPr>
              <w:spacing w:after="0" w:line="240" w:lineRule="auto"/>
              <w:jc w:val="center"/>
              <w:rPr>
                <w:rFonts w:ascii="Times New Roman" w:hAnsi="Times New Roman"/>
                <w:color w:val="000000"/>
                <w:sz w:val="20"/>
                <w:szCs w:val="20"/>
                <w:lang w:eastAsia="ru-RU"/>
              </w:rPr>
            </w:pPr>
            <w:r w:rsidRPr="00B74642">
              <w:rPr>
                <w:rFonts w:ascii="Times New Roman" w:hAnsi="Times New Roman"/>
                <w:color w:val="000000"/>
                <w:sz w:val="20"/>
                <w:szCs w:val="20"/>
                <w:lang w:eastAsia="ru-RU"/>
              </w:rPr>
              <w:t>38 950</w:t>
            </w:r>
          </w:p>
        </w:tc>
        <w:tc>
          <w:tcPr>
            <w:tcW w:w="1270" w:type="dxa"/>
            <w:vMerge w:val="restart"/>
            <w:tcBorders>
              <w:top w:val="nil"/>
              <w:left w:val="single" w:sz="4" w:space="0" w:color="auto"/>
              <w:bottom w:val="single" w:sz="4" w:space="0" w:color="auto"/>
              <w:right w:val="single" w:sz="4" w:space="0" w:color="auto"/>
            </w:tcBorders>
            <w:vAlign w:val="center"/>
          </w:tcPr>
          <w:p w:rsidR="002D1E45" w:rsidRPr="00A209EA" w:rsidRDefault="002D1E45" w:rsidP="00B74642">
            <w:pPr>
              <w:spacing w:after="0" w:line="240" w:lineRule="auto"/>
              <w:jc w:val="center"/>
              <w:rPr>
                <w:rFonts w:ascii="Times New Roman" w:hAnsi="Times New Roman"/>
                <w:color w:val="000000"/>
                <w:sz w:val="20"/>
                <w:szCs w:val="20"/>
                <w:lang w:eastAsia="ru-RU"/>
              </w:rPr>
            </w:pPr>
            <w:r w:rsidRPr="00B74642">
              <w:rPr>
                <w:rFonts w:ascii="Times New Roman" w:hAnsi="Times New Roman"/>
                <w:color w:val="000000"/>
                <w:sz w:val="20"/>
                <w:szCs w:val="20"/>
                <w:lang w:eastAsia="ru-RU"/>
              </w:rPr>
              <w:t>154 556</w:t>
            </w:r>
          </w:p>
          <w:p w:rsidR="002D1E45" w:rsidRPr="00A209EA" w:rsidRDefault="002D1E45" w:rsidP="00B74642">
            <w:pPr>
              <w:spacing w:after="0" w:line="240" w:lineRule="auto"/>
              <w:jc w:val="center"/>
              <w:rPr>
                <w:rFonts w:ascii="Times New Roman" w:hAnsi="Times New Roman"/>
                <w:color w:val="000000"/>
                <w:sz w:val="20"/>
                <w:szCs w:val="20"/>
                <w:lang w:eastAsia="ru-RU"/>
              </w:rPr>
            </w:pPr>
          </w:p>
        </w:tc>
      </w:tr>
      <w:tr w:rsidR="002D1E45" w:rsidRPr="00B74642" w:rsidTr="00B74642">
        <w:trPr>
          <w:trHeight w:val="170"/>
          <w:jc w:val="center"/>
        </w:trPr>
        <w:tc>
          <w:tcPr>
            <w:tcW w:w="2048" w:type="dxa"/>
            <w:vMerge/>
            <w:tcBorders>
              <w:top w:val="nil"/>
              <w:left w:val="single" w:sz="4" w:space="0" w:color="auto"/>
              <w:bottom w:val="single" w:sz="4" w:space="0" w:color="auto"/>
              <w:right w:val="single" w:sz="4" w:space="0" w:color="auto"/>
            </w:tcBorders>
            <w:vAlign w:val="center"/>
          </w:tcPr>
          <w:p w:rsidR="002D1E45" w:rsidRPr="00A209EA" w:rsidRDefault="002D1E45" w:rsidP="00B74642">
            <w:pPr>
              <w:spacing w:after="0" w:line="240" w:lineRule="auto"/>
              <w:rPr>
                <w:rFonts w:ascii="Times New Roman" w:hAnsi="Times New Roman"/>
                <w:color w:val="000000"/>
                <w:sz w:val="20"/>
                <w:szCs w:val="20"/>
                <w:lang w:eastAsia="ru-RU"/>
              </w:rPr>
            </w:pPr>
          </w:p>
        </w:tc>
        <w:tc>
          <w:tcPr>
            <w:tcW w:w="2924" w:type="dxa"/>
            <w:tcBorders>
              <w:top w:val="nil"/>
              <w:left w:val="nil"/>
              <w:bottom w:val="single" w:sz="4" w:space="0" w:color="auto"/>
              <w:right w:val="single" w:sz="4" w:space="0" w:color="auto"/>
            </w:tcBorders>
            <w:vAlign w:val="center"/>
          </w:tcPr>
          <w:p w:rsidR="002D1E45" w:rsidRPr="00A209EA" w:rsidRDefault="002D1E45" w:rsidP="00B74642">
            <w:pPr>
              <w:spacing w:after="0" w:line="240" w:lineRule="auto"/>
              <w:rPr>
                <w:rFonts w:ascii="Times New Roman" w:hAnsi="Times New Roman"/>
                <w:color w:val="000000"/>
                <w:sz w:val="20"/>
                <w:szCs w:val="20"/>
                <w:lang w:eastAsia="ru-RU"/>
              </w:rPr>
            </w:pPr>
            <w:r w:rsidRPr="00A209EA">
              <w:rPr>
                <w:rFonts w:ascii="Times New Roman" w:hAnsi="Times New Roman"/>
                <w:color w:val="000000"/>
                <w:sz w:val="20"/>
                <w:szCs w:val="20"/>
                <w:lang w:eastAsia="ru-RU"/>
              </w:rPr>
              <w:t>Жилищный фонд, м</w:t>
            </w:r>
            <w:r w:rsidRPr="00A209EA">
              <w:rPr>
                <w:rFonts w:ascii="Times New Roman" w:hAnsi="Times New Roman"/>
                <w:color w:val="000000"/>
                <w:sz w:val="20"/>
                <w:szCs w:val="20"/>
                <w:vertAlign w:val="superscript"/>
                <w:lang w:eastAsia="ru-RU"/>
              </w:rPr>
              <w:t>2</w:t>
            </w:r>
            <w:r w:rsidRPr="00A209EA">
              <w:rPr>
                <w:rFonts w:ascii="Times New Roman" w:hAnsi="Times New Roman"/>
                <w:color w:val="000000"/>
                <w:sz w:val="20"/>
                <w:szCs w:val="20"/>
                <w:lang w:eastAsia="ru-RU"/>
              </w:rPr>
              <w:t>, в том числе</w:t>
            </w:r>
          </w:p>
        </w:tc>
        <w:tc>
          <w:tcPr>
            <w:tcW w:w="1523" w:type="dxa"/>
            <w:tcBorders>
              <w:top w:val="nil"/>
              <w:left w:val="nil"/>
              <w:bottom w:val="single" w:sz="4" w:space="0" w:color="auto"/>
              <w:right w:val="single" w:sz="4" w:space="0" w:color="auto"/>
            </w:tcBorders>
            <w:vAlign w:val="center"/>
          </w:tcPr>
          <w:p w:rsidR="002D1E45" w:rsidRPr="00A209EA" w:rsidRDefault="002D1E45" w:rsidP="00B74642">
            <w:pPr>
              <w:spacing w:after="0" w:line="240" w:lineRule="auto"/>
              <w:jc w:val="center"/>
              <w:rPr>
                <w:rFonts w:ascii="Times New Roman" w:hAnsi="Times New Roman"/>
                <w:color w:val="000000"/>
                <w:sz w:val="20"/>
                <w:szCs w:val="20"/>
                <w:lang w:eastAsia="ru-RU"/>
              </w:rPr>
            </w:pPr>
            <w:r w:rsidRPr="00B74642">
              <w:rPr>
                <w:rFonts w:ascii="Times New Roman" w:hAnsi="Times New Roman"/>
                <w:color w:val="000000"/>
                <w:sz w:val="20"/>
                <w:szCs w:val="20"/>
                <w:lang w:eastAsia="ru-RU"/>
              </w:rPr>
              <w:t>1 010 625</w:t>
            </w:r>
          </w:p>
        </w:tc>
        <w:tc>
          <w:tcPr>
            <w:tcW w:w="1272" w:type="dxa"/>
            <w:vMerge/>
            <w:tcBorders>
              <w:top w:val="nil"/>
              <w:left w:val="single" w:sz="4" w:space="0" w:color="auto"/>
              <w:bottom w:val="single" w:sz="4" w:space="0" w:color="auto"/>
              <w:right w:val="single" w:sz="4" w:space="0" w:color="auto"/>
            </w:tcBorders>
            <w:vAlign w:val="center"/>
          </w:tcPr>
          <w:p w:rsidR="002D1E45" w:rsidRPr="00A209EA" w:rsidRDefault="002D1E45" w:rsidP="00B74642">
            <w:pPr>
              <w:spacing w:after="0" w:line="240" w:lineRule="auto"/>
              <w:jc w:val="center"/>
              <w:rPr>
                <w:rFonts w:ascii="Times New Roman" w:hAnsi="Times New Roman"/>
                <w:color w:val="000000"/>
                <w:sz w:val="20"/>
                <w:szCs w:val="20"/>
                <w:lang w:eastAsia="ru-RU"/>
              </w:rPr>
            </w:pPr>
          </w:p>
        </w:tc>
        <w:tc>
          <w:tcPr>
            <w:tcW w:w="1158" w:type="dxa"/>
            <w:tcBorders>
              <w:top w:val="nil"/>
              <w:left w:val="nil"/>
              <w:bottom w:val="single" w:sz="4" w:space="0" w:color="auto"/>
              <w:right w:val="single" w:sz="4" w:space="0" w:color="auto"/>
            </w:tcBorders>
            <w:vAlign w:val="center"/>
          </w:tcPr>
          <w:p w:rsidR="002D1E45" w:rsidRPr="00A209EA" w:rsidRDefault="002D1E45" w:rsidP="00B74642">
            <w:pPr>
              <w:spacing w:after="0" w:line="240" w:lineRule="auto"/>
              <w:jc w:val="center"/>
              <w:rPr>
                <w:rFonts w:ascii="Times New Roman" w:hAnsi="Times New Roman"/>
                <w:color w:val="000000"/>
                <w:sz w:val="20"/>
                <w:szCs w:val="20"/>
                <w:lang w:eastAsia="ru-RU"/>
              </w:rPr>
            </w:pPr>
            <w:r w:rsidRPr="00B74642">
              <w:rPr>
                <w:rFonts w:ascii="Times New Roman" w:hAnsi="Times New Roman"/>
                <w:color w:val="000000"/>
                <w:sz w:val="20"/>
                <w:szCs w:val="20"/>
                <w:lang w:eastAsia="ru-RU"/>
              </w:rPr>
              <w:t>1 090 600</w:t>
            </w:r>
          </w:p>
        </w:tc>
        <w:tc>
          <w:tcPr>
            <w:tcW w:w="1270" w:type="dxa"/>
            <w:vMerge/>
            <w:tcBorders>
              <w:top w:val="nil"/>
              <w:left w:val="single" w:sz="4" w:space="0" w:color="auto"/>
              <w:bottom w:val="single" w:sz="4" w:space="0" w:color="auto"/>
              <w:right w:val="single" w:sz="4" w:space="0" w:color="auto"/>
            </w:tcBorders>
            <w:vAlign w:val="center"/>
          </w:tcPr>
          <w:p w:rsidR="002D1E45" w:rsidRPr="00A209EA" w:rsidRDefault="002D1E45" w:rsidP="00B74642">
            <w:pPr>
              <w:spacing w:after="0" w:line="240" w:lineRule="auto"/>
              <w:jc w:val="center"/>
              <w:rPr>
                <w:rFonts w:ascii="Times New Roman" w:hAnsi="Times New Roman"/>
                <w:color w:val="000000"/>
                <w:sz w:val="20"/>
                <w:szCs w:val="20"/>
                <w:lang w:eastAsia="ru-RU"/>
              </w:rPr>
            </w:pPr>
          </w:p>
        </w:tc>
      </w:tr>
    </w:tbl>
    <w:p w:rsidR="002D1E45" w:rsidRDefault="002D1E45" w:rsidP="00AF4343">
      <w:pPr>
        <w:autoSpaceDE w:val="0"/>
        <w:autoSpaceDN w:val="0"/>
        <w:adjustRightInd w:val="0"/>
        <w:spacing w:after="0" w:line="240" w:lineRule="auto"/>
        <w:ind w:left="709"/>
        <w:jc w:val="right"/>
        <w:rPr>
          <w:rFonts w:ascii="Times New Roman" w:hAnsi="Times New Roman"/>
          <w:sz w:val="28"/>
          <w:szCs w:val="24"/>
          <w:lang w:eastAsia="ru-RU"/>
        </w:rPr>
      </w:pPr>
    </w:p>
    <w:p w:rsidR="002D1E45" w:rsidRPr="003A7901" w:rsidRDefault="002D1E45" w:rsidP="00AF4343">
      <w:pPr>
        <w:autoSpaceDE w:val="0"/>
        <w:autoSpaceDN w:val="0"/>
        <w:adjustRightInd w:val="0"/>
        <w:spacing w:after="0" w:line="240" w:lineRule="auto"/>
        <w:ind w:left="709"/>
        <w:jc w:val="right"/>
        <w:rPr>
          <w:rFonts w:ascii="Times New Roman" w:hAnsi="Times New Roman"/>
          <w:sz w:val="28"/>
          <w:szCs w:val="24"/>
          <w:lang w:eastAsia="ru-RU"/>
        </w:rPr>
      </w:pPr>
      <w:r w:rsidRPr="003A7901">
        <w:rPr>
          <w:rFonts w:ascii="Times New Roman" w:hAnsi="Times New Roman"/>
          <w:sz w:val="28"/>
          <w:szCs w:val="24"/>
          <w:lang w:eastAsia="ru-RU"/>
        </w:rPr>
        <w:t xml:space="preserve">Таблица </w:t>
      </w:r>
      <w:r w:rsidRPr="003A7901">
        <w:rPr>
          <w:rFonts w:ascii="Times New Roman" w:hAnsi="Times New Roman"/>
          <w:sz w:val="28"/>
          <w:szCs w:val="24"/>
        </w:rPr>
        <w:fldChar w:fldCharType="begin"/>
      </w:r>
      <w:r w:rsidRPr="003A7901">
        <w:rPr>
          <w:rFonts w:ascii="Times New Roman" w:hAnsi="Times New Roman"/>
          <w:sz w:val="28"/>
          <w:szCs w:val="24"/>
        </w:rPr>
        <w:instrText xml:space="preserve"> SEQ Таблица \* ARABIC </w:instrText>
      </w:r>
      <w:r w:rsidRPr="003A7901">
        <w:rPr>
          <w:rFonts w:ascii="Times New Roman" w:hAnsi="Times New Roman"/>
          <w:sz w:val="28"/>
          <w:szCs w:val="24"/>
        </w:rPr>
        <w:fldChar w:fldCharType="separate"/>
      </w:r>
      <w:r>
        <w:rPr>
          <w:rFonts w:ascii="Times New Roman" w:hAnsi="Times New Roman"/>
          <w:noProof/>
          <w:sz w:val="28"/>
          <w:szCs w:val="24"/>
        </w:rPr>
        <w:t>49</w:t>
      </w:r>
      <w:r w:rsidRPr="003A7901">
        <w:rPr>
          <w:rFonts w:ascii="Times New Roman" w:hAnsi="Times New Roman"/>
          <w:sz w:val="28"/>
          <w:szCs w:val="24"/>
        </w:rPr>
        <w:fldChar w:fldCharType="end"/>
      </w:r>
    </w:p>
    <w:p w:rsidR="002D1E45" w:rsidRDefault="002D1E45" w:rsidP="00AF4343">
      <w:pPr>
        <w:spacing w:after="120" w:line="240" w:lineRule="auto"/>
        <w:jc w:val="center"/>
        <w:rPr>
          <w:rFonts w:ascii="Times New Roman" w:hAnsi="Times New Roman"/>
          <w:bCs/>
          <w:color w:val="000000"/>
          <w:sz w:val="28"/>
          <w:szCs w:val="24"/>
          <w:lang w:eastAsia="ru-RU"/>
        </w:rPr>
      </w:pPr>
      <w:r>
        <w:rPr>
          <w:rFonts w:ascii="Times New Roman" w:hAnsi="Times New Roman"/>
          <w:bCs/>
          <w:color w:val="000000"/>
          <w:sz w:val="28"/>
          <w:szCs w:val="24"/>
          <w:lang w:eastAsia="ru-RU"/>
        </w:rPr>
        <w:t>Укрупнённый расчёт площади земельных участков для жилищного строительства</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04"/>
        <w:gridCol w:w="2835"/>
        <w:gridCol w:w="1228"/>
        <w:gridCol w:w="1607"/>
        <w:gridCol w:w="1276"/>
        <w:gridCol w:w="1559"/>
        <w:gridCol w:w="1276"/>
      </w:tblGrid>
      <w:tr w:rsidR="002D1E45" w:rsidRPr="00A209EA" w:rsidTr="00A209EA">
        <w:trPr>
          <w:trHeight w:val="170"/>
          <w:tblHeader/>
          <w:jc w:val="center"/>
        </w:trPr>
        <w:tc>
          <w:tcPr>
            <w:tcW w:w="704" w:type="dxa"/>
            <w:vMerge w:val="restart"/>
            <w:vAlign w:val="center"/>
          </w:tcPr>
          <w:p w:rsidR="002D1E45" w:rsidRPr="00A209EA" w:rsidRDefault="002D1E45" w:rsidP="00A209EA">
            <w:pPr>
              <w:spacing w:after="0" w:line="240" w:lineRule="auto"/>
              <w:jc w:val="center"/>
              <w:rPr>
                <w:rFonts w:ascii="Times New Roman" w:hAnsi="Times New Roman"/>
                <w:color w:val="000000"/>
                <w:sz w:val="20"/>
                <w:szCs w:val="20"/>
                <w:lang w:eastAsia="ru-RU"/>
              </w:rPr>
            </w:pPr>
            <w:r w:rsidRPr="00A209EA">
              <w:rPr>
                <w:rFonts w:ascii="Times New Roman" w:hAnsi="Times New Roman"/>
                <w:color w:val="000000"/>
                <w:sz w:val="20"/>
                <w:szCs w:val="20"/>
                <w:lang w:eastAsia="ru-RU"/>
              </w:rPr>
              <w:t>№ п/п</w:t>
            </w:r>
          </w:p>
        </w:tc>
        <w:tc>
          <w:tcPr>
            <w:tcW w:w="2835" w:type="dxa"/>
            <w:vMerge w:val="restart"/>
            <w:vAlign w:val="center"/>
          </w:tcPr>
          <w:p w:rsidR="002D1E45" w:rsidRPr="00A209EA" w:rsidRDefault="002D1E45" w:rsidP="00A209EA">
            <w:pPr>
              <w:spacing w:after="0" w:line="240" w:lineRule="auto"/>
              <w:jc w:val="center"/>
              <w:rPr>
                <w:rFonts w:ascii="Times New Roman" w:hAnsi="Times New Roman"/>
                <w:color w:val="000000"/>
                <w:sz w:val="20"/>
                <w:szCs w:val="20"/>
                <w:lang w:eastAsia="ru-RU"/>
              </w:rPr>
            </w:pPr>
            <w:r w:rsidRPr="00A209EA">
              <w:rPr>
                <w:rFonts w:ascii="Times New Roman" w:hAnsi="Times New Roman"/>
                <w:color w:val="000000"/>
                <w:sz w:val="20"/>
                <w:szCs w:val="20"/>
                <w:lang w:eastAsia="ru-RU"/>
              </w:rPr>
              <w:t>Тип застройки</w:t>
            </w:r>
          </w:p>
        </w:tc>
        <w:tc>
          <w:tcPr>
            <w:tcW w:w="1228" w:type="dxa"/>
            <w:vMerge w:val="restart"/>
            <w:vAlign w:val="center"/>
          </w:tcPr>
          <w:p w:rsidR="002D1E45" w:rsidRPr="00A209EA" w:rsidRDefault="002D1E45" w:rsidP="00A209EA">
            <w:pPr>
              <w:spacing w:after="0" w:line="240" w:lineRule="auto"/>
              <w:jc w:val="center"/>
              <w:rPr>
                <w:rFonts w:ascii="Times New Roman" w:hAnsi="Times New Roman"/>
                <w:color w:val="000000"/>
                <w:sz w:val="20"/>
                <w:szCs w:val="20"/>
                <w:lang w:eastAsia="ru-RU"/>
              </w:rPr>
            </w:pPr>
            <w:r w:rsidRPr="00A209EA">
              <w:rPr>
                <w:rFonts w:ascii="Times New Roman" w:hAnsi="Times New Roman"/>
                <w:color w:val="000000"/>
                <w:sz w:val="20"/>
                <w:szCs w:val="20"/>
                <w:lang w:eastAsia="ru-RU"/>
              </w:rPr>
              <w:t>Норматив на дом/</w:t>
            </w:r>
          </w:p>
          <w:p w:rsidR="002D1E45" w:rsidRPr="00A209EA" w:rsidRDefault="002D1E45" w:rsidP="00A209EA">
            <w:pPr>
              <w:spacing w:after="0" w:line="240" w:lineRule="auto"/>
              <w:jc w:val="center"/>
              <w:rPr>
                <w:rFonts w:ascii="Times New Roman" w:hAnsi="Times New Roman"/>
                <w:color w:val="000000"/>
                <w:sz w:val="20"/>
                <w:szCs w:val="20"/>
                <w:lang w:eastAsia="ru-RU"/>
              </w:rPr>
            </w:pPr>
            <w:r w:rsidRPr="00A209EA">
              <w:rPr>
                <w:rFonts w:ascii="Times New Roman" w:hAnsi="Times New Roman"/>
                <w:color w:val="000000"/>
                <w:sz w:val="20"/>
                <w:szCs w:val="20"/>
                <w:lang w:eastAsia="ru-RU"/>
              </w:rPr>
              <w:t>квартиру, га.</w:t>
            </w:r>
            <w:r w:rsidRPr="00A209EA">
              <w:rPr>
                <w:rFonts w:cs="Calibri"/>
                <w:color w:val="000000"/>
                <w:sz w:val="20"/>
                <w:szCs w:val="20"/>
                <w:lang w:eastAsia="ru-RU"/>
              </w:rPr>
              <w:t> </w:t>
            </w:r>
          </w:p>
        </w:tc>
        <w:tc>
          <w:tcPr>
            <w:tcW w:w="2883" w:type="dxa"/>
            <w:gridSpan w:val="2"/>
            <w:vAlign w:val="center"/>
          </w:tcPr>
          <w:p w:rsidR="002D1E45" w:rsidRPr="00A209EA" w:rsidRDefault="002D1E45" w:rsidP="00A209EA">
            <w:pPr>
              <w:spacing w:after="0" w:line="240" w:lineRule="auto"/>
              <w:jc w:val="center"/>
              <w:rPr>
                <w:rFonts w:ascii="Times New Roman" w:hAnsi="Times New Roman"/>
                <w:color w:val="000000"/>
                <w:sz w:val="20"/>
                <w:szCs w:val="20"/>
                <w:lang w:eastAsia="ru-RU"/>
              </w:rPr>
            </w:pPr>
            <w:r w:rsidRPr="00A209EA">
              <w:rPr>
                <w:rFonts w:ascii="Times New Roman" w:hAnsi="Times New Roman"/>
                <w:color w:val="000000"/>
                <w:sz w:val="20"/>
                <w:szCs w:val="20"/>
                <w:lang w:eastAsia="ru-RU"/>
              </w:rPr>
              <w:t>I очередь</w:t>
            </w:r>
          </w:p>
        </w:tc>
        <w:tc>
          <w:tcPr>
            <w:tcW w:w="2835" w:type="dxa"/>
            <w:gridSpan w:val="2"/>
            <w:vAlign w:val="center"/>
          </w:tcPr>
          <w:p w:rsidR="002D1E45" w:rsidRPr="00A209EA" w:rsidRDefault="002D1E45" w:rsidP="00A209EA">
            <w:pPr>
              <w:spacing w:after="0" w:line="240" w:lineRule="auto"/>
              <w:jc w:val="center"/>
              <w:rPr>
                <w:rFonts w:ascii="Times New Roman" w:hAnsi="Times New Roman"/>
                <w:color w:val="000000"/>
                <w:sz w:val="20"/>
                <w:szCs w:val="20"/>
                <w:lang w:eastAsia="ru-RU"/>
              </w:rPr>
            </w:pPr>
            <w:r w:rsidRPr="00A209EA">
              <w:rPr>
                <w:rFonts w:ascii="Times New Roman" w:hAnsi="Times New Roman"/>
                <w:color w:val="000000"/>
                <w:sz w:val="20"/>
                <w:szCs w:val="20"/>
                <w:lang w:eastAsia="ru-RU"/>
              </w:rPr>
              <w:t>Расчётный срок</w:t>
            </w:r>
          </w:p>
        </w:tc>
      </w:tr>
      <w:tr w:rsidR="002D1E45" w:rsidRPr="00A209EA" w:rsidTr="00A209EA">
        <w:trPr>
          <w:trHeight w:val="1012"/>
          <w:tblHeader/>
          <w:jc w:val="center"/>
        </w:trPr>
        <w:tc>
          <w:tcPr>
            <w:tcW w:w="704" w:type="dxa"/>
            <w:vMerge/>
            <w:vAlign w:val="center"/>
          </w:tcPr>
          <w:p w:rsidR="002D1E45" w:rsidRPr="00A209EA" w:rsidRDefault="002D1E45" w:rsidP="00A209EA">
            <w:pPr>
              <w:spacing w:after="0" w:line="240" w:lineRule="auto"/>
              <w:rPr>
                <w:rFonts w:ascii="Times New Roman" w:hAnsi="Times New Roman"/>
                <w:color w:val="000000"/>
                <w:sz w:val="20"/>
                <w:szCs w:val="20"/>
                <w:lang w:eastAsia="ru-RU"/>
              </w:rPr>
            </w:pPr>
          </w:p>
        </w:tc>
        <w:tc>
          <w:tcPr>
            <w:tcW w:w="2835" w:type="dxa"/>
            <w:vMerge/>
            <w:vAlign w:val="center"/>
          </w:tcPr>
          <w:p w:rsidR="002D1E45" w:rsidRPr="00A209EA" w:rsidRDefault="002D1E45" w:rsidP="00A209EA">
            <w:pPr>
              <w:spacing w:after="0" w:line="240" w:lineRule="auto"/>
              <w:rPr>
                <w:rFonts w:ascii="Times New Roman" w:hAnsi="Times New Roman"/>
                <w:color w:val="000000"/>
                <w:sz w:val="20"/>
                <w:szCs w:val="20"/>
                <w:lang w:eastAsia="ru-RU"/>
              </w:rPr>
            </w:pPr>
          </w:p>
        </w:tc>
        <w:tc>
          <w:tcPr>
            <w:tcW w:w="1228" w:type="dxa"/>
            <w:vMerge/>
            <w:vAlign w:val="center"/>
          </w:tcPr>
          <w:p w:rsidR="002D1E45" w:rsidRPr="00A209EA" w:rsidRDefault="002D1E45" w:rsidP="00A209EA">
            <w:pPr>
              <w:spacing w:after="0" w:line="240" w:lineRule="auto"/>
              <w:rPr>
                <w:rFonts w:ascii="Times New Roman" w:hAnsi="Times New Roman"/>
                <w:color w:val="000000"/>
                <w:sz w:val="20"/>
                <w:szCs w:val="20"/>
                <w:lang w:eastAsia="ru-RU"/>
              </w:rPr>
            </w:pPr>
          </w:p>
        </w:tc>
        <w:tc>
          <w:tcPr>
            <w:tcW w:w="1607" w:type="dxa"/>
            <w:vAlign w:val="center"/>
          </w:tcPr>
          <w:p w:rsidR="002D1E45" w:rsidRPr="00A209EA" w:rsidRDefault="002D1E45" w:rsidP="00A209EA">
            <w:pPr>
              <w:spacing w:after="0" w:line="240" w:lineRule="auto"/>
              <w:jc w:val="center"/>
              <w:rPr>
                <w:rFonts w:ascii="Times New Roman" w:hAnsi="Times New Roman"/>
                <w:color w:val="000000"/>
                <w:sz w:val="20"/>
                <w:szCs w:val="20"/>
                <w:lang w:eastAsia="ru-RU"/>
              </w:rPr>
            </w:pPr>
            <w:r w:rsidRPr="00A209EA">
              <w:rPr>
                <w:rFonts w:ascii="Times New Roman" w:hAnsi="Times New Roman"/>
                <w:color w:val="000000"/>
                <w:sz w:val="20"/>
                <w:szCs w:val="20"/>
                <w:lang w:eastAsia="ru-RU"/>
              </w:rPr>
              <w:t>Количество домов</w:t>
            </w:r>
            <w:r>
              <w:rPr>
                <w:rFonts w:ascii="Times New Roman" w:hAnsi="Times New Roman"/>
                <w:color w:val="000000"/>
                <w:sz w:val="20"/>
                <w:szCs w:val="20"/>
                <w:lang w:eastAsia="ru-RU"/>
              </w:rPr>
              <w:t xml:space="preserve"> (инд. дома)</w:t>
            </w:r>
            <w:r w:rsidRPr="00A209EA">
              <w:rPr>
                <w:rFonts w:ascii="Times New Roman" w:hAnsi="Times New Roman"/>
                <w:color w:val="000000"/>
                <w:sz w:val="20"/>
                <w:szCs w:val="20"/>
                <w:lang w:eastAsia="ru-RU"/>
              </w:rPr>
              <w:t>, квартир</w:t>
            </w:r>
            <w:r>
              <w:rPr>
                <w:rFonts w:ascii="Times New Roman" w:hAnsi="Times New Roman"/>
                <w:color w:val="000000"/>
                <w:sz w:val="20"/>
                <w:szCs w:val="20"/>
                <w:lang w:eastAsia="ru-RU"/>
              </w:rPr>
              <w:t xml:space="preserve"> (МКД)</w:t>
            </w:r>
            <w:r w:rsidRPr="00A209EA">
              <w:rPr>
                <w:rFonts w:ascii="Times New Roman" w:hAnsi="Times New Roman"/>
                <w:color w:val="000000"/>
                <w:sz w:val="20"/>
                <w:szCs w:val="20"/>
                <w:lang w:eastAsia="ru-RU"/>
              </w:rPr>
              <w:t>, шт.</w:t>
            </w:r>
          </w:p>
        </w:tc>
        <w:tc>
          <w:tcPr>
            <w:tcW w:w="1276" w:type="dxa"/>
            <w:vAlign w:val="center"/>
          </w:tcPr>
          <w:p w:rsidR="002D1E45" w:rsidRPr="00A209EA" w:rsidRDefault="002D1E45" w:rsidP="00A209EA">
            <w:pPr>
              <w:spacing w:after="0" w:line="240" w:lineRule="auto"/>
              <w:jc w:val="center"/>
              <w:rPr>
                <w:rFonts w:ascii="Times New Roman" w:hAnsi="Times New Roman"/>
                <w:color w:val="000000"/>
                <w:sz w:val="20"/>
                <w:szCs w:val="20"/>
                <w:lang w:eastAsia="ru-RU"/>
              </w:rPr>
            </w:pPr>
            <w:r w:rsidRPr="00A209EA">
              <w:rPr>
                <w:rFonts w:ascii="Times New Roman" w:hAnsi="Times New Roman"/>
                <w:color w:val="000000"/>
                <w:sz w:val="20"/>
                <w:szCs w:val="20"/>
                <w:lang w:eastAsia="ru-RU"/>
              </w:rPr>
              <w:t>Площадь территории,</w:t>
            </w:r>
          </w:p>
          <w:p w:rsidR="002D1E45" w:rsidRPr="00A209EA" w:rsidRDefault="002D1E45" w:rsidP="00A209EA">
            <w:pPr>
              <w:spacing w:after="0" w:line="240" w:lineRule="auto"/>
              <w:jc w:val="center"/>
              <w:rPr>
                <w:rFonts w:ascii="Times New Roman" w:hAnsi="Times New Roman"/>
                <w:color w:val="000000"/>
                <w:sz w:val="20"/>
                <w:szCs w:val="20"/>
                <w:lang w:eastAsia="ru-RU"/>
              </w:rPr>
            </w:pPr>
            <w:r w:rsidRPr="00A209EA">
              <w:rPr>
                <w:rFonts w:ascii="Times New Roman" w:hAnsi="Times New Roman"/>
                <w:color w:val="000000"/>
                <w:sz w:val="20"/>
                <w:szCs w:val="20"/>
                <w:lang w:eastAsia="ru-RU"/>
              </w:rPr>
              <w:t>га</w:t>
            </w:r>
          </w:p>
        </w:tc>
        <w:tc>
          <w:tcPr>
            <w:tcW w:w="1559" w:type="dxa"/>
            <w:vAlign w:val="center"/>
          </w:tcPr>
          <w:p w:rsidR="002D1E45" w:rsidRPr="00A209EA" w:rsidRDefault="002D1E45" w:rsidP="00A209EA">
            <w:pPr>
              <w:spacing w:after="0" w:line="240" w:lineRule="auto"/>
              <w:jc w:val="center"/>
              <w:rPr>
                <w:rFonts w:ascii="Times New Roman" w:hAnsi="Times New Roman"/>
                <w:color w:val="000000"/>
                <w:sz w:val="20"/>
                <w:szCs w:val="20"/>
                <w:lang w:eastAsia="ru-RU"/>
              </w:rPr>
            </w:pPr>
            <w:r w:rsidRPr="00A209EA">
              <w:rPr>
                <w:rFonts w:ascii="Times New Roman" w:hAnsi="Times New Roman"/>
                <w:color w:val="000000"/>
                <w:sz w:val="20"/>
                <w:szCs w:val="20"/>
                <w:lang w:eastAsia="ru-RU"/>
              </w:rPr>
              <w:t>Количество домов</w:t>
            </w:r>
            <w:r>
              <w:rPr>
                <w:rFonts w:ascii="Times New Roman" w:hAnsi="Times New Roman"/>
                <w:color w:val="000000"/>
                <w:sz w:val="20"/>
                <w:szCs w:val="20"/>
                <w:lang w:eastAsia="ru-RU"/>
              </w:rPr>
              <w:t xml:space="preserve"> (инд. дома)</w:t>
            </w:r>
            <w:r w:rsidRPr="00A209EA">
              <w:rPr>
                <w:rFonts w:ascii="Times New Roman" w:hAnsi="Times New Roman"/>
                <w:color w:val="000000"/>
                <w:sz w:val="20"/>
                <w:szCs w:val="20"/>
                <w:lang w:eastAsia="ru-RU"/>
              </w:rPr>
              <w:t>, квартир</w:t>
            </w:r>
            <w:r>
              <w:rPr>
                <w:rFonts w:ascii="Times New Roman" w:hAnsi="Times New Roman"/>
                <w:color w:val="000000"/>
                <w:sz w:val="20"/>
                <w:szCs w:val="20"/>
                <w:lang w:eastAsia="ru-RU"/>
              </w:rPr>
              <w:t xml:space="preserve"> (МКД)</w:t>
            </w:r>
            <w:r w:rsidRPr="00A209EA">
              <w:rPr>
                <w:rFonts w:ascii="Times New Roman" w:hAnsi="Times New Roman"/>
                <w:color w:val="000000"/>
                <w:sz w:val="20"/>
                <w:szCs w:val="20"/>
                <w:lang w:eastAsia="ru-RU"/>
              </w:rPr>
              <w:t>, шт.</w:t>
            </w:r>
          </w:p>
        </w:tc>
        <w:tc>
          <w:tcPr>
            <w:tcW w:w="1276" w:type="dxa"/>
            <w:vAlign w:val="center"/>
          </w:tcPr>
          <w:p w:rsidR="002D1E45" w:rsidRPr="00A209EA" w:rsidRDefault="002D1E45" w:rsidP="00A209EA">
            <w:pPr>
              <w:spacing w:after="0" w:line="240" w:lineRule="auto"/>
              <w:jc w:val="center"/>
              <w:rPr>
                <w:rFonts w:ascii="Times New Roman" w:hAnsi="Times New Roman"/>
                <w:color w:val="000000"/>
                <w:sz w:val="20"/>
                <w:szCs w:val="20"/>
                <w:lang w:eastAsia="ru-RU"/>
              </w:rPr>
            </w:pPr>
            <w:r w:rsidRPr="00A209EA">
              <w:rPr>
                <w:rFonts w:ascii="Times New Roman" w:hAnsi="Times New Roman"/>
                <w:color w:val="000000"/>
                <w:sz w:val="20"/>
                <w:szCs w:val="20"/>
                <w:lang w:eastAsia="ru-RU"/>
              </w:rPr>
              <w:t>Площадь территории,</w:t>
            </w:r>
          </w:p>
          <w:p w:rsidR="002D1E45" w:rsidRPr="00A209EA" w:rsidRDefault="002D1E45" w:rsidP="00A209EA">
            <w:pPr>
              <w:spacing w:after="0" w:line="240" w:lineRule="auto"/>
              <w:jc w:val="center"/>
              <w:rPr>
                <w:rFonts w:ascii="Times New Roman" w:hAnsi="Times New Roman"/>
                <w:color w:val="000000"/>
                <w:sz w:val="20"/>
                <w:szCs w:val="20"/>
                <w:lang w:eastAsia="ru-RU"/>
              </w:rPr>
            </w:pPr>
            <w:r w:rsidRPr="00A209EA">
              <w:rPr>
                <w:rFonts w:ascii="Times New Roman" w:hAnsi="Times New Roman"/>
                <w:color w:val="000000"/>
                <w:sz w:val="20"/>
                <w:szCs w:val="20"/>
                <w:lang w:eastAsia="ru-RU"/>
              </w:rPr>
              <w:t>га</w:t>
            </w:r>
          </w:p>
        </w:tc>
      </w:tr>
      <w:tr w:rsidR="002D1E45" w:rsidRPr="00A209EA" w:rsidTr="007D4C39">
        <w:trPr>
          <w:trHeight w:val="170"/>
          <w:jc w:val="center"/>
        </w:trPr>
        <w:tc>
          <w:tcPr>
            <w:tcW w:w="704" w:type="dxa"/>
            <w:vAlign w:val="center"/>
          </w:tcPr>
          <w:p w:rsidR="002D1E45" w:rsidRPr="00A209EA" w:rsidRDefault="002D1E45" w:rsidP="00B74642">
            <w:pPr>
              <w:spacing w:after="0" w:line="240" w:lineRule="auto"/>
              <w:jc w:val="center"/>
              <w:rPr>
                <w:rFonts w:ascii="Times New Roman" w:hAnsi="Times New Roman"/>
                <w:color w:val="000000"/>
                <w:sz w:val="20"/>
                <w:szCs w:val="20"/>
                <w:lang w:eastAsia="ru-RU"/>
              </w:rPr>
            </w:pPr>
            <w:r w:rsidRPr="00A209EA">
              <w:rPr>
                <w:rFonts w:ascii="Times New Roman" w:hAnsi="Times New Roman"/>
                <w:color w:val="000000"/>
                <w:sz w:val="20"/>
                <w:szCs w:val="20"/>
                <w:lang w:eastAsia="ru-RU"/>
              </w:rPr>
              <w:t>1</w:t>
            </w:r>
          </w:p>
        </w:tc>
        <w:tc>
          <w:tcPr>
            <w:tcW w:w="2835" w:type="dxa"/>
            <w:vAlign w:val="center"/>
          </w:tcPr>
          <w:p w:rsidR="002D1E45" w:rsidRPr="00A209EA" w:rsidRDefault="002D1E45" w:rsidP="00B74642">
            <w:pPr>
              <w:spacing w:after="0" w:line="240" w:lineRule="auto"/>
              <w:rPr>
                <w:rFonts w:ascii="Times New Roman" w:hAnsi="Times New Roman"/>
                <w:color w:val="000000"/>
                <w:sz w:val="20"/>
                <w:szCs w:val="20"/>
                <w:lang w:eastAsia="ru-RU"/>
              </w:rPr>
            </w:pPr>
            <w:r w:rsidRPr="00A209EA">
              <w:rPr>
                <w:rFonts w:ascii="Times New Roman" w:hAnsi="Times New Roman"/>
                <w:color w:val="000000"/>
                <w:sz w:val="20"/>
                <w:szCs w:val="20"/>
                <w:lang w:eastAsia="ru-RU"/>
              </w:rPr>
              <w:t>Одноквартирные жилые дома</w:t>
            </w:r>
          </w:p>
        </w:tc>
        <w:tc>
          <w:tcPr>
            <w:tcW w:w="1228" w:type="dxa"/>
            <w:vAlign w:val="center"/>
          </w:tcPr>
          <w:p w:rsidR="002D1E45" w:rsidRPr="00A209EA" w:rsidRDefault="002D1E45" w:rsidP="00B74642">
            <w:pPr>
              <w:spacing w:after="0" w:line="240" w:lineRule="auto"/>
              <w:jc w:val="center"/>
              <w:rPr>
                <w:rFonts w:ascii="Times New Roman" w:hAnsi="Times New Roman"/>
                <w:color w:val="000000"/>
                <w:sz w:val="20"/>
                <w:szCs w:val="20"/>
                <w:lang w:eastAsia="ru-RU"/>
              </w:rPr>
            </w:pPr>
            <w:r w:rsidRPr="00A209EA">
              <w:rPr>
                <w:rFonts w:ascii="Times New Roman" w:hAnsi="Times New Roman"/>
                <w:color w:val="000000"/>
                <w:sz w:val="20"/>
                <w:szCs w:val="20"/>
                <w:lang w:eastAsia="ru-RU"/>
              </w:rPr>
              <w:t>× </w:t>
            </w:r>
          </w:p>
        </w:tc>
        <w:tc>
          <w:tcPr>
            <w:tcW w:w="1607" w:type="dxa"/>
          </w:tcPr>
          <w:p w:rsidR="002D1E45" w:rsidRPr="00A209EA" w:rsidRDefault="002D1E45" w:rsidP="00B74642">
            <w:pPr>
              <w:spacing w:after="0" w:line="240" w:lineRule="auto"/>
              <w:jc w:val="center"/>
              <w:rPr>
                <w:rFonts w:ascii="Times New Roman" w:hAnsi="Times New Roman"/>
                <w:color w:val="000000"/>
                <w:sz w:val="20"/>
                <w:szCs w:val="20"/>
                <w:lang w:eastAsia="ru-RU"/>
              </w:rPr>
            </w:pPr>
            <w:r w:rsidRPr="00B74642">
              <w:rPr>
                <w:rFonts w:ascii="Times New Roman" w:hAnsi="Times New Roman"/>
                <w:color w:val="000000"/>
                <w:sz w:val="20"/>
                <w:szCs w:val="20"/>
                <w:lang w:eastAsia="ru-RU"/>
              </w:rPr>
              <w:t>341</w:t>
            </w:r>
          </w:p>
        </w:tc>
        <w:tc>
          <w:tcPr>
            <w:tcW w:w="1276" w:type="dxa"/>
          </w:tcPr>
          <w:p w:rsidR="002D1E45" w:rsidRPr="00A209EA" w:rsidRDefault="002D1E45" w:rsidP="00B74642">
            <w:pPr>
              <w:spacing w:after="0" w:line="240" w:lineRule="auto"/>
              <w:jc w:val="center"/>
              <w:rPr>
                <w:rFonts w:ascii="Times New Roman" w:hAnsi="Times New Roman"/>
                <w:color w:val="000000"/>
                <w:sz w:val="20"/>
                <w:szCs w:val="20"/>
                <w:lang w:eastAsia="ru-RU"/>
              </w:rPr>
            </w:pPr>
            <w:r w:rsidRPr="00B74642">
              <w:rPr>
                <w:rFonts w:ascii="Times New Roman" w:hAnsi="Times New Roman"/>
                <w:color w:val="000000"/>
                <w:sz w:val="20"/>
                <w:szCs w:val="20"/>
                <w:lang w:eastAsia="ru-RU"/>
              </w:rPr>
              <w:t>43,4</w:t>
            </w:r>
          </w:p>
        </w:tc>
        <w:tc>
          <w:tcPr>
            <w:tcW w:w="1559" w:type="dxa"/>
          </w:tcPr>
          <w:p w:rsidR="002D1E45" w:rsidRPr="00A209EA" w:rsidRDefault="002D1E45" w:rsidP="00B74642">
            <w:pPr>
              <w:spacing w:after="0" w:line="240" w:lineRule="auto"/>
              <w:jc w:val="center"/>
              <w:rPr>
                <w:rFonts w:ascii="Times New Roman" w:hAnsi="Times New Roman"/>
                <w:color w:val="000000"/>
                <w:sz w:val="20"/>
                <w:szCs w:val="20"/>
                <w:lang w:eastAsia="ru-RU"/>
              </w:rPr>
            </w:pPr>
            <w:r w:rsidRPr="00B74642">
              <w:rPr>
                <w:rFonts w:ascii="Times New Roman" w:hAnsi="Times New Roman"/>
                <w:color w:val="000000"/>
                <w:sz w:val="20"/>
                <w:szCs w:val="20"/>
                <w:lang w:eastAsia="ru-RU"/>
              </w:rPr>
              <w:t>687</w:t>
            </w:r>
          </w:p>
        </w:tc>
        <w:tc>
          <w:tcPr>
            <w:tcW w:w="1276" w:type="dxa"/>
          </w:tcPr>
          <w:p w:rsidR="002D1E45" w:rsidRPr="00A209EA" w:rsidRDefault="002D1E45" w:rsidP="00B74642">
            <w:pPr>
              <w:spacing w:after="0" w:line="240" w:lineRule="auto"/>
              <w:jc w:val="center"/>
              <w:rPr>
                <w:rFonts w:ascii="Times New Roman" w:hAnsi="Times New Roman"/>
                <w:color w:val="000000"/>
                <w:sz w:val="20"/>
                <w:szCs w:val="20"/>
                <w:lang w:eastAsia="ru-RU"/>
              </w:rPr>
            </w:pPr>
            <w:r w:rsidRPr="00B74642">
              <w:rPr>
                <w:rFonts w:ascii="Times New Roman" w:hAnsi="Times New Roman"/>
                <w:color w:val="000000"/>
                <w:sz w:val="20"/>
                <w:szCs w:val="20"/>
                <w:lang w:eastAsia="ru-RU"/>
              </w:rPr>
              <w:t>89,9</w:t>
            </w:r>
          </w:p>
        </w:tc>
      </w:tr>
      <w:tr w:rsidR="002D1E45" w:rsidRPr="00A209EA" w:rsidTr="007D4C39">
        <w:trPr>
          <w:trHeight w:val="170"/>
          <w:jc w:val="center"/>
        </w:trPr>
        <w:tc>
          <w:tcPr>
            <w:tcW w:w="704" w:type="dxa"/>
            <w:vAlign w:val="center"/>
          </w:tcPr>
          <w:p w:rsidR="002D1E45" w:rsidRPr="00A209EA" w:rsidRDefault="002D1E45" w:rsidP="00B74642">
            <w:pPr>
              <w:spacing w:after="0" w:line="240" w:lineRule="auto"/>
              <w:jc w:val="center"/>
              <w:rPr>
                <w:rFonts w:ascii="Times New Roman" w:hAnsi="Times New Roman"/>
                <w:color w:val="000000"/>
                <w:sz w:val="20"/>
                <w:szCs w:val="20"/>
                <w:lang w:eastAsia="ru-RU"/>
              </w:rPr>
            </w:pPr>
            <w:r w:rsidRPr="00A209EA">
              <w:rPr>
                <w:rFonts w:ascii="Times New Roman" w:hAnsi="Times New Roman"/>
                <w:color w:val="000000"/>
                <w:sz w:val="20"/>
                <w:szCs w:val="20"/>
                <w:lang w:eastAsia="ru-RU"/>
              </w:rPr>
              <w:t>1.1</w:t>
            </w:r>
          </w:p>
        </w:tc>
        <w:tc>
          <w:tcPr>
            <w:tcW w:w="2835" w:type="dxa"/>
            <w:vAlign w:val="center"/>
          </w:tcPr>
          <w:p w:rsidR="002D1E45" w:rsidRPr="00A209EA" w:rsidRDefault="002D1E45" w:rsidP="00B74642">
            <w:pPr>
              <w:spacing w:after="0" w:line="240" w:lineRule="auto"/>
              <w:rPr>
                <w:rFonts w:ascii="Times New Roman" w:hAnsi="Times New Roman"/>
                <w:color w:val="000000"/>
                <w:sz w:val="20"/>
                <w:szCs w:val="20"/>
                <w:lang w:eastAsia="ru-RU"/>
              </w:rPr>
            </w:pPr>
            <w:r w:rsidRPr="00A209EA">
              <w:rPr>
                <w:rFonts w:ascii="Times New Roman" w:hAnsi="Times New Roman"/>
                <w:color w:val="000000"/>
                <w:sz w:val="20"/>
                <w:szCs w:val="20"/>
                <w:lang w:eastAsia="ru-RU"/>
              </w:rPr>
              <w:t>Индивидуальные жилые дома (коттеджи) с участками при доме 1000-1500 м</w:t>
            </w:r>
            <w:r w:rsidRPr="00A209EA">
              <w:rPr>
                <w:rFonts w:ascii="Times New Roman" w:hAnsi="Times New Roman"/>
                <w:color w:val="000000"/>
                <w:sz w:val="20"/>
                <w:szCs w:val="20"/>
                <w:vertAlign w:val="superscript"/>
                <w:lang w:eastAsia="ru-RU"/>
              </w:rPr>
              <w:t>2</w:t>
            </w:r>
          </w:p>
        </w:tc>
        <w:tc>
          <w:tcPr>
            <w:tcW w:w="1228" w:type="dxa"/>
            <w:vAlign w:val="center"/>
          </w:tcPr>
          <w:p w:rsidR="002D1E45" w:rsidRPr="00A209EA" w:rsidRDefault="002D1E45" w:rsidP="00B74642">
            <w:pPr>
              <w:spacing w:after="0" w:line="240" w:lineRule="auto"/>
              <w:jc w:val="center"/>
              <w:rPr>
                <w:rFonts w:ascii="Times New Roman" w:hAnsi="Times New Roman"/>
                <w:color w:val="000000"/>
                <w:sz w:val="20"/>
                <w:szCs w:val="20"/>
                <w:lang w:eastAsia="ru-RU"/>
              </w:rPr>
            </w:pPr>
            <w:r w:rsidRPr="00A209EA">
              <w:rPr>
                <w:rFonts w:ascii="Times New Roman" w:hAnsi="Times New Roman"/>
                <w:color w:val="000000"/>
                <w:sz w:val="20"/>
                <w:szCs w:val="20"/>
                <w:lang w:eastAsia="ru-RU"/>
              </w:rPr>
              <w:t>0,19</w:t>
            </w:r>
          </w:p>
        </w:tc>
        <w:tc>
          <w:tcPr>
            <w:tcW w:w="1607" w:type="dxa"/>
          </w:tcPr>
          <w:p w:rsidR="002D1E45" w:rsidRPr="00A209EA" w:rsidRDefault="002D1E45" w:rsidP="00B74642">
            <w:pPr>
              <w:spacing w:after="0" w:line="240" w:lineRule="auto"/>
              <w:jc w:val="center"/>
              <w:rPr>
                <w:rFonts w:ascii="Times New Roman" w:hAnsi="Times New Roman"/>
                <w:color w:val="000000"/>
                <w:sz w:val="20"/>
                <w:szCs w:val="20"/>
                <w:lang w:eastAsia="ru-RU"/>
              </w:rPr>
            </w:pPr>
            <w:r w:rsidRPr="00B74642">
              <w:rPr>
                <w:rFonts w:ascii="Times New Roman" w:hAnsi="Times New Roman"/>
                <w:color w:val="000000"/>
                <w:sz w:val="20"/>
                <w:szCs w:val="20"/>
                <w:lang w:eastAsia="ru-RU"/>
              </w:rPr>
              <w:t>89</w:t>
            </w:r>
          </w:p>
        </w:tc>
        <w:tc>
          <w:tcPr>
            <w:tcW w:w="1276" w:type="dxa"/>
          </w:tcPr>
          <w:p w:rsidR="002D1E45" w:rsidRPr="00A209EA" w:rsidRDefault="002D1E45" w:rsidP="00B74642">
            <w:pPr>
              <w:spacing w:after="0" w:line="240" w:lineRule="auto"/>
              <w:jc w:val="center"/>
              <w:rPr>
                <w:rFonts w:ascii="Times New Roman" w:hAnsi="Times New Roman"/>
                <w:color w:val="000000"/>
                <w:sz w:val="20"/>
                <w:szCs w:val="20"/>
                <w:lang w:eastAsia="ru-RU"/>
              </w:rPr>
            </w:pPr>
            <w:r w:rsidRPr="00B74642">
              <w:rPr>
                <w:rFonts w:ascii="Times New Roman" w:hAnsi="Times New Roman"/>
                <w:color w:val="000000"/>
                <w:sz w:val="20"/>
                <w:szCs w:val="20"/>
                <w:lang w:eastAsia="ru-RU"/>
              </w:rPr>
              <w:t>16,9</w:t>
            </w:r>
          </w:p>
        </w:tc>
        <w:tc>
          <w:tcPr>
            <w:tcW w:w="1559" w:type="dxa"/>
          </w:tcPr>
          <w:p w:rsidR="002D1E45" w:rsidRPr="00A209EA" w:rsidRDefault="002D1E45" w:rsidP="00B74642">
            <w:pPr>
              <w:spacing w:after="0" w:line="240" w:lineRule="auto"/>
              <w:jc w:val="center"/>
              <w:rPr>
                <w:rFonts w:ascii="Times New Roman" w:hAnsi="Times New Roman"/>
                <w:color w:val="000000"/>
                <w:sz w:val="20"/>
                <w:szCs w:val="20"/>
                <w:lang w:eastAsia="ru-RU"/>
              </w:rPr>
            </w:pPr>
            <w:r w:rsidRPr="00B74642">
              <w:rPr>
                <w:rFonts w:ascii="Times New Roman" w:hAnsi="Times New Roman"/>
                <w:color w:val="000000"/>
                <w:sz w:val="20"/>
                <w:szCs w:val="20"/>
                <w:lang w:eastAsia="ru-RU"/>
              </w:rPr>
              <w:t>209</w:t>
            </w:r>
          </w:p>
        </w:tc>
        <w:tc>
          <w:tcPr>
            <w:tcW w:w="1276" w:type="dxa"/>
          </w:tcPr>
          <w:p w:rsidR="002D1E45" w:rsidRPr="00A209EA" w:rsidRDefault="002D1E45" w:rsidP="00B74642">
            <w:pPr>
              <w:spacing w:after="0" w:line="240" w:lineRule="auto"/>
              <w:jc w:val="center"/>
              <w:rPr>
                <w:rFonts w:ascii="Times New Roman" w:hAnsi="Times New Roman"/>
                <w:color w:val="000000"/>
                <w:sz w:val="20"/>
                <w:szCs w:val="20"/>
                <w:lang w:eastAsia="ru-RU"/>
              </w:rPr>
            </w:pPr>
            <w:r w:rsidRPr="00B74642">
              <w:rPr>
                <w:rFonts w:ascii="Times New Roman" w:hAnsi="Times New Roman"/>
                <w:color w:val="000000"/>
                <w:sz w:val="20"/>
                <w:szCs w:val="20"/>
                <w:lang w:eastAsia="ru-RU"/>
              </w:rPr>
              <w:t>39,7</w:t>
            </w:r>
          </w:p>
        </w:tc>
      </w:tr>
      <w:tr w:rsidR="002D1E45" w:rsidRPr="00A209EA" w:rsidTr="007D4C39">
        <w:trPr>
          <w:trHeight w:val="170"/>
          <w:jc w:val="center"/>
        </w:trPr>
        <w:tc>
          <w:tcPr>
            <w:tcW w:w="704" w:type="dxa"/>
            <w:vAlign w:val="center"/>
          </w:tcPr>
          <w:p w:rsidR="002D1E45" w:rsidRPr="00A209EA" w:rsidRDefault="002D1E45" w:rsidP="00B74642">
            <w:pPr>
              <w:spacing w:after="0" w:line="240" w:lineRule="auto"/>
              <w:jc w:val="center"/>
              <w:rPr>
                <w:rFonts w:ascii="Times New Roman" w:hAnsi="Times New Roman"/>
                <w:color w:val="000000"/>
                <w:sz w:val="20"/>
                <w:szCs w:val="20"/>
                <w:lang w:eastAsia="ru-RU"/>
              </w:rPr>
            </w:pPr>
            <w:r w:rsidRPr="00A209EA">
              <w:rPr>
                <w:rFonts w:ascii="Times New Roman" w:hAnsi="Times New Roman"/>
                <w:color w:val="000000"/>
                <w:sz w:val="20"/>
                <w:szCs w:val="20"/>
                <w:lang w:eastAsia="ru-RU"/>
              </w:rPr>
              <w:t>1.2</w:t>
            </w:r>
          </w:p>
        </w:tc>
        <w:tc>
          <w:tcPr>
            <w:tcW w:w="2835" w:type="dxa"/>
            <w:vAlign w:val="center"/>
          </w:tcPr>
          <w:p w:rsidR="002D1E45" w:rsidRPr="00A209EA" w:rsidRDefault="002D1E45" w:rsidP="00B74642">
            <w:pPr>
              <w:spacing w:after="0" w:line="240" w:lineRule="auto"/>
              <w:rPr>
                <w:rFonts w:ascii="Times New Roman" w:hAnsi="Times New Roman"/>
                <w:color w:val="000000"/>
                <w:sz w:val="20"/>
                <w:szCs w:val="20"/>
                <w:lang w:eastAsia="ru-RU"/>
              </w:rPr>
            </w:pPr>
            <w:r w:rsidRPr="00A209EA">
              <w:rPr>
                <w:rFonts w:ascii="Times New Roman" w:hAnsi="Times New Roman"/>
                <w:color w:val="000000"/>
                <w:sz w:val="20"/>
                <w:szCs w:val="20"/>
                <w:lang w:eastAsia="ru-RU"/>
              </w:rPr>
              <w:t>Блокированные жилые дома с приквартирными участками 400-600 м</w:t>
            </w:r>
            <w:r w:rsidRPr="00B74642">
              <w:rPr>
                <w:rFonts w:ascii="Times New Roman" w:hAnsi="Times New Roman"/>
                <w:color w:val="000000"/>
                <w:sz w:val="20"/>
                <w:szCs w:val="20"/>
                <w:vertAlign w:val="superscript"/>
                <w:lang w:eastAsia="ru-RU"/>
              </w:rPr>
              <w:t>2</w:t>
            </w:r>
          </w:p>
        </w:tc>
        <w:tc>
          <w:tcPr>
            <w:tcW w:w="1228" w:type="dxa"/>
            <w:vAlign w:val="center"/>
          </w:tcPr>
          <w:p w:rsidR="002D1E45" w:rsidRPr="00A209EA" w:rsidRDefault="002D1E45" w:rsidP="00B74642">
            <w:pPr>
              <w:spacing w:after="0" w:line="240" w:lineRule="auto"/>
              <w:jc w:val="center"/>
              <w:rPr>
                <w:rFonts w:ascii="Times New Roman" w:hAnsi="Times New Roman"/>
                <w:color w:val="000000"/>
                <w:sz w:val="20"/>
                <w:szCs w:val="20"/>
                <w:lang w:eastAsia="ru-RU"/>
              </w:rPr>
            </w:pPr>
            <w:r w:rsidRPr="00A209EA">
              <w:rPr>
                <w:rFonts w:ascii="Times New Roman" w:hAnsi="Times New Roman"/>
                <w:color w:val="000000"/>
                <w:sz w:val="20"/>
                <w:szCs w:val="20"/>
                <w:lang w:eastAsia="ru-RU"/>
              </w:rPr>
              <w:t>0,105</w:t>
            </w:r>
          </w:p>
        </w:tc>
        <w:tc>
          <w:tcPr>
            <w:tcW w:w="1607" w:type="dxa"/>
          </w:tcPr>
          <w:p w:rsidR="002D1E45" w:rsidRPr="00A209EA" w:rsidRDefault="002D1E45" w:rsidP="00B74642">
            <w:pPr>
              <w:spacing w:after="0" w:line="240" w:lineRule="auto"/>
              <w:jc w:val="center"/>
              <w:rPr>
                <w:rFonts w:ascii="Times New Roman" w:hAnsi="Times New Roman"/>
                <w:color w:val="000000"/>
                <w:sz w:val="20"/>
                <w:szCs w:val="20"/>
                <w:lang w:eastAsia="ru-RU"/>
              </w:rPr>
            </w:pPr>
            <w:r w:rsidRPr="00B74642">
              <w:rPr>
                <w:rFonts w:ascii="Times New Roman" w:hAnsi="Times New Roman"/>
                <w:color w:val="000000"/>
                <w:sz w:val="20"/>
                <w:szCs w:val="20"/>
                <w:lang w:eastAsia="ru-RU"/>
              </w:rPr>
              <w:t>252</w:t>
            </w:r>
          </w:p>
        </w:tc>
        <w:tc>
          <w:tcPr>
            <w:tcW w:w="1276" w:type="dxa"/>
          </w:tcPr>
          <w:p w:rsidR="002D1E45" w:rsidRPr="00A209EA" w:rsidRDefault="002D1E45" w:rsidP="00B74642">
            <w:pPr>
              <w:spacing w:after="0" w:line="240" w:lineRule="auto"/>
              <w:jc w:val="center"/>
              <w:rPr>
                <w:rFonts w:ascii="Times New Roman" w:hAnsi="Times New Roman"/>
                <w:color w:val="000000"/>
                <w:sz w:val="20"/>
                <w:szCs w:val="20"/>
                <w:lang w:eastAsia="ru-RU"/>
              </w:rPr>
            </w:pPr>
            <w:r w:rsidRPr="00B74642">
              <w:rPr>
                <w:rFonts w:ascii="Times New Roman" w:hAnsi="Times New Roman"/>
                <w:color w:val="000000"/>
                <w:sz w:val="20"/>
                <w:szCs w:val="20"/>
                <w:lang w:eastAsia="ru-RU"/>
              </w:rPr>
              <w:t>26,5</w:t>
            </w:r>
          </w:p>
        </w:tc>
        <w:tc>
          <w:tcPr>
            <w:tcW w:w="1559" w:type="dxa"/>
          </w:tcPr>
          <w:p w:rsidR="002D1E45" w:rsidRPr="00A209EA" w:rsidRDefault="002D1E45" w:rsidP="00B74642">
            <w:pPr>
              <w:spacing w:after="0" w:line="240" w:lineRule="auto"/>
              <w:jc w:val="center"/>
              <w:rPr>
                <w:rFonts w:ascii="Times New Roman" w:hAnsi="Times New Roman"/>
                <w:color w:val="000000"/>
                <w:sz w:val="20"/>
                <w:szCs w:val="20"/>
                <w:lang w:eastAsia="ru-RU"/>
              </w:rPr>
            </w:pPr>
            <w:r w:rsidRPr="00B74642">
              <w:rPr>
                <w:rFonts w:ascii="Times New Roman" w:hAnsi="Times New Roman"/>
                <w:color w:val="000000"/>
                <w:sz w:val="20"/>
                <w:szCs w:val="20"/>
                <w:lang w:eastAsia="ru-RU"/>
              </w:rPr>
              <w:t>478</w:t>
            </w:r>
          </w:p>
        </w:tc>
        <w:tc>
          <w:tcPr>
            <w:tcW w:w="1276" w:type="dxa"/>
          </w:tcPr>
          <w:p w:rsidR="002D1E45" w:rsidRPr="00A209EA" w:rsidRDefault="002D1E45" w:rsidP="00B74642">
            <w:pPr>
              <w:spacing w:after="0" w:line="240" w:lineRule="auto"/>
              <w:jc w:val="center"/>
              <w:rPr>
                <w:rFonts w:ascii="Times New Roman" w:hAnsi="Times New Roman"/>
                <w:color w:val="000000"/>
                <w:sz w:val="20"/>
                <w:szCs w:val="20"/>
                <w:lang w:eastAsia="ru-RU"/>
              </w:rPr>
            </w:pPr>
            <w:r w:rsidRPr="00B74642">
              <w:rPr>
                <w:rFonts w:ascii="Times New Roman" w:hAnsi="Times New Roman"/>
                <w:color w:val="000000"/>
                <w:sz w:val="20"/>
                <w:szCs w:val="20"/>
                <w:lang w:eastAsia="ru-RU"/>
              </w:rPr>
              <w:t>50,2</w:t>
            </w:r>
          </w:p>
        </w:tc>
      </w:tr>
      <w:tr w:rsidR="002D1E45" w:rsidRPr="00A209EA" w:rsidTr="007D4C39">
        <w:trPr>
          <w:trHeight w:val="170"/>
          <w:jc w:val="center"/>
        </w:trPr>
        <w:tc>
          <w:tcPr>
            <w:tcW w:w="704" w:type="dxa"/>
            <w:vAlign w:val="center"/>
          </w:tcPr>
          <w:p w:rsidR="002D1E45" w:rsidRPr="00A209EA" w:rsidRDefault="002D1E45" w:rsidP="00B74642">
            <w:pPr>
              <w:spacing w:after="0" w:line="240" w:lineRule="auto"/>
              <w:jc w:val="center"/>
              <w:rPr>
                <w:rFonts w:ascii="Times New Roman" w:hAnsi="Times New Roman"/>
                <w:color w:val="000000"/>
                <w:sz w:val="20"/>
                <w:szCs w:val="20"/>
                <w:lang w:eastAsia="ru-RU"/>
              </w:rPr>
            </w:pPr>
            <w:r w:rsidRPr="00A209EA">
              <w:rPr>
                <w:rFonts w:ascii="Times New Roman" w:hAnsi="Times New Roman"/>
                <w:color w:val="000000"/>
                <w:sz w:val="20"/>
                <w:szCs w:val="20"/>
                <w:lang w:eastAsia="ru-RU"/>
              </w:rPr>
              <w:t>2</w:t>
            </w:r>
          </w:p>
        </w:tc>
        <w:tc>
          <w:tcPr>
            <w:tcW w:w="2835" w:type="dxa"/>
            <w:vAlign w:val="center"/>
          </w:tcPr>
          <w:p w:rsidR="002D1E45" w:rsidRPr="00A209EA" w:rsidRDefault="002D1E45" w:rsidP="00B74642">
            <w:pPr>
              <w:spacing w:after="0" w:line="240" w:lineRule="auto"/>
              <w:rPr>
                <w:rFonts w:ascii="Times New Roman" w:hAnsi="Times New Roman"/>
                <w:color w:val="000000"/>
                <w:sz w:val="20"/>
                <w:szCs w:val="20"/>
                <w:lang w:eastAsia="ru-RU"/>
              </w:rPr>
            </w:pPr>
            <w:r w:rsidRPr="00A209EA">
              <w:rPr>
                <w:rFonts w:ascii="Times New Roman" w:hAnsi="Times New Roman"/>
                <w:color w:val="000000"/>
                <w:sz w:val="20"/>
                <w:szCs w:val="20"/>
                <w:lang w:eastAsia="ru-RU"/>
              </w:rPr>
              <w:t>Многоквартирные жилые дома, в том числе</w:t>
            </w:r>
          </w:p>
        </w:tc>
        <w:tc>
          <w:tcPr>
            <w:tcW w:w="1228" w:type="dxa"/>
            <w:vAlign w:val="center"/>
          </w:tcPr>
          <w:p w:rsidR="002D1E45" w:rsidRPr="00A209EA" w:rsidRDefault="002D1E45" w:rsidP="00B74642">
            <w:pPr>
              <w:spacing w:after="0" w:line="240" w:lineRule="auto"/>
              <w:jc w:val="center"/>
              <w:rPr>
                <w:rFonts w:ascii="Times New Roman" w:hAnsi="Times New Roman"/>
                <w:color w:val="000000"/>
                <w:sz w:val="20"/>
                <w:szCs w:val="20"/>
                <w:lang w:eastAsia="ru-RU"/>
              </w:rPr>
            </w:pPr>
            <w:r w:rsidRPr="00A209EA">
              <w:rPr>
                <w:rFonts w:ascii="Times New Roman" w:hAnsi="Times New Roman"/>
                <w:color w:val="000000"/>
                <w:sz w:val="20"/>
                <w:szCs w:val="20"/>
                <w:lang w:eastAsia="ru-RU"/>
              </w:rPr>
              <w:t>× </w:t>
            </w:r>
          </w:p>
        </w:tc>
        <w:tc>
          <w:tcPr>
            <w:tcW w:w="1607" w:type="dxa"/>
          </w:tcPr>
          <w:p w:rsidR="002D1E45" w:rsidRPr="00A209EA" w:rsidRDefault="002D1E45" w:rsidP="00B74642">
            <w:pPr>
              <w:spacing w:after="0" w:line="240" w:lineRule="auto"/>
              <w:jc w:val="center"/>
              <w:rPr>
                <w:rFonts w:ascii="Times New Roman" w:hAnsi="Times New Roman"/>
                <w:color w:val="000000"/>
                <w:sz w:val="20"/>
                <w:szCs w:val="20"/>
                <w:lang w:eastAsia="ru-RU"/>
              </w:rPr>
            </w:pPr>
            <w:r w:rsidRPr="00B74642">
              <w:rPr>
                <w:rFonts w:ascii="Times New Roman" w:hAnsi="Times New Roman"/>
                <w:color w:val="000000"/>
                <w:sz w:val="20"/>
                <w:szCs w:val="20"/>
                <w:lang w:eastAsia="ru-RU"/>
              </w:rPr>
              <w:t>1394</w:t>
            </w:r>
          </w:p>
        </w:tc>
        <w:tc>
          <w:tcPr>
            <w:tcW w:w="1276" w:type="dxa"/>
          </w:tcPr>
          <w:p w:rsidR="002D1E45" w:rsidRPr="00A209EA" w:rsidRDefault="002D1E45" w:rsidP="00B74642">
            <w:pPr>
              <w:spacing w:after="0" w:line="240" w:lineRule="auto"/>
              <w:jc w:val="center"/>
              <w:rPr>
                <w:rFonts w:ascii="Times New Roman" w:hAnsi="Times New Roman"/>
                <w:color w:val="000000"/>
                <w:sz w:val="20"/>
                <w:szCs w:val="20"/>
                <w:lang w:eastAsia="ru-RU"/>
              </w:rPr>
            </w:pPr>
            <w:r w:rsidRPr="00B74642">
              <w:rPr>
                <w:rFonts w:ascii="Times New Roman" w:hAnsi="Times New Roman"/>
                <w:color w:val="000000"/>
                <w:sz w:val="20"/>
                <w:szCs w:val="20"/>
                <w:lang w:eastAsia="ru-RU"/>
              </w:rPr>
              <w:t>32,8</w:t>
            </w:r>
          </w:p>
        </w:tc>
        <w:tc>
          <w:tcPr>
            <w:tcW w:w="1559" w:type="dxa"/>
          </w:tcPr>
          <w:p w:rsidR="002D1E45" w:rsidRPr="00A209EA" w:rsidRDefault="002D1E45" w:rsidP="00B74642">
            <w:pPr>
              <w:spacing w:after="0" w:line="240" w:lineRule="auto"/>
              <w:jc w:val="center"/>
              <w:rPr>
                <w:rFonts w:ascii="Times New Roman" w:hAnsi="Times New Roman"/>
                <w:color w:val="000000"/>
                <w:sz w:val="20"/>
                <w:szCs w:val="20"/>
                <w:lang w:eastAsia="ru-RU"/>
              </w:rPr>
            </w:pPr>
            <w:r w:rsidRPr="00B74642">
              <w:rPr>
                <w:rFonts w:ascii="Times New Roman" w:hAnsi="Times New Roman"/>
                <w:color w:val="000000"/>
                <w:sz w:val="20"/>
                <w:szCs w:val="20"/>
                <w:lang w:eastAsia="ru-RU"/>
              </w:rPr>
              <w:t>3039</w:t>
            </w:r>
          </w:p>
        </w:tc>
        <w:tc>
          <w:tcPr>
            <w:tcW w:w="1276" w:type="dxa"/>
          </w:tcPr>
          <w:p w:rsidR="002D1E45" w:rsidRPr="00A209EA" w:rsidRDefault="002D1E45" w:rsidP="00B74642">
            <w:pPr>
              <w:spacing w:after="0" w:line="240" w:lineRule="auto"/>
              <w:jc w:val="center"/>
              <w:rPr>
                <w:rFonts w:ascii="Times New Roman" w:hAnsi="Times New Roman"/>
                <w:color w:val="000000"/>
                <w:sz w:val="20"/>
                <w:szCs w:val="20"/>
                <w:lang w:eastAsia="ru-RU"/>
              </w:rPr>
            </w:pPr>
            <w:r w:rsidRPr="00B74642">
              <w:rPr>
                <w:rFonts w:ascii="Times New Roman" w:hAnsi="Times New Roman"/>
                <w:color w:val="000000"/>
                <w:sz w:val="20"/>
                <w:szCs w:val="20"/>
                <w:lang w:eastAsia="ru-RU"/>
              </w:rPr>
              <w:t>70,1</w:t>
            </w:r>
          </w:p>
        </w:tc>
      </w:tr>
      <w:tr w:rsidR="002D1E45" w:rsidRPr="00A209EA" w:rsidTr="007D4C39">
        <w:trPr>
          <w:trHeight w:val="170"/>
          <w:jc w:val="center"/>
        </w:trPr>
        <w:tc>
          <w:tcPr>
            <w:tcW w:w="704" w:type="dxa"/>
            <w:vAlign w:val="center"/>
          </w:tcPr>
          <w:p w:rsidR="002D1E45" w:rsidRPr="00A209EA" w:rsidRDefault="002D1E45" w:rsidP="00B74642">
            <w:pPr>
              <w:spacing w:after="0" w:line="240" w:lineRule="auto"/>
              <w:jc w:val="center"/>
              <w:rPr>
                <w:rFonts w:ascii="Times New Roman" w:hAnsi="Times New Roman"/>
                <w:color w:val="000000"/>
                <w:sz w:val="20"/>
                <w:szCs w:val="20"/>
                <w:lang w:eastAsia="ru-RU"/>
              </w:rPr>
            </w:pPr>
            <w:r w:rsidRPr="00A209EA">
              <w:rPr>
                <w:rFonts w:ascii="Times New Roman" w:hAnsi="Times New Roman"/>
                <w:color w:val="000000"/>
                <w:sz w:val="20"/>
                <w:szCs w:val="20"/>
                <w:lang w:eastAsia="ru-RU"/>
              </w:rPr>
              <w:t>2.1</w:t>
            </w:r>
          </w:p>
        </w:tc>
        <w:tc>
          <w:tcPr>
            <w:tcW w:w="2835" w:type="dxa"/>
            <w:vAlign w:val="center"/>
          </w:tcPr>
          <w:p w:rsidR="002D1E45" w:rsidRPr="00A209EA" w:rsidRDefault="002D1E45" w:rsidP="00B74642">
            <w:pPr>
              <w:spacing w:after="0" w:line="240" w:lineRule="auto"/>
              <w:rPr>
                <w:rFonts w:ascii="Times New Roman" w:hAnsi="Times New Roman"/>
                <w:color w:val="000000"/>
                <w:sz w:val="20"/>
                <w:szCs w:val="20"/>
                <w:lang w:eastAsia="ru-RU"/>
              </w:rPr>
            </w:pPr>
            <w:r w:rsidRPr="00A209EA">
              <w:rPr>
                <w:rFonts w:ascii="Times New Roman" w:hAnsi="Times New Roman"/>
                <w:color w:val="000000"/>
                <w:sz w:val="20"/>
                <w:szCs w:val="20"/>
                <w:lang w:eastAsia="ru-RU"/>
              </w:rPr>
              <w:t>Двухэтажные</w:t>
            </w:r>
          </w:p>
        </w:tc>
        <w:tc>
          <w:tcPr>
            <w:tcW w:w="1228" w:type="dxa"/>
            <w:vAlign w:val="center"/>
          </w:tcPr>
          <w:p w:rsidR="002D1E45" w:rsidRPr="00A209EA" w:rsidRDefault="002D1E45" w:rsidP="00B74642">
            <w:pPr>
              <w:spacing w:after="0" w:line="240" w:lineRule="auto"/>
              <w:jc w:val="center"/>
              <w:rPr>
                <w:rFonts w:ascii="Times New Roman" w:hAnsi="Times New Roman"/>
                <w:color w:val="000000"/>
                <w:sz w:val="20"/>
                <w:szCs w:val="20"/>
                <w:lang w:eastAsia="ru-RU"/>
              </w:rPr>
            </w:pPr>
            <w:r w:rsidRPr="00A209EA">
              <w:rPr>
                <w:rFonts w:ascii="Times New Roman" w:hAnsi="Times New Roman"/>
                <w:color w:val="000000"/>
                <w:sz w:val="20"/>
                <w:szCs w:val="20"/>
                <w:lang w:eastAsia="ru-RU"/>
              </w:rPr>
              <w:t>0,03</w:t>
            </w:r>
          </w:p>
        </w:tc>
        <w:tc>
          <w:tcPr>
            <w:tcW w:w="1607" w:type="dxa"/>
          </w:tcPr>
          <w:p w:rsidR="002D1E45" w:rsidRPr="00A209EA" w:rsidRDefault="002D1E45" w:rsidP="00B74642">
            <w:pPr>
              <w:spacing w:after="0" w:line="240" w:lineRule="auto"/>
              <w:jc w:val="center"/>
              <w:rPr>
                <w:rFonts w:ascii="Times New Roman" w:hAnsi="Times New Roman"/>
                <w:color w:val="000000"/>
                <w:sz w:val="20"/>
                <w:szCs w:val="20"/>
                <w:lang w:eastAsia="ru-RU"/>
              </w:rPr>
            </w:pPr>
            <w:r w:rsidRPr="00B74642">
              <w:rPr>
                <w:rFonts w:ascii="Times New Roman" w:hAnsi="Times New Roman"/>
                <w:color w:val="000000"/>
                <w:sz w:val="20"/>
                <w:szCs w:val="20"/>
                <w:lang w:eastAsia="ru-RU"/>
              </w:rPr>
              <w:t>492</w:t>
            </w:r>
          </w:p>
        </w:tc>
        <w:tc>
          <w:tcPr>
            <w:tcW w:w="1276" w:type="dxa"/>
          </w:tcPr>
          <w:p w:rsidR="002D1E45" w:rsidRPr="00A209EA" w:rsidRDefault="002D1E45" w:rsidP="00B74642">
            <w:pPr>
              <w:spacing w:after="0" w:line="240" w:lineRule="auto"/>
              <w:jc w:val="center"/>
              <w:rPr>
                <w:rFonts w:ascii="Times New Roman" w:hAnsi="Times New Roman"/>
                <w:color w:val="000000"/>
                <w:sz w:val="20"/>
                <w:szCs w:val="20"/>
                <w:lang w:eastAsia="ru-RU"/>
              </w:rPr>
            </w:pPr>
            <w:r w:rsidRPr="00B74642">
              <w:rPr>
                <w:rFonts w:ascii="Times New Roman" w:hAnsi="Times New Roman"/>
                <w:color w:val="000000"/>
                <w:sz w:val="20"/>
                <w:szCs w:val="20"/>
                <w:lang w:eastAsia="ru-RU"/>
              </w:rPr>
              <w:t>14,76</w:t>
            </w:r>
          </w:p>
        </w:tc>
        <w:tc>
          <w:tcPr>
            <w:tcW w:w="1559" w:type="dxa"/>
          </w:tcPr>
          <w:p w:rsidR="002D1E45" w:rsidRPr="00A209EA" w:rsidRDefault="002D1E45" w:rsidP="00B74642">
            <w:pPr>
              <w:spacing w:after="0" w:line="240" w:lineRule="auto"/>
              <w:jc w:val="center"/>
              <w:rPr>
                <w:rFonts w:ascii="Times New Roman" w:hAnsi="Times New Roman"/>
                <w:color w:val="000000"/>
                <w:sz w:val="20"/>
                <w:szCs w:val="20"/>
                <w:lang w:eastAsia="ru-RU"/>
              </w:rPr>
            </w:pPr>
            <w:r w:rsidRPr="00B74642">
              <w:rPr>
                <w:rFonts w:ascii="Times New Roman" w:hAnsi="Times New Roman"/>
                <w:color w:val="000000"/>
                <w:sz w:val="20"/>
                <w:szCs w:val="20"/>
                <w:lang w:eastAsia="ru-RU"/>
              </w:rPr>
              <w:t>935</w:t>
            </w:r>
          </w:p>
        </w:tc>
        <w:tc>
          <w:tcPr>
            <w:tcW w:w="1276" w:type="dxa"/>
          </w:tcPr>
          <w:p w:rsidR="002D1E45" w:rsidRPr="00A209EA" w:rsidRDefault="002D1E45" w:rsidP="00B74642">
            <w:pPr>
              <w:spacing w:after="0" w:line="240" w:lineRule="auto"/>
              <w:jc w:val="center"/>
              <w:rPr>
                <w:rFonts w:ascii="Times New Roman" w:hAnsi="Times New Roman"/>
                <w:color w:val="000000"/>
                <w:sz w:val="20"/>
                <w:szCs w:val="20"/>
                <w:lang w:eastAsia="ru-RU"/>
              </w:rPr>
            </w:pPr>
            <w:r w:rsidRPr="00B74642">
              <w:rPr>
                <w:rFonts w:ascii="Times New Roman" w:hAnsi="Times New Roman"/>
                <w:color w:val="000000"/>
                <w:sz w:val="20"/>
                <w:szCs w:val="20"/>
                <w:lang w:eastAsia="ru-RU"/>
              </w:rPr>
              <w:t>28,05</w:t>
            </w:r>
          </w:p>
        </w:tc>
      </w:tr>
      <w:tr w:rsidR="002D1E45" w:rsidRPr="00A209EA" w:rsidTr="007D4C39">
        <w:trPr>
          <w:trHeight w:val="170"/>
          <w:jc w:val="center"/>
        </w:trPr>
        <w:tc>
          <w:tcPr>
            <w:tcW w:w="704" w:type="dxa"/>
            <w:vAlign w:val="center"/>
          </w:tcPr>
          <w:p w:rsidR="002D1E45" w:rsidRPr="00A209EA" w:rsidRDefault="002D1E45" w:rsidP="00B74642">
            <w:pPr>
              <w:spacing w:after="0" w:line="240" w:lineRule="auto"/>
              <w:jc w:val="center"/>
              <w:rPr>
                <w:rFonts w:ascii="Times New Roman" w:hAnsi="Times New Roman"/>
                <w:color w:val="000000"/>
                <w:sz w:val="20"/>
                <w:szCs w:val="20"/>
                <w:lang w:eastAsia="ru-RU"/>
              </w:rPr>
            </w:pPr>
            <w:r w:rsidRPr="00A209EA">
              <w:rPr>
                <w:rFonts w:ascii="Times New Roman" w:hAnsi="Times New Roman"/>
                <w:color w:val="000000"/>
                <w:sz w:val="20"/>
                <w:szCs w:val="20"/>
                <w:lang w:eastAsia="ru-RU"/>
              </w:rPr>
              <w:t>2.2</w:t>
            </w:r>
          </w:p>
        </w:tc>
        <w:tc>
          <w:tcPr>
            <w:tcW w:w="2835" w:type="dxa"/>
            <w:vAlign w:val="center"/>
          </w:tcPr>
          <w:p w:rsidR="002D1E45" w:rsidRPr="00A209EA" w:rsidRDefault="002D1E45" w:rsidP="00B74642">
            <w:pPr>
              <w:spacing w:after="0" w:line="240" w:lineRule="auto"/>
              <w:rPr>
                <w:rFonts w:ascii="Times New Roman" w:hAnsi="Times New Roman"/>
                <w:color w:val="000000"/>
                <w:sz w:val="20"/>
                <w:szCs w:val="20"/>
                <w:lang w:eastAsia="ru-RU"/>
              </w:rPr>
            </w:pPr>
            <w:r w:rsidRPr="00A209EA">
              <w:rPr>
                <w:rFonts w:ascii="Times New Roman" w:hAnsi="Times New Roman"/>
                <w:color w:val="000000"/>
                <w:sz w:val="20"/>
                <w:szCs w:val="20"/>
                <w:lang w:eastAsia="ru-RU"/>
              </w:rPr>
              <w:t>Пятиэтажные</w:t>
            </w:r>
          </w:p>
        </w:tc>
        <w:tc>
          <w:tcPr>
            <w:tcW w:w="1228" w:type="dxa"/>
            <w:vAlign w:val="center"/>
          </w:tcPr>
          <w:p w:rsidR="002D1E45" w:rsidRPr="00A209EA" w:rsidRDefault="002D1E45" w:rsidP="00B74642">
            <w:pPr>
              <w:spacing w:after="0" w:line="240" w:lineRule="auto"/>
              <w:jc w:val="center"/>
              <w:rPr>
                <w:rFonts w:ascii="Times New Roman" w:hAnsi="Times New Roman"/>
                <w:color w:val="000000"/>
                <w:sz w:val="20"/>
                <w:szCs w:val="20"/>
                <w:lang w:eastAsia="ru-RU"/>
              </w:rPr>
            </w:pPr>
            <w:r w:rsidRPr="00A209EA">
              <w:rPr>
                <w:rFonts w:ascii="Times New Roman" w:hAnsi="Times New Roman"/>
                <w:color w:val="000000"/>
                <w:sz w:val="20"/>
                <w:szCs w:val="20"/>
                <w:lang w:eastAsia="ru-RU"/>
              </w:rPr>
              <w:t>0,02</w:t>
            </w:r>
          </w:p>
        </w:tc>
        <w:tc>
          <w:tcPr>
            <w:tcW w:w="1607" w:type="dxa"/>
          </w:tcPr>
          <w:p w:rsidR="002D1E45" w:rsidRPr="00A209EA" w:rsidRDefault="002D1E45" w:rsidP="00B74642">
            <w:pPr>
              <w:spacing w:after="0" w:line="240" w:lineRule="auto"/>
              <w:jc w:val="center"/>
              <w:rPr>
                <w:rFonts w:ascii="Times New Roman" w:hAnsi="Times New Roman"/>
                <w:color w:val="000000"/>
                <w:sz w:val="20"/>
                <w:szCs w:val="20"/>
                <w:lang w:eastAsia="ru-RU"/>
              </w:rPr>
            </w:pPr>
            <w:r w:rsidRPr="00B74642">
              <w:rPr>
                <w:rFonts w:ascii="Times New Roman" w:hAnsi="Times New Roman"/>
                <w:color w:val="000000"/>
                <w:sz w:val="20"/>
                <w:szCs w:val="20"/>
                <w:lang w:eastAsia="ru-RU"/>
              </w:rPr>
              <w:t>902</w:t>
            </w:r>
          </w:p>
        </w:tc>
        <w:tc>
          <w:tcPr>
            <w:tcW w:w="1276" w:type="dxa"/>
          </w:tcPr>
          <w:p w:rsidR="002D1E45" w:rsidRPr="00A209EA" w:rsidRDefault="002D1E45" w:rsidP="00B74642">
            <w:pPr>
              <w:spacing w:after="0" w:line="240" w:lineRule="auto"/>
              <w:jc w:val="center"/>
              <w:rPr>
                <w:rFonts w:ascii="Times New Roman" w:hAnsi="Times New Roman"/>
                <w:color w:val="000000"/>
                <w:sz w:val="20"/>
                <w:szCs w:val="20"/>
                <w:lang w:eastAsia="ru-RU"/>
              </w:rPr>
            </w:pPr>
            <w:r w:rsidRPr="00B74642">
              <w:rPr>
                <w:rFonts w:ascii="Times New Roman" w:hAnsi="Times New Roman"/>
                <w:color w:val="000000"/>
                <w:sz w:val="20"/>
                <w:szCs w:val="20"/>
                <w:lang w:eastAsia="ru-RU"/>
              </w:rPr>
              <w:t>18,04</w:t>
            </w:r>
          </w:p>
        </w:tc>
        <w:tc>
          <w:tcPr>
            <w:tcW w:w="1559" w:type="dxa"/>
          </w:tcPr>
          <w:p w:rsidR="002D1E45" w:rsidRPr="00A209EA" w:rsidRDefault="002D1E45" w:rsidP="00B74642">
            <w:pPr>
              <w:spacing w:after="0" w:line="240" w:lineRule="auto"/>
              <w:jc w:val="center"/>
              <w:rPr>
                <w:rFonts w:ascii="Times New Roman" w:hAnsi="Times New Roman"/>
                <w:color w:val="000000"/>
                <w:sz w:val="20"/>
                <w:szCs w:val="20"/>
                <w:lang w:eastAsia="ru-RU"/>
              </w:rPr>
            </w:pPr>
            <w:r w:rsidRPr="00B74642">
              <w:rPr>
                <w:rFonts w:ascii="Times New Roman" w:hAnsi="Times New Roman"/>
                <w:color w:val="000000"/>
                <w:sz w:val="20"/>
                <w:szCs w:val="20"/>
                <w:lang w:eastAsia="ru-RU"/>
              </w:rPr>
              <w:t>2104</w:t>
            </w:r>
          </w:p>
        </w:tc>
        <w:tc>
          <w:tcPr>
            <w:tcW w:w="1276" w:type="dxa"/>
          </w:tcPr>
          <w:p w:rsidR="002D1E45" w:rsidRPr="00A209EA" w:rsidRDefault="002D1E45" w:rsidP="00B74642">
            <w:pPr>
              <w:spacing w:after="0" w:line="240" w:lineRule="auto"/>
              <w:jc w:val="center"/>
              <w:rPr>
                <w:rFonts w:ascii="Times New Roman" w:hAnsi="Times New Roman"/>
                <w:color w:val="000000"/>
                <w:sz w:val="20"/>
                <w:szCs w:val="20"/>
                <w:lang w:eastAsia="ru-RU"/>
              </w:rPr>
            </w:pPr>
            <w:r w:rsidRPr="00B74642">
              <w:rPr>
                <w:rFonts w:ascii="Times New Roman" w:hAnsi="Times New Roman"/>
                <w:color w:val="000000"/>
                <w:sz w:val="20"/>
                <w:szCs w:val="20"/>
                <w:lang w:eastAsia="ru-RU"/>
              </w:rPr>
              <w:t>42,08</w:t>
            </w:r>
          </w:p>
        </w:tc>
      </w:tr>
      <w:tr w:rsidR="002D1E45" w:rsidRPr="00A209EA" w:rsidTr="007D4C39">
        <w:trPr>
          <w:trHeight w:val="170"/>
          <w:jc w:val="center"/>
        </w:trPr>
        <w:tc>
          <w:tcPr>
            <w:tcW w:w="704" w:type="dxa"/>
            <w:vAlign w:val="center"/>
          </w:tcPr>
          <w:p w:rsidR="002D1E45" w:rsidRPr="00A209EA" w:rsidRDefault="002D1E45" w:rsidP="00B74642">
            <w:pPr>
              <w:spacing w:after="0" w:line="240" w:lineRule="auto"/>
              <w:jc w:val="center"/>
              <w:rPr>
                <w:rFonts w:ascii="Times New Roman" w:hAnsi="Times New Roman"/>
                <w:b/>
                <w:bCs/>
                <w:color w:val="000000"/>
                <w:sz w:val="20"/>
                <w:szCs w:val="20"/>
                <w:lang w:eastAsia="ru-RU"/>
              </w:rPr>
            </w:pPr>
            <w:r w:rsidRPr="00A209EA">
              <w:rPr>
                <w:rFonts w:ascii="Times New Roman" w:hAnsi="Times New Roman"/>
                <w:b/>
                <w:bCs/>
                <w:color w:val="000000"/>
                <w:sz w:val="20"/>
                <w:szCs w:val="20"/>
                <w:lang w:eastAsia="ru-RU"/>
              </w:rPr>
              <w:t> </w:t>
            </w:r>
          </w:p>
        </w:tc>
        <w:tc>
          <w:tcPr>
            <w:tcW w:w="2835" w:type="dxa"/>
            <w:vAlign w:val="center"/>
          </w:tcPr>
          <w:p w:rsidR="002D1E45" w:rsidRPr="00A209EA" w:rsidRDefault="002D1E45" w:rsidP="00B74642">
            <w:pPr>
              <w:spacing w:after="0" w:line="240" w:lineRule="auto"/>
              <w:rPr>
                <w:rFonts w:ascii="Times New Roman" w:hAnsi="Times New Roman"/>
                <w:b/>
                <w:bCs/>
                <w:color w:val="000000"/>
                <w:sz w:val="20"/>
                <w:szCs w:val="20"/>
                <w:lang w:eastAsia="ru-RU"/>
              </w:rPr>
            </w:pPr>
            <w:r w:rsidRPr="00A209EA">
              <w:rPr>
                <w:rFonts w:ascii="Times New Roman" w:hAnsi="Times New Roman"/>
                <w:b/>
                <w:bCs/>
                <w:color w:val="000000"/>
                <w:sz w:val="20"/>
                <w:szCs w:val="20"/>
                <w:lang w:eastAsia="ru-RU"/>
              </w:rPr>
              <w:t>ИТОГО:</w:t>
            </w:r>
          </w:p>
        </w:tc>
        <w:tc>
          <w:tcPr>
            <w:tcW w:w="1228" w:type="dxa"/>
            <w:vAlign w:val="center"/>
          </w:tcPr>
          <w:p w:rsidR="002D1E45" w:rsidRPr="00A209EA" w:rsidRDefault="002D1E45" w:rsidP="00B74642">
            <w:pPr>
              <w:spacing w:after="0" w:line="240" w:lineRule="auto"/>
              <w:jc w:val="center"/>
              <w:rPr>
                <w:rFonts w:ascii="Times New Roman" w:hAnsi="Times New Roman"/>
                <w:b/>
                <w:bCs/>
                <w:color w:val="000000"/>
                <w:sz w:val="20"/>
                <w:szCs w:val="20"/>
                <w:lang w:eastAsia="ru-RU"/>
              </w:rPr>
            </w:pPr>
            <w:r w:rsidRPr="00A209EA">
              <w:rPr>
                <w:rFonts w:ascii="Times New Roman" w:hAnsi="Times New Roman"/>
                <w:b/>
                <w:bCs/>
                <w:color w:val="000000"/>
                <w:sz w:val="20"/>
                <w:szCs w:val="20"/>
                <w:lang w:eastAsia="ru-RU"/>
              </w:rPr>
              <w:t> </w:t>
            </w:r>
            <w:r>
              <w:rPr>
                <w:rFonts w:ascii="Times New Roman" w:hAnsi="Times New Roman"/>
                <w:b/>
                <w:bCs/>
                <w:color w:val="000000"/>
                <w:sz w:val="20"/>
                <w:szCs w:val="20"/>
                <w:lang w:eastAsia="ru-RU"/>
              </w:rPr>
              <w:t>×</w:t>
            </w:r>
          </w:p>
        </w:tc>
        <w:tc>
          <w:tcPr>
            <w:tcW w:w="1607" w:type="dxa"/>
          </w:tcPr>
          <w:p w:rsidR="002D1E45" w:rsidRPr="00B74642" w:rsidRDefault="002D1E45" w:rsidP="00B74642">
            <w:pPr>
              <w:spacing w:after="0" w:line="240" w:lineRule="auto"/>
              <w:jc w:val="center"/>
              <w:rPr>
                <w:rFonts w:ascii="Times New Roman" w:hAnsi="Times New Roman"/>
                <w:b/>
                <w:bCs/>
                <w:color w:val="000000"/>
                <w:sz w:val="20"/>
                <w:szCs w:val="20"/>
                <w:lang w:eastAsia="ru-RU"/>
              </w:rPr>
            </w:pPr>
            <w:r w:rsidRPr="00B74642">
              <w:rPr>
                <w:rFonts w:ascii="Times New Roman" w:hAnsi="Times New Roman"/>
                <w:b/>
                <w:bCs/>
                <w:color w:val="000000"/>
                <w:sz w:val="20"/>
                <w:szCs w:val="20"/>
                <w:lang w:eastAsia="ru-RU"/>
              </w:rPr>
              <w:t>1735</w:t>
            </w:r>
          </w:p>
        </w:tc>
        <w:tc>
          <w:tcPr>
            <w:tcW w:w="1276" w:type="dxa"/>
          </w:tcPr>
          <w:p w:rsidR="002D1E45" w:rsidRPr="00B74642" w:rsidRDefault="002D1E45" w:rsidP="00B74642">
            <w:pPr>
              <w:spacing w:after="0" w:line="240" w:lineRule="auto"/>
              <w:jc w:val="center"/>
              <w:rPr>
                <w:rFonts w:ascii="Times New Roman" w:hAnsi="Times New Roman"/>
                <w:b/>
                <w:bCs/>
                <w:color w:val="000000"/>
                <w:sz w:val="20"/>
                <w:szCs w:val="20"/>
                <w:lang w:eastAsia="ru-RU"/>
              </w:rPr>
            </w:pPr>
            <w:r w:rsidRPr="00B74642">
              <w:rPr>
                <w:rFonts w:ascii="Times New Roman" w:hAnsi="Times New Roman"/>
                <w:b/>
                <w:bCs/>
                <w:color w:val="000000"/>
                <w:sz w:val="20"/>
                <w:szCs w:val="20"/>
                <w:lang w:eastAsia="ru-RU"/>
              </w:rPr>
              <w:t>76,2</w:t>
            </w:r>
          </w:p>
        </w:tc>
        <w:tc>
          <w:tcPr>
            <w:tcW w:w="1559" w:type="dxa"/>
          </w:tcPr>
          <w:p w:rsidR="002D1E45" w:rsidRPr="00B74642" w:rsidRDefault="002D1E45" w:rsidP="00B74642">
            <w:pPr>
              <w:spacing w:after="0" w:line="240" w:lineRule="auto"/>
              <w:jc w:val="center"/>
              <w:rPr>
                <w:rFonts w:ascii="Times New Roman" w:hAnsi="Times New Roman"/>
                <w:b/>
                <w:bCs/>
                <w:color w:val="000000"/>
                <w:sz w:val="20"/>
                <w:szCs w:val="20"/>
                <w:lang w:eastAsia="ru-RU"/>
              </w:rPr>
            </w:pPr>
            <w:r w:rsidRPr="00B74642">
              <w:rPr>
                <w:rFonts w:ascii="Times New Roman" w:hAnsi="Times New Roman"/>
                <w:b/>
                <w:bCs/>
                <w:color w:val="000000"/>
                <w:sz w:val="20"/>
                <w:szCs w:val="20"/>
                <w:lang w:eastAsia="ru-RU"/>
              </w:rPr>
              <w:t>3726</w:t>
            </w:r>
          </w:p>
        </w:tc>
        <w:tc>
          <w:tcPr>
            <w:tcW w:w="1276" w:type="dxa"/>
          </w:tcPr>
          <w:p w:rsidR="002D1E45" w:rsidRPr="00B74642" w:rsidRDefault="002D1E45" w:rsidP="00B74642">
            <w:pPr>
              <w:spacing w:after="0" w:line="240" w:lineRule="auto"/>
              <w:jc w:val="center"/>
              <w:rPr>
                <w:rFonts w:ascii="Times New Roman" w:hAnsi="Times New Roman"/>
                <w:b/>
                <w:bCs/>
                <w:color w:val="000000"/>
                <w:sz w:val="20"/>
                <w:szCs w:val="20"/>
                <w:lang w:eastAsia="ru-RU"/>
              </w:rPr>
            </w:pPr>
            <w:r w:rsidRPr="00B74642">
              <w:rPr>
                <w:rFonts w:ascii="Times New Roman" w:hAnsi="Times New Roman"/>
                <w:b/>
                <w:bCs/>
                <w:color w:val="000000"/>
                <w:sz w:val="20"/>
                <w:szCs w:val="20"/>
                <w:lang w:eastAsia="ru-RU"/>
              </w:rPr>
              <w:t>160,0</w:t>
            </w:r>
          </w:p>
        </w:tc>
      </w:tr>
    </w:tbl>
    <w:p w:rsidR="002D1E45" w:rsidRDefault="002D1E45" w:rsidP="003A7901">
      <w:pPr>
        <w:spacing w:after="0" w:line="240" w:lineRule="auto"/>
        <w:ind w:firstLine="709"/>
        <w:contextualSpacing/>
        <w:jc w:val="both"/>
        <w:rPr>
          <w:rFonts w:ascii="Times New Roman" w:hAnsi="Times New Roman"/>
          <w:bCs/>
          <w:color w:val="000000"/>
          <w:sz w:val="28"/>
          <w:szCs w:val="24"/>
          <w:lang w:eastAsia="ru-RU"/>
        </w:rPr>
      </w:pPr>
    </w:p>
    <w:p w:rsidR="002D1E45" w:rsidRPr="003A7901" w:rsidRDefault="002D1E45" w:rsidP="003A7901">
      <w:pPr>
        <w:spacing w:after="0" w:line="240" w:lineRule="auto"/>
        <w:ind w:firstLine="709"/>
        <w:contextualSpacing/>
        <w:jc w:val="both"/>
        <w:rPr>
          <w:rFonts w:ascii="Times New Roman" w:hAnsi="Times New Roman"/>
          <w:bCs/>
          <w:color w:val="000000"/>
          <w:sz w:val="28"/>
          <w:szCs w:val="24"/>
          <w:lang w:eastAsia="ru-RU"/>
        </w:rPr>
      </w:pPr>
      <w:r w:rsidRPr="003A7901">
        <w:rPr>
          <w:rFonts w:ascii="Times New Roman" w:hAnsi="Times New Roman"/>
          <w:bCs/>
          <w:color w:val="000000"/>
          <w:sz w:val="28"/>
          <w:szCs w:val="24"/>
          <w:lang w:eastAsia="ru-RU"/>
        </w:rPr>
        <w:t>В прогнозируемом периоде необходимо осуществить качественное изменение строящегося и</w:t>
      </w:r>
      <w:r>
        <w:rPr>
          <w:rFonts w:ascii="Times New Roman" w:hAnsi="Times New Roman"/>
          <w:bCs/>
          <w:color w:val="000000"/>
          <w:sz w:val="28"/>
          <w:szCs w:val="24"/>
          <w:lang w:eastAsia="ru-RU"/>
        </w:rPr>
        <w:t> </w:t>
      </w:r>
      <w:r w:rsidRPr="003A7901">
        <w:rPr>
          <w:rFonts w:ascii="Times New Roman" w:hAnsi="Times New Roman"/>
          <w:bCs/>
          <w:color w:val="000000"/>
          <w:sz w:val="28"/>
          <w:szCs w:val="24"/>
          <w:lang w:eastAsia="ru-RU"/>
        </w:rPr>
        <w:t>реконструируемого жилища:</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необходим</w:t>
      </w:r>
      <w:r>
        <w:rPr>
          <w:rFonts w:ascii="Times New Roman" w:hAnsi="Times New Roman"/>
          <w:sz w:val="28"/>
          <w:szCs w:val="24"/>
        </w:rPr>
        <w:t>о</w:t>
      </w:r>
      <w:r w:rsidRPr="003A7901">
        <w:rPr>
          <w:rFonts w:ascii="Times New Roman" w:hAnsi="Times New Roman"/>
          <w:sz w:val="28"/>
          <w:szCs w:val="24"/>
        </w:rPr>
        <w:t xml:space="preserve"> </w:t>
      </w:r>
      <w:r>
        <w:rPr>
          <w:rFonts w:ascii="Times New Roman" w:hAnsi="Times New Roman"/>
          <w:sz w:val="28"/>
          <w:szCs w:val="24"/>
        </w:rPr>
        <w:t>п</w:t>
      </w:r>
      <w:r w:rsidRPr="003A7901">
        <w:rPr>
          <w:rFonts w:ascii="Times New Roman" w:hAnsi="Times New Roman"/>
          <w:sz w:val="28"/>
          <w:szCs w:val="24"/>
        </w:rPr>
        <w:t>олное благоустройство жилья для создания благоприятной среды проживания высокого качества;</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необходимо наращивание темпов жилищного строительства и</w:t>
      </w:r>
      <w:r>
        <w:rPr>
          <w:rFonts w:ascii="Times New Roman" w:hAnsi="Times New Roman"/>
          <w:sz w:val="28"/>
          <w:szCs w:val="24"/>
        </w:rPr>
        <w:t> </w:t>
      </w:r>
      <w:r w:rsidRPr="003A7901">
        <w:rPr>
          <w:rFonts w:ascii="Times New Roman" w:hAnsi="Times New Roman"/>
          <w:sz w:val="28"/>
          <w:szCs w:val="24"/>
        </w:rPr>
        <w:t>инженерного</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благоустройства всего жилого фонда;</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для решения жилищной проблемы, а</w:t>
      </w:r>
      <w:r>
        <w:rPr>
          <w:rFonts w:ascii="Times New Roman" w:hAnsi="Times New Roman"/>
          <w:sz w:val="28"/>
          <w:szCs w:val="24"/>
        </w:rPr>
        <w:t> </w:t>
      </w:r>
      <w:r w:rsidRPr="003A7901">
        <w:rPr>
          <w:rFonts w:ascii="Times New Roman" w:hAnsi="Times New Roman"/>
          <w:sz w:val="28"/>
          <w:szCs w:val="24"/>
        </w:rPr>
        <w:t>также учитывая ограниченные возможности бюджетного финансирования строительства, необходимо активное вовлечение в</w:t>
      </w:r>
      <w:r>
        <w:rPr>
          <w:rFonts w:ascii="Times New Roman" w:hAnsi="Times New Roman"/>
          <w:sz w:val="28"/>
          <w:szCs w:val="24"/>
        </w:rPr>
        <w:t> </w:t>
      </w:r>
      <w:r w:rsidRPr="003A7901">
        <w:rPr>
          <w:rFonts w:ascii="Times New Roman" w:hAnsi="Times New Roman"/>
          <w:sz w:val="28"/>
          <w:szCs w:val="24"/>
        </w:rPr>
        <w:t>эту сферу средств дольщиков, средств крупных компаний, осуществляющих деятельность на</w:t>
      </w:r>
      <w:r>
        <w:rPr>
          <w:rFonts w:ascii="Times New Roman" w:hAnsi="Times New Roman"/>
          <w:sz w:val="28"/>
          <w:szCs w:val="24"/>
        </w:rPr>
        <w:t> </w:t>
      </w:r>
      <w:r w:rsidRPr="003A7901">
        <w:rPr>
          <w:rFonts w:ascii="Times New Roman" w:hAnsi="Times New Roman"/>
          <w:sz w:val="28"/>
          <w:szCs w:val="24"/>
        </w:rPr>
        <w:t>территории</w:t>
      </w:r>
      <w:r>
        <w:rPr>
          <w:rFonts w:ascii="Times New Roman" w:hAnsi="Times New Roman"/>
          <w:sz w:val="28"/>
          <w:szCs w:val="24"/>
        </w:rPr>
        <w:t xml:space="preserve"> Куйбышевского района</w:t>
      </w:r>
      <w:r w:rsidRPr="003A7901">
        <w:rPr>
          <w:rFonts w:ascii="Times New Roman" w:hAnsi="Times New Roman"/>
          <w:sz w:val="28"/>
          <w:szCs w:val="24"/>
        </w:rPr>
        <w:t>, вовлечения частных инвесторов, развитие ипотечного кредитования при условии создания благоприятного инвестиционного климата;</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важно учитывать при размещении различных типов жилья (социальное, коммерческое, частное) материальные возможности населения;</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переход к</w:t>
      </w:r>
      <w:r>
        <w:rPr>
          <w:rFonts w:ascii="Times New Roman" w:hAnsi="Times New Roman"/>
          <w:sz w:val="28"/>
          <w:szCs w:val="24"/>
        </w:rPr>
        <w:t> </w:t>
      </w:r>
      <w:r w:rsidRPr="003A7901">
        <w:rPr>
          <w:rFonts w:ascii="Times New Roman" w:hAnsi="Times New Roman"/>
          <w:sz w:val="28"/>
          <w:szCs w:val="24"/>
        </w:rPr>
        <w:t>проектированию и</w:t>
      </w:r>
      <w:r>
        <w:rPr>
          <w:rFonts w:ascii="Times New Roman" w:hAnsi="Times New Roman"/>
          <w:sz w:val="28"/>
          <w:szCs w:val="24"/>
        </w:rPr>
        <w:t> </w:t>
      </w:r>
      <w:r w:rsidRPr="003A7901">
        <w:rPr>
          <w:rFonts w:ascii="Times New Roman" w:hAnsi="Times New Roman"/>
          <w:sz w:val="28"/>
          <w:szCs w:val="24"/>
        </w:rPr>
        <w:t>строительству энергоэффективных домов из</w:t>
      </w:r>
      <w:r>
        <w:rPr>
          <w:rFonts w:ascii="Times New Roman" w:hAnsi="Times New Roman"/>
          <w:sz w:val="28"/>
          <w:szCs w:val="24"/>
        </w:rPr>
        <w:t> </w:t>
      </w:r>
      <w:r w:rsidRPr="003A7901">
        <w:rPr>
          <w:rFonts w:ascii="Times New Roman" w:hAnsi="Times New Roman"/>
          <w:sz w:val="28"/>
          <w:szCs w:val="24"/>
        </w:rPr>
        <w:t>экологически чистых материалов и</w:t>
      </w:r>
      <w:r>
        <w:rPr>
          <w:rFonts w:ascii="Times New Roman" w:hAnsi="Times New Roman"/>
          <w:sz w:val="28"/>
          <w:szCs w:val="24"/>
        </w:rPr>
        <w:t> </w:t>
      </w:r>
      <w:r w:rsidRPr="003A7901">
        <w:rPr>
          <w:rFonts w:ascii="Times New Roman" w:hAnsi="Times New Roman"/>
          <w:sz w:val="28"/>
          <w:szCs w:val="24"/>
        </w:rPr>
        <w:t>конструкций;</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расширение строительства частных жилых домов;</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комплексное решение проблемы перехода к</w:t>
      </w:r>
      <w:r>
        <w:rPr>
          <w:rFonts w:ascii="Times New Roman" w:hAnsi="Times New Roman"/>
          <w:sz w:val="28"/>
          <w:szCs w:val="24"/>
        </w:rPr>
        <w:t> </w:t>
      </w:r>
      <w:r w:rsidRPr="003A7901">
        <w:rPr>
          <w:rFonts w:ascii="Times New Roman" w:hAnsi="Times New Roman"/>
          <w:sz w:val="28"/>
          <w:szCs w:val="24"/>
        </w:rPr>
        <w:t>устойчивому функционированию и</w:t>
      </w:r>
      <w:r>
        <w:rPr>
          <w:rFonts w:ascii="Times New Roman" w:hAnsi="Times New Roman"/>
          <w:sz w:val="28"/>
          <w:szCs w:val="24"/>
        </w:rPr>
        <w:t> </w:t>
      </w:r>
      <w:r w:rsidRPr="003A7901">
        <w:rPr>
          <w:rFonts w:ascii="Times New Roman" w:hAnsi="Times New Roman"/>
          <w:sz w:val="28"/>
          <w:szCs w:val="24"/>
        </w:rPr>
        <w:t>развитию жилищной сферы, обеспечивающее доступность жилья для граждан, безопасность и</w:t>
      </w:r>
      <w:r>
        <w:rPr>
          <w:rFonts w:ascii="Times New Roman" w:hAnsi="Times New Roman"/>
          <w:sz w:val="28"/>
          <w:szCs w:val="24"/>
        </w:rPr>
        <w:t> </w:t>
      </w:r>
      <w:r w:rsidRPr="003A7901">
        <w:rPr>
          <w:rFonts w:ascii="Times New Roman" w:hAnsi="Times New Roman"/>
          <w:sz w:val="28"/>
          <w:szCs w:val="24"/>
        </w:rPr>
        <w:t>комфортные условия проживания в</w:t>
      </w:r>
      <w:r>
        <w:rPr>
          <w:rFonts w:ascii="Times New Roman" w:hAnsi="Times New Roman"/>
          <w:sz w:val="28"/>
          <w:szCs w:val="24"/>
        </w:rPr>
        <w:t> </w:t>
      </w:r>
      <w:r w:rsidRPr="003A7901">
        <w:rPr>
          <w:rFonts w:ascii="Times New Roman" w:hAnsi="Times New Roman"/>
          <w:sz w:val="28"/>
          <w:szCs w:val="24"/>
        </w:rPr>
        <w:t>нем</w:t>
      </w:r>
      <w:r>
        <w:rPr>
          <w:rFonts w:ascii="Times New Roman" w:hAnsi="Times New Roman"/>
          <w:sz w:val="28"/>
          <w:szCs w:val="24"/>
        </w:rPr>
        <w:t>.</w:t>
      </w:r>
    </w:p>
    <w:p w:rsidR="002D1E45" w:rsidRPr="003A7901" w:rsidRDefault="002D1E45" w:rsidP="003A7901">
      <w:pPr>
        <w:spacing w:after="0" w:line="240" w:lineRule="auto"/>
        <w:ind w:firstLine="709"/>
        <w:contextualSpacing/>
        <w:jc w:val="both"/>
        <w:rPr>
          <w:rFonts w:ascii="Times New Roman" w:hAnsi="Times New Roman"/>
          <w:sz w:val="28"/>
          <w:szCs w:val="24"/>
        </w:rPr>
      </w:pPr>
      <w:r w:rsidRPr="003A7901">
        <w:rPr>
          <w:rFonts w:ascii="Times New Roman" w:hAnsi="Times New Roman"/>
          <w:sz w:val="28"/>
          <w:szCs w:val="24"/>
        </w:rPr>
        <w:t>Критериями комплексного решения жилищной проблемы, реконструкции и</w:t>
      </w:r>
      <w:r>
        <w:rPr>
          <w:rFonts w:ascii="Times New Roman" w:hAnsi="Times New Roman"/>
          <w:sz w:val="28"/>
          <w:szCs w:val="24"/>
        </w:rPr>
        <w:t> </w:t>
      </w:r>
      <w:r w:rsidRPr="003A7901">
        <w:rPr>
          <w:rFonts w:ascii="Times New Roman" w:hAnsi="Times New Roman"/>
          <w:sz w:val="28"/>
          <w:szCs w:val="24"/>
        </w:rPr>
        <w:t>развития жилых территорий, формирования благоприятной жилой среды являются:</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повышение уровня жилищной обеспеченности в</w:t>
      </w:r>
      <w:r>
        <w:rPr>
          <w:rFonts w:ascii="Times New Roman" w:hAnsi="Times New Roman"/>
          <w:sz w:val="28"/>
          <w:szCs w:val="24"/>
        </w:rPr>
        <w:t> </w:t>
      </w:r>
      <w:r w:rsidRPr="003A7901">
        <w:rPr>
          <w:rFonts w:ascii="Times New Roman" w:hAnsi="Times New Roman"/>
          <w:sz w:val="28"/>
          <w:szCs w:val="24"/>
        </w:rPr>
        <w:t>соответствии с</w:t>
      </w:r>
      <w:r>
        <w:rPr>
          <w:rFonts w:ascii="Times New Roman" w:hAnsi="Times New Roman"/>
          <w:sz w:val="28"/>
          <w:szCs w:val="24"/>
        </w:rPr>
        <w:t> </w:t>
      </w:r>
      <w:r w:rsidRPr="003A7901">
        <w:rPr>
          <w:rFonts w:ascii="Times New Roman" w:hAnsi="Times New Roman"/>
          <w:sz w:val="28"/>
          <w:szCs w:val="24"/>
        </w:rPr>
        <w:t>нормативной потребностью в</w:t>
      </w:r>
      <w:r>
        <w:rPr>
          <w:rFonts w:ascii="Times New Roman" w:hAnsi="Times New Roman"/>
          <w:sz w:val="28"/>
          <w:szCs w:val="24"/>
        </w:rPr>
        <w:t> </w:t>
      </w:r>
      <w:r w:rsidRPr="003A7901">
        <w:rPr>
          <w:rFonts w:ascii="Times New Roman" w:hAnsi="Times New Roman"/>
          <w:sz w:val="28"/>
          <w:szCs w:val="24"/>
        </w:rPr>
        <w:t>жилье;</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обеспечение рационального расселения жителей и</w:t>
      </w:r>
      <w:r>
        <w:rPr>
          <w:rFonts w:ascii="Times New Roman" w:hAnsi="Times New Roman"/>
          <w:sz w:val="28"/>
          <w:szCs w:val="24"/>
        </w:rPr>
        <w:t> </w:t>
      </w:r>
      <w:r w:rsidRPr="003A7901">
        <w:rPr>
          <w:rFonts w:ascii="Times New Roman" w:hAnsi="Times New Roman"/>
          <w:sz w:val="28"/>
          <w:szCs w:val="24"/>
        </w:rPr>
        <w:t>приведение состава квартир в</w:t>
      </w:r>
      <w:r>
        <w:rPr>
          <w:rFonts w:ascii="Times New Roman" w:hAnsi="Times New Roman"/>
          <w:sz w:val="28"/>
          <w:szCs w:val="24"/>
        </w:rPr>
        <w:t> </w:t>
      </w:r>
      <w:r w:rsidRPr="003A7901">
        <w:rPr>
          <w:rFonts w:ascii="Times New Roman" w:hAnsi="Times New Roman"/>
          <w:sz w:val="28"/>
          <w:szCs w:val="24"/>
        </w:rPr>
        <w:t>соответствие с</w:t>
      </w:r>
      <w:r>
        <w:rPr>
          <w:rFonts w:ascii="Times New Roman" w:hAnsi="Times New Roman"/>
          <w:sz w:val="28"/>
          <w:szCs w:val="24"/>
        </w:rPr>
        <w:t> </w:t>
      </w:r>
      <w:r w:rsidRPr="003A7901">
        <w:rPr>
          <w:rFonts w:ascii="Times New Roman" w:hAnsi="Times New Roman"/>
          <w:sz w:val="28"/>
          <w:szCs w:val="24"/>
        </w:rPr>
        <w:t>демографической структурой семей;</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приведение потребительских характеристик жилищного фонда в</w:t>
      </w:r>
      <w:r>
        <w:rPr>
          <w:rFonts w:ascii="Times New Roman" w:hAnsi="Times New Roman"/>
          <w:sz w:val="28"/>
          <w:szCs w:val="24"/>
        </w:rPr>
        <w:t> </w:t>
      </w:r>
      <w:r w:rsidRPr="003A7901">
        <w:rPr>
          <w:rFonts w:ascii="Times New Roman" w:hAnsi="Times New Roman"/>
          <w:sz w:val="28"/>
          <w:szCs w:val="24"/>
        </w:rPr>
        <w:t>соответствие с</w:t>
      </w:r>
      <w:r>
        <w:rPr>
          <w:rFonts w:ascii="Times New Roman" w:hAnsi="Times New Roman"/>
          <w:sz w:val="28"/>
          <w:szCs w:val="24"/>
        </w:rPr>
        <w:t> </w:t>
      </w:r>
      <w:r w:rsidRPr="003A7901">
        <w:rPr>
          <w:rFonts w:ascii="Times New Roman" w:hAnsi="Times New Roman"/>
          <w:sz w:val="28"/>
          <w:szCs w:val="24"/>
        </w:rPr>
        <w:t>потребностями населения;</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ликвидация в</w:t>
      </w:r>
      <w:r>
        <w:rPr>
          <w:rFonts w:ascii="Times New Roman" w:hAnsi="Times New Roman"/>
          <w:sz w:val="28"/>
          <w:szCs w:val="24"/>
        </w:rPr>
        <w:t> </w:t>
      </w:r>
      <w:r w:rsidRPr="003A7901">
        <w:rPr>
          <w:rFonts w:ascii="Times New Roman" w:hAnsi="Times New Roman"/>
          <w:sz w:val="28"/>
          <w:szCs w:val="24"/>
        </w:rPr>
        <w:t>течение расчётного срока аварийного и</w:t>
      </w:r>
      <w:r>
        <w:rPr>
          <w:rFonts w:ascii="Times New Roman" w:hAnsi="Times New Roman"/>
          <w:sz w:val="28"/>
          <w:szCs w:val="24"/>
        </w:rPr>
        <w:t> </w:t>
      </w:r>
      <w:r w:rsidRPr="003A7901">
        <w:rPr>
          <w:rFonts w:ascii="Times New Roman" w:hAnsi="Times New Roman"/>
          <w:sz w:val="28"/>
          <w:szCs w:val="24"/>
        </w:rPr>
        <w:t>ветхого жилья, вынос жилого фонда из</w:t>
      </w:r>
      <w:r>
        <w:rPr>
          <w:rFonts w:ascii="Times New Roman" w:hAnsi="Times New Roman"/>
          <w:sz w:val="28"/>
          <w:szCs w:val="24"/>
        </w:rPr>
        <w:t> </w:t>
      </w:r>
      <w:r w:rsidRPr="003A7901">
        <w:rPr>
          <w:rFonts w:ascii="Times New Roman" w:hAnsi="Times New Roman"/>
          <w:sz w:val="28"/>
          <w:szCs w:val="24"/>
        </w:rPr>
        <w:t>санитарно-защитных зон предприятий;</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повышение качества и</w:t>
      </w:r>
      <w:r>
        <w:rPr>
          <w:rFonts w:ascii="Times New Roman" w:hAnsi="Times New Roman"/>
          <w:sz w:val="28"/>
          <w:szCs w:val="24"/>
        </w:rPr>
        <w:t> </w:t>
      </w:r>
      <w:r w:rsidRPr="003A7901">
        <w:rPr>
          <w:rFonts w:ascii="Times New Roman" w:hAnsi="Times New Roman"/>
          <w:sz w:val="28"/>
          <w:szCs w:val="24"/>
        </w:rPr>
        <w:t>комфортности, полное благоустройство домов, при комбинированном решении локального и</w:t>
      </w:r>
      <w:r>
        <w:rPr>
          <w:rFonts w:ascii="Times New Roman" w:hAnsi="Times New Roman"/>
          <w:sz w:val="28"/>
          <w:szCs w:val="24"/>
        </w:rPr>
        <w:t> </w:t>
      </w:r>
      <w:r w:rsidRPr="003A7901">
        <w:rPr>
          <w:rFonts w:ascii="Times New Roman" w:hAnsi="Times New Roman"/>
          <w:sz w:val="28"/>
          <w:szCs w:val="24"/>
        </w:rPr>
        <w:t>централизованного инженерного обеспечения жилья, в</w:t>
      </w:r>
      <w:r>
        <w:rPr>
          <w:rFonts w:ascii="Times New Roman" w:hAnsi="Times New Roman"/>
          <w:sz w:val="28"/>
          <w:szCs w:val="24"/>
        </w:rPr>
        <w:t> </w:t>
      </w:r>
      <w:r w:rsidRPr="003A7901">
        <w:rPr>
          <w:rFonts w:ascii="Times New Roman" w:hAnsi="Times New Roman"/>
          <w:sz w:val="28"/>
          <w:szCs w:val="24"/>
        </w:rPr>
        <w:t>зависимости от</w:t>
      </w:r>
      <w:r>
        <w:rPr>
          <w:rFonts w:ascii="Times New Roman" w:hAnsi="Times New Roman"/>
          <w:sz w:val="28"/>
          <w:szCs w:val="24"/>
        </w:rPr>
        <w:t> </w:t>
      </w:r>
      <w:r w:rsidRPr="003A7901">
        <w:rPr>
          <w:rFonts w:ascii="Times New Roman" w:hAnsi="Times New Roman"/>
          <w:sz w:val="28"/>
          <w:szCs w:val="24"/>
        </w:rPr>
        <w:t>типов и</w:t>
      </w:r>
      <w:r>
        <w:rPr>
          <w:rFonts w:ascii="Times New Roman" w:hAnsi="Times New Roman"/>
          <w:sz w:val="28"/>
          <w:szCs w:val="24"/>
        </w:rPr>
        <w:t> </w:t>
      </w:r>
      <w:r w:rsidRPr="003A7901">
        <w:rPr>
          <w:rFonts w:ascii="Times New Roman" w:hAnsi="Times New Roman"/>
          <w:sz w:val="28"/>
          <w:szCs w:val="24"/>
        </w:rPr>
        <w:t>районов застройки и</w:t>
      </w:r>
      <w:r>
        <w:rPr>
          <w:rFonts w:ascii="Times New Roman" w:hAnsi="Times New Roman"/>
          <w:sz w:val="28"/>
          <w:szCs w:val="24"/>
        </w:rPr>
        <w:t> </w:t>
      </w:r>
      <w:r w:rsidRPr="003A7901">
        <w:rPr>
          <w:rFonts w:ascii="Times New Roman" w:hAnsi="Times New Roman"/>
          <w:sz w:val="28"/>
          <w:szCs w:val="24"/>
        </w:rPr>
        <w:t>при обязательном соблюдении правил энергосбережения;</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увеличение архитектурного и</w:t>
      </w:r>
      <w:r>
        <w:rPr>
          <w:rFonts w:ascii="Times New Roman" w:hAnsi="Times New Roman"/>
          <w:sz w:val="28"/>
          <w:szCs w:val="24"/>
        </w:rPr>
        <w:t> </w:t>
      </w:r>
      <w:r w:rsidRPr="003A7901">
        <w:rPr>
          <w:rFonts w:ascii="Times New Roman" w:hAnsi="Times New Roman"/>
          <w:sz w:val="28"/>
          <w:szCs w:val="24"/>
        </w:rPr>
        <w:t>средового многообразия, благоустроенности и</w:t>
      </w:r>
      <w:r>
        <w:rPr>
          <w:rFonts w:ascii="Times New Roman" w:hAnsi="Times New Roman"/>
          <w:sz w:val="28"/>
          <w:szCs w:val="24"/>
        </w:rPr>
        <w:t> </w:t>
      </w:r>
      <w:r w:rsidRPr="003A7901">
        <w:rPr>
          <w:rFonts w:ascii="Times New Roman" w:hAnsi="Times New Roman"/>
          <w:sz w:val="28"/>
          <w:szCs w:val="24"/>
        </w:rPr>
        <w:t>комфортности жилых территорий;</w:t>
      </w:r>
    </w:p>
    <w:p w:rsidR="002D1E45"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повышение степени сохранности и</w:t>
      </w:r>
      <w:r>
        <w:rPr>
          <w:rFonts w:ascii="Times New Roman" w:hAnsi="Times New Roman"/>
          <w:sz w:val="28"/>
          <w:szCs w:val="24"/>
        </w:rPr>
        <w:t> </w:t>
      </w:r>
      <w:r w:rsidRPr="003A7901">
        <w:rPr>
          <w:rFonts w:ascii="Times New Roman" w:hAnsi="Times New Roman"/>
          <w:sz w:val="28"/>
          <w:szCs w:val="24"/>
        </w:rPr>
        <w:t>содержания жилищного фонда в</w:t>
      </w:r>
      <w:r>
        <w:rPr>
          <w:rFonts w:ascii="Times New Roman" w:hAnsi="Times New Roman"/>
          <w:sz w:val="28"/>
          <w:szCs w:val="24"/>
        </w:rPr>
        <w:t> </w:t>
      </w:r>
      <w:r w:rsidRPr="003A7901">
        <w:rPr>
          <w:rFonts w:ascii="Times New Roman" w:hAnsi="Times New Roman"/>
          <w:sz w:val="28"/>
          <w:szCs w:val="24"/>
        </w:rPr>
        <w:t>соответствие с</w:t>
      </w:r>
      <w:r>
        <w:rPr>
          <w:rFonts w:ascii="Times New Roman" w:hAnsi="Times New Roman"/>
          <w:sz w:val="28"/>
          <w:szCs w:val="24"/>
        </w:rPr>
        <w:t> </w:t>
      </w:r>
      <w:r w:rsidRPr="003A7901">
        <w:rPr>
          <w:rFonts w:ascii="Times New Roman" w:hAnsi="Times New Roman"/>
          <w:sz w:val="28"/>
          <w:szCs w:val="24"/>
        </w:rPr>
        <w:t>действующими техническими условиями и</w:t>
      </w:r>
      <w:r>
        <w:rPr>
          <w:rFonts w:ascii="Times New Roman" w:hAnsi="Times New Roman"/>
          <w:sz w:val="28"/>
          <w:szCs w:val="24"/>
        </w:rPr>
        <w:t> </w:t>
      </w:r>
      <w:r w:rsidRPr="003A7901">
        <w:rPr>
          <w:rFonts w:ascii="Times New Roman" w:hAnsi="Times New Roman"/>
          <w:sz w:val="28"/>
          <w:szCs w:val="24"/>
        </w:rPr>
        <w:t>требованиями.</w:t>
      </w:r>
    </w:p>
    <w:p w:rsidR="002D1E45" w:rsidRPr="003A7901" w:rsidRDefault="002D1E45" w:rsidP="003B6E68">
      <w:pPr>
        <w:tabs>
          <w:tab w:val="left" w:pos="1134"/>
        </w:tabs>
        <w:spacing w:after="0" w:line="240" w:lineRule="auto"/>
        <w:jc w:val="both"/>
        <w:rPr>
          <w:rFonts w:ascii="Times New Roman" w:hAnsi="Times New Roman"/>
          <w:sz w:val="28"/>
          <w:szCs w:val="24"/>
        </w:rPr>
      </w:pPr>
    </w:p>
    <w:p w:rsidR="002D1E45" w:rsidRPr="003A7901" w:rsidRDefault="002D1E45" w:rsidP="003A7901">
      <w:pPr>
        <w:spacing w:after="0" w:line="240" w:lineRule="auto"/>
        <w:ind w:firstLine="709"/>
        <w:contextualSpacing/>
        <w:jc w:val="both"/>
        <w:rPr>
          <w:rFonts w:ascii="Times New Roman" w:hAnsi="Times New Roman"/>
          <w:sz w:val="16"/>
          <w:szCs w:val="16"/>
          <w:lang w:eastAsia="ru-RU"/>
        </w:rPr>
      </w:pPr>
    </w:p>
    <w:p w:rsidR="002D1E45" w:rsidRPr="00CA28E3" w:rsidRDefault="002D1E45" w:rsidP="00852938">
      <w:pPr>
        <w:pStyle w:val="Heading2"/>
        <w:numPr>
          <w:ilvl w:val="1"/>
          <w:numId w:val="65"/>
        </w:numPr>
        <w:spacing w:before="240"/>
        <w:ind w:left="993" w:hanging="633"/>
        <w:jc w:val="both"/>
        <w:rPr>
          <w:b/>
        </w:rPr>
      </w:pPr>
      <w:bookmarkStart w:id="246" w:name="_Toc468971949"/>
      <w:bookmarkStart w:id="247" w:name="_Toc475037115"/>
      <w:bookmarkStart w:id="248" w:name="_Toc84936056"/>
      <w:r w:rsidRPr="00CA28E3">
        <w:rPr>
          <w:b/>
        </w:rPr>
        <w:t>Развитие общественно-деловой зоны</w:t>
      </w:r>
      <w:bookmarkEnd w:id="246"/>
      <w:bookmarkEnd w:id="247"/>
      <w:bookmarkEnd w:id="248"/>
    </w:p>
    <w:p w:rsidR="002D1E45" w:rsidRPr="003A7901" w:rsidRDefault="002D1E45" w:rsidP="003A7901">
      <w:pPr>
        <w:spacing w:after="0" w:line="240" w:lineRule="auto"/>
        <w:rPr>
          <w:rFonts w:ascii="Times New Roman" w:hAnsi="Times New Roman"/>
          <w:sz w:val="16"/>
          <w:szCs w:val="16"/>
          <w:lang w:eastAsia="ru-RU"/>
        </w:rPr>
      </w:pPr>
    </w:p>
    <w:p w:rsidR="002D1E45" w:rsidRPr="003A7901" w:rsidRDefault="002D1E45" w:rsidP="003A7901">
      <w:pPr>
        <w:spacing w:after="0" w:line="240" w:lineRule="auto"/>
        <w:rPr>
          <w:rFonts w:ascii="Times New Roman" w:hAnsi="Times New Roman"/>
          <w:sz w:val="16"/>
          <w:szCs w:val="16"/>
          <w:lang w:eastAsia="ru-RU"/>
        </w:rPr>
      </w:pPr>
    </w:p>
    <w:p w:rsidR="002D1E45" w:rsidRPr="00533F94" w:rsidRDefault="002D1E45" w:rsidP="00533F94">
      <w:pPr>
        <w:spacing w:after="0" w:line="240" w:lineRule="auto"/>
        <w:ind w:firstLine="709"/>
        <w:contextualSpacing/>
        <w:jc w:val="both"/>
        <w:rPr>
          <w:rFonts w:ascii="Times New Roman" w:hAnsi="Times New Roman"/>
          <w:bCs/>
          <w:color w:val="000000"/>
          <w:sz w:val="28"/>
          <w:szCs w:val="24"/>
          <w:lang w:eastAsia="ru-RU"/>
        </w:rPr>
      </w:pPr>
      <w:r w:rsidRPr="00533F94">
        <w:rPr>
          <w:rFonts w:ascii="Times New Roman" w:hAnsi="Times New Roman"/>
          <w:bCs/>
          <w:color w:val="000000"/>
          <w:sz w:val="28"/>
          <w:szCs w:val="24"/>
          <w:lang w:eastAsia="ru-RU"/>
        </w:rPr>
        <w:t>В развитие существующей системы культурно-бытового обслуживания проектом предусмотрено размещение новых объектов на</w:t>
      </w:r>
      <w:r>
        <w:rPr>
          <w:rFonts w:ascii="Times New Roman" w:hAnsi="Times New Roman"/>
          <w:bCs/>
          <w:color w:val="000000"/>
          <w:sz w:val="28"/>
          <w:szCs w:val="24"/>
          <w:lang w:eastAsia="ru-RU"/>
        </w:rPr>
        <w:t> </w:t>
      </w:r>
      <w:r w:rsidRPr="00533F94">
        <w:rPr>
          <w:rFonts w:ascii="Times New Roman" w:hAnsi="Times New Roman"/>
          <w:bCs/>
          <w:color w:val="000000"/>
          <w:sz w:val="28"/>
          <w:szCs w:val="24"/>
          <w:lang w:eastAsia="ru-RU"/>
        </w:rPr>
        <w:t>вновь застраиваемых территориях в</w:t>
      </w:r>
      <w:r>
        <w:rPr>
          <w:rFonts w:ascii="Times New Roman" w:hAnsi="Times New Roman"/>
          <w:bCs/>
          <w:color w:val="000000"/>
          <w:sz w:val="28"/>
          <w:szCs w:val="24"/>
          <w:lang w:eastAsia="ru-RU"/>
        </w:rPr>
        <w:t> </w:t>
      </w:r>
      <w:r w:rsidRPr="00533F94">
        <w:rPr>
          <w:rFonts w:ascii="Times New Roman" w:hAnsi="Times New Roman"/>
          <w:bCs/>
          <w:color w:val="000000"/>
          <w:sz w:val="28"/>
          <w:szCs w:val="24"/>
          <w:lang w:eastAsia="ru-RU"/>
        </w:rPr>
        <w:t>соответствии с</w:t>
      </w:r>
      <w:r>
        <w:rPr>
          <w:rFonts w:ascii="Times New Roman" w:hAnsi="Times New Roman"/>
          <w:bCs/>
          <w:color w:val="000000"/>
          <w:sz w:val="28"/>
          <w:szCs w:val="24"/>
          <w:lang w:eastAsia="ru-RU"/>
        </w:rPr>
        <w:t> </w:t>
      </w:r>
      <w:r w:rsidRPr="00533F94">
        <w:rPr>
          <w:rFonts w:ascii="Times New Roman" w:hAnsi="Times New Roman"/>
          <w:bCs/>
          <w:color w:val="000000"/>
          <w:sz w:val="28"/>
          <w:szCs w:val="24"/>
          <w:lang w:eastAsia="ru-RU"/>
        </w:rPr>
        <w:t>расчётом учреждений социально-культурно-бытового обслуживания, отдыха и</w:t>
      </w:r>
      <w:r>
        <w:rPr>
          <w:rFonts w:ascii="Times New Roman" w:hAnsi="Times New Roman"/>
          <w:bCs/>
          <w:color w:val="000000"/>
          <w:sz w:val="28"/>
          <w:szCs w:val="24"/>
          <w:lang w:eastAsia="ru-RU"/>
        </w:rPr>
        <w:t> </w:t>
      </w:r>
      <w:r w:rsidRPr="00533F94">
        <w:rPr>
          <w:rFonts w:ascii="Times New Roman" w:hAnsi="Times New Roman"/>
          <w:bCs/>
          <w:color w:val="000000"/>
          <w:sz w:val="28"/>
          <w:szCs w:val="24"/>
          <w:lang w:eastAsia="ru-RU"/>
        </w:rPr>
        <w:t>оздоровления населения.</w:t>
      </w:r>
    </w:p>
    <w:p w:rsidR="002D1E45" w:rsidRPr="009B7A35" w:rsidRDefault="002D1E45" w:rsidP="009B7A35">
      <w:pPr>
        <w:spacing w:after="0" w:line="240" w:lineRule="auto"/>
        <w:ind w:firstLine="709"/>
        <w:jc w:val="both"/>
        <w:rPr>
          <w:rFonts w:ascii="Times New Roman" w:hAnsi="Times New Roman"/>
          <w:sz w:val="28"/>
          <w:szCs w:val="24"/>
          <w:lang w:eastAsia="ru-RU"/>
        </w:rPr>
      </w:pPr>
      <w:r w:rsidRPr="009B7A35">
        <w:rPr>
          <w:rFonts w:ascii="Times New Roman" w:hAnsi="Times New Roman"/>
          <w:sz w:val="28"/>
          <w:szCs w:val="24"/>
          <w:lang w:eastAsia="ru-RU"/>
        </w:rPr>
        <w:t xml:space="preserve">Оценка социальной сферы </w:t>
      </w:r>
      <w:r>
        <w:rPr>
          <w:rFonts w:ascii="Times New Roman" w:hAnsi="Times New Roman"/>
          <w:sz w:val="28"/>
          <w:szCs w:val="24"/>
          <w:lang w:eastAsia="ru-RU"/>
        </w:rPr>
        <w:t>города Куйбышева</w:t>
      </w:r>
      <w:r w:rsidRPr="00C71B9C">
        <w:rPr>
          <w:rFonts w:ascii="Times New Roman" w:hAnsi="Times New Roman"/>
          <w:sz w:val="28"/>
          <w:szCs w:val="24"/>
          <w:lang w:eastAsia="ru-RU"/>
        </w:rPr>
        <w:t xml:space="preserve"> </w:t>
      </w:r>
      <w:r w:rsidRPr="009B7A35">
        <w:rPr>
          <w:rFonts w:ascii="Times New Roman" w:hAnsi="Times New Roman"/>
          <w:sz w:val="28"/>
          <w:szCs w:val="24"/>
          <w:lang w:eastAsia="ru-RU"/>
        </w:rPr>
        <w:t>приведена в</w:t>
      </w:r>
      <w:r>
        <w:rPr>
          <w:rFonts w:ascii="Times New Roman" w:hAnsi="Times New Roman"/>
          <w:sz w:val="28"/>
          <w:szCs w:val="24"/>
          <w:lang w:eastAsia="ru-RU"/>
        </w:rPr>
        <w:t> </w:t>
      </w:r>
      <w:r w:rsidRPr="009B7A35">
        <w:rPr>
          <w:rFonts w:ascii="Times New Roman" w:hAnsi="Times New Roman"/>
          <w:sz w:val="28"/>
          <w:szCs w:val="24"/>
          <w:lang w:eastAsia="ru-RU"/>
        </w:rPr>
        <w:t>разрезе социально значимых объектов образования, здравоохранения, социального обеспечения, культуры, спорта.</w:t>
      </w:r>
    </w:p>
    <w:p w:rsidR="002D1E45" w:rsidRDefault="002D1E45" w:rsidP="009B7A35">
      <w:pPr>
        <w:spacing w:after="0" w:line="240" w:lineRule="auto"/>
        <w:ind w:firstLine="709"/>
        <w:jc w:val="both"/>
        <w:rPr>
          <w:rFonts w:ascii="Times New Roman" w:hAnsi="Times New Roman"/>
          <w:bCs/>
          <w:sz w:val="28"/>
          <w:szCs w:val="24"/>
          <w:lang w:eastAsia="ru-RU"/>
        </w:rPr>
      </w:pPr>
      <w:r w:rsidRPr="009B7A35">
        <w:rPr>
          <w:rFonts w:ascii="Times New Roman" w:hAnsi="Times New Roman"/>
          <w:bCs/>
          <w:sz w:val="28"/>
          <w:szCs w:val="24"/>
          <w:lang w:eastAsia="ru-RU"/>
        </w:rPr>
        <w:t>В проекте выделены так называемые социально нормируемые отрасли, деятельность которых определяется государственными задачами. Соблюдение норм обеспеченности эти отраслей требует строгого контроля.</w:t>
      </w:r>
    </w:p>
    <w:p w:rsidR="002D1E45" w:rsidRPr="009B7A35" w:rsidRDefault="002D1E45" w:rsidP="009B7A35">
      <w:pPr>
        <w:spacing w:after="0" w:line="240" w:lineRule="auto"/>
        <w:ind w:firstLine="709"/>
        <w:jc w:val="both"/>
        <w:rPr>
          <w:rFonts w:ascii="Times New Roman" w:hAnsi="Times New Roman"/>
          <w:bCs/>
          <w:sz w:val="28"/>
          <w:szCs w:val="24"/>
          <w:lang w:eastAsia="ru-RU"/>
        </w:rPr>
      </w:pPr>
      <w:r w:rsidRPr="009B7A35">
        <w:rPr>
          <w:rFonts w:ascii="Times New Roman" w:hAnsi="Times New Roman"/>
          <w:bCs/>
          <w:sz w:val="28"/>
          <w:szCs w:val="24"/>
          <w:lang w:eastAsia="ru-RU"/>
        </w:rPr>
        <w:t>К социально нормируемым отраслям относятся: детское дошкольное воспитание, среднее школьное образование, здравоохранение, социальное обеспечение, культура и</w:t>
      </w:r>
      <w:r>
        <w:rPr>
          <w:rFonts w:ascii="Times New Roman" w:hAnsi="Times New Roman"/>
          <w:bCs/>
          <w:sz w:val="28"/>
          <w:szCs w:val="24"/>
          <w:lang w:eastAsia="ru-RU"/>
        </w:rPr>
        <w:t> </w:t>
      </w:r>
      <w:r w:rsidRPr="009B7A35">
        <w:rPr>
          <w:rFonts w:ascii="Times New Roman" w:hAnsi="Times New Roman"/>
          <w:bCs/>
          <w:sz w:val="28"/>
          <w:szCs w:val="24"/>
          <w:lang w:eastAsia="ru-RU"/>
        </w:rPr>
        <w:t>спорт, которые функционируют за</w:t>
      </w:r>
      <w:r>
        <w:rPr>
          <w:rFonts w:ascii="Times New Roman" w:hAnsi="Times New Roman"/>
          <w:bCs/>
          <w:sz w:val="28"/>
          <w:szCs w:val="24"/>
          <w:lang w:eastAsia="ru-RU"/>
        </w:rPr>
        <w:t> </w:t>
      </w:r>
      <w:r w:rsidRPr="009B7A35">
        <w:rPr>
          <w:rFonts w:ascii="Times New Roman" w:hAnsi="Times New Roman"/>
          <w:bCs/>
          <w:sz w:val="28"/>
          <w:szCs w:val="24"/>
          <w:lang w:eastAsia="ru-RU"/>
        </w:rPr>
        <w:t>счёт бюджетных дотаций.</w:t>
      </w:r>
    </w:p>
    <w:p w:rsidR="002D1E45" w:rsidRPr="003A7901" w:rsidRDefault="002D1E45" w:rsidP="000B5B75">
      <w:pPr>
        <w:spacing w:after="0" w:line="240" w:lineRule="auto"/>
        <w:ind w:firstLine="709"/>
        <w:contextualSpacing/>
        <w:jc w:val="both"/>
        <w:rPr>
          <w:rFonts w:ascii="Times New Roman" w:hAnsi="Times New Roman"/>
          <w:bCs/>
          <w:color w:val="000000"/>
          <w:sz w:val="28"/>
          <w:szCs w:val="24"/>
          <w:lang w:eastAsia="ru-RU"/>
        </w:rPr>
      </w:pPr>
      <w:r w:rsidRPr="009B7A35">
        <w:rPr>
          <w:rFonts w:ascii="Times New Roman" w:hAnsi="Times New Roman"/>
          <w:bCs/>
          <w:sz w:val="28"/>
          <w:szCs w:val="24"/>
          <w:lang w:eastAsia="ru-RU"/>
        </w:rPr>
        <w:t>Развитие других отраслей будет происходить по</w:t>
      </w:r>
      <w:r>
        <w:rPr>
          <w:rFonts w:ascii="Times New Roman" w:hAnsi="Times New Roman"/>
          <w:bCs/>
          <w:sz w:val="28"/>
          <w:szCs w:val="24"/>
          <w:lang w:eastAsia="ru-RU"/>
        </w:rPr>
        <w:t> </w:t>
      </w:r>
      <w:r w:rsidRPr="009B7A35">
        <w:rPr>
          <w:rFonts w:ascii="Times New Roman" w:hAnsi="Times New Roman"/>
          <w:bCs/>
          <w:sz w:val="28"/>
          <w:szCs w:val="24"/>
          <w:lang w:eastAsia="ru-RU"/>
        </w:rPr>
        <w:t>принципу сбалансированности спроса и</w:t>
      </w:r>
      <w:r>
        <w:rPr>
          <w:rFonts w:ascii="Times New Roman" w:hAnsi="Times New Roman"/>
          <w:bCs/>
          <w:sz w:val="28"/>
          <w:szCs w:val="24"/>
          <w:lang w:eastAsia="ru-RU"/>
        </w:rPr>
        <w:t> </w:t>
      </w:r>
      <w:r w:rsidRPr="009B7A35">
        <w:rPr>
          <w:rFonts w:ascii="Times New Roman" w:hAnsi="Times New Roman"/>
          <w:bCs/>
          <w:sz w:val="28"/>
          <w:szCs w:val="24"/>
          <w:lang w:eastAsia="ru-RU"/>
        </w:rPr>
        <w:t>предложения. При этом спрос на</w:t>
      </w:r>
      <w:r>
        <w:rPr>
          <w:rFonts w:ascii="Times New Roman" w:hAnsi="Times New Roman"/>
          <w:bCs/>
          <w:sz w:val="28"/>
          <w:szCs w:val="24"/>
          <w:lang w:eastAsia="ru-RU"/>
        </w:rPr>
        <w:t> </w:t>
      </w:r>
      <w:r w:rsidRPr="009B7A35">
        <w:rPr>
          <w:rFonts w:ascii="Times New Roman" w:hAnsi="Times New Roman"/>
          <w:bCs/>
          <w:sz w:val="28"/>
          <w:szCs w:val="24"/>
          <w:lang w:eastAsia="ru-RU"/>
        </w:rPr>
        <w:t>те</w:t>
      </w:r>
      <w:r>
        <w:rPr>
          <w:rFonts w:ascii="Times New Roman" w:hAnsi="Times New Roman"/>
          <w:bCs/>
          <w:sz w:val="28"/>
          <w:szCs w:val="24"/>
          <w:lang w:eastAsia="ru-RU"/>
        </w:rPr>
        <w:t> </w:t>
      </w:r>
      <w:r w:rsidRPr="009B7A35">
        <w:rPr>
          <w:rFonts w:ascii="Times New Roman" w:hAnsi="Times New Roman"/>
          <w:bCs/>
          <w:sz w:val="28"/>
          <w:szCs w:val="24"/>
          <w:lang w:eastAsia="ru-RU"/>
        </w:rPr>
        <w:t>или иные виды услуг будет зависеть от</w:t>
      </w:r>
      <w:r>
        <w:rPr>
          <w:rFonts w:ascii="Times New Roman" w:hAnsi="Times New Roman"/>
          <w:bCs/>
          <w:sz w:val="28"/>
          <w:szCs w:val="24"/>
          <w:lang w:eastAsia="ru-RU"/>
        </w:rPr>
        <w:t> </w:t>
      </w:r>
      <w:r w:rsidRPr="009B7A35">
        <w:rPr>
          <w:rFonts w:ascii="Times New Roman" w:hAnsi="Times New Roman"/>
          <w:bCs/>
          <w:sz w:val="28"/>
          <w:szCs w:val="24"/>
          <w:lang w:eastAsia="ru-RU"/>
        </w:rPr>
        <w:t>уровня жизни населения, который в</w:t>
      </w:r>
      <w:r>
        <w:rPr>
          <w:rFonts w:ascii="Times New Roman" w:hAnsi="Times New Roman"/>
          <w:bCs/>
          <w:sz w:val="28"/>
          <w:szCs w:val="24"/>
          <w:lang w:eastAsia="ru-RU"/>
        </w:rPr>
        <w:t> </w:t>
      </w:r>
      <w:r w:rsidRPr="009B7A35">
        <w:rPr>
          <w:rFonts w:ascii="Times New Roman" w:hAnsi="Times New Roman"/>
          <w:bCs/>
          <w:sz w:val="28"/>
          <w:szCs w:val="24"/>
          <w:lang w:eastAsia="ru-RU"/>
        </w:rPr>
        <w:t>свою очередь определится уровнем развития экономики страны и</w:t>
      </w:r>
      <w:r>
        <w:rPr>
          <w:rFonts w:ascii="Times New Roman" w:hAnsi="Times New Roman"/>
          <w:bCs/>
          <w:sz w:val="28"/>
          <w:szCs w:val="24"/>
          <w:lang w:eastAsia="ru-RU"/>
        </w:rPr>
        <w:t> </w:t>
      </w:r>
      <w:r w:rsidRPr="009B7A35">
        <w:rPr>
          <w:rFonts w:ascii="Times New Roman" w:hAnsi="Times New Roman"/>
          <w:bCs/>
          <w:sz w:val="28"/>
          <w:szCs w:val="24"/>
          <w:lang w:eastAsia="ru-RU"/>
        </w:rPr>
        <w:t>региона</w:t>
      </w:r>
      <w:r>
        <w:rPr>
          <w:rFonts w:ascii="Times New Roman" w:hAnsi="Times New Roman"/>
          <w:bCs/>
          <w:sz w:val="28"/>
          <w:szCs w:val="24"/>
          <w:lang w:eastAsia="ru-RU"/>
        </w:rPr>
        <w:t xml:space="preserve"> в целом</w:t>
      </w:r>
      <w:r w:rsidRPr="009B7A35">
        <w:rPr>
          <w:rFonts w:ascii="Times New Roman" w:hAnsi="Times New Roman"/>
          <w:bCs/>
          <w:sz w:val="28"/>
          <w:szCs w:val="24"/>
          <w:lang w:eastAsia="ru-RU"/>
        </w:rPr>
        <w:t>.</w:t>
      </w:r>
      <w:r w:rsidRPr="000B5B75">
        <w:rPr>
          <w:rFonts w:ascii="Times New Roman" w:hAnsi="Times New Roman"/>
          <w:bCs/>
          <w:color w:val="000000"/>
          <w:sz w:val="28"/>
          <w:szCs w:val="24"/>
          <w:lang w:eastAsia="ru-RU"/>
        </w:rPr>
        <w:t xml:space="preserve"> </w:t>
      </w:r>
      <w:r w:rsidRPr="003A7901">
        <w:rPr>
          <w:rFonts w:ascii="Times New Roman" w:hAnsi="Times New Roman"/>
          <w:bCs/>
          <w:color w:val="000000"/>
          <w:sz w:val="28"/>
          <w:szCs w:val="24"/>
          <w:lang w:eastAsia="ru-RU"/>
        </w:rPr>
        <w:t>В</w:t>
      </w:r>
      <w:r>
        <w:rPr>
          <w:rFonts w:ascii="Times New Roman" w:hAnsi="Times New Roman"/>
          <w:bCs/>
          <w:color w:val="000000"/>
          <w:sz w:val="28"/>
          <w:szCs w:val="24"/>
          <w:lang w:eastAsia="ru-RU"/>
        </w:rPr>
        <w:t> </w:t>
      </w:r>
      <w:r w:rsidRPr="003A7901">
        <w:rPr>
          <w:rFonts w:ascii="Times New Roman" w:hAnsi="Times New Roman"/>
          <w:bCs/>
          <w:color w:val="000000"/>
          <w:sz w:val="28"/>
          <w:szCs w:val="24"/>
          <w:lang w:eastAsia="ru-RU"/>
        </w:rPr>
        <w:t>условиях рыночных отношений, при организации системной сети обслуживания населения учитываются следующие принципы:</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 xml:space="preserve">соответствие параметров сети обслуживания </w:t>
      </w:r>
      <w:r>
        <w:rPr>
          <w:rFonts w:ascii="Times New Roman" w:hAnsi="Times New Roman"/>
          <w:sz w:val="28"/>
          <w:szCs w:val="24"/>
        </w:rPr>
        <w:t>–</w:t>
      </w:r>
      <w:r w:rsidRPr="003A7901">
        <w:rPr>
          <w:rFonts w:ascii="Times New Roman" w:hAnsi="Times New Roman"/>
          <w:sz w:val="28"/>
          <w:szCs w:val="24"/>
        </w:rPr>
        <w:t xml:space="preserve"> потребительской активности населения;</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в реальной посещаемости предприятий обслуживания;</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покупательского спроса;</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организация центров обслуживания населения на</w:t>
      </w:r>
      <w:r>
        <w:rPr>
          <w:rFonts w:ascii="Times New Roman" w:hAnsi="Times New Roman"/>
          <w:sz w:val="28"/>
          <w:szCs w:val="24"/>
        </w:rPr>
        <w:t> </w:t>
      </w:r>
      <w:r w:rsidRPr="003A7901">
        <w:rPr>
          <w:rFonts w:ascii="Times New Roman" w:hAnsi="Times New Roman"/>
          <w:sz w:val="28"/>
          <w:szCs w:val="24"/>
        </w:rPr>
        <w:t xml:space="preserve">наиболее оживлённых участках </w:t>
      </w:r>
      <w:r>
        <w:rPr>
          <w:rFonts w:ascii="Times New Roman" w:hAnsi="Times New Roman"/>
          <w:sz w:val="28"/>
          <w:szCs w:val="28"/>
          <w:lang w:eastAsia="ru-RU"/>
        </w:rPr>
        <w:t>села</w:t>
      </w:r>
      <w:r w:rsidRPr="003A7901">
        <w:rPr>
          <w:rFonts w:ascii="Times New Roman" w:hAnsi="Times New Roman"/>
          <w:sz w:val="28"/>
          <w:szCs w:val="24"/>
        </w:rPr>
        <w:t>.</w:t>
      </w:r>
    </w:p>
    <w:p w:rsidR="002D1E45" w:rsidRPr="009B7A35" w:rsidRDefault="002D1E45" w:rsidP="009B7A35">
      <w:pPr>
        <w:spacing w:after="0" w:line="240" w:lineRule="auto"/>
        <w:ind w:firstLine="709"/>
        <w:jc w:val="both"/>
        <w:rPr>
          <w:rFonts w:ascii="Times New Roman" w:hAnsi="Times New Roman"/>
          <w:bCs/>
          <w:sz w:val="28"/>
          <w:szCs w:val="24"/>
          <w:lang w:eastAsia="ru-RU"/>
        </w:rPr>
      </w:pPr>
      <w:r w:rsidRPr="009B7A35">
        <w:rPr>
          <w:rFonts w:ascii="Times New Roman" w:hAnsi="Times New Roman"/>
          <w:sz w:val="28"/>
          <w:szCs w:val="24"/>
          <w:lang w:eastAsia="ru-RU"/>
        </w:rPr>
        <w:t>Современная потребность и</w:t>
      </w:r>
      <w:r>
        <w:rPr>
          <w:rFonts w:ascii="Times New Roman" w:hAnsi="Times New Roman"/>
          <w:sz w:val="28"/>
          <w:szCs w:val="24"/>
          <w:lang w:eastAsia="ru-RU"/>
        </w:rPr>
        <w:t> </w:t>
      </w:r>
      <w:r w:rsidRPr="009B7A35">
        <w:rPr>
          <w:rFonts w:ascii="Times New Roman" w:hAnsi="Times New Roman"/>
          <w:sz w:val="28"/>
          <w:szCs w:val="24"/>
          <w:lang w:eastAsia="ru-RU"/>
        </w:rPr>
        <w:t>обеспеченность населения социально-значимыми объектами рассчитана по</w:t>
      </w:r>
      <w:r>
        <w:rPr>
          <w:rFonts w:ascii="Times New Roman" w:hAnsi="Times New Roman"/>
          <w:sz w:val="28"/>
          <w:szCs w:val="24"/>
          <w:lang w:eastAsia="ru-RU"/>
        </w:rPr>
        <w:t> </w:t>
      </w:r>
      <w:r w:rsidRPr="009B7A35">
        <w:rPr>
          <w:rFonts w:ascii="Times New Roman" w:hAnsi="Times New Roman"/>
          <w:sz w:val="28"/>
          <w:szCs w:val="24"/>
          <w:lang w:eastAsia="ru-RU"/>
        </w:rPr>
        <w:t>нормативам, представленным ниже в</w:t>
      </w:r>
      <w:r>
        <w:rPr>
          <w:rFonts w:ascii="Times New Roman" w:hAnsi="Times New Roman"/>
          <w:sz w:val="28"/>
          <w:szCs w:val="24"/>
          <w:lang w:eastAsia="ru-RU"/>
        </w:rPr>
        <w:t> </w:t>
      </w:r>
      <w:r w:rsidRPr="009B7A35">
        <w:rPr>
          <w:rFonts w:ascii="Times New Roman" w:hAnsi="Times New Roman"/>
          <w:sz w:val="28"/>
          <w:szCs w:val="24"/>
          <w:lang w:eastAsia="ru-RU"/>
        </w:rPr>
        <w:t xml:space="preserve">таблице </w:t>
      </w:r>
      <w:r w:rsidRPr="009B7A35">
        <w:rPr>
          <w:rFonts w:ascii="Times New Roman" w:hAnsi="Times New Roman"/>
          <w:sz w:val="28"/>
          <w:szCs w:val="24"/>
          <w:lang w:eastAsia="ru-RU"/>
        </w:rPr>
        <w:fldChar w:fldCharType="begin"/>
      </w:r>
      <w:r w:rsidRPr="009B7A35">
        <w:rPr>
          <w:rFonts w:ascii="Times New Roman" w:hAnsi="Times New Roman"/>
          <w:sz w:val="28"/>
          <w:szCs w:val="24"/>
          <w:lang w:eastAsia="ru-RU"/>
        </w:rPr>
        <w:instrText xml:space="preserve"> REF Tbl_Norm \h </w:instrText>
      </w:r>
      <w:r w:rsidRPr="009B7A35">
        <w:rPr>
          <w:rFonts w:ascii="Times New Roman" w:hAnsi="Times New Roman"/>
          <w:sz w:val="28"/>
          <w:szCs w:val="24"/>
          <w:lang w:eastAsia="ru-RU"/>
        </w:rPr>
      </w:r>
      <w:r w:rsidRPr="009B7A35">
        <w:rPr>
          <w:rFonts w:ascii="Times New Roman" w:hAnsi="Times New Roman"/>
          <w:sz w:val="28"/>
          <w:szCs w:val="24"/>
          <w:lang w:eastAsia="ru-RU"/>
        </w:rPr>
        <w:fldChar w:fldCharType="separate"/>
      </w:r>
      <w:r>
        <w:rPr>
          <w:rFonts w:ascii="Times New Roman" w:hAnsi="Times New Roman"/>
          <w:noProof/>
          <w:sz w:val="28"/>
          <w:szCs w:val="28"/>
        </w:rPr>
        <w:t>50</w:t>
      </w:r>
      <w:r w:rsidRPr="009B7A35">
        <w:rPr>
          <w:rFonts w:ascii="Times New Roman" w:hAnsi="Times New Roman"/>
          <w:sz w:val="28"/>
          <w:szCs w:val="24"/>
          <w:lang w:eastAsia="ru-RU"/>
        </w:rPr>
        <w:fldChar w:fldCharType="end"/>
      </w:r>
      <w:r w:rsidRPr="009B7A35">
        <w:rPr>
          <w:rFonts w:ascii="Times New Roman" w:hAnsi="Times New Roman"/>
          <w:sz w:val="28"/>
          <w:szCs w:val="24"/>
          <w:lang w:eastAsia="ru-RU"/>
        </w:rPr>
        <w:t>.</w:t>
      </w:r>
      <w:r w:rsidRPr="009B7A35">
        <w:rPr>
          <w:rFonts w:ascii="Times New Roman" w:hAnsi="Times New Roman"/>
          <w:bCs/>
          <w:color w:val="000000"/>
          <w:sz w:val="28"/>
          <w:szCs w:val="24"/>
          <w:lang w:eastAsia="ru-RU"/>
        </w:rPr>
        <w:t xml:space="preserve"> </w:t>
      </w:r>
    </w:p>
    <w:p w:rsidR="002D1E45" w:rsidRPr="009B7A35" w:rsidRDefault="002D1E45" w:rsidP="009B7A35">
      <w:pPr>
        <w:spacing w:after="0" w:line="240" w:lineRule="auto"/>
        <w:jc w:val="right"/>
        <w:rPr>
          <w:rFonts w:ascii="Times New Roman" w:hAnsi="Times New Roman"/>
          <w:sz w:val="28"/>
          <w:szCs w:val="28"/>
        </w:rPr>
      </w:pPr>
      <w:r w:rsidRPr="009B7A35">
        <w:rPr>
          <w:rFonts w:ascii="Times New Roman" w:hAnsi="Times New Roman"/>
          <w:sz w:val="28"/>
          <w:szCs w:val="28"/>
        </w:rPr>
        <w:t xml:space="preserve">Таблица </w:t>
      </w:r>
      <w:bookmarkStart w:id="249" w:name="Tbl_Norm"/>
      <w:r w:rsidRPr="009B7A35">
        <w:rPr>
          <w:rFonts w:ascii="Times New Roman" w:hAnsi="Times New Roman"/>
          <w:sz w:val="28"/>
          <w:szCs w:val="28"/>
        </w:rPr>
        <w:fldChar w:fldCharType="begin"/>
      </w:r>
      <w:r w:rsidRPr="009B7A35">
        <w:rPr>
          <w:rFonts w:ascii="Times New Roman" w:hAnsi="Times New Roman"/>
          <w:sz w:val="28"/>
          <w:szCs w:val="28"/>
        </w:rPr>
        <w:instrText xml:space="preserve"> SEQ Таблица \* ARABIC </w:instrText>
      </w:r>
      <w:r w:rsidRPr="009B7A35">
        <w:rPr>
          <w:rFonts w:ascii="Times New Roman" w:hAnsi="Times New Roman"/>
          <w:sz w:val="28"/>
          <w:szCs w:val="28"/>
        </w:rPr>
        <w:fldChar w:fldCharType="separate"/>
      </w:r>
      <w:r>
        <w:rPr>
          <w:rFonts w:ascii="Times New Roman" w:hAnsi="Times New Roman"/>
          <w:noProof/>
          <w:sz w:val="28"/>
          <w:szCs w:val="28"/>
        </w:rPr>
        <w:t>50</w:t>
      </w:r>
      <w:r w:rsidRPr="009B7A35">
        <w:rPr>
          <w:rFonts w:ascii="Times New Roman" w:hAnsi="Times New Roman"/>
          <w:sz w:val="28"/>
          <w:szCs w:val="28"/>
        </w:rPr>
        <w:fldChar w:fldCharType="end"/>
      </w:r>
      <w:bookmarkEnd w:id="249"/>
    </w:p>
    <w:p w:rsidR="002D1E45" w:rsidRPr="009B7A35" w:rsidRDefault="002D1E45" w:rsidP="009B7A35">
      <w:pPr>
        <w:spacing w:after="120" w:line="240" w:lineRule="auto"/>
        <w:jc w:val="center"/>
        <w:rPr>
          <w:rFonts w:ascii="Times New Roman" w:hAnsi="Times New Roman"/>
          <w:sz w:val="28"/>
          <w:szCs w:val="24"/>
          <w:lang w:eastAsia="ru-RU"/>
        </w:rPr>
      </w:pPr>
      <w:r w:rsidRPr="009B7A35">
        <w:rPr>
          <w:rFonts w:ascii="Times New Roman" w:hAnsi="Times New Roman"/>
          <w:sz w:val="28"/>
          <w:szCs w:val="24"/>
          <w:lang w:eastAsia="ru-RU"/>
        </w:rPr>
        <w:t>Нормы расчёта социально-значимых объектов на</w:t>
      </w:r>
      <w:r>
        <w:rPr>
          <w:rFonts w:ascii="Times New Roman" w:hAnsi="Times New Roman"/>
          <w:sz w:val="28"/>
          <w:szCs w:val="24"/>
          <w:lang w:eastAsia="ru-RU"/>
        </w:rPr>
        <w:t> </w:t>
      </w:r>
      <w:r w:rsidRPr="009B7A35">
        <w:rPr>
          <w:rFonts w:ascii="Times New Roman" w:hAnsi="Times New Roman"/>
          <w:sz w:val="28"/>
          <w:szCs w:val="24"/>
          <w:lang w:eastAsia="ru-RU"/>
        </w:rPr>
        <w:t xml:space="preserve">территории </w:t>
      </w:r>
      <w:r>
        <w:rPr>
          <w:rFonts w:ascii="Times New Roman" w:hAnsi="Times New Roman"/>
          <w:sz w:val="28"/>
          <w:szCs w:val="24"/>
        </w:rPr>
        <w:t>города Куйбышева</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638"/>
        <w:gridCol w:w="4728"/>
        <w:gridCol w:w="2694"/>
      </w:tblGrid>
      <w:tr w:rsidR="002D1E45" w:rsidRPr="009B7A35" w:rsidTr="007A0493">
        <w:trPr>
          <w:trHeight w:val="283"/>
          <w:tblHeader/>
          <w:jc w:val="center"/>
        </w:trPr>
        <w:tc>
          <w:tcPr>
            <w:tcW w:w="2638" w:type="dxa"/>
          </w:tcPr>
          <w:p w:rsidR="002D1E45" w:rsidRPr="007A0493" w:rsidRDefault="002D1E45" w:rsidP="007A0493">
            <w:pPr>
              <w:widowControl w:val="0"/>
              <w:spacing w:after="0" w:line="240" w:lineRule="auto"/>
              <w:ind w:left="578" w:right="213"/>
              <w:rPr>
                <w:rFonts w:ascii="Times New Roman" w:hAnsi="Times New Roman"/>
              </w:rPr>
            </w:pPr>
            <w:r w:rsidRPr="007A0493">
              <w:rPr>
                <w:rFonts w:ascii="Times New Roman" w:hAnsi="Times New Roman"/>
              </w:rPr>
              <w:t>Наименование</w:t>
            </w:r>
          </w:p>
        </w:tc>
        <w:tc>
          <w:tcPr>
            <w:tcW w:w="4728" w:type="dxa"/>
          </w:tcPr>
          <w:p w:rsidR="002D1E45" w:rsidRPr="007A0493" w:rsidRDefault="002D1E45" w:rsidP="007A0493">
            <w:pPr>
              <w:widowControl w:val="0"/>
              <w:spacing w:after="0" w:line="240" w:lineRule="auto"/>
              <w:ind w:left="448" w:right="91"/>
              <w:rPr>
                <w:rFonts w:ascii="Times New Roman" w:hAnsi="Times New Roman"/>
              </w:rPr>
            </w:pPr>
            <w:r w:rsidRPr="007A0493">
              <w:rPr>
                <w:rFonts w:ascii="Times New Roman" w:hAnsi="Times New Roman"/>
              </w:rPr>
              <w:t>Рекомендуемая обеспеченность</w:t>
            </w:r>
          </w:p>
        </w:tc>
        <w:tc>
          <w:tcPr>
            <w:tcW w:w="2694" w:type="dxa"/>
          </w:tcPr>
          <w:p w:rsidR="002D1E45" w:rsidRPr="007A0493" w:rsidRDefault="002D1E45" w:rsidP="007A0493">
            <w:pPr>
              <w:widowControl w:val="0"/>
              <w:spacing w:after="0" w:line="240" w:lineRule="auto"/>
              <w:ind w:left="801"/>
              <w:rPr>
                <w:rFonts w:ascii="Times New Roman" w:hAnsi="Times New Roman"/>
              </w:rPr>
            </w:pPr>
            <w:r w:rsidRPr="007A0493">
              <w:rPr>
                <w:rFonts w:ascii="Times New Roman" w:hAnsi="Times New Roman"/>
              </w:rPr>
              <w:t>Источник</w:t>
            </w:r>
          </w:p>
        </w:tc>
      </w:tr>
      <w:tr w:rsidR="002D1E45" w:rsidRPr="009B7A35" w:rsidTr="007A0493">
        <w:trPr>
          <w:trHeight w:val="283"/>
          <w:jc w:val="center"/>
        </w:trPr>
        <w:tc>
          <w:tcPr>
            <w:tcW w:w="10060" w:type="dxa"/>
            <w:gridSpan w:val="3"/>
            <w:vAlign w:val="center"/>
          </w:tcPr>
          <w:p w:rsidR="002D1E45" w:rsidRPr="007A0493" w:rsidRDefault="002D1E45" w:rsidP="007A0493">
            <w:pPr>
              <w:widowControl w:val="0"/>
              <w:spacing w:after="0" w:line="240" w:lineRule="auto"/>
              <w:ind w:right="94"/>
              <w:jc w:val="center"/>
              <w:rPr>
                <w:rFonts w:ascii="Times New Roman" w:hAnsi="Times New Roman"/>
              </w:rPr>
            </w:pPr>
            <w:r w:rsidRPr="007A0493">
              <w:rPr>
                <w:rFonts w:ascii="Times New Roman" w:hAnsi="Times New Roman"/>
              </w:rPr>
              <w:t>Учреждения образования</w:t>
            </w:r>
          </w:p>
        </w:tc>
      </w:tr>
      <w:tr w:rsidR="002D1E45" w:rsidRPr="009B7A35" w:rsidTr="007A0493">
        <w:trPr>
          <w:trHeight w:val="283"/>
          <w:jc w:val="center"/>
        </w:trPr>
        <w:tc>
          <w:tcPr>
            <w:tcW w:w="2638" w:type="dxa"/>
            <w:vAlign w:val="center"/>
          </w:tcPr>
          <w:p w:rsidR="002D1E45" w:rsidRPr="007A0493" w:rsidRDefault="002D1E45" w:rsidP="007A0493">
            <w:pPr>
              <w:widowControl w:val="0"/>
              <w:spacing w:after="0" w:line="240" w:lineRule="auto"/>
              <w:ind w:left="103" w:right="213"/>
              <w:rPr>
                <w:rFonts w:ascii="Times New Roman" w:hAnsi="Times New Roman"/>
              </w:rPr>
            </w:pPr>
            <w:r w:rsidRPr="007A0493">
              <w:rPr>
                <w:rFonts w:ascii="Times New Roman" w:hAnsi="Times New Roman"/>
              </w:rPr>
              <w:t>Детские дошкольные учреждения</w:t>
            </w:r>
          </w:p>
        </w:tc>
        <w:tc>
          <w:tcPr>
            <w:tcW w:w="4728" w:type="dxa"/>
            <w:vAlign w:val="center"/>
          </w:tcPr>
          <w:p w:rsidR="002D1E45" w:rsidRPr="007A0493" w:rsidRDefault="002D1E45" w:rsidP="007A0493">
            <w:pPr>
              <w:widowControl w:val="0"/>
              <w:spacing w:after="0" w:line="240" w:lineRule="auto"/>
              <w:ind w:left="103" w:right="91"/>
              <w:rPr>
                <w:rFonts w:ascii="Times New Roman" w:hAnsi="Times New Roman"/>
              </w:rPr>
            </w:pPr>
            <w:r w:rsidRPr="007A0493">
              <w:rPr>
                <w:rFonts w:ascii="Times New Roman" w:hAnsi="Times New Roman"/>
              </w:rPr>
              <w:t>70 % охват от общего числа детей в возрасте от 1 до 7 лет;</w:t>
            </w:r>
          </w:p>
          <w:p w:rsidR="002D1E45" w:rsidRPr="007A0493" w:rsidRDefault="002D1E45" w:rsidP="007A0493">
            <w:pPr>
              <w:widowControl w:val="0"/>
              <w:spacing w:after="0" w:line="240" w:lineRule="auto"/>
              <w:ind w:left="103" w:right="91"/>
              <w:rPr>
                <w:rFonts w:ascii="Times New Roman" w:hAnsi="Times New Roman"/>
              </w:rPr>
            </w:pPr>
            <w:r w:rsidRPr="007A0493">
              <w:rPr>
                <w:rFonts w:ascii="Times New Roman" w:hAnsi="Times New Roman"/>
              </w:rPr>
              <w:t>35 мест на 1 тыс. человек общей численности населения</w:t>
            </w:r>
          </w:p>
        </w:tc>
        <w:tc>
          <w:tcPr>
            <w:tcW w:w="2694" w:type="dxa"/>
            <w:vMerge w:val="restart"/>
            <w:vAlign w:val="center"/>
          </w:tcPr>
          <w:p w:rsidR="002D1E45" w:rsidRPr="007A0493" w:rsidRDefault="002D1E45" w:rsidP="007A0493">
            <w:pPr>
              <w:widowControl w:val="0"/>
              <w:spacing w:after="0" w:line="240" w:lineRule="auto"/>
              <w:ind w:left="103"/>
              <w:rPr>
                <w:rFonts w:ascii="Times New Roman" w:hAnsi="Times New Roman"/>
              </w:rPr>
            </w:pPr>
            <w:r w:rsidRPr="007A0493">
              <w:rPr>
                <w:rFonts w:ascii="Times New Roman" w:hAnsi="Times New Roman"/>
              </w:rPr>
              <w:t>МНГП Куйбышевского района. Решение Совета депутатов Куйбышевского района Новосибирской области от 20.10.2016 № 7</w:t>
            </w:r>
          </w:p>
        </w:tc>
      </w:tr>
      <w:tr w:rsidR="002D1E45" w:rsidRPr="009B7A35" w:rsidTr="007A0493">
        <w:trPr>
          <w:trHeight w:val="283"/>
          <w:jc w:val="center"/>
        </w:trPr>
        <w:tc>
          <w:tcPr>
            <w:tcW w:w="2638" w:type="dxa"/>
            <w:vAlign w:val="center"/>
          </w:tcPr>
          <w:p w:rsidR="002D1E45" w:rsidRPr="007A0493" w:rsidRDefault="002D1E45" w:rsidP="007A0493">
            <w:pPr>
              <w:widowControl w:val="0"/>
              <w:spacing w:after="0" w:line="240" w:lineRule="auto"/>
              <w:ind w:left="103" w:right="213"/>
              <w:rPr>
                <w:rFonts w:ascii="Times New Roman" w:hAnsi="Times New Roman"/>
              </w:rPr>
            </w:pPr>
            <w:r w:rsidRPr="007A0493">
              <w:rPr>
                <w:rFonts w:ascii="Times New Roman" w:hAnsi="Times New Roman"/>
              </w:rPr>
              <w:t>Общеобразовательные школы</w:t>
            </w:r>
          </w:p>
        </w:tc>
        <w:tc>
          <w:tcPr>
            <w:tcW w:w="4728" w:type="dxa"/>
            <w:vAlign w:val="center"/>
          </w:tcPr>
          <w:p w:rsidR="002D1E45" w:rsidRPr="007A0493" w:rsidRDefault="002D1E45" w:rsidP="007A0493">
            <w:pPr>
              <w:widowControl w:val="0"/>
              <w:spacing w:after="0" w:line="240" w:lineRule="auto"/>
              <w:ind w:left="103" w:right="91"/>
              <w:jc w:val="both"/>
              <w:rPr>
                <w:rFonts w:ascii="Times New Roman" w:hAnsi="Times New Roman"/>
              </w:rPr>
            </w:pPr>
            <w:r w:rsidRPr="007A0493">
              <w:rPr>
                <w:rFonts w:ascii="Times New Roman" w:hAnsi="Times New Roman"/>
              </w:rPr>
              <w:t>100 % охват от общего числа детей в возрасте от 7 до 16 лет начальным и основным общим образованием, 90 % охват общего числа детей в возрасте от 16 до 18 лет средним общим образованием;</w:t>
            </w:r>
          </w:p>
          <w:p w:rsidR="002D1E45" w:rsidRPr="007A0493" w:rsidRDefault="002D1E45" w:rsidP="007A0493">
            <w:pPr>
              <w:widowControl w:val="0"/>
              <w:spacing w:after="0" w:line="240" w:lineRule="auto"/>
              <w:ind w:left="103" w:right="91"/>
              <w:jc w:val="both"/>
              <w:rPr>
                <w:rFonts w:ascii="Times New Roman" w:hAnsi="Times New Roman"/>
              </w:rPr>
            </w:pPr>
            <w:r w:rsidRPr="007A0493">
              <w:rPr>
                <w:rFonts w:ascii="Times New Roman" w:hAnsi="Times New Roman"/>
              </w:rPr>
              <w:t>100 учащихся на 1 тыс. человек общей численности населения</w:t>
            </w:r>
          </w:p>
        </w:tc>
        <w:tc>
          <w:tcPr>
            <w:tcW w:w="2694" w:type="dxa"/>
            <w:vMerge/>
            <w:vAlign w:val="center"/>
          </w:tcPr>
          <w:p w:rsidR="002D1E45" w:rsidRPr="007A0493" w:rsidRDefault="002D1E45" w:rsidP="007A0493">
            <w:pPr>
              <w:widowControl w:val="0"/>
              <w:spacing w:after="0" w:line="240" w:lineRule="auto"/>
              <w:rPr>
                <w:rFonts w:ascii="Times New Roman" w:hAnsi="Times New Roman"/>
              </w:rPr>
            </w:pPr>
          </w:p>
        </w:tc>
      </w:tr>
      <w:tr w:rsidR="002D1E45" w:rsidRPr="009B7A35" w:rsidTr="007A0493">
        <w:trPr>
          <w:trHeight w:val="283"/>
          <w:jc w:val="center"/>
        </w:trPr>
        <w:tc>
          <w:tcPr>
            <w:tcW w:w="2638" w:type="dxa"/>
            <w:vAlign w:val="center"/>
          </w:tcPr>
          <w:p w:rsidR="002D1E45" w:rsidRPr="007A0493" w:rsidRDefault="002D1E45" w:rsidP="007A0493">
            <w:pPr>
              <w:widowControl w:val="0"/>
              <w:spacing w:after="0" w:line="240" w:lineRule="auto"/>
              <w:ind w:left="103" w:right="441"/>
              <w:rPr>
                <w:rFonts w:ascii="Times New Roman" w:hAnsi="Times New Roman"/>
              </w:rPr>
            </w:pPr>
            <w:r w:rsidRPr="007A0493">
              <w:rPr>
                <w:rFonts w:ascii="Times New Roman" w:hAnsi="Times New Roman"/>
              </w:rPr>
              <w:t>Учреждения дополнительного образования детей</w:t>
            </w:r>
          </w:p>
        </w:tc>
        <w:tc>
          <w:tcPr>
            <w:tcW w:w="4728" w:type="dxa"/>
            <w:vAlign w:val="center"/>
          </w:tcPr>
          <w:p w:rsidR="002D1E45" w:rsidRPr="007A0493" w:rsidRDefault="002D1E45" w:rsidP="007A0493">
            <w:pPr>
              <w:widowControl w:val="0"/>
              <w:spacing w:after="0" w:line="240" w:lineRule="auto"/>
              <w:ind w:left="103" w:right="91"/>
              <w:jc w:val="both"/>
              <w:rPr>
                <w:rFonts w:ascii="Times New Roman" w:hAnsi="Times New Roman"/>
              </w:rPr>
            </w:pPr>
            <w:r w:rsidRPr="007A0493">
              <w:rPr>
                <w:rFonts w:ascii="Times New Roman" w:hAnsi="Times New Roman"/>
              </w:rPr>
              <w:t>80 % охват от общего числа детей в возрасте от 5 до 18 лет; Проектная мощность организаций дополнительного образования определяется согласно удельному нормативу 60 мест на 1 тыс. человек общей численности населения</w:t>
            </w:r>
          </w:p>
        </w:tc>
        <w:tc>
          <w:tcPr>
            <w:tcW w:w="2694" w:type="dxa"/>
            <w:vMerge/>
            <w:vAlign w:val="center"/>
          </w:tcPr>
          <w:p w:rsidR="002D1E45" w:rsidRPr="007A0493" w:rsidRDefault="002D1E45" w:rsidP="007A0493">
            <w:pPr>
              <w:widowControl w:val="0"/>
              <w:spacing w:after="0" w:line="240" w:lineRule="auto"/>
              <w:rPr>
                <w:rFonts w:ascii="Times New Roman" w:hAnsi="Times New Roman"/>
              </w:rPr>
            </w:pPr>
          </w:p>
        </w:tc>
      </w:tr>
      <w:tr w:rsidR="002D1E45" w:rsidRPr="009B7A35" w:rsidTr="007A0493">
        <w:trPr>
          <w:trHeight w:val="283"/>
          <w:jc w:val="center"/>
        </w:trPr>
        <w:tc>
          <w:tcPr>
            <w:tcW w:w="10060" w:type="dxa"/>
            <w:gridSpan w:val="3"/>
            <w:vAlign w:val="center"/>
          </w:tcPr>
          <w:p w:rsidR="002D1E45" w:rsidRPr="007A0493" w:rsidRDefault="002D1E45" w:rsidP="007A0493">
            <w:pPr>
              <w:widowControl w:val="0"/>
              <w:spacing w:after="0" w:line="240" w:lineRule="auto"/>
              <w:jc w:val="center"/>
              <w:rPr>
                <w:rFonts w:ascii="Times New Roman" w:hAnsi="Times New Roman"/>
              </w:rPr>
            </w:pPr>
            <w:r w:rsidRPr="007A0493">
              <w:rPr>
                <w:rFonts w:ascii="Times New Roman" w:hAnsi="Times New Roman"/>
              </w:rPr>
              <w:t>Учреждения здравоохранения</w:t>
            </w:r>
          </w:p>
        </w:tc>
      </w:tr>
      <w:tr w:rsidR="002D1E45" w:rsidRPr="009B7A35" w:rsidTr="007A0493">
        <w:trPr>
          <w:trHeight w:val="283"/>
          <w:jc w:val="center"/>
        </w:trPr>
        <w:tc>
          <w:tcPr>
            <w:tcW w:w="2638" w:type="dxa"/>
            <w:vAlign w:val="center"/>
          </w:tcPr>
          <w:p w:rsidR="002D1E45" w:rsidRPr="007A0493" w:rsidRDefault="002D1E45" w:rsidP="007A0493">
            <w:pPr>
              <w:widowControl w:val="0"/>
              <w:spacing w:after="0" w:line="240" w:lineRule="auto"/>
              <w:ind w:left="103" w:right="213"/>
              <w:rPr>
                <w:rFonts w:ascii="Times New Roman" w:hAnsi="Times New Roman"/>
              </w:rPr>
            </w:pPr>
            <w:r w:rsidRPr="007A0493">
              <w:rPr>
                <w:rFonts w:ascii="Times New Roman" w:hAnsi="Times New Roman"/>
              </w:rPr>
              <w:t>Поликлиники, амбулатории, диспансеры</w:t>
            </w:r>
          </w:p>
        </w:tc>
        <w:tc>
          <w:tcPr>
            <w:tcW w:w="4728" w:type="dxa"/>
            <w:vAlign w:val="center"/>
          </w:tcPr>
          <w:p w:rsidR="002D1E45" w:rsidRPr="007A0493" w:rsidRDefault="002D1E45" w:rsidP="007A0493">
            <w:pPr>
              <w:widowControl w:val="0"/>
              <w:spacing w:after="0" w:line="240" w:lineRule="auto"/>
              <w:ind w:left="103" w:right="91"/>
              <w:rPr>
                <w:rFonts w:ascii="Times New Roman" w:hAnsi="Times New Roman"/>
              </w:rPr>
            </w:pPr>
            <w:r w:rsidRPr="007A0493">
              <w:rPr>
                <w:rFonts w:ascii="Times New Roman" w:hAnsi="Times New Roman"/>
              </w:rPr>
              <w:t>181,5 посещений в смену на 10000 человек</w:t>
            </w:r>
          </w:p>
        </w:tc>
        <w:tc>
          <w:tcPr>
            <w:tcW w:w="2694" w:type="dxa"/>
            <w:vMerge w:val="restart"/>
            <w:vAlign w:val="center"/>
          </w:tcPr>
          <w:p w:rsidR="002D1E45" w:rsidRPr="007A0493" w:rsidRDefault="002D1E45" w:rsidP="007A0493">
            <w:pPr>
              <w:widowControl w:val="0"/>
              <w:spacing w:after="0" w:line="240" w:lineRule="auto"/>
              <w:ind w:left="103"/>
              <w:rPr>
                <w:rFonts w:ascii="Times New Roman" w:hAnsi="Times New Roman"/>
              </w:rPr>
            </w:pPr>
            <w:r w:rsidRPr="007A0493">
              <w:rPr>
                <w:rFonts w:ascii="Times New Roman" w:hAnsi="Times New Roman"/>
              </w:rPr>
              <w:t>РНГП Новосибирской области. Постановление Правительства Новосибирской области от 12.08.2015 № 303-п</w:t>
            </w:r>
          </w:p>
        </w:tc>
      </w:tr>
      <w:tr w:rsidR="002D1E45" w:rsidRPr="009B7A35" w:rsidTr="007A0493">
        <w:trPr>
          <w:trHeight w:val="283"/>
          <w:jc w:val="center"/>
        </w:trPr>
        <w:tc>
          <w:tcPr>
            <w:tcW w:w="2638" w:type="dxa"/>
            <w:vAlign w:val="center"/>
          </w:tcPr>
          <w:p w:rsidR="002D1E45" w:rsidRPr="007A0493" w:rsidRDefault="002D1E45" w:rsidP="007A0493">
            <w:pPr>
              <w:widowControl w:val="0"/>
              <w:spacing w:after="0" w:line="240" w:lineRule="auto"/>
              <w:ind w:left="103" w:right="213"/>
              <w:rPr>
                <w:rFonts w:ascii="Times New Roman" w:hAnsi="Times New Roman"/>
              </w:rPr>
            </w:pPr>
            <w:r w:rsidRPr="007A0493">
              <w:rPr>
                <w:rFonts w:ascii="Times New Roman" w:hAnsi="Times New Roman"/>
              </w:rPr>
              <w:t>Стационары всех типов</w:t>
            </w:r>
          </w:p>
        </w:tc>
        <w:tc>
          <w:tcPr>
            <w:tcW w:w="4728" w:type="dxa"/>
            <w:tcBorders>
              <w:bottom w:val="single" w:sz="4" w:space="0" w:color="auto"/>
            </w:tcBorders>
            <w:vAlign w:val="center"/>
          </w:tcPr>
          <w:p w:rsidR="002D1E45" w:rsidRPr="007A0493" w:rsidRDefault="002D1E45" w:rsidP="007A0493">
            <w:pPr>
              <w:widowControl w:val="0"/>
              <w:spacing w:after="0" w:line="240" w:lineRule="auto"/>
              <w:ind w:left="103" w:right="91"/>
              <w:rPr>
                <w:rFonts w:ascii="Times New Roman" w:hAnsi="Times New Roman"/>
              </w:rPr>
            </w:pPr>
            <w:r w:rsidRPr="007A0493">
              <w:rPr>
                <w:rFonts w:ascii="Times New Roman" w:hAnsi="Times New Roman"/>
              </w:rPr>
              <w:t>134,7 коек на 10000 человек</w:t>
            </w:r>
          </w:p>
        </w:tc>
        <w:tc>
          <w:tcPr>
            <w:tcW w:w="2694" w:type="dxa"/>
            <w:vMerge/>
            <w:vAlign w:val="center"/>
          </w:tcPr>
          <w:p w:rsidR="002D1E45" w:rsidRPr="007A0493" w:rsidRDefault="002D1E45" w:rsidP="007A0493">
            <w:pPr>
              <w:widowControl w:val="0"/>
              <w:spacing w:after="0" w:line="240" w:lineRule="auto"/>
              <w:ind w:left="103"/>
              <w:rPr>
                <w:rFonts w:ascii="Times New Roman" w:hAnsi="Times New Roman"/>
              </w:rPr>
            </w:pPr>
          </w:p>
        </w:tc>
      </w:tr>
      <w:tr w:rsidR="002D1E45" w:rsidRPr="009B7A35" w:rsidTr="007A0493">
        <w:trPr>
          <w:trHeight w:val="283"/>
          <w:jc w:val="center"/>
        </w:trPr>
        <w:tc>
          <w:tcPr>
            <w:tcW w:w="2638" w:type="dxa"/>
            <w:tcBorders>
              <w:bottom w:val="single" w:sz="4" w:space="0" w:color="auto"/>
            </w:tcBorders>
            <w:vAlign w:val="center"/>
          </w:tcPr>
          <w:p w:rsidR="002D1E45" w:rsidRPr="007A0493" w:rsidRDefault="002D1E45" w:rsidP="007A0493">
            <w:pPr>
              <w:widowControl w:val="0"/>
              <w:spacing w:after="0" w:line="240" w:lineRule="auto"/>
              <w:ind w:left="103" w:right="213"/>
              <w:rPr>
                <w:rFonts w:ascii="Times New Roman" w:hAnsi="Times New Roman"/>
              </w:rPr>
            </w:pPr>
            <w:r w:rsidRPr="007A0493">
              <w:rPr>
                <w:rFonts w:ascii="Times New Roman" w:hAnsi="Times New Roman"/>
              </w:rPr>
              <w:t>Аптеки</w:t>
            </w:r>
          </w:p>
        </w:tc>
        <w:tc>
          <w:tcPr>
            <w:tcW w:w="4728" w:type="dxa"/>
            <w:tcBorders>
              <w:top w:val="single" w:sz="4" w:space="0" w:color="auto"/>
              <w:bottom w:val="single" w:sz="4" w:space="0" w:color="auto"/>
            </w:tcBorders>
            <w:vAlign w:val="center"/>
          </w:tcPr>
          <w:p w:rsidR="002D1E45" w:rsidRPr="007A0493" w:rsidRDefault="002D1E45" w:rsidP="007A0493">
            <w:pPr>
              <w:widowControl w:val="0"/>
              <w:spacing w:after="0" w:line="240" w:lineRule="auto"/>
              <w:ind w:left="103" w:right="91"/>
              <w:rPr>
                <w:rFonts w:ascii="Times New Roman" w:hAnsi="Times New Roman"/>
              </w:rPr>
            </w:pPr>
            <w:r w:rsidRPr="007A0493">
              <w:rPr>
                <w:rFonts w:ascii="Times New Roman" w:hAnsi="Times New Roman"/>
              </w:rPr>
              <w:t>городские населённые пункты:</w:t>
            </w:r>
          </w:p>
          <w:p w:rsidR="002D1E45" w:rsidRPr="007A0493" w:rsidRDefault="002D1E45" w:rsidP="007A0493">
            <w:pPr>
              <w:widowControl w:val="0"/>
              <w:spacing w:after="0" w:line="240" w:lineRule="auto"/>
              <w:ind w:left="103" w:right="91"/>
              <w:rPr>
                <w:rFonts w:ascii="Times New Roman" w:hAnsi="Times New Roman"/>
              </w:rPr>
            </w:pPr>
            <w:r w:rsidRPr="007A0493">
              <w:rPr>
                <w:rFonts w:ascii="Times New Roman" w:hAnsi="Times New Roman"/>
              </w:rPr>
              <w:t>до 50 тыс. человек – 1 объект на 10 тыс. человек</w:t>
            </w:r>
          </w:p>
        </w:tc>
        <w:tc>
          <w:tcPr>
            <w:tcW w:w="2694" w:type="dxa"/>
            <w:vMerge/>
            <w:vAlign w:val="center"/>
          </w:tcPr>
          <w:p w:rsidR="002D1E45" w:rsidRPr="007A0493" w:rsidRDefault="002D1E45" w:rsidP="007A0493">
            <w:pPr>
              <w:widowControl w:val="0"/>
              <w:spacing w:after="0" w:line="240" w:lineRule="auto"/>
              <w:ind w:left="103"/>
              <w:rPr>
                <w:rFonts w:ascii="Times New Roman" w:hAnsi="Times New Roman"/>
              </w:rPr>
            </w:pPr>
          </w:p>
        </w:tc>
      </w:tr>
      <w:tr w:rsidR="002D1E45" w:rsidRPr="009B7A35" w:rsidTr="007A0493">
        <w:trPr>
          <w:trHeight w:val="283"/>
          <w:jc w:val="center"/>
        </w:trPr>
        <w:tc>
          <w:tcPr>
            <w:tcW w:w="2638" w:type="dxa"/>
            <w:vAlign w:val="center"/>
          </w:tcPr>
          <w:p w:rsidR="002D1E45" w:rsidRPr="007A0493" w:rsidRDefault="002D1E45" w:rsidP="007A0493">
            <w:pPr>
              <w:widowControl w:val="0"/>
              <w:spacing w:after="0" w:line="240" w:lineRule="auto"/>
              <w:ind w:left="103" w:right="213"/>
              <w:rPr>
                <w:rFonts w:ascii="Times New Roman" w:hAnsi="Times New Roman"/>
              </w:rPr>
            </w:pPr>
            <w:r w:rsidRPr="007A0493">
              <w:rPr>
                <w:rFonts w:ascii="Times New Roman" w:hAnsi="Times New Roman"/>
              </w:rPr>
              <w:t>Станция (выдвижной пункт) скорой медицинской помощи</w:t>
            </w:r>
          </w:p>
        </w:tc>
        <w:tc>
          <w:tcPr>
            <w:tcW w:w="4728" w:type="dxa"/>
            <w:tcBorders>
              <w:top w:val="single" w:sz="4" w:space="0" w:color="auto"/>
              <w:bottom w:val="single" w:sz="4" w:space="0" w:color="auto"/>
            </w:tcBorders>
            <w:vAlign w:val="center"/>
          </w:tcPr>
          <w:p w:rsidR="002D1E45" w:rsidRPr="007A0493" w:rsidRDefault="002D1E45" w:rsidP="007A0493">
            <w:pPr>
              <w:widowControl w:val="0"/>
              <w:spacing w:after="0" w:line="240" w:lineRule="auto"/>
              <w:ind w:left="103" w:right="91"/>
              <w:rPr>
                <w:rFonts w:ascii="Times New Roman" w:hAnsi="Times New Roman"/>
              </w:rPr>
            </w:pPr>
            <w:r w:rsidRPr="007A0493">
              <w:rPr>
                <w:rFonts w:ascii="Times New Roman" w:hAnsi="Times New Roman"/>
              </w:rPr>
              <w:t>1 автомобиль на 10000 человек</w:t>
            </w:r>
          </w:p>
        </w:tc>
        <w:tc>
          <w:tcPr>
            <w:tcW w:w="2694" w:type="dxa"/>
            <w:vMerge/>
            <w:tcBorders>
              <w:bottom w:val="single" w:sz="4" w:space="0" w:color="auto"/>
            </w:tcBorders>
            <w:vAlign w:val="center"/>
          </w:tcPr>
          <w:p w:rsidR="002D1E45" w:rsidRPr="007A0493" w:rsidRDefault="002D1E45" w:rsidP="007A0493">
            <w:pPr>
              <w:widowControl w:val="0"/>
              <w:spacing w:after="0" w:line="240" w:lineRule="auto"/>
              <w:ind w:left="103"/>
              <w:rPr>
                <w:rFonts w:ascii="Times New Roman" w:hAnsi="Times New Roman"/>
              </w:rPr>
            </w:pPr>
          </w:p>
        </w:tc>
      </w:tr>
      <w:tr w:rsidR="002D1E45" w:rsidRPr="009B7A35" w:rsidTr="007A0493">
        <w:trPr>
          <w:trHeight w:val="283"/>
          <w:jc w:val="center"/>
        </w:trPr>
        <w:tc>
          <w:tcPr>
            <w:tcW w:w="10060" w:type="dxa"/>
            <w:gridSpan w:val="3"/>
            <w:vAlign w:val="center"/>
          </w:tcPr>
          <w:p w:rsidR="002D1E45" w:rsidRPr="007A0493" w:rsidRDefault="002D1E45" w:rsidP="007A0493">
            <w:pPr>
              <w:widowControl w:val="0"/>
              <w:spacing w:after="0" w:line="240" w:lineRule="auto"/>
              <w:jc w:val="center"/>
              <w:rPr>
                <w:rFonts w:ascii="Times New Roman" w:hAnsi="Times New Roman"/>
              </w:rPr>
            </w:pPr>
            <w:r w:rsidRPr="007A0493">
              <w:rPr>
                <w:rFonts w:ascii="Times New Roman" w:hAnsi="Times New Roman"/>
              </w:rPr>
              <w:t>Физкультурно-спортивные сооружения</w:t>
            </w:r>
          </w:p>
        </w:tc>
      </w:tr>
      <w:tr w:rsidR="002D1E45" w:rsidRPr="009B7A35" w:rsidTr="007A0493">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tcPr>
          <w:p w:rsidR="002D1E45" w:rsidRPr="007A0493" w:rsidRDefault="002D1E45" w:rsidP="007A0493">
            <w:pPr>
              <w:widowControl w:val="0"/>
              <w:spacing w:after="0" w:line="240" w:lineRule="auto"/>
              <w:ind w:left="103"/>
              <w:rPr>
                <w:rFonts w:ascii="Times New Roman" w:hAnsi="Times New Roman"/>
              </w:rPr>
            </w:pPr>
            <w:r w:rsidRPr="007A0493">
              <w:rPr>
                <w:rFonts w:ascii="Times New Roman" w:hAnsi="Times New Roman"/>
              </w:rPr>
              <w:t>Спортивные залы общего пользования</w:t>
            </w:r>
          </w:p>
        </w:tc>
        <w:tc>
          <w:tcPr>
            <w:tcW w:w="4728" w:type="dxa"/>
            <w:tcBorders>
              <w:top w:val="single" w:sz="4" w:space="0" w:color="auto"/>
              <w:left w:val="single" w:sz="4" w:space="0" w:color="auto"/>
              <w:bottom w:val="single" w:sz="4" w:space="0" w:color="auto"/>
              <w:right w:val="single" w:sz="4" w:space="0" w:color="auto"/>
            </w:tcBorders>
            <w:vAlign w:val="center"/>
          </w:tcPr>
          <w:p w:rsidR="002D1E45" w:rsidRPr="007A0493" w:rsidRDefault="002D1E45" w:rsidP="007A0493">
            <w:pPr>
              <w:widowControl w:val="0"/>
              <w:spacing w:after="0" w:line="240" w:lineRule="auto"/>
              <w:ind w:left="103" w:right="91"/>
              <w:rPr>
                <w:rFonts w:ascii="Times New Roman" w:hAnsi="Times New Roman"/>
              </w:rPr>
            </w:pPr>
            <w:r w:rsidRPr="007A0493">
              <w:rPr>
                <w:rFonts w:ascii="Times New Roman" w:hAnsi="Times New Roman"/>
              </w:rPr>
              <w:t>350 м</w:t>
            </w:r>
            <w:r w:rsidRPr="007A0493">
              <w:rPr>
                <w:rFonts w:ascii="Times New Roman" w:hAnsi="Times New Roman"/>
                <w:vertAlign w:val="superscript"/>
              </w:rPr>
              <w:t>2</w:t>
            </w:r>
            <w:r w:rsidRPr="007A0493">
              <w:rPr>
                <w:rFonts w:ascii="Times New Roman" w:hAnsi="Times New Roman"/>
                <w:position w:val="6"/>
              </w:rPr>
              <w:t xml:space="preserve"> </w:t>
            </w:r>
            <w:r w:rsidRPr="007A0493">
              <w:rPr>
                <w:rFonts w:ascii="Times New Roman" w:hAnsi="Times New Roman"/>
              </w:rPr>
              <w:t>общей площади на 1000 человек</w:t>
            </w:r>
          </w:p>
        </w:tc>
        <w:tc>
          <w:tcPr>
            <w:tcW w:w="2694" w:type="dxa"/>
            <w:vMerge w:val="restart"/>
            <w:tcBorders>
              <w:top w:val="single" w:sz="4" w:space="0" w:color="auto"/>
              <w:left w:val="single" w:sz="4" w:space="0" w:color="auto"/>
              <w:right w:val="single" w:sz="4" w:space="0" w:color="auto"/>
            </w:tcBorders>
            <w:vAlign w:val="center"/>
          </w:tcPr>
          <w:p w:rsidR="002D1E45" w:rsidRPr="007A0493" w:rsidRDefault="002D1E45" w:rsidP="007A0493">
            <w:pPr>
              <w:widowControl w:val="0"/>
              <w:spacing w:after="0" w:line="240" w:lineRule="auto"/>
              <w:ind w:left="103"/>
              <w:rPr>
                <w:rFonts w:ascii="Times New Roman" w:hAnsi="Times New Roman"/>
              </w:rPr>
            </w:pPr>
            <w:r w:rsidRPr="007A0493">
              <w:rPr>
                <w:rFonts w:ascii="Times New Roman" w:hAnsi="Times New Roman"/>
              </w:rPr>
              <w:t>МНГП г. Куйбышева. Решение Совета депутатов города Куйбышева Куйбышевского района Новосибирской области от 20.02.2017 № 79</w:t>
            </w:r>
          </w:p>
        </w:tc>
      </w:tr>
      <w:tr w:rsidR="002D1E45" w:rsidRPr="009B7A35" w:rsidTr="007A0493">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tcPr>
          <w:p w:rsidR="002D1E45" w:rsidRPr="007A0493" w:rsidRDefault="002D1E45" w:rsidP="007A0493">
            <w:pPr>
              <w:widowControl w:val="0"/>
              <w:spacing w:after="0" w:line="240" w:lineRule="auto"/>
              <w:ind w:left="103"/>
              <w:rPr>
                <w:rFonts w:ascii="Times New Roman" w:hAnsi="Times New Roman"/>
              </w:rPr>
            </w:pPr>
            <w:r w:rsidRPr="007A0493">
              <w:rPr>
                <w:rFonts w:ascii="Times New Roman" w:hAnsi="Times New Roman"/>
              </w:rPr>
              <w:t>Территория (плоскостные спортивные сооружения)</w:t>
            </w:r>
          </w:p>
        </w:tc>
        <w:tc>
          <w:tcPr>
            <w:tcW w:w="4728" w:type="dxa"/>
            <w:tcBorders>
              <w:top w:val="single" w:sz="4" w:space="0" w:color="auto"/>
              <w:left w:val="single" w:sz="4" w:space="0" w:color="auto"/>
              <w:bottom w:val="single" w:sz="4" w:space="0" w:color="auto"/>
              <w:right w:val="single" w:sz="4" w:space="0" w:color="auto"/>
            </w:tcBorders>
            <w:vAlign w:val="center"/>
          </w:tcPr>
          <w:p w:rsidR="002D1E45" w:rsidRPr="007A0493" w:rsidRDefault="002D1E45" w:rsidP="007A0493">
            <w:pPr>
              <w:widowControl w:val="0"/>
              <w:spacing w:after="0" w:line="240" w:lineRule="auto"/>
              <w:ind w:left="103" w:right="91"/>
              <w:rPr>
                <w:rFonts w:ascii="Times New Roman" w:hAnsi="Times New Roman"/>
              </w:rPr>
            </w:pPr>
            <w:r w:rsidRPr="007A0493">
              <w:rPr>
                <w:rFonts w:ascii="Times New Roman" w:hAnsi="Times New Roman"/>
              </w:rPr>
              <w:t>1950 м</w:t>
            </w:r>
            <w:r w:rsidRPr="007A0493">
              <w:rPr>
                <w:rFonts w:ascii="Times New Roman" w:hAnsi="Times New Roman"/>
                <w:vertAlign w:val="superscript"/>
              </w:rPr>
              <w:t>2</w:t>
            </w:r>
            <w:r w:rsidRPr="007A0493">
              <w:rPr>
                <w:rFonts w:ascii="Times New Roman" w:hAnsi="Times New Roman"/>
                <w:position w:val="6"/>
              </w:rPr>
              <w:t xml:space="preserve"> </w:t>
            </w:r>
            <w:r w:rsidRPr="007A0493">
              <w:rPr>
                <w:rFonts w:ascii="Times New Roman" w:hAnsi="Times New Roman"/>
              </w:rPr>
              <w:t>общей площади на 1000 человек</w:t>
            </w:r>
          </w:p>
        </w:tc>
        <w:tc>
          <w:tcPr>
            <w:tcW w:w="2694" w:type="dxa"/>
            <w:vMerge/>
            <w:tcBorders>
              <w:left w:val="single" w:sz="4" w:space="0" w:color="auto"/>
              <w:bottom w:val="single" w:sz="4" w:space="0" w:color="auto"/>
              <w:right w:val="single" w:sz="4" w:space="0" w:color="auto"/>
            </w:tcBorders>
            <w:vAlign w:val="center"/>
          </w:tcPr>
          <w:p w:rsidR="002D1E45" w:rsidRPr="007A0493" w:rsidRDefault="002D1E45" w:rsidP="007A0493">
            <w:pPr>
              <w:widowControl w:val="0"/>
              <w:spacing w:after="0" w:line="240" w:lineRule="auto"/>
              <w:rPr>
                <w:rFonts w:ascii="Times New Roman" w:hAnsi="Times New Roman"/>
              </w:rPr>
            </w:pPr>
          </w:p>
        </w:tc>
      </w:tr>
      <w:tr w:rsidR="002D1E45" w:rsidRPr="009B7A35" w:rsidTr="007A0493">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tcPr>
          <w:p w:rsidR="002D1E45" w:rsidRPr="007A0493" w:rsidRDefault="002D1E45" w:rsidP="007A0493">
            <w:pPr>
              <w:widowControl w:val="0"/>
              <w:spacing w:after="0" w:line="240" w:lineRule="auto"/>
              <w:ind w:left="103"/>
              <w:rPr>
                <w:rFonts w:ascii="Times New Roman" w:hAnsi="Times New Roman"/>
              </w:rPr>
            </w:pPr>
            <w:r w:rsidRPr="007A0493">
              <w:rPr>
                <w:rFonts w:ascii="Times New Roman" w:hAnsi="Times New Roman"/>
              </w:rPr>
              <w:t>Бассейн (открытый и закрытый общего пользования)</w:t>
            </w:r>
          </w:p>
        </w:tc>
        <w:tc>
          <w:tcPr>
            <w:tcW w:w="4728" w:type="dxa"/>
            <w:tcBorders>
              <w:top w:val="single" w:sz="4" w:space="0" w:color="auto"/>
              <w:left w:val="single" w:sz="4" w:space="0" w:color="auto"/>
              <w:bottom w:val="single" w:sz="4" w:space="0" w:color="auto"/>
              <w:right w:val="single" w:sz="4" w:space="0" w:color="auto"/>
            </w:tcBorders>
            <w:vAlign w:val="center"/>
          </w:tcPr>
          <w:p w:rsidR="002D1E45" w:rsidRPr="007A0493" w:rsidRDefault="002D1E45" w:rsidP="007A0493">
            <w:pPr>
              <w:widowControl w:val="0"/>
              <w:spacing w:after="0" w:line="240" w:lineRule="auto"/>
              <w:ind w:left="103" w:right="91"/>
              <w:rPr>
                <w:rFonts w:ascii="Times New Roman" w:hAnsi="Times New Roman"/>
              </w:rPr>
            </w:pPr>
            <w:r w:rsidRPr="007A0493">
              <w:rPr>
                <w:rFonts w:ascii="Times New Roman" w:hAnsi="Times New Roman"/>
              </w:rPr>
              <w:t>20 м</w:t>
            </w:r>
            <w:r w:rsidRPr="007A0493">
              <w:rPr>
                <w:rFonts w:ascii="Times New Roman" w:hAnsi="Times New Roman"/>
                <w:vertAlign w:val="superscript"/>
              </w:rPr>
              <w:t>2</w:t>
            </w:r>
            <w:r w:rsidRPr="007A0493">
              <w:rPr>
                <w:rFonts w:ascii="Times New Roman" w:hAnsi="Times New Roman"/>
              </w:rPr>
              <w:t xml:space="preserve"> зеркала воды на 1000 человек</w:t>
            </w:r>
          </w:p>
        </w:tc>
        <w:tc>
          <w:tcPr>
            <w:tcW w:w="2694" w:type="dxa"/>
            <w:tcBorders>
              <w:top w:val="single" w:sz="4" w:space="0" w:color="auto"/>
              <w:left w:val="single" w:sz="4" w:space="0" w:color="auto"/>
              <w:bottom w:val="single" w:sz="4" w:space="0" w:color="auto"/>
              <w:right w:val="single" w:sz="4" w:space="0" w:color="auto"/>
            </w:tcBorders>
            <w:vAlign w:val="center"/>
          </w:tcPr>
          <w:p w:rsidR="002D1E45" w:rsidRPr="007A0493" w:rsidRDefault="002D1E45" w:rsidP="007A0493">
            <w:pPr>
              <w:widowControl w:val="0"/>
              <w:spacing w:after="0" w:line="240" w:lineRule="auto"/>
              <w:ind w:left="103"/>
              <w:rPr>
                <w:rFonts w:ascii="Times New Roman" w:hAnsi="Times New Roman"/>
              </w:rPr>
            </w:pPr>
            <w:r w:rsidRPr="007A0493">
              <w:rPr>
                <w:rFonts w:ascii="Times New Roman" w:hAnsi="Times New Roman"/>
              </w:rPr>
              <w:t>СП 42.13330.2016 «Градостроительство. Планировка и застройка городских и сельских поселений». Актуализированная редакция СНиП 2.07.01-89*</w:t>
            </w:r>
          </w:p>
        </w:tc>
      </w:tr>
      <w:tr w:rsidR="002D1E45" w:rsidRPr="009B7A35" w:rsidTr="007A0493">
        <w:trPr>
          <w:trHeight w:val="283"/>
          <w:jc w:val="center"/>
        </w:trPr>
        <w:tc>
          <w:tcPr>
            <w:tcW w:w="10060" w:type="dxa"/>
            <w:gridSpan w:val="3"/>
            <w:tcBorders>
              <w:top w:val="single" w:sz="4" w:space="0" w:color="auto"/>
              <w:left w:val="single" w:sz="4" w:space="0" w:color="auto"/>
              <w:bottom w:val="single" w:sz="4" w:space="0" w:color="auto"/>
              <w:right w:val="single" w:sz="4" w:space="0" w:color="auto"/>
            </w:tcBorders>
            <w:vAlign w:val="center"/>
          </w:tcPr>
          <w:p w:rsidR="002D1E45" w:rsidRPr="009B7A35" w:rsidRDefault="002D1E45" w:rsidP="007A0493">
            <w:pPr>
              <w:widowControl w:val="0"/>
              <w:spacing w:after="0" w:line="240" w:lineRule="auto"/>
              <w:jc w:val="center"/>
            </w:pPr>
            <w:r w:rsidRPr="007A0493">
              <w:rPr>
                <w:rFonts w:ascii="Times New Roman" w:hAnsi="Times New Roman"/>
              </w:rPr>
              <w:t>Учреждения культуры и искусства</w:t>
            </w:r>
          </w:p>
        </w:tc>
      </w:tr>
      <w:tr w:rsidR="002D1E45" w:rsidRPr="009B7A35" w:rsidTr="007A0493">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tcPr>
          <w:p w:rsidR="002D1E45" w:rsidRPr="007A0493" w:rsidRDefault="002D1E45" w:rsidP="007A0493">
            <w:pPr>
              <w:widowControl w:val="0"/>
              <w:spacing w:after="0" w:line="240" w:lineRule="auto"/>
              <w:ind w:left="103" w:right="213"/>
              <w:rPr>
                <w:rFonts w:ascii="Times New Roman" w:hAnsi="Times New Roman"/>
              </w:rPr>
            </w:pPr>
            <w:r w:rsidRPr="007A0493">
              <w:rPr>
                <w:rFonts w:ascii="Times New Roman" w:hAnsi="Times New Roman"/>
              </w:rPr>
              <w:t>Клубы, дома культуры</w:t>
            </w:r>
          </w:p>
        </w:tc>
        <w:tc>
          <w:tcPr>
            <w:tcW w:w="4728" w:type="dxa"/>
            <w:tcBorders>
              <w:top w:val="single" w:sz="4" w:space="0" w:color="auto"/>
              <w:left w:val="single" w:sz="4" w:space="0" w:color="auto"/>
              <w:bottom w:val="single" w:sz="4" w:space="0" w:color="auto"/>
              <w:right w:val="single" w:sz="4" w:space="0" w:color="auto"/>
            </w:tcBorders>
            <w:vAlign w:val="center"/>
          </w:tcPr>
          <w:p w:rsidR="002D1E45" w:rsidRPr="007A0493" w:rsidRDefault="002D1E45" w:rsidP="007A0493">
            <w:pPr>
              <w:widowControl w:val="0"/>
              <w:numPr>
                <w:ilvl w:val="0"/>
                <w:numId w:val="62"/>
              </w:numPr>
              <w:tabs>
                <w:tab w:val="left" w:pos="332"/>
              </w:tabs>
              <w:spacing w:after="0" w:line="240" w:lineRule="auto"/>
              <w:rPr>
                <w:rFonts w:ascii="Times New Roman" w:hAnsi="Times New Roman"/>
              </w:rPr>
            </w:pPr>
            <w:r w:rsidRPr="007A0493">
              <w:rPr>
                <w:rFonts w:ascii="Times New Roman" w:hAnsi="Times New Roman"/>
              </w:rPr>
              <w:t>до 0,5 тыс. чел. – 100</w:t>
            </w:r>
            <w:r w:rsidRPr="007A0493">
              <w:rPr>
                <w:rFonts w:ascii="Times New Roman" w:hAnsi="Times New Roman"/>
                <w:spacing w:val="-6"/>
              </w:rPr>
              <w:t xml:space="preserve"> </w:t>
            </w:r>
            <w:r w:rsidRPr="007A0493">
              <w:rPr>
                <w:rFonts w:ascii="Times New Roman" w:hAnsi="Times New Roman"/>
              </w:rPr>
              <w:t>мест на 1 тыс. человек</w:t>
            </w:r>
          </w:p>
        </w:tc>
        <w:tc>
          <w:tcPr>
            <w:tcW w:w="2694" w:type="dxa"/>
            <w:vMerge w:val="restart"/>
            <w:tcBorders>
              <w:top w:val="single" w:sz="4" w:space="0" w:color="auto"/>
              <w:left w:val="single" w:sz="4" w:space="0" w:color="auto"/>
              <w:right w:val="single" w:sz="4" w:space="0" w:color="auto"/>
            </w:tcBorders>
            <w:vAlign w:val="center"/>
          </w:tcPr>
          <w:p w:rsidR="002D1E45" w:rsidRPr="007A0493" w:rsidRDefault="002D1E45" w:rsidP="007A0493">
            <w:pPr>
              <w:widowControl w:val="0"/>
              <w:spacing w:after="0" w:line="240" w:lineRule="auto"/>
              <w:ind w:left="103"/>
              <w:rPr>
                <w:rFonts w:ascii="Times New Roman" w:hAnsi="Times New Roman"/>
              </w:rPr>
            </w:pPr>
            <w:r w:rsidRPr="007A0493">
              <w:rPr>
                <w:rFonts w:ascii="Times New Roman" w:hAnsi="Times New Roman"/>
              </w:rPr>
              <w:t>Распоряжение Минкультуры России от 02.08.2017 № Р-965 «Об утверждении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w:t>
            </w:r>
          </w:p>
        </w:tc>
      </w:tr>
      <w:tr w:rsidR="002D1E45" w:rsidRPr="009B7A35" w:rsidTr="007A0493">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tcPr>
          <w:p w:rsidR="002D1E45" w:rsidRPr="007A0493" w:rsidRDefault="002D1E45" w:rsidP="007A0493">
            <w:pPr>
              <w:widowControl w:val="0"/>
              <w:spacing w:after="0" w:line="240" w:lineRule="auto"/>
              <w:ind w:left="103" w:right="213"/>
              <w:rPr>
                <w:rFonts w:ascii="Times New Roman" w:hAnsi="Times New Roman"/>
              </w:rPr>
            </w:pPr>
            <w:r w:rsidRPr="007A0493">
              <w:rPr>
                <w:rFonts w:ascii="Times New Roman" w:hAnsi="Times New Roman"/>
              </w:rPr>
              <w:t>Массовые библиотеки (количество)</w:t>
            </w:r>
          </w:p>
        </w:tc>
        <w:tc>
          <w:tcPr>
            <w:tcW w:w="4728" w:type="dxa"/>
            <w:tcBorders>
              <w:top w:val="single" w:sz="4" w:space="0" w:color="auto"/>
              <w:left w:val="single" w:sz="4" w:space="0" w:color="auto"/>
              <w:bottom w:val="single" w:sz="4" w:space="0" w:color="auto"/>
              <w:right w:val="single" w:sz="4" w:space="0" w:color="auto"/>
            </w:tcBorders>
            <w:vAlign w:val="center"/>
          </w:tcPr>
          <w:p w:rsidR="002D1E45" w:rsidRPr="007A0493" w:rsidRDefault="002D1E45" w:rsidP="007A0493">
            <w:pPr>
              <w:widowControl w:val="0"/>
              <w:numPr>
                <w:ilvl w:val="0"/>
                <w:numId w:val="62"/>
              </w:numPr>
              <w:tabs>
                <w:tab w:val="left" w:pos="332"/>
              </w:tabs>
              <w:spacing w:after="0" w:line="240" w:lineRule="auto"/>
              <w:rPr>
                <w:rFonts w:ascii="Times New Roman" w:hAnsi="Times New Roman"/>
              </w:rPr>
            </w:pPr>
            <w:r w:rsidRPr="007A0493">
              <w:rPr>
                <w:rFonts w:ascii="Times New Roman" w:hAnsi="Times New Roman"/>
              </w:rPr>
              <w:t>1 общедоступная библиотека с детским отделением на 10 тыс. чел.;</w:t>
            </w:r>
          </w:p>
          <w:p w:rsidR="002D1E45" w:rsidRPr="007A0493" w:rsidRDefault="002D1E45" w:rsidP="007A0493">
            <w:pPr>
              <w:widowControl w:val="0"/>
              <w:numPr>
                <w:ilvl w:val="0"/>
                <w:numId w:val="62"/>
              </w:numPr>
              <w:tabs>
                <w:tab w:val="left" w:pos="332"/>
              </w:tabs>
              <w:spacing w:after="0" w:line="240" w:lineRule="auto"/>
              <w:rPr>
                <w:rFonts w:ascii="Times New Roman" w:hAnsi="Times New Roman"/>
              </w:rPr>
            </w:pPr>
            <w:r w:rsidRPr="007A0493">
              <w:rPr>
                <w:rFonts w:ascii="Times New Roman" w:hAnsi="Times New Roman"/>
              </w:rPr>
              <w:t>1 точка доступа к полнотекстовым информационным ресурсам.</w:t>
            </w:r>
          </w:p>
        </w:tc>
        <w:tc>
          <w:tcPr>
            <w:tcW w:w="2694" w:type="dxa"/>
            <w:vMerge/>
            <w:tcBorders>
              <w:left w:val="single" w:sz="4" w:space="0" w:color="auto"/>
              <w:right w:val="single" w:sz="4" w:space="0" w:color="auto"/>
            </w:tcBorders>
            <w:vAlign w:val="center"/>
          </w:tcPr>
          <w:p w:rsidR="002D1E45" w:rsidRPr="007A0493" w:rsidRDefault="002D1E45" w:rsidP="007A0493">
            <w:pPr>
              <w:widowControl w:val="0"/>
              <w:spacing w:after="0" w:line="240" w:lineRule="auto"/>
              <w:ind w:left="103"/>
              <w:rPr>
                <w:rFonts w:ascii="Times New Roman" w:hAnsi="Times New Roman"/>
              </w:rPr>
            </w:pPr>
          </w:p>
        </w:tc>
      </w:tr>
      <w:tr w:rsidR="002D1E45" w:rsidRPr="009B7A35" w:rsidTr="007A0493">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tcPr>
          <w:p w:rsidR="002D1E45" w:rsidRPr="007A0493" w:rsidRDefault="002D1E45" w:rsidP="007A0493">
            <w:pPr>
              <w:widowControl w:val="0"/>
              <w:spacing w:after="0" w:line="240" w:lineRule="auto"/>
              <w:ind w:left="103" w:right="213"/>
              <w:rPr>
                <w:rFonts w:ascii="Times New Roman" w:hAnsi="Times New Roman"/>
              </w:rPr>
            </w:pPr>
            <w:r w:rsidRPr="007A0493">
              <w:rPr>
                <w:rFonts w:ascii="Times New Roman" w:hAnsi="Times New Roman"/>
              </w:rPr>
              <w:t>Кинозалы</w:t>
            </w:r>
          </w:p>
        </w:tc>
        <w:tc>
          <w:tcPr>
            <w:tcW w:w="4728" w:type="dxa"/>
            <w:tcBorders>
              <w:top w:val="single" w:sz="4" w:space="0" w:color="auto"/>
              <w:left w:val="single" w:sz="4" w:space="0" w:color="auto"/>
              <w:bottom w:val="single" w:sz="4" w:space="0" w:color="auto"/>
              <w:right w:val="single" w:sz="4" w:space="0" w:color="auto"/>
            </w:tcBorders>
            <w:vAlign w:val="center"/>
          </w:tcPr>
          <w:p w:rsidR="002D1E45" w:rsidRPr="007A0493" w:rsidRDefault="002D1E45" w:rsidP="007A0493">
            <w:pPr>
              <w:widowControl w:val="0"/>
              <w:tabs>
                <w:tab w:val="left" w:pos="332"/>
              </w:tabs>
              <w:spacing w:after="0" w:line="240" w:lineRule="auto"/>
              <w:ind w:left="103"/>
              <w:rPr>
                <w:rFonts w:ascii="Times New Roman" w:hAnsi="Times New Roman"/>
              </w:rPr>
            </w:pPr>
            <w:r w:rsidRPr="007A0493">
              <w:rPr>
                <w:rFonts w:ascii="Times New Roman" w:hAnsi="Times New Roman"/>
              </w:rPr>
              <w:t>1 ед. независимо от численности населения города</w:t>
            </w:r>
          </w:p>
        </w:tc>
        <w:tc>
          <w:tcPr>
            <w:tcW w:w="2694" w:type="dxa"/>
            <w:vMerge/>
            <w:tcBorders>
              <w:left w:val="single" w:sz="4" w:space="0" w:color="auto"/>
              <w:bottom w:val="single" w:sz="4" w:space="0" w:color="auto"/>
              <w:right w:val="single" w:sz="4" w:space="0" w:color="auto"/>
            </w:tcBorders>
            <w:vAlign w:val="center"/>
          </w:tcPr>
          <w:p w:rsidR="002D1E45" w:rsidRPr="007A0493" w:rsidRDefault="002D1E45" w:rsidP="007A0493">
            <w:pPr>
              <w:widowControl w:val="0"/>
              <w:spacing w:after="0" w:line="240" w:lineRule="auto"/>
              <w:ind w:left="103"/>
              <w:rPr>
                <w:rFonts w:ascii="Times New Roman" w:hAnsi="Times New Roman"/>
              </w:rPr>
            </w:pPr>
          </w:p>
        </w:tc>
      </w:tr>
      <w:tr w:rsidR="002D1E45" w:rsidRPr="009B7A35" w:rsidTr="007A0493">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tcPr>
          <w:p w:rsidR="002D1E45" w:rsidRPr="007A0493" w:rsidRDefault="002D1E45" w:rsidP="007A0493">
            <w:pPr>
              <w:widowControl w:val="0"/>
              <w:spacing w:after="0" w:line="240" w:lineRule="auto"/>
              <w:ind w:left="103" w:right="213"/>
              <w:rPr>
                <w:rFonts w:ascii="Times New Roman" w:hAnsi="Times New Roman"/>
              </w:rPr>
            </w:pPr>
            <w:r w:rsidRPr="007A0493">
              <w:rPr>
                <w:rFonts w:ascii="Times New Roman" w:hAnsi="Times New Roman"/>
              </w:rPr>
              <w:t>Массовые городские библиотеки (мощность фондов)</w:t>
            </w:r>
          </w:p>
        </w:tc>
        <w:tc>
          <w:tcPr>
            <w:tcW w:w="4728" w:type="dxa"/>
            <w:tcBorders>
              <w:top w:val="single" w:sz="4" w:space="0" w:color="auto"/>
              <w:left w:val="single" w:sz="4" w:space="0" w:color="auto"/>
              <w:bottom w:val="single" w:sz="4" w:space="0" w:color="auto"/>
              <w:right w:val="single" w:sz="4" w:space="0" w:color="auto"/>
            </w:tcBorders>
            <w:vAlign w:val="center"/>
          </w:tcPr>
          <w:p w:rsidR="002D1E45" w:rsidRPr="007A0493" w:rsidRDefault="002D1E45" w:rsidP="007A0493">
            <w:pPr>
              <w:widowControl w:val="0"/>
              <w:numPr>
                <w:ilvl w:val="0"/>
                <w:numId w:val="62"/>
              </w:numPr>
              <w:tabs>
                <w:tab w:val="left" w:pos="332"/>
              </w:tabs>
              <w:spacing w:after="0" w:line="240" w:lineRule="auto"/>
              <w:rPr>
                <w:rFonts w:ascii="Times New Roman" w:hAnsi="Times New Roman"/>
              </w:rPr>
            </w:pPr>
            <w:r w:rsidRPr="007A0493">
              <w:rPr>
                <w:rFonts w:ascii="Times New Roman" w:hAnsi="Times New Roman"/>
              </w:rPr>
              <w:t>более 10 и до 50 тыс. население – 4-4,5 тыс. ед. хранения на 1 тыс. человек</w:t>
            </w:r>
          </w:p>
        </w:tc>
        <w:tc>
          <w:tcPr>
            <w:tcW w:w="2694" w:type="dxa"/>
            <w:tcBorders>
              <w:top w:val="single" w:sz="4" w:space="0" w:color="auto"/>
              <w:left w:val="single" w:sz="4" w:space="0" w:color="auto"/>
              <w:bottom w:val="single" w:sz="4" w:space="0" w:color="auto"/>
              <w:right w:val="single" w:sz="4" w:space="0" w:color="auto"/>
            </w:tcBorders>
            <w:vAlign w:val="center"/>
          </w:tcPr>
          <w:p w:rsidR="002D1E45" w:rsidRPr="007A0493" w:rsidRDefault="002D1E45" w:rsidP="007A0493">
            <w:pPr>
              <w:widowControl w:val="0"/>
              <w:spacing w:after="0" w:line="240" w:lineRule="auto"/>
              <w:ind w:left="103"/>
              <w:rPr>
                <w:rFonts w:ascii="Times New Roman" w:hAnsi="Times New Roman"/>
              </w:rPr>
            </w:pPr>
            <w:r w:rsidRPr="007A0493">
              <w:rPr>
                <w:rFonts w:ascii="Times New Roman" w:hAnsi="Times New Roman"/>
              </w:rPr>
              <w:t>СП 42.13330.2016 «Градостроительство. Планировка и застройка городских и сельских поселений». Актуализированная редакция СНиП 2.07.01-89*</w:t>
            </w:r>
          </w:p>
        </w:tc>
      </w:tr>
      <w:tr w:rsidR="002D1E45" w:rsidRPr="009B7A35" w:rsidTr="007A0493">
        <w:trPr>
          <w:trHeight w:val="283"/>
          <w:jc w:val="center"/>
        </w:trPr>
        <w:tc>
          <w:tcPr>
            <w:tcW w:w="10060" w:type="dxa"/>
            <w:gridSpan w:val="3"/>
            <w:tcBorders>
              <w:top w:val="single" w:sz="4" w:space="0" w:color="auto"/>
              <w:left w:val="single" w:sz="4" w:space="0" w:color="auto"/>
              <w:bottom w:val="single" w:sz="4" w:space="0" w:color="auto"/>
              <w:right w:val="single" w:sz="4" w:space="0" w:color="auto"/>
            </w:tcBorders>
            <w:vAlign w:val="center"/>
          </w:tcPr>
          <w:p w:rsidR="002D1E45" w:rsidRPr="007A0493" w:rsidRDefault="002D1E45" w:rsidP="007A0493">
            <w:pPr>
              <w:widowControl w:val="0"/>
              <w:spacing w:after="0" w:line="240" w:lineRule="auto"/>
              <w:jc w:val="center"/>
              <w:rPr>
                <w:rFonts w:ascii="Times New Roman" w:hAnsi="Times New Roman"/>
              </w:rPr>
            </w:pPr>
            <w:r w:rsidRPr="007A0493">
              <w:rPr>
                <w:rFonts w:ascii="Times New Roman" w:hAnsi="Times New Roman"/>
              </w:rPr>
              <w:t>Объекты торговли, общественного питания и бытового обслуживания</w:t>
            </w:r>
          </w:p>
        </w:tc>
      </w:tr>
      <w:tr w:rsidR="002D1E45" w:rsidRPr="009B7A35" w:rsidTr="007A0493">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tcPr>
          <w:p w:rsidR="002D1E45" w:rsidRPr="007A0493" w:rsidRDefault="002D1E45" w:rsidP="007A0493">
            <w:pPr>
              <w:widowControl w:val="0"/>
              <w:spacing w:after="0" w:line="240" w:lineRule="auto"/>
              <w:ind w:left="103" w:right="213"/>
              <w:rPr>
                <w:rFonts w:ascii="Times New Roman" w:hAnsi="Times New Roman"/>
              </w:rPr>
            </w:pPr>
            <w:r w:rsidRPr="007A0493">
              <w:rPr>
                <w:rFonts w:ascii="Times New Roman" w:hAnsi="Times New Roman"/>
              </w:rPr>
              <w:t>Магазины продовольственных товаров</w:t>
            </w:r>
          </w:p>
        </w:tc>
        <w:tc>
          <w:tcPr>
            <w:tcW w:w="4728" w:type="dxa"/>
            <w:tcBorders>
              <w:top w:val="single" w:sz="4" w:space="0" w:color="auto"/>
              <w:left w:val="single" w:sz="4" w:space="0" w:color="auto"/>
              <w:bottom w:val="single" w:sz="4" w:space="0" w:color="auto"/>
              <w:right w:val="single" w:sz="4" w:space="0" w:color="auto"/>
            </w:tcBorders>
            <w:vAlign w:val="center"/>
          </w:tcPr>
          <w:p w:rsidR="002D1E45" w:rsidRPr="007A0493" w:rsidRDefault="002D1E45" w:rsidP="007A0493">
            <w:pPr>
              <w:widowControl w:val="0"/>
              <w:spacing w:after="0" w:line="240" w:lineRule="auto"/>
              <w:ind w:left="103" w:right="91"/>
              <w:rPr>
                <w:rFonts w:ascii="Times New Roman" w:hAnsi="Times New Roman"/>
              </w:rPr>
            </w:pPr>
            <w:r w:rsidRPr="007A0493">
              <w:rPr>
                <w:rFonts w:ascii="Times New Roman" w:hAnsi="Times New Roman"/>
              </w:rPr>
              <w:t>194,5 м</w:t>
            </w:r>
            <w:r w:rsidRPr="007A0493">
              <w:rPr>
                <w:rFonts w:ascii="Times New Roman" w:hAnsi="Times New Roman"/>
                <w:vertAlign w:val="superscript"/>
              </w:rPr>
              <w:t>2</w:t>
            </w:r>
            <w:r w:rsidRPr="007A0493">
              <w:rPr>
                <w:rFonts w:ascii="Times New Roman" w:hAnsi="Times New Roman"/>
                <w:position w:val="6"/>
              </w:rPr>
              <w:t xml:space="preserve"> </w:t>
            </w:r>
            <w:r w:rsidRPr="007A0493">
              <w:rPr>
                <w:rFonts w:ascii="Times New Roman" w:hAnsi="Times New Roman"/>
              </w:rPr>
              <w:t>торговой площади на 1000 человек</w:t>
            </w:r>
          </w:p>
        </w:tc>
        <w:tc>
          <w:tcPr>
            <w:tcW w:w="2694" w:type="dxa"/>
            <w:vMerge w:val="restart"/>
            <w:tcBorders>
              <w:top w:val="single" w:sz="4" w:space="0" w:color="auto"/>
              <w:left w:val="single" w:sz="4" w:space="0" w:color="auto"/>
              <w:right w:val="single" w:sz="4" w:space="0" w:color="auto"/>
            </w:tcBorders>
            <w:vAlign w:val="center"/>
          </w:tcPr>
          <w:p w:rsidR="002D1E45" w:rsidRPr="007A0493" w:rsidRDefault="002D1E45" w:rsidP="007A0493">
            <w:pPr>
              <w:widowControl w:val="0"/>
              <w:spacing w:after="0" w:line="240" w:lineRule="auto"/>
              <w:ind w:left="103"/>
              <w:rPr>
                <w:rFonts w:ascii="Times New Roman" w:hAnsi="Times New Roman"/>
              </w:rPr>
            </w:pPr>
            <w:r w:rsidRPr="007A0493">
              <w:rPr>
                <w:rFonts w:ascii="Times New Roman" w:hAnsi="Times New Roman"/>
              </w:rPr>
              <w:t>Постановление Правительства Новосибирской области от 26.04.2017 № 158-п «Об установлении нормативов минимальной обеспеченности населения площадью торговых объектов для Новосибирской области»</w:t>
            </w:r>
          </w:p>
        </w:tc>
      </w:tr>
      <w:tr w:rsidR="002D1E45" w:rsidRPr="009B7A35" w:rsidTr="007A0493">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tcPr>
          <w:p w:rsidR="002D1E45" w:rsidRPr="007A0493" w:rsidRDefault="002D1E45" w:rsidP="007A0493">
            <w:pPr>
              <w:widowControl w:val="0"/>
              <w:spacing w:after="0" w:line="240" w:lineRule="auto"/>
              <w:ind w:left="103" w:right="213"/>
              <w:rPr>
                <w:rFonts w:ascii="Times New Roman" w:hAnsi="Times New Roman"/>
              </w:rPr>
            </w:pPr>
            <w:r w:rsidRPr="007A0493">
              <w:rPr>
                <w:rFonts w:ascii="Times New Roman" w:hAnsi="Times New Roman"/>
              </w:rPr>
              <w:t>Магазины непродовольственных товаров</w:t>
            </w:r>
          </w:p>
        </w:tc>
        <w:tc>
          <w:tcPr>
            <w:tcW w:w="4728" w:type="dxa"/>
            <w:tcBorders>
              <w:top w:val="single" w:sz="4" w:space="0" w:color="auto"/>
              <w:left w:val="single" w:sz="4" w:space="0" w:color="auto"/>
              <w:bottom w:val="single" w:sz="4" w:space="0" w:color="auto"/>
              <w:right w:val="single" w:sz="4" w:space="0" w:color="auto"/>
            </w:tcBorders>
            <w:vAlign w:val="center"/>
          </w:tcPr>
          <w:p w:rsidR="002D1E45" w:rsidRPr="007A0493" w:rsidRDefault="002D1E45" w:rsidP="007A0493">
            <w:pPr>
              <w:widowControl w:val="0"/>
              <w:spacing w:after="0" w:line="240" w:lineRule="auto"/>
              <w:ind w:left="103" w:right="91"/>
              <w:rPr>
                <w:rFonts w:ascii="Times New Roman" w:hAnsi="Times New Roman"/>
              </w:rPr>
            </w:pPr>
            <w:r w:rsidRPr="007A0493">
              <w:rPr>
                <w:rFonts w:ascii="Times New Roman" w:hAnsi="Times New Roman"/>
              </w:rPr>
              <w:t>392,5 м</w:t>
            </w:r>
            <w:r w:rsidRPr="007A0493">
              <w:rPr>
                <w:rFonts w:ascii="Times New Roman" w:hAnsi="Times New Roman"/>
                <w:vertAlign w:val="superscript"/>
              </w:rPr>
              <w:t>2</w:t>
            </w:r>
            <w:r w:rsidRPr="007A0493">
              <w:rPr>
                <w:rFonts w:ascii="Times New Roman" w:hAnsi="Times New Roman"/>
                <w:position w:val="6"/>
              </w:rPr>
              <w:t xml:space="preserve"> </w:t>
            </w:r>
            <w:r w:rsidRPr="007A0493">
              <w:rPr>
                <w:rFonts w:ascii="Times New Roman" w:hAnsi="Times New Roman"/>
              </w:rPr>
              <w:t>торговой площади на 1000 человек</w:t>
            </w:r>
          </w:p>
        </w:tc>
        <w:tc>
          <w:tcPr>
            <w:tcW w:w="2694" w:type="dxa"/>
            <w:vMerge/>
            <w:tcBorders>
              <w:left w:val="single" w:sz="4" w:space="0" w:color="auto"/>
              <w:right w:val="single" w:sz="4" w:space="0" w:color="auto"/>
            </w:tcBorders>
            <w:vAlign w:val="center"/>
          </w:tcPr>
          <w:p w:rsidR="002D1E45" w:rsidRPr="007A0493" w:rsidRDefault="002D1E45" w:rsidP="007A0493">
            <w:pPr>
              <w:widowControl w:val="0"/>
              <w:spacing w:after="0" w:line="240" w:lineRule="auto"/>
              <w:rPr>
                <w:rFonts w:ascii="Times New Roman" w:hAnsi="Times New Roman"/>
              </w:rPr>
            </w:pPr>
          </w:p>
        </w:tc>
      </w:tr>
      <w:tr w:rsidR="002D1E45" w:rsidRPr="009B7A35" w:rsidTr="007A0493">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tcPr>
          <w:p w:rsidR="002D1E45" w:rsidRPr="007A0493" w:rsidRDefault="002D1E45" w:rsidP="007A0493">
            <w:pPr>
              <w:widowControl w:val="0"/>
              <w:spacing w:after="0" w:line="240" w:lineRule="auto"/>
              <w:ind w:left="103"/>
              <w:rPr>
                <w:rFonts w:ascii="Times New Roman" w:hAnsi="Times New Roman"/>
              </w:rPr>
            </w:pPr>
            <w:r w:rsidRPr="007A0493">
              <w:rPr>
                <w:rFonts w:ascii="Times New Roman" w:hAnsi="Times New Roman"/>
              </w:rPr>
              <w:t>Суммарный норматив</w:t>
            </w:r>
          </w:p>
        </w:tc>
        <w:tc>
          <w:tcPr>
            <w:tcW w:w="4728" w:type="dxa"/>
            <w:tcBorders>
              <w:top w:val="single" w:sz="4" w:space="0" w:color="auto"/>
              <w:left w:val="single" w:sz="4" w:space="0" w:color="auto"/>
              <w:bottom w:val="single" w:sz="4" w:space="0" w:color="auto"/>
              <w:right w:val="single" w:sz="4" w:space="0" w:color="auto"/>
            </w:tcBorders>
            <w:vAlign w:val="center"/>
          </w:tcPr>
          <w:p w:rsidR="002D1E45" w:rsidRPr="009B7A35" w:rsidRDefault="002D1E45" w:rsidP="007A0493">
            <w:pPr>
              <w:widowControl w:val="0"/>
              <w:spacing w:after="0" w:line="240" w:lineRule="auto"/>
              <w:ind w:left="103" w:right="91"/>
            </w:pPr>
            <w:r w:rsidRPr="007A0493">
              <w:rPr>
                <w:rFonts w:ascii="Times New Roman" w:hAnsi="Times New Roman"/>
              </w:rPr>
              <w:t>587 м</w:t>
            </w:r>
            <w:r w:rsidRPr="007A0493">
              <w:rPr>
                <w:rFonts w:ascii="Times New Roman" w:hAnsi="Times New Roman"/>
                <w:vertAlign w:val="superscript"/>
              </w:rPr>
              <w:t>2</w:t>
            </w:r>
            <w:r w:rsidRPr="007A0493">
              <w:rPr>
                <w:rFonts w:ascii="Times New Roman" w:hAnsi="Times New Roman"/>
                <w:position w:val="6"/>
              </w:rPr>
              <w:t xml:space="preserve"> </w:t>
            </w:r>
            <w:r w:rsidRPr="007A0493">
              <w:rPr>
                <w:rFonts w:ascii="Times New Roman" w:hAnsi="Times New Roman"/>
              </w:rPr>
              <w:t>торговой площади на 1000 человек</w:t>
            </w:r>
          </w:p>
        </w:tc>
        <w:tc>
          <w:tcPr>
            <w:tcW w:w="2694" w:type="dxa"/>
            <w:vMerge/>
            <w:tcBorders>
              <w:left w:val="single" w:sz="4" w:space="0" w:color="auto"/>
              <w:right w:val="single" w:sz="4" w:space="0" w:color="auto"/>
            </w:tcBorders>
            <w:vAlign w:val="center"/>
          </w:tcPr>
          <w:p w:rsidR="002D1E45" w:rsidRPr="007A0493" w:rsidRDefault="002D1E45" w:rsidP="007A0493">
            <w:pPr>
              <w:widowControl w:val="0"/>
              <w:spacing w:after="0" w:line="240" w:lineRule="auto"/>
              <w:rPr>
                <w:rFonts w:ascii="Times New Roman" w:hAnsi="Times New Roman"/>
              </w:rPr>
            </w:pPr>
          </w:p>
        </w:tc>
      </w:tr>
      <w:tr w:rsidR="002D1E45" w:rsidRPr="009B7A35" w:rsidTr="007A0493">
        <w:trPr>
          <w:trHeight w:val="283"/>
          <w:jc w:val="center"/>
        </w:trPr>
        <w:tc>
          <w:tcPr>
            <w:tcW w:w="2638" w:type="dxa"/>
            <w:tcBorders>
              <w:top w:val="single" w:sz="4" w:space="0" w:color="auto"/>
              <w:left w:val="single" w:sz="4" w:space="0" w:color="auto"/>
              <w:bottom w:val="single" w:sz="4" w:space="0" w:color="auto"/>
              <w:right w:val="single" w:sz="4" w:space="0" w:color="auto"/>
            </w:tcBorders>
          </w:tcPr>
          <w:p w:rsidR="002D1E45" w:rsidRPr="007A0493" w:rsidRDefault="002D1E45" w:rsidP="007A0493">
            <w:pPr>
              <w:widowControl w:val="0"/>
              <w:spacing w:after="0" w:line="240" w:lineRule="auto"/>
              <w:ind w:left="103"/>
              <w:rPr>
                <w:rFonts w:ascii="Times New Roman" w:hAnsi="Times New Roman"/>
              </w:rPr>
            </w:pPr>
            <w:r w:rsidRPr="007A0493">
              <w:rPr>
                <w:rFonts w:ascii="Times New Roman" w:hAnsi="Times New Roman"/>
              </w:rPr>
              <w:t>Торговые объекты местного значения, количество торговых объектов</w:t>
            </w:r>
          </w:p>
        </w:tc>
        <w:tc>
          <w:tcPr>
            <w:tcW w:w="4728" w:type="dxa"/>
            <w:tcBorders>
              <w:top w:val="single" w:sz="4" w:space="0" w:color="auto"/>
              <w:left w:val="single" w:sz="4" w:space="0" w:color="auto"/>
              <w:bottom w:val="single" w:sz="4" w:space="0" w:color="auto"/>
              <w:right w:val="single" w:sz="4" w:space="0" w:color="auto"/>
            </w:tcBorders>
            <w:vAlign w:val="center"/>
          </w:tcPr>
          <w:p w:rsidR="002D1E45" w:rsidRPr="007A0493" w:rsidRDefault="002D1E45" w:rsidP="007A0493">
            <w:pPr>
              <w:pStyle w:val="TableParagraph"/>
              <w:ind w:left="103" w:right="91"/>
              <w:rPr>
                <w:rFonts w:ascii="Times New Roman" w:hAnsi="Times New Roman"/>
                <w:lang w:val="ru-RU"/>
              </w:rPr>
            </w:pPr>
            <w:r w:rsidRPr="007A0493">
              <w:rPr>
                <w:rFonts w:ascii="Times New Roman" w:hAnsi="Times New Roman"/>
                <w:lang w:val="ru-RU"/>
              </w:rPr>
              <w:t>175 ед.</w:t>
            </w:r>
          </w:p>
        </w:tc>
        <w:tc>
          <w:tcPr>
            <w:tcW w:w="2694" w:type="dxa"/>
            <w:vMerge/>
            <w:tcBorders>
              <w:left w:val="single" w:sz="4" w:space="0" w:color="auto"/>
              <w:right w:val="single" w:sz="4" w:space="0" w:color="auto"/>
            </w:tcBorders>
            <w:vAlign w:val="center"/>
          </w:tcPr>
          <w:p w:rsidR="002D1E45" w:rsidRPr="007A0493" w:rsidRDefault="002D1E45" w:rsidP="007A0493">
            <w:pPr>
              <w:widowControl w:val="0"/>
              <w:spacing w:after="0" w:line="240" w:lineRule="auto"/>
              <w:ind w:left="103"/>
              <w:rPr>
                <w:rFonts w:ascii="Times New Roman" w:hAnsi="Times New Roman"/>
              </w:rPr>
            </w:pPr>
          </w:p>
        </w:tc>
      </w:tr>
      <w:tr w:rsidR="002D1E45" w:rsidRPr="009B7A35" w:rsidTr="007A0493">
        <w:trPr>
          <w:trHeight w:val="283"/>
          <w:jc w:val="center"/>
        </w:trPr>
        <w:tc>
          <w:tcPr>
            <w:tcW w:w="2638" w:type="dxa"/>
            <w:tcBorders>
              <w:top w:val="single" w:sz="4" w:space="0" w:color="auto"/>
              <w:left w:val="single" w:sz="4" w:space="0" w:color="auto"/>
              <w:bottom w:val="single" w:sz="4" w:space="0" w:color="auto"/>
              <w:right w:val="single" w:sz="4" w:space="0" w:color="auto"/>
            </w:tcBorders>
          </w:tcPr>
          <w:p w:rsidR="002D1E45" w:rsidRPr="007A0493" w:rsidRDefault="002D1E45" w:rsidP="007A0493">
            <w:pPr>
              <w:widowControl w:val="0"/>
              <w:spacing w:after="0" w:line="240" w:lineRule="auto"/>
              <w:ind w:left="103"/>
              <w:rPr>
                <w:rFonts w:ascii="Times New Roman" w:hAnsi="Times New Roman"/>
              </w:rPr>
            </w:pPr>
            <w:r w:rsidRPr="007A0493">
              <w:rPr>
                <w:rFonts w:ascii="Times New Roman" w:hAnsi="Times New Roman"/>
              </w:rPr>
              <w:t>Рынки сельскохозяйственные</w:t>
            </w:r>
          </w:p>
        </w:tc>
        <w:tc>
          <w:tcPr>
            <w:tcW w:w="4728" w:type="dxa"/>
            <w:tcBorders>
              <w:top w:val="single" w:sz="4" w:space="0" w:color="auto"/>
              <w:left w:val="single" w:sz="4" w:space="0" w:color="auto"/>
              <w:bottom w:val="single" w:sz="4" w:space="0" w:color="auto"/>
              <w:right w:val="single" w:sz="4" w:space="0" w:color="auto"/>
            </w:tcBorders>
            <w:vAlign w:val="center"/>
          </w:tcPr>
          <w:p w:rsidR="002D1E45" w:rsidRPr="007A0493" w:rsidRDefault="002D1E45" w:rsidP="007A0493">
            <w:pPr>
              <w:pStyle w:val="TableParagraph"/>
              <w:ind w:left="103" w:right="91"/>
              <w:rPr>
                <w:rFonts w:ascii="Times New Roman" w:hAnsi="Times New Roman"/>
                <w:lang w:val="ru-RU"/>
              </w:rPr>
            </w:pPr>
            <w:r w:rsidRPr="007A0493">
              <w:rPr>
                <w:rFonts w:ascii="Times New Roman" w:hAnsi="Times New Roman"/>
                <w:lang w:val="ru-RU"/>
              </w:rPr>
              <w:t>0,9 мест на 1000 чел.</w:t>
            </w:r>
          </w:p>
        </w:tc>
        <w:tc>
          <w:tcPr>
            <w:tcW w:w="2694" w:type="dxa"/>
            <w:vMerge/>
            <w:tcBorders>
              <w:left w:val="single" w:sz="4" w:space="0" w:color="auto"/>
              <w:right w:val="single" w:sz="4" w:space="0" w:color="auto"/>
            </w:tcBorders>
            <w:vAlign w:val="center"/>
          </w:tcPr>
          <w:p w:rsidR="002D1E45" w:rsidRPr="007A0493" w:rsidRDefault="002D1E45" w:rsidP="007A0493">
            <w:pPr>
              <w:widowControl w:val="0"/>
              <w:spacing w:after="0" w:line="240" w:lineRule="auto"/>
              <w:ind w:left="103"/>
              <w:rPr>
                <w:rFonts w:ascii="Times New Roman" w:hAnsi="Times New Roman"/>
                <w:lang w:val="en-US"/>
              </w:rPr>
            </w:pPr>
          </w:p>
        </w:tc>
      </w:tr>
      <w:tr w:rsidR="002D1E45" w:rsidRPr="009B7A35" w:rsidTr="007A0493">
        <w:trPr>
          <w:trHeight w:val="283"/>
          <w:jc w:val="center"/>
        </w:trPr>
        <w:tc>
          <w:tcPr>
            <w:tcW w:w="2638" w:type="dxa"/>
            <w:tcBorders>
              <w:top w:val="single" w:sz="4" w:space="0" w:color="auto"/>
              <w:left w:val="single" w:sz="4" w:space="0" w:color="auto"/>
              <w:bottom w:val="single" w:sz="4" w:space="0" w:color="auto"/>
              <w:right w:val="single" w:sz="4" w:space="0" w:color="auto"/>
            </w:tcBorders>
          </w:tcPr>
          <w:p w:rsidR="002D1E45" w:rsidRPr="007A0493" w:rsidRDefault="002D1E45" w:rsidP="007A0493">
            <w:pPr>
              <w:widowControl w:val="0"/>
              <w:spacing w:after="0" w:line="240" w:lineRule="auto"/>
              <w:ind w:left="103"/>
              <w:rPr>
                <w:rFonts w:ascii="Times New Roman" w:hAnsi="Times New Roman"/>
              </w:rPr>
            </w:pPr>
            <w:r w:rsidRPr="007A0493">
              <w:rPr>
                <w:rFonts w:ascii="Times New Roman" w:hAnsi="Times New Roman"/>
              </w:rPr>
              <w:t>Торговые павильоны и киоски по продаже продовольственных товаров и сельскохозяйственной продукции, торг. объектов</w:t>
            </w:r>
          </w:p>
        </w:tc>
        <w:tc>
          <w:tcPr>
            <w:tcW w:w="4728" w:type="dxa"/>
            <w:tcBorders>
              <w:top w:val="single" w:sz="4" w:space="0" w:color="auto"/>
              <w:left w:val="single" w:sz="4" w:space="0" w:color="auto"/>
              <w:bottom w:val="single" w:sz="4" w:space="0" w:color="auto"/>
              <w:right w:val="single" w:sz="4" w:space="0" w:color="auto"/>
            </w:tcBorders>
            <w:vAlign w:val="center"/>
          </w:tcPr>
          <w:p w:rsidR="002D1E45" w:rsidRPr="007A0493" w:rsidRDefault="002D1E45" w:rsidP="007A0493">
            <w:pPr>
              <w:pStyle w:val="TableParagraph"/>
              <w:ind w:left="103" w:right="91"/>
              <w:rPr>
                <w:rFonts w:ascii="Times New Roman" w:hAnsi="Times New Roman"/>
                <w:lang w:val="ru-RU"/>
              </w:rPr>
            </w:pPr>
            <w:r w:rsidRPr="007A0493">
              <w:rPr>
                <w:rFonts w:ascii="Times New Roman" w:hAnsi="Times New Roman"/>
                <w:lang w:val="ru-RU"/>
              </w:rPr>
              <w:t>8,6 объектов на 10 тыс. чел.</w:t>
            </w:r>
          </w:p>
        </w:tc>
        <w:tc>
          <w:tcPr>
            <w:tcW w:w="2694" w:type="dxa"/>
            <w:vMerge/>
            <w:tcBorders>
              <w:left w:val="single" w:sz="4" w:space="0" w:color="auto"/>
              <w:right w:val="single" w:sz="4" w:space="0" w:color="auto"/>
            </w:tcBorders>
            <w:vAlign w:val="center"/>
          </w:tcPr>
          <w:p w:rsidR="002D1E45" w:rsidRPr="007A0493" w:rsidRDefault="002D1E45" w:rsidP="007A0493">
            <w:pPr>
              <w:widowControl w:val="0"/>
              <w:spacing w:after="0" w:line="240" w:lineRule="auto"/>
              <w:ind w:left="103"/>
              <w:rPr>
                <w:rFonts w:ascii="Times New Roman" w:hAnsi="Times New Roman"/>
              </w:rPr>
            </w:pPr>
          </w:p>
        </w:tc>
      </w:tr>
      <w:tr w:rsidR="002D1E45" w:rsidRPr="009B7A35" w:rsidTr="007A0493">
        <w:trPr>
          <w:trHeight w:val="283"/>
          <w:jc w:val="center"/>
        </w:trPr>
        <w:tc>
          <w:tcPr>
            <w:tcW w:w="2638" w:type="dxa"/>
            <w:tcBorders>
              <w:top w:val="single" w:sz="4" w:space="0" w:color="auto"/>
              <w:left w:val="single" w:sz="4" w:space="0" w:color="auto"/>
              <w:bottom w:val="single" w:sz="4" w:space="0" w:color="auto"/>
              <w:right w:val="single" w:sz="4" w:space="0" w:color="auto"/>
            </w:tcBorders>
          </w:tcPr>
          <w:p w:rsidR="002D1E45" w:rsidRPr="007A0493" w:rsidRDefault="002D1E45" w:rsidP="007A0493">
            <w:pPr>
              <w:widowControl w:val="0"/>
              <w:spacing w:after="0" w:line="240" w:lineRule="auto"/>
              <w:ind w:left="103"/>
              <w:rPr>
                <w:rFonts w:ascii="Times New Roman" w:hAnsi="Times New Roman"/>
              </w:rPr>
            </w:pPr>
            <w:r w:rsidRPr="007A0493">
              <w:rPr>
                <w:rFonts w:ascii="Times New Roman" w:hAnsi="Times New Roman"/>
              </w:rPr>
              <w:t>Торговые павильоны и киоски по продаже продукции общественного питания, торг. объектов</w:t>
            </w:r>
          </w:p>
        </w:tc>
        <w:tc>
          <w:tcPr>
            <w:tcW w:w="4728" w:type="dxa"/>
            <w:tcBorders>
              <w:top w:val="single" w:sz="4" w:space="0" w:color="auto"/>
              <w:left w:val="single" w:sz="4" w:space="0" w:color="auto"/>
              <w:bottom w:val="single" w:sz="4" w:space="0" w:color="auto"/>
              <w:right w:val="single" w:sz="4" w:space="0" w:color="auto"/>
            </w:tcBorders>
            <w:vAlign w:val="center"/>
          </w:tcPr>
          <w:p w:rsidR="002D1E45" w:rsidRPr="007A0493" w:rsidRDefault="002D1E45" w:rsidP="007A0493">
            <w:pPr>
              <w:pStyle w:val="TableParagraph"/>
              <w:ind w:left="103" w:right="91"/>
              <w:rPr>
                <w:rFonts w:ascii="Times New Roman" w:hAnsi="Times New Roman"/>
                <w:lang w:val="ru-RU"/>
              </w:rPr>
            </w:pPr>
            <w:r w:rsidRPr="007A0493">
              <w:rPr>
                <w:rFonts w:ascii="Times New Roman" w:hAnsi="Times New Roman"/>
                <w:lang w:val="ru-RU"/>
              </w:rPr>
              <w:t>1,0 объектов на 10 тыс. чел.</w:t>
            </w:r>
          </w:p>
        </w:tc>
        <w:tc>
          <w:tcPr>
            <w:tcW w:w="2694" w:type="dxa"/>
            <w:vMerge/>
            <w:tcBorders>
              <w:left w:val="single" w:sz="4" w:space="0" w:color="auto"/>
              <w:right w:val="single" w:sz="4" w:space="0" w:color="auto"/>
            </w:tcBorders>
            <w:vAlign w:val="center"/>
          </w:tcPr>
          <w:p w:rsidR="002D1E45" w:rsidRPr="007A0493" w:rsidRDefault="002D1E45" w:rsidP="007A0493">
            <w:pPr>
              <w:widowControl w:val="0"/>
              <w:spacing w:after="0" w:line="240" w:lineRule="auto"/>
              <w:ind w:left="103"/>
              <w:rPr>
                <w:rFonts w:ascii="Times New Roman" w:hAnsi="Times New Roman"/>
              </w:rPr>
            </w:pPr>
          </w:p>
        </w:tc>
      </w:tr>
      <w:tr w:rsidR="002D1E45" w:rsidRPr="009B7A35" w:rsidTr="007A0493">
        <w:trPr>
          <w:trHeight w:val="283"/>
          <w:jc w:val="center"/>
        </w:trPr>
        <w:tc>
          <w:tcPr>
            <w:tcW w:w="2638" w:type="dxa"/>
            <w:tcBorders>
              <w:top w:val="single" w:sz="4" w:space="0" w:color="auto"/>
              <w:left w:val="single" w:sz="4" w:space="0" w:color="auto"/>
              <w:bottom w:val="single" w:sz="4" w:space="0" w:color="auto"/>
              <w:right w:val="single" w:sz="4" w:space="0" w:color="auto"/>
            </w:tcBorders>
          </w:tcPr>
          <w:p w:rsidR="002D1E45" w:rsidRPr="007A0493" w:rsidRDefault="002D1E45" w:rsidP="007A0493">
            <w:pPr>
              <w:widowControl w:val="0"/>
              <w:spacing w:after="0" w:line="240" w:lineRule="auto"/>
              <w:ind w:left="103"/>
              <w:rPr>
                <w:rFonts w:ascii="Times New Roman" w:hAnsi="Times New Roman"/>
              </w:rPr>
            </w:pPr>
            <w:r w:rsidRPr="007A0493">
              <w:rPr>
                <w:rFonts w:ascii="Times New Roman" w:hAnsi="Times New Roman"/>
              </w:rPr>
              <w:t>Торговые павильоны и киоски по продаже печатной продукции, торг. объектов</w:t>
            </w:r>
          </w:p>
        </w:tc>
        <w:tc>
          <w:tcPr>
            <w:tcW w:w="4728" w:type="dxa"/>
            <w:tcBorders>
              <w:top w:val="single" w:sz="4" w:space="0" w:color="auto"/>
              <w:left w:val="single" w:sz="4" w:space="0" w:color="auto"/>
              <w:bottom w:val="single" w:sz="4" w:space="0" w:color="auto"/>
              <w:right w:val="single" w:sz="4" w:space="0" w:color="auto"/>
            </w:tcBorders>
            <w:vAlign w:val="center"/>
          </w:tcPr>
          <w:p w:rsidR="002D1E45" w:rsidRPr="007A0493" w:rsidRDefault="002D1E45" w:rsidP="007A0493">
            <w:pPr>
              <w:pStyle w:val="TableParagraph"/>
              <w:ind w:left="103" w:right="91"/>
              <w:rPr>
                <w:rFonts w:ascii="Times New Roman" w:hAnsi="Times New Roman"/>
                <w:lang w:val="ru-RU"/>
              </w:rPr>
            </w:pPr>
            <w:r w:rsidRPr="007A0493">
              <w:rPr>
                <w:rFonts w:ascii="Times New Roman" w:hAnsi="Times New Roman"/>
                <w:lang w:val="ru-RU"/>
              </w:rPr>
              <w:t>1,6 объектов на 10 тыс. чел.</w:t>
            </w:r>
          </w:p>
        </w:tc>
        <w:tc>
          <w:tcPr>
            <w:tcW w:w="2694" w:type="dxa"/>
            <w:vMerge/>
            <w:tcBorders>
              <w:left w:val="single" w:sz="4" w:space="0" w:color="auto"/>
              <w:right w:val="single" w:sz="4" w:space="0" w:color="auto"/>
            </w:tcBorders>
            <w:vAlign w:val="center"/>
          </w:tcPr>
          <w:p w:rsidR="002D1E45" w:rsidRPr="007A0493" w:rsidRDefault="002D1E45" w:rsidP="007A0493">
            <w:pPr>
              <w:widowControl w:val="0"/>
              <w:spacing w:after="0" w:line="240" w:lineRule="auto"/>
              <w:ind w:left="103"/>
              <w:rPr>
                <w:rFonts w:ascii="Times New Roman" w:hAnsi="Times New Roman"/>
              </w:rPr>
            </w:pPr>
          </w:p>
        </w:tc>
      </w:tr>
      <w:tr w:rsidR="002D1E45" w:rsidRPr="009B7A35" w:rsidTr="007A0493">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tcPr>
          <w:p w:rsidR="002D1E45" w:rsidRPr="007A0493" w:rsidRDefault="002D1E45" w:rsidP="007A0493">
            <w:pPr>
              <w:widowControl w:val="0"/>
              <w:spacing w:after="0" w:line="240" w:lineRule="auto"/>
              <w:ind w:left="103"/>
              <w:rPr>
                <w:rFonts w:ascii="Times New Roman" w:hAnsi="Times New Roman"/>
              </w:rPr>
            </w:pPr>
            <w:r w:rsidRPr="007A0493">
              <w:rPr>
                <w:rFonts w:ascii="Times New Roman" w:hAnsi="Times New Roman"/>
              </w:rPr>
              <w:t>Предприятия общественного питания</w:t>
            </w:r>
          </w:p>
        </w:tc>
        <w:tc>
          <w:tcPr>
            <w:tcW w:w="4728" w:type="dxa"/>
            <w:tcBorders>
              <w:top w:val="single" w:sz="4" w:space="0" w:color="auto"/>
              <w:left w:val="single" w:sz="4" w:space="0" w:color="auto"/>
              <w:bottom w:val="single" w:sz="4" w:space="0" w:color="auto"/>
              <w:right w:val="single" w:sz="4" w:space="0" w:color="auto"/>
            </w:tcBorders>
            <w:vAlign w:val="center"/>
          </w:tcPr>
          <w:p w:rsidR="002D1E45" w:rsidRPr="007A0493" w:rsidRDefault="002D1E45" w:rsidP="007A0493">
            <w:pPr>
              <w:widowControl w:val="0"/>
              <w:spacing w:after="0" w:line="240" w:lineRule="auto"/>
              <w:ind w:left="103" w:right="91"/>
              <w:rPr>
                <w:rFonts w:ascii="Times New Roman" w:hAnsi="Times New Roman"/>
              </w:rPr>
            </w:pPr>
            <w:r w:rsidRPr="007A0493">
              <w:rPr>
                <w:rFonts w:ascii="Times New Roman" w:hAnsi="Times New Roman"/>
              </w:rPr>
              <w:t>40 посадочных места на 1 тыс. жителей</w:t>
            </w:r>
          </w:p>
        </w:tc>
        <w:tc>
          <w:tcPr>
            <w:tcW w:w="2694" w:type="dxa"/>
            <w:vMerge w:val="restart"/>
            <w:tcBorders>
              <w:top w:val="single" w:sz="4" w:space="0" w:color="auto"/>
              <w:left w:val="single" w:sz="4" w:space="0" w:color="auto"/>
              <w:right w:val="single" w:sz="4" w:space="0" w:color="auto"/>
            </w:tcBorders>
            <w:vAlign w:val="center"/>
          </w:tcPr>
          <w:p w:rsidR="002D1E45" w:rsidRPr="007A0493" w:rsidRDefault="002D1E45" w:rsidP="007A0493">
            <w:pPr>
              <w:widowControl w:val="0"/>
              <w:spacing w:after="0" w:line="240" w:lineRule="auto"/>
              <w:ind w:left="103"/>
              <w:rPr>
                <w:rFonts w:ascii="Times New Roman" w:hAnsi="Times New Roman"/>
              </w:rPr>
            </w:pPr>
            <w:r w:rsidRPr="007A0493">
              <w:rPr>
                <w:rFonts w:ascii="Times New Roman" w:hAnsi="Times New Roman"/>
              </w:rPr>
              <w:t>МНГП г. Куйбышева. Решение Совета депутатов города Куйбышева Куйбышевского района Новосибирской области от 20.02.2017 № 79</w:t>
            </w:r>
          </w:p>
        </w:tc>
      </w:tr>
      <w:tr w:rsidR="002D1E45" w:rsidRPr="009B7A35" w:rsidTr="007A0493">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tcPr>
          <w:p w:rsidR="002D1E45" w:rsidRPr="007A0493" w:rsidRDefault="002D1E45" w:rsidP="007A0493">
            <w:pPr>
              <w:widowControl w:val="0"/>
              <w:spacing w:after="0" w:line="240" w:lineRule="auto"/>
              <w:ind w:left="103" w:right="213"/>
              <w:rPr>
                <w:rFonts w:ascii="Times New Roman" w:hAnsi="Times New Roman"/>
              </w:rPr>
            </w:pPr>
            <w:r w:rsidRPr="007A0493">
              <w:rPr>
                <w:rFonts w:ascii="Times New Roman" w:hAnsi="Times New Roman"/>
              </w:rPr>
              <w:t>Предприятия бытового обслуживания</w:t>
            </w:r>
          </w:p>
        </w:tc>
        <w:tc>
          <w:tcPr>
            <w:tcW w:w="4728" w:type="dxa"/>
            <w:tcBorders>
              <w:top w:val="single" w:sz="4" w:space="0" w:color="auto"/>
              <w:left w:val="single" w:sz="4" w:space="0" w:color="auto"/>
              <w:bottom w:val="single" w:sz="4" w:space="0" w:color="auto"/>
              <w:right w:val="single" w:sz="4" w:space="0" w:color="auto"/>
            </w:tcBorders>
            <w:vAlign w:val="center"/>
          </w:tcPr>
          <w:p w:rsidR="002D1E45" w:rsidRPr="007A0493" w:rsidRDefault="002D1E45" w:rsidP="007A0493">
            <w:pPr>
              <w:widowControl w:val="0"/>
              <w:spacing w:after="0" w:line="240" w:lineRule="auto"/>
              <w:ind w:left="103" w:right="91"/>
              <w:rPr>
                <w:rFonts w:ascii="Times New Roman" w:hAnsi="Times New Roman"/>
              </w:rPr>
            </w:pPr>
            <w:r w:rsidRPr="007A0493">
              <w:rPr>
                <w:rFonts w:ascii="Times New Roman" w:hAnsi="Times New Roman"/>
              </w:rPr>
              <w:t>9 рабочих мест</w:t>
            </w:r>
          </w:p>
        </w:tc>
        <w:tc>
          <w:tcPr>
            <w:tcW w:w="2694" w:type="dxa"/>
            <w:vMerge/>
            <w:tcBorders>
              <w:left w:val="single" w:sz="4" w:space="0" w:color="auto"/>
              <w:right w:val="single" w:sz="4" w:space="0" w:color="auto"/>
            </w:tcBorders>
            <w:vAlign w:val="center"/>
          </w:tcPr>
          <w:p w:rsidR="002D1E45" w:rsidRPr="007A0493" w:rsidRDefault="002D1E45" w:rsidP="007A0493">
            <w:pPr>
              <w:widowControl w:val="0"/>
              <w:spacing w:after="0" w:line="240" w:lineRule="auto"/>
              <w:rPr>
                <w:rFonts w:ascii="Times New Roman" w:hAnsi="Times New Roman"/>
              </w:rPr>
            </w:pPr>
          </w:p>
        </w:tc>
      </w:tr>
      <w:tr w:rsidR="002D1E45" w:rsidRPr="009B7A35" w:rsidTr="007A0493">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tcPr>
          <w:p w:rsidR="002D1E45" w:rsidRPr="007A0493" w:rsidRDefault="002D1E45" w:rsidP="007A0493">
            <w:pPr>
              <w:widowControl w:val="0"/>
              <w:spacing w:after="0" w:line="240" w:lineRule="auto"/>
              <w:ind w:left="103" w:right="213"/>
              <w:rPr>
                <w:rFonts w:ascii="Times New Roman" w:hAnsi="Times New Roman"/>
              </w:rPr>
            </w:pPr>
            <w:r w:rsidRPr="007A0493">
              <w:rPr>
                <w:rFonts w:ascii="Times New Roman" w:hAnsi="Times New Roman"/>
              </w:rPr>
              <w:t>Бани</w:t>
            </w:r>
          </w:p>
        </w:tc>
        <w:tc>
          <w:tcPr>
            <w:tcW w:w="4728" w:type="dxa"/>
            <w:tcBorders>
              <w:top w:val="single" w:sz="4" w:space="0" w:color="auto"/>
              <w:left w:val="single" w:sz="4" w:space="0" w:color="auto"/>
              <w:bottom w:val="single" w:sz="4" w:space="0" w:color="auto"/>
              <w:right w:val="single" w:sz="4" w:space="0" w:color="auto"/>
            </w:tcBorders>
            <w:vAlign w:val="center"/>
          </w:tcPr>
          <w:p w:rsidR="002D1E45" w:rsidRPr="007A0493" w:rsidRDefault="002D1E45" w:rsidP="007A0493">
            <w:pPr>
              <w:widowControl w:val="0"/>
              <w:spacing w:after="0" w:line="240" w:lineRule="auto"/>
              <w:ind w:left="103" w:right="91"/>
              <w:rPr>
                <w:rFonts w:ascii="Times New Roman" w:hAnsi="Times New Roman"/>
                <w:lang w:val="en-US"/>
              </w:rPr>
            </w:pPr>
            <w:r w:rsidRPr="007A0493">
              <w:rPr>
                <w:rFonts w:ascii="Times New Roman" w:hAnsi="Times New Roman"/>
              </w:rPr>
              <w:t>5 мест на 1 тыс. жителей</w:t>
            </w:r>
          </w:p>
        </w:tc>
        <w:tc>
          <w:tcPr>
            <w:tcW w:w="2694" w:type="dxa"/>
            <w:vMerge/>
            <w:tcBorders>
              <w:left w:val="single" w:sz="4" w:space="0" w:color="auto"/>
              <w:right w:val="single" w:sz="4" w:space="0" w:color="auto"/>
            </w:tcBorders>
            <w:vAlign w:val="center"/>
          </w:tcPr>
          <w:p w:rsidR="002D1E45" w:rsidRPr="007A0493" w:rsidRDefault="002D1E45" w:rsidP="007A0493">
            <w:pPr>
              <w:widowControl w:val="0"/>
              <w:spacing w:after="0" w:line="240" w:lineRule="auto"/>
              <w:rPr>
                <w:rFonts w:ascii="Times New Roman" w:hAnsi="Times New Roman"/>
                <w:lang w:val="en-US"/>
              </w:rPr>
            </w:pPr>
          </w:p>
        </w:tc>
      </w:tr>
      <w:tr w:rsidR="002D1E45" w:rsidRPr="009B7A35" w:rsidTr="007A0493">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tcPr>
          <w:p w:rsidR="002D1E45" w:rsidRPr="007A0493" w:rsidRDefault="002D1E45" w:rsidP="007A0493">
            <w:pPr>
              <w:widowControl w:val="0"/>
              <w:spacing w:after="0" w:line="240" w:lineRule="auto"/>
              <w:ind w:left="103" w:right="213"/>
              <w:rPr>
                <w:rFonts w:ascii="Times New Roman" w:hAnsi="Times New Roman"/>
              </w:rPr>
            </w:pPr>
            <w:r w:rsidRPr="007A0493">
              <w:rPr>
                <w:rFonts w:ascii="Times New Roman" w:hAnsi="Times New Roman"/>
              </w:rPr>
              <w:t>Прачечные</w:t>
            </w:r>
          </w:p>
        </w:tc>
        <w:tc>
          <w:tcPr>
            <w:tcW w:w="4728" w:type="dxa"/>
            <w:tcBorders>
              <w:top w:val="single" w:sz="4" w:space="0" w:color="auto"/>
              <w:left w:val="single" w:sz="4" w:space="0" w:color="auto"/>
              <w:bottom w:val="single" w:sz="4" w:space="0" w:color="auto"/>
              <w:right w:val="single" w:sz="4" w:space="0" w:color="auto"/>
            </w:tcBorders>
            <w:vAlign w:val="center"/>
          </w:tcPr>
          <w:p w:rsidR="002D1E45" w:rsidRPr="007A0493" w:rsidRDefault="002D1E45" w:rsidP="007A0493">
            <w:pPr>
              <w:widowControl w:val="0"/>
              <w:spacing w:after="0" w:line="240" w:lineRule="auto"/>
              <w:ind w:left="103" w:right="91"/>
              <w:rPr>
                <w:rFonts w:ascii="Times New Roman" w:hAnsi="Times New Roman"/>
              </w:rPr>
            </w:pPr>
            <w:r w:rsidRPr="007A0493">
              <w:rPr>
                <w:rFonts w:ascii="Times New Roman" w:hAnsi="Times New Roman"/>
              </w:rPr>
              <w:t>110 кг/смена на 1 тыс. человек</w:t>
            </w:r>
          </w:p>
        </w:tc>
        <w:tc>
          <w:tcPr>
            <w:tcW w:w="2694" w:type="dxa"/>
            <w:vMerge/>
            <w:tcBorders>
              <w:left w:val="single" w:sz="4" w:space="0" w:color="auto"/>
              <w:right w:val="single" w:sz="4" w:space="0" w:color="auto"/>
            </w:tcBorders>
            <w:vAlign w:val="center"/>
          </w:tcPr>
          <w:p w:rsidR="002D1E45" w:rsidRPr="007A0493" w:rsidRDefault="002D1E45" w:rsidP="007A0493">
            <w:pPr>
              <w:widowControl w:val="0"/>
              <w:spacing w:after="0" w:line="240" w:lineRule="auto"/>
              <w:rPr>
                <w:rFonts w:ascii="Times New Roman" w:hAnsi="Times New Roman"/>
              </w:rPr>
            </w:pPr>
          </w:p>
        </w:tc>
      </w:tr>
      <w:tr w:rsidR="002D1E45" w:rsidRPr="009B7A35" w:rsidTr="007A0493">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tcPr>
          <w:p w:rsidR="002D1E45" w:rsidRPr="007A0493" w:rsidRDefault="002D1E45" w:rsidP="007A0493">
            <w:pPr>
              <w:widowControl w:val="0"/>
              <w:spacing w:after="0" w:line="240" w:lineRule="auto"/>
              <w:ind w:left="103" w:right="213"/>
              <w:rPr>
                <w:rFonts w:ascii="Times New Roman" w:hAnsi="Times New Roman"/>
              </w:rPr>
            </w:pPr>
            <w:r w:rsidRPr="007A0493">
              <w:rPr>
                <w:rFonts w:ascii="Times New Roman" w:hAnsi="Times New Roman"/>
              </w:rPr>
              <w:t>Химчистки</w:t>
            </w:r>
          </w:p>
        </w:tc>
        <w:tc>
          <w:tcPr>
            <w:tcW w:w="4728" w:type="dxa"/>
            <w:tcBorders>
              <w:top w:val="single" w:sz="4" w:space="0" w:color="auto"/>
              <w:left w:val="single" w:sz="4" w:space="0" w:color="auto"/>
              <w:bottom w:val="single" w:sz="4" w:space="0" w:color="auto"/>
              <w:right w:val="single" w:sz="4" w:space="0" w:color="auto"/>
            </w:tcBorders>
            <w:vAlign w:val="center"/>
          </w:tcPr>
          <w:p w:rsidR="002D1E45" w:rsidRPr="007A0493" w:rsidRDefault="002D1E45" w:rsidP="007A0493">
            <w:pPr>
              <w:widowControl w:val="0"/>
              <w:spacing w:after="0" w:line="240" w:lineRule="auto"/>
              <w:ind w:left="103" w:right="91"/>
              <w:rPr>
                <w:rFonts w:ascii="Times New Roman" w:hAnsi="Times New Roman"/>
              </w:rPr>
            </w:pPr>
            <w:r w:rsidRPr="007A0493">
              <w:rPr>
                <w:rFonts w:ascii="Times New Roman" w:hAnsi="Times New Roman"/>
              </w:rPr>
              <w:t>11,4 кг/смена на 1 тыс. человек</w:t>
            </w:r>
          </w:p>
        </w:tc>
        <w:tc>
          <w:tcPr>
            <w:tcW w:w="2694" w:type="dxa"/>
            <w:vMerge/>
            <w:tcBorders>
              <w:left w:val="single" w:sz="4" w:space="0" w:color="auto"/>
              <w:bottom w:val="single" w:sz="4" w:space="0" w:color="auto"/>
              <w:right w:val="single" w:sz="4" w:space="0" w:color="auto"/>
            </w:tcBorders>
            <w:vAlign w:val="center"/>
          </w:tcPr>
          <w:p w:rsidR="002D1E45" w:rsidRPr="007A0493" w:rsidRDefault="002D1E45" w:rsidP="007A0493">
            <w:pPr>
              <w:widowControl w:val="0"/>
              <w:spacing w:after="0" w:line="240" w:lineRule="auto"/>
              <w:rPr>
                <w:rFonts w:ascii="Times New Roman" w:hAnsi="Times New Roman"/>
              </w:rPr>
            </w:pPr>
          </w:p>
        </w:tc>
      </w:tr>
      <w:tr w:rsidR="002D1E45" w:rsidRPr="009B7A35" w:rsidTr="007A0493">
        <w:trPr>
          <w:trHeight w:val="283"/>
          <w:jc w:val="center"/>
        </w:trPr>
        <w:tc>
          <w:tcPr>
            <w:tcW w:w="10060" w:type="dxa"/>
            <w:gridSpan w:val="3"/>
            <w:tcBorders>
              <w:top w:val="single" w:sz="4" w:space="0" w:color="auto"/>
              <w:left w:val="single" w:sz="4" w:space="0" w:color="auto"/>
              <w:bottom w:val="single" w:sz="4" w:space="0" w:color="auto"/>
              <w:right w:val="single" w:sz="4" w:space="0" w:color="auto"/>
            </w:tcBorders>
            <w:vAlign w:val="center"/>
          </w:tcPr>
          <w:p w:rsidR="002D1E45" w:rsidRPr="009B7A35" w:rsidRDefault="002D1E45" w:rsidP="007A0493">
            <w:pPr>
              <w:widowControl w:val="0"/>
              <w:spacing w:after="0" w:line="240" w:lineRule="auto"/>
              <w:jc w:val="center"/>
            </w:pPr>
            <w:r w:rsidRPr="007A0493">
              <w:rPr>
                <w:rFonts w:ascii="Times New Roman" w:hAnsi="Times New Roman"/>
              </w:rPr>
              <w:t>Объекты специального назначения</w:t>
            </w:r>
          </w:p>
        </w:tc>
      </w:tr>
      <w:tr w:rsidR="002D1E45" w:rsidRPr="009B7A35" w:rsidTr="007A0493">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tcPr>
          <w:p w:rsidR="002D1E45" w:rsidRPr="007A0493" w:rsidRDefault="002D1E45" w:rsidP="007A0493">
            <w:pPr>
              <w:widowControl w:val="0"/>
              <w:spacing w:after="0" w:line="240" w:lineRule="auto"/>
              <w:ind w:left="103"/>
              <w:rPr>
                <w:rFonts w:ascii="Times New Roman" w:hAnsi="Times New Roman"/>
              </w:rPr>
            </w:pPr>
            <w:r w:rsidRPr="007A0493">
              <w:rPr>
                <w:rFonts w:ascii="Times New Roman" w:hAnsi="Times New Roman"/>
              </w:rPr>
              <w:t>Кладбища традиционного захоронения</w:t>
            </w:r>
          </w:p>
        </w:tc>
        <w:tc>
          <w:tcPr>
            <w:tcW w:w="4728" w:type="dxa"/>
            <w:tcBorders>
              <w:top w:val="single" w:sz="4" w:space="0" w:color="auto"/>
              <w:left w:val="single" w:sz="4" w:space="0" w:color="auto"/>
              <w:bottom w:val="single" w:sz="4" w:space="0" w:color="auto"/>
              <w:right w:val="single" w:sz="4" w:space="0" w:color="auto"/>
            </w:tcBorders>
            <w:vAlign w:val="center"/>
          </w:tcPr>
          <w:p w:rsidR="002D1E45" w:rsidRPr="007A0493" w:rsidRDefault="002D1E45" w:rsidP="007A0493">
            <w:pPr>
              <w:widowControl w:val="0"/>
              <w:spacing w:after="0" w:line="240" w:lineRule="auto"/>
              <w:ind w:left="103" w:right="91"/>
              <w:rPr>
                <w:rFonts w:ascii="Times New Roman" w:hAnsi="Times New Roman"/>
              </w:rPr>
            </w:pPr>
            <w:r w:rsidRPr="007A0493">
              <w:rPr>
                <w:rFonts w:ascii="Times New Roman" w:hAnsi="Times New Roman"/>
              </w:rPr>
              <w:t>0,24 га на 1 тыс. чел.</w:t>
            </w:r>
          </w:p>
        </w:tc>
        <w:tc>
          <w:tcPr>
            <w:tcW w:w="2694" w:type="dxa"/>
            <w:tcBorders>
              <w:top w:val="single" w:sz="4" w:space="0" w:color="auto"/>
              <w:left w:val="single" w:sz="4" w:space="0" w:color="auto"/>
              <w:bottom w:val="single" w:sz="4" w:space="0" w:color="auto"/>
              <w:right w:val="single" w:sz="4" w:space="0" w:color="auto"/>
            </w:tcBorders>
            <w:vAlign w:val="center"/>
          </w:tcPr>
          <w:p w:rsidR="002D1E45" w:rsidRPr="007A0493" w:rsidRDefault="002D1E45" w:rsidP="007A0493">
            <w:pPr>
              <w:widowControl w:val="0"/>
              <w:spacing w:after="0" w:line="240" w:lineRule="auto"/>
              <w:ind w:left="103"/>
              <w:rPr>
                <w:rFonts w:ascii="Times New Roman" w:hAnsi="Times New Roman"/>
              </w:rPr>
            </w:pPr>
            <w:r w:rsidRPr="007A0493">
              <w:rPr>
                <w:rFonts w:ascii="Times New Roman" w:hAnsi="Times New Roman"/>
              </w:rPr>
              <w:t>МНГП г. Куйбышева. Решение Совета депутатов города Куйбышева Куйбышевского района Новосибирской области от 20.02.2017 № 79</w:t>
            </w:r>
          </w:p>
        </w:tc>
      </w:tr>
      <w:tr w:rsidR="002D1E45" w:rsidRPr="009B7A35" w:rsidTr="007A0493">
        <w:trPr>
          <w:trHeight w:val="283"/>
          <w:jc w:val="center"/>
        </w:trPr>
        <w:tc>
          <w:tcPr>
            <w:tcW w:w="10060" w:type="dxa"/>
            <w:gridSpan w:val="3"/>
            <w:tcBorders>
              <w:top w:val="single" w:sz="4" w:space="0" w:color="auto"/>
              <w:left w:val="single" w:sz="4" w:space="0" w:color="auto"/>
              <w:bottom w:val="single" w:sz="4" w:space="0" w:color="auto"/>
              <w:right w:val="single" w:sz="4" w:space="0" w:color="auto"/>
            </w:tcBorders>
            <w:vAlign w:val="center"/>
          </w:tcPr>
          <w:p w:rsidR="002D1E45" w:rsidRPr="009B7A35" w:rsidRDefault="002D1E45" w:rsidP="007A0493">
            <w:pPr>
              <w:widowControl w:val="0"/>
              <w:spacing w:after="0" w:line="240" w:lineRule="auto"/>
              <w:jc w:val="center"/>
            </w:pPr>
            <w:r w:rsidRPr="007A0493">
              <w:rPr>
                <w:rFonts w:ascii="Times New Roman" w:hAnsi="Times New Roman"/>
              </w:rPr>
              <w:t>Объекты пожарной охраны</w:t>
            </w:r>
          </w:p>
        </w:tc>
      </w:tr>
      <w:tr w:rsidR="002D1E45" w:rsidRPr="009B7A35" w:rsidTr="007A0493">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tcPr>
          <w:p w:rsidR="002D1E45" w:rsidRPr="007A0493" w:rsidRDefault="002D1E45" w:rsidP="007A0493">
            <w:pPr>
              <w:widowControl w:val="0"/>
              <w:spacing w:after="0" w:line="240" w:lineRule="auto"/>
              <w:ind w:left="103" w:right="213"/>
              <w:rPr>
                <w:rFonts w:ascii="Times New Roman" w:hAnsi="Times New Roman"/>
              </w:rPr>
            </w:pPr>
            <w:r w:rsidRPr="007A0493">
              <w:rPr>
                <w:rFonts w:ascii="Times New Roman" w:hAnsi="Times New Roman"/>
              </w:rPr>
              <w:t>Пожарное депо</w:t>
            </w:r>
          </w:p>
        </w:tc>
        <w:tc>
          <w:tcPr>
            <w:tcW w:w="4728" w:type="dxa"/>
            <w:tcBorders>
              <w:top w:val="single" w:sz="4" w:space="0" w:color="auto"/>
              <w:left w:val="single" w:sz="4" w:space="0" w:color="auto"/>
              <w:bottom w:val="single" w:sz="4" w:space="0" w:color="auto"/>
              <w:right w:val="single" w:sz="4" w:space="0" w:color="auto"/>
            </w:tcBorders>
            <w:vAlign w:val="center"/>
          </w:tcPr>
          <w:p w:rsidR="002D1E45" w:rsidRPr="007A0493" w:rsidRDefault="002D1E45" w:rsidP="007A0493">
            <w:pPr>
              <w:widowControl w:val="0"/>
              <w:spacing w:after="0" w:line="240" w:lineRule="auto"/>
              <w:ind w:left="103" w:right="106"/>
              <w:rPr>
                <w:rFonts w:ascii="Times New Roman" w:hAnsi="Times New Roman"/>
              </w:rPr>
            </w:pPr>
            <w:r w:rsidRPr="007A0493">
              <w:rPr>
                <w:rFonts w:ascii="Times New Roman" w:hAnsi="Times New Roman"/>
              </w:rPr>
              <w:t>1 пожарный автомобиль на 3-5 тыс. жителей</w:t>
            </w:r>
          </w:p>
        </w:tc>
        <w:tc>
          <w:tcPr>
            <w:tcW w:w="2694" w:type="dxa"/>
            <w:tcBorders>
              <w:top w:val="single" w:sz="4" w:space="0" w:color="auto"/>
              <w:left w:val="single" w:sz="4" w:space="0" w:color="auto"/>
              <w:bottom w:val="single" w:sz="4" w:space="0" w:color="auto"/>
              <w:right w:val="single" w:sz="4" w:space="0" w:color="auto"/>
            </w:tcBorders>
            <w:vAlign w:val="center"/>
          </w:tcPr>
          <w:p w:rsidR="002D1E45" w:rsidRPr="007A0493" w:rsidRDefault="002D1E45" w:rsidP="007A0493">
            <w:pPr>
              <w:widowControl w:val="0"/>
              <w:spacing w:after="0" w:line="240" w:lineRule="auto"/>
              <w:ind w:left="103"/>
              <w:rPr>
                <w:rFonts w:ascii="Times New Roman" w:hAnsi="Times New Roman"/>
              </w:rPr>
            </w:pPr>
            <w:r w:rsidRPr="007A0493">
              <w:rPr>
                <w:rFonts w:ascii="Times New Roman" w:hAnsi="Times New Roman"/>
              </w:rPr>
              <w:t>НПБ 101-95 «Нормы</w:t>
            </w:r>
          </w:p>
          <w:p w:rsidR="002D1E45" w:rsidRPr="007A0493" w:rsidRDefault="002D1E45" w:rsidP="007A0493">
            <w:pPr>
              <w:widowControl w:val="0"/>
              <w:spacing w:after="0" w:line="240" w:lineRule="auto"/>
              <w:ind w:left="103"/>
              <w:rPr>
                <w:rFonts w:ascii="Times New Roman" w:hAnsi="Times New Roman"/>
              </w:rPr>
            </w:pPr>
            <w:r w:rsidRPr="007A0493">
              <w:rPr>
                <w:rFonts w:ascii="Times New Roman" w:hAnsi="Times New Roman"/>
              </w:rPr>
              <w:t>проектирования объектов пожарной охраны»</w:t>
            </w:r>
          </w:p>
        </w:tc>
      </w:tr>
    </w:tbl>
    <w:p w:rsidR="002D1E45" w:rsidRPr="003A7901" w:rsidRDefault="002D1E45" w:rsidP="003A7901">
      <w:pPr>
        <w:spacing w:after="0" w:line="240" w:lineRule="auto"/>
        <w:ind w:firstLine="709"/>
        <w:contextualSpacing/>
        <w:jc w:val="both"/>
        <w:rPr>
          <w:rFonts w:ascii="Times New Roman" w:hAnsi="Times New Roman"/>
          <w:bCs/>
          <w:i/>
          <w:color w:val="000000"/>
          <w:sz w:val="28"/>
          <w:szCs w:val="24"/>
          <w:u w:val="single"/>
          <w:lang w:eastAsia="ru-RU"/>
        </w:rPr>
      </w:pPr>
      <w:r w:rsidRPr="003A7901">
        <w:rPr>
          <w:rFonts w:ascii="Times New Roman" w:hAnsi="Times New Roman"/>
          <w:bCs/>
          <w:i/>
          <w:color w:val="000000"/>
          <w:sz w:val="28"/>
          <w:szCs w:val="24"/>
          <w:u w:val="single"/>
          <w:lang w:eastAsia="ru-RU"/>
        </w:rPr>
        <w:t>Сфера образования.</w:t>
      </w:r>
    </w:p>
    <w:p w:rsidR="002D1E45" w:rsidRDefault="002D1E45" w:rsidP="004F661A">
      <w:pPr>
        <w:spacing w:after="0" w:line="240" w:lineRule="auto"/>
        <w:ind w:firstLine="709"/>
        <w:contextualSpacing/>
        <w:jc w:val="both"/>
        <w:rPr>
          <w:rFonts w:ascii="Times New Roman" w:hAnsi="Times New Roman"/>
          <w:sz w:val="28"/>
          <w:szCs w:val="28"/>
          <w:lang w:eastAsia="ru-RU"/>
        </w:rPr>
      </w:pPr>
      <w:r w:rsidRPr="00397A5E">
        <w:rPr>
          <w:rFonts w:ascii="Times New Roman" w:hAnsi="Times New Roman"/>
          <w:sz w:val="28"/>
          <w:szCs w:val="28"/>
          <w:lang w:eastAsia="ru-RU"/>
        </w:rPr>
        <w:t>Размещение учреждений и</w:t>
      </w:r>
      <w:r>
        <w:rPr>
          <w:rFonts w:ascii="Times New Roman" w:hAnsi="Times New Roman"/>
          <w:sz w:val="28"/>
          <w:szCs w:val="28"/>
          <w:lang w:eastAsia="ru-RU"/>
        </w:rPr>
        <w:t> </w:t>
      </w:r>
      <w:r w:rsidRPr="00397A5E">
        <w:rPr>
          <w:rFonts w:ascii="Times New Roman" w:hAnsi="Times New Roman"/>
          <w:sz w:val="28"/>
          <w:szCs w:val="28"/>
          <w:lang w:eastAsia="ru-RU"/>
        </w:rPr>
        <w:t>предприятий обслуживания на</w:t>
      </w:r>
      <w:r>
        <w:rPr>
          <w:rFonts w:ascii="Times New Roman" w:hAnsi="Times New Roman"/>
          <w:sz w:val="28"/>
          <w:szCs w:val="28"/>
          <w:lang w:eastAsia="ru-RU"/>
        </w:rPr>
        <w:t> </w:t>
      </w:r>
      <w:r w:rsidRPr="00397A5E">
        <w:rPr>
          <w:rFonts w:ascii="Times New Roman" w:hAnsi="Times New Roman"/>
          <w:sz w:val="28"/>
          <w:szCs w:val="28"/>
          <w:lang w:eastAsia="ru-RU"/>
        </w:rPr>
        <w:t>территориях малоэтажной жилой застройки следует осуществлять с</w:t>
      </w:r>
      <w:r>
        <w:rPr>
          <w:rFonts w:ascii="Times New Roman" w:hAnsi="Times New Roman"/>
          <w:sz w:val="28"/>
          <w:szCs w:val="28"/>
          <w:lang w:eastAsia="ru-RU"/>
        </w:rPr>
        <w:t> </w:t>
      </w:r>
      <w:r w:rsidRPr="00397A5E">
        <w:rPr>
          <w:rFonts w:ascii="Times New Roman" w:hAnsi="Times New Roman"/>
          <w:sz w:val="28"/>
          <w:szCs w:val="28"/>
          <w:lang w:eastAsia="ru-RU"/>
        </w:rPr>
        <w:t>учётом радиусов доступности, не</w:t>
      </w:r>
      <w:r>
        <w:rPr>
          <w:rFonts w:ascii="Times New Roman" w:hAnsi="Times New Roman"/>
          <w:sz w:val="28"/>
          <w:szCs w:val="28"/>
          <w:lang w:eastAsia="ru-RU"/>
        </w:rPr>
        <w:t> </w:t>
      </w:r>
      <w:r w:rsidRPr="00397A5E">
        <w:rPr>
          <w:rFonts w:ascii="Times New Roman" w:hAnsi="Times New Roman"/>
          <w:sz w:val="28"/>
          <w:szCs w:val="28"/>
          <w:lang w:eastAsia="ru-RU"/>
        </w:rPr>
        <w:t>более указанных в</w:t>
      </w:r>
      <w:r>
        <w:rPr>
          <w:rFonts w:ascii="Times New Roman" w:hAnsi="Times New Roman"/>
          <w:sz w:val="28"/>
          <w:szCs w:val="28"/>
          <w:lang w:eastAsia="ru-RU"/>
        </w:rPr>
        <w:t> </w:t>
      </w:r>
      <w:r w:rsidRPr="00397A5E">
        <w:rPr>
          <w:rFonts w:ascii="Times New Roman" w:hAnsi="Times New Roman"/>
          <w:sz w:val="28"/>
          <w:szCs w:val="28"/>
          <w:lang w:eastAsia="ru-RU"/>
        </w:rPr>
        <w:t xml:space="preserve">таблице </w:t>
      </w:r>
      <w:r>
        <w:rPr>
          <w:rFonts w:ascii="Times New Roman" w:hAnsi="Times New Roman"/>
          <w:sz w:val="28"/>
          <w:szCs w:val="28"/>
          <w:lang w:eastAsia="ru-RU"/>
        </w:rPr>
        <w:fldChar w:fldCharType="begin"/>
      </w:r>
      <w:r>
        <w:rPr>
          <w:rFonts w:ascii="Times New Roman" w:hAnsi="Times New Roman"/>
          <w:sz w:val="28"/>
          <w:szCs w:val="28"/>
          <w:lang w:eastAsia="ru-RU"/>
        </w:rPr>
        <w:instrText xml:space="preserve"> REF Tbl_Radius \h </w:instrText>
      </w:r>
      <w:r w:rsidRPr="00E65328">
        <w:rPr>
          <w:rFonts w:ascii="Times New Roman" w:hAnsi="Times New Roman"/>
          <w:sz w:val="28"/>
          <w:szCs w:val="28"/>
          <w:lang w:eastAsia="ru-RU"/>
        </w:rPr>
      </w:r>
      <w:r>
        <w:rPr>
          <w:rFonts w:ascii="Times New Roman" w:hAnsi="Times New Roman"/>
          <w:sz w:val="28"/>
          <w:szCs w:val="28"/>
          <w:lang w:eastAsia="ru-RU"/>
        </w:rPr>
        <w:fldChar w:fldCharType="separate"/>
      </w:r>
      <w:r>
        <w:rPr>
          <w:rFonts w:ascii="Times New Roman" w:hAnsi="Times New Roman"/>
          <w:noProof/>
          <w:sz w:val="28"/>
          <w:szCs w:val="24"/>
        </w:rPr>
        <w:t>51</w:t>
      </w:r>
      <w:r>
        <w:rPr>
          <w:rFonts w:ascii="Times New Roman" w:hAnsi="Times New Roman"/>
          <w:sz w:val="28"/>
          <w:szCs w:val="28"/>
          <w:lang w:eastAsia="ru-RU"/>
        </w:rPr>
        <w:fldChar w:fldCharType="end"/>
      </w:r>
      <w:r>
        <w:rPr>
          <w:rFonts w:ascii="Times New Roman" w:hAnsi="Times New Roman"/>
          <w:sz w:val="28"/>
          <w:szCs w:val="28"/>
          <w:lang w:eastAsia="ru-RU"/>
        </w:rPr>
        <w:t>.</w:t>
      </w:r>
    </w:p>
    <w:p w:rsidR="002D1E45" w:rsidRPr="004844FC" w:rsidRDefault="002D1E45" w:rsidP="004F661A">
      <w:pPr>
        <w:autoSpaceDE w:val="0"/>
        <w:autoSpaceDN w:val="0"/>
        <w:adjustRightInd w:val="0"/>
        <w:spacing w:after="0" w:line="240" w:lineRule="auto"/>
        <w:ind w:firstLine="709"/>
        <w:jc w:val="right"/>
        <w:rPr>
          <w:rFonts w:ascii="Times New Roman" w:hAnsi="Times New Roman"/>
          <w:sz w:val="28"/>
          <w:szCs w:val="24"/>
          <w:lang w:eastAsia="ru-RU"/>
        </w:rPr>
      </w:pPr>
      <w:r w:rsidRPr="004844FC">
        <w:rPr>
          <w:rFonts w:ascii="Times New Roman" w:hAnsi="Times New Roman"/>
          <w:sz w:val="28"/>
          <w:szCs w:val="24"/>
          <w:lang w:eastAsia="ru-RU"/>
        </w:rPr>
        <w:t xml:space="preserve">Таблица </w:t>
      </w:r>
      <w:bookmarkStart w:id="250" w:name="Tbl_Radius"/>
      <w:r w:rsidRPr="004844FC">
        <w:rPr>
          <w:rFonts w:ascii="Times New Roman" w:hAnsi="Times New Roman"/>
          <w:sz w:val="28"/>
          <w:szCs w:val="24"/>
        </w:rPr>
        <w:fldChar w:fldCharType="begin"/>
      </w:r>
      <w:r w:rsidRPr="004844FC">
        <w:rPr>
          <w:rFonts w:ascii="Times New Roman" w:hAnsi="Times New Roman"/>
          <w:sz w:val="28"/>
          <w:szCs w:val="24"/>
        </w:rPr>
        <w:instrText xml:space="preserve"> SEQ Таблица \* ARABIC </w:instrText>
      </w:r>
      <w:r w:rsidRPr="004844FC">
        <w:rPr>
          <w:rFonts w:ascii="Times New Roman" w:hAnsi="Times New Roman"/>
          <w:sz w:val="28"/>
          <w:szCs w:val="24"/>
        </w:rPr>
        <w:fldChar w:fldCharType="separate"/>
      </w:r>
      <w:r>
        <w:rPr>
          <w:rFonts w:ascii="Times New Roman" w:hAnsi="Times New Roman"/>
          <w:noProof/>
          <w:sz w:val="28"/>
          <w:szCs w:val="24"/>
        </w:rPr>
        <w:t>51</w:t>
      </w:r>
      <w:r w:rsidRPr="004844FC">
        <w:rPr>
          <w:rFonts w:ascii="Times New Roman" w:hAnsi="Times New Roman"/>
          <w:sz w:val="28"/>
          <w:szCs w:val="24"/>
        </w:rPr>
        <w:fldChar w:fldCharType="end"/>
      </w:r>
      <w:bookmarkEnd w:id="250"/>
    </w:p>
    <w:p w:rsidR="002D1E45" w:rsidRDefault="002D1E45" w:rsidP="004F661A">
      <w:pPr>
        <w:spacing w:line="240" w:lineRule="auto"/>
        <w:jc w:val="center"/>
        <w:rPr>
          <w:rFonts w:ascii="Times New Roman" w:hAnsi="Times New Roman"/>
          <w:sz w:val="28"/>
          <w:szCs w:val="24"/>
          <w:lang w:eastAsia="ru-RU"/>
        </w:rPr>
      </w:pPr>
      <w:r w:rsidRPr="002256F8">
        <w:rPr>
          <w:rFonts w:ascii="Times New Roman" w:hAnsi="Times New Roman"/>
          <w:sz w:val="28"/>
          <w:szCs w:val="24"/>
          <w:lang w:eastAsia="ru-RU"/>
        </w:rPr>
        <w:t>Существующие</w:t>
      </w:r>
      <w:r>
        <w:rPr>
          <w:rFonts w:ascii="Times New Roman" w:hAnsi="Times New Roman"/>
          <w:sz w:val="28"/>
          <w:szCs w:val="24"/>
          <w:lang w:eastAsia="ru-RU"/>
        </w:rPr>
        <w:t xml:space="preserve"> объекты обслуживания населения</w:t>
      </w:r>
    </w:p>
    <w:tbl>
      <w:tblPr>
        <w:tblW w:w="0" w:type="auto"/>
        <w:jc w:val="center"/>
        <w:tblCellMar>
          <w:left w:w="0" w:type="dxa"/>
          <w:right w:w="0" w:type="dxa"/>
        </w:tblCellMar>
        <w:tblLook w:val="00A0"/>
      </w:tblPr>
      <w:tblGrid>
        <w:gridCol w:w="7222"/>
        <w:gridCol w:w="2268"/>
      </w:tblGrid>
      <w:tr w:rsidR="002D1E45" w:rsidRPr="00397A5E" w:rsidTr="006104C4">
        <w:trPr>
          <w:tblHeader/>
          <w:jc w:val="center"/>
        </w:trPr>
        <w:tc>
          <w:tcPr>
            <w:tcW w:w="722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2D1E45" w:rsidRPr="00397A5E" w:rsidRDefault="002D1E45" w:rsidP="00921510">
            <w:pPr>
              <w:spacing w:after="0" w:line="315" w:lineRule="atLeast"/>
              <w:jc w:val="center"/>
              <w:textAlignment w:val="baseline"/>
              <w:rPr>
                <w:rFonts w:ascii="Times New Roman" w:hAnsi="Times New Roman"/>
                <w:sz w:val="24"/>
                <w:szCs w:val="24"/>
                <w:lang w:eastAsia="ru-RU"/>
              </w:rPr>
            </w:pPr>
            <w:r w:rsidRPr="00397A5E">
              <w:rPr>
                <w:rFonts w:ascii="Times New Roman" w:hAnsi="Times New Roman"/>
                <w:sz w:val="24"/>
                <w:szCs w:val="24"/>
                <w:lang w:eastAsia="ru-RU"/>
              </w:rPr>
              <w:t>Учреждения и</w:t>
            </w:r>
            <w:r>
              <w:rPr>
                <w:rFonts w:ascii="Times New Roman" w:hAnsi="Times New Roman"/>
                <w:sz w:val="24"/>
                <w:szCs w:val="24"/>
                <w:lang w:eastAsia="ru-RU"/>
              </w:rPr>
              <w:t> </w:t>
            </w:r>
            <w:r w:rsidRPr="00397A5E">
              <w:rPr>
                <w:rFonts w:ascii="Times New Roman" w:hAnsi="Times New Roman"/>
                <w:sz w:val="24"/>
                <w:szCs w:val="24"/>
                <w:lang w:eastAsia="ru-RU"/>
              </w:rPr>
              <w:t>предприятия обслуживания населения</w:t>
            </w:r>
          </w:p>
        </w:tc>
        <w:tc>
          <w:tcPr>
            <w:tcW w:w="2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2D1E45" w:rsidRPr="00397A5E" w:rsidRDefault="002D1E45" w:rsidP="00921510">
            <w:pPr>
              <w:spacing w:after="0" w:line="315" w:lineRule="atLeast"/>
              <w:jc w:val="center"/>
              <w:textAlignment w:val="baseline"/>
              <w:rPr>
                <w:rFonts w:ascii="Times New Roman" w:hAnsi="Times New Roman"/>
                <w:sz w:val="24"/>
                <w:szCs w:val="24"/>
                <w:lang w:eastAsia="ru-RU"/>
              </w:rPr>
            </w:pPr>
            <w:r w:rsidRPr="00397A5E">
              <w:rPr>
                <w:rFonts w:ascii="Times New Roman" w:hAnsi="Times New Roman"/>
                <w:sz w:val="24"/>
                <w:szCs w:val="24"/>
                <w:lang w:eastAsia="ru-RU"/>
              </w:rPr>
              <w:t>Радиусы обслуживания, м</w:t>
            </w:r>
            <w:r>
              <w:rPr>
                <w:rFonts w:ascii="Times New Roman" w:hAnsi="Times New Roman"/>
                <w:sz w:val="24"/>
                <w:szCs w:val="24"/>
                <w:lang w:eastAsia="ru-RU"/>
              </w:rPr>
              <w:t>/транспортная доступность, мин.</w:t>
            </w:r>
          </w:p>
        </w:tc>
      </w:tr>
      <w:tr w:rsidR="002D1E45" w:rsidRPr="00397A5E" w:rsidTr="006104C4">
        <w:trPr>
          <w:jc w:val="center"/>
        </w:trPr>
        <w:tc>
          <w:tcPr>
            <w:tcW w:w="722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2D1E45" w:rsidRPr="00397A5E" w:rsidRDefault="002D1E45" w:rsidP="00921510">
            <w:pPr>
              <w:spacing w:after="0" w:line="315" w:lineRule="atLeast"/>
              <w:textAlignment w:val="baseline"/>
              <w:rPr>
                <w:rFonts w:ascii="Times New Roman" w:hAnsi="Times New Roman"/>
                <w:sz w:val="24"/>
                <w:szCs w:val="24"/>
                <w:lang w:eastAsia="ru-RU"/>
              </w:rPr>
            </w:pPr>
            <w:r w:rsidRPr="00397A5E">
              <w:rPr>
                <w:rFonts w:ascii="Times New Roman" w:hAnsi="Times New Roman"/>
                <w:sz w:val="24"/>
                <w:szCs w:val="24"/>
                <w:lang w:eastAsia="ru-RU"/>
              </w:rPr>
              <w:t>Дошкольные образовательные учреждения</w:t>
            </w:r>
          </w:p>
        </w:tc>
        <w:tc>
          <w:tcPr>
            <w:tcW w:w="2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2D1E45" w:rsidRPr="00397A5E" w:rsidRDefault="002D1E45" w:rsidP="00921510">
            <w:pPr>
              <w:spacing w:after="0" w:line="315" w:lineRule="atLeast"/>
              <w:jc w:val="center"/>
              <w:textAlignment w:val="baseline"/>
              <w:rPr>
                <w:rFonts w:ascii="Times New Roman" w:hAnsi="Times New Roman"/>
                <w:sz w:val="24"/>
                <w:szCs w:val="24"/>
                <w:lang w:eastAsia="ru-RU"/>
              </w:rPr>
            </w:pPr>
            <w:r>
              <w:rPr>
                <w:rFonts w:ascii="Times New Roman" w:hAnsi="Times New Roman"/>
                <w:sz w:val="24"/>
                <w:szCs w:val="24"/>
                <w:lang w:eastAsia="ru-RU"/>
              </w:rPr>
              <w:t>5</w:t>
            </w:r>
            <w:r w:rsidRPr="00397A5E">
              <w:rPr>
                <w:rFonts w:ascii="Times New Roman" w:hAnsi="Times New Roman"/>
                <w:sz w:val="24"/>
                <w:szCs w:val="24"/>
                <w:lang w:eastAsia="ru-RU"/>
              </w:rPr>
              <w:t>00</w:t>
            </w:r>
            <w:r>
              <w:rPr>
                <w:rFonts w:ascii="Times New Roman" w:hAnsi="Times New Roman"/>
                <w:sz w:val="24"/>
                <w:szCs w:val="24"/>
                <w:lang w:eastAsia="ru-RU"/>
              </w:rPr>
              <w:t xml:space="preserve"> м</w:t>
            </w:r>
          </w:p>
        </w:tc>
      </w:tr>
      <w:tr w:rsidR="002D1E45" w:rsidRPr="00397A5E" w:rsidTr="006104C4">
        <w:trPr>
          <w:jc w:val="center"/>
        </w:trPr>
        <w:tc>
          <w:tcPr>
            <w:tcW w:w="722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2D1E45" w:rsidRPr="00397A5E" w:rsidRDefault="002D1E45" w:rsidP="0047107A">
            <w:pPr>
              <w:spacing w:after="0" w:line="315" w:lineRule="atLeast"/>
              <w:textAlignment w:val="baseline"/>
              <w:rPr>
                <w:rFonts w:ascii="Times New Roman" w:hAnsi="Times New Roman"/>
                <w:sz w:val="24"/>
                <w:szCs w:val="24"/>
                <w:lang w:eastAsia="ru-RU"/>
              </w:rPr>
            </w:pPr>
            <w:r w:rsidRPr="00397A5E">
              <w:rPr>
                <w:rFonts w:ascii="Times New Roman" w:hAnsi="Times New Roman"/>
                <w:sz w:val="24"/>
                <w:szCs w:val="24"/>
                <w:lang w:eastAsia="ru-RU"/>
              </w:rPr>
              <w:t>Общеобразовательные школы, в</w:t>
            </w:r>
            <w:r>
              <w:rPr>
                <w:rFonts w:ascii="Times New Roman" w:hAnsi="Times New Roman"/>
                <w:sz w:val="24"/>
                <w:szCs w:val="24"/>
                <w:lang w:eastAsia="ru-RU"/>
              </w:rPr>
              <w:t> </w:t>
            </w:r>
            <w:r w:rsidRPr="00397A5E">
              <w:rPr>
                <w:rFonts w:ascii="Times New Roman" w:hAnsi="Times New Roman"/>
                <w:sz w:val="24"/>
                <w:szCs w:val="24"/>
                <w:lang w:eastAsia="ru-RU"/>
              </w:rPr>
              <w:t>том числе</w:t>
            </w:r>
            <w:r>
              <w:rPr>
                <w:rFonts w:ascii="Times New Roman" w:hAnsi="Times New Roman"/>
                <w:sz w:val="24"/>
                <w:szCs w:val="24"/>
                <w:lang w:eastAsia="ru-RU"/>
              </w:rPr>
              <w:t>:</w:t>
            </w:r>
            <w:r w:rsidRPr="00397A5E">
              <w:rPr>
                <w:rFonts w:ascii="Times New Roman" w:hAnsi="Times New Roman"/>
                <w:sz w:val="24"/>
                <w:szCs w:val="24"/>
                <w:lang w:eastAsia="ru-RU"/>
              </w:rPr>
              <w:t xml:space="preserve"> </w:t>
            </w:r>
          </w:p>
        </w:tc>
        <w:tc>
          <w:tcPr>
            <w:tcW w:w="2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2D1E45" w:rsidRPr="00397A5E" w:rsidRDefault="002D1E45" w:rsidP="00921510">
            <w:pPr>
              <w:spacing w:after="0" w:line="315" w:lineRule="atLeast"/>
              <w:jc w:val="center"/>
              <w:textAlignment w:val="baseline"/>
              <w:rPr>
                <w:rFonts w:ascii="Times New Roman" w:hAnsi="Times New Roman"/>
                <w:sz w:val="24"/>
                <w:szCs w:val="24"/>
                <w:lang w:eastAsia="ru-RU"/>
              </w:rPr>
            </w:pPr>
            <w:r>
              <w:rPr>
                <w:rFonts w:ascii="Times New Roman" w:hAnsi="Times New Roman"/>
                <w:sz w:val="24"/>
                <w:szCs w:val="24"/>
                <w:lang w:eastAsia="ru-RU"/>
              </w:rPr>
              <w:t>15-30 мин.</w:t>
            </w:r>
          </w:p>
        </w:tc>
      </w:tr>
      <w:tr w:rsidR="002D1E45" w:rsidRPr="00397A5E" w:rsidTr="006104C4">
        <w:trPr>
          <w:jc w:val="center"/>
        </w:trPr>
        <w:tc>
          <w:tcPr>
            <w:tcW w:w="722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2D1E45" w:rsidRPr="00400086" w:rsidRDefault="002D1E45" w:rsidP="00852938">
            <w:pPr>
              <w:pStyle w:val="ListParagraph"/>
              <w:numPr>
                <w:ilvl w:val="0"/>
                <w:numId w:val="72"/>
              </w:numPr>
              <w:spacing w:after="0" w:line="315" w:lineRule="atLeast"/>
              <w:ind w:left="553" w:hanging="335"/>
              <w:textAlignment w:val="baseline"/>
              <w:rPr>
                <w:rFonts w:ascii="Times New Roman" w:hAnsi="Times New Roman"/>
                <w:sz w:val="24"/>
                <w:szCs w:val="24"/>
                <w:lang w:eastAsia="ru-RU"/>
              </w:rPr>
            </w:pPr>
            <w:r w:rsidRPr="00400086">
              <w:rPr>
                <w:rFonts w:ascii="Times New Roman" w:hAnsi="Times New Roman"/>
                <w:sz w:val="24"/>
                <w:szCs w:val="24"/>
                <w:lang w:eastAsia="ru-RU"/>
              </w:rPr>
              <w:t>для учащихся 1 ступени обучения;</w:t>
            </w:r>
          </w:p>
          <w:p w:rsidR="002D1E45" w:rsidRPr="00400086" w:rsidRDefault="002D1E45" w:rsidP="00852938">
            <w:pPr>
              <w:pStyle w:val="ListParagraph"/>
              <w:numPr>
                <w:ilvl w:val="0"/>
                <w:numId w:val="72"/>
              </w:numPr>
              <w:spacing w:after="0" w:line="315" w:lineRule="atLeast"/>
              <w:ind w:left="553" w:hanging="335"/>
              <w:textAlignment w:val="baseline"/>
              <w:rPr>
                <w:rFonts w:ascii="Times New Roman" w:hAnsi="Times New Roman"/>
                <w:sz w:val="24"/>
                <w:szCs w:val="24"/>
                <w:lang w:eastAsia="ru-RU"/>
              </w:rPr>
            </w:pPr>
            <w:r w:rsidRPr="00400086">
              <w:rPr>
                <w:rFonts w:ascii="Times New Roman" w:hAnsi="Times New Roman"/>
                <w:sz w:val="24"/>
                <w:szCs w:val="24"/>
                <w:lang w:eastAsia="ru-RU"/>
              </w:rPr>
              <w:t>для учащихся 2-3 ступени обучения</w:t>
            </w:r>
          </w:p>
        </w:tc>
        <w:tc>
          <w:tcPr>
            <w:tcW w:w="2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2D1E45" w:rsidRDefault="002D1E45" w:rsidP="00921510">
            <w:pPr>
              <w:spacing w:after="0" w:line="315" w:lineRule="atLeast"/>
              <w:jc w:val="center"/>
              <w:textAlignment w:val="baseline"/>
              <w:rPr>
                <w:rFonts w:ascii="Times New Roman" w:hAnsi="Times New Roman"/>
                <w:sz w:val="24"/>
                <w:szCs w:val="24"/>
                <w:lang w:eastAsia="ru-RU"/>
              </w:rPr>
            </w:pPr>
            <w:r w:rsidRPr="0002325C">
              <w:rPr>
                <w:rFonts w:ascii="Times New Roman" w:hAnsi="Times New Roman"/>
                <w:sz w:val="24"/>
                <w:szCs w:val="24"/>
                <w:lang w:eastAsia="ru-RU"/>
              </w:rPr>
              <w:t>2000</w:t>
            </w:r>
            <w:r>
              <w:rPr>
                <w:rFonts w:ascii="Times New Roman" w:hAnsi="Times New Roman"/>
                <w:sz w:val="24"/>
                <w:szCs w:val="24"/>
                <w:lang w:eastAsia="ru-RU"/>
              </w:rPr>
              <w:t xml:space="preserve"> м</w:t>
            </w:r>
          </w:p>
          <w:p w:rsidR="002D1E45" w:rsidRDefault="002D1E45" w:rsidP="00921510">
            <w:pPr>
              <w:spacing w:after="0" w:line="315" w:lineRule="atLeast"/>
              <w:jc w:val="center"/>
              <w:textAlignment w:val="baseline"/>
              <w:rPr>
                <w:rFonts w:ascii="Times New Roman" w:hAnsi="Times New Roman"/>
                <w:sz w:val="24"/>
                <w:szCs w:val="24"/>
                <w:lang w:eastAsia="ru-RU"/>
              </w:rPr>
            </w:pPr>
            <w:r>
              <w:rPr>
                <w:rFonts w:ascii="Times New Roman" w:hAnsi="Times New Roman"/>
                <w:sz w:val="24"/>
                <w:szCs w:val="24"/>
                <w:lang w:eastAsia="ru-RU"/>
              </w:rPr>
              <w:t>4000 м</w:t>
            </w:r>
          </w:p>
        </w:tc>
      </w:tr>
      <w:tr w:rsidR="002D1E45" w:rsidRPr="00397A5E" w:rsidTr="006104C4">
        <w:trPr>
          <w:jc w:val="center"/>
        </w:trPr>
        <w:tc>
          <w:tcPr>
            <w:tcW w:w="722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2D1E45" w:rsidRPr="00397A5E" w:rsidRDefault="002D1E45" w:rsidP="00921510">
            <w:pPr>
              <w:spacing w:after="0" w:line="315" w:lineRule="atLeast"/>
              <w:textAlignment w:val="baseline"/>
              <w:rPr>
                <w:rFonts w:ascii="Times New Roman" w:hAnsi="Times New Roman"/>
                <w:sz w:val="24"/>
                <w:szCs w:val="24"/>
                <w:lang w:eastAsia="ru-RU"/>
              </w:rPr>
            </w:pPr>
            <w:r>
              <w:rPr>
                <w:rFonts w:ascii="Times New Roman" w:hAnsi="Times New Roman"/>
                <w:sz w:val="24"/>
                <w:szCs w:val="24"/>
                <w:lang w:eastAsia="ru-RU"/>
              </w:rPr>
              <w:t>Спортивные объекты</w:t>
            </w:r>
          </w:p>
        </w:tc>
        <w:tc>
          <w:tcPr>
            <w:tcW w:w="2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2D1E45" w:rsidRPr="00397A5E" w:rsidRDefault="002D1E45" w:rsidP="00921510">
            <w:pPr>
              <w:spacing w:after="0" w:line="315" w:lineRule="atLeast"/>
              <w:jc w:val="center"/>
              <w:textAlignment w:val="baseline"/>
              <w:rPr>
                <w:rFonts w:ascii="Times New Roman" w:hAnsi="Times New Roman"/>
                <w:sz w:val="24"/>
                <w:szCs w:val="24"/>
                <w:lang w:eastAsia="ru-RU"/>
              </w:rPr>
            </w:pPr>
            <w:r w:rsidRPr="000A1A46">
              <w:rPr>
                <w:rFonts w:ascii="Times New Roman" w:hAnsi="Times New Roman"/>
                <w:sz w:val="24"/>
                <w:szCs w:val="24"/>
                <w:lang w:eastAsia="ru-RU"/>
              </w:rPr>
              <w:t>в пределах транспортной доступности</w:t>
            </w:r>
          </w:p>
        </w:tc>
      </w:tr>
      <w:tr w:rsidR="002D1E45" w:rsidRPr="00397A5E" w:rsidTr="006104C4">
        <w:trPr>
          <w:jc w:val="center"/>
        </w:trPr>
        <w:tc>
          <w:tcPr>
            <w:tcW w:w="722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2D1E45" w:rsidRPr="00397A5E" w:rsidRDefault="002D1E45" w:rsidP="00921510">
            <w:pPr>
              <w:spacing w:after="0" w:line="315" w:lineRule="atLeast"/>
              <w:textAlignment w:val="baseline"/>
              <w:rPr>
                <w:rFonts w:ascii="Times New Roman" w:hAnsi="Times New Roman"/>
                <w:sz w:val="24"/>
                <w:szCs w:val="24"/>
                <w:lang w:eastAsia="ru-RU"/>
              </w:rPr>
            </w:pPr>
            <w:r w:rsidRPr="00397A5E">
              <w:rPr>
                <w:rFonts w:ascii="Times New Roman" w:hAnsi="Times New Roman"/>
                <w:sz w:val="24"/>
                <w:szCs w:val="24"/>
                <w:lang w:eastAsia="ru-RU"/>
              </w:rPr>
              <w:t>Амбулаторно-поликлинические учреждения</w:t>
            </w:r>
          </w:p>
        </w:tc>
        <w:tc>
          <w:tcPr>
            <w:tcW w:w="2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2D1E45" w:rsidRPr="00397A5E" w:rsidRDefault="002D1E45" w:rsidP="00921510">
            <w:pPr>
              <w:spacing w:after="0" w:line="315" w:lineRule="atLeast"/>
              <w:jc w:val="center"/>
              <w:textAlignment w:val="baseline"/>
              <w:rPr>
                <w:rFonts w:ascii="Times New Roman" w:hAnsi="Times New Roman"/>
                <w:sz w:val="24"/>
                <w:szCs w:val="24"/>
                <w:lang w:eastAsia="ru-RU"/>
              </w:rPr>
            </w:pPr>
            <w:r>
              <w:rPr>
                <w:rFonts w:ascii="Times New Roman" w:hAnsi="Times New Roman"/>
                <w:sz w:val="24"/>
                <w:szCs w:val="24"/>
                <w:lang w:eastAsia="ru-RU"/>
              </w:rPr>
              <w:t>30 мин.</w:t>
            </w:r>
          </w:p>
        </w:tc>
      </w:tr>
      <w:tr w:rsidR="002D1E45" w:rsidRPr="00397A5E" w:rsidTr="006104C4">
        <w:trPr>
          <w:jc w:val="center"/>
        </w:trPr>
        <w:tc>
          <w:tcPr>
            <w:tcW w:w="722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2D1E45" w:rsidRPr="00397A5E" w:rsidRDefault="002D1E45" w:rsidP="000A1A46">
            <w:pPr>
              <w:spacing w:after="0" w:line="315" w:lineRule="atLeast"/>
              <w:textAlignment w:val="baseline"/>
              <w:rPr>
                <w:rFonts w:ascii="Times New Roman" w:hAnsi="Times New Roman"/>
                <w:sz w:val="24"/>
                <w:szCs w:val="24"/>
                <w:lang w:eastAsia="ru-RU"/>
              </w:rPr>
            </w:pPr>
            <w:r w:rsidRPr="00397A5E">
              <w:rPr>
                <w:rFonts w:ascii="Times New Roman" w:hAnsi="Times New Roman"/>
                <w:sz w:val="24"/>
                <w:szCs w:val="24"/>
                <w:lang w:eastAsia="ru-RU"/>
              </w:rPr>
              <w:t>Аптеки</w:t>
            </w:r>
          </w:p>
        </w:tc>
        <w:tc>
          <w:tcPr>
            <w:tcW w:w="2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2D1E45" w:rsidRPr="00397A5E" w:rsidRDefault="002D1E45" w:rsidP="000A1A46">
            <w:pPr>
              <w:spacing w:after="0" w:line="315" w:lineRule="atLeast"/>
              <w:jc w:val="center"/>
              <w:textAlignment w:val="baseline"/>
              <w:rPr>
                <w:rFonts w:ascii="Times New Roman" w:hAnsi="Times New Roman"/>
                <w:sz w:val="24"/>
                <w:szCs w:val="24"/>
                <w:lang w:eastAsia="ru-RU"/>
              </w:rPr>
            </w:pPr>
            <w:r>
              <w:rPr>
                <w:rFonts w:ascii="Times New Roman" w:hAnsi="Times New Roman"/>
                <w:sz w:val="24"/>
                <w:szCs w:val="24"/>
                <w:lang w:eastAsia="ru-RU"/>
              </w:rPr>
              <w:t>30 мин.</w:t>
            </w:r>
          </w:p>
        </w:tc>
      </w:tr>
      <w:tr w:rsidR="002D1E45" w:rsidRPr="00397A5E" w:rsidTr="006104C4">
        <w:trPr>
          <w:jc w:val="center"/>
        </w:trPr>
        <w:tc>
          <w:tcPr>
            <w:tcW w:w="722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2D1E45" w:rsidRPr="00397A5E" w:rsidRDefault="002D1E45" w:rsidP="000A1A46">
            <w:pPr>
              <w:spacing w:after="0" w:line="315" w:lineRule="atLeast"/>
              <w:textAlignment w:val="baseline"/>
              <w:rPr>
                <w:rFonts w:ascii="Times New Roman" w:hAnsi="Times New Roman"/>
                <w:sz w:val="24"/>
                <w:szCs w:val="24"/>
                <w:lang w:eastAsia="ru-RU"/>
              </w:rPr>
            </w:pPr>
            <w:r w:rsidRPr="00397A5E">
              <w:rPr>
                <w:rFonts w:ascii="Times New Roman" w:hAnsi="Times New Roman"/>
                <w:sz w:val="24"/>
                <w:szCs w:val="24"/>
                <w:lang w:eastAsia="ru-RU"/>
              </w:rPr>
              <w:t>Предприятия торгово-бытового обслуживания</w:t>
            </w:r>
          </w:p>
        </w:tc>
        <w:tc>
          <w:tcPr>
            <w:tcW w:w="2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2D1E45" w:rsidRPr="00397A5E" w:rsidRDefault="002D1E45" w:rsidP="000A1A46">
            <w:pPr>
              <w:spacing w:after="0" w:line="315" w:lineRule="atLeast"/>
              <w:jc w:val="center"/>
              <w:textAlignment w:val="baseline"/>
              <w:rPr>
                <w:rFonts w:ascii="Times New Roman" w:hAnsi="Times New Roman"/>
                <w:sz w:val="24"/>
                <w:szCs w:val="24"/>
                <w:lang w:eastAsia="ru-RU"/>
              </w:rPr>
            </w:pPr>
            <w:r>
              <w:rPr>
                <w:rFonts w:ascii="Times New Roman" w:hAnsi="Times New Roman"/>
                <w:sz w:val="24"/>
                <w:szCs w:val="24"/>
                <w:lang w:eastAsia="ru-RU"/>
              </w:rPr>
              <w:t>2000 м</w:t>
            </w:r>
          </w:p>
        </w:tc>
      </w:tr>
      <w:tr w:rsidR="002D1E45" w:rsidRPr="00397A5E" w:rsidTr="006104C4">
        <w:trPr>
          <w:jc w:val="center"/>
        </w:trPr>
        <w:tc>
          <w:tcPr>
            <w:tcW w:w="722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2D1E45" w:rsidRPr="00397A5E" w:rsidRDefault="002D1E45" w:rsidP="000A1A46">
            <w:pPr>
              <w:spacing w:after="0" w:line="315" w:lineRule="atLeast"/>
              <w:textAlignment w:val="baseline"/>
              <w:rPr>
                <w:rFonts w:ascii="Times New Roman" w:hAnsi="Times New Roman"/>
                <w:sz w:val="24"/>
                <w:szCs w:val="24"/>
                <w:lang w:eastAsia="ru-RU"/>
              </w:rPr>
            </w:pPr>
            <w:r w:rsidRPr="00397A5E">
              <w:rPr>
                <w:rFonts w:ascii="Times New Roman" w:hAnsi="Times New Roman"/>
                <w:sz w:val="24"/>
                <w:szCs w:val="24"/>
                <w:lang w:eastAsia="ru-RU"/>
              </w:rPr>
              <w:t>Отделения связи и</w:t>
            </w:r>
            <w:r>
              <w:rPr>
                <w:rFonts w:ascii="Times New Roman" w:hAnsi="Times New Roman"/>
                <w:sz w:val="24"/>
                <w:szCs w:val="24"/>
                <w:lang w:eastAsia="ru-RU"/>
              </w:rPr>
              <w:t> </w:t>
            </w:r>
            <w:r w:rsidRPr="00397A5E">
              <w:rPr>
                <w:rFonts w:ascii="Times New Roman" w:hAnsi="Times New Roman"/>
                <w:sz w:val="24"/>
                <w:szCs w:val="24"/>
                <w:lang w:eastAsia="ru-RU"/>
              </w:rPr>
              <w:t>банка, опорный пункт охраны порядка</w:t>
            </w:r>
          </w:p>
        </w:tc>
        <w:tc>
          <w:tcPr>
            <w:tcW w:w="2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2D1E45" w:rsidRPr="00397A5E" w:rsidRDefault="002D1E45" w:rsidP="000A1A46">
            <w:pPr>
              <w:spacing w:after="0" w:line="315" w:lineRule="atLeast"/>
              <w:jc w:val="center"/>
              <w:textAlignment w:val="baseline"/>
              <w:rPr>
                <w:rFonts w:ascii="Times New Roman" w:hAnsi="Times New Roman"/>
                <w:sz w:val="24"/>
                <w:szCs w:val="24"/>
                <w:lang w:eastAsia="ru-RU"/>
              </w:rPr>
            </w:pPr>
            <w:r w:rsidRPr="000A1A46">
              <w:rPr>
                <w:rFonts w:ascii="Times New Roman" w:hAnsi="Times New Roman"/>
                <w:sz w:val="24"/>
                <w:szCs w:val="24"/>
                <w:lang w:eastAsia="ru-RU"/>
              </w:rPr>
              <w:t>в пределах транспортной доступности</w:t>
            </w:r>
          </w:p>
        </w:tc>
      </w:tr>
    </w:tbl>
    <w:p w:rsidR="002D1E45" w:rsidRDefault="002D1E45" w:rsidP="003A7901">
      <w:pPr>
        <w:spacing w:after="0" w:line="240" w:lineRule="auto"/>
        <w:ind w:firstLine="709"/>
        <w:contextualSpacing/>
        <w:jc w:val="both"/>
        <w:rPr>
          <w:rFonts w:ascii="Times New Roman" w:hAnsi="Times New Roman"/>
          <w:sz w:val="28"/>
          <w:szCs w:val="24"/>
        </w:rPr>
      </w:pPr>
    </w:p>
    <w:p w:rsidR="002D1E45" w:rsidRPr="00016BF0" w:rsidRDefault="002D1E45" w:rsidP="00016BF0">
      <w:pPr>
        <w:spacing w:after="0" w:line="240" w:lineRule="auto"/>
        <w:ind w:firstLine="709"/>
        <w:jc w:val="both"/>
        <w:rPr>
          <w:rFonts w:ascii="Times New Roman" w:hAnsi="Times New Roman"/>
          <w:sz w:val="28"/>
          <w:szCs w:val="24"/>
          <w:lang w:eastAsia="ru-RU"/>
        </w:rPr>
      </w:pPr>
      <w:r w:rsidRPr="00016BF0">
        <w:rPr>
          <w:rFonts w:ascii="Times New Roman" w:hAnsi="Times New Roman"/>
          <w:sz w:val="28"/>
          <w:szCs w:val="24"/>
          <w:lang w:eastAsia="ru-RU"/>
        </w:rPr>
        <w:t>Основными направлениями, определяющими решение задачи повышения качества образования, являются:</w:t>
      </w:r>
    </w:p>
    <w:p w:rsidR="002D1E45" w:rsidRPr="00016BF0" w:rsidRDefault="002D1E45" w:rsidP="00D05D06">
      <w:pPr>
        <w:numPr>
          <w:ilvl w:val="0"/>
          <w:numId w:val="60"/>
        </w:numPr>
        <w:spacing w:after="0" w:line="240" w:lineRule="auto"/>
        <w:jc w:val="both"/>
        <w:rPr>
          <w:rFonts w:ascii="Times New Roman" w:hAnsi="Times New Roman"/>
          <w:sz w:val="28"/>
          <w:szCs w:val="24"/>
          <w:lang w:eastAsia="ru-RU"/>
        </w:rPr>
      </w:pPr>
      <w:r w:rsidRPr="00016BF0">
        <w:rPr>
          <w:rFonts w:ascii="Times New Roman" w:hAnsi="Times New Roman"/>
          <w:sz w:val="28"/>
          <w:szCs w:val="24"/>
          <w:lang w:eastAsia="ru-RU"/>
        </w:rPr>
        <w:t>создание условий для организации учебно-воспитательного процесса, развитие и</w:t>
      </w:r>
      <w:r>
        <w:rPr>
          <w:rFonts w:ascii="Times New Roman" w:hAnsi="Times New Roman"/>
          <w:sz w:val="28"/>
          <w:szCs w:val="24"/>
          <w:lang w:eastAsia="ru-RU"/>
        </w:rPr>
        <w:t> </w:t>
      </w:r>
      <w:r w:rsidRPr="00016BF0">
        <w:rPr>
          <w:rFonts w:ascii="Times New Roman" w:hAnsi="Times New Roman"/>
          <w:sz w:val="28"/>
          <w:szCs w:val="24"/>
          <w:lang w:eastAsia="ru-RU"/>
        </w:rPr>
        <w:t>укрепление учебно-материальной базы образовательных учреждений;</w:t>
      </w:r>
    </w:p>
    <w:p w:rsidR="002D1E45" w:rsidRPr="00016BF0" w:rsidRDefault="002D1E45" w:rsidP="00D05D06">
      <w:pPr>
        <w:numPr>
          <w:ilvl w:val="0"/>
          <w:numId w:val="60"/>
        </w:numPr>
        <w:spacing w:after="0" w:line="240" w:lineRule="auto"/>
        <w:jc w:val="both"/>
        <w:rPr>
          <w:rFonts w:ascii="Times New Roman" w:hAnsi="Times New Roman"/>
          <w:sz w:val="28"/>
          <w:szCs w:val="24"/>
          <w:lang w:eastAsia="ru-RU"/>
        </w:rPr>
      </w:pPr>
      <w:r w:rsidRPr="00016BF0">
        <w:rPr>
          <w:rFonts w:ascii="Times New Roman" w:hAnsi="Times New Roman"/>
          <w:sz w:val="28"/>
          <w:szCs w:val="24"/>
          <w:lang w:eastAsia="ru-RU"/>
        </w:rPr>
        <w:t>профилактика безнадзорности, подростковой преступности, наркомании.</w:t>
      </w:r>
    </w:p>
    <w:p w:rsidR="002D1E45" w:rsidRPr="00016BF0" w:rsidRDefault="002D1E45" w:rsidP="00D05D06">
      <w:pPr>
        <w:numPr>
          <w:ilvl w:val="0"/>
          <w:numId w:val="60"/>
        </w:numPr>
        <w:spacing w:after="0" w:line="240" w:lineRule="auto"/>
        <w:jc w:val="both"/>
        <w:rPr>
          <w:rFonts w:ascii="Times New Roman" w:hAnsi="Times New Roman"/>
          <w:sz w:val="28"/>
          <w:szCs w:val="24"/>
          <w:lang w:eastAsia="ru-RU"/>
        </w:rPr>
      </w:pPr>
      <w:r w:rsidRPr="00016BF0">
        <w:rPr>
          <w:rFonts w:ascii="Times New Roman" w:hAnsi="Times New Roman"/>
          <w:sz w:val="28"/>
          <w:szCs w:val="24"/>
          <w:lang w:eastAsia="ru-RU"/>
        </w:rPr>
        <w:t>обеспечение инновационного характера образования через модернизацию кадровых, организационных, технологических и</w:t>
      </w:r>
      <w:r>
        <w:rPr>
          <w:rFonts w:ascii="Times New Roman" w:hAnsi="Times New Roman"/>
          <w:sz w:val="28"/>
          <w:szCs w:val="24"/>
          <w:lang w:eastAsia="ru-RU"/>
        </w:rPr>
        <w:t> </w:t>
      </w:r>
      <w:r w:rsidRPr="00016BF0">
        <w:rPr>
          <w:rFonts w:ascii="Times New Roman" w:hAnsi="Times New Roman"/>
          <w:sz w:val="28"/>
          <w:szCs w:val="24"/>
          <w:lang w:eastAsia="ru-RU"/>
        </w:rPr>
        <w:t>методических условий в</w:t>
      </w:r>
      <w:r>
        <w:rPr>
          <w:rFonts w:ascii="Times New Roman" w:hAnsi="Times New Roman"/>
          <w:sz w:val="28"/>
          <w:szCs w:val="24"/>
          <w:lang w:eastAsia="ru-RU"/>
        </w:rPr>
        <w:t> </w:t>
      </w:r>
      <w:r w:rsidRPr="00016BF0">
        <w:rPr>
          <w:rFonts w:ascii="Times New Roman" w:hAnsi="Times New Roman"/>
          <w:sz w:val="28"/>
          <w:szCs w:val="24"/>
          <w:lang w:eastAsia="ru-RU"/>
        </w:rPr>
        <w:t>соответствии с</w:t>
      </w:r>
      <w:r>
        <w:rPr>
          <w:rFonts w:ascii="Times New Roman" w:hAnsi="Times New Roman"/>
          <w:sz w:val="28"/>
          <w:szCs w:val="24"/>
          <w:lang w:eastAsia="ru-RU"/>
        </w:rPr>
        <w:t> </w:t>
      </w:r>
      <w:r w:rsidRPr="00016BF0">
        <w:rPr>
          <w:rFonts w:ascii="Times New Roman" w:hAnsi="Times New Roman"/>
          <w:sz w:val="28"/>
          <w:szCs w:val="24"/>
          <w:lang w:eastAsia="ru-RU"/>
        </w:rPr>
        <w:t>национальной образовательной инициативой «Наша новая школа», развитие системы выявления, поддержки и</w:t>
      </w:r>
      <w:r>
        <w:rPr>
          <w:rFonts w:ascii="Times New Roman" w:hAnsi="Times New Roman"/>
          <w:sz w:val="28"/>
          <w:szCs w:val="24"/>
          <w:lang w:eastAsia="ru-RU"/>
        </w:rPr>
        <w:t> </w:t>
      </w:r>
      <w:r w:rsidRPr="00016BF0">
        <w:rPr>
          <w:rFonts w:ascii="Times New Roman" w:hAnsi="Times New Roman"/>
          <w:sz w:val="28"/>
          <w:szCs w:val="24"/>
          <w:lang w:eastAsia="ru-RU"/>
        </w:rPr>
        <w:t>сопровождения одарённых детей, лидеров в</w:t>
      </w:r>
      <w:r>
        <w:rPr>
          <w:rFonts w:ascii="Times New Roman" w:hAnsi="Times New Roman"/>
          <w:sz w:val="28"/>
          <w:szCs w:val="24"/>
          <w:lang w:eastAsia="ru-RU"/>
        </w:rPr>
        <w:t> </w:t>
      </w:r>
      <w:r w:rsidRPr="00016BF0">
        <w:rPr>
          <w:rFonts w:ascii="Times New Roman" w:hAnsi="Times New Roman"/>
          <w:sz w:val="28"/>
          <w:szCs w:val="24"/>
          <w:lang w:eastAsia="ru-RU"/>
        </w:rPr>
        <w:t>сфере образования;</w:t>
      </w:r>
    </w:p>
    <w:p w:rsidR="002D1E45" w:rsidRPr="00016BF0" w:rsidRDefault="002D1E45" w:rsidP="00D05D06">
      <w:pPr>
        <w:numPr>
          <w:ilvl w:val="0"/>
          <w:numId w:val="60"/>
        </w:numPr>
        <w:spacing w:after="0" w:line="240" w:lineRule="auto"/>
        <w:jc w:val="both"/>
        <w:rPr>
          <w:rFonts w:ascii="Times New Roman" w:hAnsi="Times New Roman"/>
          <w:sz w:val="28"/>
          <w:szCs w:val="24"/>
          <w:lang w:eastAsia="ru-RU"/>
        </w:rPr>
      </w:pPr>
      <w:r w:rsidRPr="00016BF0">
        <w:rPr>
          <w:rFonts w:ascii="Times New Roman" w:hAnsi="Times New Roman"/>
          <w:sz w:val="28"/>
          <w:szCs w:val="24"/>
          <w:lang w:eastAsia="ru-RU"/>
        </w:rPr>
        <w:t>повышение качества образования;</w:t>
      </w:r>
    </w:p>
    <w:p w:rsidR="002D1E45" w:rsidRPr="00016BF0" w:rsidRDefault="002D1E45" w:rsidP="00D05D06">
      <w:pPr>
        <w:numPr>
          <w:ilvl w:val="0"/>
          <w:numId w:val="60"/>
        </w:numPr>
        <w:spacing w:after="0" w:line="240" w:lineRule="auto"/>
        <w:jc w:val="both"/>
        <w:rPr>
          <w:rFonts w:ascii="Times New Roman" w:hAnsi="Times New Roman"/>
          <w:sz w:val="28"/>
          <w:szCs w:val="24"/>
          <w:lang w:eastAsia="ru-RU"/>
        </w:rPr>
      </w:pPr>
      <w:r w:rsidRPr="00016BF0">
        <w:rPr>
          <w:rFonts w:ascii="Times New Roman" w:hAnsi="Times New Roman"/>
          <w:sz w:val="28"/>
          <w:szCs w:val="24"/>
          <w:lang w:eastAsia="ru-RU"/>
        </w:rPr>
        <w:t>развитие инфраструктуры дошкольного, общего и</w:t>
      </w:r>
      <w:r>
        <w:rPr>
          <w:rFonts w:ascii="Times New Roman" w:hAnsi="Times New Roman"/>
          <w:sz w:val="28"/>
          <w:szCs w:val="24"/>
          <w:lang w:eastAsia="ru-RU"/>
        </w:rPr>
        <w:t> </w:t>
      </w:r>
      <w:r w:rsidRPr="00016BF0">
        <w:rPr>
          <w:rFonts w:ascii="Times New Roman" w:hAnsi="Times New Roman"/>
          <w:sz w:val="28"/>
          <w:szCs w:val="24"/>
          <w:lang w:eastAsia="ru-RU"/>
        </w:rPr>
        <w:t>дополнительного образования;</w:t>
      </w:r>
    </w:p>
    <w:p w:rsidR="002D1E45" w:rsidRPr="00016BF0" w:rsidRDefault="002D1E45" w:rsidP="00D05D06">
      <w:pPr>
        <w:numPr>
          <w:ilvl w:val="0"/>
          <w:numId w:val="60"/>
        </w:numPr>
        <w:spacing w:after="0" w:line="240" w:lineRule="auto"/>
        <w:jc w:val="both"/>
        <w:rPr>
          <w:rFonts w:ascii="Times New Roman" w:hAnsi="Times New Roman"/>
          <w:sz w:val="28"/>
          <w:szCs w:val="24"/>
          <w:lang w:eastAsia="ru-RU"/>
        </w:rPr>
      </w:pPr>
      <w:r w:rsidRPr="00016BF0">
        <w:rPr>
          <w:rFonts w:ascii="Times New Roman" w:hAnsi="Times New Roman"/>
          <w:sz w:val="28"/>
          <w:szCs w:val="24"/>
          <w:lang w:eastAsia="ru-RU"/>
        </w:rPr>
        <w:t>обеспечение комплексной безопасности и</w:t>
      </w:r>
      <w:r>
        <w:rPr>
          <w:rFonts w:ascii="Times New Roman" w:hAnsi="Times New Roman"/>
          <w:sz w:val="28"/>
          <w:szCs w:val="24"/>
          <w:lang w:eastAsia="ru-RU"/>
        </w:rPr>
        <w:t> </w:t>
      </w:r>
      <w:r w:rsidRPr="00016BF0">
        <w:rPr>
          <w:rFonts w:ascii="Times New Roman" w:hAnsi="Times New Roman"/>
          <w:sz w:val="28"/>
          <w:szCs w:val="24"/>
          <w:lang w:eastAsia="ru-RU"/>
        </w:rPr>
        <w:t>комфортных условий образовательного процесса;</w:t>
      </w:r>
    </w:p>
    <w:p w:rsidR="002D1E45" w:rsidRPr="00016BF0" w:rsidRDefault="002D1E45" w:rsidP="00D05D06">
      <w:pPr>
        <w:numPr>
          <w:ilvl w:val="0"/>
          <w:numId w:val="60"/>
        </w:numPr>
        <w:spacing w:after="0" w:line="240" w:lineRule="auto"/>
        <w:jc w:val="both"/>
        <w:rPr>
          <w:rFonts w:ascii="Times New Roman" w:hAnsi="Times New Roman"/>
          <w:sz w:val="28"/>
          <w:szCs w:val="24"/>
          <w:lang w:eastAsia="ru-RU"/>
        </w:rPr>
      </w:pPr>
      <w:r w:rsidRPr="00016BF0">
        <w:rPr>
          <w:rFonts w:ascii="Times New Roman" w:hAnsi="Times New Roman"/>
          <w:sz w:val="28"/>
          <w:szCs w:val="24"/>
          <w:lang w:eastAsia="ru-RU"/>
        </w:rPr>
        <w:t>повышение заработной платы педагогическим работникам;</w:t>
      </w:r>
    </w:p>
    <w:p w:rsidR="002D1E45" w:rsidRPr="00016BF0" w:rsidRDefault="002D1E45" w:rsidP="00D05D06">
      <w:pPr>
        <w:numPr>
          <w:ilvl w:val="0"/>
          <w:numId w:val="60"/>
        </w:numPr>
        <w:spacing w:after="0" w:line="240" w:lineRule="auto"/>
        <w:jc w:val="both"/>
        <w:rPr>
          <w:rFonts w:ascii="Times New Roman" w:hAnsi="Times New Roman"/>
          <w:sz w:val="28"/>
          <w:szCs w:val="24"/>
          <w:lang w:eastAsia="ru-RU"/>
        </w:rPr>
      </w:pPr>
      <w:r w:rsidRPr="00016BF0">
        <w:rPr>
          <w:rFonts w:ascii="Times New Roman" w:hAnsi="Times New Roman"/>
          <w:sz w:val="28"/>
          <w:szCs w:val="24"/>
          <w:lang w:eastAsia="ru-RU"/>
        </w:rPr>
        <w:t>развитие платных образовательных услуг, в</w:t>
      </w:r>
      <w:r>
        <w:rPr>
          <w:rFonts w:ascii="Times New Roman" w:hAnsi="Times New Roman"/>
          <w:sz w:val="28"/>
          <w:szCs w:val="24"/>
          <w:lang w:eastAsia="ru-RU"/>
        </w:rPr>
        <w:t> </w:t>
      </w:r>
      <w:r w:rsidRPr="00016BF0">
        <w:rPr>
          <w:rFonts w:ascii="Times New Roman" w:hAnsi="Times New Roman"/>
          <w:sz w:val="28"/>
          <w:szCs w:val="24"/>
          <w:lang w:eastAsia="ru-RU"/>
        </w:rPr>
        <w:t>том числе и</w:t>
      </w:r>
      <w:r>
        <w:rPr>
          <w:rFonts w:ascii="Times New Roman" w:hAnsi="Times New Roman"/>
          <w:sz w:val="28"/>
          <w:szCs w:val="24"/>
          <w:lang w:eastAsia="ru-RU"/>
        </w:rPr>
        <w:t> </w:t>
      </w:r>
      <w:r w:rsidRPr="00016BF0">
        <w:rPr>
          <w:rFonts w:ascii="Times New Roman" w:hAnsi="Times New Roman"/>
          <w:sz w:val="28"/>
          <w:szCs w:val="24"/>
          <w:lang w:eastAsia="ru-RU"/>
        </w:rPr>
        <w:t>в</w:t>
      </w:r>
      <w:r>
        <w:rPr>
          <w:rFonts w:ascii="Times New Roman" w:hAnsi="Times New Roman"/>
          <w:sz w:val="28"/>
          <w:szCs w:val="24"/>
          <w:lang w:eastAsia="ru-RU"/>
        </w:rPr>
        <w:t> </w:t>
      </w:r>
      <w:r w:rsidRPr="00016BF0">
        <w:rPr>
          <w:rFonts w:ascii="Times New Roman" w:hAnsi="Times New Roman"/>
          <w:sz w:val="28"/>
          <w:szCs w:val="24"/>
          <w:lang w:eastAsia="ru-RU"/>
        </w:rPr>
        <w:t>системе дошкольного и</w:t>
      </w:r>
      <w:r>
        <w:rPr>
          <w:rFonts w:ascii="Times New Roman" w:hAnsi="Times New Roman"/>
          <w:sz w:val="28"/>
          <w:szCs w:val="24"/>
          <w:lang w:eastAsia="ru-RU"/>
        </w:rPr>
        <w:t> </w:t>
      </w:r>
      <w:r w:rsidRPr="00016BF0">
        <w:rPr>
          <w:rFonts w:ascii="Times New Roman" w:hAnsi="Times New Roman"/>
          <w:sz w:val="28"/>
          <w:szCs w:val="24"/>
          <w:lang w:eastAsia="ru-RU"/>
        </w:rPr>
        <w:t>дополнительного образования;</w:t>
      </w:r>
    </w:p>
    <w:p w:rsidR="002D1E45" w:rsidRPr="00016BF0" w:rsidRDefault="002D1E45" w:rsidP="00D05D06">
      <w:pPr>
        <w:numPr>
          <w:ilvl w:val="0"/>
          <w:numId w:val="60"/>
        </w:numPr>
        <w:spacing w:after="0" w:line="240" w:lineRule="auto"/>
        <w:jc w:val="both"/>
        <w:rPr>
          <w:rFonts w:ascii="Times New Roman" w:hAnsi="Times New Roman"/>
          <w:sz w:val="28"/>
          <w:szCs w:val="24"/>
          <w:lang w:eastAsia="ru-RU"/>
        </w:rPr>
      </w:pPr>
      <w:r w:rsidRPr="00016BF0">
        <w:rPr>
          <w:rFonts w:ascii="Times New Roman" w:hAnsi="Times New Roman"/>
          <w:sz w:val="28"/>
          <w:szCs w:val="24"/>
          <w:lang w:eastAsia="ru-RU"/>
        </w:rPr>
        <w:t>внедрение информационных технологий (электронный дневник, сайты школ, дистанционное обучение);</w:t>
      </w:r>
    </w:p>
    <w:p w:rsidR="002D1E45" w:rsidRPr="00016BF0" w:rsidRDefault="002D1E45" w:rsidP="00D05D06">
      <w:pPr>
        <w:numPr>
          <w:ilvl w:val="0"/>
          <w:numId w:val="60"/>
        </w:numPr>
        <w:spacing w:after="0" w:line="240" w:lineRule="auto"/>
        <w:jc w:val="both"/>
        <w:rPr>
          <w:rFonts w:ascii="Times New Roman" w:hAnsi="Times New Roman"/>
          <w:sz w:val="28"/>
          <w:szCs w:val="24"/>
          <w:lang w:eastAsia="ru-RU"/>
        </w:rPr>
      </w:pPr>
      <w:r w:rsidRPr="00016BF0">
        <w:rPr>
          <w:rFonts w:ascii="Times New Roman" w:hAnsi="Times New Roman"/>
          <w:sz w:val="28"/>
          <w:szCs w:val="24"/>
          <w:lang w:eastAsia="ru-RU"/>
        </w:rPr>
        <w:t>внедрение инновационных форм педагогической деятельности;</w:t>
      </w:r>
    </w:p>
    <w:p w:rsidR="002D1E45" w:rsidRPr="00016BF0" w:rsidRDefault="002D1E45" w:rsidP="00D05D06">
      <w:pPr>
        <w:numPr>
          <w:ilvl w:val="0"/>
          <w:numId w:val="60"/>
        </w:numPr>
        <w:spacing w:after="0" w:line="240" w:lineRule="auto"/>
        <w:jc w:val="both"/>
        <w:rPr>
          <w:rFonts w:ascii="Times New Roman" w:hAnsi="Times New Roman"/>
          <w:sz w:val="28"/>
          <w:szCs w:val="24"/>
          <w:lang w:eastAsia="ru-RU"/>
        </w:rPr>
      </w:pPr>
      <w:r w:rsidRPr="00016BF0">
        <w:rPr>
          <w:rFonts w:ascii="Times New Roman" w:hAnsi="Times New Roman"/>
          <w:sz w:val="28"/>
          <w:szCs w:val="24"/>
          <w:lang w:eastAsia="ru-RU"/>
        </w:rPr>
        <w:t>осуществление в</w:t>
      </w:r>
      <w:r>
        <w:rPr>
          <w:rFonts w:ascii="Times New Roman" w:hAnsi="Times New Roman"/>
          <w:sz w:val="28"/>
          <w:szCs w:val="24"/>
          <w:lang w:eastAsia="ru-RU"/>
        </w:rPr>
        <w:t> </w:t>
      </w:r>
      <w:r w:rsidRPr="00016BF0">
        <w:rPr>
          <w:rFonts w:ascii="Times New Roman" w:hAnsi="Times New Roman"/>
          <w:sz w:val="28"/>
          <w:szCs w:val="24"/>
          <w:lang w:eastAsia="ru-RU"/>
        </w:rPr>
        <w:t>старших классах школ профориентационных мероприятий, прежде всего ориентированных на</w:t>
      </w:r>
      <w:r>
        <w:rPr>
          <w:rFonts w:ascii="Times New Roman" w:hAnsi="Times New Roman"/>
          <w:sz w:val="28"/>
          <w:szCs w:val="24"/>
          <w:lang w:eastAsia="ru-RU"/>
        </w:rPr>
        <w:t> </w:t>
      </w:r>
      <w:r w:rsidRPr="00016BF0">
        <w:rPr>
          <w:rFonts w:ascii="Times New Roman" w:hAnsi="Times New Roman"/>
          <w:sz w:val="28"/>
          <w:szCs w:val="24"/>
          <w:lang w:eastAsia="ru-RU"/>
        </w:rPr>
        <w:t>местные рынки труда + начальное образование (УПК – профессия) на</w:t>
      </w:r>
      <w:r>
        <w:rPr>
          <w:rFonts w:ascii="Times New Roman" w:hAnsi="Times New Roman"/>
          <w:sz w:val="28"/>
          <w:szCs w:val="24"/>
          <w:lang w:eastAsia="ru-RU"/>
        </w:rPr>
        <w:t> </w:t>
      </w:r>
      <w:r w:rsidRPr="00016BF0">
        <w:rPr>
          <w:rFonts w:ascii="Times New Roman" w:hAnsi="Times New Roman"/>
          <w:sz w:val="28"/>
          <w:szCs w:val="24"/>
          <w:lang w:eastAsia="ru-RU"/>
        </w:rPr>
        <w:t>базе школ с</w:t>
      </w:r>
      <w:r>
        <w:rPr>
          <w:rFonts w:ascii="Times New Roman" w:hAnsi="Times New Roman"/>
          <w:sz w:val="28"/>
          <w:szCs w:val="24"/>
          <w:lang w:eastAsia="ru-RU"/>
        </w:rPr>
        <w:t> </w:t>
      </w:r>
      <w:r w:rsidRPr="00016BF0">
        <w:rPr>
          <w:rFonts w:ascii="Times New Roman" w:hAnsi="Times New Roman"/>
          <w:sz w:val="28"/>
          <w:szCs w:val="24"/>
          <w:lang w:eastAsia="ru-RU"/>
        </w:rPr>
        <w:t>получением удостоверений (швеи, водители, слесари);</w:t>
      </w:r>
    </w:p>
    <w:p w:rsidR="002D1E45" w:rsidRPr="00016BF0" w:rsidRDefault="002D1E45" w:rsidP="00D05D06">
      <w:pPr>
        <w:numPr>
          <w:ilvl w:val="0"/>
          <w:numId w:val="60"/>
        </w:numPr>
        <w:spacing w:after="0" w:line="240" w:lineRule="auto"/>
        <w:jc w:val="both"/>
        <w:rPr>
          <w:rFonts w:ascii="Times New Roman" w:hAnsi="Times New Roman"/>
          <w:sz w:val="28"/>
          <w:szCs w:val="24"/>
          <w:lang w:eastAsia="ru-RU"/>
        </w:rPr>
      </w:pPr>
      <w:r w:rsidRPr="00016BF0">
        <w:rPr>
          <w:rFonts w:ascii="Times New Roman" w:hAnsi="Times New Roman"/>
          <w:sz w:val="28"/>
          <w:szCs w:val="24"/>
          <w:lang w:eastAsia="ru-RU"/>
        </w:rPr>
        <w:t>развитие системы общественного контроля деятельности образовательных учреждений (организация общественных, управляющих, попечительских Советов).</w:t>
      </w:r>
    </w:p>
    <w:p w:rsidR="002D1E45" w:rsidRPr="00016BF0" w:rsidRDefault="002D1E45" w:rsidP="00016BF0">
      <w:pPr>
        <w:spacing w:after="0" w:line="240" w:lineRule="auto"/>
        <w:jc w:val="right"/>
        <w:rPr>
          <w:rFonts w:ascii="Times New Roman" w:hAnsi="Times New Roman"/>
          <w:sz w:val="28"/>
          <w:szCs w:val="28"/>
        </w:rPr>
      </w:pPr>
      <w:r w:rsidRPr="00016BF0">
        <w:rPr>
          <w:rFonts w:ascii="Times New Roman" w:hAnsi="Times New Roman"/>
          <w:sz w:val="28"/>
          <w:szCs w:val="28"/>
        </w:rPr>
        <w:t xml:space="preserve">Таблица </w:t>
      </w:r>
      <w:r w:rsidRPr="00016BF0">
        <w:rPr>
          <w:rFonts w:ascii="Times New Roman" w:hAnsi="Times New Roman"/>
          <w:sz w:val="28"/>
          <w:szCs w:val="28"/>
        </w:rPr>
        <w:fldChar w:fldCharType="begin"/>
      </w:r>
      <w:r w:rsidRPr="00016BF0">
        <w:rPr>
          <w:rFonts w:ascii="Times New Roman" w:hAnsi="Times New Roman"/>
          <w:sz w:val="28"/>
          <w:szCs w:val="28"/>
        </w:rPr>
        <w:instrText xml:space="preserve"> SEQ Таблица \* ARABIC </w:instrText>
      </w:r>
      <w:r w:rsidRPr="00016BF0">
        <w:rPr>
          <w:rFonts w:ascii="Times New Roman" w:hAnsi="Times New Roman"/>
          <w:sz w:val="28"/>
          <w:szCs w:val="28"/>
        </w:rPr>
        <w:fldChar w:fldCharType="separate"/>
      </w:r>
      <w:r>
        <w:rPr>
          <w:rFonts w:ascii="Times New Roman" w:hAnsi="Times New Roman"/>
          <w:noProof/>
          <w:sz w:val="28"/>
          <w:szCs w:val="28"/>
        </w:rPr>
        <w:t>52</w:t>
      </w:r>
      <w:r w:rsidRPr="00016BF0">
        <w:rPr>
          <w:rFonts w:ascii="Times New Roman" w:hAnsi="Times New Roman"/>
          <w:sz w:val="28"/>
          <w:szCs w:val="28"/>
        </w:rPr>
        <w:fldChar w:fldCharType="end"/>
      </w:r>
    </w:p>
    <w:p w:rsidR="002D1E45" w:rsidRPr="00016BF0" w:rsidRDefault="002D1E45" w:rsidP="00016BF0">
      <w:pPr>
        <w:spacing w:after="120" w:line="240" w:lineRule="auto"/>
        <w:jc w:val="center"/>
        <w:rPr>
          <w:rFonts w:ascii="Times New Roman" w:hAnsi="Times New Roman"/>
          <w:sz w:val="28"/>
          <w:szCs w:val="24"/>
          <w:lang w:eastAsia="ru-RU"/>
        </w:rPr>
      </w:pPr>
      <w:r w:rsidRPr="00016BF0">
        <w:rPr>
          <w:rFonts w:ascii="Times New Roman" w:hAnsi="Times New Roman"/>
          <w:sz w:val="28"/>
          <w:szCs w:val="24"/>
          <w:lang w:eastAsia="ru-RU"/>
        </w:rPr>
        <w:t>Расчёт потребности в</w:t>
      </w:r>
      <w:r>
        <w:rPr>
          <w:rFonts w:ascii="Times New Roman" w:hAnsi="Times New Roman"/>
          <w:sz w:val="28"/>
          <w:szCs w:val="24"/>
          <w:lang w:eastAsia="ru-RU"/>
        </w:rPr>
        <w:t> </w:t>
      </w:r>
      <w:r w:rsidRPr="00016BF0">
        <w:rPr>
          <w:rFonts w:ascii="Times New Roman" w:hAnsi="Times New Roman"/>
          <w:sz w:val="28"/>
          <w:szCs w:val="24"/>
          <w:lang w:eastAsia="ru-RU"/>
        </w:rPr>
        <w:t>объектах общего образования</w:t>
      </w:r>
    </w:p>
    <w:tbl>
      <w:tblPr>
        <w:tblW w:w="10627" w:type="dxa"/>
        <w:jc w:val="center"/>
        <w:tblLayout w:type="fixed"/>
        <w:tblLook w:val="00A0"/>
      </w:tblPr>
      <w:tblGrid>
        <w:gridCol w:w="2122"/>
        <w:gridCol w:w="1559"/>
        <w:gridCol w:w="1276"/>
        <w:gridCol w:w="1308"/>
        <w:gridCol w:w="1471"/>
        <w:gridCol w:w="1506"/>
        <w:gridCol w:w="1385"/>
      </w:tblGrid>
      <w:tr w:rsidR="002D1E45" w:rsidRPr="00001379" w:rsidTr="008E3B1C">
        <w:trPr>
          <w:trHeight w:val="170"/>
          <w:tblHeader/>
          <w:jc w:val="center"/>
        </w:trPr>
        <w:tc>
          <w:tcPr>
            <w:tcW w:w="2122"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001379" w:rsidRDefault="002D1E45" w:rsidP="00001379">
            <w:pPr>
              <w:spacing w:after="0" w:line="240" w:lineRule="auto"/>
              <w:jc w:val="center"/>
              <w:rPr>
                <w:rFonts w:ascii="Times New Roman" w:hAnsi="Times New Roman"/>
                <w:color w:val="000000"/>
                <w:lang w:eastAsia="ru-RU"/>
              </w:rPr>
            </w:pPr>
            <w:r w:rsidRPr="00001379">
              <w:rPr>
                <w:rFonts w:ascii="Times New Roman" w:hAnsi="Times New Roman"/>
                <w:color w:val="000000"/>
                <w:lang w:eastAsia="ru-RU"/>
              </w:rPr>
              <w:t>Населённый пункт</w:t>
            </w:r>
          </w:p>
        </w:tc>
        <w:tc>
          <w:tcPr>
            <w:tcW w:w="1559"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001379" w:rsidRDefault="002D1E45" w:rsidP="00001379">
            <w:pPr>
              <w:spacing w:after="0" w:line="240" w:lineRule="auto"/>
              <w:jc w:val="center"/>
              <w:rPr>
                <w:rFonts w:ascii="Times New Roman" w:hAnsi="Times New Roman"/>
                <w:color w:val="000000"/>
                <w:lang w:eastAsia="ru-RU"/>
              </w:rPr>
            </w:pPr>
            <w:r w:rsidRPr="00001379">
              <w:rPr>
                <w:rFonts w:ascii="Times New Roman" w:hAnsi="Times New Roman"/>
                <w:color w:val="000000"/>
                <w:lang w:eastAsia="ru-RU"/>
              </w:rPr>
              <w:t xml:space="preserve">Численность </w:t>
            </w:r>
            <w:r>
              <w:rPr>
                <w:rFonts w:ascii="Times New Roman" w:hAnsi="Times New Roman"/>
                <w:color w:val="000000"/>
                <w:lang w:eastAsia="ru-RU"/>
              </w:rPr>
              <w:t>школьников</w:t>
            </w:r>
            <w:r w:rsidRPr="00001379">
              <w:rPr>
                <w:rFonts w:ascii="Times New Roman" w:hAnsi="Times New Roman"/>
                <w:color w:val="000000"/>
                <w:lang w:eastAsia="ru-RU"/>
              </w:rPr>
              <w:t>, расчётный срок (20</w:t>
            </w:r>
            <w:r>
              <w:rPr>
                <w:rFonts w:ascii="Times New Roman" w:hAnsi="Times New Roman"/>
                <w:color w:val="000000"/>
                <w:lang w:eastAsia="ru-RU"/>
              </w:rPr>
              <w:t xml:space="preserve">40 </w:t>
            </w:r>
            <w:r w:rsidRPr="00001379">
              <w:rPr>
                <w:rFonts w:ascii="Times New Roman" w:hAnsi="Times New Roman"/>
                <w:color w:val="000000"/>
                <w:lang w:eastAsia="ru-RU"/>
              </w:rPr>
              <w:t>г.)</w:t>
            </w:r>
          </w:p>
        </w:tc>
        <w:tc>
          <w:tcPr>
            <w:tcW w:w="1276"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001379" w:rsidRDefault="002D1E45" w:rsidP="00001379">
            <w:pPr>
              <w:spacing w:after="0" w:line="240" w:lineRule="auto"/>
              <w:jc w:val="center"/>
              <w:rPr>
                <w:rFonts w:ascii="Times New Roman" w:hAnsi="Times New Roman"/>
                <w:color w:val="000000"/>
                <w:lang w:eastAsia="ru-RU"/>
              </w:rPr>
            </w:pPr>
            <w:r w:rsidRPr="00001379">
              <w:rPr>
                <w:rFonts w:ascii="Times New Roman" w:hAnsi="Times New Roman"/>
                <w:color w:val="000000"/>
                <w:lang w:eastAsia="ru-RU"/>
              </w:rPr>
              <w:t xml:space="preserve">Численность </w:t>
            </w:r>
            <w:r>
              <w:rPr>
                <w:rFonts w:ascii="Times New Roman" w:hAnsi="Times New Roman"/>
                <w:color w:val="000000"/>
                <w:lang w:eastAsia="ru-RU"/>
              </w:rPr>
              <w:t>школьников</w:t>
            </w:r>
            <w:r w:rsidRPr="00001379">
              <w:rPr>
                <w:rFonts w:ascii="Times New Roman" w:hAnsi="Times New Roman"/>
                <w:color w:val="000000"/>
                <w:lang w:eastAsia="ru-RU"/>
              </w:rPr>
              <w:t>, 20</w:t>
            </w:r>
            <w:r>
              <w:rPr>
                <w:rFonts w:ascii="Times New Roman" w:hAnsi="Times New Roman"/>
                <w:color w:val="000000"/>
                <w:lang w:eastAsia="ru-RU"/>
              </w:rPr>
              <w:t>20</w:t>
            </w:r>
            <w:r w:rsidRPr="00001379">
              <w:rPr>
                <w:rFonts w:ascii="Times New Roman" w:hAnsi="Times New Roman"/>
                <w:color w:val="000000"/>
                <w:lang w:eastAsia="ru-RU"/>
              </w:rPr>
              <w:t xml:space="preserve"> г.</w:t>
            </w:r>
          </w:p>
        </w:tc>
        <w:tc>
          <w:tcPr>
            <w:tcW w:w="5670" w:type="dxa"/>
            <w:gridSpan w:val="4"/>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001379" w:rsidRDefault="002D1E45" w:rsidP="00001379">
            <w:pPr>
              <w:spacing w:after="0" w:line="240" w:lineRule="auto"/>
              <w:jc w:val="center"/>
              <w:rPr>
                <w:rFonts w:ascii="Times New Roman" w:hAnsi="Times New Roman"/>
                <w:color w:val="000000"/>
                <w:lang w:eastAsia="ru-RU"/>
              </w:rPr>
            </w:pPr>
            <w:r w:rsidRPr="00001379">
              <w:rPr>
                <w:rFonts w:ascii="Times New Roman" w:hAnsi="Times New Roman"/>
                <w:color w:val="000000"/>
                <w:lang w:eastAsia="ru-RU"/>
              </w:rPr>
              <w:t>Существующее и</w:t>
            </w:r>
            <w:r>
              <w:rPr>
                <w:rFonts w:ascii="Times New Roman" w:hAnsi="Times New Roman"/>
                <w:color w:val="000000"/>
                <w:lang w:eastAsia="ru-RU"/>
              </w:rPr>
              <w:t> </w:t>
            </w:r>
            <w:r w:rsidRPr="00001379">
              <w:rPr>
                <w:rFonts w:ascii="Times New Roman" w:hAnsi="Times New Roman"/>
                <w:color w:val="000000"/>
                <w:lang w:eastAsia="ru-RU"/>
              </w:rPr>
              <w:t xml:space="preserve">расчётное количество мест средних общеобразовательных школ </w:t>
            </w:r>
          </w:p>
        </w:tc>
      </w:tr>
      <w:tr w:rsidR="002D1E45" w:rsidRPr="00001379" w:rsidTr="008E3B1C">
        <w:trPr>
          <w:trHeight w:val="170"/>
          <w:tblHeader/>
          <w:jc w:val="center"/>
        </w:trPr>
        <w:tc>
          <w:tcPr>
            <w:tcW w:w="2122" w:type="dxa"/>
            <w:vMerge/>
            <w:tcBorders>
              <w:top w:val="single" w:sz="4" w:space="0" w:color="auto"/>
              <w:left w:val="single" w:sz="4" w:space="0" w:color="auto"/>
              <w:bottom w:val="single" w:sz="4" w:space="0" w:color="auto"/>
              <w:right w:val="single" w:sz="4" w:space="0" w:color="auto"/>
            </w:tcBorders>
            <w:vAlign w:val="center"/>
          </w:tcPr>
          <w:p w:rsidR="002D1E45" w:rsidRPr="00001379" w:rsidRDefault="002D1E45" w:rsidP="008E3B1C">
            <w:pPr>
              <w:spacing w:after="0" w:line="240" w:lineRule="auto"/>
              <w:rPr>
                <w:rFonts w:ascii="Times New Roman" w:hAnsi="Times New Roman"/>
                <w:color w:val="000000"/>
                <w:lang w:eastAsia="ru-RU"/>
              </w:rPr>
            </w:pPr>
          </w:p>
        </w:tc>
        <w:tc>
          <w:tcPr>
            <w:tcW w:w="1559" w:type="dxa"/>
            <w:vMerge/>
            <w:tcBorders>
              <w:top w:val="single" w:sz="4" w:space="0" w:color="auto"/>
              <w:left w:val="single" w:sz="4" w:space="0" w:color="auto"/>
              <w:bottom w:val="single" w:sz="4" w:space="0" w:color="auto"/>
              <w:right w:val="single" w:sz="4" w:space="0" w:color="auto"/>
            </w:tcBorders>
            <w:vAlign w:val="center"/>
          </w:tcPr>
          <w:p w:rsidR="002D1E45" w:rsidRPr="00001379" w:rsidRDefault="002D1E45" w:rsidP="008E3B1C">
            <w:pPr>
              <w:spacing w:after="0" w:line="240" w:lineRule="auto"/>
              <w:rPr>
                <w:rFonts w:ascii="Times New Roman" w:hAnsi="Times New Roman"/>
                <w:color w:val="000000"/>
                <w:lang w:eastAsia="ru-RU"/>
              </w:rPr>
            </w:pPr>
          </w:p>
        </w:tc>
        <w:tc>
          <w:tcPr>
            <w:tcW w:w="1276" w:type="dxa"/>
            <w:vMerge/>
            <w:tcBorders>
              <w:top w:val="single" w:sz="4" w:space="0" w:color="auto"/>
              <w:left w:val="single" w:sz="4" w:space="0" w:color="auto"/>
              <w:bottom w:val="single" w:sz="4" w:space="0" w:color="auto"/>
              <w:right w:val="single" w:sz="4" w:space="0" w:color="auto"/>
            </w:tcBorders>
            <w:vAlign w:val="center"/>
          </w:tcPr>
          <w:p w:rsidR="002D1E45" w:rsidRPr="00001379" w:rsidRDefault="002D1E45" w:rsidP="008E3B1C">
            <w:pPr>
              <w:spacing w:after="0" w:line="240" w:lineRule="auto"/>
              <w:rPr>
                <w:rFonts w:ascii="Times New Roman" w:hAnsi="Times New Roman"/>
                <w:color w:val="000000"/>
                <w:lang w:eastAsia="ru-RU"/>
              </w:rPr>
            </w:pPr>
          </w:p>
        </w:tc>
        <w:tc>
          <w:tcPr>
            <w:tcW w:w="130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001379" w:rsidRDefault="002D1E45" w:rsidP="008E3B1C">
            <w:pPr>
              <w:spacing w:after="0" w:line="240" w:lineRule="auto"/>
              <w:jc w:val="center"/>
              <w:rPr>
                <w:rFonts w:ascii="Times New Roman" w:hAnsi="Times New Roman"/>
                <w:color w:val="000000"/>
                <w:lang w:eastAsia="ru-RU"/>
              </w:rPr>
            </w:pPr>
            <w:r w:rsidRPr="00001379">
              <w:rPr>
                <w:rFonts w:ascii="Times New Roman" w:hAnsi="Times New Roman"/>
                <w:color w:val="000000"/>
                <w:lang w:eastAsia="ru-RU"/>
              </w:rPr>
              <w:t>Существующее кол-во мест</w:t>
            </w:r>
          </w:p>
        </w:tc>
        <w:tc>
          <w:tcPr>
            <w:tcW w:w="147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001379" w:rsidRDefault="002D1E45" w:rsidP="008E3B1C">
            <w:pPr>
              <w:spacing w:after="0" w:line="240" w:lineRule="auto"/>
              <w:jc w:val="center"/>
              <w:rPr>
                <w:rFonts w:ascii="Times New Roman" w:hAnsi="Times New Roman"/>
                <w:color w:val="000000"/>
                <w:lang w:eastAsia="ru-RU"/>
              </w:rPr>
            </w:pPr>
            <w:r w:rsidRPr="00001379">
              <w:rPr>
                <w:rFonts w:ascii="Times New Roman" w:hAnsi="Times New Roman"/>
                <w:color w:val="000000"/>
                <w:lang w:eastAsia="ru-RU"/>
              </w:rPr>
              <w:t>Нормативная потребность мест, 20</w:t>
            </w:r>
            <w:r>
              <w:rPr>
                <w:rFonts w:ascii="Times New Roman" w:hAnsi="Times New Roman"/>
                <w:color w:val="000000"/>
                <w:lang w:eastAsia="ru-RU"/>
              </w:rPr>
              <w:t>20</w:t>
            </w:r>
            <w:r w:rsidRPr="00001379">
              <w:rPr>
                <w:rFonts w:ascii="Times New Roman" w:hAnsi="Times New Roman"/>
                <w:color w:val="000000"/>
                <w:lang w:eastAsia="ru-RU"/>
              </w:rPr>
              <w:t xml:space="preserve"> г.</w:t>
            </w:r>
          </w:p>
        </w:tc>
        <w:tc>
          <w:tcPr>
            <w:tcW w:w="1506"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001379" w:rsidRDefault="002D1E45" w:rsidP="008E3B1C">
            <w:pPr>
              <w:spacing w:after="0" w:line="240" w:lineRule="auto"/>
              <w:jc w:val="center"/>
              <w:rPr>
                <w:rFonts w:ascii="Times New Roman" w:hAnsi="Times New Roman"/>
                <w:color w:val="000000"/>
                <w:lang w:eastAsia="ru-RU"/>
              </w:rPr>
            </w:pPr>
            <w:r w:rsidRPr="00001379">
              <w:rPr>
                <w:rFonts w:ascii="Times New Roman" w:hAnsi="Times New Roman"/>
                <w:color w:val="000000"/>
                <w:lang w:eastAsia="ru-RU"/>
              </w:rPr>
              <w:t>Прогнозируемая потребность мест, 20</w:t>
            </w:r>
            <w:r>
              <w:rPr>
                <w:rFonts w:ascii="Times New Roman" w:hAnsi="Times New Roman"/>
                <w:color w:val="000000"/>
                <w:lang w:eastAsia="ru-RU"/>
              </w:rPr>
              <w:t>40</w:t>
            </w:r>
            <w:r w:rsidRPr="00001379">
              <w:rPr>
                <w:rFonts w:ascii="Times New Roman" w:hAnsi="Times New Roman"/>
                <w:color w:val="000000"/>
                <w:lang w:eastAsia="ru-RU"/>
              </w:rPr>
              <w:t xml:space="preserve"> г.</w:t>
            </w:r>
          </w:p>
        </w:tc>
        <w:tc>
          <w:tcPr>
            <w:tcW w:w="138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001379" w:rsidRDefault="002D1E45" w:rsidP="008E3B1C">
            <w:pPr>
              <w:spacing w:after="0" w:line="240" w:lineRule="auto"/>
              <w:jc w:val="center"/>
              <w:rPr>
                <w:rFonts w:ascii="Times New Roman" w:hAnsi="Times New Roman"/>
                <w:color w:val="000000"/>
                <w:lang w:eastAsia="ru-RU"/>
              </w:rPr>
            </w:pPr>
            <w:r w:rsidRPr="00001379">
              <w:rPr>
                <w:rFonts w:ascii="Times New Roman" w:hAnsi="Times New Roman"/>
                <w:color w:val="000000"/>
                <w:lang w:eastAsia="ru-RU"/>
              </w:rPr>
              <w:t>Дефицит (-) / Избыток (+)</w:t>
            </w:r>
          </w:p>
        </w:tc>
      </w:tr>
      <w:tr w:rsidR="002D1E45" w:rsidRPr="00001379" w:rsidTr="003175D3">
        <w:trPr>
          <w:trHeight w:val="170"/>
          <w:jc w:val="center"/>
        </w:trPr>
        <w:tc>
          <w:tcPr>
            <w:tcW w:w="2122"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tcPr>
          <w:p w:rsidR="002D1E45" w:rsidRPr="005C45D9" w:rsidRDefault="002D1E45" w:rsidP="00DE7C17">
            <w:pPr>
              <w:spacing w:after="0" w:line="240" w:lineRule="auto"/>
              <w:rPr>
                <w:rFonts w:ascii="Times New Roman" w:hAnsi="Times New Roman"/>
                <w:color w:val="000000"/>
                <w:lang w:eastAsia="ru-RU"/>
              </w:rPr>
            </w:pPr>
            <w:r>
              <w:rPr>
                <w:rFonts w:ascii="Times New Roman" w:hAnsi="Times New Roman"/>
                <w:color w:val="000000"/>
                <w:lang w:eastAsia="ru-RU"/>
              </w:rPr>
              <w:t>г. Куйбышев</w:t>
            </w:r>
          </w:p>
        </w:tc>
        <w:tc>
          <w:tcPr>
            <w:tcW w:w="1559"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tcPr>
          <w:p w:rsidR="002D1E45" w:rsidRPr="000A1A46" w:rsidRDefault="002D1E45" w:rsidP="00DE7C17">
            <w:pPr>
              <w:spacing w:after="0" w:line="240" w:lineRule="auto"/>
              <w:jc w:val="center"/>
              <w:rPr>
                <w:rFonts w:ascii="Times New Roman" w:hAnsi="Times New Roman"/>
                <w:color w:val="000000"/>
                <w:lang w:eastAsia="ru-RU"/>
              </w:rPr>
            </w:pPr>
            <w:r w:rsidRPr="00DE7C17">
              <w:rPr>
                <w:rFonts w:ascii="Times New Roman" w:hAnsi="Times New Roman"/>
                <w:color w:val="000000"/>
                <w:lang w:eastAsia="ru-RU"/>
              </w:rPr>
              <w:t>4 285</w:t>
            </w:r>
          </w:p>
        </w:tc>
        <w:tc>
          <w:tcPr>
            <w:tcW w:w="1276" w:type="dxa"/>
            <w:tcBorders>
              <w:top w:val="single" w:sz="4" w:space="0" w:color="auto"/>
              <w:left w:val="nil"/>
              <w:bottom w:val="single" w:sz="4" w:space="0" w:color="auto"/>
              <w:right w:val="single" w:sz="4" w:space="0" w:color="auto"/>
            </w:tcBorders>
            <w:tcMar>
              <w:top w:w="15" w:type="dxa"/>
              <w:left w:w="108" w:type="dxa"/>
              <w:bottom w:w="15" w:type="dxa"/>
              <w:right w:w="108" w:type="dxa"/>
            </w:tcMar>
          </w:tcPr>
          <w:p w:rsidR="002D1E45" w:rsidRPr="000A1A46" w:rsidRDefault="002D1E45" w:rsidP="00DE7C17">
            <w:pPr>
              <w:spacing w:after="0" w:line="240" w:lineRule="auto"/>
              <w:jc w:val="center"/>
              <w:rPr>
                <w:rFonts w:ascii="Times New Roman" w:hAnsi="Times New Roman"/>
                <w:color w:val="000000"/>
                <w:lang w:eastAsia="ru-RU"/>
              </w:rPr>
            </w:pPr>
            <w:r w:rsidRPr="00DE7C17">
              <w:rPr>
                <w:rFonts w:ascii="Times New Roman" w:hAnsi="Times New Roman"/>
                <w:color w:val="000000"/>
                <w:lang w:eastAsia="ru-RU"/>
              </w:rPr>
              <w:t>5 124</w:t>
            </w:r>
          </w:p>
        </w:tc>
        <w:tc>
          <w:tcPr>
            <w:tcW w:w="1308" w:type="dxa"/>
            <w:tcBorders>
              <w:top w:val="single" w:sz="4" w:space="0" w:color="auto"/>
              <w:left w:val="nil"/>
              <w:bottom w:val="single" w:sz="4" w:space="0" w:color="auto"/>
              <w:right w:val="single" w:sz="4" w:space="0" w:color="auto"/>
            </w:tcBorders>
            <w:tcMar>
              <w:top w:w="15" w:type="dxa"/>
              <w:left w:w="108" w:type="dxa"/>
              <w:bottom w:w="15" w:type="dxa"/>
              <w:right w:w="108" w:type="dxa"/>
            </w:tcMar>
          </w:tcPr>
          <w:p w:rsidR="002D1E45" w:rsidRPr="000A1A46" w:rsidRDefault="002D1E45" w:rsidP="00DE7C17">
            <w:pPr>
              <w:spacing w:after="0" w:line="240" w:lineRule="auto"/>
              <w:jc w:val="center"/>
              <w:rPr>
                <w:rFonts w:ascii="Times New Roman" w:hAnsi="Times New Roman"/>
                <w:color w:val="000000"/>
                <w:lang w:eastAsia="ru-RU"/>
              </w:rPr>
            </w:pPr>
            <w:r w:rsidRPr="00DE7C17">
              <w:rPr>
                <w:rFonts w:ascii="Times New Roman" w:hAnsi="Times New Roman"/>
                <w:color w:val="000000"/>
                <w:lang w:eastAsia="ru-RU"/>
              </w:rPr>
              <w:t>5048</w:t>
            </w:r>
          </w:p>
        </w:tc>
        <w:tc>
          <w:tcPr>
            <w:tcW w:w="1471" w:type="dxa"/>
            <w:tcBorders>
              <w:top w:val="single" w:sz="4" w:space="0" w:color="auto"/>
              <w:left w:val="nil"/>
              <w:bottom w:val="single" w:sz="4" w:space="0" w:color="auto"/>
              <w:right w:val="single" w:sz="4" w:space="0" w:color="auto"/>
            </w:tcBorders>
            <w:tcMar>
              <w:top w:w="15" w:type="dxa"/>
              <w:left w:w="108" w:type="dxa"/>
              <w:bottom w:w="15" w:type="dxa"/>
              <w:right w:w="108" w:type="dxa"/>
            </w:tcMar>
          </w:tcPr>
          <w:p w:rsidR="002D1E45" w:rsidRPr="000A1A46" w:rsidRDefault="002D1E45" w:rsidP="00DE7C17">
            <w:pPr>
              <w:spacing w:after="0" w:line="240" w:lineRule="auto"/>
              <w:jc w:val="center"/>
              <w:rPr>
                <w:rFonts w:ascii="Times New Roman" w:hAnsi="Times New Roman"/>
                <w:color w:val="000000"/>
                <w:lang w:eastAsia="ru-RU"/>
              </w:rPr>
            </w:pPr>
            <w:r w:rsidRPr="00DE7C17">
              <w:rPr>
                <w:rFonts w:ascii="Times New Roman" w:hAnsi="Times New Roman"/>
                <w:color w:val="000000"/>
                <w:lang w:eastAsia="ru-RU"/>
              </w:rPr>
              <w:t>5031</w:t>
            </w:r>
          </w:p>
        </w:tc>
        <w:tc>
          <w:tcPr>
            <w:tcW w:w="1506" w:type="dxa"/>
            <w:tcBorders>
              <w:top w:val="single" w:sz="4" w:space="0" w:color="auto"/>
              <w:left w:val="nil"/>
              <w:bottom w:val="single" w:sz="4" w:space="0" w:color="auto"/>
              <w:right w:val="single" w:sz="4" w:space="0" w:color="auto"/>
            </w:tcBorders>
            <w:tcMar>
              <w:top w:w="15" w:type="dxa"/>
              <w:left w:w="108" w:type="dxa"/>
              <w:bottom w:w="15" w:type="dxa"/>
              <w:right w:w="108" w:type="dxa"/>
            </w:tcMar>
          </w:tcPr>
          <w:p w:rsidR="002D1E45" w:rsidRPr="000A1A46" w:rsidRDefault="002D1E45" w:rsidP="00DE7C17">
            <w:pPr>
              <w:spacing w:after="0" w:line="240" w:lineRule="auto"/>
              <w:jc w:val="center"/>
              <w:rPr>
                <w:rFonts w:ascii="Times New Roman" w:hAnsi="Times New Roman"/>
                <w:color w:val="000000"/>
                <w:lang w:eastAsia="ru-RU"/>
              </w:rPr>
            </w:pPr>
            <w:r w:rsidRPr="00DE7C17">
              <w:rPr>
                <w:rFonts w:ascii="Times New Roman" w:hAnsi="Times New Roman"/>
                <w:color w:val="000000"/>
                <w:lang w:eastAsia="ru-RU"/>
              </w:rPr>
              <w:t>4207</w:t>
            </w:r>
          </w:p>
        </w:tc>
        <w:tc>
          <w:tcPr>
            <w:tcW w:w="1385" w:type="dxa"/>
            <w:tcBorders>
              <w:top w:val="single" w:sz="4" w:space="0" w:color="auto"/>
              <w:left w:val="nil"/>
              <w:bottom w:val="single" w:sz="4" w:space="0" w:color="auto"/>
              <w:right w:val="single" w:sz="4" w:space="0" w:color="auto"/>
            </w:tcBorders>
            <w:tcMar>
              <w:top w:w="15" w:type="dxa"/>
              <w:left w:w="108" w:type="dxa"/>
              <w:bottom w:w="15" w:type="dxa"/>
              <w:right w:w="108" w:type="dxa"/>
            </w:tcMar>
          </w:tcPr>
          <w:p w:rsidR="002D1E45" w:rsidRPr="000A1A46" w:rsidRDefault="002D1E45" w:rsidP="00DE7C17">
            <w:pPr>
              <w:spacing w:after="0" w:line="240" w:lineRule="auto"/>
              <w:jc w:val="center"/>
              <w:rPr>
                <w:rFonts w:ascii="Times New Roman" w:hAnsi="Times New Roman"/>
                <w:color w:val="000000"/>
                <w:lang w:eastAsia="ru-RU"/>
              </w:rPr>
            </w:pPr>
            <w:r w:rsidRPr="00DE7C17">
              <w:rPr>
                <w:rFonts w:ascii="Times New Roman" w:hAnsi="Times New Roman"/>
                <w:color w:val="000000"/>
                <w:lang w:eastAsia="ru-RU"/>
              </w:rPr>
              <w:t>841</w:t>
            </w:r>
          </w:p>
        </w:tc>
      </w:tr>
    </w:tbl>
    <w:p w:rsidR="002D1E45" w:rsidRDefault="002D1E45" w:rsidP="00642223">
      <w:pPr>
        <w:spacing w:after="0" w:line="240" w:lineRule="auto"/>
        <w:ind w:firstLine="709"/>
        <w:contextualSpacing/>
        <w:jc w:val="both"/>
        <w:rPr>
          <w:rFonts w:ascii="Times New Roman" w:hAnsi="Times New Roman"/>
          <w:sz w:val="28"/>
          <w:szCs w:val="24"/>
        </w:rPr>
      </w:pPr>
    </w:p>
    <w:p w:rsidR="002D1E45" w:rsidRDefault="002D1E45" w:rsidP="00642223">
      <w:pPr>
        <w:spacing w:after="0" w:line="240" w:lineRule="auto"/>
        <w:ind w:firstLine="709"/>
        <w:contextualSpacing/>
        <w:jc w:val="both"/>
        <w:rPr>
          <w:rFonts w:ascii="Times New Roman" w:hAnsi="Times New Roman"/>
          <w:sz w:val="28"/>
          <w:szCs w:val="24"/>
        </w:rPr>
      </w:pPr>
      <w:r w:rsidRPr="00B36659">
        <w:rPr>
          <w:rFonts w:ascii="Times New Roman" w:hAnsi="Times New Roman"/>
          <w:sz w:val="28"/>
          <w:szCs w:val="24"/>
        </w:rPr>
        <w:t xml:space="preserve">В </w:t>
      </w:r>
      <w:r w:rsidRPr="00B36659">
        <w:rPr>
          <w:rFonts w:ascii="Times New Roman" w:hAnsi="Times New Roman"/>
          <w:sz w:val="28"/>
          <w:szCs w:val="24"/>
          <w:lang w:eastAsia="ru-RU"/>
        </w:rPr>
        <w:t xml:space="preserve">целом </w:t>
      </w:r>
      <w:r>
        <w:rPr>
          <w:rFonts w:ascii="Times New Roman" w:hAnsi="Times New Roman"/>
          <w:sz w:val="28"/>
          <w:szCs w:val="24"/>
          <w:lang w:eastAsia="ru-RU"/>
        </w:rPr>
        <w:t>в городе</w:t>
      </w:r>
      <w:r w:rsidRPr="00B36659">
        <w:rPr>
          <w:rFonts w:ascii="Times New Roman" w:hAnsi="Times New Roman"/>
          <w:sz w:val="28"/>
          <w:szCs w:val="24"/>
          <w:lang w:eastAsia="ru-RU"/>
        </w:rPr>
        <w:t xml:space="preserve"> </w:t>
      </w:r>
      <w:r w:rsidRPr="00B36659">
        <w:rPr>
          <w:rFonts w:ascii="Times New Roman" w:hAnsi="Times New Roman"/>
          <w:sz w:val="28"/>
          <w:szCs w:val="24"/>
        </w:rPr>
        <w:t>наблюдается излишек мест в</w:t>
      </w:r>
      <w:r>
        <w:rPr>
          <w:rFonts w:ascii="Times New Roman" w:hAnsi="Times New Roman"/>
          <w:sz w:val="28"/>
          <w:szCs w:val="24"/>
        </w:rPr>
        <w:t> </w:t>
      </w:r>
      <w:r w:rsidRPr="003A7901">
        <w:rPr>
          <w:rFonts w:ascii="Times New Roman" w:hAnsi="Times New Roman"/>
          <w:sz w:val="28"/>
          <w:szCs w:val="24"/>
        </w:rPr>
        <w:t>общеобразовательных</w:t>
      </w:r>
      <w:r w:rsidRPr="00495C08">
        <w:rPr>
          <w:rFonts w:ascii="Times New Roman" w:hAnsi="Times New Roman"/>
          <w:sz w:val="28"/>
          <w:szCs w:val="24"/>
        </w:rPr>
        <w:t xml:space="preserve"> учреждени</w:t>
      </w:r>
      <w:r>
        <w:rPr>
          <w:rFonts w:ascii="Times New Roman" w:hAnsi="Times New Roman"/>
          <w:sz w:val="28"/>
          <w:szCs w:val="24"/>
        </w:rPr>
        <w:t>ях</w:t>
      </w:r>
      <w:r w:rsidRPr="003A7901">
        <w:rPr>
          <w:rFonts w:ascii="Times New Roman" w:hAnsi="Times New Roman"/>
          <w:sz w:val="28"/>
          <w:szCs w:val="24"/>
        </w:rPr>
        <w:t xml:space="preserve">. </w:t>
      </w:r>
      <w:r>
        <w:rPr>
          <w:rFonts w:ascii="Times New Roman" w:hAnsi="Times New Roman"/>
          <w:sz w:val="28"/>
          <w:szCs w:val="24"/>
        </w:rPr>
        <w:t xml:space="preserve">Рекомендуется проведение капитального ремонта зданий существующих образовательных учреждений. </w:t>
      </w:r>
    </w:p>
    <w:p w:rsidR="002D1E45" w:rsidRPr="00016BF0" w:rsidRDefault="002D1E45" w:rsidP="00016BF0">
      <w:pPr>
        <w:spacing w:after="0" w:line="240" w:lineRule="auto"/>
        <w:jc w:val="right"/>
        <w:rPr>
          <w:rFonts w:ascii="Times New Roman" w:hAnsi="Times New Roman"/>
          <w:sz w:val="28"/>
          <w:szCs w:val="28"/>
        </w:rPr>
      </w:pPr>
      <w:r w:rsidRPr="00016BF0">
        <w:rPr>
          <w:rFonts w:ascii="Times New Roman" w:hAnsi="Times New Roman"/>
          <w:sz w:val="28"/>
          <w:szCs w:val="28"/>
        </w:rPr>
        <w:t xml:space="preserve">Таблица </w:t>
      </w:r>
      <w:r w:rsidRPr="00016BF0">
        <w:rPr>
          <w:rFonts w:ascii="Times New Roman" w:hAnsi="Times New Roman"/>
          <w:sz w:val="28"/>
          <w:szCs w:val="28"/>
        </w:rPr>
        <w:fldChar w:fldCharType="begin"/>
      </w:r>
      <w:r w:rsidRPr="00016BF0">
        <w:rPr>
          <w:rFonts w:ascii="Times New Roman" w:hAnsi="Times New Roman"/>
          <w:sz w:val="28"/>
          <w:szCs w:val="28"/>
        </w:rPr>
        <w:instrText xml:space="preserve"> SEQ Таблица \* ARABIC </w:instrText>
      </w:r>
      <w:r w:rsidRPr="00016BF0">
        <w:rPr>
          <w:rFonts w:ascii="Times New Roman" w:hAnsi="Times New Roman"/>
          <w:sz w:val="28"/>
          <w:szCs w:val="28"/>
        </w:rPr>
        <w:fldChar w:fldCharType="separate"/>
      </w:r>
      <w:r>
        <w:rPr>
          <w:rFonts w:ascii="Times New Roman" w:hAnsi="Times New Roman"/>
          <w:noProof/>
          <w:sz w:val="28"/>
          <w:szCs w:val="28"/>
        </w:rPr>
        <w:t>53</w:t>
      </w:r>
      <w:r w:rsidRPr="00016BF0">
        <w:rPr>
          <w:rFonts w:ascii="Times New Roman" w:hAnsi="Times New Roman"/>
          <w:sz w:val="28"/>
          <w:szCs w:val="28"/>
        </w:rPr>
        <w:fldChar w:fldCharType="end"/>
      </w:r>
    </w:p>
    <w:p w:rsidR="002D1E45" w:rsidRDefault="002D1E45" w:rsidP="00016BF0">
      <w:pPr>
        <w:spacing w:after="120" w:line="240" w:lineRule="auto"/>
        <w:jc w:val="center"/>
        <w:rPr>
          <w:rFonts w:ascii="Times New Roman" w:hAnsi="Times New Roman"/>
          <w:sz w:val="28"/>
          <w:szCs w:val="24"/>
          <w:lang w:eastAsia="ru-RU"/>
        </w:rPr>
      </w:pPr>
      <w:r w:rsidRPr="00016BF0">
        <w:rPr>
          <w:rFonts w:ascii="Times New Roman" w:hAnsi="Times New Roman"/>
          <w:sz w:val="28"/>
          <w:szCs w:val="24"/>
          <w:lang w:eastAsia="ru-RU"/>
        </w:rPr>
        <w:t>Расчёт потребности в</w:t>
      </w:r>
      <w:r>
        <w:rPr>
          <w:rFonts w:ascii="Times New Roman" w:hAnsi="Times New Roman"/>
          <w:sz w:val="28"/>
          <w:szCs w:val="24"/>
          <w:lang w:eastAsia="ru-RU"/>
        </w:rPr>
        <w:t> </w:t>
      </w:r>
      <w:r w:rsidRPr="00016BF0">
        <w:rPr>
          <w:rFonts w:ascii="Times New Roman" w:hAnsi="Times New Roman"/>
          <w:sz w:val="28"/>
          <w:szCs w:val="24"/>
          <w:lang w:eastAsia="ru-RU"/>
        </w:rPr>
        <w:t>объектах дошкольного образования</w:t>
      </w:r>
    </w:p>
    <w:tbl>
      <w:tblPr>
        <w:tblW w:w="10628" w:type="dxa"/>
        <w:jc w:val="center"/>
        <w:tblLayout w:type="fixed"/>
        <w:tblLook w:val="00A0"/>
      </w:tblPr>
      <w:tblGrid>
        <w:gridCol w:w="1980"/>
        <w:gridCol w:w="1560"/>
        <w:gridCol w:w="1559"/>
        <w:gridCol w:w="1308"/>
        <w:gridCol w:w="1471"/>
        <w:gridCol w:w="1506"/>
        <w:gridCol w:w="1244"/>
      </w:tblGrid>
      <w:tr w:rsidR="002D1E45" w:rsidRPr="008E3B1C" w:rsidTr="008E3B1C">
        <w:trPr>
          <w:trHeight w:val="283"/>
          <w:tblHeader/>
          <w:jc w:val="center"/>
        </w:trPr>
        <w:tc>
          <w:tcPr>
            <w:tcW w:w="1980"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8E3B1C" w:rsidRDefault="002D1E45" w:rsidP="008E3B1C">
            <w:pPr>
              <w:spacing w:after="0" w:line="240" w:lineRule="auto"/>
              <w:jc w:val="center"/>
              <w:rPr>
                <w:rFonts w:ascii="Times New Roman" w:hAnsi="Times New Roman"/>
                <w:color w:val="000000"/>
                <w:lang w:eastAsia="ru-RU"/>
              </w:rPr>
            </w:pPr>
            <w:r w:rsidRPr="008E3B1C">
              <w:rPr>
                <w:rFonts w:ascii="Times New Roman" w:hAnsi="Times New Roman"/>
                <w:color w:val="000000"/>
                <w:lang w:eastAsia="ru-RU"/>
              </w:rPr>
              <w:t>Населённый пункт</w:t>
            </w:r>
          </w:p>
        </w:tc>
        <w:tc>
          <w:tcPr>
            <w:tcW w:w="1560"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8E3B1C" w:rsidRDefault="002D1E45" w:rsidP="008E3B1C">
            <w:pPr>
              <w:spacing w:after="0" w:line="240" w:lineRule="auto"/>
              <w:jc w:val="center"/>
              <w:rPr>
                <w:rFonts w:ascii="Times New Roman" w:hAnsi="Times New Roman"/>
                <w:color w:val="000000"/>
                <w:lang w:eastAsia="ru-RU"/>
              </w:rPr>
            </w:pPr>
            <w:r w:rsidRPr="008E3B1C">
              <w:rPr>
                <w:rFonts w:ascii="Times New Roman" w:hAnsi="Times New Roman"/>
                <w:color w:val="000000"/>
                <w:lang w:eastAsia="ru-RU"/>
              </w:rPr>
              <w:t xml:space="preserve">Численность </w:t>
            </w:r>
            <w:r>
              <w:rPr>
                <w:rFonts w:ascii="Times New Roman" w:hAnsi="Times New Roman"/>
                <w:color w:val="000000"/>
                <w:lang w:eastAsia="ru-RU"/>
              </w:rPr>
              <w:t>дошкольников</w:t>
            </w:r>
            <w:r w:rsidRPr="008E3B1C">
              <w:rPr>
                <w:rFonts w:ascii="Times New Roman" w:hAnsi="Times New Roman"/>
                <w:color w:val="000000"/>
                <w:lang w:eastAsia="ru-RU"/>
              </w:rPr>
              <w:t>, расчётный срок (20</w:t>
            </w:r>
            <w:r>
              <w:rPr>
                <w:rFonts w:ascii="Times New Roman" w:hAnsi="Times New Roman"/>
                <w:color w:val="000000"/>
                <w:lang w:eastAsia="ru-RU"/>
              </w:rPr>
              <w:t>40</w:t>
            </w:r>
            <w:r w:rsidRPr="008E3B1C">
              <w:rPr>
                <w:rFonts w:ascii="Times New Roman" w:hAnsi="Times New Roman"/>
                <w:color w:val="000000"/>
                <w:lang w:eastAsia="ru-RU"/>
              </w:rPr>
              <w:t xml:space="preserve"> г.)</w:t>
            </w:r>
          </w:p>
        </w:tc>
        <w:tc>
          <w:tcPr>
            <w:tcW w:w="1559"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8E3B1C" w:rsidRDefault="002D1E45" w:rsidP="008E3B1C">
            <w:pPr>
              <w:spacing w:after="0" w:line="240" w:lineRule="auto"/>
              <w:jc w:val="center"/>
              <w:rPr>
                <w:rFonts w:ascii="Times New Roman" w:hAnsi="Times New Roman"/>
                <w:color w:val="000000"/>
                <w:lang w:eastAsia="ru-RU"/>
              </w:rPr>
            </w:pPr>
            <w:r w:rsidRPr="008E3B1C">
              <w:rPr>
                <w:rFonts w:ascii="Times New Roman" w:hAnsi="Times New Roman"/>
                <w:color w:val="000000"/>
                <w:lang w:eastAsia="ru-RU"/>
              </w:rPr>
              <w:t xml:space="preserve">Численность </w:t>
            </w:r>
            <w:r>
              <w:rPr>
                <w:rFonts w:ascii="Times New Roman" w:hAnsi="Times New Roman"/>
                <w:color w:val="000000"/>
                <w:lang w:eastAsia="ru-RU"/>
              </w:rPr>
              <w:t>дошкольников</w:t>
            </w:r>
            <w:r w:rsidRPr="008E3B1C">
              <w:rPr>
                <w:rFonts w:ascii="Times New Roman" w:hAnsi="Times New Roman"/>
                <w:color w:val="000000"/>
                <w:lang w:eastAsia="ru-RU"/>
              </w:rPr>
              <w:t>, 20</w:t>
            </w:r>
            <w:r>
              <w:rPr>
                <w:rFonts w:ascii="Times New Roman" w:hAnsi="Times New Roman"/>
                <w:color w:val="000000"/>
                <w:lang w:eastAsia="ru-RU"/>
              </w:rPr>
              <w:t>20</w:t>
            </w:r>
            <w:r w:rsidRPr="008E3B1C">
              <w:rPr>
                <w:rFonts w:ascii="Times New Roman" w:hAnsi="Times New Roman"/>
                <w:color w:val="000000"/>
                <w:lang w:eastAsia="ru-RU"/>
              </w:rPr>
              <w:t xml:space="preserve"> г.</w:t>
            </w:r>
          </w:p>
        </w:tc>
        <w:tc>
          <w:tcPr>
            <w:tcW w:w="5529" w:type="dxa"/>
            <w:gridSpan w:val="4"/>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8E3B1C" w:rsidRDefault="002D1E45" w:rsidP="008E3B1C">
            <w:pPr>
              <w:spacing w:after="0" w:line="240" w:lineRule="auto"/>
              <w:jc w:val="center"/>
              <w:rPr>
                <w:rFonts w:ascii="Times New Roman" w:hAnsi="Times New Roman"/>
                <w:color w:val="000000"/>
                <w:lang w:eastAsia="ru-RU"/>
              </w:rPr>
            </w:pPr>
            <w:r w:rsidRPr="008E3B1C">
              <w:rPr>
                <w:rFonts w:ascii="Times New Roman" w:hAnsi="Times New Roman"/>
                <w:color w:val="000000"/>
                <w:lang w:eastAsia="ru-RU"/>
              </w:rPr>
              <w:t>Существующее и</w:t>
            </w:r>
            <w:r>
              <w:rPr>
                <w:rFonts w:ascii="Times New Roman" w:hAnsi="Times New Roman"/>
                <w:color w:val="000000"/>
                <w:lang w:eastAsia="ru-RU"/>
              </w:rPr>
              <w:t> </w:t>
            </w:r>
            <w:r w:rsidRPr="008E3B1C">
              <w:rPr>
                <w:rFonts w:ascii="Times New Roman" w:hAnsi="Times New Roman"/>
                <w:color w:val="000000"/>
                <w:lang w:eastAsia="ru-RU"/>
              </w:rPr>
              <w:t>расчётное количество мест в</w:t>
            </w:r>
            <w:r>
              <w:rPr>
                <w:rFonts w:ascii="Times New Roman" w:hAnsi="Times New Roman"/>
                <w:color w:val="000000"/>
                <w:lang w:eastAsia="ru-RU"/>
              </w:rPr>
              <w:t> </w:t>
            </w:r>
            <w:r w:rsidRPr="008E3B1C">
              <w:rPr>
                <w:rFonts w:ascii="Times New Roman" w:hAnsi="Times New Roman"/>
                <w:color w:val="000000"/>
                <w:lang w:eastAsia="ru-RU"/>
              </w:rPr>
              <w:t xml:space="preserve">дошкольных учреждениях </w:t>
            </w:r>
          </w:p>
        </w:tc>
      </w:tr>
      <w:tr w:rsidR="002D1E45" w:rsidRPr="008E3B1C" w:rsidTr="008E3B1C">
        <w:trPr>
          <w:trHeight w:val="283"/>
          <w:tblHeader/>
          <w:jc w:val="center"/>
        </w:trPr>
        <w:tc>
          <w:tcPr>
            <w:tcW w:w="1980" w:type="dxa"/>
            <w:vMerge/>
            <w:tcBorders>
              <w:top w:val="single" w:sz="4" w:space="0" w:color="auto"/>
              <w:left w:val="single" w:sz="4" w:space="0" w:color="auto"/>
              <w:bottom w:val="single" w:sz="4" w:space="0" w:color="auto"/>
              <w:right w:val="single" w:sz="4" w:space="0" w:color="auto"/>
            </w:tcBorders>
            <w:vAlign w:val="center"/>
          </w:tcPr>
          <w:p w:rsidR="002D1E45" w:rsidRPr="008E3B1C" w:rsidRDefault="002D1E45" w:rsidP="008C69F0">
            <w:pPr>
              <w:spacing w:after="0" w:line="240" w:lineRule="auto"/>
              <w:rPr>
                <w:rFonts w:ascii="Times New Roman" w:hAnsi="Times New Roman"/>
                <w:color w:val="000000"/>
                <w:lang w:eastAsia="ru-RU"/>
              </w:rPr>
            </w:pPr>
          </w:p>
        </w:tc>
        <w:tc>
          <w:tcPr>
            <w:tcW w:w="1560" w:type="dxa"/>
            <w:vMerge/>
            <w:tcBorders>
              <w:top w:val="single" w:sz="4" w:space="0" w:color="auto"/>
              <w:left w:val="single" w:sz="4" w:space="0" w:color="auto"/>
              <w:bottom w:val="single" w:sz="4" w:space="0" w:color="auto"/>
              <w:right w:val="single" w:sz="4" w:space="0" w:color="auto"/>
            </w:tcBorders>
            <w:vAlign w:val="center"/>
          </w:tcPr>
          <w:p w:rsidR="002D1E45" w:rsidRPr="008E3B1C" w:rsidRDefault="002D1E45" w:rsidP="008C69F0">
            <w:pPr>
              <w:spacing w:after="0" w:line="240" w:lineRule="auto"/>
              <w:rPr>
                <w:rFonts w:ascii="Times New Roman" w:hAnsi="Times New Roman"/>
                <w:color w:val="000000"/>
                <w:lang w:eastAsia="ru-RU"/>
              </w:rPr>
            </w:pPr>
          </w:p>
        </w:tc>
        <w:tc>
          <w:tcPr>
            <w:tcW w:w="1559" w:type="dxa"/>
            <w:vMerge/>
            <w:tcBorders>
              <w:top w:val="single" w:sz="4" w:space="0" w:color="auto"/>
              <w:left w:val="single" w:sz="4" w:space="0" w:color="auto"/>
              <w:bottom w:val="single" w:sz="4" w:space="0" w:color="auto"/>
              <w:right w:val="single" w:sz="4" w:space="0" w:color="auto"/>
            </w:tcBorders>
            <w:vAlign w:val="center"/>
          </w:tcPr>
          <w:p w:rsidR="002D1E45" w:rsidRPr="008E3B1C" w:rsidRDefault="002D1E45" w:rsidP="008C69F0">
            <w:pPr>
              <w:spacing w:after="0" w:line="240" w:lineRule="auto"/>
              <w:rPr>
                <w:rFonts w:ascii="Times New Roman" w:hAnsi="Times New Roman"/>
                <w:color w:val="000000"/>
                <w:lang w:eastAsia="ru-RU"/>
              </w:rPr>
            </w:pPr>
          </w:p>
        </w:tc>
        <w:tc>
          <w:tcPr>
            <w:tcW w:w="130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8E3B1C" w:rsidRDefault="002D1E45" w:rsidP="008C69F0">
            <w:pPr>
              <w:spacing w:after="0" w:line="240" w:lineRule="auto"/>
              <w:jc w:val="center"/>
              <w:rPr>
                <w:rFonts w:ascii="Times New Roman" w:hAnsi="Times New Roman"/>
                <w:color w:val="000000"/>
                <w:lang w:eastAsia="ru-RU"/>
              </w:rPr>
            </w:pPr>
            <w:r w:rsidRPr="008E3B1C">
              <w:rPr>
                <w:rFonts w:ascii="Times New Roman" w:hAnsi="Times New Roman"/>
                <w:color w:val="000000"/>
                <w:lang w:eastAsia="ru-RU"/>
              </w:rPr>
              <w:t>Существующее кол-во мест</w:t>
            </w:r>
          </w:p>
        </w:tc>
        <w:tc>
          <w:tcPr>
            <w:tcW w:w="147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8E3B1C" w:rsidRDefault="002D1E45" w:rsidP="008C69F0">
            <w:pPr>
              <w:spacing w:after="0" w:line="240" w:lineRule="auto"/>
              <w:jc w:val="center"/>
              <w:rPr>
                <w:rFonts w:ascii="Times New Roman" w:hAnsi="Times New Roman"/>
                <w:color w:val="000000"/>
                <w:lang w:eastAsia="ru-RU"/>
              </w:rPr>
            </w:pPr>
            <w:r w:rsidRPr="008E3B1C">
              <w:rPr>
                <w:rFonts w:ascii="Times New Roman" w:hAnsi="Times New Roman"/>
                <w:color w:val="000000"/>
                <w:lang w:eastAsia="ru-RU"/>
              </w:rPr>
              <w:t>Нормативная потребность мест, 20</w:t>
            </w:r>
            <w:r>
              <w:rPr>
                <w:rFonts w:ascii="Times New Roman" w:hAnsi="Times New Roman"/>
                <w:color w:val="000000"/>
                <w:lang w:eastAsia="ru-RU"/>
              </w:rPr>
              <w:t>20</w:t>
            </w:r>
            <w:r w:rsidRPr="008E3B1C">
              <w:rPr>
                <w:rFonts w:ascii="Times New Roman" w:hAnsi="Times New Roman"/>
                <w:color w:val="000000"/>
                <w:lang w:eastAsia="ru-RU"/>
              </w:rPr>
              <w:t xml:space="preserve"> г.</w:t>
            </w:r>
          </w:p>
        </w:tc>
        <w:tc>
          <w:tcPr>
            <w:tcW w:w="1506"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8E3B1C" w:rsidRDefault="002D1E45" w:rsidP="008C69F0">
            <w:pPr>
              <w:spacing w:after="0" w:line="240" w:lineRule="auto"/>
              <w:jc w:val="center"/>
              <w:rPr>
                <w:rFonts w:ascii="Times New Roman" w:hAnsi="Times New Roman"/>
                <w:color w:val="000000"/>
                <w:lang w:eastAsia="ru-RU"/>
              </w:rPr>
            </w:pPr>
            <w:r w:rsidRPr="008E3B1C">
              <w:rPr>
                <w:rFonts w:ascii="Times New Roman" w:hAnsi="Times New Roman"/>
                <w:color w:val="000000"/>
                <w:lang w:eastAsia="ru-RU"/>
              </w:rPr>
              <w:t>Прогнозируемая потребность мест, 20</w:t>
            </w:r>
            <w:r>
              <w:rPr>
                <w:rFonts w:ascii="Times New Roman" w:hAnsi="Times New Roman"/>
                <w:color w:val="000000"/>
                <w:lang w:eastAsia="ru-RU"/>
              </w:rPr>
              <w:t>40</w:t>
            </w:r>
            <w:r w:rsidRPr="008E3B1C">
              <w:rPr>
                <w:rFonts w:ascii="Times New Roman" w:hAnsi="Times New Roman"/>
                <w:color w:val="000000"/>
                <w:lang w:eastAsia="ru-RU"/>
              </w:rPr>
              <w:t xml:space="preserve"> г.</w:t>
            </w:r>
          </w:p>
        </w:tc>
        <w:tc>
          <w:tcPr>
            <w:tcW w:w="1244"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8E3B1C" w:rsidRDefault="002D1E45" w:rsidP="008C69F0">
            <w:pPr>
              <w:spacing w:after="0" w:line="240" w:lineRule="auto"/>
              <w:jc w:val="center"/>
              <w:rPr>
                <w:rFonts w:ascii="Times New Roman" w:hAnsi="Times New Roman"/>
                <w:color w:val="000000"/>
                <w:lang w:eastAsia="ru-RU"/>
              </w:rPr>
            </w:pPr>
            <w:r w:rsidRPr="008E3B1C">
              <w:rPr>
                <w:rFonts w:ascii="Times New Roman" w:hAnsi="Times New Roman"/>
                <w:color w:val="000000"/>
                <w:lang w:eastAsia="ru-RU"/>
              </w:rPr>
              <w:t>Дефицит (-) / Избыток (+)</w:t>
            </w:r>
          </w:p>
        </w:tc>
      </w:tr>
      <w:tr w:rsidR="002D1E45" w:rsidRPr="008E3B1C" w:rsidTr="003175D3">
        <w:trPr>
          <w:trHeight w:val="283"/>
          <w:jc w:val="center"/>
        </w:trPr>
        <w:tc>
          <w:tcPr>
            <w:tcW w:w="198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tcPr>
          <w:p w:rsidR="002D1E45" w:rsidRPr="008E3B1C" w:rsidRDefault="002D1E45" w:rsidP="00DE7C17">
            <w:pPr>
              <w:spacing w:after="0" w:line="240" w:lineRule="auto"/>
              <w:ind w:left="57" w:right="57"/>
              <w:rPr>
                <w:rFonts w:ascii="Times New Roman" w:hAnsi="Times New Roman"/>
                <w:szCs w:val="24"/>
                <w:lang w:eastAsia="ru-RU"/>
              </w:rPr>
            </w:pPr>
            <w:r>
              <w:rPr>
                <w:rFonts w:ascii="Times New Roman" w:hAnsi="Times New Roman"/>
                <w:color w:val="000000"/>
                <w:lang w:eastAsia="ru-RU"/>
              </w:rPr>
              <w:t>г. Куйбышев</w:t>
            </w:r>
          </w:p>
        </w:tc>
        <w:tc>
          <w:tcPr>
            <w:tcW w:w="156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tcPr>
          <w:p w:rsidR="002D1E45" w:rsidRPr="008E3B1C" w:rsidRDefault="002D1E45" w:rsidP="00DE7C17">
            <w:pPr>
              <w:spacing w:after="0" w:line="240" w:lineRule="auto"/>
              <w:jc w:val="center"/>
              <w:rPr>
                <w:rFonts w:ascii="Times New Roman" w:hAnsi="Times New Roman"/>
                <w:color w:val="000000"/>
                <w:lang w:eastAsia="ru-RU"/>
              </w:rPr>
            </w:pPr>
            <w:r w:rsidRPr="00DE7C17">
              <w:rPr>
                <w:rFonts w:ascii="Times New Roman" w:hAnsi="Times New Roman"/>
                <w:color w:val="000000"/>
                <w:lang w:eastAsia="ru-RU"/>
              </w:rPr>
              <w:t>3389</w:t>
            </w:r>
          </w:p>
        </w:tc>
        <w:tc>
          <w:tcPr>
            <w:tcW w:w="1559"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tcPr>
          <w:p w:rsidR="002D1E45" w:rsidRPr="008E3B1C" w:rsidRDefault="002D1E45" w:rsidP="00DE7C17">
            <w:pPr>
              <w:spacing w:after="0" w:line="240" w:lineRule="auto"/>
              <w:jc w:val="center"/>
              <w:rPr>
                <w:rFonts w:ascii="Times New Roman" w:hAnsi="Times New Roman"/>
                <w:color w:val="000000"/>
                <w:lang w:eastAsia="ru-RU"/>
              </w:rPr>
            </w:pPr>
            <w:r w:rsidRPr="00DE7C17">
              <w:rPr>
                <w:rFonts w:ascii="Times New Roman" w:hAnsi="Times New Roman"/>
                <w:color w:val="000000"/>
                <w:lang w:eastAsia="ru-RU"/>
              </w:rPr>
              <w:t>3880</w:t>
            </w:r>
          </w:p>
        </w:tc>
        <w:tc>
          <w:tcPr>
            <w:tcW w:w="130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tcPr>
          <w:p w:rsidR="002D1E45" w:rsidRPr="008E3B1C" w:rsidRDefault="002D1E45" w:rsidP="00DE7C17">
            <w:pPr>
              <w:spacing w:after="0" w:line="240" w:lineRule="auto"/>
              <w:jc w:val="center"/>
              <w:rPr>
                <w:rFonts w:ascii="Times New Roman" w:hAnsi="Times New Roman"/>
                <w:color w:val="000000"/>
                <w:lang w:eastAsia="ru-RU"/>
              </w:rPr>
            </w:pPr>
            <w:r w:rsidRPr="00DE7C17">
              <w:rPr>
                <w:rFonts w:ascii="Times New Roman" w:hAnsi="Times New Roman"/>
                <w:color w:val="000000"/>
                <w:lang w:eastAsia="ru-RU"/>
              </w:rPr>
              <w:t>2379</w:t>
            </w:r>
          </w:p>
        </w:tc>
        <w:tc>
          <w:tcPr>
            <w:tcW w:w="147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tcPr>
          <w:p w:rsidR="002D1E45" w:rsidRPr="008E3B1C" w:rsidRDefault="002D1E45" w:rsidP="00DE7C17">
            <w:pPr>
              <w:spacing w:after="0" w:line="240" w:lineRule="auto"/>
              <w:jc w:val="center"/>
              <w:rPr>
                <w:rFonts w:ascii="Times New Roman" w:hAnsi="Times New Roman"/>
                <w:color w:val="000000"/>
                <w:lang w:eastAsia="ru-RU"/>
              </w:rPr>
            </w:pPr>
            <w:r w:rsidRPr="00DE7C17">
              <w:rPr>
                <w:rFonts w:ascii="Times New Roman" w:hAnsi="Times New Roman"/>
                <w:color w:val="000000"/>
                <w:lang w:eastAsia="ru-RU"/>
              </w:rPr>
              <w:t>2716</w:t>
            </w:r>
          </w:p>
        </w:tc>
        <w:tc>
          <w:tcPr>
            <w:tcW w:w="1506"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tcPr>
          <w:p w:rsidR="002D1E45" w:rsidRPr="008E3B1C" w:rsidRDefault="002D1E45" w:rsidP="00DE7C17">
            <w:pPr>
              <w:spacing w:after="0" w:line="240" w:lineRule="auto"/>
              <w:jc w:val="center"/>
              <w:rPr>
                <w:rFonts w:ascii="Times New Roman" w:hAnsi="Times New Roman"/>
                <w:color w:val="000000"/>
                <w:lang w:eastAsia="ru-RU"/>
              </w:rPr>
            </w:pPr>
            <w:r w:rsidRPr="00DE7C17">
              <w:rPr>
                <w:rFonts w:ascii="Times New Roman" w:hAnsi="Times New Roman"/>
                <w:color w:val="000000"/>
                <w:lang w:eastAsia="ru-RU"/>
              </w:rPr>
              <w:t>2372</w:t>
            </w:r>
          </w:p>
        </w:tc>
        <w:tc>
          <w:tcPr>
            <w:tcW w:w="1244"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tcPr>
          <w:p w:rsidR="002D1E45" w:rsidRPr="008E3B1C" w:rsidRDefault="002D1E45" w:rsidP="00DE7C17">
            <w:pPr>
              <w:spacing w:after="0" w:line="240" w:lineRule="auto"/>
              <w:jc w:val="center"/>
              <w:rPr>
                <w:rFonts w:ascii="Times New Roman" w:hAnsi="Times New Roman"/>
                <w:color w:val="000000"/>
                <w:lang w:eastAsia="ru-RU"/>
              </w:rPr>
            </w:pPr>
            <w:r w:rsidRPr="00DE7C17">
              <w:rPr>
                <w:rFonts w:ascii="Times New Roman" w:hAnsi="Times New Roman"/>
                <w:color w:val="000000"/>
                <w:lang w:eastAsia="ru-RU"/>
              </w:rPr>
              <w:t>7</w:t>
            </w:r>
          </w:p>
        </w:tc>
      </w:tr>
    </w:tbl>
    <w:p w:rsidR="002D1E45" w:rsidRPr="00016BF0" w:rsidRDefault="002D1E45" w:rsidP="00016BF0">
      <w:pPr>
        <w:spacing w:after="120" w:line="240" w:lineRule="auto"/>
        <w:jc w:val="center"/>
        <w:rPr>
          <w:rFonts w:ascii="Times New Roman" w:hAnsi="Times New Roman"/>
          <w:sz w:val="28"/>
          <w:szCs w:val="24"/>
          <w:lang w:eastAsia="ru-RU"/>
        </w:rPr>
      </w:pPr>
    </w:p>
    <w:p w:rsidR="002D1E45" w:rsidRDefault="002D1E45" w:rsidP="008E3B1C">
      <w:pPr>
        <w:spacing w:after="0" w:line="240" w:lineRule="auto"/>
        <w:ind w:firstLine="709"/>
        <w:contextualSpacing/>
        <w:jc w:val="both"/>
        <w:rPr>
          <w:rFonts w:ascii="Times New Roman" w:hAnsi="Times New Roman"/>
          <w:sz w:val="28"/>
          <w:szCs w:val="24"/>
        </w:rPr>
      </w:pPr>
      <w:r w:rsidRPr="00B36659">
        <w:rPr>
          <w:rFonts w:ascii="Times New Roman" w:hAnsi="Times New Roman"/>
          <w:sz w:val="28"/>
          <w:szCs w:val="24"/>
        </w:rPr>
        <w:t xml:space="preserve">В </w:t>
      </w:r>
      <w:r>
        <w:rPr>
          <w:rFonts w:ascii="Times New Roman" w:hAnsi="Times New Roman"/>
          <w:sz w:val="28"/>
          <w:szCs w:val="24"/>
          <w:lang w:eastAsia="ru-RU"/>
        </w:rPr>
        <w:t>городе на сегодняшний день</w:t>
      </w:r>
      <w:r w:rsidRPr="00B36659">
        <w:rPr>
          <w:rFonts w:ascii="Times New Roman" w:hAnsi="Times New Roman"/>
          <w:sz w:val="28"/>
          <w:szCs w:val="24"/>
          <w:lang w:eastAsia="ru-RU"/>
        </w:rPr>
        <w:t xml:space="preserve"> </w:t>
      </w:r>
      <w:r w:rsidRPr="00B36659">
        <w:rPr>
          <w:rFonts w:ascii="Times New Roman" w:hAnsi="Times New Roman"/>
          <w:sz w:val="28"/>
          <w:szCs w:val="24"/>
        </w:rPr>
        <w:t xml:space="preserve">наблюдается </w:t>
      </w:r>
      <w:r>
        <w:rPr>
          <w:rFonts w:ascii="Times New Roman" w:hAnsi="Times New Roman"/>
          <w:sz w:val="28"/>
          <w:szCs w:val="24"/>
        </w:rPr>
        <w:t>недостаток</w:t>
      </w:r>
      <w:r w:rsidRPr="00B36659">
        <w:rPr>
          <w:rFonts w:ascii="Times New Roman" w:hAnsi="Times New Roman"/>
          <w:sz w:val="28"/>
          <w:szCs w:val="24"/>
        </w:rPr>
        <w:t xml:space="preserve"> мест в</w:t>
      </w:r>
      <w:r>
        <w:rPr>
          <w:rFonts w:ascii="Times New Roman" w:hAnsi="Times New Roman"/>
          <w:sz w:val="28"/>
          <w:szCs w:val="24"/>
        </w:rPr>
        <w:t> дошкольных</w:t>
      </w:r>
      <w:r w:rsidRPr="00495C08">
        <w:rPr>
          <w:rFonts w:ascii="Times New Roman" w:hAnsi="Times New Roman"/>
          <w:sz w:val="28"/>
          <w:szCs w:val="24"/>
        </w:rPr>
        <w:t xml:space="preserve"> учреждени</w:t>
      </w:r>
      <w:r>
        <w:rPr>
          <w:rFonts w:ascii="Times New Roman" w:hAnsi="Times New Roman"/>
          <w:sz w:val="28"/>
          <w:szCs w:val="24"/>
        </w:rPr>
        <w:t xml:space="preserve">ях, однако на расчётный срок, в связи с прогнозируемым продолжением снижения численности населения, дефицит мест отсутствует. Вместе с тем, Генеральным планом рекомендуется строительство ДОУ мощностью 330 мест на первую очередь, для исключения сегодняшнего дефицита мест в ДОУ. </w:t>
      </w:r>
    </w:p>
    <w:p w:rsidR="002D1E45" w:rsidRDefault="002D1E45" w:rsidP="00016BF0">
      <w:pPr>
        <w:spacing w:after="0" w:line="240" w:lineRule="auto"/>
        <w:jc w:val="right"/>
        <w:rPr>
          <w:rFonts w:ascii="Times New Roman" w:hAnsi="Times New Roman"/>
          <w:sz w:val="28"/>
          <w:szCs w:val="28"/>
        </w:rPr>
      </w:pPr>
    </w:p>
    <w:p w:rsidR="002D1E45" w:rsidRDefault="002D1E45" w:rsidP="00016BF0">
      <w:pPr>
        <w:spacing w:after="0" w:line="240" w:lineRule="auto"/>
        <w:jc w:val="right"/>
        <w:rPr>
          <w:rFonts w:ascii="Times New Roman" w:hAnsi="Times New Roman"/>
          <w:sz w:val="28"/>
          <w:szCs w:val="28"/>
        </w:rPr>
      </w:pPr>
    </w:p>
    <w:p w:rsidR="002D1E45" w:rsidRDefault="002D1E45" w:rsidP="00016BF0">
      <w:pPr>
        <w:spacing w:after="0" w:line="240" w:lineRule="auto"/>
        <w:jc w:val="right"/>
        <w:rPr>
          <w:rFonts w:ascii="Times New Roman" w:hAnsi="Times New Roman"/>
          <w:sz w:val="28"/>
          <w:szCs w:val="28"/>
        </w:rPr>
      </w:pPr>
    </w:p>
    <w:p w:rsidR="002D1E45" w:rsidRDefault="002D1E45" w:rsidP="00016BF0">
      <w:pPr>
        <w:spacing w:after="0" w:line="240" w:lineRule="auto"/>
        <w:jc w:val="right"/>
        <w:rPr>
          <w:rFonts w:ascii="Times New Roman" w:hAnsi="Times New Roman"/>
          <w:sz w:val="28"/>
          <w:szCs w:val="28"/>
        </w:rPr>
      </w:pPr>
    </w:p>
    <w:p w:rsidR="002D1E45" w:rsidRDefault="002D1E45" w:rsidP="00016BF0">
      <w:pPr>
        <w:spacing w:after="0" w:line="240" w:lineRule="auto"/>
        <w:jc w:val="right"/>
        <w:rPr>
          <w:rFonts w:ascii="Times New Roman" w:hAnsi="Times New Roman"/>
          <w:sz w:val="28"/>
          <w:szCs w:val="28"/>
        </w:rPr>
      </w:pPr>
    </w:p>
    <w:p w:rsidR="002D1E45" w:rsidRPr="00016BF0" w:rsidRDefault="002D1E45" w:rsidP="00016BF0">
      <w:pPr>
        <w:spacing w:after="0" w:line="240" w:lineRule="auto"/>
        <w:jc w:val="right"/>
        <w:rPr>
          <w:rFonts w:ascii="Times New Roman" w:hAnsi="Times New Roman"/>
          <w:sz w:val="28"/>
          <w:szCs w:val="28"/>
        </w:rPr>
      </w:pPr>
      <w:r w:rsidRPr="00016BF0">
        <w:rPr>
          <w:rFonts w:ascii="Times New Roman" w:hAnsi="Times New Roman"/>
          <w:sz w:val="28"/>
          <w:szCs w:val="28"/>
        </w:rPr>
        <w:t xml:space="preserve">Таблица </w:t>
      </w:r>
      <w:r w:rsidRPr="00016BF0">
        <w:rPr>
          <w:rFonts w:ascii="Times New Roman" w:hAnsi="Times New Roman"/>
          <w:sz w:val="28"/>
          <w:szCs w:val="28"/>
        </w:rPr>
        <w:fldChar w:fldCharType="begin"/>
      </w:r>
      <w:r w:rsidRPr="00016BF0">
        <w:rPr>
          <w:rFonts w:ascii="Times New Roman" w:hAnsi="Times New Roman"/>
          <w:sz w:val="28"/>
          <w:szCs w:val="28"/>
        </w:rPr>
        <w:instrText xml:space="preserve"> SEQ Таблица \* ARABIC </w:instrText>
      </w:r>
      <w:r w:rsidRPr="00016BF0">
        <w:rPr>
          <w:rFonts w:ascii="Times New Roman" w:hAnsi="Times New Roman"/>
          <w:sz w:val="28"/>
          <w:szCs w:val="28"/>
        </w:rPr>
        <w:fldChar w:fldCharType="separate"/>
      </w:r>
      <w:r>
        <w:rPr>
          <w:rFonts w:ascii="Times New Roman" w:hAnsi="Times New Roman"/>
          <w:noProof/>
          <w:sz w:val="28"/>
          <w:szCs w:val="28"/>
        </w:rPr>
        <w:t>54</w:t>
      </w:r>
      <w:r w:rsidRPr="00016BF0">
        <w:rPr>
          <w:rFonts w:ascii="Times New Roman" w:hAnsi="Times New Roman"/>
          <w:sz w:val="28"/>
          <w:szCs w:val="28"/>
        </w:rPr>
        <w:fldChar w:fldCharType="end"/>
      </w:r>
    </w:p>
    <w:p w:rsidR="002D1E45" w:rsidRDefault="002D1E45" w:rsidP="00016BF0">
      <w:pPr>
        <w:spacing w:after="120" w:line="240" w:lineRule="auto"/>
        <w:jc w:val="center"/>
        <w:rPr>
          <w:rFonts w:ascii="Times New Roman" w:hAnsi="Times New Roman"/>
          <w:sz w:val="28"/>
          <w:szCs w:val="24"/>
          <w:lang w:eastAsia="ru-RU"/>
        </w:rPr>
      </w:pPr>
      <w:r w:rsidRPr="00016BF0">
        <w:rPr>
          <w:rFonts w:ascii="Times New Roman" w:hAnsi="Times New Roman"/>
          <w:sz w:val="28"/>
          <w:szCs w:val="24"/>
          <w:lang w:eastAsia="ru-RU"/>
        </w:rPr>
        <w:t>Расчёт потребности в</w:t>
      </w:r>
      <w:r>
        <w:rPr>
          <w:rFonts w:ascii="Times New Roman" w:hAnsi="Times New Roman"/>
          <w:sz w:val="28"/>
          <w:szCs w:val="24"/>
          <w:lang w:eastAsia="ru-RU"/>
        </w:rPr>
        <w:t> </w:t>
      </w:r>
      <w:r w:rsidRPr="00016BF0">
        <w:rPr>
          <w:rFonts w:ascii="Times New Roman" w:hAnsi="Times New Roman"/>
          <w:sz w:val="28"/>
          <w:szCs w:val="24"/>
          <w:lang w:eastAsia="ru-RU"/>
        </w:rPr>
        <w:t>объектах дополнительного образования</w:t>
      </w:r>
    </w:p>
    <w:tbl>
      <w:tblPr>
        <w:tblW w:w="10486" w:type="dxa"/>
        <w:jc w:val="center"/>
        <w:tblLayout w:type="fixed"/>
        <w:tblLook w:val="00A0"/>
      </w:tblPr>
      <w:tblGrid>
        <w:gridCol w:w="2122"/>
        <w:gridCol w:w="1560"/>
        <w:gridCol w:w="1276"/>
        <w:gridCol w:w="1308"/>
        <w:gridCol w:w="1471"/>
        <w:gridCol w:w="1506"/>
        <w:gridCol w:w="1243"/>
      </w:tblGrid>
      <w:tr w:rsidR="002D1E45" w:rsidRPr="00001379" w:rsidTr="008E3B1C">
        <w:trPr>
          <w:trHeight w:val="283"/>
          <w:tblHeader/>
          <w:jc w:val="center"/>
        </w:trPr>
        <w:tc>
          <w:tcPr>
            <w:tcW w:w="2122"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001379" w:rsidRDefault="002D1E45" w:rsidP="008E3B1C">
            <w:pPr>
              <w:spacing w:after="0" w:line="240" w:lineRule="auto"/>
              <w:jc w:val="center"/>
              <w:rPr>
                <w:rFonts w:ascii="Times New Roman" w:hAnsi="Times New Roman"/>
                <w:color w:val="000000"/>
                <w:lang w:eastAsia="ru-RU"/>
              </w:rPr>
            </w:pPr>
            <w:r w:rsidRPr="00001379">
              <w:rPr>
                <w:rFonts w:ascii="Times New Roman" w:hAnsi="Times New Roman"/>
                <w:color w:val="000000"/>
                <w:lang w:eastAsia="ru-RU"/>
              </w:rPr>
              <w:t>Населённый пункт</w:t>
            </w:r>
          </w:p>
        </w:tc>
        <w:tc>
          <w:tcPr>
            <w:tcW w:w="1560"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8E3B1C" w:rsidRDefault="002D1E45" w:rsidP="008E3B1C">
            <w:pPr>
              <w:spacing w:after="0" w:line="240" w:lineRule="auto"/>
              <w:jc w:val="center"/>
              <w:rPr>
                <w:rFonts w:ascii="Times New Roman" w:hAnsi="Times New Roman"/>
                <w:color w:val="000000"/>
                <w:lang w:eastAsia="ru-RU"/>
              </w:rPr>
            </w:pPr>
            <w:r w:rsidRPr="008E3B1C">
              <w:rPr>
                <w:rFonts w:ascii="Times New Roman" w:hAnsi="Times New Roman"/>
                <w:color w:val="000000"/>
                <w:lang w:eastAsia="ru-RU"/>
              </w:rPr>
              <w:t>Численность населения, расчётный срок (20</w:t>
            </w:r>
            <w:r>
              <w:rPr>
                <w:rFonts w:ascii="Times New Roman" w:hAnsi="Times New Roman"/>
                <w:color w:val="000000"/>
                <w:lang w:eastAsia="ru-RU"/>
              </w:rPr>
              <w:t>40</w:t>
            </w:r>
            <w:r w:rsidRPr="008E3B1C">
              <w:rPr>
                <w:rFonts w:ascii="Times New Roman" w:hAnsi="Times New Roman"/>
                <w:color w:val="000000"/>
                <w:lang w:eastAsia="ru-RU"/>
              </w:rPr>
              <w:t xml:space="preserve"> г.)</w:t>
            </w:r>
          </w:p>
        </w:tc>
        <w:tc>
          <w:tcPr>
            <w:tcW w:w="1276"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8E3B1C" w:rsidRDefault="002D1E45" w:rsidP="008E3B1C">
            <w:pPr>
              <w:spacing w:after="0" w:line="240" w:lineRule="auto"/>
              <w:jc w:val="center"/>
              <w:rPr>
                <w:rFonts w:ascii="Times New Roman" w:hAnsi="Times New Roman"/>
                <w:color w:val="000000"/>
                <w:lang w:eastAsia="ru-RU"/>
              </w:rPr>
            </w:pPr>
            <w:r w:rsidRPr="008E3B1C">
              <w:rPr>
                <w:rFonts w:ascii="Times New Roman" w:hAnsi="Times New Roman"/>
                <w:color w:val="000000"/>
                <w:lang w:eastAsia="ru-RU"/>
              </w:rPr>
              <w:t>Численность населения, 20</w:t>
            </w:r>
            <w:r>
              <w:rPr>
                <w:rFonts w:ascii="Times New Roman" w:hAnsi="Times New Roman"/>
                <w:color w:val="000000"/>
                <w:lang w:eastAsia="ru-RU"/>
              </w:rPr>
              <w:t>20</w:t>
            </w:r>
            <w:r w:rsidRPr="008E3B1C">
              <w:rPr>
                <w:rFonts w:ascii="Times New Roman" w:hAnsi="Times New Roman"/>
                <w:color w:val="000000"/>
                <w:lang w:eastAsia="ru-RU"/>
              </w:rPr>
              <w:t xml:space="preserve"> г.</w:t>
            </w:r>
          </w:p>
        </w:tc>
        <w:tc>
          <w:tcPr>
            <w:tcW w:w="5528" w:type="dxa"/>
            <w:gridSpan w:val="4"/>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001379" w:rsidRDefault="002D1E45" w:rsidP="008E3B1C">
            <w:pPr>
              <w:spacing w:after="0" w:line="240" w:lineRule="auto"/>
              <w:jc w:val="center"/>
              <w:rPr>
                <w:rFonts w:ascii="Times New Roman" w:hAnsi="Times New Roman"/>
                <w:color w:val="000000"/>
                <w:lang w:eastAsia="ru-RU"/>
              </w:rPr>
            </w:pPr>
            <w:r w:rsidRPr="00001379">
              <w:rPr>
                <w:rFonts w:ascii="Times New Roman" w:hAnsi="Times New Roman"/>
                <w:color w:val="000000"/>
                <w:lang w:eastAsia="ru-RU"/>
              </w:rPr>
              <w:t>Существующее и</w:t>
            </w:r>
            <w:r>
              <w:rPr>
                <w:rFonts w:ascii="Times New Roman" w:hAnsi="Times New Roman"/>
                <w:color w:val="000000"/>
                <w:lang w:eastAsia="ru-RU"/>
              </w:rPr>
              <w:t> </w:t>
            </w:r>
            <w:r w:rsidRPr="00001379">
              <w:rPr>
                <w:rFonts w:ascii="Times New Roman" w:hAnsi="Times New Roman"/>
                <w:color w:val="000000"/>
                <w:lang w:eastAsia="ru-RU"/>
              </w:rPr>
              <w:t xml:space="preserve">расчётное количество мест </w:t>
            </w:r>
            <w:r>
              <w:rPr>
                <w:rFonts w:ascii="Times New Roman" w:hAnsi="Times New Roman"/>
                <w:color w:val="000000"/>
                <w:lang w:eastAsia="ru-RU"/>
              </w:rPr>
              <w:t>в учреждениях дополнительного образования</w:t>
            </w:r>
            <w:r w:rsidRPr="00001379">
              <w:rPr>
                <w:rFonts w:ascii="Times New Roman" w:hAnsi="Times New Roman"/>
                <w:color w:val="000000"/>
                <w:lang w:eastAsia="ru-RU"/>
              </w:rPr>
              <w:t xml:space="preserve"> </w:t>
            </w:r>
          </w:p>
        </w:tc>
      </w:tr>
      <w:tr w:rsidR="002D1E45" w:rsidRPr="00001379" w:rsidTr="008E3B1C">
        <w:trPr>
          <w:trHeight w:val="283"/>
          <w:tblHeader/>
          <w:jc w:val="center"/>
        </w:trPr>
        <w:tc>
          <w:tcPr>
            <w:tcW w:w="2122" w:type="dxa"/>
            <w:vMerge/>
            <w:tcBorders>
              <w:top w:val="single" w:sz="4" w:space="0" w:color="auto"/>
              <w:left w:val="single" w:sz="4" w:space="0" w:color="auto"/>
              <w:bottom w:val="single" w:sz="4" w:space="0" w:color="auto"/>
              <w:right w:val="single" w:sz="4" w:space="0" w:color="auto"/>
            </w:tcBorders>
            <w:vAlign w:val="center"/>
          </w:tcPr>
          <w:p w:rsidR="002D1E45" w:rsidRPr="00001379" w:rsidRDefault="002D1E45" w:rsidP="008E3B1C">
            <w:pPr>
              <w:spacing w:after="0" w:line="240" w:lineRule="auto"/>
              <w:rPr>
                <w:rFonts w:ascii="Times New Roman" w:hAnsi="Times New Roman"/>
                <w:color w:val="000000"/>
                <w:lang w:eastAsia="ru-RU"/>
              </w:rPr>
            </w:pPr>
          </w:p>
        </w:tc>
        <w:tc>
          <w:tcPr>
            <w:tcW w:w="1560" w:type="dxa"/>
            <w:vMerge/>
            <w:tcBorders>
              <w:top w:val="single" w:sz="4" w:space="0" w:color="auto"/>
              <w:left w:val="single" w:sz="4" w:space="0" w:color="auto"/>
              <w:bottom w:val="single" w:sz="4" w:space="0" w:color="auto"/>
              <w:right w:val="single" w:sz="4" w:space="0" w:color="auto"/>
            </w:tcBorders>
            <w:vAlign w:val="center"/>
          </w:tcPr>
          <w:p w:rsidR="002D1E45" w:rsidRPr="00001379" w:rsidRDefault="002D1E45" w:rsidP="008E3B1C">
            <w:pPr>
              <w:spacing w:after="0" w:line="240" w:lineRule="auto"/>
              <w:rPr>
                <w:rFonts w:ascii="Times New Roman" w:hAnsi="Times New Roman"/>
                <w:color w:val="000000"/>
                <w:lang w:eastAsia="ru-RU"/>
              </w:rPr>
            </w:pPr>
          </w:p>
        </w:tc>
        <w:tc>
          <w:tcPr>
            <w:tcW w:w="1276" w:type="dxa"/>
            <w:vMerge/>
            <w:tcBorders>
              <w:top w:val="single" w:sz="4" w:space="0" w:color="auto"/>
              <w:left w:val="single" w:sz="4" w:space="0" w:color="auto"/>
              <w:bottom w:val="single" w:sz="4" w:space="0" w:color="auto"/>
              <w:right w:val="single" w:sz="4" w:space="0" w:color="auto"/>
            </w:tcBorders>
            <w:vAlign w:val="center"/>
          </w:tcPr>
          <w:p w:rsidR="002D1E45" w:rsidRPr="00001379" w:rsidRDefault="002D1E45" w:rsidP="008E3B1C">
            <w:pPr>
              <w:spacing w:after="0" w:line="240" w:lineRule="auto"/>
              <w:rPr>
                <w:rFonts w:ascii="Times New Roman" w:hAnsi="Times New Roman"/>
                <w:color w:val="000000"/>
                <w:lang w:eastAsia="ru-RU"/>
              </w:rPr>
            </w:pPr>
          </w:p>
        </w:tc>
        <w:tc>
          <w:tcPr>
            <w:tcW w:w="130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001379" w:rsidRDefault="002D1E45" w:rsidP="008E3B1C">
            <w:pPr>
              <w:spacing w:after="0" w:line="240" w:lineRule="auto"/>
              <w:jc w:val="center"/>
              <w:rPr>
                <w:rFonts w:ascii="Times New Roman" w:hAnsi="Times New Roman"/>
                <w:color w:val="000000"/>
                <w:lang w:eastAsia="ru-RU"/>
              </w:rPr>
            </w:pPr>
            <w:r w:rsidRPr="00001379">
              <w:rPr>
                <w:rFonts w:ascii="Times New Roman" w:hAnsi="Times New Roman"/>
                <w:color w:val="000000"/>
                <w:lang w:eastAsia="ru-RU"/>
              </w:rPr>
              <w:t>Существующее кол-во мест</w:t>
            </w:r>
          </w:p>
        </w:tc>
        <w:tc>
          <w:tcPr>
            <w:tcW w:w="147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8E3B1C" w:rsidRDefault="002D1E45" w:rsidP="008E3B1C">
            <w:pPr>
              <w:spacing w:after="0" w:line="240" w:lineRule="auto"/>
              <w:jc w:val="center"/>
              <w:rPr>
                <w:rFonts w:ascii="Times New Roman" w:hAnsi="Times New Roman"/>
                <w:color w:val="000000"/>
                <w:lang w:eastAsia="ru-RU"/>
              </w:rPr>
            </w:pPr>
            <w:r w:rsidRPr="008E3B1C">
              <w:rPr>
                <w:rFonts w:ascii="Times New Roman" w:hAnsi="Times New Roman"/>
                <w:color w:val="000000"/>
                <w:lang w:eastAsia="ru-RU"/>
              </w:rPr>
              <w:t>Нормативная потребность мест, 20</w:t>
            </w:r>
            <w:r>
              <w:rPr>
                <w:rFonts w:ascii="Times New Roman" w:hAnsi="Times New Roman"/>
                <w:color w:val="000000"/>
                <w:lang w:eastAsia="ru-RU"/>
              </w:rPr>
              <w:t>20</w:t>
            </w:r>
            <w:r w:rsidRPr="008E3B1C">
              <w:rPr>
                <w:rFonts w:ascii="Times New Roman" w:hAnsi="Times New Roman"/>
                <w:color w:val="000000"/>
                <w:lang w:eastAsia="ru-RU"/>
              </w:rPr>
              <w:t xml:space="preserve"> г.</w:t>
            </w:r>
          </w:p>
        </w:tc>
        <w:tc>
          <w:tcPr>
            <w:tcW w:w="1506"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8E3B1C" w:rsidRDefault="002D1E45" w:rsidP="008E3B1C">
            <w:pPr>
              <w:spacing w:after="0" w:line="240" w:lineRule="auto"/>
              <w:jc w:val="center"/>
              <w:rPr>
                <w:rFonts w:ascii="Times New Roman" w:hAnsi="Times New Roman"/>
                <w:color w:val="000000"/>
                <w:lang w:eastAsia="ru-RU"/>
              </w:rPr>
            </w:pPr>
            <w:r w:rsidRPr="008E3B1C">
              <w:rPr>
                <w:rFonts w:ascii="Times New Roman" w:hAnsi="Times New Roman"/>
                <w:color w:val="000000"/>
                <w:lang w:eastAsia="ru-RU"/>
              </w:rPr>
              <w:t>Прогнозируемая потребность мест, 20</w:t>
            </w:r>
            <w:r>
              <w:rPr>
                <w:rFonts w:ascii="Times New Roman" w:hAnsi="Times New Roman"/>
                <w:color w:val="000000"/>
                <w:lang w:eastAsia="ru-RU"/>
              </w:rPr>
              <w:t>40</w:t>
            </w:r>
            <w:r w:rsidRPr="008E3B1C">
              <w:rPr>
                <w:rFonts w:ascii="Times New Roman" w:hAnsi="Times New Roman"/>
                <w:color w:val="000000"/>
                <w:lang w:eastAsia="ru-RU"/>
              </w:rPr>
              <w:t xml:space="preserve"> г.</w:t>
            </w:r>
          </w:p>
        </w:tc>
        <w:tc>
          <w:tcPr>
            <w:tcW w:w="1243"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001379" w:rsidRDefault="002D1E45" w:rsidP="008E3B1C">
            <w:pPr>
              <w:spacing w:after="0" w:line="240" w:lineRule="auto"/>
              <w:jc w:val="center"/>
              <w:rPr>
                <w:rFonts w:ascii="Times New Roman" w:hAnsi="Times New Roman"/>
                <w:color w:val="000000"/>
                <w:lang w:eastAsia="ru-RU"/>
              </w:rPr>
            </w:pPr>
            <w:r w:rsidRPr="00001379">
              <w:rPr>
                <w:rFonts w:ascii="Times New Roman" w:hAnsi="Times New Roman"/>
                <w:color w:val="000000"/>
                <w:lang w:eastAsia="ru-RU"/>
              </w:rPr>
              <w:t>Дефицит (-) / Избыток (+)</w:t>
            </w:r>
          </w:p>
        </w:tc>
      </w:tr>
      <w:tr w:rsidR="002D1E45" w:rsidRPr="00001379" w:rsidTr="003175D3">
        <w:trPr>
          <w:trHeight w:val="283"/>
          <w:jc w:val="center"/>
        </w:trPr>
        <w:tc>
          <w:tcPr>
            <w:tcW w:w="2122"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tcPr>
          <w:p w:rsidR="002D1E45" w:rsidRPr="008E3B1C" w:rsidRDefault="002D1E45" w:rsidP="00C12C97">
            <w:pPr>
              <w:spacing w:after="0" w:line="240" w:lineRule="auto"/>
              <w:ind w:left="57" w:right="57"/>
              <w:rPr>
                <w:rFonts w:ascii="Times New Roman" w:hAnsi="Times New Roman"/>
                <w:szCs w:val="24"/>
                <w:lang w:eastAsia="ru-RU"/>
              </w:rPr>
            </w:pPr>
            <w:r>
              <w:rPr>
                <w:rFonts w:ascii="Times New Roman" w:hAnsi="Times New Roman"/>
                <w:color w:val="000000"/>
                <w:lang w:eastAsia="ru-RU"/>
              </w:rPr>
              <w:t>г. Куйбышев</w:t>
            </w:r>
          </w:p>
        </w:tc>
        <w:tc>
          <w:tcPr>
            <w:tcW w:w="156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tcPr>
          <w:p w:rsidR="002D1E45" w:rsidRPr="008E3B1C" w:rsidRDefault="002D1E45" w:rsidP="00C12C97">
            <w:pPr>
              <w:spacing w:after="0" w:line="240" w:lineRule="auto"/>
              <w:jc w:val="center"/>
              <w:rPr>
                <w:rFonts w:ascii="Times New Roman" w:hAnsi="Times New Roman"/>
                <w:color w:val="000000"/>
                <w:lang w:eastAsia="ru-RU"/>
              </w:rPr>
            </w:pPr>
            <w:r w:rsidRPr="00C12C97">
              <w:rPr>
                <w:rFonts w:ascii="Times New Roman" w:hAnsi="Times New Roman"/>
                <w:color w:val="000000"/>
                <w:lang w:eastAsia="ru-RU"/>
              </w:rPr>
              <w:t>4285</w:t>
            </w:r>
          </w:p>
        </w:tc>
        <w:tc>
          <w:tcPr>
            <w:tcW w:w="1276"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tcPr>
          <w:p w:rsidR="002D1E45" w:rsidRPr="008E3B1C" w:rsidRDefault="002D1E45" w:rsidP="00C12C97">
            <w:pPr>
              <w:spacing w:after="0" w:line="240" w:lineRule="auto"/>
              <w:jc w:val="center"/>
              <w:rPr>
                <w:rFonts w:ascii="Times New Roman" w:hAnsi="Times New Roman"/>
                <w:color w:val="000000"/>
                <w:lang w:eastAsia="ru-RU"/>
              </w:rPr>
            </w:pPr>
            <w:r w:rsidRPr="00C12C97">
              <w:rPr>
                <w:rFonts w:ascii="Times New Roman" w:hAnsi="Times New Roman"/>
                <w:color w:val="000000"/>
                <w:lang w:eastAsia="ru-RU"/>
              </w:rPr>
              <w:t>5124</w:t>
            </w:r>
          </w:p>
        </w:tc>
        <w:tc>
          <w:tcPr>
            <w:tcW w:w="130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tcPr>
          <w:p w:rsidR="002D1E45" w:rsidRPr="008E3B1C" w:rsidRDefault="002D1E45" w:rsidP="00C12C97">
            <w:pPr>
              <w:spacing w:after="0" w:line="240" w:lineRule="auto"/>
              <w:jc w:val="center"/>
              <w:rPr>
                <w:rFonts w:ascii="Times New Roman" w:hAnsi="Times New Roman"/>
                <w:color w:val="000000"/>
                <w:lang w:eastAsia="ru-RU"/>
              </w:rPr>
            </w:pPr>
            <w:r w:rsidRPr="00C12C97">
              <w:rPr>
                <w:rFonts w:ascii="Times New Roman" w:hAnsi="Times New Roman"/>
                <w:color w:val="000000"/>
                <w:lang w:eastAsia="ru-RU"/>
              </w:rPr>
              <w:t>2408</w:t>
            </w:r>
          </w:p>
        </w:tc>
        <w:tc>
          <w:tcPr>
            <w:tcW w:w="147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tcPr>
          <w:p w:rsidR="002D1E45" w:rsidRPr="008E3B1C" w:rsidRDefault="002D1E45" w:rsidP="00C12C97">
            <w:pPr>
              <w:spacing w:after="0" w:line="240" w:lineRule="auto"/>
              <w:jc w:val="center"/>
              <w:rPr>
                <w:rFonts w:ascii="Times New Roman" w:hAnsi="Times New Roman"/>
                <w:color w:val="000000"/>
                <w:lang w:eastAsia="ru-RU"/>
              </w:rPr>
            </w:pPr>
            <w:r w:rsidRPr="00C12C97">
              <w:rPr>
                <w:rFonts w:ascii="Times New Roman" w:hAnsi="Times New Roman"/>
                <w:color w:val="000000"/>
                <w:lang w:eastAsia="ru-RU"/>
              </w:rPr>
              <w:t>4099</w:t>
            </w:r>
          </w:p>
        </w:tc>
        <w:tc>
          <w:tcPr>
            <w:tcW w:w="1506"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tcPr>
          <w:p w:rsidR="002D1E45" w:rsidRPr="008E3B1C" w:rsidRDefault="002D1E45" w:rsidP="00C12C97">
            <w:pPr>
              <w:spacing w:after="0" w:line="240" w:lineRule="auto"/>
              <w:jc w:val="center"/>
              <w:rPr>
                <w:rFonts w:ascii="Times New Roman" w:hAnsi="Times New Roman"/>
                <w:color w:val="000000"/>
                <w:lang w:eastAsia="ru-RU"/>
              </w:rPr>
            </w:pPr>
            <w:r w:rsidRPr="00C12C97">
              <w:rPr>
                <w:rFonts w:ascii="Times New Roman" w:hAnsi="Times New Roman"/>
                <w:color w:val="000000"/>
                <w:lang w:eastAsia="ru-RU"/>
              </w:rPr>
              <w:t>3428</w:t>
            </w:r>
          </w:p>
        </w:tc>
        <w:tc>
          <w:tcPr>
            <w:tcW w:w="1243"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tcPr>
          <w:p w:rsidR="002D1E45" w:rsidRPr="008E3B1C" w:rsidRDefault="002D1E45" w:rsidP="00C12C97">
            <w:pPr>
              <w:spacing w:after="0" w:line="240" w:lineRule="auto"/>
              <w:jc w:val="center"/>
              <w:rPr>
                <w:rFonts w:ascii="Times New Roman" w:hAnsi="Times New Roman"/>
                <w:color w:val="000000"/>
                <w:lang w:eastAsia="ru-RU"/>
              </w:rPr>
            </w:pPr>
            <w:r w:rsidRPr="00C12C97">
              <w:rPr>
                <w:rFonts w:ascii="Times New Roman" w:hAnsi="Times New Roman"/>
                <w:color w:val="000000"/>
                <w:lang w:eastAsia="ru-RU"/>
              </w:rPr>
              <w:t>-1020</w:t>
            </w:r>
          </w:p>
        </w:tc>
      </w:tr>
    </w:tbl>
    <w:p w:rsidR="002D1E45" w:rsidRPr="00016BF0" w:rsidRDefault="002D1E45" w:rsidP="00016BF0">
      <w:pPr>
        <w:spacing w:after="120" w:line="240" w:lineRule="auto"/>
        <w:jc w:val="center"/>
        <w:rPr>
          <w:rFonts w:ascii="Times New Roman" w:hAnsi="Times New Roman"/>
          <w:sz w:val="28"/>
          <w:szCs w:val="24"/>
          <w:lang w:eastAsia="ru-RU"/>
        </w:rPr>
      </w:pPr>
    </w:p>
    <w:p w:rsidR="002D1E45" w:rsidRDefault="002D1E45" w:rsidP="00E53438">
      <w:pPr>
        <w:spacing w:after="0" w:line="240" w:lineRule="auto"/>
        <w:ind w:firstLine="709"/>
        <w:contextualSpacing/>
        <w:jc w:val="both"/>
        <w:rPr>
          <w:rFonts w:ascii="Times New Roman" w:hAnsi="Times New Roman"/>
          <w:sz w:val="28"/>
          <w:szCs w:val="24"/>
        </w:rPr>
      </w:pPr>
      <w:r w:rsidRPr="00B36659">
        <w:rPr>
          <w:rFonts w:ascii="Times New Roman" w:hAnsi="Times New Roman"/>
          <w:sz w:val="28"/>
          <w:szCs w:val="24"/>
        </w:rPr>
        <w:t xml:space="preserve">В </w:t>
      </w:r>
      <w:r>
        <w:rPr>
          <w:rFonts w:ascii="Times New Roman" w:hAnsi="Times New Roman"/>
          <w:sz w:val="28"/>
          <w:szCs w:val="24"/>
          <w:lang w:eastAsia="ru-RU"/>
        </w:rPr>
        <w:t>городе</w:t>
      </w:r>
      <w:r w:rsidRPr="00B36659">
        <w:rPr>
          <w:rFonts w:ascii="Times New Roman" w:hAnsi="Times New Roman"/>
          <w:sz w:val="28"/>
          <w:szCs w:val="24"/>
          <w:lang w:eastAsia="ru-RU"/>
        </w:rPr>
        <w:t xml:space="preserve"> </w:t>
      </w:r>
      <w:r w:rsidRPr="00B36659">
        <w:rPr>
          <w:rFonts w:ascii="Times New Roman" w:hAnsi="Times New Roman"/>
          <w:sz w:val="28"/>
          <w:szCs w:val="24"/>
        </w:rPr>
        <w:t xml:space="preserve">наблюдается </w:t>
      </w:r>
      <w:r>
        <w:rPr>
          <w:rFonts w:ascii="Times New Roman" w:hAnsi="Times New Roman"/>
          <w:sz w:val="28"/>
          <w:szCs w:val="24"/>
        </w:rPr>
        <w:t>недостаток</w:t>
      </w:r>
      <w:r w:rsidRPr="00B36659">
        <w:rPr>
          <w:rFonts w:ascii="Times New Roman" w:hAnsi="Times New Roman"/>
          <w:sz w:val="28"/>
          <w:szCs w:val="24"/>
        </w:rPr>
        <w:t xml:space="preserve"> мест в</w:t>
      </w:r>
      <w:r>
        <w:rPr>
          <w:rFonts w:ascii="Times New Roman" w:hAnsi="Times New Roman"/>
          <w:sz w:val="28"/>
          <w:szCs w:val="24"/>
        </w:rPr>
        <w:t> </w:t>
      </w:r>
      <w:r w:rsidRPr="00495C08">
        <w:rPr>
          <w:rFonts w:ascii="Times New Roman" w:hAnsi="Times New Roman"/>
          <w:sz w:val="28"/>
          <w:szCs w:val="24"/>
        </w:rPr>
        <w:t>учреждени</w:t>
      </w:r>
      <w:r>
        <w:rPr>
          <w:rFonts w:ascii="Times New Roman" w:hAnsi="Times New Roman"/>
          <w:sz w:val="28"/>
          <w:szCs w:val="24"/>
        </w:rPr>
        <w:t>ях дополнительного образования</w:t>
      </w:r>
      <w:r w:rsidRPr="003A7901">
        <w:rPr>
          <w:rFonts w:ascii="Times New Roman" w:hAnsi="Times New Roman"/>
          <w:sz w:val="28"/>
          <w:szCs w:val="24"/>
        </w:rPr>
        <w:t xml:space="preserve">. </w:t>
      </w:r>
      <w:r>
        <w:rPr>
          <w:rFonts w:ascii="Times New Roman" w:hAnsi="Times New Roman"/>
          <w:sz w:val="28"/>
          <w:szCs w:val="24"/>
        </w:rPr>
        <w:t>Генеральным планом рекомендуется строительство учреждения дополнительного образования детей мощностью 1100 мест.</w:t>
      </w:r>
    </w:p>
    <w:p w:rsidR="002D1E45" w:rsidRDefault="002D1E45" w:rsidP="00D27540">
      <w:pPr>
        <w:spacing w:after="0" w:line="240" w:lineRule="auto"/>
        <w:ind w:firstLine="709"/>
        <w:contextualSpacing/>
        <w:jc w:val="both"/>
        <w:rPr>
          <w:rFonts w:ascii="Times New Roman" w:hAnsi="Times New Roman"/>
          <w:sz w:val="28"/>
          <w:szCs w:val="24"/>
        </w:rPr>
      </w:pPr>
      <w:r>
        <w:rPr>
          <w:rFonts w:ascii="Times New Roman" w:hAnsi="Times New Roman"/>
          <w:sz w:val="28"/>
          <w:szCs w:val="24"/>
        </w:rPr>
        <w:t>Кроме того, рекомендуется проведение капитальных ремонтов в зданиях существующих учреждений дополнительного образования детей.</w:t>
      </w:r>
    </w:p>
    <w:p w:rsidR="002D1E45" w:rsidRPr="0043778B" w:rsidRDefault="002D1E45" w:rsidP="0043778B">
      <w:pPr>
        <w:spacing w:after="0" w:line="240" w:lineRule="auto"/>
        <w:ind w:firstLine="709"/>
        <w:contextualSpacing/>
        <w:jc w:val="both"/>
        <w:rPr>
          <w:rFonts w:ascii="Times New Roman" w:hAnsi="Times New Roman"/>
          <w:sz w:val="28"/>
          <w:szCs w:val="24"/>
        </w:rPr>
      </w:pPr>
      <w:r w:rsidRPr="0043778B">
        <w:rPr>
          <w:rFonts w:ascii="Times New Roman" w:hAnsi="Times New Roman"/>
          <w:sz w:val="28"/>
          <w:szCs w:val="24"/>
        </w:rPr>
        <w:t>Для развития системы образования необходимы значительные капиталовложения для обновления школьной инфраструктуры и</w:t>
      </w:r>
      <w:r>
        <w:rPr>
          <w:rFonts w:ascii="Times New Roman" w:hAnsi="Times New Roman"/>
          <w:sz w:val="28"/>
          <w:szCs w:val="24"/>
        </w:rPr>
        <w:t> </w:t>
      </w:r>
      <w:r w:rsidRPr="0043778B">
        <w:rPr>
          <w:rFonts w:ascii="Times New Roman" w:hAnsi="Times New Roman"/>
          <w:sz w:val="28"/>
          <w:szCs w:val="24"/>
        </w:rPr>
        <w:t>обеспечения условий отвечающим современным требованиям. Крайне важным остаётся и</w:t>
      </w:r>
      <w:r>
        <w:rPr>
          <w:rFonts w:ascii="Times New Roman" w:hAnsi="Times New Roman"/>
          <w:sz w:val="28"/>
          <w:szCs w:val="24"/>
        </w:rPr>
        <w:t> </w:t>
      </w:r>
      <w:r w:rsidRPr="0043778B">
        <w:rPr>
          <w:rFonts w:ascii="Times New Roman" w:hAnsi="Times New Roman"/>
          <w:sz w:val="28"/>
          <w:szCs w:val="24"/>
        </w:rPr>
        <w:t>обновление состава и</w:t>
      </w:r>
      <w:r>
        <w:rPr>
          <w:rFonts w:ascii="Times New Roman" w:hAnsi="Times New Roman"/>
          <w:sz w:val="28"/>
          <w:szCs w:val="24"/>
        </w:rPr>
        <w:t> </w:t>
      </w:r>
      <w:r w:rsidRPr="0043778B">
        <w:rPr>
          <w:rFonts w:ascii="Times New Roman" w:hAnsi="Times New Roman"/>
          <w:sz w:val="28"/>
          <w:szCs w:val="24"/>
        </w:rPr>
        <w:t>компетенций педагогических кадров, в</w:t>
      </w:r>
      <w:r>
        <w:rPr>
          <w:rFonts w:ascii="Times New Roman" w:hAnsi="Times New Roman"/>
          <w:sz w:val="28"/>
          <w:szCs w:val="24"/>
        </w:rPr>
        <w:t> </w:t>
      </w:r>
      <w:r w:rsidRPr="0043778B">
        <w:rPr>
          <w:rFonts w:ascii="Times New Roman" w:hAnsi="Times New Roman"/>
          <w:sz w:val="28"/>
          <w:szCs w:val="24"/>
        </w:rPr>
        <w:t>том числе посредством введения стандартов профессиональной деятельности, заключения эффективных контрактов с</w:t>
      </w:r>
      <w:r>
        <w:rPr>
          <w:rFonts w:ascii="Times New Roman" w:hAnsi="Times New Roman"/>
          <w:sz w:val="28"/>
          <w:szCs w:val="24"/>
        </w:rPr>
        <w:t> </w:t>
      </w:r>
      <w:r w:rsidRPr="0043778B">
        <w:rPr>
          <w:rFonts w:ascii="Times New Roman" w:hAnsi="Times New Roman"/>
          <w:sz w:val="28"/>
          <w:szCs w:val="24"/>
        </w:rPr>
        <w:t>педагогическими работниками, совершенствуя механизм мотивации и</w:t>
      </w:r>
      <w:r>
        <w:rPr>
          <w:rFonts w:ascii="Times New Roman" w:hAnsi="Times New Roman"/>
          <w:sz w:val="28"/>
          <w:szCs w:val="24"/>
        </w:rPr>
        <w:t> </w:t>
      </w:r>
      <w:r w:rsidRPr="0043778B">
        <w:rPr>
          <w:rFonts w:ascii="Times New Roman" w:hAnsi="Times New Roman"/>
          <w:sz w:val="28"/>
          <w:szCs w:val="24"/>
        </w:rPr>
        <w:t xml:space="preserve">стимулирования педагогического труда. </w:t>
      </w:r>
    </w:p>
    <w:p w:rsidR="002D1E45" w:rsidRPr="003A7901" w:rsidRDefault="002D1E45" w:rsidP="003A7901">
      <w:pPr>
        <w:spacing w:after="0" w:line="240" w:lineRule="auto"/>
        <w:ind w:firstLine="709"/>
        <w:contextualSpacing/>
        <w:jc w:val="both"/>
        <w:rPr>
          <w:rFonts w:ascii="Times New Roman" w:hAnsi="Times New Roman"/>
          <w:sz w:val="28"/>
          <w:szCs w:val="24"/>
        </w:rPr>
      </w:pPr>
      <w:r w:rsidRPr="003A7901">
        <w:rPr>
          <w:rFonts w:ascii="Times New Roman" w:hAnsi="Times New Roman"/>
          <w:sz w:val="28"/>
          <w:szCs w:val="24"/>
        </w:rPr>
        <w:t>В целях обеспечения доступности получения качественного образования, повышения уровня подготовки выпускников, развития системы образования необходимо решение следующих задач:</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развитие у</w:t>
      </w:r>
      <w:r>
        <w:rPr>
          <w:rFonts w:ascii="Times New Roman" w:hAnsi="Times New Roman"/>
          <w:sz w:val="28"/>
          <w:szCs w:val="24"/>
        </w:rPr>
        <w:t> </w:t>
      </w:r>
      <w:r w:rsidRPr="003A7901">
        <w:rPr>
          <w:rFonts w:ascii="Times New Roman" w:hAnsi="Times New Roman"/>
          <w:sz w:val="28"/>
          <w:szCs w:val="24"/>
        </w:rPr>
        <w:t>школьников положительной мотивации к</w:t>
      </w:r>
      <w:r>
        <w:rPr>
          <w:rFonts w:ascii="Times New Roman" w:hAnsi="Times New Roman"/>
          <w:sz w:val="28"/>
          <w:szCs w:val="24"/>
        </w:rPr>
        <w:t> </w:t>
      </w:r>
      <w:r w:rsidRPr="003A7901">
        <w:rPr>
          <w:rFonts w:ascii="Times New Roman" w:hAnsi="Times New Roman"/>
          <w:sz w:val="28"/>
          <w:szCs w:val="24"/>
        </w:rPr>
        <w:t>обучению;</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осуществление взаимосвязи обучения, учащихся с</w:t>
      </w:r>
      <w:r>
        <w:rPr>
          <w:rFonts w:ascii="Times New Roman" w:hAnsi="Times New Roman"/>
          <w:sz w:val="28"/>
          <w:szCs w:val="24"/>
        </w:rPr>
        <w:t> </w:t>
      </w:r>
      <w:r w:rsidRPr="003A7901">
        <w:rPr>
          <w:rFonts w:ascii="Times New Roman" w:hAnsi="Times New Roman"/>
          <w:sz w:val="28"/>
          <w:szCs w:val="24"/>
        </w:rPr>
        <w:t>их</w:t>
      </w:r>
      <w:r>
        <w:rPr>
          <w:rFonts w:ascii="Times New Roman" w:hAnsi="Times New Roman"/>
          <w:sz w:val="28"/>
          <w:szCs w:val="24"/>
        </w:rPr>
        <w:t> </w:t>
      </w:r>
      <w:r w:rsidRPr="003A7901">
        <w:rPr>
          <w:rFonts w:ascii="Times New Roman" w:hAnsi="Times New Roman"/>
          <w:sz w:val="28"/>
          <w:szCs w:val="24"/>
        </w:rPr>
        <w:t>воспитанием и</w:t>
      </w:r>
      <w:r>
        <w:rPr>
          <w:rFonts w:ascii="Times New Roman" w:hAnsi="Times New Roman"/>
          <w:sz w:val="28"/>
          <w:szCs w:val="24"/>
        </w:rPr>
        <w:t> </w:t>
      </w:r>
      <w:r w:rsidRPr="003A7901">
        <w:rPr>
          <w:rFonts w:ascii="Times New Roman" w:hAnsi="Times New Roman"/>
          <w:sz w:val="28"/>
          <w:szCs w:val="24"/>
        </w:rPr>
        <w:t>развитием;</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применение личностно-ориентированных педагогических технологий, предусматривающих субъект-субъектный, деятельностный, индивидуальный, дифференцированный подходы, способствующие повышению качества обучения;</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создание психологической атмосферы, благоприятной для обучения всех категорий учащихся, которая способна обеспечить доступность качественного обучения;</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повышение ответственности учителя и</w:t>
      </w:r>
      <w:r>
        <w:rPr>
          <w:rFonts w:ascii="Times New Roman" w:hAnsi="Times New Roman"/>
          <w:sz w:val="28"/>
          <w:szCs w:val="24"/>
        </w:rPr>
        <w:t> </w:t>
      </w:r>
      <w:r w:rsidRPr="003A7901">
        <w:rPr>
          <w:rFonts w:ascii="Times New Roman" w:hAnsi="Times New Roman"/>
          <w:sz w:val="28"/>
          <w:szCs w:val="24"/>
        </w:rPr>
        <w:t>воспитателя за</w:t>
      </w:r>
      <w:r>
        <w:rPr>
          <w:rFonts w:ascii="Times New Roman" w:hAnsi="Times New Roman"/>
          <w:sz w:val="28"/>
          <w:szCs w:val="24"/>
        </w:rPr>
        <w:t> </w:t>
      </w:r>
      <w:r w:rsidRPr="003A7901">
        <w:rPr>
          <w:rFonts w:ascii="Times New Roman" w:hAnsi="Times New Roman"/>
          <w:sz w:val="28"/>
          <w:szCs w:val="24"/>
        </w:rPr>
        <w:t>результаты своего труда и</w:t>
      </w:r>
      <w:r>
        <w:rPr>
          <w:rFonts w:ascii="Times New Roman" w:hAnsi="Times New Roman"/>
          <w:sz w:val="28"/>
          <w:szCs w:val="24"/>
        </w:rPr>
        <w:t> </w:t>
      </w:r>
      <w:r w:rsidRPr="003A7901">
        <w:rPr>
          <w:rFonts w:ascii="Times New Roman" w:hAnsi="Times New Roman"/>
          <w:sz w:val="28"/>
          <w:szCs w:val="24"/>
        </w:rPr>
        <w:t>роли методической работы в</w:t>
      </w:r>
      <w:r>
        <w:rPr>
          <w:rFonts w:ascii="Times New Roman" w:hAnsi="Times New Roman"/>
          <w:sz w:val="28"/>
          <w:szCs w:val="24"/>
        </w:rPr>
        <w:t> </w:t>
      </w:r>
      <w:r w:rsidRPr="003A7901">
        <w:rPr>
          <w:rFonts w:ascii="Times New Roman" w:hAnsi="Times New Roman"/>
          <w:sz w:val="28"/>
          <w:szCs w:val="24"/>
        </w:rPr>
        <w:t>решении этой проблемы;</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повышение роли классного руководителя как ключевой фигуры в</w:t>
      </w:r>
      <w:r>
        <w:rPr>
          <w:rFonts w:ascii="Times New Roman" w:hAnsi="Times New Roman"/>
          <w:sz w:val="28"/>
          <w:szCs w:val="24"/>
        </w:rPr>
        <w:t> </w:t>
      </w:r>
      <w:r w:rsidRPr="003A7901">
        <w:rPr>
          <w:rFonts w:ascii="Times New Roman" w:hAnsi="Times New Roman"/>
          <w:sz w:val="28"/>
          <w:szCs w:val="24"/>
        </w:rPr>
        <w:t>организации воспитательного процесса;</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ведение строгого контроля за</w:t>
      </w:r>
      <w:r>
        <w:rPr>
          <w:rFonts w:ascii="Times New Roman" w:hAnsi="Times New Roman"/>
          <w:sz w:val="28"/>
          <w:szCs w:val="24"/>
        </w:rPr>
        <w:t> </w:t>
      </w:r>
      <w:r w:rsidRPr="003A7901">
        <w:rPr>
          <w:rFonts w:ascii="Times New Roman" w:hAnsi="Times New Roman"/>
          <w:sz w:val="28"/>
          <w:szCs w:val="24"/>
        </w:rPr>
        <w:t>состоянием управления в</w:t>
      </w:r>
      <w:r>
        <w:rPr>
          <w:rFonts w:ascii="Times New Roman" w:hAnsi="Times New Roman"/>
          <w:sz w:val="28"/>
          <w:szCs w:val="24"/>
        </w:rPr>
        <w:t> </w:t>
      </w:r>
      <w:r w:rsidRPr="003A7901">
        <w:rPr>
          <w:rFonts w:ascii="Times New Roman" w:hAnsi="Times New Roman"/>
          <w:sz w:val="28"/>
          <w:szCs w:val="24"/>
        </w:rPr>
        <w:t>образовательных учреждениях;</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обеспечение качественной реализации базисных учебных планов;</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внедрение обновляемых пакетов электронных образовательных ресурсов и</w:t>
      </w:r>
      <w:r>
        <w:rPr>
          <w:rFonts w:ascii="Times New Roman" w:hAnsi="Times New Roman"/>
          <w:sz w:val="28"/>
          <w:szCs w:val="24"/>
        </w:rPr>
        <w:t> </w:t>
      </w:r>
      <w:r w:rsidRPr="003A7901">
        <w:rPr>
          <w:rFonts w:ascii="Times New Roman" w:hAnsi="Times New Roman"/>
          <w:sz w:val="28"/>
          <w:szCs w:val="24"/>
        </w:rPr>
        <w:t>ресурсов сети Интернет;</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внедрение системы мониторинговых исследований в</w:t>
      </w:r>
      <w:r>
        <w:rPr>
          <w:rFonts w:ascii="Times New Roman" w:hAnsi="Times New Roman"/>
          <w:sz w:val="28"/>
          <w:szCs w:val="24"/>
        </w:rPr>
        <w:t> </w:t>
      </w:r>
      <w:r w:rsidRPr="003A7901">
        <w:rPr>
          <w:rFonts w:ascii="Times New Roman" w:hAnsi="Times New Roman"/>
          <w:sz w:val="28"/>
          <w:szCs w:val="24"/>
        </w:rPr>
        <w:t>целях изучения качества подготовки выпускников разных ступеней обучения и</w:t>
      </w:r>
      <w:r>
        <w:rPr>
          <w:rFonts w:ascii="Times New Roman" w:hAnsi="Times New Roman"/>
          <w:sz w:val="28"/>
          <w:szCs w:val="24"/>
        </w:rPr>
        <w:t> </w:t>
      </w:r>
      <w:r w:rsidRPr="003A7901">
        <w:rPr>
          <w:rFonts w:ascii="Times New Roman" w:hAnsi="Times New Roman"/>
          <w:sz w:val="28"/>
          <w:szCs w:val="24"/>
        </w:rPr>
        <w:t>воспитания;</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ежегодное обновление и</w:t>
      </w:r>
      <w:r>
        <w:rPr>
          <w:rFonts w:ascii="Times New Roman" w:hAnsi="Times New Roman"/>
          <w:sz w:val="28"/>
          <w:szCs w:val="24"/>
        </w:rPr>
        <w:t> </w:t>
      </w:r>
      <w:r w:rsidRPr="003A7901">
        <w:rPr>
          <w:rFonts w:ascii="Times New Roman" w:hAnsi="Times New Roman"/>
          <w:sz w:val="28"/>
          <w:szCs w:val="24"/>
        </w:rPr>
        <w:t>пополнение материально-технической базы школы и</w:t>
      </w:r>
      <w:r>
        <w:rPr>
          <w:rFonts w:ascii="Times New Roman" w:hAnsi="Times New Roman"/>
          <w:sz w:val="28"/>
          <w:szCs w:val="24"/>
        </w:rPr>
        <w:t> </w:t>
      </w:r>
      <w:r w:rsidRPr="003A7901">
        <w:rPr>
          <w:rFonts w:ascii="Times New Roman" w:hAnsi="Times New Roman"/>
          <w:sz w:val="28"/>
          <w:szCs w:val="24"/>
        </w:rPr>
        <w:t>детского дошкольного учреждения;</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bCs/>
          <w:color w:val="000000"/>
          <w:sz w:val="28"/>
          <w:szCs w:val="24"/>
          <w:lang w:eastAsia="ru-RU"/>
        </w:rPr>
      </w:pPr>
      <w:r w:rsidRPr="003A7901">
        <w:rPr>
          <w:rFonts w:ascii="Times New Roman" w:hAnsi="Times New Roman"/>
          <w:sz w:val="28"/>
          <w:szCs w:val="24"/>
        </w:rPr>
        <w:t>организация досуговой деятельности школьников, организация летнего труда и</w:t>
      </w:r>
      <w:r>
        <w:rPr>
          <w:rFonts w:ascii="Times New Roman" w:hAnsi="Times New Roman"/>
          <w:sz w:val="28"/>
          <w:szCs w:val="24"/>
        </w:rPr>
        <w:t> </w:t>
      </w:r>
      <w:r w:rsidRPr="003A7901">
        <w:rPr>
          <w:rFonts w:ascii="Times New Roman" w:hAnsi="Times New Roman"/>
          <w:sz w:val="28"/>
          <w:szCs w:val="24"/>
        </w:rPr>
        <w:t>отдыха школьников.</w:t>
      </w:r>
    </w:p>
    <w:p w:rsidR="002D1E45" w:rsidRPr="003A7901" w:rsidRDefault="002D1E45" w:rsidP="003A7901">
      <w:pPr>
        <w:spacing w:after="0" w:line="240" w:lineRule="auto"/>
        <w:rPr>
          <w:rFonts w:ascii="Times New Roman" w:hAnsi="Times New Roman"/>
          <w:sz w:val="16"/>
          <w:szCs w:val="16"/>
          <w:lang w:eastAsia="ru-RU"/>
        </w:rPr>
      </w:pPr>
    </w:p>
    <w:p w:rsidR="002D1E45" w:rsidRPr="003A7901" w:rsidRDefault="002D1E45" w:rsidP="003A7901">
      <w:pPr>
        <w:spacing w:after="0" w:line="240" w:lineRule="auto"/>
        <w:rPr>
          <w:rFonts w:ascii="Times New Roman" w:hAnsi="Times New Roman"/>
          <w:sz w:val="16"/>
          <w:szCs w:val="16"/>
          <w:lang w:eastAsia="ru-RU"/>
        </w:rPr>
      </w:pPr>
    </w:p>
    <w:p w:rsidR="002D1E45" w:rsidRPr="003A7901" w:rsidRDefault="002D1E45" w:rsidP="003A7901">
      <w:pPr>
        <w:spacing w:after="0" w:line="240" w:lineRule="auto"/>
        <w:ind w:firstLine="709"/>
        <w:contextualSpacing/>
        <w:jc w:val="both"/>
        <w:rPr>
          <w:rFonts w:ascii="Times New Roman" w:hAnsi="Times New Roman"/>
          <w:bCs/>
          <w:i/>
          <w:color w:val="000000"/>
          <w:sz w:val="28"/>
          <w:szCs w:val="24"/>
          <w:u w:val="single"/>
          <w:lang w:eastAsia="ru-RU"/>
        </w:rPr>
      </w:pPr>
      <w:r w:rsidRPr="003A7901">
        <w:rPr>
          <w:rFonts w:ascii="Times New Roman" w:hAnsi="Times New Roman"/>
          <w:bCs/>
          <w:i/>
          <w:color w:val="000000"/>
          <w:sz w:val="28"/>
          <w:szCs w:val="24"/>
          <w:u w:val="single"/>
          <w:lang w:eastAsia="ru-RU"/>
        </w:rPr>
        <w:t>Сфера здравоохранения</w:t>
      </w:r>
    </w:p>
    <w:p w:rsidR="002D1E45" w:rsidRPr="003375F2" w:rsidRDefault="002D1E45" w:rsidP="003375F2">
      <w:pPr>
        <w:spacing w:after="0" w:line="240" w:lineRule="auto"/>
        <w:ind w:firstLine="709"/>
        <w:jc w:val="both"/>
        <w:rPr>
          <w:rFonts w:ascii="Times New Roman" w:hAnsi="Times New Roman"/>
          <w:sz w:val="28"/>
          <w:szCs w:val="24"/>
          <w:lang w:eastAsia="ru-RU"/>
        </w:rPr>
      </w:pPr>
      <w:r w:rsidRPr="003375F2">
        <w:rPr>
          <w:rFonts w:ascii="Times New Roman" w:hAnsi="Times New Roman"/>
          <w:sz w:val="28"/>
          <w:szCs w:val="24"/>
          <w:lang w:eastAsia="ru-RU"/>
        </w:rPr>
        <w:t>Основными направлениями, определяющими решение задач в</w:t>
      </w:r>
      <w:r>
        <w:rPr>
          <w:rFonts w:ascii="Times New Roman" w:hAnsi="Times New Roman"/>
          <w:sz w:val="28"/>
          <w:szCs w:val="24"/>
          <w:lang w:eastAsia="ru-RU"/>
        </w:rPr>
        <w:t> </w:t>
      </w:r>
      <w:r w:rsidRPr="003375F2">
        <w:rPr>
          <w:rFonts w:ascii="Times New Roman" w:hAnsi="Times New Roman"/>
          <w:sz w:val="28"/>
          <w:szCs w:val="24"/>
          <w:lang w:eastAsia="ru-RU"/>
        </w:rPr>
        <w:t>сфере здравоохранения, являются:</w:t>
      </w:r>
    </w:p>
    <w:p w:rsidR="002D1E45" w:rsidRPr="003375F2" w:rsidRDefault="002D1E45" w:rsidP="00D05D06">
      <w:pPr>
        <w:numPr>
          <w:ilvl w:val="0"/>
          <w:numId w:val="60"/>
        </w:numPr>
        <w:spacing w:after="0" w:line="240" w:lineRule="auto"/>
        <w:jc w:val="both"/>
        <w:rPr>
          <w:rFonts w:ascii="Times New Roman" w:hAnsi="Times New Roman"/>
          <w:sz w:val="28"/>
          <w:szCs w:val="24"/>
          <w:lang w:eastAsia="ru-RU"/>
        </w:rPr>
      </w:pPr>
      <w:r w:rsidRPr="003375F2">
        <w:rPr>
          <w:rFonts w:ascii="Times New Roman" w:hAnsi="Times New Roman"/>
          <w:sz w:val="28"/>
          <w:szCs w:val="24"/>
          <w:lang w:eastAsia="ru-RU"/>
        </w:rPr>
        <w:t>создание эффективной базы по</w:t>
      </w:r>
      <w:r>
        <w:rPr>
          <w:rFonts w:ascii="Times New Roman" w:hAnsi="Times New Roman"/>
          <w:sz w:val="28"/>
          <w:szCs w:val="24"/>
          <w:lang w:eastAsia="ru-RU"/>
        </w:rPr>
        <w:t> </w:t>
      </w:r>
      <w:r w:rsidRPr="003375F2">
        <w:rPr>
          <w:rFonts w:ascii="Times New Roman" w:hAnsi="Times New Roman"/>
          <w:sz w:val="28"/>
          <w:szCs w:val="24"/>
          <w:lang w:eastAsia="ru-RU"/>
        </w:rPr>
        <w:t>предупреждению заболеваний, угрожающих репродуктивному здоровью, здоровью матерей и</w:t>
      </w:r>
      <w:r>
        <w:rPr>
          <w:rFonts w:ascii="Times New Roman" w:hAnsi="Times New Roman"/>
          <w:sz w:val="28"/>
          <w:szCs w:val="24"/>
          <w:lang w:eastAsia="ru-RU"/>
        </w:rPr>
        <w:t> </w:t>
      </w:r>
      <w:r w:rsidRPr="003375F2">
        <w:rPr>
          <w:rFonts w:ascii="Times New Roman" w:hAnsi="Times New Roman"/>
          <w:sz w:val="28"/>
          <w:szCs w:val="24"/>
          <w:lang w:eastAsia="ru-RU"/>
        </w:rPr>
        <w:t>детей, заболеваний, приводящих к</w:t>
      </w:r>
      <w:r>
        <w:rPr>
          <w:rFonts w:ascii="Times New Roman" w:hAnsi="Times New Roman"/>
          <w:sz w:val="28"/>
          <w:szCs w:val="24"/>
          <w:lang w:eastAsia="ru-RU"/>
        </w:rPr>
        <w:t> </w:t>
      </w:r>
      <w:r w:rsidRPr="003375F2">
        <w:rPr>
          <w:rFonts w:ascii="Times New Roman" w:hAnsi="Times New Roman"/>
          <w:sz w:val="28"/>
          <w:szCs w:val="24"/>
          <w:lang w:eastAsia="ru-RU"/>
        </w:rPr>
        <w:t>преждевременной смертности и</w:t>
      </w:r>
      <w:r>
        <w:rPr>
          <w:rFonts w:ascii="Times New Roman" w:hAnsi="Times New Roman"/>
          <w:sz w:val="28"/>
          <w:szCs w:val="24"/>
          <w:lang w:eastAsia="ru-RU"/>
        </w:rPr>
        <w:t> </w:t>
      </w:r>
      <w:r w:rsidRPr="003375F2">
        <w:rPr>
          <w:rFonts w:ascii="Times New Roman" w:hAnsi="Times New Roman"/>
          <w:sz w:val="28"/>
          <w:szCs w:val="24"/>
          <w:lang w:eastAsia="ru-RU"/>
        </w:rPr>
        <w:t>инвалидности;</w:t>
      </w:r>
    </w:p>
    <w:p w:rsidR="002D1E45" w:rsidRPr="003375F2" w:rsidRDefault="002D1E45" w:rsidP="00D05D06">
      <w:pPr>
        <w:numPr>
          <w:ilvl w:val="0"/>
          <w:numId w:val="60"/>
        </w:numPr>
        <w:spacing w:after="0" w:line="240" w:lineRule="auto"/>
        <w:jc w:val="both"/>
        <w:rPr>
          <w:rFonts w:ascii="Times New Roman" w:hAnsi="Times New Roman"/>
          <w:sz w:val="28"/>
          <w:szCs w:val="24"/>
          <w:lang w:eastAsia="ru-RU"/>
        </w:rPr>
      </w:pPr>
      <w:r w:rsidRPr="003375F2">
        <w:rPr>
          <w:rFonts w:ascii="Times New Roman" w:hAnsi="Times New Roman"/>
          <w:sz w:val="28"/>
          <w:szCs w:val="24"/>
          <w:lang w:eastAsia="ru-RU"/>
        </w:rPr>
        <w:t>совершенствование системы профилактических мероприятий, в</w:t>
      </w:r>
      <w:r>
        <w:rPr>
          <w:rFonts w:ascii="Times New Roman" w:hAnsi="Times New Roman"/>
          <w:sz w:val="28"/>
          <w:szCs w:val="24"/>
          <w:lang w:eastAsia="ru-RU"/>
        </w:rPr>
        <w:t> </w:t>
      </w:r>
      <w:r w:rsidRPr="003375F2">
        <w:rPr>
          <w:rFonts w:ascii="Times New Roman" w:hAnsi="Times New Roman"/>
          <w:sz w:val="28"/>
          <w:szCs w:val="24"/>
          <w:lang w:eastAsia="ru-RU"/>
        </w:rPr>
        <w:t>том числе путём создания кабинетов профилактики;</w:t>
      </w:r>
    </w:p>
    <w:p w:rsidR="002D1E45" w:rsidRPr="003375F2" w:rsidRDefault="002D1E45" w:rsidP="00D05D06">
      <w:pPr>
        <w:numPr>
          <w:ilvl w:val="0"/>
          <w:numId w:val="60"/>
        </w:numPr>
        <w:spacing w:after="0" w:line="240" w:lineRule="auto"/>
        <w:jc w:val="both"/>
        <w:rPr>
          <w:rFonts w:ascii="Times New Roman" w:hAnsi="Times New Roman"/>
          <w:sz w:val="28"/>
          <w:szCs w:val="24"/>
          <w:lang w:eastAsia="ru-RU"/>
        </w:rPr>
      </w:pPr>
      <w:r w:rsidRPr="003375F2">
        <w:rPr>
          <w:rFonts w:ascii="Times New Roman" w:hAnsi="Times New Roman"/>
          <w:sz w:val="28"/>
          <w:szCs w:val="24"/>
          <w:lang w:eastAsia="ru-RU"/>
        </w:rPr>
        <w:t>повышение укомплектованности и</w:t>
      </w:r>
      <w:r>
        <w:rPr>
          <w:rFonts w:ascii="Times New Roman" w:hAnsi="Times New Roman"/>
          <w:sz w:val="28"/>
          <w:szCs w:val="24"/>
          <w:lang w:eastAsia="ru-RU"/>
        </w:rPr>
        <w:t> </w:t>
      </w:r>
      <w:r w:rsidRPr="003375F2">
        <w:rPr>
          <w:rFonts w:ascii="Times New Roman" w:hAnsi="Times New Roman"/>
          <w:sz w:val="28"/>
          <w:szCs w:val="24"/>
          <w:lang w:eastAsia="ru-RU"/>
        </w:rPr>
        <w:t>профессионального уровня медицинского персонала, улучшение условий труда медицинских работников;</w:t>
      </w:r>
    </w:p>
    <w:p w:rsidR="002D1E45" w:rsidRPr="003375F2" w:rsidRDefault="002D1E45" w:rsidP="00D05D06">
      <w:pPr>
        <w:numPr>
          <w:ilvl w:val="0"/>
          <w:numId w:val="60"/>
        </w:numPr>
        <w:spacing w:after="0" w:line="240" w:lineRule="auto"/>
        <w:jc w:val="both"/>
        <w:rPr>
          <w:rFonts w:ascii="Times New Roman" w:hAnsi="Times New Roman"/>
          <w:sz w:val="28"/>
          <w:szCs w:val="24"/>
          <w:lang w:eastAsia="ru-RU"/>
        </w:rPr>
      </w:pPr>
      <w:r w:rsidRPr="003375F2">
        <w:rPr>
          <w:rFonts w:ascii="Times New Roman" w:hAnsi="Times New Roman"/>
          <w:sz w:val="28"/>
          <w:szCs w:val="24"/>
          <w:lang w:eastAsia="ru-RU"/>
        </w:rPr>
        <w:t>совершенствование материально-технической базы учреждений здравоохранения;</w:t>
      </w:r>
    </w:p>
    <w:p w:rsidR="002D1E45" w:rsidRPr="003375F2" w:rsidRDefault="002D1E45" w:rsidP="00D05D06">
      <w:pPr>
        <w:numPr>
          <w:ilvl w:val="0"/>
          <w:numId w:val="60"/>
        </w:numPr>
        <w:spacing w:after="0" w:line="240" w:lineRule="auto"/>
        <w:jc w:val="both"/>
        <w:rPr>
          <w:rFonts w:ascii="Times New Roman" w:hAnsi="Times New Roman"/>
          <w:sz w:val="28"/>
          <w:szCs w:val="24"/>
          <w:lang w:eastAsia="ru-RU"/>
        </w:rPr>
      </w:pPr>
      <w:r w:rsidRPr="003375F2">
        <w:rPr>
          <w:rFonts w:ascii="Times New Roman" w:hAnsi="Times New Roman"/>
          <w:sz w:val="28"/>
          <w:szCs w:val="24"/>
          <w:lang w:eastAsia="ru-RU"/>
        </w:rPr>
        <w:t xml:space="preserve">организация выездного (передвижного) обслуживания населения медицинскими услугами «узких» специалистов; </w:t>
      </w:r>
    </w:p>
    <w:p w:rsidR="002D1E45" w:rsidRPr="003375F2" w:rsidRDefault="002D1E45" w:rsidP="00D05D06">
      <w:pPr>
        <w:numPr>
          <w:ilvl w:val="0"/>
          <w:numId w:val="60"/>
        </w:numPr>
        <w:spacing w:after="0" w:line="240" w:lineRule="auto"/>
        <w:jc w:val="both"/>
        <w:rPr>
          <w:rFonts w:ascii="Times New Roman" w:hAnsi="Times New Roman"/>
          <w:sz w:val="28"/>
          <w:szCs w:val="24"/>
          <w:lang w:eastAsia="ru-RU"/>
        </w:rPr>
      </w:pPr>
      <w:r w:rsidRPr="003375F2">
        <w:rPr>
          <w:rFonts w:ascii="Times New Roman" w:hAnsi="Times New Roman"/>
          <w:sz w:val="28"/>
          <w:szCs w:val="24"/>
          <w:lang w:eastAsia="ru-RU"/>
        </w:rPr>
        <w:t>внедрение института «Врач общей практики» или «Семейный доктор»;</w:t>
      </w:r>
    </w:p>
    <w:p w:rsidR="002D1E45" w:rsidRPr="003375F2" w:rsidRDefault="002D1E45" w:rsidP="00D05D06">
      <w:pPr>
        <w:numPr>
          <w:ilvl w:val="0"/>
          <w:numId w:val="60"/>
        </w:numPr>
        <w:spacing w:after="0" w:line="240" w:lineRule="auto"/>
        <w:jc w:val="both"/>
        <w:rPr>
          <w:rFonts w:ascii="Times New Roman" w:hAnsi="Times New Roman"/>
          <w:sz w:val="28"/>
          <w:szCs w:val="24"/>
          <w:lang w:eastAsia="ru-RU"/>
        </w:rPr>
      </w:pPr>
      <w:r w:rsidRPr="003375F2">
        <w:rPr>
          <w:rFonts w:ascii="Times New Roman" w:hAnsi="Times New Roman"/>
          <w:sz w:val="28"/>
          <w:szCs w:val="24"/>
          <w:lang w:eastAsia="ru-RU"/>
        </w:rPr>
        <w:t>разработка и</w:t>
      </w:r>
      <w:r>
        <w:rPr>
          <w:rFonts w:ascii="Times New Roman" w:hAnsi="Times New Roman"/>
          <w:sz w:val="28"/>
          <w:szCs w:val="24"/>
          <w:lang w:eastAsia="ru-RU"/>
        </w:rPr>
        <w:t> </w:t>
      </w:r>
      <w:r w:rsidRPr="003375F2">
        <w:rPr>
          <w:rFonts w:ascii="Times New Roman" w:hAnsi="Times New Roman"/>
          <w:sz w:val="28"/>
          <w:szCs w:val="24"/>
          <w:lang w:eastAsia="ru-RU"/>
        </w:rPr>
        <w:t>внедрение стандартов качества оказания медицинских услуг;</w:t>
      </w:r>
    </w:p>
    <w:p w:rsidR="002D1E45" w:rsidRPr="003375F2" w:rsidRDefault="002D1E45" w:rsidP="00D05D06">
      <w:pPr>
        <w:numPr>
          <w:ilvl w:val="0"/>
          <w:numId w:val="60"/>
        </w:numPr>
        <w:spacing w:after="0" w:line="240" w:lineRule="auto"/>
        <w:jc w:val="both"/>
        <w:rPr>
          <w:rFonts w:ascii="Times New Roman" w:hAnsi="Times New Roman"/>
          <w:sz w:val="28"/>
          <w:szCs w:val="24"/>
          <w:lang w:eastAsia="ru-RU"/>
        </w:rPr>
      </w:pPr>
      <w:r w:rsidRPr="003375F2">
        <w:rPr>
          <w:rFonts w:ascii="Times New Roman" w:hAnsi="Times New Roman"/>
          <w:sz w:val="28"/>
          <w:szCs w:val="24"/>
          <w:lang w:eastAsia="ru-RU"/>
        </w:rPr>
        <w:t>обеспечение условий для эффективного использования современной медицинской техники и</w:t>
      </w:r>
      <w:r>
        <w:rPr>
          <w:rFonts w:ascii="Times New Roman" w:hAnsi="Times New Roman"/>
          <w:sz w:val="28"/>
          <w:szCs w:val="24"/>
          <w:lang w:eastAsia="ru-RU"/>
        </w:rPr>
        <w:t> </w:t>
      </w:r>
      <w:r w:rsidRPr="003375F2">
        <w:rPr>
          <w:rFonts w:ascii="Times New Roman" w:hAnsi="Times New Roman"/>
          <w:sz w:val="28"/>
          <w:szCs w:val="24"/>
          <w:lang w:eastAsia="ru-RU"/>
        </w:rPr>
        <w:t>медицинского оборудования, в</w:t>
      </w:r>
      <w:r>
        <w:rPr>
          <w:rFonts w:ascii="Times New Roman" w:hAnsi="Times New Roman"/>
          <w:sz w:val="28"/>
          <w:szCs w:val="24"/>
          <w:lang w:eastAsia="ru-RU"/>
        </w:rPr>
        <w:t> </w:t>
      </w:r>
      <w:r w:rsidRPr="003375F2">
        <w:rPr>
          <w:rFonts w:ascii="Times New Roman" w:hAnsi="Times New Roman"/>
          <w:sz w:val="28"/>
          <w:szCs w:val="24"/>
          <w:lang w:eastAsia="ru-RU"/>
        </w:rPr>
        <w:t>том числе использование возможностей телекоммуникационных сетей;</w:t>
      </w:r>
    </w:p>
    <w:p w:rsidR="002D1E45" w:rsidRPr="003375F2" w:rsidRDefault="002D1E45" w:rsidP="00D05D06">
      <w:pPr>
        <w:numPr>
          <w:ilvl w:val="0"/>
          <w:numId w:val="60"/>
        </w:numPr>
        <w:spacing w:after="0" w:line="240" w:lineRule="auto"/>
        <w:jc w:val="both"/>
        <w:rPr>
          <w:rFonts w:ascii="Times New Roman" w:hAnsi="Times New Roman"/>
          <w:sz w:val="28"/>
          <w:szCs w:val="24"/>
          <w:lang w:eastAsia="ru-RU"/>
        </w:rPr>
      </w:pPr>
      <w:r>
        <w:rPr>
          <w:rFonts w:ascii="Times New Roman" w:hAnsi="Times New Roman"/>
          <w:sz w:val="28"/>
          <w:szCs w:val="24"/>
          <w:lang w:eastAsia="ru-RU"/>
        </w:rPr>
        <w:t>развитие платных услуг.</w:t>
      </w:r>
    </w:p>
    <w:p w:rsidR="002D1E45" w:rsidRPr="004661B1" w:rsidRDefault="002D1E45" w:rsidP="004661B1">
      <w:pPr>
        <w:spacing w:after="0" w:line="240" w:lineRule="auto"/>
        <w:ind w:firstLine="709"/>
        <w:jc w:val="both"/>
        <w:rPr>
          <w:rFonts w:ascii="Times New Roman" w:hAnsi="Times New Roman"/>
          <w:sz w:val="28"/>
          <w:szCs w:val="24"/>
          <w:lang w:eastAsia="ru-RU"/>
        </w:rPr>
      </w:pPr>
      <w:r w:rsidRPr="004661B1">
        <w:rPr>
          <w:rFonts w:ascii="Times New Roman" w:hAnsi="Times New Roman"/>
          <w:sz w:val="28"/>
          <w:szCs w:val="24"/>
          <w:lang w:eastAsia="ru-RU"/>
        </w:rPr>
        <w:t>Основными направлениями в</w:t>
      </w:r>
      <w:r>
        <w:rPr>
          <w:rFonts w:ascii="Times New Roman" w:hAnsi="Times New Roman"/>
          <w:sz w:val="28"/>
          <w:szCs w:val="24"/>
          <w:lang w:eastAsia="ru-RU"/>
        </w:rPr>
        <w:t> </w:t>
      </w:r>
      <w:r w:rsidRPr="004661B1">
        <w:rPr>
          <w:rFonts w:ascii="Times New Roman" w:hAnsi="Times New Roman"/>
          <w:sz w:val="28"/>
          <w:szCs w:val="24"/>
          <w:lang w:eastAsia="ru-RU"/>
        </w:rPr>
        <w:t>решении задачи социальной поддержки отдельных категорий граждан являются:</w:t>
      </w:r>
    </w:p>
    <w:p w:rsidR="002D1E45" w:rsidRPr="004661B1" w:rsidRDefault="002D1E45" w:rsidP="00D05D06">
      <w:pPr>
        <w:numPr>
          <w:ilvl w:val="0"/>
          <w:numId w:val="60"/>
        </w:numPr>
        <w:spacing w:after="0" w:line="240" w:lineRule="auto"/>
        <w:jc w:val="both"/>
        <w:rPr>
          <w:rFonts w:ascii="Times New Roman" w:hAnsi="Times New Roman"/>
          <w:sz w:val="28"/>
          <w:szCs w:val="24"/>
          <w:lang w:eastAsia="ru-RU"/>
        </w:rPr>
      </w:pPr>
      <w:r w:rsidRPr="004661B1">
        <w:rPr>
          <w:rFonts w:ascii="Times New Roman" w:hAnsi="Times New Roman"/>
          <w:sz w:val="28"/>
          <w:szCs w:val="24"/>
          <w:lang w:eastAsia="ru-RU"/>
        </w:rPr>
        <w:t>совершенствование системы социальной защиты, укрепление материальной базы учреждений;</w:t>
      </w:r>
    </w:p>
    <w:p w:rsidR="002D1E45" w:rsidRPr="004661B1" w:rsidRDefault="002D1E45" w:rsidP="00D05D06">
      <w:pPr>
        <w:numPr>
          <w:ilvl w:val="0"/>
          <w:numId w:val="60"/>
        </w:numPr>
        <w:spacing w:after="0" w:line="240" w:lineRule="auto"/>
        <w:jc w:val="both"/>
        <w:rPr>
          <w:rFonts w:ascii="Times New Roman" w:hAnsi="Times New Roman"/>
          <w:sz w:val="28"/>
          <w:szCs w:val="24"/>
          <w:lang w:eastAsia="ru-RU"/>
        </w:rPr>
      </w:pPr>
      <w:r w:rsidRPr="004661B1">
        <w:rPr>
          <w:rFonts w:ascii="Times New Roman" w:hAnsi="Times New Roman"/>
          <w:sz w:val="28"/>
          <w:szCs w:val="24"/>
          <w:lang w:eastAsia="ru-RU"/>
        </w:rPr>
        <w:t>развитие системы социальной защиты семьи и</w:t>
      </w:r>
      <w:r>
        <w:rPr>
          <w:rFonts w:ascii="Times New Roman" w:hAnsi="Times New Roman"/>
          <w:sz w:val="28"/>
          <w:szCs w:val="24"/>
          <w:lang w:eastAsia="ru-RU"/>
        </w:rPr>
        <w:t> </w:t>
      </w:r>
      <w:r w:rsidRPr="004661B1">
        <w:rPr>
          <w:rFonts w:ascii="Times New Roman" w:hAnsi="Times New Roman"/>
          <w:sz w:val="28"/>
          <w:szCs w:val="24"/>
          <w:lang w:eastAsia="ru-RU"/>
        </w:rPr>
        <w:t>детей, профилактика безнадзорности и</w:t>
      </w:r>
      <w:r>
        <w:rPr>
          <w:rFonts w:ascii="Times New Roman" w:hAnsi="Times New Roman"/>
          <w:sz w:val="28"/>
          <w:szCs w:val="24"/>
          <w:lang w:eastAsia="ru-RU"/>
        </w:rPr>
        <w:t> </w:t>
      </w:r>
      <w:r w:rsidRPr="004661B1">
        <w:rPr>
          <w:rFonts w:ascii="Times New Roman" w:hAnsi="Times New Roman"/>
          <w:sz w:val="28"/>
          <w:szCs w:val="24"/>
          <w:lang w:eastAsia="ru-RU"/>
        </w:rPr>
        <w:t>правонарушений несовершеннолетних, организация оздоровления детей из</w:t>
      </w:r>
      <w:r>
        <w:rPr>
          <w:rFonts w:ascii="Times New Roman" w:hAnsi="Times New Roman"/>
          <w:sz w:val="28"/>
          <w:szCs w:val="24"/>
          <w:lang w:eastAsia="ru-RU"/>
        </w:rPr>
        <w:t> </w:t>
      </w:r>
      <w:r w:rsidRPr="004661B1">
        <w:rPr>
          <w:rFonts w:ascii="Times New Roman" w:hAnsi="Times New Roman"/>
          <w:sz w:val="28"/>
          <w:szCs w:val="24"/>
          <w:lang w:eastAsia="ru-RU"/>
        </w:rPr>
        <w:t>социально незащищённых семей, обеспечение адресности предоставления пособия на</w:t>
      </w:r>
      <w:r>
        <w:rPr>
          <w:rFonts w:ascii="Times New Roman" w:hAnsi="Times New Roman"/>
          <w:sz w:val="28"/>
          <w:szCs w:val="24"/>
          <w:lang w:eastAsia="ru-RU"/>
        </w:rPr>
        <w:t> </w:t>
      </w:r>
      <w:r w:rsidRPr="004661B1">
        <w:rPr>
          <w:rFonts w:ascii="Times New Roman" w:hAnsi="Times New Roman"/>
          <w:sz w:val="28"/>
          <w:szCs w:val="24"/>
          <w:lang w:eastAsia="ru-RU"/>
        </w:rPr>
        <w:t>детей;</w:t>
      </w:r>
    </w:p>
    <w:p w:rsidR="002D1E45" w:rsidRPr="004661B1" w:rsidRDefault="002D1E45" w:rsidP="00D05D06">
      <w:pPr>
        <w:numPr>
          <w:ilvl w:val="0"/>
          <w:numId w:val="60"/>
        </w:numPr>
        <w:spacing w:after="0" w:line="240" w:lineRule="auto"/>
        <w:jc w:val="both"/>
        <w:rPr>
          <w:rFonts w:ascii="Times New Roman" w:hAnsi="Times New Roman"/>
          <w:sz w:val="28"/>
          <w:szCs w:val="24"/>
          <w:lang w:eastAsia="ru-RU"/>
        </w:rPr>
      </w:pPr>
      <w:r w:rsidRPr="004661B1">
        <w:rPr>
          <w:rFonts w:ascii="Times New Roman" w:hAnsi="Times New Roman"/>
          <w:sz w:val="28"/>
          <w:szCs w:val="24"/>
          <w:lang w:eastAsia="ru-RU"/>
        </w:rPr>
        <w:t>осуществление адресного предоставления льгот и</w:t>
      </w:r>
      <w:r>
        <w:rPr>
          <w:rFonts w:ascii="Times New Roman" w:hAnsi="Times New Roman"/>
          <w:sz w:val="28"/>
          <w:szCs w:val="24"/>
          <w:lang w:eastAsia="ru-RU"/>
        </w:rPr>
        <w:t> </w:t>
      </w:r>
      <w:r w:rsidRPr="004661B1">
        <w:rPr>
          <w:rFonts w:ascii="Times New Roman" w:hAnsi="Times New Roman"/>
          <w:sz w:val="28"/>
          <w:szCs w:val="24"/>
          <w:lang w:eastAsia="ru-RU"/>
        </w:rPr>
        <w:t>субсидий за</w:t>
      </w:r>
      <w:r>
        <w:rPr>
          <w:rFonts w:ascii="Times New Roman" w:hAnsi="Times New Roman"/>
          <w:sz w:val="28"/>
          <w:szCs w:val="24"/>
          <w:lang w:eastAsia="ru-RU"/>
        </w:rPr>
        <w:t> </w:t>
      </w:r>
      <w:r w:rsidRPr="004661B1">
        <w:rPr>
          <w:rFonts w:ascii="Times New Roman" w:hAnsi="Times New Roman"/>
          <w:sz w:val="28"/>
          <w:szCs w:val="24"/>
          <w:lang w:eastAsia="ru-RU"/>
        </w:rPr>
        <w:t>оказанные жилищно-коммунальные услуги;</w:t>
      </w:r>
    </w:p>
    <w:p w:rsidR="002D1E45" w:rsidRPr="004661B1" w:rsidRDefault="002D1E45" w:rsidP="00D05D06">
      <w:pPr>
        <w:numPr>
          <w:ilvl w:val="0"/>
          <w:numId w:val="60"/>
        </w:numPr>
        <w:spacing w:after="0" w:line="240" w:lineRule="auto"/>
        <w:jc w:val="both"/>
        <w:rPr>
          <w:rFonts w:ascii="Times New Roman" w:hAnsi="Times New Roman"/>
          <w:sz w:val="28"/>
          <w:szCs w:val="24"/>
          <w:lang w:eastAsia="ru-RU"/>
        </w:rPr>
      </w:pPr>
      <w:r w:rsidRPr="004661B1">
        <w:rPr>
          <w:rFonts w:ascii="Times New Roman" w:hAnsi="Times New Roman"/>
          <w:sz w:val="28"/>
          <w:szCs w:val="24"/>
          <w:lang w:eastAsia="ru-RU"/>
        </w:rPr>
        <w:t>мониторинг уровня доходов населения;</w:t>
      </w:r>
    </w:p>
    <w:p w:rsidR="002D1E45" w:rsidRPr="004661B1" w:rsidRDefault="002D1E45" w:rsidP="00D05D06">
      <w:pPr>
        <w:numPr>
          <w:ilvl w:val="0"/>
          <w:numId w:val="60"/>
        </w:numPr>
        <w:spacing w:after="0" w:line="240" w:lineRule="auto"/>
        <w:jc w:val="both"/>
        <w:rPr>
          <w:rFonts w:ascii="Times New Roman" w:hAnsi="Times New Roman"/>
          <w:sz w:val="28"/>
          <w:szCs w:val="24"/>
          <w:lang w:eastAsia="ru-RU"/>
        </w:rPr>
      </w:pPr>
      <w:r w:rsidRPr="004661B1">
        <w:rPr>
          <w:rFonts w:ascii="Times New Roman" w:hAnsi="Times New Roman"/>
          <w:sz w:val="28"/>
          <w:szCs w:val="24"/>
          <w:lang w:eastAsia="ru-RU"/>
        </w:rPr>
        <w:t>формирование системы социального патроната для населения (семей, детей), оказавшихся в</w:t>
      </w:r>
      <w:r>
        <w:rPr>
          <w:rFonts w:ascii="Times New Roman" w:hAnsi="Times New Roman"/>
          <w:sz w:val="28"/>
          <w:szCs w:val="24"/>
          <w:lang w:eastAsia="ru-RU"/>
        </w:rPr>
        <w:t> </w:t>
      </w:r>
      <w:r w:rsidRPr="004661B1">
        <w:rPr>
          <w:rFonts w:ascii="Times New Roman" w:hAnsi="Times New Roman"/>
          <w:sz w:val="28"/>
          <w:szCs w:val="24"/>
          <w:lang w:eastAsia="ru-RU"/>
        </w:rPr>
        <w:t>сложной жизненной ситуации;</w:t>
      </w:r>
    </w:p>
    <w:p w:rsidR="002D1E45" w:rsidRPr="004661B1" w:rsidRDefault="002D1E45" w:rsidP="00D05D06">
      <w:pPr>
        <w:numPr>
          <w:ilvl w:val="0"/>
          <w:numId w:val="60"/>
        </w:numPr>
        <w:spacing w:after="0" w:line="240" w:lineRule="auto"/>
        <w:jc w:val="both"/>
        <w:rPr>
          <w:rFonts w:ascii="Times New Roman" w:hAnsi="Times New Roman"/>
          <w:sz w:val="28"/>
          <w:szCs w:val="24"/>
          <w:lang w:eastAsia="ru-RU"/>
        </w:rPr>
      </w:pPr>
      <w:r w:rsidRPr="004661B1">
        <w:rPr>
          <w:rFonts w:ascii="Times New Roman" w:hAnsi="Times New Roman"/>
          <w:sz w:val="28"/>
          <w:szCs w:val="24"/>
          <w:lang w:eastAsia="ru-RU"/>
        </w:rPr>
        <w:t>формирование механизмов поддержки молодой семьи;</w:t>
      </w:r>
    </w:p>
    <w:p w:rsidR="002D1E45" w:rsidRPr="004661B1" w:rsidRDefault="002D1E45" w:rsidP="00D05D06">
      <w:pPr>
        <w:numPr>
          <w:ilvl w:val="0"/>
          <w:numId w:val="60"/>
        </w:numPr>
        <w:spacing w:after="0" w:line="240" w:lineRule="auto"/>
        <w:jc w:val="both"/>
        <w:rPr>
          <w:rFonts w:ascii="Times New Roman" w:hAnsi="Times New Roman"/>
          <w:sz w:val="28"/>
          <w:szCs w:val="24"/>
          <w:lang w:eastAsia="ru-RU"/>
        </w:rPr>
      </w:pPr>
      <w:r w:rsidRPr="004661B1">
        <w:rPr>
          <w:rFonts w:ascii="Times New Roman" w:hAnsi="Times New Roman"/>
          <w:sz w:val="28"/>
          <w:szCs w:val="24"/>
          <w:lang w:eastAsia="ru-RU"/>
        </w:rPr>
        <w:t>институциональное развитие системы социального партнёрства бизнеса и</w:t>
      </w:r>
      <w:r>
        <w:rPr>
          <w:rFonts w:ascii="Times New Roman" w:hAnsi="Times New Roman"/>
          <w:sz w:val="28"/>
          <w:szCs w:val="24"/>
          <w:lang w:eastAsia="ru-RU"/>
        </w:rPr>
        <w:t> </w:t>
      </w:r>
      <w:r w:rsidRPr="004661B1">
        <w:rPr>
          <w:rFonts w:ascii="Times New Roman" w:hAnsi="Times New Roman"/>
          <w:sz w:val="28"/>
          <w:szCs w:val="24"/>
          <w:lang w:eastAsia="ru-RU"/>
        </w:rPr>
        <w:t>власти на</w:t>
      </w:r>
      <w:r>
        <w:rPr>
          <w:rFonts w:ascii="Times New Roman" w:hAnsi="Times New Roman"/>
          <w:sz w:val="28"/>
          <w:szCs w:val="24"/>
          <w:lang w:eastAsia="ru-RU"/>
        </w:rPr>
        <w:t> </w:t>
      </w:r>
      <w:r w:rsidRPr="004661B1">
        <w:rPr>
          <w:rFonts w:ascii="Times New Roman" w:hAnsi="Times New Roman"/>
          <w:sz w:val="28"/>
          <w:szCs w:val="24"/>
          <w:lang w:eastAsia="ru-RU"/>
        </w:rPr>
        <w:t>основе создания общественных и</w:t>
      </w:r>
      <w:r>
        <w:rPr>
          <w:rFonts w:ascii="Times New Roman" w:hAnsi="Times New Roman"/>
          <w:sz w:val="28"/>
          <w:szCs w:val="24"/>
          <w:lang w:eastAsia="ru-RU"/>
        </w:rPr>
        <w:t> </w:t>
      </w:r>
      <w:r w:rsidRPr="004661B1">
        <w:rPr>
          <w:rFonts w:ascii="Times New Roman" w:hAnsi="Times New Roman"/>
          <w:sz w:val="28"/>
          <w:szCs w:val="24"/>
          <w:lang w:eastAsia="ru-RU"/>
        </w:rPr>
        <w:t>некоммерческих организаций, благотворительных организаций;</w:t>
      </w:r>
    </w:p>
    <w:p w:rsidR="002D1E45" w:rsidRPr="004661B1" w:rsidRDefault="002D1E45" w:rsidP="00D05D06">
      <w:pPr>
        <w:numPr>
          <w:ilvl w:val="0"/>
          <w:numId w:val="60"/>
        </w:numPr>
        <w:spacing w:after="0" w:line="240" w:lineRule="auto"/>
        <w:jc w:val="both"/>
        <w:rPr>
          <w:rFonts w:ascii="Times New Roman" w:hAnsi="Times New Roman"/>
          <w:sz w:val="28"/>
          <w:szCs w:val="24"/>
          <w:lang w:eastAsia="ru-RU"/>
        </w:rPr>
      </w:pPr>
      <w:r w:rsidRPr="004661B1">
        <w:rPr>
          <w:rFonts w:ascii="Times New Roman" w:hAnsi="Times New Roman"/>
          <w:sz w:val="28"/>
          <w:szCs w:val="24"/>
          <w:lang w:eastAsia="ru-RU"/>
        </w:rPr>
        <w:t>развитие системы предоставления социальных услуг (развитие системы адресного предоставления услуг и</w:t>
      </w:r>
      <w:r>
        <w:rPr>
          <w:rFonts w:ascii="Times New Roman" w:hAnsi="Times New Roman"/>
          <w:sz w:val="28"/>
          <w:szCs w:val="24"/>
          <w:lang w:eastAsia="ru-RU"/>
        </w:rPr>
        <w:t> </w:t>
      </w:r>
      <w:r w:rsidRPr="004661B1">
        <w:rPr>
          <w:rFonts w:ascii="Times New Roman" w:hAnsi="Times New Roman"/>
          <w:sz w:val="28"/>
          <w:szCs w:val="24"/>
          <w:lang w:eastAsia="ru-RU"/>
        </w:rPr>
        <w:t>системы «одного окна», подготовка нормативных правовых актов (административные регламенты и</w:t>
      </w:r>
      <w:r>
        <w:rPr>
          <w:rFonts w:ascii="Times New Roman" w:hAnsi="Times New Roman"/>
          <w:sz w:val="28"/>
          <w:szCs w:val="24"/>
          <w:lang w:eastAsia="ru-RU"/>
        </w:rPr>
        <w:t> </w:t>
      </w:r>
      <w:r w:rsidRPr="004661B1">
        <w:rPr>
          <w:rFonts w:ascii="Times New Roman" w:hAnsi="Times New Roman"/>
          <w:sz w:val="28"/>
          <w:szCs w:val="24"/>
          <w:lang w:eastAsia="ru-RU"/>
        </w:rPr>
        <w:t>стандарты качества муниципальных услуг) в</w:t>
      </w:r>
      <w:r>
        <w:rPr>
          <w:rFonts w:ascii="Times New Roman" w:hAnsi="Times New Roman"/>
          <w:sz w:val="28"/>
          <w:szCs w:val="24"/>
          <w:lang w:eastAsia="ru-RU"/>
        </w:rPr>
        <w:t> </w:t>
      </w:r>
      <w:r w:rsidRPr="004661B1">
        <w:rPr>
          <w:rFonts w:ascii="Times New Roman" w:hAnsi="Times New Roman"/>
          <w:sz w:val="28"/>
          <w:szCs w:val="24"/>
          <w:lang w:eastAsia="ru-RU"/>
        </w:rPr>
        <w:t>социальной сфере, сфере образования, здравоохранения, культуры и</w:t>
      </w:r>
      <w:r>
        <w:rPr>
          <w:rFonts w:ascii="Times New Roman" w:hAnsi="Times New Roman"/>
          <w:sz w:val="28"/>
          <w:szCs w:val="24"/>
          <w:lang w:eastAsia="ru-RU"/>
        </w:rPr>
        <w:t> </w:t>
      </w:r>
      <w:r w:rsidRPr="004661B1">
        <w:rPr>
          <w:rFonts w:ascii="Times New Roman" w:hAnsi="Times New Roman"/>
          <w:sz w:val="28"/>
          <w:szCs w:val="24"/>
          <w:lang w:eastAsia="ru-RU"/>
        </w:rPr>
        <w:t>спорта);</w:t>
      </w:r>
    </w:p>
    <w:p w:rsidR="002D1E45" w:rsidRDefault="002D1E45" w:rsidP="00D05D06">
      <w:pPr>
        <w:numPr>
          <w:ilvl w:val="0"/>
          <w:numId w:val="60"/>
        </w:numPr>
        <w:spacing w:after="0" w:line="240" w:lineRule="auto"/>
        <w:jc w:val="both"/>
        <w:rPr>
          <w:rFonts w:ascii="Times New Roman" w:hAnsi="Times New Roman"/>
          <w:sz w:val="28"/>
          <w:szCs w:val="24"/>
          <w:lang w:eastAsia="ru-RU"/>
        </w:rPr>
      </w:pPr>
      <w:r w:rsidRPr="004661B1">
        <w:rPr>
          <w:rFonts w:ascii="Times New Roman" w:hAnsi="Times New Roman"/>
          <w:sz w:val="28"/>
          <w:szCs w:val="24"/>
          <w:lang w:eastAsia="ru-RU"/>
        </w:rPr>
        <w:t>развитие системы социальной адаптации и</w:t>
      </w:r>
      <w:r>
        <w:rPr>
          <w:rFonts w:ascii="Times New Roman" w:hAnsi="Times New Roman"/>
          <w:sz w:val="28"/>
          <w:szCs w:val="24"/>
          <w:lang w:eastAsia="ru-RU"/>
        </w:rPr>
        <w:t> </w:t>
      </w:r>
      <w:r w:rsidRPr="004661B1">
        <w:rPr>
          <w:rFonts w:ascii="Times New Roman" w:hAnsi="Times New Roman"/>
          <w:sz w:val="28"/>
          <w:szCs w:val="24"/>
          <w:lang w:eastAsia="ru-RU"/>
        </w:rPr>
        <w:t>реабилитации инвалидов.</w:t>
      </w:r>
    </w:p>
    <w:p w:rsidR="002D1E45" w:rsidRPr="008D6F9D" w:rsidRDefault="002D1E45" w:rsidP="008D6F9D">
      <w:pPr>
        <w:spacing w:after="0" w:line="240" w:lineRule="auto"/>
        <w:ind w:firstLine="709"/>
        <w:jc w:val="both"/>
        <w:rPr>
          <w:rFonts w:ascii="Times New Roman" w:hAnsi="Times New Roman"/>
          <w:sz w:val="28"/>
          <w:szCs w:val="24"/>
          <w:lang w:eastAsia="ru-RU"/>
        </w:rPr>
      </w:pPr>
      <w:r w:rsidRPr="008D6F9D">
        <w:rPr>
          <w:rFonts w:ascii="Times New Roman" w:hAnsi="Times New Roman"/>
          <w:sz w:val="28"/>
          <w:szCs w:val="24"/>
          <w:lang w:eastAsia="ru-RU"/>
        </w:rPr>
        <w:t>В связи с</w:t>
      </w:r>
      <w:r>
        <w:rPr>
          <w:rFonts w:ascii="Times New Roman" w:hAnsi="Times New Roman"/>
          <w:sz w:val="28"/>
          <w:szCs w:val="24"/>
          <w:lang w:eastAsia="ru-RU"/>
        </w:rPr>
        <w:t> </w:t>
      </w:r>
      <w:r w:rsidRPr="008D6F9D">
        <w:rPr>
          <w:rFonts w:ascii="Times New Roman" w:hAnsi="Times New Roman"/>
          <w:sz w:val="28"/>
          <w:szCs w:val="24"/>
          <w:lang w:eastAsia="ru-RU"/>
        </w:rPr>
        <w:t>тем, что в</w:t>
      </w:r>
      <w:r>
        <w:rPr>
          <w:rFonts w:ascii="Times New Roman" w:hAnsi="Times New Roman"/>
          <w:sz w:val="28"/>
          <w:szCs w:val="24"/>
          <w:lang w:eastAsia="ru-RU"/>
        </w:rPr>
        <w:t> </w:t>
      </w:r>
      <w:r w:rsidRPr="008D6F9D">
        <w:rPr>
          <w:rFonts w:ascii="Times New Roman" w:hAnsi="Times New Roman"/>
          <w:sz w:val="28"/>
          <w:szCs w:val="24"/>
          <w:lang w:eastAsia="ru-RU"/>
        </w:rPr>
        <w:t>соответствии с</w:t>
      </w:r>
      <w:r>
        <w:rPr>
          <w:rFonts w:ascii="Times New Roman" w:hAnsi="Times New Roman"/>
          <w:sz w:val="28"/>
          <w:szCs w:val="24"/>
          <w:lang w:eastAsia="ru-RU"/>
        </w:rPr>
        <w:t> </w:t>
      </w:r>
      <w:r w:rsidRPr="008D6F9D">
        <w:rPr>
          <w:rFonts w:ascii="Times New Roman" w:hAnsi="Times New Roman"/>
          <w:sz w:val="28"/>
          <w:szCs w:val="24"/>
          <w:lang w:eastAsia="ru-RU"/>
        </w:rPr>
        <w:t>пп. 21-21.2, 24 ч. 2 ст. 26.3 Федерального закона от 06.10.1999 № 184-ФЗ «Об общих принципах организации законодательных (представительных) и</w:t>
      </w:r>
      <w:r>
        <w:rPr>
          <w:rFonts w:ascii="Times New Roman" w:hAnsi="Times New Roman"/>
          <w:sz w:val="28"/>
          <w:szCs w:val="24"/>
          <w:lang w:eastAsia="ru-RU"/>
        </w:rPr>
        <w:t> </w:t>
      </w:r>
      <w:r w:rsidRPr="008D6F9D">
        <w:rPr>
          <w:rFonts w:ascii="Times New Roman" w:hAnsi="Times New Roman"/>
          <w:sz w:val="28"/>
          <w:szCs w:val="24"/>
          <w:lang w:eastAsia="ru-RU"/>
        </w:rPr>
        <w:t>исполнительных органов государственной власти субъектов Российской Федерации» организация оказания населению медицинской помощи, а</w:t>
      </w:r>
      <w:r>
        <w:rPr>
          <w:rFonts w:ascii="Times New Roman" w:hAnsi="Times New Roman"/>
          <w:sz w:val="28"/>
          <w:szCs w:val="24"/>
          <w:lang w:eastAsia="ru-RU"/>
        </w:rPr>
        <w:t> </w:t>
      </w:r>
      <w:r w:rsidRPr="008D6F9D">
        <w:rPr>
          <w:rFonts w:ascii="Times New Roman" w:hAnsi="Times New Roman"/>
          <w:sz w:val="28"/>
          <w:szCs w:val="24"/>
          <w:lang w:eastAsia="ru-RU"/>
        </w:rPr>
        <w:t>также социальной поддержки и</w:t>
      </w:r>
      <w:r>
        <w:rPr>
          <w:rFonts w:ascii="Times New Roman" w:hAnsi="Times New Roman"/>
          <w:sz w:val="28"/>
          <w:szCs w:val="24"/>
          <w:lang w:eastAsia="ru-RU"/>
        </w:rPr>
        <w:t> </w:t>
      </w:r>
      <w:r w:rsidRPr="008D6F9D">
        <w:rPr>
          <w:rFonts w:ascii="Times New Roman" w:hAnsi="Times New Roman"/>
          <w:sz w:val="28"/>
          <w:szCs w:val="24"/>
          <w:lang w:eastAsia="ru-RU"/>
        </w:rPr>
        <w:t>социального обслуживания граждан пожилого возраста и</w:t>
      </w:r>
      <w:r>
        <w:rPr>
          <w:rFonts w:ascii="Times New Roman" w:hAnsi="Times New Roman"/>
          <w:sz w:val="28"/>
          <w:szCs w:val="24"/>
          <w:lang w:eastAsia="ru-RU"/>
        </w:rPr>
        <w:t> </w:t>
      </w:r>
      <w:r w:rsidRPr="008D6F9D">
        <w:rPr>
          <w:rFonts w:ascii="Times New Roman" w:hAnsi="Times New Roman"/>
          <w:sz w:val="28"/>
          <w:szCs w:val="24"/>
          <w:lang w:eastAsia="ru-RU"/>
        </w:rPr>
        <w:t>инвалидов, граждан, находящихся в</w:t>
      </w:r>
      <w:r>
        <w:rPr>
          <w:rFonts w:ascii="Times New Roman" w:hAnsi="Times New Roman"/>
          <w:sz w:val="28"/>
          <w:szCs w:val="24"/>
          <w:lang w:eastAsia="ru-RU"/>
        </w:rPr>
        <w:t> </w:t>
      </w:r>
      <w:r w:rsidRPr="008D6F9D">
        <w:rPr>
          <w:rFonts w:ascii="Times New Roman" w:hAnsi="Times New Roman"/>
          <w:sz w:val="28"/>
          <w:szCs w:val="24"/>
          <w:lang w:eastAsia="ru-RU"/>
        </w:rPr>
        <w:t>трудной жизненной ситуации, относится к</w:t>
      </w:r>
      <w:r>
        <w:rPr>
          <w:rFonts w:ascii="Times New Roman" w:hAnsi="Times New Roman"/>
          <w:sz w:val="28"/>
          <w:szCs w:val="24"/>
          <w:lang w:eastAsia="ru-RU"/>
        </w:rPr>
        <w:t> </w:t>
      </w:r>
      <w:r w:rsidRPr="008D6F9D">
        <w:rPr>
          <w:rFonts w:ascii="Times New Roman" w:hAnsi="Times New Roman"/>
          <w:sz w:val="28"/>
          <w:szCs w:val="24"/>
          <w:lang w:eastAsia="ru-RU"/>
        </w:rPr>
        <w:t>полномочиям органов государственной власти субъекта Российской Федерации, а</w:t>
      </w:r>
      <w:r>
        <w:rPr>
          <w:rFonts w:ascii="Times New Roman" w:hAnsi="Times New Roman"/>
          <w:sz w:val="28"/>
          <w:szCs w:val="24"/>
          <w:lang w:eastAsia="ru-RU"/>
        </w:rPr>
        <w:t> </w:t>
      </w:r>
      <w:r w:rsidRPr="008D6F9D">
        <w:rPr>
          <w:rFonts w:ascii="Times New Roman" w:hAnsi="Times New Roman"/>
          <w:sz w:val="28"/>
          <w:szCs w:val="24"/>
          <w:lang w:eastAsia="ru-RU"/>
        </w:rPr>
        <w:t>также со</w:t>
      </w:r>
      <w:r>
        <w:rPr>
          <w:rFonts w:ascii="Times New Roman" w:hAnsi="Times New Roman"/>
          <w:sz w:val="28"/>
          <w:szCs w:val="24"/>
          <w:lang w:eastAsia="ru-RU"/>
        </w:rPr>
        <w:t> </w:t>
      </w:r>
      <w:r w:rsidRPr="008D6F9D">
        <w:rPr>
          <w:rFonts w:ascii="Times New Roman" w:hAnsi="Times New Roman"/>
          <w:sz w:val="28"/>
          <w:szCs w:val="24"/>
          <w:lang w:eastAsia="ru-RU"/>
        </w:rPr>
        <w:t>ст. 6 Федерального закона об</w:t>
      </w:r>
      <w:r>
        <w:rPr>
          <w:rFonts w:ascii="Times New Roman" w:hAnsi="Times New Roman"/>
          <w:sz w:val="28"/>
          <w:szCs w:val="24"/>
          <w:lang w:eastAsia="ru-RU"/>
        </w:rPr>
        <w:t> </w:t>
      </w:r>
      <w:r w:rsidRPr="008D6F9D">
        <w:rPr>
          <w:rFonts w:ascii="Times New Roman" w:hAnsi="Times New Roman"/>
          <w:sz w:val="28"/>
          <w:szCs w:val="24"/>
          <w:lang w:eastAsia="ru-RU"/>
        </w:rPr>
        <w:t>обязательном медицинском страховании в</w:t>
      </w:r>
      <w:r>
        <w:rPr>
          <w:rFonts w:ascii="Times New Roman" w:hAnsi="Times New Roman"/>
          <w:sz w:val="28"/>
          <w:szCs w:val="24"/>
          <w:lang w:eastAsia="ru-RU"/>
        </w:rPr>
        <w:t> </w:t>
      </w:r>
      <w:r w:rsidRPr="008D6F9D">
        <w:rPr>
          <w:rFonts w:ascii="Times New Roman" w:hAnsi="Times New Roman"/>
          <w:sz w:val="28"/>
          <w:szCs w:val="24"/>
          <w:lang w:eastAsia="ru-RU"/>
        </w:rPr>
        <w:t>Российской Федерации от 29.11.2010 № 326-ФЗ полномочия Российской Федерации в</w:t>
      </w:r>
      <w:r>
        <w:rPr>
          <w:rFonts w:ascii="Times New Roman" w:hAnsi="Times New Roman"/>
          <w:sz w:val="28"/>
          <w:szCs w:val="24"/>
          <w:lang w:eastAsia="ru-RU"/>
        </w:rPr>
        <w:t> </w:t>
      </w:r>
      <w:r w:rsidRPr="008D6F9D">
        <w:rPr>
          <w:rFonts w:ascii="Times New Roman" w:hAnsi="Times New Roman"/>
          <w:sz w:val="28"/>
          <w:szCs w:val="24"/>
          <w:lang w:eastAsia="ru-RU"/>
        </w:rPr>
        <w:t>отношении организации обязательного медицинского страхования на</w:t>
      </w:r>
      <w:r>
        <w:rPr>
          <w:rFonts w:ascii="Times New Roman" w:hAnsi="Times New Roman"/>
          <w:sz w:val="28"/>
          <w:szCs w:val="24"/>
          <w:lang w:eastAsia="ru-RU"/>
        </w:rPr>
        <w:t> </w:t>
      </w:r>
      <w:r w:rsidRPr="008D6F9D">
        <w:rPr>
          <w:rFonts w:ascii="Times New Roman" w:hAnsi="Times New Roman"/>
          <w:sz w:val="28"/>
          <w:szCs w:val="24"/>
          <w:lang w:eastAsia="ru-RU"/>
        </w:rPr>
        <w:t>территориях субъектов Российской Федерации переданы органам государственной власти субъектов Российской Федерации. Необходимость размещения объектов здравоохранения и</w:t>
      </w:r>
      <w:r>
        <w:rPr>
          <w:rFonts w:ascii="Times New Roman" w:hAnsi="Times New Roman"/>
          <w:sz w:val="28"/>
          <w:szCs w:val="24"/>
          <w:lang w:eastAsia="ru-RU"/>
        </w:rPr>
        <w:t> </w:t>
      </w:r>
      <w:r w:rsidRPr="008D6F9D">
        <w:rPr>
          <w:rFonts w:ascii="Times New Roman" w:hAnsi="Times New Roman"/>
          <w:sz w:val="28"/>
          <w:szCs w:val="24"/>
          <w:lang w:eastAsia="ru-RU"/>
        </w:rPr>
        <w:t>социального обеспечения решается на</w:t>
      </w:r>
      <w:r>
        <w:rPr>
          <w:rFonts w:ascii="Times New Roman" w:hAnsi="Times New Roman"/>
          <w:sz w:val="28"/>
          <w:szCs w:val="24"/>
          <w:lang w:eastAsia="ru-RU"/>
        </w:rPr>
        <w:t> </w:t>
      </w:r>
      <w:r w:rsidRPr="008D6F9D">
        <w:rPr>
          <w:rFonts w:ascii="Times New Roman" w:hAnsi="Times New Roman"/>
          <w:sz w:val="28"/>
          <w:szCs w:val="24"/>
          <w:lang w:eastAsia="ru-RU"/>
        </w:rPr>
        <w:t>уровне субъекта Российской Федерации и</w:t>
      </w:r>
      <w:r>
        <w:rPr>
          <w:rFonts w:ascii="Times New Roman" w:hAnsi="Times New Roman"/>
          <w:sz w:val="28"/>
          <w:szCs w:val="24"/>
          <w:lang w:eastAsia="ru-RU"/>
        </w:rPr>
        <w:t> </w:t>
      </w:r>
      <w:r w:rsidRPr="008D6F9D">
        <w:rPr>
          <w:rFonts w:ascii="Times New Roman" w:hAnsi="Times New Roman"/>
          <w:sz w:val="28"/>
          <w:szCs w:val="24"/>
          <w:lang w:eastAsia="ru-RU"/>
        </w:rPr>
        <w:t>к</w:t>
      </w:r>
      <w:r>
        <w:rPr>
          <w:rFonts w:ascii="Times New Roman" w:hAnsi="Times New Roman"/>
          <w:sz w:val="28"/>
          <w:szCs w:val="24"/>
          <w:lang w:eastAsia="ru-RU"/>
        </w:rPr>
        <w:t> </w:t>
      </w:r>
      <w:r w:rsidRPr="008D6F9D">
        <w:rPr>
          <w:rFonts w:ascii="Times New Roman" w:hAnsi="Times New Roman"/>
          <w:sz w:val="28"/>
          <w:szCs w:val="24"/>
          <w:lang w:eastAsia="ru-RU"/>
        </w:rPr>
        <w:t>полномочиям Генерального плана не</w:t>
      </w:r>
      <w:r>
        <w:rPr>
          <w:rFonts w:ascii="Times New Roman" w:hAnsi="Times New Roman"/>
          <w:sz w:val="28"/>
          <w:szCs w:val="24"/>
          <w:lang w:eastAsia="ru-RU"/>
        </w:rPr>
        <w:t> </w:t>
      </w:r>
      <w:r w:rsidRPr="008D6F9D">
        <w:rPr>
          <w:rFonts w:ascii="Times New Roman" w:hAnsi="Times New Roman"/>
          <w:sz w:val="28"/>
          <w:szCs w:val="24"/>
          <w:lang w:eastAsia="ru-RU"/>
        </w:rPr>
        <w:t>относится.</w:t>
      </w:r>
    </w:p>
    <w:p w:rsidR="002D1E45" w:rsidRPr="003375F2" w:rsidRDefault="002D1E45" w:rsidP="00725CB7">
      <w:pPr>
        <w:spacing w:after="0" w:line="240" w:lineRule="auto"/>
        <w:ind w:firstLine="709"/>
        <w:jc w:val="both"/>
        <w:rPr>
          <w:rFonts w:ascii="Times New Roman" w:hAnsi="Times New Roman"/>
          <w:sz w:val="28"/>
          <w:szCs w:val="24"/>
          <w:lang w:eastAsia="ru-RU"/>
        </w:rPr>
      </w:pPr>
      <w:r w:rsidRPr="008D6F9D">
        <w:rPr>
          <w:rFonts w:ascii="Times New Roman" w:hAnsi="Times New Roman"/>
          <w:sz w:val="28"/>
          <w:szCs w:val="24"/>
          <w:lang w:eastAsia="ru-RU"/>
        </w:rPr>
        <w:t>Однако в</w:t>
      </w:r>
      <w:r>
        <w:rPr>
          <w:rFonts w:ascii="Times New Roman" w:hAnsi="Times New Roman"/>
          <w:sz w:val="28"/>
          <w:szCs w:val="24"/>
          <w:lang w:eastAsia="ru-RU"/>
        </w:rPr>
        <w:t> </w:t>
      </w:r>
      <w:r w:rsidRPr="008D6F9D">
        <w:rPr>
          <w:rFonts w:ascii="Times New Roman" w:hAnsi="Times New Roman"/>
          <w:sz w:val="28"/>
          <w:szCs w:val="24"/>
          <w:lang w:eastAsia="ru-RU"/>
        </w:rPr>
        <w:t xml:space="preserve">рамках </w:t>
      </w:r>
      <w:r w:rsidRPr="003375F2">
        <w:rPr>
          <w:rFonts w:ascii="Times New Roman" w:hAnsi="Times New Roman"/>
          <w:sz w:val="28"/>
          <w:szCs w:val="24"/>
          <w:lang w:eastAsia="ru-RU"/>
        </w:rPr>
        <w:t xml:space="preserve">данной работы был проведён расчёт потребности населения </w:t>
      </w:r>
      <w:r>
        <w:rPr>
          <w:rFonts w:ascii="Times New Roman" w:hAnsi="Times New Roman"/>
          <w:sz w:val="28"/>
          <w:szCs w:val="28"/>
        </w:rPr>
        <w:t>города Куйбышева</w:t>
      </w:r>
      <w:r w:rsidRPr="003375F2">
        <w:rPr>
          <w:rFonts w:ascii="Times New Roman" w:hAnsi="Times New Roman"/>
          <w:sz w:val="28"/>
          <w:szCs w:val="24"/>
          <w:lang w:eastAsia="ru-RU"/>
        </w:rPr>
        <w:t xml:space="preserve"> в</w:t>
      </w:r>
      <w:r>
        <w:rPr>
          <w:rFonts w:ascii="Times New Roman" w:hAnsi="Times New Roman"/>
          <w:sz w:val="28"/>
          <w:szCs w:val="24"/>
          <w:lang w:eastAsia="ru-RU"/>
        </w:rPr>
        <w:t> </w:t>
      </w:r>
      <w:r w:rsidRPr="003375F2">
        <w:rPr>
          <w:rFonts w:ascii="Times New Roman" w:hAnsi="Times New Roman"/>
          <w:sz w:val="28"/>
          <w:szCs w:val="24"/>
          <w:lang w:eastAsia="ru-RU"/>
        </w:rPr>
        <w:t>объектах здравоохранения в</w:t>
      </w:r>
      <w:r>
        <w:rPr>
          <w:rFonts w:ascii="Times New Roman" w:hAnsi="Times New Roman"/>
          <w:sz w:val="28"/>
          <w:szCs w:val="24"/>
          <w:lang w:eastAsia="ru-RU"/>
        </w:rPr>
        <w:t> </w:t>
      </w:r>
      <w:r w:rsidRPr="003375F2">
        <w:rPr>
          <w:rFonts w:ascii="Times New Roman" w:hAnsi="Times New Roman"/>
          <w:sz w:val="28"/>
          <w:szCs w:val="24"/>
          <w:lang w:eastAsia="ru-RU"/>
        </w:rPr>
        <w:t>соответствии с</w:t>
      </w:r>
      <w:r>
        <w:rPr>
          <w:rFonts w:ascii="Times New Roman" w:hAnsi="Times New Roman"/>
          <w:sz w:val="28"/>
          <w:szCs w:val="24"/>
          <w:lang w:eastAsia="ru-RU"/>
        </w:rPr>
        <w:t> </w:t>
      </w:r>
      <w:r w:rsidRPr="003375F2">
        <w:rPr>
          <w:rFonts w:ascii="Times New Roman" w:hAnsi="Times New Roman"/>
          <w:sz w:val="28"/>
          <w:szCs w:val="24"/>
          <w:lang w:eastAsia="ru-RU"/>
        </w:rPr>
        <w:t xml:space="preserve">Региональными нормативами градостроительного проектирования </w:t>
      </w:r>
      <w:r>
        <w:rPr>
          <w:rFonts w:ascii="Times New Roman" w:hAnsi="Times New Roman"/>
          <w:sz w:val="28"/>
          <w:szCs w:val="24"/>
          <w:lang w:eastAsia="ru-RU"/>
        </w:rPr>
        <w:t xml:space="preserve">Новосибирской области </w:t>
      </w:r>
      <w:r w:rsidRPr="003375F2">
        <w:rPr>
          <w:rFonts w:ascii="Times New Roman" w:hAnsi="Times New Roman"/>
          <w:sz w:val="28"/>
          <w:szCs w:val="24"/>
          <w:lang w:eastAsia="ru-RU"/>
        </w:rPr>
        <w:t>на</w:t>
      </w:r>
      <w:r>
        <w:rPr>
          <w:rFonts w:ascii="Times New Roman" w:hAnsi="Times New Roman"/>
          <w:sz w:val="28"/>
          <w:szCs w:val="24"/>
          <w:lang w:eastAsia="ru-RU"/>
        </w:rPr>
        <w:t> </w:t>
      </w:r>
      <w:r w:rsidRPr="003375F2">
        <w:rPr>
          <w:rFonts w:ascii="Times New Roman" w:hAnsi="Times New Roman"/>
          <w:sz w:val="28"/>
          <w:szCs w:val="24"/>
          <w:lang w:eastAsia="ru-RU"/>
        </w:rPr>
        <w:t>конец расчётного срока (20</w:t>
      </w:r>
      <w:r>
        <w:rPr>
          <w:rFonts w:ascii="Times New Roman" w:hAnsi="Times New Roman"/>
          <w:sz w:val="28"/>
          <w:szCs w:val="24"/>
          <w:lang w:eastAsia="ru-RU"/>
        </w:rPr>
        <w:t>40</w:t>
      </w:r>
      <w:r w:rsidRPr="003375F2">
        <w:rPr>
          <w:rFonts w:ascii="Times New Roman" w:hAnsi="Times New Roman"/>
          <w:sz w:val="28"/>
          <w:szCs w:val="24"/>
          <w:lang w:eastAsia="ru-RU"/>
        </w:rPr>
        <w:t xml:space="preserve"> год).</w:t>
      </w:r>
    </w:p>
    <w:p w:rsidR="002D1E45" w:rsidRPr="003375F2" w:rsidRDefault="002D1E45" w:rsidP="003375F2">
      <w:pPr>
        <w:spacing w:after="0" w:line="240" w:lineRule="auto"/>
        <w:jc w:val="right"/>
        <w:rPr>
          <w:rFonts w:ascii="Times New Roman" w:hAnsi="Times New Roman"/>
          <w:sz w:val="28"/>
          <w:szCs w:val="28"/>
        </w:rPr>
      </w:pPr>
      <w:r w:rsidRPr="003375F2">
        <w:rPr>
          <w:rFonts w:ascii="Times New Roman" w:hAnsi="Times New Roman"/>
          <w:sz w:val="28"/>
          <w:szCs w:val="28"/>
        </w:rPr>
        <w:t xml:space="preserve">Таблица </w:t>
      </w:r>
      <w:r w:rsidRPr="003375F2">
        <w:rPr>
          <w:rFonts w:ascii="Times New Roman" w:hAnsi="Times New Roman"/>
          <w:sz w:val="28"/>
          <w:szCs w:val="28"/>
        </w:rPr>
        <w:fldChar w:fldCharType="begin"/>
      </w:r>
      <w:r w:rsidRPr="003375F2">
        <w:rPr>
          <w:rFonts w:ascii="Times New Roman" w:hAnsi="Times New Roman"/>
          <w:sz w:val="28"/>
          <w:szCs w:val="28"/>
        </w:rPr>
        <w:instrText xml:space="preserve"> SEQ Таблица \* ARABIC </w:instrText>
      </w:r>
      <w:r w:rsidRPr="003375F2">
        <w:rPr>
          <w:rFonts w:ascii="Times New Roman" w:hAnsi="Times New Roman"/>
          <w:sz w:val="28"/>
          <w:szCs w:val="28"/>
        </w:rPr>
        <w:fldChar w:fldCharType="separate"/>
      </w:r>
      <w:r>
        <w:rPr>
          <w:rFonts w:ascii="Times New Roman" w:hAnsi="Times New Roman"/>
          <w:noProof/>
          <w:sz w:val="28"/>
          <w:szCs w:val="28"/>
        </w:rPr>
        <w:t>55</w:t>
      </w:r>
      <w:r w:rsidRPr="003375F2">
        <w:rPr>
          <w:rFonts w:ascii="Times New Roman" w:hAnsi="Times New Roman"/>
          <w:sz w:val="28"/>
          <w:szCs w:val="28"/>
        </w:rPr>
        <w:fldChar w:fldCharType="end"/>
      </w:r>
    </w:p>
    <w:p w:rsidR="002D1E45" w:rsidRPr="003375F2" w:rsidRDefault="002D1E45" w:rsidP="003375F2">
      <w:pPr>
        <w:spacing w:after="120" w:line="240" w:lineRule="auto"/>
        <w:jc w:val="center"/>
        <w:rPr>
          <w:rFonts w:ascii="Times New Roman" w:hAnsi="Times New Roman"/>
          <w:sz w:val="28"/>
          <w:szCs w:val="24"/>
          <w:lang w:eastAsia="ru-RU"/>
        </w:rPr>
      </w:pPr>
      <w:r w:rsidRPr="003375F2">
        <w:rPr>
          <w:rFonts w:ascii="Times New Roman" w:hAnsi="Times New Roman"/>
          <w:sz w:val="28"/>
          <w:szCs w:val="24"/>
          <w:lang w:eastAsia="ru-RU"/>
        </w:rPr>
        <w:t>Расчёт потребности в</w:t>
      </w:r>
      <w:r>
        <w:rPr>
          <w:rFonts w:ascii="Times New Roman" w:hAnsi="Times New Roman"/>
          <w:sz w:val="28"/>
          <w:szCs w:val="24"/>
          <w:lang w:eastAsia="ru-RU"/>
        </w:rPr>
        <w:t> </w:t>
      </w:r>
      <w:r w:rsidRPr="003375F2">
        <w:rPr>
          <w:rFonts w:ascii="Times New Roman" w:hAnsi="Times New Roman"/>
          <w:sz w:val="28"/>
          <w:szCs w:val="24"/>
          <w:lang w:eastAsia="ru-RU"/>
        </w:rPr>
        <w:t>объектах здравоохранения</w:t>
      </w:r>
    </w:p>
    <w:tbl>
      <w:tblPr>
        <w:tblW w:w="10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980"/>
        <w:gridCol w:w="1264"/>
        <w:gridCol w:w="1219"/>
        <w:gridCol w:w="1075"/>
        <w:gridCol w:w="1134"/>
        <w:gridCol w:w="1392"/>
        <w:gridCol w:w="854"/>
        <w:gridCol w:w="1298"/>
      </w:tblGrid>
      <w:tr w:rsidR="002D1E45" w:rsidRPr="00D27540" w:rsidTr="00C94BF7">
        <w:trPr>
          <w:trHeight w:val="170"/>
          <w:tblHeader/>
          <w:jc w:val="center"/>
        </w:trPr>
        <w:tc>
          <w:tcPr>
            <w:tcW w:w="1980" w:type="dxa"/>
            <w:vMerge w:val="restart"/>
            <w:tcMar>
              <w:top w:w="15" w:type="dxa"/>
              <w:left w:w="108" w:type="dxa"/>
              <w:bottom w:w="15" w:type="dxa"/>
              <w:right w:w="108" w:type="dxa"/>
            </w:tcMar>
            <w:vAlign w:val="center"/>
          </w:tcPr>
          <w:p w:rsidR="002D1E45" w:rsidRPr="00D27540" w:rsidRDefault="002D1E45" w:rsidP="003375F2">
            <w:pPr>
              <w:spacing w:after="0" w:line="240" w:lineRule="auto"/>
              <w:jc w:val="center"/>
              <w:rPr>
                <w:rFonts w:ascii="Times New Roman" w:hAnsi="Times New Roman"/>
                <w:color w:val="000000"/>
                <w:lang w:eastAsia="ru-RU"/>
              </w:rPr>
            </w:pPr>
            <w:r>
              <w:rPr>
                <w:rFonts w:ascii="Times New Roman" w:hAnsi="Times New Roman"/>
                <w:color w:val="000000"/>
                <w:lang w:eastAsia="ru-RU"/>
              </w:rPr>
              <w:t>Населённый пункт</w:t>
            </w:r>
          </w:p>
        </w:tc>
        <w:tc>
          <w:tcPr>
            <w:tcW w:w="1264" w:type="dxa"/>
            <w:vMerge w:val="restart"/>
            <w:tcMar>
              <w:top w:w="15" w:type="dxa"/>
              <w:left w:w="108" w:type="dxa"/>
              <w:bottom w:w="15" w:type="dxa"/>
              <w:right w:w="108" w:type="dxa"/>
            </w:tcMar>
            <w:vAlign w:val="center"/>
          </w:tcPr>
          <w:p w:rsidR="002D1E45" w:rsidRPr="00D27540" w:rsidRDefault="002D1E45" w:rsidP="003375F2">
            <w:pPr>
              <w:spacing w:after="0" w:line="240" w:lineRule="auto"/>
              <w:jc w:val="center"/>
              <w:rPr>
                <w:rFonts w:ascii="Times New Roman" w:hAnsi="Times New Roman"/>
                <w:color w:val="000000"/>
                <w:lang w:eastAsia="ru-RU"/>
              </w:rPr>
            </w:pPr>
            <w:r w:rsidRPr="00D27540">
              <w:rPr>
                <w:rFonts w:ascii="Times New Roman" w:hAnsi="Times New Roman"/>
                <w:color w:val="000000"/>
                <w:lang w:eastAsia="ru-RU"/>
              </w:rPr>
              <w:t>Население, расчётный срок (20</w:t>
            </w:r>
            <w:r>
              <w:rPr>
                <w:rFonts w:ascii="Times New Roman" w:hAnsi="Times New Roman"/>
                <w:color w:val="000000"/>
                <w:lang w:eastAsia="ru-RU"/>
              </w:rPr>
              <w:t>40</w:t>
            </w:r>
            <w:r w:rsidRPr="00D27540">
              <w:rPr>
                <w:rFonts w:ascii="Times New Roman" w:hAnsi="Times New Roman"/>
                <w:color w:val="000000"/>
                <w:lang w:eastAsia="ru-RU"/>
              </w:rPr>
              <w:t xml:space="preserve"> г.)</w:t>
            </w:r>
          </w:p>
        </w:tc>
        <w:tc>
          <w:tcPr>
            <w:tcW w:w="6972" w:type="dxa"/>
            <w:gridSpan w:val="6"/>
            <w:tcMar>
              <w:top w:w="15" w:type="dxa"/>
              <w:left w:w="108" w:type="dxa"/>
              <w:bottom w:w="15" w:type="dxa"/>
              <w:right w:w="108" w:type="dxa"/>
            </w:tcMar>
            <w:vAlign w:val="center"/>
          </w:tcPr>
          <w:p w:rsidR="002D1E45" w:rsidRPr="00D27540" w:rsidRDefault="002D1E45" w:rsidP="003375F2">
            <w:pPr>
              <w:spacing w:after="0" w:line="240" w:lineRule="auto"/>
              <w:jc w:val="center"/>
              <w:rPr>
                <w:rFonts w:ascii="Times New Roman" w:hAnsi="Times New Roman"/>
                <w:color w:val="000000"/>
                <w:lang w:eastAsia="ru-RU"/>
              </w:rPr>
            </w:pPr>
            <w:r w:rsidRPr="00D27540">
              <w:rPr>
                <w:rFonts w:ascii="Times New Roman" w:hAnsi="Times New Roman"/>
                <w:color w:val="000000"/>
                <w:lang w:eastAsia="ru-RU"/>
              </w:rPr>
              <w:t>Мощность/потребность по</w:t>
            </w:r>
            <w:r>
              <w:rPr>
                <w:rFonts w:ascii="Times New Roman" w:hAnsi="Times New Roman"/>
                <w:color w:val="000000"/>
                <w:lang w:eastAsia="ru-RU"/>
              </w:rPr>
              <w:t> </w:t>
            </w:r>
            <w:r w:rsidRPr="00D27540">
              <w:rPr>
                <w:rFonts w:ascii="Times New Roman" w:hAnsi="Times New Roman"/>
                <w:color w:val="000000"/>
                <w:lang w:eastAsia="ru-RU"/>
              </w:rPr>
              <w:t>нормативам</w:t>
            </w:r>
          </w:p>
        </w:tc>
      </w:tr>
      <w:tr w:rsidR="002D1E45" w:rsidRPr="00D27540" w:rsidTr="00C94BF7">
        <w:trPr>
          <w:trHeight w:val="170"/>
          <w:tblHeader/>
          <w:jc w:val="center"/>
        </w:trPr>
        <w:tc>
          <w:tcPr>
            <w:tcW w:w="1980" w:type="dxa"/>
            <w:vMerge/>
            <w:vAlign w:val="center"/>
          </w:tcPr>
          <w:p w:rsidR="002D1E45" w:rsidRPr="00D27540" w:rsidRDefault="002D1E45" w:rsidP="00D27540">
            <w:pPr>
              <w:spacing w:after="0" w:line="240" w:lineRule="auto"/>
              <w:rPr>
                <w:rFonts w:ascii="Times New Roman" w:hAnsi="Times New Roman"/>
                <w:color w:val="000000"/>
                <w:lang w:eastAsia="ru-RU"/>
              </w:rPr>
            </w:pPr>
          </w:p>
        </w:tc>
        <w:tc>
          <w:tcPr>
            <w:tcW w:w="1264" w:type="dxa"/>
            <w:vMerge/>
            <w:vAlign w:val="center"/>
          </w:tcPr>
          <w:p w:rsidR="002D1E45" w:rsidRPr="00D27540" w:rsidRDefault="002D1E45" w:rsidP="00D27540">
            <w:pPr>
              <w:spacing w:after="0" w:line="240" w:lineRule="auto"/>
              <w:rPr>
                <w:rFonts w:ascii="Times New Roman" w:hAnsi="Times New Roman"/>
                <w:color w:val="000000"/>
                <w:lang w:eastAsia="ru-RU"/>
              </w:rPr>
            </w:pPr>
          </w:p>
        </w:tc>
        <w:tc>
          <w:tcPr>
            <w:tcW w:w="1219" w:type="dxa"/>
            <w:vAlign w:val="center"/>
          </w:tcPr>
          <w:p w:rsidR="002D1E45" w:rsidRPr="00D27540" w:rsidRDefault="002D1E45" w:rsidP="00D27540">
            <w:pPr>
              <w:spacing w:after="0" w:line="240" w:lineRule="auto"/>
              <w:jc w:val="center"/>
              <w:rPr>
                <w:rFonts w:ascii="Times New Roman" w:hAnsi="Times New Roman"/>
                <w:color w:val="000000"/>
                <w:lang w:eastAsia="ru-RU"/>
              </w:rPr>
            </w:pPr>
            <w:r w:rsidRPr="00D27540">
              <w:rPr>
                <w:rFonts w:ascii="Times New Roman" w:hAnsi="Times New Roman"/>
                <w:color w:val="000000"/>
                <w:lang w:eastAsia="ru-RU"/>
              </w:rPr>
              <w:t>Больницы, коек</w:t>
            </w:r>
          </w:p>
        </w:tc>
        <w:tc>
          <w:tcPr>
            <w:tcW w:w="1075" w:type="dxa"/>
            <w:vAlign w:val="center"/>
          </w:tcPr>
          <w:p w:rsidR="002D1E45" w:rsidRPr="00D27540" w:rsidRDefault="002D1E45" w:rsidP="00D27540">
            <w:pPr>
              <w:spacing w:after="0" w:line="240" w:lineRule="auto"/>
              <w:jc w:val="center"/>
              <w:rPr>
                <w:rFonts w:ascii="Times New Roman" w:hAnsi="Times New Roman"/>
                <w:color w:val="000000"/>
                <w:lang w:eastAsia="ru-RU"/>
              </w:rPr>
            </w:pPr>
            <w:r w:rsidRPr="00D27540">
              <w:rPr>
                <w:rFonts w:ascii="Times New Roman" w:hAnsi="Times New Roman"/>
                <w:color w:val="000000"/>
                <w:lang w:eastAsia="ru-RU"/>
              </w:rPr>
              <w:t>Поликлиники, посещений</w:t>
            </w:r>
          </w:p>
        </w:tc>
        <w:tc>
          <w:tcPr>
            <w:tcW w:w="1134" w:type="dxa"/>
            <w:vAlign w:val="center"/>
          </w:tcPr>
          <w:p w:rsidR="002D1E45" w:rsidRPr="00D27540" w:rsidRDefault="002D1E45" w:rsidP="00D27540">
            <w:pPr>
              <w:spacing w:after="0" w:line="240" w:lineRule="auto"/>
              <w:jc w:val="center"/>
              <w:rPr>
                <w:rFonts w:ascii="Times New Roman" w:hAnsi="Times New Roman"/>
                <w:color w:val="000000"/>
                <w:lang w:eastAsia="ru-RU"/>
              </w:rPr>
            </w:pPr>
            <w:r w:rsidRPr="00D27540">
              <w:rPr>
                <w:rFonts w:ascii="Times New Roman" w:hAnsi="Times New Roman"/>
                <w:color w:val="000000"/>
                <w:lang w:eastAsia="ru-RU"/>
              </w:rPr>
              <w:t>Аптеки</w:t>
            </w:r>
          </w:p>
        </w:tc>
        <w:tc>
          <w:tcPr>
            <w:tcW w:w="1392" w:type="dxa"/>
            <w:vAlign w:val="center"/>
          </w:tcPr>
          <w:p w:rsidR="002D1E45" w:rsidRPr="00D27540" w:rsidRDefault="002D1E45" w:rsidP="00D27540">
            <w:pPr>
              <w:spacing w:after="0" w:line="240" w:lineRule="auto"/>
              <w:jc w:val="center"/>
              <w:rPr>
                <w:rFonts w:ascii="Times New Roman" w:hAnsi="Times New Roman"/>
                <w:color w:val="000000"/>
                <w:lang w:eastAsia="ru-RU"/>
              </w:rPr>
            </w:pPr>
            <w:r w:rsidRPr="00D27540">
              <w:rPr>
                <w:rFonts w:ascii="Times New Roman" w:hAnsi="Times New Roman"/>
                <w:color w:val="000000"/>
                <w:lang w:eastAsia="ru-RU"/>
              </w:rPr>
              <w:t>Автомобили скорой помощи</w:t>
            </w:r>
          </w:p>
        </w:tc>
        <w:tc>
          <w:tcPr>
            <w:tcW w:w="854" w:type="dxa"/>
            <w:tcMar>
              <w:top w:w="15" w:type="dxa"/>
              <w:left w:w="108" w:type="dxa"/>
              <w:bottom w:w="15" w:type="dxa"/>
              <w:right w:w="108" w:type="dxa"/>
            </w:tcMar>
            <w:vAlign w:val="center"/>
          </w:tcPr>
          <w:p w:rsidR="002D1E45" w:rsidRPr="00D27540" w:rsidRDefault="002D1E45" w:rsidP="00D27540">
            <w:pPr>
              <w:spacing w:after="0" w:line="240" w:lineRule="auto"/>
              <w:jc w:val="center"/>
              <w:rPr>
                <w:rFonts w:ascii="Times New Roman" w:hAnsi="Times New Roman"/>
                <w:color w:val="000000"/>
                <w:lang w:eastAsia="ru-RU"/>
              </w:rPr>
            </w:pPr>
            <w:r w:rsidRPr="00D27540">
              <w:rPr>
                <w:rFonts w:ascii="Times New Roman" w:hAnsi="Times New Roman"/>
                <w:color w:val="000000"/>
                <w:lang w:eastAsia="ru-RU"/>
              </w:rPr>
              <w:t>Врачи, чел.</w:t>
            </w:r>
          </w:p>
        </w:tc>
        <w:tc>
          <w:tcPr>
            <w:tcW w:w="1298" w:type="dxa"/>
            <w:tcMar>
              <w:top w:w="15" w:type="dxa"/>
              <w:left w:w="108" w:type="dxa"/>
              <w:bottom w:w="15" w:type="dxa"/>
              <w:right w:w="108" w:type="dxa"/>
            </w:tcMar>
            <w:vAlign w:val="center"/>
          </w:tcPr>
          <w:p w:rsidR="002D1E45" w:rsidRPr="00D27540" w:rsidRDefault="002D1E45" w:rsidP="00D27540">
            <w:pPr>
              <w:spacing w:after="0" w:line="240" w:lineRule="auto"/>
              <w:jc w:val="center"/>
              <w:rPr>
                <w:rFonts w:ascii="Times New Roman" w:hAnsi="Times New Roman"/>
                <w:color w:val="000000"/>
                <w:lang w:eastAsia="ru-RU"/>
              </w:rPr>
            </w:pPr>
            <w:r w:rsidRPr="00D27540">
              <w:rPr>
                <w:rFonts w:ascii="Times New Roman" w:hAnsi="Times New Roman"/>
                <w:color w:val="000000"/>
                <w:lang w:eastAsia="ru-RU"/>
              </w:rPr>
              <w:t>Средний и</w:t>
            </w:r>
            <w:r>
              <w:rPr>
                <w:rFonts w:ascii="Times New Roman" w:hAnsi="Times New Roman"/>
                <w:color w:val="000000"/>
                <w:lang w:eastAsia="ru-RU"/>
              </w:rPr>
              <w:t> </w:t>
            </w:r>
            <w:r w:rsidRPr="00D27540">
              <w:rPr>
                <w:rFonts w:ascii="Times New Roman" w:hAnsi="Times New Roman"/>
                <w:color w:val="000000"/>
                <w:lang w:eastAsia="ru-RU"/>
              </w:rPr>
              <w:t>младший персонал, чел.</w:t>
            </w:r>
          </w:p>
        </w:tc>
      </w:tr>
      <w:tr w:rsidR="002D1E45" w:rsidRPr="00D27540" w:rsidTr="0015573A">
        <w:trPr>
          <w:trHeight w:val="170"/>
          <w:jc w:val="center"/>
        </w:trPr>
        <w:tc>
          <w:tcPr>
            <w:tcW w:w="1980" w:type="dxa"/>
            <w:vAlign w:val="center"/>
          </w:tcPr>
          <w:p w:rsidR="002D1E45" w:rsidRPr="00D27540" w:rsidRDefault="002D1E45" w:rsidP="0015573A">
            <w:pPr>
              <w:spacing w:after="0" w:line="240" w:lineRule="auto"/>
              <w:rPr>
                <w:rFonts w:ascii="Times New Roman" w:hAnsi="Times New Roman"/>
                <w:b/>
                <w:i/>
                <w:color w:val="000000"/>
                <w:lang w:eastAsia="ru-RU"/>
              </w:rPr>
            </w:pPr>
            <w:r w:rsidRPr="00D27540">
              <w:rPr>
                <w:rFonts w:ascii="Times New Roman" w:hAnsi="Times New Roman"/>
                <w:b/>
                <w:i/>
                <w:color w:val="000000"/>
                <w:lang w:eastAsia="ru-RU"/>
              </w:rPr>
              <w:t>Дефицит (-) / Избыток (+)</w:t>
            </w:r>
          </w:p>
        </w:tc>
        <w:tc>
          <w:tcPr>
            <w:tcW w:w="1264" w:type="dxa"/>
            <w:vAlign w:val="center"/>
          </w:tcPr>
          <w:p w:rsidR="002D1E45" w:rsidRPr="0015573A" w:rsidRDefault="002D1E45" w:rsidP="0015573A">
            <w:pPr>
              <w:spacing w:after="0" w:line="240" w:lineRule="auto"/>
              <w:jc w:val="center"/>
              <w:rPr>
                <w:rFonts w:ascii="Times New Roman" w:hAnsi="Times New Roman"/>
                <w:b/>
                <w:bCs/>
                <w:i/>
                <w:iCs/>
                <w:color w:val="000000"/>
                <w:lang w:eastAsia="ru-RU"/>
              </w:rPr>
            </w:pPr>
            <w:r w:rsidRPr="0015573A">
              <w:rPr>
                <w:rFonts w:ascii="Times New Roman" w:hAnsi="Times New Roman"/>
                <w:b/>
                <w:bCs/>
                <w:i/>
                <w:iCs/>
                <w:color w:val="000000"/>
                <w:lang w:eastAsia="ru-RU"/>
              </w:rPr>
              <w:t>×</w:t>
            </w:r>
          </w:p>
        </w:tc>
        <w:tc>
          <w:tcPr>
            <w:tcW w:w="1219" w:type="dxa"/>
            <w:tcBorders>
              <w:left w:val="nil"/>
            </w:tcBorders>
            <w:vAlign w:val="center"/>
          </w:tcPr>
          <w:p w:rsidR="002D1E45" w:rsidRPr="0015573A" w:rsidRDefault="002D1E45" w:rsidP="0015573A">
            <w:pPr>
              <w:spacing w:after="0" w:line="240" w:lineRule="auto"/>
              <w:jc w:val="center"/>
              <w:rPr>
                <w:rFonts w:ascii="Times New Roman" w:hAnsi="Times New Roman"/>
                <w:b/>
                <w:bCs/>
                <w:i/>
                <w:iCs/>
                <w:color w:val="000000"/>
                <w:lang w:eastAsia="ru-RU"/>
              </w:rPr>
            </w:pPr>
            <w:r w:rsidRPr="0015573A">
              <w:rPr>
                <w:rFonts w:ascii="Times New Roman" w:hAnsi="Times New Roman"/>
                <w:b/>
                <w:bCs/>
                <w:i/>
                <w:iCs/>
                <w:color w:val="000000"/>
                <w:lang w:eastAsia="ru-RU"/>
              </w:rPr>
              <w:t>-87</w:t>
            </w:r>
          </w:p>
        </w:tc>
        <w:tc>
          <w:tcPr>
            <w:tcW w:w="1075" w:type="dxa"/>
            <w:tcBorders>
              <w:left w:val="nil"/>
            </w:tcBorders>
            <w:vAlign w:val="center"/>
          </w:tcPr>
          <w:p w:rsidR="002D1E45" w:rsidRPr="0015573A" w:rsidRDefault="002D1E45" w:rsidP="0015573A">
            <w:pPr>
              <w:spacing w:after="0" w:line="240" w:lineRule="auto"/>
              <w:jc w:val="center"/>
              <w:rPr>
                <w:rFonts w:ascii="Times New Roman" w:hAnsi="Times New Roman"/>
                <w:b/>
                <w:bCs/>
                <w:i/>
                <w:iCs/>
                <w:color w:val="000000"/>
                <w:lang w:eastAsia="ru-RU"/>
              </w:rPr>
            </w:pPr>
            <w:r w:rsidRPr="0015573A">
              <w:rPr>
                <w:rFonts w:ascii="Times New Roman" w:hAnsi="Times New Roman"/>
                <w:b/>
                <w:bCs/>
                <w:i/>
                <w:iCs/>
                <w:color w:val="000000"/>
                <w:lang w:eastAsia="ru-RU"/>
              </w:rPr>
              <w:t>-30</w:t>
            </w:r>
          </w:p>
        </w:tc>
        <w:tc>
          <w:tcPr>
            <w:tcW w:w="1134" w:type="dxa"/>
            <w:tcBorders>
              <w:left w:val="nil"/>
            </w:tcBorders>
            <w:vAlign w:val="center"/>
          </w:tcPr>
          <w:p w:rsidR="002D1E45" w:rsidRPr="0015573A" w:rsidRDefault="002D1E45" w:rsidP="0015573A">
            <w:pPr>
              <w:spacing w:after="0" w:line="240" w:lineRule="auto"/>
              <w:jc w:val="center"/>
              <w:rPr>
                <w:rFonts w:ascii="Times New Roman" w:hAnsi="Times New Roman"/>
                <w:b/>
                <w:bCs/>
                <w:i/>
                <w:iCs/>
                <w:color w:val="000000"/>
                <w:lang w:eastAsia="ru-RU"/>
              </w:rPr>
            </w:pPr>
            <w:r w:rsidRPr="0015573A">
              <w:rPr>
                <w:rFonts w:ascii="Times New Roman" w:hAnsi="Times New Roman"/>
                <w:b/>
                <w:bCs/>
                <w:i/>
                <w:iCs/>
                <w:color w:val="000000"/>
                <w:lang w:eastAsia="ru-RU"/>
              </w:rPr>
              <w:t>6</w:t>
            </w:r>
          </w:p>
        </w:tc>
        <w:tc>
          <w:tcPr>
            <w:tcW w:w="1392" w:type="dxa"/>
            <w:tcBorders>
              <w:left w:val="nil"/>
            </w:tcBorders>
            <w:vAlign w:val="center"/>
          </w:tcPr>
          <w:p w:rsidR="002D1E45" w:rsidRPr="0015573A" w:rsidRDefault="002D1E45" w:rsidP="0015573A">
            <w:pPr>
              <w:spacing w:after="0" w:line="240" w:lineRule="auto"/>
              <w:jc w:val="center"/>
              <w:rPr>
                <w:rFonts w:ascii="Times New Roman" w:hAnsi="Times New Roman"/>
                <w:b/>
                <w:bCs/>
                <w:i/>
                <w:iCs/>
                <w:color w:val="000000"/>
                <w:lang w:eastAsia="ru-RU"/>
              </w:rPr>
            </w:pPr>
            <w:r w:rsidRPr="0015573A">
              <w:rPr>
                <w:rFonts w:ascii="Times New Roman" w:hAnsi="Times New Roman"/>
                <w:b/>
                <w:bCs/>
                <w:i/>
                <w:iCs/>
                <w:color w:val="000000"/>
                <w:lang w:eastAsia="ru-RU"/>
              </w:rPr>
              <w:t>0</w:t>
            </w:r>
          </w:p>
        </w:tc>
        <w:tc>
          <w:tcPr>
            <w:tcW w:w="854" w:type="dxa"/>
            <w:tcBorders>
              <w:left w:val="nil"/>
            </w:tcBorders>
            <w:tcMar>
              <w:top w:w="15" w:type="dxa"/>
              <w:left w:w="108" w:type="dxa"/>
              <w:bottom w:w="15" w:type="dxa"/>
              <w:right w:w="108" w:type="dxa"/>
            </w:tcMar>
            <w:vAlign w:val="center"/>
          </w:tcPr>
          <w:p w:rsidR="002D1E45" w:rsidRPr="0015573A" w:rsidRDefault="002D1E45" w:rsidP="0015573A">
            <w:pPr>
              <w:spacing w:after="0" w:line="240" w:lineRule="auto"/>
              <w:jc w:val="center"/>
              <w:rPr>
                <w:rFonts w:ascii="Times New Roman" w:hAnsi="Times New Roman"/>
                <w:b/>
                <w:bCs/>
                <w:i/>
                <w:iCs/>
                <w:color w:val="000000"/>
                <w:lang w:eastAsia="ru-RU"/>
              </w:rPr>
            </w:pPr>
            <w:r w:rsidRPr="0015573A">
              <w:rPr>
                <w:rFonts w:ascii="Times New Roman" w:hAnsi="Times New Roman"/>
                <w:b/>
                <w:bCs/>
                <w:i/>
                <w:iCs/>
                <w:color w:val="000000"/>
                <w:lang w:eastAsia="ru-RU"/>
              </w:rPr>
              <w:t>1</w:t>
            </w:r>
          </w:p>
        </w:tc>
        <w:tc>
          <w:tcPr>
            <w:tcW w:w="1298" w:type="dxa"/>
            <w:tcBorders>
              <w:left w:val="nil"/>
            </w:tcBorders>
            <w:tcMar>
              <w:top w:w="15" w:type="dxa"/>
              <w:left w:w="108" w:type="dxa"/>
              <w:bottom w:w="15" w:type="dxa"/>
              <w:right w:w="108" w:type="dxa"/>
            </w:tcMar>
            <w:vAlign w:val="center"/>
          </w:tcPr>
          <w:p w:rsidR="002D1E45" w:rsidRPr="0015573A" w:rsidRDefault="002D1E45" w:rsidP="0015573A">
            <w:pPr>
              <w:spacing w:after="0" w:line="240" w:lineRule="auto"/>
              <w:jc w:val="center"/>
              <w:rPr>
                <w:rFonts w:ascii="Times New Roman" w:hAnsi="Times New Roman"/>
                <w:b/>
                <w:bCs/>
                <w:i/>
                <w:iCs/>
                <w:color w:val="000000"/>
                <w:lang w:eastAsia="ru-RU"/>
              </w:rPr>
            </w:pPr>
            <w:r w:rsidRPr="0015573A">
              <w:rPr>
                <w:rFonts w:ascii="Times New Roman" w:hAnsi="Times New Roman"/>
                <w:b/>
                <w:bCs/>
                <w:i/>
                <w:iCs/>
                <w:color w:val="000000"/>
                <w:lang w:eastAsia="ru-RU"/>
              </w:rPr>
              <w:t>159</w:t>
            </w:r>
          </w:p>
        </w:tc>
      </w:tr>
      <w:tr w:rsidR="002D1E45" w:rsidRPr="00D27540" w:rsidTr="0015573A">
        <w:trPr>
          <w:trHeight w:val="170"/>
          <w:jc w:val="center"/>
        </w:trPr>
        <w:tc>
          <w:tcPr>
            <w:tcW w:w="1980" w:type="dxa"/>
            <w:vAlign w:val="center"/>
          </w:tcPr>
          <w:p w:rsidR="002D1E45" w:rsidRPr="00D27540" w:rsidRDefault="002D1E45" w:rsidP="0015573A">
            <w:pPr>
              <w:spacing w:after="0" w:line="240" w:lineRule="auto"/>
              <w:jc w:val="both"/>
              <w:rPr>
                <w:rFonts w:ascii="Times New Roman" w:hAnsi="Times New Roman"/>
                <w:color w:val="000000"/>
                <w:lang w:eastAsia="ru-RU"/>
              </w:rPr>
            </w:pPr>
            <w:r w:rsidRPr="00D27540">
              <w:rPr>
                <w:rFonts w:ascii="Times New Roman" w:hAnsi="Times New Roman"/>
                <w:color w:val="000000"/>
                <w:lang w:eastAsia="ru-RU"/>
              </w:rPr>
              <w:t>Существующее положение</w:t>
            </w:r>
          </w:p>
        </w:tc>
        <w:tc>
          <w:tcPr>
            <w:tcW w:w="1264" w:type="dxa"/>
            <w:tcBorders>
              <w:top w:val="nil"/>
            </w:tcBorders>
            <w:vAlign w:val="center"/>
          </w:tcPr>
          <w:p w:rsidR="002D1E45" w:rsidRPr="00C92840" w:rsidRDefault="002D1E45" w:rsidP="0015573A">
            <w:pPr>
              <w:spacing w:after="0" w:line="240" w:lineRule="auto"/>
              <w:jc w:val="center"/>
              <w:rPr>
                <w:rFonts w:ascii="Times New Roman" w:hAnsi="Times New Roman"/>
                <w:color w:val="000000"/>
                <w:lang w:eastAsia="ru-RU"/>
              </w:rPr>
            </w:pPr>
            <w:r>
              <w:rPr>
                <w:rFonts w:ascii="Times New Roman" w:hAnsi="Times New Roman"/>
                <w:color w:val="000000"/>
                <w:lang w:eastAsia="ru-RU"/>
              </w:rPr>
              <w:t>×</w:t>
            </w:r>
          </w:p>
        </w:tc>
        <w:tc>
          <w:tcPr>
            <w:tcW w:w="1219" w:type="dxa"/>
            <w:tcBorders>
              <w:top w:val="nil"/>
              <w:left w:val="nil"/>
            </w:tcBorders>
            <w:vAlign w:val="center"/>
          </w:tcPr>
          <w:p w:rsidR="002D1E45" w:rsidRPr="00D27540" w:rsidRDefault="002D1E45" w:rsidP="0015573A">
            <w:pPr>
              <w:spacing w:after="0" w:line="240" w:lineRule="auto"/>
              <w:jc w:val="center"/>
              <w:rPr>
                <w:rFonts w:ascii="Times New Roman" w:hAnsi="Times New Roman"/>
                <w:color w:val="000000"/>
                <w:lang w:eastAsia="ru-RU"/>
              </w:rPr>
            </w:pPr>
            <w:r w:rsidRPr="0015573A">
              <w:rPr>
                <w:rFonts w:ascii="Times New Roman" w:hAnsi="Times New Roman"/>
                <w:color w:val="000000"/>
                <w:lang w:eastAsia="ru-RU"/>
              </w:rPr>
              <w:t>438</w:t>
            </w:r>
          </w:p>
        </w:tc>
        <w:tc>
          <w:tcPr>
            <w:tcW w:w="1075" w:type="dxa"/>
            <w:tcBorders>
              <w:top w:val="nil"/>
              <w:left w:val="nil"/>
            </w:tcBorders>
            <w:vAlign w:val="center"/>
          </w:tcPr>
          <w:p w:rsidR="002D1E45" w:rsidRPr="00D27540" w:rsidRDefault="002D1E45" w:rsidP="0015573A">
            <w:pPr>
              <w:spacing w:after="0" w:line="240" w:lineRule="auto"/>
              <w:jc w:val="center"/>
              <w:rPr>
                <w:rFonts w:ascii="Times New Roman" w:hAnsi="Times New Roman"/>
                <w:color w:val="000000"/>
                <w:lang w:eastAsia="ru-RU"/>
              </w:rPr>
            </w:pPr>
            <w:r w:rsidRPr="0015573A">
              <w:rPr>
                <w:rFonts w:ascii="Times New Roman" w:hAnsi="Times New Roman"/>
                <w:color w:val="000000"/>
                <w:lang w:eastAsia="ru-RU"/>
              </w:rPr>
              <w:t>677</w:t>
            </w:r>
          </w:p>
        </w:tc>
        <w:tc>
          <w:tcPr>
            <w:tcW w:w="1134" w:type="dxa"/>
            <w:tcBorders>
              <w:top w:val="nil"/>
              <w:left w:val="nil"/>
            </w:tcBorders>
            <w:vAlign w:val="center"/>
          </w:tcPr>
          <w:p w:rsidR="002D1E45" w:rsidRPr="00D27540" w:rsidRDefault="002D1E45" w:rsidP="0015573A">
            <w:pPr>
              <w:spacing w:after="0" w:line="240" w:lineRule="auto"/>
              <w:jc w:val="center"/>
              <w:rPr>
                <w:rFonts w:ascii="Times New Roman" w:hAnsi="Times New Roman"/>
                <w:color w:val="000000"/>
                <w:lang w:eastAsia="ru-RU"/>
              </w:rPr>
            </w:pPr>
            <w:r w:rsidRPr="0015573A">
              <w:rPr>
                <w:rFonts w:ascii="Times New Roman" w:hAnsi="Times New Roman"/>
                <w:color w:val="000000"/>
                <w:lang w:eastAsia="ru-RU"/>
              </w:rPr>
              <w:t>12</w:t>
            </w:r>
          </w:p>
        </w:tc>
        <w:tc>
          <w:tcPr>
            <w:tcW w:w="1392" w:type="dxa"/>
            <w:tcBorders>
              <w:top w:val="nil"/>
              <w:left w:val="nil"/>
            </w:tcBorders>
            <w:vAlign w:val="center"/>
          </w:tcPr>
          <w:p w:rsidR="002D1E45" w:rsidRPr="00837197" w:rsidRDefault="002D1E45" w:rsidP="0015573A">
            <w:pPr>
              <w:spacing w:after="0" w:line="240" w:lineRule="auto"/>
              <w:jc w:val="center"/>
              <w:rPr>
                <w:rFonts w:ascii="Times New Roman" w:hAnsi="Times New Roman"/>
                <w:color w:val="000000"/>
                <w:lang w:eastAsia="ru-RU"/>
              </w:rPr>
            </w:pPr>
            <w:r w:rsidRPr="0015573A">
              <w:rPr>
                <w:rFonts w:ascii="Times New Roman" w:hAnsi="Times New Roman"/>
                <w:color w:val="000000"/>
                <w:lang w:eastAsia="ru-RU"/>
              </w:rPr>
              <w:t>4</w:t>
            </w:r>
          </w:p>
        </w:tc>
        <w:tc>
          <w:tcPr>
            <w:tcW w:w="854" w:type="dxa"/>
            <w:tcBorders>
              <w:top w:val="nil"/>
              <w:left w:val="nil"/>
            </w:tcBorders>
            <w:tcMar>
              <w:top w:w="15" w:type="dxa"/>
              <w:left w:w="108" w:type="dxa"/>
              <w:bottom w:w="15" w:type="dxa"/>
              <w:right w:w="108" w:type="dxa"/>
            </w:tcMar>
            <w:vAlign w:val="center"/>
          </w:tcPr>
          <w:p w:rsidR="002D1E45" w:rsidRPr="00D27540" w:rsidRDefault="002D1E45" w:rsidP="0015573A">
            <w:pPr>
              <w:spacing w:after="0" w:line="240" w:lineRule="auto"/>
              <w:jc w:val="center"/>
              <w:rPr>
                <w:rFonts w:ascii="Times New Roman" w:hAnsi="Times New Roman"/>
                <w:color w:val="000000"/>
                <w:lang w:eastAsia="ru-RU"/>
              </w:rPr>
            </w:pPr>
            <w:r w:rsidRPr="0015573A">
              <w:rPr>
                <w:rFonts w:ascii="Times New Roman" w:hAnsi="Times New Roman"/>
                <w:color w:val="000000"/>
                <w:lang w:eastAsia="ru-RU"/>
              </w:rPr>
              <w:t>161</w:t>
            </w:r>
          </w:p>
        </w:tc>
        <w:tc>
          <w:tcPr>
            <w:tcW w:w="1298" w:type="dxa"/>
            <w:tcBorders>
              <w:top w:val="nil"/>
              <w:left w:val="nil"/>
            </w:tcBorders>
            <w:tcMar>
              <w:top w:w="15" w:type="dxa"/>
              <w:left w:w="108" w:type="dxa"/>
              <w:bottom w:w="15" w:type="dxa"/>
              <w:right w:w="108" w:type="dxa"/>
            </w:tcMar>
            <w:vAlign w:val="center"/>
          </w:tcPr>
          <w:p w:rsidR="002D1E45" w:rsidRPr="00D27540" w:rsidRDefault="002D1E45" w:rsidP="0015573A">
            <w:pPr>
              <w:spacing w:after="0" w:line="240" w:lineRule="auto"/>
              <w:jc w:val="center"/>
              <w:rPr>
                <w:rFonts w:ascii="Times New Roman" w:hAnsi="Times New Roman"/>
                <w:color w:val="000000"/>
                <w:lang w:eastAsia="ru-RU"/>
              </w:rPr>
            </w:pPr>
            <w:r w:rsidRPr="0015573A">
              <w:rPr>
                <w:rFonts w:ascii="Times New Roman" w:hAnsi="Times New Roman"/>
                <w:color w:val="000000"/>
                <w:lang w:eastAsia="ru-RU"/>
              </w:rPr>
              <w:t>604</w:t>
            </w:r>
          </w:p>
        </w:tc>
      </w:tr>
      <w:tr w:rsidR="002D1E45" w:rsidRPr="00D27540" w:rsidTr="0015573A">
        <w:trPr>
          <w:trHeight w:val="170"/>
          <w:jc w:val="center"/>
        </w:trPr>
        <w:tc>
          <w:tcPr>
            <w:tcW w:w="1980" w:type="dxa"/>
            <w:vAlign w:val="center"/>
          </w:tcPr>
          <w:p w:rsidR="002D1E45" w:rsidRPr="00D27540" w:rsidRDefault="002D1E45" w:rsidP="0015573A">
            <w:pPr>
              <w:spacing w:after="0" w:line="240" w:lineRule="auto"/>
              <w:rPr>
                <w:rFonts w:ascii="Times New Roman" w:hAnsi="Times New Roman"/>
                <w:color w:val="000000"/>
                <w:lang w:eastAsia="ru-RU"/>
              </w:rPr>
            </w:pPr>
            <w:r w:rsidRPr="00D27540">
              <w:rPr>
                <w:rFonts w:ascii="Times New Roman" w:hAnsi="Times New Roman"/>
                <w:color w:val="000000"/>
                <w:lang w:eastAsia="ru-RU"/>
              </w:rPr>
              <w:t xml:space="preserve">Всего </w:t>
            </w:r>
          </w:p>
        </w:tc>
        <w:tc>
          <w:tcPr>
            <w:tcW w:w="1264" w:type="dxa"/>
            <w:tcBorders>
              <w:top w:val="nil"/>
            </w:tcBorders>
            <w:vAlign w:val="center"/>
          </w:tcPr>
          <w:p w:rsidR="002D1E45" w:rsidRPr="00D27540" w:rsidRDefault="002D1E45" w:rsidP="0015573A">
            <w:pPr>
              <w:spacing w:after="0" w:line="240" w:lineRule="auto"/>
              <w:jc w:val="center"/>
              <w:rPr>
                <w:rFonts w:ascii="Times New Roman" w:hAnsi="Times New Roman"/>
                <w:color w:val="000000"/>
                <w:lang w:eastAsia="ru-RU"/>
              </w:rPr>
            </w:pPr>
            <w:r w:rsidRPr="0015573A">
              <w:rPr>
                <w:rFonts w:ascii="Times New Roman" w:hAnsi="Times New Roman"/>
                <w:color w:val="000000"/>
                <w:lang w:eastAsia="ru-RU"/>
              </w:rPr>
              <w:t>38 950</w:t>
            </w:r>
          </w:p>
        </w:tc>
        <w:tc>
          <w:tcPr>
            <w:tcW w:w="1219" w:type="dxa"/>
            <w:tcBorders>
              <w:top w:val="nil"/>
              <w:left w:val="nil"/>
            </w:tcBorders>
            <w:vAlign w:val="center"/>
          </w:tcPr>
          <w:p w:rsidR="002D1E45" w:rsidRPr="00D27540" w:rsidRDefault="002D1E45" w:rsidP="0015573A">
            <w:pPr>
              <w:spacing w:after="0" w:line="240" w:lineRule="auto"/>
              <w:jc w:val="center"/>
              <w:rPr>
                <w:rFonts w:ascii="Times New Roman" w:hAnsi="Times New Roman"/>
                <w:color w:val="000000"/>
                <w:lang w:eastAsia="ru-RU"/>
              </w:rPr>
            </w:pPr>
            <w:r w:rsidRPr="0015573A">
              <w:rPr>
                <w:rFonts w:ascii="Times New Roman" w:hAnsi="Times New Roman"/>
                <w:color w:val="000000"/>
                <w:lang w:eastAsia="ru-RU"/>
              </w:rPr>
              <w:t>525</w:t>
            </w:r>
          </w:p>
        </w:tc>
        <w:tc>
          <w:tcPr>
            <w:tcW w:w="1075" w:type="dxa"/>
            <w:tcBorders>
              <w:top w:val="nil"/>
              <w:left w:val="nil"/>
            </w:tcBorders>
            <w:vAlign w:val="center"/>
          </w:tcPr>
          <w:p w:rsidR="002D1E45" w:rsidRPr="00D27540" w:rsidRDefault="002D1E45" w:rsidP="0015573A">
            <w:pPr>
              <w:spacing w:after="0" w:line="240" w:lineRule="auto"/>
              <w:jc w:val="center"/>
              <w:rPr>
                <w:rFonts w:ascii="Times New Roman" w:hAnsi="Times New Roman"/>
                <w:color w:val="000000"/>
                <w:lang w:eastAsia="ru-RU"/>
              </w:rPr>
            </w:pPr>
            <w:r w:rsidRPr="0015573A">
              <w:rPr>
                <w:rFonts w:ascii="Times New Roman" w:hAnsi="Times New Roman"/>
                <w:color w:val="000000"/>
                <w:lang w:eastAsia="ru-RU"/>
              </w:rPr>
              <w:t>707</w:t>
            </w:r>
          </w:p>
        </w:tc>
        <w:tc>
          <w:tcPr>
            <w:tcW w:w="1134" w:type="dxa"/>
            <w:tcBorders>
              <w:top w:val="nil"/>
              <w:left w:val="nil"/>
            </w:tcBorders>
            <w:vAlign w:val="center"/>
          </w:tcPr>
          <w:p w:rsidR="002D1E45" w:rsidRPr="00D27540" w:rsidRDefault="002D1E45" w:rsidP="0015573A">
            <w:pPr>
              <w:spacing w:after="0" w:line="240" w:lineRule="auto"/>
              <w:jc w:val="center"/>
              <w:rPr>
                <w:rFonts w:ascii="Times New Roman" w:hAnsi="Times New Roman"/>
                <w:color w:val="000000"/>
                <w:lang w:eastAsia="ru-RU"/>
              </w:rPr>
            </w:pPr>
            <w:r w:rsidRPr="0015573A">
              <w:rPr>
                <w:rFonts w:ascii="Times New Roman" w:hAnsi="Times New Roman"/>
                <w:color w:val="000000"/>
                <w:lang w:eastAsia="ru-RU"/>
              </w:rPr>
              <w:t>6</w:t>
            </w:r>
          </w:p>
        </w:tc>
        <w:tc>
          <w:tcPr>
            <w:tcW w:w="1392" w:type="dxa"/>
            <w:tcBorders>
              <w:top w:val="nil"/>
              <w:left w:val="nil"/>
            </w:tcBorders>
            <w:vAlign w:val="center"/>
          </w:tcPr>
          <w:p w:rsidR="002D1E45" w:rsidRPr="00D27540" w:rsidRDefault="002D1E45" w:rsidP="0015573A">
            <w:pPr>
              <w:spacing w:after="0" w:line="240" w:lineRule="auto"/>
              <w:jc w:val="center"/>
              <w:rPr>
                <w:rFonts w:ascii="Times New Roman" w:hAnsi="Times New Roman"/>
                <w:color w:val="000000"/>
                <w:lang w:eastAsia="ru-RU"/>
              </w:rPr>
            </w:pPr>
            <w:r w:rsidRPr="0015573A">
              <w:rPr>
                <w:rFonts w:ascii="Times New Roman" w:hAnsi="Times New Roman"/>
                <w:color w:val="000000"/>
                <w:lang w:eastAsia="ru-RU"/>
              </w:rPr>
              <w:t>4</w:t>
            </w:r>
          </w:p>
        </w:tc>
        <w:tc>
          <w:tcPr>
            <w:tcW w:w="854" w:type="dxa"/>
            <w:tcBorders>
              <w:top w:val="nil"/>
              <w:left w:val="nil"/>
            </w:tcBorders>
            <w:tcMar>
              <w:top w:w="15" w:type="dxa"/>
              <w:left w:w="108" w:type="dxa"/>
              <w:bottom w:w="15" w:type="dxa"/>
              <w:right w:w="108" w:type="dxa"/>
            </w:tcMar>
            <w:vAlign w:val="center"/>
          </w:tcPr>
          <w:p w:rsidR="002D1E45" w:rsidRPr="00D27540" w:rsidRDefault="002D1E45" w:rsidP="0015573A">
            <w:pPr>
              <w:spacing w:after="0" w:line="240" w:lineRule="auto"/>
              <w:jc w:val="center"/>
              <w:rPr>
                <w:rFonts w:ascii="Times New Roman" w:hAnsi="Times New Roman"/>
                <w:color w:val="000000"/>
                <w:lang w:eastAsia="ru-RU"/>
              </w:rPr>
            </w:pPr>
            <w:r w:rsidRPr="0015573A">
              <w:rPr>
                <w:rFonts w:ascii="Times New Roman" w:hAnsi="Times New Roman"/>
                <w:color w:val="000000"/>
                <w:lang w:eastAsia="ru-RU"/>
              </w:rPr>
              <w:t>160</w:t>
            </w:r>
          </w:p>
        </w:tc>
        <w:tc>
          <w:tcPr>
            <w:tcW w:w="1298" w:type="dxa"/>
            <w:tcBorders>
              <w:top w:val="nil"/>
              <w:left w:val="nil"/>
            </w:tcBorders>
            <w:tcMar>
              <w:top w:w="15" w:type="dxa"/>
              <w:left w:w="108" w:type="dxa"/>
              <w:bottom w:w="15" w:type="dxa"/>
              <w:right w:w="108" w:type="dxa"/>
            </w:tcMar>
            <w:vAlign w:val="center"/>
          </w:tcPr>
          <w:p w:rsidR="002D1E45" w:rsidRPr="00D27540" w:rsidRDefault="002D1E45" w:rsidP="0015573A">
            <w:pPr>
              <w:spacing w:after="0" w:line="240" w:lineRule="auto"/>
              <w:jc w:val="center"/>
              <w:rPr>
                <w:rFonts w:ascii="Times New Roman" w:hAnsi="Times New Roman"/>
                <w:color w:val="000000"/>
                <w:lang w:eastAsia="ru-RU"/>
              </w:rPr>
            </w:pPr>
            <w:r w:rsidRPr="0015573A">
              <w:rPr>
                <w:rFonts w:ascii="Times New Roman" w:hAnsi="Times New Roman"/>
                <w:color w:val="000000"/>
                <w:lang w:eastAsia="ru-RU"/>
              </w:rPr>
              <w:t>445</w:t>
            </w:r>
          </w:p>
        </w:tc>
      </w:tr>
      <w:tr w:rsidR="002D1E45" w:rsidRPr="00D27540" w:rsidTr="0015573A">
        <w:trPr>
          <w:trHeight w:val="170"/>
          <w:jc w:val="center"/>
        </w:trPr>
        <w:tc>
          <w:tcPr>
            <w:tcW w:w="1980" w:type="dxa"/>
          </w:tcPr>
          <w:p w:rsidR="002D1E45" w:rsidRPr="00C94BF7" w:rsidRDefault="002D1E45" w:rsidP="0015573A">
            <w:pPr>
              <w:spacing w:after="0" w:line="240" w:lineRule="auto"/>
              <w:jc w:val="both"/>
              <w:rPr>
                <w:rFonts w:ascii="Times New Roman" w:hAnsi="Times New Roman"/>
                <w:color w:val="000000"/>
                <w:lang w:eastAsia="ru-RU"/>
              </w:rPr>
            </w:pPr>
            <w:r>
              <w:rPr>
                <w:rFonts w:ascii="Times New Roman" w:hAnsi="Times New Roman"/>
                <w:color w:val="000000"/>
                <w:lang w:eastAsia="ru-RU"/>
              </w:rPr>
              <w:t>г. Куйбышев</w:t>
            </w:r>
          </w:p>
        </w:tc>
        <w:tc>
          <w:tcPr>
            <w:tcW w:w="1264" w:type="dxa"/>
            <w:tcBorders>
              <w:top w:val="nil"/>
            </w:tcBorders>
            <w:vAlign w:val="center"/>
          </w:tcPr>
          <w:p w:rsidR="002D1E45" w:rsidRPr="00D27540" w:rsidRDefault="002D1E45" w:rsidP="0015573A">
            <w:pPr>
              <w:spacing w:after="0" w:line="240" w:lineRule="auto"/>
              <w:jc w:val="center"/>
              <w:rPr>
                <w:rFonts w:ascii="Times New Roman" w:hAnsi="Times New Roman"/>
                <w:color w:val="000000"/>
                <w:lang w:eastAsia="ru-RU"/>
              </w:rPr>
            </w:pPr>
            <w:r w:rsidRPr="0015573A">
              <w:rPr>
                <w:rFonts w:ascii="Times New Roman" w:hAnsi="Times New Roman"/>
                <w:color w:val="000000"/>
                <w:lang w:eastAsia="ru-RU"/>
              </w:rPr>
              <w:t>38 950</w:t>
            </w:r>
          </w:p>
        </w:tc>
        <w:tc>
          <w:tcPr>
            <w:tcW w:w="1219" w:type="dxa"/>
            <w:tcBorders>
              <w:top w:val="nil"/>
              <w:left w:val="nil"/>
            </w:tcBorders>
            <w:vAlign w:val="center"/>
          </w:tcPr>
          <w:p w:rsidR="002D1E45" w:rsidRPr="00D27540" w:rsidRDefault="002D1E45" w:rsidP="0015573A">
            <w:pPr>
              <w:spacing w:after="0" w:line="240" w:lineRule="auto"/>
              <w:jc w:val="center"/>
              <w:rPr>
                <w:rFonts w:ascii="Times New Roman" w:hAnsi="Times New Roman"/>
                <w:color w:val="000000"/>
                <w:lang w:eastAsia="ru-RU"/>
              </w:rPr>
            </w:pPr>
            <w:r w:rsidRPr="0015573A">
              <w:rPr>
                <w:rFonts w:ascii="Times New Roman" w:hAnsi="Times New Roman"/>
                <w:color w:val="000000"/>
                <w:lang w:eastAsia="ru-RU"/>
              </w:rPr>
              <w:t>525</w:t>
            </w:r>
          </w:p>
        </w:tc>
        <w:tc>
          <w:tcPr>
            <w:tcW w:w="1075" w:type="dxa"/>
            <w:tcBorders>
              <w:top w:val="nil"/>
              <w:left w:val="nil"/>
            </w:tcBorders>
            <w:vAlign w:val="center"/>
          </w:tcPr>
          <w:p w:rsidR="002D1E45" w:rsidRPr="00D27540" w:rsidRDefault="002D1E45" w:rsidP="0015573A">
            <w:pPr>
              <w:spacing w:after="0" w:line="240" w:lineRule="auto"/>
              <w:jc w:val="center"/>
              <w:rPr>
                <w:rFonts w:ascii="Times New Roman" w:hAnsi="Times New Roman"/>
                <w:color w:val="000000"/>
                <w:lang w:eastAsia="ru-RU"/>
              </w:rPr>
            </w:pPr>
            <w:r w:rsidRPr="0015573A">
              <w:rPr>
                <w:rFonts w:ascii="Times New Roman" w:hAnsi="Times New Roman"/>
                <w:color w:val="000000"/>
                <w:lang w:eastAsia="ru-RU"/>
              </w:rPr>
              <w:t>707</w:t>
            </w:r>
          </w:p>
        </w:tc>
        <w:tc>
          <w:tcPr>
            <w:tcW w:w="1134" w:type="dxa"/>
            <w:tcBorders>
              <w:top w:val="nil"/>
              <w:left w:val="nil"/>
            </w:tcBorders>
            <w:vAlign w:val="center"/>
          </w:tcPr>
          <w:p w:rsidR="002D1E45" w:rsidRPr="00D27540" w:rsidRDefault="002D1E45" w:rsidP="0015573A">
            <w:pPr>
              <w:spacing w:after="0" w:line="240" w:lineRule="auto"/>
              <w:jc w:val="center"/>
              <w:rPr>
                <w:rFonts w:ascii="Times New Roman" w:hAnsi="Times New Roman"/>
                <w:color w:val="000000"/>
                <w:lang w:eastAsia="ru-RU"/>
              </w:rPr>
            </w:pPr>
            <w:r w:rsidRPr="0015573A">
              <w:rPr>
                <w:rFonts w:ascii="Times New Roman" w:hAnsi="Times New Roman"/>
                <w:color w:val="000000"/>
                <w:lang w:eastAsia="ru-RU"/>
              </w:rPr>
              <w:t>6</w:t>
            </w:r>
          </w:p>
        </w:tc>
        <w:tc>
          <w:tcPr>
            <w:tcW w:w="1392" w:type="dxa"/>
            <w:tcBorders>
              <w:top w:val="nil"/>
              <w:left w:val="nil"/>
            </w:tcBorders>
            <w:vAlign w:val="center"/>
          </w:tcPr>
          <w:p w:rsidR="002D1E45" w:rsidRPr="00D27540" w:rsidRDefault="002D1E45" w:rsidP="0015573A">
            <w:pPr>
              <w:spacing w:after="0" w:line="240" w:lineRule="auto"/>
              <w:jc w:val="center"/>
              <w:rPr>
                <w:rFonts w:ascii="Times New Roman" w:hAnsi="Times New Roman"/>
                <w:color w:val="000000"/>
                <w:lang w:eastAsia="ru-RU"/>
              </w:rPr>
            </w:pPr>
            <w:r w:rsidRPr="0015573A">
              <w:rPr>
                <w:rFonts w:ascii="Times New Roman" w:hAnsi="Times New Roman"/>
                <w:color w:val="000000"/>
                <w:lang w:eastAsia="ru-RU"/>
              </w:rPr>
              <w:t>4</w:t>
            </w:r>
          </w:p>
        </w:tc>
        <w:tc>
          <w:tcPr>
            <w:tcW w:w="854" w:type="dxa"/>
            <w:tcBorders>
              <w:top w:val="nil"/>
              <w:left w:val="nil"/>
            </w:tcBorders>
            <w:tcMar>
              <w:top w:w="15" w:type="dxa"/>
              <w:left w:w="108" w:type="dxa"/>
              <w:bottom w:w="15" w:type="dxa"/>
              <w:right w:w="108" w:type="dxa"/>
            </w:tcMar>
            <w:vAlign w:val="center"/>
          </w:tcPr>
          <w:p w:rsidR="002D1E45" w:rsidRPr="00D27540" w:rsidRDefault="002D1E45" w:rsidP="0015573A">
            <w:pPr>
              <w:spacing w:after="0" w:line="240" w:lineRule="auto"/>
              <w:jc w:val="center"/>
              <w:rPr>
                <w:rFonts w:ascii="Times New Roman" w:hAnsi="Times New Roman"/>
                <w:color w:val="000000"/>
                <w:lang w:eastAsia="ru-RU"/>
              </w:rPr>
            </w:pPr>
            <w:r w:rsidRPr="0015573A">
              <w:rPr>
                <w:rFonts w:ascii="Times New Roman" w:hAnsi="Times New Roman"/>
                <w:color w:val="000000"/>
                <w:lang w:eastAsia="ru-RU"/>
              </w:rPr>
              <w:t>160</w:t>
            </w:r>
          </w:p>
        </w:tc>
        <w:tc>
          <w:tcPr>
            <w:tcW w:w="1298" w:type="dxa"/>
            <w:tcBorders>
              <w:top w:val="nil"/>
              <w:left w:val="nil"/>
            </w:tcBorders>
            <w:tcMar>
              <w:top w:w="15" w:type="dxa"/>
              <w:left w:w="108" w:type="dxa"/>
              <w:bottom w:w="15" w:type="dxa"/>
              <w:right w:w="108" w:type="dxa"/>
            </w:tcMar>
            <w:vAlign w:val="center"/>
          </w:tcPr>
          <w:p w:rsidR="002D1E45" w:rsidRPr="00D27540" w:rsidRDefault="002D1E45" w:rsidP="0015573A">
            <w:pPr>
              <w:spacing w:after="0" w:line="240" w:lineRule="auto"/>
              <w:jc w:val="center"/>
              <w:rPr>
                <w:rFonts w:ascii="Times New Roman" w:hAnsi="Times New Roman"/>
                <w:color w:val="000000"/>
                <w:lang w:eastAsia="ru-RU"/>
              </w:rPr>
            </w:pPr>
            <w:r w:rsidRPr="0015573A">
              <w:rPr>
                <w:rFonts w:ascii="Times New Roman" w:hAnsi="Times New Roman"/>
                <w:color w:val="000000"/>
                <w:lang w:eastAsia="ru-RU"/>
              </w:rPr>
              <w:t>445</w:t>
            </w:r>
          </w:p>
        </w:tc>
      </w:tr>
    </w:tbl>
    <w:p w:rsidR="002D1E45" w:rsidRPr="003A7901" w:rsidRDefault="002D1E45" w:rsidP="003A7901">
      <w:pPr>
        <w:spacing w:after="0" w:line="240" w:lineRule="auto"/>
        <w:ind w:firstLine="709"/>
        <w:jc w:val="both"/>
        <w:rPr>
          <w:rFonts w:ascii="Times New Roman" w:hAnsi="Times New Roman"/>
          <w:sz w:val="28"/>
          <w:szCs w:val="28"/>
        </w:rPr>
      </w:pPr>
    </w:p>
    <w:p w:rsidR="002D1E45" w:rsidRDefault="002D1E45" w:rsidP="00837197">
      <w:pPr>
        <w:spacing w:after="0" w:line="240" w:lineRule="auto"/>
        <w:ind w:firstLine="709"/>
        <w:jc w:val="both"/>
        <w:rPr>
          <w:rFonts w:ascii="Times New Roman" w:hAnsi="Times New Roman"/>
          <w:sz w:val="28"/>
          <w:szCs w:val="28"/>
        </w:rPr>
      </w:pPr>
      <w:r w:rsidRPr="003A7901">
        <w:rPr>
          <w:rFonts w:ascii="Times New Roman" w:hAnsi="Times New Roman"/>
          <w:sz w:val="28"/>
          <w:szCs w:val="28"/>
        </w:rPr>
        <w:t xml:space="preserve">Анализ отрасли здравоохранения показал, что актуальной для </w:t>
      </w:r>
      <w:r>
        <w:rPr>
          <w:rFonts w:ascii="Times New Roman" w:hAnsi="Times New Roman"/>
          <w:sz w:val="28"/>
          <w:szCs w:val="28"/>
        </w:rPr>
        <w:t>города</w:t>
      </w:r>
      <w:r w:rsidRPr="003A7901">
        <w:rPr>
          <w:rFonts w:ascii="Times New Roman" w:hAnsi="Times New Roman"/>
          <w:sz w:val="28"/>
          <w:szCs w:val="28"/>
        </w:rPr>
        <w:t xml:space="preserve"> остаётся </w:t>
      </w:r>
      <w:r>
        <w:rPr>
          <w:rFonts w:ascii="Times New Roman" w:hAnsi="Times New Roman"/>
          <w:sz w:val="28"/>
          <w:szCs w:val="28"/>
        </w:rPr>
        <w:t>нехватка мест в стационарах, а так же необходимость реализации качественного медицинского обслуживания населения. Б</w:t>
      </w:r>
      <w:r w:rsidRPr="003A7901">
        <w:rPr>
          <w:rFonts w:ascii="Times New Roman" w:hAnsi="Times New Roman"/>
          <w:sz w:val="28"/>
          <w:szCs w:val="28"/>
        </w:rPr>
        <w:t>ольшое внимание необходимо уделять работе с</w:t>
      </w:r>
      <w:r>
        <w:rPr>
          <w:rFonts w:ascii="Times New Roman" w:hAnsi="Times New Roman"/>
          <w:sz w:val="28"/>
          <w:szCs w:val="28"/>
        </w:rPr>
        <w:t> </w:t>
      </w:r>
      <w:r w:rsidRPr="003A7901">
        <w:rPr>
          <w:rFonts w:ascii="Times New Roman" w:hAnsi="Times New Roman"/>
          <w:sz w:val="28"/>
          <w:szCs w:val="28"/>
        </w:rPr>
        <w:t>персоналом.</w:t>
      </w:r>
      <w:r>
        <w:rPr>
          <w:rFonts w:ascii="Times New Roman" w:hAnsi="Times New Roman"/>
          <w:sz w:val="28"/>
          <w:szCs w:val="28"/>
        </w:rPr>
        <w:t xml:space="preserve"> Генеральным планом рекомендуется проведение капитальных ремонтов в зданиях структурных подразделений </w:t>
      </w:r>
      <w:r w:rsidRPr="00AB3D6A">
        <w:rPr>
          <w:rFonts w:ascii="Times New Roman" w:hAnsi="Times New Roman"/>
          <w:sz w:val="28"/>
          <w:szCs w:val="28"/>
        </w:rPr>
        <w:t>ГБУЗ НСО «</w:t>
      </w:r>
      <w:r>
        <w:rPr>
          <w:rFonts w:ascii="Times New Roman" w:hAnsi="Times New Roman"/>
          <w:sz w:val="28"/>
          <w:szCs w:val="28"/>
        </w:rPr>
        <w:t>Куйбышевская</w:t>
      </w:r>
      <w:r w:rsidRPr="00AB3D6A">
        <w:rPr>
          <w:rFonts w:ascii="Times New Roman" w:hAnsi="Times New Roman"/>
          <w:sz w:val="28"/>
          <w:szCs w:val="28"/>
        </w:rPr>
        <w:t xml:space="preserve"> ЦРБ»</w:t>
      </w:r>
      <w:r>
        <w:rPr>
          <w:rFonts w:ascii="Times New Roman" w:hAnsi="Times New Roman"/>
          <w:sz w:val="28"/>
          <w:szCs w:val="28"/>
        </w:rPr>
        <w:t xml:space="preserve">. </w:t>
      </w:r>
    </w:p>
    <w:p w:rsidR="002D1E45" w:rsidRDefault="002D1E45" w:rsidP="00015200">
      <w:pPr>
        <w:spacing w:after="0" w:line="240" w:lineRule="auto"/>
        <w:ind w:firstLine="709"/>
        <w:jc w:val="both"/>
        <w:rPr>
          <w:rFonts w:ascii="Times New Roman" w:hAnsi="Times New Roman"/>
          <w:sz w:val="28"/>
          <w:szCs w:val="28"/>
        </w:rPr>
      </w:pPr>
      <w:r w:rsidRPr="003A7901">
        <w:rPr>
          <w:rFonts w:ascii="Times New Roman" w:hAnsi="Times New Roman"/>
          <w:sz w:val="28"/>
          <w:szCs w:val="28"/>
        </w:rPr>
        <w:t>Достижение поставленных целей и</w:t>
      </w:r>
      <w:r>
        <w:rPr>
          <w:rFonts w:ascii="Times New Roman" w:hAnsi="Times New Roman"/>
          <w:sz w:val="28"/>
          <w:szCs w:val="28"/>
        </w:rPr>
        <w:t> </w:t>
      </w:r>
      <w:r w:rsidRPr="003A7901">
        <w:rPr>
          <w:rFonts w:ascii="Times New Roman" w:hAnsi="Times New Roman"/>
          <w:sz w:val="28"/>
          <w:szCs w:val="28"/>
        </w:rPr>
        <w:t>задач планируется за</w:t>
      </w:r>
      <w:r>
        <w:rPr>
          <w:rFonts w:ascii="Times New Roman" w:hAnsi="Times New Roman"/>
          <w:sz w:val="28"/>
          <w:szCs w:val="28"/>
        </w:rPr>
        <w:t> </w:t>
      </w:r>
      <w:r w:rsidRPr="003A7901">
        <w:rPr>
          <w:rFonts w:ascii="Times New Roman" w:hAnsi="Times New Roman"/>
          <w:sz w:val="28"/>
          <w:szCs w:val="28"/>
        </w:rPr>
        <w:t>счёт реализации мероприятий подпрограммы «Совершенствование социальной поддержки семьи и</w:t>
      </w:r>
      <w:r>
        <w:rPr>
          <w:rFonts w:ascii="Times New Roman" w:hAnsi="Times New Roman"/>
          <w:sz w:val="28"/>
          <w:szCs w:val="28"/>
        </w:rPr>
        <w:t> </w:t>
      </w:r>
      <w:r w:rsidRPr="003A7901">
        <w:rPr>
          <w:rFonts w:ascii="Times New Roman" w:hAnsi="Times New Roman"/>
          <w:sz w:val="28"/>
          <w:szCs w:val="28"/>
        </w:rPr>
        <w:t>детей» Государственной программы Российской Федерации «Социальная поддержка граждан», подпрограммы «Профилактика заболеваний и</w:t>
      </w:r>
      <w:r>
        <w:rPr>
          <w:rFonts w:ascii="Times New Roman" w:hAnsi="Times New Roman"/>
          <w:sz w:val="28"/>
          <w:szCs w:val="28"/>
        </w:rPr>
        <w:t> </w:t>
      </w:r>
      <w:r w:rsidRPr="003A7901">
        <w:rPr>
          <w:rFonts w:ascii="Times New Roman" w:hAnsi="Times New Roman"/>
          <w:sz w:val="28"/>
          <w:szCs w:val="28"/>
        </w:rPr>
        <w:t>формирование здорового образа жизни. Развитие первичной медико-санитарной помощи» государственной программы Российской Федерации «Развитие здравоохранения» (утверждена постановлением Правительства Российской Федерации от 15.04.2014 № 294)</w:t>
      </w:r>
      <w:r>
        <w:rPr>
          <w:rFonts w:ascii="Times New Roman" w:hAnsi="Times New Roman"/>
          <w:sz w:val="28"/>
          <w:szCs w:val="28"/>
        </w:rPr>
        <w:t>.</w:t>
      </w:r>
    </w:p>
    <w:p w:rsidR="002D1E45" w:rsidRPr="00015200" w:rsidRDefault="002D1E45" w:rsidP="00015200">
      <w:pPr>
        <w:spacing w:after="0" w:line="240" w:lineRule="auto"/>
        <w:ind w:firstLine="709"/>
        <w:jc w:val="both"/>
        <w:rPr>
          <w:rFonts w:ascii="Times New Roman" w:hAnsi="Times New Roman"/>
          <w:sz w:val="28"/>
          <w:szCs w:val="28"/>
        </w:rPr>
      </w:pPr>
      <w:r w:rsidRPr="00015200">
        <w:rPr>
          <w:rFonts w:ascii="Times New Roman" w:hAnsi="Times New Roman"/>
          <w:sz w:val="28"/>
          <w:szCs w:val="28"/>
        </w:rPr>
        <w:t>Дальнейшее развитие сферы здравоохранения в</w:t>
      </w:r>
      <w:r>
        <w:rPr>
          <w:rFonts w:ascii="Times New Roman" w:hAnsi="Times New Roman"/>
          <w:sz w:val="28"/>
          <w:szCs w:val="28"/>
        </w:rPr>
        <w:t> </w:t>
      </w:r>
      <w:r w:rsidRPr="00015200">
        <w:rPr>
          <w:rFonts w:ascii="Times New Roman" w:hAnsi="Times New Roman"/>
          <w:sz w:val="28"/>
          <w:szCs w:val="28"/>
        </w:rPr>
        <w:t>поселении должно осуществляться, прежде всего, за</w:t>
      </w:r>
      <w:r>
        <w:rPr>
          <w:rFonts w:ascii="Times New Roman" w:hAnsi="Times New Roman"/>
          <w:sz w:val="28"/>
          <w:szCs w:val="28"/>
        </w:rPr>
        <w:t> </w:t>
      </w:r>
      <w:r w:rsidRPr="00015200">
        <w:rPr>
          <w:rFonts w:ascii="Times New Roman" w:hAnsi="Times New Roman"/>
          <w:sz w:val="28"/>
          <w:szCs w:val="28"/>
        </w:rPr>
        <w:t>счёт обеспечения укомплектованности учреждения медицинским персоналом. Работа самого здравоохранения должна быть направлена на</w:t>
      </w:r>
      <w:r>
        <w:rPr>
          <w:rFonts w:ascii="Times New Roman" w:hAnsi="Times New Roman"/>
          <w:sz w:val="28"/>
          <w:szCs w:val="28"/>
        </w:rPr>
        <w:t> </w:t>
      </w:r>
      <w:r w:rsidRPr="00015200">
        <w:rPr>
          <w:rFonts w:ascii="Times New Roman" w:hAnsi="Times New Roman"/>
          <w:sz w:val="28"/>
          <w:szCs w:val="28"/>
        </w:rPr>
        <w:t>эффективную профилактику заболеваний, сокращение сроков восстановления утраченного здоровья людей путём широкого внедрения в</w:t>
      </w:r>
      <w:r>
        <w:rPr>
          <w:rFonts w:ascii="Times New Roman" w:hAnsi="Times New Roman"/>
          <w:sz w:val="28"/>
          <w:szCs w:val="28"/>
        </w:rPr>
        <w:t> </w:t>
      </w:r>
      <w:r w:rsidRPr="00015200">
        <w:rPr>
          <w:rFonts w:ascii="Times New Roman" w:hAnsi="Times New Roman"/>
          <w:sz w:val="28"/>
          <w:szCs w:val="28"/>
        </w:rPr>
        <w:t>медицинскую практику современных методов диагностики и</w:t>
      </w:r>
      <w:r>
        <w:rPr>
          <w:rFonts w:ascii="Times New Roman" w:hAnsi="Times New Roman"/>
          <w:sz w:val="28"/>
          <w:szCs w:val="28"/>
        </w:rPr>
        <w:t> </w:t>
      </w:r>
      <w:r w:rsidRPr="00015200">
        <w:rPr>
          <w:rFonts w:ascii="Times New Roman" w:hAnsi="Times New Roman"/>
          <w:sz w:val="28"/>
          <w:szCs w:val="28"/>
        </w:rPr>
        <w:t>лечения.</w:t>
      </w:r>
    </w:p>
    <w:p w:rsidR="002D1E45" w:rsidRPr="003A7901" w:rsidRDefault="002D1E45" w:rsidP="00015200">
      <w:pPr>
        <w:spacing w:after="0" w:line="240" w:lineRule="auto"/>
        <w:ind w:firstLine="709"/>
        <w:jc w:val="both"/>
        <w:rPr>
          <w:rFonts w:ascii="Times New Roman" w:hAnsi="Times New Roman"/>
          <w:sz w:val="28"/>
          <w:szCs w:val="28"/>
        </w:rPr>
      </w:pPr>
      <w:r w:rsidRPr="003A7901">
        <w:rPr>
          <w:rFonts w:ascii="Times New Roman" w:hAnsi="Times New Roman"/>
          <w:sz w:val="28"/>
          <w:szCs w:val="28"/>
        </w:rPr>
        <w:t>Для достижения задач, поставленных перед сферой социальной защиты населения, предстоит реализация мероприятий подпрограмм «Развитие мер социальной поддержки отдельных категорий граждан», «Модернизация и</w:t>
      </w:r>
      <w:r>
        <w:rPr>
          <w:rFonts w:ascii="Times New Roman" w:hAnsi="Times New Roman"/>
          <w:sz w:val="28"/>
          <w:szCs w:val="28"/>
        </w:rPr>
        <w:t> </w:t>
      </w:r>
      <w:r w:rsidRPr="003A7901">
        <w:rPr>
          <w:rFonts w:ascii="Times New Roman" w:hAnsi="Times New Roman"/>
          <w:sz w:val="28"/>
          <w:szCs w:val="28"/>
        </w:rPr>
        <w:t>развитие социального обслуживания населения», «Совершенствование социальной поддержки семьи и</w:t>
      </w:r>
      <w:r>
        <w:rPr>
          <w:rFonts w:ascii="Times New Roman" w:hAnsi="Times New Roman"/>
          <w:sz w:val="28"/>
          <w:szCs w:val="28"/>
        </w:rPr>
        <w:t> </w:t>
      </w:r>
      <w:r w:rsidRPr="003A7901">
        <w:rPr>
          <w:rFonts w:ascii="Times New Roman" w:hAnsi="Times New Roman"/>
          <w:sz w:val="28"/>
          <w:szCs w:val="28"/>
        </w:rPr>
        <w:t>детей» государственной программы Российской Федерации «Со</w:t>
      </w:r>
      <w:r>
        <w:rPr>
          <w:rFonts w:ascii="Times New Roman" w:hAnsi="Times New Roman"/>
          <w:sz w:val="28"/>
          <w:szCs w:val="28"/>
        </w:rPr>
        <w:t>циальная поддержка граждан</w:t>
      </w:r>
      <w:r w:rsidRPr="003A7901">
        <w:rPr>
          <w:rFonts w:ascii="Times New Roman" w:hAnsi="Times New Roman"/>
          <w:sz w:val="28"/>
          <w:szCs w:val="28"/>
        </w:rPr>
        <w:t>, других государственных и</w:t>
      </w:r>
      <w:r>
        <w:rPr>
          <w:rFonts w:ascii="Times New Roman" w:hAnsi="Times New Roman"/>
          <w:sz w:val="28"/>
          <w:szCs w:val="28"/>
        </w:rPr>
        <w:t> </w:t>
      </w:r>
      <w:r w:rsidRPr="003A7901">
        <w:rPr>
          <w:rFonts w:ascii="Times New Roman" w:hAnsi="Times New Roman"/>
          <w:sz w:val="28"/>
          <w:szCs w:val="28"/>
        </w:rPr>
        <w:t>муниципальных программ в</w:t>
      </w:r>
      <w:r>
        <w:rPr>
          <w:rFonts w:ascii="Times New Roman" w:hAnsi="Times New Roman"/>
          <w:sz w:val="28"/>
          <w:szCs w:val="28"/>
        </w:rPr>
        <w:t> </w:t>
      </w:r>
      <w:r w:rsidRPr="003A7901">
        <w:rPr>
          <w:rFonts w:ascii="Times New Roman" w:hAnsi="Times New Roman"/>
          <w:sz w:val="28"/>
          <w:szCs w:val="28"/>
        </w:rPr>
        <w:t>сфере развития системы социального обеспечения и</w:t>
      </w:r>
      <w:r>
        <w:rPr>
          <w:rFonts w:ascii="Times New Roman" w:hAnsi="Times New Roman"/>
          <w:sz w:val="28"/>
          <w:szCs w:val="28"/>
        </w:rPr>
        <w:t> </w:t>
      </w:r>
      <w:r w:rsidRPr="003A7901">
        <w:rPr>
          <w:rFonts w:ascii="Times New Roman" w:hAnsi="Times New Roman"/>
          <w:sz w:val="28"/>
          <w:szCs w:val="28"/>
        </w:rPr>
        <w:t>социальной защиты населения на</w:t>
      </w:r>
      <w:r>
        <w:rPr>
          <w:rFonts w:ascii="Times New Roman" w:hAnsi="Times New Roman"/>
          <w:sz w:val="28"/>
          <w:szCs w:val="28"/>
        </w:rPr>
        <w:t> </w:t>
      </w:r>
      <w:r w:rsidRPr="003A7901">
        <w:rPr>
          <w:rFonts w:ascii="Times New Roman" w:hAnsi="Times New Roman"/>
          <w:sz w:val="28"/>
          <w:szCs w:val="28"/>
        </w:rPr>
        <w:t xml:space="preserve">соответствующие годы. </w:t>
      </w:r>
    </w:p>
    <w:p w:rsidR="002D1E45" w:rsidRPr="003A7901" w:rsidRDefault="002D1E45" w:rsidP="003A7901">
      <w:pPr>
        <w:spacing w:after="0" w:line="240" w:lineRule="auto"/>
        <w:ind w:firstLine="709"/>
        <w:jc w:val="both"/>
        <w:rPr>
          <w:rFonts w:ascii="Times New Roman" w:hAnsi="Times New Roman"/>
          <w:sz w:val="28"/>
          <w:szCs w:val="28"/>
        </w:rPr>
      </w:pPr>
      <w:r w:rsidRPr="003A7901">
        <w:rPr>
          <w:rFonts w:ascii="Times New Roman" w:hAnsi="Times New Roman"/>
          <w:sz w:val="28"/>
          <w:szCs w:val="28"/>
        </w:rPr>
        <w:t>Планируется реализация мероприятий по</w:t>
      </w:r>
      <w:r>
        <w:rPr>
          <w:rFonts w:ascii="Times New Roman" w:hAnsi="Times New Roman"/>
          <w:sz w:val="28"/>
          <w:szCs w:val="28"/>
        </w:rPr>
        <w:t> </w:t>
      </w:r>
      <w:r w:rsidRPr="003A7901">
        <w:rPr>
          <w:rFonts w:ascii="Times New Roman" w:hAnsi="Times New Roman"/>
          <w:sz w:val="28"/>
          <w:szCs w:val="28"/>
        </w:rPr>
        <w:t>обеспечению поддержки и</w:t>
      </w:r>
      <w:r>
        <w:rPr>
          <w:rFonts w:ascii="Times New Roman" w:hAnsi="Times New Roman"/>
          <w:sz w:val="28"/>
          <w:szCs w:val="28"/>
        </w:rPr>
        <w:t> </w:t>
      </w:r>
      <w:r w:rsidRPr="003A7901">
        <w:rPr>
          <w:rFonts w:ascii="Times New Roman" w:hAnsi="Times New Roman"/>
          <w:sz w:val="28"/>
          <w:szCs w:val="28"/>
        </w:rPr>
        <w:t>социальных гарантий наиболее уязвимых групп населения, нетрудоспособных граждан и</w:t>
      </w:r>
      <w:r>
        <w:rPr>
          <w:rFonts w:ascii="Times New Roman" w:hAnsi="Times New Roman"/>
          <w:sz w:val="28"/>
          <w:szCs w:val="28"/>
        </w:rPr>
        <w:t> </w:t>
      </w:r>
      <w:r w:rsidRPr="003A7901">
        <w:rPr>
          <w:rFonts w:ascii="Times New Roman" w:hAnsi="Times New Roman"/>
          <w:sz w:val="28"/>
          <w:szCs w:val="28"/>
        </w:rPr>
        <w:t>членов их</w:t>
      </w:r>
      <w:r>
        <w:rPr>
          <w:rFonts w:ascii="Times New Roman" w:hAnsi="Times New Roman"/>
          <w:sz w:val="28"/>
          <w:szCs w:val="28"/>
        </w:rPr>
        <w:t> </w:t>
      </w:r>
      <w:r w:rsidRPr="003A7901">
        <w:rPr>
          <w:rFonts w:ascii="Times New Roman" w:hAnsi="Times New Roman"/>
          <w:sz w:val="28"/>
          <w:szCs w:val="28"/>
        </w:rPr>
        <w:t>семей; оказанию материальной помощи гражданам, оказавшимся в</w:t>
      </w:r>
      <w:r>
        <w:rPr>
          <w:rFonts w:ascii="Times New Roman" w:hAnsi="Times New Roman"/>
          <w:sz w:val="28"/>
          <w:szCs w:val="28"/>
        </w:rPr>
        <w:t> </w:t>
      </w:r>
      <w:r w:rsidRPr="003A7901">
        <w:rPr>
          <w:rFonts w:ascii="Times New Roman" w:hAnsi="Times New Roman"/>
          <w:sz w:val="28"/>
          <w:szCs w:val="28"/>
        </w:rPr>
        <w:t>трудной жизненной ситуации; осуществлению адресной социальной поддержки населения в</w:t>
      </w:r>
      <w:r>
        <w:rPr>
          <w:rFonts w:ascii="Times New Roman" w:hAnsi="Times New Roman"/>
          <w:sz w:val="28"/>
          <w:szCs w:val="28"/>
        </w:rPr>
        <w:t> </w:t>
      </w:r>
      <w:r w:rsidRPr="003A7901">
        <w:rPr>
          <w:rFonts w:ascii="Times New Roman" w:hAnsi="Times New Roman"/>
          <w:sz w:val="28"/>
          <w:szCs w:val="28"/>
        </w:rPr>
        <w:t>форме предоставления гражданам субсидий на</w:t>
      </w:r>
      <w:r>
        <w:rPr>
          <w:rFonts w:ascii="Times New Roman" w:hAnsi="Times New Roman"/>
          <w:sz w:val="28"/>
          <w:szCs w:val="28"/>
        </w:rPr>
        <w:t> </w:t>
      </w:r>
      <w:r w:rsidRPr="003A7901">
        <w:rPr>
          <w:rFonts w:ascii="Times New Roman" w:hAnsi="Times New Roman"/>
          <w:sz w:val="28"/>
          <w:szCs w:val="28"/>
        </w:rPr>
        <w:t>оплату жилого помещения и</w:t>
      </w:r>
      <w:r>
        <w:rPr>
          <w:rFonts w:ascii="Times New Roman" w:hAnsi="Times New Roman"/>
          <w:sz w:val="28"/>
          <w:szCs w:val="28"/>
        </w:rPr>
        <w:t> </w:t>
      </w:r>
      <w:r w:rsidRPr="003A7901">
        <w:rPr>
          <w:rFonts w:ascii="Times New Roman" w:hAnsi="Times New Roman"/>
          <w:sz w:val="28"/>
          <w:szCs w:val="28"/>
        </w:rPr>
        <w:t>коммунальных услуг с</w:t>
      </w:r>
      <w:r>
        <w:rPr>
          <w:rFonts w:ascii="Times New Roman" w:hAnsi="Times New Roman"/>
          <w:sz w:val="28"/>
          <w:szCs w:val="28"/>
        </w:rPr>
        <w:t> </w:t>
      </w:r>
      <w:r w:rsidRPr="003A7901">
        <w:rPr>
          <w:rFonts w:ascii="Times New Roman" w:hAnsi="Times New Roman"/>
          <w:sz w:val="28"/>
          <w:szCs w:val="28"/>
        </w:rPr>
        <w:t>использованием системы персонифицированных социальных счетов; льготного проезда на</w:t>
      </w:r>
      <w:r>
        <w:rPr>
          <w:rFonts w:ascii="Times New Roman" w:hAnsi="Times New Roman"/>
          <w:sz w:val="28"/>
          <w:szCs w:val="28"/>
        </w:rPr>
        <w:t> </w:t>
      </w:r>
      <w:r w:rsidRPr="003A7901">
        <w:rPr>
          <w:rFonts w:ascii="Times New Roman" w:hAnsi="Times New Roman"/>
          <w:sz w:val="28"/>
          <w:szCs w:val="28"/>
        </w:rPr>
        <w:t>общественном транспорте детей из</w:t>
      </w:r>
      <w:r>
        <w:rPr>
          <w:rFonts w:ascii="Times New Roman" w:hAnsi="Times New Roman"/>
          <w:sz w:val="28"/>
          <w:szCs w:val="28"/>
        </w:rPr>
        <w:t> </w:t>
      </w:r>
      <w:r w:rsidRPr="003A7901">
        <w:rPr>
          <w:rFonts w:ascii="Times New Roman" w:hAnsi="Times New Roman"/>
          <w:sz w:val="28"/>
          <w:szCs w:val="28"/>
        </w:rPr>
        <w:t>многодетных семей в</w:t>
      </w:r>
      <w:r>
        <w:rPr>
          <w:rFonts w:ascii="Times New Roman" w:hAnsi="Times New Roman"/>
          <w:sz w:val="28"/>
          <w:szCs w:val="28"/>
        </w:rPr>
        <w:t> </w:t>
      </w:r>
      <w:r w:rsidRPr="003A7901">
        <w:rPr>
          <w:rFonts w:ascii="Times New Roman" w:hAnsi="Times New Roman"/>
          <w:sz w:val="28"/>
          <w:szCs w:val="28"/>
        </w:rPr>
        <w:t>образовательные учреждения; условий для ресоциализации (содействии в</w:t>
      </w:r>
      <w:r>
        <w:rPr>
          <w:rFonts w:ascii="Times New Roman" w:hAnsi="Times New Roman"/>
          <w:sz w:val="28"/>
          <w:szCs w:val="28"/>
        </w:rPr>
        <w:t> </w:t>
      </w:r>
      <w:r w:rsidRPr="003A7901">
        <w:rPr>
          <w:rFonts w:ascii="Times New Roman" w:hAnsi="Times New Roman"/>
          <w:sz w:val="28"/>
          <w:szCs w:val="28"/>
        </w:rPr>
        <w:t>трудоустройстве и</w:t>
      </w:r>
      <w:r>
        <w:rPr>
          <w:rFonts w:ascii="Times New Roman" w:hAnsi="Times New Roman"/>
          <w:sz w:val="28"/>
          <w:szCs w:val="28"/>
        </w:rPr>
        <w:t> </w:t>
      </w:r>
      <w:r w:rsidRPr="003A7901">
        <w:rPr>
          <w:rFonts w:ascii="Times New Roman" w:hAnsi="Times New Roman"/>
          <w:sz w:val="28"/>
          <w:szCs w:val="28"/>
        </w:rPr>
        <w:t>жилищно-бытовом устройстве, медицинском сопровождении и</w:t>
      </w:r>
      <w:r>
        <w:rPr>
          <w:rFonts w:ascii="Times New Roman" w:hAnsi="Times New Roman"/>
          <w:sz w:val="28"/>
          <w:szCs w:val="28"/>
        </w:rPr>
        <w:t> </w:t>
      </w:r>
      <w:r w:rsidRPr="003A7901">
        <w:rPr>
          <w:rFonts w:ascii="Times New Roman" w:hAnsi="Times New Roman"/>
          <w:sz w:val="28"/>
          <w:szCs w:val="28"/>
        </w:rPr>
        <w:t>социальном обслуживании) граждан, отбывших уголовное наказание в</w:t>
      </w:r>
      <w:r>
        <w:rPr>
          <w:rFonts w:ascii="Times New Roman" w:hAnsi="Times New Roman"/>
          <w:sz w:val="28"/>
          <w:szCs w:val="28"/>
        </w:rPr>
        <w:t> </w:t>
      </w:r>
      <w:r w:rsidRPr="003A7901">
        <w:rPr>
          <w:rFonts w:ascii="Times New Roman" w:hAnsi="Times New Roman"/>
          <w:sz w:val="28"/>
          <w:szCs w:val="28"/>
        </w:rPr>
        <w:t>виде лишения свободы и</w:t>
      </w:r>
      <w:r>
        <w:rPr>
          <w:rFonts w:ascii="Times New Roman" w:hAnsi="Times New Roman"/>
          <w:sz w:val="28"/>
          <w:szCs w:val="28"/>
        </w:rPr>
        <w:t> </w:t>
      </w:r>
      <w:r w:rsidRPr="003A7901">
        <w:rPr>
          <w:rFonts w:ascii="Times New Roman" w:hAnsi="Times New Roman"/>
          <w:sz w:val="28"/>
          <w:szCs w:val="28"/>
        </w:rPr>
        <w:t>прибывших по</w:t>
      </w:r>
      <w:r>
        <w:rPr>
          <w:rFonts w:ascii="Times New Roman" w:hAnsi="Times New Roman"/>
          <w:sz w:val="28"/>
          <w:szCs w:val="28"/>
        </w:rPr>
        <w:t> </w:t>
      </w:r>
      <w:r w:rsidRPr="003A7901">
        <w:rPr>
          <w:rFonts w:ascii="Times New Roman" w:hAnsi="Times New Roman"/>
          <w:sz w:val="28"/>
          <w:szCs w:val="28"/>
        </w:rPr>
        <w:t>избранному месту жительства в</w:t>
      </w:r>
      <w:r>
        <w:rPr>
          <w:rFonts w:ascii="Times New Roman" w:hAnsi="Times New Roman"/>
          <w:sz w:val="28"/>
          <w:szCs w:val="28"/>
        </w:rPr>
        <w:t> село</w:t>
      </w:r>
      <w:r w:rsidRPr="003A7901">
        <w:rPr>
          <w:rFonts w:ascii="Times New Roman" w:hAnsi="Times New Roman"/>
          <w:sz w:val="28"/>
          <w:szCs w:val="28"/>
        </w:rPr>
        <w:t xml:space="preserve">. </w:t>
      </w:r>
    </w:p>
    <w:p w:rsidR="002D1E45" w:rsidRDefault="002D1E45" w:rsidP="003A7901">
      <w:pPr>
        <w:spacing w:after="0" w:line="240" w:lineRule="auto"/>
        <w:ind w:firstLine="709"/>
        <w:contextualSpacing/>
        <w:jc w:val="both"/>
        <w:rPr>
          <w:rFonts w:ascii="Times New Roman" w:hAnsi="Times New Roman"/>
          <w:sz w:val="28"/>
          <w:szCs w:val="28"/>
        </w:rPr>
      </w:pPr>
      <w:r w:rsidRPr="003A7901">
        <w:rPr>
          <w:rFonts w:ascii="Times New Roman" w:hAnsi="Times New Roman"/>
          <w:sz w:val="28"/>
          <w:szCs w:val="28"/>
        </w:rPr>
        <w:t>Кроме того, в</w:t>
      </w:r>
      <w:r>
        <w:rPr>
          <w:rFonts w:ascii="Times New Roman" w:hAnsi="Times New Roman"/>
          <w:sz w:val="28"/>
          <w:szCs w:val="28"/>
        </w:rPr>
        <w:t> </w:t>
      </w:r>
      <w:r w:rsidRPr="003A7901">
        <w:rPr>
          <w:rFonts w:ascii="Times New Roman" w:hAnsi="Times New Roman"/>
          <w:sz w:val="28"/>
          <w:szCs w:val="28"/>
        </w:rPr>
        <w:t>плановом периоде будет продолжена работа по</w:t>
      </w:r>
      <w:r>
        <w:rPr>
          <w:rFonts w:ascii="Times New Roman" w:hAnsi="Times New Roman"/>
          <w:sz w:val="28"/>
          <w:szCs w:val="28"/>
        </w:rPr>
        <w:t> </w:t>
      </w:r>
      <w:r w:rsidRPr="003A7901">
        <w:rPr>
          <w:rFonts w:ascii="Times New Roman" w:hAnsi="Times New Roman"/>
          <w:sz w:val="28"/>
          <w:szCs w:val="28"/>
        </w:rPr>
        <w:t>развитию социального партнёрства, главная задача которого – согласование интересов сторон на</w:t>
      </w:r>
      <w:r>
        <w:rPr>
          <w:rFonts w:ascii="Times New Roman" w:hAnsi="Times New Roman"/>
          <w:sz w:val="28"/>
          <w:szCs w:val="28"/>
        </w:rPr>
        <w:t> </w:t>
      </w:r>
      <w:r w:rsidRPr="003A7901">
        <w:rPr>
          <w:rFonts w:ascii="Times New Roman" w:hAnsi="Times New Roman"/>
          <w:sz w:val="28"/>
          <w:szCs w:val="28"/>
        </w:rPr>
        <w:t>основе коллективно-договорного регулирования отношений, особое внимание будет уделено развитию социального партнёрства в</w:t>
      </w:r>
      <w:r>
        <w:rPr>
          <w:rFonts w:ascii="Times New Roman" w:hAnsi="Times New Roman"/>
          <w:sz w:val="28"/>
          <w:szCs w:val="28"/>
        </w:rPr>
        <w:t> </w:t>
      </w:r>
      <w:r w:rsidRPr="003A7901">
        <w:rPr>
          <w:rFonts w:ascii="Times New Roman" w:hAnsi="Times New Roman"/>
          <w:sz w:val="28"/>
          <w:szCs w:val="28"/>
        </w:rPr>
        <w:t>малом и</w:t>
      </w:r>
      <w:r>
        <w:rPr>
          <w:rFonts w:ascii="Times New Roman" w:hAnsi="Times New Roman"/>
          <w:sz w:val="28"/>
          <w:szCs w:val="28"/>
        </w:rPr>
        <w:t> </w:t>
      </w:r>
      <w:r w:rsidRPr="003A7901">
        <w:rPr>
          <w:rFonts w:ascii="Times New Roman" w:hAnsi="Times New Roman"/>
          <w:sz w:val="28"/>
          <w:szCs w:val="28"/>
        </w:rPr>
        <w:t>среднем предпринимательстве.</w:t>
      </w:r>
    </w:p>
    <w:p w:rsidR="002D1E45" w:rsidRPr="003A7901" w:rsidRDefault="002D1E45" w:rsidP="003A7901">
      <w:pPr>
        <w:spacing w:after="0" w:line="240" w:lineRule="auto"/>
        <w:rPr>
          <w:rFonts w:ascii="Times New Roman" w:hAnsi="Times New Roman"/>
          <w:sz w:val="16"/>
          <w:szCs w:val="16"/>
          <w:lang w:eastAsia="ru-RU"/>
        </w:rPr>
      </w:pPr>
    </w:p>
    <w:p w:rsidR="002D1E45" w:rsidRPr="003A7901" w:rsidRDefault="002D1E45" w:rsidP="003A7901">
      <w:pPr>
        <w:spacing w:after="0" w:line="240" w:lineRule="auto"/>
        <w:ind w:firstLine="709"/>
        <w:contextualSpacing/>
        <w:jc w:val="both"/>
        <w:rPr>
          <w:rFonts w:ascii="Times New Roman" w:hAnsi="Times New Roman"/>
          <w:bCs/>
          <w:i/>
          <w:color w:val="000000"/>
          <w:sz w:val="28"/>
          <w:szCs w:val="24"/>
          <w:u w:val="single"/>
          <w:lang w:eastAsia="ru-RU"/>
        </w:rPr>
      </w:pPr>
      <w:r w:rsidRPr="003A7901">
        <w:rPr>
          <w:rFonts w:ascii="Times New Roman" w:hAnsi="Times New Roman"/>
          <w:bCs/>
          <w:i/>
          <w:color w:val="000000"/>
          <w:sz w:val="28"/>
          <w:szCs w:val="24"/>
          <w:u w:val="single"/>
          <w:lang w:eastAsia="ru-RU"/>
        </w:rPr>
        <w:t>Сфера физкультуры и</w:t>
      </w:r>
      <w:r>
        <w:rPr>
          <w:rFonts w:ascii="Times New Roman" w:hAnsi="Times New Roman"/>
          <w:bCs/>
          <w:i/>
          <w:color w:val="000000"/>
          <w:sz w:val="28"/>
          <w:szCs w:val="24"/>
          <w:u w:val="single"/>
          <w:lang w:eastAsia="ru-RU"/>
        </w:rPr>
        <w:t> </w:t>
      </w:r>
      <w:r w:rsidRPr="003A7901">
        <w:rPr>
          <w:rFonts w:ascii="Times New Roman" w:hAnsi="Times New Roman"/>
          <w:bCs/>
          <w:i/>
          <w:color w:val="000000"/>
          <w:sz w:val="28"/>
          <w:szCs w:val="24"/>
          <w:u w:val="single"/>
          <w:lang w:eastAsia="ru-RU"/>
        </w:rPr>
        <w:t>спорта</w:t>
      </w:r>
    </w:p>
    <w:p w:rsidR="002D1E45" w:rsidRPr="003A7901" w:rsidRDefault="002D1E45" w:rsidP="003A7901">
      <w:pPr>
        <w:spacing w:after="0" w:line="240" w:lineRule="auto"/>
        <w:ind w:firstLine="709"/>
        <w:jc w:val="both"/>
        <w:rPr>
          <w:rFonts w:ascii="Times New Roman" w:hAnsi="Times New Roman"/>
          <w:sz w:val="28"/>
          <w:szCs w:val="28"/>
        </w:rPr>
      </w:pPr>
      <w:r w:rsidRPr="003A7901">
        <w:rPr>
          <w:rFonts w:ascii="Times New Roman" w:hAnsi="Times New Roman"/>
          <w:sz w:val="28"/>
          <w:szCs w:val="28"/>
        </w:rPr>
        <w:t>Одной из</w:t>
      </w:r>
      <w:r>
        <w:rPr>
          <w:rFonts w:ascii="Times New Roman" w:hAnsi="Times New Roman"/>
          <w:sz w:val="28"/>
          <w:szCs w:val="28"/>
        </w:rPr>
        <w:t> </w:t>
      </w:r>
      <w:r w:rsidRPr="003A7901">
        <w:rPr>
          <w:rFonts w:ascii="Times New Roman" w:hAnsi="Times New Roman"/>
          <w:sz w:val="28"/>
          <w:szCs w:val="28"/>
        </w:rPr>
        <w:t>ключевых причин низкого охвата населения занятиями физической культуры и</w:t>
      </w:r>
      <w:r>
        <w:rPr>
          <w:rFonts w:ascii="Times New Roman" w:hAnsi="Times New Roman"/>
          <w:sz w:val="28"/>
          <w:szCs w:val="28"/>
        </w:rPr>
        <w:t> </w:t>
      </w:r>
      <w:r w:rsidRPr="003A7901">
        <w:rPr>
          <w:rFonts w:ascii="Times New Roman" w:hAnsi="Times New Roman"/>
          <w:sz w:val="28"/>
          <w:szCs w:val="28"/>
        </w:rPr>
        <w:t>спорта, является несоответствие числа спортивных сооружений социальным нормативам и</w:t>
      </w:r>
      <w:r>
        <w:rPr>
          <w:rFonts w:ascii="Times New Roman" w:hAnsi="Times New Roman"/>
          <w:sz w:val="28"/>
          <w:szCs w:val="28"/>
        </w:rPr>
        <w:t> </w:t>
      </w:r>
      <w:r w:rsidRPr="003A7901">
        <w:rPr>
          <w:rFonts w:ascii="Times New Roman" w:hAnsi="Times New Roman"/>
          <w:sz w:val="28"/>
          <w:szCs w:val="28"/>
        </w:rPr>
        <w:t xml:space="preserve">фактическим потребностям населения. </w:t>
      </w:r>
    </w:p>
    <w:p w:rsidR="002D1E45" w:rsidRPr="003A7901" w:rsidRDefault="002D1E45" w:rsidP="003A7901">
      <w:pPr>
        <w:spacing w:after="0" w:line="240" w:lineRule="auto"/>
        <w:ind w:firstLine="709"/>
        <w:jc w:val="both"/>
        <w:rPr>
          <w:rFonts w:ascii="Times New Roman" w:hAnsi="Times New Roman"/>
          <w:sz w:val="28"/>
          <w:szCs w:val="28"/>
        </w:rPr>
      </w:pPr>
      <w:r w:rsidRPr="003A7901">
        <w:rPr>
          <w:rFonts w:ascii="Times New Roman" w:hAnsi="Times New Roman"/>
          <w:sz w:val="28"/>
          <w:szCs w:val="28"/>
        </w:rPr>
        <w:t>Для решения указанных проблем, в</w:t>
      </w:r>
      <w:r>
        <w:rPr>
          <w:rFonts w:ascii="Times New Roman" w:hAnsi="Times New Roman"/>
          <w:sz w:val="28"/>
          <w:szCs w:val="28"/>
        </w:rPr>
        <w:t> </w:t>
      </w:r>
      <w:r w:rsidRPr="003A7901">
        <w:rPr>
          <w:rFonts w:ascii="Times New Roman" w:hAnsi="Times New Roman"/>
          <w:sz w:val="28"/>
          <w:szCs w:val="28"/>
        </w:rPr>
        <w:t>целях повышения эффективности использования возможностей физической культуры и</w:t>
      </w:r>
      <w:r>
        <w:rPr>
          <w:rFonts w:ascii="Times New Roman" w:hAnsi="Times New Roman"/>
          <w:sz w:val="28"/>
          <w:szCs w:val="28"/>
        </w:rPr>
        <w:t> </w:t>
      </w:r>
      <w:r w:rsidRPr="003A7901">
        <w:rPr>
          <w:rFonts w:ascii="Times New Roman" w:hAnsi="Times New Roman"/>
          <w:sz w:val="28"/>
          <w:szCs w:val="28"/>
        </w:rPr>
        <w:t>спорта, укрепления здоровья и</w:t>
      </w:r>
      <w:r>
        <w:rPr>
          <w:rFonts w:ascii="Times New Roman" w:hAnsi="Times New Roman"/>
          <w:sz w:val="28"/>
          <w:szCs w:val="28"/>
        </w:rPr>
        <w:t> </w:t>
      </w:r>
      <w:r w:rsidRPr="003A7901">
        <w:rPr>
          <w:rFonts w:ascii="Times New Roman" w:hAnsi="Times New Roman"/>
          <w:sz w:val="28"/>
          <w:szCs w:val="28"/>
        </w:rPr>
        <w:t>гармоничного развития личности, воспитания патриотизма и</w:t>
      </w:r>
      <w:r>
        <w:rPr>
          <w:rFonts w:ascii="Times New Roman" w:hAnsi="Times New Roman"/>
          <w:sz w:val="28"/>
          <w:szCs w:val="28"/>
        </w:rPr>
        <w:t> </w:t>
      </w:r>
      <w:r w:rsidRPr="003A7901">
        <w:rPr>
          <w:rFonts w:ascii="Times New Roman" w:hAnsi="Times New Roman"/>
          <w:sz w:val="28"/>
          <w:szCs w:val="28"/>
        </w:rPr>
        <w:t>гражданственности, улучшения качества жизни граждан России Указом Президента Российской Федерации от 24.03.2</w:t>
      </w:r>
      <w:r>
        <w:rPr>
          <w:rFonts w:ascii="Times New Roman" w:hAnsi="Times New Roman"/>
          <w:sz w:val="28"/>
          <w:szCs w:val="28"/>
        </w:rPr>
        <w:t>014 № 172 с 01.09.</w:t>
      </w:r>
      <w:r w:rsidRPr="003A7901">
        <w:rPr>
          <w:rFonts w:ascii="Times New Roman" w:hAnsi="Times New Roman"/>
          <w:sz w:val="28"/>
          <w:szCs w:val="28"/>
        </w:rPr>
        <w:t>2014 введён в</w:t>
      </w:r>
      <w:r>
        <w:rPr>
          <w:rFonts w:ascii="Times New Roman" w:hAnsi="Times New Roman"/>
          <w:sz w:val="28"/>
          <w:szCs w:val="28"/>
        </w:rPr>
        <w:t> </w:t>
      </w:r>
      <w:r w:rsidRPr="003A7901">
        <w:rPr>
          <w:rFonts w:ascii="Times New Roman" w:hAnsi="Times New Roman"/>
          <w:sz w:val="28"/>
          <w:szCs w:val="28"/>
        </w:rPr>
        <w:t>действие Всероссийский физкультурно-спортивный комплекс «Готов к</w:t>
      </w:r>
      <w:r>
        <w:rPr>
          <w:rFonts w:ascii="Times New Roman" w:hAnsi="Times New Roman"/>
          <w:sz w:val="28"/>
          <w:szCs w:val="28"/>
        </w:rPr>
        <w:t> </w:t>
      </w:r>
      <w:r w:rsidRPr="003A7901">
        <w:rPr>
          <w:rFonts w:ascii="Times New Roman" w:hAnsi="Times New Roman"/>
          <w:sz w:val="28"/>
          <w:szCs w:val="28"/>
        </w:rPr>
        <w:t>труду и</w:t>
      </w:r>
      <w:r>
        <w:rPr>
          <w:rFonts w:ascii="Times New Roman" w:hAnsi="Times New Roman"/>
          <w:sz w:val="28"/>
          <w:szCs w:val="28"/>
        </w:rPr>
        <w:t> </w:t>
      </w:r>
      <w:r w:rsidRPr="003A7901">
        <w:rPr>
          <w:rFonts w:ascii="Times New Roman" w:hAnsi="Times New Roman"/>
          <w:sz w:val="28"/>
          <w:szCs w:val="28"/>
        </w:rPr>
        <w:t>обороне» (ГТО). Одной из</w:t>
      </w:r>
      <w:r>
        <w:rPr>
          <w:rFonts w:ascii="Times New Roman" w:hAnsi="Times New Roman"/>
          <w:sz w:val="28"/>
          <w:szCs w:val="28"/>
        </w:rPr>
        <w:t> </w:t>
      </w:r>
      <w:r w:rsidRPr="003A7901">
        <w:rPr>
          <w:rFonts w:ascii="Times New Roman" w:hAnsi="Times New Roman"/>
          <w:sz w:val="28"/>
          <w:szCs w:val="28"/>
        </w:rPr>
        <w:t>важнейших задач ВФСК ГТО является увеличение числа граждан, систематически занимающихся физической культурой и</w:t>
      </w:r>
      <w:r>
        <w:rPr>
          <w:rFonts w:ascii="Times New Roman" w:hAnsi="Times New Roman"/>
          <w:sz w:val="28"/>
          <w:szCs w:val="28"/>
        </w:rPr>
        <w:t> </w:t>
      </w:r>
      <w:r w:rsidRPr="003A7901">
        <w:rPr>
          <w:rFonts w:ascii="Times New Roman" w:hAnsi="Times New Roman"/>
          <w:sz w:val="28"/>
          <w:szCs w:val="28"/>
        </w:rPr>
        <w:t>спортом, решение которой во</w:t>
      </w:r>
      <w:r>
        <w:rPr>
          <w:rFonts w:ascii="Times New Roman" w:hAnsi="Times New Roman"/>
          <w:sz w:val="28"/>
          <w:szCs w:val="28"/>
        </w:rPr>
        <w:t> </w:t>
      </w:r>
      <w:r w:rsidRPr="003A7901">
        <w:rPr>
          <w:rFonts w:ascii="Times New Roman" w:hAnsi="Times New Roman"/>
          <w:sz w:val="28"/>
          <w:szCs w:val="28"/>
        </w:rPr>
        <w:t>многом зависит от</w:t>
      </w:r>
      <w:r>
        <w:rPr>
          <w:rFonts w:ascii="Times New Roman" w:hAnsi="Times New Roman"/>
          <w:sz w:val="28"/>
          <w:szCs w:val="28"/>
        </w:rPr>
        <w:t> </w:t>
      </w:r>
      <w:r w:rsidRPr="003A7901">
        <w:rPr>
          <w:rFonts w:ascii="Times New Roman" w:hAnsi="Times New Roman"/>
          <w:sz w:val="28"/>
          <w:szCs w:val="28"/>
        </w:rPr>
        <w:t>качества и</w:t>
      </w:r>
      <w:r>
        <w:rPr>
          <w:rFonts w:ascii="Times New Roman" w:hAnsi="Times New Roman"/>
          <w:sz w:val="28"/>
          <w:szCs w:val="28"/>
        </w:rPr>
        <w:t> </w:t>
      </w:r>
      <w:r w:rsidRPr="003A7901">
        <w:rPr>
          <w:rFonts w:ascii="Times New Roman" w:hAnsi="Times New Roman"/>
          <w:sz w:val="28"/>
          <w:szCs w:val="28"/>
        </w:rPr>
        <w:t>доступности спортивной инфраструктуры, использование которой будет способствовать подготовке к</w:t>
      </w:r>
      <w:r>
        <w:rPr>
          <w:rFonts w:ascii="Times New Roman" w:hAnsi="Times New Roman"/>
          <w:sz w:val="28"/>
          <w:szCs w:val="28"/>
        </w:rPr>
        <w:t> </w:t>
      </w:r>
      <w:r w:rsidRPr="003A7901">
        <w:rPr>
          <w:rFonts w:ascii="Times New Roman" w:hAnsi="Times New Roman"/>
          <w:sz w:val="28"/>
          <w:szCs w:val="28"/>
        </w:rPr>
        <w:t>выполнению нормативов Комплекса ГТО.</w:t>
      </w:r>
    </w:p>
    <w:p w:rsidR="002D1E45" w:rsidRPr="003A7901" w:rsidRDefault="002D1E45" w:rsidP="003A7901">
      <w:pPr>
        <w:spacing w:after="0" w:line="240" w:lineRule="auto"/>
        <w:ind w:firstLine="709"/>
        <w:jc w:val="both"/>
        <w:rPr>
          <w:rFonts w:ascii="Times New Roman" w:hAnsi="Times New Roman"/>
          <w:sz w:val="28"/>
          <w:szCs w:val="28"/>
        </w:rPr>
      </w:pPr>
      <w:r w:rsidRPr="003A7901">
        <w:rPr>
          <w:rFonts w:ascii="Times New Roman" w:hAnsi="Times New Roman"/>
          <w:sz w:val="28"/>
          <w:szCs w:val="28"/>
        </w:rPr>
        <w:t>В Перечне поручений Президента Российской Федерации В. В. Путина по</w:t>
      </w:r>
      <w:r>
        <w:rPr>
          <w:rFonts w:ascii="Times New Roman" w:hAnsi="Times New Roman"/>
          <w:sz w:val="28"/>
          <w:szCs w:val="28"/>
        </w:rPr>
        <w:t> </w:t>
      </w:r>
      <w:r w:rsidRPr="003A7901">
        <w:rPr>
          <w:rFonts w:ascii="Times New Roman" w:hAnsi="Times New Roman"/>
          <w:sz w:val="28"/>
          <w:szCs w:val="28"/>
        </w:rPr>
        <w:t>итогам заседания Совета при Президенте Российской Федерации по</w:t>
      </w:r>
      <w:r>
        <w:rPr>
          <w:rFonts w:ascii="Times New Roman" w:hAnsi="Times New Roman"/>
          <w:sz w:val="28"/>
          <w:szCs w:val="28"/>
        </w:rPr>
        <w:t> </w:t>
      </w:r>
      <w:r w:rsidRPr="003A7901">
        <w:rPr>
          <w:rFonts w:ascii="Times New Roman" w:hAnsi="Times New Roman"/>
          <w:sz w:val="28"/>
          <w:szCs w:val="28"/>
        </w:rPr>
        <w:t xml:space="preserve">развитию </w:t>
      </w:r>
      <w:r>
        <w:rPr>
          <w:rFonts w:ascii="Times New Roman" w:hAnsi="Times New Roman"/>
          <w:sz w:val="28"/>
          <w:szCs w:val="28"/>
        </w:rPr>
        <w:t>физической культуры и спорта от 24.03.</w:t>
      </w:r>
      <w:r w:rsidRPr="003A7901">
        <w:rPr>
          <w:rFonts w:ascii="Times New Roman" w:hAnsi="Times New Roman"/>
          <w:sz w:val="28"/>
          <w:szCs w:val="28"/>
        </w:rPr>
        <w:t>2014 уделено внимание вопросу о</w:t>
      </w:r>
      <w:r>
        <w:rPr>
          <w:rFonts w:ascii="Times New Roman" w:hAnsi="Times New Roman"/>
          <w:sz w:val="28"/>
          <w:szCs w:val="28"/>
        </w:rPr>
        <w:t> </w:t>
      </w:r>
      <w:r w:rsidRPr="003A7901">
        <w:rPr>
          <w:rFonts w:ascii="Times New Roman" w:hAnsi="Times New Roman"/>
          <w:sz w:val="28"/>
          <w:szCs w:val="28"/>
        </w:rPr>
        <w:t>строительстве малобюджетных спортивных площадок в</w:t>
      </w:r>
      <w:r>
        <w:rPr>
          <w:rFonts w:ascii="Times New Roman" w:hAnsi="Times New Roman"/>
          <w:sz w:val="28"/>
          <w:szCs w:val="28"/>
        </w:rPr>
        <w:t> </w:t>
      </w:r>
      <w:r w:rsidRPr="003A7901">
        <w:rPr>
          <w:rFonts w:ascii="Times New Roman" w:hAnsi="Times New Roman"/>
          <w:sz w:val="28"/>
          <w:szCs w:val="28"/>
        </w:rPr>
        <w:t>пределах шаговой доступности с</w:t>
      </w:r>
      <w:r>
        <w:rPr>
          <w:rFonts w:ascii="Times New Roman" w:hAnsi="Times New Roman"/>
          <w:sz w:val="28"/>
          <w:szCs w:val="28"/>
        </w:rPr>
        <w:t> </w:t>
      </w:r>
      <w:r w:rsidRPr="003A7901">
        <w:rPr>
          <w:rFonts w:ascii="Times New Roman" w:hAnsi="Times New Roman"/>
          <w:sz w:val="28"/>
          <w:szCs w:val="28"/>
        </w:rPr>
        <w:t>указанием места для его реализации в</w:t>
      </w:r>
      <w:r>
        <w:rPr>
          <w:rFonts w:ascii="Times New Roman" w:hAnsi="Times New Roman"/>
          <w:sz w:val="28"/>
          <w:szCs w:val="28"/>
        </w:rPr>
        <w:t> </w:t>
      </w:r>
      <w:r w:rsidRPr="003A7901">
        <w:rPr>
          <w:rFonts w:ascii="Times New Roman" w:hAnsi="Times New Roman"/>
          <w:sz w:val="28"/>
          <w:szCs w:val="28"/>
        </w:rPr>
        <w:t>проекте федеральной целевой программы «Развитие физической культуры и</w:t>
      </w:r>
      <w:r>
        <w:rPr>
          <w:rFonts w:ascii="Times New Roman" w:hAnsi="Times New Roman"/>
          <w:sz w:val="28"/>
          <w:szCs w:val="28"/>
        </w:rPr>
        <w:t> </w:t>
      </w:r>
      <w:r w:rsidRPr="003A7901">
        <w:rPr>
          <w:rFonts w:ascii="Times New Roman" w:hAnsi="Times New Roman"/>
          <w:sz w:val="28"/>
          <w:szCs w:val="28"/>
        </w:rPr>
        <w:t>спорта в</w:t>
      </w:r>
      <w:r>
        <w:rPr>
          <w:rFonts w:ascii="Times New Roman" w:hAnsi="Times New Roman"/>
          <w:sz w:val="28"/>
          <w:szCs w:val="28"/>
        </w:rPr>
        <w:t> </w:t>
      </w:r>
      <w:r w:rsidRPr="003A7901">
        <w:rPr>
          <w:rFonts w:ascii="Times New Roman" w:hAnsi="Times New Roman"/>
          <w:sz w:val="28"/>
          <w:szCs w:val="28"/>
        </w:rPr>
        <w:t>Российской Федерации на 2016-2020 годы».</w:t>
      </w:r>
    </w:p>
    <w:p w:rsidR="002D1E45" w:rsidRPr="003A7901" w:rsidRDefault="002D1E45" w:rsidP="003A7901">
      <w:pPr>
        <w:spacing w:after="0" w:line="240" w:lineRule="auto"/>
        <w:ind w:firstLine="709"/>
        <w:jc w:val="both"/>
        <w:rPr>
          <w:rFonts w:ascii="Times New Roman" w:hAnsi="Times New Roman"/>
          <w:sz w:val="28"/>
          <w:szCs w:val="28"/>
        </w:rPr>
      </w:pPr>
      <w:r w:rsidRPr="003A7901">
        <w:rPr>
          <w:rFonts w:ascii="Times New Roman" w:hAnsi="Times New Roman"/>
          <w:sz w:val="28"/>
          <w:szCs w:val="28"/>
        </w:rPr>
        <w:t>Реализация данного мероприятия позволит не</w:t>
      </w:r>
      <w:r>
        <w:rPr>
          <w:rFonts w:ascii="Times New Roman" w:hAnsi="Times New Roman"/>
          <w:sz w:val="28"/>
          <w:szCs w:val="28"/>
        </w:rPr>
        <w:t> </w:t>
      </w:r>
      <w:r w:rsidRPr="003A7901">
        <w:rPr>
          <w:rFonts w:ascii="Times New Roman" w:hAnsi="Times New Roman"/>
          <w:sz w:val="28"/>
          <w:szCs w:val="28"/>
        </w:rPr>
        <w:t>только улучшить материально-техническую базу спортивных сооружений, но</w:t>
      </w:r>
      <w:r>
        <w:rPr>
          <w:rFonts w:ascii="Times New Roman" w:hAnsi="Times New Roman"/>
          <w:sz w:val="28"/>
          <w:szCs w:val="28"/>
        </w:rPr>
        <w:t> </w:t>
      </w:r>
      <w:r w:rsidRPr="003A7901">
        <w:rPr>
          <w:rFonts w:ascii="Times New Roman" w:hAnsi="Times New Roman"/>
          <w:sz w:val="28"/>
          <w:szCs w:val="28"/>
        </w:rPr>
        <w:t>и</w:t>
      </w:r>
      <w:r>
        <w:rPr>
          <w:rFonts w:ascii="Times New Roman" w:hAnsi="Times New Roman"/>
          <w:sz w:val="28"/>
          <w:szCs w:val="28"/>
        </w:rPr>
        <w:t> </w:t>
      </w:r>
      <w:r w:rsidRPr="003A7901">
        <w:rPr>
          <w:rFonts w:ascii="Times New Roman" w:hAnsi="Times New Roman"/>
          <w:sz w:val="28"/>
          <w:szCs w:val="28"/>
        </w:rPr>
        <w:t>обеспечить значительное улучшение здоровья граждан, увеличить количество систематически занимающихся, прежде всего среди подростков и</w:t>
      </w:r>
      <w:r>
        <w:rPr>
          <w:rFonts w:ascii="Times New Roman" w:hAnsi="Times New Roman"/>
          <w:sz w:val="28"/>
          <w:szCs w:val="28"/>
        </w:rPr>
        <w:t> </w:t>
      </w:r>
      <w:r w:rsidRPr="003A7901">
        <w:rPr>
          <w:rFonts w:ascii="Times New Roman" w:hAnsi="Times New Roman"/>
          <w:sz w:val="28"/>
          <w:szCs w:val="28"/>
        </w:rPr>
        <w:t xml:space="preserve">молодёжи. </w:t>
      </w:r>
    </w:p>
    <w:p w:rsidR="002D1E45" w:rsidRPr="00005636" w:rsidRDefault="002D1E45" w:rsidP="00005636">
      <w:pPr>
        <w:spacing w:after="0" w:line="240" w:lineRule="auto"/>
        <w:ind w:firstLine="709"/>
        <w:jc w:val="both"/>
        <w:rPr>
          <w:rFonts w:ascii="Times New Roman" w:hAnsi="Times New Roman"/>
          <w:sz w:val="28"/>
          <w:szCs w:val="24"/>
          <w:lang w:eastAsia="ru-RU"/>
        </w:rPr>
      </w:pPr>
      <w:r w:rsidRPr="00005636">
        <w:rPr>
          <w:rFonts w:ascii="Times New Roman" w:hAnsi="Times New Roman"/>
          <w:sz w:val="28"/>
          <w:szCs w:val="24"/>
          <w:lang w:eastAsia="ru-RU"/>
        </w:rPr>
        <w:t>Основными направлениями в</w:t>
      </w:r>
      <w:r>
        <w:rPr>
          <w:rFonts w:ascii="Times New Roman" w:hAnsi="Times New Roman"/>
          <w:sz w:val="28"/>
          <w:szCs w:val="24"/>
          <w:lang w:eastAsia="ru-RU"/>
        </w:rPr>
        <w:t> </w:t>
      </w:r>
      <w:r w:rsidRPr="00005636">
        <w:rPr>
          <w:rFonts w:ascii="Times New Roman" w:hAnsi="Times New Roman"/>
          <w:sz w:val="28"/>
          <w:szCs w:val="24"/>
          <w:lang w:eastAsia="ru-RU"/>
        </w:rPr>
        <w:t>решении задач развития физической культуры и</w:t>
      </w:r>
      <w:r>
        <w:rPr>
          <w:rFonts w:ascii="Times New Roman" w:hAnsi="Times New Roman"/>
          <w:sz w:val="28"/>
          <w:szCs w:val="24"/>
          <w:lang w:eastAsia="ru-RU"/>
        </w:rPr>
        <w:t> </w:t>
      </w:r>
      <w:r w:rsidRPr="00005636">
        <w:rPr>
          <w:rFonts w:ascii="Times New Roman" w:hAnsi="Times New Roman"/>
          <w:sz w:val="28"/>
          <w:szCs w:val="24"/>
          <w:lang w:eastAsia="ru-RU"/>
        </w:rPr>
        <w:t>спорта:</w:t>
      </w:r>
    </w:p>
    <w:p w:rsidR="002D1E45" w:rsidRPr="00005636" w:rsidRDefault="002D1E45" w:rsidP="00D05D06">
      <w:pPr>
        <w:numPr>
          <w:ilvl w:val="0"/>
          <w:numId w:val="60"/>
        </w:numPr>
        <w:spacing w:after="0" w:line="240" w:lineRule="auto"/>
        <w:jc w:val="both"/>
        <w:rPr>
          <w:rFonts w:ascii="Times New Roman" w:hAnsi="Times New Roman"/>
          <w:sz w:val="28"/>
          <w:szCs w:val="24"/>
          <w:lang w:eastAsia="ru-RU"/>
        </w:rPr>
      </w:pPr>
      <w:r w:rsidRPr="00005636">
        <w:rPr>
          <w:rFonts w:ascii="Times New Roman" w:hAnsi="Times New Roman"/>
          <w:sz w:val="28"/>
          <w:szCs w:val="24"/>
          <w:lang w:eastAsia="ru-RU"/>
        </w:rPr>
        <w:t>развитие массовой физической культуры и</w:t>
      </w:r>
      <w:r>
        <w:rPr>
          <w:rFonts w:ascii="Times New Roman" w:hAnsi="Times New Roman"/>
          <w:sz w:val="28"/>
          <w:szCs w:val="24"/>
          <w:lang w:eastAsia="ru-RU"/>
        </w:rPr>
        <w:t> </w:t>
      </w:r>
      <w:r w:rsidRPr="00005636">
        <w:rPr>
          <w:rFonts w:ascii="Times New Roman" w:hAnsi="Times New Roman"/>
          <w:sz w:val="28"/>
          <w:szCs w:val="24"/>
          <w:lang w:eastAsia="ru-RU"/>
        </w:rPr>
        <w:t>спорта, формирование ценностей здоровья и</w:t>
      </w:r>
      <w:r>
        <w:rPr>
          <w:rFonts w:ascii="Times New Roman" w:hAnsi="Times New Roman"/>
          <w:sz w:val="28"/>
          <w:szCs w:val="24"/>
          <w:lang w:eastAsia="ru-RU"/>
        </w:rPr>
        <w:t> </w:t>
      </w:r>
      <w:r w:rsidRPr="00005636">
        <w:rPr>
          <w:rFonts w:ascii="Times New Roman" w:hAnsi="Times New Roman"/>
          <w:sz w:val="28"/>
          <w:szCs w:val="24"/>
          <w:lang w:eastAsia="ru-RU"/>
        </w:rPr>
        <w:t>здорового образа жизни;</w:t>
      </w:r>
    </w:p>
    <w:p w:rsidR="002D1E45" w:rsidRPr="00005636" w:rsidRDefault="002D1E45" w:rsidP="00D05D06">
      <w:pPr>
        <w:numPr>
          <w:ilvl w:val="0"/>
          <w:numId w:val="60"/>
        </w:numPr>
        <w:spacing w:after="0" w:line="240" w:lineRule="auto"/>
        <w:jc w:val="both"/>
        <w:rPr>
          <w:rFonts w:ascii="Times New Roman" w:hAnsi="Times New Roman"/>
          <w:sz w:val="28"/>
          <w:szCs w:val="24"/>
          <w:lang w:eastAsia="ru-RU"/>
        </w:rPr>
      </w:pPr>
      <w:r w:rsidRPr="00005636">
        <w:rPr>
          <w:rFonts w:ascii="Times New Roman" w:hAnsi="Times New Roman"/>
          <w:sz w:val="28"/>
          <w:szCs w:val="24"/>
          <w:lang w:eastAsia="ru-RU"/>
        </w:rPr>
        <w:t>организация проведения муниципальных официальных спортивных мероприятий с</w:t>
      </w:r>
      <w:r>
        <w:rPr>
          <w:rFonts w:ascii="Times New Roman" w:hAnsi="Times New Roman"/>
          <w:sz w:val="28"/>
          <w:szCs w:val="24"/>
          <w:lang w:eastAsia="ru-RU"/>
        </w:rPr>
        <w:t> </w:t>
      </w:r>
      <w:r w:rsidRPr="00005636">
        <w:rPr>
          <w:rFonts w:ascii="Times New Roman" w:hAnsi="Times New Roman"/>
          <w:sz w:val="28"/>
          <w:szCs w:val="24"/>
          <w:lang w:eastAsia="ru-RU"/>
        </w:rPr>
        <w:t>целью популяризации спорта;</w:t>
      </w:r>
    </w:p>
    <w:p w:rsidR="002D1E45" w:rsidRPr="00005636" w:rsidRDefault="002D1E45" w:rsidP="00D05D06">
      <w:pPr>
        <w:numPr>
          <w:ilvl w:val="0"/>
          <w:numId w:val="60"/>
        </w:numPr>
        <w:spacing w:after="0" w:line="240" w:lineRule="auto"/>
        <w:jc w:val="both"/>
        <w:rPr>
          <w:rFonts w:ascii="Times New Roman" w:hAnsi="Times New Roman"/>
          <w:sz w:val="28"/>
          <w:szCs w:val="24"/>
          <w:lang w:eastAsia="ru-RU"/>
        </w:rPr>
      </w:pPr>
      <w:r w:rsidRPr="00005636">
        <w:rPr>
          <w:rFonts w:ascii="Times New Roman" w:hAnsi="Times New Roman"/>
          <w:sz w:val="28"/>
          <w:szCs w:val="24"/>
          <w:lang w:eastAsia="ru-RU"/>
        </w:rPr>
        <w:t>оснащение оборудованием и</w:t>
      </w:r>
      <w:r>
        <w:rPr>
          <w:rFonts w:ascii="Times New Roman" w:hAnsi="Times New Roman"/>
          <w:sz w:val="28"/>
          <w:szCs w:val="24"/>
          <w:lang w:eastAsia="ru-RU"/>
        </w:rPr>
        <w:t> </w:t>
      </w:r>
      <w:r w:rsidRPr="00005636">
        <w:rPr>
          <w:rFonts w:ascii="Times New Roman" w:hAnsi="Times New Roman"/>
          <w:sz w:val="28"/>
          <w:szCs w:val="24"/>
          <w:lang w:eastAsia="ru-RU"/>
        </w:rPr>
        <w:t>инвентарём физкультурно-оздоровительных объектов.</w:t>
      </w:r>
    </w:p>
    <w:p w:rsidR="002D1E45" w:rsidRPr="00005636" w:rsidRDefault="002D1E45" w:rsidP="00D05D06">
      <w:pPr>
        <w:numPr>
          <w:ilvl w:val="0"/>
          <w:numId w:val="60"/>
        </w:numPr>
        <w:spacing w:after="0" w:line="240" w:lineRule="auto"/>
        <w:jc w:val="both"/>
        <w:rPr>
          <w:rFonts w:ascii="Times New Roman" w:hAnsi="Times New Roman"/>
          <w:sz w:val="28"/>
          <w:szCs w:val="24"/>
          <w:lang w:eastAsia="ru-RU"/>
        </w:rPr>
      </w:pPr>
      <w:r w:rsidRPr="00005636">
        <w:rPr>
          <w:rFonts w:ascii="Times New Roman" w:hAnsi="Times New Roman"/>
          <w:sz w:val="28"/>
          <w:szCs w:val="24"/>
          <w:lang w:eastAsia="ru-RU"/>
        </w:rPr>
        <w:t>проведение мониторинга физической подготовки и</w:t>
      </w:r>
      <w:r>
        <w:rPr>
          <w:rFonts w:ascii="Times New Roman" w:hAnsi="Times New Roman"/>
          <w:sz w:val="28"/>
          <w:szCs w:val="24"/>
          <w:lang w:eastAsia="ru-RU"/>
        </w:rPr>
        <w:t> </w:t>
      </w:r>
      <w:r w:rsidRPr="00005636">
        <w:rPr>
          <w:rFonts w:ascii="Times New Roman" w:hAnsi="Times New Roman"/>
          <w:sz w:val="28"/>
          <w:szCs w:val="24"/>
          <w:lang w:eastAsia="ru-RU"/>
        </w:rPr>
        <w:t>физического развития населения;</w:t>
      </w:r>
    </w:p>
    <w:p w:rsidR="002D1E45" w:rsidRPr="00005636" w:rsidRDefault="002D1E45" w:rsidP="00D05D06">
      <w:pPr>
        <w:numPr>
          <w:ilvl w:val="0"/>
          <w:numId w:val="60"/>
        </w:numPr>
        <w:spacing w:after="0" w:line="240" w:lineRule="auto"/>
        <w:jc w:val="both"/>
        <w:rPr>
          <w:rFonts w:ascii="Times New Roman" w:hAnsi="Times New Roman"/>
          <w:sz w:val="28"/>
          <w:szCs w:val="24"/>
          <w:lang w:eastAsia="ru-RU"/>
        </w:rPr>
      </w:pPr>
      <w:r w:rsidRPr="00005636">
        <w:rPr>
          <w:rFonts w:ascii="Times New Roman" w:hAnsi="Times New Roman"/>
          <w:sz w:val="28"/>
          <w:szCs w:val="24"/>
          <w:lang w:eastAsia="ru-RU"/>
        </w:rPr>
        <w:t>содействие в</w:t>
      </w:r>
      <w:r>
        <w:rPr>
          <w:rFonts w:ascii="Times New Roman" w:hAnsi="Times New Roman"/>
          <w:sz w:val="28"/>
          <w:szCs w:val="24"/>
          <w:lang w:eastAsia="ru-RU"/>
        </w:rPr>
        <w:t> </w:t>
      </w:r>
      <w:r w:rsidRPr="00005636">
        <w:rPr>
          <w:rFonts w:ascii="Times New Roman" w:hAnsi="Times New Roman"/>
          <w:sz w:val="28"/>
          <w:szCs w:val="24"/>
          <w:lang w:eastAsia="ru-RU"/>
        </w:rPr>
        <w:t>строительстве современных спортивных объектов, в</w:t>
      </w:r>
      <w:r>
        <w:rPr>
          <w:rFonts w:ascii="Times New Roman" w:hAnsi="Times New Roman"/>
          <w:sz w:val="28"/>
          <w:szCs w:val="24"/>
          <w:lang w:eastAsia="ru-RU"/>
        </w:rPr>
        <w:t> </w:t>
      </w:r>
      <w:r w:rsidRPr="00005636">
        <w:rPr>
          <w:rFonts w:ascii="Times New Roman" w:hAnsi="Times New Roman"/>
          <w:sz w:val="28"/>
          <w:szCs w:val="24"/>
          <w:lang w:eastAsia="ru-RU"/>
        </w:rPr>
        <w:t>том числе и</w:t>
      </w:r>
      <w:r>
        <w:rPr>
          <w:rFonts w:ascii="Times New Roman" w:hAnsi="Times New Roman"/>
          <w:sz w:val="28"/>
          <w:szCs w:val="24"/>
          <w:lang w:eastAsia="ru-RU"/>
        </w:rPr>
        <w:t> </w:t>
      </w:r>
      <w:r w:rsidRPr="00005636">
        <w:rPr>
          <w:rFonts w:ascii="Times New Roman" w:hAnsi="Times New Roman"/>
          <w:sz w:val="28"/>
          <w:szCs w:val="24"/>
          <w:lang w:eastAsia="ru-RU"/>
        </w:rPr>
        <w:t>путём привлечения инвесторов к</w:t>
      </w:r>
      <w:r>
        <w:rPr>
          <w:rFonts w:ascii="Times New Roman" w:hAnsi="Times New Roman"/>
          <w:sz w:val="28"/>
          <w:szCs w:val="24"/>
          <w:lang w:eastAsia="ru-RU"/>
        </w:rPr>
        <w:t> </w:t>
      </w:r>
      <w:r w:rsidRPr="00005636">
        <w:rPr>
          <w:rFonts w:ascii="Times New Roman" w:hAnsi="Times New Roman"/>
          <w:sz w:val="28"/>
          <w:szCs w:val="24"/>
          <w:lang w:eastAsia="ru-RU"/>
        </w:rPr>
        <w:t>сооружению и</w:t>
      </w:r>
      <w:r>
        <w:rPr>
          <w:rFonts w:ascii="Times New Roman" w:hAnsi="Times New Roman"/>
          <w:sz w:val="28"/>
          <w:szCs w:val="24"/>
          <w:lang w:eastAsia="ru-RU"/>
        </w:rPr>
        <w:t> </w:t>
      </w:r>
      <w:r w:rsidRPr="00005636">
        <w:rPr>
          <w:rFonts w:ascii="Times New Roman" w:hAnsi="Times New Roman"/>
          <w:sz w:val="28"/>
          <w:szCs w:val="24"/>
          <w:lang w:eastAsia="ru-RU"/>
        </w:rPr>
        <w:t xml:space="preserve">модернизации спортивной базы, </w:t>
      </w:r>
    </w:p>
    <w:p w:rsidR="002D1E45" w:rsidRPr="00005636" w:rsidRDefault="002D1E45" w:rsidP="00D05D06">
      <w:pPr>
        <w:numPr>
          <w:ilvl w:val="0"/>
          <w:numId w:val="60"/>
        </w:numPr>
        <w:spacing w:after="0" w:line="240" w:lineRule="auto"/>
        <w:jc w:val="both"/>
        <w:rPr>
          <w:rFonts w:ascii="Times New Roman" w:hAnsi="Times New Roman"/>
          <w:sz w:val="28"/>
          <w:szCs w:val="24"/>
          <w:lang w:eastAsia="ru-RU"/>
        </w:rPr>
      </w:pPr>
      <w:r w:rsidRPr="00005636">
        <w:rPr>
          <w:rFonts w:ascii="Times New Roman" w:hAnsi="Times New Roman"/>
          <w:sz w:val="28"/>
          <w:szCs w:val="24"/>
          <w:lang w:eastAsia="ru-RU"/>
        </w:rPr>
        <w:t>участие в</w:t>
      </w:r>
      <w:r>
        <w:rPr>
          <w:rFonts w:ascii="Times New Roman" w:hAnsi="Times New Roman"/>
          <w:sz w:val="28"/>
          <w:szCs w:val="24"/>
          <w:lang w:eastAsia="ru-RU"/>
        </w:rPr>
        <w:t> </w:t>
      </w:r>
      <w:r w:rsidRPr="00005636">
        <w:rPr>
          <w:rFonts w:ascii="Times New Roman" w:hAnsi="Times New Roman"/>
          <w:sz w:val="28"/>
          <w:szCs w:val="24"/>
          <w:lang w:eastAsia="ru-RU"/>
        </w:rPr>
        <w:t>государственных программах строительства спортсооружений;</w:t>
      </w:r>
    </w:p>
    <w:p w:rsidR="002D1E45" w:rsidRPr="00005636" w:rsidRDefault="002D1E45" w:rsidP="00D05D06">
      <w:pPr>
        <w:numPr>
          <w:ilvl w:val="0"/>
          <w:numId w:val="60"/>
        </w:numPr>
        <w:spacing w:after="0" w:line="240" w:lineRule="auto"/>
        <w:jc w:val="both"/>
        <w:rPr>
          <w:rFonts w:ascii="Times New Roman" w:hAnsi="Times New Roman"/>
          <w:sz w:val="28"/>
          <w:szCs w:val="24"/>
          <w:lang w:eastAsia="ru-RU"/>
        </w:rPr>
      </w:pPr>
      <w:r w:rsidRPr="00005636">
        <w:rPr>
          <w:rFonts w:ascii="Times New Roman" w:hAnsi="Times New Roman"/>
          <w:sz w:val="28"/>
          <w:szCs w:val="24"/>
          <w:lang w:eastAsia="ru-RU"/>
        </w:rPr>
        <w:t>развитие спорта высших достижений, формирование сборных команд для участия в</w:t>
      </w:r>
      <w:r>
        <w:rPr>
          <w:rFonts w:ascii="Times New Roman" w:hAnsi="Times New Roman"/>
          <w:sz w:val="28"/>
          <w:szCs w:val="24"/>
          <w:lang w:eastAsia="ru-RU"/>
        </w:rPr>
        <w:t> </w:t>
      </w:r>
      <w:r w:rsidRPr="00005636">
        <w:rPr>
          <w:rFonts w:ascii="Times New Roman" w:hAnsi="Times New Roman"/>
          <w:sz w:val="28"/>
          <w:szCs w:val="24"/>
          <w:lang w:eastAsia="ru-RU"/>
        </w:rPr>
        <w:t>окружных соревнованиях и</w:t>
      </w:r>
      <w:r>
        <w:rPr>
          <w:rFonts w:ascii="Times New Roman" w:hAnsi="Times New Roman"/>
          <w:sz w:val="28"/>
          <w:szCs w:val="24"/>
          <w:lang w:eastAsia="ru-RU"/>
        </w:rPr>
        <w:t> </w:t>
      </w:r>
      <w:r w:rsidRPr="00005636">
        <w:rPr>
          <w:rFonts w:ascii="Times New Roman" w:hAnsi="Times New Roman"/>
          <w:sz w:val="28"/>
          <w:szCs w:val="24"/>
          <w:lang w:eastAsia="ru-RU"/>
        </w:rPr>
        <w:t xml:space="preserve">соревнованиях другого уровня; </w:t>
      </w:r>
    </w:p>
    <w:p w:rsidR="002D1E45" w:rsidRPr="00005636" w:rsidRDefault="002D1E45" w:rsidP="00D05D06">
      <w:pPr>
        <w:numPr>
          <w:ilvl w:val="0"/>
          <w:numId w:val="60"/>
        </w:numPr>
        <w:spacing w:after="0" w:line="240" w:lineRule="auto"/>
        <w:jc w:val="both"/>
        <w:rPr>
          <w:rFonts w:ascii="Times New Roman" w:hAnsi="Times New Roman"/>
          <w:sz w:val="28"/>
          <w:szCs w:val="24"/>
          <w:lang w:eastAsia="ru-RU"/>
        </w:rPr>
      </w:pPr>
      <w:r w:rsidRPr="00005636">
        <w:rPr>
          <w:rFonts w:ascii="Times New Roman" w:hAnsi="Times New Roman"/>
          <w:sz w:val="28"/>
          <w:szCs w:val="24"/>
          <w:lang w:eastAsia="ru-RU"/>
        </w:rPr>
        <w:t>развитие национальных видов спорта;</w:t>
      </w:r>
    </w:p>
    <w:p w:rsidR="002D1E45" w:rsidRPr="00005636" w:rsidRDefault="002D1E45" w:rsidP="00D05D06">
      <w:pPr>
        <w:numPr>
          <w:ilvl w:val="0"/>
          <w:numId w:val="60"/>
        </w:numPr>
        <w:spacing w:after="0" w:line="240" w:lineRule="auto"/>
        <w:jc w:val="both"/>
        <w:rPr>
          <w:rFonts w:ascii="Times New Roman" w:hAnsi="Times New Roman"/>
          <w:sz w:val="28"/>
          <w:szCs w:val="24"/>
          <w:lang w:eastAsia="ru-RU"/>
        </w:rPr>
      </w:pPr>
      <w:r w:rsidRPr="00005636">
        <w:rPr>
          <w:rFonts w:ascii="Times New Roman" w:hAnsi="Times New Roman"/>
          <w:sz w:val="28"/>
          <w:szCs w:val="24"/>
          <w:lang w:eastAsia="ru-RU"/>
        </w:rPr>
        <w:t>увеличение возможностей участия в</w:t>
      </w:r>
      <w:r>
        <w:rPr>
          <w:rFonts w:ascii="Times New Roman" w:hAnsi="Times New Roman"/>
          <w:sz w:val="28"/>
          <w:szCs w:val="24"/>
          <w:lang w:eastAsia="ru-RU"/>
        </w:rPr>
        <w:t> </w:t>
      </w:r>
      <w:r w:rsidRPr="00005636">
        <w:rPr>
          <w:rFonts w:ascii="Times New Roman" w:hAnsi="Times New Roman"/>
          <w:sz w:val="28"/>
          <w:szCs w:val="24"/>
          <w:lang w:eastAsia="ru-RU"/>
        </w:rPr>
        <w:t>спортивных мероприятиях спортсменов с</w:t>
      </w:r>
      <w:r>
        <w:rPr>
          <w:rFonts w:ascii="Times New Roman" w:hAnsi="Times New Roman"/>
          <w:sz w:val="28"/>
          <w:szCs w:val="24"/>
          <w:lang w:eastAsia="ru-RU"/>
        </w:rPr>
        <w:t> </w:t>
      </w:r>
      <w:r w:rsidRPr="00005636">
        <w:rPr>
          <w:rFonts w:ascii="Times New Roman" w:hAnsi="Times New Roman"/>
          <w:sz w:val="28"/>
          <w:szCs w:val="24"/>
          <w:lang w:eastAsia="ru-RU"/>
        </w:rPr>
        <w:t>ограниченными возможностями.</w:t>
      </w:r>
    </w:p>
    <w:p w:rsidR="002D1E45" w:rsidRDefault="002D1E45" w:rsidP="00005636">
      <w:pPr>
        <w:spacing w:after="0" w:line="240" w:lineRule="auto"/>
        <w:jc w:val="right"/>
        <w:rPr>
          <w:rFonts w:ascii="Times New Roman" w:hAnsi="Times New Roman"/>
          <w:sz w:val="28"/>
          <w:szCs w:val="28"/>
        </w:rPr>
      </w:pPr>
    </w:p>
    <w:p w:rsidR="002D1E45" w:rsidRDefault="002D1E45" w:rsidP="00005636">
      <w:pPr>
        <w:spacing w:after="0" w:line="240" w:lineRule="auto"/>
        <w:jc w:val="right"/>
        <w:rPr>
          <w:rFonts w:ascii="Times New Roman" w:hAnsi="Times New Roman"/>
          <w:sz w:val="28"/>
          <w:szCs w:val="28"/>
        </w:rPr>
      </w:pPr>
    </w:p>
    <w:p w:rsidR="002D1E45" w:rsidRDefault="002D1E45" w:rsidP="00005636">
      <w:pPr>
        <w:spacing w:after="0" w:line="240" w:lineRule="auto"/>
        <w:jc w:val="right"/>
        <w:rPr>
          <w:rFonts w:ascii="Times New Roman" w:hAnsi="Times New Roman"/>
          <w:sz w:val="28"/>
          <w:szCs w:val="28"/>
        </w:rPr>
      </w:pPr>
    </w:p>
    <w:p w:rsidR="002D1E45" w:rsidRPr="00005636" w:rsidRDefault="002D1E45" w:rsidP="00005636">
      <w:pPr>
        <w:spacing w:after="0" w:line="240" w:lineRule="auto"/>
        <w:jc w:val="right"/>
        <w:rPr>
          <w:rFonts w:ascii="Times New Roman" w:hAnsi="Times New Roman"/>
          <w:sz w:val="28"/>
          <w:szCs w:val="28"/>
        </w:rPr>
      </w:pPr>
      <w:r w:rsidRPr="00005636">
        <w:rPr>
          <w:rFonts w:ascii="Times New Roman" w:hAnsi="Times New Roman"/>
          <w:sz w:val="28"/>
          <w:szCs w:val="28"/>
        </w:rPr>
        <w:t xml:space="preserve">Таблица </w:t>
      </w:r>
      <w:r w:rsidRPr="00005636">
        <w:rPr>
          <w:rFonts w:ascii="Times New Roman" w:hAnsi="Times New Roman"/>
          <w:sz w:val="28"/>
          <w:szCs w:val="28"/>
        </w:rPr>
        <w:fldChar w:fldCharType="begin"/>
      </w:r>
      <w:r w:rsidRPr="00005636">
        <w:rPr>
          <w:rFonts w:ascii="Times New Roman" w:hAnsi="Times New Roman"/>
          <w:sz w:val="28"/>
          <w:szCs w:val="28"/>
        </w:rPr>
        <w:instrText xml:space="preserve"> SEQ Таблица \* ARABIC </w:instrText>
      </w:r>
      <w:r w:rsidRPr="00005636">
        <w:rPr>
          <w:rFonts w:ascii="Times New Roman" w:hAnsi="Times New Roman"/>
          <w:sz w:val="28"/>
          <w:szCs w:val="28"/>
        </w:rPr>
        <w:fldChar w:fldCharType="separate"/>
      </w:r>
      <w:r>
        <w:rPr>
          <w:rFonts w:ascii="Times New Roman" w:hAnsi="Times New Roman"/>
          <w:noProof/>
          <w:sz w:val="28"/>
          <w:szCs w:val="28"/>
        </w:rPr>
        <w:t>56</w:t>
      </w:r>
      <w:r w:rsidRPr="00005636">
        <w:rPr>
          <w:rFonts w:ascii="Times New Roman" w:hAnsi="Times New Roman"/>
          <w:sz w:val="28"/>
          <w:szCs w:val="28"/>
        </w:rPr>
        <w:fldChar w:fldCharType="end"/>
      </w:r>
    </w:p>
    <w:p w:rsidR="002D1E45" w:rsidRPr="00005636" w:rsidRDefault="002D1E45" w:rsidP="00005636">
      <w:pPr>
        <w:spacing w:after="120" w:line="240" w:lineRule="auto"/>
        <w:jc w:val="center"/>
        <w:rPr>
          <w:rFonts w:ascii="Times New Roman" w:hAnsi="Times New Roman"/>
          <w:sz w:val="28"/>
          <w:szCs w:val="24"/>
          <w:lang w:eastAsia="ru-RU"/>
        </w:rPr>
      </w:pPr>
      <w:r w:rsidRPr="00005636">
        <w:rPr>
          <w:rFonts w:ascii="Times New Roman" w:hAnsi="Times New Roman"/>
          <w:sz w:val="28"/>
          <w:szCs w:val="24"/>
          <w:lang w:eastAsia="ru-RU"/>
        </w:rPr>
        <w:t>Расчёт потребности в</w:t>
      </w:r>
      <w:r>
        <w:rPr>
          <w:rFonts w:ascii="Times New Roman" w:hAnsi="Times New Roman"/>
          <w:sz w:val="28"/>
          <w:szCs w:val="24"/>
          <w:lang w:eastAsia="ru-RU"/>
        </w:rPr>
        <w:t> </w:t>
      </w:r>
      <w:r w:rsidRPr="00005636">
        <w:rPr>
          <w:rFonts w:ascii="Times New Roman" w:hAnsi="Times New Roman"/>
          <w:sz w:val="28"/>
          <w:szCs w:val="24"/>
          <w:lang w:eastAsia="ru-RU"/>
        </w:rPr>
        <w:t>объектах физической культуры и</w:t>
      </w:r>
      <w:r>
        <w:rPr>
          <w:rFonts w:ascii="Times New Roman" w:hAnsi="Times New Roman"/>
          <w:sz w:val="28"/>
          <w:szCs w:val="24"/>
          <w:lang w:eastAsia="ru-RU"/>
        </w:rPr>
        <w:t> </w:t>
      </w:r>
      <w:r w:rsidRPr="00005636">
        <w:rPr>
          <w:rFonts w:ascii="Times New Roman" w:hAnsi="Times New Roman"/>
          <w:sz w:val="28"/>
          <w:szCs w:val="24"/>
          <w:lang w:eastAsia="ru-RU"/>
        </w:rPr>
        <w:t>спорта</w:t>
      </w:r>
    </w:p>
    <w:tbl>
      <w:tblPr>
        <w:tblW w:w="10906" w:type="dxa"/>
        <w:jc w:val="center"/>
        <w:tblLayout w:type="fixed"/>
        <w:tblLook w:val="00A0"/>
      </w:tblPr>
      <w:tblGrid>
        <w:gridCol w:w="1838"/>
        <w:gridCol w:w="992"/>
        <w:gridCol w:w="991"/>
        <w:gridCol w:w="851"/>
        <w:gridCol w:w="850"/>
        <w:gridCol w:w="991"/>
        <w:gridCol w:w="851"/>
        <w:gridCol w:w="850"/>
        <w:gridCol w:w="991"/>
        <w:gridCol w:w="851"/>
        <w:gridCol w:w="850"/>
      </w:tblGrid>
      <w:tr w:rsidR="002D1E45" w:rsidRPr="00005636" w:rsidTr="007A39E2">
        <w:trPr>
          <w:trHeight w:val="283"/>
          <w:tblHeader/>
          <w:jc w:val="center"/>
        </w:trPr>
        <w:tc>
          <w:tcPr>
            <w:tcW w:w="1838"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005636" w:rsidRDefault="002D1E45" w:rsidP="00005636">
            <w:pPr>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Населённые пункты</w:t>
            </w:r>
          </w:p>
        </w:tc>
        <w:tc>
          <w:tcPr>
            <w:tcW w:w="992"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005636" w:rsidRDefault="002D1E45" w:rsidP="00005636">
            <w:pPr>
              <w:spacing w:after="0" w:line="240" w:lineRule="auto"/>
              <w:ind w:right="-53"/>
              <w:jc w:val="center"/>
              <w:rPr>
                <w:rFonts w:ascii="Times New Roman" w:hAnsi="Times New Roman"/>
                <w:color w:val="000000"/>
                <w:sz w:val="20"/>
                <w:szCs w:val="20"/>
                <w:lang w:eastAsia="ru-RU"/>
              </w:rPr>
            </w:pPr>
            <w:r w:rsidRPr="00005636">
              <w:rPr>
                <w:rFonts w:ascii="Times New Roman" w:hAnsi="Times New Roman"/>
                <w:color w:val="000000"/>
                <w:sz w:val="20"/>
                <w:szCs w:val="20"/>
                <w:lang w:eastAsia="ru-RU"/>
              </w:rPr>
              <w:t>Население, расчётный срок (20</w:t>
            </w:r>
            <w:r>
              <w:rPr>
                <w:rFonts w:ascii="Times New Roman" w:hAnsi="Times New Roman"/>
                <w:color w:val="000000"/>
                <w:sz w:val="20"/>
                <w:szCs w:val="20"/>
                <w:lang w:eastAsia="ru-RU"/>
              </w:rPr>
              <w:t xml:space="preserve">40 </w:t>
            </w:r>
            <w:r w:rsidRPr="00005636">
              <w:rPr>
                <w:rFonts w:ascii="Times New Roman" w:hAnsi="Times New Roman"/>
                <w:color w:val="000000"/>
                <w:sz w:val="20"/>
                <w:szCs w:val="20"/>
                <w:lang w:eastAsia="ru-RU"/>
              </w:rPr>
              <w:t>г.)</w:t>
            </w:r>
          </w:p>
        </w:tc>
        <w:tc>
          <w:tcPr>
            <w:tcW w:w="2692" w:type="dxa"/>
            <w:gridSpan w:val="3"/>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2D1E45" w:rsidRPr="00005636" w:rsidRDefault="002D1E45" w:rsidP="00005636">
            <w:pPr>
              <w:spacing w:after="0" w:line="240" w:lineRule="auto"/>
              <w:jc w:val="center"/>
              <w:rPr>
                <w:rFonts w:ascii="Times New Roman" w:hAnsi="Times New Roman"/>
                <w:color w:val="000000"/>
                <w:sz w:val="20"/>
                <w:szCs w:val="20"/>
                <w:lang w:eastAsia="ru-RU"/>
              </w:rPr>
            </w:pPr>
            <w:r w:rsidRPr="00005636">
              <w:rPr>
                <w:rFonts w:ascii="Times New Roman" w:hAnsi="Times New Roman"/>
                <w:color w:val="000000"/>
                <w:sz w:val="20"/>
                <w:szCs w:val="20"/>
                <w:lang w:eastAsia="ru-RU"/>
              </w:rPr>
              <w:t>Плоскостные сооружения</w:t>
            </w:r>
          </w:p>
        </w:tc>
        <w:tc>
          <w:tcPr>
            <w:tcW w:w="2692" w:type="dxa"/>
            <w:gridSpan w:val="3"/>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2D1E45" w:rsidRPr="00005636" w:rsidRDefault="002D1E45" w:rsidP="00005636">
            <w:pPr>
              <w:spacing w:after="0" w:line="240" w:lineRule="auto"/>
              <w:jc w:val="center"/>
              <w:rPr>
                <w:rFonts w:ascii="Times New Roman" w:hAnsi="Times New Roman"/>
                <w:color w:val="000000"/>
                <w:sz w:val="20"/>
                <w:szCs w:val="20"/>
                <w:lang w:eastAsia="ru-RU"/>
              </w:rPr>
            </w:pPr>
            <w:r w:rsidRPr="00005636">
              <w:rPr>
                <w:rFonts w:ascii="Times New Roman" w:hAnsi="Times New Roman"/>
                <w:color w:val="000000"/>
                <w:sz w:val="20"/>
                <w:szCs w:val="20"/>
                <w:lang w:eastAsia="ru-RU"/>
              </w:rPr>
              <w:t>Спортивные залы</w:t>
            </w:r>
          </w:p>
        </w:tc>
        <w:tc>
          <w:tcPr>
            <w:tcW w:w="2692" w:type="dxa"/>
            <w:gridSpan w:val="3"/>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2D1E45" w:rsidRPr="00005636" w:rsidRDefault="002D1E45" w:rsidP="00005636">
            <w:pPr>
              <w:spacing w:after="0" w:line="240" w:lineRule="auto"/>
              <w:jc w:val="center"/>
              <w:rPr>
                <w:rFonts w:ascii="Times New Roman" w:hAnsi="Times New Roman"/>
                <w:color w:val="000000"/>
                <w:sz w:val="20"/>
                <w:szCs w:val="20"/>
                <w:lang w:eastAsia="ru-RU"/>
              </w:rPr>
            </w:pPr>
            <w:r w:rsidRPr="00005636">
              <w:rPr>
                <w:rFonts w:ascii="Times New Roman" w:hAnsi="Times New Roman"/>
                <w:color w:val="000000"/>
                <w:sz w:val="20"/>
                <w:szCs w:val="20"/>
                <w:lang w:eastAsia="ru-RU"/>
              </w:rPr>
              <w:t>Бассейны</w:t>
            </w:r>
          </w:p>
        </w:tc>
      </w:tr>
      <w:tr w:rsidR="002D1E45" w:rsidRPr="00005636" w:rsidTr="007A39E2">
        <w:trPr>
          <w:trHeight w:val="283"/>
          <w:tblHeader/>
          <w:jc w:val="center"/>
        </w:trPr>
        <w:tc>
          <w:tcPr>
            <w:tcW w:w="1838" w:type="dxa"/>
            <w:vMerge/>
            <w:tcBorders>
              <w:top w:val="single" w:sz="4" w:space="0" w:color="auto"/>
              <w:left w:val="single" w:sz="4" w:space="0" w:color="auto"/>
              <w:bottom w:val="single" w:sz="4" w:space="0" w:color="auto"/>
              <w:right w:val="single" w:sz="4" w:space="0" w:color="auto"/>
            </w:tcBorders>
            <w:vAlign w:val="center"/>
          </w:tcPr>
          <w:p w:rsidR="002D1E45" w:rsidRPr="00005636" w:rsidRDefault="002D1E45" w:rsidP="00005636">
            <w:pPr>
              <w:spacing w:after="0" w:line="240" w:lineRule="auto"/>
              <w:rPr>
                <w:rFonts w:ascii="Times New Roman" w:hAnsi="Times New Roman"/>
                <w:color w:val="000000"/>
                <w:sz w:val="20"/>
                <w:szCs w:val="20"/>
                <w:lang w:eastAsia="ru-RU"/>
              </w:rPr>
            </w:pPr>
          </w:p>
        </w:tc>
        <w:tc>
          <w:tcPr>
            <w:tcW w:w="992" w:type="dxa"/>
            <w:vMerge/>
            <w:tcBorders>
              <w:top w:val="single" w:sz="4" w:space="0" w:color="auto"/>
              <w:left w:val="single" w:sz="4" w:space="0" w:color="auto"/>
              <w:bottom w:val="single" w:sz="4" w:space="0" w:color="auto"/>
              <w:right w:val="single" w:sz="4" w:space="0" w:color="auto"/>
            </w:tcBorders>
            <w:vAlign w:val="center"/>
          </w:tcPr>
          <w:p w:rsidR="002D1E45" w:rsidRPr="00005636" w:rsidRDefault="002D1E45" w:rsidP="00005636">
            <w:pPr>
              <w:spacing w:after="0" w:line="240" w:lineRule="auto"/>
              <w:rPr>
                <w:rFonts w:ascii="Times New Roman" w:hAnsi="Times New Roman"/>
                <w:color w:val="000000"/>
                <w:sz w:val="20"/>
                <w:szCs w:val="20"/>
                <w:lang w:eastAsia="ru-RU"/>
              </w:rPr>
            </w:pPr>
          </w:p>
        </w:tc>
        <w:tc>
          <w:tcPr>
            <w:tcW w:w="99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005636" w:rsidRDefault="002D1E45" w:rsidP="00005636">
            <w:pPr>
              <w:spacing w:after="0" w:line="240" w:lineRule="auto"/>
              <w:jc w:val="center"/>
              <w:rPr>
                <w:rFonts w:ascii="Times New Roman" w:hAnsi="Times New Roman"/>
                <w:color w:val="000000"/>
                <w:sz w:val="20"/>
                <w:szCs w:val="20"/>
                <w:lang w:eastAsia="ru-RU"/>
              </w:rPr>
            </w:pPr>
            <w:r w:rsidRPr="00005636">
              <w:rPr>
                <w:rFonts w:ascii="Times New Roman" w:hAnsi="Times New Roman"/>
                <w:color w:val="000000"/>
                <w:sz w:val="20"/>
                <w:szCs w:val="20"/>
                <w:lang w:eastAsia="ru-RU"/>
              </w:rPr>
              <w:t>Нормативная потребность (м</w:t>
            </w:r>
            <w:r w:rsidRPr="00005636">
              <w:rPr>
                <w:rFonts w:ascii="Times New Roman" w:hAnsi="Times New Roman"/>
                <w:color w:val="000000"/>
                <w:sz w:val="20"/>
                <w:szCs w:val="20"/>
                <w:vertAlign w:val="superscript"/>
                <w:lang w:eastAsia="ru-RU"/>
              </w:rPr>
              <w:t>2</w:t>
            </w:r>
            <w:r w:rsidRPr="00005636">
              <w:rPr>
                <w:rFonts w:ascii="Times New Roman" w:hAnsi="Times New Roman"/>
                <w:color w:val="000000"/>
                <w:sz w:val="20"/>
                <w:szCs w:val="20"/>
                <w:lang w:eastAsia="ru-RU"/>
              </w:rPr>
              <w:t>)</w:t>
            </w:r>
          </w:p>
        </w:tc>
        <w:tc>
          <w:tcPr>
            <w:tcW w:w="85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005636" w:rsidRDefault="002D1E45" w:rsidP="00005636">
            <w:pPr>
              <w:spacing w:after="0" w:line="240" w:lineRule="auto"/>
              <w:jc w:val="center"/>
              <w:rPr>
                <w:rFonts w:ascii="Times New Roman" w:hAnsi="Times New Roman"/>
                <w:color w:val="000000"/>
                <w:sz w:val="20"/>
                <w:szCs w:val="20"/>
                <w:lang w:eastAsia="ru-RU"/>
              </w:rPr>
            </w:pPr>
            <w:r w:rsidRPr="00005636">
              <w:rPr>
                <w:rFonts w:ascii="Times New Roman" w:hAnsi="Times New Roman"/>
                <w:color w:val="000000"/>
                <w:sz w:val="20"/>
                <w:szCs w:val="20"/>
                <w:lang w:eastAsia="ru-RU"/>
              </w:rPr>
              <w:t>Существующие, м</w:t>
            </w:r>
            <w:r w:rsidRPr="00005636">
              <w:rPr>
                <w:rFonts w:ascii="Times New Roman" w:hAnsi="Times New Roman"/>
                <w:color w:val="000000"/>
                <w:sz w:val="20"/>
                <w:szCs w:val="20"/>
                <w:vertAlign w:val="superscript"/>
                <w:lang w:eastAsia="ru-RU"/>
              </w:rPr>
              <w:t>2</w:t>
            </w:r>
          </w:p>
        </w:tc>
        <w:tc>
          <w:tcPr>
            <w:tcW w:w="85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005636" w:rsidRDefault="002D1E45" w:rsidP="00005636">
            <w:pPr>
              <w:spacing w:after="0" w:line="240" w:lineRule="auto"/>
              <w:jc w:val="center"/>
              <w:rPr>
                <w:rFonts w:ascii="Times New Roman" w:hAnsi="Times New Roman"/>
                <w:color w:val="000000"/>
                <w:sz w:val="20"/>
                <w:szCs w:val="20"/>
                <w:lang w:eastAsia="ru-RU"/>
              </w:rPr>
            </w:pPr>
            <w:r w:rsidRPr="00005636">
              <w:rPr>
                <w:rFonts w:ascii="Times New Roman" w:hAnsi="Times New Roman"/>
                <w:color w:val="000000"/>
                <w:sz w:val="20"/>
                <w:szCs w:val="20"/>
                <w:lang w:eastAsia="ru-RU"/>
              </w:rPr>
              <w:t>Дефицит (-) / Избыток (+)</w:t>
            </w:r>
          </w:p>
        </w:tc>
        <w:tc>
          <w:tcPr>
            <w:tcW w:w="99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005636" w:rsidRDefault="002D1E45" w:rsidP="00005636">
            <w:pPr>
              <w:spacing w:after="0" w:line="240" w:lineRule="auto"/>
              <w:jc w:val="center"/>
              <w:rPr>
                <w:rFonts w:ascii="Times New Roman" w:hAnsi="Times New Roman"/>
                <w:color w:val="000000"/>
                <w:sz w:val="20"/>
                <w:szCs w:val="20"/>
                <w:lang w:eastAsia="ru-RU"/>
              </w:rPr>
            </w:pPr>
            <w:r w:rsidRPr="00005636">
              <w:rPr>
                <w:rFonts w:ascii="Times New Roman" w:hAnsi="Times New Roman"/>
                <w:color w:val="000000"/>
                <w:sz w:val="20"/>
                <w:szCs w:val="20"/>
                <w:lang w:eastAsia="ru-RU"/>
              </w:rPr>
              <w:t>Нормативная потребность (м</w:t>
            </w:r>
            <w:r w:rsidRPr="00005636">
              <w:rPr>
                <w:rFonts w:ascii="Times New Roman" w:hAnsi="Times New Roman"/>
                <w:color w:val="000000"/>
                <w:sz w:val="20"/>
                <w:szCs w:val="20"/>
                <w:vertAlign w:val="superscript"/>
                <w:lang w:eastAsia="ru-RU"/>
              </w:rPr>
              <w:t>2</w:t>
            </w:r>
            <w:r w:rsidRPr="00005636">
              <w:rPr>
                <w:rFonts w:ascii="Times New Roman" w:hAnsi="Times New Roman"/>
                <w:color w:val="000000"/>
                <w:sz w:val="20"/>
                <w:szCs w:val="20"/>
                <w:lang w:eastAsia="ru-RU"/>
              </w:rPr>
              <w:t>)</w:t>
            </w:r>
          </w:p>
        </w:tc>
        <w:tc>
          <w:tcPr>
            <w:tcW w:w="85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005636" w:rsidRDefault="002D1E45" w:rsidP="00005636">
            <w:pPr>
              <w:spacing w:after="0" w:line="240" w:lineRule="auto"/>
              <w:jc w:val="center"/>
              <w:rPr>
                <w:rFonts w:ascii="Times New Roman" w:hAnsi="Times New Roman"/>
                <w:color w:val="000000"/>
                <w:sz w:val="20"/>
                <w:szCs w:val="20"/>
                <w:lang w:eastAsia="ru-RU"/>
              </w:rPr>
            </w:pPr>
            <w:r w:rsidRPr="00005636">
              <w:rPr>
                <w:rFonts w:ascii="Times New Roman" w:hAnsi="Times New Roman"/>
                <w:color w:val="000000"/>
                <w:sz w:val="20"/>
                <w:szCs w:val="20"/>
                <w:lang w:eastAsia="ru-RU"/>
              </w:rPr>
              <w:t>Существующие, м</w:t>
            </w:r>
            <w:r w:rsidRPr="00005636">
              <w:rPr>
                <w:rFonts w:ascii="Times New Roman" w:hAnsi="Times New Roman"/>
                <w:color w:val="000000"/>
                <w:sz w:val="20"/>
                <w:szCs w:val="20"/>
                <w:vertAlign w:val="superscript"/>
                <w:lang w:eastAsia="ru-RU"/>
              </w:rPr>
              <w:t>2</w:t>
            </w:r>
          </w:p>
        </w:tc>
        <w:tc>
          <w:tcPr>
            <w:tcW w:w="85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005636" w:rsidRDefault="002D1E45" w:rsidP="00005636">
            <w:pPr>
              <w:spacing w:after="0" w:line="240" w:lineRule="auto"/>
              <w:jc w:val="center"/>
              <w:rPr>
                <w:rFonts w:ascii="Times New Roman" w:hAnsi="Times New Roman"/>
                <w:color w:val="000000"/>
                <w:sz w:val="20"/>
                <w:szCs w:val="20"/>
                <w:lang w:eastAsia="ru-RU"/>
              </w:rPr>
            </w:pPr>
            <w:r w:rsidRPr="00005636">
              <w:rPr>
                <w:rFonts w:ascii="Times New Roman" w:hAnsi="Times New Roman"/>
                <w:color w:val="000000"/>
                <w:sz w:val="20"/>
                <w:szCs w:val="20"/>
                <w:lang w:eastAsia="ru-RU"/>
              </w:rPr>
              <w:t>Дефицит (-) / Избыток (+)</w:t>
            </w:r>
          </w:p>
        </w:tc>
        <w:tc>
          <w:tcPr>
            <w:tcW w:w="99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005636" w:rsidRDefault="002D1E45" w:rsidP="00005636">
            <w:pPr>
              <w:spacing w:after="0" w:line="240" w:lineRule="auto"/>
              <w:jc w:val="center"/>
              <w:rPr>
                <w:rFonts w:ascii="Times New Roman" w:hAnsi="Times New Roman"/>
                <w:color w:val="000000"/>
                <w:sz w:val="20"/>
                <w:szCs w:val="20"/>
                <w:lang w:eastAsia="ru-RU"/>
              </w:rPr>
            </w:pPr>
            <w:r w:rsidRPr="00005636">
              <w:rPr>
                <w:rFonts w:ascii="Times New Roman" w:hAnsi="Times New Roman"/>
                <w:color w:val="000000"/>
                <w:sz w:val="20"/>
                <w:szCs w:val="20"/>
                <w:lang w:eastAsia="ru-RU"/>
              </w:rPr>
              <w:t>Нормативная потребность (м</w:t>
            </w:r>
            <w:r w:rsidRPr="00005636">
              <w:rPr>
                <w:rFonts w:ascii="Times New Roman" w:hAnsi="Times New Roman"/>
                <w:color w:val="000000"/>
                <w:sz w:val="20"/>
                <w:szCs w:val="20"/>
                <w:vertAlign w:val="superscript"/>
                <w:lang w:eastAsia="ru-RU"/>
              </w:rPr>
              <w:t>2</w:t>
            </w:r>
            <w:r w:rsidRPr="00005636">
              <w:rPr>
                <w:rFonts w:ascii="Times New Roman" w:hAnsi="Times New Roman"/>
                <w:color w:val="000000"/>
                <w:sz w:val="20"/>
                <w:szCs w:val="20"/>
                <w:lang w:eastAsia="ru-RU"/>
              </w:rPr>
              <w:t>)</w:t>
            </w:r>
          </w:p>
        </w:tc>
        <w:tc>
          <w:tcPr>
            <w:tcW w:w="85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005636" w:rsidRDefault="002D1E45" w:rsidP="00005636">
            <w:pPr>
              <w:spacing w:after="0" w:line="240" w:lineRule="auto"/>
              <w:jc w:val="center"/>
              <w:rPr>
                <w:rFonts w:ascii="Times New Roman" w:hAnsi="Times New Roman"/>
                <w:color w:val="000000"/>
                <w:sz w:val="20"/>
                <w:szCs w:val="20"/>
                <w:lang w:eastAsia="ru-RU"/>
              </w:rPr>
            </w:pPr>
            <w:r w:rsidRPr="00005636">
              <w:rPr>
                <w:rFonts w:ascii="Times New Roman" w:hAnsi="Times New Roman"/>
                <w:color w:val="000000"/>
                <w:sz w:val="20"/>
                <w:szCs w:val="20"/>
                <w:lang w:eastAsia="ru-RU"/>
              </w:rPr>
              <w:t>Существующие, м</w:t>
            </w:r>
            <w:r w:rsidRPr="00005636">
              <w:rPr>
                <w:rFonts w:ascii="Times New Roman" w:hAnsi="Times New Roman"/>
                <w:color w:val="000000"/>
                <w:sz w:val="20"/>
                <w:szCs w:val="20"/>
                <w:vertAlign w:val="superscript"/>
                <w:lang w:eastAsia="ru-RU"/>
              </w:rPr>
              <w:t>2</w:t>
            </w:r>
          </w:p>
        </w:tc>
        <w:tc>
          <w:tcPr>
            <w:tcW w:w="85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005636" w:rsidRDefault="002D1E45" w:rsidP="00005636">
            <w:pPr>
              <w:spacing w:after="0" w:line="240" w:lineRule="auto"/>
              <w:jc w:val="center"/>
              <w:rPr>
                <w:rFonts w:ascii="Times New Roman" w:hAnsi="Times New Roman"/>
                <w:color w:val="000000"/>
                <w:sz w:val="20"/>
                <w:szCs w:val="20"/>
                <w:lang w:eastAsia="ru-RU"/>
              </w:rPr>
            </w:pPr>
            <w:r w:rsidRPr="00005636">
              <w:rPr>
                <w:rFonts w:ascii="Times New Roman" w:hAnsi="Times New Roman"/>
                <w:color w:val="000000"/>
                <w:sz w:val="20"/>
                <w:szCs w:val="20"/>
                <w:lang w:eastAsia="ru-RU"/>
              </w:rPr>
              <w:t>Дефицит (-) / Избыток (+)</w:t>
            </w:r>
          </w:p>
        </w:tc>
      </w:tr>
      <w:tr w:rsidR="002D1E45" w:rsidRPr="00005636" w:rsidTr="006B6C85">
        <w:trPr>
          <w:trHeight w:val="283"/>
          <w:jc w:val="center"/>
        </w:trPr>
        <w:tc>
          <w:tcPr>
            <w:tcW w:w="183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tcPr>
          <w:p w:rsidR="002D1E45" w:rsidRPr="007A39E2" w:rsidRDefault="002D1E45" w:rsidP="006B6C85">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г. Куйбышев</w:t>
            </w:r>
          </w:p>
        </w:tc>
        <w:tc>
          <w:tcPr>
            <w:tcW w:w="992"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837197" w:rsidRDefault="002D1E45" w:rsidP="006B6C85">
            <w:pPr>
              <w:spacing w:after="0" w:line="240" w:lineRule="auto"/>
              <w:jc w:val="center"/>
              <w:rPr>
                <w:rFonts w:ascii="Times New Roman" w:hAnsi="Times New Roman"/>
                <w:color w:val="000000"/>
                <w:sz w:val="20"/>
                <w:szCs w:val="20"/>
                <w:lang w:eastAsia="ru-RU"/>
              </w:rPr>
            </w:pPr>
            <w:r w:rsidRPr="005F78DB">
              <w:rPr>
                <w:rFonts w:ascii="Times New Roman" w:hAnsi="Times New Roman"/>
                <w:color w:val="000000"/>
                <w:sz w:val="20"/>
                <w:szCs w:val="20"/>
                <w:lang w:eastAsia="ru-RU"/>
              </w:rPr>
              <w:t>38950</w:t>
            </w:r>
          </w:p>
        </w:tc>
        <w:tc>
          <w:tcPr>
            <w:tcW w:w="99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837197" w:rsidRDefault="002D1E45" w:rsidP="006B6C85">
            <w:pPr>
              <w:spacing w:after="0" w:line="240" w:lineRule="auto"/>
              <w:jc w:val="center"/>
              <w:rPr>
                <w:rFonts w:ascii="Times New Roman" w:hAnsi="Times New Roman"/>
                <w:color w:val="000000"/>
                <w:sz w:val="20"/>
                <w:szCs w:val="20"/>
                <w:lang w:eastAsia="ru-RU"/>
              </w:rPr>
            </w:pPr>
            <w:r w:rsidRPr="005F78DB">
              <w:rPr>
                <w:rFonts w:ascii="Times New Roman" w:hAnsi="Times New Roman"/>
                <w:color w:val="000000"/>
                <w:sz w:val="20"/>
                <w:szCs w:val="20"/>
                <w:lang w:eastAsia="ru-RU"/>
              </w:rPr>
              <w:t>75953</w:t>
            </w:r>
          </w:p>
        </w:tc>
        <w:tc>
          <w:tcPr>
            <w:tcW w:w="85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837197" w:rsidRDefault="002D1E45" w:rsidP="006B6C85">
            <w:pPr>
              <w:spacing w:after="0" w:line="240" w:lineRule="auto"/>
              <w:jc w:val="center"/>
              <w:rPr>
                <w:rFonts w:ascii="Times New Roman" w:hAnsi="Times New Roman"/>
                <w:color w:val="000000"/>
                <w:sz w:val="20"/>
                <w:szCs w:val="20"/>
                <w:lang w:eastAsia="ru-RU"/>
              </w:rPr>
            </w:pPr>
            <w:r w:rsidRPr="005F78DB">
              <w:rPr>
                <w:rFonts w:ascii="Times New Roman" w:hAnsi="Times New Roman"/>
                <w:color w:val="000000"/>
                <w:sz w:val="20"/>
                <w:szCs w:val="20"/>
                <w:lang w:eastAsia="ru-RU"/>
              </w:rPr>
              <w:t>77347</w:t>
            </w:r>
          </w:p>
        </w:tc>
        <w:tc>
          <w:tcPr>
            <w:tcW w:w="85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837197" w:rsidRDefault="002D1E45" w:rsidP="006B6C85">
            <w:pPr>
              <w:spacing w:after="0" w:line="240" w:lineRule="auto"/>
              <w:jc w:val="center"/>
              <w:rPr>
                <w:rFonts w:ascii="Times New Roman" w:hAnsi="Times New Roman"/>
                <w:color w:val="000000"/>
                <w:sz w:val="20"/>
                <w:szCs w:val="20"/>
                <w:lang w:eastAsia="ru-RU"/>
              </w:rPr>
            </w:pPr>
            <w:r w:rsidRPr="005F78DB">
              <w:rPr>
                <w:rFonts w:ascii="Times New Roman" w:hAnsi="Times New Roman"/>
                <w:color w:val="000000"/>
                <w:sz w:val="20"/>
                <w:szCs w:val="20"/>
                <w:lang w:eastAsia="ru-RU"/>
              </w:rPr>
              <w:t>1394</w:t>
            </w:r>
          </w:p>
        </w:tc>
        <w:tc>
          <w:tcPr>
            <w:tcW w:w="991" w:type="dxa"/>
            <w:tcBorders>
              <w:top w:val="nil"/>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837197" w:rsidRDefault="002D1E45" w:rsidP="006B6C85">
            <w:pPr>
              <w:spacing w:after="0" w:line="240" w:lineRule="auto"/>
              <w:jc w:val="center"/>
              <w:rPr>
                <w:rFonts w:ascii="Times New Roman" w:hAnsi="Times New Roman"/>
                <w:color w:val="000000"/>
                <w:sz w:val="20"/>
                <w:szCs w:val="20"/>
                <w:lang w:eastAsia="ru-RU"/>
              </w:rPr>
            </w:pPr>
            <w:r w:rsidRPr="005F78DB">
              <w:rPr>
                <w:rFonts w:ascii="Times New Roman" w:hAnsi="Times New Roman"/>
                <w:color w:val="000000"/>
                <w:sz w:val="20"/>
                <w:szCs w:val="20"/>
                <w:lang w:eastAsia="ru-RU"/>
              </w:rPr>
              <w:t>13633</w:t>
            </w:r>
          </w:p>
        </w:tc>
        <w:tc>
          <w:tcPr>
            <w:tcW w:w="851" w:type="dxa"/>
            <w:tcBorders>
              <w:top w:val="nil"/>
              <w:left w:val="nil"/>
              <w:bottom w:val="single" w:sz="4" w:space="0" w:color="auto"/>
              <w:right w:val="single" w:sz="4" w:space="0" w:color="auto"/>
            </w:tcBorders>
            <w:tcMar>
              <w:top w:w="15" w:type="dxa"/>
              <w:left w:w="108" w:type="dxa"/>
              <w:bottom w:w="15" w:type="dxa"/>
              <w:right w:w="108" w:type="dxa"/>
            </w:tcMar>
            <w:vAlign w:val="center"/>
          </w:tcPr>
          <w:p w:rsidR="002D1E45" w:rsidRPr="00837197" w:rsidRDefault="002D1E45" w:rsidP="006B6C85">
            <w:pPr>
              <w:spacing w:after="0" w:line="240" w:lineRule="auto"/>
              <w:jc w:val="center"/>
              <w:rPr>
                <w:rFonts w:ascii="Times New Roman" w:hAnsi="Times New Roman"/>
                <w:color w:val="000000"/>
                <w:sz w:val="20"/>
                <w:szCs w:val="20"/>
                <w:lang w:eastAsia="ru-RU"/>
              </w:rPr>
            </w:pPr>
            <w:r w:rsidRPr="005F78DB">
              <w:rPr>
                <w:rFonts w:ascii="Times New Roman" w:hAnsi="Times New Roman"/>
                <w:color w:val="000000"/>
                <w:sz w:val="20"/>
                <w:szCs w:val="20"/>
                <w:lang w:eastAsia="ru-RU"/>
              </w:rPr>
              <w:t>6374</w:t>
            </w:r>
          </w:p>
        </w:tc>
        <w:tc>
          <w:tcPr>
            <w:tcW w:w="850" w:type="dxa"/>
            <w:tcBorders>
              <w:top w:val="nil"/>
              <w:left w:val="nil"/>
              <w:bottom w:val="single" w:sz="4" w:space="0" w:color="auto"/>
              <w:right w:val="single" w:sz="4" w:space="0" w:color="auto"/>
            </w:tcBorders>
            <w:tcMar>
              <w:top w:w="15" w:type="dxa"/>
              <w:left w:w="108" w:type="dxa"/>
              <w:bottom w:w="15" w:type="dxa"/>
              <w:right w:w="108" w:type="dxa"/>
            </w:tcMar>
            <w:vAlign w:val="center"/>
          </w:tcPr>
          <w:p w:rsidR="002D1E45" w:rsidRPr="00837197" w:rsidRDefault="002D1E45" w:rsidP="006B6C85">
            <w:pPr>
              <w:spacing w:after="0" w:line="240" w:lineRule="auto"/>
              <w:jc w:val="center"/>
              <w:rPr>
                <w:rFonts w:ascii="Times New Roman" w:hAnsi="Times New Roman"/>
                <w:color w:val="000000"/>
                <w:sz w:val="20"/>
                <w:szCs w:val="20"/>
                <w:lang w:eastAsia="ru-RU"/>
              </w:rPr>
            </w:pPr>
            <w:r w:rsidRPr="005F78DB">
              <w:rPr>
                <w:rFonts w:ascii="Times New Roman" w:hAnsi="Times New Roman"/>
                <w:color w:val="000000"/>
                <w:sz w:val="20"/>
                <w:szCs w:val="20"/>
                <w:lang w:eastAsia="ru-RU"/>
              </w:rPr>
              <w:t>-7259</w:t>
            </w:r>
          </w:p>
        </w:tc>
        <w:tc>
          <w:tcPr>
            <w:tcW w:w="99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837197" w:rsidRDefault="002D1E45" w:rsidP="006B6C85">
            <w:pPr>
              <w:spacing w:after="0" w:line="240" w:lineRule="auto"/>
              <w:jc w:val="center"/>
              <w:rPr>
                <w:rFonts w:ascii="Times New Roman" w:hAnsi="Times New Roman"/>
                <w:color w:val="000000"/>
                <w:sz w:val="20"/>
                <w:szCs w:val="20"/>
                <w:lang w:eastAsia="ru-RU"/>
              </w:rPr>
            </w:pPr>
            <w:r w:rsidRPr="006B6C85">
              <w:rPr>
                <w:rFonts w:ascii="Times New Roman" w:hAnsi="Times New Roman"/>
                <w:color w:val="000000"/>
                <w:sz w:val="20"/>
                <w:szCs w:val="20"/>
                <w:lang w:eastAsia="ru-RU"/>
              </w:rPr>
              <w:t>779</w:t>
            </w:r>
          </w:p>
        </w:tc>
        <w:tc>
          <w:tcPr>
            <w:tcW w:w="85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837197" w:rsidRDefault="002D1E45" w:rsidP="006B6C85">
            <w:pPr>
              <w:spacing w:after="0" w:line="240" w:lineRule="auto"/>
              <w:jc w:val="center"/>
              <w:rPr>
                <w:rFonts w:ascii="Times New Roman" w:hAnsi="Times New Roman"/>
                <w:color w:val="000000"/>
                <w:sz w:val="20"/>
                <w:szCs w:val="20"/>
                <w:lang w:eastAsia="ru-RU"/>
              </w:rPr>
            </w:pPr>
            <w:r w:rsidRPr="006B6C85">
              <w:rPr>
                <w:rFonts w:ascii="Times New Roman" w:hAnsi="Times New Roman"/>
                <w:color w:val="000000"/>
                <w:sz w:val="20"/>
                <w:szCs w:val="20"/>
                <w:lang w:eastAsia="ru-RU"/>
              </w:rPr>
              <w:t>457</w:t>
            </w:r>
          </w:p>
        </w:tc>
        <w:tc>
          <w:tcPr>
            <w:tcW w:w="85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837197" w:rsidRDefault="002D1E45" w:rsidP="006B6C85">
            <w:pPr>
              <w:spacing w:after="0" w:line="240" w:lineRule="auto"/>
              <w:jc w:val="center"/>
              <w:rPr>
                <w:rFonts w:ascii="Times New Roman" w:hAnsi="Times New Roman"/>
                <w:color w:val="000000"/>
                <w:sz w:val="20"/>
                <w:szCs w:val="20"/>
                <w:lang w:eastAsia="ru-RU"/>
              </w:rPr>
            </w:pPr>
            <w:r w:rsidRPr="006B6C85">
              <w:rPr>
                <w:rFonts w:ascii="Times New Roman" w:hAnsi="Times New Roman"/>
                <w:color w:val="000000"/>
                <w:sz w:val="20"/>
                <w:szCs w:val="20"/>
                <w:lang w:eastAsia="ru-RU"/>
              </w:rPr>
              <w:t>-322</w:t>
            </w:r>
          </w:p>
        </w:tc>
      </w:tr>
    </w:tbl>
    <w:p w:rsidR="002D1E45" w:rsidRPr="003A7901" w:rsidRDefault="002D1E45" w:rsidP="003A7901">
      <w:pPr>
        <w:spacing w:after="0" w:line="240" w:lineRule="auto"/>
        <w:ind w:firstLine="709"/>
        <w:jc w:val="both"/>
        <w:rPr>
          <w:rFonts w:ascii="Times New Roman" w:hAnsi="Times New Roman"/>
          <w:color w:val="000000"/>
          <w:sz w:val="28"/>
          <w:szCs w:val="28"/>
        </w:rPr>
      </w:pPr>
    </w:p>
    <w:p w:rsidR="002D1E45" w:rsidRDefault="002D1E45" w:rsidP="005C4930">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Н</w:t>
      </w:r>
      <w:r w:rsidRPr="003A7901">
        <w:rPr>
          <w:rFonts w:ascii="Times New Roman" w:hAnsi="Times New Roman"/>
          <w:color w:val="000000"/>
          <w:sz w:val="28"/>
          <w:szCs w:val="28"/>
        </w:rPr>
        <w:t xml:space="preserve">а расчётный срок </w:t>
      </w:r>
      <w:r>
        <w:rPr>
          <w:rFonts w:ascii="Times New Roman" w:hAnsi="Times New Roman"/>
          <w:color w:val="000000"/>
          <w:sz w:val="28"/>
          <w:szCs w:val="28"/>
        </w:rPr>
        <w:t>рекомендуется</w:t>
      </w:r>
      <w:r w:rsidRPr="003A7901">
        <w:rPr>
          <w:rFonts w:ascii="Times New Roman" w:hAnsi="Times New Roman"/>
          <w:color w:val="000000"/>
          <w:sz w:val="28"/>
          <w:szCs w:val="28"/>
        </w:rPr>
        <w:t xml:space="preserve"> предусмотреть строительство</w:t>
      </w:r>
      <w:r>
        <w:rPr>
          <w:rFonts w:ascii="Times New Roman" w:hAnsi="Times New Roman"/>
          <w:color w:val="000000"/>
          <w:sz w:val="28"/>
          <w:szCs w:val="28"/>
        </w:rPr>
        <w:t>:</w:t>
      </w:r>
    </w:p>
    <w:p w:rsidR="002D1E45" w:rsidRDefault="002D1E45" w:rsidP="00D05D06">
      <w:pPr>
        <w:numPr>
          <w:ilvl w:val="0"/>
          <w:numId w:val="60"/>
        </w:numPr>
        <w:spacing w:after="0" w:line="240" w:lineRule="auto"/>
        <w:jc w:val="both"/>
        <w:rPr>
          <w:rFonts w:ascii="Times New Roman" w:hAnsi="Times New Roman"/>
          <w:color w:val="000000"/>
          <w:sz w:val="28"/>
          <w:szCs w:val="28"/>
        </w:rPr>
      </w:pPr>
      <w:r w:rsidRPr="005F78DB">
        <w:rPr>
          <w:rFonts w:ascii="Times New Roman" w:hAnsi="Times New Roman"/>
          <w:color w:val="000000"/>
          <w:sz w:val="28"/>
          <w:szCs w:val="28"/>
        </w:rPr>
        <w:t>Физкультурно-спортивн</w:t>
      </w:r>
      <w:r>
        <w:rPr>
          <w:rFonts w:ascii="Times New Roman" w:hAnsi="Times New Roman"/>
          <w:color w:val="000000"/>
          <w:sz w:val="28"/>
          <w:szCs w:val="28"/>
        </w:rPr>
        <w:t>ого</w:t>
      </w:r>
      <w:r w:rsidRPr="005F78DB">
        <w:rPr>
          <w:rFonts w:ascii="Times New Roman" w:hAnsi="Times New Roman"/>
          <w:color w:val="000000"/>
          <w:sz w:val="28"/>
          <w:szCs w:val="28"/>
        </w:rPr>
        <w:t xml:space="preserve"> центр</w:t>
      </w:r>
      <w:r>
        <w:rPr>
          <w:rFonts w:ascii="Times New Roman" w:hAnsi="Times New Roman"/>
          <w:color w:val="000000"/>
          <w:sz w:val="28"/>
          <w:szCs w:val="28"/>
        </w:rPr>
        <w:t xml:space="preserve">а со </w:t>
      </w:r>
      <w:r w:rsidRPr="005F78DB">
        <w:rPr>
          <w:rFonts w:ascii="Times New Roman" w:hAnsi="Times New Roman"/>
          <w:color w:val="000000"/>
          <w:sz w:val="28"/>
          <w:szCs w:val="28"/>
        </w:rPr>
        <w:t>спортзал</w:t>
      </w:r>
      <w:r>
        <w:rPr>
          <w:rFonts w:ascii="Times New Roman" w:hAnsi="Times New Roman"/>
          <w:color w:val="000000"/>
          <w:sz w:val="28"/>
          <w:szCs w:val="28"/>
        </w:rPr>
        <w:t xml:space="preserve">ами площадью пола </w:t>
      </w:r>
      <w:r w:rsidRPr="005F78DB">
        <w:rPr>
          <w:rFonts w:ascii="Times New Roman" w:hAnsi="Times New Roman"/>
          <w:color w:val="000000"/>
          <w:sz w:val="28"/>
          <w:szCs w:val="28"/>
        </w:rPr>
        <w:t>3260 м</w:t>
      </w:r>
      <w:r w:rsidRPr="005F78DB">
        <w:rPr>
          <w:rFonts w:ascii="Times New Roman" w:hAnsi="Times New Roman"/>
          <w:color w:val="000000"/>
          <w:sz w:val="28"/>
          <w:szCs w:val="28"/>
          <w:vertAlign w:val="superscript"/>
        </w:rPr>
        <w:t>2</w:t>
      </w:r>
      <w:r w:rsidRPr="005F78DB">
        <w:rPr>
          <w:rFonts w:ascii="Times New Roman" w:hAnsi="Times New Roman"/>
          <w:color w:val="000000"/>
          <w:sz w:val="28"/>
          <w:szCs w:val="28"/>
        </w:rPr>
        <w:t>, бассейн</w:t>
      </w:r>
      <w:r>
        <w:rPr>
          <w:rFonts w:ascii="Times New Roman" w:hAnsi="Times New Roman"/>
          <w:color w:val="000000"/>
          <w:sz w:val="28"/>
          <w:szCs w:val="28"/>
        </w:rPr>
        <w:t>ом площадью зеркала воды</w:t>
      </w:r>
      <w:r w:rsidRPr="005F78DB">
        <w:rPr>
          <w:rFonts w:ascii="Times New Roman" w:hAnsi="Times New Roman"/>
          <w:color w:val="000000"/>
          <w:sz w:val="28"/>
          <w:szCs w:val="28"/>
        </w:rPr>
        <w:t xml:space="preserve"> </w:t>
      </w:r>
      <w:r>
        <w:rPr>
          <w:rFonts w:ascii="Times New Roman" w:hAnsi="Times New Roman"/>
          <w:color w:val="000000"/>
          <w:sz w:val="28"/>
          <w:szCs w:val="28"/>
        </w:rPr>
        <w:t>320</w:t>
      </w:r>
      <w:r w:rsidRPr="005F78DB">
        <w:rPr>
          <w:rFonts w:ascii="Times New Roman" w:hAnsi="Times New Roman"/>
          <w:color w:val="000000"/>
          <w:sz w:val="28"/>
          <w:szCs w:val="28"/>
        </w:rPr>
        <w:t xml:space="preserve"> м</w:t>
      </w:r>
      <w:r w:rsidRPr="005F78DB">
        <w:rPr>
          <w:rFonts w:ascii="Times New Roman" w:hAnsi="Times New Roman"/>
          <w:color w:val="000000"/>
          <w:sz w:val="28"/>
          <w:szCs w:val="28"/>
          <w:vertAlign w:val="superscript"/>
        </w:rPr>
        <w:t>2</w:t>
      </w:r>
      <w:r>
        <w:rPr>
          <w:rFonts w:ascii="Times New Roman" w:hAnsi="Times New Roman"/>
          <w:color w:val="000000"/>
          <w:sz w:val="28"/>
          <w:szCs w:val="28"/>
        </w:rPr>
        <w:t>;</w:t>
      </w:r>
    </w:p>
    <w:p w:rsidR="002D1E45" w:rsidRDefault="002D1E45" w:rsidP="00D05D06">
      <w:pPr>
        <w:numPr>
          <w:ilvl w:val="0"/>
          <w:numId w:val="60"/>
        </w:numPr>
        <w:spacing w:after="0" w:line="240" w:lineRule="auto"/>
        <w:jc w:val="both"/>
        <w:rPr>
          <w:rFonts w:ascii="Times New Roman" w:hAnsi="Times New Roman"/>
          <w:color w:val="000000"/>
          <w:sz w:val="28"/>
          <w:szCs w:val="28"/>
        </w:rPr>
      </w:pPr>
      <w:r w:rsidRPr="005F78DB">
        <w:rPr>
          <w:rFonts w:ascii="Times New Roman" w:hAnsi="Times New Roman"/>
          <w:color w:val="000000"/>
          <w:sz w:val="28"/>
          <w:szCs w:val="28"/>
        </w:rPr>
        <w:t>Центр</w:t>
      </w:r>
      <w:r>
        <w:rPr>
          <w:rFonts w:ascii="Times New Roman" w:hAnsi="Times New Roman"/>
          <w:color w:val="000000"/>
          <w:sz w:val="28"/>
          <w:szCs w:val="28"/>
        </w:rPr>
        <w:t>а</w:t>
      </w:r>
      <w:r w:rsidRPr="005F78DB">
        <w:rPr>
          <w:rFonts w:ascii="Times New Roman" w:hAnsi="Times New Roman"/>
          <w:color w:val="000000"/>
          <w:sz w:val="28"/>
          <w:szCs w:val="28"/>
        </w:rPr>
        <w:t xml:space="preserve"> игровых видов спорта с трибунами</w:t>
      </w:r>
      <w:r>
        <w:rPr>
          <w:rFonts w:ascii="Times New Roman" w:hAnsi="Times New Roman"/>
          <w:color w:val="000000"/>
          <w:sz w:val="28"/>
          <w:szCs w:val="28"/>
        </w:rPr>
        <w:t xml:space="preserve"> со </w:t>
      </w:r>
      <w:r w:rsidRPr="005F78DB">
        <w:rPr>
          <w:rFonts w:ascii="Times New Roman" w:hAnsi="Times New Roman"/>
          <w:color w:val="000000"/>
          <w:sz w:val="28"/>
          <w:szCs w:val="28"/>
        </w:rPr>
        <w:t>спортзал</w:t>
      </w:r>
      <w:r>
        <w:rPr>
          <w:rFonts w:ascii="Times New Roman" w:hAnsi="Times New Roman"/>
          <w:color w:val="000000"/>
          <w:sz w:val="28"/>
          <w:szCs w:val="28"/>
        </w:rPr>
        <w:t xml:space="preserve">ами площадью пола </w:t>
      </w:r>
      <w:r w:rsidRPr="00C91B69">
        <w:rPr>
          <w:rFonts w:ascii="Times New Roman" w:hAnsi="Times New Roman"/>
          <w:color w:val="000000"/>
          <w:sz w:val="28"/>
          <w:szCs w:val="28"/>
        </w:rPr>
        <w:t>2000 м</w:t>
      </w:r>
      <w:r w:rsidRPr="00C91B69">
        <w:rPr>
          <w:rFonts w:ascii="Times New Roman" w:hAnsi="Times New Roman"/>
          <w:color w:val="000000"/>
          <w:sz w:val="28"/>
          <w:szCs w:val="28"/>
          <w:vertAlign w:val="superscript"/>
        </w:rPr>
        <w:t>2</w:t>
      </w:r>
      <w:r>
        <w:rPr>
          <w:rFonts w:ascii="Times New Roman" w:hAnsi="Times New Roman"/>
          <w:color w:val="000000"/>
          <w:sz w:val="28"/>
          <w:szCs w:val="28"/>
        </w:rPr>
        <w:t>;</w:t>
      </w:r>
    </w:p>
    <w:p w:rsidR="002D1E45" w:rsidRPr="00143B0F" w:rsidRDefault="002D1E45" w:rsidP="00D05D06">
      <w:pPr>
        <w:numPr>
          <w:ilvl w:val="0"/>
          <w:numId w:val="60"/>
        </w:numPr>
        <w:spacing w:after="0" w:line="240" w:lineRule="auto"/>
        <w:jc w:val="both"/>
        <w:rPr>
          <w:rFonts w:ascii="Times New Roman" w:hAnsi="Times New Roman"/>
          <w:color w:val="000000"/>
          <w:sz w:val="28"/>
          <w:szCs w:val="28"/>
        </w:rPr>
      </w:pPr>
      <w:r w:rsidRPr="00C91B69">
        <w:rPr>
          <w:rFonts w:ascii="Times New Roman" w:hAnsi="Times New Roman"/>
          <w:color w:val="000000"/>
          <w:sz w:val="28"/>
          <w:szCs w:val="28"/>
        </w:rPr>
        <w:t>Физкультурно-оздоровительн</w:t>
      </w:r>
      <w:r>
        <w:rPr>
          <w:rFonts w:ascii="Times New Roman" w:hAnsi="Times New Roman"/>
          <w:color w:val="000000"/>
          <w:sz w:val="28"/>
          <w:szCs w:val="28"/>
        </w:rPr>
        <w:t>ого</w:t>
      </w:r>
      <w:r w:rsidRPr="00C91B69">
        <w:rPr>
          <w:rFonts w:ascii="Times New Roman" w:hAnsi="Times New Roman"/>
          <w:color w:val="000000"/>
          <w:sz w:val="28"/>
          <w:szCs w:val="28"/>
        </w:rPr>
        <w:t xml:space="preserve"> комплекс</w:t>
      </w:r>
      <w:r>
        <w:rPr>
          <w:rFonts w:ascii="Times New Roman" w:hAnsi="Times New Roman"/>
          <w:color w:val="000000"/>
          <w:sz w:val="28"/>
          <w:szCs w:val="28"/>
        </w:rPr>
        <w:t xml:space="preserve">а со </w:t>
      </w:r>
      <w:r w:rsidRPr="005F78DB">
        <w:rPr>
          <w:rFonts w:ascii="Times New Roman" w:hAnsi="Times New Roman"/>
          <w:color w:val="000000"/>
          <w:sz w:val="28"/>
          <w:szCs w:val="28"/>
        </w:rPr>
        <w:t>спортзал</w:t>
      </w:r>
      <w:r>
        <w:rPr>
          <w:rFonts w:ascii="Times New Roman" w:hAnsi="Times New Roman"/>
          <w:color w:val="000000"/>
          <w:sz w:val="28"/>
          <w:szCs w:val="28"/>
        </w:rPr>
        <w:t xml:space="preserve">ами площадью пола </w:t>
      </w:r>
      <w:r w:rsidRPr="00C91B69">
        <w:rPr>
          <w:rFonts w:ascii="Times New Roman" w:hAnsi="Times New Roman"/>
          <w:color w:val="000000"/>
          <w:sz w:val="28"/>
          <w:szCs w:val="28"/>
        </w:rPr>
        <w:t>2000 м</w:t>
      </w:r>
      <w:r w:rsidRPr="00C91B69">
        <w:rPr>
          <w:rFonts w:ascii="Times New Roman" w:hAnsi="Times New Roman"/>
          <w:color w:val="000000"/>
          <w:sz w:val="28"/>
          <w:szCs w:val="28"/>
          <w:vertAlign w:val="superscript"/>
        </w:rPr>
        <w:t>2</w:t>
      </w:r>
      <w:r>
        <w:rPr>
          <w:rFonts w:ascii="Times New Roman" w:hAnsi="Times New Roman"/>
          <w:color w:val="000000"/>
          <w:sz w:val="28"/>
          <w:szCs w:val="28"/>
        </w:rPr>
        <w:t>.</w:t>
      </w:r>
    </w:p>
    <w:p w:rsidR="002D1E45" w:rsidRDefault="002D1E45" w:rsidP="009A3A57">
      <w:pPr>
        <w:spacing w:after="0" w:line="240" w:lineRule="auto"/>
        <w:ind w:firstLine="709"/>
        <w:jc w:val="both"/>
        <w:rPr>
          <w:rFonts w:ascii="Times New Roman" w:hAnsi="Times New Roman"/>
          <w:sz w:val="28"/>
          <w:szCs w:val="28"/>
        </w:rPr>
      </w:pPr>
      <w:r w:rsidRPr="00C91B69">
        <w:rPr>
          <w:rFonts w:ascii="Times New Roman" w:hAnsi="Times New Roman"/>
          <w:sz w:val="28"/>
          <w:szCs w:val="28"/>
        </w:rPr>
        <w:t>Комплексная программа развития социнфраструктуры</w:t>
      </w:r>
      <w:r>
        <w:rPr>
          <w:rFonts w:ascii="Times New Roman" w:hAnsi="Times New Roman"/>
          <w:sz w:val="28"/>
          <w:szCs w:val="28"/>
        </w:rPr>
        <w:t xml:space="preserve"> города также предусматривает к</w:t>
      </w:r>
      <w:r w:rsidRPr="00C91B69">
        <w:rPr>
          <w:rFonts w:ascii="Times New Roman" w:hAnsi="Times New Roman"/>
          <w:sz w:val="28"/>
          <w:szCs w:val="28"/>
        </w:rPr>
        <w:t>апитальный ремонт хоккейных коробок МБУС «СОЦ»</w:t>
      </w:r>
      <w:r>
        <w:rPr>
          <w:rFonts w:ascii="Times New Roman" w:hAnsi="Times New Roman"/>
          <w:sz w:val="28"/>
          <w:szCs w:val="28"/>
        </w:rPr>
        <w:t>.</w:t>
      </w:r>
    </w:p>
    <w:p w:rsidR="002D1E45" w:rsidRDefault="002D1E45" w:rsidP="009A3A57">
      <w:pPr>
        <w:spacing w:after="0" w:line="240" w:lineRule="auto"/>
        <w:ind w:firstLine="709"/>
        <w:jc w:val="both"/>
        <w:rPr>
          <w:rFonts w:ascii="Times New Roman" w:hAnsi="Times New Roman"/>
          <w:sz w:val="28"/>
          <w:szCs w:val="28"/>
        </w:rPr>
      </w:pPr>
      <w:r w:rsidRPr="00B6750B">
        <w:rPr>
          <w:rFonts w:ascii="Times New Roman" w:hAnsi="Times New Roman"/>
          <w:sz w:val="28"/>
          <w:szCs w:val="28"/>
        </w:rPr>
        <w:t xml:space="preserve">Реализация </w:t>
      </w:r>
      <w:r>
        <w:rPr>
          <w:rFonts w:ascii="Times New Roman" w:hAnsi="Times New Roman"/>
          <w:sz w:val="28"/>
          <w:szCs w:val="28"/>
        </w:rPr>
        <w:t>рекомендуемых</w:t>
      </w:r>
      <w:r w:rsidRPr="00B6750B">
        <w:rPr>
          <w:rFonts w:ascii="Times New Roman" w:hAnsi="Times New Roman"/>
          <w:sz w:val="28"/>
          <w:szCs w:val="28"/>
        </w:rPr>
        <w:t xml:space="preserve"> мероприятий позволит оптимизировать сеть объектов социальной инфраструктуры населения через рациональное распределение объектов местного значения на</w:t>
      </w:r>
      <w:r>
        <w:rPr>
          <w:rFonts w:ascii="Times New Roman" w:hAnsi="Times New Roman"/>
          <w:sz w:val="28"/>
          <w:szCs w:val="28"/>
        </w:rPr>
        <w:t> </w:t>
      </w:r>
      <w:r w:rsidRPr="00B6750B">
        <w:rPr>
          <w:rFonts w:ascii="Times New Roman" w:hAnsi="Times New Roman"/>
          <w:sz w:val="28"/>
          <w:szCs w:val="28"/>
        </w:rPr>
        <w:t>территории муниципального образования и</w:t>
      </w:r>
      <w:r>
        <w:rPr>
          <w:rFonts w:ascii="Times New Roman" w:hAnsi="Times New Roman"/>
          <w:sz w:val="28"/>
          <w:szCs w:val="28"/>
        </w:rPr>
        <w:t> </w:t>
      </w:r>
      <w:r w:rsidRPr="00B6750B">
        <w:rPr>
          <w:rFonts w:ascii="Times New Roman" w:hAnsi="Times New Roman"/>
          <w:sz w:val="28"/>
          <w:szCs w:val="28"/>
        </w:rPr>
        <w:t>позволит повысить уровень жизни населения.</w:t>
      </w:r>
    </w:p>
    <w:p w:rsidR="002D1E45" w:rsidRPr="003A7901" w:rsidRDefault="002D1E45" w:rsidP="003A7901">
      <w:pPr>
        <w:spacing w:after="0" w:line="240" w:lineRule="auto"/>
        <w:ind w:firstLine="709"/>
        <w:jc w:val="both"/>
        <w:rPr>
          <w:rFonts w:ascii="Times New Roman" w:hAnsi="Times New Roman"/>
          <w:sz w:val="28"/>
          <w:szCs w:val="28"/>
        </w:rPr>
      </w:pPr>
      <w:r w:rsidRPr="003A7901">
        <w:rPr>
          <w:rFonts w:ascii="Times New Roman" w:hAnsi="Times New Roman"/>
          <w:sz w:val="28"/>
          <w:szCs w:val="28"/>
        </w:rPr>
        <w:t>Основными принципами развития физической культуры и</w:t>
      </w:r>
      <w:r>
        <w:rPr>
          <w:rFonts w:ascii="Times New Roman" w:hAnsi="Times New Roman"/>
          <w:sz w:val="28"/>
          <w:szCs w:val="28"/>
        </w:rPr>
        <w:t> </w:t>
      </w:r>
      <w:r w:rsidRPr="003A7901">
        <w:rPr>
          <w:rFonts w:ascii="Times New Roman" w:hAnsi="Times New Roman"/>
          <w:sz w:val="28"/>
          <w:szCs w:val="28"/>
        </w:rPr>
        <w:t>спорта в</w:t>
      </w:r>
      <w:r>
        <w:rPr>
          <w:rFonts w:ascii="Times New Roman" w:hAnsi="Times New Roman"/>
          <w:sz w:val="28"/>
          <w:szCs w:val="28"/>
        </w:rPr>
        <w:t> </w:t>
      </w:r>
      <w:r>
        <w:rPr>
          <w:rFonts w:ascii="Times New Roman" w:hAnsi="Times New Roman"/>
          <w:sz w:val="28"/>
          <w:szCs w:val="24"/>
          <w:lang w:eastAsia="ru-RU"/>
        </w:rPr>
        <w:t xml:space="preserve">городе </w:t>
      </w:r>
      <w:r w:rsidRPr="003A7901">
        <w:rPr>
          <w:rFonts w:ascii="Times New Roman" w:hAnsi="Times New Roman"/>
          <w:sz w:val="28"/>
          <w:szCs w:val="28"/>
        </w:rPr>
        <w:t>в</w:t>
      </w:r>
      <w:r>
        <w:rPr>
          <w:rFonts w:ascii="Times New Roman" w:hAnsi="Times New Roman"/>
          <w:sz w:val="28"/>
          <w:szCs w:val="24"/>
          <w:lang w:eastAsia="ru-RU"/>
        </w:rPr>
        <w:t> </w:t>
      </w:r>
      <w:r w:rsidRPr="003A7901">
        <w:rPr>
          <w:rFonts w:ascii="Times New Roman" w:hAnsi="Times New Roman"/>
          <w:sz w:val="28"/>
          <w:szCs w:val="28"/>
        </w:rPr>
        <w:t>ближайшие годы должны стать:</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комплексность решения проблем развития спорта;</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концентрация материальных, финансовых, человеческих ресурсов для развития спорта;</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организация спортивных зрелищных мероприятий в</w:t>
      </w:r>
      <w:r>
        <w:rPr>
          <w:rFonts w:ascii="Times New Roman" w:hAnsi="Times New Roman"/>
          <w:sz w:val="28"/>
          <w:szCs w:val="24"/>
        </w:rPr>
        <w:t> селе</w:t>
      </w:r>
      <w:r w:rsidRPr="003A7901">
        <w:rPr>
          <w:rFonts w:ascii="Times New Roman" w:hAnsi="Times New Roman"/>
          <w:sz w:val="28"/>
          <w:szCs w:val="24"/>
        </w:rPr>
        <w:t>, обеспечение поездок спортивных команд для участия в</w:t>
      </w:r>
      <w:r>
        <w:rPr>
          <w:rFonts w:ascii="Times New Roman" w:hAnsi="Times New Roman"/>
          <w:sz w:val="28"/>
          <w:szCs w:val="24"/>
        </w:rPr>
        <w:t> </w:t>
      </w:r>
      <w:r w:rsidRPr="003A7901">
        <w:rPr>
          <w:rFonts w:ascii="Times New Roman" w:hAnsi="Times New Roman"/>
          <w:sz w:val="28"/>
          <w:szCs w:val="24"/>
        </w:rPr>
        <w:t>районных и</w:t>
      </w:r>
      <w:r>
        <w:rPr>
          <w:rFonts w:ascii="Times New Roman" w:hAnsi="Times New Roman"/>
          <w:sz w:val="28"/>
          <w:szCs w:val="24"/>
        </w:rPr>
        <w:t> окружных</w:t>
      </w:r>
      <w:r w:rsidRPr="003A7901">
        <w:rPr>
          <w:rFonts w:ascii="Times New Roman" w:hAnsi="Times New Roman"/>
          <w:sz w:val="28"/>
          <w:szCs w:val="24"/>
        </w:rPr>
        <w:t xml:space="preserve"> соревнованиях;</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преемственность и</w:t>
      </w:r>
      <w:r>
        <w:rPr>
          <w:rFonts w:ascii="Times New Roman" w:hAnsi="Times New Roman"/>
          <w:sz w:val="28"/>
          <w:szCs w:val="24"/>
        </w:rPr>
        <w:t> </w:t>
      </w:r>
      <w:r w:rsidRPr="003A7901">
        <w:rPr>
          <w:rFonts w:ascii="Times New Roman" w:hAnsi="Times New Roman"/>
          <w:sz w:val="28"/>
          <w:szCs w:val="24"/>
        </w:rPr>
        <w:t>непрерывность в</w:t>
      </w:r>
      <w:r>
        <w:rPr>
          <w:rFonts w:ascii="Times New Roman" w:hAnsi="Times New Roman"/>
          <w:sz w:val="28"/>
          <w:szCs w:val="24"/>
        </w:rPr>
        <w:t> </w:t>
      </w:r>
      <w:r w:rsidRPr="003A7901">
        <w:rPr>
          <w:rFonts w:ascii="Times New Roman" w:hAnsi="Times New Roman"/>
          <w:sz w:val="28"/>
          <w:szCs w:val="24"/>
        </w:rPr>
        <w:t>подготовке спортивного резерва;</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4"/>
        </w:rPr>
        <w:t>активное вовлечение широких масс населения в</w:t>
      </w:r>
      <w:r>
        <w:rPr>
          <w:rFonts w:ascii="Times New Roman" w:hAnsi="Times New Roman"/>
          <w:sz w:val="28"/>
          <w:szCs w:val="24"/>
        </w:rPr>
        <w:t> </w:t>
      </w:r>
      <w:r w:rsidRPr="003A7901">
        <w:rPr>
          <w:rFonts w:ascii="Times New Roman" w:hAnsi="Times New Roman"/>
          <w:sz w:val="28"/>
          <w:szCs w:val="24"/>
        </w:rPr>
        <w:t>регулярное занятие</w:t>
      </w:r>
      <w:r w:rsidRPr="003A7901">
        <w:rPr>
          <w:rFonts w:ascii="Times New Roman" w:hAnsi="Times New Roman"/>
          <w:sz w:val="28"/>
          <w:szCs w:val="28"/>
        </w:rPr>
        <w:t xml:space="preserve"> физической культурой и</w:t>
      </w:r>
      <w:r>
        <w:rPr>
          <w:rFonts w:ascii="Times New Roman" w:hAnsi="Times New Roman"/>
          <w:sz w:val="28"/>
          <w:szCs w:val="28"/>
        </w:rPr>
        <w:t> </w:t>
      </w:r>
      <w:r w:rsidRPr="003A7901">
        <w:rPr>
          <w:rFonts w:ascii="Times New Roman" w:hAnsi="Times New Roman"/>
          <w:sz w:val="28"/>
          <w:szCs w:val="28"/>
        </w:rPr>
        <w:t>спортом.</w:t>
      </w:r>
    </w:p>
    <w:p w:rsidR="002D1E45" w:rsidRPr="003A7901" w:rsidRDefault="002D1E45" w:rsidP="003A7901">
      <w:pPr>
        <w:spacing w:after="0" w:line="240" w:lineRule="auto"/>
        <w:ind w:firstLine="709"/>
        <w:jc w:val="both"/>
        <w:rPr>
          <w:rFonts w:ascii="Times New Roman" w:hAnsi="Times New Roman"/>
          <w:sz w:val="28"/>
          <w:szCs w:val="28"/>
        </w:rPr>
      </w:pPr>
      <w:r w:rsidRPr="003A7901">
        <w:rPr>
          <w:rFonts w:ascii="Times New Roman" w:hAnsi="Times New Roman"/>
          <w:sz w:val="28"/>
          <w:szCs w:val="28"/>
        </w:rPr>
        <w:t>В целях содействия социальной самореализации и</w:t>
      </w:r>
      <w:r>
        <w:rPr>
          <w:rFonts w:ascii="Times New Roman" w:hAnsi="Times New Roman"/>
          <w:sz w:val="28"/>
          <w:szCs w:val="28"/>
        </w:rPr>
        <w:t> </w:t>
      </w:r>
      <w:r w:rsidRPr="003A7901">
        <w:rPr>
          <w:rFonts w:ascii="Times New Roman" w:hAnsi="Times New Roman"/>
          <w:sz w:val="28"/>
          <w:szCs w:val="28"/>
        </w:rPr>
        <w:t>патриотического воспитания молодёжи, обеспечения улучшения состояния здоровья молодого поколения, создания условий для развития массовой культуры и</w:t>
      </w:r>
      <w:r>
        <w:rPr>
          <w:rFonts w:ascii="Times New Roman" w:hAnsi="Times New Roman"/>
          <w:sz w:val="28"/>
          <w:szCs w:val="28"/>
        </w:rPr>
        <w:t> </w:t>
      </w:r>
      <w:r w:rsidRPr="003A7901">
        <w:rPr>
          <w:rFonts w:ascii="Times New Roman" w:hAnsi="Times New Roman"/>
          <w:sz w:val="28"/>
          <w:szCs w:val="28"/>
        </w:rPr>
        <w:t>спорта, предупреждения правонарушений необходимо решение задач:</w:t>
      </w:r>
    </w:p>
    <w:p w:rsidR="002D1E45" w:rsidRPr="0016130B" w:rsidRDefault="002D1E45" w:rsidP="00D05D06">
      <w:pPr>
        <w:numPr>
          <w:ilvl w:val="0"/>
          <w:numId w:val="60"/>
        </w:numPr>
        <w:spacing w:after="0" w:line="240" w:lineRule="auto"/>
        <w:jc w:val="both"/>
        <w:rPr>
          <w:rFonts w:ascii="Times New Roman" w:hAnsi="Times New Roman"/>
          <w:sz w:val="28"/>
          <w:szCs w:val="24"/>
        </w:rPr>
      </w:pPr>
      <w:r w:rsidRPr="0016130B">
        <w:rPr>
          <w:rFonts w:ascii="Times New Roman" w:hAnsi="Times New Roman"/>
          <w:sz w:val="28"/>
          <w:szCs w:val="24"/>
        </w:rPr>
        <w:t>активизация работы с</w:t>
      </w:r>
      <w:r>
        <w:rPr>
          <w:rFonts w:ascii="Times New Roman" w:hAnsi="Times New Roman"/>
          <w:sz w:val="28"/>
          <w:szCs w:val="24"/>
        </w:rPr>
        <w:t> </w:t>
      </w:r>
      <w:r w:rsidRPr="0016130B">
        <w:rPr>
          <w:rFonts w:ascii="Times New Roman" w:hAnsi="Times New Roman"/>
          <w:sz w:val="28"/>
          <w:szCs w:val="24"/>
        </w:rPr>
        <w:t>талантливой молодёжью путём создания открытой общественной системы поддержки талантливой молодёжи;</w:t>
      </w:r>
    </w:p>
    <w:p w:rsidR="002D1E45" w:rsidRPr="0016130B" w:rsidRDefault="002D1E45" w:rsidP="00D05D06">
      <w:pPr>
        <w:numPr>
          <w:ilvl w:val="0"/>
          <w:numId w:val="60"/>
        </w:numPr>
        <w:spacing w:after="0" w:line="240" w:lineRule="auto"/>
        <w:jc w:val="both"/>
        <w:rPr>
          <w:rFonts w:ascii="Times New Roman" w:hAnsi="Times New Roman"/>
          <w:sz w:val="28"/>
          <w:szCs w:val="24"/>
        </w:rPr>
      </w:pPr>
      <w:r w:rsidRPr="0016130B">
        <w:rPr>
          <w:rFonts w:ascii="Times New Roman" w:hAnsi="Times New Roman"/>
          <w:sz w:val="28"/>
          <w:szCs w:val="24"/>
        </w:rPr>
        <w:t>создание условий для закрепления молодёжи на</w:t>
      </w:r>
      <w:r>
        <w:rPr>
          <w:rFonts w:ascii="Times New Roman" w:hAnsi="Times New Roman"/>
          <w:sz w:val="28"/>
          <w:szCs w:val="24"/>
        </w:rPr>
        <w:t> </w:t>
      </w:r>
      <w:r w:rsidRPr="0016130B">
        <w:rPr>
          <w:rFonts w:ascii="Times New Roman" w:hAnsi="Times New Roman"/>
          <w:sz w:val="28"/>
          <w:szCs w:val="24"/>
        </w:rPr>
        <w:t>земле через комплекс мер поддержки;</w:t>
      </w:r>
    </w:p>
    <w:p w:rsidR="002D1E45" w:rsidRPr="0016130B" w:rsidRDefault="002D1E45" w:rsidP="00D05D06">
      <w:pPr>
        <w:numPr>
          <w:ilvl w:val="0"/>
          <w:numId w:val="60"/>
        </w:numPr>
        <w:spacing w:after="0" w:line="240" w:lineRule="auto"/>
        <w:jc w:val="both"/>
        <w:rPr>
          <w:rFonts w:ascii="Times New Roman" w:hAnsi="Times New Roman"/>
          <w:sz w:val="28"/>
          <w:szCs w:val="24"/>
        </w:rPr>
      </w:pPr>
      <w:r w:rsidRPr="0016130B">
        <w:rPr>
          <w:rFonts w:ascii="Times New Roman" w:hAnsi="Times New Roman"/>
          <w:sz w:val="28"/>
          <w:szCs w:val="24"/>
        </w:rPr>
        <w:t>вовлечение молодёжи в</w:t>
      </w:r>
      <w:r>
        <w:rPr>
          <w:rFonts w:ascii="Times New Roman" w:hAnsi="Times New Roman"/>
          <w:sz w:val="28"/>
          <w:szCs w:val="24"/>
        </w:rPr>
        <w:t> </w:t>
      </w:r>
      <w:r w:rsidRPr="0016130B">
        <w:rPr>
          <w:rFonts w:ascii="Times New Roman" w:hAnsi="Times New Roman"/>
          <w:sz w:val="28"/>
          <w:szCs w:val="24"/>
        </w:rPr>
        <w:t>предпринимательскую деятельность, оказание юридической и</w:t>
      </w:r>
      <w:r>
        <w:rPr>
          <w:rFonts w:ascii="Times New Roman" w:hAnsi="Times New Roman"/>
          <w:sz w:val="28"/>
          <w:szCs w:val="24"/>
        </w:rPr>
        <w:t> </w:t>
      </w:r>
      <w:r w:rsidRPr="0016130B">
        <w:rPr>
          <w:rFonts w:ascii="Times New Roman" w:hAnsi="Times New Roman"/>
          <w:sz w:val="28"/>
          <w:szCs w:val="24"/>
        </w:rPr>
        <w:t>методической помощи;</w:t>
      </w:r>
    </w:p>
    <w:p w:rsidR="002D1E45" w:rsidRPr="0016130B" w:rsidRDefault="002D1E45" w:rsidP="00D05D06">
      <w:pPr>
        <w:numPr>
          <w:ilvl w:val="0"/>
          <w:numId w:val="60"/>
        </w:numPr>
        <w:spacing w:after="0" w:line="240" w:lineRule="auto"/>
        <w:jc w:val="both"/>
        <w:rPr>
          <w:rFonts w:ascii="Times New Roman" w:hAnsi="Times New Roman"/>
          <w:sz w:val="28"/>
          <w:szCs w:val="24"/>
        </w:rPr>
      </w:pPr>
      <w:r w:rsidRPr="0016130B">
        <w:rPr>
          <w:rFonts w:ascii="Times New Roman" w:hAnsi="Times New Roman"/>
          <w:sz w:val="28"/>
          <w:szCs w:val="24"/>
        </w:rPr>
        <w:t>совершенствование методов организации досуга молодёжи;</w:t>
      </w:r>
    </w:p>
    <w:p w:rsidR="002D1E45" w:rsidRPr="0016130B" w:rsidRDefault="002D1E45" w:rsidP="00D05D06">
      <w:pPr>
        <w:numPr>
          <w:ilvl w:val="0"/>
          <w:numId w:val="60"/>
        </w:numPr>
        <w:spacing w:after="0" w:line="240" w:lineRule="auto"/>
        <w:jc w:val="both"/>
        <w:rPr>
          <w:rFonts w:ascii="Times New Roman" w:hAnsi="Times New Roman"/>
          <w:sz w:val="28"/>
          <w:szCs w:val="24"/>
        </w:rPr>
      </w:pPr>
      <w:r w:rsidRPr="0016130B">
        <w:rPr>
          <w:rFonts w:ascii="Times New Roman" w:hAnsi="Times New Roman"/>
          <w:sz w:val="28"/>
          <w:szCs w:val="24"/>
        </w:rPr>
        <w:t>усиление профилактики социально-значимых заболеваний среди молодёжи;</w:t>
      </w:r>
    </w:p>
    <w:p w:rsidR="002D1E45" w:rsidRPr="0016130B" w:rsidRDefault="002D1E45" w:rsidP="00D05D06">
      <w:pPr>
        <w:numPr>
          <w:ilvl w:val="0"/>
          <w:numId w:val="60"/>
        </w:numPr>
        <w:spacing w:after="0" w:line="240" w:lineRule="auto"/>
        <w:jc w:val="both"/>
        <w:rPr>
          <w:rFonts w:ascii="Times New Roman" w:hAnsi="Times New Roman"/>
          <w:sz w:val="28"/>
          <w:szCs w:val="24"/>
        </w:rPr>
      </w:pPr>
      <w:r w:rsidRPr="0016130B">
        <w:rPr>
          <w:rFonts w:ascii="Times New Roman" w:hAnsi="Times New Roman"/>
          <w:sz w:val="28"/>
          <w:szCs w:val="24"/>
        </w:rPr>
        <w:t>создание возможностей дистанционного обучения молодёжи.</w:t>
      </w:r>
    </w:p>
    <w:p w:rsidR="002D1E45" w:rsidRPr="003A7901" w:rsidRDefault="002D1E45" w:rsidP="003A7901">
      <w:pPr>
        <w:spacing w:after="0" w:line="240" w:lineRule="auto"/>
        <w:ind w:firstLine="709"/>
        <w:jc w:val="both"/>
        <w:rPr>
          <w:rFonts w:ascii="Times New Roman" w:hAnsi="Times New Roman"/>
          <w:sz w:val="28"/>
          <w:szCs w:val="28"/>
        </w:rPr>
      </w:pPr>
      <w:r w:rsidRPr="003A7901">
        <w:rPr>
          <w:rFonts w:ascii="Times New Roman" w:hAnsi="Times New Roman"/>
          <w:sz w:val="28"/>
          <w:szCs w:val="28"/>
        </w:rPr>
        <w:t>В среднесрочной перспективе политика в</w:t>
      </w:r>
      <w:r>
        <w:rPr>
          <w:rFonts w:ascii="Times New Roman" w:hAnsi="Times New Roman"/>
          <w:sz w:val="28"/>
          <w:szCs w:val="28"/>
        </w:rPr>
        <w:t> </w:t>
      </w:r>
      <w:r w:rsidRPr="003A7901">
        <w:rPr>
          <w:rFonts w:ascii="Times New Roman" w:hAnsi="Times New Roman"/>
          <w:sz w:val="28"/>
          <w:szCs w:val="28"/>
        </w:rPr>
        <w:t>сфере развития физкультуры и</w:t>
      </w:r>
      <w:r>
        <w:rPr>
          <w:rFonts w:ascii="Times New Roman" w:hAnsi="Times New Roman"/>
          <w:sz w:val="28"/>
          <w:szCs w:val="28"/>
        </w:rPr>
        <w:t> </w:t>
      </w:r>
      <w:r w:rsidRPr="003A7901">
        <w:rPr>
          <w:rFonts w:ascii="Times New Roman" w:hAnsi="Times New Roman"/>
          <w:sz w:val="28"/>
          <w:szCs w:val="28"/>
        </w:rPr>
        <w:t>спорта будет направлена на</w:t>
      </w:r>
      <w:r>
        <w:rPr>
          <w:rFonts w:ascii="Times New Roman" w:hAnsi="Times New Roman"/>
          <w:sz w:val="28"/>
          <w:szCs w:val="28"/>
        </w:rPr>
        <w:t> </w:t>
      </w:r>
      <w:r w:rsidRPr="003A7901">
        <w:rPr>
          <w:rFonts w:ascii="Times New Roman" w:hAnsi="Times New Roman"/>
          <w:sz w:val="28"/>
          <w:szCs w:val="28"/>
        </w:rPr>
        <w:t>пропаганду здорового образа жизни, обеспечение условий для занятий физической культурой и</w:t>
      </w:r>
      <w:r>
        <w:rPr>
          <w:rFonts w:ascii="Times New Roman" w:hAnsi="Times New Roman"/>
          <w:sz w:val="28"/>
          <w:szCs w:val="28"/>
        </w:rPr>
        <w:t> </w:t>
      </w:r>
      <w:r w:rsidRPr="003A7901">
        <w:rPr>
          <w:rFonts w:ascii="Times New Roman" w:hAnsi="Times New Roman"/>
          <w:sz w:val="28"/>
          <w:szCs w:val="28"/>
        </w:rPr>
        <w:t>спортом всех категорий граждан.</w:t>
      </w:r>
    </w:p>
    <w:p w:rsidR="002D1E45" w:rsidRPr="003A7901" w:rsidRDefault="002D1E45" w:rsidP="003A7901">
      <w:pPr>
        <w:spacing w:after="0" w:line="240" w:lineRule="auto"/>
        <w:ind w:firstLine="709"/>
        <w:jc w:val="both"/>
        <w:rPr>
          <w:rFonts w:ascii="Times New Roman" w:hAnsi="Times New Roman"/>
          <w:sz w:val="28"/>
          <w:szCs w:val="28"/>
        </w:rPr>
      </w:pPr>
    </w:p>
    <w:p w:rsidR="002D1E45" w:rsidRPr="003A7901" w:rsidRDefault="002D1E45" w:rsidP="003A7901">
      <w:pPr>
        <w:spacing w:after="0" w:line="240" w:lineRule="auto"/>
        <w:ind w:firstLine="709"/>
        <w:contextualSpacing/>
        <w:jc w:val="both"/>
        <w:rPr>
          <w:rFonts w:ascii="Times New Roman" w:hAnsi="Times New Roman"/>
          <w:bCs/>
          <w:i/>
          <w:color w:val="000000"/>
          <w:sz w:val="28"/>
          <w:szCs w:val="24"/>
          <w:u w:val="single"/>
          <w:lang w:eastAsia="ru-RU"/>
        </w:rPr>
      </w:pPr>
      <w:r w:rsidRPr="003A7901">
        <w:rPr>
          <w:rFonts w:ascii="Times New Roman" w:hAnsi="Times New Roman"/>
          <w:bCs/>
          <w:i/>
          <w:color w:val="000000"/>
          <w:sz w:val="28"/>
          <w:szCs w:val="24"/>
          <w:u w:val="single"/>
          <w:lang w:eastAsia="ru-RU"/>
        </w:rPr>
        <w:t>Сфера культуры</w:t>
      </w:r>
    </w:p>
    <w:p w:rsidR="002D1E45" w:rsidRPr="003A7901" w:rsidRDefault="002D1E45" w:rsidP="003A7901">
      <w:pPr>
        <w:spacing w:after="0" w:line="240" w:lineRule="auto"/>
        <w:ind w:firstLine="709"/>
        <w:jc w:val="both"/>
        <w:rPr>
          <w:rFonts w:ascii="Times New Roman" w:hAnsi="Times New Roman"/>
          <w:color w:val="000000"/>
          <w:sz w:val="28"/>
          <w:szCs w:val="28"/>
        </w:rPr>
      </w:pPr>
      <w:r w:rsidRPr="003A7901">
        <w:rPr>
          <w:rFonts w:ascii="Times New Roman" w:hAnsi="Times New Roman"/>
          <w:color w:val="000000"/>
          <w:sz w:val="28"/>
          <w:szCs w:val="28"/>
        </w:rPr>
        <w:t>Для успешного развития культуры и</w:t>
      </w:r>
      <w:r>
        <w:rPr>
          <w:rFonts w:ascii="Times New Roman" w:hAnsi="Times New Roman"/>
          <w:color w:val="000000"/>
          <w:sz w:val="28"/>
          <w:szCs w:val="28"/>
        </w:rPr>
        <w:t> </w:t>
      </w:r>
      <w:r w:rsidRPr="003A7901">
        <w:rPr>
          <w:rFonts w:ascii="Times New Roman" w:hAnsi="Times New Roman"/>
          <w:color w:val="000000"/>
          <w:sz w:val="28"/>
          <w:szCs w:val="28"/>
        </w:rPr>
        <w:t>искусства население должно иметь возможность активно реализовать право на</w:t>
      </w:r>
      <w:r>
        <w:rPr>
          <w:rFonts w:ascii="Times New Roman" w:hAnsi="Times New Roman"/>
          <w:color w:val="000000"/>
          <w:sz w:val="28"/>
          <w:szCs w:val="28"/>
        </w:rPr>
        <w:t> </w:t>
      </w:r>
      <w:r w:rsidRPr="003A7901">
        <w:rPr>
          <w:rFonts w:ascii="Times New Roman" w:hAnsi="Times New Roman"/>
          <w:color w:val="000000"/>
          <w:sz w:val="28"/>
          <w:szCs w:val="28"/>
        </w:rPr>
        <w:t>участие в</w:t>
      </w:r>
      <w:r>
        <w:rPr>
          <w:rFonts w:ascii="Times New Roman" w:hAnsi="Times New Roman"/>
          <w:color w:val="000000"/>
          <w:sz w:val="28"/>
          <w:szCs w:val="28"/>
        </w:rPr>
        <w:t> </w:t>
      </w:r>
      <w:r w:rsidRPr="003A7901">
        <w:rPr>
          <w:rFonts w:ascii="Times New Roman" w:hAnsi="Times New Roman"/>
          <w:color w:val="000000"/>
          <w:sz w:val="28"/>
          <w:szCs w:val="28"/>
        </w:rPr>
        <w:t>культурной жизни и</w:t>
      </w:r>
      <w:r>
        <w:rPr>
          <w:rFonts w:ascii="Times New Roman" w:hAnsi="Times New Roman"/>
          <w:color w:val="000000"/>
          <w:sz w:val="28"/>
          <w:szCs w:val="28"/>
        </w:rPr>
        <w:t> </w:t>
      </w:r>
      <w:r w:rsidRPr="003A7901">
        <w:rPr>
          <w:rFonts w:ascii="Times New Roman" w:hAnsi="Times New Roman"/>
          <w:color w:val="000000"/>
          <w:sz w:val="28"/>
          <w:szCs w:val="28"/>
        </w:rPr>
        <w:t>пользование учреждениями культуры, свободу литературного, художественного, научного, технического и</w:t>
      </w:r>
      <w:r>
        <w:rPr>
          <w:rFonts w:ascii="Times New Roman" w:hAnsi="Times New Roman"/>
          <w:color w:val="000000"/>
          <w:sz w:val="28"/>
          <w:szCs w:val="28"/>
        </w:rPr>
        <w:t> </w:t>
      </w:r>
      <w:r w:rsidRPr="003A7901">
        <w:rPr>
          <w:rFonts w:ascii="Times New Roman" w:hAnsi="Times New Roman"/>
          <w:color w:val="000000"/>
          <w:sz w:val="28"/>
          <w:szCs w:val="28"/>
        </w:rPr>
        <w:t>других видов творчества.</w:t>
      </w:r>
    </w:p>
    <w:p w:rsidR="002D1E45" w:rsidRPr="00212629" w:rsidRDefault="002D1E45" w:rsidP="00212629">
      <w:pPr>
        <w:spacing w:after="0" w:line="240" w:lineRule="auto"/>
        <w:ind w:firstLine="709"/>
        <w:jc w:val="both"/>
        <w:rPr>
          <w:rFonts w:ascii="Times New Roman" w:hAnsi="Times New Roman"/>
          <w:sz w:val="28"/>
          <w:szCs w:val="24"/>
          <w:lang w:eastAsia="ru-RU"/>
        </w:rPr>
      </w:pPr>
      <w:r w:rsidRPr="00212629">
        <w:rPr>
          <w:rFonts w:ascii="Times New Roman" w:hAnsi="Times New Roman"/>
          <w:sz w:val="28"/>
          <w:szCs w:val="24"/>
          <w:lang w:eastAsia="ru-RU"/>
        </w:rPr>
        <w:t>Основными направлениями в</w:t>
      </w:r>
      <w:r>
        <w:rPr>
          <w:rFonts w:ascii="Times New Roman" w:hAnsi="Times New Roman"/>
          <w:sz w:val="28"/>
          <w:szCs w:val="24"/>
          <w:lang w:eastAsia="ru-RU"/>
        </w:rPr>
        <w:t> </w:t>
      </w:r>
      <w:r w:rsidRPr="00212629">
        <w:rPr>
          <w:rFonts w:ascii="Times New Roman" w:hAnsi="Times New Roman"/>
          <w:sz w:val="28"/>
          <w:szCs w:val="24"/>
          <w:lang w:eastAsia="ru-RU"/>
        </w:rPr>
        <w:t>решении задачи развития культуры являются:</w:t>
      </w:r>
    </w:p>
    <w:p w:rsidR="002D1E45" w:rsidRPr="00212629" w:rsidRDefault="002D1E45" w:rsidP="00D05D06">
      <w:pPr>
        <w:numPr>
          <w:ilvl w:val="0"/>
          <w:numId w:val="60"/>
        </w:numPr>
        <w:spacing w:after="0" w:line="240" w:lineRule="auto"/>
        <w:jc w:val="both"/>
        <w:rPr>
          <w:rFonts w:ascii="Times New Roman" w:hAnsi="Times New Roman"/>
          <w:sz w:val="28"/>
          <w:szCs w:val="24"/>
          <w:lang w:eastAsia="ru-RU"/>
        </w:rPr>
      </w:pPr>
      <w:r w:rsidRPr="00212629">
        <w:rPr>
          <w:rFonts w:ascii="Times New Roman" w:hAnsi="Times New Roman"/>
          <w:sz w:val="28"/>
          <w:szCs w:val="24"/>
          <w:lang w:eastAsia="ru-RU"/>
        </w:rPr>
        <w:t>поддержка развития профессионального и</w:t>
      </w:r>
      <w:r>
        <w:rPr>
          <w:rFonts w:ascii="Times New Roman" w:hAnsi="Times New Roman"/>
          <w:sz w:val="28"/>
          <w:szCs w:val="24"/>
          <w:lang w:eastAsia="ru-RU"/>
        </w:rPr>
        <w:t> </w:t>
      </w:r>
      <w:r w:rsidRPr="00212629">
        <w:rPr>
          <w:rFonts w:ascii="Times New Roman" w:hAnsi="Times New Roman"/>
          <w:sz w:val="28"/>
          <w:szCs w:val="24"/>
          <w:lang w:eastAsia="ru-RU"/>
        </w:rPr>
        <w:t xml:space="preserve">непрофессионального творчества, участия жителей </w:t>
      </w:r>
      <w:r>
        <w:rPr>
          <w:rFonts w:ascii="Times New Roman" w:hAnsi="Times New Roman"/>
          <w:sz w:val="28"/>
          <w:szCs w:val="24"/>
          <w:lang w:eastAsia="ru-RU"/>
        </w:rPr>
        <w:t>поселения</w:t>
      </w:r>
      <w:r w:rsidRPr="00212629">
        <w:rPr>
          <w:rFonts w:ascii="Times New Roman" w:hAnsi="Times New Roman"/>
          <w:sz w:val="28"/>
          <w:szCs w:val="24"/>
          <w:lang w:eastAsia="ru-RU"/>
        </w:rPr>
        <w:t xml:space="preserve"> в</w:t>
      </w:r>
      <w:r>
        <w:rPr>
          <w:rFonts w:ascii="Times New Roman" w:hAnsi="Times New Roman"/>
          <w:sz w:val="28"/>
          <w:szCs w:val="24"/>
          <w:lang w:eastAsia="ru-RU"/>
        </w:rPr>
        <w:t> </w:t>
      </w:r>
      <w:r w:rsidRPr="00212629">
        <w:rPr>
          <w:rFonts w:ascii="Times New Roman" w:hAnsi="Times New Roman"/>
          <w:sz w:val="28"/>
          <w:szCs w:val="24"/>
          <w:lang w:eastAsia="ru-RU"/>
        </w:rPr>
        <w:t>культурной деятельности, в</w:t>
      </w:r>
      <w:r>
        <w:rPr>
          <w:rFonts w:ascii="Times New Roman" w:hAnsi="Times New Roman"/>
          <w:sz w:val="28"/>
          <w:szCs w:val="24"/>
          <w:lang w:eastAsia="ru-RU"/>
        </w:rPr>
        <w:t> </w:t>
      </w:r>
      <w:r w:rsidRPr="00212629">
        <w:rPr>
          <w:rFonts w:ascii="Times New Roman" w:hAnsi="Times New Roman"/>
          <w:sz w:val="28"/>
          <w:szCs w:val="24"/>
          <w:lang w:eastAsia="ru-RU"/>
        </w:rPr>
        <w:t>том числе в</w:t>
      </w:r>
      <w:r>
        <w:rPr>
          <w:rFonts w:ascii="Times New Roman" w:hAnsi="Times New Roman"/>
          <w:sz w:val="28"/>
          <w:szCs w:val="24"/>
          <w:lang w:eastAsia="ru-RU"/>
        </w:rPr>
        <w:t> </w:t>
      </w:r>
      <w:r w:rsidRPr="00212629">
        <w:rPr>
          <w:rFonts w:ascii="Times New Roman" w:hAnsi="Times New Roman"/>
          <w:sz w:val="28"/>
          <w:szCs w:val="24"/>
          <w:lang w:eastAsia="ru-RU"/>
        </w:rPr>
        <w:t>виде проведения конкурсов и</w:t>
      </w:r>
      <w:r>
        <w:rPr>
          <w:rFonts w:ascii="Times New Roman" w:hAnsi="Times New Roman"/>
          <w:sz w:val="28"/>
          <w:szCs w:val="24"/>
          <w:lang w:eastAsia="ru-RU"/>
        </w:rPr>
        <w:t> </w:t>
      </w:r>
      <w:r w:rsidRPr="00212629">
        <w:rPr>
          <w:rFonts w:ascii="Times New Roman" w:hAnsi="Times New Roman"/>
          <w:sz w:val="28"/>
          <w:szCs w:val="24"/>
          <w:lang w:eastAsia="ru-RU"/>
        </w:rPr>
        <w:t>фестивалей;</w:t>
      </w:r>
    </w:p>
    <w:p w:rsidR="002D1E45" w:rsidRPr="00212629" w:rsidRDefault="002D1E45" w:rsidP="00D05D06">
      <w:pPr>
        <w:numPr>
          <w:ilvl w:val="0"/>
          <w:numId w:val="60"/>
        </w:numPr>
        <w:spacing w:after="0" w:line="240" w:lineRule="auto"/>
        <w:jc w:val="both"/>
        <w:rPr>
          <w:rFonts w:ascii="Times New Roman" w:hAnsi="Times New Roman"/>
          <w:sz w:val="28"/>
          <w:szCs w:val="24"/>
          <w:lang w:eastAsia="ru-RU"/>
        </w:rPr>
      </w:pPr>
      <w:r w:rsidRPr="00212629">
        <w:rPr>
          <w:rFonts w:ascii="Times New Roman" w:hAnsi="Times New Roman"/>
          <w:sz w:val="28"/>
          <w:szCs w:val="24"/>
          <w:lang w:eastAsia="ru-RU"/>
        </w:rPr>
        <w:t xml:space="preserve">укрепление материально-технической базы учреждений культуры </w:t>
      </w:r>
      <w:r>
        <w:rPr>
          <w:rFonts w:ascii="Times New Roman" w:hAnsi="Times New Roman"/>
          <w:sz w:val="28"/>
          <w:szCs w:val="28"/>
        </w:rPr>
        <w:t>города Куйбышева</w:t>
      </w:r>
      <w:r w:rsidRPr="00212629">
        <w:rPr>
          <w:rFonts w:ascii="Times New Roman" w:hAnsi="Times New Roman"/>
          <w:sz w:val="28"/>
          <w:szCs w:val="24"/>
          <w:lang w:eastAsia="ru-RU"/>
        </w:rPr>
        <w:t xml:space="preserve"> за</w:t>
      </w:r>
      <w:r>
        <w:rPr>
          <w:rFonts w:ascii="Times New Roman" w:hAnsi="Times New Roman"/>
          <w:sz w:val="28"/>
          <w:szCs w:val="24"/>
          <w:lang w:eastAsia="ru-RU"/>
        </w:rPr>
        <w:t> </w:t>
      </w:r>
      <w:r w:rsidRPr="00212629">
        <w:rPr>
          <w:rFonts w:ascii="Times New Roman" w:hAnsi="Times New Roman"/>
          <w:sz w:val="28"/>
          <w:szCs w:val="24"/>
          <w:lang w:eastAsia="ru-RU"/>
        </w:rPr>
        <w:t>счёт приобретения современного светового и</w:t>
      </w:r>
      <w:r>
        <w:rPr>
          <w:rFonts w:ascii="Times New Roman" w:hAnsi="Times New Roman"/>
          <w:sz w:val="28"/>
          <w:szCs w:val="24"/>
          <w:lang w:eastAsia="ru-RU"/>
        </w:rPr>
        <w:t> </w:t>
      </w:r>
      <w:r w:rsidRPr="00212629">
        <w:rPr>
          <w:rFonts w:ascii="Times New Roman" w:hAnsi="Times New Roman"/>
          <w:sz w:val="28"/>
          <w:szCs w:val="24"/>
          <w:lang w:eastAsia="ru-RU"/>
        </w:rPr>
        <w:t>звукового, кино- и</w:t>
      </w:r>
      <w:r>
        <w:rPr>
          <w:rFonts w:ascii="Times New Roman" w:hAnsi="Times New Roman"/>
          <w:sz w:val="28"/>
          <w:szCs w:val="24"/>
          <w:lang w:eastAsia="ru-RU"/>
        </w:rPr>
        <w:t> </w:t>
      </w:r>
      <w:r w:rsidRPr="00212629">
        <w:rPr>
          <w:rFonts w:ascii="Times New Roman" w:hAnsi="Times New Roman"/>
          <w:sz w:val="28"/>
          <w:szCs w:val="24"/>
          <w:lang w:eastAsia="ru-RU"/>
        </w:rPr>
        <w:t>видеопроекционного оборудования, музыкальных инструментов для учреждений культуры.</w:t>
      </w:r>
    </w:p>
    <w:p w:rsidR="002D1E45" w:rsidRPr="00212629" w:rsidRDefault="002D1E45" w:rsidP="00D05D06">
      <w:pPr>
        <w:numPr>
          <w:ilvl w:val="0"/>
          <w:numId w:val="60"/>
        </w:numPr>
        <w:spacing w:after="0" w:line="240" w:lineRule="auto"/>
        <w:jc w:val="both"/>
        <w:rPr>
          <w:rFonts w:ascii="Times New Roman" w:hAnsi="Times New Roman"/>
          <w:sz w:val="28"/>
          <w:szCs w:val="24"/>
          <w:lang w:eastAsia="ru-RU"/>
        </w:rPr>
      </w:pPr>
      <w:r w:rsidRPr="00212629">
        <w:rPr>
          <w:rFonts w:ascii="Times New Roman" w:hAnsi="Times New Roman"/>
          <w:sz w:val="28"/>
          <w:szCs w:val="24"/>
          <w:lang w:eastAsia="ru-RU"/>
        </w:rPr>
        <w:t>разработка стандартов качества оказания муниципальных услуг в</w:t>
      </w:r>
      <w:r>
        <w:rPr>
          <w:rFonts w:ascii="Times New Roman" w:hAnsi="Times New Roman"/>
          <w:sz w:val="28"/>
          <w:szCs w:val="24"/>
          <w:lang w:eastAsia="ru-RU"/>
        </w:rPr>
        <w:t> </w:t>
      </w:r>
      <w:r w:rsidRPr="00212629">
        <w:rPr>
          <w:rFonts w:ascii="Times New Roman" w:hAnsi="Times New Roman"/>
          <w:sz w:val="28"/>
          <w:szCs w:val="24"/>
          <w:lang w:eastAsia="ru-RU"/>
        </w:rPr>
        <w:t>культурной сфере;</w:t>
      </w:r>
    </w:p>
    <w:p w:rsidR="002D1E45" w:rsidRPr="00212629" w:rsidRDefault="002D1E45" w:rsidP="00D05D06">
      <w:pPr>
        <w:numPr>
          <w:ilvl w:val="0"/>
          <w:numId w:val="60"/>
        </w:numPr>
        <w:spacing w:after="0" w:line="240" w:lineRule="auto"/>
        <w:jc w:val="both"/>
        <w:rPr>
          <w:rFonts w:ascii="Times New Roman" w:hAnsi="Times New Roman"/>
          <w:sz w:val="28"/>
          <w:szCs w:val="24"/>
          <w:lang w:eastAsia="ru-RU"/>
        </w:rPr>
      </w:pPr>
      <w:r w:rsidRPr="00212629">
        <w:rPr>
          <w:rFonts w:ascii="Times New Roman" w:hAnsi="Times New Roman"/>
          <w:sz w:val="28"/>
          <w:szCs w:val="24"/>
          <w:lang w:eastAsia="ru-RU"/>
        </w:rPr>
        <w:t>разработка стратегических направлений, определяющих сохранение и</w:t>
      </w:r>
      <w:r>
        <w:rPr>
          <w:rFonts w:ascii="Times New Roman" w:hAnsi="Times New Roman"/>
          <w:sz w:val="28"/>
          <w:szCs w:val="24"/>
          <w:lang w:eastAsia="ru-RU"/>
        </w:rPr>
        <w:t> </w:t>
      </w:r>
      <w:r w:rsidRPr="00212629">
        <w:rPr>
          <w:rFonts w:ascii="Times New Roman" w:hAnsi="Times New Roman"/>
          <w:sz w:val="28"/>
          <w:szCs w:val="24"/>
          <w:lang w:eastAsia="ru-RU"/>
        </w:rPr>
        <w:t>развитие историко-культурного наследия территории</w:t>
      </w:r>
      <w:r>
        <w:rPr>
          <w:rFonts w:ascii="Times New Roman" w:hAnsi="Times New Roman"/>
          <w:sz w:val="28"/>
          <w:szCs w:val="24"/>
          <w:lang w:eastAsia="ru-RU"/>
        </w:rPr>
        <w:t>,</w:t>
      </w:r>
      <w:r w:rsidRPr="00212629">
        <w:rPr>
          <w:rFonts w:ascii="Times New Roman" w:hAnsi="Times New Roman"/>
          <w:sz w:val="28"/>
          <w:szCs w:val="24"/>
          <w:lang w:eastAsia="ru-RU"/>
        </w:rPr>
        <w:t xml:space="preserve"> развитие краеведения, восстановление памятников культуры;</w:t>
      </w:r>
    </w:p>
    <w:p w:rsidR="002D1E45" w:rsidRPr="00212629" w:rsidRDefault="002D1E45" w:rsidP="00D05D06">
      <w:pPr>
        <w:numPr>
          <w:ilvl w:val="0"/>
          <w:numId w:val="60"/>
        </w:numPr>
        <w:spacing w:after="0" w:line="240" w:lineRule="auto"/>
        <w:jc w:val="both"/>
        <w:rPr>
          <w:rFonts w:ascii="Times New Roman" w:hAnsi="Times New Roman"/>
          <w:sz w:val="28"/>
          <w:szCs w:val="24"/>
          <w:lang w:eastAsia="ru-RU"/>
        </w:rPr>
      </w:pPr>
      <w:r w:rsidRPr="00212629">
        <w:rPr>
          <w:rFonts w:ascii="Times New Roman" w:hAnsi="Times New Roman"/>
          <w:sz w:val="28"/>
          <w:szCs w:val="24"/>
          <w:lang w:eastAsia="ru-RU"/>
        </w:rPr>
        <w:t>укрепление национальных традиций, межнационального взаимоуважения;</w:t>
      </w:r>
    </w:p>
    <w:p w:rsidR="002D1E45" w:rsidRPr="00212629" w:rsidRDefault="002D1E45" w:rsidP="00D05D06">
      <w:pPr>
        <w:numPr>
          <w:ilvl w:val="0"/>
          <w:numId w:val="60"/>
        </w:numPr>
        <w:spacing w:after="0" w:line="240" w:lineRule="auto"/>
        <w:jc w:val="both"/>
        <w:rPr>
          <w:rFonts w:ascii="Times New Roman" w:hAnsi="Times New Roman"/>
          <w:sz w:val="28"/>
          <w:szCs w:val="24"/>
          <w:lang w:eastAsia="ru-RU"/>
        </w:rPr>
      </w:pPr>
      <w:r w:rsidRPr="00212629">
        <w:rPr>
          <w:rFonts w:ascii="Times New Roman" w:hAnsi="Times New Roman"/>
          <w:sz w:val="28"/>
          <w:szCs w:val="24"/>
          <w:lang w:eastAsia="ru-RU"/>
        </w:rPr>
        <w:t>привлечение внебюджетных средств.</w:t>
      </w:r>
    </w:p>
    <w:p w:rsidR="002D1E45" w:rsidRDefault="002D1E45" w:rsidP="00212629">
      <w:pPr>
        <w:spacing w:after="0" w:line="240" w:lineRule="auto"/>
        <w:ind w:left="1069"/>
        <w:jc w:val="right"/>
        <w:rPr>
          <w:rFonts w:ascii="Times New Roman" w:hAnsi="Times New Roman"/>
          <w:sz w:val="28"/>
          <w:szCs w:val="28"/>
        </w:rPr>
      </w:pPr>
    </w:p>
    <w:p w:rsidR="002D1E45" w:rsidRDefault="002D1E45" w:rsidP="00212629">
      <w:pPr>
        <w:spacing w:after="0" w:line="240" w:lineRule="auto"/>
        <w:ind w:left="1069"/>
        <w:jc w:val="right"/>
        <w:rPr>
          <w:rFonts w:ascii="Times New Roman" w:hAnsi="Times New Roman"/>
          <w:sz w:val="28"/>
          <w:szCs w:val="28"/>
        </w:rPr>
      </w:pPr>
    </w:p>
    <w:p w:rsidR="002D1E45" w:rsidRDefault="002D1E45" w:rsidP="00212629">
      <w:pPr>
        <w:spacing w:after="0" w:line="240" w:lineRule="auto"/>
        <w:ind w:left="1069"/>
        <w:jc w:val="right"/>
        <w:rPr>
          <w:rFonts w:ascii="Times New Roman" w:hAnsi="Times New Roman"/>
          <w:sz w:val="28"/>
          <w:szCs w:val="28"/>
        </w:rPr>
      </w:pPr>
    </w:p>
    <w:p w:rsidR="002D1E45" w:rsidRDefault="002D1E45" w:rsidP="00212629">
      <w:pPr>
        <w:spacing w:after="0" w:line="240" w:lineRule="auto"/>
        <w:ind w:left="1069"/>
        <w:jc w:val="right"/>
        <w:rPr>
          <w:rFonts w:ascii="Times New Roman" w:hAnsi="Times New Roman"/>
          <w:sz w:val="28"/>
          <w:szCs w:val="28"/>
        </w:rPr>
      </w:pPr>
    </w:p>
    <w:p w:rsidR="002D1E45" w:rsidRDefault="002D1E45" w:rsidP="00212629">
      <w:pPr>
        <w:spacing w:after="0" w:line="240" w:lineRule="auto"/>
        <w:ind w:left="1069"/>
        <w:jc w:val="right"/>
        <w:rPr>
          <w:rFonts w:ascii="Times New Roman" w:hAnsi="Times New Roman"/>
          <w:sz w:val="28"/>
          <w:szCs w:val="28"/>
        </w:rPr>
      </w:pPr>
    </w:p>
    <w:p w:rsidR="002D1E45" w:rsidRDefault="002D1E45" w:rsidP="00212629">
      <w:pPr>
        <w:spacing w:after="0" w:line="240" w:lineRule="auto"/>
        <w:ind w:left="1069"/>
        <w:jc w:val="right"/>
        <w:rPr>
          <w:rFonts w:ascii="Times New Roman" w:hAnsi="Times New Roman"/>
          <w:sz w:val="28"/>
          <w:szCs w:val="28"/>
        </w:rPr>
      </w:pPr>
    </w:p>
    <w:p w:rsidR="002D1E45" w:rsidRPr="00212629" w:rsidRDefault="002D1E45" w:rsidP="00212629">
      <w:pPr>
        <w:spacing w:after="0" w:line="240" w:lineRule="auto"/>
        <w:ind w:left="1069"/>
        <w:jc w:val="right"/>
        <w:rPr>
          <w:rFonts w:ascii="Times New Roman" w:hAnsi="Times New Roman"/>
          <w:sz w:val="28"/>
          <w:szCs w:val="28"/>
        </w:rPr>
      </w:pPr>
      <w:r w:rsidRPr="00212629">
        <w:rPr>
          <w:rFonts w:ascii="Times New Roman" w:hAnsi="Times New Roman"/>
          <w:sz w:val="28"/>
          <w:szCs w:val="28"/>
        </w:rPr>
        <w:t xml:space="preserve">Таблица </w:t>
      </w:r>
      <w:r w:rsidRPr="00212629">
        <w:rPr>
          <w:rFonts w:ascii="Times New Roman" w:hAnsi="Times New Roman"/>
          <w:sz w:val="28"/>
          <w:szCs w:val="28"/>
        </w:rPr>
        <w:fldChar w:fldCharType="begin"/>
      </w:r>
      <w:r w:rsidRPr="00212629">
        <w:rPr>
          <w:rFonts w:ascii="Times New Roman" w:hAnsi="Times New Roman"/>
          <w:sz w:val="28"/>
          <w:szCs w:val="28"/>
        </w:rPr>
        <w:instrText xml:space="preserve"> SEQ Таблица \* ARABIC </w:instrText>
      </w:r>
      <w:r w:rsidRPr="00212629">
        <w:rPr>
          <w:rFonts w:ascii="Times New Roman" w:hAnsi="Times New Roman"/>
          <w:sz w:val="28"/>
          <w:szCs w:val="28"/>
        </w:rPr>
        <w:fldChar w:fldCharType="separate"/>
      </w:r>
      <w:r>
        <w:rPr>
          <w:rFonts w:ascii="Times New Roman" w:hAnsi="Times New Roman"/>
          <w:noProof/>
          <w:sz w:val="28"/>
          <w:szCs w:val="28"/>
        </w:rPr>
        <w:t>57</w:t>
      </w:r>
      <w:r w:rsidRPr="00212629">
        <w:rPr>
          <w:rFonts w:ascii="Times New Roman" w:hAnsi="Times New Roman"/>
          <w:sz w:val="28"/>
          <w:szCs w:val="28"/>
        </w:rPr>
        <w:fldChar w:fldCharType="end"/>
      </w:r>
    </w:p>
    <w:p w:rsidR="002D1E45" w:rsidRPr="00212629" w:rsidRDefault="002D1E45" w:rsidP="00212629">
      <w:pPr>
        <w:spacing w:after="120" w:line="240" w:lineRule="auto"/>
        <w:ind w:left="1069"/>
        <w:jc w:val="center"/>
        <w:rPr>
          <w:rFonts w:ascii="Times New Roman" w:hAnsi="Times New Roman"/>
          <w:sz w:val="28"/>
          <w:szCs w:val="24"/>
          <w:lang w:eastAsia="ru-RU"/>
        </w:rPr>
      </w:pPr>
      <w:r w:rsidRPr="00212629">
        <w:rPr>
          <w:rFonts w:ascii="Times New Roman" w:hAnsi="Times New Roman"/>
          <w:sz w:val="28"/>
          <w:szCs w:val="24"/>
          <w:lang w:eastAsia="ru-RU"/>
        </w:rPr>
        <w:t>Расчёт потребности в</w:t>
      </w:r>
      <w:r>
        <w:rPr>
          <w:rFonts w:ascii="Times New Roman" w:hAnsi="Times New Roman"/>
          <w:sz w:val="28"/>
          <w:szCs w:val="24"/>
          <w:lang w:eastAsia="ru-RU"/>
        </w:rPr>
        <w:t> </w:t>
      </w:r>
      <w:r w:rsidRPr="00212629">
        <w:rPr>
          <w:rFonts w:ascii="Times New Roman" w:hAnsi="Times New Roman"/>
          <w:sz w:val="28"/>
          <w:szCs w:val="24"/>
          <w:lang w:eastAsia="ru-RU"/>
        </w:rPr>
        <w:t>объектах культурно-досугового профиля</w:t>
      </w:r>
    </w:p>
    <w:tbl>
      <w:tblPr>
        <w:tblW w:w="9776" w:type="dxa"/>
        <w:jc w:val="center"/>
        <w:tblLayout w:type="fixed"/>
        <w:tblLook w:val="00A0"/>
      </w:tblPr>
      <w:tblGrid>
        <w:gridCol w:w="2262"/>
        <w:gridCol w:w="1276"/>
        <w:gridCol w:w="1276"/>
        <w:gridCol w:w="850"/>
        <w:gridCol w:w="994"/>
        <w:gridCol w:w="1275"/>
        <w:gridCol w:w="851"/>
        <w:gridCol w:w="992"/>
      </w:tblGrid>
      <w:tr w:rsidR="002D1E45" w:rsidRPr="00212629" w:rsidTr="00B17267">
        <w:trPr>
          <w:trHeight w:val="170"/>
          <w:tblHeader/>
          <w:jc w:val="center"/>
        </w:trPr>
        <w:tc>
          <w:tcPr>
            <w:tcW w:w="2262"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212629" w:rsidRDefault="002D1E45" w:rsidP="00212629">
            <w:pPr>
              <w:spacing w:after="0" w:line="240" w:lineRule="auto"/>
              <w:jc w:val="center"/>
              <w:rPr>
                <w:rFonts w:ascii="Times New Roman" w:hAnsi="Times New Roman"/>
                <w:color w:val="000000"/>
                <w:lang w:eastAsia="ru-RU"/>
              </w:rPr>
            </w:pPr>
            <w:r>
              <w:rPr>
                <w:rFonts w:ascii="Times New Roman" w:hAnsi="Times New Roman"/>
                <w:color w:val="000000"/>
                <w:lang w:eastAsia="ru-RU"/>
              </w:rPr>
              <w:t>Населённый пункт</w:t>
            </w:r>
          </w:p>
        </w:tc>
        <w:tc>
          <w:tcPr>
            <w:tcW w:w="1276"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212629" w:rsidRDefault="002D1E45" w:rsidP="00212629">
            <w:pPr>
              <w:spacing w:after="0" w:line="240" w:lineRule="auto"/>
              <w:jc w:val="center"/>
              <w:rPr>
                <w:rFonts w:ascii="Times New Roman" w:hAnsi="Times New Roman"/>
                <w:color w:val="000000"/>
                <w:lang w:eastAsia="ru-RU"/>
              </w:rPr>
            </w:pPr>
            <w:r w:rsidRPr="00212629">
              <w:rPr>
                <w:rFonts w:ascii="Times New Roman" w:hAnsi="Times New Roman"/>
                <w:color w:val="000000"/>
                <w:lang w:eastAsia="ru-RU"/>
              </w:rPr>
              <w:t>Население, расчётный срок (20</w:t>
            </w:r>
            <w:r>
              <w:rPr>
                <w:rFonts w:ascii="Times New Roman" w:hAnsi="Times New Roman"/>
                <w:color w:val="000000"/>
                <w:lang w:eastAsia="ru-RU"/>
              </w:rPr>
              <w:t xml:space="preserve">40 </w:t>
            </w:r>
            <w:r w:rsidRPr="00212629">
              <w:rPr>
                <w:rFonts w:ascii="Times New Roman" w:hAnsi="Times New Roman"/>
                <w:color w:val="000000"/>
                <w:lang w:eastAsia="ru-RU"/>
              </w:rPr>
              <w:t>г.)</w:t>
            </w:r>
          </w:p>
        </w:tc>
        <w:tc>
          <w:tcPr>
            <w:tcW w:w="3120" w:type="dxa"/>
            <w:gridSpan w:val="3"/>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212629" w:rsidRDefault="002D1E45" w:rsidP="00212629">
            <w:pPr>
              <w:spacing w:after="0" w:line="240" w:lineRule="auto"/>
              <w:jc w:val="center"/>
              <w:rPr>
                <w:rFonts w:ascii="Times New Roman" w:hAnsi="Times New Roman"/>
                <w:color w:val="000000"/>
                <w:lang w:eastAsia="ru-RU"/>
              </w:rPr>
            </w:pPr>
            <w:r w:rsidRPr="00212629">
              <w:rPr>
                <w:rFonts w:ascii="Times New Roman" w:hAnsi="Times New Roman"/>
                <w:color w:val="000000"/>
                <w:lang w:eastAsia="ru-RU"/>
              </w:rPr>
              <w:t>Учреждения клубного типа, мест</w:t>
            </w:r>
          </w:p>
        </w:tc>
        <w:tc>
          <w:tcPr>
            <w:tcW w:w="3118" w:type="dxa"/>
            <w:gridSpan w:val="3"/>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212629" w:rsidRDefault="002D1E45" w:rsidP="00212629">
            <w:pPr>
              <w:spacing w:after="0" w:line="240" w:lineRule="auto"/>
              <w:jc w:val="center"/>
              <w:rPr>
                <w:rFonts w:ascii="Times New Roman" w:hAnsi="Times New Roman"/>
                <w:color w:val="000000"/>
                <w:lang w:eastAsia="ru-RU"/>
              </w:rPr>
            </w:pPr>
            <w:r w:rsidRPr="00212629">
              <w:rPr>
                <w:rFonts w:ascii="Times New Roman" w:hAnsi="Times New Roman"/>
                <w:color w:val="000000"/>
                <w:lang w:eastAsia="ru-RU"/>
              </w:rPr>
              <w:t>Массовые библиотеки, тыс. экз. хранения</w:t>
            </w:r>
          </w:p>
        </w:tc>
      </w:tr>
      <w:tr w:rsidR="002D1E45" w:rsidRPr="00212629" w:rsidTr="00B17267">
        <w:trPr>
          <w:trHeight w:val="170"/>
          <w:tblHeader/>
          <w:jc w:val="center"/>
        </w:trPr>
        <w:tc>
          <w:tcPr>
            <w:tcW w:w="2262" w:type="dxa"/>
            <w:vMerge/>
            <w:tcBorders>
              <w:top w:val="single" w:sz="4" w:space="0" w:color="auto"/>
              <w:left w:val="single" w:sz="4" w:space="0" w:color="auto"/>
              <w:bottom w:val="single" w:sz="4" w:space="0" w:color="auto"/>
              <w:right w:val="single" w:sz="4" w:space="0" w:color="auto"/>
            </w:tcBorders>
            <w:vAlign w:val="center"/>
          </w:tcPr>
          <w:p w:rsidR="002D1E45" w:rsidRPr="00212629" w:rsidRDefault="002D1E45" w:rsidP="00212629">
            <w:pPr>
              <w:spacing w:after="0" w:line="240" w:lineRule="auto"/>
              <w:rPr>
                <w:rFonts w:ascii="Times New Roman" w:hAnsi="Times New Roman"/>
                <w:color w:val="000000"/>
                <w:lang w:eastAsia="ru-RU"/>
              </w:rPr>
            </w:pPr>
          </w:p>
        </w:tc>
        <w:tc>
          <w:tcPr>
            <w:tcW w:w="1276" w:type="dxa"/>
            <w:vMerge/>
            <w:tcBorders>
              <w:top w:val="single" w:sz="4" w:space="0" w:color="auto"/>
              <w:left w:val="single" w:sz="4" w:space="0" w:color="auto"/>
              <w:bottom w:val="single" w:sz="4" w:space="0" w:color="auto"/>
              <w:right w:val="single" w:sz="4" w:space="0" w:color="auto"/>
            </w:tcBorders>
            <w:vAlign w:val="center"/>
          </w:tcPr>
          <w:p w:rsidR="002D1E45" w:rsidRPr="00212629" w:rsidRDefault="002D1E45" w:rsidP="00212629">
            <w:pPr>
              <w:spacing w:after="0" w:line="240" w:lineRule="auto"/>
              <w:rPr>
                <w:rFonts w:ascii="Times New Roman" w:hAnsi="Times New Roman"/>
                <w:color w:val="000000"/>
                <w:lang w:eastAsia="ru-RU"/>
              </w:rPr>
            </w:pPr>
          </w:p>
        </w:tc>
        <w:tc>
          <w:tcPr>
            <w:tcW w:w="1276"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212629" w:rsidRDefault="002D1E45" w:rsidP="00212629">
            <w:pPr>
              <w:spacing w:after="0" w:line="240" w:lineRule="auto"/>
              <w:jc w:val="center"/>
              <w:rPr>
                <w:rFonts w:ascii="Times New Roman" w:hAnsi="Times New Roman"/>
                <w:color w:val="000000"/>
                <w:lang w:eastAsia="ru-RU"/>
              </w:rPr>
            </w:pPr>
            <w:r w:rsidRPr="00212629">
              <w:rPr>
                <w:rFonts w:ascii="Times New Roman" w:hAnsi="Times New Roman"/>
                <w:color w:val="000000"/>
                <w:lang w:eastAsia="ru-RU"/>
              </w:rPr>
              <w:t>Существующее кол-во</w:t>
            </w:r>
          </w:p>
        </w:tc>
        <w:tc>
          <w:tcPr>
            <w:tcW w:w="85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212629" w:rsidRDefault="002D1E45" w:rsidP="00212629">
            <w:pPr>
              <w:spacing w:after="0" w:line="240" w:lineRule="auto"/>
              <w:jc w:val="center"/>
              <w:rPr>
                <w:rFonts w:ascii="Times New Roman" w:hAnsi="Times New Roman"/>
                <w:color w:val="000000"/>
                <w:lang w:eastAsia="ru-RU"/>
              </w:rPr>
            </w:pPr>
            <w:r w:rsidRPr="00212629">
              <w:rPr>
                <w:rFonts w:ascii="Times New Roman" w:hAnsi="Times New Roman"/>
                <w:color w:val="000000"/>
                <w:lang w:eastAsia="ru-RU"/>
              </w:rPr>
              <w:t>Норматив</w:t>
            </w:r>
          </w:p>
        </w:tc>
        <w:tc>
          <w:tcPr>
            <w:tcW w:w="994"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212629" w:rsidRDefault="002D1E45" w:rsidP="00212629">
            <w:pPr>
              <w:spacing w:after="0" w:line="240" w:lineRule="auto"/>
              <w:jc w:val="center"/>
              <w:rPr>
                <w:rFonts w:ascii="Times New Roman" w:hAnsi="Times New Roman"/>
                <w:color w:val="000000"/>
                <w:lang w:eastAsia="ru-RU"/>
              </w:rPr>
            </w:pPr>
            <w:r w:rsidRPr="00212629">
              <w:rPr>
                <w:rFonts w:ascii="Times New Roman" w:hAnsi="Times New Roman"/>
                <w:color w:val="000000"/>
                <w:lang w:eastAsia="ru-RU"/>
              </w:rPr>
              <w:t>Дефицит (-) / Избыток (+)</w:t>
            </w:r>
          </w:p>
        </w:tc>
        <w:tc>
          <w:tcPr>
            <w:tcW w:w="127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212629" w:rsidRDefault="002D1E45" w:rsidP="00212629">
            <w:pPr>
              <w:spacing w:after="0" w:line="240" w:lineRule="auto"/>
              <w:jc w:val="center"/>
              <w:rPr>
                <w:rFonts w:ascii="Times New Roman" w:hAnsi="Times New Roman"/>
                <w:color w:val="000000"/>
                <w:lang w:eastAsia="ru-RU"/>
              </w:rPr>
            </w:pPr>
            <w:r w:rsidRPr="00212629">
              <w:rPr>
                <w:rFonts w:ascii="Times New Roman" w:hAnsi="Times New Roman"/>
                <w:color w:val="000000"/>
                <w:lang w:eastAsia="ru-RU"/>
              </w:rPr>
              <w:t>Существующее кол-во</w:t>
            </w:r>
          </w:p>
        </w:tc>
        <w:tc>
          <w:tcPr>
            <w:tcW w:w="85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212629" w:rsidRDefault="002D1E45" w:rsidP="00212629">
            <w:pPr>
              <w:spacing w:after="0" w:line="240" w:lineRule="auto"/>
              <w:jc w:val="center"/>
              <w:rPr>
                <w:rFonts w:ascii="Times New Roman" w:hAnsi="Times New Roman"/>
                <w:color w:val="000000"/>
                <w:lang w:eastAsia="ru-RU"/>
              </w:rPr>
            </w:pPr>
            <w:r w:rsidRPr="00212629">
              <w:rPr>
                <w:rFonts w:ascii="Times New Roman" w:hAnsi="Times New Roman"/>
                <w:color w:val="000000"/>
                <w:lang w:eastAsia="ru-RU"/>
              </w:rPr>
              <w:t>Норматив</w:t>
            </w:r>
          </w:p>
        </w:tc>
        <w:tc>
          <w:tcPr>
            <w:tcW w:w="992"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212629" w:rsidRDefault="002D1E45" w:rsidP="00212629">
            <w:pPr>
              <w:spacing w:after="0" w:line="240" w:lineRule="auto"/>
              <w:jc w:val="center"/>
              <w:rPr>
                <w:rFonts w:ascii="Times New Roman" w:hAnsi="Times New Roman"/>
                <w:color w:val="000000"/>
                <w:lang w:eastAsia="ru-RU"/>
              </w:rPr>
            </w:pPr>
            <w:r w:rsidRPr="00212629">
              <w:rPr>
                <w:rFonts w:ascii="Times New Roman" w:hAnsi="Times New Roman"/>
                <w:color w:val="000000"/>
                <w:lang w:eastAsia="ru-RU"/>
              </w:rPr>
              <w:t>Дефицит (-) / Избыток (+)</w:t>
            </w:r>
          </w:p>
        </w:tc>
      </w:tr>
      <w:tr w:rsidR="002D1E45" w:rsidRPr="00212629" w:rsidTr="00C742F4">
        <w:trPr>
          <w:trHeight w:val="170"/>
          <w:jc w:val="center"/>
        </w:trPr>
        <w:tc>
          <w:tcPr>
            <w:tcW w:w="2262"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tcPr>
          <w:p w:rsidR="002D1E45" w:rsidRPr="00143B0F" w:rsidRDefault="002D1E45" w:rsidP="00C742F4">
            <w:pPr>
              <w:spacing w:after="0" w:line="240" w:lineRule="auto"/>
              <w:ind w:left="57" w:right="57"/>
              <w:rPr>
                <w:rFonts w:ascii="Times New Roman" w:hAnsi="Times New Roman"/>
                <w:lang w:eastAsia="ru-RU"/>
              </w:rPr>
            </w:pPr>
            <w:r>
              <w:rPr>
                <w:rFonts w:ascii="Times New Roman" w:hAnsi="Times New Roman"/>
                <w:color w:val="000000"/>
                <w:lang w:eastAsia="ru-RU"/>
              </w:rPr>
              <w:t>г. Куйбышев</w:t>
            </w:r>
          </w:p>
        </w:tc>
        <w:tc>
          <w:tcPr>
            <w:tcW w:w="1276"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5C4930" w:rsidRDefault="002D1E45" w:rsidP="00C742F4">
            <w:pPr>
              <w:spacing w:after="0" w:line="240" w:lineRule="auto"/>
              <w:jc w:val="center"/>
              <w:rPr>
                <w:rFonts w:ascii="Times New Roman" w:hAnsi="Times New Roman"/>
                <w:color w:val="000000"/>
                <w:lang w:eastAsia="ru-RU"/>
              </w:rPr>
            </w:pPr>
            <w:r w:rsidRPr="00C742F4">
              <w:rPr>
                <w:rFonts w:ascii="Times New Roman" w:hAnsi="Times New Roman"/>
                <w:color w:val="000000"/>
                <w:lang w:eastAsia="ru-RU"/>
              </w:rPr>
              <w:t>38 950</w:t>
            </w:r>
          </w:p>
        </w:tc>
        <w:tc>
          <w:tcPr>
            <w:tcW w:w="1276"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5C4930" w:rsidRDefault="002D1E45" w:rsidP="00C742F4">
            <w:pPr>
              <w:spacing w:after="0" w:line="240" w:lineRule="auto"/>
              <w:jc w:val="center"/>
              <w:rPr>
                <w:rFonts w:ascii="Times New Roman" w:hAnsi="Times New Roman"/>
                <w:color w:val="000000"/>
                <w:lang w:eastAsia="ru-RU"/>
              </w:rPr>
            </w:pPr>
            <w:r w:rsidRPr="00C742F4">
              <w:rPr>
                <w:rFonts w:ascii="Times New Roman" w:hAnsi="Times New Roman"/>
                <w:color w:val="000000"/>
                <w:lang w:eastAsia="ru-RU"/>
              </w:rPr>
              <w:t>606</w:t>
            </w:r>
          </w:p>
        </w:tc>
        <w:tc>
          <w:tcPr>
            <w:tcW w:w="85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5C4930" w:rsidRDefault="002D1E45" w:rsidP="00C742F4">
            <w:pPr>
              <w:spacing w:after="0" w:line="240" w:lineRule="auto"/>
              <w:jc w:val="center"/>
              <w:rPr>
                <w:rFonts w:ascii="Times New Roman" w:hAnsi="Times New Roman"/>
                <w:color w:val="000000"/>
                <w:lang w:eastAsia="ru-RU"/>
              </w:rPr>
            </w:pPr>
            <w:r w:rsidRPr="00C742F4">
              <w:rPr>
                <w:rFonts w:ascii="Times New Roman" w:hAnsi="Times New Roman"/>
                <w:color w:val="000000"/>
                <w:lang w:eastAsia="ru-RU"/>
              </w:rPr>
              <w:t>1 948</w:t>
            </w:r>
          </w:p>
        </w:tc>
        <w:tc>
          <w:tcPr>
            <w:tcW w:w="994"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5C4930" w:rsidRDefault="002D1E45" w:rsidP="00C742F4">
            <w:pPr>
              <w:spacing w:after="0" w:line="240" w:lineRule="auto"/>
              <w:jc w:val="center"/>
              <w:rPr>
                <w:rFonts w:ascii="Times New Roman" w:hAnsi="Times New Roman"/>
                <w:color w:val="000000"/>
                <w:lang w:eastAsia="ru-RU"/>
              </w:rPr>
            </w:pPr>
            <w:r w:rsidRPr="00C742F4">
              <w:rPr>
                <w:rFonts w:ascii="Times New Roman" w:hAnsi="Times New Roman"/>
                <w:color w:val="000000"/>
                <w:lang w:eastAsia="ru-RU"/>
              </w:rPr>
              <w:t>-1 342</w:t>
            </w:r>
          </w:p>
        </w:tc>
        <w:tc>
          <w:tcPr>
            <w:tcW w:w="127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5C4930" w:rsidRDefault="002D1E45" w:rsidP="00C742F4">
            <w:pPr>
              <w:spacing w:after="0" w:line="240" w:lineRule="auto"/>
              <w:jc w:val="center"/>
              <w:rPr>
                <w:rFonts w:ascii="Times New Roman" w:hAnsi="Times New Roman"/>
                <w:color w:val="000000"/>
                <w:lang w:eastAsia="ru-RU"/>
              </w:rPr>
            </w:pPr>
            <w:r w:rsidRPr="00C742F4">
              <w:rPr>
                <w:rFonts w:ascii="Times New Roman" w:hAnsi="Times New Roman"/>
                <w:color w:val="000000"/>
                <w:lang w:eastAsia="ru-RU"/>
              </w:rPr>
              <w:t>148,4</w:t>
            </w:r>
          </w:p>
        </w:tc>
        <w:tc>
          <w:tcPr>
            <w:tcW w:w="85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5C4930" w:rsidRDefault="002D1E45" w:rsidP="00C742F4">
            <w:pPr>
              <w:spacing w:after="0" w:line="240" w:lineRule="auto"/>
              <w:jc w:val="center"/>
              <w:rPr>
                <w:rFonts w:ascii="Times New Roman" w:hAnsi="Times New Roman"/>
                <w:color w:val="000000"/>
                <w:lang w:eastAsia="ru-RU"/>
              </w:rPr>
            </w:pPr>
            <w:r w:rsidRPr="00C742F4">
              <w:rPr>
                <w:rFonts w:ascii="Times New Roman" w:hAnsi="Times New Roman"/>
                <w:color w:val="000000"/>
                <w:lang w:eastAsia="ru-RU"/>
              </w:rPr>
              <w:t>155,8</w:t>
            </w:r>
          </w:p>
        </w:tc>
        <w:tc>
          <w:tcPr>
            <w:tcW w:w="992"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5C4930" w:rsidRDefault="002D1E45" w:rsidP="00C742F4">
            <w:pPr>
              <w:spacing w:after="0" w:line="240" w:lineRule="auto"/>
              <w:jc w:val="center"/>
              <w:rPr>
                <w:rFonts w:ascii="Times New Roman" w:hAnsi="Times New Roman"/>
                <w:color w:val="000000"/>
                <w:lang w:eastAsia="ru-RU"/>
              </w:rPr>
            </w:pPr>
            <w:r w:rsidRPr="00C742F4">
              <w:rPr>
                <w:rFonts w:ascii="Times New Roman" w:hAnsi="Times New Roman"/>
                <w:color w:val="000000"/>
                <w:lang w:eastAsia="ru-RU"/>
              </w:rPr>
              <w:t>-7,4</w:t>
            </w:r>
          </w:p>
        </w:tc>
      </w:tr>
    </w:tbl>
    <w:p w:rsidR="002D1E45" w:rsidRPr="003A7901" w:rsidRDefault="002D1E45" w:rsidP="003A7901">
      <w:pPr>
        <w:spacing w:after="0" w:line="240" w:lineRule="auto"/>
        <w:jc w:val="center"/>
        <w:rPr>
          <w:rFonts w:ascii="Times New Roman" w:hAnsi="Times New Roman"/>
          <w:sz w:val="28"/>
          <w:szCs w:val="28"/>
        </w:rPr>
      </w:pPr>
    </w:p>
    <w:p w:rsidR="002D1E45" w:rsidRDefault="002D1E45" w:rsidP="00C742F4">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В городе наблюдается недостаток мест в досуговых учреждениях, а также фондов хранения в библиотеках. В связи с этим, Генеральным планом рекомендуется строительство:</w:t>
      </w:r>
    </w:p>
    <w:p w:rsidR="002D1E45" w:rsidRPr="00C742F4" w:rsidRDefault="002D1E45" w:rsidP="00D05D06">
      <w:pPr>
        <w:numPr>
          <w:ilvl w:val="0"/>
          <w:numId w:val="60"/>
        </w:numPr>
        <w:spacing w:after="0" w:line="240" w:lineRule="auto"/>
        <w:jc w:val="both"/>
        <w:rPr>
          <w:rFonts w:ascii="Times New Roman" w:hAnsi="Times New Roman"/>
          <w:sz w:val="28"/>
          <w:szCs w:val="24"/>
          <w:lang w:eastAsia="ru-RU"/>
        </w:rPr>
      </w:pPr>
      <w:r w:rsidRPr="00C742F4">
        <w:rPr>
          <w:rFonts w:ascii="Times New Roman" w:hAnsi="Times New Roman"/>
          <w:sz w:val="28"/>
          <w:szCs w:val="24"/>
          <w:lang w:eastAsia="ru-RU"/>
        </w:rPr>
        <w:t>Многофункционального торгово-развлекательного комплекса на 2 зала по 300 мест;</w:t>
      </w:r>
    </w:p>
    <w:p w:rsidR="002D1E45" w:rsidRPr="00C742F4" w:rsidRDefault="002D1E45" w:rsidP="00D05D06">
      <w:pPr>
        <w:numPr>
          <w:ilvl w:val="0"/>
          <w:numId w:val="60"/>
        </w:numPr>
        <w:spacing w:after="0" w:line="240" w:lineRule="auto"/>
        <w:jc w:val="both"/>
        <w:rPr>
          <w:rFonts w:ascii="Times New Roman" w:hAnsi="Times New Roman"/>
          <w:sz w:val="28"/>
          <w:szCs w:val="24"/>
          <w:lang w:eastAsia="ru-RU"/>
        </w:rPr>
      </w:pPr>
      <w:r w:rsidRPr="00C742F4">
        <w:rPr>
          <w:rFonts w:ascii="Times New Roman" w:hAnsi="Times New Roman"/>
          <w:sz w:val="28"/>
          <w:szCs w:val="24"/>
          <w:lang w:eastAsia="ru-RU"/>
        </w:rPr>
        <w:t>Учреждения культурно-досугового назначения</w:t>
      </w:r>
      <w:r w:rsidRPr="00C742F4">
        <w:rPr>
          <w:rFonts w:ascii="Times New Roman" w:hAnsi="Times New Roman"/>
          <w:sz w:val="28"/>
          <w:szCs w:val="24"/>
          <w:lang w:eastAsia="ru-RU"/>
        </w:rPr>
        <w:tab/>
        <w:t xml:space="preserve"> с залом на 400 мест;</w:t>
      </w:r>
    </w:p>
    <w:p w:rsidR="002D1E45" w:rsidRPr="00C742F4" w:rsidRDefault="002D1E45" w:rsidP="00D05D06">
      <w:pPr>
        <w:numPr>
          <w:ilvl w:val="0"/>
          <w:numId w:val="60"/>
        </w:numPr>
        <w:spacing w:after="0" w:line="240" w:lineRule="auto"/>
        <w:jc w:val="both"/>
        <w:rPr>
          <w:rFonts w:ascii="Times New Roman" w:hAnsi="Times New Roman"/>
          <w:sz w:val="28"/>
          <w:szCs w:val="24"/>
          <w:lang w:eastAsia="ru-RU"/>
        </w:rPr>
      </w:pPr>
      <w:r w:rsidRPr="00C742F4">
        <w:rPr>
          <w:rFonts w:ascii="Times New Roman" w:hAnsi="Times New Roman"/>
          <w:sz w:val="28"/>
          <w:szCs w:val="24"/>
          <w:lang w:eastAsia="ru-RU"/>
        </w:rPr>
        <w:t>Концертного зала на 340 мест.</w:t>
      </w:r>
    </w:p>
    <w:p w:rsidR="002D1E45" w:rsidRDefault="002D1E45" w:rsidP="003C2E68">
      <w:pPr>
        <w:spacing w:after="0" w:line="240" w:lineRule="auto"/>
        <w:ind w:firstLine="709"/>
        <w:jc w:val="both"/>
        <w:rPr>
          <w:rFonts w:ascii="Times New Roman" w:hAnsi="Times New Roman"/>
          <w:sz w:val="28"/>
          <w:szCs w:val="28"/>
        </w:rPr>
      </w:pPr>
      <w:r>
        <w:rPr>
          <w:rFonts w:ascii="Times New Roman" w:hAnsi="Times New Roman"/>
          <w:color w:val="000000"/>
          <w:sz w:val="28"/>
          <w:szCs w:val="28"/>
        </w:rPr>
        <w:t xml:space="preserve">При этом рекомендуется </w:t>
      </w:r>
      <w:r>
        <w:rPr>
          <w:rFonts w:ascii="Times New Roman" w:hAnsi="Times New Roman"/>
          <w:sz w:val="28"/>
          <w:szCs w:val="28"/>
        </w:rPr>
        <w:t>проведение капитального ремонта зданий и помещений:</w:t>
      </w:r>
    </w:p>
    <w:p w:rsidR="002D1E45" w:rsidRPr="00004D19" w:rsidRDefault="002D1E45" w:rsidP="00D05D06">
      <w:pPr>
        <w:numPr>
          <w:ilvl w:val="0"/>
          <w:numId w:val="60"/>
        </w:numPr>
        <w:spacing w:after="0" w:line="240" w:lineRule="auto"/>
        <w:jc w:val="both"/>
        <w:rPr>
          <w:rFonts w:ascii="Times New Roman" w:hAnsi="Times New Roman"/>
          <w:sz w:val="28"/>
          <w:szCs w:val="24"/>
          <w:lang w:eastAsia="ru-RU"/>
        </w:rPr>
      </w:pPr>
      <w:r w:rsidRPr="00004D19">
        <w:rPr>
          <w:rFonts w:ascii="Times New Roman" w:hAnsi="Times New Roman"/>
          <w:sz w:val="28"/>
          <w:szCs w:val="24"/>
          <w:lang w:eastAsia="ru-RU"/>
        </w:rPr>
        <w:t>МБУ «Дом молодёжи Куйбышевского района»;</w:t>
      </w:r>
    </w:p>
    <w:p w:rsidR="002D1E45" w:rsidRPr="00004D19" w:rsidRDefault="002D1E45" w:rsidP="00D05D06">
      <w:pPr>
        <w:numPr>
          <w:ilvl w:val="0"/>
          <w:numId w:val="60"/>
        </w:numPr>
        <w:spacing w:after="0" w:line="240" w:lineRule="auto"/>
        <w:jc w:val="both"/>
        <w:rPr>
          <w:rFonts w:ascii="Times New Roman" w:hAnsi="Times New Roman"/>
          <w:sz w:val="28"/>
          <w:szCs w:val="24"/>
          <w:lang w:eastAsia="ru-RU"/>
        </w:rPr>
      </w:pPr>
      <w:r w:rsidRPr="00004D19">
        <w:rPr>
          <w:rFonts w:ascii="Times New Roman" w:hAnsi="Times New Roman"/>
          <w:sz w:val="28"/>
          <w:szCs w:val="24"/>
          <w:lang w:eastAsia="ru-RU"/>
        </w:rPr>
        <w:t>Дворца культуры им. В.В. Куйбышева;</w:t>
      </w:r>
    </w:p>
    <w:p w:rsidR="002D1E45" w:rsidRPr="00004D19" w:rsidRDefault="002D1E45" w:rsidP="00D05D06">
      <w:pPr>
        <w:numPr>
          <w:ilvl w:val="0"/>
          <w:numId w:val="60"/>
        </w:numPr>
        <w:spacing w:after="0" w:line="240" w:lineRule="auto"/>
        <w:jc w:val="both"/>
        <w:rPr>
          <w:rFonts w:ascii="Times New Roman" w:hAnsi="Times New Roman"/>
          <w:sz w:val="28"/>
          <w:szCs w:val="24"/>
          <w:lang w:eastAsia="ru-RU"/>
        </w:rPr>
      </w:pPr>
      <w:r w:rsidRPr="00004D19">
        <w:rPr>
          <w:rFonts w:ascii="Times New Roman" w:hAnsi="Times New Roman"/>
          <w:sz w:val="28"/>
          <w:szCs w:val="24"/>
          <w:lang w:eastAsia="ru-RU"/>
        </w:rPr>
        <w:t>Административного здания в сквере «Городской сад»;</w:t>
      </w:r>
    </w:p>
    <w:p w:rsidR="002D1E45" w:rsidRPr="00004D19" w:rsidRDefault="002D1E45" w:rsidP="00D05D06">
      <w:pPr>
        <w:numPr>
          <w:ilvl w:val="0"/>
          <w:numId w:val="60"/>
        </w:numPr>
        <w:spacing w:after="0" w:line="240" w:lineRule="auto"/>
        <w:jc w:val="both"/>
        <w:rPr>
          <w:rFonts w:ascii="Times New Roman" w:hAnsi="Times New Roman"/>
          <w:sz w:val="28"/>
          <w:szCs w:val="24"/>
          <w:lang w:eastAsia="ru-RU"/>
        </w:rPr>
      </w:pPr>
      <w:r w:rsidRPr="00004D19">
        <w:rPr>
          <w:rFonts w:ascii="Times New Roman" w:hAnsi="Times New Roman"/>
          <w:sz w:val="28"/>
          <w:szCs w:val="24"/>
          <w:lang w:eastAsia="ru-RU"/>
        </w:rPr>
        <w:t>Здания тира в сквере «Городской сад»;</w:t>
      </w:r>
    </w:p>
    <w:p w:rsidR="002D1E45" w:rsidRPr="00004D19" w:rsidRDefault="002D1E45" w:rsidP="00D05D06">
      <w:pPr>
        <w:numPr>
          <w:ilvl w:val="0"/>
          <w:numId w:val="60"/>
        </w:numPr>
        <w:spacing w:after="0" w:line="240" w:lineRule="auto"/>
        <w:jc w:val="both"/>
        <w:rPr>
          <w:rFonts w:ascii="Times New Roman" w:hAnsi="Times New Roman"/>
          <w:sz w:val="28"/>
          <w:szCs w:val="24"/>
          <w:lang w:eastAsia="ru-RU"/>
        </w:rPr>
      </w:pPr>
      <w:r w:rsidRPr="00004D19">
        <w:rPr>
          <w:rFonts w:ascii="Times New Roman" w:hAnsi="Times New Roman"/>
          <w:sz w:val="28"/>
          <w:szCs w:val="24"/>
          <w:lang w:eastAsia="ru-RU"/>
        </w:rPr>
        <w:t>Центральной библиотеки (ул. Красная, 25);</w:t>
      </w:r>
    </w:p>
    <w:p w:rsidR="002D1E45" w:rsidRPr="00004D19" w:rsidRDefault="002D1E45" w:rsidP="00D05D06">
      <w:pPr>
        <w:numPr>
          <w:ilvl w:val="0"/>
          <w:numId w:val="60"/>
        </w:numPr>
        <w:spacing w:after="0" w:line="240" w:lineRule="auto"/>
        <w:jc w:val="both"/>
        <w:rPr>
          <w:rFonts w:ascii="Times New Roman" w:hAnsi="Times New Roman"/>
          <w:sz w:val="28"/>
          <w:szCs w:val="24"/>
          <w:lang w:eastAsia="ru-RU"/>
        </w:rPr>
      </w:pPr>
      <w:r w:rsidRPr="00004D19">
        <w:rPr>
          <w:rFonts w:ascii="Times New Roman" w:hAnsi="Times New Roman"/>
          <w:sz w:val="28"/>
          <w:szCs w:val="24"/>
          <w:lang w:eastAsia="ru-RU"/>
        </w:rPr>
        <w:t>Городской детской библиотеки № 3 (ул. Достоевского, 34);</w:t>
      </w:r>
    </w:p>
    <w:p w:rsidR="002D1E45" w:rsidRPr="00004D19" w:rsidRDefault="002D1E45" w:rsidP="00D05D06">
      <w:pPr>
        <w:numPr>
          <w:ilvl w:val="0"/>
          <w:numId w:val="60"/>
        </w:numPr>
        <w:spacing w:after="0" w:line="240" w:lineRule="auto"/>
        <w:jc w:val="both"/>
        <w:rPr>
          <w:rFonts w:ascii="Times New Roman" w:hAnsi="Times New Roman"/>
          <w:sz w:val="28"/>
          <w:szCs w:val="24"/>
          <w:lang w:eastAsia="ru-RU"/>
        </w:rPr>
      </w:pPr>
      <w:r w:rsidRPr="00004D19">
        <w:rPr>
          <w:rFonts w:ascii="Times New Roman" w:hAnsi="Times New Roman"/>
          <w:sz w:val="28"/>
          <w:szCs w:val="24"/>
          <w:lang w:eastAsia="ru-RU"/>
        </w:rPr>
        <w:t>Городской библиотеки № 1 (ул. Агафонова,71);</w:t>
      </w:r>
    </w:p>
    <w:p w:rsidR="002D1E45" w:rsidRPr="00004D19" w:rsidRDefault="002D1E45" w:rsidP="00D05D06">
      <w:pPr>
        <w:numPr>
          <w:ilvl w:val="0"/>
          <w:numId w:val="60"/>
        </w:numPr>
        <w:spacing w:after="0" w:line="240" w:lineRule="auto"/>
        <w:jc w:val="both"/>
        <w:rPr>
          <w:rFonts w:ascii="Times New Roman" w:hAnsi="Times New Roman"/>
          <w:sz w:val="28"/>
          <w:szCs w:val="24"/>
          <w:lang w:eastAsia="ru-RU"/>
        </w:rPr>
      </w:pPr>
      <w:r w:rsidRPr="00004D19">
        <w:rPr>
          <w:rFonts w:ascii="Times New Roman" w:hAnsi="Times New Roman"/>
          <w:sz w:val="28"/>
          <w:szCs w:val="24"/>
          <w:lang w:eastAsia="ru-RU"/>
        </w:rPr>
        <w:t>Детской библиотеки (ул. Красная, 25);</w:t>
      </w:r>
    </w:p>
    <w:p w:rsidR="002D1E45" w:rsidRPr="00004D19" w:rsidRDefault="002D1E45" w:rsidP="00D05D06">
      <w:pPr>
        <w:numPr>
          <w:ilvl w:val="0"/>
          <w:numId w:val="60"/>
        </w:numPr>
        <w:spacing w:after="0" w:line="240" w:lineRule="auto"/>
        <w:jc w:val="both"/>
        <w:rPr>
          <w:rFonts w:ascii="Times New Roman" w:hAnsi="Times New Roman"/>
          <w:sz w:val="28"/>
          <w:szCs w:val="24"/>
          <w:lang w:eastAsia="ru-RU"/>
        </w:rPr>
      </w:pPr>
      <w:r w:rsidRPr="00004D19">
        <w:rPr>
          <w:rFonts w:ascii="Times New Roman" w:hAnsi="Times New Roman"/>
          <w:sz w:val="28"/>
          <w:szCs w:val="24"/>
          <w:lang w:eastAsia="ru-RU"/>
        </w:rPr>
        <w:t>Краеведческий музей (ул. Коммунистическая, 29);</w:t>
      </w:r>
    </w:p>
    <w:p w:rsidR="002D1E45" w:rsidRPr="00004D19" w:rsidRDefault="002D1E45" w:rsidP="00D05D06">
      <w:pPr>
        <w:numPr>
          <w:ilvl w:val="0"/>
          <w:numId w:val="60"/>
        </w:numPr>
        <w:spacing w:after="0" w:line="240" w:lineRule="auto"/>
        <w:jc w:val="both"/>
        <w:rPr>
          <w:rFonts w:ascii="Times New Roman" w:hAnsi="Times New Roman"/>
          <w:sz w:val="28"/>
          <w:szCs w:val="24"/>
          <w:lang w:eastAsia="ru-RU"/>
        </w:rPr>
      </w:pPr>
      <w:r w:rsidRPr="00004D19">
        <w:rPr>
          <w:rFonts w:ascii="Times New Roman" w:hAnsi="Times New Roman"/>
          <w:sz w:val="28"/>
          <w:szCs w:val="24"/>
          <w:lang w:eastAsia="ru-RU"/>
        </w:rPr>
        <w:t>Дом-музей В.В. Куйбышева (ул. Ленина, 2);</w:t>
      </w:r>
    </w:p>
    <w:p w:rsidR="002D1E45" w:rsidRPr="00004D19" w:rsidRDefault="002D1E45" w:rsidP="00D05D06">
      <w:pPr>
        <w:numPr>
          <w:ilvl w:val="0"/>
          <w:numId w:val="60"/>
        </w:numPr>
        <w:spacing w:after="0" w:line="240" w:lineRule="auto"/>
        <w:jc w:val="both"/>
        <w:rPr>
          <w:rFonts w:ascii="Times New Roman" w:hAnsi="Times New Roman"/>
          <w:sz w:val="28"/>
          <w:szCs w:val="24"/>
          <w:lang w:eastAsia="ru-RU"/>
        </w:rPr>
      </w:pPr>
      <w:r w:rsidRPr="00004D19">
        <w:rPr>
          <w:rFonts w:ascii="Times New Roman" w:hAnsi="Times New Roman"/>
          <w:sz w:val="28"/>
          <w:szCs w:val="24"/>
          <w:lang w:eastAsia="ru-RU"/>
        </w:rPr>
        <w:t>Экспозиционно-выставочный зал (ул. Папшева, 5).</w:t>
      </w:r>
    </w:p>
    <w:p w:rsidR="002D1E45" w:rsidRPr="003A7901" w:rsidRDefault="002D1E45" w:rsidP="003A7901">
      <w:pPr>
        <w:spacing w:after="0" w:line="240" w:lineRule="auto"/>
        <w:ind w:firstLine="709"/>
        <w:jc w:val="both"/>
        <w:rPr>
          <w:rFonts w:ascii="Times New Roman" w:hAnsi="Times New Roman"/>
          <w:color w:val="000000"/>
          <w:sz w:val="28"/>
          <w:szCs w:val="28"/>
        </w:rPr>
      </w:pPr>
      <w:r w:rsidRPr="003A7901">
        <w:rPr>
          <w:rFonts w:ascii="Times New Roman" w:hAnsi="Times New Roman"/>
          <w:color w:val="000000"/>
          <w:sz w:val="28"/>
          <w:szCs w:val="28"/>
        </w:rPr>
        <w:t>Необходимо уделить особое внимание решению следующих проблем в</w:t>
      </w:r>
      <w:r>
        <w:rPr>
          <w:rFonts w:ascii="Times New Roman" w:hAnsi="Times New Roman"/>
          <w:color w:val="000000"/>
          <w:sz w:val="28"/>
          <w:szCs w:val="28"/>
        </w:rPr>
        <w:t> </w:t>
      </w:r>
      <w:r w:rsidRPr="003A7901">
        <w:rPr>
          <w:rFonts w:ascii="Times New Roman" w:hAnsi="Times New Roman"/>
          <w:color w:val="000000"/>
          <w:sz w:val="28"/>
          <w:szCs w:val="28"/>
        </w:rPr>
        <w:t>сфере культуры:</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недостаток кадров, имеющих специальное образование для работы в</w:t>
      </w:r>
      <w:r>
        <w:rPr>
          <w:rFonts w:ascii="Times New Roman" w:hAnsi="Times New Roman"/>
          <w:sz w:val="28"/>
          <w:szCs w:val="28"/>
        </w:rPr>
        <w:t> </w:t>
      </w:r>
      <w:r w:rsidRPr="003A7901">
        <w:rPr>
          <w:rFonts w:ascii="Times New Roman" w:hAnsi="Times New Roman"/>
          <w:sz w:val="28"/>
          <w:szCs w:val="28"/>
        </w:rPr>
        <w:t>учреждениях культуры;</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неполный охват населения творческой деятельностью, необходимо увеличить рост клубных формирований, а</w:t>
      </w:r>
      <w:r>
        <w:rPr>
          <w:rFonts w:ascii="Times New Roman" w:hAnsi="Times New Roman"/>
          <w:sz w:val="28"/>
          <w:szCs w:val="28"/>
        </w:rPr>
        <w:t> </w:t>
      </w:r>
      <w:r w:rsidRPr="003A7901">
        <w:rPr>
          <w:rFonts w:ascii="Times New Roman" w:hAnsi="Times New Roman"/>
          <w:sz w:val="28"/>
          <w:szCs w:val="28"/>
        </w:rPr>
        <w:t>также количество и</w:t>
      </w:r>
      <w:r>
        <w:rPr>
          <w:rFonts w:ascii="Times New Roman" w:hAnsi="Times New Roman"/>
          <w:sz w:val="28"/>
          <w:szCs w:val="28"/>
        </w:rPr>
        <w:t> </w:t>
      </w:r>
      <w:r w:rsidRPr="003A7901">
        <w:rPr>
          <w:rFonts w:ascii="Times New Roman" w:hAnsi="Times New Roman"/>
          <w:sz w:val="28"/>
          <w:szCs w:val="28"/>
        </w:rPr>
        <w:t>качество предоставляемых услуг;</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недостаточно активное использование резерва неорганизованной самодеятельности, а</w:t>
      </w:r>
      <w:r>
        <w:rPr>
          <w:rFonts w:ascii="Times New Roman" w:hAnsi="Times New Roman"/>
          <w:sz w:val="28"/>
          <w:szCs w:val="28"/>
        </w:rPr>
        <w:t> </w:t>
      </w:r>
      <w:r w:rsidRPr="003A7901">
        <w:rPr>
          <w:rFonts w:ascii="Times New Roman" w:hAnsi="Times New Roman"/>
          <w:sz w:val="28"/>
          <w:szCs w:val="28"/>
        </w:rPr>
        <w:t>также недостаточная пропаганда семейных ансамблей и</w:t>
      </w:r>
      <w:r>
        <w:rPr>
          <w:rFonts w:ascii="Times New Roman" w:hAnsi="Times New Roman"/>
          <w:sz w:val="28"/>
          <w:szCs w:val="28"/>
        </w:rPr>
        <w:t> </w:t>
      </w:r>
      <w:r w:rsidRPr="003A7901">
        <w:rPr>
          <w:rFonts w:ascii="Times New Roman" w:hAnsi="Times New Roman"/>
          <w:sz w:val="28"/>
          <w:szCs w:val="28"/>
        </w:rPr>
        <w:t>отдельных исполнителей;</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слабая материально-техническая база учреждений культуры;</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необходимость обеспечения безопасности населения при посещении культурно-массовых мероприятий (пожарная сигнализация и</w:t>
      </w:r>
      <w:r>
        <w:rPr>
          <w:rFonts w:ascii="Times New Roman" w:hAnsi="Times New Roman"/>
          <w:sz w:val="28"/>
          <w:szCs w:val="28"/>
        </w:rPr>
        <w:t> </w:t>
      </w:r>
      <w:r w:rsidRPr="003A7901">
        <w:rPr>
          <w:rFonts w:ascii="Times New Roman" w:hAnsi="Times New Roman"/>
          <w:sz w:val="28"/>
          <w:szCs w:val="28"/>
        </w:rPr>
        <w:t>т.п.);</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необходимость проведения капитального ремонта в</w:t>
      </w:r>
      <w:r>
        <w:rPr>
          <w:rFonts w:ascii="Times New Roman" w:hAnsi="Times New Roman"/>
          <w:sz w:val="28"/>
          <w:szCs w:val="28"/>
        </w:rPr>
        <w:t> </w:t>
      </w:r>
      <w:r w:rsidRPr="003A7901">
        <w:rPr>
          <w:rFonts w:ascii="Times New Roman" w:hAnsi="Times New Roman"/>
          <w:sz w:val="28"/>
          <w:szCs w:val="28"/>
        </w:rPr>
        <w:t>учреждениях культуры.</w:t>
      </w:r>
    </w:p>
    <w:p w:rsidR="002D1E45" w:rsidRPr="003A7901" w:rsidRDefault="002D1E45" w:rsidP="003A7901">
      <w:pPr>
        <w:spacing w:after="0" w:line="240" w:lineRule="auto"/>
        <w:ind w:firstLine="709"/>
        <w:jc w:val="both"/>
        <w:rPr>
          <w:rFonts w:ascii="Times New Roman" w:hAnsi="Times New Roman"/>
          <w:sz w:val="28"/>
          <w:szCs w:val="28"/>
          <w:lang w:eastAsia="ru-RU"/>
        </w:rPr>
      </w:pPr>
      <w:r w:rsidRPr="003A7901">
        <w:rPr>
          <w:rFonts w:ascii="Times New Roman" w:hAnsi="Times New Roman"/>
          <w:sz w:val="28"/>
          <w:szCs w:val="28"/>
          <w:lang w:eastAsia="ru-RU"/>
        </w:rPr>
        <w:t>Целью политики в</w:t>
      </w:r>
      <w:r>
        <w:rPr>
          <w:rFonts w:ascii="Times New Roman" w:hAnsi="Times New Roman"/>
          <w:sz w:val="28"/>
          <w:szCs w:val="28"/>
          <w:lang w:eastAsia="ru-RU"/>
        </w:rPr>
        <w:t> </w:t>
      </w:r>
      <w:r w:rsidRPr="003A7901">
        <w:rPr>
          <w:rFonts w:ascii="Times New Roman" w:hAnsi="Times New Roman"/>
          <w:sz w:val="28"/>
          <w:szCs w:val="28"/>
          <w:lang w:eastAsia="ru-RU"/>
        </w:rPr>
        <w:t>сфере культуры и</w:t>
      </w:r>
      <w:r>
        <w:rPr>
          <w:rFonts w:ascii="Times New Roman" w:hAnsi="Times New Roman"/>
          <w:sz w:val="28"/>
          <w:szCs w:val="28"/>
          <w:lang w:eastAsia="ru-RU"/>
        </w:rPr>
        <w:t> </w:t>
      </w:r>
      <w:r w:rsidRPr="003A7901">
        <w:rPr>
          <w:rFonts w:ascii="Times New Roman" w:hAnsi="Times New Roman"/>
          <w:sz w:val="28"/>
          <w:szCs w:val="28"/>
          <w:lang w:eastAsia="ru-RU"/>
        </w:rPr>
        <w:t>искусства является сохранение сети учреждений культуры, развитие творческого потенциала, сохранение культурного наследия, повышение нравственного уровня развития молодёжи. Для достижения основной цели необходимо решение следующих задач:</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привлечение молодёжи к</w:t>
      </w:r>
      <w:r>
        <w:rPr>
          <w:rFonts w:ascii="Times New Roman" w:hAnsi="Times New Roman"/>
          <w:sz w:val="28"/>
          <w:szCs w:val="28"/>
        </w:rPr>
        <w:t> </w:t>
      </w:r>
      <w:r w:rsidRPr="003A7901">
        <w:rPr>
          <w:rFonts w:ascii="Times New Roman" w:hAnsi="Times New Roman"/>
          <w:sz w:val="28"/>
          <w:szCs w:val="28"/>
        </w:rPr>
        <w:t>решению проблем общества;</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обновление и</w:t>
      </w:r>
      <w:r>
        <w:rPr>
          <w:rFonts w:ascii="Times New Roman" w:hAnsi="Times New Roman"/>
          <w:sz w:val="28"/>
          <w:szCs w:val="28"/>
        </w:rPr>
        <w:t> </w:t>
      </w:r>
      <w:r w:rsidRPr="003A7901">
        <w:rPr>
          <w:rFonts w:ascii="Times New Roman" w:hAnsi="Times New Roman"/>
          <w:sz w:val="28"/>
          <w:szCs w:val="28"/>
        </w:rPr>
        <w:t>укрепление материально-технической базы учреждений культуры, внедрение современных, комфортных, информационных технологий в</w:t>
      </w:r>
      <w:r>
        <w:rPr>
          <w:rFonts w:ascii="Times New Roman" w:hAnsi="Times New Roman"/>
          <w:sz w:val="28"/>
          <w:szCs w:val="28"/>
        </w:rPr>
        <w:t> </w:t>
      </w:r>
      <w:r w:rsidRPr="003A7901">
        <w:rPr>
          <w:rFonts w:ascii="Times New Roman" w:hAnsi="Times New Roman"/>
          <w:sz w:val="28"/>
          <w:szCs w:val="28"/>
        </w:rPr>
        <w:t>работу культурно-досуговых учреждений;</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развитие всех видов и</w:t>
      </w:r>
      <w:r>
        <w:rPr>
          <w:rFonts w:ascii="Times New Roman" w:hAnsi="Times New Roman"/>
          <w:sz w:val="28"/>
          <w:szCs w:val="28"/>
        </w:rPr>
        <w:t> </w:t>
      </w:r>
      <w:r w:rsidRPr="003A7901">
        <w:rPr>
          <w:rFonts w:ascii="Times New Roman" w:hAnsi="Times New Roman"/>
          <w:sz w:val="28"/>
          <w:szCs w:val="28"/>
        </w:rPr>
        <w:t>жанров творческой и</w:t>
      </w:r>
      <w:r>
        <w:rPr>
          <w:rFonts w:ascii="Times New Roman" w:hAnsi="Times New Roman"/>
          <w:sz w:val="28"/>
          <w:szCs w:val="28"/>
        </w:rPr>
        <w:t> </w:t>
      </w:r>
      <w:r w:rsidRPr="003A7901">
        <w:rPr>
          <w:rFonts w:ascii="Times New Roman" w:hAnsi="Times New Roman"/>
          <w:sz w:val="28"/>
          <w:szCs w:val="28"/>
        </w:rPr>
        <w:t>исполнительской деятельности.</w:t>
      </w:r>
    </w:p>
    <w:p w:rsidR="002D1E45" w:rsidRPr="003A7901" w:rsidRDefault="002D1E45" w:rsidP="003A7901">
      <w:pPr>
        <w:spacing w:after="0" w:line="240" w:lineRule="auto"/>
        <w:ind w:firstLine="709"/>
        <w:jc w:val="both"/>
        <w:rPr>
          <w:rFonts w:ascii="Times New Roman" w:hAnsi="Times New Roman"/>
          <w:sz w:val="28"/>
          <w:szCs w:val="28"/>
          <w:lang w:eastAsia="ru-RU"/>
        </w:rPr>
      </w:pPr>
      <w:r w:rsidRPr="003A7901">
        <w:rPr>
          <w:rFonts w:ascii="Times New Roman" w:hAnsi="Times New Roman"/>
          <w:sz w:val="28"/>
          <w:szCs w:val="28"/>
          <w:lang w:eastAsia="ru-RU"/>
        </w:rPr>
        <w:t>Выполнению поставленных задач будут способствовать следующие мероприятия:</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комплектование и</w:t>
      </w:r>
      <w:r>
        <w:rPr>
          <w:rFonts w:ascii="Times New Roman" w:hAnsi="Times New Roman"/>
          <w:sz w:val="28"/>
          <w:szCs w:val="28"/>
        </w:rPr>
        <w:t> </w:t>
      </w:r>
      <w:r w:rsidRPr="003A7901">
        <w:rPr>
          <w:rFonts w:ascii="Times New Roman" w:hAnsi="Times New Roman"/>
          <w:sz w:val="28"/>
          <w:szCs w:val="28"/>
        </w:rPr>
        <w:t xml:space="preserve">обновление библиотечного фонда; </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приобретение оборудования компьютеров, сканера, принтера, информационное обеспечение библиотечной системы;</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обновление музыкальной аппаратуры, атрибутов сцены, ежегодное пополнение материально-технической базы;</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организация занятости и</w:t>
      </w:r>
      <w:r>
        <w:rPr>
          <w:rFonts w:ascii="Times New Roman" w:hAnsi="Times New Roman"/>
          <w:sz w:val="28"/>
          <w:szCs w:val="28"/>
        </w:rPr>
        <w:t> </w:t>
      </w:r>
      <w:r w:rsidRPr="003A7901">
        <w:rPr>
          <w:rFonts w:ascii="Times New Roman" w:hAnsi="Times New Roman"/>
          <w:sz w:val="28"/>
          <w:szCs w:val="28"/>
        </w:rPr>
        <w:t>досуга детей, развитие творческих способностей ребёнка («Неделя детской книги», конкурсы, праздники, посвящённые литературным героям) работа кружков, клубов, работа с</w:t>
      </w:r>
      <w:r>
        <w:rPr>
          <w:rFonts w:ascii="Times New Roman" w:hAnsi="Times New Roman"/>
          <w:sz w:val="28"/>
          <w:szCs w:val="28"/>
        </w:rPr>
        <w:t> </w:t>
      </w:r>
      <w:r w:rsidRPr="003A7901">
        <w:rPr>
          <w:rFonts w:ascii="Times New Roman" w:hAnsi="Times New Roman"/>
          <w:sz w:val="28"/>
          <w:szCs w:val="28"/>
        </w:rPr>
        <w:t>детьми</w:t>
      </w:r>
      <w:r w:rsidRPr="003A7901">
        <w:rPr>
          <w:rFonts w:ascii="Times New Roman" w:hAnsi="Times New Roman"/>
          <w:sz w:val="28"/>
          <w:szCs w:val="28"/>
        </w:rPr>
        <w:noBreakHyphen/>
        <w:t>инвалидами;</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создание при библиотечно-информационной системе кабинета библиотерапии для читателей</w:t>
      </w:r>
      <w:r w:rsidRPr="003A7901">
        <w:rPr>
          <w:rFonts w:ascii="Times New Roman" w:hAnsi="Times New Roman"/>
          <w:sz w:val="28"/>
          <w:szCs w:val="28"/>
        </w:rPr>
        <w:noBreakHyphen/>
        <w:t>инвалидов;</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проведение массовых праздников и</w:t>
      </w:r>
      <w:r>
        <w:rPr>
          <w:rFonts w:ascii="Times New Roman" w:hAnsi="Times New Roman"/>
          <w:sz w:val="28"/>
          <w:szCs w:val="28"/>
        </w:rPr>
        <w:t> </w:t>
      </w:r>
      <w:r w:rsidRPr="003A7901">
        <w:rPr>
          <w:rFonts w:ascii="Times New Roman" w:hAnsi="Times New Roman"/>
          <w:sz w:val="28"/>
          <w:szCs w:val="28"/>
        </w:rPr>
        <w:t>народных гуляний;</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развитие детского художественного творчества и</w:t>
      </w:r>
      <w:r>
        <w:rPr>
          <w:rFonts w:ascii="Times New Roman" w:hAnsi="Times New Roman"/>
          <w:sz w:val="28"/>
          <w:szCs w:val="28"/>
        </w:rPr>
        <w:t> </w:t>
      </w:r>
      <w:r w:rsidRPr="003A7901">
        <w:rPr>
          <w:rFonts w:ascii="Times New Roman" w:hAnsi="Times New Roman"/>
          <w:sz w:val="28"/>
          <w:szCs w:val="28"/>
        </w:rPr>
        <w:t>поддержка молодых дарований;</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поддержка стабильно действующих и</w:t>
      </w:r>
      <w:r>
        <w:rPr>
          <w:rFonts w:ascii="Times New Roman" w:hAnsi="Times New Roman"/>
          <w:sz w:val="28"/>
          <w:szCs w:val="28"/>
        </w:rPr>
        <w:t> </w:t>
      </w:r>
      <w:r w:rsidRPr="003A7901">
        <w:rPr>
          <w:rFonts w:ascii="Times New Roman" w:hAnsi="Times New Roman"/>
          <w:sz w:val="28"/>
          <w:szCs w:val="28"/>
        </w:rPr>
        <w:t>вновь созданных перспективных творческих коллективов, участие в</w:t>
      </w:r>
      <w:r>
        <w:rPr>
          <w:rFonts w:ascii="Times New Roman" w:hAnsi="Times New Roman"/>
          <w:sz w:val="28"/>
          <w:szCs w:val="28"/>
        </w:rPr>
        <w:t> </w:t>
      </w:r>
      <w:r w:rsidRPr="003A7901">
        <w:rPr>
          <w:rFonts w:ascii="Times New Roman" w:hAnsi="Times New Roman"/>
          <w:sz w:val="28"/>
          <w:szCs w:val="28"/>
        </w:rPr>
        <w:t>районных и</w:t>
      </w:r>
      <w:r>
        <w:rPr>
          <w:rFonts w:ascii="Times New Roman" w:hAnsi="Times New Roman"/>
          <w:sz w:val="28"/>
          <w:szCs w:val="28"/>
        </w:rPr>
        <w:t> областных</w:t>
      </w:r>
      <w:r w:rsidRPr="003A7901">
        <w:rPr>
          <w:rFonts w:ascii="Times New Roman" w:hAnsi="Times New Roman"/>
          <w:sz w:val="28"/>
          <w:szCs w:val="28"/>
        </w:rPr>
        <w:t xml:space="preserve"> мероприятиях;</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обеспечение сохранности имущества учреждений культуры.</w:t>
      </w:r>
    </w:p>
    <w:p w:rsidR="002D1E45" w:rsidRDefault="002D1E45" w:rsidP="003A7901">
      <w:pPr>
        <w:spacing w:after="0" w:line="240" w:lineRule="auto"/>
        <w:ind w:firstLine="709"/>
        <w:jc w:val="both"/>
        <w:rPr>
          <w:rFonts w:ascii="Times New Roman" w:hAnsi="Times New Roman"/>
          <w:sz w:val="28"/>
          <w:szCs w:val="28"/>
          <w:lang w:eastAsia="ru-RU"/>
        </w:rPr>
      </w:pPr>
    </w:p>
    <w:p w:rsidR="002D1E45" w:rsidRDefault="002D1E45" w:rsidP="003A7901">
      <w:pPr>
        <w:spacing w:after="0" w:line="240" w:lineRule="auto"/>
        <w:ind w:firstLine="709"/>
        <w:jc w:val="both"/>
        <w:rPr>
          <w:rFonts w:ascii="Times New Roman" w:hAnsi="Times New Roman"/>
          <w:i/>
          <w:sz w:val="28"/>
          <w:szCs w:val="28"/>
          <w:u w:val="single"/>
          <w:lang w:eastAsia="ru-RU"/>
        </w:rPr>
      </w:pPr>
      <w:r w:rsidRPr="00031883">
        <w:rPr>
          <w:rFonts w:ascii="Times New Roman" w:hAnsi="Times New Roman"/>
          <w:i/>
          <w:sz w:val="28"/>
          <w:szCs w:val="28"/>
          <w:u w:val="single"/>
          <w:lang w:eastAsia="ru-RU"/>
        </w:rPr>
        <w:t>Сфера бытового обслуживания и</w:t>
      </w:r>
      <w:r>
        <w:rPr>
          <w:rFonts w:ascii="Times New Roman" w:hAnsi="Times New Roman"/>
          <w:i/>
          <w:sz w:val="28"/>
          <w:szCs w:val="28"/>
          <w:u w:val="single"/>
          <w:lang w:eastAsia="ru-RU"/>
        </w:rPr>
        <w:t> </w:t>
      </w:r>
      <w:r w:rsidRPr="00031883">
        <w:rPr>
          <w:rFonts w:ascii="Times New Roman" w:hAnsi="Times New Roman"/>
          <w:i/>
          <w:sz w:val="28"/>
          <w:szCs w:val="28"/>
          <w:u w:val="single"/>
          <w:lang w:eastAsia="ru-RU"/>
        </w:rPr>
        <w:t>торговли</w:t>
      </w:r>
    </w:p>
    <w:p w:rsidR="002D1E45" w:rsidRPr="00031883" w:rsidRDefault="002D1E45" w:rsidP="00031883">
      <w:pPr>
        <w:spacing w:after="0" w:line="240" w:lineRule="auto"/>
        <w:ind w:firstLine="709"/>
        <w:jc w:val="both"/>
        <w:rPr>
          <w:rFonts w:ascii="Times New Roman" w:hAnsi="Times New Roman"/>
          <w:sz w:val="28"/>
          <w:szCs w:val="24"/>
          <w:lang w:eastAsia="ru-RU"/>
        </w:rPr>
      </w:pPr>
      <w:r w:rsidRPr="00031883">
        <w:rPr>
          <w:rFonts w:ascii="Times New Roman" w:hAnsi="Times New Roman"/>
          <w:sz w:val="28"/>
          <w:szCs w:val="24"/>
          <w:lang w:eastAsia="ru-RU"/>
        </w:rPr>
        <w:t>Основными направлениями в</w:t>
      </w:r>
      <w:r>
        <w:rPr>
          <w:rFonts w:ascii="Times New Roman" w:hAnsi="Times New Roman"/>
          <w:sz w:val="28"/>
          <w:szCs w:val="24"/>
          <w:lang w:eastAsia="ru-RU"/>
        </w:rPr>
        <w:t> </w:t>
      </w:r>
      <w:r w:rsidRPr="00031883">
        <w:rPr>
          <w:rFonts w:ascii="Times New Roman" w:hAnsi="Times New Roman"/>
          <w:sz w:val="28"/>
          <w:szCs w:val="24"/>
          <w:lang w:eastAsia="ru-RU"/>
        </w:rPr>
        <w:t>решении задач повышения качества торгового обслуживания в</w:t>
      </w:r>
      <w:r>
        <w:rPr>
          <w:rFonts w:ascii="Times New Roman" w:hAnsi="Times New Roman"/>
          <w:sz w:val="28"/>
          <w:szCs w:val="24"/>
          <w:lang w:eastAsia="ru-RU"/>
        </w:rPr>
        <w:t> городе</w:t>
      </w:r>
      <w:r w:rsidRPr="00031883">
        <w:rPr>
          <w:rFonts w:ascii="Times New Roman" w:hAnsi="Times New Roman"/>
          <w:sz w:val="28"/>
          <w:szCs w:val="24"/>
          <w:lang w:eastAsia="ru-RU"/>
        </w:rPr>
        <w:t xml:space="preserve"> являются:</w:t>
      </w:r>
    </w:p>
    <w:p w:rsidR="002D1E45" w:rsidRPr="00031883" w:rsidRDefault="002D1E45" w:rsidP="00D05D06">
      <w:pPr>
        <w:numPr>
          <w:ilvl w:val="0"/>
          <w:numId w:val="60"/>
        </w:numPr>
        <w:spacing w:after="0" w:line="240" w:lineRule="auto"/>
        <w:jc w:val="both"/>
        <w:rPr>
          <w:rFonts w:ascii="Times New Roman" w:hAnsi="Times New Roman"/>
          <w:sz w:val="28"/>
          <w:szCs w:val="24"/>
          <w:lang w:eastAsia="ru-RU"/>
        </w:rPr>
      </w:pPr>
      <w:r w:rsidRPr="00031883">
        <w:rPr>
          <w:rFonts w:ascii="Times New Roman" w:hAnsi="Times New Roman"/>
          <w:sz w:val="28"/>
          <w:szCs w:val="24"/>
          <w:lang w:eastAsia="ru-RU"/>
        </w:rPr>
        <w:t>разработка механизмов рационального размещения организаций потребительского рынка на</w:t>
      </w:r>
      <w:r>
        <w:rPr>
          <w:rFonts w:ascii="Times New Roman" w:hAnsi="Times New Roman"/>
          <w:sz w:val="28"/>
          <w:szCs w:val="24"/>
          <w:lang w:eastAsia="ru-RU"/>
        </w:rPr>
        <w:t> </w:t>
      </w:r>
      <w:r w:rsidRPr="00031883">
        <w:rPr>
          <w:rFonts w:ascii="Times New Roman" w:hAnsi="Times New Roman"/>
          <w:sz w:val="28"/>
          <w:szCs w:val="24"/>
          <w:lang w:eastAsia="ru-RU"/>
        </w:rPr>
        <w:t xml:space="preserve">территории </w:t>
      </w:r>
      <w:r>
        <w:rPr>
          <w:rFonts w:ascii="Times New Roman" w:hAnsi="Times New Roman"/>
          <w:sz w:val="28"/>
          <w:szCs w:val="24"/>
          <w:lang w:eastAsia="ru-RU"/>
        </w:rPr>
        <w:t>города</w:t>
      </w:r>
      <w:r w:rsidRPr="00031883">
        <w:rPr>
          <w:rFonts w:ascii="Times New Roman" w:hAnsi="Times New Roman"/>
          <w:sz w:val="28"/>
          <w:szCs w:val="24"/>
          <w:lang w:eastAsia="ru-RU"/>
        </w:rPr>
        <w:t>;</w:t>
      </w:r>
    </w:p>
    <w:p w:rsidR="002D1E45" w:rsidRPr="00031883" w:rsidRDefault="002D1E45" w:rsidP="00D05D06">
      <w:pPr>
        <w:numPr>
          <w:ilvl w:val="0"/>
          <w:numId w:val="60"/>
        </w:numPr>
        <w:spacing w:after="0" w:line="240" w:lineRule="auto"/>
        <w:jc w:val="both"/>
        <w:rPr>
          <w:rFonts w:ascii="Times New Roman" w:hAnsi="Times New Roman"/>
          <w:sz w:val="28"/>
          <w:szCs w:val="24"/>
          <w:lang w:eastAsia="ru-RU"/>
        </w:rPr>
      </w:pPr>
      <w:r w:rsidRPr="00031883">
        <w:rPr>
          <w:rFonts w:ascii="Times New Roman" w:hAnsi="Times New Roman"/>
          <w:sz w:val="28"/>
          <w:szCs w:val="24"/>
          <w:lang w:eastAsia="ru-RU"/>
        </w:rPr>
        <w:t>создание инвестиционной привлекательности организаций потребительского рынка;</w:t>
      </w:r>
    </w:p>
    <w:p w:rsidR="002D1E45" w:rsidRPr="00031883" w:rsidRDefault="002D1E45" w:rsidP="00D05D06">
      <w:pPr>
        <w:numPr>
          <w:ilvl w:val="0"/>
          <w:numId w:val="60"/>
        </w:numPr>
        <w:spacing w:after="0" w:line="240" w:lineRule="auto"/>
        <w:jc w:val="both"/>
        <w:rPr>
          <w:rFonts w:ascii="Times New Roman" w:hAnsi="Times New Roman"/>
          <w:sz w:val="28"/>
          <w:szCs w:val="24"/>
          <w:lang w:eastAsia="ru-RU"/>
        </w:rPr>
      </w:pPr>
      <w:r w:rsidRPr="00031883">
        <w:rPr>
          <w:rFonts w:ascii="Times New Roman" w:hAnsi="Times New Roman"/>
          <w:sz w:val="28"/>
          <w:szCs w:val="24"/>
          <w:lang w:eastAsia="ru-RU"/>
        </w:rPr>
        <w:t>развитие рыночной инфраструктуры потребительского рынка, в</w:t>
      </w:r>
      <w:r>
        <w:rPr>
          <w:rFonts w:ascii="Times New Roman" w:hAnsi="Times New Roman"/>
          <w:sz w:val="28"/>
          <w:szCs w:val="24"/>
          <w:lang w:eastAsia="ru-RU"/>
        </w:rPr>
        <w:t> </w:t>
      </w:r>
      <w:r w:rsidRPr="00031883">
        <w:rPr>
          <w:rFonts w:ascii="Times New Roman" w:hAnsi="Times New Roman"/>
          <w:sz w:val="28"/>
          <w:szCs w:val="24"/>
          <w:lang w:eastAsia="ru-RU"/>
        </w:rPr>
        <w:t xml:space="preserve">том числе через создание рынка </w:t>
      </w:r>
      <w:r>
        <w:rPr>
          <w:rFonts w:ascii="Times New Roman" w:hAnsi="Times New Roman"/>
          <w:sz w:val="28"/>
          <w:szCs w:val="24"/>
          <w:lang w:eastAsia="ru-RU"/>
        </w:rPr>
        <w:t>местной</w:t>
      </w:r>
      <w:r w:rsidRPr="00031883">
        <w:rPr>
          <w:rFonts w:ascii="Times New Roman" w:hAnsi="Times New Roman"/>
          <w:sz w:val="28"/>
          <w:szCs w:val="24"/>
          <w:lang w:eastAsia="ru-RU"/>
        </w:rPr>
        <w:t xml:space="preserve"> продукции в</w:t>
      </w:r>
      <w:r>
        <w:rPr>
          <w:rFonts w:ascii="Times New Roman" w:hAnsi="Times New Roman"/>
          <w:sz w:val="28"/>
          <w:szCs w:val="24"/>
          <w:lang w:eastAsia="ru-RU"/>
        </w:rPr>
        <w:t> г. Куйбышеве</w:t>
      </w:r>
      <w:r w:rsidRPr="00031883">
        <w:rPr>
          <w:rFonts w:ascii="Times New Roman" w:hAnsi="Times New Roman"/>
          <w:sz w:val="28"/>
          <w:szCs w:val="24"/>
          <w:lang w:eastAsia="ru-RU"/>
        </w:rPr>
        <w:t>;</w:t>
      </w:r>
    </w:p>
    <w:p w:rsidR="002D1E45" w:rsidRPr="00031883" w:rsidRDefault="002D1E45" w:rsidP="00D05D06">
      <w:pPr>
        <w:numPr>
          <w:ilvl w:val="0"/>
          <w:numId w:val="60"/>
        </w:numPr>
        <w:spacing w:after="0" w:line="240" w:lineRule="auto"/>
        <w:jc w:val="both"/>
        <w:rPr>
          <w:rFonts w:ascii="Times New Roman" w:hAnsi="Times New Roman"/>
          <w:sz w:val="28"/>
          <w:szCs w:val="24"/>
          <w:lang w:eastAsia="ru-RU"/>
        </w:rPr>
      </w:pPr>
      <w:r w:rsidRPr="00031883">
        <w:rPr>
          <w:rFonts w:ascii="Times New Roman" w:hAnsi="Times New Roman"/>
          <w:sz w:val="28"/>
          <w:szCs w:val="24"/>
          <w:lang w:eastAsia="ru-RU"/>
        </w:rPr>
        <w:t>организация ярмарочной торговли на</w:t>
      </w:r>
      <w:r>
        <w:rPr>
          <w:rFonts w:ascii="Times New Roman" w:hAnsi="Times New Roman"/>
          <w:sz w:val="28"/>
          <w:szCs w:val="24"/>
          <w:lang w:eastAsia="ru-RU"/>
        </w:rPr>
        <w:t> </w:t>
      </w:r>
      <w:r w:rsidRPr="00031883">
        <w:rPr>
          <w:rFonts w:ascii="Times New Roman" w:hAnsi="Times New Roman"/>
          <w:sz w:val="28"/>
          <w:szCs w:val="24"/>
          <w:lang w:eastAsia="ru-RU"/>
        </w:rPr>
        <w:t>основе межмуниципального сотрудничества;</w:t>
      </w:r>
    </w:p>
    <w:p w:rsidR="002D1E45" w:rsidRPr="00031883" w:rsidRDefault="002D1E45" w:rsidP="00D05D06">
      <w:pPr>
        <w:numPr>
          <w:ilvl w:val="0"/>
          <w:numId w:val="60"/>
        </w:numPr>
        <w:spacing w:after="0" w:line="240" w:lineRule="auto"/>
        <w:jc w:val="both"/>
        <w:rPr>
          <w:rFonts w:ascii="Times New Roman" w:hAnsi="Times New Roman"/>
          <w:sz w:val="28"/>
          <w:szCs w:val="24"/>
          <w:lang w:eastAsia="ru-RU"/>
        </w:rPr>
      </w:pPr>
      <w:r w:rsidRPr="00031883">
        <w:rPr>
          <w:rFonts w:ascii="Times New Roman" w:hAnsi="Times New Roman"/>
          <w:sz w:val="28"/>
          <w:szCs w:val="24"/>
          <w:lang w:eastAsia="ru-RU"/>
        </w:rPr>
        <w:t>организация придорожной инфраструктуры вдоль внутрирайонных трасс;</w:t>
      </w:r>
    </w:p>
    <w:p w:rsidR="002D1E45" w:rsidRPr="00031883" w:rsidRDefault="002D1E45" w:rsidP="00D05D06">
      <w:pPr>
        <w:numPr>
          <w:ilvl w:val="0"/>
          <w:numId w:val="60"/>
        </w:numPr>
        <w:spacing w:after="0" w:line="240" w:lineRule="auto"/>
        <w:jc w:val="both"/>
        <w:rPr>
          <w:rFonts w:ascii="Times New Roman" w:hAnsi="Times New Roman"/>
          <w:sz w:val="28"/>
          <w:szCs w:val="24"/>
          <w:lang w:eastAsia="ru-RU"/>
        </w:rPr>
      </w:pPr>
      <w:r w:rsidRPr="00031883">
        <w:rPr>
          <w:rFonts w:ascii="Times New Roman" w:hAnsi="Times New Roman"/>
          <w:sz w:val="28"/>
          <w:szCs w:val="24"/>
          <w:lang w:eastAsia="ru-RU"/>
        </w:rPr>
        <w:t>активное противодействие теневому обороту в</w:t>
      </w:r>
      <w:r>
        <w:rPr>
          <w:rFonts w:ascii="Times New Roman" w:hAnsi="Times New Roman"/>
          <w:sz w:val="28"/>
          <w:szCs w:val="24"/>
          <w:lang w:eastAsia="ru-RU"/>
        </w:rPr>
        <w:t> </w:t>
      </w:r>
      <w:r w:rsidRPr="00031883">
        <w:rPr>
          <w:rFonts w:ascii="Times New Roman" w:hAnsi="Times New Roman"/>
          <w:sz w:val="28"/>
          <w:szCs w:val="24"/>
          <w:lang w:eastAsia="ru-RU"/>
        </w:rPr>
        <w:t>сфере потребительского рынка путём согласованных действий с</w:t>
      </w:r>
      <w:r>
        <w:rPr>
          <w:rFonts w:ascii="Times New Roman" w:hAnsi="Times New Roman"/>
          <w:sz w:val="28"/>
          <w:szCs w:val="24"/>
          <w:lang w:eastAsia="ru-RU"/>
        </w:rPr>
        <w:t> </w:t>
      </w:r>
      <w:r w:rsidRPr="00031883">
        <w:rPr>
          <w:rFonts w:ascii="Times New Roman" w:hAnsi="Times New Roman"/>
          <w:sz w:val="28"/>
          <w:szCs w:val="24"/>
          <w:lang w:eastAsia="ru-RU"/>
        </w:rPr>
        <w:t>различными структурами.</w:t>
      </w:r>
    </w:p>
    <w:p w:rsidR="002D1E45" w:rsidRPr="00031883" w:rsidRDefault="002D1E45" w:rsidP="00031883">
      <w:pPr>
        <w:spacing w:after="0" w:line="240" w:lineRule="auto"/>
        <w:ind w:firstLine="709"/>
        <w:jc w:val="both"/>
        <w:rPr>
          <w:rFonts w:ascii="Times New Roman" w:hAnsi="Times New Roman"/>
          <w:sz w:val="28"/>
          <w:szCs w:val="24"/>
          <w:lang w:eastAsia="ru-RU"/>
        </w:rPr>
      </w:pPr>
      <w:r w:rsidRPr="00031883">
        <w:rPr>
          <w:rFonts w:ascii="Times New Roman" w:hAnsi="Times New Roman"/>
          <w:sz w:val="28"/>
          <w:szCs w:val="24"/>
          <w:lang w:eastAsia="ru-RU"/>
        </w:rPr>
        <w:t>Для расширения спектра бытовых услуг возможно создание многофункциональных центров бытовых услуг – комплексные пункты оказания бытовых услуг. Их</w:t>
      </w:r>
      <w:r>
        <w:rPr>
          <w:rFonts w:ascii="Times New Roman" w:hAnsi="Times New Roman"/>
          <w:sz w:val="28"/>
          <w:szCs w:val="24"/>
          <w:lang w:eastAsia="ru-RU"/>
        </w:rPr>
        <w:t> </w:t>
      </w:r>
      <w:r w:rsidRPr="00031883">
        <w:rPr>
          <w:rFonts w:ascii="Times New Roman" w:hAnsi="Times New Roman"/>
          <w:sz w:val="28"/>
          <w:szCs w:val="24"/>
          <w:lang w:eastAsia="ru-RU"/>
        </w:rPr>
        <w:t>функционирование предполагается в</w:t>
      </w:r>
      <w:r>
        <w:rPr>
          <w:rFonts w:ascii="Times New Roman" w:hAnsi="Times New Roman"/>
          <w:sz w:val="28"/>
          <w:szCs w:val="24"/>
          <w:lang w:eastAsia="ru-RU"/>
        </w:rPr>
        <w:t> </w:t>
      </w:r>
      <w:r w:rsidRPr="00031883">
        <w:rPr>
          <w:rFonts w:ascii="Times New Roman" w:hAnsi="Times New Roman"/>
          <w:sz w:val="28"/>
          <w:szCs w:val="24"/>
          <w:lang w:eastAsia="ru-RU"/>
        </w:rPr>
        <w:t>двух вариантах: создание при муниципальной поддержке (предоставление на</w:t>
      </w:r>
      <w:r>
        <w:rPr>
          <w:rFonts w:ascii="Times New Roman" w:hAnsi="Times New Roman"/>
          <w:sz w:val="28"/>
          <w:szCs w:val="24"/>
          <w:lang w:eastAsia="ru-RU"/>
        </w:rPr>
        <w:t> </w:t>
      </w:r>
      <w:r w:rsidRPr="00031883">
        <w:rPr>
          <w:rFonts w:ascii="Times New Roman" w:hAnsi="Times New Roman"/>
          <w:sz w:val="28"/>
          <w:szCs w:val="24"/>
          <w:lang w:eastAsia="ru-RU"/>
        </w:rPr>
        <w:t>льготных условиях муниципальной собственности) предприятий бытовых услуг, оснащённых современным технологическим оборудованием: прачечным, швейным, парикмахерским, для химчистки, ремонта бытовой техники, ремонта обуви и</w:t>
      </w:r>
      <w:r>
        <w:rPr>
          <w:rFonts w:ascii="Times New Roman" w:hAnsi="Times New Roman"/>
          <w:sz w:val="28"/>
          <w:szCs w:val="24"/>
          <w:lang w:eastAsia="ru-RU"/>
        </w:rPr>
        <w:t> </w:t>
      </w:r>
      <w:r w:rsidRPr="00031883">
        <w:rPr>
          <w:rFonts w:ascii="Times New Roman" w:hAnsi="Times New Roman"/>
          <w:sz w:val="28"/>
          <w:szCs w:val="24"/>
          <w:lang w:eastAsia="ru-RU"/>
        </w:rPr>
        <w:t>т.п. При отсутствии необходимых помещений возможна организация на</w:t>
      </w:r>
      <w:r>
        <w:rPr>
          <w:rFonts w:ascii="Times New Roman" w:hAnsi="Times New Roman"/>
          <w:sz w:val="28"/>
          <w:szCs w:val="24"/>
          <w:lang w:eastAsia="ru-RU"/>
        </w:rPr>
        <w:t> </w:t>
      </w:r>
      <w:r w:rsidRPr="00031883">
        <w:rPr>
          <w:rFonts w:ascii="Times New Roman" w:hAnsi="Times New Roman"/>
          <w:sz w:val="28"/>
          <w:szCs w:val="24"/>
          <w:lang w:eastAsia="ru-RU"/>
        </w:rPr>
        <w:t>муниципальной территории единого приёмного пункта, где будет осуществляться оформление заказов на</w:t>
      </w:r>
      <w:r>
        <w:rPr>
          <w:rFonts w:ascii="Times New Roman" w:hAnsi="Times New Roman"/>
          <w:sz w:val="28"/>
          <w:szCs w:val="24"/>
          <w:lang w:eastAsia="ru-RU"/>
        </w:rPr>
        <w:t> </w:t>
      </w:r>
      <w:r w:rsidRPr="00031883">
        <w:rPr>
          <w:rFonts w:ascii="Times New Roman" w:hAnsi="Times New Roman"/>
          <w:sz w:val="28"/>
          <w:szCs w:val="24"/>
          <w:lang w:eastAsia="ru-RU"/>
        </w:rPr>
        <w:t>оказание бытовых услуг. Осуществление самих работ будет осуществляться «на дому» по</w:t>
      </w:r>
      <w:r>
        <w:rPr>
          <w:rFonts w:ascii="Times New Roman" w:hAnsi="Times New Roman"/>
          <w:sz w:val="28"/>
          <w:szCs w:val="24"/>
          <w:lang w:eastAsia="ru-RU"/>
        </w:rPr>
        <w:t> </w:t>
      </w:r>
      <w:r w:rsidRPr="00031883">
        <w:rPr>
          <w:rFonts w:ascii="Times New Roman" w:hAnsi="Times New Roman"/>
          <w:sz w:val="28"/>
          <w:szCs w:val="24"/>
          <w:lang w:eastAsia="ru-RU"/>
        </w:rPr>
        <w:t>договорам с</w:t>
      </w:r>
      <w:r>
        <w:rPr>
          <w:rFonts w:ascii="Times New Roman" w:hAnsi="Times New Roman"/>
          <w:sz w:val="28"/>
          <w:szCs w:val="24"/>
          <w:lang w:eastAsia="ru-RU"/>
        </w:rPr>
        <w:t> </w:t>
      </w:r>
      <w:r w:rsidRPr="00031883">
        <w:rPr>
          <w:rFonts w:ascii="Times New Roman" w:hAnsi="Times New Roman"/>
          <w:sz w:val="28"/>
          <w:szCs w:val="24"/>
          <w:lang w:eastAsia="ru-RU"/>
        </w:rPr>
        <w:t>частными предпринимателями. Для эффективной работы данной системы необходимо обеспечить специальным оборудованием частных предпринимателей, определить возможность доставки заказов до</w:t>
      </w:r>
      <w:r>
        <w:rPr>
          <w:rFonts w:ascii="Times New Roman" w:hAnsi="Times New Roman"/>
          <w:sz w:val="28"/>
          <w:szCs w:val="24"/>
          <w:lang w:eastAsia="ru-RU"/>
        </w:rPr>
        <w:t> </w:t>
      </w:r>
      <w:r w:rsidRPr="00031883">
        <w:rPr>
          <w:rFonts w:ascii="Times New Roman" w:hAnsi="Times New Roman"/>
          <w:sz w:val="28"/>
          <w:szCs w:val="24"/>
          <w:lang w:eastAsia="ru-RU"/>
        </w:rPr>
        <w:t>пункта приёма. Данная организация предполагает возможность вовлечения в</w:t>
      </w:r>
      <w:r>
        <w:rPr>
          <w:rFonts w:ascii="Times New Roman" w:hAnsi="Times New Roman"/>
          <w:sz w:val="28"/>
          <w:szCs w:val="24"/>
          <w:lang w:eastAsia="ru-RU"/>
        </w:rPr>
        <w:t> </w:t>
      </w:r>
      <w:r w:rsidRPr="00031883">
        <w:rPr>
          <w:rFonts w:ascii="Times New Roman" w:hAnsi="Times New Roman"/>
          <w:sz w:val="28"/>
          <w:szCs w:val="24"/>
          <w:lang w:eastAsia="ru-RU"/>
        </w:rPr>
        <w:t>данную деятельность многодетных матерей, пенсионеров, женщин, находящихся в</w:t>
      </w:r>
      <w:r>
        <w:rPr>
          <w:rFonts w:ascii="Times New Roman" w:hAnsi="Times New Roman"/>
          <w:sz w:val="28"/>
          <w:szCs w:val="24"/>
          <w:lang w:eastAsia="ru-RU"/>
        </w:rPr>
        <w:t> </w:t>
      </w:r>
      <w:r w:rsidRPr="00031883">
        <w:rPr>
          <w:rFonts w:ascii="Times New Roman" w:hAnsi="Times New Roman"/>
          <w:sz w:val="28"/>
          <w:szCs w:val="24"/>
          <w:lang w:eastAsia="ru-RU"/>
        </w:rPr>
        <w:t>отпуске по</w:t>
      </w:r>
      <w:r>
        <w:rPr>
          <w:rFonts w:ascii="Times New Roman" w:hAnsi="Times New Roman"/>
          <w:sz w:val="28"/>
          <w:szCs w:val="24"/>
          <w:lang w:eastAsia="ru-RU"/>
        </w:rPr>
        <w:t> </w:t>
      </w:r>
      <w:r w:rsidRPr="00031883">
        <w:rPr>
          <w:rFonts w:ascii="Times New Roman" w:hAnsi="Times New Roman"/>
          <w:sz w:val="28"/>
          <w:szCs w:val="24"/>
          <w:lang w:eastAsia="ru-RU"/>
        </w:rPr>
        <w:t>уходу за</w:t>
      </w:r>
      <w:r>
        <w:rPr>
          <w:rFonts w:ascii="Times New Roman" w:hAnsi="Times New Roman"/>
          <w:sz w:val="28"/>
          <w:szCs w:val="24"/>
          <w:lang w:eastAsia="ru-RU"/>
        </w:rPr>
        <w:t> </w:t>
      </w:r>
      <w:r w:rsidRPr="00031883">
        <w:rPr>
          <w:rFonts w:ascii="Times New Roman" w:hAnsi="Times New Roman"/>
          <w:sz w:val="28"/>
          <w:szCs w:val="24"/>
          <w:lang w:eastAsia="ru-RU"/>
        </w:rPr>
        <w:t>ребёнком, т.е. усилить возможности декларируемой в</w:t>
      </w:r>
      <w:r>
        <w:rPr>
          <w:rFonts w:ascii="Times New Roman" w:hAnsi="Times New Roman"/>
          <w:sz w:val="28"/>
          <w:szCs w:val="24"/>
          <w:lang w:eastAsia="ru-RU"/>
        </w:rPr>
        <w:t> </w:t>
      </w:r>
      <w:r w:rsidRPr="00031883">
        <w:rPr>
          <w:rFonts w:ascii="Times New Roman" w:hAnsi="Times New Roman"/>
          <w:sz w:val="28"/>
          <w:szCs w:val="24"/>
          <w:lang w:eastAsia="ru-RU"/>
        </w:rPr>
        <w:t xml:space="preserve">районе системы «самозанятости». </w:t>
      </w:r>
    </w:p>
    <w:p w:rsidR="002D1E45" w:rsidRPr="00031883" w:rsidRDefault="002D1E45" w:rsidP="00031883">
      <w:pPr>
        <w:spacing w:after="0" w:line="240" w:lineRule="auto"/>
        <w:ind w:firstLine="709"/>
        <w:jc w:val="both"/>
        <w:rPr>
          <w:rFonts w:ascii="Times New Roman" w:hAnsi="Times New Roman"/>
          <w:sz w:val="28"/>
          <w:szCs w:val="24"/>
          <w:lang w:eastAsia="ru-RU"/>
        </w:rPr>
      </w:pPr>
      <w:r w:rsidRPr="00031883">
        <w:rPr>
          <w:rFonts w:ascii="Times New Roman" w:hAnsi="Times New Roman"/>
          <w:sz w:val="28"/>
          <w:szCs w:val="24"/>
          <w:lang w:eastAsia="ru-RU"/>
        </w:rPr>
        <w:t>Помимо прочего единые приёмные пункты могут использоваться для оказания бытовых услуг населению приглашёнными специалистами с</w:t>
      </w:r>
      <w:r>
        <w:rPr>
          <w:rFonts w:ascii="Times New Roman" w:hAnsi="Times New Roman"/>
          <w:sz w:val="28"/>
          <w:szCs w:val="24"/>
          <w:lang w:eastAsia="ru-RU"/>
        </w:rPr>
        <w:t> </w:t>
      </w:r>
      <w:r w:rsidRPr="00031883">
        <w:rPr>
          <w:rFonts w:ascii="Times New Roman" w:hAnsi="Times New Roman"/>
          <w:sz w:val="28"/>
          <w:szCs w:val="24"/>
          <w:lang w:eastAsia="ru-RU"/>
        </w:rPr>
        <w:t>других территорий на</w:t>
      </w:r>
      <w:r>
        <w:rPr>
          <w:rFonts w:ascii="Times New Roman" w:hAnsi="Times New Roman"/>
          <w:sz w:val="28"/>
          <w:szCs w:val="24"/>
          <w:lang w:eastAsia="ru-RU"/>
        </w:rPr>
        <w:t> </w:t>
      </w:r>
      <w:r w:rsidRPr="00031883">
        <w:rPr>
          <w:rFonts w:ascii="Times New Roman" w:hAnsi="Times New Roman"/>
          <w:sz w:val="28"/>
          <w:szCs w:val="24"/>
          <w:lang w:eastAsia="ru-RU"/>
        </w:rPr>
        <w:t>определённый срок.</w:t>
      </w:r>
    </w:p>
    <w:p w:rsidR="002D1E45" w:rsidRPr="00031883" w:rsidRDefault="002D1E45" w:rsidP="00031883">
      <w:pPr>
        <w:spacing w:after="0" w:line="240" w:lineRule="auto"/>
        <w:ind w:firstLine="709"/>
        <w:jc w:val="both"/>
        <w:rPr>
          <w:rFonts w:ascii="Times New Roman" w:hAnsi="Times New Roman"/>
          <w:sz w:val="28"/>
          <w:szCs w:val="24"/>
          <w:lang w:eastAsia="ru-RU"/>
        </w:rPr>
      </w:pPr>
      <w:r w:rsidRPr="00031883">
        <w:rPr>
          <w:rFonts w:ascii="Times New Roman" w:hAnsi="Times New Roman"/>
          <w:sz w:val="28"/>
          <w:szCs w:val="24"/>
          <w:lang w:eastAsia="ru-RU"/>
        </w:rPr>
        <w:t>Улучшение качества услуг общественного питания предполагает расширение общедоступной сети, создание кафе быстрого питания и</w:t>
      </w:r>
      <w:r>
        <w:rPr>
          <w:rFonts w:ascii="Times New Roman" w:hAnsi="Times New Roman"/>
          <w:sz w:val="28"/>
          <w:szCs w:val="24"/>
          <w:lang w:eastAsia="ru-RU"/>
        </w:rPr>
        <w:t> </w:t>
      </w:r>
      <w:r w:rsidRPr="00031883">
        <w:rPr>
          <w:rFonts w:ascii="Times New Roman" w:hAnsi="Times New Roman"/>
          <w:sz w:val="28"/>
          <w:szCs w:val="24"/>
          <w:lang w:eastAsia="ru-RU"/>
        </w:rPr>
        <w:t>кулинарий (на первом этапе – на</w:t>
      </w:r>
      <w:r>
        <w:rPr>
          <w:rFonts w:ascii="Times New Roman" w:hAnsi="Times New Roman"/>
          <w:sz w:val="28"/>
          <w:szCs w:val="24"/>
          <w:lang w:eastAsia="ru-RU"/>
        </w:rPr>
        <w:t> </w:t>
      </w:r>
      <w:r w:rsidRPr="00031883">
        <w:rPr>
          <w:rFonts w:ascii="Times New Roman" w:hAnsi="Times New Roman"/>
          <w:sz w:val="28"/>
          <w:szCs w:val="24"/>
          <w:lang w:eastAsia="ru-RU"/>
        </w:rPr>
        <w:t>площадях действующих торговых точек), специализированных кафе национальной кухни (что особенно актуально при развитии туристического кластера), превращение предприятий общественного питания в</w:t>
      </w:r>
      <w:r>
        <w:rPr>
          <w:rFonts w:ascii="Times New Roman" w:hAnsi="Times New Roman"/>
          <w:sz w:val="28"/>
          <w:szCs w:val="24"/>
          <w:lang w:eastAsia="ru-RU"/>
        </w:rPr>
        <w:t> </w:t>
      </w:r>
      <w:r w:rsidRPr="00031883">
        <w:rPr>
          <w:rFonts w:ascii="Times New Roman" w:hAnsi="Times New Roman"/>
          <w:sz w:val="28"/>
          <w:szCs w:val="24"/>
          <w:lang w:eastAsia="ru-RU"/>
        </w:rPr>
        <w:t>центры культурно-досуговой жизни.</w:t>
      </w:r>
    </w:p>
    <w:p w:rsidR="002D1E45" w:rsidRPr="00212629" w:rsidRDefault="002D1E45" w:rsidP="00227CAC">
      <w:pPr>
        <w:spacing w:after="0" w:line="240" w:lineRule="auto"/>
        <w:ind w:left="1069"/>
        <w:jc w:val="right"/>
        <w:rPr>
          <w:rFonts w:ascii="Times New Roman" w:hAnsi="Times New Roman"/>
          <w:sz w:val="28"/>
          <w:szCs w:val="28"/>
        </w:rPr>
      </w:pPr>
      <w:r w:rsidRPr="00212629">
        <w:rPr>
          <w:rFonts w:ascii="Times New Roman" w:hAnsi="Times New Roman"/>
          <w:sz w:val="28"/>
          <w:szCs w:val="28"/>
        </w:rPr>
        <w:t xml:space="preserve">Таблица </w:t>
      </w:r>
      <w:r w:rsidRPr="00212629">
        <w:rPr>
          <w:rFonts w:ascii="Times New Roman" w:hAnsi="Times New Roman"/>
          <w:sz w:val="28"/>
          <w:szCs w:val="28"/>
        </w:rPr>
        <w:fldChar w:fldCharType="begin"/>
      </w:r>
      <w:r w:rsidRPr="00212629">
        <w:rPr>
          <w:rFonts w:ascii="Times New Roman" w:hAnsi="Times New Roman"/>
          <w:sz w:val="28"/>
          <w:szCs w:val="28"/>
        </w:rPr>
        <w:instrText xml:space="preserve"> SEQ Таблица \* ARABIC </w:instrText>
      </w:r>
      <w:r w:rsidRPr="00212629">
        <w:rPr>
          <w:rFonts w:ascii="Times New Roman" w:hAnsi="Times New Roman"/>
          <w:sz w:val="28"/>
          <w:szCs w:val="28"/>
        </w:rPr>
        <w:fldChar w:fldCharType="separate"/>
      </w:r>
      <w:r>
        <w:rPr>
          <w:rFonts w:ascii="Times New Roman" w:hAnsi="Times New Roman"/>
          <w:noProof/>
          <w:sz w:val="28"/>
          <w:szCs w:val="28"/>
        </w:rPr>
        <w:t>58</w:t>
      </w:r>
      <w:r w:rsidRPr="00212629">
        <w:rPr>
          <w:rFonts w:ascii="Times New Roman" w:hAnsi="Times New Roman"/>
          <w:sz w:val="28"/>
          <w:szCs w:val="28"/>
        </w:rPr>
        <w:fldChar w:fldCharType="end"/>
      </w:r>
    </w:p>
    <w:p w:rsidR="002D1E45" w:rsidRDefault="002D1E45" w:rsidP="00227CAC">
      <w:pPr>
        <w:keepNext/>
        <w:spacing w:after="120" w:line="240" w:lineRule="auto"/>
        <w:jc w:val="center"/>
        <w:rPr>
          <w:rFonts w:ascii="Times New Roman" w:hAnsi="Times New Roman"/>
          <w:bCs/>
          <w:sz w:val="28"/>
          <w:szCs w:val="28"/>
          <w:lang w:eastAsia="ar-SA"/>
        </w:rPr>
      </w:pPr>
      <w:r w:rsidRPr="00227CAC">
        <w:rPr>
          <w:rFonts w:ascii="Times New Roman" w:hAnsi="Times New Roman"/>
          <w:bCs/>
          <w:sz w:val="28"/>
          <w:szCs w:val="28"/>
          <w:lang w:eastAsia="ar-SA"/>
        </w:rPr>
        <w:t xml:space="preserve">Потребность населения </w:t>
      </w:r>
      <w:r>
        <w:rPr>
          <w:rFonts w:ascii="Times New Roman" w:hAnsi="Times New Roman"/>
          <w:sz w:val="28"/>
          <w:szCs w:val="28"/>
          <w:lang w:eastAsia="ar-SA"/>
        </w:rPr>
        <w:t>города Куйбышева</w:t>
      </w:r>
      <w:r w:rsidRPr="00227CAC">
        <w:rPr>
          <w:rFonts w:ascii="Times New Roman" w:hAnsi="Times New Roman"/>
          <w:bCs/>
          <w:sz w:val="28"/>
          <w:szCs w:val="28"/>
          <w:lang w:eastAsia="ar-SA"/>
        </w:rPr>
        <w:t xml:space="preserve"> в</w:t>
      </w:r>
      <w:r>
        <w:rPr>
          <w:rFonts w:ascii="Times New Roman" w:hAnsi="Times New Roman"/>
          <w:bCs/>
          <w:sz w:val="28"/>
          <w:szCs w:val="28"/>
          <w:lang w:eastAsia="ar-SA"/>
        </w:rPr>
        <w:t> </w:t>
      </w:r>
      <w:r w:rsidRPr="00227CAC">
        <w:rPr>
          <w:rFonts w:ascii="Times New Roman" w:hAnsi="Times New Roman"/>
          <w:bCs/>
          <w:sz w:val="28"/>
          <w:szCs w:val="28"/>
          <w:lang w:eastAsia="ar-SA"/>
        </w:rPr>
        <w:t xml:space="preserve">объектах, рекомендуемых для </w:t>
      </w:r>
      <w:r w:rsidRPr="00227CAC">
        <w:rPr>
          <w:rFonts w:ascii="Times New Roman" w:hAnsi="Times New Roman"/>
          <w:sz w:val="28"/>
          <w:szCs w:val="28"/>
        </w:rPr>
        <w:t>размещения</w:t>
      </w:r>
      <w:r w:rsidRPr="00227CAC">
        <w:rPr>
          <w:rFonts w:ascii="Times New Roman" w:hAnsi="Times New Roman"/>
          <w:bCs/>
          <w:sz w:val="28"/>
          <w:szCs w:val="28"/>
          <w:lang w:eastAsia="ar-SA"/>
        </w:rPr>
        <w:t xml:space="preserve">, </w:t>
      </w:r>
      <w:r>
        <w:rPr>
          <w:rFonts w:ascii="Times New Roman" w:hAnsi="Times New Roman"/>
          <w:bCs/>
          <w:sz w:val="28"/>
          <w:szCs w:val="28"/>
          <w:lang w:eastAsia="ar-SA"/>
        </w:rPr>
        <w:t>по этапам планирования</w:t>
      </w:r>
      <w:r w:rsidRPr="00227CAC">
        <w:rPr>
          <w:rFonts w:ascii="Times New Roman" w:hAnsi="Times New Roman"/>
          <w:bCs/>
          <w:sz w:val="28"/>
          <w:szCs w:val="28"/>
          <w:lang w:eastAsia="ar-SA"/>
        </w:rPr>
        <w:t xml:space="preserve"> </w:t>
      </w:r>
    </w:p>
    <w:tbl>
      <w:tblPr>
        <w:tblW w:w="0" w:type="auto"/>
        <w:jc w:val="center"/>
        <w:tblLayout w:type="fixed"/>
        <w:tblLook w:val="00A0"/>
      </w:tblPr>
      <w:tblGrid>
        <w:gridCol w:w="4023"/>
        <w:gridCol w:w="2012"/>
        <w:gridCol w:w="2080"/>
        <w:gridCol w:w="2080"/>
      </w:tblGrid>
      <w:tr w:rsidR="002D1E45" w:rsidRPr="00394690" w:rsidTr="00394690">
        <w:trPr>
          <w:trHeight w:val="170"/>
          <w:tblHeader/>
          <w:jc w:val="center"/>
        </w:trPr>
        <w:tc>
          <w:tcPr>
            <w:tcW w:w="4023" w:type="dxa"/>
            <w:vMerge w:val="restart"/>
            <w:tcBorders>
              <w:top w:val="single" w:sz="4" w:space="0" w:color="auto"/>
              <w:left w:val="single" w:sz="4" w:space="0" w:color="auto"/>
              <w:bottom w:val="single" w:sz="4" w:space="0" w:color="auto"/>
              <w:right w:val="single" w:sz="4" w:space="0" w:color="auto"/>
            </w:tcBorders>
            <w:vAlign w:val="center"/>
          </w:tcPr>
          <w:p w:rsidR="002D1E45" w:rsidRPr="00394690" w:rsidRDefault="002D1E45" w:rsidP="00394690">
            <w:pPr>
              <w:spacing w:after="0" w:line="240" w:lineRule="auto"/>
              <w:jc w:val="center"/>
              <w:rPr>
                <w:rFonts w:ascii="Times New Roman" w:hAnsi="Times New Roman"/>
                <w:color w:val="000000"/>
                <w:lang w:eastAsia="ru-RU"/>
              </w:rPr>
            </w:pPr>
            <w:r w:rsidRPr="00394690">
              <w:rPr>
                <w:rFonts w:ascii="Times New Roman" w:hAnsi="Times New Roman"/>
                <w:color w:val="000000"/>
                <w:lang w:eastAsia="ru-RU"/>
              </w:rPr>
              <w:t>Наименование, единица измерения</w:t>
            </w:r>
          </w:p>
        </w:tc>
        <w:tc>
          <w:tcPr>
            <w:tcW w:w="2012" w:type="dxa"/>
            <w:vMerge w:val="restart"/>
            <w:tcBorders>
              <w:top w:val="single" w:sz="4" w:space="0" w:color="auto"/>
              <w:left w:val="single" w:sz="4" w:space="0" w:color="auto"/>
              <w:bottom w:val="single" w:sz="4" w:space="0" w:color="auto"/>
              <w:right w:val="single" w:sz="4" w:space="0" w:color="auto"/>
            </w:tcBorders>
            <w:vAlign w:val="center"/>
          </w:tcPr>
          <w:p w:rsidR="002D1E45" w:rsidRPr="00394690" w:rsidRDefault="002D1E45" w:rsidP="00394690">
            <w:pPr>
              <w:spacing w:after="0" w:line="240" w:lineRule="auto"/>
              <w:jc w:val="center"/>
              <w:rPr>
                <w:rFonts w:ascii="Times New Roman" w:hAnsi="Times New Roman"/>
                <w:color w:val="000000"/>
                <w:lang w:eastAsia="ru-RU"/>
              </w:rPr>
            </w:pPr>
            <w:r w:rsidRPr="00394690">
              <w:rPr>
                <w:rFonts w:ascii="Times New Roman" w:hAnsi="Times New Roman"/>
                <w:color w:val="000000"/>
                <w:lang w:eastAsia="ru-RU"/>
              </w:rPr>
              <w:t>Норматив</w:t>
            </w:r>
          </w:p>
        </w:tc>
        <w:tc>
          <w:tcPr>
            <w:tcW w:w="4160" w:type="dxa"/>
            <w:gridSpan w:val="2"/>
            <w:tcBorders>
              <w:top w:val="single" w:sz="4" w:space="0" w:color="auto"/>
              <w:left w:val="nil"/>
              <w:bottom w:val="single" w:sz="4" w:space="0" w:color="auto"/>
              <w:right w:val="single" w:sz="4" w:space="0" w:color="auto"/>
            </w:tcBorders>
            <w:vAlign w:val="center"/>
          </w:tcPr>
          <w:p w:rsidR="002D1E45" w:rsidRPr="00394690" w:rsidRDefault="002D1E45" w:rsidP="00394690">
            <w:pPr>
              <w:spacing w:after="0" w:line="240" w:lineRule="auto"/>
              <w:jc w:val="center"/>
              <w:rPr>
                <w:rFonts w:ascii="Times New Roman" w:hAnsi="Times New Roman"/>
                <w:color w:val="000000"/>
                <w:lang w:eastAsia="ru-RU"/>
              </w:rPr>
            </w:pPr>
            <w:r w:rsidRPr="00394690">
              <w:rPr>
                <w:rFonts w:ascii="Times New Roman" w:hAnsi="Times New Roman"/>
                <w:color w:val="000000"/>
                <w:lang w:eastAsia="ru-RU"/>
              </w:rPr>
              <w:t>Потребность</w:t>
            </w:r>
          </w:p>
        </w:tc>
      </w:tr>
      <w:tr w:rsidR="002D1E45" w:rsidRPr="00394690" w:rsidTr="00394690">
        <w:trPr>
          <w:trHeight w:val="170"/>
          <w:tblHeader/>
          <w:jc w:val="center"/>
        </w:trPr>
        <w:tc>
          <w:tcPr>
            <w:tcW w:w="4023" w:type="dxa"/>
            <w:vMerge/>
            <w:tcBorders>
              <w:top w:val="single" w:sz="4" w:space="0" w:color="auto"/>
              <w:left w:val="single" w:sz="4" w:space="0" w:color="auto"/>
              <w:bottom w:val="single" w:sz="4" w:space="0" w:color="auto"/>
              <w:right w:val="single" w:sz="4" w:space="0" w:color="auto"/>
            </w:tcBorders>
            <w:vAlign w:val="center"/>
          </w:tcPr>
          <w:p w:rsidR="002D1E45" w:rsidRPr="00394690" w:rsidRDefault="002D1E45" w:rsidP="00394690">
            <w:pPr>
              <w:spacing w:after="0" w:line="240" w:lineRule="auto"/>
              <w:rPr>
                <w:rFonts w:ascii="Times New Roman" w:hAnsi="Times New Roman"/>
                <w:color w:val="000000"/>
                <w:lang w:eastAsia="ru-RU"/>
              </w:rPr>
            </w:pPr>
          </w:p>
        </w:tc>
        <w:tc>
          <w:tcPr>
            <w:tcW w:w="2012" w:type="dxa"/>
            <w:vMerge/>
            <w:tcBorders>
              <w:top w:val="single" w:sz="4" w:space="0" w:color="auto"/>
              <w:left w:val="single" w:sz="4" w:space="0" w:color="auto"/>
              <w:bottom w:val="single" w:sz="4" w:space="0" w:color="auto"/>
              <w:right w:val="single" w:sz="4" w:space="0" w:color="auto"/>
            </w:tcBorders>
            <w:vAlign w:val="center"/>
          </w:tcPr>
          <w:p w:rsidR="002D1E45" w:rsidRPr="00394690" w:rsidRDefault="002D1E45" w:rsidP="00394690">
            <w:pPr>
              <w:spacing w:after="0" w:line="240" w:lineRule="auto"/>
              <w:rPr>
                <w:rFonts w:ascii="Times New Roman" w:hAnsi="Times New Roman"/>
                <w:color w:val="000000"/>
                <w:lang w:eastAsia="ru-RU"/>
              </w:rPr>
            </w:pPr>
          </w:p>
        </w:tc>
        <w:tc>
          <w:tcPr>
            <w:tcW w:w="2080" w:type="dxa"/>
            <w:tcBorders>
              <w:top w:val="nil"/>
              <w:left w:val="nil"/>
              <w:bottom w:val="single" w:sz="4" w:space="0" w:color="auto"/>
              <w:right w:val="single" w:sz="4" w:space="0" w:color="auto"/>
            </w:tcBorders>
            <w:vAlign w:val="center"/>
          </w:tcPr>
          <w:p w:rsidR="002D1E45" w:rsidRPr="00394690" w:rsidRDefault="002D1E45" w:rsidP="00394690">
            <w:pPr>
              <w:spacing w:after="0" w:line="240" w:lineRule="auto"/>
              <w:jc w:val="center"/>
              <w:rPr>
                <w:rFonts w:ascii="Times New Roman" w:hAnsi="Times New Roman"/>
                <w:color w:val="000000"/>
                <w:lang w:eastAsia="ru-RU"/>
              </w:rPr>
            </w:pPr>
            <w:r w:rsidRPr="00394690">
              <w:rPr>
                <w:rFonts w:ascii="Times New Roman" w:hAnsi="Times New Roman"/>
                <w:color w:val="000000"/>
                <w:lang w:eastAsia="ru-RU"/>
              </w:rPr>
              <w:t>1 очередь</w:t>
            </w:r>
          </w:p>
        </w:tc>
        <w:tc>
          <w:tcPr>
            <w:tcW w:w="2080" w:type="dxa"/>
            <w:tcBorders>
              <w:top w:val="nil"/>
              <w:left w:val="nil"/>
              <w:bottom w:val="single" w:sz="4" w:space="0" w:color="auto"/>
              <w:right w:val="single" w:sz="4" w:space="0" w:color="auto"/>
            </w:tcBorders>
            <w:vAlign w:val="center"/>
          </w:tcPr>
          <w:p w:rsidR="002D1E45" w:rsidRPr="00394690" w:rsidRDefault="002D1E45" w:rsidP="00394690">
            <w:pPr>
              <w:spacing w:after="0" w:line="240" w:lineRule="auto"/>
              <w:jc w:val="center"/>
              <w:rPr>
                <w:rFonts w:ascii="Times New Roman" w:hAnsi="Times New Roman"/>
                <w:color w:val="000000"/>
                <w:lang w:eastAsia="ru-RU"/>
              </w:rPr>
            </w:pPr>
            <w:r w:rsidRPr="00394690">
              <w:rPr>
                <w:rFonts w:ascii="Times New Roman" w:hAnsi="Times New Roman"/>
                <w:color w:val="000000"/>
                <w:lang w:eastAsia="ru-RU"/>
              </w:rPr>
              <w:t>расч. срок</w:t>
            </w:r>
          </w:p>
        </w:tc>
      </w:tr>
      <w:tr w:rsidR="002D1E45" w:rsidRPr="00394690" w:rsidTr="00394690">
        <w:trPr>
          <w:trHeight w:val="170"/>
          <w:jc w:val="center"/>
        </w:trPr>
        <w:tc>
          <w:tcPr>
            <w:tcW w:w="4023" w:type="dxa"/>
            <w:tcBorders>
              <w:top w:val="nil"/>
              <w:left w:val="single" w:sz="4" w:space="0" w:color="auto"/>
              <w:bottom w:val="single" w:sz="4" w:space="0" w:color="auto"/>
              <w:right w:val="single" w:sz="4" w:space="0" w:color="auto"/>
            </w:tcBorders>
            <w:vAlign w:val="center"/>
          </w:tcPr>
          <w:p w:rsidR="002D1E45" w:rsidRPr="00394690" w:rsidRDefault="002D1E45" w:rsidP="00394690">
            <w:pPr>
              <w:spacing w:after="0" w:line="240" w:lineRule="auto"/>
              <w:rPr>
                <w:rFonts w:ascii="Times New Roman" w:hAnsi="Times New Roman"/>
                <w:color w:val="000000"/>
                <w:lang w:eastAsia="ru-RU"/>
              </w:rPr>
            </w:pPr>
            <w:bookmarkStart w:id="251" w:name="RANGE!A3"/>
            <w:bookmarkEnd w:id="251"/>
            <w:r w:rsidRPr="00394690">
              <w:rPr>
                <w:rFonts w:ascii="Times New Roman" w:hAnsi="Times New Roman"/>
                <w:color w:val="000000"/>
                <w:lang w:eastAsia="ru-RU"/>
              </w:rPr>
              <w:t>Предприятия торговли и</w:t>
            </w:r>
            <w:r>
              <w:rPr>
                <w:rFonts w:ascii="Times New Roman" w:hAnsi="Times New Roman"/>
                <w:color w:val="000000"/>
                <w:lang w:eastAsia="ru-RU"/>
              </w:rPr>
              <w:t> </w:t>
            </w:r>
            <w:r w:rsidRPr="00394690">
              <w:rPr>
                <w:rFonts w:ascii="Times New Roman" w:hAnsi="Times New Roman"/>
                <w:color w:val="000000"/>
                <w:lang w:eastAsia="ru-RU"/>
              </w:rPr>
              <w:t>общественного питания</w:t>
            </w:r>
            <w:r>
              <w:rPr>
                <w:rStyle w:val="FootnoteReference"/>
                <w:rFonts w:ascii="Times New Roman" w:hAnsi="Times New Roman"/>
                <w:color w:val="000000"/>
                <w:lang w:eastAsia="ru-RU"/>
              </w:rPr>
              <w:footnoteReference w:id="8"/>
            </w:r>
          </w:p>
        </w:tc>
        <w:tc>
          <w:tcPr>
            <w:tcW w:w="2012" w:type="dxa"/>
            <w:tcBorders>
              <w:top w:val="nil"/>
              <w:left w:val="nil"/>
              <w:bottom w:val="single" w:sz="4" w:space="0" w:color="auto"/>
              <w:right w:val="single" w:sz="4" w:space="0" w:color="auto"/>
            </w:tcBorders>
            <w:vAlign w:val="center"/>
          </w:tcPr>
          <w:p w:rsidR="002D1E45" w:rsidRPr="00394690" w:rsidRDefault="002D1E45" w:rsidP="00394690">
            <w:pPr>
              <w:spacing w:after="0" w:line="240" w:lineRule="auto"/>
              <w:rPr>
                <w:rFonts w:ascii="Times New Roman" w:hAnsi="Times New Roman"/>
                <w:color w:val="000000"/>
                <w:lang w:eastAsia="ru-RU"/>
              </w:rPr>
            </w:pPr>
            <w:r w:rsidRPr="00394690">
              <w:rPr>
                <w:rFonts w:ascii="Times New Roman" w:hAnsi="Times New Roman"/>
                <w:color w:val="000000"/>
                <w:lang w:eastAsia="ru-RU"/>
              </w:rPr>
              <w:t> </w:t>
            </w:r>
          </w:p>
        </w:tc>
        <w:tc>
          <w:tcPr>
            <w:tcW w:w="2080" w:type="dxa"/>
            <w:tcBorders>
              <w:top w:val="nil"/>
              <w:left w:val="nil"/>
              <w:bottom w:val="single" w:sz="4" w:space="0" w:color="auto"/>
              <w:right w:val="single" w:sz="4" w:space="0" w:color="auto"/>
            </w:tcBorders>
            <w:vAlign w:val="center"/>
          </w:tcPr>
          <w:p w:rsidR="002D1E45" w:rsidRPr="00394690" w:rsidRDefault="002D1E45" w:rsidP="00394690">
            <w:pPr>
              <w:spacing w:after="0" w:line="240" w:lineRule="auto"/>
              <w:rPr>
                <w:rFonts w:ascii="Times New Roman" w:hAnsi="Times New Roman"/>
                <w:color w:val="000000"/>
                <w:lang w:eastAsia="ru-RU"/>
              </w:rPr>
            </w:pPr>
            <w:r w:rsidRPr="00394690">
              <w:rPr>
                <w:rFonts w:ascii="Times New Roman" w:hAnsi="Times New Roman"/>
                <w:color w:val="000000"/>
                <w:lang w:eastAsia="ru-RU"/>
              </w:rPr>
              <w:t> </w:t>
            </w:r>
          </w:p>
        </w:tc>
        <w:tc>
          <w:tcPr>
            <w:tcW w:w="2080" w:type="dxa"/>
            <w:tcBorders>
              <w:top w:val="nil"/>
              <w:left w:val="nil"/>
              <w:bottom w:val="single" w:sz="4" w:space="0" w:color="auto"/>
              <w:right w:val="single" w:sz="4" w:space="0" w:color="auto"/>
            </w:tcBorders>
            <w:vAlign w:val="center"/>
          </w:tcPr>
          <w:p w:rsidR="002D1E45" w:rsidRPr="00394690" w:rsidRDefault="002D1E45" w:rsidP="00394690">
            <w:pPr>
              <w:spacing w:after="0" w:line="240" w:lineRule="auto"/>
              <w:jc w:val="center"/>
              <w:rPr>
                <w:rFonts w:ascii="Times New Roman" w:hAnsi="Times New Roman"/>
                <w:color w:val="000000"/>
                <w:lang w:eastAsia="ru-RU"/>
              </w:rPr>
            </w:pPr>
            <w:r w:rsidRPr="00394690">
              <w:rPr>
                <w:rFonts w:ascii="Times New Roman" w:hAnsi="Times New Roman"/>
                <w:color w:val="000000"/>
                <w:lang w:eastAsia="ru-RU"/>
              </w:rPr>
              <w:t> </w:t>
            </w:r>
          </w:p>
        </w:tc>
      </w:tr>
      <w:tr w:rsidR="002D1E45" w:rsidRPr="00394690" w:rsidTr="003E1F2C">
        <w:trPr>
          <w:trHeight w:val="170"/>
          <w:jc w:val="center"/>
        </w:trPr>
        <w:tc>
          <w:tcPr>
            <w:tcW w:w="4023" w:type="dxa"/>
            <w:tcBorders>
              <w:top w:val="nil"/>
              <w:left w:val="single" w:sz="4" w:space="0" w:color="auto"/>
              <w:bottom w:val="single" w:sz="4" w:space="0" w:color="auto"/>
              <w:right w:val="single" w:sz="4" w:space="0" w:color="auto"/>
            </w:tcBorders>
            <w:vAlign w:val="center"/>
          </w:tcPr>
          <w:p w:rsidR="002D1E45" w:rsidRPr="00394690" w:rsidRDefault="002D1E45" w:rsidP="003E1F2C">
            <w:pPr>
              <w:spacing w:after="0" w:line="240" w:lineRule="auto"/>
              <w:rPr>
                <w:rFonts w:ascii="Times New Roman" w:hAnsi="Times New Roman"/>
                <w:color w:val="000000"/>
                <w:lang w:eastAsia="ru-RU"/>
              </w:rPr>
            </w:pPr>
            <w:r w:rsidRPr="00394690">
              <w:rPr>
                <w:rFonts w:ascii="Times New Roman" w:hAnsi="Times New Roman"/>
                <w:color w:val="000000"/>
                <w:lang w:eastAsia="ru-RU"/>
              </w:rPr>
              <w:t>Стационарные торговые объекты, кв.м площади торгового объекта</w:t>
            </w:r>
          </w:p>
        </w:tc>
        <w:tc>
          <w:tcPr>
            <w:tcW w:w="2012"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r w:rsidRPr="003E1F2C">
              <w:rPr>
                <w:rFonts w:ascii="Times New Roman" w:hAnsi="Times New Roman"/>
                <w:color w:val="000000"/>
                <w:lang w:eastAsia="ru-RU"/>
              </w:rPr>
              <w:t>587 кв.м на 1 тыс. человек</w:t>
            </w:r>
          </w:p>
        </w:tc>
        <w:tc>
          <w:tcPr>
            <w:tcW w:w="2080"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r w:rsidRPr="003E1F2C">
              <w:rPr>
                <w:rFonts w:ascii="Times New Roman" w:hAnsi="Times New Roman"/>
                <w:color w:val="000000"/>
                <w:lang w:eastAsia="ru-RU"/>
              </w:rPr>
              <w:t>24214</w:t>
            </w:r>
          </w:p>
        </w:tc>
        <w:tc>
          <w:tcPr>
            <w:tcW w:w="2080"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r w:rsidRPr="003E1F2C">
              <w:rPr>
                <w:rFonts w:ascii="Times New Roman" w:hAnsi="Times New Roman"/>
                <w:color w:val="000000"/>
                <w:lang w:eastAsia="ru-RU"/>
              </w:rPr>
              <w:t>22864</w:t>
            </w:r>
          </w:p>
        </w:tc>
      </w:tr>
      <w:tr w:rsidR="002D1E45" w:rsidRPr="00394690" w:rsidTr="003E1F2C">
        <w:trPr>
          <w:trHeight w:val="170"/>
          <w:jc w:val="center"/>
        </w:trPr>
        <w:tc>
          <w:tcPr>
            <w:tcW w:w="4023" w:type="dxa"/>
            <w:tcBorders>
              <w:top w:val="nil"/>
              <w:left w:val="single" w:sz="4" w:space="0" w:color="auto"/>
              <w:bottom w:val="single" w:sz="4" w:space="0" w:color="auto"/>
              <w:right w:val="single" w:sz="4" w:space="0" w:color="auto"/>
            </w:tcBorders>
            <w:vAlign w:val="center"/>
          </w:tcPr>
          <w:p w:rsidR="002D1E45" w:rsidRPr="00394690" w:rsidRDefault="002D1E45" w:rsidP="003E1F2C">
            <w:pPr>
              <w:spacing w:after="0" w:line="240" w:lineRule="auto"/>
              <w:rPr>
                <w:rFonts w:ascii="Times New Roman" w:hAnsi="Times New Roman"/>
                <w:color w:val="000000"/>
                <w:lang w:eastAsia="ru-RU"/>
              </w:rPr>
            </w:pPr>
            <w:r w:rsidRPr="00394690">
              <w:rPr>
                <w:rFonts w:ascii="Times New Roman" w:hAnsi="Times New Roman"/>
                <w:color w:val="000000"/>
                <w:lang w:eastAsia="ru-RU"/>
              </w:rPr>
              <w:t>В том числе</w:t>
            </w:r>
          </w:p>
        </w:tc>
        <w:tc>
          <w:tcPr>
            <w:tcW w:w="2012"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p>
        </w:tc>
        <w:tc>
          <w:tcPr>
            <w:tcW w:w="2080"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p>
        </w:tc>
        <w:tc>
          <w:tcPr>
            <w:tcW w:w="2080"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p>
        </w:tc>
      </w:tr>
      <w:tr w:rsidR="002D1E45" w:rsidRPr="00394690" w:rsidTr="003E1F2C">
        <w:trPr>
          <w:trHeight w:val="170"/>
          <w:jc w:val="center"/>
        </w:trPr>
        <w:tc>
          <w:tcPr>
            <w:tcW w:w="4023" w:type="dxa"/>
            <w:tcBorders>
              <w:top w:val="nil"/>
              <w:left w:val="single" w:sz="4" w:space="0" w:color="auto"/>
              <w:bottom w:val="single" w:sz="4" w:space="0" w:color="auto"/>
              <w:right w:val="single" w:sz="4" w:space="0" w:color="auto"/>
            </w:tcBorders>
            <w:vAlign w:val="center"/>
          </w:tcPr>
          <w:p w:rsidR="002D1E45" w:rsidRPr="00394690" w:rsidRDefault="002D1E45" w:rsidP="003E1F2C">
            <w:pPr>
              <w:spacing w:after="0" w:line="240" w:lineRule="auto"/>
              <w:rPr>
                <w:rFonts w:ascii="Times New Roman" w:hAnsi="Times New Roman"/>
                <w:color w:val="000000"/>
                <w:lang w:eastAsia="ru-RU"/>
              </w:rPr>
            </w:pPr>
            <w:r w:rsidRPr="00394690">
              <w:rPr>
                <w:rFonts w:ascii="Times New Roman" w:hAnsi="Times New Roman"/>
                <w:color w:val="000000"/>
                <w:lang w:eastAsia="ru-RU"/>
              </w:rPr>
              <w:t>площадь стационарных торговых объектов, на</w:t>
            </w:r>
            <w:r>
              <w:rPr>
                <w:rFonts w:ascii="Times New Roman" w:hAnsi="Times New Roman"/>
                <w:color w:val="000000"/>
                <w:lang w:eastAsia="ru-RU"/>
              </w:rPr>
              <w:t> </w:t>
            </w:r>
            <w:r w:rsidRPr="00394690">
              <w:rPr>
                <w:rFonts w:ascii="Times New Roman" w:hAnsi="Times New Roman"/>
                <w:color w:val="000000"/>
                <w:lang w:eastAsia="ru-RU"/>
              </w:rPr>
              <w:t xml:space="preserve">которой осуществляется продажа продовольственных товаров, кв.м </w:t>
            </w:r>
          </w:p>
        </w:tc>
        <w:tc>
          <w:tcPr>
            <w:tcW w:w="2012"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r w:rsidRPr="003E1F2C">
              <w:rPr>
                <w:rFonts w:ascii="Times New Roman" w:hAnsi="Times New Roman"/>
                <w:color w:val="000000"/>
                <w:lang w:eastAsia="ru-RU"/>
              </w:rPr>
              <w:t>194,5 кв.м на 1 тыс. человек</w:t>
            </w:r>
          </w:p>
        </w:tc>
        <w:tc>
          <w:tcPr>
            <w:tcW w:w="2080"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r w:rsidRPr="003E1F2C">
              <w:rPr>
                <w:rFonts w:ascii="Times New Roman" w:hAnsi="Times New Roman"/>
                <w:color w:val="000000"/>
                <w:lang w:eastAsia="ru-RU"/>
              </w:rPr>
              <w:t>8023</w:t>
            </w:r>
          </w:p>
        </w:tc>
        <w:tc>
          <w:tcPr>
            <w:tcW w:w="2080"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r w:rsidRPr="003E1F2C">
              <w:rPr>
                <w:rFonts w:ascii="Times New Roman" w:hAnsi="Times New Roman"/>
                <w:color w:val="000000"/>
                <w:lang w:eastAsia="ru-RU"/>
              </w:rPr>
              <w:t>7576</w:t>
            </w:r>
          </w:p>
        </w:tc>
      </w:tr>
      <w:tr w:rsidR="002D1E45" w:rsidRPr="00394690" w:rsidTr="003E1F2C">
        <w:trPr>
          <w:trHeight w:val="170"/>
          <w:jc w:val="center"/>
        </w:trPr>
        <w:tc>
          <w:tcPr>
            <w:tcW w:w="4023" w:type="dxa"/>
            <w:tcBorders>
              <w:top w:val="nil"/>
              <w:left w:val="single" w:sz="4" w:space="0" w:color="auto"/>
              <w:bottom w:val="single" w:sz="4" w:space="0" w:color="auto"/>
              <w:right w:val="single" w:sz="4" w:space="0" w:color="auto"/>
            </w:tcBorders>
            <w:vAlign w:val="center"/>
          </w:tcPr>
          <w:p w:rsidR="002D1E45" w:rsidRPr="00394690" w:rsidRDefault="002D1E45" w:rsidP="003E1F2C">
            <w:pPr>
              <w:spacing w:after="0" w:line="240" w:lineRule="auto"/>
              <w:rPr>
                <w:rFonts w:ascii="Times New Roman" w:hAnsi="Times New Roman"/>
                <w:color w:val="000000"/>
                <w:lang w:eastAsia="ru-RU"/>
              </w:rPr>
            </w:pPr>
            <w:r w:rsidRPr="00394690">
              <w:rPr>
                <w:rFonts w:ascii="Times New Roman" w:hAnsi="Times New Roman"/>
                <w:color w:val="000000"/>
                <w:lang w:eastAsia="ru-RU"/>
              </w:rPr>
              <w:t>площадь стационарных торговых объектов, на</w:t>
            </w:r>
            <w:r>
              <w:rPr>
                <w:rFonts w:ascii="Times New Roman" w:hAnsi="Times New Roman"/>
                <w:color w:val="000000"/>
                <w:lang w:eastAsia="ru-RU"/>
              </w:rPr>
              <w:t> </w:t>
            </w:r>
            <w:r w:rsidRPr="00394690">
              <w:rPr>
                <w:rFonts w:ascii="Times New Roman" w:hAnsi="Times New Roman"/>
                <w:color w:val="000000"/>
                <w:lang w:eastAsia="ru-RU"/>
              </w:rPr>
              <w:t xml:space="preserve">которой осуществляется продажа непродовольственных товаров, кв.м </w:t>
            </w:r>
          </w:p>
        </w:tc>
        <w:tc>
          <w:tcPr>
            <w:tcW w:w="2012"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r w:rsidRPr="003E1F2C">
              <w:rPr>
                <w:rFonts w:ascii="Times New Roman" w:hAnsi="Times New Roman"/>
                <w:color w:val="000000"/>
                <w:lang w:eastAsia="ru-RU"/>
              </w:rPr>
              <w:t>392,5 кв.м на 1 тыс. человек</w:t>
            </w:r>
          </w:p>
        </w:tc>
        <w:tc>
          <w:tcPr>
            <w:tcW w:w="2080"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r w:rsidRPr="003E1F2C">
              <w:rPr>
                <w:rFonts w:ascii="Times New Roman" w:hAnsi="Times New Roman"/>
                <w:color w:val="000000"/>
                <w:lang w:eastAsia="ru-RU"/>
              </w:rPr>
              <w:t>16191</w:t>
            </w:r>
          </w:p>
        </w:tc>
        <w:tc>
          <w:tcPr>
            <w:tcW w:w="2080"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r w:rsidRPr="003E1F2C">
              <w:rPr>
                <w:rFonts w:ascii="Times New Roman" w:hAnsi="Times New Roman"/>
                <w:color w:val="000000"/>
                <w:lang w:eastAsia="ru-RU"/>
              </w:rPr>
              <w:t>15288</w:t>
            </w:r>
          </w:p>
        </w:tc>
      </w:tr>
      <w:tr w:rsidR="002D1E45" w:rsidRPr="00394690" w:rsidTr="003E1F2C">
        <w:trPr>
          <w:trHeight w:val="170"/>
          <w:jc w:val="center"/>
        </w:trPr>
        <w:tc>
          <w:tcPr>
            <w:tcW w:w="4023" w:type="dxa"/>
            <w:tcBorders>
              <w:top w:val="nil"/>
              <w:left w:val="single" w:sz="4" w:space="0" w:color="auto"/>
              <w:bottom w:val="single" w:sz="4" w:space="0" w:color="auto"/>
              <w:right w:val="single" w:sz="4" w:space="0" w:color="auto"/>
            </w:tcBorders>
            <w:vAlign w:val="center"/>
          </w:tcPr>
          <w:p w:rsidR="002D1E45" w:rsidRPr="00394690" w:rsidRDefault="002D1E45" w:rsidP="003E1F2C">
            <w:pPr>
              <w:spacing w:after="0" w:line="240" w:lineRule="auto"/>
              <w:rPr>
                <w:rFonts w:ascii="Times New Roman" w:hAnsi="Times New Roman"/>
                <w:color w:val="000000"/>
                <w:lang w:eastAsia="ru-RU"/>
              </w:rPr>
            </w:pPr>
            <w:r w:rsidRPr="00394690">
              <w:rPr>
                <w:rFonts w:ascii="Times New Roman" w:hAnsi="Times New Roman"/>
                <w:color w:val="000000"/>
                <w:lang w:eastAsia="ru-RU"/>
              </w:rPr>
              <w:t>Торговые объекты местного значения, количество торговых объектов</w:t>
            </w:r>
          </w:p>
        </w:tc>
        <w:tc>
          <w:tcPr>
            <w:tcW w:w="2012"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r w:rsidRPr="003E1F2C">
              <w:rPr>
                <w:rFonts w:ascii="Times New Roman" w:hAnsi="Times New Roman"/>
                <w:color w:val="000000"/>
                <w:lang w:eastAsia="ru-RU"/>
              </w:rPr>
              <w:t>175</w:t>
            </w:r>
          </w:p>
        </w:tc>
        <w:tc>
          <w:tcPr>
            <w:tcW w:w="2080"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r w:rsidRPr="003E1F2C">
              <w:rPr>
                <w:rFonts w:ascii="Times New Roman" w:hAnsi="Times New Roman"/>
                <w:color w:val="000000"/>
                <w:lang w:eastAsia="ru-RU"/>
              </w:rPr>
              <w:t>175</w:t>
            </w:r>
          </w:p>
        </w:tc>
        <w:tc>
          <w:tcPr>
            <w:tcW w:w="2080"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r w:rsidRPr="003E1F2C">
              <w:rPr>
                <w:rFonts w:ascii="Times New Roman" w:hAnsi="Times New Roman"/>
                <w:color w:val="000000"/>
                <w:lang w:eastAsia="ru-RU"/>
              </w:rPr>
              <w:t>175</w:t>
            </w:r>
          </w:p>
        </w:tc>
      </w:tr>
      <w:tr w:rsidR="002D1E45" w:rsidRPr="00394690" w:rsidTr="003E1F2C">
        <w:trPr>
          <w:trHeight w:val="170"/>
          <w:jc w:val="center"/>
        </w:trPr>
        <w:tc>
          <w:tcPr>
            <w:tcW w:w="4023" w:type="dxa"/>
            <w:tcBorders>
              <w:top w:val="nil"/>
              <w:left w:val="single" w:sz="4" w:space="0" w:color="auto"/>
              <w:bottom w:val="single" w:sz="4" w:space="0" w:color="auto"/>
              <w:right w:val="single" w:sz="4" w:space="0" w:color="auto"/>
            </w:tcBorders>
            <w:vAlign w:val="center"/>
          </w:tcPr>
          <w:p w:rsidR="002D1E45" w:rsidRPr="00394690" w:rsidRDefault="002D1E45" w:rsidP="003E1F2C">
            <w:pPr>
              <w:spacing w:after="0" w:line="240" w:lineRule="auto"/>
              <w:rPr>
                <w:rFonts w:ascii="Times New Roman" w:hAnsi="Times New Roman"/>
                <w:color w:val="000000"/>
                <w:lang w:eastAsia="ru-RU"/>
              </w:rPr>
            </w:pPr>
            <w:r w:rsidRPr="00394690">
              <w:rPr>
                <w:rFonts w:ascii="Times New Roman" w:hAnsi="Times New Roman"/>
                <w:color w:val="000000"/>
                <w:lang w:eastAsia="ru-RU"/>
              </w:rPr>
              <w:t>Рынки сельскохозяйственные/универсальные, торг. мест</w:t>
            </w:r>
            <w:r w:rsidRPr="00394690">
              <w:rPr>
                <w:rFonts w:ascii="Times New Roman" w:hAnsi="Times New Roman"/>
                <w:color w:val="000000"/>
                <w:vertAlign w:val="superscript"/>
                <w:lang w:eastAsia="ru-RU"/>
              </w:rPr>
              <w:footnoteReference w:id="9"/>
            </w:r>
          </w:p>
        </w:tc>
        <w:tc>
          <w:tcPr>
            <w:tcW w:w="2012"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r w:rsidRPr="003E1F2C">
              <w:rPr>
                <w:rFonts w:ascii="Times New Roman" w:hAnsi="Times New Roman"/>
                <w:color w:val="000000"/>
                <w:lang w:eastAsia="ru-RU"/>
              </w:rPr>
              <w:t>0,9 торг. место на 1 тыс. человек</w:t>
            </w:r>
          </w:p>
        </w:tc>
        <w:tc>
          <w:tcPr>
            <w:tcW w:w="2080"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r w:rsidRPr="003E1F2C">
              <w:rPr>
                <w:rFonts w:ascii="Times New Roman" w:hAnsi="Times New Roman"/>
                <w:color w:val="000000"/>
                <w:lang w:eastAsia="ru-RU"/>
              </w:rPr>
              <w:t>37</w:t>
            </w:r>
            <w:r>
              <w:rPr>
                <w:rFonts w:ascii="Times New Roman" w:hAnsi="Times New Roman"/>
                <w:color w:val="000000"/>
                <w:lang w:eastAsia="ru-RU"/>
              </w:rPr>
              <w:t>/123</w:t>
            </w:r>
          </w:p>
        </w:tc>
        <w:tc>
          <w:tcPr>
            <w:tcW w:w="2080"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r w:rsidRPr="003E1F2C">
              <w:rPr>
                <w:rFonts w:ascii="Times New Roman" w:hAnsi="Times New Roman"/>
                <w:color w:val="000000"/>
                <w:lang w:eastAsia="ru-RU"/>
              </w:rPr>
              <w:t>35</w:t>
            </w:r>
            <w:r>
              <w:rPr>
                <w:rFonts w:ascii="Times New Roman" w:hAnsi="Times New Roman"/>
                <w:color w:val="000000"/>
                <w:lang w:eastAsia="ru-RU"/>
              </w:rPr>
              <w:t>/117</w:t>
            </w:r>
          </w:p>
        </w:tc>
      </w:tr>
      <w:tr w:rsidR="002D1E45" w:rsidRPr="00394690" w:rsidTr="003E1F2C">
        <w:trPr>
          <w:trHeight w:val="170"/>
          <w:jc w:val="center"/>
        </w:trPr>
        <w:tc>
          <w:tcPr>
            <w:tcW w:w="4023" w:type="dxa"/>
            <w:tcBorders>
              <w:top w:val="nil"/>
              <w:left w:val="single" w:sz="4" w:space="0" w:color="auto"/>
              <w:bottom w:val="single" w:sz="4" w:space="0" w:color="auto"/>
              <w:right w:val="single" w:sz="4" w:space="0" w:color="auto"/>
            </w:tcBorders>
            <w:vAlign w:val="center"/>
          </w:tcPr>
          <w:p w:rsidR="002D1E45" w:rsidRPr="00394690" w:rsidRDefault="002D1E45" w:rsidP="003E1F2C">
            <w:pPr>
              <w:spacing w:after="0" w:line="240" w:lineRule="auto"/>
              <w:rPr>
                <w:rFonts w:ascii="Times New Roman" w:hAnsi="Times New Roman"/>
                <w:color w:val="000000"/>
                <w:lang w:eastAsia="ru-RU"/>
              </w:rPr>
            </w:pPr>
            <w:r w:rsidRPr="00394690">
              <w:rPr>
                <w:rFonts w:ascii="Times New Roman" w:hAnsi="Times New Roman"/>
                <w:color w:val="000000"/>
                <w:lang w:eastAsia="ru-RU"/>
              </w:rPr>
              <w:t>Торговые павильоны и</w:t>
            </w:r>
            <w:r>
              <w:rPr>
                <w:rFonts w:ascii="Times New Roman" w:hAnsi="Times New Roman"/>
                <w:color w:val="000000"/>
                <w:lang w:eastAsia="ru-RU"/>
              </w:rPr>
              <w:t> </w:t>
            </w:r>
            <w:r w:rsidRPr="00394690">
              <w:rPr>
                <w:rFonts w:ascii="Times New Roman" w:hAnsi="Times New Roman"/>
                <w:color w:val="000000"/>
                <w:lang w:eastAsia="ru-RU"/>
              </w:rPr>
              <w:t>киоски по</w:t>
            </w:r>
            <w:r>
              <w:rPr>
                <w:rFonts w:ascii="Times New Roman" w:hAnsi="Times New Roman"/>
                <w:color w:val="000000"/>
                <w:lang w:eastAsia="ru-RU"/>
              </w:rPr>
              <w:t> </w:t>
            </w:r>
            <w:r w:rsidRPr="00394690">
              <w:rPr>
                <w:rFonts w:ascii="Times New Roman" w:hAnsi="Times New Roman"/>
                <w:color w:val="000000"/>
                <w:lang w:eastAsia="ru-RU"/>
              </w:rPr>
              <w:t>продаже продовольственных товаров и</w:t>
            </w:r>
            <w:r>
              <w:rPr>
                <w:rFonts w:ascii="Times New Roman" w:hAnsi="Times New Roman"/>
                <w:color w:val="000000"/>
                <w:lang w:eastAsia="ru-RU"/>
              </w:rPr>
              <w:t> </w:t>
            </w:r>
            <w:r w:rsidRPr="00394690">
              <w:rPr>
                <w:rFonts w:ascii="Times New Roman" w:hAnsi="Times New Roman"/>
                <w:color w:val="000000"/>
                <w:lang w:eastAsia="ru-RU"/>
              </w:rPr>
              <w:t>сельскохозяйственной продукции, торг. объектов</w:t>
            </w:r>
          </w:p>
        </w:tc>
        <w:tc>
          <w:tcPr>
            <w:tcW w:w="2012"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r w:rsidRPr="003E1F2C">
              <w:rPr>
                <w:rFonts w:ascii="Times New Roman" w:hAnsi="Times New Roman"/>
                <w:color w:val="000000"/>
                <w:lang w:eastAsia="ru-RU"/>
              </w:rPr>
              <w:t>8,6 торг. объектов на 10 тыс. человек</w:t>
            </w:r>
          </w:p>
        </w:tc>
        <w:tc>
          <w:tcPr>
            <w:tcW w:w="2080"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r w:rsidRPr="003E1F2C">
              <w:rPr>
                <w:rFonts w:ascii="Times New Roman" w:hAnsi="Times New Roman"/>
                <w:color w:val="000000"/>
                <w:lang w:eastAsia="ru-RU"/>
              </w:rPr>
              <w:t>35</w:t>
            </w:r>
          </w:p>
        </w:tc>
        <w:tc>
          <w:tcPr>
            <w:tcW w:w="2080"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r w:rsidRPr="003E1F2C">
              <w:rPr>
                <w:rFonts w:ascii="Times New Roman" w:hAnsi="Times New Roman"/>
                <w:color w:val="000000"/>
                <w:lang w:eastAsia="ru-RU"/>
              </w:rPr>
              <w:t>33</w:t>
            </w:r>
          </w:p>
        </w:tc>
      </w:tr>
      <w:tr w:rsidR="002D1E45" w:rsidRPr="00394690" w:rsidTr="003E1F2C">
        <w:trPr>
          <w:trHeight w:val="170"/>
          <w:jc w:val="center"/>
        </w:trPr>
        <w:tc>
          <w:tcPr>
            <w:tcW w:w="4023" w:type="dxa"/>
            <w:tcBorders>
              <w:top w:val="nil"/>
              <w:left w:val="single" w:sz="4" w:space="0" w:color="auto"/>
              <w:bottom w:val="single" w:sz="4" w:space="0" w:color="auto"/>
              <w:right w:val="single" w:sz="4" w:space="0" w:color="auto"/>
            </w:tcBorders>
            <w:vAlign w:val="center"/>
          </w:tcPr>
          <w:p w:rsidR="002D1E45" w:rsidRPr="00394690" w:rsidRDefault="002D1E45" w:rsidP="003E1F2C">
            <w:pPr>
              <w:spacing w:after="0" w:line="240" w:lineRule="auto"/>
              <w:rPr>
                <w:rFonts w:ascii="Times New Roman" w:hAnsi="Times New Roman"/>
                <w:color w:val="000000"/>
                <w:lang w:eastAsia="ru-RU"/>
              </w:rPr>
            </w:pPr>
            <w:r w:rsidRPr="00394690">
              <w:rPr>
                <w:rFonts w:ascii="Times New Roman" w:hAnsi="Times New Roman"/>
                <w:color w:val="000000"/>
                <w:lang w:eastAsia="ru-RU"/>
              </w:rPr>
              <w:t>Торговые павильоны и</w:t>
            </w:r>
            <w:r>
              <w:rPr>
                <w:rFonts w:ascii="Times New Roman" w:hAnsi="Times New Roman"/>
                <w:color w:val="000000"/>
                <w:lang w:eastAsia="ru-RU"/>
              </w:rPr>
              <w:t> </w:t>
            </w:r>
            <w:r w:rsidRPr="00394690">
              <w:rPr>
                <w:rFonts w:ascii="Times New Roman" w:hAnsi="Times New Roman"/>
                <w:color w:val="000000"/>
                <w:lang w:eastAsia="ru-RU"/>
              </w:rPr>
              <w:t>киоски по</w:t>
            </w:r>
            <w:r>
              <w:rPr>
                <w:rFonts w:ascii="Times New Roman" w:hAnsi="Times New Roman"/>
                <w:color w:val="000000"/>
                <w:lang w:eastAsia="ru-RU"/>
              </w:rPr>
              <w:t> </w:t>
            </w:r>
            <w:r w:rsidRPr="00394690">
              <w:rPr>
                <w:rFonts w:ascii="Times New Roman" w:hAnsi="Times New Roman"/>
                <w:color w:val="000000"/>
                <w:lang w:eastAsia="ru-RU"/>
              </w:rPr>
              <w:t>продаже продукции общественного питания, торг. объектов</w:t>
            </w:r>
          </w:p>
        </w:tc>
        <w:tc>
          <w:tcPr>
            <w:tcW w:w="2012"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r w:rsidRPr="003E1F2C">
              <w:rPr>
                <w:rFonts w:ascii="Times New Roman" w:hAnsi="Times New Roman"/>
                <w:color w:val="000000"/>
                <w:lang w:eastAsia="ru-RU"/>
              </w:rPr>
              <w:t>1,0 торг. объектов на 10 тыс. человек</w:t>
            </w:r>
          </w:p>
        </w:tc>
        <w:tc>
          <w:tcPr>
            <w:tcW w:w="2080"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r w:rsidRPr="003E1F2C">
              <w:rPr>
                <w:rFonts w:ascii="Times New Roman" w:hAnsi="Times New Roman"/>
                <w:color w:val="000000"/>
                <w:lang w:eastAsia="ru-RU"/>
              </w:rPr>
              <w:t>4</w:t>
            </w:r>
          </w:p>
        </w:tc>
        <w:tc>
          <w:tcPr>
            <w:tcW w:w="2080"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r w:rsidRPr="003E1F2C">
              <w:rPr>
                <w:rFonts w:ascii="Times New Roman" w:hAnsi="Times New Roman"/>
                <w:color w:val="000000"/>
                <w:lang w:eastAsia="ru-RU"/>
              </w:rPr>
              <w:t>4</w:t>
            </w:r>
          </w:p>
        </w:tc>
      </w:tr>
      <w:tr w:rsidR="002D1E45" w:rsidRPr="00394690" w:rsidTr="003E1F2C">
        <w:trPr>
          <w:trHeight w:val="170"/>
          <w:jc w:val="center"/>
        </w:trPr>
        <w:tc>
          <w:tcPr>
            <w:tcW w:w="4023" w:type="dxa"/>
            <w:tcBorders>
              <w:top w:val="nil"/>
              <w:left w:val="single" w:sz="4" w:space="0" w:color="auto"/>
              <w:bottom w:val="single" w:sz="4" w:space="0" w:color="auto"/>
              <w:right w:val="single" w:sz="4" w:space="0" w:color="auto"/>
            </w:tcBorders>
            <w:vAlign w:val="center"/>
          </w:tcPr>
          <w:p w:rsidR="002D1E45" w:rsidRPr="00394690" w:rsidRDefault="002D1E45" w:rsidP="003E1F2C">
            <w:pPr>
              <w:spacing w:after="0" w:line="240" w:lineRule="auto"/>
              <w:rPr>
                <w:rFonts w:ascii="Times New Roman" w:hAnsi="Times New Roman"/>
                <w:color w:val="000000"/>
                <w:lang w:eastAsia="ru-RU"/>
              </w:rPr>
            </w:pPr>
            <w:r w:rsidRPr="00394690">
              <w:rPr>
                <w:rFonts w:ascii="Times New Roman" w:hAnsi="Times New Roman"/>
                <w:color w:val="000000"/>
                <w:lang w:eastAsia="ru-RU"/>
              </w:rPr>
              <w:t>Торговые павильоны и</w:t>
            </w:r>
            <w:r>
              <w:rPr>
                <w:rFonts w:ascii="Times New Roman" w:hAnsi="Times New Roman"/>
                <w:color w:val="000000"/>
                <w:lang w:eastAsia="ru-RU"/>
              </w:rPr>
              <w:t> </w:t>
            </w:r>
            <w:r w:rsidRPr="00394690">
              <w:rPr>
                <w:rFonts w:ascii="Times New Roman" w:hAnsi="Times New Roman"/>
                <w:color w:val="000000"/>
                <w:lang w:eastAsia="ru-RU"/>
              </w:rPr>
              <w:t>киоски по</w:t>
            </w:r>
            <w:r>
              <w:rPr>
                <w:rFonts w:ascii="Times New Roman" w:hAnsi="Times New Roman"/>
                <w:color w:val="000000"/>
                <w:lang w:eastAsia="ru-RU"/>
              </w:rPr>
              <w:t> </w:t>
            </w:r>
            <w:r w:rsidRPr="00394690">
              <w:rPr>
                <w:rFonts w:ascii="Times New Roman" w:hAnsi="Times New Roman"/>
                <w:color w:val="000000"/>
                <w:lang w:eastAsia="ru-RU"/>
              </w:rPr>
              <w:t>продаже печатной продукции, торг. объектов</w:t>
            </w:r>
          </w:p>
        </w:tc>
        <w:tc>
          <w:tcPr>
            <w:tcW w:w="2012"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r w:rsidRPr="003E1F2C">
              <w:rPr>
                <w:rFonts w:ascii="Times New Roman" w:hAnsi="Times New Roman"/>
                <w:color w:val="000000"/>
                <w:lang w:eastAsia="ru-RU"/>
              </w:rPr>
              <w:t>1,6 торг. объектов на 10 тыс. человек</w:t>
            </w:r>
          </w:p>
        </w:tc>
        <w:tc>
          <w:tcPr>
            <w:tcW w:w="2080"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r w:rsidRPr="003E1F2C">
              <w:rPr>
                <w:rFonts w:ascii="Times New Roman" w:hAnsi="Times New Roman"/>
                <w:color w:val="000000"/>
                <w:lang w:eastAsia="ru-RU"/>
              </w:rPr>
              <w:t>7</w:t>
            </w:r>
          </w:p>
        </w:tc>
        <w:tc>
          <w:tcPr>
            <w:tcW w:w="2080"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r w:rsidRPr="003E1F2C">
              <w:rPr>
                <w:rFonts w:ascii="Times New Roman" w:hAnsi="Times New Roman"/>
                <w:color w:val="000000"/>
                <w:lang w:eastAsia="ru-RU"/>
              </w:rPr>
              <w:t>6</w:t>
            </w:r>
          </w:p>
        </w:tc>
      </w:tr>
      <w:tr w:rsidR="002D1E45" w:rsidRPr="00394690" w:rsidTr="003E1F2C">
        <w:trPr>
          <w:trHeight w:val="170"/>
          <w:jc w:val="center"/>
        </w:trPr>
        <w:tc>
          <w:tcPr>
            <w:tcW w:w="4023" w:type="dxa"/>
            <w:tcBorders>
              <w:top w:val="nil"/>
              <w:left w:val="single" w:sz="4" w:space="0" w:color="auto"/>
              <w:bottom w:val="single" w:sz="4" w:space="0" w:color="auto"/>
              <w:right w:val="single" w:sz="4" w:space="0" w:color="auto"/>
            </w:tcBorders>
            <w:vAlign w:val="center"/>
          </w:tcPr>
          <w:p w:rsidR="002D1E45" w:rsidRPr="00394690" w:rsidRDefault="002D1E45" w:rsidP="003E1F2C">
            <w:pPr>
              <w:spacing w:after="0" w:line="240" w:lineRule="auto"/>
              <w:rPr>
                <w:rFonts w:ascii="Times New Roman" w:hAnsi="Times New Roman"/>
                <w:color w:val="000000"/>
                <w:lang w:eastAsia="ru-RU"/>
              </w:rPr>
            </w:pPr>
            <w:r w:rsidRPr="00394690">
              <w:rPr>
                <w:rFonts w:ascii="Times New Roman" w:hAnsi="Times New Roman"/>
                <w:color w:val="000000"/>
                <w:lang w:eastAsia="ru-RU"/>
              </w:rPr>
              <w:t>Предприятие общественного питания, посадочное место</w:t>
            </w:r>
          </w:p>
        </w:tc>
        <w:tc>
          <w:tcPr>
            <w:tcW w:w="2012"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r w:rsidRPr="003E1F2C">
              <w:rPr>
                <w:rFonts w:ascii="Times New Roman" w:hAnsi="Times New Roman"/>
                <w:color w:val="000000"/>
                <w:lang w:eastAsia="ru-RU"/>
              </w:rPr>
              <w:t>40 на 1 тыс. человек</w:t>
            </w:r>
          </w:p>
        </w:tc>
        <w:tc>
          <w:tcPr>
            <w:tcW w:w="2080"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r w:rsidRPr="003E1F2C">
              <w:rPr>
                <w:rFonts w:ascii="Times New Roman" w:hAnsi="Times New Roman"/>
                <w:color w:val="000000"/>
                <w:lang w:eastAsia="ru-RU"/>
              </w:rPr>
              <w:t>1650</w:t>
            </w:r>
          </w:p>
        </w:tc>
        <w:tc>
          <w:tcPr>
            <w:tcW w:w="2080"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r w:rsidRPr="003E1F2C">
              <w:rPr>
                <w:rFonts w:ascii="Times New Roman" w:hAnsi="Times New Roman"/>
                <w:color w:val="000000"/>
                <w:lang w:eastAsia="ru-RU"/>
              </w:rPr>
              <w:t>1558</w:t>
            </w:r>
          </w:p>
        </w:tc>
      </w:tr>
      <w:tr w:rsidR="002D1E45" w:rsidRPr="00394690" w:rsidTr="00394690">
        <w:trPr>
          <w:trHeight w:val="170"/>
          <w:jc w:val="center"/>
        </w:trPr>
        <w:tc>
          <w:tcPr>
            <w:tcW w:w="10195" w:type="dxa"/>
            <w:gridSpan w:val="4"/>
            <w:tcBorders>
              <w:top w:val="single" w:sz="4" w:space="0" w:color="auto"/>
              <w:left w:val="single" w:sz="4" w:space="0" w:color="auto"/>
              <w:bottom w:val="single" w:sz="4" w:space="0" w:color="auto"/>
              <w:right w:val="single" w:sz="4" w:space="0" w:color="000000"/>
            </w:tcBorders>
            <w:vAlign w:val="center"/>
          </w:tcPr>
          <w:p w:rsidR="002D1E45" w:rsidRPr="00394690" w:rsidRDefault="002D1E45" w:rsidP="00394690">
            <w:pPr>
              <w:spacing w:after="0" w:line="240" w:lineRule="auto"/>
              <w:jc w:val="center"/>
              <w:rPr>
                <w:rFonts w:ascii="Times New Roman" w:hAnsi="Times New Roman"/>
                <w:color w:val="000000"/>
                <w:lang w:eastAsia="ru-RU"/>
              </w:rPr>
            </w:pPr>
            <w:r w:rsidRPr="00394690">
              <w:rPr>
                <w:rFonts w:ascii="Times New Roman" w:hAnsi="Times New Roman"/>
                <w:color w:val="000000"/>
                <w:lang w:eastAsia="ru-RU"/>
              </w:rPr>
              <w:t>Предприятия бытового обслуживания</w:t>
            </w:r>
          </w:p>
        </w:tc>
      </w:tr>
      <w:tr w:rsidR="002D1E45" w:rsidRPr="00394690" w:rsidTr="003E1F2C">
        <w:trPr>
          <w:trHeight w:val="170"/>
          <w:jc w:val="center"/>
        </w:trPr>
        <w:tc>
          <w:tcPr>
            <w:tcW w:w="4023" w:type="dxa"/>
            <w:tcBorders>
              <w:top w:val="nil"/>
              <w:left w:val="single" w:sz="4" w:space="0" w:color="auto"/>
              <w:bottom w:val="single" w:sz="4" w:space="0" w:color="auto"/>
              <w:right w:val="single" w:sz="4" w:space="0" w:color="auto"/>
            </w:tcBorders>
            <w:vAlign w:val="center"/>
          </w:tcPr>
          <w:p w:rsidR="002D1E45" w:rsidRPr="00394690" w:rsidRDefault="002D1E45" w:rsidP="003E1F2C">
            <w:pPr>
              <w:spacing w:after="0" w:line="240" w:lineRule="auto"/>
              <w:rPr>
                <w:rFonts w:ascii="Times New Roman" w:hAnsi="Times New Roman"/>
                <w:color w:val="000000"/>
                <w:lang w:eastAsia="ru-RU"/>
              </w:rPr>
            </w:pPr>
            <w:r w:rsidRPr="00394690">
              <w:rPr>
                <w:rFonts w:ascii="Times New Roman" w:hAnsi="Times New Roman"/>
                <w:color w:val="000000"/>
                <w:lang w:eastAsia="ru-RU"/>
              </w:rPr>
              <w:t>Предприятие бытового обслуживания, рабочее место</w:t>
            </w:r>
          </w:p>
        </w:tc>
        <w:tc>
          <w:tcPr>
            <w:tcW w:w="2012"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r w:rsidRPr="003E1F2C">
              <w:rPr>
                <w:rFonts w:ascii="Times New Roman" w:hAnsi="Times New Roman"/>
                <w:color w:val="000000"/>
                <w:lang w:eastAsia="ru-RU"/>
              </w:rPr>
              <w:t>9 на 1 тыс. человек</w:t>
            </w:r>
          </w:p>
        </w:tc>
        <w:tc>
          <w:tcPr>
            <w:tcW w:w="2080"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r w:rsidRPr="003E1F2C">
              <w:rPr>
                <w:rFonts w:ascii="Times New Roman" w:hAnsi="Times New Roman"/>
                <w:color w:val="000000"/>
                <w:lang w:eastAsia="ru-RU"/>
              </w:rPr>
              <w:t>371</w:t>
            </w:r>
          </w:p>
        </w:tc>
        <w:tc>
          <w:tcPr>
            <w:tcW w:w="2080"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r w:rsidRPr="003E1F2C">
              <w:rPr>
                <w:rFonts w:ascii="Times New Roman" w:hAnsi="Times New Roman"/>
                <w:color w:val="000000"/>
                <w:lang w:eastAsia="ru-RU"/>
              </w:rPr>
              <w:t>351</w:t>
            </w:r>
          </w:p>
        </w:tc>
      </w:tr>
      <w:tr w:rsidR="002D1E45" w:rsidRPr="00394690" w:rsidTr="003E1F2C">
        <w:trPr>
          <w:trHeight w:val="170"/>
          <w:jc w:val="center"/>
        </w:trPr>
        <w:tc>
          <w:tcPr>
            <w:tcW w:w="4023" w:type="dxa"/>
            <w:tcBorders>
              <w:top w:val="nil"/>
              <w:left w:val="single" w:sz="4" w:space="0" w:color="auto"/>
              <w:bottom w:val="single" w:sz="4" w:space="0" w:color="auto"/>
              <w:right w:val="single" w:sz="4" w:space="0" w:color="auto"/>
            </w:tcBorders>
            <w:vAlign w:val="center"/>
          </w:tcPr>
          <w:p w:rsidR="002D1E45" w:rsidRPr="00394690" w:rsidRDefault="002D1E45" w:rsidP="003E1F2C">
            <w:pPr>
              <w:spacing w:after="0" w:line="240" w:lineRule="auto"/>
              <w:rPr>
                <w:rFonts w:ascii="Times New Roman" w:hAnsi="Times New Roman"/>
                <w:color w:val="000000"/>
                <w:lang w:eastAsia="ru-RU"/>
              </w:rPr>
            </w:pPr>
            <w:r w:rsidRPr="00394690">
              <w:rPr>
                <w:rFonts w:ascii="Times New Roman" w:hAnsi="Times New Roman"/>
                <w:color w:val="000000"/>
                <w:lang w:eastAsia="ru-RU"/>
              </w:rPr>
              <w:t>Прачечная, кг</w:t>
            </w:r>
            <w:r>
              <w:rPr>
                <w:rFonts w:ascii="Times New Roman" w:hAnsi="Times New Roman"/>
                <w:color w:val="000000"/>
                <w:lang w:eastAsia="ru-RU"/>
              </w:rPr>
              <w:t> </w:t>
            </w:r>
            <w:r w:rsidRPr="00394690">
              <w:rPr>
                <w:rFonts w:ascii="Times New Roman" w:hAnsi="Times New Roman"/>
                <w:color w:val="000000"/>
                <w:lang w:eastAsia="ru-RU"/>
              </w:rPr>
              <w:t>белья в</w:t>
            </w:r>
            <w:r>
              <w:rPr>
                <w:rFonts w:ascii="Times New Roman" w:hAnsi="Times New Roman"/>
                <w:color w:val="000000"/>
                <w:lang w:eastAsia="ru-RU"/>
              </w:rPr>
              <w:t> </w:t>
            </w:r>
            <w:r w:rsidRPr="00394690">
              <w:rPr>
                <w:rFonts w:ascii="Times New Roman" w:hAnsi="Times New Roman"/>
                <w:color w:val="000000"/>
                <w:lang w:eastAsia="ru-RU"/>
              </w:rPr>
              <w:t>смену</w:t>
            </w:r>
          </w:p>
        </w:tc>
        <w:tc>
          <w:tcPr>
            <w:tcW w:w="2012"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r w:rsidRPr="003E1F2C">
              <w:rPr>
                <w:rFonts w:ascii="Times New Roman" w:hAnsi="Times New Roman"/>
                <w:color w:val="000000"/>
                <w:lang w:eastAsia="ru-RU"/>
              </w:rPr>
              <w:t>110 на 1 тыс. человек</w:t>
            </w:r>
          </w:p>
        </w:tc>
        <w:tc>
          <w:tcPr>
            <w:tcW w:w="2080"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r w:rsidRPr="003E1F2C">
              <w:rPr>
                <w:rFonts w:ascii="Times New Roman" w:hAnsi="Times New Roman"/>
                <w:color w:val="000000"/>
                <w:lang w:eastAsia="ru-RU"/>
              </w:rPr>
              <w:t>2475</w:t>
            </w:r>
          </w:p>
        </w:tc>
        <w:tc>
          <w:tcPr>
            <w:tcW w:w="2080"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r w:rsidRPr="003E1F2C">
              <w:rPr>
                <w:rFonts w:ascii="Times New Roman" w:hAnsi="Times New Roman"/>
                <w:color w:val="000000"/>
                <w:lang w:eastAsia="ru-RU"/>
              </w:rPr>
              <w:t>2337</w:t>
            </w:r>
          </w:p>
        </w:tc>
      </w:tr>
      <w:tr w:rsidR="002D1E45" w:rsidRPr="00394690" w:rsidTr="003E1F2C">
        <w:trPr>
          <w:trHeight w:val="170"/>
          <w:jc w:val="center"/>
        </w:trPr>
        <w:tc>
          <w:tcPr>
            <w:tcW w:w="4023" w:type="dxa"/>
            <w:tcBorders>
              <w:top w:val="nil"/>
              <w:left w:val="single" w:sz="4" w:space="0" w:color="auto"/>
              <w:bottom w:val="single" w:sz="4" w:space="0" w:color="auto"/>
              <w:right w:val="single" w:sz="4" w:space="0" w:color="auto"/>
            </w:tcBorders>
            <w:vAlign w:val="center"/>
          </w:tcPr>
          <w:p w:rsidR="002D1E45" w:rsidRPr="00394690" w:rsidRDefault="002D1E45" w:rsidP="003E1F2C">
            <w:pPr>
              <w:spacing w:after="0" w:line="240" w:lineRule="auto"/>
              <w:rPr>
                <w:rFonts w:ascii="Times New Roman" w:hAnsi="Times New Roman"/>
                <w:color w:val="000000"/>
                <w:lang w:eastAsia="ru-RU"/>
              </w:rPr>
            </w:pPr>
            <w:r w:rsidRPr="00394690">
              <w:rPr>
                <w:rFonts w:ascii="Times New Roman" w:hAnsi="Times New Roman"/>
                <w:color w:val="000000"/>
                <w:lang w:eastAsia="ru-RU"/>
              </w:rPr>
              <w:t>Химчистка, кг</w:t>
            </w:r>
            <w:r>
              <w:rPr>
                <w:rFonts w:ascii="Times New Roman" w:hAnsi="Times New Roman"/>
                <w:color w:val="000000"/>
                <w:lang w:eastAsia="ru-RU"/>
              </w:rPr>
              <w:t> </w:t>
            </w:r>
            <w:r w:rsidRPr="00394690">
              <w:rPr>
                <w:rFonts w:ascii="Times New Roman" w:hAnsi="Times New Roman"/>
                <w:color w:val="000000"/>
                <w:lang w:eastAsia="ru-RU"/>
              </w:rPr>
              <w:t>вещей в</w:t>
            </w:r>
            <w:r>
              <w:rPr>
                <w:rFonts w:ascii="Times New Roman" w:hAnsi="Times New Roman"/>
                <w:color w:val="000000"/>
                <w:lang w:eastAsia="ru-RU"/>
              </w:rPr>
              <w:t> </w:t>
            </w:r>
            <w:r w:rsidRPr="00394690">
              <w:rPr>
                <w:rFonts w:ascii="Times New Roman" w:hAnsi="Times New Roman"/>
                <w:color w:val="000000"/>
                <w:lang w:eastAsia="ru-RU"/>
              </w:rPr>
              <w:t>смену</w:t>
            </w:r>
          </w:p>
        </w:tc>
        <w:tc>
          <w:tcPr>
            <w:tcW w:w="2012"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r w:rsidRPr="003E1F2C">
              <w:rPr>
                <w:rFonts w:ascii="Times New Roman" w:hAnsi="Times New Roman"/>
                <w:color w:val="000000"/>
                <w:lang w:eastAsia="ru-RU"/>
              </w:rPr>
              <w:t>11,4 на 1 тыс. человек</w:t>
            </w:r>
          </w:p>
        </w:tc>
        <w:tc>
          <w:tcPr>
            <w:tcW w:w="2080"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r w:rsidRPr="003E1F2C">
              <w:rPr>
                <w:rFonts w:ascii="Times New Roman" w:hAnsi="Times New Roman"/>
                <w:color w:val="000000"/>
                <w:lang w:eastAsia="ru-RU"/>
              </w:rPr>
              <w:t>144</w:t>
            </w:r>
          </w:p>
        </w:tc>
        <w:tc>
          <w:tcPr>
            <w:tcW w:w="2080"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r w:rsidRPr="003E1F2C">
              <w:rPr>
                <w:rFonts w:ascii="Times New Roman" w:hAnsi="Times New Roman"/>
                <w:color w:val="000000"/>
                <w:lang w:eastAsia="ru-RU"/>
              </w:rPr>
              <w:t>136</w:t>
            </w:r>
          </w:p>
        </w:tc>
      </w:tr>
      <w:tr w:rsidR="002D1E45" w:rsidRPr="00394690" w:rsidTr="003E1F2C">
        <w:trPr>
          <w:trHeight w:val="170"/>
          <w:jc w:val="center"/>
        </w:trPr>
        <w:tc>
          <w:tcPr>
            <w:tcW w:w="4023" w:type="dxa"/>
            <w:tcBorders>
              <w:top w:val="nil"/>
              <w:left w:val="single" w:sz="4" w:space="0" w:color="auto"/>
              <w:bottom w:val="single" w:sz="4" w:space="0" w:color="auto"/>
              <w:right w:val="single" w:sz="4" w:space="0" w:color="auto"/>
            </w:tcBorders>
            <w:vAlign w:val="center"/>
          </w:tcPr>
          <w:p w:rsidR="002D1E45" w:rsidRPr="00394690" w:rsidRDefault="002D1E45" w:rsidP="003E1F2C">
            <w:pPr>
              <w:spacing w:after="0" w:line="240" w:lineRule="auto"/>
              <w:rPr>
                <w:rFonts w:ascii="Times New Roman" w:hAnsi="Times New Roman"/>
                <w:color w:val="000000"/>
                <w:lang w:eastAsia="ru-RU"/>
              </w:rPr>
            </w:pPr>
            <w:r w:rsidRPr="00394690">
              <w:rPr>
                <w:rFonts w:ascii="Times New Roman" w:hAnsi="Times New Roman"/>
                <w:color w:val="000000"/>
                <w:lang w:eastAsia="ru-RU"/>
              </w:rPr>
              <w:t>Баня, место</w:t>
            </w:r>
          </w:p>
        </w:tc>
        <w:tc>
          <w:tcPr>
            <w:tcW w:w="2012"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r w:rsidRPr="003E1F2C">
              <w:rPr>
                <w:rFonts w:ascii="Times New Roman" w:hAnsi="Times New Roman"/>
                <w:color w:val="000000"/>
                <w:lang w:eastAsia="ru-RU"/>
              </w:rPr>
              <w:t>5 на 1 тыс. человек</w:t>
            </w:r>
          </w:p>
        </w:tc>
        <w:tc>
          <w:tcPr>
            <w:tcW w:w="2080"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r w:rsidRPr="003E1F2C">
              <w:rPr>
                <w:rFonts w:ascii="Times New Roman" w:hAnsi="Times New Roman"/>
                <w:color w:val="000000"/>
                <w:lang w:eastAsia="ru-RU"/>
              </w:rPr>
              <w:t>289</w:t>
            </w:r>
          </w:p>
        </w:tc>
        <w:tc>
          <w:tcPr>
            <w:tcW w:w="2080"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r w:rsidRPr="003E1F2C">
              <w:rPr>
                <w:rFonts w:ascii="Times New Roman" w:hAnsi="Times New Roman"/>
                <w:color w:val="000000"/>
                <w:lang w:eastAsia="ru-RU"/>
              </w:rPr>
              <w:t>273</w:t>
            </w:r>
          </w:p>
        </w:tc>
      </w:tr>
      <w:tr w:rsidR="002D1E45" w:rsidRPr="00394690" w:rsidTr="00394690">
        <w:trPr>
          <w:trHeight w:val="170"/>
          <w:jc w:val="center"/>
        </w:trPr>
        <w:tc>
          <w:tcPr>
            <w:tcW w:w="10195" w:type="dxa"/>
            <w:gridSpan w:val="4"/>
            <w:tcBorders>
              <w:top w:val="single" w:sz="4" w:space="0" w:color="auto"/>
              <w:left w:val="single" w:sz="4" w:space="0" w:color="auto"/>
              <w:bottom w:val="single" w:sz="4" w:space="0" w:color="auto"/>
              <w:right w:val="single" w:sz="4" w:space="0" w:color="000000"/>
            </w:tcBorders>
            <w:vAlign w:val="center"/>
          </w:tcPr>
          <w:p w:rsidR="002D1E45" w:rsidRPr="00394690" w:rsidRDefault="002D1E45" w:rsidP="00394690">
            <w:pPr>
              <w:spacing w:after="0" w:line="240" w:lineRule="auto"/>
              <w:jc w:val="center"/>
              <w:rPr>
                <w:rFonts w:ascii="Times New Roman" w:hAnsi="Times New Roman"/>
                <w:color w:val="000000"/>
                <w:lang w:eastAsia="ru-RU"/>
              </w:rPr>
            </w:pPr>
            <w:r w:rsidRPr="00394690">
              <w:rPr>
                <w:rFonts w:ascii="Times New Roman" w:hAnsi="Times New Roman"/>
                <w:color w:val="000000"/>
                <w:lang w:eastAsia="ru-RU"/>
              </w:rPr>
              <w:t>Организации и</w:t>
            </w:r>
            <w:r>
              <w:rPr>
                <w:rFonts w:ascii="Times New Roman" w:hAnsi="Times New Roman"/>
                <w:color w:val="000000"/>
                <w:lang w:eastAsia="ru-RU"/>
              </w:rPr>
              <w:t> </w:t>
            </w:r>
            <w:r w:rsidRPr="00394690">
              <w:rPr>
                <w:rFonts w:ascii="Times New Roman" w:hAnsi="Times New Roman"/>
                <w:color w:val="000000"/>
                <w:lang w:eastAsia="ru-RU"/>
              </w:rPr>
              <w:t>учреждения управления, кредитные организации и</w:t>
            </w:r>
            <w:r>
              <w:rPr>
                <w:rFonts w:ascii="Times New Roman" w:hAnsi="Times New Roman"/>
                <w:color w:val="000000"/>
                <w:lang w:eastAsia="ru-RU"/>
              </w:rPr>
              <w:t> </w:t>
            </w:r>
            <w:r w:rsidRPr="00394690">
              <w:rPr>
                <w:rFonts w:ascii="Times New Roman" w:hAnsi="Times New Roman"/>
                <w:color w:val="000000"/>
                <w:lang w:eastAsia="ru-RU"/>
              </w:rPr>
              <w:t>организации связи</w:t>
            </w:r>
          </w:p>
        </w:tc>
      </w:tr>
      <w:tr w:rsidR="002D1E45" w:rsidRPr="00394690" w:rsidTr="003E1F2C">
        <w:trPr>
          <w:trHeight w:val="170"/>
          <w:jc w:val="center"/>
        </w:trPr>
        <w:tc>
          <w:tcPr>
            <w:tcW w:w="4023" w:type="dxa"/>
            <w:tcBorders>
              <w:top w:val="nil"/>
              <w:left w:val="single" w:sz="4" w:space="0" w:color="auto"/>
              <w:bottom w:val="single" w:sz="4" w:space="0" w:color="auto"/>
              <w:right w:val="single" w:sz="4" w:space="0" w:color="auto"/>
            </w:tcBorders>
            <w:vAlign w:val="center"/>
          </w:tcPr>
          <w:p w:rsidR="002D1E45" w:rsidRPr="00394690" w:rsidRDefault="002D1E45" w:rsidP="003E1F2C">
            <w:pPr>
              <w:spacing w:after="0" w:line="240" w:lineRule="auto"/>
              <w:rPr>
                <w:rFonts w:ascii="Times New Roman" w:hAnsi="Times New Roman"/>
                <w:color w:val="000000"/>
                <w:lang w:eastAsia="ru-RU"/>
              </w:rPr>
            </w:pPr>
            <w:r w:rsidRPr="00394690">
              <w:rPr>
                <w:rFonts w:ascii="Times New Roman" w:hAnsi="Times New Roman"/>
                <w:color w:val="000000"/>
                <w:lang w:eastAsia="ru-RU"/>
              </w:rPr>
              <w:t>Отделение связи, объект</w:t>
            </w:r>
          </w:p>
        </w:tc>
        <w:tc>
          <w:tcPr>
            <w:tcW w:w="2012"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r w:rsidRPr="00394690">
              <w:rPr>
                <w:rFonts w:ascii="Times New Roman" w:hAnsi="Times New Roman"/>
                <w:color w:val="000000"/>
                <w:lang w:eastAsia="ru-RU"/>
              </w:rPr>
              <w:t>2 на 10 тыс. человек</w:t>
            </w:r>
            <w:r w:rsidRPr="00394690">
              <w:rPr>
                <w:rFonts w:ascii="Times New Roman" w:hAnsi="Times New Roman"/>
                <w:color w:val="000000"/>
                <w:vertAlign w:val="superscript"/>
                <w:lang w:eastAsia="ru-RU"/>
              </w:rPr>
              <w:footnoteReference w:id="10"/>
            </w:r>
          </w:p>
        </w:tc>
        <w:tc>
          <w:tcPr>
            <w:tcW w:w="2080"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r w:rsidRPr="003E1F2C">
              <w:rPr>
                <w:rFonts w:ascii="Times New Roman" w:hAnsi="Times New Roman"/>
                <w:color w:val="000000"/>
                <w:lang w:eastAsia="ru-RU"/>
              </w:rPr>
              <w:t>8</w:t>
            </w:r>
          </w:p>
        </w:tc>
        <w:tc>
          <w:tcPr>
            <w:tcW w:w="2080"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r w:rsidRPr="003E1F2C">
              <w:rPr>
                <w:rFonts w:ascii="Times New Roman" w:hAnsi="Times New Roman"/>
                <w:color w:val="000000"/>
                <w:lang w:eastAsia="ru-RU"/>
              </w:rPr>
              <w:t>7</w:t>
            </w:r>
          </w:p>
        </w:tc>
      </w:tr>
      <w:tr w:rsidR="002D1E45" w:rsidRPr="00394690" w:rsidTr="003E1F2C">
        <w:trPr>
          <w:trHeight w:val="170"/>
          <w:jc w:val="center"/>
        </w:trPr>
        <w:tc>
          <w:tcPr>
            <w:tcW w:w="4023" w:type="dxa"/>
            <w:tcBorders>
              <w:top w:val="nil"/>
              <w:left w:val="single" w:sz="4" w:space="0" w:color="auto"/>
              <w:bottom w:val="single" w:sz="4" w:space="0" w:color="auto"/>
              <w:right w:val="single" w:sz="4" w:space="0" w:color="auto"/>
            </w:tcBorders>
            <w:vAlign w:val="center"/>
          </w:tcPr>
          <w:p w:rsidR="002D1E45" w:rsidRPr="00394690" w:rsidRDefault="002D1E45" w:rsidP="003E1F2C">
            <w:pPr>
              <w:spacing w:after="0" w:line="240" w:lineRule="auto"/>
              <w:rPr>
                <w:rFonts w:ascii="Times New Roman" w:hAnsi="Times New Roman"/>
                <w:color w:val="000000"/>
                <w:lang w:eastAsia="ru-RU"/>
              </w:rPr>
            </w:pPr>
            <w:r w:rsidRPr="00394690">
              <w:rPr>
                <w:rFonts w:ascii="Times New Roman" w:hAnsi="Times New Roman"/>
                <w:color w:val="000000"/>
                <w:lang w:eastAsia="ru-RU"/>
              </w:rPr>
              <w:t>Отделение банка, операционная касса</w:t>
            </w:r>
          </w:p>
        </w:tc>
        <w:tc>
          <w:tcPr>
            <w:tcW w:w="2012"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r w:rsidRPr="00394690">
              <w:rPr>
                <w:rFonts w:ascii="Times New Roman" w:hAnsi="Times New Roman"/>
                <w:color w:val="000000"/>
                <w:lang w:eastAsia="ru-RU"/>
              </w:rPr>
              <w:t>1 на 10-30 тыс. человек</w:t>
            </w:r>
            <w:r w:rsidRPr="00227CAC">
              <w:rPr>
                <w:rFonts w:ascii="Times New Roman" w:hAnsi="Times New Roman"/>
                <w:color w:val="000000"/>
                <w:vertAlign w:val="superscript"/>
                <w:lang w:eastAsia="ru-RU"/>
              </w:rPr>
              <w:footnoteReference w:id="11"/>
            </w:r>
          </w:p>
        </w:tc>
        <w:tc>
          <w:tcPr>
            <w:tcW w:w="2080"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r w:rsidRPr="003E1F2C">
              <w:rPr>
                <w:rFonts w:ascii="Times New Roman" w:hAnsi="Times New Roman"/>
                <w:color w:val="000000"/>
                <w:lang w:eastAsia="ru-RU"/>
              </w:rPr>
              <w:t>4</w:t>
            </w:r>
          </w:p>
        </w:tc>
        <w:tc>
          <w:tcPr>
            <w:tcW w:w="2080"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r w:rsidRPr="003E1F2C">
              <w:rPr>
                <w:rFonts w:ascii="Times New Roman" w:hAnsi="Times New Roman"/>
                <w:color w:val="000000"/>
                <w:lang w:eastAsia="ru-RU"/>
              </w:rPr>
              <w:t>4</w:t>
            </w:r>
          </w:p>
        </w:tc>
      </w:tr>
      <w:tr w:rsidR="002D1E45" w:rsidRPr="00394690" w:rsidTr="003E1F2C">
        <w:trPr>
          <w:trHeight w:val="170"/>
          <w:jc w:val="center"/>
        </w:trPr>
        <w:tc>
          <w:tcPr>
            <w:tcW w:w="4023" w:type="dxa"/>
            <w:tcBorders>
              <w:top w:val="nil"/>
              <w:left w:val="single" w:sz="4" w:space="0" w:color="auto"/>
              <w:bottom w:val="single" w:sz="4" w:space="0" w:color="auto"/>
              <w:right w:val="single" w:sz="4" w:space="0" w:color="auto"/>
            </w:tcBorders>
            <w:vAlign w:val="center"/>
          </w:tcPr>
          <w:p w:rsidR="002D1E45" w:rsidRPr="00394690" w:rsidRDefault="002D1E45" w:rsidP="003E1F2C">
            <w:pPr>
              <w:spacing w:after="0" w:line="240" w:lineRule="auto"/>
              <w:rPr>
                <w:rFonts w:ascii="Times New Roman" w:hAnsi="Times New Roman"/>
                <w:color w:val="000000"/>
                <w:lang w:eastAsia="ru-RU"/>
              </w:rPr>
            </w:pPr>
            <w:r w:rsidRPr="00394690">
              <w:rPr>
                <w:rFonts w:ascii="Times New Roman" w:hAnsi="Times New Roman"/>
                <w:color w:val="000000"/>
                <w:lang w:eastAsia="ru-RU"/>
              </w:rPr>
              <w:t>Юридическая консультация, рабочее место</w:t>
            </w:r>
          </w:p>
        </w:tc>
        <w:tc>
          <w:tcPr>
            <w:tcW w:w="2012"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r w:rsidRPr="00394690">
              <w:rPr>
                <w:rFonts w:ascii="Times New Roman" w:hAnsi="Times New Roman"/>
                <w:color w:val="000000"/>
                <w:lang w:eastAsia="ru-RU"/>
              </w:rPr>
              <w:t>1 на 10 тыс. человек</w:t>
            </w:r>
          </w:p>
        </w:tc>
        <w:tc>
          <w:tcPr>
            <w:tcW w:w="2080"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r w:rsidRPr="003E1F2C">
              <w:rPr>
                <w:rFonts w:ascii="Times New Roman" w:hAnsi="Times New Roman"/>
                <w:color w:val="000000"/>
                <w:lang w:eastAsia="ru-RU"/>
              </w:rPr>
              <w:t>4</w:t>
            </w:r>
          </w:p>
        </w:tc>
        <w:tc>
          <w:tcPr>
            <w:tcW w:w="2080"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r w:rsidRPr="003E1F2C">
              <w:rPr>
                <w:rFonts w:ascii="Times New Roman" w:hAnsi="Times New Roman"/>
                <w:color w:val="000000"/>
                <w:lang w:eastAsia="ru-RU"/>
              </w:rPr>
              <w:t>4</w:t>
            </w:r>
          </w:p>
        </w:tc>
      </w:tr>
      <w:tr w:rsidR="002D1E45" w:rsidRPr="00394690" w:rsidTr="003E1F2C">
        <w:trPr>
          <w:trHeight w:val="170"/>
          <w:jc w:val="center"/>
        </w:trPr>
        <w:tc>
          <w:tcPr>
            <w:tcW w:w="4023" w:type="dxa"/>
            <w:tcBorders>
              <w:top w:val="nil"/>
              <w:left w:val="single" w:sz="4" w:space="0" w:color="auto"/>
              <w:bottom w:val="single" w:sz="4" w:space="0" w:color="auto"/>
              <w:right w:val="single" w:sz="4" w:space="0" w:color="auto"/>
            </w:tcBorders>
            <w:vAlign w:val="center"/>
          </w:tcPr>
          <w:p w:rsidR="002D1E45" w:rsidRPr="00394690" w:rsidRDefault="002D1E45" w:rsidP="003E1F2C">
            <w:pPr>
              <w:spacing w:after="0" w:line="240" w:lineRule="auto"/>
              <w:rPr>
                <w:rFonts w:ascii="Times New Roman" w:hAnsi="Times New Roman"/>
                <w:color w:val="000000"/>
                <w:lang w:eastAsia="ru-RU"/>
              </w:rPr>
            </w:pPr>
            <w:r w:rsidRPr="00394690">
              <w:rPr>
                <w:rFonts w:ascii="Times New Roman" w:hAnsi="Times New Roman"/>
                <w:color w:val="000000"/>
                <w:lang w:eastAsia="ru-RU"/>
              </w:rPr>
              <w:t>Нотариальная контора, рабочее место</w:t>
            </w:r>
          </w:p>
        </w:tc>
        <w:tc>
          <w:tcPr>
            <w:tcW w:w="2012"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r w:rsidRPr="00394690">
              <w:rPr>
                <w:rFonts w:ascii="Times New Roman" w:hAnsi="Times New Roman"/>
                <w:color w:val="000000"/>
                <w:lang w:eastAsia="ru-RU"/>
              </w:rPr>
              <w:t>1 на 30 тыс. человек</w:t>
            </w:r>
          </w:p>
        </w:tc>
        <w:tc>
          <w:tcPr>
            <w:tcW w:w="2080"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r w:rsidRPr="003E1F2C">
              <w:rPr>
                <w:rFonts w:ascii="Times New Roman" w:hAnsi="Times New Roman"/>
                <w:color w:val="000000"/>
                <w:lang w:eastAsia="ru-RU"/>
              </w:rPr>
              <w:t>1</w:t>
            </w:r>
          </w:p>
        </w:tc>
        <w:tc>
          <w:tcPr>
            <w:tcW w:w="2080"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r w:rsidRPr="003E1F2C">
              <w:rPr>
                <w:rFonts w:ascii="Times New Roman" w:hAnsi="Times New Roman"/>
                <w:color w:val="000000"/>
                <w:lang w:eastAsia="ru-RU"/>
              </w:rPr>
              <w:t>1</w:t>
            </w:r>
          </w:p>
        </w:tc>
      </w:tr>
      <w:tr w:rsidR="002D1E45" w:rsidRPr="00394690" w:rsidTr="00394690">
        <w:trPr>
          <w:trHeight w:val="170"/>
          <w:jc w:val="center"/>
        </w:trPr>
        <w:tc>
          <w:tcPr>
            <w:tcW w:w="10195" w:type="dxa"/>
            <w:gridSpan w:val="4"/>
            <w:tcBorders>
              <w:top w:val="single" w:sz="4" w:space="0" w:color="auto"/>
              <w:left w:val="single" w:sz="4" w:space="0" w:color="auto"/>
              <w:bottom w:val="single" w:sz="4" w:space="0" w:color="auto"/>
              <w:right w:val="single" w:sz="4" w:space="0" w:color="000000"/>
            </w:tcBorders>
            <w:vAlign w:val="center"/>
          </w:tcPr>
          <w:p w:rsidR="002D1E45" w:rsidRPr="00394690" w:rsidRDefault="002D1E45" w:rsidP="00394690">
            <w:pPr>
              <w:spacing w:after="0" w:line="240" w:lineRule="auto"/>
              <w:jc w:val="center"/>
              <w:rPr>
                <w:rFonts w:ascii="Times New Roman" w:hAnsi="Times New Roman"/>
                <w:color w:val="000000"/>
                <w:lang w:eastAsia="ru-RU"/>
              </w:rPr>
            </w:pPr>
            <w:r w:rsidRPr="00394690">
              <w:rPr>
                <w:rFonts w:ascii="Times New Roman" w:hAnsi="Times New Roman"/>
                <w:color w:val="000000"/>
                <w:lang w:eastAsia="ru-RU"/>
              </w:rPr>
              <w:t>Организации жилищно-коммунального хозяйства</w:t>
            </w:r>
            <w:r w:rsidRPr="00227CAC">
              <w:rPr>
                <w:rFonts w:ascii="Times New Roman" w:hAnsi="Times New Roman"/>
                <w:color w:val="000000"/>
                <w:vertAlign w:val="superscript"/>
                <w:lang w:eastAsia="ru-RU"/>
              </w:rPr>
              <w:footnoteReference w:id="12"/>
            </w:r>
          </w:p>
        </w:tc>
      </w:tr>
      <w:tr w:rsidR="002D1E45" w:rsidRPr="00394690" w:rsidTr="003E1F2C">
        <w:trPr>
          <w:trHeight w:val="170"/>
          <w:jc w:val="center"/>
        </w:trPr>
        <w:tc>
          <w:tcPr>
            <w:tcW w:w="4023" w:type="dxa"/>
            <w:tcBorders>
              <w:top w:val="nil"/>
              <w:left w:val="single" w:sz="4" w:space="0" w:color="auto"/>
              <w:bottom w:val="single" w:sz="4" w:space="0" w:color="auto"/>
              <w:right w:val="single" w:sz="4" w:space="0" w:color="auto"/>
            </w:tcBorders>
            <w:vAlign w:val="center"/>
          </w:tcPr>
          <w:p w:rsidR="002D1E45" w:rsidRPr="00394690" w:rsidRDefault="002D1E45" w:rsidP="003E1F2C">
            <w:pPr>
              <w:spacing w:after="0" w:line="240" w:lineRule="auto"/>
              <w:rPr>
                <w:rFonts w:ascii="Times New Roman" w:hAnsi="Times New Roman"/>
                <w:color w:val="000000"/>
                <w:lang w:eastAsia="ru-RU"/>
              </w:rPr>
            </w:pPr>
            <w:r w:rsidRPr="00394690">
              <w:rPr>
                <w:rFonts w:ascii="Times New Roman" w:hAnsi="Times New Roman"/>
                <w:color w:val="000000"/>
                <w:lang w:eastAsia="ru-RU"/>
              </w:rPr>
              <w:t>Жилищно-эксплуатационные организации, объект</w:t>
            </w:r>
          </w:p>
        </w:tc>
        <w:tc>
          <w:tcPr>
            <w:tcW w:w="2012"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r w:rsidRPr="00394690">
              <w:rPr>
                <w:rFonts w:ascii="Times New Roman" w:hAnsi="Times New Roman"/>
                <w:color w:val="000000"/>
                <w:lang w:eastAsia="ru-RU"/>
              </w:rPr>
              <w:t>1 на 20 тыс. человек</w:t>
            </w:r>
          </w:p>
        </w:tc>
        <w:tc>
          <w:tcPr>
            <w:tcW w:w="2080"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r w:rsidRPr="003E1F2C">
              <w:rPr>
                <w:rFonts w:ascii="Times New Roman" w:hAnsi="Times New Roman"/>
                <w:color w:val="000000"/>
                <w:lang w:eastAsia="ru-RU"/>
              </w:rPr>
              <w:t>2</w:t>
            </w:r>
          </w:p>
        </w:tc>
        <w:tc>
          <w:tcPr>
            <w:tcW w:w="2080"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r w:rsidRPr="003E1F2C">
              <w:rPr>
                <w:rFonts w:ascii="Times New Roman" w:hAnsi="Times New Roman"/>
                <w:color w:val="000000"/>
                <w:lang w:eastAsia="ru-RU"/>
              </w:rPr>
              <w:t>2</w:t>
            </w:r>
          </w:p>
        </w:tc>
      </w:tr>
      <w:tr w:rsidR="002D1E45" w:rsidRPr="00394690" w:rsidTr="003E1F2C">
        <w:trPr>
          <w:trHeight w:val="170"/>
          <w:jc w:val="center"/>
        </w:trPr>
        <w:tc>
          <w:tcPr>
            <w:tcW w:w="4023" w:type="dxa"/>
            <w:tcBorders>
              <w:top w:val="nil"/>
              <w:left w:val="single" w:sz="4" w:space="0" w:color="auto"/>
              <w:bottom w:val="single" w:sz="4" w:space="0" w:color="auto"/>
              <w:right w:val="single" w:sz="4" w:space="0" w:color="auto"/>
            </w:tcBorders>
            <w:vAlign w:val="center"/>
          </w:tcPr>
          <w:p w:rsidR="002D1E45" w:rsidRPr="00394690" w:rsidRDefault="002D1E45" w:rsidP="003E1F2C">
            <w:pPr>
              <w:spacing w:after="0" w:line="240" w:lineRule="auto"/>
              <w:rPr>
                <w:rFonts w:ascii="Times New Roman" w:hAnsi="Times New Roman"/>
                <w:color w:val="000000"/>
                <w:lang w:eastAsia="ru-RU"/>
              </w:rPr>
            </w:pPr>
            <w:r w:rsidRPr="00394690">
              <w:rPr>
                <w:rFonts w:ascii="Times New Roman" w:hAnsi="Times New Roman"/>
                <w:color w:val="000000"/>
                <w:lang w:eastAsia="ru-RU"/>
              </w:rPr>
              <w:t>Гостиницы, место</w:t>
            </w:r>
          </w:p>
        </w:tc>
        <w:tc>
          <w:tcPr>
            <w:tcW w:w="2012"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r w:rsidRPr="00394690">
              <w:rPr>
                <w:rFonts w:ascii="Times New Roman" w:hAnsi="Times New Roman"/>
                <w:color w:val="000000"/>
                <w:lang w:eastAsia="ru-RU"/>
              </w:rPr>
              <w:t>6 на 1 тыс. человек</w:t>
            </w:r>
          </w:p>
        </w:tc>
        <w:tc>
          <w:tcPr>
            <w:tcW w:w="2080"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r w:rsidRPr="003E1F2C">
              <w:rPr>
                <w:rFonts w:ascii="Times New Roman" w:hAnsi="Times New Roman"/>
                <w:color w:val="000000"/>
                <w:lang w:eastAsia="ru-RU"/>
              </w:rPr>
              <w:t>248</w:t>
            </w:r>
          </w:p>
        </w:tc>
        <w:tc>
          <w:tcPr>
            <w:tcW w:w="2080" w:type="dxa"/>
            <w:tcBorders>
              <w:top w:val="nil"/>
              <w:left w:val="nil"/>
              <w:bottom w:val="single" w:sz="4" w:space="0" w:color="auto"/>
              <w:right w:val="single" w:sz="4" w:space="0" w:color="auto"/>
            </w:tcBorders>
            <w:vAlign w:val="center"/>
          </w:tcPr>
          <w:p w:rsidR="002D1E45" w:rsidRPr="00394690" w:rsidRDefault="002D1E45" w:rsidP="003E1F2C">
            <w:pPr>
              <w:spacing w:after="0" w:line="240" w:lineRule="auto"/>
              <w:jc w:val="center"/>
              <w:rPr>
                <w:rFonts w:ascii="Times New Roman" w:hAnsi="Times New Roman"/>
                <w:color w:val="000000"/>
                <w:lang w:eastAsia="ru-RU"/>
              </w:rPr>
            </w:pPr>
            <w:r w:rsidRPr="003E1F2C">
              <w:rPr>
                <w:rFonts w:ascii="Times New Roman" w:hAnsi="Times New Roman"/>
                <w:color w:val="000000"/>
                <w:lang w:eastAsia="ru-RU"/>
              </w:rPr>
              <w:t>234</w:t>
            </w:r>
          </w:p>
        </w:tc>
      </w:tr>
    </w:tbl>
    <w:p w:rsidR="002D1E45" w:rsidRDefault="002D1E45" w:rsidP="00031883">
      <w:pPr>
        <w:spacing w:after="0" w:line="240" w:lineRule="auto"/>
        <w:ind w:firstLine="709"/>
        <w:jc w:val="both"/>
        <w:rPr>
          <w:rFonts w:ascii="Times New Roman" w:hAnsi="Times New Roman"/>
          <w:sz w:val="28"/>
          <w:szCs w:val="28"/>
          <w:lang w:eastAsia="ru-RU"/>
        </w:rPr>
      </w:pPr>
    </w:p>
    <w:p w:rsidR="002D1E45" w:rsidRPr="00031883" w:rsidRDefault="002D1E45" w:rsidP="00031883">
      <w:pPr>
        <w:spacing w:after="0" w:line="240" w:lineRule="auto"/>
        <w:ind w:firstLine="709"/>
        <w:jc w:val="both"/>
        <w:rPr>
          <w:rFonts w:ascii="Times New Roman" w:hAnsi="Times New Roman"/>
          <w:sz w:val="28"/>
          <w:szCs w:val="28"/>
          <w:lang w:eastAsia="ru-RU"/>
        </w:rPr>
      </w:pPr>
      <w:r w:rsidRPr="00031883">
        <w:rPr>
          <w:rFonts w:ascii="Times New Roman" w:hAnsi="Times New Roman"/>
          <w:sz w:val="28"/>
          <w:szCs w:val="28"/>
          <w:lang w:eastAsia="ru-RU"/>
        </w:rPr>
        <w:t>Перспективное развитие сети коммерческих предприятий обслуживания населения (торговля, общественное питание, бытовое обслуживание) как по</w:t>
      </w:r>
      <w:r>
        <w:rPr>
          <w:rFonts w:ascii="Times New Roman" w:hAnsi="Times New Roman"/>
          <w:sz w:val="28"/>
          <w:szCs w:val="28"/>
          <w:lang w:eastAsia="ru-RU"/>
        </w:rPr>
        <w:t> </w:t>
      </w:r>
      <w:r w:rsidRPr="00031883">
        <w:rPr>
          <w:rFonts w:ascii="Times New Roman" w:hAnsi="Times New Roman"/>
          <w:sz w:val="28"/>
          <w:szCs w:val="28"/>
          <w:lang w:eastAsia="ru-RU"/>
        </w:rPr>
        <w:t>объёмным, так и</w:t>
      </w:r>
      <w:r>
        <w:rPr>
          <w:rFonts w:ascii="Times New Roman" w:hAnsi="Times New Roman"/>
          <w:sz w:val="28"/>
          <w:szCs w:val="28"/>
          <w:lang w:eastAsia="ru-RU"/>
        </w:rPr>
        <w:t> </w:t>
      </w:r>
      <w:r w:rsidRPr="00031883">
        <w:rPr>
          <w:rFonts w:ascii="Times New Roman" w:hAnsi="Times New Roman"/>
          <w:sz w:val="28"/>
          <w:szCs w:val="28"/>
          <w:lang w:eastAsia="ru-RU"/>
        </w:rPr>
        <w:t>по</w:t>
      </w:r>
      <w:r>
        <w:rPr>
          <w:rFonts w:ascii="Times New Roman" w:hAnsi="Times New Roman"/>
          <w:sz w:val="28"/>
          <w:szCs w:val="28"/>
          <w:lang w:eastAsia="ru-RU"/>
        </w:rPr>
        <w:t> </w:t>
      </w:r>
      <w:r w:rsidRPr="00031883">
        <w:rPr>
          <w:rFonts w:ascii="Times New Roman" w:hAnsi="Times New Roman"/>
          <w:sz w:val="28"/>
          <w:szCs w:val="28"/>
          <w:lang w:eastAsia="ru-RU"/>
        </w:rPr>
        <w:t>структурным показателям полностью будет происходить в</w:t>
      </w:r>
      <w:r>
        <w:rPr>
          <w:rFonts w:ascii="Times New Roman" w:hAnsi="Times New Roman"/>
          <w:sz w:val="28"/>
          <w:szCs w:val="28"/>
          <w:lang w:eastAsia="ru-RU"/>
        </w:rPr>
        <w:t> </w:t>
      </w:r>
      <w:r w:rsidRPr="00031883">
        <w:rPr>
          <w:rFonts w:ascii="Times New Roman" w:hAnsi="Times New Roman"/>
          <w:sz w:val="28"/>
          <w:szCs w:val="28"/>
          <w:lang w:eastAsia="ru-RU"/>
        </w:rPr>
        <w:t>соответствии с</w:t>
      </w:r>
      <w:r>
        <w:rPr>
          <w:rFonts w:ascii="Times New Roman" w:hAnsi="Times New Roman"/>
          <w:sz w:val="28"/>
          <w:szCs w:val="28"/>
          <w:lang w:eastAsia="ru-RU"/>
        </w:rPr>
        <w:t> требованиями рынка</w:t>
      </w:r>
      <w:r w:rsidRPr="00031883">
        <w:rPr>
          <w:rFonts w:ascii="Times New Roman" w:hAnsi="Times New Roman"/>
          <w:sz w:val="28"/>
          <w:szCs w:val="28"/>
          <w:lang w:eastAsia="ru-RU"/>
        </w:rPr>
        <w:t>.</w:t>
      </w:r>
      <w:r>
        <w:rPr>
          <w:rFonts w:ascii="Times New Roman" w:hAnsi="Times New Roman"/>
          <w:sz w:val="28"/>
          <w:szCs w:val="28"/>
          <w:lang w:eastAsia="ru-RU"/>
        </w:rPr>
        <w:t xml:space="preserve"> </w:t>
      </w:r>
    </w:p>
    <w:p w:rsidR="002D1E45" w:rsidRDefault="002D1E45" w:rsidP="00031883">
      <w:pPr>
        <w:spacing w:after="0" w:line="240" w:lineRule="auto"/>
        <w:ind w:firstLine="709"/>
        <w:jc w:val="both"/>
        <w:rPr>
          <w:rFonts w:ascii="Times New Roman" w:hAnsi="Times New Roman"/>
          <w:sz w:val="28"/>
          <w:szCs w:val="28"/>
          <w:lang w:eastAsia="ru-RU"/>
        </w:rPr>
      </w:pPr>
      <w:r w:rsidRPr="00031883">
        <w:rPr>
          <w:rFonts w:ascii="Times New Roman" w:hAnsi="Times New Roman"/>
          <w:sz w:val="28"/>
          <w:szCs w:val="28"/>
          <w:lang w:eastAsia="ru-RU"/>
        </w:rPr>
        <w:t>Размещение крупных и</w:t>
      </w:r>
      <w:r>
        <w:rPr>
          <w:rFonts w:ascii="Times New Roman" w:hAnsi="Times New Roman"/>
          <w:sz w:val="28"/>
          <w:szCs w:val="28"/>
          <w:lang w:eastAsia="ru-RU"/>
        </w:rPr>
        <w:t> </w:t>
      </w:r>
      <w:r w:rsidRPr="00031883">
        <w:rPr>
          <w:rFonts w:ascii="Times New Roman" w:hAnsi="Times New Roman"/>
          <w:sz w:val="28"/>
          <w:szCs w:val="28"/>
          <w:lang w:eastAsia="ru-RU"/>
        </w:rPr>
        <w:t>средних объектов будет происходить преимущественно в</w:t>
      </w:r>
      <w:r>
        <w:rPr>
          <w:rFonts w:ascii="Times New Roman" w:hAnsi="Times New Roman"/>
          <w:sz w:val="28"/>
          <w:szCs w:val="28"/>
          <w:lang w:eastAsia="ru-RU"/>
        </w:rPr>
        <w:t> </w:t>
      </w:r>
      <w:r w:rsidRPr="00031883">
        <w:rPr>
          <w:rFonts w:ascii="Times New Roman" w:hAnsi="Times New Roman"/>
          <w:sz w:val="28"/>
          <w:szCs w:val="28"/>
          <w:lang w:eastAsia="ru-RU"/>
        </w:rPr>
        <w:t>общественном центре.</w:t>
      </w:r>
      <w:r>
        <w:rPr>
          <w:rFonts w:ascii="Times New Roman" w:hAnsi="Times New Roman"/>
          <w:sz w:val="28"/>
          <w:szCs w:val="28"/>
          <w:lang w:eastAsia="ru-RU"/>
        </w:rPr>
        <w:t xml:space="preserve"> П</w:t>
      </w:r>
      <w:r w:rsidRPr="00031883">
        <w:rPr>
          <w:rFonts w:ascii="Times New Roman" w:hAnsi="Times New Roman"/>
          <w:sz w:val="28"/>
          <w:szCs w:val="28"/>
          <w:lang w:eastAsia="ru-RU"/>
        </w:rPr>
        <w:t>редлагается дальнейшее совершенствование и</w:t>
      </w:r>
      <w:r>
        <w:rPr>
          <w:rFonts w:ascii="Times New Roman" w:hAnsi="Times New Roman"/>
          <w:sz w:val="28"/>
          <w:szCs w:val="28"/>
          <w:lang w:eastAsia="ru-RU"/>
        </w:rPr>
        <w:t> </w:t>
      </w:r>
      <w:r w:rsidRPr="00031883">
        <w:rPr>
          <w:rFonts w:ascii="Times New Roman" w:hAnsi="Times New Roman"/>
          <w:sz w:val="28"/>
          <w:szCs w:val="28"/>
          <w:lang w:eastAsia="ru-RU"/>
        </w:rPr>
        <w:t>развитие системы культурно-бытового обслуживания.</w:t>
      </w:r>
      <w:r>
        <w:rPr>
          <w:rFonts w:ascii="Times New Roman" w:hAnsi="Times New Roman"/>
          <w:sz w:val="28"/>
          <w:szCs w:val="28"/>
          <w:lang w:eastAsia="ru-RU"/>
        </w:rPr>
        <w:t xml:space="preserve"> </w:t>
      </w:r>
    </w:p>
    <w:p w:rsidR="002D1E45" w:rsidRDefault="002D1E45" w:rsidP="00031883">
      <w:pPr>
        <w:spacing w:after="0" w:line="240" w:lineRule="auto"/>
        <w:ind w:firstLine="709"/>
        <w:jc w:val="both"/>
        <w:rPr>
          <w:rFonts w:ascii="Times New Roman" w:hAnsi="Times New Roman"/>
          <w:sz w:val="28"/>
          <w:szCs w:val="28"/>
          <w:lang w:eastAsia="ru-RU"/>
        </w:rPr>
      </w:pPr>
    </w:p>
    <w:p w:rsidR="002D1E45" w:rsidRPr="000E1736" w:rsidRDefault="002D1E45" w:rsidP="000E1736">
      <w:pPr>
        <w:spacing w:after="0" w:line="240" w:lineRule="auto"/>
        <w:ind w:firstLine="709"/>
        <w:jc w:val="both"/>
        <w:rPr>
          <w:rFonts w:ascii="Times New Roman" w:hAnsi="Times New Roman"/>
          <w:i/>
          <w:sz w:val="28"/>
          <w:szCs w:val="28"/>
          <w:u w:val="single"/>
          <w:lang w:eastAsia="ru-RU"/>
        </w:rPr>
      </w:pPr>
      <w:bookmarkStart w:id="252" w:name="_Toc477355610"/>
      <w:bookmarkStart w:id="253" w:name="_Toc477355972"/>
      <w:bookmarkStart w:id="254" w:name="_Toc477362807"/>
      <w:bookmarkStart w:id="255" w:name="_Toc477363278"/>
      <w:bookmarkStart w:id="256" w:name="_Toc477364602"/>
      <w:bookmarkStart w:id="257" w:name="_Toc477422463"/>
      <w:bookmarkStart w:id="258" w:name="_Toc477423549"/>
      <w:bookmarkStart w:id="259" w:name="_Toc477424525"/>
      <w:bookmarkStart w:id="260" w:name="_Toc477427153"/>
      <w:bookmarkStart w:id="261" w:name="_Toc477428274"/>
      <w:bookmarkStart w:id="262" w:name="_Toc477428774"/>
      <w:bookmarkStart w:id="263" w:name="_Toc477431440"/>
      <w:bookmarkStart w:id="264" w:name="_Toc477432352"/>
      <w:bookmarkStart w:id="265" w:name="_Toc477438403"/>
      <w:bookmarkStart w:id="266" w:name="_Toc477436820"/>
      <w:bookmarkStart w:id="267" w:name="_Toc477526038"/>
      <w:bookmarkStart w:id="268" w:name="_Toc477535189"/>
      <w:bookmarkStart w:id="269" w:name="_Toc477536870"/>
      <w:bookmarkStart w:id="270" w:name="_Toc477538629"/>
      <w:bookmarkStart w:id="271" w:name="_Toc479260930"/>
      <w:bookmarkStart w:id="272" w:name="_Toc492309867"/>
      <w:bookmarkStart w:id="273" w:name="_Toc497667488"/>
      <w:bookmarkStart w:id="274" w:name="_Toc464050124"/>
      <w:bookmarkStart w:id="275" w:name="_Toc464220838"/>
      <w:bookmarkStart w:id="276" w:name="_Toc464221320"/>
      <w:bookmarkStart w:id="277" w:name="_Toc464221503"/>
      <w:bookmarkStart w:id="278" w:name="_Toc464223927"/>
      <w:bookmarkStart w:id="279" w:name="_Toc464486122"/>
      <w:r w:rsidRPr="000E1736">
        <w:rPr>
          <w:rFonts w:ascii="Times New Roman" w:hAnsi="Times New Roman"/>
          <w:i/>
          <w:sz w:val="28"/>
          <w:szCs w:val="28"/>
          <w:u w:val="single"/>
          <w:lang w:eastAsia="ru-RU"/>
        </w:rPr>
        <w:t>Мероприятия для маломобильных групп населения</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r>
        <w:rPr>
          <w:rFonts w:ascii="Times New Roman" w:hAnsi="Times New Roman"/>
          <w:i/>
          <w:sz w:val="28"/>
          <w:szCs w:val="28"/>
          <w:u w:val="single"/>
          <w:lang w:eastAsia="ru-RU"/>
        </w:rPr>
        <w:t xml:space="preserve"> (МГН)</w:t>
      </w:r>
    </w:p>
    <w:bookmarkEnd w:id="274"/>
    <w:bookmarkEnd w:id="275"/>
    <w:bookmarkEnd w:id="276"/>
    <w:bookmarkEnd w:id="277"/>
    <w:bookmarkEnd w:id="278"/>
    <w:bookmarkEnd w:id="279"/>
    <w:p w:rsidR="002D1E45" w:rsidRPr="000E1736" w:rsidRDefault="002D1E45" w:rsidP="000E1736">
      <w:pPr>
        <w:spacing w:after="0" w:line="240" w:lineRule="auto"/>
        <w:ind w:firstLine="709"/>
        <w:jc w:val="both"/>
        <w:rPr>
          <w:rFonts w:ascii="Times New Roman" w:hAnsi="Times New Roman"/>
          <w:sz w:val="28"/>
          <w:szCs w:val="28"/>
          <w:lang w:eastAsia="ru-RU"/>
        </w:rPr>
      </w:pPr>
      <w:r w:rsidRPr="000E1736">
        <w:rPr>
          <w:rFonts w:ascii="Times New Roman" w:hAnsi="Times New Roman"/>
          <w:sz w:val="28"/>
          <w:szCs w:val="28"/>
          <w:lang w:eastAsia="ru-RU"/>
        </w:rPr>
        <w:t>При подготовке проектной документации в</w:t>
      </w:r>
      <w:r>
        <w:rPr>
          <w:rFonts w:ascii="Times New Roman" w:hAnsi="Times New Roman"/>
          <w:sz w:val="28"/>
          <w:szCs w:val="28"/>
          <w:lang w:eastAsia="ru-RU"/>
        </w:rPr>
        <w:t> </w:t>
      </w:r>
      <w:r w:rsidRPr="000E1736">
        <w:rPr>
          <w:rFonts w:ascii="Times New Roman" w:hAnsi="Times New Roman"/>
          <w:sz w:val="28"/>
          <w:szCs w:val="28"/>
          <w:lang w:eastAsia="ru-RU"/>
        </w:rPr>
        <w:t>обязательном порядке необходимо предусмотреть выполнение мероприятий, предусмотренных сводом правил СП</w:t>
      </w:r>
      <w:r>
        <w:rPr>
          <w:rFonts w:ascii="Times New Roman" w:hAnsi="Times New Roman"/>
          <w:sz w:val="28"/>
          <w:szCs w:val="28"/>
          <w:lang w:eastAsia="ru-RU"/>
        </w:rPr>
        <w:t> </w:t>
      </w:r>
      <w:r w:rsidRPr="000E1736">
        <w:rPr>
          <w:rFonts w:ascii="Times New Roman" w:hAnsi="Times New Roman"/>
          <w:sz w:val="28"/>
          <w:szCs w:val="28"/>
          <w:lang w:eastAsia="ru-RU"/>
        </w:rPr>
        <w:t>59.13330.2016</w:t>
      </w:r>
      <w:r>
        <w:rPr>
          <w:rFonts w:ascii="Times New Roman" w:hAnsi="Times New Roman"/>
          <w:sz w:val="28"/>
          <w:szCs w:val="28"/>
          <w:lang w:eastAsia="ru-RU"/>
        </w:rPr>
        <w:t xml:space="preserve"> «</w:t>
      </w:r>
      <w:r w:rsidRPr="000E1736">
        <w:rPr>
          <w:rFonts w:ascii="Times New Roman" w:hAnsi="Times New Roman"/>
          <w:sz w:val="28"/>
          <w:szCs w:val="28"/>
          <w:lang w:eastAsia="ru-RU"/>
        </w:rPr>
        <w:t>Свод правил.</w:t>
      </w:r>
      <w:r>
        <w:rPr>
          <w:rFonts w:ascii="Times New Roman" w:hAnsi="Times New Roman"/>
          <w:sz w:val="28"/>
          <w:szCs w:val="28"/>
          <w:lang w:eastAsia="ru-RU"/>
        </w:rPr>
        <w:t xml:space="preserve"> </w:t>
      </w:r>
      <w:r w:rsidRPr="000E1736">
        <w:rPr>
          <w:rFonts w:ascii="Times New Roman" w:hAnsi="Times New Roman"/>
          <w:sz w:val="28"/>
          <w:szCs w:val="28"/>
          <w:lang w:eastAsia="ru-RU"/>
        </w:rPr>
        <w:t>Доступность зданий и</w:t>
      </w:r>
      <w:r>
        <w:rPr>
          <w:rFonts w:ascii="Times New Roman" w:hAnsi="Times New Roman"/>
          <w:sz w:val="28"/>
          <w:szCs w:val="28"/>
          <w:lang w:eastAsia="ru-RU"/>
        </w:rPr>
        <w:t> </w:t>
      </w:r>
      <w:r w:rsidRPr="000E1736">
        <w:rPr>
          <w:rFonts w:ascii="Times New Roman" w:hAnsi="Times New Roman"/>
          <w:sz w:val="28"/>
          <w:szCs w:val="28"/>
          <w:lang w:eastAsia="ru-RU"/>
        </w:rPr>
        <w:t>сооружений для</w:t>
      </w:r>
      <w:r>
        <w:rPr>
          <w:rFonts w:ascii="Times New Roman" w:hAnsi="Times New Roman"/>
          <w:sz w:val="28"/>
          <w:szCs w:val="28"/>
          <w:lang w:eastAsia="ru-RU"/>
        </w:rPr>
        <w:t xml:space="preserve"> </w:t>
      </w:r>
      <w:r w:rsidRPr="000E1736">
        <w:rPr>
          <w:rFonts w:ascii="Times New Roman" w:hAnsi="Times New Roman"/>
          <w:sz w:val="28"/>
          <w:szCs w:val="28"/>
          <w:lang w:eastAsia="ru-RU"/>
        </w:rPr>
        <w:t>маломобильных групп населения.</w:t>
      </w:r>
      <w:r>
        <w:rPr>
          <w:rFonts w:ascii="Times New Roman" w:hAnsi="Times New Roman"/>
          <w:sz w:val="28"/>
          <w:szCs w:val="28"/>
          <w:lang w:eastAsia="ru-RU"/>
        </w:rPr>
        <w:t xml:space="preserve"> </w:t>
      </w:r>
      <w:r w:rsidRPr="000E1736">
        <w:rPr>
          <w:rFonts w:ascii="Times New Roman" w:hAnsi="Times New Roman"/>
          <w:sz w:val="28"/>
          <w:szCs w:val="28"/>
          <w:lang w:eastAsia="ru-RU"/>
        </w:rPr>
        <w:t>Актуализированная редакция СНиП 35-01-2001</w:t>
      </w:r>
      <w:r>
        <w:rPr>
          <w:rFonts w:ascii="Times New Roman" w:hAnsi="Times New Roman"/>
          <w:sz w:val="28"/>
          <w:szCs w:val="28"/>
          <w:lang w:eastAsia="ru-RU"/>
        </w:rPr>
        <w:t>»</w:t>
      </w:r>
      <w:r w:rsidRPr="000E1736">
        <w:rPr>
          <w:rFonts w:ascii="Times New Roman" w:hAnsi="Times New Roman"/>
          <w:sz w:val="28"/>
          <w:szCs w:val="28"/>
          <w:lang w:eastAsia="ru-RU"/>
        </w:rPr>
        <w:t>, в</w:t>
      </w:r>
      <w:r>
        <w:rPr>
          <w:rFonts w:ascii="Times New Roman" w:hAnsi="Times New Roman"/>
          <w:sz w:val="28"/>
          <w:szCs w:val="28"/>
          <w:lang w:eastAsia="ru-RU"/>
        </w:rPr>
        <w:t> </w:t>
      </w:r>
      <w:r w:rsidRPr="000E1736">
        <w:rPr>
          <w:rFonts w:ascii="Times New Roman" w:hAnsi="Times New Roman"/>
          <w:sz w:val="28"/>
          <w:szCs w:val="28"/>
          <w:lang w:eastAsia="ru-RU"/>
        </w:rPr>
        <w:t>том числе:</w:t>
      </w:r>
    </w:p>
    <w:p w:rsidR="002D1E45" w:rsidRPr="000E1736" w:rsidRDefault="002D1E45" w:rsidP="00D05D06">
      <w:pPr>
        <w:numPr>
          <w:ilvl w:val="0"/>
          <w:numId w:val="60"/>
        </w:numPr>
        <w:spacing w:after="0" w:line="240" w:lineRule="auto"/>
        <w:jc w:val="both"/>
        <w:rPr>
          <w:rFonts w:ascii="Times New Roman" w:hAnsi="Times New Roman"/>
          <w:sz w:val="28"/>
          <w:szCs w:val="24"/>
          <w:lang w:eastAsia="ru-RU"/>
        </w:rPr>
      </w:pPr>
      <w:r w:rsidRPr="000E1736">
        <w:rPr>
          <w:rFonts w:ascii="Times New Roman" w:hAnsi="Times New Roman"/>
          <w:sz w:val="28"/>
          <w:szCs w:val="24"/>
          <w:lang w:eastAsia="ru-RU"/>
        </w:rPr>
        <w:t>п. 5.1.3. В</w:t>
      </w:r>
      <w:r>
        <w:rPr>
          <w:rFonts w:ascii="Times New Roman" w:hAnsi="Times New Roman"/>
          <w:sz w:val="28"/>
          <w:szCs w:val="24"/>
          <w:lang w:eastAsia="ru-RU"/>
        </w:rPr>
        <w:t> </w:t>
      </w:r>
      <w:r w:rsidRPr="000E1736">
        <w:rPr>
          <w:rFonts w:ascii="Times New Roman" w:hAnsi="Times New Roman"/>
          <w:sz w:val="28"/>
          <w:szCs w:val="24"/>
          <w:lang w:eastAsia="ru-RU"/>
        </w:rPr>
        <w:t>проектной документации должны быть предусмотрены условия беспрепятственного, безопасного и</w:t>
      </w:r>
      <w:r>
        <w:rPr>
          <w:rFonts w:ascii="Times New Roman" w:hAnsi="Times New Roman"/>
          <w:sz w:val="28"/>
          <w:szCs w:val="24"/>
          <w:lang w:eastAsia="ru-RU"/>
        </w:rPr>
        <w:t> </w:t>
      </w:r>
      <w:r w:rsidRPr="000E1736">
        <w:rPr>
          <w:rFonts w:ascii="Times New Roman" w:hAnsi="Times New Roman"/>
          <w:sz w:val="28"/>
          <w:szCs w:val="24"/>
          <w:lang w:eastAsia="ru-RU"/>
        </w:rPr>
        <w:t>удобного передвижения МГН по</w:t>
      </w:r>
      <w:r>
        <w:rPr>
          <w:rFonts w:ascii="Times New Roman" w:hAnsi="Times New Roman"/>
          <w:sz w:val="28"/>
          <w:szCs w:val="24"/>
          <w:lang w:eastAsia="ru-RU"/>
        </w:rPr>
        <w:t> </w:t>
      </w:r>
      <w:r w:rsidRPr="000E1736">
        <w:rPr>
          <w:rFonts w:ascii="Times New Roman" w:hAnsi="Times New Roman"/>
          <w:sz w:val="28"/>
          <w:szCs w:val="24"/>
          <w:lang w:eastAsia="ru-RU"/>
        </w:rPr>
        <w:t>участку к</w:t>
      </w:r>
      <w:r>
        <w:rPr>
          <w:rFonts w:ascii="Times New Roman" w:hAnsi="Times New Roman"/>
          <w:sz w:val="28"/>
          <w:szCs w:val="24"/>
          <w:lang w:eastAsia="ru-RU"/>
        </w:rPr>
        <w:t> </w:t>
      </w:r>
      <w:r w:rsidRPr="000E1736">
        <w:rPr>
          <w:rFonts w:ascii="Times New Roman" w:hAnsi="Times New Roman"/>
          <w:sz w:val="28"/>
          <w:szCs w:val="24"/>
          <w:lang w:eastAsia="ru-RU"/>
        </w:rPr>
        <w:t>доступному входу в</w:t>
      </w:r>
      <w:r>
        <w:rPr>
          <w:rFonts w:ascii="Times New Roman" w:hAnsi="Times New Roman"/>
          <w:sz w:val="28"/>
          <w:szCs w:val="24"/>
          <w:lang w:eastAsia="ru-RU"/>
        </w:rPr>
        <w:t> </w:t>
      </w:r>
      <w:r w:rsidRPr="000E1736">
        <w:rPr>
          <w:rFonts w:ascii="Times New Roman" w:hAnsi="Times New Roman"/>
          <w:sz w:val="28"/>
          <w:szCs w:val="24"/>
          <w:lang w:eastAsia="ru-RU"/>
        </w:rPr>
        <w:t>здание с</w:t>
      </w:r>
      <w:r>
        <w:rPr>
          <w:rFonts w:ascii="Times New Roman" w:hAnsi="Times New Roman"/>
          <w:sz w:val="28"/>
          <w:szCs w:val="24"/>
          <w:lang w:eastAsia="ru-RU"/>
        </w:rPr>
        <w:t> </w:t>
      </w:r>
      <w:r w:rsidRPr="000E1736">
        <w:rPr>
          <w:rFonts w:ascii="Times New Roman" w:hAnsi="Times New Roman"/>
          <w:sz w:val="28"/>
          <w:szCs w:val="24"/>
          <w:lang w:eastAsia="ru-RU"/>
        </w:rPr>
        <w:t>учётом требований СП 42.13330. Пешеходные пути должны иметь непрерывную связь с</w:t>
      </w:r>
      <w:r>
        <w:rPr>
          <w:rFonts w:ascii="Times New Roman" w:hAnsi="Times New Roman"/>
          <w:sz w:val="28"/>
          <w:szCs w:val="24"/>
          <w:lang w:eastAsia="ru-RU"/>
        </w:rPr>
        <w:t> </w:t>
      </w:r>
      <w:r w:rsidRPr="000E1736">
        <w:rPr>
          <w:rFonts w:ascii="Times New Roman" w:hAnsi="Times New Roman"/>
          <w:sz w:val="28"/>
          <w:szCs w:val="24"/>
          <w:lang w:eastAsia="ru-RU"/>
        </w:rPr>
        <w:t>внешними, по</w:t>
      </w:r>
      <w:r>
        <w:rPr>
          <w:rFonts w:ascii="Times New Roman" w:hAnsi="Times New Roman"/>
          <w:sz w:val="28"/>
          <w:szCs w:val="24"/>
          <w:lang w:eastAsia="ru-RU"/>
        </w:rPr>
        <w:t> </w:t>
      </w:r>
      <w:r w:rsidRPr="000E1736">
        <w:rPr>
          <w:rFonts w:ascii="Times New Roman" w:hAnsi="Times New Roman"/>
          <w:sz w:val="28"/>
          <w:szCs w:val="24"/>
          <w:lang w:eastAsia="ru-RU"/>
        </w:rPr>
        <w:t>отношению к</w:t>
      </w:r>
      <w:r>
        <w:rPr>
          <w:rFonts w:ascii="Times New Roman" w:hAnsi="Times New Roman"/>
          <w:sz w:val="28"/>
          <w:szCs w:val="24"/>
          <w:lang w:eastAsia="ru-RU"/>
        </w:rPr>
        <w:t> </w:t>
      </w:r>
      <w:r w:rsidRPr="000E1736">
        <w:rPr>
          <w:rFonts w:ascii="Times New Roman" w:hAnsi="Times New Roman"/>
          <w:sz w:val="28"/>
          <w:szCs w:val="24"/>
          <w:lang w:eastAsia="ru-RU"/>
        </w:rPr>
        <w:t>участку, транспортными и</w:t>
      </w:r>
      <w:r>
        <w:rPr>
          <w:rFonts w:ascii="Times New Roman" w:hAnsi="Times New Roman"/>
          <w:sz w:val="28"/>
          <w:szCs w:val="24"/>
          <w:lang w:eastAsia="ru-RU"/>
        </w:rPr>
        <w:t> </w:t>
      </w:r>
      <w:r w:rsidRPr="000E1736">
        <w:rPr>
          <w:rFonts w:ascii="Times New Roman" w:hAnsi="Times New Roman"/>
          <w:sz w:val="28"/>
          <w:szCs w:val="24"/>
          <w:lang w:eastAsia="ru-RU"/>
        </w:rPr>
        <w:t>пешеходными коммуникациями, остановочными пунктами пассажирского транспорта общего пользования. Система средств информационной поддержки и</w:t>
      </w:r>
      <w:r>
        <w:rPr>
          <w:rFonts w:ascii="Times New Roman" w:hAnsi="Times New Roman"/>
          <w:sz w:val="28"/>
          <w:szCs w:val="24"/>
          <w:lang w:eastAsia="ru-RU"/>
        </w:rPr>
        <w:t> </w:t>
      </w:r>
      <w:r w:rsidRPr="000E1736">
        <w:rPr>
          <w:rFonts w:ascii="Times New Roman" w:hAnsi="Times New Roman"/>
          <w:sz w:val="28"/>
          <w:szCs w:val="24"/>
          <w:lang w:eastAsia="ru-RU"/>
        </w:rPr>
        <w:t>навигации должна быть обеспечена на</w:t>
      </w:r>
      <w:r>
        <w:rPr>
          <w:rFonts w:ascii="Times New Roman" w:hAnsi="Times New Roman"/>
          <w:sz w:val="28"/>
          <w:szCs w:val="24"/>
          <w:lang w:eastAsia="ru-RU"/>
        </w:rPr>
        <w:t> </w:t>
      </w:r>
      <w:r w:rsidRPr="000E1736">
        <w:rPr>
          <w:rFonts w:ascii="Times New Roman" w:hAnsi="Times New Roman"/>
          <w:sz w:val="28"/>
          <w:szCs w:val="24"/>
          <w:lang w:eastAsia="ru-RU"/>
        </w:rPr>
        <w:t>всех путях движения, доступных для МГН на</w:t>
      </w:r>
      <w:r>
        <w:rPr>
          <w:rFonts w:ascii="Times New Roman" w:hAnsi="Times New Roman"/>
          <w:sz w:val="28"/>
          <w:szCs w:val="24"/>
          <w:lang w:eastAsia="ru-RU"/>
        </w:rPr>
        <w:t> </w:t>
      </w:r>
      <w:r w:rsidRPr="000E1736">
        <w:rPr>
          <w:rFonts w:ascii="Times New Roman" w:hAnsi="Times New Roman"/>
          <w:sz w:val="28"/>
          <w:szCs w:val="24"/>
          <w:lang w:eastAsia="ru-RU"/>
        </w:rPr>
        <w:t xml:space="preserve">часы работы организации (учреждения или предприятия); </w:t>
      </w:r>
    </w:p>
    <w:p w:rsidR="002D1E45" w:rsidRPr="000E1736" w:rsidRDefault="002D1E45" w:rsidP="00D05D06">
      <w:pPr>
        <w:numPr>
          <w:ilvl w:val="0"/>
          <w:numId w:val="60"/>
        </w:numPr>
        <w:spacing w:after="0" w:line="240" w:lineRule="auto"/>
        <w:jc w:val="both"/>
        <w:rPr>
          <w:rFonts w:ascii="Times New Roman" w:hAnsi="Times New Roman"/>
          <w:sz w:val="28"/>
          <w:szCs w:val="28"/>
          <w:lang w:eastAsia="ru-RU"/>
        </w:rPr>
      </w:pPr>
      <w:r w:rsidRPr="000E1736">
        <w:rPr>
          <w:rFonts w:ascii="Times New Roman" w:hAnsi="Times New Roman"/>
          <w:sz w:val="28"/>
          <w:szCs w:val="24"/>
          <w:lang w:eastAsia="ru-RU"/>
        </w:rPr>
        <w:t>п. 8.1.3. В</w:t>
      </w:r>
      <w:r>
        <w:rPr>
          <w:rFonts w:ascii="Times New Roman" w:hAnsi="Times New Roman"/>
          <w:sz w:val="28"/>
          <w:szCs w:val="24"/>
          <w:lang w:eastAsia="ru-RU"/>
        </w:rPr>
        <w:t> </w:t>
      </w:r>
      <w:r w:rsidRPr="000E1736">
        <w:rPr>
          <w:rFonts w:ascii="Times New Roman" w:hAnsi="Times New Roman"/>
          <w:sz w:val="28"/>
          <w:szCs w:val="24"/>
          <w:lang w:eastAsia="ru-RU"/>
        </w:rPr>
        <w:t>зоне обслуживания посетителей общественных зданий и</w:t>
      </w:r>
      <w:r>
        <w:rPr>
          <w:rFonts w:ascii="Times New Roman" w:hAnsi="Times New Roman"/>
          <w:sz w:val="28"/>
          <w:szCs w:val="24"/>
          <w:lang w:eastAsia="ru-RU"/>
        </w:rPr>
        <w:t> </w:t>
      </w:r>
      <w:r w:rsidRPr="000E1736">
        <w:rPr>
          <w:rFonts w:ascii="Times New Roman" w:hAnsi="Times New Roman"/>
          <w:sz w:val="28"/>
          <w:szCs w:val="24"/>
          <w:lang w:eastAsia="ru-RU"/>
        </w:rPr>
        <w:t>сооружений различного назначения следует предусматривать места для инвалидов из</w:t>
      </w:r>
      <w:r>
        <w:rPr>
          <w:rFonts w:ascii="Times New Roman" w:hAnsi="Times New Roman"/>
          <w:sz w:val="28"/>
          <w:szCs w:val="24"/>
          <w:lang w:eastAsia="ru-RU"/>
        </w:rPr>
        <w:t> </w:t>
      </w:r>
      <w:r w:rsidRPr="000E1736">
        <w:rPr>
          <w:rFonts w:ascii="Times New Roman" w:hAnsi="Times New Roman"/>
          <w:sz w:val="28"/>
          <w:szCs w:val="24"/>
          <w:lang w:eastAsia="ru-RU"/>
        </w:rPr>
        <w:t>расчёта не</w:t>
      </w:r>
      <w:r>
        <w:rPr>
          <w:rFonts w:ascii="Times New Roman" w:hAnsi="Times New Roman"/>
          <w:sz w:val="28"/>
          <w:szCs w:val="24"/>
          <w:lang w:eastAsia="ru-RU"/>
        </w:rPr>
        <w:t> </w:t>
      </w:r>
      <w:r w:rsidRPr="000E1736">
        <w:rPr>
          <w:rFonts w:ascii="Times New Roman" w:hAnsi="Times New Roman"/>
          <w:sz w:val="28"/>
          <w:szCs w:val="24"/>
          <w:lang w:eastAsia="ru-RU"/>
        </w:rPr>
        <w:t>менее 5 %, расчётной вместимости учреждения или расчётного числа посетителей, но</w:t>
      </w:r>
      <w:r>
        <w:rPr>
          <w:rFonts w:ascii="Times New Roman" w:hAnsi="Times New Roman"/>
          <w:sz w:val="28"/>
          <w:szCs w:val="24"/>
          <w:lang w:eastAsia="ru-RU"/>
        </w:rPr>
        <w:t> </w:t>
      </w:r>
      <w:r w:rsidRPr="000E1736">
        <w:rPr>
          <w:rFonts w:ascii="Times New Roman" w:hAnsi="Times New Roman"/>
          <w:sz w:val="28"/>
          <w:szCs w:val="24"/>
          <w:lang w:eastAsia="ru-RU"/>
        </w:rPr>
        <w:t>не</w:t>
      </w:r>
      <w:r>
        <w:rPr>
          <w:rFonts w:ascii="Times New Roman" w:hAnsi="Times New Roman"/>
          <w:sz w:val="28"/>
          <w:szCs w:val="24"/>
          <w:lang w:eastAsia="ru-RU"/>
        </w:rPr>
        <w:t> </w:t>
      </w:r>
      <w:r w:rsidRPr="000E1736">
        <w:rPr>
          <w:rFonts w:ascii="Times New Roman" w:hAnsi="Times New Roman"/>
          <w:sz w:val="28"/>
          <w:szCs w:val="24"/>
          <w:lang w:eastAsia="ru-RU"/>
        </w:rPr>
        <w:t>менее одного места, в</w:t>
      </w:r>
      <w:r>
        <w:rPr>
          <w:rFonts w:ascii="Times New Roman" w:hAnsi="Times New Roman"/>
          <w:sz w:val="28"/>
          <w:szCs w:val="24"/>
          <w:lang w:eastAsia="ru-RU"/>
        </w:rPr>
        <w:t> </w:t>
      </w:r>
      <w:r w:rsidRPr="000E1736">
        <w:rPr>
          <w:rFonts w:ascii="Times New Roman" w:hAnsi="Times New Roman"/>
          <w:sz w:val="28"/>
          <w:szCs w:val="24"/>
          <w:lang w:eastAsia="ru-RU"/>
        </w:rPr>
        <w:t>том числе при выделении зон специализирован</w:t>
      </w:r>
      <w:r>
        <w:rPr>
          <w:rFonts w:ascii="Times New Roman" w:hAnsi="Times New Roman"/>
          <w:sz w:val="28"/>
          <w:szCs w:val="24"/>
          <w:lang w:eastAsia="ru-RU"/>
        </w:rPr>
        <w:t>ного обслуживания МГН в здании.</w:t>
      </w:r>
    </w:p>
    <w:p w:rsidR="002D1E45" w:rsidRPr="000E1736" w:rsidRDefault="002D1E45" w:rsidP="000E1736">
      <w:pPr>
        <w:spacing w:after="0" w:line="240" w:lineRule="auto"/>
        <w:ind w:firstLine="709"/>
        <w:jc w:val="both"/>
        <w:rPr>
          <w:rFonts w:ascii="Times New Roman" w:hAnsi="Times New Roman"/>
          <w:sz w:val="28"/>
          <w:szCs w:val="28"/>
          <w:lang w:eastAsia="ru-RU"/>
        </w:rPr>
      </w:pPr>
      <w:r w:rsidRPr="000E1736">
        <w:rPr>
          <w:rFonts w:ascii="Times New Roman" w:hAnsi="Times New Roman"/>
          <w:sz w:val="28"/>
          <w:szCs w:val="28"/>
          <w:lang w:eastAsia="ru-RU"/>
        </w:rPr>
        <w:t>Система средств информационной поддержки должна быть обеспечена на</w:t>
      </w:r>
      <w:r>
        <w:rPr>
          <w:rFonts w:ascii="Times New Roman" w:hAnsi="Times New Roman"/>
          <w:sz w:val="28"/>
          <w:szCs w:val="28"/>
          <w:lang w:eastAsia="ru-RU"/>
        </w:rPr>
        <w:t> </w:t>
      </w:r>
      <w:r w:rsidRPr="000E1736">
        <w:rPr>
          <w:rFonts w:ascii="Times New Roman" w:hAnsi="Times New Roman"/>
          <w:sz w:val="28"/>
          <w:szCs w:val="28"/>
          <w:lang w:eastAsia="ru-RU"/>
        </w:rPr>
        <w:t>всех путях движения, доступных для МГН на</w:t>
      </w:r>
      <w:r>
        <w:rPr>
          <w:rFonts w:ascii="Times New Roman" w:hAnsi="Times New Roman"/>
          <w:sz w:val="28"/>
          <w:szCs w:val="28"/>
          <w:lang w:eastAsia="ru-RU"/>
        </w:rPr>
        <w:t> </w:t>
      </w:r>
      <w:r w:rsidRPr="000E1736">
        <w:rPr>
          <w:rFonts w:ascii="Times New Roman" w:hAnsi="Times New Roman"/>
          <w:sz w:val="28"/>
          <w:szCs w:val="28"/>
          <w:lang w:eastAsia="ru-RU"/>
        </w:rPr>
        <w:t>все время (в течение суток) эксплуатации учреждения или предприятия в</w:t>
      </w:r>
      <w:r>
        <w:rPr>
          <w:rFonts w:ascii="Times New Roman" w:hAnsi="Times New Roman"/>
          <w:sz w:val="28"/>
          <w:szCs w:val="28"/>
          <w:lang w:eastAsia="ru-RU"/>
        </w:rPr>
        <w:t> </w:t>
      </w:r>
      <w:r w:rsidRPr="000E1736">
        <w:rPr>
          <w:rFonts w:ascii="Times New Roman" w:hAnsi="Times New Roman"/>
          <w:sz w:val="28"/>
          <w:szCs w:val="28"/>
          <w:lang w:eastAsia="ru-RU"/>
        </w:rPr>
        <w:t>соответствии с</w:t>
      </w:r>
      <w:r>
        <w:rPr>
          <w:rFonts w:ascii="Times New Roman" w:hAnsi="Times New Roman"/>
          <w:sz w:val="28"/>
          <w:szCs w:val="28"/>
          <w:lang w:eastAsia="ru-RU"/>
        </w:rPr>
        <w:t> </w:t>
      </w:r>
      <w:r w:rsidRPr="000E1736">
        <w:rPr>
          <w:rFonts w:ascii="Times New Roman" w:hAnsi="Times New Roman"/>
          <w:sz w:val="28"/>
          <w:szCs w:val="28"/>
          <w:lang w:eastAsia="ru-RU"/>
        </w:rPr>
        <w:t xml:space="preserve">ГОСТ Р 51256-2011 «Технические средства организации дорожного движения. Разметка дорожная. Классификация. Технические требования» </w:t>
      </w:r>
      <w:r>
        <w:rPr>
          <w:rFonts w:ascii="Times New Roman" w:hAnsi="Times New Roman"/>
          <w:sz w:val="28"/>
          <w:szCs w:val="28"/>
          <w:lang w:eastAsia="ru-RU"/>
        </w:rPr>
        <w:t>и </w:t>
      </w:r>
      <w:r w:rsidRPr="000E1736">
        <w:rPr>
          <w:rFonts w:ascii="Times New Roman" w:hAnsi="Times New Roman"/>
          <w:sz w:val="28"/>
          <w:szCs w:val="28"/>
          <w:lang w:eastAsia="ru-RU"/>
        </w:rPr>
        <w:t>ГОСТ Р 56305 «Технические средства помощи слепым и</w:t>
      </w:r>
      <w:r>
        <w:rPr>
          <w:rFonts w:ascii="Times New Roman" w:hAnsi="Times New Roman"/>
          <w:sz w:val="28"/>
          <w:szCs w:val="28"/>
          <w:lang w:eastAsia="ru-RU"/>
        </w:rPr>
        <w:t> </w:t>
      </w:r>
      <w:r w:rsidRPr="000E1736">
        <w:rPr>
          <w:rFonts w:ascii="Times New Roman" w:hAnsi="Times New Roman"/>
          <w:sz w:val="28"/>
          <w:szCs w:val="28"/>
          <w:lang w:eastAsia="ru-RU"/>
        </w:rPr>
        <w:t>слабовидящим людям. Тактильные указатели не</w:t>
      </w:r>
      <w:r>
        <w:rPr>
          <w:rFonts w:ascii="Times New Roman" w:hAnsi="Times New Roman"/>
          <w:sz w:val="28"/>
          <w:szCs w:val="28"/>
          <w:lang w:eastAsia="ru-RU"/>
        </w:rPr>
        <w:t> </w:t>
      </w:r>
      <w:r w:rsidRPr="000E1736">
        <w:rPr>
          <w:rFonts w:ascii="Times New Roman" w:hAnsi="Times New Roman"/>
          <w:sz w:val="28"/>
          <w:szCs w:val="28"/>
          <w:lang w:eastAsia="ru-RU"/>
        </w:rPr>
        <w:t>пешеходной поверхности».</w:t>
      </w:r>
    </w:p>
    <w:p w:rsidR="002D1E45" w:rsidRPr="00022ED3" w:rsidRDefault="002D1E45" w:rsidP="00852938">
      <w:pPr>
        <w:pStyle w:val="Heading2"/>
        <w:numPr>
          <w:ilvl w:val="1"/>
          <w:numId w:val="65"/>
        </w:numPr>
        <w:spacing w:before="240"/>
        <w:ind w:left="993" w:hanging="633"/>
        <w:jc w:val="both"/>
        <w:rPr>
          <w:b/>
        </w:rPr>
      </w:pPr>
      <w:bookmarkStart w:id="280" w:name="_Toc84936057"/>
      <w:r w:rsidRPr="00022ED3">
        <w:rPr>
          <w:b/>
        </w:rPr>
        <w:t>Развитие зоны</w:t>
      </w:r>
      <w:r>
        <w:rPr>
          <w:b/>
        </w:rPr>
        <w:t xml:space="preserve"> </w:t>
      </w:r>
      <w:r w:rsidRPr="00533F94">
        <w:rPr>
          <w:b/>
        </w:rPr>
        <w:t>сельскохозяйственного использования</w:t>
      </w:r>
      <w:bookmarkEnd w:id="280"/>
    </w:p>
    <w:p w:rsidR="002D1E45" w:rsidRDefault="002D1E45" w:rsidP="003A7901">
      <w:pPr>
        <w:spacing w:after="0" w:line="240" w:lineRule="auto"/>
        <w:rPr>
          <w:rFonts w:ascii="Times New Roman" w:hAnsi="Times New Roman"/>
          <w:sz w:val="16"/>
          <w:szCs w:val="16"/>
          <w:lang w:eastAsia="ru-RU"/>
        </w:rPr>
      </w:pPr>
    </w:p>
    <w:p w:rsidR="002D1E45" w:rsidRPr="00D74D31" w:rsidRDefault="002D1E45" w:rsidP="00D74D31">
      <w:pPr>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Е</w:t>
      </w:r>
      <w:r w:rsidRPr="00D74D31">
        <w:rPr>
          <w:rFonts w:ascii="Times New Roman" w:hAnsi="Times New Roman"/>
          <w:sz w:val="28"/>
          <w:szCs w:val="28"/>
          <w:lang w:eastAsia="ru-RU"/>
        </w:rPr>
        <w:t>сть все основания полагать, что дальнейшее развитие и</w:t>
      </w:r>
      <w:r>
        <w:rPr>
          <w:rFonts w:ascii="Times New Roman" w:hAnsi="Times New Roman"/>
          <w:sz w:val="28"/>
          <w:szCs w:val="28"/>
          <w:lang w:eastAsia="ru-RU"/>
        </w:rPr>
        <w:t> </w:t>
      </w:r>
      <w:r w:rsidRPr="00D74D31">
        <w:rPr>
          <w:rFonts w:ascii="Times New Roman" w:hAnsi="Times New Roman"/>
          <w:sz w:val="28"/>
          <w:szCs w:val="28"/>
          <w:lang w:eastAsia="ru-RU"/>
        </w:rPr>
        <w:t xml:space="preserve">формирование экономической базы </w:t>
      </w:r>
      <w:r>
        <w:rPr>
          <w:rFonts w:ascii="Times New Roman" w:hAnsi="Times New Roman"/>
          <w:sz w:val="28"/>
          <w:szCs w:val="28"/>
          <w:lang w:eastAsia="ru-RU"/>
        </w:rPr>
        <w:t>в </w:t>
      </w:r>
      <w:r>
        <w:rPr>
          <w:rFonts w:ascii="Times New Roman" w:hAnsi="Times New Roman"/>
          <w:sz w:val="28"/>
          <w:szCs w:val="28"/>
        </w:rPr>
        <w:t>городе</w:t>
      </w:r>
      <w:r w:rsidRPr="006B53EE">
        <w:rPr>
          <w:rFonts w:ascii="Times New Roman" w:hAnsi="Times New Roman"/>
          <w:sz w:val="28"/>
          <w:szCs w:val="28"/>
          <w:lang w:eastAsia="ru-RU"/>
        </w:rPr>
        <w:t xml:space="preserve"> </w:t>
      </w:r>
      <w:r w:rsidRPr="00D74D31">
        <w:rPr>
          <w:rFonts w:ascii="Times New Roman" w:hAnsi="Times New Roman"/>
          <w:sz w:val="28"/>
          <w:szCs w:val="28"/>
          <w:lang w:eastAsia="ru-RU"/>
        </w:rPr>
        <w:t>будет базироваться на</w:t>
      </w:r>
      <w:r>
        <w:rPr>
          <w:rFonts w:ascii="Times New Roman" w:hAnsi="Times New Roman"/>
          <w:sz w:val="28"/>
          <w:szCs w:val="28"/>
          <w:lang w:eastAsia="ru-RU"/>
        </w:rPr>
        <w:t> их </w:t>
      </w:r>
      <w:r w:rsidRPr="00D74D31">
        <w:rPr>
          <w:rFonts w:ascii="Times New Roman" w:hAnsi="Times New Roman"/>
          <w:sz w:val="28"/>
          <w:szCs w:val="28"/>
          <w:lang w:eastAsia="ru-RU"/>
        </w:rPr>
        <w:t>природно-рекреационном потенциале и</w:t>
      </w:r>
      <w:r>
        <w:rPr>
          <w:rFonts w:ascii="Times New Roman" w:hAnsi="Times New Roman"/>
          <w:sz w:val="28"/>
          <w:szCs w:val="28"/>
          <w:lang w:eastAsia="ru-RU"/>
        </w:rPr>
        <w:t> </w:t>
      </w:r>
      <w:r w:rsidRPr="00D74D31">
        <w:rPr>
          <w:rFonts w:ascii="Times New Roman" w:hAnsi="Times New Roman"/>
          <w:sz w:val="28"/>
          <w:szCs w:val="28"/>
          <w:lang w:eastAsia="ru-RU"/>
        </w:rPr>
        <w:t>уже сложившейся социально-экономической базе.</w:t>
      </w:r>
    </w:p>
    <w:p w:rsidR="002D1E45" w:rsidRPr="00D74D31" w:rsidRDefault="002D1E45" w:rsidP="00D74D31">
      <w:pPr>
        <w:spacing w:after="0" w:line="240" w:lineRule="auto"/>
        <w:ind w:firstLine="709"/>
        <w:jc w:val="both"/>
        <w:rPr>
          <w:rFonts w:ascii="Times New Roman" w:hAnsi="Times New Roman"/>
          <w:sz w:val="28"/>
          <w:szCs w:val="28"/>
          <w:lang w:eastAsia="ru-RU"/>
        </w:rPr>
      </w:pPr>
      <w:r w:rsidRPr="00D74D31">
        <w:rPr>
          <w:rFonts w:ascii="Times New Roman" w:hAnsi="Times New Roman"/>
          <w:sz w:val="28"/>
          <w:szCs w:val="28"/>
          <w:lang w:eastAsia="ru-RU"/>
        </w:rPr>
        <w:t xml:space="preserve">Основным направлением деятельности для улучшения работы экономики </w:t>
      </w:r>
      <w:r>
        <w:rPr>
          <w:rFonts w:ascii="Times New Roman" w:hAnsi="Times New Roman"/>
          <w:sz w:val="28"/>
          <w:szCs w:val="28"/>
          <w:lang w:eastAsia="ru-RU"/>
        </w:rPr>
        <w:t xml:space="preserve">города </w:t>
      </w:r>
      <w:r w:rsidRPr="00D74D31">
        <w:rPr>
          <w:rFonts w:ascii="Times New Roman" w:hAnsi="Times New Roman"/>
          <w:sz w:val="28"/>
          <w:szCs w:val="28"/>
          <w:lang w:eastAsia="ru-RU"/>
        </w:rPr>
        <w:t>должно стать создание благоприятного хозяйственного климата.</w:t>
      </w:r>
      <w:r>
        <w:rPr>
          <w:rFonts w:ascii="Times New Roman" w:hAnsi="Times New Roman"/>
          <w:sz w:val="28"/>
          <w:szCs w:val="28"/>
          <w:lang w:eastAsia="ru-RU"/>
        </w:rPr>
        <w:t xml:space="preserve"> </w:t>
      </w:r>
      <w:r w:rsidRPr="00D74D31">
        <w:rPr>
          <w:rFonts w:ascii="Times New Roman" w:hAnsi="Times New Roman"/>
          <w:sz w:val="28"/>
          <w:szCs w:val="28"/>
          <w:lang w:eastAsia="ru-RU"/>
        </w:rPr>
        <w:t>В</w:t>
      </w:r>
      <w:r>
        <w:rPr>
          <w:rFonts w:ascii="Times New Roman" w:hAnsi="Times New Roman"/>
          <w:sz w:val="28"/>
          <w:szCs w:val="28"/>
          <w:lang w:eastAsia="ru-RU"/>
        </w:rPr>
        <w:t> </w:t>
      </w:r>
      <w:r w:rsidRPr="00D74D31">
        <w:rPr>
          <w:rFonts w:ascii="Times New Roman" w:hAnsi="Times New Roman"/>
          <w:sz w:val="28"/>
          <w:szCs w:val="28"/>
          <w:lang w:eastAsia="ru-RU"/>
        </w:rPr>
        <w:t>ближайшей перспективе ведущее место в</w:t>
      </w:r>
      <w:r>
        <w:rPr>
          <w:rFonts w:ascii="Times New Roman" w:hAnsi="Times New Roman"/>
          <w:sz w:val="28"/>
          <w:szCs w:val="28"/>
          <w:lang w:eastAsia="ru-RU"/>
        </w:rPr>
        <w:t> </w:t>
      </w:r>
      <w:r w:rsidRPr="00D74D31">
        <w:rPr>
          <w:rFonts w:ascii="Times New Roman" w:hAnsi="Times New Roman"/>
          <w:sz w:val="28"/>
          <w:szCs w:val="28"/>
          <w:lang w:eastAsia="ru-RU"/>
        </w:rPr>
        <w:t>экономике сохранится за</w:t>
      </w:r>
      <w:r>
        <w:rPr>
          <w:rFonts w:ascii="Times New Roman" w:hAnsi="Times New Roman"/>
          <w:sz w:val="28"/>
          <w:szCs w:val="28"/>
          <w:lang w:eastAsia="ru-RU"/>
        </w:rPr>
        <w:t xml:space="preserve"> промышленным и </w:t>
      </w:r>
      <w:r w:rsidRPr="00D74D31">
        <w:rPr>
          <w:rFonts w:ascii="Times New Roman" w:hAnsi="Times New Roman"/>
          <w:sz w:val="28"/>
          <w:szCs w:val="28"/>
          <w:lang w:eastAsia="ru-RU"/>
        </w:rPr>
        <w:t>сельскохозяйственным</w:t>
      </w:r>
      <w:r>
        <w:rPr>
          <w:rFonts w:ascii="Times New Roman" w:hAnsi="Times New Roman"/>
          <w:sz w:val="28"/>
          <w:szCs w:val="28"/>
          <w:lang w:eastAsia="ru-RU"/>
        </w:rPr>
        <w:t> производством</w:t>
      </w:r>
      <w:r w:rsidRPr="00D74D31">
        <w:rPr>
          <w:rFonts w:ascii="Times New Roman" w:hAnsi="Times New Roman"/>
          <w:sz w:val="28"/>
          <w:szCs w:val="28"/>
          <w:lang w:eastAsia="ru-RU"/>
        </w:rPr>
        <w:t>.</w:t>
      </w:r>
    </w:p>
    <w:p w:rsidR="002D1E45" w:rsidRDefault="002D1E45" w:rsidP="00D74D31">
      <w:pPr>
        <w:spacing w:after="0" w:line="240" w:lineRule="auto"/>
        <w:ind w:firstLine="709"/>
        <w:jc w:val="both"/>
        <w:rPr>
          <w:rFonts w:ascii="Times New Roman" w:hAnsi="Times New Roman"/>
          <w:sz w:val="28"/>
          <w:szCs w:val="28"/>
          <w:lang w:eastAsia="ru-RU"/>
        </w:rPr>
      </w:pPr>
      <w:r w:rsidRPr="00D74D31">
        <w:rPr>
          <w:rFonts w:ascii="Times New Roman" w:hAnsi="Times New Roman"/>
          <w:sz w:val="28"/>
          <w:szCs w:val="28"/>
          <w:lang w:eastAsia="ru-RU"/>
        </w:rPr>
        <w:t xml:space="preserve">С целью эффективного использования </w:t>
      </w:r>
      <w:r>
        <w:rPr>
          <w:rFonts w:ascii="Times New Roman" w:hAnsi="Times New Roman"/>
          <w:sz w:val="28"/>
          <w:szCs w:val="28"/>
          <w:lang w:eastAsia="ru-RU"/>
        </w:rPr>
        <w:t>экономического</w:t>
      </w:r>
      <w:r w:rsidRPr="00D74D31">
        <w:rPr>
          <w:rFonts w:ascii="Times New Roman" w:hAnsi="Times New Roman"/>
          <w:sz w:val="28"/>
          <w:szCs w:val="28"/>
          <w:lang w:eastAsia="ru-RU"/>
        </w:rPr>
        <w:t xml:space="preserve"> потенциала района, направленного на</w:t>
      </w:r>
      <w:r>
        <w:rPr>
          <w:rFonts w:ascii="Times New Roman" w:hAnsi="Times New Roman"/>
          <w:sz w:val="28"/>
          <w:szCs w:val="28"/>
          <w:lang w:eastAsia="ru-RU"/>
        </w:rPr>
        <w:t> </w:t>
      </w:r>
      <w:r w:rsidRPr="00D74D31">
        <w:rPr>
          <w:rFonts w:ascii="Times New Roman" w:hAnsi="Times New Roman"/>
          <w:sz w:val="28"/>
          <w:szCs w:val="28"/>
          <w:lang w:eastAsia="ru-RU"/>
        </w:rPr>
        <w:t>создание дополнительных рабочих мест в</w:t>
      </w:r>
      <w:r>
        <w:rPr>
          <w:rFonts w:ascii="Times New Roman" w:hAnsi="Times New Roman"/>
          <w:sz w:val="28"/>
          <w:szCs w:val="28"/>
          <w:lang w:eastAsia="ru-RU"/>
        </w:rPr>
        <w:t> </w:t>
      </w:r>
      <w:r w:rsidRPr="00D74D31">
        <w:rPr>
          <w:rFonts w:ascii="Times New Roman" w:hAnsi="Times New Roman"/>
          <w:sz w:val="28"/>
          <w:szCs w:val="28"/>
          <w:lang w:eastAsia="ru-RU"/>
        </w:rPr>
        <w:t>приоритетн</w:t>
      </w:r>
      <w:r>
        <w:rPr>
          <w:rFonts w:ascii="Times New Roman" w:hAnsi="Times New Roman"/>
          <w:sz w:val="28"/>
          <w:szCs w:val="28"/>
          <w:lang w:eastAsia="ru-RU"/>
        </w:rPr>
        <w:t>ых</w:t>
      </w:r>
      <w:r w:rsidRPr="00D74D31">
        <w:rPr>
          <w:rFonts w:ascii="Times New Roman" w:hAnsi="Times New Roman"/>
          <w:sz w:val="28"/>
          <w:szCs w:val="28"/>
          <w:lang w:eastAsia="ru-RU"/>
        </w:rPr>
        <w:t xml:space="preserve"> для экономики сектор</w:t>
      </w:r>
      <w:r>
        <w:rPr>
          <w:rFonts w:ascii="Times New Roman" w:hAnsi="Times New Roman"/>
          <w:sz w:val="28"/>
          <w:szCs w:val="28"/>
          <w:lang w:eastAsia="ru-RU"/>
        </w:rPr>
        <w:t>ах</w:t>
      </w:r>
      <w:r w:rsidRPr="00D74D31">
        <w:rPr>
          <w:rFonts w:ascii="Times New Roman" w:hAnsi="Times New Roman"/>
          <w:sz w:val="28"/>
          <w:szCs w:val="28"/>
          <w:lang w:eastAsia="ru-RU"/>
        </w:rPr>
        <w:t xml:space="preserve"> на</w:t>
      </w:r>
      <w:r>
        <w:rPr>
          <w:rFonts w:ascii="Times New Roman" w:hAnsi="Times New Roman"/>
          <w:sz w:val="28"/>
          <w:szCs w:val="28"/>
          <w:lang w:eastAsia="ru-RU"/>
        </w:rPr>
        <w:t> </w:t>
      </w:r>
      <w:r w:rsidRPr="00D74D31">
        <w:rPr>
          <w:rFonts w:ascii="Times New Roman" w:hAnsi="Times New Roman"/>
          <w:sz w:val="28"/>
          <w:szCs w:val="28"/>
          <w:lang w:eastAsia="ru-RU"/>
        </w:rPr>
        <w:t>среднесрочную перспективу посредством создания условий для организации</w:t>
      </w:r>
      <w:r>
        <w:rPr>
          <w:rFonts w:ascii="Times New Roman" w:hAnsi="Times New Roman"/>
          <w:sz w:val="28"/>
          <w:szCs w:val="28"/>
          <w:lang w:eastAsia="ru-RU"/>
        </w:rPr>
        <w:t xml:space="preserve"> новых</w:t>
      </w:r>
      <w:r w:rsidRPr="00D74D31">
        <w:rPr>
          <w:rFonts w:ascii="Times New Roman" w:hAnsi="Times New Roman"/>
          <w:sz w:val="28"/>
          <w:szCs w:val="28"/>
          <w:lang w:eastAsia="ru-RU"/>
        </w:rPr>
        <w:t xml:space="preserve"> производств, развития </w:t>
      </w:r>
      <w:r>
        <w:rPr>
          <w:rFonts w:ascii="Times New Roman" w:hAnsi="Times New Roman"/>
          <w:sz w:val="28"/>
          <w:szCs w:val="28"/>
          <w:lang w:eastAsia="ru-RU"/>
        </w:rPr>
        <w:t>существующей</w:t>
      </w:r>
      <w:r w:rsidRPr="00D74D31">
        <w:rPr>
          <w:rFonts w:ascii="Times New Roman" w:hAnsi="Times New Roman"/>
          <w:sz w:val="28"/>
          <w:szCs w:val="28"/>
          <w:lang w:eastAsia="ru-RU"/>
        </w:rPr>
        <w:t xml:space="preserve"> деятельности и</w:t>
      </w:r>
      <w:r>
        <w:rPr>
          <w:rFonts w:ascii="Times New Roman" w:hAnsi="Times New Roman"/>
          <w:sz w:val="28"/>
          <w:szCs w:val="28"/>
          <w:lang w:eastAsia="ru-RU"/>
        </w:rPr>
        <w:t> </w:t>
      </w:r>
      <w:r w:rsidRPr="00D74D31">
        <w:rPr>
          <w:rFonts w:ascii="Times New Roman" w:hAnsi="Times New Roman"/>
          <w:sz w:val="28"/>
          <w:szCs w:val="28"/>
          <w:lang w:eastAsia="ru-RU"/>
        </w:rPr>
        <w:t>реализации продукции</w:t>
      </w:r>
      <w:r>
        <w:rPr>
          <w:rFonts w:ascii="Times New Roman" w:hAnsi="Times New Roman"/>
          <w:sz w:val="28"/>
          <w:szCs w:val="28"/>
          <w:lang w:eastAsia="ru-RU"/>
        </w:rPr>
        <w:t>,</w:t>
      </w:r>
      <w:r w:rsidRPr="00D74D31">
        <w:rPr>
          <w:rFonts w:ascii="Times New Roman" w:hAnsi="Times New Roman"/>
          <w:sz w:val="28"/>
          <w:szCs w:val="28"/>
          <w:lang w:eastAsia="ru-RU"/>
        </w:rPr>
        <w:t xml:space="preserve"> администрацией </w:t>
      </w:r>
      <w:r>
        <w:rPr>
          <w:rFonts w:ascii="Times New Roman" w:hAnsi="Times New Roman"/>
          <w:sz w:val="28"/>
          <w:szCs w:val="28"/>
          <w:lang w:eastAsia="ru-RU"/>
        </w:rPr>
        <w:t>Куйбышевского</w:t>
      </w:r>
      <w:r w:rsidRPr="00D74D31">
        <w:rPr>
          <w:rFonts w:ascii="Times New Roman" w:hAnsi="Times New Roman"/>
          <w:sz w:val="28"/>
          <w:szCs w:val="28"/>
          <w:lang w:eastAsia="ru-RU"/>
        </w:rPr>
        <w:t xml:space="preserve"> района разработан</w:t>
      </w:r>
      <w:r>
        <w:rPr>
          <w:rFonts w:ascii="Times New Roman" w:hAnsi="Times New Roman"/>
          <w:sz w:val="28"/>
          <w:szCs w:val="28"/>
          <w:lang w:eastAsia="ru-RU"/>
        </w:rPr>
        <w:t xml:space="preserve">а </w:t>
      </w:r>
      <w:r w:rsidRPr="006B53EE">
        <w:rPr>
          <w:rFonts w:ascii="Times New Roman" w:hAnsi="Times New Roman"/>
          <w:sz w:val="28"/>
          <w:szCs w:val="28"/>
          <w:lang w:eastAsia="ru-RU"/>
        </w:rPr>
        <w:t>Стратеги</w:t>
      </w:r>
      <w:r>
        <w:rPr>
          <w:rFonts w:ascii="Times New Roman" w:hAnsi="Times New Roman"/>
          <w:sz w:val="28"/>
          <w:szCs w:val="28"/>
          <w:lang w:eastAsia="ru-RU"/>
        </w:rPr>
        <w:t>я</w:t>
      </w:r>
      <w:r w:rsidRPr="006B53EE">
        <w:rPr>
          <w:rFonts w:ascii="Times New Roman" w:hAnsi="Times New Roman"/>
          <w:sz w:val="28"/>
          <w:szCs w:val="28"/>
          <w:lang w:eastAsia="ru-RU"/>
        </w:rPr>
        <w:t xml:space="preserve"> социально-экономического развития </w:t>
      </w:r>
      <w:r>
        <w:rPr>
          <w:rFonts w:ascii="Times New Roman" w:hAnsi="Times New Roman"/>
          <w:sz w:val="28"/>
          <w:szCs w:val="28"/>
          <w:lang w:eastAsia="ru-RU"/>
        </w:rPr>
        <w:t>Куйбышевского</w:t>
      </w:r>
      <w:r w:rsidRPr="00D74D31">
        <w:rPr>
          <w:rFonts w:ascii="Times New Roman" w:hAnsi="Times New Roman"/>
          <w:sz w:val="28"/>
          <w:szCs w:val="28"/>
          <w:lang w:eastAsia="ru-RU"/>
        </w:rPr>
        <w:t xml:space="preserve"> </w:t>
      </w:r>
      <w:r w:rsidRPr="006B53EE">
        <w:rPr>
          <w:rFonts w:ascii="Times New Roman" w:hAnsi="Times New Roman"/>
          <w:sz w:val="28"/>
          <w:szCs w:val="28"/>
          <w:lang w:eastAsia="ru-RU"/>
        </w:rPr>
        <w:t xml:space="preserve">района </w:t>
      </w:r>
      <w:r>
        <w:rPr>
          <w:rFonts w:ascii="Times New Roman" w:hAnsi="Times New Roman"/>
          <w:sz w:val="28"/>
          <w:szCs w:val="28"/>
          <w:lang w:eastAsia="ru-RU"/>
        </w:rPr>
        <w:t xml:space="preserve">до </w:t>
      </w:r>
      <w:r w:rsidRPr="006B53EE">
        <w:rPr>
          <w:rFonts w:ascii="Times New Roman" w:hAnsi="Times New Roman"/>
          <w:sz w:val="28"/>
          <w:szCs w:val="28"/>
          <w:lang w:eastAsia="ru-RU"/>
        </w:rPr>
        <w:t>2030 года</w:t>
      </w:r>
      <w:r w:rsidRPr="00D74D31">
        <w:rPr>
          <w:rFonts w:ascii="Times New Roman" w:hAnsi="Times New Roman"/>
          <w:sz w:val="28"/>
          <w:szCs w:val="28"/>
          <w:lang w:eastAsia="ru-RU"/>
        </w:rPr>
        <w:t>.</w:t>
      </w:r>
    </w:p>
    <w:p w:rsidR="002D1E45" w:rsidRDefault="002D1E45" w:rsidP="00D74D31">
      <w:pPr>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В соответствии со Стратегией, предусматривается:</w:t>
      </w:r>
    </w:p>
    <w:p w:rsidR="002D1E45" w:rsidRPr="00973AAB" w:rsidRDefault="002D1E45" w:rsidP="00D05D06">
      <w:pPr>
        <w:numPr>
          <w:ilvl w:val="0"/>
          <w:numId w:val="60"/>
        </w:numPr>
        <w:spacing w:after="0" w:line="240" w:lineRule="auto"/>
        <w:jc w:val="both"/>
        <w:rPr>
          <w:rFonts w:ascii="Times New Roman" w:hAnsi="Times New Roman"/>
          <w:sz w:val="28"/>
          <w:szCs w:val="24"/>
          <w:lang w:eastAsia="ru-RU"/>
        </w:rPr>
      </w:pPr>
      <w:r>
        <w:rPr>
          <w:rFonts w:ascii="Times New Roman" w:hAnsi="Times New Roman"/>
          <w:sz w:val="28"/>
          <w:szCs w:val="24"/>
          <w:lang w:eastAsia="ru-RU"/>
        </w:rPr>
        <w:t>с</w:t>
      </w:r>
      <w:r w:rsidRPr="00973AAB">
        <w:rPr>
          <w:rFonts w:ascii="Times New Roman" w:hAnsi="Times New Roman"/>
          <w:sz w:val="28"/>
          <w:szCs w:val="24"/>
          <w:lang w:eastAsia="ru-RU"/>
        </w:rPr>
        <w:t>оздание новых и развитие существующих производств по переработке сельскохозяйственной продукции</w:t>
      </w:r>
      <w:r>
        <w:rPr>
          <w:rFonts w:ascii="Times New Roman" w:hAnsi="Times New Roman"/>
          <w:sz w:val="28"/>
          <w:szCs w:val="24"/>
          <w:lang w:eastAsia="ru-RU"/>
        </w:rPr>
        <w:t>;</w:t>
      </w:r>
    </w:p>
    <w:p w:rsidR="002D1E45" w:rsidRDefault="002D1E45" w:rsidP="00D05D06">
      <w:pPr>
        <w:numPr>
          <w:ilvl w:val="0"/>
          <w:numId w:val="60"/>
        </w:numPr>
        <w:spacing w:after="0" w:line="240" w:lineRule="auto"/>
        <w:jc w:val="both"/>
        <w:rPr>
          <w:rFonts w:ascii="Times New Roman" w:hAnsi="Times New Roman"/>
          <w:sz w:val="28"/>
          <w:szCs w:val="24"/>
          <w:lang w:eastAsia="ru-RU"/>
        </w:rPr>
      </w:pPr>
      <w:r>
        <w:rPr>
          <w:rFonts w:ascii="Times New Roman" w:hAnsi="Times New Roman"/>
          <w:sz w:val="28"/>
          <w:szCs w:val="24"/>
          <w:lang w:eastAsia="ru-RU"/>
        </w:rPr>
        <w:t>р</w:t>
      </w:r>
      <w:r w:rsidRPr="00973AAB">
        <w:rPr>
          <w:rFonts w:ascii="Times New Roman" w:hAnsi="Times New Roman"/>
          <w:sz w:val="28"/>
          <w:szCs w:val="24"/>
          <w:lang w:eastAsia="ru-RU"/>
        </w:rPr>
        <w:t>еализация инвестиционного проекта по развитию перерабатывающей промышленности и модернизации молокоперерабатывающего предприятии на базе ООО «Баланс»</w:t>
      </w:r>
      <w:r>
        <w:rPr>
          <w:rFonts w:ascii="Times New Roman" w:hAnsi="Times New Roman"/>
          <w:sz w:val="28"/>
          <w:szCs w:val="24"/>
          <w:lang w:eastAsia="ru-RU"/>
        </w:rPr>
        <w:t>;</w:t>
      </w:r>
    </w:p>
    <w:p w:rsidR="002D1E45" w:rsidRPr="00973AAB" w:rsidRDefault="002D1E45" w:rsidP="00D05D06">
      <w:pPr>
        <w:numPr>
          <w:ilvl w:val="0"/>
          <w:numId w:val="60"/>
        </w:numPr>
        <w:spacing w:after="0" w:line="240" w:lineRule="auto"/>
        <w:jc w:val="both"/>
        <w:rPr>
          <w:rFonts w:ascii="Times New Roman" w:hAnsi="Times New Roman"/>
          <w:sz w:val="28"/>
          <w:szCs w:val="24"/>
          <w:lang w:eastAsia="ru-RU"/>
        </w:rPr>
      </w:pPr>
      <w:r>
        <w:rPr>
          <w:rFonts w:ascii="Times New Roman" w:hAnsi="Times New Roman"/>
          <w:sz w:val="28"/>
          <w:szCs w:val="24"/>
          <w:lang w:eastAsia="ru-RU"/>
        </w:rPr>
        <w:t>с</w:t>
      </w:r>
      <w:r w:rsidRPr="003175D3">
        <w:rPr>
          <w:rFonts w:ascii="Times New Roman" w:hAnsi="Times New Roman"/>
          <w:sz w:val="28"/>
          <w:szCs w:val="24"/>
          <w:lang w:eastAsia="ru-RU"/>
        </w:rPr>
        <w:t>троительство овощехранилища СППК «Усадьба»</w:t>
      </w:r>
      <w:r>
        <w:rPr>
          <w:rFonts w:ascii="Times New Roman" w:hAnsi="Times New Roman"/>
          <w:sz w:val="28"/>
          <w:szCs w:val="24"/>
          <w:lang w:eastAsia="ru-RU"/>
        </w:rPr>
        <w:t>;</w:t>
      </w:r>
    </w:p>
    <w:p w:rsidR="002D1E45" w:rsidRPr="00973AAB" w:rsidRDefault="002D1E45" w:rsidP="00D05D06">
      <w:pPr>
        <w:numPr>
          <w:ilvl w:val="0"/>
          <w:numId w:val="60"/>
        </w:numPr>
        <w:spacing w:after="0" w:line="240" w:lineRule="auto"/>
        <w:jc w:val="both"/>
        <w:rPr>
          <w:rFonts w:ascii="Times New Roman" w:hAnsi="Times New Roman"/>
          <w:sz w:val="28"/>
          <w:szCs w:val="24"/>
          <w:lang w:eastAsia="ru-RU"/>
        </w:rPr>
      </w:pPr>
      <w:r>
        <w:rPr>
          <w:rFonts w:ascii="Times New Roman" w:hAnsi="Times New Roman"/>
          <w:sz w:val="28"/>
          <w:szCs w:val="24"/>
          <w:lang w:eastAsia="ru-RU"/>
        </w:rPr>
        <w:t>с</w:t>
      </w:r>
      <w:r w:rsidRPr="00973AAB">
        <w:rPr>
          <w:rFonts w:ascii="Times New Roman" w:hAnsi="Times New Roman"/>
          <w:sz w:val="28"/>
          <w:szCs w:val="24"/>
          <w:lang w:eastAsia="ru-RU"/>
        </w:rPr>
        <w:t>одействие формированию комплексов-объединений фермеров (кооперативов)</w:t>
      </w:r>
      <w:r>
        <w:rPr>
          <w:rFonts w:ascii="Times New Roman" w:hAnsi="Times New Roman"/>
          <w:sz w:val="28"/>
          <w:szCs w:val="24"/>
          <w:lang w:eastAsia="ru-RU"/>
        </w:rPr>
        <w:t>;</w:t>
      </w:r>
    </w:p>
    <w:p w:rsidR="002D1E45" w:rsidRDefault="002D1E45" w:rsidP="00D05D06">
      <w:pPr>
        <w:numPr>
          <w:ilvl w:val="0"/>
          <w:numId w:val="60"/>
        </w:numPr>
        <w:spacing w:after="0" w:line="240" w:lineRule="auto"/>
        <w:jc w:val="both"/>
        <w:rPr>
          <w:rFonts w:ascii="Times New Roman" w:hAnsi="Times New Roman"/>
          <w:sz w:val="28"/>
          <w:szCs w:val="28"/>
          <w:lang w:eastAsia="ru-RU"/>
        </w:rPr>
      </w:pPr>
      <w:r>
        <w:rPr>
          <w:rFonts w:ascii="Times New Roman" w:hAnsi="Times New Roman"/>
          <w:sz w:val="28"/>
          <w:szCs w:val="24"/>
          <w:lang w:eastAsia="ru-RU"/>
        </w:rPr>
        <w:t>с</w:t>
      </w:r>
      <w:r w:rsidRPr="00973AAB">
        <w:rPr>
          <w:rFonts w:ascii="Times New Roman" w:hAnsi="Times New Roman"/>
          <w:sz w:val="28"/>
          <w:szCs w:val="24"/>
          <w:lang w:eastAsia="ru-RU"/>
        </w:rPr>
        <w:t>тимулирование сельхозтоваропроизводителей (оказание государственной поддержки), которые демонстрируют высокую эффективность.</w:t>
      </w:r>
    </w:p>
    <w:p w:rsidR="002D1E45" w:rsidRPr="009B4B92" w:rsidRDefault="002D1E45" w:rsidP="00E01C55">
      <w:pPr>
        <w:spacing w:after="0" w:line="240" w:lineRule="auto"/>
        <w:ind w:firstLine="709"/>
        <w:jc w:val="both"/>
        <w:rPr>
          <w:rFonts w:ascii="Times New Roman" w:hAnsi="Times New Roman"/>
          <w:sz w:val="28"/>
          <w:szCs w:val="28"/>
          <w:lang w:eastAsia="ru-RU"/>
        </w:rPr>
      </w:pPr>
      <w:r w:rsidRPr="009B4B92">
        <w:rPr>
          <w:rFonts w:ascii="Times New Roman" w:hAnsi="Times New Roman"/>
          <w:sz w:val="28"/>
          <w:szCs w:val="28"/>
          <w:lang w:eastAsia="ru-RU"/>
        </w:rPr>
        <w:t>В связи с</w:t>
      </w:r>
      <w:r>
        <w:rPr>
          <w:rFonts w:ascii="Times New Roman" w:hAnsi="Times New Roman"/>
          <w:sz w:val="28"/>
          <w:szCs w:val="28"/>
          <w:lang w:eastAsia="ru-RU"/>
        </w:rPr>
        <w:t> </w:t>
      </w:r>
      <w:r w:rsidRPr="009B4B92">
        <w:rPr>
          <w:rFonts w:ascii="Times New Roman" w:hAnsi="Times New Roman"/>
          <w:sz w:val="28"/>
          <w:szCs w:val="28"/>
          <w:lang w:eastAsia="ru-RU"/>
        </w:rPr>
        <w:t>низкой рентабельностью деятельности предприятий АПК и</w:t>
      </w:r>
      <w:r>
        <w:rPr>
          <w:rFonts w:ascii="Times New Roman" w:hAnsi="Times New Roman"/>
          <w:sz w:val="28"/>
          <w:szCs w:val="28"/>
          <w:lang w:eastAsia="ru-RU"/>
        </w:rPr>
        <w:t> </w:t>
      </w:r>
      <w:r w:rsidRPr="009B4B92">
        <w:rPr>
          <w:rFonts w:ascii="Times New Roman" w:hAnsi="Times New Roman"/>
          <w:sz w:val="28"/>
          <w:szCs w:val="28"/>
          <w:lang w:eastAsia="ru-RU"/>
        </w:rPr>
        <w:t>одновременно высокой социальной значимостью его функционирования в</w:t>
      </w:r>
      <w:r>
        <w:rPr>
          <w:rFonts w:ascii="Times New Roman" w:hAnsi="Times New Roman"/>
          <w:sz w:val="28"/>
          <w:szCs w:val="28"/>
          <w:lang w:eastAsia="ru-RU"/>
        </w:rPr>
        <w:t> </w:t>
      </w:r>
      <w:r w:rsidRPr="009B4B92">
        <w:rPr>
          <w:rFonts w:ascii="Times New Roman" w:hAnsi="Times New Roman"/>
          <w:sz w:val="28"/>
          <w:szCs w:val="28"/>
          <w:lang w:eastAsia="ru-RU"/>
        </w:rPr>
        <w:t>регионе сохраняются и</w:t>
      </w:r>
      <w:r>
        <w:rPr>
          <w:rFonts w:ascii="Times New Roman" w:hAnsi="Times New Roman"/>
          <w:sz w:val="28"/>
          <w:szCs w:val="28"/>
          <w:lang w:eastAsia="ru-RU"/>
        </w:rPr>
        <w:t> </w:t>
      </w:r>
      <w:r w:rsidRPr="009B4B92">
        <w:rPr>
          <w:rFonts w:ascii="Times New Roman" w:hAnsi="Times New Roman"/>
          <w:sz w:val="28"/>
          <w:szCs w:val="28"/>
          <w:lang w:eastAsia="ru-RU"/>
        </w:rPr>
        <w:t xml:space="preserve">развиваются меры государственной поддержки. Так Постановлением </w:t>
      </w:r>
      <w:r w:rsidRPr="00E01C55">
        <w:rPr>
          <w:rFonts w:ascii="Times New Roman" w:hAnsi="Times New Roman"/>
          <w:sz w:val="28"/>
          <w:szCs w:val="28"/>
          <w:lang w:eastAsia="ru-RU"/>
        </w:rPr>
        <w:t>Правительства</w:t>
      </w:r>
      <w:r>
        <w:rPr>
          <w:rFonts w:ascii="Times New Roman" w:hAnsi="Times New Roman"/>
          <w:sz w:val="28"/>
          <w:szCs w:val="28"/>
          <w:lang w:eastAsia="ru-RU"/>
        </w:rPr>
        <w:t xml:space="preserve"> </w:t>
      </w:r>
      <w:r w:rsidRPr="00E01C55">
        <w:rPr>
          <w:rFonts w:ascii="Times New Roman" w:hAnsi="Times New Roman"/>
          <w:sz w:val="28"/>
          <w:szCs w:val="28"/>
          <w:lang w:eastAsia="ru-RU"/>
        </w:rPr>
        <w:t>Новосибирской области</w:t>
      </w:r>
      <w:r>
        <w:rPr>
          <w:rFonts w:ascii="Times New Roman" w:hAnsi="Times New Roman"/>
          <w:sz w:val="28"/>
          <w:szCs w:val="28"/>
          <w:lang w:eastAsia="ru-RU"/>
        </w:rPr>
        <w:t xml:space="preserve"> </w:t>
      </w:r>
      <w:r w:rsidRPr="00E01C55">
        <w:rPr>
          <w:rFonts w:ascii="Times New Roman" w:hAnsi="Times New Roman"/>
          <w:sz w:val="28"/>
          <w:szCs w:val="28"/>
          <w:lang w:eastAsia="ru-RU"/>
        </w:rPr>
        <w:t xml:space="preserve">от 02.02.2015 </w:t>
      </w:r>
      <w:r>
        <w:rPr>
          <w:rFonts w:ascii="Times New Roman" w:hAnsi="Times New Roman"/>
          <w:sz w:val="28"/>
          <w:szCs w:val="28"/>
          <w:lang w:eastAsia="ru-RU"/>
        </w:rPr>
        <w:t>№</w:t>
      </w:r>
      <w:r w:rsidRPr="00E01C55">
        <w:rPr>
          <w:rFonts w:ascii="Times New Roman" w:hAnsi="Times New Roman"/>
          <w:sz w:val="28"/>
          <w:szCs w:val="28"/>
          <w:lang w:eastAsia="ru-RU"/>
        </w:rPr>
        <w:t xml:space="preserve"> 37-п</w:t>
      </w:r>
      <w:r w:rsidRPr="009B4B92">
        <w:rPr>
          <w:rFonts w:ascii="Times New Roman" w:hAnsi="Times New Roman"/>
          <w:sz w:val="28"/>
          <w:szCs w:val="28"/>
          <w:lang w:eastAsia="ru-RU"/>
        </w:rPr>
        <w:t xml:space="preserve"> утверждена </w:t>
      </w:r>
      <w:r>
        <w:rPr>
          <w:rFonts w:ascii="Times New Roman" w:hAnsi="Times New Roman"/>
          <w:sz w:val="28"/>
          <w:szCs w:val="28"/>
          <w:lang w:eastAsia="ru-RU"/>
        </w:rPr>
        <w:t>г</w:t>
      </w:r>
      <w:r w:rsidRPr="009B4B92">
        <w:rPr>
          <w:rFonts w:ascii="Times New Roman" w:hAnsi="Times New Roman"/>
          <w:sz w:val="28"/>
          <w:szCs w:val="28"/>
          <w:lang w:eastAsia="ru-RU"/>
        </w:rPr>
        <w:t>осударственная программа «</w:t>
      </w:r>
      <w:r w:rsidRPr="0062713D">
        <w:rPr>
          <w:rFonts w:ascii="Times New Roman" w:hAnsi="Times New Roman"/>
          <w:sz w:val="28"/>
          <w:szCs w:val="28"/>
          <w:lang w:eastAsia="ru-RU"/>
        </w:rPr>
        <w:t>Развитие сельского хозяйства и</w:t>
      </w:r>
      <w:r>
        <w:rPr>
          <w:rFonts w:ascii="Times New Roman" w:hAnsi="Times New Roman"/>
          <w:sz w:val="28"/>
          <w:szCs w:val="28"/>
          <w:lang w:eastAsia="ru-RU"/>
        </w:rPr>
        <w:t> </w:t>
      </w:r>
      <w:r w:rsidRPr="0062713D">
        <w:rPr>
          <w:rFonts w:ascii="Times New Roman" w:hAnsi="Times New Roman"/>
          <w:sz w:val="28"/>
          <w:szCs w:val="28"/>
          <w:lang w:eastAsia="ru-RU"/>
        </w:rPr>
        <w:t>регулирование рынков сельскохозяйственной продукции, сырья и</w:t>
      </w:r>
      <w:r>
        <w:rPr>
          <w:rFonts w:ascii="Times New Roman" w:hAnsi="Times New Roman"/>
          <w:sz w:val="28"/>
          <w:szCs w:val="28"/>
          <w:lang w:eastAsia="ru-RU"/>
        </w:rPr>
        <w:t> </w:t>
      </w:r>
      <w:r w:rsidRPr="0062713D">
        <w:rPr>
          <w:rFonts w:ascii="Times New Roman" w:hAnsi="Times New Roman"/>
          <w:sz w:val="28"/>
          <w:szCs w:val="28"/>
          <w:lang w:eastAsia="ru-RU"/>
        </w:rPr>
        <w:t>продовольствия в</w:t>
      </w:r>
      <w:r>
        <w:rPr>
          <w:rFonts w:ascii="Times New Roman" w:hAnsi="Times New Roman"/>
          <w:sz w:val="28"/>
          <w:szCs w:val="28"/>
          <w:lang w:eastAsia="ru-RU"/>
        </w:rPr>
        <w:t> </w:t>
      </w:r>
      <w:r w:rsidRPr="0062713D">
        <w:rPr>
          <w:rFonts w:ascii="Times New Roman" w:hAnsi="Times New Roman"/>
          <w:sz w:val="28"/>
          <w:szCs w:val="28"/>
          <w:lang w:eastAsia="ru-RU"/>
        </w:rPr>
        <w:t>Новосибирской области</w:t>
      </w:r>
      <w:r w:rsidRPr="009B4B92">
        <w:rPr>
          <w:rFonts w:ascii="Times New Roman" w:hAnsi="Times New Roman"/>
          <w:sz w:val="28"/>
          <w:szCs w:val="28"/>
          <w:lang w:eastAsia="ru-RU"/>
        </w:rPr>
        <w:t>»,</w:t>
      </w:r>
      <w:r>
        <w:rPr>
          <w:rFonts w:ascii="Times New Roman" w:hAnsi="Times New Roman"/>
          <w:sz w:val="28"/>
          <w:szCs w:val="28"/>
          <w:lang w:eastAsia="ru-RU"/>
        </w:rPr>
        <w:t xml:space="preserve"> </w:t>
      </w:r>
      <w:r w:rsidRPr="009B4B92">
        <w:rPr>
          <w:rFonts w:ascii="Times New Roman" w:hAnsi="Times New Roman"/>
          <w:sz w:val="28"/>
          <w:szCs w:val="28"/>
          <w:lang w:eastAsia="ru-RU"/>
        </w:rPr>
        <w:t>в</w:t>
      </w:r>
      <w:r>
        <w:rPr>
          <w:rFonts w:ascii="Times New Roman" w:hAnsi="Times New Roman"/>
          <w:sz w:val="28"/>
          <w:szCs w:val="28"/>
          <w:lang w:eastAsia="ru-RU"/>
        </w:rPr>
        <w:t> </w:t>
      </w:r>
      <w:r w:rsidRPr="009B4B92">
        <w:rPr>
          <w:rFonts w:ascii="Times New Roman" w:hAnsi="Times New Roman"/>
          <w:sz w:val="28"/>
          <w:szCs w:val="28"/>
          <w:lang w:eastAsia="ru-RU"/>
        </w:rPr>
        <w:t>рамках которой предусмотрены мероприятия по</w:t>
      </w:r>
      <w:r>
        <w:rPr>
          <w:rFonts w:ascii="Times New Roman" w:hAnsi="Times New Roman"/>
          <w:sz w:val="28"/>
          <w:szCs w:val="28"/>
          <w:lang w:eastAsia="ru-RU"/>
        </w:rPr>
        <w:t> </w:t>
      </w:r>
      <w:r w:rsidRPr="009B4B92">
        <w:rPr>
          <w:rFonts w:ascii="Times New Roman" w:hAnsi="Times New Roman"/>
          <w:sz w:val="28"/>
          <w:szCs w:val="28"/>
          <w:lang w:eastAsia="ru-RU"/>
        </w:rPr>
        <w:t>оказанию мер государственной поддержки сельхозтоваропроизводителям</w:t>
      </w:r>
      <w:r>
        <w:rPr>
          <w:rFonts w:ascii="Times New Roman" w:hAnsi="Times New Roman"/>
          <w:sz w:val="28"/>
          <w:szCs w:val="28"/>
          <w:lang w:eastAsia="ru-RU"/>
        </w:rPr>
        <w:t>.</w:t>
      </w:r>
    </w:p>
    <w:p w:rsidR="002D1E45" w:rsidRDefault="002D1E45" w:rsidP="009B4B92">
      <w:pPr>
        <w:spacing w:after="0" w:line="240" w:lineRule="auto"/>
        <w:ind w:firstLine="709"/>
        <w:jc w:val="both"/>
        <w:rPr>
          <w:rFonts w:ascii="Times New Roman" w:hAnsi="Times New Roman"/>
          <w:sz w:val="28"/>
          <w:szCs w:val="28"/>
          <w:lang w:eastAsia="ru-RU"/>
        </w:rPr>
      </w:pPr>
      <w:r w:rsidRPr="009B4B92">
        <w:rPr>
          <w:rFonts w:ascii="Times New Roman" w:hAnsi="Times New Roman"/>
          <w:sz w:val="28"/>
          <w:szCs w:val="28"/>
          <w:lang w:eastAsia="ru-RU"/>
        </w:rPr>
        <w:t xml:space="preserve">Основными направлениями развития агропромышленного комплекса </w:t>
      </w:r>
      <w:r>
        <w:rPr>
          <w:rFonts w:ascii="Times New Roman" w:hAnsi="Times New Roman"/>
          <w:sz w:val="28"/>
          <w:szCs w:val="28"/>
          <w:lang w:eastAsia="ru-RU"/>
        </w:rPr>
        <w:t>Новосибирской области</w:t>
      </w:r>
      <w:r w:rsidRPr="009B4B92">
        <w:rPr>
          <w:rFonts w:ascii="Times New Roman" w:hAnsi="Times New Roman"/>
          <w:sz w:val="28"/>
          <w:szCs w:val="28"/>
          <w:lang w:eastAsia="ru-RU"/>
        </w:rPr>
        <w:t xml:space="preserve"> являются увеличение объёмов производства и</w:t>
      </w:r>
      <w:r>
        <w:rPr>
          <w:rFonts w:ascii="Times New Roman" w:hAnsi="Times New Roman"/>
          <w:sz w:val="28"/>
          <w:szCs w:val="28"/>
          <w:lang w:eastAsia="ru-RU"/>
        </w:rPr>
        <w:t> </w:t>
      </w:r>
      <w:r w:rsidRPr="009B4B92">
        <w:rPr>
          <w:rFonts w:ascii="Times New Roman" w:hAnsi="Times New Roman"/>
          <w:sz w:val="28"/>
          <w:szCs w:val="28"/>
          <w:lang w:eastAsia="ru-RU"/>
        </w:rPr>
        <w:t>переработки продукции растениеводства</w:t>
      </w:r>
      <w:r>
        <w:rPr>
          <w:rFonts w:ascii="Times New Roman" w:hAnsi="Times New Roman"/>
          <w:sz w:val="28"/>
          <w:szCs w:val="28"/>
          <w:lang w:eastAsia="ru-RU"/>
        </w:rPr>
        <w:t xml:space="preserve"> и животноводства</w:t>
      </w:r>
      <w:r w:rsidRPr="009B4B92">
        <w:rPr>
          <w:rFonts w:ascii="Times New Roman" w:hAnsi="Times New Roman"/>
          <w:sz w:val="28"/>
          <w:szCs w:val="28"/>
          <w:lang w:eastAsia="ru-RU"/>
        </w:rPr>
        <w:t>, создание условий для увеличения количества субъектов малого предпринимательства, занимающихся сельскохозяйственным производством, дальнейшее развитие малых форм хозяйствования.</w:t>
      </w:r>
    </w:p>
    <w:p w:rsidR="002D1E45" w:rsidRPr="009B4B92" w:rsidRDefault="002D1E45" w:rsidP="009B4B92">
      <w:pPr>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 xml:space="preserve">Иные </w:t>
      </w:r>
      <w:r w:rsidRPr="00B01D43">
        <w:rPr>
          <w:rFonts w:ascii="Times New Roman" w:hAnsi="Times New Roman"/>
          <w:sz w:val="28"/>
          <w:szCs w:val="28"/>
          <w:lang w:eastAsia="ru-RU"/>
        </w:rPr>
        <w:t>мероприятия по</w:t>
      </w:r>
      <w:r>
        <w:rPr>
          <w:rFonts w:ascii="Times New Roman" w:hAnsi="Times New Roman"/>
          <w:sz w:val="28"/>
          <w:szCs w:val="28"/>
          <w:lang w:eastAsia="ru-RU"/>
        </w:rPr>
        <w:t> </w:t>
      </w:r>
      <w:r w:rsidRPr="00B01D43">
        <w:rPr>
          <w:rFonts w:ascii="Times New Roman" w:hAnsi="Times New Roman"/>
          <w:sz w:val="28"/>
          <w:szCs w:val="28"/>
          <w:lang w:eastAsia="ru-RU"/>
        </w:rPr>
        <w:t>развитию сельскохозяйственного производства</w:t>
      </w:r>
      <w:r>
        <w:rPr>
          <w:rFonts w:ascii="Times New Roman" w:hAnsi="Times New Roman"/>
          <w:sz w:val="28"/>
          <w:szCs w:val="28"/>
          <w:lang w:eastAsia="ru-RU"/>
        </w:rPr>
        <w:t xml:space="preserve"> на </w:t>
      </w:r>
      <w:r w:rsidRPr="00B01D43">
        <w:rPr>
          <w:rFonts w:ascii="Times New Roman" w:hAnsi="Times New Roman"/>
          <w:sz w:val="28"/>
          <w:szCs w:val="28"/>
          <w:lang w:eastAsia="ru-RU"/>
        </w:rPr>
        <w:t xml:space="preserve">территории </w:t>
      </w:r>
      <w:r>
        <w:rPr>
          <w:rFonts w:ascii="Times New Roman" w:hAnsi="Times New Roman"/>
          <w:sz w:val="28"/>
          <w:szCs w:val="28"/>
          <w:lang w:eastAsia="ru-RU"/>
        </w:rPr>
        <w:t xml:space="preserve">города Куйбышева </w:t>
      </w:r>
      <w:r w:rsidRPr="00B01D43">
        <w:rPr>
          <w:rFonts w:ascii="Times New Roman" w:hAnsi="Times New Roman"/>
          <w:sz w:val="28"/>
          <w:szCs w:val="28"/>
          <w:lang w:eastAsia="ru-RU"/>
        </w:rPr>
        <w:t>не</w:t>
      </w:r>
      <w:r>
        <w:rPr>
          <w:rFonts w:ascii="Times New Roman" w:hAnsi="Times New Roman"/>
          <w:sz w:val="28"/>
          <w:szCs w:val="28"/>
          <w:lang w:eastAsia="ru-RU"/>
        </w:rPr>
        <w:t> </w:t>
      </w:r>
      <w:r w:rsidRPr="00B01D43">
        <w:rPr>
          <w:rFonts w:ascii="Times New Roman" w:hAnsi="Times New Roman"/>
          <w:sz w:val="28"/>
          <w:szCs w:val="28"/>
          <w:lang w:eastAsia="ru-RU"/>
        </w:rPr>
        <w:t>пред</w:t>
      </w:r>
      <w:r>
        <w:rPr>
          <w:rFonts w:ascii="Times New Roman" w:hAnsi="Times New Roman"/>
          <w:sz w:val="28"/>
          <w:szCs w:val="28"/>
          <w:lang w:eastAsia="ru-RU"/>
        </w:rPr>
        <w:t>усматрива</w:t>
      </w:r>
      <w:r w:rsidRPr="00B01D43">
        <w:rPr>
          <w:rFonts w:ascii="Times New Roman" w:hAnsi="Times New Roman"/>
          <w:sz w:val="28"/>
          <w:szCs w:val="28"/>
          <w:lang w:eastAsia="ru-RU"/>
        </w:rPr>
        <w:t>ются.</w:t>
      </w:r>
    </w:p>
    <w:p w:rsidR="002D1E45" w:rsidRPr="00022ED3" w:rsidRDefault="002D1E45" w:rsidP="00852938">
      <w:pPr>
        <w:pStyle w:val="Heading2"/>
        <w:numPr>
          <w:ilvl w:val="1"/>
          <w:numId w:val="65"/>
        </w:numPr>
        <w:spacing w:before="240"/>
        <w:ind w:left="993" w:hanging="633"/>
        <w:jc w:val="both"/>
        <w:rPr>
          <w:b/>
        </w:rPr>
      </w:pPr>
      <w:bookmarkStart w:id="281" w:name="_Toc468971950"/>
      <w:bookmarkStart w:id="282" w:name="_Toc475037116"/>
      <w:bookmarkStart w:id="283" w:name="_Toc84936058"/>
      <w:r w:rsidRPr="00022ED3">
        <w:rPr>
          <w:b/>
        </w:rPr>
        <w:t>Развитие зоны</w:t>
      </w:r>
      <w:bookmarkEnd w:id="281"/>
      <w:bookmarkEnd w:id="282"/>
      <w:r>
        <w:rPr>
          <w:b/>
        </w:rPr>
        <w:t xml:space="preserve"> </w:t>
      </w:r>
      <w:r w:rsidRPr="00F2697D">
        <w:rPr>
          <w:b/>
        </w:rPr>
        <w:t>производственного и</w:t>
      </w:r>
      <w:r>
        <w:rPr>
          <w:b/>
        </w:rPr>
        <w:t> </w:t>
      </w:r>
      <w:r w:rsidRPr="00F2697D">
        <w:rPr>
          <w:b/>
        </w:rPr>
        <w:t>коммунально-складского назначения</w:t>
      </w:r>
      <w:bookmarkEnd w:id="283"/>
    </w:p>
    <w:p w:rsidR="002D1E45" w:rsidRPr="003A7901" w:rsidRDefault="002D1E45" w:rsidP="003A7901">
      <w:pPr>
        <w:spacing w:after="0" w:line="240" w:lineRule="auto"/>
        <w:rPr>
          <w:rFonts w:ascii="Times New Roman" w:hAnsi="Times New Roman"/>
          <w:sz w:val="16"/>
          <w:szCs w:val="16"/>
          <w:lang w:eastAsia="ru-RU"/>
        </w:rPr>
      </w:pPr>
    </w:p>
    <w:p w:rsidR="002D1E45" w:rsidRPr="003A7901" w:rsidRDefault="002D1E45" w:rsidP="003A7901">
      <w:pPr>
        <w:spacing w:after="0" w:line="240" w:lineRule="auto"/>
        <w:rPr>
          <w:rFonts w:ascii="Times New Roman" w:hAnsi="Times New Roman"/>
          <w:sz w:val="16"/>
          <w:szCs w:val="16"/>
          <w:lang w:eastAsia="ru-RU"/>
        </w:rPr>
      </w:pPr>
    </w:p>
    <w:p w:rsidR="002D1E45" w:rsidRPr="004F0D68" w:rsidRDefault="002D1E45" w:rsidP="004F0D68">
      <w:pPr>
        <w:spacing w:after="0" w:line="240" w:lineRule="auto"/>
        <w:ind w:firstLine="709"/>
        <w:jc w:val="both"/>
        <w:rPr>
          <w:rFonts w:ascii="Times New Roman" w:hAnsi="Times New Roman"/>
          <w:sz w:val="28"/>
          <w:szCs w:val="28"/>
          <w:lang w:eastAsia="ru-RU"/>
        </w:rPr>
      </w:pPr>
      <w:r w:rsidRPr="004F0D68">
        <w:rPr>
          <w:rFonts w:ascii="Times New Roman" w:hAnsi="Times New Roman"/>
          <w:sz w:val="28"/>
          <w:szCs w:val="28"/>
          <w:lang w:eastAsia="ru-RU"/>
        </w:rPr>
        <w:t>Для социально-экономического развития Новосибирской области Куйбышевском район рассматривается в составе развития западной части региона в концепции создания второго по значимости центра экономического роста Барабинско-Куйбышевской агломерации. Это территория для области представляет интерес как зона высоко диверсифицированной экономики, в качестве площадки для перспективного развития производства и переработки сельскохозяйственной продукции, создания новых производств газохимического предприятия и газификация сел после ввода в эксплуатацию терминала по приёму, хранению и отгрузке смеси пропана бутана технической (СПБТ). Кроме того, одной из важнейших точек роста Барабинско-Куйбышевской агломерации станет развитие транспортной и энергетической инфраструктуры и развитие рекреационного и туристического бизнеса.</w:t>
      </w:r>
    </w:p>
    <w:p w:rsidR="002D1E45" w:rsidRDefault="002D1E45" w:rsidP="004F0D68">
      <w:pPr>
        <w:spacing w:after="0" w:line="240" w:lineRule="auto"/>
        <w:ind w:firstLine="709"/>
        <w:jc w:val="both"/>
        <w:rPr>
          <w:rFonts w:ascii="Times New Roman" w:hAnsi="Times New Roman"/>
          <w:sz w:val="28"/>
          <w:szCs w:val="28"/>
          <w:lang w:eastAsia="ru-RU"/>
        </w:rPr>
      </w:pPr>
      <w:r w:rsidRPr="004F0D68">
        <w:rPr>
          <w:rFonts w:ascii="Times New Roman" w:hAnsi="Times New Roman"/>
          <w:sz w:val="28"/>
          <w:szCs w:val="28"/>
          <w:lang w:eastAsia="ru-RU"/>
        </w:rPr>
        <w:t>Развитие Барабинско</w:t>
      </w:r>
      <w:r>
        <w:rPr>
          <w:rFonts w:ascii="Times New Roman" w:hAnsi="Times New Roman"/>
          <w:sz w:val="28"/>
          <w:szCs w:val="28"/>
          <w:lang w:eastAsia="ru-RU"/>
        </w:rPr>
        <w:t>-</w:t>
      </w:r>
      <w:r w:rsidRPr="004F0D68">
        <w:rPr>
          <w:rFonts w:ascii="Times New Roman" w:hAnsi="Times New Roman"/>
          <w:sz w:val="28"/>
          <w:szCs w:val="28"/>
          <w:lang w:eastAsia="ru-RU"/>
        </w:rPr>
        <w:t>Куйбышевской агломерации будет способствовать увеличению числа и объёмов производства предприятий промышленности, в том числе производства экологически чистых продуктов молочной продукции. Основными потребителями продукции и услуг хозяйственного комплекса созданной агломерации будут как жители области, так и участники транзитных потоков.</w:t>
      </w:r>
    </w:p>
    <w:p w:rsidR="002D1E45" w:rsidRPr="003A145B" w:rsidRDefault="002D1E45" w:rsidP="003A145B">
      <w:pPr>
        <w:spacing w:after="0" w:line="240" w:lineRule="auto"/>
        <w:ind w:firstLine="709"/>
        <w:jc w:val="both"/>
        <w:rPr>
          <w:rFonts w:ascii="Times New Roman" w:hAnsi="Times New Roman"/>
          <w:sz w:val="28"/>
          <w:szCs w:val="28"/>
          <w:lang w:eastAsia="ru-RU"/>
        </w:rPr>
      </w:pPr>
      <w:r w:rsidRPr="003A145B">
        <w:rPr>
          <w:rFonts w:ascii="Times New Roman" w:hAnsi="Times New Roman"/>
          <w:sz w:val="28"/>
          <w:szCs w:val="28"/>
          <w:lang w:eastAsia="ru-RU"/>
        </w:rPr>
        <w:t>Приоритетным направлением в</w:t>
      </w:r>
      <w:r>
        <w:rPr>
          <w:rFonts w:ascii="Times New Roman" w:hAnsi="Times New Roman"/>
          <w:sz w:val="28"/>
          <w:szCs w:val="28"/>
          <w:lang w:eastAsia="ru-RU"/>
        </w:rPr>
        <w:t> </w:t>
      </w:r>
      <w:r w:rsidRPr="003A145B">
        <w:rPr>
          <w:rFonts w:ascii="Times New Roman" w:hAnsi="Times New Roman"/>
          <w:sz w:val="28"/>
          <w:szCs w:val="28"/>
          <w:lang w:eastAsia="ru-RU"/>
        </w:rPr>
        <w:t>развитии отраслей производственной сферы должно стать развитие производственных предприятий на</w:t>
      </w:r>
      <w:r>
        <w:rPr>
          <w:rFonts w:ascii="Times New Roman" w:hAnsi="Times New Roman"/>
          <w:sz w:val="28"/>
          <w:szCs w:val="28"/>
          <w:lang w:eastAsia="ru-RU"/>
        </w:rPr>
        <w:t> </w:t>
      </w:r>
      <w:r w:rsidRPr="003A145B">
        <w:rPr>
          <w:rFonts w:ascii="Times New Roman" w:hAnsi="Times New Roman"/>
          <w:sz w:val="28"/>
          <w:szCs w:val="28"/>
          <w:lang w:eastAsia="ru-RU"/>
        </w:rPr>
        <w:t xml:space="preserve">основе внедрения прогрессивных ресурсосберегающих технологий, развитие пищевой, </w:t>
      </w:r>
      <w:r w:rsidRPr="004F0D68">
        <w:rPr>
          <w:rFonts w:ascii="Times New Roman" w:hAnsi="Times New Roman"/>
          <w:sz w:val="28"/>
          <w:szCs w:val="28"/>
          <w:lang w:eastAsia="ru-RU"/>
        </w:rPr>
        <w:t>химической промышленности, машиностроения</w:t>
      </w:r>
      <w:r w:rsidRPr="003A145B">
        <w:rPr>
          <w:rFonts w:ascii="Times New Roman" w:hAnsi="Times New Roman"/>
          <w:sz w:val="28"/>
          <w:szCs w:val="28"/>
          <w:lang w:eastAsia="ru-RU"/>
        </w:rPr>
        <w:t>, промышленности строительных материалов и</w:t>
      </w:r>
      <w:r>
        <w:rPr>
          <w:rFonts w:ascii="Times New Roman" w:hAnsi="Times New Roman"/>
          <w:sz w:val="28"/>
          <w:szCs w:val="28"/>
          <w:lang w:eastAsia="ru-RU"/>
        </w:rPr>
        <w:t> </w:t>
      </w:r>
      <w:r w:rsidRPr="003A145B">
        <w:rPr>
          <w:rFonts w:ascii="Times New Roman" w:hAnsi="Times New Roman"/>
          <w:sz w:val="28"/>
          <w:szCs w:val="28"/>
          <w:lang w:eastAsia="ru-RU"/>
        </w:rPr>
        <w:t>стройдеталей, ориентированных на</w:t>
      </w:r>
      <w:r>
        <w:rPr>
          <w:rFonts w:ascii="Times New Roman" w:hAnsi="Times New Roman"/>
          <w:sz w:val="28"/>
          <w:szCs w:val="28"/>
          <w:lang w:eastAsia="ru-RU"/>
        </w:rPr>
        <w:t> </w:t>
      </w:r>
      <w:r w:rsidRPr="003A145B">
        <w:rPr>
          <w:rFonts w:ascii="Times New Roman" w:hAnsi="Times New Roman"/>
          <w:sz w:val="28"/>
          <w:szCs w:val="28"/>
          <w:lang w:eastAsia="ru-RU"/>
        </w:rPr>
        <w:t>жилищно-гражданское строительство. Развитие лёгкой и</w:t>
      </w:r>
      <w:r>
        <w:rPr>
          <w:rFonts w:ascii="Times New Roman" w:hAnsi="Times New Roman"/>
          <w:sz w:val="28"/>
          <w:szCs w:val="28"/>
          <w:lang w:eastAsia="ru-RU"/>
        </w:rPr>
        <w:t> </w:t>
      </w:r>
      <w:r w:rsidRPr="003A145B">
        <w:rPr>
          <w:rFonts w:ascii="Times New Roman" w:hAnsi="Times New Roman"/>
          <w:sz w:val="28"/>
          <w:szCs w:val="28"/>
          <w:lang w:eastAsia="ru-RU"/>
        </w:rPr>
        <w:t>кустарной промышленности, ориентированных на</w:t>
      </w:r>
      <w:r>
        <w:rPr>
          <w:rFonts w:ascii="Times New Roman" w:hAnsi="Times New Roman"/>
          <w:sz w:val="28"/>
          <w:szCs w:val="28"/>
          <w:lang w:eastAsia="ru-RU"/>
        </w:rPr>
        <w:t> </w:t>
      </w:r>
      <w:r w:rsidRPr="003A145B">
        <w:rPr>
          <w:rFonts w:ascii="Times New Roman" w:hAnsi="Times New Roman"/>
          <w:sz w:val="28"/>
          <w:szCs w:val="28"/>
          <w:lang w:eastAsia="ru-RU"/>
        </w:rPr>
        <w:t>использование местных природных ресурсов для изготовления оригинальной продукции.</w:t>
      </w:r>
    </w:p>
    <w:p w:rsidR="002D1E45" w:rsidRPr="003A145B" w:rsidRDefault="002D1E45" w:rsidP="003A145B">
      <w:pPr>
        <w:spacing w:after="0" w:line="240" w:lineRule="auto"/>
        <w:ind w:firstLine="709"/>
        <w:jc w:val="both"/>
        <w:rPr>
          <w:rFonts w:ascii="Times New Roman" w:hAnsi="Times New Roman"/>
          <w:sz w:val="28"/>
          <w:szCs w:val="28"/>
          <w:lang w:eastAsia="ru-RU"/>
        </w:rPr>
      </w:pPr>
      <w:r w:rsidRPr="003A145B">
        <w:rPr>
          <w:rFonts w:ascii="Times New Roman" w:hAnsi="Times New Roman"/>
          <w:sz w:val="28"/>
          <w:szCs w:val="28"/>
          <w:lang w:eastAsia="ru-RU"/>
        </w:rPr>
        <w:t>Проектные предложения базируются на</w:t>
      </w:r>
      <w:r>
        <w:rPr>
          <w:rFonts w:ascii="Times New Roman" w:hAnsi="Times New Roman"/>
          <w:sz w:val="28"/>
          <w:szCs w:val="28"/>
          <w:lang w:eastAsia="ru-RU"/>
        </w:rPr>
        <w:t> </w:t>
      </w:r>
      <w:r w:rsidRPr="003A145B">
        <w:rPr>
          <w:rFonts w:ascii="Times New Roman" w:hAnsi="Times New Roman"/>
          <w:sz w:val="28"/>
          <w:szCs w:val="28"/>
          <w:lang w:eastAsia="ru-RU"/>
        </w:rPr>
        <w:t>результатах выполненных работ, исследований и</w:t>
      </w:r>
      <w:r>
        <w:rPr>
          <w:rFonts w:ascii="Times New Roman" w:hAnsi="Times New Roman"/>
          <w:sz w:val="28"/>
          <w:szCs w:val="28"/>
          <w:lang w:eastAsia="ru-RU"/>
        </w:rPr>
        <w:t> </w:t>
      </w:r>
      <w:r w:rsidRPr="003A145B">
        <w:rPr>
          <w:rFonts w:ascii="Times New Roman" w:hAnsi="Times New Roman"/>
          <w:sz w:val="28"/>
          <w:szCs w:val="28"/>
          <w:lang w:eastAsia="ru-RU"/>
        </w:rPr>
        <w:t>комплексного технико-экономического анализа имеющихся тенденций и</w:t>
      </w:r>
      <w:r>
        <w:rPr>
          <w:rFonts w:ascii="Times New Roman" w:hAnsi="Times New Roman"/>
          <w:sz w:val="28"/>
          <w:szCs w:val="28"/>
          <w:lang w:eastAsia="ru-RU"/>
        </w:rPr>
        <w:t> </w:t>
      </w:r>
      <w:r w:rsidRPr="003A145B">
        <w:rPr>
          <w:rFonts w:ascii="Times New Roman" w:hAnsi="Times New Roman"/>
          <w:sz w:val="28"/>
          <w:szCs w:val="28"/>
          <w:lang w:eastAsia="ru-RU"/>
        </w:rPr>
        <w:t>закономерностей территориального функционирования основных отраслей хозяйственной деятельности. Они должны способствовать проведению более чёткой градостроительной политики по</w:t>
      </w:r>
      <w:r>
        <w:rPr>
          <w:rFonts w:ascii="Times New Roman" w:hAnsi="Times New Roman"/>
          <w:sz w:val="28"/>
          <w:szCs w:val="28"/>
          <w:lang w:eastAsia="ru-RU"/>
        </w:rPr>
        <w:t> </w:t>
      </w:r>
      <w:r w:rsidRPr="003A145B">
        <w:rPr>
          <w:rFonts w:ascii="Times New Roman" w:hAnsi="Times New Roman"/>
          <w:sz w:val="28"/>
          <w:szCs w:val="28"/>
          <w:lang w:eastAsia="ru-RU"/>
        </w:rPr>
        <w:t>совершенствованию архитектурно-планировочной организации, рациональному и</w:t>
      </w:r>
      <w:r>
        <w:rPr>
          <w:rFonts w:ascii="Times New Roman" w:hAnsi="Times New Roman"/>
          <w:sz w:val="28"/>
          <w:szCs w:val="28"/>
          <w:lang w:eastAsia="ru-RU"/>
        </w:rPr>
        <w:t> </w:t>
      </w:r>
      <w:r w:rsidRPr="003A145B">
        <w:rPr>
          <w:rFonts w:ascii="Times New Roman" w:hAnsi="Times New Roman"/>
          <w:sz w:val="28"/>
          <w:szCs w:val="28"/>
          <w:lang w:eastAsia="ru-RU"/>
        </w:rPr>
        <w:t>эффективному использованию производственно-коммунальных территорий с</w:t>
      </w:r>
      <w:r>
        <w:rPr>
          <w:rFonts w:ascii="Times New Roman" w:hAnsi="Times New Roman"/>
          <w:sz w:val="28"/>
          <w:szCs w:val="28"/>
          <w:lang w:eastAsia="ru-RU"/>
        </w:rPr>
        <w:t> </w:t>
      </w:r>
      <w:r w:rsidRPr="003A145B">
        <w:rPr>
          <w:rFonts w:ascii="Times New Roman" w:hAnsi="Times New Roman"/>
          <w:sz w:val="28"/>
          <w:szCs w:val="28"/>
          <w:lang w:eastAsia="ru-RU"/>
        </w:rPr>
        <w:t>учётом их</w:t>
      </w:r>
      <w:r>
        <w:rPr>
          <w:rFonts w:ascii="Times New Roman" w:hAnsi="Times New Roman"/>
          <w:sz w:val="28"/>
          <w:szCs w:val="28"/>
          <w:lang w:eastAsia="ru-RU"/>
        </w:rPr>
        <w:t> </w:t>
      </w:r>
      <w:r w:rsidRPr="003A145B">
        <w:rPr>
          <w:rFonts w:ascii="Times New Roman" w:hAnsi="Times New Roman"/>
          <w:sz w:val="28"/>
          <w:szCs w:val="28"/>
          <w:lang w:eastAsia="ru-RU"/>
        </w:rPr>
        <w:t>санитарно-гигиенических и</w:t>
      </w:r>
      <w:r>
        <w:rPr>
          <w:rFonts w:ascii="Times New Roman" w:hAnsi="Times New Roman"/>
          <w:sz w:val="28"/>
          <w:szCs w:val="28"/>
          <w:lang w:eastAsia="ru-RU"/>
        </w:rPr>
        <w:t> </w:t>
      </w:r>
      <w:r w:rsidRPr="003A145B">
        <w:rPr>
          <w:rFonts w:ascii="Times New Roman" w:hAnsi="Times New Roman"/>
          <w:sz w:val="28"/>
          <w:szCs w:val="28"/>
          <w:lang w:eastAsia="ru-RU"/>
        </w:rPr>
        <w:t>экологических требований.</w:t>
      </w:r>
    </w:p>
    <w:p w:rsidR="002D1E45" w:rsidRPr="003A145B" w:rsidRDefault="002D1E45" w:rsidP="003A145B">
      <w:pPr>
        <w:spacing w:after="0" w:line="240" w:lineRule="auto"/>
        <w:ind w:firstLine="709"/>
        <w:jc w:val="both"/>
        <w:rPr>
          <w:rFonts w:ascii="Times New Roman" w:hAnsi="Times New Roman"/>
          <w:b/>
          <w:bCs/>
          <w:sz w:val="28"/>
          <w:szCs w:val="28"/>
          <w:lang w:eastAsia="ru-RU"/>
        </w:rPr>
      </w:pPr>
      <w:r w:rsidRPr="003A145B">
        <w:rPr>
          <w:rFonts w:ascii="Times New Roman" w:hAnsi="Times New Roman"/>
          <w:bCs/>
          <w:sz w:val="28"/>
          <w:szCs w:val="28"/>
          <w:lang w:eastAsia="ru-RU"/>
        </w:rPr>
        <w:t>Задачами развития отрасли промышленности являются:</w:t>
      </w:r>
    </w:p>
    <w:p w:rsidR="002D1E45" w:rsidRPr="003A145B" w:rsidRDefault="002D1E45" w:rsidP="003A145B">
      <w:pPr>
        <w:numPr>
          <w:ilvl w:val="0"/>
          <w:numId w:val="24"/>
        </w:numPr>
        <w:spacing w:after="0" w:line="240" w:lineRule="auto"/>
        <w:jc w:val="both"/>
        <w:rPr>
          <w:rFonts w:ascii="Times New Roman" w:hAnsi="Times New Roman"/>
          <w:sz w:val="28"/>
          <w:szCs w:val="28"/>
          <w:lang w:eastAsia="ru-RU"/>
        </w:rPr>
      </w:pPr>
      <w:r w:rsidRPr="003A145B">
        <w:rPr>
          <w:rFonts w:ascii="Times New Roman" w:hAnsi="Times New Roman"/>
          <w:sz w:val="28"/>
          <w:szCs w:val="28"/>
          <w:lang w:eastAsia="ru-RU"/>
        </w:rPr>
        <w:t>финансовое оздоровление, повышение эффективности работы промышленных предприятий, сокращение и</w:t>
      </w:r>
      <w:r>
        <w:rPr>
          <w:rFonts w:ascii="Times New Roman" w:hAnsi="Times New Roman"/>
          <w:sz w:val="28"/>
          <w:szCs w:val="28"/>
          <w:lang w:eastAsia="ru-RU"/>
        </w:rPr>
        <w:t> </w:t>
      </w:r>
      <w:r w:rsidRPr="003A145B">
        <w:rPr>
          <w:rFonts w:ascii="Times New Roman" w:hAnsi="Times New Roman"/>
          <w:sz w:val="28"/>
          <w:szCs w:val="28"/>
          <w:lang w:eastAsia="ru-RU"/>
        </w:rPr>
        <w:t>ликвидация убыточных производств;</w:t>
      </w:r>
    </w:p>
    <w:p w:rsidR="002D1E45" w:rsidRPr="003A145B" w:rsidRDefault="002D1E45" w:rsidP="003A145B">
      <w:pPr>
        <w:numPr>
          <w:ilvl w:val="0"/>
          <w:numId w:val="24"/>
        </w:numPr>
        <w:spacing w:after="0" w:line="240" w:lineRule="auto"/>
        <w:jc w:val="both"/>
        <w:rPr>
          <w:rFonts w:ascii="Times New Roman" w:hAnsi="Times New Roman"/>
          <w:sz w:val="28"/>
          <w:szCs w:val="28"/>
          <w:lang w:eastAsia="ru-RU"/>
        </w:rPr>
      </w:pPr>
      <w:r w:rsidRPr="003A145B">
        <w:rPr>
          <w:rFonts w:ascii="Times New Roman" w:hAnsi="Times New Roman"/>
          <w:sz w:val="28"/>
          <w:szCs w:val="28"/>
          <w:lang w:eastAsia="ru-RU"/>
        </w:rPr>
        <w:t>создание условий по</w:t>
      </w:r>
      <w:r>
        <w:rPr>
          <w:rFonts w:ascii="Times New Roman" w:hAnsi="Times New Roman"/>
          <w:sz w:val="28"/>
          <w:szCs w:val="28"/>
          <w:lang w:eastAsia="ru-RU"/>
        </w:rPr>
        <w:t> </w:t>
      </w:r>
      <w:r w:rsidRPr="003A145B">
        <w:rPr>
          <w:rFonts w:ascii="Times New Roman" w:hAnsi="Times New Roman"/>
          <w:sz w:val="28"/>
          <w:szCs w:val="28"/>
          <w:lang w:eastAsia="ru-RU"/>
        </w:rPr>
        <w:t>привлечению инвестиций в</w:t>
      </w:r>
      <w:r>
        <w:rPr>
          <w:rFonts w:ascii="Times New Roman" w:hAnsi="Times New Roman"/>
          <w:sz w:val="28"/>
          <w:szCs w:val="28"/>
          <w:lang w:eastAsia="ru-RU"/>
        </w:rPr>
        <w:t> </w:t>
      </w:r>
      <w:r w:rsidRPr="003A145B">
        <w:rPr>
          <w:rFonts w:ascii="Times New Roman" w:hAnsi="Times New Roman"/>
          <w:sz w:val="28"/>
          <w:szCs w:val="28"/>
          <w:lang w:eastAsia="ru-RU"/>
        </w:rPr>
        <w:t xml:space="preserve">экономику </w:t>
      </w:r>
      <w:r>
        <w:rPr>
          <w:rFonts w:ascii="Times New Roman" w:hAnsi="Times New Roman"/>
          <w:sz w:val="28"/>
          <w:szCs w:val="28"/>
          <w:lang w:eastAsia="ru-RU"/>
        </w:rPr>
        <w:t>города</w:t>
      </w:r>
      <w:r w:rsidRPr="003A145B">
        <w:rPr>
          <w:rFonts w:ascii="Times New Roman" w:hAnsi="Times New Roman"/>
          <w:sz w:val="28"/>
          <w:szCs w:val="28"/>
          <w:lang w:eastAsia="ru-RU"/>
        </w:rPr>
        <w:t>;</w:t>
      </w:r>
    </w:p>
    <w:p w:rsidR="002D1E45" w:rsidRPr="003A145B" w:rsidRDefault="002D1E45" w:rsidP="003A145B">
      <w:pPr>
        <w:numPr>
          <w:ilvl w:val="0"/>
          <w:numId w:val="24"/>
        </w:numPr>
        <w:spacing w:after="0" w:line="240" w:lineRule="auto"/>
        <w:jc w:val="both"/>
        <w:rPr>
          <w:rFonts w:ascii="Times New Roman" w:hAnsi="Times New Roman"/>
          <w:sz w:val="28"/>
          <w:szCs w:val="28"/>
          <w:lang w:eastAsia="ru-RU"/>
        </w:rPr>
      </w:pPr>
      <w:r w:rsidRPr="003A145B">
        <w:rPr>
          <w:rFonts w:ascii="Times New Roman" w:hAnsi="Times New Roman"/>
          <w:sz w:val="28"/>
          <w:szCs w:val="28"/>
          <w:lang w:eastAsia="ru-RU"/>
        </w:rPr>
        <w:t>оказание содействия по</w:t>
      </w:r>
      <w:r>
        <w:rPr>
          <w:rFonts w:ascii="Times New Roman" w:hAnsi="Times New Roman"/>
          <w:sz w:val="28"/>
          <w:szCs w:val="28"/>
          <w:lang w:eastAsia="ru-RU"/>
        </w:rPr>
        <w:t> </w:t>
      </w:r>
      <w:r w:rsidRPr="003A145B">
        <w:rPr>
          <w:rFonts w:ascii="Times New Roman" w:hAnsi="Times New Roman"/>
          <w:sz w:val="28"/>
          <w:szCs w:val="28"/>
          <w:lang w:eastAsia="ru-RU"/>
        </w:rPr>
        <w:t>созданию новых рабочих мест, увеличению численности занятых в</w:t>
      </w:r>
      <w:r>
        <w:rPr>
          <w:rFonts w:ascii="Times New Roman" w:hAnsi="Times New Roman"/>
          <w:sz w:val="28"/>
          <w:szCs w:val="28"/>
          <w:lang w:eastAsia="ru-RU"/>
        </w:rPr>
        <w:t> </w:t>
      </w:r>
      <w:r w:rsidRPr="003A145B">
        <w:rPr>
          <w:rFonts w:ascii="Times New Roman" w:hAnsi="Times New Roman"/>
          <w:sz w:val="28"/>
          <w:szCs w:val="28"/>
          <w:lang w:eastAsia="ru-RU"/>
        </w:rPr>
        <w:t>промышленности;</w:t>
      </w:r>
    </w:p>
    <w:p w:rsidR="002D1E45" w:rsidRPr="003A145B" w:rsidRDefault="002D1E45" w:rsidP="003A145B">
      <w:pPr>
        <w:numPr>
          <w:ilvl w:val="0"/>
          <w:numId w:val="24"/>
        </w:numPr>
        <w:spacing w:after="0" w:line="240" w:lineRule="auto"/>
        <w:jc w:val="both"/>
        <w:rPr>
          <w:rFonts w:ascii="Times New Roman" w:hAnsi="Times New Roman"/>
          <w:sz w:val="28"/>
          <w:szCs w:val="28"/>
          <w:lang w:eastAsia="ru-RU"/>
        </w:rPr>
      </w:pPr>
      <w:r w:rsidRPr="003A145B">
        <w:rPr>
          <w:rFonts w:ascii="Times New Roman" w:hAnsi="Times New Roman"/>
          <w:sz w:val="28"/>
          <w:szCs w:val="28"/>
          <w:lang w:eastAsia="ru-RU"/>
        </w:rPr>
        <w:t xml:space="preserve">расширение рынков сбыта для товаропроизводителей </w:t>
      </w:r>
      <w:r>
        <w:rPr>
          <w:rFonts w:ascii="Times New Roman" w:hAnsi="Times New Roman"/>
          <w:sz w:val="28"/>
          <w:szCs w:val="28"/>
          <w:lang w:eastAsia="ru-RU"/>
        </w:rPr>
        <w:t>города</w:t>
      </w:r>
      <w:r w:rsidRPr="003A145B">
        <w:rPr>
          <w:rFonts w:ascii="Times New Roman" w:hAnsi="Times New Roman"/>
          <w:sz w:val="28"/>
          <w:szCs w:val="28"/>
          <w:lang w:eastAsia="ru-RU"/>
        </w:rPr>
        <w:t>, принятие участия в</w:t>
      </w:r>
      <w:r>
        <w:rPr>
          <w:rFonts w:ascii="Times New Roman" w:hAnsi="Times New Roman"/>
          <w:sz w:val="28"/>
          <w:szCs w:val="28"/>
          <w:lang w:eastAsia="ru-RU"/>
        </w:rPr>
        <w:t> </w:t>
      </w:r>
      <w:r w:rsidRPr="003A145B">
        <w:rPr>
          <w:rFonts w:ascii="Times New Roman" w:hAnsi="Times New Roman"/>
          <w:sz w:val="28"/>
          <w:szCs w:val="28"/>
          <w:lang w:eastAsia="ru-RU"/>
        </w:rPr>
        <w:t>областных ярмарках, заключение прямых договоров на</w:t>
      </w:r>
      <w:r>
        <w:rPr>
          <w:rFonts w:ascii="Times New Roman" w:hAnsi="Times New Roman"/>
          <w:sz w:val="28"/>
          <w:szCs w:val="28"/>
          <w:lang w:eastAsia="ru-RU"/>
        </w:rPr>
        <w:t> </w:t>
      </w:r>
      <w:r w:rsidRPr="003A145B">
        <w:rPr>
          <w:rFonts w:ascii="Times New Roman" w:hAnsi="Times New Roman"/>
          <w:sz w:val="28"/>
          <w:szCs w:val="28"/>
          <w:lang w:eastAsia="ru-RU"/>
        </w:rPr>
        <w:t>поставку товаров;</w:t>
      </w:r>
    </w:p>
    <w:p w:rsidR="002D1E45" w:rsidRPr="003A145B" w:rsidRDefault="002D1E45" w:rsidP="003A145B">
      <w:pPr>
        <w:numPr>
          <w:ilvl w:val="0"/>
          <w:numId w:val="24"/>
        </w:numPr>
        <w:spacing w:after="0" w:line="240" w:lineRule="auto"/>
        <w:jc w:val="both"/>
        <w:rPr>
          <w:rFonts w:ascii="Times New Roman" w:hAnsi="Times New Roman"/>
          <w:sz w:val="28"/>
          <w:szCs w:val="28"/>
          <w:lang w:eastAsia="ru-RU"/>
        </w:rPr>
      </w:pPr>
      <w:r w:rsidRPr="003A145B">
        <w:rPr>
          <w:rFonts w:ascii="Times New Roman" w:hAnsi="Times New Roman"/>
          <w:sz w:val="28"/>
          <w:szCs w:val="28"/>
          <w:lang w:eastAsia="ru-RU"/>
        </w:rPr>
        <w:t>создание условий для развития производства конкурентоспособной продукции предприятиями промышленности.</w:t>
      </w:r>
    </w:p>
    <w:p w:rsidR="002D1E45" w:rsidRPr="003A145B" w:rsidRDefault="002D1E45" w:rsidP="003A145B">
      <w:pPr>
        <w:spacing w:after="0" w:line="240" w:lineRule="auto"/>
        <w:ind w:firstLine="709"/>
        <w:jc w:val="both"/>
        <w:rPr>
          <w:rFonts w:ascii="Times New Roman" w:hAnsi="Times New Roman"/>
          <w:bCs/>
          <w:sz w:val="28"/>
          <w:szCs w:val="28"/>
          <w:lang w:eastAsia="ru-RU"/>
        </w:rPr>
      </w:pPr>
      <w:r w:rsidRPr="003A145B">
        <w:rPr>
          <w:rFonts w:ascii="Times New Roman" w:hAnsi="Times New Roman"/>
          <w:bCs/>
          <w:sz w:val="28"/>
          <w:szCs w:val="28"/>
          <w:lang w:eastAsia="ru-RU"/>
        </w:rPr>
        <w:t>В дальнейшем планируется обеспечение среднего роста промышленного производства в</w:t>
      </w:r>
      <w:r>
        <w:rPr>
          <w:rFonts w:ascii="Times New Roman" w:hAnsi="Times New Roman"/>
          <w:bCs/>
          <w:sz w:val="28"/>
          <w:szCs w:val="28"/>
          <w:lang w:eastAsia="ru-RU"/>
        </w:rPr>
        <w:t> </w:t>
      </w:r>
      <w:r w:rsidRPr="003A145B">
        <w:rPr>
          <w:rFonts w:ascii="Times New Roman" w:hAnsi="Times New Roman"/>
          <w:bCs/>
          <w:sz w:val="28"/>
          <w:szCs w:val="28"/>
          <w:lang w:eastAsia="ru-RU"/>
        </w:rPr>
        <w:t>действующих ценах ежегодно не</w:t>
      </w:r>
      <w:r>
        <w:rPr>
          <w:rFonts w:ascii="Times New Roman" w:hAnsi="Times New Roman"/>
          <w:bCs/>
          <w:sz w:val="28"/>
          <w:szCs w:val="28"/>
          <w:lang w:eastAsia="ru-RU"/>
        </w:rPr>
        <w:t> </w:t>
      </w:r>
      <w:r w:rsidRPr="003A145B">
        <w:rPr>
          <w:rFonts w:ascii="Times New Roman" w:hAnsi="Times New Roman"/>
          <w:bCs/>
          <w:sz w:val="28"/>
          <w:szCs w:val="28"/>
          <w:lang w:eastAsia="ru-RU"/>
        </w:rPr>
        <w:t xml:space="preserve">ниже 110 %, увеличение объёмов производства продуктов питания. </w:t>
      </w:r>
    </w:p>
    <w:p w:rsidR="002D1E45" w:rsidRDefault="002D1E45" w:rsidP="003A145B">
      <w:pPr>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П</w:t>
      </w:r>
      <w:r w:rsidRPr="003A145B">
        <w:rPr>
          <w:rFonts w:ascii="Times New Roman" w:hAnsi="Times New Roman"/>
          <w:sz w:val="28"/>
          <w:szCs w:val="28"/>
          <w:lang w:eastAsia="ru-RU"/>
        </w:rPr>
        <w:t>редлагаемые мероприятия направлены на</w:t>
      </w:r>
      <w:r>
        <w:rPr>
          <w:rFonts w:ascii="Times New Roman" w:hAnsi="Times New Roman"/>
          <w:sz w:val="28"/>
          <w:szCs w:val="28"/>
          <w:lang w:eastAsia="ru-RU"/>
        </w:rPr>
        <w:t> </w:t>
      </w:r>
      <w:r w:rsidRPr="003A145B">
        <w:rPr>
          <w:rFonts w:ascii="Times New Roman" w:hAnsi="Times New Roman"/>
          <w:sz w:val="28"/>
          <w:szCs w:val="28"/>
          <w:lang w:eastAsia="ru-RU"/>
        </w:rPr>
        <w:t>упорядочение территориальной организации отдельных предприятий, расположенных как в</w:t>
      </w:r>
      <w:r>
        <w:rPr>
          <w:rFonts w:ascii="Times New Roman" w:hAnsi="Times New Roman"/>
          <w:sz w:val="28"/>
          <w:szCs w:val="28"/>
          <w:lang w:eastAsia="ru-RU"/>
        </w:rPr>
        <w:t> </w:t>
      </w:r>
      <w:r w:rsidRPr="003A145B">
        <w:rPr>
          <w:rFonts w:ascii="Times New Roman" w:hAnsi="Times New Roman"/>
          <w:sz w:val="28"/>
          <w:szCs w:val="28"/>
          <w:lang w:eastAsia="ru-RU"/>
        </w:rPr>
        <w:t>границах населённых пунктов, так и</w:t>
      </w:r>
      <w:r>
        <w:rPr>
          <w:rFonts w:ascii="Times New Roman" w:hAnsi="Times New Roman"/>
          <w:sz w:val="28"/>
          <w:szCs w:val="28"/>
          <w:lang w:eastAsia="ru-RU"/>
        </w:rPr>
        <w:t> </w:t>
      </w:r>
      <w:r w:rsidRPr="003A145B">
        <w:rPr>
          <w:rFonts w:ascii="Times New Roman" w:hAnsi="Times New Roman"/>
          <w:sz w:val="28"/>
          <w:szCs w:val="28"/>
          <w:lang w:eastAsia="ru-RU"/>
        </w:rPr>
        <w:t>в</w:t>
      </w:r>
      <w:r>
        <w:rPr>
          <w:rFonts w:ascii="Times New Roman" w:hAnsi="Times New Roman"/>
          <w:sz w:val="28"/>
          <w:szCs w:val="28"/>
          <w:lang w:eastAsia="ru-RU"/>
        </w:rPr>
        <w:t> </w:t>
      </w:r>
      <w:r w:rsidRPr="003A145B">
        <w:rPr>
          <w:rFonts w:ascii="Times New Roman" w:hAnsi="Times New Roman"/>
          <w:sz w:val="28"/>
          <w:szCs w:val="28"/>
          <w:lang w:eastAsia="ru-RU"/>
        </w:rPr>
        <w:t>формируемых производственных зонах, на</w:t>
      </w:r>
      <w:r>
        <w:rPr>
          <w:rFonts w:ascii="Times New Roman" w:hAnsi="Times New Roman"/>
          <w:sz w:val="28"/>
          <w:szCs w:val="28"/>
          <w:lang w:eastAsia="ru-RU"/>
        </w:rPr>
        <w:t> </w:t>
      </w:r>
      <w:r w:rsidRPr="003A145B">
        <w:rPr>
          <w:rFonts w:ascii="Times New Roman" w:hAnsi="Times New Roman"/>
          <w:sz w:val="28"/>
          <w:szCs w:val="28"/>
          <w:lang w:eastAsia="ru-RU"/>
        </w:rPr>
        <w:t>повышение эффективности и</w:t>
      </w:r>
      <w:r>
        <w:rPr>
          <w:rFonts w:ascii="Times New Roman" w:hAnsi="Times New Roman"/>
          <w:sz w:val="28"/>
          <w:szCs w:val="28"/>
          <w:lang w:eastAsia="ru-RU"/>
        </w:rPr>
        <w:t> </w:t>
      </w:r>
      <w:r w:rsidRPr="003A145B">
        <w:rPr>
          <w:rFonts w:ascii="Times New Roman" w:hAnsi="Times New Roman"/>
          <w:sz w:val="28"/>
          <w:szCs w:val="28"/>
          <w:lang w:eastAsia="ru-RU"/>
        </w:rPr>
        <w:t>рациональности использования их</w:t>
      </w:r>
      <w:r>
        <w:rPr>
          <w:rFonts w:ascii="Times New Roman" w:hAnsi="Times New Roman"/>
          <w:sz w:val="28"/>
          <w:szCs w:val="28"/>
          <w:lang w:eastAsia="ru-RU"/>
        </w:rPr>
        <w:t> </w:t>
      </w:r>
      <w:r w:rsidRPr="003A145B">
        <w:rPr>
          <w:rFonts w:ascii="Times New Roman" w:hAnsi="Times New Roman"/>
          <w:sz w:val="28"/>
          <w:szCs w:val="28"/>
          <w:lang w:eastAsia="ru-RU"/>
        </w:rPr>
        <w:t>территорий, развитие единой системы производственных комплексов, и</w:t>
      </w:r>
      <w:r>
        <w:rPr>
          <w:rFonts w:ascii="Times New Roman" w:hAnsi="Times New Roman"/>
          <w:sz w:val="28"/>
          <w:szCs w:val="28"/>
          <w:lang w:eastAsia="ru-RU"/>
        </w:rPr>
        <w:t> </w:t>
      </w:r>
      <w:r w:rsidRPr="003A145B">
        <w:rPr>
          <w:rFonts w:ascii="Times New Roman" w:hAnsi="Times New Roman"/>
          <w:sz w:val="28"/>
          <w:szCs w:val="28"/>
          <w:lang w:eastAsia="ru-RU"/>
        </w:rPr>
        <w:t>постепенное формирование, путём кооперации, компактных центров хозяйственной деятельности.</w:t>
      </w:r>
      <w:r w:rsidRPr="00D70F4A">
        <w:rPr>
          <w:rFonts w:ascii="Times New Roman" w:hAnsi="Times New Roman"/>
          <w:sz w:val="28"/>
          <w:szCs w:val="28"/>
          <w:lang w:eastAsia="ru-RU"/>
        </w:rPr>
        <w:t xml:space="preserve"> </w:t>
      </w:r>
    </w:p>
    <w:p w:rsidR="002D1E45" w:rsidRPr="003A7901" w:rsidRDefault="002D1E45" w:rsidP="003A7901">
      <w:pPr>
        <w:spacing w:after="0" w:line="240" w:lineRule="auto"/>
        <w:ind w:firstLine="709"/>
        <w:jc w:val="both"/>
        <w:rPr>
          <w:rFonts w:ascii="Times New Roman" w:hAnsi="Times New Roman"/>
          <w:sz w:val="28"/>
          <w:szCs w:val="28"/>
          <w:lang w:eastAsia="ru-RU"/>
        </w:rPr>
      </w:pPr>
      <w:r w:rsidRPr="003A7901">
        <w:rPr>
          <w:rFonts w:ascii="Times New Roman" w:hAnsi="Times New Roman"/>
          <w:sz w:val="28"/>
          <w:szCs w:val="28"/>
          <w:lang w:eastAsia="ru-RU"/>
        </w:rPr>
        <w:t>Основные проектные предложения:</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упорядочение и</w:t>
      </w:r>
      <w:r>
        <w:rPr>
          <w:rFonts w:ascii="Times New Roman" w:hAnsi="Times New Roman"/>
          <w:sz w:val="28"/>
          <w:szCs w:val="28"/>
        </w:rPr>
        <w:t> </w:t>
      </w:r>
      <w:r w:rsidRPr="003A7901">
        <w:rPr>
          <w:rFonts w:ascii="Times New Roman" w:hAnsi="Times New Roman"/>
          <w:sz w:val="28"/>
          <w:szCs w:val="28"/>
        </w:rPr>
        <w:t>уплотнение производственных территорий;</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придание современной планировочной структуры производственной зоне и</w:t>
      </w:r>
      <w:r>
        <w:rPr>
          <w:rFonts w:ascii="Times New Roman" w:hAnsi="Times New Roman"/>
          <w:sz w:val="28"/>
          <w:szCs w:val="28"/>
        </w:rPr>
        <w:t> </w:t>
      </w:r>
      <w:r w:rsidRPr="003A7901">
        <w:rPr>
          <w:rFonts w:ascii="Times New Roman" w:hAnsi="Times New Roman"/>
          <w:sz w:val="28"/>
          <w:szCs w:val="28"/>
        </w:rPr>
        <w:t>рациональной транспортной организации;</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обеспечение удобного транспортного подъезда ко</w:t>
      </w:r>
      <w:r>
        <w:rPr>
          <w:rFonts w:ascii="Times New Roman" w:hAnsi="Times New Roman"/>
          <w:sz w:val="28"/>
          <w:szCs w:val="28"/>
        </w:rPr>
        <w:t> </w:t>
      </w:r>
      <w:r w:rsidRPr="003A7901">
        <w:rPr>
          <w:rFonts w:ascii="Times New Roman" w:hAnsi="Times New Roman"/>
          <w:sz w:val="28"/>
          <w:szCs w:val="28"/>
        </w:rPr>
        <w:t>всем производственным площадкам;</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установление и</w:t>
      </w:r>
      <w:r>
        <w:rPr>
          <w:rFonts w:ascii="Times New Roman" w:hAnsi="Times New Roman"/>
          <w:sz w:val="28"/>
          <w:szCs w:val="28"/>
        </w:rPr>
        <w:t> </w:t>
      </w:r>
      <w:r w:rsidRPr="003A7901">
        <w:rPr>
          <w:rFonts w:ascii="Times New Roman" w:hAnsi="Times New Roman"/>
          <w:sz w:val="28"/>
          <w:szCs w:val="28"/>
        </w:rPr>
        <w:t>организация санитарно-защитных зон в</w:t>
      </w:r>
      <w:r>
        <w:rPr>
          <w:rFonts w:ascii="Times New Roman" w:hAnsi="Times New Roman"/>
          <w:sz w:val="28"/>
          <w:szCs w:val="28"/>
        </w:rPr>
        <w:t> </w:t>
      </w:r>
      <w:r w:rsidRPr="003A7901">
        <w:rPr>
          <w:rFonts w:ascii="Times New Roman" w:hAnsi="Times New Roman"/>
          <w:sz w:val="28"/>
          <w:szCs w:val="28"/>
        </w:rPr>
        <w:t>соответствии с</w:t>
      </w:r>
      <w:r>
        <w:rPr>
          <w:rFonts w:ascii="Times New Roman" w:hAnsi="Times New Roman"/>
          <w:sz w:val="28"/>
          <w:szCs w:val="28"/>
        </w:rPr>
        <w:t> </w:t>
      </w:r>
      <w:r w:rsidRPr="003A7901">
        <w:rPr>
          <w:rFonts w:ascii="Times New Roman" w:hAnsi="Times New Roman"/>
          <w:sz w:val="28"/>
          <w:szCs w:val="28"/>
        </w:rPr>
        <w:t>СанПиНом 2.2.1/2.1.1.1200-03;</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рекомендуется проведение компенсирующих мероприятий по</w:t>
      </w:r>
      <w:r>
        <w:rPr>
          <w:rFonts w:ascii="Times New Roman" w:hAnsi="Times New Roman"/>
          <w:sz w:val="28"/>
          <w:szCs w:val="28"/>
        </w:rPr>
        <w:t> </w:t>
      </w:r>
      <w:r w:rsidRPr="003A7901">
        <w:rPr>
          <w:rFonts w:ascii="Times New Roman" w:hAnsi="Times New Roman"/>
          <w:sz w:val="28"/>
          <w:szCs w:val="28"/>
        </w:rPr>
        <w:t>соблюдение санитарных и</w:t>
      </w:r>
      <w:r>
        <w:rPr>
          <w:rFonts w:ascii="Times New Roman" w:hAnsi="Times New Roman"/>
          <w:sz w:val="28"/>
          <w:szCs w:val="28"/>
        </w:rPr>
        <w:t> </w:t>
      </w:r>
      <w:r w:rsidRPr="003A7901">
        <w:rPr>
          <w:rFonts w:ascii="Times New Roman" w:hAnsi="Times New Roman"/>
          <w:sz w:val="28"/>
          <w:szCs w:val="28"/>
        </w:rPr>
        <w:t>других норм охраны окружающей среды.</w:t>
      </w:r>
    </w:p>
    <w:p w:rsidR="002D1E45" w:rsidRPr="003A7901" w:rsidRDefault="002D1E45" w:rsidP="003A7901">
      <w:pPr>
        <w:spacing w:after="0" w:line="240" w:lineRule="auto"/>
        <w:ind w:firstLine="709"/>
        <w:jc w:val="both"/>
        <w:rPr>
          <w:rFonts w:ascii="Times New Roman" w:hAnsi="Times New Roman"/>
          <w:sz w:val="28"/>
          <w:szCs w:val="28"/>
          <w:lang w:eastAsia="ru-RU"/>
        </w:rPr>
      </w:pPr>
      <w:r w:rsidRPr="003A7901">
        <w:rPr>
          <w:rFonts w:ascii="Times New Roman" w:hAnsi="Times New Roman"/>
          <w:sz w:val="28"/>
          <w:szCs w:val="28"/>
          <w:lang w:eastAsia="ru-RU"/>
        </w:rPr>
        <w:t xml:space="preserve">Кроме того, необходимо провести инвентаризацию производственных территорий </w:t>
      </w:r>
      <w:r>
        <w:rPr>
          <w:rFonts w:ascii="Times New Roman" w:hAnsi="Times New Roman"/>
          <w:sz w:val="28"/>
          <w:szCs w:val="28"/>
          <w:lang w:eastAsia="ru-RU"/>
        </w:rPr>
        <w:t>населённых пунктов</w:t>
      </w:r>
      <w:r>
        <w:rPr>
          <w:rFonts w:ascii="Times New Roman" w:hAnsi="Times New Roman"/>
          <w:sz w:val="28"/>
          <w:szCs w:val="28"/>
        </w:rPr>
        <w:t xml:space="preserve"> </w:t>
      </w:r>
      <w:r w:rsidRPr="003A7901">
        <w:rPr>
          <w:rFonts w:ascii="Times New Roman" w:hAnsi="Times New Roman"/>
          <w:sz w:val="28"/>
          <w:szCs w:val="28"/>
          <w:lang w:eastAsia="ru-RU"/>
        </w:rPr>
        <w:t>в</w:t>
      </w:r>
      <w:r>
        <w:rPr>
          <w:rFonts w:ascii="Times New Roman" w:hAnsi="Times New Roman"/>
          <w:sz w:val="28"/>
          <w:szCs w:val="28"/>
        </w:rPr>
        <w:t> </w:t>
      </w:r>
      <w:r w:rsidRPr="003A7901">
        <w:rPr>
          <w:rFonts w:ascii="Times New Roman" w:hAnsi="Times New Roman"/>
          <w:sz w:val="28"/>
          <w:szCs w:val="28"/>
          <w:lang w:eastAsia="ru-RU"/>
        </w:rPr>
        <w:t>целях выявления неиспользуемых земельных участков и</w:t>
      </w:r>
      <w:r>
        <w:rPr>
          <w:rFonts w:ascii="Times New Roman" w:hAnsi="Times New Roman"/>
          <w:sz w:val="28"/>
          <w:szCs w:val="28"/>
          <w:lang w:eastAsia="ru-RU"/>
        </w:rPr>
        <w:t> </w:t>
      </w:r>
      <w:r w:rsidRPr="003A7901">
        <w:rPr>
          <w:rFonts w:ascii="Times New Roman" w:hAnsi="Times New Roman"/>
          <w:sz w:val="28"/>
          <w:szCs w:val="28"/>
          <w:lang w:eastAsia="ru-RU"/>
        </w:rPr>
        <w:t>неоформленных в</w:t>
      </w:r>
      <w:r>
        <w:rPr>
          <w:rFonts w:ascii="Times New Roman" w:hAnsi="Times New Roman"/>
          <w:sz w:val="28"/>
          <w:szCs w:val="28"/>
          <w:lang w:eastAsia="ru-RU"/>
        </w:rPr>
        <w:t> </w:t>
      </w:r>
      <w:r w:rsidRPr="003A7901">
        <w:rPr>
          <w:rFonts w:ascii="Times New Roman" w:hAnsi="Times New Roman"/>
          <w:sz w:val="28"/>
          <w:szCs w:val="28"/>
          <w:lang w:eastAsia="ru-RU"/>
        </w:rPr>
        <w:t>аренду и</w:t>
      </w:r>
      <w:r>
        <w:rPr>
          <w:rFonts w:ascii="Times New Roman" w:hAnsi="Times New Roman"/>
          <w:sz w:val="28"/>
          <w:szCs w:val="28"/>
          <w:lang w:eastAsia="ru-RU"/>
        </w:rPr>
        <w:t> </w:t>
      </w:r>
      <w:r w:rsidRPr="003A7901">
        <w:rPr>
          <w:rFonts w:ascii="Times New Roman" w:hAnsi="Times New Roman"/>
          <w:sz w:val="28"/>
          <w:szCs w:val="28"/>
          <w:lang w:eastAsia="ru-RU"/>
        </w:rPr>
        <w:t>собственность территорий. Это позволит выявить дополнительные резервы производственных территорий с</w:t>
      </w:r>
      <w:r>
        <w:rPr>
          <w:rFonts w:ascii="Times New Roman" w:hAnsi="Times New Roman"/>
          <w:sz w:val="28"/>
          <w:szCs w:val="28"/>
          <w:lang w:eastAsia="ru-RU"/>
        </w:rPr>
        <w:t> </w:t>
      </w:r>
      <w:r w:rsidRPr="003A7901">
        <w:rPr>
          <w:rFonts w:ascii="Times New Roman" w:hAnsi="Times New Roman"/>
          <w:sz w:val="28"/>
          <w:szCs w:val="28"/>
          <w:lang w:eastAsia="ru-RU"/>
        </w:rPr>
        <w:t>целью их</w:t>
      </w:r>
      <w:r>
        <w:rPr>
          <w:rFonts w:ascii="Times New Roman" w:hAnsi="Times New Roman"/>
          <w:sz w:val="28"/>
          <w:szCs w:val="28"/>
          <w:lang w:eastAsia="ru-RU"/>
        </w:rPr>
        <w:t> </w:t>
      </w:r>
      <w:r w:rsidRPr="003A7901">
        <w:rPr>
          <w:rFonts w:ascii="Times New Roman" w:hAnsi="Times New Roman"/>
          <w:sz w:val="28"/>
          <w:szCs w:val="28"/>
          <w:lang w:eastAsia="ru-RU"/>
        </w:rPr>
        <w:t xml:space="preserve">фактического использования. </w:t>
      </w:r>
    </w:p>
    <w:p w:rsidR="002D1E45" w:rsidRDefault="002D1E45" w:rsidP="003A7901">
      <w:pPr>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 xml:space="preserve">Администрацией города Куйбышева определены земельные участки для реализации инвестиционных проектов </w:t>
      </w:r>
      <w:r>
        <w:rPr>
          <w:rFonts w:ascii="Times New Roman" w:hAnsi="Times New Roman"/>
          <w:sz w:val="28"/>
          <w:szCs w:val="28"/>
          <w:lang w:val="en-US" w:eastAsia="ru-RU"/>
        </w:rPr>
        <w:t>IV</w:t>
      </w:r>
      <w:r>
        <w:rPr>
          <w:rFonts w:ascii="Times New Roman" w:hAnsi="Times New Roman"/>
          <w:sz w:val="28"/>
          <w:szCs w:val="28"/>
          <w:lang w:eastAsia="ru-RU"/>
        </w:rPr>
        <w:t>-</w:t>
      </w:r>
      <w:r>
        <w:rPr>
          <w:rFonts w:ascii="Times New Roman" w:hAnsi="Times New Roman"/>
          <w:sz w:val="28"/>
          <w:szCs w:val="28"/>
          <w:lang w:val="en-US" w:eastAsia="ru-RU"/>
        </w:rPr>
        <w:t>V</w:t>
      </w:r>
      <w:r w:rsidRPr="00A23506">
        <w:rPr>
          <w:rFonts w:ascii="Times New Roman" w:hAnsi="Times New Roman"/>
          <w:sz w:val="28"/>
          <w:szCs w:val="28"/>
          <w:lang w:eastAsia="ru-RU"/>
        </w:rPr>
        <w:t xml:space="preserve"> </w:t>
      </w:r>
      <w:r>
        <w:rPr>
          <w:rFonts w:ascii="Times New Roman" w:hAnsi="Times New Roman"/>
          <w:sz w:val="28"/>
          <w:szCs w:val="28"/>
          <w:lang w:eastAsia="ru-RU"/>
        </w:rPr>
        <w:t xml:space="preserve">классов опасности </w:t>
      </w:r>
      <w:r w:rsidRPr="00A23506">
        <w:rPr>
          <w:rFonts w:ascii="Times New Roman" w:hAnsi="Times New Roman"/>
          <w:sz w:val="28"/>
          <w:szCs w:val="28"/>
          <w:lang w:eastAsia="ru-RU"/>
        </w:rPr>
        <w:t>(</w:t>
      </w:r>
      <w:r>
        <w:rPr>
          <w:rFonts w:ascii="Times New Roman" w:hAnsi="Times New Roman"/>
          <w:sz w:val="28"/>
          <w:szCs w:val="28"/>
          <w:lang w:eastAsia="ru-RU"/>
        </w:rPr>
        <w:t>СЗЗ</w:t>
      </w:r>
      <w:r w:rsidRPr="00A23506">
        <w:rPr>
          <w:rFonts w:ascii="Times New Roman" w:hAnsi="Times New Roman"/>
          <w:sz w:val="28"/>
          <w:szCs w:val="28"/>
          <w:lang w:eastAsia="ru-RU"/>
        </w:rPr>
        <w:t xml:space="preserve"> 50-100 </w:t>
      </w:r>
      <w:r>
        <w:rPr>
          <w:rFonts w:ascii="Times New Roman" w:hAnsi="Times New Roman"/>
          <w:sz w:val="28"/>
          <w:szCs w:val="28"/>
          <w:lang w:eastAsia="ru-RU"/>
        </w:rPr>
        <w:t>м</w:t>
      </w:r>
      <w:r w:rsidRPr="00A23506">
        <w:rPr>
          <w:rFonts w:ascii="Times New Roman" w:hAnsi="Times New Roman"/>
          <w:sz w:val="28"/>
          <w:szCs w:val="28"/>
          <w:lang w:eastAsia="ru-RU"/>
        </w:rPr>
        <w:t>)</w:t>
      </w:r>
      <w:r>
        <w:rPr>
          <w:rFonts w:ascii="Times New Roman" w:hAnsi="Times New Roman"/>
          <w:sz w:val="28"/>
          <w:szCs w:val="28"/>
          <w:lang w:eastAsia="ru-RU"/>
        </w:rPr>
        <w:t>, а также жилого строительства и строительства спортивных объектов:</w:t>
      </w:r>
    </w:p>
    <w:p w:rsidR="002D1E45" w:rsidRDefault="002D1E45" w:rsidP="00852938">
      <w:pPr>
        <w:pStyle w:val="ListParagraph"/>
        <w:numPr>
          <w:ilvl w:val="0"/>
          <w:numId w:val="99"/>
        </w:numPr>
        <w:spacing w:after="0" w:line="240" w:lineRule="auto"/>
        <w:ind w:left="1276"/>
        <w:jc w:val="both"/>
        <w:rPr>
          <w:rFonts w:ascii="Times New Roman" w:hAnsi="Times New Roman"/>
          <w:sz w:val="28"/>
          <w:szCs w:val="28"/>
          <w:lang w:eastAsia="ru-RU"/>
        </w:rPr>
      </w:pPr>
      <w:r>
        <w:rPr>
          <w:rFonts w:ascii="Times New Roman" w:hAnsi="Times New Roman"/>
          <w:sz w:val="28"/>
          <w:szCs w:val="28"/>
          <w:lang w:eastAsia="ru-RU"/>
        </w:rPr>
        <w:t xml:space="preserve">Участок площадью </w:t>
      </w:r>
      <w:r w:rsidRPr="005C435E">
        <w:rPr>
          <w:rFonts w:ascii="Times New Roman" w:hAnsi="Times New Roman"/>
          <w:sz w:val="28"/>
          <w:szCs w:val="28"/>
          <w:lang w:eastAsia="ru-RU"/>
        </w:rPr>
        <w:t>10,41 га</w:t>
      </w:r>
      <w:r>
        <w:rPr>
          <w:rFonts w:ascii="Times New Roman" w:hAnsi="Times New Roman"/>
          <w:sz w:val="28"/>
          <w:szCs w:val="28"/>
          <w:lang w:eastAsia="ru-RU"/>
        </w:rPr>
        <w:t xml:space="preserve">, ЗУ № </w:t>
      </w:r>
      <w:r w:rsidRPr="005C435E">
        <w:rPr>
          <w:rFonts w:ascii="Times New Roman" w:hAnsi="Times New Roman"/>
          <w:sz w:val="28"/>
          <w:szCs w:val="28"/>
          <w:lang w:eastAsia="ru-RU"/>
        </w:rPr>
        <w:t>54:34:010623:0011</w:t>
      </w:r>
      <w:r>
        <w:rPr>
          <w:rFonts w:ascii="Times New Roman" w:hAnsi="Times New Roman"/>
          <w:sz w:val="28"/>
          <w:szCs w:val="28"/>
          <w:lang w:eastAsia="ru-RU"/>
        </w:rPr>
        <w:t>, земли населённых пунктов.</w:t>
      </w:r>
    </w:p>
    <w:p w:rsidR="002D1E45" w:rsidRPr="005C435E" w:rsidRDefault="002D1E45" w:rsidP="00852938">
      <w:pPr>
        <w:pStyle w:val="ListParagraph"/>
        <w:numPr>
          <w:ilvl w:val="0"/>
          <w:numId w:val="99"/>
        </w:numPr>
        <w:spacing w:after="0" w:line="240" w:lineRule="auto"/>
        <w:ind w:left="1276"/>
        <w:jc w:val="both"/>
        <w:rPr>
          <w:rFonts w:ascii="Times New Roman" w:hAnsi="Times New Roman"/>
          <w:sz w:val="28"/>
          <w:szCs w:val="28"/>
          <w:lang w:eastAsia="ru-RU"/>
        </w:rPr>
      </w:pPr>
      <w:r w:rsidRPr="005C435E">
        <w:rPr>
          <w:rFonts w:ascii="Times New Roman" w:hAnsi="Times New Roman"/>
          <w:sz w:val="28"/>
          <w:szCs w:val="28"/>
          <w:lang w:eastAsia="ru-RU"/>
        </w:rPr>
        <w:t>Участок площадью 3,2 га, ЗУ № 54:34:010702:488, земли населённых пунктов.</w:t>
      </w:r>
    </w:p>
    <w:p w:rsidR="002D1E45" w:rsidRDefault="002D1E45" w:rsidP="00852938">
      <w:pPr>
        <w:pStyle w:val="ListParagraph"/>
        <w:numPr>
          <w:ilvl w:val="0"/>
          <w:numId w:val="99"/>
        </w:numPr>
        <w:spacing w:after="0" w:line="240" w:lineRule="auto"/>
        <w:ind w:left="1276"/>
        <w:jc w:val="both"/>
        <w:rPr>
          <w:rFonts w:ascii="Times New Roman" w:hAnsi="Times New Roman"/>
          <w:sz w:val="28"/>
          <w:szCs w:val="28"/>
          <w:lang w:eastAsia="ru-RU"/>
        </w:rPr>
      </w:pPr>
      <w:r w:rsidRPr="005C435E">
        <w:rPr>
          <w:rFonts w:ascii="Times New Roman" w:hAnsi="Times New Roman"/>
          <w:sz w:val="28"/>
          <w:szCs w:val="28"/>
          <w:lang w:eastAsia="ru-RU"/>
        </w:rPr>
        <w:t xml:space="preserve">Участок площадью </w:t>
      </w:r>
      <w:r>
        <w:rPr>
          <w:rFonts w:ascii="Times New Roman" w:hAnsi="Times New Roman"/>
          <w:sz w:val="28"/>
          <w:szCs w:val="28"/>
          <w:lang w:eastAsia="ru-RU"/>
        </w:rPr>
        <w:t>0,8 га</w:t>
      </w:r>
      <w:r w:rsidRPr="005C435E">
        <w:rPr>
          <w:rFonts w:ascii="Times New Roman" w:hAnsi="Times New Roman"/>
          <w:sz w:val="28"/>
          <w:szCs w:val="28"/>
          <w:lang w:eastAsia="ru-RU"/>
        </w:rPr>
        <w:t>, ЗУ № 54:34:010702:515, земли населённых пунктов.</w:t>
      </w:r>
    </w:p>
    <w:p w:rsidR="002D1E45" w:rsidRDefault="002D1E45" w:rsidP="00852938">
      <w:pPr>
        <w:pStyle w:val="ListParagraph"/>
        <w:numPr>
          <w:ilvl w:val="0"/>
          <w:numId w:val="99"/>
        </w:numPr>
        <w:spacing w:after="0" w:line="240" w:lineRule="auto"/>
        <w:ind w:left="1276"/>
        <w:jc w:val="both"/>
        <w:rPr>
          <w:rFonts w:ascii="Times New Roman" w:hAnsi="Times New Roman"/>
          <w:sz w:val="28"/>
          <w:szCs w:val="28"/>
          <w:lang w:eastAsia="ru-RU"/>
        </w:rPr>
      </w:pPr>
      <w:r w:rsidRPr="005C435E">
        <w:rPr>
          <w:rFonts w:ascii="Times New Roman" w:hAnsi="Times New Roman"/>
          <w:sz w:val="28"/>
          <w:szCs w:val="28"/>
          <w:lang w:eastAsia="ru-RU"/>
        </w:rPr>
        <w:t xml:space="preserve">Участок площадью </w:t>
      </w:r>
      <w:r w:rsidRPr="00BB4C96">
        <w:rPr>
          <w:rFonts w:ascii="Times New Roman" w:hAnsi="Times New Roman"/>
          <w:sz w:val="28"/>
          <w:szCs w:val="28"/>
          <w:lang w:eastAsia="ru-RU"/>
        </w:rPr>
        <w:t>1</w:t>
      </w:r>
      <w:r>
        <w:rPr>
          <w:rFonts w:ascii="Times New Roman" w:hAnsi="Times New Roman"/>
          <w:sz w:val="28"/>
          <w:szCs w:val="28"/>
          <w:lang w:eastAsia="ru-RU"/>
        </w:rPr>
        <w:t>,</w:t>
      </w:r>
      <w:r w:rsidRPr="00BB4C96">
        <w:rPr>
          <w:rFonts w:ascii="Times New Roman" w:hAnsi="Times New Roman"/>
          <w:sz w:val="28"/>
          <w:szCs w:val="28"/>
          <w:lang w:eastAsia="ru-RU"/>
        </w:rPr>
        <w:t>2</w:t>
      </w:r>
      <w:r>
        <w:rPr>
          <w:rFonts w:ascii="Times New Roman" w:hAnsi="Times New Roman"/>
          <w:sz w:val="28"/>
          <w:szCs w:val="28"/>
          <w:lang w:eastAsia="ru-RU"/>
        </w:rPr>
        <w:t>8 га</w:t>
      </w:r>
      <w:r w:rsidRPr="005C435E">
        <w:rPr>
          <w:rFonts w:ascii="Times New Roman" w:hAnsi="Times New Roman"/>
          <w:sz w:val="28"/>
          <w:szCs w:val="28"/>
          <w:lang w:eastAsia="ru-RU"/>
        </w:rPr>
        <w:t xml:space="preserve">, ЗУ № </w:t>
      </w:r>
      <w:r w:rsidRPr="00BB4C96">
        <w:rPr>
          <w:rFonts w:ascii="Times New Roman" w:hAnsi="Times New Roman"/>
          <w:sz w:val="28"/>
          <w:szCs w:val="28"/>
          <w:lang w:eastAsia="ru-RU"/>
        </w:rPr>
        <w:t>54:34:000000:1464</w:t>
      </w:r>
      <w:r w:rsidRPr="005C435E">
        <w:rPr>
          <w:rFonts w:ascii="Times New Roman" w:hAnsi="Times New Roman"/>
          <w:sz w:val="28"/>
          <w:szCs w:val="28"/>
          <w:lang w:eastAsia="ru-RU"/>
        </w:rPr>
        <w:t>, земли населённых пунктов.</w:t>
      </w:r>
    </w:p>
    <w:p w:rsidR="002D1E45" w:rsidRDefault="002D1E45" w:rsidP="00852938">
      <w:pPr>
        <w:pStyle w:val="ListParagraph"/>
        <w:numPr>
          <w:ilvl w:val="0"/>
          <w:numId w:val="99"/>
        </w:numPr>
        <w:spacing w:after="0" w:line="240" w:lineRule="auto"/>
        <w:ind w:left="1276"/>
        <w:jc w:val="both"/>
        <w:rPr>
          <w:rFonts w:ascii="Times New Roman" w:hAnsi="Times New Roman"/>
          <w:sz w:val="28"/>
          <w:szCs w:val="28"/>
          <w:lang w:eastAsia="ru-RU"/>
        </w:rPr>
      </w:pPr>
      <w:r w:rsidRPr="005C435E">
        <w:rPr>
          <w:rFonts w:ascii="Times New Roman" w:hAnsi="Times New Roman"/>
          <w:sz w:val="28"/>
          <w:szCs w:val="28"/>
          <w:lang w:eastAsia="ru-RU"/>
        </w:rPr>
        <w:t xml:space="preserve">Участок площадью </w:t>
      </w:r>
      <w:r>
        <w:rPr>
          <w:rFonts w:ascii="Times New Roman" w:hAnsi="Times New Roman"/>
          <w:sz w:val="28"/>
          <w:szCs w:val="28"/>
          <w:lang w:eastAsia="ru-RU"/>
        </w:rPr>
        <w:t>0,</w:t>
      </w:r>
      <w:r w:rsidRPr="0041287E">
        <w:rPr>
          <w:rFonts w:ascii="Times New Roman" w:hAnsi="Times New Roman"/>
          <w:sz w:val="28"/>
          <w:szCs w:val="28"/>
          <w:lang w:eastAsia="ru-RU"/>
        </w:rPr>
        <w:t>15</w:t>
      </w:r>
      <w:r>
        <w:rPr>
          <w:rFonts w:ascii="Times New Roman" w:hAnsi="Times New Roman"/>
          <w:sz w:val="28"/>
          <w:szCs w:val="28"/>
          <w:lang w:eastAsia="ru-RU"/>
        </w:rPr>
        <w:t xml:space="preserve"> га</w:t>
      </w:r>
      <w:r w:rsidRPr="005C435E">
        <w:rPr>
          <w:rFonts w:ascii="Times New Roman" w:hAnsi="Times New Roman"/>
          <w:sz w:val="28"/>
          <w:szCs w:val="28"/>
          <w:lang w:eastAsia="ru-RU"/>
        </w:rPr>
        <w:t xml:space="preserve">, ЗУ № </w:t>
      </w:r>
      <w:r w:rsidRPr="0041287E">
        <w:rPr>
          <w:rFonts w:ascii="Times New Roman" w:hAnsi="Times New Roman"/>
          <w:sz w:val="28"/>
          <w:szCs w:val="28"/>
          <w:lang w:eastAsia="ru-RU"/>
        </w:rPr>
        <w:t>54:34:012409:156</w:t>
      </w:r>
      <w:r w:rsidRPr="005C435E">
        <w:rPr>
          <w:rFonts w:ascii="Times New Roman" w:hAnsi="Times New Roman"/>
          <w:sz w:val="28"/>
          <w:szCs w:val="28"/>
          <w:lang w:eastAsia="ru-RU"/>
        </w:rPr>
        <w:t>, земли населённых пунктов.</w:t>
      </w:r>
    </w:p>
    <w:p w:rsidR="002D1E45" w:rsidRDefault="002D1E45" w:rsidP="00852938">
      <w:pPr>
        <w:pStyle w:val="ListParagraph"/>
        <w:numPr>
          <w:ilvl w:val="0"/>
          <w:numId w:val="99"/>
        </w:numPr>
        <w:spacing w:after="0" w:line="240" w:lineRule="auto"/>
        <w:ind w:left="1276"/>
        <w:jc w:val="both"/>
        <w:rPr>
          <w:rFonts w:ascii="Times New Roman" w:hAnsi="Times New Roman"/>
          <w:sz w:val="28"/>
          <w:szCs w:val="28"/>
          <w:lang w:eastAsia="ru-RU"/>
        </w:rPr>
      </w:pPr>
      <w:r w:rsidRPr="005C435E">
        <w:rPr>
          <w:rFonts w:ascii="Times New Roman" w:hAnsi="Times New Roman"/>
          <w:sz w:val="28"/>
          <w:szCs w:val="28"/>
          <w:lang w:eastAsia="ru-RU"/>
        </w:rPr>
        <w:t xml:space="preserve">Участок площадью </w:t>
      </w:r>
      <w:r w:rsidRPr="00A15168">
        <w:rPr>
          <w:rFonts w:ascii="Times New Roman" w:hAnsi="Times New Roman"/>
          <w:sz w:val="28"/>
          <w:szCs w:val="28"/>
          <w:lang w:eastAsia="ru-RU"/>
        </w:rPr>
        <w:t>21,7</w:t>
      </w:r>
      <w:r>
        <w:rPr>
          <w:rFonts w:ascii="Times New Roman" w:hAnsi="Times New Roman"/>
          <w:sz w:val="28"/>
          <w:szCs w:val="28"/>
          <w:lang w:eastAsia="ru-RU"/>
        </w:rPr>
        <w:t xml:space="preserve"> га</w:t>
      </w:r>
      <w:r w:rsidRPr="005C435E">
        <w:rPr>
          <w:rFonts w:ascii="Times New Roman" w:hAnsi="Times New Roman"/>
          <w:sz w:val="28"/>
          <w:szCs w:val="28"/>
          <w:lang w:eastAsia="ru-RU"/>
        </w:rPr>
        <w:t xml:space="preserve">, ЗУ № </w:t>
      </w:r>
      <w:r w:rsidRPr="00A15168">
        <w:rPr>
          <w:rFonts w:ascii="Times New Roman" w:hAnsi="Times New Roman"/>
          <w:sz w:val="28"/>
          <w:szCs w:val="28"/>
          <w:lang w:eastAsia="ru-RU"/>
        </w:rPr>
        <w:t>54:34:000000:1463</w:t>
      </w:r>
      <w:r w:rsidRPr="005C435E">
        <w:rPr>
          <w:rFonts w:ascii="Times New Roman" w:hAnsi="Times New Roman"/>
          <w:sz w:val="28"/>
          <w:szCs w:val="28"/>
          <w:lang w:eastAsia="ru-RU"/>
        </w:rPr>
        <w:t>, земли населённых пунктов.</w:t>
      </w:r>
    </w:p>
    <w:p w:rsidR="002D1E45" w:rsidRPr="003A7901" w:rsidRDefault="002D1E45" w:rsidP="003A7901">
      <w:pPr>
        <w:spacing w:after="0" w:line="240" w:lineRule="auto"/>
        <w:ind w:firstLine="709"/>
        <w:jc w:val="both"/>
        <w:rPr>
          <w:rFonts w:ascii="Times New Roman" w:hAnsi="Times New Roman"/>
          <w:sz w:val="28"/>
          <w:szCs w:val="28"/>
          <w:lang w:eastAsia="ru-RU"/>
        </w:rPr>
      </w:pPr>
      <w:r w:rsidRPr="003A7901">
        <w:rPr>
          <w:rFonts w:ascii="Times New Roman" w:hAnsi="Times New Roman"/>
          <w:sz w:val="28"/>
          <w:szCs w:val="28"/>
          <w:lang w:eastAsia="ru-RU"/>
        </w:rPr>
        <w:t>На следующих стадиях проектирования предусмотреть упорядочивание и</w:t>
      </w:r>
      <w:r>
        <w:rPr>
          <w:rFonts w:ascii="Times New Roman" w:hAnsi="Times New Roman"/>
          <w:sz w:val="28"/>
          <w:szCs w:val="28"/>
          <w:lang w:eastAsia="ru-RU"/>
        </w:rPr>
        <w:t> </w:t>
      </w:r>
      <w:r w:rsidRPr="003A7901">
        <w:rPr>
          <w:rFonts w:ascii="Times New Roman" w:hAnsi="Times New Roman"/>
          <w:sz w:val="28"/>
          <w:szCs w:val="28"/>
          <w:lang w:eastAsia="ru-RU"/>
        </w:rPr>
        <w:t>благоустройство производственных зон.</w:t>
      </w:r>
    </w:p>
    <w:p w:rsidR="002D1E45" w:rsidRPr="003A7901" w:rsidRDefault="002D1E45" w:rsidP="003A7901">
      <w:pPr>
        <w:spacing w:after="0" w:line="240" w:lineRule="auto"/>
        <w:ind w:firstLine="709"/>
        <w:jc w:val="both"/>
        <w:rPr>
          <w:rFonts w:ascii="Times New Roman" w:hAnsi="Times New Roman"/>
          <w:sz w:val="28"/>
          <w:szCs w:val="28"/>
          <w:lang w:eastAsia="ru-RU"/>
        </w:rPr>
      </w:pPr>
      <w:r w:rsidRPr="003A7901">
        <w:rPr>
          <w:rFonts w:ascii="Times New Roman" w:hAnsi="Times New Roman"/>
          <w:sz w:val="28"/>
          <w:szCs w:val="28"/>
          <w:lang w:eastAsia="ru-RU"/>
        </w:rPr>
        <w:t xml:space="preserve">Необходимо выполнять озеленение санитарно-защитных зон промышленных предприятий. Согласно СП </w:t>
      </w:r>
      <w:r>
        <w:rPr>
          <w:rFonts w:ascii="Times New Roman" w:hAnsi="Times New Roman"/>
          <w:sz w:val="28"/>
          <w:szCs w:val="28"/>
          <w:lang w:eastAsia="ru-RU"/>
        </w:rPr>
        <w:t>42.13330.2016</w:t>
      </w:r>
      <w:r w:rsidRPr="003A7901">
        <w:rPr>
          <w:rFonts w:ascii="Times New Roman" w:hAnsi="Times New Roman"/>
          <w:sz w:val="28"/>
          <w:szCs w:val="28"/>
          <w:lang w:eastAsia="ru-RU"/>
        </w:rPr>
        <w:t xml:space="preserve"> «Градостроительство. Планировка и</w:t>
      </w:r>
      <w:r>
        <w:rPr>
          <w:rFonts w:ascii="Times New Roman" w:hAnsi="Times New Roman"/>
          <w:sz w:val="28"/>
          <w:szCs w:val="28"/>
          <w:lang w:eastAsia="ru-RU"/>
        </w:rPr>
        <w:t> </w:t>
      </w:r>
      <w:r w:rsidRPr="003A7901">
        <w:rPr>
          <w:rFonts w:ascii="Times New Roman" w:hAnsi="Times New Roman"/>
          <w:sz w:val="28"/>
          <w:szCs w:val="28"/>
          <w:lang w:eastAsia="ru-RU"/>
        </w:rPr>
        <w:t>застройка городских и</w:t>
      </w:r>
      <w:r>
        <w:rPr>
          <w:rFonts w:ascii="Times New Roman" w:hAnsi="Times New Roman"/>
          <w:sz w:val="28"/>
          <w:szCs w:val="28"/>
          <w:lang w:eastAsia="ru-RU"/>
        </w:rPr>
        <w:t> </w:t>
      </w:r>
      <w:r w:rsidRPr="003A7901">
        <w:rPr>
          <w:rFonts w:ascii="Times New Roman" w:hAnsi="Times New Roman"/>
          <w:sz w:val="28"/>
          <w:szCs w:val="28"/>
          <w:lang w:eastAsia="ru-RU"/>
        </w:rPr>
        <w:t>сельских поселений. Актуализированная редакция СНиП 2.07.01-89*» минимальную площадь озеленения санитарно-защитных зон следует принимать в</w:t>
      </w:r>
      <w:r>
        <w:rPr>
          <w:rFonts w:ascii="Times New Roman" w:hAnsi="Times New Roman"/>
          <w:sz w:val="28"/>
          <w:szCs w:val="28"/>
          <w:lang w:eastAsia="ru-RU"/>
        </w:rPr>
        <w:t> </w:t>
      </w:r>
      <w:r w:rsidRPr="003A7901">
        <w:rPr>
          <w:rFonts w:ascii="Times New Roman" w:hAnsi="Times New Roman"/>
          <w:sz w:val="28"/>
          <w:szCs w:val="28"/>
          <w:lang w:eastAsia="ru-RU"/>
        </w:rPr>
        <w:t>зависимости от</w:t>
      </w:r>
      <w:r>
        <w:rPr>
          <w:rFonts w:ascii="Times New Roman" w:hAnsi="Times New Roman"/>
          <w:sz w:val="28"/>
          <w:szCs w:val="28"/>
          <w:lang w:eastAsia="ru-RU"/>
        </w:rPr>
        <w:t> </w:t>
      </w:r>
      <w:r w:rsidRPr="003A7901">
        <w:rPr>
          <w:rFonts w:ascii="Times New Roman" w:hAnsi="Times New Roman"/>
          <w:sz w:val="28"/>
          <w:szCs w:val="28"/>
          <w:lang w:eastAsia="ru-RU"/>
        </w:rPr>
        <w:t>ширины СЗЗ:</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 xml:space="preserve">до 300 м – 60 %; </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свыше 300 м</w:t>
      </w:r>
      <w:r>
        <w:rPr>
          <w:rFonts w:ascii="Times New Roman" w:hAnsi="Times New Roman"/>
          <w:sz w:val="28"/>
          <w:szCs w:val="28"/>
        </w:rPr>
        <w:t> </w:t>
      </w:r>
      <w:r w:rsidRPr="003A7901">
        <w:rPr>
          <w:rFonts w:ascii="Times New Roman" w:hAnsi="Times New Roman"/>
          <w:sz w:val="28"/>
          <w:szCs w:val="28"/>
        </w:rPr>
        <w:t>до 1000 м – 50 %.</w:t>
      </w:r>
    </w:p>
    <w:p w:rsidR="002D1E45" w:rsidRDefault="002D1E45" w:rsidP="003A7901">
      <w:pPr>
        <w:spacing w:after="0" w:line="240" w:lineRule="auto"/>
        <w:ind w:firstLine="709"/>
        <w:jc w:val="both"/>
        <w:rPr>
          <w:rFonts w:ascii="Times New Roman" w:hAnsi="Times New Roman"/>
          <w:sz w:val="28"/>
          <w:szCs w:val="28"/>
          <w:lang w:eastAsia="ru-RU"/>
        </w:rPr>
      </w:pPr>
      <w:r w:rsidRPr="003A7901">
        <w:rPr>
          <w:rFonts w:ascii="Times New Roman" w:hAnsi="Times New Roman"/>
          <w:sz w:val="28"/>
          <w:szCs w:val="28"/>
          <w:lang w:eastAsia="ru-RU"/>
        </w:rPr>
        <w:t>Проектом предлагается создать озеленение лесопосадками защитного и</w:t>
      </w:r>
      <w:r>
        <w:rPr>
          <w:rFonts w:ascii="Times New Roman" w:hAnsi="Times New Roman"/>
          <w:sz w:val="28"/>
          <w:szCs w:val="28"/>
          <w:lang w:eastAsia="ru-RU"/>
        </w:rPr>
        <w:t> </w:t>
      </w:r>
      <w:r w:rsidRPr="003A7901">
        <w:rPr>
          <w:rFonts w:ascii="Times New Roman" w:hAnsi="Times New Roman"/>
          <w:sz w:val="28"/>
          <w:szCs w:val="28"/>
          <w:lang w:eastAsia="ru-RU"/>
        </w:rPr>
        <w:t>фильтрующего типа в</w:t>
      </w:r>
      <w:r>
        <w:rPr>
          <w:rFonts w:ascii="Times New Roman" w:hAnsi="Times New Roman"/>
          <w:sz w:val="28"/>
          <w:szCs w:val="28"/>
          <w:lang w:eastAsia="ru-RU"/>
        </w:rPr>
        <w:t> </w:t>
      </w:r>
      <w:r w:rsidRPr="003A7901">
        <w:rPr>
          <w:rFonts w:ascii="Times New Roman" w:hAnsi="Times New Roman"/>
          <w:sz w:val="28"/>
          <w:szCs w:val="28"/>
          <w:lang w:eastAsia="ru-RU"/>
        </w:rPr>
        <w:t>санитарно-защитной зоне от</w:t>
      </w:r>
      <w:r>
        <w:rPr>
          <w:rFonts w:ascii="Times New Roman" w:hAnsi="Times New Roman"/>
          <w:sz w:val="28"/>
          <w:szCs w:val="28"/>
          <w:lang w:eastAsia="ru-RU"/>
        </w:rPr>
        <w:t> </w:t>
      </w:r>
      <w:r w:rsidRPr="003A7901">
        <w:rPr>
          <w:rFonts w:ascii="Times New Roman" w:hAnsi="Times New Roman"/>
          <w:sz w:val="28"/>
          <w:szCs w:val="28"/>
          <w:lang w:eastAsia="ru-RU"/>
        </w:rPr>
        <w:t>промышленных предприятий.</w:t>
      </w:r>
    </w:p>
    <w:p w:rsidR="002D1E45" w:rsidRDefault="002D1E45" w:rsidP="003A7901">
      <w:pPr>
        <w:spacing w:after="0" w:line="240" w:lineRule="auto"/>
        <w:ind w:firstLine="709"/>
        <w:jc w:val="both"/>
        <w:rPr>
          <w:rFonts w:ascii="Times New Roman" w:hAnsi="Times New Roman"/>
          <w:sz w:val="28"/>
          <w:szCs w:val="28"/>
          <w:lang w:eastAsia="ru-RU"/>
        </w:rPr>
      </w:pPr>
    </w:p>
    <w:p w:rsidR="002D1E45" w:rsidRPr="003A7FFD" w:rsidRDefault="002D1E45" w:rsidP="00852938">
      <w:pPr>
        <w:pStyle w:val="Heading2"/>
        <w:numPr>
          <w:ilvl w:val="1"/>
          <w:numId w:val="65"/>
        </w:numPr>
        <w:spacing w:before="240"/>
        <w:ind w:left="993" w:hanging="633"/>
        <w:jc w:val="both"/>
        <w:rPr>
          <w:b/>
        </w:rPr>
      </w:pPr>
      <w:bookmarkStart w:id="284" w:name="_Toc468971951"/>
      <w:bookmarkStart w:id="285" w:name="_Toc475037117"/>
      <w:bookmarkStart w:id="286" w:name="_Toc84936059"/>
      <w:r w:rsidRPr="003A7FFD">
        <w:rPr>
          <w:b/>
        </w:rPr>
        <w:t>Развитие транспортной инфраструктуры</w:t>
      </w:r>
      <w:bookmarkEnd w:id="284"/>
      <w:bookmarkEnd w:id="285"/>
      <w:bookmarkEnd w:id="286"/>
    </w:p>
    <w:p w:rsidR="002D1E45" w:rsidRPr="003A7901" w:rsidRDefault="002D1E45" w:rsidP="003A7901">
      <w:pPr>
        <w:spacing w:after="0" w:line="240" w:lineRule="auto"/>
        <w:rPr>
          <w:rFonts w:ascii="Times New Roman" w:hAnsi="Times New Roman"/>
          <w:sz w:val="16"/>
          <w:szCs w:val="16"/>
          <w:lang w:eastAsia="ru-RU"/>
        </w:rPr>
      </w:pPr>
    </w:p>
    <w:p w:rsidR="002D1E45" w:rsidRDefault="002D1E45" w:rsidP="003A7901">
      <w:pPr>
        <w:spacing w:after="0" w:line="240" w:lineRule="auto"/>
        <w:rPr>
          <w:rFonts w:ascii="Times New Roman" w:hAnsi="Times New Roman"/>
          <w:sz w:val="16"/>
          <w:szCs w:val="16"/>
          <w:lang w:eastAsia="ru-RU"/>
        </w:rPr>
      </w:pPr>
    </w:p>
    <w:p w:rsidR="002D1E45" w:rsidRDefault="002D1E45" w:rsidP="001B177A">
      <w:pPr>
        <w:spacing w:after="0" w:line="240" w:lineRule="auto"/>
        <w:ind w:firstLine="709"/>
        <w:jc w:val="both"/>
        <w:rPr>
          <w:rFonts w:ascii="Times New Roman" w:hAnsi="Times New Roman"/>
          <w:sz w:val="28"/>
          <w:szCs w:val="28"/>
          <w:lang w:eastAsia="ru-RU"/>
        </w:rPr>
      </w:pPr>
      <w:r w:rsidRPr="00940009">
        <w:rPr>
          <w:rFonts w:ascii="Times New Roman" w:hAnsi="Times New Roman"/>
          <w:sz w:val="28"/>
          <w:szCs w:val="28"/>
          <w:lang w:eastAsia="ru-RU"/>
        </w:rPr>
        <w:t>Схем</w:t>
      </w:r>
      <w:r>
        <w:rPr>
          <w:rFonts w:ascii="Times New Roman" w:hAnsi="Times New Roman"/>
          <w:sz w:val="28"/>
          <w:szCs w:val="28"/>
          <w:lang w:eastAsia="ru-RU"/>
        </w:rPr>
        <w:t>а</w:t>
      </w:r>
      <w:r w:rsidRPr="00940009">
        <w:rPr>
          <w:rFonts w:ascii="Times New Roman" w:hAnsi="Times New Roman"/>
          <w:sz w:val="28"/>
          <w:szCs w:val="28"/>
          <w:lang w:eastAsia="ru-RU"/>
        </w:rPr>
        <w:t xml:space="preserve"> территориального планирования Российской Федерации в</w:t>
      </w:r>
      <w:r>
        <w:rPr>
          <w:rFonts w:ascii="Times New Roman" w:hAnsi="Times New Roman"/>
          <w:sz w:val="28"/>
          <w:szCs w:val="28"/>
          <w:lang w:eastAsia="ru-RU"/>
        </w:rPr>
        <w:t> </w:t>
      </w:r>
      <w:r w:rsidRPr="00940009">
        <w:rPr>
          <w:rFonts w:ascii="Times New Roman" w:hAnsi="Times New Roman"/>
          <w:sz w:val="28"/>
          <w:szCs w:val="28"/>
          <w:lang w:eastAsia="ru-RU"/>
        </w:rPr>
        <w:t xml:space="preserve">области федерального транспорта </w:t>
      </w:r>
      <w:r>
        <w:rPr>
          <w:rFonts w:ascii="Times New Roman" w:hAnsi="Times New Roman"/>
          <w:sz w:val="28"/>
          <w:szCs w:val="28"/>
          <w:lang w:eastAsia="ru-RU"/>
        </w:rPr>
        <w:t>не </w:t>
      </w:r>
      <w:r w:rsidRPr="00940009">
        <w:rPr>
          <w:rFonts w:ascii="Times New Roman" w:hAnsi="Times New Roman"/>
          <w:sz w:val="28"/>
          <w:szCs w:val="28"/>
          <w:lang w:eastAsia="ru-RU"/>
        </w:rPr>
        <w:t>предусмотрены мероприятиями по</w:t>
      </w:r>
      <w:r>
        <w:rPr>
          <w:rFonts w:ascii="Times New Roman" w:hAnsi="Times New Roman"/>
          <w:sz w:val="28"/>
          <w:szCs w:val="28"/>
          <w:lang w:eastAsia="ru-RU"/>
        </w:rPr>
        <w:t> </w:t>
      </w:r>
      <w:r w:rsidRPr="00940009">
        <w:rPr>
          <w:rFonts w:ascii="Times New Roman" w:hAnsi="Times New Roman"/>
          <w:sz w:val="28"/>
          <w:szCs w:val="28"/>
          <w:lang w:eastAsia="ru-RU"/>
        </w:rPr>
        <w:t>развитию сети автомобильных дорог</w:t>
      </w:r>
      <w:r>
        <w:rPr>
          <w:rFonts w:ascii="Times New Roman" w:hAnsi="Times New Roman"/>
          <w:sz w:val="28"/>
          <w:szCs w:val="28"/>
          <w:lang w:eastAsia="ru-RU"/>
        </w:rPr>
        <w:t xml:space="preserve"> на территории Города Куйбышева.</w:t>
      </w:r>
    </w:p>
    <w:p w:rsidR="002D1E45" w:rsidRPr="001B177A" w:rsidRDefault="002D1E45" w:rsidP="001B177A">
      <w:pPr>
        <w:spacing w:after="0" w:line="240" w:lineRule="auto"/>
        <w:ind w:firstLine="709"/>
        <w:jc w:val="both"/>
        <w:rPr>
          <w:rFonts w:ascii="Times New Roman" w:hAnsi="Times New Roman"/>
          <w:sz w:val="28"/>
          <w:szCs w:val="28"/>
          <w:lang w:eastAsia="ru-RU"/>
        </w:rPr>
      </w:pPr>
      <w:r w:rsidRPr="001B177A">
        <w:rPr>
          <w:rFonts w:ascii="Times New Roman" w:hAnsi="Times New Roman"/>
          <w:sz w:val="28"/>
          <w:szCs w:val="28"/>
          <w:lang w:eastAsia="ru-RU"/>
        </w:rPr>
        <w:t>Основные направления развития транспортной инфраструктуры в</w:t>
      </w:r>
      <w:r>
        <w:rPr>
          <w:rFonts w:ascii="Times New Roman" w:hAnsi="Times New Roman"/>
          <w:sz w:val="28"/>
          <w:szCs w:val="28"/>
          <w:lang w:eastAsia="ru-RU"/>
        </w:rPr>
        <w:t> Генеральном плане</w:t>
      </w:r>
      <w:r w:rsidRPr="001B177A">
        <w:rPr>
          <w:rFonts w:ascii="Times New Roman" w:hAnsi="Times New Roman"/>
          <w:sz w:val="28"/>
          <w:szCs w:val="28"/>
          <w:lang w:eastAsia="ru-RU"/>
        </w:rPr>
        <w:t xml:space="preserve"> предусматривают:</w:t>
      </w:r>
    </w:p>
    <w:p w:rsidR="002D1E45" w:rsidRPr="001B177A" w:rsidRDefault="002D1E45" w:rsidP="001B177A">
      <w:pPr>
        <w:numPr>
          <w:ilvl w:val="0"/>
          <w:numId w:val="24"/>
        </w:numPr>
        <w:spacing w:after="0" w:line="240" w:lineRule="auto"/>
        <w:jc w:val="both"/>
        <w:rPr>
          <w:rFonts w:ascii="Times New Roman" w:hAnsi="Times New Roman"/>
          <w:sz w:val="28"/>
          <w:szCs w:val="28"/>
          <w:lang w:eastAsia="ru-RU"/>
        </w:rPr>
      </w:pPr>
      <w:r w:rsidRPr="001B177A">
        <w:rPr>
          <w:rFonts w:ascii="Times New Roman" w:hAnsi="Times New Roman"/>
          <w:sz w:val="28"/>
          <w:szCs w:val="28"/>
          <w:lang w:eastAsia="ru-RU"/>
        </w:rPr>
        <w:t>реконструкцию существующих дорог с</w:t>
      </w:r>
      <w:r>
        <w:rPr>
          <w:rFonts w:ascii="Times New Roman" w:hAnsi="Times New Roman"/>
          <w:sz w:val="28"/>
          <w:szCs w:val="28"/>
          <w:lang w:eastAsia="ru-RU"/>
        </w:rPr>
        <w:t> </w:t>
      </w:r>
      <w:r w:rsidRPr="001B177A">
        <w:rPr>
          <w:rFonts w:ascii="Times New Roman" w:hAnsi="Times New Roman"/>
          <w:sz w:val="28"/>
          <w:szCs w:val="28"/>
          <w:lang w:eastAsia="ru-RU"/>
        </w:rPr>
        <w:t>приведением их</w:t>
      </w:r>
      <w:r>
        <w:rPr>
          <w:rFonts w:ascii="Times New Roman" w:hAnsi="Times New Roman"/>
          <w:sz w:val="28"/>
          <w:szCs w:val="28"/>
          <w:lang w:eastAsia="ru-RU"/>
        </w:rPr>
        <w:t> </w:t>
      </w:r>
      <w:r w:rsidRPr="001B177A">
        <w:rPr>
          <w:rFonts w:ascii="Times New Roman" w:hAnsi="Times New Roman"/>
          <w:sz w:val="28"/>
          <w:szCs w:val="28"/>
          <w:lang w:eastAsia="ru-RU"/>
        </w:rPr>
        <w:t>к</w:t>
      </w:r>
      <w:r>
        <w:rPr>
          <w:rFonts w:ascii="Times New Roman" w:hAnsi="Times New Roman"/>
          <w:sz w:val="28"/>
          <w:szCs w:val="28"/>
          <w:lang w:eastAsia="ru-RU"/>
        </w:rPr>
        <w:t> </w:t>
      </w:r>
      <w:r w:rsidRPr="001B177A">
        <w:rPr>
          <w:rFonts w:ascii="Times New Roman" w:hAnsi="Times New Roman"/>
          <w:sz w:val="28"/>
          <w:szCs w:val="28"/>
          <w:lang w:eastAsia="ru-RU"/>
        </w:rPr>
        <w:t>необходимым нормируемым показателям, соответствующим технической категории дороги;</w:t>
      </w:r>
    </w:p>
    <w:p w:rsidR="002D1E45" w:rsidRPr="001B177A" w:rsidRDefault="002D1E45" w:rsidP="001B177A">
      <w:pPr>
        <w:numPr>
          <w:ilvl w:val="0"/>
          <w:numId w:val="24"/>
        </w:numPr>
        <w:spacing w:after="0" w:line="240" w:lineRule="auto"/>
        <w:jc w:val="both"/>
        <w:rPr>
          <w:rFonts w:ascii="Times New Roman" w:hAnsi="Times New Roman"/>
          <w:sz w:val="28"/>
          <w:szCs w:val="28"/>
          <w:lang w:eastAsia="ru-RU"/>
        </w:rPr>
      </w:pPr>
      <w:r w:rsidRPr="001B177A">
        <w:rPr>
          <w:rFonts w:ascii="Times New Roman" w:hAnsi="Times New Roman"/>
          <w:sz w:val="28"/>
          <w:szCs w:val="28"/>
          <w:lang w:eastAsia="ru-RU"/>
        </w:rPr>
        <w:t>резервирование коридоров под сеть улиц и</w:t>
      </w:r>
      <w:r>
        <w:rPr>
          <w:rFonts w:ascii="Times New Roman" w:hAnsi="Times New Roman"/>
          <w:sz w:val="28"/>
          <w:szCs w:val="28"/>
          <w:lang w:eastAsia="ru-RU"/>
        </w:rPr>
        <w:t> </w:t>
      </w:r>
      <w:r w:rsidRPr="001B177A">
        <w:rPr>
          <w:rFonts w:ascii="Times New Roman" w:hAnsi="Times New Roman"/>
          <w:sz w:val="28"/>
          <w:szCs w:val="28"/>
          <w:lang w:eastAsia="ru-RU"/>
        </w:rPr>
        <w:t>дорог в</w:t>
      </w:r>
      <w:r>
        <w:rPr>
          <w:rFonts w:ascii="Times New Roman" w:hAnsi="Times New Roman"/>
          <w:sz w:val="28"/>
          <w:szCs w:val="28"/>
          <w:lang w:eastAsia="ru-RU"/>
        </w:rPr>
        <w:t> </w:t>
      </w:r>
      <w:r w:rsidRPr="001B177A">
        <w:rPr>
          <w:rFonts w:ascii="Times New Roman" w:hAnsi="Times New Roman"/>
          <w:sz w:val="28"/>
          <w:szCs w:val="28"/>
          <w:lang w:eastAsia="ru-RU"/>
        </w:rPr>
        <w:t>проектируемых жилых районах;</w:t>
      </w:r>
    </w:p>
    <w:p w:rsidR="002D1E45" w:rsidRPr="001B177A" w:rsidRDefault="002D1E45" w:rsidP="001B177A">
      <w:pPr>
        <w:numPr>
          <w:ilvl w:val="0"/>
          <w:numId w:val="24"/>
        </w:numPr>
        <w:spacing w:after="0" w:line="240" w:lineRule="auto"/>
        <w:jc w:val="both"/>
        <w:rPr>
          <w:rFonts w:ascii="Times New Roman" w:hAnsi="Times New Roman"/>
          <w:sz w:val="28"/>
          <w:szCs w:val="28"/>
          <w:lang w:eastAsia="ru-RU"/>
        </w:rPr>
      </w:pPr>
      <w:r w:rsidRPr="001B177A">
        <w:rPr>
          <w:rFonts w:ascii="Times New Roman" w:hAnsi="Times New Roman"/>
          <w:sz w:val="28"/>
          <w:szCs w:val="28"/>
          <w:lang w:eastAsia="ru-RU"/>
        </w:rPr>
        <w:t>повышение пропускной способности улиц;</w:t>
      </w:r>
    </w:p>
    <w:p w:rsidR="002D1E45" w:rsidRPr="001B177A" w:rsidRDefault="002D1E45" w:rsidP="001B177A">
      <w:pPr>
        <w:numPr>
          <w:ilvl w:val="0"/>
          <w:numId w:val="24"/>
        </w:numPr>
        <w:spacing w:after="0" w:line="240" w:lineRule="auto"/>
        <w:jc w:val="both"/>
        <w:rPr>
          <w:rFonts w:ascii="Times New Roman" w:hAnsi="Times New Roman"/>
          <w:sz w:val="28"/>
          <w:szCs w:val="28"/>
          <w:lang w:eastAsia="ru-RU"/>
        </w:rPr>
      </w:pPr>
      <w:r w:rsidRPr="001B177A">
        <w:rPr>
          <w:rFonts w:ascii="Times New Roman" w:hAnsi="Times New Roman"/>
          <w:sz w:val="28"/>
          <w:szCs w:val="28"/>
          <w:lang w:eastAsia="ru-RU"/>
        </w:rPr>
        <w:t>создание транспортных развязок;</w:t>
      </w:r>
    </w:p>
    <w:p w:rsidR="002D1E45" w:rsidRPr="001B177A" w:rsidRDefault="002D1E45" w:rsidP="001B177A">
      <w:pPr>
        <w:numPr>
          <w:ilvl w:val="0"/>
          <w:numId w:val="24"/>
        </w:numPr>
        <w:spacing w:after="0" w:line="240" w:lineRule="auto"/>
        <w:jc w:val="both"/>
        <w:rPr>
          <w:rFonts w:ascii="Times New Roman" w:hAnsi="Times New Roman"/>
          <w:sz w:val="28"/>
          <w:szCs w:val="28"/>
          <w:lang w:eastAsia="ru-RU"/>
        </w:rPr>
      </w:pPr>
      <w:r w:rsidRPr="001B177A">
        <w:rPr>
          <w:rFonts w:ascii="Times New Roman" w:hAnsi="Times New Roman"/>
          <w:sz w:val="28"/>
          <w:szCs w:val="28"/>
          <w:lang w:eastAsia="ru-RU"/>
        </w:rPr>
        <w:t>создание сети пешеходных зон;</w:t>
      </w:r>
    </w:p>
    <w:p w:rsidR="002D1E45" w:rsidRPr="001B177A" w:rsidRDefault="002D1E45" w:rsidP="001B177A">
      <w:pPr>
        <w:numPr>
          <w:ilvl w:val="0"/>
          <w:numId w:val="24"/>
        </w:numPr>
        <w:spacing w:after="0" w:line="240" w:lineRule="auto"/>
        <w:jc w:val="both"/>
        <w:rPr>
          <w:rFonts w:ascii="Times New Roman" w:hAnsi="Times New Roman"/>
          <w:sz w:val="28"/>
          <w:szCs w:val="28"/>
          <w:lang w:eastAsia="ru-RU"/>
        </w:rPr>
      </w:pPr>
      <w:r w:rsidRPr="001B177A">
        <w:rPr>
          <w:rFonts w:ascii="Times New Roman" w:hAnsi="Times New Roman"/>
          <w:sz w:val="28"/>
          <w:szCs w:val="28"/>
          <w:lang w:eastAsia="ru-RU"/>
        </w:rPr>
        <w:t>строительство комплексов автосервиса на</w:t>
      </w:r>
      <w:r>
        <w:rPr>
          <w:rFonts w:ascii="Times New Roman" w:hAnsi="Times New Roman"/>
          <w:sz w:val="28"/>
          <w:szCs w:val="28"/>
          <w:lang w:eastAsia="ru-RU"/>
        </w:rPr>
        <w:t> </w:t>
      </w:r>
      <w:r w:rsidRPr="001B177A">
        <w:rPr>
          <w:rFonts w:ascii="Times New Roman" w:hAnsi="Times New Roman"/>
          <w:sz w:val="28"/>
          <w:szCs w:val="28"/>
          <w:lang w:eastAsia="ru-RU"/>
        </w:rPr>
        <w:t>коммунально-складских территориях;</w:t>
      </w:r>
    </w:p>
    <w:p w:rsidR="002D1E45" w:rsidRPr="001B177A" w:rsidRDefault="002D1E45" w:rsidP="001B177A">
      <w:pPr>
        <w:numPr>
          <w:ilvl w:val="0"/>
          <w:numId w:val="24"/>
        </w:numPr>
        <w:spacing w:after="0" w:line="240" w:lineRule="auto"/>
        <w:jc w:val="both"/>
        <w:rPr>
          <w:rFonts w:ascii="Times New Roman" w:hAnsi="Times New Roman"/>
          <w:sz w:val="28"/>
          <w:szCs w:val="28"/>
          <w:lang w:eastAsia="ru-RU"/>
        </w:rPr>
      </w:pPr>
      <w:r w:rsidRPr="001B177A">
        <w:rPr>
          <w:rFonts w:ascii="Times New Roman" w:hAnsi="Times New Roman"/>
          <w:sz w:val="28"/>
          <w:szCs w:val="28"/>
          <w:lang w:eastAsia="ru-RU"/>
        </w:rPr>
        <w:t>вынос основных потоков грузового транспорта на</w:t>
      </w:r>
      <w:r>
        <w:rPr>
          <w:rFonts w:ascii="Times New Roman" w:hAnsi="Times New Roman"/>
          <w:sz w:val="28"/>
          <w:szCs w:val="28"/>
          <w:lang w:eastAsia="ru-RU"/>
        </w:rPr>
        <w:t> </w:t>
      </w:r>
      <w:r w:rsidRPr="001B177A">
        <w:rPr>
          <w:rFonts w:ascii="Times New Roman" w:hAnsi="Times New Roman"/>
          <w:sz w:val="28"/>
          <w:szCs w:val="28"/>
          <w:lang w:eastAsia="ru-RU"/>
        </w:rPr>
        <w:t>автодороги, проходящие периферийно по</w:t>
      </w:r>
      <w:r>
        <w:rPr>
          <w:rFonts w:ascii="Times New Roman" w:hAnsi="Times New Roman"/>
          <w:sz w:val="28"/>
          <w:szCs w:val="28"/>
          <w:lang w:eastAsia="ru-RU"/>
        </w:rPr>
        <w:t> </w:t>
      </w:r>
      <w:r w:rsidRPr="001B177A">
        <w:rPr>
          <w:rFonts w:ascii="Times New Roman" w:hAnsi="Times New Roman"/>
          <w:sz w:val="28"/>
          <w:szCs w:val="28"/>
          <w:lang w:eastAsia="ru-RU"/>
        </w:rPr>
        <w:t>отношению к</w:t>
      </w:r>
      <w:r>
        <w:rPr>
          <w:rFonts w:ascii="Times New Roman" w:hAnsi="Times New Roman"/>
          <w:sz w:val="28"/>
          <w:szCs w:val="28"/>
          <w:lang w:eastAsia="ru-RU"/>
        </w:rPr>
        <w:t> </w:t>
      </w:r>
      <w:r w:rsidRPr="001B177A">
        <w:rPr>
          <w:rFonts w:ascii="Times New Roman" w:hAnsi="Times New Roman"/>
          <w:sz w:val="28"/>
          <w:szCs w:val="28"/>
          <w:lang w:eastAsia="ru-RU"/>
        </w:rPr>
        <w:t>застройке;</w:t>
      </w:r>
    </w:p>
    <w:p w:rsidR="002D1E45" w:rsidRPr="001B177A" w:rsidRDefault="002D1E45" w:rsidP="001B177A">
      <w:pPr>
        <w:numPr>
          <w:ilvl w:val="0"/>
          <w:numId w:val="24"/>
        </w:numPr>
        <w:spacing w:after="0" w:line="240" w:lineRule="auto"/>
        <w:jc w:val="both"/>
        <w:rPr>
          <w:rFonts w:ascii="Times New Roman" w:hAnsi="Times New Roman"/>
          <w:sz w:val="28"/>
          <w:szCs w:val="28"/>
          <w:lang w:eastAsia="ru-RU"/>
        </w:rPr>
      </w:pPr>
      <w:r w:rsidRPr="001B177A">
        <w:rPr>
          <w:rFonts w:ascii="Times New Roman" w:hAnsi="Times New Roman"/>
          <w:sz w:val="28"/>
          <w:szCs w:val="28"/>
          <w:lang w:eastAsia="ru-RU"/>
        </w:rPr>
        <w:t>дальнейшее развитие сети всех существующих видов транспорта.</w:t>
      </w:r>
    </w:p>
    <w:p w:rsidR="002D1E45" w:rsidRPr="003D0E03" w:rsidRDefault="002D1E45" w:rsidP="003D0E03">
      <w:pPr>
        <w:spacing w:after="0" w:line="240" w:lineRule="auto"/>
        <w:ind w:firstLine="709"/>
        <w:jc w:val="both"/>
        <w:rPr>
          <w:rFonts w:ascii="Times New Roman" w:hAnsi="Times New Roman"/>
          <w:i/>
          <w:sz w:val="28"/>
          <w:szCs w:val="28"/>
          <w:u w:val="single"/>
          <w:lang w:eastAsia="ru-RU"/>
        </w:rPr>
      </w:pPr>
      <w:bookmarkStart w:id="287" w:name="_Toc390245044"/>
      <w:bookmarkStart w:id="288" w:name="_Toc464050119"/>
      <w:bookmarkStart w:id="289" w:name="_Toc464220833"/>
      <w:bookmarkStart w:id="290" w:name="_Toc464221315"/>
      <w:bookmarkStart w:id="291" w:name="_Toc464221498"/>
      <w:bookmarkStart w:id="292" w:name="_Toc464223922"/>
      <w:bookmarkStart w:id="293" w:name="_Toc464486117"/>
      <w:bookmarkStart w:id="294" w:name="_Toc477355607"/>
      <w:bookmarkStart w:id="295" w:name="_Toc477355969"/>
      <w:bookmarkStart w:id="296" w:name="_Toc477362804"/>
      <w:bookmarkStart w:id="297" w:name="_Toc477363275"/>
      <w:bookmarkStart w:id="298" w:name="_Toc477364599"/>
      <w:bookmarkStart w:id="299" w:name="_Toc477422460"/>
      <w:bookmarkStart w:id="300" w:name="_Toc477423546"/>
      <w:bookmarkStart w:id="301" w:name="_Toc477424522"/>
      <w:bookmarkStart w:id="302" w:name="_Toc477427150"/>
      <w:bookmarkStart w:id="303" w:name="_Toc477428271"/>
      <w:bookmarkStart w:id="304" w:name="_Toc477428771"/>
      <w:bookmarkStart w:id="305" w:name="_Toc477431437"/>
      <w:bookmarkStart w:id="306" w:name="_Toc477432349"/>
      <w:bookmarkStart w:id="307" w:name="_Toc477438400"/>
      <w:bookmarkStart w:id="308" w:name="_Toc477436817"/>
      <w:bookmarkStart w:id="309" w:name="_Toc477526034"/>
      <w:bookmarkStart w:id="310" w:name="_Toc477535185"/>
      <w:bookmarkStart w:id="311" w:name="_Toc477536866"/>
      <w:bookmarkStart w:id="312" w:name="_Toc477538625"/>
      <w:bookmarkStart w:id="313" w:name="_Toc479260926"/>
      <w:bookmarkStart w:id="314" w:name="_Toc492309863"/>
      <w:bookmarkStart w:id="315" w:name="_Toc497667484"/>
      <w:r w:rsidRPr="003D0E03">
        <w:rPr>
          <w:rFonts w:ascii="Times New Roman" w:hAnsi="Times New Roman"/>
          <w:i/>
          <w:sz w:val="28"/>
          <w:szCs w:val="28"/>
          <w:u w:val="single"/>
          <w:lang w:eastAsia="ru-RU"/>
        </w:rPr>
        <w:t>Внешний транспорт</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rsidR="002D1E45" w:rsidRDefault="002D1E45" w:rsidP="0044419D">
      <w:pPr>
        <w:spacing w:after="0" w:line="240" w:lineRule="auto"/>
        <w:ind w:firstLine="709"/>
        <w:jc w:val="both"/>
        <w:rPr>
          <w:rFonts w:ascii="Times New Roman" w:hAnsi="Times New Roman"/>
          <w:sz w:val="28"/>
          <w:szCs w:val="28"/>
          <w:lang w:eastAsia="ru-RU"/>
        </w:rPr>
      </w:pPr>
      <w:r w:rsidRPr="003D0E03">
        <w:rPr>
          <w:rFonts w:ascii="Times New Roman" w:hAnsi="Times New Roman"/>
          <w:i/>
          <w:sz w:val="28"/>
          <w:szCs w:val="28"/>
          <w:u w:val="single"/>
          <w:lang w:eastAsia="ru-RU"/>
        </w:rPr>
        <w:t>Автомобильный транспорт</w:t>
      </w:r>
      <w:r>
        <w:rPr>
          <w:rFonts w:ascii="Times New Roman" w:hAnsi="Times New Roman"/>
          <w:sz w:val="28"/>
          <w:szCs w:val="28"/>
          <w:lang w:eastAsia="ru-RU"/>
        </w:rPr>
        <w:t xml:space="preserve"> </w:t>
      </w:r>
    </w:p>
    <w:p w:rsidR="002D1E45" w:rsidRDefault="002D1E45" w:rsidP="0044419D">
      <w:pPr>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В рамках государственной программы Новосибирской области «</w:t>
      </w:r>
      <w:r w:rsidRPr="007D22B0">
        <w:rPr>
          <w:rFonts w:ascii="Times New Roman" w:hAnsi="Times New Roman"/>
          <w:sz w:val="28"/>
          <w:szCs w:val="28"/>
          <w:lang w:eastAsia="ru-RU"/>
        </w:rPr>
        <w:t>Развитие автомобильных дорог регионального, межмуниципального и местного значения в Новосибирской области</w:t>
      </w:r>
      <w:r>
        <w:rPr>
          <w:rFonts w:ascii="Times New Roman" w:hAnsi="Times New Roman"/>
          <w:sz w:val="28"/>
          <w:szCs w:val="28"/>
          <w:lang w:eastAsia="ru-RU"/>
        </w:rPr>
        <w:t>» на территории г. Куйбышева предусматривается:</w:t>
      </w:r>
    </w:p>
    <w:p w:rsidR="002D1E45" w:rsidRDefault="002D1E45" w:rsidP="007D22B0">
      <w:pPr>
        <w:numPr>
          <w:ilvl w:val="0"/>
          <w:numId w:val="24"/>
        </w:numPr>
        <w:spacing w:after="0" w:line="240" w:lineRule="auto"/>
        <w:jc w:val="both"/>
        <w:rPr>
          <w:rFonts w:ascii="Times New Roman" w:hAnsi="Times New Roman"/>
          <w:sz w:val="28"/>
          <w:szCs w:val="28"/>
          <w:lang w:eastAsia="ru-RU"/>
        </w:rPr>
      </w:pPr>
      <w:r>
        <w:rPr>
          <w:rFonts w:ascii="Times New Roman" w:hAnsi="Times New Roman"/>
          <w:sz w:val="28"/>
          <w:szCs w:val="28"/>
          <w:lang w:eastAsia="ru-RU"/>
        </w:rPr>
        <w:t>р</w:t>
      </w:r>
      <w:r w:rsidRPr="007D22B0">
        <w:rPr>
          <w:rFonts w:ascii="Times New Roman" w:hAnsi="Times New Roman"/>
          <w:sz w:val="28"/>
          <w:szCs w:val="28"/>
          <w:lang w:eastAsia="ru-RU"/>
        </w:rPr>
        <w:t xml:space="preserve">еконструкция автомобильной дороги </w:t>
      </w:r>
      <w:r>
        <w:rPr>
          <w:rFonts w:ascii="Times New Roman" w:hAnsi="Times New Roman"/>
          <w:sz w:val="28"/>
          <w:szCs w:val="28"/>
          <w:lang w:eastAsia="ru-RU"/>
        </w:rPr>
        <w:t>«</w:t>
      </w:r>
      <w:r w:rsidRPr="007D22B0">
        <w:rPr>
          <w:rFonts w:ascii="Times New Roman" w:hAnsi="Times New Roman"/>
          <w:sz w:val="28"/>
          <w:szCs w:val="28"/>
          <w:lang w:eastAsia="ru-RU"/>
        </w:rPr>
        <w:t>Подъезд к г. Куйбышеву</w:t>
      </w:r>
      <w:r>
        <w:rPr>
          <w:rFonts w:ascii="Times New Roman" w:hAnsi="Times New Roman"/>
          <w:sz w:val="28"/>
          <w:szCs w:val="28"/>
          <w:lang w:eastAsia="ru-RU"/>
        </w:rPr>
        <w:t>»</w:t>
      </w:r>
      <w:r w:rsidRPr="007D22B0">
        <w:rPr>
          <w:rFonts w:ascii="Times New Roman" w:hAnsi="Times New Roman"/>
          <w:sz w:val="28"/>
          <w:szCs w:val="28"/>
          <w:lang w:eastAsia="ru-RU"/>
        </w:rPr>
        <w:t xml:space="preserve"> </w:t>
      </w:r>
      <w:r>
        <w:rPr>
          <w:rFonts w:ascii="Times New Roman" w:hAnsi="Times New Roman"/>
          <w:sz w:val="28"/>
          <w:szCs w:val="28"/>
          <w:lang w:eastAsia="ru-RU"/>
        </w:rPr>
        <w:t>(2022 г.);</w:t>
      </w:r>
    </w:p>
    <w:p w:rsidR="002D1E45" w:rsidRDefault="002D1E45" w:rsidP="007D22B0">
      <w:pPr>
        <w:numPr>
          <w:ilvl w:val="0"/>
          <w:numId w:val="24"/>
        </w:numPr>
        <w:spacing w:after="0" w:line="240" w:lineRule="auto"/>
        <w:jc w:val="both"/>
        <w:rPr>
          <w:rFonts w:ascii="Times New Roman" w:hAnsi="Times New Roman"/>
          <w:sz w:val="28"/>
          <w:szCs w:val="28"/>
          <w:lang w:eastAsia="ru-RU"/>
        </w:rPr>
      </w:pPr>
      <w:r>
        <w:rPr>
          <w:rFonts w:ascii="Times New Roman" w:hAnsi="Times New Roman"/>
          <w:sz w:val="28"/>
          <w:szCs w:val="28"/>
          <w:lang w:eastAsia="ru-RU"/>
        </w:rPr>
        <w:t>р</w:t>
      </w:r>
      <w:r w:rsidRPr="007D22B0">
        <w:rPr>
          <w:rFonts w:ascii="Times New Roman" w:hAnsi="Times New Roman"/>
          <w:sz w:val="28"/>
          <w:szCs w:val="28"/>
          <w:lang w:eastAsia="ru-RU"/>
        </w:rPr>
        <w:t xml:space="preserve">еконструкция автомобильной дороги </w:t>
      </w:r>
      <w:r>
        <w:rPr>
          <w:rFonts w:ascii="Times New Roman" w:hAnsi="Times New Roman"/>
          <w:sz w:val="28"/>
          <w:szCs w:val="28"/>
          <w:lang w:eastAsia="ru-RU"/>
        </w:rPr>
        <w:t>«</w:t>
      </w:r>
      <w:r w:rsidRPr="007D22B0">
        <w:rPr>
          <w:rFonts w:ascii="Times New Roman" w:hAnsi="Times New Roman"/>
          <w:sz w:val="28"/>
          <w:szCs w:val="28"/>
          <w:lang w:eastAsia="ru-RU"/>
        </w:rPr>
        <w:t xml:space="preserve">Куйбышев </w:t>
      </w:r>
      <w:r>
        <w:rPr>
          <w:rFonts w:ascii="Times New Roman" w:hAnsi="Times New Roman"/>
          <w:sz w:val="28"/>
          <w:szCs w:val="28"/>
          <w:lang w:eastAsia="ru-RU"/>
        </w:rPr>
        <w:t>–</w:t>
      </w:r>
      <w:r w:rsidRPr="007D22B0">
        <w:rPr>
          <w:rFonts w:ascii="Times New Roman" w:hAnsi="Times New Roman"/>
          <w:sz w:val="28"/>
          <w:szCs w:val="28"/>
          <w:lang w:eastAsia="ru-RU"/>
        </w:rPr>
        <w:t xml:space="preserve"> Малинино</w:t>
      </w:r>
      <w:r>
        <w:rPr>
          <w:rFonts w:ascii="Times New Roman" w:hAnsi="Times New Roman"/>
          <w:sz w:val="28"/>
          <w:szCs w:val="28"/>
          <w:lang w:eastAsia="ru-RU"/>
        </w:rPr>
        <w:t>»</w:t>
      </w:r>
      <w:r w:rsidRPr="007D22B0">
        <w:rPr>
          <w:rFonts w:ascii="Times New Roman" w:hAnsi="Times New Roman"/>
          <w:sz w:val="28"/>
          <w:szCs w:val="28"/>
          <w:lang w:eastAsia="ru-RU"/>
        </w:rPr>
        <w:t xml:space="preserve"> на участке км 5+065 </w:t>
      </w:r>
      <w:r>
        <w:rPr>
          <w:rFonts w:ascii="Times New Roman" w:hAnsi="Times New Roman"/>
          <w:sz w:val="28"/>
          <w:szCs w:val="28"/>
          <w:lang w:eastAsia="ru-RU"/>
        </w:rPr>
        <w:t>–</w:t>
      </w:r>
      <w:r w:rsidRPr="007D22B0">
        <w:rPr>
          <w:rFonts w:ascii="Times New Roman" w:hAnsi="Times New Roman"/>
          <w:sz w:val="28"/>
          <w:szCs w:val="28"/>
          <w:lang w:eastAsia="ru-RU"/>
        </w:rPr>
        <w:t xml:space="preserve"> км 6+800</w:t>
      </w:r>
      <w:r>
        <w:rPr>
          <w:rFonts w:ascii="Times New Roman" w:hAnsi="Times New Roman"/>
          <w:sz w:val="28"/>
          <w:szCs w:val="28"/>
          <w:lang w:eastAsia="ru-RU"/>
        </w:rPr>
        <w:t>.</w:t>
      </w:r>
    </w:p>
    <w:p w:rsidR="002D1E45" w:rsidRPr="003A7901" w:rsidRDefault="002D1E45" w:rsidP="003A7901">
      <w:pPr>
        <w:spacing w:after="0" w:line="240" w:lineRule="auto"/>
        <w:ind w:firstLine="709"/>
        <w:jc w:val="both"/>
        <w:rPr>
          <w:rFonts w:ascii="Times New Roman" w:hAnsi="Times New Roman"/>
          <w:i/>
          <w:sz w:val="28"/>
          <w:szCs w:val="28"/>
          <w:u w:val="single"/>
          <w:lang w:eastAsia="ru-RU"/>
        </w:rPr>
      </w:pPr>
      <w:r w:rsidRPr="003A7901">
        <w:rPr>
          <w:rFonts w:ascii="Times New Roman" w:hAnsi="Times New Roman"/>
          <w:i/>
          <w:sz w:val="28"/>
          <w:szCs w:val="28"/>
          <w:u w:val="single"/>
          <w:lang w:eastAsia="ru-RU"/>
        </w:rPr>
        <w:t>Улично-дорожная сеть</w:t>
      </w:r>
    </w:p>
    <w:p w:rsidR="002D1E45" w:rsidRPr="00CE2CEE" w:rsidRDefault="002D1E45" w:rsidP="00CE2CEE">
      <w:pPr>
        <w:spacing w:after="0" w:line="240" w:lineRule="auto"/>
        <w:ind w:firstLine="709"/>
        <w:jc w:val="both"/>
        <w:rPr>
          <w:rFonts w:ascii="Times New Roman" w:hAnsi="Times New Roman"/>
          <w:sz w:val="28"/>
          <w:szCs w:val="28"/>
          <w:lang w:eastAsia="ru-RU"/>
        </w:rPr>
      </w:pPr>
      <w:r w:rsidRPr="00CE2CEE">
        <w:rPr>
          <w:rFonts w:ascii="Times New Roman" w:hAnsi="Times New Roman"/>
          <w:sz w:val="28"/>
          <w:szCs w:val="28"/>
          <w:lang w:eastAsia="ru-RU"/>
        </w:rPr>
        <w:t>При рассмотрении современного состояния улично-дорожной сети населённых пунктов были выявлены недостатки, для устранения которых проектом внесения изменений в</w:t>
      </w:r>
      <w:r>
        <w:rPr>
          <w:rFonts w:ascii="Times New Roman" w:hAnsi="Times New Roman"/>
          <w:sz w:val="28"/>
          <w:szCs w:val="28"/>
          <w:lang w:eastAsia="ru-RU"/>
        </w:rPr>
        <w:t> </w:t>
      </w:r>
      <w:r w:rsidRPr="00CE2CEE">
        <w:rPr>
          <w:rFonts w:ascii="Times New Roman" w:hAnsi="Times New Roman"/>
          <w:sz w:val="28"/>
          <w:szCs w:val="28"/>
          <w:lang w:eastAsia="ru-RU"/>
        </w:rPr>
        <w:t xml:space="preserve">генеральный план предлагаются нижеприведённые мероприятия. </w:t>
      </w:r>
    </w:p>
    <w:p w:rsidR="002D1E45" w:rsidRDefault="002D1E45" w:rsidP="00EF3CC0">
      <w:pPr>
        <w:spacing w:after="0" w:line="240" w:lineRule="auto"/>
        <w:ind w:firstLine="709"/>
        <w:jc w:val="both"/>
        <w:rPr>
          <w:rFonts w:ascii="Times New Roman" w:hAnsi="Times New Roman"/>
          <w:sz w:val="28"/>
          <w:szCs w:val="28"/>
          <w:lang w:eastAsia="ru-RU"/>
        </w:rPr>
      </w:pPr>
      <w:r w:rsidRPr="002C6221">
        <w:rPr>
          <w:rFonts w:ascii="Times New Roman" w:hAnsi="Times New Roman"/>
          <w:sz w:val="28"/>
          <w:szCs w:val="28"/>
          <w:lang w:eastAsia="ru-RU"/>
        </w:rPr>
        <w:t>Для обеспечения безопасности, бесперебойности и</w:t>
      </w:r>
      <w:r>
        <w:rPr>
          <w:rFonts w:ascii="Times New Roman" w:hAnsi="Times New Roman"/>
          <w:sz w:val="28"/>
          <w:szCs w:val="28"/>
          <w:lang w:eastAsia="ru-RU"/>
        </w:rPr>
        <w:t> </w:t>
      </w:r>
      <w:r w:rsidRPr="002C6221">
        <w:rPr>
          <w:rFonts w:ascii="Times New Roman" w:hAnsi="Times New Roman"/>
          <w:sz w:val="28"/>
          <w:szCs w:val="28"/>
          <w:lang w:eastAsia="ru-RU"/>
        </w:rPr>
        <w:t>удобства транспортного сообщения внутри населённых пунктов предлагается реконструкция и</w:t>
      </w:r>
      <w:r>
        <w:rPr>
          <w:rFonts w:ascii="Times New Roman" w:hAnsi="Times New Roman"/>
          <w:sz w:val="28"/>
          <w:szCs w:val="28"/>
          <w:lang w:eastAsia="ru-RU"/>
        </w:rPr>
        <w:t> </w:t>
      </w:r>
      <w:r w:rsidRPr="002C6221">
        <w:rPr>
          <w:rFonts w:ascii="Times New Roman" w:hAnsi="Times New Roman"/>
          <w:sz w:val="28"/>
          <w:szCs w:val="28"/>
          <w:lang w:eastAsia="ru-RU"/>
        </w:rPr>
        <w:t>строительство улиц и</w:t>
      </w:r>
      <w:r>
        <w:rPr>
          <w:rFonts w:ascii="Times New Roman" w:hAnsi="Times New Roman"/>
          <w:sz w:val="28"/>
          <w:szCs w:val="28"/>
          <w:lang w:eastAsia="ru-RU"/>
        </w:rPr>
        <w:t> </w:t>
      </w:r>
      <w:r w:rsidRPr="002C6221">
        <w:rPr>
          <w:rFonts w:ascii="Times New Roman" w:hAnsi="Times New Roman"/>
          <w:sz w:val="28"/>
          <w:szCs w:val="28"/>
          <w:lang w:eastAsia="ru-RU"/>
        </w:rPr>
        <w:t xml:space="preserve">дорог. </w:t>
      </w:r>
      <w:r w:rsidRPr="00EF3CC0">
        <w:rPr>
          <w:rFonts w:ascii="Times New Roman" w:hAnsi="Times New Roman"/>
          <w:sz w:val="28"/>
          <w:szCs w:val="28"/>
          <w:lang w:eastAsia="ru-RU"/>
        </w:rPr>
        <w:t>Предполагается строительство новых автодорог и</w:t>
      </w:r>
      <w:r>
        <w:rPr>
          <w:rFonts w:ascii="Times New Roman" w:hAnsi="Times New Roman"/>
          <w:sz w:val="28"/>
          <w:szCs w:val="28"/>
          <w:lang w:eastAsia="ru-RU"/>
        </w:rPr>
        <w:t> </w:t>
      </w:r>
      <w:r w:rsidRPr="00EF3CC0">
        <w:rPr>
          <w:rFonts w:ascii="Times New Roman" w:hAnsi="Times New Roman"/>
          <w:sz w:val="28"/>
          <w:szCs w:val="28"/>
          <w:lang w:eastAsia="ru-RU"/>
        </w:rPr>
        <w:t>тротуаров с</w:t>
      </w:r>
      <w:r>
        <w:rPr>
          <w:rFonts w:ascii="Times New Roman" w:hAnsi="Times New Roman"/>
          <w:sz w:val="28"/>
          <w:szCs w:val="28"/>
          <w:lang w:eastAsia="ru-RU"/>
        </w:rPr>
        <w:t> </w:t>
      </w:r>
      <w:r w:rsidRPr="00EF3CC0">
        <w:rPr>
          <w:rFonts w:ascii="Times New Roman" w:hAnsi="Times New Roman"/>
          <w:sz w:val="28"/>
          <w:szCs w:val="28"/>
          <w:lang w:eastAsia="ru-RU"/>
        </w:rPr>
        <w:t>твёрдым покрытием на</w:t>
      </w:r>
      <w:r>
        <w:rPr>
          <w:rFonts w:ascii="Times New Roman" w:hAnsi="Times New Roman"/>
          <w:sz w:val="28"/>
          <w:szCs w:val="28"/>
          <w:lang w:eastAsia="ru-RU"/>
        </w:rPr>
        <w:t> </w:t>
      </w:r>
      <w:r w:rsidRPr="00EF3CC0">
        <w:rPr>
          <w:rFonts w:ascii="Times New Roman" w:hAnsi="Times New Roman"/>
          <w:sz w:val="28"/>
          <w:szCs w:val="28"/>
          <w:lang w:eastAsia="ru-RU"/>
        </w:rPr>
        <w:t xml:space="preserve">всех существующих улицах </w:t>
      </w:r>
      <w:r>
        <w:rPr>
          <w:rFonts w:ascii="Times New Roman" w:hAnsi="Times New Roman"/>
          <w:sz w:val="28"/>
          <w:szCs w:val="28"/>
          <w:lang w:eastAsia="ru-RU"/>
        </w:rPr>
        <w:t>населённых пунктов</w:t>
      </w:r>
      <w:r w:rsidRPr="00EF3CC0">
        <w:rPr>
          <w:rFonts w:ascii="Times New Roman" w:hAnsi="Times New Roman"/>
          <w:sz w:val="28"/>
          <w:szCs w:val="28"/>
          <w:lang w:eastAsia="ru-RU"/>
        </w:rPr>
        <w:t>. Предусматривается реконструкция и</w:t>
      </w:r>
      <w:r>
        <w:rPr>
          <w:rFonts w:ascii="Times New Roman" w:hAnsi="Times New Roman"/>
          <w:sz w:val="28"/>
          <w:szCs w:val="28"/>
          <w:lang w:eastAsia="ru-RU"/>
        </w:rPr>
        <w:t> </w:t>
      </w:r>
      <w:r w:rsidRPr="00EF3CC0">
        <w:rPr>
          <w:rFonts w:ascii="Times New Roman" w:hAnsi="Times New Roman"/>
          <w:sz w:val="28"/>
          <w:szCs w:val="28"/>
          <w:lang w:eastAsia="ru-RU"/>
        </w:rPr>
        <w:t>капитальный ремонт существующих автодорог, с</w:t>
      </w:r>
      <w:r>
        <w:rPr>
          <w:rFonts w:ascii="Times New Roman" w:hAnsi="Times New Roman"/>
          <w:sz w:val="28"/>
          <w:szCs w:val="28"/>
          <w:lang w:eastAsia="ru-RU"/>
        </w:rPr>
        <w:t> </w:t>
      </w:r>
      <w:r w:rsidRPr="00EF3CC0">
        <w:rPr>
          <w:rFonts w:ascii="Times New Roman" w:hAnsi="Times New Roman"/>
          <w:sz w:val="28"/>
          <w:szCs w:val="28"/>
          <w:lang w:eastAsia="ru-RU"/>
        </w:rPr>
        <w:t>постепенным изменением поперечного профиля улиц до</w:t>
      </w:r>
      <w:r>
        <w:rPr>
          <w:rFonts w:ascii="Times New Roman" w:hAnsi="Times New Roman"/>
          <w:sz w:val="28"/>
          <w:szCs w:val="28"/>
          <w:lang w:eastAsia="ru-RU"/>
        </w:rPr>
        <w:t> </w:t>
      </w:r>
      <w:r w:rsidRPr="00EF3CC0">
        <w:rPr>
          <w:rFonts w:ascii="Times New Roman" w:hAnsi="Times New Roman"/>
          <w:sz w:val="28"/>
          <w:szCs w:val="28"/>
          <w:lang w:eastAsia="ru-RU"/>
        </w:rPr>
        <w:t>параметров, предусмотренных в</w:t>
      </w:r>
      <w:r>
        <w:rPr>
          <w:rFonts w:ascii="Times New Roman" w:hAnsi="Times New Roman"/>
          <w:sz w:val="28"/>
          <w:szCs w:val="28"/>
          <w:lang w:eastAsia="ru-RU"/>
        </w:rPr>
        <w:t> </w:t>
      </w:r>
      <w:r w:rsidRPr="00EF3CC0">
        <w:rPr>
          <w:rFonts w:ascii="Times New Roman" w:hAnsi="Times New Roman"/>
          <w:sz w:val="28"/>
          <w:szCs w:val="28"/>
          <w:lang w:eastAsia="ru-RU"/>
        </w:rPr>
        <w:t>генеральном плане. В</w:t>
      </w:r>
      <w:r>
        <w:rPr>
          <w:rFonts w:ascii="Times New Roman" w:hAnsi="Times New Roman"/>
          <w:sz w:val="28"/>
          <w:szCs w:val="28"/>
          <w:lang w:eastAsia="ru-RU"/>
        </w:rPr>
        <w:t> </w:t>
      </w:r>
      <w:r w:rsidRPr="00EF3CC0">
        <w:rPr>
          <w:rFonts w:ascii="Times New Roman" w:hAnsi="Times New Roman"/>
          <w:sz w:val="28"/>
          <w:szCs w:val="28"/>
          <w:lang w:eastAsia="ru-RU"/>
        </w:rPr>
        <w:t>целях упорядочения движения в</w:t>
      </w:r>
      <w:r>
        <w:rPr>
          <w:rFonts w:ascii="Times New Roman" w:hAnsi="Times New Roman"/>
          <w:sz w:val="28"/>
          <w:szCs w:val="28"/>
          <w:lang w:eastAsia="ru-RU"/>
        </w:rPr>
        <w:t> </w:t>
      </w:r>
      <w:r w:rsidRPr="00EF3CC0">
        <w:rPr>
          <w:rFonts w:ascii="Times New Roman" w:hAnsi="Times New Roman"/>
          <w:sz w:val="28"/>
          <w:szCs w:val="28"/>
          <w:lang w:eastAsia="ru-RU"/>
        </w:rPr>
        <w:t>МО</w:t>
      </w:r>
      <w:r>
        <w:rPr>
          <w:rFonts w:ascii="Times New Roman" w:hAnsi="Times New Roman"/>
          <w:sz w:val="28"/>
          <w:szCs w:val="28"/>
          <w:lang w:eastAsia="ru-RU"/>
        </w:rPr>
        <w:t> </w:t>
      </w:r>
      <w:r w:rsidRPr="00EF3CC0">
        <w:rPr>
          <w:rFonts w:ascii="Times New Roman" w:hAnsi="Times New Roman"/>
          <w:sz w:val="28"/>
          <w:szCs w:val="28"/>
          <w:lang w:eastAsia="ru-RU"/>
        </w:rPr>
        <w:t>и</w:t>
      </w:r>
      <w:r>
        <w:rPr>
          <w:rFonts w:ascii="Times New Roman" w:hAnsi="Times New Roman"/>
          <w:sz w:val="28"/>
          <w:szCs w:val="28"/>
          <w:lang w:eastAsia="ru-RU"/>
        </w:rPr>
        <w:t> </w:t>
      </w:r>
      <w:r w:rsidRPr="00EF3CC0">
        <w:rPr>
          <w:rFonts w:ascii="Times New Roman" w:hAnsi="Times New Roman"/>
          <w:sz w:val="28"/>
          <w:szCs w:val="28"/>
          <w:lang w:eastAsia="ru-RU"/>
        </w:rPr>
        <w:t>повышения уровня безопасности на</w:t>
      </w:r>
      <w:r>
        <w:rPr>
          <w:rFonts w:ascii="Times New Roman" w:hAnsi="Times New Roman"/>
          <w:sz w:val="28"/>
          <w:szCs w:val="28"/>
          <w:lang w:eastAsia="ru-RU"/>
        </w:rPr>
        <w:t> </w:t>
      </w:r>
      <w:r w:rsidRPr="00EF3CC0">
        <w:rPr>
          <w:rFonts w:ascii="Times New Roman" w:hAnsi="Times New Roman"/>
          <w:sz w:val="28"/>
          <w:szCs w:val="28"/>
          <w:lang w:eastAsia="ru-RU"/>
        </w:rPr>
        <w:t xml:space="preserve">улицах </w:t>
      </w:r>
      <w:r>
        <w:rPr>
          <w:rFonts w:ascii="Times New Roman" w:hAnsi="Times New Roman"/>
          <w:sz w:val="28"/>
          <w:szCs w:val="28"/>
          <w:lang w:eastAsia="ru-RU"/>
        </w:rPr>
        <w:t>населённых пунктов</w:t>
      </w:r>
      <w:r w:rsidRPr="00EF3CC0">
        <w:rPr>
          <w:rFonts w:ascii="Times New Roman" w:hAnsi="Times New Roman"/>
          <w:sz w:val="28"/>
          <w:szCs w:val="28"/>
          <w:lang w:eastAsia="ru-RU"/>
        </w:rPr>
        <w:t xml:space="preserve"> необходимо запретить въезд грузового транспорта в</w:t>
      </w:r>
      <w:r>
        <w:rPr>
          <w:rFonts w:ascii="Times New Roman" w:hAnsi="Times New Roman"/>
          <w:sz w:val="28"/>
          <w:szCs w:val="28"/>
          <w:lang w:eastAsia="ru-RU"/>
        </w:rPr>
        <w:t> </w:t>
      </w:r>
      <w:r w:rsidRPr="00EF3CC0">
        <w:rPr>
          <w:rFonts w:ascii="Times New Roman" w:hAnsi="Times New Roman"/>
          <w:sz w:val="28"/>
          <w:szCs w:val="28"/>
          <w:lang w:eastAsia="ru-RU"/>
        </w:rPr>
        <w:t>жилые районы.</w:t>
      </w:r>
    </w:p>
    <w:p w:rsidR="002D1E45" w:rsidRPr="00D9442C" w:rsidRDefault="002D1E45" w:rsidP="00D9442C">
      <w:pPr>
        <w:spacing w:after="0" w:line="240" w:lineRule="auto"/>
        <w:ind w:firstLine="709"/>
        <w:jc w:val="both"/>
        <w:rPr>
          <w:rFonts w:ascii="Times New Roman" w:hAnsi="Times New Roman"/>
          <w:sz w:val="28"/>
          <w:szCs w:val="24"/>
          <w:lang w:eastAsia="ru-RU"/>
        </w:rPr>
      </w:pPr>
      <w:r w:rsidRPr="00D9442C">
        <w:rPr>
          <w:rFonts w:ascii="Times New Roman" w:hAnsi="Times New Roman"/>
          <w:sz w:val="28"/>
          <w:szCs w:val="28"/>
          <w:lang w:eastAsia="ru-RU"/>
        </w:rPr>
        <w:t xml:space="preserve">В соответствии с СП 42.13330.2016 «Градостроительство. Планировка и застройка городских и сельских поселений». Актуализированная редакция СНиП 2.07.01-89* введена чёткая дифференциация улично-дорожной сети по категориям. </w:t>
      </w:r>
    </w:p>
    <w:p w:rsidR="002D1E45" w:rsidRPr="00D9442C" w:rsidRDefault="002D1E45" w:rsidP="00D9442C">
      <w:pPr>
        <w:autoSpaceDE w:val="0"/>
        <w:autoSpaceDN w:val="0"/>
        <w:adjustRightInd w:val="0"/>
        <w:spacing w:after="0" w:line="240" w:lineRule="auto"/>
        <w:jc w:val="right"/>
        <w:rPr>
          <w:rFonts w:ascii="Times New Roman" w:hAnsi="Times New Roman"/>
          <w:sz w:val="28"/>
          <w:szCs w:val="24"/>
          <w:lang w:eastAsia="ru-RU"/>
        </w:rPr>
      </w:pPr>
      <w:r w:rsidRPr="00D9442C">
        <w:rPr>
          <w:rFonts w:ascii="Times New Roman" w:hAnsi="Times New Roman"/>
          <w:sz w:val="28"/>
          <w:szCs w:val="24"/>
          <w:lang w:eastAsia="ru-RU"/>
        </w:rPr>
        <w:t xml:space="preserve">Таблица </w:t>
      </w:r>
      <w:bookmarkStart w:id="316" w:name="Tbl_DorogiTip"/>
      <w:r w:rsidRPr="00D9442C">
        <w:rPr>
          <w:rFonts w:ascii="Times New Roman" w:hAnsi="Times New Roman"/>
          <w:sz w:val="28"/>
          <w:szCs w:val="24"/>
        </w:rPr>
        <w:fldChar w:fldCharType="begin"/>
      </w:r>
      <w:r w:rsidRPr="00D9442C">
        <w:rPr>
          <w:rFonts w:ascii="Times New Roman" w:hAnsi="Times New Roman"/>
          <w:sz w:val="28"/>
          <w:szCs w:val="24"/>
        </w:rPr>
        <w:instrText xml:space="preserve"> SEQ Таблица \* ARABIC </w:instrText>
      </w:r>
      <w:r w:rsidRPr="00D9442C">
        <w:rPr>
          <w:rFonts w:ascii="Times New Roman" w:hAnsi="Times New Roman"/>
          <w:sz w:val="28"/>
          <w:szCs w:val="24"/>
        </w:rPr>
        <w:fldChar w:fldCharType="separate"/>
      </w:r>
      <w:r>
        <w:rPr>
          <w:rFonts w:ascii="Times New Roman" w:hAnsi="Times New Roman"/>
          <w:noProof/>
          <w:sz w:val="28"/>
          <w:szCs w:val="24"/>
        </w:rPr>
        <w:t>59</w:t>
      </w:r>
      <w:r w:rsidRPr="00D9442C">
        <w:rPr>
          <w:rFonts w:ascii="Times New Roman" w:hAnsi="Times New Roman"/>
          <w:sz w:val="28"/>
          <w:szCs w:val="24"/>
        </w:rPr>
        <w:fldChar w:fldCharType="end"/>
      </w:r>
      <w:bookmarkEnd w:id="316"/>
    </w:p>
    <w:p w:rsidR="002D1E45" w:rsidRDefault="002D1E45" w:rsidP="00D9442C">
      <w:pPr>
        <w:spacing w:after="120" w:line="240" w:lineRule="auto"/>
        <w:jc w:val="center"/>
        <w:rPr>
          <w:rFonts w:ascii="Times New Roman" w:hAnsi="Times New Roman"/>
          <w:bCs/>
          <w:color w:val="000000"/>
          <w:sz w:val="28"/>
          <w:szCs w:val="24"/>
          <w:lang w:eastAsia="ru-RU"/>
        </w:rPr>
      </w:pPr>
      <w:r w:rsidRPr="00D9442C">
        <w:rPr>
          <w:rFonts w:ascii="Times New Roman" w:hAnsi="Times New Roman"/>
          <w:bCs/>
          <w:color w:val="000000"/>
          <w:sz w:val="28"/>
          <w:szCs w:val="24"/>
          <w:lang w:eastAsia="ru-RU"/>
        </w:rPr>
        <w:t>Категория дорог и улиц</w:t>
      </w: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696"/>
        <w:gridCol w:w="1104"/>
        <w:gridCol w:w="995"/>
        <w:gridCol w:w="992"/>
        <w:gridCol w:w="1277"/>
        <w:gridCol w:w="1094"/>
        <w:gridCol w:w="1160"/>
        <w:gridCol w:w="1160"/>
        <w:gridCol w:w="1149"/>
      </w:tblGrid>
      <w:tr w:rsidR="002D1E45" w:rsidRPr="006B3FDA" w:rsidTr="007D4C39">
        <w:trPr>
          <w:trHeight w:val="170"/>
          <w:tblHeader/>
          <w:jc w:val="center"/>
        </w:trPr>
        <w:tc>
          <w:tcPr>
            <w:tcW w:w="1696"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Категория дорог и улиц</w:t>
            </w:r>
          </w:p>
        </w:tc>
        <w:tc>
          <w:tcPr>
            <w:tcW w:w="1104"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Расчётная</w:t>
            </w:r>
          </w:p>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скорость</w:t>
            </w:r>
          </w:p>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движения,</w:t>
            </w:r>
          </w:p>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км/ч</w:t>
            </w:r>
          </w:p>
        </w:tc>
        <w:tc>
          <w:tcPr>
            <w:tcW w:w="995"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Ширина</w:t>
            </w:r>
          </w:p>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полосы</w:t>
            </w:r>
          </w:p>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движения, м</w:t>
            </w:r>
          </w:p>
        </w:tc>
        <w:tc>
          <w:tcPr>
            <w:tcW w:w="992"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Число полос движения (суммарно в двух</w:t>
            </w:r>
          </w:p>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направлениях)</w:t>
            </w:r>
          </w:p>
        </w:tc>
        <w:tc>
          <w:tcPr>
            <w:tcW w:w="1277"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Наименьший радиус кривых в плане с виражом/без виража, м</w:t>
            </w:r>
          </w:p>
        </w:tc>
        <w:tc>
          <w:tcPr>
            <w:tcW w:w="1094"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Наибольший продольный уклон, ‰</w:t>
            </w:r>
          </w:p>
        </w:tc>
        <w:tc>
          <w:tcPr>
            <w:tcW w:w="1160"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Наименьший радиус вертикальной выпуклой кривой, м</w:t>
            </w:r>
          </w:p>
        </w:tc>
        <w:tc>
          <w:tcPr>
            <w:tcW w:w="1160"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Наименьший радиус вертикальной вогнутой кривой, м</w:t>
            </w:r>
          </w:p>
        </w:tc>
        <w:tc>
          <w:tcPr>
            <w:tcW w:w="1149"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Наименьшая</w:t>
            </w:r>
          </w:p>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ширина</w:t>
            </w:r>
          </w:p>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пешеходной</w:t>
            </w:r>
          </w:p>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части</w:t>
            </w:r>
          </w:p>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тротуара, м</w:t>
            </w:r>
          </w:p>
        </w:tc>
      </w:tr>
      <w:tr w:rsidR="002D1E45" w:rsidRPr="006B3FDA" w:rsidTr="007D4C39">
        <w:trPr>
          <w:trHeight w:val="170"/>
          <w:jc w:val="center"/>
        </w:trPr>
        <w:tc>
          <w:tcPr>
            <w:tcW w:w="10627" w:type="dxa"/>
            <w:gridSpan w:val="9"/>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Магистральные улицы и дороги</w:t>
            </w:r>
          </w:p>
        </w:tc>
      </w:tr>
      <w:tr w:rsidR="002D1E45" w:rsidRPr="006B3FDA" w:rsidTr="007D4C39">
        <w:trPr>
          <w:trHeight w:val="170"/>
          <w:jc w:val="center"/>
        </w:trPr>
        <w:tc>
          <w:tcPr>
            <w:tcW w:w="10627" w:type="dxa"/>
            <w:gridSpan w:val="9"/>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Магистральные городские дороги</w:t>
            </w:r>
          </w:p>
        </w:tc>
      </w:tr>
      <w:tr w:rsidR="002D1E45" w:rsidRPr="006B3FDA" w:rsidTr="007D4C39">
        <w:trPr>
          <w:trHeight w:val="170"/>
          <w:jc w:val="center"/>
        </w:trPr>
        <w:tc>
          <w:tcPr>
            <w:tcW w:w="1696" w:type="dxa"/>
            <w:vMerge w:val="restart"/>
            <w:shd w:val="clear" w:color="auto" w:fill="FFFFFF"/>
            <w:vAlign w:val="center"/>
          </w:tcPr>
          <w:p w:rsidR="002D1E45" w:rsidRPr="006B3FDA" w:rsidRDefault="002D1E45" w:rsidP="007D4C39">
            <w:pPr>
              <w:spacing w:after="0" w:line="240" w:lineRule="auto"/>
              <w:rPr>
                <w:rFonts w:ascii="Times New Roman" w:hAnsi="Times New Roman"/>
                <w:sz w:val="20"/>
                <w:szCs w:val="20"/>
                <w:lang w:eastAsia="ru-RU"/>
              </w:rPr>
            </w:pPr>
            <w:r w:rsidRPr="006B3FDA">
              <w:rPr>
                <w:rFonts w:ascii="Times New Roman" w:hAnsi="Times New Roman"/>
                <w:color w:val="000000"/>
                <w:sz w:val="20"/>
                <w:szCs w:val="20"/>
                <w:lang w:eastAsia="ru-RU"/>
              </w:rPr>
              <w:t>1 -го класса</w:t>
            </w:r>
          </w:p>
        </w:tc>
        <w:tc>
          <w:tcPr>
            <w:tcW w:w="1104"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130</w:t>
            </w:r>
          </w:p>
        </w:tc>
        <w:tc>
          <w:tcPr>
            <w:tcW w:w="995" w:type="dxa"/>
            <w:vMerge w:val="restart"/>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3,50-3,75</w:t>
            </w:r>
          </w:p>
        </w:tc>
        <w:tc>
          <w:tcPr>
            <w:tcW w:w="992" w:type="dxa"/>
            <w:vMerge w:val="restart"/>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4-10</w:t>
            </w:r>
          </w:p>
        </w:tc>
        <w:tc>
          <w:tcPr>
            <w:tcW w:w="1277"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1200/1900</w:t>
            </w:r>
          </w:p>
        </w:tc>
        <w:tc>
          <w:tcPr>
            <w:tcW w:w="1094"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40</w:t>
            </w:r>
          </w:p>
        </w:tc>
        <w:tc>
          <w:tcPr>
            <w:tcW w:w="1160"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21500</w:t>
            </w:r>
          </w:p>
        </w:tc>
        <w:tc>
          <w:tcPr>
            <w:tcW w:w="1160"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2600</w:t>
            </w:r>
          </w:p>
        </w:tc>
        <w:tc>
          <w:tcPr>
            <w:tcW w:w="1149" w:type="dxa"/>
            <w:vMerge w:val="restart"/>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w:t>
            </w:r>
          </w:p>
        </w:tc>
      </w:tr>
      <w:tr w:rsidR="002D1E45" w:rsidRPr="006B3FDA" w:rsidTr="007D4C39">
        <w:trPr>
          <w:trHeight w:val="170"/>
          <w:jc w:val="center"/>
        </w:trPr>
        <w:tc>
          <w:tcPr>
            <w:tcW w:w="1696" w:type="dxa"/>
            <w:vMerge/>
            <w:shd w:val="clear" w:color="auto" w:fill="FFFFFF"/>
            <w:vAlign w:val="center"/>
          </w:tcPr>
          <w:p w:rsidR="002D1E45" w:rsidRPr="006B3FDA" w:rsidRDefault="002D1E45" w:rsidP="007D4C39">
            <w:pPr>
              <w:spacing w:after="0" w:line="240" w:lineRule="auto"/>
              <w:rPr>
                <w:rFonts w:ascii="Times New Roman" w:hAnsi="Times New Roman"/>
                <w:sz w:val="20"/>
                <w:szCs w:val="20"/>
                <w:lang w:eastAsia="ru-RU"/>
              </w:rPr>
            </w:pPr>
          </w:p>
        </w:tc>
        <w:tc>
          <w:tcPr>
            <w:tcW w:w="1104"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110</w:t>
            </w:r>
          </w:p>
        </w:tc>
        <w:tc>
          <w:tcPr>
            <w:tcW w:w="995" w:type="dxa"/>
            <w:vMerge/>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p>
        </w:tc>
        <w:tc>
          <w:tcPr>
            <w:tcW w:w="992" w:type="dxa"/>
            <w:vMerge/>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p>
        </w:tc>
        <w:tc>
          <w:tcPr>
            <w:tcW w:w="1277"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760/1100</w:t>
            </w:r>
          </w:p>
        </w:tc>
        <w:tc>
          <w:tcPr>
            <w:tcW w:w="1094"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45</w:t>
            </w:r>
          </w:p>
        </w:tc>
        <w:tc>
          <w:tcPr>
            <w:tcW w:w="1160"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12500</w:t>
            </w:r>
          </w:p>
        </w:tc>
        <w:tc>
          <w:tcPr>
            <w:tcW w:w="1160"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1900</w:t>
            </w:r>
          </w:p>
        </w:tc>
        <w:tc>
          <w:tcPr>
            <w:tcW w:w="1149" w:type="dxa"/>
            <w:vMerge/>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p>
        </w:tc>
      </w:tr>
      <w:tr w:rsidR="002D1E45" w:rsidRPr="006B3FDA" w:rsidTr="007D4C39">
        <w:trPr>
          <w:trHeight w:val="170"/>
          <w:jc w:val="center"/>
        </w:trPr>
        <w:tc>
          <w:tcPr>
            <w:tcW w:w="1696" w:type="dxa"/>
            <w:vMerge/>
            <w:shd w:val="clear" w:color="auto" w:fill="FFFFFF"/>
            <w:vAlign w:val="center"/>
          </w:tcPr>
          <w:p w:rsidR="002D1E45" w:rsidRPr="006B3FDA" w:rsidRDefault="002D1E45" w:rsidP="007D4C39">
            <w:pPr>
              <w:spacing w:after="0" w:line="240" w:lineRule="auto"/>
              <w:rPr>
                <w:rFonts w:ascii="Times New Roman" w:hAnsi="Times New Roman"/>
                <w:sz w:val="20"/>
                <w:szCs w:val="20"/>
                <w:lang w:eastAsia="ru-RU"/>
              </w:rPr>
            </w:pPr>
          </w:p>
        </w:tc>
        <w:tc>
          <w:tcPr>
            <w:tcW w:w="1104"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90</w:t>
            </w:r>
          </w:p>
        </w:tc>
        <w:tc>
          <w:tcPr>
            <w:tcW w:w="995" w:type="dxa"/>
            <w:vMerge/>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p>
        </w:tc>
        <w:tc>
          <w:tcPr>
            <w:tcW w:w="992" w:type="dxa"/>
            <w:vMerge/>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p>
        </w:tc>
        <w:tc>
          <w:tcPr>
            <w:tcW w:w="1277"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430/580</w:t>
            </w:r>
          </w:p>
        </w:tc>
        <w:tc>
          <w:tcPr>
            <w:tcW w:w="1094"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55</w:t>
            </w:r>
          </w:p>
        </w:tc>
        <w:tc>
          <w:tcPr>
            <w:tcW w:w="1160"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6700</w:t>
            </w:r>
          </w:p>
        </w:tc>
        <w:tc>
          <w:tcPr>
            <w:tcW w:w="1160"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1300</w:t>
            </w:r>
          </w:p>
        </w:tc>
        <w:tc>
          <w:tcPr>
            <w:tcW w:w="1149" w:type="dxa"/>
            <w:vMerge/>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p>
        </w:tc>
      </w:tr>
      <w:tr w:rsidR="002D1E45" w:rsidRPr="006B3FDA" w:rsidTr="007D4C39">
        <w:trPr>
          <w:trHeight w:val="170"/>
          <w:jc w:val="center"/>
        </w:trPr>
        <w:tc>
          <w:tcPr>
            <w:tcW w:w="1696" w:type="dxa"/>
            <w:vMerge w:val="restart"/>
            <w:shd w:val="clear" w:color="auto" w:fill="FFFFFF"/>
            <w:vAlign w:val="center"/>
          </w:tcPr>
          <w:p w:rsidR="002D1E45" w:rsidRPr="006B3FDA" w:rsidRDefault="002D1E45" w:rsidP="007D4C39">
            <w:pPr>
              <w:spacing w:after="0" w:line="240" w:lineRule="auto"/>
              <w:rPr>
                <w:rFonts w:ascii="Times New Roman" w:hAnsi="Times New Roman"/>
                <w:sz w:val="20"/>
                <w:szCs w:val="20"/>
                <w:lang w:eastAsia="ru-RU"/>
              </w:rPr>
            </w:pPr>
            <w:r w:rsidRPr="006B3FDA">
              <w:rPr>
                <w:rFonts w:ascii="Times New Roman" w:hAnsi="Times New Roman"/>
                <w:color w:val="000000"/>
                <w:sz w:val="20"/>
                <w:szCs w:val="20"/>
                <w:lang w:eastAsia="ru-RU"/>
              </w:rPr>
              <w:t>2-го класса</w:t>
            </w:r>
          </w:p>
        </w:tc>
        <w:tc>
          <w:tcPr>
            <w:tcW w:w="1104"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90</w:t>
            </w:r>
          </w:p>
        </w:tc>
        <w:tc>
          <w:tcPr>
            <w:tcW w:w="995"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3,50-3,75</w:t>
            </w:r>
          </w:p>
        </w:tc>
        <w:tc>
          <w:tcPr>
            <w:tcW w:w="992" w:type="dxa"/>
            <w:vMerge w:val="restart"/>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4-8</w:t>
            </w:r>
          </w:p>
        </w:tc>
        <w:tc>
          <w:tcPr>
            <w:tcW w:w="1277"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430/580</w:t>
            </w:r>
          </w:p>
        </w:tc>
        <w:tc>
          <w:tcPr>
            <w:tcW w:w="1094"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55</w:t>
            </w:r>
          </w:p>
        </w:tc>
        <w:tc>
          <w:tcPr>
            <w:tcW w:w="1160"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5700</w:t>
            </w:r>
          </w:p>
        </w:tc>
        <w:tc>
          <w:tcPr>
            <w:tcW w:w="1160"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1300</w:t>
            </w:r>
          </w:p>
        </w:tc>
        <w:tc>
          <w:tcPr>
            <w:tcW w:w="1149" w:type="dxa"/>
            <w:vMerge w:val="restart"/>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w:t>
            </w:r>
          </w:p>
        </w:tc>
      </w:tr>
      <w:tr w:rsidR="002D1E45" w:rsidRPr="006B3FDA" w:rsidTr="007D4C39">
        <w:trPr>
          <w:trHeight w:val="170"/>
          <w:jc w:val="center"/>
        </w:trPr>
        <w:tc>
          <w:tcPr>
            <w:tcW w:w="1696" w:type="dxa"/>
            <w:vMerge/>
            <w:shd w:val="clear" w:color="auto" w:fill="FFFFFF"/>
            <w:vAlign w:val="center"/>
          </w:tcPr>
          <w:p w:rsidR="002D1E45" w:rsidRPr="006B3FDA" w:rsidRDefault="002D1E45" w:rsidP="007D4C39">
            <w:pPr>
              <w:spacing w:after="0" w:line="240" w:lineRule="auto"/>
              <w:rPr>
                <w:rFonts w:ascii="Times New Roman" w:hAnsi="Times New Roman"/>
                <w:sz w:val="20"/>
                <w:szCs w:val="20"/>
                <w:lang w:eastAsia="ru-RU"/>
              </w:rPr>
            </w:pPr>
          </w:p>
        </w:tc>
        <w:tc>
          <w:tcPr>
            <w:tcW w:w="1104"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80</w:t>
            </w:r>
          </w:p>
        </w:tc>
        <w:tc>
          <w:tcPr>
            <w:tcW w:w="995" w:type="dxa"/>
            <w:vMerge w:val="restart"/>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3,25-3,75</w:t>
            </w:r>
          </w:p>
        </w:tc>
        <w:tc>
          <w:tcPr>
            <w:tcW w:w="992" w:type="dxa"/>
            <w:vMerge/>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p>
        </w:tc>
        <w:tc>
          <w:tcPr>
            <w:tcW w:w="1277"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310/420</w:t>
            </w:r>
          </w:p>
        </w:tc>
        <w:tc>
          <w:tcPr>
            <w:tcW w:w="1094"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60</w:t>
            </w:r>
          </w:p>
        </w:tc>
        <w:tc>
          <w:tcPr>
            <w:tcW w:w="1160"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3900</w:t>
            </w:r>
          </w:p>
        </w:tc>
        <w:tc>
          <w:tcPr>
            <w:tcW w:w="1160"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1000</w:t>
            </w:r>
          </w:p>
        </w:tc>
        <w:tc>
          <w:tcPr>
            <w:tcW w:w="1149" w:type="dxa"/>
            <w:vMerge/>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p>
        </w:tc>
      </w:tr>
      <w:tr w:rsidR="002D1E45" w:rsidRPr="006B3FDA" w:rsidTr="007D4C39">
        <w:trPr>
          <w:trHeight w:val="170"/>
          <w:jc w:val="center"/>
        </w:trPr>
        <w:tc>
          <w:tcPr>
            <w:tcW w:w="1696" w:type="dxa"/>
            <w:vMerge/>
            <w:shd w:val="clear" w:color="auto" w:fill="FFFFFF"/>
            <w:vAlign w:val="center"/>
          </w:tcPr>
          <w:p w:rsidR="002D1E45" w:rsidRPr="006B3FDA" w:rsidRDefault="002D1E45" w:rsidP="007D4C39">
            <w:pPr>
              <w:spacing w:after="0" w:line="240" w:lineRule="auto"/>
              <w:rPr>
                <w:rFonts w:ascii="Times New Roman" w:hAnsi="Times New Roman"/>
                <w:sz w:val="20"/>
                <w:szCs w:val="20"/>
                <w:lang w:eastAsia="ru-RU"/>
              </w:rPr>
            </w:pPr>
          </w:p>
        </w:tc>
        <w:tc>
          <w:tcPr>
            <w:tcW w:w="1104"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70</w:t>
            </w:r>
          </w:p>
        </w:tc>
        <w:tc>
          <w:tcPr>
            <w:tcW w:w="995" w:type="dxa"/>
            <w:vMerge/>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p>
        </w:tc>
        <w:tc>
          <w:tcPr>
            <w:tcW w:w="992" w:type="dxa"/>
            <w:vMerge/>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p>
        </w:tc>
        <w:tc>
          <w:tcPr>
            <w:tcW w:w="1277"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230/310</w:t>
            </w:r>
          </w:p>
        </w:tc>
        <w:tc>
          <w:tcPr>
            <w:tcW w:w="1094"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65</w:t>
            </w:r>
          </w:p>
        </w:tc>
        <w:tc>
          <w:tcPr>
            <w:tcW w:w="1160"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2600</w:t>
            </w:r>
          </w:p>
        </w:tc>
        <w:tc>
          <w:tcPr>
            <w:tcW w:w="1160"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800</w:t>
            </w:r>
          </w:p>
        </w:tc>
        <w:tc>
          <w:tcPr>
            <w:tcW w:w="1149" w:type="dxa"/>
            <w:vMerge/>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p>
        </w:tc>
      </w:tr>
      <w:tr w:rsidR="002D1E45" w:rsidRPr="006B3FDA" w:rsidTr="007D4C39">
        <w:trPr>
          <w:trHeight w:val="170"/>
          <w:jc w:val="center"/>
        </w:trPr>
        <w:tc>
          <w:tcPr>
            <w:tcW w:w="10627" w:type="dxa"/>
            <w:gridSpan w:val="9"/>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Магистральные улицы общегородского значения:</w:t>
            </w:r>
          </w:p>
        </w:tc>
      </w:tr>
      <w:tr w:rsidR="002D1E45" w:rsidRPr="006B3FDA" w:rsidTr="007D4C39">
        <w:trPr>
          <w:trHeight w:val="170"/>
          <w:jc w:val="center"/>
        </w:trPr>
        <w:tc>
          <w:tcPr>
            <w:tcW w:w="1696" w:type="dxa"/>
            <w:vMerge w:val="restart"/>
            <w:shd w:val="clear" w:color="auto" w:fill="FFFFFF"/>
            <w:vAlign w:val="center"/>
          </w:tcPr>
          <w:p w:rsidR="002D1E45" w:rsidRPr="006B3FDA" w:rsidRDefault="002D1E45" w:rsidP="007D4C39">
            <w:pPr>
              <w:spacing w:after="0" w:line="240" w:lineRule="auto"/>
              <w:rPr>
                <w:rFonts w:ascii="Times New Roman" w:hAnsi="Times New Roman"/>
                <w:sz w:val="20"/>
                <w:szCs w:val="20"/>
                <w:lang w:eastAsia="ru-RU"/>
              </w:rPr>
            </w:pPr>
            <w:r w:rsidRPr="006B3FDA">
              <w:rPr>
                <w:rFonts w:ascii="Times New Roman" w:hAnsi="Times New Roman"/>
                <w:color w:val="000000"/>
                <w:sz w:val="20"/>
                <w:szCs w:val="20"/>
                <w:lang w:eastAsia="ru-RU"/>
              </w:rPr>
              <w:t>1 -го класса</w:t>
            </w:r>
          </w:p>
        </w:tc>
        <w:tc>
          <w:tcPr>
            <w:tcW w:w="1104"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90</w:t>
            </w:r>
          </w:p>
        </w:tc>
        <w:tc>
          <w:tcPr>
            <w:tcW w:w="995"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3,50-3,75</w:t>
            </w:r>
          </w:p>
        </w:tc>
        <w:tc>
          <w:tcPr>
            <w:tcW w:w="992" w:type="dxa"/>
            <w:vMerge w:val="restart"/>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4-10</w:t>
            </w:r>
          </w:p>
        </w:tc>
        <w:tc>
          <w:tcPr>
            <w:tcW w:w="1277"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430/580</w:t>
            </w:r>
          </w:p>
        </w:tc>
        <w:tc>
          <w:tcPr>
            <w:tcW w:w="1094"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55</w:t>
            </w:r>
          </w:p>
        </w:tc>
        <w:tc>
          <w:tcPr>
            <w:tcW w:w="1160"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5700</w:t>
            </w:r>
          </w:p>
        </w:tc>
        <w:tc>
          <w:tcPr>
            <w:tcW w:w="1160"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1300</w:t>
            </w:r>
          </w:p>
        </w:tc>
        <w:tc>
          <w:tcPr>
            <w:tcW w:w="1149" w:type="dxa"/>
            <w:vMerge w:val="restart"/>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4,5</w:t>
            </w:r>
          </w:p>
        </w:tc>
      </w:tr>
      <w:tr w:rsidR="002D1E45" w:rsidRPr="006B3FDA" w:rsidTr="007D4C39">
        <w:trPr>
          <w:trHeight w:val="170"/>
          <w:jc w:val="center"/>
        </w:trPr>
        <w:tc>
          <w:tcPr>
            <w:tcW w:w="1696" w:type="dxa"/>
            <w:vMerge/>
            <w:shd w:val="clear" w:color="auto" w:fill="FFFFFF"/>
            <w:vAlign w:val="center"/>
          </w:tcPr>
          <w:p w:rsidR="002D1E45" w:rsidRPr="006B3FDA" w:rsidRDefault="002D1E45" w:rsidP="007D4C39">
            <w:pPr>
              <w:spacing w:after="0" w:line="240" w:lineRule="auto"/>
              <w:rPr>
                <w:rFonts w:ascii="Times New Roman" w:hAnsi="Times New Roman"/>
                <w:sz w:val="20"/>
                <w:szCs w:val="20"/>
                <w:lang w:eastAsia="ru-RU"/>
              </w:rPr>
            </w:pPr>
          </w:p>
        </w:tc>
        <w:tc>
          <w:tcPr>
            <w:tcW w:w="1104"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80</w:t>
            </w:r>
          </w:p>
        </w:tc>
        <w:tc>
          <w:tcPr>
            <w:tcW w:w="995" w:type="dxa"/>
            <w:vMerge w:val="restart"/>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3,25-3,75</w:t>
            </w:r>
          </w:p>
        </w:tc>
        <w:tc>
          <w:tcPr>
            <w:tcW w:w="992" w:type="dxa"/>
            <w:vMerge/>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p>
        </w:tc>
        <w:tc>
          <w:tcPr>
            <w:tcW w:w="1277"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310/420</w:t>
            </w:r>
          </w:p>
        </w:tc>
        <w:tc>
          <w:tcPr>
            <w:tcW w:w="1094"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60</w:t>
            </w:r>
          </w:p>
        </w:tc>
        <w:tc>
          <w:tcPr>
            <w:tcW w:w="1160"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3900</w:t>
            </w:r>
          </w:p>
        </w:tc>
        <w:tc>
          <w:tcPr>
            <w:tcW w:w="1160"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1000</w:t>
            </w:r>
          </w:p>
        </w:tc>
        <w:tc>
          <w:tcPr>
            <w:tcW w:w="1149" w:type="dxa"/>
            <w:vMerge/>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p>
        </w:tc>
      </w:tr>
      <w:tr w:rsidR="002D1E45" w:rsidRPr="006B3FDA" w:rsidTr="007D4C39">
        <w:trPr>
          <w:trHeight w:val="170"/>
          <w:jc w:val="center"/>
        </w:trPr>
        <w:tc>
          <w:tcPr>
            <w:tcW w:w="1696" w:type="dxa"/>
            <w:vMerge/>
            <w:shd w:val="clear" w:color="auto" w:fill="FFFFFF"/>
            <w:vAlign w:val="center"/>
          </w:tcPr>
          <w:p w:rsidR="002D1E45" w:rsidRPr="006B3FDA" w:rsidRDefault="002D1E45" w:rsidP="007D4C39">
            <w:pPr>
              <w:spacing w:after="0" w:line="240" w:lineRule="auto"/>
              <w:rPr>
                <w:rFonts w:ascii="Times New Roman" w:hAnsi="Times New Roman"/>
                <w:sz w:val="20"/>
                <w:szCs w:val="20"/>
                <w:lang w:eastAsia="ru-RU"/>
              </w:rPr>
            </w:pPr>
          </w:p>
        </w:tc>
        <w:tc>
          <w:tcPr>
            <w:tcW w:w="1104"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70</w:t>
            </w:r>
          </w:p>
        </w:tc>
        <w:tc>
          <w:tcPr>
            <w:tcW w:w="995" w:type="dxa"/>
            <w:vMerge/>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p>
        </w:tc>
        <w:tc>
          <w:tcPr>
            <w:tcW w:w="992" w:type="dxa"/>
            <w:vMerge/>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p>
        </w:tc>
        <w:tc>
          <w:tcPr>
            <w:tcW w:w="1277"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230/310</w:t>
            </w:r>
          </w:p>
        </w:tc>
        <w:tc>
          <w:tcPr>
            <w:tcW w:w="1094"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65</w:t>
            </w:r>
          </w:p>
        </w:tc>
        <w:tc>
          <w:tcPr>
            <w:tcW w:w="1160"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2600</w:t>
            </w:r>
          </w:p>
        </w:tc>
        <w:tc>
          <w:tcPr>
            <w:tcW w:w="1160"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800</w:t>
            </w:r>
          </w:p>
        </w:tc>
        <w:tc>
          <w:tcPr>
            <w:tcW w:w="1149" w:type="dxa"/>
            <w:vMerge/>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p>
        </w:tc>
      </w:tr>
      <w:tr w:rsidR="002D1E45" w:rsidRPr="006B3FDA" w:rsidTr="007D4C39">
        <w:trPr>
          <w:trHeight w:val="170"/>
          <w:jc w:val="center"/>
        </w:trPr>
        <w:tc>
          <w:tcPr>
            <w:tcW w:w="1696" w:type="dxa"/>
            <w:vMerge w:val="restart"/>
            <w:shd w:val="clear" w:color="auto" w:fill="FFFFFF"/>
            <w:vAlign w:val="center"/>
          </w:tcPr>
          <w:p w:rsidR="002D1E45" w:rsidRPr="006B3FDA" w:rsidRDefault="002D1E45" w:rsidP="007D4C39">
            <w:pPr>
              <w:spacing w:after="0" w:line="240" w:lineRule="auto"/>
              <w:rPr>
                <w:rFonts w:ascii="Times New Roman" w:hAnsi="Times New Roman"/>
                <w:sz w:val="20"/>
                <w:szCs w:val="20"/>
                <w:lang w:eastAsia="ru-RU"/>
              </w:rPr>
            </w:pPr>
            <w:r w:rsidRPr="006B3FDA">
              <w:rPr>
                <w:rFonts w:ascii="Times New Roman" w:hAnsi="Times New Roman"/>
                <w:color w:val="000000"/>
                <w:sz w:val="20"/>
                <w:szCs w:val="20"/>
                <w:lang w:eastAsia="ru-RU"/>
              </w:rPr>
              <w:t>2-го класса</w:t>
            </w:r>
          </w:p>
        </w:tc>
        <w:tc>
          <w:tcPr>
            <w:tcW w:w="1104"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80</w:t>
            </w:r>
          </w:p>
        </w:tc>
        <w:tc>
          <w:tcPr>
            <w:tcW w:w="995" w:type="dxa"/>
            <w:vMerge w:val="restart"/>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3,25-3,75</w:t>
            </w:r>
          </w:p>
        </w:tc>
        <w:tc>
          <w:tcPr>
            <w:tcW w:w="992" w:type="dxa"/>
            <w:vMerge w:val="restart"/>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4-10</w:t>
            </w:r>
          </w:p>
        </w:tc>
        <w:tc>
          <w:tcPr>
            <w:tcW w:w="1277"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310/420</w:t>
            </w:r>
          </w:p>
        </w:tc>
        <w:tc>
          <w:tcPr>
            <w:tcW w:w="1094"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60</w:t>
            </w:r>
          </w:p>
        </w:tc>
        <w:tc>
          <w:tcPr>
            <w:tcW w:w="1160"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3900</w:t>
            </w:r>
          </w:p>
        </w:tc>
        <w:tc>
          <w:tcPr>
            <w:tcW w:w="1160"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1000</w:t>
            </w:r>
          </w:p>
        </w:tc>
        <w:tc>
          <w:tcPr>
            <w:tcW w:w="1149" w:type="dxa"/>
            <w:vMerge w:val="restart"/>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3,0</w:t>
            </w:r>
          </w:p>
        </w:tc>
      </w:tr>
      <w:tr w:rsidR="002D1E45" w:rsidRPr="006B3FDA" w:rsidTr="007D4C39">
        <w:trPr>
          <w:trHeight w:val="170"/>
          <w:jc w:val="center"/>
        </w:trPr>
        <w:tc>
          <w:tcPr>
            <w:tcW w:w="1696" w:type="dxa"/>
            <w:vMerge/>
            <w:shd w:val="clear" w:color="auto" w:fill="FFFFFF"/>
            <w:vAlign w:val="center"/>
          </w:tcPr>
          <w:p w:rsidR="002D1E45" w:rsidRPr="006B3FDA" w:rsidRDefault="002D1E45" w:rsidP="007D4C39">
            <w:pPr>
              <w:spacing w:after="0" w:line="240" w:lineRule="auto"/>
              <w:rPr>
                <w:rFonts w:ascii="Times New Roman" w:hAnsi="Times New Roman"/>
                <w:sz w:val="20"/>
                <w:szCs w:val="20"/>
                <w:lang w:eastAsia="ru-RU"/>
              </w:rPr>
            </w:pPr>
          </w:p>
        </w:tc>
        <w:tc>
          <w:tcPr>
            <w:tcW w:w="1104"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70</w:t>
            </w:r>
          </w:p>
        </w:tc>
        <w:tc>
          <w:tcPr>
            <w:tcW w:w="995" w:type="dxa"/>
            <w:vMerge/>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p>
        </w:tc>
        <w:tc>
          <w:tcPr>
            <w:tcW w:w="992" w:type="dxa"/>
            <w:vMerge/>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p>
        </w:tc>
        <w:tc>
          <w:tcPr>
            <w:tcW w:w="1277"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230/310</w:t>
            </w:r>
          </w:p>
        </w:tc>
        <w:tc>
          <w:tcPr>
            <w:tcW w:w="1094"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65</w:t>
            </w:r>
          </w:p>
        </w:tc>
        <w:tc>
          <w:tcPr>
            <w:tcW w:w="1160"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2600</w:t>
            </w:r>
          </w:p>
        </w:tc>
        <w:tc>
          <w:tcPr>
            <w:tcW w:w="1160"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800</w:t>
            </w:r>
          </w:p>
        </w:tc>
        <w:tc>
          <w:tcPr>
            <w:tcW w:w="1149" w:type="dxa"/>
            <w:vMerge/>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p>
        </w:tc>
      </w:tr>
      <w:tr w:rsidR="002D1E45" w:rsidRPr="006B3FDA" w:rsidTr="007D4C39">
        <w:trPr>
          <w:trHeight w:val="170"/>
          <w:jc w:val="center"/>
        </w:trPr>
        <w:tc>
          <w:tcPr>
            <w:tcW w:w="1696" w:type="dxa"/>
            <w:vMerge/>
            <w:shd w:val="clear" w:color="auto" w:fill="FFFFFF"/>
            <w:vAlign w:val="center"/>
          </w:tcPr>
          <w:p w:rsidR="002D1E45" w:rsidRPr="006B3FDA" w:rsidRDefault="002D1E45" w:rsidP="007D4C39">
            <w:pPr>
              <w:spacing w:after="0" w:line="240" w:lineRule="auto"/>
              <w:rPr>
                <w:rFonts w:ascii="Times New Roman" w:hAnsi="Times New Roman"/>
                <w:sz w:val="20"/>
                <w:szCs w:val="20"/>
                <w:lang w:eastAsia="ru-RU"/>
              </w:rPr>
            </w:pPr>
          </w:p>
        </w:tc>
        <w:tc>
          <w:tcPr>
            <w:tcW w:w="1104"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60</w:t>
            </w:r>
          </w:p>
        </w:tc>
        <w:tc>
          <w:tcPr>
            <w:tcW w:w="995" w:type="dxa"/>
            <w:vMerge/>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p>
        </w:tc>
        <w:tc>
          <w:tcPr>
            <w:tcW w:w="992" w:type="dxa"/>
            <w:vMerge/>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p>
        </w:tc>
        <w:tc>
          <w:tcPr>
            <w:tcW w:w="1277"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170/220</w:t>
            </w:r>
          </w:p>
        </w:tc>
        <w:tc>
          <w:tcPr>
            <w:tcW w:w="1094"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70</w:t>
            </w:r>
          </w:p>
        </w:tc>
        <w:tc>
          <w:tcPr>
            <w:tcW w:w="1160"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1700</w:t>
            </w:r>
          </w:p>
        </w:tc>
        <w:tc>
          <w:tcPr>
            <w:tcW w:w="1160"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600</w:t>
            </w:r>
          </w:p>
        </w:tc>
        <w:tc>
          <w:tcPr>
            <w:tcW w:w="1149" w:type="dxa"/>
            <w:vMerge/>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p>
        </w:tc>
      </w:tr>
      <w:tr w:rsidR="002D1E45" w:rsidRPr="006B3FDA" w:rsidTr="007D4C39">
        <w:trPr>
          <w:trHeight w:val="170"/>
          <w:jc w:val="center"/>
        </w:trPr>
        <w:tc>
          <w:tcPr>
            <w:tcW w:w="1696" w:type="dxa"/>
            <w:vMerge w:val="restart"/>
            <w:shd w:val="clear" w:color="auto" w:fill="FFFFFF"/>
            <w:vAlign w:val="center"/>
          </w:tcPr>
          <w:p w:rsidR="002D1E45" w:rsidRPr="006B3FDA" w:rsidRDefault="002D1E45" w:rsidP="007D4C39">
            <w:pPr>
              <w:spacing w:after="0" w:line="240" w:lineRule="auto"/>
              <w:rPr>
                <w:rFonts w:ascii="Times New Roman" w:hAnsi="Times New Roman"/>
                <w:sz w:val="20"/>
                <w:szCs w:val="20"/>
                <w:lang w:eastAsia="ru-RU"/>
              </w:rPr>
            </w:pPr>
            <w:r w:rsidRPr="006B3FDA">
              <w:rPr>
                <w:rFonts w:ascii="Times New Roman" w:hAnsi="Times New Roman"/>
                <w:color w:val="000000"/>
                <w:sz w:val="20"/>
                <w:szCs w:val="20"/>
                <w:lang w:eastAsia="ru-RU"/>
              </w:rPr>
              <w:t>3-го класса</w:t>
            </w:r>
          </w:p>
        </w:tc>
        <w:tc>
          <w:tcPr>
            <w:tcW w:w="1104"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70</w:t>
            </w:r>
          </w:p>
        </w:tc>
        <w:tc>
          <w:tcPr>
            <w:tcW w:w="995" w:type="dxa"/>
            <w:vMerge w:val="restart"/>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3,25-3,75</w:t>
            </w:r>
          </w:p>
        </w:tc>
        <w:tc>
          <w:tcPr>
            <w:tcW w:w="992" w:type="dxa"/>
            <w:vMerge w:val="restart"/>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4-6</w:t>
            </w:r>
          </w:p>
        </w:tc>
        <w:tc>
          <w:tcPr>
            <w:tcW w:w="1277"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230/310</w:t>
            </w:r>
          </w:p>
        </w:tc>
        <w:tc>
          <w:tcPr>
            <w:tcW w:w="1094"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65</w:t>
            </w:r>
          </w:p>
        </w:tc>
        <w:tc>
          <w:tcPr>
            <w:tcW w:w="1160"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2600</w:t>
            </w:r>
          </w:p>
        </w:tc>
        <w:tc>
          <w:tcPr>
            <w:tcW w:w="1160"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800</w:t>
            </w:r>
          </w:p>
        </w:tc>
        <w:tc>
          <w:tcPr>
            <w:tcW w:w="1149" w:type="dxa"/>
            <w:vMerge w:val="restart"/>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3,0</w:t>
            </w:r>
          </w:p>
        </w:tc>
      </w:tr>
      <w:tr w:rsidR="002D1E45" w:rsidRPr="006B3FDA" w:rsidTr="007D4C39">
        <w:trPr>
          <w:trHeight w:val="170"/>
          <w:jc w:val="center"/>
        </w:trPr>
        <w:tc>
          <w:tcPr>
            <w:tcW w:w="1696" w:type="dxa"/>
            <w:vMerge/>
            <w:shd w:val="clear" w:color="auto" w:fill="FFFFFF"/>
            <w:vAlign w:val="center"/>
          </w:tcPr>
          <w:p w:rsidR="002D1E45" w:rsidRPr="006B3FDA" w:rsidRDefault="002D1E45" w:rsidP="007D4C39">
            <w:pPr>
              <w:spacing w:after="0" w:line="240" w:lineRule="auto"/>
              <w:rPr>
                <w:rFonts w:ascii="Times New Roman" w:hAnsi="Times New Roman"/>
                <w:sz w:val="20"/>
                <w:szCs w:val="20"/>
                <w:lang w:eastAsia="ru-RU"/>
              </w:rPr>
            </w:pPr>
          </w:p>
        </w:tc>
        <w:tc>
          <w:tcPr>
            <w:tcW w:w="1104"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60</w:t>
            </w:r>
          </w:p>
        </w:tc>
        <w:tc>
          <w:tcPr>
            <w:tcW w:w="995" w:type="dxa"/>
            <w:vMerge/>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p>
        </w:tc>
        <w:tc>
          <w:tcPr>
            <w:tcW w:w="992" w:type="dxa"/>
            <w:vMerge/>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p>
        </w:tc>
        <w:tc>
          <w:tcPr>
            <w:tcW w:w="1277"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170/220</w:t>
            </w:r>
          </w:p>
        </w:tc>
        <w:tc>
          <w:tcPr>
            <w:tcW w:w="1094"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70</w:t>
            </w:r>
          </w:p>
        </w:tc>
        <w:tc>
          <w:tcPr>
            <w:tcW w:w="1160"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1700</w:t>
            </w:r>
          </w:p>
        </w:tc>
        <w:tc>
          <w:tcPr>
            <w:tcW w:w="1160"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600</w:t>
            </w:r>
          </w:p>
        </w:tc>
        <w:tc>
          <w:tcPr>
            <w:tcW w:w="1149" w:type="dxa"/>
            <w:vMerge/>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p>
        </w:tc>
      </w:tr>
      <w:tr w:rsidR="002D1E45" w:rsidRPr="006B3FDA" w:rsidTr="007D4C39">
        <w:trPr>
          <w:trHeight w:val="170"/>
          <w:jc w:val="center"/>
        </w:trPr>
        <w:tc>
          <w:tcPr>
            <w:tcW w:w="1696" w:type="dxa"/>
            <w:vMerge/>
            <w:shd w:val="clear" w:color="auto" w:fill="FFFFFF"/>
            <w:vAlign w:val="center"/>
          </w:tcPr>
          <w:p w:rsidR="002D1E45" w:rsidRPr="006B3FDA" w:rsidRDefault="002D1E45" w:rsidP="007D4C39">
            <w:pPr>
              <w:spacing w:after="0" w:line="240" w:lineRule="auto"/>
              <w:rPr>
                <w:rFonts w:ascii="Times New Roman" w:hAnsi="Times New Roman"/>
                <w:sz w:val="20"/>
                <w:szCs w:val="20"/>
                <w:lang w:eastAsia="ru-RU"/>
              </w:rPr>
            </w:pPr>
          </w:p>
        </w:tc>
        <w:tc>
          <w:tcPr>
            <w:tcW w:w="1104"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50</w:t>
            </w:r>
          </w:p>
        </w:tc>
        <w:tc>
          <w:tcPr>
            <w:tcW w:w="995" w:type="dxa"/>
            <w:vMerge/>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p>
        </w:tc>
        <w:tc>
          <w:tcPr>
            <w:tcW w:w="992" w:type="dxa"/>
            <w:vMerge/>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p>
        </w:tc>
        <w:tc>
          <w:tcPr>
            <w:tcW w:w="1277"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110/140</w:t>
            </w:r>
          </w:p>
        </w:tc>
        <w:tc>
          <w:tcPr>
            <w:tcW w:w="1094"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70</w:t>
            </w:r>
          </w:p>
        </w:tc>
        <w:tc>
          <w:tcPr>
            <w:tcW w:w="1160"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1000</w:t>
            </w:r>
          </w:p>
        </w:tc>
        <w:tc>
          <w:tcPr>
            <w:tcW w:w="1160"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400</w:t>
            </w:r>
          </w:p>
        </w:tc>
        <w:tc>
          <w:tcPr>
            <w:tcW w:w="1149" w:type="dxa"/>
            <w:vMerge/>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p>
        </w:tc>
      </w:tr>
      <w:tr w:rsidR="002D1E45" w:rsidRPr="006B3FDA" w:rsidTr="007D4C39">
        <w:trPr>
          <w:trHeight w:val="170"/>
          <w:jc w:val="center"/>
        </w:trPr>
        <w:tc>
          <w:tcPr>
            <w:tcW w:w="1696" w:type="dxa"/>
            <w:vMerge w:val="restart"/>
            <w:shd w:val="clear" w:color="auto" w:fill="FFFFFF"/>
            <w:vAlign w:val="center"/>
          </w:tcPr>
          <w:p w:rsidR="002D1E45" w:rsidRPr="006B3FDA" w:rsidRDefault="002D1E45" w:rsidP="007D4C39">
            <w:pPr>
              <w:spacing w:after="0" w:line="240" w:lineRule="auto"/>
              <w:rPr>
                <w:rFonts w:ascii="Times New Roman" w:hAnsi="Times New Roman"/>
                <w:sz w:val="20"/>
                <w:szCs w:val="20"/>
                <w:lang w:eastAsia="ru-RU"/>
              </w:rPr>
            </w:pPr>
            <w:r w:rsidRPr="006B3FDA">
              <w:rPr>
                <w:rFonts w:ascii="Times New Roman" w:hAnsi="Times New Roman"/>
                <w:color w:val="000000"/>
                <w:sz w:val="20"/>
                <w:szCs w:val="20"/>
                <w:lang w:eastAsia="ru-RU"/>
              </w:rPr>
              <w:t>Магистральные улицы районного значения</w:t>
            </w:r>
          </w:p>
        </w:tc>
        <w:tc>
          <w:tcPr>
            <w:tcW w:w="1104" w:type="dxa"/>
            <w:shd w:val="clear" w:color="auto" w:fill="FFFFFF"/>
            <w:vAlign w:val="center"/>
          </w:tcPr>
          <w:p w:rsidR="002D1E45" w:rsidRPr="006B3FDA" w:rsidRDefault="002D1E45" w:rsidP="007D4C39">
            <w:pPr>
              <w:spacing w:after="0" w:line="240" w:lineRule="auto"/>
              <w:jc w:val="center"/>
              <w:rPr>
                <w:rFonts w:ascii="Times New Roman" w:hAnsi="Times New Roman"/>
                <w:color w:val="000000"/>
                <w:sz w:val="20"/>
                <w:szCs w:val="20"/>
                <w:lang w:eastAsia="ru-RU"/>
              </w:rPr>
            </w:pPr>
            <w:r w:rsidRPr="006B3FDA">
              <w:rPr>
                <w:rFonts w:ascii="Times New Roman" w:hAnsi="Times New Roman"/>
                <w:color w:val="000000"/>
                <w:sz w:val="20"/>
                <w:szCs w:val="20"/>
                <w:lang w:eastAsia="ru-RU"/>
              </w:rPr>
              <w:t>70</w:t>
            </w:r>
          </w:p>
        </w:tc>
        <w:tc>
          <w:tcPr>
            <w:tcW w:w="995" w:type="dxa"/>
            <w:vMerge w:val="restart"/>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3,25-3,75</w:t>
            </w:r>
          </w:p>
        </w:tc>
        <w:tc>
          <w:tcPr>
            <w:tcW w:w="992" w:type="dxa"/>
            <w:vMerge w:val="restart"/>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2-4</w:t>
            </w:r>
          </w:p>
        </w:tc>
        <w:tc>
          <w:tcPr>
            <w:tcW w:w="1277" w:type="dxa"/>
            <w:shd w:val="clear" w:color="auto" w:fill="FFFFFF"/>
            <w:vAlign w:val="center"/>
          </w:tcPr>
          <w:p w:rsidR="002D1E45" w:rsidRPr="006B3FDA" w:rsidRDefault="002D1E45" w:rsidP="007D4C39">
            <w:pPr>
              <w:spacing w:after="0" w:line="240" w:lineRule="auto"/>
              <w:jc w:val="center"/>
              <w:rPr>
                <w:rFonts w:ascii="Times New Roman" w:hAnsi="Times New Roman"/>
                <w:color w:val="000000"/>
                <w:sz w:val="20"/>
                <w:szCs w:val="20"/>
                <w:lang w:eastAsia="ru-RU"/>
              </w:rPr>
            </w:pPr>
            <w:r w:rsidRPr="006B3FDA">
              <w:rPr>
                <w:rFonts w:ascii="Times New Roman" w:hAnsi="Times New Roman"/>
                <w:color w:val="000000"/>
                <w:sz w:val="20"/>
                <w:szCs w:val="20"/>
                <w:lang w:eastAsia="ru-RU"/>
              </w:rPr>
              <w:t>230/310</w:t>
            </w:r>
          </w:p>
        </w:tc>
        <w:tc>
          <w:tcPr>
            <w:tcW w:w="1094" w:type="dxa"/>
            <w:shd w:val="clear" w:color="auto" w:fill="FFFFFF"/>
            <w:vAlign w:val="center"/>
          </w:tcPr>
          <w:p w:rsidR="002D1E45" w:rsidRPr="006B3FDA" w:rsidRDefault="002D1E45" w:rsidP="007D4C39">
            <w:pPr>
              <w:spacing w:after="0" w:line="240" w:lineRule="auto"/>
              <w:jc w:val="center"/>
              <w:rPr>
                <w:rFonts w:ascii="Times New Roman" w:hAnsi="Times New Roman"/>
                <w:color w:val="000000"/>
                <w:sz w:val="20"/>
                <w:szCs w:val="20"/>
                <w:lang w:eastAsia="ru-RU"/>
              </w:rPr>
            </w:pPr>
            <w:r w:rsidRPr="006B3FDA">
              <w:rPr>
                <w:rFonts w:ascii="Times New Roman" w:hAnsi="Times New Roman"/>
                <w:color w:val="000000"/>
                <w:sz w:val="20"/>
                <w:szCs w:val="20"/>
                <w:lang w:eastAsia="ru-RU"/>
              </w:rPr>
              <w:t>60</w:t>
            </w:r>
          </w:p>
        </w:tc>
        <w:tc>
          <w:tcPr>
            <w:tcW w:w="1160" w:type="dxa"/>
            <w:shd w:val="clear" w:color="auto" w:fill="FFFFFF"/>
            <w:vAlign w:val="center"/>
          </w:tcPr>
          <w:p w:rsidR="002D1E45" w:rsidRPr="006B3FDA" w:rsidRDefault="002D1E45" w:rsidP="007D4C39">
            <w:pPr>
              <w:spacing w:after="0" w:line="240" w:lineRule="auto"/>
              <w:jc w:val="center"/>
              <w:rPr>
                <w:rFonts w:ascii="Times New Roman" w:hAnsi="Times New Roman"/>
                <w:color w:val="000000"/>
                <w:sz w:val="20"/>
                <w:szCs w:val="20"/>
                <w:lang w:eastAsia="ru-RU"/>
              </w:rPr>
            </w:pPr>
            <w:r w:rsidRPr="006B3FDA">
              <w:rPr>
                <w:rFonts w:ascii="Times New Roman" w:hAnsi="Times New Roman"/>
                <w:color w:val="000000"/>
                <w:sz w:val="20"/>
                <w:szCs w:val="20"/>
                <w:lang w:eastAsia="ru-RU"/>
              </w:rPr>
              <w:t>2600</w:t>
            </w:r>
          </w:p>
        </w:tc>
        <w:tc>
          <w:tcPr>
            <w:tcW w:w="1160" w:type="dxa"/>
            <w:shd w:val="clear" w:color="auto" w:fill="FFFFFF"/>
            <w:vAlign w:val="center"/>
          </w:tcPr>
          <w:p w:rsidR="002D1E45" w:rsidRPr="006B3FDA" w:rsidRDefault="002D1E45" w:rsidP="007D4C39">
            <w:pPr>
              <w:spacing w:after="0" w:line="240" w:lineRule="auto"/>
              <w:jc w:val="center"/>
              <w:rPr>
                <w:rFonts w:ascii="Times New Roman" w:hAnsi="Times New Roman"/>
                <w:color w:val="000000"/>
                <w:sz w:val="20"/>
                <w:szCs w:val="20"/>
                <w:lang w:eastAsia="ru-RU"/>
              </w:rPr>
            </w:pPr>
            <w:r w:rsidRPr="006B3FDA">
              <w:rPr>
                <w:rFonts w:ascii="Times New Roman" w:hAnsi="Times New Roman"/>
                <w:color w:val="000000"/>
                <w:sz w:val="20"/>
                <w:szCs w:val="20"/>
                <w:lang w:eastAsia="ru-RU"/>
              </w:rPr>
              <w:t>800</w:t>
            </w:r>
          </w:p>
        </w:tc>
        <w:tc>
          <w:tcPr>
            <w:tcW w:w="1149" w:type="dxa"/>
            <w:vMerge w:val="restart"/>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2,25</w:t>
            </w:r>
          </w:p>
        </w:tc>
      </w:tr>
      <w:tr w:rsidR="002D1E45" w:rsidRPr="006B3FDA" w:rsidTr="007D4C39">
        <w:trPr>
          <w:trHeight w:val="170"/>
          <w:jc w:val="center"/>
        </w:trPr>
        <w:tc>
          <w:tcPr>
            <w:tcW w:w="1696" w:type="dxa"/>
            <w:vMerge/>
            <w:shd w:val="clear" w:color="auto" w:fill="FFFFFF"/>
            <w:vAlign w:val="center"/>
          </w:tcPr>
          <w:p w:rsidR="002D1E45" w:rsidRPr="006B3FDA" w:rsidRDefault="002D1E45" w:rsidP="007D4C39">
            <w:pPr>
              <w:spacing w:after="0" w:line="240" w:lineRule="auto"/>
              <w:rPr>
                <w:rFonts w:ascii="Times New Roman" w:hAnsi="Times New Roman"/>
                <w:sz w:val="20"/>
                <w:szCs w:val="20"/>
                <w:lang w:eastAsia="ru-RU"/>
              </w:rPr>
            </w:pPr>
          </w:p>
        </w:tc>
        <w:tc>
          <w:tcPr>
            <w:tcW w:w="1104" w:type="dxa"/>
            <w:shd w:val="clear" w:color="auto" w:fill="FFFFFF"/>
            <w:vAlign w:val="center"/>
          </w:tcPr>
          <w:p w:rsidR="002D1E45" w:rsidRPr="006B3FDA" w:rsidRDefault="002D1E45" w:rsidP="007D4C39">
            <w:pPr>
              <w:spacing w:after="0" w:line="240" w:lineRule="auto"/>
              <w:jc w:val="center"/>
              <w:rPr>
                <w:rFonts w:ascii="Times New Roman" w:hAnsi="Times New Roman"/>
                <w:color w:val="000000"/>
                <w:sz w:val="20"/>
                <w:szCs w:val="20"/>
                <w:lang w:eastAsia="ru-RU"/>
              </w:rPr>
            </w:pPr>
            <w:r w:rsidRPr="006B3FDA">
              <w:rPr>
                <w:rFonts w:ascii="Times New Roman" w:hAnsi="Times New Roman"/>
                <w:color w:val="000000"/>
                <w:sz w:val="20"/>
                <w:szCs w:val="20"/>
                <w:lang w:eastAsia="ru-RU"/>
              </w:rPr>
              <w:t>60</w:t>
            </w:r>
          </w:p>
        </w:tc>
        <w:tc>
          <w:tcPr>
            <w:tcW w:w="995" w:type="dxa"/>
            <w:vMerge/>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p>
        </w:tc>
        <w:tc>
          <w:tcPr>
            <w:tcW w:w="992" w:type="dxa"/>
            <w:vMerge/>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p>
        </w:tc>
        <w:tc>
          <w:tcPr>
            <w:tcW w:w="1277" w:type="dxa"/>
            <w:shd w:val="clear" w:color="auto" w:fill="FFFFFF"/>
            <w:vAlign w:val="center"/>
          </w:tcPr>
          <w:p w:rsidR="002D1E45" w:rsidRPr="006B3FDA" w:rsidRDefault="002D1E45" w:rsidP="007D4C39">
            <w:pPr>
              <w:spacing w:after="0" w:line="240" w:lineRule="auto"/>
              <w:jc w:val="center"/>
              <w:rPr>
                <w:rFonts w:ascii="Times New Roman" w:hAnsi="Times New Roman"/>
                <w:color w:val="000000"/>
                <w:sz w:val="20"/>
                <w:szCs w:val="20"/>
                <w:lang w:eastAsia="ru-RU"/>
              </w:rPr>
            </w:pPr>
            <w:r w:rsidRPr="006B3FDA">
              <w:rPr>
                <w:rFonts w:ascii="Times New Roman" w:hAnsi="Times New Roman"/>
                <w:color w:val="000000"/>
                <w:sz w:val="20"/>
                <w:szCs w:val="20"/>
                <w:lang w:eastAsia="ru-RU"/>
              </w:rPr>
              <w:t>170/220</w:t>
            </w:r>
          </w:p>
        </w:tc>
        <w:tc>
          <w:tcPr>
            <w:tcW w:w="1094" w:type="dxa"/>
            <w:shd w:val="clear" w:color="auto" w:fill="FFFFFF"/>
            <w:vAlign w:val="center"/>
          </w:tcPr>
          <w:p w:rsidR="002D1E45" w:rsidRPr="006B3FDA" w:rsidRDefault="002D1E45" w:rsidP="007D4C39">
            <w:pPr>
              <w:spacing w:after="0" w:line="240" w:lineRule="auto"/>
              <w:jc w:val="center"/>
              <w:rPr>
                <w:rFonts w:ascii="Times New Roman" w:hAnsi="Times New Roman"/>
                <w:color w:val="000000"/>
                <w:sz w:val="20"/>
                <w:szCs w:val="20"/>
                <w:lang w:eastAsia="ru-RU"/>
              </w:rPr>
            </w:pPr>
            <w:r w:rsidRPr="006B3FDA">
              <w:rPr>
                <w:rFonts w:ascii="Times New Roman" w:hAnsi="Times New Roman"/>
                <w:color w:val="000000"/>
                <w:sz w:val="20"/>
                <w:szCs w:val="20"/>
                <w:lang w:eastAsia="ru-RU"/>
              </w:rPr>
              <w:t>70</w:t>
            </w:r>
          </w:p>
        </w:tc>
        <w:tc>
          <w:tcPr>
            <w:tcW w:w="1160" w:type="dxa"/>
            <w:shd w:val="clear" w:color="auto" w:fill="FFFFFF"/>
            <w:vAlign w:val="center"/>
          </w:tcPr>
          <w:p w:rsidR="002D1E45" w:rsidRPr="006B3FDA" w:rsidRDefault="002D1E45" w:rsidP="007D4C39">
            <w:pPr>
              <w:spacing w:after="0" w:line="240" w:lineRule="auto"/>
              <w:jc w:val="center"/>
              <w:rPr>
                <w:rFonts w:ascii="Times New Roman" w:hAnsi="Times New Roman"/>
                <w:color w:val="000000"/>
                <w:sz w:val="20"/>
                <w:szCs w:val="20"/>
                <w:lang w:eastAsia="ru-RU"/>
              </w:rPr>
            </w:pPr>
            <w:r w:rsidRPr="006B3FDA">
              <w:rPr>
                <w:rFonts w:ascii="Times New Roman" w:hAnsi="Times New Roman"/>
                <w:color w:val="000000"/>
                <w:sz w:val="20"/>
                <w:szCs w:val="20"/>
                <w:lang w:eastAsia="ru-RU"/>
              </w:rPr>
              <w:t>1700</w:t>
            </w:r>
          </w:p>
        </w:tc>
        <w:tc>
          <w:tcPr>
            <w:tcW w:w="1160" w:type="dxa"/>
            <w:shd w:val="clear" w:color="auto" w:fill="FFFFFF"/>
            <w:vAlign w:val="center"/>
          </w:tcPr>
          <w:p w:rsidR="002D1E45" w:rsidRPr="006B3FDA" w:rsidRDefault="002D1E45" w:rsidP="007D4C39">
            <w:pPr>
              <w:spacing w:after="0" w:line="240" w:lineRule="auto"/>
              <w:jc w:val="center"/>
              <w:rPr>
                <w:rFonts w:ascii="Times New Roman" w:hAnsi="Times New Roman"/>
                <w:color w:val="000000"/>
                <w:sz w:val="20"/>
                <w:szCs w:val="20"/>
                <w:lang w:eastAsia="ru-RU"/>
              </w:rPr>
            </w:pPr>
            <w:r w:rsidRPr="006B3FDA">
              <w:rPr>
                <w:rFonts w:ascii="Times New Roman" w:hAnsi="Times New Roman"/>
                <w:color w:val="000000"/>
                <w:sz w:val="20"/>
                <w:szCs w:val="20"/>
                <w:lang w:eastAsia="ru-RU"/>
              </w:rPr>
              <w:t>600</w:t>
            </w:r>
          </w:p>
        </w:tc>
        <w:tc>
          <w:tcPr>
            <w:tcW w:w="1149" w:type="dxa"/>
            <w:vMerge/>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p>
        </w:tc>
      </w:tr>
      <w:tr w:rsidR="002D1E45" w:rsidRPr="006B3FDA" w:rsidTr="007D4C39">
        <w:trPr>
          <w:trHeight w:val="170"/>
          <w:jc w:val="center"/>
        </w:trPr>
        <w:tc>
          <w:tcPr>
            <w:tcW w:w="1696" w:type="dxa"/>
            <w:vMerge/>
            <w:shd w:val="clear" w:color="auto" w:fill="FFFFFF"/>
            <w:vAlign w:val="center"/>
          </w:tcPr>
          <w:p w:rsidR="002D1E45" w:rsidRPr="006B3FDA" w:rsidRDefault="002D1E45" w:rsidP="007D4C39">
            <w:pPr>
              <w:spacing w:after="0" w:line="240" w:lineRule="auto"/>
              <w:rPr>
                <w:rFonts w:ascii="Times New Roman" w:hAnsi="Times New Roman"/>
                <w:sz w:val="20"/>
                <w:szCs w:val="20"/>
                <w:lang w:eastAsia="ru-RU"/>
              </w:rPr>
            </w:pPr>
          </w:p>
        </w:tc>
        <w:tc>
          <w:tcPr>
            <w:tcW w:w="1104" w:type="dxa"/>
            <w:shd w:val="clear" w:color="auto" w:fill="FFFFFF"/>
            <w:vAlign w:val="center"/>
          </w:tcPr>
          <w:p w:rsidR="002D1E45" w:rsidRPr="006B3FDA" w:rsidRDefault="002D1E45" w:rsidP="007D4C39">
            <w:pPr>
              <w:spacing w:after="0" w:line="240" w:lineRule="auto"/>
              <w:jc w:val="center"/>
              <w:rPr>
                <w:rFonts w:ascii="Times New Roman" w:hAnsi="Times New Roman"/>
                <w:color w:val="000000"/>
                <w:sz w:val="20"/>
                <w:szCs w:val="20"/>
                <w:lang w:eastAsia="ru-RU"/>
              </w:rPr>
            </w:pPr>
            <w:r w:rsidRPr="006B3FDA">
              <w:rPr>
                <w:rFonts w:ascii="Times New Roman" w:hAnsi="Times New Roman"/>
                <w:color w:val="000000"/>
                <w:sz w:val="20"/>
                <w:szCs w:val="20"/>
                <w:lang w:eastAsia="ru-RU"/>
              </w:rPr>
              <w:t>50</w:t>
            </w:r>
          </w:p>
        </w:tc>
        <w:tc>
          <w:tcPr>
            <w:tcW w:w="995" w:type="dxa"/>
            <w:vMerge/>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p>
        </w:tc>
        <w:tc>
          <w:tcPr>
            <w:tcW w:w="992" w:type="dxa"/>
            <w:vMerge/>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p>
        </w:tc>
        <w:tc>
          <w:tcPr>
            <w:tcW w:w="1277" w:type="dxa"/>
            <w:shd w:val="clear" w:color="auto" w:fill="FFFFFF"/>
            <w:vAlign w:val="center"/>
          </w:tcPr>
          <w:p w:rsidR="002D1E45" w:rsidRPr="006B3FDA" w:rsidRDefault="002D1E45" w:rsidP="007D4C39">
            <w:pPr>
              <w:spacing w:after="0" w:line="240" w:lineRule="auto"/>
              <w:jc w:val="center"/>
              <w:rPr>
                <w:rFonts w:ascii="Times New Roman" w:hAnsi="Times New Roman"/>
                <w:color w:val="000000"/>
                <w:sz w:val="20"/>
                <w:szCs w:val="20"/>
                <w:lang w:eastAsia="ru-RU"/>
              </w:rPr>
            </w:pPr>
            <w:r w:rsidRPr="006B3FDA">
              <w:rPr>
                <w:rFonts w:ascii="Times New Roman" w:hAnsi="Times New Roman"/>
                <w:color w:val="000000"/>
                <w:sz w:val="20"/>
                <w:szCs w:val="20"/>
                <w:lang w:eastAsia="ru-RU"/>
              </w:rPr>
              <w:t>110/140</w:t>
            </w:r>
          </w:p>
        </w:tc>
        <w:tc>
          <w:tcPr>
            <w:tcW w:w="1094" w:type="dxa"/>
            <w:shd w:val="clear" w:color="auto" w:fill="FFFFFF"/>
            <w:vAlign w:val="center"/>
          </w:tcPr>
          <w:p w:rsidR="002D1E45" w:rsidRPr="006B3FDA" w:rsidRDefault="002D1E45" w:rsidP="007D4C39">
            <w:pPr>
              <w:spacing w:after="0" w:line="240" w:lineRule="auto"/>
              <w:jc w:val="center"/>
              <w:rPr>
                <w:rFonts w:ascii="Times New Roman" w:hAnsi="Times New Roman"/>
                <w:color w:val="000000"/>
                <w:sz w:val="20"/>
                <w:szCs w:val="20"/>
                <w:lang w:eastAsia="ru-RU"/>
              </w:rPr>
            </w:pPr>
            <w:r w:rsidRPr="006B3FDA">
              <w:rPr>
                <w:rFonts w:ascii="Times New Roman" w:hAnsi="Times New Roman"/>
                <w:color w:val="000000"/>
                <w:sz w:val="20"/>
                <w:szCs w:val="20"/>
                <w:lang w:eastAsia="ru-RU"/>
              </w:rPr>
              <w:t>70</w:t>
            </w:r>
          </w:p>
        </w:tc>
        <w:tc>
          <w:tcPr>
            <w:tcW w:w="1160" w:type="dxa"/>
            <w:shd w:val="clear" w:color="auto" w:fill="FFFFFF"/>
            <w:vAlign w:val="center"/>
          </w:tcPr>
          <w:p w:rsidR="002D1E45" w:rsidRPr="006B3FDA" w:rsidRDefault="002D1E45" w:rsidP="007D4C39">
            <w:pPr>
              <w:spacing w:after="0" w:line="240" w:lineRule="auto"/>
              <w:jc w:val="center"/>
              <w:rPr>
                <w:rFonts w:ascii="Times New Roman" w:hAnsi="Times New Roman"/>
                <w:color w:val="000000"/>
                <w:sz w:val="20"/>
                <w:szCs w:val="20"/>
                <w:lang w:eastAsia="ru-RU"/>
              </w:rPr>
            </w:pPr>
            <w:r w:rsidRPr="006B3FDA">
              <w:rPr>
                <w:rFonts w:ascii="Times New Roman" w:hAnsi="Times New Roman"/>
                <w:color w:val="000000"/>
                <w:sz w:val="20"/>
                <w:szCs w:val="20"/>
                <w:lang w:eastAsia="ru-RU"/>
              </w:rPr>
              <w:t>1000</w:t>
            </w:r>
          </w:p>
        </w:tc>
        <w:tc>
          <w:tcPr>
            <w:tcW w:w="1160" w:type="dxa"/>
            <w:shd w:val="clear" w:color="auto" w:fill="FFFFFF"/>
            <w:vAlign w:val="center"/>
          </w:tcPr>
          <w:p w:rsidR="002D1E45" w:rsidRPr="006B3FDA" w:rsidRDefault="002D1E45" w:rsidP="007D4C39">
            <w:pPr>
              <w:spacing w:after="0" w:line="240" w:lineRule="auto"/>
              <w:jc w:val="center"/>
              <w:rPr>
                <w:rFonts w:ascii="Times New Roman" w:hAnsi="Times New Roman"/>
                <w:color w:val="000000"/>
                <w:sz w:val="20"/>
                <w:szCs w:val="20"/>
                <w:lang w:eastAsia="ru-RU"/>
              </w:rPr>
            </w:pPr>
            <w:r w:rsidRPr="006B3FDA">
              <w:rPr>
                <w:rFonts w:ascii="Times New Roman" w:hAnsi="Times New Roman"/>
                <w:color w:val="000000"/>
                <w:sz w:val="20"/>
                <w:szCs w:val="20"/>
                <w:lang w:eastAsia="ru-RU"/>
              </w:rPr>
              <w:t>400</w:t>
            </w:r>
          </w:p>
        </w:tc>
        <w:tc>
          <w:tcPr>
            <w:tcW w:w="1149" w:type="dxa"/>
            <w:vMerge/>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p>
        </w:tc>
      </w:tr>
      <w:tr w:rsidR="002D1E45" w:rsidRPr="006B3FDA" w:rsidTr="007D4C39">
        <w:trPr>
          <w:trHeight w:val="170"/>
          <w:jc w:val="center"/>
        </w:trPr>
        <w:tc>
          <w:tcPr>
            <w:tcW w:w="10627" w:type="dxa"/>
            <w:gridSpan w:val="9"/>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Улицы и дороги местного значения:</w:t>
            </w:r>
          </w:p>
        </w:tc>
      </w:tr>
      <w:tr w:rsidR="002D1E45" w:rsidRPr="006B3FDA" w:rsidTr="007D4C39">
        <w:trPr>
          <w:trHeight w:val="170"/>
          <w:jc w:val="center"/>
        </w:trPr>
        <w:tc>
          <w:tcPr>
            <w:tcW w:w="1696" w:type="dxa"/>
            <w:vMerge w:val="restart"/>
            <w:shd w:val="clear" w:color="auto" w:fill="FFFFFF"/>
            <w:vAlign w:val="center"/>
          </w:tcPr>
          <w:p w:rsidR="002D1E45" w:rsidRPr="006B3FDA" w:rsidRDefault="002D1E45" w:rsidP="007D4C39">
            <w:pPr>
              <w:spacing w:after="0" w:line="240" w:lineRule="auto"/>
              <w:rPr>
                <w:rFonts w:ascii="Times New Roman" w:hAnsi="Times New Roman"/>
                <w:sz w:val="20"/>
                <w:szCs w:val="20"/>
                <w:lang w:eastAsia="ru-RU"/>
              </w:rPr>
            </w:pPr>
            <w:r w:rsidRPr="006B3FDA">
              <w:rPr>
                <w:rFonts w:ascii="Times New Roman" w:hAnsi="Times New Roman"/>
                <w:color w:val="000000"/>
                <w:sz w:val="20"/>
                <w:szCs w:val="20"/>
                <w:lang w:eastAsia="ru-RU"/>
              </w:rPr>
              <w:t>- улицы в зонах жилой застройки</w:t>
            </w:r>
          </w:p>
        </w:tc>
        <w:tc>
          <w:tcPr>
            <w:tcW w:w="1104"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50</w:t>
            </w:r>
          </w:p>
        </w:tc>
        <w:tc>
          <w:tcPr>
            <w:tcW w:w="995" w:type="dxa"/>
            <w:vMerge w:val="restart"/>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3,0-3,5</w:t>
            </w:r>
          </w:p>
        </w:tc>
        <w:tc>
          <w:tcPr>
            <w:tcW w:w="992" w:type="dxa"/>
            <w:vMerge w:val="restart"/>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2-4</w:t>
            </w:r>
          </w:p>
        </w:tc>
        <w:tc>
          <w:tcPr>
            <w:tcW w:w="1277"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110/140</w:t>
            </w:r>
          </w:p>
        </w:tc>
        <w:tc>
          <w:tcPr>
            <w:tcW w:w="1094"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80</w:t>
            </w:r>
          </w:p>
        </w:tc>
        <w:tc>
          <w:tcPr>
            <w:tcW w:w="1160"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1000</w:t>
            </w:r>
          </w:p>
        </w:tc>
        <w:tc>
          <w:tcPr>
            <w:tcW w:w="1160"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400</w:t>
            </w:r>
          </w:p>
        </w:tc>
        <w:tc>
          <w:tcPr>
            <w:tcW w:w="1149" w:type="dxa"/>
            <w:vMerge w:val="restart"/>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2,0</w:t>
            </w:r>
          </w:p>
        </w:tc>
      </w:tr>
      <w:tr w:rsidR="002D1E45" w:rsidRPr="006B3FDA" w:rsidTr="007D4C39">
        <w:trPr>
          <w:trHeight w:val="170"/>
          <w:jc w:val="center"/>
        </w:trPr>
        <w:tc>
          <w:tcPr>
            <w:tcW w:w="1696" w:type="dxa"/>
            <w:vMerge/>
            <w:shd w:val="clear" w:color="auto" w:fill="FFFFFF"/>
            <w:vAlign w:val="center"/>
          </w:tcPr>
          <w:p w:rsidR="002D1E45" w:rsidRPr="006B3FDA" w:rsidRDefault="002D1E45" w:rsidP="007D4C39">
            <w:pPr>
              <w:spacing w:after="0" w:line="240" w:lineRule="auto"/>
              <w:rPr>
                <w:rFonts w:ascii="Times New Roman" w:hAnsi="Times New Roman"/>
                <w:sz w:val="20"/>
                <w:szCs w:val="20"/>
                <w:lang w:eastAsia="ru-RU"/>
              </w:rPr>
            </w:pPr>
          </w:p>
        </w:tc>
        <w:tc>
          <w:tcPr>
            <w:tcW w:w="1104"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40</w:t>
            </w:r>
          </w:p>
        </w:tc>
        <w:tc>
          <w:tcPr>
            <w:tcW w:w="995" w:type="dxa"/>
            <w:vMerge/>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p>
        </w:tc>
        <w:tc>
          <w:tcPr>
            <w:tcW w:w="992" w:type="dxa"/>
            <w:vMerge/>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p>
        </w:tc>
        <w:tc>
          <w:tcPr>
            <w:tcW w:w="1277"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70/80</w:t>
            </w:r>
          </w:p>
        </w:tc>
        <w:tc>
          <w:tcPr>
            <w:tcW w:w="1094"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80</w:t>
            </w:r>
          </w:p>
        </w:tc>
        <w:tc>
          <w:tcPr>
            <w:tcW w:w="1160"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600</w:t>
            </w:r>
          </w:p>
        </w:tc>
        <w:tc>
          <w:tcPr>
            <w:tcW w:w="1160"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250</w:t>
            </w:r>
          </w:p>
        </w:tc>
        <w:tc>
          <w:tcPr>
            <w:tcW w:w="1149" w:type="dxa"/>
            <w:vMerge/>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p>
        </w:tc>
      </w:tr>
      <w:tr w:rsidR="002D1E45" w:rsidRPr="006B3FDA" w:rsidTr="007D4C39">
        <w:trPr>
          <w:trHeight w:val="170"/>
          <w:jc w:val="center"/>
        </w:trPr>
        <w:tc>
          <w:tcPr>
            <w:tcW w:w="1696" w:type="dxa"/>
            <w:vMerge/>
            <w:shd w:val="clear" w:color="auto" w:fill="FFFFFF"/>
            <w:vAlign w:val="center"/>
          </w:tcPr>
          <w:p w:rsidR="002D1E45" w:rsidRPr="006B3FDA" w:rsidRDefault="002D1E45" w:rsidP="007D4C39">
            <w:pPr>
              <w:spacing w:after="0" w:line="240" w:lineRule="auto"/>
              <w:rPr>
                <w:rFonts w:ascii="Times New Roman" w:hAnsi="Times New Roman"/>
                <w:sz w:val="20"/>
                <w:szCs w:val="20"/>
                <w:lang w:eastAsia="ru-RU"/>
              </w:rPr>
            </w:pPr>
          </w:p>
        </w:tc>
        <w:tc>
          <w:tcPr>
            <w:tcW w:w="1104"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30</w:t>
            </w:r>
          </w:p>
        </w:tc>
        <w:tc>
          <w:tcPr>
            <w:tcW w:w="995" w:type="dxa"/>
            <w:vMerge/>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p>
        </w:tc>
        <w:tc>
          <w:tcPr>
            <w:tcW w:w="992" w:type="dxa"/>
            <w:vMerge/>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p>
        </w:tc>
        <w:tc>
          <w:tcPr>
            <w:tcW w:w="1277"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40/40</w:t>
            </w:r>
          </w:p>
        </w:tc>
        <w:tc>
          <w:tcPr>
            <w:tcW w:w="1094"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80</w:t>
            </w:r>
          </w:p>
        </w:tc>
        <w:tc>
          <w:tcPr>
            <w:tcW w:w="1160"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600</w:t>
            </w:r>
          </w:p>
        </w:tc>
        <w:tc>
          <w:tcPr>
            <w:tcW w:w="1160"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200</w:t>
            </w:r>
          </w:p>
        </w:tc>
        <w:tc>
          <w:tcPr>
            <w:tcW w:w="1149" w:type="dxa"/>
            <w:vMerge/>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p>
        </w:tc>
      </w:tr>
      <w:tr w:rsidR="002D1E45" w:rsidRPr="006B3FDA" w:rsidTr="007D4C39">
        <w:trPr>
          <w:trHeight w:val="170"/>
          <w:jc w:val="center"/>
        </w:trPr>
        <w:tc>
          <w:tcPr>
            <w:tcW w:w="1696" w:type="dxa"/>
            <w:vMerge w:val="restart"/>
            <w:shd w:val="clear" w:color="auto" w:fill="FFFFFF"/>
            <w:vAlign w:val="bottom"/>
          </w:tcPr>
          <w:p w:rsidR="002D1E45" w:rsidRPr="006B3FDA" w:rsidRDefault="002D1E45" w:rsidP="007D4C39">
            <w:pPr>
              <w:spacing w:after="0" w:line="240" w:lineRule="auto"/>
              <w:rPr>
                <w:rFonts w:ascii="Times New Roman" w:hAnsi="Times New Roman"/>
                <w:sz w:val="20"/>
                <w:szCs w:val="20"/>
                <w:lang w:eastAsia="ru-RU"/>
              </w:rPr>
            </w:pPr>
            <w:r w:rsidRPr="006B3FDA">
              <w:rPr>
                <w:rFonts w:ascii="Times New Roman" w:hAnsi="Times New Roman"/>
                <w:color w:val="000000"/>
                <w:sz w:val="20"/>
                <w:szCs w:val="20"/>
                <w:lang w:eastAsia="ru-RU"/>
              </w:rPr>
              <w:t>- улицы в общественно- деловых и торговых зонах</w:t>
            </w:r>
          </w:p>
        </w:tc>
        <w:tc>
          <w:tcPr>
            <w:tcW w:w="1104"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50</w:t>
            </w:r>
          </w:p>
        </w:tc>
        <w:tc>
          <w:tcPr>
            <w:tcW w:w="995"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3,0-3,5</w:t>
            </w:r>
          </w:p>
        </w:tc>
        <w:tc>
          <w:tcPr>
            <w:tcW w:w="992"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2-4</w:t>
            </w:r>
          </w:p>
        </w:tc>
        <w:tc>
          <w:tcPr>
            <w:tcW w:w="1277"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110/140</w:t>
            </w:r>
          </w:p>
        </w:tc>
        <w:tc>
          <w:tcPr>
            <w:tcW w:w="1094"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80</w:t>
            </w:r>
          </w:p>
        </w:tc>
        <w:tc>
          <w:tcPr>
            <w:tcW w:w="1160"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1000</w:t>
            </w:r>
          </w:p>
        </w:tc>
        <w:tc>
          <w:tcPr>
            <w:tcW w:w="1160"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400</w:t>
            </w:r>
          </w:p>
        </w:tc>
        <w:tc>
          <w:tcPr>
            <w:tcW w:w="1149"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2,0</w:t>
            </w:r>
          </w:p>
        </w:tc>
      </w:tr>
      <w:tr w:rsidR="002D1E45" w:rsidRPr="006B3FDA" w:rsidTr="007D4C39">
        <w:trPr>
          <w:trHeight w:val="170"/>
          <w:jc w:val="center"/>
        </w:trPr>
        <w:tc>
          <w:tcPr>
            <w:tcW w:w="1696" w:type="dxa"/>
            <w:vMerge/>
            <w:shd w:val="clear" w:color="auto" w:fill="FFFFFF"/>
            <w:vAlign w:val="bottom"/>
          </w:tcPr>
          <w:p w:rsidR="002D1E45" w:rsidRPr="006B3FDA" w:rsidRDefault="002D1E45" w:rsidP="007D4C39">
            <w:pPr>
              <w:spacing w:after="0" w:line="240" w:lineRule="auto"/>
              <w:rPr>
                <w:rFonts w:ascii="Times New Roman" w:hAnsi="Times New Roman"/>
                <w:sz w:val="20"/>
                <w:szCs w:val="20"/>
                <w:lang w:eastAsia="ru-RU"/>
              </w:rPr>
            </w:pPr>
          </w:p>
        </w:tc>
        <w:tc>
          <w:tcPr>
            <w:tcW w:w="1104"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40</w:t>
            </w:r>
          </w:p>
        </w:tc>
        <w:tc>
          <w:tcPr>
            <w:tcW w:w="995" w:type="dxa"/>
            <w:vMerge w:val="restart"/>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p>
        </w:tc>
        <w:tc>
          <w:tcPr>
            <w:tcW w:w="992" w:type="dxa"/>
            <w:vMerge w:val="restart"/>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p>
        </w:tc>
        <w:tc>
          <w:tcPr>
            <w:tcW w:w="1277"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70/80</w:t>
            </w:r>
          </w:p>
        </w:tc>
        <w:tc>
          <w:tcPr>
            <w:tcW w:w="1094"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80</w:t>
            </w:r>
          </w:p>
        </w:tc>
        <w:tc>
          <w:tcPr>
            <w:tcW w:w="1160"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600</w:t>
            </w:r>
          </w:p>
        </w:tc>
        <w:tc>
          <w:tcPr>
            <w:tcW w:w="1160"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250</w:t>
            </w:r>
          </w:p>
        </w:tc>
        <w:tc>
          <w:tcPr>
            <w:tcW w:w="1149" w:type="dxa"/>
            <w:vMerge w:val="restart"/>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p>
        </w:tc>
      </w:tr>
      <w:tr w:rsidR="002D1E45" w:rsidRPr="006B3FDA" w:rsidTr="007D4C39">
        <w:trPr>
          <w:trHeight w:val="170"/>
          <w:jc w:val="center"/>
        </w:trPr>
        <w:tc>
          <w:tcPr>
            <w:tcW w:w="1696" w:type="dxa"/>
            <w:vMerge/>
            <w:shd w:val="clear" w:color="auto" w:fill="FFFFFF"/>
            <w:vAlign w:val="bottom"/>
          </w:tcPr>
          <w:p w:rsidR="002D1E45" w:rsidRPr="006B3FDA" w:rsidRDefault="002D1E45" w:rsidP="007D4C39">
            <w:pPr>
              <w:spacing w:after="0" w:line="240" w:lineRule="auto"/>
              <w:rPr>
                <w:rFonts w:ascii="Times New Roman" w:hAnsi="Times New Roman"/>
                <w:sz w:val="20"/>
                <w:szCs w:val="20"/>
                <w:lang w:eastAsia="ru-RU"/>
              </w:rPr>
            </w:pPr>
          </w:p>
        </w:tc>
        <w:tc>
          <w:tcPr>
            <w:tcW w:w="1104"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30</w:t>
            </w:r>
          </w:p>
        </w:tc>
        <w:tc>
          <w:tcPr>
            <w:tcW w:w="995" w:type="dxa"/>
            <w:vMerge/>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p>
        </w:tc>
        <w:tc>
          <w:tcPr>
            <w:tcW w:w="992" w:type="dxa"/>
            <w:vMerge/>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p>
        </w:tc>
        <w:tc>
          <w:tcPr>
            <w:tcW w:w="1277"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40/40</w:t>
            </w:r>
          </w:p>
        </w:tc>
        <w:tc>
          <w:tcPr>
            <w:tcW w:w="1094"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80</w:t>
            </w:r>
          </w:p>
        </w:tc>
        <w:tc>
          <w:tcPr>
            <w:tcW w:w="1160"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600</w:t>
            </w:r>
          </w:p>
        </w:tc>
        <w:tc>
          <w:tcPr>
            <w:tcW w:w="1160"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200</w:t>
            </w:r>
          </w:p>
        </w:tc>
        <w:tc>
          <w:tcPr>
            <w:tcW w:w="1149" w:type="dxa"/>
            <w:vMerge/>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p>
        </w:tc>
      </w:tr>
      <w:tr w:rsidR="002D1E45" w:rsidRPr="006B3FDA" w:rsidTr="007D4C39">
        <w:trPr>
          <w:trHeight w:val="170"/>
          <w:jc w:val="center"/>
        </w:trPr>
        <w:tc>
          <w:tcPr>
            <w:tcW w:w="1696" w:type="dxa"/>
            <w:shd w:val="clear" w:color="auto" w:fill="FFFFFF"/>
            <w:vAlign w:val="bottom"/>
          </w:tcPr>
          <w:p w:rsidR="002D1E45" w:rsidRPr="006B3FDA" w:rsidRDefault="002D1E45" w:rsidP="007D4C39">
            <w:pPr>
              <w:spacing w:after="0" w:line="240" w:lineRule="auto"/>
              <w:rPr>
                <w:rFonts w:ascii="Times New Roman" w:hAnsi="Times New Roman"/>
                <w:sz w:val="20"/>
                <w:szCs w:val="20"/>
                <w:lang w:eastAsia="ru-RU"/>
              </w:rPr>
            </w:pPr>
            <w:r w:rsidRPr="006B3FDA">
              <w:rPr>
                <w:rFonts w:ascii="Times New Roman" w:hAnsi="Times New Roman"/>
                <w:color w:val="000000"/>
                <w:sz w:val="20"/>
                <w:szCs w:val="20"/>
                <w:lang w:eastAsia="ru-RU"/>
              </w:rPr>
              <w:t>- улицы и дороги в</w:t>
            </w:r>
            <w:r>
              <w:rPr>
                <w:rFonts w:ascii="Times New Roman" w:hAnsi="Times New Roman"/>
                <w:color w:val="000000"/>
                <w:sz w:val="20"/>
                <w:szCs w:val="20"/>
                <w:lang w:eastAsia="ru-RU"/>
              </w:rPr>
              <w:t xml:space="preserve"> </w:t>
            </w:r>
            <w:r w:rsidRPr="006B3FDA">
              <w:rPr>
                <w:rFonts w:ascii="Times New Roman" w:hAnsi="Times New Roman"/>
                <w:color w:val="000000"/>
                <w:sz w:val="20"/>
                <w:szCs w:val="20"/>
                <w:lang w:eastAsia="ru-RU"/>
              </w:rPr>
              <w:t>производственных</w:t>
            </w:r>
          </w:p>
          <w:p w:rsidR="002D1E45" w:rsidRPr="006B3FDA" w:rsidRDefault="002D1E45" w:rsidP="007D4C39">
            <w:pPr>
              <w:spacing w:after="0" w:line="240" w:lineRule="auto"/>
              <w:rPr>
                <w:rFonts w:ascii="Times New Roman" w:hAnsi="Times New Roman"/>
                <w:sz w:val="20"/>
                <w:szCs w:val="20"/>
                <w:lang w:eastAsia="ru-RU"/>
              </w:rPr>
            </w:pPr>
            <w:r w:rsidRPr="006B3FDA">
              <w:rPr>
                <w:rFonts w:ascii="Times New Roman" w:hAnsi="Times New Roman"/>
                <w:color w:val="000000"/>
                <w:sz w:val="20"/>
                <w:szCs w:val="20"/>
                <w:lang w:eastAsia="ru-RU"/>
              </w:rPr>
              <w:t>зонах</w:t>
            </w:r>
          </w:p>
        </w:tc>
        <w:tc>
          <w:tcPr>
            <w:tcW w:w="1104"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50</w:t>
            </w:r>
          </w:p>
        </w:tc>
        <w:tc>
          <w:tcPr>
            <w:tcW w:w="995"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3,5</w:t>
            </w:r>
          </w:p>
        </w:tc>
        <w:tc>
          <w:tcPr>
            <w:tcW w:w="992"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2-4</w:t>
            </w:r>
          </w:p>
        </w:tc>
        <w:tc>
          <w:tcPr>
            <w:tcW w:w="1277"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110/140</w:t>
            </w:r>
          </w:p>
        </w:tc>
        <w:tc>
          <w:tcPr>
            <w:tcW w:w="1094"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60</w:t>
            </w:r>
          </w:p>
        </w:tc>
        <w:tc>
          <w:tcPr>
            <w:tcW w:w="1160"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1000</w:t>
            </w:r>
          </w:p>
        </w:tc>
        <w:tc>
          <w:tcPr>
            <w:tcW w:w="1160"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400</w:t>
            </w:r>
          </w:p>
        </w:tc>
        <w:tc>
          <w:tcPr>
            <w:tcW w:w="1149"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2,0</w:t>
            </w:r>
          </w:p>
        </w:tc>
      </w:tr>
      <w:tr w:rsidR="002D1E45" w:rsidRPr="006B3FDA" w:rsidTr="007D4C39">
        <w:trPr>
          <w:trHeight w:val="170"/>
          <w:jc w:val="center"/>
        </w:trPr>
        <w:tc>
          <w:tcPr>
            <w:tcW w:w="10627" w:type="dxa"/>
            <w:gridSpan w:val="9"/>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Пешеходные улицы и площади:</w:t>
            </w:r>
          </w:p>
        </w:tc>
      </w:tr>
      <w:tr w:rsidR="002D1E45" w:rsidRPr="006B3FDA" w:rsidTr="007D4C39">
        <w:trPr>
          <w:trHeight w:val="170"/>
          <w:jc w:val="center"/>
        </w:trPr>
        <w:tc>
          <w:tcPr>
            <w:tcW w:w="1696" w:type="dxa"/>
            <w:shd w:val="clear" w:color="auto" w:fill="FFFFFF"/>
            <w:vAlign w:val="bottom"/>
          </w:tcPr>
          <w:p w:rsidR="002D1E45" w:rsidRPr="006B3FDA" w:rsidRDefault="002D1E45" w:rsidP="007D4C39">
            <w:pPr>
              <w:spacing w:after="0" w:line="240" w:lineRule="auto"/>
              <w:rPr>
                <w:rFonts w:ascii="Times New Roman" w:hAnsi="Times New Roman"/>
                <w:sz w:val="20"/>
                <w:szCs w:val="20"/>
                <w:lang w:eastAsia="ru-RU"/>
              </w:rPr>
            </w:pPr>
            <w:r w:rsidRPr="006B3FDA">
              <w:rPr>
                <w:rFonts w:ascii="Times New Roman" w:hAnsi="Times New Roman"/>
                <w:color w:val="000000"/>
                <w:sz w:val="20"/>
                <w:szCs w:val="20"/>
                <w:lang w:eastAsia="ru-RU"/>
              </w:rPr>
              <w:t>Пешеходные улицы и площади</w:t>
            </w:r>
          </w:p>
        </w:tc>
        <w:tc>
          <w:tcPr>
            <w:tcW w:w="1104"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w:t>
            </w:r>
          </w:p>
        </w:tc>
        <w:tc>
          <w:tcPr>
            <w:tcW w:w="995"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По</w:t>
            </w:r>
          </w:p>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расчёту</w:t>
            </w:r>
          </w:p>
        </w:tc>
        <w:tc>
          <w:tcPr>
            <w:tcW w:w="992"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По расчёту</w:t>
            </w:r>
          </w:p>
        </w:tc>
        <w:tc>
          <w:tcPr>
            <w:tcW w:w="1277"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w:t>
            </w:r>
          </w:p>
        </w:tc>
        <w:tc>
          <w:tcPr>
            <w:tcW w:w="1094"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50</w:t>
            </w:r>
          </w:p>
        </w:tc>
        <w:tc>
          <w:tcPr>
            <w:tcW w:w="1160"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w:t>
            </w:r>
          </w:p>
        </w:tc>
        <w:tc>
          <w:tcPr>
            <w:tcW w:w="1160"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w:t>
            </w:r>
          </w:p>
        </w:tc>
        <w:tc>
          <w:tcPr>
            <w:tcW w:w="1149" w:type="dxa"/>
            <w:shd w:val="clear" w:color="auto" w:fill="FFFFFF"/>
            <w:vAlign w:val="center"/>
          </w:tcPr>
          <w:p w:rsidR="002D1E45" w:rsidRPr="006B3FDA" w:rsidRDefault="002D1E45" w:rsidP="007D4C39">
            <w:pPr>
              <w:spacing w:after="0" w:line="240" w:lineRule="auto"/>
              <w:jc w:val="center"/>
              <w:rPr>
                <w:rFonts w:ascii="Times New Roman" w:hAnsi="Times New Roman"/>
                <w:sz w:val="20"/>
                <w:szCs w:val="20"/>
                <w:lang w:eastAsia="ru-RU"/>
              </w:rPr>
            </w:pPr>
            <w:r w:rsidRPr="006B3FDA">
              <w:rPr>
                <w:rFonts w:ascii="Times New Roman" w:hAnsi="Times New Roman"/>
                <w:color w:val="000000"/>
                <w:sz w:val="20"/>
                <w:szCs w:val="20"/>
                <w:lang w:eastAsia="ru-RU"/>
              </w:rPr>
              <w:t>По проекту</w:t>
            </w:r>
          </w:p>
        </w:tc>
      </w:tr>
    </w:tbl>
    <w:p w:rsidR="002D1E45" w:rsidRPr="00D9442C" w:rsidRDefault="002D1E45" w:rsidP="00D9442C">
      <w:pPr>
        <w:spacing w:after="120" w:line="240" w:lineRule="auto"/>
        <w:jc w:val="center"/>
        <w:rPr>
          <w:rFonts w:ascii="Times New Roman" w:hAnsi="Times New Roman"/>
          <w:bCs/>
          <w:color w:val="000000"/>
          <w:sz w:val="28"/>
          <w:szCs w:val="24"/>
          <w:lang w:eastAsia="ru-RU"/>
        </w:rPr>
      </w:pPr>
    </w:p>
    <w:p w:rsidR="002D1E45" w:rsidRDefault="002D1E45" w:rsidP="00A82346">
      <w:pPr>
        <w:spacing w:after="0" w:line="240" w:lineRule="auto"/>
        <w:ind w:firstLine="709"/>
        <w:jc w:val="both"/>
        <w:rPr>
          <w:rFonts w:ascii="Times New Roman" w:hAnsi="Times New Roman"/>
          <w:sz w:val="28"/>
          <w:szCs w:val="28"/>
          <w:lang w:eastAsia="ru-RU"/>
        </w:rPr>
      </w:pPr>
      <w:r w:rsidRPr="00CC0CD8">
        <w:rPr>
          <w:rFonts w:ascii="Times New Roman" w:hAnsi="Times New Roman"/>
          <w:sz w:val="28"/>
          <w:szCs w:val="28"/>
          <w:lang w:eastAsia="ru-RU"/>
        </w:rPr>
        <w:t>Ширина улиц и дорог определяется расчётом в зависимости от интенсивности движения транспорта и</w:t>
      </w:r>
      <w:r>
        <w:rPr>
          <w:rFonts w:ascii="Times New Roman" w:hAnsi="Times New Roman"/>
          <w:sz w:val="28"/>
          <w:szCs w:val="28"/>
          <w:lang w:eastAsia="ru-RU"/>
        </w:rPr>
        <w:t xml:space="preserve"> </w:t>
      </w:r>
      <w:r w:rsidRPr="00CC0CD8">
        <w:rPr>
          <w:rFonts w:ascii="Times New Roman" w:hAnsi="Times New Roman"/>
          <w:sz w:val="28"/>
          <w:szCs w:val="28"/>
          <w:lang w:eastAsia="ru-RU"/>
        </w:rPr>
        <w:t>пешеходов, состава размещаемых в пределах поперечного профиля элементов (проезжих частей, технических полос для</w:t>
      </w:r>
      <w:r>
        <w:rPr>
          <w:rFonts w:ascii="Times New Roman" w:hAnsi="Times New Roman"/>
          <w:sz w:val="28"/>
          <w:szCs w:val="28"/>
          <w:lang w:eastAsia="ru-RU"/>
        </w:rPr>
        <w:t xml:space="preserve"> </w:t>
      </w:r>
      <w:r w:rsidRPr="00CC0CD8">
        <w:rPr>
          <w:rFonts w:ascii="Times New Roman" w:hAnsi="Times New Roman"/>
          <w:sz w:val="28"/>
          <w:szCs w:val="28"/>
          <w:lang w:eastAsia="ru-RU"/>
        </w:rPr>
        <w:t>прокладки подземных коммуникаций, тротуаров, зелёных насаждений и др.), с учётом санитарно-гигиенических</w:t>
      </w:r>
      <w:r>
        <w:rPr>
          <w:rFonts w:ascii="Times New Roman" w:hAnsi="Times New Roman"/>
          <w:sz w:val="28"/>
          <w:szCs w:val="28"/>
          <w:lang w:eastAsia="ru-RU"/>
        </w:rPr>
        <w:t xml:space="preserve"> </w:t>
      </w:r>
      <w:r w:rsidRPr="00CC0CD8">
        <w:rPr>
          <w:rFonts w:ascii="Times New Roman" w:hAnsi="Times New Roman"/>
          <w:sz w:val="28"/>
          <w:szCs w:val="28"/>
          <w:lang w:eastAsia="ru-RU"/>
        </w:rPr>
        <w:t>требований и требований гражданской обороны. Ширина улиц и дорог в красных линиях принимается, м: магистральных</w:t>
      </w:r>
      <w:r>
        <w:rPr>
          <w:rFonts w:ascii="Times New Roman" w:hAnsi="Times New Roman"/>
          <w:sz w:val="28"/>
          <w:szCs w:val="28"/>
          <w:lang w:eastAsia="ru-RU"/>
        </w:rPr>
        <w:t xml:space="preserve"> </w:t>
      </w:r>
      <w:r w:rsidRPr="00CC0CD8">
        <w:rPr>
          <w:rFonts w:ascii="Times New Roman" w:hAnsi="Times New Roman"/>
          <w:sz w:val="28"/>
          <w:szCs w:val="28"/>
          <w:lang w:eastAsia="ru-RU"/>
        </w:rPr>
        <w:t xml:space="preserve">дорог </w:t>
      </w:r>
      <w:r>
        <w:rPr>
          <w:rFonts w:ascii="Times New Roman" w:hAnsi="Times New Roman"/>
          <w:sz w:val="28"/>
          <w:szCs w:val="28"/>
          <w:lang w:eastAsia="ru-RU"/>
        </w:rPr>
        <w:t>–</w:t>
      </w:r>
      <w:r w:rsidRPr="00CC0CD8">
        <w:rPr>
          <w:rFonts w:ascii="Times New Roman" w:hAnsi="Times New Roman"/>
          <w:sz w:val="28"/>
          <w:szCs w:val="28"/>
          <w:lang w:eastAsia="ru-RU"/>
        </w:rPr>
        <w:t xml:space="preserve"> 50-100; магистральных улиц </w:t>
      </w:r>
      <w:r>
        <w:rPr>
          <w:rFonts w:ascii="Times New Roman" w:hAnsi="Times New Roman"/>
          <w:sz w:val="28"/>
          <w:szCs w:val="28"/>
          <w:lang w:eastAsia="ru-RU"/>
        </w:rPr>
        <w:t>–</w:t>
      </w:r>
      <w:r w:rsidRPr="00CC0CD8">
        <w:rPr>
          <w:rFonts w:ascii="Times New Roman" w:hAnsi="Times New Roman"/>
          <w:sz w:val="28"/>
          <w:szCs w:val="28"/>
          <w:lang w:eastAsia="ru-RU"/>
        </w:rPr>
        <w:t xml:space="preserve"> 40-100; улиц и дорог местного значения </w:t>
      </w:r>
      <w:r>
        <w:rPr>
          <w:rFonts w:ascii="Times New Roman" w:hAnsi="Times New Roman"/>
          <w:sz w:val="28"/>
          <w:szCs w:val="28"/>
          <w:lang w:eastAsia="ru-RU"/>
        </w:rPr>
        <w:t>–</w:t>
      </w:r>
      <w:r w:rsidRPr="00CC0CD8">
        <w:rPr>
          <w:rFonts w:ascii="Times New Roman" w:hAnsi="Times New Roman"/>
          <w:sz w:val="28"/>
          <w:szCs w:val="28"/>
          <w:lang w:eastAsia="ru-RU"/>
        </w:rPr>
        <w:t xml:space="preserve"> 15-30</w:t>
      </w:r>
      <w:r>
        <w:rPr>
          <w:rFonts w:ascii="Times New Roman" w:hAnsi="Times New Roman"/>
          <w:sz w:val="28"/>
          <w:szCs w:val="28"/>
          <w:lang w:eastAsia="ru-RU"/>
        </w:rPr>
        <w:t>.</w:t>
      </w:r>
      <w:r w:rsidRPr="00CC0CD8">
        <w:rPr>
          <w:rFonts w:ascii="Times New Roman" w:hAnsi="Times New Roman"/>
          <w:sz w:val="28"/>
          <w:szCs w:val="28"/>
          <w:lang w:eastAsia="ru-RU"/>
        </w:rPr>
        <w:t xml:space="preserve"> </w:t>
      </w:r>
    </w:p>
    <w:p w:rsidR="002D1E45" w:rsidRDefault="002D1E45" w:rsidP="00A82346">
      <w:pPr>
        <w:spacing w:after="0" w:line="240" w:lineRule="auto"/>
        <w:ind w:firstLine="709"/>
        <w:jc w:val="both"/>
        <w:rPr>
          <w:rFonts w:ascii="Times New Roman" w:hAnsi="Times New Roman"/>
          <w:sz w:val="28"/>
          <w:szCs w:val="28"/>
          <w:lang w:eastAsia="ru-RU"/>
        </w:rPr>
      </w:pPr>
      <w:r w:rsidRPr="00CC0CD8">
        <w:rPr>
          <w:rFonts w:ascii="Times New Roman" w:hAnsi="Times New Roman"/>
          <w:sz w:val="28"/>
          <w:szCs w:val="28"/>
          <w:lang w:eastAsia="ru-RU"/>
        </w:rPr>
        <w:t>Значение расчётной скорости</w:t>
      </w:r>
      <w:r>
        <w:rPr>
          <w:rFonts w:ascii="Times New Roman" w:hAnsi="Times New Roman"/>
          <w:sz w:val="28"/>
          <w:szCs w:val="28"/>
          <w:lang w:eastAsia="ru-RU"/>
        </w:rPr>
        <w:t xml:space="preserve"> </w:t>
      </w:r>
      <w:r w:rsidRPr="00CC0CD8">
        <w:rPr>
          <w:rFonts w:ascii="Times New Roman" w:hAnsi="Times New Roman"/>
          <w:sz w:val="28"/>
          <w:szCs w:val="28"/>
          <w:lang w:eastAsia="ru-RU"/>
        </w:rPr>
        <w:t>следует принимать в зависимости от выполняемой функции улицы и дороги, вида дорожной деятельности (строительство,</w:t>
      </w:r>
      <w:r>
        <w:rPr>
          <w:rFonts w:ascii="Times New Roman" w:hAnsi="Times New Roman"/>
          <w:sz w:val="28"/>
          <w:szCs w:val="28"/>
          <w:lang w:eastAsia="ru-RU"/>
        </w:rPr>
        <w:t xml:space="preserve"> </w:t>
      </w:r>
      <w:r w:rsidRPr="00CC0CD8">
        <w:rPr>
          <w:rFonts w:ascii="Times New Roman" w:hAnsi="Times New Roman"/>
          <w:sz w:val="28"/>
          <w:szCs w:val="28"/>
          <w:lang w:eastAsia="ru-RU"/>
        </w:rPr>
        <w:t>реконструкция) и условий прохождения улицы или дороги. При проектировании объектов нового строительства на</w:t>
      </w:r>
      <w:r>
        <w:rPr>
          <w:rFonts w:ascii="Times New Roman" w:hAnsi="Times New Roman"/>
          <w:sz w:val="28"/>
          <w:szCs w:val="28"/>
          <w:lang w:eastAsia="ru-RU"/>
        </w:rPr>
        <w:t xml:space="preserve"> </w:t>
      </w:r>
      <w:r w:rsidRPr="00CC0CD8">
        <w:rPr>
          <w:rFonts w:ascii="Times New Roman" w:hAnsi="Times New Roman"/>
          <w:sz w:val="28"/>
          <w:szCs w:val="28"/>
          <w:lang w:eastAsia="ru-RU"/>
        </w:rPr>
        <w:t>незастроенной территории рекомендуется принимать максимальные значения расчётной скорости. При проектировании</w:t>
      </w:r>
      <w:r>
        <w:rPr>
          <w:rFonts w:ascii="Times New Roman" w:hAnsi="Times New Roman"/>
          <w:sz w:val="28"/>
          <w:szCs w:val="28"/>
          <w:lang w:eastAsia="ru-RU"/>
        </w:rPr>
        <w:t xml:space="preserve"> </w:t>
      </w:r>
      <w:r w:rsidRPr="00CC0CD8">
        <w:rPr>
          <w:rFonts w:ascii="Times New Roman" w:hAnsi="Times New Roman"/>
          <w:sz w:val="28"/>
          <w:szCs w:val="28"/>
          <w:lang w:eastAsia="ru-RU"/>
        </w:rPr>
        <w:t>объектов реконструкции или в условиях сложного рельефа с большими перепадами высот в сложившейся застройке на</w:t>
      </w:r>
      <w:r>
        <w:rPr>
          <w:rFonts w:ascii="Times New Roman" w:hAnsi="Times New Roman"/>
          <w:sz w:val="28"/>
          <w:szCs w:val="28"/>
          <w:lang w:eastAsia="ru-RU"/>
        </w:rPr>
        <w:t xml:space="preserve"> </w:t>
      </w:r>
      <w:r w:rsidRPr="00CC0CD8">
        <w:rPr>
          <w:rFonts w:ascii="Times New Roman" w:hAnsi="Times New Roman"/>
          <w:sz w:val="28"/>
          <w:szCs w:val="28"/>
          <w:lang w:eastAsia="ru-RU"/>
        </w:rPr>
        <w:t>основании технико-экономического обоснования могут приниматься меньшие из указанных значений расчётных скоростей</w:t>
      </w:r>
      <w:r>
        <w:rPr>
          <w:rFonts w:ascii="Times New Roman" w:hAnsi="Times New Roman"/>
          <w:sz w:val="28"/>
          <w:szCs w:val="28"/>
          <w:lang w:eastAsia="ru-RU"/>
        </w:rPr>
        <w:t xml:space="preserve"> </w:t>
      </w:r>
      <w:r w:rsidRPr="00CC0CD8">
        <w:rPr>
          <w:rFonts w:ascii="Times New Roman" w:hAnsi="Times New Roman"/>
          <w:sz w:val="28"/>
          <w:szCs w:val="28"/>
          <w:lang w:eastAsia="ru-RU"/>
        </w:rPr>
        <w:t>в зависимости от ограничений, налагаемых соответственно прилегающей застройкой и рельефом. Разрешённую скорость</w:t>
      </w:r>
      <w:r>
        <w:rPr>
          <w:rFonts w:ascii="Times New Roman" w:hAnsi="Times New Roman"/>
          <w:sz w:val="28"/>
          <w:szCs w:val="28"/>
          <w:lang w:eastAsia="ru-RU"/>
        </w:rPr>
        <w:t xml:space="preserve"> </w:t>
      </w:r>
      <w:r w:rsidRPr="00CC0CD8">
        <w:rPr>
          <w:rFonts w:ascii="Times New Roman" w:hAnsi="Times New Roman"/>
          <w:sz w:val="28"/>
          <w:szCs w:val="28"/>
          <w:lang w:eastAsia="ru-RU"/>
        </w:rPr>
        <w:t>движения следует устанавливать на 10 км/ч ниже расчётной.</w:t>
      </w:r>
    </w:p>
    <w:p w:rsidR="002D1E45" w:rsidRDefault="002D1E45" w:rsidP="00A82346">
      <w:pPr>
        <w:spacing w:after="0" w:line="240" w:lineRule="auto"/>
        <w:ind w:firstLine="709"/>
        <w:jc w:val="both"/>
        <w:rPr>
          <w:rFonts w:ascii="Times New Roman" w:hAnsi="Times New Roman"/>
          <w:sz w:val="28"/>
          <w:szCs w:val="28"/>
          <w:lang w:eastAsia="ru-RU"/>
        </w:rPr>
      </w:pPr>
      <w:r w:rsidRPr="00CC0CD8">
        <w:rPr>
          <w:rFonts w:ascii="Times New Roman" w:hAnsi="Times New Roman"/>
          <w:sz w:val="28"/>
          <w:szCs w:val="28"/>
          <w:lang w:eastAsia="ru-RU"/>
        </w:rPr>
        <w:t>Для движения</w:t>
      </w:r>
      <w:r>
        <w:rPr>
          <w:rFonts w:ascii="Times New Roman" w:hAnsi="Times New Roman"/>
          <w:sz w:val="28"/>
          <w:szCs w:val="28"/>
          <w:lang w:eastAsia="ru-RU"/>
        </w:rPr>
        <w:t xml:space="preserve"> </w:t>
      </w:r>
      <w:r w:rsidRPr="00CC0CD8">
        <w:rPr>
          <w:rFonts w:ascii="Times New Roman" w:hAnsi="Times New Roman"/>
          <w:sz w:val="28"/>
          <w:szCs w:val="28"/>
          <w:lang w:eastAsia="ru-RU"/>
        </w:rPr>
        <w:t>автобусов и троллейбусов на магистральных улицах и дорогах в больших, крупных и крупнейших городах допускается</w:t>
      </w:r>
      <w:r>
        <w:rPr>
          <w:rFonts w:ascii="Times New Roman" w:hAnsi="Times New Roman"/>
          <w:sz w:val="28"/>
          <w:szCs w:val="28"/>
          <w:lang w:eastAsia="ru-RU"/>
        </w:rPr>
        <w:t xml:space="preserve"> </w:t>
      </w:r>
      <w:r w:rsidRPr="00CC0CD8">
        <w:rPr>
          <w:rFonts w:ascii="Times New Roman" w:hAnsi="Times New Roman"/>
          <w:sz w:val="28"/>
          <w:szCs w:val="28"/>
          <w:lang w:eastAsia="ru-RU"/>
        </w:rPr>
        <w:t>предусматривать выделенную полосу шириной 3,75 м.</w:t>
      </w:r>
    </w:p>
    <w:p w:rsidR="002D1E45" w:rsidRDefault="002D1E45" w:rsidP="00A82346">
      <w:pPr>
        <w:spacing w:after="0" w:line="240" w:lineRule="auto"/>
        <w:ind w:firstLine="709"/>
        <w:jc w:val="both"/>
        <w:rPr>
          <w:rFonts w:ascii="Times New Roman" w:hAnsi="Times New Roman"/>
          <w:sz w:val="28"/>
          <w:szCs w:val="28"/>
          <w:lang w:eastAsia="ru-RU"/>
        </w:rPr>
      </w:pPr>
      <w:r w:rsidRPr="00CC0CD8">
        <w:rPr>
          <w:rFonts w:ascii="Times New Roman" w:hAnsi="Times New Roman"/>
          <w:sz w:val="28"/>
          <w:szCs w:val="28"/>
          <w:lang w:eastAsia="ru-RU"/>
        </w:rPr>
        <w:t>В ширину пешеходной части тротуаров и</w:t>
      </w:r>
      <w:r>
        <w:rPr>
          <w:rFonts w:ascii="Times New Roman" w:hAnsi="Times New Roman"/>
          <w:sz w:val="28"/>
          <w:szCs w:val="28"/>
          <w:lang w:eastAsia="ru-RU"/>
        </w:rPr>
        <w:t xml:space="preserve"> </w:t>
      </w:r>
      <w:r w:rsidRPr="00CC0CD8">
        <w:rPr>
          <w:rFonts w:ascii="Times New Roman" w:hAnsi="Times New Roman"/>
          <w:sz w:val="28"/>
          <w:szCs w:val="28"/>
          <w:lang w:eastAsia="ru-RU"/>
        </w:rPr>
        <w:t>дорожек не включаются площади, необходимые для размещения киосков, скамеек и т.п.</w:t>
      </w:r>
    </w:p>
    <w:p w:rsidR="002D1E45" w:rsidRDefault="002D1E45" w:rsidP="00A82346">
      <w:pPr>
        <w:spacing w:after="0" w:line="240" w:lineRule="auto"/>
        <w:ind w:firstLine="709"/>
        <w:jc w:val="both"/>
        <w:rPr>
          <w:rFonts w:ascii="Times New Roman" w:hAnsi="Times New Roman"/>
          <w:sz w:val="28"/>
          <w:szCs w:val="28"/>
          <w:lang w:eastAsia="ru-RU"/>
        </w:rPr>
      </w:pPr>
      <w:r w:rsidRPr="00CC0CD8">
        <w:rPr>
          <w:rFonts w:ascii="Times New Roman" w:hAnsi="Times New Roman"/>
          <w:sz w:val="28"/>
          <w:szCs w:val="28"/>
          <w:lang w:eastAsia="ru-RU"/>
        </w:rPr>
        <w:t>В условиях реконструкции на</w:t>
      </w:r>
      <w:r>
        <w:rPr>
          <w:rFonts w:ascii="Times New Roman" w:hAnsi="Times New Roman"/>
          <w:sz w:val="28"/>
          <w:szCs w:val="28"/>
          <w:lang w:eastAsia="ru-RU"/>
        </w:rPr>
        <w:t xml:space="preserve"> </w:t>
      </w:r>
      <w:r w:rsidRPr="00CC0CD8">
        <w:rPr>
          <w:rFonts w:ascii="Times New Roman" w:hAnsi="Times New Roman"/>
          <w:sz w:val="28"/>
          <w:szCs w:val="28"/>
          <w:lang w:eastAsia="ru-RU"/>
        </w:rPr>
        <w:t>улицах местного значения, а также при расчётном пешеходном движении менее 50 чел./ч в обоих направлениях</w:t>
      </w:r>
      <w:r>
        <w:rPr>
          <w:rFonts w:ascii="Times New Roman" w:hAnsi="Times New Roman"/>
          <w:sz w:val="28"/>
          <w:szCs w:val="28"/>
          <w:lang w:eastAsia="ru-RU"/>
        </w:rPr>
        <w:t xml:space="preserve"> </w:t>
      </w:r>
      <w:r w:rsidRPr="00CC0CD8">
        <w:rPr>
          <w:rFonts w:ascii="Times New Roman" w:hAnsi="Times New Roman"/>
          <w:sz w:val="28"/>
          <w:szCs w:val="28"/>
          <w:lang w:eastAsia="ru-RU"/>
        </w:rPr>
        <w:t>допускается устройство тротуаров и дорожек шириной 1 м.</w:t>
      </w:r>
    </w:p>
    <w:p w:rsidR="002D1E45" w:rsidRDefault="002D1E45" w:rsidP="00A82346">
      <w:pPr>
        <w:spacing w:after="0" w:line="240" w:lineRule="auto"/>
        <w:ind w:firstLine="709"/>
        <w:jc w:val="both"/>
        <w:rPr>
          <w:rFonts w:ascii="Times New Roman" w:hAnsi="Times New Roman"/>
          <w:sz w:val="28"/>
          <w:szCs w:val="28"/>
          <w:lang w:eastAsia="ru-RU"/>
        </w:rPr>
      </w:pPr>
      <w:r w:rsidRPr="00CC0CD8">
        <w:rPr>
          <w:rFonts w:ascii="Times New Roman" w:hAnsi="Times New Roman"/>
          <w:sz w:val="28"/>
          <w:szCs w:val="28"/>
          <w:lang w:eastAsia="ru-RU"/>
        </w:rPr>
        <w:t>При непосредственном примыкании тротуаров к стенам</w:t>
      </w:r>
      <w:r>
        <w:rPr>
          <w:rFonts w:ascii="Times New Roman" w:hAnsi="Times New Roman"/>
          <w:sz w:val="28"/>
          <w:szCs w:val="28"/>
          <w:lang w:eastAsia="ru-RU"/>
        </w:rPr>
        <w:t xml:space="preserve"> </w:t>
      </w:r>
      <w:r w:rsidRPr="00CC0CD8">
        <w:rPr>
          <w:rFonts w:ascii="Times New Roman" w:hAnsi="Times New Roman"/>
          <w:sz w:val="28"/>
          <w:szCs w:val="28"/>
          <w:lang w:eastAsia="ru-RU"/>
        </w:rPr>
        <w:t>зданий, подпорным стенкам или оградам следует увеличивать их ширину не менее чем на 0,5 м.</w:t>
      </w:r>
    </w:p>
    <w:p w:rsidR="002D1E45" w:rsidRDefault="002D1E45" w:rsidP="00A82346">
      <w:pPr>
        <w:spacing w:after="0" w:line="240" w:lineRule="auto"/>
        <w:ind w:firstLine="709"/>
        <w:jc w:val="both"/>
        <w:rPr>
          <w:rFonts w:ascii="Times New Roman" w:hAnsi="Times New Roman"/>
          <w:sz w:val="28"/>
          <w:szCs w:val="28"/>
          <w:lang w:eastAsia="ru-RU"/>
        </w:rPr>
      </w:pPr>
      <w:r w:rsidRPr="00CC0CD8">
        <w:rPr>
          <w:rFonts w:ascii="Times New Roman" w:hAnsi="Times New Roman"/>
          <w:sz w:val="28"/>
          <w:szCs w:val="28"/>
          <w:lang w:eastAsia="ru-RU"/>
        </w:rPr>
        <w:t>При поэтапном</w:t>
      </w:r>
      <w:r>
        <w:rPr>
          <w:rFonts w:ascii="Times New Roman" w:hAnsi="Times New Roman"/>
          <w:sz w:val="28"/>
          <w:szCs w:val="28"/>
          <w:lang w:eastAsia="ru-RU"/>
        </w:rPr>
        <w:t xml:space="preserve"> </w:t>
      </w:r>
      <w:r w:rsidRPr="00CC0CD8">
        <w:rPr>
          <w:rFonts w:ascii="Times New Roman" w:hAnsi="Times New Roman"/>
          <w:sz w:val="28"/>
          <w:szCs w:val="28"/>
          <w:lang w:eastAsia="ru-RU"/>
        </w:rPr>
        <w:t>достижении расчётных параметров магистральных улиц и дорог, транспортных пересечений с учётом конкретных</w:t>
      </w:r>
      <w:r>
        <w:rPr>
          <w:rFonts w:ascii="Times New Roman" w:hAnsi="Times New Roman"/>
          <w:sz w:val="28"/>
          <w:szCs w:val="28"/>
          <w:lang w:eastAsia="ru-RU"/>
        </w:rPr>
        <w:t xml:space="preserve"> </w:t>
      </w:r>
      <w:r w:rsidRPr="00CC0CD8">
        <w:rPr>
          <w:rFonts w:ascii="Times New Roman" w:hAnsi="Times New Roman"/>
          <w:sz w:val="28"/>
          <w:szCs w:val="28"/>
          <w:lang w:eastAsia="ru-RU"/>
        </w:rPr>
        <w:t>размеров движения транспорта и пешеходов необходимо резервирование территории и подземного пространства для</w:t>
      </w:r>
      <w:r>
        <w:rPr>
          <w:rFonts w:ascii="Times New Roman" w:hAnsi="Times New Roman"/>
          <w:sz w:val="28"/>
          <w:szCs w:val="28"/>
          <w:lang w:eastAsia="ru-RU"/>
        </w:rPr>
        <w:t xml:space="preserve"> </w:t>
      </w:r>
      <w:r w:rsidRPr="00CC0CD8">
        <w:rPr>
          <w:rFonts w:ascii="Times New Roman" w:hAnsi="Times New Roman"/>
          <w:sz w:val="28"/>
          <w:szCs w:val="28"/>
          <w:lang w:eastAsia="ru-RU"/>
        </w:rPr>
        <w:t>перспективного строительства.</w:t>
      </w:r>
    </w:p>
    <w:p w:rsidR="002D1E45" w:rsidRDefault="002D1E45" w:rsidP="00A82346">
      <w:pPr>
        <w:spacing w:after="0" w:line="240" w:lineRule="auto"/>
        <w:ind w:firstLine="709"/>
        <w:jc w:val="both"/>
        <w:rPr>
          <w:rFonts w:ascii="Times New Roman" w:hAnsi="Times New Roman"/>
          <w:sz w:val="28"/>
          <w:szCs w:val="28"/>
          <w:lang w:eastAsia="ru-RU"/>
        </w:rPr>
      </w:pPr>
      <w:r w:rsidRPr="00CC0CD8">
        <w:rPr>
          <w:rFonts w:ascii="Times New Roman" w:hAnsi="Times New Roman"/>
          <w:sz w:val="28"/>
          <w:szCs w:val="28"/>
          <w:lang w:eastAsia="ru-RU"/>
        </w:rPr>
        <w:t>При проектировании магистральных дорог необходимо обеспечивать свободную от</w:t>
      </w:r>
      <w:r>
        <w:rPr>
          <w:rFonts w:ascii="Times New Roman" w:hAnsi="Times New Roman"/>
          <w:sz w:val="28"/>
          <w:szCs w:val="28"/>
          <w:lang w:eastAsia="ru-RU"/>
        </w:rPr>
        <w:t xml:space="preserve"> </w:t>
      </w:r>
      <w:r w:rsidRPr="00CC0CD8">
        <w:rPr>
          <w:rFonts w:ascii="Times New Roman" w:hAnsi="Times New Roman"/>
          <w:sz w:val="28"/>
          <w:szCs w:val="28"/>
          <w:lang w:eastAsia="ru-RU"/>
        </w:rPr>
        <w:t>препятствий зону вдоль дороги (за исключением технических средств организации дорожного движения,</w:t>
      </w:r>
      <w:r>
        <w:rPr>
          <w:rFonts w:ascii="Times New Roman" w:hAnsi="Times New Roman"/>
          <w:sz w:val="28"/>
          <w:szCs w:val="28"/>
          <w:lang w:eastAsia="ru-RU"/>
        </w:rPr>
        <w:t xml:space="preserve"> </w:t>
      </w:r>
      <w:r w:rsidRPr="00CC0CD8">
        <w:rPr>
          <w:rFonts w:ascii="Times New Roman" w:hAnsi="Times New Roman"/>
          <w:sz w:val="28"/>
          <w:szCs w:val="28"/>
          <w:lang w:eastAsia="ru-RU"/>
        </w:rPr>
        <w:t>устанавливаемых по ГОСТ Р 52289); размер такой зоны следует принимать в зависимости от расчётной скорости с учётом</w:t>
      </w:r>
      <w:r>
        <w:rPr>
          <w:rFonts w:ascii="Times New Roman" w:hAnsi="Times New Roman"/>
          <w:sz w:val="28"/>
          <w:szCs w:val="28"/>
          <w:lang w:eastAsia="ru-RU"/>
        </w:rPr>
        <w:t xml:space="preserve"> </w:t>
      </w:r>
      <w:r w:rsidRPr="00CC0CD8">
        <w:rPr>
          <w:rFonts w:ascii="Times New Roman" w:hAnsi="Times New Roman"/>
          <w:sz w:val="28"/>
          <w:szCs w:val="28"/>
          <w:lang w:eastAsia="ru-RU"/>
        </w:rPr>
        <w:t>стеснённости условий.</w:t>
      </w:r>
    </w:p>
    <w:p w:rsidR="002D1E45" w:rsidRDefault="002D1E45" w:rsidP="00A82346">
      <w:pPr>
        <w:spacing w:after="0" w:line="240" w:lineRule="auto"/>
        <w:ind w:firstLine="709"/>
        <w:jc w:val="both"/>
        <w:rPr>
          <w:rFonts w:ascii="Times New Roman" w:hAnsi="Times New Roman"/>
          <w:bCs/>
          <w:sz w:val="28"/>
          <w:szCs w:val="28"/>
          <w:lang w:eastAsia="ru-RU"/>
        </w:rPr>
      </w:pPr>
      <w:r w:rsidRPr="00226BFE">
        <w:rPr>
          <w:rFonts w:ascii="Times New Roman" w:hAnsi="Times New Roman"/>
          <w:bCs/>
          <w:sz w:val="28"/>
          <w:szCs w:val="28"/>
          <w:lang w:eastAsia="ru-RU"/>
        </w:rPr>
        <w:t>Техническое состояние УДС в настоящее время несколько ухудшилось в связи с сокращением объёмов ремонтно-восстановительных работ. Требуют ремонта (реконструкции) пешеходные тротуары.</w:t>
      </w:r>
    </w:p>
    <w:p w:rsidR="002D1E45" w:rsidRDefault="002D1E45" w:rsidP="00A82346">
      <w:pPr>
        <w:spacing w:after="0" w:line="240" w:lineRule="auto"/>
        <w:ind w:firstLine="709"/>
        <w:jc w:val="both"/>
        <w:rPr>
          <w:rFonts w:ascii="Times New Roman" w:hAnsi="Times New Roman"/>
          <w:bCs/>
          <w:sz w:val="28"/>
          <w:szCs w:val="28"/>
          <w:lang w:eastAsia="ru-RU"/>
        </w:rPr>
      </w:pPr>
      <w:r w:rsidRPr="00A82346">
        <w:rPr>
          <w:rFonts w:ascii="Times New Roman" w:hAnsi="Times New Roman"/>
          <w:bCs/>
          <w:sz w:val="28"/>
          <w:szCs w:val="28"/>
          <w:lang w:eastAsia="ru-RU"/>
        </w:rPr>
        <w:t>Для движения пешеходов в состав улиц включены тротуары с шириной пешеходной части равной 1</w:t>
      </w:r>
      <w:r>
        <w:rPr>
          <w:rFonts w:ascii="Times New Roman" w:hAnsi="Times New Roman"/>
          <w:bCs/>
          <w:sz w:val="28"/>
          <w:szCs w:val="28"/>
          <w:lang w:eastAsia="ru-RU"/>
        </w:rPr>
        <w:t>-</w:t>
      </w:r>
      <w:r w:rsidRPr="00A82346">
        <w:rPr>
          <w:rFonts w:ascii="Times New Roman" w:hAnsi="Times New Roman"/>
          <w:bCs/>
          <w:sz w:val="28"/>
          <w:szCs w:val="28"/>
          <w:lang w:eastAsia="ru-RU"/>
        </w:rPr>
        <w:t>2,25</w:t>
      </w:r>
      <w:r>
        <w:rPr>
          <w:rFonts w:ascii="Times New Roman" w:hAnsi="Times New Roman"/>
          <w:bCs/>
          <w:sz w:val="28"/>
          <w:szCs w:val="28"/>
          <w:lang w:eastAsia="ru-RU"/>
        </w:rPr>
        <w:t xml:space="preserve"> </w:t>
      </w:r>
      <w:r w:rsidRPr="00A82346">
        <w:rPr>
          <w:rFonts w:ascii="Times New Roman" w:hAnsi="Times New Roman"/>
          <w:bCs/>
          <w:sz w:val="28"/>
          <w:szCs w:val="28"/>
          <w:lang w:eastAsia="ru-RU"/>
        </w:rPr>
        <w:t>м, варьирующейся в зависимости от категории улицы. В связи с</w:t>
      </w:r>
      <w:r>
        <w:rPr>
          <w:rFonts w:ascii="Times New Roman" w:hAnsi="Times New Roman"/>
          <w:bCs/>
          <w:sz w:val="28"/>
          <w:szCs w:val="28"/>
          <w:lang w:eastAsia="ru-RU"/>
        </w:rPr>
        <w:t xml:space="preserve"> </w:t>
      </w:r>
      <w:r w:rsidRPr="00A82346">
        <w:rPr>
          <w:rFonts w:ascii="Times New Roman" w:hAnsi="Times New Roman"/>
          <w:bCs/>
          <w:sz w:val="28"/>
          <w:szCs w:val="28"/>
          <w:lang w:eastAsia="ru-RU"/>
        </w:rPr>
        <w:t xml:space="preserve">тем, что в </w:t>
      </w:r>
      <w:r>
        <w:rPr>
          <w:rFonts w:ascii="Times New Roman" w:hAnsi="Times New Roman"/>
          <w:bCs/>
          <w:sz w:val="28"/>
          <w:szCs w:val="28"/>
          <w:lang w:eastAsia="ru-RU"/>
        </w:rPr>
        <w:t xml:space="preserve">действующем </w:t>
      </w:r>
      <w:r w:rsidRPr="00A82346">
        <w:rPr>
          <w:rFonts w:ascii="Times New Roman" w:hAnsi="Times New Roman"/>
          <w:bCs/>
          <w:sz w:val="28"/>
          <w:szCs w:val="28"/>
          <w:lang w:eastAsia="ru-RU"/>
        </w:rPr>
        <w:t xml:space="preserve">генплане г. Куйбышева предусмотрено строительство новых микрорайонов «Западный» </w:t>
      </w:r>
      <w:r>
        <w:rPr>
          <w:rFonts w:ascii="Times New Roman" w:hAnsi="Times New Roman"/>
          <w:bCs/>
          <w:sz w:val="28"/>
          <w:szCs w:val="28"/>
          <w:lang w:eastAsia="ru-RU"/>
        </w:rPr>
        <w:t>(</w:t>
      </w:r>
      <w:r w:rsidRPr="00A82346">
        <w:rPr>
          <w:rFonts w:ascii="Times New Roman" w:hAnsi="Times New Roman"/>
          <w:bCs/>
          <w:sz w:val="28"/>
          <w:szCs w:val="28"/>
          <w:lang w:eastAsia="ru-RU"/>
        </w:rPr>
        <w:t>протяжённость улиц 4,6</w:t>
      </w:r>
      <w:r>
        <w:rPr>
          <w:rFonts w:ascii="Times New Roman" w:hAnsi="Times New Roman"/>
          <w:bCs/>
          <w:sz w:val="28"/>
          <w:szCs w:val="28"/>
          <w:lang w:eastAsia="ru-RU"/>
        </w:rPr>
        <w:t xml:space="preserve"> </w:t>
      </w:r>
      <w:r w:rsidRPr="00A82346">
        <w:rPr>
          <w:rFonts w:ascii="Times New Roman" w:hAnsi="Times New Roman"/>
          <w:bCs/>
          <w:sz w:val="28"/>
          <w:szCs w:val="28"/>
          <w:lang w:eastAsia="ru-RU"/>
        </w:rPr>
        <w:t>км</w:t>
      </w:r>
      <w:r>
        <w:rPr>
          <w:rFonts w:ascii="Times New Roman" w:hAnsi="Times New Roman"/>
          <w:bCs/>
          <w:sz w:val="28"/>
          <w:szCs w:val="28"/>
          <w:lang w:eastAsia="ru-RU"/>
        </w:rPr>
        <w:t>)</w:t>
      </w:r>
      <w:r w:rsidRPr="00A82346">
        <w:rPr>
          <w:rFonts w:ascii="Times New Roman" w:hAnsi="Times New Roman"/>
          <w:bCs/>
          <w:sz w:val="28"/>
          <w:szCs w:val="28"/>
          <w:lang w:eastAsia="ru-RU"/>
        </w:rPr>
        <w:t xml:space="preserve">, «Моховой» </w:t>
      </w:r>
      <w:r>
        <w:rPr>
          <w:rFonts w:ascii="Times New Roman" w:hAnsi="Times New Roman"/>
          <w:bCs/>
          <w:sz w:val="28"/>
          <w:szCs w:val="28"/>
          <w:lang w:eastAsia="ru-RU"/>
        </w:rPr>
        <w:t>(</w:t>
      </w:r>
      <w:r w:rsidRPr="00A82346">
        <w:rPr>
          <w:rFonts w:ascii="Times New Roman" w:hAnsi="Times New Roman"/>
          <w:bCs/>
          <w:sz w:val="28"/>
          <w:szCs w:val="28"/>
          <w:lang w:eastAsia="ru-RU"/>
        </w:rPr>
        <w:t>протяжённость подъездных путей 1,1</w:t>
      </w:r>
      <w:r>
        <w:rPr>
          <w:rFonts w:ascii="Times New Roman" w:hAnsi="Times New Roman"/>
          <w:bCs/>
          <w:sz w:val="28"/>
          <w:szCs w:val="28"/>
          <w:lang w:eastAsia="ru-RU"/>
        </w:rPr>
        <w:t xml:space="preserve"> </w:t>
      </w:r>
      <w:r w:rsidRPr="00A82346">
        <w:rPr>
          <w:rFonts w:ascii="Times New Roman" w:hAnsi="Times New Roman"/>
          <w:bCs/>
          <w:sz w:val="28"/>
          <w:szCs w:val="28"/>
          <w:lang w:eastAsia="ru-RU"/>
        </w:rPr>
        <w:t>км</w:t>
      </w:r>
      <w:r>
        <w:rPr>
          <w:rFonts w:ascii="Times New Roman" w:hAnsi="Times New Roman"/>
          <w:bCs/>
          <w:sz w:val="28"/>
          <w:szCs w:val="28"/>
          <w:lang w:eastAsia="ru-RU"/>
        </w:rPr>
        <w:t>)</w:t>
      </w:r>
      <w:r w:rsidRPr="00A82346">
        <w:rPr>
          <w:rFonts w:ascii="Times New Roman" w:hAnsi="Times New Roman"/>
          <w:bCs/>
          <w:sz w:val="28"/>
          <w:szCs w:val="28"/>
          <w:lang w:eastAsia="ru-RU"/>
        </w:rPr>
        <w:t xml:space="preserve"> и расширение существующего м-на «Южный» </w:t>
      </w:r>
      <w:r>
        <w:rPr>
          <w:rFonts w:ascii="Times New Roman" w:hAnsi="Times New Roman"/>
          <w:bCs/>
          <w:sz w:val="28"/>
          <w:szCs w:val="28"/>
          <w:lang w:eastAsia="ru-RU"/>
        </w:rPr>
        <w:t>(</w:t>
      </w:r>
      <w:r w:rsidRPr="00A82346">
        <w:rPr>
          <w:rFonts w:ascii="Times New Roman" w:hAnsi="Times New Roman"/>
          <w:bCs/>
          <w:sz w:val="28"/>
          <w:szCs w:val="28"/>
          <w:lang w:eastAsia="ru-RU"/>
        </w:rPr>
        <w:t>протяжённость 2,44</w:t>
      </w:r>
      <w:r>
        <w:rPr>
          <w:rFonts w:ascii="Times New Roman" w:hAnsi="Times New Roman"/>
          <w:bCs/>
          <w:sz w:val="28"/>
          <w:szCs w:val="28"/>
          <w:lang w:eastAsia="ru-RU"/>
        </w:rPr>
        <w:t xml:space="preserve"> </w:t>
      </w:r>
      <w:r w:rsidRPr="00A82346">
        <w:rPr>
          <w:rFonts w:ascii="Times New Roman" w:hAnsi="Times New Roman"/>
          <w:bCs/>
          <w:sz w:val="28"/>
          <w:szCs w:val="28"/>
          <w:lang w:eastAsia="ru-RU"/>
        </w:rPr>
        <w:t>км</w:t>
      </w:r>
      <w:r>
        <w:rPr>
          <w:rFonts w:ascii="Times New Roman" w:hAnsi="Times New Roman"/>
          <w:bCs/>
          <w:sz w:val="28"/>
          <w:szCs w:val="28"/>
          <w:lang w:eastAsia="ru-RU"/>
        </w:rPr>
        <w:t>)</w:t>
      </w:r>
      <w:r w:rsidRPr="00A82346">
        <w:rPr>
          <w:rFonts w:ascii="Times New Roman" w:hAnsi="Times New Roman"/>
          <w:bCs/>
          <w:sz w:val="28"/>
          <w:szCs w:val="28"/>
          <w:lang w:eastAsia="ru-RU"/>
        </w:rPr>
        <w:t xml:space="preserve"> </w:t>
      </w:r>
      <w:r>
        <w:rPr>
          <w:rFonts w:ascii="Times New Roman" w:hAnsi="Times New Roman"/>
          <w:bCs/>
          <w:sz w:val="28"/>
          <w:szCs w:val="28"/>
          <w:lang w:eastAsia="ru-RU"/>
        </w:rPr>
        <w:t>–</w:t>
      </w:r>
      <w:r w:rsidRPr="00A82346">
        <w:rPr>
          <w:rFonts w:ascii="Times New Roman" w:hAnsi="Times New Roman"/>
          <w:bCs/>
          <w:sz w:val="28"/>
          <w:szCs w:val="28"/>
          <w:lang w:eastAsia="ru-RU"/>
        </w:rPr>
        <w:t xml:space="preserve"> в составе улично-дорожной сети </w:t>
      </w:r>
      <w:r>
        <w:rPr>
          <w:rFonts w:ascii="Times New Roman" w:hAnsi="Times New Roman"/>
          <w:bCs/>
          <w:sz w:val="28"/>
          <w:szCs w:val="28"/>
          <w:lang w:eastAsia="ru-RU"/>
        </w:rPr>
        <w:t xml:space="preserve">новые улицы </w:t>
      </w:r>
      <w:r w:rsidRPr="00A82346">
        <w:rPr>
          <w:rFonts w:ascii="Times New Roman" w:hAnsi="Times New Roman"/>
          <w:bCs/>
          <w:sz w:val="28"/>
          <w:szCs w:val="28"/>
          <w:lang w:eastAsia="ru-RU"/>
        </w:rPr>
        <w:t>переводятся в категорию главных улиц и сохраняют местное значение.</w:t>
      </w:r>
    </w:p>
    <w:p w:rsidR="002D1E45" w:rsidRPr="00D9442C" w:rsidRDefault="002D1E45" w:rsidP="00A82346">
      <w:pPr>
        <w:autoSpaceDE w:val="0"/>
        <w:autoSpaceDN w:val="0"/>
        <w:adjustRightInd w:val="0"/>
        <w:spacing w:after="0" w:line="240" w:lineRule="auto"/>
        <w:jc w:val="right"/>
        <w:rPr>
          <w:rFonts w:ascii="Times New Roman" w:hAnsi="Times New Roman"/>
          <w:sz w:val="28"/>
          <w:szCs w:val="24"/>
          <w:lang w:eastAsia="ru-RU"/>
        </w:rPr>
      </w:pPr>
      <w:r w:rsidRPr="00D9442C">
        <w:rPr>
          <w:rFonts w:ascii="Times New Roman" w:hAnsi="Times New Roman"/>
          <w:sz w:val="28"/>
          <w:szCs w:val="24"/>
          <w:lang w:eastAsia="ru-RU"/>
        </w:rPr>
        <w:t xml:space="preserve">Таблица </w:t>
      </w:r>
      <w:r w:rsidRPr="00D9442C">
        <w:rPr>
          <w:rFonts w:ascii="Times New Roman" w:hAnsi="Times New Roman"/>
          <w:sz w:val="28"/>
          <w:szCs w:val="24"/>
        </w:rPr>
        <w:fldChar w:fldCharType="begin"/>
      </w:r>
      <w:r w:rsidRPr="00D9442C">
        <w:rPr>
          <w:rFonts w:ascii="Times New Roman" w:hAnsi="Times New Roman"/>
          <w:sz w:val="28"/>
          <w:szCs w:val="24"/>
        </w:rPr>
        <w:instrText xml:space="preserve"> SEQ Таблица \* ARABIC </w:instrText>
      </w:r>
      <w:r w:rsidRPr="00D9442C">
        <w:rPr>
          <w:rFonts w:ascii="Times New Roman" w:hAnsi="Times New Roman"/>
          <w:sz w:val="28"/>
          <w:szCs w:val="24"/>
        </w:rPr>
        <w:fldChar w:fldCharType="separate"/>
      </w:r>
      <w:r>
        <w:rPr>
          <w:rFonts w:ascii="Times New Roman" w:hAnsi="Times New Roman"/>
          <w:noProof/>
          <w:sz w:val="28"/>
          <w:szCs w:val="24"/>
        </w:rPr>
        <w:t>60</w:t>
      </w:r>
      <w:r w:rsidRPr="00D9442C">
        <w:rPr>
          <w:rFonts w:ascii="Times New Roman" w:hAnsi="Times New Roman"/>
          <w:sz w:val="28"/>
          <w:szCs w:val="24"/>
        </w:rPr>
        <w:fldChar w:fldCharType="end"/>
      </w:r>
    </w:p>
    <w:p w:rsidR="002D1E45" w:rsidRDefault="002D1E45" w:rsidP="00A82346">
      <w:pPr>
        <w:spacing w:after="120" w:line="240" w:lineRule="auto"/>
        <w:jc w:val="center"/>
        <w:rPr>
          <w:rFonts w:ascii="Times New Roman" w:hAnsi="Times New Roman"/>
          <w:bCs/>
          <w:color w:val="000000"/>
          <w:sz w:val="28"/>
          <w:szCs w:val="24"/>
          <w:lang w:eastAsia="ru-RU"/>
        </w:rPr>
      </w:pPr>
      <w:r w:rsidRPr="00D9442C">
        <w:rPr>
          <w:rFonts w:ascii="Times New Roman" w:hAnsi="Times New Roman"/>
          <w:bCs/>
          <w:color w:val="000000"/>
          <w:sz w:val="28"/>
          <w:szCs w:val="24"/>
          <w:lang w:eastAsia="ru-RU"/>
        </w:rPr>
        <w:t>Категория дорог и улиц</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87"/>
        <w:gridCol w:w="4687"/>
        <w:gridCol w:w="980"/>
        <w:gridCol w:w="965"/>
        <w:gridCol w:w="10"/>
        <w:gridCol w:w="1684"/>
        <w:gridCol w:w="8"/>
      </w:tblGrid>
      <w:tr w:rsidR="002D1E45" w:rsidRPr="00A82346" w:rsidTr="009B2AFC">
        <w:trPr>
          <w:gridAfter w:val="1"/>
          <w:wAfter w:w="4" w:type="pct"/>
          <w:trHeight w:val="253"/>
          <w:jc w:val="center"/>
        </w:trPr>
        <w:tc>
          <w:tcPr>
            <w:tcW w:w="1001" w:type="pct"/>
            <w:vMerge w:val="restart"/>
            <w:vAlign w:val="center"/>
          </w:tcPr>
          <w:p w:rsidR="002D1E45" w:rsidRPr="00A82346" w:rsidRDefault="002D1E45" w:rsidP="00A82346">
            <w:pPr>
              <w:spacing w:after="0" w:line="240" w:lineRule="auto"/>
              <w:jc w:val="center"/>
              <w:rPr>
                <w:rFonts w:ascii="Times New Roman" w:hAnsi="Times New Roman"/>
                <w:lang w:eastAsia="ru-RU"/>
              </w:rPr>
            </w:pPr>
            <w:r>
              <w:rPr>
                <w:rFonts w:ascii="Times New Roman" w:hAnsi="Times New Roman"/>
                <w:lang w:eastAsia="ru-RU"/>
              </w:rPr>
              <w:t>Микрорайон</w:t>
            </w:r>
          </w:p>
        </w:tc>
        <w:tc>
          <w:tcPr>
            <w:tcW w:w="2249" w:type="pct"/>
            <w:vMerge w:val="restart"/>
            <w:vAlign w:val="center"/>
          </w:tcPr>
          <w:p w:rsidR="002D1E45" w:rsidRPr="00A82346" w:rsidRDefault="002D1E45" w:rsidP="00A82346">
            <w:pPr>
              <w:spacing w:after="0" w:line="240" w:lineRule="auto"/>
              <w:jc w:val="center"/>
              <w:rPr>
                <w:rFonts w:ascii="Times New Roman" w:hAnsi="Times New Roman"/>
                <w:lang w:eastAsia="ru-RU"/>
              </w:rPr>
            </w:pPr>
            <w:r w:rsidRPr="00A82346">
              <w:rPr>
                <w:rFonts w:ascii="Times New Roman" w:hAnsi="Times New Roman"/>
                <w:lang w:eastAsia="ru-RU"/>
              </w:rPr>
              <w:t>Показатели</w:t>
            </w:r>
          </w:p>
        </w:tc>
        <w:tc>
          <w:tcPr>
            <w:tcW w:w="470" w:type="pct"/>
            <w:vMerge w:val="restart"/>
            <w:vAlign w:val="center"/>
          </w:tcPr>
          <w:p w:rsidR="002D1E45" w:rsidRPr="00A82346" w:rsidRDefault="002D1E45" w:rsidP="00A82346">
            <w:pPr>
              <w:spacing w:after="0" w:line="240" w:lineRule="auto"/>
              <w:jc w:val="center"/>
              <w:rPr>
                <w:rFonts w:ascii="Times New Roman" w:hAnsi="Times New Roman"/>
                <w:lang w:eastAsia="ru-RU"/>
              </w:rPr>
            </w:pPr>
            <w:r w:rsidRPr="00A82346">
              <w:rPr>
                <w:rFonts w:ascii="Times New Roman" w:hAnsi="Times New Roman"/>
                <w:lang w:eastAsia="ru-RU"/>
              </w:rPr>
              <w:t>Ед. изм.</w:t>
            </w:r>
          </w:p>
        </w:tc>
        <w:tc>
          <w:tcPr>
            <w:tcW w:w="463" w:type="pct"/>
            <w:vMerge w:val="restart"/>
            <w:vAlign w:val="center"/>
          </w:tcPr>
          <w:p w:rsidR="002D1E45" w:rsidRPr="00A82346" w:rsidRDefault="002D1E45" w:rsidP="00A82346">
            <w:pPr>
              <w:spacing w:after="0" w:line="240" w:lineRule="auto"/>
              <w:jc w:val="center"/>
              <w:rPr>
                <w:rFonts w:ascii="Times New Roman" w:hAnsi="Times New Roman"/>
                <w:lang w:eastAsia="ru-RU"/>
              </w:rPr>
            </w:pPr>
            <w:r w:rsidRPr="00A82346">
              <w:rPr>
                <w:rFonts w:ascii="Times New Roman" w:hAnsi="Times New Roman"/>
                <w:lang w:eastAsia="ru-RU"/>
              </w:rPr>
              <w:t>Кол-во</w:t>
            </w:r>
          </w:p>
        </w:tc>
        <w:tc>
          <w:tcPr>
            <w:tcW w:w="813" w:type="pct"/>
            <w:gridSpan w:val="2"/>
            <w:vMerge w:val="restart"/>
            <w:vAlign w:val="center"/>
          </w:tcPr>
          <w:p w:rsidR="002D1E45" w:rsidRPr="00A82346" w:rsidRDefault="002D1E45" w:rsidP="00A82346">
            <w:pPr>
              <w:spacing w:after="0" w:line="240" w:lineRule="auto"/>
              <w:jc w:val="center"/>
              <w:rPr>
                <w:rFonts w:ascii="Times New Roman" w:hAnsi="Times New Roman"/>
                <w:lang w:eastAsia="ru-RU"/>
              </w:rPr>
            </w:pPr>
            <w:r w:rsidRPr="00A82346">
              <w:rPr>
                <w:rFonts w:ascii="Times New Roman" w:hAnsi="Times New Roman"/>
                <w:lang w:eastAsia="ru-RU"/>
              </w:rPr>
              <w:t>Реконструкция на 1 оч.</w:t>
            </w:r>
          </w:p>
        </w:tc>
      </w:tr>
      <w:tr w:rsidR="002D1E45" w:rsidRPr="00A82346" w:rsidTr="009B2AFC">
        <w:trPr>
          <w:gridAfter w:val="1"/>
          <w:wAfter w:w="4" w:type="pct"/>
          <w:trHeight w:val="253"/>
          <w:jc w:val="center"/>
        </w:trPr>
        <w:tc>
          <w:tcPr>
            <w:tcW w:w="1001" w:type="pct"/>
            <w:vMerge/>
          </w:tcPr>
          <w:p w:rsidR="002D1E45" w:rsidRPr="00A82346" w:rsidRDefault="002D1E45" w:rsidP="00A82346">
            <w:pPr>
              <w:spacing w:after="0" w:line="240" w:lineRule="auto"/>
              <w:jc w:val="center"/>
              <w:rPr>
                <w:rFonts w:ascii="Times New Roman" w:hAnsi="Times New Roman"/>
                <w:lang w:eastAsia="ru-RU"/>
              </w:rPr>
            </w:pPr>
          </w:p>
        </w:tc>
        <w:tc>
          <w:tcPr>
            <w:tcW w:w="2249" w:type="pct"/>
            <w:vMerge/>
          </w:tcPr>
          <w:p w:rsidR="002D1E45" w:rsidRPr="00A82346" w:rsidRDefault="002D1E45" w:rsidP="00A82346">
            <w:pPr>
              <w:spacing w:after="0" w:line="240" w:lineRule="auto"/>
              <w:jc w:val="center"/>
              <w:rPr>
                <w:rFonts w:ascii="Times New Roman" w:hAnsi="Times New Roman"/>
                <w:lang w:eastAsia="ru-RU"/>
              </w:rPr>
            </w:pPr>
          </w:p>
        </w:tc>
        <w:tc>
          <w:tcPr>
            <w:tcW w:w="470" w:type="pct"/>
            <w:vMerge/>
            <w:vAlign w:val="center"/>
          </w:tcPr>
          <w:p w:rsidR="002D1E45" w:rsidRPr="00A82346" w:rsidRDefault="002D1E45" w:rsidP="00A82346">
            <w:pPr>
              <w:spacing w:after="0" w:line="240" w:lineRule="auto"/>
              <w:jc w:val="center"/>
              <w:rPr>
                <w:rFonts w:ascii="Times New Roman" w:hAnsi="Times New Roman"/>
                <w:lang w:eastAsia="ru-RU"/>
              </w:rPr>
            </w:pPr>
          </w:p>
        </w:tc>
        <w:tc>
          <w:tcPr>
            <w:tcW w:w="463" w:type="pct"/>
            <w:vMerge/>
            <w:vAlign w:val="center"/>
          </w:tcPr>
          <w:p w:rsidR="002D1E45" w:rsidRPr="00A82346" w:rsidRDefault="002D1E45" w:rsidP="00A82346">
            <w:pPr>
              <w:spacing w:after="0" w:line="240" w:lineRule="auto"/>
              <w:jc w:val="center"/>
              <w:rPr>
                <w:rFonts w:ascii="Times New Roman" w:hAnsi="Times New Roman"/>
                <w:lang w:eastAsia="ru-RU"/>
              </w:rPr>
            </w:pPr>
          </w:p>
        </w:tc>
        <w:tc>
          <w:tcPr>
            <w:tcW w:w="813" w:type="pct"/>
            <w:gridSpan w:val="2"/>
            <w:vMerge/>
            <w:vAlign w:val="center"/>
          </w:tcPr>
          <w:p w:rsidR="002D1E45" w:rsidRPr="00A82346" w:rsidRDefault="002D1E45" w:rsidP="00A82346">
            <w:pPr>
              <w:spacing w:after="0" w:line="240" w:lineRule="auto"/>
              <w:jc w:val="center"/>
              <w:rPr>
                <w:rFonts w:ascii="Times New Roman" w:hAnsi="Times New Roman"/>
                <w:lang w:eastAsia="ru-RU"/>
              </w:rPr>
            </w:pPr>
          </w:p>
        </w:tc>
      </w:tr>
      <w:tr w:rsidR="002D1E45" w:rsidRPr="00A82346" w:rsidTr="009B2AFC">
        <w:trPr>
          <w:gridAfter w:val="1"/>
          <w:wAfter w:w="4" w:type="pct"/>
          <w:trHeight w:val="57"/>
          <w:jc w:val="center"/>
        </w:trPr>
        <w:tc>
          <w:tcPr>
            <w:tcW w:w="1001" w:type="pct"/>
            <w:vMerge w:val="restart"/>
            <w:vAlign w:val="center"/>
          </w:tcPr>
          <w:p w:rsidR="002D1E45" w:rsidRPr="00A82346" w:rsidRDefault="002D1E45" w:rsidP="00A82346">
            <w:pPr>
              <w:spacing w:after="0" w:line="240" w:lineRule="auto"/>
              <w:rPr>
                <w:rFonts w:ascii="Times New Roman" w:hAnsi="Times New Roman"/>
                <w:lang w:eastAsia="ru-RU"/>
              </w:rPr>
            </w:pPr>
            <w:r w:rsidRPr="00A82346">
              <w:rPr>
                <w:rFonts w:ascii="Times New Roman" w:hAnsi="Times New Roman"/>
                <w:lang w:eastAsia="ru-RU"/>
              </w:rPr>
              <w:t>М-н «Западный»</w:t>
            </w:r>
          </w:p>
        </w:tc>
        <w:tc>
          <w:tcPr>
            <w:tcW w:w="2249" w:type="pct"/>
            <w:vAlign w:val="center"/>
          </w:tcPr>
          <w:p w:rsidR="002D1E45" w:rsidRPr="00A82346" w:rsidRDefault="002D1E45" w:rsidP="00A82346">
            <w:pPr>
              <w:spacing w:after="0" w:line="240" w:lineRule="auto"/>
              <w:rPr>
                <w:rFonts w:ascii="Times New Roman" w:hAnsi="Times New Roman"/>
                <w:lang w:eastAsia="ru-RU"/>
              </w:rPr>
            </w:pPr>
            <w:r w:rsidRPr="00A82346">
              <w:rPr>
                <w:rFonts w:ascii="Times New Roman" w:hAnsi="Times New Roman"/>
                <w:lang w:eastAsia="ru-RU"/>
              </w:rPr>
              <w:t>Протяженность улично-дорожной сети, всего:</w:t>
            </w:r>
          </w:p>
        </w:tc>
        <w:tc>
          <w:tcPr>
            <w:tcW w:w="470" w:type="pct"/>
            <w:vAlign w:val="center"/>
          </w:tcPr>
          <w:p w:rsidR="002D1E45" w:rsidRPr="00A82346" w:rsidRDefault="002D1E45" w:rsidP="00A82346">
            <w:pPr>
              <w:spacing w:after="0" w:line="240" w:lineRule="auto"/>
              <w:jc w:val="center"/>
              <w:rPr>
                <w:rFonts w:ascii="Times New Roman" w:hAnsi="Times New Roman"/>
                <w:lang w:eastAsia="ru-RU"/>
              </w:rPr>
            </w:pPr>
            <w:r w:rsidRPr="00A82346">
              <w:rPr>
                <w:rFonts w:ascii="Times New Roman" w:hAnsi="Times New Roman"/>
                <w:lang w:eastAsia="ru-RU"/>
              </w:rPr>
              <w:t>км</w:t>
            </w:r>
          </w:p>
        </w:tc>
        <w:tc>
          <w:tcPr>
            <w:tcW w:w="463" w:type="pct"/>
            <w:vAlign w:val="center"/>
          </w:tcPr>
          <w:p w:rsidR="002D1E45" w:rsidRPr="00A82346" w:rsidRDefault="002D1E45" w:rsidP="00A82346">
            <w:pPr>
              <w:spacing w:after="0" w:line="240" w:lineRule="auto"/>
              <w:jc w:val="center"/>
              <w:rPr>
                <w:rFonts w:ascii="Times New Roman" w:hAnsi="Times New Roman"/>
                <w:lang w:eastAsia="ru-RU"/>
              </w:rPr>
            </w:pPr>
            <w:r w:rsidRPr="00A82346">
              <w:rPr>
                <w:rFonts w:ascii="Times New Roman" w:hAnsi="Times New Roman"/>
                <w:lang w:eastAsia="ru-RU"/>
              </w:rPr>
              <w:t>4,6</w:t>
            </w:r>
          </w:p>
        </w:tc>
        <w:tc>
          <w:tcPr>
            <w:tcW w:w="813" w:type="pct"/>
            <w:gridSpan w:val="2"/>
            <w:noWrap/>
            <w:vAlign w:val="center"/>
          </w:tcPr>
          <w:p w:rsidR="002D1E45" w:rsidRPr="00A82346" w:rsidRDefault="002D1E45" w:rsidP="00A82346">
            <w:pPr>
              <w:spacing w:after="0" w:line="240" w:lineRule="auto"/>
              <w:jc w:val="center"/>
              <w:rPr>
                <w:rFonts w:ascii="Times New Roman" w:hAnsi="Times New Roman"/>
                <w:lang w:eastAsia="ru-RU"/>
              </w:rPr>
            </w:pPr>
            <w:r w:rsidRPr="00A82346">
              <w:rPr>
                <w:rFonts w:ascii="Times New Roman" w:hAnsi="Times New Roman"/>
                <w:lang w:eastAsia="ru-RU"/>
              </w:rPr>
              <w:t>4,6</w:t>
            </w:r>
          </w:p>
        </w:tc>
      </w:tr>
      <w:tr w:rsidR="002D1E45" w:rsidRPr="00A82346" w:rsidTr="009B2AFC">
        <w:trPr>
          <w:gridAfter w:val="1"/>
          <w:wAfter w:w="4" w:type="pct"/>
          <w:trHeight w:val="57"/>
          <w:jc w:val="center"/>
        </w:trPr>
        <w:tc>
          <w:tcPr>
            <w:tcW w:w="1001" w:type="pct"/>
            <w:vMerge/>
            <w:vAlign w:val="center"/>
          </w:tcPr>
          <w:p w:rsidR="002D1E45" w:rsidRPr="00A82346" w:rsidRDefault="002D1E45" w:rsidP="00A82346">
            <w:pPr>
              <w:spacing w:after="0" w:line="240" w:lineRule="auto"/>
              <w:rPr>
                <w:rFonts w:ascii="Times New Roman" w:hAnsi="Times New Roman"/>
                <w:lang w:eastAsia="ru-RU"/>
              </w:rPr>
            </w:pPr>
          </w:p>
        </w:tc>
        <w:tc>
          <w:tcPr>
            <w:tcW w:w="2249" w:type="pct"/>
            <w:vAlign w:val="center"/>
          </w:tcPr>
          <w:p w:rsidR="002D1E45" w:rsidRPr="00A82346" w:rsidRDefault="002D1E45" w:rsidP="00A82346">
            <w:pPr>
              <w:spacing w:after="0" w:line="240" w:lineRule="auto"/>
              <w:rPr>
                <w:rFonts w:ascii="Times New Roman" w:hAnsi="Times New Roman"/>
                <w:lang w:eastAsia="ru-RU"/>
              </w:rPr>
            </w:pPr>
            <w:r w:rsidRPr="00A82346">
              <w:rPr>
                <w:rFonts w:ascii="Times New Roman" w:hAnsi="Times New Roman"/>
                <w:lang w:eastAsia="ru-RU"/>
              </w:rPr>
              <w:t>главных улиц</w:t>
            </w:r>
          </w:p>
        </w:tc>
        <w:tc>
          <w:tcPr>
            <w:tcW w:w="470" w:type="pct"/>
            <w:vAlign w:val="center"/>
          </w:tcPr>
          <w:p w:rsidR="002D1E45" w:rsidRPr="00A82346" w:rsidRDefault="002D1E45" w:rsidP="00A82346">
            <w:pPr>
              <w:spacing w:after="0" w:line="240" w:lineRule="auto"/>
              <w:jc w:val="center"/>
              <w:rPr>
                <w:rFonts w:ascii="Times New Roman" w:hAnsi="Times New Roman"/>
                <w:lang w:eastAsia="ru-RU"/>
              </w:rPr>
            </w:pPr>
            <w:r w:rsidRPr="00A82346">
              <w:rPr>
                <w:rFonts w:ascii="Times New Roman" w:hAnsi="Times New Roman"/>
                <w:lang w:eastAsia="ru-RU"/>
              </w:rPr>
              <w:t>км</w:t>
            </w:r>
          </w:p>
        </w:tc>
        <w:tc>
          <w:tcPr>
            <w:tcW w:w="463" w:type="pct"/>
            <w:vAlign w:val="center"/>
          </w:tcPr>
          <w:p w:rsidR="002D1E45" w:rsidRPr="00A82346" w:rsidRDefault="002D1E45" w:rsidP="00A82346">
            <w:pPr>
              <w:spacing w:after="0" w:line="240" w:lineRule="auto"/>
              <w:jc w:val="center"/>
              <w:rPr>
                <w:rFonts w:ascii="Times New Roman" w:hAnsi="Times New Roman"/>
                <w:lang w:eastAsia="ru-RU"/>
              </w:rPr>
            </w:pPr>
            <w:r w:rsidRPr="00A82346">
              <w:rPr>
                <w:rFonts w:ascii="Times New Roman" w:hAnsi="Times New Roman"/>
                <w:lang w:eastAsia="ru-RU"/>
              </w:rPr>
              <w:t>4,6</w:t>
            </w:r>
          </w:p>
        </w:tc>
        <w:tc>
          <w:tcPr>
            <w:tcW w:w="813" w:type="pct"/>
            <w:gridSpan w:val="2"/>
            <w:noWrap/>
            <w:vAlign w:val="center"/>
          </w:tcPr>
          <w:p w:rsidR="002D1E45" w:rsidRPr="00A82346" w:rsidRDefault="002D1E45" w:rsidP="00A82346">
            <w:pPr>
              <w:spacing w:after="0" w:line="240" w:lineRule="auto"/>
              <w:jc w:val="center"/>
              <w:rPr>
                <w:rFonts w:ascii="Times New Roman" w:hAnsi="Times New Roman"/>
                <w:lang w:eastAsia="ru-RU"/>
              </w:rPr>
            </w:pPr>
            <w:r w:rsidRPr="00A82346">
              <w:rPr>
                <w:rFonts w:ascii="Times New Roman" w:hAnsi="Times New Roman"/>
                <w:lang w:eastAsia="ru-RU"/>
              </w:rPr>
              <w:t>4,6</w:t>
            </w:r>
          </w:p>
        </w:tc>
      </w:tr>
      <w:tr w:rsidR="002D1E45" w:rsidRPr="00A82346" w:rsidTr="009B2AFC">
        <w:trPr>
          <w:gridAfter w:val="1"/>
          <w:wAfter w:w="4" w:type="pct"/>
          <w:trHeight w:val="57"/>
          <w:jc w:val="center"/>
        </w:trPr>
        <w:tc>
          <w:tcPr>
            <w:tcW w:w="1001" w:type="pct"/>
            <w:vMerge w:val="restart"/>
            <w:vAlign w:val="center"/>
          </w:tcPr>
          <w:p w:rsidR="002D1E45" w:rsidRPr="00A82346" w:rsidRDefault="002D1E45" w:rsidP="00A82346">
            <w:pPr>
              <w:spacing w:after="0" w:line="240" w:lineRule="auto"/>
              <w:rPr>
                <w:rFonts w:ascii="Times New Roman" w:hAnsi="Times New Roman"/>
                <w:lang w:eastAsia="ru-RU"/>
              </w:rPr>
            </w:pPr>
            <w:r w:rsidRPr="00A82346">
              <w:rPr>
                <w:rFonts w:ascii="Times New Roman" w:hAnsi="Times New Roman"/>
                <w:lang w:eastAsia="ru-RU"/>
              </w:rPr>
              <w:t>М-н «Моховой»</w:t>
            </w:r>
          </w:p>
        </w:tc>
        <w:tc>
          <w:tcPr>
            <w:tcW w:w="2249" w:type="pct"/>
            <w:vAlign w:val="center"/>
          </w:tcPr>
          <w:p w:rsidR="002D1E45" w:rsidRPr="00A82346" w:rsidRDefault="002D1E45" w:rsidP="00A82346">
            <w:pPr>
              <w:spacing w:after="0" w:line="240" w:lineRule="auto"/>
              <w:rPr>
                <w:rFonts w:ascii="Times New Roman" w:hAnsi="Times New Roman"/>
                <w:lang w:eastAsia="ru-RU"/>
              </w:rPr>
            </w:pPr>
            <w:r w:rsidRPr="00A82346">
              <w:rPr>
                <w:rFonts w:ascii="Times New Roman" w:hAnsi="Times New Roman"/>
                <w:lang w:eastAsia="ru-RU"/>
              </w:rPr>
              <w:t>Протяженность улично-дорожной сети, всего</w:t>
            </w:r>
          </w:p>
        </w:tc>
        <w:tc>
          <w:tcPr>
            <w:tcW w:w="470" w:type="pct"/>
            <w:vAlign w:val="center"/>
          </w:tcPr>
          <w:p w:rsidR="002D1E45" w:rsidRPr="00A82346" w:rsidRDefault="002D1E45" w:rsidP="00A82346">
            <w:pPr>
              <w:spacing w:after="0" w:line="240" w:lineRule="auto"/>
              <w:jc w:val="center"/>
              <w:rPr>
                <w:rFonts w:ascii="Times New Roman" w:hAnsi="Times New Roman"/>
                <w:lang w:eastAsia="ru-RU"/>
              </w:rPr>
            </w:pPr>
            <w:r w:rsidRPr="00A82346">
              <w:rPr>
                <w:rFonts w:ascii="Times New Roman" w:hAnsi="Times New Roman"/>
                <w:lang w:eastAsia="ru-RU"/>
              </w:rPr>
              <w:t>км</w:t>
            </w:r>
          </w:p>
        </w:tc>
        <w:tc>
          <w:tcPr>
            <w:tcW w:w="463" w:type="pct"/>
            <w:vAlign w:val="center"/>
          </w:tcPr>
          <w:p w:rsidR="002D1E45" w:rsidRPr="00A82346" w:rsidRDefault="002D1E45" w:rsidP="00A82346">
            <w:pPr>
              <w:spacing w:after="0" w:line="240" w:lineRule="auto"/>
              <w:jc w:val="center"/>
              <w:rPr>
                <w:rFonts w:ascii="Times New Roman" w:hAnsi="Times New Roman"/>
                <w:lang w:eastAsia="ru-RU"/>
              </w:rPr>
            </w:pPr>
            <w:r w:rsidRPr="00A82346">
              <w:rPr>
                <w:rFonts w:ascii="Times New Roman" w:hAnsi="Times New Roman"/>
                <w:lang w:eastAsia="ru-RU"/>
              </w:rPr>
              <w:t>1,1</w:t>
            </w:r>
          </w:p>
        </w:tc>
        <w:tc>
          <w:tcPr>
            <w:tcW w:w="813" w:type="pct"/>
            <w:gridSpan w:val="2"/>
            <w:vAlign w:val="center"/>
          </w:tcPr>
          <w:p w:rsidR="002D1E45" w:rsidRPr="00A82346" w:rsidRDefault="002D1E45" w:rsidP="00A82346">
            <w:pPr>
              <w:spacing w:after="0" w:line="240" w:lineRule="auto"/>
              <w:jc w:val="center"/>
              <w:rPr>
                <w:rFonts w:ascii="Times New Roman" w:hAnsi="Times New Roman"/>
                <w:lang w:eastAsia="ru-RU"/>
              </w:rPr>
            </w:pPr>
            <w:r w:rsidRPr="00A82346">
              <w:rPr>
                <w:rFonts w:ascii="Times New Roman" w:hAnsi="Times New Roman"/>
                <w:lang w:eastAsia="ru-RU"/>
              </w:rPr>
              <w:t>1,1</w:t>
            </w:r>
          </w:p>
        </w:tc>
      </w:tr>
      <w:tr w:rsidR="002D1E45" w:rsidRPr="00A82346" w:rsidTr="009B2AFC">
        <w:trPr>
          <w:gridAfter w:val="1"/>
          <w:wAfter w:w="4" w:type="pct"/>
          <w:trHeight w:val="57"/>
          <w:jc w:val="center"/>
        </w:trPr>
        <w:tc>
          <w:tcPr>
            <w:tcW w:w="1001" w:type="pct"/>
            <w:vMerge/>
            <w:vAlign w:val="center"/>
          </w:tcPr>
          <w:p w:rsidR="002D1E45" w:rsidRPr="00A82346" w:rsidRDefault="002D1E45" w:rsidP="00A82346">
            <w:pPr>
              <w:spacing w:after="0" w:line="240" w:lineRule="auto"/>
              <w:rPr>
                <w:rFonts w:ascii="Times New Roman" w:hAnsi="Times New Roman"/>
                <w:lang w:eastAsia="ru-RU"/>
              </w:rPr>
            </w:pPr>
          </w:p>
        </w:tc>
        <w:tc>
          <w:tcPr>
            <w:tcW w:w="2249" w:type="pct"/>
            <w:vAlign w:val="center"/>
          </w:tcPr>
          <w:p w:rsidR="002D1E45" w:rsidRPr="00A82346" w:rsidRDefault="002D1E45" w:rsidP="00A82346">
            <w:pPr>
              <w:spacing w:after="0" w:line="240" w:lineRule="auto"/>
              <w:rPr>
                <w:rFonts w:ascii="Times New Roman" w:hAnsi="Times New Roman"/>
                <w:lang w:eastAsia="ru-RU"/>
              </w:rPr>
            </w:pPr>
            <w:r w:rsidRPr="00A82346">
              <w:rPr>
                <w:rFonts w:ascii="Times New Roman" w:hAnsi="Times New Roman"/>
                <w:lang w:eastAsia="ru-RU"/>
              </w:rPr>
              <w:t>главных улиц</w:t>
            </w:r>
          </w:p>
        </w:tc>
        <w:tc>
          <w:tcPr>
            <w:tcW w:w="470" w:type="pct"/>
            <w:vAlign w:val="center"/>
          </w:tcPr>
          <w:p w:rsidR="002D1E45" w:rsidRPr="00A82346" w:rsidRDefault="002D1E45" w:rsidP="00A82346">
            <w:pPr>
              <w:spacing w:after="0" w:line="240" w:lineRule="auto"/>
              <w:jc w:val="center"/>
              <w:rPr>
                <w:rFonts w:ascii="Times New Roman" w:hAnsi="Times New Roman"/>
                <w:lang w:eastAsia="ru-RU"/>
              </w:rPr>
            </w:pPr>
            <w:r w:rsidRPr="00A82346">
              <w:rPr>
                <w:rFonts w:ascii="Times New Roman" w:hAnsi="Times New Roman"/>
                <w:lang w:eastAsia="ru-RU"/>
              </w:rPr>
              <w:t>км</w:t>
            </w:r>
          </w:p>
        </w:tc>
        <w:tc>
          <w:tcPr>
            <w:tcW w:w="463" w:type="pct"/>
            <w:vAlign w:val="center"/>
          </w:tcPr>
          <w:p w:rsidR="002D1E45" w:rsidRPr="00A82346" w:rsidRDefault="002D1E45" w:rsidP="00A82346">
            <w:pPr>
              <w:spacing w:after="0" w:line="240" w:lineRule="auto"/>
              <w:jc w:val="center"/>
              <w:rPr>
                <w:rFonts w:ascii="Times New Roman" w:hAnsi="Times New Roman"/>
                <w:lang w:eastAsia="ru-RU"/>
              </w:rPr>
            </w:pPr>
            <w:r w:rsidRPr="00A82346">
              <w:rPr>
                <w:rFonts w:ascii="Times New Roman" w:hAnsi="Times New Roman"/>
                <w:lang w:eastAsia="ru-RU"/>
              </w:rPr>
              <w:t>1,1</w:t>
            </w:r>
          </w:p>
        </w:tc>
        <w:tc>
          <w:tcPr>
            <w:tcW w:w="813" w:type="pct"/>
            <w:gridSpan w:val="2"/>
            <w:noWrap/>
            <w:vAlign w:val="center"/>
          </w:tcPr>
          <w:p w:rsidR="002D1E45" w:rsidRPr="00A82346" w:rsidRDefault="002D1E45" w:rsidP="00A82346">
            <w:pPr>
              <w:spacing w:after="0" w:line="240" w:lineRule="auto"/>
              <w:jc w:val="center"/>
              <w:rPr>
                <w:rFonts w:ascii="Times New Roman" w:hAnsi="Times New Roman"/>
                <w:lang w:eastAsia="ru-RU"/>
              </w:rPr>
            </w:pPr>
            <w:r w:rsidRPr="00A82346">
              <w:rPr>
                <w:rFonts w:ascii="Times New Roman" w:hAnsi="Times New Roman"/>
                <w:lang w:eastAsia="ru-RU"/>
              </w:rPr>
              <w:t>1,1</w:t>
            </w:r>
          </w:p>
        </w:tc>
      </w:tr>
      <w:tr w:rsidR="002D1E45" w:rsidRPr="00A82346" w:rsidTr="009B2AFC">
        <w:trPr>
          <w:gridAfter w:val="1"/>
          <w:wAfter w:w="4" w:type="pct"/>
          <w:trHeight w:val="57"/>
          <w:jc w:val="center"/>
        </w:trPr>
        <w:tc>
          <w:tcPr>
            <w:tcW w:w="1001" w:type="pct"/>
            <w:vMerge w:val="restart"/>
            <w:vAlign w:val="center"/>
          </w:tcPr>
          <w:p w:rsidR="002D1E45" w:rsidRPr="00A82346" w:rsidRDefault="002D1E45" w:rsidP="00A82346">
            <w:pPr>
              <w:spacing w:after="0" w:line="240" w:lineRule="auto"/>
              <w:rPr>
                <w:rFonts w:ascii="Times New Roman" w:hAnsi="Times New Roman"/>
                <w:lang w:eastAsia="ru-RU"/>
              </w:rPr>
            </w:pPr>
            <w:r w:rsidRPr="00A82346">
              <w:rPr>
                <w:rFonts w:ascii="Times New Roman" w:hAnsi="Times New Roman"/>
                <w:lang w:eastAsia="ru-RU"/>
              </w:rPr>
              <w:t>М-н «Южный»</w:t>
            </w:r>
          </w:p>
        </w:tc>
        <w:tc>
          <w:tcPr>
            <w:tcW w:w="2249" w:type="pct"/>
            <w:vAlign w:val="center"/>
          </w:tcPr>
          <w:p w:rsidR="002D1E45" w:rsidRPr="00A82346" w:rsidRDefault="002D1E45" w:rsidP="00A82346">
            <w:pPr>
              <w:spacing w:after="0" w:line="240" w:lineRule="auto"/>
              <w:rPr>
                <w:rFonts w:ascii="Times New Roman" w:hAnsi="Times New Roman"/>
                <w:lang w:eastAsia="ru-RU"/>
              </w:rPr>
            </w:pPr>
            <w:r w:rsidRPr="00A82346">
              <w:rPr>
                <w:rFonts w:ascii="Times New Roman" w:hAnsi="Times New Roman"/>
                <w:lang w:eastAsia="ru-RU"/>
              </w:rPr>
              <w:t>Протяженность улично-дорожной сети, всего</w:t>
            </w:r>
          </w:p>
        </w:tc>
        <w:tc>
          <w:tcPr>
            <w:tcW w:w="470" w:type="pct"/>
            <w:vAlign w:val="center"/>
          </w:tcPr>
          <w:p w:rsidR="002D1E45" w:rsidRPr="00A82346" w:rsidRDefault="002D1E45" w:rsidP="00A82346">
            <w:pPr>
              <w:spacing w:after="0" w:line="240" w:lineRule="auto"/>
              <w:jc w:val="center"/>
              <w:rPr>
                <w:rFonts w:ascii="Times New Roman" w:hAnsi="Times New Roman"/>
                <w:lang w:eastAsia="ru-RU"/>
              </w:rPr>
            </w:pPr>
            <w:r w:rsidRPr="00A82346">
              <w:rPr>
                <w:rFonts w:ascii="Times New Roman" w:hAnsi="Times New Roman"/>
                <w:lang w:eastAsia="ru-RU"/>
              </w:rPr>
              <w:t>км</w:t>
            </w:r>
          </w:p>
        </w:tc>
        <w:tc>
          <w:tcPr>
            <w:tcW w:w="463" w:type="pct"/>
            <w:vAlign w:val="center"/>
          </w:tcPr>
          <w:p w:rsidR="002D1E45" w:rsidRPr="00A82346" w:rsidRDefault="002D1E45" w:rsidP="00A82346">
            <w:pPr>
              <w:spacing w:after="0" w:line="240" w:lineRule="auto"/>
              <w:jc w:val="center"/>
              <w:rPr>
                <w:rFonts w:ascii="Times New Roman" w:hAnsi="Times New Roman"/>
                <w:lang w:eastAsia="ru-RU"/>
              </w:rPr>
            </w:pPr>
            <w:r w:rsidRPr="00A82346">
              <w:rPr>
                <w:rFonts w:ascii="Times New Roman" w:hAnsi="Times New Roman"/>
                <w:lang w:eastAsia="ru-RU"/>
              </w:rPr>
              <w:t>2,44</w:t>
            </w:r>
          </w:p>
        </w:tc>
        <w:tc>
          <w:tcPr>
            <w:tcW w:w="813" w:type="pct"/>
            <w:gridSpan w:val="2"/>
            <w:vAlign w:val="center"/>
          </w:tcPr>
          <w:p w:rsidR="002D1E45" w:rsidRPr="00A82346" w:rsidRDefault="002D1E45" w:rsidP="00A82346">
            <w:pPr>
              <w:spacing w:after="0" w:line="240" w:lineRule="auto"/>
              <w:jc w:val="center"/>
              <w:rPr>
                <w:rFonts w:ascii="Times New Roman" w:hAnsi="Times New Roman"/>
                <w:lang w:eastAsia="ru-RU"/>
              </w:rPr>
            </w:pPr>
            <w:r w:rsidRPr="00A82346">
              <w:rPr>
                <w:rFonts w:ascii="Times New Roman" w:hAnsi="Times New Roman"/>
                <w:lang w:eastAsia="ru-RU"/>
              </w:rPr>
              <w:t>2,44</w:t>
            </w:r>
          </w:p>
        </w:tc>
      </w:tr>
      <w:tr w:rsidR="002D1E45" w:rsidRPr="00A82346" w:rsidTr="009B2AFC">
        <w:trPr>
          <w:gridAfter w:val="1"/>
          <w:wAfter w:w="4" w:type="pct"/>
          <w:trHeight w:val="57"/>
          <w:jc w:val="center"/>
        </w:trPr>
        <w:tc>
          <w:tcPr>
            <w:tcW w:w="1001" w:type="pct"/>
            <w:vMerge/>
            <w:vAlign w:val="center"/>
          </w:tcPr>
          <w:p w:rsidR="002D1E45" w:rsidRPr="00A82346" w:rsidRDefault="002D1E45" w:rsidP="00A82346">
            <w:pPr>
              <w:spacing w:after="0" w:line="240" w:lineRule="auto"/>
              <w:rPr>
                <w:rFonts w:ascii="Times New Roman" w:hAnsi="Times New Roman"/>
                <w:lang w:eastAsia="ru-RU"/>
              </w:rPr>
            </w:pPr>
          </w:p>
        </w:tc>
        <w:tc>
          <w:tcPr>
            <w:tcW w:w="2249" w:type="pct"/>
            <w:vAlign w:val="center"/>
          </w:tcPr>
          <w:p w:rsidR="002D1E45" w:rsidRPr="00A82346" w:rsidRDefault="002D1E45" w:rsidP="00A82346">
            <w:pPr>
              <w:spacing w:after="0" w:line="240" w:lineRule="auto"/>
              <w:rPr>
                <w:rFonts w:ascii="Times New Roman" w:hAnsi="Times New Roman"/>
                <w:lang w:eastAsia="ru-RU"/>
              </w:rPr>
            </w:pPr>
            <w:r w:rsidRPr="00A82346">
              <w:rPr>
                <w:rFonts w:ascii="Times New Roman" w:hAnsi="Times New Roman"/>
                <w:lang w:eastAsia="ru-RU"/>
              </w:rPr>
              <w:t>главных улиц</w:t>
            </w:r>
          </w:p>
        </w:tc>
        <w:tc>
          <w:tcPr>
            <w:tcW w:w="470" w:type="pct"/>
            <w:vAlign w:val="center"/>
          </w:tcPr>
          <w:p w:rsidR="002D1E45" w:rsidRPr="00A82346" w:rsidRDefault="002D1E45" w:rsidP="00A82346">
            <w:pPr>
              <w:spacing w:after="0" w:line="240" w:lineRule="auto"/>
              <w:jc w:val="center"/>
              <w:rPr>
                <w:rFonts w:ascii="Times New Roman" w:hAnsi="Times New Roman"/>
                <w:lang w:eastAsia="ru-RU"/>
              </w:rPr>
            </w:pPr>
            <w:r w:rsidRPr="00A82346">
              <w:rPr>
                <w:rFonts w:ascii="Times New Roman" w:hAnsi="Times New Roman"/>
                <w:lang w:eastAsia="ru-RU"/>
              </w:rPr>
              <w:t>км</w:t>
            </w:r>
          </w:p>
        </w:tc>
        <w:tc>
          <w:tcPr>
            <w:tcW w:w="463" w:type="pct"/>
            <w:vAlign w:val="center"/>
          </w:tcPr>
          <w:p w:rsidR="002D1E45" w:rsidRPr="00A82346" w:rsidRDefault="002D1E45" w:rsidP="00A82346">
            <w:pPr>
              <w:spacing w:after="0" w:line="240" w:lineRule="auto"/>
              <w:jc w:val="center"/>
              <w:rPr>
                <w:rFonts w:ascii="Times New Roman" w:hAnsi="Times New Roman"/>
                <w:lang w:eastAsia="ru-RU"/>
              </w:rPr>
            </w:pPr>
            <w:r w:rsidRPr="00A82346">
              <w:rPr>
                <w:rFonts w:ascii="Times New Roman" w:hAnsi="Times New Roman"/>
                <w:lang w:eastAsia="ru-RU"/>
              </w:rPr>
              <w:t>1,76</w:t>
            </w:r>
          </w:p>
        </w:tc>
        <w:tc>
          <w:tcPr>
            <w:tcW w:w="813" w:type="pct"/>
            <w:gridSpan w:val="2"/>
            <w:noWrap/>
            <w:vAlign w:val="center"/>
          </w:tcPr>
          <w:p w:rsidR="002D1E45" w:rsidRPr="00A82346" w:rsidRDefault="002D1E45" w:rsidP="00A82346">
            <w:pPr>
              <w:spacing w:after="0" w:line="240" w:lineRule="auto"/>
              <w:jc w:val="center"/>
              <w:rPr>
                <w:rFonts w:ascii="Times New Roman" w:hAnsi="Times New Roman"/>
                <w:lang w:eastAsia="ru-RU"/>
              </w:rPr>
            </w:pPr>
            <w:r w:rsidRPr="00A82346">
              <w:rPr>
                <w:rFonts w:ascii="Times New Roman" w:hAnsi="Times New Roman"/>
                <w:lang w:eastAsia="ru-RU"/>
              </w:rPr>
              <w:t>1,76</w:t>
            </w:r>
          </w:p>
        </w:tc>
      </w:tr>
      <w:tr w:rsidR="002D1E45" w:rsidRPr="00A82346" w:rsidTr="009B2AFC">
        <w:trPr>
          <w:gridAfter w:val="1"/>
          <w:wAfter w:w="4" w:type="pct"/>
          <w:trHeight w:val="57"/>
          <w:jc w:val="center"/>
        </w:trPr>
        <w:tc>
          <w:tcPr>
            <w:tcW w:w="1001" w:type="pct"/>
            <w:vMerge/>
            <w:vAlign w:val="center"/>
          </w:tcPr>
          <w:p w:rsidR="002D1E45" w:rsidRPr="00A82346" w:rsidRDefault="002D1E45" w:rsidP="00A82346">
            <w:pPr>
              <w:spacing w:after="0" w:line="240" w:lineRule="auto"/>
              <w:rPr>
                <w:rFonts w:ascii="Times New Roman" w:hAnsi="Times New Roman"/>
                <w:lang w:eastAsia="ru-RU"/>
              </w:rPr>
            </w:pPr>
          </w:p>
        </w:tc>
        <w:tc>
          <w:tcPr>
            <w:tcW w:w="2249" w:type="pct"/>
            <w:vAlign w:val="center"/>
          </w:tcPr>
          <w:p w:rsidR="002D1E45" w:rsidRPr="00A82346" w:rsidRDefault="002D1E45" w:rsidP="00A82346">
            <w:pPr>
              <w:spacing w:after="0" w:line="240" w:lineRule="auto"/>
              <w:rPr>
                <w:rFonts w:ascii="Times New Roman" w:hAnsi="Times New Roman"/>
                <w:lang w:eastAsia="ru-RU"/>
              </w:rPr>
            </w:pPr>
            <w:r w:rsidRPr="00A82346">
              <w:rPr>
                <w:rFonts w:ascii="Times New Roman" w:hAnsi="Times New Roman"/>
                <w:lang w:eastAsia="ru-RU"/>
              </w:rPr>
              <w:t>улиц в жилой застройке, второстепенных</w:t>
            </w:r>
          </w:p>
        </w:tc>
        <w:tc>
          <w:tcPr>
            <w:tcW w:w="470" w:type="pct"/>
            <w:vAlign w:val="center"/>
          </w:tcPr>
          <w:p w:rsidR="002D1E45" w:rsidRPr="00A82346" w:rsidRDefault="002D1E45" w:rsidP="00A82346">
            <w:pPr>
              <w:spacing w:after="0" w:line="240" w:lineRule="auto"/>
              <w:jc w:val="center"/>
              <w:rPr>
                <w:rFonts w:ascii="Times New Roman" w:hAnsi="Times New Roman"/>
                <w:lang w:eastAsia="ru-RU"/>
              </w:rPr>
            </w:pPr>
            <w:r w:rsidRPr="00A82346">
              <w:rPr>
                <w:rFonts w:ascii="Times New Roman" w:hAnsi="Times New Roman"/>
                <w:lang w:eastAsia="ru-RU"/>
              </w:rPr>
              <w:t>км</w:t>
            </w:r>
          </w:p>
        </w:tc>
        <w:tc>
          <w:tcPr>
            <w:tcW w:w="463" w:type="pct"/>
            <w:vAlign w:val="center"/>
          </w:tcPr>
          <w:p w:rsidR="002D1E45" w:rsidRPr="00A82346" w:rsidRDefault="002D1E45" w:rsidP="00A82346">
            <w:pPr>
              <w:spacing w:after="0" w:line="240" w:lineRule="auto"/>
              <w:jc w:val="center"/>
              <w:rPr>
                <w:rFonts w:ascii="Times New Roman" w:hAnsi="Times New Roman"/>
                <w:lang w:eastAsia="ru-RU"/>
              </w:rPr>
            </w:pPr>
            <w:r w:rsidRPr="00A82346">
              <w:rPr>
                <w:rFonts w:ascii="Times New Roman" w:hAnsi="Times New Roman"/>
                <w:lang w:eastAsia="ru-RU"/>
              </w:rPr>
              <w:t>0,68</w:t>
            </w:r>
          </w:p>
        </w:tc>
        <w:tc>
          <w:tcPr>
            <w:tcW w:w="813" w:type="pct"/>
            <w:gridSpan w:val="2"/>
            <w:noWrap/>
            <w:vAlign w:val="center"/>
          </w:tcPr>
          <w:p w:rsidR="002D1E45" w:rsidRPr="00A82346" w:rsidRDefault="002D1E45" w:rsidP="00A82346">
            <w:pPr>
              <w:spacing w:after="0" w:line="240" w:lineRule="auto"/>
              <w:jc w:val="center"/>
              <w:rPr>
                <w:rFonts w:ascii="Times New Roman" w:hAnsi="Times New Roman"/>
                <w:lang w:eastAsia="ru-RU"/>
              </w:rPr>
            </w:pPr>
            <w:r w:rsidRPr="00A82346">
              <w:rPr>
                <w:rFonts w:ascii="Times New Roman" w:hAnsi="Times New Roman"/>
                <w:lang w:eastAsia="ru-RU"/>
              </w:rPr>
              <w:t>0,68</w:t>
            </w:r>
          </w:p>
        </w:tc>
      </w:tr>
      <w:tr w:rsidR="002D1E45" w:rsidRPr="00A82346" w:rsidTr="00DC3280">
        <w:trPr>
          <w:trHeight w:val="57"/>
          <w:jc w:val="center"/>
        </w:trPr>
        <w:tc>
          <w:tcPr>
            <w:tcW w:w="4188" w:type="pct"/>
            <w:gridSpan w:val="5"/>
            <w:vAlign w:val="center"/>
          </w:tcPr>
          <w:p w:rsidR="002D1E45" w:rsidRPr="00A82346" w:rsidRDefault="002D1E45" w:rsidP="00A82346">
            <w:pPr>
              <w:spacing w:after="0" w:line="240" w:lineRule="auto"/>
              <w:jc w:val="right"/>
              <w:rPr>
                <w:rFonts w:ascii="Times New Roman" w:hAnsi="Times New Roman"/>
                <w:b/>
                <w:bCs/>
                <w:lang w:eastAsia="ru-RU"/>
              </w:rPr>
            </w:pPr>
            <w:r w:rsidRPr="00A82346">
              <w:rPr>
                <w:rFonts w:ascii="Times New Roman" w:hAnsi="Times New Roman"/>
                <w:b/>
                <w:bCs/>
                <w:lang w:eastAsia="ru-RU"/>
              </w:rPr>
              <w:t>ИТОГО</w:t>
            </w:r>
          </w:p>
        </w:tc>
        <w:tc>
          <w:tcPr>
            <w:tcW w:w="812" w:type="pct"/>
            <w:gridSpan w:val="2"/>
            <w:noWrap/>
            <w:vAlign w:val="center"/>
          </w:tcPr>
          <w:p w:rsidR="002D1E45" w:rsidRPr="00A82346" w:rsidRDefault="002D1E45" w:rsidP="00A82346">
            <w:pPr>
              <w:spacing w:after="0" w:line="240" w:lineRule="auto"/>
              <w:jc w:val="center"/>
              <w:rPr>
                <w:rFonts w:ascii="Times New Roman" w:hAnsi="Times New Roman"/>
                <w:b/>
                <w:bCs/>
                <w:lang w:eastAsia="ru-RU"/>
              </w:rPr>
            </w:pPr>
            <w:r>
              <w:rPr>
                <w:rFonts w:ascii="Times New Roman" w:hAnsi="Times New Roman"/>
                <w:b/>
                <w:bCs/>
                <w:lang w:eastAsia="ru-RU"/>
              </w:rPr>
              <w:t>8,14</w:t>
            </w:r>
          </w:p>
        </w:tc>
      </w:tr>
    </w:tbl>
    <w:p w:rsidR="002D1E45" w:rsidRDefault="002D1E45" w:rsidP="00A82346">
      <w:pPr>
        <w:spacing w:after="120" w:line="240" w:lineRule="auto"/>
        <w:jc w:val="center"/>
        <w:rPr>
          <w:rFonts w:ascii="Times New Roman" w:hAnsi="Times New Roman"/>
          <w:bCs/>
          <w:color w:val="000000"/>
          <w:sz w:val="28"/>
          <w:szCs w:val="24"/>
          <w:lang w:eastAsia="ru-RU"/>
        </w:rPr>
      </w:pPr>
    </w:p>
    <w:p w:rsidR="002D1E45" w:rsidRDefault="002D1E45" w:rsidP="00A82346">
      <w:pPr>
        <w:spacing w:after="0" w:line="240" w:lineRule="auto"/>
        <w:ind w:firstLine="709"/>
        <w:jc w:val="both"/>
        <w:rPr>
          <w:rFonts w:ascii="Times New Roman" w:hAnsi="Times New Roman"/>
          <w:bCs/>
          <w:sz w:val="28"/>
          <w:szCs w:val="28"/>
          <w:lang w:eastAsia="ru-RU"/>
        </w:rPr>
      </w:pPr>
      <w:r>
        <w:rPr>
          <w:rFonts w:ascii="Times New Roman" w:hAnsi="Times New Roman"/>
          <w:bCs/>
          <w:sz w:val="28"/>
          <w:szCs w:val="28"/>
          <w:lang w:eastAsia="ru-RU"/>
        </w:rPr>
        <w:t>Генеральным планом также рекомендуется проведение реконструкции местных дорог и УДС:</w:t>
      </w:r>
    </w:p>
    <w:p w:rsidR="002D1E45" w:rsidRDefault="002D1E45" w:rsidP="00852938">
      <w:pPr>
        <w:pStyle w:val="ListParagraph"/>
        <w:numPr>
          <w:ilvl w:val="3"/>
          <w:numId w:val="90"/>
        </w:numPr>
        <w:spacing w:after="0" w:line="240" w:lineRule="auto"/>
        <w:ind w:left="1134"/>
        <w:jc w:val="both"/>
        <w:rPr>
          <w:rFonts w:ascii="Times New Roman" w:hAnsi="Times New Roman"/>
          <w:bCs/>
          <w:sz w:val="28"/>
          <w:szCs w:val="28"/>
          <w:lang w:eastAsia="ru-RU"/>
        </w:rPr>
      </w:pPr>
      <w:r>
        <w:rPr>
          <w:rFonts w:ascii="Times New Roman" w:hAnsi="Times New Roman"/>
          <w:bCs/>
          <w:sz w:val="28"/>
          <w:szCs w:val="28"/>
          <w:lang w:eastAsia="ru-RU"/>
        </w:rPr>
        <w:t xml:space="preserve">Первая очередь: </w:t>
      </w:r>
    </w:p>
    <w:p w:rsidR="002D1E45" w:rsidRDefault="002D1E45" w:rsidP="00852938">
      <w:pPr>
        <w:numPr>
          <w:ilvl w:val="0"/>
          <w:numId w:val="91"/>
        </w:numPr>
        <w:tabs>
          <w:tab w:val="left" w:pos="1560"/>
        </w:tabs>
        <w:spacing w:after="0" w:line="240" w:lineRule="auto"/>
        <w:ind w:left="1560"/>
        <w:jc w:val="both"/>
        <w:rPr>
          <w:rFonts w:ascii="Times New Roman" w:hAnsi="Times New Roman"/>
          <w:bCs/>
          <w:sz w:val="28"/>
          <w:szCs w:val="28"/>
          <w:lang w:eastAsia="ru-RU"/>
        </w:rPr>
      </w:pPr>
      <w:r>
        <w:rPr>
          <w:rFonts w:ascii="Times New Roman" w:hAnsi="Times New Roman"/>
          <w:bCs/>
          <w:sz w:val="28"/>
          <w:szCs w:val="28"/>
          <w:lang w:eastAsia="ru-RU"/>
        </w:rPr>
        <w:t>реконструкция 80 км дорог (организация твёрдого покрытия на гравийных участках дорог);</w:t>
      </w:r>
    </w:p>
    <w:p w:rsidR="002D1E45" w:rsidRDefault="002D1E45" w:rsidP="00852938">
      <w:pPr>
        <w:pStyle w:val="ListParagraph"/>
        <w:numPr>
          <w:ilvl w:val="3"/>
          <w:numId w:val="90"/>
        </w:numPr>
        <w:spacing w:after="0" w:line="240" w:lineRule="auto"/>
        <w:ind w:left="1134"/>
        <w:jc w:val="both"/>
        <w:rPr>
          <w:rFonts w:ascii="Times New Roman" w:hAnsi="Times New Roman"/>
          <w:bCs/>
          <w:sz w:val="28"/>
          <w:szCs w:val="28"/>
          <w:lang w:eastAsia="ru-RU"/>
        </w:rPr>
      </w:pPr>
      <w:r>
        <w:rPr>
          <w:rFonts w:ascii="Times New Roman" w:hAnsi="Times New Roman"/>
          <w:bCs/>
          <w:sz w:val="28"/>
          <w:szCs w:val="28"/>
          <w:lang w:eastAsia="ru-RU"/>
        </w:rPr>
        <w:t>Расчётный срок:</w:t>
      </w:r>
    </w:p>
    <w:p w:rsidR="002D1E45" w:rsidRDefault="002D1E45" w:rsidP="00852938">
      <w:pPr>
        <w:numPr>
          <w:ilvl w:val="0"/>
          <w:numId w:val="91"/>
        </w:numPr>
        <w:tabs>
          <w:tab w:val="left" w:pos="1560"/>
        </w:tabs>
        <w:spacing w:after="0" w:line="240" w:lineRule="auto"/>
        <w:ind w:left="1560"/>
        <w:jc w:val="both"/>
        <w:rPr>
          <w:rFonts w:ascii="Times New Roman" w:hAnsi="Times New Roman"/>
          <w:bCs/>
          <w:sz w:val="28"/>
          <w:szCs w:val="28"/>
          <w:lang w:eastAsia="ru-RU"/>
        </w:rPr>
      </w:pPr>
      <w:r>
        <w:rPr>
          <w:rFonts w:ascii="Times New Roman" w:hAnsi="Times New Roman"/>
          <w:bCs/>
          <w:sz w:val="28"/>
          <w:szCs w:val="28"/>
          <w:lang w:eastAsia="ru-RU"/>
        </w:rPr>
        <w:t>реконструкция 36,5 км дорог (организация твёрдого покрытия</w:t>
      </w:r>
      <w:r w:rsidRPr="00091DDD">
        <w:rPr>
          <w:rFonts w:ascii="Times New Roman" w:hAnsi="Times New Roman"/>
          <w:bCs/>
          <w:sz w:val="28"/>
          <w:szCs w:val="28"/>
          <w:lang w:eastAsia="ru-RU"/>
        </w:rPr>
        <w:t xml:space="preserve"> </w:t>
      </w:r>
      <w:r>
        <w:rPr>
          <w:rFonts w:ascii="Times New Roman" w:hAnsi="Times New Roman"/>
          <w:bCs/>
          <w:sz w:val="28"/>
          <w:szCs w:val="28"/>
          <w:lang w:eastAsia="ru-RU"/>
        </w:rPr>
        <w:t>на грунтовых участках дорог).</w:t>
      </w:r>
    </w:p>
    <w:p w:rsidR="002D1E45" w:rsidRPr="00A82346" w:rsidRDefault="002D1E45" w:rsidP="00A82346">
      <w:pPr>
        <w:spacing w:after="0" w:line="240" w:lineRule="auto"/>
        <w:ind w:firstLine="709"/>
        <w:jc w:val="both"/>
        <w:rPr>
          <w:rFonts w:ascii="Times New Roman" w:hAnsi="Times New Roman"/>
          <w:bCs/>
          <w:sz w:val="28"/>
          <w:szCs w:val="28"/>
          <w:lang w:eastAsia="ru-RU"/>
        </w:rPr>
      </w:pPr>
    </w:p>
    <w:p w:rsidR="002D1E45" w:rsidRPr="006D3F95" w:rsidRDefault="002D1E45" w:rsidP="006D3F95">
      <w:pPr>
        <w:spacing w:after="0" w:line="240" w:lineRule="auto"/>
        <w:ind w:firstLine="709"/>
        <w:jc w:val="both"/>
        <w:rPr>
          <w:rFonts w:ascii="Times New Roman" w:hAnsi="Times New Roman"/>
          <w:i/>
          <w:sz w:val="28"/>
          <w:szCs w:val="28"/>
          <w:u w:val="single"/>
          <w:lang w:eastAsia="ru-RU"/>
        </w:rPr>
      </w:pPr>
      <w:r w:rsidRPr="006D3F95">
        <w:rPr>
          <w:rFonts w:ascii="Times New Roman" w:hAnsi="Times New Roman"/>
          <w:i/>
          <w:sz w:val="28"/>
          <w:szCs w:val="28"/>
          <w:u w:val="single"/>
          <w:lang w:eastAsia="ru-RU"/>
        </w:rPr>
        <w:t>Объекты транспортной инфраструктуры</w:t>
      </w:r>
    </w:p>
    <w:p w:rsidR="002D1E45" w:rsidRPr="006D3F95" w:rsidRDefault="002D1E45" w:rsidP="006D3F95">
      <w:pPr>
        <w:spacing w:after="0" w:line="240" w:lineRule="auto"/>
        <w:ind w:firstLine="709"/>
        <w:jc w:val="both"/>
        <w:rPr>
          <w:rFonts w:ascii="Times New Roman" w:hAnsi="Times New Roman"/>
          <w:sz w:val="28"/>
          <w:szCs w:val="28"/>
          <w:lang w:eastAsia="ru-RU"/>
        </w:rPr>
      </w:pPr>
      <w:r w:rsidRPr="006D3F95">
        <w:rPr>
          <w:rFonts w:ascii="Times New Roman" w:hAnsi="Times New Roman"/>
          <w:sz w:val="28"/>
          <w:szCs w:val="28"/>
          <w:lang w:eastAsia="ru-RU"/>
        </w:rPr>
        <w:t>Планируемая потребность объектов транспортной инфраструктуры в</w:t>
      </w:r>
      <w:r>
        <w:rPr>
          <w:rFonts w:ascii="Times New Roman" w:hAnsi="Times New Roman"/>
          <w:sz w:val="28"/>
          <w:szCs w:val="28"/>
          <w:lang w:eastAsia="ru-RU"/>
        </w:rPr>
        <w:t> г. Куйбышеве</w:t>
      </w:r>
      <w:r w:rsidRPr="006D3F95">
        <w:rPr>
          <w:rFonts w:ascii="Times New Roman" w:hAnsi="Times New Roman"/>
          <w:sz w:val="28"/>
          <w:szCs w:val="28"/>
          <w:lang w:eastAsia="ru-RU"/>
        </w:rPr>
        <w:t xml:space="preserve"> определена исходя из</w:t>
      </w:r>
      <w:r>
        <w:rPr>
          <w:rFonts w:ascii="Times New Roman" w:hAnsi="Times New Roman"/>
          <w:sz w:val="28"/>
          <w:szCs w:val="28"/>
          <w:lang w:eastAsia="ru-RU"/>
        </w:rPr>
        <w:t> </w:t>
      </w:r>
      <w:r w:rsidRPr="006D3F95">
        <w:rPr>
          <w:rFonts w:ascii="Times New Roman" w:hAnsi="Times New Roman"/>
          <w:sz w:val="28"/>
          <w:szCs w:val="28"/>
          <w:lang w:eastAsia="ru-RU"/>
        </w:rPr>
        <w:t>обеспеченности населения легковыми автомобилями на</w:t>
      </w:r>
      <w:r>
        <w:rPr>
          <w:rFonts w:ascii="Times New Roman" w:hAnsi="Times New Roman"/>
          <w:sz w:val="28"/>
          <w:szCs w:val="28"/>
          <w:lang w:eastAsia="ru-RU"/>
        </w:rPr>
        <w:t> </w:t>
      </w:r>
      <w:r w:rsidRPr="006D3F95">
        <w:rPr>
          <w:rFonts w:ascii="Times New Roman" w:hAnsi="Times New Roman"/>
          <w:sz w:val="28"/>
          <w:szCs w:val="28"/>
          <w:lang w:eastAsia="ru-RU"/>
        </w:rPr>
        <w:t>расчётный срок согласно СП 42.13330.2016 «Градостроительство. Планировка и</w:t>
      </w:r>
      <w:r>
        <w:rPr>
          <w:rFonts w:ascii="Times New Roman" w:hAnsi="Times New Roman"/>
          <w:sz w:val="28"/>
          <w:szCs w:val="28"/>
          <w:lang w:eastAsia="ru-RU"/>
        </w:rPr>
        <w:t> </w:t>
      </w:r>
      <w:r w:rsidRPr="006D3F95">
        <w:rPr>
          <w:rFonts w:ascii="Times New Roman" w:hAnsi="Times New Roman"/>
          <w:sz w:val="28"/>
          <w:szCs w:val="28"/>
          <w:lang w:eastAsia="ru-RU"/>
        </w:rPr>
        <w:t>застройка городских и</w:t>
      </w:r>
      <w:r>
        <w:rPr>
          <w:rFonts w:ascii="Times New Roman" w:hAnsi="Times New Roman"/>
          <w:sz w:val="28"/>
          <w:szCs w:val="28"/>
          <w:lang w:eastAsia="ru-RU"/>
        </w:rPr>
        <w:t> </w:t>
      </w:r>
      <w:r w:rsidRPr="006D3F95">
        <w:rPr>
          <w:rFonts w:ascii="Times New Roman" w:hAnsi="Times New Roman"/>
          <w:sz w:val="28"/>
          <w:szCs w:val="28"/>
          <w:lang w:eastAsia="ru-RU"/>
        </w:rPr>
        <w:t>сельских поселений» (актуализированная редакция СНиП 2.07.01-89*)</w:t>
      </w:r>
      <w:r>
        <w:rPr>
          <w:rFonts w:ascii="Times New Roman" w:hAnsi="Times New Roman"/>
          <w:sz w:val="28"/>
          <w:szCs w:val="28"/>
          <w:lang w:eastAsia="ru-RU"/>
        </w:rPr>
        <w:t xml:space="preserve"> –</w:t>
      </w:r>
      <w:r w:rsidRPr="006D3F95">
        <w:rPr>
          <w:rFonts w:ascii="Times New Roman" w:hAnsi="Times New Roman"/>
          <w:sz w:val="28"/>
          <w:szCs w:val="28"/>
          <w:lang w:eastAsia="ru-RU"/>
        </w:rPr>
        <w:t xml:space="preserve"> </w:t>
      </w:r>
      <w:r>
        <w:rPr>
          <w:rFonts w:ascii="Times New Roman" w:hAnsi="Times New Roman"/>
          <w:sz w:val="28"/>
          <w:szCs w:val="28"/>
          <w:lang w:eastAsia="ru-RU"/>
        </w:rPr>
        <w:t>42</w:t>
      </w:r>
      <w:r w:rsidRPr="006D3F95">
        <w:rPr>
          <w:rFonts w:ascii="Times New Roman" w:hAnsi="Times New Roman"/>
          <w:sz w:val="28"/>
          <w:szCs w:val="28"/>
          <w:lang w:eastAsia="ru-RU"/>
        </w:rPr>
        <w:t>0 ед. на 1000 человек, и</w:t>
      </w:r>
      <w:r>
        <w:rPr>
          <w:rFonts w:ascii="Times New Roman" w:hAnsi="Times New Roman"/>
          <w:sz w:val="28"/>
          <w:szCs w:val="28"/>
          <w:lang w:eastAsia="ru-RU"/>
        </w:rPr>
        <w:t> </w:t>
      </w:r>
      <w:r w:rsidRPr="006D3F95">
        <w:rPr>
          <w:rFonts w:ascii="Times New Roman" w:hAnsi="Times New Roman"/>
          <w:sz w:val="28"/>
          <w:szCs w:val="28"/>
          <w:lang w:eastAsia="ru-RU"/>
        </w:rPr>
        <w:t xml:space="preserve">численности жителей </w:t>
      </w:r>
      <w:r>
        <w:rPr>
          <w:rFonts w:ascii="Times New Roman" w:hAnsi="Times New Roman"/>
          <w:sz w:val="28"/>
          <w:szCs w:val="28"/>
          <w:lang w:eastAsia="ru-RU"/>
        </w:rPr>
        <w:t>–</w:t>
      </w:r>
      <w:r w:rsidRPr="006D3F95">
        <w:rPr>
          <w:rFonts w:ascii="Times New Roman" w:hAnsi="Times New Roman"/>
          <w:sz w:val="28"/>
          <w:szCs w:val="28"/>
          <w:lang w:eastAsia="ru-RU"/>
        </w:rPr>
        <w:t xml:space="preserve"> </w:t>
      </w:r>
      <w:r>
        <w:rPr>
          <w:rFonts w:ascii="Times New Roman" w:hAnsi="Times New Roman"/>
          <w:sz w:val="28"/>
          <w:szCs w:val="28"/>
          <w:lang w:eastAsia="ru-RU"/>
        </w:rPr>
        <w:t>38950</w:t>
      </w:r>
      <w:r w:rsidRPr="006D3F95">
        <w:rPr>
          <w:rFonts w:ascii="Times New Roman" w:hAnsi="Times New Roman"/>
          <w:sz w:val="28"/>
          <w:szCs w:val="28"/>
          <w:lang w:eastAsia="ru-RU"/>
        </w:rPr>
        <w:t xml:space="preserve"> человек. Расчётное количество автомобилей составит </w:t>
      </w:r>
      <w:r>
        <w:rPr>
          <w:rFonts w:ascii="Times New Roman" w:hAnsi="Times New Roman"/>
          <w:sz w:val="28"/>
          <w:szCs w:val="28"/>
          <w:lang w:eastAsia="ru-RU"/>
        </w:rPr>
        <w:t>16359</w:t>
      </w:r>
      <w:r w:rsidRPr="006D3F95">
        <w:rPr>
          <w:rFonts w:ascii="Times New Roman" w:hAnsi="Times New Roman"/>
          <w:sz w:val="28"/>
          <w:szCs w:val="28"/>
          <w:lang w:eastAsia="ru-RU"/>
        </w:rPr>
        <w:t xml:space="preserve"> единиц.</w:t>
      </w:r>
    </w:p>
    <w:p w:rsidR="002D1E45" w:rsidRPr="006D3F95" w:rsidRDefault="002D1E45" w:rsidP="006D3F95">
      <w:pPr>
        <w:spacing w:after="0" w:line="240" w:lineRule="auto"/>
        <w:ind w:firstLine="709"/>
        <w:jc w:val="both"/>
        <w:rPr>
          <w:rFonts w:ascii="Times New Roman" w:hAnsi="Times New Roman"/>
          <w:sz w:val="28"/>
          <w:szCs w:val="28"/>
          <w:lang w:eastAsia="ru-RU"/>
        </w:rPr>
      </w:pPr>
      <w:r w:rsidRPr="006D3F95">
        <w:rPr>
          <w:rFonts w:ascii="Times New Roman" w:hAnsi="Times New Roman"/>
          <w:sz w:val="28"/>
          <w:szCs w:val="28"/>
          <w:lang w:eastAsia="ru-RU"/>
        </w:rPr>
        <w:t>Требования к</w:t>
      </w:r>
      <w:r>
        <w:rPr>
          <w:rFonts w:ascii="Times New Roman" w:hAnsi="Times New Roman"/>
          <w:sz w:val="28"/>
          <w:szCs w:val="28"/>
          <w:lang w:eastAsia="ru-RU"/>
        </w:rPr>
        <w:t> </w:t>
      </w:r>
      <w:r w:rsidRPr="006D3F95">
        <w:rPr>
          <w:rFonts w:ascii="Times New Roman" w:hAnsi="Times New Roman"/>
          <w:sz w:val="28"/>
          <w:szCs w:val="28"/>
          <w:lang w:eastAsia="ru-RU"/>
        </w:rPr>
        <w:t>обеспеченности легкового автотранспорта станциями технического обслуживания (СТО) и</w:t>
      </w:r>
      <w:r>
        <w:rPr>
          <w:rFonts w:ascii="Times New Roman" w:hAnsi="Times New Roman"/>
          <w:sz w:val="28"/>
          <w:szCs w:val="28"/>
          <w:lang w:eastAsia="ru-RU"/>
        </w:rPr>
        <w:t> </w:t>
      </w:r>
      <w:r w:rsidRPr="006D3F95">
        <w:rPr>
          <w:rFonts w:ascii="Times New Roman" w:hAnsi="Times New Roman"/>
          <w:sz w:val="28"/>
          <w:szCs w:val="28"/>
          <w:lang w:eastAsia="ru-RU"/>
        </w:rPr>
        <w:t>автозаправочными станциями (АЗС) и</w:t>
      </w:r>
      <w:r>
        <w:rPr>
          <w:rFonts w:ascii="Times New Roman" w:hAnsi="Times New Roman"/>
          <w:sz w:val="28"/>
          <w:szCs w:val="28"/>
          <w:lang w:eastAsia="ru-RU"/>
        </w:rPr>
        <w:t> </w:t>
      </w:r>
      <w:r w:rsidRPr="006D3F95">
        <w:rPr>
          <w:rFonts w:ascii="Times New Roman" w:hAnsi="Times New Roman"/>
          <w:sz w:val="28"/>
          <w:szCs w:val="28"/>
          <w:lang w:eastAsia="ru-RU"/>
        </w:rPr>
        <w:t>обозначены в</w:t>
      </w:r>
      <w:r>
        <w:rPr>
          <w:rFonts w:ascii="Times New Roman" w:hAnsi="Times New Roman"/>
          <w:sz w:val="28"/>
          <w:szCs w:val="28"/>
          <w:lang w:eastAsia="ru-RU"/>
        </w:rPr>
        <w:t> </w:t>
      </w:r>
      <w:r w:rsidRPr="006D3F95">
        <w:rPr>
          <w:rFonts w:ascii="Times New Roman" w:hAnsi="Times New Roman"/>
          <w:sz w:val="28"/>
          <w:szCs w:val="28"/>
          <w:lang w:eastAsia="ru-RU"/>
        </w:rPr>
        <w:t>СП 42.13330.201</w:t>
      </w:r>
      <w:r>
        <w:rPr>
          <w:rFonts w:ascii="Times New Roman" w:hAnsi="Times New Roman"/>
          <w:sz w:val="28"/>
          <w:szCs w:val="28"/>
          <w:lang w:eastAsia="ru-RU"/>
        </w:rPr>
        <w:t>6</w:t>
      </w:r>
      <w:r w:rsidRPr="006D3F95">
        <w:rPr>
          <w:rFonts w:ascii="Times New Roman" w:hAnsi="Times New Roman"/>
          <w:sz w:val="28"/>
          <w:szCs w:val="28"/>
          <w:lang w:eastAsia="ru-RU"/>
        </w:rPr>
        <w:t>: потребность в</w:t>
      </w:r>
      <w:r>
        <w:rPr>
          <w:rFonts w:ascii="Times New Roman" w:hAnsi="Times New Roman"/>
          <w:sz w:val="28"/>
          <w:szCs w:val="28"/>
          <w:lang w:eastAsia="ru-RU"/>
        </w:rPr>
        <w:t> </w:t>
      </w:r>
      <w:r w:rsidRPr="006D3F95">
        <w:rPr>
          <w:rFonts w:ascii="Times New Roman" w:hAnsi="Times New Roman"/>
          <w:sz w:val="28"/>
          <w:szCs w:val="28"/>
          <w:lang w:eastAsia="ru-RU"/>
        </w:rPr>
        <w:t>АЗС составляет: 1 топливораздаточная колонка на 1200 легковых автомобилей; потребность в</w:t>
      </w:r>
      <w:r>
        <w:rPr>
          <w:rFonts w:ascii="Times New Roman" w:hAnsi="Times New Roman"/>
          <w:sz w:val="28"/>
          <w:szCs w:val="28"/>
          <w:lang w:eastAsia="ru-RU"/>
        </w:rPr>
        <w:t> </w:t>
      </w:r>
      <w:r w:rsidRPr="006D3F95">
        <w:rPr>
          <w:rFonts w:ascii="Times New Roman" w:hAnsi="Times New Roman"/>
          <w:sz w:val="28"/>
          <w:szCs w:val="28"/>
          <w:lang w:eastAsia="ru-RU"/>
        </w:rPr>
        <w:t>СТО составляет: 1 пост на 200 легковых автомобилей.</w:t>
      </w:r>
    </w:p>
    <w:p w:rsidR="002D1E45" w:rsidRDefault="002D1E45" w:rsidP="006D3F95">
      <w:pPr>
        <w:spacing w:after="0" w:line="240" w:lineRule="auto"/>
        <w:ind w:firstLine="709"/>
        <w:jc w:val="both"/>
        <w:rPr>
          <w:rFonts w:ascii="Times New Roman" w:hAnsi="Times New Roman"/>
          <w:sz w:val="28"/>
          <w:szCs w:val="28"/>
          <w:lang w:eastAsia="ru-RU"/>
        </w:rPr>
      </w:pPr>
      <w:r w:rsidRPr="006D3F95">
        <w:rPr>
          <w:rFonts w:ascii="Times New Roman" w:hAnsi="Times New Roman"/>
          <w:sz w:val="28"/>
          <w:szCs w:val="28"/>
          <w:lang w:eastAsia="ru-RU"/>
        </w:rPr>
        <w:t>В соответствии с</w:t>
      </w:r>
      <w:r>
        <w:rPr>
          <w:rFonts w:ascii="Times New Roman" w:hAnsi="Times New Roman"/>
          <w:sz w:val="28"/>
          <w:szCs w:val="28"/>
          <w:lang w:eastAsia="ru-RU"/>
        </w:rPr>
        <w:t> </w:t>
      </w:r>
      <w:r w:rsidRPr="006D3F95">
        <w:rPr>
          <w:rFonts w:ascii="Times New Roman" w:hAnsi="Times New Roman"/>
          <w:sz w:val="28"/>
          <w:szCs w:val="28"/>
          <w:lang w:eastAsia="ru-RU"/>
        </w:rPr>
        <w:t xml:space="preserve">нормативными требованиями, для обеспечения легкового автотранспорта жителей </w:t>
      </w:r>
      <w:r>
        <w:rPr>
          <w:rFonts w:ascii="Times New Roman" w:hAnsi="Times New Roman"/>
          <w:sz w:val="28"/>
          <w:szCs w:val="28"/>
          <w:lang w:eastAsia="ru-RU"/>
        </w:rPr>
        <w:t>города Куйбышева рекомендуется р</w:t>
      </w:r>
      <w:r w:rsidRPr="006D3F95">
        <w:rPr>
          <w:rFonts w:ascii="Times New Roman" w:hAnsi="Times New Roman"/>
          <w:sz w:val="28"/>
          <w:szCs w:val="28"/>
          <w:lang w:eastAsia="ru-RU"/>
        </w:rPr>
        <w:t xml:space="preserve">азмещение объектов: </w:t>
      </w:r>
    </w:p>
    <w:p w:rsidR="002D1E45" w:rsidRPr="006D3F95" w:rsidRDefault="002D1E45" w:rsidP="00903794">
      <w:pPr>
        <w:numPr>
          <w:ilvl w:val="0"/>
          <w:numId w:val="24"/>
        </w:numPr>
        <w:spacing w:after="0" w:line="240" w:lineRule="auto"/>
        <w:jc w:val="both"/>
        <w:rPr>
          <w:rFonts w:ascii="Times New Roman" w:hAnsi="Times New Roman"/>
          <w:sz w:val="28"/>
          <w:szCs w:val="28"/>
          <w:lang w:eastAsia="ru-RU"/>
        </w:rPr>
      </w:pPr>
      <w:r w:rsidRPr="006D3F95">
        <w:rPr>
          <w:rFonts w:ascii="Times New Roman" w:hAnsi="Times New Roman"/>
          <w:sz w:val="28"/>
          <w:szCs w:val="28"/>
          <w:lang w:eastAsia="ru-RU"/>
        </w:rPr>
        <w:t xml:space="preserve">СТО на </w:t>
      </w:r>
      <w:r>
        <w:rPr>
          <w:rFonts w:ascii="Times New Roman" w:hAnsi="Times New Roman"/>
          <w:sz w:val="28"/>
          <w:szCs w:val="28"/>
          <w:lang w:eastAsia="ru-RU"/>
        </w:rPr>
        <w:t>82</w:t>
      </w:r>
      <w:r w:rsidRPr="006D3F95">
        <w:rPr>
          <w:rFonts w:ascii="Times New Roman" w:hAnsi="Times New Roman"/>
          <w:sz w:val="28"/>
          <w:szCs w:val="28"/>
          <w:lang w:eastAsia="ru-RU"/>
        </w:rPr>
        <w:t xml:space="preserve"> пост</w:t>
      </w:r>
      <w:r>
        <w:rPr>
          <w:rFonts w:ascii="Times New Roman" w:hAnsi="Times New Roman"/>
          <w:sz w:val="28"/>
          <w:szCs w:val="28"/>
          <w:lang w:eastAsia="ru-RU"/>
        </w:rPr>
        <w:t>а</w:t>
      </w:r>
      <w:r w:rsidRPr="006D3F95">
        <w:rPr>
          <w:rFonts w:ascii="Times New Roman" w:hAnsi="Times New Roman"/>
          <w:sz w:val="28"/>
          <w:szCs w:val="28"/>
          <w:lang w:eastAsia="ru-RU"/>
        </w:rPr>
        <w:t xml:space="preserve"> </w:t>
      </w:r>
      <w:r>
        <w:rPr>
          <w:rFonts w:ascii="Times New Roman" w:hAnsi="Times New Roman"/>
          <w:sz w:val="28"/>
          <w:szCs w:val="28"/>
          <w:lang w:eastAsia="ru-RU"/>
        </w:rPr>
        <w:t>и </w:t>
      </w:r>
      <w:r w:rsidRPr="006D3F95">
        <w:rPr>
          <w:rFonts w:ascii="Times New Roman" w:hAnsi="Times New Roman"/>
          <w:sz w:val="28"/>
          <w:szCs w:val="28"/>
          <w:lang w:eastAsia="ru-RU"/>
        </w:rPr>
        <w:t>автомойк</w:t>
      </w:r>
      <w:r>
        <w:rPr>
          <w:rFonts w:ascii="Times New Roman" w:hAnsi="Times New Roman"/>
          <w:sz w:val="28"/>
          <w:szCs w:val="28"/>
          <w:lang w:eastAsia="ru-RU"/>
        </w:rPr>
        <w:t>и</w:t>
      </w:r>
      <w:r w:rsidRPr="006D3F95">
        <w:rPr>
          <w:rFonts w:ascii="Times New Roman" w:hAnsi="Times New Roman"/>
          <w:sz w:val="28"/>
          <w:szCs w:val="28"/>
          <w:lang w:eastAsia="ru-RU"/>
        </w:rPr>
        <w:t xml:space="preserve"> на </w:t>
      </w:r>
      <w:r>
        <w:rPr>
          <w:rFonts w:ascii="Times New Roman" w:hAnsi="Times New Roman"/>
          <w:sz w:val="28"/>
          <w:szCs w:val="28"/>
          <w:lang w:eastAsia="ru-RU"/>
        </w:rPr>
        <w:t>15</w:t>
      </w:r>
      <w:r w:rsidRPr="006D3F95">
        <w:rPr>
          <w:rFonts w:ascii="Times New Roman" w:hAnsi="Times New Roman"/>
          <w:sz w:val="28"/>
          <w:szCs w:val="28"/>
          <w:lang w:eastAsia="ru-RU"/>
        </w:rPr>
        <w:t xml:space="preserve"> пост</w:t>
      </w:r>
      <w:r>
        <w:rPr>
          <w:rFonts w:ascii="Times New Roman" w:hAnsi="Times New Roman"/>
          <w:sz w:val="28"/>
          <w:szCs w:val="28"/>
          <w:lang w:eastAsia="ru-RU"/>
        </w:rPr>
        <w:t>ов;</w:t>
      </w:r>
    </w:p>
    <w:p w:rsidR="002D1E45" w:rsidRPr="00903794" w:rsidRDefault="002D1E45" w:rsidP="00903794">
      <w:pPr>
        <w:numPr>
          <w:ilvl w:val="0"/>
          <w:numId w:val="24"/>
        </w:numPr>
        <w:spacing w:after="0" w:line="240" w:lineRule="auto"/>
        <w:jc w:val="both"/>
        <w:rPr>
          <w:rFonts w:ascii="Times New Roman" w:hAnsi="Times New Roman"/>
          <w:sz w:val="28"/>
          <w:szCs w:val="28"/>
          <w:lang w:eastAsia="ru-RU"/>
        </w:rPr>
      </w:pPr>
      <w:r w:rsidRPr="00903794">
        <w:rPr>
          <w:rFonts w:ascii="Times New Roman" w:hAnsi="Times New Roman"/>
          <w:sz w:val="28"/>
          <w:szCs w:val="28"/>
          <w:lang w:eastAsia="ru-RU"/>
        </w:rPr>
        <w:t xml:space="preserve">АЗС на </w:t>
      </w:r>
      <w:r>
        <w:rPr>
          <w:rFonts w:ascii="Times New Roman" w:hAnsi="Times New Roman"/>
          <w:sz w:val="28"/>
          <w:szCs w:val="28"/>
          <w:lang w:eastAsia="ru-RU"/>
        </w:rPr>
        <w:t>14</w:t>
      </w:r>
      <w:r w:rsidRPr="00903794">
        <w:rPr>
          <w:rFonts w:ascii="Times New Roman" w:hAnsi="Times New Roman"/>
          <w:sz w:val="28"/>
          <w:szCs w:val="28"/>
          <w:lang w:eastAsia="ru-RU"/>
        </w:rPr>
        <w:t xml:space="preserve"> топливораздаточн</w:t>
      </w:r>
      <w:r>
        <w:rPr>
          <w:rFonts w:ascii="Times New Roman" w:hAnsi="Times New Roman"/>
          <w:sz w:val="28"/>
          <w:szCs w:val="28"/>
          <w:lang w:eastAsia="ru-RU"/>
        </w:rPr>
        <w:t>ых</w:t>
      </w:r>
      <w:r w:rsidRPr="00903794">
        <w:rPr>
          <w:rFonts w:ascii="Times New Roman" w:hAnsi="Times New Roman"/>
          <w:sz w:val="28"/>
          <w:szCs w:val="28"/>
          <w:lang w:eastAsia="ru-RU"/>
        </w:rPr>
        <w:t xml:space="preserve"> колон</w:t>
      </w:r>
      <w:r>
        <w:rPr>
          <w:rFonts w:ascii="Times New Roman" w:hAnsi="Times New Roman"/>
          <w:sz w:val="28"/>
          <w:szCs w:val="28"/>
          <w:lang w:eastAsia="ru-RU"/>
        </w:rPr>
        <w:t>ок</w:t>
      </w:r>
      <w:r w:rsidRPr="00903794">
        <w:rPr>
          <w:rFonts w:ascii="Times New Roman" w:hAnsi="Times New Roman"/>
          <w:sz w:val="28"/>
          <w:szCs w:val="28"/>
          <w:lang w:eastAsia="ru-RU"/>
        </w:rPr>
        <w:t>.</w:t>
      </w:r>
    </w:p>
    <w:p w:rsidR="002D1E45" w:rsidRDefault="002D1E45" w:rsidP="00A670D6">
      <w:pPr>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АЗС в достаточном количестве уже расположены в пределах территории города.</w:t>
      </w:r>
    </w:p>
    <w:p w:rsidR="002D1E45" w:rsidRPr="00A670D6" w:rsidRDefault="002D1E45" w:rsidP="00A670D6">
      <w:pPr>
        <w:spacing w:after="0" w:line="240" w:lineRule="auto"/>
        <w:ind w:firstLine="709"/>
        <w:jc w:val="both"/>
        <w:rPr>
          <w:rFonts w:ascii="Times New Roman" w:hAnsi="Times New Roman"/>
          <w:sz w:val="28"/>
          <w:szCs w:val="28"/>
          <w:lang w:eastAsia="ru-RU"/>
        </w:rPr>
      </w:pPr>
      <w:r w:rsidRPr="00A670D6">
        <w:rPr>
          <w:rFonts w:ascii="Times New Roman" w:hAnsi="Times New Roman"/>
          <w:sz w:val="28"/>
          <w:szCs w:val="28"/>
          <w:lang w:eastAsia="ru-RU"/>
        </w:rPr>
        <w:t xml:space="preserve">В соответствии с СП 42.13330.2016 «Градостроительство. Планировка и застройка городских и сельских поселений» (актуализированная редакция СНиП 2.07.01-89*) </w:t>
      </w:r>
      <w:r>
        <w:rPr>
          <w:rFonts w:ascii="Times New Roman" w:hAnsi="Times New Roman"/>
          <w:sz w:val="28"/>
          <w:szCs w:val="28"/>
          <w:lang w:eastAsia="ru-RU"/>
        </w:rPr>
        <w:t>н</w:t>
      </w:r>
      <w:r w:rsidRPr="00A670D6">
        <w:rPr>
          <w:rFonts w:ascii="Times New Roman" w:hAnsi="Times New Roman"/>
          <w:sz w:val="28"/>
          <w:szCs w:val="28"/>
          <w:lang w:eastAsia="ru-RU"/>
        </w:rPr>
        <w:t>а селитебных территориях и на прилегающих к ним производственных территориях следует предусматривать гаражи и открытые стоянки для постоянного хранения не менее 90 % расчётного числа индивидуальных легковых автомобилей.</w:t>
      </w:r>
    </w:p>
    <w:p w:rsidR="002D1E45" w:rsidRPr="00A670D6" w:rsidRDefault="002D1E45" w:rsidP="00A670D6">
      <w:pPr>
        <w:spacing w:after="0" w:line="240" w:lineRule="auto"/>
        <w:ind w:firstLine="709"/>
        <w:jc w:val="both"/>
        <w:rPr>
          <w:rFonts w:ascii="Times New Roman" w:hAnsi="Times New Roman"/>
          <w:sz w:val="28"/>
          <w:szCs w:val="28"/>
          <w:lang w:eastAsia="ru-RU"/>
        </w:rPr>
      </w:pPr>
      <w:r w:rsidRPr="00A670D6">
        <w:rPr>
          <w:rFonts w:ascii="Times New Roman" w:hAnsi="Times New Roman"/>
          <w:sz w:val="28"/>
          <w:szCs w:val="28"/>
          <w:lang w:eastAsia="ru-RU"/>
        </w:rPr>
        <w:t xml:space="preserve">При общей численности жителей в многоквартирных домах около </w:t>
      </w:r>
      <w:r>
        <w:rPr>
          <w:rFonts w:ascii="Times New Roman" w:hAnsi="Times New Roman"/>
          <w:sz w:val="28"/>
          <w:szCs w:val="28"/>
          <w:lang w:eastAsia="ru-RU"/>
        </w:rPr>
        <w:t>28300</w:t>
      </w:r>
      <w:r w:rsidRPr="00A670D6">
        <w:rPr>
          <w:rFonts w:ascii="Times New Roman" w:hAnsi="Times New Roman"/>
          <w:sz w:val="28"/>
          <w:szCs w:val="28"/>
          <w:lang w:eastAsia="ru-RU"/>
        </w:rPr>
        <w:t xml:space="preserve"> чел. число мест на открытых парковках должно составлять не менее </w:t>
      </w:r>
      <w:r>
        <w:rPr>
          <w:rFonts w:ascii="Times New Roman" w:hAnsi="Times New Roman"/>
          <w:sz w:val="28"/>
          <w:szCs w:val="28"/>
          <w:lang w:eastAsia="ru-RU"/>
        </w:rPr>
        <w:t>10,7 тыс.</w:t>
      </w:r>
      <w:r w:rsidRPr="00A670D6">
        <w:rPr>
          <w:rFonts w:ascii="Times New Roman" w:hAnsi="Times New Roman"/>
          <w:sz w:val="28"/>
          <w:szCs w:val="28"/>
          <w:lang w:eastAsia="ru-RU"/>
        </w:rPr>
        <w:t xml:space="preserve"> ед. </w:t>
      </w:r>
    </w:p>
    <w:p w:rsidR="002D1E45" w:rsidRPr="006D3F95" w:rsidRDefault="002D1E45" w:rsidP="006D3F95">
      <w:pPr>
        <w:spacing w:after="0" w:line="240" w:lineRule="auto"/>
        <w:ind w:firstLine="709"/>
        <w:jc w:val="both"/>
        <w:rPr>
          <w:rFonts w:ascii="Times New Roman" w:hAnsi="Times New Roman"/>
          <w:sz w:val="28"/>
          <w:szCs w:val="28"/>
          <w:lang w:eastAsia="ru-RU"/>
        </w:rPr>
      </w:pPr>
      <w:r w:rsidRPr="006D3F95">
        <w:rPr>
          <w:rFonts w:ascii="Times New Roman" w:hAnsi="Times New Roman"/>
          <w:sz w:val="28"/>
          <w:szCs w:val="28"/>
          <w:lang w:eastAsia="ru-RU"/>
        </w:rPr>
        <w:t xml:space="preserve">Хранение индивидуального легкового автотранспорта жителей </w:t>
      </w:r>
      <w:r>
        <w:rPr>
          <w:rFonts w:ascii="Times New Roman" w:hAnsi="Times New Roman"/>
          <w:sz w:val="28"/>
          <w:szCs w:val="28"/>
          <w:lang w:eastAsia="ru-RU"/>
        </w:rPr>
        <w:t xml:space="preserve">частного сектора </w:t>
      </w:r>
      <w:r w:rsidRPr="006D3F95">
        <w:rPr>
          <w:rFonts w:ascii="Times New Roman" w:hAnsi="Times New Roman"/>
          <w:sz w:val="28"/>
          <w:szCs w:val="28"/>
          <w:lang w:eastAsia="ru-RU"/>
        </w:rPr>
        <w:t>предлагается осуществлять на</w:t>
      </w:r>
      <w:r>
        <w:rPr>
          <w:rFonts w:ascii="Times New Roman" w:hAnsi="Times New Roman"/>
          <w:sz w:val="28"/>
          <w:szCs w:val="28"/>
          <w:lang w:eastAsia="ru-RU"/>
        </w:rPr>
        <w:t> </w:t>
      </w:r>
      <w:r w:rsidRPr="006D3F95">
        <w:rPr>
          <w:rFonts w:ascii="Times New Roman" w:hAnsi="Times New Roman"/>
          <w:sz w:val="28"/>
          <w:szCs w:val="28"/>
          <w:lang w:eastAsia="ru-RU"/>
        </w:rPr>
        <w:t>территории приусадебных участков.</w:t>
      </w:r>
    </w:p>
    <w:p w:rsidR="002D1E45" w:rsidRPr="003A7901" w:rsidRDefault="002D1E45" w:rsidP="003A7901">
      <w:pPr>
        <w:spacing w:after="0" w:line="240" w:lineRule="auto"/>
        <w:ind w:firstLine="709"/>
        <w:jc w:val="both"/>
        <w:rPr>
          <w:rFonts w:ascii="Times New Roman" w:hAnsi="Times New Roman"/>
          <w:bCs/>
          <w:i/>
          <w:iCs/>
          <w:sz w:val="28"/>
          <w:szCs w:val="28"/>
          <w:u w:val="single"/>
          <w:lang w:eastAsia="ru-RU"/>
        </w:rPr>
      </w:pPr>
      <w:r w:rsidRPr="003A7901">
        <w:rPr>
          <w:rFonts w:ascii="Times New Roman" w:hAnsi="Times New Roman"/>
          <w:bCs/>
          <w:i/>
          <w:iCs/>
          <w:sz w:val="28"/>
          <w:szCs w:val="28"/>
          <w:u w:val="single"/>
          <w:lang w:eastAsia="ru-RU"/>
        </w:rPr>
        <w:t>Общественный транспорт</w:t>
      </w:r>
    </w:p>
    <w:p w:rsidR="002D1E45" w:rsidRDefault="002D1E45" w:rsidP="008C7731">
      <w:pPr>
        <w:spacing w:after="0" w:line="240" w:lineRule="auto"/>
        <w:ind w:firstLine="709"/>
        <w:jc w:val="both"/>
        <w:rPr>
          <w:rFonts w:ascii="Times New Roman" w:hAnsi="Times New Roman"/>
          <w:bCs/>
          <w:sz w:val="28"/>
          <w:szCs w:val="28"/>
          <w:lang w:eastAsia="ru-RU"/>
        </w:rPr>
      </w:pPr>
      <w:r w:rsidRPr="00BF5A3A">
        <w:rPr>
          <w:rFonts w:ascii="Times New Roman" w:hAnsi="Times New Roman"/>
          <w:bCs/>
          <w:sz w:val="28"/>
          <w:szCs w:val="28"/>
          <w:lang w:eastAsia="ru-RU"/>
        </w:rPr>
        <w:t xml:space="preserve">Развитие </w:t>
      </w:r>
      <w:r>
        <w:rPr>
          <w:rFonts w:ascii="Times New Roman" w:hAnsi="Times New Roman"/>
          <w:bCs/>
          <w:sz w:val="28"/>
          <w:szCs w:val="28"/>
          <w:lang w:eastAsia="ru-RU"/>
        </w:rPr>
        <w:t xml:space="preserve">внутреннего (не транзитного) </w:t>
      </w:r>
      <w:r w:rsidRPr="00BF5A3A">
        <w:rPr>
          <w:rFonts w:ascii="Times New Roman" w:hAnsi="Times New Roman"/>
          <w:bCs/>
          <w:sz w:val="28"/>
          <w:szCs w:val="28"/>
          <w:lang w:eastAsia="ru-RU"/>
        </w:rPr>
        <w:t>общественного пассажирского транспорта на</w:t>
      </w:r>
      <w:r>
        <w:rPr>
          <w:rFonts w:ascii="Times New Roman" w:hAnsi="Times New Roman"/>
          <w:bCs/>
          <w:sz w:val="28"/>
          <w:szCs w:val="28"/>
          <w:lang w:eastAsia="ru-RU"/>
        </w:rPr>
        <w:t> </w:t>
      </w:r>
      <w:r w:rsidRPr="00BF5A3A">
        <w:rPr>
          <w:rFonts w:ascii="Times New Roman" w:hAnsi="Times New Roman"/>
          <w:bCs/>
          <w:sz w:val="28"/>
          <w:szCs w:val="28"/>
          <w:lang w:eastAsia="ru-RU"/>
        </w:rPr>
        <w:t xml:space="preserve">территории </w:t>
      </w:r>
      <w:r>
        <w:rPr>
          <w:rFonts w:ascii="Times New Roman" w:hAnsi="Times New Roman"/>
          <w:bCs/>
          <w:sz w:val="28"/>
          <w:szCs w:val="28"/>
          <w:lang w:eastAsia="ru-RU"/>
        </w:rPr>
        <w:t xml:space="preserve">населённого пункта, </w:t>
      </w:r>
      <w:r w:rsidRPr="00BF5A3A">
        <w:rPr>
          <w:rFonts w:ascii="Times New Roman" w:hAnsi="Times New Roman"/>
          <w:bCs/>
          <w:sz w:val="28"/>
          <w:szCs w:val="28"/>
          <w:lang w:eastAsia="ru-RU"/>
        </w:rPr>
        <w:t>не</w:t>
      </w:r>
      <w:r>
        <w:rPr>
          <w:rFonts w:ascii="Times New Roman" w:hAnsi="Times New Roman"/>
          <w:bCs/>
          <w:sz w:val="28"/>
          <w:szCs w:val="28"/>
          <w:lang w:eastAsia="ru-RU"/>
        </w:rPr>
        <w:t> </w:t>
      </w:r>
      <w:r w:rsidRPr="00BF5A3A">
        <w:rPr>
          <w:rFonts w:ascii="Times New Roman" w:hAnsi="Times New Roman"/>
          <w:bCs/>
          <w:sz w:val="28"/>
          <w:szCs w:val="28"/>
          <w:lang w:eastAsia="ru-RU"/>
        </w:rPr>
        <w:t>предусмотрено.</w:t>
      </w:r>
      <w:bookmarkStart w:id="317" w:name="_Toc468971952"/>
      <w:bookmarkStart w:id="318" w:name="_Toc475037118"/>
      <w:r>
        <w:rPr>
          <w:rFonts w:ascii="Times New Roman" w:hAnsi="Times New Roman"/>
          <w:bCs/>
          <w:sz w:val="28"/>
          <w:szCs w:val="28"/>
          <w:lang w:eastAsia="ru-RU"/>
        </w:rPr>
        <w:t xml:space="preserve"> </w:t>
      </w:r>
    </w:p>
    <w:p w:rsidR="002D1E45" w:rsidRDefault="002D1E45" w:rsidP="008C7731">
      <w:pPr>
        <w:spacing w:after="0" w:line="240" w:lineRule="auto"/>
        <w:ind w:firstLine="709"/>
        <w:jc w:val="both"/>
        <w:rPr>
          <w:rFonts w:ascii="Times New Roman" w:hAnsi="Times New Roman"/>
          <w:bCs/>
          <w:sz w:val="28"/>
          <w:szCs w:val="28"/>
          <w:lang w:eastAsia="ru-RU"/>
        </w:rPr>
      </w:pPr>
      <w:r>
        <w:rPr>
          <w:rFonts w:ascii="Times New Roman" w:hAnsi="Times New Roman"/>
          <w:bCs/>
          <w:sz w:val="28"/>
          <w:szCs w:val="28"/>
          <w:lang w:eastAsia="ru-RU"/>
        </w:rPr>
        <w:t>Вместе с тем, согласно Стратегии социально-экономического развития Куйбышевского района предусматривается проведение р</w:t>
      </w:r>
      <w:r w:rsidRPr="004B064C">
        <w:rPr>
          <w:rFonts w:ascii="Times New Roman" w:hAnsi="Times New Roman"/>
          <w:bCs/>
          <w:sz w:val="28"/>
          <w:szCs w:val="28"/>
          <w:lang w:eastAsia="ru-RU"/>
        </w:rPr>
        <w:t>емонт</w:t>
      </w:r>
      <w:r>
        <w:rPr>
          <w:rFonts w:ascii="Times New Roman" w:hAnsi="Times New Roman"/>
          <w:bCs/>
          <w:sz w:val="28"/>
          <w:szCs w:val="28"/>
          <w:lang w:eastAsia="ru-RU"/>
        </w:rPr>
        <w:t>а</w:t>
      </w:r>
      <w:r w:rsidRPr="004B064C">
        <w:rPr>
          <w:rFonts w:ascii="Times New Roman" w:hAnsi="Times New Roman"/>
          <w:bCs/>
          <w:sz w:val="28"/>
          <w:szCs w:val="28"/>
          <w:lang w:eastAsia="ru-RU"/>
        </w:rPr>
        <w:t xml:space="preserve"> кровли МКУ «Центр по обслуживанию пассажиров»</w:t>
      </w:r>
      <w:r>
        <w:rPr>
          <w:rFonts w:ascii="Times New Roman" w:hAnsi="Times New Roman"/>
          <w:bCs/>
          <w:sz w:val="28"/>
          <w:szCs w:val="28"/>
          <w:lang w:eastAsia="ru-RU"/>
        </w:rPr>
        <w:t>.</w:t>
      </w:r>
    </w:p>
    <w:p w:rsidR="002D1E45" w:rsidRPr="003A7901" w:rsidRDefault="002D1E45" w:rsidP="00D50F65">
      <w:pPr>
        <w:spacing w:after="0" w:line="240" w:lineRule="auto"/>
        <w:ind w:firstLine="709"/>
        <w:jc w:val="both"/>
        <w:rPr>
          <w:rFonts w:ascii="Times New Roman" w:hAnsi="Times New Roman"/>
          <w:bCs/>
          <w:i/>
          <w:iCs/>
          <w:sz w:val="28"/>
          <w:szCs w:val="28"/>
          <w:u w:val="single"/>
          <w:lang w:eastAsia="ru-RU"/>
        </w:rPr>
      </w:pPr>
      <w:r w:rsidRPr="00D50F65">
        <w:rPr>
          <w:rFonts w:ascii="Times New Roman" w:hAnsi="Times New Roman"/>
          <w:bCs/>
          <w:i/>
          <w:iCs/>
          <w:sz w:val="28"/>
          <w:szCs w:val="28"/>
          <w:u w:val="single"/>
          <w:lang w:eastAsia="ru-RU"/>
        </w:rPr>
        <w:t>Мероприятия для маломобильных групп населения</w:t>
      </w:r>
    </w:p>
    <w:p w:rsidR="002D1E45" w:rsidRPr="000E1736" w:rsidRDefault="002D1E45" w:rsidP="00D50F65">
      <w:pPr>
        <w:spacing w:after="0" w:line="240" w:lineRule="auto"/>
        <w:ind w:firstLine="709"/>
        <w:jc w:val="both"/>
        <w:rPr>
          <w:rFonts w:ascii="Times New Roman" w:hAnsi="Times New Roman"/>
          <w:sz w:val="28"/>
          <w:szCs w:val="28"/>
          <w:lang w:eastAsia="ru-RU"/>
        </w:rPr>
      </w:pPr>
      <w:r w:rsidRPr="000E1736">
        <w:rPr>
          <w:rFonts w:ascii="Times New Roman" w:hAnsi="Times New Roman"/>
          <w:sz w:val="28"/>
          <w:szCs w:val="28"/>
          <w:lang w:eastAsia="ru-RU"/>
        </w:rPr>
        <w:t xml:space="preserve">Согласно </w:t>
      </w:r>
      <w:r w:rsidRPr="004710DF">
        <w:rPr>
          <w:rFonts w:ascii="Times New Roman" w:hAnsi="Times New Roman"/>
          <w:sz w:val="28"/>
          <w:szCs w:val="28"/>
          <w:lang w:eastAsia="ru-RU"/>
        </w:rPr>
        <w:t>СП 42.13330.2016</w:t>
      </w:r>
      <w:r>
        <w:rPr>
          <w:rFonts w:ascii="Times New Roman" w:hAnsi="Times New Roman"/>
          <w:sz w:val="28"/>
          <w:szCs w:val="28"/>
          <w:lang w:eastAsia="ru-RU"/>
        </w:rPr>
        <w:t xml:space="preserve">, </w:t>
      </w:r>
      <w:r w:rsidRPr="004710DF">
        <w:rPr>
          <w:rFonts w:ascii="Times New Roman" w:hAnsi="Times New Roman"/>
          <w:sz w:val="28"/>
          <w:szCs w:val="28"/>
          <w:lang w:eastAsia="ru-RU"/>
        </w:rPr>
        <w:t>СП 59.13330</w:t>
      </w:r>
      <w:r>
        <w:rPr>
          <w:rFonts w:ascii="Times New Roman" w:hAnsi="Times New Roman"/>
          <w:sz w:val="28"/>
          <w:szCs w:val="28"/>
          <w:lang w:eastAsia="ru-RU"/>
        </w:rPr>
        <w:t>.2016 и </w:t>
      </w:r>
      <w:r w:rsidRPr="004710DF">
        <w:rPr>
          <w:rFonts w:ascii="Times New Roman" w:hAnsi="Times New Roman"/>
          <w:sz w:val="28"/>
          <w:szCs w:val="28"/>
          <w:lang w:eastAsia="ru-RU"/>
        </w:rPr>
        <w:t>СП 113.13330</w:t>
      </w:r>
      <w:r>
        <w:rPr>
          <w:rFonts w:ascii="Times New Roman" w:hAnsi="Times New Roman"/>
          <w:sz w:val="28"/>
          <w:szCs w:val="28"/>
          <w:lang w:eastAsia="ru-RU"/>
        </w:rPr>
        <w:t>.2016, н</w:t>
      </w:r>
      <w:r w:rsidRPr="000E1736">
        <w:rPr>
          <w:rFonts w:ascii="Times New Roman" w:hAnsi="Times New Roman"/>
          <w:sz w:val="28"/>
          <w:szCs w:val="28"/>
          <w:lang w:eastAsia="ru-RU"/>
        </w:rPr>
        <w:t>а</w:t>
      </w:r>
      <w:r>
        <w:rPr>
          <w:rFonts w:ascii="Times New Roman" w:hAnsi="Times New Roman"/>
          <w:sz w:val="28"/>
          <w:szCs w:val="28"/>
          <w:lang w:eastAsia="ru-RU"/>
        </w:rPr>
        <w:t> </w:t>
      </w:r>
      <w:r w:rsidRPr="000E1736">
        <w:rPr>
          <w:rFonts w:ascii="Times New Roman" w:hAnsi="Times New Roman"/>
          <w:sz w:val="28"/>
          <w:szCs w:val="28"/>
          <w:lang w:eastAsia="ru-RU"/>
        </w:rPr>
        <w:t>открытых автостоянках около объектов социальной инфраструктуры на</w:t>
      </w:r>
      <w:r>
        <w:rPr>
          <w:rFonts w:ascii="Times New Roman" w:hAnsi="Times New Roman"/>
          <w:sz w:val="28"/>
          <w:szCs w:val="28"/>
          <w:lang w:eastAsia="ru-RU"/>
        </w:rPr>
        <w:t> </w:t>
      </w:r>
      <w:r w:rsidRPr="000E1736">
        <w:rPr>
          <w:rFonts w:ascii="Times New Roman" w:hAnsi="Times New Roman"/>
          <w:sz w:val="28"/>
          <w:szCs w:val="28"/>
          <w:lang w:eastAsia="ru-RU"/>
        </w:rPr>
        <w:t>расстоянии не</w:t>
      </w:r>
      <w:r>
        <w:rPr>
          <w:rFonts w:ascii="Times New Roman" w:hAnsi="Times New Roman"/>
          <w:sz w:val="28"/>
          <w:szCs w:val="28"/>
          <w:lang w:eastAsia="ru-RU"/>
        </w:rPr>
        <w:t> </w:t>
      </w:r>
      <w:r w:rsidRPr="000E1736">
        <w:rPr>
          <w:rFonts w:ascii="Times New Roman" w:hAnsi="Times New Roman"/>
          <w:sz w:val="28"/>
          <w:szCs w:val="28"/>
          <w:lang w:eastAsia="ru-RU"/>
        </w:rPr>
        <w:t>далее 50 м</w:t>
      </w:r>
      <w:r>
        <w:rPr>
          <w:rFonts w:ascii="Times New Roman" w:hAnsi="Times New Roman"/>
          <w:sz w:val="28"/>
          <w:szCs w:val="28"/>
          <w:lang w:eastAsia="ru-RU"/>
        </w:rPr>
        <w:t> </w:t>
      </w:r>
      <w:r w:rsidRPr="000E1736">
        <w:rPr>
          <w:rFonts w:ascii="Times New Roman" w:hAnsi="Times New Roman"/>
          <w:sz w:val="28"/>
          <w:szCs w:val="28"/>
          <w:lang w:eastAsia="ru-RU"/>
        </w:rPr>
        <w:t>от</w:t>
      </w:r>
      <w:r>
        <w:rPr>
          <w:rFonts w:ascii="Times New Roman" w:hAnsi="Times New Roman"/>
          <w:sz w:val="28"/>
          <w:szCs w:val="28"/>
          <w:lang w:eastAsia="ru-RU"/>
        </w:rPr>
        <w:t> </w:t>
      </w:r>
      <w:r w:rsidRPr="000E1736">
        <w:rPr>
          <w:rFonts w:ascii="Times New Roman" w:hAnsi="Times New Roman"/>
          <w:sz w:val="28"/>
          <w:szCs w:val="28"/>
          <w:lang w:eastAsia="ru-RU"/>
        </w:rPr>
        <w:t>входа, а</w:t>
      </w:r>
      <w:r>
        <w:rPr>
          <w:rFonts w:ascii="Times New Roman" w:hAnsi="Times New Roman"/>
          <w:sz w:val="28"/>
          <w:szCs w:val="28"/>
          <w:lang w:eastAsia="ru-RU"/>
        </w:rPr>
        <w:t> </w:t>
      </w:r>
      <w:r w:rsidRPr="000E1736">
        <w:rPr>
          <w:rFonts w:ascii="Times New Roman" w:hAnsi="Times New Roman"/>
          <w:sz w:val="28"/>
          <w:szCs w:val="28"/>
          <w:lang w:eastAsia="ru-RU"/>
        </w:rPr>
        <w:t xml:space="preserve">при жилых зданиях </w:t>
      </w:r>
      <w:r>
        <w:rPr>
          <w:rFonts w:ascii="Times New Roman" w:hAnsi="Times New Roman"/>
          <w:sz w:val="28"/>
          <w:szCs w:val="28"/>
          <w:lang w:eastAsia="ru-RU"/>
        </w:rPr>
        <w:t>–</w:t>
      </w:r>
      <w:r w:rsidRPr="000E1736">
        <w:rPr>
          <w:rFonts w:ascii="Times New Roman" w:hAnsi="Times New Roman"/>
          <w:sz w:val="28"/>
          <w:szCs w:val="28"/>
          <w:lang w:eastAsia="ru-RU"/>
        </w:rPr>
        <w:t xml:space="preserve"> не</w:t>
      </w:r>
      <w:r>
        <w:rPr>
          <w:rFonts w:ascii="Times New Roman" w:hAnsi="Times New Roman"/>
          <w:sz w:val="28"/>
          <w:szCs w:val="28"/>
          <w:lang w:eastAsia="ru-RU"/>
        </w:rPr>
        <w:t> </w:t>
      </w:r>
      <w:r w:rsidRPr="000E1736">
        <w:rPr>
          <w:rFonts w:ascii="Times New Roman" w:hAnsi="Times New Roman"/>
          <w:sz w:val="28"/>
          <w:szCs w:val="28"/>
          <w:lang w:eastAsia="ru-RU"/>
        </w:rPr>
        <w:t>далее 100 м</w:t>
      </w:r>
      <w:r>
        <w:rPr>
          <w:rFonts w:ascii="Times New Roman" w:hAnsi="Times New Roman"/>
          <w:sz w:val="28"/>
          <w:szCs w:val="28"/>
          <w:lang w:eastAsia="ru-RU"/>
        </w:rPr>
        <w:t> </w:t>
      </w:r>
      <w:r w:rsidRPr="000E1736">
        <w:rPr>
          <w:rFonts w:ascii="Times New Roman" w:hAnsi="Times New Roman"/>
          <w:sz w:val="28"/>
          <w:szCs w:val="28"/>
          <w:lang w:eastAsia="ru-RU"/>
        </w:rPr>
        <w:t>следует выделять не</w:t>
      </w:r>
      <w:r>
        <w:rPr>
          <w:rFonts w:ascii="Times New Roman" w:hAnsi="Times New Roman"/>
          <w:sz w:val="28"/>
          <w:szCs w:val="28"/>
          <w:lang w:eastAsia="ru-RU"/>
        </w:rPr>
        <w:t> </w:t>
      </w:r>
      <w:r w:rsidRPr="000E1736">
        <w:rPr>
          <w:rFonts w:ascii="Times New Roman" w:hAnsi="Times New Roman"/>
          <w:sz w:val="28"/>
          <w:szCs w:val="28"/>
          <w:lang w:eastAsia="ru-RU"/>
        </w:rPr>
        <w:t>менее 10 % мест (но не</w:t>
      </w:r>
      <w:r>
        <w:rPr>
          <w:rFonts w:ascii="Times New Roman" w:hAnsi="Times New Roman"/>
          <w:sz w:val="28"/>
          <w:szCs w:val="28"/>
          <w:lang w:eastAsia="ru-RU"/>
        </w:rPr>
        <w:t> </w:t>
      </w:r>
      <w:r w:rsidRPr="000E1736">
        <w:rPr>
          <w:rFonts w:ascii="Times New Roman" w:hAnsi="Times New Roman"/>
          <w:sz w:val="28"/>
          <w:szCs w:val="28"/>
          <w:lang w:eastAsia="ru-RU"/>
        </w:rPr>
        <w:t>менее одного места) для транспорта инвалидов с</w:t>
      </w:r>
      <w:r>
        <w:rPr>
          <w:rFonts w:ascii="Times New Roman" w:hAnsi="Times New Roman"/>
          <w:sz w:val="28"/>
          <w:szCs w:val="28"/>
          <w:lang w:eastAsia="ru-RU"/>
        </w:rPr>
        <w:t> </w:t>
      </w:r>
      <w:r w:rsidRPr="000E1736">
        <w:rPr>
          <w:rFonts w:ascii="Times New Roman" w:hAnsi="Times New Roman"/>
          <w:sz w:val="28"/>
          <w:szCs w:val="28"/>
          <w:lang w:eastAsia="ru-RU"/>
        </w:rPr>
        <w:t>учётом ширины зоны для стоянки не</w:t>
      </w:r>
      <w:r>
        <w:rPr>
          <w:rFonts w:ascii="Times New Roman" w:hAnsi="Times New Roman"/>
          <w:sz w:val="28"/>
          <w:szCs w:val="28"/>
          <w:lang w:eastAsia="ru-RU"/>
        </w:rPr>
        <w:t> </w:t>
      </w:r>
      <w:r w:rsidRPr="000E1736">
        <w:rPr>
          <w:rFonts w:ascii="Times New Roman" w:hAnsi="Times New Roman"/>
          <w:sz w:val="28"/>
          <w:szCs w:val="28"/>
          <w:lang w:eastAsia="ru-RU"/>
        </w:rPr>
        <w:t>менее 3,5 м.</w:t>
      </w:r>
    </w:p>
    <w:p w:rsidR="002D1E45" w:rsidRPr="000E1736" w:rsidRDefault="002D1E45" w:rsidP="00D50F65">
      <w:pPr>
        <w:spacing w:after="0" w:line="240" w:lineRule="auto"/>
        <w:ind w:firstLine="709"/>
        <w:jc w:val="both"/>
        <w:rPr>
          <w:rFonts w:ascii="Times New Roman" w:hAnsi="Times New Roman"/>
          <w:sz w:val="28"/>
          <w:szCs w:val="28"/>
          <w:lang w:eastAsia="ru-RU"/>
        </w:rPr>
      </w:pPr>
      <w:r w:rsidRPr="000E1736">
        <w:rPr>
          <w:rFonts w:ascii="Times New Roman" w:hAnsi="Times New Roman"/>
          <w:sz w:val="28"/>
          <w:szCs w:val="28"/>
          <w:lang w:eastAsia="ru-RU"/>
        </w:rPr>
        <w:t>На автомобильных стоянках при специализированных зданиях и</w:t>
      </w:r>
      <w:r>
        <w:rPr>
          <w:rFonts w:ascii="Times New Roman" w:hAnsi="Times New Roman"/>
          <w:sz w:val="28"/>
          <w:szCs w:val="28"/>
          <w:lang w:eastAsia="ru-RU"/>
        </w:rPr>
        <w:t> </w:t>
      </w:r>
      <w:r w:rsidRPr="000E1736">
        <w:rPr>
          <w:rFonts w:ascii="Times New Roman" w:hAnsi="Times New Roman"/>
          <w:sz w:val="28"/>
          <w:szCs w:val="28"/>
          <w:lang w:eastAsia="ru-RU"/>
        </w:rPr>
        <w:t xml:space="preserve">сооружениях </w:t>
      </w:r>
      <w:r w:rsidRPr="000E1736">
        <w:rPr>
          <w:rFonts w:ascii="Times New Roman" w:hAnsi="Times New Roman"/>
          <w:sz w:val="28"/>
          <w:szCs w:val="28"/>
          <w:lang w:eastAsia="ru-RU"/>
        </w:rPr>
        <w:br/>
        <w:t>для инвалидов следует выделять для личных автомобилей инвалидов не</w:t>
      </w:r>
      <w:r>
        <w:rPr>
          <w:rFonts w:ascii="Times New Roman" w:hAnsi="Times New Roman"/>
          <w:sz w:val="28"/>
          <w:szCs w:val="28"/>
          <w:lang w:eastAsia="ru-RU"/>
        </w:rPr>
        <w:t> </w:t>
      </w:r>
      <w:r w:rsidRPr="000E1736">
        <w:rPr>
          <w:rFonts w:ascii="Times New Roman" w:hAnsi="Times New Roman"/>
          <w:sz w:val="28"/>
          <w:szCs w:val="28"/>
          <w:lang w:eastAsia="ru-RU"/>
        </w:rPr>
        <w:t>менее 20 % мест, а</w:t>
      </w:r>
      <w:r>
        <w:rPr>
          <w:rFonts w:ascii="Times New Roman" w:hAnsi="Times New Roman"/>
          <w:sz w:val="28"/>
          <w:szCs w:val="28"/>
          <w:lang w:eastAsia="ru-RU"/>
        </w:rPr>
        <w:t> </w:t>
      </w:r>
      <w:r w:rsidRPr="000E1736">
        <w:rPr>
          <w:rFonts w:ascii="Times New Roman" w:hAnsi="Times New Roman"/>
          <w:sz w:val="28"/>
          <w:szCs w:val="28"/>
          <w:lang w:eastAsia="ru-RU"/>
        </w:rPr>
        <w:t>около учреждений, специализирующихся на</w:t>
      </w:r>
      <w:r>
        <w:rPr>
          <w:rFonts w:ascii="Times New Roman" w:hAnsi="Times New Roman"/>
          <w:sz w:val="28"/>
          <w:szCs w:val="28"/>
          <w:lang w:eastAsia="ru-RU"/>
        </w:rPr>
        <w:t> </w:t>
      </w:r>
      <w:r w:rsidRPr="000E1736">
        <w:rPr>
          <w:rFonts w:ascii="Times New Roman" w:hAnsi="Times New Roman"/>
          <w:sz w:val="28"/>
          <w:szCs w:val="28"/>
          <w:lang w:eastAsia="ru-RU"/>
        </w:rPr>
        <w:t>лечении спинальных больных и</w:t>
      </w:r>
      <w:r>
        <w:rPr>
          <w:rFonts w:ascii="Times New Roman" w:hAnsi="Times New Roman"/>
          <w:sz w:val="28"/>
          <w:szCs w:val="28"/>
          <w:lang w:eastAsia="ru-RU"/>
        </w:rPr>
        <w:t> </w:t>
      </w:r>
      <w:r w:rsidRPr="000E1736">
        <w:rPr>
          <w:rFonts w:ascii="Times New Roman" w:hAnsi="Times New Roman"/>
          <w:sz w:val="28"/>
          <w:szCs w:val="28"/>
          <w:lang w:eastAsia="ru-RU"/>
        </w:rPr>
        <w:t xml:space="preserve">восстановлении опорно-двигательных функций </w:t>
      </w:r>
      <w:r>
        <w:rPr>
          <w:rFonts w:ascii="Times New Roman" w:hAnsi="Times New Roman"/>
          <w:sz w:val="28"/>
          <w:szCs w:val="28"/>
          <w:lang w:eastAsia="ru-RU"/>
        </w:rPr>
        <w:t>–</w:t>
      </w:r>
      <w:r w:rsidRPr="000E1736">
        <w:rPr>
          <w:rFonts w:ascii="Times New Roman" w:hAnsi="Times New Roman"/>
          <w:sz w:val="28"/>
          <w:szCs w:val="28"/>
          <w:lang w:eastAsia="ru-RU"/>
        </w:rPr>
        <w:t xml:space="preserve"> не</w:t>
      </w:r>
      <w:r>
        <w:rPr>
          <w:rFonts w:ascii="Times New Roman" w:hAnsi="Times New Roman"/>
          <w:sz w:val="28"/>
          <w:szCs w:val="28"/>
          <w:lang w:eastAsia="ru-RU"/>
        </w:rPr>
        <w:t> </w:t>
      </w:r>
      <w:r w:rsidRPr="000E1736">
        <w:rPr>
          <w:rFonts w:ascii="Times New Roman" w:hAnsi="Times New Roman"/>
          <w:sz w:val="28"/>
          <w:szCs w:val="28"/>
          <w:lang w:eastAsia="ru-RU"/>
        </w:rPr>
        <w:t>менее 30 % мест.</w:t>
      </w:r>
    </w:p>
    <w:p w:rsidR="002D1E45" w:rsidRDefault="002D1E45" w:rsidP="00D50F65">
      <w:pPr>
        <w:spacing w:after="0" w:line="240" w:lineRule="auto"/>
        <w:ind w:firstLine="709"/>
        <w:jc w:val="both"/>
        <w:rPr>
          <w:rFonts w:ascii="Times New Roman" w:hAnsi="Times New Roman"/>
          <w:sz w:val="28"/>
          <w:szCs w:val="28"/>
          <w:lang w:eastAsia="ru-RU"/>
        </w:rPr>
      </w:pPr>
      <w:r w:rsidRPr="000E1736">
        <w:rPr>
          <w:rFonts w:ascii="Times New Roman" w:hAnsi="Times New Roman"/>
          <w:sz w:val="28"/>
          <w:szCs w:val="28"/>
          <w:lang w:eastAsia="ru-RU"/>
        </w:rPr>
        <w:t>При наличии на</w:t>
      </w:r>
      <w:r>
        <w:rPr>
          <w:rFonts w:ascii="Times New Roman" w:hAnsi="Times New Roman"/>
          <w:sz w:val="28"/>
          <w:szCs w:val="28"/>
          <w:lang w:eastAsia="ru-RU"/>
        </w:rPr>
        <w:t> </w:t>
      </w:r>
      <w:r w:rsidRPr="000E1736">
        <w:rPr>
          <w:rFonts w:ascii="Times New Roman" w:hAnsi="Times New Roman"/>
          <w:sz w:val="28"/>
          <w:szCs w:val="28"/>
          <w:lang w:eastAsia="ru-RU"/>
        </w:rPr>
        <w:t xml:space="preserve">стоянке мест для автомашин, салоны которых приспособлены </w:t>
      </w:r>
      <w:r w:rsidRPr="000E1736">
        <w:rPr>
          <w:rFonts w:ascii="Times New Roman" w:hAnsi="Times New Roman"/>
          <w:sz w:val="28"/>
          <w:szCs w:val="28"/>
          <w:lang w:eastAsia="ru-RU"/>
        </w:rPr>
        <w:br/>
        <w:t>для перевозки инвалидов на</w:t>
      </w:r>
      <w:r>
        <w:rPr>
          <w:rFonts w:ascii="Times New Roman" w:hAnsi="Times New Roman"/>
          <w:sz w:val="28"/>
          <w:szCs w:val="28"/>
          <w:lang w:eastAsia="ru-RU"/>
        </w:rPr>
        <w:t> </w:t>
      </w:r>
      <w:r w:rsidRPr="000E1736">
        <w:rPr>
          <w:rFonts w:ascii="Times New Roman" w:hAnsi="Times New Roman"/>
          <w:sz w:val="28"/>
          <w:szCs w:val="28"/>
          <w:lang w:eastAsia="ru-RU"/>
        </w:rPr>
        <w:t>креслах-колясках, ширина боковых подходов к</w:t>
      </w:r>
      <w:r>
        <w:rPr>
          <w:rFonts w:ascii="Times New Roman" w:hAnsi="Times New Roman"/>
          <w:sz w:val="28"/>
          <w:szCs w:val="28"/>
          <w:lang w:eastAsia="ru-RU"/>
        </w:rPr>
        <w:t> </w:t>
      </w:r>
      <w:r w:rsidRPr="000E1736">
        <w:rPr>
          <w:rFonts w:ascii="Times New Roman" w:hAnsi="Times New Roman"/>
          <w:sz w:val="28"/>
          <w:szCs w:val="28"/>
          <w:lang w:eastAsia="ru-RU"/>
        </w:rPr>
        <w:t>местам стоянки таких машин должна быть не</w:t>
      </w:r>
      <w:r>
        <w:rPr>
          <w:rFonts w:ascii="Times New Roman" w:hAnsi="Times New Roman"/>
          <w:sz w:val="28"/>
          <w:szCs w:val="28"/>
          <w:lang w:eastAsia="ru-RU"/>
        </w:rPr>
        <w:t> </w:t>
      </w:r>
      <w:r w:rsidRPr="000E1736">
        <w:rPr>
          <w:rFonts w:ascii="Times New Roman" w:hAnsi="Times New Roman"/>
          <w:sz w:val="28"/>
          <w:szCs w:val="28"/>
          <w:lang w:eastAsia="ru-RU"/>
        </w:rPr>
        <w:t>менее 2,5 м.</w:t>
      </w:r>
    </w:p>
    <w:p w:rsidR="002D1E45" w:rsidRPr="00540586" w:rsidRDefault="002D1E45" w:rsidP="00852938">
      <w:pPr>
        <w:pStyle w:val="Heading2"/>
        <w:numPr>
          <w:ilvl w:val="1"/>
          <w:numId w:val="65"/>
        </w:numPr>
        <w:spacing w:before="240"/>
        <w:ind w:left="993" w:hanging="633"/>
        <w:jc w:val="both"/>
        <w:rPr>
          <w:b/>
        </w:rPr>
      </w:pPr>
      <w:bookmarkStart w:id="319" w:name="_Toc84936060"/>
      <w:r w:rsidRPr="00540586">
        <w:rPr>
          <w:b/>
        </w:rPr>
        <w:t>Развитие зоны</w:t>
      </w:r>
      <w:bookmarkEnd w:id="317"/>
      <w:bookmarkEnd w:id="318"/>
      <w:r w:rsidRPr="00540586">
        <w:rPr>
          <w:b/>
        </w:rPr>
        <w:t xml:space="preserve"> рекреационного назначения</w:t>
      </w:r>
      <w:bookmarkEnd w:id="319"/>
    </w:p>
    <w:p w:rsidR="002D1E45" w:rsidRPr="003A7901" w:rsidRDefault="002D1E45" w:rsidP="003A7901">
      <w:pPr>
        <w:spacing w:after="0" w:line="240" w:lineRule="auto"/>
        <w:rPr>
          <w:rFonts w:ascii="Times New Roman" w:hAnsi="Times New Roman"/>
          <w:sz w:val="16"/>
          <w:szCs w:val="16"/>
          <w:lang w:eastAsia="ru-RU"/>
        </w:rPr>
      </w:pPr>
    </w:p>
    <w:p w:rsidR="002D1E45" w:rsidRPr="003A7901" w:rsidRDefault="002D1E45" w:rsidP="003A7901">
      <w:pPr>
        <w:spacing w:after="0" w:line="240" w:lineRule="auto"/>
        <w:rPr>
          <w:rFonts w:ascii="Times New Roman" w:hAnsi="Times New Roman"/>
          <w:sz w:val="16"/>
          <w:szCs w:val="16"/>
          <w:lang w:eastAsia="ru-RU"/>
        </w:rPr>
      </w:pPr>
    </w:p>
    <w:p w:rsidR="002D1E45" w:rsidRPr="003A7901" w:rsidRDefault="002D1E45" w:rsidP="003A7901">
      <w:pPr>
        <w:spacing w:after="0" w:line="240" w:lineRule="auto"/>
        <w:ind w:firstLine="709"/>
        <w:jc w:val="both"/>
        <w:rPr>
          <w:rFonts w:ascii="Times New Roman" w:hAnsi="Times New Roman"/>
          <w:sz w:val="28"/>
          <w:szCs w:val="28"/>
          <w:lang w:eastAsia="ru-RU"/>
        </w:rPr>
      </w:pPr>
      <w:r w:rsidRPr="003A7901">
        <w:rPr>
          <w:rFonts w:ascii="Times New Roman" w:hAnsi="Times New Roman"/>
          <w:sz w:val="28"/>
          <w:szCs w:val="28"/>
          <w:lang w:eastAsia="ru-RU"/>
        </w:rPr>
        <w:t>Природно-рекреационная зона предназначена для организации мест отдыха населения и</w:t>
      </w:r>
      <w:r>
        <w:rPr>
          <w:rFonts w:ascii="Times New Roman" w:hAnsi="Times New Roman"/>
          <w:sz w:val="28"/>
          <w:szCs w:val="28"/>
          <w:lang w:eastAsia="ru-RU"/>
        </w:rPr>
        <w:t> </w:t>
      </w:r>
      <w:r w:rsidRPr="003A7901">
        <w:rPr>
          <w:rFonts w:ascii="Times New Roman" w:hAnsi="Times New Roman"/>
          <w:sz w:val="28"/>
          <w:szCs w:val="28"/>
          <w:lang w:eastAsia="ru-RU"/>
        </w:rPr>
        <w:t>включает в</w:t>
      </w:r>
      <w:r>
        <w:rPr>
          <w:rFonts w:ascii="Times New Roman" w:hAnsi="Times New Roman"/>
          <w:sz w:val="28"/>
          <w:szCs w:val="28"/>
          <w:lang w:eastAsia="ru-RU"/>
        </w:rPr>
        <w:t> </w:t>
      </w:r>
      <w:r w:rsidRPr="003A7901">
        <w:rPr>
          <w:rFonts w:ascii="Times New Roman" w:hAnsi="Times New Roman"/>
          <w:sz w:val="28"/>
          <w:szCs w:val="28"/>
          <w:lang w:eastAsia="ru-RU"/>
        </w:rPr>
        <w:t>себя парки, сады, лесопарки, пляжи.</w:t>
      </w:r>
    </w:p>
    <w:p w:rsidR="002D1E45" w:rsidRPr="00B84801" w:rsidRDefault="002D1E45" w:rsidP="003529C4">
      <w:pPr>
        <w:spacing w:after="0" w:line="240" w:lineRule="auto"/>
        <w:ind w:firstLine="709"/>
        <w:contextualSpacing/>
        <w:jc w:val="both"/>
        <w:rPr>
          <w:rFonts w:ascii="Times New Roman" w:hAnsi="Times New Roman"/>
          <w:sz w:val="28"/>
          <w:szCs w:val="24"/>
        </w:rPr>
      </w:pPr>
      <w:r w:rsidRPr="00B84801">
        <w:rPr>
          <w:rFonts w:ascii="Times New Roman" w:hAnsi="Times New Roman"/>
          <w:sz w:val="28"/>
          <w:szCs w:val="24"/>
        </w:rPr>
        <w:t xml:space="preserve">Стратегической целью развития сферы туризма является формирование положительного туристского имиджа </w:t>
      </w:r>
      <w:r>
        <w:rPr>
          <w:rFonts w:ascii="Times New Roman" w:hAnsi="Times New Roman"/>
          <w:sz w:val="28"/>
          <w:szCs w:val="24"/>
        </w:rPr>
        <w:t>муниципального образования</w:t>
      </w:r>
      <w:r w:rsidRPr="00B84801">
        <w:rPr>
          <w:rFonts w:ascii="Times New Roman" w:hAnsi="Times New Roman"/>
          <w:sz w:val="28"/>
          <w:szCs w:val="24"/>
        </w:rPr>
        <w:t xml:space="preserve"> на</w:t>
      </w:r>
      <w:r>
        <w:rPr>
          <w:rFonts w:ascii="Times New Roman" w:hAnsi="Times New Roman"/>
          <w:sz w:val="28"/>
          <w:szCs w:val="24"/>
        </w:rPr>
        <w:t> </w:t>
      </w:r>
      <w:r w:rsidRPr="00B84801">
        <w:rPr>
          <w:rFonts w:ascii="Times New Roman" w:hAnsi="Times New Roman"/>
          <w:sz w:val="28"/>
          <w:szCs w:val="24"/>
        </w:rPr>
        <w:t>рынке туристских услуг, повышение качества, доступности и</w:t>
      </w:r>
      <w:r>
        <w:rPr>
          <w:rFonts w:ascii="Times New Roman" w:hAnsi="Times New Roman"/>
          <w:sz w:val="28"/>
          <w:szCs w:val="24"/>
        </w:rPr>
        <w:t> </w:t>
      </w:r>
      <w:r w:rsidRPr="00B84801">
        <w:rPr>
          <w:rFonts w:ascii="Times New Roman" w:hAnsi="Times New Roman"/>
          <w:sz w:val="28"/>
          <w:szCs w:val="24"/>
        </w:rPr>
        <w:t xml:space="preserve">конкурентоспособности туристских услуг. </w:t>
      </w:r>
    </w:p>
    <w:p w:rsidR="002D1E45" w:rsidRPr="00B84801" w:rsidRDefault="002D1E45" w:rsidP="003529C4">
      <w:pPr>
        <w:spacing w:after="0" w:line="240" w:lineRule="auto"/>
        <w:ind w:firstLine="709"/>
        <w:contextualSpacing/>
        <w:jc w:val="both"/>
        <w:rPr>
          <w:rFonts w:ascii="Times New Roman" w:hAnsi="Times New Roman"/>
          <w:sz w:val="28"/>
          <w:szCs w:val="24"/>
        </w:rPr>
      </w:pPr>
      <w:r w:rsidRPr="00B84801">
        <w:rPr>
          <w:rFonts w:ascii="Times New Roman" w:hAnsi="Times New Roman"/>
          <w:sz w:val="28"/>
          <w:szCs w:val="24"/>
        </w:rPr>
        <w:t>Реализация цели предусматривает решение приоритетных задач:</w:t>
      </w:r>
    </w:p>
    <w:p w:rsidR="002D1E45" w:rsidRPr="00B84801" w:rsidRDefault="002D1E45" w:rsidP="00D05D06">
      <w:pPr>
        <w:numPr>
          <w:ilvl w:val="0"/>
          <w:numId w:val="56"/>
        </w:numPr>
        <w:spacing w:after="0" w:line="240" w:lineRule="auto"/>
        <w:contextualSpacing/>
        <w:jc w:val="both"/>
        <w:rPr>
          <w:rFonts w:ascii="Times New Roman" w:hAnsi="Times New Roman"/>
          <w:sz w:val="28"/>
          <w:szCs w:val="24"/>
          <w:lang w:eastAsia="ru-RU"/>
        </w:rPr>
      </w:pPr>
      <w:r w:rsidRPr="00B84801">
        <w:rPr>
          <w:rFonts w:ascii="Times New Roman" w:hAnsi="Times New Roman"/>
          <w:sz w:val="28"/>
          <w:szCs w:val="24"/>
          <w:lang w:eastAsia="ru-RU"/>
        </w:rPr>
        <w:t xml:space="preserve">формирование положительного туристского имиджа </w:t>
      </w:r>
      <w:r>
        <w:rPr>
          <w:rFonts w:ascii="Times New Roman" w:hAnsi="Times New Roman"/>
          <w:sz w:val="28"/>
          <w:szCs w:val="28"/>
        </w:rPr>
        <w:t>города Куйбышева</w:t>
      </w:r>
      <w:r w:rsidRPr="00B84801">
        <w:rPr>
          <w:rFonts w:ascii="Times New Roman" w:hAnsi="Times New Roman"/>
          <w:sz w:val="28"/>
          <w:szCs w:val="24"/>
          <w:lang w:eastAsia="ru-RU"/>
        </w:rPr>
        <w:t>;</w:t>
      </w:r>
    </w:p>
    <w:p w:rsidR="002D1E45" w:rsidRPr="00B84801" w:rsidRDefault="002D1E45" w:rsidP="00D05D06">
      <w:pPr>
        <w:numPr>
          <w:ilvl w:val="0"/>
          <w:numId w:val="56"/>
        </w:numPr>
        <w:spacing w:after="0" w:line="240" w:lineRule="auto"/>
        <w:contextualSpacing/>
        <w:jc w:val="both"/>
        <w:rPr>
          <w:rFonts w:ascii="Times New Roman" w:hAnsi="Times New Roman"/>
          <w:sz w:val="28"/>
          <w:szCs w:val="24"/>
          <w:lang w:eastAsia="ru-RU"/>
        </w:rPr>
      </w:pPr>
      <w:r w:rsidRPr="00B84801">
        <w:rPr>
          <w:rFonts w:ascii="Times New Roman" w:hAnsi="Times New Roman"/>
          <w:sz w:val="28"/>
          <w:szCs w:val="24"/>
          <w:lang w:eastAsia="ru-RU"/>
        </w:rPr>
        <w:t>развитие самодеятельного спортивного и</w:t>
      </w:r>
      <w:r>
        <w:rPr>
          <w:rFonts w:ascii="Times New Roman" w:hAnsi="Times New Roman"/>
          <w:sz w:val="28"/>
          <w:szCs w:val="24"/>
          <w:lang w:eastAsia="ru-RU"/>
        </w:rPr>
        <w:t> </w:t>
      </w:r>
      <w:r w:rsidRPr="00B84801">
        <w:rPr>
          <w:rFonts w:ascii="Times New Roman" w:hAnsi="Times New Roman"/>
          <w:sz w:val="28"/>
          <w:szCs w:val="24"/>
          <w:lang w:eastAsia="ru-RU"/>
        </w:rPr>
        <w:t>культурного видов туризма, стимулирование создания нового туристского продукта;</w:t>
      </w:r>
    </w:p>
    <w:p w:rsidR="002D1E45" w:rsidRDefault="002D1E45" w:rsidP="00D05D06">
      <w:pPr>
        <w:numPr>
          <w:ilvl w:val="0"/>
          <w:numId w:val="56"/>
        </w:numPr>
        <w:spacing w:after="0" w:line="240" w:lineRule="auto"/>
        <w:contextualSpacing/>
        <w:jc w:val="both"/>
        <w:rPr>
          <w:rFonts w:ascii="Times New Roman" w:hAnsi="Times New Roman"/>
          <w:sz w:val="28"/>
          <w:szCs w:val="24"/>
          <w:lang w:eastAsia="ru-RU"/>
        </w:rPr>
      </w:pPr>
      <w:r w:rsidRPr="00B84801">
        <w:rPr>
          <w:rFonts w:ascii="Times New Roman" w:hAnsi="Times New Roman"/>
          <w:sz w:val="28"/>
          <w:szCs w:val="24"/>
          <w:lang w:eastAsia="ru-RU"/>
        </w:rPr>
        <w:t>формирование туристско-рекреационного кластера с</w:t>
      </w:r>
      <w:r>
        <w:rPr>
          <w:rFonts w:ascii="Times New Roman" w:hAnsi="Times New Roman"/>
          <w:sz w:val="28"/>
          <w:szCs w:val="24"/>
          <w:lang w:eastAsia="ru-RU"/>
        </w:rPr>
        <w:t> </w:t>
      </w:r>
      <w:r w:rsidRPr="00B84801">
        <w:rPr>
          <w:rFonts w:ascii="Times New Roman" w:hAnsi="Times New Roman"/>
          <w:sz w:val="28"/>
          <w:szCs w:val="24"/>
          <w:lang w:eastAsia="ru-RU"/>
        </w:rPr>
        <w:t xml:space="preserve">использованием механизма государственно-частного партнёрства, предусматривающего развитие специализированных видов туризма, разработку узнаваемого туристского бренда. </w:t>
      </w:r>
    </w:p>
    <w:p w:rsidR="002D1E45" w:rsidRDefault="002D1E45" w:rsidP="001F1778">
      <w:pPr>
        <w:spacing w:after="0" w:line="240" w:lineRule="auto"/>
        <w:ind w:firstLine="709"/>
        <w:contextualSpacing/>
        <w:jc w:val="both"/>
        <w:rPr>
          <w:rFonts w:ascii="Times New Roman" w:hAnsi="Times New Roman"/>
          <w:sz w:val="28"/>
          <w:szCs w:val="24"/>
        </w:rPr>
      </w:pPr>
      <w:r w:rsidRPr="0095446D">
        <w:rPr>
          <w:rFonts w:ascii="Times New Roman" w:hAnsi="Times New Roman"/>
          <w:sz w:val="28"/>
          <w:szCs w:val="24"/>
        </w:rPr>
        <w:t xml:space="preserve">В </w:t>
      </w:r>
      <w:r>
        <w:rPr>
          <w:rFonts w:ascii="Times New Roman" w:hAnsi="Times New Roman"/>
          <w:sz w:val="28"/>
          <w:szCs w:val="24"/>
        </w:rPr>
        <w:t xml:space="preserve">соответствии со Стратегией </w:t>
      </w:r>
      <w:r w:rsidRPr="00B4527D">
        <w:rPr>
          <w:rFonts w:ascii="Times New Roman" w:hAnsi="Times New Roman"/>
          <w:sz w:val="28"/>
          <w:szCs w:val="24"/>
        </w:rPr>
        <w:t xml:space="preserve">социально-экономического развития </w:t>
      </w:r>
      <w:r>
        <w:rPr>
          <w:rFonts w:ascii="Times New Roman" w:hAnsi="Times New Roman"/>
          <w:sz w:val="28"/>
          <w:szCs w:val="24"/>
        </w:rPr>
        <w:t xml:space="preserve">Куйбышевского </w:t>
      </w:r>
      <w:r w:rsidRPr="00B4527D">
        <w:rPr>
          <w:rFonts w:ascii="Times New Roman" w:hAnsi="Times New Roman"/>
          <w:sz w:val="28"/>
          <w:szCs w:val="24"/>
        </w:rPr>
        <w:t xml:space="preserve">района </w:t>
      </w:r>
      <w:r>
        <w:rPr>
          <w:rFonts w:ascii="Times New Roman" w:hAnsi="Times New Roman"/>
          <w:sz w:val="28"/>
          <w:szCs w:val="24"/>
        </w:rPr>
        <w:t xml:space="preserve">до </w:t>
      </w:r>
      <w:r w:rsidRPr="00B4527D">
        <w:rPr>
          <w:rFonts w:ascii="Times New Roman" w:hAnsi="Times New Roman"/>
          <w:sz w:val="28"/>
          <w:szCs w:val="24"/>
        </w:rPr>
        <w:t>20</w:t>
      </w:r>
      <w:r>
        <w:rPr>
          <w:rFonts w:ascii="Times New Roman" w:hAnsi="Times New Roman"/>
          <w:sz w:val="28"/>
          <w:szCs w:val="24"/>
        </w:rPr>
        <w:t>30</w:t>
      </w:r>
      <w:r w:rsidRPr="00B4527D">
        <w:rPr>
          <w:rFonts w:ascii="Times New Roman" w:hAnsi="Times New Roman"/>
          <w:sz w:val="28"/>
          <w:szCs w:val="24"/>
        </w:rPr>
        <w:t xml:space="preserve"> год</w:t>
      </w:r>
      <w:r>
        <w:rPr>
          <w:rFonts w:ascii="Times New Roman" w:hAnsi="Times New Roman"/>
          <w:sz w:val="28"/>
          <w:szCs w:val="24"/>
        </w:rPr>
        <w:t>а, на территории города возможно развитие следующих направлений:</w:t>
      </w:r>
    </w:p>
    <w:p w:rsidR="002D1E45" w:rsidRPr="001F1778" w:rsidRDefault="002D1E45" w:rsidP="00D05D06">
      <w:pPr>
        <w:numPr>
          <w:ilvl w:val="0"/>
          <w:numId w:val="56"/>
        </w:numPr>
        <w:spacing w:after="0" w:line="240" w:lineRule="auto"/>
        <w:contextualSpacing/>
        <w:jc w:val="both"/>
        <w:rPr>
          <w:rFonts w:ascii="Times New Roman" w:hAnsi="Times New Roman"/>
          <w:sz w:val="28"/>
          <w:szCs w:val="24"/>
        </w:rPr>
      </w:pPr>
      <w:r w:rsidRPr="001F1778">
        <w:rPr>
          <w:rFonts w:ascii="Times New Roman" w:hAnsi="Times New Roman"/>
          <w:sz w:val="28"/>
          <w:szCs w:val="24"/>
          <w:lang w:eastAsia="ru-RU"/>
        </w:rPr>
        <w:t>реализация</w:t>
      </w:r>
      <w:r w:rsidRPr="001F1778">
        <w:rPr>
          <w:rFonts w:ascii="Times New Roman" w:hAnsi="Times New Roman"/>
          <w:sz w:val="28"/>
          <w:szCs w:val="24"/>
        </w:rPr>
        <w:t xml:space="preserve"> инвестиционного проекта: Музей-заповедник «Каинск исторический» (единый стиль в туристической зоне города, городского пространства и интерьеров должны напоминать XIX</w:t>
      </w:r>
      <w:r>
        <w:rPr>
          <w:rFonts w:ascii="Times New Roman" w:hAnsi="Times New Roman"/>
          <w:sz w:val="28"/>
          <w:szCs w:val="24"/>
        </w:rPr>
        <w:t xml:space="preserve"> </w:t>
      </w:r>
      <w:r w:rsidRPr="001F1778">
        <w:rPr>
          <w:rFonts w:ascii="Times New Roman" w:hAnsi="Times New Roman"/>
          <w:sz w:val="28"/>
          <w:szCs w:val="24"/>
        </w:rPr>
        <w:t>в.)</w:t>
      </w:r>
    </w:p>
    <w:p w:rsidR="002D1E45" w:rsidRPr="001F1778" w:rsidRDefault="002D1E45" w:rsidP="00852938">
      <w:pPr>
        <w:pStyle w:val="ListParagraph"/>
        <w:numPr>
          <w:ilvl w:val="0"/>
          <w:numId w:val="97"/>
        </w:numPr>
        <w:spacing w:after="0" w:line="240" w:lineRule="auto"/>
        <w:ind w:left="1843"/>
        <w:jc w:val="both"/>
        <w:rPr>
          <w:rFonts w:ascii="Times New Roman" w:hAnsi="Times New Roman"/>
          <w:sz w:val="28"/>
          <w:szCs w:val="24"/>
        </w:rPr>
      </w:pPr>
      <w:r w:rsidRPr="001F1778">
        <w:rPr>
          <w:rFonts w:ascii="Times New Roman" w:hAnsi="Times New Roman"/>
          <w:sz w:val="28"/>
          <w:szCs w:val="24"/>
        </w:rPr>
        <w:t>работы по реконструкции исторических зданий, принадлежавших музейному комплексу, благоустройству их территории</w:t>
      </w:r>
      <w:r>
        <w:rPr>
          <w:rFonts w:ascii="Times New Roman" w:hAnsi="Times New Roman"/>
          <w:sz w:val="28"/>
          <w:szCs w:val="24"/>
        </w:rPr>
        <w:t>;</w:t>
      </w:r>
    </w:p>
    <w:p w:rsidR="002D1E45" w:rsidRPr="001F1778" w:rsidRDefault="002D1E45" w:rsidP="00852938">
      <w:pPr>
        <w:pStyle w:val="ListParagraph"/>
        <w:numPr>
          <w:ilvl w:val="0"/>
          <w:numId w:val="97"/>
        </w:numPr>
        <w:spacing w:after="0" w:line="240" w:lineRule="auto"/>
        <w:ind w:left="1843"/>
        <w:jc w:val="both"/>
        <w:rPr>
          <w:rFonts w:ascii="Times New Roman" w:hAnsi="Times New Roman"/>
          <w:sz w:val="28"/>
          <w:szCs w:val="24"/>
        </w:rPr>
      </w:pPr>
      <w:r w:rsidRPr="001F1778">
        <w:rPr>
          <w:rFonts w:ascii="Times New Roman" w:hAnsi="Times New Roman"/>
          <w:sz w:val="28"/>
          <w:szCs w:val="24"/>
        </w:rPr>
        <w:t>разработка новых туристических маршрутов (в т.ч.</w:t>
      </w:r>
      <w:r>
        <w:rPr>
          <w:rFonts w:ascii="Times New Roman" w:hAnsi="Times New Roman"/>
          <w:sz w:val="28"/>
          <w:szCs w:val="24"/>
        </w:rPr>
        <w:t xml:space="preserve"> </w:t>
      </w:r>
      <w:r w:rsidRPr="001F1778">
        <w:rPr>
          <w:rFonts w:ascii="Times New Roman" w:hAnsi="Times New Roman"/>
          <w:sz w:val="28"/>
          <w:szCs w:val="24"/>
        </w:rPr>
        <w:t>квестовых проектов)</w:t>
      </w:r>
      <w:r>
        <w:rPr>
          <w:rFonts w:ascii="Times New Roman" w:hAnsi="Times New Roman"/>
          <w:sz w:val="28"/>
          <w:szCs w:val="24"/>
        </w:rPr>
        <w:t>;</w:t>
      </w:r>
    </w:p>
    <w:p w:rsidR="002D1E45" w:rsidRPr="001F1778" w:rsidRDefault="002D1E45" w:rsidP="00852938">
      <w:pPr>
        <w:pStyle w:val="ListParagraph"/>
        <w:numPr>
          <w:ilvl w:val="0"/>
          <w:numId w:val="97"/>
        </w:numPr>
        <w:spacing w:after="0" w:line="240" w:lineRule="auto"/>
        <w:ind w:left="1843"/>
        <w:jc w:val="both"/>
        <w:rPr>
          <w:rFonts w:ascii="Times New Roman" w:hAnsi="Times New Roman"/>
          <w:sz w:val="28"/>
          <w:szCs w:val="24"/>
        </w:rPr>
      </w:pPr>
      <w:r w:rsidRPr="001F1778">
        <w:rPr>
          <w:rFonts w:ascii="Times New Roman" w:hAnsi="Times New Roman"/>
          <w:sz w:val="28"/>
          <w:szCs w:val="24"/>
        </w:rPr>
        <w:t>работы по ремонту автомобильных дорог, реставрации зданий, благоустройству и водоснабжению на уже существующих объектах локальных территорий</w:t>
      </w:r>
      <w:r>
        <w:rPr>
          <w:rFonts w:ascii="Times New Roman" w:hAnsi="Times New Roman"/>
          <w:sz w:val="28"/>
          <w:szCs w:val="24"/>
        </w:rPr>
        <w:t>;</w:t>
      </w:r>
    </w:p>
    <w:p w:rsidR="002D1E45" w:rsidRPr="001F1778" w:rsidRDefault="002D1E45" w:rsidP="00852938">
      <w:pPr>
        <w:pStyle w:val="ListParagraph"/>
        <w:numPr>
          <w:ilvl w:val="0"/>
          <w:numId w:val="97"/>
        </w:numPr>
        <w:spacing w:after="0" w:line="240" w:lineRule="auto"/>
        <w:ind w:left="1843"/>
        <w:jc w:val="both"/>
        <w:rPr>
          <w:rFonts w:ascii="Times New Roman" w:hAnsi="Times New Roman"/>
          <w:sz w:val="28"/>
          <w:szCs w:val="24"/>
        </w:rPr>
      </w:pPr>
      <w:r w:rsidRPr="001F1778">
        <w:rPr>
          <w:rFonts w:ascii="Times New Roman" w:hAnsi="Times New Roman"/>
          <w:sz w:val="28"/>
          <w:szCs w:val="24"/>
        </w:rPr>
        <w:t>подготовка и реализация проекта по реконструкции уникальных надгробий старого городского кладбища и благоустройства его территории</w:t>
      </w:r>
      <w:r>
        <w:rPr>
          <w:rFonts w:ascii="Times New Roman" w:hAnsi="Times New Roman"/>
          <w:sz w:val="28"/>
          <w:szCs w:val="24"/>
        </w:rPr>
        <w:t>;</w:t>
      </w:r>
    </w:p>
    <w:p w:rsidR="002D1E45" w:rsidRPr="001F1778" w:rsidRDefault="002D1E45" w:rsidP="00852938">
      <w:pPr>
        <w:pStyle w:val="ListParagraph"/>
        <w:numPr>
          <w:ilvl w:val="0"/>
          <w:numId w:val="97"/>
        </w:numPr>
        <w:spacing w:after="0" w:line="240" w:lineRule="auto"/>
        <w:ind w:left="1843"/>
        <w:jc w:val="both"/>
        <w:rPr>
          <w:rFonts w:ascii="Times New Roman" w:hAnsi="Times New Roman"/>
          <w:sz w:val="28"/>
          <w:szCs w:val="24"/>
        </w:rPr>
      </w:pPr>
      <w:r w:rsidRPr="001F1778">
        <w:rPr>
          <w:rFonts w:ascii="Times New Roman" w:hAnsi="Times New Roman"/>
          <w:sz w:val="28"/>
          <w:szCs w:val="24"/>
        </w:rPr>
        <w:t>создание малых гостиниц на базе старинных строений, приспособление использования памятников под магазины, кафе (этим не только достигается создание особого облика малого туристического центра, но решается ряд проблем по сохранению и использованию старинных зданий).</w:t>
      </w:r>
    </w:p>
    <w:p w:rsidR="002D1E45" w:rsidRPr="001F1778" w:rsidRDefault="002D1E45" w:rsidP="00D05D06">
      <w:pPr>
        <w:numPr>
          <w:ilvl w:val="0"/>
          <w:numId w:val="56"/>
        </w:numPr>
        <w:spacing w:after="0" w:line="240" w:lineRule="auto"/>
        <w:contextualSpacing/>
        <w:jc w:val="both"/>
        <w:rPr>
          <w:rFonts w:ascii="Times New Roman" w:hAnsi="Times New Roman"/>
          <w:sz w:val="28"/>
          <w:szCs w:val="24"/>
          <w:lang w:eastAsia="ru-RU"/>
        </w:rPr>
      </w:pPr>
      <w:r>
        <w:rPr>
          <w:rFonts w:ascii="Times New Roman" w:hAnsi="Times New Roman"/>
          <w:sz w:val="28"/>
          <w:szCs w:val="24"/>
          <w:lang w:eastAsia="ru-RU"/>
        </w:rPr>
        <w:t>ф</w:t>
      </w:r>
      <w:r w:rsidRPr="001F1778">
        <w:rPr>
          <w:rFonts w:ascii="Times New Roman" w:hAnsi="Times New Roman"/>
          <w:sz w:val="28"/>
          <w:szCs w:val="24"/>
          <w:lang w:eastAsia="ru-RU"/>
        </w:rPr>
        <w:t>ормирование доступной туристской среды для лиц с ограниченными возможностями (инвалиды, пожилые)</w:t>
      </w:r>
      <w:r>
        <w:rPr>
          <w:rFonts w:ascii="Times New Roman" w:hAnsi="Times New Roman"/>
          <w:sz w:val="28"/>
          <w:szCs w:val="24"/>
          <w:lang w:eastAsia="ru-RU"/>
        </w:rPr>
        <w:t>;</w:t>
      </w:r>
    </w:p>
    <w:p w:rsidR="002D1E45" w:rsidRPr="001F1778" w:rsidRDefault="002D1E45" w:rsidP="00D05D06">
      <w:pPr>
        <w:numPr>
          <w:ilvl w:val="0"/>
          <w:numId w:val="56"/>
        </w:numPr>
        <w:spacing w:after="0" w:line="240" w:lineRule="auto"/>
        <w:contextualSpacing/>
        <w:jc w:val="both"/>
        <w:rPr>
          <w:rFonts w:ascii="Times New Roman" w:hAnsi="Times New Roman"/>
          <w:sz w:val="28"/>
          <w:szCs w:val="24"/>
          <w:lang w:eastAsia="ru-RU"/>
        </w:rPr>
      </w:pPr>
      <w:r>
        <w:rPr>
          <w:rFonts w:ascii="Times New Roman" w:hAnsi="Times New Roman"/>
          <w:sz w:val="28"/>
          <w:szCs w:val="24"/>
          <w:lang w:eastAsia="ru-RU"/>
        </w:rPr>
        <w:t>д</w:t>
      </w:r>
      <w:r w:rsidRPr="001F1778">
        <w:rPr>
          <w:rFonts w:ascii="Times New Roman" w:hAnsi="Times New Roman"/>
          <w:sz w:val="28"/>
          <w:szCs w:val="24"/>
          <w:lang w:eastAsia="ru-RU"/>
        </w:rPr>
        <w:t>альнейшее развитие событийного туризма на территории района</w:t>
      </w:r>
      <w:r>
        <w:rPr>
          <w:rFonts w:ascii="Times New Roman" w:hAnsi="Times New Roman"/>
          <w:sz w:val="28"/>
          <w:szCs w:val="24"/>
          <w:lang w:eastAsia="ru-RU"/>
        </w:rPr>
        <w:t>;</w:t>
      </w:r>
    </w:p>
    <w:p w:rsidR="002D1E45" w:rsidRPr="001F1778" w:rsidRDefault="002D1E45" w:rsidP="00D05D06">
      <w:pPr>
        <w:numPr>
          <w:ilvl w:val="0"/>
          <w:numId w:val="56"/>
        </w:numPr>
        <w:spacing w:after="0" w:line="240" w:lineRule="auto"/>
        <w:contextualSpacing/>
        <w:jc w:val="both"/>
        <w:rPr>
          <w:rFonts w:ascii="Times New Roman" w:hAnsi="Times New Roman"/>
          <w:sz w:val="28"/>
          <w:szCs w:val="24"/>
          <w:lang w:eastAsia="ru-RU"/>
        </w:rPr>
      </w:pPr>
      <w:r>
        <w:rPr>
          <w:rFonts w:ascii="Times New Roman" w:hAnsi="Times New Roman"/>
          <w:sz w:val="28"/>
          <w:szCs w:val="24"/>
          <w:lang w:eastAsia="ru-RU"/>
        </w:rPr>
        <w:t>с</w:t>
      </w:r>
      <w:r w:rsidRPr="001F1778">
        <w:rPr>
          <w:rFonts w:ascii="Times New Roman" w:hAnsi="Times New Roman"/>
          <w:sz w:val="28"/>
          <w:szCs w:val="24"/>
          <w:lang w:eastAsia="ru-RU"/>
        </w:rPr>
        <w:t>тимулирование развития туризма посредством оказания мер государственной поддержки, в том числе детского</w:t>
      </w:r>
      <w:r>
        <w:rPr>
          <w:rFonts w:ascii="Times New Roman" w:hAnsi="Times New Roman"/>
          <w:sz w:val="28"/>
          <w:szCs w:val="24"/>
          <w:lang w:eastAsia="ru-RU"/>
        </w:rPr>
        <w:t>;</w:t>
      </w:r>
    </w:p>
    <w:p w:rsidR="002D1E45" w:rsidRPr="001F1778" w:rsidRDefault="002D1E45" w:rsidP="00D05D06">
      <w:pPr>
        <w:numPr>
          <w:ilvl w:val="0"/>
          <w:numId w:val="56"/>
        </w:numPr>
        <w:spacing w:after="0" w:line="240" w:lineRule="auto"/>
        <w:contextualSpacing/>
        <w:jc w:val="both"/>
        <w:rPr>
          <w:rFonts w:ascii="Times New Roman" w:hAnsi="Times New Roman"/>
          <w:sz w:val="28"/>
          <w:szCs w:val="24"/>
          <w:lang w:eastAsia="ru-RU"/>
        </w:rPr>
      </w:pPr>
      <w:r>
        <w:rPr>
          <w:rFonts w:ascii="Times New Roman" w:hAnsi="Times New Roman"/>
          <w:sz w:val="28"/>
          <w:szCs w:val="24"/>
          <w:lang w:eastAsia="ru-RU"/>
        </w:rPr>
        <w:t>п</w:t>
      </w:r>
      <w:r w:rsidRPr="001F1778">
        <w:rPr>
          <w:rFonts w:ascii="Times New Roman" w:hAnsi="Times New Roman"/>
          <w:sz w:val="28"/>
          <w:szCs w:val="24"/>
          <w:lang w:eastAsia="ru-RU"/>
        </w:rPr>
        <w:t>родвижение районного туристского продукта на региональном туристском рынке</w:t>
      </w:r>
      <w:r>
        <w:rPr>
          <w:rFonts w:ascii="Times New Roman" w:hAnsi="Times New Roman"/>
          <w:sz w:val="28"/>
          <w:szCs w:val="24"/>
          <w:lang w:eastAsia="ru-RU"/>
        </w:rPr>
        <w:t>;</w:t>
      </w:r>
    </w:p>
    <w:p w:rsidR="002D1E45" w:rsidRPr="001F1778" w:rsidRDefault="002D1E45" w:rsidP="00D05D06">
      <w:pPr>
        <w:numPr>
          <w:ilvl w:val="0"/>
          <w:numId w:val="56"/>
        </w:numPr>
        <w:spacing w:after="0" w:line="240" w:lineRule="auto"/>
        <w:contextualSpacing/>
        <w:jc w:val="both"/>
        <w:rPr>
          <w:rFonts w:ascii="Times New Roman" w:hAnsi="Times New Roman"/>
          <w:sz w:val="28"/>
          <w:szCs w:val="24"/>
          <w:lang w:eastAsia="ru-RU"/>
        </w:rPr>
      </w:pPr>
      <w:r>
        <w:rPr>
          <w:rFonts w:ascii="Times New Roman" w:hAnsi="Times New Roman"/>
          <w:sz w:val="28"/>
          <w:szCs w:val="24"/>
          <w:lang w:eastAsia="ru-RU"/>
        </w:rPr>
        <w:t>п</w:t>
      </w:r>
      <w:r w:rsidRPr="001F1778">
        <w:rPr>
          <w:rFonts w:ascii="Times New Roman" w:hAnsi="Times New Roman"/>
          <w:sz w:val="28"/>
          <w:szCs w:val="24"/>
          <w:lang w:eastAsia="ru-RU"/>
        </w:rPr>
        <w:t>редставление туристического потенциала Куйбышевского потенциала на мероприятиях, форумах различного масштаба</w:t>
      </w:r>
      <w:r>
        <w:rPr>
          <w:rFonts w:ascii="Times New Roman" w:hAnsi="Times New Roman"/>
          <w:sz w:val="28"/>
          <w:szCs w:val="24"/>
          <w:lang w:eastAsia="ru-RU"/>
        </w:rPr>
        <w:t>;</w:t>
      </w:r>
    </w:p>
    <w:p w:rsidR="002D1E45" w:rsidRPr="001F1778" w:rsidRDefault="002D1E45" w:rsidP="00D05D06">
      <w:pPr>
        <w:numPr>
          <w:ilvl w:val="0"/>
          <w:numId w:val="56"/>
        </w:numPr>
        <w:spacing w:after="0" w:line="240" w:lineRule="auto"/>
        <w:contextualSpacing/>
        <w:jc w:val="both"/>
        <w:rPr>
          <w:rFonts w:ascii="Times New Roman" w:hAnsi="Times New Roman"/>
          <w:sz w:val="28"/>
          <w:szCs w:val="24"/>
          <w:lang w:eastAsia="ru-RU"/>
        </w:rPr>
      </w:pPr>
      <w:r>
        <w:rPr>
          <w:rFonts w:ascii="Times New Roman" w:hAnsi="Times New Roman"/>
          <w:sz w:val="28"/>
          <w:szCs w:val="24"/>
          <w:lang w:eastAsia="ru-RU"/>
        </w:rPr>
        <w:t>п</w:t>
      </w:r>
      <w:r w:rsidRPr="001F1778">
        <w:rPr>
          <w:rFonts w:ascii="Times New Roman" w:hAnsi="Times New Roman"/>
          <w:sz w:val="28"/>
          <w:szCs w:val="24"/>
          <w:lang w:eastAsia="ru-RU"/>
        </w:rPr>
        <w:t>роведение международных форумов (туристических и смежных сфер) в Новосибирской области</w:t>
      </w:r>
      <w:r>
        <w:rPr>
          <w:rFonts w:ascii="Times New Roman" w:hAnsi="Times New Roman"/>
          <w:sz w:val="28"/>
          <w:szCs w:val="24"/>
          <w:lang w:eastAsia="ru-RU"/>
        </w:rPr>
        <w:t>;</w:t>
      </w:r>
    </w:p>
    <w:p w:rsidR="002D1E45" w:rsidRDefault="002D1E45" w:rsidP="00D05D06">
      <w:pPr>
        <w:numPr>
          <w:ilvl w:val="0"/>
          <w:numId w:val="56"/>
        </w:numPr>
        <w:spacing w:after="0" w:line="240" w:lineRule="auto"/>
        <w:contextualSpacing/>
        <w:jc w:val="both"/>
        <w:rPr>
          <w:rFonts w:ascii="Times New Roman" w:hAnsi="Times New Roman"/>
          <w:sz w:val="28"/>
          <w:szCs w:val="24"/>
        </w:rPr>
      </w:pPr>
      <w:r>
        <w:rPr>
          <w:rFonts w:ascii="Times New Roman" w:hAnsi="Times New Roman"/>
          <w:sz w:val="28"/>
          <w:szCs w:val="24"/>
          <w:lang w:eastAsia="ru-RU"/>
        </w:rPr>
        <w:t>с</w:t>
      </w:r>
      <w:r w:rsidRPr="001F1778">
        <w:rPr>
          <w:rFonts w:ascii="Times New Roman" w:hAnsi="Times New Roman"/>
          <w:sz w:val="28"/>
          <w:szCs w:val="24"/>
          <w:lang w:eastAsia="ru-RU"/>
        </w:rPr>
        <w:t>о</w:t>
      </w:r>
      <w:r w:rsidRPr="001F1778">
        <w:rPr>
          <w:rFonts w:ascii="Times New Roman" w:hAnsi="Times New Roman"/>
          <w:sz w:val="28"/>
          <w:szCs w:val="24"/>
        </w:rPr>
        <w:t>провождение ознакомительных туров для представителей туристской индустрии Новосибирской области с целью продвижения районного туристского продукта.</w:t>
      </w:r>
    </w:p>
    <w:p w:rsidR="002D1E45" w:rsidRPr="00E87611" w:rsidRDefault="002D1E45" w:rsidP="00DA1992">
      <w:pPr>
        <w:spacing w:after="0" w:line="240" w:lineRule="auto"/>
        <w:ind w:firstLine="709"/>
        <w:jc w:val="both"/>
        <w:rPr>
          <w:rFonts w:ascii="Times New Roman" w:hAnsi="Times New Roman"/>
          <w:sz w:val="28"/>
          <w:szCs w:val="24"/>
          <w:lang w:eastAsia="ru-RU"/>
        </w:rPr>
      </w:pPr>
    </w:p>
    <w:p w:rsidR="002D1E45" w:rsidRPr="00BD7CEE" w:rsidRDefault="002D1E45" w:rsidP="00852938">
      <w:pPr>
        <w:pStyle w:val="Heading2"/>
        <w:numPr>
          <w:ilvl w:val="1"/>
          <w:numId w:val="65"/>
        </w:numPr>
        <w:spacing w:before="240"/>
        <w:ind w:left="993" w:hanging="633"/>
        <w:jc w:val="both"/>
        <w:rPr>
          <w:b/>
        </w:rPr>
      </w:pPr>
      <w:bookmarkStart w:id="320" w:name="_Toc468971953"/>
      <w:bookmarkStart w:id="321" w:name="_Toc475037119"/>
      <w:bookmarkStart w:id="322" w:name="_Toc84936061"/>
      <w:r w:rsidRPr="00BD7CEE">
        <w:rPr>
          <w:b/>
        </w:rPr>
        <w:t>Развитие зоны специального назначения</w:t>
      </w:r>
      <w:bookmarkEnd w:id="320"/>
      <w:bookmarkEnd w:id="321"/>
      <w:bookmarkEnd w:id="322"/>
    </w:p>
    <w:p w:rsidR="002D1E45" w:rsidRPr="003A7901" w:rsidRDefault="002D1E45" w:rsidP="003A7901">
      <w:pPr>
        <w:spacing w:after="0" w:line="240" w:lineRule="auto"/>
        <w:rPr>
          <w:rFonts w:ascii="Times New Roman" w:hAnsi="Times New Roman"/>
          <w:sz w:val="16"/>
          <w:szCs w:val="16"/>
          <w:lang w:eastAsia="ru-RU"/>
        </w:rPr>
      </w:pPr>
    </w:p>
    <w:p w:rsidR="002D1E45" w:rsidRPr="003A7901" w:rsidRDefault="002D1E45" w:rsidP="003A7901">
      <w:pPr>
        <w:spacing w:after="0" w:line="240" w:lineRule="auto"/>
        <w:rPr>
          <w:rFonts w:ascii="Times New Roman" w:hAnsi="Times New Roman"/>
          <w:sz w:val="16"/>
          <w:szCs w:val="16"/>
          <w:lang w:eastAsia="ru-RU"/>
        </w:rPr>
      </w:pPr>
    </w:p>
    <w:p w:rsidR="002D1E45" w:rsidRPr="003A7901" w:rsidRDefault="002D1E45" w:rsidP="003A7901">
      <w:pPr>
        <w:spacing w:after="0" w:line="240" w:lineRule="auto"/>
        <w:ind w:firstLine="709"/>
        <w:jc w:val="both"/>
        <w:rPr>
          <w:rFonts w:ascii="Times New Roman" w:hAnsi="Times New Roman"/>
          <w:sz w:val="28"/>
          <w:szCs w:val="28"/>
          <w:lang w:eastAsia="ru-RU"/>
        </w:rPr>
      </w:pPr>
      <w:r w:rsidRPr="003A7901">
        <w:rPr>
          <w:rFonts w:ascii="Times New Roman" w:hAnsi="Times New Roman"/>
          <w:sz w:val="28"/>
          <w:szCs w:val="28"/>
          <w:lang w:eastAsia="ru-RU"/>
        </w:rPr>
        <w:t>Генеральным планом в</w:t>
      </w:r>
      <w:r>
        <w:rPr>
          <w:rFonts w:ascii="Times New Roman" w:hAnsi="Times New Roman"/>
          <w:sz w:val="28"/>
          <w:szCs w:val="28"/>
          <w:lang w:eastAsia="ru-RU"/>
        </w:rPr>
        <w:t> </w:t>
      </w:r>
      <w:r w:rsidRPr="003A7901">
        <w:rPr>
          <w:rFonts w:ascii="Times New Roman" w:hAnsi="Times New Roman"/>
          <w:sz w:val="28"/>
          <w:szCs w:val="28"/>
          <w:lang w:eastAsia="ru-RU"/>
        </w:rPr>
        <w:t>части развития зоны специального назначения предусматривается:</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Pr>
          <w:rFonts w:ascii="Times New Roman" w:hAnsi="Times New Roman"/>
          <w:sz w:val="28"/>
          <w:szCs w:val="28"/>
        </w:rPr>
        <w:t>недопущение возникновения</w:t>
      </w:r>
      <w:r w:rsidRPr="003A7901">
        <w:rPr>
          <w:rFonts w:ascii="Times New Roman" w:hAnsi="Times New Roman"/>
          <w:sz w:val="28"/>
          <w:szCs w:val="28"/>
        </w:rPr>
        <w:t xml:space="preserve"> несанкционированных свалок;</w:t>
      </w:r>
    </w:p>
    <w:p w:rsidR="002D1E45"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lang w:eastAsia="ru-RU"/>
        </w:rPr>
      </w:pPr>
      <w:r w:rsidRPr="003A7901">
        <w:rPr>
          <w:rFonts w:ascii="Times New Roman" w:hAnsi="Times New Roman"/>
          <w:sz w:val="28"/>
          <w:szCs w:val="28"/>
        </w:rPr>
        <w:t>организовать</w:t>
      </w:r>
      <w:r w:rsidRPr="003A7901">
        <w:rPr>
          <w:rFonts w:ascii="Times New Roman" w:hAnsi="Times New Roman"/>
          <w:sz w:val="28"/>
          <w:szCs w:val="28"/>
          <w:lang w:eastAsia="ru-RU"/>
        </w:rPr>
        <w:t xml:space="preserve"> единые места для сбора металлолома, отработанных нефтепродуктов, люминесцентных ламп для последующей периодической вывозки на</w:t>
      </w:r>
      <w:r>
        <w:rPr>
          <w:rFonts w:ascii="Times New Roman" w:hAnsi="Times New Roman"/>
          <w:sz w:val="28"/>
          <w:szCs w:val="28"/>
          <w:lang w:eastAsia="ru-RU"/>
        </w:rPr>
        <w:t> </w:t>
      </w:r>
      <w:r w:rsidRPr="003A7901">
        <w:rPr>
          <w:rFonts w:ascii="Times New Roman" w:hAnsi="Times New Roman"/>
          <w:sz w:val="28"/>
          <w:szCs w:val="28"/>
          <w:lang w:eastAsia="ru-RU"/>
        </w:rPr>
        <w:t>утилизацию</w:t>
      </w:r>
      <w:r>
        <w:rPr>
          <w:rFonts w:ascii="Times New Roman" w:hAnsi="Times New Roman"/>
          <w:sz w:val="28"/>
          <w:szCs w:val="28"/>
          <w:lang w:eastAsia="ru-RU"/>
        </w:rPr>
        <w:t>;</w:t>
      </w:r>
    </w:p>
    <w:p w:rsidR="002D1E45"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lang w:eastAsia="ru-RU"/>
        </w:rPr>
      </w:pPr>
      <w:r>
        <w:rPr>
          <w:rFonts w:ascii="Times New Roman" w:hAnsi="Times New Roman"/>
          <w:sz w:val="28"/>
          <w:szCs w:val="28"/>
          <w:lang w:eastAsia="ru-RU"/>
        </w:rPr>
        <w:t>обеспечение утилизации и обезвреживания медицинских и биологических отходов.</w:t>
      </w:r>
    </w:p>
    <w:p w:rsidR="002D1E45" w:rsidRDefault="002D1E45" w:rsidP="003A7901">
      <w:pPr>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 xml:space="preserve">В соответствии с Территориальной схемой обращения </w:t>
      </w:r>
      <w:r w:rsidRPr="001F1778">
        <w:rPr>
          <w:rFonts w:ascii="Times New Roman" w:hAnsi="Times New Roman"/>
          <w:sz w:val="28"/>
          <w:szCs w:val="28"/>
          <w:lang w:eastAsia="ru-RU"/>
        </w:rPr>
        <w:t>с отходами, в том числе с твёрдыми коммунальными отходами, Новосибирской области</w:t>
      </w:r>
      <w:r>
        <w:rPr>
          <w:rFonts w:ascii="Times New Roman" w:hAnsi="Times New Roman"/>
          <w:sz w:val="28"/>
          <w:szCs w:val="28"/>
          <w:lang w:eastAsia="ru-RU"/>
        </w:rPr>
        <w:t>, в период реализации Генерального плана предусматривается в</w:t>
      </w:r>
      <w:r w:rsidRPr="001F1778">
        <w:rPr>
          <w:rFonts w:ascii="Times New Roman" w:hAnsi="Times New Roman"/>
          <w:sz w:val="28"/>
          <w:szCs w:val="28"/>
          <w:lang w:eastAsia="ru-RU"/>
        </w:rPr>
        <w:t xml:space="preserve">ключение </w:t>
      </w:r>
      <w:r>
        <w:rPr>
          <w:rFonts w:ascii="Times New Roman" w:hAnsi="Times New Roman"/>
          <w:sz w:val="28"/>
          <w:szCs w:val="28"/>
          <w:lang w:eastAsia="ru-RU"/>
        </w:rPr>
        <w:t xml:space="preserve">существующего </w:t>
      </w:r>
      <w:r w:rsidRPr="001F1778">
        <w:rPr>
          <w:rFonts w:ascii="Times New Roman" w:hAnsi="Times New Roman"/>
          <w:sz w:val="28"/>
          <w:szCs w:val="28"/>
          <w:lang w:eastAsia="ru-RU"/>
        </w:rPr>
        <w:t xml:space="preserve">объекта размещения отходов </w:t>
      </w:r>
      <w:r>
        <w:rPr>
          <w:rFonts w:ascii="Times New Roman" w:hAnsi="Times New Roman"/>
          <w:sz w:val="28"/>
          <w:szCs w:val="28"/>
          <w:lang w:eastAsia="ru-RU"/>
        </w:rPr>
        <w:t xml:space="preserve">в </w:t>
      </w:r>
      <w:r w:rsidRPr="001F1778">
        <w:rPr>
          <w:rFonts w:ascii="Times New Roman" w:hAnsi="Times New Roman"/>
          <w:sz w:val="28"/>
          <w:szCs w:val="28"/>
          <w:lang w:eastAsia="ru-RU"/>
        </w:rPr>
        <w:t xml:space="preserve">ГРОРО, дооснащение и последующая </w:t>
      </w:r>
      <w:r>
        <w:rPr>
          <w:rFonts w:ascii="Times New Roman" w:hAnsi="Times New Roman"/>
          <w:sz w:val="28"/>
          <w:szCs w:val="28"/>
          <w:lang w:eastAsia="ru-RU"/>
        </w:rPr>
        <w:t xml:space="preserve">его </w:t>
      </w:r>
      <w:r w:rsidRPr="001F1778">
        <w:rPr>
          <w:rFonts w:ascii="Times New Roman" w:hAnsi="Times New Roman"/>
          <w:sz w:val="28"/>
          <w:szCs w:val="28"/>
          <w:lang w:eastAsia="ru-RU"/>
        </w:rPr>
        <w:t>рекультивация после ввода полигона в г. Барабинск.</w:t>
      </w:r>
    </w:p>
    <w:p w:rsidR="002D1E45" w:rsidRPr="003A7901" w:rsidRDefault="002D1E45" w:rsidP="003A7901">
      <w:pPr>
        <w:spacing w:after="0" w:line="240" w:lineRule="auto"/>
        <w:ind w:firstLine="709"/>
        <w:jc w:val="both"/>
        <w:rPr>
          <w:rFonts w:ascii="Times New Roman" w:hAnsi="Times New Roman"/>
          <w:sz w:val="28"/>
          <w:szCs w:val="28"/>
          <w:lang w:eastAsia="ru-RU"/>
        </w:rPr>
      </w:pPr>
      <w:r w:rsidRPr="003A7901">
        <w:rPr>
          <w:rFonts w:ascii="Times New Roman" w:hAnsi="Times New Roman"/>
          <w:sz w:val="28"/>
          <w:szCs w:val="28"/>
          <w:lang w:eastAsia="ru-RU"/>
        </w:rPr>
        <w:t>Оценка воздействия отходов, размещаемых на</w:t>
      </w:r>
      <w:r>
        <w:rPr>
          <w:rFonts w:ascii="Times New Roman" w:hAnsi="Times New Roman"/>
          <w:sz w:val="28"/>
          <w:szCs w:val="28"/>
          <w:lang w:eastAsia="ru-RU"/>
        </w:rPr>
        <w:t> </w:t>
      </w:r>
      <w:r w:rsidRPr="003A7901">
        <w:rPr>
          <w:rFonts w:ascii="Times New Roman" w:hAnsi="Times New Roman"/>
          <w:sz w:val="28"/>
          <w:szCs w:val="28"/>
          <w:lang w:eastAsia="ru-RU"/>
        </w:rPr>
        <w:t xml:space="preserve">территориях предприятий </w:t>
      </w:r>
      <w:r>
        <w:rPr>
          <w:rFonts w:ascii="Times New Roman" w:hAnsi="Times New Roman"/>
          <w:sz w:val="28"/>
          <w:szCs w:val="28"/>
        </w:rPr>
        <w:t xml:space="preserve">анализируемых населённых пунктов, </w:t>
      </w:r>
      <w:r w:rsidRPr="003A7901">
        <w:rPr>
          <w:rFonts w:ascii="Times New Roman" w:hAnsi="Times New Roman"/>
          <w:sz w:val="28"/>
          <w:szCs w:val="28"/>
          <w:lang w:eastAsia="ru-RU"/>
        </w:rPr>
        <w:t>должна проводиться с</w:t>
      </w:r>
      <w:r>
        <w:rPr>
          <w:rFonts w:ascii="Times New Roman" w:hAnsi="Times New Roman"/>
          <w:sz w:val="28"/>
          <w:szCs w:val="28"/>
          <w:lang w:eastAsia="ru-RU"/>
        </w:rPr>
        <w:t> </w:t>
      </w:r>
      <w:r w:rsidRPr="003A7901">
        <w:rPr>
          <w:rFonts w:ascii="Times New Roman" w:hAnsi="Times New Roman"/>
          <w:sz w:val="28"/>
          <w:szCs w:val="28"/>
          <w:lang w:eastAsia="ru-RU"/>
        </w:rPr>
        <w:t>учётом организации мест накопления (хранения) отходов и</w:t>
      </w:r>
      <w:r>
        <w:rPr>
          <w:rFonts w:ascii="Times New Roman" w:hAnsi="Times New Roman"/>
          <w:sz w:val="28"/>
          <w:szCs w:val="28"/>
          <w:lang w:eastAsia="ru-RU"/>
        </w:rPr>
        <w:t> </w:t>
      </w:r>
      <w:r w:rsidRPr="003A7901">
        <w:rPr>
          <w:rFonts w:ascii="Times New Roman" w:hAnsi="Times New Roman"/>
          <w:sz w:val="28"/>
          <w:szCs w:val="28"/>
          <w:lang w:eastAsia="ru-RU"/>
        </w:rPr>
        <w:t>физико-химических свойств отходов: растворимости в</w:t>
      </w:r>
      <w:r>
        <w:rPr>
          <w:rFonts w:ascii="Times New Roman" w:hAnsi="Times New Roman"/>
          <w:sz w:val="28"/>
          <w:szCs w:val="28"/>
          <w:lang w:eastAsia="ru-RU"/>
        </w:rPr>
        <w:t> </w:t>
      </w:r>
      <w:r w:rsidRPr="003A7901">
        <w:rPr>
          <w:rFonts w:ascii="Times New Roman" w:hAnsi="Times New Roman"/>
          <w:sz w:val="28"/>
          <w:szCs w:val="28"/>
          <w:lang w:eastAsia="ru-RU"/>
        </w:rPr>
        <w:t>воде, летучести, реакционной способности, опасных свойств (взрыво-пожароопасности), агрегатного состояния.</w:t>
      </w:r>
    </w:p>
    <w:p w:rsidR="002D1E45" w:rsidRDefault="002D1E45" w:rsidP="003A7901">
      <w:pPr>
        <w:spacing w:after="0" w:line="240" w:lineRule="auto"/>
        <w:rPr>
          <w:rFonts w:ascii="Times New Roman" w:hAnsi="Times New Roman"/>
          <w:sz w:val="16"/>
          <w:szCs w:val="16"/>
          <w:lang w:eastAsia="ru-RU"/>
        </w:rPr>
      </w:pPr>
    </w:p>
    <w:p w:rsidR="002D1E45" w:rsidRPr="003A7901" w:rsidRDefault="002D1E45" w:rsidP="003A7901">
      <w:pPr>
        <w:spacing w:after="0" w:line="240" w:lineRule="auto"/>
        <w:rPr>
          <w:rFonts w:ascii="Times New Roman" w:hAnsi="Times New Roman"/>
          <w:sz w:val="16"/>
          <w:szCs w:val="16"/>
          <w:lang w:eastAsia="ru-RU"/>
        </w:rPr>
      </w:pPr>
    </w:p>
    <w:p w:rsidR="002D1E45" w:rsidRPr="001F1778" w:rsidRDefault="002D1E45" w:rsidP="00852938">
      <w:pPr>
        <w:pStyle w:val="Heading2"/>
        <w:numPr>
          <w:ilvl w:val="1"/>
          <w:numId w:val="65"/>
        </w:numPr>
        <w:spacing w:before="240"/>
        <w:ind w:left="993" w:hanging="633"/>
        <w:jc w:val="both"/>
        <w:rPr>
          <w:b/>
        </w:rPr>
      </w:pPr>
      <w:bookmarkStart w:id="323" w:name="_Toc468971954"/>
      <w:bookmarkStart w:id="324" w:name="_Toc475037120"/>
      <w:bookmarkStart w:id="325" w:name="_Toc84936062"/>
      <w:r w:rsidRPr="001F1778">
        <w:rPr>
          <w:b/>
        </w:rPr>
        <w:t>Инженерное оборудование территории</w:t>
      </w:r>
      <w:bookmarkEnd w:id="323"/>
      <w:bookmarkEnd w:id="324"/>
      <w:bookmarkEnd w:id="325"/>
    </w:p>
    <w:p w:rsidR="002D1E45" w:rsidRPr="003A7901" w:rsidRDefault="002D1E45" w:rsidP="003A7901">
      <w:pPr>
        <w:spacing w:after="0" w:line="240" w:lineRule="auto"/>
        <w:rPr>
          <w:rFonts w:ascii="Times New Roman" w:hAnsi="Times New Roman"/>
          <w:sz w:val="16"/>
          <w:szCs w:val="16"/>
          <w:lang w:eastAsia="ru-RU"/>
        </w:rPr>
      </w:pPr>
    </w:p>
    <w:p w:rsidR="002D1E45" w:rsidRDefault="002D1E45" w:rsidP="0047565B">
      <w:pPr>
        <w:spacing w:after="0" w:line="240" w:lineRule="auto"/>
        <w:ind w:firstLine="709"/>
        <w:jc w:val="both"/>
        <w:rPr>
          <w:rFonts w:ascii="Times New Roman" w:hAnsi="Times New Roman"/>
          <w:sz w:val="28"/>
          <w:szCs w:val="28"/>
          <w:lang w:eastAsia="ru-RU"/>
        </w:rPr>
      </w:pPr>
      <w:r w:rsidRPr="0047565B">
        <w:rPr>
          <w:rFonts w:ascii="Times New Roman" w:hAnsi="Times New Roman"/>
          <w:sz w:val="28"/>
          <w:szCs w:val="28"/>
          <w:lang w:eastAsia="ru-RU"/>
        </w:rPr>
        <w:t>Отвод поверхностного стока с</w:t>
      </w:r>
      <w:r>
        <w:rPr>
          <w:rFonts w:ascii="Times New Roman" w:hAnsi="Times New Roman"/>
          <w:sz w:val="28"/>
          <w:szCs w:val="28"/>
          <w:lang w:eastAsia="ru-RU"/>
        </w:rPr>
        <w:t> </w:t>
      </w:r>
      <w:r w:rsidRPr="0047565B">
        <w:rPr>
          <w:rFonts w:ascii="Times New Roman" w:hAnsi="Times New Roman"/>
          <w:sz w:val="28"/>
          <w:szCs w:val="28"/>
          <w:lang w:eastAsia="ru-RU"/>
        </w:rPr>
        <w:t>территори</w:t>
      </w:r>
      <w:r>
        <w:rPr>
          <w:rFonts w:ascii="Times New Roman" w:hAnsi="Times New Roman"/>
          <w:sz w:val="28"/>
          <w:szCs w:val="28"/>
          <w:lang w:eastAsia="ru-RU"/>
        </w:rPr>
        <w:t>и</w:t>
      </w:r>
      <w:r w:rsidRPr="0047565B">
        <w:rPr>
          <w:rFonts w:ascii="Times New Roman" w:hAnsi="Times New Roman"/>
          <w:sz w:val="28"/>
          <w:szCs w:val="28"/>
          <w:lang w:eastAsia="ru-RU"/>
        </w:rPr>
        <w:t xml:space="preserve"> населённ</w:t>
      </w:r>
      <w:r>
        <w:rPr>
          <w:rFonts w:ascii="Times New Roman" w:hAnsi="Times New Roman"/>
          <w:sz w:val="28"/>
          <w:szCs w:val="28"/>
          <w:lang w:eastAsia="ru-RU"/>
        </w:rPr>
        <w:t>ого</w:t>
      </w:r>
      <w:r w:rsidRPr="0047565B">
        <w:rPr>
          <w:rFonts w:ascii="Times New Roman" w:hAnsi="Times New Roman"/>
          <w:sz w:val="28"/>
          <w:szCs w:val="28"/>
          <w:lang w:eastAsia="ru-RU"/>
        </w:rPr>
        <w:t xml:space="preserve"> пункт</w:t>
      </w:r>
      <w:r>
        <w:rPr>
          <w:rFonts w:ascii="Times New Roman" w:hAnsi="Times New Roman"/>
          <w:sz w:val="28"/>
          <w:szCs w:val="28"/>
          <w:lang w:eastAsia="ru-RU"/>
        </w:rPr>
        <w:t xml:space="preserve">а </w:t>
      </w:r>
      <w:r w:rsidRPr="0047565B">
        <w:rPr>
          <w:rFonts w:ascii="Times New Roman" w:hAnsi="Times New Roman"/>
          <w:sz w:val="28"/>
          <w:szCs w:val="28"/>
          <w:lang w:eastAsia="ru-RU"/>
        </w:rPr>
        <w:t xml:space="preserve">предлагается осуществлять посредством дождевой канализации открытого </w:t>
      </w:r>
      <w:r>
        <w:rPr>
          <w:rFonts w:ascii="Times New Roman" w:hAnsi="Times New Roman"/>
          <w:sz w:val="28"/>
          <w:szCs w:val="28"/>
          <w:lang w:eastAsia="ru-RU"/>
        </w:rPr>
        <w:t xml:space="preserve">и закрытого </w:t>
      </w:r>
      <w:r w:rsidRPr="0047565B">
        <w:rPr>
          <w:rFonts w:ascii="Times New Roman" w:hAnsi="Times New Roman"/>
          <w:sz w:val="28"/>
          <w:szCs w:val="28"/>
          <w:lang w:eastAsia="ru-RU"/>
        </w:rPr>
        <w:t>типа. Сброс дождевых вод предлагается производить в</w:t>
      </w:r>
      <w:r>
        <w:rPr>
          <w:rFonts w:ascii="Times New Roman" w:hAnsi="Times New Roman"/>
          <w:sz w:val="28"/>
          <w:szCs w:val="28"/>
          <w:lang w:eastAsia="ru-RU"/>
        </w:rPr>
        <w:t> р. Омь</w:t>
      </w:r>
      <w:r w:rsidRPr="0047565B">
        <w:rPr>
          <w:rFonts w:ascii="Times New Roman" w:hAnsi="Times New Roman"/>
          <w:sz w:val="28"/>
          <w:szCs w:val="28"/>
          <w:lang w:eastAsia="ru-RU"/>
        </w:rPr>
        <w:t xml:space="preserve"> за</w:t>
      </w:r>
      <w:r>
        <w:rPr>
          <w:rFonts w:ascii="Times New Roman" w:hAnsi="Times New Roman"/>
          <w:sz w:val="28"/>
          <w:szCs w:val="28"/>
          <w:lang w:eastAsia="ru-RU"/>
        </w:rPr>
        <w:t> </w:t>
      </w:r>
      <w:r w:rsidRPr="0047565B">
        <w:rPr>
          <w:rFonts w:ascii="Times New Roman" w:hAnsi="Times New Roman"/>
          <w:sz w:val="28"/>
          <w:szCs w:val="28"/>
          <w:lang w:eastAsia="ru-RU"/>
        </w:rPr>
        <w:t xml:space="preserve">пределами </w:t>
      </w:r>
      <w:r>
        <w:rPr>
          <w:rFonts w:ascii="Times New Roman" w:hAnsi="Times New Roman"/>
          <w:sz w:val="28"/>
          <w:szCs w:val="28"/>
          <w:lang w:eastAsia="ru-RU"/>
        </w:rPr>
        <w:t>городской черты</w:t>
      </w:r>
      <w:r w:rsidRPr="0047565B">
        <w:rPr>
          <w:rFonts w:ascii="Times New Roman" w:hAnsi="Times New Roman"/>
          <w:sz w:val="28"/>
          <w:szCs w:val="28"/>
          <w:lang w:eastAsia="ru-RU"/>
        </w:rPr>
        <w:t xml:space="preserve">. Перед выпусками необходимо предусмотреть устройство очистных сооружений. </w:t>
      </w:r>
    </w:p>
    <w:p w:rsidR="002D1E45" w:rsidRDefault="002D1E45" w:rsidP="0047565B">
      <w:pPr>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В соответствии с МНГП г. Куйбышева, объём поверхностного стока может составить до 50 м</w:t>
      </w:r>
      <w:r>
        <w:rPr>
          <w:rFonts w:ascii="Times New Roman" w:hAnsi="Times New Roman"/>
          <w:sz w:val="28"/>
          <w:szCs w:val="28"/>
          <w:vertAlign w:val="superscript"/>
          <w:lang w:eastAsia="ru-RU"/>
        </w:rPr>
        <w:t>3</w:t>
      </w:r>
      <w:r>
        <w:rPr>
          <w:rFonts w:ascii="Times New Roman" w:hAnsi="Times New Roman"/>
          <w:sz w:val="28"/>
          <w:szCs w:val="28"/>
          <w:lang w:eastAsia="ru-RU"/>
        </w:rPr>
        <w:t xml:space="preserve"> с 1 га территории в год. При площади территории в границах населённого пункта </w:t>
      </w:r>
      <w:r w:rsidRPr="007D4C39">
        <w:rPr>
          <w:rFonts w:ascii="Times New Roman" w:hAnsi="Times New Roman"/>
          <w:sz w:val="28"/>
          <w:szCs w:val="28"/>
          <w:lang w:eastAsia="ru-RU"/>
        </w:rPr>
        <w:t>3</w:t>
      </w:r>
      <w:r>
        <w:rPr>
          <w:rFonts w:ascii="Times New Roman" w:hAnsi="Times New Roman"/>
          <w:sz w:val="28"/>
          <w:szCs w:val="28"/>
          <w:lang w:eastAsia="ru-RU"/>
        </w:rPr>
        <w:t> </w:t>
      </w:r>
      <w:r w:rsidRPr="007D4C39">
        <w:rPr>
          <w:rFonts w:ascii="Times New Roman" w:hAnsi="Times New Roman"/>
          <w:sz w:val="28"/>
          <w:szCs w:val="28"/>
          <w:lang w:eastAsia="ru-RU"/>
        </w:rPr>
        <w:t>01</w:t>
      </w:r>
      <w:r>
        <w:rPr>
          <w:rFonts w:ascii="Times New Roman" w:hAnsi="Times New Roman"/>
          <w:sz w:val="28"/>
          <w:szCs w:val="28"/>
          <w:lang w:eastAsia="ru-RU"/>
        </w:rPr>
        <w:t>4 га, объёмы поверхностного стока составят 150,7 тыс. м</w:t>
      </w:r>
      <w:r>
        <w:rPr>
          <w:rFonts w:ascii="Times New Roman" w:hAnsi="Times New Roman"/>
          <w:sz w:val="28"/>
          <w:szCs w:val="28"/>
          <w:vertAlign w:val="superscript"/>
          <w:lang w:eastAsia="ru-RU"/>
        </w:rPr>
        <w:t>3</w:t>
      </w:r>
      <w:r>
        <w:rPr>
          <w:rFonts w:ascii="Times New Roman" w:hAnsi="Times New Roman"/>
          <w:sz w:val="28"/>
          <w:szCs w:val="28"/>
          <w:lang w:eastAsia="ru-RU"/>
        </w:rPr>
        <w:t xml:space="preserve"> в год.</w:t>
      </w:r>
    </w:p>
    <w:p w:rsidR="002D1E45" w:rsidRDefault="002D1E45" w:rsidP="0047565B">
      <w:pPr>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Протяжённость ливневой канализации предусматривается:</w:t>
      </w:r>
    </w:p>
    <w:p w:rsidR="002D1E45"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lang w:eastAsia="ru-RU"/>
        </w:rPr>
      </w:pPr>
      <w:r>
        <w:rPr>
          <w:rFonts w:ascii="Times New Roman" w:hAnsi="Times New Roman"/>
          <w:sz w:val="28"/>
          <w:szCs w:val="28"/>
          <w:lang w:eastAsia="ru-RU"/>
        </w:rPr>
        <w:t>открытая – 70 км;</w:t>
      </w:r>
    </w:p>
    <w:p w:rsidR="002D1E45"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lang w:eastAsia="ru-RU"/>
        </w:rPr>
      </w:pPr>
      <w:r>
        <w:rPr>
          <w:rFonts w:ascii="Times New Roman" w:hAnsi="Times New Roman"/>
          <w:sz w:val="28"/>
          <w:szCs w:val="28"/>
          <w:lang w:eastAsia="ru-RU"/>
        </w:rPr>
        <w:t>закрытая – 25 км.</w:t>
      </w:r>
    </w:p>
    <w:p w:rsidR="002D1E45" w:rsidRPr="0047565B" w:rsidRDefault="002D1E45" w:rsidP="0047565B">
      <w:pPr>
        <w:spacing w:after="0" w:line="240" w:lineRule="auto"/>
        <w:ind w:firstLine="709"/>
        <w:jc w:val="both"/>
        <w:rPr>
          <w:rFonts w:ascii="Times New Roman" w:hAnsi="Times New Roman"/>
          <w:sz w:val="28"/>
          <w:szCs w:val="28"/>
          <w:lang w:eastAsia="ru-RU"/>
        </w:rPr>
      </w:pPr>
      <w:r w:rsidRPr="0047565B">
        <w:rPr>
          <w:rFonts w:ascii="Times New Roman" w:hAnsi="Times New Roman"/>
          <w:sz w:val="28"/>
          <w:szCs w:val="28"/>
          <w:lang w:eastAsia="ru-RU"/>
        </w:rPr>
        <w:t>Технические характеристики системы водоотвода и</w:t>
      </w:r>
      <w:r>
        <w:rPr>
          <w:rFonts w:ascii="Times New Roman" w:hAnsi="Times New Roman"/>
          <w:sz w:val="28"/>
          <w:szCs w:val="28"/>
          <w:lang w:eastAsia="ru-RU"/>
        </w:rPr>
        <w:t> </w:t>
      </w:r>
      <w:r w:rsidRPr="0047565B">
        <w:rPr>
          <w:rFonts w:ascii="Times New Roman" w:hAnsi="Times New Roman"/>
          <w:sz w:val="28"/>
          <w:szCs w:val="28"/>
          <w:lang w:eastAsia="ru-RU"/>
        </w:rPr>
        <w:t>очистных сооружений, а</w:t>
      </w:r>
      <w:r>
        <w:rPr>
          <w:rFonts w:ascii="Times New Roman" w:hAnsi="Times New Roman"/>
          <w:sz w:val="28"/>
          <w:szCs w:val="28"/>
          <w:lang w:eastAsia="ru-RU"/>
        </w:rPr>
        <w:t> </w:t>
      </w:r>
      <w:r w:rsidRPr="0047565B">
        <w:rPr>
          <w:rFonts w:ascii="Times New Roman" w:hAnsi="Times New Roman"/>
          <w:sz w:val="28"/>
          <w:szCs w:val="28"/>
          <w:lang w:eastAsia="ru-RU"/>
        </w:rPr>
        <w:t>также их</w:t>
      </w:r>
      <w:r>
        <w:rPr>
          <w:rFonts w:ascii="Times New Roman" w:hAnsi="Times New Roman"/>
          <w:sz w:val="28"/>
          <w:szCs w:val="28"/>
          <w:lang w:eastAsia="ru-RU"/>
        </w:rPr>
        <w:t> </w:t>
      </w:r>
      <w:r w:rsidRPr="0047565B">
        <w:rPr>
          <w:rFonts w:ascii="Times New Roman" w:hAnsi="Times New Roman"/>
          <w:sz w:val="28"/>
          <w:szCs w:val="28"/>
          <w:lang w:eastAsia="ru-RU"/>
        </w:rPr>
        <w:t>расположение уточняются на</w:t>
      </w:r>
      <w:r>
        <w:rPr>
          <w:rFonts w:ascii="Times New Roman" w:hAnsi="Times New Roman"/>
          <w:sz w:val="28"/>
          <w:szCs w:val="28"/>
          <w:lang w:eastAsia="ru-RU"/>
        </w:rPr>
        <w:t> </w:t>
      </w:r>
      <w:r w:rsidRPr="0047565B">
        <w:rPr>
          <w:rFonts w:ascii="Times New Roman" w:hAnsi="Times New Roman"/>
          <w:sz w:val="28"/>
          <w:szCs w:val="28"/>
          <w:lang w:eastAsia="ru-RU"/>
        </w:rPr>
        <w:t>стадии подготовки рабочей документации после проведения соответствующих инженерно-технических изысканий.</w:t>
      </w:r>
    </w:p>
    <w:p w:rsidR="002D1E45" w:rsidRPr="00C673C5" w:rsidRDefault="002D1E45" w:rsidP="00C673C5">
      <w:pPr>
        <w:spacing w:after="0" w:line="240" w:lineRule="auto"/>
        <w:ind w:firstLine="709"/>
        <w:jc w:val="both"/>
        <w:rPr>
          <w:rFonts w:ascii="Times New Roman" w:hAnsi="Times New Roman"/>
          <w:sz w:val="28"/>
          <w:szCs w:val="28"/>
          <w:lang w:eastAsia="ru-RU"/>
        </w:rPr>
      </w:pPr>
      <w:r w:rsidRPr="00C673C5">
        <w:rPr>
          <w:rFonts w:ascii="Times New Roman" w:hAnsi="Times New Roman"/>
          <w:sz w:val="28"/>
          <w:szCs w:val="28"/>
          <w:lang w:eastAsia="ru-RU"/>
        </w:rPr>
        <w:t>В качестве благоустройства водных акваторий необходимо проводить расчистку водоёмов до глубины не менее 1,5 метра, организовывать рекреационные зоны (пляжи, зоны отдыха).</w:t>
      </w:r>
    </w:p>
    <w:p w:rsidR="002D1E45" w:rsidRDefault="002D1E45" w:rsidP="00C673C5">
      <w:pPr>
        <w:spacing w:after="0" w:line="240" w:lineRule="auto"/>
        <w:ind w:firstLine="709"/>
        <w:jc w:val="both"/>
        <w:rPr>
          <w:rFonts w:ascii="Times New Roman" w:hAnsi="Times New Roman"/>
          <w:sz w:val="28"/>
          <w:szCs w:val="28"/>
          <w:lang w:eastAsia="ru-RU"/>
        </w:rPr>
      </w:pPr>
      <w:r w:rsidRPr="00C673C5">
        <w:rPr>
          <w:rFonts w:ascii="Times New Roman" w:hAnsi="Times New Roman"/>
          <w:sz w:val="28"/>
          <w:szCs w:val="28"/>
          <w:lang w:eastAsia="ru-RU"/>
        </w:rPr>
        <w:t>Во избежание утраты рекреационных и ландшафтообразующих функций водоёмов необходимо осуществление постоянного контроля за их санитарным состоянием, качеством воды, защищать их от природного и антропогенного загрязнения.</w:t>
      </w:r>
    </w:p>
    <w:p w:rsidR="002D1E45" w:rsidRPr="00C673C5" w:rsidRDefault="002D1E45" w:rsidP="00C673C5">
      <w:pPr>
        <w:spacing w:after="0" w:line="240" w:lineRule="auto"/>
        <w:ind w:firstLine="709"/>
        <w:jc w:val="both"/>
        <w:rPr>
          <w:rFonts w:ascii="Times New Roman" w:hAnsi="Times New Roman"/>
          <w:sz w:val="28"/>
          <w:szCs w:val="28"/>
          <w:lang w:eastAsia="ru-RU"/>
        </w:rPr>
      </w:pPr>
      <w:r w:rsidRPr="00C673C5">
        <w:rPr>
          <w:rFonts w:ascii="Times New Roman" w:hAnsi="Times New Roman"/>
          <w:sz w:val="28"/>
          <w:szCs w:val="28"/>
          <w:lang w:eastAsia="ru-RU"/>
        </w:rPr>
        <w:t>Вертикальной планировкой называется исправления рельефа в целях приспособления его для той или иной эксплуатации. Задачей вертикальной планировки является проектирование продольных уклонов осей улиц, обеспечивающих организацию стоков атмосферных вод с выводом их за пределы населённого места (или в ливневую канализацию) и нормальные условия для движения транспорта и пешеходов.</w:t>
      </w:r>
    </w:p>
    <w:p w:rsidR="002D1E45" w:rsidRPr="0047565B" w:rsidRDefault="002D1E45" w:rsidP="00C673C5">
      <w:pPr>
        <w:spacing w:after="0" w:line="240" w:lineRule="auto"/>
        <w:ind w:firstLine="709"/>
        <w:jc w:val="both"/>
        <w:rPr>
          <w:rFonts w:ascii="Times New Roman" w:hAnsi="Times New Roman"/>
          <w:sz w:val="28"/>
          <w:szCs w:val="28"/>
          <w:lang w:eastAsia="ru-RU"/>
        </w:rPr>
      </w:pPr>
      <w:r w:rsidRPr="00C673C5">
        <w:rPr>
          <w:rFonts w:ascii="Times New Roman" w:hAnsi="Times New Roman"/>
          <w:sz w:val="28"/>
          <w:szCs w:val="28"/>
          <w:lang w:eastAsia="ru-RU"/>
        </w:rPr>
        <w:t>Для производства работ по исправлению естественного рельефа генеральным планом предлагается разработать проект вертикальной планировки на территории, отведённые на перспективу для строительства нового и реконструкции существующего жилищного фонда.</w:t>
      </w:r>
    </w:p>
    <w:p w:rsidR="002D1E45" w:rsidRPr="0047565B" w:rsidRDefault="002D1E45" w:rsidP="0047565B">
      <w:pPr>
        <w:spacing w:after="0" w:line="240" w:lineRule="auto"/>
        <w:ind w:firstLine="709"/>
        <w:jc w:val="both"/>
        <w:rPr>
          <w:rFonts w:ascii="Times New Roman" w:hAnsi="Times New Roman"/>
          <w:sz w:val="28"/>
          <w:szCs w:val="28"/>
          <w:lang w:eastAsia="ru-RU"/>
        </w:rPr>
      </w:pPr>
    </w:p>
    <w:p w:rsidR="002D1E45" w:rsidRPr="001F1778" w:rsidRDefault="002D1E45" w:rsidP="00852938">
      <w:pPr>
        <w:pStyle w:val="Heading3"/>
        <w:numPr>
          <w:ilvl w:val="2"/>
          <w:numId w:val="65"/>
        </w:numPr>
        <w:tabs>
          <w:tab w:val="left" w:pos="1418"/>
        </w:tabs>
        <w:spacing w:before="120"/>
        <w:ind w:left="1418" w:hanging="698"/>
        <w:jc w:val="both"/>
        <w:rPr>
          <w:rFonts w:ascii="Times New Roman" w:hAnsi="Times New Roman"/>
          <w:sz w:val="28"/>
        </w:rPr>
      </w:pPr>
      <w:bookmarkStart w:id="326" w:name="_Toc468971955"/>
      <w:bookmarkStart w:id="327" w:name="_Toc475037121"/>
      <w:bookmarkStart w:id="328" w:name="_Toc84936063"/>
      <w:r w:rsidRPr="001F1778">
        <w:rPr>
          <w:rFonts w:ascii="Times New Roman" w:hAnsi="Times New Roman"/>
          <w:sz w:val="28"/>
        </w:rPr>
        <w:t>Водоснабжение</w:t>
      </w:r>
      <w:bookmarkEnd w:id="326"/>
      <w:bookmarkEnd w:id="327"/>
      <w:bookmarkEnd w:id="328"/>
    </w:p>
    <w:p w:rsidR="002D1E45" w:rsidRPr="003A7901" w:rsidRDefault="002D1E45" w:rsidP="003A7901">
      <w:pPr>
        <w:spacing w:after="0" w:line="240" w:lineRule="auto"/>
        <w:rPr>
          <w:rFonts w:ascii="Times New Roman" w:hAnsi="Times New Roman"/>
          <w:sz w:val="16"/>
          <w:szCs w:val="16"/>
          <w:lang w:eastAsia="ru-RU"/>
        </w:rPr>
      </w:pPr>
    </w:p>
    <w:p w:rsidR="002D1E45" w:rsidRDefault="002D1E45" w:rsidP="003A7901">
      <w:pPr>
        <w:spacing w:after="0" w:line="240" w:lineRule="auto"/>
        <w:ind w:firstLine="709"/>
        <w:jc w:val="both"/>
        <w:rPr>
          <w:rFonts w:ascii="Times New Roman" w:hAnsi="Times New Roman"/>
          <w:sz w:val="28"/>
          <w:szCs w:val="28"/>
          <w:lang w:eastAsia="ru-RU"/>
        </w:rPr>
      </w:pPr>
      <w:r w:rsidRPr="003A7901">
        <w:rPr>
          <w:rFonts w:ascii="Times New Roman" w:hAnsi="Times New Roman"/>
          <w:sz w:val="28"/>
          <w:szCs w:val="28"/>
          <w:lang w:eastAsia="ru-RU"/>
        </w:rPr>
        <w:t>В соответствии со</w:t>
      </w:r>
      <w:r>
        <w:rPr>
          <w:rFonts w:ascii="Times New Roman" w:hAnsi="Times New Roman"/>
          <w:sz w:val="28"/>
          <w:szCs w:val="28"/>
          <w:lang w:eastAsia="ru-RU"/>
        </w:rPr>
        <w:t> </w:t>
      </w:r>
      <w:r w:rsidRPr="003A7901">
        <w:rPr>
          <w:rFonts w:ascii="Times New Roman" w:hAnsi="Times New Roman"/>
          <w:sz w:val="28"/>
          <w:szCs w:val="28"/>
          <w:lang w:eastAsia="ru-RU"/>
        </w:rPr>
        <w:t xml:space="preserve">статьёй 10 главы 3 Федерального закона от </w:t>
      </w:r>
      <w:r>
        <w:rPr>
          <w:rFonts w:ascii="Times New Roman" w:hAnsi="Times New Roman"/>
          <w:sz w:val="28"/>
          <w:szCs w:val="28"/>
          <w:lang w:eastAsia="ru-RU"/>
        </w:rPr>
        <w:t>0</w:t>
      </w:r>
      <w:r w:rsidRPr="003A7901">
        <w:rPr>
          <w:rFonts w:ascii="Times New Roman" w:hAnsi="Times New Roman"/>
          <w:sz w:val="28"/>
          <w:szCs w:val="28"/>
          <w:lang w:eastAsia="ru-RU"/>
        </w:rPr>
        <w:t>7.12.2011 № 416</w:t>
      </w:r>
      <w:r w:rsidRPr="003A7901">
        <w:rPr>
          <w:rFonts w:ascii="Times New Roman" w:hAnsi="Times New Roman"/>
          <w:sz w:val="28"/>
          <w:szCs w:val="28"/>
          <w:lang w:eastAsia="ru-RU"/>
        </w:rPr>
        <w:noBreakHyphen/>
        <w:t>ФЗ «О водоснабжении и</w:t>
      </w:r>
      <w:r>
        <w:rPr>
          <w:rFonts w:ascii="Times New Roman" w:hAnsi="Times New Roman"/>
          <w:sz w:val="28"/>
          <w:szCs w:val="28"/>
          <w:lang w:eastAsia="ru-RU"/>
        </w:rPr>
        <w:t> </w:t>
      </w:r>
      <w:r w:rsidRPr="003A7901">
        <w:rPr>
          <w:rFonts w:ascii="Times New Roman" w:hAnsi="Times New Roman"/>
          <w:sz w:val="28"/>
          <w:szCs w:val="28"/>
          <w:lang w:eastAsia="ru-RU"/>
        </w:rPr>
        <w:t>водоотведении» собственники и</w:t>
      </w:r>
      <w:r>
        <w:rPr>
          <w:rFonts w:ascii="Times New Roman" w:hAnsi="Times New Roman"/>
          <w:sz w:val="28"/>
          <w:szCs w:val="28"/>
          <w:lang w:eastAsia="ru-RU"/>
        </w:rPr>
        <w:t> </w:t>
      </w:r>
      <w:r w:rsidRPr="003A7901">
        <w:rPr>
          <w:rFonts w:ascii="Times New Roman" w:hAnsi="Times New Roman"/>
          <w:sz w:val="28"/>
          <w:szCs w:val="28"/>
          <w:lang w:eastAsia="ru-RU"/>
        </w:rPr>
        <w:t>иные законные владельцы централизованных систем холодного водоснабжения и</w:t>
      </w:r>
      <w:r>
        <w:rPr>
          <w:rFonts w:ascii="Times New Roman" w:hAnsi="Times New Roman"/>
          <w:sz w:val="28"/>
          <w:szCs w:val="28"/>
          <w:lang w:eastAsia="ru-RU"/>
        </w:rPr>
        <w:t> </w:t>
      </w:r>
      <w:r w:rsidRPr="003A7901">
        <w:rPr>
          <w:rFonts w:ascii="Times New Roman" w:hAnsi="Times New Roman"/>
          <w:sz w:val="28"/>
          <w:szCs w:val="28"/>
          <w:lang w:eastAsia="ru-RU"/>
        </w:rPr>
        <w:t>их</w:t>
      </w:r>
      <w:r>
        <w:rPr>
          <w:rFonts w:ascii="Times New Roman" w:hAnsi="Times New Roman"/>
          <w:sz w:val="28"/>
          <w:szCs w:val="28"/>
          <w:lang w:eastAsia="ru-RU"/>
        </w:rPr>
        <w:t> </w:t>
      </w:r>
      <w:r w:rsidRPr="003A7901">
        <w:rPr>
          <w:rFonts w:ascii="Times New Roman" w:hAnsi="Times New Roman"/>
          <w:sz w:val="28"/>
          <w:szCs w:val="28"/>
          <w:lang w:eastAsia="ru-RU"/>
        </w:rPr>
        <w:t>отдельных объектов, организации, осуществляющие холодное водоснабжение, принимают меры по</w:t>
      </w:r>
      <w:r>
        <w:rPr>
          <w:rFonts w:ascii="Times New Roman" w:hAnsi="Times New Roman"/>
          <w:sz w:val="28"/>
          <w:szCs w:val="28"/>
          <w:lang w:eastAsia="ru-RU"/>
        </w:rPr>
        <w:t> </w:t>
      </w:r>
      <w:r w:rsidRPr="003A7901">
        <w:rPr>
          <w:rFonts w:ascii="Times New Roman" w:hAnsi="Times New Roman"/>
          <w:sz w:val="28"/>
          <w:szCs w:val="28"/>
          <w:lang w:eastAsia="ru-RU"/>
        </w:rPr>
        <w:t>обеспечению безопасности таких систем и</w:t>
      </w:r>
      <w:r>
        <w:rPr>
          <w:rFonts w:ascii="Times New Roman" w:hAnsi="Times New Roman"/>
          <w:sz w:val="28"/>
          <w:szCs w:val="28"/>
          <w:lang w:eastAsia="ru-RU"/>
        </w:rPr>
        <w:t> </w:t>
      </w:r>
      <w:r w:rsidRPr="003A7901">
        <w:rPr>
          <w:rFonts w:ascii="Times New Roman" w:hAnsi="Times New Roman"/>
          <w:sz w:val="28"/>
          <w:szCs w:val="28"/>
          <w:lang w:eastAsia="ru-RU"/>
        </w:rPr>
        <w:t>их</w:t>
      </w:r>
      <w:r>
        <w:rPr>
          <w:rFonts w:ascii="Times New Roman" w:hAnsi="Times New Roman"/>
          <w:sz w:val="28"/>
          <w:szCs w:val="28"/>
          <w:lang w:eastAsia="ru-RU"/>
        </w:rPr>
        <w:t> </w:t>
      </w:r>
      <w:r w:rsidRPr="003A7901">
        <w:rPr>
          <w:rFonts w:ascii="Times New Roman" w:hAnsi="Times New Roman"/>
          <w:sz w:val="28"/>
          <w:szCs w:val="28"/>
          <w:lang w:eastAsia="ru-RU"/>
        </w:rPr>
        <w:t>отдельных объектов, направленные на</w:t>
      </w:r>
      <w:r>
        <w:rPr>
          <w:rFonts w:ascii="Times New Roman" w:hAnsi="Times New Roman"/>
          <w:sz w:val="28"/>
          <w:szCs w:val="28"/>
          <w:lang w:eastAsia="ru-RU"/>
        </w:rPr>
        <w:t> </w:t>
      </w:r>
      <w:r w:rsidRPr="003A7901">
        <w:rPr>
          <w:rFonts w:ascii="Times New Roman" w:hAnsi="Times New Roman"/>
          <w:sz w:val="28"/>
          <w:szCs w:val="28"/>
          <w:lang w:eastAsia="ru-RU"/>
        </w:rPr>
        <w:t>предотвращение возникновения аварийных ситуаций, снижение риска и</w:t>
      </w:r>
      <w:r>
        <w:rPr>
          <w:rFonts w:ascii="Times New Roman" w:hAnsi="Times New Roman"/>
          <w:sz w:val="28"/>
          <w:szCs w:val="28"/>
          <w:lang w:eastAsia="ru-RU"/>
        </w:rPr>
        <w:t> </w:t>
      </w:r>
      <w:r w:rsidRPr="003A7901">
        <w:rPr>
          <w:rFonts w:ascii="Times New Roman" w:hAnsi="Times New Roman"/>
          <w:sz w:val="28"/>
          <w:szCs w:val="28"/>
          <w:lang w:eastAsia="ru-RU"/>
        </w:rPr>
        <w:t xml:space="preserve">смягчение последствий чрезвычайных ситуаций. </w:t>
      </w:r>
    </w:p>
    <w:p w:rsidR="002D1E45" w:rsidRPr="00AE6F8E" w:rsidRDefault="002D1E45" w:rsidP="00AE6F8E">
      <w:pPr>
        <w:spacing w:after="0" w:line="240" w:lineRule="auto"/>
        <w:ind w:firstLine="709"/>
        <w:jc w:val="both"/>
        <w:rPr>
          <w:rFonts w:ascii="Times New Roman" w:hAnsi="Times New Roman"/>
          <w:sz w:val="28"/>
          <w:szCs w:val="28"/>
          <w:lang w:eastAsia="ru-RU"/>
        </w:rPr>
      </w:pPr>
      <w:r w:rsidRPr="00AE6F8E">
        <w:rPr>
          <w:rFonts w:ascii="Times New Roman" w:hAnsi="Times New Roman"/>
          <w:sz w:val="28"/>
          <w:szCs w:val="28"/>
          <w:lang w:eastAsia="ru-RU"/>
        </w:rPr>
        <w:t>Система водоснабжения</w:t>
      </w:r>
      <w:r>
        <w:rPr>
          <w:rFonts w:ascii="Times New Roman" w:hAnsi="Times New Roman"/>
          <w:sz w:val="28"/>
          <w:szCs w:val="28"/>
          <w:lang w:eastAsia="ru-RU"/>
        </w:rPr>
        <w:t xml:space="preserve"> поселения</w:t>
      </w:r>
      <w:r w:rsidRPr="00E126D5">
        <w:rPr>
          <w:rFonts w:ascii="Times New Roman" w:hAnsi="Times New Roman"/>
          <w:iCs/>
          <w:sz w:val="28"/>
          <w:szCs w:val="28"/>
          <w:lang w:eastAsia="ru-RU"/>
        </w:rPr>
        <w:t xml:space="preserve"> </w:t>
      </w:r>
      <w:r w:rsidRPr="00AE6F8E">
        <w:rPr>
          <w:rFonts w:ascii="Times New Roman" w:hAnsi="Times New Roman"/>
          <w:sz w:val="28"/>
          <w:szCs w:val="28"/>
          <w:lang w:eastAsia="ru-RU"/>
        </w:rPr>
        <w:t>предусматривается с</w:t>
      </w:r>
      <w:r>
        <w:rPr>
          <w:rFonts w:ascii="Times New Roman" w:hAnsi="Times New Roman"/>
          <w:sz w:val="28"/>
          <w:szCs w:val="28"/>
          <w:lang w:eastAsia="ru-RU"/>
        </w:rPr>
        <w:t> </w:t>
      </w:r>
      <w:r w:rsidRPr="00AE6F8E">
        <w:rPr>
          <w:rFonts w:ascii="Times New Roman" w:hAnsi="Times New Roman"/>
          <w:sz w:val="28"/>
          <w:szCs w:val="28"/>
          <w:lang w:eastAsia="ru-RU"/>
        </w:rPr>
        <w:t>учётом развития на</w:t>
      </w:r>
      <w:r>
        <w:rPr>
          <w:rFonts w:ascii="Times New Roman" w:hAnsi="Times New Roman"/>
          <w:sz w:val="28"/>
          <w:szCs w:val="28"/>
          <w:lang w:eastAsia="ru-RU"/>
        </w:rPr>
        <w:t> </w:t>
      </w:r>
      <w:r w:rsidRPr="00AE6F8E">
        <w:rPr>
          <w:rFonts w:ascii="Times New Roman" w:hAnsi="Times New Roman"/>
          <w:sz w:val="28"/>
          <w:szCs w:val="28"/>
          <w:lang w:eastAsia="ru-RU"/>
        </w:rPr>
        <w:t>расчётный срок (</w:t>
      </w:r>
      <w:r>
        <w:rPr>
          <w:rFonts w:ascii="Times New Roman" w:hAnsi="Times New Roman"/>
          <w:sz w:val="28"/>
          <w:szCs w:val="28"/>
          <w:lang w:eastAsia="ru-RU"/>
        </w:rPr>
        <w:t>2040</w:t>
      </w:r>
      <w:r w:rsidRPr="00AE6F8E">
        <w:rPr>
          <w:rFonts w:ascii="Times New Roman" w:hAnsi="Times New Roman"/>
          <w:sz w:val="28"/>
          <w:szCs w:val="28"/>
          <w:lang w:eastAsia="ru-RU"/>
        </w:rPr>
        <w:t xml:space="preserve"> год). Охват населения централизованной услугой водоснабжения предлагается </w:t>
      </w:r>
      <w:r>
        <w:rPr>
          <w:rFonts w:ascii="Times New Roman" w:hAnsi="Times New Roman"/>
          <w:sz w:val="28"/>
          <w:szCs w:val="28"/>
          <w:lang w:eastAsia="ru-RU"/>
        </w:rPr>
        <w:t>установить</w:t>
      </w:r>
      <w:r w:rsidRPr="00AE6F8E">
        <w:rPr>
          <w:rFonts w:ascii="Times New Roman" w:hAnsi="Times New Roman"/>
          <w:sz w:val="28"/>
          <w:szCs w:val="28"/>
          <w:lang w:eastAsia="ru-RU"/>
        </w:rPr>
        <w:t xml:space="preserve"> на</w:t>
      </w:r>
      <w:r>
        <w:rPr>
          <w:rFonts w:ascii="Times New Roman" w:hAnsi="Times New Roman"/>
          <w:sz w:val="28"/>
          <w:szCs w:val="28"/>
          <w:lang w:eastAsia="ru-RU"/>
        </w:rPr>
        <w:t> </w:t>
      </w:r>
      <w:r w:rsidRPr="00AE6F8E">
        <w:rPr>
          <w:rFonts w:ascii="Times New Roman" w:hAnsi="Times New Roman"/>
          <w:sz w:val="28"/>
          <w:szCs w:val="28"/>
          <w:lang w:eastAsia="ru-RU"/>
        </w:rPr>
        <w:t>уровне 100 %.</w:t>
      </w:r>
    </w:p>
    <w:p w:rsidR="002D1E45" w:rsidRPr="00405393" w:rsidRDefault="002D1E45" w:rsidP="00405393">
      <w:pPr>
        <w:spacing w:after="0" w:line="240" w:lineRule="auto"/>
        <w:ind w:firstLine="709"/>
        <w:jc w:val="both"/>
        <w:rPr>
          <w:rFonts w:ascii="Times New Roman" w:hAnsi="Times New Roman"/>
          <w:i/>
          <w:sz w:val="28"/>
          <w:szCs w:val="28"/>
        </w:rPr>
      </w:pPr>
      <w:r w:rsidRPr="00405393">
        <w:rPr>
          <w:rFonts w:ascii="Times New Roman" w:hAnsi="Times New Roman"/>
          <w:sz w:val="28"/>
          <w:szCs w:val="28"/>
        </w:rPr>
        <w:t>Для улучшения условий водоснабжения в</w:t>
      </w:r>
      <w:r>
        <w:rPr>
          <w:rFonts w:ascii="Times New Roman" w:hAnsi="Times New Roman"/>
          <w:sz w:val="28"/>
          <w:szCs w:val="28"/>
        </w:rPr>
        <w:t> </w:t>
      </w:r>
      <w:r w:rsidRPr="00405393">
        <w:rPr>
          <w:rFonts w:ascii="Times New Roman" w:hAnsi="Times New Roman"/>
          <w:sz w:val="28"/>
          <w:szCs w:val="28"/>
        </w:rPr>
        <w:t>населённых пунктах необходимы первоочередные мероприятия по</w:t>
      </w:r>
      <w:r>
        <w:rPr>
          <w:rFonts w:ascii="Times New Roman" w:hAnsi="Times New Roman"/>
          <w:sz w:val="28"/>
          <w:szCs w:val="28"/>
        </w:rPr>
        <w:t> </w:t>
      </w:r>
      <w:r w:rsidRPr="00405393">
        <w:rPr>
          <w:rFonts w:ascii="Times New Roman" w:hAnsi="Times New Roman"/>
          <w:sz w:val="28"/>
          <w:szCs w:val="28"/>
        </w:rPr>
        <w:t>строительству очистных сооружений, обеспечивающих водоподготовку и</w:t>
      </w:r>
      <w:r>
        <w:rPr>
          <w:rFonts w:ascii="Times New Roman" w:hAnsi="Times New Roman"/>
          <w:sz w:val="28"/>
          <w:szCs w:val="28"/>
        </w:rPr>
        <w:t> </w:t>
      </w:r>
      <w:r w:rsidRPr="00405393">
        <w:rPr>
          <w:rFonts w:ascii="Times New Roman" w:hAnsi="Times New Roman"/>
          <w:sz w:val="28"/>
          <w:szCs w:val="28"/>
        </w:rPr>
        <w:t>обеззараживание воды. Обязательно установление зон санитарной охраны в</w:t>
      </w:r>
      <w:r>
        <w:rPr>
          <w:rFonts w:ascii="Times New Roman" w:hAnsi="Times New Roman"/>
          <w:sz w:val="28"/>
          <w:szCs w:val="28"/>
        </w:rPr>
        <w:t> </w:t>
      </w:r>
      <w:r w:rsidRPr="00405393">
        <w:rPr>
          <w:rFonts w:ascii="Times New Roman" w:hAnsi="Times New Roman"/>
          <w:sz w:val="28"/>
          <w:szCs w:val="28"/>
        </w:rPr>
        <w:t>составе трёх поясов.</w:t>
      </w:r>
    </w:p>
    <w:p w:rsidR="002D1E45" w:rsidRPr="00405393" w:rsidRDefault="002D1E45" w:rsidP="00405393">
      <w:pPr>
        <w:spacing w:after="0" w:line="240" w:lineRule="auto"/>
        <w:ind w:firstLine="709"/>
        <w:jc w:val="both"/>
        <w:rPr>
          <w:rFonts w:ascii="Times New Roman" w:hAnsi="Times New Roman"/>
          <w:sz w:val="28"/>
          <w:szCs w:val="28"/>
        </w:rPr>
      </w:pPr>
      <w:r w:rsidRPr="00405393">
        <w:rPr>
          <w:rFonts w:ascii="Times New Roman" w:hAnsi="Times New Roman"/>
          <w:sz w:val="28"/>
          <w:szCs w:val="28"/>
        </w:rPr>
        <w:t>Потребности в</w:t>
      </w:r>
      <w:r>
        <w:rPr>
          <w:rFonts w:ascii="Times New Roman" w:hAnsi="Times New Roman"/>
          <w:sz w:val="28"/>
          <w:szCs w:val="28"/>
        </w:rPr>
        <w:t> </w:t>
      </w:r>
      <w:r w:rsidRPr="00405393">
        <w:rPr>
          <w:rFonts w:ascii="Times New Roman" w:hAnsi="Times New Roman"/>
          <w:sz w:val="28"/>
          <w:szCs w:val="28"/>
        </w:rPr>
        <w:t xml:space="preserve">воде питьевого качества </w:t>
      </w:r>
      <w:r>
        <w:rPr>
          <w:rFonts w:ascii="Times New Roman" w:hAnsi="Times New Roman"/>
          <w:sz w:val="28"/>
          <w:szCs w:val="28"/>
        </w:rPr>
        <w:t xml:space="preserve">городу </w:t>
      </w:r>
      <w:r w:rsidRPr="00405393">
        <w:rPr>
          <w:rFonts w:ascii="Times New Roman" w:hAnsi="Times New Roman"/>
          <w:sz w:val="28"/>
          <w:szCs w:val="28"/>
        </w:rPr>
        <w:t>определены в</w:t>
      </w:r>
      <w:r>
        <w:rPr>
          <w:rFonts w:ascii="Times New Roman" w:hAnsi="Times New Roman"/>
          <w:sz w:val="28"/>
          <w:szCs w:val="28"/>
        </w:rPr>
        <w:t> </w:t>
      </w:r>
      <w:r w:rsidRPr="00405393">
        <w:rPr>
          <w:rFonts w:ascii="Times New Roman" w:hAnsi="Times New Roman"/>
          <w:sz w:val="28"/>
          <w:szCs w:val="28"/>
        </w:rPr>
        <w:t>соответствии с</w:t>
      </w:r>
      <w:r>
        <w:rPr>
          <w:rFonts w:ascii="Times New Roman" w:hAnsi="Times New Roman"/>
          <w:sz w:val="28"/>
          <w:szCs w:val="28"/>
        </w:rPr>
        <w:t> </w:t>
      </w:r>
      <w:r w:rsidRPr="00405393">
        <w:rPr>
          <w:rFonts w:ascii="Times New Roman" w:hAnsi="Times New Roman"/>
          <w:sz w:val="28"/>
          <w:szCs w:val="28"/>
        </w:rPr>
        <w:t>нормативными документами. Норма водопотребления на</w:t>
      </w:r>
      <w:r>
        <w:rPr>
          <w:rFonts w:ascii="Times New Roman" w:hAnsi="Times New Roman"/>
          <w:sz w:val="28"/>
          <w:szCs w:val="28"/>
        </w:rPr>
        <w:t> </w:t>
      </w:r>
      <w:r w:rsidRPr="00405393">
        <w:rPr>
          <w:rFonts w:ascii="Times New Roman" w:hAnsi="Times New Roman"/>
          <w:sz w:val="28"/>
          <w:szCs w:val="28"/>
        </w:rPr>
        <w:t xml:space="preserve">одного жителя принята </w:t>
      </w:r>
      <w:r>
        <w:rPr>
          <w:rFonts w:ascii="Times New Roman" w:hAnsi="Times New Roman"/>
          <w:sz w:val="28"/>
          <w:szCs w:val="28"/>
        </w:rPr>
        <w:t xml:space="preserve">средневзвешенная – 204 </w:t>
      </w:r>
      <w:r w:rsidRPr="00405393">
        <w:rPr>
          <w:rFonts w:ascii="Times New Roman" w:hAnsi="Times New Roman"/>
          <w:sz w:val="28"/>
          <w:szCs w:val="28"/>
        </w:rPr>
        <w:t xml:space="preserve">л/сут. </w:t>
      </w:r>
      <w:r>
        <w:rPr>
          <w:rFonts w:ascii="Times New Roman" w:hAnsi="Times New Roman"/>
          <w:sz w:val="28"/>
          <w:szCs w:val="28"/>
        </w:rPr>
        <w:t>в соответствии с </w:t>
      </w:r>
      <w:r w:rsidRPr="00405393">
        <w:rPr>
          <w:rFonts w:ascii="Times New Roman" w:hAnsi="Times New Roman"/>
          <w:sz w:val="28"/>
          <w:szCs w:val="28"/>
        </w:rPr>
        <w:t>Местны</w:t>
      </w:r>
      <w:r>
        <w:rPr>
          <w:rFonts w:ascii="Times New Roman" w:hAnsi="Times New Roman"/>
          <w:sz w:val="28"/>
          <w:szCs w:val="28"/>
        </w:rPr>
        <w:t>ми</w:t>
      </w:r>
      <w:r w:rsidRPr="00405393">
        <w:rPr>
          <w:rFonts w:ascii="Times New Roman" w:hAnsi="Times New Roman"/>
          <w:sz w:val="28"/>
          <w:szCs w:val="28"/>
        </w:rPr>
        <w:t xml:space="preserve"> норматив</w:t>
      </w:r>
      <w:r>
        <w:rPr>
          <w:rFonts w:ascii="Times New Roman" w:hAnsi="Times New Roman"/>
          <w:sz w:val="28"/>
          <w:szCs w:val="28"/>
        </w:rPr>
        <w:t xml:space="preserve">ами </w:t>
      </w:r>
      <w:r w:rsidRPr="00405393">
        <w:rPr>
          <w:rFonts w:ascii="Times New Roman" w:hAnsi="Times New Roman"/>
          <w:sz w:val="28"/>
          <w:szCs w:val="28"/>
        </w:rPr>
        <w:t xml:space="preserve">градостроительного проектирования </w:t>
      </w:r>
      <w:r>
        <w:rPr>
          <w:rFonts w:ascii="Times New Roman" w:hAnsi="Times New Roman"/>
          <w:sz w:val="28"/>
          <w:szCs w:val="28"/>
        </w:rPr>
        <w:t>г. Куйбышева (160 л/сут. для неблагоустроенного жилья, 220 л/сут. – для благоустроенного</w:t>
      </w:r>
      <w:r w:rsidRPr="00405393">
        <w:rPr>
          <w:rFonts w:ascii="Times New Roman" w:hAnsi="Times New Roman"/>
          <w:sz w:val="28"/>
          <w:szCs w:val="28"/>
        </w:rPr>
        <w:t>. Полив приусадебных участков – 0,06 м</w:t>
      </w:r>
      <w:r w:rsidRPr="00405393">
        <w:rPr>
          <w:rFonts w:ascii="Times New Roman" w:hAnsi="Times New Roman"/>
          <w:sz w:val="28"/>
          <w:szCs w:val="28"/>
          <w:vertAlign w:val="superscript"/>
        </w:rPr>
        <w:t>3</w:t>
      </w:r>
      <w:r w:rsidRPr="00405393">
        <w:rPr>
          <w:rFonts w:ascii="Times New Roman" w:hAnsi="Times New Roman"/>
          <w:sz w:val="28"/>
          <w:szCs w:val="28"/>
        </w:rPr>
        <w:t>/сут. на</w:t>
      </w:r>
      <w:r>
        <w:rPr>
          <w:rFonts w:ascii="Times New Roman" w:hAnsi="Times New Roman"/>
          <w:sz w:val="28"/>
          <w:szCs w:val="28"/>
        </w:rPr>
        <w:t> </w:t>
      </w:r>
      <w:r w:rsidRPr="00405393">
        <w:rPr>
          <w:rFonts w:ascii="Times New Roman" w:hAnsi="Times New Roman"/>
          <w:sz w:val="28"/>
          <w:szCs w:val="28"/>
        </w:rPr>
        <w:t>человека (СП 31.13330.2012).</w:t>
      </w:r>
    </w:p>
    <w:p w:rsidR="002D1E45" w:rsidRDefault="002D1E45" w:rsidP="00405393">
      <w:pPr>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При расчётах прогнозного потребления воды в </w:t>
      </w:r>
      <w:r>
        <w:rPr>
          <w:rFonts w:ascii="Times New Roman" w:hAnsi="Times New Roman"/>
          <w:sz w:val="28"/>
          <w:szCs w:val="28"/>
        </w:rPr>
        <w:t>анализируемых населённых пунктах</w:t>
      </w:r>
      <w:r>
        <w:rPr>
          <w:rFonts w:ascii="Times New Roman" w:hAnsi="Times New Roman"/>
          <w:sz w:val="28"/>
          <w:szCs w:val="28"/>
          <w:lang w:eastAsia="ru-RU"/>
        </w:rPr>
        <w:t xml:space="preserve"> приняты нормативы по СП 31.13330.2012 «Водоснабжение. Наружные сети и сооружения». Неучтённые расходы на расчётный срок приняты на уровне 10 %. </w:t>
      </w:r>
      <w:r w:rsidRPr="004D21E0">
        <w:rPr>
          <w:rFonts w:ascii="Times New Roman" w:hAnsi="Times New Roman"/>
          <w:sz w:val="28"/>
          <w:szCs w:val="28"/>
          <w:lang w:eastAsia="ru-RU"/>
        </w:rPr>
        <w:t xml:space="preserve">Коэффициент суточной неравномерности водопотребления </w:t>
      </w:r>
      <w:r>
        <w:rPr>
          <w:rFonts w:ascii="Times New Roman" w:hAnsi="Times New Roman"/>
          <w:sz w:val="28"/>
          <w:szCs w:val="28"/>
          <w:lang w:eastAsia="ru-RU"/>
        </w:rPr>
        <w:t xml:space="preserve">принят на уровне 1,2. Коэффициент, учитывающий степень благоустройства зданий, режим работы предприятий и другие местные условия принят на уровне 1,3. Коэффициент, учитывающий число жителей в населённом пункте, принимается по таблице 2 п. 5.2 СП 31.13330.2012. </w:t>
      </w:r>
    </w:p>
    <w:p w:rsidR="002D1E45" w:rsidRPr="00405393" w:rsidRDefault="002D1E45" w:rsidP="00405393">
      <w:pPr>
        <w:spacing w:after="0" w:line="240" w:lineRule="auto"/>
        <w:ind w:firstLine="709"/>
        <w:jc w:val="both"/>
        <w:rPr>
          <w:rFonts w:ascii="Times New Roman" w:hAnsi="Times New Roman"/>
          <w:sz w:val="28"/>
          <w:szCs w:val="28"/>
        </w:rPr>
      </w:pPr>
      <w:r w:rsidRPr="00405393">
        <w:rPr>
          <w:rFonts w:ascii="Times New Roman" w:hAnsi="Times New Roman"/>
          <w:sz w:val="28"/>
          <w:szCs w:val="28"/>
        </w:rPr>
        <w:t>Проектная потребность в</w:t>
      </w:r>
      <w:r>
        <w:rPr>
          <w:rFonts w:ascii="Times New Roman" w:hAnsi="Times New Roman"/>
          <w:sz w:val="28"/>
          <w:szCs w:val="28"/>
        </w:rPr>
        <w:t> </w:t>
      </w:r>
      <w:r w:rsidRPr="00405393">
        <w:rPr>
          <w:rFonts w:ascii="Times New Roman" w:hAnsi="Times New Roman"/>
          <w:sz w:val="28"/>
          <w:szCs w:val="28"/>
        </w:rPr>
        <w:t>воде по</w:t>
      </w:r>
      <w:r>
        <w:rPr>
          <w:rFonts w:ascii="Times New Roman" w:hAnsi="Times New Roman"/>
          <w:sz w:val="28"/>
          <w:szCs w:val="28"/>
        </w:rPr>
        <w:t> городу</w:t>
      </w:r>
      <w:r w:rsidRPr="00405393">
        <w:rPr>
          <w:rFonts w:ascii="Times New Roman" w:hAnsi="Times New Roman"/>
          <w:sz w:val="28"/>
          <w:szCs w:val="28"/>
        </w:rPr>
        <w:t xml:space="preserve"> на</w:t>
      </w:r>
      <w:r>
        <w:rPr>
          <w:rFonts w:ascii="Times New Roman" w:hAnsi="Times New Roman"/>
          <w:sz w:val="28"/>
          <w:szCs w:val="28"/>
        </w:rPr>
        <w:t> </w:t>
      </w:r>
      <w:r w:rsidRPr="00405393">
        <w:rPr>
          <w:rFonts w:ascii="Times New Roman" w:hAnsi="Times New Roman"/>
          <w:sz w:val="28"/>
          <w:szCs w:val="28"/>
        </w:rPr>
        <w:t xml:space="preserve">расчётный срок </w:t>
      </w:r>
      <w:r>
        <w:rPr>
          <w:rFonts w:ascii="Times New Roman" w:hAnsi="Times New Roman"/>
          <w:sz w:val="28"/>
          <w:szCs w:val="28"/>
        </w:rPr>
        <w:t>составит 12,7 тыс.</w:t>
      </w:r>
      <w:r w:rsidRPr="00405393">
        <w:rPr>
          <w:rFonts w:ascii="Times New Roman" w:hAnsi="Times New Roman"/>
          <w:sz w:val="28"/>
          <w:szCs w:val="28"/>
        </w:rPr>
        <w:t> м</w:t>
      </w:r>
      <w:r w:rsidRPr="00405393">
        <w:rPr>
          <w:rFonts w:ascii="Times New Roman" w:hAnsi="Times New Roman"/>
          <w:sz w:val="28"/>
          <w:szCs w:val="28"/>
          <w:vertAlign w:val="superscript"/>
        </w:rPr>
        <w:t>3</w:t>
      </w:r>
      <w:r w:rsidRPr="00405393">
        <w:rPr>
          <w:rFonts w:ascii="Times New Roman" w:hAnsi="Times New Roman"/>
          <w:sz w:val="28"/>
          <w:szCs w:val="28"/>
        </w:rPr>
        <w:t>/сут. (</w:t>
      </w:r>
      <w:r>
        <w:rPr>
          <w:rFonts w:ascii="Times New Roman" w:hAnsi="Times New Roman"/>
          <w:sz w:val="28"/>
          <w:szCs w:val="28"/>
        </w:rPr>
        <w:t xml:space="preserve">суточный максимум, </w:t>
      </w:r>
      <w:r w:rsidRPr="00405393">
        <w:rPr>
          <w:rFonts w:ascii="Times New Roman" w:hAnsi="Times New Roman"/>
          <w:sz w:val="28"/>
          <w:szCs w:val="28"/>
        </w:rPr>
        <w:t>в</w:t>
      </w:r>
      <w:r>
        <w:rPr>
          <w:rFonts w:ascii="Times New Roman" w:hAnsi="Times New Roman"/>
          <w:sz w:val="28"/>
          <w:szCs w:val="28"/>
        </w:rPr>
        <w:t> </w:t>
      </w:r>
      <w:r w:rsidRPr="00405393">
        <w:rPr>
          <w:rFonts w:ascii="Times New Roman" w:hAnsi="Times New Roman"/>
          <w:sz w:val="28"/>
          <w:szCs w:val="28"/>
        </w:rPr>
        <w:t>т.ч. на</w:t>
      </w:r>
      <w:r>
        <w:rPr>
          <w:rFonts w:ascii="Times New Roman" w:hAnsi="Times New Roman"/>
          <w:sz w:val="28"/>
          <w:szCs w:val="28"/>
        </w:rPr>
        <w:t> полив</w:t>
      </w:r>
      <w:r w:rsidRPr="00405393">
        <w:rPr>
          <w:rFonts w:ascii="Times New Roman" w:hAnsi="Times New Roman"/>
          <w:sz w:val="28"/>
          <w:szCs w:val="28"/>
        </w:rPr>
        <w:t xml:space="preserve"> </w:t>
      </w:r>
      <w:r>
        <w:rPr>
          <w:rFonts w:ascii="Times New Roman" w:hAnsi="Times New Roman"/>
          <w:sz w:val="28"/>
          <w:szCs w:val="28"/>
        </w:rPr>
        <w:t>285</w:t>
      </w:r>
      <w:r w:rsidRPr="00405393">
        <w:rPr>
          <w:rFonts w:ascii="Times New Roman" w:hAnsi="Times New Roman"/>
          <w:sz w:val="28"/>
          <w:szCs w:val="28"/>
        </w:rPr>
        <w:t> м</w:t>
      </w:r>
      <w:r w:rsidRPr="00405393">
        <w:rPr>
          <w:rFonts w:ascii="Times New Roman" w:hAnsi="Times New Roman"/>
          <w:sz w:val="28"/>
          <w:szCs w:val="28"/>
          <w:vertAlign w:val="superscript"/>
        </w:rPr>
        <w:t>3</w:t>
      </w:r>
      <w:r w:rsidRPr="00405393">
        <w:rPr>
          <w:rFonts w:ascii="Times New Roman" w:hAnsi="Times New Roman"/>
          <w:sz w:val="28"/>
          <w:szCs w:val="28"/>
        </w:rPr>
        <w:t>/сут.).</w:t>
      </w:r>
    </w:p>
    <w:p w:rsidR="002D1E45" w:rsidRPr="00405393" w:rsidRDefault="002D1E45" w:rsidP="00405393">
      <w:pPr>
        <w:spacing w:after="0" w:line="240" w:lineRule="auto"/>
        <w:ind w:firstLine="709"/>
        <w:jc w:val="both"/>
        <w:rPr>
          <w:rFonts w:ascii="Times New Roman" w:hAnsi="Times New Roman"/>
          <w:i/>
          <w:sz w:val="28"/>
          <w:szCs w:val="28"/>
        </w:rPr>
      </w:pPr>
      <w:r w:rsidRPr="00405393">
        <w:rPr>
          <w:rFonts w:ascii="Times New Roman" w:hAnsi="Times New Roman"/>
          <w:sz w:val="28"/>
          <w:szCs w:val="28"/>
        </w:rPr>
        <w:t>Противопожарный водопровод, согласно современным технологическим нормам, объединяется с</w:t>
      </w:r>
      <w:r>
        <w:rPr>
          <w:rFonts w:ascii="Times New Roman" w:hAnsi="Times New Roman"/>
          <w:sz w:val="28"/>
          <w:szCs w:val="28"/>
        </w:rPr>
        <w:t> </w:t>
      </w:r>
      <w:r w:rsidRPr="00405393">
        <w:rPr>
          <w:rFonts w:ascii="Times New Roman" w:hAnsi="Times New Roman"/>
          <w:sz w:val="28"/>
          <w:szCs w:val="28"/>
        </w:rPr>
        <w:t>хозяйственно-питьевым водопроводом низкого давления. Расходы воды на</w:t>
      </w:r>
      <w:r>
        <w:rPr>
          <w:rFonts w:ascii="Times New Roman" w:hAnsi="Times New Roman"/>
          <w:sz w:val="28"/>
          <w:szCs w:val="28"/>
        </w:rPr>
        <w:t> </w:t>
      </w:r>
      <w:r w:rsidRPr="00405393">
        <w:rPr>
          <w:rFonts w:ascii="Times New Roman" w:hAnsi="Times New Roman"/>
          <w:sz w:val="28"/>
          <w:szCs w:val="28"/>
        </w:rPr>
        <w:t>противопожарные нужды не</w:t>
      </w:r>
      <w:r>
        <w:rPr>
          <w:rFonts w:ascii="Times New Roman" w:hAnsi="Times New Roman"/>
          <w:sz w:val="28"/>
          <w:szCs w:val="28"/>
        </w:rPr>
        <w:t> </w:t>
      </w:r>
      <w:r w:rsidRPr="00405393">
        <w:rPr>
          <w:rFonts w:ascii="Times New Roman" w:hAnsi="Times New Roman"/>
          <w:sz w:val="28"/>
          <w:szCs w:val="28"/>
        </w:rPr>
        <w:t>учитываются, т.к. будут покрываться за</w:t>
      </w:r>
      <w:r>
        <w:rPr>
          <w:rFonts w:ascii="Times New Roman" w:hAnsi="Times New Roman"/>
          <w:sz w:val="28"/>
          <w:szCs w:val="28"/>
        </w:rPr>
        <w:t> </w:t>
      </w:r>
      <w:r w:rsidRPr="00405393">
        <w:rPr>
          <w:rFonts w:ascii="Times New Roman" w:hAnsi="Times New Roman"/>
          <w:sz w:val="28"/>
          <w:szCs w:val="28"/>
        </w:rPr>
        <w:t>счёт снижения подачи воды в</w:t>
      </w:r>
      <w:r>
        <w:rPr>
          <w:rFonts w:ascii="Times New Roman" w:hAnsi="Times New Roman"/>
          <w:sz w:val="28"/>
          <w:szCs w:val="28"/>
        </w:rPr>
        <w:t> </w:t>
      </w:r>
      <w:r w:rsidRPr="00405393">
        <w:rPr>
          <w:rFonts w:ascii="Times New Roman" w:hAnsi="Times New Roman"/>
          <w:sz w:val="28"/>
          <w:szCs w:val="28"/>
        </w:rPr>
        <w:t>сеть.</w:t>
      </w:r>
    </w:p>
    <w:p w:rsidR="002D1E45" w:rsidRPr="003A7901" w:rsidRDefault="002D1E45" w:rsidP="00405393">
      <w:pPr>
        <w:autoSpaceDE w:val="0"/>
        <w:autoSpaceDN w:val="0"/>
        <w:adjustRightInd w:val="0"/>
        <w:spacing w:after="0" w:line="240" w:lineRule="auto"/>
        <w:jc w:val="right"/>
        <w:rPr>
          <w:rFonts w:ascii="Times New Roman" w:hAnsi="Times New Roman"/>
          <w:sz w:val="28"/>
          <w:szCs w:val="28"/>
          <w:lang w:eastAsia="ru-RU"/>
        </w:rPr>
      </w:pPr>
      <w:r w:rsidRPr="003A7901">
        <w:rPr>
          <w:rFonts w:ascii="Times New Roman" w:hAnsi="Times New Roman"/>
          <w:sz w:val="28"/>
          <w:szCs w:val="28"/>
          <w:lang w:eastAsia="ru-RU"/>
        </w:rPr>
        <w:t xml:space="preserve">Таблица </w:t>
      </w:r>
      <w:r w:rsidRPr="003A7901">
        <w:rPr>
          <w:rFonts w:ascii="Times New Roman" w:hAnsi="Times New Roman"/>
          <w:sz w:val="28"/>
          <w:szCs w:val="28"/>
        </w:rPr>
        <w:fldChar w:fldCharType="begin"/>
      </w:r>
      <w:r w:rsidRPr="003A7901">
        <w:rPr>
          <w:rFonts w:ascii="Times New Roman" w:hAnsi="Times New Roman"/>
          <w:sz w:val="28"/>
          <w:szCs w:val="28"/>
        </w:rPr>
        <w:instrText xml:space="preserve"> SEQ Таблица \* ARABIC </w:instrText>
      </w:r>
      <w:r w:rsidRPr="003A7901">
        <w:rPr>
          <w:rFonts w:ascii="Times New Roman" w:hAnsi="Times New Roman"/>
          <w:sz w:val="28"/>
          <w:szCs w:val="28"/>
        </w:rPr>
        <w:fldChar w:fldCharType="separate"/>
      </w:r>
      <w:r>
        <w:rPr>
          <w:rFonts w:ascii="Times New Roman" w:hAnsi="Times New Roman"/>
          <w:noProof/>
          <w:sz w:val="28"/>
          <w:szCs w:val="28"/>
        </w:rPr>
        <w:t>61</w:t>
      </w:r>
      <w:r w:rsidRPr="003A7901">
        <w:rPr>
          <w:rFonts w:ascii="Times New Roman" w:hAnsi="Times New Roman"/>
          <w:sz w:val="28"/>
          <w:szCs w:val="28"/>
        </w:rPr>
        <w:fldChar w:fldCharType="end"/>
      </w:r>
    </w:p>
    <w:p w:rsidR="002D1E45" w:rsidRPr="003A7901" w:rsidRDefault="002D1E45" w:rsidP="00405393">
      <w:pPr>
        <w:spacing w:line="240" w:lineRule="auto"/>
        <w:jc w:val="center"/>
        <w:rPr>
          <w:rFonts w:ascii="Times New Roman" w:hAnsi="Times New Roman"/>
          <w:color w:val="000000"/>
          <w:sz w:val="28"/>
          <w:szCs w:val="28"/>
        </w:rPr>
      </w:pPr>
      <w:r w:rsidRPr="003A7901">
        <w:rPr>
          <w:rFonts w:ascii="Times New Roman" w:hAnsi="Times New Roman"/>
          <w:color w:val="000000"/>
          <w:sz w:val="28"/>
          <w:szCs w:val="28"/>
        </w:rPr>
        <w:t xml:space="preserve">Ожидаемое потребление воды </w:t>
      </w:r>
      <w:r>
        <w:rPr>
          <w:rFonts w:ascii="Times New Roman" w:hAnsi="Times New Roman"/>
          <w:color w:val="000000"/>
          <w:sz w:val="28"/>
          <w:szCs w:val="28"/>
        </w:rPr>
        <w:t xml:space="preserve">жилищно-коммунальным сектором </w:t>
      </w:r>
      <w:r w:rsidRPr="003A7901">
        <w:rPr>
          <w:rFonts w:ascii="Times New Roman" w:hAnsi="Times New Roman"/>
          <w:color w:val="000000"/>
          <w:sz w:val="28"/>
          <w:szCs w:val="28"/>
        </w:rPr>
        <w:t>на</w:t>
      </w:r>
      <w:r>
        <w:rPr>
          <w:rFonts w:ascii="Times New Roman" w:hAnsi="Times New Roman"/>
          <w:color w:val="000000"/>
          <w:sz w:val="28"/>
          <w:szCs w:val="28"/>
        </w:rPr>
        <w:t> </w:t>
      </w:r>
      <w:r w:rsidRPr="003A7901">
        <w:rPr>
          <w:rFonts w:ascii="Times New Roman" w:hAnsi="Times New Roman"/>
          <w:color w:val="000000"/>
          <w:sz w:val="28"/>
          <w:szCs w:val="28"/>
        </w:rPr>
        <w:t xml:space="preserve">расчётный срок </w:t>
      </w:r>
    </w:p>
    <w:tbl>
      <w:tblPr>
        <w:tblW w:w="10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263"/>
        <w:gridCol w:w="708"/>
        <w:gridCol w:w="852"/>
        <w:gridCol w:w="962"/>
        <w:gridCol w:w="1023"/>
        <w:gridCol w:w="1139"/>
        <w:gridCol w:w="993"/>
        <w:gridCol w:w="992"/>
        <w:gridCol w:w="850"/>
        <w:gridCol w:w="993"/>
      </w:tblGrid>
      <w:tr w:rsidR="002D1E45" w:rsidRPr="00A56484" w:rsidTr="00E36976">
        <w:trPr>
          <w:trHeight w:val="283"/>
          <w:tblHeader/>
          <w:jc w:val="center"/>
        </w:trPr>
        <w:tc>
          <w:tcPr>
            <w:tcW w:w="2263" w:type="dxa"/>
            <w:vMerge w:val="restart"/>
            <w:vAlign w:val="center"/>
          </w:tcPr>
          <w:p w:rsidR="002D1E45" w:rsidRPr="00A56484" w:rsidRDefault="002D1E45" w:rsidP="00B12D76">
            <w:pPr>
              <w:spacing w:after="0" w:line="240" w:lineRule="auto"/>
              <w:jc w:val="center"/>
              <w:rPr>
                <w:rFonts w:ascii="Times New Roman" w:hAnsi="Times New Roman"/>
                <w:sz w:val="20"/>
                <w:szCs w:val="20"/>
                <w:lang w:eastAsia="ru-RU"/>
              </w:rPr>
            </w:pPr>
            <w:r w:rsidRPr="00A56484">
              <w:rPr>
                <w:rFonts w:ascii="Times New Roman" w:hAnsi="Times New Roman"/>
                <w:sz w:val="20"/>
                <w:szCs w:val="20"/>
                <w:lang w:eastAsia="ru-RU"/>
              </w:rPr>
              <w:t>Наименование потребителей</w:t>
            </w:r>
          </w:p>
        </w:tc>
        <w:tc>
          <w:tcPr>
            <w:tcW w:w="708" w:type="dxa"/>
            <w:vMerge w:val="restart"/>
            <w:vAlign w:val="center"/>
          </w:tcPr>
          <w:p w:rsidR="002D1E45" w:rsidRPr="00A56484" w:rsidRDefault="002D1E45" w:rsidP="00B12D76">
            <w:pPr>
              <w:spacing w:after="0" w:line="240" w:lineRule="auto"/>
              <w:jc w:val="center"/>
              <w:rPr>
                <w:rFonts w:ascii="Times New Roman" w:hAnsi="Times New Roman"/>
                <w:sz w:val="20"/>
                <w:szCs w:val="20"/>
                <w:lang w:eastAsia="ru-RU"/>
              </w:rPr>
            </w:pPr>
            <w:r w:rsidRPr="00A56484">
              <w:rPr>
                <w:rFonts w:ascii="Times New Roman" w:hAnsi="Times New Roman"/>
                <w:sz w:val="20"/>
                <w:szCs w:val="20"/>
                <w:lang w:eastAsia="ru-RU"/>
              </w:rPr>
              <w:t>Ед. изм.</w:t>
            </w:r>
          </w:p>
        </w:tc>
        <w:tc>
          <w:tcPr>
            <w:tcW w:w="852" w:type="dxa"/>
            <w:vMerge w:val="restart"/>
            <w:vAlign w:val="center"/>
          </w:tcPr>
          <w:p w:rsidR="002D1E45" w:rsidRPr="00A56484" w:rsidRDefault="002D1E45" w:rsidP="00B12D76">
            <w:pPr>
              <w:spacing w:after="0" w:line="240" w:lineRule="auto"/>
              <w:jc w:val="center"/>
              <w:rPr>
                <w:rFonts w:ascii="Times New Roman" w:hAnsi="Times New Roman"/>
                <w:sz w:val="20"/>
                <w:szCs w:val="20"/>
                <w:lang w:eastAsia="ru-RU"/>
              </w:rPr>
            </w:pPr>
            <w:r w:rsidRPr="00A56484">
              <w:rPr>
                <w:rFonts w:ascii="Times New Roman" w:hAnsi="Times New Roman"/>
                <w:sz w:val="20"/>
                <w:szCs w:val="20"/>
                <w:lang w:eastAsia="ru-RU"/>
              </w:rPr>
              <w:t>Кол.</w:t>
            </w:r>
          </w:p>
        </w:tc>
        <w:tc>
          <w:tcPr>
            <w:tcW w:w="962" w:type="dxa"/>
            <w:vMerge w:val="restart"/>
            <w:vAlign w:val="center"/>
          </w:tcPr>
          <w:p w:rsidR="002D1E45" w:rsidRPr="00A56484" w:rsidRDefault="002D1E45" w:rsidP="00B12D76">
            <w:pPr>
              <w:spacing w:after="0" w:line="240" w:lineRule="auto"/>
              <w:jc w:val="center"/>
              <w:rPr>
                <w:rFonts w:ascii="Times New Roman" w:hAnsi="Times New Roman"/>
                <w:sz w:val="20"/>
                <w:szCs w:val="20"/>
                <w:lang w:eastAsia="ru-RU"/>
              </w:rPr>
            </w:pPr>
            <w:r w:rsidRPr="00A56484">
              <w:rPr>
                <w:rFonts w:ascii="Times New Roman" w:hAnsi="Times New Roman"/>
                <w:sz w:val="20"/>
                <w:szCs w:val="20"/>
                <w:lang w:eastAsia="ru-RU"/>
              </w:rPr>
              <w:t>Норма, л/сут на чел.</w:t>
            </w:r>
          </w:p>
        </w:tc>
        <w:tc>
          <w:tcPr>
            <w:tcW w:w="1023" w:type="dxa"/>
            <w:vMerge w:val="restart"/>
            <w:vAlign w:val="center"/>
          </w:tcPr>
          <w:p w:rsidR="002D1E45" w:rsidRPr="00A56484" w:rsidRDefault="002D1E45" w:rsidP="00B12D76">
            <w:pPr>
              <w:spacing w:after="0" w:line="240" w:lineRule="auto"/>
              <w:jc w:val="center"/>
              <w:rPr>
                <w:rFonts w:ascii="Times New Roman" w:hAnsi="Times New Roman"/>
                <w:sz w:val="20"/>
                <w:szCs w:val="20"/>
                <w:lang w:eastAsia="ru-RU"/>
              </w:rPr>
            </w:pPr>
            <w:r w:rsidRPr="00A56484">
              <w:rPr>
                <w:rFonts w:ascii="Times New Roman" w:hAnsi="Times New Roman"/>
                <w:sz w:val="20"/>
                <w:szCs w:val="20"/>
                <w:lang w:eastAsia="ru-RU"/>
              </w:rPr>
              <w:t>К часовой неравномерности</w:t>
            </w:r>
          </w:p>
        </w:tc>
        <w:tc>
          <w:tcPr>
            <w:tcW w:w="1139" w:type="dxa"/>
            <w:vMerge w:val="restart"/>
            <w:vAlign w:val="center"/>
          </w:tcPr>
          <w:p w:rsidR="002D1E45" w:rsidRPr="00A56484" w:rsidRDefault="002D1E45" w:rsidP="00B12D76">
            <w:pPr>
              <w:spacing w:after="0" w:line="240" w:lineRule="auto"/>
              <w:jc w:val="center"/>
              <w:rPr>
                <w:rFonts w:ascii="Times New Roman" w:hAnsi="Times New Roman"/>
                <w:sz w:val="20"/>
                <w:szCs w:val="20"/>
                <w:lang w:eastAsia="ru-RU"/>
              </w:rPr>
            </w:pPr>
            <w:r w:rsidRPr="00A56484">
              <w:rPr>
                <w:rFonts w:ascii="Times New Roman" w:hAnsi="Times New Roman"/>
                <w:sz w:val="20"/>
                <w:szCs w:val="20"/>
                <w:lang w:eastAsia="ru-RU"/>
              </w:rPr>
              <w:t>К макс. потребления</w:t>
            </w:r>
          </w:p>
        </w:tc>
        <w:tc>
          <w:tcPr>
            <w:tcW w:w="3828" w:type="dxa"/>
            <w:gridSpan w:val="4"/>
            <w:vAlign w:val="center"/>
          </w:tcPr>
          <w:p w:rsidR="002D1E45" w:rsidRPr="00A56484" w:rsidRDefault="002D1E45" w:rsidP="00B12D76">
            <w:pPr>
              <w:spacing w:after="0" w:line="240" w:lineRule="auto"/>
              <w:jc w:val="center"/>
              <w:rPr>
                <w:rFonts w:ascii="Times New Roman" w:hAnsi="Times New Roman"/>
                <w:sz w:val="20"/>
                <w:szCs w:val="20"/>
                <w:lang w:eastAsia="ru-RU"/>
              </w:rPr>
            </w:pPr>
            <w:r w:rsidRPr="00A56484">
              <w:rPr>
                <w:rFonts w:ascii="Times New Roman" w:hAnsi="Times New Roman"/>
                <w:sz w:val="20"/>
                <w:szCs w:val="20"/>
                <w:lang w:eastAsia="ru-RU"/>
              </w:rPr>
              <w:t>Расход воды м</w:t>
            </w:r>
            <w:r w:rsidRPr="00A56484">
              <w:rPr>
                <w:rFonts w:ascii="Times New Roman" w:hAnsi="Times New Roman"/>
                <w:sz w:val="20"/>
                <w:szCs w:val="20"/>
                <w:vertAlign w:val="superscript"/>
                <w:lang w:eastAsia="ru-RU"/>
              </w:rPr>
              <w:t>3</w:t>
            </w:r>
          </w:p>
        </w:tc>
      </w:tr>
      <w:tr w:rsidR="002D1E45" w:rsidRPr="00A56484" w:rsidTr="00E36976">
        <w:trPr>
          <w:trHeight w:val="283"/>
          <w:tblHeader/>
          <w:jc w:val="center"/>
        </w:trPr>
        <w:tc>
          <w:tcPr>
            <w:tcW w:w="2263" w:type="dxa"/>
            <w:vMerge/>
            <w:vAlign w:val="center"/>
          </w:tcPr>
          <w:p w:rsidR="002D1E45" w:rsidRPr="00A56484" w:rsidRDefault="002D1E45" w:rsidP="00B12D76">
            <w:pPr>
              <w:spacing w:after="0" w:line="240" w:lineRule="auto"/>
              <w:rPr>
                <w:rFonts w:ascii="Times New Roman" w:hAnsi="Times New Roman"/>
                <w:sz w:val="20"/>
                <w:szCs w:val="20"/>
                <w:lang w:eastAsia="ru-RU"/>
              </w:rPr>
            </w:pPr>
          </w:p>
        </w:tc>
        <w:tc>
          <w:tcPr>
            <w:tcW w:w="708" w:type="dxa"/>
            <w:vMerge/>
            <w:vAlign w:val="center"/>
          </w:tcPr>
          <w:p w:rsidR="002D1E45" w:rsidRPr="00A56484" w:rsidRDefault="002D1E45" w:rsidP="00B12D76">
            <w:pPr>
              <w:spacing w:after="0" w:line="240" w:lineRule="auto"/>
              <w:rPr>
                <w:rFonts w:ascii="Times New Roman" w:hAnsi="Times New Roman"/>
                <w:sz w:val="20"/>
                <w:szCs w:val="20"/>
                <w:lang w:eastAsia="ru-RU"/>
              </w:rPr>
            </w:pPr>
          </w:p>
        </w:tc>
        <w:tc>
          <w:tcPr>
            <w:tcW w:w="852" w:type="dxa"/>
            <w:vMerge/>
            <w:vAlign w:val="center"/>
          </w:tcPr>
          <w:p w:rsidR="002D1E45" w:rsidRPr="00A56484" w:rsidRDefault="002D1E45" w:rsidP="00B12D76">
            <w:pPr>
              <w:spacing w:after="0" w:line="240" w:lineRule="auto"/>
              <w:rPr>
                <w:rFonts w:ascii="Times New Roman" w:hAnsi="Times New Roman"/>
                <w:sz w:val="20"/>
                <w:szCs w:val="20"/>
                <w:lang w:eastAsia="ru-RU"/>
              </w:rPr>
            </w:pPr>
          </w:p>
        </w:tc>
        <w:tc>
          <w:tcPr>
            <w:tcW w:w="962" w:type="dxa"/>
            <w:vMerge/>
            <w:vAlign w:val="center"/>
          </w:tcPr>
          <w:p w:rsidR="002D1E45" w:rsidRPr="00A56484" w:rsidRDefault="002D1E45" w:rsidP="00B12D76">
            <w:pPr>
              <w:spacing w:after="0" w:line="240" w:lineRule="auto"/>
              <w:rPr>
                <w:rFonts w:ascii="Times New Roman" w:hAnsi="Times New Roman"/>
                <w:sz w:val="20"/>
                <w:szCs w:val="20"/>
                <w:lang w:eastAsia="ru-RU"/>
              </w:rPr>
            </w:pPr>
          </w:p>
        </w:tc>
        <w:tc>
          <w:tcPr>
            <w:tcW w:w="1023" w:type="dxa"/>
            <w:vMerge/>
            <w:vAlign w:val="center"/>
          </w:tcPr>
          <w:p w:rsidR="002D1E45" w:rsidRPr="00A56484" w:rsidRDefault="002D1E45" w:rsidP="00B12D76">
            <w:pPr>
              <w:spacing w:after="0" w:line="240" w:lineRule="auto"/>
              <w:rPr>
                <w:rFonts w:ascii="Times New Roman" w:hAnsi="Times New Roman"/>
                <w:sz w:val="20"/>
                <w:szCs w:val="20"/>
                <w:lang w:eastAsia="ru-RU"/>
              </w:rPr>
            </w:pPr>
          </w:p>
        </w:tc>
        <w:tc>
          <w:tcPr>
            <w:tcW w:w="1139" w:type="dxa"/>
            <w:vMerge/>
            <w:vAlign w:val="center"/>
          </w:tcPr>
          <w:p w:rsidR="002D1E45" w:rsidRPr="00A56484" w:rsidRDefault="002D1E45" w:rsidP="00B12D76">
            <w:pPr>
              <w:spacing w:after="0" w:line="240" w:lineRule="auto"/>
              <w:rPr>
                <w:rFonts w:ascii="Times New Roman" w:hAnsi="Times New Roman"/>
                <w:sz w:val="20"/>
                <w:szCs w:val="20"/>
                <w:lang w:eastAsia="ru-RU"/>
              </w:rPr>
            </w:pPr>
          </w:p>
        </w:tc>
        <w:tc>
          <w:tcPr>
            <w:tcW w:w="993" w:type="dxa"/>
            <w:vAlign w:val="center"/>
          </w:tcPr>
          <w:p w:rsidR="002D1E45" w:rsidRPr="00A56484" w:rsidRDefault="002D1E45" w:rsidP="00B12D76">
            <w:pPr>
              <w:spacing w:after="0" w:line="240" w:lineRule="auto"/>
              <w:jc w:val="center"/>
              <w:rPr>
                <w:rFonts w:ascii="Times New Roman" w:hAnsi="Times New Roman"/>
                <w:sz w:val="20"/>
                <w:szCs w:val="20"/>
                <w:lang w:eastAsia="ru-RU"/>
              </w:rPr>
            </w:pPr>
            <w:r w:rsidRPr="00A56484">
              <w:rPr>
                <w:rFonts w:ascii="Times New Roman" w:hAnsi="Times New Roman"/>
                <w:sz w:val="20"/>
                <w:szCs w:val="20"/>
                <w:lang w:eastAsia="ru-RU"/>
              </w:rPr>
              <w:t>сут</w:t>
            </w:r>
          </w:p>
        </w:tc>
        <w:tc>
          <w:tcPr>
            <w:tcW w:w="992" w:type="dxa"/>
            <w:vAlign w:val="center"/>
          </w:tcPr>
          <w:p w:rsidR="002D1E45" w:rsidRPr="00A56484" w:rsidRDefault="002D1E45" w:rsidP="00B12D76">
            <w:pPr>
              <w:spacing w:after="0" w:line="240" w:lineRule="auto"/>
              <w:jc w:val="center"/>
              <w:rPr>
                <w:rFonts w:ascii="Times New Roman" w:hAnsi="Times New Roman"/>
                <w:sz w:val="20"/>
                <w:szCs w:val="20"/>
                <w:lang w:eastAsia="ru-RU"/>
              </w:rPr>
            </w:pPr>
            <w:r w:rsidRPr="00A56484">
              <w:rPr>
                <w:rFonts w:ascii="Times New Roman" w:hAnsi="Times New Roman"/>
                <w:sz w:val="20"/>
                <w:szCs w:val="20"/>
                <w:lang w:eastAsia="ru-RU"/>
              </w:rPr>
              <w:t>сут</w:t>
            </w:r>
            <w:r w:rsidRPr="00A56484">
              <w:rPr>
                <w:rFonts w:ascii="Times New Roman" w:hAnsi="Times New Roman"/>
                <w:sz w:val="20"/>
                <w:szCs w:val="20"/>
                <w:vertAlign w:val="subscript"/>
                <w:lang w:eastAsia="ru-RU"/>
              </w:rPr>
              <w:t>max</w:t>
            </w:r>
          </w:p>
        </w:tc>
        <w:tc>
          <w:tcPr>
            <w:tcW w:w="850" w:type="dxa"/>
            <w:vAlign w:val="center"/>
          </w:tcPr>
          <w:p w:rsidR="002D1E45" w:rsidRPr="00A56484" w:rsidRDefault="002D1E45" w:rsidP="00B12D76">
            <w:pPr>
              <w:spacing w:after="0" w:line="240" w:lineRule="auto"/>
              <w:jc w:val="center"/>
              <w:rPr>
                <w:rFonts w:ascii="Times New Roman" w:hAnsi="Times New Roman"/>
                <w:sz w:val="20"/>
                <w:szCs w:val="20"/>
                <w:lang w:eastAsia="ru-RU"/>
              </w:rPr>
            </w:pPr>
            <w:r w:rsidRPr="00A56484">
              <w:rPr>
                <w:rFonts w:ascii="Times New Roman" w:hAnsi="Times New Roman"/>
                <w:sz w:val="20"/>
                <w:szCs w:val="20"/>
                <w:lang w:eastAsia="ru-RU"/>
              </w:rPr>
              <w:t>час</w:t>
            </w:r>
          </w:p>
        </w:tc>
        <w:tc>
          <w:tcPr>
            <w:tcW w:w="993" w:type="dxa"/>
            <w:vAlign w:val="center"/>
          </w:tcPr>
          <w:p w:rsidR="002D1E45" w:rsidRPr="00A56484" w:rsidRDefault="002D1E45" w:rsidP="00B12D76">
            <w:pPr>
              <w:spacing w:after="0" w:line="240" w:lineRule="auto"/>
              <w:jc w:val="center"/>
              <w:rPr>
                <w:rFonts w:ascii="Times New Roman" w:hAnsi="Times New Roman"/>
                <w:sz w:val="20"/>
                <w:szCs w:val="20"/>
                <w:lang w:eastAsia="ru-RU"/>
              </w:rPr>
            </w:pPr>
            <w:r w:rsidRPr="00A56484">
              <w:rPr>
                <w:rFonts w:ascii="Times New Roman" w:hAnsi="Times New Roman"/>
                <w:sz w:val="20"/>
                <w:szCs w:val="20"/>
                <w:lang w:eastAsia="ru-RU"/>
              </w:rPr>
              <w:t>час</w:t>
            </w:r>
            <w:r w:rsidRPr="00A56484">
              <w:rPr>
                <w:rFonts w:ascii="Times New Roman" w:hAnsi="Times New Roman"/>
                <w:sz w:val="20"/>
                <w:szCs w:val="20"/>
                <w:vertAlign w:val="subscript"/>
                <w:lang w:eastAsia="ru-RU"/>
              </w:rPr>
              <w:t>max</w:t>
            </w:r>
          </w:p>
        </w:tc>
      </w:tr>
      <w:tr w:rsidR="002D1E45" w:rsidRPr="00A56484" w:rsidTr="00E36976">
        <w:trPr>
          <w:trHeight w:val="283"/>
          <w:jc w:val="center"/>
        </w:trPr>
        <w:tc>
          <w:tcPr>
            <w:tcW w:w="2263" w:type="dxa"/>
            <w:vAlign w:val="center"/>
          </w:tcPr>
          <w:p w:rsidR="002D1E45" w:rsidRPr="00A56484" w:rsidRDefault="002D1E45" w:rsidP="00E36976">
            <w:pPr>
              <w:spacing w:after="0" w:line="240" w:lineRule="auto"/>
              <w:rPr>
                <w:rFonts w:ascii="Times New Roman" w:hAnsi="Times New Roman"/>
                <w:sz w:val="20"/>
                <w:szCs w:val="20"/>
                <w:lang w:eastAsia="ru-RU"/>
              </w:rPr>
            </w:pPr>
            <w:r w:rsidRPr="00A56484">
              <w:rPr>
                <w:rFonts w:ascii="Times New Roman" w:hAnsi="Times New Roman"/>
                <w:sz w:val="20"/>
                <w:szCs w:val="20"/>
                <w:lang w:eastAsia="ru-RU"/>
              </w:rPr>
              <w:t>Население</w:t>
            </w:r>
          </w:p>
        </w:tc>
        <w:tc>
          <w:tcPr>
            <w:tcW w:w="708" w:type="dxa"/>
            <w:noWrap/>
            <w:vAlign w:val="center"/>
          </w:tcPr>
          <w:p w:rsidR="002D1E45" w:rsidRPr="00A56484" w:rsidRDefault="002D1E45" w:rsidP="00E36976">
            <w:pPr>
              <w:spacing w:after="0" w:line="240" w:lineRule="auto"/>
              <w:jc w:val="center"/>
              <w:rPr>
                <w:rFonts w:ascii="Times New Roman" w:hAnsi="Times New Roman"/>
                <w:sz w:val="20"/>
                <w:szCs w:val="20"/>
                <w:lang w:eastAsia="ru-RU"/>
              </w:rPr>
            </w:pPr>
            <w:r w:rsidRPr="00A56484">
              <w:rPr>
                <w:rFonts w:ascii="Times New Roman" w:hAnsi="Times New Roman"/>
                <w:sz w:val="20"/>
                <w:szCs w:val="20"/>
                <w:lang w:eastAsia="ru-RU"/>
              </w:rPr>
              <w:t>чел.</w:t>
            </w:r>
          </w:p>
        </w:tc>
        <w:tc>
          <w:tcPr>
            <w:tcW w:w="852" w:type="dxa"/>
            <w:noWrap/>
            <w:vAlign w:val="center"/>
          </w:tcPr>
          <w:p w:rsidR="002D1E45" w:rsidRPr="00A56484" w:rsidRDefault="002D1E45" w:rsidP="00E36976">
            <w:pPr>
              <w:spacing w:after="0" w:line="240" w:lineRule="auto"/>
              <w:jc w:val="center"/>
              <w:rPr>
                <w:rFonts w:ascii="Times New Roman" w:hAnsi="Times New Roman"/>
                <w:sz w:val="20"/>
                <w:szCs w:val="20"/>
                <w:lang w:eastAsia="ru-RU"/>
              </w:rPr>
            </w:pPr>
            <w:r w:rsidRPr="00E36976">
              <w:rPr>
                <w:rFonts w:ascii="Times New Roman" w:hAnsi="Times New Roman"/>
                <w:sz w:val="20"/>
                <w:szCs w:val="20"/>
                <w:lang w:eastAsia="ru-RU"/>
              </w:rPr>
              <w:t>38950</w:t>
            </w:r>
          </w:p>
        </w:tc>
        <w:tc>
          <w:tcPr>
            <w:tcW w:w="962" w:type="dxa"/>
            <w:noWrap/>
            <w:vAlign w:val="center"/>
          </w:tcPr>
          <w:p w:rsidR="002D1E45" w:rsidRPr="00A56484" w:rsidRDefault="002D1E45" w:rsidP="00E36976">
            <w:pPr>
              <w:spacing w:after="0" w:line="240" w:lineRule="auto"/>
              <w:jc w:val="center"/>
              <w:rPr>
                <w:rFonts w:ascii="Times New Roman" w:hAnsi="Times New Roman"/>
                <w:sz w:val="20"/>
                <w:szCs w:val="20"/>
                <w:lang w:eastAsia="ru-RU"/>
              </w:rPr>
            </w:pPr>
            <w:r w:rsidRPr="00E36976">
              <w:rPr>
                <w:rFonts w:ascii="Times New Roman" w:hAnsi="Times New Roman"/>
                <w:sz w:val="20"/>
                <w:szCs w:val="20"/>
                <w:lang w:eastAsia="ru-RU"/>
              </w:rPr>
              <w:t>204</w:t>
            </w:r>
          </w:p>
        </w:tc>
        <w:tc>
          <w:tcPr>
            <w:tcW w:w="1023" w:type="dxa"/>
            <w:noWrap/>
            <w:vAlign w:val="center"/>
          </w:tcPr>
          <w:p w:rsidR="002D1E45" w:rsidRPr="00A56484" w:rsidRDefault="002D1E45" w:rsidP="00E36976">
            <w:pPr>
              <w:spacing w:after="0" w:line="240" w:lineRule="auto"/>
              <w:jc w:val="center"/>
              <w:rPr>
                <w:rFonts w:ascii="Times New Roman" w:hAnsi="Times New Roman"/>
                <w:sz w:val="20"/>
                <w:szCs w:val="20"/>
                <w:lang w:eastAsia="ru-RU"/>
              </w:rPr>
            </w:pPr>
            <w:r w:rsidRPr="00E36976">
              <w:rPr>
                <w:rFonts w:ascii="Times New Roman" w:hAnsi="Times New Roman"/>
                <w:sz w:val="20"/>
                <w:szCs w:val="20"/>
                <w:lang w:eastAsia="ru-RU"/>
              </w:rPr>
              <w:t>1,2</w:t>
            </w:r>
          </w:p>
        </w:tc>
        <w:tc>
          <w:tcPr>
            <w:tcW w:w="1139" w:type="dxa"/>
            <w:noWrap/>
            <w:vAlign w:val="center"/>
          </w:tcPr>
          <w:p w:rsidR="002D1E45" w:rsidRPr="00A56484" w:rsidRDefault="002D1E45" w:rsidP="00E36976">
            <w:pPr>
              <w:spacing w:after="0" w:line="240" w:lineRule="auto"/>
              <w:jc w:val="center"/>
              <w:rPr>
                <w:rFonts w:ascii="Times New Roman" w:hAnsi="Times New Roman"/>
                <w:sz w:val="20"/>
                <w:szCs w:val="20"/>
                <w:lang w:eastAsia="ru-RU"/>
              </w:rPr>
            </w:pPr>
            <w:r w:rsidRPr="00E36976">
              <w:rPr>
                <w:rFonts w:ascii="Times New Roman" w:hAnsi="Times New Roman"/>
                <w:sz w:val="20"/>
                <w:szCs w:val="20"/>
                <w:lang w:eastAsia="ru-RU"/>
              </w:rPr>
              <w:t>1,495</w:t>
            </w:r>
          </w:p>
        </w:tc>
        <w:tc>
          <w:tcPr>
            <w:tcW w:w="993" w:type="dxa"/>
            <w:noWrap/>
            <w:vAlign w:val="center"/>
          </w:tcPr>
          <w:p w:rsidR="002D1E45" w:rsidRPr="00A56484" w:rsidRDefault="002D1E45" w:rsidP="00E36976">
            <w:pPr>
              <w:spacing w:after="0" w:line="240" w:lineRule="auto"/>
              <w:jc w:val="center"/>
              <w:rPr>
                <w:rFonts w:ascii="Times New Roman" w:hAnsi="Times New Roman"/>
                <w:sz w:val="20"/>
                <w:szCs w:val="20"/>
                <w:lang w:eastAsia="ru-RU"/>
              </w:rPr>
            </w:pPr>
            <w:r w:rsidRPr="00E36976">
              <w:rPr>
                <w:rFonts w:ascii="Times New Roman" w:hAnsi="Times New Roman"/>
                <w:sz w:val="20"/>
                <w:szCs w:val="20"/>
                <w:lang w:eastAsia="ru-RU"/>
              </w:rPr>
              <w:t>7931,0</w:t>
            </w:r>
          </w:p>
        </w:tc>
        <w:tc>
          <w:tcPr>
            <w:tcW w:w="992" w:type="dxa"/>
            <w:noWrap/>
            <w:vAlign w:val="center"/>
          </w:tcPr>
          <w:p w:rsidR="002D1E45" w:rsidRPr="00A56484" w:rsidRDefault="002D1E45" w:rsidP="00E36976">
            <w:pPr>
              <w:spacing w:after="0" w:line="240" w:lineRule="auto"/>
              <w:jc w:val="center"/>
              <w:rPr>
                <w:rFonts w:ascii="Times New Roman" w:hAnsi="Times New Roman"/>
                <w:sz w:val="20"/>
                <w:szCs w:val="20"/>
                <w:lang w:eastAsia="ru-RU"/>
              </w:rPr>
            </w:pPr>
            <w:r w:rsidRPr="00E36976">
              <w:rPr>
                <w:rFonts w:ascii="Times New Roman" w:hAnsi="Times New Roman"/>
                <w:sz w:val="20"/>
                <w:szCs w:val="20"/>
                <w:lang w:eastAsia="ru-RU"/>
              </w:rPr>
              <w:t>9517,2</w:t>
            </w:r>
          </w:p>
        </w:tc>
        <w:tc>
          <w:tcPr>
            <w:tcW w:w="850" w:type="dxa"/>
            <w:noWrap/>
            <w:vAlign w:val="center"/>
          </w:tcPr>
          <w:p w:rsidR="002D1E45" w:rsidRPr="00A56484" w:rsidRDefault="002D1E45" w:rsidP="00E36976">
            <w:pPr>
              <w:spacing w:after="0" w:line="240" w:lineRule="auto"/>
              <w:jc w:val="center"/>
              <w:rPr>
                <w:rFonts w:ascii="Times New Roman" w:hAnsi="Times New Roman"/>
                <w:sz w:val="20"/>
                <w:szCs w:val="20"/>
                <w:lang w:eastAsia="ru-RU"/>
              </w:rPr>
            </w:pPr>
            <w:r w:rsidRPr="00E36976">
              <w:rPr>
                <w:rFonts w:ascii="Times New Roman" w:hAnsi="Times New Roman"/>
                <w:sz w:val="20"/>
                <w:szCs w:val="20"/>
                <w:lang w:eastAsia="ru-RU"/>
              </w:rPr>
              <w:t>330,5</w:t>
            </w:r>
          </w:p>
        </w:tc>
        <w:tc>
          <w:tcPr>
            <w:tcW w:w="993" w:type="dxa"/>
            <w:noWrap/>
            <w:vAlign w:val="center"/>
          </w:tcPr>
          <w:p w:rsidR="002D1E45" w:rsidRPr="00A56484" w:rsidRDefault="002D1E45" w:rsidP="00E36976">
            <w:pPr>
              <w:spacing w:after="0" w:line="240" w:lineRule="auto"/>
              <w:jc w:val="center"/>
              <w:rPr>
                <w:rFonts w:ascii="Times New Roman" w:hAnsi="Times New Roman"/>
                <w:sz w:val="20"/>
                <w:szCs w:val="20"/>
                <w:lang w:eastAsia="ru-RU"/>
              </w:rPr>
            </w:pPr>
            <w:r w:rsidRPr="00E36976">
              <w:rPr>
                <w:rFonts w:ascii="Times New Roman" w:hAnsi="Times New Roman"/>
                <w:sz w:val="20"/>
                <w:szCs w:val="20"/>
                <w:lang w:eastAsia="ru-RU"/>
              </w:rPr>
              <w:t>494,0</w:t>
            </w:r>
          </w:p>
        </w:tc>
      </w:tr>
      <w:tr w:rsidR="002D1E45" w:rsidRPr="00A56484" w:rsidTr="00E36976">
        <w:trPr>
          <w:trHeight w:val="283"/>
          <w:jc w:val="center"/>
        </w:trPr>
        <w:tc>
          <w:tcPr>
            <w:tcW w:w="2263" w:type="dxa"/>
            <w:vAlign w:val="center"/>
          </w:tcPr>
          <w:p w:rsidR="002D1E45" w:rsidRPr="00A56484" w:rsidRDefault="002D1E45" w:rsidP="00E36976">
            <w:pPr>
              <w:spacing w:after="0" w:line="240" w:lineRule="auto"/>
              <w:rPr>
                <w:rFonts w:ascii="Times New Roman" w:hAnsi="Times New Roman"/>
                <w:sz w:val="20"/>
                <w:szCs w:val="20"/>
                <w:lang w:eastAsia="ru-RU"/>
              </w:rPr>
            </w:pPr>
            <w:r w:rsidRPr="00A56484">
              <w:rPr>
                <w:rFonts w:ascii="Times New Roman" w:hAnsi="Times New Roman"/>
                <w:sz w:val="20"/>
                <w:szCs w:val="20"/>
                <w:lang w:eastAsia="ru-RU"/>
              </w:rPr>
              <w:t xml:space="preserve">Адм. здание и общественные здание </w:t>
            </w:r>
          </w:p>
        </w:tc>
        <w:tc>
          <w:tcPr>
            <w:tcW w:w="708" w:type="dxa"/>
            <w:noWrap/>
            <w:vAlign w:val="center"/>
          </w:tcPr>
          <w:p w:rsidR="002D1E45" w:rsidRPr="00A56484" w:rsidRDefault="002D1E45" w:rsidP="00E36976">
            <w:pPr>
              <w:spacing w:after="0" w:line="240" w:lineRule="auto"/>
              <w:jc w:val="center"/>
              <w:rPr>
                <w:rFonts w:ascii="Times New Roman" w:hAnsi="Times New Roman"/>
                <w:sz w:val="20"/>
                <w:szCs w:val="20"/>
                <w:lang w:eastAsia="ru-RU"/>
              </w:rPr>
            </w:pPr>
            <w:r w:rsidRPr="00A56484">
              <w:rPr>
                <w:rFonts w:ascii="Times New Roman" w:hAnsi="Times New Roman"/>
                <w:sz w:val="20"/>
                <w:szCs w:val="20"/>
                <w:lang w:eastAsia="ru-RU"/>
              </w:rPr>
              <w:t>%</w:t>
            </w:r>
          </w:p>
        </w:tc>
        <w:tc>
          <w:tcPr>
            <w:tcW w:w="852" w:type="dxa"/>
            <w:noWrap/>
            <w:vAlign w:val="center"/>
          </w:tcPr>
          <w:p w:rsidR="002D1E45" w:rsidRPr="00A56484" w:rsidRDefault="002D1E45" w:rsidP="00E36976">
            <w:pPr>
              <w:spacing w:after="0" w:line="240" w:lineRule="auto"/>
              <w:jc w:val="center"/>
              <w:rPr>
                <w:rFonts w:ascii="Times New Roman" w:hAnsi="Times New Roman"/>
                <w:sz w:val="20"/>
                <w:szCs w:val="20"/>
                <w:lang w:eastAsia="ru-RU"/>
              </w:rPr>
            </w:pPr>
            <w:r w:rsidRPr="00E36976">
              <w:rPr>
                <w:rFonts w:ascii="Times New Roman" w:hAnsi="Times New Roman"/>
                <w:sz w:val="20"/>
                <w:szCs w:val="20"/>
                <w:lang w:eastAsia="ru-RU"/>
              </w:rPr>
              <w:t>20</w:t>
            </w:r>
          </w:p>
        </w:tc>
        <w:tc>
          <w:tcPr>
            <w:tcW w:w="962" w:type="dxa"/>
            <w:noWrap/>
            <w:vAlign w:val="center"/>
          </w:tcPr>
          <w:p w:rsidR="002D1E45" w:rsidRPr="00A56484" w:rsidRDefault="002D1E45" w:rsidP="00E36976">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w:t>
            </w:r>
          </w:p>
        </w:tc>
        <w:tc>
          <w:tcPr>
            <w:tcW w:w="1023" w:type="dxa"/>
            <w:noWrap/>
            <w:vAlign w:val="center"/>
          </w:tcPr>
          <w:p w:rsidR="002D1E45" w:rsidRPr="00A56484" w:rsidRDefault="002D1E45" w:rsidP="00E36976">
            <w:pPr>
              <w:spacing w:after="0" w:line="240" w:lineRule="auto"/>
              <w:jc w:val="center"/>
              <w:rPr>
                <w:rFonts w:ascii="Times New Roman" w:hAnsi="Times New Roman"/>
                <w:sz w:val="20"/>
                <w:szCs w:val="20"/>
                <w:lang w:eastAsia="ru-RU"/>
              </w:rPr>
            </w:pPr>
            <w:r w:rsidRPr="00E36976">
              <w:rPr>
                <w:rFonts w:ascii="Times New Roman" w:hAnsi="Times New Roman"/>
                <w:sz w:val="20"/>
                <w:szCs w:val="20"/>
                <w:lang w:eastAsia="ru-RU"/>
              </w:rPr>
              <w:t>1,2</w:t>
            </w:r>
          </w:p>
        </w:tc>
        <w:tc>
          <w:tcPr>
            <w:tcW w:w="1139" w:type="dxa"/>
            <w:noWrap/>
            <w:vAlign w:val="center"/>
          </w:tcPr>
          <w:p w:rsidR="002D1E45" w:rsidRPr="00A56484" w:rsidRDefault="002D1E45" w:rsidP="00E36976">
            <w:pPr>
              <w:spacing w:after="0" w:line="240" w:lineRule="auto"/>
              <w:jc w:val="center"/>
              <w:rPr>
                <w:rFonts w:ascii="Times New Roman" w:hAnsi="Times New Roman"/>
                <w:sz w:val="20"/>
                <w:szCs w:val="20"/>
                <w:lang w:eastAsia="ru-RU"/>
              </w:rPr>
            </w:pPr>
            <w:r w:rsidRPr="00E36976">
              <w:rPr>
                <w:rFonts w:ascii="Times New Roman" w:hAnsi="Times New Roman"/>
                <w:sz w:val="20"/>
                <w:szCs w:val="20"/>
                <w:lang w:eastAsia="ru-RU"/>
              </w:rPr>
              <w:t>1,495</w:t>
            </w:r>
          </w:p>
        </w:tc>
        <w:tc>
          <w:tcPr>
            <w:tcW w:w="993" w:type="dxa"/>
            <w:noWrap/>
            <w:vAlign w:val="center"/>
          </w:tcPr>
          <w:p w:rsidR="002D1E45" w:rsidRPr="00A56484" w:rsidRDefault="002D1E45" w:rsidP="00E36976">
            <w:pPr>
              <w:spacing w:after="0" w:line="240" w:lineRule="auto"/>
              <w:jc w:val="center"/>
              <w:rPr>
                <w:rFonts w:ascii="Times New Roman" w:hAnsi="Times New Roman"/>
                <w:sz w:val="20"/>
                <w:szCs w:val="20"/>
                <w:lang w:eastAsia="ru-RU"/>
              </w:rPr>
            </w:pPr>
            <w:r w:rsidRPr="00E36976">
              <w:rPr>
                <w:rFonts w:ascii="Times New Roman" w:hAnsi="Times New Roman"/>
                <w:sz w:val="20"/>
                <w:szCs w:val="20"/>
                <w:lang w:eastAsia="ru-RU"/>
              </w:rPr>
              <w:t>1586,2</w:t>
            </w:r>
          </w:p>
        </w:tc>
        <w:tc>
          <w:tcPr>
            <w:tcW w:w="992" w:type="dxa"/>
            <w:noWrap/>
            <w:vAlign w:val="center"/>
          </w:tcPr>
          <w:p w:rsidR="002D1E45" w:rsidRPr="00A56484" w:rsidRDefault="002D1E45" w:rsidP="00E36976">
            <w:pPr>
              <w:spacing w:after="0" w:line="240" w:lineRule="auto"/>
              <w:jc w:val="center"/>
              <w:rPr>
                <w:rFonts w:ascii="Times New Roman" w:hAnsi="Times New Roman"/>
                <w:sz w:val="20"/>
                <w:szCs w:val="20"/>
                <w:lang w:eastAsia="ru-RU"/>
              </w:rPr>
            </w:pPr>
            <w:r w:rsidRPr="00E36976">
              <w:rPr>
                <w:rFonts w:ascii="Times New Roman" w:hAnsi="Times New Roman"/>
                <w:sz w:val="20"/>
                <w:szCs w:val="20"/>
                <w:lang w:eastAsia="ru-RU"/>
              </w:rPr>
              <w:t>1903,4</w:t>
            </w:r>
          </w:p>
        </w:tc>
        <w:tc>
          <w:tcPr>
            <w:tcW w:w="850" w:type="dxa"/>
            <w:noWrap/>
            <w:vAlign w:val="center"/>
          </w:tcPr>
          <w:p w:rsidR="002D1E45" w:rsidRPr="00A56484" w:rsidRDefault="002D1E45" w:rsidP="00E36976">
            <w:pPr>
              <w:spacing w:after="0" w:line="240" w:lineRule="auto"/>
              <w:jc w:val="center"/>
              <w:rPr>
                <w:rFonts w:ascii="Times New Roman" w:hAnsi="Times New Roman"/>
                <w:sz w:val="20"/>
                <w:szCs w:val="20"/>
                <w:lang w:eastAsia="ru-RU"/>
              </w:rPr>
            </w:pPr>
            <w:r w:rsidRPr="00E36976">
              <w:rPr>
                <w:rFonts w:ascii="Times New Roman" w:hAnsi="Times New Roman"/>
                <w:sz w:val="20"/>
                <w:szCs w:val="20"/>
                <w:lang w:eastAsia="ru-RU"/>
              </w:rPr>
              <w:t>66,1</w:t>
            </w:r>
          </w:p>
        </w:tc>
        <w:tc>
          <w:tcPr>
            <w:tcW w:w="993" w:type="dxa"/>
            <w:noWrap/>
            <w:vAlign w:val="center"/>
          </w:tcPr>
          <w:p w:rsidR="002D1E45" w:rsidRPr="00A56484" w:rsidRDefault="002D1E45" w:rsidP="00E36976">
            <w:pPr>
              <w:spacing w:after="0" w:line="240" w:lineRule="auto"/>
              <w:jc w:val="center"/>
              <w:rPr>
                <w:rFonts w:ascii="Times New Roman" w:hAnsi="Times New Roman"/>
                <w:sz w:val="20"/>
                <w:szCs w:val="20"/>
                <w:lang w:eastAsia="ru-RU"/>
              </w:rPr>
            </w:pPr>
            <w:r w:rsidRPr="00E36976">
              <w:rPr>
                <w:rFonts w:ascii="Times New Roman" w:hAnsi="Times New Roman"/>
                <w:sz w:val="20"/>
                <w:szCs w:val="20"/>
                <w:lang w:eastAsia="ru-RU"/>
              </w:rPr>
              <w:t>98,8</w:t>
            </w:r>
          </w:p>
        </w:tc>
      </w:tr>
      <w:tr w:rsidR="002D1E45" w:rsidRPr="00A56484" w:rsidTr="00E36976">
        <w:trPr>
          <w:trHeight w:val="283"/>
          <w:jc w:val="center"/>
        </w:trPr>
        <w:tc>
          <w:tcPr>
            <w:tcW w:w="2263" w:type="dxa"/>
            <w:noWrap/>
            <w:vAlign w:val="center"/>
          </w:tcPr>
          <w:p w:rsidR="002D1E45" w:rsidRPr="00A56484" w:rsidRDefault="002D1E45" w:rsidP="00E36976">
            <w:pPr>
              <w:spacing w:after="0" w:line="240" w:lineRule="auto"/>
              <w:rPr>
                <w:rFonts w:ascii="Times New Roman" w:hAnsi="Times New Roman"/>
                <w:sz w:val="20"/>
                <w:szCs w:val="20"/>
                <w:lang w:eastAsia="ru-RU"/>
              </w:rPr>
            </w:pPr>
            <w:r w:rsidRPr="00A56484">
              <w:rPr>
                <w:rFonts w:ascii="Times New Roman" w:hAnsi="Times New Roman"/>
                <w:sz w:val="20"/>
                <w:szCs w:val="20"/>
                <w:lang w:eastAsia="ru-RU"/>
              </w:rPr>
              <w:t>Противопожарное водоснабжение</w:t>
            </w:r>
          </w:p>
        </w:tc>
        <w:tc>
          <w:tcPr>
            <w:tcW w:w="708" w:type="dxa"/>
            <w:noWrap/>
            <w:vAlign w:val="center"/>
          </w:tcPr>
          <w:p w:rsidR="002D1E45" w:rsidRPr="00A56484" w:rsidRDefault="002D1E45" w:rsidP="00E36976">
            <w:pPr>
              <w:spacing w:after="0" w:line="240" w:lineRule="auto"/>
              <w:jc w:val="center"/>
              <w:rPr>
                <w:rFonts w:ascii="Times New Roman" w:hAnsi="Times New Roman"/>
                <w:sz w:val="20"/>
                <w:szCs w:val="20"/>
                <w:lang w:eastAsia="ru-RU"/>
              </w:rPr>
            </w:pPr>
            <w:r w:rsidRPr="00A56484">
              <w:rPr>
                <w:rFonts w:ascii="Times New Roman" w:hAnsi="Times New Roman"/>
                <w:sz w:val="20"/>
                <w:szCs w:val="20"/>
                <w:lang w:eastAsia="ru-RU"/>
              </w:rPr>
              <w:t>л/с</w:t>
            </w:r>
          </w:p>
        </w:tc>
        <w:tc>
          <w:tcPr>
            <w:tcW w:w="852" w:type="dxa"/>
            <w:noWrap/>
            <w:vAlign w:val="center"/>
          </w:tcPr>
          <w:p w:rsidR="002D1E45" w:rsidRPr="00A56484" w:rsidRDefault="002D1E45" w:rsidP="00E36976">
            <w:pPr>
              <w:spacing w:after="0" w:line="240" w:lineRule="auto"/>
              <w:jc w:val="center"/>
              <w:rPr>
                <w:rFonts w:ascii="Times New Roman" w:hAnsi="Times New Roman"/>
                <w:sz w:val="20"/>
                <w:szCs w:val="20"/>
                <w:lang w:eastAsia="ru-RU"/>
              </w:rPr>
            </w:pPr>
            <w:r w:rsidRPr="00E36976">
              <w:rPr>
                <w:rFonts w:ascii="Times New Roman" w:hAnsi="Times New Roman"/>
                <w:sz w:val="20"/>
                <w:szCs w:val="20"/>
                <w:lang w:eastAsia="ru-RU"/>
              </w:rPr>
              <w:t>5</w:t>
            </w:r>
          </w:p>
        </w:tc>
        <w:tc>
          <w:tcPr>
            <w:tcW w:w="962" w:type="dxa"/>
            <w:noWrap/>
            <w:vAlign w:val="center"/>
          </w:tcPr>
          <w:p w:rsidR="002D1E45" w:rsidRPr="00A56484" w:rsidRDefault="002D1E45" w:rsidP="00E36976">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w:t>
            </w:r>
          </w:p>
        </w:tc>
        <w:tc>
          <w:tcPr>
            <w:tcW w:w="1023" w:type="dxa"/>
            <w:noWrap/>
            <w:vAlign w:val="center"/>
          </w:tcPr>
          <w:p w:rsidR="002D1E45" w:rsidRPr="00A56484" w:rsidRDefault="002D1E45" w:rsidP="00E36976">
            <w:pPr>
              <w:spacing w:after="0" w:line="240" w:lineRule="auto"/>
              <w:jc w:val="center"/>
              <w:rPr>
                <w:rFonts w:ascii="Times New Roman" w:hAnsi="Times New Roman"/>
                <w:sz w:val="20"/>
                <w:szCs w:val="20"/>
                <w:lang w:eastAsia="ru-RU"/>
              </w:rPr>
            </w:pPr>
            <w:r w:rsidRPr="00E36976">
              <w:rPr>
                <w:rFonts w:ascii="Times New Roman" w:hAnsi="Times New Roman"/>
                <w:sz w:val="20"/>
                <w:szCs w:val="20"/>
                <w:lang w:eastAsia="ru-RU"/>
              </w:rPr>
              <w:t>1,2</w:t>
            </w:r>
          </w:p>
        </w:tc>
        <w:tc>
          <w:tcPr>
            <w:tcW w:w="1139" w:type="dxa"/>
            <w:noWrap/>
            <w:vAlign w:val="center"/>
          </w:tcPr>
          <w:p w:rsidR="002D1E45" w:rsidRPr="00A56484" w:rsidRDefault="002D1E45" w:rsidP="00E36976">
            <w:pPr>
              <w:spacing w:after="0" w:line="240" w:lineRule="auto"/>
              <w:jc w:val="center"/>
              <w:rPr>
                <w:rFonts w:ascii="Times New Roman" w:hAnsi="Times New Roman"/>
                <w:sz w:val="20"/>
                <w:szCs w:val="20"/>
                <w:lang w:eastAsia="ru-RU"/>
              </w:rPr>
            </w:pPr>
            <w:r w:rsidRPr="00E36976">
              <w:rPr>
                <w:rFonts w:ascii="Times New Roman" w:hAnsi="Times New Roman"/>
                <w:sz w:val="20"/>
                <w:szCs w:val="20"/>
                <w:lang w:eastAsia="ru-RU"/>
              </w:rPr>
              <w:t>1,495</w:t>
            </w:r>
          </w:p>
        </w:tc>
        <w:tc>
          <w:tcPr>
            <w:tcW w:w="993" w:type="dxa"/>
            <w:noWrap/>
            <w:vAlign w:val="center"/>
          </w:tcPr>
          <w:p w:rsidR="002D1E45" w:rsidRPr="00A56484" w:rsidRDefault="002D1E45" w:rsidP="00E36976">
            <w:pPr>
              <w:spacing w:after="0" w:line="240" w:lineRule="auto"/>
              <w:jc w:val="center"/>
              <w:rPr>
                <w:rFonts w:ascii="Times New Roman" w:hAnsi="Times New Roman"/>
                <w:sz w:val="20"/>
                <w:szCs w:val="20"/>
                <w:lang w:eastAsia="ru-RU"/>
              </w:rPr>
            </w:pPr>
            <w:r w:rsidRPr="00E36976">
              <w:rPr>
                <w:rFonts w:ascii="Times New Roman" w:hAnsi="Times New Roman"/>
                <w:sz w:val="20"/>
                <w:szCs w:val="20"/>
                <w:lang w:eastAsia="ru-RU"/>
              </w:rPr>
              <w:t>0,15</w:t>
            </w:r>
          </w:p>
        </w:tc>
        <w:tc>
          <w:tcPr>
            <w:tcW w:w="992" w:type="dxa"/>
            <w:noWrap/>
            <w:vAlign w:val="center"/>
          </w:tcPr>
          <w:p w:rsidR="002D1E45" w:rsidRPr="00A56484" w:rsidRDefault="002D1E45" w:rsidP="00E36976">
            <w:pPr>
              <w:spacing w:after="0" w:line="240" w:lineRule="auto"/>
              <w:jc w:val="center"/>
              <w:rPr>
                <w:rFonts w:ascii="Times New Roman" w:hAnsi="Times New Roman"/>
                <w:sz w:val="20"/>
                <w:szCs w:val="20"/>
                <w:lang w:eastAsia="ru-RU"/>
              </w:rPr>
            </w:pPr>
            <w:r w:rsidRPr="00E36976">
              <w:rPr>
                <w:rFonts w:ascii="Times New Roman" w:hAnsi="Times New Roman"/>
                <w:sz w:val="20"/>
                <w:szCs w:val="20"/>
                <w:lang w:eastAsia="ru-RU"/>
              </w:rPr>
              <w:t>0,18</w:t>
            </w:r>
          </w:p>
        </w:tc>
        <w:tc>
          <w:tcPr>
            <w:tcW w:w="850" w:type="dxa"/>
            <w:noWrap/>
            <w:vAlign w:val="center"/>
          </w:tcPr>
          <w:p w:rsidR="002D1E45" w:rsidRPr="00A56484" w:rsidRDefault="002D1E45" w:rsidP="00E36976">
            <w:pPr>
              <w:spacing w:after="0" w:line="240" w:lineRule="auto"/>
              <w:jc w:val="center"/>
              <w:rPr>
                <w:rFonts w:ascii="Times New Roman" w:hAnsi="Times New Roman"/>
                <w:sz w:val="20"/>
                <w:szCs w:val="20"/>
                <w:lang w:eastAsia="ru-RU"/>
              </w:rPr>
            </w:pPr>
            <w:r w:rsidRPr="00E36976">
              <w:rPr>
                <w:rFonts w:ascii="Times New Roman" w:hAnsi="Times New Roman"/>
                <w:sz w:val="20"/>
                <w:szCs w:val="20"/>
                <w:lang w:eastAsia="ru-RU"/>
              </w:rPr>
              <w:t>0,01</w:t>
            </w:r>
          </w:p>
        </w:tc>
        <w:tc>
          <w:tcPr>
            <w:tcW w:w="993" w:type="dxa"/>
            <w:noWrap/>
            <w:vAlign w:val="center"/>
          </w:tcPr>
          <w:p w:rsidR="002D1E45" w:rsidRPr="00A56484" w:rsidRDefault="002D1E45" w:rsidP="00E36976">
            <w:pPr>
              <w:spacing w:after="0" w:line="240" w:lineRule="auto"/>
              <w:jc w:val="center"/>
              <w:rPr>
                <w:rFonts w:ascii="Times New Roman" w:hAnsi="Times New Roman"/>
                <w:sz w:val="20"/>
                <w:szCs w:val="20"/>
                <w:lang w:eastAsia="ru-RU"/>
              </w:rPr>
            </w:pPr>
            <w:r w:rsidRPr="00E36976">
              <w:rPr>
                <w:rFonts w:ascii="Times New Roman" w:hAnsi="Times New Roman"/>
                <w:sz w:val="20"/>
                <w:szCs w:val="20"/>
                <w:lang w:eastAsia="ru-RU"/>
              </w:rPr>
              <w:t>0,01</w:t>
            </w:r>
          </w:p>
        </w:tc>
      </w:tr>
      <w:tr w:rsidR="002D1E45" w:rsidRPr="00A56484" w:rsidTr="00E36976">
        <w:trPr>
          <w:trHeight w:val="283"/>
          <w:jc w:val="center"/>
        </w:trPr>
        <w:tc>
          <w:tcPr>
            <w:tcW w:w="2263" w:type="dxa"/>
            <w:noWrap/>
            <w:vAlign w:val="center"/>
          </w:tcPr>
          <w:p w:rsidR="002D1E45" w:rsidRPr="00A56484" w:rsidRDefault="002D1E45" w:rsidP="00E36976">
            <w:pPr>
              <w:spacing w:after="0" w:line="240" w:lineRule="auto"/>
              <w:rPr>
                <w:rFonts w:ascii="Times New Roman" w:hAnsi="Times New Roman"/>
                <w:sz w:val="20"/>
                <w:szCs w:val="20"/>
                <w:lang w:eastAsia="ru-RU"/>
              </w:rPr>
            </w:pPr>
            <w:r w:rsidRPr="00A56484">
              <w:rPr>
                <w:rFonts w:ascii="Times New Roman" w:hAnsi="Times New Roman"/>
                <w:sz w:val="20"/>
                <w:szCs w:val="20"/>
                <w:lang w:eastAsia="ru-RU"/>
              </w:rPr>
              <w:t xml:space="preserve">Поливка </w:t>
            </w:r>
          </w:p>
        </w:tc>
        <w:tc>
          <w:tcPr>
            <w:tcW w:w="708" w:type="dxa"/>
            <w:noWrap/>
            <w:vAlign w:val="center"/>
          </w:tcPr>
          <w:p w:rsidR="002D1E45" w:rsidRPr="00A56484" w:rsidRDefault="002D1E45" w:rsidP="00E36976">
            <w:pPr>
              <w:spacing w:after="0" w:line="240" w:lineRule="auto"/>
              <w:jc w:val="center"/>
              <w:rPr>
                <w:rFonts w:ascii="Times New Roman" w:hAnsi="Times New Roman"/>
                <w:sz w:val="20"/>
                <w:szCs w:val="20"/>
                <w:lang w:eastAsia="ru-RU"/>
              </w:rPr>
            </w:pPr>
            <w:r w:rsidRPr="00A56484">
              <w:rPr>
                <w:rFonts w:ascii="Times New Roman" w:hAnsi="Times New Roman"/>
                <w:sz w:val="20"/>
                <w:szCs w:val="20"/>
                <w:lang w:eastAsia="ru-RU"/>
              </w:rPr>
              <w:t>чел.</w:t>
            </w:r>
          </w:p>
        </w:tc>
        <w:tc>
          <w:tcPr>
            <w:tcW w:w="852" w:type="dxa"/>
            <w:noWrap/>
            <w:vAlign w:val="center"/>
          </w:tcPr>
          <w:p w:rsidR="002D1E45" w:rsidRPr="00A56484" w:rsidRDefault="002D1E45" w:rsidP="00E36976">
            <w:pPr>
              <w:spacing w:after="0" w:line="240" w:lineRule="auto"/>
              <w:jc w:val="center"/>
              <w:rPr>
                <w:rFonts w:ascii="Times New Roman" w:hAnsi="Times New Roman"/>
                <w:sz w:val="20"/>
                <w:szCs w:val="20"/>
                <w:lang w:eastAsia="ru-RU"/>
              </w:rPr>
            </w:pPr>
            <w:r w:rsidRPr="00E36976">
              <w:rPr>
                <w:rFonts w:ascii="Times New Roman" w:hAnsi="Times New Roman"/>
                <w:sz w:val="20"/>
                <w:szCs w:val="20"/>
                <w:lang w:eastAsia="ru-RU"/>
              </w:rPr>
              <w:t>3962</w:t>
            </w:r>
          </w:p>
        </w:tc>
        <w:tc>
          <w:tcPr>
            <w:tcW w:w="962" w:type="dxa"/>
            <w:noWrap/>
            <w:vAlign w:val="center"/>
          </w:tcPr>
          <w:p w:rsidR="002D1E45" w:rsidRPr="00A56484" w:rsidRDefault="002D1E45" w:rsidP="00E36976">
            <w:pPr>
              <w:spacing w:after="0" w:line="240" w:lineRule="auto"/>
              <w:jc w:val="center"/>
              <w:rPr>
                <w:rFonts w:ascii="Times New Roman" w:hAnsi="Times New Roman"/>
                <w:sz w:val="20"/>
                <w:szCs w:val="20"/>
                <w:lang w:eastAsia="ru-RU"/>
              </w:rPr>
            </w:pPr>
            <w:r w:rsidRPr="00E36976">
              <w:rPr>
                <w:rFonts w:ascii="Times New Roman" w:hAnsi="Times New Roman"/>
                <w:sz w:val="20"/>
                <w:szCs w:val="20"/>
                <w:lang w:eastAsia="ru-RU"/>
              </w:rPr>
              <w:t>60</w:t>
            </w:r>
          </w:p>
        </w:tc>
        <w:tc>
          <w:tcPr>
            <w:tcW w:w="1023" w:type="dxa"/>
            <w:noWrap/>
            <w:vAlign w:val="center"/>
          </w:tcPr>
          <w:p w:rsidR="002D1E45" w:rsidRPr="00A56484" w:rsidRDefault="002D1E45" w:rsidP="00E36976">
            <w:pPr>
              <w:spacing w:after="0" w:line="240" w:lineRule="auto"/>
              <w:jc w:val="center"/>
              <w:rPr>
                <w:rFonts w:ascii="Times New Roman" w:hAnsi="Times New Roman"/>
                <w:sz w:val="20"/>
                <w:szCs w:val="20"/>
                <w:lang w:eastAsia="ru-RU"/>
              </w:rPr>
            </w:pPr>
            <w:r w:rsidRPr="00E36976">
              <w:rPr>
                <w:rFonts w:ascii="Times New Roman" w:hAnsi="Times New Roman"/>
                <w:sz w:val="20"/>
                <w:szCs w:val="20"/>
                <w:lang w:eastAsia="ru-RU"/>
              </w:rPr>
              <w:t>1,2</w:t>
            </w:r>
          </w:p>
        </w:tc>
        <w:tc>
          <w:tcPr>
            <w:tcW w:w="1139" w:type="dxa"/>
            <w:noWrap/>
            <w:vAlign w:val="center"/>
          </w:tcPr>
          <w:p w:rsidR="002D1E45" w:rsidRPr="00A56484" w:rsidRDefault="002D1E45" w:rsidP="00E36976">
            <w:pPr>
              <w:spacing w:after="0" w:line="240" w:lineRule="auto"/>
              <w:jc w:val="center"/>
              <w:rPr>
                <w:rFonts w:ascii="Times New Roman" w:hAnsi="Times New Roman"/>
                <w:sz w:val="20"/>
                <w:szCs w:val="20"/>
                <w:lang w:eastAsia="ru-RU"/>
              </w:rPr>
            </w:pPr>
            <w:r w:rsidRPr="00E36976">
              <w:rPr>
                <w:rFonts w:ascii="Times New Roman" w:hAnsi="Times New Roman"/>
                <w:sz w:val="20"/>
                <w:szCs w:val="20"/>
                <w:lang w:eastAsia="ru-RU"/>
              </w:rPr>
              <w:t>1,495</w:t>
            </w:r>
          </w:p>
        </w:tc>
        <w:tc>
          <w:tcPr>
            <w:tcW w:w="993" w:type="dxa"/>
            <w:noWrap/>
            <w:vAlign w:val="center"/>
          </w:tcPr>
          <w:p w:rsidR="002D1E45" w:rsidRPr="00A56484" w:rsidRDefault="002D1E45" w:rsidP="00E36976">
            <w:pPr>
              <w:spacing w:after="0" w:line="240" w:lineRule="auto"/>
              <w:jc w:val="center"/>
              <w:rPr>
                <w:rFonts w:ascii="Times New Roman" w:hAnsi="Times New Roman"/>
                <w:sz w:val="20"/>
                <w:szCs w:val="20"/>
                <w:lang w:eastAsia="ru-RU"/>
              </w:rPr>
            </w:pPr>
            <w:r w:rsidRPr="00E36976">
              <w:rPr>
                <w:rFonts w:ascii="Times New Roman" w:hAnsi="Times New Roman"/>
                <w:sz w:val="20"/>
                <w:szCs w:val="20"/>
                <w:lang w:eastAsia="ru-RU"/>
              </w:rPr>
              <w:t>237,7</w:t>
            </w:r>
          </w:p>
        </w:tc>
        <w:tc>
          <w:tcPr>
            <w:tcW w:w="992" w:type="dxa"/>
            <w:noWrap/>
            <w:vAlign w:val="center"/>
          </w:tcPr>
          <w:p w:rsidR="002D1E45" w:rsidRPr="00A56484" w:rsidRDefault="002D1E45" w:rsidP="00E36976">
            <w:pPr>
              <w:spacing w:after="0" w:line="240" w:lineRule="auto"/>
              <w:jc w:val="center"/>
              <w:rPr>
                <w:rFonts w:ascii="Times New Roman" w:hAnsi="Times New Roman"/>
                <w:sz w:val="20"/>
                <w:szCs w:val="20"/>
                <w:lang w:eastAsia="ru-RU"/>
              </w:rPr>
            </w:pPr>
            <w:r w:rsidRPr="00E36976">
              <w:rPr>
                <w:rFonts w:ascii="Times New Roman" w:hAnsi="Times New Roman"/>
                <w:sz w:val="20"/>
                <w:szCs w:val="20"/>
                <w:lang w:eastAsia="ru-RU"/>
              </w:rPr>
              <w:t>285,3</w:t>
            </w:r>
          </w:p>
        </w:tc>
        <w:tc>
          <w:tcPr>
            <w:tcW w:w="850" w:type="dxa"/>
            <w:noWrap/>
            <w:vAlign w:val="center"/>
          </w:tcPr>
          <w:p w:rsidR="002D1E45" w:rsidRPr="00A56484" w:rsidRDefault="002D1E45" w:rsidP="00E36976">
            <w:pPr>
              <w:spacing w:after="0" w:line="240" w:lineRule="auto"/>
              <w:jc w:val="center"/>
              <w:rPr>
                <w:rFonts w:ascii="Times New Roman" w:hAnsi="Times New Roman"/>
                <w:sz w:val="20"/>
                <w:szCs w:val="20"/>
                <w:lang w:eastAsia="ru-RU"/>
              </w:rPr>
            </w:pPr>
            <w:r w:rsidRPr="00E36976">
              <w:rPr>
                <w:rFonts w:ascii="Times New Roman" w:hAnsi="Times New Roman"/>
                <w:sz w:val="20"/>
                <w:szCs w:val="20"/>
                <w:lang w:eastAsia="ru-RU"/>
              </w:rPr>
              <w:t>9,9</w:t>
            </w:r>
          </w:p>
        </w:tc>
        <w:tc>
          <w:tcPr>
            <w:tcW w:w="993" w:type="dxa"/>
            <w:noWrap/>
            <w:vAlign w:val="center"/>
          </w:tcPr>
          <w:p w:rsidR="002D1E45" w:rsidRPr="00A56484" w:rsidRDefault="002D1E45" w:rsidP="00E36976">
            <w:pPr>
              <w:spacing w:after="0" w:line="240" w:lineRule="auto"/>
              <w:jc w:val="center"/>
              <w:rPr>
                <w:rFonts w:ascii="Times New Roman" w:hAnsi="Times New Roman"/>
                <w:sz w:val="20"/>
                <w:szCs w:val="20"/>
                <w:lang w:eastAsia="ru-RU"/>
              </w:rPr>
            </w:pPr>
            <w:r w:rsidRPr="00E36976">
              <w:rPr>
                <w:rFonts w:ascii="Times New Roman" w:hAnsi="Times New Roman"/>
                <w:sz w:val="20"/>
                <w:szCs w:val="20"/>
                <w:lang w:eastAsia="ru-RU"/>
              </w:rPr>
              <w:t>14,8</w:t>
            </w:r>
          </w:p>
        </w:tc>
      </w:tr>
      <w:tr w:rsidR="002D1E45" w:rsidRPr="00A56484" w:rsidTr="00E36976">
        <w:trPr>
          <w:trHeight w:val="283"/>
          <w:jc w:val="center"/>
        </w:trPr>
        <w:tc>
          <w:tcPr>
            <w:tcW w:w="2263" w:type="dxa"/>
            <w:vAlign w:val="center"/>
          </w:tcPr>
          <w:p w:rsidR="002D1E45" w:rsidRPr="00A56484" w:rsidRDefault="002D1E45" w:rsidP="00E36976">
            <w:pPr>
              <w:spacing w:after="0" w:line="240" w:lineRule="auto"/>
              <w:rPr>
                <w:rFonts w:ascii="Times New Roman" w:hAnsi="Times New Roman"/>
                <w:sz w:val="20"/>
                <w:szCs w:val="20"/>
                <w:lang w:eastAsia="ru-RU"/>
              </w:rPr>
            </w:pPr>
            <w:r w:rsidRPr="00A56484">
              <w:rPr>
                <w:rFonts w:ascii="Times New Roman" w:hAnsi="Times New Roman"/>
                <w:sz w:val="20"/>
                <w:szCs w:val="20"/>
                <w:lang w:eastAsia="ru-RU"/>
              </w:rPr>
              <w:t>Неучтённые расходы</w:t>
            </w:r>
          </w:p>
        </w:tc>
        <w:tc>
          <w:tcPr>
            <w:tcW w:w="708" w:type="dxa"/>
            <w:noWrap/>
            <w:vAlign w:val="center"/>
          </w:tcPr>
          <w:p w:rsidR="002D1E45" w:rsidRPr="00A56484" w:rsidRDefault="002D1E45" w:rsidP="00E36976">
            <w:pPr>
              <w:spacing w:after="0" w:line="240" w:lineRule="auto"/>
              <w:jc w:val="center"/>
              <w:rPr>
                <w:rFonts w:ascii="Times New Roman" w:hAnsi="Times New Roman"/>
                <w:sz w:val="20"/>
                <w:szCs w:val="20"/>
                <w:lang w:eastAsia="ru-RU"/>
              </w:rPr>
            </w:pPr>
            <w:r w:rsidRPr="00A56484">
              <w:rPr>
                <w:rFonts w:ascii="Times New Roman" w:hAnsi="Times New Roman"/>
                <w:sz w:val="20"/>
                <w:szCs w:val="20"/>
                <w:lang w:eastAsia="ru-RU"/>
              </w:rPr>
              <w:t>%</w:t>
            </w:r>
          </w:p>
        </w:tc>
        <w:tc>
          <w:tcPr>
            <w:tcW w:w="852" w:type="dxa"/>
            <w:noWrap/>
            <w:vAlign w:val="center"/>
          </w:tcPr>
          <w:p w:rsidR="002D1E45" w:rsidRPr="00A56484" w:rsidRDefault="002D1E45" w:rsidP="00E36976">
            <w:pPr>
              <w:spacing w:after="0" w:line="240" w:lineRule="auto"/>
              <w:jc w:val="center"/>
              <w:rPr>
                <w:rFonts w:ascii="Times New Roman" w:hAnsi="Times New Roman"/>
                <w:sz w:val="20"/>
                <w:szCs w:val="20"/>
                <w:lang w:eastAsia="ru-RU"/>
              </w:rPr>
            </w:pPr>
            <w:r w:rsidRPr="00E36976">
              <w:rPr>
                <w:rFonts w:ascii="Times New Roman" w:hAnsi="Times New Roman"/>
                <w:sz w:val="20"/>
                <w:szCs w:val="20"/>
                <w:lang w:eastAsia="ru-RU"/>
              </w:rPr>
              <w:t>10</w:t>
            </w:r>
          </w:p>
        </w:tc>
        <w:tc>
          <w:tcPr>
            <w:tcW w:w="962" w:type="dxa"/>
            <w:noWrap/>
            <w:vAlign w:val="center"/>
          </w:tcPr>
          <w:p w:rsidR="002D1E45" w:rsidRPr="00A56484" w:rsidRDefault="002D1E45" w:rsidP="00E36976">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w:t>
            </w:r>
          </w:p>
        </w:tc>
        <w:tc>
          <w:tcPr>
            <w:tcW w:w="1023" w:type="dxa"/>
            <w:noWrap/>
            <w:vAlign w:val="center"/>
          </w:tcPr>
          <w:p w:rsidR="002D1E45" w:rsidRPr="00A56484" w:rsidRDefault="002D1E45" w:rsidP="00E36976">
            <w:pPr>
              <w:spacing w:after="0" w:line="240" w:lineRule="auto"/>
              <w:jc w:val="center"/>
              <w:rPr>
                <w:rFonts w:ascii="Times New Roman" w:hAnsi="Times New Roman"/>
                <w:sz w:val="20"/>
                <w:szCs w:val="20"/>
                <w:lang w:eastAsia="ru-RU"/>
              </w:rPr>
            </w:pPr>
            <w:r w:rsidRPr="00E36976">
              <w:rPr>
                <w:rFonts w:ascii="Times New Roman" w:hAnsi="Times New Roman"/>
                <w:sz w:val="20"/>
                <w:szCs w:val="20"/>
                <w:lang w:eastAsia="ru-RU"/>
              </w:rPr>
              <w:t>1,2</w:t>
            </w:r>
          </w:p>
        </w:tc>
        <w:tc>
          <w:tcPr>
            <w:tcW w:w="1139" w:type="dxa"/>
            <w:noWrap/>
            <w:vAlign w:val="center"/>
          </w:tcPr>
          <w:p w:rsidR="002D1E45" w:rsidRPr="00A56484" w:rsidRDefault="002D1E45" w:rsidP="00E36976">
            <w:pPr>
              <w:spacing w:after="0" w:line="240" w:lineRule="auto"/>
              <w:jc w:val="center"/>
              <w:rPr>
                <w:rFonts w:ascii="Times New Roman" w:hAnsi="Times New Roman"/>
                <w:sz w:val="20"/>
                <w:szCs w:val="20"/>
                <w:lang w:eastAsia="ru-RU"/>
              </w:rPr>
            </w:pPr>
            <w:r w:rsidRPr="00E36976">
              <w:rPr>
                <w:rFonts w:ascii="Times New Roman" w:hAnsi="Times New Roman"/>
                <w:sz w:val="20"/>
                <w:szCs w:val="20"/>
                <w:lang w:eastAsia="ru-RU"/>
              </w:rPr>
              <w:t>1,495</w:t>
            </w:r>
          </w:p>
        </w:tc>
        <w:tc>
          <w:tcPr>
            <w:tcW w:w="993" w:type="dxa"/>
            <w:noWrap/>
            <w:vAlign w:val="center"/>
          </w:tcPr>
          <w:p w:rsidR="002D1E45" w:rsidRPr="00A56484" w:rsidRDefault="002D1E45" w:rsidP="00E36976">
            <w:pPr>
              <w:spacing w:after="0" w:line="240" w:lineRule="auto"/>
              <w:jc w:val="center"/>
              <w:rPr>
                <w:rFonts w:ascii="Times New Roman" w:hAnsi="Times New Roman"/>
                <w:sz w:val="20"/>
                <w:szCs w:val="20"/>
                <w:lang w:eastAsia="ru-RU"/>
              </w:rPr>
            </w:pPr>
            <w:r w:rsidRPr="00E36976">
              <w:rPr>
                <w:rFonts w:ascii="Times New Roman" w:hAnsi="Times New Roman"/>
                <w:sz w:val="20"/>
                <w:szCs w:val="20"/>
                <w:lang w:eastAsia="ru-RU"/>
              </w:rPr>
              <w:t>816,9</w:t>
            </w:r>
          </w:p>
        </w:tc>
        <w:tc>
          <w:tcPr>
            <w:tcW w:w="992" w:type="dxa"/>
            <w:noWrap/>
            <w:vAlign w:val="center"/>
          </w:tcPr>
          <w:p w:rsidR="002D1E45" w:rsidRPr="00A56484" w:rsidRDefault="002D1E45" w:rsidP="00E36976">
            <w:pPr>
              <w:spacing w:after="0" w:line="240" w:lineRule="auto"/>
              <w:jc w:val="center"/>
              <w:rPr>
                <w:rFonts w:ascii="Times New Roman" w:hAnsi="Times New Roman"/>
                <w:sz w:val="20"/>
                <w:szCs w:val="20"/>
                <w:lang w:eastAsia="ru-RU"/>
              </w:rPr>
            </w:pPr>
            <w:r w:rsidRPr="00E36976">
              <w:rPr>
                <w:rFonts w:ascii="Times New Roman" w:hAnsi="Times New Roman"/>
                <w:sz w:val="20"/>
                <w:szCs w:val="20"/>
                <w:lang w:eastAsia="ru-RU"/>
              </w:rPr>
              <w:t>980,2</w:t>
            </w:r>
          </w:p>
        </w:tc>
        <w:tc>
          <w:tcPr>
            <w:tcW w:w="850" w:type="dxa"/>
            <w:noWrap/>
            <w:vAlign w:val="center"/>
          </w:tcPr>
          <w:p w:rsidR="002D1E45" w:rsidRPr="00A56484" w:rsidRDefault="002D1E45" w:rsidP="00E36976">
            <w:pPr>
              <w:spacing w:after="0" w:line="240" w:lineRule="auto"/>
              <w:jc w:val="center"/>
              <w:rPr>
                <w:rFonts w:ascii="Times New Roman" w:hAnsi="Times New Roman"/>
                <w:sz w:val="20"/>
                <w:szCs w:val="20"/>
                <w:lang w:eastAsia="ru-RU"/>
              </w:rPr>
            </w:pPr>
            <w:r w:rsidRPr="00E36976">
              <w:rPr>
                <w:rFonts w:ascii="Times New Roman" w:hAnsi="Times New Roman"/>
                <w:sz w:val="20"/>
                <w:szCs w:val="20"/>
                <w:lang w:eastAsia="ru-RU"/>
              </w:rPr>
              <w:t>34,0</w:t>
            </w:r>
          </w:p>
        </w:tc>
        <w:tc>
          <w:tcPr>
            <w:tcW w:w="993" w:type="dxa"/>
            <w:noWrap/>
            <w:vAlign w:val="center"/>
          </w:tcPr>
          <w:p w:rsidR="002D1E45" w:rsidRPr="00A56484" w:rsidRDefault="002D1E45" w:rsidP="00E36976">
            <w:pPr>
              <w:spacing w:after="0" w:line="240" w:lineRule="auto"/>
              <w:jc w:val="center"/>
              <w:rPr>
                <w:rFonts w:ascii="Times New Roman" w:hAnsi="Times New Roman"/>
                <w:sz w:val="20"/>
                <w:szCs w:val="20"/>
                <w:lang w:eastAsia="ru-RU"/>
              </w:rPr>
            </w:pPr>
            <w:r w:rsidRPr="00E36976">
              <w:rPr>
                <w:rFonts w:ascii="Times New Roman" w:hAnsi="Times New Roman"/>
                <w:sz w:val="20"/>
                <w:szCs w:val="20"/>
                <w:lang w:eastAsia="ru-RU"/>
              </w:rPr>
              <w:t>50,9</w:t>
            </w:r>
          </w:p>
        </w:tc>
      </w:tr>
      <w:tr w:rsidR="002D1E45" w:rsidRPr="00A56484" w:rsidTr="00BE712C">
        <w:trPr>
          <w:trHeight w:val="227"/>
          <w:jc w:val="center"/>
        </w:trPr>
        <w:tc>
          <w:tcPr>
            <w:tcW w:w="6947" w:type="dxa"/>
            <w:gridSpan w:val="6"/>
            <w:vAlign w:val="center"/>
          </w:tcPr>
          <w:p w:rsidR="002D1E45" w:rsidRPr="00A56484" w:rsidRDefault="002D1E45" w:rsidP="00E36976">
            <w:pPr>
              <w:spacing w:after="0" w:line="240" w:lineRule="auto"/>
              <w:jc w:val="right"/>
              <w:rPr>
                <w:rFonts w:ascii="Times New Roman" w:hAnsi="Times New Roman"/>
                <w:sz w:val="20"/>
                <w:szCs w:val="20"/>
                <w:lang w:eastAsia="ru-RU"/>
              </w:rPr>
            </w:pPr>
            <w:r w:rsidRPr="00A56484">
              <w:rPr>
                <w:rFonts w:ascii="Times New Roman" w:hAnsi="Times New Roman"/>
                <w:sz w:val="20"/>
                <w:szCs w:val="20"/>
                <w:lang w:eastAsia="ru-RU"/>
              </w:rPr>
              <w:t>ИТОГО по </w:t>
            </w:r>
            <w:r>
              <w:rPr>
                <w:rFonts w:ascii="Times New Roman" w:hAnsi="Times New Roman"/>
                <w:sz w:val="20"/>
                <w:szCs w:val="20"/>
                <w:lang w:eastAsia="ru-RU"/>
              </w:rPr>
              <w:t>городу</w:t>
            </w:r>
            <w:r w:rsidRPr="00A56484">
              <w:rPr>
                <w:rFonts w:ascii="Times New Roman" w:hAnsi="Times New Roman"/>
                <w:sz w:val="20"/>
                <w:szCs w:val="20"/>
                <w:lang w:eastAsia="ru-RU"/>
              </w:rPr>
              <w:t>:</w:t>
            </w:r>
          </w:p>
        </w:tc>
        <w:tc>
          <w:tcPr>
            <w:tcW w:w="993" w:type="dxa"/>
            <w:noWrap/>
          </w:tcPr>
          <w:p w:rsidR="002D1E45" w:rsidRPr="00A56484" w:rsidRDefault="002D1E45" w:rsidP="00E36976">
            <w:pPr>
              <w:spacing w:after="0" w:line="240" w:lineRule="auto"/>
              <w:jc w:val="center"/>
              <w:rPr>
                <w:rFonts w:ascii="Times New Roman" w:hAnsi="Times New Roman"/>
                <w:sz w:val="20"/>
                <w:szCs w:val="20"/>
                <w:lang w:eastAsia="ru-RU"/>
              </w:rPr>
            </w:pPr>
            <w:r w:rsidRPr="00E36976">
              <w:rPr>
                <w:rFonts w:ascii="Times New Roman" w:hAnsi="Times New Roman"/>
                <w:sz w:val="20"/>
                <w:szCs w:val="20"/>
                <w:lang w:eastAsia="ru-RU"/>
              </w:rPr>
              <w:t>10571,9</w:t>
            </w:r>
          </w:p>
        </w:tc>
        <w:tc>
          <w:tcPr>
            <w:tcW w:w="992" w:type="dxa"/>
            <w:noWrap/>
          </w:tcPr>
          <w:p w:rsidR="002D1E45" w:rsidRPr="00A56484" w:rsidRDefault="002D1E45" w:rsidP="00E36976">
            <w:pPr>
              <w:spacing w:after="0" w:line="240" w:lineRule="auto"/>
              <w:jc w:val="center"/>
              <w:rPr>
                <w:rFonts w:ascii="Times New Roman" w:hAnsi="Times New Roman"/>
                <w:sz w:val="20"/>
                <w:szCs w:val="20"/>
                <w:lang w:eastAsia="ru-RU"/>
              </w:rPr>
            </w:pPr>
            <w:r w:rsidRPr="00E36976">
              <w:rPr>
                <w:rFonts w:ascii="Times New Roman" w:hAnsi="Times New Roman"/>
                <w:sz w:val="20"/>
                <w:szCs w:val="20"/>
                <w:lang w:eastAsia="ru-RU"/>
              </w:rPr>
              <w:t>12686,3</w:t>
            </w:r>
          </w:p>
        </w:tc>
        <w:tc>
          <w:tcPr>
            <w:tcW w:w="850" w:type="dxa"/>
            <w:noWrap/>
          </w:tcPr>
          <w:p w:rsidR="002D1E45" w:rsidRPr="00A56484" w:rsidRDefault="002D1E45" w:rsidP="00E36976">
            <w:pPr>
              <w:spacing w:after="0" w:line="240" w:lineRule="auto"/>
              <w:jc w:val="center"/>
              <w:rPr>
                <w:rFonts w:ascii="Times New Roman" w:hAnsi="Times New Roman"/>
                <w:sz w:val="20"/>
                <w:szCs w:val="20"/>
                <w:lang w:eastAsia="ru-RU"/>
              </w:rPr>
            </w:pPr>
            <w:r w:rsidRPr="00E36976">
              <w:rPr>
                <w:rFonts w:ascii="Times New Roman" w:hAnsi="Times New Roman"/>
                <w:sz w:val="20"/>
                <w:szCs w:val="20"/>
                <w:lang w:eastAsia="ru-RU"/>
              </w:rPr>
              <w:t>440,5</w:t>
            </w:r>
          </w:p>
        </w:tc>
        <w:tc>
          <w:tcPr>
            <w:tcW w:w="993" w:type="dxa"/>
            <w:noWrap/>
          </w:tcPr>
          <w:p w:rsidR="002D1E45" w:rsidRPr="00A56484" w:rsidRDefault="002D1E45" w:rsidP="00E36976">
            <w:pPr>
              <w:spacing w:after="0" w:line="240" w:lineRule="auto"/>
              <w:jc w:val="center"/>
              <w:rPr>
                <w:rFonts w:ascii="Times New Roman" w:hAnsi="Times New Roman"/>
                <w:sz w:val="20"/>
                <w:szCs w:val="20"/>
                <w:lang w:eastAsia="ru-RU"/>
              </w:rPr>
            </w:pPr>
            <w:r w:rsidRPr="00E36976">
              <w:rPr>
                <w:rFonts w:ascii="Times New Roman" w:hAnsi="Times New Roman"/>
                <w:sz w:val="20"/>
                <w:szCs w:val="20"/>
                <w:lang w:eastAsia="ru-RU"/>
              </w:rPr>
              <w:t>658,5</w:t>
            </w:r>
          </w:p>
        </w:tc>
      </w:tr>
    </w:tbl>
    <w:p w:rsidR="002D1E45" w:rsidRDefault="002D1E45" w:rsidP="00405393">
      <w:pPr>
        <w:spacing w:after="0" w:line="240" w:lineRule="auto"/>
        <w:ind w:firstLine="709"/>
        <w:jc w:val="both"/>
        <w:rPr>
          <w:rFonts w:ascii="Times New Roman" w:hAnsi="Times New Roman"/>
          <w:sz w:val="28"/>
          <w:szCs w:val="28"/>
        </w:rPr>
      </w:pPr>
    </w:p>
    <w:p w:rsidR="002D1E45" w:rsidRPr="00405393" w:rsidRDefault="002D1E45" w:rsidP="00405393">
      <w:pPr>
        <w:spacing w:after="0" w:line="240" w:lineRule="auto"/>
        <w:ind w:firstLine="709"/>
        <w:jc w:val="both"/>
        <w:rPr>
          <w:rFonts w:ascii="Times New Roman" w:hAnsi="Times New Roman"/>
          <w:sz w:val="28"/>
          <w:szCs w:val="28"/>
        </w:rPr>
      </w:pPr>
      <w:r w:rsidRPr="00405393">
        <w:rPr>
          <w:rFonts w:ascii="Times New Roman" w:hAnsi="Times New Roman"/>
          <w:sz w:val="28"/>
          <w:szCs w:val="28"/>
        </w:rPr>
        <w:t>У водозаборов на</w:t>
      </w:r>
      <w:r>
        <w:rPr>
          <w:rFonts w:ascii="Times New Roman" w:hAnsi="Times New Roman"/>
          <w:sz w:val="28"/>
          <w:szCs w:val="28"/>
        </w:rPr>
        <w:t> </w:t>
      </w:r>
      <w:r w:rsidRPr="00405393">
        <w:rPr>
          <w:rFonts w:ascii="Times New Roman" w:hAnsi="Times New Roman"/>
          <w:sz w:val="28"/>
          <w:szCs w:val="28"/>
        </w:rPr>
        <w:t>источник</w:t>
      </w:r>
      <w:r>
        <w:rPr>
          <w:rFonts w:ascii="Times New Roman" w:hAnsi="Times New Roman"/>
          <w:sz w:val="28"/>
          <w:szCs w:val="28"/>
        </w:rPr>
        <w:t>ах</w:t>
      </w:r>
      <w:r w:rsidRPr="00405393">
        <w:rPr>
          <w:rFonts w:ascii="Times New Roman" w:hAnsi="Times New Roman"/>
          <w:sz w:val="28"/>
          <w:szCs w:val="28"/>
        </w:rPr>
        <w:t xml:space="preserve"> водоснабжения необходимо организовать зону санитарной охраны в</w:t>
      </w:r>
      <w:r>
        <w:rPr>
          <w:rFonts w:ascii="Times New Roman" w:hAnsi="Times New Roman"/>
          <w:sz w:val="28"/>
          <w:szCs w:val="28"/>
        </w:rPr>
        <w:t> </w:t>
      </w:r>
      <w:r w:rsidRPr="00405393">
        <w:rPr>
          <w:rFonts w:ascii="Times New Roman" w:hAnsi="Times New Roman"/>
          <w:sz w:val="28"/>
          <w:szCs w:val="28"/>
        </w:rPr>
        <w:t>составе 3 поясов с</w:t>
      </w:r>
      <w:r>
        <w:rPr>
          <w:rFonts w:ascii="Times New Roman" w:hAnsi="Times New Roman"/>
          <w:sz w:val="28"/>
          <w:szCs w:val="28"/>
        </w:rPr>
        <w:t> </w:t>
      </w:r>
      <w:r w:rsidRPr="00405393">
        <w:rPr>
          <w:rFonts w:ascii="Times New Roman" w:hAnsi="Times New Roman"/>
          <w:sz w:val="28"/>
          <w:szCs w:val="28"/>
        </w:rPr>
        <w:t>целью исключения его загрязнения.</w:t>
      </w:r>
    </w:p>
    <w:p w:rsidR="002D1E45" w:rsidRPr="005E6B35" w:rsidRDefault="002D1E45" w:rsidP="005E6B35">
      <w:pPr>
        <w:spacing w:after="0" w:line="240" w:lineRule="auto"/>
        <w:ind w:firstLine="709"/>
        <w:contextualSpacing/>
        <w:jc w:val="both"/>
        <w:rPr>
          <w:rFonts w:ascii="Times New Roman" w:hAnsi="Times New Roman"/>
          <w:sz w:val="28"/>
          <w:szCs w:val="28"/>
        </w:rPr>
      </w:pPr>
      <w:r>
        <w:rPr>
          <w:rFonts w:ascii="Times New Roman" w:hAnsi="Times New Roman"/>
          <w:sz w:val="28"/>
          <w:szCs w:val="28"/>
        </w:rPr>
        <w:t xml:space="preserve">Запаса мощности имеющихся скважин на территории города достаточно для удовлетворения нужд жителей. </w:t>
      </w:r>
      <w:r w:rsidRPr="005E6B35">
        <w:rPr>
          <w:rFonts w:ascii="Times New Roman" w:hAnsi="Times New Roman"/>
          <w:sz w:val="28"/>
          <w:szCs w:val="28"/>
        </w:rPr>
        <w:t xml:space="preserve">Для обеспечения </w:t>
      </w:r>
      <w:r>
        <w:rPr>
          <w:rFonts w:ascii="Times New Roman" w:hAnsi="Times New Roman"/>
          <w:sz w:val="28"/>
          <w:szCs w:val="28"/>
        </w:rPr>
        <w:t>жителей города Куйбышева</w:t>
      </w:r>
      <w:r w:rsidRPr="005E6B35">
        <w:rPr>
          <w:rFonts w:ascii="Times New Roman" w:hAnsi="Times New Roman"/>
          <w:sz w:val="28"/>
          <w:szCs w:val="28"/>
        </w:rPr>
        <w:t xml:space="preserve"> централизованной системой водоснабжения надлежащего качества предусмотрены следующие мероприятия:</w:t>
      </w:r>
    </w:p>
    <w:p w:rsidR="002D1E45"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5E6B35">
        <w:rPr>
          <w:rFonts w:ascii="Times New Roman" w:hAnsi="Times New Roman"/>
          <w:sz w:val="28"/>
          <w:szCs w:val="28"/>
        </w:rPr>
        <w:t xml:space="preserve">на первую очередь: </w:t>
      </w:r>
    </w:p>
    <w:p w:rsidR="002D1E45" w:rsidRDefault="002D1E45" w:rsidP="00D05D06">
      <w:pPr>
        <w:pStyle w:val="ListParagraph"/>
        <w:numPr>
          <w:ilvl w:val="0"/>
          <w:numId w:val="67"/>
        </w:numPr>
        <w:spacing w:after="0" w:line="240" w:lineRule="auto"/>
        <w:jc w:val="both"/>
        <w:rPr>
          <w:rFonts w:ascii="Times New Roman" w:hAnsi="Times New Roman"/>
          <w:sz w:val="28"/>
          <w:szCs w:val="28"/>
        </w:rPr>
      </w:pPr>
      <w:r>
        <w:rPr>
          <w:rFonts w:ascii="Times New Roman" w:hAnsi="Times New Roman"/>
          <w:sz w:val="28"/>
          <w:szCs w:val="28"/>
        </w:rPr>
        <w:t>с</w:t>
      </w:r>
      <w:r w:rsidRPr="001C58BD">
        <w:rPr>
          <w:rFonts w:ascii="Times New Roman" w:hAnsi="Times New Roman"/>
          <w:sz w:val="28"/>
          <w:szCs w:val="28"/>
        </w:rPr>
        <w:t xml:space="preserve">троительство </w:t>
      </w:r>
      <w:r>
        <w:rPr>
          <w:rFonts w:ascii="Times New Roman" w:hAnsi="Times New Roman"/>
          <w:sz w:val="28"/>
          <w:szCs w:val="28"/>
        </w:rPr>
        <w:t>новой ВОС мощностью 13 тыс. м</w:t>
      </w:r>
      <w:r>
        <w:rPr>
          <w:rFonts w:ascii="Times New Roman" w:hAnsi="Times New Roman"/>
          <w:sz w:val="28"/>
          <w:szCs w:val="28"/>
          <w:vertAlign w:val="superscript"/>
        </w:rPr>
        <w:t>3</w:t>
      </w:r>
      <w:r>
        <w:rPr>
          <w:rFonts w:ascii="Times New Roman" w:hAnsi="Times New Roman"/>
          <w:sz w:val="28"/>
          <w:szCs w:val="28"/>
        </w:rPr>
        <w:t>/сут.;</w:t>
      </w:r>
    </w:p>
    <w:p w:rsidR="002D1E45" w:rsidRPr="001C58BD" w:rsidRDefault="002D1E45" w:rsidP="00D05D06">
      <w:pPr>
        <w:pStyle w:val="ListParagraph"/>
        <w:numPr>
          <w:ilvl w:val="0"/>
          <w:numId w:val="67"/>
        </w:numPr>
        <w:spacing w:after="0" w:line="240" w:lineRule="auto"/>
        <w:jc w:val="both"/>
        <w:rPr>
          <w:rFonts w:ascii="Times New Roman" w:hAnsi="Times New Roman"/>
          <w:sz w:val="28"/>
          <w:szCs w:val="28"/>
        </w:rPr>
      </w:pPr>
      <w:r>
        <w:rPr>
          <w:rFonts w:ascii="Times New Roman" w:hAnsi="Times New Roman"/>
          <w:sz w:val="28"/>
          <w:szCs w:val="28"/>
        </w:rPr>
        <w:t>с</w:t>
      </w:r>
      <w:r w:rsidRPr="001C58BD">
        <w:rPr>
          <w:rFonts w:ascii="Times New Roman" w:hAnsi="Times New Roman"/>
          <w:sz w:val="28"/>
          <w:szCs w:val="28"/>
        </w:rPr>
        <w:t xml:space="preserve">троительство артезианской скважины </w:t>
      </w:r>
      <w:r>
        <w:rPr>
          <w:rFonts w:ascii="Times New Roman" w:hAnsi="Times New Roman"/>
          <w:sz w:val="28"/>
          <w:szCs w:val="28"/>
        </w:rPr>
        <w:t xml:space="preserve">по </w:t>
      </w:r>
      <w:r w:rsidRPr="001C58BD">
        <w:rPr>
          <w:rFonts w:ascii="Times New Roman" w:hAnsi="Times New Roman"/>
          <w:sz w:val="28"/>
          <w:szCs w:val="28"/>
        </w:rPr>
        <w:t>ул.</w:t>
      </w:r>
      <w:r>
        <w:rPr>
          <w:rFonts w:ascii="Times New Roman" w:hAnsi="Times New Roman"/>
          <w:sz w:val="28"/>
          <w:szCs w:val="28"/>
        </w:rPr>
        <w:t xml:space="preserve"> </w:t>
      </w:r>
      <w:r w:rsidRPr="001C58BD">
        <w:rPr>
          <w:rFonts w:ascii="Times New Roman" w:hAnsi="Times New Roman"/>
          <w:sz w:val="28"/>
          <w:szCs w:val="28"/>
        </w:rPr>
        <w:t>Бородина</w:t>
      </w:r>
      <w:r>
        <w:rPr>
          <w:rFonts w:ascii="Times New Roman" w:hAnsi="Times New Roman"/>
          <w:sz w:val="28"/>
          <w:szCs w:val="28"/>
        </w:rPr>
        <w:t>;</w:t>
      </w:r>
    </w:p>
    <w:p w:rsidR="002D1E45" w:rsidRPr="001C58BD" w:rsidRDefault="002D1E45" w:rsidP="00D05D06">
      <w:pPr>
        <w:pStyle w:val="ListParagraph"/>
        <w:numPr>
          <w:ilvl w:val="0"/>
          <w:numId w:val="67"/>
        </w:numPr>
        <w:spacing w:after="0" w:line="240" w:lineRule="auto"/>
        <w:jc w:val="both"/>
        <w:rPr>
          <w:rFonts w:ascii="Times New Roman" w:hAnsi="Times New Roman"/>
          <w:sz w:val="28"/>
          <w:szCs w:val="28"/>
        </w:rPr>
      </w:pPr>
      <w:r>
        <w:rPr>
          <w:rFonts w:ascii="Times New Roman" w:hAnsi="Times New Roman"/>
          <w:sz w:val="28"/>
          <w:szCs w:val="28"/>
        </w:rPr>
        <w:t>с</w:t>
      </w:r>
      <w:r w:rsidRPr="001C58BD">
        <w:rPr>
          <w:rFonts w:ascii="Times New Roman" w:hAnsi="Times New Roman"/>
          <w:sz w:val="28"/>
          <w:szCs w:val="28"/>
        </w:rPr>
        <w:t xml:space="preserve">троительство артезианской скважины </w:t>
      </w:r>
      <w:r>
        <w:rPr>
          <w:rFonts w:ascii="Times New Roman" w:hAnsi="Times New Roman"/>
          <w:sz w:val="28"/>
          <w:szCs w:val="28"/>
        </w:rPr>
        <w:t xml:space="preserve">по </w:t>
      </w:r>
      <w:r w:rsidRPr="001C58BD">
        <w:rPr>
          <w:rFonts w:ascii="Times New Roman" w:hAnsi="Times New Roman"/>
          <w:sz w:val="28"/>
          <w:szCs w:val="28"/>
        </w:rPr>
        <w:t>ул.</w:t>
      </w:r>
      <w:r>
        <w:rPr>
          <w:rFonts w:ascii="Times New Roman" w:hAnsi="Times New Roman"/>
          <w:sz w:val="28"/>
          <w:szCs w:val="28"/>
        </w:rPr>
        <w:t xml:space="preserve"> </w:t>
      </w:r>
      <w:r w:rsidRPr="001C58BD">
        <w:rPr>
          <w:rFonts w:ascii="Times New Roman" w:hAnsi="Times New Roman"/>
          <w:sz w:val="28"/>
          <w:szCs w:val="28"/>
        </w:rPr>
        <w:t>Артемьева</w:t>
      </w:r>
      <w:r>
        <w:rPr>
          <w:rFonts w:ascii="Times New Roman" w:hAnsi="Times New Roman"/>
          <w:sz w:val="28"/>
          <w:szCs w:val="28"/>
        </w:rPr>
        <w:t>;</w:t>
      </w:r>
    </w:p>
    <w:p w:rsidR="002D1E45" w:rsidRDefault="002D1E45" w:rsidP="00D05D06">
      <w:pPr>
        <w:pStyle w:val="ListParagraph"/>
        <w:numPr>
          <w:ilvl w:val="0"/>
          <w:numId w:val="67"/>
        </w:numPr>
        <w:spacing w:after="0" w:line="240" w:lineRule="auto"/>
        <w:jc w:val="both"/>
        <w:rPr>
          <w:rFonts w:ascii="Times New Roman" w:hAnsi="Times New Roman"/>
          <w:sz w:val="28"/>
          <w:szCs w:val="28"/>
        </w:rPr>
      </w:pPr>
      <w:r>
        <w:rPr>
          <w:rFonts w:ascii="Times New Roman" w:hAnsi="Times New Roman"/>
          <w:sz w:val="28"/>
          <w:szCs w:val="28"/>
        </w:rPr>
        <w:t>р</w:t>
      </w:r>
      <w:r w:rsidRPr="001C58BD">
        <w:rPr>
          <w:rFonts w:ascii="Times New Roman" w:hAnsi="Times New Roman"/>
          <w:sz w:val="28"/>
          <w:szCs w:val="28"/>
        </w:rPr>
        <w:t xml:space="preserve">еконструкция части водопроводных сетей от камеры м-н </w:t>
      </w:r>
      <w:r>
        <w:rPr>
          <w:rFonts w:ascii="Times New Roman" w:hAnsi="Times New Roman"/>
          <w:sz w:val="28"/>
          <w:szCs w:val="28"/>
        </w:rPr>
        <w:t>«</w:t>
      </w:r>
      <w:r w:rsidRPr="001C58BD">
        <w:rPr>
          <w:rFonts w:ascii="Times New Roman" w:hAnsi="Times New Roman"/>
          <w:sz w:val="28"/>
          <w:szCs w:val="28"/>
        </w:rPr>
        <w:t>Южный</w:t>
      </w:r>
      <w:r>
        <w:rPr>
          <w:rFonts w:ascii="Times New Roman" w:hAnsi="Times New Roman"/>
          <w:sz w:val="28"/>
          <w:szCs w:val="28"/>
        </w:rPr>
        <w:t>»</w:t>
      </w:r>
      <w:r w:rsidRPr="001C58BD">
        <w:rPr>
          <w:rFonts w:ascii="Times New Roman" w:hAnsi="Times New Roman"/>
          <w:sz w:val="28"/>
          <w:szCs w:val="28"/>
        </w:rPr>
        <w:t xml:space="preserve"> до ЦТП Южный</w:t>
      </w:r>
      <w:r w:rsidRPr="005E6B35">
        <w:rPr>
          <w:rFonts w:ascii="Times New Roman" w:hAnsi="Times New Roman"/>
          <w:sz w:val="28"/>
          <w:szCs w:val="28"/>
        </w:rPr>
        <w:t xml:space="preserve">; </w:t>
      </w:r>
    </w:p>
    <w:p w:rsidR="002D1E45"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5E6B35">
        <w:rPr>
          <w:rFonts w:ascii="Times New Roman" w:hAnsi="Times New Roman"/>
          <w:sz w:val="28"/>
          <w:szCs w:val="28"/>
        </w:rPr>
        <w:t xml:space="preserve">на расчётный срок: </w:t>
      </w:r>
    </w:p>
    <w:p w:rsidR="002D1E45" w:rsidRPr="005E6B35" w:rsidRDefault="002D1E45" w:rsidP="00D05D06">
      <w:pPr>
        <w:pStyle w:val="ListParagraph"/>
        <w:numPr>
          <w:ilvl w:val="0"/>
          <w:numId w:val="67"/>
        </w:numPr>
        <w:spacing w:after="0" w:line="240" w:lineRule="auto"/>
        <w:jc w:val="both"/>
        <w:rPr>
          <w:rFonts w:ascii="Times New Roman" w:hAnsi="Times New Roman"/>
          <w:sz w:val="28"/>
          <w:szCs w:val="28"/>
        </w:rPr>
      </w:pPr>
      <w:r w:rsidRPr="005E6B35">
        <w:rPr>
          <w:rFonts w:ascii="Times New Roman" w:hAnsi="Times New Roman"/>
          <w:sz w:val="28"/>
          <w:szCs w:val="28"/>
        </w:rPr>
        <w:t xml:space="preserve">строительство магистральных водопроводных сетей диаметром 110, 200 мм, общей протяжённостью </w:t>
      </w:r>
      <w:r>
        <w:rPr>
          <w:rFonts w:ascii="Times New Roman" w:hAnsi="Times New Roman"/>
          <w:sz w:val="28"/>
          <w:szCs w:val="28"/>
        </w:rPr>
        <w:t>не менее 20</w:t>
      </w:r>
      <w:r w:rsidRPr="005E6B35">
        <w:rPr>
          <w:rFonts w:ascii="Times New Roman" w:hAnsi="Times New Roman"/>
          <w:sz w:val="28"/>
          <w:szCs w:val="28"/>
        </w:rPr>
        <w:t xml:space="preserve"> км.</w:t>
      </w:r>
    </w:p>
    <w:p w:rsidR="002D1E45" w:rsidRPr="005E6B35" w:rsidRDefault="002D1E45" w:rsidP="005E6B35">
      <w:pPr>
        <w:spacing w:after="0" w:line="240" w:lineRule="auto"/>
        <w:ind w:firstLine="709"/>
        <w:contextualSpacing/>
        <w:jc w:val="both"/>
        <w:rPr>
          <w:rFonts w:ascii="Times New Roman" w:hAnsi="Times New Roman"/>
          <w:sz w:val="28"/>
          <w:szCs w:val="28"/>
        </w:rPr>
      </w:pPr>
      <w:r w:rsidRPr="005E6B35">
        <w:rPr>
          <w:rFonts w:ascii="Times New Roman" w:hAnsi="Times New Roman"/>
          <w:sz w:val="28"/>
          <w:szCs w:val="28"/>
        </w:rPr>
        <w:t>Технические характеристики объектов и</w:t>
      </w:r>
      <w:r>
        <w:rPr>
          <w:rFonts w:ascii="Times New Roman" w:hAnsi="Times New Roman"/>
          <w:sz w:val="28"/>
          <w:szCs w:val="28"/>
        </w:rPr>
        <w:t> </w:t>
      </w:r>
      <w:r w:rsidRPr="005E6B35">
        <w:rPr>
          <w:rFonts w:ascii="Times New Roman" w:hAnsi="Times New Roman"/>
          <w:sz w:val="28"/>
          <w:szCs w:val="28"/>
        </w:rPr>
        <w:t>сетей системы водоснабжения уточнить на</w:t>
      </w:r>
      <w:r>
        <w:rPr>
          <w:rFonts w:ascii="Times New Roman" w:hAnsi="Times New Roman"/>
          <w:sz w:val="28"/>
          <w:szCs w:val="28"/>
        </w:rPr>
        <w:t> </w:t>
      </w:r>
      <w:r w:rsidRPr="005E6B35">
        <w:rPr>
          <w:rFonts w:ascii="Times New Roman" w:hAnsi="Times New Roman"/>
          <w:sz w:val="28"/>
          <w:szCs w:val="28"/>
        </w:rPr>
        <w:t>стадии проектирования. При разработке проектной документации предусмотреть мероприятия по</w:t>
      </w:r>
      <w:r>
        <w:rPr>
          <w:rFonts w:ascii="Times New Roman" w:hAnsi="Times New Roman"/>
          <w:sz w:val="28"/>
          <w:szCs w:val="28"/>
        </w:rPr>
        <w:t> </w:t>
      </w:r>
      <w:r w:rsidRPr="005E6B35">
        <w:rPr>
          <w:rFonts w:ascii="Times New Roman" w:hAnsi="Times New Roman"/>
          <w:sz w:val="28"/>
          <w:szCs w:val="28"/>
        </w:rPr>
        <w:t>пожаротушению, согласно требованиям, СНиП 2.04.02-84*.</w:t>
      </w:r>
    </w:p>
    <w:p w:rsidR="002D1E45" w:rsidRDefault="002D1E45" w:rsidP="00807F63">
      <w:pPr>
        <w:spacing w:after="0" w:line="240" w:lineRule="auto"/>
        <w:ind w:firstLine="709"/>
        <w:contextualSpacing/>
        <w:jc w:val="both"/>
        <w:rPr>
          <w:rFonts w:ascii="Times New Roman" w:hAnsi="Times New Roman"/>
          <w:sz w:val="28"/>
          <w:szCs w:val="28"/>
        </w:rPr>
      </w:pPr>
      <w:r w:rsidRPr="00807F63">
        <w:rPr>
          <w:rFonts w:ascii="Times New Roman" w:hAnsi="Times New Roman"/>
          <w:sz w:val="28"/>
          <w:szCs w:val="28"/>
        </w:rPr>
        <w:t>Диаметры трубопроводов водопроводной сети рассчитаны из</w:t>
      </w:r>
      <w:r>
        <w:rPr>
          <w:rFonts w:ascii="Times New Roman" w:hAnsi="Times New Roman"/>
          <w:sz w:val="28"/>
          <w:szCs w:val="28"/>
        </w:rPr>
        <w:t> </w:t>
      </w:r>
      <w:r w:rsidRPr="00807F63">
        <w:rPr>
          <w:rFonts w:ascii="Times New Roman" w:hAnsi="Times New Roman"/>
          <w:sz w:val="28"/>
          <w:szCs w:val="28"/>
        </w:rPr>
        <w:t>условия пропуска расчётного расхода (хозяйственно-питьевой и</w:t>
      </w:r>
      <w:r>
        <w:rPr>
          <w:rFonts w:ascii="Times New Roman" w:hAnsi="Times New Roman"/>
          <w:sz w:val="28"/>
          <w:szCs w:val="28"/>
        </w:rPr>
        <w:t> </w:t>
      </w:r>
      <w:r w:rsidRPr="00807F63">
        <w:rPr>
          <w:rFonts w:ascii="Times New Roman" w:hAnsi="Times New Roman"/>
          <w:sz w:val="28"/>
          <w:szCs w:val="28"/>
        </w:rPr>
        <w:t>противопожарный) с</w:t>
      </w:r>
      <w:r>
        <w:rPr>
          <w:rFonts w:ascii="Times New Roman" w:hAnsi="Times New Roman"/>
          <w:sz w:val="28"/>
          <w:szCs w:val="28"/>
        </w:rPr>
        <w:t> </w:t>
      </w:r>
      <w:r w:rsidRPr="00807F63">
        <w:rPr>
          <w:rFonts w:ascii="Times New Roman" w:hAnsi="Times New Roman"/>
          <w:sz w:val="28"/>
          <w:szCs w:val="28"/>
        </w:rPr>
        <w:t xml:space="preserve">оптимальной скоростью. </w:t>
      </w:r>
      <w:r w:rsidRPr="003A0398">
        <w:rPr>
          <w:rFonts w:ascii="Times New Roman" w:hAnsi="Times New Roman"/>
          <w:sz w:val="28"/>
          <w:szCs w:val="28"/>
        </w:rPr>
        <w:t>Выбор диаметров труб водоводов и</w:t>
      </w:r>
      <w:r>
        <w:rPr>
          <w:rFonts w:ascii="Times New Roman" w:hAnsi="Times New Roman"/>
          <w:sz w:val="28"/>
          <w:szCs w:val="28"/>
        </w:rPr>
        <w:t> </w:t>
      </w:r>
      <w:r w:rsidRPr="003A0398">
        <w:rPr>
          <w:rFonts w:ascii="Times New Roman" w:hAnsi="Times New Roman"/>
          <w:sz w:val="28"/>
          <w:szCs w:val="28"/>
        </w:rPr>
        <w:t>водопроводных сетей надлежит производить на</w:t>
      </w:r>
      <w:r>
        <w:rPr>
          <w:rFonts w:ascii="Times New Roman" w:hAnsi="Times New Roman"/>
          <w:sz w:val="28"/>
          <w:szCs w:val="28"/>
        </w:rPr>
        <w:t> </w:t>
      </w:r>
      <w:r w:rsidRPr="003A0398">
        <w:rPr>
          <w:rFonts w:ascii="Times New Roman" w:hAnsi="Times New Roman"/>
          <w:sz w:val="28"/>
          <w:szCs w:val="28"/>
        </w:rPr>
        <w:t xml:space="preserve">основании проекта водоснабжения </w:t>
      </w:r>
      <w:r>
        <w:rPr>
          <w:rFonts w:ascii="Times New Roman" w:hAnsi="Times New Roman"/>
          <w:sz w:val="28"/>
          <w:szCs w:val="28"/>
        </w:rPr>
        <w:t>населённых пунктов</w:t>
      </w:r>
      <w:r w:rsidRPr="003A0398">
        <w:rPr>
          <w:rFonts w:ascii="Times New Roman" w:hAnsi="Times New Roman"/>
          <w:sz w:val="28"/>
          <w:szCs w:val="28"/>
        </w:rPr>
        <w:t>, учитывая при этом условия их</w:t>
      </w:r>
      <w:r>
        <w:rPr>
          <w:rFonts w:ascii="Times New Roman" w:hAnsi="Times New Roman"/>
          <w:sz w:val="28"/>
          <w:szCs w:val="28"/>
        </w:rPr>
        <w:t> </w:t>
      </w:r>
      <w:r w:rsidRPr="003A0398">
        <w:rPr>
          <w:rFonts w:ascii="Times New Roman" w:hAnsi="Times New Roman"/>
          <w:sz w:val="28"/>
          <w:szCs w:val="28"/>
        </w:rPr>
        <w:t>работы при аварийном выключении отдельных участков. В</w:t>
      </w:r>
      <w:r>
        <w:rPr>
          <w:rFonts w:ascii="Times New Roman" w:hAnsi="Times New Roman"/>
          <w:sz w:val="28"/>
          <w:szCs w:val="28"/>
        </w:rPr>
        <w:t> </w:t>
      </w:r>
      <w:r w:rsidRPr="003A0398">
        <w:rPr>
          <w:rFonts w:ascii="Times New Roman" w:hAnsi="Times New Roman"/>
          <w:sz w:val="28"/>
          <w:szCs w:val="28"/>
        </w:rPr>
        <w:t>соответствии с</w:t>
      </w:r>
      <w:r>
        <w:rPr>
          <w:rFonts w:ascii="Times New Roman" w:hAnsi="Times New Roman"/>
          <w:sz w:val="28"/>
          <w:szCs w:val="28"/>
        </w:rPr>
        <w:t> </w:t>
      </w:r>
      <w:r w:rsidRPr="003A0398">
        <w:rPr>
          <w:rFonts w:ascii="Times New Roman" w:hAnsi="Times New Roman"/>
          <w:sz w:val="28"/>
          <w:szCs w:val="28"/>
        </w:rPr>
        <w:t>СП 31.13330.2012 «Водоснабжение. Наружные сети и</w:t>
      </w:r>
      <w:r>
        <w:rPr>
          <w:rFonts w:ascii="Times New Roman" w:hAnsi="Times New Roman"/>
          <w:sz w:val="28"/>
          <w:szCs w:val="28"/>
        </w:rPr>
        <w:t> </w:t>
      </w:r>
      <w:r w:rsidRPr="003A0398">
        <w:rPr>
          <w:rFonts w:ascii="Times New Roman" w:hAnsi="Times New Roman"/>
          <w:sz w:val="28"/>
          <w:szCs w:val="28"/>
        </w:rPr>
        <w:t>сооружения» диаметр труб водопровода должен быть не</w:t>
      </w:r>
      <w:r>
        <w:rPr>
          <w:rFonts w:ascii="Times New Roman" w:hAnsi="Times New Roman"/>
          <w:sz w:val="28"/>
          <w:szCs w:val="28"/>
        </w:rPr>
        <w:t> </w:t>
      </w:r>
      <w:r w:rsidRPr="003A0398">
        <w:rPr>
          <w:rFonts w:ascii="Times New Roman" w:hAnsi="Times New Roman"/>
          <w:sz w:val="28"/>
          <w:szCs w:val="28"/>
        </w:rPr>
        <w:t>менее 75 мм.</w:t>
      </w:r>
      <w:r>
        <w:rPr>
          <w:rFonts w:ascii="Times New Roman" w:hAnsi="Times New Roman"/>
          <w:sz w:val="28"/>
          <w:szCs w:val="28"/>
        </w:rPr>
        <w:t xml:space="preserve"> </w:t>
      </w:r>
    </w:p>
    <w:p w:rsidR="002D1E45" w:rsidRPr="003A0398" w:rsidRDefault="002D1E45" w:rsidP="005E6B35">
      <w:pPr>
        <w:spacing w:after="0" w:line="240" w:lineRule="auto"/>
        <w:ind w:firstLine="709"/>
        <w:contextualSpacing/>
        <w:jc w:val="both"/>
        <w:rPr>
          <w:rFonts w:ascii="Times New Roman" w:hAnsi="Times New Roman"/>
          <w:sz w:val="28"/>
          <w:szCs w:val="28"/>
        </w:rPr>
      </w:pPr>
      <w:r w:rsidRPr="00807F63">
        <w:rPr>
          <w:rFonts w:ascii="Times New Roman" w:hAnsi="Times New Roman"/>
          <w:sz w:val="28"/>
          <w:szCs w:val="28"/>
        </w:rPr>
        <w:t xml:space="preserve">Материал водопроводных сетей </w:t>
      </w:r>
      <w:r>
        <w:rPr>
          <w:rFonts w:ascii="Times New Roman" w:hAnsi="Times New Roman"/>
          <w:sz w:val="28"/>
          <w:szCs w:val="28"/>
        </w:rPr>
        <w:t>–</w:t>
      </w:r>
      <w:r w:rsidRPr="00807F63">
        <w:rPr>
          <w:rFonts w:ascii="Times New Roman" w:hAnsi="Times New Roman"/>
          <w:sz w:val="28"/>
          <w:szCs w:val="28"/>
        </w:rPr>
        <w:t xml:space="preserve"> полимер.</w:t>
      </w:r>
    </w:p>
    <w:p w:rsidR="002D1E45" w:rsidRPr="003A0398" w:rsidRDefault="002D1E45" w:rsidP="003A0398">
      <w:pPr>
        <w:spacing w:after="0" w:line="240" w:lineRule="auto"/>
        <w:ind w:firstLine="709"/>
        <w:contextualSpacing/>
        <w:jc w:val="both"/>
        <w:rPr>
          <w:rFonts w:ascii="Times New Roman" w:hAnsi="Times New Roman"/>
          <w:sz w:val="28"/>
          <w:szCs w:val="28"/>
        </w:rPr>
      </w:pPr>
      <w:r w:rsidRPr="003A0398">
        <w:rPr>
          <w:rFonts w:ascii="Times New Roman" w:hAnsi="Times New Roman"/>
          <w:sz w:val="28"/>
          <w:szCs w:val="28"/>
        </w:rPr>
        <w:t>Расположение линий водопровода на</w:t>
      </w:r>
      <w:r>
        <w:rPr>
          <w:rFonts w:ascii="Times New Roman" w:hAnsi="Times New Roman"/>
          <w:sz w:val="28"/>
          <w:szCs w:val="28"/>
        </w:rPr>
        <w:t> </w:t>
      </w:r>
      <w:r w:rsidRPr="003A0398">
        <w:rPr>
          <w:rFonts w:ascii="Times New Roman" w:hAnsi="Times New Roman"/>
          <w:sz w:val="28"/>
          <w:szCs w:val="28"/>
        </w:rPr>
        <w:t>схеме генерального плана, а</w:t>
      </w:r>
      <w:r>
        <w:rPr>
          <w:rFonts w:ascii="Times New Roman" w:hAnsi="Times New Roman"/>
          <w:sz w:val="28"/>
          <w:szCs w:val="28"/>
        </w:rPr>
        <w:t> </w:t>
      </w:r>
      <w:r w:rsidRPr="003A0398">
        <w:rPr>
          <w:rFonts w:ascii="Times New Roman" w:hAnsi="Times New Roman"/>
          <w:sz w:val="28"/>
          <w:szCs w:val="28"/>
        </w:rPr>
        <w:t>также минимальные расстояния в</w:t>
      </w:r>
      <w:r>
        <w:rPr>
          <w:rFonts w:ascii="Times New Roman" w:hAnsi="Times New Roman"/>
          <w:sz w:val="28"/>
          <w:szCs w:val="28"/>
        </w:rPr>
        <w:t> </w:t>
      </w:r>
      <w:r w:rsidRPr="003A0398">
        <w:rPr>
          <w:rFonts w:ascii="Times New Roman" w:hAnsi="Times New Roman"/>
          <w:sz w:val="28"/>
          <w:szCs w:val="28"/>
        </w:rPr>
        <w:t>плане и</w:t>
      </w:r>
      <w:r>
        <w:rPr>
          <w:rFonts w:ascii="Times New Roman" w:hAnsi="Times New Roman"/>
          <w:sz w:val="28"/>
          <w:szCs w:val="28"/>
        </w:rPr>
        <w:t> </w:t>
      </w:r>
      <w:r w:rsidRPr="003A0398">
        <w:rPr>
          <w:rFonts w:ascii="Times New Roman" w:hAnsi="Times New Roman"/>
          <w:sz w:val="28"/>
          <w:szCs w:val="28"/>
        </w:rPr>
        <w:t>при пересечениях от</w:t>
      </w:r>
      <w:r>
        <w:rPr>
          <w:rFonts w:ascii="Times New Roman" w:hAnsi="Times New Roman"/>
          <w:sz w:val="28"/>
          <w:szCs w:val="28"/>
        </w:rPr>
        <w:t> </w:t>
      </w:r>
      <w:r w:rsidRPr="003A0398">
        <w:rPr>
          <w:rFonts w:ascii="Times New Roman" w:hAnsi="Times New Roman"/>
          <w:sz w:val="28"/>
          <w:szCs w:val="28"/>
        </w:rPr>
        <w:t>наружной поверхности труб до</w:t>
      </w:r>
      <w:r>
        <w:rPr>
          <w:rFonts w:ascii="Times New Roman" w:hAnsi="Times New Roman"/>
          <w:sz w:val="28"/>
          <w:szCs w:val="28"/>
        </w:rPr>
        <w:t> </w:t>
      </w:r>
      <w:r w:rsidRPr="003A0398">
        <w:rPr>
          <w:rFonts w:ascii="Times New Roman" w:hAnsi="Times New Roman"/>
          <w:sz w:val="28"/>
          <w:szCs w:val="28"/>
        </w:rPr>
        <w:t>сооружений и</w:t>
      </w:r>
      <w:r>
        <w:rPr>
          <w:rFonts w:ascii="Times New Roman" w:hAnsi="Times New Roman"/>
          <w:sz w:val="28"/>
          <w:szCs w:val="28"/>
        </w:rPr>
        <w:t> </w:t>
      </w:r>
      <w:r w:rsidRPr="003A0398">
        <w:rPr>
          <w:rFonts w:ascii="Times New Roman" w:hAnsi="Times New Roman"/>
          <w:sz w:val="28"/>
          <w:szCs w:val="28"/>
        </w:rPr>
        <w:t xml:space="preserve">инженерных сетей должны приниматься согласно СП </w:t>
      </w:r>
      <w:r>
        <w:rPr>
          <w:rFonts w:ascii="Times New Roman" w:hAnsi="Times New Roman"/>
          <w:sz w:val="28"/>
          <w:szCs w:val="28"/>
        </w:rPr>
        <w:t>42.13330.2016</w:t>
      </w:r>
      <w:r w:rsidRPr="003A0398">
        <w:rPr>
          <w:rFonts w:ascii="Times New Roman" w:hAnsi="Times New Roman"/>
          <w:sz w:val="28"/>
          <w:szCs w:val="28"/>
        </w:rPr>
        <w:t xml:space="preserve">. </w:t>
      </w:r>
    </w:p>
    <w:p w:rsidR="002D1E45" w:rsidRPr="003A7901" w:rsidRDefault="002D1E45" w:rsidP="003A0398">
      <w:pPr>
        <w:spacing w:after="0" w:line="240" w:lineRule="auto"/>
        <w:ind w:firstLine="709"/>
        <w:contextualSpacing/>
        <w:jc w:val="both"/>
        <w:rPr>
          <w:rFonts w:ascii="Times New Roman" w:hAnsi="Times New Roman"/>
          <w:sz w:val="28"/>
          <w:szCs w:val="28"/>
        </w:rPr>
      </w:pPr>
      <w:r w:rsidRPr="003A7901">
        <w:rPr>
          <w:rFonts w:ascii="Times New Roman" w:hAnsi="Times New Roman"/>
          <w:sz w:val="28"/>
          <w:szCs w:val="28"/>
        </w:rPr>
        <w:t>Основные направления, принципы, задачи и</w:t>
      </w:r>
      <w:r>
        <w:rPr>
          <w:rFonts w:ascii="Times New Roman" w:hAnsi="Times New Roman"/>
          <w:sz w:val="28"/>
          <w:szCs w:val="28"/>
        </w:rPr>
        <w:t> </w:t>
      </w:r>
      <w:r w:rsidRPr="003A7901">
        <w:rPr>
          <w:rFonts w:ascii="Times New Roman" w:hAnsi="Times New Roman"/>
          <w:sz w:val="28"/>
          <w:szCs w:val="28"/>
        </w:rPr>
        <w:t>показатели развития централизованн</w:t>
      </w:r>
      <w:r>
        <w:rPr>
          <w:rFonts w:ascii="Times New Roman" w:hAnsi="Times New Roman"/>
          <w:sz w:val="28"/>
          <w:szCs w:val="28"/>
        </w:rPr>
        <w:t>ой</w:t>
      </w:r>
      <w:r w:rsidRPr="003A7901">
        <w:rPr>
          <w:rFonts w:ascii="Times New Roman" w:hAnsi="Times New Roman"/>
          <w:sz w:val="28"/>
          <w:szCs w:val="28"/>
        </w:rPr>
        <w:t xml:space="preserve"> систем</w:t>
      </w:r>
      <w:r>
        <w:rPr>
          <w:rFonts w:ascii="Times New Roman" w:hAnsi="Times New Roman"/>
          <w:sz w:val="28"/>
          <w:szCs w:val="28"/>
        </w:rPr>
        <w:t>ы</w:t>
      </w:r>
      <w:r w:rsidRPr="003A7901">
        <w:rPr>
          <w:rFonts w:ascii="Times New Roman" w:hAnsi="Times New Roman"/>
          <w:sz w:val="28"/>
          <w:szCs w:val="28"/>
        </w:rPr>
        <w:t xml:space="preserve"> водоснабжения.</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повышение качества питьевой и</w:t>
      </w:r>
      <w:r>
        <w:rPr>
          <w:rFonts w:ascii="Times New Roman" w:hAnsi="Times New Roman"/>
          <w:sz w:val="28"/>
          <w:szCs w:val="28"/>
        </w:rPr>
        <w:t> </w:t>
      </w:r>
      <w:r w:rsidRPr="003A7901">
        <w:rPr>
          <w:rFonts w:ascii="Times New Roman" w:hAnsi="Times New Roman"/>
          <w:sz w:val="28"/>
          <w:szCs w:val="28"/>
        </w:rPr>
        <w:t>горячей воды;</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повышение надёжности водоснабжения с</w:t>
      </w:r>
      <w:r>
        <w:rPr>
          <w:rFonts w:ascii="Times New Roman" w:hAnsi="Times New Roman"/>
          <w:sz w:val="28"/>
          <w:szCs w:val="28"/>
        </w:rPr>
        <w:t> </w:t>
      </w:r>
      <w:r w:rsidRPr="003A7901">
        <w:rPr>
          <w:rFonts w:ascii="Times New Roman" w:hAnsi="Times New Roman"/>
          <w:sz w:val="28"/>
          <w:szCs w:val="28"/>
        </w:rPr>
        <w:t>выделением объектов централизованных систем водоснабжения, которые необходимо построить, модернизировать или реконструировать;</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повышение качества обслуживания абонентов;</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энергосбережение и</w:t>
      </w:r>
      <w:r>
        <w:rPr>
          <w:rFonts w:ascii="Times New Roman" w:hAnsi="Times New Roman"/>
          <w:sz w:val="28"/>
          <w:szCs w:val="28"/>
        </w:rPr>
        <w:t> </w:t>
      </w:r>
      <w:r w:rsidRPr="003A7901">
        <w:rPr>
          <w:rFonts w:ascii="Times New Roman" w:hAnsi="Times New Roman"/>
          <w:sz w:val="28"/>
          <w:szCs w:val="28"/>
        </w:rPr>
        <w:t>повышение энергетической эффективности объектов централизованных систем водоснабжения;</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снижение удельных расходов энергетических ресурсов;</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подключение к</w:t>
      </w:r>
      <w:r>
        <w:rPr>
          <w:rFonts w:ascii="Times New Roman" w:hAnsi="Times New Roman"/>
          <w:sz w:val="28"/>
          <w:szCs w:val="28"/>
        </w:rPr>
        <w:t> </w:t>
      </w:r>
      <w:r w:rsidRPr="003A7901">
        <w:rPr>
          <w:rFonts w:ascii="Times New Roman" w:hAnsi="Times New Roman"/>
          <w:sz w:val="28"/>
          <w:szCs w:val="28"/>
        </w:rPr>
        <w:t>централизованным системам водоснабжения новых абонентов с</w:t>
      </w:r>
      <w:r>
        <w:rPr>
          <w:rFonts w:ascii="Times New Roman" w:hAnsi="Times New Roman"/>
          <w:sz w:val="28"/>
          <w:szCs w:val="28"/>
        </w:rPr>
        <w:t> </w:t>
      </w:r>
      <w:r w:rsidRPr="003A7901">
        <w:rPr>
          <w:rFonts w:ascii="Times New Roman" w:hAnsi="Times New Roman"/>
          <w:sz w:val="28"/>
          <w:szCs w:val="28"/>
        </w:rPr>
        <w:t>указанием мест их</w:t>
      </w:r>
      <w:r>
        <w:rPr>
          <w:rFonts w:ascii="Times New Roman" w:hAnsi="Times New Roman"/>
          <w:sz w:val="28"/>
          <w:szCs w:val="28"/>
        </w:rPr>
        <w:t> </w:t>
      </w:r>
      <w:r w:rsidRPr="003A7901">
        <w:rPr>
          <w:rFonts w:ascii="Times New Roman" w:hAnsi="Times New Roman"/>
          <w:sz w:val="28"/>
          <w:szCs w:val="28"/>
        </w:rPr>
        <w:t>расположения, нагрузок и</w:t>
      </w:r>
      <w:r>
        <w:rPr>
          <w:rFonts w:ascii="Times New Roman" w:hAnsi="Times New Roman"/>
          <w:sz w:val="28"/>
          <w:szCs w:val="28"/>
        </w:rPr>
        <w:t> </w:t>
      </w:r>
      <w:r w:rsidRPr="003A7901">
        <w:rPr>
          <w:rFonts w:ascii="Times New Roman" w:hAnsi="Times New Roman"/>
          <w:sz w:val="28"/>
          <w:szCs w:val="28"/>
        </w:rPr>
        <w:t>сроков подключения, с</w:t>
      </w:r>
      <w:r>
        <w:rPr>
          <w:rFonts w:ascii="Times New Roman" w:hAnsi="Times New Roman"/>
          <w:sz w:val="28"/>
          <w:szCs w:val="28"/>
        </w:rPr>
        <w:t> </w:t>
      </w:r>
      <w:r w:rsidRPr="003A7901">
        <w:rPr>
          <w:rFonts w:ascii="Times New Roman" w:hAnsi="Times New Roman"/>
          <w:sz w:val="28"/>
          <w:szCs w:val="28"/>
        </w:rPr>
        <w:t>выделением объектов, строительство которых финансируется за</w:t>
      </w:r>
      <w:r>
        <w:rPr>
          <w:rFonts w:ascii="Times New Roman" w:hAnsi="Times New Roman"/>
          <w:sz w:val="28"/>
          <w:szCs w:val="28"/>
        </w:rPr>
        <w:t> </w:t>
      </w:r>
      <w:r w:rsidRPr="003A7901">
        <w:rPr>
          <w:rFonts w:ascii="Times New Roman" w:hAnsi="Times New Roman"/>
          <w:sz w:val="28"/>
          <w:szCs w:val="28"/>
        </w:rPr>
        <w:t>счёт утверждённой в</w:t>
      </w:r>
      <w:r>
        <w:rPr>
          <w:rFonts w:ascii="Times New Roman" w:hAnsi="Times New Roman"/>
          <w:sz w:val="28"/>
          <w:szCs w:val="28"/>
        </w:rPr>
        <w:t> </w:t>
      </w:r>
      <w:r w:rsidRPr="003A7901">
        <w:rPr>
          <w:rFonts w:ascii="Times New Roman" w:hAnsi="Times New Roman"/>
          <w:sz w:val="28"/>
          <w:szCs w:val="28"/>
        </w:rPr>
        <w:t>установленном порядке платы за</w:t>
      </w:r>
      <w:r>
        <w:rPr>
          <w:rFonts w:ascii="Times New Roman" w:hAnsi="Times New Roman"/>
          <w:sz w:val="28"/>
          <w:szCs w:val="28"/>
        </w:rPr>
        <w:t> </w:t>
      </w:r>
      <w:r w:rsidRPr="003A7901">
        <w:rPr>
          <w:rFonts w:ascii="Times New Roman" w:hAnsi="Times New Roman"/>
          <w:sz w:val="28"/>
          <w:szCs w:val="28"/>
        </w:rPr>
        <w:t>подключение;</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защиту централизованных систем водоснабжения и</w:t>
      </w:r>
      <w:r>
        <w:rPr>
          <w:rFonts w:ascii="Times New Roman" w:hAnsi="Times New Roman"/>
          <w:sz w:val="28"/>
          <w:szCs w:val="28"/>
        </w:rPr>
        <w:t> </w:t>
      </w:r>
      <w:r w:rsidRPr="003A7901">
        <w:rPr>
          <w:rFonts w:ascii="Times New Roman" w:hAnsi="Times New Roman"/>
          <w:sz w:val="28"/>
          <w:szCs w:val="28"/>
        </w:rPr>
        <w:t>их</w:t>
      </w:r>
      <w:r>
        <w:rPr>
          <w:rFonts w:ascii="Times New Roman" w:hAnsi="Times New Roman"/>
          <w:sz w:val="28"/>
          <w:szCs w:val="28"/>
        </w:rPr>
        <w:t> </w:t>
      </w:r>
      <w:r w:rsidRPr="003A7901">
        <w:rPr>
          <w:rFonts w:ascii="Times New Roman" w:hAnsi="Times New Roman"/>
          <w:sz w:val="28"/>
          <w:szCs w:val="28"/>
        </w:rPr>
        <w:t>отдельных объектов от</w:t>
      </w:r>
      <w:r>
        <w:rPr>
          <w:rFonts w:ascii="Times New Roman" w:hAnsi="Times New Roman"/>
          <w:sz w:val="28"/>
          <w:szCs w:val="28"/>
        </w:rPr>
        <w:t> </w:t>
      </w:r>
      <w:r w:rsidRPr="003A7901">
        <w:rPr>
          <w:rFonts w:ascii="Times New Roman" w:hAnsi="Times New Roman"/>
          <w:sz w:val="28"/>
          <w:szCs w:val="28"/>
        </w:rPr>
        <w:t>угроз техногенного, природного характера и</w:t>
      </w:r>
      <w:r>
        <w:rPr>
          <w:rFonts w:ascii="Times New Roman" w:hAnsi="Times New Roman"/>
          <w:sz w:val="28"/>
          <w:szCs w:val="28"/>
        </w:rPr>
        <w:t> </w:t>
      </w:r>
      <w:r w:rsidRPr="003A7901">
        <w:rPr>
          <w:rFonts w:ascii="Times New Roman" w:hAnsi="Times New Roman"/>
          <w:sz w:val="28"/>
          <w:szCs w:val="28"/>
        </w:rPr>
        <w:t>террористических актов, предотвращение возникновения аварийных ситуаций, снижение риска и</w:t>
      </w:r>
      <w:r>
        <w:rPr>
          <w:rFonts w:ascii="Times New Roman" w:hAnsi="Times New Roman"/>
          <w:sz w:val="28"/>
          <w:szCs w:val="28"/>
        </w:rPr>
        <w:t> </w:t>
      </w:r>
      <w:r w:rsidRPr="003A7901">
        <w:rPr>
          <w:rFonts w:ascii="Times New Roman" w:hAnsi="Times New Roman"/>
          <w:sz w:val="28"/>
          <w:szCs w:val="28"/>
        </w:rPr>
        <w:t>смягчение последствий чрезвычайных ситуаций.</w:t>
      </w:r>
    </w:p>
    <w:p w:rsidR="002D1E45" w:rsidRPr="003A7901" w:rsidRDefault="002D1E45" w:rsidP="003A7901">
      <w:pPr>
        <w:spacing w:after="0" w:line="240" w:lineRule="auto"/>
        <w:ind w:firstLine="709"/>
        <w:jc w:val="both"/>
        <w:rPr>
          <w:rFonts w:ascii="Times New Roman" w:hAnsi="Times New Roman"/>
          <w:sz w:val="28"/>
          <w:szCs w:val="28"/>
        </w:rPr>
      </w:pPr>
      <w:r>
        <w:rPr>
          <w:rFonts w:ascii="Times New Roman" w:hAnsi="Times New Roman"/>
          <w:sz w:val="28"/>
          <w:szCs w:val="28"/>
        </w:rPr>
        <w:t>На расчётный срок</w:t>
      </w:r>
      <w:r w:rsidRPr="003A7901">
        <w:rPr>
          <w:rFonts w:ascii="Times New Roman" w:hAnsi="Times New Roman"/>
          <w:sz w:val="28"/>
          <w:szCs w:val="28"/>
        </w:rPr>
        <w:t xml:space="preserve"> генерального плана необходимо выполнить проект зон санитарной охраны водозаборов подземных вод с</w:t>
      </w:r>
      <w:r>
        <w:rPr>
          <w:rFonts w:ascii="Times New Roman" w:hAnsi="Times New Roman"/>
          <w:sz w:val="28"/>
          <w:szCs w:val="28"/>
        </w:rPr>
        <w:t> </w:t>
      </w:r>
      <w:r w:rsidRPr="003A7901">
        <w:rPr>
          <w:rFonts w:ascii="Times New Roman" w:hAnsi="Times New Roman"/>
          <w:sz w:val="28"/>
          <w:szCs w:val="28"/>
        </w:rPr>
        <w:t>целью определения границ трёх поясов зон санитарной охраны, организации защиты площадок водозаборов от</w:t>
      </w:r>
      <w:r>
        <w:rPr>
          <w:rFonts w:ascii="Times New Roman" w:hAnsi="Times New Roman"/>
          <w:sz w:val="28"/>
          <w:szCs w:val="28"/>
        </w:rPr>
        <w:t> </w:t>
      </w:r>
      <w:r w:rsidRPr="003A7901">
        <w:rPr>
          <w:rFonts w:ascii="Times New Roman" w:hAnsi="Times New Roman"/>
          <w:sz w:val="28"/>
          <w:szCs w:val="28"/>
        </w:rPr>
        <w:t>случайного или умышленного загрязнения и</w:t>
      </w:r>
      <w:r>
        <w:rPr>
          <w:rFonts w:ascii="Times New Roman" w:hAnsi="Times New Roman"/>
          <w:sz w:val="28"/>
          <w:szCs w:val="28"/>
        </w:rPr>
        <w:t> </w:t>
      </w:r>
      <w:r w:rsidRPr="003A7901">
        <w:rPr>
          <w:rFonts w:ascii="Times New Roman" w:hAnsi="Times New Roman"/>
          <w:sz w:val="28"/>
          <w:szCs w:val="28"/>
        </w:rPr>
        <w:t>повреждения, а</w:t>
      </w:r>
      <w:r>
        <w:rPr>
          <w:rFonts w:ascii="Times New Roman" w:hAnsi="Times New Roman"/>
          <w:sz w:val="28"/>
          <w:szCs w:val="28"/>
        </w:rPr>
        <w:t> </w:t>
      </w:r>
      <w:r w:rsidRPr="003A7901">
        <w:rPr>
          <w:rFonts w:ascii="Times New Roman" w:hAnsi="Times New Roman"/>
          <w:sz w:val="28"/>
          <w:szCs w:val="28"/>
        </w:rPr>
        <w:t xml:space="preserve">также предупреждения загрязнения воды источников водоснабжения. </w:t>
      </w:r>
      <w:r>
        <w:rPr>
          <w:rFonts w:ascii="Times New Roman" w:hAnsi="Times New Roman"/>
          <w:sz w:val="28"/>
          <w:szCs w:val="28"/>
        </w:rPr>
        <w:t>Процедура и требования описаны в разд. 5.5.</w:t>
      </w:r>
    </w:p>
    <w:p w:rsidR="002D1E45" w:rsidRPr="00411C3A" w:rsidRDefault="002D1E45" w:rsidP="00411C3A">
      <w:pPr>
        <w:spacing w:after="0" w:line="240" w:lineRule="auto"/>
        <w:ind w:firstLine="709"/>
        <w:jc w:val="both"/>
        <w:rPr>
          <w:rFonts w:ascii="Times New Roman" w:hAnsi="Times New Roman"/>
          <w:sz w:val="28"/>
          <w:szCs w:val="28"/>
          <w:lang w:eastAsia="ru-RU"/>
        </w:rPr>
      </w:pPr>
      <w:r w:rsidRPr="00411C3A">
        <w:rPr>
          <w:rFonts w:ascii="Times New Roman" w:hAnsi="Times New Roman"/>
          <w:sz w:val="28"/>
          <w:szCs w:val="28"/>
          <w:lang w:eastAsia="ru-RU"/>
        </w:rPr>
        <w:t xml:space="preserve">При разработке Генерального плана </w:t>
      </w:r>
      <w:r>
        <w:rPr>
          <w:rFonts w:ascii="Times New Roman" w:hAnsi="Times New Roman"/>
          <w:sz w:val="28"/>
          <w:szCs w:val="28"/>
          <w:lang w:eastAsia="ru-RU"/>
        </w:rPr>
        <w:t xml:space="preserve">Города Куйбышева </w:t>
      </w:r>
      <w:r w:rsidRPr="00411C3A">
        <w:rPr>
          <w:rFonts w:ascii="Times New Roman" w:hAnsi="Times New Roman"/>
          <w:sz w:val="28"/>
          <w:szCs w:val="28"/>
          <w:lang w:eastAsia="ru-RU"/>
        </w:rPr>
        <w:t>необходимо предусмотреть следующие мероприятия по</w:t>
      </w:r>
      <w:r>
        <w:rPr>
          <w:rFonts w:ascii="Times New Roman" w:hAnsi="Times New Roman"/>
          <w:sz w:val="28"/>
          <w:szCs w:val="28"/>
          <w:lang w:eastAsia="ru-RU"/>
        </w:rPr>
        <w:t> </w:t>
      </w:r>
      <w:r w:rsidRPr="00411C3A">
        <w:rPr>
          <w:rFonts w:ascii="Times New Roman" w:hAnsi="Times New Roman"/>
          <w:sz w:val="28"/>
          <w:szCs w:val="28"/>
          <w:lang w:eastAsia="ru-RU"/>
        </w:rPr>
        <w:t xml:space="preserve">охране водных ресурсов: </w:t>
      </w:r>
    </w:p>
    <w:p w:rsidR="002D1E45" w:rsidRPr="00411C3A" w:rsidRDefault="002D1E45" w:rsidP="00411C3A">
      <w:pPr>
        <w:numPr>
          <w:ilvl w:val="0"/>
          <w:numId w:val="24"/>
        </w:numPr>
        <w:spacing w:after="0" w:line="240" w:lineRule="auto"/>
        <w:jc w:val="both"/>
        <w:rPr>
          <w:rFonts w:ascii="Times New Roman" w:hAnsi="Times New Roman"/>
          <w:sz w:val="28"/>
          <w:szCs w:val="28"/>
          <w:lang w:eastAsia="ru-RU"/>
        </w:rPr>
      </w:pPr>
      <w:r w:rsidRPr="00411C3A">
        <w:rPr>
          <w:rFonts w:ascii="Times New Roman" w:hAnsi="Times New Roman"/>
          <w:sz w:val="28"/>
          <w:szCs w:val="28"/>
          <w:lang w:eastAsia="ru-RU"/>
        </w:rPr>
        <w:t>источником питьевого водоснабжения населённых пунктов являются подземные воды, в</w:t>
      </w:r>
      <w:r>
        <w:rPr>
          <w:rFonts w:ascii="Times New Roman" w:hAnsi="Times New Roman"/>
          <w:sz w:val="28"/>
          <w:szCs w:val="28"/>
          <w:lang w:eastAsia="ru-RU"/>
        </w:rPr>
        <w:t> </w:t>
      </w:r>
      <w:r w:rsidRPr="00411C3A">
        <w:rPr>
          <w:rFonts w:ascii="Times New Roman" w:hAnsi="Times New Roman"/>
          <w:sz w:val="28"/>
          <w:szCs w:val="28"/>
          <w:lang w:eastAsia="ru-RU"/>
        </w:rPr>
        <w:t>целях охраны источника от</w:t>
      </w:r>
      <w:r>
        <w:rPr>
          <w:rFonts w:ascii="Times New Roman" w:hAnsi="Times New Roman"/>
          <w:sz w:val="28"/>
          <w:szCs w:val="28"/>
          <w:lang w:eastAsia="ru-RU"/>
        </w:rPr>
        <w:t> </w:t>
      </w:r>
      <w:r w:rsidRPr="00411C3A">
        <w:rPr>
          <w:rFonts w:ascii="Times New Roman" w:hAnsi="Times New Roman"/>
          <w:sz w:val="28"/>
          <w:szCs w:val="28"/>
          <w:lang w:eastAsia="ru-RU"/>
        </w:rPr>
        <w:t>загрязнения должны быть организованы 3 пояса санитарной охраны. Соответственно должен быть разработан и</w:t>
      </w:r>
      <w:r>
        <w:rPr>
          <w:rFonts w:ascii="Times New Roman" w:hAnsi="Times New Roman"/>
          <w:sz w:val="28"/>
          <w:szCs w:val="28"/>
          <w:lang w:eastAsia="ru-RU"/>
        </w:rPr>
        <w:t> </w:t>
      </w:r>
      <w:r w:rsidRPr="00411C3A">
        <w:rPr>
          <w:rFonts w:ascii="Times New Roman" w:hAnsi="Times New Roman"/>
          <w:sz w:val="28"/>
          <w:szCs w:val="28"/>
          <w:lang w:eastAsia="ru-RU"/>
        </w:rPr>
        <w:t>утверждён в</w:t>
      </w:r>
      <w:r>
        <w:rPr>
          <w:rFonts w:ascii="Times New Roman" w:hAnsi="Times New Roman"/>
          <w:sz w:val="28"/>
          <w:szCs w:val="28"/>
          <w:lang w:eastAsia="ru-RU"/>
        </w:rPr>
        <w:t> </w:t>
      </w:r>
      <w:r w:rsidRPr="00411C3A">
        <w:rPr>
          <w:rFonts w:ascii="Times New Roman" w:hAnsi="Times New Roman"/>
          <w:sz w:val="28"/>
          <w:szCs w:val="28"/>
          <w:lang w:eastAsia="ru-RU"/>
        </w:rPr>
        <w:t>соответствующем порядке проект зон санитарной охраны подземного водозабора хозяйственно-питьевого водоснабжения с</w:t>
      </w:r>
      <w:r>
        <w:rPr>
          <w:rFonts w:ascii="Times New Roman" w:hAnsi="Times New Roman"/>
          <w:sz w:val="28"/>
          <w:szCs w:val="28"/>
          <w:lang w:eastAsia="ru-RU"/>
        </w:rPr>
        <w:t> </w:t>
      </w:r>
      <w:r w:rsidRPr="00411C3A">
        <w:rPr>
          <w:rFonts w:ascii="Times New Roman" w:hAnsi="Times New Roman"/>
          <w:sz w:val="28"/>
          <w:szCs w:val="28"/>
          <w:lang w:eastAsia="ru-RU"/>
        </w:rPr>
        <w:t>планом мероприятий. Границы зон санитарной охраны источников питьевого водоснабжения должны быть занесены в</w:t>
      </w:r>
      <w:r>
        <w:rPr>
          <w:rFonts w:ascii="Times New Roman" w:hAnsi="Times New Roman"/>
          <w:sz w:val="28"/>
          <w:szCs w:val="28"/>
          <w:lang w:eastAsia="ru-RU"/>
        </w:rPr>
        <w:t> </w:t>
      </w:r>
      <w:r w:rsidRPr="00411C3A">
        <w:rPr>
          <w:rFonts w:ascii="Times New Roman" w:hAnsi="Times New Roman"/>
          <w:sz w:val="28"/>
          <w:szCs w:val="28"/>
          <w:lang w:eastAsia="ru-RU"/>
        </w:rPr>
        <w:t>схему территориального планирования как зоны с</w:t>
      </w:r>
      <w:r>
        <w:rPr>
          <w:rFonts w:ascii="Times New Roman" w:hAnsi="Times New Roman"/>
          <w:sz w:val="28"/>
          <w:szCs w:val="28"/>
          <w:lang w:eastAsia="ru-RU"/>
        </w:rPr>
        <w:t> </w:t>
      </w:r>
      <w:r w:rsidRPr="00411C3A">
        <w:rPr>
          <w:rFonts w:ascii="Times New Roman" w:hAnsi="Times New Roman"/>
          <w:sz w:val="28"/>
          <w:szCs w:val="28"/>
          <w:lang w:eastAsia="ru-RU"/>
        </w:rPr>
        <w:t>особыми условиями использования и</w:t>
      </w:r>
      <w:r>
        <w:rPr>
          <w:rFonts w:ascii="Times New Roman" w:hAnsi="Times New Roman"/>
          <w:sz w:val="28"/>
          <w:szCs w:val="28"/>
          <w:lang w:eastAsia="ru-RU"/>
        </w:rPr>
        <w:t> </w:t>
      </w:r>
      <w:r w:rsidRPr="00411C3A">
        <w:rPr>
          <w:rFonts w:ascii="Times New Roman" w:hAnsi="Times New Roman"/>
          <w:sz w:val="28"/>
          <w:szCs w:val="28"/>
          <w:lang w:eastAsia="ru-RU"/>
        </w:rPr>
        <w:t>отображаться в</w:t>
      </w:r>
      <w:r>
        <w:rPr>
          <w:rFonts w:ascii="Times New Roman" w:hAnsi="Times New Roman"/>
          <w:sz w:val="28"/>
          <w:szCs w:val="28"/>
          <w:lang w:eastAsia="ru-RU"/>
        </w:rPr>
        <w:t> </w:t>
      </w:r>
      <w:r w:rsidRPr="00411C3A">
        <w:rPr>
          <w:rFonts w:ascii="Times New Roman" w:hAnsi="Times New Roman"/>
          <w:sz w:val="28"/>
          <w:szCs w:val="28"/>
          <w:lang w:eastAsia="ru-RU"/>
        </w:rPr>
        <w:t xml:space="preserve">Федеральной государственной информационной системе (далее – ФГИС ТП); </w:t>
      </w:r>
    </w:p>
    <w:p w:rsidR="002D1E45" w:rsidRPr="00411C3A" w:rsidRDefault="002D1E45" w:rsidP="00411C3A">
      <w:pPr>
        <w:numPr>
          <w:ilvl w:val="0"/>
          <w:numId w:val="24"/>
        </w:numPr>
        <w:spacing w:after="0" w:line="240" w:lineRule="auto"/>
        <w:jc w:val="both"/>
        <w:rPr>
          <w:rFonts w:ascii="Times New Roman" w:hAnsi="Times New Roman"/>
          <w:sz w:val="28"/>
          <w:szCs w:val="28"/>
          <w:lang w:eastAsia="ru-RU"/>
        </w:rPr>
      </w:pPr>
      <w:r w:rsidRPr="00411C3A">
        <w:rPr>
          <w:rFonts w:ascii="Times New Roman" w:hAnsi="Times New Roman"/>
          <w:sz w:val="28"/>
          <w:szCs w:val="28"/>
          <w:lang w:eastAsia="ru-RU"/>
        </w:rPr>
        <w:t>сведения об</w:t>
      </w:r>
      <w:r>
        <w:rPr>
          <w:rFonts w:ascii="Times New Roman" w:hAnsi="Times New Roman"/>
          <w:sz w:val="28"/>
          <w:szCs w:val="28"/>
          <w:lang w:eastAsia="ru-RU"/>
        </w:rPr>
        <w:t> </w:t>
      </w:r>
      <w:r w:rsidRPr="00411C3A">
        <w:rPr>
          <w:rFonts w:ascii="Times New Roman" w:hAnsi="Times New Roman"/>
          <w:sz w:val="28"/>
          <w:szCs w:val="28"/>
          <w:lang w:eastAsia="ru-RU"/>
        </w:rPr>
        <w:t>установленных водоохранных зонах и</w:t>
      </w:r>
      <w:r>
        <w:rPr>
          <w:rFonts w:ascii="Times New Roman" w:hAnsi="Times New Roman"/>
          <w:sz w:val="28"/>
          <w:szCs w:val="28"/>
          <w:lang w:eastAsia="ru-RU"/>
        </w:rPr>
        <w:t> </w:t>
      </w:r>
      <w:r w:rsidRPr="00411C3A">
        <w:rPr>
          <w:rFonts w:ascii="Times New Roman" w:hAnsi="Times New Roman"/>
          <w:sz w:val="28"/>
          <w:szCs w:val="28"/>
          <w:lang w:eastAsia="ru-RU"/>
        </w:rPr>
        <w:t>прибрежных защитных полосах, зонах затопления, подтопления, а</w:t>
      </w:r>
      <w:r>
        <w:rPr>
          <w:rFonts w:ascii="Times New Roman" w:hAnsi="Times New Roman"/>
          <w:sz w:val="28"/>
          <w:szCs w:val="28"/>
          <w:lang w:eastAsia="ru-RU"/>
        </w:rPr>
        <w:t> </w:t>
      </w:r>
      <w:r w:rsidRPr="00411C3A">
        <w:rPr>
          <w:rFonts w:ascii="Times New Roman" w:hAnsi="Times New Roman"/>
          <w:sz w:val="28"/>
          <w:szCs w:val="28"/>
          <w:lang w:eastAsia="ru-RU"/>
        </w:rPr>
        <w:t>также других зонах с</w:t>
      </w:r>
      <w:r>
        <w:rPr>
          <w:rFonts w:ascii="Times New Roman" w:hAnsi="Times New Roman"/>
          <w:sz w:val="28"/>
          <w:szCs w:val="28"/>
          <w:lang w:eastAsia="ru-RU"/>
        </w:rPr>
        <w:t> </w:t>
      </w:r>
      <w:r w:rsidRPr="00411C3A">
        <w:rPr>
          <w:rFonts w:ascii="Times New Roman" w:hAnsi="Times New Roman"/>
          <w:sz w:val="28"/>
          <w:szCs w:val="28"/>
          <w:lang w:eastAsia="ru-RU"/>
        </w:rPr>
        <w:t>особыми условиями их</w:t>
      </w:r>
      <w:r>
        <w:rPr>
          <w:rFonts w:ascii="Times New Roman" w:hAnsi="Times New Roman"/>
          <w:sz w:val="28"/>
          <w:szCs w:val="28"/>
          <w:lang w:eastAsia="ru-RU"/>
        </w:rPr>
        <w:t> </w:t>
      </w:r>
      <w:r w:rsidRPr="00411C3A">
        <w:rPr>
          <w:rFonts w:ascii="Times New Roman" w:hAnsi="Times New Roman"/>
          <w:sz w:val="28"/>
          <w:szCs w:val="28"/>
          <w:lang w:eastAsia="ru-RU"/>
        </w:rPr>
        <w:t>использования водных объектов, содержащиеся в</w:t>
      </w:r>
      <w:r>
        <w:rPr>
          <w:rFonts w:ascii="Times New Roman" w:hAnsi="Times New Roman"/>
          <w:sz w:val="28"/>
          <w:szCs w:val="28"/>
          <w:lang w:eastAsia="ru-RU"/>
        </w:rPr>
        <w:t> </w:t>
      </w:r>
      <w:r w:rsidRPr="00411C3A">
        <w:rPr>
          <w:rFonts w:ascii="Times New Roman" w:hAnsi="Times New Roman"/>
          <w:sz w:val="28"/>
          <w:szCs w:val="28"/>
          <w:lang w:eastAsia="ru-RU"/>
        </w:rPr>
        <w:t>разделе «Водопользование» Государственного водного реестра, также подлежат отображению в</w:t>
      </w:r>
      <w:r>
        <w:rPr>
          <w:rFonts w:ascii="Times New Roman" w:hAnsi="Times New Roman"/>
          <w:sz w:val="28"/>
          <w:szCs w:val="28"/>
          <w:lang w:eastAsia="ru-RU"/>
        </w:rPr>
        <w:t> </w:t>
      </w:r>
      <w:r w:rsidRPr="00411C3A">
        <w:rPr>
          <w:rFonts w:ascii="Times New Roman" w:hAnsi="Times New Roman"/>
          <w:sz w:val="28"/>
          <w:szCs w:val="28"/>
          <w:lang w:eastAsia="ru-RU"/>
        </w:rPr>
        <w:t>схеме территориального планирования как зоны с</w:t>
      </w:r>
      <w:r>
        <w:rPr>
          <w:rFonts w:ascii="Times New Roman" w:hAnsi="Times New Roman"/>
          <w:sz w:val="28"/>
          <w:szCs w:val="28"/>
          <w:lang w:eastAsia="ru-RU"/>
        </w:rPr>
        <w:t> </w:t>
      </w:r>
      <w:r w:rsidRPr="00411C3A">
        <w:rPr>
          <w:rFonts w:ascii="Times New Roman" w:hAnsi="Times New Roman"/>
          <w:sz w:val="28"/>
          <w:szCs w:val="28"/>
          <w:lang w:eastAsia="ru-RU"/>
        </w:rPr>
        <w:t>особыми условиями использования и</w:t>
      </w:r>
      <w:r>
        <w:rPr>
          <w:rFonts w:ascii="Times New Roman" w:hAnsi="Times New Roman"/>
          <w:sz w:val="28"/>
          <w:szCs w:val="28"/>
          <w:lang w:eastAsia="ru-RU"/>
        </w:rPr>
        <w:t> </w:t>
      </w:r>
      <w:r w:rsidRPr="00411C3A">
        <w:rPr>
          <w:rFonts w:ascii="Times New Roman" w:hAnsi="Times New Roman"/>
          <w:sz w:val="28"/>
          <w:szCs w:val="28"/>
          <w:lang w:eastAsia="ru-RU"/>
        </w:rPr>
        <w:t>отображаться в</w:t>
      </w:r>
      <w:r>
        <w:rPr>
          <w:rFonts w:ascii="Times New Roman" w:hAnsi="Times New Roman"/>
          <w:sz w:val="28"/>
          <w:szCs w:val="28"/>
          <w:lang w:eastAsia="ru-RU"/>
        </w:rPr>
        <w:t> </w:t>
      </w:r>
      <w:r w:rsidRPr="00411C3A">
        <w:rPr>
          <w:rFonts w:ascii="Times New Roman" w:hAnsi="Times New Roman"/>
          <w:sz w:val="28"/>
          <w:szCs w:val="28"/>
          <w:lang w:eastAsia="ru-RU"/>
        </w:rPr>
        <w:t xml:space="preserve">ФГИС ТП; </w:t>
      </w:r>
    </w:p>
    <w:p w:rsidR="002D1E45" w:rsidRPr="00411C3A" w:rsidRDefault="002D1E45" w:rsidP="00411C3A">
      <w:pPr>
        <w:numPr>
          <w:ilvl w:val="0"/>
          <w:numId w:val="24"/>
        </w:numPr>
        <w:spacing w:after="0" w:line="240" w:lineRule="auto"/>
        <w:jc w:val="both"/>
        <w:rPr>
          <w:rFonts w:ascii="Times New Roman" w:hAnsi="Times New Roman"/>
          <w:sz w:val="28"/>
          <w:szCs w:val="28"/>
          <w:lang w:eastAsia="ru-RU"/>
        </w:rPr>
      </w:pPr>
      <w:r w:rsidRPr="00411C3A">
        <w:rPr>
          <w:rFonts w:ascii="Times New Roman" w:hAnsi="Times New Roman"/>
          <w:sz w:val="28"/>
          <w:szCs w:val="28"/>
          <w:lang w:eastAsia="ru-RU"/>
        </w:rPr>
        <w:t>при размещении объектов, согласно документу территориального планирования, в</w:t>
      </w:r>
      <w:r>
        <w:rPr>
          <w:rFonts w:ascii="Times New Roman" w:hAnsi="Times New Roman"/>
          <w:sz w:val="28"/>
          <w:szCs w:val="28"/>
          <w:lang w:eastAsia="ru-RU"/>
        </w:rPr>
        <w:t> </w:t>
      </w:r>
      <w:r w:rsidRPr="00411C3A">
        <w:rPr>
          <w:rFonts w:ascii="Times New Roman" w:hAnsi="Times New Roman"/>
          <w:sz w:val="28"/>
          <w:szCs w:val="28"/>
          <w:lang w:eastAsia="ru-RU"/>
        </w:rPr>
        <w:t>водоохранных зонах и</w:t>
      </w:r>
      <w:r>
        <w:rPr>
          <w:rFonts w:ascii="Times New Roman" w:hAnsi="Times New Roman"/>
          <w:sz w:val="28"/>
          <w:szCs w:val="28"/>
          <w:lang w:eastAsia="ru-RU"/>
        </w:rPr>
        <w:t> </w:t>
      </w:r>
      <w:r w:rsidRPr="00411C3A">
        <w:rPr>
          <w:rFonts w:ascii="Times New Roman" w:hAnsi="Times New Roman"/>
          <w:sz w:val="28"/>
          <w:szCs w:val="28"/>
          <w:lang w:eastAsia="ru-RU"/>
        </w:rPr>
        <w:t>прибрежных защитных полосах водных объектов особое внимание следует уделить организации достаточного количества мест для автотранспорта на</w:t>
      </w:r>
      <w:r>
        <w:rPr>
          <w:rFonts w:ascii="Times New Roman" w:hAnsi="Times New Roman"/>
          <w:sz w:val="28"/>
          <w:szCs w:val="28"/>
          <w:lang w:eastAsia="ru-RU"/>
        </w:rPr>
        <w:t> </w:t>
      </w:r>
      <w:r w:rsidRPr="00411C3A">
        <w:rPr>
          <w:rFonts w:ascii="Times New Roman" w:hAnsi="Times New Roman"/>
          <w:sz w:val="28"/>
          <w:szCs w:val="28"/>
          <w:lang w:eastAsia="ru-RU"/>
        </w:rPr>
        <w:t>оборудуемых стоянках (как в</w:t>
      </w:r>
      <w:r>
        <w:rPr>
          <w:rFonts w:ascii="Times New Roman" w:hAnsi="Times New Roman"/>
          <w:sz w:val="28"/>
          <w:szCs w:val="28"/>
          <w:lang w:eastAsia="ru-RU"/>
        </w:rPr>
        <w:t> </w:t>
      </w:r>
      <w:r w:rsidRPr="00411C3A">
        <w:rPr>
          <w:rFonts w:ascii="Times New Roman" w:hAnsi="Times New Roman"/>
          <w:sz w:val="28"/>
          <w:szCs w:val="28"/>
          <w:lang w:eastAsia="ru-RU"/>
        </w:rPr>
        <w:t>жилых кварталах, так и</w:t>
      </w:r>
      <w:r>
        <w:rPr>
          <w:rFonts w:ascii="Times New Roman" w:hAnsi="Times New Roman"/>
          <w:sz w:val="28"/>
          <w:szCs w:val="28"/>
          <w:lang w:eastAsia="ru-RU"/>
        </w:rPr>
        <w:t> </w:t>
      </w:r>
      <w:r w:rsidRPr="00411C3A">
        <w:rPr>
          <w:rFonts w:ascii="Times New Roman" w:hAnsi="Times New Roman"/>
          <w:sz w:val="28"/>
          <w:szCs w:val="28"/>
          <w:lang w:eastAsia="ru-RU"/>
        </w:rPr>
        <w:t>в</w:t>
      </w:r>
      <w:r>
        <w:rPr>
          <w:rFonts w:ascii="Times New Roman" w:hAnsi="Times New Roman"/>
          <w:sz w:val="28"/>
          <w:szCs w:val="28"/>
          <w:lang w:eastAsia="ru-RU"/>
        </w:rPr>
        <w:t> </w:t>
      </w:r>
      <w:r w:rsidRPr="00411C3A">
        <w:rPr>
          <w:rFonts w:ascii="Times New Roman" w:hAnsi="Times New Roman"/>
          <w:sz w:val="28"/>
          <w:szCs w:val="28"/>
          <w:lang w:eastAsia="ru-RU"/>
        </w:rPr>
        <w:t>местах массового отдыха). При развитии рекреационных зон на</w:t>
      </w:r>
      <w:r>
        <w:rPr>
          <w:rFonts w:ascii="Times New Roman" w:hAnsi="Times New Roman"/>
          <w:sz w:val="28"/>
          <w:szCs w:val="28"/>
          <w:lang w:eastAsia="ru-RU"/>
        </w:rPr>
        <w:t> </w:t>
      </w:r>
      <w:r w:rsidRPr="00411C3A">
        <w:rPr>
          <w:rFonts w:ascii="Times New Roman" w:hAnsi="Times New Roman"/>
          <w:sz w:val="28"/>
          <w:szCs w:val="28"/>
          <w:lang w:eastAsia="ru-RU"/>
        </w:rPr>
        <w:t>водных объектах поселения необходимо предусмотреть комплекс технических и</w:t>
      </w:r>
      <w:r>
        <w:rPr>
          <w:rFonts w:ascii="Times New Roman" w:hAnsi="Times New Roman"/>
          <w:sz w:val="28"/>
          <w:szCs w:val="28"/>
          <w:lang w:eastAsia="ru-RU"/>
        </w:rPr>
        <w:t> </w:t>
      </w:r>
      <w:r w:rsidRPr="00411C3A">
        <w:rPr>
          <w:rFonts w:ascii="Times New Roman" w:hAnsi="Times New Roman"/>
          <w:sz w:val="28"/>
          <w:szCs w:val="28"/>
          <w:lang w:eastAsia="ru-RU"/>
        </w:rPr>
        <w:t>организационных мероприятий, исключающих движение и</w:t>
      </w:r>
      <w:r>
        <w:rPr>
          <w:rFonts w:ascii="Times New Roman" w:hAnsi="Times New Roman"/>
          <w:sz w:val="28"/>
          <w:szCs w:val="28"/>
          <w:lang w:eastAsia="ru-RU"/>
        </w:rPr>
        <w:t> </w:t>
      </w:r>
      <w:r w:rsidRPr="00411C3A">
        <w:rPr>
          <w:rFonts w:ascii="Times New Roman" w:hAnsi="Times New Roman"/>
          <w:sz w:val="28"/>
          <w:szCs w:val="28"/>
          <w:lang w:eastAsia="ru-RU"/>
        </w:rPr>
        <w:t xml:space="preserve">стоянку автотранспорта вне предназначенных для этого мест; </w:t>
      </w:r>
    </w:p>
    <w:p w:rsidR="002D1E45" w:rsidRPr="00411C3A" w:rsidRDefault="002D1E45" w:rsidP="00411C3A">
      <w:pPr>
        <w:numPr>
          <w:ilvl w:val="0"/>
          <w:numId w:val="24"/>
        </w:numPr>
        <w:spacing w:after="0" w:line="240" w:lineRule="auto"/>
        <w:jc w:val="both"/>
        <w:rPr>
          <w:rFonts w:ascii="Times New Roman" w:hAnsi="Times New Roman"/>
          <w:sz w:val="28"/>
          <w:szCs w:val="28"/>
          <w:lang w:eastAsia="ru-RU"/>
        </w:rPr>
      </w:pPr>
      <w:r w:rsidRPr="00411C3A">
        <w:rPr>
          <w:rFonts w:ascii="Times New Roman" w:hAnsi="Times New Roman"/>
          <w:sz w:val="28"/>
          <w:szCs w:val="28"/>
          <w:lang w:eastAsia="ru-RU"/>
        </w:rPr>
        <w:t>при планировании развития территорий, входящих в</w:t>
      </w:r>
      <w:r>
        <w:rPr>
          <w:rFonts w:ascii="Times New Roman" w:hAnsi="Times New Roman"/>
          <w:sz w:val="28"/>
          <w:szCs w:val="28"/>
          <w:lang w:eastAsia="ru-RU"/>
        </w:rPr>
        <w:t> </w:t>
      </w:r>
      <w:r w:rsidRPr="00411C3A">
        <w:rPr>
          <w:rFonts w:ascii="Times New Roman" w:hAnsi="Times New Roman"/>
          <w:sz w:val="28"/>
          <w:szCs w:val="28"/>
          <w:lang w:eastAsia="ru-RU"/>
        </w:rPr>
        <w:t>состав зон санитарной охраны водозаборных узлов, необходимо обратить особое внимание на</w:t>
      </w:r>
      <w:r>
        <w:rPr>
          <w:rFonts w:ascii="Times New Roman" w:hAnsi="Times New Roman"/>
          <w:sz w:val="28"/>
          <w:szCs w:val="28"/>
          <w:lang w:eastAsia="ru-RU"/>
        </w:rPr>
        <w:t> </w:t>
      </w:r>
      <w:r w:rsidRPr="00411C3A">
        <w:rPr>
          <w:rFonts w:ascii="Times New Roman" w:hAnsi="Times New Roman"/>
          <w:sz w:val="28"/>
          <w:szCs w:val="28"/>
          <w:lang w:eastAsia="ru-RU"/>
        </w:rPr>
        <w:t>недопустимость размещения в</w:t>
      </w:r>
      <w:r>
        <w:rPr>
          <w:rFonts w:ascii="Times New Roman" w:hAnsi="Times New Roman"/>
          <w:sz w:val="28"/>
          <w:szCs w:val="28"/>
          <w:lang w:eastAsia="ru-RU"/>
        </w:rPr>
        <w:t> </w:t>
      </w:r>
      <w:r w:rsidRPr="00411C3A">
        <w:rPr>
          <w:rFonts w:ascii="Times New Roman" w:hAnsi="Times New Roman"/>
          <w:sz w:val="28"/>
          <w:szCs w:val="28"/>
          <w:lang w:eastAsia="ru-RU"/>
        </w:rPr>
        <w:t>границах 2 пояса зоны санитарной охраны (далее – ЗСО) складов горюче-смазочных материалов, ядохимикатов и</w:t>
      </w:r>
      <w:r>
        <w:rPr>
          <w:rFonts w:ascii="Times New Roman" w:hAnsi="Times New Roman"/>
          <w:sz w:val="28"/>
          <w:szCs w:val="28"/>
          <w:lang w:eastAsia="ru-RU"/>
        </w:rPr>
        <w:t> </w:t>
      </w:r>
      <w:r w:rsidRPr="00411C3A">
        <w:rPr>
          <w:rFonts w:ascii="Times New Roman" w:hAnsi="Times New Roman"/>
          <w:sz w:val="28"/>
          <w:szCs w:val="28"/>
          <w:lang w:eastAsia="ru-RU"/>
        </w:rPr>
        <w:t>минеральных удобрений, накопителей промстоков, шламохранилищ и</w:t>
      </w:r>
      <w:r>
        <w:rPr>
          <w:rFonts w:ascii="Times New Roman" w:hAnsi="Times New Roman"/>
          <w:sz w:val="28"/>
          <w:szCs w:val="28"/>
          <w:lang w:eastAsia="ru-RU"/>
        </w:rPr>
        <w:t> </w:t>
      </w:r>
      <w:r w:rsidRPr="00411C3A">
        <w:rPr>
          <w:rFonts w:ascii="Times New Roman" w:hAnsi="Times New Roman"/>
          <w:sz w:val="28"/>
          <w:szCs w:val="28"/>
          <w:lang w:eastAsia="ru-RU"/>
        </w:rPr>
        <w:t>других объектов, обусловливающих опасность химического загрязнения. Размещение объектов, являющихся потенциальными источниками загрязнения подземных вод, допускается в</w:t>
      </w:r>
      <w:r>
        <w:rPr>
          <w:rFonts w:ascii="Times New Roman" w:hAnsi="Times New Roman"/>
          <w:sz w:val="28"/>
          <w:szCs w:val="28"/>
          <w:lang w:eastAsia="ru-RU"/>
        </w:rPr>
        <w:t> </w:t>
      </w:r>
      <w:r w:rsidRPr="00411C3A">
        <w:rPr>
          <w:rFonts w:ascii="Times New Roman" w:hAnsi="Times New Roman"/>
          <w:sz w:val="28"/>
          <w:szCs w:val="28"/>
          <w:lang w:eastAsia="ru-RU"/>
        </w:rPr>
        <w:t>пределах третьего пояса ЗСО по</w:t>
      </w:r>
      <w:r>
        <w:rPr>
          <w:rFonts w:ascii="Times New Roman" w:hAnsi="Times New Roman"/>
          <w:sz w:val="28"/>
          <w:szCs w:val="28"/>
          <w:lang w:eastAsia="ru-RU"/>
        </w:rPr>
        <w:t> </w:t>
      </w:r>
      <w:r w:rsidRPr="00411C3A">
        <w:rPr>
          <w:rFonts w:ascii="Times New Roman" w:hAnsi="Times New Roman"/>
          <w:sz w:val="28"/>
          <w:szCs w:val="28"/>
          <w:lang w:eastAsia="ru-RU"/>
        </w:rPr>
        <w:t>согласованию с</w:t>
      </w:r>
      <w:r>
        <w:rPr>
          <w:rFonts w:ascii="Times New Roman" w:hAnsi="Times New Roman"/>
          <w:sz w:val="28"/>
          <w:szCs w:val="28"/>
          <w:lang w:eastAsia="ru-RU"/>
        </w:rPr>
        <w:t> </w:t>
      </w:r>
      <w:r w:rsidRPr="00411C3A">
        <w:rPr>
          <w:rFonts w:ascii="Times New Roman" w:hAnsi="Times New Roman"/>
          <w:sz w:val="28"/>
          <w:szCs w:val="28"/>
          <w:lang w:eastAsia="ru-RU"/>
        </w:rPr>
        <w:t>органами Роспотребнадзора только при условии выполнения специальных мероприятий по</w:t>
      </w:r>
      <w:r>
        <w:rPr>
          <w:rFonts w:ascii="Times New Roman" w:hAnsi="Times New Roman"/>
          <w:sz w:val="28"/>
          <w:szCs w:val="28"/>
          <w:lang w:eastAsia="ru-RU"/>
        </w:rPr>
        <w:t> </w:t>
      </w:r>
      <w:r w:rsidRPr="00411C3A">
        <w:rPr>
          <w:rFonts w:ascii="Times New Roman" w:hAnsi="Times New Roman"/>
          <w:sz w:val="28"/>
          <w:szCs w:val="28"/>
          <w:lang w:eastAsia="ru-RU"/>
        </w:rPr>
        <w:t xml:space="preserve">защите водоносного горизонта; </w:t>
      </w:r>
    </w:p>
    <w:p w:rsidR="002D1E45" w:rsidRPr="00411C3A" w:rsidRDefault="002D1E45" w:rsidP="00411C3A">
      <w:pPr>
        <w:numPr>
          <w:ilvl w:val="0"/>
          <w:numId w:val="24"/>
        </w:numPr>
        <w:spacing w:after="0" w:line="240" w:lineRule="auto"/>
        <w:jc w:val="both"/>
        <w:rPr>
          <w:rFonts w:ascii="Times New Roman" w:hAnsi="Times New Roman"/>
          <w:sz w:val="28"/>
          <w:szCs w:val="28"/>
          <w:lang w:eastAsia="ru-RU"/>
        </w:rPr>
      </w:pPr>
      <w:r w:rsidRPr="00411C3A">
        <w:rPr>
          <w:rFonts w:ascii="Times New Roman" w:hAnsi="Times New Roman"/>
          <w:sz w:val="28"/>
          <w:szCs w:val="28"/>
          <w:lang w:eastAsia="ru-RU"/>
        </w:rPr>
        <w:t>одним из</w:t>
      </w:r>
      <w:r>
        <w:rPr>
          <w:rFonts w:ascii="Times New Roman" w:hAnsi="Times New Roman"/>
          <w:sz w:val="28"/>
          <w:szCs w:val="28"/>
          <w:lang w:eastAsia="ru-RU"/>
        </w:rPr>
        <w:t> </w:t>
      </w:r>
      <w:r w:rsidRPr="00411C3A">
        <w:rPr>
          <w:rFonts w:ascii="Times New Roman" w:hAnsi="Times New Roman"/>
          <w:sz w:val="28"/>
          <w:szCs w:val="28"/>
          <w:lang w:eastAsia="ru-RU"/>
        </w:rPr>
        <w:t>основных мероприятий, направленных на</w:t>
      </w:r>
      <w:r>
        <w:rPr>
          <w:rFonts w:ascii="Times New Roman" w:hAnsi="Times New Roman"/>
          <w:sz w:val="28"/>
          <w:szCs w:val="28"/>
          <w:lang w:eastAsia="ru-RU"/>
        </w:rPr>
        <w:t> </w:t>
      </w:r>
      <w:r w:rsidRPr="00411C3A">
        <w:rPr>
          <w:rFonts w:ascii="Times New Roman" w:hAnsi="Times New Roman"/>
          <w:sz w:val="28"/>
          <w:szCs w:val="28"/>
          <w:lang w:eastAsia="ru-RU"/>
        </w:rPr>
        <w:t>улучшение качества воды в</w:t>
      </w:r>
      <w:r>
        <w:rPr>
          <w:rFonts w:ascii="Times New Roman" w:hAnsi="Times New Roman"/>
          <w:sz w:val="28"/>
          <w:szCs w:val="28"/>
          <w:lang w:eastAsia="ru-RU"/>
        </w:rPr>
        <w:t> </w:t>
      </w:r>
      <w:r w:rsidRPr="00411C3A">
        <w:rPr>
          <w:rFonts w:ascii="Times New Roman" w:hAnsi="Times New Roman"/>
          <w:sz w:val="28"/>
          <w:szCs w:val="28"/>
          <w:lang w:eastAsia="ru-RU"/>
        </w:rPr>
        <w:t>водных объектах города является строительство (реконструкция) очистных сооружений. Доведение сточных вод на</w:t>
      </w:r>
      <w:r>
        <w:rPr>
          <w:rFonts w:ascii="Times New Roman" w:hAnsi="Times New Roman"/>
          <w:sz w:val="28"/>
          <w:szCs w:val="28"/>
          <w:lang w:eastAsia="ru-RU"/>
        </w:rPr>
        <w:t> </w:t>
      </w:r>
      <w:r w:rsidRPr="00411C3A">
        <w:rPr>
          <w:rFonts w:ascii="Times New Roman" w:hAnsi="Times New Roman"/>
          <w:sz w:val="28"/>
          <w:szCs w:val="28"/>
          <w:lang w:eastAsia="ru-RU"/>
        </w:rPr>
        <w:t>очистных сооружениях до</w:t>
      </w:r>
      <w:r>
        <w:rPr>
          <w:rFonts w:ascii="Times New Roman" w:hAnsi="Times New Roman"/>
          <w:sz w:val="28"/>
          <w:szCs w:val="28"/>
          <w:lang w:eastAsia="ru-RU"/>
        </w:rPr>
        <w:t> </w:t>
      </w:r>
      <w:r w:rsidRPr="00411C3A">
        <w:rPr>
          <w:rFonts w:ascii="Times New Roman" w:hAnsi="Times New Roman"/>
          <w:sz w:val="28"/>
          <w:szCs w:val="28"/>
          <w:lang w:eastAsia="ru-RU"/>
        </w:rPr>
        <w:t>нормативного качества позволит улучшить качество воды в</w:t>
      </w:r>
      <w:r>
        <w:rPr>
          <w:rFonts w:ascii="Times New Roman" w:hAnsi="Times New Roman"/>
          <w:sz w:val="28"/>
          <w:szCs w:val="28"/>
          <w:lang w:eastAsia="ru-RU"/>
        </w:rPr>
        <w:t> </w:t>
      </w:r>
      <w:r w:rsidRPr="00411C3A">
        <w:rPr>
          <w:rFonts w:ascii="Times New Roman" w:hAnsi="Times New Roman"/>
          <w:sz w:val="28"/>
          <w:szCs w:val="28"/>
          <w:lang w:eastAsia="ru-RU"/>
        </w:rPr>
        <w:t xml:space="preserve">водных объектах, оздоровить общую санитарную обстановку; </w:t>
      </w:r>
    </w:p>
    <w:p w:rsidR="002D1E45" w:rsidRPr="00411C3A" w:rsidRDefault="002D1E45" w:rsidP="00411C3A">
      <w:pPr>
        <w:numPr>
          <w:ilvl w:val="0"/>
          <w:numId w:val="24"/>
        </w:numPr>
        <w:spacing w:after="0" w:line="240" w:lineRule="auto"/>
        <w:jc w:val="both"/>
        <w:rPr>
          <w:rFonts w:ascii="Times New Roman" w:hAnsi="Times New Roman"/>
          <w:sz w:val="28"/>
          <w:szCs w:val="28"/>
          <w:lang w:eastAsia="ru-RU"/>
        </w:rPr>
      </w:pPr>
      <w:r w:rsidRPr="00411C3A">
        <w:rPr>
          <w:rFonts w:ascii="Times New Roman" w:hAnsi="Times New Roman"/>
          <w:sz w:val="28"/>
          <w:szCs w:val="28"/>
          <w:lang w:eastAsia="ru-RU"/>
        </w:rPr>
        <w:t>необходимо исключить сброс без очистки поверхностных стоков, формирующихся на</w:t>
      </w:r>
      <w:r>
        <w:rPr>
          <w:rFonts w:ascii="Times New Roman" w:hAnsi="Times New Roman"/>
          <w:sz w:val="28"/>
          <w:szCs w:val="28"/>
          <w:lang w:eastAsia="ru-RU"/>
        </w:rPr>
        <w:t> </w:t>
      </w:r>
      <w:r w:rsidRPr="00411C3A">
        <w:rPr>
          <w:rFonts w:ascii="Times New Roman" w:hAnsi="Times New Roman"/>
          <w:sz w:val="28"/>
          <w:szCs w:val="28"/>
          <w:lang w:eastAsia="ru-RU"/>
        </w:rPr>
        <w:t>урбанизированных территориях. Территории, вновь застраиваемые в</w:t>
      </w:r>
      <w:r>
        <w:rPr>
          <w:rFonts w:ascii="Times New Roman" w:hAnsi="Times New Roman"/>
          <w:sz w:val="28"/>
          <w:szCs w:val="28"/>
          <w:lang w:eastAsia="ru-RU"/>
        </w:rPr>
        <w:t> </w:t>
      </w:r>
      <w:r w:rsidRPr="00411C3A">
        <w:rPr>
          <w:rFonts w:ascii="Times New Roman" w:hAnsi="Times New Roman"/>
          <w:sz w:val="28"/>
          <w:szCs w:val="28"/>
          <w:lang w:eastAsia="ru-RU"/>
        </w:rPr>
        <w:t>соответствии с</w:t>
      </w:r>
      <w:r>
        <w:rPr>
          <w:rFonts w:ascii="Times New Roman" w:hAnsi="Times New Roman"/>
          <w:sz w:val="28"/>
          <w:szCs w:val="28"/>
          <w:lang w:eastAsia="ru-RU"/>
        </w:rPr>
        <w:t> </w:t>
      </w:r>
      <w:r w:rsidRPr="00411C3A">
        <w:rPr>
          <w:rFonts w:ascii="Times New Roman" w:hAnsi="Times New Roman"/>
          <w:sz w:val="28"/>
          <w:szCs w:val="28"/>
          <w:lang w:eastAsia="ru-RU"/>
        </w:rPr>
        <w:t>градостроительным планом, должны оснащаться системами ливневой канализации, отводящими поверхностные стоки на</w:t>
      </w:r>
      <w:r>
        <w:rPr>
          <w:rFonts w:ascii="Times New Roman" w:hAnsi="Times New Roman"/>
          <w:sz w:val="28"/>
          <w:szCs w:val="28"/>
          <w:lang w:eastAsia="ru-RU"/>
        </w:rPr>
        <w:t> </w:t>
      </w:r>
      <w:r w:rsidRPr="00411C3A">
        <w:rPr>
          <w:rFonts w:ascii="Times New Roman" w:hAnsi="Times New Roman"/>
          <w:sz w:val="28"/>
          <w:szCs w:val="28"/>
          <w:lang w:eastAsia="ru-RU"/>
        </w:rPr>
        <w:t xml:space="preserve">очистные сооружения; </w:t>
      </w:r>
    </w:p>
    <w:p w:rsidR="002D1E45" w:rsidRPr="00411C3A" w:rsidRDefault="002D1E45" w:rsidP="00411C3A">
      <w:pPr>
        <w:numPr>
          <w:ilvl w:val="0"/>
          <w:numId w:val="24"/>
        </w:numPr>
        <w:spacing w:after="0" w:line="240" w:lineRule="auto"/>
        <w:jc w:val="both"/>
        <w:rPr>
          <w:rFonts w:ascii="Times New Roman" w:hAnsi="Times New Roman"/>
          <w:sz w:val="28"/>
          <w:szCs w:val="28"/>
          <w:lang w:eastAsia="ru-RU"/>
        </w:rPr>
      </w:pPr>
      <w:r w:rsidRPr="00411C3A">
        <w:rPr>
          <w:rFonts w:ascii="Times New Roman" w:hAnsi="Times New Roman"/>
          <w:sz w:val="28"/>
          <w:szCs w:val="28"/>
          <w:lang w:eastAsia="ru-RU"/>
        </w:rPr>
        <w:t>при развитии пригородной зоны, прилегающей к</w:t>
      </w:r>
      <w:r>
        <w:rPr>
          <w:rFonts w:ascii="Times New Roman" w:hAnsi="Times New Roman"/>
          <w:sz w:val="28"/>
          <w:szCs w:val="28"/>
          <w:lang w:eastAsia="ru-RU"/>
        </w:rPr>
        <w:t> </w:t>
      </w:r>
      <w:r w:rsidRPr="00411C3A">
        <w:rPr>
          <w:rFonts w:ascii="Times New Roman" w:hAnsi="Times New Roman"/>
          <w:sz w:val="28"/>
          <w:szCs w:val="28"/>
          <w:lang w:eastAsia="ru-RU"/>
        </w:rPr>
        <w:t>водным объектам, необходимо соблюдать ограничения в</w:t>
      </w:r>
      <w:r>
        <w:rPr>
          <w:rFonts w:ascii="Times New Roman" w:hAnsi="Times New Roman"/>
          <w:sz w:val="28"/>
          <w:szCs w:val="28"/>
          <w:lang w:eastAsia="ru-RU"/>
        </w:rPr>
        <w:t> </w:t>
      </w:r>
      <w:r w:rsidRPr="00411C3A">
        <w:rPr>
          <w:rFonts w:ascii="Times New Roman" w:hAnsi="Times New Roman"/>
          <w:sz w:val="28"/>
          <w:szCs w:val="28"/>
          <w:lang w:eastAsia="ru-RU"/>
        </w:rPr>
        <w:t>границах водоохранных зон и</w:t>
      </w:r>
      <w:r>
        <w:rPr>
          <w:rFonts w:ascii="Times New Roman" w:hAnsi="Times New Roman"/>
          <w:sz w:val="28"/>
          <w:szCs w:val="28"/>
          <w:lang w:eastAsia="ru-RU"/>
        </w:rPr>
        <w:t> </w:t>
      </w:r>
      <w:r w:rsidRPr="00411C3A">
        <w:rPr>
          <w:rFonts w:ascii="Times New Roman" w:hAnsi="Times New Roman"/>
          <w:sz w:val="28"/>
          <w:szCs w:val="28"/>
          <w:lang w:eastAsia="ru-RU"/>
        </w:rPr>
        <w:t>прибрежных защитных полос водных объектов, а</w:t>
      </w:r>
      <w:r>
        <w:rPr>
          <w:rFonts w:ascii="Times New Roman" w:hAnsi="Times New Roman"/>
          <w:sz w:val="28"/>
          <w:szCs w:val="28"/>
          <w:lang w:eastAsia="ru-RU"/>
        </w:rPr>
        <w:t> </w:t>
      </w:r>
      <w:r w:rsidRPr="00411C3A">
        <w:rPr>
          <w:rFonts w:ascii="Times New Roman" w:hAnsi="Times New Roman"/>
          <w:sz w:val="28"/>
          <w:szCs w:val="28"/>
          <w:lang w:eastAsia="ru-RU"/>
        </w:rPr>
        <w:t>также в</w:t>
      </w:r>
      <w:r>
        <w:rPr>
          <w:rFonts w:ascii="Times New Roman" w:hAnsi="Times New Roman"/>
          <w:sz w:val="28"/>
          <w:szCs w:val="28"/>
          <w:lang w:eastAsia="ru-RU"/>
        </w:rPr>
        <w:t> </w:t>
      </w:r>
      <w:r w:rsidRPr="00411C3A">
        <w:rPr>
          <w:rFonts w:ascii="Times New Roman" w:hAnsi="Times New Roman"/>
          <w:sz w:val="28"/>
          <w:szCs w:val="28"/>
          <w:lang w:eastAsia="ru-RU"/>
        </w:rPr>
        <w:t xml:space="preserve">границах поясов санитарной охраны водозаборов; </w:t>
      </w:r>
    </w:p>
    <w:p w:rsidR="002D1E45" w:rsidRPr="00411C3A" w:rsidRDefault="002D1E45" w:rsidP="00411C3A">
      <w:pPr>
        <w:numPr>
          <w:ilvl w:val="0"/>
          <w:numId w:val="24"/>
        </w:numPr>
        <w:spacing w:after="0" w:line="240" w:lineRule="auto"/>
        <w:jc w:val="both"/>
        <w:rPr>
          <w:rFonts w:ascii="Times New Roman" w:hAnsi="Times New Roman"/>
          <w:sz w:val="28"/>
          <w:szCs w:val="28"/>
          <w:lang w:eastAsia="ru-RU"/>
        </w:rPr>
      </w:pPr>
      <w:r w:rsidRPr="00411C3A">
        <w:rPr>
          <w:rFonts w:ascii="Times New Roman" w:hAnsi="Times New Roman"/>
          <w:sz w:val="28"/>
          <w:szCs w:val="28"/>
          <w:lang w:eastAsia="ru-RU"/>
        </w:rPr>
        <w:t>при внесении изменений в</w:t>
      </w:r>
      <w:r>
        <w:rPr>
          <w:rFonts w:ascii="Times New Roman" w:hAnsi="Times New Roman"/>
          <w:sz w:val="28"/>
          <w:szCs w:val="28"/>
          <w:lang w:eastAsia="ru-RU"/>
        </w:rPr>
        <w:t> </w:t>
      </w:r>
      <w:r w:rsidRPr="00411C3A">
        <w:rPr>
          <w:rFonts w:ascii="Times New Roman" w:hAnsi="Times New Roman"/>
          <w:sz w:val="28"/>
          <w:szCs w:val="28"/>
          <w:lang w:eastAsia="ru-RU"/>
        </w:rPr>
        <w:t>проект необходимо учитывать установленные водоохранные зоны и</w:t>
      </w:r>
      <w:r>
        <w:rPr>
          <w:rFonts w:ascii="Times New Roman" w:hAnsi="Times New Roman"/>
          <w:sz w:val="28"/>
          <w:szCs w:val="28"/>
          <w:lang w:eastAsia="ru-RU"/>
        </w:rPr>
        <w:t> </w:t>
      </w:r>
      <w:r w:rsidRPr="00411C3A">
        <w:rPr>
          <w:rFonts w:ascii="Times New Roman" w:hAnsi="Times New Roman"/>
          <w:sz w:val="28"/>
          <w:szCs w:val="28"/>
          <w:lang w:eastAsia="ru-RU"/>
        </w:rPr>
        <w:t>прибрежные защитные полосы водных объектов во</w:t>
      </w:r>
      <w:r>
        <w:rPr>
          <w:rFonts w:ascii="Times New Roman" w:hAnsi="Times New Roman"/>
          <w:sz w:val="28"/>
          <w:szCs w:val="28"/>
          <w:lang w:eastAsia="ru-RU"/>
        </w:rPr>
        <w:t> </w:t>
      </w:r>
      <w:r w:rsidRPr="00411C3A">
        <w:rPr>
          <w:rFonts w:ascii="Times New Roman" w:hAnsi="Times New Roman"/>
          <w:sz w:val="28"/>
          <w:szCs w:val="28"/>
          <w:lang w:eastAsia="ru-RU"/>
        </w:rPr>
        <w:t>избежание загрязнения окружающей среды, в</w:t>
      </w:r>
      <w:r>
        <w:rPr>
          <w:rFonts w:ascii="Times New Roman" w:hAnsi="Times New Roman"/>
          <w:sz w:val="28"/>
          <w:szCs w:val="28"/>
          <w:lang w:eastAsia="ru-RU"/>
        </w:rPr>
        <w:t> </w:t>
      </w:r>
      <w:r w:rsidRPr="00411C3A">
        <w:rPr>
          <w:rFonts w:ascii="Times New Roman" w:hAnsi="Times New Roman"/>
          <w:sz w:val="28"/>
          <w:szCs w:val="28"/>
          <w:lang w:eastAsia="ru-RU"/>
        </w:rPr>
        <w:t>частности водных объектов. Хозяйственную деятельность в</w:t>
      </w:r>
      <w:r>
        <w:rPr>
          <w:rFonts w:ascii="Times New Roman" w:hAnsi="Times New Roman"/>
          <w:sz w:val="28"/>
          <w:szCs w:val="28"/>
          <w:lang w:eastAsia="ru-RU"/>
        </w:rPr>
        <w:t> </w:t>
      </w:r>
      <w:r w:rsidRPr="00411C3A">
        <w:rPr>
          <w:rFonts w:ascii="Times New Roman" w:hAnsi="Times New Roman"/>
          <w:sz w:val="28"/>
          <w:szCs w:val="28"/>
          <w:lang w:eastAsia="ru-RU"/>
        </w:rPr>
        <w:t>пределах водоохранной зоны следует осуществлять с</w:t>
      </w:r>
      <w:r>
        <w:rPr>
          <w:rFonts w:ascii="Times New Roman" w:hAnsi="Times New Roman"/>
          <w:sz w:val="28"/>
          <w:szCs w:val="28"/>
          <w:lang w:eastAsia="ru-RU"/>
        </w:rPr>
        <w:t> </w:t>
      </w:r>
      <w:r w:rsidRPr="00411C3A">
        <w:rPr>
          <w:rFonts w:ascii="Times New Roman" w:hAnsi="Times New Roman"/>
          <w:sz w:val="28"/>
          <w:szCs w:val="28"/>
          <w:lang w:eastAsia="ru-RU"/>
        </w:rPr>
        <w:t>соблюдением мероприятий, предотвращающих загрязнение, засорение вод и</w:t>
      </w:r>
      <w:r>
        <w:rPr>
          <w:rFonts w:ascii="Times New Roman" w:hAnsi="Times New Roman"/>
          <w:sz w:val="28"/>
          <w:szCs w:val="28"/>
          <w:lang w:eastAsia="ru-RU"/>
        </w:rPr>
        <w:t> </w:t>
      </w:r>
      <w:r w:rsidRPr="00411C3A">
        <w:rPr>
          <w:rFonts w:ascii="Times New Roman" w:hAnsi="Times New Roman"/>
          <w:sz w:val="28"/>
          <w:szCs w:val="28"/>
          <w:lang w:eastAsia="ru-RU"/>
        </w:rPr>
        <w:t xml:space="preserve">заиление русел, истощение водотоков. </w:t>
      </w:r>
    </w:p>
    <w:p w:rsidR="002D1E45" w:rsidRPr="003A7901" w:rsidRDefault="002D1E45" w:rsidP="003A7901">
      <w:pPr>
        <w:spacing w:after="0" w:line="240" w:lineRule="auto"/>
        <w:ind w:firstLine="709"/>
        <w:jc w:val="both"/>
        <w:rPr>
          <w:rFonts w:ascii="Times New Roman" w:hAnsi="Times New Roman"/>
          <w:sz w:val="28"/>
          <w:szCs w:val="28"/>
          <w:lang w:eastAsia="ru-RU"/>
        </w:rPr>
      </w:pPr>
    </w:p>
    <w:p w:rsidR="002D1E45" w:rsidRPr="001F1778" w:rsidRDefault="002D1E45" w:rsidP="00852938">
      <w:pPr>
        <w:pStyle w:val="Heading3"/>
        <w:numPr>
          <w:ilvl w:val="2"/>
          <w:numId w:val="65"/>
        </w:numPr>
        <w:tabs>
          <w:tab w:val="left" w:pos="1418"/>
        </w:tabs>
        <w:spacing w:before="120"/>
        <w:ind w:left="1418" w:hanging="698"/>
        <w:jc w:val="both"/>
        <w:rPr>
          <w:rFonts w:ascii="Times New Roman" w:hAnsi="Times New Roman"/>
          <w:sz w:val="28"/>
        </w:rPr>
      </w:pPr>
      <w:bookmarkStart w:id="329" w:name="_Toc468971956"/>
      <w:bookmarkStart w:id="330" w:name="_Toc475037122"/>
      <w:bookmarkStart w:id="331" w:name="_Toc84936064"/>
      <w:r w:rsidRPr="001F1778">
        <w:rPr>
          <w:rFonts w:ascii="Times New Roman" w:hAnsi="Times New Roman"/>
          <w:sz w:val="28"/>
        </w:rPr>
        <w:t>Водоотведение</w:t>
      </w:r>
      <w:bookmarkEnd w:id="329"/>
      <w:bookmarkEnd w:id="330"/>
      <w:bookmarkEnd w:id="331"/>
    </w:p>
    <w:p w:rsidR="002D1E45" w:rsidRPr="003A7901" w:rsidRDefault="002D1E45" w:rsidP="003A7901">
      <w:pPr>
        <w:spacing w:after="0" w:line="240" w:lineRule="auto"/>
        <w:rPr>
          <w:rFonts w:ascii="Times New Roman" w:hAnsi="Times New Roman"/>
          <w:sz w:val="16"/>
          <w:szCs w:val="16"/>
          <w:lang w:eastAsia="ru-RU"/>
        </w:rPr>
      </w:pPr>
    </w:p>
    <w:p w:rsidR="002D1E45" w:rsidRPr="001D7D2F" w:rsidRDefault="002D1E45" w:rsidP="001D7D2F">
      <w:pPr>
        <w:spacing w:after="0" w:line="240" w:lineRule="auto"/>
        <w:ind w:firstLine="709"/>
        <w:jc w:val="both"/>
        <w:rPr>
          <w:rFonts w:ascii="Times New Roman" w:hAnsi="Times New Roman"/>
          <w:sz w:val="28"/>
          <w:szCs w:val="28"/>
          <w:lang w:eastAsia="ru-RU"/>
        </w:rPr>
      </w:pPr>
      <w:r w:rsidRPr="006805C0">
        <w:rPr>
          <w:rFonts w:ascii="Times New Roman" w:hAnsi="Times New Roman"/>
          <w:sz w:val="28"/>
          <w:szCs w:val="28"/>
          <w:lang w:eastAsia="ru-RU"/>
        </w:rPr>
        <w:t xml:space="preserve">Система водоотведения </w:t>
      </w:r>
      <w:r>
        <w:rPr>
          <w:rFonts w:ascii="Times New Roman" w:hAnsi="Times New Roman"/>
          <w:sz w:val="28"/>
          <w:szCs w:val="28"/>
          <w:lang w:eastAsia="ru-RU"/>
        </w:rPr>
        <w:t xml:space="preserve">города Куйбышева </w:t>
      </w:r>
      <w:r w:rsidRPr="006805C0">
        <w:rPr>
          <w:rFonts w:ascii="Times New Roman" w:hAnsi="Times New Roman"/>
          <w:sz w:val="28"/>
          <w:szCs w:val="28"/>
          <w:lang w:eastAsia="ru-RU"/>
        </w:rPr>
        <w:t>предусматривается с</w:t>
      </w:r>
      <w:r>
        <w:rPr>
          <w:rFonts w:ascii="Times New Roman" w:hAnsi="Times New Roman"/>
          <w:sz w:val="28"/>
          <w:szCs w:val="28"/>
          <w:lang w:eastAsia="ru-RU"/>
        </w:rPr>
        <w:t> </w:t>
      </w:r>
      <w:r w:rsidRPr="006805C0">
        <w:rPr>
          <w:rFonts w:ascii="Times New Roman" w:hAnsi="Times New Roman"/>
          <w:sz w:val="28"/>
          <w:szCs w:val="28"/>
          <w:lang w:eastAsia="ru-RU"/>
        </w:rPr>
        <w:t>учётом развития на</w:t>
      </w:r>
      <w:r>
        <w:rPr>
          <w:rFonts w:ascii="Times New Roman" w:hAnsi="Times New Roman"/>
          <w:sz w:val="28"/>
          <w:szCs w:val="28"/>
          <w:lang w:eastAsia="ru-RU"/>
        </w:rPr>
        <w:t> </w:t>
      </w:r>
      <w:r w:rsidRPr="006805C0">
        <w:rPr>
          <w:rFonts w:ascii="Times New Roman" w:hAnsi="Times New Roman"/>
          <w:sz w:val="28"/>
          <w:szCs w:val="28"/>
          <w:lang w:eastAsia="ru-RU"/>
        </w:rPr>
        <w:t>расчётный срок (20</w:t>
      </w:r>
      <w:r>
        <w:rPr>
          <w:rFonts w:ascii="Times New Roman" w:hAnsi="Times New Roman"/>
          <w:sz w:val="28"/>
          <w:szCs w:val="28"/>
          <w:lang w:eastAsia="ru-RU"/>
        </w:rPr>
        <w:t>40</w:t>
      </w:r>
      <w:r w:rsidRPr="006805C0">
        <w:rPr>
          <w:rFonts w:ascii="Times New Roman" w:hAnsi="Times New Roman"/>
          <w:sz w:val="28"/>
          <w:szCs w:val="28"/>
          <w:lang w:eastAsia="ru-RU"/>
        </w:rPr>
        <w:t xml:space="preserve"> год). </w:t>
      </w:r>
      <w:r w:rsidRPr="001D7D2F">
        <w:rPr>
          <w:rFonts w:ascii="Times New Roman" w:hAnsi="Times New Roman"/>
          <w:sz w:val="28"/>
          <w:szCs w:val="28"/>
          <w:lang w:eastAsia="ru-RU"/>
        </w:rPr>
        <w:t>В</w:t>
      </w:r>
      <w:r>
        <w:rPr>
          <w:rFonts w:ascii="Times New Roman" w:hAnsi="Times New Roman"/>
          <w:sz w:val="28"/>
          <w:szCs w:val="28"/>
          <w:lang w:eastAsia="ru-RU"/>
        </w:rPr>
        <w:t> </w:t>
      </w:r>
      <w:r w:rsidRPr="001D7D2F">
        <w:rPr>
          <w:rFonts w:ascii="Times New Roman" w:hAnsi="Times New Roman"/>
          <w:sz w:val="28"/>
          <w:szCs w:val="28"/>
          <w:lang w:eastAsia="ru-RU"/>
        </w:rPr>
        <w:t>целях улучшения экологической обстановки на</w:t>
      </w:r>
      <w:r>
        <w:rPr>
          <w:rFonts w:ascii="Times New Roman" w:hAnsi="Times New Roman"/>
          <w:sz w:val="28"/>
          <w:szCs w:val="28"/>
          <w:lang w:eastAsia="ru-RU"/>
        </w:rPr>
        <w:t> </w:t>
      </w:r>
      <w:r w:rsidRPr="001D7D2F">
        <w:rPr>
          <w:rFonts w:ascii="Times New Roman" w:hAnsi="Times New Roman"/>
          <w:sz w:val="28"/>
          <w:szCs w:val="28"/>
          <w:lang w:eastAsia="ru-RU"/>
        </w:rPr>
        <w:t xml:space="preserve">территории </w:t>
      </w:r>
      <w:r>
        <w:rPr>
          <w:rFonts w:ascii="Times New Roman" w:hAnsi="Times New Roman"/>
          <w:sz w:val="28"/>
          <w:szCs w:val="28"/>
          <w:lang w:eastAsia="ru-RU"/>
        </w:rPr>
        <w:t>Города Куйбышева</w:t>
      </w:r>
      <w:r w:rsidRPr="001D7D2F">
        <w:rPr>
          <w:rFonts w:ascii="Times New Roman" w:hAnsi="Times New Roman"/>
          <w:sz w:val="28"/>
          <w:szCs w:val="28"/>
          <w:lang w:eastAsia="ru-RU"/>
        </w:rPr>
        <w:t xml:space="preserve"> генеральным планом предлагается организация комбинированной системы водоотведения. Систему водоотведения предусмотрено организовать посредством установки герметичных выгребов полной заводской готовности, с</w:t>
      </w:r>
      <w:r>
        <w:rPr>
          <w:rFonts w:ascii="Times New Roman" w:hAnsi="Times New Roman"/>
          <w:sz w:val="28"/>
          <w:szCs w:val="28"/>
          <w:lang w:eastAsia="ru-RU"/>
        </w:rPr>
        <w:t> </w:t>
      </w:r>
      <w:r w:rsidRPr="001D7D2F">
        <w:rPr>
          <w:rFonts w:ascii="Times New Roman" w:hAnsi="Times New Roman"/>
          <w:sz w:val="28"/>
          <w:szCs w:val="28"/>
          <w:lang w:eastAsia="ru-RU"/>
        </w:rPr>
        <w:t>последующим вывозом стоков на</w:t>
      </w:r>
      <w:r>
        <w:rPr>
          <w:rFonts w:ascii="Times New Roman" w:hAnsi="Times New Roman"/>
          <w:sz w:val="28"/>
          <w:szCs w:val="28"/>
          <w:lang w:eastAsia="ru-RU"/>
        </w:rPr>
        <w:t> </w:t>
      </w:r>
      <w:r w:rsidRPr="001D7D2F">
        <w:rPr>
          <w:rFonts w:ascii="Times New Roman" w:hAnsi="Times New Roman"/>
          <w:sz w:val="28"/>
          <w:szCs w:val="28"/>
          <w:lang w:eastAsia="ru-RU"/>
        </w:rPr>
        <w:t>проектируемые канализационные очистные сооружения (КОС).</w:t>
      </w:r>
    </w:p>
    <w:p w:rsidR="002D1E45" w:rsidRPr="006805C0" w:rsidRDefault="002D1E45" w:rsidP="001D7D2F">
      <w:pPr>
        <w:spacing w:after="0" w:line="240" w:lineRule="auto"/>
        <w:ind w:firstLine="709"/>
        <w:jc w:val="both"/>
        <w:rPr>
          <w:rFonts w:ascii="Times New Roman" w:hAnsi="Times New Roman"/>
          <w:sz w:val="28"/>
          <w:szCs w:val="28"/>
          <w:lang w:eastAsia="ru-RU"/>
        </w:rPr>
      </w:pPr>
      <w:r w:rsidRPr="001D7D2F">
        <w:rPr>
          <w:rFonts w:ascii="Times New Roman" w:hAnsi="Times New Roman"/>
          <w:sz w:val="28"/>
          <w:szCs w:val="28"/>
          <w:lang w:eastAsia="ru-RU"/>
        </w:rPr>
        <w:t>Размещение площадки КОС предусмотрено с</w:t>
      </w:r>
      <w:r>
        <w:rPr>
          <w:rFonts w:ascii="Times New Roman" w:hAnsi="Times New Roman"/>
          <w:sz w:val="28"/>
          <w:szCs w:val="28"/>
          <w:lang w:eastAsia="ru-RU"/>
        </w:rPr>
        <w:t> </w:t>
      </w:r>
      <w:r w:rsidRPr="001D7D2F">
        <w:rPr>
          <w:rFonts w:ascii="Times New Roman" w:hAnsi="Times New Roman"/>
          <w:sz w:val="28"/>
          <w:szCs w:val="28"/>
          <w:lang w:eastAsia="ru-RU"/>
        </w:rPr>
        <w:t xml:space="preserve">соблюдением санитарно-защитных зон, предусмотренных СанПиН 2.2.1/2.1.1.1200-03 </w:t>
      </w:r>
      <w:r>
        <w:rPr>
          <w:rFonts w:ascii="Times New Roman" w:hAnsi="Times New Roman"/>
          <w:sz w:val="28"/>
          <w:szCs w:val="28"/>
          <w:lang w:eastAsia="ru-RU"/>
        </w:rPr>
        <w:t>«</w:t>
      </w:r>
      <w:r w:rsidRPr="001D7D2F">
        <w:rPr>
          <w:rFonts w:ascii="Times New Roman" w:hAnsi="Times New Roman"/>
          <w:sz w:val="28"/>
          <w:szCs w:val="28"/>
          <w:lang w:eastAsia="ru-RU"/>
        </w:rPr>
        <w:t>Санитарно-защитные зоны и</w:t>
      </w:r>
      <w:r>
        <w:rPr>
          <w:rFonts w:ascii="Times New Roman" w:hAnsi="Times New Roman"/>
          <w:sz w:val="28"/>
          <w:szCs w:val="28"/>
          <w:lang w:eastAsia="ru-RU"/>
        </w:rPr>
        <w:t> </w:t>
      </w:r>
      <w:r w:rsidRPr="001D7D2F">
        <w:rPr>
          <w:rFonts w:ascii="Times New Roman" w:hAnsi="Times New Roman"/>
          <w:sz w:val="28"/>
          <w:szCs w:val="28"/>
          <w:lang w:eastAsia="ru-RU"/>
        </w:rPr>
        <w:t>санитарная классификация предприятий, сооружений и</w:t>
      </w:r>
      <w:r>
        <w:rPr>
          <w:rFonts w:ascii="Times New Roman" w:hAnsi="Times New Roman"/>
          <w:sz w:val="28"/>
          <w:szCs w:val="28"/>
          <w:lang w:eastAsia="ru-RU"/>
        </w:rPr>
        <w:t> </w:t>
      </w:r>
      <w:r w:rsidRPr="001D7D2F">
        <w:rPr>
          <w:rFonts w:ascii="Times New Roman" w:hAnsi="Times New Roman"/>
          <w:sz w:val="28"/>
          <w:szCs w:val="28"/>
          <w:lang w:eastAsia="ru-RU"/>
        </w:rPr>
        <w:t>иных объектов</w:t>
      </w:r>
      <w:r>
        <w:rPr>
          <w:rFonts w:ascii="Times New Roman" w:hAnsi="Times New Roman"/>
          <w:sz w:val="28"/>
          <w:szCs w:val="28"/>
          <w:lang w:eastAsia="ru-RU"/>
        </w:rPr>
        <w:t>»</w:t>
      </w:r>
      <w:r w:rsidRPr="001D7D2F">
        <w:rPr>
          <w:rFonts w:ascii="Times New Roman" w:hAnsi="Times New Roman"/>
          <w:sz w:val="28"/>
          <w:szCs w:val="28"/>
          <w:lang w:eastAsia="ru-RU"/>
        </w:rPr>
        <w:t>. Для проведения качественной очистки канализационных стоков рекомендовано применить современные технологии и</w:t>
      </w:r>
      <w:r>
        <w:rPr>
          <w:rFonts w:ascii="Times New Roman" w:hAnsi="Times New Roman"/>
          <w:sz w:val="28"/>
          <w:szCs w:val="28"/>
          <w:lang w:eastAsia="ru-RU"/>
        </w:rPr>
        <w:t> </w:t>
      </w:r>
      <w:r w:rsidRPr="001D7D2F">
        <w:rPr>
          <w:rFonts w:ascii="Times New Roman" w:hAnsi="Times New Roman"/>
          <w:sz w:val="28"/>
          <w:szCs w:val="28"/>
          <w:lang w:eastAsia="ru-RU"/>
        </w:rPr>
        <w:t>предусмотреть весь комплекс оборудования для</w:t>
      </w:r>
      <w:r>
        <w:rPr>
          <w:rFonts w:ascii="Times New Roman" w:hAnsi="Times New Roman"/>
          <w:sz w:val="28"/>
          <w:szCs w:val="28"/>
          <w:lang w:eastAsia="ru-RU"/>
        </w:rPr>
        <w:t xml:space="preserve"> </w:t>
      </w:r>
      <w:r w:rsidRPr="001D7D2F">
        <w:rPr>
          <w:rFonts w:ascii="Times New Roman" w:hAnsi="Times New Roman"/>
          <w:sz w:val="28"/>
          <w:szCs w:val="28"/>
          <w:lang w:eastAsia="ru-RU"/>
        </w:rPr>
        <w:t>сокращения санитарно-защитной зоны. Сброс очищенных сточных вод предусмотрен на</w:t>
      </w:r>
      <w:r>
        <w:rPr>
          <w:rFonts w:ascii="Times New Roman" w:hAnsi="Times New Roman"/>
          <w:sz w:val="28"/>
          <w:szCs w:val="28"/>
          <w:lang w:eastAsia="ru-RU"/>
        </w:rPr>
        <w:t> </w:t>
      </w:r>
      <w:r w:rsidRPr="001D7D2F">
        <w:rPr>
          <w:rFonts w:ascii="Times New Roman" w:hAnsi="Times New Roman"/>
          <w:sz w:val="28"/>
          <w:szCs w:val="28"/>
          <w:lang w:eastAsia="ru-RU"/>
        </w:rPr>
        <w:t>рельеф</w:t>
      </w:r>
      <w:r>
        <w:rPr>
          <w:rFonts w:ascii="Times New Roman" w:hAnsi="Times New Roman"/>
          <w:sz w:val="28"/>
          <w:szCs w:val="28"/>
          <w:lang w:eastAsia="ru-RU"/>
        </w:rPr>
        <w:t xml:space="preserve"> и в водотоки</w:t>
      </w:r>
      <w:r w:rsidRPr="001D7D2F">
        <w:rPr>
          <w:rFonts w:ascii="Times New Roman" w:hAnsi="Times New Roman"/>
          <w:sz w:val="28"/>
          <w:szCs w:val="28"/>
          <w:lang w:eastAsia="ru-RU"/>
        </w:rPr>
        <w:t>.</w:t>
      </w:r>
    </w:p>
    <w:p w:rsidR="002D1E45" w:rsidRPr="006805C0" w:rsidRDefault="002D1E45" w:rsidP="006805C0">
      <w:pPr>
        <w:spacing w:after="0" w:line="240" w:lineRule="auto"/>
        <w:ind w:firstLine="709"/>
        <w:jc w:val="both"/>
        <w:rPr>
          <w:rFonts w:ascii="Times New Roman" w:hAnsi="Times New Roman"/>
          <w:sz w:val="28"/>
          <w:szCs w:val="28"/>
          <w:lang w:eastAsia="ru-RU"/>
        </w:rPr>
      </w:pPr>
      <w:r w:rsidRPr="006805C0">
        <w:rPr>
          <w:rFonts w:ascii="Times New Roman" w:hAnsi="Times New Roman"/>
          <w:sz w:val="28"/>
          <w:szCs w:val="28"/>
          <w:lang w:eastAsia="ru-RU"/>
        </w:rPr>
        <w:t xml:space="preserve">Диаметры канализационных сетей </w:t>
      </w:r>
      <w:r>
        <w:rPr>
          <w:rFonts w:ascii="Times New Roman" w:hAnsi="Times New Roman"/>
          <w:sz w:val="28"/>
          <w:szCs w:val="28"/>
          <w:lang w:eastAsia="ru-RU"/>
        </w:rPr>
        <w:t xml:space="preserve">должны быть </w:t>
      </w:r>
      <w:r w:rsidRPr="006805C0">
        <w:rPr>
          <w:rFonts w:ascii="Times New Roman" w:hAnsi="Times New Roman"/>
          <w:sz w:val="28"/>
          <w:szCs w:val="28"/>
          <w:lang w:eastAsia="ru-RU"/>
        </w:rPr>
        <w:t>рассчитаны из</w:t>
      </w:r>
      <w:r>
        <w:rPr>
          <w:rFonts w:ascii="Times New Roman" w:hAnsi="Times New Roman"/>
          <w:sz w:val="28"/>
          <w:szCs w:val="28"/>
          <w:lang w:eastAsia="ru-RU"/>
        </w:rPr>
        <w:t> </w:t>
      </w:r>
      <w:r w:rsidRPr="006805C0">
        <w:rPr>
          <w:rFonts w:ascii="Times New Roman" w:hAnsi="Times New Roman"/>
          <w:sz w:val="28"/>
          <w:szCs w:val="28"/>
          <w:lang w:eastAsia="ru-RU"/>
        </w:rPr>
        <w:t>условия пропуска максимального часового объёма сточных вод. При рабочем проектировании необходимо выполнить расчёт канализационной сети с</w:t>
      </w:r>
      <w:r>
        <w:rPr>
          <w:rFonts w:ascii="Times New Roman" w:hAnsi="Times New Roman"/>
          <w:sz w:val="28"/>
          <w:szCs w:val="28"/>
          <w:lang w:eastAsia="ru-RU"/>
        </w:rPr>
        <w:t> </w:t>
      </w:r>
      <w:r w:rsidRPr="006805C0">
        <w:rPr>
          <w:rFonts w:ascii="Times New Roman" w:hAnsi="Times New Roman"/>
          <w:sz w:val="28"/>
          <w:szCs w:val="28"/>
          <w:lang w:eastAsia="ru-RU"/>
        </w:rPr>
        <w:t>применением специализированных программных комплексов и</w:t>
      </w:r>
      <w:r>
        <w:rPr>
          <w:rFonts w:ascii="Times New Roman" w:hAnsi="Times New Roman"/>
          <w:sz w:val="28"/>
          <w:szCs w:val="28"/>
          <w:lang w:eastAsia="ru-RU"/>
        </w:rPr>
        <w:t> </w:t>
      </w:r>
      <w:r w:rsidRPr="006805C0">
        <w:rPr>
          <w:rFonts w:ascii="Times New Roman" w:hAnsi="Times New Roman"/>
          <w:sz w:val="28"/>
          <w:szCs w:val="28"/>
          <w:lang w:eastAsia="ru-RU"/>
        </w:rPr>
        <w:t>уточнить диаметры по</w:t>
      </w:r>
      <w:r>
        <w:rPr>
          <w:rFonts w:ascii="Times New Roman" w:hAnsi="Times New Roman"/>
          <w:sz w:val="28"/>
          <w:szCs w:val="28"/>
          <w:lang w:eastAsia="ru-RU"/>
        </w:rPr>
        <w:t> </w:t>
      </w:r>
      <w:r w:rsidRPr="006805C0">
        <w:rPr>
          <w:rFonts w:ascii="Times New Roman" w:hAnsi="Times New Roman"/>
          <w:sz w:val="28"/>
          <w:szCs w:val="28"/>
          <w:lang w:eastAsia="ru-RU"/>
        </w:rPr>
        <w:t>участкам.</w:t>
      </w:r>
    </w:p>
    <w:p w:rsidR="002D1E45" w:rsidRPr="00020B70" w:rsidRDefault="002D1E45" w:rsidP="000B14DF">
      <w:pPr>
        <w:spacing w:after="0" w:line="240" w:lineRule="auto"/>
        <w:ind w:firstLine="709"/>
        <w:jc w:val="both"/>
        <w:rPr>
          <w:rFonts w:ascii="Times New Roman" w:hAnsi="Times New Roman"/>
          <w:sz w:val="28"/>
          <w:szCs w:val="28"/>
          <w:lang w:eastAsia="ru-RU"/>
        </w:rPr>
      </w:pPr>
      <w:r w:rsidRPr="00020B70">
        <w:rPr>
          <w:rFonts w:ascii="Times New Roman" w:hAnsi="Times New Roman"/>
          <w:sz w:val="28"/>
          <w:szCs w:val="28"/>
          <w:lang w:eastAsia="ru-RU"/>
        </w:rPr>
        <w:t>Централизованные схемы канализации проектируют объединёнными для жилых и</w:t>
      </w:r>
      <w:r>
        <w:rPr>
          <w:rFonts w:ascii="Times New Roman" w:hAnsi="Times New Roman"/>
          <w:sz w:val="28"/>
          <w:szCs w:val="28"/>
          <w:lang w:eastAsia="ru-RU"/>
        </w:rPr>
        <w:t> </w:t>
      </w:r>
      <w:r w:rsidRPr="00020B70">
        <w:rPr>
          <w:rFonts w:ascii="Times New Roman" w:hAnsi="Times New Roman"/>
          <w:sz w:val="28"/>
          <w:szCs w:val="28"/>
          <w:lang w:eastAsia="ru-RU"/>
        </w:rPr>
        <w:t xml:space="preserve">производственных зон, исключая навозсодержащие сточные воды. </w:t>
      </w:r>
    </w:p>
    <w:p w:rsidR="002D1E45" w:rsidRPr="00797587" w:rsidRDefault="002D1E45" w:rsidP="00CC0F11">
      <w:pPr>
        <w:spacing w:after="0" w:line="240" w:lineRule="auto"/>
        <w:ind w:firstLine="709"/>
        <w:contextualSpacing/>
        <w:jc w:val="both"/>
        <w:rPr>
          <w:rFonts w:ascii="Times New Roman" w:hAnsi="Times New Roman"/>
          <w:sz w:val="28"/>
          <w:szCs w:val="28"/>
        </w:rPr>
      </w:pPr>
      <w:r w:rsidRPr="006706ED">
        <w:rPr>
          <w:rFonts w:ascii="Times New Roman" w:hAnsi="Times New Roman"/>
          <w:sz w:val="28"/>
          <w:szCs w:val="28"/>
        </w:rPr>
        <w:t>Общий баланс притока сточных вод с</w:t>
      </w:r>
      <w:r>
        <w:rPr>
          <w:rFonts w:ascii="Times New Roman" w:hAnsi="Times New Roman"/>
          <w:sz w:val="28"/>
          <w:szCs w:val="28"/>
        </w:rPr>
        <w:t> </w:t>
      </w:r>
      <w:r w:rsidRPr="006706ED">
        <w:rPr>
          <w:rFonts w:ascii="Times New Roman" w:hAnsi="Times New Roman"/>
          <w:sz w:val="28"/>
          <w:szCs w:val="28"/>
        </w:rPr>
        <w:t xml:space="preserve">территории </w:t>
      </w:r>
      <w:r>
        <w:rPr>
          <w:rFonts w:ascii="Times New Roman" w:hAnsi="Times New Roman"/>
          <w:sz w:val="28"/>
          <w:szCs w:val="28"/>
        </w:rPr>
        <w:t>города на расчётный срок составит 12,63 тыс. м</w:t>
      </w:r>
      <w:r>
        <w:rPr>
          <w:rFonts w:ascii="Times New Roman" w:hAnsi="Times New Roman"/>
          <w:sz w:val="28"/>
          <w:szCs w:val="28"/>
          <w:vertAlign w:val="superscript"/>
        </w:rPr>
        <w:t>3</w:t>
      </w:r>
      <w:r>
        <w:rPr>
          <w:rFonts w:ascii="Times New Roman" w:hAnsi="Times New Roman"/>
          <w:sz w:val="28"/>
          <w:szCs w:val="28"/>
        </w:rPr>
        <w:t>/сут.</w:t>
      </w:r>
    </w:p>
    <w:p w:rsidR="002D1E45" w:rsidRPr="003A7901" w:rsidRDefault="002D1E45" w:rsidP="003A7901">
      <w:pPr>
        <w:autoSpaceDE w:val="0"/>
        <w:autoSpaceDN w:val="0"/>
        <w:adjustRightInd w:val="0"/>
        <w:spacing w:after="0" w:line="240" w:lineRule="auto"/>
        <w:jc w:val="right"/>
        <w:rPr>
          <w:rFonts w:ascii="Times New Roman" w:hAnsi="Times New Roman"/>
          <w:sz w:val="28"/>
          <w:szCs w:val="28"/>
          <w:lang w:eastAsia="ru-RU"/>
        </w:rPr>
      </w:pPr>
      <w:r w:rsidRPr="003A7901">
        <w:rPr>
          <w:rFonts w:ascii="Times New Roman" w:hAnsi="Times New Roman"/>
          <w:sz w:val="28"/>
          <w:szCs w:val="28"/>
          <w:lang w:eastAsia="ru-RU"/>
        </w:rPr>
        <w:t xml:space="preserve">Таблица </w:t>
      </w:r>
      <w:r w:rsidRPr="003A7901">
        <w:rPr>
          <w:rFonts w:ascii="Times New Roman" w:hAnsi="Times New Roman"/>
          <w:sz w:val="28"/>
          <w:szCs w:val="28"/>
        </w:rPr>
        <w:fldChar w:fldCharType="begin"/>
      </w:r>
      <w:r w:rsidRPr="003A7901">
        <w:rPr>
          <w:rFonts w:ascii="Times New Roman" w:hAnsi="Times New Roman"/>
          <w:sz w:val="28"/>
          <w:szCs w:val="28"/>
        </w:rPr>
        <w:instrText xml:space="preserve"> SEQ Таблица \* ARABIC </w:instrText>
      </w:r>
      <w:r w:rsidRPr="003A7901">
        <w:rPr>
          <w:rFonts w:ascii="Times New Roman" w:hAnsi="Times New Roman"/>
          <w:sz w:val="28"/>
          <w:szCs w:val="28"/>
        </w:rPr>
        <w:fldChar w:fldCharType="separate"/>
      </w:r>
      <w:r>
        <w:rPr>
          <w:rFonts w:ascii="Times New Roman" w:hAnsi="Times New Roman"/>
          <w:noProof/>
          <w:sz w:val="28"/>
          <w:szCs w:val="28"/>
        </w:rPr>
        <w:t>62</w:t>
      </w:r>
      <w:r w:rsidRPr="003A7901">
        <w:rPr>
          <w:rFonts w:ascii="Times New Roman" w:hAnsi="Times New Roman"/>
          <w:sz w:val="28"/>
          <w:szCs w:val="28"/>
        </w:rPr>
        <w:fldChar w:fldCharType="end"/>
      </w:r>
    </w:p>
    <w:p w:rsidR="002D1E45" w:rsidRPr="003A7901" w:rsidRDefault="002D1E45" w:rsidP="003A7901">
      <w:pPr>
        <w:spacing w:line="240" w:lineRule="auto"/>
        <w:jc w:val="center"/>
        <w:rPr>
          <w:rFonts w:ascii="Times New Roman" w:hAnsi="Times New Roman"/>
          <w:color w:val="000000"/>
          <w:sz w:val="28"/>
          <w:szCs w:val="28"/>
        </w:rPr>
      </w:pPr>
      <w:r w:rsidRPr="003A7901">
        <w:rPr>
          <w:rFonts w:ascii="Times New Roman" w:hAnsi="Times New Roman"/>
          <w:color w:val="000000"/>
          <w:sz w:val="28"/>
          <w:szCs w:val="28"/>
        </w:rPr>
        <w:t xml:space="preserve">Ожидаемое </w:t>
      </w:r>
      <w:r>
        <w:rPr>
          <w:rFonts w:ascii="Times New Roman" w:hAnsi="Times New Roman"/>
          <w:color w:val="000000"/>
          <w:sz w:val="28"/>
          <w:szCs w:val="28"/>
        </w:rPr>
        <w:t>водоотведение</w:t>
      </w:r>
      <w:r w:rsidRPr="003A7901">
        <w:rPr>
          <w:rFonts w:ascii="Times New Roman" w:hAnsi="Times New Roman"/>
          <w:color w:val="000000"/>
          <w:sz w:val="28"/>
          <w:szCs w:val="28"/>
        </w:rPr>
        <w:t xml:space="preserve"> на</w:t>
      </w:r>
      <w:r>
        <w:rPr>
          <w:rFonts w:ascii="Times New Roman" w:hAnsi="Times New Roman"/>
          <w:color w:val="000000"/>
          <w:sz w:val="28"/>
          <w:szCs w:val="28"/>
        </w:rPr>
        <w:t> </w:t>
      </w:r>
      <w:r w:rsidRPr="003A7901">
        <w:rPr>
          <w:rFonts w:ascii="Times New Roman" w:hAnsi="Times New Roman"/>
          <w:color w:val="000000"/>
          <w:sz w:val="28"/>
          <w:szCs w:val="28"/>
        </w:rPr>
        <w:t>расчётный срок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40"/>
        <w:gridCol w:w="3530"/>
        <w:gridCol w:w="779"/>
        <w:gridCol w:w="784"/>
        <w:gridCol w:w="1664"/>
        <w:gridCol w:w="1450"/>
        <w:gridCol w:w="1448"/>
      </w:tblGrid>
      <w:tr w:rsidR="002D1E45" w:rsidRPr="000B3B79" w:rsidTr="003A7901">
        <w:trPr>
          <w:trHeight w:val="283"/>
          <w:tblHeader/>
          <w:jc w:val="center"/>
        </w:trPr>
        <w:tc>
          <w:tcPr>
            <w:tcW w:w="540" w:type="dxa"/>
            <w:vAlign w:val="center"/>
          </w:tcPr>
          <w:p w:rsidR="002D1E45" w:rsidRPr="000B3B79" w:rsidRDefault="002D1E45" w:rsidP="003A7901">
            <w:pPr>
              <w:spacing w:after="0" w:line="240" w:lineRule="auto"/>
              <w:jc w:val="center"/>
              <w:rPr>
                <w:rFonts w:ascii="Times New Roman" w:hAnsi="Times New Roman"/>
                <w:sz w:val="20"/>
                <w:szCs w:val="20"/>
                <w:lang w:eastAsia="ru-RU"/>
              </w:rPr>
            </w:pPr>
            <w:r w:rsidRPr="000B3B79">
              <w:rPr>
                <w:rFonts w:ascii="Times New Roman" w:hAnsi="Times New Roman"/>
                <w:sz w:val="20"/>
                <w:szCs w:val="20"/>
                <w:lang w:eastAsia="ru-RU"/>
              </w:rPr>
              <w:t>№ п/п</w:t>
            </w:r>
          </w:p>
        </w:tc>
        <w:tc>
          <w:tcPr>
            <w:tcW w:w="3530" w:type="dxa"/>
            <w:vAlign w:val="center"/>
          </w:tcPr>
          <w:p w:rsidR="002D1E45" w:rsidRPr="000B3B79" w:rsidRDefault="002D1E45" w:rsidP="003A7901">
            <w:pPr>
              <w:spacing w:after="0" w:line="240" w:lineRule="auto"/>
              <w:jc w:val="center"/>
              <w:rPr>
                <w:rFonts w:ascii="Times New Roman" w:hAnsi="Times New Roman"/>
                <w:sz w:val="20"/>
                <w:szCs w:val="20"/>
                <w:lang w:eastAsia="ru-RU"/>
              </w:rPr>
            </w:pPr>
            <w:r w:rsidRPr="000B3B79">
              <w:rPr>
                <w:rFonts w:ascii="Times New Roman" w:hAnsi="Times New Roman"/>
                <w:sz w:val="20"/>
                <w:szCs w:val="20"/>
                <w:lang w:eastAsia="ru-RU"/>
              </w:rPr>
              <w:t>Зона</w:t>
            </w:r>
          </w:p>
        </w:tc>
        <w:tc>
          <w:tcPr>
            <w:tcW w:w="779" w:type="dxa"/>
            <w:vAlign w:val="center"/>
          </w:tcPr>
          <w:p w:rsidR="002D1E45" w:rsidRPr="000B3B79" w:rsidRDefault="002D1E45" w:rsidP="003A7901">
            <w:pPr>
              <w:spacing w:after="0" w:line="240" w:lineRule="auto"/>
              <w:jc w:val="center"/>
              <w:rPr>
                <w:rFonts w:ascii="Times New Roman" w:hAnsi="Times New Roman"/>
                <w:sz w:val="20"/>
                <w:szCs w:val="20"/>
                <w:lang w:eastAsia="ru-RU"/>
              </w:rPr>
            </w:pPr>
            <w:r w:rsidRPr="000B3B79">
              <w:rPr>
                <w:rFonts w:ascii="Times New Roman" w:hAnsi="Times New Roman"/>
                <w:sz w:val="20"/>
                <w:szCs w:val="20"/>
                <w:lang w:eastAsia="ru-RU"/>
              </w:rPr>
              <w:t>Ед.</w:t>
            </w:r>
          </w:p>
        </w:tc>
        <w:tc>
          <w:tcPr>
            <w:tcW w:w="784" w:type="dxa"/>
            <w:vAlign w:val="center"/>
          </w:tcPr>
          <w:p w:rsidR="002D1E45" w:rsidRPr="000B3B79" w:rsidRDefault="002D1E45" w:rsidP="003A7901">
            <w:pPr>
              <w:spacing w:after="0" w:line="240" w:lineRule="auto"/>
              <w:jc w:val="center"/>
              <w:rPr>
                <w:rFonts w:ascii="Times New Roman" w:hAnsi="Times New Roman"/>
                <w:sz w:val="20"/>
                <w:szCs w:val="20"/>
                <w:lang w:eastAsia="ru-RU"/>
              </w:rPr>
            </w:pPr>
            <w:r w:rsidRPr="000B3B79">
              <w:rPr>
                <w:rFonts w:ascii="Times New Roman" w:hAnsi="Times New Roman"/>
                <w:sz w:val="20"/>
                <w:szCs w:val="20"/>
                <w:lang w:eastAsia="ru-RU"/>
              </w:rPr>
              <w:t>Кол.</w:t>
            </w:r>
          </w:p>
        </w:tc>
        <w:tc>
          <w:tcPr>
            <w:tcW w:w="1664" w:type="dxa"/>
            <w:vAlign w:val="center"/>
          </w:tcPr>
          <w:p w:rsidR="002D1E45" w:rsidRPr="000B3B79" w:rsidRDefault="002D1E45" w:rsidP="003A7901">
            <w:pPr>
              <w:spacing w:after="0" w:line="240" w:lineRule="auto"/>
              <w:jc w:val="center"/>
              <w:rPr>
                <w:rFonts w:ascii="Times New Roman" w:hAnsi="Times New Roman"/>
                <w:sz w:val="20"/>
                <w:szCs w:val="20"/>
                <w:lang w:eastAsia="ru-RU"/>
              </w:rPr>
            </w:pPr>
            <w:r w:rsidRPr="000B3B79">
              <w:rPr>
                <w:rFonts w:ascii="Times New Roman" w:hAnsi="Times New Roman"/>
                <w:sz w:val="20"/>
                <w:szCs w:val="20"/>
                <w:lang w:eastAsia="ru-RU"/>
              </w:rPr>
              <w:t>Суточный м</w:t>
            </w:r>
            <w:r w:rsidRPr="000B3B79">
              <w:rPr>
                <w:rFonts w:ascii="Times New Roman" w:hAnsi="Times New Roman"/>
                <w:sz w:val="20"/>
                <w:szCs w:val="20"/>
                <w:vertAlign w:val="superscript"/>
                <w:lang w:eastAsia="ru-RU"/>
              </w:rPr>
              <w:t>3</w:t>
            </w:r>
            <w:r w:rsidRPr="000B3B79">
              <w:rPr>
                <w:rFonts w:ascii="Times New Roman" w:hAnsi="Times New Roman"/>
                <w:sz w:val="20"/>
                <w:szCs w:val="20"/>
                <w:lang w:eastAsia="ru-RU"/>
              </w:rPr>
              <w:t>/сут</w:t>
            </w:r>
          </w:p>
        </w:tc>
        <w:tc>
          <w:tcPr>
            <w:tcW w:w="1450" w:type="dxa"/>
            <w:vAlign w:val="center"/>
          </w:tcPr>
          <w:p w:rsidR="002D1E45" w:rsidRPr="000B3B79" w:rsidRDefault="002D1E45" w:rsidP="003A7901">
            <w:pPr>
              <w:spacing w:after="0" w:line="240" w:lineRule="auto"/>
              <w:jc w:val="center"/>
              <w:rPr>
                <w:rFonts w:ascii="Times New Roman" w:hAnsi="Times New Roman"/>
                <w:sz w:val="20"/>
                <w:szCs w:val="20"/>
                <w:lang w:eastAsia="ru-RU"/>
              </w:rPr>
            </w:pPr>
            <w:r w:rsidRPr="000B3B79">
              <w:rPr>
                <w:rFonts w:ascii="Times New Roman" w:hAnsi="Times New Roman"/>
                <w:sz w:val="20"/>
                <w:szCs w:val="20"/>
                <w:lang w:eastAsia="ru-RU"/>
              </w:rPr>
              <w:t>Часовой м</w:t>
            </w:r>
            <w:r w:rsidRPr="000B3B79">
              <w:rPr>
                <w:rFonts w:ascii="Times New Roman" w:hAnsi="Times New Roman"/>
                <w:sz w:val="20"/>
                <w:szCs w:val="20"/>
                <w:vertAlign w:val="superscript"/>
                <w:lang w:eastAsia="ru-RU"/>
              </w:rPr>
              <w:t>3</w:t>
            </w:r>
            <w:r w:rsidRPr="000B3B79">
              <w:rPr>
                <w:rFonts w:ascii="Times New Roman" w:hAnsi="Times New Roman"/>
                <w:sz w:val="20"/>
                <w:szCs w:val="20"/>
                <w:lang w:eastAsia="ru-RU"/>
              </w:rPr>
              <w:t>/час</w:t>
            </w:r>
          </w:p>
        </w:tc>
        <w:tc>
          <w:tcPr>
            <w:tcW w:w="1448" w:type="dxa"/>
            <w:vAlign w:val="center"/>
          </w:tcPr>
          <w:p w:rsidR="002D1E45" w:rsidRPr="000B3B79" w:rsidRDefault="002D1E45" w:rsidP="003A7901">
            <w:pPr>
              <w:spacing w:after="0" w:line="240" w:lineRule="auto"/>
              <w:jc w:val="center"/>
              <w:rPr>
                <w:rFonts w:ascii="Times New Roman" w:hAnsi="Times New Roman"/>
                <w:sz w:val="20"/>
                <w:szCs w:val="20"/>
                <w:lang w:eastAsia="ru-RU"/>
              </w:rPr>
            </w:pPr>
            <w:r w:rsidRPr="000B3B79">
              <w:rPr>
                <w:rFonts w:ascii="Times New Roman" w:hAnsi="Times New Roman"/>
                <w:sz w:val="20"/>
                <w:szCs w:val="20"/>
                <w:lang w:eastAsia="ru-RU"/>
              </w:rPr>
              <w:t>Расчётный л/с</w:t>
            </w:r>
          </w:p>
        </w:tc>
      </w:tr>
      <w:tr w:rsidR="002D1E45" w:rsidRPr="000B3B79" w:rsidTr="00F54EF2">
        <w:trPr>
          <w:trHeight w:val="283"/>
          <w:jc w:val="center"/>
        </w:trPr>
        <w:tc>
          <w:tcPr>
            <w:tcW w:w="540" w:type="dxa"/>
            <w:noWrap/>
            <w:vAlign w:val="center"/>
          </w:tcPr>
          <w:p w:rsidR="002D1E45" w:rsidRPr="000B3B79" w:rsidRDefault="002D1E45" w:rsidP="00F54EF2">
            <w:pPr>
              <w:spacing w:after="0" w:line="240" w:lineRule="auto"/>
              <w:jc w:val="center"/>
              <w:rPr>
                <w:rFonts w:ascii="Times New Roman" w:hAnsi="Times New Roman"/>
                <w:sz w:val="20"/>
                <w:szCs w:val="20"/>
                <w:lang w:eastAsia="ru-RU"/>
              </w:rPr>
            </w:pPr>
            <w:r w:rsidRPr="000B3B79">
              <w:rPr>
                <w:rFonts w:ascii="Times New Roman" w:hAnsi="Times New Roman"/>
                <w:sz w:val="20"/>
                <w:szCs w:val="20"/>
                <w:lang w:eastAsia="ru-RU"/>
              </w:rPr>
              <w:t>1</w:t>
            </w:r>
          </w:p>
        </w:tc>
        <w:tc>
          <w:tcPr>
            <w:tcW w:w="3530" w:type="dxa"/>
            <w:vAlign w:val="center"/>
          </w:tcPr>
          <w:p w:rsidR="002D1E45" w:rsidRPr="000B3B79" w:rsidRDefault="002D1E45" w:rsidP="00F54EF2">
            <w:pPr>
              <w:spacing w:after="0" w:line="240" w:lineRule="auto"/>
              <w:rPr>
                <w:rFonts w:ascii="Times New Roman" w:hAnsi="Times New Roman"/>
                <w:sz w:val="20"/>
                <w:szCs w:val="20"/>
                <w:lang w:eastAsia="ru-RU"/>
              </w:rPr>
            </w:pPr>
            <w:r w:rsidRPr="000B3B79">
              <w:rPr>
                <w:rFonts w:ascii="Times New Roman" w:hAnsi="Times New Roman"/>
                <w:sz w:val="20"/>
                <w:szCs w:val="20"/>
                <w:lang w:eastAsia="ru-RU"/>
              </w:rPr>
              <w:t>Население проживающие в благоустроенных домах</w:t>
            </w:r>
          </w:p>
        </w:tc>
        <w:tc>
          <w:tcPr>
            <w:tcW w:w="779" w:type="dxa"/>
            <w:noWrap/>
            <w:vAlign w:val="center"/>
          </w:tcPr>
          <w:p w:rsidR="002D1E45" w:rsidRPr="000B3B79" w:rsidRDefault="002D1E45" w:rsidP="00F54EF2">
            <w:pPr>
              <w:spacing w:after="0" w:line="240" w:lineRule="auto"/>
              <w:jc w:val="center"/>
              <w:rPr>
                <w:rFonts w:ascii="Times New Roman" w:hAnsi="Times New Roman"/>
                <w:sz w:val="20"/>
                <w:szCs w:val="20"/>
                <w:lang w:eastAsia="ru-RU"/>
              </w:rPr>
            </w:pPr>
            <w:r w:rsidRPr="000B3B79">
              <w:rPr>
                <w:rFonts w:ascii="Times New Roman" w:hAnsi="Times New Roman"/>
                <w:sz w:val="20"/>
                <w:szCs w:val="20"/>
                <w:lang w:eastAsia="ru-RU"/>
              </w:rPr>
              <w:t>чел.</w:t>
            </w:r>
          </w:p>
        </w:tc>
        <w:tc>
          <w:tcPr>
            <w:tcW w:w="784" w:type="dxa"/>
            <w:noWrap/>
            <w:vAlign w:val="center"/>
          </w:tcPr>
          <w:p w:rsidR="002D1E45" w:rsidRPr="000B3B79" w:rsidRDefault="002D1E45" w:rsidP="00F54EF2">
            <w:pPr>
              <w:spacing w:after="0" w:line="240" w:lineRule="auto"/>
              <w:jc w:val="center"/>
              <w:rPr>
                <w:rFonts w:ascii="Times New Roman" w:hAnsi="Times New Roman"/>
                <w:sz w:val="20"/>
                <w:szCs w:val="20"/>
                <w:lang w:eastAsia="ru-RU"/>
              </w:rPr>
            </w:pPr>
            <w:r w:rsidRPr="00F54EF2">
              <w:rPr>
                <w:rFonts w:ascii="Times New Roman" w:hAnsi="Times New Roman"/>
                <w:sz w:val="20"/>
                <w:szCs w:val="20"/>
                <w:lang w:eastAsia="ru-RU"/>
              </w:rPr>
              <w:t>38950</w:t>
            </w:r>
          </w:p>
        </w:tc>
        <w:tc>
          <w:tcPr>
            <w:tcW w:w="1664" w:type="dxa"/>
            <w:noWrap/>
            <w:vAlign w:val="center"/>
          </w:tcPr>
          <w:p w:rsidR="002D1E45" w:rsidRPr="000B3B79" w:rsidRDefault="002D1E45" w:rsidP="00F54EF2">
            <w:pPr>
              <w:spacing w:after="0" w:line="240" w:lineRule="auto"/>
              <w:jc w:val="center"/>
              <w:rPr>
                <w:rFonts w:ascii="Times New Roman" w:hAnsi="Times New Roman"/>
                <w:sz w:val="20"/>
                <w:szCs w:val="20"/>
                <w:lang w:eastAsia="ru-RU"/>
              </w:rPr>
            </w:pPr>
            <w:r w:rsidRPr="00F54EF2">
              <w:rPr>
                <w:rFonts w:ascii="Times New Roman" w:hAnsi="Times New Roman"/>
                <w:sz w:val="20"/>
                <w:szCs w:val="20"/>
                <w:lang w:eastAsia="ru-RU"/>
              </w:rPr>
              <w:t>9972,6</w:t>
            </w:r>
          </w:p>
        </w:tc>
        <w:tc>
          <w:tcPr>
            <w:tcW w:w="1450" w:type="dxa"/>
            <w:noWrap/>
            <w:vAlign w:val="center"/>
          </w:tcPr>
          <w:p w:rsidR="002D1E45" w:rsidRPr="000B3B79" w:rsidRDefault="002D1E45" w:rsidP="00F54EF2">
            <w:pPr>
              <w:spacing w:after="0" w:line="240" w:lineRule="auto"/>
              <w:jc w:val="center"/>
              <w:rPr>
                <w:rFonts w:ascii="Times New Roman" w:hAnsi="Times New Roman"/>
                <w:sz w:val="20"/>
                <w:szCs w:val="20"/>
                <w:lang w:eastAsia="ru-RU"/>
              </w:rPr>
            </w:pPr>
            <w:r w:rsidRPr="00F54EF2">
              <w:rPr>
                <w:rFonts w:ascii="Times New Roman" w:hAnsi="Times New Roman"/>
                <w:sz w:val="20"/>
                <w:szCs w:val="20"/>
                <w:lang w:eastAsia="ru-RU"/>
              </w:rPr>
              <w:t>469,3</w:t>
            </w:r>
          </w:p>
        </w:tc>
        <w:tc>
          <w:tcPr>
            <w:tcW w:w="1448" w:type="dxa"/>
            <w:noWrap/>
            <w:vAlign w:val="center"/>
          </w:tcPr>
          <w:p w:rsidR="002D1E45" w:rsidRPr="000B3B79" w:rsidRDefault="002D1E45" w:rsidP="00F54EF2">
            <w:pPr>
              <w:spacing w:after="0" w:line="240" w:lineRule="auto"/>
              <w:jc w:val="center"/>
              <w:rPr>
                <w:rFonts w:ascii="Times New Roman" w:hAnsi="Times New Roman"/>
                <w:sz w:val="20"/>
                <w:szCs w:val="20"/>
                <w:lang w:eastAsia="ru-RU"/>
              </w:rPr>
            </w:pPr>
            <w:r w:rsidRPr="00F54EF2">
              <w:rPr>
                <w:rFonts w:ascii="Times New Roman" w:hAnsi="Times New Roman"/>
                <w:sz w:val="20"/>
                <w:szCs w:val="20"/>
                <w:lang w:eastAsia="ru-RU"/>
              </w:rPr>
              <w:t>130,4</w:t>
            </w:r>
          </w:p>
        </w:tc>
      </w:tr>
      <w:tr w:rsidR="002D1E45" w:rsidRPr="000B3B79" w:rsidTr="00F54EF2">
        <w:trPr>
          <w:trHeight w:val="283"/>
          <w:jc w:val="center"/>
        </w:trPr>
        <w:tc>
          <w:tcPr>
            <w:tcW w:w="540" w:type="dxa"/>
            <w:noWrap/>
            <w:vAlign w:val="center"/>
          </w:tcPr>
          <w:p w:rsidR="002D1E45" w:rsidRPr="000B3B79" w:rsidRDefault="002D1E45" w:rsidP="00F54EF2">
            <w:pPr>
              <w:spacing w:after="0" w:line="240" w:lineRule="auto"/>
              <w:jc w:val="center"/>
              <w:rPr>
                <w:rFonts w:ascii="Times New Roman" w:hAnsi="Times New Roman"/>
                <w:sz w:val="20"/>
                <w:szCs w:val="20"/>
                <w:lang w:eastAsia="ru-RU"/>
              </w:rPr>
            </w:pPr>
            <w:r w:rsidRPr="000B3B79">
              <w:rPr>
                <w:rFonts w:ascii="Times New Roman" w:hAnsi="Times New Roman"/>
                <w:sz w:val="20"/>
                <w:szCs w:val="20"/>
                <w:lang w:eastAsia="ru-RU"/>
              </w:rPr>
              <w:t>2</w:t>
            </w:r>
          </w:p>
        </w:tc>
        <w:tc>
          <w:tcPr>
            <w:tcW w:w="3530" w:type="dxa"/>
            <w:noWrap/>
            <w:vAlign w:val="center"/>
          </w:tcPr>
          <w:p w:rsidR="002D1E45" w:rsidRPr="000B3B79" w:rsidRDefault="002D1E45" w:rsidP="00F54EF2">
            <w:pPr>
              <w:spacing w:after="0" w:line="240" w:lineRule="auto"/>
              <w:rPr>
                <w:rFonts w:ascii="Times New Roman" w:hAnsi="Times New Roman"/>
                <w:sz w:val="20"/>
                <w:szCs w:val="20"/>
                <w:lang w:eastAsia="ru-RU"/>
              </w:rPr>
            </w:pPr>
            <w:r w:rsidRPr="000B3B79">
              <w:rPr>
                <w:rFonts w:ascii="Times New Roman" w:hAnsi="Times New Roman"/>
                <w:sz w:val="20"/>
                <w:szCs w:val="20"/>
                <w:lang w:eastAsia="ru-RU"/>
              </w:rPr>
              <w:t>Существующие общественные и административные здания</w:t>
            </w:r>
          </w:p>
        </w:tc>
        <w:tc>
          <w:tcPr>
            <w:tcW w:w="779" w:type="dxa"/>
            <w:noWrap/>
            <w:vAlign w:val="center"/>
          </w:tcPr>
          <w:p w:rsidR="002D1E45" w:rsidRPr="000B3B79" w:rsidRDefault="002D1E45" w:rsidP="00F54EF2">
            <w:pPr>
              <w:spacing w:after="0" w:line="240" w:lineRule="auto"/>
              <w:jc w:val="center"/>
              <w:rPr>
                <w:rFonts w:ascii="Times New Roman" w:hAnsi="Times New Roman"/>
                <w:sz w:val="20"/>
                <w:szCs w:val="20"/>
                <w:lang w:eastAsia="ru-RU"/>
              </w:rPr>
            </w:pPr>
            <w:r w:rsidRPr="000B3B79">
              <w:rPr>
                <w:rFonts w:ascii="Times New Roman" w:hAnsi="Times New Roman"/>
                <w:sz w:val="20"/>
                <w:szCs w:val="20"/>
                <w:lang w:eastAsia="ru-RU"/>
              </w:rPr>
              <w:t> %</w:t>
            </w:r>
          </w:p>
        </w:tc>
        <w:tc>
          <w:tcPr>
            <w:tcW w:w="784" w:type="dxa"/>
            <w:noWrap/>
            <w:vAlign w:val="center"/>
          </w:tcPr>
          <w:p w:rsidR="002D1E45" w:rsidRPr="000B3B79" w:rsidRDefault="002D1E45" w:rsidP="00F54EF2">
            <w:pPr>
              <w:spacing w:after="0" w:line="240" w:lineRule="auto"/>
              <w:jc w:val="center"/>
              <w:rPr>
                <w:rFonts w:ascii="Times New Roman" w:hAnsi="Times New Roman"/>
                <w:sz w:val="20"/>
                <w:szCs w:val="20"/>
                <w:lang w:eastAsia="ru-RU"/>
              </w:rPr>
            </w:pPr>
            <w:r w:rsidRPr="00F54EF2">
              <w:rPr>
                <w:rFonts w:ascii="Times New Roman" w:hAnsi="Times New Roman"/>
                <w:sz w:val="20"/>
                <w:szCs w:val="20"/>
                <w:lang w:eastAsia="ru-RU"/>
              </w:rPr>
              <w:t>20</w:t>
            </w:r>
          </w:p>
        </w:tc>
        <w:tc>
          <w:tcPr>
            <w:tcW w:w="1664" w:type="dxa"/>
            <w:noWrap/>
            <w:vAlign w:val="center"/>
          </w:tcPr>
          <w:p w:rsidR="002D1E45" w:rsidRPr="000B3B79" w:rsidRDefault="002D1E45" w:rsidP="00F54EF2">
            <w:pPr>
              <w:spacing w:after="0" w:line="240" w:lineRule="auto"/>
              <w:jc w:val="center"/>
              <w:rPr>
                <w:rFonts w:ascii="Times New Roman" w:hAnsi="Times New Roman"/>
                <w:sz w:val="20"/>
                <w:szCs w:val="20"/>
                <w:lang w:eastAsia="ru-RU"/>
              </w:rPr>
            </w:pPr>
            <w:r w:rsidRPr="00F54EF2">
              <w:rPr>
                <w:rFonts w:ascii="Times New Roman" w:hAnsi="Times New Roman"/>
                <w:sz w:val="20"/>
                <w:szCs w:val="20"/>
                <w:lang w:eastAsia="ru-RU"/>
              </w:rPr>
              <w:t>1994,5</w:t>
            </w:r>
          </w:p>
        </w:tc>
        <w:tc>
          <w:tcPr>
            <w:tcW w:w="1450" w:type="dxa"/>
            <w:noWrap/>
            <w:vAlign w:val="center"/>
          </w:tcPr>
          <w:p w:rsidR="002D1E45" w:rsidRPr="000B3B79" w:rsidRDefault="002D1E45" w:rsidP="00F54EF2">
            <w:pPr>
              <w:spacing w:after="0" w:line="240" w:lineRule="auto"/>
              <w:jc w:val="center"/>
              <w:rPr>
                <w:rFonts w:ascii="Times New Roman" w:hAnsi="Times New Roman"/>
                <w:sz w:val="20"/>
                <w:szCs w:val="20"/>
                <w:lang w:eastAsia="ru-RU"/>
              </w:rPr>
            </w:pPr>
            <w:r w:rsidRPr="00F54EF2">
              <w:rPr>
                <w:rFonts w:ascii="Times New Roman" w:hAnsi="Times New Roman"/>
                <w:sz w:val="20"/>
                <w:szCs w:val="20"/>
                <w:lang w:eastAsia="ru-RU"/>
              </w:rPr>
              <w:t>93,9</w:t>
            </w:r>
          </w:p>
        </w:tc>
        <w:tc>
          <w:tcPr>
            <w:tcW w:w="1448" w:type="dxa"/>
            <w:noWrap/>
            <w:vAlign w:val="center"/>
          </w:tcPr>
          <w:p w:rsidR="002D1E45" w:rsidRPr="000B3B79" w:rsidRDefault="002D1E45" w:rsidP="00F54EF2">
            <w:pPr>
              <w:spacing w:after="0" w:line="240" w:lineRule="auto"/>
              <w:jc w:val="center"/>
              <w:rPr>
                <w:rFonts w:ascii="Times New Roman" w:hAnsi="Times New Roman"/>
                <w:sz w:val="20"/>
                <w:szCs w:val="20"/>
                <w:lang w:eastAsia="ru-RU"/>
              </w:rPr>
            </w:pPr>
            <w:r w:rsidRPr="00F54EF2">
              <w:rPr>
                <w:rFonts w:ascii="Times New Roman" w:hAnsi="Times New Roman"/>
                <w:sz w:val="20"/>
                <w:szCs w:val="20"/>
                <w:lang w:eastAsia="ru-RU"/>
              </w:rPr>
              <w:t>26,074</w:t>
            </w:r>
          </w:p>
        </w:tc>
      </w:tr>
      <w:tr w:rsidR="002D1E45" w:rsidRPr="000B3B79" w:rsidTr="00F54EF2">
        <w:trPr>
          <w:trHeight w:val="283"/>
          <w:jc w:val="center"/>
        </w:trPr>
        <w:tc>
          <w:tcPr>
            <w:tcW w:w="540" w:type="dxa"/>
            <w:noWrap/>
            <w:vAlign w:val="center"/>
          </w:tcPr>
          <w:p w:rsidR="002D1E45" w:rsidRPr="000B3B79" w:rsidRDefault="002D1E45" w:rsidP="00F54EF2">
            <w:pPr>
              <w:spacing w:after="0" w:line="240" w:lineRule="auto"/>
              <w:jc w:val="center"/>
              <w:rPr>
                <w:rFonts w:ascii="Times New Roman" w:hAnsi="Times New Roman"/>
                <w:sz w:val="20"/>
                <w:szCs w:val="20"/>
                <w:lang w:eastAsia="ru-RU"/>
              </w:rPr>
            </w:pPr>
            <w:r w:rsidRPr="000B3B79">
              <w:rPr>
                <w:rFonts w:ascii="Times New Roman" w:hAnsi="Times New Roman"/>
                <w:sz w:val="20"/>
                <w:szCs w:val="20"/>
                <w:lang w:eastAsia="ru-RU"/>
              </w:rPr>
              <w:t>3</w:t>
            </w:r>
          </w:p>
        </w:tc>
        <w:tc>
          <w:tcPr>
            <w:tcW w:w="3530" w:type="dxa"/>
            <w:vAlign w:val="center"/>
          </w:tcPr>
          <w:p w:rsidR="002D1E45" w:rsidRPr="000B3B79" w:rsidRDefault="002D1E45" w:rsidP="00F54EF2">
            <w:pPr>
              <w:spacing w:after="0" w:line="240" w:lineRule="auto"/>
              <w:rPr>
                <w:rFonts w:ascii="Times New Roman" w:hAnsi="Times New Roman"/>
                <w:sz w:val="20"/>
                <w:szCs w:val="20"/>
                <w:lang w:eastAsia="ru-RU"/>
              </w:rPr>
            </w:pPr>
            <w:r w:rsidRPr="000B3B79">
              <w:rPr>
                <w:rFonts w:ascii="Times New Roman" w:hAnsi="Times New Roman"/>
                <w:sz w:val="20"/>
                <w:szCs w:val="20"/>
                <w:lang w:eastAsia="ru-RU"/>
              </w:rPr>
              <w:t>Проектируемые общественные и административные здания</w:t>
            </w:r>
          </w:p>
        </w:tc>
        <w:tc>
          <w:tcPr>
            <w:tcW w:w="779" w:type="dxa"/>
            <w:noWrap/>
            <w:vAlign w:val="center"/>
          </w:tcPr>
          <w:p w:rsidR="002D1E45" w:rsidRPr="000B3B79" w:rsidRDefault="002D1E45" w:rsidP="00F54EF2">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w:t>
            </w:r>
          </w:p>
        </w:tc>
        <w:tc>
          <w:tcPr>
            <w:tcW w:w="784" w:type="dxa"/>
            <w:noWrap/>
            <w:vAlign w:val="center"/>
          </w:tcPr>
          <w:p w:rsidR="002D1E45" w:rsidRPr="000B3B79" w:rsidRDefault="002D1E45" w:rsidP="00F54EF2">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w:t>
            </w:r>
          </w:p>
        </w:tc>
        <w:tc>
          <w:tcPr>
            <w:tcW w:w="1664" w:type="dxa"/>
            <w:noWrap/>
            <w:vAlign w:val="center"/>
          </w:tcPr>
          <w:p w:rsidR="002D1E45" w:rsidRPr="000B3B79" w:rsidRDefault="002D1E45" w:rsidP="00F54EF2">
            <w:pPr>
              <w:spacing w:after="0" w:line="240" w:lineRule="auto"/>
              <w:jc w:val="center"/>
              <w:rPr>
                <w:rFonts w:ascii="Times New Roman" w:hAnsi="Times New Roman"/>
                <w:sz w:val="20"/>
                <w:szCs w:val="20"/>
                <w:lang w:eastAsia="ru-RU"/>
              </w:rPr>
            </w:pPr>
            <w:r w:rsidRPr="00F54EF2">
              <w:rPr>
                <w:rFonts w:ascii="Times New Roman" w:hAnsi="Times New Roman"/>
                <w:sz w:val="20"/>
                <w:szCs w:val="20"/>
                <w:lang w:eastAsia="ru-RU"/>
              </w:rPr>
              <w:t>664,8</w:t>
            </w:r>
          </w:p>
        </w:tc>
        <w:tc>
          <w:tcPr>
            <w:tcW w:w="1450" w:type="dxa"/>
            <w:noWrap/>
            <w:vAlign w:val="center"/>
          </w:tcPr>
          <w:p w:rsidR="002D1E45" w:rsidRPr="000B3B79" w:rsidRDefault="002D1E45" w:rsidP="00F54EF2">
            <w:pPr>
              <w:spacing w:after="0" w:line="240" w:lineRule="auto"/>
              <w:jc w:val="center"/>
              <w:rPr>
                <w:rFonts w:ascii="Times New Roman" w:hAnsi="Times New Roman"/>
                <w:sz w:val="20"/>
                <w:szCs w:val="20"/>
                <w:lang w:eastAsia="ru-RU"/>
              </w:rPr>
            </w:pPr>
            <w:r w:rsidRPr="00F54EF2">
              <w:rPr>
                <w:rFonts w:ascii="Times New Roman" w:hAnsi="Times New Roman"/>
                <w:sz w:val="20"/>
                <w:szCs w:val="20"/>
                <w:lang w:eastAsia="ru-RU"/>
              </w:rPr>
              <w:t>31,289</w:t>
            </w:r>
          </w:p>
        </w:tc>
        <w:tc>
          <w:tcPr>
            <w:tcW w:w="1448" w:type="dxa"/>
            <w:noWrap/>
            <w:vAlign w:val="center"/>
          </w:tcPr>
          <w:p w:rsidR="002D1E45" w:rsidRPr="000B3B79" w:rsidRDefault="002D1E45" w:rsidP="00F54EF2">
            <w:pPr>
              <w:spacing w:after="0" w:line="240" w:lineRule="auto"/>
              <w:jc w:val="center"/>
              <w:rPr>
                <w:rFonts w:ascii="Times New Roman" w:hAnsi="Times New Roman"/>
                <w:sz w:val="20"/>
                <w:szCs w:val="20"/>
                <w:lang w:eastAsia="ru-RU"/>
              </w:rPr>
            </w:pPr>
            <w:r w:rsidRPr="00F54EF2">
              <w:rPr>
                <w:rFonts w:ascii="Times New Roman" w:hAnsi="Times New Roman"/>
                <w:sz w:val="20"/>
                <w:szCs w:val="20"/>
                <w:lang w:eastAsia="ru-RU"/>
              </w:rPr>
              <w:t>8,691</w:t>
            </w:r>
          </w:p>
        </w:tc>
      </w:tr>
      <w:tr w:rsidR="002D1E45" w:rsidRPr="000B3B79" w:rsidTr="00BE712C">
        <w:trPr>
          <w:trHeight w:val="283"/>
          <w:jc w:val="center"/>
        </w:trPr>
        <w:tc>
          <w:tcPr>
            <w:tcW w:w="5633" w:type="dxa"/>
            <w:gridSpan w:val="4"/>
            <w:noWrap/>
            <w:vAlign w:val="center"/>
          </w:tcPr>
          <w:p w:rsidR="002D1E45" w:rsidRPr="000B3B79" w:rsidRDefault="002D1E45" w:rsidP="00F54EF2">
            <w:pPr>
              <w:spacing w:after="0" w:line="240" w:lineRule="auto"/>
              <w:jc w:val="right"/>
              <w:rPr>
                <w:rFonts w:ascii="Times New Roman" w:hAnsi="Times New Roman"/>
                <w:sz w:val="20"/>
                <w:szCs w:val="20"/>
                <w:lang w:eastAsia="ru-RU"/>
              </w:rPr>
            </w:pPr>
            <w:r w:rsidRPr="000B3B79">
              <w:rPr>
                <w:rFonts w:ascii="Times New Roman" w:hAnsi="Times New Roman"/>
                <w:sz w:val="20"/>
                <w:szCs w:val="20"/>
                <w:lang w:eastAsia="ru-RU"/>
              </w:rPr>
              <w:t> ИТОГО по </w:t>
            </w:r>
            <w:r>
              <w:rPr>
                <w:rFonts w:ascii="Times New Roman" w:hAnsi="Times New Roman"/>
                <w:sz w:val="20"/>
                <w:szCs w:val="20"/>
                <w:lang w:eastAsia="ru-RU"/>
              </w:rPr>
              <w:t>городу</w:t>
            </w:r>
            <w:r w:rsidRPr="000B3B79">
              <w:rPr>
                <w:rFonts w:ascii="Times New Roman" w:hAnsi="Times New Roman"/>
                <w:sz w:val="20"/>
                <w:szCs w:val="20"/>
                <w:lang w:eastAsia="ru-RU"/>
              </w:rPr>
              <w:t>: </w:t>
            </w:r>
          </w:p>
        </w:tc>
        <w:tc>
          <w:tcPr>
            <w:tcW w:w="1664" w:type="dxa"/>
            <w:noWrap/>
          </w:tcPr>
          <w:p w:rsidR="002D1E45" w:rsidRPr="000B3B79" w:rsidRDefault="002D1E45" w:rsidP="00F54EF2">
            <w:pPr>
              <w:spacing w:after="0" w:line="240" w:lineRule="auto"/>
              <w:jc w:val="center"/>
              <w:rPr>
                <w:rFonts w:ascii="Times New Roman" w:hAnsi="Times New Roman"/>
                <w:sz w:val="20"/>
                <w:szCs w:val="20"/>
                <w:lang w:eastAsia="ru-RU"/>
              </w:rPr>
            </w:pPr>
            <w:r w:rsidRPr="00F54EF2">
              <w:rPr>
                <w:rFonts w:ascii="Times New Roman" w:hAnsi="Times New Roman"/>
                <w:sz w:val="20"/>
                <w:szCs w:val="20"/>
                <w:lang w:eastAsia="ru-RU"/>
              </w:rPr>
              <w:t>12631,9</w:t>
            </w:r>
          </w:p>
        </w:tc>
        <w:tc>
          <w:tcPr>
            <w:tcW w:w="1450" w:type="dxa"/>
            <w:noWrap/>
          </w:tcPr>
          <w:p w:rsidR="002D1E45" w:rsidRPr="000B3B79" w:rsidRDefault="002D1E45" w:rsidP="00F54EF2">
            <w:pPr>
              <w:spacing w:after="0" w:line="240" w:lineRule="auto"/>
              <w:jc w:val="center"/>
              <w:rPr>
                <w:rFonts w:ascii="Times New Roman" w:hAnsi="Times New Roman"/>
                <w:sz w:val="20"/>
                <w:szCs w:val="20"/>
                <w:lang w:eastAsia="ru-RU"/>
              </w:rPr>
            </w:pPr>
            <w:r w:rsidRPr="00F54EF2">
              <w:rPr>
                <w:rFonts w:ascii="Times New Roman" w:hAnsi="Times New Roman"/>
                <w:sz w:val="20"/>
                <w:szCs w:val="20"/>
                <w:lang w:eastAsia="ru-RU"/>
              </w:rPr>
              <w:t>594,5</w:t>
            </w:r>
          </w:p>
        </w:tc>
        <w:tc>
          <w:tcPr>
            <w:tcW w:w="1448" w:type="dxa"/>
            <w:noWrap/>
          </w:tcPr>
          <w:p w:rsidR="002D1E45" w:rsidRPr="000B3B79" w:rsidRDefault="002D1E45" w:rsidP="00F54EF2">
            <w:pPr>
              <w:spacing w:after="0" w:line="240" w:lineRule="auto"/>
              <w:jc w:val="center"/>
              <w:rPr>
                <w:rFonts w:ascii="Times New Roman" w:hAnsi="Times New Roman"/>
                <w:sz w:val="20"/>
                <w:szCs w:val="20"/>
                <w:lang w:eastAsia="ru-RU"/>
              </w:rPr>
            </w:pPr>
            <w:r w:rsidRPr="00F54EF2">
              <w:rPr>
                <w:rFonts w:ascii="Times New Roman" w:hAnsi="Times New Roman"/>
                <w:sz w:val="20"/>
                <w:szCs w:val="20"/>
                <w:lang w:eastAsia="ru-RU"/>
              </w:rPr>
              <w:t>165,1</w:t>
            </w:r>
          </w:p>
        </w:tc>
      </w:tr>
    </w:tbl>
    <w:p w:rsidR="002D1E45" w:rsidRPr="003A7901" w:rsidRDefault="002D1E45" w:rsidP="003A7901">
      <w:pPr>
        <w:spacing w:after="0" w:line="240" w:lineRule="auto"/>
        <w:ind w:firstLine="709"/>
        <w:jc w:val="both"/>
        <w:rPr>
          <w:rFonts w:ascii="Times New Roman" w:hAnsi="Times New Roman"/>
          <w:sz w:val="28"/>
          <w:szCs w:val="28"/>
          <w:lang w:eastAsia="ru-RU"/>
        </w:rPr>
      </w:pPr>
    </w:p>
    <w:p w:rsidR="002D1E45" w:rsidRPr="0021154F" w:rsidRDefault="002D1E45" w:rsidP="00002D9C">
      <w:pPr>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Максимальный суточный сток составит 13,1 тыс. м</w:t>
      </w:r>
      <w:r>
        <w:rPr>
          <w:rFonts w:ascii="Times New Roman" w:hAnsi="Times New Roman"/>
          <w:sz w:val="28"/>
          <w:szCs w:val="28"/>
          <w:vertAlign w:val="superscript"/>
          <w:lang w:eastAsia="ru-RU"/>
        </w:rPr>
        <w:t>3</w:t>
      </w:r>
      <w:r>
        <w:rPr>
          <w:rFonts w:ascii="Times New Roman" w:hAnsi="Times New Roman"/>
          <w:sz w:val="28"/>
          <w:szCs w:val="28"/>
          <w:lang w:eastAsia="ru-RU"/>
        </w:rPr>
        <w:t xml:space="preserve"> с учётом поверхностного стока. Мощность существующих БОС и КС достаточна для обеспечения очитки стоков на расчётный срок.</w:t>
      </w:r>
    </w:p>
    <w:p w:rsidR="002D1E45" w:rsidRPr="003A7901" w:rsidRDefault="002D1E45" w:rsidP="00002D9C">
      <w:pPr>
        <w:spacing w:after="0" w:line="240" w:lineRule="auto"/>
        <w:ind w:firstLine="709"/>
        <w:jc w:val="both"/>
        <w:rPr>
          <w:rFonts w:ascii="Times New Roman" w:hAnsi="Times New Roman"/>
          <w:sz w:val="28"/>
          <w:szCs w:val="28"/>
          <w:lang w:eastAsia="ru-RU"/>
        </w:rPr>
      </w:pPr>
      <w:r w:rsidRPr="003A7901">
        <w:rPr>
          <w:rFonts w:ascii="Times New Roman" w:hAnsi="Times New Roman"/>
          <w:sz w:val="28"/>
          <w:szCs w:val="28"/>
          <w:lang w:eastAsia="ru-RU"/>
        </w:rPr>
        <w:t>Вновь проектируемые сети канализации выполнить из</w:t>
      </w:r>
      <w:r>
        <w:rPr>
          <w:rFonts w:ascii="Times New Roman" w:hAnsi="Times New Roman"/>
          <w:sz w:val="28"/>
          <w:szCs w:val="28"/>
          <w:lang w:eastAsia="ru-RU"/>
        </w:rPr>
        <w:t> </w:t>
      </w:r>
      <w:r w:rsidRPr="003A7901">
        <w:rPr>
          <w:rFonts w:ascii="Times New Roman" w:hAnsi="Times New Roman"/>
          <w:sz w:val="28"/>
          <w:szCs w:val="28"/>
          <w:lang w:eastAsia="ru-RU"/>
        </w:rPr>
        <w:t>труб полимерных материалов и</w:t>
      </w:r>
      <w:r>
        <w:rPr>
          <w:rFonts w:ascii="Times New Roman" w:hAnsi="Times New Roman"/>
          <w:sz w:val="28"/>
          <w:szCs w:val="28"/>
          <w:lang w:eastAsia="ru-RU"/>
        </w:rPr>
        <w:t> </w:t>
      </w:r>
      <w:r w:rsidRPr="003A7901">
        <w:rPr>
          <w:rFonts w:ascii="Times New Roman" w:hAnsi="Times New Roman"/>
          <w:sz w:val="28"/>
          <w:szCs w:val="28"/>
          <w:lang w:eastAsia="ru-RU"/>
        </w:rPr>
        <w:t>коло</w:t>
      </w:r>
      <w:r>
        <w:rPr>
          <w:rFonts w:ascii="Times New Roman" w:hAnsi="Times New Roman"/>
          <w:sz w:val="28"/>
          <w:szCs w:val="28"/>
          <w:lang w:eastAsia="ru-RU"/>
        </w:rPr>
        <w:t>дцев из современных конструкций</w:t>
      </w:r>
      <w:r w:rsidRPr="003A7901">
        <w:rPr>
          <w:rFonts w:ascii="Times New Roman" w:hAnsi="Times New Roman"/>
          <w:sz w:val="28"/>
          <w:szCs w:val="28"/>
          <w:lang w:eastAsia="ru-RU"/>
        </w:rPr>
        <w:t>.</w:t>
      </w:r>
    </w:p>
    <w:p w:rsidR="002D1E45" w:rsidRDefault="002D1E45" w:rsidP="003A7901">
      <w:pPr>
        <w:spacing w:after="0" w:line="240" w:lineRule="auto"/>
        <w:ind w:firstLine="709"/>
        <w:jc w:val="both"/>
        <w:rPr>
          <w:rFonts w:ascii="Times New Roman" w:hAnsi="Times New Roman"/>
          <w:sz w:val="28"/>
          <w:szCs w:val="28"/>
          <w:lang w:eastAsia="ru-RU"/>
        </w:rPr>
      </w:pPr>
      <w:r w:rsidRPr="004A4985">
        <w:rPr>
          <w:rFonts w:ascii="Times New Roman" w:hAnsi="Times New Roman"/>
          <w:sz w:val="28"/>
          <w:szCs w:val="28"/>
          <w:lang w:eastAsia="ru-RU"/>
        </w:rPr>
        <w:t>Отведение дождевого и</w:t>
      </w:r>
      <w:r>
        <w:rPr>
          <w:rFonts w:ascii="Times New Roman" w:hAnsi="Times New Roman"/>
          <w:sz w:val="28"/>
          <w:szCs w:val="28"/>
          <w:lang w:eastAsia="ru-RU"/>
        </w:rPr>
        <w:t> </w:t>
      </w:r>
      <w:r w:rsidRPr="004A4985">
        <w:rPr>
          <w:rFonts w:ascii="Times New Roman" w:hAnsi="Times New Roman"/>
          <w:sz w:val="28"/>
          <w:szCs w:val="28"/>
          <w:lang w:eastAsia="ru-RU"/>
        </w:rPr>
        <w:t>талого стока производится с</w:t>
      </w:r>
      <w:r>
        <w:rPr>
          <w:rFonts w:ascii="Times New Roman" w:hAnsi="Times New Roman"/>
          <w:sz w:val="28"/>
          <w:szCs w:val="28"/>
          <w:lang w:eastAsia="ru-RU"/>
        </w:rPr>
        <w:t> </w:t>
      </w:r>
      <w:r w:rsidRPr="004A4985">
        <w:rPr>
          <w:rFonts w:ascii="Times New Roman" w:hAnsi="Times New Roman"/>
          <w:sz w:val="28"/>
          <w:szCs w:val="28"/>
          <w:lang w:eastAsia="ru-RU"/>
        </w:rPr>
        <w:t>территории с</w:t>
      </w:r>
      <w:r>
        <w:rPr>
          <w:rFonts w:ascii="Times New Roman" w:hAnsi="Times New Roman"/>
          <w:sz w:val="28"/>
          <w:szCs w:val="28"/>
          <w:lang w:eastAsia="ru-RU"/>
        </w:rPr>
        <w:t> </w:t>
      </w:r>
      <w:r w:rsidRPr="004A4985">
        <w:rPr>
          <w:rFonts w:ascii="Times New Roman" w:hAnsi="Times New Roman"/>
          <w:sz w:val="28"/>
          <w:szCs w:val="28"/>
          <w:lang w:eastAsia="ru-RU"/>
        </w:rPr>
        <w:t xml:space="preserve">помощью придорожных лотков </w:t>
      </w:r>
      <w:r>
        <w:rPr>
          <w:rFonts w:ascii="Times New Roman" w:hAnsi="Times New Roman"/>
          <w:sz w:val="28"/>
          <w:szCs w:val="28"/>
          <w:lang w:eastAsia="ru-RU"/>
        </w:rPr>
        <w:t>(открытая самотёчная канализация) в проектируемые КОС</w:t>
      </w:r>
      <w:r w:rsidRPr="004A4985">
        <w:rPr>
          <w:rFonts w:ascii="Times New Roman" w:hAnsi="Times New Roman"/>
          <w:sz w:val="28"/>
          <w:szCs w:val="28"/>
          <w:lang w:eastAsia="ru-RU"/>
        </w:rPr>
        <w:t>.</w:t>
      </w:r>
    </w:p>
    <w:p w:rsidR="002D1E45" w:rsidRDefault="002D1E45" w:rsidP="001D7D2F">
      <w:pPr>
        <w:spacing w:after="0" w:line="240" w:lineRule="auto"/>
        <w:ind w:firstLine="709"/>
        <w:contextualSpacing/>
        <w:jc w:val="both"/>
        <w:rPr>
          <w:rFonts w:ascii="Times New Roman" w:hAnsi="Times New Roman"/>
          <w:sz w:val="28"/>
          <w:szCs w:val="28"/>
          <w:lang w:eastAsia="ru-RU"/>
        </w:rPr>
      </w:pPr>
      <w:r w:rsidRPr="001D7D2F">
        <w:rPr>
          <w:rFonts w:ascii="Times New Roman" w:hAnsi="Times New Roman"/>
          <w:sz w:val="28"/>
          <w:szCs w:val="28"/>
          <w:lang w:eastAsia="ru-RU"/>
        </w:rPr>
        <w:t xml:space="preserve">Для обеспечения комбинированной системой водоотведения надлежащего качества </w:t>
      </w:r>
      <w:r>
        <w:rPr>
          <w:rFonts w:ascii="Times New Roman" w:hAnsi="Times New Roman"/>
          <w:sz w:val="28"/>
          <w:szCs w:val="28"/>
          <w:lang w:eastAsia="ru-RU"/>
        </w:rPr>
        <w:t xml:space="preserve">в г. Куйбышеве </w:t>
      </w:r>
      <w:r w:rsidRPr="001D7D2F">
        <w:rPr>
          <w:rFonts w:ascii="Times New Roman" w:hAnsi="Times New Roman"/>
          <w:sz w:val="28"/>
          <w:szCs w:val="28"/>
          <w:lang w:eastAsia="ru-RU"/>
        </w:rPr>
        <w:t xml:space="preserve">предусмотрены следующие мероприятия: </w:t>
      </w:r>
    </w:p>
    <w:p w:rsidR="002D1E45"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lang w:eastAsia="ru-RU"/>
        </w:rPr>
      </w:pPr>
      <w:r w:rsidRPr="001D7D2F">
        <w:rPr>
          <w:rFonts w:ascii="Times New Roman" w:hAnsi="Times New Roman"/>
          <w:sz w:val="28"/>
          <w:szCs w:val="28"/>
          <w:lang w:eastAsia="ru-RU"/>
        </w:rPr>
        <w:t xml:space="preserve">на </w:t>
      </w:r>
      <w:r>
        <w:rPr>
          <w:rFonts w:ascii="Times New Roman" w:hAnsi="Times New Roman"/>
          <w:sz w:val="28"/>
          <w:szCs w:val="28"/>
        </w:rPr>
        <w:t>первую очередь</w:t>
      </w:r>
      <w:r>
        <w:rPr>
          <w:rFonts w:ascii="Times New Roman" w:hAnsi="Times New Roman"/>
          <w:sz w:val="28"/>
          <w:szCs w:val="28"/>
          <w:lang w:eastAsia="ru-RU"/>
        </w:rPr>
        <w:t>:</w:t>
      </w:r>
      <w:r w:rsidRPr="001D7D2F">
        <w:rPr>
          <w:rFonts w:ascii="Times New Roman" w:hAnsi="Times New Roman"/>
          <w:sz w:val="28"/>
          <w:szCs w:val="28"/>
          <w:lang w:eastAsia="ru-RU"/>
        </w:rPr>
        <w:t xml:space="preserve"> </w:t>
      </w:r>
    </w:p>
    <w:p w:rsidR="002D1E45" w:rsidRDefault="002D1E45" w:rsidP="00852938">
      <w:pPr>
        <w:pStyle w:val="ListParagraph"/>
        <w:numPr>
          <w:ilvl w:val="0"/>
          <w:numId w:val="67"/>
        </w:numPr>
        <w:spacing w:after="0" w:line="240" w:lineRule="auto"/>
        <w:ind w:left="2127"/>
        <w:jc w:val="both"/>
        <w:rPr>
          <w:rFonts w:ascii="Times New Roman" w:hAnsi="Times New Roman"/>
          <w:sz w:val="28"/>
          <w:szCs w:val="28"/>
          <w:lang w:eastAsia="ru-RU"/>
        </w:rPr>
      </w:pPr>
      <w:r w:rsidRPr="001D7D2F">
        <w:rPr>
          <w:rFonts w:ascii="Times New Roman" w:hAnsi="Times New Roman"/>
          <w:sz w:val="28"/>
          <w:szCs w:val="28"/>
          <w:lang w:eastAsia="ru-RU"/>
        </w:rPr>
        <w:t xml:space="preserve">строительство напорного канализационного коллектора диаметром </w:t>
      </w:r>
      <w:r>
        <w:rPr>
          <w:rFonts w:ascii="Times New Roman" w:hAnsi="Times New Roman"/>
          <w:sz w:val="28"/>
          <w:szCs w:val="28"/>
          <w:lang w:eastAsia="ru-RU"/>
        </w:rPr>
        <w:t>25</w:t>
      </w:r>
      <w:r w:rsidRPr="001D7D2F">
        <w:rPr>
          <w:rFonts w:ascii="Times New Roman" w:hAnsi="Times New Roman"/>
          <w:sz w:val="28"/>
          <w:szCs w:val="28"/>
          <w:lang w:eastAsia="ru-RU"/>
        </w:rPr>
        <w:t xml:space="preserve">0 мм общей протяжённостью </w:t>
      </w:r>
      <w:r>
        <w:rPr>
          <w:rFonts w:ascii="Times New Roman" w:hAnsi="Times New Roman"/>
          <w:sz w:val="28"/>
          <w:szCs w:val="28"/>
          <w:lang w:eastAsia="ru-RU"/>
        </w:rPr>
        <w:t>не менее 5</w:t>
      </w:r>
      <w:r w:rsidRPr="001D7D2F">
        <w:rPr>
          <w:rFonts w:ascii="Times New Roman" w:hAnsi="Times New Roman"/>
          <w:sz w:val="28"/>
          <w:szCs w:val="28"/>
          <w:lang w:eastAsia="ru-RU"/>
        </w:rPr>
        <w:t xml:space="preserve"> км</w:t>
      </w:r>
      <w:r>
        <w:rPr>
          <w:rFonts w:ascii="Times New Roman" w:hAnsi="Times New Roman"/>
          <w:sz w:val="28"/>
          <w:szCs w:val="28"/>
          <w:lang w:eastAsia="ru-RU"/>
        </w:rPr>
        <w:t>;</w:t>
      </w:r>
    </w:p>
    <w:p w:rsidR="002D1E45" w:rsidRDefault="002D1E45" w:rsidP="00852938">
      <w:pPr>
        <w:pStyle w:val="ListParagraph"/>
        <w:numPr>
          <w:ilvl w:val="0"/>
          <w:numId w:val="67"/>
        </w:numPr>
        <w:spacing w:after="0" w:line="240" w:lineRule="auto"/>
        <w:ind w:left="2127"/>
        <w:jc w:val="both"/>
        <w:rPr>
          <w:rFonts w:ascii="Times New Roman" w:hAnsi="Times New Roman"/>
          <w:sz w:val="28"/>
          <w:szCs w:val="28"/>
          <w:lang w:eastAsia="ru-RU"/>
        </w:rPr>
      </w:pPr>
      <w:r w:rsidRPr="001D7D2F">
        <w:rPr>
          <w:rFonts w:ascii="Times New Roman" w:hAnsi="Times New Roman"/>
          <w:sz w:val="28"/>
          <w:szCs w:val="28"/>
          <w:lang w:eastAsia="ru-RU"/>
        </w:rPr>
        <w:t xml:space="preserve">строительство </w:t>
      </w:r>
      <w:r>
        <w:rPr>
          <w:rFonts w:ascii="Times New Roman" w:hAnsi="Times New Roman"/>
          <w:sz w:val="28"/>
          <w:szCs w:val="28"/>
          <w:lang w:eastAsia="ru-RU"/>
        </w:rPr>
        <w:t>сетей канализации</w:t>
      </w:r>
      <w:r w:rsidRPr="001D7D2F">
        <w:rPr>
          <w:rFonts w:ascii="Times New Roman" w:hAnsi="Times New Roman"/>
          <w:sz w:val="28"/>
          <w:szCs w:val="28"/>
          <w:lang w:eastAsia="ru-RU"/>
        </w:rPr>
        <w:t xml:space="preserve"> диаметром </w:t>
      </w:r>
      <w:r>
        <w:rPr>
          <w:rFonts w:ascii="Times New Roman" w:hAnsi="Times New Roman"/>
          <w:sz w:val="28"/>
          <w:szCs w:val="28"/>
          <w:lang w:eastAsia="ru-RU"/>
        </w:rPr>
        <w:t>200 мм</w:t>
      </w:r>
      <w:r w:rsidRPr="001D7D2F">
        <w:rPr>
          <w:rFonts w:ascii="Times New Roman" w:hAnsi="Times New Roman"/>
          <w:sz w:val="28"/>
          <w:szCs w:val="28"/>
          <w:lang w:eastAsia="ru-RU"/>
        </w:rPr>
        <w:t xml:space="preserve">, общей протяжённостью </w:t>
      </w:r>
      <w:r>
        <w:rPr>
          <w:rFonts w:ascii="Times New Roman" w:hAnsi="Times New Roman"/>
          <w:sz w:val="28"/>
          <w:szCs w:val="28"/>
          <w:lang w:eastAsia="ru-RU"/>
        </w:rPr>
        <w:t>не менее 20</w:t>
      </w:r>
      <w:r w:rsidRPr="001D7D2F">
        <w:rPr>
          <w:rFonts w:ascii="Times New Roman" w:hAnsi="Times New Roman"/>
          <w:sz w:val="28"/>
          <w:szCs w:val="28"/>
          <w:lang w:eastAsia="ru-RU"/>
        </w:rPr>
        <w:t xml:space="preserve"> км</w:t>
      </w:r>
      <w:r>
        <w:rPr>
          <w:rFonts w:ascii="Times New Roman" w:hAnsi="Times New Roman"/>
          <w:sz w:val="28"/>
          <w:szCs w:val="28"/>
          <w:lang w:eastAsia="ru-RU"/>
        </w:rPr>
        <w:t>;</w:t>
      </w:r>
    </w:p>
    <w:p w:rsidR="002D1E45" w:rsidRDefault="002D1E45" w:rsidP="00852938">
      <w:pPr>
        <w:pStyle w:val="ListParagraph"/>
        <w:numPr>
          <w:ilvl w:val="0"/>
          <w:numId w:val="67"/>
        </w:numPr>
        <w:spacing w:after="0" w:line="240" w:lineRule="auto"/>
        <w:ind w:left="2127"/>
        <w:jc w:val="both"/>
        <w:rPr>
          <w:rFonts w:ascii="Times New Roman" w:hAnsi="Times New Roman"/>
          <w:sz w:val="28"/>
          <w:szCs w:val="28"/>
          <w:lang w:eastAsia="ru-RU"/>
        </w:rPr>
      </w:pPr>
      <w:r w:rsidRPr="002B3B40">
        <w:rPr>
          <w:rFonts w:ascii="Times New Roman" w:hAnsi="Times New Roman"/>
          <w:sz w:val="28"/>
          <w:szCs w:val="28"/>
          <w:lang w:eastAsia="ru-RU"/>
        </w:rPr>
        <w:t>замена 3</w:t>
      </w:r>
      <w:r>
        <w:rPr>
          <w:rFonts w:ascii="Times New Roman" w:hAnsi="Times New Roman"/>
          <w:sz w:val="28"/>
          <w:szCs w:val="28"/>
          <w:lang w:eastAsia="ru-RU"/>
        </w:rPr>
        <w:t>40</w:t>
      </w:r>
      <w:r w:rsidRPr="002B3B40">
        <w:rPr>
          <w:rFonts w:ascii="Times New Roman" w:hAnsi="Times New Roman"/>
          <w:sz w:val="28"/>
          <w:szCs w:val="28"/>
          <w:lang w:eastAsia="ru-RU"/>
        </w:rPr>
        <w:t xml:space="preserve"> колодцев очистки</w:t>
      </w:r>
      <w:r>
        <w:rPr>
          <w:rFonts w:ascii="Times New Roman" w:hAnsi="Times New Roman"/>
          <w:sz w:val="28"/>
          <w:szCs w:val="28"/>
          <w:lang w:eastAsia="ru-RU"/>
        </w:rPr>
        <w:t>;</w:t>
      </w:r>
    </w:p>
    <w:p w:rsidR="002D1E45" w:rsidRPr="001D7D2F" w:rsidRDefault="002D1E45" w:rsidP="00852938">
      <w:pPr>
        <w:pStyle w:val="ListParagraph"/>
        <w:numPr>
          <w:ilvl w:val="0"/>
          <w:numId w:val="67"/>
        </w:numPr>
        <w:spacing w:after="0" w:line="240" w:lineRule="auto"/>
        <w:ind w:left="2127"/>
        <w:jc w:val="both"/>
        <w:rPr>
          <w:rFonts w:ascii="Times New Roman" w:hAnsi="Times New Roman"/>
          <w:sz w:val="28"/>
          <w:szCs w:val="28"/>
          <w:lang w:eastAsia="ru-RU"/>
        </w:rPr>
      </w:pPr>
      <w:r>
        <w:rPr>
          <w:rFonts w:ascii="Times New Roman" w:hAnsi="Times New Roman"/>
          <w:sz w:val="28"/>
          <w:szCs w:val="28"/>
          <w:lang w:eastAsia="ru-RU"/>
        </w:rPr>
        <w:t>реконструкция существующих сетей, нуждающихся в замене – 1</w:t>
      </w:r>
      <w:r w:rsidRPr="002B3B40">
        <w:rPr>
          <w:rFonts w:ascii="Times New Roman" w:hAnsi="Times New Roman"/>
          <w:sz w:val="28"/>
          <w:szCs w:val="28"/>
          <w:lang w:eastAsia="ru-RU"/>
        </w:rPr>
        <w:t>1,21 км</w:t>
      </w:r>
      <w:r>
        <w:rPr>
          <w:rFonts w:ascii="Times New Roman" w:hAnsi="Times New Roman"/>
          <w:sz w:val="28"/>
          <w:szCs w:val="28"/>
          <w:lang w:eastAsia="ru-RU"/>
        </w:rPr>
        <w:t>.</w:t>
      </w:r>
    </w:p>
    <w:p w:rsidR="002D1E45"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lang w:eastAsia="ru-RU"/>
        </w:rPr>
      </w:pPr>
      <w:r w:rsidRPr="001D7D2F">
        <w:rPr>
          <w:rFonts w:ascii="Times New Roman" w:hAnsi="Times New Roman"/>
          <w:sz w:val="28"/>
          <w:szCs w:val="28"/>
          <w:lang w:eastAsia="ru-RU"/>
        </w:rPr>
        <w:t xml:space="preserve">на </w:t>
      </w:r>
      <w:r>
        <w:rPr>
          <w:rFonts w:ascii="Times New Roman" w:hAnsi="Times New Roman"/>
          <w:sz w:val="28"/>
          <w:szCs w:val="28"/>
        </w:rPr>
        <w:t>расчётный срок</w:t>
      </w:r>
      <w:r>
        <w:rPr>
          <w:rFonts w:ascii="Times New Roman" w:hAnsi="Times New Roman"/>
          <w:sz w:val="28"/>
          <w:szCs w:val="28"/>
          <w:lang w:eastAsia="ru-RU"/>
        </w:rPr>
        <w:t>:</w:t>
      </w:r>
      <w:r w:rsidRPr="001D7D2F">
        <w:rPr>
          <w:rFonts w:ascii="Times New Roman" w:hAnsi="Times New Roman"/>
          <w:sz w:val="28"/>
          <w:szCs w:val="28"/>
          <w:lang w:eastAsia="ru-RU"/>
        </w:rPr>
        <w:t xml:space="preserve"> </w:t>
      </w:r>
    </w:p>
    <w:p w:rsidR="002D1E45" w:rsidRDefault="002D1E45" w:rsidP="00852938">
      <w:pPr>
        <w:pStyle w:val="ListParagraph"/>
        <w:numPr>
          <w:ilvl w:val="0"/>
          <w:numId w:val="67"/>
        </w:numPr>
        <w:spacing w:after="0" w:line="240" w:lineRule="auto"/>
        <w:ind w:left="2127"/>
        <w:jc w:val="both"/>
        <w:rPr>
          <w:rFonts w:ascii="Times New Roman" w:hAnsi="Times New Roman"/>
          <w:sz w:val="28"/>
          <w:szCs w:val="28"/>
          <w:lang w:eastAsia="ru-RU"/>
        </w:rPr>
      </w:pPr>
      <w:r w:rsidRPr="001D7D2F">
        <w:rPr>
          <w:rFonts w:ascii="Times New Roman" w:hAnsi="Times New Roman"/>
          <w:sz w:val="28"/>
          <w:szCs w:val="28"/>
          <w:lang w:eastAsia="ru-RU"/>
        </w:rPr>
        <w:t xml:space="preserve">строительство магистрального самотёчного канализационного коллектора диаметром </w:t>
      </w:r>
      <w:r>
        <w:rPr>
          <w:rFonts w:ascii="Times New Roman" w:hAnsi="Times New Roman"/>
          <w:sz w:val="28"/>
          <w:szCs w:val="28"/>
          <w:lang w:eastAsia="ru-RU"/>
        </w:rPr>
        <w:t>40</w:t>
      </w:r>
      <w:r w:rsidRPr="001D7D2F">
        <w:rPr>
          <w:rFonts w:ascii="Times New Roman" w:hAnsi="Times New Roman"/>
          <w:sz w:val="28"/>
          <w:szCs w:val="28"/>
          <w:lang w:eastAsia="ru-RU"/>
        </w:rPr>
        <w:t xml:space="preserve">0 мм, общей протяжённостью </w:t>
      </w:r>
      <w:r>
        <w:rPr>
          <w:rFonts w:ascii="Times New Roman" w:hAnsi="Times New Roman"/>
          <w:sz w:val="28"/>
          <w:szCs w:val="28"/>
          <w:lang w:eastAsia="ru-RU"/>
        </w:rPr>
        <w:t>20</w:t>
      </w:r>
      <w:r w:rsidRPr="001D7D2F">
        <w:rPr>
          <w:rFonts w:ascii="Times New Roman" w:hAnsi="Times New Roman"/>
          <w:sz w:val="28"/>
          <w:szCs w:val="28"/>
          <w:lang w:eastAsia="ru-RU"/>
        </w:rPr>
        <w:t xml:space="preserve"> км</w:t>
      </w:r>
      <w:r>
        <w:rPr>
          <w:rFonts w:ascii="Times New Roman" w:hAnsi="Times New Roman"/>
          <w:sz w:val="28"/>
          <w:szCs w:val="28"/>
          <w:lang w:eastAsia="ru-RU"/>
        </w:rPr>
        <w:t>;</w:t>
      </w:r>
    </w:p>
    <w:p w:rsidR="002D1E45" w:rsidRPr="001D7D2F" w:rsidRDefault="002D1E45" w:rsidP="00852938">
      <w:pPr>
        <w:pStyle w:val="ListParagraph"/>
        <w:numPr>
          <w:ilvl w:val="0"/>
          <w:numId w:val="67"/>
        </w:numPr>
        <w:spacing w:after="0" w:line="240" w:lineRule="auto"/>
        <w:ind w:left="2127"/>
        <w:jc w:val="both"/>
        <w:rPr>
          <w:rFonts w:ascii="Times New Roman" w:hAnsi="Times New Roman"/>
          <w:sz w:val="28"/>
          <w:szCs w:val="28"/>
          <w:lang w:eastAsia="ru-RU"/>
        </w:rPr>
      </w:pPr>
      <w:r>
        <w:rPr>
          <w:rFonts w:ascii="Times New Roman" w:hAnsi="Times New Roman"/>
          <w:sz w:val="28"/>
          <w:szCs w:val="28"/>
          <w:lang w:eastAsia="ru-RU"/>
        </w:rPr>
        <w:t>строительство канализационных сетей в районах новой застройки – 20</w:t>
      </w:r>
      <w:r w:rsidRPr="002B3B40">
        <w:rPr>
          <w:rFonts w:ascii="Times New Roman" w:hAnsi="Times New Roman"/>
          <w:sz w:val="28"/>
          <w:szCs w:val="28"/>
          <w:lang w:eastAsia="ru-RU"/>
        </w:rPr>
        <w:t xml:space="preserve"> км</w:t>
      </w:r>
      <w:r>
        <w:rPr>
          <w:rFonts w:ascii="Times New Roman" w:hAnsi="Times New Roman"/>
          <w:sz w:val="28"/>
          <w:szCs w:val="28"/>
          <w:lang w:eastAsia="ru-RU"/>
        </w:rPr>
        <w:t>;</w:t>
      </w:r>
    </w:p>
    <w:p w:rsidR="002D1E45" w:rsidRDefault="002D1E45" w:rsidP="00852938">
      <w:pPr>
        <w:pStyle w:val="ListParagraph"/>
        <w:numPr>
          <w:ilvl w:val="0"/>
          <w:numId w:val="67"/>
        </w:numPr>
        <w:spacing w:after="0" w:line="240" w:lineRule="auto"/>
        <w:ind w:left="2127"/>
        <w:jc w:val="both"/>
        <w:rPr>
          <w:rFonts w:ascii="Times New Roman" w:hAnsi="Times New Roman"/>
          <w:sz w:val="28"/>
          <w:szCs w:val="28"/>
          <w:lang w:eastAsia="ru-RU"/>
        </w:rPr>
      </w:pPr>
      <w:r w:rsidRPr="002B3B40">
        <w:rPr>
          <w:rFonts w:ascii="Times New Roman" w:hAnsi="Times New Roman"/>
          <w:sz w:val="28"/>
          <w:szCs w:val="28"/>
          <w:lang w:eastAsia="ru-RU"/>
        </w:rPr>
        <w:t xml:space="preserve">замена </w:t>
      </w:r>
      <w:r>
        <w:rPr>
          <w:rFonts w:ascii="Times New Roman" w:hAnsi="Times New Roman"/>
          <w:sz w:val="28"/>
          <w:szCs w:val="28"/>
          <w:lang w:eastAsia="ru-RU"/>
        </w:rPr>
        <w:t>300</w:t>
      </w:r>
      <w:r w:rsidRPr="002B3B40">
        <w:rPr>
          <w:rFonts w:ascii="Times New Roman" w:hAnsi="Times New Roman"/>
          <w:sz w:val="28"/>
          <w:szCs w:val="28"/>
          <w:lang w:eastAsia="ru-RU"/>
        </w:rPr>
        <w:t xml:space="preserve"> колодцев очистки</w:t>
      </w:r>
      <w:r>
        <w:rPr>
          <w:rFonts w:ascii="Times New Roman" w:hAnsi="Times New Roman"/>
          <w:sz w:val="28"/>
          <w:szCs w:val="28"/>
          <w:lang w:eastAsia="ru-RU"/>
        </w:rPr>
        <w:t>;</w:t>
      </w:r>
    </w:p>
    <w:p w:rsidR="002D1E45" w:rsidRPr="001D7D2F" w:rsidRDefault="002D1E45" w:rsidP="00852938">
      <w:pPr>
        <w:pStyle w:val="ListParagraph"/>
        <w:numPr>
          <w:ilvl w:val="0"/>
          <w:numId w:val="67"/>
        </w:numPr>
        <w:spacing w:after="0" w:line="240" w:lineRule="auto"/>
        <w:ind w:left="2127"/>
        <w:jc w:val="both"/>
        <w:rPr>
          <w:rFonts w:ascii="Times New Roman" w:hAnsi="Times New Roman"/>
          <w:sz w:val="28"/>
          <w:szCs w:val="28"/>
          <w:lang w:eastAsia="ru-RU"/>
        </w:rPr>
      </w:pPr>
      <w:r>
        <w:rPr>
          <w:rFonts w:ascii="Times New Roman" w:hAnsi="Times New Roman"/>
          <w:sz w:val="28"/>
          <w:szCs w:val="28"/>
          <w:lang w:eastAsia="ru-RU"/>
        </w:rPr>
        <w:t>реконструкция существующих сетей, нуждающихся в замене – 10</w:t>
      </w:r>
      <w:r w:rsidRPr="002B3B40">
        <w:rPr>
          <w:rFonts w:ascii="Times New Roman" w:hAnsi="Times New Roman"/>
          <w:sz w:val="28"/>
          <w:szCs w:val="28"/>
          <w:lang w:eastAsia="ru-RU"/>
        </w:rPr>
        <w:t xml:space="preserve"> км</w:t>
      </w:r>
      <w:r>
        <w:rPr>
          <w:rFonts w:ascii="Times New Roman" w:hAnsi="Times New Roman"/>
          <w:sz w:val="28"/>
          <w:szCs w:val="28"/>
          <w:lang w:eastAsia="ru-RU"/>
        </w:rPr>
        <w:t>.</w:t>
      </w:r>
    </w:p>
    <w:p w:rsidR="002D1E45" w:rsidRPr="001D7D2F" w:rsidRDefault="002D1E45" w:rsidP="001D7D2F">
      <w:pPr>
        <w:spacing w:after="0" w:line="240" w:lineRule="auto"/>
        <w:ind w:firstLine="709"/>
        <w:contextualSpacing/>
        <w:jc w:val="both"/>
        <w:rPr>
          <w:rFonts w:ascii="Times New Roman" w:hAnsi="Times New Roman"/>
          <w:sz w:val="28"/>
          <w:szCs w:val="28"/>
          <w:lang w:eastAsia="ru-RU"/>
        </w:rPr>
      </w:pPr>
      <w:r w:rsidRPr="001D7D2F">
        <w:rPr>
          <w:rFonts w:ascii="Times New Roman" w:hAnsi="Times New Roman"/>
          <w:sz w:val="28"/>
          <w:szCs w:val="28"/>
          <w:lang w:eastAsia="ru-RU"/>
        </w:rPr>
        <w:t>Технические характеристики объектов и</w:t>
      </w:r>
      <w:r>
        <w:rPr>
          <w:rFonts w:ascii="Times New Roman" w:hAnsi="Times New Roman"/>
          <w:sz w:val="28"/>
          <w:szCs w:val="28"/>
          <w:lang w:eastAsia="ru-RU"/>
        </w:rPr>
        <w:t> </w:t>
      </w:r>
      <w:r w:rsidRPr="001D7D2F">
        <w:rPr>
          <w:rFonts w:ascii="Times New Roman" w:hAnsi="Times New Roman"/>
          <w:sz w:val="28"/>
          <w:szCs w:val="28"/>
          <w:lang w:eastAsia="ru-RU"/>
        </w:rPr>
        <w:t>сетей системы водоотведения уточнить на</w:t>
      </w:r>
      <w:r>
        <w:rPr>
          <w:rFonts w:ascii="Times New Roman" w:hAnsi="Times New Roman"/>
          <w:sz w:val="28"/>
          <w:szCs w:val="28"/>
          <w:lang w:eastAsia="ru-RU"/>
        </w:rPr>
        <w:t> </w:t>
      </w:r>
      <w:r w:rsidRPr="001D7D2F">
        <w:rPr>
          <w:rFonts w:ascii="Times New Roman" w:hAnsi="Times New Roman"/>
          <w:sz w:val="28"/>
          <w:szCs w:val="28"/>
          <w:lang w:eastAsia="ru-RU"/>
        </w:rPr>
        <w:t>стадии проектирования.</w:t>
      </w:r>
    </w:p>
    <w:p w:rsidR="002D1E45" w:rsidRPr="00002D9C" w:rsidRDefault="002D1E45" w:rsidP="001D7D2F">
      <w:pPr>
        <w:spacing w:after="0" w:line="240" w:lineRule="auto"/>
        <w:ind w:firstLine="709"/>
        <w:contextualSpacing/>
        <w:jc w:val="both"/>
        <w:rPr>
          <w:rFonts w:ascii="Times New Roman" w:hAnsi="Times New Roman"/>
          <w:sz w:val="28"/>
          <w:szCs w:val="28"/>
          <w:lang w:eastAsia="ru-RU"/>
        </w:rPr>
      </w:pPr>
      <w:r>
        <w:rPr>
          <w:rFonts w:ascii="Times New Roman" w:hAnsi="Times New Roman"/>
          <w:color w:val="000000"/>
          <w:sz w:val="28"/>
          <w:szCs w:val="28"/>
        </w:rPr>
        <w:t xml:space="preserve">Потребность в данных объектах рассчитана в соответствии с нормативами водопотребления </w:t>
      </w:r>
      <w:r w:rsidRPr="009A215F">
        <w:rPr>
          <w:rFonts w:ascii="Times New Roman" w:hAnsi="Times New Roman"/>
          <w:color w:val="000000"/>
          <w:sz w:val="28"/>
          <w:szCs w:val="28"/>
        </w:rPr>
        <w:t>СП 31.13330.2012 «Водоснабжение. Наружные сети и</w:t>
      </w:r>
      <w:r>
        <w:rPr>
          <w:rFonts w:ascii="Times New Roman" w:hAnsi="Times New Roman"/>
          <w:color w:val="000000"/>
          <w:sz w:val="28"/>
          <w:szCs w:val="28"/>
        </w:rPr>
        <w:t> </w:t>
      </w:r>
      <w:r w:rsidRPr="009A215F">
        <w:rPr>
          <w:rFonts w:ascii="Times New Roman" w:hAnsi="Times New Roman"/>
          <w:color w:val="000000"/>
          <w:sz w:val="28"/>
          <w:szCs w:val="28"/>
        </w:rPr>
        <w:t>сооружения»</w:t>
      </w:r>
      <w:r>
        <w:rPr>
          <w:rFonts w:ascii="Times New Roman" w:hAnsi="Times New Roman"/>
          <w:color w:val="000000"/>
          <w:sz w:val="28"/>
          <w:szCs w:val="28"/>
        </w:rPr>
        <w:t xml:space="preserve"> и требованиями </w:t>
      </w:r>
      <w:r w:rsidRPr="009A215F">
        <w:rPr>
          <w:rFonts w:ascii="Times New Roman" w:hAnsi="Times New Roman"/>
          <w:color w:val="000000"/>
          <w:sz w:val="28"/>
          <w:szCs w:val="28"/>
        </w:rPr>
        <w:t>СанПиН 2.1.5.980-00 «Водоотведение населённых мест, санитарная охрана водных объектов»</w:t>
      </w:r>
      <w:r>
        <w:rPr>
          <w:rFonts w:ascii="Times New Roman" w:hAnsi="Times New Roman"/>
          <w:color w:val="000000"/>
          <w:sz w:val="28"/>
          <w:szCs w:val="28"/>
        </w:rPr>
        <w:t xml:space="preserve">. </w:t>
      </w:r>
    </w:p>
    <w:p w:rsidR="002D1E45" w:rsidRPr="003A7901" w:rsidRDefault="002D1E45" w:rsidP="003A7901">
      <w:pPr>
        <w:spacing w:after="0" w:line="240" w:lineRule="auto"/>
        <w:rPr>
          <w:rFonts w:ascii="Times New Roman" w:hAnsi="Times New Roman"/>
          <w:sz w:val="16"/>
          <w:szCs w:val="16"/>
          <w:lang w:eastAsia="ru-RU"/>
        </w:rPr>
      </w:pPr>
    </w:p>
    <w:p w:rsidR="002D1E45" w:rsidRPr="001F1778" w:rsidRDefault="002D1E45" w:rsidP="00852938">
      <w:pPr>
        <w:pStyle w:val="Heading3"/>
        <w:numPr>
          <w:ilvl w:val="2"/>
          <w:numId w:val="65"/>
        </w:numPr>
        <w:tabs>
          <w:tab w:val="left" w:pos="1418"/>
        </w:tabs>
        <w:spacing w:before="120"/>
        <w:ind w:left="1418" w:hanging="698"/>
        <w:jc w:val="both"/>
        <w:rPr>
          <w:rFonts w:ascii="Times New Roman" w:hAnsi="Times New Roman"/>
          <w:sz w:val="28"/>
        </w:rPr>
      </w:pPr>
      <w:bookmarkStart w:id="332" w:name="_Toc468971957"/>
      <w:bookmarkStart w:id="333" w:name="_Toc475037123"/>
      <w:bookmarkStart w:id="334" w:name="_Toc84936065"/>
      <w:r w:rsidRPr="001F1778">
        <w:rPr>
          <w:rFonts w:ascii="Times New Roman" w:hAnsi="Times New Roman"/>
          <w:sz w:val="28"/>
        </w:rPr>
        <w:t>Теплоснабжение</w:t>
      </w:r>
      <w:bookmarkEnd w:id="332"/>
      <w:bookmarkEnd w:id="333"/>
      <w:bookmarkEnd w:id="334"/>
    </w:p>
    <w:p w:rsidR="002D1E45" w:rsidRPr="003A7901" w:rsidRDefault="002D1E45" w:rsidP="003A7901">
      <w:pPr>
        <w:spacing w:after="0" w:line="240" w:lineRule="auto"/>
        <w:rPr>
          <w:rFonts w:ascii="Times New Roman" w:hAnsi="Times New Roman"/>
          <w:sz w:val="16"/>
          <w:szCs w:val="16"/>
          <w:lang w:eastAsia="ru-RU"/>
        </w:rPr>
      </w:pPr>
    </w:p>
    <w:p w:rsidR="002D1E45" w:rsidRPr="00263FB4" w:rsidRDefault="002D1E45" w:rsidP="00263FB4">
      <w:pPr>
        <w:spacing w:after="0" w:line="240" w:lineRule="auto"/>
        <w:ind w:firstLine="709"/>
        <w:contextualSpacing/>
        <w:jc w:val="both"/>
        <w:rPr>
          <w:rFonts w:ascii="Times New Roman" w:hAnsi="Times New Roman"/>
          <w:color w:val="000000"/>
          <w:sz w:val="28"/>
          <w:szCs w:val="28"/>
        </w:rPr>
      </w:pPr>
      <w:r w:rsidRPr="00263FB4">
        <w:rPr>
          <w:rFonts w:ascii="Times New Roman" w:hAnsi="Times New Roman"/>
          <w:color w:val="000000"/>
          <w:sz w:val="28"/>
          <w:szCs w:val="28"/>
        </w:rPr>
        <w:t>Мероприятия по</w:t>
      </w:r>
      <w:r>
        <w:rPr>
          <w:rFonts w:ascii="Times New Roman" w:hAnsi="Times New Roman"/>
          <w:color w:val="000000"/>
          <w:sz w:val="28"/>
          <w:szCs w:val="28"/>
        </w:rPr>
        <w:t> </w:t>
      </w:r>
      <w:r w:rsidRPr="00263FB4">
        <w:rPr>
          <w:rFonts w:ascii="Times New Roman" w:hAnsi="Times New Roman"/>
          <w:color w:val="000000"/>
          <w:sz w:val="28"/>
          <w:szCs w:val="28"/>
        </w:rPr>
        <w:t xml:space="preserve">развитию системы теплоснабжения </w:t>
      </w:r>
      <w:r>
        <w:rPr>
          <w:rFonts w:ascii="Times New Roman" w:hAnsi="Times New Roman"/>
          <w:sz w:val="28"/>
          <w:szCs w:val="28"/>
        </w:rPr>
        <w:t>г. Куйбышева</w:t>
      </w:r>
      <w:r w:rsidRPr="00263FB4">
        <w:rPr>
          <w:rFonts w:ascii="Times New Roman" w:hAnsi="Times New Roman"/>
          <w:color w:val="000000"/>
          <w:sz w:val="28"/>
          <w:szCs w:val="28"/>
        </w:rPr>
        <w:t xml:space="preserve"> предусмотрены в</w:t>
      </w:r>
      <w:r>
        <w:rPr>
          <w:rFonts w:ascii="Times New Roman" w:hAnsi="Times New Roman"/>
          <w:color w:val="000000"/>
          <w:sz w:val="28"/>
          <w:szCs w:val="28"/>
        </w:rPr>
        <w:t> </w:t>
      </w:r>
      <w:r w:rsidRPr="00263FB4">
        <w:rPr>
          <w:rFonts w:ascii="Times New Roman" w:hAnsi="Times New Roman"/>
          <w:color w:val="000000"/>
          <w:sz w:val="28"/>
          <w:szCs w:val="28"/>
        </w:rPr>
        <w:t>соответствии с</w:t>
      </w:r>
      <w:r>
        <w:rPr>
          <w:rFonts w:ascii="Times New Roman" w:hAnsi="Times New Roman"/>
          <w:color w:val="000000"/>
          <w:sz w:val="28"/>
          <w:szCs w:val="28"/>
        </w:rPr>
        <w:t> </w:t>
      </w:r>
      <w:r w:rsidRPr="00263FB4">
        <w:rPr>
          <w:rFonts w:ascii="Times New Roman" w:hAnsi="Times New Roman"/>
          <w:color w:val="000000"/>
          <w:sz w:val="28"/>
          <w:szCs w:val="28"/>
        </w:rPr>
        <w:t xml:space="preserve">требованиями СП 124.13330.2012 </w:t>
      </w:r>
      <w:r>
        <w:rPr>
          <w:rFonts w:ascii="Times New Roman" w:hAnsi="Times New Roman"/>
          <w:color w:val="000000"/>
          <w:sz w:val="28"/>
          <w:szCs w:val="28"/>
        </w:rPr>
        <w:t>«</w:t>
      </w:r>
      <w:r w:rsidRPr="00263FB4">
        <w:rPr>
          <w:rFonts w:ascii="Times New Roman" w:hAnsi="Times New Roman"/>
          <w:color w:val="000000"/>
          <w:sz w:val="28"/>
          <w:szCs w:val="28"/>
        </w:rPr>
        <w:t>Тепловые сети. Актуализированная редакция СНиП 41-02-2003</w:t>
      </w:r>
      <w:r>
        <w:rPr>
          <w:rFonts w:ascii="Times New Roman" w:hAnsi="Times New Roman"/>
          <w:color w:val="000000"/>
          <w:sz w:val="28"/>
          <w:szCs w:val="28"/>
        </w:rPr>
        <w:t>»</w:t>
      </w:r>
      <w:r w:rsidRPr="00263FB4">
        <w:rPr>
          <w:rFonts w:ascii="Times New Roman" w:hAnsi="Times New Roman"/>
          <w:color w:val="000000"/>
          <w:sz w:val="28"/>
          <w:szCs w:val="28"/>
        </w:rPr>
        <w:t xml:space="preserve">, </w:t>
      </w:r>
      <w:r>
        <w:rPr>
          <w:rFonts w:ascii="Times New Roman" w:hAnsi="Times New Roman"/>
          <w:color w:val="000000"/>
          <w:sz w:val="28"/>
          <w:szCs w:val="28"/>
        </w:rPr>
        <w:t>«</w:t>
      </w:r>
      <w:r w:rsidRPr="00263FB4">
        <w:rPr>
          <w:rFonts w:ascii="Times New Roman" w:hAnsi="Times New Roman"/>
          <w:color w:val="000000"/>
          <w:sz w:val="28"/>
          <w:szCs w:val="28"/>
        </w:rPr>
        <w:t>СП 50.13330.2012 Тепловая защита зданий. Актуализированная редакция СНиП 23-02-2003</w:t>
      </w:r>
      <w:r>
        <w:rPr>
          <w:rFonts w:ascii="Times New Roman" w:hAnsi="Times New Roman"/>
          <w:color w:val="000000"/>
          <w:sz w:val="28"/>
          <w:szCs w:val="28"/>
        </w:rPr>
        <w:t>»</w:t>
      </w:r>
      <w:r w:rsidRPr="00263FB4">
        <w:rPr>
          <w:rFonts w:ascii="Times New Roman" w:hAnsi="Times New Roman"/>
          <w:color w:val="000000"/>
          <w:sz w:val="28"/>
          <w:szCs w:val="28"/>
        </w:rPr>
        <w:t xml:space="preserve">, </w:t>
      </w:r>
      <w:r>
        <w:rPr>
          <w:rFonts w:ascii="Times New Roman" w:hAnsi="Times New Roman"/>
          <w:color w:val="000000"/>
          <w:sz w:val="28"/>
          <w:szCs w:val="28"/>
        </w:rPr>
        <w:t>«</w:t>
      </w:r>
      <w:r w:rsidRPr="00263FB4">
        <w:rPr>
          <w:rFonts w:ascii="Times New Roman" w:hAnsi="Times New Roman"/>
          <w:color w:val="000000"/>
          <w:sz w:val="28"/>
          <w:szCs w:val="28"/>
        </w:rPr>
        <w:t>СП 89.13330.2016 Котельные установки. Актуализированная редакция СНиП II-35-76</w:t>
      </w:r>
      <w:r>
        <w:rPr>
          <w:rFonts w:ascii="Times New Roman" w:hAnsi="Times New Roman"/>
          <w:color w:val="000000"/>
          <w:sz w:val="28"/>
          <w:szCs w:val="28"/>
        </w:rPr>
        <w:t>»</w:t>
      </w:r>
      <w:r w:rsidRPr="00263FB4">
        <w:rPr>
          <w:rFonts w:ascii="Times New Roman" w:hAnsi="Times New Roman"/>
          <w:color w:val="000000"/>
          <w:sz w:val="28"/>
          <w:szCs w:val="28"/>
        </w:rPr>
        <w:t>.</w:t>
      </w:r>
    </w:p>
    <w:p w:rsidR="002D1E45" w:rsidRPr="00263FB4" w:rsidRDefault="002D1E45" w:rsidP="00263FB4">
      <w:pPr>
        <w:spacing w:after="0" w:line="240" w:lineRule="auto"/>
        <w:ind w:firstLine="709"/>
        <w:contextualSpacing/>
        <w:jc w:val="both"/>
        <w:rPr>
          <w:rFonts w:ascii="Times New Roman" w:hAnsi="Times New Roman"/>
          <w:color w:val="000000"/>
          <w:sz w:val="28"/>
          <w:szCs w:val="28"/>
        </w:rPr>
      </w:pPr>
      <w:r w:rsidRPr="00263FB4">
        <w:rPr>
          <w:rFonts w:ascii="Times New Roman" w:hAnsi="Times New Roman"/>
          <w:color w:val="000000"/>
          <w:sz w:val="28"/>
          <w:szCs w:val="28"/>
        </w:rPr>
        <w:t>Климатические данные для расчёта тепловых нагрузок приняты в</w:t>
      </w:r>
      <w:r>
        <w:rPr>
          <w:rFonts w:ascii="Times New Roman" w:hAnsi="Times New Roman"/>
          <w:color w:val="000000"/>
          <w:sz w:val="28"/>
          <w:szCs w:val="28"/>
        </w:rPr>
        <w:t> </w:t>
      </w:r>
      <w:r w:rsidRPr="00263FB4">
        <w:rPr>
          <w:rFonts w:ascii="Times New Roman" w:hAnsi="Times New Roman"/>
          <w:color w:val="000000"/>
          <w:sz w:val="28"/>
          <w:szCs w:val="28"/>
        </w:rPr>
        <w:t>соответствии с</w:t>
      </w:r>
      <w:r>
        <w:rPr>
          <w:rFonts w:ascii="Times New Roman" w:hAnsi="Times New Roman"/>
          <w:color w:val="000000"/>
          <w:sz w:val="28"/>
          <w:szCs w:val="28"/>
        </w:rPr>
        <w:t> </w:t>
      </w:r>
      <w:r w:rsidRPr="00263FB4">
        <w:rPr>
          <w:rFonts w:ascii="Times New Roman" w:hAnsi="Times New Roman"/>
          <w:color w:val="000000"/>
          <w:sz w:val="28"/>
          <w:szCs w:val="28"/>
        </w:rPr>
        <w:t>ТСН 23-317-2000 Новосибирской области «Энергосбережение в</w:t>
      </w:r>
      <w:r>
        <w:rPr>
          <w:rFonts w:ascii="Times New Roman" w:hAnsi="Times New Roman"/>
          <w:color w:val="000000"/>
          <w:sz w:val="28"/>
          <w:szCs w:val="28"/>
        </w:rPr>
        <w:t> </w:t>
      </w:r>
      <w:r w:rsidRPr="00263FB4">
        <w:rPr>
          <w:rFonts w:ascii="Times New Roman" w:hAnsi="Times New Roman"/>
          <w:color w:val="000000"/>
          <w:sz w:val="28"/>
          <w:szCs w:val="28"/>
        </w:rPr>
        <w:t>жилых и</w:t>
      </w:r>
      <w:r>
        <w:rPr>
          <w:rFonts w:ascii="Times New Roman" w:hAnsi="Times New Roman"/>
          <w:color w:val="000000"/>
          <w:sz w:val="28"/>
          <w:szCs w:val="28"/>
        </w:rPr>
        <w:t> </w:t>
      </w:r>
      <w:r w:rsidRPr="00263FB4">
        <w:rPr>
          <w:rFonts w:ascii="Times New Roman" w:hAnsi="Times New Roman"/>
          <w:color w:val="000000"/>
          <w:sz w:val="28"/>
          <w:szCs w:val="28"/>
        </w:rPr>
        <w:t>общественных зданиях. Нормативы по</w:t>
      </w:r>
      <w:r>
        <w:rPr>
          <w:rFonts w:ascii="Times New Roman" w:hAnsi="Times New Roman"/>
          <w:color w:val="000000"/>
          <w:sz w:val="28"/>
          <w:szCs w:val="28"/>
        </w:rPr>
        <w:t> </w:t>
      </w:r>
      <w:r w:rsidRPr="00263FB4">
        <w:rPr>
          <w:rFonts w:ascii="Times New Roman" w:hAnsi="Times New Roman"/>
          <w:color w:val="000000"/>
          <w:sz w:val="28"/>
          <w:szCs w:val="28"/>
        </w:rPr>
        <w:t>теплопотреблению и</w:t>
      </w:r>
      <w:r>
        <w:rPr>
          <w:rFonts w:ascii="Times New Roman" w:hAnsi="Times New Roman"/>
          <w:color w:val="000000"/>
          <w:sz w:val="28"/>
          <w:szCs w:val="28"/>
        </w:rPr>
        <w:t> </w:t>
      </w:r>
      <w:r w:rsidRPr="00263FB4">
        <w:rPr>
          <w:rFonts w:ascii="Times New Roman" w:hAnsi="Times New Roman"/>
          <w:color w:val="000000"/>
          <w:sz w:val="28"/>
          <w:szCs w:val="28"/>
        </w:rPr>
        <w:t>теплозащите»: расчётная температура наружного воздуха для проектирования отопления и</w:t>
      </w:r>
      <w:r>
        <w:rPr>
          <w:rFonts w:ascii="Times New Roman" w:hAnsi="Times New Roman"/>
          <w:color w:val="000000"/>
          <w:sz w:val="28"/>
          <w:szCs w:val="28"/>
        </w:rPr>
        <w:t> </w:t>
      </w:r>
      <w:r w:rsidRPr="00263FB4">
        <w:rPr>
          <w:rFonts w:ascii="Times New Roman" w:hAnsi="Times New Roman"/>
          <w:color w:val="000000"/>
          <w:sz w:val="28"/>
          <w:szCs w:val="28"/>
        </w:rPr>
        <w:t xml:space="preserve">вентиляции – минус </w:t>
      </w:r>
      <w:r>
        <w:rPr>
          <w:rFonts w:ascii="Times New Roman" w:hAnsi="Times New Roman"/>
          <w:color w:val="000000"/>
          <w:sz w:val="28"/>
          <w:szCs w:val="28"/>
        </w:rPr>
        <w:t>39</w:t>
      </w:r>
      <w:r w:rsidRPr="00263FB4">
        <w:rPr>
          <w:rFonts w:ascii="Times New Roman" w:hAnsi="Times New Roman"/>
          <w:color w:val="000000"/>
          <w:sz w:val="28"/>
          <w:szCs w:val="28"/>
        </w:rPr>
        <w:t xml:space="preserve"> °С; средняя температура наружного воздуха за</w:t>
      </w:r>
      <w:r>
        <w:rPr>
          <w:rFonts w:ascii="Times New Roman" w:hAnsi="Times New Roman"/>
          <w:color w:val="000000"/>
          <w:sz w:val="28"/>
          <w:szCs w:val="28"/>
        </w:rPr>
        <w:t> </w:t>
      </w:r>
      <w:r w:rsidRPr="00263FB4">
        <w:rPr>
          <w:rFonts w:ascii="Times New Roman" w:hAnsi="Times New Roman"/>
          <w:color w:val="000000"/>
          <w:sz w:val="28"/>
          <w:szCs w:val="28"/>
        </w:rPr>
        <w:t>отопительный период – минус 8,</w:t>
      </w:r>
      <w:r>
        <w:rPr>
          <w:rFonts w:ascii="Times New Roman" w:hAnsi="Times New Roman"/>
          <w:color w:val="000000"/>
          <w:sz w:val="28"/>
          <w:szCs w:val="28"/>
        </w:rPr>
        <w:t>1</w:t>
      </w:r>
      <w:r w:rsidRPr="00263FB4">
        <w:rPr>
          <w:rFonts w:ascii="Times New Roman" w:hAnsi="Times New Roman"/>
          <w:color w:val="000000"/>
          <w:sz w:val="28"/>
          <w:szCs w:val="28"/>
        </w:rPr>
        <w:t xml:space="preserve"> °С; продолжительность отопительного периода – 2</w:t>
      </w:r>
      <w:r>
        <w:rPr>
          <w:rFonts w:ascii="Times New Roman" w:hAnsi="Times New Roman"/>
          <w:color w:val="000000"/>
          <w:sz w:val="28"/>
          <w:szCs w:val="28"/>
        </w:rPr>
        <w:t>30</w:t>
      </w:r>
      <w:r w:rsidRPr="00263FB4">
        <w:rPr>
          <w:rFonts w:ascii="Times New Roman" w:hAnsi="Times New Roman"/>
          <w:color w:val="000000"/>
          <w:sz w:val="28"/>
          <w:szCs w:val="28"/>
        </w:rPr>
        <w:t xml:space="preserve"> сутки.</w:t>
      </w:r>
    </w:p>
    <w:p w:rsidR="002D1E45" w:rsidRPr="00263FB4" w:rsidRDefault="002D1E45" w:rsidP="00263FB4">
      <w:pPr>
        <w:spacing w:after="0" w:line="240" w:lineRule="auto"/>
        <w:ind w:firstLine="709"/>
        <w:contextualSpacing/>
        <w:jc w:val="both"/>
        <w:rPr>
          <w:rFonts w:ascii="Times New Roman" w:hAnsi="Times New Roman"/>
          <w:color w:val="000000"/>
          <w:sz w:val="28"/>
          <w:szCs w:val="28"/>
        </w:rPr>
      </w:pPr>
      <w:r w:rsidRPr="00263FB4">
        <w:rPr>
          <w:rFonts w:ascii="Times New Roman" w:hAnsi="Times New Roman"/>
          <w:color w:val="000000"/>
          <w:sz w:val="28"/>
          <w:szCs w:val="28"/>
        </w:rPr>
        <w:t xml:space="preserve">На территории </w:t>
      </w:r>
      <w:r>
        <w:rPr>
          <w:rFonts w:ascii="Times New Roman" w:hAnsi="Times New Roman"/>
          <w:color w:val="000000"/>
          <w:sz w:val="28"/>
          <w:szCs w:val="28"/>
        </w:rPr>
        <w:t>города</w:t>
      </w:r>
      <w:r w:rsidRPr="00263FB4">
        <w:rPr>
          <w:rFonts w:ascii="Times New Roman" w:hAnsi="Times New Roman"/>
          <w:color w:val="000000"/>
          <w:sz w:val="28"/>
          <w:szCs w:val="28"/>
        </w:rPr>
        <w:t xml:space="preserve"> предусматривается использование сочетания централизованной и</w:t>
      </w:r>
      <w:r>
        <w:rPr>
          <w:rFonts w:ascii="Times New Roman" w:hAnsi="Times New Roman"/>
          <w:color w:val="000000"/>
          <w:sz w:val="28"/>
          <w:szCs w:val="28"/>
        </w:rPr>
        <w:t> </w:t>
      </w:r>
      <w:r w:rsidRPr="00263FB4">
        <w:rPr>
          <w:rFonts w:ascii="Times New Roman" w:hAnsi="Times New Roman"/>
          <w:color w:val="000000"/>
          <w:sz w:val="28"/>
          <w:szCs w:val="28"/>
        </w:rPr>
        <w:t>децентрализованной системы теплоснабжения.</w:t>
      </w:r>
    </w:p>
    <w:p w:rsidR="002D1E45" w:rsidRPr="00263FB4" w:rsidRDefault="002D1E45" w:rsidP="005B183A">
      <w:pPr>
        <w:spacing w:after="0" w:line="240" w:lineRule="auto"/>
        <w:ind w:firstLine="709"/>
        <w:contextualSpacing/>
        <w:jc w:val="both"/>
        <w:rPr>
          <w:rFonts w:ascii="Times New Roman" w:hAnsi="Times New Roman"/>
          <w:color w:val="000000"/>
          <w:sz w:val="28"/>
          <w:szCs w:val="28"/>
        </w:rPr>
      </w:pPr>
      <w:r w:rsidRPr="00263FB4">
        <w:rPr>
          <w:rFonts w:ascii="Times New Roman" w:hAnsi="Times New Roman"/>
          <w:color w:val="000000"/>
          <w:sz w:val="28"/>
          <w:szCs w:val="28"/>
        </w:rPr>
        <w:t>Система теплоснабжения закрытая, двухтрубная. Схема подключения потребителей к</w:t>
      </w:r>
      <w:r>
        <w:rPr>
          <w:rFonts w:ascii="Times New Roman" w:hAnsi="Times New Roman"/>
          <w:color w:val="000000"/>
          <w:sz w:val="28"/>
          <w:szCs w:val="28"/>
        </w:rPr>
        <w:t> </w:t>
      </w:r>
      <w:r w:rsidRPr="00263FB4">
        <w:rPr>
          <w:rFonts w:ascii="Times New Roman" w:hAnsi="Times New Roman"/>
          <w:color w:val="000000"/>
          <w:sz w:val="28"/>
          <w:szCs w:val="28"/>
        </w:rPr>
        <w:t xml:space="preserve">системе теплоснабжения – зависимая. Расчётный температурный график отпуска тепла </w:t>
      </w:r>
      <w:r>
        <w:rPr>
          <w:rFonts w:ascii="Times New Roman" w:hAnsi="Times New Roman"/>
          <w:color w:val="000000"/>
          <w:sz w:val="28"/>
          <w:szCs w:val="28"/>
        </w:rPr>
        <w:t>–</w:t>
      </w:r>
      <w:r w:rsidRPr="00263FB4">
        <w:rPr>
          <w:rFonts w:ascii="Times New Roman" w:hAnsi="Times New Roman"/>
          <w:color w:val="000000"/>
          <w:sz w:val="28"/>
          <w:szCs w:val="28"/>
        </w:rPr>
        <w:t xml:space="preserve"> 95/70 °С.</w:t>
      </w:r>
    </w:p>
    <w:p w:rsidR="002D1E45" w:rsidRDefault="002D1E45" w:rsidP="007A72EC">
      <w:pPr>
        <w:spacing w:after="0" w:line="240" w:lineRule="auto"/>
        <w:ind w:firstLine="709"/>
        <w:contextualSpacing/>
        <w:jc w:val="both"/>
        <w:rPr>
          <w:rFonts w:ascii="Times New Roman" w:hAnsi="Times New Roman"/>
          <w:color w:val="000000"/>
          <w:sz w:val="28"/>
          <w:szCs w:val="28"/>
        </w:rPr>
      </w:pPr>
      <w:r w:rsidRPr="00EE6794">
        <w:rPr>
          <w:rFonts w:ascii="Times New Roman" w:hAnsi="Times New Roman"/>
          <w:color w:val="000000"/>
          <w:sz w:val="28"/>
          <w:szCs w:val="28"/>
        </w:rPr>
        <w:t>Максимальный тепловой поток на 1 м</w:t>
      </w:r>
      <w:r w:rsidRPr="00EE6794">
        <w:rPr>
          <w:rFonts w:ascii="Times New Roman" w:hAnsi="Times New Roman"/>
          <w:color w:val="000000"/>
          <w:sz w:val="28"/>
          <w:szCs w:val="28"/>
          <w:vertAlign w:val="superscript"/>
        </w:rPr>
        <w:t>2</w:t>
      </w:r>
      <w:r w:rsidRPr="00EE6794">
        <w:rPr>
          <w:rFonts w:ascii="Times New Roman" w:hAnsi="Times New Roman"/>
          <w:color w:val="000000"/>
          <w:sz w:val="28"/>
          <w:szCs w:val="28"/>
        </w:rPr>
        <w:t xml:space="preserve"> жилых зданий составляет 140 Вт. Расходы тепла на отопление общественных зданий приняты в размере 25 % от расходов тепла на отопление жилых зданий. Расходы тепла на вентиляцию общественных зданий приняты в размере 60 % от расходов тепла на отопление этих зданий.</w:t>
      </w:r>
    </w:p>
    <w:p w:rsidR="002D1E45" w:rsidRDefault="002D1E45" w:rsidP="007A72EC">
      <w:pPr>
        <w:spacing w:after="0" w:line="240" w:lineRule="auto"/>
        <w:ind w:firstLine="709"/>
        <w:contextualSpacing/>
        <w:jc w:val="both"/>
        <w:rPr>
          <w:rFonts w:ascii="Times New Roman" w:hAnsi="Times New Roman"/>
          <w:color w:val="000000"/>
          <w:sz w:val="28"/>
          <w:szCs w:val="28"/>
        </w:rPr>
      </w:pPr>
      <w:r w:rsidRPr="00EE6794">
        <w:rPr>
          <w:rFonts w:ascii="Times New Roman" w:hAnsi="Times New Roman"/>
          <w:color w:val="000000"/>
          <w:sz w:val="28"/>
          <w:szCs w:val="28"/>
        </w:rPr>
        <w:t>Тепловые нагрузки на отопление, вентиляцию и горячее водоснабжение определены на основании норм проектирования, климатических условий, а также по укрупнённым показателям в зависимости от величины общей площади зданий и сооружений. Расчёт теплопотребления жилищно-коммунального сектора произведён в соответствии с требованиями СП 50.13330.2012 «СНиП 23-02-2003 «Тепловая защита зданий», СП 124.13330.2012 «СНиП 41-02-2003 «Тепловые сети», СП 131.13330.2012. «СНиП 23-01-99 «Строительная климатология» (средний показатель – 100 Вт на 1 м</w:t>
      </w:r>
      <w:r w:rsidRPr="00EE6794">
        <w:rPr>
          <w:rFonts w:ascii="Times New Roman" w:hAnsi="Times New Roman"/>
          <w:color w:val="000000"/>
          <w:sz w:val="28"/>
          <w:szCs w:val="28"/>
          <w:vertAlign w:val="superscript"/>
        </w:rPr>
        <w:t>2</w:t>
      </w:r>
      <w:r w:rsidRPr="00EE6794">
        <w:rPr>
          <w:rFonts w:ascii="Times New Roman" w:hAnsi="Times New Roman"/>
          <w:color w:val="000000"/>
          <w:sz w:val="28"/>
          <w:szCs w:val="28"/>
        </w:rPr>
        <w:t xml:space="preserve"> или 12×10-5 Гкал/ч</w:t>
      </w:r>
      <w:r>
        <w:rPr>
          <w:rFonts w:ascii="Times New Roman" w:hAnsi="Times New Roman"/>
          <w:color w:val="000000"/>
          <w:sz w:val="28"/>
          <w:szCs w:val="28"/>
        </w:rPr>
        <w:t xml:space="preserve"> с учётом проведения мероприятий по повышению энергоэффективности</w:t>
      </w:r>
      <w:r w:rsidRPr="00EE6794">
        <w:rPr>
          <w:rFonts w:ascii="Times New Roman" w:hAnsi="Times New Roman"/>
          <w:color w:val="000000"/>
          <w:sz w:val="28"/>
          <w:szCs w:val="28"/>
        </w:rPr>
        <w:t>).</w:t>
      </w:r>
    </w:p>
    <w:p w:rsidR="002D1E45" w:rsidRPr="003A7901" w:rsidRDefault="002D1E45" w:rsidP="00D61BEC">
      <w:pPr>
        <w:autoSpaceDE w:val="0"/>
        <w:autoSpaceDN w:val="0"/>
        <w:adjustRightInd w:val="0"/>
        <w:spacing w:after="0" w:line="240" w:lineRule="auto"/>
        <w:jc w:val="right"/>
        <w:rPr>
          <w:rFonts w:ascii="Times New Roman" w:hAnsi="Times New Roman"/>
          <w:sz w:val="28"/>
          <w:szCs w:val="28"/>
          <w:lang w:eastAsia="ru-RU"/>
        </w:rPr>
      </w:pPr>
      <w:r w:rsidRPr="003A7901">
        <w:rPr>
          <w:rFonts w:ascii="Times New Roman" w:hAnsi="Times New Roman"/>
          <w:sz w:val="28"/>
          <w:szCs w:val="28"/>
          <w:lang w:eastAsia="ru-RU"/>
        </w:rPr>
        <w:t xml:space="preserve">Таблица </w:t>
      </w:r>
      <w:r w:rsidRPr="003A7901">
        <w:rPr>
          <w:rFonts w:ascii="Times New Roman" w:hAnsi="Times New Roman"/>
          <w:sz w:val="28"/>
          <w:szCs w:val="28"/>
        </w:rPr>
        <w:fldChar w:fldCharType="begin"/>
      </w:r>
      <w:r w:rsidRPr="003A7901">
        <w:rPr>
          <w:rFonts w:ascii="Times New Roman" w:hAnsi="Times New Roman"/>
          <w:sz w:val="28"/>
          <w:szCs w:val="28"/>
        </w:rPr>
        <w:instrText xml:space="preserve"> SEQ Таблица \* ARABIC </w:instrText>
      </w:r>
      <w:r w:rsidRPr="003A7901">
        <w:rPr>
          <w:rFonts w:ascii="Times New Roman" w:hAnsi="Times New Roman"/>
          <w:sz w:val="28"/>
          <w:szCs w:val="28"/>
        </w:rPr>
        <w:fldChar w:fldCharType="separate"/>
      </w:r>
      <w:r>
        <w:rPr>
          <w:rFonts w:ascii="Times New Roman" w:hAnsi="Times New Roman"/>
          <w:noProof/>
          <w:sz w:val="28"/>
          <w:szCs w:val="28"/>
        </w:rPr>
        <w:t>63</w:t>
      </w:r>
      <w:r w:rsidRPr="003A7901">
        <w:rPr>
          <w:rFonts w:ascii="Times New Roman" w:hAnsi="Times New Roman"/>
          <w:sz w:val="28"/>
          <w:szCs w:val="28"/>
        </w:rPr>
        <w:fldChar w:fldCharType="end"/>
      </w:r>
    </w:p>
    <w:p w:rsidR="002D1E45" w:rsidRDefault="002D1E45" w:rsidP="00D61BEC">
      <w:pPr>
        <w:spacing w:line="240" w:lineRule="auto"/>
        <w:jc w:val="center"/>
        <w:rPr>
          <w:rFonts w:ascii="Times New Roman" w:hAnsi="Times New Roman"/>
          <w:color w:val="000000"/>
          <w:sz w:val="28"/>
          <w:szCs w:val="28"/>
        </w:rPr>
      </w:pPr>
      <w:r w:rsidRPr="00D61BEC">
        <w:rPr>
          <w:rFonts w:ascii="Times New Roman" w:hAnsi="Times New Roman"/>
          <w:color w:val="000000"/>
          <w:sz w:val="28"/>
          <w:szCs w:val="28"/>
        </w:rPr>
        <w:t>Расчёт тепловых нагрузок для жилой и общественно-деловой застройки по этапам планирования</w:t>
      </w:r>
      <w:r>
        <w:rPr>
          <w:rFonts w:ascii="Times New Roman" w:hAnsi="Times New Roman"/>
          <w:color w:val="000000"/>
          <w:sz w:val="28"/>
          <w:szCs w:val="28"/>
        </w:rPr>
        <w:t>,</w:t>
      </w:r>
      <w:r w:rsidRPr="00D74EF6">
        <w:t xml:space="preserve"> </w:t>
      </w:r>
      <w:r w:rsidRPr="00D74EF6">
        <w:rPr>
          <w:rFonts w:ascii="Times New Roman" w:hAnsi="Times New Roman"/>
          <w:color w:val="000000"/>
          <w:sz w:val="28"/>
          <w:szCs w:val="28"/>
        </w:rPr>
        <w:t>Гкал/час</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890"/>
        <w:gridCol w:w="2126"/>
        <w:gridCol w:w="1559"/>
        <w:gridCol w:w="1559"/>
      </w:tblGrid>
      <w:tr w:rsidR="002D1E45" w:rsidRPr="00055E7F" w:rsidTr="0058793B">
        <w:trPr>
          <w:trHeight w:val="57"/>
          <w:jc w:val="center"/>
        </w:trPr>
        <w:tc>
          <w:tcPr>
            <w:tcW w:w="4890" w:type="dxa"/>
            <w:shd w:val="clear" w:color="000000" w:fill="FFFFFF"/>
            <w:vAlign w:val="center"/>
          </w:tcPr>
          <w:p w:rsidR="002D1E45" w:rsidRPr="00055E7F" w:rsidRDefault="002D1E45" w:rsidP="0058793B">
            <w:pPr>
              <w:spacing w:after="0" w:line="240" w:lineRule="auto"/>
              <w:jc w:val="center"/>
              <w:rPr>
                <w:rFonts w:ascii="Times New Roman" w:hAnsi="Times New Roman"/>
                <w:color w:val="000000"/>
                <w:lang w:eastAsia="ru-RU"/>
              </w:rPr>
            </w:pPr>
            <w:r w:rsidRPr="00055E7F">
              <w:rPr>
                <w:rFonts w:ascii="Times New Roman" w:hAnsi="Times New Roman"/>
                <w:color w:val="000000"/>
                <w:lang w:eastAsia="ru-RU"/>
              </w:rPr>
              <w:t>Показатель</w:t>
            </w:r>
          </w:p>
        </w:tc>
        <w:tc>
          <w:tcPr>
            <w:tcW w:w="2126" w:type="dxa"/>
            <w:shd w:val="clear" w:color="000000" w:fill="FFFFFF"/>
            <w:vAlign w:val="center"/>
          </w:tcPr>
          <w:p w:rsidR="002D1E45" w:rsidRPr="00055E7F" w:rsidRDefault="002D1E45" w:rsidP="0058793B">
            <w:pPr>
              <w:spacing w:after="0" w:line="240" w:lineRule="auto"/>
              <w:jc w:val="center"/>
              <w:rPr>
                <w:rFonts w:ascii="Times New Roman" w:hAnsi="Times New Roman"/>
                <w:color w:val="000000"/>
                <w:lang w:eastAsia="ru-RU"/>
              </w:rPr>
            </w:pPr>
            <w:r w:rsidRPr="00055E7F">
              <w:rPr>
                <w:rFonts w:ascii="Times New Roman" w:hAnsi="Times New Roman"/>
                <w:color w:val="000000"/>
                <w:lang w:eastAsia="ru-RU"/>
              </w:rPr>
              <w:t>2020</w:t>
            </w:r>
          </w:p>
        </w:tc>
        <w:tc>
          <w:tcPr>
            <w:tcW w:w="1559" w:type="dxa"/>
            <w:shd w:val="clear" w:color="000000" w:fill="FFFFFF"/>
            <w:vAlign w:val="center"/>
          </w:tcPr>
          <w:p w:rsidR="002D1E45" w:rsidRPr="00055E7F" w:rsidRDefault="002D1E45" w:rsidP="0058793B">
            <w:pPr>
              <w:spacing w:after="0" w:line="240" w:lineRule="auto"/>
              <w:jc w:val="center"/>
              <w:rPr>
                <w:rFonts w:ascii="Times New Roman" w:hAnsi="Times New Roman"/>
                <w:color w:val="000000"/>
                <w:lang w:eastAsia="ru-RU"/>
              </w:rPr>
            </w:pPr>
            <w:r w:rsidRPr="00055E7F">
              <w:rPr>
                <w:rFonts w:ascii="Times New Roman" w:hAnsi="Times New Roman"/>
                <w:color w:val="000000"/>
                <w:lang w:eastAsia="ru-RU"/>
              </w:rPr>
              <w:t>2030</w:t>
            </w:r>
          </w:p>
        </w:tc>
        <w:tc>
          <w:tcPr>
            <w:tcW w:w="1559" w:type="dxa"/>
            <w:shd w:val="clear" w:color="000000" w:fill="FFFFFF"/>
            <w:vAlign w:val="center"/>
          </w:tcPr>
          <w:p w:rsidR="002D1E45" w:rsidRPr="00055E7F" w:rsidRDefault="002D1E45" w:rsidP="0058793B">
            <w:pPr>
              <w:spacing w:after="0" w:line="240" w:lineRule="auto"/>
              <w:jc w:val="center"/>
              <w:rPr>
                <w:rFonts w:ascii="Times New Roman" w:hAnsi="Times New Roman"/>
                <w:color w:val="000000"/>
                <w:lang w:eastAsia="ru-RU"/>
              </w:rPr>
            </w:pPr>
            <w:r w:rsidRPr="00055E7F">
              <w:rPr>
                <w:rFonts w:ascii="Times New Roman" w:hAnsi="Times New Roman"/>
                <w:color w:val="000000"/>
                <w:lang w:eastAsia="ru-RU"/>
              </w:rPr>
              <w:t>2040</w:t>
            </w:r>
          </w:p>
        </w:tc>
      </w:tr>
      <w:tr w:rsidR="002D1E45" w:rsidRPr="00055E7F" w:rsidTr="0058793B">
        <w:trPr>
          <w:trHeight w:val="57"/>
          <w:jc w:val="center"/>
        </w:trPr>
        <w:tc>
          <w:tcPr>
            <w:tcW w:w="10134" w:type="dxa"/>
            <w:gridSpan w:val="4"/>
            <w:noWrap/>
            <w:vAlign w:val="bottom"/>
          </w:tcPr>
          <w:p w:rsidR="002D1E45" w:rsidRPr="00055E7F" w:rsidRDefault="002D1E45" w:rsidP="0058793B">
            <w:pPr>
              <w:spacing w:after="0" w:line="240" w:lineRule="auto"/>
              <w:jc w:val="center"/>
              <w:rPr>
                <w:rFonts w:ascii="Times New Roman" w:hAnsi="Times New Roman"/>
                <w:color w:val="000000"/>
                <w:lang w:eastAsia="ru-RU"/>
              </w:rPr>
            </w:pPr>
            <w:r w:rsidRPr="00055E7F">
              <w:rPr>
                <w:rFonts w:ascii="Times New Roman" w:hAnsi="Times New Roman"/>
                <w:color w:val="000000"/>
                <w:lang w:eastAsia="ru-RU"/>
              </w:rPr>
              <w:t>Население</w:t>
            </w:r>
          </w:p>
        </w:tc>
      </w:tr>
      <w:tr w:rsidR="002D1E45" w:rsidRPr="00055E7F" w:rsidTr="0058793B">
        <w:trPr>
          <w:trHeight w:val="57"/>
          <w:jc w:val="center"/>
        </w:trPr>
        <w:tc>
          <w:tcPr>
            <w:tcW w:w="4890" w:type="dxa"/>
            <w:shd w:val="clear" w:color="000000" w:fill="FFFFFF"/>
            <w:vAlign w:val="center"/>
          </w:tcPr>
          <w:p w:rsidR="002D1E45" w:rsidRPr="00055E7F" w:rsidRDefault="002D1E45" w:rsidP="00D61BEC">
            <w:pPr>
              <w:spacing w:after="0" w:line="240" w:lineRule="auto"/>
              <w:rPr>
                <w:rFonts w:ascii="Times New Roman" w:hAnsi="Times New Roman"/>
                <w:color w:val="000000"/>
                <w:lang w:eastAsia="ru-RU"/>
              </w:rPr>
            </w:pPr>
            <w:r w:rsidRPr="00055E7F">
              <w:rPr>
                <w:rFonts w:ascii="Times New Roman" w:hAnsi="Times New Roman"/>
                <w:color w:val="000000"/>
                <w:lang w:eastAsia="ru-RU"/>
              </w:rPr>
              <w:t>Центральное отопление</w:t>
            </w:r>
          </w:p>
        </w:tc>
        <w:tc>
          <w:tcPr>
            <w:tcW w:w="2126" w:type="dxa"/>
            <w:shd w:val="clear" w:color="000000" w:fill="FFFFFF"/>
          </w:tcPr>
          <w:p w:rsidR="002D1E45" w:rsidRPr="00055E7F" w:rsidRDefault="002D1E45" w:rsidP="00D61BEC">
            <w:pPr>
              <w:spacing w:after="0" w:line="240" w:lineRule="auto"/>
              <w:jc w:val="center"/>
              <w:rPr>
                <w:rFonts w:ascii="Times New Roman" w:hAnsi="Times New Roman"/>
                <w:color w:val="000000"/>
                <w:lang w:eastAsia="ru-RU"/>
              </w:rPr>
            </w:pPr>
            <w:r w:rsidRPr="00D61BEC">
              <w:rPr>
                <w:rFonts w:ascii="Times New Roman" w:hAnsi="Times New Roman"/>
                <w:color w:val="000000"/>
                <w:lang w:eastAsia="ru-RU"/>
              </w:rPr>
              <w:t>69,54</w:t>
            </w:r>
          </w:p>
        </w:tc>
        <w:tc>
          <w:tcPr>
            <w:tcW w:w="1559" w:type="dxa"/>
            <w:shd w:val="clear" w:color="000000" w:fill="FFFFFF"/>
          </w:tcPr>
          <w:p w:rsidR="002D1E45" w:rsidRPr="00055E7F" w:rsidRDefault="002D1E45" w:rsidP="00D61BEC">
            <w:pPr>
              <w:spacing w:after="0" w:line="240" w:lineRule="auto"/>
              <w:jc w:val="center"/>
              <w:rPr>
                <w:rFonts w:ascii="Times New Roman" w:hAnsi="Times New Roman"/>
                <w:color w:val="000000"/>
                <w:lang w:eastAsia="ru-RU"/>
              </w:rPr>
            </w:pPr>
            <w:r w:rsidRPr="00D61BEC">
              <w:rPr>
                <w:rFonts w:ascii="Times New Roman" w:hAnsi="Times New Roman"/>
                <w:color w:val="000000"/>
                <w:lang w:eastAsia="ru-RU"/>
              </w:rPr>
              <w:t>72,44</w:t>
            </w:r>
          </w:p>
        </w:tc>
        <w:tc>
          <w:tcPr>
            <w:tcW w:w="1559" w:type="dxa"/>
            <w:shd w:val="clear" w:color="000000" w:fill="FFFFFF"/>
          </w:tcPr>
          <w:p w:rsidR="002D1E45" w:rsidRPr="00055E7F" w:rsidRDefault="002D1E45" w:rsidP="00D61BEC">
            <w:pPr>
              <w:spacing w:after="0" w:line="240" w:lineRule="auto"/>
              <w:jc w:val="center"/>
              <w:rPr>
                <w:rFonts w:ascii="Times New Roman" w:hAnsi="Times New Roman"/>
                <w:color w:val="000000"/>
                <w:lang w:eastAsia="ru-RU"/>
              </w:rPr>
            </w:pPr>
            <w:r w:rsidRPr="00D61BEC">
              <w:rPr>
                <w:rFonts w:ascii="Times New Roman" w:hAnsi="Times New Roman"/>
                <w:color w:val="000000"/>
                <w:lang w:eastAsia="ru-RU"/>
              </w:rPr>
              <w:t>72,44</w:t>
            </w:r>
          </w:p>
        </w:tc>
      </w:tr>
      <w:tr w:rsidR="002D1E45" w:rsidRPr="00055E7F" w:rsidTr="0058793B">
        <w:trPr>
          <w:trHeight w:val="57"/>
          <w:jc w:val="center"/>
        </w:trPr>
        <w:tc>
          <w:tcPr>
            <w:tcW w:w="4890" w:type="dxa"/>
            <w:shd w:val="clear" w:color="000000" w:fill="FFFFFF"/>
            <w:vAlign w:val="center"/>
          </w:tcPr>
          <w:p w:rsidR="002D1E45" w:rsidRPr="00055E7F" w:rsidRDefault="002D1E45" w:rsidP="00D61BEC">
            <w:pPr>
              <w:spacing w:after="0" w:line="240" w:lineRule="auto"/>
              <w:rPr>
                <w:rFonts w:ascii="Times New Roman" w:hAnsi="Times New Roman"/>
                <w:color w:val="000000"/>
                <w:lang w:eastAsia="ru-RU"/>
              </w:rPr>
            </w:pPr>
            <w:r w:rsidRPr="00055E7F">
              <w:rPr>
                <w:rFonts w:ascii="Times New Roman" w:hAnsi="Times New Roman"/>
                <w:color w:val="000000"/>
                <w:lang w:eastAsia="ru-RU"/>
              </w:rPr>
              <w:t>Индивидуальное отопление</w:t>
            </w:r>
          </w:p>
        </w:tc>
        <w:tc>
          <w:tcPr>
            <w:tcW w:w="2126" w:type="dxa"/>
            <w:shd w:val="clear" w:color="000000" w:fill="FFFFFF"/>
          </w:tcPr>
          <w:p w:rsidR="002D1E45" w:rsidRPr="00055E7F" w:rsidRDefault="002D1E45" w:rsidP="00D61BEC">
            <w:pPr>
              <w:spacing w:after="0" w:line="240" w:lineRule="auto"/>
              <w:jc w:val="center"/>
              <w:rPr>
                <w:rFonts w:ascii="Times New Roman" w:hAnsi="Times New Roman"/>
                <w:color w:val="000000"/>
                <w:lang w:eastAsia="ru-RU"/>
              </w:rPr>
            </w:pPr>
            <w:r w:rsidRPr="00D61BEC">
              <w:rPr>
                <w:rFonts w:ascii="Times New Roman" w:hAnsi="Times New Roman"/>
                <w:color w:val="000000"/>
                <w:lang w:eastAsia="ru-RU"/>
              </w:rPr>
              <w:t>27,04</w:t>
            </w:r>
          </w:p>
        </w:tc>
        <w:tc>
          <w:tcPr>
            <w:tcW w:w="1559" w:type="dxa"/>
            <w:shd w:val="clear" w:color="000000" w:fill="FFFFFF"/>
          </w:tcPr>
          <w:p w:rsidR="002D1E45" w:rsidRPr="00055E7F" w:rsidRDefault="002D1E45" w:rsidP="00D61BEC">
            <w:pPr>
              <w:spacing w:after="0" w:line="240" w:lineRule="auto"/>
              <w:jc w:val="center"/>
              <w:rPr>
                <w:rFonts w:ascii="Times New Roman" w:hAnsi="Times New Roman"/>
                <w:color w:val="000000"/>
                <w:lang w:eastAsia="ru-RU"/>
              </w:rPr>
            </w:pPr>
            <w:r w:rsidRPr="00D61BEC">
              <w:rPr>
                <w:rFonts w:ascii="Times New Roman" w:hAnsi="Times New Roman"/>
                <w:color w:val="000000"/>
                <w:lang w:eastAsia="ru-RU"/>
              </w:rPr>
              <w:t>24,15</w:t>
            </w:r>
          </w:p>
        </w:tc>
        <w:tc>
          <w:tcPr>
            <w:tcW w:w="1559" w:type="dxa"/>
            <w:shd w:val="clear" w:color="000000" w:fill="FFFFFF"/>
          </w:tcPr>
          <w:p w:rsidR="002D1E45" w:rsidRPr="00055E7F" w:rsidRDefault="002D1E45" w:rsidP="00D61BEC">
            <w:pPr>
              <w:spacing w:after="0" w:line="240" w:lineRule="auto"/>
              <w:jc w:val="center"/>
              <w:rPr>
                <w:rFonts w:ascii="Times New Roman" w:hAnsi="Times New Roman"/>
                <w:color w:val="000000"/>
                <w:lang w:eastAsia="ru-RU"/>
              </w:rPr>
            </w:pPr>
            <w:r w:rsidRPr="00D61BEC">
              <w:rPr>
                <w:rFonts w:ascii="Times New Roman" w:hAnsi="Times New Roman"/>
                <w:color w:val="000000"/>
                <w:lang w:eastAsia="ru-RU"/>
              </w:rPr>
              <w:t>24,15</w:t>
            </w:r>
          </w:p>
        </w:tc>
      </w:tr>
      <w:tr w:rsidR="002D1E45" w:rsidRPr="00055E7F" w:rsidTr="0058793B">
        <w:trPr>
          <w:trHeight w:val="57"/>
          <w:jc w:val="center"/>
        </w:trPr>
        <w:tc>
          <w:tcPr>
            <w:tcW w:w="10134" w:type="dxa"/>
            <w:gridSpan w:val="4"/>
            <w:noWrap/>
            <w:vAlign w:val="bottom"/>
          </w:tcPr>
          <w:p w:rsidR="002D1E45" w:rsidRPr="00055E7F" w:rsidRDefault="002D1E45" w:rsidP="0058793B">
            <w:pPr>
              <w:spacing w:after="0" w:line="240" w:lineRule="auto"/>
              <w:jc w:val="center"/>
              <w:rPr>
                <w:rFonts w:ascii="Times New Roman" w:hAnsi="Times New Roman"/>
                <w:color w:val="000000"/>
                <w:lang w:eastAsia="ru-RU"/>
              </w:rPr>
            </w:pPr>
            <w:r w:rsidRPr="00055E7F">
              <w:rPr>
                <w:rFonts w:ascii="Times New Roman" w:hAnsi="Times New Roman"/>
                <w:color w:val="000000"/>
                <w:lang w:eastAsia="ru-RU"/>
              </w:rPr>
              <w:t>Общественные здания</w:t>
            </w:r>
          </w:p>
        </w:tc>
      </w:tr>
      <w:tr w:rsidR="002D1E45" w:rsidRPr="00055E7F" w:rsidTr="0058793B">
        <w:trPr>
          <w:trHeight w:val="57"/>
          <w:jc w:val="center"/>
        </w:trPr>
        <w:tc>
          <w:tcPr>
            <w:tcW w:w="4890" w:type="dxa"/>
            <w:noWrap/>
            <w:vAlign w:val="bottom"/>
          </w:tcPr>
          <w:p w:rsidR="002D1E45" w:rsidRPr="00055E7F" w:rsidRDefault="002D1E45" w:rsidP="00D61BEC">
            <w:pPr>
              <w:spacing w:after="0" w:line="240" w:lineRule="auto"/>
              <w:rPr>
                <w:rFonts w:ascii="Times New Roman" w:hAnsi="Times New Roman"/>
                <w:color w:val="000000"/>
                <w:lang w:eastAsia="ru-RU"/>
              </w:rPr>
            </w:pPr>
            <w:r w:rsidRPr="00055E7F">
              <w:rPr>
                <w:rFonts w:ascii="Times New Roman" w:hAnsi="Times New Roman"/>
                <w:color w:val="000000"/>
                <w:lang w:eastAsia="ru-RU"/>
              </w:rPr>
              <w:t>Центральное отопление</w:t>
            </w:r>
          </w:p>
        </w:tc>
        <w:tc>
          <w:tcPr>
            <w:tcW w:w="2126" w:type="dxa"/>
            <w:shd w:val="clear" w:color="000000" w:fill="FFFFFF"/>
          </w:tcPr>
          <w:p w:rsidR="002D1E45" w:rsidRPr="00055E7F" w:rsidRDefault="002D1E45" w:rsidP="00D61BEC">
            <w:pPr>
              <w:spacing w:after="0" w:line="240" w:lineRule="auto"/>
              <w:jc w:val="center"/>
              <w:rPr>
                <w:rFonts w:ascii="Times New Roman" w:hAnsi="Times New Roman"/>
                <w:color w:val="000000"/>
                <w:lang w:eastAsia="ru-RU"/>
              </w:rPr>
            </w:pPr>
            <w:r w:rsidRPr="00D61BEC">
              <w:rPr>
                <w:rFonts w:ascii="Times New Roman" w:hAnsi="Times New Roman"/>
                <w:color w:val="000000"/>
                <w:lang w:eastAsia="ru-RU"/>
              </w:rPr>
              <w:t>17,38</w:t>
            </w:r>
          </w:p>
        </w:tc>
        <w:tc>
          <w:tcPr>
            <w:tcW w:w="1559" w:type="dxa"/>
            <w:shd w:val="clear" w:color="000000" w:fill="FFFFFF"/>
          </w:tcPr>
          <w:p w:rsidR="002D1E45" w:rsidRPr="00055E7F" w:rsidRDefault="002D1E45" w:rsidP="00D61BEC">
            <w:pPr>
              <w:spacing w:after="0" w:line="240" w:lineRule="auto"/>
              <w:jc w:val="center"/>
              <w:rPr>
                <w:rFonts w:ascii="Times New Roman" w:hAnsi="Times New Roman"/>
                <w:color w:val="000000"/>
                <w:lang w:eastAsia="ru-RU"/>
              </w:rPr>
            </w:pPr>
            <w:r w:rsidRPr="00D61BEC">
              <w:rPr>
                <w:rFonts w:ascii="Times New Roman" w:hAnsi="Times New Roman"/>
                <w:color w:val="000000"/>
                <w:lang w:eastAsia="ru-RU"/>
              </w:rPr>
              <w:t>18,11</w:t>
            </w:r>
          </w:p>
        </w:tc>
        <w:tc>
          <w:tcPr>
            <w:tcW w:w="1559" w:type="dxa"/>
            <w:shd w:val="clear" w:color="000000" w:fill="FFFFFF"/>
          </w:tcPr>
          <w:p w:rsidR="002D1E45" w:rsidRPr="00055E7F" w:rsidRDefault="002D1E45" w:rsidP="00D61BEC">
            <w:pPr>
              <w:spacing w:after="0" w:line="240" w:lineRule="auto"/>
              <w:jc w:val="center"/>
              <w:rPr>
                <w:rFonts w:ascii="Times New Roman" w:hAnsi="Times New Roman"/>
                <w:color w:val="000000"/>
                <w:lang w:eastAsia="ru-RU"/>
              </w:rPr>
            </w:pPr>
            <w:r w:rsidRPr="00D61BEC">
              <w:rPr>
                <w:rFonts w:ascii="Times New Roman" w:hAnsi="Times New Roman"/>
                <w:color w:val="000000"/>
                <w:lang w:eastAsia="ru-RU"/>
              </w:rPr>
              <w:t>18,11</w:t>
            </w:r>
          </w:p>
        </w:tc>
      </w:tr>
      <w:tr w:rsidR="002D1E45" w:rsidRPr="00055E7F" w:rsidTr="0058793B">
        <w:trPr>
          <w:trHeight w:val="57"/>
          <w:jc w:val="center"/>
        </w:trPr>
        <w:tc>
          <w:tcPr>
            <w:tcW w:w="4890" w:type="dxa"/>
            <w:noWrap/>
            <w:vAlign w:val="bottom"/>
          </w:tcPr>
          <w:p w:rsidR="002D1E45" w:rsidRPr="00055E7F" w:rsidRDefault="002D1E45" w:rsidP="00D61BEC">
            <w:pPr>
              <w:spacing w:after="0" w:line="240" w:lineRule="auto"/>
              <w:rPr>
                <w:rFonts w:ascii="Times New Roman" w:hAnsi="Times New Roman"/>
                <w:color w:val="000000"/>
                <w:lang w:eastAsia="ru-RU"/>
              </w:rPr>
            </w:pPr>
            <w:r w:rsidRPr="00055E7F">
              <w:rPr>
                <w:rFonts w:ascii="Times New Roman" w:hAnsi="Times New Roman"/>
                <w:color w:val="000000"/>
                <w:lang w:eastAsia="ru-RU"/>
              </w:rPr>
              <w:t>Вентиляция</w:t>
            </w:r>
          </w:p>
        </w:tc>
        <w:tc>
          <w:tcPr>
            <w:tcW w:w="2126" w:type="dxa"/>
            <w:shd w:val="clear" w:color="000000" w:fill="FFFFFF"/>
          </w:tcPr>
          <w:p w:rsidR="002D1E45" w:rsidRPr="00055E7F" w:rsidRDefault="002D1E45" w:rsidP="00D61BEC">
            <w:pPr>
              <w:spacing w:after="0" w:line="240" w:lineRule="auto"/>
              <w:jc w:val="center"/>
              <w:rPr>
                <w:rFonts w:ascii="Times New Roman" w:hAnsi="Times New Roman"/>
                <w:color w:val="000000"/>
                <w:lang w:eastAsia="ru-RU"/>
              </w:rPr>
            </w:pPr>
            <w:r w:rsidRPr="00D61BEC">
              <w:rPr>
                <w:rFonts w:ascii="Times New Roman" w:hAnsi="Times New Roman"/>
                <w:color w:val="000000"/>
                <w:lang w:eastAsia="ru-RU"/>
              </w:rPr>
              <w:t>10,43</w:t>
            </w:r>
          </w:p>
        </w:tc>
        <w:tc>
          <w:tcPr>
            <w:tcW w:w="1559" w:type="dxa"/>
            <w:shd w:val="clear" w:color="000000" w:fill="FFFFFF"/>
          </w:tcPr>
          <w:p w:rsidR="002D1E45" w:rsidRPr="00055E7F" w:rsidRDefault="002D1E45" w:rsidP="00D61BEC">
            <w:pPr>
              <w:spacing w:after="0" w:line="240" w:lineRule="auto"/>
              <w:jc w:val="center"/>
              <w:rPr>
                <w:rFonts w:ascii="Times New Roman" w:hAnsi="Times New Roman"/>
                <w:color w:val="000000"/>
                <w:lang w:eastAsia="ru-RU"/>
              </w:rPr>
            </w:pPr>
            <w:r w:rsidRPr="00D61BEC">
              <w:rPr>
                <w:rFonts w:ascii="Times New Roman" w:hAnsi="Times New Roman"/>
                <w:color w:val="000000"/>
                <w:lang w:eastAsia="ru-RU"/>
              </w:rPr>
              <w:t>10,87</w:t>
            </w:r>
          </w:p>
        </w:tc>
        <w:tc>
          <w:tcPr>
            <w:tcW w:w="1559" w:type="dxa"/>
            <w:shd w:val="clear" w:color="000000" w:fill="FFFFFF"/>
          </w:tcPr>
          <w:p w:rsidR="002D1E45" w:rsidRPr="00055E7F" w:rsidRDefault="002D1E45" w:rsidP="00D61BEC">
            <w:pPr>
              <w:spacing w:after="0" w:line="240" w:lineRule="auto"/>
              <w:jc w:val="center"/>
              <w:rPr>
                <w:rFonts w:ascii="Times New Roman" w:hAnsi="Times New Roman"/>
                <w:color w:val="000000"/>
                <w:lang w:eastAsia="ru-RU"/>
              </w:rPr>
            </w:pPr>
            <w:r w:rsidRPr="00D61BEC">
              <w:rPr>
                <w:rFonts w:ascii="Times New Roman" w:hAnsi="Times New Roman"/>
                <w:color w:val="000000"/>
                <w:lang w:eastAsia="ru-RU"/>
              </w:rPr>
              <w:t>10,87</w:t>
            </w:r>
          </w:p>
        </w:tc>
      </w:tr>
      <w:tr w:rsidR="002D1E45" w:rsidRPr="00055E7F" w:rsidTr="0058793B">
        <w:trPr>
          <w:trHeight w:val="57"/>
          <w:jc w:val="center"/>
        </w:trPr>
        <w:tc>
          <w:tcPr>
            <w:tcW w:w="4890" w:type="dxa"/>
            <w:noWrap/>
            <w:vAlign w:val="bottom"/>
          </w:tcPr>
          <w:p w:rsidR="002D1E45" w:rsidRPr="00055E7F" w:rsidRDefault="002D1E45" w:rsidP="00D61BEC">
            <w:pPr>
              <w:spacing w:after="0" w:line="240" w:lineRule="auto"/>
              <w:rPr>
                <w:rFonts w:ascii="Times New Roman" w:hAnsi="Times New Roman"/>
                <w:b/>
                <w:bCs/>
                <w:i/>
                <w:iCs/>
                <w:color w:val="000000"/>
                <w:lang w:eastAsia="ru-RU"/>
              </w:rPr>
            </w:pPr>
            <w:r w:rsidRPr="00055E7F">
              <w:rPr>
                <w:rFonts w:ascii="Times New Roman" w:hAnsi="Times New Roman"/>
                <w:b/>
                <w:bCs/>
                <w:i/>
                <w:iCs/>
                <w:color w:val="000000"/>
                <w:lang w:eastAsia="ru-RU"/>
              </w:rPr>
              <w:t>Итого центральное</w:t>
            </w:r>
            <w:r>
              <w:rPr>
                <w:rFonts w:ascii="Times New Roman" w:hAnsi="Times New Roman"/>
                <w:b/>
                <w:bCs/>
                <w:i/>
                <w:iCs/>
                <w:color w:val="000000"/>
                <w:lang w:eastAsia="ru-RU"/>
              </w:rPr>
              <w:t xml:space="preserve"> отопление и вентиляция</w:t>
            </w:r>
          </w:p>
        </w:tc>
        <w:tc>
          <w:tcPr>
            <w:tcW w:w="2126" w:type="dxa"/>
            <w:shd w:val="clear" w:color="000000" w:fill="FFFFFF"/>
          </w:tcPr>
          <w:p w:rsidR="002D1E45" w:rsidRPr="00D61BEC" w:rsidRDefault="002D1E45" w:rsidP="00D61BEC">
            <w:pPr>
              <w:spacing w:after="0" w:line="240" w:lineRule="auto"/>
              <w:jc w:val="center"/>
              <w:rPr>
                <w:rFonts w:ascii="Times New Roman" w:hAnsi="Times New Roman"/>
                <w:b/>
                <w:bCs/>
                <w:i/>
                <w:iCs/>
                <w:color w:val="000000"/>
                <w:lang w:eastAsia="ru-RU"/>
              </w:rPr>
            </w:pPr>
            <w:r w:rsidRPr="00D61BEC">
              <w:rPr>
                <w:rFonts w:ascii="Times New Roman" w:hAnsi="Times New Roman"/>
                <w:b/>
                <w:bCs/>
                <w:i/>
                <w:iCs/>
                <w:color w:val="000000"/>
                <w:lang w:eastAsia="ru-RU"/>
              </w:rPr>
              <w:t>97,36</w:t>
            </w:r>
          </w:p>
        </w:tc>
        <w:tc>
          <w:tcPr>
            <w:tcW w:w="1559" w:type="dxa"/>
            <w:shd w:val="clear" w:color="000000" w:fill="FFFFFF"/>
          </w:tcPr>
          <w:p w:rsidR="002D1E45" w:rsidRPr="00D61BEC" w:rsidRDefault="002D1E45" w:rsidP="00D61BEC">
            <w:pPr>
              <w:spacing w:after="0" w:line="240" w:lineRule="auto"/>
              <w:jc w:val="center"/>
              <w:rPr>
                <w:rFonts w:ascii="Times New Roman" w:hAnsi="Times New Roman"/>
                <w:b/>
                <w:bCs/>
                <w:i/>
                <w:iCs/>
                <w:color w:val="000000"/>
                <w:lang w:eastAsia="ru-RU"/>
              </w:rPr>
            </w:pPr>
            <w:r w:rsidRPr="00D61BEC">
              <w:rPr>
                <w:rFonts w:ascii="Times New Roman" w:hAnsi="Times New Roman"/>
                <w:b/>
                <w:bCs/>
                <w:i/>
                <w:iCs/>
                <w:color w:val="000000"/>
                <w:lang w:eastAsia="ru-RU"/>
              </w:rPr>
              <w:t>101,41</w:t>
            </w:r>
          </w:p>
        </w:tc>
        <w:tc>
          <w:tcPr>
            <w:tcW w:w="1559" w:type="dxa"/>
            <w:shd w:val="clear" w:color="000000" w:fill="FFFFFF"/>
          </w:tcPr>
          <w:p w:rsidR="002D1E45" w:rsidRPr="00D61BEC" w:rsidRDefault="002D1E45" w:rsidP="00D61BEC">
            <w:pPr>
              <w:spacing w:after="0" w:line="240" w:lineRule="auto"/>
              <w:jc w:val="center"/>
              <w:rPr>
                <w:rFonts w:ascii="Times New Roman" w:hAnsi="Times New Roman"/>
                <w:b/>
                <w:bCs/>
                <w:i/>
                <w:iCs/>
                <w:color w:val="000000"/>
                <w:lang w:eastAsia="ru-RU"/>
              </w:rPr>
            </w:pPr>
            <w:r w:rsidRPr="00D61BEC">
              <w:rPr>
                <w:rFonts w:ascii="Times New Roman" w:hAnsi="Times New Roman"/>
                <w:b/>
                <w:bCs/>
                <w:i/>
                <w:iCs/>
                <w:color w:val="000000"/>
                <w:lang w:eastAsia="ru-RU"/>
              </w:rPr>
              <w:t>101,41</w:t>
            </w:r>
          </w:p>
        </w:tc>
      </w:tr>
      <w:tr w:rsidR="002D1E45" w:rsidRPr="00055E7F" w:rsidTr="0058793B">
        <w:trPr>
          <w:trHeight w:val="57"/>
          <w:jc w:val="center"/>
        </w:trPr>
        <w:tc>
          <w:tcPr>
            <w:tcW w:w="4890" w:type="dxa"/>
            <w:shd w:val="clear" w:color="000000" w:fill="FFFFFF"/>
            <w:vAlign w:val="center"/>
          </w:tcPr>
          <w:p w:rsidR="002D1E45" w:rsidRPr="00055E7F" w:rsidRDefault="002D1E45" w:rsidP="00D61BEC">
            <w:pPr>
              <w:spacing w:after="0" w:line="240" w:lineRule="auto"/>
              <w:rPr>
                <w:rFonts w:ascii="Times New Roman" w:hAnsi="Times New Roman"/>
                <w:b/>
                <w:bCs/>
                <w:i/>
                <w:iCs/>
                <w:color w:val="000000"/>
                <w:lang w:eastAsia="ru-RU"/>
              </w:rPr>
            </w:pPr>
            <w:r w:rsidRPr="00055E7F">
              <w:rPr>
                <w:rFonts w:ascii="Times New Roman" w:hAnsi="Times New Roman"/>
                <w:b/>
                <w:bCs/>
                <w:i/>
                <w:iCs/>
                <w:color w:val="000000"/>
                <w:lang w:eastAsia="ru-RU"/>
              </w:rPr>
              <w:t>ИТОГО</w:t>
            </w:r>
            <w:r>
              <w:rPr>
                <w:rFonts w:ascii="Times New Roman" w:hAnsi="Times New Roman"/>
                <w:b/>
                <w:bCs/>
                <w:i/>
                <w:iCs/>
                <w:color w:val="000000"/>
                <w:lang w:eastAsia="ru-RU"/>
              </w:rPr>
              <w:t xml:space="preserve"> с индивидуальным отоплением</w:t>
            </w:r>
          </w:p>
        </w:tc>
        <w:tc>
          <w:tcPr>
            <w:tcW w:w="2126" w:type="dxa"/>
            <w:shd w:val="clear" w:color="000000" w:fill="FFFFFF"/>
          </w:tcPr>
          <w:p w:rsidR="002D1E45" w:rsidRPr="00D61BEC" w:rsidRDefault="002D1E45" w:rsidP="00D61BEC">
            <w:pPr>
              <w:spacing w:after="0" w:line="240" w:lineRule="auto"/>
              <w:jc w:val="center"/>
              <w:rPr>
                <w:rFonts w:ascii="Times New Roman" w:hAnsi="Times New Roman"/>
                <w:b/>
                <w:bCs/>
                <w:i/>
                <w:iCs/>
                <w:color w:val="000000"/>
                <w:lang w:eastAsia="ru-RU"/>
              </w:rPr>
            </w:pPr>
            <w:r w:rsidRPr="00D61BEC">
              <w:rPr>
                <w:rFonts w:ascii="Times New Roman" w:hAnsi="Times New Roman"/>
                <w:b/>
                <w:bCs/>
                <w:i/>
                <w:iCs/>
                <w:color w:val="000000"/>
                <w:lang w:eastAsia="ru-RU"/>
              </w:rPr>
              <w:t>124,40</w:t>
            </w:r>
          </w:p>
        </w:tc>
        <w:tc>
          <w:tcPr>
            <w:tcW w:w="1559" w:type="dxa"/>
            <w:shd w:val="clear" w:color="000000" w:fill="FFFFFF"/>
          </w:tcPr>
          <w:p w:rsidR="002D1E45" w:rsidRPr="00D61BEC" w:rsidRDefault="002D1E45" w:rsidP="00D61BEC">
            <w:pPr>
              <w:spacing w:after="0" w:line="240" w:lineRule="auto"/>
              <w:jc w:val="center"/>
              <w:rPr>
                <w:rFonts w:ascii="Times New Roman" w:hAnsi="Times New Roman"/>
                <w:b/>
                <w:bCs/>
                <w:i/>
                <w:iCs/>
                <w:color w:val="000000"/>
                <w:lang w:eastAsia="ru-RU"/>
              </w:rPr>
            </w:pPr>
            <w:r w:rsidRPr="00D61BEC">
              <w:rPr>
                <w:rFonts w:ascii="Times New Roman" w:hAnsi="Times New Roman"/>
                <w:b/>
                <w:bCs/>
                <w:i/>
                <w:iCs/>
                <w:color w:val="000000"/>
                <w:lang w:eastAsia="ru-RU"/>
              </w:rPr>
              <w:t>125,56</w:t>
            </w:r>
          </w:p>
        </w:tc>
        <w:tc>
          <w:tcPr>
            <w:tcW w:w="1559" w:type="dxa"/>
            <w:shd w:val="clear" w:color="000000" w:fill="FFFFFF"/>
          </w:tcPr>
          <w:p w:rsidR="002D1E45" w:rsidRPr="00D61BEC" w:rsidRDefault="002D1E45" w:rsidP="00D61BEC">
            <w:pPr>
              <w:spacing w:after="0" w:line="240" w:lineRule="auto"/>
              <w:jc w:val="center"/>
              <w:rPr>
                <w:rFonts w:ascii="Times New Roman" w:hAnsi="Times New Roman"/>
                <w:b/>
                <w:bCs/>
                <w:i/>
                <w:iCs/>
                <w:color w:val="000000"/>
                <w:lang w:eastAsia="ru-RU"/>
              </w:rPr>
            </w:pPr>
            <w:r w:rsidRPr="00D61BEC">
              <w:rPr>
                <w:rFonts w:ascii="Times New Roman" w:hAnsi="Times New Roman"/>
                <w:b/>
                <w:bCs/>
                <w:i/>
                <w:iCs/>
                <w:color w:val="000000"/>
                <w:lang w:eastAsia="ru-RU"/>
              </w:rPr>
              <w:t>125,56</w:t>
            </w:r>
          </w:p>
        </w:tc>
      </w:tr>
    </w:tbl>
    <w:p w:rsidR="002D1E45" w:rsidRPr="003A7901" w:rsidRDefault="002D1E45" w:rsidP="00D61BEC">
      <w:pPr>
        <w:spacing w:line="240" w:lineRule="auto"/>
        <w:jc w:val="center"/>
        <w:rPr>
          <w:rFonts w:ascii="Times New Roman" w:hAnsi="Times New Roman"/>
          <w:color w:val="000000"/>
          <w:sz w:val="28"/>
          <w:szCs w:val="28"/>
        </w:rPr>
      </w:pPr>
    </w:p>
    <w:p w:rsidR="002D1E45" w:rsidRDefault="002D1E45" w:rsidP="007A72EC">
      <w:pPr>
        <w:spacing w:after="0" w:line="240" w:lineRule="auto"/>
        <w:ind w:firstLine="709"/>
        <w:contextualSpacing/>
        <w:jc w:val="both"/>
        <w:rPr>
          <w:rFonts w:ascii="Times New Roman" w:hAnsi="Times New Roman"/>
          <w:color w:val="000000"/>
          <w:sz w:val="28"/>
          <w:szCs w:val="28"/>
        </w:rPr>
      </w:pPr>
      <w:r w:rsidRPr="00D61BEC">
        <w:rPr>
          <w:rFonts w:ascii="Times New Roman" w:hAnsi="Times New Roman"/>
          <w:color w:val="000000"/>
          <w:sz w:val="28"/>
          <w:szCs w:val="28"/>
        </w:rPr>
        <w:t xml:space="preserve">Согласно данным расчётам, тепловые нагрузки для централизованных источников теплоснабжения жилищно-коммунального сектора составят на расчётный срок </w:t>
      </w:r>
      <w:r w:rsidRPr="00415A40">
        <w:rPr>
          <w:rFonts w:ascii="Times New Roman" w:hAnsi="Times New Roman"/>
          <w:color w:val="000000"/>
          <w:sz w:val="28"/>
          <w:szCs w:val="28"/>
        </w:rPr>
        <w:t>101,41</w:t>
      </w:r>
      <w:r w:rsidRPr="00D61BEC">
        <w:rPr>
          <w:rFonts w:ascii="Times New Roman" w:hAnsi="Times New Roman"/>
          <w:color w:val="000000"/>
          <w:sz w:val="28"/>
          <w:szCs w:val="28"/>
        </w:rPr>
        <w:t xml:space="preserve"> Гкал/час (</w:t>
      </w:r>
      <w:r>
        <w:rPr>
          <w:rFonts w:ascii="Times New Roman" w:hAnsi="Times New Roman"/>
          <w:color w:val="000000"/>
          <w:sz w:val="28"/>
          <w:szCs w:val="28"/>
        </w:rPr>
        <w:t>117,9</w:t>
      </w:r>
      <w:r w:rsidRPr="00D61BEC">
        <w:rPr>
          <w:rFonts w:ascii="Times New Roman" w:hAnsi="Times New Roman"/>
          <w:color w:val="000000"/>
          <w:sz w:val="28"/>
          <w:szCs w:val="28"/>
        </w:rPr>
        <w:t xml:space="preserve"> МВт).</w:t>
      </w:r>
      <w:r>
        <w:rPr>
          <w:rFonts w:ascii="Times New Roman" w:hAnsi="Times New Roman"/>
          <w:color w:val="000000"/>
          <w:sz w:val="28"/>
          <w:szCs w:val="28"/>
        </w:rPr>
        <w:t xml:space="preserve"> Существующей мощности ТЭЦ и котельных города достаточно для обеспечения теплоснабжения. </w:t>
      </w:r>
    </w:p>
    <w:p w:rsidR="002D1E45" w:rsidRDefault="002D1E45" w:rsidP="007A72EC">
      <w:pPr>
        <w:spacing w:after="0" w:line="240" w:lineRule="auto"/>
        <w:ind w:firstLine="709"/>
        <w:contextualSpacing/>
        <w:jc w:val="both"/>
        <w:rPr>
          <w:rFonts w:ascii="Times New Roman" w:hAnsi="Times New Roman"/>
          <w:color w:val="000000"/>
          <w:sz w:val="28"/>
          <w:szCs w:val="28"/>
        </w:rPr>
      </w:pPr>
      <w:r w:rsidRPr="00263FB4">
        <w:rPr>
          <w:rFonts w:ascii="Times New Roman" w:hAnsi="Times New Roman"/>
          <w:color w:val="000000"/>
          <w:sz w:val="28"/>
          <w:szCs w:val="28"/>
        </w:rPr>
        <w:t>Действующие котельные сохраняются.</w:t>
      </w:r>
      <w:r>
        <w:rPr>
          <w:rFonts w:ascii="Times New Roman" w:hAnsi="Times New Roman"/>
          <w:color w:val="000000"/>
          <w:sz w:val="28"/>
          <w:szCs w:val="28"/>
        </w:rPr>
        <w:t xml:space="preserve"> В соответствии со Схемой теплоснабжения г. Куйбышева, рекомендуется:</w:t>
      </w:r>
    </w:p>
    <w:p w:rsidR="002D1E45" w:rsidRPr="00AB364B" w:rsidRDefault="002D1E45" w:rsidP="00AB364B">
      <w:pPr>
        <w:numPr>
          <w:ilvl w:val="0"/>
          <w:numId w:val="24"/>
        </w:numPr>
        <w:tabs>
          <w:tab w:val="left" w:pos="1134"/>
        </w:tabs>
        <w:spacing w:after="0" w:line="240" w:lineRule="auto"/>
        <w:jc w:val="both"/>
        <w:rPr>
          <w:rFonts w:ascii="Times New Roman" w:hAnsi="Times New Roman"/>
          <w:sz w:val="28"/>
          <w:szCs w:val="28"/>
        </w:rPr>
      </w:pPr>
      <w:r>
        <w:rPr>
          <w:rFonts w:ascii="Times New Roman" w:hAnsi="Times New Roman"/>
          <w:sz w:val="28"/>
          <w:szCs w:val="28"/>
        </w:rPr>
        <w:t>з</w:t>
      </w:r>
      <w:r w:rsidRPr="00AB364B">
        <w:rPr>
          <w:rFonts w:ascii="Times New Roman" w:hAnsi="Times New Roman"/>
          <w:sz w:val="28"/>
          <w:szCs w:val="28"/>
        </w:rPr>
        <w:t>амена сетевых насосов на котельной «Звёздная» на насосы меньшей мощности марки КМ80-50-200</w:t>
      </w:r>
      <w:r>
        <w:rPr>
          <w:rFonts w:ascii="Times New Roman" w:hAnsi="Times New Roman"/>
          <w:sz w:val="28"/>
          <w:szCs w:val="28"/>
        </w:rPr>
        <w:t>;</w:t>
      </w:r>
    </w:p>
    <w:p w:rsidR="002D1E45" w:rsidRPr="00AB364B" w:rsidRDefault="002D1E45" w:rsidP="00AB364B">
      <w:pPr>
        <w:numPr>
          <w:ilvl w:val="0"/>
          <w:numId w:val="24"/>
        </w:numPr>
        <w:tabs>
          <w:tab w:val="left" w:pos="1134"/>
        </w:tabs>
        <w:spacing w:after="0" w:line="240" w:lineRule="auto"/>
        <w:jc w:val="both"/>
        <w:rPr>
          <w:rFonts w:ascii="Times New Roman" w:hAnsi="Times New Roman"/>
          <w:sz w:val="28"/>
          <w:szCs w:val="28"/>
        </w:rPr>
      </w:pPr>
      <w:r>
        <w:rPr>
          <w:rFonts w:ascii="Times New Roman" w:hAnsi="Times New Roman"/>
          <w:sz w:val="28"/>
          <w:szCs w:val="28"/>
        </w:rPr>
        <w:t>п</w:t>
      </w:r>
      <w:r w:rsidRPr="00AB364B">
        <w:rPr>
          <w:rFonts w:ascii="Times New Roman" w:hAnsi="Times New Roman"/>
          <w:sz w:val="28"/>
          <w:szCs w:val="28"/>
        </w:rPr>
        <w:t>еревод котельной Спиртзавод на газообразное топливо с установкой 2-х газовых горелок в существующие угольные котлы</w:t>
      </w:r>
      <w:r>
        <w:rPr>
          <w:rFonts w:ascii="Times New Roman" w:hAnsi="Times New Roman"/>
          <w:sz w:val="28"/>
          <w:szCs w:val="28"/>
        </w:rPr>
        <w:t>;</w:t>
      </w:r>
    </w:p>
    <w:p w:rsidR="002D1E45" w:rsidRPr="00AB364B" w:rsidRDefault="002D1E45" w:rsidP="00AB364B">
      <w:pPr>
        <w:numPr>
          <w:ilvl w:val="0"/>
          <w:numId w:val="24"/>
        </w:numPr>
        <w:tabs>
          <w:tab w:val="left" w:pos="1134"/>
        </w:tabs>
        <w:spacing w:after="0" w:line="240" w:lineRule="auto"/>
        <w:jc w:val="both"/>
        <w:rPr>
          <w:rFonts w:ascii="Times New Roman" w:hAnsi="Times New Roman"/>
          <w:sz w:val="28"/>
          <w:szCs w:val="28"/>
        </w:rPr>
      </w:pPr>
      <w:r>
        <w:rPr>
          <w:rFonts w:ascii="Times New Roman" w:hAnsi="Times New Roman"/>
          <w:sz w:val="28"/>
          <w:szCs w:val="28"/>
        </w:rPr>
        <w:t>с</w:t>
      </w:r>
      <w:r w:rsidRPr="00AB364B">
        <w:rPr>
          <w:rFonts w:ascii="Times New Roman" w:hAnsi="Times New Roman"/>
          <w:sz w:val="28"/>
          <w:szCs w:val="28"/>
        </w:rPr>
        <w:t>троительство газопровода низкого давления по ул.</w:t>
      </w:r>
      <w:r>
        <w:rPr>
          <w:rFonts w:ascii="Times New Roman" w:hAnsi="Times New Roman"/>
          <w:sz w:val="28"/>
          <w:szCs w:val="28"/>
        </w:rPr>
        <w:t xml:space="preserve"> </w:t>
      </w:r>
      <w:r w:rsidRPr="00AB364B">
        <w:rPr>
          <w:rFonts w:ascii="Times New Roman" w:hAnsi="Times New Roman"/>
          <w:sz w:val="28"/>
          <w:szCs w:val="28"/>
        </w:rPr>
        <w:t xml:space="preserve">Омская </w:t>
      </w:r>
      <w:r>
        <w:rPr>
          <w:rFonts w:ascii="Times New Roman" w:hAnsi="Times New Roman"/>
          <w:sz w:val="28"/>
          <w:szCs w:val="28"/>
        </w:rPr>
        <w:t xml:space="preserve">до </w:t>
      </w:r>
      <w:r w:rsidRPr="00AB364B">
        <w:rPr>
          <w:rFonts w:ascii="Times New Roman" w:hAnsi="Times New Roman"/>
          <w:sz w:val="28"/>
          <w:szCs w:val="28"/>
        </w:rPr>
        <w:t>котельн</w:t>
      </w:r>
      <w:r>
        <w:rPr>
          <w:rFonts w:ascii="Times New Roman" w:hAnsi="Times New Roman"/>
          <w:sz w:val="28"/>
          <w:szCs w:val="28"/>
        </w:rPr>
        <w:t>ой</w:t>
      </w:r>
      <w:r w:rsidRPr="00AB364B">
        <w:rPr>
          <w:rFonts w:ascii="Times New Roman" w:hAnsi="Times New Roman"/>
          <w:sz w:val="28"/>
          <w:szCs w:val="28"/>
        </w:rPr>
        <w:t xml:space="preserve"> Спиртзавода</w:t>
      </w:r>
      <w:r>
        <w:rPr>
          <w:rFonts w:ascii="Times New Roman" w:hAnsi="Times New Roman"/>
          <w:sz w:val="28"/>
          <w:szCs w:val="28"/>
        </w:rPr>
        <w:t>;</w:t>
      </w:r>
    </w:p>
    <w:p w:rsidR="002D1E45" w:rsidRPr="00AB364B" w:rsidRDefault="002D1E45" w:rsidP="00AB364B">
      <w:pPr>
        <w:numPr>
          <w:ilvl w:val="0"/>
          <w:numId w:val="24"/>
        </w:numPr>
        <w:tabs>
          <w:tab w:val="left" w:pos="1134"/>
        </w:tabs>
        <w:spacing w:after="0" w:line="240" w:lineRule="auto"/>
        <w:jc w:val="both"/>
        <w:rPr>
          <w:rFonts w:ascii="Times New Roman" w:hAnsi="Times New Roman"/>
          <w:sz w:val="28"/>
          <w:szCs w:val="28"/>
        </w:rPr>
      </w:pPr>
      <w:r>
        <w:rPr>
          <w:rFonts w:ascii="Times New Roman" w:hAnsi="Times New Roman"/>
          <w:sz w:val="28"/>
          <w:szCs w:val="28"/>
        </w:rPr>
        <w:t>с</w:t>
      </w:r>
      <w:r w:rsidRPr="00AB364B">
        <w:rPr>
          <w:rFonts w:ascii="Times New Roman" w:hAnsi="Times New Roman"/>
          <w:sz w:val="28"/>
          <w:szCs w:val="28"/>
        </w:rPr>
        <w:t>троительство модульной газовой котельной по ул.</w:t>
      </w:r>
      <w:r>
        <w:rPr>
          <w:rFonts w:ascii="Times New Roman" w:hAnsi="Times New Roman"/>
          <w:sz w:val="28"/>
          <w:szCs w:val="28"/>
        </w:rPr>
        <w:t xml:space="preserve"> </w:t>
      </w:r>
      <w:r w:rsidRPr="00AB364B">
        <w:rPr>
          <w:rFonts w:ascii="Times New Roman" w:hAnsi="Times New Roman"/>
          <w:sz w:val="28"/>
          <w:szCs w:val="28"/>
        </w:rPr>
        <w:t>Невского</w:t>
      </w:r>
      <w:r>
        <w:rPr>
          <w:rFonts w:ascii="Times New Roman" w:hAnsi="Times New Roman"/>
          <w:sz w:val="28"/>
          <w:szCs w:val="28"/>
        </w:rPr>
        <w:t>;</w:t>
      </w:r>
    </w:p>
    <w:p w:rsidR="002D1E45" w:rsidRDefault="002D1E45" w:rsidP="00AB364B">
      <w:pPr>
        <w:numPr>
          <w:ilvl w:val="0"/>
          <w:numId w:val="24"/>
        </w:numPr>
        <w:tabs>
          <w:tab w:val="left" w:pos="1134"/>
        </w:tabs>
        <w:spacing w:after="0" w:line="240" w:lineRule="auto"/>
        <w:jc w:val="both"/>
        <w:rPr>
          <w:rFonts w:ascii="Times New Roman" w:hAnsi="Times New Roman"/>
          <w:sz w:val="28"/>
          <w:szCs w:val="28"/>
        </w:rPr>
      </w:pPr>
      <w:r>
        <w:rPr>
          <w:rFonts w:ascii="Times New Roman" w:hAnsi="Times New Roman"/>
          <w:sz w:val="28"/>
          <w:szCs w:val="28"/>
        </w:rPr>
        <w:t>с</w:t>
      </w:r>
      <w:r w:rsidRPr="00AB364B">
        <w:rPr>
          <w:rFonts w:ascii="Times New Roman" w:hAnsi="Times New Roman"/>
          <w:sz w:val="28"/>
          <w:szCs w:val="28"/>
        </w:rPr>
        <w:t>троительство газопровода низкого давления для подключения газовой котельной по ул.</w:t>
      </w:r>
      <w:r>
        <w:rPr>
          <w:rFonts w:ascii="Times New Roman" w:hAnsi="Times New Roman"/>
          <w:sz w:val="28"/>
          <w:szCs w:val="28"/>
        </w:rPr>
        <w:t xml:space="preserve"> </w:t>
      </w:r>
      <w:r w:rsidRPr="00AB364B">
        <w:rPr>
          <w:rFonts w:ascii="Times New Roman" w:hAnsi="Times New Roman"/>
          <w:sz w:val="28"/>
          <w:szCs w:val="28"/>
        </w:rPr>
        <w:t>Невского</w:t>
      </w:r>
      <w:r>
        <w:rPr>
          <w:rFonts w:ascii="Times New Roman" w:hAnsi="Times New Roman"/>
          <w:sz w:val="28"/>
          <w:szCs w:val="28"/>
        </w:rPr>
        <w:t>;</w:t>
      </w:r>
    </w:p>
    <w:p w:rsidR="002D1E45" w:rsidRPr="00AB364B" w:rsidRDefault="002D1E45" w:rsidP="00AB364B">
      <w:pPr>
        <w:numPr>
          <w:ilvl w:val="0"/>
          <w:numId w:val="24"/>
        </w:numPr>
        <w:tabs>
          <w:tab w:val="left" w:pos="1134"/>
        </w:tabs>
        <w:spacing w:after="0" w:line="240" w:lineRule="auto"/>
        <w:jc w:val="both"/>
        <w:rPr>
          <w:rFonts w:ascii="Times New Roman" w:hAnsi="Times New Roman"/>
          <w:sz w:val="28"/>
          <w:szCs w:val="28"/>
        </w:rPr>
      </w:pPr>
      <w:r>
        <w:rPr>
          <w:rFonts w:ascii="Times New Roman" w:hAnsi="Times New Roman"/>
          <w:sz w:val="28"/>
          <w:szCs w:val="28"/>
        </w:rPr>
        <w:t>с</w:t>
      </w:r>
      <w:r w:rsidRPr="00AB364B">
        <w:rPr>
          <w:rFonts w:ascii="Times New Roman" w:hAnsi="Times New Roman"/>
          <w:sz w:val="28"/>
          <w:szCs w:val="28"/>
        </w:rPr>
        <w:t>троительство тепловой трассы от газовой котельной Школы-</w:t>
      </w:r>
      <w:r>
        <w:rPr>
          <w:rFonts w:ascii="Times New Roman" w:hAnsi="Times New Roman"/>
          <w:sz w:val="28"/>
          <w:szCs w:val="28"/>
        </w:rPr>
        <w:t>и</w:t>
      </w:r>
      <w:r w:rsidRPr="00AB364B">
        <w:rPr>
          <w:rFonts w:ascii="Times New Roman" w:hAnsi="Times New Roman"/>
          <w:sz w:val="28"/>
          <w:szCs w:val="28"/>
        </w:rPr>
        <w:t>нтерната до существующих сетей котельной Лыжной базы</w:t>
      </w:r>
      <w:r>
        <w:rPr>
          <w:rFonts w:ascii="Times New Roman" w:hAnsi="Times New Roman"/>
          <w:sz w:val="28"/>
          <w:szCs w:val="28"/>
        </w:rPr>
        <w:t>;</w:t>
      </w:r>
    </w:p>
    <w:p w:rsidR="002D1E45" w:rsidRPr="00AB364B" w:rsidRDefault="002D1E45" w:rsidP="00AB364B">
      <w:pPr>
        <w:numPr>
          <w:ilvl w:val="0"/>
          <w:numId w:val="24"/>
        </w:numPr>
        <w:tabs>
          <w:tab w:val="left" w:pos="1134"/>
        </w:tabs>
        <w:spacing w:after="0" w:line="240" w:lineRule="auto"/>
        <w:jc w:val="both"/>
        <w:rPr>
          <w:rFonts w:ascii="Times New Roman" w:hAnsi="Times New Roman"/>
          <w:sz w:val="28"/>
          <w:szCs w:val="28"/>
        </w:rPr>
      </w:pPr>
      <w:r>
        <w:rPr>
          <w:rFonts w:ascii="Times New Roman" w:hAnsi="Times New Roman"/>
          <w:sz w:val="28"/>
          <w:szCs w:val="28"/>
        </w:rPr>
        <w:t>с</w:t>
      </w:r>
      <w:r w:rsidRPr="00AB364B">
        <w:rPr>
          <w:rFonts w:ascii="Times New Roman" w:hAnsi="Times New Roman"/>
          <w:sz w:val="28"/>
          <w:szCs w:val="28"/>
        </w:rPr>
        <w:t>троительство тепловых сетей от существующих сетей ул.</w:t>
      </w:r>
      <w:r>
        <w:rPr>
          <w:rFonts w:ascii="Times New Roman" w:hAnsi="Times New Roman"/>
          <w:sz w:val="28"/>
          <w:szCs w:val="28"/>
        </w:rPr>
        <w:t xml:space="preserve"> </w:t>
      </w:r>
      <w:r w:rsidRPr="00AB364B">
        <w:rPr>
          <w:rFonts w:ascii="Times New Roman" w:hAnsi="Times New Roman"/>
          <w:sz w:val="28"/>
          <w:szCs w:val="28"/>
        </w:rPr>
        <w:t>Советская по ул.</w:t>
      </w:r>
      <w:r>
        <w:rPr>
          <w:rFonts w:ascii="Times New Roman" w:hAnsi="Times New Roman"/>
          <w:sz w:val="28"/>
          <w:szCs w:val="28"/>
        </w:rPr>
        <w:t xml:space="preserve"> </w:t>
      </w:r>
      <w:r w:rsidRPr="00AB364B">
        <w:rPr>
          <w:rFonts w:ascii="Times New Roman" w:hAnsi="Times New Roman"/>
          <w:sz w:val="28"/>
          <w:szCs w:val="28"/>
        </w:rPr>
        <w:t>Кооперативная</w:t>
      </w:r>
      <w:r>
        <w:rPr>
          <w:rFonts w:ascii="Times New Roman" w:hAnsi="Times New Roman"/>
          <w:sz w:val="28"/>
          <w:szCs w:val="28"/>
        </w:rPr>
        <w:t>;</w:t>
      </w:r>
    </w:p>
    <w:p w:rsidR="002D1E45" w:rsidRPr="00AB364B" w:rsidRDefault="002D1E45" w:rsidP="00AB364B">
      <w:pPr>
        <w:numPr>
          <w:ilvl w:val="0"/>
          <w:numId w:val="24"/>
        </w:numPr>
        <w:tabs>
          <w:tab w:val="left" w:pos="1134"/>
        </w:tabs>
        <w:spacing w:after="0" w:line="240" w:lineRule="auto"/>
        <w:jc w:val="both"/>
        <w:rPr>
          <w:rFonts w:ascii="Times New Roman" w:hAnsi="Times New Roman"/>
          <w:sz w:val="28"/>
          <w:szCs w:val="28"/>
        </w:rPr>
      </w:pPr>
      <w:r>
        <w:rPr>
          <w:rFonts w:ascii="Times New Roman" w:hAnsi="Times New Roman"/>
          <w:sz w:val="28"/>
          <w:szCs w:val="28"/>
        </w:rPr>
        <w:t>р</w:t>
      </w:r>
      <w:r w:rsidRPr="00AB364B">
        <w:rPr>
          <w:rFonts w:ascii="Times New Roman" w:hAnsi="Times New Roman"/>
          <w:sz w:val="28"/>
          <w:szCs w:val="28"/>
        </w:rPr>
        <w:t>еконструкция тепловых сетей посёлка Спиртзавод + ПСД</w:t>
      </w:r>
      <w:r>
        <w:rPr>
          <w:rFonts w:ascii="Times New Roman" w:hAnsi="Times New Roman"/>
          <w:sz w:val="28"/>
          <w:szCs w:val="28"/>
        </w:rPr>
        <w:t>;</w:t>
      </w:r>
    </w:p>
    <w:p w:rsidR="002D1E45" w:rsidRPr="00AB364B" w:rsidRDefault="002D1E45" w:rsidP="00AB364B">
      <w:pPr>
        <w:numPr>
          <w:ilvl w:val="0"/>
          <w:numId w:val="24"/>
        </w:numPr>
        <w:tabs>
          <w:tab w:val="left" w:pos="1134"/>
        </w:tabs>
        <w:spacing w:after="0" w:line="240" w:lineRule="auto"/>
        <w:jc w:val="both"/>
        <w:rPr>
          <w:rFonts w:ascii="Times New Roman" w:hAnsi="Times New Roman"/>
          <w:sz w:val="28"/>
          <w:szCs w:val="28"/>
        </w:rPr>
      </w:pPr>
      <w:r>
        <w:rPr>
          <w:rFonts w:ascii="Times New Roman" w:hAnsi="Times New Roman"/>
          <w:sz w:val="28"/>
          <w:szCs w:val="28"/>
        </w:rPr>
        <w:t>р</w:t>
      </w:r>
      <w:r w:rsidRPr="00AB364B">
        <w:rPr>
          <w:rFonts w:ascii="Times New Roman" w:hAnsi="Times New Roman"/>
          <w:sz w:val="28"/>
          <w:szCs w:val="28"/>
        </w:rPr>
        <w:t>еконструкция тепловых сетей посёлка КАОЛВИ + ПСД</w:t>
      </w:r>
      <w:r>
        <w:rPr>
          <w:rFonts w:ascii="Times New Roman" w:hAnsi="Times New Roman"/>
          <w:sz w:val="28"/>
          <w:szCs w:val="28"/>
        </w:rPr>
        <w:t>.</w:t>
      </w:r>
    </w:p>
    <w:p w:rsidR="002D1E45" w:rsidRPr="003A7901" w:rsidRDefault="002D1E45" w:rsidP="003A7901">
      <w:pPr>
        <w:spacing w:after="0" w:line="240" w:lineRule="auto"/>
        <w:rPr>
          <w:rFonts w:ascii="Times New Roman" w:hAnsi="Times New Roman"/>
          <w:sz w:val="16"/>
          <w:szCs w:val="16"/>
          <w:lang w:eastAsia="ru-RU"/>
        </w:rPr>
      </w:pPr>
    </w:p>
    <w:p w:rsidR="002D1E45" w:rsidRPr="001F1778" w:rsidRDefault="002D1E45" w:rsidP="00852938">
      <w:pPr>
        <w:pStyle w:val="Heading3"/>
        <w:numPr>
          <w:ilvl w:val="2"/>
          <w:numId w:val="65"/>
        </w:numPr>
        <w:tabs>
          <w:tab w:val="left" w:pos="1418"/>
        </w:tabs>
        <w:spacing w:before="120"/>
        <w:ind w:left="1418" w:hanging="698"/>
        <w:jc w:val="both"/>
        <w:rPr>
          <w:rFonts w:ascii="Times New Roman" w:hAnsi="Times New Roman"/>
          <w:sz w:val="28"/>
        </w:rPr>
      </w:pPr>
      <w:bookmarkStart w:id="335" w:name="_Toc468971958"/>
      <w:bookmarkStart w:id="336" w:name="_Toc475037124"/>
      <w:bookmarkStart w:id="337" w:name="_Toc84936066"/>
      <w:r w:rsidRPr="001F1778">
        <w:rPr>
          <w:rFonts w:ascii="Times New Roman" w:hAnsi="Times New Roman"/>
          <w:sz w:val="28"/>
        </w:rPr>
        <w:t>Газоснабжение</w:t>
      </w:r>
      <w:bookmarkEnd w:id="335"/>
      <w:bookmarkEnd w:id="336"/>
      <w:bookmarkEnd w:id="337"/>
    </w:p>
    <w:p w:rsidR="002D1E45" w:rsidRPr="003A7901" w:rsidRDefault="002D1E45" w:rsidP="003A7901">
      <w:pPr>
        <w:spacing w:after="0" w:line="240" w:lineRule="auto"/>
        <w:rPr>
          <w:rFonts w:ascii="Times New Roman" w:hAnsi="Times New Roman"/>
          <w:sz w:val="16"/>
          <w:szCs w:val="16"/>
          <w:lang w:eastAsia="ru-RU"/>
        </w:rPr>
      </w:pPr>
    </w:p>
    <w:p w:rsidR="002D1E45" w:rsidRDefault="002D1E45" w:rsidP="00FA1BC3">
      <w:pPr>
        <w:spacing w:after="0" w:line="240" w:lineRule="auto"/>
        <w:ind w:firstLine="709"/>
        <w:contextualSpacing/>
        <w:jc w:val="both"/>
        <w:rPr>
          <w:rFonts w:ascii="Times New Roman" w:hAnsi="Times New Roman"/>
          <w:color w:val="000000"/>
          <w:sz w:val="28"/>
          <w:szCs w:val="28"/>
        </w:rPr>
      </w:pPr>
      <w:bookmarkStart w:id="338" w:name="_Toc428285064"/>
      <w:r w:rsidRPr="00FA1BC3">
        <w:rPr>
          <w:rFonts w:ascii="Times New Roman" w:hAnsi="Times New Roman"/>
          <w:color w:val="000000"/>
          <w:sz w:val="28"/>
          <w:szCs w:val="28"/>
        </w:rPr>
        <w:t>В основу разработки предлагаемого перечня мероприятий положен действующий в</w:t>
      </w:r>
      <w:r>
        <w:rPr>
          <w:rFonts w:ascii="Times New Roman" w:hAnsi="Times New Roman"/>
          <w:color w:val="000000"/>
          <w:sz w:val="28"/>
          <w:szCs w:val="28"/>
        </w:rPr>
        <w:t xml:space="preserve"> </w:t>
      </w:r>
      <w:r w:rsidRPr="00FA1BC3">
        <w:rPr>
          <w:rFonts w:ascii="Times New Roman" w:hAnsi="Times New Roman"/>
          <w:color w:val="000000"/>
          <w:sz w:val="28"/>
          <w:szCs w:val="28"/>
        </w:rPr>
        <w:t>настоящее время порядок формирования на городских территориях объединений</w:t>
      </w:r>
      <w:r>
        <w:rPr>
          <w:rFonts w:ascii="Times New Roman" w:hAnsi="Times New Roman"/>
          <w:color w:val="000000"/>
          <w:sz w:val="28"/>
          <w:szCs w:val="28"/>
        </w:rPr>
        <w:t xml:space="preserve"> </w:t>
      </w:r>
      <w:r w:rsidRPr="00FA1BC3">
        <w:rPr>
          <w:rFonts w:ascii="Times New Roman" w:hAnsi="Times New Roman"/>
          <w:color w:val="000000"/>
          <w:sz w:val="28"/>
          <w:szCs w:val="28"/>
        </w:rPr>
        <w:t>Территориального общественного самоуправления (ТОСов), как действующих, так и планируемых</w:t>
      </w:r>
      <w:r>
        <w:rPr>
          <w:rFonts w:ascii="Times New Roman" w:hAnsi="Times New Roman"/>
          <w:color w:val="000000"/>
          <w:sz w:val="28"/>
          <w:szCs w:val="28"/>
        </w:rPr>
        <w:t xml:space="preserve"> </w:t>
      </w:r>
      <w:r w:rsidRPr="00FA1BC3">
        <w:rPr>
          <w:rFonts w:ascii="Times New Roman" w:hAnsi="Times New Roman"/>
          <w:color w:val="000000"/>
          <w:sz w:val="28"/>
          <w:szCs w:val="28"/>
        </w:rPr>
        <w:t>к организации.</w:t>
      </w:r>
    </w:p>
    <w:p w:rsidR="002D1E45" w:rsidRDefault="002D1E45" w:rsidP="00FA1BC3">
      <w:pPr>
        <w:spacing w:after="0" w:line="240" w:lineRule="auto"/>
        <w:ind w:firstLine="709"/>
        <w:contextualSpacing/>
        <w:jc w:val="both"/>
        <w:rPr>
          <w:rFonts w:ascii="Times New Roman" w:hAnsi="Times New Roman"/>
          <w:color w:val="000000"/>
          <w:sz w:val="28"/>
          <w:szCs w:val="28"/>
        </w:rPr>
      </w:pPr>
      <w:r>
        <w:rPr>
          <w:rFonts w:ascii="Times New Roman" w:hAnsi="Times New Roman"/>
          <w:color w:val="000000"/>
          <w:sz w:val="28"/>
          <w:szCs w:val="28"/>
        </w:rPr>
        <w:t>На 2020 год планируется г</w:t>
      </w:r>
      <w:r w:rsidRPr="00330B34">
        <w:rPr>
          <w:rFonts w:ascii="Times New Roman" w:hAnsi="Times New Roman"/>
          <w:color w:val="000000"/>
          <w:sz w:val="28"/>
          <w:szCs w:val="28"/>
        </w:rPr>
        <w:t>азификация улиц ТОС «Заречный»</w:t>
      </w:r>
      <w:r>
        <w:rPr>
          <w:rFonts w:ascii="Times New Roman" w:hAnsi="Times New Roman"/>
          <w:color w:val="000000"/>
          <w:sz w:val="28"/>
          <w:szCs w:val="28"/>
        </w:rPr>
        <w:t>.</w:t>
      </w:r>
    </w:p>
    <w:p w:rsidR="002D1E45" w:rsidRPr="005B1D53" w:rsidRDefault="002D1E45" w:rsidP="005B1D53">
      <w:pPr>
        <w:spacing w:after="0" w:line="240" w:lineRule="auto"/>
        <w:ind w:firstLine="709"/>
        <w:jc w:val="both"/>
        <w:rPr>
          <w:rFonts w:ascii="Times New Roman" w:hAnsi="Times New Roman"/>
          <w:sz w:val="28"/>
          <w:szCs w:val="28"/>
        </w:rPr>
      </w:pPr>
      <w:bookmarkStart w:id="339" w:name="_Toc468971959"/>
      <w:bookmarkStart w:id="340" w:name="_Toc475037125"/>
      <w:bookmarkEnd w:id="338"/>
    </w:p>
    <w:p w:rsidR="002D1E45" w:rsidRPr="001F1778" w:rsidRDefault="002D1E45" w:rsidP="00852938">
      <w:pPr>
        <w:pStyle w:val="Heading3"/>
        <w:numPr>
          <w:ilvl w:val="2"/>
          <w:numId w:val="65"/>
        </w:numPr>
        <w:tabs>
          <w:tab w:val="left" w:pos="1418"/>
        </w:tabs>
        <w:spacing w:before="120"/>
        <w:ind w:left="1418" w:hanging="698"/>
        <w:jc w:val="both"/>
        <w:rPr>
          <w:rFonts w:ascii="Times New Roman" w:hAnsi="Times New Roman"/>
          <w:sz w:val="28"/>
        </w:rPr>
      </w:pPr>
      <w:bookmarkStart w:id="341" w:name="_Toc84936067"/>
      <w:r w:rsidRPr="001F1778">
        <w:rPr>
          <w:rFonts w:ascii="Times New Roman" w:hAnsi="Times New Roman"/>
          <w:sz w:val="28"/>
        </w:rPr>
        <w:t>Электроснабжение</w:t>
      </w:r>
      <w:bookmarkEnd w:id="339"/>
      <w:bookmarkEnd w:id="340"/>
      <w:bookmarkEnd w:id="341"/>
      <w:r w:rsidRPr="001F1778">
        <w:rPr>
          <w:rFonts w:ascii="Times New Roman" w:hAnsi="Times New Roman"/>
          <w:sz w:val="28"/>
        </w:rPr>
        <w:tab/>
      </w:r>
    </w:p>
    <w:p w:rsidR="002D1E45" w:rsidRPr="003A7901" w:rsidRDefault="002D1E45" w:rsidP="003A7901">
      <w:pPr>
        <w:spacing w:after="0" w:line="240" w:lineRule="auto"/>
        <w:rPr>
          <w:rFonts w:ascii="Times New Roman" w:hAnsi="Times New Roman"/>
          <w:sz w:val="16"/>
          <w:szCs w:val="16"/>
          <w:lang w:eastAsia="ru-RU"/>
        </w:rPr>
      </w:pPr>
    </w:p>
    <w:p w:rsidR="002D1E45" w:rsidRPr="00D95CB7" w:rsidRDefault="002D1E45" w:rsidP="00D95CB7">
      <w:pPr>
        <w:spacing w:after="0" w:line="240" w:lineRule="auto"/>
        <w:ind w:firstLine="709"/>
        <w:contextualSpacing/>
        <w:jc w:val="both"/>
        <w:rPr>
          <w:rFonts w:ascii="Times New Roman" w:hAnsi="Times New Roman"/>
          <w:color w:val="000000"/>
          <w:sz w:val="28"/>
          <w:szCs w:val="28"/>
        </w:rPr>
      </w:pPr>
      <w:r w:rsidRPr="00D95CB7">
        <w:rPr>
          <w:rFonts w:ascii="Times New Roman" w:hAnsi="Times New Roman"/>
          <w:color w:val="000000"/>
          <w:sz w:val="28"/>
          <w:szCs w:val="28"/>
        </w:rPr>
        <w:t>Генеральным планом предусмотрены мероприятия, принятые в</w:t>
      </w:r>
      <w:r>
        <w:rPr>
          <w:rFonts w:ascii="Times New Roman" w:hAnsi="Times New Roman"/>
          <w:color w:val="000000"/>
          <w:sz w:val="28"/>
          <w:szCs w:val="28"/>
        </w:rPr>
        <w:t> </w:t>
      </w:r>
      <w:r w:rsidRPr="00D95CB7">
        <w:rPr>
          <w:rFonts w:ascii="Times New Roman" w:hAnsi="Times New Roman"/>
          <w:color w:val="000000"/>
          <w:sz w:val="28"/>
          <w:szCs w:val="28"/>
        </w:rPr>
        <w:t>соответствии с</w:t>
      </w:r>
      <w:r>
        <w:rPr>
          <w:rFonts w:ascii="Times New Roman" w:hAnsi="Times New Roman"/>
          <w:color w:val="000000"/>
          <w:sz w:val="28"/>
          <w:szCs w:val="28"/>
        </w:rPr>
        <w:t> </w:t>
      </w:r>
      <w:r w:rsidRPr="00D95CB7">
        <w:rPr>
          <w:rFonts w:ascii="Times New Roman" w:hAnsi="Times New Roman"/>
          <w:color w:val="000000"/>
          <w:sz w:val="28"/>
          <w:szCs w:val="28"/>
        </w:rPr>
        <w:t>требованиями «Правил устройства электроустановок» седьмого издания и</w:t>
      </w:r>
      <w:r>
        <w:rPr>
          <w:rFonts w:ascii="Times New Roman" w:hAnsi="Times New Roman"/>
          <w:color w:val="000000"/>
          <w:sz w:val="28"/>
          <w:szCs w:val="28"/>
        </w:rPr>
        <w:t> </w:t>
      </w:r>
      <w:r w:rsidRPr="00D95CB7">
        <w:rPr>
          <w:rFonts w:ascii="Times New Roman" w:hAnsi="Times New Roman"/>
          <w:color w:val="000000"/>
          <w:sz w:val="28"/>
          <w:szCs w:val="28"/>
        </w:rPr>
        <w:t>направленные на</w:t>
      </w:r>
      <w:r>
        <w:rPr>
          <w:rFonts w:ascii="Times New Roman" w:hAnsi="Times New Roman"/>
          <w:color w:val="000000"/>
          <w:sz w:val="28"/>
          <w:szCs w:val="28"/>
        </w:rPr>
        <w:t> </w:t>
      </w:r>
      <w:r w:rsidRPr="00D95CB7">
        <w:rPr>
          <w:rFonts w:ascii="Times New Roman" w:hAnsi="Times New Roman"/>
          <w:color w:val="000000"/>
          <w:sz w:val="28"/>
          <w:szCs w:val="28"/>
        </w:rPr>
        <w:t xml:space="preserve">повышение надёжности системы электроснабжения </w:t>
      </w:r>
      <w:r>
        <w:rPr>
          <w:rFonts w:ascii="Times New Roman" w:hAnsi="Times New Roman"/>
          <w:color w:val="000000"/>
          <w:sz w:val="28"/>
          <w:szCs w:val="28"/>
        </w:rPr>
        <w:t>города Куйбышева</w:t>
      </w:r>
      <w:r w:rsidRPr="00D95CB7">
        <w:rPr>
          <w:rFonts w:ascii="Times New Roman" w:hAnsi="Times New Roman"/>
          <w:color w:val="000000"/>
          <w:sz w:val="28"/>
          <w:szCs w:val="28"/>
        </w:rPr>
        <w:t>.</w:t>
      </w:r>
    </w:p>
    <w:p w:rsidR="002D1E45" w:rsidRPr="00D95CB7" w:rsidRDefault="002D1E45" w:rsidP="00D95CB7">
      <w:pPr>
        <w:spacing w:after="0" w:line="240" w:lineRule="auto"/>
        <w:ind w:firstLine="709"/>
        <w:contextualSpacing/>
        <w:jc w:val="both"/>
        <w:rPr>
          <w:rFonts w:ascii="Times New Roman" w:hAnsi="Times New Roman"/>
          <w:color w:val="000000"/>
          <w:sz w:val="28"/>
          <w:szCs w:val="28"/>
        </w:rPr>
      </w:pPr>
      <w:r w:rsidRPr="00D95CB7">
        <w:rPr>
          <w:rFonts w:ascii="Times New Roman" w:hAnsi="Times New Roman"/>
          <w:color w:val="000000"/>
          <w:sz w:val="28"/>
          <w:szCs w:val="28"/>
        </w:rPr>
        <w:t>Проектные потребители электрической энергии относятся к</w:t>
      </w:r>
      <w:r>
        <w:rPr>
          <w:rFonts w:ascii="Times New Roman" w:hAnsi="Times New Roman"/>
          <w:color w:val="000000"/>
          <w:sz w:val="28"/>
          <w:szCs w:val="28"/>
        </w:rPr>
        <w:t> </w:t>
      </w:r>
      <w:r w:rsidRPr="00D95CB7">
        <w:rPr>
          <w:rFonts w:ascii="Times New Roman" w:hAnsi="Times New Roman"/>
          <w:color w:val="000000"/>
          <w:sz w:val="28"/>
          <w:szCs w:val="28"/>
        </w:rPr>
        <w:t>электроприемникам третьей и</w:t>
      </w:r>
      <w:r>
        <w:rPr>
          <w:rFonts w:ascii="Times New Roman" w:hAnsi="Times New Roman"/>
          <w:color w:val="000000"/>
          <w:sz w:val="28"/>
          <w:szCs w:val="28"/>
        </w:rPr>
        <w:t> </w:t>
      </w:r>
      <w:r w:rsidRPr="00D95CB7">
        <w:rPr>
          <w:rFonts w:ascii="Times New Roman" w:hAnsi="Times New Roman"/>
          <w:color w:val="000000"/>
          <w:sz w:val="28"/>
          <w:szCs w:val="28"/>
        </w:rPr>
        <w:t>второй категории надёжности.</w:t>
      </w:r>
    </w:p>
    <w:p w:rsidR="002D1E45" w:rsidRPr="00D95CB7" w:rsidRDefault="002D1E45" w:rsidP="00D95CB7">
      <w:pPr>
        <w:spacing w:after="0" w:line="240" w:lineRule="auto"/>
        <w:ind w:firstLine="709"/>
        <w:contextualSpacing/>
        <w:jc w:val="both"/>
        <w:rPr>
          <w:rFonts w:ascii="Times New Roman" w:hAnsi="Times New Roman"/>
          <w:color w:val="000000"/>
          <w:sz w:val="28"/>
          <w:szCs w:val="28"/>
        </w:rPr>
      </w:pPr>
      <w:r w:rsidRPr="00D95CB7">
        <w:rPr>
          <w:rFonts w:ascii="Times New Roman" w:hAnsi="Times New Roman"/>
          <w:color w:val="000000"/>
          <w:sz w:val="28"/>
          <w:szCs w:val="28"/>
        </w:rPr>
        <w:t xml:space="preserve">Снабжение потребителей </w:t>
      </w:r>
      <w:r>
        <w:rPr>
          <w:rFonts w:ascii="Times New Roman" w:hAnsi="Times New Roman"/>
          <w:color w:val="000000"/>
          <w:sz w:val="28"/>
          <w:szCs w:val="28"/>
        </w:rPr>
        <w:t xml:space="preserve">г. Куйбышева </w:t>
      </w:r>
      <w:r w:rsidRPr="00D95CB7">
        <w:rPr>
          <w:rFonts w:ascii="Times New Roman" w:hAnsi="Times New Roman"/>
          <w:color w:val="000000"/>
          <w:sz w:val="28"/>
          <w:szCs w:val="28"/>
        </w:rPr>
        <w:t>электрической энергией, относящихся к</w:t>
      </w:r>
      <w:r>
        <w:rPr>
          <w:rFonts w:ascii="Times New Roman" w:hAnsi="Times New Roman"/>
          <w:color w:val="000000"/>
          <w:sz w:val="28"/>
          <w:szCs w:val="28"/>
        </w:rPr>
        <w:t> </w:t>
      </w:r>
      <w:r w:rsidRPr="00D95CB7">
        <w:rPr>
          <w:rFonts w:ascii="Times New Roman" w:hAnsi="Times New Roman"/>
          <w:color w:val="000000"/>
          <w:sz w:val="28"/>
          <w:szCs w:val="28"/>
        </w:rPr>
        <w:t>III категории по</w:t>
      </w:r>
      <w:r>
        <w:rPr>
          <w:rFonts w:ascii="Times New Roman" w:hAnsi="Times New Roman"/>
          <w:color w:val="000000"/>
          <w:sz w:val="28"/>
          <w:szCs w:val="28"/>
        </w:rPr>
        <w:t> </w:t>
      </w:r>
      <w:r w:rsidRPr="00D95CB7">
        <w:rPr>
          <w:rFonts w:ascii="Times New Roman" w:hAnsi="Times New Roman"/>
          <w:color w:val="000000"/>
          <w:sz w:val="28"/>
          <w:szCs w:val="28"/>
        </w:rPr>
        <w:t>надёжности электроснабжения, планируется от</w:t>
      </w:r>
      <w:r>
        <w:rPr>
          <w:rFonts w:ascii="Times New Roman" w:hAnsi="Times New Roman"/>
          <w:color w:val="000000"/>
          <w:sz w:val="28"/>
          <w:szCs w:val="28"/>
        </w:rPr>
        <w:t> </w:t>
      </w:r>
      <w:r w:rsidRPr="00D95CB7">
        <w:rPr>
          <w:rFonts w:ascii="Times New Roman" w:hAnsi="Times New Roman"/>
          <w:color w:val="000000"/>
          <w:sz w:val="28"/>
          <w:szCs w:val="28"/>
        </w:rPr>
        <w:t>одного источника питания.</w:t>
      </w:r>
    </w:p>
    <w:p w:rsidR="002D1E45" w:rsidRPr="00D95CB7" w:rsidRDefault="002D1E45" w:rsidP="00D95CB7">
      <w:pPr>
        <w:spacing w:after="0" w:line="240" w:lineRule="auto"/>
        <w:ind w:firstLine="709"/>
        <w:contextualSpacing/>
        <w:jc w:val="both"/>
        <w:rPr>
          <w:rFonts w:ascii="Times New Roman" w:hAnsi="Times New Roman"/>
          <w:color w:val="000000"/>
          <w:sz w:val="28"/>
          <w:szCs w:val="28"/>
        </w:rPr>
      </w:pPr>
      <w:r w:rsidRPr="00D95CB7">
        <w:rPr>
          <w:rFonts w:ascii="Times New Roman" w:hAnsi="Times New Roman"/>
          <w:color w:val="000000"/>
          <w:sz w:val="28"/>
          <w:szCs w:val="28"/>
        </w:rPr>
        <w:t>Электроснабжение потребителей II</w:t>
      </w:r>
      <w:r>
        <w:rPr>
          <w:rFonts w:ascii="Times New Roman" w:hAnsi="Times New Roman"/>
          <w:color w:val="000000"/>
          <w:sz w:val="28"/>
          <w:szCs w:val="28"/>
        </w:rPr>
        <w:t> </w:t>
      </w:r>
      <w:r w:rsidRPr="00D95CB7">
        <w:rPr>
          <w:rFonts w:ascii="Times New Roman" w:hAnsi="Times New Roman"/>
          <w:color w:val="000000"/>
          <w:sz w:val="28"/>
          <w:szCs w:val="28"/>
        </w:rPr>
        <w:t>категории надёжности предлагается осуществлять от</w:t>
      </w:r>
      <w:r>
        <w:rPr>
          <w:rFonts w:ascii="Times New Roman" w:hAnsi="Times New Roman"/>
          <w:color w:val="000000"/>
          <w:sz w:val="28"/>
          <w:szCs w:val="28"/>
        </w:rPr>
        <w:t> </w:t>
      </w:r>
      <w:r w:rsidRPr="00D95CB7">
        <w:rPr>
          <w:rFonts w:ascii="Times New Roman" w:hAnsi="Times New Roman"/>
          <w:color w:val="000000"/>
          <w:sz w:val="28"/>
          <w:szCs w:val="28"/>
        </w:rPr>
        <w:t>однотрансформаторных подстанций. В</w:t>
      </w:r>
      <w:r>
        <w:rPr>
          <w:rFonts w:ascii="Times New Roman" w:hAnsi="Times New Roman"/>
          <w:color w:val="000000"/>
          <w:sz w:val="28"/>
          <w:szCs w:val="28"/>
        </w:rPr>
        <w:t> </w:t>
      </w:r>
      <w:r w:rsidRPr="00D95CB7">
        <w:rPr>
          <w:rFonts w:ascii="Times New Roman" w:hAnsi="Times New Roman"/>
          <w:color w:val="000000"/>
          <w:sz w:val="28"/>
          <w:szCs w:val="28"/>
        </w:rPr>
        <w:t>качестве резервного источника электроэнергии предлагается использовать дизель-генераторы, расположенные на</w:t>
      </w:r>
      <w:r>
        <w:rPr>
          <w:rFonts w:ascii="Times New Roman" w:hAnsi="Times New Roman"/>
          <w:color w:val="000000"/>
          <w:sz w:val="28"/>
          <w:szCs w:val="28"/>
        </w:rPr>
        <w:t> </w:t>
      </w:r>
      <w:r w:rsidRPr="00D95CB7">
        <w:rPr>
          <w:rFonts w:ascii="Times New Roman" w:hAnsi="Times New Roman"/>
          <w:color w:val="000000"/>
          <w:sz w:val="28"/>
          <w:szCs w:val="28"/>
        </w:rPr>
        <w:t>территории потребителей.</w:t>
      </w:r>
    </w:p>
    <w:p w:rsidR="002D1E45" w:rsidRPr="00D95CB7" w:rsidRDefault="002D1E45" w:rsidP="00D95CB7">
      <w:pPr>
        <w:spacing w:after="0" w:line="240" w:lineRule="auto"/>
        <w:ind w:firstLine="709"/>
        <w:contextualSpacing/>
        <w:jc w:val="both"/>
        <w:rPr>
          <w:rFonts w:ascii="Times New Roman" w:hAnsi="Times New Roman"/>
          <w:color w:val="000000"/>
          <w:sz w:val="28"/>
          <w:szCs w:val="28"/>
        </w:rPr>
      </w:pPr>
      <w:r w:rsidRPr="00D95CB7">
        <w:rPr>
          <w:rFonts w:ascii="Times New Roman" w:hAnsi="Times New Roman"/>
          <w:color w:val="000000"/>
          <w:sz w:val="28"/>
          <w:szCs w:val="28"/>
        </w:rPr>
        <w:t>Генеральным планом на</w:t>
      </w:r>
      <w:r>
        <w:rPr>
          <w:rFonts w:ascii="Times New Roman" w:hAnsi="Times New Roman"/>
          <w:color w:val="000000"/>
          <w:sz w:val="28"/>
          <w:szCs w:val="28"/>
        </w:rPr>
        <w:t> </w:t>
      </w:r>
      <w:r w:rsidRPr="00D95CB7">
        <w:rPr>
          <w:rFonts w:ascii="Times New Roman" w:hAnsi="Times New Roman"/>
          <w:color w:val="000000"/>
          <w:sz w:val="28"/>
          <w:szCs w:val="28"/>
        </w:rPr>
        <w:t xml:space="preserve">территории </w:t>
      </w:r>
      <w:r>
        <w:rPr>
          <w:rFonts w:ascii="Times New Roman" w:hAnsi="Times New Roman"/>
          <w:color w:val="000000"/>
          <w:sz w:val="28"/>
          <w:szCs w:val="28"/>
        </w:rPr>
        <w:t>поселения</w:t>
      </w:r>
      <w:r w:rsidRPr="00D95CB7">
        <w:rPr>
          <w:rFonts w:ascii="Times New Roman" w:hAnsi="Times New Roman"/>
          <w:color w:val="000000"/>
          <w:sz w:val="28"/>
          <w:szCs w:val="28"/>
        </w:rPr>
        <w:t xml:space="preserve"> предусматривается строительство и</w:t>
      </w:r>
      <w:r>
        <w:rPr>
          <w:rFonts w:ascii="Times New Roman" w:hAnsi="Times New Roman"/>
          <w:color w:val="000000"/>
          <w:sz w:val="28"/>
          <w:szCs w:val="28"/>
        </w:rPr>
        <w:t> </w:t>
      </w:r>
      <w:r w:rsidRPr="00D95CB7">
        <w:rPr>
          <w:rFonts w:ascii="Times New Roman" w:hAnsi="Times New Roman"/>
          <w:color w:val="000000"/>
          <w:sz w:val="28"/>
          <w:szCs w:val="28"/>
        </w:rPr>
        <w:t>реконструкция объектов системы электроснабжения с</w:t>
      </w:r>
      <w:r>
        <w:rPr>
          <w:rFonts w:ascii="Times New Roman" w:hAnsi="Times New Roman"/>
          <w:color w:val="000000"/>
          <w:sz w:val="28"/>
          <w:szCs w:val="28"/>
        </w:rPr>
        <w:t> </w:t>
      </w:r>
      <w:r w:rsidRPr="00D95CB7">
        <w:rPr>
          <w:rFonts w:ascii="Times New Roman" w:hAnsi="Times New Roman"/>
          <w:color w:val="000000"/>
          <w:sz w:val="28"/>
          <w:szCs w:val="28"/>
        </w:rPr>
        <w:t>целью обеспечения возможности гарантированного подключения к</w:t>
      </w:r>
      <w:r>
        <w:rPr>
          <w:rFonts w:ascii="Times New Roman" w:hAnsi="Times New Roman"/>
          <w:color w:val="000000"/>
          <w:sz w:val="28"/>
          <w:szCs w:val="28"/>
        </w:rPr>
        <w:t> </w:t>
      </w:r>
      <w:r w:rsidRPr="00D95CB7">
        <w:rPr>
          <w:rFonts w:ascii="Times New Roman" w:hAnsi="Times New Roman"/>
          <w:color w:val="000000"/>
          <w:sz w:val="28"/>
          <w:szCs w:val="28"/>
        </w:rPr>
        <w:t>сетям электроснабжения проектных потребителей электрической энергии и</w:t>
      </w:r>
      <w:r>
        <w:rPr>
          <w:rFonts w:ascii="Times New Roman" w:hAnsi="Times New Roman"/>
          <w:color w:val="000000"/>
          <w:sz w:val="28"/>
          <w:szCs w:val="28"/>
        </w:rPr>
        <w:t> </w:t>
      </w:r>
      <w:r w:rsidRPr="00D95CB7">
        <w:rPr>
          <w:rFonts w:ascii="Times New Roman" w:hAnsi="Times New Roman"/>
          <w:color w:val="000000"/>
          <w:sz w:val="28"/>
          <w:szCs w:val="28"/>
        </w:rPr>
        <w:t>повышения надёжности электроснабжения существующих.</w:t>
      </w:r>
    </w:p>
    <w:p w:rsidR="002D1E45" w:rsidRPr="00D95CB7" w:rsidRDefault="002D1E45" w:rsidP="00D95CB7">
      <w:pPr>
        <w:spacing w:after="0" w:line="240" w:lineRule="auto"/>
        <w:ind w:firstLine="709"/>
        <w:contextualSpacing/>
        <w:jc w:val="both"/>
        <w:rPr>
          <w:rFonts w:ascii="Times New Roman" w:hAnsi="Times New Roman"/>
          <w:color w:val="000000"/>
          <w:sz w:val="28"/>
          <w:szCs w:val="28"/>
        </w:rPr>
      </w:pPr>
      <w:r w:rsidRPr="00D95CB7">
        <w:rPr>
          <w:rFonts w:ascii="Times New Roman" w:hAnsi="Times New Roman"/>
          <w:color w:val="000000"/>
          <w:sz w:val="28"/>
          <w:szCs w:val="28"/>
        </w:rPr>
        <w:t>Марку и</w:t>
      </w:r>
      <w:r>
        <w:rPr>
          <w:rFonts w:ascii="Times New Roman" w:hAnsi="Times New Roman"/>
          <w:color w:val="000000"/>
          <w:sz w:val="28"/>
          <w:szCs w:val="28"/>
        </w:rPr>
        <w:t> </w:t>
      </w:r>
      <w:r w:rsidRPr="00D95CB7">
        <w:rPr>
          <w:rFonts w:ascii="Times New Roman" w:hAnsi="Times New Roman"/>
          <w:color w:val="000000"/>
          <w:sz w:val="28"/>
          <w:szCs w:val="28"/>
        </w:rPr>
        <w:t>мощность проектных ТП 10/0,4 кВ, сечения проводов и</w:t>
      </w:r>
      <w:r>
        <w:rPr>
          <w:rFonts w:ascii="Times New Roman" w:hAnsi="Times New Roman"/>
          <w:color w:val="000000"/>
          <w:sz w:val="28"/>
          <w:szCs w:val="28"/>
        </w:rPr>
        <w:t> </w:t>
      </w:r>
      <w:r w:rsidRPr="00D95CB7">
        <w:rPr>
          <w:rFonts w:ascii="Times New Roman" w:hAnsi="Times New Roman"/>
          <w:color w:val="000000"/>
          <w:sz w:val="28"/>
          <w:szCs w:val="28"/>
        </w:rPr>
        <w:t>марку опор уточнить на</w:t>
      </w:r>
      <w:r>
        <w:rPr>
          <w:rFonts w:ascii="Times New Roman" w:hAnsi="Times New Roman"/>
          <w:color w:val="000000"/>
          <w:sz w:val="28"/>
          <w:szCs w:val="28"/>
        </w:rPr>
        <w:t> </w:t>
      </w:r>
      <w:r w:rsidRPr="00D95CB7">
        <w:rPr>
          <w:rFonts w:ascii="Times New Roman" w:hAnsi="Times New Roman"/>
          <w:color w:val="000000"/>
          <w:sz w:val="28"/>
          <w:szCs w:val="28"/>
        </w:rPr>
        <w:t>стадии рабочего проектирования. Воздушные ЛЭП напряжением 10 кВ</w:t>
      </w:r>
      <w:r>
        <w:rPr>
          <w:rFonts w:ascii="Times New Roman" w:hAnsi="Times New Roman"/>
          <w:color w:val="000000"/>
          <w:sz w:val="28"/>
          <w:szCs w:val="28"/>
        </w:rPr>
        <w:t> </w:t>
      </w:r>
      <w:r w:rsidRPr="00D95CB7">
        <w:rPr>
          <w:rFonts w:ascii="Times New Roman" w:hAnsi="Times New Roman"/>
          <w:color w:val="000000"/>
          <w:sz w:val="28"/>
          <w:szCs w:val="28"/>
        </w:rPr>
        <w:t>рекомендовано выполнить с</w:t>
      </w:r>
      <w:r>
        <w:rPr>
          <w:rFonts w:ascii="Times New Roman" w:hAnsi="Times New Roman"/>
          <w:color w:val="000000"/>
          <w:sz w:val="28"/>
          <w:szCs w:val="28"/>
        </w:rPr>
        <w:t> </w:t>
      </w:r>
      <w:r w:rsidRPr="00D95CB7">
        <w:rPr>
          <w:rFonts w:ascii="Times New Roman" w:hAnsi="Times New Roman"/>
          <w:color w:val="000000"/>
          <w:sz w:val="28"/>
          <w:szCs w:val="28"/>
        </w:rPr>
        <w:t>применением самонесущего изолированного провода СИП-3 на</w:t>
      </w:r>
      <w:r>
        <w:rPr>
          <w:rFonts w:ascii="Times New Roman" w:hAnsi="Times New Roman"/>
          <w:color w:val="000000"/>
          <w:sz w:val="28"/>
          <w:szCs w:val="28"/>
        </w:rPr>
        <w:t> </w:t>
      </w:r>
      <w:r w:rsidRPr="00D95CB7">
        <w:rPr>
          <w:rFonts w:ascii="Times New Roman" w:hAnsi="Times New Roman"/>
          <w:color w:val="000000"/>
          <w:sz w:val="28"/>
          <w:szCs w:val="28"/>
        </w:rPr>
        <w:t>железобетонных опорах.</w:t>
      </w:r>
    </w:p>
    <w:p w:rsidR="002D1E45" w:rsidRPr="00D95CB7" w:rsidRDefault="002D1E45" w:rsidP="00D95CB7">
      <w:pPr>
        <w:spacing w:after="0" w:line="240" w:lineRule="auto"/>
        <w:ind w:firstLine="709"/>
        <w:contextualSpacing/>
        <w:jc w:val="both"/>
        <w:rPr>
          <w:rFonts w:ascii="Times New Roman" w:hAnsi="Times New Roman"/>
          <w:color w:val="000000"/>
          <w:sz w:val="28"/>
          <w:szCs w:val="28"/>
        </w:rPr>
      </w:pPr>
      <w:r w:rsidRPr="00D95CB7">
        <w:rPr>
          <w:rFonts w:ascii="Times New Roman" w:hAnsi="Times New Roman"/>
          <w:color w:val="000000"/>
          <w:sz w:val="28"/>
          <w:szCs w:val="28"/>
        </w:rPr>
        <w:t>Часть существующих ТП 10/0,4 кВ</w:t>
      </w:r>
      <w:r>
        <w:rPr>
          <w:rFonts w:ascii="Times New Roman" w:hAnsi="Times New Roman"/>
          <w:color w:val="000000"/>
          <w:sz w:val="28"/>
          <w:szCs w:val="28"/>
        </w:rPr>
        <w:t> </w:t>
      </w:r>
      <w:r w:rsidRPr="00D95CB7">
        <w:rPr>
          <w:rFonts w:ascii="Times New Roman" w:hAnsi="Times New Roman"/>
          <w:color w:val="000000"/>
          <w:sz w:val="28"/>
          <w:szCs w:val="28"/>
        </w:rPr>
        <w:t>и</w:t>
      </w:r>
      <w:r>
        <w:rPr>
          <w:rFonts w:ascii="Times New Roman" w:hAnsi="Times New Roman"/>
          <w:color w:val="000000"/>
          <w:sz w:val="28"/>
          <w:szCs w:val="28"/>
        </w:rPr>
        <w:t> </w:t>
      </w:r>
      <w:r w:rsidRPr="00D95CB7">
        <w:rPr>
          <w:rFonts w:ascii="Times New Roman" w:hAnsi="Times New Roman"/>
          <w:color w:val="000000"/>
          <w:sz w:val="28"/>
          <w:szCs w:val="28"/>
        </w:rPr>
        <w:t>ЛЭП 10 кВ</w:t>
      </w:r>
      <w:r>
        <w:rPr>
          <w:rFonts w:ascii="Times New Roman" w:hAnsi="Times New Roman"/>
          <w:color w:val="000000"/>
          <w:sz w:val="28"/>
          <w:szCs w:val="28"/>
        </w:rPr>
        <w:t> </w:t>
      </w:r>
      <w:r w:rsidRPr="00D95CB7">
        <w:rPr>
          <w:rFonts w:ascii="Times New Roman" w:hAnsi="Times New Roman"/>
          <w:color w:val="000000"/>
          <w:sz w:val="28"/>
          <w:szCs w:val="28"/>
        </w:rPr>
        <w:t>предлагается сохранить с</w:t>
      </w:r>
      <w:r>
        <w:rPr>
          <w:rFonts w:ascii="Times New Roman" w:hAnsi="Times New Roman"/>
          <w:color w:val="000000"/>
          <w:sz w:val="28"/>
          <w:szCs w:val="28"/>
        </w:rPr>
        <w:t> </w:t>
      </w:r>
      <w:r w:rsidRPr="00D95CB7">
        <w:rPr>
          <w:rFonts w:ascii="Times New Roman" w:hAnsi="Times New Roman"/>
          <w:color w:val="000000"/>
          <w:sz w:val="28"/>
          <w:szCs w:val="28"/>
        </w:rPr>
        <w:t>последующей их</w:t>
      </w:r>
      <w:r>
        <w:rPr>
          <w:rFonts w:ascii="Times New Roman" w:hAnsi="Times New Roman"/>
          <w:color w:val="000000"/>
          <w:sz w:val="28"/>
          <w:szCs w:val="28"/>
        </w:rPr>
        <w:t> </w:t>
      </w:r>
      <w:r w:rsidRPr="00D95CB7">
        <w:rPr>
          <w:rFonts w:ascii="Times New Roman" w:hAnsi="Times New Roman"/>
          <w:color w:val="000000"/>
          <w:sz w:val="28"/>
          <w:szCs w:val="28"/>
        </w:rPr>
        <w:t>заменой на</w:t>
      </w:r>
      <w:r>
        <w:rPr>
          <w:rFonts w:ascii="Times New Roman" w:hAnsi="Times New Roman"/>
          <w:color w:val="000000"/>
          <w:sz w:val="28"/>
          <w:szCs w:val="28"/>
        </w:rPr>
        <w:t> </w:t>
      </w:r>
      <w:r w:rsidRPr="00D95CB7">
        <w:rPr>
          <w:rFonts w:ascii="Times New Roman" w:hAnsi="Times New Roman"/>
          <w:color w:val="000000"/>
          <w:sz w:val="28"/>
          <w:szCs w:val="28"/>
        </w:rPr>
        <w:t>расчётный срок по</w:t>
      </w:r>
      <w:r>
        <w:rPr>
          <w:rFonts w:ascii="Times New Roman" w:hAnsi="Times New Roman"/>
          <w:color w:val="000000"/>
          <w:sz w:val="28"/>
          <w:szCs w:val="28"/>
        </w:rPr>
        <w:t> </w:t>
      </w:r>
      <w:r w:rsidRPr="00D95CB7">
        <w:rPr>
          <w:rFonts w:ascii="Times New Roman" w:hAnsi="Times New Roman"/>
          <w:color w:val="000000"/>
          <w:sz w:val="28"/>
          <w:szCs w:val="28"/>
        </w:rPr>
        <w:t>мере физического и</w:t>
      </w:r>
      <w:r>
        <w:rPr>
          <w:rFonts w:ascii="Times New Roman" w:hAnsi="Times New Roman"/>
          <w:color w:val="000000"/>
          <w:sz w:val="28"/>
          <w:szCs w:val="28"/>
        </w:rPr>
        <w:t> </w:t>
      </w:r>
      <w:r w:rsidRPr="00D95CB7">
        <w:rPr>
          <w:rFonts w:ascii="Times New Roman" w:hAnsi="Times New Roman"/>
          <w:color w:val="000000"/>
          <w:sz w:val="28"/>
          <w:szCs w:val="28"/>
        </w:rPr>
        <w:t>морального износа.</w:t>
      </w:r>
    </w:p>
    <w:p w:rsidR="002D1E45" w:rsidRPr="005D68DC" w:rsidRDefault="002D1E45" w:rsidP="00D95CB7">
      <w:pPr>
        <w:spacing w:after="0" w:line="240" w:lineRule="auto"/>
        <w:ind w:firstLine="709"/>
        <w:contextualSpacing/>
        <w:jc w:val="both"/>
        <w:rPr>
          <w:rFonts w:ascii="Times New Roman" w:hAnsi="Times New Roman"/>
          <w:color w:val="000000"/>
          <w:sz w:val="28"/>
          <w:szCs w:val="28"/>
        </w:rPr>
      </w:pPr>
      <w:r w:rsidRPr="00D95CB7">
        <w:rPr>
          <w:rFonts w:ascii="Times New Roman" w:hAnsi="Times New Roman"/>
          <w:color w:val="000000"/>
          <w:sz w:val="28"/>
          <w:szCs w:val="28"/>
        </w:rPr>
        <w:t>Для определения расчётных электрических нагрузок выполнен расчёт по</w:t>
      </w:r>
      <w:r>
        <w:rPr>
          <w:rFonts w:ascii="Times New Roman" w:hAnsi="Times New Roman"/>
          <w:color w:val="000000"/>
          <w:sz w:val="28"/>
          <w:szCs w:val="28"/>
        </w:rPr>
        <w:t> </w:t>
      </w:r>
      <w:r w:rsidRPr="00D95CB7">
        <w:rPr>
          <w:rFonts w:ascii="Times New Roman" w:hAnsi="Times New Roman"/>
          <w:color w:val="000000"/>
          <w:sz w:val="28"/>
          <w:szCs w:val="28"/>
        </w:rPr>
        <w:t>укрупнённым показателям в</w:t>
      </w:r>
      <w:r>
        <w:rPr>
          <w:rFonts w:ascii="Times New Roman" w:hAnsi="Times New Roman"/>
          <w:color w:val="000000"/>
          <w:sz w:val="28"/>
          <w:szCs w:val="28"/>
        </w:rPr>
        <w:t> </w:t>
      </w:r>
      <w:r w:rsidRPr="00D95CB7">
        <w:rPr>
          <w:rFonts w:ascii="Times New Roman" w:hAnsi="Times New Roman"/>
          <w:color w:val="000000"/>
          <w:sz w:val="28"/>
          <w:szCs w:val="28"/>
        </w:rPr>
        <w:t>соответствии с</w:t>
      </w:r>
      <w:r>
        <w:rPr>
          <w:rFonts w:ascii="Times New Roman" w:hAnsi="Times New Roman"/>
          <w:color w:val="000000"/>
          <w:sz w:val="28"/>
          <w:szCs w:val="28"/>
        </w:rPr>
        <w:t> </w:t>
      </w:r>
      <w:r w:rsidRPr="00D95CB7">
        <w:rPr>
          <w:rFonts w:ascii="Times New Roman" w:hAnsi="Times New Roman"/>
          <w:color w:val="000000"/>
          <w:sz w:val="28"/>
          <w:szCs w:val="28"/>
        </w:rPr>
        <w:t>СП 256.1325800.2016 Электроустановки жилых и</w:t>
      </w:r>
      <w:r>
        <w:rPr>
          <w:rFonts w:ascii="Times New Roman" w:hAnsi="Times New Roman"/>
          <w:color w:val="000000"/>
          <w:sz w:val="28"/>
          <w:szCs w:val="28"/>
        </w:rPr>
        <w:t> </w:t>
      </w:r>
      <w:r w:rsidRPr="00D95CB7">
        <w:rPr>
          <w:rFonts w:ascii="Times New Roman" w:hAnsi="Times New Roman"/>
          <w:color w:val="000000"/>
          <w:sz w:val="28"/>
          <w:szCs w:val="28"/>
        </w:rPr>
        <w:t>общественных зданий. Правила проектирования и</w:t>
      </w:r>
      <w:r>
        <w:rPr>
          <w:rFonts w:ascii="Times New Roman" w:hAnsi="Times New Roman"/>
          <w:color w:val="000000"/>
          <w:sz w:val="28"/>
          <w:szCs w:val="28"/>
        </w:rPr>
        <w:t> </w:t>
      </w:r>
      <w:r w:rsidRPr="00D95CB7">
        <w:rPr>
          <w:rFonts w:ascii="Times New Roman" w:hAnsi="Times New Roman"/>
          <w:color w:val="000000"/>
          <w:sz w:val="28"/>
          <w:szCs w:val="28"/>
        </w:rPr>
        <w:t xml:space="preserve">монтажа (с Изменениями </w:t>
      </w:r>
      <w:r>
        <w:rPr>
          <w:rFonts w:ascii="Times New Roman" w:hAnsi="Times New Roman"/>
          <w:color w:val="000000"/>
          <w:sz w:val="28"/>
          <w:szCs w:val="28"/>
        </w:rPr>
        <w:t>№</w:t>
      </w:r>
      <w:r w:rsidRPr="00D95CB7">
        <w:rPr>
          <w:rFonts w:ascii="Times New Roman" w:hAnsi="Times New Roman"/>
          <w:color w:val="000000"/>
          <w:sz w:val="28"/>
          <w:szCs w:val="28"/>
        </w:rPr>
        <w:t xml:space="preserve"> 1, 2). Расчёт выполнен без учёта нагрузки промышленных объектов.</w:t>
      </w:r>
      <w:r w:rsidRPr="005D68DC">
        <w:rPr>
          <w:rFonts w:ascii="Times New Roman" w:hAnsi="Times New Roman"/>
          <w:color w:val="000000"/>
          <w:sz w:val="28"/>
          <w:szCs w:val="28"/>
        </w:rPr>
        <w:t xml:space="preserve"> Для определения расчётных электрических нагрузок выполнен расчёт по</w:t>
      </w:r>
      <w:r>
        <w:rPr>
          <w:rFonts w:ascii="Times New Roman" w:hAnsi="Times New Roman"/>
          <w:color w:val="000000"/>
          <w:sz w:val="28"/>
          <w:szCs w:val="28"/>
        </w:rPr>
        <w:t> </w:t>
      </w:r>
      <w:r w:rsidRPr="005D68DC">
        <w:rPr>
          <w:rFonts w:ascii="Times New Roman" w:hAnsi="Times New Roman"/>
          <w:color w:val="000000"/>
          <w:sz w:val="28"/>
          <w:szCs w:val="28"/>
        </w:rPr>
        <w:t>укрупнённым показателям согласно РД 34.20.185-94 «Инструкция по</w:t>
      </w:r>
      <w:r>
        <w:rPr>
          <w:rFonts w:ascii="Times New Roman" w:hAnsi="Times New Roman"/>
          <w:color w:val="000000"/>
          <w:sz w:val="28"/>
          <w:szCs w:val="28"/>
        </w:rPr>
        <w:t> </w:t>
      </w:r>
      <w:r w:rsidRPr="005D68DC">
        <w:rPr>
          <w:rFonts w:ascii="Times New Roman" w:hAnsi="Times New Roman"/>
          <w:color w:val="000000"/>
          <w:sz w:val="28"/>
          <w:szCs w:val="28"/>
        </w:rPr>
        <w:t>проектированию городских электрических сетей». Расчёт выполнен без учёта нагрузки промышленных объектов.</w:t>
      </w:r>
    </w:p>
    <w:p w:rsidR="002D1E45" w:rsidRDefault="002D1E45" w:rsidP="005D68DC">
      <w:pPr>
        <w:spacing w:after="0" w:line="240" w:lineRule="auto"/>
        <w:ind w:firstLine="709"/>
        <w:contextualSpacing/>
        <w:jc w:val="both"/>
        <w:rPr>
          <w:rFonts w:ascii="Times New Roman" w:hAnsi="Times New Roman"/>
          <w:color w:val="000000"/>
          <w:sz w:val="28"/>
          <w:szCs w:val="28"/>
        </w:rPr>
      </w:pPr>
      <w:r w:rsidRPr="005D68DC">
        <w:rPr>
          <w:rFonts w:ascii="Times New Roman" w:hAnsi="Times New Roman"/>
          <w:color w:val="000000"/>
          <w:sz w:val="28"/>
          <w:szCs w:val="28"/>
        </w:rPr>
        <w:t>Расчёт суммарной электрической нагрузки на</w:t>
      </w:r>
      <w:r>
        <w:rPr>
          <w:rFonts w:ascii="Times New Roman" w:hAnsi="Times New Roman"/>
          <w:color w:val="000000"/>
          <w:sz w:val="28"/>
          <w:szCs w:val="28"/>
        </w:rPr>
        <w:t> </w:t>
      </w:r>
      <w:r w:rsidRPr="005D68DC">
        <w:rPr>
          <w:rFonts w:ascii="Times New Roman" w:hAnsi="Times New Roman"/>
          <w:color w:val="000000"/>
          <w:sz w:val="28"/>
          <w:szCs w:val="28"/>
        </w:rPr>
        <w:t>расчётный срок (20</w:t>
      </w:r>
      <w:r>
        <w:rPr>
          <w:rFonts w:ascii="Times New Roman" w:hAnsi="Times New Roman"/>
          <w:color w:val="000000"/>
          <w:sz w:val="28"/>
          <w:szCs w:val="28"/>
        </w:rPr>
        <w:t>40</w:t>
      </w:r>
      <w:r w:rsidRPr="005D68DC">
        <w:rPr>
          <w:rFonts w:ascii="Times New Roman" w:hAnsi="Times New Roman"/>
          <w:color w:val="000000"/>
          <w:sz w:val="28"/>
          <w:szCs w:val="28"/>
        </w:rPr>
        <w:t xml:space="preserve"> год) </w:t>
      </w:r>
      <w:r>
        <w:rPr>
          <w:rFonts w:ascii="Times New Roman" w:hAnsi="Times New Roman"/>
          <w:color w:val="000000"/>
          <w:sz w:val="28"/>
          <w:szCs w:val="28"/>
        </w:rPr>
        <w:t>с учётом МНГП</w:t>
      </w:r>
      <w:r w:rsidRPr="0055192F">
        <w:rPr>
          <w:rFonts w:ascii="Times New Roman" w:hAnsi="Times New Roman"/>
          <w:color w:val="000000"/>
          <w:sz w:val="28"/>
          <w:szCs w:val="28"/>
        </w:rPr>
        <w:t xml:space="preserve"> </w:t>
      </w:r>
      <w:r>
        <w:rPr>
          <w:rFonts w:ascii="Times New Roman" w:hAnsi="Times New Roman"/>
          <w:color w:val="000000"/>
          <w:sz w:val="28"/>
          <w:szCs w:val="28"/>
        </w:rPr>
        <w:t xml:space="preserve">г. Куйбышева, </w:t>
      </w:r>
      <w:r w:rsidRPr="005D68DC">
        <w:rPr>
          <w:rFonts w:ascii="Times New Roman" w:hAnsi="Times New Roman"/>
          <w:color w:val="000000"/>
          <w:sz w:val="28"/>
          <w:szCs w:val="28"/>
        </w:rPr>
        <w:t>приведён ниже (</w:t>
      </w:r>
      <w:r>
        <w:rPr>
          <w:rFonts w:ascii="Times New Roman" w:hAnsi="Times New Roman"/>
          <w:color w:val="000000"/>
          <w:sz w:val="28"/>
          <w:szCs w:val="28"/>
        </w:rPr>
        <w:t xml:space="preserve">таблица </w:t>
      </w:r>
      <w:r>
        <w:rPr>
          <w:rFonts w:ascii="Times New Roman" w:hAnsi="Times New Roman"/>
          <w:color w:val="000000"/>
          <w:sz w:val="28"/>
          <w:szCs w:val="28"/>
        </w:rPr>
        <w:fldChar w:fldCharType="begin"/>
      </w:r>
      <w:r>
        <w:rPr>
          <w:rFonts w:ascii="Times New Roman" w:hAnsi="Times New Roman"/>
          <w:color w:val="000000"/>
          <w:sz w:val="28"/>
          <w:szCs w:val="28"/>
        </w:rPr>
        <w:instrText xml:space="preserve"> REF Tbl_Electro \h </w:instrText>
      </w:r>
      <w:r w:rsidRPr="00E65328">
        <w:rPr>
          <w:rFonts w:ascii="Times New Roman" w:hAnsi="Times New Roman"/>
          <w:color w:val="000000"/>
          <w:sz w:val="28"/>
          <w:szCs w:val="28"/>
        </w:rPr>
      </w:r>
      <w:r>
        <w:rPr>
          <w:rFonts w:ascii="Times New Roman" w:hAnsi="Times New Roman"/>
          <w:color w:val="000000"/>
          <w:sz w:val="28"/>
          <w:szCs w:val="28"/>
        </w:rPr>
        <w:fldChar w:fldCharType="separate"/>
      </w:r>
      <w:r>
        <w:rPr>
          <w:rFonts w:ascii="Times New Roman" w:hAnsi="Times New Roman"/>
          <w:noProof/>
          <w:sz w:val="28"/>
          <w:szCs w:val="28"/>
        </w:rPr>
        <w:t>64</w:t>
      </w:r>
      <w:r>
        <w:rPr>
          <w:rFonts w:ascii="Times New Roman" w:hAnsi="Times New Roman"/>
          <w:color w:val="000000"/>
          <w:sz w:val="28"/>
          <w:szCs w:val="28"/>
        </w:rPr>
        <w:fldChar w:fldCharType="end"/>
      </w:r>
      <w:r w:rsidRPr="005D68DC">
        <w:rPr>
          <w:rFonts w:ascii="Times New Roman" w:hAnsi="Times New Roman"/>
          <w:color w:val="000000"/>
          <w:sz w:val="28"/>
          <w:szCs w:val="28"/>
        </w:rPr>
        <w:t>).</w:t>
      </w:r>
      <w:r w:rsidRPr="00F67AC2">
        <w:rPr>
          <w:rFonts w:ascii="Times New Roman" w:hAnsi="Times New Roman"/>
          <w:color w:val="000000"/>
          <w:sz w:val="28"/>
          <w:szCs w:val="28"/>
        </w:rPr>
        <w:t xml:space="preserve"> </w:t>
      </w:r>
      <w:r>
        <w:rPr>
          <w:rFonts w:ascii="Times New Roman" w:hAnsi="Times New Roman"/>
          <w:color w:val="000000"/>
          <w:sz w:val="28"/>
          <w:szCs w:val="28"/>
        </w:rPr>
        <w:t>Принят максимум – 192 кВт×ч на 1 человека в месяц</w:t>
      </w:r>
      <w:r w:rsidRPr="00F67AC2">
        <w:rPr>
          <w:rFonts w:ascii="Times New Roman" w:hAnsi="Times New Roman"/>
          <w:color w:val="000000"/>
          <w:sz w:val="28"/>
          <w:szCs w:val="28"/>
        </w:rPr>
        <w:t>, годовое число часов использования максимума электрической нагрузки – 5300</w:t>
      </w:r>
      <w:r>
        <w:rPr>
          <w:rFonts w:ascii="Times New Roman" w:hAnsi="Times New Roman"/>
          <w:color w:val="000000"/>
          <w:sz w:val="28"/>
          <w:szCs w:val="28"/>
        </w:rPr>
        <w:t>.</w:t>
      </w:r>
    </w:p>
    <w:p w:rsidR="002D1E45" w:rsidRPr="003A7901" w:rsidRDefault="002D1E45" w:rsidP="005D68DC">
      <w:pPr>
        <w:autoSpaceDE w:val="0"/>
        <w:autoSpaceDN w:val="0"/>
        <w:adjustRightInd w:val="0"/>
        <w:spacing w:after="0" w:line="240" w:lineRule="auto"/>
        <w:ind w:firstLine="709"/>
        <w:jc w:val="right"/>
        <w:rPr>
          <w:rFonts w:ascii="Times New Roman" w:hAnsi="Times New Roman"/>
          <w:sz w:val="28"/>
          <w:szCs w:val="28"/>
          <w:lang w:eastAsia="ru-RU"/>
        </w:rPr>
      </w:pPr>
      <w:r w:rsidRPr="003A7901">
        <w:rPr>
          <w:rFonts w:ascii="Times New Roman" w:hAnsi="Times New Roman"/>
          <w:sz w:val="28"/>
          <w:szCs w:val="28"/>
          <w:lang w:eastAsia="ru-RU"/>
        </w:rPr>
        <w:t xml:space="preserve">Таблица </w:t>
      </w:r>
      <w:bookmarkStart w:id="342" w:name="Tbl_Electro"/>
      <w:r w:rsidRPr="003A7901">
        <w:rPr>
          <w:rFonts w:ascii="Times New Roman" w:hAnsi="Times New Roman"/>
          <w:sz w:val="28"/>
          <w:szCs w:val="28"/>
        </w:rPr>
        <w:fldChar w:fldCharType="begin"/>
      </w:r>
      <w:r w:rsidRPr="003A7901">
        <w:rPr>
          <w:rFonts w:ascii="Times New Roman" w:hAnsi="Times New Roman"/>
          <w:sz w:val="28"/>
          <w:szCs w:val="28"/>
        </w:rPr>
        <w:instrText xml:space="preserve"> SEQ Таблица \* ARABIC </w:instrText>
      </w:r>
      <w:r w:rsidRPr="003A7901">
        <w:rPr>
          <w:rFonts w:ascii="Times New Roman" w:hAnsi="Times New Roman"/>
          <w:sz w:val="28"/>
          <w:szCs w:val="28"/>
        </w:rPr>
        <w:fldChar w:fldCharType="separate"/>
      </w:r>
      <w:r>
        <w:rPr>
          <w:rFonts w:ascii="Times New Roman" w:hAnsi="Times New Roman"/>
          <w:noProof/>
          <w:sz w:val="28"/>
          <w:szCs w:val="28"/>
        </w:rPr>
        <w:t>64</w:t>
      </w:r>
      <w:r w:rsidRPr="003A7901">
        <w:rPr>
          <w:rFonts w:ascii="Times New Roman" w:hAnsi="Times New Roman"/>
          <w:sz w:val="28"/>
          <w:szCs w:val="28"/>
        </w:rPr>
        <w:fldChar w:fldCharType="end"/>
      </w:r>
      <w:bookmarkEnd w:id="342"/>
    </w:p>
    <w:p w:rsidR="002D1E45" w:rsidRDefault="002D1E45" w:rsidP="005D68DC">
      <w:pPr>
        <w:spacing w:line="240" w:lineRule="auto"/>
        <w:jc w:val="center"/>
        <w:rPr>
          <w:rFonts w:ascii="Times New Roman" w:hAnsi="Times New Roman"/>
          <w:color w:val="000000"/>
          <w:sz w:val="28"/>
          <w:szCs w:val="28"/>
        </w:rPr>
      </w:pPr>
      <w:r w:rsidRPr="005D68DC">
        <w:rPr>
          <w:rFonts w:ascii="Times New Roman" w:hAnsi="Times New Roman"/>
          <w:color w:val="000000"/>
          <w:sz w:val="28"/>
          <w:szCs w:val="28"/>
        </w:rPr>
        <w:t xml:space="preserve">Расчёт суммарной электрической нагрузки </w:t>
      </w:r>
      <w:r>
        <w:rPr>
          <w:rFonts w:ascii="Times New Roman" w:hAnsi="Times New Roman"/>
          <w:color w:val="000000"/>
          <w:sz w:val="28"/>
          <w:szCs w:val="28"/>
        </w:rPr>
        <w:t>для коммунального сектора (население)</w:t>
      </w:r>
    </w:p>
    <w:tbl>
      <w:tblPr>
        <w:tblW w:w="10693" w:type="dxa"/>
        <w:jc w:val="center"/>
        <w:tblLayout w:type="fixed"/>
        <w:tblLook w:val="00A0"/>
      </w:tblPr>
      <w:tblGrid>
        <w:gridCol w:w="1980"/>
        <w:gridCol w:w="1452"/>
        <w:gridCol w:w="1452"/>
        <w:gridCol w:w="1452"/>
        <w:gridCol w:w="1452"/>
        <w:gridCol w:w="1452"/>
        <w:gridCol w:w="1453"/>
      </w:tblGrid>
      <w:tr w:rsidR="002D1E45" w:rsidRPr="00D95CB7" w:rsidTr="00F67AC2">
        <w:trPr>
          <w:trHeight w:val="170"/>
          <w:jc w:val="center"/>
        </w:trPr>
        <w:tc>
          <w:tcPr>
            <w:tcW w:w="1980" w:type="dxa"/>
            <w:vMerge w:val="restart"/>
            <w:tcBorders>
              <w:top w:val="single" w:sz="4" w:space="0" w:color="auto"/>
              <w:left w:val="single" w:sz="4" w:space="0" w:color="auto"/>
              <w:bottom w:val="single" w:sz="4" w:space="0" w:color="000000"/>
              <w:right w:val="single" w:sz="4" w:space="0" w:color="auto"/>
            </w:tcBorders>
            <w:vAlign w:val="center"/>
          </w:tcPr>
          <w:p w:rsidR="002D1E45" w:rsidRPr="00D95CB7" w:rsidRDefault="002D1E45" w:rsidP="00D95CB7">
            <w:pPr>
              <w:spacing w:after="0" w:line="240" w:lineRule="auto"/>
              <w:jc w:val="center"/>
              <w:rPr>
                <w:rFonts w:ascii="Times New Roman" w:hAnsi="Times New Roman"/>
                <w:color w:val="000000"/>
                <w:szCs w:val="24"/>
                <w:lang w:eastAsia="ru-RU"/>
              </w:rPr>
            </w:pPr>
            <w:r w:rsidRPr="00D95CB7">
              <w:rPr>
                <w:rFonts w:ascii="Times New Roman" w:hAnsi="Times New Roman"/>
                <w:color w:val="000000"/>
                <w:szCs w:val="24"/>
                <w:lang w:eastAsia="ru-RU"/>
              </w:rPr>
              <w:t>Населённый пункт</w:t>
            </w:r>
          </w:p>
        </w:tc>
        <w:tc>
          <w:tcPr>
            <w:tcW w:w="2904" w:type="dxa"/>
            <w:gridSpan w:val="2"/>
            <w:tcBorders>
              <w:top w:val="single" w:sz="4" w:space="0" w:color="auto"/>
              <w:left w:val="nil"/>
              <w:bottom w:val="single" w:sz="4" w:space="0" w:color="auto"/>
              <w:right w:val="single" w:sz="4" w:space="0" w:color="000000"/>
            </w:tcBorders>
            <w:vAlign w:val="center"/>
          </w:tcPr>
          <w:p w:rsidR="002D1E45" w:rsidRPr="00D95CB7" w:rsidRDefault="002D1E45" w:rsidP="00D95CB7">
            <w:pPr>
              <w:spacing w:after="0" w:line="240" w:lineRule="auto"/>
              <w:jc w:val="center"/>
              <w:rPr>
                <w:rFonts w:ascii="Times New Roman" w:hAnsi="Times New Roman"/>
                <w:color w:val="000000"/>
                <w:szCs w:val="24"/>
                <w:lang w:eastAsia="ru-RU"/>
              </w:rPr>
            </w:pPr>
            <w:r w:rsidRPr="00D95CB7">
              <w:rPr>
                <w:rFonts w:ascii="Times New Roman" w:hAnsi="Times New Roman"/>
                <w:color w:val="000000"/>
                <w:szCs w:val="24"/>
                <w:lang w:eastAsia="ru-RU"/>
              </w:rPr>
              <w:t>Население, человек</w:t>
            </w:r>
          </w:p>
        </w:tc>
        <w:tc>
          <w:tcPr>
            <w:tcW w:w="2904" w:type="dxa"/>
            <w:gridSpan w:val="2"/>
            <w:tcBorders>
              <w:top w:val="single" w:sz="4" w:space="0" w:color="auto"/>
              <w:left w:val="nil"/>
              <w:bottom w:val="single" w:sz="4" w:space="0" w:color="auto"/>
              <w:right w:val="single" w:sz="4" w:space="0" w:color="000000"/>
            </w:tcBorders>
            <w:vAlign w:val="center"/>
          </w:tcPr>
          <w:p w:rsidR="002D1E45" w:rsidRPr="00D95CB7" w:rsidRDefault="002D1E45" w:rsidP="00D95CB7">
            <w:pPr>
              <w:spacing w:after="0" w:line="240" w:lineRule="auto"/>
              <w:jc w:val="center"/>
              <w:rPr>
                <w:rFonts w:ascii="Times New Roman" w:hAnsi="Times New Roman"/>
                <w:color w:val="000000"/>
                <w:szCs w:val="24"/>
                <w:lang w:eastAsia="ru-RU"/>
              </w:rPr>
            </w:pPr>
            <w:r w:rsidRPr="00D95CB7">
              <w:rPr>
                <w:rFonts w:ascii="Times New Roman" w:hAnsi="Times New Roman"/>
                <w:color w:val="000000"/>
                <w:szCs w:val="24"/>
                <w:lang w:eastAsia="ru-RU"/>
              </w:rPr>
              <w:t>Расход электроэнергии, тыс. кВт/год</w:t>
            </w:r>
          </w:p>
        </w:tc>
        <w:tc>
          <w:tcPr>
            <w:tcW w:w="2905" w:type="dxa"/>
            <w:gridSpan w:val="2"/>
            <w:tcBorders>
              <w:top w:val="single" w:sz="4" w:space="0" w:color="auto"/>
              <w:left w:val="nil"/>
              <w:bottom w:val="single" w:sz="4" w:space="0" w:color="auto"/>
              <w:right w:val="single" w:sz="4" w:space="0" w:color="000000"/>
            </w:tcBorders>
            <w:vAlign w:val="center"/>
          </w:tcPr>
          <w:p w:rsidR="002D1E45" w:rsidRPr="00D95CB7" w:rsidRDefault="002D1E45" w:rsidP="00D95CB7">
            <w:pPr>
              <w:spacing w:after="0" w:line="240" w:lineRule="auto"/>
              <w:jc w:val="center"/>
              <w:rPr>
                <w:rFonts w:ascii="Times New Roman" w:hAnsi="Times New Roman"/>
                <w:color w:val="000000"/>
                <w:szCs w:val="24"/>
                <w:lang w:eastAsia="ru-RU"/>
              </w:rPr>
            </w:pPr>
            <w:r>
              <w:rPr>
                <w:rFonts w:ascii="Times New Roman" w:hAnsi="Times New Roman"/>
                <w:color w:val="000000"/>
                <w:szCs w:val="24"/>
                <w:lang w:eastAsia="ru-RU"/>
              </w:rPr>
              <w:t>М</w:t>
            </w:r>
            <w:r w:rsidRPr="00E360FF">
              <w:rPr>
                <w:rFonts w:ascii="Times New Roman" w:hAnsi="Times New Roman"/>
                <w:color w:val="000000"/>
                <w:szCs w:val="24"/>
                <w:lang w:eastAsia="ru-RU"/>
              </w:rPr>
              <w:t>аксимальная мощность</w:t>
            </w:r>
            <w:r w:rsidRPr="00D95CB7">
              <w:rPr>
                <w:rFonts w:ascii="Times New Roman" w:hAnsi="Times New Roman"/>
                <w:color w:val="000000"/>
                <w:szCs w:val="24"/>
                <w:lang w:eastAsia="ru-RU"/>
              </w:rPr>
              <w:t>, тыс. кВт</w:t>
            </w:r>
          </w:p>
        </w:tc>
      </w:tr>
      <w:tr w:rsidR="002D1E45" w:rsidRPr="00D95CB7" w:rsidTr="00F67AC2">
        <w:trPr>
          <w:trHeight w:val="170"/>
          <w:jc w:val="center"/>
        </w:trPr>
        <w:tc>
          <w:tcPr>
            <w:tcW w:w="1980" w:type="dxa"/>
            <w:vMerge/>
            <w:tcBorders>
              <w:top w:val="single" w:sz="4" w:space="0" w:color="auto"/>
              <w:left w:val="single" w:sz="4" w:space="0" w:color="auto"/>
              <w:bottom w:val="single" w:sz="4" w:space="0" w:color="000000"/>
              <w:right w:val="single" w:sz="4" w:space="0" w:color="auto"/>
            </w:tcBorders>
            <w:vAlign w:val="center"/>
          </w:tcPr>
          <w:p w:rsidR="002D1E45" w:rsidRPr="00D95CB7" w:rsidRDefault="002D1E45" w:rsidP="00D95CB7">
            <w:pPr>
              <w:spacing w:after="0" w:line="240" w:lineRule="auto"/>
              <w:rPr>
                <w:rFonts w:ascii="Times New Roman" w:hAnsi="Times New Roman"/>
                <w:color w:val="000000"/>
                <w:szCs w:val="24"/>
                <w:lang w:eastAsia="ru-RU"/>
              </w:rPr>
            </w:pPr>
          </w:p>
        </w:tc>
        <w:tc>
          <w:tcPr>
            <w:tcW w:w="1452" w:type="dxa"/>
            <w:tcBorders>
              <w:top w:val="nil"/>
              <w:left w:val="nil"/>
              <w:bottom w:val="single" w:sz="4" w:space="0" w:color="auto"/>
              <w:right w:val="single" w:sz="4" w:space="0" w:color="auto"/>
            </w:tcBorders>
            <w:vAlign w:val="center"/>
          </w:tcPr>
          <w:p w:rsidR="002D1E45" w:rsidRPr="00D95CB7" w:rsidRDefault="002D1E45" w:rsidP="00D95CB7">
            <w:pPr>
              <w:spacing w:after="0" w:line="240" w:lineRule="auto"/>
              <w:jc w:val="center"/>
              <w:rPr>
                <w:rFonts w:ascii="Times New Roman" w:hAnsi="Times New Roman"/>
                <w:color w:val="000000"/>
                <w:szCs w:val="24"/>
                <w:lang w:eastAsia="ru-RU"/>
              </w:rPr>
            </w:pPr>
            <w:r w:rsidRPr="00D95CB7">
              <w:rPr>
                <w:rFonts w:ascii="Times New Roman" w:hAnsi="Times New Roman"/>
                <w:color w:val="000000"/>
                <w:szCs w:val="24"/>
                <w:lang w:eastAsia="ru-RU"/>
              </w:rPr>
              <w:t>Первая очередь</w:t>
            </w:r>
          </w:p>
        </w:tc>
        <w:tc>
          <w:tcPr>
            <w:tcW w:w="1452" w:type="dxa"/>
            <w:tcBorders>
              <w:top w:val="nil"/>
              <w:left w:val="nil"/>
              <w:bottom w:val="single" w:sz="4" w:space="0" w:color="auto"/>
              <w:right w:val="single" w:sz="4" w:space="0" w:color="auto"/>
            </w:tcBorders>
            <w:vAlign w:val="center"/>
          </w:tcPr>
          <w:p w:rsidR="002D1E45" w:rsidRPr="00D95CB7" w:rsidRDefault="002D1E45" w:rsidP="00D95CB7">
            <w:pPr>
              <w:spacing w:after="0" w:line="240" w:lineRule="auto"/>
              <w:jc w:val="center"/>
              <w:rPr>
                <w:rFonts w:ascii="Times New Roman" w:hAnsi="Times New Roman"/>
                <w:color w:val="000000"/>
                <w:szCs w:val="24"/>
                <w:lang w:eastAsia="ru-RU"/>
              </w:rPr>
            </w:pPr>
            <w:r w:rsidRPr="00D95CB7">
              <w:rPr>
                <w:rFonts w:ascii="Times New Roman" w:hAnsi="Times New Roman"/>
                <w:color w:val="000000"/>
                <w:szCs w:val="24"/>
                <w:lang w:eastAsia="ru-RU"/>
              </w:rPr>
              <w:t>Расчётный срок</w:t>
            </w:r>
          </w:p>
        </w:tc>
        <w:tc>
          <w:tcPr>
            <w:tcW w:w="1452" w:type="dxa"/>
            <w:tcBorders>
              <w:top w:val="nil"/>
              <w:left w:val="nil"/>
              <w:bottom w:val="single" w:sz="4" w:space="0" w:color="auto"/>
              <w:right w:val="single" w:sz="4" w:space="0" w:color="auto"/>
            </w:tcBorders>
            <w:vAlign w:val="center"/>
          </w:tcPr>
          <w:p w:rsidR="002D1E45" w:rsidRPr="00D95CB7" w:rsidRDefault="002D1E45" w:rsidP="00D95CB7">
            <w:pPr>
              <w:spacing w:after="0" w:line="240" w:lineRule="auto"/>
              <w:jc w:val="center"/>
              <w:rPr>
                <w:rFonts w:ascii="Times New Roman" w:hAnsi="Times New Roman"/>
                <w:color w:val="000000"/>
                <w:szCs w:val="24"/>
                <w:lang w:eastAsia="ru-RU"/>
              </w:rPr>
            </w:pPr>
            <w:r w:rsidRPr="00D95CB7">
              <w:rPr>
                <w:rFonts w:ascii="Times New Roman" w:hAnsi="Times New Roman"/>
                <w:color w:val="000000"/>
                <w:szCs w:val="24"/>
                <w:lang w:eastAsia="ru-RU"/>
              </w:rPr>
              <w:t>Первая очередь</w:t>
            </w:r>
          </w:p>
        </w:tc>
        <w:tc>
          <w:tcPr>
            <w:tcW w:w="1452" w:type="dxa"/>
            <w:tcBorders>
              <w:top w:val="nil"/>
              <w:left w:val="nil"/>
              <w:bottom w:val="single" w:sz="4" w:space="0" w:color="auto"/>
              <w:right w:val="single" w:sz="4" w:space="0" w:color="auto"/>
            </w:tcBorders>
            <w:vAlign w:val="center"/>
          </w:tcPr>
          <w:p w:rsidR="002D1E45" w:rsidRPr="00D95CB7" w:rsidRDefault="002D1E45" w:rsidP="00D95CB7">
            <w:pPr>
              <w:spacing w:after="0" w:line="240" w:lineRule="auto"/>
              <w:jc w:val="center"/>
              <w:rPr>
                <w:rFonts w:ascii="Times New Roman" w:hAnsi="Times New Roman"/>
                <w:color w:val="000000"/>
                <w:szCs w:val="24"/>
                <w:lang w:eastAsia="ru-RU"/>
              </w:rPr>
            </w:pPr>
            <w:r w:rsidRPr="00D95CB7">
              <w:rPr>
                <w:rFonts w:ascii="Times New Roman" w:hAnsi="Times New Roman"/>
                <w:color w:val="000000"/>
                <w:szCs w:val="24"/>
                <w:lang w:eastAsia="ru-RU"/>
              </w:rPr>
              <w:t>Расчётный срок</w:t>
            </w:r>
          </w:p>
        </w:tc>
        <w:tc>
          <w:tcPr>
            <w:tcW w:w="1452" w:type="dxa"/>
            <w:tcBorders>
              <w:top w:val="nil"/>
              <w:left w:val="nil"/>
              <w:bottom w:val="single" w:sz="4" w:space="0" w:color="auto"/>
              <w:right w:val="single" w:sz="4" w:space="0" w:color="auto"/>
            </w:tcBorders>
            <w:vAlign w:val="center"/>
          </w:tcPr>
          <w:p w:rsidR="002D1E45" w:rsidRPr="00D95CB7" w:rsidRDefault="002D1E45" w:rsidP="00D95CB7">
            <w:pPr>
              <w:spacing w:after="0" w:line="240" w:lineRule="auto"/>
              <w:jc w:val="center"/>
              <w:rPr>
                <w:rFonts w:ascii="Times New Roman" w:hAnsi="Times New Roman"/>
                <w:color w:val="000000"/>
                <w:szCs w:val="24"/>
                <w:lang w:eastAsia="ru-RU"/>
              </w:rPr>
            </w:pPr>
            <w:r w:rsidRPr="00D95CB7">
              <w:rPr>
                <w:rFonts w:ascii="Times New Roman" w:hAnsi="Times New Roman"/>
                <w:color w:val="000000"/>
                <w:szCs w:val="24"/>
                <w:lang w:eastAsia="ru-RU"/>
              </w:rPr>
              <w:t>Первая очередь</w:t>
            </w:r>
          </w:p>
        </w:tc>
        <w:tc>
          <w:tcPr>
            <w:tcW w:w="1453" w:type="dxa"/>
            <w:tcBorders>
              <w:top w:val="nil"/>
              <w:left w:val="nil"/>
              <w:bottom w:val="single" w:sz="4" w:space="0" w:color="auto"/>
              <w:right w:val="single" w:sz="4" w:space="0" w:color="auto"/>
            </w:tcBorders>
            <w:vAlign w:val="center"/>
          </w:tcPr>
          <w:p w:rsidR="002D1E45" w:rsidRPr="00D95CB7" w:rsidRDefault="002D1E45" w:rsidP="00D95CB7">
            <w:pPr>
              <w:spacing w:after="0" w:line="240" w:lineRule="auto"/>
              <w:jc w:val="center"/>
              <w:rPr>
                <w:rFonts w:ascii="Times New Roman" w:hAnsi="Times New Roman"/>
                <w:color w:val="000000"/>
                <w:szCs w:val="24"/>
                <w:lang w:eastAsia="ru-RU"/>
              </w:rPr>
            </w:pPr>
            <w:r w:rsidRPr="00D95CB7">
              <w:rPr>
                <w:rFonts w:ascii="Times New Roman" w:hAnsi="Times New Roman"/>
                <w:color w:val="000000"/>
                <w:szCs w:val="24"/>
                <w:lang w:eastAsia="ru-RU"/>
              </w:rPr>
              <w:t>Расчётный срок</w:t>
            </w:r>
          </w:p>
        </w:tc>
      </w:tr>
      <w:tr w:rsidR="002D1E45" w:rsidRPr="00D95CB7" w:rsidTr="00F67AC2">
        <w:trPr>
          <w:trHeight w:val="170"/>
          <w:jc w:val="center"/>
        </w:trPr>
        <w:tc>
          <w:tcPr>
            <w:tcW w:w="1980" w:type="dxa"/>
            <w:vMerge/>
            <w:tcBorders>
              <w:top w:val="single" w:sz="4" w:space="0" w:color="auto"/>
              <w:left w:val="single" w:sz="4" w:space="0" w:color="auto"/>
              <w:bottom w:val="single" w:sz="4" w:space="0" w:color="000000"/>
              <w:right w:val="single" w:sz="4" w:space="0" w:color="auto"/>
            </w:tcBorders>
            <w:vAlign w:val="center"/>
          </w:tcPr>
          <w:p w:rsidR="002D1E45" w:rsidRPr="00D95CB7" w:rsidRDefault="002D1E45" w:rsidP="00C967C7">
            <w:pPr>
              <w:spacing w:after="0" w:line="240" w:lineRule="auto"/>
              <w:rPr>
                <w:rFonts w:ascii="Times New Roman" w:hAnsi="Times New Roman"/>
                <w:color w:val="000000"/>
                <w:szCs w:val="24"/>
                <w:lang w:eastAsia="ru-RU"/>
              </w:rPr>
            </w:pPr>
          </w:p>
        </w:tc>
        <w:tc>
          <w:tcPr>
            <w:tcW w:w="1452" w:type="dxa"/>
            <w:tcBorders>
              <w:top w:val="nil"/>
              <w:left w:val="nil"/>
              <w:bottom w:val="single" w:sz="4" w:space="0" w:color="auto"/>
              <w:right w:val="single" w:sz="4" w:space="0" w:color="auto"/>
            </w:tcBorders>
            <w:vAlign w:val="center"/>
          </w:tcPr>
          <w:p w:rsidR="002D1E45" w:rsidRPr="00D95CB7" w:rsidRDefault="002D1E45" w:rsidP="00C967C7">
            <w:pPr>
              <w:spacing w:after="0" w:line="240" w:lineRule="auto"/>
              <w:jc w:val="center"/>
              <w:rPr>
                <w:rFonts w:ascii="Times New Roman" w:hAnsi="Times New Roman"/>
                <w:color w:val="000000"/>
                <w:szCs w:val="24"/>
                <w:lang w:eastAsia="ru-RU"/>
              </w:rPr>
            </w:pPr>
            <w:r w:rsidRPr="00D95CB7">
              <w:rPr>
                <w:rFonts w:ascii="Times New Roman" w:hAnsi="Times New Roman"/>
                <w:color w:val="000000"/>
                <w:szCs w:val="24"/>
                <w:lang w:eastAsia="ru-RU"/>
              </w:rPr>
              <w:t>20</w:t>
            </w:r>
            <w:r>
              <w:rPr>
                <w:rFonts w:ascii="Times New Roman" w:hAnsi="Times New Roman"/>
                <w:color w:val="000000"/>
                <w:szCs w:val="24"/>
                <w:lang w:eastAsia="ru-RU"/>
              </w:rPr>
              <w:t>30</w:t>
            </w:r>
            <w:r w:rsidRPr="00D95CB7">
              <w:rPr>
                <w:rFonts w:ascii="Times New Roman" w:hAnsi="Times New Roman"/>
                <w:color w:val="000000"/>
                <w:szCs w:val="24"/>
                <w:lang w:eastAsia="ru-RU"/>
              </w:rPr>
              <w:t xml:space="preserve"> г.</w:t>
            </w:r>
          </w:p>
        </w:tc>
        <w:tc>
          <w:tcPr>
            <w:tcW w:w="1452" w:type="dxa"/>
            <w:tcBorders>
              <w:top w:val="nil"/>
              <w:left w:val="nil"/>
              <w:bottom w:val="single" w:sz="4" w:space="0" w:color="auto"/>
              <w:right w:val="single" w:sz="4" w:space="0" w:color="auto"/>
            </w:tcBorders>
            <w:vAlign w:val="center"/>
          </w:tcPr>
          <w:p w:rsidR="002D1E45" w:rsidRPr="00D95CB7" w:rsidRDefault="002D1E45" w:rsidP="00C967C7">
            <w:pPr>
              <w:spacing w:after="0" w:line="240" w:lineRule="auto"/>
              <w:jc w:val="center"/>
              <w:rPr>
                <w:rFonts w:ascii="Times New Roman" w:hAnsi="Times New Roman"/>
                <w:color w:val="000000"/>
                <w:szCs w:val="24"/>
                <w:lang w:eastAsia="ru-RU"/>
              </w:rPr>
            </w:pPr>
            <w:r w:rsidRPr="00D95CB7">
              <w:rPr>
                <w:rFonts w:ascii="Times New Roman" w:hAnsi="Times New Roman"/>
                <w:color w:val="000000"/>
                <w:szCs w:val="24"/>
                <w:lang w:eastAsia="ru-RU"/>
              </w:rPr>
              <w:t>20</w:t>
            </w:r>
            <w:r>
              <w:rPr>
                <w:rFonts w:ascii="Times New Roman" w:hAnsi="Times New Roman"/>
                <w:color w:val="000000"/>
                <w:szCs w:val="24"/>
                <w:lang w:eastAsia="ru-RU"/>
              </w:rPr>
              <w:t>40</w:t>
            </w:r>
            <w:r w:rsidRPr="00D95CB7">
              <w:rPr>
                <w:rFonts w:ascii="Times New Roman" w:hAnsi="Times New Roman"/>
                <w:color w:val="000000"/>
                <w:szCs w:val="24"/>
                <w:lang w:eastAsia="ru-RU"/>
              </w:rPr>
              <w:t xml:space="preserve"> г.</w:t>
            </w:r>
          </w:p>
        </w:tc>
        <w:tc>
          <w:tcPr>
            <w:tcW w:w="1452" w:type="dxa"/>
            <w:tcBorders>
              <w:top w:val="nil"/>
              <w:left w:val="nil"/>
              <w:bottom w:val="single" w:sz="4" w:space="0" w:color="auto"/>
              <w:right w:val="single" w:sz="4" w:space="0" w:color="auto"/>
            </w:tcBorders>
            <w:vAlign w:val="center"/>
          </w:tcPr>
          <w:p w:rsidR="002D1E45" w:rsidRPr="00D95CB7" w:rsidRDefault="002D1E45" w:rsidP="00C967C7">
            <w:pPr>
              <w:spacing w:after="0" w:line="240" w:lineRule="auto"/>
              <w:jc w:val="center"/>
              <w:rPr>
                <w:rFonts w:ascii="Times New Roman" w:hAnsi="Times New Roman"/>
                <w:color w:val="000000"/>
                <w:szCs w:val="24"/>
                <w:lang w:eastAsia="ru-RU"/>
              </w:rPr>
            </w:pPr>
            <w:r w:rsidRPr="00D95CB7">
              <w:rPr>
                <w:rFonts w:ascii="Times New Roman" w:hAnsi="Times New Roman"/>
                <w:color w:val="000000"/>
                <w:szCs w:val="24"/>
                <w:lang w:eastAsia="ru-RU"/>
              </w:rPr>
              <w:t>20</w:t>
            </w:r>
            <w:r>
              <w:rPr>
                <w:rFonts w:ascii="Times New Roman" w:hAnsi="Times New Roman"/>
                <w:color w:val="000000"/>
                <w:szCs w:val="24"/>
                <w:lang w:eastAsia="ru-RU"/>
              </w:rPr>
              <w:t>30</w:t>
            </w:r>
            <w:r w:rsidRPr="00D95CB7">
              <w:rPr>
                <w:rFonts w:ascii="Times New Roman" w:hAnsi="Times New Roman"/>
                <w:color w:val="000000"/>
                <w:szCs w:val="24"/>
                <w:lang w:eastAsia="ru-RU"/>
              </w:rPr>
              <w:t xml:space="preserve"> г.</w:t>
            </w:r>
          </w:p>
        </w:tc>
        <w:tc>
          <w:tcPr>
            <w:tcW w:w="1452" w:type="dxa"/>
            <w:tcBorders>
              <w:top w:val="nil"/>
              <w:left w:val="nil"/>
              <w:bottom w:val="single" w:sz="4" w:space="0" w:color="auto"/>
              <w:right w:val="single" w:sz="4" w:space="0" w:color="auto"/>
            </w:tcBorders>
            <w:vAlign w:val="center"/>
          </w:tcPr>
          <w:p w:rsidR="002D1E45" w:rsidRPr="00D95CB7" w:rsidRDefault="002D1E45" w:rsidP="00C967C7">
            <w:pPr>
              <w:spacing w:after="0" w:line="240" w:lineRule="auto"/>
              <w:jc w:val="center"/>
              <w:rPr>
                <w:rFonts w:ascii="Times New Roman" w:hAnsi="Times New Roman"/>
                <w:color w:val="000000"/>
                <w:szCs w:val="24"/>
                <w:lang w:eastAsia="ru-RU"/>
              </w:rPr>
            </w:pPr>
            <w:r w:rsidRPr="00D95CB7">
              <w:rPr>
                <w:rFonts w:ascii="Times New Roman" w:hAnsi="Times New Roman"/>
                <w:color w:val="000000"/>
                <w:szCs w:val="24"/>
                <w:lang w:eastAsia="ru-RU"/>
              </w:rPr>
              <w:t>20</w:t>
            </w:r>
            <w:r>
              <w:rPr>
                <w:rFonts w:ascii="Times New Roman" w:hAnsi="Times New Roman"/>
                <w:color w:val="000000"/>
                <w:szCs w:val="24"/>
                <w:lang w:eastAsia="ru-RU"/>
              </w:rPr>
              <w:t>40</w:t>
            </w:r>
            <w:r w:rsidRPr="00D95CB7">
              <w:rPr>
                <w:rFonts w:ascii="Times New Roman" w:hAnsi="Times New Roman"/>
                <w:color w:val="000000"/>
                <w:szCs w:val="24"/>
                <w:lang w:eastAsia="ru-RU"/>
              </w:rPr>
              <w:t xml:space="preserve"> г.</w:t>
            </w:r>
          </w:p>
        </w:tc>
        <w:tc>
          <w:tcPr>
            <w:tcW w:w="1452" w:type="dxa"/>
            <w:tcBorders>
              <w:top w:val="nil"/>
              <w:left w:val="nil"/>
              <w:bottom w:val="single" w:sz="4" w:space="0" w:color="auto"/>
              <w:right w:val="single" w:sz="4" w:space="0" w:color="auto"/>
            </w:tcBorders>
            <w:vAlign w:val="center"/>
          </w:tcPr>
          <w:p w:rsidR="002D1E45" w:rsidRPr="00D95CB7" w:rsidRDefault="002D1E45" w:rsidP="00C967C7">
            <w:pPr>
              <w:spacing w:after="0" w:line="240" w:lineRule="auto"/>
              <w:jc w:val="center"/>
              <w:rPr>
                <w:rFonts w:ascii="Times New Roman" w:hAnsi="Times New Roman"/>
                <w:color w:val="000000"/>
                <w:szCs w:val="24"/>
                <w:lang w:eastAsia="ru-RU"/>
              </w:rPr>
            </w:pPr>
            <w:r w:rsidRPr="00D95CB7">
              <w:rPr>
                <w:rFonts w:ascii="Times New Roman" w:hAnsi="Times New Roman"/>
                <w:color w:val="000000"/>
                <w:szCs w:val="24"/>
                <w:lang w:eastAsia="ru-RU"/>
              </w:rPr>
              <w:t>20</w:t>
            </w:r>
            <w:r>
              <w:rPr>
                <w:rFonts w:ascii="Times New Roman" w:hAnsi="Times New Roman"/>
                <w:color w:val="000000"/>
                <w:szCs w:val="24"/>
                <w:lang w:eastAsia="ru-RU"/>
              </w:rPr>
              <w:t>30</w:t>
            </w:r>
            <w:r w:rsidRPr="00D95CB7">
              <w:rPr>
                <w:rFonts w:ascii="Times New Roman" w:hAnsi="Times New Roman"/>
                <w:color w:val="000000"/>
                <w:szCs w:val="24"/>
                <w:lang w:eastAsia="ru-RU"/>
              </w:rPr>
              <w:t xml:space="preserve"> г.</w:t>
            </w:r>
          </w:p>
        </w:tc>
        <w:tc>
          <w:tcPr>
            <w:tcW w:w="1453" w:type="dxa"/>
            <w:tcBorders>
              <w:top w:val="nil"/>
              <w:left w:val="nil"/>
              <w:bottom w:val="single" w:sz="4" w:space="0" w:color="auto"/>
              <w:right w:val="single" w:sz="4" w:space="0" w:color="auto"/>
            </w:tcBorders>
            <w:vAlign w:val="center"/>
          </w:tcPr>
          <w:p w:rsidR="002D1E45" w:rsidRPr="00D95CB7" w:rsidRDefault="002D1E45" w:rsidP="00C967C7">
            <w:pPr>
              <w:spacing w:after="0" w:line="240" w:lineRule="auto"/>
              <w:jc w:val="center"/>
              <w:rPr>
                <w:rFonts w:ascii="Times New Roman" w:hAnsi="Times New Roman"/>
                <w:color w:val="000000"/>
                <w:szCs w:val="24"/>
                <w:lang w:eastAsia="ru-RU"/>
              </w:rPr>
            </w:pPr>
            <w:r w:rsidRPr="00D95CB7">
              <w:rPr>
                <w:rFonts w:ascii="Times New Roman" w:hAnsi="Times New Roman"/>
                <w:color w:val="000000"/>
                <w:szCs w:val="24"/>
                <w:lang w:eastAsia="ru-RU"/>
              </w:rPr>
              <w:t>20</w:t>
            </w:r>
            <w:r>
              <w:rPr>
                <w:rFonts w:ascii="Times New Roman" w:hAnsi="Times New Roman"/>
                <w:color w:val="000000"/>
                <w:szCs w:val="24"/>
                <w:lang w:eastAsia="ru-RU"/>
              </w:rPr>
              <w:t>40</w:t>
            </w:r>
            <w:r w:rsidRPr="00D95CB7">
              <w:rPr>
                <w:rFonts w:ascii="Times New Roman" w:hAnsi="Times New Roman"/>
                <w:color w:val="000000"/>
                <w:szCs w:val="24"/>
                <w:lang w:eastAsia="ru-RU"/>
              </w:rPr>
              <w:t xml:space="preserve"> г.</w:t>
            </w:r>
          </w:p>
        </w:tc>
      </w:tr>
      <w:tr w:rsidR="002D1E45" w:rsidRPr="00D95CB7" w:rsidTr="0058793B">
        <w:trPr>
          <w:trHeight w:val="170"/>
          <w:jc w:val="center"/>
        </w:trPr>
        <w:tc>
          <w:tcPr>
            <w:tcW w:w="1980" w:type="dxa"/>
            <w:tcBorders>
              <w:top w:val="nil"/>
              <w:left w:val="single" w:sz="4" w:space="0" w:color="auto"/>
              <w:bottom w:val="single" w:sz="4" w:space="0" w:color="auto"/>
              <w:right w:val="single" w:sz="4" w:space="0" w:color="auto"/>
            </w:tcBorders>
          </w:tcPr>
          <w:p w:rsidR="002D1E45" w:rsidRPr="00D95CB7" w:rsidRDefault="002D1E45" w:rsidP="005D0682">
            <w:pPr>
              <w:spacing w:after="0" w:line="240" w:lineRule="auto"/>
              <w:rPr>
                <w:rFonts w:ascii="Times New Roman" w:hAnsi="Times New Roman"/>
                <w:color w:val="000000"/>
                <w:szCs w:val="24"/>
                <w:lang w:eastAsia="ru-RU"/>
              </w:rPr>
            </w:pPr>
            <w:r>
              <w:rPr>
                <w:rFonts w:ascii="Times New Roman" w:hAnsi="Times New Roman"/>
                <w:color w:val="000000"/>
                <w:szCs w:val="24"/>
                <w:lang w:eastAsia="ru-RU"/>
              </w:rPr>
              <w:t>г. Куйбышев</w:t>
            </w:r>
          </w:p>
        </w:tc>
        <w:tc>
          <w:tcPr>
            <w:tcW w:w="1452" w:type="dxa"/>
            <w:tcBorders>
              <w:top w:val="nil"/>
              <w:left w:val="nil"/>
              <w:bottom w:val="single" w:sz="4" w:space="0" w:color="auto"/>
              <w:right w:val="single" w:sz="4" w:space="0" w:color="auto"/>
            </w:tcBorders>
          </w:tcPr>
          <w:p w:rsidR="002D1E45" w:rsidRPr="00D95CB7" w:rsidRDefault="002D1E45" w:rsidP="005D0682">
            <w:pPr>
              <w:spacing w:after="0" w:line="240" w:lineRule="auto"/>
              <w:jc w:val="center"/>
              <w:rPr>
                <w:rFonts w:ascii="Times New Roman" w:hAnsi="Times New Roman"/>
                <w:color w:val="000000"/>
                <w:szCs w:val="24"/>
                <w:lang w:eastAsia="ru-RU"/>
              </w:rPr>
            </w:pPr>
            <w:r w:rsidRPr="005D0682">
              <w:rPr>
                <w:rFonts w:ascii="Times New Roman" w:hAnsi="Times New Roman"/>
                <w:color w:val="000000"/>
                <w:szCs w:val="24"/>
                <w:lang w:eastAsia="ru-RU"/>
              </w:rPr>
              <w:t>41 250</w:t>
            </w:r>
          </w:p>
        </w:tc>
        <w:tc>
          <w:tcPr>
            <w:tcW w:w="1452" w:type="dxa"/>
            <w:tcBorders>
              <w:top w:val="nil"/>
              <w:left w:val="nil"/>
              <w:bottom w:val="single" w:sz="4" w:space="0" w:color="auto"/>
              <w:right w:val="single" w:sz="4" w:space="0" w:color="auto"/>
            </w:tcBorders>
          </w:tcPr>
          <w:p w:rsidR="002D1E45" w:rsidRPr="00D95CB7" w:rsidRDefault="002D1E45" w:rsidP="005D0682">
            <w:pPr>
              <w:spacing w:after="0" w:line="240" w:lineRule="auto"/>
              <w:jc w:val="center"/>
              <w:rPr>
                <w:rFonts w:ascii="Times New Roman" w:hAnsi="Times New Roman"/>
                <w:color w:val="000000"/>
                <w:szCs w:val="24"/>
                <w:lang w:eastAsia="ru-RU"/>
              </w:rPr>
            </w:pPr>
            <w:r w:rsidRPr="005D0682">
              <w:rPr>
                <w:rFonts w:ascii="Times New Roman" w:hAnsi="Times New Roman"/>
                <w:color w:val="000000"/>
                <w:szCs w:val="24"/>
                <w:lang w:eastAsia="ru-RU"/>
              </w:rPr>
              <w:t>38 950</w:t>
            </w:r>
          </w:p>
        </w:tc>
        <w:tc>
          <w:tcPr>
            <w:tcW w:w="1452" w:type="dxa"/>
            <w:tcBorders>
              <w:top w:val="nil"/>
              <w:left w:val="nil"/>
              <w:bottom w:val="single" w:sz="4" w:space="0" w:color="auto"/>
              <w:right w:val="single" w:sz="4" w:space="0" w:color="auto"/>
            </w:tcBorders>
          </w:tcPr>
          <w:p w:rsidR="002D1E45" w:rsidRPr="00D95CB7" w:rsidRDefault="002D1E45" w:rsidP="005D0682">
            <w:pPr>
              <w:spacing w:after="0" w:line="240" w:lineRule="auto"/>
              <w:jc w:val="center"/>
              <w:rPr>
                <w:rFonts w:ascii="Times New Roman" w:hAnsi="Times New Roman"/>
                <w:color w:val="000000"/>
                <w:szCs w:val="24"/>
                <w:lang w:eastAsia="ru-RU"/>
              </w:rPr>
            </w:pPr>
            <w:r w:rsidRPr="005D0682">
              <w:rPr>
                <w:rFonts w:ascii="Times New Roman" w:hAnsi="Times New Roman"/>
                <w:color w:val="000000"/>
                <w:szCs w:val="24"/>
                <w:lang w:eastAsia="ru-RU"/>
              </w:rPr>
              <w:t>95</w:t>
            </w:r>
            <w:r>
              <w:rPr>
                <w:rFonts w:ascii="Times New Roman" w:hAnsi="Times New Roman"/>
                <w:color w:val="000000"/>
                <w:szCs w:val="24"/>
                <w:lang w:eastAsia="ru-RU"/>
              </w:rPr>
              <w:t> </w:t>
            </w:r>
            <w:r w:rsidRPr="005D0682">
              <w:rPr>
                <w:rFonts w:ascii="Times New Roman" w:hAnsi="Times New Roman"/>
                <w:color w:val="000000"/>
                <w:szCs w:val="24"/>
                <w:lang w:eastAsia="ru-RU"/>
              </w:rPr>
              <w:t>040</w:t>
            </w:r>
          </w:p>
        </w:tc>
        <w:tc>
          <w:tcPr>
            <w:tcW w:w="1452" w:type="dxa"/>
            <w:tcBorders>
              <w:top w:val="nil"/>
              <w:left w:val="nil"/>
              <w:bottom w:val="single" w:sz="4" w:space="0" w:color="auto"/>
              <w:right w:val="single" w:sz="4" w:space="0" w:color="auto"/>
            </w:tcBorders>
          </w:tcPr>
          <w:p w:rsidR="002D1E45" w:rsidRPr="00D95CB7" w:rsidRDefault="002D1E45" w:rsidP="005D0682">
            <w:pPr>
              <w:spacing w:after="0" w:line="240" w:lineRule="auto"/>
              <w:jc w:val="center"/>
              <w:rPr>
                <w:rFonts w:ascii="Times New Roman" w:hAnsi="Times New Roman"/>
                <w:color w:val="000000"/>
                <w:szCs w:val="24"/>
                <w:lang w:eastAsia="ru-RU"/>
              </w:rPr>
            </w:pPr>
            <w:r w:rsidRPr="005D0682">
              <w:rPr>
                <w:rFonts w:ascii="Times New Roman" w:hAnsi="Times New Roman"/>
                <w:color w:val="000000"/>
                <w:szCs w:val="24"/>
                <w:lang w:eastAsia="ru-RU"/>
              </w:rPr>
              <w:t>89</w:t>
            </w:r>
            <w:r>
              <w:rPr>
                <w:rFonts w:ascii="Times New Roman" w:hAnsi="Times New Roman"/>
                <w:color w:val="000000"/>
                <w:szCs w:val="24"/>
                <w:lang w:eastAsia="ru-RU"/>
              </w:rPr>
              <w:t> </w:t>
            </w:r>
            <w:r w:rsidRPr="005D0682">
              <w:rPr>
                <w:rFonts w:ascii="Times New Roman" w:hAnsi="Times New Roman"/>
                <w:color w:val="000000"/>
                <w:szCs w:val="24"/>
                <w:lang w:eastAsia="ru-RU"/>
              </w:rPr>
              <w:t>741</w:t>
            </w:r>
          </w:p>
        </w:tc>
        <w:tc>
          <w:tcPr>
            <w:tcW w:w="1452" w:type="dxa"/>
            <w:tcBorders>
              <w:top w:val="nil"/>
              <w:left w:val="nil"/>
              <w:bottom w:val="single" w:sz="4" w:space="0" w:color="auto"/>
              <w:right w:val="single" w:sz="4" w:space="0" w:color="auto"/>
            </w:tcBorders>
          </w:tcPr>
          <w:p w:rsidR="002D1E45" w:rsidRPr="00D95CB7" w:rsidRDefault="002D1E45" w:rsidP="005D0682">
            <w:pPr>
              <w:spacing w:after="0" w:line="240" w:lineRule="auto"/>
              <w:jc w:val="center"/>
              <w:rPr>
                <w:rFonts w:ascii="Times New Roman" w:hAnsi="Times New Roman"/>
                <w:color w:val="000000"/>
                <w:szCs w:val="24"/>
                <w:lang w:eastAsia="ru-RU"/>
              </w:rPr>
            </w:pPr>
            <w:r w:rsidRPr="005D0682">
              <w:rPr>
                <w:rFonts w:ascii="Times New Roman" w:hAnsi="Times New Roman"/>
                <w:color w:val="000000"/>
                <w:szCs w:val="24"/>
                <w:lang w:eastAsia="ru-RU"/>
              </w:rPr>
              <w:t>17</w:t>
            </w:r>
            <w:r>
              <w:rPr>
                <w:rFonts w:ascii="Times New Roman" w:hAnsi="Times New Roman"/>
                <w:color w:val="000000"/>
                <w:szCs w:val="24"/>
                <w:lang w:eastAsia="ru-RU"/>
              </w:rPr>
              <w:t> </w:t>
            </w:r>
            <w:r w:rsidRPr="005D0682">
              <w:rPr>
                <w:rFonts w:ascii="Times New Roman" w:hAnsi="Times New Roman"/>
                <w:color w:val="000000"/>
                <w:szCs w:val="24"/>
                <w:lang w:eastAsia="ru-RU"/>
              </w:rPr>
              <w:t>932,1</w:t>
            </w:r>
          </w:p>
        </w:tc>
        <w:tc>
          <w:tcPr>
            <w:tcW w:w="1453" w:type="dxa"/>
            <w:tcBorders>
              <w:top w:val="nil"/>
              <w:left w:val="nil"/>
              <w:bottom w:val="single" w:sz="4" w:space="0" w:color="auto"/>
              <w:right w:val="single" w:sz="4" w:space="0" w:color="auto"/>
            </w:tcBorders>
          </w:tcPr>
          <w:p w:rsidR="002D1E45" w:rsidRPr="00D95CB7" w:rsidRDefault="002D1E45" w:rsidP="005D0682">
            <w:pPr>
              <w:spacing w:after="0" w:line="240" w:lineRule="auto"/>
              <w:jc w:val="center"/>
              <w:rPr>
                <w:rFonts w:ascii="Times New Roman" w:hAnsi="Times New Roman"/>
                <w:color w:val="000000"/>
                <w:szCs w:val="24"/>
                <w:lang w:eastAsia="ru-RU"/>
              </w:rPr>
            </w:pPr>
            <w:r w:rsidRPr="005D0682">
              <w:rPr>
                <w:rFonts w:ascii="Times New Roman" w:hAnsi="Times New Roman"/>
                <w:color w:val="000000"/>
                <w:szCs w:val="24"/>
                <w:lang w:eastAsia="ru-RU"/>
              </w:rPr>
              <w:t>16</w:t>
            </w:r>
            <w:r>
              <w:rPr>
                <w:rFonts w:ascii="Times New Roman" w:hAnsi="Times New Roman"/>
                <w:color w:val="000000"/>
                <w:szCs w:val="24"/>
                <w:lang w:eastAsia="ru-RU"/>
              </w:rPr>
              <w:t> </w:t>
            </w:r>
            <w:r w:rsidRPr="005D0682">
              <w:rPr>
                <w:rFonts w:ascii="Times New Roman" w:hAnsi="Times New Roman"/>
                <w:color w:val="000000"/>
                <w:szCs w:val="24"/>
                <w:lang w:eastAsia="ru-RU"/>
              </w:rPr>
              <w:t>932,2</w:t>
            </w:r>
          </w:p>
        </w:tc>
      </w:tr>
    </w:tbl>
    <w:p w:rsidR="002D1E45" w:rsidRDefault="002D1E45" w:rsidP="00ED6DFA">
      <w:pPr>
        <w:spacing w:after="0" w:line="240" w:lineRule="auto"/>
        <w:ind w:firstLine="709"/>
        <w:jc w:val="both"/>
        <w:rPr>
          <w:rFonts w:ascii="Times New Roman" w:hAnsi="Times New Roman"/>
          <w:sz w:val="28"/>
          <w:szCs w:val="28"/>
        </w:rPr>
      </w:pPr>
    </w:p>
    <w:p w:rsidR="002D1E45" w:rsidRDefault="002D1E45" w:rsidP="003C2EE3">
      <w:pPr>
        <w:spacing w:after="0" w:line="240" w:lineRule="auto"/>
        <w:ind w:firstLine="709"/>
        <w:contextualSpacing/>
        <w:jc w:val="both"/>
        <w:rPr>
          <w:rFonts w:ascii="Times New Roman" w:hAnsi="Times New Roman"/>
          <w:sz w:val="28"/>
          <w:szCs w:val="24"/>
          <w:lang w:eastAsia="ru-RU"/>
        </w:rPr>
      </w:pPr>
      <w:r w:rsidRPr="00FE68AF">
        <w:rPr>
          <w:rFonts w:ascii="Times New Roman" w:hAnsi="Times New Roman"/>
          <w:sz w:val="28"/>
          <w:szCs w:val="24"/>
          <w:lang w:eastAsia="ru-RU"/>
        </w:rPr>
        <w:t>Существующие в</w:t>
      </w:r>
      <w:r>
        <w:rPr>
          <w:rFonts w:ascii="Times New Roman" w:hAnsi="Times New Roman"/>
          <w:sz w:val="28"/>
          <w:szCs w:val="24"/>
          <w:lang w:eastAsia="ru-RU"/>
        </w:rPr>
        <w:t> </w:t>
      </w:r>
      <w:r w:rsidRPr="00FE68AF">
        <w:rPr>
          <w:rFonts w:ascii="Times New Roman" w:hAnsi="Times New Roman"/>
          <w:sz w:val="28"/>
          <w:szCs w:val="24"/>
          <w:lang w:eastAsia="ru-RU"/>
        </w:rPr>
        <w:t>настоящее время чисто технические возможности электроснабжения позволяют успешно функционировать и</w:t>
      </w:r>
      <w:r>
        <w:rPr>
          <w:rFonts w:ascii="Times New Roman" w:hAnsi="Times New Roman"/>
          <w:sz w:val="28"/>
          <w:szCs w:val="24"/>
          <w:lang w:eastAsia="ru-RU"/>
        </w:rPr>
        <w:t> </w:t>
      </w:r>
      <w:r w:rsidRPr="00FE68AF">
        <w:rPr>
          <w:rFonts w:ascii="Times New Roman" w:hAnsi="Times New Roman"/>
          <w:sz w:val="28"/>
          <w:szCs w:val="24"/>
          <w:lang w:eastAsia="ru-RU"/>
        </w:rPr>
        <w:t>развиваться хозяйственному комплексу района и</w:t>
      </w:r>
      <w:r>
        <w:rPr>
          <w:rFonts w:ascii="Times New Roman" w:hAnsi="Times New Roman"/>
          <w:sz w:val="28"/>
          <w:szCs w:val="24"/>
          <w:lang w:eastAsia="ru-RU"/>
        </w:rPr>
        <w:t> </w:t>
      </w:r>
      <w:r w:rsidRPr="00FE68AF">
        <w:rPr>
          <w:rFonts w:ascii="Times New Roman" w:hAnsi="Times New Roman"/>
          <w:sz w:val="28"/>
          <w:szCs w:val="24"/>
          <w:lang w:eastAsia="ru-RU"/>
        </w:rPr>
        <w:t xml:space="preserve">его отдельным отраслям. </w:t>
      </w:r>
      <w:r>
        <w:rPr>
          <w:rFonts w:ascii="Times New Roman" w:hAnsi="Times New Roman"/>
          <w:sz w:val="28"/>
          <w:szCs w:val="24"/>
          <w:lang w:eastAsia="ru-RU"/>
        </w:rPr>
        <w:t>Генеральным планом рекомендуется:</w:t>
      </w:r>
    </w:p>
    <w:p w:rsidR="002D1E45" w:rsidRPr="005D0682" w:rsidRDefault="002D1E45" w:rsidP="00852938">
      <w:pPr>
        <w:numPr>
          <w:ilvl w:val="0"/>
          <w:numId w:val="24"/>
        </w:numPr>
        <w:tabs>
          <w:tab w:val="left" w:pos="1134"/>
        </w:tabs>
        <w:spacing w:after="0" w:line="240" w:lineRule="auto"/>
        <w:ind w:left="1134"/>
        <w:jc w:val="both"/>
        <w:rPr>
          <w:rFonts w:ascii="Times New Roman" w:hAnsi="Times New Roman"/>
          <w:sz w:val="28"/>
          <w:szCs w:val="28"/>
        </w:rPr>
      </w:pPr>
      <w:r>
        <w:rPr>
          <w:rFonts w:ascii="Times New Roman" w:hAnsi="Times New Roman"/>
          <w:sz w:val="28"/>
          <w:szCs w:val="28"/>
        </w:rPr>
        <w:t>р</w:t>
      </w:r>
      <w:r w:rsidRPr="005D0682">
        <w:rPr>
          <w:rFonts w:ascii="Times New Roman" w:hAnsi="Times New Roman"/>
          <w:sz w:val="28"/>
          <w:szCs w:val="28"/>
        </w:rPr>
        <w:t>еконструкция эл</w:t>
      </w:r>
      <w:r>
        <w:rPr>
          <w:rFonts w:ascii="Times New Roman" w:hAnsi="Times New Roman"/>
          <w:sz w:val="28"/>
          <w:szCs w:val="28"/>
        </w:rPr>
        <w:t>ектро</w:t>
      </w:r>
      <w:r w:rsidRPr="005D0682">
        <w:rPr>
          <w:rFonts w:ascii="Times New Roman" w:hAnsi="Times New Roman"/>
          <w:sz w:val="28"/>
          <w:szCs w:val="28"/>
        </w:rPr>
        <w:t>сетей</w:t>
      </w:r>
      <w:r>
        <w:rPr>
          <w:rFonts w:ascii="Times New Roman" w:hAnsi="Times New Roman"/>
          <w:sz w:val="28"/>
          <w:szCs w:val="28"/>
        </w:rPr>
        <w:t xml:space="preserve"> </w:t>
      </w:r>
      <w:r w:rsidRPr="005D0682">
        <w:rPr>
          <w:rFonts w:ascii="Times New Roman" w:hAnsi="Times New Roman"/>
          <w:sz w:val="28"/>
          <w:szCs w:val="28"/>
        </w:rPr>
        <w:t xml:space="preserve">10/0,4кВ на п. Заводской </w:t>
      </w:r>
      <w:r>
        <w:rPr>
          <w:rFonts w:ascii="Times New Roman" w:hAnsi="Times New Roman"/>
          <w:sz w:val="28"/>
          <w:szCs w:val="28"/>
        </w:rPr>
        <w:t>–</w:t>
      </w:r>
      <w:r w:rsidRPr="005D0682">
        <w:rPr>
          <w:rFonts w:ascii="Times New Roman" w:hAnsi="Times New Roman"/>
          <w:sz w:val="28"/>
          <w:szCs w:val="28"/>
        </w:rPr>
        <w:t xml:space="preserve"> пер</w:t>
      </w:r>
      <w:r>
        <w:rPr>
          <w:rFonts w:ascii="Times New Roman" w:hAnsi="Times New Roman"/>
          <w:sz w:val="28"/>
          <w:szCs w:val="28"/>
        </w:rPr>
        <w:t>.</w:t>
      </w:r>
      <w:r w:rsidRPr="005D0682">
        <w:rPr>
          <w:rFonts w:ascii="Times New Roman" w:hAnsi="Times New Roman"/>
          <w:sz w:val="28"/>
          <w:szCs w:val="28"/>
        </w:rPr>
        <w:t xml:space="preserve"> Заводской (КТПН 10/0,4кВ-160кВА,</w:t>
      </w:r>
      <w:r>
        <w:rPr>
          <w:rFonts w:ascii="Times New Roman" w:hAnsi="Times New Roman"/>
          <w:sz w:val="28"/>
          <w:szCs w:val="28"/>
        </w:rPr>
        <w:t xml:space="preserve"> </w:t>
      </w:r>
      <w:r w:rsidRPr="005D0682">
        <w:rPr>
          <w:rFonts w:ascii="Times New Roman" w:hAnsi="Times New Roman"/>
          <w:sz w:val="28"/>
          <w:szCs w:val="28"/>
        </w:rPr>
        <w:t>ВЛ-10кВ,</w:t>
      </w:r>
      <w:r>
        <w:rPr>
          <w:rFonts w:ascii="Times New Roman" w:hAnsi="Times New Roman"/>
          <w:sz w:val="28"/>
          <w:szCs w:val="28"/>
        </w:rPr>
        <w:t xml:space="preserve"> </w:t>
      </w:r>
      <w:r w:rsidRPr="005D0682">
        <w:rPr>
          <w:rFonts w:ascii="Times New Roman" w:hAnsi="Times New Roman"/>
          <w:sz w:val="28"/>
          <w:szCs w:val="28"/>
        </w:rPr>
        <w:t>ВЛИ-0,4кВ)</w:t>
      </w:r>
      <w:r>
        <w:rPr>
          <w:rFonts w:ascii="Times New Roman" w:hAnsi="Times New Roman"/>
          <w:sz w:val="28"/>
          <w:szCs w:val="28"/>
        </w:rPr>
        <w:t>;</w:t>
      </w:r>
    </w:p>
    <w:p w:rsidR="002D1E45" w:rsidRDefault="002D1E45" w:rsidP="00852938">
      <w:pPr>
        <w:numPr>
          <w:ilvl w:val="0"/>
          <w:numId w:val="24"/>
        </w:numPr>
        <w:tabs>
          <w:tab w:val="left" w:pos="1134"/>
        </w:tabs>
        <w:spacing w:after="0" w:line="240" w:lineRule="auto"/>
        <w:ind w:left="1134"/>
        <w:jc w:val="both"/>
        <w:rPr>
          <w:rFonts w:ascii="Times New Roman" w:hAnsi="Times New Roman"/>
          <w:sz w:val="28"/>
          <w:szCs w:val="28"/>
        </w:rPr>
      </w:pPr>
      <w:r>
        <w:rPr>
          <w:rFonts w:ascii="Times New Roman" w:hAnsi="Times New Roman"/>
          <w:sz w:val="28"/>
          <w:szCs w:val="28"/>
        </w:rPr>
        <w:t>р</w:t>
      </w:r>
      <w:r w:rsidRPr="005D0682">
        <w:rPr>
          <w:rFonts w:ascii="Times New Roman" w:hAnsi="Times New Roman"/>
          <w:sz w:val="28"/>
          <w:szCs w:val="28"/>
        </w:rPr>
        <w:t>еконструкция эл</w:t>
      </w:r>
      <w:r>
        <w:rPr>
          <w:rFonts w:ascii="Times New Roman" w:hAnsi="Times New Roman"/>
          <w:sz w:val="28"/>
          <w:szCs w:val="28"/>
        </w:rPr>
        <w:t>ектро</w:t>
      </w:r>
      <w:r w:rsidRPr="005D0682">
        <w:rPr>
          <w:rFonts w:ascii="Times New Roman" w:hAnsi="Times New Roman"/>
          <w:sz w:val="28"/>
          <w:szCs w:val="28"/>
        </w:rPr>
        <w:t>сетей 10/0,4кВ на ул</w:t>
      </w:r>
      <w:r>
        <w:rPr>
          <w:rFonts w:ascii="Times New Roman" w:hAnsi="Times New Roman"/>
          <w:sz w:val="28"/>
          <w:szCs w:val="28"/>
        </w:rPr>
        <w:t>.</w:t>
      </w:r>
      <w:r w:rsidRPr="005D0682">
        <w:rPr>
          <w:rFonts w:ascii="Times New Roman" w:hAnsi="Times New Roman"/>
          <w:sz w:val="28"/>
          <w:szCs w:val="28"/>
        </w:rPr>
        <w:t xml:space="preserve"> Интернатская</w:t>
      </w:r>
      <w:r>
        <w:rPr>
          <w:rFonts w:ascii="Times New Roman" w:hAnsi="Times New Roman"/>
          <w:sz w:val="28"/>
          <w:szCs w:val="28"/>
        </w:rPr>
        <w:t xml:space="preserve"> – </w:t>
      </w:r>
      <w:r w:rsidRPr="005D0682">
        <w:rPr>
          <w:rFonts w:ascii="Times New Roman" w:hAnsi="Times New Roman"/>
          <w:sz w:val="28"/>
          <w:szCs w:val="28"/>
        </w:rPr>
        <w:t>Весенняя (КТПН 10/0,4кВ-250кВА,</w:t>
      </w:r>
      <w:r>
        <w:rPr>
          <w:rFonts w:ascii="Times New Roman" w:hAnsi="Times New Roman"/>
          <w:sz w:val="28"/>
          <w:szCs w:val="28"/>
        </w:rPr>
        <w:t xml:space="preserve"> </w:t>
      </w:r>
      <w:r w:rsidRPr="005D0682">
        <w:rPr>
          <w:rFonts w:ascii="Times New Roman" w:hAnsi="Times New Roman"/>
          <w:sz w:val="28"/>
          <w:szCs w:val="28"/>
        </w:rPr>
        <w:t>ВЛ-10кВ,</w:t>
      </w:r>
      <w:r>
        <w:rPr>
          <w:rFonts w:ascii="Times New Roman" w:hAnsi="Times New Roman"/>
          <w:sz w:val="28"/>
          <w:szCs w:val="28"/>
        </w:rPr>
        <w:t xml:space="preserve"> </w:t>
      </w:r>
      <w:r w:rsidRPr="005D0682">
        <w:rPr>
          <w:rFonts w:ascii="Times New Roman" w:hAnsi="Times New Roman"/>
          <w:sz w:val="28"/>
          <w:szCs w:val="28"/>
        </w:rPr>
        <w:t>ВЛИ-0,4кВ, КЛ-0,4кВ)</w:t>
      </w:r>
      <w:r>
        <w:rPr>
          <w:rFonts w:ascii="Times New Roman" w:hAnsi="Times New Roman"/>
          <w:sz w:val="28"/>
          <w:szCs w:val="28"/>
        </w:rPr>
        <w:t>;</w:t>
      </w:r>
    </w:p>
    <w:p w:rsidR="002D1E45" w:rsidRDefault="002D1E45" w:rsidP="00852938">
      <w:pPr>
        <w:numPr>
          <w:ilvl w:val="0"/>
          <w:numId w:val="24"/>
        </w:numPr>
        <w:tabs>
          <w:tab w:val="left" w:pos="1134"/>
        </w:tabs>
        <w:spacing w:after="0" w:line="240" w:lineRule="auto"/>
        <w:ind w:left="1134"/>
        <w:jc w:val="both"/>
        <w:rPr>
          <w:rFonts w:ascii="Times New Roman" w:hAnsi="Times New Roman"/>
          <w:sz w:val="28"/>
          <w:szCs w:val="28"/>
        </w:rPr>
      </w:pPr>
      <w:r>
        <w:rPr>
          <w:rFonts w:ascii="Times New Roman" w:hAnsi="Times New Roman"/>
          <w:sz w:val="28"/>
          <w:szCs w:val="28"/>
        </w:rPr>
        <w:t>р</w:t>
      </w:r>
      <w:r w:rsidRPr="005D0682">
        <w:rPr>
          <w:rFonts w:ascii="Times New Roman" w:hAnsi="Times New Roman"/>
          <w:sz w:val="28"/>
          <w:szCs w:val="28"/>
        </w:rPr>
        <w:t>еконструкция эл</w:t>
      </w:r>
      <w:r>
        <w:rPr>
          <w:rFonts w:ascii="Times New Roman" w:hAnsi="Times New Roman"/>
          <w:sz w:val="28"/>
          <w:szCs w:val="28"/>
        </w:rPr>
        <w:t>ектро</w:t>
      </w:r>
      <w:r w:rsidRPr="005D0682">
        <w:rPr>
          <w:rFonts w:ascii="Times New Roman" w:hAnsi="Times New Roman"/>
          <w:sz w:val="28"/>
          <w:szCs w:val="28"/>
        </w:rPr>
        <w:t>сете</w:t>
      </w:r>
      <w:r>
        <w:rPr>
          <w:rFonts w:ascii="Times New Roman" w:hAnsi="Times New Roman"/>
          <w:sz w:val="28"/>
          <w:szCs w:val="28"/>
        </w:rPr>
        <w:t xml:space="preserve">й </w:t>
      </w:r>
      <w:r w:rsidRPr="005D0682">
        <w:rPr>
          <w:rFonts w:ascii="Times New Roman" w:hAnsi="Times New Roman"/>
          <w:sz w:val="28"/>
          <w:szCs w:val="28"/>
        </w:rPr>
        <w:t>10/</w:t>
      </w:r>
      <w:r>
        <w:rPr>
          <w:rFonts w:ascii="Times New Roman" w:hAnsi="Times New Roman"/>
          <w:sz w:val="28"/>
          <w:szCs w:val="28"/>
        </w:rPr>
        <w:t>0</w:t>
      </w:r>
      <w:r w:rsidRPr="005D0682">
        <w:rPr>
          <w:rFonts w:ascii="Times New Roman" w:hAnsi="Times New Roman"/>
          <w:sz w:val="28"/>
          <w:szCs w:val="28"/>
        </w:rPr>
        <w:t>,4кВ на ул.</w:t>
      </w:r>
      <w:r>
        <w:rPr>
          <w:rFonts w:ascii="Times New Roman" w:hAnsi="Times New Roman"/>
          <w:sz w:val="28"/>
          <w:szCs w:val="28"/>
        </w:rPr>
        <w:t xml:space="preserve"> </w:t>
      </w:r>
      <w:r w:rsidRPr="005D0682">
        <w:rPr>
          <w:rFonts w:ascii="Times New Roman" w:hAnsi="Times New Roman"/>
          <w:sz w:val="28"/>
          <w:szCs w:val="28"/>
        </w:rPr>
        <w:t>Трудовая</w:t>
      </w:r>
      <w:r>
        <w:rPr>
          <w:rFonts w:ascii="Times New Roman" w:hAnsi="Times New Roman"/>
          <w:sz w:val="28"/>
          <w:szCs w:val="28"/>
        </w:rPr>
        <w:t xml:space="preserve"> – </w:t>
      </w:r>
      <w:r w:rsidRPr="005D0682">
        <w:rPr>
          <w:rFonts w:ascii="Times New Roman" w:hAnsi="Times New Roman"/>
          <w:sz w:val="28"/>
          <w:szCs w:val="28"/>
        </w:rPr>
        <w:t>Лермонтова (КТIIH-10/0,4кВ-250кВА,</w:t>
      </w:r>
      <w:r>
        <w:rPr>
          <w:rFonts w:ascii="Times New Roman" w:hAnsi="Times New Roman"/>
          <w:sz w:val="28"/>
          <w:szCs w:val="28"/>
        </w:rPr>
        <w:t xml:space="preserve"> </w:t>
      </w:r>
      <w:r w:rsidRPr="005D0682">
        <w:rPr>
          <w:rFonts w:ascii="Times New Roman" w:hAnsi="Times New Roman"/>
          <w:sz w:val="28"/>
          <w:szCs w:val="28"/>
        </w:rPr>
        <w:t>ВЛ10кВ,</w:t>
      </w:r>
      <w:r>
        <w:rPr>
          <w:rFonts w:ascii="Times New Roman" w:hAnsi="Times New Roman"/>
          <w:sz w:val="28"/>
          <w:szCs w:val="28"/>
        </w:rPr>
        <w:t xml:space="preserve"> </w:t>
      </w:r>
      <w:r w:rsidRPr="005D0682">
        <w:rPr>
          <w:rFonts w:ascii="Times New Roman" w:hAnsi="Times New Roman"/>
          <w:sz w:val="28"/>
          <w:szCs w:val="28"/>
        </w:rPr>
        <w:t>ВЛИ-0,4кВ</w:t>
      </w:r>
      <w:r>
        <w:rPr>
          <w:rFonts w:ascii="Times New Roman" w:hAnsi="Times New Roman"/>
          <w:sz w:val="28"/>
          <w:szCs w:val="28"/>
        </w:rPr>
        <w:t>,</w:t>
      </w:r>
      <w:r w:rsidRPr="005D0682">
        <w:rPr>
          <w:rFonts w:ascii="Times New Roman" w:hAnsi="Times New Roman"/>
          <w:sz w:val="28"/>
          <w:szCs w:val="28"/>
        </w:rPr>
        <w:t xml:space="preserve"> КЛ-0,4кВ)</w:t>
      </w:r>
      <w:r>
        <w:rPr>
          <w:rFonts w:ascii="Times New Roman" w:hAnsi="Times New Roman"/>
          <w:sz w:val="28"/>
          <w:szCs w:val="28"/>
        </w:rPr>
        <w:t>.</w:t>
      </w:r>
    </w:p>
    <w:p w:rsidR="002D1E45" w:rsidRPr="00C137B3" w:rsidRDefault="002D1E45" w:rsidP="00852938">
      <w:pPr>
        <w:numPr>
          <w:ilvl w:val="0"/>
          <w:numId w:val="24"/>
        </w:numPr>
        <w:tabs>
          <w:tab w:val="left" w:pos="1134"/>
        </w:tabs>
        <w:spacing w:after="0" w:line="240" w:lineRule="auto"/>
        <w:ind w:left="1134"/>
        <w:jc w:val="both"/>
        <w:rPr>
          <w:rFonts w:ascii="Times New Roman" w:hAnsi="Times New Roman"/>
          <w:sz w:val="28"/>
          <w:szCs w:val="28"/>
        </w:rPr>
      </w:pPr>
      <w:r>
        <w:rPr>
          <w:rFonts w:ascii="Times New Roman" w:hAnsi="Times New Roman"/>
          <w:sz w:val="28"/>
          <w:szCs w:val="28"/>
        </w:rPr>
        <w:t>строительство 20 ТП</w:t>
      </w:r>
      <w:r w:rsidRPr="00EE560E">
        <w:rPr>
          <w:rFonts w:ascii="Times New Roman" w:hAnsi="Times New Roman"/>
          <w:sz w:val="28"/>
          <w:szCs w:val="28"/>
        </w:rPr>
        <w:t xml:space="preserve"> </w:t>
      </w:r>
      <w:r w:rsidRPr="00C137B3">
        <w:rPr>
          <w:rFonts w:ascii="Times New Roman" w:hAnsi="Times New Roman"/>
          <w:sz w:val="28"/>
          <w:szCs w:val="28"/>
        </w:rPr>
        <w:t>в </w:t>
      </w:r>
      <w:r>
        <w:rPr>
          <w:rFonts w:ascii="Times New Roman" w:hAnsi="Times New Roman"/>
          <w:sz w:val="28"/>
          <w:szCs w:val="28"/>
        </w:rPr>
        <w:t>районах новой застройки;</w:t>
      </w:r>
    </w:p>
    <w:p w:rsidR="002D1E45" w:rsidRDefault="002D1E45" w:rsidP="00852938">
      <w:pPr>
        <w:numPr>
          <w:ilvl w:val="0"/>
          <w:numId w:val="24"/>
        </w:numPr>
        <w:tabs>
          <w:tab w:val="left" w:pos="1134"/>
        </w:tabs>
        <w:spacing w:after="0" w:line="240" w:lineRule="auto"/>
        <w:ind w:left="1134"/>
        <w:jc w:val="both"/>
        <w:rPr>
          <w:rFonts w:ascii="Times New Roman" w:hAnsi="Times New Roman"/>
          <w:sz w:val="28"/>
          <w:szCs w:val="24"/>
          <w:lang w:eastAsia="ru-RU"/>
        </w:rPr>
      </w:pPr>
      <w:r w:rsidRPr="00C137B3">
        <w:rPr>
          <w:rFonts w:ascii="Times New Roman" w:hAnsi="Times New Roman"/>
          <w:sz w:val="28"/>
          <w:szCs w:val="28"/>
        </w:rPr>
        <w:t>стр</w:t>
      </w:r>
      <w:r>
        <w:rPr>
          <w:rFonts w:ascii="Times New Roman" w:hAnsi="Times New Roman"/>
          <w:sz w:val="28"/>
          <w:szCs w:val="24"/>
          <w:lang w:eastAsia="ru-RU"/>
        </w:rPr>
        <w:t>оительство сетей электроснабжения 0,4 кВ в районах новой застройки – не менее 20 км.</w:t>
      </w:r>
    </w:p>
    <w:p w:rsidR="002D1E45" w:rsidRDefault="002D1E45" w:rsidP="00ED6DFA">
      <w:pPr>
        <w:spacing w:after="0" w:line="240" w:lineRule="auto"/>
        <w:ind w:firstLine="709"/>
        <w:jc w:val="both"/>
        <w:rPr>
          <w:rFonts w:ascii="Times New Roman" w:hAnsi="Times New Roman"/>
          <w:sz w:val="28"/>
          <w:szCs w:val="28"/>
        </w:rPr>
      </w:pPr>
      <w:r w:rsidRPr="00ED79B9">
        <w:rPr>
          <w:rFonts w:ascii="Times New Roman" w:hAnsi="Times New Roman"/>
          <w:sz w:val="28"/>
          <w:szCs w:val="28"/>
        </w:rPr>
        <w:t>Инвестиционной программой АО «РЭС» 2021-2025 гг., утверждённой приказом министерства жилищно-коммунального хозяйства и энергетики Новосибирской области от 20.11.2020 № 222</w:t>
      </w:r>
      <w:r>
        <w:rPr>
          <w:rFonts w:ascii="Times New Roman" w:hAnsi="Times New Roman"/>
          <w:sz w:val="28"/>
          <w:szCs w:val="28"/>
        </w:rPr>
        <w:t xml:space="preserve">, на территории г. Куйбышева запланировано строительство </w:t>
      </w:r>
      <w:r w:rsidRPr="00ED79B9">
        <w:rPr>
          <w:rFonts w:ascii="Times New Roman" w:hAnsi="Times New Roman"/>
          <w:sz w:val="28"/>
          <w:szCs w:val="28"/>
        </w:rPr>
        <w:t>РП 10 кВ взамен РП-1</w:t>
      </w:r>
      <w:r>
        <w:rPr>
          <w:rFonts w:ascii="Times New Roman" w:hAnsi="Times New Roman"/>
          <w:sz w:val="28"/>
          <w:szCs w:val="28"/>
        </w:rPr>
        <w:t>.</w:t>
      </w:r>
    </w:p>
    <w:p w:rsidR="002D1E45" w:rsidRPr="00ED6DFA" w:rsidRDefault="002D1E45" w:rsidP="00ED6DFA">
      <w:pPr>
        <w:spacing w:after="0" w:line="240" w:lineRule="auto"/>
        <w:ind w:firstLine="709"/>
        <w:jc w:val="both"/>
        <w:rPr>
          <w:rFonts w:ascii="Times New Roman" w:hAnsi="Times New Roman"/>
          <w:sz w:val="28"/>
          <w:szCs w:val="28"/>
        </w:rPr>
      </w:pPr>
      <w:r w:rsidRPr="00ED6DFA">
        <w:rPr>
          <w:rFonts w:ascii="Times New Roman" w:hAnsi="Times New Roman"/>
          <w:sz w:val="28"/>
          <w:szCs w:val="28"/>
        </w:rPr>
        <w:t>Важным блоком задач органов местного самоуправления в</w:t>
      </w:r>
      <w:r>
        <w:rPr>
          <w:rFonts w:ascii="Times New Roman" w:hAnsi="Times New Roman"/>
          <w:sz w:val="28"/>
          <w:szCs w:val="28"/>
        </w:rPr>
        <w:t> </w:t>
      </w:r>
      <w:r w:rsidRPr="00ED6DFA">
        <w:rPr>
          <w:rFonts w:ascii="Times New Roman" w:hAnsi="Times New Roman"/>
          <w:sz w:val="28"/>
          <w:szCs w:val="28"/>
        </w:rPr>
        <w:t>сфере энергосбережения является снижение затрат на</w:t>
      </w:r>
      <w:r>
        <w:rPr>
          <w:rFonts w:ascii="Times New Roman" w:hAnsi="Times New Roman"/>
          <w:sz w:val="28"/>
          <w:szCs w:val="28"/>
        </w:rPr>
        <w:t> </w:t>
      </w:r>
      <w:r w:rsidRPr="00ED6DFA">
        <w:rPr>
          <w:rFonts w:ascii="Times New Roman" w:hAnsi="Times New Roman"/>
          <w:sz w:val="28"/>
          <w:szCs w:val="28"/>
        </w:rPr>
        <w:t>энергоносители, уменьшение потерь энергоресурсов, укрепление экологической безопасности путём развития малой и</w:t>
      </w:r>
      <w:r>
        <w:rPr>
          <w:rFonts w:ascii="Times New Roman" w:hAnsi="Times New Roman"/>
          <w:sz w:val="28"/>
          <w:szCs w:val="28"/>
        </w:rPr>
        <w:t> </w:t>
      </w:r>
      <w:r w:rsidRPr="00ED6DFA">
        <w:rPr>
          <w:rFonts w:ascii="Times New Roman" w:hAnsi="Times New Roman"/>
          <w:sz w:val="28"/>
          <w:szCs w:val="28"/>
        </w:rPr>
        <w:t>альтернативной энергетики с</w:t>
      </w:r>
      <w:r>
        <w:rPr>
          <w:rFonts w:ascii="Times New Roman" w:hAnsi="Times New Roman"/>
          <w:sz w:val="28"/>
          <w:szCs w:val="28"/>
        </w:rPr>
        <w:t> </w:t>
      </w:r>
      <w:r w:rsidRPr="00ED6DFA">
        <w:rPr>
          <w:rFonts w:ascii="Times New Roman" w:hAnsi="Times New Roman"/>
          <w:sz w:val="28"/>
          <w:szCs w:val="28"/>
        </w:rPr>
        <w:t xml:space="preserve">использованием местных ресурсов. </w:t>
      </w:r>
    </w:p>
    <w:p w:rsidR="002D1E45" w:rsidRPr="00ED6DFA" w:rsidRDefault="002D1E45" w:rsidP="00ED6DFA">
      <w:pPr>
        <w:spacing w:after="0" w:line="240" w:lineRule="auto"/>
        <w:ind w:firstLine="709"/>
        <w:jc w:val="both"/>
        <w:rPr>
          <w:rFonts w:ascii="Times New Roman" w:hAnsi="Times New Roman"/>
          <w:sz w:val="28"/>
          <w:szCs w:val="28"/>
        </w:rPr>
      </w:pPr>
      <w:r w:rsidRPr="00ED6DFA">
        <w:rPr>
          <w:rFonts w:ascii="Times New Roman" w:hAnsi="Times New Roman"/>
          <w:sz w:val="28"/>
          <w:szCs w:val="28"/>
        </w:rPr>
        <w:t>Приоритетные направления для решения поставленных задач связаны с</w:t>
      </w:r>
      <w:r>
        <w:rPr>
          <w:rFonts w:ascii="Times New Roman" w:hAnsi="Times New Roman"/>
          <w:sz w:val="28"/>
          <w:szCs w:val="28"/>
        </w:rPr>
        <w:t> </w:t>
      </w:r>
      <w:r w:rsidRPr="00ED6DFA">
        <w:rPr>
          <w:rFonts w:ascii="Times New Roman" w:hAnsi="Times New Roman"/>
          <w:sz w:val="28"/>
          <w:szCs w:val="28"/>
        </w:rPr>
        <w:t>необходимостью использования возобновляемых источников энергии на</w:t>
      </w:r>
      <w:r>
        <w:rPr>
          <w:rFonts w:ascii="Times New Roman" w:hAnsi="Times New Roman"/>
          <w:sz w:val="28"/>
          <w:szCs w:val="28"/>
        </w:rPr>
        <w:t> </w:t>
      </w:r>
      <w:r w:rsidRPr="00ED6DFA">
        <w:rPr>
          <w:rFonts w:ascii="Times New Roman" w:hAnsi="Times New Roman"/>
          <w:sz w:val="28"/>
          <w:szCs w:val="28"/>
        </w:rPr>
        <w:t>основе:</w:t>
      </w:r>
    </w:p>
    <w:p w:rsidR="002D1E45" w:rsidRPr="00ED6DFA" w:rsidRDefault="002D1E45" w:rsidP="00D05D06">
      <w:pPr>
        <w:numPr>
          <w:ilvl w:val="0"/>
          <w:numId w:val="63"/>
        </w:numPr>
        <w:spacing w:after="0" w:line="240" w:lineRule="auto"/>
        <w:jc w:val="both"/>
        <w:rPr>
          <w:rFonts w:ascii="Times New Roman" w:hAnsi="Times New Roman"/>
          <w:sz w:val="28"/>
          <w:szCs w:val="28"/>
        </w:rPr>
      </w:pPr>
      <w:r w:rsidRPr="00ED6DFA">
        <w:rPr>
          <w:rFonts w:ascii="Times New Roman" w:hAnsi="Times New Roman"/>
          <w:sz w:val="28"/>
          <w:szCs w:val="28"/>
        </w:rPr>
        <w:t>биоэнергетики для обеспечения функционирования социальных и</w:t>
      </w:r>
      <w:r>
        <w:rPr>
          <w:rFonts w:ascii="Times New Roman" w:hAnsi="Times New Roman"/>
          <w:sz w:val="28"/>
          <w:szCs w:val="28"/>
        </w:rPr>
        <w:t> </w:t>
      </w:r>
      <w:r w:rsidRPr="00ED6DFA">
        <w:rPr>
          <w:rFonts w:ascii="Times New Roman" w:hAnsi="Times New Roman"/>
          <w:sz w:val="28"/>
          <w:szCs w:val="28"/>
        </w:rPr>
        <w:t>промышленных объектов, жилого сектора с</w:t>
      </w:r>
      <w:r>
        <w:rPr>
          <w:rFonts w:ascii="Times New Roman" w:hAnsi="Times New Roman"/>
          <w:sz w:val="28"/>
          <w:szCs w:val="28"/>
        </w:rPr>
        <w:t> </w:t>
      </w:r>
      <w:r w:rsidRPr="00ED6DFA">
        <w:rPr>
          <w:rFonts w:ascii="Times New Roman" w:hAnsi="Times New Roman"/>
          <w:sz w:val="28"/>
          <w:szCs w:val="28"/>
        </w:rPr>
        <w:t>использованием древесного сырья как в</w:t>
      </w:r>
      <w:r>
        <w:rPr>
          <w:rFonts w:ascii="Times New Roman" w:hAnsi="Times New Roman"/>
          <w:sz w:val="28"/>
          <w:szCs w:val="28"/>
        </w:rPr>
        <w:t> </w:t>
      </w:r>
      <w:r w:rsidRPr="00ED6DFA">
        <w:rPr>
          <w:rFonts w:ascii="Times New Roman" w:hAnsi="Times New Roman"/>
          <w:sz w:val="28"/>
          <w:szCs w:val="28"/>
        </w:rPr>
        <w:t>виде использования отходов лесной отрасли (опил, щепа) в</w:t>
      </w:r>
      <w:r>
        <w:rPr>
          <w:rFonts w:ascii="Times New Roman" w:hAnsi="Times New Roman"/>
          <w:sz w:val="28"/>
          <w:szCs w:val="28"/>
        </w:rPr>
        <w:t> </w:t>
      </w:r>
      <w:r w:rsidRPr="00ED6DFA">
        <w:rPr>
          <w:rFonts w:ascii="Times New Roman" w:hAnsi="Times New Roman"/>
          <w:sz w:val="28"/>
          <w:szCs w:val="28"/>
        </w:rPr>
        <w:t>поселениях, предполагающих развитие лесообрабатывающей отрасли, так и</w:t>
      </w:r>
      <w:r>
        <w:rPr>
          <w:rFonts w:ascii="Times New Roman" w:hAnsi="Times New Roman"/>
          <w:sz w:val="28"/>
          <w:szCs w:val="28"/>
        </w:rPr>
        <w:t> </w:t>
      </w:r>
      <w:r w:rsidRPr="00ED6DFA">
        <w:rPr>
          <w:rFonts w:ascii="Times New Roman" w:hAnsi="Times New Roman"/>
          <w:sz w:val="28"/>
          <w:szCs w:val="28"/>
        </w:rPr>
        <w:t>использование топливных брикетов, пеллет;</w:t>
      </w:r>
    </w:p>
    <w:p w:rsidR="002D1E45" w:rsidRPr="00ED6DFA" w:rsidRDefault="002D1E45" w:rsidP="00D05D06">
      <w:pPr>
        <w:numPr>
          <w:ilvl w:val="0"/>
          <w:numId w:val="63"/>
        </w:numPr>
        <w:spacing w:after="0" w:line="240" w:lineRule="auto"/>
        <w:jc w:val="both"/>
        <w:rPr>
          <w:rFonts w:ascii="Times New Roman" w:hAnsi="Times New Roman"/>
          <w:sz w:val="28"/>
          <w:szCs w:val="28"/>
        </w:rPr>
      </w:pPr>
      <w:r w:rsidRPr="00ED6DFA">
        <w:rPr>
          <w:rFonts w:ascii="Times New Roman" w:hAnsi="Times New Roman"/>
          <w:sz w:val="28"/>
          <w:szCs w:val="28"/>
        </w:rPr>
        <w:t>биоэнергетики для индивидуального жилищного строительства с</w:t>
      </w:r>
      <w:r>
        <w:rPr>
          <w:rFonts w:ascii="Times New Roman" w:hAnsi="Times New Roman"/>
          <w:sz w:val="28"/>
          <w:szCs w:val="28"/>
        </w:rPr>
        <w:t> </w:t>
      </w:r>
      <w:r w:rsidRPr="00ED6DFA">
        <w:rPr>
          <w:rFonts w:ascii="Times New Roman" w:hAnsi="Times New Roman"/>
          <w:sz w:val="28"/>
          <w:szCs w:val="28"/>
        </w:rPr>
        <w:t>использованием автономных теплогенерирующих установок, использующих пеллеты, топливные брикеты из</w:t>
      </w:r>
      <w:r>
        <w:rPr>
          <w:rFonts w:ascii="Times New Roman" w:hAnsi="Times New Roman"/>
          <w:sz w:val="28"/>
          <w:szCs w:val="28"/>
        </w:rPr>
        <w:t> </w:t>
      </w:r>
      <w:r w:rsidRPr="00ED6DFA">
        <w:rPr>
          <w:rFonts w:ascii="Times New Roman" w:hAnsi="Times New Roman"/>
          <w:sz w:val="28"/>
          <w:szCs w:val="28"/>
        </w:rPr>
        <w:t>древесных отходов;</w:t>
      </w:r>
    </w:p>
    <w:p w:rsidR="002D1E45" w:rsidRPr="00ED6DFA" w:rsidRDefault="002D1E45" w:rsidP="00D05D06">
      <w:pPr>
        <w:numPr>
          <w:ilvl w:val="0"/>
          <w:numId w:val="63"/>
        </w:numPr>
        <w:spacing w:after="0" w:line="240" w:lineRule="auto"/>
        <w:jc w:val="both"/>
        <w:rPr>
          <w:rFonts w:ascii="Times New Roman" w:hAnsi="Times New Roman"/>
          <w:sz w:val="28"/>
          <w:szCs w:val="28"/>
        </w:rPr>
      </w:pPr>
      <w:r w:rsidRPr="00ED6DFA">
        <w:rPr>
          <w:rFonts w:ascii="Times New Roman" w:hAnsi="Times New Roman"/>
          <w:sz w:val="28"/>
          <w:szCs w:val="28"/>
        </w:rPr>
        <w:t>биоэнергетики с</w:t>
      </w:r>
      <w:r>
        <w:rPr>
          <w:rFonts w:ascii="Times New Roman" w:hAnsi="Times New Roman"/>
          <w:sz w:val="28"/>
          <w:szCs w:val="28"/>
        </w:rPr>
        <w:t> </w:t>
      </w:r>
      <w:r w:rsidRPr="00ED6DFA">
        <w:rPr>
          <w:rFonts w:ascii="Times New Roman" w:hAnsi="Times New Roman"/>
          <w:sz w:val="28"/>
          <w:szCs w:val="28"/>
        </w:rPr>
        <w:t>использованием биогаза на</w:t>
      </w:r>
      <w:r>
        <w:rPr>
          <w:rFonts w:ascii="Times New Roman" w:hAnsi="Times New Roman"/>
          <w:sz w:val="28"/>
          <w:szCs w:val="28"/>
        </w:rPr>
        <w:t> </w:t>
      </w:r>
      <w:r w:rsidRPr="00ED6DFA">
        <w:rPr>
          <w:rFonts w:ascii="Times New Roman" w:hAnsi="Times New Roman"/>
          <w:sz w:val="28"/>
          <w:szCs w:val="28"/>
        </w:rPr>
        <w:t>основе применения мусороперерабатывающих технологий, в</w:t>
      </w:r>
      <w:r>
        <w:rPr>
          <w:rFonts w:ascii="Times New Roman" w:hAnsi="Times New Roman"/>
          <w:sz w:val="28"/>
          <w:szCs w:val="28"/>
        </w:rPr>
        <w:t> </w:t>
      </w:r>
      <w:r w:rsidRPr="00ED6DFA">
        <w:rPr>
          <w:rFonts w:ascii="Times New Roman" w:hAnsi="Times New Roman"/>
          <w:sz w:val="28"/>
          <w:szCs w:val="28"/>
        </w:rPr>
        <w:t>основном, для нужд агропромышленного комплекса и</w:t>
      </w:r>
      <w:r>
        <w:rPr>
          <w:rFonts w:ascii="Times New Roman" w:hAnsi="Times New Roman"/>
          <w:sz w:val="28"/>
          <w:szCs w:val="28"/>
        </w:rPr>
        <w:t> </w:t>
      </w:r>
      <w:r w:rsidRPr="00ED6DFA">
        <w:rPr>
          <w:rFonts w:ascii="Times New Roman" w:hAnsi="Times New Roman"/>
          <w:sz w:val="28"/>
          <w:szCs w:val="28"/>
        </w:rPr>
        <w:t>населения.</w:t>
      </w:r>
    </w:p>
    <w:p w:rsidR="002D1E45" w:rsidRPr="00ED6DFA" w:rsidRDefault="002D1E45" w:rsidP="00ED6DFA">
      <w:pPr>
        <w:spacing w:after="0" w:line="240" w:lineRule="auto"/>
        <w:ind w:firstLine="709"/>
        <w:jc w:val="both"/>
        <w:rPr>
          <w:rFonts w:ascii="Times New Roman" w:hAnsi="Times New Roman"/>
          <w:sz w:val="28"/>
          <w:szCs w:val="28"/>
        </w:rPr>
      </w:pPr>
      <w:r w:rsidRPr="00ED6DFA">
        <w:rPr>
          <w:rFonts w:ascii="Times New Roman" w:hAnsi="Times New Roman"/>
          <w:sz w:val="28"/>
          <w:szCs w:val="28"/>
        </w:rPr>
        <w:t>В связи с</w:t>
      </w:r>
      <w:r>
        <w:rPr>
          <w:rFonts w:ascii="Times New Roman" w:hAnsi="Times New Roman"/>
          <w:sz w:val="28"/>
          <w:szCs w:val="28"/>
        </w:rPr>
        <w:t> </w:t>
      </w:r>
      <w:r w:rsidRPr="00ED6DFA">
        <w:rPr>
          <w:rFonts w:ascii="Times New Roman" w:hAnsi="Times New Roman"/>
          <w:sz w:val="28"/>
          <w:szCs w:val="28"/>
        </w:rPr>
        <w:t>модернизацией коммунального хозяйства необходимо при приобретении нового оборудования предполагать возможность работы на</w:t>
      </w:r>
      <w:r>
        <w:rPr>
          <w:rFonts w:ascii="Times New Roman" w:hAnsi="Times New Roman"/>
          <w:sz w:val="28"/>
          <w:szCs w:val="28"/>
        </w:rPr>
        <w:t> </w:t>
      </w:r>
      <w:r w:rsidRPr="00ED6DFA">
        <w:rPr>
          <w:rFonts w:ascii="Times New Roman" w:hAnsi="Times New Roman"/>
          <w:sz w:val="28"/>
          <w:szCs w:val="28"/>
        </w:rPr>
        <w:t>смешанных видах топлива. В</w:t>
      </w:r>
      <w:r>
        <w:rPr>
          <w:rFonts w:ascii="Times New Roman" w:hAnsi="Times New Roman"/>
          <w:sz w:val="28"/>
          <w:szCs w:val="28"/>
        </w:rPr>
        <w:t> </w:t>
      </w:r>
      <w:r w:rsidRPr="00ED6DFA">
        <w:rPr>
          <w:rFonts w:ascii="Times New Roman" w:hAnsi="Times New Roman"/>
          <w:sz w:val="28"/>
          <w:szCs w:val="28"/>
        </w:rPr>
        <w:t>ближайшее время необходим экономический расчёт использования новых видов энергоресурсов, применение которых возможно без изменения действующего оборудования (топливные брикеты).</w:t>
      </w:r>
    </w:p>
    <w:p w:rsidR="002D1E45" w:rsidRPr="00ED6DFA" w:rsidRDefault="002D1E45" w:rsidP="00ED6DFA">
      <w:pPr>
        <w:spacing w:after="0" w:line="240" w:lineRule="auto"/>
        <w:ind w:firstLine="709"/>
        <w:jc w:val="both"/>
        <w:rPr>
          <w:rFonts w:ascii="Times New Roman" w:hAnsi="Times New Roman"/>
          <w:sz w:val="28"/>
          <w:szCs w:val="28"/>
        </w:rPr>
      </w:pPr>
      <w:r w:rsidRPr="00ED6DFA">
        <w:rPr>
          <w:rFonts w:ascii="Times New Roman" w:hAnsi="Times New Roman"/>
          <w:sz w:val="28"/>
          <w:szCs w:val="28"/>
        </w:rPr>
        <w:t>Кроме того, необходимо осуществлять поиск поставщиков альтернативных видов топлива в</w:t>
      </w:r>
      <w:r>
        <w:rPr>
          <w:rFonts w:ascii="Times New Roman" w:hAnsi="Times New Roman"/>
          <w:sz w:val="28"/>
          <w:szCs w:val="28"/>
        </w:rPr>
        <w:t> </w:t>
      </w:r>
      <w:r w:rsidRPr="00ED6DFA">
        <w:rPr>
          <w:rFonts w:ascii="Times New Roman" w:hAnsi="Times New Roman"/>
          <w:sz w:val="28"/>
          <w:szCs w:val="28"/>
        </w:rPr>
        <w:t>соседних районах с</w:t>
      </w:r>
      <w:r>
        <w:rPr>
          <w:rFonts w:ascii="Times New Roman" w:hAnsi="Times New Roman"/>
          <w:sz w:val="28"/>
          <w:szCs w:val="28"/>
        </w:rPr>
        <w:t> </w:t>
      </w:r>
      <w:r w:rsidRPr="00ED6DFA">
        <w:rPr>
          <w:rFonts w:ascii="Times New Roman" w:hAnsi="Times New Roman"/>
          <w:sz w:val="28"/>
          <w:szCs w:val="28"/>
        </w:rPr>
        <w:t>целью снижения транспортных расходов, устранения необходимости летнего «досрочного» завоза дизельного топлива и</w:t>
      </w:r>
      <w:r>
        <w:rPr>
          <w:rFonts w:ascii="Times New Roman" w:hAnsi="Times New Roman"/>
          <w:sz w:val="28"/>
          <w:szCs w:val="28"/>
        </w:rPr>
        <w:t> </w:t>
      </w:r>
      <w:r w:rsidRPr="00ED6DFA">
        <w:rPr>
          <w:rFonts w:ascii="Times New Roman" w:hAnsi="Times New Roman"/>
          <w:sz w:val="28"/>
          <w:szCs w:val="28"/>
        </w:rPr>
        <w:t>угля.</w:t>
      </w:r>
    </w:p>
    <w:p w:rsidR="002D1E45" w:rsidRPr="003A7901" w:rsidRDefault="002D1E45" w:rsidP="003A7901">
      <w:pPr>
        <w:spacing w:after="0" w:line="240" w:lineRule="auto"/>
        <w:rPr>
          <w:rFonts w:ascii="Times New Roman" w:hAnsi="Times New Roman"/>
          <w:sz w:val="16"/>
          <w:szCs w:val="16"/>
          <w:lang w:eastAsia="ru-RU"/>
        </w:rPr>
      </w:pPr>
    </w:p>
    <w:p w:rsidR="002D1E45" w:rsidRPr="00AF7759" w:rsidRDefault="002D1E45" w:rsidP="00852938">
      <w:pPr>
        <w:pStyle w:val="Heading3"/>
        <w:numPr>
          <w:ilvl w:val="2"/>
          <w:numId w:val="65"/>
        </w:numPr>
        <w:tabs>
          <w:tab w:val="left" w:pos="1418"/>
        </w:tabs>
        <w:spacing w:before="120"/>
        <w:ind w:left="1418" w:hanging="698"/>
        <w:jc w:val="both"/>
        <w:rPr>
          <w:rFonts w:ascii="Times New Roman" w:hAnsi="Times New Roman"/>
          <w:sz w:val="28"/>
        </w:rPr>
      </w:pPr>
      <w:bookmarkStart w:id="343" w:name="_Toc468971960"/>
      <w:bookmarkStart w:id="344" w:name="_Toc475037126"/>
      <w:bookmarkStart w:id="345" w:name="_Toc84936068"/>
      <w:r w:rsidRPr="00AF7759">
        <w:rPr>
          <w:rFonts w:ascii="Times New Roman" w:hAnsi="Times New Roman"/>
          <w:sz w:val="28"/>
        </w:rPr>
        <w:t>Связь</w:t>
      </w:r>
      <w:bookmarkEnd w:id="343"/>
      <w:bookmarkEnd w:id="344"/>
      <w:bookmarkEnd w:id="345"/>
    </w:p>
    <w:p w:rsidR="002D1E45" w:rsidRPr="003A7901" w:rsidRDefault="002D1E45" w:rsidP="003A7901">
      <w:pPr>
        <w:spacing w:after="0" w:line="240" w:lineRule="auto"/>
        <w:rPr>
          <w:rFonts w:ascii="Times New Roman" w:hAnsi="Times New Roman"/>
          <w:sz w:val="16"/>
          <w:szCs w:val="16"/>
          <w:lang w:eastAsia="ru-RU"/>
        </w:rPr>
      </w:pPr>
    </w:p>
    <w:p w:rsidR="002D1E45" w:rsidRPr="003A7901" w:rsidRDefault="002D1E45" w:rsidP="003A7901">
      <w:pPr>
        <w:spacing w:after="0" w:line="240" w:lineRule="auto"/>
        <w:rPr>
          <w:rFonts w:ascii="Times New Roman" w:hAnsi="Times New Roman"/>
          <w:sz w:val="16"/>
          <w:szCs w:val="16"/>
          <w:lang w:eastAsia="ru-RU"/>
        </w:rPr>
      </w:pPr>
    </w:p>
    <w:p w:rsidR="002D1E45" w:rsidRPr="00C150B0" w:rsidRDefault="002D1E45" w:rsidP="00C150B0">
      <w:pPr>
        <w:spacing w:after="0" w:line="240" w:lineRule="auto"/>
        <w:ind w:firstLine="709"/>
        <w:jc w:val="both"/>
        <w:rPr>
          <w:rFonts w:ascii="Times New Roman" w:hAnsi="Times New Roman"/>
          <w:sz w:val="28"/>
          <w:szCs w:val="28"/>
        </w:rPr>
      </w:pPr>
      <w:r w:rsidRPr="00C150B0">
        <w:rPr>
          <w:rFonts w:ascii="Times New Roman" w:hAnsi="Times New Roman"/>
          <w:sz w:val="28"/>
          <w:szCs w:val="28"/>
        </w:rPr>
        <w:t>Раздел выполнен в</w:t>
      </w:r>
      <w:r>
        <w:rPr>
          <w:rFonts w:ascii="Times New Roman" w:hAnsi="Times New Roman"/>
          <w:sz w:val="28"/>
          <w:szCs w:val="28"/>
        </w:rPr>
        <w:t> </w:t>
      </w:r>
      <w:r w:rsidRPr="00C150B0">
        <w:rPr>
          <w:rFonts w:ascii="Times New Roman" w:hAnsi="Times New Roman"/>
          <w:sz w:val="28"/>
          <w:szCs w:val="28"/>
        </w:rPr>
        <w:t>соответствии с</w:t>
      </w:r>
      <w:r>
        <w:rPr>
          <w:rFonts w:ascii="Times New Roman" w:hAnsi="Times New Roman"/>
          <w:sz w:val="28"/>
          <w:szCs w:val="28"/>
        </w:rPr>
        <w:t> </w:t>
      </w:r>
      <w:r w:rsidRPr="00C150B0">
        <w:rPr>
          <w:rFonts w:ascii="Times New Roman" w:hAnsi="Times New Roman"/>
          <w:sz w:val="28"/>
          <w:szCs w:val="28"/>
        </w:rPr>
        <w:t>действующими нормативными документами.</w:t>
      </w:r>
    </w:p>
    <w:p w:rsidR="002D1E45" w:rsidRPr="003A7901" w:rsidRDefault="002D1E45" w:rsidP="003A7901">
      <w:pPr>
        <w:spacing w:after="0" w:line="240" w:lineRule="auto"/>
        <w:ind w:firstLine="709"/>
        <w:jc w:val="both"/>
        <w:rPr>
          <w:rFonts w:ascii="Times New Roman" w:hAnsi="Times New Roman"/>
          <w:sz w:val="28"/>
          <w:szCs w:val="28"/>
        </w:rPr>
      </w:pPr>
      <w:r w:rsidRPr="003A7901">
        <w:rPr>
          <w:rFonts w:ascii="Times New Roman" w:hAnsi="Times New Roman"/>
          <w:sz w:val="28"/>
          <w:szCs w:val="28"/>
        </w:rPr>
        <w:t>Генеральным планом на</w:t>
      </w:r>
      <w:r>
        <w:rPr>
          <w:rFonts w:ascii="Times New Roman" w:hAnsi="Times New Roman"/>
          <w:sz w:val="28"/>
          <w:szCs w:val="28"/>
        </w:rPr>
        <w:t> </w:t>
      </w:r>
      <w:r w:rsidRPr="003A7901">
        <w:rPr>
          <w:rFonts w:ascii="Times New Roman" w:hAnsi="Times New Roman"/>
          <w:sz w:val="28"/>
          <w:szCs w:val="28"/>
        </w:rPr>
        <w:t>расчётный срок предусматривается развитие основного комплекса электрической связи и</w:t>
      </w:r>
      <w:r>
        <w:rPr>
          <w:rFonts w:ascii="Times New Roman" w:hAnsi="Times New Roman"/>
          <w:sz w:val="28"/>
          <w:szCs w:val="28"/>
        </w:rPr>
        <w:t> </w:t>
      </w:r>
      <w:r w:rsidRPr="003A7901">
        <w:rPr>
          <w:rFonts w:ascii="Times New Roman" w:hAnsi="Times New Roman"/>
          <w:sz w:val="28"/>
          <w:szCs w:val="28"/>
        </w:rPr>
        <w:t>телекоммуникаций, включающего в</w:t>
      </w:r>
      <w:r>
        <w:rPr>
          <w:rFonts w:ascii="Times New Roman" w:hAnsi="Times New Roman"/>
          <w:sz w:val="28"/>
          <w:szCs w:val="28"/>
        </w:rPr>
        <w:t> </w:t>
      </w:r>
      <w:r w:rsidRPr="003A7901">
        <w:rPr>
          <w:rFonts w:ascii="Times New Roman" w:hAnsi="Times New Roman"/>
          <w:sz w:val="28"/>
          <w:szCs w:val="28"/>
        </w:rPr>
        <w:t>себя:</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мобильную (сотовую связь), радиотелефонную связь;</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цифровые коммуникационные информационные сети и</w:t>
      </w:r>
      <w:r>
        <w:rPr>
          <w:rFonts w:ascii="Times New Roman" w:hAnsi="Times New Roman"/>
          <w:sz w:val="28"/>
          <w:szCs w:val="28"/>
        </w:rPr>
        <w:t> </w:t>
      </w:r>
      <w:r w:rsidRPr="003A7901">
        <w:rPr>
          <w:rFonts w:ascii="Times New Roman" w:hAnsi="Times New Roman"/>
          <w:sz w:val="28"/>
          <w:szCs w:val="28"/>
        </w:rPr>
        <w:t>системы передачи данных;</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радиовещание;</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телевизионное вещание.</w:t>
      </w:r>
    </w:p>
    <w:p w:rsidR="002D1E45" w:rsidRPr="003A7901" w:rsidRDefault="002D1E45" w:rsidP="003A7901">
      <w:pPr>
        <w:spacing w:after="0" w:line="240" w:lineRule="auto"/>
        <w:ind w:firstLine="709"/>
        <w:jc w:val="both"/>
        <w:rPr>
          <w:rFonts w:ascii="Times New Roman" w:hAnsi="Times New Roman"/>
          <w:sz w:val="28"/>
          <w:szCs w:val="28"/>
        </w:rPr>
      </w:pPr>
      <w:r w:rsidRPr="003A7901">
        <w:rPr>
          <w:rFonts w:ascii="Times New Roman" w:hAnsi="Times New Roman"/>
          <w:sz w:val="28"/>
          <w:szCs w:val="28"/>
        </w:rPr>
        <w:t>Важным моментом на</w:t>
      </w:r>
      <w:r>
        <w:rPr>
          <w:rFonts w:ascii="Times New Roman" w:hAnsi="Times New Roman"/>
          <w:sz w:val="28"/>
          <w:szCs w:val="28"/>
        </w:rPr>
        <w:t> </w:t>
      </w:r>
      <w:r w:rsidRPr="003A7901">
        <w:rPr>
          <w:rFonts w:ascii="Times New Roman" w:hAnsi="Times New Roman"/>
          <w:sz w:val="28"/>
          <w:szCs w:val="28"/>
        </w:rPr>
        <w:t>современном этапе является развитие информационных телекоммуникационных сетей и</w:t>
      </w:r>
      <w:r>
        <w:rPr>
          <w:rFonts w:ascii="Times New Roman" w:hAnsi="Times New Roman"/>
          <w:sz w:val="28"/>
          <w:szCs w:val="28"/>
        </w:rPr>
        <w:t> </w:t>
      </w:r>
      <w:r w:rsidRPr="003A7901">
        <w:rPr>
          <w:rFonts w:ascii="Times New Roman" w:hAnsi="Times New Roman"/>
          <w:sz w:val="28"/>
          <w:szCs w:val="28"/>
        </w:rPr>
        <w:t>сетей передачи данных (мультисервисная сеть) с</w:t>
      </w:r>
      <w:r>
        <w:rPr>
          <w:rFonts w:ascii="Times New Roman" w:hAnsi="Times New Roman"/>
          <w:sz w:val="28"/>
          <w:szCs w:val="28"/>
        </w:rPr>
        <w:t> </w:t>
      </w:r>
      <w:r w:rsidRPr="003A7901">
        <w:rPr>
          <w:rFonts w:ascii="Times New Roman" w:hAnsi="Times New Roman"/>
          <w:sz w:val="28"/>
          <w:szCs w:val="28"/>
        </w:rPr>
        <w:t>предоставлением населению различных мультимедийных услуг, включая услуги доступа в</w:t>
      </w:r>
      <w:r>
        <w:rPr>
          <w:rFonts w:ascii="Times New Roman" w:hAnsi="Times New Roman"/>
          <w:sz w:val="28"/>
          <w:szCs w:val="28"/>
        </w:rPr>
        <w:t> </w:t>
      </w:r>
      <w:r w:rsidRPr="003A7901">
        <w:rPr>
          <w:rFonts w:ascii="Times New Roman" w:hAnsi="Times New Roman"/>
          <w:sz w:val="28"/>
          <w:szCs w:val="28"/>
        </w:rPr>
        <w:t>сеть «Интернет». Мультисервисная сеть позволит предоставить населению и</w:t>
      </w:r>
      <w:r>
        <w:rPr>
          <w:rFonts w:ascii="Times New Roman" w:hAnsi="Times New Roman"/>
          <w:sz w:val="28"/>
          <w:szCs w:val="28"/>
        </w:rPr>
        <w:t> </w:t>
      </w:r>
      <w:r w:rsidRPr="003A7901">
        <w:rPr>
          <w:rFonts w:ascii="Times New Roman" w:hAnsi="Times New Roman"/>
          <w:sz w:val="28"/>
          <w:szCs w:val="28"/>
        </w:rPr>
        <w:t>организациям пакет услуг голосовой телефонии, высокоскоростного доступа к</w:t>
      </w:r>
      <w:r>
        <w:rPr>
          <w:rFonts w:ascii="Times New Roman" w:hAnsi="Times New Roman"/>
          <w:sz w:val="28"/>
          <w:szCs w:val="28"/>
        </w:rPr>
        <w:t> </w:t>
      </w:r>
      <w:r w:rsidRPr="003A7901">
        <w:rPr>
          <w:rFonts w:ascii="Times New Roman" w:hAnsi="Times New Roman"/>
          <w:sz w:val="28"/>
          <w:szCs w:val="28"/>
        </w:rPr>
        <w:t>сети Интернет и</w:t>
      </w:r>
      <w:r>
        <w:rPr>
          <w:rFonts w:ascii="Times New Roman" w:hAnsi="Times New Roman"/>
          <w:sz w:val="28"/>
          <w:szCs w:val="28"/>
        </w:rPr>
        <w:t> </w:t>
      </w:r>
      <w:r w:rsidRPr="003A7901">
        <w:rPr>
          <w:rFonts w:ascii="Times New Roman" w:hAnsi="Times New Roman"/>
          <w:sz w:val="28"/>
          <w:szCs w:val="28"/>
        </w:rPr>
        <w:t>услуг IPTV</w:t>
      </w:r>
      <w:r w:rsidRPr="003A7901">
        <w:rPr>
          <w:rFonts w:ascii="Times New Roman" w:hAnsi="Times New Roman"/>
          <w:sz w:val="28"/>
          <w:szCs w:val="28"/>
          <w:vertAlign w:val="superscript"/>
        </w:rPr>
        <w:footnoteReference w:id="13"/>
      </w:r>
      <w:r w:rsidRPr="003A7901">
        <w:rPr>
          <w:rFonts w:ascii="Times New Roman" w:hAnsi="Times New Roman"/>
          <w:sz w:val="28"/>
          <w:szCs w:val="28"/>
        </w:rPr>
        <w:t xml:space="preserve"> по</w:t>
      </w:r>
      <w:r>
        <w:rPr>
          <w:rFonts w:ascii="Times New Roman" w:hAnsi="Times New Roman"/>
          <w:sz w:val="28"/>
          <w:szCs w:val="28"/>
        </w:rPr>
        <w:t> </w:t>
      </w:r>
      <w:r w:rsidRPr="003A7901">
        <w:rPr>
          <w:rFonts w:ascii="Times New Roman" w:hAnsi="Times New Roman"/>
          <w:sz w:val="28"/>
          <w:szCs w:val="28"/>
        </w:rPr>
        <w:t>одному проводу.</w:t>
      </w:r>
    </w:p>
    <w:p w:rsidR="002D1E45" w:rsidRPr="003A7901" w:rsidRDefault="002D1E45" w:rsidP="003A7901">
      <w:pPr>
        <w:spacing w:after="0" w:line="240" w:lineRule="auto"/>
        <w:ind w:firstLine="709"/>
        <w:jc w:val="both"/>
        <w:rPr>
          <w:rFonts w:ascii="Times New Roman" w:hAnsi="Times New Roman"/>
          <w:sz w:val="28"/>
          <w:szCs w:val="28"/>
        </w:rPr>
      </w:pPr>
      <w:r w:rsidRPr="003A7901">
        <w:rPr>
          <w:rFonts w:ascii="Times New Roman" w:hAnsi="Times New Roman"/>
          <w:sz w:val="28"/>
          <w:szCs w:val="28"/>
        </w:rPr>
        <w:t>Основные мероприятия по</w:t>
      </w:r>
      <w:r>
        <w:rPr>
          <w:rFonts w:ascii="Times New Roman" w:hAnsi="Times New Roman"/>
          <w:sz w:val="28"/>
          <w:szCs w:val="28"/>
        </w:rPr>
        <w:t> </w:t>
      </w:r>
      <w:r w:rsidRPr="003A7901">
        <w:rPr>
          <w:rFonts w:ascii="Times New Roman" w:hAnsi="Times New Roman"/>
          <w:sz w:val="28"/>
          <w:szCs w:val="28"/>
        </w:rPr>
        <w:t>развитию телефонной сети следующие:</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создание и</w:t>
      </w:r>
      <w:r>
        <w:rPr>
          <w:rFonts w:ascii="Times New Roman" w:hAnsi="Times New Roman"/>
          <w:sz w:val="28"/>
          <w:szCs w:val="28"/>
        </w:rPr>
        <w:t> </w:t>
      </w:r>
      <w:r w:rsidRPr="003A7901">
        <w:rPr>
          <w:rFonts w:ascii="Times New Roman" w:hAnsi="Times New Roman"/>
          <w:sz w:val="28"/>
          <w:szCs w:val="28"/>
        </w:rPr>
        <w:t>развитие информационных телекоммуникационных сетей передачи данных;</w:t>
      </w:r>
    </w:p>
    <w:p w:rsidR="002D1E45" w:rsidRPr="003A7901"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расширение мультимедийных услуг, предоставляемых населению, включая «Интернет».</w:t>
      </w:r>
    </w:p>
    <w:p w:rsidR="002D1E45" w:rsidRDefault="002D1E45" w:rsidP="00BE1DE4">
      <w:pPr>
        <w:spacing w:after="0" w:line="240" w:lineRule="auto"/>
        <w:ind w:firstLine="709"/>
        <w:jc w:val="both"/>
        <w:rPr>
          <w:rFonts w:ascii="Times New Roman" w:hAnsi="Times New Roman"/>
          <w:sz w:val="28"/>
          <w:szCs w:val="28"/>
        </w:rPr>
      </w:pPr>
      <w:r w:rsidRPr="00C150B0">
        <w:rPr>
          <w:rFonts w:ascii="Times New Roman" w:hAnsi="Times New Roman"/>
          <w:sz w:val="28"/>
          <w:szCs w:val="28"/>
        </w:rPr>
        <w:t>Ёмкость сети связи общего пользования определена из</w:t>
      </w:r>
      <w:r>
        <w:rPr>
          <w:rFonts w:ascii="Times New Roman" w:hAnsi="Times New Roman"/>
          <w:sz w:val="28"/>
          <w:szCs w:val="28"/>
        </w:rPr>
        <w:t> </w:t>
      </w:r>
      <w:r w:rsidRPr="00C150B0">
        <w:rPr>
          <w:rFonts w:ascii="Times New Roman" w:hAnsi="Times New Roman"/>
          <w:sz w:val="28"/>
          <w:szCs w:val="28"/>
        </w:rPr>
        <w:t>расчёта 100 % обеспечения квартирного сектора широкополосным доступом в</w:t>
      </w:r>
      <w:r>
        <w:rPr>
          <w:rFonts w:ascii="Times New Roman" w:hAnsi="Times New Roman"/>
          <w:sz w:val="28"/>
          <w:szCs w:val="28"/>
        </w:rPr>
        <w:t> </w:t>
      </w:r>
      <w:r w:rsidRPr="00C150B0">
        <w:rPr>
          <w:rFonts w:ascii="Times New Roman" w:hAnsi="Times New Roman"/>
          <w:sz w:val="28"/>
          <w:szCs w:val="28"/>
        </w:rPr>
        <w:t>интернет, кабельным телевидением, услугами IP-телефонии (при установке одной точки доступа для одной квартиры). Количество точек доступа для общественной застройки принято равным 20 % от</w:t>
      </w:r>
      <w:r>
        <w:rPr>
          <w:rFonts w:ascii="Times New Roman" w:hAnsi="Times New Roman"/>
          <w:sz w:val="28"/>
          <w:szCs w:val="28"/>
        </w:rPr>
        <w:t> </w:t>
      </w:r>
      <w:r w:rsidRPr="00C150B0">
        <w:rPr>
          <w:rFonts w:ascii="Times New Roman" w:hAnsi="Times New Roman"/>
          <w:sz w:val="28"/>
          <w:szCs w:val="28"/>
        </w:rPr>
        <w:t>общего числа абонентов. Расчёт ёмкости телефонной связи общего пользования на</w:t>
      </w:r>
      <w:r>
        <w:rPr>
          <w:rFonts w:ascii="Times New Roman" w:hAnsi="Times New Roman"/>
          <w:sz w:val="28"/>
          <w:szCs w:val="28"/>
        </w:rPr>
        <w:t> </w:t>
      </w:r>
      <w:r w:rsidRPr="00C150B0">
        <w:rPr>
          <w:rFonts w:ascii="Times New Roman" w:hAnsi="Times New Roman"/>
          <w:sz w:val="28"/>
          <w:szCs w:val="28"/>
        </w:rPr>
        <w:t>расчётный срок (20</w:t>
      </w:r>
      <w:r>
        <w:rPr>
          <w:rFonts w:ascii="Times New Roman" w:hAnsi="Times New Roman"/>
          <w:sz w:val="28"/>
          <w:szCs w:val="28"/>
        </w:rPr>
        <w:t>40</w:t>
      </w:r>
      <w:r w:rsidRPr="00C150B0">
        <w:rPr>
          <w:rFonts w:ascii="Times New Roman" w:hAnsi="Times New Roman"/>
          <w:sz w:val="28"/>
          <w:szCs w:val="28"/>
        </w:rPr>
        <w:t xml:space="preserve"> год) представлен ниже (</w:t>
      </w:r>
      <w:r>
        <w:rPr>
          <w:rFonts w:ascii="Times New Roman" w:hAnsi="Times New Roman"/>
          <w:sz w:val="28"/>
          <w:szCs w:val="28"/>
        </w:rPr>
        <w:t xml:space="preserve">таблица </w:t>
      </w:r>
      <w:r>
        <w:rPr>
          <w:rFonts w:ascii="Times New Roman" w:hAnsi="Times New Roman"/>
          <w:sz w:val="28"/>
          <w:szCs w:val="28"/>
        </w:rPr>
        <w:fldChar w:fldCharType="begin"/>
      </w:r>
      <w:r>
        <w:rPr>
          <w:rFonts w:ascii="Times New Roman" w:hAnsi="Times New Roman"/>
          <w:sz w:val="28"/>
          <w:szCs w:val="28"/>
        </w:rPr>
        <w:instrText xml:space="preserve"> REF Tbl_Svyaz \h </w:instrText>
      </w:r>
      <w:r w:rsidRPr="00E65328">
        <w:rPr>
          <w:rFonts w:ascii="Times New Roman" w:hAnsi="Times New Roman"/>
          <w:sz w:val="28"/>
          <w:szCs w:val="28"/>
        </w:rPr>
      </w:r>
      <w:r>
        <w:rPr>
          <w:rFonts w:ascii="Times New Roman" w:hAnsi="Times New Roman"/>
          <w:sz w:val="28"/>
          <w:szCs w:val="28"/>
        </w:rPr>
        <w:fldChar w:fldCharType="separate"/>
      </w:r>
      <w:r>
        <w:rPr>
          <w:rFonts w:ascii="Times New Roman" w:hAnsi="Times New Roman"/>
          <w:noProof/>
          <w:sz w:val="28"/>
          <w:szCs w:val="28"/>
        </w:rPr>
        <w:t>65</w:t>
      </w:r>
      <w:r>
        <w:rPr>
          <w:rFonts w:ascii="Times New Roman" w:hAnsi="Times New Roman"/>
          <w:sz w:val="28"/>
          <w:szCs w:val="28"/>
        </w:rPr>
        <w:fldChar w:fldCharType="end"/>
      </w:r>
      <w:r w:rsidRPr="00C150B0">
        <w:rPr>
          <w:rFonts w:ascii="Times New Roman" w:hAnsi="Times New Roman"/>
          <w:sz w:val="28"/>
          <w:szCs w:val="28"/>
        </w:rPr>
        <w:t>).</w:t>
      </w:r>
    </w:p>
    <w:p w:rsidR="002D1E45" w:rsidRPr="003A7901" w:rsidRDefault="002D1E45" w:rsidP="00E50CB4">
      <w:pPr>
        <w:autoSpaceDE w:val="0"/>
        <w:autoSpaceDN w:val="0"/>
        <w:adjustRightInd w:val="0"/>
        <w:spacing w:after="0" w:line="240" w:lineRule="auto"/>
        <w:ind w:firstLine="709"/>
        <w:jc w:val="right"/>
        <w:rPr>
          <w:rFonts w:ascii="Times New Roman" w:hAnsi="Times New Roman"/>
          <w:sz w:val="28"/>
          <w:szCs w:val="28"/>
          <w:lang w:eastAsia="ru-RU"/>
        </w:rPr>
      </w:pPr>
      <w:r w:rsidRPr="003A7901">
        <w:rPr>
          <w:rFonts w:ascii="Times New Roman" w:hAnsi="Times New Roman"/>
          <w:sz w:val="28"/>
          <w:szCs w:val="28"/>
          <w:lang w:eastAsia="ru-RU"/>
        </w:rPr>
        <w:t xml:space="preserve">Таблица </w:t>
      </w:r>
      <w:bookmarkStart w:id="346" w:name="Tbl_Svyaz"/>
      <w:r w:rsidRPr="003A7901">
        <w:rPr>
          <w:rFonts w:ascii="Times New Roman" w:hAnsi="Times New Roman"/>
          <w:sz w:val="28"/>
          <w:szCs w:val="28"/>
        </w:rPr>
        <w:fldChar w:fldCharType="begin"/>
      </w:r>
      <w:r w:rsidRPr="003A7901">
        <w:rPr>
          <w:rFonts w:ascii="Times New Roman" w:hAnsi="Times New Roman"/>
          <w:sz w:val="28"/>
          <w:szCs w:val="28"/>
        </w:rPr>
        <w:instrText xml:space="preserve"> SEQ Таблица \* ARABIC </w:instrText>
      </w:r>
      <w:r w:rsidRPr="003A7901">
        <w:rPr>
          <w:rFonts w:ascii="Times New Roman" w:hAnsi="Times New Roman"/>
          <w:sz w:val="28"/>
          <w:szCs w:val="28"/>
        </w:rPr>
        <w:fldChar w:fldCharType="separate"/>
      </w:r>
      <w:r>
        <w:rPr>
          <w:rFonts w:ascii="Times New Roman" w:hAnsi="Times New Roman"/>
          <w:noProof/>
          <w:sz w:val="28"/>
          <w:szCs w:val="28"/>
        </w:rPr>
        <w:t>65</w:t>
      </w:r>
      <w:r w:rsidRPr="003A7901">
        <w:rPr>
          <w:rFonts w:ascii="Times New Roman" w:hAnsi="Times New Roman"/>
          <w:sz w:val="28"/>
          <w:szCs w:val="28"/>
        </w:rPr>
        <w:fldChar w:fldCharType="end"/>
      </w:r>
      <w:bookmarkEnd w:id="346"/>
    </w:p>
    <w:p w:rsidR="002D1E45" w:rsidRDefault="002D1E45" w:rsidP="00E50CB4">
      <w:pPr>
        <w:spacing w:line="240" w:lineRule="auto"/>
        <w:jc w:val="center"/>
        <w:rPr>
          <w:rFonts w:ascii="Times New Roman" w:hAnsi="Times New Roman"/>
          <w:color w:val="000000"/>
          <w:sz w:val="28"/>
          <w:szCs w:val="28"/>
        </w:rPr>
      </w:pPr>
      <w:r w:rsidRPr="00F34EFB">
        <w:rPr>
          <w:rFonts w:ascii="Times New Roman" w:hAnsi="Times New Roman"/>
          <w:color w:val="000000"/>
          <w:sz w:val="28"/>
          <w:szCs w:val="28"/>
        </w:rPr>
        <w:t xml:space="preserve">Расчёт ёмкости сети связи общего пользования </w:t>
      </w:r>
      <w:r w:rsidRPr="005D68DC">
        <w:rPr>
          <w:rFonts w:ascii="Times New Roman" w:hAnsi="Times New Roman"/>
          <w:color w:val="000000"/>
          <w:sz w:val="28"/>
          <w:szCs w:val="28"/>
        </w:rPr>
        <w:t>на</w:t>
      </w:r>
      <w:r>
        <w:rPr>
          <w:rFonts w:ascii="Times New Roman" w:hAnsi="Times New Roman"/>
          <w:color w:val="000000"/>
          <w:sz w:val="28"/>
          <w:szCs w:val="28"/>
        </w:rPr>
        <w:t> </w:t>
      </w:r>
      <w:r w:rsidRPr="005D68DC">
        <w:rPr>
          <w:rFonts w:ascii="Times New Roman" w:hAnsi="Times New Roman"/>
          <w:color w:val="000000"/>
          <w:sz w:val="28"/>
          <w:szCs w:val="28"/>
        </w:rPr>
        <w:t>расчётный срок</w:t>
      </w:r>
      <w:r>
        <w:rPr>
          <w:rFonts w:ascii="Times New Roman" w:hAnsi="Times New Roman"/>
          <w:color w:val="000000"/>
          <w:sz w:val="28"/>
          <w:szCs w:val="28"/>
        </w:rPr>
        <w:t xml:space="preserve"> с учётом </w:t>
      </w:r>
      <w:r w:rsidRPr="00EF5299">
        <w:rPr>
          <w:rFonts w:ascii="Times New Roman" w:hAnsi="Times New Roman"/>
          <w:color w:val="000000"/>
          <w:sz w:val="28"/>
          <w:szCs w:val="28"/>
        </w:rPr>
        <w:t>общественной застройки</w:t>
      </w:r>
      <w:r w:rsidRPr="005D68DC">
        <w:rPr>
          <w:rFonts w:ascii="Times New Roman" w:hAnsi="Times New Roman"/>
          <w:color w:val="000000"/>
          <w:sz w:val="28"/>
          <w:szCs w:val="28"/>
        </w:rPr>
        <w:t xml:space="preserve"> (20</w:t>
      </w:r>
      <w:r>
        <w:rPr>
          <w:rFonts w:ascii="Times New Roman" w:hAnsi="Times New Roman"/>
          <w:color w:val="000000"/>
          <w:sz w:val="28"/>
          <w:szCs w:val="28"/>
        </w:rPr>
        <w:t>40</w:t>
      </w:r>
      <w:r w:rsidRPr="005D68DC">
        <w:rPr>
          <w:rFonts w:ascii="Times New Roman" w:hAnsi="Times New Roman"/>
          <w:color w:val="000000"/>
          <w:sz w:val="28"/>
          <w:szCs w:val="28"/>
        </w:rPr>
        <w:t xml:space="preserve"> год)</w:t>
      </w:r>
    </w:p>
    <w:tbl>
      <w:tblPr>
        <w:tblW w:w="0" w:type="auto"/>
        <w:jc w:val="center"/>
        <w:tblLayout w:type="fixed"/>
        <w:tblLook w:val="00A0"/>
      </w:tblPr>
      <w:tblGrid>
        <w:gridCol w:w="2523"/>
        <w:gridCol w:w="2024"/>
        <w:gridCol w:w="2202"/>
        <w:gridCol w:w="1813"/>
        <w:gridCol w:w="1633"/>
      </w:tblGrid>
      <w:tr w:rsidR="002D1E45" w:rsidRPr="00F17CED" w:rsidTr="00455B9C">
        <w:trPr>
          <w:trHeight w:val="170"/>
          <w:jc w:val="center"/>
        </w:trPr>
        <w:tc>
          <w:tcPr>
            <w:tcW w:w="2523" w:type="dxa"/>
            <w:vMerge w:val="restart"/>
            <w:tcBorders>
              <w:top w:val="single" w:sz="4" w:space="0" w:color="auto"/>
              <w:left w:val="single" w:sz="4" w:space="0" w:color="auto"/>
              <w:bottom w:val="single" w:sz="4" w:space="0" w:color="auto"/>
              <w:right w:val="single" w:sz="4" w:space="0" w:color="auto"/>
            </w:tcBorders>
            <w:vAlign w:val="center"/>
          </w:tcPr>
          <w:p w:rsidR="002D1E45" w:rsidRPr="00F17CED" w:rsidRDefault="002D1E45" w:rsidP="00455B9C">
            <w:pPr>
              <w:spacing w:after="0" w:line="240" w:lineRule="auto"/>
              <w:jc w:val="center"/>
              <w:rPr>
                <w:rFonts w:ascii="Times New Roman" w:hAnsi="Times New Roman"/>
                <w:color w:val="000000"/>
                <w:sz w:val="24"/>
                <w:szCs w:val="24"/>
                <w:lang w:eastAsia="ru-RU"/>
              </w:rPr>
            </w:pPr>
            <w:r w:rsidRPr="00F17CED">
              <w:rPr>
                <w:rFonts w:ascii="Times New Roman" w:hAnsi="Times New Roman"/>
                <w:color w:val="000000"/>
                <w:sz w:val="24"/>
                <w:szCs w:val="24"/>
                <w:lang w:eastAsia="ru-RU"/>
              </w:rPr>
              <w:t>Наименование муниципальных образований</w:t>
            </w:r>
          </w:p>
        </w:tc>
        <w:tc>
          <w:tcPr>
            <w:tcW w:w="2024" w:type="dxa"/>
            <w:vMerge w:val="restart"/>
            <w:tcBorders>
              <w:top w:val="single" w:sz="4" w:space="0" w:color="auto"/>
              <w:left w:val="single" w:sz="4" w:space="0" w:color="auto"/>
              <w:bottom w:val="single" w:sz="4" w:space="0" w:color="auto"/>
              <w:right w:val="single" w:sz="4" w:space="0" w:color="auto"/>
            </w:tcBorders>
            <w:vAlign w:val="center"/>
          </w:tcPr>
          <w:p w:rsidR="002D1E45" w:rsidRPr="00F17CED" w:rsidRDefault="002D1E45" w:rsidP="00455B9C">
            <w:pPr>
              <w:spacing w:after="0" w:line="240" w:lineRule="auto"/>
              <w:jc w:val="center"/>
              <w:rPr>
                <w:rFonts w:ascii="Times New Roman" w:hAnsi="Times New Roman"/>
                <w:color w:val="000000"/>
                <w:sz w:val="24"/>
                <w:szCs w:val="24"/>
                <w:lang w:eastAsia="ru-RU"/>
              </w:rPr>
            </w:pPr>
            <w:r w:rsidRPr="00F17CED">
              <w:rPr>
                <w:rFonts w:ascii="Times New Roman" w:hAnsi="Times New Roman"/>
                <w:color w:val="000000"/>
                <w:sz w:val="24"/>
                <w:szCs w:val="24"/>
                <w:lang w:eastAsia="ru-RU"/>
              </w:rPr>
              <w:t>Численность населения на</w:t>
            </w:r>
            <w:r>
              <w:rPr>
                <w:rFonts w:ascii="Times New Roman" w:hAnsi="Times New Roman"/>
                <w:color w:val="000000"/>
                <w:sz w:val="24"/>
                <w:szCs w:val="24"/>
                <w:lang w:eastAsia="ru-RU"/>
              </w:rPr>
              <w:t> </w:t>
            </w:r>
            <w:r w:rsidRPr="00F17CED">
              <w:rPr>
                <w:rFonts w:ascii="Times New Roman" w:hAnsi="Times New Roman"/>
                <w:color w:val="000000"/>
                <w:sz w:val="24"/>
                <w:szCs w:val="24"/>
                <w:lang w:eastAsia="ru-RU"/>
              </w:rPr>
              <w:t>первую очередь, чел.</w:t>
            </w:r>
          </w:p>
        </w:tc>
        <w:tc>
          <w:tcPr>
            <w:tcW w:w="2202" w:type="dxa"/>
            <w:vMerge w:val="restart"/>
            <w:tcBorders>
              <w:top w:val="single" w:sz="4" w:space="0" w:color="auto"/>
              <w:left w:val="single" w:sz="4" w:space="0" w:color="auto"/>
              <w:bottom w:val="single" w:sz="4" w:space="0" w:color="auto"/>
              <w:right w:val="single" w:sz="4" w:space="0" w:color="auto"/>
            </w:tcBorders>
            <w:vAlign w:val="center"/>
          </w:tcPr>
          <w:p w:rsidR="002D1E45" w:rsidRPr="00F17CED" w:rsidRDefault="002D1E45" w:rsidP="00455B9C">
            <w:pPr>
              <w:spacing w:after="0" w:line="240" w:lineRule="auto"/>
              <w:jc w:val="center"/>
              <w:rPr>
                <w:rFonts w:ascii="Times New Roman" w:hAnsi="Times New Roman"/>
                <w:color w:val="000000"/>
                <w:sz w:val="24"/>
                <w:szCs w:val="24"/>
                <w:lang w:eastAsia="ru-RU"/>
              </w:rPr>
            </w:pPr>
            <w:r w:rsidRPr="00F17CED">
              <w:rPr>
                <w:rFonts w:ascii="Times New Roman" w:hAnsi="Times New Roman"/>
                <w:color w:val="000000"/>
                <w:sz w:val="24"/>
                <w:szCs w:val="24"/>
                <w:lang w:eastAsia="ru-RU"/>
              </w:rPr>
              <w:t>Численность населения на</w:t>
            </w:r>
            <w:r>
              <w:rPr>
                <w:rFonts w:ascii="Times New Roman" w:hAnsi="Times New Roman"/>
                <w:color w:val="000000"/>
                <w:sz w:val="24"/>
                <w:szCs w:val="24"/>
                <w:lang w:eastAsia="ru-RU"/>
              </w:rPr>
              <w:t> </w:t>
            </w:r>
            <w:r w:rsidRPr="00F17CED">
              <w:rPr>
                <w:rFonts w:ascii="Times New Roman" w:hAnsi="Times New Roman"/>
                <w:color w:val="000000"/>
                <w:sz w:val="24"/>
                <w:szCs w:val="24"/>
                <w:lang w:eastAsia="ru-RU"/>
              </w:rPr>
              <w:t>расчётный срок, чел.</w:t>
            </w:r>
          </w:p>
        </w:tc>
        <w:tc>
          <w:tcPr>
            <w:tcW w:w="3446" w:type="dxa"/>
            <w:gridSpan w:val="2"/>
            <w:tcBorders>
              <w:top w:val="single" w:sz="4" w:space="0" w:color="auto"/>
              <w:left w:val="nil"/>
              <w:bottom w:val="single" w:sz="4" w:space="0" w:color="auto"/>
              <w:right w:val="single" w:sz="4" w:space="0" w:color="auto"/>
            </w:tcBorders>
            <w:vAlign w:val="center"/>
          </w:tcPr>
          <w:p w:rsidR="002D1E45" w:rsidRPr="00F17CED" w:rsidRDefault="002D1E45" w:rsidP="00455B9C">
            <w:pPr>
              <w:spacing w:after="0" w:line="240" w:lineRule="auto"/>
              <w:jc w:val="center"/>
              <w:rPr>
                <w:rFonts w:ascii="Times New Roman" w:hAnsi="Times New Roman"/>
                <w:color w:val="000000"/>
                <w:sz w:val="24"/>
                <w:szCs w:val="24"/>
                <w:lang w:eastAsia="ru-RU"/>
              </w:rPr>
            </w:pPr>
            <w:r w:rsidRPr="00F17CED">
              <w:rPr>
                <w:rFonts w:ascii="Times New Roman" w:hAnsi="Times New Roman"/>
                <w:color w:val="000000"/>
                <w:sz w:val="24"/>
                <w:szCs w:val="24"/>
                <w:lang w:eastAsia="ru-RU"/>
              </w:rPr>
              <w:t>Число телефонов, шт.</w:t>
            </w:r>
          </w:p>
        </w:tc>
      </w:tr>
      <w:tr w:rsidR="002D1E45" w:rsidRPr="00F17CED" w:rsidTr="00455B9C">
        <w:trPr>
          <w:trHeight w:val="170"/>
          <w:jc w:val="center"/>
        </w:trPr>
        <w:tc>
          <w:tcPr>
            <w:tcW w:w="2523" w:type="dxa"/>
            <w:vMerge/>
            <w:tcBorders>
              <w:top w:val="single" w:sz="4" w:space="0" w:color="auto"/>
              <w:left w:val="single" w:sz="4" w:space="0" w:color="auto"/>
              <w:bottom w:val="single" w:sz="4" w:space="0" w:color="auto"/>
              <w:right w:val="single" w:sz="4" w:space="0" w:color="auto"/>
            </w:tcBorders>
            <w:vAlign w:val="center"/>
          </w:tcPr>
          <w:p w:rsidR="002D1E45" w:rsidRPr="00F17CED" w:rsidRDefault="002D1E45" w:rsidP="00455B9C">
            <w:pPr>
              <w:spacing w:after="0" w:line="240" w:lineRule="auto"/>
              <w:rPr>
                <w:rFonts w:ascii="Times New Roman" w:hAnsi="Times New Roman"/>
                <w:color w:val="000000"/>
                <w:sz w:val="24"/>
                <w:szCs w:val="24"/>
                <w:lang w:eastAsia="ru-RU"/>
              </w:rPr>
            </w:pPr>
          </w:p>
        </w:tc>
        <w:tc>
          <w:tcPr>
            <w:tcW w:w="2024" w:type="dxa"/>
            <w:vMerge/>
            <w:tcBorders>
              <w:top w:val="single" w:sz="4" w:space="0" w:color="auto"/>
              <w:left w:val="single" w:sz="4" w:space="0" w:color="auto"/>
              <w:bottom w:val="single" w:sz="4" w:space="0" w:color="auto"/>
              <w:right w:val="single" w:sz="4" w:space="0" w:color="auto"/>
            </w:tcBorders>
            <w:vAlign w:val="center"/>
          </w:tcPr>
          <w:p w:rsidR="002D1E45" w:rsidRPr="00F17CED" w:rsidRDefault="002D1E45" w:rsidP="00455B9C">
            <w:pPr>
              <w:spacing w:after="0" w:line="240" w:lineRule="auto"/>
              <w:rPr>
                <w:rFonts w:ascii="Times New Roman" w:hAnsi="Times New Roman"/>
                <w:color w:val="000000"/>
                <w:sz w:val="24"/>
                <w:szCs w:val="24"/>
                <w:lang w:eastAsia="ru-RU"/>
              </w:rPr>
            </w:pPr>
          </w:p>
        </w:tc>
        <w:tc>
          <w:tcPr>
            <w:tcW w:w="2202" w:type="dxa"/>
            <w:vMerge/>
            <w:tcBorders>
              <w:top w:val="single" w:sz="4" w:space="0" w:color="auto"/>
              <w:left w:val="single" w:sz="4" w:space="0" w:color="auto"/>
              <w:bottom w:val="single" w:sz="4" w:space="0" w:color="auto"/>
              <w:right w:val="single" w:sz="4" w:space="0" w:color="auto"/>
            </w:tcBorders>
            <w:vAlign w:val="center"/>
          </w:tcPr>
          <w:p w:rsidR="002D1E45" w:rsidRPr="00F17CED" w:rsidRDefault="002D1E45" w:rsidP="00455B9C">
            <w:pPr>
              <w:spacing w:after="0" w:line="240" w:lineRule="auto"/>
              <w:rPr>
                <w:rFonts w:ascii="Times New Roman" w:hAnsi="Times New Roman"/>
                <w:color w:val="000000"/>
                <w:sz w:val="24"/>
                <w:szCs w:val="24"/>
                <w:lang w:eastAsia="ru-RU"/>
              </w:rPr>
            </w:pPr>
          </w:p>
        </w:tc>
        <w:tc>
          <w:tcPr>
            <w:tcW w:w="1813" w:type="dxa"/>
            <w:tcBorders>
              <w:top w:val="nil"/>
              <w:left w:val="nil"/>
              <w:bottom w:val="single" w:sz="4" w:space="0" w:color="auto"/>
              <w:right w:val="single" w:sz="4" w:space="0" w:color="auto"/>
            </w:tcBorders>
            <w:vAlign w:val="center"/>
          </w:tcPr>
          <w:p w:rsidR="002D1E45" w:rsidRPr="00F17CED" w:rsidRDefault="002D1E45" w:rsidP="00455B9C">
            <w:pPr>
              <w:spacing w:after="0" w:line="240" w:lineRule="auto"/>
              <w:jc w:val="center"/>
              <w:rPr>
                <w:rFonts w:ascii="Times New Roman" w:hAnsi="Times New Roman"/>
                <w:color w:val="000000"/>
                <w:sz w:val="24"/>
                <w:szCs w:val="24"/>
                <w:lang w:eastAsia="ru-RU"/>
              </w:rPr>
            </w:pPr>
            <w:r w:rsidRPr="00F17CED">
              <w:rPr>
                <w:rFonts w:ascii="Times New Roman" w:hAnsi="Times New Roman"/>
                <w:color w:val="000000"/>
                <w:sz w:val="24"/>
                <w:szCs w:val="24"/>
                <w:lang w:eastAsia="ru-RU"/>
              </w:rPr>
              <w:t>1 очередь</w:t>
            </w:r>
          </w:p>
        </w:tc>
        <w:tc>
          <w:tcPr>
            <w:tcW w:w="1633" w:type="dxa"/>
            <w:tcBorders>
              <w:top w:val="nil"/>
              <w:left w:val="nil"/>
              <w:bottom w:val="single" w:sz="4" w:space="0" w:color="auto"/>
              <w:right w:val="single" w:sz="4" w:space="0" w:color="auto"/>
            </w:tcBorders>
            <w:vAlign w:val="center"/>
          </w:tcPr>
          <w:p w:rsidR="002D1E45" w:rsidRPr="00F17CED" w:rsidRDefault="002D1E45" w:rsidP="00455B9C">
            <w:pPr>
              <w:spacing w:after="0" w:line="240" w:lineRule="auto"/>
              <w:jc w:val="center"/>
              <w:rPr>
                <w:rFonts w:ascii="Times New Roman" w:hAnsi="Times New Roman"/>
                <w:color w:val="000000"/>
                <w:sz w:val="24"/>
                <w:szCs w:val="24"/>
                <w:lang w:eastAsia="ru-RU"/>
              </w:rPr>
            </w:pPr>
            <w:r w:rsidRPr="00F17CED">
              <w:rPr>
                <w:rFonts w:ascii="Times New Roman" w:hAnsi="Times New Roman"/>
                <w:color w:val="000000"/>
                <w:sz w:val="24"/>
                <w:szCs w:val="24"/>
                <w:lang w:eastAsia="ru-RU"/>
              </w:rPr>
              <w:t>Расчётный срок</w:t>
            </w:r>
          </w:p>
        </w:tc>
      </w:tr>
      <w:tr w:rsidR="002D1E45" w:rsidRPr="00F17CED" w:rsidTr="00455B9C">
        <w:trPr>
          <w:trHeight w:val="170"/>
          <w:jc w:val="center"/>
        </w:trPr>
        <w:tc>
          <w:tcPr>
            <w:tcW w:w="2523" w:type="dxa"/>
            <w:tcBorders>
              <w:top w:val="nil"/>
              <w:left w:val="single" w:sz="4" w:space="0" w:color="auto"/>
              <w:bottom w:val="single" w:sz="4" w:space="0" w:color="auto"/>
              <w:right w:val="single" w:sz="4" w:space="0" w:color="auto"/>
            </w:tcBorders>
          </w:tcPr>
          <w:p w:rsidR="002D1E45" w:rsidRPr="0011400E" w:rsidRDefault="002D1E45" w:rsidP="004B3418">
            <w:pPr>
              <w:spacing w:after="0" w:line="240" w:lineRule="auto"/>
              <w:rPr>
                <w:rFonts w:ascii="Times New Roman" w:hAnsi="Times New Roman"/>
                <w:color w:val="000000"/>
                <w:sz w:val="24"/>
                <w:szCs w:val="28"/>
                <w:lang w:eastAsia="ru-RU"/>
              </w:rPr>
            </w:pPr>
            <w:r>
              <w:rPr>
                <w:rFonts w:ascii="Times New Roman" w:hAnsi="Times New Roman"/>
                <w:color w:val="000000"/>
                <w:sz w:val="24"/>
                <w:szCs w:val="28"/>
                <w:lang w:eastAsia="ru-RU"/>
              </w:rPr>
              <w:t>г. Куйбышев</w:t>
            </w:r>
          </w:p>
        </w:tc>
        <w:tc>
          <w:tcPr>
            <w:tcW w:w="2024" w:type="dxa"/>
            <w:tcBorders>
              <w:top w:val="nil"/>
              <w:left w:val="nil"/>
              <w:bottom w:val="single" w:sz="4" w:space="0" w:color="auto"/>
              <w:right w:val="single" w:sz="4" w:space="0" w:color="auto"/>
            </w:tcBorders>
          </w:tcPr>
          <w:p w:rsidR="002D1E45" w:rsidRPr="00F17CED" w:rsidRDefault="002D1E45" w:rsidP="004B3418">
            <w:pPr>
              <w:spacing w:after="0" w:line="240" w:lineRule="auto"/>
              <w:jc w:val="center"/>
              <w:rPr>
                <w:rFonts w:ascii="Times New Roman" w:hAnsi="Times New Roman"/>
                <w:color w:val="000000"/>
                <w:sz w:val="24"/>
                <w:szCs w:val="24"/>
                <w:lang w:eastAsia="ru-RU"/>
              </w:rPr>
            </w:pPr>
            <w:r w:rsidRPr="004B3418">
              <w:rPr>
                <w:rFonts w:ascii="Times New Roman" w:hAnsi="Times New Roman"/>
                <w:color w:val="000000"/>
                <w:sz w:val="24"/>
                <w:szCs w:val="24"/>
                <w:lang w:eastAsia="ru-RU"/>
              </w:rPr>
              <w:t>41 250</w:t>
            </w:r>
          </w:p>
        </w:tc>
        <w:tc>
          <w:tcPr>
            <w:tcW w:w="2202" w:type="dxa"/>
            <w:tcBorders>
              <w:top w:val="nil"/>
              <w:left w:val="nil"/>
              <w:bottom w:val="single" w:sz="4" w:space="0" w:color="auto"/>
              <w:right w:val="single" w:sz="4" w:space="0" w:color="auto"/>
            </w:tcBorders>
          </w:tcPr>
          <w:p w:rsidR="002D1E45" w:rsidRPr="00F17CED" w:rsidRDefault="002D1E45" w:rsidP="004B3418">
            <w:pPr>
              <w:spacing w:after="0" w:line="240" w:lineRule="auto"/>
              <w:jc w:val="center"/>
              <w:rPr>
                <w:rFonts w:ascii="Times New Roman" w:hAnsi="Times New Roman"/>
                <w:color w:val="000000"/>
                <w:sz w:val="24"/>
                <w:szCs w:val="24"/>
                <w:lang w:eastAsia="ru-RU"/>
              </w:rPr>
            </w:pPr>
            <w:r w:rsidRPr="004B3418">
              <w:rPr>
                <w:rFonts w:ascii="Times New Roman" w:hAnsi="Times New Roman"/>
                <w:color w:val="000000"/>
                <w:sz w:val="24"/>
                <w:szCs w:val="24"/>
                <w:lang w:eastAsia="ru-RU"/>
              </w:rPr>
              <w:t>38 950</w:t>
            </w:r>
          </w:p>
        </w:tc>
        <w:tc>
          <w:tcPr>
            <w:tcW w:w="1813" w:type="dxa"/>
            <w:tcBorders>
              <w:top w:val="nil"/>
              <w:left w:val="nil"/>
              <w:bottom w:val="single" w:sz="4" w:space="0" w:color="auto"/>
              <w:right w:val="single" w:sz="4" w:space="0" w:color="auto"/>
            </w:tcBorders>
          </w:tcPr>
          <w:p w:rsidR="002D1E45" w:rsidRPr="00F17CED" w:rsidRDefault="002D1E45" w:rsidP="004B3418">
            <w:pPr>
              <w:spacing w:after="0" w:line="240" w:lineRule="auto"/>
              <w:jc w:val="center"/>
              <w:rPr>
                <w:rFonts w:ascii="Times New Roman" w:hAnsi="Times New Roman"/>
                <w:color w:val="000000"/>
                <w:sz w:val="24"/>
                <w:szCs w:val="24"/>
                <w:lang w:eastAsia="ru-RU"/>
              </w:rPr>
            </w:pPr>
            <w:r w:rsidRPr="004B3418">
              <w:rPr>
                <w:rFonts w:ascii="Times New Roman" w:hAnsi="Times New Roman"/>
                <w:color w:val="000000"/>
                <w:sz w:val="24"/>
                <w:szCs w:val="24"/>
                <w:lang w:eastAsia="ru-RU"/>
              </w:rPr>
              <w:t>14143</w:t>
            </w:r>
          </w:p>
        </w:tc>
        <w:tc>
          <w:tcPr>
            <w:tcW w:w="1633" w:type="dxa"/>
            <w:tcBorders>
              <w:top w:val="nil"/>
              <w:left w:val="nil"/>
              <w:bottom w:val="single" w:sz="4" w:space="0" w:color="auto"/>
              <w:right w:val="single" w:sz="4" w:space="0" w:color="auto"/>
            </w:tcBorders>
          </w:tcPr>
          <w:p w:rsidR="002D1E45" w:rsidRPr="00F17CED" w:rsidRDefault="002D1E45" w:rsidP="004B3418">
            <w:pPr>
              <w:spacing w:after="0" w:line="240" w:lineRule="auto"/>
              <w:jc w:val="center"/>
              <w:rPr>
                <w:rFonts w:ascii="Times New Roman" w:hAnsi="Times New Roman"/>
                <w:color w:val="000000"/>
                <w:sz w:val="24"/>
                <w:szCs w:val="24"/>
                <w:lang w:eastAsia="ru-RU"/>
              </w:rPr>
            </w:pPr>
            <w:r w:rsidRPr="004B3418">
              <w:rPr>
                <w:rFonts w:ascii="Times New Roman" w:hAnsi="Times New Roman"/>
                <w:color w:val="000000"/>
                <w:sz w:val="24"/>
                <w:szCs w:val="24"/>
                <w:lang w:eastAsia="ru-RU"/>
              </w:rPr>
              <w:t>13354</w:t>
            </w:r>
          </w:p>
        </w:tc>
      </w:tr>
    </w:tbl>
    <w:p w:rsidR="002D1E45" w:rsidRDefault="002D1E45" w:rsidP="00C150B0">
      <w:pPr>
        <w:spacing w:after="0" w:line="240" w:lineRule="auto"/>
        <w:ind w:firstLine="709"/>
        <w:jc w:val="both"/>
        <w:rPr>
          <w:rFonts w:ascii="Times New Roman" w:hAnsi="Times New Roman"/>
          <w:sz w:val="28"/>
          <w:szCs w:val="28"/>
        </w:rPr>
      </w:pPr>
    </w:p>
    <w:p w:rsidR="002D1E45" w:rsidRDefault="002D1E45" w:rsidP="00C150B0">
      <w:pPr>
        <w:spacing w:after="0" w:line="240" w:lineRule="auto"/>
        <w:ind w:firstLine="709"/>
        <w:jc w:val="both"/>
        <w:rPr>
          <w:rFonts w:ascii="Times New Roman" w:hAnsi="Times New Roman"/>
          <w:sz w:val="28"/>
          <w:szCs w:val="28"/>
        </w:rPr>
      </w:pPr>
      <w:r>
        <w:rPr>
          <w:rFonts w:ascii="Times New Roman" w:hAnsi="Times New Roman"/>
          <w:sz w:val="28"/>
          <w:szCs w:val="28"/>
        </w:rPr>
        <w:t>Учитывая существующую ёмкость АТС в г. Куйбышеве (9524 номера), можно сделать вывод о необходимости расширения её ёмкости на расчётный срок.</w:t>
      </w:r>
    </w:p>
    <w:p w:rsidR="002D1E45" w:rsidRDefault="002D1E45" w:rsidP="00C150B0">
      <w:pPr>
        <w:spacing w:after="0" w:line="240" w:lineRule="auto"/>
        <w:ind w:firstLine="709"/>
        <w:jc w:val="both"/>
        <w:rPr>
          <w:rFonts w:ascii="Times New Roman" w:hAnsi="Times New Roman"/>
          <w:sz w:val="28"/>
          <w:szCs w:val="28"/>
        </w:rPr>
      </w:pPr>
      <w:r>
        <w:rPr>
          <w:rFonts w:ascii="Times New Roman" w:hAnsi="Times New Roman"/>
          <w:sz w:val="28"/>
          <w:szCs w:val="28"/>
        </w:rPr>
        <w:t xml:space="preserve">Кроме того, Генеральным планом рекомендуется строительство ВОЛС общей протяжённостью не менее 10 км в районах новой застройки города. Характеристики сетей и оборудования на них требуется уточнить на этапе проектирования. </w:t>
      </w:r>
    </w:p>
    <w:p w:rsidR="002D1E45" w:rsidRPr="00C150B0" w:rsidRDefault="002D1E45" w:rsidP="00C150B0">
      <w:pPr>
        <w:spacing w:after="0" w:line="240" w:lineRule="auto"/>
        <w:ind w:firstLine="709"/>
        <w:jc w:val="both"/>
        <w:rPr>
          <w:rFonts w:ascii="Times New Roman" w:hAnsi="Times New Roman"/>
          <w:sz w:val="28"/>
          <w:szCs w:val="28"/>
        </w:rPr>
      </w:pPr>
      <w:r w:rsidRPr="00C150B0">
        <w:rPr>
          <w:rFonts w:ascii="Times New Roman" w:hAnsi="Times New Roman"/>
          <w:sz w:val="28"/>
          <w:szCs w:val="28"/>
        </w:rPr>
        <w:t>С учётом фактической востребованности, ёмкость мультисервисной сети передачи данных принята в</w:t>
      </w:r>
      <w:r>
        <w:rPr>
          <w:rFonts w:ascii="Times New Roman" w:hAnsi="Times New Roman"/>
          <w:sz w:val="28"/>
          <w:szCs w:val="28"/>
        </w:rPr>
        <w:t> </w:t>
      </w:r>
      <w:r w:rsidRPr="00C150B0">
        <w:rPr>
          <w:rFonts w:ascii="Times New Roman" w:hAnsi="Times New Roman"/>
          <w:sz w:val="28"/>
          <w:szCs w:val="28"/>
        </w:rPr>
        <w:t xml:space="preserve">размере </w:t>
      </w:r>
      <w:r>
        <w:rPr>
          <w:rFonts w:ascii="Times New Roman" w:hAnsi="Times New Roman"/>
          <w:sz w:val="28"/>
          <w:szCs w:val="28"/>
        </w:rPr>
        <w:t>350 точек</w:t>
      </w:r>
      <w:r w:rsidRPr="00C150B0">
        <w:rPr>
          <w:rFonts w:ascii="Times New Roman" w:hAnsi="Times New Roman"/>
          <w:sz w:val="28"/>
          <w:szCs w:val="28"/>
        </w:rPr>
        <w:t xml:space="preserve"> на 1000 жителей. Требуемая ёмкость на</w:t>
      </w:r>
      <w:r>
        <w:rPr>
          <w:rFonts w:ascii="Times New Roman" w:hAnsi="Times New Roman"/>
          <w:sz w:val="28"/>
          <w:szCs w:val="28"/>
        </w:rPr>
        <w:t> </w:t>
      </w:r>
      <w:r w:rsidRPr="00C150B0">
        <w:rPr>
          <w:rFonts w:ascii="Times New Roman" w:hAnsi="Times New Roman"/>
          <w:sz w:val="28"/>
          <w:szCs w:val="28"/>
        </w:rPr>
        <w:t xml:space="preserve">расчётный срок при численности населения </w:t>
      </w:r>
      <w:r>
        <w:rPr>
          <w:rFonts w:ascii="Times New Roman" w:hAnsi="Times New Roman"/>
          <w:sz w:val="28"/>
          <w:szCs w:val="28"/>
        </w:rPr>
        <w:t xml:space="preserve">38,95 </w:t>
      </w:r>
      <w:r w:rsidRPr="00C150B0">
        <w:rPr>
          <w:rFonts w:ascii="Times New Roman" w:hAnsi="Times New Roman"/>
          <w:sz w:val="28"/>
          <w:szCs w:val="28"/>
        </w:rPr>
        <w:t xml:space="preserve">тыс. человек составит </w:t>
      </w:r>
      <w:r>
        <w:rPr>
          <w:rFonts w:ascii="Times New Roman" w:hAnsi="Times New Roman"/>
          <w:sz w:val="28"/>
          <w:szCs w:val="28"/>
        </w:rPr>
        <w:t>13632</w:t>
      </w:r>
      <w:r w:rsidRPr="00C150B0">
        <w:rPr>
          <w:rFonts w:ascii="Times New Roman" w:hAnsi="Times New Roman"/>
          <w:sz w:val="28"/>
          <w:szCs w:val="28"/>
        </w:rPr>
        <w:t xml:space="preserve"> точ</w:t>
      </w:r>
      <w:r>
        <w:rPr>
          <w:rFonts w:ascii="Times New Roman" w:hAnsi="Times New Roman"/>
          <w:sz w:val="28"/>
          <w:szCs w:val="28"/>
        </w:rPr>
        <w:t xml:space="preserve">ки </w:t>
      </w:r>
      <w:r w:rsidRPr="00C150B0">
        <w:rPr>
          <w:rFonts w:ascii="Times New Roman" w:hAnsi="Times New Roman"/>
          <w:sz w:val="28"/>
          <w:szCs w:val="28"/>
        </w:rPr>
        <w:t xml:space="preserve">доступа. Нагрузка мультисервисной сети передачи данных составит </w:t>
      </w:r>
      <w:r>
        <w:rPr>
          <w:rFonts w:ascii="Times New Roman" w:hAnsi="Times New Roman"/>
          <w:sz w:val="28"/>
          <w:szCs w:val="28"/>
        </w:rPr>
        <w:t>20,3 </w:t>
      </w:r>
      <w:r w:rsidRPr="00C150B0">
        <w:rPr>
          <w:rFonts w:ascii="Times New Roman" w:hAnsi="Times New Roman"/>
          <w:sz w:val="28"/>
          <w:szCs w:val="28"/>
        </w:rPr>
        <w:t>Гбит/с.</w:t>
      </w:r>
    </w:p>
    <w:p w:rsidR="002D1E45" w:rsidRDefault="002D1E45" w:rsidP="003239FE">
      <w:pPr>
        <w:spacing w:after="0" w:line="240" w:lineRule="auto"/>
        <w:ind w:firstLine="709"/>
        <w:jc w:val="both"/>
        <w:rPr>
          <w:rFonts w:ascii="Times New Roman" w:hAnsi="Times New Roman"/>
          <w:sz w:val="28"/>
          <w:szCs w:val="28"/>
        </w:rPr>
      </w:pPr>
      <w:r w:rsidRPr="003239FE">
        <w:rPr>
          <w:rFonts w:ascii="Times New Roman" w:hAnsi="Times New Roman"/>
          <w:sz w:val="28"/>
          <w:szCs w:val="28"/>
        </w:rPr>
        <w:t xml:space="preserve">Основными направлениями развития телекоммуникационного комплекса </w:t>
      </w:r>
      <w:r>
        <w:rPr>
          <w:rFonts w:ascii="Times New Roman" w:hAnsi="Times New Roman"/>
          <w:sz w:val="28"/>
          <w:szCs w:val="28"/>
        </w:rPr>
        <w:t>Города Куйбышева</w:t>
      </w:r>
      <w:r w:rsidRPr="003239FE">
        <w:rPr>
          <w:rFonts w:ascii="Times New Roman" w:hAnsi="Times New Roman"/>
          <w:sz w:val="28"/>
          <w:szCs w:val="28"/>
        </w:rPr>
        <w:t xml:space="preserve"> являются: </w:t>
      </w:r>
    </w:p>
    <w:p w:rsidR="002D1E45"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3239FE">
        <w:rPr>
          <w:rFonts w:ascii="Times New Roman" w:hAnsi="Times New Roman"/>
          <w:sz w:val="28"/>
          <w:szCs w:val="28"/>
        </w:rPr>
        <w:t xml:space="preserve">улучшение качества связи телефонной сети общего пользования; </w:t>
      </w:r>
    </w:p>
    <w:p w:rsidR="002D1E45" w:rsidRPr="003239FE"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3239FE">
        <w:rPr>
          <w:rFonts w:ascii="Times New Roman" w:hAnsi="Times New Roman"/>
          <w:sz w:val="28"/>
          <w:szCs w:val="28"/>
        </w:rPr>
        <w:t xml:space="preserve">расширение мультимедийных услуг, предоставляемых населению, включая </w:t>
      </w:r>
      <w:r>
        <w:rPr>
          <w:rFonts w:ascii="Times New Roman" w:hAnsi="Times New Roman"/>
          <w:sz w:val="28"/>
          <w:szCs w:val="28"/>
        </w:rPr>
        <w:t>«</w:t>
      </w:r>
      <w:r w:rsidRPr="003239FE">
        <w:rPr>
          <w:rFonts w:ascii="Times New Roman" w:hAnsi="Times New Roman"/>
          <w:sz w:val="28"/>
          <w:szCs w:val="28"/>
        </w:rPr>
        <w:t>Интернет</w:t>
      </w:r>
      <w:r>
        <w:rPr>
          <w:rFonts w:ascii="Times New Roman" w:hAnsi="Times New Roman"/>
          <w:sz w:val="28"/>
          <w:szCs w:val="28"/>
        </w:rPr>
        <w:t>»</w:t>
      </w:r>
      <w:r w:rsidRPr="003239FE">
        <w:rPr>
          <w:rFonts w:ascii="Times New Roman" w:hAnsi="Times New Roman"/>
          <w:sz w:val="28"/>
          <w:szCs w:val="28"/>
        </w:rPr>
        <w:t>;</w:t>
      </w:r>
    </w:p>
    <w:p w:rsidR="002D1E45"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3239FE">
        <w:rPr>
          <w:rFonts w:ascii="Times New Roman" w:hAnsi="Times New Roman"/>
          <w:sz w:val="28"/>
          <w:szCs w:val="28"/>
        </w:rPr>
        <w:t>развитие эфирного радиовещания, осуществляемого в</w:t>
      </w:r>
      <w:r>
        <w:rPr>
          <w:rFonts w:ascii="Times New Roman" w:hAnsi="Times New Roman"/>
          <w:sz w:val="28"/>
          <w:szCs w:val="28"/>
        </w:rPr>
        <w:t> </w:t>
      </w:r>
      <w:r w:rsidRPr="003239FE">
        <w:rPr>
          <w:rFonts w:ascii="Times New Roman" w:hAnsi="Times New Roman"/>
          <w:sz w:val="28"/>
          <w:szCs w:val="28"/>
        </w:rPr>
        <w:t>УКВ и</w:t>
      </w:r>
      <w:r>
        <w:rPr>
          <w:rFonts w:ascii="Times New Roman" w:hAnsi="Times New Roman"/>
          <w:sz w:val="28"/>
          <w:szCs w:val="28"/>
        </w:rPr>
        <w:t> </w:t>
      </w:r>
      <w:r w:rsidRPr="003239FE">
        <w:rPr>
          <w:rFonts w:ascii="Times New Roman" w:hAnsi="Times New Roman"/>
          <w:sz w:val="28"/>
          <w:szCs w:val="28"/>
        </w:rPr>
        <w:t>FM</w:t>
      </w:r>
      <w:r>
        <w:rPr>
          <w:rFonts w:ascii="Times New Roman" w:hAnsi="Times New Roman"/>
          <w:sz w:val="28"/>
          <w:szCs w:val="28"/>
        </w:rPr>
        <w:t> </w:t>
      </w:r>
      <w:r w:rsidRPr="003239FE">
        <w:rPr>
          <w:rFonts w:ascii="Times New Roman" w:hAnsi="Times New Roman"/>
          <w:sz w:val="28"/>
          <w:szCs w:val="28"/>
        </w:rPr>
        <w:t>диапазонах, за</w:t>
      </w:r>
      <w:r>
        <w:rPr>
          <w:rFonts w:ascii="Times New Roman" w:hAnsi="Times New Roman"/>
          <w:sz w:val="28"/>
          <w:szCs w:val="28"/>
        </w:rPr>
        <w:t> </w:t>
      </w:r>
      <w:r w:rsidRPr="003239FE">
        <w:rPr>
          <w:rFonts w:ascii="Times New Roman" w:hAnsi="Times New Roman"/>
          <w:sz w:val="28"/>
          <w:szCs w:val="28"/>
        </w:rPr>
        <w:t xml:space="preserve">счёт увеличения количества радиовещательных станций; </w:t>
      </w:r>
    </w:p>
    <w:p w:rsidR="002D1E45"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3239FE">
        <w:rPr>
          <w:rFonts w:ascii="Times New Roman" w:hAnsi="Times New Roman"/>
          <w:sz w:val="28"/>
          <w:szCs w:val="28"/>
        </w:rPr>
        <w:t>развитие сотовой связи за</w:t>
      </w:r>
      <w:r>
        <w:rPr>
          <w:rFonts w:ascii="Times New Roman" w:hAnsi="Times New Roman"/>
          <w:sz w:val="28"/>
          <w:szCs w:val="28"/>
        </w:rPr>
        <w:t> </w:t>
      </w:r>
      <w:r w:rsidRPr="003239FE">
        <w:rPr>
          <w:rFonts w:ascii="Times New Roman" w:hAnsi="Times New Roman"/>
          <w:sz w:val="28"/>
          <w:szCs w:val="28"/>
        </w:rPr>
        <w:t>счёт увеличения покрытия территории сотовой связью различных операторов и</w:t>
      </w:r>
      <w:r>
        <w:rPr>
          <w:rFonts w:ascii="Times New Roman" w:hAnsi="Times New Roman"/>
          <w:sz w:val="28"/>
          <w:szCs w:val="28"/>
        </w:rPr>
        <w:t> </w:t>
      </w:r>
      <w:r w:rsidRPr="003239FE">
        <w:rPr>
          <w:rFonts w:ascii="Times New Roman" w:hAnsi="Times New Roman"/>
          <w:sz w:val="28"/>
          <w:szCs w:val="28"/>
        </w:rPr>
        <w:t xml:space="preserve">применения новейших технологий; </w:t>
      </w:r>
    </w:p>
    <w:p w:rsidR="002D1E45" w:rsidRPr="003239FE"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3239FE">
        <w:rPr>
          <w:rFonts w:ascii="Times New Roman" w:hAnsi="Times New Roman"/>
          <w:sz w:val="28"/>
          <w:szCs w:val="28"/>
        </w:rPr>
        <w:t>развитие сети эфирного цифрового телевизионного вещания за</w:t>
      </w:r>
      <w:r>
        <w:rPr>
          <w:rFonts w:ascii="Times New Roman" w:hAnsi="Times New Roman"/>
          <w:sz w:val="28"/>
          <w:szCs w:val="28"/>
        </w:rPr>
        <w:t> </w:t>
      </w:r>
      <w:r w:rsidRPr="003239FE">
        <w:rPr>
          <w:rFonts w:ascii="Times New Roman" w:hAnsi="Times New Roman"/>
          <w:sz w:val="28"/>
          <w:szCs w:val="28"/>
        </w:rPr>
        <w:t>счёт увеличения количества и</w:t>
      </w:r>
      <w:r>
        <w:rPr>
          <w:rFonts w:ascii="Times New Roman" w:hAnsi="Times New Roman"/>
          <w:sz w:val="28"/>
          <w:szCs w:val="28"/>
        </w:rPr>
        <w:t> </w:t>
      </w:r>
      <w:r w:rsidRPr="003239FE">
        <w:rPr>
          <w:rFonts w:ascii="Times New Roman" w:hAnsi="Times New Roman"/>
          <w:sz w:val="28"/>
          <w:szCs w:val="28"/>
        </w:rPr>
        <w:t>улучшения качества принимаемых телевизионных каналов.</w:t>
      </w:r>
    </w:p>
    <w:p w:rsidR="002D1E45" w:rsidRDefault="002D1E45" w:rsidP="003239FE">
      <w:pPr>
        <w:spacing w:after="0" w:line="240" w:lineRule="auto"/>
        <w:ind w:firstLine="709"/>
        <w:jc w:val="both"/>
        <w:rPr>
          <w:rFonts w:ascii="Times New Roman" w:hAnsi="Times New Roman"/>
          <w:sz w:val="28"/>
          <w:szCs w:val="28"/>
        </w:rPr>
      </w:pPr>
      <w:r w:rsidRPr="003239FE">
        <w:rPr>
          <w:rFonts w:ascii="Times New Roman" w:hAnsi="Times New Roman"/>
          <w:sz w:val="28"/>
          <w:szCs w:val="28"/>
        </w:rPr>
        <w:t>Развитие телефонной связи в</w:t>
      </w:r>
      <w:r>
        <w:rPr>
          <w:rFonts w:ascii="Times New Roman" w:hAnsi="Times New Roman"/>
          <w:sz w:val="28"/>
          <w:szCs w:val="28"/>
        </w:rPr>
        <w:t> </w:t>
      </w:r>
      <w:r w:rsidRPr="003239FE">
        <w:rPr>
          <w:rFonts w:ascii="Times New Roman" w:hAnsi="Times New Roman"/>
          <w:sz w:val="28"/>
          <w:szCs w:val="28"/>
        </w:rPr>
        <w:t>населённых пунктах, где не</w:t>
      </w:r>
      <w:r>
        <w:rPr>
          <w:rFonts w:ascii="Times New Roman" w:hAnsi="Times New Roman"/>
          <w:sz w:val="28"/>
          <w:szCs w:val="28"/>
        </w:rPr>
        <w:t> </w:t>
      </w:r>
      <w:r w:rsidRPr="003239FE">
        <w:rPr>
          <w:rFonts w:ascii="Times New Roman" w:hAnsi="Times New Roman"/>
          <w:sz w:val="28"/>
          <w:szCs w:val="28"/>
        </w:rPr>
        <w:t>развита телефонная сеть общего пользования, предлагается за</w:t>
      </w:r>
      <w:r>
        <w:rPr>
          <w:rFonts w:ascii="Times New Roman" w:hAnsi="Times New Roman"/>
          <w:sz w:val="28"/>
          <w:szCs w:val="28"/>
        </w:rPr>
        <w:t> </w:t>
      </w:r>
      <w:r w:rsidRPr="003239FE">
        <w:rPr>
          <w:rFonts w:ascii="Times New Roman" w:hAnsi="Times New Roman"/>
          <w:sz w:val="28"/>
          <w:szCs w:val="28"/>
        </w:rPr>
        <w:t>счёт увеличения зоны покрытия сетями мобильной связи.</w:t>
      </w:r>
    </w:p>
    <w:p w:rsidR="002D1E45" w:rsidRDefault="002D1E45" w:rsidP="003239FE">
      <w:pPr>
        <w:spacing w:after="0" w:line="240" w:lineRule="auto"/>
        <w:ind w:firstLine="709"/>
        <w:jc w:val="both"/>
        <w:rPr>
          <w:rFonts w:ascii="Times New Roman" w:hAnsi="Times New Roman"/>
          <w:sz w:val="28"/>
          <w:szCs w:val="28"/>
        </w:rPr>
      </w:pPr>
      <w:r w:rsidRPr="003239FE">
        <w:rPr>
          <w:rFonts w:ascii="Times New Roman" w:hAnsi="Times New Roman"/>
          <w:sz w:val="28"/>
          <w:szCs w:val="28"/>
        </w:rPr>
        <w:t>Генеральным планом предлагается создание условий для дальнейшего развития и</w:t>
      </w:r>
      <w:r>
        <w:rPr>
          <w:rFonts w:ascii="Times New Roman" w:hAnsi="Times New Roman"/>
          <w:sz w:val="28"/>
          <w:szCs w:val="28"/>
        </w:rPr>
        <w:t> </w:t>
      </w:r>
      <w:r w:rsidRPr="003239FE">
        <w:rPr>
          <w:rFonts w:ascii="Times New Roman" w:hAnsi="Times New Roman"/>
          <w:sz w:val="28"/>
          <w:szCs w:val="28"/>
        </w:rPr>
        <w:t>увеличения зоны покрытия сотовыми сетями мобильной связи стандарта GSM, в</w:t>
      </w:r>
      <w:r>
        <w:rPr>
          <w:rFonts w:ascii="Times New Roman" w:hAnsi="Times New Roman"/>
          <w:sz w:val="28"/>
          <w:szCs w:val="28"/>
        </w:rPr>
        <w:t> </w:t>
      </w:r>
      <w:r w:rsidRPr="003239FE">
        <w:rPr>
          <w:rFonts w:ascii="Times New Roman" w:hAnsi="Times New Roman"/>
          <w:sz w:val="28"/>
          <w:szCs w:val="28"/>
        </w:rPr>
        <w:t>том числе на</w:t>
      </w:r>
      <w:r>
        <w:rPr>
          <w:rFonts w:ascii="Times New Roman" w:hAnsi="Times New Roman"/>
          <w:sz w:val="28"/>
          <w:szCs w:val="28"/>
        </w:rPr>
        <w:t> </w:t>
      </w:r>
      <w:r w:rsidRPr="003239FE">
        <w:rPr>
          <w:rFonts w:ascii="Times New Roman" w:hAnsi="Times New Roman"/>
          <w:sz w:val="28"/>
          <w:szCs w:val="28"/>
        </w:rPr>
        <w:t>основе технологий 4G. Для организации мобильной связи предусмотрено сохранение существующего антенно-мачтового сооружения, так как оно в</w:t>
      </w:r>
      <w:r>
        <w:rPr>
          <w:rFonts w:ascii="Times New Roman" w:hAnsi="Times New Roman"/>
          <w:sz w:val="28"/>
          <w:szCs w:val="28"/>
        </w:rPr>
        <w:t> </w:t>
      </w:r>
      <w:r w:rsidRPr="003239FE">
        <w:rPr>
          <w:rFonts w:ascii="Times New Roman" w:hAnsi="Times New Roman"/>
          <w:sz w:val="28"/>
          <w:szCs w:val="28"/>
        </w:rPr>
        <w:t>полной мере удовлетворяет потребности как существующих, так и</w:t>
      </w:r>
      <w:r>
        <w:rPr>
          <w:rFonts w:ascii="Times New Roman" w:hAnsi="Times New Roman"/>
          <w:sz w:val="28"/>
          <w:szCs w:val="28"/>
        </w:rPr>
        <w:t> </w:t>
      </w:r>
      <w:r w:rsidRPr="003239FE">
        <w:rPr>
          <w:rFonts w:ascii="Times New Roman" w:hAnsi="Times New Roman"/>
          <w:sz w:val="28"/>
          <w:szCs w:val="28"/>
        </w:rPr>
        <w:t>новых операторов предоставления услуг связи согласно РД 45.162 – 2001 «Ведомственные нормы технологического проектирования. Комплексы сетей сотовой и</w:t>
      </w:r>
      <w:r>
        <w:rPr>
          <w:rFonts w:ascii="Times New Roman" w:hAnsi="Times New Roman"/>
          <w:sz w:val="28"/>
          <w:szCs w:val="28"/>
        </w:rPr>
        <w:t> </w:t>
      </w:r>
      <w:r w:rsidRPr="003239FE">
        <w:rPr>
          <w:rFonts w:ascii="Times New Roman" w:hAnsi="Times New Roman"/>
          <w:sz w:val="28"/>
          <w:szCs w:val="28"/>
        </w:rPr>
        <w:t>спутниковой подвижной связи общего пользования».</w:t>
      </w:r>
    </w:p>
    <w:p w:rsidR="002D1E45" w:rsidRPr="00AF7759" w:rsidRDefault="002D1E45" w:rsidP="00852938">
      <w:pPr>
        <w:pStyle w:val="Heading2"/>
        <w:numPr>
          <w:ilvl w:val="1"/>
          <w:numId w:val="65"/>
        </w:numPr>
        <w:spacing w:before="240"/>
        <w:ind w:left="993" w:hanging="633"/>
        <w:jc w:val="both"/>
        <w:rPr>
          <w:b/>
          <w:sz w:val="32"/>
        </w:rPr>
      </w:pPr>
      <w:bookmarkStart w:id="347" w:name="_Toc475037129"/>
      <w:bookmarkStart w:id="348" w:name="_Toc84936069"/>
      <w:bookmarkStart w:id="349" w:name="_Toc337125143"/>
      <w:bookmarkStart w:id="350" w:name="_Toc340212823"/>
      <w:bookmarkStart w:id="351" w:name="_Toc342835935"/>
      <w:bookmarkStart w:id="352" w:name="_Toc345316173"/>
      <w:bookmarkStart w:id="353" w:name="_Toc345510122"/>
      <w:bookmarkStart w:id="354" w:name="_Toc373678875"/>
      <w:bookmarkStart w:id="355" w:name="_Toc391717261"/>
      <w:bookmarkStart w:id="356" w:name="_Toc391717366"/>
      <w:bookmarkStart w:id="357" w:name="_Toc397187996"/>
      <w:bookmarkStart w:id="358" w:name="_Toc397241504"/>
      <w:bookmarkStart w:id="359" w:name="_Toc402346754"/>
      <w:bookmarkStart w:id="360" w:name="_Toc403824919"/>
      <w:bookmarkStart w:id="361" w:name="_Toc404432627"/>
      <w:bookmarkStart w:id="362" w:name="_Toc419370722"/>
      <w:bookmarkStart w:id="363" w:name="_Toc419973690"/>
      <w:bookmarkStart w:id="364" w:name="_Toc442008423"/>
      <w:bookmarkStart w:id="365" w:name="_Toc442523064"/>
      <w:bookmarkStart w:id="366" w:name="_Toc442523322"/>
      <w:bookmarkStart w:id="367" w:name="_Toc468971961"/>
      <w:bookmarkStart w:id="368" w:name="_Toc475037127"/>
      <w:r w:rsidRPr="00AF7759">
        <w:rPr>
          <w:b/>
        </w:rPr>
        <w:t>Благоустройство</w:t>
      </w:r>
      <w:r w:rsidRPr="00AF7759">
        <w:rPr>
          <w:b/>
          <w:sz w:val="32"/>
        </w:rPr>
        <w:t xml:space="preserve"> и санитарная очистка территории</w:t>
      </w:r>
      <w:bookmarkEnd w:id="347"/>
      <w:bookmarkEnd w:id="348"/>
    </w:p>
    <w:p w:rsidR="002D1E45" w:rsidRPr="003A7901" w:rsidRDefault="002D1E45" w:rsidP="00F46947">
      <w:pPr>
        <w:spacing w:after="0" w:line="240" w:lineRule="auto"/>
        <w:ind w:firstLine="709"/>
        <w:jc w:val="both"/>
        <w:rPr>
          <w:rFonts w:ascii="Times New Roman" w:hAnsi="Times New Roman"/>
          <w:sz w:val="28"/>
          <w:szCs w:val="28"/>
        </w:rPr>
      </w:pPr>
    </w:p>
    <w:p w:rsidR="002D1E45" w:rsidRPr="003A7901" w:rsidRDefault="002D1E45" w:rsidP="00F46947">
      <w:pPr>
        <w:spacing w:after="0" w:line="240" w:lineRule="auto"/>
        <w:ind w:firstLine="709"/>
        <w:jc w:val="both"/>
        <w:rPr>
          <w:rFonts w:ascii="Times New Roman" w:hAnsi="Times New Roman"/>
          <w:sz w:val="28"/>
          <w:szCs w:val="28"/>
        </w:rPr>
      </w:pPr>
      <w:r w:rsidRPr="003A7901">
        <w:rPr>
          <w:rFonts w:ascii="Times New Roman" w:hAnsi="Times New Roman"/>
          <w:sz w:val="28"/>
          <w:szCs w:val="28"/>
        </w:rPr>
        <w:t>Одним из</w:t>
      </w:r>
      <w:r>
        <w:rPr>
          <w:rFonts w:ascii="Times New Roman" w:hAnsi="Times New Roman"/>
          <w:sz w:val="28"/>
          <w:szCs w:val="28"/>
        </w:rPr>
        <w:t> </w:t>
      </w:r>
      <w:r w:rsidRPr="003A7901">
        <w:rPr>
          <w:rFonts w:ascii="Times New Roman" w:hAnsi="Times New Roman"/>
          <w:sz w:val="28"/>
          <w:szCs w:val="28"/>
        </w:rPr>
        <w:t>важнейших национальных проектов социально-экономического развития, обнародованных Правительством Российской Федерации, является вопрос улучшения уровня и</w:t>
      </w:r>
      <w:r>
        <w:rPr>
          <w:rFonts w:ascii="Times New Roman" w:hAnsi="Times New Roman"/>
          <w:sz w:val="28"/>
          <w:szCs w:val="28"/>
        </w:rPr>
        <w:t> </w:t>
      </w:r>
      <w:r w:rsidRPr="003A7901">
        <w:rPr>
          <w:rFonts w:ascii="Times New Roman" w:hAnsi="Times New Roman"/>
          <w:sz w:val="28"/>
          <w:szCs w:val="28"/>
        </w:rPr>
        <w:t>качества жизни населения.</w:t>
      </w:r>
    </w:p>
    <w:p w:rsidR="002D1E45" w:rsidRPr="003A7901" w:rsidRDefault="002D1E45" w:rsidP="00F46947">
      <w:pPr>
        <w:spacing w:after="0" w:line="240" w:lineRule="auto"/>
        <w:ind w:firstLine="709"/>
        <w:jc w:val="both"/>
        <w:rPr>
          <w:rFonts w:ascii="Times New Roman" w:hAnsi="Times New Roman"/>
          <w:sz w:val="28"/>
          <w:szCs w:val="28"/>
        </w:rPr>
      </w:pPr>
      <w:r w:rsidRPr="003A7901">
        <w:rPr>
          <w:rFonts w:ascii="Times New Roman" w:hAnsi="Times New Roman"/>
          <w:sz w:val="28"/>
          <w:szCs w:val="28"/>
        </w:rPr>
        <w:t>Помимо проблем тепло-, газо-, водоснабжения и</w:t>
      </w:r>
      <w:r>
        <w:rPr>
          <w:rFonts w:ascii="Times New Roman" w:hAnsi="Times New Roman"/>
          <w:sz w:val="28"/>
          <w:szCs w:val="28"/>
        </w:rPr>
        <w:t> </w:t>
      </w:r>
      <w:r w:rsidRPr="003A7901">
        <w:rPr>
          <w:rFonts w:ascii="Times New Roman" w:hAnsi="Times New Roman"/>
          <w:sz w:val="28"/>
          <w:szCs w:val="28"/>
        </w:rPr>
        <w:t>водоотведения населения, существуют проблемы благоустройства, обеспеченности населения безопасными и</w:t>
      </w:r>
      <w:r>
        <w:rPr>
          <w:rFonts w:ascii="Times New Roman" w:hAnsi="Times New Roman"/>
          <w:sz w:val="28"/>
          <w:szCs w:val="28"/>
        </w:rPr>
        <w:t> </w:t>
      </w:r>
      <w:r w:rsidRPr="003A7901">
        <w:rPr>
          <w:rFonts w:ascii="Times New Roman" w:hAnsi="Times New Roman"/>
          <w:sz w:val="28"/>
          <w:szCs w:val="28"/>
        </w:rPr>
        <w:t>комфортными зонами отдыха. В</w:t>
      </w:r>
      <w:r>
        <w:rPr>
          <w:rFonts w:ascii="Times New Roman" w:hAnsi="Times New Roman"/>
          <w:sz w:val="28"/>
          <w:szCs w:val="28"/>
        </w:rPr>
        <w:t> </w:t>
      </w:r>
      <w:r w:rsidRPr="003A7901">
        <w:rPr>
          <w:rFonts w:ascii="Times New Roman" w:hAnsi="Times New Roman"/>
          <w:sz w:val="28"/>
          <w:szCs w:val="28"/>
        </w:rPr>
        <w:t>первую очередь данные проблемы отрицательно отражаются на</w:t>
      </w:r>
      <w:r>
        <w:rPr>
          <w:rFonts w:ascii="Times New Roman" w:hAnsi="Times New Roman"/>
          <w:sz w:val="28"/>
          <w:szCs w:val="28"/>
        </w:rPr>
        <w:t> </w:t>
      </w:r>
      <w:r w:rsidRPr="003A7901">
        <w:rPr>
          <w:rFonts w:ascii="Times New Roman" w:hAnsi="Times New Roman"/>
          <w:sz w:val="28"/>
          <w:szCs w:val="28"/>
        </w:rPr>
        <w:t xml:space="preserve">имидже </w:t>
      </w:r>
      <w:r>
        <w:rPr>
          <w:rFonts w:ascii="Times New Roman" w:hAnsi="Times New Roman"/>
          <w:sz w:val="28"/>
          <w:szCs w:val="28"/>
        </w:rPr>
        <w:t>населённых пунктов</w:t>
      </w:r>
      <w:r w:rsidRPr="003A7901">
        <w:rPr>
          <w:rFonts w:ascii="Times New Roman" w:hAnsi="Times New Roman"/>
          <w:sz w:val="28"/>
          <w:szCs w:val="28"/>
        </w:rPr>
        <w:t xml:space="preserve"> в</w:t>
      </w:r>
      <w:r>
        <w:rPr>
          <w:rFonts w:ascii="Times New Roman" w:hAnsi="Times New Roman"/>
          <w:sz w:val="28"/>
          <w:szCs w:val="28"/>
        </w:rPr>
        <w:t> </w:t>
      </w:r>
      <w:r w:rsidRPr="003A7901">
        <w:rPr>
          <w:rFonts w:ascii="Times New Roman" w:hAnsi="Times New Roman"/>
          <w:sz w:val="28"/>
          <w:szCs w:val="28"/>
        </w:rPr>
        <w:t>целом, эстетическом развитии его жителей. Решение данной проблемы возможно путём проведения работ по</w:t>
      </w:r>
      <w:r>
        <w:rPr>
          <w:rFonts w:ascii="Times New Roman" w:hAnsi="Times New Roman"/>
          <w:sz w:val="28"/>
          <w:szCs w:val="28"/>
        </w:rPr>
        <w:t> </w:t>
      </w:r>
      <w:r w:rsidRPr="003A7901">
        <w:rPr>
          <w:rFonts w:ascii="Times New Roman" w:hAnsi="Times New Roman"/>
          <w:sz w:val="28"/>
          <w:szCs w:val="28"/>
        </w:rPr>
        <w:t>благоустройству.</w:t>
      </w:r>
    </w:p>
    <w:p w:rsidR="002D1E45" w:rsidRPr="003A7901" w:rsidRDefault="002D1E45" w:rsidP="00F46947">
      <w:pPr>
        <w:spacing w:after="0" w:line="240" w:lineRule="auto"/>
        <w:ind w:firstLine="709"/>
        <w:jc w:val="both"/>
        <w:rPr>
          <w:rFonts w:ascii="Times New Roman" w:hAnsi="Times New Roman"/>
          <w:sz w:val="28"/>
          <w:szCs w:val="28"/>
        </w:rPr>
      </w:pPr>
      <w:r w:rsidRPr="003A7901">
        <w:rPr>
          <w:rFonts w:ascii="Times New Roman" w:hAnsi="Times New Roman"/>
          <w:sz w:val="28"/>
          <w:szCs w:val="28"/>
        </w:rPr>
        <w:t>Важнейшим аспектом в</w:t>
      </w:r>
      <w:r>
        <w:rPr>
          <w:rFonts w:ascii="Times New Roman" w:hAnsi="Times New Roman"/>
          <w:sz w:val="28"/>
          <w:szCs w:val="28"/>
        </w:rPr>
        <w:t> </w:t>
      </w:r>
      <w:r w:rsidRPr="003A7901">
        <w:rPr>
          <w:rFonts w:ascii="Times New Roman" w:hAnsi="Times New Roman"/>
          <w:sz w:val="28"/>
          <w:szCs w:val="28"/>
        </w:rPr>
        <w:t xml:space="preserve">реализации данного </w:t>
      </w:r>
      <w:r>
        <w:rPr>
          <w:rFonts w:ascii="Times New Roman" w:hAnsi="Times New Roman"/>
          <w:sz w:val="28"/>
          <w:szCs w:val="28"/>
        </w:rPr>
        <w:t>Г</w:t>
      </w:r>
      <w:r w:rsidRPr="003A7901">
        <w:rPr>
          <w:rFonts w:ascii="Times New Roman" w:hAnsi="Times New Roman"/>
          <w:sz w:val="28"/>
          <w:szCs w:val="28"/>
        </w:rPr>
        <w:t>енерального плана является создание на</w:t>
      </w:r>
      <w:r>
        <w:rPr>
          <w:rFonts w:ascii="Times New Roman" w:hAnsi="Times New Roman"/>
          <w:sz w:val="28"/>
          <w:szCs w:val="28"/>
        </w:rPr>
        <w:t> </w:t>
      </w:r>
      <w:r w:rsidRPr="003A7901">
        <w:rPr>
          <w:rFonts w:ascii="Times New Roman" w:hAnsi="Times New Roman"/>
          <w:sz w:val="28"/>
          <w:szCs w:val="28"/>
        </w:rPr>
        <w:t xml:space="preserve">территории </w:t>
      </w:r>
      <w:r>
        <w:rPr>
          <w:rFonts w:ascii="Times New Roman" w:hAnsi="Times New Roman"/>
          <w:sz w:val="28"/>
          <w:szCs w:val="28"/>
        </w:rPr>
        <w:t>Города Куйбышева</w:t>
      </w:r>
      <w:r w:rsidRPr="00E126D5">
        <w:rPr>
          <w:rFonts w:ascii="Times New Roman" w:hAnsi="Times New Roman"/>
          <w:iCs/>
          <w:sz w:val="28"/>
          <w:szCs w:val="28"/>
          <w:lang w:eastAsia="ru-RU"/>
        </w:rPr>
        <w:t xml:space="preserve"> </w:t>
      </w:r>
      <w:r w:rsidRPr="003A7901">
        <w:rPr>
          <w:rFonts w:ascii="Times New Roman" w:hAnsi="Times New Roman"/>
          <w:sz w:val="28"/>
          <w:szCs w:val="28"/>
        </w:rPr>
        <w:t>условий комфортного и</w:t>
      </w:r>
      <w:r>
        <w:rPr>
          <w:rFonts w:ascii="Times New Roman" w:hAnsi="Times New Roman"/>
          <w:sz w:val="28"/>
          <w:szCs w:val="28"/>
        </w:rPr>
        <w:t> </w:t>
      </w:r>
      <w:r w:rsidRPr="003A7901">
        <w:rPr>
          <w:rFonts w:ascii="Times New Roman" w:hAnsi="Times New Roman"/>
          <w:sz w:val="28"/>
          <w:szCs w:val="28"/>
        </w:rPr>
        <w:t>безопасного проживания граждан, благоустройство мест общего пользования. Проблема благоустройства территории является одной из</w:t>
      </w:r>
      <w:r>
        <w:rPr>
          <w:rFonts w:ascii="Times New Roman" w:hAnsi="Times New Roman"/>
          <w:sz w:val="28"/>
          <w:szCs w:val="28"/>
        </w:rPr>
        <w:t> </w:t>
      </w:r>
      <w:r w:rsidRPr="003A7901">
        <w:rPr>
          <w:rFonts w:ascii="Times New Roman" w:hAnsi="Times New Roman"/>
          <w:sz w:val="28"/>
          <w:szCs w:val="28"/>
        </w:rPr>
        <w:t>насущных, требующих каждодневного внимания и</w:t>
      </w:r>
      <w:r>
        <w:rPr>
          <w:rFonts w:ascii="Times New Roman" w:hAnsi="Times New Roman"/>
          <w:sz w:val="28"/>
          <w:szCs w:val="28"/>
        </w:rPr>
        <w:t> </w:t>
      </w:r>
      <w:r w:rsidRPr="003A7901">
        <w:rPr>
          <w:rFonts w:ascii="Times New Roman" w:hAnsi="Times New Roman"/>
          <w:sz w:val="28"/>
          <w:szCs w:val="28"/>
        </w:rPr>
        <w:t>эффективного решения.</w:t>
      </w:r>
    </w:p>
    <w:p w:rsidR="002D1E45" w:rsidRPr="007013F4" w:rsidRDefault="002D1E45" w:rsidP="007013F4">
      <w:pPr>
        <w:spacing w:after="0" w:line="240" w:lineRule="auto"/>
        <w:ind w:firstLine="709"/>
        <w:jc w:val="both"/>
        <w:rPr>
          <w:rFonts w:ascii="Times New Roman" w:hAnsi="Times New Roman"/>
          <w:sz w:val="28"/>
          <w:szCs w:val="24"/>
        </w:rPr>
      </w:pPr>
      <w:r w:rsidRPr="007013F4">
        <w:rPr>
          <w:rFonts w:ascii="Times New Roman" w:hAnsi="Times New Roman"/>
          <w:sz w:val="28"/>
          <w:szCs w:val="24"/>
        </w:rPr>
        <w:t>Для создания системы зелёных насаждений предусмотрены следующие мероприятия по</w:t>
      </w:r>
      <w:r>
        <w:rPr>
          <w:rFonts w:ascii="Times New Roman" w:hAnsi="Times New Roman"/>
          <w:sz w:val="28"/>
          <w:szCs w:val="24"/>
        </w:rPr>
        <w:t> </w:t>
      </w:r>
      <w:r w:rsidRPr="007013F4">
        <w:rPr>
          <w:rFonts w:ascii="Times New Roman" w:hAnsi="Times New Roman"/>
          <w:sz w:val="28"/>
          <w:szCs w:val="24"/>
        </w:rPr>
        <w:t>озеленению территории:</w:t>
      </w:r>
    </w:p>
    <w:p w:rsidR="002D1E45" w:rsidRPr="007013F4"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7013F4">
        <w:rPr>
          <w:rFonts w:ascii="Times New Roman" w:hAnsi="Times New Roman"/>
          <w:sz w:val="28"/>
          <w:szCs w:val="28"/>
        </w:rPr>
        <w:t>восстановление растительного покрова в</w:t>
      </w:r>
      <w:r>
        <w:rPr>
          <w:rFonts w:ascii="Times New Roman" w:hAnsi="Times New Roman"/>
          <w:sz w:val="28"/>
          <w:szCs w:val="28"/>
        </w:rPr>
        <w:t> </w:t>
      </w:r>
      <w:r w:rsidRPr="007013F4">
        <w:rPr>
          <w:rFonts w:ascii="Times New Roman" w:hAnsi="Times New Roman"/>
          <w:sz w:val="28"/>
          <w:szCs w:val="28"/>
        </w:rPr>
        <w:t>местах сильной деградации зелёных насаждений;</w:t>
      </w:r>
    </w:p>
    <w:p w:rsidR="002D1E45" w:rsidRPr="007013F4"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7013F4">
        <w:rPr>
          <w:rFonts w:ascii="Times New Roman" w:hAnsi="Times New Roman"/>
          <w:sz w:val="28"/>
          <w:szCs w:val="28"/>
        </w:rPr>
        <w:t>целенаправленное формирование крупных насаждений, устойчивых к</w:t>
      </w:r>
      <w:r>
        <w:rPr>
          <w:rFonts w:ascii="Times New Roman" w:hAnsi="Times New Roman"/>
          <w:sz w:val="28"/>
          <w:szCs w:val="28"/>
        </w:rPr>
        <w:t> </w:t>
      </w:r>
      <w:r w:rsidRPr="007013F4">
        <w:rPr>
          <w:rFonts w:ascii="Times New Roman" w:hAnsi="Times New Roman"/>
          <w:sz w:val="28"/>
          <w:szCs w:val="28"/>
        </w:rPr>
        <w:t>влиянию антропогенных и</w:t>
      </w:r>
      <w:r>
        <w:rPr>
          <w:rFonts w:ascii="Times New Roman" w:hAnsi="Times New Roman"/>
          <w:sz w:val="28"/>
          <w:szCs w:val="28"/>
        </w:rPr>
        <w:t> </w:t>
      </w:r>
      <w:r w:rsidRPr="007013F4">
        <w:rPr>
          <w:rFonts w:ascii="Times New Roman" w:hAnsi="Times New Roman"/>
          <w:sz w:val="28"/>
          <w:szCs w:val="28"/>
        </w:rPr>
        <w:t>техногенных факторов в</w:t>
      </w:r>
      <w:r>
        <w:rPr>
          <w:rFonts w:ascii="Times New Roman" w:hAnsi="Times New Roman"/>
          <w:sz w:val="28"/>
          <w:szCs w:val="28"/>
        </w:rPr>
        <w:t> </w:t>
      </w:r>
      <w:r w:rsidRPr="007013F4">
        <w:rPr>
          <w:rFonts w:ascii="Times New Roman" w:hAnsi="Times New Roman"/>
          <w:sz w:val="28"/>
          <w:szCs w:val="28"/>
        </w:rPr>
        <w:t>составе озеленённых территорий общего пользования и</w:t>
      </w:r>
      <w:r>
        <w:rPr>
          <w:rFonts w:ascii="Times New Roman" w:hAnsi="Times New Roman"/>
          <w:sz w:val="28"/>
          <w:szCs w:val="28"/>
        </w:rPr>
        <w:t> </w:t>
      </w:r>
      <w:r w:rsidRPr="007013F4">
        <w:rPr>
          <w:rFonts w:ascii="Times New Roman" w:hAnsi="Times New Roman"/>
          <w:sz w:val="28"/>
          <w:szCs w:val="28"/>
        </w:rPr>
        <w:t xml:space="preserve">озеленённых территорий специального назначения; </w:t>
      </w:r>
    </w:p>
    <w:p w:rsidR="002D1E45" w:rsidRPr="007013F4"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7013F4">
        <w:rPr>
          <w:rFonts w:ascii="Times New Roman" w:hAnsi="Times New Roman"/>
          <w:sz w:val="28"/>
          <w:szCs w:val="28"/>
        </w:rPr>
        <w:t>посадка газонов на</w:t>
      </w:r>
      <w:r>
        <w:rPr>
          <w:rFonts w:ascii="Times New Roman" w:hAnsi="Times New Roman"/>
          <w:sz w:val="28"/>
          <w:szCs w:val="28"/>
        </w:rPr>
        <w:t> </w:t>
      </w:r>
      <w:r w:rsidRPr="007013F4">
        <w:rPr>
          <w:rFonts w:ascii="Times New Roman" w:hAnsi="Times New Roman"/>
          <w:sz w:val="28"/>
          <w:szCs w:val="28"/>
        </w:rPr>
        <w:t>площадях, не</w:t>
      </w:r>
      <w:r>
        <w:rPr>
          <w:rFonts w:ascii="Times New Roman" w:hAnsi="Times New Roman"/>
          <w:sz w:val="28"/>
          <w:szCs w:val="28"/>
        </w:rPr>
        <w:t> </w:t>
      </w:r>
      <w:r w:rsidRPr="007013F4">
        <w:rPr>
          <w:rFonts w:ascii="Times New Roman" w:hAnsi="Times New Roman"/>
          <w:sz w:val="28"/>
          <w:szCs w:val="28"/>
        </w:rPr>
        <w:t>занятых дорожным покрытием, для предотвращения образования пылящих поверхностей;</w:t>
      </w:r>
    </w:p>
    <w:p w:rsidR="002D1E45" w:rsidRPr="007013F4"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7013F4">
        <w:rPr>
          <w:rFonts w:ascii="Times New Roman" w:hAnsi="Times New Roman"/>
          <w:sz w:val="28"/>
          <w:szCs w:val="28"/>
        </w:rPr>
        <w:t>организация шумозащитных зелёных насаждений вдоль улиц жилой застройки;</w:t>
      </w:r>
    </w:p>
    <w:p w:rsidR="002D1E45" w:rsidRPr="007013F4"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7013F4">
        <w:rPr>
          <w:rFonts w:ascii="Times New Roman" w:hAnsi="Times New Roman"/>
          <w:sz w:val="28"/>
          <w:szCs w:val="28"/>
        </w:rPr>
        <w:t>создание мобильного и</w:t>
      </w:r>
      <w:r>
        <w:rPr>
          <w:rFonts w:ascii="Times New Roman" w:hAnsi="Times New Roman"/>
          <w:sz w:val="28"/>
          <w:szCs w:val="28"/>
        </w:rPr>
        <w:t> </w:t>
      </w:r>
      <w:r w:rsidRPr="007013F4">
        <w:rPr>
          <w:rFonts w:ascii="Times New Roman" w:hAnsi="Times New Roman"/>
          <w:sz w:val="28"/>
          <w:szCs w:val="28"/>
        </w:rPr>
        <w:t>вертикального озеленения (трельяжи, шпалеры, перголы, цветочницы, вазоны);</w:t>
      </w:r>
    </w:p>
    <w:p w:rsidR="002D1E45" w:rsidRPr="007013F4"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7013F4">
        <w:rPr>
          <w:rFonts w:ascii="Times New Roman" w:hAnsi="Times New Roman"/>
          <w:sz w:val="28"/>
          <w:szCs w:val="28"/>
        </w:rPr>
        <w:t>организация озеленения санитарно-защитных зон.</w:t>
      </w:r>
    </w:p>
    <w:p w:rsidR="002D1E45" w:rsidRPr="007013F4" w:rsidRDefault="002D1E45" w:rsidP="007013F4">
      <w:pPr>
        <w:spacing w:after="0" w:line="240" w:lineRule="auto"/>
        <w:ind w:firstLine="709"/>
        <w:jc w:val="both"/>
        <w:rPr>
          <w:rFonts w:ascii="Times New Roman" w:hAnsi="Times New Roman"/>
          <w:sz w:val="28"/>
          <w:szCs w:val="24"/>
        </w:rPr>
      </w:pPr>
      <w:r w:rsidRPr="007013F4">
        <w:rPr>
          <w:rFonts w:ascii="Times New Roman" w:hAnsi="Times New Roman"/>
          <w:sz w:val="28"/>
          <w:szCs w:val="24"/>
        </w:rPr>
        <w:t>Озеленение придомовой территории жилого участка производится между отмосткой жилого дома и</w:t>
      </w:r>
      <w:r>
        <w:rPr>
          <w:rFonts w:ascii="Times New Roman" w:hAnsi="Times New Roman"/>
          <w:sz w:val="28"/>
          <w:szCs w:val="24"/>
        </w:rPr>
        <w:t> </w:t>
      </w:r>
      <w:r w:rsidRPr="007013F4">
        <w:rPr>
          <w:rFonts w:ascii="Times New Roman" w:hAnsi="Times New Roman"/>
          <w:sz w:val="28"/>
          <w:szCs w:val="24"/>
        </w:rPr>
        <w:t>проездом (придомовые полосы озеленения), между проездом и</w:t>
      </w:r>
      <w:r>
        <w:rPr>
          <w:rFonts w:ascii="Times New Roman" w:hAnsi="Times New Roman"/>
          <w:sz w:val="28"/>
          <w:szCs w:val="24"/>
        </w:rPr>
        <w:t> </w:t>
      </w:r>
      <w:r w:rsidRPr="007013F4">
        <w:rPr>
          <w:rFonts w:ascii="Times New Roman" w:hAnsi="Times New Roman"/>
          <w:sz w:val="28"/>
          <w:szCs w:val="24"/>
        </w:rPr>
        <w:t xml:space="preserve">внешними границами участка. </w:t>
      </w:r>
    </w:p>
    <w:p w:rsidR="002D1E45" w:rsidRPr="007013F4" w:rsidRDefault="002D1E45" w:rsidP="007013F4">
      <w:pPr>
        <w:spacing w:after="0" w:line="240" w:lineRule="auto"/>
        <w:ind w:firstLine="709"/>
        <w:jc w:val="both"/>
        <w:rPr>
          <w:rFonts w:ascii="Times New Roman" w:hAnsi="Times New Roman"/>
          <w:sz w:val="28"/>
          <w:szCs w:val="24"/>
        </w:rPr>
      </w:pPr>
      <w:r w:rsidRPr="007013F4">
        <w:rPr>
          <w:rFonts w:ascii="Times New Roman" w:hAnsi="Times New Roman"/>
          <w:sz w:val="28"/>
          <w:szCs w:val="24"/>
        </w:rPr>
        <w:t>Создание системы зелёных насаждений на</w:t>
      </w:r>
      <w:r>
        <w:rPr>
          <w:rFonts w:ascii="Times New Roman" w:hAnsi="Times New Roman"/>
          <w:sz w:val="28"/>
          <w:szCs w:val="24"/>
        </w:rPr>
        <w:t> </w:t>
      </w:r>
      <w:r w:rsidRPr="007013F4">
        <w:rPr>
          <w:rFonts w:ascii="Times New Roman" w:hAnsi="Times New Roman"/>
          <w:sz w:val="28"/>
          <w:szCs w:val="24"/>
        </w:rPr>
        <w:t>селитебной территории является необходимым условием для повышения уровня экологического состояния поселения, так как улучшается микроклимат, нормализуется температурно-влажностный режим. Зелёные насаждения очищают воздух от</w:t>
      </w:r>
      <w:r>
        <w:rPr>
          <w:rFonts w:ascii="Times New Roman" w:hAnsi="Times New Roman"/>
          <w:sz w:val="28"/>
          <w:szCs w:val="24"/>
        </w:rPr>
        <w:t> </w:t>
      </w:r>
      <w:r w:rsidRPr="007013F4">
        <w:rPr>
          <w:rFonts w:ascii="Times New Roman" w:hAnsi="Times New Roman"/>
          <w:sz w:val="28"/>
          <w:szCs w:val="24"/>
        </w:rPr>
        <w:t>пыли, газов, являются шумозащитой жилых и</w:t>
      </w:r>
      <w:r>
        <w:rPr>
          <w:rFonts w:ascii="Times New Roman" w:hAnsi="Times New Roman"/>
          <w:sz w:val="28"/>
          <w:szCs w:val="24"/>
        </w:rPr>
        <w:t> </w:t>
      </w:r>
      <w:r w:rsidRPr="007013F4">
        <w:rPr>
          <w:rFonts w:ascii="Times New Roman" w:hAnsi="Times New Roman"/>
          <w:sz w:val="28"/>
          <w:szCs w:val="24"/>
        </w:rPr>
        <w:t>производственных территорий.</w:t>
      </w:r>
    </w:p>
    <w:p w:rsidR="002D1E45" w:rsidRPr="007013F4" w:rsidRDefault="002D1E45" w:rsidP="007013F4">
      <w:pPr>
        <w:spacing w:after="0" w:line="240" w:lineRule="auto"/>
        <w:ind w:firstLine="709"/>
        <w:jc w:val="both"/>
        <w:rPr>
          <w:rFonts w:ascii="Times New Roman" w:hAnsi="Times New Roman"/>
          <w:sz w:val="28"/>
          <w:szCs w:val="24"/>
        </w:rPr>
      </w:pPr>
      <w:r w:rsidRPr="007013F4">
        <w:rPr>
          <w:rFonts w:ascii="Times New Roman" w:hAnsi="Times New Roman"/>
          <w:sz w:val="28"/>
          <w:szCs w:val="24"/>
        </w:rPr>
        <w:t>Система зелёных насаждений населённых пунктов складывается из:</w:t>
      </w:r>
    </w:p>
    <w:p w:rsidR="002D1E45" w:rsidRPr="007013F4"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7013F4">
        <w:rPr>
          <w:rFonts w:ascii="Times New Roman" w:hAnsi="Times New Roman"/>
          <w:sz w:val="28"/>
          <w:szCs w:val="28"/>
        </w:rPr>
        <w:t>озеленённых территорий общего пользования (парки);</w:t>
      </w:r>
    </w:p>
    <w:p w:rsidR="002D1E45" w:rsidRPr="007013F4"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7013F4">
        <w:rPr>
          <w:rFonts w:ascii="Times New Roman" w:hAnsi="Times New Roman"/>
          <w:sz w:val="28"/>
          <w:szCs w:val="28"/>
        </w:rPr>
        <w:t>озеленённых территорий ограниченного пользования (зелёные насаждения на</w:t>
      </w:r>
      <w:r>
        <w:rPr>
          <w:rFonts w:ascii="Times New Roman" w:hAnsi="Times New Roman"/>
          <w:sz w:val="28"/>
          <w:szCs w:val="28"/>
        </w:rPr>
        <w:t> </w:t>
      </w:r>
      <w:r w:rsidRPr="007013F4">
        <w:rPr>
          <w:rFonts w:ascii="Times New Roman" w:hAnsi="Times New Roman"/>
          <w:sz w:val="28"/>
          <w:szCs w:val="28"/>
        </w:rPr>
        <w:t>участках жилых массивов, учреждений здравоохранения, пришкольных участков, детских садов);</w:t>
      </w:r>
    </w:p>
    <w:p w:rsidR="002D1E45" w:rsidRPr="007013F4"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7013F4">
        <w:rPr>
          <w:rFonts w:ascii="Times New Roman" w:hAnsi="Times New Roman"/>
          <w:sz w:val="28"/>
          <w:szCs w:val="28"/>
        </w:rPr>
        <w:t>озеленённых территорий специального назначения (защитное озеленение).</w:t>
      </w:r>
    </w:p>
    <w:p w:rsidR="002D1E45" w:rsidRPr="007013F4" w:rsidRDefault="002D1E45" w:rsidP="007013F4">
      <w:pPr>
        <w:spacing w:after="0" w:line="240" w:lineRule="auto"/>
        <w:ind w:firstLine="709"/>
        <w:jc w:val="both"/>
        <w:rPr>
          <w:rFonts w:ascii="Times New Roman" w:hAnsi="Times New Roman"/>
          <w:sz w:val="28"/>
          <w:szCs w:val="24"/>
        </w:rPr>
      </w:pPr>
      <w:r w:rsidRPr="007013F4">
        <w:rPr>
          <w:rFonts w:ascii="Times New Roman" w:hAnsi="Times New Roman"/>
          <w:sz w:val="28"/>
          <w:szCs w:val="24"/>
        </w:rPr>
        <w:t>В целях создания непрерывной системы зелёных насаждений предлагается все малые зелёные устройства соединить газонами и</w:t>
      </w:r>
      <w:r>
        <w:rPr>
          <w:rFonts w:ascii="Times New Roman" w:hAnsi="Times New Roman"/>
          <w:sz w:val="28"/>
          <w:szCs w:val="24"/>
        </w:rPr>
        <w:t> </w:t>
      </w:r>
      <w:r w:rsidRPr="007013F4">
        <w:rPr>
          <w:rFonts w:ascii="Times New Roman" w:hAnsi="Times New Roman"/>
          <w:sz w:val="28"/>
          <w:szCs w:val="24"/>
        </w:rPr>
        <w:t>цветниками, которые следует создавать на</w:t>
      </w:r>
      <w:r>
        <w:rPr>
          <w:rFonts w:ascii="Times New Roman" w:hAnsi="Times New Roman"/>
          <w:sz w:val="28"/>
          <w:szCs w:val="24"/>
        </w:rPr>
        <w:t> </w:t>
      </w:r>
      <w:r w:rsidRPr="007013F4">
        <w:rPr>
          <w:rFonts w:ascii="Times New Roman" w:hAnsi="Times New Roman"/>
          <w:sz w:val="28"/>
          <w:szCs w:val="24"/>
        </w:rPr>
        <w:t>всех свободных от</w:t>
      </w:r>
      <w:r>
        <w:rPr>
          <w:rFonts w:ascii="Times New Roman" w:hAnsi="Times New Roman"/>
          <w:sz w:val="28"/>
          <w:szCs w:val="24"/>
        </w:rPr>
        <w:t> </w:t>
      </w:r>
      <w:r w:rsidRPr="007013F4">
        <w:rPr>
          <w:rFonts w:ascii="Times New Roman" w:hAnsi="Times New Roman"/>
          <w:sz w:val="28"/>
          <w:szCs w:val="24"/>
        </w:rPr>
        <w:t>покрытий участках.</w:t>
      </w:r>
    </w:p>
    <w:p w:rsidR="002D1E45" w:rsidRPr="007013F4" w:rsidRDefault="002D1E45" w:rsidP="007013F4">
      <w:pPr>
        <w:spacing w:after="0" w:line="240" w:lineRule="auto"/>
        <w:ind w:firstLine="709"/>
        <w:jc w:val="both"/>
        <w:rPr>
          <w:rFonts w:ascii="Times New Roman" w:hAnsi="Times New Roman"/>
          <w:sz w:val="28"/>
          <w:szCs w:val="24"/>
        </w:rPr>
      </w:pPr>
      <w:r w:rsidRPr="007013F4">
        <w:rPr>
          <w:rFonts w:ascii="Times New Roman" w:hAnsi="Times New Roman"/>
          <w:sz w:val="28"/>
          <w:szCs w:val="24"/>
        </w:rPr>
        <w:t>Генеральным планом рекомендуются следующие мероприятия по</w:t>
      </w:r>
      <w:r>
        <w:rPr>
          <w:rFonts w:ascii="Times New Roman" w:hAnsi="Times New Roman"/>
          <w:sz w:val="28"/>
          <w:szCs w:val="24"/>
        </w:rPr>
        <w:t> </w:t>
      </w:r>
      <w:r w:rsidRPr="007013F4">
        <w:rPr>
          <w:rFonts w:ascii="Times New Roman" w:hAnsi="Times New Roman"/>
          <w:sz w:val="28"/>
          <w:szCs w:val="24"/>
        </w:rPr>
        <w:t>охране растительности:</w:t>
      </w:r>
    </w:p>
    <w:p w:rsidR="002D1E45" w:rsidRPr="007013F4"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7013F4">
        <w:rPr>
          <w:rFonts w:ascii="Times New Roman" w:hAnsi="Times New Roman"/>
          <w:sz w:val="28"/>
          <w:szCs w:val="28"/>
        </w:rPr>
        <w:t>вырубка погибших и</w:t>
      </w:r>
      <w:r>
        <w:rPr>
          <w:rFonts w:ascii="Times New Roman" w:hAnsi="Times New Roman"/>
          <w:sz w:val="28"/>
          <w:szCs w:val="28"/>
        </w:rPr>
        <w:t> </w:t>
      </w:r>
      <w:r w:rsidRPr="007013F4">
        <w:rPr>
          <w:rFonts w:ascii="Times New Roman" w:hAnsi="Times New Roman"/>
          <w:sz w:val="28"/>
          <w:szCs w:val="28"/>
        </w:rPr>
        <w:t>повреждённых зелёных насаждений;</w:t>
      </w:r>
    </w:p>
    <w:p w:rsidR="002D1E45" w:rsidRPr="007013F4"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7013F4">
        <w:rPr>
          <w:rFonts w:ascii="Times New Roman" w:hAnsi="Times New Roman"/>
          <w:sz w:val="28"/>
          <w:szCs w:val="28"/>
        </w:rPr>
        <w:t>очистка озеленённых территорий от</w:t>
      </w:r>
      <w:r>
        <w:rPr>
          <w:rFonts w:ascii="Times New Roman" w:hAnsi="Times New Roman"/>
          <w:sz w:val="28"/>
          <w:szCs w:val="28"/>
        </w:rPr>
        <w:t> </w:t>
      </w:r>
      <w:r w:rsidRPr="007013F4">
        <w:rPr>
          <w:rFonts w:ascii="Times New Roman" w:hAnsi="Times New Roman"/>
          <w:sz w:val="28"/>
          <w:szCs w:val="28"/>
        </w:rPr>
        <w:t>захламления, загрязнения и</w:t>
      </w:r>
      <w:r>
        <w:rPr>
          <w:rFonts w:ascii="Times New Roman" w:hAnsi="Times New Roman"/>
          <w:sz w:val="28"/>
          <w:szCs w:val="28"/>
        </w:rPr>
        <w:t> </w:t>
      </w:r>
      <w:r w:rsidRPr="007013F4">
        <w:rPr>
          <w:rFonts w:ascii="Times New Roman" w:hAnsi="Times New Roman"/>
          <w:sz w:val="28"/>
          <w:szCs w:val="28"/>
        </w:rPr>
        <w:t>иного негативного воздействия;</w:t>
      </w:r>
    </w:p>
    <w:p w:rsidR="002D1E45" w:rsidRPr="007013F4"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7013F4">
        <w:rPr>
          <w:rFonts w:ascii="Times New Roman" w:hAnsi="Times New Roman"/>
          <w:sz w:val="28"/>
          <w:szCs w:val="28"/>
        </w:rPr>
        <w:t>лесопосадки на</w:t>
      </w:r>
      <w:r>
        <w:rPr>
          <w:rFonts w:ascii="Times New Roman" w:hAnsi="Times New Roman"/>
          <w:sz w:val="28"/>
          <w:szCs w:val="28"/>
        </w:rPr>
        <w:t> </w:t>
      </w:r>
      <w:r w:rsidRPr="007013F4">
        <w:rPr>
          <w:rFonts w:ascii="Times New Roman" w:hAnsi="Times New Roman"/>
          <w:sz w:val="28"/>
          <w:szCs w:val="28"/>
        </w:rPr>
        <w:t>нарушенных землях;</w:t>
      </w:r>
    </w:p>
    <w:p w:rsidR="002D1E45" w:rsidRPr="007013F4"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7013F4">
        <w:rPr>
          <w:rFonts w:ascii="Times New Roman" w:hAnsi="Times New Roman"/>
          <w:sz w:val="28"/>
          <w:szCs w:val="28"/>
        </w:rPr>
        <w:t>восстановление растительного покрова в</w:t>
      </w:r>
      <w:r>
        <w:rPr>
          <w:rFonts w:ascii="Times New Roman" w:hAnsi="Times New Roman"/>
          <w:sz w:val="28"/>
          <w:szCs w:val="28"/>
        </w:rPr>
        <w:t> </w:t>
      </w:r>
      <w:r w:rsidRPr="007013F4">
        <w:rPr>
          <w:rFonts w:ascii="Times New Roman" w:hAnsi="Times New Roman"/>
          <w:sz w:val="28"/>
          <w:szCs w:val="28"/>
        </w:rPr>
        <w:t>местах сильной деградации зелёных насаждений;</w:t>
      </w:r>
    </w:p>
    <w:p w:rsidR="002D1E45" w:rsidRPr="007013F4"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7013F4">
        <w:rPr>
          <w:rFonts w:ascii="Times New Roman" w:hAnsi="Times New Roman"/>
          <w:sz w:val="28"/>
          <w:szCs w:val="28"/>
        </w:rPr>
        <w:t>целенаправленное формирование крупных массивов насаждений из</w:t>
      </w:r>
      <w:r>
        <w:rPr>
          <w:rFonts w:ascii="Times New Roman" w:hAnsi="Times New Roman"/>
          <w:sz w:val="28"/>
          <w:szCs w:val="28"/>
        </w:rPr>
        <w:t> </w:t>
      </w:r>
      <w:r w:rsidRPr="007013F4">
        <w:rPr>
          <w:rFonts w:ascii="Times New Roman" w:hAnsi="Times New Roman"/>
          <w:sz w:val="28"/>
          <w:szCs w:val="28"/>
        </w:rPr>
        <w:t>декоративных деревьев и</w:t>
      </w:r>
      <w:r>
        <w:rPr>
          <w:rFonts w:ascii="Times New Roman" w:hAnsi="Times New Roman"/>
          <w:sz w:val="28"/>
          <w:szCs w:val="28"/>
        </w:rPr>
        <w:t> </w:t>
      </w:r>
      <w:r w:rsidRPr="007013F4">
        <w:rPr>
          <w:rFonts w:ascii="Times New Roman" w:hAnsi="Times New Roman"/>
          <w:sz w:val="28"/>
          <w:szCs w:val="28"/>
        </w:rPr>
        <w:t>кустарников, устойчивых к</w:t>
      </w:r>
      <w:r>
        <w:rPr>
          <w:rFonts w:ascii="Times New Roman" w:hAnsi="Times New Roman"/>
          <w:sz w:val="28"/>
          <w:szCs w:val="28"/>
        </w:rPr>
        <w:t> </w:t>
      </w:r>
      <w:r w:rsidRPr="007013F4">
        <w:rPr>
          <w:rFonts w:ascii="Times New Roman" w:hAnsi="Times New Roman"/>
          <w:sz w:val="28"/>
          <w:szCs w:val="28"/>
        </w:rPr>
        <w:t>влиянию антропо- и</w:t>
      </w:r>
      <w:r>
        <w:rPr>
          <w:rFonts w:ascii="Times New Roman" w:hAnsi="Times New Roman"/>
          <w:sz w:val="28"/>
          <w:szCs w:val="28"/>
        </w:rPr>
        <w:t> </w:t>
      </w:r>
      <w:r w:rsidRPr="007013F4">
        <w:rPr>
          <w:rFonts w:ascii="Times New Roman" w:hAnsi="Times New Roman"/>
          <w:sz w:val="28"/>
          <w:szCs w:val="28"/>
        </w:rPr>
        <w:t xml:space="preserve">техногенных факторов. </w:t>
      </w:r>
    </w:p>
    <w:p w:rsidR="002D1E45" w:rsidRPr="007013F4" w:rsidRDefault="002D1E45" w:rsidP="007013F4">
      <w:pPr>
        <w:spacing w:after="0" w:line="240" w:lineRule="auto"/>
        <w:ind w:firstLine="709"/>
        <w:jc w:val="both"/>
        <w:rPr>
          <w:rFonts w:ascii="Times New Roman" w:hAnsi="Times New Roman"/>
          <w:sz w:val="28"/>
          <w:szCs w:val="24"/>
        </w:rPr>
      </w:pPr>
      <w:r w:rsidRPr="007013F4">
        <w:rPr>
          <w:rFonts w:ascii="Times New Roman" w:hAnsi="Times New Roman"/>
          <w:sz w:val="28"/>
          <w:szCs w:val="24"/>
        </w:rPr>
        <w:t>Ассортимент деревьев и</w:t>
      </w:r>
      <w:r>
        <w:rPr>
          <w:rFonts w:ascii="Times New Roman" w:hAnsi="Times New Roman"/>
          <w:sz w:val="28"/>
          <w:szCs w:val="24"/>
        </w:rPr>
        <w:t> </w:t>
      </w:r>
      <w:r w:rsidRPr="007013F4">
        <w:rPr>
          <w:rFonts w:ascii="Times New Roman" w:hAnsi="Times New Roman"/>
          <w:sz w:val="28"/>
          <w:szCs w:val="24"/>
        </w:rPr>
        <w:t>кустарников определяется с</w:t>
      </w:r>
      <w:r>
        <w:rPr>
          <w:rFonts w:ascii="Times New Roman" w:hAnsi="Times New Roman"/>
          <w:sz w:val="28"/>
          <w:szCs w:val="24"/>
        </w:rPr>
        <w:t> </w:t>
      </w:r>
      <w:r w:rsidRPr="007013F4">
        <w:rPr>
          <w:rFonts w:ascii="Times New Roman" w:hAnsi="Times New Roman"/>
          <w:sz w:val="28"/>
          <w:szCs w:val="24"/>
        </w:rPr>
        <w:t>учётом условий их</w:t>
      </w:r>
      <w:r>
        <w:rPr>
          <w:rFonts w:ascii="Times New Roman" w:hAnsi="Times New Roman"/>
          <w:sz w:val="28"/>
          <w:szCs w:val="24"/>
        </w:rPr>
        <w:t> </w:t>
      </w:r>
      <w:r w:rsidRPr="007013F4">
        <w:rPr>
          <w:rFonts w:ascii="Times New Roman" w:hAnsi="Times New Roman"/>
          <w:sz w:val="28"/>
          <w:szCs w:val="24"/>
        </w:rPr>
        <w:t>произрастания, функционального назначения зоны и</w:t>
      </w:r>
      <w:r>
        <w:rPr>
          <w:rFonts w:ascii="Times New Roman" w:hAnsi="Times New Roman"/>
          <w:sz w:val="28"/>
          <w:szCs w:val="24"/>
        </w:rPr>
        <w:t> </w:t>
      </w:r>
      <w:r w:rsidRPr="007013F4">
        <w:rPr>
          <w:rFonts w:ascii="Times New Roman" w:hAnsi="Times New Roman"/>
          <w:sz w:val="28"/>
          <w:szCs w:val="24"/>
        </w:rPr>
        <w:t>с</w:t>
      </w:r>
      <w:r>
        <w:rPr>
          <w:rFonts w:ascii="Times New Roman" w:hAnsi="Times New Roman"/>
          <w:sz w:val="28"/>
          <w:szCs w:val="24"/>
        </w:rPr>
        <w:t> </w:t>
      </w:r>
      <w:r w:rsidRPr="007013F4">
        <w:rPr>
          <w:rFonts w:ascii="Times New Roman" w:hAnsi="Times New Roman"/>
          <w:sz w:val="28"/>
          <w:szCs w:val="24"/>
        </w:rPr>
        <w:t>целью улучшения декоративной направленности.</w:t>
      </w:r>
    </w:p>
    <w:p w:rsidR="002D1E45" w:rsidRPr="007013F4" w:rsidRDefault="002D1E45" w:rsidP="007013F4">
      <w:pPr>
        <w:spacing w:after="0" w:line="240" w:lineRule="auto"/>
        <w:ind w:firstLine="709"/>
        <w:jc w:val="both"/>
        <w:rPr>
          <w:rFonts w:ascii="Times New Roman" w:hAnsi="Times New Roman"/>
          <w:sz w:val="28"/>
          <w:szCs w:val="24"/>
        </w:rPr>
      </w:pPr>
      <w:r w:rsidRPr="007013F4">
        <w:rPr>
          <w:rFonts w:ascii="Times New Roman" w:hAnsi="Times New Roman"/>
          <w:sz w:val="28"/>
          <w:szCs w:val="24"/>
        </w:rPr>
        <w:t>При строительстве на</w:t>
      </w:r>
      <w:r>
        <w:rPr>
          <w:rFonts w:ascii="Times New Roman" w:hAnsi="Times New Roman"/>
          <w:sz w:val="28"/>
          <w:szCs w:val="24"/>
        </w:rPr>
        <w:t> </w:t>
      </w:r>
      <w:r w:rsidRPr="007013F4">
        <w:rPr>
          <w:rFonts w:ascii="Times New Roman" w:hAnsi="Times New Roman"/>
          <w:sz w:val="28"/>
          <w:szCs w:val="24"/>
        </w:rPr>
        <w:t>территории общественно-деловой зоны и</w:t>
      </w:r>
      <w:r>
        <w:rPr>
          <w:rFonts w:ascii="Times New Roman" w:hAnsi="Times New Roman"/>
          <w:sz w:val="28"/>
          <w:szCs w:val="24"/>
        </w:rPr>
        <w:t> </w:t>
      </w:r>
      <w:r w:rsidRPr="007013F4">
        <w:rPr>
          <w:rFonts w:ascii="Times New Roman" w:hAnsi="Times New Roman"/>
          <w:sz w:val="28"/>
          <w:szCs w:val="24"/>
        </w:rPr>
        <w:t>жилой зоны</w:t>
      </w:r>
      <w:r>
        <w:rPr>
          <w:rFonts w:ascii="Times New Roman" w:hAnsi="Times New Roman"/>
          <w:sz w:val="28"/>
          <w:szCs w:val="24"/>
        </w:rPr>
        <w:t xml:space="preserve"> </w:t>
      </w:r>
      <w:r w:rsidRPr="007013F4">
        <w:rPr>
          <w:rFonts w:ascii="Times New Roman" w:hAnsi="Times New Roman"/>
          <w:sz w:val="28"/>
          <w:szCs w:val="24"/>
        </w:rPr>
        <w:t>проектом Генерального плана рекомендуется произвести благоустройство территории:</w:t>
      </w:r>
    </w:p>
    <w:p w:rsidR="002D1E45" w:rsidRPr="007013F4"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7013F4">
        <w:rPr>
          <w:rFonts w:ascii="Times New Roman" w:hAnsi="Times New Roman"/>
          <w:sz w:val="28"/>
          <w:szCs w:val="28"/>
        </w:rPr>
        <w:t>устройство газонов, цветников, посадка зелёных оград;</w:t>
      </w:r>
    </w:p>
    <w:p w:rsidR="002D1E45" w:rsidRPr="007013F4"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7013F4">
        <w:rPr>
          <w:rFonts w:ascii="Times New Roman" w:hAnsi="Times New Roman"/>
          <w:sz w:val="28"/>
          <w:szCs w:val="28"/>
        </w:rPr>
        <w:t>оборудование территории малыми архитектурными формами – беседками, навесами, площадками для игр детей и</w:t>
      </w:r>
      <w:r>
        <w:rPr>
          <w:rFonts w:ascii="Times New Roman" w:hAnsi="Times New Roman"/>
          <w:sz w:val="28"/>
          <w:szCs w:val="28"/>
        </w:rPr>
        <w:t> </w:t>
      </w:r>
      <w:r w:rsidRPr="007013F4">
        <w:rPr>
          <w:rFonts w:ascii="Times New Roman" w:hAnsi="Times New Roman"/>
          <w:sz w:val="28"/>
          <w:szCs w:val="28"/>
        </w:rPr>
        <w:t>отдыха взрослого населения, павильонами для ожидания автотранспорта;</w:t>
      </w:r>
    </w:p>
    <w:p w:rsidR="002D1E45" w:rsidRPr="007013F4"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7013F4">
        <w:rPr>
          <w:rFonts w:ascii="Times New Roman" w:hAnsi="Times New Roman"/>
          <w:sz w:val="28"/>
          <w:szCs w:val="28"/>
        </w:rPr>
        <w:t>устройство внутриквартальных проездов, тротуаров, пешеходных дорожек;</w:t>
      </w:r>
    </w:p>
    <w:p w:rsidR="002D1E45" w:rsidRPr="007013F4"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7013F4">
        <w:rPr>
          <w:rFonts w:ascii="Times New Roman" w:hAnsi="Times New Roman"/>
          <w:sz w:val="28"/>
          <w:szCs w:val="28"/>
        </w:rPr>
        <w:t>ремонт существующих покрытий внутридворовых проездов и</w:t>
      </w:r>
      <w:r>
        <w:rPr>
          <w:rFonts w:ascii="Times New Roman" w:hAnsi="Times New Roman"/>
          <w:sz w:val="28"/>
          <w:szCs w:val="28"/>
        </w:rPr>
        <w:t> </w:t>
      </w:r>
      <w:r w:rsidRPr="007013F4">
        <w:rPr>
          <w:rFonts w:ascii="Times New Roman" w:hAnsi="Times New Roman"/>
          <w:sz w:val="28"/>
          <w:szCs w:val="28"/>
        </w:rPr>
        <w:t>дорожек;</w:t>
      </w:r>
    </w:p>
    <w:p w:rsidR="002D1E45" w:rsidRPr="007013F4"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7013F4">
        <w:rPr>
          <w:rFonts w:ascii="Times New Roman" w:hAnsi="Times New Roman"/>
          <w:sz w:val="28"/>
          <w:szCs w:val="28"/>
        </w:rPr>
        <w:t>освещение территории;</w:t>
      </w:r>
    </w:p>
    <w:p w:rsidR="002D1E45" w:rsidRPr="007013F4"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7013F4">
        <w:rPr>
          <w:rFonts w:ascii="Times New Roman" w:hAnsi="Times New Roman"/>
          <w:sz w:val="28"/>
          <w:szCs w:val="28"/>
        </w:rPr>
        <w:t xml:space="preserve">обустройство мест </w:t>
      </w:r>
      <w:r>
        <w:rPr>
          <w:rFonts w:ascii="Times New Roman" w:hAnsi="Times New Roman"/>
          <w:sz w:val="28"/>
          <w:szCs w:val="28"/>
        </w:rPr>
        <w:t>(площадок) временного накопления отходов</w:t>
      </w:r>
      <w:r w:rsidRPr="007013F4">
        <w:rPr>
          <w:rFonts w:ascii="Times New Roman" w:hAnsi="Times New Roman"/>
          <w:sz w:val="28"/>
          <w:szCs w:val="28"/>
        </w:rPr>
        <w:t>.</w:t>
      </w:r>
    </w:p>
    <w:p w:rsidR="002D1E45" w:rsidRPr="007013F4" w:rsidRDefault="002D1E45" w:rsidP="007013F4">
      <w:pPr>
        <w:spacing w:after="0" w:line="240" w:lineRule="auto"/>
        <w:ind w:firstLine="709"/>
        <w:jc w:val="both"/>
        <w:rPr>
          <w:rFonts w:ascii="Times New Roman" w:hAnsi="Times New Roman"/>
          <w:sz w:val="28"/>
          <w:szCs w:val="24"/>
        </w:rPr>
      </w:pPr>
      <w:r w:rsidRPr="007013F4">
        <w:rPr>
          <w:rFonts w:ascii="Times New Roman" w:hAnsi="Times New Roman"/>
          <w:sz w:val="28"/>
          <w:szCs w:val="24"/>
        </w:rPr>
        <w:t xml:space="preserve">Благоустройство территории дошкольных образовательных организаций включает следующий обязательный перечень мероприятий: </w:t>
      </w:r>
    </w:p>
    <w:p w:rsidR="002D1E45" w:rsidRPr="007013F4"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7013F4">
        <w:rPr>
          <w:rFonts w:ascii="Times New Roman" w:hAnsi="Times New Roman"/>
          <w:sz w:val="28"/>
          <w:szCs w:val="28"/>
        </w:rPr>
        <w:t xml:space="preserve">организация твёрдых видов покрытия проездов; </w:t>
      </w:r>
    </w:p>
    <w:p w:rsidR="002D1E45" w:rsidRPr="007013F4"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7013F4">
        <w:rPr>
          <w:rFonts w:ascii="Times New Roman" w:hAnsi="Times New Roman"/>
          <w:sz w:val="28"/>
          <w:szCs w:val="28"/>
        </w:rPr>
        <w:t>строительство основных пешеходных коммуникаций, площадок (кроме детских игровых), элементов сопряжения поверхностей;</w:t>
      </w:r>
    </w:p>
    <w:p w:rsidR="002D1E45" w:rsidRPr="007013F4"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7013F4">
        <w:rPr>
          <w:rFonts w:ascii="Times New Roman" w:hAnsi="Times New Roman"/>
          <w:sz w:val="28"/>
          <w:szCs w:val="28"/>
        </w:rPr>
        <w:t>озеленение, ограждение, оборудование площадок;</w:t>
      </w:r>
    </w:p>
    <w:p w:rsidR="002D1E45" w:rsidRPr="007013F4" w:rsidRDefault="002D1E45" w:rsidP="00852938">
      <w:pPr>
        <w:numPr>
          <w:ilvl w:val="0"/>
          <w:numId w:val="24"/>
        </w:numPr>
        <w:tabs>
          <w:tab w:val="clear" w:pos="1429"/>
          <w:tab w:val="left" w:pos="1134"/>
        </w:tabs>
        <w:spacing w:after="0" w:line="240" w:lineRule="auto"/>
        <w:ind w:left="1134"/>
        <w:jc w:val="both"/>
        <w:rPr>
          <w:rFonts w:ascii="Times New Roman" w:hAnsi="Times New Roman"/>
          <w:sz w:val="28"/>
          <w:szCs w:val="28"/>
        </w:rPr>
      </w:pPr>
      <w:r w:rsidRPr="007013F4">
        <w:rPr>
          <w:rFonts w:ascii="Times New Roman" w:hAnsi="Times New Roman"/>
          <w:sz w:val="28"/>
          <w:szCs w:val="28"/>
        </w:rPr>
        <w:t>установка скамеек, урн, осветительного оборудования, носителей информационного оформления.</w:t>
      </w:r>
    </w:p>
    <w:p w:rsidR="002D1E45" w:rsidRPr="003A7901" w:rsidRDefault="002D1E45" w:rsidP="00F46947">
      <w:pPr>
        <w:spacing w:after="0" w:line="240" w:lineRule="auto"/>
        <w:ind w:firstLine="709"/>
        <w:jc w:val="both"/>
        <w:rPr>
          <w:rFonts w:ascii="Times New Roman" w:hAnsi="Times New Roman"/>
          <w:color w:val="000000"/>
          <w:sz w:val="28"/>
          <w:szCs w:val="28"/>
        </w:rPr>
      </w:pPr>
      <w:r w:rsidRPr="003A7901">
        <w:rPr>
          <w:rFonts w:ascii="Times New Roman" w:hAnsi="Times New Roman"/>
          <w:color w:val="000000"/>
          <w:sz w:val="28"/>
          <w:szCs w:val="28"/>
        </w:rPr>
        <w:t>Система санитарной очистки и</w:t>
      </w:r>
      <w:r>
        <w:rPr>
          <w:rFonts w:ascii="Times New Roman" w:hAnsi="Times New Roman"/>
          <w:color w:val="000000"/>
          <w:sz w:val="28"/>
          <w:szCs w:val="28"/>
        </w:rPr>
        <w:t> </w:t>
      </w:r>
      <w:r w:rsidRPr="003A7901">
        <w:rPr>
          <w:rFonts w:ascii="Times New Roman" w:hAnsi="Times New Roman"/>
          <w:color w:val="000000"/>
          <w:sz w:val="28"/>
          <w:szCs w:val="28"/>
        </w:rPr>
        <w:t>уборки территорий населённых мест должна предусматривать рациональный сбор, быстрое удаление, надёжное обезвреживание и</w:t>
      </w:r>
      <w:r>
        <w:rPr>
          <w:rFonts w:ascii="Times New Roman" w:hAnsi="Times New Roman"/>
          <w:color w:val="000000"/>
          <w:sz w:val="28"/>
          <w:szCs w:val="28"/>
        </w:rPr>
        <w:t> </w:t>
      </w:r>
      <w:r w:rsidRPr="003A7901">
        <w:rPr>
          <w:rFonts w:ascii="Times New Roman" w:hAnsi="Times New Roman"/>
          <w:color w:val="000000"/>
          <w:sz w:val="28"/>
          <w:szCs w:val="28"/>
        </w:rPr>
        <w:t>экономически целесообразную утилизацию бытовых отходов: хозяйственно-бытовых, в</w:t>
      </w:r>
      <w:r>
        <w:rPr>
          <w:rFonts w:ascii="Times New Roman" w:hAnsi="Times New Roman"/>
          <w:color w:val="000000"/>
          <w:sz w:val="28"/>
          <w:szCs w:val="28"/>
        </w:rPr>
        <w:t> </w:t>
      </w:r>
      <w:r w:rsidRPr="003A7901">
        <w:rPr>
          <w:rFonts w:ascii="Times New Roman" w:hAnsi="Times New Roman"/>
          <w:color w:val="000000"/>
          <w:sz w:val="28"/>
          <w:szCs w:val="28"/>
        </w:rPr>
        <w:t>том числе пищевых отходов из</w:t>
      </w:r>
      <w:r>
        <w:rPr>
          <w:rFonts w:ascii="Times New Roman" w:hAnsi="Times New Roman"/>
          <w:color w:val="000000"/>
          <w:sz w:val="28"/>
          <w:szCs w:val="28"/>
        </w:rPr>
        <w:t> </w:t>
      </w:r>
      <w:r w:rsidRPr="003A7901">
        <w:rPr>
          <w:rFonts w:ascii="Times New Roman" w:hAnsi="Times New Roman"/>
          <w:color w:val="000000"/>
          <w:sz w:val="28"/>
          <w:szCs w:val="28"/>
        </w:rPr>
        <w:t>жилых и</w:t>
      </w:r>
      <w:r>
        <w:rPr>
          <w:rFonts w:ascii="Times New Roman" w:hAnsi="Times New Roman"/>
          <w:color w:val="000000"/>
          <w:sz w:val="28"/>
          <w:szCs w:val="28"/>
        </w:rPr>
        <w:t> </w:t>
      </w:r>
      <w:r w:rsidRPr="003A7901">
        <w:rPr>
          <w:rFonts w:ascii="Times New Roman" w:hAnsi="Times New Roman"/>
          <w:color w:val="000000"/>
          <w:sz w:val="28"/>
          <w:szCs w:val="28"/>
        </w:rPr>
        <w:t>общественных зданий, предприятий торговли, общественного питания и</w:t>
      </w:r>
      <w:r>
        <w:rPr>
          <w:rFonts w:ascii="Times New Roman" w:hAnsi="Times New Roman"/>
          <w:color w:val="000000"/>
          <w:sz w:val="28"/>
          <w:szCs w:val="28"/>
        </w:rPr>
        <w:t> </w:t>
      </w:r>
      <w:r w:rsidRPr="003A7901">
        <w:rPr>
          <w:rFonts w:ascii="Times New Roman" w:hAnsi="Times New Roman"/>
          <w:color w:val="000000"/>
          <w:sz w:val="28"/>
          <w:szCs w:val="28"/>
        </w:rPr>
        <w:t>культурно-бытового назначения; жидких из</w:t>
      </w:r>
      <w:r>
        <w:rPr>
          <w:rFonts w:ascii="Times New Roman" w:hAnsi="Times New Roman"/>
          <w:color w:val="000000"/>
          <w:sz w:val="28"/>
          <w:szCs w:val="28"/>
        </w:rPr>
        <w:t> </w:t>
      </w:r>
      <w:r w:rsidRPr="003A7901">
        <w:rPr>
          <w:rFonts w:ascii="Times New Roman" w:hAnsi="Times New Roman"/>
          <w:color w:val="000000"/>
          <w:sz w:val="28"/>
          <w:szCs w:val="28"/>
        </w:rPr>
        <w:t>неканализованных зданий; уличного мусора и</w:t>
      </w:r>
      <w:r>
        <w:rPr>
          <w:rFonts w:ascii="Times New Roman" w:hAnsi="Times New Roman"/>
          <w:color w:val="000000"/>
          <w:sz w:val="28"/>
          <w:szCs w:val="28"/>
        </w:rPr>
        <w:t> </w:t>
      </w:r>
      <w:r w:rsidRPr="003A7901">
        <w:rPr>
          <w:rFonts w:ascii="Times New Roman" w:hAnsi="Times New Roman"/>
          <w:color w:val="000000"/>
          <w:sz w:val="28"/>
          <w:szCs w:val="28"/>
        </w:rPr>
        <w:t>смета, и</w:t>
      </w:r>
      <w:r>
        <w:rPr>
          <w:rFonts w:ascii="Times New Roman" w:hAnsi="Times New Roman"/>
          <w:color w:val="000000"/>
          <w:sz w:val="28"/>
          <w:szCs w:val="28"/>
        </w:rPr>
        <w:t> </w:t>
      </w:r>
      <w:r w:rsidRPr="003A7901">
        <w:rPr>
          <w:rFonts w:ascii="Times New Roman" w:hAnsi="Times New Roman"/>
          <w:color w:val="000000"/>
          <w:sz w:val="28"/>
          <w:szCs w:val="28"/>
        </w:rPr>
        <w:t>других бытовых отходов, скапливающихся на</w:t>
      </w:r>
      <w:r>
        <w:rPr>
          <w:rFonts w:ascii="Times New Roman" w:hAnsi="Times New Roman"/>
          <w:color w:val="000000"/>
          <w:sz w:val="28"/>
          <w:szCs w:val="28"/>
        </w:rPr>
        <w:t> </w:t>
      </w:r>
      <w:r w:rsidRPr="003A7901">
        <w:rPr>
          <w:rFonts w:ascii="Times New Roman" w:hAnsi="Times New Roman"/>
          <w:color w:val="000000"/>
          <w:sz w:val="28"/>
          <w:szCs w:val="28"/>
        </w:rPr>
        <w:t>территории населённого пункта.</w:t>
      </w:r>
    </w:p>
    <w:p w:rsidR="002D1E45" w:rsidRPr="00692016" w:rsidRDefault="002D1E45" w:rsidP="00692016">
      <w:pPr>
        <w:spacing w:after="0" w:line="240" w:lineRule="auto"/>
        <w:ind w:firstLine="709"/>
        <w:jc w:val="both"/>
        <w:rPr>
          <w:rFonts w:ascii="Times New Roman" w:hAnsi="Times New Roman"/>
          <w:color w:val="000000"/>
          <w:sz w:val="28"/>
          <w:szCs w:val="28"/>
        </w:rPr>
      </w:pPr>
      <w:r w:rsidRPr="003A7901">
        <w:rPr>
          <w:rFonts w:ascii="Times New Roman" w:hAnsi="Times New Roman"/>
          <w:color w:val="000000"/>
          <w:sz w:val="28"/>
          <w:szCs w:val="28"/>
        </w:rPr>
        <w:t>Санитарная очистка должна осуществляться в</w:t>
      </w:r>
      <w:r>
        <w:rPr>
          <w:rFonts w:ascii="Times New Roman" w:hAnsi="Times New Roman"/>
          <w:color w:val="000000"/>
          <w:sz w:val="28"/>
          <w:szCs w:val="28"/>
        </w:rPr>
        <w:t> </w:t>
      </w:r>
      <w:r w:rsidRPr="003A7901">
        <w:rPr>
          <w:rFonts w:ascii="Times New Roman" w:hAnsi="Times New Roman"/>
          <w:color w:val="000000"/>
          <w:sz w:val="28"/>
          <w:szCs w:val="28"/>
        </w:rPr>
        <w:t>соответствии с</w:t>
      </w:r>
      <w:r>
        <w:rPr>
          <w:rFonts w:ascii="Times New Roman" w:hAnsi="Times New Roman"/>
          <w:color w:val="000000"/>
          <w:sz w:val="28"/>
          <w:szCs w:val="28"/>
        </w:rPr>
        <w:t> </w:t>
      </w:r>
      <w:r w:rsidRPr="003A7901">
        <w:rPr>
          <w:rFonts w:ascii="Times New Roman" w:hAnsi="Times New Roman"/>
          <w:color w:val="000000"/>
          <w:sz w:val="28"/>
          <w:szCs w:val="28"/>
        </w:rPr>
        <w:t>Санитарными правилами содержания территорий населённых мест (СанПиН 42-128-4690-88, утв. Минздравом СССР 05.08.1988 № 4690-88) и</w:t>
      </w:r>
      <w:r>
        <w:rPr>
          <w:rFonts w:ascii="Times New Roman" w:hAnsi="Times New Roman"/>
          <w:color w:val="000000"/>
          <w:sz w:val="28"/>
          <w:szCs w:val="28"/>
        </w:rPr>
        <w:t> </w:t>
      </w:r>
      <w:r w:rsidRPr="003A7901">
        <w:rPr>
          <w:rFonts w:ascii="Times New Roman" w:hAnsi="Times New Roman"/>
          <w:color w:val="000000"/>
          <w:sz w:val="28"/>
          <w:szCs w:val="28"/>
        </w:rPr>
        <w:t>схемой санитарной очистки населённых мест.</w:t>
      </w:r>
      <w:r w:rsidRPr="00692016">
        <w:rPr>
          <w:rFonts w:ascii="Times New Roman" w:hAnsi="Times New Roman"/>
          <w:color w:val="000000"/>
          <w:sz w:val="28"/>
          <w:szCs w:val="28"/>
        </w:rPr>
        <w:t xml:space="preserve"> Санитарная очистка и</w:t>
      </w:r>
      <w:r>
        <w:rPr>
          <w:rFonts w:ascii="Times New Roman" w:hAnsi="Times New Roman"/>
          <w:color w:val="000000"/>
          <w:sz w:val="28"/>
          <w:szCs w:val="28"/>
        </w:rPr>
        <w:t> </w:t>
      </w:r>
      <w:r w:rsidRPr="00692016">
        <w:rPr>
          <w:rFonts w:ascii="Times New Roman" w:hAnsi="Times New Roman"/>
          <w:color w:val="000000"/>
          <w:sz w:val="28"/>
          <w:szCs w:val="28"/>
        </w:rPr>
        <w:t xml:space="preserve">уборка территории </w:t>
      </w:r>
      <w:r w:rsidRPr="003A7901">
        <w:rPr>
          <w:rFonts w:ascii="Times New Roman" w:hAnsi="Times New Roman"/>
          <w:color w:val="000000"/>
          <w:sz w:val="28"/>
          <w:szCs w:val="28"/>
        </w:rPr>
        <w:t xml:space="preserve">должна осуществляться </w:t>
      </w:r>
      <w:r w:rsidRPr="00692016">
        <w:rPr>
          <w:rFonts w:ascii="Times New Roman" w:hAnsi="Times New Roman"/>
          <w:color w:val="000000"/>
          <w:sz w:val="28"/>
          <w:szCs w:val="28"/>
        </w:rPr>
        <w:t>по</w:t>
      </w:r>
      <w:r>
        <w:rPr>
          <w:rFonts w:ascii="Times New Roman" w:hAnsi="Times New Roman"/>
          <w:color w:val="000000"/>
          <w:sz w:val="28"/>
          <w:szCs w:val="28"/>
        </w:rPr>
        <w:t> </w:t>
      </w:r>
      <w:r w:rsidRPr="00692016">
        <w:rPr>
          <w:rFonts w:ascii="Times New Roman" w:hAnsi="Times New Roman"/>
          <w:color w:val="000000"/>
          <w:sz w:val="28"/>
          <w:szCs w:val="28"/>
        </w:rPr>
        <w:t>технологии, предусматривающей механизацию наиболее трудоёмких работ с</w:t>
      </w:r>
      <w:r>
        <w:rPr>
          <w:rFonts w:ascii="Times New Roman" w:hAnsi="Times New Roman"/>
          <w:color w:val="000000"/>
          <w:sz w:val="28"/>
          <w:szCs w:val="28"/>
        </w:rPr>
        <w:t> </w:t>
      </w:r>
      <w:r w:rsidRPr="00692016">
        <w:rPr>
          <w:rFonts w:ascii="Times New Roman" w:hAnsi="Times New Roman"/>
          <w:color w:val="000000"/>
          <w:sz w:val="28"/>
          <w:szCs w:val="28"/>
        </w:rPr>
        <w:t>применением спецтехники и</w:t>
      </w:r>
      <w:r>
        <w:rPr>
          <w:rFonts w:ascii="Times New Roman" w:hAnsi="Times New Roman"/>
          <w:color w:val="000000"/>
          <w:sz w:val="28"/>
          <w:szCs w:val="28"/>
        </w:rPr>
        <w:t> </w:t>
      </w:r>
      <w:r w:rsidRPr="00692016">
        <w:rPr>
          <w:rFonts w:ascii="Times New Roman" w:hAnsi="Times New Roman"/>
          <w:color w:val="000000"/>
          <w:sz w:val="28"/>
          <w:szCs w:val="28"/>
        </w:rPr>
        <w:t>оборудования (контейнеров-накопителей и</w:t>
      </w:r>
      <w:r>
        <w:rPr>
          <w:rFonts w:ascii="Times New Roman" w:hAnsi="Times New Roman"/>
          <w:color w:val="000000"/>
          <w:sz w:val="28"/>
          <w:szCs w:val="28"/>
        </w:rPr>
        <w:t> </w:t>
      </w:r>
      <w:r w:rsidRPr="00692016">
        <w:rPr>
          <w:rFonts w:ascii="Times New Roman" w:hAnsi="Times New Roman"/>
          <w:color w:val="000000"/>
          <w:sz w:val="28"/>
          <w:szCs w:val="28"/>
        </w:rPr>
        <w:t>автомашин-мусоровозов).</w:t>
      </w:r>
    </w:p>
    <w:p w:rsidR="002D1E45" w:rsidRPr="00841FD5" w:rsidRDefault="002D1E45" w:rsidP="00F46947">
      <w:pPr>
        <w:spacing w:after="0" w:line="240" w:lineRule="auto"/>
        <w:ind w:firstLine="709"/>
        <w:jc w:val="both"/>
        <w:rPr>
          <w:rFonts w:ascii="Times New Roman" w:hAnsi="Times New Roman"/>
          <w:sz w:val="28"/>
          <w:szCs w:val="24"/>
          <w:lang w:eastAsia="ru-RU"/>
        </w:rPr>
      </w:pPr>
      <w:r w:rsidRPr="00841FD5">
        <w:rPr>
          <w:rFonts w:ascii="Times New Roman" w:hAnsi="Times New Roman"/>
          <w:sz w:val="28"/>
          <w:szCs w:val="24"/>
          <w:lang w:eastAsia="ru-RU"/>
        </w:rPr>
        <w:t>В число основополагающих документов регионального уровня в</w:t>
      </w:r>
      <w:r>
        <w:rPr>
          <w:rFonts w:ascii="Times New Roman" w:hAnsi="Times New Roman"/>
          <w:sz w:val="28"/>
          <w:szCs w:val="24"/>
          <w:lang w:eastAsia="ru-RU"/>
        </w:rPr>
        <w:t> </w:t>
      </w:r>
      <w:r w:rsidRPr="00841FD5">
        <w:rPr>
          <w:rFonts w:ascii="Times New Roman" w:hAnsi="Times New Roman"/>
          <w:sz w:val="28"/>
          <w:szCs w:val="24"/>
          <w:lang w:eastAsia="ru-RU"/>
        </w:rPr>
        <w:t xml:space="preserve">части обеспечения экологической безопасности входят: </w:t>
      </w:r>
    </w:p>
    <w:p w:rsidR="002D1E45" w:rsidRPr="00AC4E76" w:rsidRDefault="002D1E45" w:rsidP="00D05D06">
      <w:pPr>
        <w:numPr>
          <w:ilvl w:val="0"/>
          <w:numId w:val="63"/>
        </w:numPr>
        <w:spacing w:after="0" w:line="240" w:lineRule="auto"/>
        <w:jc w:val="both"/>
        <w:rPr>
          <w:rFonts w:ascii="Times New Roman" w:hAnsi="Times New Roman"/>
          <w:sz w:val="28"/>
          <w:szCs w:val="24"/>
          <w:lang w:eastAsia="ru-RU"/>
        </w:rPr>
      </w:pPr>
      <w:r w:rsidRPr="006843AB">
        <w:rPr>
          <w:rFonts w:ascii="Times New Roman" w:hAnsi="Times New Roman"/>
          <w:sz w:val="28"/>
          <w:szCs w:val="24"/>
          <w:lang w:eastAsia="ru-RU"/>
        </w:rPr>
        <w:t>Государственная программа Новосибирской области «Развитие системы обращения с</w:t>
      </w:r>
      <w:r>
        <w:rPr>
          <w:rFonts w:ascii="Times New Roman" w:hAnsi="Times New Roman"/>
          <w:sz w:val="28"/>
          <w:szCs w:val="24"/>
          <w:lang w:eastAsia="ru-RU"/>
        </w:rPr>
        <w:t> </w:t>
      </w:r>
      <w:r w:rsidRPr="006843AB">
        <w:rPr>
          <w:rFonts w:ascii="Times New Roman" w:hAnsi="Times New Roman"/>
          <w:sz w:val="28"/>
          <w:szCs w:val="24"/>
          <w:lang w:eastAsia="ru-RU"/>
        </w:rPr>
        <w:t>отходами производства и</w:t>
      </w:r>
      <w:r>
        <w:rPr>
          <w:rFonts w:ascii="Times New Roman" w:hAnsi="Times New Roman"/>
          <w:sz w:val="28"/>
          <w:szCs w:val="24"/>
          <w:lang w:eastAsia="ru-RU"/>
        </w:rPr>
        <w:t> </w:t>
      </w:r>
      <w:r w:rsidRPr="006843AB">
        <w:rPr>
          <w:rFonts w:ascii="Times New Roman" w:hAnsi="Times New Roman"/>
          <w:sz w:val="28"/>
          <w:szCs w:val="24"/>
          <w:lang w:eastAsia="ru-RU"/>
        </w:rPr>
        <w:t>потребления в</w:t>
      </w:r>
      <w:r>
        <w:rPr>
          <w:rFonts w:ascii="Times New Roman" w:hAnsi="Times New Roman"/>
          <w:sz w:val="28"/>
          <w:szCs w:val="24"/>
          <w:lang w:eastAsia="ru-RU"/>
        </w:rPr>
        <w:t> </w:t>
      </w:r>
      <w:r w:rsidRPr="006843AB">
        <w:rPr>
          <w:rFonts w:ascii="Times New Roman" w:hAnsi="Times New Roman"/>
          <w:sz w:val="28"/>
          <w:szCs w:val="24"/>
          <w:lang w:eastAsia="ru-RU"/>
        </w:rPr>
        <w:t>Новосибирской области в 2015-2020 годах»</w:t>
      </w:r>
      <w:r w:rsidRPr="00AC4E76">
        <w:rPr>
          <w:rFonts w:ascii="Times New Roman" w:hAnsi="Times New Roman"/>
          <w:sz w:val="28"/>
          <w:szCs w:val="24"/>
          <w:lang w:eastAsia="ru-RU"/>
        </w:rPr>
        <w:t xml:space="preserve"> (утверждена </w:t>
      </w:r>
      <w:r w:rsidRPr="00723034">
        <w:rPr>
          <w:rFonts w:ascii="Times New Roman" w:hAnsi="Times New Roman"/>
          <w:sz w:val="28"/>
          <w:szCs w:val="24"/>
          <w:lang w:eastAsia="ru-RU"/>
        </w:rPr>
        <w:t>Постановление</w:t>
      </w:r>
      <w:r>
        <w:rPr>
          <w:rFonts w:ascii="Times New Roman" w:hAnsi="Times New Roman"/>
          <w:sz w:val="28"/>
          <w:szCs w:val="24"/>
          <w:lang w:eastAsia="ru-RU"/>
        </w:rPr>
        <w:t>м</w:t>
      </w:r>
      <w:r w:rsidRPr="00723034">
        <w:rPr>
          <w:rFonts w:ascii="Times New Roman" w:hAnsi="Times New Roman"/>
          <w:sz w:val="28"/>
          <w:szCs w:val="24"/>
          <w:lang w:eastAsia="ru-RU"/>
        </w:rPr>
        <w:t xml:space="preserve"> Правительства Новосибирской области от 19.01.2015 </w:t>
      </w:r>
      <w:r>
        <w:rPr>
          <w:rFonts w:ascii="Times New Roman" w:hAnsi="Times New Roman"/>
          <w:sz w:val="28"/>
          <w:szCs w:val="24"/>
          <w:lang w:eastAsia="ru-RU"/>
        </w:rPr>
        <w:t>№</w:t>
      </w:r>
      <w:r w:rsidRPr="00723034">
        <w:rPr>
          <w:rFonts w:ascii="Times New Roman" w:hAnsi="Times New Roman"/>
          <w:sz w:val="28"/>
          <w:szCs w:val="24"/>
          <w:lang w:eastAsia="ru-RU"/>
        </w:rPr>
        <w:t xml:space="preserve"> 10-п</w:t>
      </w:r>
      <w:r>
        <w:rPr>
          <w:rFonts w:ascii="Times New Roman" w:hAnsi="Times New Roman"/>
          <w:sz w:val="28"/>
          <w:szCs w:val="24"/>
          <w:lang w:eastAsia="ru-RU"/>
        </w:rPr>
        <w:t>)</w:t>
      </w:r>
      <w:r w:rsidRPr="00AC4E76">
        <w:rPr>
          <w:rFonts w:ascii="Times New Roman" w:hAnsi="Times New Roman"/>
          <w:sz w:val="28"/>
          <w:szCs w:val="24"/>
          <w:lang w:eastAsia="ru-RU"/>
        </w:rPr>
        <w:t xml:space="preserve">; </w:t>
      </w:r>
    </w:p>
    <w:p w:rsidR="002D1E45" w:rsidRDefault="002D1E45" w:rsidP="00D05D06">
      <w:pPr>
        <w:numPr>
          <w:ilvl w:val="0"/>
          <w:numId w:val="63"/>
        </w:numPr>
        <w:spacing w:after="0" w:line="240" w:lineRule="auto"/>
        <w:jc w:val="both"/>
        <w:rPr>
          <w:rFonts w:ascii="Times New Roman" w:hAnsi="Times New Roman"/>
          <w:sz w:val="28"/>
          <w:szCs w:val="24"/>
          <w:lang w:eastAsia="ru-RU"/>
        </w:rPr>
      </w:pPr>
      <w:r>
        <w:rPr>
          <w:rFonts w:ascii="Times New Roman" w:hAnsi="Times New Roman"/>
          <w:sz w:val="28"/>
          <w:szCs w:val="24"/>
          <w:lang w:eastAsia="ru-RU"/>
        </w:rPr>
        <w:t>Т</w:t>
      </w:r>
      <w:r w:rsidRPr="00DD0A18">
        <w:rPr>
          <w:rFonts w:ascii="Times New Roman" w:hAnsi="Times New Roman"/>
          <w:sz w:val="28"/>
          <w:szCs w:val="24"/>
          <w:lang w:eastAsia="ru-RU"/>
        </w:rPr>
        <w:t>ерриториальн</w:t>
      </w:r>
      <w:r>
        <w:rPr>
          <w:rFonts w:ascii="Times New Roman" w:hAnsi="Times New Roman"/>
          <w:sz w:val="28"/>
          <w:szCs w:val="24"/>
          <w:lang w:eastAsia="ru-RU"/>
        </w:rPr>
        <w:t>ая</w:t>
      </w:r>
      <w:r w:rsidRPr="00DD0A18">
        <w:rPr>
          <w:rFonts w:ascii="Times New Roman" w:hAnsi="Times New Roman"/>
          <w:sz w:val="28"/>
          <w:szCs w:val="24"/>
          <w:lang w:eastAsia="ru-RU"/>
        </w:rPr>
        <w:t xml:space="preserve"> схем</w:t>
      </w:r>
      <w:r>
        <w:rPr>
          <w:rFonts w:ascii="Times New Roman" w:hAnsi="Times New Roman"/>
          <w:sz w:val="28"/>
          <w:szCs w:val="24"/>
          <w:lang w:eastAsia="ru-RU"/>
        </w:rPr>
        <w:t>а</w:t>
      </w:r>
      <w:r w:rsidRPr="00DD0A18">
        <w:rPr>
          <w:rFonts w:ascii="Times New Roman" w:hAnsi="Times New Roman"/>
          <w:sz w:val="28"/>
          <w:szCs w:val="24"/>
          <w:lang w:eastAsia="ru-RU"/>
        </w:rPr>
        <w:t xml:space="preserve"> обращения с</w:t>
      </w:r>
      <w:r>
        <w:rPr>
          <w:rFonts w:ascii="Times New Roman" w:hAnsi="Times New Roman"/>
          <w:sz w:val="28"/>
          <w:szCs w:val="24"/>
          <w:lang w:eastAsia="ru-RU"/>
        </w:rPr>
        <w:t> </w:t>
      </w:r>
      <w:r w:rsidRPr="00DD0A18">
        <w:rPr>
          <w:rFonts w:ascii="Times New Roman" w:hAnsi="Times New Roman"/>
          <w:sz w:val="28"/>
          <w:szCs w:val="24"/>
          <w:lang w:eastAsia="ru-RU"/>
        </w:rPr>
        <w:t>отходами, в</w:t>
      </w:r>
      <w:r>
        <w:rPr>
          <w:rFonts w:ascii="Times New Roman" w:hAnsi="Times New Roman"/>
          <w:sz w:val="28"/>
          <w:szCs w:val="24"/>
          <w:lang w:eastAsia="ru-RU"/>
        </w:rPr>
        <w:t> </w:t>
      </w:r>
      <w:r w:rsidRPr="00DD0A18">
        <w:rPr>
          <w:rFonts w:ascii="Times New Roman" w:hAnsi="Times New Roman"/>
          <w:sz w:val="28"/>
          <w:szCs w:val="24"/>
          <w:lang w:eastAsia="ru-RU"/>
        </w:rPr>
        <w:t>том числе с</w:t>
      </w:r>
      <w:r>
        <w:rPr>
          <w:rFonts w:ascii="Times New Roman" w:hAnsi="Times New Roman"/>
          <w:sz w:val="28"/>
          <w:szCs w:val="24"/>
          <w:lang w:eastAsia="ru-RU"/>
        </w:rPr>
        <w:t> </w:t>
      </w:r>
      <w:r w:rsidRPr="00DD0A18">
        <w:rPr>
          <w:rFonts w:ascii="Times New Roman" w:hAnsi="Times New Roman"/>
          <w:sz w:val="28"/>
          <w:szCs w:val="24"/>
          <w:lang w:eastAsia="ru-RU"/>
        </w:rPr>
        <w:t xml:space="preserve">твёрдыми коммунальными отходами, Новосибирской области </w:t>
      </w:r>
      <w:r w:rsidRPr="00AC4E76">
        <w:rPr>
          <w:rFonts w:ascii="Times New Roman" w:hAnsi="Times New Roman"/>
          <w:sz w:val="28"/>
          <w:szCs w:val="24"/>
          <w:lang w:eastAsia="ru-RU"/>
        </w:rPr>
        <w:t xml:space="preserve">(утверждена </w:t>
      </w:r>
      <w:r w:rsidRPr="00DD0A18">
        <w:rPr>
          <w:rFonts w:ascii="Times New Roman" w:hAnsi="Times New Roman"/>
          <w:sz w:val="28"/>
          <w:szCs w:val="24"/>
          <w:lang w:eastAsia="ru-RU"/>
        </w:rPr>
        <w:t>Постановление</w:t>
      </w:r>
      <w:r>
        <w:rPr>
          <w:rFonts w:ascii="Times New Roman" w:hAnsi="Times New Roman"/>
          <w:sz w:val="28"/>
          <w:szCs w:val="24"/>
          <w:lang w:eastAsia="ru-RU"/>
        </w:rPr>
        <w:t>м</w:t>
      </w:r>
      <w:r w:rsidRPr="00DD0A18">
        <w:rPr>
          <w:rFonts w:ascii="Times New Roman" w:hAnsi="Times New Roman"/>
          <w:sz w:val="28"/>
          <w:szCs w:val="24"/>
          <w:lang w:eastAsia="ru-RU"/>
        </w:rPr>
        <w:t xml:space="preserve"> Правительства Новосибирской области от 26.09.2016 </w:t>
      </w:r>
      <w:r>
        <w:rPr>
          <w:rFonts w:ascii="Times New Roman" w:hAnsi="Times New Roman"/>
          <w:sz w:val="28"/>
          <w:szCs w:val="24"/>
          <w:lang w:eastAsia="ru-RU"/>
        </w:rPr>
        <w:t>№ </w:t>
      </w:r>
      <w:r w:rsidRPr="00DD0A18">
        <w:rPr>
          <w:rFonts w:ascii="Times New Roman" w:hAnsi="Times New Roman"/>
          <w:sz w:val="28"/>
          <w:szCs w:val="24"/>
          <w:lang w:eastAsia="ru-RU"/>
        </w:rPr>
        <w:t>292-п</w:t>
      </w:r>
      <w:r>
        <w:rPr>
          <w:rFonts w:ascii="Times New Roman" w:hAnsi="Times New Roman"/>
          <w:sz w:val="28"/>
          <w:szCs w:val="24"/>
          <w:lang w:eastAsia="ru-RU"/>
        </w:rPr>
        <w:t>)</w:t>
      </w:r>
      <w:r w:rsidRPr="00AC4E76">
        <w:rPr>
          <w:rFonts w:ascii="Times New Roman" w:hAnsi="Times New Roman"/>
          <w:sz w:val="28"/>
          <w:szCs w:val="24"/>
          <w:lang w:eastAsia="ru-RU"/>
        </w:rPr>
        <w:t xml:space="preserve">; </w:t>
      </w:r>
    </w:p>
    <w:p w:rsidR="002D1E45" w:rsidRPr="00841FD5" w:rsidRDefault="002D1E45" w:rsidP="00D05D06">
      <w:pPr>
        <w:numPr>
          <w:ilvl w:val="0"/>
          <w:numId w:val="63"/>
        </w:numPr>
        <w:spacing w:after="0" w:line="240" w:lineRule="auto"/>
        <w:jc w:val="both"/>
        <w:rPr>
          <w:rFonts w:ascii="Times New Roman" w:hAnsi="Times New Roman"/>
          <w:sz w:val="28"/>
          <w:szCs w:val="24"/>
          <w:lang w:eastAsia="ru-RU"/>
        </w:rPr>
      </w:pPr>
      <w:r w:rsidRPr="00DD0A18">
        <w:rPr>
          <w:rFonts w:ascii="Times New Roman" w:hAnsi="Times New Roman"/>
          <w:sz w:val="28"/>
          <w:szCs w:val="24"/>
          <w:lang w:eastAsia="ru-RU"/>
        </w:rPr>
        <w:t>Государственная программа Новосибирской области «Охрана окружающей среды» на 2015-2020 годы</w:t>
      </w:r>
      <w:r>
        <w:rPr>
          <w:rFonts w:ascii="Times New Roman" w:hAnsi="Times New Roman"/>
          <w:sz w:val="28"/>
          <w:szCs w:val="24"/>
          <w:lang w:eastAsia="ru-RU"/>
        </w:rPr>
        <w:t xml:space="preserve"> (</w:t>
      </w:r>
      <w:r w:rsidRPr="00AC4E76">
        <w:rPr>
          <w:rFonts w:ascii="Times New Roman" w:hAnsi="Times New Roman"/>
          <w:sz w:val="28"/>
          <w:szCs w:val="24"/>
          <w:lang w:eastAsia="ru-RU"/>
        </w:rPr>
        <w:t xml:space="preserve">утверждена </w:t>
      </w:r>
      <w:r w:rsidRPr="00723034">
        <w:rPr>
          <w:rFonts w:ascii="Times New Roman" w:hAnsi="Times New Roman"/>
          <w:sz w:val="28"/>
          <w:szCs w:val="24"/>
          <w:lang w:eastAsia="ru-RU"/>
        </w:rPr>
        <w:t>Постановление</w:t>
      </w:r>
      <w:r>
        <w:rPr>
          <w:rFonts w:ascii="Times New Roman" w:hAnsi="Times New Roman"/>
          <w:sz w:val="28"/>
          <w:szCs w:val="24"/>
          <w:lang w:eastAsia="ru-RU"/>
        </w:rPr>
        <w:t>м</w:t>
      </w:r>
      <w:r w:rsidRPr="00723034">
        <w:rPr>
          <w:rFonts w:ascii="Times New Roman" w:hAnsi="Times New Roman"/>
          <w:sz w:val="28"/>
          <w:szCs w:val="24"/>
          <w:lang w:eastAsia="ru-RU"/>
        </w:rPr>
        <w:t xml:space="preserve"> Правительства Новосибирской области от </w:t>
      </w:r>
      <w:r w:rsidRPr="00DD0A18">
        <w:rPr>
          <w:rFonts w:ascii="Times New Roman" w:hAnsi="Times New Roman"/>
          <w:sz w:val="28"/>
          <w:szCs w:val="24"/>
          <w:lang w:eastAsia="ru-RU"/>
        </w:rPr>
        <w:t>28.01.2015 № 28-п</w:t>
      </w:r>
      <w:r>
        <w:rPr>
          <w:rFonts w:ascii="Times New Roman" w:hAnsi="Times New Roman"/>
          <w:sz w:val="28"/>
          <w:szCs w:val="24"/>
          <w:lang w:eastAsia="ru-RU"/>
        </w:rPr>
        <w:t>)</w:t>
      </w:r>
      <w:r w:rsidRPr="00841FD5">
        <w:rPr>
          <w:rFonts w:ascii="Times New Roman" w:hAnsi="Times New Roman"/>
          <w:sz w:val="28"/>
          <w:szCs w:val="24"/>
          <w:lang w:eastAsia="ru-RU"/>
        </w:rPr>
        <w:t>;</w:t>
      </w:r>
    </w:p>
    <w:p w:rsidR="002D1E45" w:rsidRPr="00841FD5" w:rsidRDefault="002D1E45" w:rsidP="00D05D06">
      <w:pPr>
        <w:numPr>
          <w:ilvl w:val="0"/>
          <w:numId w:val="63"/>
        </w:numPr>
        <w:spacing w:after="0" w:line="240" w:lineRule="auto"/>
        <w:jc w:val="both"/>
        <w:rPr>
          <w:rFonts w:ascii="Times New Roman" w:hAnsi="Times New Roman"/>
          <w:sz w:val="28"/>
          <w:szCs w:val="24"/>
          <w:lang w:eastAsia="ru-RU"/>
        </w:rPr>
      </w:pPr>
      <w:r w:rsidRPr="005D10A8">
        <w:rPr>
          <w:rFonts w:ascii="Times New Roman" w:hAnsi="Times New Roman"/>
          <w:sz w:val="28"/>
          <w:szCs w:val="24"/>
          <w:lang w:eastAsia="ru-RU"/>
        </w:rPr>
        <w:t>Государственная программа Новосибирской области «Энергосбережение и</w:t>
      </w:r>
      <w:r>
        <w:rPr>
          <w:rFonts w:ascii="Times New Roman" w:hAnsi="Times New Roman"/>
          <w:sz w:val="28"/>
          <w:szCs w:val="24"/>
          <w:lang w:eastAsia="ru-RU"/>
        </w:rPr>
        <w:t> </w:t>
      </w:r>
      <w:r w:rsidRPr="005D10A8">
        <w:rPr>
          <w:rFonts w:ascii="Times New Roman" w:hAnsi="Times New Roman"/>
          <w:sz w:val="28"/>
          <w:szCs w:val="24"/>
          <w:lang w:eastAsia="ru-RU"/>
        </w:rPr>
        <w:t>повышение энергетической эффективности Новосибирской области на 2015-2020 годы»</w:t>
      </w:r>
      <w:r>
        <w:rPr>
          <w:rFonts w:ascii="Times New Roman" w:hAnsi="Times New Roman"/>
          <w:sz w:val="28"/>
          <w:szCs w:val="24"/>
          <w:lang w:eastAsia="ru-RU"/>
        </w:rPr>
        <w:t xml:space="preserve"> (</w:t>
      </w:r>
      <w:r w:rsidRPr="00AC4E76">
        <w:rPr>
          <w:rFonts w:ascii="Times New Roman" w:hAnsi="Times New Roman"/>
          <w:sz w:val="28"/>
          <w:szCs w:val="24"/>
          <w:lang w:eastAsia="ru-RU"/>
        </w:rPr>
        <w:t xml:space="preserve">утверждена </w:t>
      </w:r>
      <w:r w:rsidRPr="005D10A8">
        <w:rPr>
          <w:rFonts w:ascii="Times New Roman" w:hAnsi="Times New Roman"/>
          <w:sz w:val="28"/>
          <w:szCs w:val="24"/>
          <w:lang w:eastAsia="ru-RU"/>
        </w:rPr>
        <w:t>Постановление</w:t>
      </w:r>
      <w:r>
        <w:rPr>
          <w:rFonts w:ascii="Times New Roman" w:hAnsi="Times New Roman"/>
          <w:sz w:val="28"/>
          <w:szCs w:val="24"/>
          <w:lang w:eastAsia="ru-RU"/>
        </w:rPr>
        <w:t>м</w:t>
      </w:r>
      <w:r w:rsidRPr="005D10A8">
        <w:rPr>
          <w:rFonts w:ascii="Times New Roman" w:hAnsi="Times New Roman"/>
          <w:sz w:val="28"/>
          <w:szCs w:val="24"/>
          <w:lang w:eastAsia="ru-RU"/>
        </w:rPr>
        <w:t xml:space="preserve"> Правительства Новосибирской области от 16.03.2015 № 89-п</w:t>
      </w:r>
      <w:r>
        <w:rPr>
          <w:rFonts w:ascii="Times New Roman" w:hAnsi="Times New Roman"/>
          <w:sz w:val="28"/>
          <w:szCs w:val="24"/>
          <w:lang w:eastAsia="ru-RU"/>
        </w:rPr>
        <w:t>).</w:t>
      </w:r>
    </w:p>
    <w:p w:rsidR="002D1E45" w:rsidRPr="003A7901" w:rsidRDefault="002D1E45" w:rsidP="00295FCC">
      <w:pPr>
        <w:spacing w:after="0" w:line="240" w:lineRule="auto"/>
        <w:ind w:firstLine="709"/>
        <w:jc w:val="both"/>
        <w:rPr>
          <w:rFonts w:ascii="Times New Roman" w:hAnsi="Times New Roman"/>
          <w:color w:val="000000"/>
          <w:sz w:val="28"/>
          <w:szCs w:val="28"/>
        </w:rPr>
      </w:pPr>
      <w:r w:rsidRPr="003A7901">
        <w:rPr>
          <w:rFonts w:ascii="Times New Roman" w:hAnsi="Times New Roman"/>
          <w:color w:val="000000"/>
          <w:sz w:val="28"/>
          <w:szCs w:val="28"/>
        </w:rPr>
        <w:t>Наибольшую опасность, как следствие интенсивного хозяйственного освоения территории, будет представлять значительное увеличение объёма отходов производства и</w:t>
      </w:r>
      <w:r>
        <w:rPr>
          <w:rFonts w:ascii="Times New Roman" w:hAnsi="Times New Roman"/>
          <w:color w:val="000000"/>
          <w:sz w:val="28"/>
          <w:szCs w:val="28"/>
        </w:rPr>
        <w:t> </w:t>
      </w:r>
      <w:r w:rsidRPr="003A7901">
        <w:rPr>
          <w:rFonts w:ascii="Times New Roman" w:hAnsi="Times New Roman"/>
          <w:color w:val="000000"/>
          <w:sz w:val="28"/>
          <w:szCs w:val="28"/>
        </w:rPr>
        <w:t>потребления, что является серьёзной проблемой для любой интенсивно развивающейся территории. Отходы несут в</w:t>
      </w:r>
      <w:r>
        <w:rPr>
          <w:rFonts w:ascii="Times New Roman" w:hAnsi="Times New Roman"/>
          <w:color w:val="000000"/>
          <w:sz w:val="28"/>
          <w:szCs w:val="28"/>
        </w:rPr>
        <w:t> </w:t>
      </w:r>
      <w:r w:rsidRPr="003A7901">
        <w:rPr>
          <w:rFonts w:ascii="Times New Roman" w:hAnsi="Times New Roman"/>
          <w:color w:val="000000"/>
          <w:sz w:val="28"/>
          <w:szCs w:val="28"/>
        </w:rPr>
        <w:t>себе целый комплекс проблем:</w:t>
      </w:r>
    </w:p>
    <w:p w:rsidR="002D1E45" w:rsidRPr="00BD4D4D" w:rsidRDefault="002D1E45" w:rsidP="00D05D06">
      <w:pPr>
        <w:numPr>
          <w:ilvl w:val="0"/>
          <w:numId w:val="63"/>
        </w:numPr>
        <w:spacing w:after="0" w:line="240" w:lineRule="auto"/>
        <w:jc w:val="both"/>
        <w:rPr>
          <w:rFonts w:ascii="Times New Roman" w:hAnsi="Times New Roman"/>
          <w:sz w:val="28"/>
          <w:szCs w:val="24"/>
          <w:lang w:eastAsia="ru-RU"/>
        </w:rPr>
      </w:pPr>
      <w:r w:rsidRPr="00BD4D4D">
        <w:rPr>
          <w:rFonts w:ascii="Times New Roman" w:hAnsi="Times New Roman"/>
          <w:sz w:val="28"/>
          <w:szCs w:val="24"/>
          <w:lang w:eastAsia="ru-RU"/>
        </w:rPr>
        <w:t xml:space="preserve">ухудшение эстетических характеристик территории (мусор, запах); </w:t>
      </w:r>
    </w:p>
    <w:p w:rsidR="002D1E45" w:rsidRPr="00BD4D4D" w:rsidRDefault="002D1E45" w:rsidP="00D05D06">
      <w:pPr>
        <w:numPr>
          <w:ilvl w:val="0"/>
          <w:numId w:val="63"/>
        </w:numPr>
        <w:spacing w:after="0" w:line="240" w:lineRule="auto"/>
        <w:jc w:val="both"/>
        <w:rPr>
          <w:rFonts w:ascii="Times New Roman" w:hAnsi="Times New Roman"/>
          <w:sz w:val="28"/>
          <w:szCs w:val="24"/>
          <w:lang w:eastAsia="ru-RU"/>
        </w:rPr>
      </w:pPr>
      <w:r w:rsidRPr="00BD4D4D">
        <w:rPr>
          <w:rFonts w:ascii="Times New Roman" w:hAnsi="Times New Roman"/>
          <w:sz w:val="28"/>
          <w:szCs w:val="24"/>
          <w:lang w:eastAsia="ru-RU"/>
        </w:rPr>
        <w:t>локальное загрязнение почвы и</w:t>
      </w:r>
      <w:r>
        <w:rPr>
          <w:rFonts w:ascii="Times New Roman" w:hAnsi="Times New Roman"/>
          <w:sz w:val="28"/>
          <w:szCs w:val="24"/>
          <w:lang w:eastAsia="ru-RU"/>
        </w:rPr>
        <w:t> </w:t>
      </w:r>
      <w:r w:rsidRPr="00BD4D4D">
        <w:rPr>
          <w:rFonts w:ascii="Times New Roman" w:hAnsi="Times New Roman"/>
          <w:sz w:val="28"/>
          <w:szCs w:val="24"/>
          <w:lang w:eastAsia="ru-RU"/>
        </w:rPr>
        <w:t>атмосферного воздуха;</w:t>
      </w:r>
    </w:p>
    <w:p w:rsidR="002D1E45" w:rsidRPr="003A7901" w:rsidRDefault="002D1E45" w:rsidP="00D05D06">
      <w:pPr>
        <w:numPr>
          <w:ilvl w:val="0"/>
          <w:numId w:val="63"/>
        </w:numPr>
        <w:spacing w:after="0" w:line="240" w:lineRule="auto"/>
        <w:jc w:val="both"/>
        <w:rPr>
          <w:rFonts w:ascii="Times New Roman" w:hAnsi="Times New Roman"/>
          <w:color w:val="000000"/>
          <w:sz w:val="28"/>
          <w:szCs w:val="28"/>
        </w:rPr>
      </w:pPr>
      <w:r w:rsidRPr="00BD4D4D">
        <w:rPr>
          <w:rFonts w:ascii="Times New Roman" w:hAnsi="Times New Roman"/>
          <w:sz w:val="28"/>
          <w:szCs w:val="24"/>
          <w:lang w:eastAsia="ru-RU"/>
        </w:rPr>
        <w:t>большой объем захоронения отходов на</w:t>
      </w:r>
      <w:r>
        <w:rPr>
          <w:rFonts w:ascii="Times New Roman" w:hAnsi="Times New Roman"/>
          <w:sz w:val="28"/>
          <w:szCs w:val="24"/>
          <w:lang w:eastAsia="ru-RU"/>
        </w:rPr>
        <w:t> </w:t>
      </w:r>
      <w:r w:rsidRPr="00BD4D4D">
        <w:rPr>
          <w:rFonts w:ascii="Times New Roman" w:hAnsi="Times New Roman"/>
          <w:sz w:val="28"/>
          <w:szCs w:val="24"/>
          <w:lang w:eastAsia="ru-RU"/>
        </w:rPr>
        <w:t>территории населённых пунктов свидетельствует об</w:t>
      </w:r>
      <w:r>
        <w:rPr>
          <w:rFonts w:ascii="Times New Roman" w:hAnsi="Times New Roman"/>
          <w:sz w:val="28"/>
          <w:szCs w:val="24"/>
          <w:lang w:eastAsia="ru-RU"/>
        </w:rPr>
        <w:t> </w:t>
      </w:r>
      <w:r w:rsidRPr="00BD4D4D">
        <w:rPr>
          <w:rFonts w:ascii="Times New Roman" w:hAnsi="Times New Roman"/>
          <w:sz w:val="28"/>
          <w:szCs w:val="24"/>
          <w:lang w:eastAsia="ru-RU"/>
        </w:rPr>
        <w:t>ограниченности использования экономического потен</w:t>
      </w:r>
      <w:r w:rsidRPr="003A7901">
        <w:rPr>
          <w:rFonts w:ascii="Times New Roman" w:hAnsi="Times New Roman"/>
          <w:color w:val="000000"/>
          <w:sz w:val="28"/>
          <w:szCs w:val="28"/>
        </w:rPr>
        <w:t>циала отходов.</w:t>
      </w:r>
    </w:p>
    <w:p w:rsidR="002D1E45" w:rsidRPr="007013F4" w:rsidRDefault="002D1E45" w:rsidP="007013F4">
      <w:pPr>
        <w:spacing w:after="0" w:line="240" w:lineRule="auto"/>
        <w:ind w:firstLine="709"/>
        <w:jc w:val="both"/>
        <w:rPr>
          <w:rFonts w:ascii="Times New Roman" w:hAnsi="Times New Roman"/>
          <w:color w:val="000000"/>
          <w:sz w:val="28"/>
          <w:szCs w:val="28"/>
        </w:rPr>
      </w:pPr>
      <w:r w:rsidRPr="007013F4">
        <w:rPr>
          <w:rFonts w:ascii="Times New Roman" w:hAnsi="Times New Roman"/>
          <w:color w:val="000000"/>
          <w:sz w:val="28"/>
          <w:szCs w:val="28"/>
        </w:rPr>
        <w:t>Генеральным планом рекомендуются мероприятия по</w:t>
      </w:r>
      <w:r>
        <w:rPr>
          <w:rFonts w:ascii="Times New Roman" w:hAnsi="Times New Roman"/>
          <w:color w:val="000000"/>
          <w:sz w:val="28"/>
          <w:szCs w:val="28"/>
        </w:rPr>
        <w:t> </w:t>
      </w:r>
      <w:r w:rsidRPr="007013F4">
        <w:rPr>
          <w:rFonts w:ascii="Times New Roman" w:hAnsi="Times New Roman"/>
          <w:color w:val="000000"/>
          <w:sz w:val="28"/>
          <w:szCs w:val="28"/>
        </w:rPr>
        <w:t>совершенствованию системы санитарной очистки и</w:t>
      </w:r>
      <w:r>
        <w:rPr>
          <w:rFonts w:ascii="Times New Roman" w:hAnsi="Times New Roman"/>
          <w:color w:val="000000"/>
          <w:sz w:val="28"/>
          <w:szCs w:val="28"/>
        </w:rPr>
        <w:t> </w:t>
      </w:r>
      <w:r w:rsidRPr="007013F4">
        <w:rPr>
          <w:rFonts w:ascii="Times New Roman" w:hAnsi="Times New Roman"/>
          <w:color w:val="000000"/>
          <w:sz w:val="28"/>
          <w:szCs w:val="28"/>
        </w:rPr>
        <w:t xml:space="preserve">уборки территории </w:t>
      </w:r>
      <w:r>
        <w:rPr>
          <w:rFonts w:ascii="Times New Roman" w:hAnsi="Times New Roman"/>
          <w:color w:val="000000"/>
          <w:sz w:val="28"/>
          <w:szCs w:val="28"/>
        </w:rPr>
        <w:t>населённых пунктов</w:t>
      </w:r>
      <w:r w:rsidRPr="007013F4">
        <w:rPr>
          <w:rFonts w:ascii="Times New Roman" w:hAnsi="Times New Roman"/>
          <w:color w:val="000000"/>
          <w:sz w:val="28"/>
          <w:szCs w:val="28"/>
        </w:rPr>
        <w:t>, которые позволят обеспечить рациональную организацию работы по</w:t>
      </w:r>
      <w:r>
        <w:rPr>
          <w:rFonts w:ascii="Times New Roman" w:hAnsi="Times New Roman"/>
          <w:color w:val="000000"/>
          <w:sz w:val="28"/>
          <w:szCs w:val="28"/>
        </w:rPr>
        <w:t> </w:t>
      </w:r>
      <w:r w:rsidRPr="007013F4">
        <w:rPr>
          <w:rFonts w:ascii="Times New Roman" w:hAnsi="Times New Roman"/>
          <w:color w:val="000000"/>
          <w:sz w:val="28"/>
          <w:szCs w:val="28"/>
        </w:rPr>
        <w:t xml:space="preserve">сбору, </w:t>
      </w:r>
      <w:r>
        <w:rPr>
          <w:rFonts w:ascii="Times New Roman" w:hAnsi="Times New Roman"/>
          <w:color w:val="000000"/>
          <w:sz w:val="28"/>
          <w:szCs w:val="28"/>
        </w:rPr>
        <w:t>транспортированию</w:t>
      </w:r>
      <w:r w:rsidRPr="007013F4">
        <w:rPr>
          <w:rFonts w:ascii="Times New Roman" w:hAnsi="Times New Roman"/>
          <w:color w:val="000000"/>
          <w:sz w:val="28"/>
          <w:szCs w:val="28"/>
        </w:rPr>
        <w:t>, обезвреживанию</w:t>
      </w:r>
      <w:r>
        <w:rPr>
          <w:rFonts w:ascii="Times New Roman" w:hAnsi="Times New Roman"/>
          <w:color w:val="000000"/>
          <w:sz w:val="28"/>
          <w:szCs w:val="28"/>
        </w:rPr>
        <w:t xml:space="preserve"> </w:t>
      </w:r>
      <w:r w:rsidRPr="007013F4">
        <w:rPr>
          <w:rFonts w:ascii="Times New Roman" w:hAnsi="Times New Roman"/>
          <w:color w:val="000000"/>
          <w:sz w:val="28"/>
          <w:szCs w:val="28"/>
        </w:rPr>
        <w:t>и</w:t>
      </w:r>
      <w:r>
        <w:rPr>
          <w:rFonts w:ascii="Times New Roman" w:hAnsi="Times New Roman"/>
          <w:color w:val="000000"/>
          <w:sz w:val="28"/>
          <w:szCs w:val="28"/>
        </w:rPr>
        <w:t> </w:t>
      </w:r>
      <w:r w:rsidRPr="007013F4">
        <w:rPr>
          <w:rFonts w:ascii="Times New Roman" w:hAnsi="Times New Roman"/>
          <w:color w:val="000000"/>
          <w:sz w:val="28"/>
          <w:szCs w:val="28"/>
        </w:rPr>
        <w:t>утилизации отходов.</w:t>
      </w:r>
    </w:p>
    <w:p w:rsidR="002D1E45" w:rsidRPr="007013F4" w:rsidRDefault="002D1E45" w:rsidP="007013F4">
      <w:pPr>
        <w:spacing w:after="0" w:line="240" w:lineRule="auto"/>
        <w:ind w:firstLine="709"/>
        <w:jc w:val="both"/>
        <w:rPr>
          <w:rFonts w:ascii="Times New Roman" w:hAnsi="Times New Roman"/>
          <w:color w:val="000000"/>
          <w:sz w:val="28"/>
          <w:szCs w:val="28"/>
        </w:rPr>
      </w:pPr>
      <w:r w:rsidRPr="007013F4">
        <w:rPr>
          <w:rFonts w:ascii="Times New Roman" w:hAnsi="Times New Roman"/>
          <w:color w:val="000000"/>
          <w:sz w:val="28"/>
          <w:szCs w:val="28"/>
        </w:rPr>
        <w:t>Первоочередными мероприятиями по</w:t>
      </w:r>
      <w:r>
        <w:rPr>
          <w:rFonts w:ascii="Times New Roman" w:hAnsi="Times New Roman"/>
          <w:color w:val="000000"/>
          <w:sz w:val="28"/>
          <w:szCs w:val="28"/>
        </w:rPr>
        <w:t> </w:t>
      </w:r>
      <w:r w:rsidRPr="007013F4">
        <w:rPr>
          <w:rFonts w:ascii="Times New Roman" w:hAnsi="Times New Roman"/>
          <w:color w:val="000000"/>
          <w:sz w:val="28"/>
          <w:szCs w:val="28"/>
        </w:rPr>
        <w:t>реализации данной задачи являются:</w:t>
      </w:r>
    </w:p>
    <w:p w:rsidR="002D1E45" w:rsidRPr="007013F4" w:rsidRDefault="002D1E45" w:rsidP="00D05D06">
      <w:pPr>
        <w:numPr>
          <w:ilvl w:val="0"/>
          <w:numId w:val="63"/>
        </w:numPr>
        <w:spacing w:after="0" w:line="240" w:lineRule="auto"/>
        <w:jc w:val="both"/>
        <w:rPr>
          <w:rFonts w:ascii="Times New Roman" w:hAnsi="Times New Roman"/>
          <w:sz w:val="28"/>
          <w:szCs w:val="24"/>
          <w:lang w:eastAsia="ru-RU"/>
        </w:rPr>
      </w:pPr>
      <w:r w:rsidRPr="007013F4">
        <w:rPr>
          <w:rFonts w:ascii="Times New Roman" w:hAnsi="Times New Roman"/>
          <w:sz w:val="28"/>
          <w:szCs w:val="24"/>
          <w:lang w:eastAsia="ru-RU"/>
        </w:rPr>
        <w:t>создание планово-регулярной системы очистки, своевременный сбор и</w:t>
      </w:r>
      <w:r>
        <w:rPr>
          <w:rFonts w:ascii="Times New Roman" w:hAnsi="Times New Roman"/>
          <w:sz w:val="28"/>
          <w:szCs w:val="24"/>
          <w:lang w:eastAsia="ru-RU"/>
        </w:rPr>
        <w:t> транспортирование</w:t>
      </w:r>
      <w:r w:rsidRPr="007013F4">
        <w:rPr>
          <w:rFonts w:ascii="Times New Roman" w:hAnsi="Times New Roman"/>
          <w:sz w:val="28"/>
          <w:szCs w:val="24"/>
          <w:lang w:eastAsia="ru-RU"/>
        </w:rPr>
        <w:t xml:space="preserve"> отходов на</w:t>
      </w:r>
      <w:r>
        <w:rPr>
          <w:rFonts w:ascii="Times New Roman" w:hAnsi="Times New Roman"/>
          <w:sz w:val="28"/>
          <w:szCs w:val="24"/>
          <w:lang w:eastAsia="ru-RU"/>
        </w:rPr>
        <w:t> </w:t>
      </w:r>
      <w:r w:rsidRPr="007013F4">
        <w:rPr>
          <w:rFonts w:ascii="Times New Roman" w:hAnsi="Times New Roman"/>
          <w:sz w:val="28"/>
          <w:szCs w:val="24"/>
          <w:lang w:eastAsia="ru-RU"/>
        </w:rPr>
        <w:t>полигон ТКО;</w:t>
      </w:r>
    </w:p>
    <w:p w:rsidR="002D1E45" w:rsidRDefault="002D1E45" w:rsidP="00D05D06">
      <w:pPr>
        <w:numPr>
          <w:ilvl w:val="0"/>
          <w:numId w:val="63"/>
        </w:numPr>
        <w:spacing w:after="0" w:line="240" w:lineRule="auto"/>
        <w:jc w:val="both"/>
        <w:rPr>
          <w:rFonts w:ascii="Times New Roman" w:hAnsi="Times New Roman"/>
          <w:sz w:val="28"/>
          <w:szCs w:val="24"/>
          <w:lang w:eastAsia="ru-RU"/>
        </w:rPr>
      </w:pPr>
      <w:r w:rsidRPr="007013F4">
        <w:rPr>
          <w:rFonts w:ascii="Times New Roman" w:hAnsi="Times New Roman"/>
          <w:sz w:val="28"/>
          <w:szCs w:val="24"/>
          <w:lang w:eastAsia="ru-RU"/>
        </w:rPr>
        <w:t>обустройство и</w:t>
      </w:r>
      <w:r>
        <w:rPr>
          <w:rFonts w:ascii="Times New Roman" w:hAnsi="Times New Roman"/>
          <w:sz w:val="28"/>
          <w:szCs w:val="24"/>
          <w:lang w:eastAsia="ru-RU"/>
        </w:rPr>
        <w:t> </w:t>
      </w:r>
      <w:r w:rsidRPr="007013F4">
        <w:rPr>
          <w:rFonts w:ascii="Times New Roman" w:hAnsi="Times New Roman"/>
          <w:sz w:val="28"/>
          <w:szCs w:val="24"/>
          <w:lang w:eastAsia="ru-RU"/>
        </w:rPr>
        <w:t xml:space="preserve">размещение </w:t>
      </w:r>
      <w:r w:rsidRPr="00790AD6">
        <w:rPr>
          <w:rFonts w:ascii="Times New Roman" w:hAnsi="Times New Roman"/>
          <w:sz w:val="28"/>
          <w:szCs w:val="24"/>
          <w:lang w:eastAsia="ru-RU"/>
        </w:rPr>
        <w:t>мест (площад</w:t>
      </w:r>
      <w:r>
        <w:rPr>
          <w:rFonts w:ascii="Times New Roman" w:hAnsi="Times New Roman"/>
          <w:sz w:val="28"/>
          <w:szCs w:val="24"/>
          <w:lang w:eastAsia="ru-RU"/>
        </w:rPr>
        <w:t>ок</w:t>
      </w:r>
      <w:r w:rsidRPr="00790AD6">
        <w:rPr>
          <w:rFonts w:ascii="Times New Roman" w:hAnsi="Times New Roman"/>
          <w:sz w:val="28"/>
          <w:szCs w:val="24"/>
          <w:lang w:eastAsia="ru-RU"/>
        </w:rPr>
        <w:t xml:space="preserve">) временного накопления твёрдых коммунальных отходов </w:t>
      </w:r>
      <w:r w:rsidRPr="007013F4">
        <w:rPr>
          <w:rFonts w:ascii="Times New Roman" w:hAnsi="Times New Roman"/>
          <w:sz w:val="28"/>
          <w:szCs w:val="24"/>
          <w:lang w:eastAsia="ru-RU"/>
        </w:rPr>
        <w:t>в</w:t>
      </w:r>
      <w:r>
        <w:rPr>
          <w:rFonts w:ascii="Times New Roman" w:hAnsi="Times New Roman"/>
          <w:sz w:val="28"/>
          <w:szCs w:val="24"/>
          <w:lang w:eastAsia="ru-RU"/>
        </w:rPr>
        <w:t> </w:t>
      </w:r>
      <w:r w:rsidRPr="007013F4">
        <w:rPr>
          <w:rFonts w:ascii="Times New Roman" w:hAnsi="Times New Roman"/>
          <w:sz w:val="28"/>
          <w:szCs w:val="24"/>
          <w:lang w:eastAsia="ru-RU"/>
        </w:rPr>
        <w:t>соответствии</w:t>
      </w:r>
      <w:r>
        <w:rPr>
          <w:rFonts w:ascii="Times New Roman" w:hAnsi="Times New Roman"/>
          <w:sz w:val="28"/>
          <w:szCs w:val="24"/>
          <w:lang w:eastAsia="ru-RU"/>
        </w:rPr>
        <w:t xml:space="preserve"> </w:t>
      </w:r>
      <w:r w:rsidRPr="007013F4">
        <w:rPr>
          <w:rFonts w:ascii="Times New Roman" w:hAnsi="Times New Roman"/>
          <w:sz w:val="28"/>
          <w:szCs w:val="24"/>
          <w:lang w:eastAsia="ru-RU"/>
        </w:rPr>
        <w:t>с</w:t>
      </w:r>
      <w:r>
        <w:rPr>
          <w:rFonts w:ascii="Times New Roman" w:hAnsi="Times New Roman"/>
          <w:sz w:val="28"/>
          <w:szCs w:val="24"/>
          <w:lang w:eastAsia="ru-RU"/>
        </w:rPr>
        <w:t> </w:t>
      </w:r>
      <w:r w:rsidRPr="007013F4">
        <w:rPr>
          <w:rFonts w:ascii="Times New Roman" w:hAnsi="Times New Roman"/>
          <w:sz w:val="28"/>
          <w:szCs w:val="24"/>
          <w:lang w:eastAsia="ru-RU"/>
        </w:rPr>
        <w:t>СанПиНом 42-128-4690-88 «Санитарные правила содержания территорий населённых мест». Контейнеры, мусоросборники и</w:t>
      </w:r>
      <w:r>
        <w:rPr>
          <w:rFonts w:ascii="Times New Roman" w:hAnsi="Times New Roman"/>
          <w:sz w:val="28"/>
          <w:szCs w:val="24"/>
          <w:lang w:eastAsia="ru-RU"/>
        </w:rPr>
        <w:t> </w:t>
      </w:r>
      <w:r w:rsidRPr="007013F4">
        <w:rPr>
          <w:rFonts w:ascii="Times New Roman" w:hAnsi="Times New Roman"/>
          <w:sz w:val="28"/>
          <w:szCs w:val="24"/>
          <w:lang w:eastAsia="ru-RU"/>
        </w:rPr>
        <w:t>бункеры-накопители размещаются (устанавливаются) на</w:t>
      </w:r>
      <w:r>
        <w:rPr>
          <w:rFonts w:ascii="Times New Roman" w:hAnsi="Times New Roman"/>
          <w:sz w:val="28"/>
          <w:szCs w:val="24"/>
          <w:lang w:eastAsia="ru-RU"/>
        </w:rPr>
        <w:t> </w:t>
      </w:r>
      <w:r w:rsidRPr="007013F4">
        <w:rPr>
          <w:rFonts w:ascii="Times New Roman" w:hAnsi="Times New Roman"/>
          <w:sz w:val="28"/>
          <w:szCs w:val="24"/>
          <w:lang w:eastAsia="ru-RU"/>
        </w:rPr>
        <w:t xml:space="preserve">специально оборудованных </w:t>
      </w:r>
      <w:r w:rsidRPr="00BB77E4">
        <w:rPr>
          <w:rFonts w:ascii="Times New Roman" w:hAnsi="Times New Roman"/>
          <w:sz w:val="28"/>
          <w:szCs w:val="24"/>
          <w:lang w:eastAsia="ru-RU"/>
        </w:rPr>
        <w:t>мест</w:t>
      </w:r>
      <w:r>
        <w:rPr>
          <w:rFonts w:ascii="Times New Roman" w:hAnsi="Times New Roman"/>
          <w:sz w:val="28"/>
          <w:szCs w:val="24"/>
          <w:lang w:eastAsia="ru-RU"/>
        </w:rPr>
        <w:t>ах</w:t>
      </w:r>
      <w:r w:rsidRPr="00BB77E4">
        <w:rPr>
          <w:rFonts w:ascii="Times New Roman" w:hAnsi="Times New Roman"/>
          <w:sz w:val="28"/>
          <w:szCs w:val="24"/>
          <w:lang w:eastAsia="ru-RU"/>
        </w:rPr>
        <w:t xml:space="preserve"> (площад</w:t>
      </w:r>
      <w:r>
        <w:rPr>
          <w:rFonts w:ascii="Times New Roman" w:hAnsi="Times New Roman"/>
          <w:sz w:val="28"/>
          <w:szCs w:val="24"/>
          <w:lang w:eastAsia="ru-RU"/>
        </w:rPr>
        <w:t>ках</w:t>
      </w:r>
      <w:r w:rsidRPr="00BB77E4">
        <w:rPr>
          <w:rFonts w:ascii="Times New Roman" w:hAnsi="Times New Roman"/>
          <w:sz w:val="28"/>
          <w:szCs w:val="24"/>
          <w:lang w:eastAsia="ru-RU"/>
        </w:rPr>
        <w:t xml:space="preserve">) </w:t>
      </w:r>
      <w:r>
        <w:rPr>
          <w:rFonts w:ascii="Times New Roman" w:hAnsi="Times New Roman"/>
          <w:sz w:val="28"/>
          <w:szCs w:val="24"/>
          <w:lang w:eastAsia="ru-RU"/>
        </w:rPr>
        <w:t xml:space="preserve">временного </w:t>
      </w:r>
      <w:r w:rsidRPr="00BB77E4">
        <w:rPr>
          <w:rFonts w:ascii="Times New Roman" w:hAnsi="Times New Roman"/>
          <w:sz w:val="28"/>
          <w:szCs w:val="24"/>
          <w:lang w:eastAsia="ru-RU"/>
        </w:rPr>
        <w:t>накопления твёрдых коммунальных отходов</w:t>
      </w:r>
      <w:r w:rsidRPr="007013F4">
        <w:rPr>
          <w:rFonts w:ascii="Times New Roman" w:hAnsi="Times New Roman"/>
          <w:sz w:val="28"/>
          <w:szCs w:val="24"/>
          <w:lang w:eastAsia="ru-RU"/>
        </w:rPr>
        <w:t>. Площадки для установки мусоросборников (контейнеров) должны иметь твёрдое водонепроницаемое покрытие (бетонное, асфальтобетонное), освещены, ограничены ограждениями или зелёными насаждениями, иметь удобные пути для подъезда специализированного транспорта и</w:t>
      </w:r>
      <w:r>
        <w:rPr>
          <w:rFonts w:ascii="Times New Roman" w:hAnsi="Times New Roman"/>
          <w:sz w:val="28"/>
          <w:szCs w:val="24"/>
          <w:lang w:eastAsia="ru-RU"/>
        </w:rPr>
        <w:t> </w:t>
      </w:r>
      <w:r w:rsidRPr="007013F4">
        <w:rPr>
          <w:rFonts w:ascii="Times New Roman" w:hAnsi="Times New Roman"/>
          <w:sz w:val="28"/>
          <w:szCs w:val="24"/>
          <w:lang w:eastAsia="ru-RU"/>
        </w:rPr>
        <w:t>подхода жителей;</w:t>
      </w:r>
    </w:p>
    <w:p w:rsidR="002D1E45" w:rsidRPr="007013F4" w:rsidRDefault="002D1E45" w:rsidP="00D05D06">
      <w:pPr>
        <w:numPr>
          <w:ilvl w:val="0"/>
          <w:numId w:val="63"/>
        </w:numPr>
        <w:spacing w:after="0" w:line="240" w:lineRule="auto"/>
        <w:jc w:val="both"/>
        <w:rPr>
          <w:rFonts w:ascii="Times New Roman" w:hAnsi="Times New Roman"/>
          <w:sz w:val="28"/>
          <w:szCs w:val="24"/>
          <w:lang w:eastAsia="ru-RU"/>
        </w:rPr>
      </w:pPr>
      <w:r w:rsidRPr="003B7FB5">
        <w:rPr>
          <w:rFonts w:ascii="Times New Roman" w:hAnsi="Times New Roman"/>
          <w:sz w:val="28"/>
          <w:szCs w:val="24"/>
          <w:lang w:eastAsia="ru-RU"/>
        </w:rPr>
        <w:t>строительство подъездной дороги к площадк</w:t>
      </w:r>
      <w:r>
        <w:rPr>
          <w:rFonts w:ascii="Times New Roman" w:hAnsi="Times New Roman"/>
          <w:sz w:val="28"/>
          <w:szCs w:val="24"/>
          <w:lang w:eastAsia="ru-RU"/>
        </w:rPr>
        <w:t>е</w:t>
      </w:r>
      <w:r w:rsidRPr="003B7FB5">
        <w:rPr>
          <w:rFonts w:ascii="Times New Roman" w:hAnsi="Times New Roman"/>
          <w:sz w:val="28"/>
          <w:szCs w:val="24"/>
          <w:lang w:eastAsia="ru-RU"/>
        </w:rPr>
        <w:t xml:space="preserve"> временного размещения ТКО</w:t>
      </w:r>
      <w:r>
        <w:rPr>
          <w:rFonts w:ascii="Times New Roman" w:hAnsi="Times New Roman"/>
          <w:sz w:val="28"/>
          <w:szCs w:val="24"/>
          <w:lang w:eastAsia="ru-RU"/>
        </w:rPr>
        <w:t>;</w:t>
      </w:r>
    </w:p>
    <w:p w:rsidR="002D1E45" w:rsidRPr="007013F4" w:rsidRDefault="002D1E45" w:rsidP="00D05D06">
      <w:pPr>
        <w:numPr>
          <w:ilvl w:val="0"/>
          <w:numId w:val="63"/>
        </w:numPr>
        <w:spacing w:after="0" w:line="240" w:lineRule="auto"/>
        <w:jc w:val="both"/>
        <w:rPr>
          <w:rFonts w:ascii="Times New Roman" w:hAnsi="Times New Roman"/>
          <w:sz w:val="28"/>
          <w:szCs w:val="24"/>
          <w:lang w:eastAsia="ru-RU"/>
        </w:rPr>
      </w:pPr>
      <w:r w:rsidRPr="007013F4">
        <w:rPr>
          <w:rFonts w:ascii="Times New Roman" w:hAnsi="Times New Roman"/>
          <w:sz w:val="28"/>
          <w:szCs w:val="24"/>
          <w:lang w:eastAsia="ru-RU"/>
        </w:rPr>
        <w:t>ликвидация несанкционированных свалок с</w:t>
      </w:r>
      <w:r>
        <w:rPr>
          <w:rFonts w:ascii="Times New Roman" w:hAnsi="Times New Roman"/>
          <w:sz w:val="28"/>
          <w:szCs w:val="24"/>
          <w:lang w:eastAsia="ru-RU"/>
        </w:rPr>
        <w:t> </w:t>
      </w:r>
      <w:r w:rsidRPr="007013F4">
        <w:rPr>
          <w:rFonts w:ascii="Times New Roman" w:hAnsi="Times New Roman"/>
          <w:sz w:val="28"/>
          <w:szCs w:val="24"/>
          <w:lang w:eastAsia="ru-RU"/>
        </w:rPr>
        <w:t>последующей рекультивацией территории.</w:t>
      </w:r>
    </w:p>
    <w:p w:rsidR="002D1E45" w:rsidRPr="007013F4" w:rsidRDefault="002D1E45" w:rsidP="007013F4">
      <w:pPr>
        <w:spacing w:after="0" w:line="240" w:lineRule="auto"/>
        <w:ind w:firstLine="709"/>
        <w:jc w:val="both"/>
        <w:rPr>
          <w:rFonts w:ascii="Times New Roman" w:hAnsi="Times New Roman"/>
          <w:color w:val="000000"/>
          <w:sz w:val="28"/>
          <w:szCs w:val="28"/>
        </w:rPr>
      </w:pPr>
      <w:r w:rsidRPr="007013F4">
        <w:rPr>
          <w:rFonts w:ascii="Times New Roman" w:hAnsi="Times New Roman"/>
          <w:color w:val="000000"/>
          <w:sz w:val="28"/>
          <w:szCs w:val="28"/>
        </w:rPr>
        <w:t xml:space="preserve">Проектом генерального плана также рекомендуются следующие мероприятия </w:t>
      </w:r>
      <w:r w:rsidRPr="007013F4">
        <w:rPr>
          <w:rFonts w:ascii="Times New Roman" w:hAnsi="Times New Roman"/>
          <w:color w:val="000000"/>
          <w:sz w:val="28"/>
          <w:szCs w:val="28"/>
        </w:rPr>
        <w:br/>
        <w:t>по совершенствованию системы санитарной очистки и</w:t>
      </w:r>
      <w:r>
        <w:rPr>
          <w:rFonts w:ascii="Times New Roman" w:hAnsi="Times New Roman"/>
          <w:color w:val="000000"/>
          <w:sz w:val="28"/>
          <w:szCs w:val="28"/>
        </w:rPr>
        <w:t> </w:t>
      </w:r>
      <w:r w:rsidRPr="007013F4">
        <w:rPr>
          <w:rFonts w:ascii="Times New Roman" w:hAnsi="Times New Roman"/>
          <w:color w:val="000000"/>
          <w:sz w:val="28"/>
          <w:szCs w:val="28"/>
        </w:rPr>
        <w:t xml:space="preserve">уборки территории </w:t>
      </w:r>
      <w:r>
        <w:rPr>
          <w:rFonts w:ascii="Times New Roman" w:hAnsi="Times New Roman"/>
          <w:color w:val="000000"/>
          <w:sz w:val="28"/>
          <w:szCs w:val="28"/>
        </w:rPr>
        <w:t>города</w:t>
      </w:r>
      <w:r w:rsidRPr="007013F4">
        <w:rPr>
          <w:rFonts w:ascii="Times New Roman" w:hAnsi="Times New Roman"/>
          <w:color w:val="000000"/>
          <w:sz w:val="28"/>
          <w:szCs w:val="28"/>
        </w:rPr>
        <w:t>:</w:t>
      </w:r>
    </w:p>
    <w:p w:rsidR="002D1E45" w:rsidRDefault="002D1E45" w:rsidP="00D05D06">
      <w:pPr>
        <w:numPr>
          <w:ilvl w:val="0"/>
          <w:numId w:val="63"/>
        </w:numPr>
        <w:spacing w:after="0" w:line="240" w:lineRule="auto"/>
        <w:jc w:val="both"/>
        <w:rPr>
          <w:rFonts w:ascii="Times New Roman" w:hAnsi="Times New Roman"/>
          <w:sz w:val="28"/>
          <w:szCs w:val="24"/>
          <w:lang w:eastAsia="ru-RU"/>
        </w:rPr>
      </w:pPr>
      <w:r w:rsidRPr="007013F4">
        <w:rPr>
          <w:rFonts w:ascii="Times New Roman" w:hAnsi="Times New Roman"/>
          <w:sz w:val="28"/>
          <w:szCs w:val="24"/>
          <w:lang w:eastAsia="ru-RU"/>
        </w:rPr>
        <w:t xml:space="preserve">приобретение специализированной техники для </w:t>
      </w:r>
      <w:r>
        <w:rPr>
          <w:rFonts w:ascii="Times New Roman" w:hAnsi="Times New Roman"/>
          <w:sz w:val="28"/>
          <w:szCs w:val="24"/>
          <w:lang w:eastAsia="ru-RU"/>
        </w:rPr>
        <w:t>транспортирования</w:t>
      </w:r>
      <w:r w:rsidRPr="007013F4">
        <w:rPr>
          <w:rFonts w:ascii="Times New Roman" w:hAnsi="Times New Roman"/>
          <w:sz w:val="28"/>
          <w:szCs w:val="24"/>
          <w:lang w:eastAsia="ru-RU"/>
        </w:rPr>
        <w:t xml:space="preserve"> ТКО; </w:t>
      </w:r>
    </w:p>
    <w:p w:rsidR="002D1E45" w:rsidRPr="007013F4" w:rsidRDefault="002D1E45" w:rsidP="00D05D06">
      <w:pPr>
        <w:numPr>
          <w:ilvl w:val="0"/>
          <w:numId w:val="63"/>
        </w:numPr>
        <w:spacing w:after="0" w:line="240" w:lineRule="auto"/>
        <w:jc w:val="both"/>
        <w:rPr>
          <w:rFonts w:ascii="Times New Roman" w:hAnsi="Times New Roman"/>
          <w:sz w:val="28"/>
          <w:szCs w:val="24"/>
          <w:lang w:eastAsia="ru-RU"/>
        </w:rPr>
      </w:pPr>
      <w:r w:rsidRPr="007013F4">
        <w:rPr>
          <w:rFonts w:ascii="Times New Roman" w:hAnsi="Times New Roman"/>
          <w:sz w:val="28"/>
          <w:szCs w:val="24"/>
          <w:lang w:eastAsia="ru-RU"/>
        </w:rPr>
        <w:t>организация раздельного сбора ТКО (приобретение контейнеров для раздельного сбора мусора);</w:t>
      </w:r>
    </w:p>
    <w:p w:rsidR="002D1E45" w:rsidRPr="007013F4" w:rsidRDefault="002D1E45" w:rsidP="00D05D06">
      <w:pPr>
        <w:numPr>
          <w:ilvl w:val="0"/>
          <w:numId w:val="63"/>
        </w:numPr>
        <w:spacing w:after="0" w:line="240" w:lineRule="auto"/>
        <w:jc w:val="both"/>
        <w:rPr>
          <w:rFonts w:ascii="Times New Roman" w:hAnsi="Times New Roman"/>
          <w:sz w:val="28"/>
          <w:szCs w:val="24"/>
          <w:lang w:eastAsia="ru-RU"/>
        </w:rPr>
      </w:pPr>
      <w:r w:rsidRPr="007013F4">
        <w:rPr>
          <w:rFonts w:ascii="Times New Roman" w:hAnsi="Times New Roman"/>
          <w:sz w:val="28"/>
          <w:szCs w:val="24"/>
          <w:lang w:eastAsia="ru-RU"/>
        </w:rPr>
        <w:t>развитие инфраструктуры по</w:t>
      </w:r>
      <w:r>
        <w:rPr>
          <w:rFonts w:ascii="Times New Roman" w:hAnsi="Times New Roman"/>
          <w:sz w:val="28"/>
          <w:szCs w:val="24"/>
          <w:lang w:eastAsia="ru-RU"/>
        </w:rPr>
        <w:t> </w:t>
      </w:r>
      <w:r w:rsidRPr="007013F4">
        <w:rPr>
          <w:rFonts w:ascii="Times New Roman" w:hAnsi="Times New Roman"/>
          <w:sz w:val="28"/>
          <w:szCs w:val="24"/>
          <w:lang w:eastAsia="ru-RU"/>
        </w:rPr>
        <w:t>раздельному сбору, утилизации (использованию), обезвреживанию и</w:t>
      </w:r>
      <w:r>
        <w:rPr>
          <w:rFonts w:ascii="Times New Roman" w:hAnsi="Times New Roman"/>
          <w:sz w:val="28"/>
          <w:szCs w:val="24"/>
          <w:lang w:eastAsia="ru-RU"/>
        </w:rPr>
        <w:t> </w:t>
      </w:r>
      <w:r w:rsidRPr="007013F4">
        <w:rPr>
          <w:rFonts w:ascii="Times New Roman" w:hAnsi="Times New Roman"/>
          <w:sz w:val="28"/>
          <w:szCs w:val="24"/>
          <w:lang w:eastAsia="ru-RU"/>
        </w:rPr>
        <w:t>э</w:t>
      </w:r>
      <w:r>
        <w:rPr>
          <w:rFonts w:ascii="Times New Roman" w:hAnsi="Times New Roman"/>
          <w:sz w:val="28"/>
          <w:szCs w:val="24"/>
          <w:lang w:eastAsia="ru-RU"/>
        </w:rPr>
        <w:t xml:space="preserve">кологически </w:t>
      </w:r>
      <w:r w:rsidRPr="007013F4">
        <w:rPr>
          <w:rFonts w:ascii="Times New Roman" w:hAnsi="Times New Roman"/>
          <w:sz w:val="28"/>
          <w:szCs w:val="24"/>
          <w:lang w:eastAsia="ru-RU"/>
        </w:rPr>
        <w:t xml:space="preserve">безопасному </w:t>
      </w:r>
      <w:r>
        <w:rPr>
          <w:rFonts w:ascii="Times New Roman" w:hAnsi="Times New Roman"/>
          <w:sz w:val="28"/>
          <w:szCs w:val="24"/>
          <w:lang w:eastAsia="ru-RU"/>
        </w:rPr>
        <w:t>размещению</w:t>
      </w:r>
      <w:r w:rsidRPr="007013F4">
        <w:rPr>
          <w:rFonts w:ascii="Times New Roman" w:hAnsi="Times New Roman"/>
          <w:sz w:val="28"/>
          <w:szCs w:val="24"/>
          <w:lang w:eastAsia="ru-RU"/>
        </w:rPr>
        <w:t xml:space="preserve"> ТКО; </w:t>
      </w:r>
    </w:p>
    <w:p w:rsidR="002D1E45" w:rsidRPr="007013F4" w:rsidRDefault="002D1E45" w:rsidP="00D05D06">
      <w:pPr>
        <w:numPr>
          <w:ilvl w:val="0"/>
          <w:numId w:val="63"/>
        </w:numPr>
        <w:spacing w:after="0" w:line="240" w:lineRule="auto"/>
        <w:jc w:val="both"/>
        <w:rPr>
          <w:rFonts w:ascii="Times New Roman" w:hAnsi="Times New Roman"/>
          <w:sz w:val="28"/>
          <w:szCs w:val="24"/>
          <w:lang w:eastAsia="ru-RU"/>
        </w:rPr>
      </w:pPr>
      <w:r w:rsidRPr="007013F4">
        <w:rPr>
          <w:rFonts w:ascii="Times New Roman" w:hAnsi="Times New Roman"/>
          <w:sz w:val="28"/>
          <w:szCs w:val="24"/>
          <w:lang w:eastAsia="ru-RU"/>
        </w:rPr>
        <w:t>обеспечение экологической и</w:t>
      </w:r>
      <w:r>
        <w:rPr>
          <w:rFonts w:ascii="Times New Roman" w:hAnsi="Times New Roman"/>
          <w:sz w:val="28"/>
          <w:szCs w:val="24"/>
          <w:lang w:eastAsia="ru-RU"/>
        </w:rPr>
        <w:t> </w:t>
      </w:r>
      <w:r w:rsidRPr="007013F4">
        <w:rPr>
          <w:rFonts w:ascii="Times New Roman" w:hAnsi="Times New Roman"/>
          <w:sz w:val="28"/>
          <w:szCs w:val="24"/>
          <w:lang w:eastAsia="ru-RU"/>
        </w:rPr>
        <w:t>санитарно-эпидемиологической безопасности при сборе, обезвреживании и</w:t>
      </w:r>
      <w:r>
        <w:rPr>
          <w:rFonts w:ascii="Times New Roman" w:hAnsi="Times New Roman"/>
          <w:sz w:val="28"/>
          <w:szCs w:val="24"/>
          <w:lang w:eastAsia="ru-RU"/>
        </w:rPr>
        <w:t> </w:t>
      </w:r>
      <w:r w:rsidRPr="007013F4">
        <w:rPr>
          <w:rFonts w:ascii="Times New Roman" w:hAnsi="Times New Roman"/>
          <w:sz w:val="28"/>
          <w:szCs w:val="24"/>
          <w:lang w:eastAsia="ru-RU"/>
        </w:rPr>
        <w:t>захоронении ТКО;</w:t>
      </w:r>
    </w:p>
    <w:p w:rsidR="002D1E45" w:rsidRPr="007013F4" w:rsidRDefault="002D1E45" w:rsidP="00D05D06">
      <w:pPr>
        <w:numPr>
          <w:ilvl w:val="0"/>
          <w:numId w:val="63"/>
        </w:numPr>
        <w:spacing w:after="0" w:line="240" w:lineRule="auto"/>
        <w:jc w:val="both"/>
        <w:rPr>
          <w:rFonts w:ascii="Times New Roman" w:hAnsi="Times New Roman"/>
          <w:sz w:val="28"/>
          <w:szCs w:val="24"/>
          <w:lang w:eastAsia="ru-RU"/>
        </w:rPr>
      </w:pPr>
      <w:r w:rsidRPr="007013F4">
        <w:rPr>
          <w:rFonts w:ascii="Times New Roman" w:hAnsi="Times New Roman"/>
          <w:sz w:val="28"/>
          <w:szCs w:val="24"/>
          <w:lang w:eastAsia="ru-RU"/>
        </w:rPr>
        <w:t>ведение реестра объектов образования, обработки и</w:t>
      </w:r>
      <w:r>
        <w:rPr>
          <w:rFonts w:ascii="Times New Roman" w:hAnsi="Times New Roman"/>
          <w:sz w:val="28"/>
          <w:szCs w:val="24"/>
          <w:lang w:eastAsia="ru-RU"/>
        </w:rPr>
        <w:t> </w:t>
      </w:r>
      <w:r w:rsidRPr="007013F4">
        <w:rPr>
          <w:rFonts w:ascii="Times New Roman" w:hAnsi="Times New Roman"/>
          <w:sz w:val="28"/>
          <w:szCs w:val="24"/>
          <w:lang w:eastAsia="ru-RU"/>
        </w:rPr>
        <w:t>утилизации ТКО;</w:t>
      </w:r>
    </w:p>
    <w:p w:rsidR="002D1E45" w:rsidRPr="007013F4" w:rsidRDefault="002D1E45" w:rsidP="00D05D06">
      <w:pPr>
        <w:numPr>
          <w:ilvl w:val="0"/>
          <w:numId w:val="63"/>
        </w:numPr>
        <w:spacing w:after="0" w:line="240" w:lineRule="auto"/>
        <w:jc w:val="both"/>
        <w:rPr>
          <w:rFonts w:ascii="Times New Roman" w:hAnsi="Times New Roman"/>
          <w:sz w:val="28"/>
          <w:szCs w:val="24"/>
          <w:lang w:eastAsia="ru-RU"/>
        </w:rPr>
      </w:pPr>
      <w:r w:rsidRPr="007013F4">
        <w:rPr>
          <w:rFonts w:ascii="Times New Roman" w:hAnsi="Times New Roman"/>
          <w:sz w:val="28"/>
          <w:szCs w:val="24"/>
          <w:lang w:eastAsia="ru-RU"/>
        </w:rPr>
        <w:t>проведение в</w:t>
      </w:r>
      <w:r>
        <w:rPr>
          <w:rFonts w:ascii="Times New Roman" w:hAnsi="Times New Roman"/>
          <w:sz w:val="28"/>
          <w:szCs w:val="24"/>
          <w:lang w:eastAsia="ru-RU"/>
        </w:rPr>
        <w:t> </w:t>
      </w:r>
      <w:r w:rsidRPr="007013F4">
        <w:rPr>
          <w:rFonts w:ascii="Times New Roman" w:hAnsi="Times New Roman"/>
          <w:sz w:val="28"/>
          <w:szCs w:val="24"/>
          <w:lang w:eastAsia="ru-RU"/>
        </w:rPr>
        <w:t xml:space="preserve">школах </w:t>
      </w:r>
      <w:r>
        <w:rPr>
          <w:rFonts w:ascii="Times New Roman" w:hAnsi="Times New Roman"/>
          <w:sz w:val="28"/>
          <w:szCs w:val="24"/>
          <w:lang w:eastAsia="ru-RU"/>
        </w:rPr>
        <w:t>города</w:t>
      </w:r>
      <w:r w:rsidRPr="007013F4">
        <w:rPr>
          <w:rFonts w:ascii="Times New Roman" w:hAnsi="Times New Roman"/>
          <w:sz w:val="28"/>
          <w:szCs w:val="24"/>
          <w:lang w:eastAsia="ru-RU"/>
        </w:rPr>
        <w:t xml:space="preserve"> мероприятий по</w:t>
      </w:r>
      <w:r>
        <w:rPr>
          <w:rFonts w:ascii="Times New Roman" w:hAnsi="Times New Roman"/>
          <w:sz w:val="28"/>
          <w:szCs w:val="24"/>
          <w:lang w:eastAsia="ru-RU"/>
        </w:rPr>
        <w:t> </w:t>
      </w:r>
      <w:r w:rsidRPr="007013F4">
        <w:rPr>
          <w:rFonts w:ascii="Times New Roman" w:hAnsi="Times New Roman"/>
          <w:sz w:val="28"/>
          <w:szCs w:val="24"/>
          <w:lang w:eastAsia="ru-RU"/>
        </w:rPr>
        <w:t>экологическому воспитанию;</w:t>
      </w:r>
    </w:p>
    <w:p w:rsidR="002D1E45" w:rsidRPr="007013F4" w:rsidRDefault="002D1E45" w:rsidP="00D05D06">
      <w:pPr>
        <w:numPr>
          <w:ilvl w:val="0"/>
          <w:numId w:val="63"/>
        </w:numPr>
        <w:spacing w:after="0" w:line="240" w:lineRule="auto"/>
        <w:jc w:val="both"/>
        <w:rPr>
          <w:rFonts w:ascii="Times New Roman" w:hAnsi="Times New Roman"/>
          <w:sz w:val="28"/>
          <w:szCs w:val="24"/>
          <w:lang w:eastAsia="ru-RU"/>
        </w:rPr>
      </w:pPr>
      <w:r w:rsidRPr="007013F4">
        <w:rPr>
          <w:rFonts w:ascii="Times New Roman" w:hAnsi="Times New Roman"/>
          <w:sz w:val="28"/>
          <w:szCs w:val="24"/>
          <w:lang w:eastAsia="ru-RU"/>
        </w:rPr>
        <w:t xml:space="preserve">проведение разъяснительной работы среди жителей </w:t>
      </w:r>
      <w:r>
        <w:rPr>
          <w:rFonts w:ascii="Times New Roman" w:hAnsi="Times New Roman"/>
          <w:sz w:val="28"/>
          <w:szCs w:val="24"/>
          <w:lang w:eastAsia="ru-RU"/>
        </w:rPr>
        <w:t>города</w:t>
      </w:r>
      <w:r w:rsidRPr="007013F4">
        <w:rPr>
          <w:rFonts w:ascii="Times New Roman" w:hAnsi="Times New Roman"/>
          <w:sz w:val="28"/>
          <w:szCs w:val="24"/>
          <w:lang w:eastAsia="ru-RU"/>
        </w:rPr>
        <w:t xml:space="preserve"> по</w:t>
      </w:r>
      <w:r>
        <w:rPr>
          <w:rFonts w:ascii="Times New Roman" w:hAnsi="Times New Roman"/>
          <w:sz w:val="28"/>
          <w:szCs w:val="24"/>
          <w:lang w:eastAsia="ru-RU"/>
        </w:rPr>
        <w:t> </w:t>
      </w:r>
      <w:r w:rsidRPr="007013F4">
        <w:rPr>
          <w:rFonts w:ascii="Times New Roman" w:hAnsi="Times New Roman"/>
          <w:sz w:val="28"/>
          <w:szCs w:val="24"/>
          <w:lang w:eastAsia="ru-RU"/>
        </w:rPr>
        <w:t>вопросам соблюдения экологической культуры;</w:t>
      </w:r>
    </w:p>
    <w:p w:rsidR="002D1E45" w:rsidRPr="007013F4" w:rsidRDefault="002D1E45" w:rsidP="00D05D06">
      <w:pPr>
        <w:numPr>
          <w:ilvl w:val="0"/>
          <w:numId w:val="63"/>
        </w:numPr>
        <w:spacing w:after="0" w:line="240" w:lineRule="auto"/>
        <w:jc w:val="both"/>
        <w:rPr>
          <w:rFonts w:ascii="Times New Roman" w:hAnsi="Times New Roman"/>
          <w:sz w:val="28"/>
          <w:szCs w:val="24"/>
          <w:lang w:eastAsia="ru-RU"/>
        </w:rPr>
      </w:pPr>
      <w:r w:rsidRPr="007013F4">
        <w:rPr>
          <w:rFonts w:ascii="Times New Roman" w:hAnsi="Times New Roman"/>
          <w:sz w:val="28"/>
          <w:szCs w:val="24"/>
          <w:lang w:eastAsia="ru-RU"/>
        </w:rPr>
        <w:t xml:space="preserve">проведение семинаров, консультаций для жителей </w:t>
      </w:r>
      <w:r>
        <w:rPr>
          <w:rFonts w:ascii="Times New Roman" w:hAnsi="Times New Roman"/>
          <w:sz w:val="28"/>
          <w:szCs w:val="24"/>
          <w:lang w:eastAsia="ru-RU"/>
        </w:rPr>
        <w:t>города</w:t>
      </w:r>
      <w:r w:rsidRPr="007013F4">
        <w:rPr>
          <w:rFonts w:ascii="Times New Roman" w:hAnsi="Times New Roman"/>
          <w:sz w:val="28"/>
          <w:szCs w:val="24"/>
          <w:lang w:eastAsia="ru-RU"/>
        </w:rPr>
        <w:t xml:space="preserve"> по</w:t>
      </w:r>
      <w:r>
        <w:rPr>
          <w:rFonts w:ascii="Times New Roman" w:hAnsi="Times New Roman"/>
          <w:sz w:val="28"/>
          <w:szCs w:val="24"/>
          <w:lang w:eastAsia="ru-RU"/>
        </w:rPr>
        <w:t> </w:t>
      </w:r>
      <w:r w:rsidRPr="007013F4">
        <w:rPr>
          <w:rFonts w:ascii="Times New Roman" w:hAnsi="Times New Roman"/>
          <w:sz w:val="28"/>
          <w:szCs w:val="24"/>
          <w:lang w:eastAsia="ru-RU"/>
        </w:rPr>
        <w:t>вопросам санитарной очистки территорий.</w:t>
      </w:r>
    </w:p>
    <w:p w:rsidR="002D1E45" w:rsidRDefault="002D1E45" w:rsidP="007013F4">
      <w:pPr>
        <w:spacing w:after="0" w:line="240" w:lineRule="auto"/>
        <w:ind w:firstLine="709"/>
        <w:jc w:val="both"/>
        <w:rPr>
          <w:rFonts w:ascii="Times New Roman" w:hAnsi="Times New Roman"/>
          <w:color w:val="000000"/>
          <w:sz w:val="28"/>
          <w:szCs w:val="28"/>
        </w:rPr>
      </w:pPr>
      <w:r w:rsidRPr="007013F4">
        <w:rPr>
          <w:rFonts w:ascii="Times New Roman" w:hAnsi="Times New Roman"/>
          <w:color w:val="000000"/>
          <w:sz w:val="28"/>
          <w:szCs w:val="28"/>
        </w:rPr>
        <w:t>Для вывоза крупногабаритных отходов (предметы мебели, отходы после ремонта квартир, обрезки деревьев и</w:t>
      </w:r>
      <w:r>
        <w:rPr>
          <w:rFonts w:ascii="Times New Roman" w:hAnsi="Times New Roman"/>
          <w:color w:val="000000"/>
          <w:sz w:val="28"/>
          <w:szCs w:val="28"/>
        </w:rPr>
        <w:t> </w:t>
      </w:r>
      <w:r w:rsidRPr="007013F4">
        <w:rPr>
          <w:rFonts w:ascii="Times New Roman" w:hAnsi="Times New Roman"/>
          <w:color w:val="000000"/>
          <w:sz w:val="28"/>
          <w:szCs w:val="28"/>
        </w:rPr>
        <w:t>т.д.), строительного мусора, отходов производства и</w:t>
      </w:r>
      <w:r>
        <w:rPr>
          <w:rFonts w:ascii="Times New Roman" w:hAnsi="Times New Roman"/>
          <w:color w:val="000000"/>
          <w:sz w:val="28"/>
          <w:szCs w:val="28"/>
        </w:rPr>
        <w:t> </w:t>
      </w:r>
      <w:r w:rsidRPr="007013F4">
        <w:rPr>
          <w:rFonts w:ascii="Times New Roman" w:hAnsi="Times New Roman"/>
          <w:color w:val="000000"/>
          <w:sz w:val="28"/>
          <w:szCs w:val="28"/>
        </w:rPr>
        <w:t>твёрдых коммунальных отходов по</w:t>
      </w:r>
      <w:r>
        <w:rPr>
          <w:rFonts w:ascii="Times New Roman" w:hAnsi="Times New Roman"/>
          <w:color w:val="000000"/>
          <w:sz w:val="28"/>
          <w:szCs w:val="28"/>
        </w:rPr>
        <w:t> </w:t>
      </w:r>
      <w:r w:rsidRPr="007013F4">
        <w:rPr>
          <w:rFonts w:ascii="Times New Roman" w:hAnsi="Times New Roman"/>
          <w:color w:val="000000"/>
          <w:sz w:val="28"/>
          <w:szCs w:val="28"/>
        </w:rPr>
        <w:t>заявкам предприятий целесообразно применять бортовые машины.</w:t>
      </w:r>
    </w:p>
    <w:p w:rsidR="002D1E45" w:rsidRPr="007013F4" w:rsidRDefault="002D1E45" w:rsidP="00E50844">
      <w:pPr>
        <w:spacing w:after="0" w:line="240" w:lineRule="auto"/>
        <w:ind w:firstLine="709"/>
        <w:jc w:val="both"/>
        <w:rPr>
          <w:rFonts w:ascii="Times New Roman" w:hAnsi="Times New Roman"/>
          <w:color w:val="000000"/>
          <w:sz w:val="28"/>
          <w:szCs w:val="28"/>
        </w:rPr>
      </w:pPr>
      <w:r w:rsidRPr="00841FD5">
        <w:rPr>
          <w:rFonts w:ascii="Times New Roman" w:hAnsi="Times New Roman"/>
          <w:sz w:val="28"/>
          <w:szCs w:val="24"/>
          <w:lang w:eastAsia="ru-RU"/>
        </w:rPr>
        <w:t xml:space="preserve">Для того чтобы норма накопления ТКО соответствовала фактическому образованию отходов вычисляется усреднённая норма накопления отходов. </w:t>
      </w:r>
      <w:r w:rsidRPr="007013F4">
        <w:rPr>
          <w:rFonts w:ascii="Times New Roman" w:hAnsi="Times New Roman"/>
          <w:color w:val="000000"/>
          <w:sz w:val="28"/>
          <w:szCs w:val="28"/>
        </w:rPr>
        <w:t>В</w:t>
      </w:r>
      <w:r>
        <w:rPr>
          <w:rFonts w:ascii="Times New Roman" w:hAnsi="Times New Roman"/>
          <w:sz w:val="28"/>
          <w:szCs w:val="24"/>
          <w:lang w:eastAsia="ru-RU"/>
        </w:rPr>
        <w:t> </w:t>
      </w:r>
      <w:r w:rsidRPr="007013F4">
        <w:rPr>
          <w:rFonts w:ascii="Times New Roman" w:hAnsi="Times New Roman"/>
          <w:color w:val="000000"/>
          <w:sz w:val="28"/>
          <w:szCs w:val="28"/>
        </w:rPr>
        <w:t>соответствии с</w:t>
      </w:r>
      <w:r>
        <w:rPr>
          <w:rFonts w:ascii="Times New Roman" w:hAnsi="Times New Roman"/>
          <w:color w:val="000000"/>
          <w:sz w:val="28"/>
          <w:szCs w:val="28"/>
        </w:rPr>
        <w:t> П</w:t>
      </w:r>
      <w:r w:rsidRPr="00EC2080">
        <w:rPr>
          <w:rFonts w:ascii="Times New Roman" w:hAnsi="Times New Roman"/>
          <w:color w:val="000000"/>
          <w:sz w:val="28"/>
          <w:szCs w:val="28"/>
        </w:rPr>
        <w:t>риказ</w:t>
      </w:r>
      <w:r>
        <w:rPr>
          <w:rFonts w:ascii="Times New Roman" w:hAnsi="Times New Roman"/>
          <w:color w:val="000000"/>
          <w:sz w:val="28"/>
          <w:szCs w:val="28"/>
        </w:rPr>
        <w:t xml:space="preserve">ом </w:t>
      </w:r>
      <w:r w:rsidRPr="00E50844">
        <w:rPr>
          <w:rFonts w:ascii="Times New Roman" w:hAnsi="Times New Roman"/>
          <w:color w:val="000000"/>
          <w:sz w:val="28"/>
          <w:szCs w:val="28"/>
        </w:rPr>
        <w:t>департамента по</w:t>
      </w:r>
      <w:r>
        <w:rPr>
          <w:rFonts w:ascii="Times New Roman" w:hAnsi="Times New Roman"/>
          <w:color w:val="000000"/>
          <w:sz w:val="28"/>
          <w:szCs w:val="28"/>
        </w:rPr>
        <w:t> </w:t>
      </w:r>
      <w:r w:rsidRPr="00E50844">
        <w:rPr>
          <w:rFonts w:ascii="Times New Roman" w:hAnsi="Times New Roman"/>
          <w:color w:val="000000"/>
          <w:sz w:val="28"/>
          <w:szCs w:val="28"/>
        </w:rPr>
        <w:t>тарифам Новосибирской области от 20.10.2017 № 342-ЖКХ</w:t>
      </w:r>
      <w:r>
        <w:rPr>
          <w:rFonts w:ascii="Times New Roman" w:hAnsi="Times New Roman"/>
          <w:color w:val="000000"/>
          <w:sz w:val="28"/>
          <w:szCs w:val="28"/>
        </w:rPr>
        <w:t xml:space="preserve"> «</w:t>
      </w:r>
      <w:r w:rsidRPr="00E50844">
        <w:rPr>
          <w:rFonts w:ascii="Times New Roman" w:hAnsi="Times New Roman"/>
          <w:color w:val="000000"/>
          <w:sz w:val="28"/>
          <w:szCs w:val="28"/>
        </w:rPr>
        <w:t>Об утверждении нормативов накопления твёрдых коммунальных отходов на</w:t>
      </w:r>
      <w:r>
        <w:rPr>
          <w:rFonts w:ascii="Times New Roman" w:hAnsi="Times New Roman"/>
          <w:color w:val="000000"/>
          <w:sz w:val="28"/>
          <w:szCs w:val="28"/>
        </w:rPr>
        <w:t> </w:t>
      </w:r>
      <w:r w:rsidRPr="00E50844">
        <w:rPr>
          <w:rFonts w:ascii="Times New Roman" w:hAnsi="Times New Roman"/>
          <w:color w:val="000000"/>
          <w:sz w:val="28"/>
          <w:szCs w:val="28"/>
        </w:rPr>
        <w:t>территории Новосибирской области</w:t>
      </w:r>
      <w:r>
        <w:rPr>
          <w:rFonts w:ascii="Times New Roman" w:hAnsi="Times New Roman"/>
          <w:color w:val="000000"/>
          <w:sz w:val="28"/>
          <w:szCs w:val="28"/>
        </w:rPr>
        <w:t>», н</w:t>
      </w:r>
      <w:r w:rsidRPr="007013F4">
        <w:rPr>
          <w:rFonts w:ascii="Times New Roman" w:hAnsi="Times New Roman"/>
          <w:color w:val="000000"/>
          <w:sz w:val="28"/>
          <w:szCs w:val="28"/>
        </w:rPr>
        <w:t>орма накопления коммунальных от</w:t>
      </w:r>
      <w:r>
        <w:rPr>
          <w:rFonts w:ascii="Times New Roman" w:hAnsi="Times New Roman"/>
          <w:color w:val="000000"/>
          <w:sz w:val="28"/>
          <w:szCs w:val="28"/>
        </w:rPr>
        <w:t>ходов на 1 человека составляет 392,95 кг</w:t>
      </w:r>
      <w:r w:rsidRPr="007013F4">
        <w:rPr>
          <w:rFonts w:ascii="Times New Roman" w:hAnsi="Times New Roman"/>
          <w:color w:val="000000"/>
          <w:sz w:val="28"/>
          <w:szCs w:val="28"/>
        </w:rPr>
        <w:t xml:space="preserve">/год. </w:t>
      </w:r>
    </w:p>
    <w:p w:rsidR="002D1E45" w:rsidRPr="00841FD5" w:rsidRDefault="002D1E45" w:rsidP="003E483E">
      <w:pPr>
        <w:spacing w:after="0" w:line="240" w:lineRule="auto"/>
        <w:ind w:firstLine="709"/>
        <w:jc w:val="both"/>
        <w:rPr>
          <w:rFonts w:ascii="Times New Roman" w:hAnsi="Times New Roman"/>
          <w:sz w:val="28"/>
          <w:szCs w:val="24"/>
          <w:lang w:eastAsia="ru-RU"/>
        </w:rPr>
      </w:pPr>
      <w:r w:rsidRPr="00841FD5">
        <w:rPr>
          <w:rFonts w:ascii="Times New Roman" w:hAnsi="Times New Roman"/>
          <w:sz w:val="28"/>
          <w:szCs w:val="24"/>
          <w:lang w:eastAsia="ru-RU"/>
        </w:rPr>
        <w:t>По данным исследований, проводимых ГУП УНИИ АКХ им. Памфилова годовой рост нормы накопления ТКО следует принимать 1,5 %. Таким образом, в</w:t>
      </w:r>
      <w:r>
        <w:rPr>
          <w:rFonts w:ascii="Times New Roman" w:hAnsi="Times New Roman"/>
          <w:sz w:val="28"/>
          <w:szCs w:val="24"/>
          <w:lang w:eastAsia="ru-RU"/>
        </w:rPr>
        <w:t> </w:t>
      </w:r>
      <w:r w:rsidRPr="00841FD5">
        <w:rPr>
          <w:rFonts w:ascii="Times New Roman" w:hAnsi="Times New Roman"/>
          <w:sz w:val="28"/>
          <w:szCs w:val="24"/>
          <w:lang w:eastAsia="ru-RU"/>
        </w:rPr>
        <w:t>перспективе предполагается увеличение объёмов, образующихся твёрдых коммунальных отходов, как в</w:t>
      </w:r>
      <w:r>
        <w:rPr>
          <w:rFonts w:ascii="Times New Roman" w:hAnsi="Times New Roman"/>
          <w:sz w:val="28"/>
          <w:szCs w:val="24"/>
          <w:lang w:eastAsia="ru-RU"/>
        </w:rPr>
        <w:t> </w:t>
      </w:r>
      <w:r w:rsidRPr="00841FD5">
        <w:rPr>
          <w:rFonts w:ascii="Times New Roman" w:hAnsi="Times New Roman"/>
          <w:sz w:val="28"/>
          <w:szCs w:val="24"/>
          <w:lang w:eastAsia="ru-RU"/>
        </w:rPr>
        <w:t>абсолютных величинах, так и</w:t>
      </w:r>
      <w:r>
        <w:rPr>
          <w:rFonts w:ascii="Times New Roman" w:hAnsi="Times New Roman"/>
          <w:sz w:val="28"/>
          <w:szCs w:val="24"/>
          <w:lang w:eastAsia="ru-RU"/>
        </w:rPr>
        <w:t> </w:t>
      </w:r>
      <w:r w:rsidRPr="00841FD5">
        <w:rPr>
          <w:rFonts w:ascii="Times New Roman" w:hAnsi="Times New Roman"/>
          <w:sz w:val="28"/>
          <w:szCs w:val="24"/>
          <w:lang w:eastAsia="ru-RU"/>
        </w:rPr>
        <w:t>на</w:t>
      </w:r>
      <w:r>
        <w:rPr>
          <w:rFonts w:ascii="Times New Roman" w:hAnsi="Times New Roman"/>
          <w:sz w:val="28"/>
          <w:szCs w:val="24"/>
          <w:lang w:eastAsia="ru-RU"/>
        </w:rPr>
        <w:t> </w:t>
      </w:r>
      <w:r w:rsidRPr="00841FD5">
        <w:rPr>
          <w:rFonts w:ascii="Times New Roman" w:hAnsi="Times New Roman"/>
          <w:sz w:val="28"/>
          <w:szCs w:val="24"/>
          <w:lang w:eastAsia="ru-RU"/>
        </w:rPr>
        <w:t>душу населения и</w:t>
      </w:r>
      <w:r>
        <w:rPr>
          <w:rFonts w:ascii="Times New Roman" w:hAnsi="Times New Roman"/>
          <w:sz w:val="28"/>
          <w:szCs w:val="24"/>
          <w:lang w:eastAsia="ru-RU"/>
        </w:rPr>
        <w:t> </w:t>
      </w:r>
      <w:r w:rsidRPr="00841FD5">
        <w:rPr>
          <w:rFonts w:ascii="Times New Roman" w:hAnsi="Times New Roman"/>
          <w:sz w:val="28"/>
          <w:szCs w:val="24"/>
          <w:lang w:eastAsia="ru-RU"/>
        </w:rPr>
        <w:t>усложнение морфологического состава твёрдых коммунальных отходов, включающих в</w:t>
      </w:r>
      <w:r>
        <w:rPr>
          <w:rFonts w:ascii="Times New Roman" w:hAnsi="Times New Roman"/>
          <w:sz w:val="28"/>
          <w:szCs w:val="24"/>
          <w:lang w:eastAsia="ru-RU"/>
        </w:rPr>
        <w:t> </w:t>
      </w:r>
      <w:r w:rsidRPr="00841FD5">
        <w:rPr>
          <w:rFonts w:ascii="Times New Roman" w:hAnsi="Times New Roman"/>
          <w:sz w:val="28"/>
          <w:szCs w:val="24"/>
          <w:lang w:eastAsia="ru-RU"/>
        </w:rPr>
        <w:t xml:space="preserve">себя всё большее количество экологически опасных компонентов. Нормы накопления ТКО для жилого фонда </w:t>
      </w:r>
      <w:r>
        <w:rPr>
          <w:rFonts w:ascii="Times New Roman" w:hAnsi="Times New Roman"/>
          <w:sz w:val="28"/>
          <w:szCs w:val="24"/>
          <w:lang w:eastAsia="ru-RU"/>
        </w:rPr>
        <w:t xml:space="preserve">поселения </w:t>
      </w:r>
      <w:r w:rsidRPr="00841FD5">
        <w:rPr>
          <w:rFonts w:ascii="Times New Roman" w:hAnsi="Times New Roman"/>
          <w:sz w:val="28"/>
          <w:szCs w:val="24"/>
          <w:lang w:eastAsia="ru-RU"/>
        </w:rPr>
        <w:t>предоставлены в</w:t>
      </w:r>
      <w:r>
        <w:rPr>
          <w:rFonts w:ascii="Times New Roman" w:hAnsi="Times New Roman"/>
          <w:sz w:val="28"/>
          <w:szCs w:val="24"/>
          <w:lang w:eastAsia="ru-RU"/>
        </w:rPr>
        <w:t> </w:t>
      </w:r>
      <w:r w:rsidRPr="00841FD5">
        <w:rPr>
          <w:rFonts w:ascii="Times New Roman" w:hAnsi="Times New Roman"/>
          <w:sz w:val="28"/>
          <w:szCs w:val="24"/>
          <w:lang w:eastAsia="ru-RU"/>
        </w:rPr>
        <w:t xml:space="preserve">таблице </w:t>
      </w:r>
      <w:r w:rsidRPr="00841FD5">
        <w:rPr>
          <w:rFonts w:ascii="Times New Roman" w:hAnsi="Times New Roman"/>
          <w:sz w:val="28"/>
          <w:szCs w:val="24"/>
          <w:lang w:eastAsia="ru-RU"/>
        </w:rPr>
        <w:fldChar w:fldCharType="begin"/>
      </w:r>
      <w:r w:rsidRPr="00841FD5">
        <w:rPr>
          <w:rFonts w:ascii="Times New Roman" w:hAnsi="Times New Roman"/>
          <w:sz w:val="28"/>
          <w:szCs w:val="24"/>
          <w:lang w:eastAsia="ru-RU"/>
        </w:rPr>
        <w:instrText xml:space="preserve"> REF Tbl_Othody \h </w:instrText>
      </w:r>
      <w:r w:rsidRPr="00841FD5">
        <w:rPr>
          <w:rFonts w:ascii="Times New Roman" w:hAnsi="Times New Roman"/>
          <w:sz w:val="28"/>
          <w:szCs w:val="24"/>
          <w:lang w:eastAsia="ru-RU"/>
        </w:rPr>
      </w:r>
      <w:r w:rsidRPr="00841FD5">
        <w:rPr>
          <w:rFonts w:ascii="Times New Roman" w:hAnsi="Times New Roman"/>
          <w:sz w:val="28"/>
          <w:szCs w:val="24"/>
          <w:lang w:eastAsia="ru-RU"/>
        </w:rPr>
        <w:fldChar w:fldCharType="separate"/>
      </w:r>
      <w:r>
        <w:rPr>
          <w:rFonts w:ascii="Times New Roman" w:hAnsi="Times New Roman"/>
          <w:noProof/>
          <w:sz w:val="28"/>
          <w:szCs w:val="24"/>
        </w:rPr>
        <w:t>66</w:t>
      </w:r>
      <w:r w:rsidRPr="00841FD5">
        <w:rPr>
          <w:rFonts w:ascii="Times New Roman" w:hAnsi="Times New Roman"/>
          <w:sz w:val="28"/>
          <w:szCs w:val="24"/>
          <w:lang w:eastAsia="ru-RU"/>
        </w:rPr>
        <w:fldChar w:fldCharType="end"/>
      </w:r>
      <w:r w:rsidRPr="00841FD5">
        <w:rPr>
          <w:rFonts w:ascii="Times New Roman" w:hAnsi="Times New Roman"/>
          <w:sz w:val="28"/>
          <w:szCs w:val="24"/>
          <w:lang w:eastAsia="ru-RU"/>
        </w:rPr>
        <w:t>.</w:t>
      </w:r>
    </w:p>
    <w:p w:rsidR="002D1E45" w:rsidRPr="00841FD5" w:rsidRDefault="002D1E45" w:rsidP="003E483E">
      <w:pPr>
        <w:autoSpaceDE w:val="0"/>
        <w:autoSpaceDN w:val="0"/>
        <w:adjustRightInd w:val="0"/>
        <w:spacing w:after="0" w:line="240" w:lineRule="auto"/>
        <w:ind w:firstLine="709"/>
        <w:jc w:val="right"/>
        <w:rPr>
          <w:rFonts w:ascii="Times New Roman" w:hAnsi="Times New Roman"/>
          <w:sz w:val="28"/>
          <w:szCs w:val="24"/>
          <w:lang w:eastAsia="ru-RU"/>
        </w:rPr>
      </w:pPr>
      <w:r w:rsidRPr="00841FD5">
        <w:rPr>
          <w:rFonts w:ascii="Times New Roman" w:hAnsi="Times New Roman"/>
          <w:sz w:val="28"/>
          <w:szCs w:val="24"/>
          <w:lang w:eastAsia="ru-RU"/>
        </w:rPr>
        <w:t xml:space="preserve">Таблица </w:t>
      </w:r>
      <w:bookmarkStart w:id="369" w:name="Tbl_Othody"/>
      <w:r w:rsidRPr="00841FD5">
        <w:rPr>
          <w:rFonts w:ascii="Times New Roman" w:hAnsi="Times New Roman"/>
          <w:sz w:val="28"/>
          <w:szCs w:val="24"/>
        </w:rPr>
        <w:fldChar w:fldCharType="begin"/>
      </w:r>
      <w:r w:rsidRPr="00841FD5">
        <w:rPr>
          <w:rFonts w:ascii="Times New Roman" w:hAnsi="Times New Roman"/>
          <w:sz w:val="28"/>
          <w:szCs w:val="24"/>
        </w:rPr>
        <w:instrText xml:space="preserve"> SEQ Таблица \* ARABIC </w:instrText>
      </w:r>
      <w:r w:rsidRPr="00841FD5">
        <w:rPr>
          <w:rFonts w:ascii="Times New Roman" w:hAnsi="Times New Roman"/>
          <w:sz w:val="28"/>
          <w:szCs w:val="24"/>
        </w:rPr>
        <w:fldChar w:fldCharType="separate"/>
      </w:r>
      <w:r>
        <w:rPr>
          <w:rFonts w:ascii="Times New Roman" w:hAnsi="Times New Roman"/>
          <w:noProof/>
          <w:sz w:val="28"/>
          <w:szCs w:val="24"/>
        </w:rPr>
        <w:t>66</w:t>
      </w:r>
      <w:r w:rsidRPr="00841FD5">
        <w:rPr>
          <w:rFonts w:ascii="Times New Roman" w:hAnsi="Times New Roman"/>
          <w:sz w:val="28"/>
          <w:szCs w:val="24"/>
        </w:rPr>
        <w:fldChar w:fldCharType="end"/>
      </w:r>
      <w:bookmarkEnd w:id="369"/>
    </w:p>
    <w:p w:rsidR="002D1E45" w:rsidRDefault="002D1E45" w:rsidP="003E483E">
      <w:pPr>
        <w:tabs>
          <w:tab w:val="left" w:pos="1418"/>
        </w:tabs>
        <w:spacing w:line="240" w:lineRule="auto"/>
        <w:jc w:val="center"/>
        <w:rPr>
          <w:rFonts w:ascii="Times New Roman" w:hAnsi="Times New Roman"/>
          <w:sz w:val="28"/>
          <w:szCs w:val="24"/>
          <w:lang w:eastAsia="ru-RU"/>
        </w:rPr>
      </w:pPr>
      <w:r w:rsidRPr="00841FD5">
        <w:rPr>
          <w:rFonts w:ascii="Times New Roman" w:hAnsi="Times New Roman"/>
          <w:sz w:val="28"/>
          <w:szCs w:val="24"/>
          <w:lang w:eastAsia="ru-RU"/>
        </w:rPr>
        <w:t>Объёмы накопления твёрдых коммунальных отходов в</w:t>
      </w:r>
      <w:r>
        <w:rPr>
          <w:rFonts w:ascii="Times New Roman" w:hAnsi="Times New Roman"/>
          <w:sz w:val="28"/>
          <w:szCs w:val="24"/>
          <w:lang w:eastAsia="ru-RU"/>
        </w:rPr>
        <w:t> г. Куйбышеве</w:t>
      </w:r>
    </w:p>
    <w:tbl>
      <w:tblPr>
        <w:tblW w:w="10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256"/>
        <w:gridCol w:w="1381"/>
        <w:gridCol w:w="887"/>
        <w:gridCol w:w="961"/>
        <w:gridCol w:w="1559"/>
        <w:gridCol w:w="2410"/>
      </w:tblGrid>
      <w:tr w:rsidR="002D1E45" w:rsidRPr="00D55283" w:rsidTr="00AF7759">
        <w:trPr>
          <w:trHeight w:val="170"/>
          <w:tblHeader/>
          <w:jc w:val="center"/>
        </w:trPr>
        <w:tc>
          <w:tcPr>
            <w:tcW w:w="3256" w:type="dxa"/>
            <w:vMerge w:val="restart"/>
            <w:vAlign w:val="center"/>
          </w:tcPr>
          <w:p w:rsidR="002D1E45" w:rsidRPr="00D55283" w:rsidRDefault="002D1E45" w:rsidP="00016F5A">
            <w:pPr>
              <w:spacing w:after="0" w:line="240" w:lineRule="auto"/>
              <w:jc w:val="center"/>
              <w:rPr>
                <w:rFonts w:ascii="Times New Roman" w:hAnsi="Times New Roman"/>
                <w:color w:val="000000"/>
                <w:lang w:eastAsia="ru-RU"/>
              </w:rPr>
            </w:pPr>
            <w:r w:rsidRPr="00D55283">
              <w:rPr>
                <w:rFonts w:ascii="Times New Roman" w:hAnsi="Times New Roman"/>
                <w:color w:val="000000"/>
                <w:lang w:eastAsia="ru-RU"/>
              </w:rPr>
              <w:t>Объект/участок</w:t>
            </w:r>
          </w:p>
        </w:tc>
        <w:tc>
          <w:tcPr>
            <w:tcW w:w="1381" w:type="dxa"/>
            <w:vMerge w:val="restart"/>
            <w:vAlign w:val="center"/>
          </w:tcPr>
          <w:p w:rsidR="002D1E45" w:rsidRPr="00D55283" w:rsidRDefault="002D1E45" w:rsidP="00016F5A">
            <w:pPr>
              <w:spacing w:after="0" w:line="240" w:lineRule="auto"/>
              <w:jc w:val="center"/>
              <w:rPr>
                <w:rFonts w:ascii="Times New Roman" w:hAnsi="Times New Roman"/>
                <w:color w:val="000000"/>
                <w:lang w:eastAsia="ru-RU"/>
              </w:rPr>
            </w:pPr>
            <w:r w:rsidRPr="00D55283">
              <w:rPr>
                <w:rFonts w:ascii="Times New Roman" w:hAnsi="Times New Roman"/>
                <w:color w:val="000000"/>
                <w:lang w:eastAsia="ru-RU"/>
              </w:rPr>
              <w:t>Объём образования ТКО в</w:t>
            </w:r>
            <w:r>
              <w:rPr>
                <w:rFonts w:ascii="Times New Roman" w:hAnsi="Times New Roman"/>
                <w:color w:val="000000"/>
                <w:lang w:eastAsia="ru-RU"/>
              </w:rPr>
              <w:t> </w:t>
            </w:r>
            <w:r w:rsidRPr="00D55283">
              <w:rPr>
                <w:rFonts w:ascii="Times New Roman" w:hAnsi="Times New Roman"/>
                <w:color w:val="000000"/>
                <w:lang w:eastAsia="ru-RU"/>
              </w:rPr>
              <w:t>месяц, т</w:t>
            </w:r>
          </w:p>
        </w:tc>
        <w:tc>
          <w:tcPr>
            <w:tcW w:w="1848" w:type="dxa"/>
            <w:gridSpan w:val="2"/>
            <w:vAlign w:val="center"/>
          </w:tcPr>
          <w:p w:rsidR="002D1E45" w:rsidRPr="00D55283" w:rsidRDefault="002D1E45" w:rsidP="00016F5A">
            <w:pPr>
              <w:spacing w:after="0" w:line="240" w:lineRule="auto"/>
              <w:jc w:val="center"/>
              <w:rPr>
                <w:rFonts w:ascii="Times New Roman" w:hAnsi="Times New Roman"/>
                <w:color w:val="000000"/>
                <w:lang w:eastAsia="ru-RU"/>
              </w:rPr>
            </w:pPr>
            <w:r w:rsidRPr="00D55283">
              <w:rPr>
                <w:rFonts w:ascii="Times New Roman" w:hAnsi="Times New Roman"/>
                <w:color w:val="000000"/>
                <w:lang w:eastAsia="ru-RU"/>
              </w:rPr>
              <w:t>Объём образования ТКО в</w:t>
            </w:r>
            <w:r>
              <w:rPr>
                <w:rFonts w:ascii="Times New Roman" w:hAnsi="Times New Roman"/>
                <w:color w:val="000000"/>
                <w:lang w:eastAsia="ru-RU"/>
              </w:rPr>
              <w:t> </w:t>
            </w:r>
            <w:r w:rsidRPr="00D55283">
              <w:rPr>
                <w:rFonts w:ascii="Times New Roman" w:hAnsi="Times New Roman"/>
                <w:color w:val="000000"/>
                <w:lang w:eastAsia="ru-RU"/>
              </w:rPr>
              <w:t>год</w:t>
            </w:r>
          </w:p>
        </w:tc>
        <w:tc>
          <w:tcPr>
            <w:tcW w:w="1559" w:type="dxa"/>
            <w:vAlign w:val="center"/>
          </w:tcPr>
          <w:p w:rsidR="002D1E45" w:rsidRPr="00D55283" w:rsidRDefault="002D1E45" w:rsidP="00016F5A">
            <w:pPr>
              <w:spacing w:after="0" w:line="240" w:lineRule="auto"/>
              <w:jc w:val="center"/>
              <w:rPr>
                <w:rFonts w:ascii="Times New Roman" w:hAnsi="Times New Roman"/>
                <w:color w:val="000000"/>
                <w:lang w:eastAsia="ru-RU"/>
              </w:rPr>
            </w:pPr>
            <w:r w:rsidRPr="00D55283">
              <w:rPr>
                <w:rFonts w:ascii="Times New Roman" w:hAnsi="Times New Roman"/>
                <w:color w:val="000000"/>
                <w:lang w:eastAsia="ru-RU"/>
              </w:rPr>
              <w:t>Численность населения, чел.</w:t>
            </w:r>
          </w:p>
        </w:tc>
        <w:tc>
          <w:tcPr>
            <w:tcW w:w="2410" w:type="dxa"/>
            <w:vAlign w:val="center"/>
          </w:tcPr>
          <w:p w:rsidR="002D1E45" w:rsidRPr="00D55283" w:rsidRDefault="002D1E45" w:rsidP="00016F5A">
            <w:pPr>
              <w:spacing w:after="0" w:line="240" w:lineRule="auto"/>
              <w:jc w:val="center"/>
              <w:rPr>
                <w:rFonts w:ascii="Times New Roman" w:hAnsi="Times New Roman"/>
                <w:color w:val="000000"/>
                <w:lang w:eastAsia="ru-RU"/>
              </w:rPr>
            </w:pPr>
            <w:r w:rsidRPr="00D55283">
              <w:rPr>
                <w:rFonts w:ascii="Times New Roman" w:hAnsi="Times New Roman"/>
                <w:color w:val="000000"/>
                <w:lang w:eastAsia="ru-RU"/>
              </w:rPr>
              <w:t>Годовые дифференцированные нормы накопления ТКО, кг/чел. в</w:t>
            </w:r>
            <w:r>
              <w:rPr>
                <w:rFonts w:ascii="Times New Roman" w:hAnsi="Times New Roman"/>
                <w:color w:val="000000"/>
                <w:lang w:eastAsia="ru-RU"/>
              </w:rPr>
              <w:t> </w:t>
            </w:r>
            <w:r w:rsidRPr="00D55283">
              <w:rPr>
                <w:rFonts w:ascii="Times New Roman" w:hAnsi="Times New Roman"/>
                <w:color w:val="000000"/>
                <w:lang w:eastAsia="ru-RU"/>
              </w:rPr>
              <w:t>год</w:t>
            </w:r>
          </w:p>
        </w:tc>
      </w:tr>
      <w:tr w:rsidR="002D1E45" w:rsidRPr="00D55283" w:rsidTr="00AF7759">
        <w:trPr>
          <w:trHeight w:val="170"/>
          <w:tblHeader/>
          <w:jc w:val="center"/>
        </w:trPr>
        <w:tc>
          <w:tcPr>
            <w:tcW w:w="3256" w:type="dxa"/>
            <w:vMerge/>
            <w:vAlign w:val="center"/>
          </w:tcPr>
          <w:p w:rsidR="002D1E45" w:rsidRPr="00D55283" w:rsidRDefault="002D1E45" w:rsidP="00D55283">
            <w:pPr>
              <w:spacing w:after="0" w:line="240" w:lineRule="auto"/>
              <w:rPr>
                <w:rFonts w:ascii="Times New Roman" w:hAnsi="Times New Roman"/>
                <w:color w:val="000000"/>
                <w:lang w:eastAsia="ru-RU"/>
              </w:rPr>
            </w:pPr>
          </w:p>
        </w:tc>
        <w:tc>
          <w:tcPr>
            <w:tcW w:w="1381" w:type="dxa"/>
            <w:vMerge/>
            <w:vAlign w:val="center"/>
          </w:tcPr>
          <w:p w:rsidR="002D1E45" w:rsidRPr="00D55283" w:rsidRDefault="002D1E45" w:rsidP="00D55283">
            <w:pPr>
              <w:spacing w:after="0" w:line="240" w:lineRule="auto"/>
              <w:rPr>
                <w:rFonts w:ascii="Times New Roman" w:hAnsi="Times New Roman"/>
                <w:color w:val="000000"/>
                <w:lang w:eastAsia="ru-RU"/>
              </w:rPr>
            </w:pPr>
          </w:p>
        </w:tc>
        <w:tc>
          <w:tcPr>
            <w:tcW w:w="887" w:type="dxa"/>
            <w:vAlign w:val="center"/>
          </w:tcPr>
          <w:p w:rsidR="002D1E45" w:rsidRPr="00D55283" w:rsidRDefault="002D1E45" w:rsidP="00D55283">
            <w:pPr>
              <w:spacing w:after="0" w:line="240" w:lineRule="auto"/>
              <w:jc w:val="center"/>
              <w:rPr>
                <w:rFonts w:ascii="Times New Roman" w:hAnsi="Times New Roman"/>
                <w:color w:val="000000"/>
                <w:lang w:eastAsia="ru-RU"/>
              </w:rPr>
            </w:pPr>
            <w:r w:rsidRPr="00D55283">
              <w:rPr>
                <w:rFonts w:ascii="Times New Roman" w:hAnsi="Times New Roman"/>
                <w:color w:val="000000"/>
                <w:lang w:eastAsia="ru-RU"/>
              </w:rPr>
              <w:t>тонн</w:t>
            </w:r>
          </w:p>
        </w:tc>
        <w:tc>
          <w:tcPr>
            <w:tcW w:w="958" w:type="dxa"/>
            <w:vAlign w:val="center"/>
          </w:tcPr>
          <w:p w:rsidR="002D1E45" w:rsidRPr="00D55283" w:rsidRDefault="002D1E45" w:rsidP="00D55283">
            <w:pPr>
              <w:spacing w:after="0" w:line="240" w:lineRule="auto"/>
              <w:jc w:val="center"/>
              <w:rPr>
                <w:rFonts w:ascii="Times New Roman" w:hAnsi="Times New Roman"/>
                <w:color w:val="000000"/>
                <w:lang w:eastAsia="ru-RU"/>
              </w:rPr>
            </w:pPr>
            <w:r w:rsidRPr="00D55283">
              <w:rPr>
                <w:rFonts w:ascii="Times New Roman" w:hAnsi="Times New Roman"/>
                <w:color w:val="000000"/>
                <w:lang w:eastAsia="ru-RU"/>
              </w:rPr>
              <w:t>м.куб.</w:t>
            </w:r>
          </w:p>
        </w:tc>
        <w:tc>
          <w:tcPr>
            <w:tcW w:w="1559" w:type="dxa"/>
            <w:vAlign w:val="center"/>
          </w:tcPr>
          <w:p w:rsidR="002D1E45" w:rsidRPr="00D55283" w:rsidRDefault="002D1E45" w:rsidP="00D55283">
            <w:pPr>
              <w:spacing w:after="0" w:line="240" w:lineRule="auto"/>
              <w:jc w:val="center"/>
              <w:rPr>
                <w:rFonts w:ascii="Times New Roman" w:hAnsi="Times New Roman"/>
                <w:color w:val="000000"/>
                <w:lang w:eastAsia="ru-RU"/>
              </w:rPr>
            </w:pPr>
          </w:p>
        </w:tc>
        <w:tc>
          <w:tcPr>
            <w:tcW w:w="2410" w:type="dxa"/>
            <w:vAlign w:val="center"/>
          </w:tcPr>
          <w:p w:rsidR="002D1E45" w:rsidRPr="00D55283" w:rsidRDefault="002D1E45" w:rsidP="00D55283">
            <w:pPr>
              <w:spacing w:after="0" w:line="240" w:lineRule="auto"/>
              <w:jc w:val="center"/>
              <w:rPr>
                <w:rFonts w:ascii="Times New Roman" w:hAnsi="Times New Roman"/>
                <w:color w:val="000000"/>
                <w:lang w:eastAsia="ru-RU"/>
              </w:rPr>
            </w:pPr>
          </w:p>
        </w:tc>
      </w:tr>
      <w:tr w:rsidR="002D1E45" w:rsidRPr="00D55283" w:rsidTr="00AF7759">
        <w:trPr>
          <w:trHeight w:val="170"/>
          <w:jc w:val="center"/>
        </w:trPr>
        <w:tc>
          <w:tcPr>
            <w:tcW w:w="3256" w:type="dxa"/>
            <w:vAlign w:val="center"/>
          </w:tcPr>
          <w:p w:rsidR="002D1E45" w:rsidRPr="00D55283" w:rsidRDefault="002D1E45" w:rsidP="00AD475B">
            <w:pPr>
              <w:spacing w:after="0" w:line="240" w:lineRule="auto"/>
              <w:rPr>
                <w:rFonts w:ascii="Times New Roman" w:hAnsi="Times New Roman"/>
                <w:color w:val="000000"/>
                <w:lang w:eastAsia="ru-RU"/>
              </w:rPr>
            </w:pPr>
            <w:r w:rsidRPr="00D55283">
              <w:rPr>
                <w:rFonts w:ascii="Times New Roman" w:hAnsi="Times New Roman"/>
                <w:color w:val="000000"/>
                <w:lang w:eastAsia="ru-RU"/>
              </w:rPr>
              <w:t>Существующее положение</w:t>
            </w:r>
          </w:p>
        </w:tc>
        <w:tc>
          <w:tcPr>
            <w:tcW w:w="1381" w:type="dxa"/>
            <w:vAlign w:val="center"/>
          </w:tcPr>
          <w:p w:rsidR="002D1E45" w:rsidRPr="00B6240F" w:rsidRDefault="002D1E45" w:rsidP="00AD475B">
            <w:pPr>
              <w:spacing w:after="0" w:line="240" w:lineRule="auto"/>
              <w:jc w:val="center"/>
              <w:rPr>
                <w:rFonts w:ascii="Times New Roman" w:hAnsi="Times New Roman"/>
                <w:color w:val="000000"/>
                <w:lang w:eastAsia="ru-RU"/>
              </w:rPr>
            </w:pPr>
            <w:r w:rsidRPr="00AD475B">
              <w:rPr>
                <w:rFonts w:ascii="Times New Roman" w:hAnsi="Times New Roman"/>
                <w:color w:val="000000"/>
                <w:lang w:eastAsia="ru-RU"/>
              </w:rPr>
              <w:t>1 426</w:t>
            </w:r>
          </w:p>
        </w:tc>
        <w:tc>
          <w:tcPr>
            <w:tcW w:w="887" w:type="dxa"/>
            <w:vAlign w:val="center"/>
          </w:tcPr>
          <w:p w:rsidR="002D1E45" w:rsidRPr="00B6240F" w:rsidRDefault="002D1E45" w:rsidP="00AD475B">
            <w:pPr>
              <w:spacing w:after="0" w:line="240" w:lineRule="auto"/>
              <w:jc w:val="center"/>
              <w:rPr>
                <w:rFonts w:ascii="Times New Roman" w:hAnsi="Times New Roman"/>
                <w:color w:val="000000"/>
                <w:lang w:eastAsia="ru-RU"/>
              </w:rPr>
            </w:pPr>
            <w:r w:rsidRPr="00AD475B">
              <w:rPr>
                <w:rFonts w:ascii="Times New Roman" w:hAnsi="Times New Roman"/>
                <w:color w:val="000000"/>
                <w:lang w:eastAsia="ru-RU"/>
              </w:rPr>
              <w:t>17 107</w:t>
            </w:r>
          </w:p>
        </w:tc>
        <w:tc>
          <w:tcPr>
            <w:tcW w:w="958" w:type="dxa"/>
            <w:vAlign w:val="center"/>
          </w:tcPr>
          <w:p w:rsidR="002D1E45" w:rsidRPr="009A3CCC" w:rsidRDefault="002D1E45" w:rsidP="00AD475B">
            <w:pPr>
              <w:spacing w:after="0" w:line="240" w:lineRule="auto"/>
              <w:jc w:val="center"/>
              <w:rPr>
                <w:rFonts w:ascii="Times New Roman" w:hAnsi="Times New Roman"/>
                <w:color w:val="000000"/>
                <w:lang w:eastAsia="ru-RU"/>
              </w:rPr>
            </w:pPr>
            <w:r w:rsidRPr="00AD475B">
              <w:rPr>
                <w:rFonts w:ascii="Times New Roman" w:hAnsi="Times New Roman"/>
                <w:color w:val="000000"/>
                <w:lang w:eastAsia="ru-RU"/>
              </w:rPr>
              <w:t>103 616</w:t>
            </w:r>
          </w:p>
        </w:tc>
        <w:tc>
          <w:tcPr>
            <w:tcW w:w="1559" w:type="dxa"/>
            <w:vAlign w:val="center"/>
          </w:tcPr>
          <w:p w:rsidR="002D1E45" w:rsidRPr="00B6240F" w:rsidRDefault="002D1E45" w:rsidP="00AD475B">
            <w:pPr>
              <w:spacing w:after="0" w:line="240" w:lineRule="auto"/>
              <w:jc w:val="center"/>
              <w:rPr>
                <w:rFonts w:ascii="Times New Roman" w:hAnsi="Times New Roman"/>
                <w:color w:val="000000"/>
                <w:lang w:eastAsia="ru-RU"/>
              </w:rPr>
            </w:pPr>
            <w:r w:rsidRPr="00AD475B">
              <w:rPr>
                <w:rFonts w:ascii="Times New Roman" w:hAnsi="Times New Roman"/>
                <w:color w:val="000000"/>
                <w:lang w:eastAsia="ru-RU"/>
              </w:rPr>
              <w:t>43 536</w:t>
            </w:r>
          </w:p>
        </w:tc>
        <w:tc>
          <w:tcPr>
            <w:tcW w:w="2410" w:type="dxa"/>
            <w:vAlign w:val="center"/>
          </w:tcPr>
          <w:p w:rsidR="002D1E45" w:rsidRPr="00B6240F" w:rsidRDefault="002D1E45" w:rsidP="00AD475B">
            <w:pPr>
              <w:spacing w:after="0" w:line="240" w:lineRule="auto"/>
              <w:jc w:val="center"/>
              <w:rPr>
                <w:rFonts w:ascii="Times New Roman" w:hAnsi="Times New Roman"/>
                <w:color w:val="000000"/>
                <w:lang w:eastAsia="ru-RU"/>
              </w:rPr>
            </w:pPr>
            <w:r w:rsidRPr="00AD475B">
              <w:rPr>
                <w:rFonts w:ascii="Times New Roman" w:hAnsi="Times New Roman"/>
                <w:color w:val="000000"/>
                <w:lang w:eastAsia="ru-RU"/>
              </w:rPr>
              <w:t>393</w:t>
            </w:r>
          </w:p>
        </w:tc>
      </w:tr>
      <w:tr w:rsidR="002D1E45" w:rsidRPr="00D55283" w:rsidTr="00AF7759">
        <w:trPr>
          <w:trHeight w:val="170"/>
          <w:jc w:val="center"/>
        </w:trPr>
        <w:tc>
          <w:tcPr>
            <w:tcW w:w="3256" w:type="dxa"/>
            <w:vAlign w:val="center"/>
          </w:tcPr>
          <w:p w:rsidR="002D1E45" w:rsidRPr="00D55283" w:rsidRDefault="002D1E45" w:rsidP="00AD475B">
            <w:pPr>
              <w:spacing w:after="0" w:line="240" w:lineRule="auto"/>
              <w:rPr>
                <w:rFonts w:ascii="Times New Roman" w:hAnsi="Times New Roman"/>
                <w:color w:val="000000"/>
                <w:lang w:eastAsia="ru-RU"/>
              </w:rPr>
            </w:pPr>
            <w:r w:rsidRPr="00D55283">
              <w:rPr>
                <w:rFonts w:ascii="Times New Roman" w:hAnsi="Times New Roman"/>
                <w:color w:val="000000"/>
                <w:lang w:eastAsia="ru-RU"/>
              </w:rPr>
              <w:t>Первая очередь</w:t>
            </w:r>
          </w:p>
        </w:tc>
        <w:tc>
          <w:tcPr>
            <w:tcW w:w="1381" w:type="dxa"/>
            <w:vAlign w:val="center"/>
          </w:tcPr>
          <w:p w:rsidR="002D1E45" w:rsidRPr="00B6240F" w:rsidRDefault="002D1E45" w:rsidP="00AD475B">
            <w:pPr>
              <w:spacing w:after="0" w:line="240" w:lineRule="auto"/>
              <w:jc w:val="center"/>
              <w:rPr>
                <w:rFonts w:ascii="Times New Roman" w:hAnsi="Times New Roman"/>
                <w:color w:val="000000"/>
                <w:lang w:eastAsia="ru-RU"/>
              </w:rPr>
            </w:pPr>
            <w:r w:rsidRPr="00AD475B">
              <w:rPr>
                <w:rFonts w:ascii="Times New Roman" w:hAnsi="Times New Roman"/>
                <w:color w:val="000000"/>
                <w:lang w:eastAsia="ru-RU"/>
              </w:rPr>
              <w:t>1 568</w:t>
            </w:r>
          </w:p>
        </w:tc>
        <w:tc>
          <w:tcPr>
            <w:tcW w:w="887" w:type="dxa"/>
            <w:vAlign w:val="center"/>
          </w:tcPr>
          <w:p w:rsidR="002D1E45" w:rsidRPr="00B6240F" w:rsidRDefault="002D1E45" w:rsidP="00AD475B">
            <w:pPr>
              <w:spacing w:after="0" w:line="240" w:lineRule="auto"/>
              <w:jc w:val="center"/>
              <w:rPr>
                <w:rFonts w:ascii="Times New Roman" w:hAnsi="Times New Roman"/>
                <w:color w:val="000000"/>
                <w:lang w:eastAsia="ru-RU"/>
              </w:rPr>
            </w:pPr>
            <w:r w:rsidRPr="00AD475B">
              <w:rPr>
                <w:rFonts w:ascii="Times New Roman" w:hAnsi="Times New Roman"/>
                <w:color w:val="000000"/>
                <w:lang w:eastAsia="ru-RU"/>
              </w:rPr>
              <w:t>18 811</w:t>
            </w:r>
          </w:p>
        </w:tc>
        <w:tc>
          <w:tcPr>
            <w:tcW w:w="958" w:type="dxa"/>
            <w:vAlign w:val="center"/>
          </w:tcPr>
          <w:p w:rsidR="002D1E45" w:rsidRPr="009A3CCC" w:rsidRDefault="002D1E45" w:rsidP="00AD475B">
            <w:pPr>
              <w:spacing w:after="0" w:line="240" w:lineRule="auto"/>
              <w:jc w:val="center"/>
              <w:rPr>
                <w:rFonts w:ascii="Times New Roman" w:hAnsi="Times New Roman"/>
                <w:color w:val="000000"/>
                <w:lang w:eastAsia="ru-RU"/>
              </w:rPr>
            </w:pPr>
            <w:r w:rsidRPr="00AD475B">
              <w:rPr>
                <w:rFonts w:ascii="Times New Roman" w:hAnsi="Times New Roman"/>
                <w:color w:val="000000"/>
                <w:lang w:eastAsia="ru-RU"/>
              </w:rPr>
              <w:t>113 936</w:t>
            </w:r>
          </w:p>
        </w:tc>
        <w:tc>
          <w:tcPr>
            <w:tcW w:w="1559" w:type="dxa"/>
            <w:vAlign w:val="center"/>
          </w:tcPr>
          <w:p w:rsidR="002D1E45" w:rsidRPr="00B6240F" w:rsidRDefault="002D1E45" w:rsidP="00AD475B">
            <w:pPr>
              <w:spacing w:after="0" w:line="240" w:lineRule="auto"/>
              <w:jc w:val="center"/>
              <w:rPr>
                <w:rFonts w:ascii="Times New Roman" w:hAnsi="Times New Roman"/>
                <w:color w:val="000000"/>
                <w:lang w:eastAsia="ru-RU"/>
              </w:rPr>
            </w:pPr>
            <w:r w:rsidRPr="00AD475B">
              <w:rPr>
                <w:rFonts w:ascii="Times New Roman" w:hAnsi="Times New Roman"/>
                <w:color w:val="000000"/>
                <w:lang w:eastAsia="ru-RU"/>
              </w:rPr>
              <w:t>41 250</w:t>
            </w:r>
          </w:p>
        </w:tc>
        <w:tc>
          <w:tcPr>
            <w:tcW w:w="2410" w:type="dxa"/>
            <w:vAlign w:val="center"/>
          </w:tcPr>
          <w:p w:rsidR="002D1E45" w:rsidRPr="00B6240F" w:rsidRDefault="002D1E45" w:rsidP="00AD475B">
            <w:pPr>
              <w:spacing w:after="0" w:line="240" w:lineRule="auto"/>
              <w:jc w:val="center"/>
              <w:rPr>
                <w:rFonts w:ascii="Times New Roman" w:hAnsi="Times New Roman"/>
                <w:color w:val="000000"/>
                <w:lang w:eastAsia="ru-RU"/>
              </w:rPr>
            </w:pPr>
            <w:r w:rsidRPr="00AD475B">
              <w:rPr>
                <w:rFonts w:ascii="Times New Roman" w:hAnsi="Times New Roman"/>
                <w:color w:val="000000"/>
                <w:lang w:eastAsia="ru-RU"/>
              </w:rPr>
              <w:t>456</w:t>
            </w:r>
          </w:p>
        </w:tc>
      </w:tr>
      <w:tr w:rsidR="002D1E45" w:rsidRPr="00D55283" w:rsidTr="00AF7759">
        <w:trPr>
          <w:trHeight w:val="170"/>
          <w:jc w:val="center"/>
        </w:trPr>
        <w:tc>
          <w:tcPr>
            <w:tcW w:w="3256" w:type="dxa"/>
            <w:vAlign w:val="center"/>
          </w:tcPr>
          <w:p w:rsidR="002D1E45" w:rsidRPr="00D55283" w:rsidRDefault="002D1E45" w:rsidP="00AD475B">
            <w:pPr>
              <w:spacing w:after="0" w:line="240" w:lineRule="auto"/>
              <w:rPr>
                <w:rFonts w:ascii="Times New Roman" w:hAnsi="Times New Roman"/>
                <w:color w:val="000000"/>
                <w:lang w:eastAsia="ru-RU"/>
              </w:rPr>
            </w:pPr>
            <w:r w:rsidRPr="00D55283">
              <w:rPr>
                <w:rFonts w:ascii="Times New Roman" w:hAnsi="Times New Roman"/>
                <w:color w:val="000000"/>
                <w:lang w:eastAsia="ru-RU"/>
              </w:rPr>
              <w:t>Расчётный срок</w:t>
            </w:r>
          </w:p>
        </w:tc>
        <w:tc>
          <w:tcPr>
            <w:tcW w:w="1381" w:type="dxa"/>
            <w:vAlign w:val="center"/>
          </w:tcPr>
          <w:p w:rsidR="002D1E45" w:rsidRPr="00B6240F" w:rsidRDefault="002D1E45" w:rsidP="00AD475B">
            <w:pPr>
              <w:spacing w:after="0" w:line="240" w:lineRule="auto"/>
              <w:jc w:val="center"/>
              <w:rPr>
                <w:rFonts w:ascii="Times New Roman" w:hAnsi="Times New Roman"/>
                <w:color w:val="000000"/>
                <w:lang w:eastAsia="ru-RU"/>
              </w:rPr>
            </w:pPr>
            <w:r w:rsidRPr="00AD475B">
              <w:rPr>
                <w:rFonts w:ascii="Times New Roman" w:hAnsi="Times New Roman"/>
                <w:color w:val="000000"/>
                <w:lang w:eastAsia="ru-RU"/>
              </w:rPr>
              <w:t>1 718</w:t>
            </w:r>
          </w:p>
        </w:tc>
        <w:tc>
          <w:tcPr>
            <w:tcW w:w="887" w:type="dxa"/>
            <w:vAlign w:val="center"/>
          </w:tcPr>
          <w:p w:rsidR="002D1E45" w:rsidRPr="00B6240F" w:rsidRDefault="002D1E45" w:rsidP="00AD475B">
            <w:pPr>
              <w:spacing w:after="0" w:line="240" w:lineRule="auto"/>
              <w:jc w:val="center"/>
              <w:rPr>
                <w:rFonts w:ascii="Times New Roman" w:hAnsi="Times New Roman"/>
                <w:color w:val="000000"/>
                <w:lang w:eastAsia="ru-RU"/>
              </w:rPr>
            </w:pPr>
            <w:r w:rsidRPr="00AD475B">
              <w:rPr>
                <w:rFonts w:ascii="Times New Roman" w:hAnsi="Times New Roman"/>
                <w:color w:val="000000"/>
                <w:lang w:eastAsia="ru-RU"/>
              </w:rPr>
              <w:t>20 614</w:t>
            </w:r>
          </w:p>
        </w:tc>
        <w:tc>
          <w:tcPr>
            <w:tcW w:w="958" w:type="dxa"/>
            <w:vAlign w:val="center"/>
          </w:tcPr>
          <w:p w:rsidR="002D1E45" w:rsidRPr="009A3CCC" w:rsidRDefault="002D1E45" w:rsidP="00AD475B">
            <w:pPr>
              <w:spacing w:after="0" w:line="240" w:lineRule="auto"/>
              <w:jc w:val="center"/>
              <w:rPr>
                <w:rFonts w:ascii="Times New Roman" w:hAnsi="Times New Roman"/>
                <w:color w:val="000000"/>
                <w:lang w:eastAsia="ru-RU"/>
              </w:rPr>
            </w:pPr>
            <w:r w:rsidRPr="00AD475B">
              <w:rPr>
                <w:rFonts w:ascii="Times New Roman" w:hAnsi="Times New Roman"/>
                <w:color w:val="000000"/>
                <w:lang w:eastAsia="ru-RU"/>
              </w:rPr>
              <w:t>124 855</w:t>
            </w:r>
          </w:p>
        </w:tc>
        <w:tc>
          <w:tcPr>
            <w:tcW w:w="1559" w:type="dxa"/>
            <w:vAlign w:val="center"/>
          </w:tcPr>
          <w:p w:rsidR="002D1E45" w:rsidRPr="00B6240F" w:rsidRDefault="002D1E45" w:rsidP="00AD475B">
            <w:pPr>
              <w:spacing w:after="0" w:line="240" w:lineRule="auto"/>
              <w:jc w:val="center"/>
              <w:rPr>
                <w:rFonts w:ascii="Times New Roman" w:hAnsi="Times New Roman"/>
                <w:color w:val="000000"/>
                <w:lang w:eastAsia="ru-RU"/>
              </w:rPr>
            </w:pPr>
            <w:r w:rsidRPr="00AD475B">
              <w:rPr>
                <w:rFonts w:ascii="Times New Roman" w:hAnsi="Times New Roman"/>
                <w:color w:val="000000"/>
                <w:lang w:eastAsia="ru-RU"/>
              </w:rPr>
              <w:t>38 950</w:t>
            </w:r>
          </w:p>
        </w:tc>
        <w:tc>
          <w:tcPr>
            <w:tcW w:w="2410" w:type="dxa"/>
            <w:vAlign w:val="center"/>
          </w:tcPr>
          <w:p w:rsidR="002D1E45" w:rsidRPr="00B6240F" w:rsidRDefault="002D1E45" w:rsidP="00AD475B">
            <w:pPr>
              <w:spacing w:after="0" w:line="240" w:lineRule="auto"/>
              <w:jc w:val="center"/>
              <w:rPr>
                <w:rFonts w:ascii="Times New Roman" w:hAnsi="Times New Roman"/>
                <w:color w:val="000000"/>
                <w:lang w:eastAsia="ru-RU"/>
              </w:rPr>
            </w:pPr>
            <w:r w:rsidRPr="00AD475B">
              <w:rPr>
                <w:rFonts w:ascii="Times New Roman" w:hAnsi="Times New Roman"/>
                <w:color w:val="000000"/>
                <w:lang w:eastAsia="ru-RU"/>
              </w:rPr>
              <w:t>529</w:t>
            </w:r>
          </w:p>
        </w:tc>
      </w:tr>
    </w:tbl>
    <w:p w:rsidR="002D1E45" w:rsidRPr="003A7901" w:rsidRDefault="002D1E45" w:rsidP="003E483E">
      <w:pPr>
        <w:spacing w:after="0" w:line="240" w:lineRule="auto"/>
        <w:ind w:firstLine="709"/>
        <w:jc w:val="both"/>
        <w:rPr>
          <w:rFonts w:ascii="Times New Roman" w:hAnsi="Times New Roman"/>
          <w:color w:val="000000"/>
          <w:sz w:val="28"/>
          <w:szCs w:val="28"/>
        </w:rPr>
      </w:pPr>
    </w:p>
    <w:p w:rsidR="002D1E45" w:rsidRPr="003A7901" w:rsidRDefault="002D1E45" w:rsidP="003E483E">
      <w:pPr>
        <w:spacing w:after="0" w:line="240" w:lineRule="auto"/>
        <w:ind w:firstLine="709"/>
        <w:jc w:val="both"/>
        <w:rPr>
          <w:rFonts w:ascii="Times New Roman" w:hAnsi="Times New Roman"/>
          <w:color w:val="000000"/>
          <w:sz w:val="28"/>
          <w:szCs w:val="28"/>
        </w:rPr>
      </w:pPr>
      <w:r w:rsidRPr="003A7901">
        <w:rPr>
          <w:rFonts w:ascii="Times New Roman" w:hAnsi="Times New Roman"/>
          <w:sz w:val="28"/>
          <w:szCs w:val="28"/>
        </w:rPr>
        <w:t>С учётом плотности</w:t>
      </w:r>
      <w:r>
        <w:rPr>
          <w:rStyle w:val="FootnoteReference"/>
          <w:rFonts w:ascii="Times New Roman" w:hAnsi="Times New Roman"/>
          <w:sz w:val="28"/>
          <w:szCs w:val="28"/>
        </w:rPr>
        <w:footnoteReference w:id="14"/>
      </w:r>
      <w:r w:rsidRPr="003A7901">
        <w:rPr>
          <w:rFonts w:ascii="Times New Roman" w:hAnsi="Times New Roman"/>
          <w:sz w:val="28"/>
          <w:szCs w:val="28"/>
        </w:rPr>
        <w:t xml:space="preserve"> в</w:t>
      </w:r>
      <w:r>
        <w:rPr>
          <w:rFonts w:ascii="Times New Roman" w:hAnsi="Times New Roman"/>
          <w:sz w:val="28"/>
          <w:szCs w:val="28"/>
        </w:rPr>
        <w:t> </w:t>
      </w:r>
      <w:r w:rsidRPr="003A7901">
        <w:rPr>
          <w:rFonts w:ascii="Times New Roman" w:hAnsi="Times New Roman"/>
          <w:sz w:val="28"/>
          <w:szCs w:val="28"/>
        </w:rPr>
        <w:t xml:space="preserve">контейнерах (на площадках </w:t>
      </w:r>
      <w:r w:rsidRPr="00BB77E4">
        <w:rPr>
          <w:rFonts w:ascii="Times New Roman" w:hAnsi="Times New Roman"/>
          <w:sz w:val="28"/>
          <w:szCs w:val="28"/>
        </w:rPr>
        <w:t>временного накопления</w:t>
      </w:r>
      <w:r>
        <w:rPr>
          <w:rFonts w:ascii="Times New Roman" w:hAnsi="Times New Roman"/>
          <w:sz w:val="28"/>
          <w:szCs w:val="28"/>
        </w:rPr>
        <w:t xml:space="preserve"> ТКО</w:t>
      </w:r>
      <w:r w:rsidRPr="003A7901">
        <w:rPr>
          <w:rFonts w:ascii="Times New Roman" w:hAnsi="Times New Roman"/>
          <w:sz w:val="28"/>
          <w:szCs w:val="28"/>
        </w:rPr>
        <w:t xml:space="preserve">) </w:t>
      </w:r>
      <w:r>
        <w:rPr>
          <w:rFonts w:ascii="Times New Roman" w:hAnsi="Times New Roman"/>
          <w:sz w:val="28"/>
          <w:szCs w:val="28"/>
        </w:rPr>
        <w:t>165</w:t>
      </w:r>
      <w:r w:rsidRPr="003A7901">
        <w:rPr>
          <w:rFonts w:ascii="Times New Roman" w:hAnsi="Times New Roman"/>
          <w:sz w:val="28"/>
          <w:szCs w:val="28"/>
        </w:rPr>
        <w:t xml:space="preserve"> кг/м</w:t>
      </w:r>
      <w:r w:rsidRPr="003A7901">
        <w:rPr>
          <w:rFonts w:ascii="Times New Roman" w:hAnsi="Times New Roman"/>
          <w:sz w:val="28"/>
          <w:szCs w:val="28"/>
          <w:vertAlign w:val="superscript"/>
        </w:rPr>
        <w:t>3</w:t>
      </w:r>
      <w:r w:rsidRPr="003A7901">
        <w:rPr>
          <w:rFonts w:ascii="Times New Roman" w:hAnsi="Times New Roman"/>
          <w:sz w:val="28"/>
          <w:szCs w:val="28"/>
        </w:rPr>
        <w:t xml:space="preserve">, на 1 очередь объём накопления может составить </w:t>
      </w:r>
      <w:r>
        <w:rPr>
          <w:rFonts w:ascii="Times New Roman" w:hAnsi="Times New Roman"/>
          <w:sz w:val="28"/>
          <w:szCs w:val="28"/>
        </w:rPr>
        <w:t>113,9 тыс.</w:t>
      </w:r>
      <w:r w:rsidRPr="003A7901">
        <w:rPr>
          <w:rFonts w:ascii="Times New Roman" w:hAnsi="Times New Roman"/>
          <w:sz w:val="28"/>
          <w:szCs w:val="28"/>
        </w:rPr>
        <w:t xml:space="preserve"> м</w:t>
      </w:r>
      <w:r w:rsidRPr="003A7901">
        <w:rPr>
          <w:rFonts w:ascii="Times New Roman" w:hAnsi="Times New Roman"/>
          <w:sz w:val="28"/>
          <w:szCs w:val="28"/>
          <w:vertAlign w:val="superscript"/>
        </w:rPr>
        <w:t>3</w:t>
      </w:r>
      <w:r w:rsidRPr="003A7901">
        <w:rPr>
          <w:rFonts w:ascii="Times New Roman" w:hAnsi="Times New Roman"/>
          <w:sz w:val="28"/>
          <w:szCs w:val="28"/>
        </w:rPr>
        <w:t>/год, на</w:t>
      </w:r>
      <w:r>
        <w:rPr>
          <w:rFonts w:ascii="Times New Roman" w:hAnsi="Times New Roman"/>
          <w:sz w:val="28"/>
          <w:szCs w:val="28"/>
        </w:rPr>
        <w:t> </w:t>
      </w:r>
      <w:r w:rsidRPr="003A7901">
        <w:rPr>
          <w:rFonts w:ascii="Times New Roman" w:hAnsi="Times New Roman"/>
          <w:sz w:val="28"/>
          <w:szCs w:val="28"/>
        </w:rPr>
        <w:t xml:space="preserve">расчётный срок – </w:t>
      </w:r>
      <w:r>
        <w:rPr>
          <w:rFonts w:ascii="Times New Roman" w:hAnsi="Times New Roman"/>
          <w:sz w:val="28"/>
          <w:szCs w:val="28"/>
        </w:rPr>
        <w:t>124,9 тыс.</w:t>
      </w:r>
      <w:r w:rsidRPr="003A7901">
        <w:rPr>
          <w:rFonts w:ascii="Times New Roman" w:hAnsi="Times New Roman"/>
          <w:sz w:val="28"/>
          <w:szCs w:val="28"/>
        </w:rPr>
        <w:t xml:space="preserve"> м</w:t>
      </w:r>
      <w:r w:rsidRPr="003A7901">
        <w:rPr>
          <w:rFonts w:ascii="Times New Roman" w:hAnsi="Times New Roman"/>
          <w:sz w:val="28"/>
          <w:szCs w:val="28"/>
          <w:vertAlign w:val="superscript"/>
        </w:rPr>
        <w:t>3</w:t>
      </w:r>
      <w:r w:rsidRPr="003A7901">
        <w:rPr>
          <w:rFonts w:ascii="Times New Roman" w:hAnsi="Times New Roman"/>
          <w:sz w:val="28"/>
          <w:szCs w:val="28"/>
        </w:rPr>
        <w:t>/год.</w:t>
      </w:r>
    </w:p>
    <w:p w:rsidR="002D1E45" w:rsidRPr="007D150B" w:rsidRDefault="002D1E45" w:rsidP="006479FB">
      <w:pPr>
        <w:autoSpaceDE w:val="0"/>
        <w:autoSpaceDN w:val="0"/>
        <w:adjustRightInd w:val="0"/>
        <w:spacing w:after="0" w:line="240" w:lineRule="auto"/>
        <w:ind w:firstLine="709"/>
        <w:jc w:val="right"/>
        <w:rPr>
          <w:rFonts w:ascii="Times New Roman" w:hAnsi="Times New Roman"/>
          <w:sz w:val="28"/>
          <w:szCs w:val="24"/>
          <w:lang w:eastAsia="ru-RU"/>
        </w:rPr>
      </w:pPr>
      <w:r w:rsidRPr="007D150B">
        <w:rPr>
          <w:rFonts w:ascii="Times New Roman" w:hAnsi="Times New Roman"/>
          <w:sz w:val="28"/>
          <w:szCs w:val="24"/>
          <w:lang w:eastAsia="ru-RU"/>
        </w:rPr>
        <w:t xml:space="preserve">Таблица </w:t>
      </w:r>
      <w:r w:rsidRPr="007D150B">
        <w:rPr>
          <w:rFonts w:ascii="Times New Roman" w:hAnsi="Times New Roman"/>
          <w:sz w:val="28"/>
          <w:szCs w:val="24"/>
        </w:rPr>
        <w:fldChar w:fldCharType="begin"/>
      </w:r>
      <w:r w:rsidRPr="007D150B">
        <w:rPr>
          <w:rFonts w:ascii="Times New Roman" w:hAnsi="Times New Roman"/>
          <w:sz w:val="28"/>
          <w:szCs w:val="24"/>
        </w:rPr>
        <w:instrText xml:space="preserve"> SEQ Таблица \* ARABIC </w:instrText>
      </w:r>
      <w:r w:rsidRPr="007D150B">
        <w:rPr>
          <w:rFonts w:ascii="Times New Roman" w:hAnsi="Times New Roman"/>
          <w:sz w:val="28"/>
          <w:szCs w:val="24"/>
        </w:rPr>
        <w:fldChar w:fldCharType="separate"/>
      </w:r>
      <w:r>
        <w:rPr>
          <w:rFonts w:ascii="Times New Roman" w:hAnsi="Times New Roman"/>
          <w:noProof/>
          <w:sz w:val="28"/>
          <w:szCs w:val="24"/>
        </w:rPr>
        <w:t>67</w:t>
      </w:r>
      <w:r w:rsidRPr="007D150B">
        <w:rPr>
          <w:rFonts w:ascii="Times New Roman" w:hAnsi="Times New Roman"/>
          <w:sz w:val="28"/>
          <w:szCs w:val="24"/>
        </w:rPr>
        <w:fldChar w:fldCharType="end"/>
      </w:r>
    </w:p>
    <w:p w:rsidR="002D1E45" w:rsidRPr="007D150B" w:rsidRDefault="002D1E45" w:rsidP="003E483E">
      <w:pPr>
        <w:tabs>
          <w:tab w:val="left" w:pos="1418"/>
        </w:tabs>
        <w:spacing w:line="240" w:lineRule="auto"/>
        <w:jc w:val="center"/>
        <w:rPr>
          <w:rFonts w:ascii="Times New Roman" w:hAnsi="Times New Roman"/>
          <w:sz w:val="28"/>
          <w:szCs w:val="24"/>
          <w:lang w:eastAsia="ru-RU"/>
        </w:rPr>
      </w:pPr>
      <w:r w:rsidRPr="007D150B">
        <w:rPr>
          <w:rFonts w:ascii="Times New Roman" w:hAnsi="Times New Roman"/>
          <w:sz w:val="28"/>
          <w:szCs w:val="24"/>
          <w:lang w:eastAsia="ru-RU"/>
        </w:rPr>
        <w:t>Расчётная потребность количества и</w:t>
      </w:r>
      <w:r>
        <w:rPr>
          <w:rFonts w:ascii="Times New Roman" w:hAnsi="Times New Roman"/>
          <w:sz w:val="28"/>
          <w:szCs w:val="24"/>
          <w:lang w:eastAsia="ru-RU"/>
        </w:rPr>
        <w:t> </w:t>
      </w:r>
      <w:r w:rsidRPr="007D150B">
        <w:rPr>
          <w:rFonts w:ascii="Times New Roman" w:hAnsi="Times New Roman"/>
          <w:sz w:val="28"/>
          <w:szCs w:val="24"/>
          <w:lang w:eastAsia="ru-RU"/>
        </w:rPr>
        <w:t>видов контейнеров для обеспечения сбора твёрдых коммунальных отходов на</w:t>
      </w:r>
      <w:r>
        <w:rPr>
          <w:rFonts w:ascii="Times New Roman" w:hAnsi="Times New Roman"/>
          <w:sz w:val="28"/>
          <w:szCs w:val="24"/>
          <w:lang w:eastAsia="ru-RU"/>
        </w:rPr>
        <w:t> </w:t>
      </w:r>
      <w:r w:rsidRPr="007D150B">
        <w:rPr>
          <w:rFonts w:ascii="Times New Roman" w:hAnsi="Times New Roman"/>
          <w:sz w:val="28"/>
          <w:szCs w:val="24"/>
          <w:lang w:eastAsia="ru-RU"/>
        </w:rPr>
        <w:t>расчётный срок</w:t>
      </w:r>
    </w:p>
    <w:tbl>
      <w:tblPr>
        <w:tblW w:w="10348" w:type="dxa"/>
        <w:jc w:val="center"/>
        <w:tblLayout w:type="fixed"/>
        <w:tblLook w:val="00A0"/>
      </w:tblPr>
      <w:tblGrid>
        <w:gridCol w:w="2263"/>
        <w:gridCol w:w="1844"/>
        <w:gridCol w:w="1135"/>
        <w:gridCol w:w="1509"/>
        <w:gridCol w:w="1055"/>
        <w:gridCol w:w="982"/>
        <w:gridCol w:w="1560"/>
      </w:tblGrid>
      <w:tr w:rsidR="002D1E45" w:rsidRPr="00786A04" w:rsidTr="00016F5A">
        <w:trPr>
          <w:trHeight w:val="170"/>
          <w:tblHeader/>
          <w:jc w:val="center"/>
        </w:trPr>
        <w:tc>
          <w:tcPr>
            <w:tcW w:w="2263" w:type="dxa"/>
            <w:vMerge w:val="restart"/>
            <w:tcBorders>
              <w:top w:val="single" w:sz="4" w:space="0" w:color="auto"/>
              <w:left w:val="single" w:sz="4" w:space="0" w:color="auto"/>
              <w:bottom w:val="nil"/>
              <w:right w:val="single" w:sz="4" w:space="0" w:color="auto"/>
            </w:tcBorders>
            <w:tcMar>
              <w:top w:w="15" w:type="dxa"/>
              <w:left w:w="108" w:type="dxa"/>
              <w:bottom w:w="15" w:type="dxa"/>
              <w:right w:w="108" w:type="dxa"/>
            </w:tcMar>
            <w:vAlign w:val="center"/>
          </w:tcPr>
          <w:p w:rsidR="002D1E45" w:rsidRPr="00786A04" w:rsidRDefault="002D1E45" w:rsidP="001455DE">
            <w:pPr>
              <w:spacing w:after="0" w:line="240" w:lineRule="auto"/>
              <w:jc w:val="center"/>
              <w:rPr>
                <w:rFonts w:ascii="Times New Roman" w:hAnsi="Times New Roman"/>
                <w:color w:val="000000"/>
                <w:lang w:eastAsia="ru-RU"/>
              </w:rPr>
            </w:pPr>
            <w:r w:rsidRPr="00786A04">
              <w:rPr>
                <w:rFonts w:ascii="Times New Roman" w:hAnsi="Times New Roman"/>
                <w:color w:val="000000"/>
                <w:lang w:eastAsia="ru-RU"/>
              </w:rPr>
              <w:t>Наименование</w:t>
            </w:r>
            <w:r>
              <w:rPr>
                <w:rFonts w:ascii="Times New Roman" w:hAnsi="Times New Roman"/>
                <w:color w:val="000000"/>
                <w:lang w:eastAsia="ru-RU"/>
              </w:rPr>
              <w:t xml:space="preserve"> населённого пункта</w:t>
            </w:r>
          </w:p>
        </w:tc>
        <w:tc>
          <w:tcPr>
            <w:tcW w:w="1844" w:type="dxa"/>
            <w:vMerge w:val="restart"/>
            <w:tcBorders>
              <w:top w:val="single" w:sz="4" w:space="0" w:color="auto"/>
              <w:left w:val="single" w:sz="4" w:space="0" w:color="auto"/>
              <w:bottom w:val="nil"/>
              <w:right w:val="single" w:sz="4" w:space="0" w:color="auto"/>
            </w:tcBorders>
            <w:tcMar>
              <w:top w:w="15" w:type="dxa"/>
              <w:left w:w="108" w:type="dxa"/>
              <w:bottom w:w="15" w:type="dxa"/>
              <w:right w:w="108" w:type="dxa"/>
            </w:tcMar>
            <w:vAlign w:val="center"/>
          </w:tcPr>
          <w:p w:rsidR="002D1E45" w:rsidRPr="00786A04" w:rsidRDefault="002D1E45" w:rsidP="001455DE">
            <w:pPr>
              <w:spacing w:after="0" w:line="240" w:lineRule="auto"/>
              <w:jc w:val="center"/>
              <w:rPr>
                <w:rFonts w:ascii="Times New Roman" w:hAnsi="Times New Roman"/>
                <w:color w:val="000000"/>
                <w:lang w:eastAsia="ru-RU"/>
              </w:rPr>
            </w:pPr>
            <w:r w:rsidRPr="00786A04">
              <w:rPr>
                <w:rFonts w:ascii="Times New Roman" w:hAnsi="Times New Roman"/>
                <w:color w:val="000000"/>
                <w:lang w:eastAsia="ru-RU"/>
              </w:rPr>
              <w:t>Население</w:t>
            </w:r>
            <w:r>
              <w:rPr>
                <w:rFonts w:ascii="Times New Roman" w:hAnsi="Times New Roman"/>
                <w:color w:val="000000"/>
                <w:lang w:eastAsia="ru-RU"/>
              </w:rPr>
              <w:t>, чел.</w:t>
            </w:r>
          </w:p>
        </w:tc>
        <w:tc>
          <w:tcPr>
            <w:tcW w:w="1135" w:type="dxa"/>
            <w:vMerge w:val="restart"/>
            <w:tcBorders>
              <w:top w:val="single" w:sz="4" w:space="0" w:color="auto"/>
              <w:left w:val="single" w:sz="4" w:space="0" w:color="auto"/>
              <w:bottom w:val="nil"/>
              <w:right w:val="single" w:sz="4" w:space="0" w:color="auto"/>
            </w:tcBorders>
            <w:tcMar>
              <w:top w:w="15" w:type="dxa"/>
              <w:left w:w="108" w:type="dxa"/>
              <w:bottom w:w="15" w:type="dxa"/>
              <w:right w:w="108" w:type="dxa"/>
            </w:tcMar>
            <w:vAlign w:val="center"/>
          </w:tcPr>
          <w:p w:rsidR="002D1E45" w:rsidRPr="00786A04" w:rsidRDefault="002D1E45" w:rsidP="001455DE">
            <w:pPr>
              <w:spacing w:after="0" w:line="240" w:lineRule="auto"/>
              <w:jc w:val="center"/>
              <w:rPr>
                <w:rFonts w:ascii="Times New Roman" w:hAnsi="Times New Roman"/>
                <w:color w:val="000000"/>
                <w:lang w:eastAsia="ru-RU"/>
              </w:rPr>
            </w:pPr>
            <w:r w:rsidRPr="00786A04">
              <w:rPr>
                <w:rFonts w:ascii="Times New Roman" w:hAnsi="Times New Roman"/>
                <w:color w:val="000000"/>
                <w:lang w:eastAsia="ru-RU"/>
              </w:rPr>
              <w:t>Объем отходов в</w:t>
            </w:r>
            <w:r>
              <w:rPr>
                <w:rFonts w:ascii="Times New Roman" w:hAnsi="Times New Roman"/>
                <w:color w:val="000000"/>
                <w:lang w:eastAsia="ru-RU"/>
              </w:rPr>
              <w:t> </w:t>
            </w:r>
            <w:r w:rsidRPr="00786A04">
              <w:rPr>
                <w:rFonts w:ascii="Times New Roman" w:hAnsi="Times New Roman"/>
                <w:color w:val="000000"/>
                <w:lang w:eastAsia="ru-RU"/>
              </w:rPr>
              <w:t>месяц, м</w:t>
            </w:r>
            <w:r w:rsidRPr="00786A04">
              <w:rPr>
                <w:rFonts w:ascii="Times New Roman" w:hAnsi="Times New Roman"/>
                <w:color w:val="000000"/>
                <w:vertAlign w:val="superscript"/>
                <w:lang w:eastAsia="ru-RU"/>
              </w:rPr>
              <w:t>3</w:t>
            </w:r>
          </w:p>
        </w:tc>
        <w:tc>
          <w:tcPr>
            <w:tcW w:w="3546" w:type="dxa"/>
            <w:gridSpan w:val="3"/>
            <w:tcBorders>
              <w:top w:val="single" w:sz="4" w:space="0" w:color="auto"/>
              <w:left w:val="single" w:sz="4" w:space="0" w:color="auto"/>
              <w:bottom w:val="single" w:sz="4" w:space="0" w:color="auto"/>
              <w:right w:val="nil"/>
            </w:tcBorders>
            <w:tcMar>
              <w:top w:w="15" w:type="dxa"/>
              <w:left w:w="108" w:type="dxa"/>
              <w:bottom w:w="15" w:type="dxa"/>
              <w:right w:w="108" w:type="dxa"/>
            </w:tcMar>
            <w:vAlign w:val="center"/>
          </w:tcPr>
          <w:p w:rsidR="002D1E45" w:rsidRPr="00786A04" w:rsidRDefault="002D1E45" w:rsidP="001455DE">
            <w:pPr>
              <w:spacing w:after="0" w:line="240" w:lineRule="auto"/>
              <w:jc w:val="center"/>
              <w:rPr>
                <w:rFonts w:ascii="Times New Roman" w:hAnsi="Times New Roman"/>
                <w:color w:val="000000"/>
                <w:lang w:eastAsia="ru-RU"/>
              </w:rPr>
            </w:pPr>
            <w:r w:rsidRPr="00786A04">
              <w:rPr>
                <w:rFonts w:ascii="Times New Roman" w:hAnsi="Times New Roman"/>
                <w:color w:val="000000"/>
                <w:lang w:eastAsia="ru-RU"/>
              </w:rPr>
              <w:t>Контейнеры</w:t>
            </w:r>
          </w:p>
        </w:tc>
        <w:tc>
          <w:tcPr>
            <w:tcW w:w="1560" w:type="dxa"/>
            <w:vMerge w:val="restart"/>
            <w:tcBorders>
              <w:top w:val="single" w:sz="4" w:space="0" w:color="auto"/>
              <w:left w:val="single" w:sz="4" w:space="0" w:color="auto"/>
              <w:bottom w:val="nil"/>
              <w:right w:val="single" w:sz="4" w:space="0" w:color="auto"/>
            </w:tcBorders>
            <w:tcMar>
              <w:top w:w="15" w:type="dxa"/>
              <w:left w:w="108" w:type="dxa"/>
              <w:bottom w:w="15" w:type="dxa"/>
              <w:right w:w="108" w:type="dxa"/>
            </w:tcMar>
            <w:vAlign w:val="center"/>
          </w:tcPr>
          <w:p w:rsidR="002D1E45" w:rsidRPr="00786A04" w:rsidRDefault="002D1E45" w:rsidP="001455DE">
            <w:pPr>
              <w:spacing w:after="0" w:line="240" w:lineRule="auto"/>
              <w:jc w:val="center"/>
              <w:rPr>
                <w:rFonts w:ascii="Times New Roman" w:hAnsi="Times New Roman"/>
                <w:color w:val="000000"/>
                <w:lang w:eastAsia="ru-RU"/>
              </w:rPr>
            </w:pPr>
            <w:r w:rsidRPr="00786A04">
              <w:rPr>
                <w:rFonts w:ascii="Times New Roman" w:hAnsi="Times New Roman"/>
                <w:color w:val="000000"/>
                <w:lang w:eastAsia="ru-RU"/>
              </w:rPr>
              <w:t>Общий объем контейнеров, м</w:t>
            </w:r>
            <w:r w:rsidRPr="00786A04">
              <w:rPr>
                <w:rFonts w:ascii="Times New Roman" w:hAnsi="Times New Roman"/>
                <w:color w:val="000000"/>
                <w:vertAlign w:val="superscript"/>
                <w:lang w:eastAsia="ru-RU"/>
              </w:rPr>
              <w:t>3</w:t>
            </w:r>
          </w:p>
        </w:tc>
      </w:tr>
      <w:tr w:rsidR="002D1E45" w:rsidRPr="00786A04" w:rsidTr="00016F5A">
        <w:trPr>
          <w:trHeight w:val="170"/>
          <w:tblHeader/>
          <w:jc w:val="center"/>
        </w:trPr>
        <w:tc>
          <w:tcPr>
            <w:tcW w:w="2263" w:type="dxa"/>
            <w:vMerge/>
            <w:tcBorders>
              <w:top w:val="single" w:sz="4" w:space="0" w:color="auto"/>
              <w:left w:val="single" w:sz="4" w:space="0" w:color="auto"/>
              <w:bottom w:val="nil"/>
              <w:right w:val="single" w:sz="4" w:space="0" w:color="auto"/>
            </w:tcBorders>
            <w:vAlign w:val="center"/>
          </w:tcPr>
          <w:p w:rsidR="002D1E45" w:rsidRPr="00786A04" w:rsidRDefault="002D1E45" w:rsidP="001455DE">
            <w:pPr>
              <w:spacing w:after="0" w:line="240" w:lineRule="auto"/>
              <w:rPr>
                <w:rFonts w:ascii="Times New Roman" w:hAnsi="Times New Roman"/>
                <w:color w:val="000000"/>
                <w:lang w:eastAsia="ru-RU"/>
              </w:rPr>
            </w:pPr>
          </w:p>
        </w:tc>
        <w:tc>
          <w:tcPr>
            <w:tcW w:w="1844" w:type="dxa"/>
            <w:vMerge/>
            <w:tcBorders>
              <w:top w:val="single" w:sz="4" w:space="0" w:color="auto"/>
              <w:left w:val="single" w:sz="4" w:space="0" w:color="auto"/>
              <w:bottom w:val="nil"/>
              <w:right w:val="single" w:sz="4" w:space="0" w:color="auto"/>
            </w:tcBorders>
            <w:vAlign w:val="center"/>
          </w:tcPr>
          <w:p w:rsidR="002D1E45" w:rsidRPr="00786A04" w:rsidRDefault="002D1E45" w:rsidP="001455DE">
            <w:pPr>
              <w:spacing w:after="0" w:line="240" w:lineRule="auto"/>
              <w:rPr>
                <w:rFonts w:ascii="Times New Roman" w:hAnsi="Times New Roman"/>
                <w:color w:val="000000"/>
                <w:lang w:eastAsia="ru-RU"/>
              </w:rPr>
            </w:pPr>
          </w:p>
        </w:tc>
        <w:tc>
          <w:tcPr>
            <w:tcW w:w="1135" w:type="dxa"/>
            <w:vMerge/>
            <w:tcBorders>
              <w:top w:val="single" w:sz="4" w:space="0" w:color="auto"/>
              <w:left w:val="single" w:sz="4" w:space="0" w:color="auto"/>
              <w:bottom w:val="nil"/>
              <w:right w:val="single" w:sz="4" w:space="0" w:color="auto"/>
            </w:tcBorders>
            <w:vAlign w:val="center"/>
          </w:tcPr>
          <w:p w:rsidR="002D1E45" w:rsidRPr="00786A04" w:rsidRDefault="002D1E45" w:rsidP="001455DE">
            <w:pPr>
              <w:spacing w:after="0" w:line="240" w:lineRule="auto"/>
              <w:rPr>
                <w:rFonts w:ascii="Times New Roman" w:hAnsi="Times New Roman"/>
                <w:color w:val="000000"/>
                <w:lang w:eastAsia="ru-RU"/>
              </w:rPr>
            </w:pPr>
          </w:p>
        </w:tc>
        <w:tc>
          <w:tcPr>
            <w:tcW w:w="1509"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786A04" w:rsidRDefault="002D1E45" w:rsidP="001455DE">
            <w:pPr>
              <w:spacing w:after="0" w:line="240" w:lineRule="auto"/>
              <w:jc w:val="center"/>
              <w:rPr>
                <w:rFonts w:ascii="Times New Roman" w:hAnsi="Times New Roman"/>
                <w:color w:val="000000"/>
                <w:lang w:eastAsia="ru-RU"/>
              </w:rPr>
            </w:pPr>
            <w:r w:rsidRPr="00786A04">
              <w:rPr>
                <w:rFonts w:ascii="Times New Roman" w:hAnsi="Times New Roman"/>
                <w:color w:val="000000"/>
                <w:lang w:eastAsia="ru-RU"/>
              </w:rPr>
              <w:t>тип</w:t>
            </w:r>
          </w:p>
        </w:tc>
        <w:tc>
          <w:tcPr>
            <w:tcW w:w="105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786A04" w:rsidRDefault="002D1E45" w:rsidP="001455DE">
            <w:pPr>
              <w:spacing w:after="0" w:line="240" w:lineRule="auto"/>
              <w:jc w:val="center"/>
              <w:rPr>
                <w:rFonts w:ascii="Times New Roman" w:hAnsi="Times New Roman"/>
                <w:color w:val="000000"/>
                <w:lang w:eastAsia="ru-RU"/>
              </w:rPr>
            </w:pPr>
            <w:r w:rsidRPr="00786A04">
              <w:rPr>
                <w:rFonts w:ascii="Times New Roman" w:hAnsi="Times New Roman"/>
                <w:color w:val="000000"/>
                <w:lang w:eastAsia="ru-RU"/>
              </w:rPr>
              <w:t>объём</w:t>
            </w:r>
          </w:p>
        </w:tc>
        <w:tc>
          <w:tcPr>
            <w:tcW w:w="982"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2D1E45" w:rsidRPr="00786A04" w:rsidRDefault="002D1E45" w:rsidP="001455DE">
            <w:pPr>
              <w:spacing w:after="0" w:line="240" w:lineRule="auto"/>
              <w:jc w:val="center"/>
              <w:rPr>
                <w:rFonts w:ascii="Times New Roman" w:hAnsi="Times New Roman"/>
                <w:color w:val="000000"/>
                <w:lang w:eastAsia="ru-RU"/>
              </w:rPr>
            </w:pPr>
            <w:r w:rsidRPr="00786A04">
              <w:rPr>
                <w:rFonts w:ascii="Times New Roman" w:hAnsi="Times New Roman"/>
                <w:color w:val="000000"/>
                <w:lang w:eastAsia="ru-RU"/>
              </w:rPr>
              <w:t>кол-во</w:t>
            </w:r>
          </w:p>
        </w:tc>
        <w:tc>
          <w:tcPr>
            <w:tcW w:w="1560" w:type="dxa"/>
            <w:vMerge/>
            <w:tcBorders>
              <w:top w:val="single" w:sz="4" w:space="0" w:color="auto"/>
              <w:left w:val="single" w:sz="4" w:space="0" w:color="auto"/>
              <w:bottom w:val="nil"/>
              <w:right w:val="single" w:sz="4" w:space="0" w:color="auto"/>
            </w:tcBorders>
            <w:vAlign w:val="center"/>
          </w:tcPr>
          <w:p w:rsidR="002D1E45" w:rsidRPr="00786A04" w:rsidRDefault="002D1E45" w:rsidP="001455DE">
            <w:pPr>
              <w:spacing w:after="0" w:line="240" w:lineRule="auto"/>
              <w:rPr>
                <w:rFonts w:ascii="Times New Roman" w:hAnsi="Times New Roman"/>
                <w:color w:val="000000"/>
                <w:lang w:eastAsia="ru-RU"/>
              </w:rPr>
            </w:pPr>
          </w:p>
        </w:tc>
      </w:tr>
      <w:tr w:rsidR="002D1E45" w:rsidRPr="00786A04" w:rsidTr="0058793B">
        <w:trPr>
          <w:trHeight w:val="170"/>
          <w:jc w:val="center"/>
        </w:trPr>
        <w:tc>
          <w:tcPr>
            <w:tcW w:w="2263"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tcPr>
          <w:p w:rsidR="002D1E45" w:rsidRPr="006479FB" w:rsidRDefault="002D1E45" w:rsidP="00AD475B">
            <w:pPr>
              <w:spacing w:after="0" w:line="240" w:lineRule="auto"/>
              <w:rPr>
                <w:rFonts w:ascii="Times New Roman" w:hAnsi="Times New Roman"/>
                <w:color w:val="000000"/>
                <w:lang w:eastAsia="ru-RU"/>
              </w:rPr>
            </w:pPr>
            <w:r>
              <w:rPr>
                <w:rFonts w:ascii="Times New Roman" w:hAnsi="Times New Roman"/>
                <w:color w:val="000000"/>
                <w:lang w:eastAsia="ru-RU"/>
              </w:rPr>
              <w:t>г. Куйбышев</w:t>
            </w:r>
          </w:p>
        </w:tc>
        <w:tc>
          <w:tcPr>
            <w:tcW w:w="1844"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tcPr>
          <w:p w:rsidR="002D1E45" w:rsidRPr="009A3CCC" w:rsidRDefault="002D1E45" w:rsidP="00AD475B">
            <w:pPr>
              <w:spacing w:after="0" w:line="240" w:lineRule="auto"/>
              <w:jc w:val="center"/>
              <w:rPr>
                <w:rFonts w:ascii="Times New Roman" w:hAnsi="Times New Roman"/>
                <w:color w:val="000000"/>
                <w:lang w:eastAsia="ru-RU"/>
              </w:rPr>
            </w:pPr>
            <w:r w:rsidRPr="00AD475B">
              <w:rPr>
                <w:rFonts w:ascii="Times New Roman" w:hAnsi="Times New Roman"/>
                <w:color w:val="000000"/>
                <w:lang w:eastAsia="ru-RU"/>
              </w:rPr>
              <w:t>38 950</w:t>
            </w:r>
          </w:p>
        </w:tc>
        <w:tc>
          <w:tcPr>
            <w:tcW w:w="113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tcPr>
          <w:p w:rsidR="002D1E45" w:rsidRPr="009A3CCC" w:rsidRDefault="002D1E45" w:rsidP="00AD475B">
            <w:pPr>
              <w:spacing w:after="0" w:line="240" w:lineRule="auto"/>
              <w:jc w:val="center"/>
              <w:rPr>
                <w:rFonts w:ascii="Times New Roman" w:hAnsi="Times New Roman"/>
                <w:color w:val="000000"/>
                <w:lang w:eastAsia="ru-RU"/>
              </w:rPr>
            </w:pPr>
            <w:r w:rsidRPr="00AD475B">
              <w:rPr>
                <w:rFonts w:ascii="Times New Roman" w:hAnsi="Times New Roman"/>
                <w:color w:val="000000"/>
                <w:lang w:eastAsia="ru-RU"/>
              </w:rPr>
              <w:t>10</w:t>
            </w:r>
            <w:r>
              <w:rPr>
                <w:rFonts w:ascii="Times New Roman" w:hAnsi="Times New Roman"/>
                <w:color w:val="000000"/>
                <w:lang w:eastAsia="ru-RU"/>
              </w:rPr>
              <w:t> </w:t>
            </w:r>
            <w:r w:rsidRPr="00AD475B">
              <w:rPr>
                <w:rFonts w:ascii="Times New Roman" w:hAnsi="Times New Roman"/>
                <w:color w:val="000000"/>
                <w:lang w:eastAsia="ru-RU"/>
              </w:rPr>
              <w:t>404,6</w:t>
            </w:r>
          </w:p>
        </w:tc>
        <w:tc>
          <w:tcPr>
            <w:tcW w:w="1509"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tcPr>
          <w:p w:rsidR="002D1E45" w:rsidRPr="009A3CCC" w:rsidRDefault="002D1E45" w:rsidP="00AD475B">
            <w:pPr>
              <w:spacing w:after="0" w:line="240" w:lineRule="auto"/>
              <w:jc w:val="center"/>
              <w:rPr>
                <w:rFonts w:ascii="Times New Roman" w:hAnsi="Times New Roman"/>
                <w:color w:val="000000"/>
                <w:lang w:eastAsia="ru-RU"/>
              </w:rPr>
            </w:pPr>
            <w:r w:rsidRPr="00AD475B">
              <w:rPr>
                <w:rFonts w:ascii="Times New Roman" w:hAnsi="Times New Roman"/>
                <w:color w:val="000000"/>
                <w:lang w:eastAsia="ru-RU"/>
              </w:rPr>
              <w:t>жел. с крыш.</w:t>
            </w:r>
          </w:p>
        </w:tc>
        <w:tc>
          <w:tcPr>
            <w:tcW w:w="105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tcPr>
          <w:p w:rsidR="002D1E45" w:rsidRPr="009A3CCC" w:rsidRDefault="002D1E45" w:rsidP="00AD475B">
            <w:pPr>
              <w:spacing w:after="0" w:line="240" w:lineRule="auto"/>
              <w:jc w:val="center"/>
              <w:rPr>
                <w:rFonts w:ascii="Times New Roman" w:hAnsi="Times New Roman"/>
                <w:color w:val="000000"/>
                <w:lang w:eastAsia="ru-RU"/>
              </w:rPr>
            </w:pPr>
            <w:r w:rsidRPr="00AD475B">
              <w:rPr>
                <w:rFonts w:ascii="Times New Roman" w:hAnsi="Times New Roman"/>
                <w:color w:val="000000"/>
                <w:lang w:eastAsia="ru-RU"/>
              </w:rPr>
              <w:t>0,75</w:t>
            </w:r>
          </w:p>
        </w:tc>
        <w:tc>
          <w:tcPr>
            <w:tcW w:w="982"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tcPr>
          <w:p w:rsidR="002D1E45" w:rsidRPr="009A3CCC" w:rsidRDefault="002D1E45" w:rsidP="00AD475B">
            <w:pPr>
              <w:spacing w:after="0" w:line="240" w:lineRule="auto"/>
              <w:jc w:val="center"/>
              <w:rPr>
                <w:rFonts w:ascii="Times New Roman" w:hAnsi="Times New Roman"/>
                <w:color w:val="000000"/>
                <w:lang w:eastAsia="ru-RU"/>
              </w:rPr>
            </w:pPr>
            <w:r w:rsidRPr="00AD475B">
              <w:rPr>
                <w:rFonts w:ascii="Times New Roman" w:hAnsi="Times New Roman"/>
                <w:color w:val="000000"/>
                <w:lang w:eastAsia="ru-RU"/>
              </w:rPr>
              <w:t>1</w:t>
            </w:r>
            <w:r>
              <w:rPr>
                <w:rFonts w:ascii="Times New Roman" w:hAnsi="Times New Roman"/>
                <w:color w:val="000000"/>
                <w:lang w:eastAsia="ru-RU"/>
              </w:rPr>
              <w:t> </w:t>
            </w:r>
            <w:r w:rsidRPr="00AD475B">
              <w:rPr>
                <w:rFonts w:ascii="Times New Roman" w:hAnsi="Times New Roman"/>
                <w:color w:val="000000"/>
                <w:lang w:eastAsia="ru-RU"/>
              </w:rPr>
              <w:t>735</w:t>
            </w:r>
          </w:p>
        </w:tc>
        <w:tc>
          <w:tcPr>
            <w:tcW w:w="156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tcPr>
          <w:p w:rsidR="002D1E45" w:rsidRPr="009A3CCC" w:rsidRDefault="002D1E45" w:rsidP="00AD475B">
            <w:pPr>
              <w:spacing w:after="0" w:line="240" w:lineRule="auto"/>
              <w:jc w:val="center"/>
              <w:rPr>
                <w:rFonts w:ascii="Times New Roman" w:hAnsi="Times New Roman"/>
                <w:color w:val="000000"/>
                <w:lang w:eastAsia="ru-RU"/>
              </w:rPr>
            </w:pPr>
            <w:r w:rsidRPr="00AD475B">
              <w:rPr>
                <w:rFonts w:ascii="Times New Roman" w:hAnsi="Times New Roman"/>
                <w:color w:val="000000"/>
                <w:lang w:eastAsia="ru-RU"/>
              </w:rPr>
              <w:t>1</w:t>
            </w:r>
            <w:r>
              <w:rPr>
                <w:rFonts w:ascii="Times New Roman" w:hAnsi="Times New Roman"/>
                <w:color w:val="000000"/>
                <w:lang w:eastAsia="ru-RU"/>
              </w:rPr>
              <w:t> </w:t>
            </w:r>
            <w:r w:rsidRPr="00AD475B">
              <w:rPr>
                <w:rFonts w:ascii="Times New Roman" w:hAnsi="Times New Roman"/>
                <w:color w:val="000000"/>
                <w:lang w:eastAsia="ru-RU"/>
              </w:rPr>
              <w:t>300,6</w:t>
            </w:r>
          </w:p>
        </w:tc>
      </w:tr>
    </w:tbl>
    <w:p w:rsidR="002D1E45" w:rsidRDefault="002D1E45" w:rsidP="007013F4">
      <w:pPr>
        <w:spacing w:after="0" w:line="240" w:lineRule="auto"/>
        <w:ind w:firstLine="709"/>
        <w:jc w:val="both"/>
        <w:rPr>
          <w:rFonts w:ascii="Times New Roman" w:hAnsi="Times New Roman"/>
          <w:color w:val="000000"/>
          <w:sz w:val="28"/>
          <w:szCs w:val="28"/>
        </w:rPr>
      </w:pPr>
    </w:p>
    <w:p w:rsidR="002D1E45" w:rsidRPr="007013F4" w:rsidRDefault="002D1E45" w:rsidP="007013F4">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Транспортирование</w:t>
      </w:r>
      <w:r w:rsidRPr="007013F4">
        <w:rPr>
          <w:rFonts w:ascii="Times New Roman" w:hAnsi="Times New Roman"/>
          <w:color w:val="000000"/>
          <w:sz w:val="28"/>
          <w:szCs w:val="28"/>
        </w:rPr>
        <w:t xml:space="preserve"> опасных отходов должны осуществлять организации, имеющие лицензию, </w:t>
      </w:r>
      <w:r>
        <w:rPr>
          <w:rFonts w:ascii="Times New Roman" w:hAnsi="Times New Roman"/>
          <w:color w:val="000000"/>
          <w:sz w:val="28"/>
          <w:szCs w:val="28"/>
        </w:rPr>
        <w:t>в </w:t>
      </w:r>
      <w:r w:rsidRPr="007013F4">
        <w:rPr>
          <w:rFonts w:ascii="Times New Roman" w:hAnsi="Times New Roman"/>
          <w:color w:val="000000"/>
          <w:sz w:val="28"/>
          <w:szCs w:val="28"/>
        </w:rPr>
        <w:t>соответствии с</w:t>
      </w:r>
      <w:r>
        <w:rPr>
          <w:rFonts w:ascii="Times New Roman" w:hAnsi="Times New Roman"/>
          <w:color w:val="000000"/>
          <w:sz w:val="28"/>
          <w:szCs w:val="28"/>
        </w:rPr>
        <w:t> </w:t>
      </w:r>
      <w:r w:rsidRPr="007013F4">
        <w:rPr>
          <w:rFonts w:ascii="Times New Roman" w:hAnsi="Times New Roman"/>
          <w:color w:val="000000"/>
          <w:sz w:val="28"/>
          <w:szCs w:val="28"/>
        </w:rPr>
        <w:t>требованиями законодательства Российской Федерации.</w:t>
      </w:r>
    </w:p>
    <w:p w:rsidR="002D1E45" w:rsidRDefault="002D1E45" w:rsidP="007013F4">
      <w:pPr>
        <w:spacing w:after="0" w:line="240" w:lineRule="auto"/>
        <w:ind w:firstLine="709"/>
        <w:jc w:val="both"/>
        <w:rPr>
          <w:rFonts w:ascii="Times New Roman" w:hAnsi="Times New Roman"/>
          <w:color w:val="000000"/>
          <w:sz w:val="28"/>
          <w:szCs w:val="28"/>
        </w:rPr>
      </w:pPr>
      <w:r w:rsidRPr="007013F4">
        <w:rPr>
          <w:rFonts w:ascii="Times New Roman" w:hAnsi="Times New Roman"/>
          <w:color w:val="000000"/>
          <w:sz w:val="28"/>
          <w:szCs w:val="28"/>
        </w:rPr>
        <w:t>Политику в</w:t>
      </w:r>
      <w:r>
        <w:rPr>
          <w:rFonts w:ascii="Times New Roman" w:hAnsi="Times New Roman"/>
          <w:color w:val="000000"/>
          <w:sz w:val="28"/>
          <w:szCs w:val="28"/>
        </w:rPr>
        <w:t> </w:t>
      </w:r>
      <w:r w:rsidRPr="007013F4">
        <w:rPr>
          <w:rFonts w:ascii="Times New Roman" w:hAnsi="Times New Roman"/>
          <w:color w:val="000000"/>
          <w:sz w:val="28"/>
          <w:szCs w:val="28"/>
        </w:rPr>
        <w:t>области обращения с</w:t>
      </w:r>
      <w:r>
        <w:rPr>
          <w:rFonts w:ascii="Times New Roman" w:hAnsi="Times New Roman"/>
          <w:color w:val="000000"/>
          <w:sz w:val="28"/>
          <w:szCs w:val="28"/>
        </w:rPr>
        <w:t> </w:t>
      </w:r>
      <w:r w:rsidRPr="007013F4">
        <w:rPr>
          <w:rFonts w:ascii="Times New Roman" w:hAnsi="Times New Roman"/>
          <w:color w:val="000000"/>
          <w:sz w:val="28"/>
          <w:szCs w:val="28"/>
        </w:rPr>
        <w:t>отходами рекомендуется ориентировать на</w:t>
      </w:r>
      <w:r>
        <w:rPr>
          <w:rFonts w:ascii="Times New Roman" w:hAnsi="Times New Roman"/>
          <w:color w:val="000000"/>
          <w:sz w:val="28"/>
          <w:szCs w:val="28"/>
        </w:rPr>
        <w:t> </w:t>
      </w:r>
      <w:r w:rsidRPr="007013F4">
        <w:rPr>
          <w:rFonts w:ascii="Times New Roman" w:hAnsi="Times New Roman"/>
          <w:color w:val="000000"/>
          <w:sz w:val="28"/>
          <w:szCs w:val="28"/>
        </w:rPr>
        <w:t>снижение количества образующихся отходов и</w:t>
      </w:r>
      <w:r>
        <w:rPr>
          <w:rFonts w:ascii="Times New Roman" w:hAnsi="Times New Roman"/>
          <w:color w:val="000000"/>
          <w:sz w:val="28"/>
          <w:szCs w:val="28"/>
        </w:rPr>
        <w:t> </w:t>
      </w:r>
      <w:r w:rsidRPr="007013F4">
        <w:rPr>
          <w:rFonts w:ascii="Times New Roman" w:hAnsi="Times New Roman"/>
          <w:color w:val="000000"/>
          <w:sz w:val="28"/>
          <w:szCs w:val="28"/>
        </w:rPr>
        <w:t>на</w:t>
      </w:r>
      <w:r>
        <w:rPr>
          <w:rFonts w:ascii="Times New Roman" w:hAnsi="Times New Roman"/>
          <w:color w:val="000000"/>
          <w:sz w:val="28"/>
          <w:szCs w:val="28"/>
        </w:rPr>
        <w:t> </w:t>
      </w:r>
      <w:r w:rsidRPr="007013F4">
        <w:rPr>
          <w:rFonts w:ascii="Times New Roman" w:hAnsi="Times New Roman"/>
          <w:color w:val="000000"/>
          <w:sz w:val="28"/>
          <w:szCs w:val="28"/>
        </w:rPr>
        <w:t>их</w:t>
      </w:r>
      <w:r>
        <w:rPr>
          <w:rFonts w:ascii="Times New Roman" w:hAnsi="Times New Roman"/>
          <w:color w:val="000000"/>
          <w:sz w:val="28"/>
          <w:szCs w:val="28"/>
        </w:rPr>
        <w:t> </w:t>
      </w:r>
      <w:r w:rsidRPr="007013F4">
        <w:rPr>
          <w:rFonts w:ascii="Times New Roman" w:hAnsi="Times New Roman"/>
          <w:color w:val="000000"/>
          <w:sz w:val="28"/>
          <w:szCs w:val="28"/>
        </w:rPr>
        <w:t xml:space="preserve">максимальное использование. </w:t>
      </w:r>
    </w:p>
    <w:p w:rsidR="002D1E45" w:rsidRPr="007013F4" w:rsidRDefault="002D1E45" w:rsidP="007013F4">
      <w:pPr>
        <w:spacing w:after="0" w:line="240" w:lineRule="auto"/>
        <w:ind w:firstLine="709"/>
        <w:jc w:val="both"/>
        <w:rPr>
          <w:rFonts w:ascii="Times New Roman" w:hAnsi="Times New Roman"/>
          <w:color w:val="000000"/>
          <w:sz w:val="28"/>
          <w:szCs w:val="28"/>
        </w:rPr>
      </w:pPr>
      <w:r w:rsidRPr="007013F4">
        <w:rPr>
          <w:rFonts w:ascii="Times New Roman" w:hAnsi="Times New Roman"/>
          <w:color w:val="000000"/>
          <w:sz w:val="28"/>
          <w:szCs w:val="28"/>
        </w:rPr>
        <w:t xml:space="preserve">Важнейшей задачей является </w:t>
      </w:r>
      <w:r>
        <w:rPr>
          <w:rFonts w:ascii="Times New Roman" w:hAnsi="Times New Roman"/>
          <w:color w:val="000000"/>
          <w:sz w:val="28"/>
          <w:szCs w:val="28"/>
        </w:rPr>
        <w:t>обработка</w:t>
      </w:r>
      <w:r w:rsidRPr="007013F4">
        <w:rPr>
          <w:rFonts w:ascii="Times New Roman" w:hAnsi="Times New Roman"/>
          <w:color w:val="000000"/>
          <w:sz w:val="28"/>
          <w:szCs w:val="28"/>
        </w:rPr>
        <w:t xml:space="preserve"> отходов перед их</w:t>
      </w:r>
      <w:r>
        <w:rPr>
          <w:rFonts w:ascii="Times New Roman" w:hAnsi="Times New Roman"/>
          <w:color w:val="000000"/>
          <w:sz w:val="28"/>
          <w:szCs w:val="28"/>
        </w:rPr>
        <w:t> захоронением или обезвреживанием</w:t>
      </w:r>
      <w:r w:rsidRPr="007013F4">
        <w:rPr>
          <w:rFonts w:ascii="Times New Roman" w:hAnsi="Times New Roman"/>
          <w:color w:val="000000"/>
          <w:sz w:val="28"/>
          <w:szCs w:val="28"/>
        </w:rPr>
        <w:t xml:space="preserve"> с</w:t>
      </w:r>
      <w:r>
        <w:rPr>
          <w:rFonts w:ascii="Times New Roman" w:hAnsi="Times New Roman"/>
          <w:color w:val="000000"/>
          <w:sz w:val="28"/>
          <w:szCs w:val="28"/>
        </w:rPr>
        <w:t> </w:t>
      </w:r>
      <w:r w:rsidRPr="007013F4">
        <w:rPr>
          <w:rFonts w:ascii="Times New Roman" w:hAnsi="Times New Roman"/>
          <w:color w:val="000000"/>
          <w:sz w:val="28"/>
          <w:szCs w:val="28"/>
        </w:rPr>
        <w:t>целью извлечения полезных и</w:t>
      </w:r>
      <w:r>
        <w:rPr>
          <w:rFonts w:ascii="Times New Roman" w:hAnsi="Times New Roman"/>
          <w:color w:val="000000"/>
          <w:sz w:val="28"/>
          <w:szCs w:val="28"/>
        </w:rPr>
        <w:t> </w:t>
      </w:r>
      <w:r w:rsidRPr="007013F4">
        <w:rPr>
          <w:rFonts w:ascii="Times New Roman" w:hAnsi="Times New Roman"/>
          <w:color w:val="000000"/>
          <w:sz w:val="28"/>
          <w:szCs w:val="28"/>
        </w:rPr>
        <w:t>возможных к</w:t>
      </w:r>
      <w:r>
        <w:rPr>
          <w:rFonts w:ascii="Times New Roman" w:hAnsi="Times New Roman"/>
          <w:color w:val="000000"/>
          <w:sz w:val="28"/>
          <w:szCs w:val="28"/>
        </w:rPr>
        <w:t> </w:t>
      </w:r>
      <w:r w:rsidRPr="007013F4">
        <w:rPr>
          <w:rFonts w:ascii="Times New Roman" w:hAnsi="Times New Roman"/>
          <w:color w:val="000000"/>
          <w:sz w:val="28"/>
          <w:szCs w:val="28"/>
        </w:rPr>
        <w:t>повторному использованию компонентов. Развитие системы селективного сбора ТКО может дать не</w:t>
      </w:r>
      <w:r>
        <w:rPr>
          <w:rFonts w:ascii="Times New Roman" w:hAnsi="Times New Roman"/>
          <w:color w:val="000000"/>
          <w:sz w:val="28"/>
          <w:szCs w:val="28"/>
        </w:rPr>
        <w:t> </w:t>
      </w:r>
      <w:r w:rsidRPr="007013F4">
        <w:rPr>
          <w:rFonts w:ascii="Times New Roman" w:hAnsi="Times New Roman"/>
          <w:color w:val="000000"/>
          <w:sz w:val="28"/>
          <w:szCs w:val="28"/>
        </w:rPr>
        <w:t>только прибыль от</w:t>
      </w:r>
      <w:r>
        <w:rPr>
          <w:rFonts w:ascii="Times New Roman" w:hAnsi="Times New Roman"/>
          <w:color w:val="000000"/>
          <w:sz w:val="28"/>
          <w:szCs w:val="28"/>
        </w:rPr>
        <w:t> </w:t>
      </w:r>
      <w:r w:rsidRPr="007013F4">
        <w:rPr>
          <w:rFonts w:ascii="Times New Roman" w:hAnsi="Times New Roman"/>
          <w:color w:val="000000"/>
          <w:sz w:val="28"/>
          <w:szCs w:val="28"/>
        </w:rPr>
        <w:t>реализации вторсырья, а</w:t>
      </w:r>
      <w:r>
        <w:rPr>
          <w:rFonts w:ascii="Times New Roman" w:hAnsi="Times New Roman"/>
          <w:color w:val="000000"/>
          <w:sz w:val="28"/>
          <w:szCs w:val="28"/>
        </w:rPr>
        <w:t> </w:t>
      </w:r>
      <w:r w:rsidRPr="007013F4">
        <w:rPr>
          <w:rFonts w:ascii="Times New Roman" w:hAnsi="Times New Roman"/>
          <w:color w:val="000000"/>
          <w:sz w:val="28"/>
          <w:szCs w:val="28"/>
        </w:rPr>
        <w:t>главное уменьшить территории, занимаемые под полигон</w:t>
      </w:r>
      <w:r>
        <w:rPr>
          <w:rFonts w:ascii="Times New Roman" w:hAnsi="Times New Roman"/>
          <w:color w:val="000000"/>
          <w:sz w:val="28"/>
          <w:szCs w:val="28"/>
        </w:rPr>
        <w:t>ы ТКО</w:t>
      </w:r>
      <w:r w:rsidRPr="007013F4">
        <w:rPr>
          <w:rFonts w:ascii="Times New Roman" w:hAnsi="Times New Roman"/>
          <w:color w:val="000000"/>
          <w:sz w:val="28"/>
          <w:szCs w:val="28"/>
        </w:rPr>
        <w:t>.</w:t>
      </w:r>
    </w:p>
    <w:p w:rsidR="002D1E45" w:rsidRDefault="002D1E45" w:rsidP="00786A04">
      <w:pPr>
        <w:spacing w:after="0" w:line="240" w:lineRule="auto"/>
        <w:ind w:firstLine="709"/>
        <w:jc w:val="both"/>
        <w:rPr>
          <w:rFonts w:ascii="Times New Roman" w:hAnsi="Times New Roman"/>
          <w:color w:val="000000"/>
          <w:sz w:val="28"/>
          <w:szCs w:val="28"/>
        </w:rPr>
      </w:pPr>
      <w:bookmarkStart w:id="370" w:name="_Hlk494106542"/>
      <w:r>
        <w:rPr>
          <w:rFonts w:ascii="Times New Roman" w:hAnsi="Times New Roman"/>
          <w:color w:val="000000"/>
          <w:sz w:val="28"/>
          <w:szCs w:val="28"/>
        </w:rPr>
        <w:t>В соответствии с территориальной схемой обращения с отходами</w:t>
      </w:r>
      <w:r w:rsidRPr="00AD475B">
        <w:rPr>
          <w:rFonts w:ascii="Times New Roman" w:hAnsi="Times New Roman"/>
          <w:color w:val="000000"/>
          <w:sz w:val="28"/>
          <w:szCs w:val="28"/>
        </w:rPr>
        <w:t>, в том числе с твёрдыми коммунальными отходами, Новосибирской области</w:t>
      </w:r>
      <w:r>
        <w:rPr>
          <w:rFonts w:ascii="Times New Roman" w:hAnsi="Times New Roman"/>
          <w:color w:val="000000"/>
          <w:sz w:val="28"/>
          <w:szCs w:val="28"/>
        </w:rPr>
        <w:t xml:space="preserve">, </w:t>
      </w:r>
      <w:r w:rsidRPr="00014152">
        <w:rPr>
          <w:rFonts w:ascii="Times New Roman" w:hAnsi="Times New Roman"/>
          <w:color w:val="000000"/>
          <w:sz w:val="28"/>
          <w:szCs w:val="28"/>
        </w:rPr>
        <w:t xml:space="preserve">на территории г. Куйбышево </w:t>
      </w:r>
      <w:r>
        <w:rPr>
          <w:rFonts w:ascii="Times New Roman" w:hAnsi="Times New Roman"/>
          <w:color w:val="000000"/>
          <w:sz w:val="28"/>
          <w:szCs w:val="28"/>
        </w:rPr>
        <w:t>предусматривается в</w:t>
      </w:r>
      <w:r w:rsidRPr="00014152">
        <w:rPr>
          <w:rFonts w:ascii="Times New Roman" w:hAnsi="Times New Roman"/>
          <w:color w:val="000000"/>
          <w:sz w:val="28"/>
          <w:szCs w:val="28"/>
        </w:rPr>
        <w:t xml:space="preserve">ключение </w:t>
      </w:r>
      <w:r>
        <w:rPr>
          <w:rFonts w:ascii="Times New Roman" w:hAnsi="Times New Roman"/>
          <w:color w:val="000000"/>
          <w:sz w:val="28"/>
          <w:szCs w:val="28"/>
        </w:rPr>
        <w:t xml:space="preserve">существующего объекта </w:t>
      </w:r>
      <w:r w:rsidRPr="00014152">
        <w:rPr>
          <w:rFonts w:ascii="Times New Roman" w:hAnsi="Times New Roman"/>
          <w:color w:val="000000"/>
          <w:sz w:val="28"/>
          <w:szCs w:val="28"/>
        </w:rPr>
        <w:t xml:space="preserve">размещения отходов в ГРОРО, </w:t>
      </w:r>
      <w:r>
        <w:rPr>
          <w:rFonts w:ascii="Times New Roman" w:hAnsi="Times New Roman"/>
          <w:color w:val="000000"/>
          <w:sz w:val="28"/>
          <w:szCs w:val="28"/>
        </w:rPr>
        <w:t xml:space="preserve">его дальнейшая </w:t>
      </w:r>
      <w:r w:rsidRPr="00014152">
        <w:rPr>
          <w:rFonts w:ascii="Times New Roman" w:hAnsi="Times New Roman"/>
          <w:color w:val="000000"/>
          <w:sz w:val="28"/>
          <w:szCs w:val="28"/>
        </w:rPr>
        <w:t>эксплуатация, дооснощение</w:t>
      </w:r>
      <w:r>
        <w:rPr>
          <w:rFonts w:ascii="Times New Roman" w:hAnsi="Times New Roman"/>
          <w:color w:val="000000"/>
          <w:sz w:val="28"/>
          <w:szCs w:val="28"/>
        </w:rPr>
        <w:t xml:space="preserve"> и </w:t>
      </w:r>
      <w:r w:rsidRPr="00014152">
        <w:rPr>
          <w:rFonts w:ascii="Times New Roman" w:hAnsi="Times New Roman"/>
          <w:color w:val="000000"/>
          <w:sz w:val="28"/>
          <w:szCs w:val="28"/>
        </w:rPr>
        <w:t>рекультивация после строительства и ввода в эксплуатацию полигона в г.</w:t>
      </w:r>
      <w:r>
        <w:rPr>
          <w:rFonts w:ascii="Times New Roman" w:hAnsi="Times New Roman"/>
          <w:color w:val="000000"/>
          <w:sz w:val="28"/>
          <w:szCs w:val="28"/>
        </w:rPr>
        <w:t xml:space="preserve"> </w:t>
      </w:r>
      <w:r w:rsidRPr="00014152">
        <w:rPr>
          <w:rFonts w:ascii="Times New Roman" w:hAnsi="Times New Roman"/>
          <w:color w:val="000000"/>
          <w:sz w:val="28"/>
          <w:szCs w:val="28"/>
        </w:rPr>
        <w:t>Барабинск</w:t>
      </w:r>
      <w:r>
        <w:rPr>
          <w:rFonts w:ascii="Times New Roman" w:hAnsi="Times New Roman"/>
          <w:color w:val="000000"/>
          <w:sz w:val="28"/>
          <w:szCs w:val="28"/>
        </w:rPr>
        <w:t>.</w:t>
      </w:r>
    </w:p>
    <w:p w:rsidR="002D1E45" w:rsidRPr="00786A04" w:rsidRDefault="002D1E45" w:rsidP="00786A04">
      <w:pPr>
        <w:spacing w:after="0" w:line="240" w:lineRule="auto"/>
        <w:ind w:firstLine="709"/>
        <w:jc w:val="both"/>
        <w:rPr>
          <w:rFonts w:ascii="Times New Roman" w:hAnsi="Times New Roman"/>
          <w:color w:val="000000"/>
          <w:sz w:val="28"/>
          <w:szCs w:val="28"/>
        </w:rPr>
      </w:pPr>
      <w:r w:rsidRPr="00786A04">
        <w:rPr>
          <w:rFonts w:ascii="Times New Roman" w:hAnsi="Times New Roman"/>
          <w:color w:val="000000"/>
          <w:sz w:val="28"/>
          <w:szCs w:val="28"/>
        </w:rPr>
        <w:t>Правильный и</w:t>
      </w:r>
      <w:r>
        <w:rPr>
          <w:rFonts w:ascii="Times New Roman" w:hAnsi="Times New Roman"/>
          <w:color w:val="000000"/>
          <w:sz w:val="28"/>
          <w:szCs w:val="28"/>
        </w:rPr>
        <w:t> </w:t>
      </w:r>
      <w:r w:rsidRPr="00786A04">
        <w:rPr>
          <w:rFonts w:ascii="Times New Roman" w:hAnsi="Times New Roman"/>
          <w:color w:val="000000"/>
          <w:sz w:val="28"/>
          <w:szCs w:val="28"/>
        </w:rPr>
        <w:t>оперативный сбор опасных биологических отходов (ОБО) и</w:t>
      </w:r>
      <w:r>
        <w:rPr>
          <w:rFonts w:ascii="Times New Roman" w:hAnsi="Times New Roman"/>
          <w:color w:val="000000"/>
          <w:sz w:val="28"/>
          <w:szCs w:val="28"/>
        </w:rPr>
        <w:t> </w:t>
      </w:r>
      <w:r w:rsidRPr="00786A04">
        <w:rPr>
          <w:rFonts w:ascii="Times New Roman" w:hAnsi="Times New Roman"/>
          <w:color w:val="000000"/>
          <w:sz w:val="28"/>
          <w:szCs w:val="28"/>
        </w:rPr>
        <w:t>опасных медицинских отходов (ОМО) является важнейшей стадией обращения с</w:t>
      </w:r>
      <w:r>
        <w:rPr>
          <w:rFonts w:ascii="Times New Roman" w:hAnsi="Times New Roman"/>
          <w:color w:val="000000"/>
          <w:sz w:val="28"/>
          <w:szCs w:val="28"/>
        </w:rPr>
        <w:t> </w:t>
      </w:r>
      <w:r w:rsidRPr="00786A04">
        <w:rPr>
          <w:rFonts w:ascii="Times New Roman" w:hAnsi="Times New Roman"/>
          <w:color w:val="000000"/>
          <w:sz w:val="28"/>
          <w:szCs w:val="28"/>
        </w:rPr>
        <w:t>этими отходами с</w:t>
      </w:r>
      <w:r>
        <w:rPr>
          <w:rFonts w:ascii="Times New Roman" w:hAnsi="Times New Roman"/>
          <w:color w:val="000000"/>
          <w:sz w:val="28"/>
          <w:szCs w:val="28"/>
        </w:rPr>
        <w:t> </w:t>
      </w:r>
      <w:r w:rsidRPr="00786A04">
        <w:rPr>
          <w:rFonts w:ascii="Times New Roman" w:hAnsi="Times New Roman"/>
          <w:color w:val="000000"/>
          <w:sz w:val="28"/>
          <w:szCs w:val="28"/>
        </w:rPr>
        <w:t>точки зрения не</w:t>
      </w:r>
      <w:r>
        <w:rPr>
          <w:rFonts w:ascii="Times New Roman" w:hAnsi="Times New Roman"/>
          <w:color w:val="000000"/>
          <w:sz w:val="28"/>
          <w:szCs w:val="28"/>
        </w:rPr>
        <w:t> </w:t>
      </w:r>
      <w:r w:rsidRPr="00786A04">
        <w:rPr>
          <w:rFonts w:ascii="Times New Roman" w:hAnsi="Times New Roman"/>
          <w:color w:val="000000"/>
          <w:sz w:val="28"/>
          <w:szCs w:val="28"/>
        </w:rPr>
        <w:t>только дальнейшей их</w:t>
      </w:r>
      <w:r>
        <w:rPr>
          <w:rFonts w:ascii="Times New Roman" w:hAnsi="Times New Roman"/>
          <w:color w:val="000000"/>
          <w:sz w:val="28"/>
          <w:szCs w:val="28"/>
        </w:rPr>
        <w:t> утилизации</w:t>
      </w:r>
      <w:r w:rsidRPr="00786A04">
        <w:rPr>
          <w:rFonts w:ascii="Times New Roman" w:hAnsi="Times New Roman"/>
          <w:color w:val="000000"/>
          <w:sz w:val="28"/>
          <w:szCs w:val="28"/>
        </w:rPr>
        <w:t>, но</w:t>
      </w:r>
      <w:r>
        <w:rPr>
          <w:rFonts w:ascii="Times New Roman" w:hAnsi="Times New Roman"/>
          <w:color w:val="000000"/>
          <w:sz w:val="28"/>
          <w:szCs w:val="28"/>
        </w:rPr>
        <w:t> </w:t>
      </w:r>
      <w:r w:rsidRPr="00786A04">
        <w:rPr>
          <w:rFonts w:ascii="Times New Roman" w:hAnsi="Times New Roman"/>
          <w:color w:val="000000"/>
          <w:sz w:val="28"/>
          <w:szCs w:val="28"/>
        </w:rPr>
        <w:t>и</w:t>
      </w:r>
      <w:r>
        <w:rPr>
          <w:rFonts w:ascii="Times New Roman" w:hAnsi="Times New Roman"/>
          <w:color w:val="000000"/>
          <w:sz w:val="28"/>
          <w:szCs w:val="28"/>
        </w:rPr>
        <w:t> </w:t>
      </w:r>
      <w:r w:rsidRPr="00786A04">
        <w:rPr>
          <w:rFonts w:ascii="Times New Roman" w:hAnsi="Times New Roman"/>
          <w:color w:val="000000"/>
          <w:sz w:val="28"/>
          <w:szCs w:val="28"/>
        </w:rPr>
        <w:t>избегания или минимизации эпидемиологической чрезвычайной ситуации, препятствующей нормальной жизнедеятельности населённых пунктов.</w:t>
      </w:r>
    </w:p>
    <w:p w:rsidR="002D1E45" w:rsidRPr="00786A04" w:rsidRDefault="002D1E45" w:rsidP="00786A04">
      <w:pPr>
        <w:spacing w:after="0" w:line="240" w:lineRule="auto"/>
        <w:ind w:firstLine="709"/>
        <w:jc w:val="both"/>
        <w:rPr>
          <w:rFonts w:ascii="Times New Roman" w:hAnsi="Times New Roman"/>
          <w:color w:val="000000"/>
          <w:sz w:val="28"/>
          <w:szCs w:val="28"/>
        </w:rPr>
      </w:pPr>
      <w:r w:rsidRPr="00786A04">
        <w:rPr>
          <w:rFonts w:ascii="Times New Roman" w:hAnsi="Times New Roman"/>
          <w:color w:val="000000"/>
          <w:sz w:val="28"/>
          <w:szCs w:val="28"/>
        </w:rPr>
        <w:t>Система обращения с</w:t>
      </w:r>
      <w:r>
        <w:rPr>
          <w:rFonts w:ascii="Times New Roman" w:hAnsi="Times New Roman"/>
          <w:color w:val="000000"/>
          <w:sz w:val="28"/>
          <w:szCs w:val="28"/>
        </w:rPr>
        <w:t> </w:t>
      </w:r>
      <w:r w:rsidRPr="00786A04">
        <w:rPr>
          <w:rFonts w:ascii="Times New Roman" w:hAnsi="Times New Roman"/>
          <w:color w:val="000000"/>
          <w:sz w:val="28"/>
          <w:szCs w:val="28"/>
        </w:rPr>
        <w:t>ОМО должна быть организована в</w:t>
      </w:r>
      <w:r>
        <w:rPr>
          <w:rFonts w:ascii="Times New Roman" w:hAnsi="Times New Roman"/>
          <w:color w:val="000000"/>
          <w:sz w:val="28"/>
          <w:szCs w:val="28"/>
        </w:rPr>
        <w:t> </w:t>
      </w:r>
      <w:r w:rsidRPr="00786A04">
        <w:rPr>
          <w:rFonts w:ascii="Times New Roman" w:hAnsi="Times New Roman"/>
          <w:color w:val="000000"/>
          <w:sz w:val="28"/>
          <w:szCs w:val="28"/>
        </w:rPr>
        <w:t>соответствии с</w:t>
      </w:r>
      <w:r>
        <w:rPr>
          <w:rFonts w:ascii="Times New Roman" w:hAnsi="Times New Roman"/>
          <w:color w:val="000000"/>
          <w:sz w:val="28"/>
          <w:szCs w:val="28"/>
        </w:rPr>
        <w:t> </w:t>
      </w:r>
      <w:r w:rsidRPr="00786A04">
        <w:rPr>
          <w:rFonts w:ascii="Times New Roman" w:hAnsi="Times New Roman"/>
          <w:color w:val="000000"/>
          <w:sz w:val="28"/>
          <w:szCs w:val="28"/>
        </w:rPr>
        <w:t>требованиями СанПиН 2.1.7.2790-10 «Санитарно-эпидемиологические требования к</w:t>
      </w:r>
      <w:r>
        <w:rPr>
          <w:rFonts w:ascii="Times New Roman" w:hAnsi="Times New Roman"/>
          <w:color w:val="000000"/>
          <w:sz w:val="28"/>
          <w:szCs w:val="28"/>
        </w:rPr>
        <w:t> </w:t>
      </w:r>
      <w:r w:rsidRPr="00786A04">
        <w:rPr>
          <w:rFonts w:ascii="Times New Roman" w:hAnsi="Times New Roman"/>
          <w:color w:val="000000"/>
          <w:sz w:val="28"/>
          <w:szCs w:val="28"/>
        </w:rPr>
        <w:t>обращению с</w:t>
      </w:r>
      <w:r>
        <w:rPr>
          <w:rFonts w:ascii="Times New Roman" w:hAnsi="Times New Roman"/>
          <w:color w:val="000000"/>
          <w:sz w:val="28"/>
          <w:szCs w:val="28"/>
        </w:rPr>
        <w:t> </w:t>
      </w:r>
      <w:r w:rsidRPr="00786A04">
        <w:rPr>
          <w:rFonts w:ascii="Times New Roman" w:hAnsi="Times New Roman"/>
          <w:color w:val="000000"/>
          <w:sz w:val="28"/>
          <w:szCs w:val="28"/>
        </w:rPr>
        <w:t>медицинскими отходами» (утверждены Постановлением Главного государственного санитарного врача Российской Федерации от 09.12.2010 № 163).</w:t>
      </w:r>
    </w:p>
    <w:p w:rsidR="002D1E45" w:rsidRPr="007013F4" w:rsidRDefault="002D1E45" w:rsidP="00786A04">
      <w:pPr>
        <w:spacing w:after="0" w:line="240" w:lineRule="auto"/>
        <w:ind w:firstLine="709"/>
        <w:jc w:val="both"/>
        <w:rPr>
          <w:rFonts w:ascii="Times New Roman" w:hAnsi="Times New Roman"/>
          <w:color w:val="000000"/>
          <w:sz w:val="28"/>
          <w:szCs w:val="28"/>
        </w:rPr>
      </w:pPr>
      <w:r w:rsidRPr="00786A04">
        <w:rPr>
          <w:rFonts w:ascii="Times New Roman" w:hAnsi="Times New Roman"/>
          <w:color w:val="000000"/>
          <w:sz w:val="28"/>
          <w:szCs w:val="28"/>
        </w:rPr>
        <w:t>Рекомендации по</w:t>
      </w:r>
      <w:r>
        <w:rPr>
          <w:rFonts w:ascii="Times New Roman" w:hAnsi="Times New Roman"/>
          <w:color w:val="000000"/>
          <w:sz w:val="28"/>
          <w:szCs w:val="28"/>
        </w:rPr>
        <w:t> </w:t>
      </w:r>
      <w:r w:rsidRPr="00786A04">
        <w:rPr>
          <w:rFonts w:ascii="Times New Roman" w:hAnsi="Times New Roman"/>
          <w:color w:val="000000"/>
          <w:sz w:val="28"/>
          <w:szCs w:val="28"/>
        </w:rPr>
        <w:t>обращению с</w:t>
      </w:r>
      <w:r>
        <w:rPr>
          <w:rFonts w:ascii="Times New Roman" w:hAnsi="Times New Roman"/>
          <w:color w:val="000000"/>
          <w:sz w:val="28"/>
          <w:szCs w:val="28"/>
        </w:rPr>
        <w:t> </w:t>
      </w:r>
      <w:r w:rsidRPr="00786A04">
        <w:rPr>
          <w:rFonts w:ascii="Times New Roman" w:hAnsi="Times New Roman"/>
          <w:color w:val="000000"/>
          <w:sz w:val="28"/>
          <w:szCs w:val="28"/>
        </w:rPr>
        <w:t>ОБО должны быть учтены при организации схемы обращения с</w:t>
      </w:r>
      <w:r>
        <w:rPr>
          <w:rFonts w:ascii="Times New Roman" w:hAnsi="Times New Roman"/>
          <w:color w:val="000000"/>
          <w:sz w:val="28"/>
          <w:szCs w:val="28"/>
        </w:rPr>
        <w:t> </w:t>
      </w:r>
      <w:r w:rsidRPr="00786A04">
        <w:rPr>
          <w:rFonts w:ascii="Times New Roman" w:hAnsi="Times New Roman"/>
          <w:color w:val="000000"/>
          <w:sz w:val="28"/>
          <w:szCs w:val="28"/>
        </w:rPr>
        <w:t>ними на</w:t>
      </w:r>
      <w:r>
        <w:rPr>
          <w:rFonts w:ascii="Times New Roman" w:hAnsi="Times New Roman"/>
          <w:color w:val="000000"/>
          <w:sz w:val="28"/>
          <w:szCs w:val="28"/>
        </w:rPr>
        <w:t> </w:t>
      </w:r>
      <w:r w:rsidRPr="00786A04">
        <w:rPr>
          <w:rFonts w:ascii="Times New Roman" w:hAnsi="Times New Roman"/>
          <w:color w:val="000000"/>
          <w:sz w:val="28"/>
          <w:szCs w:val="28"/>
        </w:rPr>
        <w:t xml:space="preserve">территории </w:t>
      </w:r>
      <w:r>
        <w:rPr>
          <w:rFonts w:ascii="Times New Roman" w:hAnsi="Times New Roman"/>
          <w:sz w:val="28"/>
          <w:szCs w:val="28"/>
        </w:rPr>
        <w:t>города Куйбышева</w:t>
      </w:r>
      <w:r w:rsidRPr="00786A04">
        <w:rPr>
          <w:rFonts w:ascii="Times New Roman" w:hAnsi="Times New Roman"/>
          <w:color w:val="000000"/>
          <w:sz w:val="28"/>
          <w:szCs w:val="28"/>
        </w:rPr>
        <w:t xml:space="preserve"> (утверждены Главным государственным ветеринарным инспектором Российской Федерации 04.12.1995 № 13-7-2/469).</w:t>
      </w:r>
      <w:r>
        <w:rPr>
          <w:rFonts w:ascii="Times New Roman" w:hAnsi="Times New Roman"/>
          <w:color w:val="000000"/>
          <w:sz w:val="28"/>
          <w:szCs w:val="28"/>
        </w:rPr>
        <w:t xml:space="preserve"> </w:t>
      </w:r>
      <w:r w:rsidRPr="007013F4">
        <w:rPr>
          <w:rFonts w:ascii="Times New Roman" w:hAnsi="Times New Roman"/>
          <w:color w:val="000000"/>
          <w:sz w:val="28"/>
          <w:szCs w:val="28"/>
        </w:rPr>
        <w:t>Ветеринарно-санитарные правила сбора, утилизации и</w:t>
      </w:r>
      <w:r>
        <w:rPr>
          <w:rFonts w:ascii="Times New Roman" w:hAnsi="Times New Roman"/>
          <w:color w:val="000000"/>
          <w:sz w:val="28"/>
          <w:szCs w:val="28"/>
        </w:rPr>
        <w:t> </w:t>
      </w:r>
      <w:r w:rsidRPr="007013F4">
        <w:rPr>
          <w:rFonts w:ascii="Times New Roman" w:hAnsi="Times New Roman"/>
          <w:color w:val="000000"/>
          <w:sz w:val="28"/>
          <w:szCs w:val="28"/>
        </w:rPr>
        <w:t>уничтожения биологических отходов являются обязательными для исполнения владельцами животных, независимо от</w:t>
      </w:r>
      <w:r>
        <w:rPr>
          <w:rFonts w:ascii="Times New Roman" w:hAnsi="Times New Roman"/>
          <w:color w:val="000000"/>
          <w:sz w:val="28"/>
          <w:szCs w:val="28"/>
        </w:rPr>
        <w:t> </w:t>
      </w:r>
      <w:r w:rsidRPr="007013F4">
        <w:rPr>
          <w:rFonts w:ascii="Times New Roman" w:hAnsi="Times New Roman"/>
          <w:color w:val="000000"/>
          <w:sz w:val="28"/>
          <w:szCs w:val="28"/>
        </w:rPr>
        <w:t>способа ведения хозяйства, а</w:t>
      </w:r>
      <w:r>
        <w:rPr>
          <w:rFonts w:ascii="Times New Roman" w:hAnsi="Times New Roman"/>
          <w:color w:val="000000"/>
          <w:sz w:val="28"/>
          <w:szCs w:val="28"/>
        </w:rPr>
        <w:t> </w:t>
      </w:r>
      <w:r w:rsidRPr="007013F4">
        <w:rPr>
          <w:rFonts w:ascii="Times New Roman" w:hAnsi="Times New Roman"/>
          <w:color w:val="000000"/>
          <w:sz w:val="28"/>
          <w:szCs w:val="28"/>
        </w:rPr>
        <w:t>также организациями, предприятиями всех форм собственности, занимающимися производством, транспортировкой, заготовкой и</w:t>
      </w:r>
      <w:r>
        <w:rPr>
          <w:rFonts w:ascii="Times New Roman" w:hAnsi="Times New Roman"/>
          <w:color w:val="000000"/>
          <w:sz w:val="28"/>
          <w:szCs w:val="28"/>
        </w:rPr>
        <w:t> </w:t>
      </w:r>
      <w:r w:rsidRPr="007013F4">
        <w:rPr>
          <w:rFonts w:ascii="Times New Roman" w:hAnsi="Times New Roman"/>
          <w:color w:val="000000"/>
          <w:sz w:val="28"/>
          <w:szCs w:val="28"/>
        </w:rPr>
        <w:t>переработкой продуктов и</w:t>
      </w:r>
      <w:r>
        <w:rPr>
          <w:rFonts w:ascii="Times New Roman" w:hAnsi="Times New Roman"/>
          <w:color w:val="000000"/>
          <w:sz w:val="28"/>
          <w:szCs w:val="28"/>
        </w:rPr>
        <w:t> </w:t>
      </w:r>
      <w:r w:rsidRPr="007013F4">
        <w:rPr>
          <w:rFonts w:ascii="Times New Roman" w:hAnsi="Times New Roman"/>
          <w:color w:val="000000"/>
          <w:sz w:val="28"/>
          <w:szCs w:val="28"/>
        </w:rPr>
        <w:t>сырья животного происхождения.</w:t>
      </w:r>
    </w:p>
    <w:p w:rsidR="002D1E45" w:rsidRPr="00786A04" w:rsidRDefault="002D1E45" w:rsidP="00786A04">
      <w:pPr>
        <w:spacing w:after="0" w:line="240" w:lineRule="auto"/>
        <w:ind w:firstLine="709"/>
        <w:jc w:val="both"/>
        <w:rPr>
          <w:rFonts w:ascii="Times New Roman" w:hAnsi="Times New Roman"/>
          <w:color w:val="000000"/>
          <w:sz w:val="28"/>
          <w:szCs w:val="28"/>
        </w:rPr>
      </w:pPr>
      <w:r w:rsidRPr="00786A04">
        <w:rPr>
          <w:rFonts w:ascii="Times New Roman" w:hAnsi="Times New Roman"/>
          <w:color w:val="000000"/>
          <w:sz w:val="28"/>
          <w:szCs w:val="28"/>
        </w:rPr>
        <w:t>Общие рекомендации по</w:t>
      </w:r>
      <w:r>
        <w:rPr>
          <w:rFonts w:ascii="Times New Roman" w:hAnsi="Times New Roman"/>
          <w:color w:val="000000"/>
          <w:sz w:val="28"/>
          <w:szCs w:val="28"/>
        </w:rPr>
        <w:t> </w:t>
      </w:r>
      <w:r w:rsidRPr="00786A04">
        <w:rPr>
          <w:rFonts w:ascii="Times New Roman" w:hAnsi="Times New Roman"/>
          <w:color w:val="000000"/>
          <w:sz w:val="28"/>
          <w:szCs w:val="28"/>
        </w:rPr>
        <w:t>обращению с</w:t>
      </w:r>
      <w:r>
        <w:rPr>
          <w:rFonts w:ascii="Times New Roman" w:hAnsi="Times New Roman"/>
          <w:color w:val="000000"/>
          <w:sz w:val="28"/>
          <w:szCs w:val="28"/>
        </w:rPr>
        <w:t> </w:t>
      </w:r>
      <w:r w:rsidRPr="00786A04">
        <w:rPr>
          <w:rFonts w:ascii="Times New Roman" w:hAnsi="Times New Roman"/>
          <w:color w:val="000000"/>
          <w:sz w:val="28"/>
          <w:szCs w:val="28"/>
        </w:rPr>
        <w:t>отходами производства и</w:t>
      </w:r>
      <w:r>
        <w:rPr>
          <w:rFonts w:ascii="Times New Roman" w:hAnsi="Times New Roman"/>
          <w:color w:val="000000"/>
          <w:sz w:val="28"/>
          <w:szCs w:val="28"/>
        </w:rPr>
        <w:t> </w:t>
      </w:r>
      <w:r w:rsidRPr="00786A04">
        <w:rPr>
          <w:rFonts w:ascii="Times New Roman" w:hAnsi="Times New Roman"/>
          <w:color w:val="000000"/>
          <w:sz w:val="28"/>
          <w:szCs w:val="28"/>
        </w:rPr>
        <w:t>потребления представлены в</w:t>
      </w:r>
      <w:r>
        <w:rPr>
          <w:rFonts w:ascii="Times New Roman" w:hAnsi="Times New Roman"/>
          <w:color w:val="000000"/>
          <w:sz w:val="28"/>
          <w:szCs w:val="28"/>
        </w:rPr>
        <w:t> </w:t>
      </w:r>
      <w:r w:rsidRPr="00786A04">
        <w:rPr>
          <w:rFonts w:ascii="Times New Roman" w:hAnsi="Times New Roman"/>
          <w:color w:val="000000"/>
          <w:sz w:val="28"/>
          <w:szCs w:val="28"/>
        </w:rPr>
        <w:t>СанПиН 2.1.7.1322-03 «Гигиенические требования к</w:t>
      </w:r>
      <w:r>
        <w:rPr>
          <w:rFonts w:ascii="Times New Roman" w:hAnsi="Times New Roman"/>
          <w:color w:val="000000"/>
          <w:sz w:val="28"/>
          <w:szCs w:val="28"/>
        </w:rPr>
        <w:t> </w:t>
      </w:r>
      <w:r w:rsidRPr="00786A04">
        <w:rPr>
          <w:rFonts w:ascii="Times New Roman" w:hAnsi="Times New Roman"/>
          <w:color w:val="000000"/>
          <w:sz w:val="28"/>
          <w:szCs w:val="28"/>
        </w:rPr>
        <w:t>размещению и</w:t>
      </w:r>
      <w:r>
        <w:rPr>
          <w:rFonts w:ascii="Times New Roman" w:hAnsi="Times New Roman"/>
          <w:color w:val="000000"/>
          <w:sz w:val="28"/>
          <w:szCs w:val="28"/>
        </w:rPr>
        <w:t> </w:t>
      </w:r>
      <w:r w:rsidRPr="00786A04">
        <w:rPr>
          <w:rFonts w:ascii="Times New Roman" w:hAnsi="Times New Roman"/>
          <w:color w:val="000000"/>
          <w:sz w:val="28"/>
          <w:szCs w:val="28"/>
        </w:rPr>
        <w:t>обезвреживанию отходов производства и</w:t>
      </w:r>
      <w:r>
        <w:rPr>
          <w:rFonts w:ascii="Times New Roman" w:hAnsi="Times New Roman"/>
          <w:color w:val="000000"/>
          <w:sz w:val="28"/>
          <w:szCs w:val="28"/>
        </w:rPr>
        <w:t> </w:t>
      </w:r>
      <w:r w:rsidRPr="00786A04">
        <w:rPr>
          <w:rFonts w:ascii="Times New Roman" w:hAnsi="Times New Roman"/>
          <w:color w:val="000000"/>
          <w:sz w:val="28"/>
          <w:szCs w:val="28"/>
        </w:rPr>
        <w:t>потребления» (утверждены Постановлением Главного государственного санитарного врача Российской Федерации от 30.04.2003 № 80)</w:t>
      </w:r>
    </w:p>
    <w:p w:rsidR="002D1E45" w:rsidRPr="007013F4" w:rsidRDefault="002D1E45" w:rsidP="007013F4">
      <w:pPr>
        <w:spacing w:after="0" w:line="240" w:lineRule="auto"/>
        <w:ind w:firstLine="709"/>
        <w:jc w:val="both"/>
        <w:rPr>
          <w:rFonts w:ascii="Times New Roman" w:hAnsi="Times New Roman"/>
          <w:color w:val="000000"/>
          <w:sz w:val="28"/>
          <w:szCs w:val="28"/>
        </w:rPr>
      </w:pPr>
      <w:bookmarkStart w:id="371" w:name="PO0000074"/>
      <w:bookmarkEnd w:id="370"/>
      <w:r w:rsidRPr="007013F4">
        <w:rPr>
          <w:rFonts w:ascii="Times New Roman" w:hAnsi="Times New Roman"/>
          <w:color w:val="000000"/>
          <w:sz w:val="28"/>
          <w:szCs w:val="28"/>
        </w:rPr>
        <w:t>Санитарную очистку и</w:t>
      </w:r>
      <w:r>
        <w:rPr>
          <w:rFonts w:ascii="Times New Roman" w:hAnsi="Times New Roman"/>
          <w:color w:val="000000"/>
          <w:sz w:val="28"/>
          <w:szCs w:val="28"/>
        </w:rPr>
        <w:t> </w:t>
      </w:r>
      <w:r w:rsidRPr="007013F4">
        <w:rPr>
          <w:rFonts w:ascii="Times New Roman" w:hAnsi="Times New Roman"/>
          <w:color w:val="000000"/>
          <w:sz w:val="28"/>
          <w:szCs w:val="28"/>
        </w:rPr>
        <w:t xml:space="preserve">благоустройство </w:t>
      </w:r>
      <w:bookmarkEnd w:id="371"/>
      <w:r w:rsidRPr="007013F4">
        <w:rPr>
          <w:rFonts w:ascii="Times New Roman" w:hAnsi="Times New Roman"/>
          <w:color w:val="000000"/>
          <w:sz w:val="28"/>
          <w:szCs w:val="28"/>
        </w:rPr>
        <w:t>территорий улиц, парков, лечебно</w:t>
      </w:r>
      <w:r>
        <w:rPr>
          <w:rFonts w:ascii="Times New Roman" w:hAnsi="Times New Roman"/>
          <w:color w:val="000000"/>
          <w:sz w:val="28"/>
          <w:szCs w:val="28"/>
        </w:rPr>
        <w:t>-</w:t>
      </w:r>
      <w:r w:rsidRPr="007013F4">
        <w:rPr>
          <w:rFonts w:ascii="Times New Roman" w:hAnsi="Times New Roman"/>
          <w:color w:val="000000"/>
          <w:sz w:val="28"/>
          <w:szCs w:val="28"/>
        </w:rPr>
        <w:t>профилактических учреждений, проездов внутри микрорайонов и</w:t>
      </w:r>
      <w:r>
        <w:rPr>
          <w:rFonts w:ascii="Times New Roman" w:hAnsi="Times New Roman"/>
          <w:color w:val="000000"/>
          <w:sz w:val="28"/>
          <w:szCs w:val="28"/>
        </w:rPr>
        <w:t> </w:t>
      </w:r>
      <w:r w:rsidRPr="007013F4">
        <w:rPr>
          <w:rFonts w:ascii="Times New Roman" w:hAnsi="Times New Roman"/>
          <w:color w:val="000000"/>
          <w:sz w:val="28"/>
          <w:szCs w:val="28"/>
        </w:rPr>
        <w:t>кварталов</w:t>
      </w:r>
      <w:r>
        <w:rPr>
          <w:rFonts w:ascii="Times New Roman" w:hAnsi="Times New Roman"/>
          <w:color w:val="000000"/>
          <w:sz w:val="28"/>
          <w:szCs w:val="28"/>
        </w:rPr>
        <w:t xml:space="preserve"> р</w:t>
      </w:r>
      <w:r w:rsidRPr="007013F4">
        <w:rPr>
          <w:rFonts w:ascii="Times New Roman" w:hAnsi="Times New Roman"/>
          <w:color w:val="000000"/>
          <w:sz w:val="28"/>
          <w:szCs w:val="28"/>
        </w:rPr>
        <w:t>екомендуется организовать в</w:t>
      </w:r>
      <w:r>
        <w:rPr>
          <w:rFonts w:ascii="Times New Roman" w:hAnsi="Times New Roman"/>
          <w:color w:val="000000"/>
          <w:sz w:val="28"/>
          <w:szCs w:val="28"/>
        </w:rPr>
        <w:t> </w:t>
      </w:r>
      <w:r w:rsidRPr="007013F4">
        <w:rPr>
          <w:rFonts w:ascii="Times New Roman" w:hAnsi="Times New Roman"/>
          <w:color w:val="000000"/>
          <w:sz w:val="28"/>
          <w:szCs w:val="28"/>
        </w:rPr>
        <w:t>соответствии с</w:t>
      </w:r>
      <w:r>
        <w:rPr>
          <w:rFonts w:ascii="Times New Roman" w:hAnsi="Times New Roman"/>
          <w:color w:val="000000"/>
          <w:sz w:val="28"/>
          <w:szCs w:val="28"/>
        </w:rPr>
        <w:t> </w:t>
      </w:r>
      <w:r w:rsidRPr="007013F4">
        <w:rPr>
          <w:rFonts w:ascii="Times New Roman" w:hAnsi="Times New Roman"/>
          <w:color w:val="000000"/>
          <w:sz w:val="28"/>
          <w:szCs w:val="28"/>
        </w:rPr>
        <w:t xml:space="preserve">СанПиНом 42-128-4690-88. </w:t>
      </w:r>
    </w:p>
    <w:p w:rsidR="002D1E45" w:rsidRPr="003A7901" w:rsidRDefault="002D1E45" w:rsidP="00F46947">
      <w:pPr>
        <w:spacing w:after="0" w:line="240" w:lineRule="auto"/>
        <w:ind w:firstLine="709"/>
        <w:jc w:val="both"/>
        <w:rPr>
          <w:rFonts w:ascii="Times New Roman" w:hAnsi="Times New Roman"/>
          <w:color w:val="000000"/>
          <w:sz w:val="28"/>
          <w:szCs w:val="28"/>
        </w:rPr>
      </w:pPr>
      <w:r w:rsidRPr="003A7901">
        <w:rPr>
          <w:rFonts w:ascii="Times New Roman" w:hAnsi="Times New Roman"/>
          <w:color w:val="000000"/>
          <w:sz w:val="28"/>
          <w:szCs w:val="28"/>
        </w:rPr>
        <w:t>Санитарной очисткой должны заниматься коммунальные хозяйства по</w:t>
      </w:r>
      <w:r>
        <w:rPr>
          <w:rFonts w:ascii="Times New Roman" w:hAnsi="Times New Roman"/>
          <w:color w:val="000000"/>
          <w:sz w:val="28"/>
          <w:szCs w:val="28"/>
        </w:rPr>
        <w:t> </w:t>
      </w:r>
      <w:r w:rsidRPr="003A7901">
        <w:rPr>
          <w:rFonts w:ascii="Times New Roman" w:hAnsi="Times New Roman"/>
          <w:color w:val="000000"/>
          <w:sz w:val="28"/>
          <w:szCs w:val="28"/>
        </w:rPr>
        <w:t>договорам подряда со</w:t>
      </w:r>
      <w:r>
        <w:rPr>
          <w:rFonts w:ascii="Times New Roman" w:hAnsi="Times New Roman"/>
          <w:color w:val="000000"/>
          <w:sz w:val="28"/>
          <w:szCs w:val="28"/>
        </w:rPr>
        <w:t> </w:t>
      </w:r>
      <w:r w:rsidRPr="003A7901">
        <w:rPr>
          <w:rFonts w:ascii="Times New Roman" w:hAnsi="Times New Roman"/>
          <w:color w:val="000000"/>
          <w:sz w:val="28"/>
          <w:szCs w:val="28"/>
        </w:rPr>
        <w:t>специализированными транспортными коммунальными предприятиями.</w:t>
      </w:r>
    </w:p>
    <w:p w:rsidR="002D1E45" w:rsidRPr="003A7901" w:rsidRDefault="002D1E45" w:rsidP="00F46947">
      <w:pPr>
        <w:spacing w:after="0" w:line="240" w:lineRule="auto"/>
        <w:ind w:firstLine="709"/>
        <w:jc w:val="both"/>
        <w:rPr>
          <w:rFonts w:ascii="Times New Roman" w:hAnsi="Times New Roman"/>
          <w:color w:val="000000"/>
          <w:sz w:val="28"/>
          <w:szCs w:val="28"/>
        </w:rPr>
      </w:pPr>
      <w:r w:rsidRPr="003A7901">
        <w:rPr>
          <w:rFonts w:ascii="Times New Roman" w:hAnsi="Times New Roman"/>
          <w:color w:val="000000"/>
          <w:sz w:val="28"/>
          <w:szCs w:val="28"/>
        </w:rPr>
        <w:t xml:space="preserve">Очистка </w:t>
      </w:r>
      <w:r>
        <w:rPr>
          <w:rFonts w:ascii="Times New Roman" w:hAnsi="Times New Roman"/>
          <w:sz w:val="28"/>
          <w:szCs w:val="28"/>
          <w:lang w:eastAsia="ru-RU"/>
        </w:rPr>
        <w:t>населённого пункта</w:t>
      </w:r>
      <w:r>
        <w:rPr>
          <w:rFonts w:ascii="Times New Roman" w:hAnsi="Times New Roman"/>
          <w:sz w:val="28"/>
          <w:szCs w:val="28"/>
        </w:rPr>
        <w:t xml:space="preserve"> </w:t>
      </w:r>
      <w:r w:rsidRPr="003A7901">
        <w:rPr>
          <w:rFonts w:ascii="Times New Roman" w:hAnsi="Times New Roman"/>
          <w:color w:val="000000"/>
          <w:sz w:val="28"/>
          <w:szCs w:val="28"/>
        </w:rPr>
        <w:t>от</w:t>
      </w:r>
      <w:r>
        <w:rPr>
          <w:rFonts w:ascii="Times New Roman" w:hAnsi="Times New Roman"/>
          <w:sz w:val="28"/>
          <w:szCs w:val="28"/>
        </w:rPr>
        <w:t> </w:t>
      </w:r>
      <w:r>
        <w:rPr>
          <w:rFonts w:ascii="Times New Roman" w:hAnsi="Times New Roman"/>
          <w:color w:val="000000"/>
          <w:sz w:val="28"/>
          <w:szCs w:val="28"/>
        </w:rPr>
        <w:t>коммунальных</w:t>
      </w:r>
      <w:r w:rsidRPr="003A7901">
        <w:rPr>
          <w:rFonts w:ascii="Times New Roman" w:hAnsi="Times New Roman"/>
          <w:color w:val="000000"/>
          <w:sz w:val="28"/>
          <w:szCs w:val="28"/>
        </w:rPr>
        <w:t xml:space="preserve"> и</w:t>
      </w:r>
      <w:r>
        <w:rPr>
          <w:rFonts w:ascii="Times New Roman" w:hAnsi="Times New Roman"/>
          <w:color w:val="000000"/>
          <w:sz w:val="28"/>
          <w:szCs w:val="28"/>
        </w:rPr>
        <w:t> </w:t>
      </w:r>
      <w:r w:rsidRPr="003A7901">
        <w:rPr>
          <w:rFonts w:ascii="Times New Roman" w:hAnsi="Times New Roman"/>
          <w:color w:val="000000"/>
          <w:sz w:val="28"/>
          <w:szCs w:val="28"/>
        </w:rPr>
        <w:t>не</w:t>
      </w:r>
      <w:r>
        <w:rPr>
          <w:rFonts w:ascii="Times New Roman" w:hAnsi="Times New Roman"/>
          <w:color w:val="000000"/>
          <w:sz w:val="28"/>
          <w:szCs w:val="28"/>
        </w:rPr>
        <w:t> </w:t>
      </w:r>
      <w:r w:rsidRPr="003A7901">
        <w:rPr>
          <w:rFonts w:ascii="Times New Roman" w:hAnsi="Times New Roman"/>
          <w:color w:val="000000"/>
          <w:sz w:val="28"/>
          <w:szCs w:val="28"/>
        </w:rPr>
        <w:t>утилизированных отходов осуществляется планово</w:t>
      </w:r>
      <w:r w:rsidRPr="003A7901">
        <w:rPr>
          <w:rFonts w:ascii="Times New Roman" w:hAnsi="Times New Roman"/>
          <w:color w:val="000000"/>
          <w:sz w:val="28"/>
          <w:szCs w:val="28"/>
        </w:rPr>
        <w:noBreakHyphen/>
        <w:t>регулярным методом. Сбор хозяйственно-бытового мусора осуществляется централизованным контейнерным способом и</w:t>
      </w:r>
      <w:r>
        <w:rPr>
          <w:rFonts w:ascii="Times New Roman" w:hAnsi="Times New Roman"/>
          <w:color w:val="000000"/>
          <w:sz w:val="28"/>
          <w:szCs w:val="28"/>
        </w:rPr>
        <w:t> </w:t>
      </w:r>
      <w:r w:rsidRPr="003A7901">
        <w:rPr>
          <w:rFonts w:ascii="Times New Roman" w:hAnsi="Times New Roman"/>
          <w:color w:val="000000"/>
          <w:sz w:val="28"/>
          <w:szCs w:val="28"/>
        </w:rPr>
        <w:t>вывозится специальным транспортом на</w:t>
      </w:r>
      <w:r>
        <w:rPr>
          <w:rFonts w:ascii="Times New Roman" w:hAnsi="Times New Roman"/>
          <w:color w:val="000000"/>
          <w:sz w:val="28"/>
          <w:szCs w:val="28"/>
        </w:rPr>
        <w:t> </w:t>
      </w:r>
      <w:r w:rsidRPr="003A7901">
        <w:rPr>
          <w:rFonts w:ascii="Times New Roman" w:hAnsi="Times New Roman"/>
          <w:color w:val="000000"/>
          <w:sz w:val="28"/>
          <w:szCs w:val="28"/>
        </w:rPr>
        <w:t xml:space="preserve">полигон твёрдых коммунальных отходов. </w:t>
      </w:r>
    </w:p>
    <w:p w:rsidR="002D1E45" w:rsidRPr="003A7901" w:rsidRDefault="002D1E45" w:rsidP="00F46947">
      <w:pPr>
        <w:spacing w:after="0" w:line="240" w:lineRule="auto"/>
        <w:ind w:firstLine="709"/>
        <w:jc w:val="both"/>
        <w:rPr>
          <w:rFonts w:ascii="Times New Roman" w:hAnsi="Times New Roman"/>
          <w:color w:val="000000"/>
          <w:sz w:val="28"/>
          <w:szCs w:val="28"/>
        </w:rPr>
      </w:pPr>
      <w:r w:rsidRPr="003A7901">
        <w:rPr>
          <w:rFonts w:ascii="Times New Roman" w:hAnsi="Times New Roman"/>
          <w:color w:val="000000"/>
          <w:sz w:val="28"/>
          <w:szCs w:val="28"/>
        </w:rPr>
        <w:t>Необходимо учитывать, что причиной возникновения несанкционированных свалок является неполный охват организованной системой сбора и</w:t>
      </w:r>
      <w:r>
        <w:rPr>
          <w:rFonts w:ascii="Times New Roman" w:hAnsi="Times New Roman"/>
          <w:color w:val="000000"/>
          <w:sz w:val="28"/>
          <w:szCs w:val="28"/>
        </w:rPr>
        <w:t> транспортирования</w:t>
      </w:r>
      <w:r w:rsidRPr="003A7901">
        <w:rPr>
          <w:rFonts w:ascii="Times New Roman" w:hAnsi="Times New Roman"/>
          <w:color w:val="000000"/>
          <w:sz w:val="28"/>
          <w:szCs w:val="28"/>
        </w:rPr>
        <w:t xml:space="preserve"> всех образующихся отходов. При устойчивой системе управления отходами число стихийно возникающих свалок сокращается до</w:t>
      </w:r>
      <w:r>
        <w:rPr>
          <w:rFonts w:ascii="Times New Roman" w:hAnsi="Times New Roman"/>
          <w:color w:val="000000"/>
          <w:sz w:val="28"/>
          <w:szCs w:val="28"/>
        </w:rPr>
        <w:t> </w:t>
      </w:r>
      <w:r w:rsidRPr="003A7901">
        <w:rPr>
          <w:rFonts w:ascii="Times New Roman" w:hAnsi="Times New Roman"/>
          <w:color w:val="000000"/>
          <w:sz w:val="28"/>
          <w:szCs w:val="28"/>
        </w:rPr>
        <w:t>полного их</w:t>
      </w:r>
      <w:r>
        <w:rPr>
          <w:rFonts w:ascii="Times New Roman" w:hAnsi="Times New Roman"/>
          <w:color w:val="000000"/>
          <w:sz w:val="28"/>
          <w:szCs w:val="28"/>
        </w:rPr>
        <w:t> </w:t>
      </w:r>
      <w:r w:rsidRPr="003A7901">
        <w:rPr>
          <w:rFonts w:ascii="Times New Roman" w:hAnsi="Times New Roman"/>
          <w:color w:val="000000"/>
          <w:sz w:val="28"/>
          <w:szCs w:val="28"/>
        </w:rPr>
        <w:t>исчезновения.</w:t>
      </w:r>
    </w:p>
    <w:p w:rsidR="002D1E45" w:rsidRPr="003A7901" w:rsidRDefault="002D1E45" w:rsidP="00F46947">
      <w:pPr>
        <w:spacing w:after="0" w:line="240" w:lineRule="auto"/>
        <w:ind w:firstLine="709"/>
        <w:jc w:val="both"/>
        <w:rPr>
          <w:rFonts w:ascii="Times New Roman" w:hAnsi="Times New Roman"/>
          <w:color w:val="000000"/>
          <w:sz w:val="28"/>
          <w:szCs w:val="28"/>
        </w:rPr>
      </w:pPr>
      <w:r w:rsidRPr="003A7901">
        <w:rPr>
          <w:rFonts w:ascii="Times New Roman" w:hAnsi="Times New Roman"/>
          <w:color w:val="000000"/>
          <w:sz w:val="28"/>
          <w:szCs w:val="28"/>
        </w:rPr>
        <w:t>Наличие возобновляемой несанкционированной свалки отходов является сигналом о</w:t>
      </w:r>
      <w:r>
        <w:rPr>
          <w:rFonts w:ascii="Times New Roman" w:hAnsi="Times New Roman"/>
          <w:color w:val="000000"/>
          <w:sz w:val="28"/>
          <w:szCs w:val="28"/>
        </w:rPr>
        <w:t> </w:t>
      </w:r>
      <w:r w:rsidRPr="003A7901">
        <w:rPr>
          <w:rFonts w:ascii="Times New Roman" w:hAnsi="Times New Roman"/>
          <w:color w:val="000000"/>
          <w:sz w:val="28"/>
          <w:szCs w:val="28"/>
        </w:rPr>
        <w:t>необходимости создания площадки</w:t>
      </w:r>
      <w:r>
        <w:rPr>
          <w:rFonts w:ascii="Times New Roman" w:hAnsi="Times New Roman"/>
          <w:color w:val="000000"/>
          <w:sz w:val="28"/>
          <w:szCs w:val="28"/>
        </w:rPr>
        <w:t xml:space="preserve"> временного накопления ТКО</w:t>
      </w:r>
      <w:r w:rsidRPr="003A7901">
        <w:rPr>
          <w:rFonts w:ascii="Times New Roman" w:hAnsi="Times New Roman"/>
          <w:color w:val="000000"/>
          <w:sz w:val="28"/>
          <w:szCs w:val="28"/>
        </w:rPr>
        <w:t>.</w:t>
      </w:r>
    </w:p>
    <w:p w:rsidR="002D1E45" w:rsidRPr="003A7901" w:rsidRDefault="002D1E45" w:rsidP="00F46947">
      <w:pPr>
        <w:spacing w:after="0" w:line="240" w:lineRule="auto"/>
        <w:ind w:firstLine="709"/>
        <w:jc w:val="both"/>
        <w:rPr>
          <w:rFonts w:ascii="Times New Roman" w:hAnsi="Times New Roman"/>
          <w:sz w:val="28"/>
          <w:szCs w:val="28"/>
        </w:rPr>
      </w:pPr>
      <w:r w:rsidRPr="003A7901">
        <w:rPr>
          <w:rFonts w:ascii="Times New Roman" w:hAnsi="Times New Roman"/>
          <w:sz w:val="28"/>
          <w:szCs w:val="28"/>
        </w:rPr>
        <w:t>Одноэтажная застройка пользуется выгребами, как правило, не</w:t>
      </w:r>
      <w:r>
        <w:rPr>
          <w:rFonts w:ascii="Times New Roman" w:hAnsi="Times New Roman"/>
          <w:sz w:val="28"/>
          <w:szCs w:val="28"/>
        </w:rPr>
        <w:t> </w:t>
      </w:r>
      <w:r w:rsidRPr="003A7901">
        <w:rPr>
          <w:rFonts w:ascii="Times New Roman" w:hAnsi="Times New Roman"/>
          <w:sz w:val="28"/>
          <w:szCs w:val="28"/>
        </w:rPr>
        <w:t>бетонированными, поэтому их</w:t>
      </w:r>
      <w:r>
        <w:rPr>
          <w:rFonts w:ascii="Times New Roman" w:hAnsi="Times New Roman"/>
          <w:sz w:val="28"/>
          <w:szCs w:val="28"/>
        </w:rPr>
        <w:t> </w:t>
      </w:r>
      <w:r w:rsidRPr="003A7901">
        <w:rPr>
          <w:rFonts w:ascii="Times New Roman" w:hAnsi="Times New Roman"/>
          <w:sz w:val="28"/>
          <w:szCs w:val="28"/>
        </w:rPr>
        <w:t>содержимое частично просачивается в</w:t>
      </w:r>
      <w:r>
        <w:rPr>
          <w:rFonts w:ascii="Times New Roman" w:hAnsi="Times New Roman"/>
          <w:sz w:val="28"/>
          <w:szCs w:val="28"/>
        </w:rPr>
        <w:t> </w:t>
      </w:r>
      <w:r w:rsidRPr="003A7901">
        <w:rPr>
          <w:rFonts w:ascii="Times New Roman" w:hAnsi="Times New Roman"/>
          <w:sz w:val="28"/>
          <w:szCs w:val="28"/>
        </w:rPr>
        <w:t>почву и</w:t>
      </w:r>
      <w:r>
        <w:rPr>
          <w:rFonts w:ascii="Times New Roman" w:hAnsi="Times New Roman"/>
          <w:sz w:val="28"/>
          <w:szCs w:val="28"/>
        </w:rPr>
        <w:t> </w:t>
      </w:r>
      <w:r w:rsidRPr="003A7901">
        <w:rPr>
          <w:rFonts w:ascii="Times New Roman" w:hAnsi="Times New Roman"/>
          <w:sz w:val="28"/>
          <w:szCs w:val="28"/>
        </w:rPr>
        <w:t>создаёт угрозу загрязнения действующих скважин, пробурённых на</w:t>
      </w:r>
      <w:r>
        <w:rPr>
          <w:rFonts w:ascii="Times New Roman" w:hAnsi="Times New Roman"/>
          <w:sz w:val="28"/>
          <w:szCs w:val="28"/>
        </w:rPr>
        <w:t> </w:t>
      </w:r>
      <w:r w:rsidRPr="003A7901">
        <w:rPr>
          <w:rFonts w:ascii="Times New Roman" w:hAnsi="Times New Roman"/>
          <w:sz w:val="28"/>
          <w:szCs w:val="28"/>
        </w:rPr>
        <w:t xml:space="preserve">территории </w:t>
      </w:r>
      <w:r>
        <w:rPr>
          <w:rFonts w:ascii="Times New Roman" w:hAnsi="Times New Roman"/>
          <w:sz w:val="28"/>
          <w:szCs w:val="28"/>
        </w:rPr>
        <w:t>города Куйбышева</w:t>
      </w:r>
      <w:r w:rsidRPr="003A7901">
        <w:rPr>
          <w:rFonts w:ascii="Times New Roman" w:hAnsi="Times New Roman"/>
          <w:sz w:val="28"/>
          <w:szCs w:val="28"/>
        </w:rPr>
        <w:t xml:space="preserve">. </w:t>
      </w:r>
    </w:p>
    <w:p w:rsidR="002D1E45" w:rsidRPr="000C313A" w:rsidRDefault="002D1E45" w:rsidP="000C313A">
      <w:pPr>
        <w:spacing w:after="0" w:line="240" w:lineRule="auto"/>
        <w:ind w:firstLine="709"/>
        <w:jc w:val="both"/>
        <w:rPr>
          <w:rFonts w:ascii="Times New Roman" w:hAnsi="Times New Roman"/>
          <w:i/>
          <w:color w:val="000000"/>
          <w:sz w:val="28"/>
          <w:szCs w:val="28"/>
          <w:u w:val="single"/>
        </w:rPr>
      </w:pPr>
      <w:r w:rsidRPr="000C313A">
        <w:rPr>
          <w:rFonts w:ascii="Times New Roman" w:hAnsi="Times New Roman"/>
          <w:i/>
          <w:color w:val="000000"/>
          <w:sz w:val="28"/>
          <w:szCs w:val="28"/>
          <w:u w:val="single"/>
        </w:rPr>
        <w:t>Мероприятия по</w:t>
      </w:r>
      <w:r>
        <w:rPr>
          <w:rFonts w:ascii="Times New Roman" w:hAnsi="Times New Roman"/>
          <w:i/>
          <w:color w:val="000000"/>
          <w:sz w:val="28"/>
          <w:szCs w:val="28"/>
          <w:u w:val="single"/>
        </w:rPr>
        <w:t> </w:t>
      </w:r>
      <w:r w:rsidRPr="000C313A">
        <w:rPr>
          <w:rFonts w:ascii="Times New Roman" w:hAnsi="Times New Roman"/>
          <w:i/>
          <w:color w:val="000000"/>
          <w:sz w:val="28"/>
          <w:szCs w:val="28"/>
          <w:u w:val="single"/>
        </w:rPr>
        <w:t>охране водной среды</w:t>
      </w:r>
    </w:p>
    <w:p w:rsidR="002D1E45" w:rsidRDefault="002D1E45" w:rsidP="000C313A">
      <w:pPr>
        <w:spacing w:after="0" w:line="240" w:lineRule="auto"/>
        <w:ind w:firstLine="709"/>
        <w:jc w:val="both"/>
        <w:rPr>
          <w:rFonts w:ascii="Times New Roman" w:hAnsi="Times New Roman"/>
          <w:color w:val="000000"/>
          <w:sz w:val="28"/>
          <w:szCs w:val="28"/>
        </w:rPr>
      </w:pPr>
      <w:r w:rsidRPr="000C313A">
        <w:rPr>
          <w:rFonts w:ascii="Times New Roman" w:hAnsi="Times New Roman"/>
          <w:color w:val="000000"/>
          <w:sz w:val="28"/>
          <w:szCs w:val="28"/>
        </w:rPr>
        <w:t>С целью улучшения качества вод, восстановления и</w:t>
      </w:r>
      <w:r>
        <w:rPr>
          <w:rFonts w:ascii="Times New Roman" w:hAnsi="Times New Roman"/>
          <w:color w:val="000000"/>
          <w:sz w:val="28"/>
          <w:szCs w:val="28"/>
        </w:rPr>
        <w:t> </w:t>
      </w:r>
      <w:r w:rsidRPr="000C313A">
        <w:rPr>
          <w:rFonts w:ascii="Times New Roman" w:hAnsi="Times New Roman"/>
          <w:color w:val="000000"/>
          <w:sz w:val="28"/>
          <w:szCs w:val="28"/>
        </w:rPr>
        <w:t xml:space="preserve">предотвращения загрязнения водных объектов генеральным планом муниципального образования рекомендуются следующие мероприятия: </w:t>
      </w:r>
    </w:p>
    <w:p w:rsidR="002D1E45" w:rsidRPr="000C313A" w:rsidRDefault="002D1E45" w:rsidP="00D05D06">
      <w:pPr>
        <w:numPr>
          <w:ilvl w:val="0"/>
          <w:numId w:val="63"/>
        </w:numPr>
        <w:spacing w:after="0" w:line="240" w:lineRule="auto"/>
        <w:jc w:val="both"/>
        <w:rPr>
          <w:rFonts w:ascii="Times New Roman" w:hAnsi="Times New Roman"/>
          <w:sz w:val="28"/>
          <w:szCs w:val="24"/>
          <w:lang w:eastAsia="ru-RU"/>
        </w:rPr>
      </w:pPr>
      <w:r w:rsidRPr="000C313A">
        <w:rPr>
          <w:rFonts w:ascii="Times New Roman" w:hAnsi="Times New Roman"/>
          <w:sz w:val="28"/>
          <w:szCs w:val="24"/>
          <w:lang w:eastAsia="ru-RU"/>
        </w:rPr>
        <w:t>организация водоохранных зон и</w:t>
      </w:r>
      <w:r>
        <w:rPr>
          <w:rFonts w:ascii="Times New Roman" w:hAnsi="Times New Roman"/>
          <w:sz w:val="28"/>
          <w:szCs w:val="24"/>
          <w:lang w:eastAsia="ru-RU"/>
        </w:rPr>
        <w:t> </w:t>
      </w:r>
      <w:r w:rsidRPr="000C313A">
        <w:rPr>
          <w:rFonts w:ascii="Times New Roman" w:hAnsi="Times New Roman"/>
          <w:sz w:val="28"/>
          <w:szCs w:val="24"/>
          <w:lang w:eastAsia="ru-RU"/>
        </w:rPr>
        <w:t xml:space="preserve">прибрежных защитных полос водных объектов; </w:t>
      </w:r>
    </w:p>
    <w:p w:rsidR="002D1E45" w:rsidRPr="000C313A" w:rsidRDefault="002D1E45" w:rsidP="00D05D06">
      <w:pPr>
        <w:numPr>
          <w:ilvl w:val="0"/>
          <w:numId w:val="63"/>
        </w:numPr>
        <w:spacing w:after="0" w:line="240" w:lineRule="auto"/>
        <w:jc w:val="both"/>
        <w:rPr>
          <w:rFonts w:ascii="Times New Roman" w:hAnsi="Times New Roman"/>
          <w:sz w:val="28"/>
          <w:szCs w:val="24"/>
          <w:lang w:eastAsia="ru-RU"/>
        </w:rPr>
      </w:pPr>
      <w:r w:rsidRPr="000C313A">
        <w:rPr>
          <w:rFonts w:ascii="Times New Roman" w:hAnsi="Times New Roman"/>
          <w:sz w:val="28"/>
          <w:szCs w:val="24"/>
          <w:lang w:eastAsia="ru-RU"/>
        </w:rPr>
        <w:t xml:space="preserve">расчистка русла реки, проведение берегоукрепительных работ; </w:t>
      </w:r>
    </w:p>
    <w:p w:rsidR="002D1E45" w:rsidRPr="000C313A" w:rsidRDefault="002D1E45" w:rsidP="00D05D06">
      <w:pPr>
        <w:numPr>
          <w:ilvl w:val="0"/>
          <w:numId w:val="63"/>
        </w:numPr>
        <w:spacing w:after="0" w:line="240" w:lineRule="auto"/>
        <w:jc w:val="both"/>
        <w:rPr>
          <w:rFonts w:ascii="Times New Roman" w:hAnsi="Times New Roman"/>
          <w:sz w:val="28"/>
          <w:szCs w:val="24"/>
          <w:lang w:eastAsia="ru-RU"/>
        </w:rPr>
      </w:pPr>
      <w:r w:rsidRPr="000C313A">
        <w:rPr>
          <w:rFonts w:ascii="Times New Roman" w:hAnsi="Times New Roman"/>
          <w:sz w:val="28"/>
          <w:szCs w:val="24"/>
          <w:lang w:eastAsia="ru-RU"/>
        </w:rPr>
        <w:t>организация сети ливневой канализации с</w:t>
      </w:r>
      <w:r>
        <w:rPr>
          <w:rFonts w:ascii="Times New Roman" w:hAnsi="Times New Roman"/>
          <w:sz w:val="28"/>
          <w:szCs w:val="24"/>
          <w:lang w:eastAsia="ru-RU"/>
        </w:rPr>
        <w:t> </w:t>
      </w:r>
      <w:r w:rsidRPr="000C313A">
        <w:rPr>
          <w:rFonts w:ascii="Times New Roman" w:hAnsi="Times New Roman"/>
          <w:sz w:val="28"/>
          <w:szCs w:val="24"/>
          <w:lang w:eastAsia="ru-RU"/>
        </w:rPr>
        <w:t>устройством очистных сооружений в</w:t>
      </w:r>
      <w:r>
        <w:rPr>
          <w:rFonts w:ascii="Times New Roman" w:hAnsi="Times New Roman"/>
          <w:sz w:val="28"/>
          <w:szCs w:val="24"/>
          <w:lang w:eastAsia="ru-RU"/>
        </w:rPr>
        <w:t> </w:t>
      </w:r>
      <w:r w:rsidRPr="000C313A">
        <w:rPr>
          <w:rFonts w:ascii="Times New Roman" w:hAnsi="Times New Roman"/>
          <w:sz w:val="28"/>
          <w:szCs w:val="24"/>
          <w:lang w:eastAsia="ru-RU"/>
        </w:rPr>
        <w:t xml:space="preserve">местах выпуска поверхностных вод; </w:t>
      </w:r>
    </w:p>
    <w:p w:rsidR="002D1E45" w:rsidRPr="000C313A" w:rsidRDefault="002D1E45" w:rsidP="00D05D06">
      <w:pPr>
        <w:numPr>
          <w:ilvl w:val="0"/>
          <w:numId w:val="63"/>
        </w:numPr>
        <w:spacing w:after="0" w:line="240" w:lineRule="auto"/>
        <w:jc w:val="both"/>
        <w:rPr>
          <w:rFonts w:ascii="Times New Roman" w:hAnsi="Times New Roman"/>
          <w:sz w:val="28"/>
          <w:szCs w:val="24"/>
          <w:lang w:eastAsia="ru-RU"/>
        </w:rPr>
      </w:pPr>
      <w:r w:rsidRPr="000C313A">
        <w:rPr>
          <w:rFonts w:ascii="Times New Roman" w:hAnsi="Times New Roman"/>
          <w:sz w:val="28"/>
          <w:szCs w:val="24"/>
          <w:lang w:eastAsia="ru-RU"/>
        </w:rPr>
        <w:t xml:space="preserve">строительство канализационных очистных сооружений; </w:t>
      </w:r>
    </w:p>
    <w:p w:rsidR="002D1E45" w:rsidRPr="000C313A" w:rsidRDefault="002D1E45" w:rsidP="00D05D06">
      <w:pPr>
        <w:numPr>
          <w:ilvl w:val="0"/>
          <w:numId w:val="63"/>
        </w:numPr>
        <w:spacing w:after="0" w:line="240" w:lineRule="auto"/>
        <w:jc w:val="both"/>
        <w:rPr>
          <w:rFonts w:ascii="Times New Roman" w:hAnsi="Times New Roman"/>
          <w:sz w:val="28"/>
          <w:szCs w:val="24"/>
          <w:lang w:eastAsia="ru-RU"/>
        </w:rPr>
      </w:pPr>
      <w:r w:rsidRPr="000C313A">
        <w:rPr>
          <w:rFonts w:ascii="Times New Roman" w:hAnsi="Times New Roman"/>
          <w:sz w:val="28"/>
          <w:szCs w:val="24"/>
          <w:lang w:eastAsia="ru-RU"/>
        </w:rPr>
        <w:t>мониторинг степени очистки сточных вод на</w:t>
      </w:r>
      <w:r>
        <w:rPr>
          <w:rFonts w:ascii="Times New Roman" w:hAnsi="Times New Roman"/>
          <w:sz w:val="28"/>
          <w:szCs w:val="24"/>
          <w:lang w:eastAsia="ru-RU"/>
        </w:rPr>
        <w:t> </w:t>
      </w:r>
      <w:r w:rsidRPr="000C313A">
        <w:rPr>
          <w:rFonts w:ascii="Times New Roman" w:hAnsi="Times New Roman"/>
          <w:sz w:val="28"/>
          <w:szCs w:val="24"/>
          <w:lang w:eastAsia="ru-RU"/>
        </w:rPr>
        <w:t xml:space="preserve">канализационных очистных сооружениях; </w:t>
      </w:r>
    </w:p>
    <w:p w:rsidR="002D1E45" w:rsidRPr="000C313A" w:rsidRDefault="002D1E45" w:rsidP="00D05D06">
      <w:pPr>
        <w:numPr>
          <w:ilvl w:val="0"/>
          <w:numId w:val="63"/>
        </w:numPr>
        <w:spacing w:after="0" w:line="240" w:lineRule="auto"/>
        <w:jc w:val="both"/>
        <w:rPr>
          <w:rFonts w:ascii="Times New Roman" w:hAnsi="Times New Roman"/>
          <w:sz w:val="28"/>
          <w:szCs w:val="24"/>
          <w:lang w:eastAsia="ru-RU"/>
        </w:rPr>
      </w:pPr>
      <w:r w:rsidRPr="000C313A">
        <w:rPr>
          <w:rFonts w:ascii="Times New Roman" w:hAnsi="Times New Roman"/>
          <w:sz w:val="28"/>
          <w:szCs w:val="24"/>
          <w:lang w:eastAsia="ru-RU"/>
        </w:rPr>
        <w:t xml:space="preserve">разработка проектов установления границ поясов ЗСО источников водоснабжения; </w:t>
      </w:r>
    </w:p>
    <w:p w:rsidR="002D1E45" w:rsidRPr="000C313A" w:rsidRDefault="002D1E45" w:rsidP="00D05D06">
      <w:pPr>
        <w:numPr>
          <w:ilvl w:val="0"/>
          <w:numId w:val="63"/>
        </w:numPr>
        <w:spacing w:after="0" w:line="240" w:lineRule="auto"/>
        <w:jc w:val="both"/>
        <w:rPr>
          <w:rFonts w:ascii="Times New Roman" w:hAnsi="Times New Roman"/>
          <w:sz w:val="28"/>
          <w:szCs w:val="24"/>
          <w:lang w:eastAsia="ru-RU"/>
        </w:rPr>
      </w:pPr>
      <w:r w:rsidRPr="000C313A">
        <w:rPr>
          <w:rFonts w:ascii="Times New Roman" w:hAnsi="Times New Roman"/>
          <w:sz w:val="28"/>
          <w:szCs w:val="24"/>
          <w:lang w:eastAsia="ru-RU"/>
        </w:rPr>
        <w:t>прекращение сбросов загрязнённых промышленных, сельскохозяйственных и</w:t>
      </w:r>
      <w:r>
        <w:rPr>
          <w:rFonts w:ascii="Times New Roman" w:hAnsi="Times New Roman"/>
          <w:sz w:val="28"/>
          <w:szCs w:val="24"/>
          <w:lang w:eastAsia="ru-RU"/>
        </w:rPr>
        <w:t> </w:t>
      </w:r>
      <w:r w:rsidRPr="000C313A">
        <w:rPr>
          <w:rFonts w:ascii="Times New Roman" w:hAnsi="Times New Roman"/>
          <w:sz w:val="28"/>
          <w:szCs w:val="24"/>
          <w:lang w:eastAsia="ru-RU"/>
        </w:rPr>
        <w:t>поверхностных сточных вод на</w:t>
      </w:r>
      <w:r>
        <w:rPr>
          <w:rFonts w:ascii="Times New Roman" w:hAnsi="Times New Roman"/>
          <w:sz w:val="28"/>
          <w:szCs w:val="24"/>
          <w:lang w:eastAsia="ru-RU"/>
        </w:rPr>
        <w:t> </w:t>
      </w:r>
      <w:r w:rsidRPr="000C313A">
        <w:rPr>
          <w:rFonts w:ascii="Times New Roman" w:hAnsi="Times New Roman"/>
          <w:sz w:val="28"/>
          <w:szCs w:val="24"/>
          <w:lang w:eastAsia="ru-RU"/>
        </w:rPr>
        <w:t>рельеф;</w:t>
      </w:r>
    </w:p>
    <w:p w:rsidR="002D1E45" w:rsidRPr="000C313A" w:rsidRDefault="002D1E45" w:rsidP="00D05D06">
      <w:pPr>
        <w:numPr>
          <w:ilvl w:val="0"/>
          <w:numId w:val="63"/>
        </w:numPr>
        <w:spacing w:after="0" w:line="240" w:lineRule="auto"/>
        <w:jc w:val="both"/>
        <w:rPr>
          <w:rFonts w:ascii="Times New Roman" w:hAnsi="Times New Roman"/>
          <w:sz w:val="28"/>
          <w:szCs w:val="24"/>
          <w:lang w:eastAsia="ru-RU"/>
        </w:rPr>
      </w:pPr>
      <w:r w:rsidRPr="000C313A">
        <w:rPr>
          <w:rFonts w:ascii="Times New Roman" w:hAnsi="Times New Roman"/>
          <w:sz w:val="28"/>
          <w:szCs w:val="24"/>
          <w:lang w:eastAsia="ru-RU"/>
        </w:rPr>
        <w:t>сокращение объёмов водопотребления на</w:t>
      </w:r>
      <w:r>
        <w:rPr>
          <w:rFonts w:ascii="Times New Roman" w:hAnsi="Times New Roman"/>
          <w:sz w:val="28"/>
          <w:szCs w:val="24"/>
          <w:lang w:eastAsia="ru-RU"/>
        </w:rPr>
        <w:t> </w:t>
      </w:r>
      <w:r w:rsidRPr="000C313A">
        <w:rPr>
          <w:rFonts w:ascii="Times New Roman" w:hAnsi="Times New Roman"/>
          <w:sz w:val="28"/>
          <w:szCs w:val="24"/>
          <w:lang w:eastAsia="ru-RU"/>
        </w:rPr>
        <w:t>производственные нужды за</w:t>
      </w:r>
      <w:r>
        <w:rPr>
          <w:rFonts w:ascii="Times New Roman" w:hAnsi="Times New Roman"/>
          <w:sz w:val="28"/>
          <w:szCs w:val="24"/>
          <w:lang w:eastAsia="ru-RU"/>
        </w:rPr>
        <w:t> </w:t>
      </w:r>
      <w:r w:rsidRPr="000C313A">
        <w:rPr>
          <w:rFonts w:ascii="Times New Roman" w:hAnsi="Times New Roman"/>
          <w:sz w:val="28"/>
          <w:szCs w:val="24"/>
          <w:lang w:eastAsia="ru-RU"/>
        </w:rPr>
        <w:t>счёт внедрения маловодных технологий, а</w:t>
      </w:r>
      <w:r>
        <w:rPr>
          <w:rFonts w:ascii="Times New Roman" w:hAnsi="Times New Roman"/>
          <w:sz w:val="28"/>
          <w:szCs w:val="24"/>
          <w:lang w:eastAsia="ru-RU"/>
        </w:rPr>
        <w:t> </w:t>
      </w:r>
      <w:r w:rsidRPr="000C313A">
        <w:rPr>
          <w:rFonts w:ascii="Times New Roman" w:hAnsi="Times New Roman"/>
          <w:sz w:val="28"/>
          <w:szCs w:val="24"/>
          <w:lang w:eastAsia="ru-RU"/>
        </w:rPr>
        <w:t>также увеличение доли оборотного водоснабжения и</w:t>
      </w:r>
      <w:r>
        <w:rPr>
          <w:rFonts w:ascii="Times New Roman" w:hAnsi="Times New Roman"/>
          <w:sz w:val="28"/>
          <w:szCs w:val="24"/>
          <w:lang w:eastAsia="ru-RU"/>
        </w:rPr>
        <w:t> </w:t>
      </w:r>
      <w:r w:rsidRPr="000C313A">
        <w:rPr>
          <w:rFonts w:ascii="Times New Roman" w:hAnsi="Times New Roman"/>
          <w:sz w:val="28"/>
          <w:szCs w:val="24"/>
          <w:lang w:eastAsia="ru-RU"/>
        </w:rPr>
        <w:t>повторного использования очищенных сточных вод.</w:t>
      </w:r>
    </w:p>
    <w:p w:rsidR="002D1E45" w:rsidRDefault="002D1E45" w:rsidP="000C313A">
      <w:pPr>
        <w:spacing w:after="0" w:line="240" w:lineRule="auto"/>
        <w:ind w:firstLine="709"/>
        <w:jc w:val="both"/>
        <w:rPr>
          <w:rFonts w:ascii="Times New Roman" w:hAnsi="Times New Roman"/>
          <w:color w:val="000000"/>
          <w:sz w:val="28"/>
          <w:szCs w:val="28"/>
        </w:rPr>
      </w:pPr>
      <w:r w:rsidRPr="000C313A">
        <w:rPr>
          <w:rFonts w:ascii="Times New Roman" w:hAnsi="Times New Roman"/>
          <w:color w:val="000000"/>
          <w:sz w:val="28"/>
          <w:szCs w:val="28"/>
        </w:rPr>
        <w:t>Для предотвращения загрязнения водных объектов стоками с</w:t>
      </w:r>
      <w:r>
        <w:rPr>
          <w:rFonts w:ascii="Times New Roman" w:hAnsi="Times New Roman"/>
          <w:color w:val="000000"/>
          <w:sz w:val="28"/>
          <w:szCs w:val="28"/>
        </w:rPr>
        <w:t> </w:t>
      </w:r>
      <w:r w:rsidRPr="000C313A">
        <w:rPr>
          <w:rFonts w:ascii="Times New Roman" w:hAnsi="Times New Roman"/>
          <w:color w:val="000000"/>
          <w:sz w:val="28"/>
          <w:szCs w:val="28"/>
        </w:rPr>
        <w:t>производственных, сельскохозяйственных и</w:t>
      </w:r>
      <w:r>
        <w:rPr>
          <w:rFonts w:ascii="Times New Roman" w:hAnsi="Times New Roman"/>
          <w:color w:val="000000"/>
          <w:sz w:val="28"/>
          <w:szCs w:val="28"/>
        </w:rPr>
        <w:t> </w:t>
      </w:r>
      <w:r w:rsidRPr="000C313A">
        <w:rPr>
          <w:rFonts w:ascii="Times New Roman" w:hAnsi="Times New Roman"/>
          <w:color w:val="000000"/>
          <w:sz w:val="28"/>
          <w:szCs w:val="28"/>
        </w:rPr>
        <w:t xml:space="preserve">коммунально-складских территорий необходимо проведение следующих мероприятий: </w:t>
      </w:r>
    </w:p>
    <w:p w:rsidR="002D1E45" w:rsidRPr="000C313A" w:rsidRDefault="002D1E45" w:rsidP="00D05D06">
      <w:pPr>
        <w:numPr>
          <w:ilvl w:val="0"/>
          <w:numId w:val="63"/>
        </w:numPr>
        <w:spacing w:after="0" w:line="240" w:lineRule="auto"/>
        <w:jc w:val="both"/>
        <w:rPr>
          <w:rFonts w:ascii="Times New Roman" w:hAnsi="Times New Roman"/>
          <w:sz w:val="28"/>
          <w:szCs w:val="24"/>
          <w:lang w:eastAsia="ru-RU"/>
        </w:rPr>
      </w:pPr>
      <w:r w:rsidRPr="000C313A">
        <w:rPr>
          <w:rFonts w:ascii="Times New Roman" w:hAnsi="Times New Roman"/>
          <w:sz w:val="28"/>
          <w:szCs w:val="24"/>
          <w:lang w:eastAsia="ru-RU"/>
        </w:rPr>
        <w:t>строительство ливневой канализации на</w:t>
      </w:r>
      <w:r>
        <w:rPr>
          <w:rFonts w:ascii="Times New Roman" w:hAnsi="Times New Roman"/>
          <w:sz w:val="28"/>
          <w:szCs w:val="24"/>
          <w:lang w:eastAsia="ru-RU"/>
        </w:rPr>
        <w:t> </w:t>
      </w:r>
      <w:r w:rsidRPr="000C313A">
        <w:rPr>
          <w:rFonts w:ascii="Times New Roman" w:hAnsi="Times New Roman"/>
          <w:sz w:val="28"/>
          <w:szCs w:val="24"/>
          <w:lang w:eastAsia="ru-RU"/>
        </w:rPr>
        <w:t>территории промышленных, сельскохозяйственных и</w:t>
      </w:r>
      <w:r>
        <w:rPr>
          <w:rFonts w:ascii="Times New Roman" w:hAnsi="Times New Roman"/>
          <w:sz w:val="28"/>
          <w:szCs w:val="24"/>
          <w:lang w:eastAsia="ru-RU"/>
        </w:rPr>
        <w:t> </w:t>
      </w:r>
      <w:r w:rsidRPr="000C313A">
        <w:rPr>
          <w:rFonts w:ascii="Times New Roman" w:hAnsi="Times New Roman"/>
          <w:sz w:val="28"/>
          <w:szCs w:val="24"/>
          <w:lang w:eastAsia="ru-RU"/>
        </w:rPr>
        <w:t xml:space="preserve">коммунально-складских зон; </w:t>
      </w:r>
    </w:p>
    <w:p w:rsidR="002D1E45" w:rsidRPr="000C313A" w:rsidRDefault="002D1E45" w:rsidP="00D05D06">
      <w:pPr>
        <w:numPr>
          <w:ilvl w:val="0"/>
          <w:numId w:val="63"/>
        </w:numPr>
        <w:spacing w:after="0" w:line="240" w:lineRule="auto"/>
        <w:jc w:val="both"/>
        <w:rPr>
          <w:rFonts w:ascii="Times New Roman" w:hAnsi="Times New Roman"/>
          <w:sz w:val="28"/>
          <w:szCs w:val="24"/>
          <w:lang w:eastAsia="ru-RU"/>
        </w:rPr>
      </w:pPr>
      <w:r w:rsidRPr="000C313A">
        <w:rPr>
          <w:rFonts w:ascii="Times New Roman" w:hAnsi="Times New Roman"/>
          <w:sz w:val="28"/>
          <w:szCs w:val="24"/>
          <w:lang w:eastAsia="ru-RU"/>
        </w:rPr>
        <w:t>строительство локальных очистных сооружений на</w:t>
      </w:r>
      <w:r>
        <w:rPr>
          <w:rFonts w:ascii="Times New Roman" w:hAnsi="Times New Roman"/>
          <w:sz w:val="28"/>
          <w:szCs w:val="24"/>
          <w:lang w:eastAsia="ru-RU"/>
        </w:rPr>
        <w:t> </w:t>
      </w:r>
      <w:r w:rsidRPr="000C313A">
        <w:rPr>
          <w:rFonts w:ascii="Times New Roman" w:hAnsi="Times New Roman"/>
          <w:sz w:val="28"/>
          <w:szCs w:val="24"/>
          <w:lang w:eastAsia="ru-RU"/>
        </w:rPr>
        <w:t>предприятиях.</w:t>
      </w:r>
    </w:p>
    <w:p w:rsidR="002D1E45" w:rsidRPr="000C313A" w:rsidRDefault="002D1E45" w:rsidP="000C313A">
      <w:pPr>
        <w:spacing w:after="0" w:line="240" w:lineRule="auto"/>
        <w:ind w:firstLine="709"/>
        <w:jc w:val="both"/>
        <w:rPr>
          <w:rFonts w:ascii="Times New Roman" w:hAnsi="Times New Roman"/>
          <w:color w:val="000000"/>
          <w:sz w:val="28"/>
          <w:szCs w:val="28"/>
        </w:rPr>
      </w:pPr>
      <w:r w:rsidRPr="000C313A">
        <w:rPr>
          <w:rFonts w:ascii="Times New Roman" w:hAnsi="Times New Roman"/>
          <w:color w:val="000000"/>
          <w:sz w:val="28"/>
          <w:szCs w:val="28"/>
        </w:rPr>
        <w:t>К основным организационным мероприятиям по</w:t>
      </w:r>
      <w:r>
        <w:rPr>
          <w:rFonts w:ascii="Times New Roman" w:hAnsi="Times New Roman"/>
          <w:color w:val="000000"/>
          <w:sz w:val="28"/>
          <w:szCs w:val="28"/>
        </w:rPr>
        <w:t> </w:t>
      </w:r>
      <w:r w:rsidRPr="000C313A">
        <w:rPr>
          <w:rFonts w:ascii="Times New Roman" w:hAnsi="Times New Roman"/>
          <w:color w:val="000000"/>
          <w:sz w:val="28"/>
          <w:szCs w:val="28"/>
        </w:rPr>
        <w:t>охране поверхностных и</w:t>
      </w:r>
      <w:r>
        <w:rPr>
          <w:rFonts w:ascii="Times New Roman" w:hAnsi="Times New Roman"/>
          <w:color w:val="000000"/>
          <w:sz w:val="28"/>
          <w:szCs w:val="28"/>
        </w:rPr>
        <w:t> </w:t>
      </w:r>
      <w:r w:rsidRPr="000C313A">
        <w:rPr>
          <w:rFonts w:ascii="Times New Roman" w:hAnsi="Times New Roman"/>
          <w:color w:val="000000"/>
          <w:sz w:val="28"/>
          <w:szCs w:val="28"/>
        </w:rPr>
        <w:t>подземных вод на</w:t>
      </w:r>
      <w:r>
        <w:rPr>
          <w:rFonts w:ascii="Times New Roman" w:hAnsi="Times New Roman"/>
          <w:color w:val="000000"/>
          <w:sz w:val="28"/>
          <w:szCs w:val="28"/>
        </w:rPr>
        <w:t> </w:t>
      </w:r>
      <w:r w:rsidRPr="000C313A">
        <w:rPr>
          <w:rFonts w:ascii="Times New Roman" w:hAnsi="Times New Roman"/>
          <w:color w:val="000000"/>
          <w:sz w:val="28"/>
          <w:szCs w:val="28"/>
        </w:rPr>
        <w:t>территории относятся: создание системы мониторинга водных объектов; эколого-токсикологическое исследование состояния водных объектов; организация мониторинга за</w:t>
      </w:r>
      <w:r>
        <w:rPr>
          <w:rFonts w:ascii="Times New Roman" w:hAnsi="Times New Roman"/>
          <w:color w:val="000000"/>
          <w:sz w:val="28"/>
          <w:szCs w:val="28"/>
        </w:rPr>
        <w:t> </w:t>
      </w:r>
      <w:r w:rsidRPr="000C313A">
        <w:rPr>
          <w:rFonts w:ascii="Times New Roman" w:hAnsi="Times New Roman"/>
          <w:color w:val="000000"/>
          <w:sz w:val="28"/>
          <w:szCs w:val="28"/>
        </w:rPr>
        <w:t>состоянием водопроводящих сетей и</w:t>
      </w:r>
      <w:r>
        <w:rPr>
          <w:rFonts w:ascii="Times New Roman" w:hAnsi="Times New Roman"/>
          <w:color w:val="000000"/>
          <w:sz w:val="28"/>
          <w:szCs w:val="28"/>
        </w:rPr>
        <w:t> </w:t>
      </w:r>
      <w:r w:rsidRPr="000C313A">
        <w:rPr>
          <w:rFonts w:ascii="Times New Roman" w:hAnsi="Times New Roman"/>
          <w:color w:val="000000"/>
          <w:sz w:val="28"/>
          <w:szCs w:val="28"/>
        </w:rPr>
        <w:t>своевременное проведение мероприятий по</w:t>
      </w:r>
      <w:r>
        <w:rPr>
          <w:rFonts w:ascii="Times New Roman" w:hAnsi="Times New Roman"/>
          <w:color w:val="000000"/>
          <w:sz w:val="28"/>
          <w:szCs w:val="28"/>
        </w:rPr>
        <w:t> </w:t>
      </w:r>
      <w:r w:rsidRPr="000C313A">
        <w:rPr>
          <w:rFonts w:ascii="Times New Roman" w:hAnsi="Times New Roman"/>
          <w:color w:val="000000"/>
          <w:sz w:val="28"/>
          <w:szCs w:val="28"/>
        </w:rPr>
        <w:t>предупреждению утечек из</w:t>
      </w:r>
      <w:r>
        <w:rPr>
          <w:rFonts w:ascii="Times New Roman" w:hAnsi="Times New Roman"/>
          <w:color w:val="000000"/>
          <w:sz w:val="28"/>
          <w:szCs w:val="28"/>
        </w:rPr>
        <w:t> </w:t>
      </w:r>
      <w:r w:rsidRPr="000C313A">
        <w:rPr>
          <w:rFonts w:ascii="Times New Roman" w:hAnsi="Times New Roman"/>
          <w:color w:val="000000"/>
          <w:sz w:val="28"/>
          <w:szCs w:val="28"/>
        </w:rPr>
        <w:t>систем водопровода и</w:t>
      </w:r>
      <w:r>
        <w:rPr>
          <w:rFonts w:ascii="Times New Roman" w:hAnsi="Times New Roman"/>
          <w:color w:val="000000"/>
          <w:sz w:val="28"/>
          <w:szCs w:val="28"/>
        </w:rPr>
        <w:t> </w:t>
      </w:r>
      <w:r w:rsidRPr="000C313A">
        <w:rPr>
          <w:rFonts w:ascii="Times New Roman" w:hAnsi="Times New Roman"/>
          <w:color w:val="000000"/>
          <w:sz w:val="28"/>
          <w:szCs w:val="28"/>
        </w:rPr>
        <w:t>канализации.</w:t>
      </w:r>
    </w:p>
    <w:p w:rsidR="002D1E45" w:rsidRPr="000C313A" w:rsidRDefault="002D1E45" w:rsidP="000C313A">
      <w:pPr>
        <w:spacing w:after="0" w:line="240" w:lineRule="auto"/>
        <w:ind w:firstLine="709"/>
        <w:jc w:val="both"/>
        <w:rPr>
          <w:rFonts w:ascii="Times New Roman" w:hAnsi="Times New Roman"/>
          <w:i/>
          <w:color w:val="000000"/>
          <w:sz w:val="28"/>
          <w:szCs w:val="28"/>
          <w:u w:val="single"/>
        </w:rPr>
      </w:pPr>
      <w:r w:rsidRPr="000C313A">
        <w:rPr>
          <w:rFonts w:ascii="Times New Roman" w:hAnsi="Times New Roman"/>
          <w:i/>
          <w:color w:val="000000"/>
          <w:sz w:val="28"/>
          <w:szCs w:val="28"/>
          <w:u w:val="single"/>
        </w:rPr>
        <w:t>Мероприятия по</w:t>
      </w:r>
      <w:r>
        <w:rPr>
          <w:rFonts w:ascii="Times New Roman" w:hAnsi="Times New Roman"/>
          <w:i/>
          <w:color w:val="000000"/>
          <w:sz w:val="28"/>
          <w:szCs w:val="28"/>
          <w:u w:val="single"/>
        </w:rPr>
        <w:t> </w:t>
      </w:r>
      <w:r w:rsidRPr="000C313A">
        <w:rPr>
          <w:rFonts w:ascii="Times New Roman" w:hAnsi="Times New Roman"/>
          <w:i/>
          <w:color w:val="000000"/>
          <w:sz w:val="28"/>
          <w:szCs w:val="28"/>
          <w:u w:val="single"/>
        </w:rPr>
        <w:t>охране почвенного покрова</w:t>
      </w:r>
    </w:p>
    <w:p w:rsidR="002D1E45" w:rsidRDefault="002D1E45" w:rsidP="000C313A">
      <w:pPr>
        <w:spacing w:after="0" w:line="240" w:lineRule="auto"/>
        <w:ind w:firstLine="709"/>
        <w:jc w:val="both"/>
        <w:rPr>
          <w:rFonts w:ascii="Times New Roman" w:hAnsi="Times New Roman"/>
          <w:color w:val="000000"/>
          <w:sz w:val="28"/>
          <w:szCs w:val="28"/>
        </w:rPr>
      </w:pPr>
      <w:r w:rsidRPr="000C313A">
        <w:rPr>
          <w:rFonts w:ascii="Times New Roman" w:hAnsi="Times New Roman"/>
          <w:color w:val="000000"/>
          <w:sz w:val="28"/>
          <w:szCs w:val="28"/>
        </w:rPr>
        <w:t>Для предотвращения загрязнения, деградации и</w:t>
      </w:r>
      <w:r>
        <w:rPr>
          <w:rFonts w:ascii="Times New Roman" w:hAnsi="Times New Roman"/>
          <w:color w:val="000000"/>
          <w:sz w:val="28"/>
          <w:szCs w:val="28"/>
        </w:rPr>
        <w:t> </w:t>
      </w:r>
      <w:r w:rsidRPr="000C313A">
        <w:rPr>
          <w:rFonts w:ascii="Times New Roman" w:hAnsi="Times New Roman"/>
          <w:color w:val="000000"/>
          <w:sz w:val="28"/>
          <w:szCs w:val="28"/>
        </w:rPr>
        <w:t>разрушения почвенного покрова в</w:t>
      </w:r>
      <w:r>
        <w:rPr>
          <w:rFonts w:ascii="Times New Roman" w:hAnsi="Times New Roman"/>
          <w:color w:val="000000"/>
          <w:sz w:val="28"/>
          <w:szCs w:val="28"/>
        </w:rPr>
        <w:t> </w:t>
      </w:r>
      <w:r w:rsidRPr="000C313A">
        <w:rPr>
          <w:rFonts w:ascii="Times New Roman" w:hAnsi="Times New Roman"/>
          <w:color w:val="000000"/>
          <w:sz w:val="28"/>
          <w:szCs w:val="28"/>
        </w:rPr>
        <w:t xml:space="preserve">границах проектируемой территории генеральным планом рекомендуются следующие мероприятия: </w:t>
      </w:r>
    </w:p>
    <w:p w:rsidR="002D1E45" w:rsidRPr="000C313A" w:rsidRDefault="002D1E45" w:rsidP="00D05D06">
      <w:pPr>
        <w:numPr>
          <w:ilvl w:val="0"/>
          <w:numId w:val="63"/>
        </w:numPr>
        <w:spacing w:after="0" w:line="240" w:lineRule="auto"/>
        <w:jc w:val="both"/>
        <w:rPr>
          <w:rFonts w:ascii="Times New Roman" w:hAnsi="Times New Roman"/>
          <w:sz w:val="28"/>
          <w:szCs w:val="24"/>
          <w:lang w:eastAsia="ru-RU"/>
        </w:rPr>
      </w:pPr>
      <w:r w:rsidRPr="000C313A">
        <w:rPr>
          <w:rFonts w:ascii="Times New Roman" w:hAnsi="Times New Roman"/>
          <w:sz w:val="28"/>
          <w:szCs w:val="24"/>
          <w:lang w:eastAsia="ru-RU"/>
        </w:rPr>
        <w:t>инженерная подготовка территории, планируемой к</w:t>
      </w:r>
      <w:r>
        <w:rPr>
          <w:rFonts w:ascii="Times New Roman" w:hAnsi="Times New Roman"/>
          <w:sz w:val="28"/>
          <w:szCs w:val="24"/>
          <w:lang w:eastAsia="ru-RU"/>
        </w:rPr>
        <w:t> </w:t>
      </w:r>
      <w:r w:rsidRPr="000C313A">
        <w:rPr>
          <w:rFonts w:ascii="Times New Roman" w:hAnsi="Times New Roman"/>
          <w:sz w:val="28"/>
          <w:szCs w:val="24"/>
          <w:lang w:eastAsia="ru-RU"/>
        </w:rPr>
        <w:t>застройке, устройство сети ливневой канализации с</w:t>
      </w:r>
      <w:r>
        <w:rPr>
          <w:rFonts w:ascii="Times New Roman" w:hAnsi="Times New Roman"/>
          <w:sz w:val="28"/>
          <w:szCs w:val="24"/>
          <w:lang w:eastAsia="ru-RU"/>
        </w:rPr>
        <w:t> </w:t>
      </w:r>
      <w:r w:rsidRPr="000C313A">
        <w:rPr>
          <w:rFonts w:ascii="Times New Roman" w:hAnsi="Times New Roman"/>
          <w:sz w:val="28"/>
          <w:szCs w:val="24"/>
          <w:lang w:eastAsia="ru-RU"/>
        </w:rPr>
        <w:t>очистными сооружениями; сброс дождевых вод в</w:t>
      </w:r>
      <w:r>
        <w:rPr>
          <w:rFonts w:ascii="Times New Roman" w:hAnsi="Times New Roman"/>
          <w:sz w:val="28"/>
          <w:szCs w:val="24"/>
          <w:lang w:eastAsia="ru-RU"/>
        </w:rPr>
        <w:t> </w:t>
      </w:r>
      <w:r w:rsidRPr="000C313A">
        <w:rPr>
          <w:rFonts w:ascii="Times New Roman" w:hAnsi="Times New Roman"/>
          <w:sz w:val="28"/>
          <w:szCs w:val="24"/>
          <w:lang w:eastAsia="ru-RU"/>
        </w:rPr>
        <w:t xml:space="preserve">сеть ливневой канализации; </w:t>
      </w:r>
    </w:p>
    <w:p w:rsidR="002D1E45" w:rsidRPr="000C313A" w:rsidRDefault="002D1E45" w:rsidP="00D05D06">
      <w:pPr>
        <w:numPr>
          <w:ilvl w:val="0"/>
          <w:numId w:val="63"/>
        </w:numPr>
        <w:spacing w:after="0" w:line="240" w:lineRule="auto"/>
        <w:jc w:val="both"/>
        <w:rPr>
          <w:rFonts w:ascii="Times New Roman" w:hAnsi="Times New Roman"/>
          <w:sz w:val="28"/>
          <w:szCs w:val="24"/>
          <w:lang w:eastAsia="ru-RU"/>
        </w:rPr>
      </w:pPr>
      <w:r w:rsidRPr="000C313A">
        <w:rPr>
          <w:rFonts w:ascii="Times New Roman" w:hAnsi="Times New Roman"/>
          <w:sz w:val="28"/>
          <w:szCs w:val="24"/>
          <w:lang w:eastAsia="ru-RU"/>
        </w:rPr>
        <w:t xml:space="preserve">устройство асфальтобетонного покрытия дорог; </w:t>
      </w:r>
    </w:p>
    <w:p w:rsidR="002D1E45" w:rsidRPr="000C313A" w:rsidRDefault="002D1E45" w:rsidP="00D05D06">
      <w:pPr>
        <w:numPr>
          <w:ilvl w:val="0"/>
          <w:numId w:val="63"/>
        </w:numPr>
        <w:spacing w:after="0" w:line="240" w:lineRule="auto"/>
        <w:jc w:val="both"/>
        <w:rPr>
          <w:rFonts w:ascii="Times New Roman" w:hAnsi="Times New Roman"/>
          <w:sz w:val="28"/>
          <w:szCs w:val="24"/>
          <w:lang w:eastAsia="ru-RU"/>
        </w:rPr>
      </w:pPr>
      <w:r w:rsidRPr="000C313A">
        <w:rPr>
          <w:rFonts w:ascii="Times New Roman" w:hAnsi="Times New Roman"/>
          <w:sz w:val="28"/>
          <w:szCs w:val="24"/>
          <w:lang w:eastAsia="ru-RU"/>
        </w:rPr>
        <w:t xml:space="preserve">устройство отмосток вдоль стен зданий; </w:t>
      </w:r>
    </w:p>
    <w:p w:rsidR="002D1E45" w:rsidRPr="000C313A" w:rsidRDefault="002D1E45" w:rsidP="00D05D06">
      <w:pPr>
        <w:numPr>
          <w:ilvl w:val="0"/>
          <w:numId w:val="63"/>
        </w:numPr>
        <w:spacing w:after="0" w:line="240" w:lineRule="auto"/>
        <w:jc w:val="both"/>
        <w:rPr>
          <w:rFonts w:ascii="Times New Roman" w:hAnsi="Times New Roman"/>
          <w:sz w:val="28"/>
          <w:szCs w:val="24"/>
          <w:lang w:eastAsia="ru-RU"/>
        </w:rPr>
      </w:pPr>
      <w:r w:rsidRPr="000C313A">
        <w:rPr>
          <w:rFonts w:ascii="Times New Roman" w:hAnsi="Times New Roman"/>
          <w:sz w:val="28"/>
          <w:szCs w:val="24"/>
          <w:lang w:eastAsia="ru-RU"/>
        </w:rPr>
        <w:t>расчистка, благоустройство и</w:t>
      </w:r>
      <w:r>
        <w:rPr>
          <w:rFonts w:ascii="Times New Roman" w:hAnsi="Times New Roman"/>
          <w:sz w:val="28"/>
          <w:szCs w:val="24"/>
          <w:lang w:eastAsia="ru-RU"/>
        </w:rPr>
        <w:t> </w:t>
      </w:r>
      <w:r w:rsidRPr="000C313A">
        <w:rPr>
          <w:rFonts w:ascii="Times New Roman" w:hAnsi="Times New Roman"/>
          <w:sz w:val="28"/>
          <w:szCs w:val="24"/>
          <w:lang w:eastAsia="ru-RU"/>
        </w:rPr>
        <w:t>озеленение прибрежных территорий водных объектов; защита от</w:t>
      </w:r>
      <w:r>
        <w:rPr>
          <w:rFonts w:ascii="Times New Roman" w:hAnsi="Times New Roman"/>
          <w:sz w:val="28"/>
          <w:szCs w:val="24"/>
          <w:lang w:eastAsia="ru-RU"/>
        </w:rPr>
        <w:t> </w:t>
      </w:r>
      <w:r w:rsidRPr="000C313A">
        <w:rPr>
          <w:rFonts w:ascii="Times New Roman" w:hAnsi="Times New Roman"/>
          <w:sz w:val="28"/>
          <w:szCs w:val="24"/>
          <w:lang w:eastAsia="ru-RU"/>
        </w:rPr>
        <w:t xml:space="preserve">береговой эрозии путём проведения берегоукрепительных работ, строительство набережных; </w:t>
      </w:r>
    </w:p>
    <w:p w:rsidR="002D1E45" w:rsidRPr="000C313A" w:rsidRDefault="002D1E45" w:rsidP="00D05D06">
      <w:pPr>
        <w:numPr>
          <w:ilvl w:val="0"/>
          <w:numId w:val="63"/>
        </w:numPr>
        <w:spacing w:after="0" w:line="240" w:lineRule="auto"/>
        <w:jc w:val="both"/>
        <w:rPr>
          <w:rFonts w:ascii="Times New Roman" w:hAnsi="Times New Roman"/>
          <w:sz w:val="28"/>
          <w:szCs w:val="24"/>
          <w:lang w:eastAsia="ru-RU"/>
        </w:rPr>
      </w:pPr>
      <w:r w:rsidRPr="000C313A">
        <w:rPr>
          <w:rFonts w:ascii="Times New Roman" w:hAnsi="Times New Roman"/>
          <w:sz w:val="28"/>
          <w:szCs w:val="24"/>
          <w:lang w:eastAsia="ru-RU"/>
        </w:rPr>
        <w:t>для уменьшения пыли – благоустройство улиц и</w:t>
      </w:r>
      <w:r>
        <w:rPr>
          <w:rFonts w:ascii="Times New Roman" w:hAnsi="Times New Roman"/>
          <w:sz w:val="28"/>
          <w:szCs w:val="24"/>
          <w:lang w:eastAsia="ru-RU"/>
        </w:rPr>
        <w:t> </w:t>
      </w:r>
      <w:r w:rsidRPr="000C313A">
        <w:rPr>
          <w:rFonts w:ascii="Times New Roman" w:hAnsi="Times New Roman"/>
          <w:sz w:val="28"/>
          <w:szCs w:val="24"/>
          <w:lang w:eastAsia="ru-RU"/>
        </w:rPr>
        <w:t>дорог, газонное озеленение; биологическая очистка почв и</w:t>
      </w:r>
      <w:r>
        <w:rPr>
          <w:rFonts w:ascii="Times New Roman" w:hAnsi="Times New Roman"/>
          <w:sz w:val="28"/>
          <w:szCs w:val="24"/>
          <w:lang w:eastAsia="ru-RU"/>
        </w:rPr>
        <w:t> </w:t>
      </w:r>
      <w:r w:rsidRPr="000C313A">
        <w:rPr>
          <w:rFonts w:ascii="Times New Roman" w:hAnsi="Times New Roman"/>
          <w:sz w:val="28"/>
          <w:szCs w:val="24"/>
          <w:lang w:eastAsia="ru-RU"/>
        </w:rPr>
        <w:t>воздуха за</w:t>
      </w:r>
      <w:r>
        <w:rPr>
          <w:rFonts w:ascii="Times New Roman" w:hAnsi="Times New Roman"/>
          <w:sz w:val="28"/>
          <w:szCs w:val="24"/>
          <w:lang w:eastAsia="ru-RU"/>
        </w:rPr>
        <w:t> </w:t>
      </w:r>
      <w:r w:rsidRPr="000C313A">
        <w:rPr>
          <w:rFonts w:ascii="Times New Roman" w:hAnsi="Times New Roman"/>
          <w:sz w:val="28"/>
          <w:szCs w:val="24"/>
          <w:lang w:eastAsia="ru-RU"/>
        </w:rPr>
        <w:t xml:space="preserve">счёт увеличения площади зелёных насаждений всех категорий; </w:t>
      </w:r>
    </w:p>
    <w:p w:rsidR="002D1E45" w:rsidRPr="000C313A" w:rsidRDefault="002D1E45" w:rsidP="00D05D06">
      <w:pPr>
        <w:numPr>
          <w:ilvl w:val="0"/>
          <w:numId w:val="63"/>
        </w:numPr>
        <w:spacing w:after="0" w:line="240" w:lineRule="auto"/>
        <w:jc w:val="both"/>
        <w:rPr>
          <w:rFonts w:ascii="Times New Roman" w:hAnsi="Times New Roman"/>
          <w:sz w:val="28"/>
          <w:szCs w:val="24"/>
          <w:lang w:eastAsia="ru-RU"/>
        </w:rPr>
      </w:pPr>
      <w:r w:rsidRPr="000C313A">
        <w:rPr>
          <w:rFonts w:ascii="Times New Roman" w:hAnsi="Times New Roman"/>
          <w:sz w:val="28"/>
          <w:szCs w:val="24"/>
          <w:lang w:eastAsia="ru-RU"/>
        </w:rPr>
        <w:t>устройство зелёных лесных полос вдоль автомобильных дорог; организация и</w:t>
      </w:r>
      <w:r>
        <w:rPr>
          <w:rFonts w:ascii="Times New Roman" w:hAnsi="Times New Roman"/>
          <w:sz w:val="28"/>
          <w:szCs w:val="24"/>
          <w:lang w:eastAsia="ru-RU"/>
        </w:rPr>
        <w:t> </w:t>
      </w:r>
      <w:r w:rsidRPr="000C313A">
        <w:rPr>
          <w:rFonts w:ascii="Times New Roman" w:hAnsi="Times New Roman"/>
          <w:sz w:val="28"/>
          <w:szCs w:val="24"/>
          <w:lang w:eastAsia="ru-RU"/>
        </w:rPr>
        <w:t>обеспечение планово-регулярной очистки территории поселения от</w:t>
      </w:r>
      <w:r>
        <w:rPr>
          <w:rFonts w:ascii="Times New Roman" w:hAnsi="Times New Roman"/>
          <w:sz w:val="28"/>
          <w:szCs w:val="24"/>
          <w:lang w:eastAsia="ru-RU"/>
        </w:rPr>
        <w:t> </w:t>
      </w:r>
      <w:r w:rsidRPr="000C313A">
        <w:rPr>
          <w:rFonts w:ascii="Times New Roman" w:hAnsi="Times New Roman"/>
          <w:sz w:val="28"/>
          <w:szCs w:val="24"/>
          <w:lang w:eastAsia="ru-RU"/>
        </w:rPr>
        <w:t>жидких и</w:t>
      </w:r>
      <w:r>
        <w:rPr>
          <w:rFonts w:ascii="Times New Roman" w:hAnsi="Times New Roman"/>
          <w:sz w:val="28"/>
          <w:szCs w:val="24"/>
          <w:lang w:eastAsia="ru-RU"/>
        </w:rPr>
        <w:t> </w:t>
      </w:r>
      <w:r w:rsidRPr="000C313A">
        <w:rPr>
          <w:rFonts w:ascii="Times New Roman" w:hAnsi="Times New Roman"/>
          <w:sz w:val="28"/>
          <w:szCs w:val="24"/>
          <w:lang w:eastAsia="ru-RU"/>
        </w:rPr>
        <w:t xml:space="preserve">твёрдых коммунальных отходов; </w:t>
      </w:r>
    </w:p>
    <w:p w:rsidR="002D1E45" w:rsidRPr="000C313A" w:rsidRDefault="002D1E45" w:rsidP="00D05D06">
      <w:pPr>
        <w:numPr>
          <w:ilvl w:val="0"/>
          <w:numId w:val="63"/>
        </w:numPr>
        <w:spacing w:after="0" w:line="240" w:lineRule="auto"/>
        <w:jc w:val="both"/>
        <w:rPr>
          <w:rFonts w:ascii="Times New Roman" w:hAnsi="Times New Roman"/>
          <w:sz w:val="28"/>
          <w:szCs w:val="24"/>
          <w:lang w:eastAsia="ru-RU"/>
        </w:rPr>
      </w:pPr>
      <w:r w:rsidRPr="000C313A">
        <w:rPr>
          <w:rFonts w:ascii="Times New Roman" w:hAnsi="Times New Roman"/>
          <w:sz w:val="28"/>
          <w:szCs w:val="24"/>
          <w:lang w:eastAsia="ru-RU"/>
        </w:rPr>
        <w:t>мониторинг загрязнения почвенного покрова.</w:t>
      </w:r>
    </w:p>
    <w:p w:rsidR="002D1E45" w:rsidRPr="000C313A" w:rsidRDefault="002D1E45" w:rsidP="000C313A">
      <w:pPr>
        <w:spacing w:after="0" w:line="240" w:lineRule="auto"/>
        <w:ind w:firstLine="709"/>
        <w:jc w:val="both"/>
        <w:rPr>
          <w:rFonts w:ascii="Times New Roman" w:hAnsi="Times New Roman"/>
          <w:color w:val="000000"/>
          <w:sz w:val="28"/>
          <w:szCs w:val="28"/>
        </w:rPr>
      </w:pPr>
      <w:r w:rsidRPr="000C313A">
        <w:rPr>
          <w:rFonts w:ascii="Times New Roman" w:hAnsi="Times New Roman"/>
          <w:color w:val="000000"/>
          <w:sz w:val="28"/>
          <w:szCs w:val="28"/>
        </w:rPr>
        <w:t>В зависимости от</w:t>
      </w:r>
      <w:r>
        <w:rPr>
          <w:rFonts w:ascii="Times New Roman" w:hAnsi="Times New Roman"/>
          <w:color w:val="000000"/>
          <w:sz w:val="28"/>
          <w:szCs w:val="28"/>
        </w:rPr>
        <w:t> </w:t>
      </w:r>
      <w:r w:rsidRPr="000C313A">
        <w:rPr>
          <w:rFonts w:ascii="Times New Roman" w:hAnsi="Times New Roman"/>
          <w:color w:val="000000"/>
          <w:sz w:val="28"/>
          <w:szCs w:val="28"/>
        </w:rPr>
        <w:t>характера загрязнения почв, необходимо проведение комплекса мероприятий по</w:t>
      </w:r>
      <w:r>
        <w:rPr>
          <w:rFonts w:ascii="Times New Roman" w:hAnsi="Times New Roman"/>
          <w:color w:val="000000"/>
          <w:sz w:val="28"/>
          <w:szCs w:val="28"/>
        </w:rPr>
        <w:t> </w:t>
      </w:r>
      <w:r w:rsidRPr="000C313A">
        <w:rPr>
          <w:rFonts w:ascii="Times New Roman" w:hAnsi="Times New Roman"/>
          <w:color w:val="000000"/>
          <w:sz w:val="28"/>
          <w:szCs w:val="28"/>
        </w:rPr>
        <w:t>восстановлению и</w:t>
      </w:r>
      <w:r>
        <w:rPr>
          <w:rFonts w:ascii="Times New Roman" w:hAnsi="Times New Roman"/>
          <w:color w:val="000000"/>
          <w:sz w:val="28"/>
          <w:szCs w:val="28"/>
        </w:rPr>
        <w:t> </w:t>
      </w:r>
      <w:r w:rsidRPr="000C313A">
        <w:rPr>
          <w:rFonts w:ascii="Times New Roman" w:hAnsi="Times New Roman"/>
          <w:color w:val="000000"/>
          <w:sz w:val="28"/>
          <w:szCs w:val="28"/>
        </w:rPr>
        <w:t>рекультивации почв. Рекультивации подлежат земли, нарушенные при: строительстве и</w:t>
      </w:r>
      <w:r>
        <w:rPr>
          <w:rFonts w:ascii="Times New Roman" w:hAnsi="Times New Roman"/>
          <w:color w:val="000000"/>
          <w:sz w:val="28"/>
          <w:szCs w:val="28"/>
        </w:rPr>
        <w:t> </w:t>
      </w:r>
      <w:r w:rsidRPr="000C313A">
        <w:rPr>
          <w:rFonts w:ascii="Times New Roman" w:hAnsi="Times New Roman"/>
          <w:color w:val="000000"/>
          <w:sz w:val="28"/>
          <w:szCs w:val="28"/>
        </w:rPr>
        <w:t>прокладке инженерных сетей различного назначения; складировании и</w:t>
      </w:r>
      <w:r>
        <w:rPr>
          <w:rFonts w:ascii="Times New Roman" w:hAnsi="Times New Roman"/>
          <w:color w:val="000000"/>
          <w:sz w:val="28"/>
          <w:szCs w:val="28"/>
        </w:rPr>
        <w:t> </w:t>
      </w:r>
      <w:r w:rsidRPr="000C313A">
        <w:rPr>
          <w:rFonts w:ascii="Times New Roman" w:hAnsi="Times New Roman"/>
          <w:color w:val="000000"/>
          <w:sz w:val="28"/>
          <w:szCs w:val="28"/>
        </w:rPr>
        <w:t>захоронении промышленных, бытовых и</w:t>
      </w:r>
      <w:r>
        <w:rPr>
          <w:rFonts w:ascii="Times New Roman" w:hAnsi="Times New Roman"/>
          <w:color w:val="000000"/>
          <w:sz w:val="28"/>
          <w:szCs w:val="28"/>
        </w:rPr>
        <w:t> </w:t>
      </w:r>
      <w:r w:rsidRPr="000C313A">
        <w:rPr>
          <w:rFonts w:ascii="Times New Roman" w:hAnsi="Times New Roman"/>
          <w:color w:val="000000"/>
          <w:sz w:val="28"/>
          <w:szCs w:val="28"/>
        </w:rPr>
        <w:t>прочих отходов; ликвидации последствий загрязнения земель.</w:t>
      </w:r>
    </w:p>
    <w:p w:rsidR="002D1E45" w:rsidRDefault="002D1E45" w:rsidP="000C313A">
      <w:pPr>
        <w:spacing w:after="0" w:line="240" w:lineRule="auto"/>
        <w:ind w:firstLine="709"/>
        <w:jc w:val="both"/>
        <w:rPr>
          <w:rFonts w:ascii="Times New Roman" w:hAnsi="Times New Roman"/>
          <w:color w:val="000000"/>
          <w:sz w:val="28"/>
          <w:szCs w:val="28"/>
        </w:rPr>
      </w:pPr>
      <w:r w:rsidRPr="000C313A">
        <w:rPr>
          <w:rFonts w:ascii="Times New Roman" w:hAnsi="Times New Roman"/>
          <w:color w:val="000000"/>
          <w:sz w:val="28"/>
          <w:szCs w:val="28"/>
        </w:rPr>
        <w:t>Для восстановления, нарушенного в</w:t>
      </w:r>
      <w:r>
        <w:rPr>
          <w:rFonts w:ascii="Times New Roman" w:hAnsi="Times New Roman"/>
          <w:color w:val="000000"/>
          <w:sz w:val="28"/>
          <w:szCs w:val="28"/>
        </w:rPr>
        <w:t> </w:t>
      </w:r>
      <w:r w:rsidRPr="000C313A">
        <w:rPr>
          <w:rFonts w:ascii="Times New Roman" w:hAnsi="Times New Roman"/>
          <w:color w:val="000000"/>
          <w:sz w:val="28"/>
          <w:szCs w:val="28"/>
        </w:rPr>
        <w:t>результате хозяйственной деятельности и</w:t>
      </w:r>
      <w:r>
        <w:rPr>
          <w:rFonts w:ascii="Times New Roman" w:hAnsi="Times New Roman"/>
          <w:color w:val="000000"/>
          <w:sz w:val="28"/>
          <w:szCs w:val="28"/>
        </w:rPr>
        <w:t> </w:t>
      </w:r>
      <w:r w:rsidRPr="000C313A">
        <w:rPr>
          <w:rFonts w:ascii="Times New Roman" w:hAnsi="Times New Roman"/>
          <w:color w:val="000000"/>
          <w:sz w:val="28"/>
          <w:szCs w:val="28"/>
        </w:rPr>
        <w:t>эрозионных процессов, почвенного покрова, генеральным планом предусматриваются мероприятия по</w:t>
      </w:r>
      <w:r>
        <w:rPr>
          <w:rFonts w:ascii="Times New Roman" w:hAnsi="Times New Roman"/>
          <w:color w:val="000000"/>
          <w:sz w:val="28"/>
          <w:szCs w:val="28"/>
        </w:rPr>
        <w:t> </w:t>
      </w:r>
      <w:r w:rsidRPr="000C313A">
        <w:rPr>
          <w:rFonts w:ascii="Times New Roman" w:hAnsi="Times New Roman"/>
          <w:color w:val="000000"/>
          <w:sz w:val="28"/>
          <w:szCs w:val="28"/>
        </w:rPr>
        <w:t>выявлению и</w:t>
      </w:r>
      <w:r>
        <w:rPr>
          <w:rFonts w:ascii="Times New Roman" w:hAnsi="Times New Roman"/>
          <w:color w:val="000000"/>
          <w:sz w:val="28"/>
          <w:szCs w:val="28"/>
        </w:rPr>
        <w:t> </w:t>
      </w:r>
      <w:r w:rsidRPr="000C313A">
        <w:rPr>
          <w:rFonts w:ascii="Times New Roman" w:hAnsi="Times New Roman"/>
          <w:color w:val="000000"/>
          <w:sz w:val="28"/>
          <w:szCs w:val="28"/>
        </w:rPr>
        <w:t>ликвидация несанкционированных свалок, захламлённых</w:t>
      </w:r>
      <w:r>
        <w:rPr>
          <w:rFonts w:ascii="Times New Roman" w:hAnsi="Times New Roman"/>
          <w:color w:val="000000"/>
          <w:sz w:val="28"/>
          <w:szCs w:val="28"/>
        </w:rPr>
        <w:t xml:space="preserve"> </w:t>
      </w:r>
      <w:r w:rsidRPr="000C313A">
        <w:rPr>
          <w:rFonts w:ascii="Times New Roman" w:hAnsi="Times New Roman"/>
          <w:color w:val="000000"/>
          <w:sz w:val="28"/>
          <w:szCs w:val="28"/>
        </w:rPr>
        <w:t>участков с</w:t>
      </w:r>
      <w:r>
        <w:rPr>
          <w:rFonts w:ascii="Times New Roman" w:hAnsi="Times New Roman"/>
          <w:color w:val="000000"/>
          <w:sz w:val="28"/>
          <w:szCs w:val="28"/>
        </w:rPr>
        <w:t> </w:t>
      </w:r>
      <w:r w:rsidRPr="000C313A">
        <w:rPr>
          <w:rFonts w:ascii="Times New Roman" w:hAnsi="Times New Roman"/>
          <w:color w:val="000000"/>
          <w:sz w:val="28"/>
          <w:szCs w:val="28"/>
        </w:rPr>
        <w:t>последующей рекультивацией территории; контроль за</w:t>
      </w:r>
      <w:r>
        <w:rPr>
          <w:rFonts w:ascii="Times New Roman" w:hAnsi="Times New Roman"/>
          <w:color w:val="000000"/>
          <w:sz w:val="28"/>
          <w:szCs w:val="28"/>
        </w:rPr>
        <w:t> </w:t>
      </w:r>
      <w:r w:rsidRPr="000C313A">
        <w:rPr>
          <w:rFonts w:ascii="Times New Roman" w:hAnsi="Times New Roman"/>
          <w:color w:val="000000"/>
          <w:sz w:val="28"/>
          <w:szCs w:val="28"/>
        </w:rPr>
        <w:t>качеством и</w:t>
      </w:r>
      <w:r>
        <w:rPr>
          <w:rFonts w:ascii="Times New Roman" w:hAnsi="Times New Roman"/>
          <w:color w:val="000000"/>
          <w:sz w:val="28"/>
          <w:szCs w:val="28"/>
        </w:rPr>
        <w:t> </w:t>
      </w:r>
      <w:r w:rsidRPr="000C313A">
        <w:rPr>
          <w:rFonts w:ascii="Times New Roman" w:hAnsi="Times New Roman"/>
          <w:color w:val="000000"/>
          <w:sz w:val="28"/>
          <w:szCs w:val="28"/>
        </w:rPr>
        <w:t>своевременностью выполнения работ по</w:t>
      </w:r>
      <w:r>
        <w:rPr>
          <w:rFonts w:ascii="Times New Roman" w:hAnsi="Times New Roman"/>
          <w:color w:val="000000"/>
          <w:sz w:val="28"/>
          <w:szCs w:val="28"/>
        </w:rPr>
        <w:t> </w:t>
      </w:r>
      <w:r w:rsidRPr="000C313A">
        <w:rPr>
          <w:rFonts w:ascii="Times New Roman" w:hAnsi="Times New Roman"/>
          <w:color w:val="000000"/>
          <w:sz w:val="28"/>
          <w:szCs w:val="28"/>
        </w:rPr>
        <w:t>рекультивации нарушенных земель.</w:t>
      </w:r>
    </w:p>
    <w:p w:rsidR="002D1E45" w:rsidRPr="00855083" w:rsidRDefault="002D1E45" w:rsidP="00855083">
      <w:pPr>
        <w:spacing w:after="0" w:line="240" w:lineRule="auto"/>
        <w:ind w:firstLine="709"/>
        <w:jc w:val="both"/>
        <w:rPr>
          <w:rFonts w:ascii="Times New Roman" w:hAnsi="Times New Roman"/>
          <w:i/>
          <w:color w:val="000000"/>
          <w:sz w:val="28"/>
          <w:szCs w:val="28"/>
          <w:u w:val="single"/>
        </w:rPr>
      </w:pPr>
      <w:r w:rsidRPr="00855083">
        <w:rPr>
          <w:rFonts w:ascii="Times New Roman" w:hAnsi="Times New Roman"/>
          <w:i/>
          <w:color w:val="000000"/>
          <w:sz w:val="28"/>
          <w:szCs w:val="28"/>
          <w:u w:val="single"/>
        </w:rPr>
        <w:t>Мероприятия по</w:t>
      </w:r>
      <w:r>
        <w:rPr>
          <w:rFonts w:ascii="Times New Roman" w:hAnsi="Times New Roman"/>
          <w:i/>
          <w:color w:val="000000"/>
          <w:sz w:val="28"/>
          <w:szCs w:val="28"/>
          <w:u w:val="single"/>
        </w:rPr>
        <w:t> </w:t>
      </w:r>
      <w:r w:rsidRPr="00855083">
        <w:rPr>
          <w:rFonts w:ascii="Times New Roman" w:hAnsi="Times New Roman"/>
          <w:i/>
          <w:color w:val="000000"/>
          <w:sz w:val="28"/>
          <w:szCs w:val="28"/>
          <w:u w:val="single"/>
        </w:rPr>
        <w:t>благоустройству и</w:t>
      </w:r>
      <w:r>
        <w:rPr>
          <w:rFonts w:ascii="Times New Roman" w:hAnsi="Times New Roman"/>
          <w:i/>
          <w:color w:val="000000"/>
          <w:sz w:val="28"/>
          <w:szCs w:val="28"/>
          <w:u w:val="single"/>
        </w:rPr>
        <w:t> </w:t>
      </w:r>
      <w:r w:rsidRPr="00855083">
        <w:rPr>
          <w:rFonts w:ascii="Times New Roman" w:hAnsi="Times New Roman"/>
          <w:i/>
          <w:color w:val="000000"/>
          <w:sz w:val="28"/>
          <w:szCs w:val="28"/>
          <w:u w:val="single"/>
        </w:rPr>
        <w:t>озеленению</w:t>
      </w:r>
    </w:p>
    <w:p w:rsidR="002D1E45" w:rsidRPr="00855083" w:rsidRDefault="002D1E45" w:rsidP="00855083">
      <w:pPr>
        <w:spacing w:after="0" w:line="240" w:lineRule="auto"/>
        <w:ind w:firstLine="709"/>
        <w:jc w:val="both"/>
        <w:rPr>
          <w:rFonts w:ascii="Times New Roman" w:hAnsi="Times New Roman"/>
          <w:color w:val="000000"/>
          <w:sz w:val="28"/>
          <w:szCs w:val="28"/>
        </w:rPr>
      </w:pPr>
      <w:r w:rsidRPr="00855083">
        <w:rPr>
          <w:rFonts w:ascii="Times New Roman" w:hAnsi="Times New Roman"/>
          <w:color w:val="000000"/>
          <w:sz w:val="28"/>
          <w:szCs w:val="28"/>
        </w:rPr>
        <w:t>Создание и</w:t>
      </w:r>
      <w:r>
        <w:rPr>
          <w:rFonts w:ascii="Times New Roman" w:hAnsi="Times New Roman"/>
          <w:color w:val="000000"/>
          <w:sz w:val="28"/>
          <w:szCs w:val="28"/>
        </w:rPr>
        <w:t> </w:t>
      </w:r>
      <w:r w:rsidRPr="00855083">
        <w:rPr>
          <w:rFonts w:ascii="Times New Roman" w:hAnsi="Times New Roman"/>
          <w:color w:val="000000"/>
          <w:sz w:val="28"/>
          <w:szCs w:val="28"/>
        </w:rPr>
        <w:t>эксплуатация элементов благоустройства и</w:t>
      </w:r>
      <w:r>
        <w:rPr>
          <w:rFonts w:ascii="Times New Roman" w:hAnsi="Times New Roman"/>
          <w:color w:val="000000"/>
          <w:sz w:val="28"/>
          <w:szCs w:val="28"/>
        </w:rPr>
        <w:t> </w:t>
      </w:r>
      <w:r w:rsidRPr="00855083">
        <w:rPr>
          <w:rFonts w:ascii="Times New Roman" w:hAnsi="Times New Roman"/>
          <w:color w:val="000000"/>
          <w:sz w:val="28"/>
          <w:szCs w:val="28"/>
        </w:rPr>
        <w:t>озеленения обеспечивают требования охраны здоровья человека, исторической и</w:t>
      </w:r>
      <w:r>
        <w:rPr>
          <w:rFonts w:ascii="Times New Roman" w:hAnsi="Times New Roman"/>
          <w:color w:val="000000"/>
          <w:sz w:val="28"/>
          <w:szCs w:val="28"/>
        </w:rPr>
        <w:t> </w:t>
      </w:r>
      <w:r w:rsidRPr="00855083">
        <w:rPr>
          <w:rFonts w:ascii="Times New Roman" w:hAnsi="Times New Roman"/>
          <w:color w:val="000000"/>
          <w:sz w:val="28"/>
          <w:szCs w:val="28"/>
        </w:rPr>
        <w:t>природной среды, создают технические возможности беспрепятственного передвижения маломобильных групп населения по</w:t>
      </w:r>
      <w:r>
        <w:rPr>
          <w:rFonts w:ascii="Times New Roman" w:hAnsi="Times New Roman"/>
          <w:color w:val="000000"/>
          <w:sz w:val="28"/>
          <w:szCs w:val="28"/>
        </w:rPr>
        <w:t> </w:t>
      </w:r>
      <w:r w:rsidRPr="00855083">
        <w:rPr>
          <w:rFonts w:ascii="Times New Roman" w:hAnsi="Times New Roman"/>
          <w:color w:val="000000"/>
          <w:sz w:val="28"/>
          <w:szCs w:val="28"/>
        </w:rPr>
        <w:t>территории муниципального образования.</w:t>
      </w:r>
    </w:p>
    <w:p w:rsidR="002D1E45" w:rsidRPr="00855083" w:rsidRDefault="002D1E45" w:rsidP="00855083">
      <w:pPr>
        <w:spacing w:after="0" w:line="240" w:lineRule="auto"/>
        <w:ind w:firstLine="709"/>
        <w:jc w:val="both"/>
        <w:rPr>
          <w:rFonts w:ascii="Times New Roman" w:hAnsi="Times New Roman"/>
          <w:color w:val="000000"/>
          <w:sz w:val="28"/>
          <w:szCs w:val="28"/>
        </w:rPr>
      </w:pPr>
      <w:r w:rsidRPr="00855083">
        <w:rPr>
          <w:rFonts w:ascii="Times New Roman" w:hAnsi="Times New Roman"/>
          <w:color w:val="000000"/>
          <w:sz w:val="28"/>
          <w:szCs w:val="28"/>
        </w:rPr>
        <w:t>Общие параметры и</w:t>
      </w:r>
      <w:r>
        <w:rPr>
          <w:rFonts w:ascii="Times New Roman" w:hAnsi="Times New Roman"/>
          <w:color w:val="000000"/>
          <w:sz w:val="28"/>
          <w:szCs w:val="28"/>
        </w:rPr>
        <w:t> </w:t>
      </w:r>
      <w:r w:rsidRPr="00855083">
        <w:rPr>
          <w:rFonts w:ascii="Times New Roman" w:hAnsi="Times New Roman"/>
          <w:color w:val="000000"/>
          <w:sz w:val="28"/>
          <w:szCs w:val="28"/>
        </w:rPr>
        <w:t>минимальное сочетание элементов благоустройства и</w:t>
      </w:r>
      <w:r>
        <w:rPr>
          <w:rFonts w:ascii="Times New Roman" w:hAnsi="Times New Roman"/>
          <w:color w:val="000000"/>
          <w:sz w:val="28"/>
          <w:szCs w:val="28"/>
        </w:rPr>
        <w:t> </w:t>
      </w:r>
      <w:r w:rsidRPr="00855083">
        <w:rPr>
          <w:rFonts w:ascii="Times New Roman" w:hAnsi="Times New Roman"/>
          <w:color w:val="000000"/>
          <w:sz w:val="28"/>
          <w:szCs w:val="28"/>
        </w:rPr>
        <w:t>озеленения для создания безопасной, удобной и</w:t>
      </w:r>
      <w:r>
        <w:rPr>
          <w:rFonts w:ascii="Times New Roman" w:hAnsi="Times New Roman"/>
          <w:color w:val="000000"/>
          <w:sz w:val="28"/>
          <w:szCs w:val="28"/>
        </w:rPr>
        <w:t> </w:t>
      </w:r>
      <w:r w:rsidRPr="00855083">
        <w:rPr>
          <w:rFonts w:ascii="Times New Roman" w:hAnsi="Times New Roman"/>
          <w:color w:val="000000"/>
          <w:sz w:val="28"/>
          <w:szCs w:val="28"/>
        </w:rPr>
        <w:t>привлекательной среды территории муниципального образования рекомендуется устанавливать в</w:t>
      </w:r>
      <w:r>
        <w:rPr>
          <w:rFonts w:ascii="Times New Roman" w:hAnsi="Times New Roman"/>
          <w:color w:val="000000"/>
          <w:sz w:val="28"/>
          <w:szCs w:val="28"/>
        </w:rPr>
        <w:t> </w:t>
      </w:r>
      <w:r w:rsidRPr="00855083">
        <w:rPr>
          <w:rFonts w:ascii="Times New Roman" w:hAnsi="Times New Roman"/>
          <w:color w:val="000000"/>
          <w:sz w:val="28"/>
          <w:szCs w:val="28"/>
        </w:rPr>
        <w:t>соответствии с</w:t>
      </w:r>
      <w:r>
        <w:rPr>
          <w:rFonts w:ascii="Times New Roman" w:hAnsi="Times New Roman"/>
          <w:color w:val="000000"/>
          <w:sz w:val="28"/>
          <w:szCs w:val="28"/>
        </w:rPr>
        <w:t> </w:t>
      </w:r>
      <w:r w:rsidRPr="00855083">
        <w:rPr>
          <w:rFonts w:ascii="Times New Roman" w:hAnsi="Times New Roman"/>
          <w:color w:val="000000"/>
          <w:sz w:val="28"/>
          <w:szCs w:val="28"/>
        </w:rPr>
        <w:t>Приказом Министерства регионального развития Российской Федерации от 27.12.2011 № 613 «Об утверждении методических рекомендаций по</w:t>
      </w:r>
      <w:r>
        <w:rPr>
          <w:rFonts w:ascii="Times New Roman" w:hAnsi="Times New Roman"/>
          <w:color w:val="000000"/>
          <w:sz w:val="28"/>
          <w:szCs w:val="28"/>
        </w:rPr>
        <w:t> </w:t>
      </w:r>
      <w:r w:rsidRPr="00855083">
        <w:rPr>
          <w:rFonts w:ascii="Times New Roman" w:hAnsi="Times New Roman"/>
          <w:color w:val="000000"/>
          <w:sz w:val="28"/>
          <w:szCs w:val="28"/>
        </w:rPr>
        <w:t>разработке норм и</w:t>
      </w:r>
      <w:r>
        <w:rPr>
          <w:rFonts w:ascii="Times New Roman" w:hAnsi="Times New Roman"/>
          <w:color w:val="000000"/>
          <w:sz w:val="28"/>
          <w:szCs w:val="28"/>
        </w:rPr>
        <w:t> </w:t>
      </w:r>
      <w:r w:rsidRPr="00855083">
        <w:rPr>
          <w:rFonts w:ascii="Times New Roman" w:hAnsi="Times New Roman"/>
          <w:color w:val="000000"/>
          <w:sz w:val="28"/>
          <w:szCs w:val="28"/>
        </w:rPr>
        <w:t>правил по</w:t>
      </w:r>
      <w:r>
        <w:rPr>
          <w:rFonts w:ascii="Times New Roman" w:hAnsi="Times New Roman"/>
          <w:color w:val="000000"/>
          <w:sz w:val="28"/>
          <w:szCs w:val="28"/>
        </w:rPr>
        <w:t> </w:t>
      </w:r>
      <w:r w:rsidRPr="00855083">
        <w:rPr>
          <w:rFonts w:ascii="Times New Roman" w:hAnsi="Times New Roman"/>
          <w:color w:val="000000"/>
          <w:sz w:val="28"/>
          <w:szCs w:val="28"/>
        </w:rPr>
        <w:t>благоустройству территорий муниципальных образований» и</w:t>
      </w:r>
      <w:r>
        <w:rPr>
          <w:rFonts w:ascii="Times New Roman" w:hAnsi="Times New Roman"/>
          <w:color w:val="000000"/>
          <w:sz w:val="28"/>
          <w:szCs w:val="28"/>
        </w:rPr>
        <w:t> </w:t>
      </w:r>
      <w:r w:rsidRPr="00855083">
        <w:rPr>
          <w:rFonts w:ascii="Times New Roman" w:hAnsi="Times New Roman"/>
          <w:color w:val="000000"/>
          <w:sz w:val="28"/>
          <w:szCs w:val="28"/>
        </w:rPr>
        <w:t>другими нормативными документами.</w:t>
      </w:r>
    </w:p>
    <w:p w:rsidR="002D1E45" w:rsidRPr="00855083" w:rsidRDefault="002D1E45" w:rsidP="00855083">
      <w:pPr>
        <w:spacing w:after="0" w:line="240" w:lineRule="auto"/>
        <w:ind w:firstLine="709"/>
        <w:jc w:val="both"/>
        <w:rPr>
          <w:rFonts w:ascii="Times New Roman" w:hAnsi="Times New Roman"/>
          <w:color w:val="000000"/>
          <w:sz w:val="28"/>
          <w:szCs w:val="28"/>
        </w:rPr>
      </w:pPr>
      <w:r w:rsidRPr="00855083">
        <w:rPr>
          <w:rFonts w:ascii="Times New Roman" w:hAnsi="Times New Roman"/>
          <w:color w:val="000000"/>
          <w:sz w:val="28"/>
          <w:szCs w:val="28"/>
        </w:rPr>
        <w:t>При строительстве общественно-деловой и</w:t>
      </w:r>
      <w:r>
        <w:rPr>
          <w:rFonts w:ascii="Times New Roman" w:hAnsi="Times New Roman"/>
          <w:color w:val="000000"/>
          <w:sz w:val="28"/>
          <w:szCs w:val="28"/>
        </w:rPr>
        <w:t> </w:t>
      </w:r>
      <w:r w:rsidRPr="00855083">
        <w:rPr>
          <w:rFonts w:ascii="Times New Roman" w:hAnsi="Times New Roman"/>
          <w:color w:val="000000"/>
          <w:sz w:val="28"/>
          <w:szCs w:val="28"/>
        </w:rPr>
        <w:t>жилой застройки решениями генерального плана предлагается произвести благоустройство территории: устройство газонов, цветников, посадку зелёных оград; оборудование территории малыми архитектурными формами – беседками, навесами, площадками для игр детей и</w:t>
      </w:r>
      <w:r>
        <w:rPr>
          <w:rFonts w:ascii="Times New Roman" w:hAnsi="Times New Roman"/>
          <w:color w:val="000000"/>
          <w:sz w:val="28"/>
          <w:szCs w:val="28"/>
        </w:rPr>
        <w:t> </w:t>
      </w:r>
      <w:r w:rsidRPr="00855083">
        <w:rPr>
          <w:rFonts w:ascii="Times New Roman" w:hAnsi="Times New Roman"/>
          <w:color w:val="000000"/>
          <w:sz w:val="28"/>
          <w:szCs w:val="28"/>
        </w:rPr>
        <w:t>отдыха взрослого населения, павильонами для ожидания автотранспорта; устройство внутриквартальных проездов, тротуаров, пешеходных дорожек; ремонт существующих покрытий внутридворовых проездов и</w:t>
      </w:r>
      <w:r>
        <w:rPr>
          <w:rFonts w:ascii="Times New Roman" w:hAnsi="Times New Roman"/>
          <w:color w:val="000000"/>
          <w:sz w:val="28"/>
          <w:szCs w:val="28"/>
        </w:rPr>
        <w:t> </w:t>
      </w:r>
      <w:r w:rsidRPr="00855083">
        <w:rPr>
          <w:rFonts w:ascii="Times New Roman" w:hAnsi="Times New Roman"/>
          <w:color w:val="000000"/>
          <w:sz w:val="28"/>
          <w:szCs w:val="28"/>
        </w:rPr>
        <w:t>дорожек; освещение территории; обустройство мест сбора мусора. Объектами нормирования благоустройства на</w:t>
      </w:r>
      <w:r>
        <w:rPr>
          <w:rFonts w:ascii="Times New Roman" w:hAnsi="Times New Roman"/>
          <w:color w:val="000000"/>
          <w:sz w:val="28"/>
          <w:szCs w:val="28"/>
        </w:rPr>
        <w:t> </w:t>
      </w:r>
      <w:r w:rsidRPr="00855083">
        <w:rPr>
          <w:rFonts w:ascii="Times New Roman" w:hAnsi="Times New Roman"/>
          <w:color w:val="000000"/>
          <w:sz w:val="28"/>
          <w:szCs w:val="28"/>
        </w:rPr>
        <w:t>территориях производственного назначения являются общественные пространства в</w:t>
      </w:r>
      <w:r>
        <w:rPr>
          <w:rFonts w:ascii="Times New Roman" w:hAnsi="Times New Roman"/>
          <w:color w:val="000000"/>
          <w:sz w:val="28"/>
          <w:szCs w:val="28"/>
        </w:rPr>
        <w:t> </w:t>
      </w:r>
      <w:r w:rsidRPr="00855083">
        <w:rPr>
          <w:rFonts w:ascii="Times New Roman" w:hAnsi="Times New Roman"/>
          <w:color w:val="000000"/>
          <w:sz w:val="28"/>
          <w:szCs w:val="28"/>
        </w:rPr>
        <w:t>зонах производственной застройки и</w:t>
      </w:r>
      <w:r>
        <w:rPr>
          <w:rFonts w:ascii="Times New Roman" w:hAnsi="Times New Roman"/>
          <w:color w:val="000000"/>
          <w:sz w:val="28"/>
          <w:szCs w:val="28"/>
        </w:rPr>
        <w:t> </w:t>
      </w:r>
      <w:r w:rsidRPr="00855083">
        <w:rPr>
          <w:rFonts w:ascii="Times New Roman" w:hAnsi="Times New Roman"/>
          <w:color w:val="000000"/>
          <w:sz w:val="28"/>
          <w:szCs w:val="28"/>
        </w:rPr>
        <w:t>озеленённые территории санитарно-защитных зон. Приёмы благоустройства и</w:t>
      </w:r>
      <w:r>
        <w:rPr>
          <w:rFonts w:ascii="Times New Roman" w:hAnsi="Times New Roman"/>
          <w:color w:val="000000"/>
          <w:sz w:val="28"/>
          <w:szCs w:val="28"/>
        </w:rPr>
        <w:t> </w:t>
      </w:r>
      <w:r w:rsidRPr="00855083">
        <w:rPr>
          <w:rFonts w:ascii="Times New Roman" w:hAnsi="Times New Roman"/>
          <w:color w:val="000000"/>
          <w:sz w:val="28"/>
          <w:szCs w:val="28"/>
        </w:rPr>
        <w:t>озеленения в</w:t>
      </w:r>
      <w:r>
        <w:rPr>
          <w:rFonts w:ascii="Times New Roman" w:hAnsi="Times New Roman"/>
          <w:color w:val="000000"/>
          <w:sz w:val="28"/>
          <w:szCs w:val="28"/>
        </w:rPr>
        <w:t> </w:t>
      </w:r>
      <w:r w:rsidRPr="00855083">
        <w:rPr>
          <w:rFonts w:ascii="Times New Roman" w:hAnsi="Times New Roman"/>
          <w:color w:val="000000"/>
          <w:sz w:val="28"/>
          <w:szCs w:val="28"/>
        </w:rPr>
        <w:t>зависимости от</w:t>
      </w:r>
      <w:r>
        <w:rPr>
          <w:rFonts w:ascii="Times New Roman" w:hAnsi="Times New Roman"/>
          <w:color w:val="000000"/>
          <w:sz w:val="28"/>
          <w:szCs w:val="28"/>
        </w:rPr>
        <w:t> </w:t>
      </w:r>
      <w:r w:rsidRPr="00855083">
        <w:rPr>
          <w:rFonts w:ascii="Times New Roman" w:hAnsi="Times New Roman"/>
          <w:color w:val="000000"/>
          <w:sz w:val="28"/>
          <w:szCs w:val="28"/>
        </w:rPr>
        <w:t>отраслевой направленности производства рекомендуется применять в</w:t>
      </w:r>
      <w:r>
        <w:rPr>
          <w:rFonts w:ascii="Times New Roman" w:hAnsi="Times New Roman"/>
          <w:color w:val="000000"/>
          <w:sz w:val="28"/>
          <w:szCs w:val="28"/>
        </w:rPr>
        <w:t> </w:t>
      </w:r>
      <w:r w:rsidRPr="00855083">
        <w:rPr>
          <w:rFonts w:ascii="Times New Roman" w:hAnsi="Times New Roman"/>
          <w:color w:val="000000"/>
          <w:sz w:val="28"/>
          <w:szCs w:val="28"/>
        </w:rPr>
        <w:t>соответствии с</w:t>
      </w:r>
      <w:r>
        <w:rPr>
          <w:rFonts w:ascii="Times New Roman" w:hAnsi="Times New Roman"/>
          <w:color w:val="000000"/>
          <w:sz w:val="28"/>
          <w:szCs w:val="28"/>
        </w:rPr>
        <w:t> </w:t>
      </w:r>
      <w:r w:rsidRPr="00855083">
        <w:rPr>
          <w:rFonts w:ascii="Times New Roman" w:hAnsi="Times New Roman"/>
          <w:color w:val="000000"/>
          <w:sz w:val="28"/>
          <w:szCs w:val="28"/>
        </w:rPr>
        <w:t>Приложением № 6 к</w:t>
      </w:r>
      <w:r>
        <w:rPr>
          <w:rFonts w:ascii="Times New Roman" w:hAnsi="Times New Roman"/>
          <w:color w:val="000000"/>
          <w:sz w:val="28"/>
          <w:szCs w:val="28"/>
        </w:rPr>
        <w:t> </w:t>
      </w:r>
      <w:r w:rsidRPr="00855083">
        <w:rPr>
          <w:rFonts w:ascii="Times New Roman" w:hAnsi="Times New Roman"/>
          <w:color w:val="000000"/>
          <w:sz w:val="28"/>
          <w:szCs w:val="28"/>
        </w:rPr>
        <w:t>Методическим рекомендациям по</w:t>
      </w:r>
      <w:r>
        <w:rPr>
          <w:rFonts w:ascii="Times New Roman" w:hAnsi="Times New Roman"/>
          <w:color w:val="000000"/>
          <w:sz w:val="28"/>
          <w:szCs w:val="28"/>
        </w:rPr>
        <w:t> </w:t>
      </w:r>
      <w:r w:rsidRPr="00855083">
        <w:rPr>
          <w:rFonts w:ascii="Times New Roman" w:hAnsi="Times New Roman"/>
          <w:color w:val="000000"/>
          <w:sz w:val="28"/>
          <w:szCs w:val="28"/>
        </w:rPr>
        <w:t>разработке норм и</w:t>
      </w:r>
      <w:r>
        <w:rPr>
          <w:rFonts w:ascii="Times New Roman" w:hAnsi="Times New Roman"/>
          <w:color w:val="000000"/>
          <w:sz w:val="28"/>
          <w:szCs w:val="28"/>
        </w:rPr>
        <w:t> </w:t>
      </w:r>
      <w:r w:rsidRPr="00855083">
        <w:rPr>
          <w:rFonts w:ascii="Times New Roman" w:hAnsi="Times New Roman"/>
          <w:color w:val="000000"/>
          <w:sz w:val="28"/>
          <w:szCs w:val="28"/>
        </w:rPr>
        <w:t>правил по</w:t>
      </w:r>
      <w:r>
        <w:rPr>
          <w:rFonts w:ascii="Times New Roman" w:hAnsi="Times New Roman"/>
          <w:color w:val="000000"/>
          <w:sz w:val="28"/>
          <w:szCs w:val="28"/>
        </w:rPr>
        <w:t> </w:t>
      </w:r>
      <w:r w:rsidRPr="00855083">
        <w:rPr>
          <w:rFonts w:ascii="Times New Roman" w:hAnsi="Times New Roman"/>
          <w:color w:val="000000"/>
          <w:sz w:val="28"/>
          <w:szCs w:val="28"/>
        </w:rPr>
        <w:t>благоустройству территорий муниципальных образований и</w:t>
      </w:r>
      <w:r>
        <w:rPr>
          <w:rFonts w:ascii="Times New Roman" w:hAnsi="Times New Roman"/>
          <w:color w:val="000000"/>
          <w:sz w:val="28"/>
          <w:szCs w:val="28"/>
        </w:rPr>
        <w:t> </w:t>
      </w:r>
      <w:r w:rsidRPr="00855083">
        <w:rPr>
          <w:rFonts w:ascii="Times New Roman" w:hAnsi="Times New Roman"/>
          <w:color w:val="000000"/>
          <w:sz w:val="28"/>
          <w:szCs w:val="28"/>
        </w:rPr>
        <w:t>другими нормативными документами.</w:t>
      </w:r>
    </w:p>
    <w:p w:rsidR="002D1E45" w:rsidRPr="00855083" w:rsidRDefault="002D1E45" w:rsidP="00855083">
      <w:pPr>
        <w:spacing w:after="0" w:line="240" w:lineRule="auto"/>
        <w:ind w:firstLine="709"/>
        <w:jc w:val="both"/>
        <w:rPr>
          <w:rFonts w:ascii="Times New Roman" w:hAnsi="Times New Roman"/>
          <w:color w:val="000000"/>
          <w:sz w:val="28"/>
          <w:szCs w:val="28"/>
        </w:rPr>
      </w:pPr>
      <w:r w:rsidRPr="00855083">
        <w:rPr>
          <w:rFonts w:ascii="Times New Roman" w:hAnsi="Times New Roman"/>
          <w:color w:val="000000"/>
          <w:sz w:val="28"/>
          <w:szCs w:val="28"/>
        </w:rPr>
        <w:t xml:space="preserve">Главными направлениями озеленения территории </w:t>
      </w:r>
      <w:r>
        <w:rPr>
          <w:rFonts w:ascii="Times New Roman" w:hAnsi="Times New Roman"/>
          <w:sz w:val="28"/>
          <w:szCs w:val="28"/>
        </w:rPr>
        <w:t>Города Куйбышева</w:t>
      </w:r>
      <w:r w:rsidRPr="00855083">
        <w:rPr>
          <w:rFonts w:ascii="Times New Roman" w:hAnsi="Times New Roman"/>
          <w:color w:val="000000"/>
          <w:sz w:val="28"/>
          <w:szCs w:val="28"/>
        </w:rPr>
        <w:t xml:space="preserve"> являются: создание системы зелёных насаждений, сохранение естественной древесно-кустарниковой растительности.</w:t>
      </w:r>
    </w:p>
    <w:p w:rsidR="002D1E45" w:rsidRPr="00855083" w:rsidRDefault="002D1E45" w:rsidP="00855083">
      <w:pPr>
        <w:spacing w:after="0" w:line="240" w:lineRule="auto"/>
        <w:ind w:firstLine="709"/>
        <w:jc w:val="both"/>
        <w:rPr>
          <w:rFonts w:ascii="Times New Roman" w:hAnsi="Times New Roman"/>
          <w:color w:val="000000"/>
          <w:sz w:val="28"/>
          <w:szCs w:val="28"/>
        </w:rPr>
      </w:pPr>
      <w:r w:rsidRPr="00855083">
        <w:rPr>
          <w:rFonts w:ascii="Times New Roman" w:hAnsi="Times New Roman"/>
          <w:color w:val="000000"/>
          <w:sz w:val="28"/>
          <w:szCs w:val="28"/>
        </w:rPr>
        <w:t>Создание системы зелёных насаждений на</w:t>
      </w:r>
      <w:r>
        <w:rPr>
          <w:rFonts w:ascii="Times New Roman" w:hAnsi="Times New Roman"/>
          <w:color w:val="000000"/>
          <w:sz w:val="28"/>
          <w:szCs w:val="28"/>
        </w:rPr>
        <w:t> </w:t>
      </w:r>
      <w:r w:rsidRPr="00855083">
        <w:rPr>
          <w:rFonts w:ascii="Times New Roman" w:hAnsi="Times New Roman"/>
          <w:color w:val="000000"/>
          <w:sz w:val="28"/>
          <w:szCs w:val="28"/>
        </w:rPr>
        <w:t>селитебной территории является необходимым, так как она улучшает микроклимат, температурно-влажностный режим, очищает воздух от</w:t>
      </w:r>
      <w:r>
        <w:rPr>
          <w:rFonts w:ascii="Times New Roman" w:hAnsi="Times New Roman"/>
          <w:color w:val="000000"/>
          <w:sz w:val="28"/>
          <w:szCs w:val="28"/>
        </w:rPr>
        <w:t> </w:t>
      </w:r>
      <w:r w:rsidRPr="00855083">
        <w:rPr>
          <w:rFonts w:ascii="Times New Roman" w:hAnsi="Times New Roman"/>
          <w:color w:val="000000"/>
          <w:sz w:val="28"/>
          <w:szCs w:val="28"/>
        </w:rPr>
        <w:t>пыли, газов, является шумозащитой жилых и</w:t>
      </w:r>
      <w:r>
        <w:rPr>
          <w:rFonts w:ascii="Times New Roman" w:hAnsi="Times New Roman"/>
          <w:color w:val="000000"/>
          <w:sz w:val="28"/>
          <w:szCs w:val="28"/>
        </w:rPr>
        <w:t> </w:t>
      </w:r>
      <w:r w:rsidRPr="00855083">
        <w:rPr>
          <w:rFonts w:ascii="Times New Roman" w:hAnsi="Times New Roman"/>
          <w:color w:val="000000"/>
          <w:sz w:val="28"/>
          <w:szCs w:val="28"/>
        </w:rPr>
        <w:t>производственных территорий.</w:t>
      </w:r>
    </w:p>
    <w:p w:rsidR="002D1E45" w:rsidRPr="00855083" w:rsidRDefault="002D1E45" w:rsidP="00855083">
      <w:pPr>
        <w:spacing w:after="0" w:line="240" w:lineRule="auto"/>
        <w:ind w:firstLine="709"/>
        <w:jc w:val="both"/>
        <w:rPr>
          <w:rFonts w:ascii="Times New Roman" w:hAnsi="Times New Roman"/>
          <w:color w:val="000000"/>
          <w:sz w:val="28"/>
          <w:szCs w:val="28"/>
        </w:rPr>
      </w:pPr>
      <w:r w:rsidRPr="00855083">
        <w:rPr>
          <w:rFonts w:ascii="Times New Roman" w:hAnsi="Times New Roman"/>
          <w:color w:val="000000"/>
          <w:sz w:val="28"/>
          <w:szCs w:val="28"/>
        </w:rPr>
        <w:t>Для создания системы зелёных насаждений предусмотрены следующие мероприятия по</w:t>
      </w:r>
      <w:r>
        <w:rPr>
          <w:rFonts w:ascii="Times New Roman" w:hAnsi="Times New Roman"/>
          <w:color w:val="000000"/>
          <w:sz w:val="28"/>
          <w:szCs w:val="28"/>
        </w:rPr>
        <w:t> </w:t>
      </w:r>
      <w:r w:rsidRPr="00855083">
        <w:rPr>
          <w:rFonts w:ascii="Times New Roman" w:hAnsi="Times New Roman"/>
          <w:color w:val="000000"/>
          <w:sz w:val="28"/>
          <w:szCs w:val="28"/>
        </w:rPr>
        <w:t>озеленению территории:</w:t>
      </w:r>
    </w:p>
    <w:p w:rsidR="002D1E45" w:rsidRPr="00855083" w:rsidRDefault="002D1E45" w:rsidP="00D05D06">
      <w:pPr>
        <w:numPr>
          <w:ilvl w:val="0"/>
          <w:numId w:val="63"/>
        </w:numPr>
        <w:spacing w:after="0" w:line="240" w:lineRule="auto"/>
        <w:jc w:val="both"/>
        <w:rPr>
          <w:rFonts w:ascii="Times New Roman" w:hAnsi="Times New Roman"/>
          <w:sz w:val="28"/>
          <w:szCs w:val="24"/>
          <w:lang w:eastAsia="ru-RU"/>
        </w:rPr>
      </w:pPr>
      <w:r w:rsidRPr="00855083">
        <w:rPr>
          <w:rFonts w:ascii="Times New Roman" w:hAnsi="Times New Roman"/>
          <w:sz w:val="28"/>
          <w:szCs w:val="24"/>
          <w:lang w:eastAsia="ru-RU"/>
        </w:rPr>
        <w:t xml:space="preserve">сохранение естественной древесно-кустарниковой растительности; </w:t>
      </w:r>
    </w:p>
    <w:p w:rsidR="002D1E45" w:rsidRPr="00855083" w:rsidRDefault="002D1E45" w:rsidP="00D05D06">
      <w:pPr>
        <w:numPr>
          <w:ilvl w:val="0"/>
          <w:numId w:val="63"/>
        </w:numPr>
        <w:spacing w:after="0" w:line="240" w:lineRule="auto"/>
        <w:jc w:val="both"/>
        <w:rPr>
          <w:rFonts w:ascii="Times New Roman" w:hAnsi="Times New Roman"/>
          <w:sz w:val="28"/>
          <w:szCs w:val="24"/>
          <w:lang w:eastAsia="ru-RU"/>
        </w:rPr>
      </w:pPr>
      <w:r w:rsidRPr="00855083">
        <w:rPr>
          <w:rFonts w:ascii="Times New Roman" w:hAnsi="Times New Roman"/>
          <w:sz w:val="28"/>
          <w:szCs w:val="24"/>
          <w:lang w:eastAsia="ru-RU"/>
        </w:rPr>
        <w:t>целенаправленное формирование крупных насаждений, устойчивых к</w:t>
      </w:r>
      <w:r>
        <w:rPr>
          <w:rFonts w:ascii="Times New Roman" w:hAnsi="Times New Roman"/>
          <w:sz w:val="28"/>
          <w:szCs w:val="24"/>
          <w:lang w:eastAsia="ru-RU"/>
        </w:rPr>
        <w:t> </w:t>
      </w:r>
      <w:r w:rsidRPr="00855083">
        <w:rPr>
          <w:rFonts w:ascii="Times New Roman" w:hAnsi="Times New Roman"/>
          <w:sz w:val="28"/>
          <w:szCs w:val="24"/>
          <w:lang w:eastAsia="ru-RU"/>
        </w:rPr>
        <w:t>влиянию антропогенных и</w:t>
      </w:r>
      <w:r>
        <w:rPr>
          <w:rFonts w:ascii="Times New Roman" w:hAnsi="Times New Roman"/>
          <w:sz w:val="28"/>
          <w:szCs w:val="24"/>
          <w:lang w:eastAsia="ru-RU"/>
        </w:rPr>
        <w:t> </w:t>
      </w:r>
      <w:r w:rsidRPr="00855083">
        <w:rPr>
          <w:rFonts w:ascii="Times New Roman" w:hAnsi="Times New Roman"/>
          <w:sz w:val="28"/>
          <w:szCs w:val="24"/>
          <w:lang w:eastAsia="ru-RU"/>
        </w:rPr>
        <w:t>техногенных факторов;</w:t>
      </w:r>
    </w:p>
    <w:p w:rsidR="002D1E45" w:rsidRPr="00855083" w:rsidRDefault="002D1E45" w:rsidP="00D05D06">
      <w:pPr>
        <w:numPr>
          <w:ilvl w:val="0"/>
          <w:numId w:val="63"/>
        </w:numPr>
        <w:spacing w:after="0" w:line="240" w:lineRule="auto"/>
        <w:jc w:val="both"/>
        <w:rPr>
          <w:rFonts w:ascii="Times New Roman" w:hAnsi="Times New Roman"/>
          <w:sz w:val="28"/>
          <w:szCs w:val="24"/>
          <w:lang w:eastAsia="ru-RU"/>
        </w:rPr>
      </w:pPr>
      <w:r w:rsidRPr="00855083">
        <w:rPr>
          <w:rFonts w:ascii="Times New Roman" w:hAnsi="Times New Roman"/>
          <w:sz w:val="28"/>
          <w:szCs w:val="24"/>
          <w:lang w:eastAsia="ru-RU"/>
        </w:rPr>
        <w:t>восстановление растительного покрова в</w:t>
      </w:r>
      <w:r>
        <w:rPr>
          <w:rFonts w:ascii="Times New Roman" w:hAnsi="Times New Roman"/>
          <w:sz w:val="28"/>
          <w:szCs w:val="24"/>
          <w:lang w:eastAsia="ru-RU"/>
        </w:rPr>
        <w:t> </w:t>
      </w:r>
      <w:r w:rsidRPr="00855083">
        <w:rPr>
          <w:rFonts w:ascii="Times New Roman" w:hAnsi="Times New Roman"/>
          <w:sz w:val="28"/>
          <w:szCs w:val="24"/>
          <w:lang w:eastAsia="ru-RU"/>
        </w:rPr>
        <w:t xml:space="preserve">местах сильной деградации зелёных насаждений; </w:t>
      </w:r>
    </w:p>
    <w:p w:rsidR="002D1E45" w:rsidRPr="00855083" w:rsidRDefault="002D1E45" w:rsidP="00D05D06">
      <w:pPr>
        <w:numPr>
          <w:ilvl w:val="0"/>
          <w:numId w:val="63"/>
        </w:numPr>
        <w:spacing w:after="0" w:line="240" w:lineRule="auto"/>
        <w:jc w:val="both"/>
        <w:rPr>
          <w:rFonts w:ascii="Times New Roman" w:hAnsi="Times New Roman"/>
          <w:sz w:val="28"/>
          <w:szCs w:val="24"/>
          <w:lang w:eastAsia="ru-RU"/>
        </w:rPr>
      </w:pPr>
      <w:r w:rsidRPr="00855083">
        <w:rPr>
          <w:rFonts w:ascii="Times New Roman" w:hAnsi="Times New Roman"/>
          <w:sz w:val="28"/>
          <w:szCs w:val="24"/>
          <w:lang w:eastAsia="ru-RU"/>
        </w:rPr>
        <w:t>проектирование зелёных полос из</w:t>
      </w:r>
      <w:r>
        <w:rPr>
          <w:rFonts w:ascii="Times New Roman" w:hAnsi="Times New Roman"/>
          <w:sz w:val="28"/>
          <w:szCs w:val="24"/>
          <w:lang w:eastAsia="ru-RU"/>
        </w:rPr>
        <w:t> </w:t>
      </w:r>
      <w:r w:rsidRPr="00855083">
        <w:rPr>
          <w:rFonts w:ascii="Times New Roman" w:hAnsi="Times New Roman"/>
          <w:sz w:val="28"/>
          <w:szCs w:val="24"/>
          <w:lang w:eastAsia="ru-RU"/>
        </w:rPr>
        <w:t xml:space="preserve">пылезадерживающих пород деревьев вдоль автомобильной дороги; </w:t>
      </w:r>
    </w:p>
    <w:p w:rsidR="002D1E45" w:rsidRPr="00855083" w:rsidRDefault="002D1E45" w:rsidP="00D05D06">
      <w:pPr>
        <w:numPr>
          <w:ilvl w:val="0"/>
          <w:numId w:val="63"/>
        </w:numPr>
        <w:spacing w:after="0" w:line="240" w:lineRule="auto"/>
        <w:jc w:val="both"/>
        <w:rPr>
          <w:rFonts w:ascii="Times New Roman" w:hAnsi="Times New Roman"/>
          <w:sz w:val="28"/>
          <w:szCs w:val="24"/>
          <w:lang w:eastAsia="ru-RU"/>
        </w:rPr>
      </w:pPr>
      <w:r w:rsidRPr="00855083">
        <w:rPr>
          <w:rFonts w:ascii="Times New Roman" w:hAnsi="Times New Roman"/>
          <w:sz w:val="28"/>
          <w:szCs w:val="24"/>
          <w:lang w:eastAsia="ru-RU"/>
        </w:rPr>
        <w:t>посадка газонов на</w:t>
      </w:r>
      <w:r>
        <w:rPr>
          <w:rFonts w:ascii="Times New Roman" w:hAnsi="Times New Roman"/>
          <w:sz w:val="28"/>
          <w:szCs w:val="24"/>
          <w:lang w:eastAsia="ru-RU"/>
        </w:rPr>
        <w:t> </w:t>
      </w:r>
      <w:r w:rsidRPr="00855083">
        <w:rPr>
          <w:rFonts w:ascii="Times New Roman" w:hAnsi="Times New Roman"/>
          <w:sz w:val="28"/>
          <w:szCs w:val="24"/>
          <w:lang w:eastAsia="ru-RU"/>
        </w:rPr>
        <w:t>площадях, не</w:t>
      </w:r>
      <w:r>
        <w:rPr>
          <w:rFonts w:ascii="Times New Roman" w:hAnsi="Times New Roman"/>
          <w:sz w:val="28"/>
          <w:szCs w:val="24"/>
          <w:lang w:eastAsia="ru-RU"/>
        </w:rPr>
        <w:t> </w:t>
      </w:r>
      <w:r w:rsidRPr="00855083">
        <w:rPr>
          <w:rFonts w:ascii="Times New Roman" w:hAnsi="Times New Roman"/>
          <w:sz w:val="28"/>
          <w:szCs w:val="24"/>
          <w:lang w:eastAsia="ru-RU"/>
        </w:rPr>
        <w:t>занятых дорожным покрытием, для предотвращения образования пылящих поверхностей.</w:t>
      </w:r>
    </w:p>
    <w:p w:rsidR="002D1E45" w:rsidRDefault="002D1E45" w:rsidP="00855083">
      <w:pPr>
        <w:spacing w:after="0" w:line="240" w:lineRule="auto"/>
        <w:ind w:firstLine="709"/>
        <w:jc w:val="both"/>
        <w:rPr>
          <w:rFonts w:ascii="Times New Roman" w:hAnsi="Times New Roman"/>
          <w:color w:val="000000"/>
          <w:sz w:val="28"/>
          <w:szCs w:val="28"/>
        </w:rPr>
      </w:pPr>
      <w:r w:rsidRPr="00855083">
        <w:rPr>
          <w:rFonts w:ascii="Times New Roman" w:hAnsi="Times New Roman"/>
          <w:color w:val="000000"/>
          <w:sz w:val="28"/>
          <w:szCs w:val="28"/>
        </w:rPr>
        <w:t xml:space="preserve">Система зелёных насаждений населённых пунктов включает: </w:t>
      </w:r>
    </w:p>
    <w:p w:rsidR="002D1E45" w:rsidRPr="00855083" w:rsidRDefault="002D1E45" w:rsidP="00D05D06">
      <w:pPr>
        <w:numPr>
          <w:ilvl w:val="0"/>
          <w:numId w:val="63"/>
        </w:numPr>
        <w:spacing w:after="0" w:line="240" w:lineRule="auto"/>
        <w:jc w:val="both"/>
        <w:rPr>
          <w:rFonts w:ascii="Times New Roman" w:hAnsi="Times New Roman"/>
          <w:sz w:val="28"/>
          <w:szCs w:val="24"/>
          <w:lang w:eastAsia="ru-RU"/>
        </w:rPr>
      </w:pPr>
      <w:r w:rsidRPr="00855083">
        <w:rPr>
          <w:rFonts w:ascii="Times New Roman" w:hAnsi="Times New Roman"/>
          <w:sz w:val="28"/>
          <w:szCs w:val="24"/>
          <w:lang w:eastAsia="ru-RU"/>
        </w:rPr>
        <w:t xml:space="preserve">озеленённые территории общего пользования; </w:t>
      </w:r>
    </w:p>
    <w:p w:rsidR="002D1E45" w:rsidRPr="00855083" w:rsidRDefault="002D1E45" w:rsidP="00D05D06">
      <w:pPr>
        <w:numPr>
          <w:ilvl w:val="0"/>
          <w:numId w:val="63"/>
        </w:numPr>
        <w:spacing w:after="0" w:line="240" w:lineRule="auto"/>
        <w:jc w:val="both"/>
        <w:rPr>
          <w:rFonts w:ascii="Times New Roman" w:hAnsi="Times New Roman"/>
          <w:sz w:val="28"/>
          <w:szCs w:val="24"/>
          <w:lang w:eastAsia="ru-RU"/>
        </w:rPr>
      </w:pPr>
      <w:r w:rsidRPr="00855083">
        <w:rPr>
          <w:rFonts w:ascii="Times New Roman" w:hAnsi="Times New Roman"/>
          <w:sz w:val="28"/>
          <w:szCs w:val="24"/>
          <w:lang w:eastAsia="ru-RU"/>
        </w:rPr>
        <w:t>озеленённые территории ограниченного пользования (зелёные насаждения на</w:t>
      </w:r>
      <w:r>
        <w:rPr>
          <w:rFonts w:ascii="Times New Roman" w:hAnsi="Times New Roman"/>
          <w:sz w:val="28"/>
          <w:szCs w:val="24"/>
          <w:lang w:eastAsia="ru-RU"/>
        </w:rPr>
        <w:t> </w:t>
      </w:r>
      <w:r w:rsidRPr="00855083">
        <w:rPr>
          <w:rFonts w:ascii="Times New Roman" w:hAnsi="Times New Roman"/>
          <w:sz w:val="28"/>
          <w:szCs w:val="24"/>
          <w:lang w:eastAsia="ru-RU"/>
        </w:rPr>
        <w:t xml:space="preserve">участках жилых массивов, учреждений здравоохранения, промышленных предприятий, пришкольных участков, детских садов); </w:t>
      </w:r>
    </w:p>
    <w:p w:rsidR="002D1E45" w:rsidRPr="00855083" w:rsidRDefault="002D1E45" w:rsidP="00D05D06">
      <w:pPr>
        <w:numPr>
          <w:ilvl w:val="0"/>
          <w:numId w:val="63"/>
        </w:numPr>
        <w:spacing w:after="0" w:line="240" w:lineRule="auto"/>
        <w:jc w:val="both"/>
        <w:rPr>
          <w:rFonts w:ascii="Times New Roman" w:hAnsi="Times New Roman"/>
          <w:sz w:val="28"/>
          <w:szCs w:val="24"/>
          <w:lang w:eastAsia="ru-RU"/>
        </w:rPr>
      </w:pPr>
      <w:r w:rsidRPr="00855083">
        <w:rPr>
          <w:rFonts w:ascii="Times New Roman" w:hAnsi="Times New Roman"/>
          <w:sz w:val="28"/>
          <w:szCs w:val="24"/>
          <w:lang w:eastAsia="ru-RU"/>
        </w:rPr>
        <w:t>озеленённые территории специального назначения (озеленение санитарно-защитных, территорий вдоль дорог).</w:t>
      </w:r>
    </w:p>
    <w:p w:rsidR="002D1E45" w:rsidRPr="00855083" w:rsidRDefault="002D1E45" w:rsidP="00855083">
      <w:pPr>
        <w:spacing w:after="0" w:line="240" w:lineRule="auto"/>
        <w:ind w:firstLine="709"/>
        <w:jc w:val="both"/>
        <w:rPr>
          <w:rFonts w:ascii="Times New Roman" w:hAnsi="Times New Roman"/>
          <w:color w:val="000000"/>
          <w:sz w:val="28"/>
          <w:szCs w:val="28"/>
        </w:rPr>
      </w:pPr>
      <w:r w:rsidRPr="00855083">
        <w:rPr>
          <w:rFonts w:ascii="Times New Roman" w:hAnsi="Times New Roman"/>
          <w:color w:val="000000"/>
          <w:sz w:val="28"/>
          <w:szCs w:val="28"/>
        </w:rPr>
        <w:t>В целях создания непрерывной системы зелёных насаждений предлагается все малые зелёные устройства соединить газонами и</w:t>
      </w:r>
      <w:r>
        <w:rPr>
          <w:rFonts w:ascii="Times New Roman" w:hAnsi="Times New Roman"/>
          <w:color w:val="000000"/>
          <w:sz w:val="28"/>
          <w:szCs w:val="28"/>
        </w:rPr>
        <w:t> </w:t>
      </w:r>
      <w:r w:rsidRPr="00855083">
        <w:rPr>
          <w:rFonts w:ascii="Times New Roman" w:hAnsi="Times New Roman"/>
          <w:color w:val="000000"/>
          <w:sz w:val="28"/>
          <w:szCs w:val="28"/>
        </w:rPr>
        <w:t>цветниками, которые следует создавать на</w:t>
      </w:r>
      <w:r>
        <w:rPr>
          <w:rFonts w:ascii="Times New Roman" w:hAnsi="Times New Roman"/>
          <w:color w:val="000000"/>
          <w:sz w:val="28"/>
          <w:szCs w:val="28"/>
        </w:rPr>
        <w:t> </w:t>
      </w:r>
      <w:r w:rsidRPr="00855083">
        <w:rPr>
          <w:rFonts w:ascii="Times New Roman" w:hAnsi="Times New Roman"/>
          <w:color w:val="000000"/>
          <w:sz w:val="28"/>
          <w:szCs w:val="28"/>
        </w:rPr>
        <w:t>всех свободных от</w:t>
      </w:r>
      <w:r>
        <w:rPr>
          <w:rFonts w:ascii="Times New Roman" w:hAnsi="Times New Roman"/>
          <w:color w:val="000000"/>
          <w:sz w:val="28"/>
          <w:szCs w:val="28"/>
        </w:rPr>
        <w:t> </w:t>
      </w:r>
      <w:r w:rsidRPr="00855083">
        <w:rPr>
          <w:rFonts w:ascii="Times New Roman" w:hAnsi="Times New Roman"/>
          <w:color w:val="000000"/>
          <w:sz w:val="28"/>
          <w:szCs w:val="28"/>
        </w:rPr>
        <w:t>покрытий участках. Ассортимент деревьев и</w:t>
      </w:r>
      <w:r>
        <w:rPr>
          <w:rFonts w:ascii="Times New Roman" w:hAnsi="Times New Roman"/>
          <w:color w:val="000000"/>
          <w:sz w:val="28"/>
          <w:szCs w:val="28"/>
        </w:rPr>
        <w:t> </w:t>
      </w:r>
      <w:r w:rsidRPr="00855083">
        <w:rPr>
          <w:rFonts w:ascii="Times New Roman" w:hAnsi="Times New Roman"/>
          <w:color w:val="000000"/>
          <w:sz w:val="28"/>
          <w:szCs w:val="28"/>
        </w:rPr>
        <w:t>кустарников определяется с</w:t>
      </w:r>
      <w:r>
        <w:rPr>
          <w:rFonts w:ascii="Times New Roman" w:hAnsi="Times New Roman"/>
          <w:color w:val="000000"/>
          <w:sz w:val="28"/>
          <w:szCs w:val="28"/>
        </w:rPr>
        <w:t> </w:t>
      </w:r>
      <w:r w:rsidRPr="00855083">
        <w:rPr>
          <w:rFonts w:ascii="Times New Roman" w:hAnsi="Times New Roman"/>
          <w:color w:val="000000"/>
          <w:sz w:val="28"/>
          <w:szCs w:val="28"/>
        </w:rPr>
        <w:t>учётом условий их</w:t>
      </w:r>
      <w:r>
        <w:rPr>
          <w:rFonts w:ascii="Times New Roman" w:hAnsi="Times New Roman"/>
          <w:color w:val="000000"/>
          <w:sz w:val="28"/>
          <w:szCs w:val="28"/>
        </w:rPr>
        <w:t> </w:t>
      </w:r>
      <w:r w:rsidRPr="00855083">
        <w:rPr>
          <w:rFonts w:ascii="Times New Roman" w:hAnsi="Times New Roman"/>
          <w:color w:val="000000"/>
          <w:sz w:val="28"/>
          <w:szCs w:val="28"/>
        </w:rPr>
        <w:t>произрастания, функционального назначения зоны и</w:t>
      </w:r>
      <w:r>
        <w:rPr>
          <w:rFonts w:ascii="Times New Roman" w:hAnsi="Times New Roman"/>
          <w:color w:val="000000"/>
          <w:sz w:val="28"/>
          <w:szCs w:val="28"/>
        </w:rPr>
        <w:t> </w:t>
      </w:r>
      <w:r w:rsidRPr="00855083">
        <w:rPr>
          <w:rFonts w:ascii="Times New Roman" w:hAnsi="Times New Roman"/>
          <w:color w:val="000000"/>
          <w:sz w:val="28"/>
          <w:szCs w:val="28"/>
        </w:rPr>
        <w:t>с</w:t>
      </w:r>
      <w:r>
        <w:rPr>
          <w:rFonts w:ascii="Times New Roman" w:hAnsi="Times New Roman"/>
          <w:color w:val="000000"/>
          <w:sz w:val="28"/>
          <w:szCs w:val="28"/>
        </w:rPr>
        <w:t> </w:t>
      </w:r>
      <w:r w:rsidRPr="00855083">
        <w:rPr>
          <w:rFonts w:ascii="Times New Roman" w:hAnsi="Times New Roman"/>
          <w:color w:val="000000"/>
          <w:sz w:val="28"/>
          <w:szCs w:val="28"/>
        </w:rPr>
        <w:t>целью улучшения декоративной направленности.</w:t>
      </w:r>
    </w:p>
    <w:p w:rsidR="002D1E45" w:rsidRPr="00855083" w:rsidRDefault="002D1E45" w:rsidP="00855083">
      <w:pPr>
        <w:spacing w:after="0" w:line="240" w:lineRule="auto"/>
        <w:ind w:firstLine="709"/>
        <w:jc w:val="both"/>
        <w:rPr>
          <w:rFonts w:ascii="Times New Roman" w:hAnsi="Times New Roman"/>
          <w:color w:val="000000"/>
          <w:sz w:val="28"/>
          <w:szCs w:val="28"/>
        </w:rPr>
      </w:pPr>
      <w:r w:rsidRPr="00855083">
        <w:rPr>
          <w:rFonts w:ascii="Times New Roman" w:hAnsi="Times New Roman"/>
          <w:color w:val="000000"/>
          <w:sz w:val="28"/>
          <w:szCs w:val="28"/>
        </w:rPr>
        <w:t>В соответствии с</w:t>
      </w:r>
      <w:r>
        <w:rPr>
          <w:rFonts w:ascii="Times New Roman" w:hAnsi="Times New Roman"/>
          <w:color w:val="000000"/>
          <w:sz w:val="28"/>
          <w:szCs w:val="28"/>
        </w:rPr>
        <w:t> МНГП г. Куйбышева,</w:t>
      </w:r>
      <w:r w:rsidRPr="00855083">
        <w:rPr>
          <w:rFonts w:ascii="Times New Roman" w:hAnsi="Times New Roman"/>
          <w:color w:val="000000"/>
          <w:sz w:val="28"/>
          <w:szCs w:val="28"/>
        </w:rPr>
        <w:t xml:space="preserve"> площадь озеленённых территорий общего пользования для </w:t>
      </w:r>
      <w:r>
        <w:rPr>
          <w:rFonts w:ascii="Times New Roman" w:hAnsi="Times New Roman"/>
          <w:color w:val="000000"/>
          <w:sz w:val="28"/>
          <w:szCs w:val="28"/>
        </w:rPr>
        <w:t>малых городов</w:t>
      </w:r>
      <w:r w:rsidRPr="00855083">
        <w:rPr>
          <w:rFonts w:ascii="Times New Roman" w:hAnsi="Times New Roman"/>
          <w:color w:val="000000"/>
          <w:sz w:val="28"/>
          <w:szCs w:val="28"/>
        </w:rPr>
        <w:t xml:space="preserve"> должна быть </w:t>
      </w:r>
      <w:r>
        <w:rPr>
          <w:rFonts w:ascii="Times New Roman" w:hAnsi="Times New Roman"/>
          <w:color w:val="000000"/>
          <w:sz w:val="28"/>
          <w:szCs w:val="28"/>
        </w:rPr>
        <w:t>8</w:t>
      </w:r>
      <w:r w:rsidRPr="00855083">
        <w:rPr>
          <w:rFonts w:ascii="Times New Roman" w:hAnsi="Times New Roman"/>
          <w:color w:val="000000"/>
          <w:sz w:val="28"/>
          <w:szCs w:val="28"/>
        </w:rPr>
        <w:t xml:space="preserve"> м</w:t>
      </w:r>
      <w:r w:rsidRPr="00571D1F">
        <w:rPr>
          <w:rFonts w:ascii="Times New Roman" w:hAnsi="Times New Roman"/>
          <w:color w:val="000000"/>
          <w:sz w:val="28"/>
          <w:szCs w:val="28"/>
          <w:vertAlign w:val="superscript"/>
        </w:rPr>
        <w:t>2</w:t>
      </w:r>
      <w:r w:rsidRPr="00855083">
        <w:rPr>
          <w:rFonts w:ascii="Times New Roman" w:hAnsi="Times New Roman"/>
          <w:color w:val="000000"/>
          <w:sz w:val="28"/>
          <w:szCs w:val="28"/>
        </w:rPr>
        <w:t>/чел.</w:t>
      </w:r>
      <w:r>
        <w:rPr>
          <w:rFonts w:ascii="Times New Roman" w:hAnsi="Times New Roman"/>
          <w:color w:val="000000"/>
          <w:sz w:val="28"/>
          <w:szCs w:val="28"/>
        </w:rPr>
        <w:t xml:space="preserve"> Исходя из этого норматива, площадь </w:t>
      </w:r>
      <w:r w:rsidRPr="00855083">
        <w:rPr>
          <w:rFonts w:ascii="Times New Roman" w:hAnsi="Times New Roman"/>
          <w:color w:val="000000"/>
          <w:sz w:val="28"/>
          <w:szCs w:val="28"/>
        </w:rPr>
        <w:t>озеленённых территорий общего пользования</w:t>
      </w:r>
      <w:r>
        <w:rPr>
          <w:rFonts w:ascii="Times New Roman" w:hAnsi="Times New Roman"/>
          <w:color w:val="000000"/>
          <w:sz w:val="28"/>
          <w:szCs w:val="28"/>
        </w:rPr>
        <w:t xml:space="preserve"> в поселении должна составлять не менее 31,16 га на расчётный срок.</w:t>
      </w:r>
    </w:p>
    <w:p w:rsidR="002D1E45" w:rsidRPr="00855083" w:rsidRDefault="002D1E45" w:rsidP="00855083">
      <w:pPr>
        <w:spacing w:after="0" w:line="240" w:lineRule="auto"/>
        <w:ind w:firstLine="709"/>
        <w:jc w:val="both"/>
        <w:rPr>
          <w:rFonts w:ascii="Times New Roman" w:hAnsi="Times New Roman"/>
          <w:color w:val="000000"/>
          <w:sz w:val="28"/>
          <w:szCs w:val="28"/>
        </w:rPr>
      </w:pPr>
      <w:r w:rsidRPr="00855083">
        <w:rPr>
          <w:rFonts w:ascii="Times New Roman" w:hAnsi="Times New Roman"/>
          <w:color w:val="000000"/>
          <w:sz w:val="28"/>
          <w:szCs w:val="28"/>
        </w:rPr>
        <w:t>В соответствии с</w:t>
      </w:r>
      <w:r>
        <w:rPr>
          <w:rFonts w:ascii="Times New Roman" w:hAnsi="Times New Roman"/>
          <w:color w:val="000000"/>
          <w:sz w:val="28"/>
          <w:szCs w:val="28"/>
        </w:rPr>
        <w:t> </w:t>
      </w:r>
      <w:r w:rsidRPr="00855083">
        <w:rPr>
          <w:rFonts w:ascii="Times New Roman" w:hAnsi="Times New Roman"/>
          <w:color w:val="000000"/>
          <w:sz w:val="28"/>
          <w:szCs w:val="28"/>
        </w:rPr>
        <w:t>Методическими рекомендациями по</w:t>
      </w:r>
      <w:r>
        <w:rPr>
          <w:rFonts w:ascii="Times New Roman" w:hAnsi="Times New Roman"/>
          <w:color w:val="000000"/>
          <w:sz w:val="28"/>
          <w:szCs w:val="28"/>
        </w:rPr>
        <w:t> </w:t>
      </w:r>
      <w:r w:rsidRPr="00855083">
        <w:rPr>
          <w:rFonts w:ascii="Times New Roman" w:hAnsi="Times New Roman"/>
          <w:color w:val="000000"/>
          <w:sz w:val="28"/>
          <w:szCs w:val="28"/>
        </w:rPr>
        <w:t>разработке норм и</w:t>
      </w:r>
      <w:r>
        <w:rPr>
          <w:rFonts w:ascii="Times New Roman" w:hAnsi="Times New Roman"/>
          <w:color w:val="000000"/>
          <w:sz w:val="28"/>
          <w:szCs w:val="28"/>
        </w:rPr>
        <w:t> </w:t>
      </w:r>
      <w:r w:rsidRPr="00855083">
        <w:rPr>
          <w:rFonts w:ascii="Times New Roman" w:hAnsi="Times New Roman"/>
          <w:color w:val="000000"/>
          <w:sz w:val="28"/>
          <w:szCs w:val="28"/>
        </w:rPr>
        <w:t>правил по</w:t>
      </w:r>
      <w:r>
        <w:rPr>
          <w:rFonts w:ascii="Times New Roman" w:hAnsi="Times New Roman"/>
          <w:color w:val="000000"/>
          <w:sz w:val="28"/>
          <w:szCs w:val="28"/>
        </w:rPr>
        <w:t> </w:t>
      </w:r>
      <w:r w:rsidRPr="00855083">
        <w:rPr>
          <w:rFonts w:ascii="Times New Roman" w:hAnsi="Times New Roman"/>
          <w:color w:val="000000"/>
          <w:sz w:val="28"/>
          <w:szCs w:val="28"/>
        </w:rPr>
        <w:t>благоустройству территорий муниципальных образований, утверждёнными Приказом Министерства регионального развития Российской Федерации от 27.12.2011 № 613, физическим лицам, в</w:t>
      </w:r>
      <w:r>
        <w:rPr>
          <w:rFonts w:ascii="Times New Roman" w:hAnsi="Times New Roman"/>
          <w:color w:val="000000"/>
          <w:sz w:val="28"/>
          <w:szCs w:val="28"/>
        </w:rPr>
        <w:t> </w:t>
      </w:r>
      <w:r w:rsidRPr="00855083">
        <w:rPr>
          <w:rFonts w:ascii="Times New Roman" w:hAnsi="Times New Roman"/>
          <w:color w:val="000000"/>
          <w:sz w:val="28"/>
          <w:szCs w:val="28"/>
        </w:rPr>
        <w:t>собственности или в</w:t>
      </w:r>
      <w:r>
        <w:rPr>
          <w:rFonts w:ascii="Times New Roman" w:hAnsi="Times New Roman"/>
          <w:color w:val="000000"/>
          <w:sz w:val="28"/>
          <w:szCs w:val="28"/>
        </w:rPr>
        <w:t> </w:t>
      </w:r>
      <w:r w:rsidRPr="00855083">
        <w:rPr>
          <w:rFonts w:ascii="Times New Roman" w:hAnsi="Times New Roman"/>
          <w:color w:val="000000"/>
          <w:sz w:val="28"/>
          <w:szCs w:val="28"/>
        </w:rPr>
        <w:t>пользовании которых находятся земельные участки, рекомендуется обеспечивать содержание и</w:t>
      </w:r>
      <w:r>
        <w:rPr>
          <w:rFonts w:ascii="Times New Roman" w:hAnsi="Times New Roman"/>
          <w:color w:val="000000"/>
          <w:sz w:val="28"/>
          <w:szCs w:val="28"/>
        </w:rPr>
        <w:t> </w:t>
      </w:r>
      <w:r w:rsidRPr="00855083">
        <w:rPr>
          <w:rFonts w:ascii="Times New Roman" w:hAnsi="Times New Roman"/>
          <w:color w:val="000000"/>
          <w:sz w:val="28"/>
          <w:szCs w:val="28"/>
        </w:rPr>
        <w:t>сохранность зелёных насаждений, находящихся на</w:t>
      </w:r>
      <w:r>
        <w:rPr>
          <w:rFonts w:ascii="Times New Roman" w:hAnsi="Times New Roman"/>
          <w:color w:val="000000"/>
          <w:sz w:val="28"/>
          <w:szCs w:val="28"/>
        </w:rPr>
        <w:t> </w:t>
      </w:r>
      <w:r w:rsidRPr="00855083">
        <w:rPr>
          <w:rFonts w:ascii="Times New Roman" w:hAnsi="Times New Roman"/>
          <w:color w:val="000000"/>
          <w:sz w:val="28"/>
          <w:szCs w:val="28"/>
        </w:rPr>
        <w:t>этих участках, а</w:t>
      </w:r>
      <w:r>
        <w:rPr>
          <w:rFonts w:ascii="Times New Roman" w:hAnsi="Times New Roman"/>
          <w:color w:val="000000"/>
          <w:sz w:val="28"/>
          <w:szCs w:val="28"/>
        </w:rPr>
        <w:t> </w:t>
      </w:r>
      <w:r w:rsidRPr="00855083">
        <w:rPr>
          <w:rFonts w:ascii="Times New Roman" w:hAnsi="Times New Roman"/>
          <w:color w:val="000000"/>
          <w:sz w:val="28"/>
          <w:szCs w:val="28"/>
        </w:rPr>
        <w:t>также на</w:t>
      </w:r>
      <w:r>
        <w:rPr>
          <w:rFonts w:ascii="Times New Roman" w:hAnsi="Times New Roman"/>
          <w:color w:val="000000"/>
          <w:sz w:val="28"/>
          <w:szCs w:val="28"/>
        </w:rPr>
        <w:t> </w:t>
      </w:r>
      <w:r w:rsidRPr="00855083">
        <w:rPr>
          <w:rFonts w:ascii="Times New Roman" w:hAnsi="Times New Roman"/>
          <w:color w:val="000000"/>
          <w:sz w:val="28"/>
          <w:szCs w:val="28"/>
        </w:rPr>
        <w:t>прилегающих территориях.</w:t>
      </w:r>
    </w:p>
    <w:p w:rsidR="002D1E45" w:rsidRDefault="002D1E45" w:rsidP="00855083">
      <w:pPr>
        <w:spacing w:after="0" w:line="240" w:lineRule="auto"/>
        <w:ind w:firstLine="709"/>
        <w:jc w:val="both"/>
        <w:rPr>
          <w:rFonts w:ascii="Times New Roman" w:hAnsi="Times New Roman"/>
          <w:color w:val="000000"/>
          <w:sz w:val="28"/>
          <w:szCs w:val="28"/>
        </w:rPr>
      </w:pPr>
      <w:r w:rsidRPr="00855083">
        <w:rPr>
          <w:rFonts w:ascii="Times New Roman" w:hAnsi="Times New Roman"/>
          <w:color w:val="000000"/>
          <w:sz w:val="28"/>
          <w:szCs w:val="28"/>
        </w:rPr>
        <w:t>Озеленение территорий перспективной застройки и</w:t>
      </w:r>
      <w:r>
        <w:rPr>
          <w:rFonts w:ascii="Times New Roman" w:hAnsi="Times New Roman"/>
          <w:color w:val="000000"/>
          <w:sz w:val="28"/>
          <w:szCs w:val="28"/>
        </w:rPr>
        <w:t> </w:t>
      </w:r>
      <w:r w:rsidRPr="00855083">
        <w:rPr>
          <w:rFonts w:ascii="Times New Roman" w:hAnsi="Times New Roman"/>
          <w:color w:val="000000"/>
          <w:sz w:val="28"/>
          <w:szCs w:val="28"/>
        </w:rPr>
        <w:t>новых транспортных магистралей, создание лесопарков из</w:t>
      </w:r>
      <w:r>
        <w:rPr>
          <w:rFonts w:ascii="Times New Roman" w:hAnsi="Times New Roman"/>
          <w:color w:val="000000"/>
          <w:sz w:val="28"/>
          <w:szCs w:val="28"/>
        </w:rPr>
        <w:t> </w:t>
      </w:r>
      <w:r w:rsidRPr="00855083">
        <w:rPr>
          <w:rFonts w:ascii="Times New Roman" w:hAnsi="Times New Roman"/>
          <w:color w:val="000000"/>
          <w:sz w:val="28"/>
          <w:szCs w:val="28"/>
        </w:rPr>
        <w:t>естественных насаждений деревьев и</w:t>
      </w:r>
      <w:r>
        <w:rPr>
          <w:rFonts w:ascii="Times New Roman" w:hAnsi="Times New Roman"/>
          <w:color w:val="000000"/>
          <w:sz w:val="28"/>
          <w:szCs w:val="28"/>
        </w:rPr>
        <w:t> </w:t>
      </w:r>
      <w:r w:rsidRPr="00855083">
        <w:rPr>
          <w:rFonts w:ascii="Times New Roman" w:hAnsi="Times New Roman"/>
          <w:color w:val="000000"/>
          <w:sz w:val="28"/>
          <w:szCs w:val="28"/>
        </w:rPr>
        <w:t>кустарников хвойных и</w:t>
      </w:r>
      <w:r>
        <w:rPr>
          <w:rFonts w:ascii="Times New Roman" w:hAnsi="Times New Roman"/>
          <w:color w:val="000000"/>
          <w:sz w:val="28"/>
          <w:szCs w:val="28"/>
        </w:rPr>
        <w:t> </w:t>
      </w:r>
      <w:r w:rsidRPr="00855083">
        <w:rPr>
          <w:rFonts w:ascii="Times New Roman" w:hAnsi="Times New Roman"/>
          <w:color w:val="000000"/>
          <w:sz w:val="28"/>
          <w:szCs w:val="28"/>
        </w:rPr>
        <w:t>лиственных пород осуществляется по</w:t>
      </w:r>
      <w:r>
        <w:rPr>
          <w:rFonts w:ascii="Times New Roman" w:hAnsi="Times New Roman"/>
          <w:color w:val="000000"/>
          <w:sz w:val="28"/>
          <w:szCs w:val="28"/>
        </w:rPr>
        <w:t> </w:t>
      </w:r>
      <w:r w:rsidRPr="00855083">
        <w:rPr>
          <w:rFonts w:ascii="Times New Roman" w:hAnsi="Times New Roman"/>
          <w:color w:val="000000"/>
          <w:sz w:val="28"/>
          <w:szCs w:val="28"/>
        </w:rPr>
        <w:t>планам благоустройства и</w:t>
      </w:r>
      <w:r>
        <w:rPr>
          <w:rFonts w:ascii="Times New Roman" w:hAnsi="Times New Roman"/>
          <w:color w:val="000000"/>
          <w:sz w:val="28"/>
          <w:szCs w:val="28"/>
        </w:rPr>
        <w:t> </w:t>
      </w:r>
      <w:r w:rsidRPr="00855083">
        <w:rPr>
          <w:rFonts w:ascii="Times New Roman" w:hAnsi="Times New Roman"/>
          <w:color w:val="000000"/>
          <w:sz w:val="28"/>
          <w:szCs w:val="28"/>
        </w:rPr>
        <w:t>озеленения, входящим в</w:t>
      </w:r>
      <w:r>
        <w:rPr>
          <w:rFonts w:ascii="Times New Roman" w:hAnsi="Times New Roman"/>
          <w:color w:val="000000"/>
          <w:sz w:val="28"/>
          <w:szCs w:val="28"/>
        </w:rPr>
        <w:t> </w:t>
      </w:r>
      <w:r w:rsidRPr="00855083">
        <w:rPr>
          <w:rFonts w:ascii="Times New Roman" w:hAnsi="Times New Roman"/>
          <w:color w:val="000000"/>
          <w:sz w:val="28"/>
          <w:szCs w:val="28"/>
        </w:rPr>
        <w:t>состав проектной документации на</w:t>
      </w:r>
      <w:r>
        <w:rPr>
          <w:rFonts w:ascii="Times New Roman" w:hAnsi="Times New Roman"/>
          <w:color w:val="000000"/>
          <w:sz w:val="28"/>
          <w:szCs w:val="28"/>
        </w:rPr>
        <w:t> </w:t>
      </w:r>
      <w:r w:rsidRPr="00855083">
        <w:rPr>
          <w:rFonts w:ascii="Times New Roman" w:hAnsi="Times New Roman"/>
          <w:color w:val="000000"/>
          <w:sz w:val="28"/>
          <w:szCs w:val="28"/>
        </w:rPr>
        <w:t>строительство объектов, а</w:t>
      </w:r>
      <w:r>
        <w:rPr>
          <w:rFonts w:ascii="Times New Roman" w:hAnsi="Times New Roman"/>
          <w:color w:val="000000"/>
          <w:sz w:val="28"/>
          <w:szCs w:val="28"/>
        </w:rPr>
        <w:t> </w:t>
      </w:r>
      <w:r w:rsidRPr="00855083">
        <w:rPr>
          <w:rFonts w:ascii="Times New Roman" w:hAnsi="Times New Roman"/>
          <w:color w:val="000000"/>
          <w:sz w:val="28"/>
          <w:szCs w:val="28"/>
        </w:rPr>
        <w:t>также по</w:t>
      </w:r>
      <w:r>
        <w:rPr>
          <w:rFonts w:ascii="Times New Roman" w:hAnsi="Times New Roman"/>
          <w:color w:val="000000"/>
          <w:sz w:val="28"/>
          <w:szCs w:val="28"/>
        </w:rPr>
        <w:t> </w:t>
      </w:r>
      <w:r w:rsidRPr="00855083">
        <w:rPr>
          <w:rFonts w:ascii="Times New Roman" w:hAnsi="Times New Roman"/>
          <w:color w:val="000000"/>
          <w:sz w:val="28"/>
          <w:szCs w:val="28"/>
        </w:rPr>
        <w:t>отдельным проектам ландшафтного строительства.</w:t>
      </w:r>
    </w:p>
    <w:p w:rsidR="002D1E45" w:rsidRDefault="002D1E45" w:rsidP="00F46947">
      <w:pPr>
        <w:spacing w:after="0" w:line="240" w:lineRule="auto"/>
        <w:rPr>
          <w:rFonts w:ascii="Arial" w:hAnsi="Arial" w:cs="Arial"/>
          <w:sz w:val="16"/>
          <w:szCs w:val="16"/>
          <w:lang w:eastAsia="ru-RU"/>
        </w:rPr>
      </w:pPr>
    </w:p>
    <w:p w:rsidR="002D1E45" w:rsidRDefault="002D1E45" w:rsidP="00F46947">
      <w:pPr>
        <w:spacing w:after="0" w:line="240" w:lineRule="auto"/>
        <w:rPr>
          <w:rFonts w:ascii="Arial" w:hAnsi="Arial" w:cs="Arial"/>
          <w:sz w:val="16"/>
          <w:szCs w:val="16"/>
          <w:lang w:eastAsia="ru-RU"/>
        </w:rPr>
      </w:pPr>
    </w:p>
    <w:p w:rsidR="002D1E45" w:rsidRPr="00AF7759" w:rsidRDefault="002D1E45" w:rsidP="00D05D06">
      <w:pPr>
        <w:pStyle w:val="Heading1"/>
        <w:numPr>
          <w:ilvl w:val="0"/>
          <w:numId w:val="65"/>
        </w:numPr>
        <w:tabs>
          <w:tab w:val="left" w:pos="567"/>
        </w:tabs>
        <w:spacing w:after="240" w:line="240" w:lineRule="auto"/>
        <w:rPr>
          <w:b/>
        </w:rPr>
      </w:pPr>
      <w:bookmarkStart w:id="372" w:name="_Toc84936070"/>
      <w:r w:rsidRPr="00AF7759">
        <w:rPr>
          <w:b/>
        </w:rPr>
        <w:t>Сведения</w:t>
      </w:r>
      <w:r w:rsidRPr="00AF7759">
        <w:rPr>
          <w:b/>
          <w:sz w:val="24"/>
        </w:rPr>
        <w:t xml:space="preserve"> </w:t>
      </w:r>
      <w:r w:rsidRPr="00AF7759">
        <w:rPr>
          <w:b/>
        </w:rPr>
        <w:t>о</w:t>
      </w:r>
      <w:r w:rsidRPr="00AF7759">
        <w:rPr>
          <w:b/>
          <w:sz w:val="24"/>
        </w:rPr>
        <w:t> </w:t>
      </w:r>
      <w:r w:rsidRPr="00AF7759">
        <w:rPr>
          <w:b/>
        </w:rPr>
        <w:t>видах, назначении и наименованиях планируемых для размещения на территории города Куйбышева объектов федерального значения, объектов регионального значения, объектов местного значения, их основные характеристики, местоположение, характеристики зон с особыми условиями использования территорий</w:t>
      </w:r>
      <w:bookmarkEnd w:id="372"/>
    </w:p>
    <w:p w:rsidR="002D1E45" w:rsidRPr="000C695C" w:rsidRDefault="002D1E45" w:rsidP="00014152">
      <w:pPr>
        <w:autoSpaceDE w:val="0"/>
        <w:autoSpaceDN w:val="0"/>
        <w:adjustRightInd w:val="0"/>
        <w:spacing w:after="0" w:line="240" w:lineRule="auto"/>
        <w:ind w:firstLine="709"/>
        <w:jc w:val="both"/>
        <w:rPr>
          <w:rFonts w:ascii="Times New Roman" w:hAnsi="Times New Roman"/>
          <w:sz w:val="28"/>
          <w:szCs w:val="28"/>
          <w:lang w:eastAsia="ru-RU"/>
        </w:rPr>
      </w:pPr>
      <w:r w:rsidRPr="000C695C">
        <w:rPr>
          <w:rFonts w:ascii="Times New Roman" w:hAnsi="Times New Roman"/>
          <w:sz w:val="28"/>
          <w:szCs w:val="28"/>
          <w:lang w:eastAsia="ru-RU"/>
        </w:rPr>
        <w:t>Схемой территориального планирования Российской Федерации в</w:t>
      </w:r>
      <w:r>
        <w:rPr>
          <w:rFonts w:ascii="Times New Roman" w:hAnsi="Times New Roman"/>
          <w:sz w:val="28"/>
          <w:szCs w:val="28"/>
          <w:lang w:eastAsia="ru-RU"/>
        </w:rPr>
        <w:t> </w:t>
      </w:r>
      <w:r w:rsidRPr="000C695C">
        <w:rPr>
          <w:rFonts w:ascii="Times New Roman" w:hAnsi="Times New Roman"/>
          <w:sz w:val="28"/>
          <w:szCs w:val="28"/>
          <w:lang w:eastAsia="ru-RU"/>
        </w:rPr>
        <w:t>области федерального транспорта (железнодорожного, воздушного, морского, внутреннего водного транспорта) и</w:t>
      </w:r>
      <w:r>
        <w:rPr>
          <w:rFonts w:ascii="Times New Roman" w:hAnsi="Times New Roman"/>
          <w:sz w:val="28"/>
          <w:szCs w:val="28"/>
          <w:lang w:eastAsia="ru-RU"/>
        </w:rPr>
        <w:t> </w:t>
      </w:r>
      <w:r w:rsidRPr="000C695C">
        <w:rPr>
          <w:rFonts w:ascii="Times New Roman" w:hAnsi="Times New Roman"/>
          <w:sz w:val="28"/>
          <w:szCs w:val="28"/>
          <w:lang w:eastAsia="ru-RU"/>
        </w:rPr>
        <w:t>автомобильных дорог федерального значения, утверждённой распоряжением Правительства Российской Федерации от 19.03.2013 № 384-р, в</w:t>
      </w:r>
      <w:r>
        <w:rPr>
          <w:rFonts w:ascii="Times New Roman" w:hAnsi="Times New Roman"/>
          <w:sz w:val="28"/>
          <w:szCs w:val="28"/>
          <w:lang w:eastAsia="ru-RU"/>
        </w:rPr>
        <w:t> </w:t>
      </w:r>
      <w:r w:rsidRPr="000C695C">
        <w:rPr>
          <w:rFonts w:ascii="Times New Roman" w:hAnsi="Times New Roman"/>
          <w:sz w:val="28"/>
          <w:szCs w:val="28"/>
          <w:lang w:eastAsia="ru-RU"/>
        </w:rPr>
        <w:t xml:space="preserve">границах </w:t>
      </w:r>
      <w:r w:rsidRPr="00014152">
        <w:rPr>
          <w:rFonts w:ascii="Times New Roman" w:hAnsi="Times New Roman"/>
          <w:sz w:val="28"/>
          <w:szCs w:val="28"/>
          <w:lang w:eastAsia="ru-RU"/>
        </w:rPr>
        <w:t>города Куйбышева Куйбышевского района Новосибирской области</w:t>
      </w:r>
      <w:r>
        <w:rPr>
          <w:rFonts w:ascii="Times New Roman" w:hAnsi="Times New Roman"/>
          <w:sz w:val="28"/>
          <w:szCs w:val="28"/>
          <w:lang w:eastAsia="ru-RU"/>
        </w:rPr>
        <w:t xml:space="preserve"> </w:t>
      </w:r>
      <w:r w:rsidRPr="000C695C">
        <w:rPr>
          <w:rFonts w:ascii="Times New Roman" w:hAnsi="Times New Roman"/>
          <w:sz w:val="28"/>
          <w:szCs w:val="28"/>
          <w:lang w:eastAsia="ru-RU"/>
        </w:rPr>
        <w:t>объектов федерального значения не</w:t>
      </w:r>
      <w:r>
        <w:rPr>
          <w:rFonts w:ascii="Times New Roman" w:hAnsi="Times New Roman"/>
          <w:sz w:val="28"/>
          <w:szCs w:val="28"/>
          <w:lang w:eastAsia="ru-RU"/>
        </w:rPr>
        <w:t> </w:t>
      </w:r>
      <w:r w:rsidRPr="000C695C">
        <w:rPr>
          <w:rFonts w:ascii="Times New Roman" w:hAnsi="Times New Roman"/>
          <w:sz w:val="28"/>
          <w:szCs w:val="28"/>
          <w:lang w:eastAsia="ru-RU"/>
        </w:rPr>
        <w:t>запланировано.</w:t>
      </w:r>
    </w:p>
    <w:p w:rsidR="002D1E45" w:rsidRPr="000C695C" w:rsidRDefault="002D1E45" w:rsidP="000C695C">
      <w:pPr>
        <w:autoSpaceDE w:val="0"/>
        <w:autoSpaceDN w:val="0"/>
        <w:adjustRightInd w:val="0"/>
        <w:spacing w:after="0" w:line="240" w:lineRule="auto"/>
        <w:ind w:firstLine="709"/>
        <w:jc w:val="both"/>
        <w:rPr>
          <w:rFonts w:ascii="Times New Roman" w:hAnsi="Times New Roman"/>
          <w:sz w:val="28"/>
          <w:szCs w:val="28"/>
          <w:lang w:eastAsia="ru-RU"/>
        </w:rPr>
      </w:pPr>
      <w:r w:rsidRPr="000C695C">
        <w:rPr>
          <w:rFonts w:ascii="Times New Roman" w:hAnsi="Times New Roman"/>
          <w:sz w:val="28"/>
          <w:szCs w:val="28"/>
          <w:lang w:eastAsia="ru-RU"/>
        </w:rPr>
        <w:t>Схемой территориального планирования Российской Федерации в</w:t>
      </w:r>
      <w:r>
        <w:rPr>
          <w:rFonts w:ascii="Times New Roman" w:hAnsi="Times New Roman"/>
          <w:sz w:val="28"/>
          <w:szCs w:val="28"/>
          <w:lang w:eastAsia="ru-RU"/>
        </w:rPr>
        <w:t> </w:t>
      </w:r>
      <w:r w:rsidRPr="000C695C">
        <w:rPr>
          <w:rFonts w:ascii="Times New Roman" w:hAnsi="Times New Roman"/>
          <w:sz w:val="28"/>
          <w:szCs w:val="28"/>
          <w:lang w:eastAsia="ru-RU"/>
        </w:rPr>
        <w:t>области высшего профессионального образования, утверждённой распоряжением Правительства Российской Федерации от 26.02.2013 № 247-р, в</w:t>
      </w:r>
      <w:r>
        <w:rPr>
          <w:rFonts w:ascii="Times New Roman" w:hAnsi="Times New Roman"/>
          <w:sz w:val="28"/>
          <w:szCs w:val="28"/>
          <w:lang w:eastAsia="ru-RU"/>
        </w:rPr>
        <w:t> </w:t>
      </w:r>
      <w:r w:rsidRPr="000C695C">
        <w:rPr>
          <w:rFonts w:ascii="Times New Roman" w:hAnsi="Times New Roman"/>
          <w:sz w:val="28"/>
          <w:szCs w:val="28"/>
          <w:lang w:eastAsia="ru-RU"/>
        </w:rPr>
        <w:t xml:space="preserve">границах </w:t>
      </w:r>
      <w:r>
        <w:rPr>
          <w:rFonts w:ascii="Times New Roman" w:hAnsi="Times New Roman"/>
          <w:sz w:val="28"/>
          <w:szCs w:val="28"/>
          <w:lang w:eastAsia="ru-RU"/>
        </w:rPr>
        <w:t xml:space="preserve">города Куйбышева Куйбышевского района Новосибирской области </w:t>
      </w:r>
      <w:r w:rsidRPr="000C695C">
        <w:rPr>
          <w:rFonts w:ascii="Times New Roman" w:hAnsi="Times New Roman"/>
          <w:sz w:val="28"/>
          <w:szCs w:val="28"/>
          <w:lang w:eastAsia="ru-RU"/>
        </w:rPr>
        <w:t>объектов федерального значения не</w:t>
      </w:r>
      <w:r>
        <w:rPr>
          <w:rFonts w:ascii="Times New Roman" w:hAnsi="Times New Roman"/>
          <w:sz w:val="28"/>
          <w:szCs w:val="28"/>
          <w:lang w:eastAsia="ru-RU"/>
        </w:rPr>
        <w:t> </w:t>
      </w:r>
      <w:r w:rsidRPr="000C695C">
        <w:rPr>
          <w:rFonts w:ascii="Times New Roman" w:hAnsi="Times New Roman"/>
          <w:sz w:val="28"/>
          <w:szCs w:val="28"/>
          <w:lang w:eastAsia="ru-RU"/>
        </w:rPr>
        <w:t>запланировано.</w:t>
      </w:r>
    </w:p>
    <w:p w:rsidR="002D1E45" w:rsidRPr="000C695C" w:rsidRDefault="002D1E45" w:rsidP="000C695C">
      <w:pPr>
        <w:autoSpaceDE w:val="0"/>
        <w:autoSpaceDN w:val="0"/>
        <w:adjustRightInd w:val="0"/>
        <w:spacing w:after="0" w:line="240" w:lineRule="auto"/>
        <w:ind w:firstLine="709"/>
        <w:jc w:val="both"/>
        <w:rPr>
          <w:rFonts w:ascii="Times New Roman" w:hAnsi="Times New Roman"/>
          <w:sz w:val="28"/>
          <w:szCs w:val="28"/>
          <w:lang w:eastAsia="ru-RU"/>
        </w:rPr>
      </w:pPr>
      <w:r w:rsidRPr="000C695C">
        <w:rPr>
          <w:rFonts w:ascii="Times New Roman" w:hAnsi="Times New Roman"/>
          <w:sz w:val="28"/>
          <w:szCs w:val="28"/>
          <w:lang w:eastAsia="ru-RU"/>
        </w:rPr>
        <w:t>Схемой территориального планирования Российской Федерации в</w:t>
      </w:r>
      <w:r>
        <w:rPr>
          <w:rFonts w:ascii="Times New Roman" w:hAnsi="Times New Roman"/>
          <w:sz w:val="28"/>
          <w:szCs w:val="28"/>
          <w:lang w:eastAsia="ru-RU"/>
        </w:rPr>
        <w:t> </w:t>
      </w:r>
      <w:r w:rsidRPr="000C695C">
        <w:rPr>
          <w:rFonts w:ascii="Times New Roman" w:hAnsi="Times New Roman"/>
          <w:sz w:val="28"/>
          <w:szCs w:val="28"/>
          <w:lang w:eastAsia="ru-RU"/>
        </w:rPr>
        <w:t>области здравоохранения, утверждённой распоряжением Правительства Российской Федерации от 28.12.2012 № 2607-р, в</w:t>
      </w:r>
      <w:r>
        <w:rPr>
          <w:rFonts w:ascii="Times New Roman" w:hAnsi="Times New Roman"/>
          <w:sz w:val="28"/>
          <w:szCs w:val="28"/>
          <w:lang w:eastAsia="ru-RU"/>
        </w:rPr>
        <w:t> </w:t>
      </w:r>
      <w:r w:rsidRPr="000C695C">
        <w:rPr>
          <w:rFonts w:ascii="Times New Roman" w:hAnsi="Times New Roman"/>
          <w:sz w:val="28"/>
          <w:szCs w:val="28"/>
          <w:lang w:eastAsia="ru-RU"/>
        </w:rPr>
        <w:t xml:space="preserve">границах </w:t>
      </w:r>
      <w:r>
        <w:rPr>
          <w:rFonts w:ascii="Times New Roman" w:hAnsi="Times New Roman"/>
          <w:sz w:val="28"/>
          <w:szCs w:val="28"/>
          <w:lang w:eastAsia="ru-RU"/>
        </w:rPr>
        <w:t xml:space="preserve">города Куйбышева Куйбышевского района Новосибирской области </w:t>
      </w:r>
      <w:r w:rsidRPr="000C695C">
        <w:rPr>
          <w:rFonts w:ascii="Times New Roman" w:hAnsi="Times New Roman"/>
          <w:sz w:val="28"/>
          <w:szCs w:val="28"/>
          <w:lang w:eastAsia="ru-RU"/>
        </w:rPr>
        <w:t>объектов федерального значения не</w:t>
      </w:r>
      <w:r>
        <w:rPr>
          <w:rFonts w:ascii="Times New Roman" w:hAnsi="Times New Roman"/>
          <w:sz w:val="28"/>
          <w:szCs w:val="28"/>
          <w:lang w:eastAsia="ru-RU"/>
        </w:rPr>
        <w:t> </w:t>
      </w:r>
      <w:r w:rsidRPr="000C695C">
        <w:rPr>
          <w:rFonts w:ascii="Times New Roman" w:hAnsi="Times New Roman"/>
          <w:sz w:val="28"/>
          <w:szCs w:val="28"/>
          <w:lang w:eastAsia="ru-RU"/>
        </w:rPr>
        <w:t>запланировано.</w:t>
      </w:r>
    </w:p>
    <w:p w:rsidR="002D1E45" w:rsidRPr="000C695C" w:rsidRDefault="002D1E45" w:rsidP="00F6170F">
      <w:pPr>
        <w:autoSpaceDE w:val="0"/>
        <w:autoSpaceDN w:val="0"/>
        <w:adjustRightInd w:val="0"/>
        <w:spacing w:after="0" w:line="240" w:lineRule="auto"/>
        <w:ind w:firstLine="709"/>
        <w:jc w:val="both"/>
        <w:rPr>
          <w:rFonts w:ascii="Times New Roman" w:hAnsi="Times New Roman"/>
          <w:sz w:val="28"/>
          <w:szCs w:val="28"/>
          <w:lang w:eastAsia="ru-RU"/>
        </w:rPr>
      </w:pPr>
      <w:r w:rsidRPr="000C695C">
        <w:rPr>
          <w:rFonts w:ascii="Times New Roman" w:hAnsi="Times New Roman"/>
          <w:sz w:val="28"/>
          <w:szCs w:val="28"/>
          <w:lang w:eastAsia="ru-RU"/>
        </w:rPr>
        <w:t xml:space="preserve">Схемой территориального планирования Российской Федерации </w:t>
      </w:r>
      <w:r w:rsidRPr="004D317E">
        <w:rPr>
          <w:rFonts w:ascii="Times New Roman" w:hAnsi="Times New Roman"/>
          <w:sz w:val="28"/>
          <w:szCs w:val="28"/>
          <w:lang w:eastAsia="ru-RU"/>
        </w:rPr>
        <w:t>в области федерального транспорта (в части трубопроводного транспорта)</w:t>
      </w:r>
      <w:r w:rsidRPr="000C695C">
        <w:rPr>
          <w:rFonts w:ascii="Times New Roman" w:hAnsi="Times New Roman"/>
          <w:sz w:val="28"/>
          <w:szCs w:val="28"/>
          <w:lang w:eastAsia="ru-RU"/>
        </w:rPr>
        <w:t xml:space="preserve">, утверждённой распоряжением Правительства Российской Федерации от </w:t>
      </w:r>
      <w:r w:rsidRPr="004D317E">
        <w:rPr>
          <w:rFonts w:ascii="Times New Roman" w:hAnsi="Times New Roman"/>
          <w:sz w:val="28"/>
          <w:szCs w:val="28"/>
          <w:lang w:eastAsia="ru-RU"/>
        </w:rPr>
        <w:t xml:space="preserve">06.05.2015 </w:t>
      </w:r>
      <w:r>
        <w:rPr>
          <w:rFonts w:ascii="Times New Roman" w:hAnsi="Times New Roman"/>
          <w:sz w:val="28"/>
          <w:szCs w:val="28"/>
          <w:lang w:eastAsia="ru-RU"/>
        </w:rPr>
        <w:t>№</w:t>
      </w:r>
      <w:r w:rsidRPr="004D317E">
        <w:rPr>
          <w:rFonts w:ascii="Times New Roman" w:hAnsi="Times New Roman"/>
          <w:sz w:val="28"/>
          <w:szCs w:val="28"/>
          <w:lang w:eastAsia="ru-RU"/>
        </w:rPr>
        <w:t xml:space="preserve"> 816-р</w:t>
      </w:r>
      <w:r w:rsidRPr="000C695C">
        <w:rPr>
          <w:rFonts w:ascii="Times New Roman" w:hAnsi="Times New Roman"/>
          <w:sz w:val="28"/>
          <w:szCs w:val="28"/>
          <w:lang w:eastAsia="ru-RU"/>
        </w:rPr>
        <w:t>, в</w:t>
      </w:r>
      <w:r>
        <w:rPr>
          <w:rFonts w:ascii="Times New Roman" w:hAnsi="Times New Roman"/>
          <w:sz w:val="28"/>
          <w:szCs w:val="28"/>
          <w:lang w:eastAsia="ru-RU"/>
        </w:rPr>
        <w:t> </w:t>
      </w:r>
      <w:r w:rsidRPr="000C695C">
        <w:rPr>
          <w:rFonts w:ascii="Times New Roman" w:hAnsi="Times New Roman"/>
          <w:sz w:val="28"/>
          <w:szCs w:val="28"/>
          <w:lang w:eastAsia="ru-RU"/>
        </w:rPr>
        <w:t xml:space="preserve">границах </w:t>
      </w:r>
      <w:r>
        <w:rPr>
          <w:rFonts w:ascii="Times New Roman" w:hAnsi="Times New Roman"/>
          <w:sz w:val="28"/>
          <w:szCs w:val="28"/>
          <w:lang w:eastAsia="ru-RU"/>
        </w:rPr>
        <w:t xml:space="preserve">города Куйбышева Куйбышевского района Новосибирской области </w:t>
      </w:r>
      <w:r w:rsidRPr="000C695C">
        <w:rPr>
          <w:rFonts w:ascii="Times New Roman" w:hAnsi="Times New Roman"/>
          <w:sz w:val="28"/>
          <w:szCs w:val="28"/>
          <w:lang w:eastAsia="ru-RU"/>
        </w:rPr>
        <w:t>объектов федерального значения не</w:t>
      </w:r>
      <w:r>
        <w:rPr>
          <w:rFonts w:ascii="Times New Roman" w:hAnsi="Times New Roman"/>
          <w:sz w:val="28"/>
          <w:szCs w:val="28"/>
          <w:lang w:eastAsia="ru-RU"/>
        </w:rPr>
        <w:t> </w:t>
      </w:r>
      <w:r w:rsidRPr="000C695C">
        <w:rPr>
          <w:rFonts w:ascii="Times New Roman" w:hAnsi="Times New Roman"/>
          <w:sz w:val="28"/>
          <w:szCs w:val="28"/>
          <w:lang w:eastAsia="ru-RU"/>
        </w:rPr>
        <w:t>запланировано.</w:t>
      </w:r>
    </w:p>
    <w:p w:rsidR="002D1E45" w:rsidRDefault="002D1E45" w:rsidP="00F6170F">
      <w:pPr>
        <w:autoSpaceDE w:val="0"/>
        <w:autoSpaceDN w:val="0"/>
        <w:adjustRightInd w:val="0"/>
        <w:spacing w:after="0" w:line="240" w:lineRule="auto"/>
        <w:ind w:firstLine="709"/>
        <w:jc w:val="both"/>
        <w:rPr>
          <w:rFonts w:ascii="Times New Roman" w:hAnsi="Times New Roman"/>
          <w:sz w:val="28"/>
          <w:szCs w:val="28"/>
          <w:lang w:eastAsia="ru-RU"/>
        </w:rPr>
      </w:pPr>
      <w:r w:rsidRPr="000C695C">
        <w:rPr>
          <w:rFonts w:ascii="Times New Roman" w:hAnsi="Times New Roman"/>
          <w:sz w:val="28"/>
          <w:szCs w:val="28"/>
          <w:lang w:eastAsia="ru-RU"/>
        </w:rPr>
        <w:t>Схемой территориального планирования Российской Федерации в</w:t>
      </w:r>
      <w:r>
        <w:rPr>
          <w:rFonts w:ascii="Times New Roman" w:hAnsi="Times New Roman"/>
          <w:sz w:val="28"/>
          <w:szCs w:val="28"/>
          <w:lang w:eastAsia="ru-RU"/>
        </w:rPr>
        <w:t> </w:t>
      </w:r>
      <w:r w:rsidRPr="000C695C">
        <w:rPr>
          <w:rFonts w:ascii="Times New Roman" w:hAnsi="Times New Roman"/>
          <w:sz w:val="28"/>
          <w:szCs w:val="28"/>
          <w:lang w:eastAsia="ru-RU"/>
        </w:rPr>
        <w:t xml:space="preserve">области </w:t>
      </w:r>
      <w:r w:rsidRPr="00FC2886">
        <w:rPr>
          <w:rFonts w:ascii="Times New Roman" w:hAnsi="Times New Roman"/>
          <w:sz w:val="28"/>
          <w:szCs w:val="28"/>
          <w:lang w:eastAsia="ru-RU"/>
        </w:rPr>
        <w:t>энергетики</w:t>
      </w:r>
      <w:r w:rsidRPr="000C695C">
        <w:rPr>
          <w:rFonts w:ascii="Times New Roman" w:hAnsi="Times New Roman"/>
          <w:sz w:val="28"/>
          <w:szCs w:val="28"/>
          <w:lang w:eastAsia="ru-RU"/>
        </w:rPr>
        <w:t xml:space="preserve">, утверждённой распоряжением Правительства Российской Федерации от </w:t>
      </w:r>
      <w:r w:rsidRPr="004D317E">
        <w:rPr>
          <w:rFonts w:ascii="Times New Roman" w:hAnsi="Times New Roman"/>
          <w:sz w:val="28"/>
          <w:szCs w:val="28"/>
          <w:lang w:eastAsia="ru-RU"/>
        </w:rPr>
        <w:t xml:space="preserve">01.08.2016 </w:t>
      </w:r>
      <w:r>
        <w:rPr>
          <w:rFonts w:ascii="Times New Roman" w:hAnsi="Times New Roman"/>
          <w:sz w:val="28"/>
          <w:szCs w:val="28"/>
          <w:lang w:eastAsia="ru-RU"/>
        </w:rPr>
        <w:t>№</w:t>
      </w:r>
      <w:r w:rsidRPr="004D317E">
        <w:rPr>
          <w:rFonts w:ascii="Times New Roman" w:hAnsi="Times New Roman"/>
          <w:sz w:val="28"/>
          <w:szCs w:val="28"/>
          <w:lang w:eastAsia="ru-RU"/>
        </w:rPr>
        <w:t xml:space="preserve"> 1634-р</w:t>
      </w:r>
      <w:r w:rsidRPr="000C695C">
        <w:rPr>
          <w:rFonts w:ascii="Times New Roman" w:hAnsi="Times New Roman"/>
          <w:sz w:val="28"/>
          <w:szCs w:val="28"/>
          <w:lang w:eastAsia="ru-RU"/>
        </w:rPr>
        <w:t>, в</w:t>
      </w:r>
      <w:r>
        <w:rPr>
          <w:rFonts w:ascii="Times New Roman" w:hAnsi="Times New Roman"/>
          <w:sz w:val="28"/>
          <w:szCs w:val="28"/>
          <w:lang w:eastAsia="ru-RU"/>
        </w:rPr>
        <w:t> </w:t>
      </w:r>
      <w:r w:rsidRPr="000C695C">
        <w:rPr>
          <w:rFonts w:ascii="Times New Roman" w:hAnsi="Times New Roman"/>
          <w:sz w:val="28"/>
          <w:szCs w:val="28"/>
          <w:lang w:eastAsia="ru-RU"/>
        </w:rPr>
        <w:t xml:space="preserve">границах </w:t>
      </w:r>
      <w:r>
        <w:rPr>
          <w:rFonts w:ascii="Times New Roman" w:hAnsi="Times New Roman"/>
          <w:sz w:val="28"/>
          <w:szCs w:val="28"/>
          <w:lang w:eastAsia="ru-RU"/>
        </w:rPr>
        <w:t xml:space="preserve">города Куйбышева Куйбышевского района Новосибирской области </w:t>
      </w:r>
      <w:r w:rsidRPr="000C695C">
        <w:rPr>
          <w:rFonts w:ascii="Times New Roman" w:hAnsi="Times New Roman"/>
          <w:sz w:val="28"/>
          <w:szCs w:val="28"/>
          <w:lang w:eastAsia="ru-RU"/>
        </w:rPr>
        <w:t>объектов федерального значения не</w:t>
      </w:r>
      <w:r>
        <w:rPr>
          <w:rFonts w:ascii="Times New Roman" w:hAnsi="Times New Roman"/>
          <w:sz w:val="28"/>
          <w:szCs w:val="28"/>
          <w:lang w:eastAsia="ru-RU"/>
        </w:rPr>
        <w:t> </w:t>
      </w:r>
      <w:r w:rsidRPr="000C695C">
        <w:rPr>
          <w:rFonts w:ascii="Times New Roman" w:hAnsi="Times New Roman"/>
          <w:sz w:val="28"/>
          <w:szCs w:val="28"/>
          <w:lang w:eastAsia="ru-RU"/>
        </w:rPr>
        <w:t>запланировано</w:t>
      </w:r>
      <w:r>
        <w:rPr>
          <w:rFonts w:ascii="Times New Roman" w:hAnsi="Times New Roman"/>
          <w:sz w:val="28"/>
          <w:szCs w:val="28"/>
          <w:lang w:eastAsia="ru-RU"/>
        </w:rPr>
        <w:t>.</w:t>
      </w:r>
    </w:p>
    <w:p w:rsidR="002D1E45" w:rsidRDefault="002D1E45" w:rsidP="000C695C">
      <w:pPr>
        <w:autoSpaceDE w:val="0"/>
        <w:autoSpaceDN w:val="0"/>
        <w:adjustRightInd w:val="0"/>
        <w:spacing w:after="0" w:line="240" w:lineRule="auto"/>
        <w:ind w:firstLine="709"/>
        <w:jc w:val="both"/>
        <w:rPr>
          <w:rFonts w:ascii="Times New Roman" w:hAnsi="Times New Roman"/>
          <w:sz w:val="28"/>
          <w:szCs w:val="28"/>
          <w:lang w:eastAsia="ru-RU"/>
        </w:rPr>
      </w:pPr>
      <w:r w:rsidRPr="000C695C">
        <w:rPr>
          <w:rFonts w:ascii="Times New Roman" w:hAnsi="Times New Roman"/>
          <w:sz w:val="28"/>
          <w:szCs w:val="28"/>
          <w:lang w:eastAsia="ru-RU"/>
        </w:rPr>
        <w:t xml:space="preserve">В составе таблицы </w:t>
      </w:r>
      <w:r>
        <w:rPr>
          <w:rFonts w:ascii="Times New Roman" w:hAnsi="Times New Roman"/>
          <w:sz w:val="28"/>
          <w:szCs w:val="28"/>
          <w:lang w:eastAsia="ru-RU"/>
        </w:rPr>
        <w:fldChar w:fldCharType="begin"/>
      </w:r>
      <w:r>
        <w:rPr>
          <w:rFonts w:ascii="Times New Roman" w:hAnsi="Times New Roman"/>
          <w:sz w:val="28"/>
          <w:szCs w:val="28"/>
          <w:lang w:eastAsia="ru-RU"/>
        </w:rPr>
        <w:instrText xml:space="preserve"> REF Tbl_Objecty \h </w:instrText>
      </w:r>
      <w:r w:rsidRPr="00E65328">
        <w:rPr>
          <w:rFonts w:ascii="Times New Roman" w:hAnsi="Times New Roman"/>
          <w:sz w:val="28"/>
          <w:szCs w:val="28"/>
          <w:lang w:eastAsia="ru-RU"/>
        </w:rPr>
      </w:r>
      <w:r>
        <w:rPr>
          <w:rFonts w:ascii="Times New Roman" w:hAnsi="Times New Roman"/>
          <w:sz w:val="28"/>
          <w:szCs w:val="28"/>
          <w:lang w:eastAsia="ru-RU"/>
        </w:rPr>
        <w:fldChar w:fldCharType="separate"/>
      </w:r>
      <w:r>
        <w:rPr>
          <w:rFonts w:ascii="Times New Roman" w:hAnsi="Times New Roman"/>
          <w:noProof/>
          <w:sz w:val="28"/>
          <w:szCs w:val="28"/>
        </w:rPr>
        <w:t>68</w:t>
      </w:r>
      <w:r>
        <w:rPr>
          <w:rFonts w:ascii="Times New Roman" w:hAnsi="Times New Roman"/>
          <w:sz w:val="28"/>
          <w:szCs w:val="28"/>
          <w:lang w:eastAsia="ru-RU"/>
        </w:rPr>
        <w:fldChar w:fldCharType="end"/>
      </w:r>
      <w:r w:rsidRPr="000C695C">
        <w:rPr>
          <w:rFonts w:ascii="Times New Roman" w:hAnsi="Times New Roman"/>
          <w:sz w:val="28"/>
          <w:szCs w:val="28"/>
          <w:lang w:eastAsia="ru-RU"/>
        </w:rPr>
        <w:t xml:space="preserve"> сведены все мероприятия по</w:t>
      </w:r>
      <w:r>
        <w:rPr>
          <w:rFonts w:ascii="Times New Roman" w:hAnsi="Times New Roman"/>
          <w:sz w:val="28"/>
          <w:szCs w:val="28"/>
          <w:lang w:eastAsia="ru-RU"/>
        </w:rPr>
        <w:t> </w:t>
      </w:r>
      <w:r w:rsidRPr="000C695C">
        <w:rPr>
          <w:rFonts w:ascii="Times New Roman" w:hAnsi="Times New Roman"/>
          <w:sz w:val="28"/>
          <w:szCs w:val="28"/>
          <w:lang w:eastAsia="ru-RU"/>
        </w:rPr>
        <w:t>строительству и</w:t>
      </w:r>
      <w:r>
        <w:rPr>
          <w:rFonts w:ascii="Times New Roman" w:hAnsi="Times New Roman"/>
          <w:sz w:val="28"/>
          <w:szCs w:val="28"/>
          <w:lang w:eastAsia="ru-RU"/>
        </w:rPr>
        <w:t> </w:t>
      </w:r>
      <w:r w:rsidRPr="000C695C">
        <w:rPr>
          <w:rFonts w:ascii="Times New Roman" w:hAnsi="Times New Roman"/>
          <w:sz w:val="28"/>
          <w:szCs w:val="28"/>
          <w:lang w:eastAsia="ru-RU"/>
        </w:rPr>
        <w:t>реконструкции объектов регионального и</w:t>
      </w:r>
      <w:r>
        <w:rPr>
          <w:rFonts w:ascii="Times New Roman" w:hAnsi="Times New Roman"/>
          <w:sz w:val="28"/>
          <w:szCs w:val="28"/>
          <w:lang w:eastAsia="ru-RU"/>
        </w:rPr>
        <w:t> </w:t>
      </w:r>
      <w:r w:rsidRPr="000C695C">
        <w:rPr>
          <w:rFonts w:ascii="Times New Roman" w:hAnsi="Times New Roman"/>
          <w:sz w:val="28"/>
          <w:szCs w:val="28"/>
          <w:lang w:eastAsia="ru-RU"/>
        </w:rPr>
        <w:t>местного значения по</w:t>
      </w:r>
      <w:r>
        <w:rPr>
          <w:rFonts w:ascii="Times New Roman" w:hAnsi="Times New Roman"/>
          <w:sz w:val="28"/>
          <w:szCs w:val="28"/>
          <w:lang w:eastAsia="ru-RU"/>
        </w:rPr>
        <w:t> </w:t>
      </w:r>
      <w:r w:rsidRPr="000C695C">
        <w:rPr>
          <w:rFonts w:ascii="Times New Roman" w:hAnsi="Times New Roman"/>
          <w:sz w:val="28"/>
          <w:szCs w:val="28"/>
          <w:lang w:eastAsia="ru-RU"/>
        </w:rPr>
        <w:t>срокам реализации: первая очередь – до 20</w:t>
      </w:r>
      <w:r>
        <w:rPr>
          <w:rFonts w:ascii="Times New Roman" w:hAnsi="Times New Roman"/>
          <w:sz w:val="28"/>
          <w:szCs w:val="28"/>
          <w:lang w:eastAsia="ru-RU"/>
        </w:rPr>
        <w:t xml:space="preserve">30 </w:t>
      </w:r>
      <w:r w:rsidRPr="000C695C">
        <w:rPr>
          <w:rFonts w:ascii="Times New Roman" w:hAnsi="Times New Roman"/>
          <w:sz w:val="28"/>
          <w:szCs w:val="28"/>
          <w:lang w:eastAsia="ru-RU"/>
        </w:rPr>
        <w:t>года, расчётный срок – до 20</w:t>
      </w:r>
      <w:r>
        <w:rPr>
          <w:rFonts w:ascii="Times New Roman" w:hAnsi="Times New Roman"/>
          <w:sz w:val="28"/>
          <w:szCs w:val="28"/>
          <w:lang w:eastAsia="ru-RU"/>
        </w:rPr>
        <w:t>40</w:t>
      </w:r>
      <w:r w:rsidRPr="000C695C">
        <w:rPr>
          <w:rFonts w:ascii="Times New Roman" w:hAnsi="Times New Roman"/>
          <w:sz w:val="28"/>
          <w:szCs w:val="28"/>
          <w:lang w:eastAsia="ru-RU"/>
        </w:rPr>
        <w:t xml:space="preserve"> года.</w:t>
      </w:r>
    </w:p>
    <w:p w:rsidR="002D1E45" w:rsidRDefault="002D1E45" w:rsidP="00D05D06">
      <w:pPr>
        <w:pStyle w:val="Heading2"/>
        <w:numPr>
          <w:ilvl w:val="1"/>
          <w:numId w:val="64"/>
        </w:numPr>
        <w:tabs>
          <w:tab w:val="left" w:pos="993"/>
        </w:tabs>
        <w:spacing w:before="240"/>
        <w:rPr>
          <w:b/>
        </w:rPr>
        <w:sectPr w:rsidR="002D1E45" w:rsidSect="00762318">
          <w:headerReference w:type="first" r:id="rId38"/>
          <w:pgSz w:w="11906" w:h="16838"/>
          <w:pgMar w:top="1134" w:right="567" w:bottom="1134" w:left="1134" w:header="709" w:footer="794" w:gutter="0"/>
          <w:cols w:space="708"/>
          <w:titlePg/>
          <w:docGrid w:linePitch="360"/>
        </w:sectPr>
      </w:pPr>
    </w:p>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rsidR="002D1E45" w:rsidRDefault="002D1E45" w:rsidP="003A7901">
      <w:pPr>
        <w:autoSpaceDE w:val="0"/>
        <w:autoSpaceDN w:val="0"/>
        <w:adjustRightInd w:val="0"/>
        <w:spacing w:before="240" w:line="240" w:lineRule="auto"/>
        <w:ind w:firstLine="709"/>
        <w:jc w:val="right"/>
        <w:rPr>
          <w:rFonts w:ascii="Times New Roman" w:hAnsi="Times New Roman"/>
          <w:sz w:val="28"/>
          <w:szCs w:val="28"/>
        </w:rPr>
      </w:pPr>
      <w:r w:rsidRPr="003A7901">
        <w:rPr>
          <w:rFonts w:ascii="Times New Roman" w:hAnsi="Times New Roman"/>
          <w:sz w:val="28"/>
          <w:szCs w:val="28"/>
          <w:lang w:eastAsia="ru-RU"/>
        </w:rPr>
        <w:t xml:space="preserve">Таблица </w:t>
      </w:r>
      <w:bookmarkStart w:id="373" w:name="Tbl_Objecty"/>
      <w:r w:rsidRPr="003A7901">
        <w:rPr>
          <w:rFonts w:ascii="Times New Roman" w:hAnsi="Times New Roman"/>
          <w:sz w:val="28"/>
          <w:szCs w:val="28"/>
        </w:rPr>
        <w:fldChar w:fldCharType="begin"/>
      </w:r>
      <w:r w:rsidRPr="003A7901">
        <w:rPr>
          <w:rFonts w:ascii="Times New Roman" w:hAnsi="Times New Roman"/>
          <w:sz w:val="28"/>
          <w:szCs w:val="28"/>
        </w:rPr>
        <w:instrText xml:space="preserve"> SEQ Таблица \* ARABIC </w:instrText>
      </w:r>
      <w:r w:rsidRPr="003A7901">
        <w:rPr>
          <w:rFonts w:ascii="Times New Roman" w:hAnsi="Times New Roman"/>
          <w:sz w:val="28"/>
          <w:szCs w:val="28"/>
        </w:rPr>
        <w:fldChar w:fldCharType="separate"/>
      </w:r>
      <w:r>
        <w:rPr>
          <w:rFonts w:ascii="Times New Roman" w:hAnsi="Times New Roman"/>
          <w:noProof/>
          <w:sz w:val="28"/>
          <w:szCs w:val="28"/>
        </w:rPr>
        <w:t>68</w:t>
      </w:r>
      <w:r w:rsidRPr="003A7901">
        <w:rPr>
          <w:rFonts w:ascii="Times New Roman" w:hAnsi="Times New Roman"/>
          <w:sz w:val="28"/>
          <w:szCs w:val="28"/>
        </w:rPr>
        <w:fldChar w:fldCharType="end"/>
      </w:r>
      <w:bookmarkEnd w:id="373"/>
    </w:p>
    <w:tbl>
      <w:tblPr>
        <w:tblW w:w="54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65"/>
        <w:gridCol w:w="3034"/>
        <w:gridCol w:w="2231"/>
        <w:gridCol w:w="2410"/>
        <w:gridCol w:w="2471"/>
        <w:gridCol w:w="1947"/>
        <w:gridCol w:w="3226"/>
      </w:tblGrid>
      <w:tr w:rsidR="002D1E45" w:rsidRPr="00AF7759" w:rsidTr="00C8545B">
        <w:trPr>
          <w:cantSplit/>
          <w:trHeight w:val="170"/>
          <w:tblHeader/>
          <w:jc w:val="center"/>
        </w:trPr>
        <w:tc>
          <w:tcPr>
            <w:tcW w:w="208" w:type="pct"/>
            <w:vAlign w:val="center"/>
          </w:tcPr>
          <w:p w:rsidR="002D1E45" w:rsidRPr="00AF7759" w:rsidRDefault="002D1E45" w:rsidP="00AF7759">
            <w:pPr>
              <w:spacing w:after="0" w:line="240" w:lineRule="auto"/>
              <w:jc w:val="center"/>
              <w:rPr>
                <w:rFonts w:ascii="Times New Roman" w:hAnsi="Times New Roman"/>
              </w:rPr>
            </w:pPr>
            <w:bookmarkStart w:id="374" w:name="_Hlk519083005"/>
            <w:bookmarkStart w:id="375" w:name="_Hlk24107886"/>
            <w:r w:rsidRPr="00AF7759">
              <w:rPr>
                <w:rFonts w:ascii="Times New Roman" w:hAnsi="Times New Roman"/>
              </w:rPr>
              <w:t>№</w:t>
            </w:r>
          </w:p>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п/п</w:t>
            </w:r>
          </w:p>
        </w:tc>
        <w:tc>
          <w:tcPr>
            <w:tcW w:w="949"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Наименование объекта</w:t>
            </w:r>
          </w:p>
        </w:tc>
        <w:tc>
          <w:tcPr>
            <w:tcW w:w="698"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Местоположение</w:t>
            </w:r>
          </w:p>
        </w:tc>
        <w:tc>
          <w:tcPr>
            <w:tcW w:w="754"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Параметры объекта</w:t>
            </w:r>
          </w:p>
        </w:tc>
        <w:tc>
          <w:tcPr>
            <w:tcW w:w="773"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Характеристика зоны объекта с особыми условиями использования территорий</w:t>
            </w:r>
          </w:p>
        </w:tc>
        <w:tc>
          <w:tcPr>
            <w:tcW w:w="609"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Этап территориального планирования</w:t>
            </w:r>
          </w:p>
        </w:tc>
        <w:tc>
          <w:tcPr>
            <w:tcW w:w="1009"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Источник информации о мероприятии</w:t>
            </w:r>
          </w:p>
        </w:tc>
      </w:tr>
      <w:tr w:rsidR="002D1E45" w:rsidRPr="00AF7759" w:rsidTr="00C8545B">
        <w:trPr>
          <w:cantSplit/>
          <w:trHeight w:val="170"/>
          <w:jc w:val="center"/>
        </w:trPr>
        <w:tc>
          <w:tcPr>
            <w:tcW w:w="5000" w:type="pct"/>
            <w:gridSpan w:val="7"/>
            <w:vAlign w:val="center"/>
          </w:tcPr>
          <w:p w:rsidR="002D1E45" w:rsidRPr="00AF7759" w:rsidRDefault="002D1E45" w:rsidP="00AF7759">
            <w:pPr>
              <w:spacing w:after="0" w:line="240" w:lineRule="auto"/>
              <w:rPr>
                <w:rFonts w:ascii="Times New Roman" w:hAnsi="Times New Roman"/>
              </w:rPr>
            </w:pPr>
            <w:r w:rsidRPr="00AF7759">
              <w:rPr>
                <w:rFonts w:ascii="Times New Roman" w:hAnsi="Times New Roman"/>
              </w:rPr>
              <w:t>ОБЪЕКТЫ РЕГИОНАЛЬНОГО ЗНАЧЕНИЯ НОВОСИБИРСКОЙ ОБЛАСТИ</w:t>
            </w:r>
          </w:p>
        </w:tc>
      </w:tr>
      <w:bookmarkEnd w:id="374"/>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lang w:eastAsia="ru-RU"/>
              </w:rPr>
            </w:pPr>
            <w:r w:rsidRPr="00AF7759">
              <w:rPr>
                <w:rFonts w:ascii="Times New Roman" w:hAnsi="Times New Roman"/>
                <w:lang w:eastAsia="ru-RU"/>
              </w:rPr>
              <w:t>Капитальный ремонт в зданиях структурных подразделений ГБУЗ НСО «Куйбышевская ЦРБ»</w:t>
            </w:r>
          </w:p>
        </w:tc>
        <w:tc>
          <w:tcPr>
            <w:tcW w:w="698" w:type="pct"/>
            <w:vAlign w:val="center"/>
          </w:tcPr>
          <w:p w:rsidR="002D1E45" w:rsidRPr="00AF7759" w:rsidRDefault="002D1E45" w:rsidP="00AF7759">
            <w:pPr>
              <w:tabs>
                <w:tab w:val="left" w:pos="1418"/>
              </w:tabs>
              <w:spacing w:after="0" w:line="240" w:lineRule="auto"/>
              <w:rPr>
                <w:rFonts w:ascii="Times New Roman" w:hAnsi="Times New Roman"/>
              </w:rPr>
            </w:pPr>
            <w:r w:rsidRPr="00AF7759">
              <w:rPr>
                <w:rFonts w:ascii="Times New Roman" w:hAnsi="Times New Roman"/>
              </w:rPr>
              <w:t>г. Куйбышев</w:t>
            </w:r>
          </w:p>
        </w:tc>
        <w:tc>
          <w:tcPr>
            <w:tcW w:w="754"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без увеличения мощности</w:t>
            </w:r>
          </w:p>
        </w:tc>
        <w:tc>
          <w:tcPr>
            <w:tcW w:w="773" w:type="pct"/>
            <w:vAlign w:val="center"/>
          </w:tcPr>
          <w:p w:rsidR="002D1E45" w:rsidRPr="00AF7759" w:rsidRDefault="002D1E45" w:rsidP="00AF7759">
            <w:pPr>
              <w:tabs>
                <w:tab w:val="left" w:pos="1418"/>
              </w:tabs>
              <w:autoSpaceDE w:val="0"/>
              <w:autoSpaceDN w:val="0"/>
              <w:adjustRightInd w:val="0"/>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Первая очередь</w:t>
            </w:r>
          </w:p>
        </w:tc>
        <w:tc>
          <w:tcPr>
            <w:tcW w:w="10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Предложение разработчиков</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lang w:eastAsia="ru-RU"/>
              </w:rPr>
            </w:pPr>
            <w:r w:rsidRPr="00AF7759">
              <w:rPr>
                <w:rFonts w:ascii="Times New Roman" w:hAnsi="Times New Roman"/>
                <w:lang w:eastAsia="ru-RU"/>
              </w:rPr>
              <w:t>Реконструкция автомобильной дороги «Подъезд к г. Куйбышеву»</w:t>
            </w:r>
          </w:p>
        </w:tc>
        <w:tc>
          <w:tcPr>
            <w:tcW w:w="698" w:type="pct"/>
            <w:vAlign w:val="center"/>
          </w:tcPr>
          <w:p w:rsidR="002D1E45" w:rsidRPr="00AF7759" w:rsidRDefault="002D1E45" w:rsidP="00AF7759">
            <w:pPr>
              <w:tabs>
                <w:tab w:val="left" w:pos="1418"/>
              </w:tabs>
              <w:spacing w:after="0" w:line="240" w:lineRule="auto"/>
              <w:rPr>
                <w:rFonts w:ascii="Times New Roman" w:hAnsi="Times New Roman"/>
              </w:rPr>
            </w:pPr>
            <w:r w:rsidRPr="00AF7759">
              <w:rPr>
                <w:rFonts w:ascii="Times New Roman" w:hAnsi="Times New Roman"/>
              </w:rPr>
              <w:t>г. Куйбышев</w:t>
            </w:r>
          </w:p>
        </w:tc>
        <w:tc>
          <w:tcPr>
            <w:tcW w:w="754"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 xml:space="preserve">1,254 км, </w:t>
            </w:r>
            <w:r w:rsidRPr="00AF7759">
              <w:rPr>
                <w:rFonts w:ascii="Times New Roman" w:hAnsi="Times New Roman"/>
                <w:lang w:val="en-US" w:eastAsia="ru-RU"/>
              </w:rPr>
              <w:t xml:space="preserve">IV </w:t>
            </w:r>
            <w:r w:rsidRPr="00AF7759">
              <w:rPr>
                <w:rFonts w:ascii="Times New Roman" w:hAnsi="Times New Roman"/>
                <w:lang w:eastAsia="ru-RU"/>
              </w:rPr>
              <w:t>категория</w:t>
            </w:r>
          </w:p>
        </w:tc>
        <w:tc>
          <w:tcPr>
            <w:tcW w:w="773" w:type="pct"/>
            <w:vAlign w:val="center"/>
          </w:tcPr>
          <w:p w:rsidR="002D1E45" w:rsidRPr="00AF7759" w:rsidRDefault="002D1E45" w:rsidP="00AF7759">
            <w:pPr>
              <w:tabs>
                <w:tab w:val="left" w:pos="1418"/>
              </w:tabs>
              <w:autoSpaceDE w:val="0"/>
              <w:autoSpaceDN w:val="0"/>
              <w:adjustRightInd w:val="0"/>
              <w:spacing w:after="0" w:line="240" w:lineRule="auto"/>
              <w:jc w:val="center"/>
              <w:rPr>
                <w:rFonts w:ascii="Times New Roman" w:hAnsi="Times New Roman"/>
                <w:lang w:val="en-US"/>
              </w:rPr>
            </w:pPr>
            <w:r w:rsidRPr="00AF7759">
              <w:rPr>
                <w:rFonts w:ascii="Times New Roman" w:hAnsi="Times New Roman"/>
              </w:rPr>
              <w:t>Придорожная полоса</w:t>
            </w:r>
            <w:r w:rsidRPr="00AF7759">
              <w:rPr>
                <w:rFonts w:ascii="Times New Roman" w:hAnsi="Times New Roman"/>
                <w:vertAlign w:val="superscript"/>
              </w:rPr>
              <w:footnoteReference w:id="15"/>
            </w:r>
            <w:r w:rsidRPr="00AF7759">
              <w:rPr>
                <w:rFonts w:ascii="Times New Roman" w:hAnsi="Times New Roman"/>
              </w:rPr>
              <w:t xml:space="preserve"> – </w:t>
            </w:r>
            <w:r w:rsidRPr="00AF7759">
              <w:rPr>
                <w:rFonts w:ascii="Times New Roman" w:hAnsi="Times New Roman"/>
                <w:lang w:val="en-US"/>
              </w:rPr>
              <w:t>50</w:t>
            </w:r>
            <w:r w:rsidRPr="00AF7759">
              <w:rPr>
                <w:rFonts w:ascii="Times New Roman" w:hAnsi="Times New Roman"/>
              </w:rPr>
              <w:t xml:space="preserve"> м</w:t>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Первая очередь</w:t>
            </w:r>
          </w:p>
        </w:tc>
        <w:tc>
          <w:tcPr>
            <w:tcW w:w="10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ГП НСО «Развитие автомобильных дорог регионального, межмуниципального и местного значения в Новосибирской области»</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lang w:eastAsia="ru-RU"/>
              </w:rPr>
            </w:pPr>
            <w:r w:rsidRPr="00AF7759">
              <w:rPr>
                <w:rFonts w:ascii="Times New Roman" w:hAnsi="Times New Roman"/>
                <w:lang w:eastAsia="ru-RU"/>
              </w:rPr>
              <w:t>Реконструкция автомобильной дороги «Куйбышев – Малинино»</w:t>
            </w:r>
          </w:p>
        </w:tc>
        <w:tc>
          <w:tcPr>
            <w:tcW w:w="698" w:type="pct"/>
            <w:vAlign w:val="center"/>
          </w:tcPr>
          <w:p w:rsidR="002D1E45" w:rsidRPr="00AF7759" w:rsidRDefault="002D1E45" w:rsidP="00AF7759">
            <w:pPr>
              <w:tabs>
                <w:tab w:val="left" w:pos="1418"/>
              </w:tabs>
              <w:spacing w:after="0" w:line="240" w:lineRule="auto"/>
              <w:rPr>
                <w:rFonts w:ascii="Times New Roman" w:hAnsi="Times New Roman"/>
              </w:rPr>
            </w:pPr>
            <w:r w:rsidRPr="00AF7759">
              <w:rPr>
                <w:rFonts w:ascii="Times New Roman" w:hAnsi="Times New Roman"/>
              </w:rPr>
              <w:t>г. Куйбышев,</w:t>
            </w:r>
            <w:r w:rsidRPr="00AF7759">
              <w:rPr>
                <w:rFonts w:ascii="Times New Roman" w:hAnsi="Times New Roman"/>
                <w:lang w:eastAsia="ru-RU"/>
              </w:rPr>
              <w:t xml:space="preserve"> на участке км 5+065 – км 6+800</w:t>
            </w:r>
          </w:p>
        </w:tc>
        <w:tc>
          <w:tcPr>
            <w:tcW w:w="754"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 xml:space="preserve">1,735 км, </w:t>
            </w:r>
            <w:r w:rsidRPr="00AF7759">
              <w:rPr>
                <w:rFonts w:ascii="Times New Roman" w:hAnsi="Times New Roman"/>
                <w:lang w:val="en-US" w:eastAsia="ru-RU"/>
              </w:rPr>
              <w:t xml:space="preserve">V </w:t>
            </w:r>
            <w:r w:rsidRPr="00AF7759">
              <w:rPr>
                <w:rFonts w:ascii="Times New Roman" w:hAnsi="Times New Roman"/>
                <w:lang w:eastAsia="ru-RU"/>
              </w:rPr>
              <w:t>категория</w:t>
            </w:r>
          </w:p>
        </w:tc>
        <w:tc>
          <w:tcPr>
            <w:tcW w:w="773" w:type="pct"/>
            <w:vAlign w:val="center"/>
          </w:tcPr>
          <w:p w:rsidR="002D1E45" w:rsidRPr="00AF7759" w:rsidRDefault="002D1E45" w:rsidP="00AF7759">
            <w:pPr>
              <w:tabs>
                <w:tab w:val="left" w:pos="1418"/>
              </w:tabs>
              <w:autoSpaceDE w:val="0"/>
              <w:autoSpaceDN w:val="0"/>
              <w:adjustRightInd w:val="0"/>
              <w:spacing w:after="0" w:line="240" w:lineRule="auto"/>
              <w:jc w:val="center"/>
              <w:rPr>
                <w:rFonts w:ascii="Times New Roman" w:hAnsi="Times New Roman"/>
                <w:lang w:val="en-US"/>
              </w:rPr>
            </w:pPr>
            <w:r w:rsidRPr="00AF7759">
              <w:rPr>
                <w:rFonts w:ascii="Times New Roman" w:hAnsi="Times New Roman"/>
              </w:rPr>
              <w:t>Придорожная полоса</w:t>
            </w:r>
            <w:r w:rsidRPr="00AF7759">
              <w:rPr>
                <w:rFonts w:ascii="Times New Roman" w:hAnsi="Times New Roman"/>
                <w:vertAlign w:val="superscript"/>
              </w:rPr>
              <w:footnoteReference w:id="16"/>
            </w:r>
            <w:r w:rsidRPr="00AF7759">
              <w:rPr>
                <w:rFonts w:ascii="Times New Roman" w:hAnsi="Times New Roman"/>
              </w:rPr>
              <w:t xml:space="preserve"> – 25 м</w:t>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Первая очередь</w:t>
            </w:r>
          </w:p>
        </w:tc>
        <w:tc>
          <w:tcPr>
            <w:tcW w:w="10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ГП НСО «Развитие автомобильных дорог регионального, межмуниципального и местного значения в Новосибирской области»</w:t>
            </w:r>
          </w:p>
        </w:tc>
      </w:tr>
      <w:tr w:rsidR="002D1E45" w:rsidRPr="00AF7759" w:rsidTr="00C8545B">
        <w:trPr>
          <w:cantSplit/>
          <w:trHeight w:val="170"/>
          <w:jc w:val="center"/>
        </w:trPr>
        <w:tc>
          <w:tcPr>
            <w:tcW w:w="5000" w:type="pct"/>
            <w:gridSpan w:val="7"/>
            <w:vAlign w:val="center"/>
          </w:tcPr>
          <w:p w:rsidR="002D1E45" w:rsidRPr="00AF7759" w:rsidRDefault="002D1E45" w:rsidP="00AF7759">
            <w:pPr>
              <w:spacing w:after="0" w:line="240" w:lineRule="auto"/>
              <w:rPr>
                <w:rFonts w:ascii="Times New Roman" w:hAnsi="Times New Roman"/>
              </w:rPr>
            </w:pPr>
            <w:r w:rsidRPr="00AF7759">
              <w:rPr>
                <w:rFonts w:ascii="Times New Roman" w:hAnsi="Times New Roman"/>
              </w:rPr>
              <w:t>ОБЪЕКТЫ МЕСТНОГО ЗНАЧЕНИЯ МУНИЦИПАЛЬНОГО РАЙОНА</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lang w:eastAsia="ru-RU"/>
              </w:rPr>
            </w:pPr>
            <w:r w:rsidRPr="00AF7759">
              <w:rPr>
                <w:rFonts w:ascii="Times New Roman" w:hAnsi="Times New Roman"/>
                <w:lang w:eastAsia="ru-RU"/>
              </w:rPr>
              <w:t>Существующие образовательные учреждения (капремонт)</w:t>
            </w:r>
          </w:p>
        </w:tc>
        <w:tc>
          <w:tcPr>
            <w:tcW w:w="698" w:type="pct"/>
            <w:vAlign w:val="center"/>
          </w:tcPr>
          <w:p w:rsidR="002D1E45" w:rsidRPr="00AF7759" w:rsidRDefault="002D1E45" w:rsidP="00AF7759">
            <w:pPr>
              <w:tabs>
                <w:tab w:val="left" w:pos="1418"/>
              </w:tabs>
              <w:spacing w:after="0" w:line="240" w:lineRule="auto"/>
              <w:rPr>
                <w:rFonts w:ascii="Times New Roman" w:hAnsi="Times New Roman"/>
              </w:rPr>
            </w:pPr>
            <w:r w:rsidRPr="00AF7759">
              <w:rPr>
                <w:rFonts w:ascii="Times New Roman" w:hAnsi="Times New Roman"/>
              </w:rPr>
              <w:t>г. Куйбышев</w:t>
            </w:r>
          </w:p>
        </w:tc>
        <w:tc>
          <w:tcPr>
            <w:tcW w:w="754"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без увеличения мощности</w:t>
            </w:r>
          </w:p>
        </w:tc>
        <w:tc>
          <w:tcPr>
            <w:tcW w:w="773" w:type="pct"/>
            <w:vAlign w:val="center"/>
          </w:tcPr>
          <w:p w:rsidR="002D1E45" w:rsidRPr="00AF7759" w:rsidRDefault="002D1E45" w:rsidP="00AF7759">
            <w:pPr>
              <w:tabs>
                <w:tab w:val="left" w:pos="1418"/>
              </w:tabs>
              <w:autoSpaceDE w:val="0"/>
              <w:autoSpaceDN w:val="0"/>
              <w:adjustRightInd w:val="0"/>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Первая очередь</w:t>
            </w:r>
          </w:p>
        </w:tc>
        <w:tc>
          <w:tcPr>
            <w:tcW w:w="10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Предложение разработчиков</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lang w:eastAsia="ru-RU"/>
              </w:rPr>
            </w:pPr>
            <w:r w:rsidRPr="00AF7759">
              <w:rPr>
                <w:rFonts w:ascii="Times New Roman" w:hAnsi="Times New Roman"/>
                <w:lang w:eastAsia="ru-RU"/>
              </w:rPr>
              <w:t>Существующее дошкольное учреждение (капремонт)</w:t>
            </w:r>
          </w:p>
        </w:tc>
        <w:tc>
          <w:tcPr>
            <w:tcW w:w="698" w:type="pct"/>
            <w:vAlign w:val="center"/>
          </w:tcPr>
          <w:p w:rsidR="002D1E45" w:rsidRPr="00AF7759" w:rsidRDefault="002D1E45" w:rsidP="00AF7759">
            <w:pPr>
              <w:tabs>
                <w:tab w:val="left" w:pos="1418"/>
              </w:tabs>
              <w:spacing w:after="0" w:line="240" w:lineRule="auto"/>
              <w:rPr>
                <w:rFonts w:ascii="Times New Roman" w:hAnsi="Times New Roman"/>
              </w:rPr>
            </w:pPr>
            <w:r w:rsidRPr="00AF7759">
              <w:rPr>
                <w:rFonts w:ascii="Times New Roman" w:hAnsi="Times New Roman"/>
              </w:rPr>
              <w:t>г. Куйбышев</w:t>
            </w:r>
          </w:p>
        </w:tc>
        <w:tc>
          <w:tcPr>
            <w:tcW w:w="754"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без увеличения мощности</w:t>
            </w:r>
          </w:p>
        </w:tc>
        <w:tc>
          <w:tcPr>
            <w:tcW w:w="773" w:type="pct"/>
            <w:vAlign w:val="center"/>
          </w:tcPr>
          <w:p w:rsidR="002D1E45" w:rsidRPr="00AF7759" w:rsidRDefault="002D1E45" w:rsidP="00AF7759">
            <w:pPr>
              <w:tabs>
                <w:tab w:val="left" w:pos="1418"/>
              </w:tabs>
              <w:autoSpaceDE w:val="0"/>
              <w:autoSpaceDN w:val="0"/>
              <w:adjustRightInd w:val="0"/>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Первая очередь</w:t>
            </w:r>
          </w:p>
        </w:tc>
        <w:tc>
          <w:tcPr>
            <w:tcW w:w="10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Предложение разработчиков</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lang w:eastAsia="ru-RU"/>
              </w:rPr>
            </w:pPr>
            <w:r w:rsidRPr="00AF7759">
              <w:rPr>
                <w:rFonts w:ascii="Times New Roman" w:hAnsi="Times New Roman"/>
                <w:lang w:eastAsia="ru-RU"/>
              </w:rPr>
              <w:t xml:space="preserve">Дошкольное учреждение </w:t>
            </w:r>
          </w:p>
        </w:tc>
        <w:tc>
          <w:tcPr>
            <w:tcW w:w="698" w:type="pct"/>
            <w:vAlign w:val="center"/>
          </w:tcPr>
          <w:p w:rsidR="002D1E45" w:rsidRPr="00AF7759" w:rsidRDefault="002D1E45" w:rsidP="00AF7759">
            <w:pPr>
              <w:tabs>
                <w:tab w:val="left" w:pos="1418"/>
              </w:tabs>
              <w:spacing w:after="0" w:line="240" w:lineRule="auto"/>
              <w:rPr>
                <w:rFonts w:ascii="Times New Roman" w:hAnsi="Times New Roman"/>
              </w:rPr>
            </w:pPr>
            <w:r w:rsidRPr="00AF7759">
              <w:rPr>
                <w:rFonts w:ascii="Times New Roman" w:hAnsi="Times New Roman"/>
              </w:rPr>
              <w:t>г. Куйбышев</w:t>
            </w:r>
          </w:p>
        </w:tc>
        <w:tc>
          <w:tcPr>
            <w:tcW w:w="754"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330 мест</w:t>
            </w:r>
          </w:p>
        </w:tc>
        <w:tc>
          <w:tcPr>
            <w:tcW w:w="773" w:type="pct"/>
            <w:vAlign w:val="center"/>
          </w:tcPr>
          <w:p w:rsidR="002D1E45" w:rsidRPr="00AF7759" w:rsidRDefault="002D1E45" w:rsidP="00AF7759">
            <w:pPr>
              <w:tabs>
                <w:tab w:val="left" w:pos="1418"/>
              </w:tabs>
              <w:autoSpaceDE w:val="0"/>
              <w:autoSpaceDN w:val="0"/>
              <w:adjustRightInd w:val="0"/>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Первая очередь</w:t>
            </w:r>
          </w:p>
        </w:tc>
        <w:tc>
          <w:tcPr>
            <w:tcW w:w="10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Предложение разработчиков</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lang w:eastAsia="ru-RU"/>
              </w:rPr>
            </w:pPr>
            <w:r w:rsidRPr="00AF7759">
              <w:rPr>
                <w:rFonts w:ascii="Times New Roman" w:hAnsi="Times New Roman"/>
                <w:lang w:eastAsia="ru-RU"/>
              </w:rPr>
              <w:t>Существующие учреждения дополнительного образования (капремонт)</w:t>
            </w:r>
          </w:p>
        </w:tc>
        <w:tc>
          <w:tcPr>
            <w:tcW w:w="698" w:type="pct"/>
            <w:vAlign w:val="center"/>
          </w:tcPr>
          <w:p w:rsidR="002D1E45" w:rsidRPr="00AF7759" w:rsidRDefault="002D1E45" w:rsidP="00AF7759">
            <w:pPr>
              <w:tabs>
                <w:tab w:val="left" w:pos="1418"/>
              </w:tabs>
              <w:spacing w:after="0" w:line="240" w:lineRule="auto"/>
              <w:rPr>
                <w:rFonts w:ascii="Times New Roman" w:hAnsi="Times New Roman"/>
              </w:rPr>
            </w:pPr>
            <w:r w:rsidRPr="00AF7759">
              <w:rPr>
                <w:rFonts w:ascii="Times New Roman" w:hAnsi="Times New Roman"/>
              </w:rPr>
              <w:t>г. Куйбышев</w:t>
            </w:r>
          </w:p>
        </w:tc>
        <w:tc>
          <w:tcPr>
            <w:tcW w:w="754"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без увеличения мощности</w:t>
            </w:r>
          </w:p>
        </w:tc>
        <w:tc>
          <w:tcPr>
            <w:tcW w:w="773" w:type="pct"/>
            <w:vAlign w:val="center"/>
          </w:tcPr>
          <w:p w:rsidR="002D1E45" w:rsidRPr="00AF7759" w:rsidRDefault="002D1E45" w:rsidP="00AF7759">
            <w:pPr>
              <w:tabs>
                <w:tab w:val="left" w:pos="1418"/>
              </w:tabs>
              <w:autoSpaceDE w:val="0"/>
              <w:autoSpaceDN w:val="0"/>
              <w:adjustRightInd w:val="0"/>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Первая очередь</w:t>
            </w:r>
          </w:p>
        </w:tc>
        <w:tc>
          <w:tcPr>
            <w:tcW w:w="10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Предложение разработчиков</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lang w:eastAsia="ru-RU"/>
              </w:rPr>
            </w:pPr>
            <w:r w:rsidRPr="00AF7759">
              <w:rPr>
                <w:rFonts w:ascii="Times New Roman" w:hAnsi="Times New Roman"/>
                <w:lang w:eastAsia="ru-RU"/>
              </w:rPr>
              <w:t>Учреждения дополнительного образования</w:t>
            </w:r>
          </w:p>
        </w:tc>
        <w:tc>
          <w:tcPr>
            <w:tcW w:w="698" w:type="pct"/>
            <w:vAlign w:val="center"/>
          </w:tcPr>
          <w:p w:rsidR="002D1E45" w:rsidRPr="00AF7759" w:rsidRDefault="002D1E45" w:rsidP="00AF7759">
            <w:pPr>
              <w:tabs>
                <w:tab w:val="left" w:pos="1418"/>
              </w:tabs>
              <w:spacing w:after="0" w:line="240" w:lineRule="auto"/>
              <w:rPr>
                <w:rFonts w:ascii="Times New Roman" w:hAnsi="Times New Roman"/>
              </w:rPr>
            </w:pPr>
            <w:r w:rsidRPr="00AF7759">
              <w:rPr>
                <w:rFonts w:ascii="Times New Roman" w:hAnsi="Times New Roman"/>
              </w:rPr>
              <w:t>г. Куйбышев</w:t>
            </w:r>
          </w:p>
        </w:tc>
        <w:tc>
          <w:tcPr>
            <w:tcW w:w="754"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1100 мест</w:t>
            </w:r>
          </w:p>
        </w:tc>
        <w:tc>
          <w:tcPr>
            <w:tcW w:w="773" w:type="pct"/>
            <w:vAlign w:val="center"/>
          </w:tcPr>
          <w:p w:rsidR="002D1E45" w:rsidRPr="00AF7759" w:rsidRDefault="002D1E45" w:rsidP="00AF7759">
            <w:pPr>
              <w:tabs>
                <w:tab w:val="left" w:pos="1418"/>
              </w:tabs>
              <w:autoSpaceDE w:val="0"/>
              <w:autoSpaceDN w:val="0"/>
              <w:adjustRightInd w:val="0"/>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Расчётный срок</w:t>
            </w:r>
          </w:p>
        </w:tc>
        <w:tc>
          <w:tcPr>
            <w:tcW w:w="10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Предложение разработчиков</w:t>
            </w:r>
          </w:p>
        </w:tc>
      </w:tr>
      <w:tr w:rsidR="002D1E45" w:rsidRPr="00AF7759" w:rsidTr="00C8545B">
        <w:trPr>
          <w:cantSplit/>
          <w:trHeight w:val="170"/>
          <w:jc w:val="center"/>
        </w:trPr>
        <w:tc>
          <w:tcPr>
            <w:tcW w:w="5000" w:type="pct"/>
            <w:gridSpan w:val="7"/>
            <w:vAlign w:val="center"/>
          </w:tcPr>
          <w:p w:rsidR="002D1E45" w:rsidRPr="00AF7759" w:rsidRDefault="002D1E45" w:rsidP="00AF7759">
            <w:pPr>
              <w:spacing w:after="0" w:line="240" w:lineRule="auto"/>
              <w:rPr>
                <w:rFonts w:ascii="Times New Roman" w:hAnsi="Times New Roman"/>
              </w:rPr>
            </w:pPr>
            <w:r w:rsidRPr="00AF7759">
              <w:rPr>
                <w:rFonts w:ascii="Times New Roman" w:hAnsi="Times New Roman"/>
              </w:rPr>
              <w:t xml:space="preserve">ОБЪЕКТЫ МЕСТНОГО ЗНАЧЕНИЯ </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lang w:eastAsia="ru-RU"/>
              </w:rPr>
            </w:pPr>
            <w:r w:rsidRPr="00AF7759">
              <w:rPr>
                <w:rFonts w:ascii="Times New Roman" w:hAnsi="Times New Roman"/>
                <w:lang w:eastAsia="ru-RU"/>
              </w:rPr>
              <w:t>Улично-дорожная сеть (реконструкция)</w:t>
            </w:r>
          </w:p>
        </w:tc>
        <w:tc>
          <w:tcPr>
            <w:tcW w:w="698" w:type="pct"/>
            <w:vAlign w:val="center"/>
          </w:tcPr>
          <w:p w:rsidR="002D1E45" w:rsidRPr="00AF7759" w:rsidRDefault="002D1E45" w:rsidP="00AF7759">
            <w:pPr>
              <w:tabs>
                <w:tab w:val="left" w:pos="1418"/>
              </w:tabs>
              <w:spacing w:after="0" w:line="240" w:lineRule="auto"/>
              <w:rPr>
                <w:rFonts w:ascii="Times New Roman" w:hAnsi="Times New Roman"/>
              </w:rPr>
            </w:pPr>
            <w:r w:rsidRPr="00AF7759">
              <w:rPr>
                <w:rFonts w:ascii="Times New Roman" w:hAnsi="Times New Roman"/>
              </w:rPr>
              <w:t>г. Куйбышев</w:t>
            </w:r>
          </w:p>
        </w:tc>
        <w:tc>
          <w:tcPr>
            <w:tcW w:w="754"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rPr>
              <w:t>36,5 км (организация твёрдого покрытия на грунтовых участках дорог)</w:t>
            </w:r>
          </w:p>
        </w:tc>
        <w:tc>
          <w:tcPr>
            <w:tcW w:w="773" w:type="pct"/>
            <w:vAlign w:val="center"/>
          </w:tcPr>
          <w:p w:rsidR="002D1E45" w:rsidRPr="00AF7759" w:rsidRDefault="002D1E45" w:rsidP="00AF7759">
            <w:pPr>
              <w:tabs>
                <w:tab w:val="left" w:pos="1418"/>
              </w:tabs>
              <w:autoSpaceDE w:val="0"/>
              <w:autoSpaceDN w:val="0"/>
              <w:adjustRightInd w:val="0"/>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Первая очередь</w:t>
            </w:r>
          </w:p>
        </w:tc>
        <w:tc>
          <w:tcPr>
            <w:tcW w:w="10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Предложение разработчиков с учётом комплексной программы развития транспортной инфраструктуры</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lang w:eastAsia="ru-RU"/>
              </w:rPr>
            </w:pPr>
            <w:r w:rsidRPr="00AF7759">
              <w:rPr>
                <w:rFonts w:ascii="Times New Roman" w:hAnsi="Times New Roman"/>
                <w:lang w:eastAsia="ru-RU"/>
              </w:rPr>
              <w:t>Улично-дорожная сеть (реконструкция)</w:t>
            </w:r>
          </w:p>
        </w:tc>
        <w:tc>
          <w:tcPr>
            <w:tcW w:w="698" w:type="pct"/>
            <w:vAlign w:val="center"/>
          </w:tcPr>
          <w:p w:rsidR="002D1E45" w:rsidRPr="00AF7759" w:rsidRDefault="002D1E45" w:rsidP="00AF7759">
            <w:pPr>
              <w:tabs>
                <w:tab w:val="left" w:pos="1418"/>
              </w:tabs>
              <w:spacing w:after="0" w:line="240" w:lineRule="auto"/>
              <w:rPr>
                <w:rFonts w:ascii="Times New Roman" w:hAnsi="Times New Roman"/>
              </w:rPr>
            </w:pPr>
            <w:r w:rsidRPr="00AF7759">
              <w:rPr>
                <w:rFonts w:ascii="Times New Roman" w:hAnsi="Times New Roman"/>
              </w:rPr>
              <w:t>г. Куйбышев</w:t>
            </w:r>
          </w:p>
        </w:tc>
        <w:tc>
          <w:tcPr>
            <w:tcW w:w="754"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rPr>
              <w:t>80 км (организация твёрдого покрытия на гравийных участках дорог)</w:t>
            </w:r>
          </w:p>
        </w:tc>
        <w:tc>
          <w:tcPr>
            <w:tcW w:w="773" w:type="pct"/>
            <w:vAlign w:val="center"/>
          </w:tcPr>
          <w:p w:rsidR="002D1E45" w:rsidRPr="00AF7759" w:rsidRDefault="002D1E45" w:rsidP="00AF7759">
            <w:pPr>
              <w:tabs>
                <w:tab w:val="left" w:pos="1418"/>
              </w:tabs>
              <w:autoSpaceDE w:val="0"/>
              <w:autoSpaceDN w:val="0"/>
              <w:adjustRightInd w:val="0"/>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Расчётный срок</w:t>
            </w:r>
          </w:p>
        </w:tc>
        <w:tc>
          <w:tcPr>
            <w:tcW w:w="10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Предложение разработчиков с учётом комплексной программы развития транспортной инфраструктуры</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lang w:eastAsia="ru-RU"/>
              </w:rPr>
            </w:pPr>
            <w:r w:rsidRPr="00AF7759">
              <w:rPr>
                <w:rFonts w:ascii="Times New Roman" w:hAnsi="Times New Roman"/>
                <w:lang w:eastAsia="ru-RU"/>
              </w:rPr>
              <w:t xml:space="preserve">Улично-дорожная сеть </w:t>
            </w:r>
          </w:p>
        </w:tc>
        <w:tc>
          <w:tcPr>
            <w:tcW w:w="698" w:type="pct"/>
            <w:vAlign w:val="center"/>
          </w:tcPr>
          <w:p w:rsidR="002D1E45" w:rsidRPr="00AF7759" w:rsidRDefault="002D1E45" w:rsidP="00AF7759">
            <w:pPr>
              <w:tabs>
                <w:tab w:val="left" w:pos="1418"/>
              </w:tabs>
              <w:spacing w:after="0" w:line="240" w:lineRule="auto"/>
              <w:rPr>
                <w:rFonts w:ascii="Times New Roman" w:hAnsi="Times New Roman"/>
              </w:rPr>
            </w:pPr>
            <w:r w:rsidRPr="00AF7759">
              <w:rPr>
                <w:rFonts w:ascii="Times New Roman" w:hAnsi="Times New Roman"/>
              </w:rPr>
              <w:t>г. Куйбышев</w:t>
            </w:r>
          </w:p>
        </w:tc>
        <w:tc>
          <w:tcPr>
            <w:tcW w:w="754" w:type="pct"/>
            <w:vAlign w:val="center"/>
          </w:tcPr>
          <w:p w:rsidR="002D1E45" w:rsidRPr="00AF7759" w:rsidRDefault="002D1E45" w:rsidP="00AF7759">
            <w:pPr>
              <w:spacing w:after="0" w:line="240" w:lineRule="auto"/>
              <w:jc w:val="center"/>
              <w:rPr>
                <w:rFonts w:ascii="Times New Roman" w:hAnsi="Times New Roman"/>
                <w:lang w:eastAsia="ru-RU"/>
              </w:rPr>
            </w:pPr>
            <w:r>
              <w:rPr>
                <w:rFonts w:ascii="Times New Roman" w:hAnsi="Times New Roman"/>
              </w:rPr>
              <w:t>8,14</w:t>
            </w:r>
            <w:r w:rsidRPr="00AF7759">
              <w:rPr>
                <w:rFonts w:ascii="Times New Roman" w:hAnsi="Times New Roman"/>
                <w:lang w:val="en-US"/>
              </w:rPr>
              <w:t xml:space="preserve"> км</w:t>
            </w:r>
          </w:p>
        </w:tc>
        <w:tc>
          <w:tcPr>
            <w:tcW w:w="773" w:type="pct"/>
            <w:vAlign w:val="center"/>
          </w:tcPr>
          <w:p w:rsidR="002D1E45" w:rsidRPr="00AF7759" w:rsidRDefault="002D1E45" w:rsidP="00AF7759">
            <w:pPr>
              <w:tabs>
                <w:tab w:val="left" w:pos="1418"/>
              </w:tabs>
              <w:autoSpaceDE w:val="0"/>
              <w:autoSpaceDN w:val="0"/>
              <w:adjustRightInd w:val="0"/>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Первая очередь</w:t>
            </w:r>
          </w:p>
        </w:tc>
        <w:tc>
          <w:tcPr>
            <w:tcW w:w="10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Предложение разработчиков с учётом действующего Генерального плана</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lang w:eastAsia="ru-RU"/>
              </w:rPr>
            </w:pPr>
            <w:r w:rsidRPr="00AF7759">
              <w:rPr>
                <w:rFonts w:ascii="Times New Roman" w:hAnsi="Times New Roman"/>
                <w:lang w:eastAsia="ru-RU"/>
              </w:rPr>
              <w:t>Физкультурно-спортивный центр</w:t>
            </w:r>
          </w:p>
        </w:tc>
        <w:tc>
          <w:tcPr>
            <w:tcW w:w="698" w:type="pct"/>
            <w:vAlign w:val="center"/>
          </w:tcPr>
          <w:p w:rsidR="002D1E45" w:rsidRPr="00AF7759" w:rsidRDefault="002D1E45" w:rsidP="00AF7759">
            <w:pPr>
              <w:tabs>
                <w:tab w:val="left" w:pos="1418"/>
              </w:tabs>
              <w:spacing w:after="0" w:line="240" w:lineRule="auto"/>
              <w:rPr>
                <w:rFonts w:ascii="Times New Roman" w:hAnsi="Times New Roman"/>
              </w:rPr>
            </w:pPr>
            <w:r w:rsidRPr="00AF7759">
              <w:rPr>
                <w:rFonts w:ascii="Times New Roman" w:hAnsi="Times New Roman"/>
              </w:rPr>
              <w:t>г. Куйбышев</w:t>
            </w:r>
          </w:p>
        </w:tc>
        <w:tc>
          <w:tcPr>
            <w:tcW w:w="754"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спортзалы 3260 м</w:t>
            </w:r>
            <w:r w:rsidRPr="00AF7759">
              <w:rPr>
                <w:rFonts w:ascii="Times New Roman" w:hAnsi="Times New Roman"/>
                <w:vertAlign w:val="superscript"/>
                <w:lang w:eastAsia="ru-RU"/>
              </w:rPr>
              <w:t>2</w:t>
            </w:r>
            <w:r w:rsidRPr="00AF7759">
              <w:rPr>
                <w:rFonts w:ascii="Times New Roman" w:hAnsi="Times New Roman"/>
                <w:lang w:eastAsia="ru-RU"/>
              </w:rPr>
              <w:t xml:space="preserve">, бассейн </w:t>
            </w:r>
            <w:r>
              <w:rPr>
                <w:rFonts w:ascii="Times New Roman" w:hAnsi="Times New Roman"/>
                <w:lang w:eastAsia="ru-RU"/>
              </w:rPr>
              <w:t>320</w:t>
            </w:r>
            <w:r w:rsidRPr="00AF7759">
              <w:rPr>
                <w:rFonts w:ascii="Times New Roman" w:hAnsi="Times New Roman"/>
                <w:lang w:eastAsia="ru-RU"/>
              </w:rPr>
              <w:t xml:space="preserve"> м</w:t>
            </w:r>
            <w:r w:rsidRPr="00AF7759">
              <w:rPr>
                <w:rFonts w:ascii="Times New Roman" w:hAnsi="Times New Roman"/>
                <w:vertAlign w:val="superscript"/>
                <w:lang w:eastAsia="ru-RU"/>
              </w:rPr>
              <w:t>2</w:t>
            </w:r>
          </w:p>
        </w:tc>
        <w:tc>
          <w:tcPr>
            <w:tcW w:w="773" w:type="pct"/>
            <w:vAlign w:val="center"/>
          </w:tcPr>
          <w:p w:rsidR="002D1E45" w:rsidRPr="00AF7759" w:rsidRDefault="002D1E45" w:rsidP="00AF7759">
            <w:pPr>
              <w:tabs>
                <w:tab w:val="left" w:pos="1418"/>
              </w:tabs>
              <w:autoSpaceDE w:val="0"/>
              <w:autoSpaceDN w:val="0"/>
              <w:adjustRightInd w:val="0"/>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Расчётный срок</w:t>
            </w:r>
          </w:p>
        </w:tc>
        <w:tc>
          <w:tcPr>
            <w:tcW w:w="10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Предложение разработчиков</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lang w:eastAsia="ru-RU"/>
              </w:rPr>
            </w:pPr>
            <w:r w:rsidRPr="00AF7759">
              <w:rPr>
                <w:rFonts w:ascii="Times New Roman" w:hAnsi="Times New Roman"/>
                <w:lang w:eastAsia="ru-RU"/>
              </w:rPr>
              <w:t>Центр игровых видов спорта с трибунами</w:t>
            </w:r>
          </w:p>
        </w:tc>
        <w:tc>
          <w:tcPr>
            <w:tcW w:w="698" w:type="pct"/>
            <w:vAlign w:val="center"/>
          </w:tcPr>
          <w:p w:rsidR="002D1E45" w:rsidRPr="00AF7759" w:rsidRDefault="002D1E45" w:rsidP="00AF7759">
            <w:pPr>
              <w:tabs>
                <w:tab w:val="left" w:pos="1418"/>
              </w:tabs>
              <w:spacing w:after="0" w:line="240" w:lineRule="auto"/>
              <w:rPr>
                <w:rFonts w:ascii="Times New Roman" w:hAnsi="Times New Roman"/>
              </w:rPr>
            </w:pPr>
            <w:r w:rsidRPr="00AF7759">
              <w:rPr>
                <w:rFonts w:ascii="Times New Roman" w:hAnsi="Times New Roman"/>
              </w:rPr>
              <w:t>г. Куйбышев</w:t>
            </w:r>
          </w:p>
        </w:tc>
        <w:tc>
          <w:tcPr>
            <w:tcW w:w="754" w:type="pct"/>
            <w:vAlign w:val="center"/>
          </w:tcPr>
          <w:p w:rsidR="002D1E45" w:rsidRPr="00AF7759" w:rsidRDefault="002D1E45" w:rsidP="00AF7759">
            <w:pPr>
              <w:spacing w:after="0" w:line="240" w:lineRule="auto"/>
              <w:jc w:val="center"/>
              <w:rPr>
                <w:rFonts w:ascii="Times New Roman" w:hAnsi="Times New Roman"/>
                <w:vertAlign w:val="superscript"/>
                <w:lang w:eastAsia="ru-RU"/>
              </w:rPr>
            </w:pPr>
            <w:r w:rsidRPr="00AF7759">
              <w:rPr>
                <w:rFonts w:ascii="Times New Roman" w:hAnsi="Times New Roman"/>
                <w:lang w:eastAsia="ru-RU"/>
              </w:rPr>
              <w:t>спортзалы 2000 м</w:t>
            </w:r>
            <w:r w:rsidRPr="00AF7759">
              <w:rPr>
                <w:rFonts w:ascii="Times New Roman" w:hAnsi="Times New Roman"/>
                <w:vertAlign w:val="superscript"/>
                <w:lang w:eastAsia="ru-RU"/>
              </w:rPr>
              <w:t>2</w:t>
            </w:r>
          </w:p>
        </w:tc>
        <w:tc>
          <w:tcPr>
            <w:tcW w:w="773" w:type="pct"/>
            <w:vAlign w:val="center"/>
          </w:tcPr>
          <w:p w:rsidR="002D1E45" w:rsidRPr="00AF7759" w:rsidRDefault="002D1E45" w:rsidP="00AF7759">
            <w:pPr>
              <w:tabs>
                <w:tab w:val="left" w:pos="1418"/>
              </w:tabs>
              <w:autoSpaceDE w:val="0"/>
              <w:autoSpaceDN w:val="0"/>
              <w:adjustRightInd w:val="0"/>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Первая очередь</w:t>
            </w:r>
          </w:p>
        </w:tc>
        <w:tc>
          <w:tcPr>
            <w:tcW w:w="10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Предложение разработчиков</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lang w:eastAsia="ru-RU"/>
              </w:rPr>
            </w:pPr>
            <w:r w:rsidRPr="00AF7759">
              <w:rPr>
                <w:rFonts w:ascii="Times New Roman" w:hAnsi="Times New Roman"/>
                <w:lang w:eastAsia="ru-RU"/>
              </w:rPr>
              <w:t>Физкультурно-оздоровительный комплекс</w:t>
            </w:r>
          </w:p>
        </w:tc>
        <w:tc>
          <w:tcPr>
            <w:tcW w:w="698" w:type="pct"/>
            <w:vAlign w:val="center"/>
          </w:tcPr>
          <w:p w:rsidR="002D1E45" w:rsidRPr="00AF7759" w:rsidRDefault="002D1E45" w:rsidP="00AF7759">
            <w:pPr>
              <w:tabs>
                <w:tab w:val="left" w:pos="1418"/>
              </w:tabs>
              <w:spacing w:after="0" w:line="240" w:lineRule="auto"/>
              <w:rPr>
                <w:rFonts w:ascii="Times New Roman" w:hAnsi="Times New Roman"/>
              </w:rPr>
            </w:pPr>
            <w:r w:rsidRPr="00AF7759">
              <w:rPr>
                <w:rFonts w:ascii="Times New Roman" w:hAnsi="Times New Roman"/>
              </w:rPr>
              <w:t>г. Куйбышев</w:t>
            </w:r>
          </w:p>
        </w:tc>
        <w:tc>
          <w:tcPr>
            <w:tcW w:w="754" w:type="pct"/>
            <w:vAlign w:val="center"/>
          </w:tcPr>
          <w:p w:rsidR="002D1E45" w:rsidRPr="00AF7759" w:rsidRDefault="002D1E45" w:rsidP="00AF7759">
            <w:pPr>
              <w:spacing w:after="0" w:line="240" w:lineRule="auto"/>
              <w:jc w:val="center"/>
              <w:rPr>
                <w:rFonts w:ascii="Times New Roman" w:hAnsi="Times New Roman"/>
                <w:vertAlign w:val="superscript"/>
                <w:lang w:eastAsia="ru-RU"/>
              </w:rPr>
            </w:pPr>
            <w:r w:rsidRPr="00AF7759">
              <w:rPr>
                <w:rFonts w:ascii="Times New Roman" w:hAnsi="Times New Roman"/>
                <w:lang w:eastAsia="ru-RU"/>
              </w:rPr>
              <w:t>спортзалы 2000 м</w:t>
            </w:r>
            <w:r w:rsidRPr="00AF7759">
              <w:rPr>
                <w:rFonts w:ascii="Times New Roman" w:hAnsi="Times New Roman"/>
                <w:vertAlign w:val="superscript"/>
                <w:lang w:eastAsia="ru-RU"/>
              </w:rPr>
              <w:t>2</w:t>
            </w:r>
          </w:p>
        </w:tc>
        <w:tc>
          <w:tcPr>
            <w:tcW w:w="773" w:type="pct"/>
            <w:vAlign w:val="center"/>
          </w:tcPr>
          <w:p w:rsidR="002D1E45" w:rsidRPr="00AF7759" w:rsidRDefault="002D1E45" w:rsidP="00AF7759">
            <w:pPr>
              <w:tabs>
                <w:tab w:val="left" w:pos="1418"/>
              </w:tabs>
              <w:autoSpaceDE w:val="0"/>
              <w:autoSpaceDN w:val="0"/>
              <w:adjustRightInd w:val="0"/>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Расчётный срок</w:t>
            </w:r>
          </w:p>
        </w:tc>
        <w:tc>
          <w:tcPr>
            <w:tcW w:w="10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Предложение разработчиков</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lang w:eastAsia="ru-RU"/>
              </w:rPr>
            </w:pPr>
            <w:r w:rsidRPr="00AF7759">
              <w:rPr>
                <w:rFonts w:ascii="Times New Roman" w:hAnsi="Times New Roman"/>
                <w:lang w:eastAsia="ru-RU"/>
              </w:rPr>
              <w:t>Капитальный ремонт хоккейных коробок МБУС «СОЦ»</w:t>
            </w:r>
          </w:p>
        </w:tc>
        <w:tc>
          <w:tcPr>
            <w:tcW w:w="698" w:type="pct"/>
            <w:vAlign w:val="center"/>
          </w:tcPr>
          <w:p w:rsidR="002D1E45" w:rsidRPr="00AF7759" w:rsidRDefault="002D1E45" w:rsidP="00AF7759">
            <w:pPr>
              <w:tabs>
                <w:tab w:val="left" w:pos="1418"/>
              </w:tabs>
              <w:spacing w:after="0" w:line="240" w:lineRule="auto"/>
              <w:rPr>
                <w:rFonts w:ascii="Times New Roman" w:hAnsi="Times New Roman"/>
              </w:rPr>
            </w:pPr>
            <w:r w:rsidRPr="00AF7759">
              <w:rPr>
                <w:rFonts w:ascii="Times New Roman" w:hAnsi="Times New Roman"/>
              </w:rPr>
              <w:t>г. Куйбышев,</w:t>
            </w:r>
            <w:r w:rsidRPr="00AF7759">
              <w:rPr>
                <w:rFonts w:ascii="Times New Roman" w:hAnsi="Times New Roman"/>
                <w:lang w:eastAsia="ru-RU"/>
              </w:rPr>
              <w:t xml:space="preserve"> кв-л 11, кв-л. 8</w:t>
            </w:r>
          </w:p>
        </w:tc>
        <w:tc>
          <w:tcPr>
            <w:tcW w:w="754"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без увеличения мощности</w:t>
            </w:r>
          </w:p>
        </w:tc>
        <w:tc>
          <w:tcPr>
            <w:tcW w:w="773" w:type="pct"/>
            <w:vAlign w:val="center"/>
          </w:tcPr>
          <w:p w:rsidR="002D1E45" w:rsidRPr="00AF7759" w:rsidRDefault="002D1E45" w:rsidP="00AF7759">
            <w:pPr>
              <w:tabs>
                <w:tab w:val="left" w:pos="1418"/>
              </w:tabs>
              <w:autoSpaceDE w:val="0"/>
              <w:autoSpaceDN w:val="0"/>
              <w:adjustRightInd w:val="0"/>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Первая очередь</w:t>
            </w:r>
          </w:p>
        </w:tc>
        <w:tc>
          <w:tcPr>
            <w:tcW w:w="10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Комплексная программа развития социнфраструктуры</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lang w:eastAsia="ru-RU"/>
              </w:rPr>
            </w:pPr>
            <w:r w:rsidRPr="00AF7759">
              <w:rPr>
                <w:rFonts w:ascii="Times New Roman" w:hAnsi="Times New Roman"/>
                <w:lang w:eastAsia="ru-RU"/>
              </w:rPr>
              <w:t>МБУ «Дом молодёжи</w:t>
            </w:r>
          </w:p>
          <w:p w:rsidR="002D1E45" w:rsidRPr="00AF7759" w:rsidRDefault="002D1E45" w:rsidP="00AF7759">
            <w:pPr>
              <w:autoSpaceDE w:val="0"/>
              <w:autoSpaceDN w:val="0"/>
              <w:adjustRightInd w:val="0"/>
              <w:spacing w:after="0" w:line="240" w:lineRule="auto"/>
              <w:rPr>
                <w:rFonts w:ascii="Times New Roman" w:hAnsi="Times New Roman"/>
                <w:lang w:eastAsia="ru-RU"/>
              </w:rPr>
            </w:pPr>
            <w:r w:rsidRPr="00AF7759">
              <w:rPr>
                <w:rFonts w:ascii="Times New Roman" w:hAnsi="Times New Roman"/>
                <w:lang w:eastAsia="ru-RU"/>
              </w:rPr>
              <w:t>Куйбышевского района» (капремонт)</w:t>
            </w:r>
          </w:p>
        </w:tc>
        <w:tc>
          <w:tcPr>
            <w:tcW w:w="698" w:type="pct"/>
            <w:vAlign w:val="center"/>
          </w:tcPr>
          <w:p w:rsidR="002D1E45" w:rsidRPr="00AF7759" w:rsidRDefault="002D1E45" w:rsidP="00AF7759">
            <w:pPr>
              <w:tabs>
                <w:tab w:val="left" w:pos="1418"/>
              </w:tabs>
              <w:spacing w:after="0" w:line="240" w:lineRule="auto"/>
              <w:rPr>
                <w:rFonts w:ascii="Times New Roman" w:hAnsi="Times New Roman"/>
              </w:rPr>
            </w:pPr>
            <w:r w:rsidRPr="00AF7759">
              <w:rPr>
                <w:rFonts w:ascii="Times New Roman" w:hAnsi="Times New Roman"/>
              </w:rPr>
              <w:t>г. Куйбышев</w:t>
            </w:r>
          </w:p>
        </w:tc>
        <w:tc>
          <w:tcPr>
            <w:tcW w:w="754"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без увеличения мощности</w:t>
            </w:r>
          </w:p>
        </w:tc>
        <w:tc>
          <w:tcPr>
            <w:tcW w:w="773" w:type="pct"/>
            <w:vAlign w:val="center"/>
          </w:tcPr>
          <w:p w:rsidR="002D1E45" w:rsidRPr="00AF7759" w:rsidRDefault="002D1E45" w:rsidP="00AF7759">
            <w:pPr>
              <w:tabs>
                <w:tab w:val="left" w:pos="1418"/>
              </w:tabs>
              <w:autoSpaceDE w:val="0"/>
              <w:autoSpaceDN w:val="0"/>
              <w:adjustRightInd w:val="0"/>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Расчётный срок</w:t>
            </w:r>
          </w:p>
        </w:tc>
        <w:tc>
          <w:tcPr>
            <w:tcW w:w="10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 xml:space="preserve">Предложение разработчиков </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lang w:eastAsia="ru-RU"/>
              </w:rPr>
            </w:pPr>
            <w:r w:rsidRPr="00AF7759">
              <w:rPr>
                <w:rFonts w:ascii="Times New Roman" w:hAnsi="Times New Roman"/>
                <w:lang w:eastAsia="ru-RU"/>
              </w:rPr>
              <w:t>Дворец культуры им. В.В. Куйбышева (капремонт)</w:t>
            </w:r>
          </w:p>
        </w:tc>
        <w:tc>
          <w:tcPr>
            <w:tcW w:w="698" w:type="pct"/>
            <w:vAlign w:val="center"/>
          </w:tcPr>
          <w:p w:rsidR="002D1E45" w:rsidRPr="00AF7759" w:rsidRDefault="002D1E45" w:rsidP="00AF7759">
            <w:pPr>
              <w:tabs>
                <w:tab w:val="left" w:pos="1418"/>
              </w:tabs>
              <w:spacing w:after="0" w:line="240" w:lineRule="auto"/>
              <w:rPr>
                <w:rFonts w:ascii="Times New Roman" w:hAnsi="Times New Roman"/>
              </w:rPr>
            </w:pPr>
            <w:r w:rsidRPr="00AF7759">
              <w:rPr>
                <w:rFonts w:ascii="Times New Roman" w:hAnsi="Times New Roman"/>
              </w:rPr>
              <w:t>г. Куйбышев</w:t>
            </w:r>
          </w:p>
        </w:tc>
        <w:tc>
          <w:tcPr>
            <w:tcW w:w="754"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без увеличения мощности</w:t>
            </w:r>
          </w:p>
        </w:tc>
        <w:tc>
          <w:tcPr>
            <w:tcW w:w="773" w:type="pct"/>
            <w:vAlign w:val="center"/>
          </w:tcPr>
          <w:p w:rsidR="002D1E45" w:rsidRPr="00AF7759" w:rsidRDefault="002D1E45" w:rsidP="00AF7759">
            <w:pPr>
              <w:tabs>
                <w:tab w:val="left" w:pos="1418"/>
              </w:tabs>
              <w:autoSpaceDE w:val="0"/>
              <w:autoSpaceDN w:val="0"/>
              <w:adjustRightInd w:val="0"/>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Первая очередь</w:t>
            </w:r>
          </w:p>
        </w:tc>
        <w:tc>
          <w:tcPr>
            <w:tcW w:w="10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 xml:space="preserve">Предложение разработчиков </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lang w:eastAsia="ru-RU"/>
              </w:rPr>
            </w:pPr>
            <w:r w:rsidRPr="00AF7759">
              <w:rPr>
                <w:rFonts w:ascii="Times New Roman" w:hAnsi="Times New Roman"/>
                <w:lang w:eastAsia="ru-RU"/>
              </w:rPr>
              <w:t>Административное здание в сквере «Городской сад» (капремонт)</w:t>
            </w:r>
          </w:p>
        </w:tc>
        <w:tc>
          <w:tcPr>
            <w:tcW w:w="698" w:type="pct"/>
            <w:vAlign w:val="center"/>
          </w:tcPr>
          <w:p w:rsidR="002D1E45" w:rsidRPr="00AF7759" w:rsidRDefault="002D1E45" w:rsidP="00AF7759">
            <w:pPr>
              <w:tabs>
                <w:tab w:val="left" w:pos="1418"/>
              </w:tabs>
              <w:spacing w:after="0" w:line="240" w:lineRule="auto"/>
              <w:rPr>
                <w:rFonts w:ascii="Times New Roman" w:hAnsi="Times New Roman"/>
              </w:rPr>
            </w:pPr>
            <w:r w:rsidRPr="00AF7759">
              <w:rPr>
                <w:rFonts w:ascii="Times New Roman" w:hAnsi="Times New Roman"/>
              </w:rPr>
              <w:t>г. Куйбышев</w:t>
            </w:r>
          </w:p>
        </w:tc>
        <w:tc>
          <w:tcPr>
            <w:tcW w:w="754"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без увеличения мощности</w:t>
            </w:r>
          </w:p>
        </w:tc>
        <w:tc>
          <w:tcPr>
            <w:tcW w:w="773" w:type="pct"/>
            <w:vAlign w:val="center"/>
          </w:tcPr>
          <w:p w:rsidR="002D1E45" w:rsidRPr="00AF7759" w:rsidRDefault="002D1E45" w:rsidP="00AF7759">
            <w:pPr>
              <w:tabs>
                <w:tab w:val="left" w:pos="1418"/>
              </w:tabs>
              <w:autoSpaceDE w:val="0"/>
              <w:autoSpaceDN w:val="0"/>
              <w:adjustRightInd w:val="0"/>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Первая очередь</w:t>
            </w:r>
          </w:p>
        </w:tc>
        <w:tc>
          <w:tcPr>
            <w:tcW w:w="10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 xml:space="preserve">Предложение разработчиков </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lang w:eastAsia="ru-RU"/>
              </w:rPr>
            </w:pPr>
            <w:r w:rsidRPr="00AF7759">
              <w:rPr>
                <w:rFonts w:ascii="Times New Roman" w:hAnsi="Times New Roman"/>
                <w:lang w:eastAsia="ru-RU"/>
              </w:rPr>
              <w:t>Здание тира в сквере «Городской сад» (капремонт)</w:t>
            </w:r>
          </w:p>
        </w:tc>
        <w:tc>
          <w:tcPr>
            <w:tcW w:w="698" w:type="pct"/>
            <w:vAlign w:val="center"/>
          </w:tcPr>
          <w:p w:rsidR="002D1E45" w:rsidRPr="00AF7759" w:rsidRDefault="002D1E45" w:rsidP="00AF7759">
            <w:pPr>
              <w:tabs>
                <w:tab w:val="left" w:pos="1418"/>
              </w:tabs>
              <w:spacing w:after="0" w:line="240" w:lineRule="auto"/>
              <w:rPr>
                <w:rFonts w:ascii="Times New Roman" w:hAnsi="Times New Roman"/>
              </w:rPr>
            </w:pPr>
            <w:r w:rsidRPr="00AF7759">
              <w:rPr>
                <w:rFonts w:ascii="Times New Roman" w:hAnsi="Times New Roman"/>
              </w:rPr>
              <w:t>г. Куйбышев</w:t>
            </w:r>
          </w:p>
        </w:tc>
        <w:tc>
          <w:tcPr>
            <w:tcW w:w="754"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без увеличения мощности</w:t>
            </w:r>
          </w:p>
        </w:tc>
        <w:tc>
          <w:tcPr>
            <w:tcW w:w="773" w:type="pct"/>
            <w:vAlign w:val="center"/>
          </w:tcPr>
          <w:p w:rsidR="002D1E45" w:rsidRPr="00AF7759" w:rsidRDefault="002D1E45" w:rsidP="00AF7759">
            <w:pPr>
              <w:tabs>
                <w:tab w:val="left" w:pos="1418"/>
              </w:tabs>
              <w:autoSpaceDE w:val="0"/>
              <w:autoSpaceDN w:val="0"/>
              <w:adjustRightInd w:val="0"/>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Первая очередь</w:t>
            </w:r>
          </w:p>
        </w:tc>
        <w:tc>
          <w:tcPr>
            <w:tcW w:w="10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 xml:space="preserve">Предложение разработчиков </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lang w:eastAsia="ru-RU"/>
              </w:rPr>
            </w:pPr>
            <w:r w:rsidRPr="00AF7759">
              <w:rPr>
                <w:rFonts w:ascii="Times New Roman" w:hAnsi="Times New Roman"/>
                <w:lang w:eastAsia="ru-RU"/>
              </w:rPr>
              <w:t>Центральная библиотека (капремонт)</w:t>
            </w:r>
          </w:p>
        </w:tc>
        <w:tc>
          <w:tcPr>
            <w:tcW w:w="698" w:type="pct"/>
            <w:vAlign w:val="center"/>
          </w:tcPr>
          <w:p w:rsidR="002D1E45" w:rsidRPr="00AF7759" w:rsidRDefault="002D1E45" w:rsidP="00AF7759">
            <w:pPr>
              <w:tabs>
                <w:tab w:val="left" w:pos="1418"/>
              </w:tabs>
              <w:spacing w:after="0" w:line="240" w:lineRule="auto"/>
              <w:rPr>
                <w:rFonts w:ascii="Times New Roman" w:hAnsi="Times New Roman"/>
              </w:rPr>
            </w:pPr>
            <w:r w:rsidRPr="00AF7759">
              <w:rPr>
                <w:rFonts w:ascii="Times New Roman" w:hAnsi="Times New Roman"/>
              </w:rPr>
              <w:t>г. Куйбышев, ул. Красная, 25</w:t>
            </w:r>
          </w:p>
        </w:tc>
        <w:tc>
          <w:tcPr>
            <w:tcW w:w="754"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до 81 тыс. экз. хр.</w:t>
            </w:r>
          </w:p>
        </w:tc>
        <w:tc>
          <w:tcPr>
            <w:tcW w:w="773" w:type="pct"/>
            <w:vAlign w:val="center"/>
          </w:tcPr>
          <w:p w:rsidR="002D1E45" w:rsidRPr="00AF7759" w:rsidRDefault="002D1E45" w:rsidP="00AF7759">
            <w:pPr>
              <w:tabs>
                <w:tab w:val="left" w:pos="1418"/>
              </w:tabs>
              <w:autoSpaceDE w:val="0"/>
              <w:autoSpaceDN w:val="0"/>
              <w:adjustRightInd w:val="0"/>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Расчётный срок</w:t>
            </w:r>
          </w:p>
        </w:tc>
        <w:tc>
          <w:tcPr>
            <w:tcW w:w="10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 xml:space="preserve">Предложение разработчиков </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lang w:eastAsia="ru-RU"/>
              </w:rPr>
            </w:pPr>
            <w:r w:rsidRPr="00AF7759">
              <w:rPr>
                <w:rFonts w:ascii="Times New Roman" w:hAnsi="Times New Roman"/>
                <w:lang w:eastAsia="ru-RU"/>
              </w:rPr>
              <w:t>Городская детская библиотека № 3 (капремонт)</w:t>
            </w:r>
          </w:p>
        </w:tc>
        <w:tc>
          <w:tcPr>
            <w:tcW w:w="698" w:type="pct"/>
            <w:vAlign w:val="center"/>
          </w:tcPr>
          <w:p w:rsidR="002D1E45" w:rsidRPr="00AF7759" w:rsidRDefault="002D1E45" w:rsidP="00AF7759">
            <w:pPr>
              <w:tabs>
                <w:tab w:val="left" w:pos="1418"/>
              </w:tabs>
              <w:spacing w:after="0" w:line="240" w:lineRule="auto"/>
              <w:rPr>
                <w:rFonts w:ascii="Times New Roman" w:hAnsi="Times New Roman"/>
              </w:rPr>
            </w:pPr>
            <w:r w:rsidRPr="00AF7759">
              <w:rPr>
                <w:rFonts w:ascii="Times New Roman" w:hAnsi="Times New Roman"/>
              </w:rPr>
              <w:t>г. Куйбышев</w:t>
            </w:r>
            <w:r w:rsidRPr="00AF7759">
              <w:t xml:space="preserve"> </w:t>
            </w:r>
            <w:r w:rsidRPr="00AF7759">
              <w:rPr>
                <w:rFonts w:ascii="Times New Roman" w:hAnsi="Times New Roman"/>
              </w:rPr>
              <w:t>ул. Достоевского, 34</w:t>
            </w:r>
          </w:p>
        </w:tc>
        <w:tc>
          <w:tcPr>
            <w:tcW w:w="754"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до 14 тыс. экз. хр.</w:t>
            </w:r>
          </w:p>
        </w:tc>
        <w:tc>
          <w:tcPr>
            <w:tcW w:w="773" w:type="pct"/>
            <w:vAlign w:val="center"/>
          </w:tcPr>
          <w:p w:rsidR="002D1E45" w:rsidRPr="00AF7759" w:rsidRDefault="002D1E45" w:rsidP="00AF7759">
            <w:pPr>
              <w:tabs>
                <w:tab w:val="left" w:pos="1418"/>
              </w:tabs>
              <w:autoSpaceDE w:val="0"/>
              <w:autoSpaceDN w:val="0"/>
              <w:adjustRightInd w:val="0"/>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Расчётный срок</w:t>
            </w:r>
          </w:p>
        </w:tc>
        <w:tc>
          <w:tcPr>
            <w:tcW w:w="10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 xml:space="preserve">Предложение разработчиков </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lang w:eastAsia="ru-RU"/>
              </w:rPr>
            </w:pPr>
            <w:r w:rsidRPr="00AF7759">
              <w:rPr>
                <w:rFonts w:ascii="Times New Roman" w:hAnsi="Times New Roman"/>
                <w:lang w:eastAsia="ru-RU"/>
              </w:rPr>
              <w:t>Городская библиотека № 1 (капремонт)</w:t>
            </w:r>
          </w:p>
        </w:tc>
        <w:tc>
          <w:tcPr>
            <w:tcW w:w="698" w:type="pct"/>
            <w:vAlign w:val="center"/>
          </w:tcPr>
          <w:p w:rsidR="002D1E45" w:rsidRPr="00AF7759" w:rsidRDefault="002D1E45" w:rsidP="00AF7759">
            <w:pPr>
              <w:tabs>
                <w:tab w:val="left" w:pos="1418"/>
              </w:tabs>
              <w:spacing w:after="0" w:line="240" w:lineRule="auto"/>
              <w:rPr>
                <w:rFonts w:ascii="Times New Roman" w:hAnsi="Times New Roman"/>
              </w:rPr>
            </w:pPr>
            <w:r w:rsidRPr="00AF7759">
              <w:rPr>
                <w:rFonts w:ascii="Times New Roman" w:hAnsi="Times New Roman"/>
              </w:rPr>
              <w:t>г. Куйбышев</w:t>
            </w:r>
            <w:r w:rsidRPr="00AF7759">
              <w:t xml:space="preserve"> </w:t>
            </w:r>
            <w:r w:rsidRPr="00AF7759">
              <w:rPr>
                <w:rFonts w:ascii="Times New Roman" w:hAnsi="Times New Roman"/>
              </w:rPr>
              <w:t>ул. Агафонова,71</w:t>
            </w:r>
          </w:p>
        </w:tc>
        <w:tc>
          <w:tcPr>
            <w:tcW w:w="754"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до 31 тыс. экз. хр.</w:t>
            </w:r>
          </w:p>
        </w:tc>
        <w:tc>
          <w:tcPr>
            <w:tcW w:w="773" w:type="pct"/>
            <w:vAlign w:val="center"/>
          </w:tcPr>
          <w:p w:rsidR="002D1E45" w:rsidRPr="00AF7759" w:rsidRDefault="002D1E45" w:rsidP="00AF7759">
            <w:pPr>
              <w:tabs>
                <w:tab w:val="left" w:pos="1418"/>
              </w:tabs>
              <w:autoSpaceDE w:val="0"/>
              <w:autoSpaceDN w:val="0"/>
              <w:adjustRightInd w:val="0"/>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Расчётный срок</w:t>
            </w:r>
          </w:p>
        </w:tc>
        <w:tc>
          <w:tcPr>
            <w:tcW w:w="10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 xml:space="preserve">Предложение разработчиков </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lang w:eastAsia="ru-RU"/>
              </w:rPr>
            </w:pPr>
            <w:r w:rsidRPr="00AF7759">
              <w:rPr>
                <w:rFonts w:ascii="Times New Roman" w:hAnsi="Times New Roman"/>
                <w:lang w:eastAsia="ru-RU"/>
              </w:rPr>
              <w:t>Детская библиотека (капремонт)</w:t>
            </w:r>
          </w:p>
        </w:tc>
        <w:tc>
          <w:tcPr>
            <w:tcW w:w="698" w:type="pct"/>
            <w:vAlign w:val="center"/>
          </w:tcPr>
          <w:p w:rsidR="002D1E45" w:rsidRPr="00AF7759" w:rsidRDefault="002D1E45" w:rsidP="00AF7759">
            <w:pPr>
              <w:tabs>
                <w:tab w:val="left" w:pos="1418"/>
              </w:tabs>
              <w:spacing w:after="0" w:line="240" w:lineRule="auto"/>
              <w:rPr>
                <w:rFonts w:ascii="Times New Roman" w:hAnsi="Times New Roman"/>
              </w:rPr>
            </w:pPr>
            <w:r w:rsidRPr="00AF7759">
              <w:rPr>
                <w:rFonts w:ascii="Times New Roman" w:hAnsi="Times New Roman"/>
              </w:rPr>
              <w:t>г. Куйбышев, ул. Красная, 25</w:t>
            </w:r>
          </w:p>
        </w:tc>
        <w:tc>
          <w:tcPr>
            <w:tcW w:w="754"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до 30,5 тыс. экз. хр.</w:t>
            </w:r>
          </w:p>
        </w:tc>
        <w:tc>
          <w:tcPr>
            <w:tcW w:w="773" w:type="pct"/>
            <w:vAlign w:val="center"/>
          </w:tcPr>
          <w:p w:rsidR="002D1E45" w:rsidRPr="00AF7759" w:rsidRDefault="002D1E45" w:rsidP="00AF7759">
            <w:pPr>
              <w:tabs>
                <w:tab w:val="left" w:pos="1418"/>
              </w:tabs>
              <w:autoSpaceDE w:val="0"/>
              <w:autoSpaceDN w:val="0"/>
              <w:adjustRightInd w:val="0"/>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Расчётный срок</w:t>
            </w:r>
          </w:p>
        </w:tc>
        <w:tc>
          <w:tcPr>
            <w:tcW w:w="10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 xml:space="preserve">Предложение разработчиков </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lang w:eastAsia="ru-RU"/>
              </w:rPr>
            </w:pPr>
            <w:r w:rsidRPr="00AF7759">
              <w:rPr>
                <w:rFonts w:ascii="Times New Roman" w:hAnsi="Times New Roman"/>
                <w:lang w:eastAsia="ru-RU"/>
              </w:rPr>
              <w:t>Краеведческий музей (капремонт)</w:t>
            </w:r>
          </w:p>
        </w:tc>
        <w:tc>
          <w:tcPr>
            <w:tcW w:w="698" w:type="pct"/>
            <w:vAlign w:val="center"/>
          </w:tcPr>
          <w:p w:rsidR="002D1E45" w:rsidRPr="00AF7759" w:rsidRDefault="002D1E45" w:rsidP="00AF7759">
            <w:pPr>
              <w:tabs>
                <w:tab w:val="left" w:pos="1418"/>
              </w:tabs>
              <w:spacing w:after="0" w:line="240" w:lineRule="auto"/>
              <w:rPr>
                <w:rFonts w:ascii="Times New Roman" w:hAnsi="Times New Roman"/>
              </w:rPr>
            </w:pPr>
            <w:r w:rsidRPr="00AF7759">
              <w:rPr>
                <w:rFonts w:ascii="Times New Roman" w:hAnsi="Times New Roman"/>
              </w:rPr>
              <w:t xml:space="preserve">г. Куйбышев, </w:t>
            </w:r>
            <w:bookmarkStart w:id="376" w:name="_Hlk49081977"/>
            <w:r w:rsidRPr="00AF7759">
              <w:rPr>
                <w:rFonts w:ascii="Times New Roman" w:hAnsi="Times New Roman"/>
              </w:rPr>
              <w:t>ул. Коммунистическая, 29</w:t>
            </w:r>
            <w:bookmarkEnd w:id="376"/>
          </w:p>
        </w:tc>
        <w:tc>
          <w:tcPr>
            <w:tcW w:w="754"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без увеличения мощности</w:t>
            </w:r>
          </w:p>
        </w:tc>
        <w:tc>
          <w:tcPr>
            <w:tcW w:w="773" w:type="pct"/>
            <w:vAlign w:val="center"/>
          </w:tcPr>
          <w:p w:rsidR="002D1E45" w:rsidRPr="00AF7759" w:rsidRDefault="002D1E45" w:rsidP="00AF7759">
            <w:pPr>
              <w:tabs>
                <w:tab w:val="left" w:pos="1418"/>
              </w:tabs>
              <w:autoSpaceDE w:val="0"/>
              <w:autoSpaceDN w:val="0"/>
              <w:adjustRightInd w:val="0"/>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Расчётный срок</w:t>
            </w:r>
          </w:p>
        </w:tc>
        <w:tc>
          <w:tcPr>
            <w:tcW w:w="10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 xml:space="preserve">Предложение разработчиков </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lang w:eastAsia="ru-RU"/>
              </w:rPr>
            </w:pPr>
            <w:r w:rsidRPr="00AF7759">
              <w:rPr>
                <w:rFonts w:ascii="Times New Roman" w:hAnsi="Times New Roman"/>
                <w:lang w:eastAsia="ru-RU"/>
              </w:rPr>
              <w:t>Дом-музей В.В. Куйбышева (капремонт)</w:t>
            </w:r>
          </w:p>
        </w:tc>
        <w:tc>
          <w:tcPr>
            <w:tcW w:w="698" w:type="pct"/>
            <w:vAlign w:val="center"/>
          </w:tcPr>
          <w:p w:rsidR="002D1E45" w:rsidRPr="00AF7759" w:rsidRDefault="002D1E45" w:rsidP="00AF7759">
            <w:pPr>
              <w:tabs>
                <w:tab w:val="left" w:pos="1418"/>
              </w:tabs>
              <w:spacing w:after="0" w:line="240" w:lineRule="auto"/>
              <w:rPr>
                <w:rFonts w:ascii="Times New Roman" w:hAnsi="Times New Roman"/>
              </w:rPr>
            </w:pPr>
            <w:r w:rsidRPr="00AF7759">
              <w:rPr>
                <w:rFonts w:ascii="Times New Roman" w:hAnsi="Times New Roman"/>
              </w:rPr>
              <w:t xml:space="preserve">г. Куйбышев, </w:t>
            </w:r>
            <w:bookmarkStart w:id="377" w:name="_Hlk49081996"/>
            <w:r w:rsidRPr="00AF7759">
              <w:rPr>
                <w:rFonts w:ascii="Times New Roman" w:hAnsi="Times New Roman"/>
              </w:rPr>
              <w:t>ул. Ленина, 2</w:t>
            </w:r>
            <w:bookmarkEnd w:id="377"/>
          </w:p>
        </w:tc>
        <w:tc>
          <w:tcPr>
            <w:tcW w:w="754"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без увеличения мощности</w:t>
            </w:r>
          </w:p>
        </w:tc>
        <w:tc>
          <w:tcPr>
            <w:tcW w:w="773" w:type="pct"/>
            <w:vAlign w:val="center"/>
          </w:tcPr>
          <w:p w:rsidR="002D1E45" w:rsidRPr="00AF7759" w:rsidRDefault="002D1E45" w:rsidP="00AF7759">
            <w:pPr>
              <w:tabs>
                <w:tab w:val="left" w:pos="1418"/>
              </w:tabs>
              <w:autoSpaceDE w:val="0"/>
              <w:autoSpaceDN w:val="0"/>
              <w:adjustRightInd w:val="0"/>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Первая очередь</w:t>
            </w:r>
          </w:p>
        </w:tc>
        <w:tc>
          <w:tcPr>
            <w:tcW w:w="10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 xml:space="preserve">Предложение разработчиков </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lang w:eastAsia="ru-RU"/>
              </w:rPr>
            </w:pPr>
            <w:r w:rsidRPr="00AF7759">
              <w:rPr>
                <w:rFonts w:ascii="Times New Roman" w:hAnsi="Times New Roman"/>
                <w:lang w:eastAsia="ru-RU"/>
              </w:rPr>
              <w:t>Экспозиционно-выставочный зал (капремонт)</w:t>
            </w:r>
          </w:p>
        </w:tc>
        <w:tc>
          <w:tcPr>
            <w:tcW w:w="698" w:type="pct"/>
            <w:vAlign w:val="center"/>
          </w:tcPr>
          <w:p w:rsidR="002D1E45" w:rsidRPr="00AF7759" w:rsidRDefault="002D1E45" w:rsidP="00AF7759">
            <w:pPr>
              <w:tabs>
                <w:tab w:val="left" w:pos="1418"/>
              </w:tabs>
              <w:spacing w:after="0" w:line="240" w:lineRule="auto"/>
              <w:rPr>
                <w:rFonts w:ascii="Times New Roman" w:hAnsi="Times New Roman"/>
              </w:rPr>
            </w:pPr>
            <w:r w:rsidRPr="00AF7759">
              <w:rPr>
                <w:rFonts w:ascii="Times New Roman" w:hAnsi="Times New Roman"/>
              </w:rPr>
              <w:t xml:space="preserve">г. Куйбышев, </w:t>
            </w:r>
            <w:bookmarkStart w:id="378" w:name="_Hlk49082014"/>
            <w:r w:rsidRPr="00AF7759">
              <w:rPr>
                <w:rFonts w:ascii="Times New Roman" w:hAnsi="Times New Roman"/>
              </w:rPr>
              <w:t>ул. Папшева, 5</w:t>
            </w:r>
            <w:bookmarkEnd w:id="378"/>
          </w:p>
        </w:tc>
        <w:tc>
          <w:tcPr>
            <w:tcW w:w="754"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без увеличения мощности</w:t>
            </w:r>
          </w:p>
        </w:tc>
        <w:tc>
          <w:tcPr>
            <w:tcW w:w="773" w:type="pct"/>
            <w:vAlign w:val="center"/>
          </w:tcPr>
          <w:p w:rsidR="002D1E45" w:rsidRPr="00AF7759" w:rsidRDefault="002D1E45" w:rsidP="00AF7759">
            <w:pPr>
              <w:tabs>
                <w:tab w:val="left" w:pos="1418"/>
              </w:tabs>
              <w:autoSpaceDE w:val="0"/>
              <w:autoSpaceDN w:val="0"/>
              <w:adjustRightInd w:val="0"/>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Первая очередь</w:t>
            </w:r>
          </w:p>
        </w:tc>
        <w:tc>
          <w:tcPr>
            <w:tcW w:w="10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 xml:space="preserve">Предложение разработчиков </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lang w:eastAsia="ru-RU"/>
              </w:rPr>
            </w:pPr>
            <w:r w:rsidRPr="00AF7759">
              <w:rPr>
                <w:rFonts w:ascii="Times New Roman" w:hAnsi="Times New Roman"/>
                <w:lang w:eastAsia="ru-RU"/>
              </w:rPr>
              <w:t>Многофункциональный Торгово-развлекательный комплекс</w:t>
            </w:r>
          </w:p>
        </w:tc>
        <w:tc>
          <w:tcPr>
            <w:tcW w:w="698" w:type="pct"/>
            <w:vAlign w:val="center"/>
          </w:tcPr>
          <w:p w:rsidR="002D1E45" w:rsidRPr="00AF7759" w:rsidRDefault="002D1E45" w:rsidP="00AF7759">
            <w:pPr>
              <w:tabs>
                <w:tab w:val="left" w:pos="1418"/>
              </w:tabs>
              <w:spacing w:after="0" w:line="240" w:lineRule="auto"/>
              <w:rPr>
                <w:rFonts w:ascii="Times New Roman" w:hAnsi="Times New Roman"/>
              </w:rPr>
            </w:pPr>
            <w:r w:rsidRPr="00AF7759">
              <w:rPr>
                <w:rFonts w:ascii="Times New Roman" w:hAnsi="Times New Roman"/>
              </w:rPr>
              <w:t>г. Куйбышев</w:t>
            </w:r>
          </w:p>
        </w:tc>
        <w:tc>
          <w:tcPr>
            <w:tcW w:w="754"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2 зала × 300 мест</w:t>
            </w:r>
          </w:p>
        </w:tc>
        <w:tc>
          <w:tcPr>
            <w:tcW w:w="773" w:type="pct"/>
            <w:vAlign w:val="center"/>
          </w:tcPr>
          <w:p w:rsidR="002D1E45" w:rsidRPr="00AF7759" w:rsidRDefault="002D1E45" w:rsidP="00AF7759">
            <w:pPr>
              <w:tabs>
                <w:tab w:val="left" w:pos="1418"/>
              </w:tabs>
              <w:autoSpaceDE w:val="0"/>
              <w:autoSpaceDN w:val="0"/>
              <w:adjustRightInd w:val="0"/>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Расчётный срок</w:t>
            </w:r>
          </w:p>
        </w:tc>
        <w:tc>
          <w:tcPr>
            <w:tcW w:w="10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 xml:space="preserve">Предложение разработчиков </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lang w:eastAsia="ru-RU"/>
              </w:rPr>
            </w:pPr>
            <w:r w:rsidRPr="00AF7759">
              <w:rPr>
                <w:rFonts w:ascii="Times New Roman" w:hAnsi="Times New Roman"/>
                <w:lang w:eastAsia="ru-RU"/>
              </w:rPr>
              <w:t>Учреждение культурно-досугового назначения</w:t>
            </w:r>
          </w:p>
        </w:tc>
        <w:tc>
          <w:tcPr>
            <w:tcW w:w="698" w:type="pct"/>
            <w:vAlign w:val="center"/>
          </w:tcPr>
          <w:p w:rsidR="002D1E45" w:rsidRPr="00AF7759" w:rsidRDefault="002D1E45" w:rsidP="00AF7759">
            <w:pPr>
              <w:tabs>
                <w:tab w:val="left" w:pos="1418"/>
              </w:tabs>
              <w:spacing w:after="0" w:line="240" w:lineRule="auto"/>
              <w:rPr>
                <w:rFonts w:ascii="Times New Roman" w:hAnsi="Times New Roman"/>
              </w:rPr>
            </w:pPr>
            <w:r w:rsidRPr="00AF7759">
              <w:rPr>
                <w:rFonts w:ascii="Times New Roman" w:hAnsi="Times New Roman"/>
              </w:rPr>
              <w:t>г. Куйбышев</w:t>
            </w:r>
          </w:p>
        </w:tc>
        <w:tc>
          <w:tcPr>
            <w:tcW w:w="754"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400 мест</w:t>
            </w:r>
          </w:p>
        </w:tc>
        <w:tc>
          <w:tcPr>
            <w:tcW w:w="773" w:type="pct"/>
            <w:vAlign w:val="center"/>
          </w:tcPr>
          <w:p w:rsidR="002D1E45" w:rsidRPr="00AF7759" w:rsidRDefault="002D1E45" w:rsidP="00AF7759">
            <w:pPr>
              <w:tabs>
                <w:tab w:val="left" w:pos="1418"/>
              </w:tabs>
              <w:autoSpaceDE w:val="0"/>
              <w:autoSpaceDN w:val="0"/>
              <w:adjustRightInd w:val="0"/>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Расчётный срок</w:t>
            </w:r>
          </w:p>
        </w:tc>
        <w:tc>
          <w:tcPr>
            <w:tcW w:w="10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 xml:space="preserve">Предложение разработчиков </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lang w:eastAsia="ru-RU"/>
              </w:rPr>
            </w:pPr>
            <w:r w:rsidRPr="00AF7759">
              <w:rPr>
                <w:rFonts w:ascii="Times New Roman" w:hAnsi="Times New Roman"/>
                <w:lang w:eastAsia="ru-RU"/>
              </w:rPr>
              <w:t>Концертный зал</w:t>
            </w:r>
          </w:p>
        </w:tc>
        <w:tc>
          <w:tcPr>
            <w:tcW w:w="698" w:type="pct"/>
            <w:vAlign w:val="center"/>
          </w:tcPr>
          <w:p w:rsidR="002D1E45" w:rsidRPr="00AF7759" w:rsidRDefault="002D1E45" w:rsidP="00AF7759">
            <w:pPr>
              <w:tabs>
                <w:tab w:val="left" w:pos="1418"/>
              </w:tabs>
              <w:spacing w:after="0" w:line="240" w:lineRule="auto"/>
              <w:rPr>
                <w:rFonts w:ascii="Times New Roman" w:hAnsi="Times New Roman"/>
              </w:rPr>
            </w:pPr>
            <w:r w:rsidRPr="00AF7759">
              <w:rPr>
                <w:rFonts w:ascii="Times New Roman" w:hAnsi="Times New Roman"/>
              </w:rPr>
              <w:t>г. Куйбышев</w:t>
            </w:r>
          </w:p>
        </w:tc>
        <w:tc>
          <w:tcPr>
            <w:tcW w:w="754"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340 мест</w:t>
            </w:r>
          </w:p>
        </w:tc>
        <w:tc>
          <w:tcPr>
            <w:tcW w:w="773" w:type="pct"/>
            <w:vAlign w:val="center"/>
          </w:tcPr>
          <w:p w:rsidR="002D1E45" w:rsidRPr="00AF7759" w:rsidRDefault="002D1E45" w:rsidP="00AF7759">
            <w:pPr>
              <w:tabs>
                <w:tab w:val="left" w:pos="1418"/>
              </w:tabs>
              <w:autoSpaceDE w:val="0"/>
              <w:autoSpaceDN w:val="0"/>
              <w:adjustRightInd w:val="0"/>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Расчётный срок</w:t>
            </w:r>
          </w:p>
        </w:tc>
        <w:tc>
          <w:tcPr>
            <w:tcW w:w="10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 xml:space="preserve">Предложение разработчиков </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rPr>
            </w:pPr>
            <w:r w:rsidRPr="00AF7759">
              <w:rPr>
                <w:rFonts w:ascii="Times New Roman" w:hAnsi="Times New Roman"/>
              </w:rPr>
              <w:t>Сеть водопровода магистральная</w:t>
            </w:r>
          </w:p>
        </w:tc>
        <w:tc>
          <w:tcPr>
            <w:tcW w:w="698" w:type="pct"/>
            <w:vAlign w:val="center"/>
          </w:tcPr>
          <w:p w:rsidR="002D1E45" w:rsidRPr="00AF7759" w:rsidRDefault="002D1E45" w:rsidP="00AF7759">
            <w:pPr>
              <w:tabs>
                <w:tab w:val="left" w:pos="1418"/>
              </w:tabs>
              <w:spacing w:after="0" w:line="240" w:lineRule="auto"/>
              <w:rPr>
                <w:rFonts w:ascii="Times New Roman" w:hAnsi="Times New Roman"/>
                <w:lang w:eastAsia="ru-RU"/>
              </w:rPr>
            </w:pPr>
            <w:r w:rsidRPr="00AF7759">
              <w:rPr>
                <w:rFonts w:ascii="Times New Roman" w:hAnsi="Times New Roman"/>
              </w:rPr>
              <w:t>г. Куйбышев</w:t>
            </w:r>
          </w:p>
        </w:tc>
        <w:tc>
          <w:tcPr>
            <w:tcW w:w="754"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Ø110-200, 20 км</w:t>
            </w:r>
          </w:p>
        </w:tc>
        <w:tc>
          <w:tcPr>
            <w:tcW w:w="773"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Охранная зона</w:t>
            </w:r>
            <w:r w:rsidRPr="00AF7759">
              <w:rPr>
                <w:rFonts w:ascii="Times New Roman" w:hAnsi="Times New Roman"/>
                <w:vertAlign w:val="superscript"/>
                <w:lang w:eastAsia="ru-RU"/>
              </w:rPr>
              <w:footnoteReference w:id="17"/>
            </w:r>
            <w:r w:rsidRPr="00AF7759">
              <w:rPr>
                <w:rFonts w:ascii="Times New Roman" w:hAnsi="Times New Roman"/>
              </w:rPr>
              <w:t xml:space="preserve"> – 20 м</w:t>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Расчётный срок</w:t>
            </w:r>
          </w:p>
        </w:tc>
        <w:tc>
          <w:tcPr>
            <w:tcW w:w="1009"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Предложение разработчиков с учётом Схемы водоснабжения и водоотведения</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rPr>
            </w:pPr>
            <w:r w:rsidRPr="00AF7759">
              <w:rPr>
                <w:rFonts w:ascii="Times New Roman" w:hAnsi="Times New Roman"/>
              </w:rPr>
              <w:t xml:space="preserve">Реконструкция части водопроводных сетей </w:t>
            </w:r>
          </w:p>
        </w:tc>
        <w:tc>
          <w:tcPr>
            <w:tcW w:w="698" w:type="pct"/>
            <w:vAlign w:val="center"/>
          </w:tcPr>
          <w:p w:rsidR="002D1E45" w:rsidRPr="00AF7759" w:rsidRDefault="002D1E45" w:rsidP="00AF7759">
            <w:pPr>
              <w:tabs>
                <w:tab w:val="left" w:pos="1418"/>
              </w:tabs>
              <w:spacing w:after="0" w:line="240" w:lineRule="auto"/>
              <w:rPr>
                <w:rFonts w:ascii="Times New Roman" w:hAnsi="Times New Roman"/>
                <w:lang w:eastAsia="ru-RU"/>
              </w:rPr>
            </w:pPr>
            <w:r w:rsidRPr="00AF7759">
              <w:rPr>
                <w:rFonts w:ascii="Times New Roman" w:hAnsi="Times New Roman"/>
              </w:rPr>
              <w:t>г. Куйбышев (от камеры м-н «Южный» до ЦТП Южный)</w:t>
            </w:r>
          </w:p>
        </w:tc>
        <w:tc>
          <w:tcPr>
            <w:tcW w:w="754"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по проекту</w:t>
            </w:r>
          </w:p>
        </w:tc>
        <w:tc>
          <w:tcPr>
            <w:tcW w:w="773"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Охранная зона</w:t>
            </w:r>
            <w:r w:rsidRPr="00AF7759">
              <w:rPr>
                <w:rFonts w:ascii="Times New Roman" w:hAnsi="Times New Roman"/>
                <w:vertAlign w:val="superscript"/>
                <w:lang w:eastAsia="ru-RU"/>
              </w:rPr>
              <w:footnoteReference w:id="18"/>
            </w:r>
            <w:r w:rsidRPr="00AF7759">
              <w:rPr>
                <w:rFonts w:ascii="Times New Roman" w:hAnsi="Times New Roman"/>
              </w:rPr>
              <w:t xml:space="preserve"> – 20 м</w:t>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Первая очередь</w:t>
            </w:r>
          </w:p>
        </w:tc>
        <w:tc>
          <w:tcPr>
            <w:tcW w:w="1009"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Предложение разработчиков с учётом Схемы водоснабжения и водоотведения</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rPr>
            </w:pPr>
            <w:r w:rsidRPr="00AF7759">
              <w:rPr>
                <w:rFonts w:ascii="Times New Roman" w:hAnsi="Times New Roman"/>
              </w:rPr>
              <w:t>Водоочистная станция (ВОС)</w:t>
            </w:r>
          </w:p>
        </w:tc>
        <w:tc>
          <w:tcPr>
            <w:tcW w:w="698" w:type="pct"/>
            <w:vAlign w:val="center"/>
          </w:tcPr>
          <w:p w:rsidR="002D1E45" w:rsidRPr="00AF7759" w:rsidRDefault="002D1E45" w:rsidP="00AF7759">
            <w:pPr>
              <w:tabs>
                <w:tab w:val="left" w:pos="1418"/>
              </w:tabs>
              <w:spacing w:after="0" w:line="240" w:lineRule="auto"/>
              <w:rPr>
                <w:rFonts w:ascii="Times New Roman" w:hAnsi="Times New Roman"/>
                <w:lang w:eastAsia="ru-RU"/>
              </w:rPr>
            </w:pPr>
            <w:r w:rsidRPr="00AF7759">
              <w:rPr>
                <w:rFonts w:ascii="Times New Roman" w:hAnsi="Times New Roman"/>
              </w:rPr>
              <w:t>г. Куйбышев</w:t>
            </w:r>
          </w:p>
        </w:tc>
        <w:tc>
          <w:tcPr>
            <w:tcW w:w="754"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13 тыс. м</w:t>
            </w:r>
            <w:r w:rsidRPr="00AF7759">
              <w:rPr>
                <w:rFonts w:ascii="Times New Roman" w:hAnsi="Times New Roman"/>
                <w:vertAlign w:val="superscript"/>
                <w:lang w:eastAsia="ru-RU"/>
              </w:rPr>
              <w:t>3</w:t>
            </w:r>
            <w:r w:rsidRPr="00AF7759">
              <w:rPr>
                <w:rFonts w:ascii="Times New Roman" w:hAnsi="Times New Roman"/>
                <w:lang w:eastAsia="ru-RU"/>
              </w:rPr>
              <w:t>/сут</w:t>
            </w:r>
          </w:p>
        </w:tc>
        <w:tc>
          <w:tcPr>
            <w:tcW w:w="773"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I пояс зоны санитарной охраны</w:t>
            </w:r>
            <w:r w:rsidRPr="00AF7759">
              <w:rPr>
                <w:rFonts w:ascii="Times New Roman" w:hAnsi="Times New Roman"/>
                <w:vertAlign w:val="superscript"/>
                <w:lang w:eastAsia="ru-RU"/>
              </w:rPr>
              <w:footnoteReference w:id="19"/>
            </w:r>
            <w:r w:rsidRPr="00AF7759">
              <w:rPr>
                <w:rFonts w:ascii="Times New Roman" w:hAnsi="Times New Roman"/>
              </w:rPr>
              <w:t xml:space="preserve"> – 30 м</w:t>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Расчётный срок</w:t>
            </w:r>
          </w:p>
        </w:tc>
        <w:tc>
          <w:tcPr>
            <w:tcW w:w="1009"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Предложение разработчиков с учётом Схемы водоснабжения и водоотведения</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rPr>
            </w:pPr>
            <w:r w:rsidRPr="00AF7759">
              <w:rPr>
                <w:rFonts w:ascii="Times New Roman" w:hAnsi="Times New Roman"/>
              </w:rPr>
              <w:t>Водозабор</w:t>
            </w:r>
          </w:p>
        </w:tc>
        <w:tc>
          <w:tcPr>
            <w:tcW w:w="698" w:type="pct"/>
            <w:vAlign w:val="center"/>
          </w:tcPr>
          <w:p w:rsidR="002D1E45" w:rsidRPr="00AF7759" w:rsidRDefault="002D1E45" w:rsidP="00AF7759">
            <w:pPr>
              <w:tabs>
                <w:tab w:val="left" w:pos="1418"/>
              </w:tabs>
              <w:spacing w:after="0" w:line="240" w:lineRule="auto"/>
              <w:rPr>
                <w:rFonts w:ascii="Times New Roman" w:hAnsi="Times New Roman"/>
                <w:lang w:eastAsia="ru-RU"/>
              </w:rPr>
            </w:pPr>
            <w:r w:rsidRPr="00AF7759">
              <w:rPr>
                <w:rFonts w:ascii="Times New Roman" w:hAnsi="Times New Roman"/>
              </w:rPr>
              <w:t>г. Куйбышев, по ул. Бородина</w:t>
            </w:r>
          </w:p>
        </w:tc>
        <w:tc>
          <w:tcPr>
            <w:tcW w:w="754"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1 скважина</w:t>
            </w:r>
          </w:p>
        </w:tc>
        <w:tc>
          <w:tcPr>
            <w:tcW w:w="773"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I пояс зоны санитарной охраны</w:t>
            </w:r>
            <w:r w:rsidRPr="00AF7759">
              <w:rPr>
                <w:rFonts w:ascii="Times New Roman" w:hAnsi="Times New Roman"/>
                <w:vertAlign w:val="superscript"/>
                <w:lang w:eastAsia="ru-RU"/>
              </w:rPr>
              <w:footnoteReference w:id="20"/>
            </w:r>
            <w:r w:rsidRPr="00AF7759">
              <w:rPr>
                <w:rFonts w:ascii="Times New Roman" w:hAnsi="Times New Roman"/>
              </w:rPr>
              <w:t xml:space="preserve"> – 30 м</w:t>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Первая очередь</w:t>
            </w:r>
          </w:p>
        </w:tc>
        <w:tc>
          <w:tcPr>
            <w:tcW w:w="1009"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Предложение разработчиков с учётом Схемы водоснабжения и водоотведения</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rPr>
            </w:pPr>
            <w:r w:rsidRPr="00AF7759">
              <w:rPr>
                <w:rFonts w:ascii="Times New Roman" w:hAnsi="Times New Roman"/>
              </w:rPr>
              <w:t>Водозабор</w:t>
            </w:r>
          </w:p>
        </w:tc>
        <w:tc>
          <w:tcPr>
            <w:tcW w:w="698" w:type="pct"/>
            <w:vAlign w:val="center"/>
          </w:tcPr>
          <w:p w:rsidR="002D1E45" w:rsidRPr="00AF7759" w:rsidRDefault="002D1E45" w:rsidP="00AF7759">
            <w:pPr>
              <w:tabs>
                <w:tab w:val="left" w:pos="1418"/>
              </w:tabs>
              <w:spacing w:after="0" w:line="240" w:lineRule="auto"/>
              <w:rPr>
                <w:rFonts w:ascii="Times New Roman" w:hAnsi="Times New Roman"/>
                <w:lang w:eastAsia="ru-RU"/>
              </w:rPr>
            </w:pPr>
            <w:r w:rsidRPr="00AF7759">
              <w:rPr>
                <w:rFonts w:ascii="Times New Roman" w:hAnsi="Times New Roman"/>
              </w:rPr>
              <w:t>г. Куйбышев, по ул. Артемьева</w:t>
            </w:r>
          </w:p>
        </w:tc>
        <w:tc>
          <w:tcPr>
            <w:tcW w:w="754"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1 скважина</w:t>
            </w:r>
          </w:p>
        </w:tc>
        <w:tc>
          <w:tcPr>
            <w:tcW w:w="773"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I пояс зоны санитарной охраны</w:t>
            </w:r>
            <w:r w:rsidRPr="00AF7759">
              <w:rPr>
                <w:rFonts w:ascii="Times New Roman" w:hAnsi="Times New Roman"/>
                <w:vertAlign w:val="superscript"/>
                <w:lang w:eastAsia="ru-RU"/>
              </w:rPr>
              <w:footnoteReference w:id="21"/>
            </w:r>
            <w:r w:rsidRPr="00AF7759">
              <w:rPr>
                <w:rFonts w:ascii="Times New Roman" w:hAnsi="Times New Roman"/>
              </w:rPr>
              <w:t xml:space="preserve"> – 30 м</w:t>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Расчётный срок</w:t>
            </w:r>
          </w:p>
        </w:tc>
        <w:tc>
          <w:tcPr>
            <w:tcW w:w="1009"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Предложение разработчиков с учётом Схемы водоснабжения и водоотведения</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rPr>
            </w:pPr>
            <w:r w:rsidRPr="00AF7759">
              <w:rPr>
                <w:rFonts w:ascii="Times New Roman" w:hAnsi="Times New Roman"/>
              </w:rPr>
              <w:t>Выгреба полной заводской готовности</w:t>
            </w:r>
          </w:p>
        </w:tc>
        <w:tc>
          <w:tcPr>
            <w:tcW w:w="698" w:type="pct"/>
            <w:vAlign w:val="center"/>
          </w:tcPr>
          <w:p w:rsidR="002D1E45" w:rsidRPr="00AF7759" w:rsidRDefault="002D1E45" w:rsidP="00AF7759">
            <w:pPr>
              <w:tabs>
                <w:tab w:val="left" w:pos="1418"/>
              </w:tabs>
              <w:spacing w:after="0" w:line="240" w:lineRule="auto"/>
              <w:rPr>
                <w:rFonts w:ascii="Times New Roman" w:hAnsi="Times New Roman"/>
                <w:lang w:eastAsia="ru-RU"/>
              </w:rPr>
            </w:pPr>
            <w:r w:rsidRPr="00AF7759">
              <w:rPr>
                <w:rFonts w:ascii="Times New Roman" w:hAnsi="Times New Roman"/>
                <w:lang w:eastAsia="ru-RU"/>
              </w:rPr>
              <w:t>г. Куйбышев (индивидуальная застройка без центрального водоотведения)</w:t>
            </w:r>
          </w:p>
        </w:tc>
        <w:tc>
          <w:tcPr>
            <w:tcW w:w="754"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требует уточнения на этапе проектирования</w:t>
            </w:r>
          </w:p>
        </w:tc>
        <w:tc>
          <w:tcPr>
            <w:tcW w:w="773"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Расчётный срок</w:t>
            </w:r>
          </w:p>
        </w:tc>
        <w:tc>
          <w:tcPr>
            <w:tcW w:w="1009"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Предложение разработчиков с учётом Схемы водоснабжения и водоотведения</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rPr>
            </w:pPr>
            <w:r w:rsidRPr="00AF7759">
              <w:rPr>
                <w:rFonts w:ascii="Times New Roman" w:hAnsi="Times New Roman"/>
              </w:rPr>
              <w:t>Замена колодцев очистки</w:t>
            </w:r>
          </w:p>
        </w:tc>
        <w:tc>
          <w:tcPr>
            <w:tcW w:w="698" w:type="pct"/>
            <w:vAlign w:val="center"/>
          </w:tcPr>
          <w:p w:rsidR="002D1E45" w:rsidRPr="00AF7759" w:rsidRDefault="002D1E45" w:rsidP="00AF7759">
            <w:pPr>
              <w:tabs>
                <w:tab w:val="left" w:pos="1418"/>
              </w:tabs>
              <w:spacing w:after="0" w:line="240" w:lineRule="auto"/>
              <w:rPr>
                <w:rFonts w:ascii="Times New Roman" w:hAnsi="Times New Roman"/>
                <w:lang w:eastAsia="ru-RU"/>
              </w:rPr>
            </w:pPr>
            <w:r w:rsidRPr="00AF7759">
              <w:rPr>
                <w:rFonts w:ascii="Times New Roman" w:hAnsi="Times New Roman"/>
                <w:lang w:eastAsia="ru-RU"/>
              </w:rPr>
              <w:t>г. Куйбышев</w:t>
            </w:r>
          </w:p>
        </w:tc>
        <w:tc>
          <w:tcPr>
            <w:tcW w:w="754"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rPr>
              <w:t>340 шт.</w:t>
            </w:r>
          </w:p>
        </w:tc>
        <w:tc>
          <w:tcPr>
            <w:tcW w:w="773"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Первая очередь</w:t>
            </w:r>
          </w:p>
        </w:tc>
        <w:tc>
          <w:tcPr>
            <w:tcW w:w="1009"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Предложение разработчиков с учётом Схемы водоснабжения и водоотведения</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rPr>
            </w:pPr>
            <w:r w:rsidRPr="00AF7759">
              <w:rPr>
                <w:rFonts w:ascii="Times New Roman" w:hAnsi="Times New Roman"/>
              </w:rPr>
              <w:t>Замена колодцев очистки</w:t>
            </w:r>
          </w:p>
        </w:tc>
        <w:tc>
          <w:tcPr>
            <w:tcW w:w="698" w:type="pct"/>
            <w:vAlign w:val="center"/>
          </w:tcPr>
          <w:p w:rsidR="002D1E45" w:rsidRPr="00AF7759" w:rsidRDefault="002D1E45" w:rsidP="00AF7759">
            <w:pPr>
              <w:tabs>
                <w:tab w:val="left" w:pos="1418"/>
              </w:tabs>
              <w:spacing w:after="0" w:line="240" w:lineRule="auto"/>
              <w:rPr>
                <w:rFonts w:ascii="Times New Roman" w:hAnsi="Times New Roman"/>
                <w:lang w:eastAsia="ru-RU"/>
              </w:rPr>
            </w:pPr>
            <w:r w:rsidRPr="00AF7759">
              <w:rPr>
                <w:rFonts w:ascii="Times New Roman" w:hAnsi="Times New Roman"/>
                <w:lang w:eastAsia="ru-RU"/>
              </w:rPr>
              <w:t>г. Куйбышев</w:t>
            </w:r>
          </w:p>
        </w:tc>
        <w:tc>
          <w:tcPr>
            <w:tcW w:w="754"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rPr>
              <w:t>300 шт.</w:t>
            </w:r>
          </w:p>
        </w:tc>
        <w:tc>
          <w:tcPr>
            <w:tcW w:w="773"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Расчётный срок</w:t>
            </w:r>
          </w:p>
        </w:tc>
        <w:tc>
          <w:tcPr>
            <w:tcW w:w="1009"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Предложение разработчиков с учётом Схемы водоснабжения и водоотведения</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rPr>
            </w:pPr>
            <w:r w:rsidRPr="00AF7759">
              <w:rPr>
                <w:rFonts w:ascii="Times New Roman" w:hAnsi="Times New Roman"/>
              </w:rPr>
              <w:t>Канализация хозяйственно-бытовая (реконструкция)</w:t>
            </w:r>
          </w:p>
        </w:tc>
        <w:tc>
          <w:tcPr>
            <w:tcW w:w="698" w:type="pct"/>
            <w:vAlign w:val="center"/>
          </w:tcPr>
          <w:p w:rsidR="002D1E45" w:rsidRPr="00AF7759" w:rsidRDefault="002D1E45" w:rsidP="00AF7759">
            <w:pPr>
              <w:tabs>
                <w:tab w:val="left" w:pos="1418"/>
              </w:tabs>
              <w:spacing w:after="0" w:line="240" w:lineRule="auto"/>
              <w:rPr>
                <w:rFonts w:ascii="Times New Roman" w:hAnsi="Times New Roman"/>
                <w:lang w:eastAsia="ru-RU"/>
              </w:rPr>
            </w:pPr>
            <w:r w:rsidRPr="00AF7759">
              <w:rPr>
                <w:rFonts w:ascii="Times New Roman" w:hAnsi="Times New Roman"/>
                <w:lang w:eastAsia="ru-RU"/>
              </w:rPr>
              <w:t>г. Куйбышев</w:t>
            </w:r>
          </w:p>
        </w:tc>
        <w:tc>
          <w:tcPr>
            <w:tcW w:w="754"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11,21 км</w:t>
            </w:r>
          </w:p>
          <w:p w:rsidR="002D1E45" w:rsidRPr="00AF7759" w:rsidRDefault="002D1E45" w:rsidP="00AF7759">
            <w:pPr>
              <w:spacing w:after="0" w:line="240" w:lineRule="auto"/>
              <w:jc w:val="center"/>
              <w:rPr>
                <w:rFonts w:ascii="Times New Roman" w:hAnsi="Times New Roman"/>
              </w:rPr>
            </w:pPr>
          </w:p>
        </w:tc>
        <w:tc>
          <w:tcPr>
            <w:tcW w:w="773"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Охранная зона</w:t>
            </w:r>
            <w:r w:rsidRPr="00AF7759">
              <w:rPr>
                <w:rFonts w:ascii="Times New Roman" w:hAnsi="Times New Roman"/>
                <w:vertAlign w:val="superscript"/>
                <w:lang w:eastAsia="ru-RU"/>
              </w:rPr>
              <w:footnoteReference w:id="22"/>
            </w:r>
            <w:r w:rsidRPr="00AF7759">
              <w:rPr>
                <w:rFonts w:ascii="Times New Roman" w:hAnsi="Times New Roman"/>
              </w:rPr>
              <w:t xml:space="preserve"> – 20 м</w:t>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Первая очередь</w:t>
            </w:r>
          </w:p>
        </w:tc>
        <w:tc>
          <w:tcPr>
            <w:tcW w:w="1009"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Предложение разработчиков с учётом Схемы водоснабжения и водоотведения</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rPr>
            </w:pPr>
            <w:r w:rsidRPr="00AF7759">
              <w:rPr>
                <w:rFonts w:ascii="Times New Roman" w:hAnsi="Times New Roman"/>
              </w:rPr>
              <w:t>Канализация хозяйственно-бытовая (реконструкция)</w:t>
            </w:r>
          </w:p>
        </w:tc>
        <w:tc>
          <w:tcPr>
            <w:tcW w:w="698" w:type="pct"/>
            <w:vAlign w:val="center"/>
          </w:tcPr>
          <w:p w:rsidR="002D1E45" w:rsidRPr="00AF7759" w:rsidRDefault="002D1E45" w:rsidP="00AF7759">
            <w:pPr>
              <w:tabs>
                <w:tab w:val="left" w:pos="1418"/>
              </w:tabs>
              <w:spacing w:after="0" w:line="240" w:lineRule="auto"/>
              <w:rPr>
                <w:rFonts w:ascii="Times New Roman" w:hAnsi="Times New Roman"/>
                <w:lang w:eastAsia="ru-RU"/>
              </w:rPr>
            </w:pPr>
            <w:r w:rsidRPr="00AF7759">
              <w:rPr>
                <w:rFonts w:ascii="Times New Roman" w:hAnsi="Times New Roman"/>
                <w:lang w:eastAsia="ru-RU"/>
              </w:rPr>
              <w:t>г. Куйбышев</w:t>
            </w:r>
          </w:p>
        </w:tc>
        <w:tc>
          <w:tcPr>
            <w:tcW w:w="754"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10,0 км</w:t>
            </w:r>
          </w:p>
          <w:p w:rsidR="002D1E45" w:rsidRPr="00AF7759" w:rsidRDefault="002D1E45" w:rsidP="00AF7759">
            <w:pPr>
              <w:spacing w:after="0" w:line="240" w:lineRule="auto"/>
              <w:jc w:val="center"/>
              <w:rPr>
                <w:rFonts w:ascii="Times New Roman" w:hAnsi="Times New Roman"/>
              </w:rPr>
            </w:pPr>
          </w:p>
        </w:tc>
        <w:tc>
          <w:tcPr>
            <w:tcW w:w="773"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Охранная зона</w:t>
            </w:r>
            <w:r w:rsidRPr="00AF7759">
              <w:rPr>
                <w:rFonts w:ascii="Times New Roman" w:hAnsi="Times New Roman"/>
                <w:vertAlign w:val="superscript"/>
                <w:lang w:eastAsia="ru-RU"/>
              </w:rPr>
              <w:footnoteReference w:id="23"/>
            </w:r>
            <w:r w:rsidRPr="00AF7759">
              <w:rPr>
                <w:rFonts w:ascii="Times New Roman" w:hAnsi="Times New Roman"/>
              </w:rPr>
              <w:t xml:space="preserve"> – 20 м</w:t>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Расчётный срок</w:t>
            </w:r>
          </w:p>
        </w:tc>
        <w:tc>
          <w:tcPr>
            <w:tcW w:w="1009"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Предложение разработчиков с учётом Схемы водоснабжения и водоотведения</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rPr>
            </w:pPr>
            <w:r w:rsidRPr="00AF7759">
              <w:rPr>
                <w:rFonts w:ascii="Times New Roman" w:hAnsi="Times New Roman"/>
              </w:rPr>
              <w:t>Канализация хозяйственно-бытовая</w:t>
            </w:r>
          </w:p>
        </w:tc>
        <w:tc>
          <w:tcPr>
            <w:tcW w:w="698" w:type="pct"/>
            <w:vAlign w:val="center"/>
          </w:tcPr>
          <w:p w:rsidR="002D1E45" w:rsidRPr="00AF7759" w:rsidRDefault="002D1E45" w:rsidP="00AF7759">
            <w:pPr>
              <w:tabs>
                <w:tab w:val="left" w:pos="1418"/>
              </w:tabs>
              <w:spacing w:after="0" w:line="240" w:lineRule="auto"/>
              <w:rPr>
                <w:rFonts w:ascii="Times New Roman" w:hAnsi="Times New Roman"/>
                <w:lang w:eastAsia="ru-RU"/>
              </w:rPr>
            </w:pPr>
            <w:r w:rsidRPr="00AF7759">
              <w:rPr>
                <w:rFonts w:ascii="Times New Roman" w:hAnsi="Times New Roman"/>
                <w:lang w:eastAsia="ru-RU"/>
              </w:rPr>
              <w:t>г. Куйбышев</w:t>
            </w:r>
          </w:p>
        </w:tc>
        <w:tc>
          <w:tcPr>
            <w:tcW w:w="754"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20,0 км, Ду 200 мм</w:t>
            </w:r>
          </w:p>
          <w:p w:rsidR="002D1E45" w:rsidRPr="00AF7759" w:rsidRDefault="002D1E45" w:rsidP="00AF7759">
            <w:pPr>
              <w:spacing w:after="0" w:line="240" w:lineRule="auto"/>
              <w:jc w:val="center"/>
              <w:rPr>
                <w:rFonts w:ascii="Times New Roman" w:hAnsi="Times New Roman"/>
              </w:rPr>
            </w:pPr>
          </w:p>
        </w:tc>
        <w:tc>
          <w:tcPr>
            <w:tcW w:w="773"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Охранная зона</w:t>
            </w:r>
            <w:r w:rsidRPr="00AF7759">
              <w:rPr>
                <w:rFonts w:ascii="Times New Roman" w:hAnsi="Times New Roman"/>
                <w:vertAlign w:val="superscript"/>
                <w:lang w:eastAsia="ru-RU"/>
              </w:rPr>
              <w:footnoteReference w:id="24"/>
            </w:r>
            <w:r w:rsidRPr="00AF7759">
              <w:rPr>
                <w:rFonts w:ascii="Times New Roman" w:hAnsi="Times New Roman"/>
              </w:rPr>
              <w:t xml:space="preserve"> – 20 м</w:t>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Расчётный срок</w:t>
            </w:r>
          </w:p>
        </w:tc>
        <w:tc>
          <w:tcPr>
            <w:tcW w:w="1009"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Предложение разработчиков с учётом Схемы водоснабжения и водоотведения</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rPr>
            </w:pPr>
            <w:r w:rsidRPr="00AF7759">
              <w:rPr>
                <w:rFonts w:ascii="Times New Roman" w:hAnsi="Times New Roman"/>
              </w:rPr>
              <w:t>Канализационный коллектор (напорный)</w:t>
            </w:r>
          </w:p>
        </w:tc>
        <w:tc>
          <w:tcPr>
            <w:tcW w:w="698" w:type="pct"/>
            <w:vAlign w:val="center"/>
          </w:tcPr>
          <w:p w:rsidR="002D1E45" w:rsidRPr="00AF7759" w:rsidRDefault="002D1E45" w:rsidP="00AF7759">
            <w:pPr>
              <w:tabs>
                <w:tab w:val="left" w:pos="1418"/>
              </w:tabs>
              <w:spacing w:after="0" w:line="240" w:lineRule="auto"/>
              <w:rPr>
                <w:rFonts w:ascii="Times New Roman" w:hAnsi="Times New Roman"/>
                <w:lang w:eastAsia="ru-RU"/>
              </w:rPr>
            </w:pPr>
            <w:r w:rsidRPr="00AF7759">
              <w:rPr>
                <w:rFonts w:ascii="Times New Roman" w:hAnsi="Times New Roman"/>
                <w:lang w:eastAsia="ru-RU"/>
              </w:rPr>
              <w:t>г. Куйбышев</w:t>
            </w:r>
          </w:p>
        </w:tc>
        <w:tc>
          <w:tcPr>
            <w:tcW w:w="754"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5,0 км, Ду 250 мм</w:t>
            </w:r>
          </w:p>
          <w:p w:rsidR="002D1E45" w:rsidRPr="00AF7759" w:rsidRDefault="002D1E45" w:rsidP="00AF7759">
            <w:pPr>
              <w:spacing w:after="0" w:line="240" w:lineRule="auto"/>
              <w:jc w:val="center"/>
              <w:rPr>
                <w:rFonts w:ascii="Times New Roman" w:hAnsi="Times New Roman"/>
              </w:rPr>
            </w:pPr>
          </w:p>
        </w:tc>
        <w:tc>
          <w:tcPr>
            <w:tcW w:w="773"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Охранная зона</w:t>
            </w:r>
            <w:r w:rsidRPr="00AF7759">
              <w:rPr>
                <w:rFonts w:ascii="Times New Roman" w:hAnsi="Times New Roman"/>
                <w:vertAlign w:val="superscript"/>
                <w:lang w:eastAsia="ru-RU"/>
              </w:rPr>
              <w:footnoteReference w:id="25"/>
            </w:r>
            <w:r w:rsidRPr="00AF7759">
              <w:rPr>
                <w:rFonts w:ascii="Times New Roman" w:hAnsi="Times New Roman"/>
              </w:rPr>
              <w:t xml:space="preserve"> – 20 м</w:t>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Первая очередь</w:t>
            </w:r>
          </w:p>
        </w:tc>
        <w:tc>
          <w:tcPr>
            <w:tcW w:w="1009"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 xml:space="preserve">Предложение разработчиков с учётом комплексной программы развития коммунальной инфраструктуры </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rPr>
            </w:pPr>
            <w:r w:rsidRPr="00AF7759">
              <w:rPr>
                <w:rFonts w:ascii="Times New Roman" w:hAnsi="Times New Roman"/>
              </w:rPr>
              <w:t>Самотёчный канализационный коллектор</w:t>
            </w:r>
          </w:p>
        </w:tc>
        <w:tc>
          <w:tcPr>
            <w:tcW w:w="698" w:type="pct"/>
            <w:vAlign w:val="center"/>
          </w:tcPr>
          <w:p w:rsidR="002D1E45" w:rsidRPr="00AF7759" w:rsidRDefault="002D1E45" w:rsidP="00AF7759">
            <w:pPr>
              <w:tabs>
                <w:tab w:val="left" w:pos="1418"/>
              </w:tabs>
              <w:spacing w:after="0" w:line="240" w:lineRule="auto"/>
              <w:rPr>
                <w:rFonts w:ascii="Times New Roman" w:hAnsi="Times New Roman"/>
                <w:lang w:eastAsia="ru-RU"/>
              </w:rPr>
            </w:pPr>
            <w:r w:rsidRPr="00AF7759">
              <w:rPr>
                <w:rFonts w:ascii="Times New Roman" w:hAnsi="Times New Roman"/>
                <w:lang w:eastAsia="ru-RU"/>
              </w:rPr>
              <w:t>г. Куйбышев</w:t>
            </w:r>
          </w:p>
        </w:tc>
        <w:tc>
          <w:tcPr>
            <w:tcW w:w="754"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20,0 км, Ду 400 мм</w:t>
            </w:r>
          </w:p>
          <w:p w:rsidR="002D1E45" w:rsidRPr="00AF7759" w:rsidRDefault="002D1E45" w:rsidP="00AF7759">
            <w:pPr>
              <w:spacing w:after="0" w:line="240" w:lineRule="auto"/>
              <w:jc w:val="center"/>
              <w:rPr>
                <w:rFonts w:ascii="Times New Roman" w:hAnsi="Times New Roman"/>
              </w:rPr>
            </w:pPr>
          </w:p>
        </w:tc>
        <w:tc>
          <w:tcPr>
            <w:tcW w:w="773"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Охранная зона</w:t>
            </w:r>
            <w:r w:rsidRPr="00AF7759">
              <w:rPr>
                <w:rFonts w:ascii="Times New Roman" w:hAnsi="Times New Roman"/>
                <w:vertAlign w:val="superscript"/>
                <w:lang w:eastAsia="ru-RU"/>
              </w:rPr>
              <w:footnoteReference w:id="26"/>
            </w:r>
            <w:r w:rsidRPr="00AF7759">
              <w:rPr>
                <w:rFonts w:ascii="Times New Roman" w:hAnsi="Times New Roman"/>
              </w:rPr>
              <w:t xml:space="preserve"> – 20 м</w:t>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Расчётный срок</w:t>
            </w:r>
          </w:p>
        </w:tc>
        <w:tc>
          <w:tcPr>
            <w:tcW w:w="1009"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 xml:space="preserve">Предложение разработчиков с учётом комплексной программы развития коммунальной инфраструктуры </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rPr>
            </w:pPr>
            <w:r w:rsidRPr="00AF7759">
              <w:rPr>
                <w:rFonts w:ascii="Times New Roman" w:hAnsi="Times New Roman"/>
              </w:rPr>
              <w:t>Устройство закрытых водостоков ливневой канализации</w:t>
            </w:r>
          </w:p>
        </w:tc>
        <w:tc>
          <w:tcPr>
            <w:tcW w:w="698" w:type="pct"/>
            <w:vAlign w:val="center"/>
          </w:tcPr>
          <w:p w:rsidR="002D1E45" w:rsidRPr="00AF7759" w:rsidRDefault="002D1E45" w:rsidP="00AF7759">
            <w:pPr>
              <w:tabs>
                <w:tab w:val="left" w:pos="1418"/>
              </w:tabs>
              <w:spacing w:after="0" w:line="240" w:lineRule="auto"/>
              <w:rPr>
                <w:rFonts w:ascii="Times New Roman" w:hAnsi="Times New Roman"/>
                <w:lang w:eastAsia="ru-RU"/>
              </w:rPr>
            </w:pPr>
            <w:r w:rsidRPr="00AF7759">
              <w:rPr>
                <w:rFonts w:ascii="Times New Roman" w:hAnsi="Times New Roman"/>
                <w:lang w:eastAsia="ru-RU"/>
              </w:rPr>
              <w:t>г. Куйбышев</w:t>
            </w:r>
          </w:p>
        </w:tc>
        <w:tc>
          <w:tcPr>
            <w:tcW w:w="754"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25 км</w:t>
            </w:r>
          </w:p>
        </w:tc>
        <w:tc>
          <w:tcPr>
            <w:tcW w:w="773"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rPr>
              <w:t>Расчётный срок</w:t>
            </w:r>
          </w:p>
        </w:tc>
        <w:tc>
          <w:tcPr>
            <w:tcW w:w="1009"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Предложение разработчиков с учётом Схемы водоснабжения и водоотведения</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rPr>
            </w:pPr>
            <w:r w:rsidRPr="00AF7759">
              <w:rPr>
                <w:rFonts w:ascii="Times New Roman" w:hAnsi="Times New Roman"/>
              </w:rPr>
              <w:t>Устройство открытых водостоков ливневой канализации</w:t>
            </w:r>
          </w:p>
        </w:tc>
        <w:tc>
          <w:tcPr>
            <w:tcW w:w="698" w:type="pct"/>
            <w:vAlign w:val="center"/>
          </w:tcPr>
          <w:p w:rsidR="002D1E45" w:rsidRPr="00AF7759" w:rsidRDefault="002D1E45" w:rsidP="00AF7759">
            <w:pPr>
              <w:tabs>
                <w:tab w:val="left" w:pos="1418"/>
              </w:tabs>
              <w:spacing w:after="0" w:line="240" w:lineRule="auto"/>
              <w:rPr>
                <w:rFonts w:ascii="Times New Roman" w:hAnsi="Times New Roman"/>
                <w:lang w:eastAsia="ru-RU"/>
              </w:rPr>
            </w:pPr>
            <w:r w:rsidRPr="00AF7759">
              <w:rPr>
                <w:rFonts w:ascii="Times New Roman" w:hAnsi="Times New Roman"/>
                <w:lang w:eastAsia="ru-RU"/>
              </w:rPr>
              <w:t>г. Куйбышев</w:t>
            </w:r>
          </w:p>
        </w:tc>
        <w:tc>
          <w:tcPr>
            <w:tcW w:w="754"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70 км</w:t>
            </w:r>
          </w:p>
        </w:tc>
        <w:tc>
          <w:tcPr>
            <w:tcW w:w="773"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rPr>
              <w:t>Расчётный срок</w:t>
            </w:r>
          </w:p>
        </w:tc>
        <w:tc>
          <w:tcPr>
            <w:tcW w:w="1009"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Предложение разработчиков с учётом Схемы водоснабжения и водоотведения</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rPr>
            </w:pPr>
            <w:r w:rsidRPr="00AF7759">
              <w:rPr>
                <w:rFonts w:ascii="Times New Roman" w:hAnsi="Times New Roman"/>
              </w:rPr>
              <w:t>Существующие теплосети (реконструкция)</w:t>
            </w:r>
            <w:r w:rsidRPr="00AF7759">
              <w:rPr>
                <w:rFonts w:ascii="Times New Roman" w:hAnsi="Times New Roman"/>
                <w:lang w:eastAsia="ru-RU"/>
              </w:rPr>
              <w:t xml:space="preserve"> + ПСД</w:t>
            </w:r>
          </w:p>
        </w:tc>
        <w:tc>
          <w:tcPr>
            <w:tcW w:w="698" w:type="pct"/>
            <w:vAlign w:val="center"/>
          </w:tcPr>
          <w:p w:rsidR="002D1E45" w:rsidRPr="00AF7759" w:rsidRDefault="002D1E45" w:rsidP="00AF7759">
            <w:pPr>
              <w:tabs>
                <w:tab w:val="left" w:pos="1418"/>
              </w:tabs>
              <w:spacing w:after="0" w:line="240" w:lineRule="auto"/>
              <w:rPr>
                <w:rFonts w:ascii="Times New Roman" w:hAnsi="Times New Roman"/>
                <w:lang w:eastAsia="ru-RU"/>
              </w:rPr>
            </w:pPr>
            <w:r w:rsidRPr="00AF7759">
              <w:rPr>
                <w:rFonts w:ascii="Times New Roman" w:hAnsi="Times New Roman"/>
                <w:lang w:eastAsia="ru-RU"/>
              </w:rPr>
              <w:t xml:space="preserve">г. Куйбышев, п. Спиртзавод </w:t>
            </w:r>
          </w:p>
        </w:tc>
        <w:tc>
          <w:tcPr>
            <w:tcW w:w="754"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требует уточнения на этапе проектирования</w:t>
            </w:r>
          </w:p>
          <w:p w:rsidR="002D1E45" w:rsidRPr="00AF7759" w:rsidRDefault="002D1E45" w:rsidP="00AF7759">
            <w:pPr>
              <w:spacing w:after="0" w:line="240" w:lineRule="auto"/>
              <w:jc w:val="center"/>
              <w:rPr>
                <w:rFonts w:ascii="Times New Roman" w:hAnsi="Times New Roman"/>
              </w:rPr>
            </w:pPr>
          </w:p>
        </w:tc>
        <w:tc>
          <w:tcPr>
            <w:tcW w:w="773"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Охранная зона</w:t>
            </w:r>
            <w:r w:rsidRPr="00AF7759">
              <w:rPr>
                <w:rFonts w:ascii="Times New Roman" w:hAnsi="Times New Roman"/>
                <w:vertAlign w:val="superscript"/>
                <w:lang w:eastAsia="ru-RU"/>
              </w:rPr>
              <w:footnoteReference w:id="27"/>
            </w:r>
            <w:r w:rsidRPr="00AF7759">
              <w:rPr>
                <w:rFonts w:ascii="Times New Roman" w:hAnsi="Times New Roman"/>
              </w:rPr>
              <w:t xml:space="preserve"> – от 3 м</w:t>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Первая очередь</w:t>
            </w:r>
          </w:p>
        </w:tc>
        <w:tc>
          <w:tcPr>
            <w:tcW w:w="1009"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Предложение разработчиков с учётом Схемы водоснабжения и водоотведения</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rPr>
            </w:pPr>
            <w:r w:rsidRPr="00AF7759">
              <w:rPr>
                <w:rFonts w:ascii="Times New Roman" w:hAnsi="Times New Roman"/>
              </w:rPr>
              <w:t>Существующие теплосети (реконструкция)</w:t>
            </w:r>
            <w:r w:rsidRPr="00AF7759">
              <w:rPr>
                <w:rFonts w:ascii="Times New Roman" w:hAnsi="Times New Roman"/>
                <w:lang w:eastAsia="ru-RU"/>
              </w:rPr>
              <w:t xml:space="preserve"> + ПСД</w:t>
            </w:r>
          </w:p>
        </w:tc>
        <w:tc>
          <w:tcPr>
            <w:tcW w:w="698" w:type="pct"/>
            <w:vAlign w:val="center"/>
          </w:tcPr>
          <w:p w:rsidR="002D1E45" w:rsidRPr="00AF7759" w:rsidRDefault="002D1E45" w:rsidP="00AF7759">
            <w:pPr>
              <w:tabs>
                <w:tab w:val="left" w:pos="1418"/>
              </w:tabs>
              <w:spacing w:after="0" w:line="240" w:lineRule="auto"/>
              <w:rPr>
                <w:rFonts w:ascii="Times New Roman" w:hAnsi="Times New Roman"/>
                <w:lang w:eastAsia="ru-RU"/>
              </w:rPr>
            </w:pPr>
            <w:r w:rsidRPr="00AF7759">
              <w:rPr>
                <w:rFonts w:ascii="Times New Roman" w:hAnsi="Times New Roman"/>
                <w:lang w:eastAsia="ru-RU"/>
              </w:rPr>
              <w:t>г. Куйбышев, КАОЛВИ</w:t>
            </w:r>
          </w:p>
        </w:tc>
        <w:tc>
          <w:tcPr>
            <w:tcW w:w="754"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требует уточнения на этапе проектирования</w:t>
            </w:r>
          </w:p>
          <w:p w:rsidR="002D1E45" w:rsidRPr="00AF7759" w:rsidRDefault="002D1E45" w:rsidP="00AF7759">
            <w:pPr>
              <w:spacing w:after="0" w:line="240" w:lineRule="auto"/>
              <w:jc w:val="center"/>
              <w:rPr>
                <w:rFonts w:ascii="Times New Roman" w:hAnsi="Times New Roman"/>
              </w:rPr>
            </w:pPr>
          </w:p>
        </w:tc>
        <w:tc>
          <w:tcPr>
            <w:tcW w:w="773"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Охранная зона</w:t>
            </w:r>
            <w:r w:rsidRPr="00AF7759">
              <w:rPr>
                <w:rFonts w:ascii="Times New Roman" w:hAnsi="Times New Roman"/>
                <w:vertAlign w:val="superscript"/>
                <w:lang w:eastAsia="ru-RU"/>
              </w:rPr>
              <w:footnoteReference w:id="28"/>
            </w:r>
            <w:r w:rsidRPr="00AF7759">
              <w:rPr>
                <w:rFonts w:ascii="Times New Roman" w:hAnsi="Times New Roman"/>
              </w:rPr>
              <w:t xml:space="preserve"> – от 3 м</w:t>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Первая очередь</w:t>
            </w:r>
          </w:p>
        </w:tc>
        <w:tc>
          <w:tcPr>
            <w:tcW w:w="1009"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Предложение разработчиков с учётом Схемы водоснабжения и водоотведения</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rPr>
            </w:pPr>
            <w:r w:rsidRPr="00AF7759">
              <w:rPr>
                <w:rFonts w:ascii="Times New Roman" w:hAnsi="Times New Roman"/>
              </w:rPr>
              <w:t xml:space="preserve">Теплосети </w:t>
            </w:r>
          </w:p>
        </w:tc>
        <w:tc>
          <w:tcPr>
            <w:tcW w:w="698" w:type="pct"/>
            <w:vAlign w:val="center"/>
          </w:tcPr>
          <w:p w:rsidR="002D1E45" w:rsidRPr="00AF7759" w:rsidRDefault="002D1E45" w:rsidP="00AF7759">
            <w:pPr>
              <w:tabs>
                <w:tab w:val="left" w:pos="1418"/>
              </w:tabs>
              <w:spacing w:after="0" w:line="240" w:lineRule="auto"/>
              <w:rPr>
                <w:rFonts w:ascii="Times New Roman" w:hAnsi="Times New Roman"/>
                <w:lang w:eastAsia="ru-RU"/>
              </w:rPr>
            </w:pPr>
            <w:r w:rsidRPr="00AF7759">
              <w:rPr>
                <w:rFonts w:ascii="Times New Roman" w:hAnsi="Times New Roman"/>
                <w:lang w:eastAsia="ru-RU"/>
              </w:rPr>
              <w:t>г. Куйбышев от газовой котельной Школы-Интерната до существующих сетей котельной Лыжной базы</w:t>
            </w:r>
          </w:p>
        </w:tc>
        <w:tc>
          <w:tcPr>
            <w:tcW w:w="754"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требует уточнения на этапе проектирования</w:t>
            </w:r>
          </w:p>
          <w:p w:rsidR="002D1E45" w:rsidRPr="00AF7759" w:rsidRDefault="002D1E45" w:rsidP="00AF7759">
            <w:pPr>
              <w:spacing w:after="0" w:line="240" w:lineRule="auto"/>
              <w:jc w:val="center"/>
              <w:rPr>
                <w:rFonts w:ascii="Times New Roman" w:hAnsi="Times New Roman"/>
              </w:rPr>
            </w:pPr>
          </w:p>
        </w:tc>
        <w:tc>
          <w:tcPr>
            <w:tcW w:w="773"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Охранная зона</w:t>
            </w:r>
            <w:r w:rsidRPr="00AF7759">
              <w:rPr>
                <w:rFonts w:ascii="Times New Roman" w:hAnsi="Times New Roman"/>
                <w:vertAlign w:val="superscript"/>
                <w:lang w:eastAsia="ru-RU"/>
              </w:rPr>
              <w:footnoteReference w:id="29"/>
            </w:r>
            <w:r w:rsidRPr="00AF7759">
              <w:rPr>
                <w:rFonts w:ascii="Times New Roman" w:hAnsi="Times New Roman"/>
              </w:rPr>
              <w:t xml:space="preserve"> – от 3 м</w:t>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Расчётный срок</w:t>
            </w:r>
          </w:p>
        </w:tc>
        <w:tc>
          <w:tcPr>
            <w:tcW w:w="1009"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Предложение разработчиков с учётом Схемы водоснабжения и водоотведения</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rPr>
            </w:pPr>
            <w:r w:rsidRPr="00AF7759">
              <w:rPr>
                <w:rFonts w:ascii="Times New Roman" w:hAnsi="Times New Roman"/>
              </w:rPr>
              <w:t xml:space="preserve">Теплосети </w:t>
            </w:r>
          </w:p>
        </w:tc>
        <w:tc>
          <w:tcPr>
            <w:tcW w:w="698" w:type="pct"/>
            <w:vAlign w:val="center"/>
          </w:tcPr>
          <w:p w:rsidR="002D1E45" w:rsidRPr="00AF7759" w:rsidRDefault="002D1E45" w:rsidP="00AF7759">
            <w:pPr>
              <w:tabs>
                <w:tab w:val="left" w:pos="1418"/>
              </w:tabs>
              <w:spacing w:after="0" w:line="240" w:lineRule="auto"/>
              <w:rPr>
                <w:rFonts w:ascii="Times New Roman" w:hAnsi="Times New Roman"/>
                <w:lang w:eastAsia="ru-RU"/>
              </w:rPr>
            </w:pPr>
            <w:r w:rsidRPr="00AF7759">
              <w:rPr>
                <w:rFonts w:ascii="Times New Roman" w:hAnsi="Times New Roman"/>
                <w:lang w:eastAsia="ru-RU"/>
              </w:rPr>
              <w:t>г. Куйбышев от существующих сетей ул. Советская по ул. Кооперативная</w:t>
            </w:r>
          </w:p>
        </w:tc>
        <w:tc>
          <w:tcPr>
            <w:tcW w:w="754"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требует уточнения на этапе проектирования</w:t>
            </w:r>
          </w:p>
          <w:p w:rsidR="002D1E45" w:rsidRPr="00AF7759" w:rsidRDefault="002D1E45" w:rsidP="00AF7759">
            <w:pPr>
              <w:spacing w:after="0" w:line="240" w:lineRule="auto"/>
              <w:jc w:val="center"/>
              <w:rPr>
                <w:rFonts w:ascii="Times New Roman" w:hAnsi="Times New Roman"/>
              </w:rPr>
            </w:pPr>
          </w:p>
        </w:tc>
        <w:tc>
          <w:tcPr>
            <w:tcW w:w="773"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Охранная зона</w:t>
            </w:r>
            <w:r w:rsidRPr="00AF7759">
              <w:rPr>
                <w:rFonts w:ascii="Times New Roman" w:hAnsi="Times New Roman"/>
                <w:vertAlign w:val="superscript"/>
                <w:lang w:eastAsia="ru-RU"/>
              </w:rPr>
              <w:footnoteReference w:id="30"/>
            </w:r>
            <w:r w:rsidRPr="00AF7759">
              <w:rPr>
                <w:rFonts w:ascii="Times New Roman" w:hAnsi="Times New Roman"/>
              </w:rPr>
              <w:t xml:space="preserve"> – от 3 м</w:t>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Расчётный срок</w:t>
            </w:r>
          </w:p>
        </w:tc>
        <w:tc>
          <w:tcPr>
            <w:tcW w:w="1009"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Предложение разработчиков с учётом Схемы водоснабжения и водоотведения</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rPr>
            </w:pPr>
            <w:r w:rsidRPr="00AF7759">
              <w:rPr>
                <w:rFonts w:ascii="Times New Roman" w:hAnsi="Times New Roman"/>
              </w:rPr>
              <w:t xml:space="preserve">Модульная газовая котельная </w:t>
            </w:r>
          </w:p>
        </w:tc>
        <w:tc>
          <w:tcPr>
            <w:tcW w:w="698" w:type="pct"/>
            <w:vAlign w:val="center"/>
          </w:tcPr>
          <w:p w:rsidR="002D1E45" w:rsidRPr="00AF7759" w:rsidRDefault="002D1E45" w:rsidP="00AF7759">
            <w:pPr>
              <w:tabs>
                <w:tab w:val="left" w:pos="1418"/>
              </w:tabs>
              <w:spacing w:after="0" w:line="240" w:lineRule="auto"/>
              <w:rPr>
                <w:rFonts w:ascii="Times New Roman" w:hAnsi="Times New Roman"/>
                <w:lang w:eastAsia="ru-RU"/>
              </w:rPr>
            </w:pPr>
            <w:r w:rsidRPr="00AF7759">
              <w:rPr>
                <w:rFonts w:ascii="Times New Roman" w:hAnsi="Times New Roman"/>
                <w:lang w:eastAsia="ru-RU"/>
              </w:rPr>
              <w:t>г. Куйбышев</w:t>
            </w:r>
            <w:r w:rsidRPr="00AF7759">
              <w:rPr>
                <w:rFonts w:ascii="Times New Roman" w:hAnsi="Times New Roman"/>
              </w:rPr>
              <w:t xml:space="preserve"> по ул. Невского</w:t>
            </w:r>
          </w:p>
        </w:tc>
        <w:tc>
          <w:tcPr>
            <w:tcW w:w="754"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требует уточнения на этапе проектирования</w:t>
            </w:r>
          </w:p>
          <w:p w:rsidR="002D1E45" w:rsidRPr="00AF7759" w:rsidRDefault="002D1E45" w:rsidP="00AF7759">
            <w:pPr>
              <w:spacing w:after="0" w:line="240" w:lineRule="auto"/>
              <w:jc w:val="center"/>
              <w:rPr>
                <w:rFonts w:ascii="Times New Roman" w:hAnsi="Times New Roman"/>
              </w:rPr>
            </w:pPr>
          </w:p>
        </w:tc>
        <w:tc>
          <w:tcPr>
            <w:tcW w:w="773"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Согласно расчётам</w:t>
            </w:r>
            <w:r w:rsidRPr="00AF7759">
              <w:rPr>
                <w:rFonts w:ascii="Times New Roman" w:hAnsi="Times New Roman"/>
                <w:vertAlign w:val="superscript"/>
                <w:lang w:eastAsia="ru-RU"/>
              </w:rPr>
              <w:footnoteReference w:id="31"/>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Расчётный срок</w:t>
            </w:r>
          </w:p>
        </w:tc>
        <w:tc>
          <w:tcPr>
            <w:tcW w:w="1009"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Предложение разработчиков с учётом Схемы теплоснабжения</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rPr>
            </w:pPr>
            <w:r w:rsidRPr="00AF7759">
              <w:rPr>
                <w:rFonts w:ascii="Times New Roman" w:hAnsi="Times New Roman"/>
              </w:rPr>
              <w:t>Реконструкция котельной «Звёздная»</w:t>
            </w:r>
          </w:p>
        </w:tc>
        <w:tc>
          <w:tcPr>
            <w:tcW w:w="698" w:type="pct"/>
            <w:vAlign w:val="center"/>
          </w:tcPr>
          <w:p w:rsidR="002D1E45" w:rsidRPr="00AF7759" w:rsidRDefault="002D1E45" w:rsidP="00AF7759">
            <w:pPr>
              <w:tabs>
                <w:tab w:val="left" w:pos="1418"/>
              </w:tabs>
              <w:spacing w:after="0" w:line="240" w:lineRule="auto"/>
              <w:rPr>
                <w:rFonts w:ascii="Times New Roman" w:hAnsi="Times New Roman"/>
                <w:lang w:eastAsia="ru-RU"/>
              </w:rPr>
            </w:pPr>
            <w:r w:rsidRPr="00AF7759">
              <w:rPr>
                <w:rFonts w:ascii="Times New Roman" w:hAnsi="Times New Roman"/>
                <w:lang w:eastAsia="ru-RU"/>
              </w:rPr>
              <w:t>г. Куйбышев</w:t>
            </w:r>
          </w:p>
        </w:tc>
        <w:tc>
          <w:tcPr>
            <w:tcW w:w="754"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 xml:space="preserve">замена сетевых насосов на насосы меньшей мощности </w:t>
            </w:r>
          </w:p>
        </w:tc>
        <w:tc>
          <w:tcPr>
            <w:tcW w:w="773"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Согласно расчётам</w:t>
            </w:r>
            <w:r w:rsidRPr="00AF7759">
              <w:rPr>
                <w:rFonts w:ascii="Times New Roman" w:hAnsi="Times New Roman"/>
                <w:vertAlign w:val="superscript"/>
                <w:lang w:eastAsia="ru-RU"/>
              </w:rPr>
              <w:footnoteReference w:id="32"/>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Расчётный срок</w:t>
            </w:r>
          </w:p>
        </w:tc>
        <w:tc>
          <w:tcPr>
            <w:tcW w:w="1009"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Предложение разработчиков с учётом Схемы теплоснабжения</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rPr>
            </w:pPr>
            <w:r w:rsidRPr="00AF7759">
              <w:rPr>
                <w:rFonts w:ascii="Times New Roman" w:hAnsi="Times New Roman"/>
              </w:rPr>
              <w:t>Реконструкция котельной «Спиртзавод»</w:t>
            </w:r>
          </w:p>
        </w:tc>
        <w:tc>
          <w:tcPr>
            <w:tcW w:w="698" w:type="pct"/>
            <w:vAlign w:val="center"/>
          </w:tcPr>
          <w:p w:rsidR="002D1E45" w:rsidRPr="00AF7759" w:rsidRDefault="002D1E45" w:rsidP="00AF7759">
            <w:pPr>
              <w:tabs>
                <w:tab w:val="left" w:pos="1418"/>
              </w:tabs>
              <w:spacing w:after="0" w:line="240" w:lineRule="auto"/>
              <w:rPr>
                <w:rFonts w:ascii="Times New Roman" w:hAnsi="Times New Roman"/>
                <w:lang w:eastAsia="ru-RU"/>
              </w:rPr>
            </w:pPr>
            <w:r w:rsidRPr="00AF7759">
              <w:rPr>
                <w:rFonts w:ascii="Times New Roman" w:hAnsi="Times New Roman"/>
                <w:lang w:eastAsia="ru-RU"/>
              </w:rPr>
              <w:t>г. Куйбышев</w:t>
            </w:r>
          </w:p>
        </w:tc>
        <w:tc>
          <w:tcPr>
            <w:tcW w:w="754"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 xml:space="preserve">установка 2-х газовых горелок в существующие угольные котлы </w:t>
            </w:r>
          </w:p>
        </w:tc>
        <w:tc>
          <w:tcPr>
            <w:tcW w:w="773"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Согласно расчётам</w:t>
            </w:r>
            <w:r w:rsidRPr="00AF7759">
              <w:rPr>
                <w:rFonts w:ascii="Times New Roman" w:hAnsi="Times New Roman"/>
                <w:vertAlign w:val="superscript"/>
                <w:lang w:eastAsia="ru-RU"/>
              </w:rPr>
              <w:footnoteReference w:id="33"/>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Расчётный срок</w:t>
            </w:r>
          </w:p>
        </w:tc>
        <w:tc>
          <w:tcPr>
            <w:tcW w:w="1009"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Предложение разработчиков с учётом Схемы теплоснабжения</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rPr>
            </w:pPr>
            <w:r w:rsidRPr="00AF7759">
              <w:rPr>
                <w:rFonts w:ascii="Times New Roman" w:hAnsi="Times New Roman"/>
              </w:rPr>
              <w:t xml:space="preserve">Газопровод низкого давления </w:t>
            </w:r>
          </w:p>
        </w:tc>
        <w:tc>
          <w:tcPr>
            <w:tcW w:w="698" w:type="pct"/>
            <w:vAlign w:val="center"/>
          </w:tcPr>
          <w:p w:rsidR="002D1E45" w:rsidRPr="00AF7759" w:rsidRDefault="002D1E45" w:rsidP="00AF7759">
            <w:pPr>
              <w:tabs>
                <w:tab w:val="left" w:pos="1418"/>
              </w:tabs>
              <w:spacing w:after="0" w:line="240" w:lineRule="auto"/>
              <w:rPr>
                <w:rFonts w:ascii="Times New Roman" w:hAnsi="Times New Roman"/>
                <w:lang w:eastAsia="ru-RU"/>
              </w:rPr>
            </w:pPr>
            <w:r w:rsidRPr="00AF7759">
              <w:rPr>
                <w:rFonts w:ascii="Times New Roman" w:hAnsi="Times New Roman"/>
                <w:lang w:eastAsia="ru-RU"/>
              </w:rPr>
              <w:t>г. Куйбышев</w:t>
            </w:r>
            <w:r w:rsidRPr="00AF7759">
              <w:rPr>
                <w:rFonts w:ascii="Times New Roman" w:hAnsi="Times New Roman"/>
              </w:rPr>
              <w:t xml:space="preserve"> по ул. Омская до котельной Спиртзавода</w:t>
            </w:r>
          </w:p>
        </w:tc>
        <w:tc>
          <w:tcPr>
            <w:tcW w:w="754"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требуется уточнение на этапе проектирования</w:t>
            </w:r>
          </w:p>
        </w:tc>
        <w:tc>
          <w:tcPr>
            <w:tcW w:w="773"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Охранная зона</w:t>
            </w:r>
            <w:r w:rsidRPr="00AF7759">
              <w:rPr>
                <w:rFonts w:ascii="Times New Roman" w:hAnsi="Times New Roman"/>
                <w:vertAlign w:val="superscript"/>
              </w:rPr>
              <w:footnoteReference w:id="34"/>
            </w:r>
            <w:r w:rsidRPr="00AF7759">
              <w:rPr>
                <w:rFonts w:ascii="Times New Roman" w:hAnsi="Times New Roman"/>
              </w:rPr>
              <w:t>:</w:t>
            </w:r>
          </w:p>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распределительный газопровод – 4-5 м</w:t>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Расчётный срок</w:t>
            </w:r>
          </w:p>
        </w:tc>
        <w:tc>
          <w:tcPr>
            <w:tcW w:w="1009"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Предложение разработчиков с учётом Схемы теплоснабжения</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rPr>
            </w:pPr>
            <w:r w:rsidRPr="00AF7759">
              <w:rPr>
                <w:rFonts w:ascii="Times New Roman" w:hAnsi="Times New Roman"/>
              </w:rPr>
              <w:t xml:space="preserve">Газопровод низкого давления для подключения газовой котельной </w:t>
            </w:r>
          </w:p>
        </w:tc>
        <w:tc>
          <w:tcPr>
            <w:tcW w:w="698" w:type="pct"/>
            <w:vAlign w:val="center"/>
          </w:tcPr>
          <w:p w:rsidR="002D1E45" w:rsidRPr="00AF7759" w:rsidRDefault="002D1E45" w:rsidP="00AF7759">
            <w:pPr>
              <w:tabs>
                <w:tab w:val="left" w:pos="1418"/>
              </w:tabs>
              <w:spacing w:after="0" w:line="240" w:lineRule="auto"/>
              <w:rPr>
                <w:rFonts w:ascii="Times New Roman" w:hAnsi="Times New Roman"/>
                <w:lang w:eastAsia="ru-RU"/>
              </w:rPr>
            </w:pPr>
            <w:r w:rsidRPr="00AF7759">
              <w:rPr>
                <w:rFonts w:ascii="Times New Roman" w:hAnsi="Times New Roman"/>
                <w:lang w:eastAsia="ru-RU"/>
              </w:rPr>
              <w:t>г. Куйбышев</w:t>
            </w:r>
            <w:r w:rsidRPr="00AF7759">
              <w:rPr>
                <w:rFonts w:ascii="Times New Roman" w:hAnsi="Times New Roman"/>
              </w:rPr>
              <w:t xml:space="preserve"> по ул. Невского</w:t>
            </w:r>
          </w:p>
        </w:tc>
        <w:tc>
          <w:tcPr>
            <w:tcW w:w="754"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требуется уточнение на этапе проектирования</w:t>
            </w:r>
          </w:p>
        </w:tc>
        <w:tc>
          <w:tcPr>
            <w:tcW w:w="773"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Охранная зона</w:t>
            </w:r>
            <w:r w:rsidRPr="00AF7759">
              <w:rPr>
                <w:rFonts w:ascii="Times New Roman" w:hAnsi="Times New Roman"/>
                <w:vertAlign w:val="superscript"/>
              </w:rPr>
              <w:footnoteReference w:id="35"/>
            </w:r>
            <w:r w:rsidRPr="00AF7759">
              <w:rPr>
                <w:rFonts w:ascii="Times New Roman" w:hAnsi="Times New Roman"/>
              </w:rPr>
              <w:t>:</w:t>
            </w:r>
          </w:p>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распределительный газопровод – 4-5 м</w:t>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Расчётный срок</w:t>
            </w:r>
          </w:p>
        </w:tc>
        <w:tc>
          <w:tcPr>
            <w:tcW w:w="1009"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Предложение разработчиков с учётом Схемы теплоснабжения</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rPr>
            </w:pPr>
            <w:r w:rsidRPr="00AF7759">
              <w:rPr>
                <w:rFonts w:ascii="Times New Roman" w:hAnsi="Times New Roman"/>
              </w:rPr>
              <w:t xml:space="preserve">Газопровод низкого давления для подключения газовой котельной </w:t>
            </w:r>
          </w:p>
        </w:tc>
        <w:tc>
          <w:tcPr>
            <w:tcW w:w="698" w:type="pct"/>
            <w:vAlign w:val="center"/>
          </w:tcPr>
          <w:p w:rsidR="002D1E45" w:rsidRPr="00AF7759" w:rsidRDefault="002D1E45" w:rsidP="00AF7759">
            <w:pPr>
              <w:tabs>
                <w:tab w:val="left" w:pos="1418"/>
              </w:tabs>
              <w:spacing w:after="0" w:line="240" w:lineRule="auto"/>
              <w:rPr>
                <w:rFonts w:ascii="Times New Roman" w:hAnsi="Times New Roman"/>
                <w:lang w:eastAsia="ru-RU"/>
              </w:rPr>
            </w:pPr>
            <w:r w:rsidRPr="00AF7759">
              <w:rPr>
                <w:rFonts w:ascii="Times New Roman" w:hAnsi="Times New Roman"/>
                <w:lang w:eastAsia="ru-RU"/>
              </w:rPr>
              <w:t>г. Куйбышев</w:t>
            </w:r>
            <w:r w:rsidRPr="00AF7759">
              <w:rPr>
                <w:rFonts w:ascii="Times New Roman" w:hAnsi="Times New Roman"/>
              </w:rPr>
              <w:t xml:space="preserve"> ТОС «Заречный»</w:t>
            </w:r>
          </w:p>
        </w:tc>
        <w:tc>
          <w:tcPr>
            <w:tcW w:w="754"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требуется уточнение на этапе проектирования</w:t>
            </w:r>
          </w:p>
        </w:tc>
        <w:tc>
          <w:tcPr>
            <w:tcW w:w="773"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Охранная зона</w:t>
            </w:r>
            <w:r w:rsidRPr="00AF7759">
              <w:rPr>
                <w:rFonts w:ascii="Times New Roman" w:hAnsi="Times New Roman"/>
                <w:vertAlign w:val="superscript"/>
              </w:rPr>
              <w:footnoteReference w:id="36"/>
            </w:r>
            <w:r w:rsidRPr="00AF7759">
              <w:rPr>
                <w:rFonts w:ascii="Times New Roman" w:hAnsi="Times New Roman"/>
              </w:rPr>
              <w:t>:</w:t>
            </w:r>
          </w:p>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распределительный газопровод – 4-5 м</w:t>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Первая очередь</w:t>
            </w:r>
          </w:p>
        </w:tc>
        <w:tc>
          <w:tcPr>
            <w:tcW w:w="1009"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Предложение разработчиков с учётом Схемы газоснабжения</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lang w:eastAsia="ru-RU"/>
              </w:rPr>
            </w:pPr>
            <w:r w:rsidRPr="00AF7759">
              <w:rPr>
                <w:rFonts w:ascii="Times New Roman" w:hAnsi="Times New Roman"/>
              </w:rPr>
              <w:t>Трансформаторная подстанция</w:t>
            </w:r>
          </w:p>
        </w:tc>
        <w:tc>
          <w:tcPr>
            <w:tcW w:w="698" w:type="pct"/>
            <w:vAlign w:val="center"/>
          </w:tcPr>
          <w:p w:rsidR="002D1E45" w:rsidRPr="00AF7759" w:rsidRDefault="002D1E45" w:rsidP="00AF7759">
            <w:pPr>
              <w:tabs>
                <w:tab w:val="left" w:pos="1418"/>
              </w:tabs>
              <w:spacing w:after="0" w:line="240" w:lineRule="auto"/>
              <w:rPr>
                <w:rFonts w:ascii="Times New Roman" w:hAnsi="Times New Roman"/>
                <w:lang w:eastAsia="ru-RU"/>
              </w:rPr>
            </w:pPr>
            <w:r w:rsidRPr="00AF7759">
              <w:rPr>
                <w:rFonts w:ascii="Times New Roman" w:hAnsi="Times New Roman"/>
                <w:lang w:eastAsia="ru-RU"/>
              </w:rPr>
              <w:t>г. Куйбышев,</w:t>
            </w:r>
            <w:r w:rsidRPr="00AF7759">
              <w:rPr>
                <w:rFonts w:ascii="Times New Roman" w:hAnsi="Times New Roman"/>
              </w:rPr>
              <w:t xml:space="preserve"> в районах новой застройки</w:t>
            </w:r>
          </w:p>
        </w:tc>
        <w:tc>
          <w:tcPr>
            <w:tcW w:w="754" w:type="pct"/>
            <w:vAlign w:val="center"/>
          </w:tcPr>
          <w:p w:rsidR="002D1E45" w:rsidRPr="00AF7759" w:rsidRDefault="002D1E45" w:rsidP="00AF7759">
            <w:pPr>
              <w:tabs>
                <w:tab w:val="left" w:pos="1418"/>
              </w:tabs>
              <w:spacing w:after="0" w:line="240" w:lineRule="auto"/>
              <w:jc w:val="center"/>
              <w:rPr>
                <w:rFonts w:ascii="Times New Roman" w:hAnsi="Times New Roman"/>
              </w:rPr>
            </w:pPr>
            <w:r w:rsidRPr="00AF7759">
              <w:rPr>
                <w:rFonts w:ascii="Times New Roman" w:hAnsi="Times New Roman"/>
              </w:rPr>
              <w:t>20 шт.</w:t>
            </w:r>
          </w:p>
        </w:tc>
        <w:tc>
          <w:tcPr>
            <w:tcW w:w="773"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Охранная зона</w:t>
            </w:r>
            <w:r w:rsidRPr="00AF7759">
              <w:rPr>
                <w:rFonts w:ascii="Times New Roman" w:hAnsi="Times New Roman"/>
                <w:vertAlign w:val="superscript"/>
              </w:rPr>
              <w:footnoteReference w:id="37"/>
            </w:r>
            <w:r w:rsidRPr="00AF7759">
              <w:rPr>
                <w:rFonts w:ascii="Times New Roman" w:hAnsi="Times New Roman"/>
              </w:rPr>
              <w:t xml:space="preserve"> – 20 м</w:t>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Расчётный срок</w:t>
            </w:r>
          </w:p>
        </w:tc>
        <w:tc>
          <w:tcPr>
            <w:tcW w:w="10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rPr>
              <w:t xml:space="preserve">Предложение разработчиков </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lang w:eastAsia="ru-RU"/>
              </w:rPr>
            </w:pPr>
            <w:r w:rsidRPr="00AF7759">
              <w:rPr>
                <w:rFonts w:ascii="Times New Roman" w:hAnsi="Times New Roman"/>
              </w:rPr>
              <w:t>Реконструкция электросетей 10/0,4кВ</w:t>
            </w:r>
          </w:p>
        </w:tc>
        <w:tc>
          <w:tcPr>
            <w:tcW w:w="698" w:type="pct"/>
            <w:vAlign w:val="center"/>
          </w:tcPr>
          <w:p w:rsidR="002D1E45" w:rsidRPr="00AF7759" w:rsidRDefault="002D1E45" w:rsidP="00AF7759">
            <w:pPr>
              <w:tabs>
                <w:tab w:val="left" w:pos="1418"/>
              </w:tabs>
              <w:spacing w:after="0" w:line="240" w:lineRule="auto"/>
              <w:rPr>
                <w:rFonts w:ascii="Times New Roman" w:hAnsi="Times New Roman"/>
                <w:lang w:eastAsia="ru-RU"/>
              </w:rPr>
            </w:pPr>
            <w:r w:rsidRPr="00AF7759">
              <w:rPr>
                <w:rFonts w:ascii="Times New Roman" w:hAnsi="Times New Roman"/>
                <w:lang w:eastAsia="ru-RU"/>
              </w:rPr>
              <w:t>г. Куйбышев,</w:t>
            </w:r>
            <w:r w:rsidRPr="00AF7759">
              <w:rPr>
                <w:rFonts w:ascii="Times New Roman" w:hAnsi="Times New Roman"/>
              </w:rPr>
              <w:t xml:space="preserve"> на п. Заводской – пер. Заводской</w:t>
            </w:r>
          </w:p>
        </w:tc>
        <w:tc>
          <w:tcPr>
            <w:tcW w:w="754" w:type="pct"/>
            <w:vAlign w:val="center"/>
          </w:tcPr>
          <w:p w:rsidR="002D1E45" w:rsidRPr="00AF7759" w:rsidRDefault="002D1E45" w:rsidP="00AF7759">
            <w:pPr>
              <w:tabs>
                <w:tab w:val="left" w:pos="1418"/>
              </w:tabs>
              <w:spacing w:after="0" w:line="240" w:lineRule="auto"/>
              <w:jc w:val="center"/>
              <w:rPr>
                <w:rFonts w:ascii="Times New Roman" w:hAnsi="Times New Roman"/>
              </w:rPr>
            </w:pPr>
            <w:r w:rsidRPr="00AF7759">
              <w:rPr>
                <w:rFonts w:ascii="Times New Roman" w:hAnsi="Times New Roman"/>
              </w:rPr>
              <w:t>КТПН 10/0,4кВ-160кВА, ВЛ-10кВ, ВЛИ-0,4кВ</w:t>
            </w:r>
          </w:p>
        </w:tc>
        <w:tc>
          <w:tcPr>
            <w:tcW w:w="773"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Охранная зона</w:t>
            </w:r>
            <w:r w:rsidRPr="00AF7759">
              <w:rPr>
                <w:rFonts w:ascii="Times New Roman" w:hAnsi="Times New Roman"/>
                <w:vertAlign w:val="superscript"/>
              </w:rPr>
              <w:footnoteReference w:id="38"/>
            </w:r>
            <w:r w:rsidRPr="00AF7759">
              <w:rPr>
                <w:rFonts w:ascii="Times New Roman" w:hAnsi="Times New Roman"/>
              </w:rPr>
              <w:t xml:space="preserve"> – 4 м</w:t>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rPr>
              <w:t>Первая очередь</w:t>
            </w:r>
          </w:p>
        </w:tc>
        <w:tc>
          <w:tcPr>
            <w:tcW w:w="10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rPr>
              <w:t xml:space="preserve">Предложение разработчиков с учётом комплексной программы развития коммунальной инфраструктуры </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lang w:eastAsia="ru-RU"/>
              </w:rPr>
            </w:pPr>
            <w:r w:rsidRPr="00AF7759">
              <w:rPr>
                <w:rFonts w:ascii="Times New Roman" w:hAnsi="Times New Roman"/>
              </w:rPr>
              <w:t>Реконструкция электросетей 10/0,4кВ</w:t>
            </w:r>
          </w:p>
        </w:tc>
        <w:tc>
          <w:tcPr>
            <w:tcW w:w="698" w:type="pct"/>
            <w:vAlign w:val="center"/>
          </w:tcPr>
          <w:p w:rsidR="002D1E45" w:rsidRPr="00AF7759" w:rsidRDefault="002D1E45" w:rsidP="00AF7759">
            <w:pPr>
              <w:tabs>
                <w:tab w:val="left" w:pos="1418"/>
              </w:tabs>
              <w:spacing w:after="0" w:line="240" w:lineRule="auto"/>
              <w:rPr>
                <w:rFonts w:ascii="Times New Roman" w:hAnsi="Times New Roman"/>
                <w:lang w:eastAsia="ru-RU"/>
              </w:rPr>
            </w:pPr>
            <w:r w:rsidRPr="00AF7759">
              <w:rPr>
                <w:rFonts w:ascii="Times New Roman" w:hAnsi="Times New Roman"/>
                <w:lang w:eastAsia="ru-RU"/>
              </w:rPr>
              <w:t>г. Куйбышев,</w:t>
            </w:r>
            <w:r w:rsidRPr="00AF7759">
              <w:rPr>
                <w:rFonts w:ascii="Times New Roman" w:hAnsi="Times New Roman"/>
              </w:rPr>
              <w:t xml:space="preserve"> на ул. Интернатская – Весенняя</w:t>
            </w:r>
          </w:p>
        </w:tc>
        <w:tc>
          <w:tcPr>
            <w:tcW w:w="754" w:type="pct"/>
            <w:vAlign w:val="center"/>
          </w:tcPr>
          <w:p w:rsidR="002D1E45" w:rsidRPr="00AF7759" w:rsidRDefault="002D1E45" w:rsidP="00AF7759">
            <w:pPr>
              <w:tabs>
                <w:tab w:val="left" w:pos="1418"/>
              </w:tabs>
              <w:spacing w:after="0" w:line="240" w:lineRule="auto"/>
              <w:jc w:val="center"/>
              <w:rPr>
                <w:rFonts w:ascii="Times New Roman" w:hAnsi="Times New Roman"/>
              </w:rPr>
            </w:pPr>
            <w:r w:rsidRPr="00AF7759">
              <w:rPr>
                <w:rFonts w:ascii="Times New Roman" w:hAnsi="Times New Roman"/>
              </w:rPr>
              <w:t>КТПН 10/0,4кВ-250кВА, ВЛ-10кВ, ВЛИ-0,4кВ, КЛ-0,4кВ</w:t>
            </w:r>
          </w:p>
        </w:tc>
        <w:tc>
          <w:tcPr>
            <w:tcW w:w="773"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Охранная зона</w:t>
            </w:r>
            <w:r w:rsidRPr="00AF7759">
              <w:rPr>
                <w:rFonts w:ascii="Times New Roman" w:hAnsi="Times New Roman"/>
                <w:vertAlign w:val="superscript"/>
              </w:rPr>
              <w:footnoteReference w:id="39"/>
            </w:r>
            <w:r w:rsidRPr="00AF7759">
              <w:rPr>
                <w:rFonts w:ascii="Times New Roman" w:hAnsi="Times New Roman"/>
              </w:rPr>
              <w:t xml:space="preserve"> – 4 м</w:t>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rPr>
              <w:t>Первая очередь</w:t>
            </w:r>
          </w:p>
        </w:tc>
        <w:tc>
          <w:tcPr>
            <w:tcW w:w="10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rPr>
              <w:t xml:space="preserve">Предложение разработчиков с учётом комплексной программы развития коммунальной инфраструктуры </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lang w:eastAsia="ru-RU"/>
              </w:rPr>
            </w:pPr>
            <w:r w:rsidRPr="00AF7759">
              <w:rPr>
                <w:rFonts w:ascii="Times New Roman" w:hAnsi="Times New Roman"/>
              </w:rPr>
              <w:t>Реконструкция электросетей 10/0,4кВ</w:t>
            </w:r>
          </w:p>
        </w:tc>
        <w:tc>
          <w:tcPr>
            <w:tcW w:w="698" w:type="pct"/>
            <w:vAlign w:val="center"/>
          </w:tcPr>
          <w:p w:rsidR="002D1E45" w:rsidRPr="00AF7759" w:rsidRDefault="002D1E45" w:rsidP="00AF7759">
            <w:pPr>
              <w:tabs>
                <w:tab w:val="left" w:pos="1418"/>
              </w:tabs>
              <w:spacing w:after="0" w:line="240" w:lineRule="auto"/>
              <w:rPr>
                <w:rFonts w:ascii="Times New Roman" w:hAnsi="Times New Roman"/>
                <w:lang w:eastAsia="ru-RU"/>
              </w:rPr>
            </w:pPr>
            <w:r w:rsidRPr="00AF7759">
              <w:rPr>
                <w:rFonts w:ascii="Times New Roman" w:hAnsi="Times New Roman"/>
                <w:lang w:eastAsia="ru-RU"/>
              </w:rPr>
              <w:t>г. Куйбышев,</w:t>
            </w:r>
            <w:r w:rsidRPr="00AF7759">
              <w:rPr>
                <w:rFonts w:ascii="Times New Roman" w:hAnsi="Times New Roman"/>
              </w:rPr>
              <w:t xml:space="preserve"> на ул. Трудовая – Лермонтова</w:t>
            </w:r>
          </w:p>
        </w:tc>
        <w:tc>
          <w:tcPr>
            <w:tcW w:w="754" w:type="pct"/>
            <w:vAlign w:val="center"/>
          </w:tcPr>
          <w:p w:rsidR="002D1E45" w:rsidRPr="00AF7759" w:rsidRDefault="002D1E45" w:rsidP="00AF7759">
            <w:pPr>
              <w:tabs>
                <w:tab w:val="left" w:pos="1418"/>
              </w:tabs>
              <w:spacing w:after="0" w:line="240" w:lineRule="auto"/>
              <w:jc w:val="center"/>
              <w:rPr>
                <w:rFonts w:ascii="Times New Roman" w:hAnsi="Times New Roman"/>
              </w:rPr>
            </w:pPr>
            <w:r w:rsidRPr="00AF7759">
              <w:rPr>
                <w:rFonts w:ascii="Times New Roman" w:hAnsi="Times New Roman"/>
              </w:rPr>
              <w:t>КТIIH-10/0,4кВ-250кВА, ВЛ10кВ, ВЛИ-0,4кВ, КЛ-0,4кВ</w:t>
            </w:r>
          </w:p>
        </w:tc>
        <w:tc>
          <w:tcPr>
            <w:tcW w:w="773"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Охранная зона</w:t>
            </w:r>
            <w:r w:rsidRPr="00AF7759">
              <w:rPr>
                <w:rFonts w:ascii="Times New Roman" w:hAnsi="Times New Roman"/>
                <w:vertAlign w:val="superscript"/>
              </w:rPr>
              <w:footnoteReference w:id="40"/>
            </w:r>
            <w:r w:rsidRPr="00AF7759">
              <w:rPr>
                <w:rFonts w:ascii="Times New Roman" w:hAnsi="Times New Roman"/>
              </w:rPr>
              <w:t xml:space="preserve"> – 4 м</w:t>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rPr>
              <w:t>Первая очередь</w:t>
            </w:r>
          </w:p>
        </w:tc>
        <w:tc>
          <w:tcPr>
            <w:tcW w:w="10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rPr>
              <w:t xml:space="preserve">Предложение разработчиков с учётом комплексной программы развития коммунальной инфраструктуры </w:t>
            </w:r>
          </w:p>
        </w:tc>
      </w:tr>
      <w:tr w:rsidR="002D1E45" w:rsidRPr="00AF7759" w:rsidTr="00C8545B">
        <w:trPr>
          <w:cantSplit/>
          <w:trHeight w:val="170"/>
          <w:jc w:val="center"/>
        </w:trPr>
        <w:tc>
          <w:tcPr>
            <w:tcW w:w="208" w:type="pct"/>
            <w:vAlign w:val="center"/>
          </w:tcPr>
          <w:p w:rsidR="002D1E45" w:rsidRPr="00AF7759" w:rsidRDefault="002D1E45" w:rsidP="00D05D06">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AF7759">
            <w:pPr>
              <w:autoSpaceDE w:val="0"/>
              <w:autoSpaceDN w:val="0"/>
              <w:adjustRightInd w:val="0"/>
              <w:spacing w:after="0" w:line="240" w:lineRule="auto"/>
              <w:rPr>
                <w:rFonts w:ascii="Times New Roman" w:hAnsi="Times New Roman"/>
                <w:lang w:eastAsia="ru-RU"/>
              </w:rPr>
            </w:pPr>
            <w:r w:rsidRPr="00AF7759">
              <w:rPr>
                <w:rFonts w:ascii="Times New Roman" w:hAnsi="Times New Roman"/>
              </w:rPr>
              <w:t>Электроснабжение, ВЛ-0,4 кВ</w:t>
            </w:r>
          </w:p>
        </w:tc>
        <w:tc>
          <w:tcPr>
            <w:tcW w:w="698" w:type="pct"/>
            <w:vAlign w:val="center"/>
          </w:tcPr>
          <w:p w:rsidR="002D1E45" w:rsidRPr="00AF7759" w:rsidRDefault="002D1E45" w:rsidP="00AF7759">
            <w:pPr>
              <w:tabs>
                <w:tab w:val="left" w:pos="1418"/>
              </w:tabs>
              <w:spacing w:after="0" w:line="240" w:lineRule="auto"/>
              <w:rPr>
                <w:rFonts w:ascii="Times New Roman" w:hAnsi="Times New Roman"/>
                <w:lang w:eastAsia="ru-RU"/>
              </w:rPr>
            </w:pPr>
            <w:r w:rsidRPr="00AF7759">
              <w:rPr>
                <w:rFonts w:ascii="Times New Roman" w:hAnsi="Times New Roman"/>
                <w:lang w:eastAsia="ru-RU"/>
              </w:rPr>
              <w:t>г. Куйбышев,</w:t>
            </w:r>
            <w:r w:rsidRPr="00AF7759">
              <w:rPr>
                <w:rFonts w:ascii="Times New Roman" w:hAnsi="Times New Roman"/>
              </w:rPr>
              <w:t xml:space="preserve"> в районах новой застройки</w:t>
            </w:r>
          </w:p>
        </w:tc>
        <w:tc>
          <w:tcPr>
            <w:tcW w:w="754" w:type="pct"/>
            <w:vAlign w:val="center"/>
          </w:tcPr>
          <w:p w:rsidR="002D1E45" w:rsidRPr="00AF7759" w:rsidRDefault="002D1E45" w:rsidP="00AF7759">
            <w:pPr>
              <w:tabs>
                <w:tab w:val="left" w:pos="1418"/>
              </w:tabs>
              <w:spacing w:after="0" w:line="240" w:lineRule="auto"/>
              <w:jc w:val="center"/>
              <w:rPr>
                <w:rFonts w:ascii="Times New Roman" w:hAnsi="Times New Roman"/>
              </w:rPr>
            </w:pPr>
            <w:r w:rsidRPr="00AF7759">
              <w:rPr>
                <w:rFonts w:ascii="Times New Roman" w:hAnsi="Times New Roman"/>
              </w:rPr>
              <w:t>не менее 20 км</w:t>
            </w:r>
          </w:p>
        </w:tc>
        <w:tc>
          <w:tcPr>
            <w:tcW w:w="773" w:type="pct"/>
            <w:vAlign w:val="center"/>
          </w:tcPr>
          <w:p w:rsidR="002D1E45" w:rsidRPr="00AF7759" w:rsidRDefault="002D1E45" w:rsidP="00AF7759">
            <w:pPr>
              <w:spacing w:after="0" w:line="240" w:lineRule="auto"/>
              <w:jc w:val="center"/>
              <w:rPr>
                <w:rFonts w:ascii="Times New Roman" w:hAnsi="Times New Roman"/>
              </w:rPr>
            </w:pPr>
            <w:r w:rsidRPr="00AF7759">
              <w:rPr>
                <w:rFonts w:ascii="Times New Roman" w:hAnsi="Times New Roman"/>
              </w:rPr>
              <w:t>Охранная зона</w:t>
            </w:r>
            <w:r w:rsidRPr="00AF7759">
              <w:rPr>
                <w:rFonts w:ascii="Times New Roman" w:hAnsi="Times New Roman"/>
                <w:vertAlign w:val="superscript"/>
              </w:rPr>
              <w:footnoteReference w:id="41"/>
            </w:r>
            <w:r w:rsidRPr="00AF7759">
              <w:rPr>
                <w:rFonts w:ascii="Times New Roman" w:hAnsi="Times New Roman"/>
              </w:rPr>
              <w:t xml:space="preserve"> – 4 м</w:t>
            </w:r>
          </w:p>
        </w:tc>
        <w:tc>
          <w:tcPr>
            <w:tcW w:w="6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lang w:eastAsia="ru-RU"/>
              </w:rPr>
              <w:t>Расчётный срок</w:t>
            </w:r>
          </w:p>
        </w:tc>
        <w:tc>
          <w:tcPr>
            <w:tcW w:w="1009" w:type="pct"/>
            <w:vAlign w:val="center"/>
          </w:tcPr>
          <w:p w:rsidR="002D1E45" w:rsidRPr="00AF7759" w:rsidRDefault="002D1E45" w:rsidP="00AF7759">
            <w:pPr>
              <w:spacing w:after="0" w:line="240" w:lineRule="auto"/>
              <w:jc w:val="center"/>
              <w:rPr>
                <w:rFonts w:ascii="Times New Roman" w:hAnsi="Times New Roman"/>
                <w:lang w:eastAsia="ru-RU"/>
              </w:rPr>
            </w:pPr>
            <w:r w:rsidRPr="00AF7759">
              <w:rPr>
                <w:rFonts w:ascii="Times New Roman" w:hAnsi="Times New Roman"/>
              </w:rPr>
              <w:t xml:space="preserve">Предложение разработчиков </w:t>
            </w:r>
          </w:p>
        </w:tc>
      </w:tr>
      <w:tr w:rsidR="002D1E45" w:rsidRPr="00AF7759" w:rsidTr="006071F8">
        <w:trPr>
          <w:cantSplit/>
          <w:trHeight w:val="170"/>
          <w:jc w:val="center"/>
        </w:trPr>
        <w:tc>
          <w:tcPr>
            <w:tcW w:w="208" w:type="pct"/>
            <w:vAlign w:val="center"/>
          </w:tcPr>
          <w:p w:rsidR="002D1E45" w:rsidRPr="00AF7759" w:rsidRDefault="002D1E45" w:rsidP="00427382">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427382">
            <w:pPr>
              <w:autoSpaceDE w:val="0"/>
              <w:autoSpaceDN w:val="0"/>
              <w:adjustRightInd w:val="0"/>
              <w:spacing w:after="0" w:line="240" w:lineRule="auto"/>
              <w:rPr>
                <w:rFonts w:ascii="Times New Roman" w:hAnsi="Times New Roman"/>
                <w:lang w:eastAsia="ru-RU"/>
              </w:rPr>
            </w:pPr>
            <w:r w:rsidRPr="00427382">
              <w:rPr>
                <w:rFonts w:ascii="Times New Roman" w:hAnsi="Times New Roman"/>
              </w:rPr>
              <w:t>Строительство РП 10 кВ взамен РП-1</w:t>
            </w:r>
          </w:p>
        </w:tc>
        <w:tc>
          <w:tcPr>
            <w:tcW w:w="698" w:type="pct"/>
            <w:vAlign w:val="center"/>
          </w:tcPr>
          <w:p w:rsidR="002D1E45" w:rsidRPr="00AF7759" w:rsidRDefault="002D1E45" w:rsidP="00427382">
            <w:pPr>
              <w:tabs>
                <w:tab w:val="left" w:pos="1418"/>
              </w:tabs>
              <w:spacing w:after="0" w:line="240" w:lineRule="auto"/>
              <w:rPr>
                <w:rFonts w:ascii="Times New Roman" w:hAnsi="Times New Roman"/>
                <w:lang w:eastAsia="ru-RU"/>
              </w:rPr>
            </w:pPr>
            <w:r w:rsidRPr="00AF7759">
              <w:rPr>
                <w:rFonts w:ascii="Times New Roman" w:hAnsi="Times New Roman"/>
                <w:lang w:eastAsia="ru-RU"/>
              </w:rPr>
              <w:t>г. Куйбышев</w:t>
            </w:r>
          </w:p>
        </w:tc>
        <w:tc>
          <w:tcPr>
            <w:tcW w:w="754" w:type="pct"/>
            <w:vAlign w:val="center"/>
          </w:tcPr>
          <w:p w:rsidR="002D1E45" w:rsidRPr="00AF7759" w:rsidRDefault="002D1E45" w:rsidP="00427382">
            <w:pPr>
              <w:tabs>
                <w:tab w:val="left" w:pos="1418"/>
              </w:tabs>
              <w:spacing w:after="0" w:line="240" w:lineRule="auto"/>
              <w:jc w:val="center"/>
              <w:rPr>
                <w:rFonts w:ascii="Times New Roman" w:hAnsi="Times New Roman"/>
              </w:rPr>
            </w:pPr>
            <w:r w:rsidRPr="00427382">
              <w:rPr>
                <w:rFonts w:ascii="Times New Roman" w:hAnsi="Times New Roman"/>
              </w:rPr>
              <w:t>10 кВ</w:t>
            </w:r>
          </w:p>
        </w:tc>
        <w:tc>
          <w:tcPr>
            <w:tcW w:w="773" w:type="pct"/>
            <w:vAlign w:val="center"/>
          </w:tcPr>
          <w:p w:rsidR="002D1E45" w:rsidRPr="00AF7759" w:rsidRDefault="002D1E45" w:rsidP="00427382">
            <w:pPr>
              <w:spacing w:after="0" w:line="240" w:lineRule="auto"/>
              <w:jc w:val="center"/>
              <w:rPr>
                <w:rFonts w:ascii="Times New Roman" w:hAnsi="Times New Roman"/>
              </w:rPr>
            </w:pPr>
            <w:r w:rsidRPr="00AF7759">
              <w:rPr>
                <w:rFonts w:ascii="Times New Roman" w:hAnsi="Times New Roman"/>
              </w:rPr>
              <w:t>Охранная зона</w:t>
            </w:r>
            <w:r w:rsidRPr="00AF7759">
              <w:rPr>
                <w:rFonts w:ascii="Times New Roman" w:hAnsi="Times New Roman"/>
                <w:vertAlign w:val="superscript"/>
              </w:rPr>
              <w:footnoteReference w:id="42"/>
            </w:r>
            <w:r w:rsidRPr="00AF7759">
              <w:rPr>
                <w:rFonts w:ascii="Times New Roman" w:hAnsi="Times New Roman"/>
              </w:rPr>
              <w:t xml:space="preserve"> – </w:t>
            </w:r>
            <w:r>
              <w:rPr>
                <w:rFonts w:ascii="Times New Roman" w:hAnsi="Times New Roman"/>
              </w:rPr>
              <w:t>1</w:t>
            </w:r>
            <w:r w:rsidRPr="00AF7759">
              <w:rPr>
                <w:rFonts w:ascii="Times New Roman" w:hAnsi="Times New Roman"/>
              </w:rPr>
              <w:t>0 м</w:t>
            </w:r>
          </w:p>
        </w:tc>
        <w:tc>
          <w:tcPr>
            <w:tcW w:w="609" w:type="pct"/>
            <w:vAlign w:val="center"/>
          </w:tcPr>
          <w:p w:rsidR="002D1E45" w:rsidRPr="00AF7759" w:rsidRDefault="002D1E45" w:rsidP="00CC7DE4">
            <w:pPr>
              <w:spacing w:after="0" w:line="240" w:lineRule="auto"/>
              <w:jc w:val="center"/>
              <w:rPr>
                <w:rFonts w:ascii="Times New Roman" w:hAnsi="Times New Roman"/>
                <w:lang w:eastAsia="ru-RU"/>
              </w:rPr>
            </w:pPr>
            <w:r w:rsidRPr="00CC7DE4">
              <w:rPr>
                <w:rFonts w:ascii="Times New Roman" w:hAnsi="Times New Roman"/>
                <w:lang w:eastAsia="ru-RU"/>
              </w:rPr>
              <w:t>Первая очередь (2023-2024 гг.)</w:t>
            </w:r>
          </w:p>
        </w:tc>
        <w:tc>
          <w:tcPr>
            <w:tcW w:w="1009" w:type="pct"/>
            <w:vAlign w:val="center"/>
          </w:tcPr>
          <w:p w:rsidR="002D1E45" w:rsidRPr="00AF7759" w:rsidRDefault="002D1E45" w:rsidP="00427382">
            <w:pPr>
              <w:spacing w:after="0" w:line="240" w:lineRule="auto"/>
              <w:jc w:val="center"/>
              <w:rPr>
                <w:rFonts w:ascii="Times New Roman" w:hAnsi="Times New Roman"/>
                <w:lang w:eastAsia="ru-RU"/>
              </w:rPr>
            </w:pPr>
            <w:r w:rsidRPr="00427382">
              <w:rPr>
                <w:rFonts w:ascii="Times New Roman" w:hAnsi="Times New Roman"/>
              </w:rPr>
              <w:t>Инвестиционн</w:t>
            </w:r>
            <w:r>
              <w:rPr>
                <w:rFonts w:ascii="Times New Roman" w:hAnsi="Times New Roman"/>
              </w:rPr>
              <w:t>ая</w:t>
            </w:r>
            <w:r w:rsidRPr="00427382">
              <w:rPr>
                <w:rFonts w:ascii="Times New Roman" w:hAnsi="Times New Roman"/>
              </w:rPr>
              <w:t xml:space="preserve"> программ</w:t>
            </w:r>
            <w:r>
              <w:rPr>
                <w:rFonts w:ascii="Times New Roman" w:hAnsi="Times New Roman"/>
              </w:rPr>
              <w:t>а</w:t>
            </w:r>
            <w:r w:rsidRPr="00427382">
              <w:rPr>
                <w:rFonts w:ascii="Times New Roman" w:hAnsi="Times New Roman"/>
              </w:rPr>
              <w:t xml:space="preserve"> АО «РЭС»</w:t>
            </w:r>
            <w:r>
              <w:rPr>
                <w:rFonts w:ascii="Times New Roman" w:hAnsi="Times New Roman"/>
              </w:rPr>
              <w:t xml:space="preserve"> на</w:t>
            </w:r>
            <w:r w:rsidRPr="00427382">
              <w:rPr>
                <w:rFonts w:ascii="Times New Roman" w:hAnsi="Times New Roman"/>
              </w:rPr>
              <w:t xml:space="preserve"> 2021-2025 гг.</w:t>
            </w:r>
          </w:p>
        </w:tc>
      </w:tr>
      <w:tr w:rsidR="002D1E45" w:rsidRPr="00AF7759" w:rsidTr="00C8545B">
        <w:trPr>
          <w:cantSplit/>
          <w:trHeight w:val="170"/>
          <w:jc w:val="center"/>
        </w:trPr>
        <w:tc>
          <w:tcPr>
            <w:tcW w:w="208" w:type="pct"/>
            <w:vAlign w:val="center"/>
          </w:tcPr>
          <w:p w:rsidR="002D1E45" w:rsidRPr="00AF7759" w:rsidRDefault="002D1E45" w:rsidP="00427382">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427382">
            <w:pPr>
              <w:autoSpaceDE w:val="0"/>
              <w:autoSpaceDN w:val="0"/>
              <w:adjustRightInd w:val="0"/>
              <w:spacing w:after="0" w:line="240" w:lineRule="auto"/>
              <w:rPr>
                <w:rFonts w:ascii="Times New Roman" w:hAnsi="Times New Roman"/>
                <w:lang w:eastAsia="ru-RU"/>
              </w:rPr>
            </w:pPr>
            <w:r w:rsidRPr="00AF7759">
              <w:rPr>
                <w:rFonts w:ascii="Times New Roman" w:hAnsi="Times New Roman"/>
              </w:rPr>
              <w:t>Действующая АТС (реконструкция)</w:t>
            </w:r>
          </w:p>
        </w:tc>
        <w:tc>
          <w:tcPr>
            <w:tcW w:w="698" w:type="pct"/>
            <w:vAlign w:val="center"/>
          </w:tcPr>
          <w:p w:rsidR="002D1E45" w:rsidRPr="00AF7759" w:rsidRDefault="002D1E45" w:rsidP="00427382">
            <w:pPr>
              <w:tabs>
                <w:tab w:val="left" w:pos="1418"/>
              </w:tabs>
              <w:spacing w:after="0" w:line="240" w:lineRule="auto"/>
              <w:rPr>
                <w:rFonts w:ascii="Times New Roman" w:hAnsi="Times New Roman"/>
                <w:lang w:eastAsia="ru-RU"/>
              </w:rPr>
            </w:pPr>
            <w:r w:rsidRPr="00AF7759">
              <w:rPr>
                <w:rFonts w:ascii="Times New Roman" w:hAnsi="Times New Roman"/>
                <w:lang w:eastAsia="ru-RU"/>
              </w:rPr>
              <w:t>г. Куйбышев</w:t>
            </w:r>
            <w:r w:rsidRPr="00AF7759">
              <w:rPr>
                <w:rFonts w:ascii="Times New Roman" w:hAnsi="Times New Roman"/>
              </w:rPr>
              <w:t xml:space="preserve"> </w:t>
            </w:r>
          </w:p>
        </w:tc>
        <w:tc>
          <w:tcPr>
            <w:tcW w:w="754" w:type="pct"/>
            <w:vAlign w:val="center"/>
          </w:tcPr>
          <w:p w:rsidR="002D1E45" w:rsidRPr="00AF7759" w:rsidRDefault="002D1E45" w:rsidP="00427382">
            <w:pPr>
              <w:spacing w:after="0" w:line="240" w:lineRule="auto"/>
              <w:jc w:val="center"/>
              <w:rPr>
                <w:rFonts w:ascii="Times New Roman" w:hAnsi="Times New Roman"/>
                <w:lang w:eastAsia="ru-RU"/>
              </w:rPr>
            </w:pPr>
            <w:r w:rsidRPr="00AF7759">
              <w:rPr>
                <w:rFonts w:ascii="Times New Roman" w:hAnsi="Times New Roman"/>
              </w:rPr>
              <w:t>до 13500 номеров</w:t>
            </w:r>
          </w:p>
        </w:tc>
        <w:tc>
          <w:tcPr>
            <w:tcW w:w="773" w:type="pct"/>
            <w:vAlign w:val="center"/>
          </w:tcPr>
          <w:p w:rsidR="002D1E45" w:rsidRPr="00AF7759" w:rsidRDefault="002D1E45" w:rsidP="00427382">
            <w:pPr>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vAlign w:val="center"/>
          </w:tcPr>
          <w:p w:rsidR="002D1E45" w:rsidRPr="00AF7759" w:rsidRDefault="002D1E45" w:rsidP="00427382">
            <w:pPr>
              <w:spacing w:after="0" w:line="240" w:lineRule="auto"/>
              <w:jc w:val="center"/>
              <w:rPr>
                <w:rFonts w:ascii="Times New Roman" w:hAnsi="Times New Roman"/>
                <w:lang w:eastAsia="ru-RU"/>
              </w:rPr>
            </w:pPr>
            <w:r w:rsidRPr="00AF7759">
              <w:rPr>
                <w:rFonts w:ascii="Times New Roman" w:hAnsi="Times New Roman"/>
                <w:lang w:eastAsia="ru-RU"/>
              </w:rPr>
              <w:t>Расчётный срок</w:t>
            </w:r>
          </w:p>
        </w:tc>
        <w:tc>
          <w:tcPr>
            <w:tcW w:w="1009" w:type="pct"/>
            <w:vAlign w:val="center"/>
          </w:tcPr>
          <w:p w:rsidR="002D1E45" w:rsidRPr="00AF7759" w:rsidRDefault="002D1E45" w:rsidP="00427382">
            <w:pPr>
              <w:spacing w:after="0" w:line="240" w:lineRule="auto"/>
              <w:jc w:val="center"/>
              <w:rPr>
                <w:rFonts w:ascii="Times New Roman" w:hAnsi="Times New Roman"/>
                <w:lang w:eastAsia="ru-RU"/>
              </w:rPr>
            </w:pPr>
            <w:r w:rsidRPr="00AF7759">
              <w:rPr>
                <w:rFonts w:ascii="Times New Roman" w:hAnsi="Times New Roman"/>
              </w:rPr>
              <w:t xml:space="preserve">Предложение разработчиков </w:t>
            </w:r>
          </w:p>
        </w:tc>
      </w:tr>
      <w:tr w:rsidR="002D1E45" w:rsidRPr="00AF7759" w:rsidTr="00C8545B">
        <w:trPr>
          <w:cantSplit/>
          <w:trHeight w:val="170"/>
          <w:jc w:val="center"/>
        </w:trPr>
        <w:tc>
          <w:tcPr>
            <w:tcW w:w="208" w:type="pct"/>
            <w:vAlign w:val="center"/>
          </w:tcPr>
          <w:p w:rsidR="002D1E45" w:rsidRPr="00AF7759" w:rsidRDefault="002D1E45" w:rsidP="00427382">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427382">
            <w:pPr>
              <w:autoSpaceDE w:val="0"/>
              <w:autoSpaceDN w:val="0"/>
              <w:adjustRightInd w:val="0"/>
              <w:spacing w:after="0" w:line="240" w:lineRule="auto"/>
              <w:rPr>
                <w:rFonts w:ascii="Times New Roman" w:hAnsi="Times New Roman"/>
                <w:lang w:eastAsia="ru-RU"/>
              </w:rPr>
            </w:pPr>
            <w:r w:rsidRPr="00AF7759">
              <w:rPr>
                <w:rFonts w:ascii="Times New Roman" w:hAnsi="Times New Roman"/>
              </w:rPr>
              <w:t>Волоконно-оптический кабель связи</w:t>
            </w:r>
          </w:p>
        </w:tc>
        <w:tc>
          <w:tcPr>
            <w:tcW w:w="698" w:type="pct"/>
            <w:vAlign w:val="center"/>
          </w:tcPr>
          <w:p w:rsidR="002D1E45" w:rsidRPr="00AF7759" w:rsidRDefault="002D1E45" w:rsidP="00427382">
            <w:pPr>
              <w:tabs>
                <w:tab w:val="left" w:pos="1418"/>
              </w:tabs>
              <w:spacing w:after="0" w:line="240" w:lineRule="auto"/>
              <w:rPr>
                <w:rFonts w:ascii="Times New Roman" w:hAnsi="Times New Roman"/>
                <w:lang w:eastAsia="ru-RU"/>
              </w:rPr>
            </w:pPr>
            <w:r w:rsidRPr="00AF7759">
              <w:rPr>
                <w:rFonts w:ascii="Times New Roman" w:hAnsi="Times New Roman"/>
                <w:lang w:eastAsia="ru-RU"/>
              </w:rPr>
              <w:t>г. Куйбышев,</w:t>
            </w:r>
            <w:r w:rsidRPr="00AF7759">
              <w:rPr>
                <w:rFonts w:ascii="Times New Roman" w:hAnsi="Times New Roman"/>
              </w:rPr>
              <w:t xml:space="preserve"> в районах новой застройки</w:t>
            </w:r>
          </w:p>
        </w:tc>
        <w:tc>
          <w:tcPr>
            <w:tcW w:w="754" w:type="pct"/>
            <w:vAlign w:val="center"/>
          </w:tcPr>
          <w:p w:rsidR="002D1E45" w:rsidRPr="00AF7759" w:rsidRDefault="002D1E45" w:rsidP="00427382">
            <w:pPr>
              <w:spacing w:after="0" w:line="240" w:lineRule="auto"/>
              <w:jc w:val="center"/>
              <w:rPr>
                <w:rFonts w:ascii="Times New Roman" w:hAnsi="Times New Roman"/>
                <w:lang w:eastAsia="ru-RU"/>
              </w:rPr>
            </w:pPr>
            <w:r w:rsidRPr="00AF7759">
              <w:rPr>
                <w:rFonts w:ascii="Times New Roman" w:hAnsi="Times New Roman"/>
              </w:rPr>
              <w:t>не менее 10 км</w:t>
            </w:r>
          </w:p>
        </w:tc>
        <w:tc>
          <w:tcPr>
            <w:tcW w:w="773" w:type="pct"/>
            <w:vAlign w:val="center"/>
          </w:tcPr>
          <w:p w:rsidR="002D1E45" w:rsidRPr="00AF7759" w:rsidRDefault="002D1E45" w:rsidP="00427382">
            <w:pPr>
              <w:spacing w:after="0" w:line="240" w:lineRule="auto"/>
              <w:jc w:val="center"/>
              <w:rPr>
                <w:rFonts w:ascii="Times New Roman" w:hAnsi="Times New Roman"/>
              </w:rPr>
            </w:pPr>
            <w:r w:rsidRPr="00AF7759">
              <w:rPr>
                <w:rFonts w:ascii="Times New Roman" w:hAnsi="Times New Roman"/>
              </w:rPr>
              <w:t>Охранная зона (минимум)</w:t>
            </w:r>
            <w:r w:rsidRPr="00AF7759">
              <w:rPr>
                <w:rFonts w:ascii="Times New Roman" w:hAnsi="Times New Roman"/>
                <w:vertAlign w:val="superscript"/>
              </w:rPr>
              <w:footnoteReference w:id="43"/>
            </w:r>
            <w:r w:rsidRPr="00AF7759">
              <w:rPr>
                <w:rFonts w:ascii="Times New Roman" w:hAnsi="Times New Roman"/>
              </w:rPr>
              <w:t xml:space="preserve"> – 4 м</w:t>
            </w:r>
          </w:p>
        </w:tc>
        <w:tc>
          <w:tcPr>
            <w:tcW w:w="609" w:type="pct"/>
            <w:vAlign w:val="center"/>
          </w:tcPr>
          <w:p w:rsidR="002D1E45" w:rsidRPr="00AF7759" w:rsidRDefault="002D1E45" w:rsidP="00427382">
            <w:pPr>
              <w:spacing w:after="0" w:line="240" w:lineRule="auto"/>
              <w:jc w:val="center"/>
              <w:rPr>
                <w:rFonts w:ascii="Times New Roman" w:hAnsi="Times New Roman"/>
                <w:lang w:eastAsia="ru-RU"/>
              </w:rPr>
            </w:pPr>
            <w:r w:rsidRPr="00AF7759">
              <w:rPr>
                <w:rFonts w:ascii="Times New Roman" w:hAnsi="Times New Roman"/>
                <w:lang w:eastAsia="ru-RU"/>
              </w:rPr>
              <w:t>Расчётный срок</w:t>
            </w:r>
          </w:p>
        </w:tc>
        <w:tc>
          <w:tcPr>
            <w:tcW w:w="1009" w:type="pct"/>
            <w:vAlign w:val="center"/>
          </w:tcPr>
          <w:p w:rsidR="002D1E45" w:rsidRPr="00AF7759" w:rsidRDefault="002D1E45" w:rsidP="00427382">
            <w:pPr>
              <w:spacing w:after="0" w:line="240" w:lineRule="auto"/>
              <w:jc w:val="center"/>
              <w:rPr>
                <w:rFonts w:ascii="Times New Roman" w:hAnsi="Times New Roman"/>
                <w:lang w:eastAsia="ru-RU"/>
              </w:rPr>
            </w:pPr>
            <w:r w:rsidRPr="00AF7759">
              <w:rPr>
                <w:rFonts w:ascii="Times New Roman" w:hAnsi="Times New Roman"/>
              </w:rPr>
              <w:t xml:space="preserve">Предложение разработчиков </w:t>
            </w:r>
          </w:p>
        </w:tc>
      </w:tr>
      <w:tr w:rsidR="002D1E45" w:rsidRPr="00AF7759" w:rsidTr="00C8545B">
        <w:trPr>
          <w:cantSplit/>
          <w:trHeight w:val="170"/>
          <w:jc w:val="center"/>
        </w:trPr>
        <w:tc>
          <w:tcPr>
            <w:tcW w:w="208" w:type="pct"/>
            <w:vAlign w:val="center"/>
          </w:tcPr>
          <w:p w:rsidR="002D1E45" w:rsidRPr="00AF7759" w:rsidRDefault="002D1E45" w:rsidP="00427382">
            <w:pPr>
              <w:numPr>
                <w:ilvl w:val="0"/>
                <w:numId w:val="42"/>
              </w:numPr>
              <w:tabs>
                <w:tab w:val="left" w:pos="497"/>
              </w:tabs>
              <w:spacing w:after="0" w:line="240" w:lineRule="auto"/>
              <w:jc w:val="right"/>
              <w:rPr>
                <w:rFonts w:ascii="Times New Roman" w:hAnsi="Times New Roman"/>
              </w:rPr>
            </w:pPr>
            <w:bookmarkStart w:id="379" w:name="_Hlk49083629"/>
          </w:p>
        </w:tc>
        <w:tc>
          <w:tcPr>
            <w:tcW w:w="949" w:type="pct"/>
            <w:vAlign w:val="center"/>
          </w:tcPr>
          <w:p w:rsidR="002D1E45" w:rsidRPr="00AF7759" w:rsidRDefault="002D1E45" w:rsidP="00427382">
            <w:pPr>
              <w:autoSpaceDE w:val="0"/>
              <w:autoSpaceDN w:val="0"/>
              <w:adjustRightInd w:val="0"/>
              <w:spacing w:after="0" w:line="240" w:lineRule="auto"/>
              <w:rPr>
                <w:rFonts w:ascii="Times New Roman" w:hAnsi="Times New Roman"/>
                <w:lang w:eastAsia="ru-RU"/>
              </w:rPr>
            </w:pPr>
            <w:r w:rsidRPr="00AF7759">
              <w:rPr>
                <w:rFonts w:ascii="Times New Roman" w:hAnsi="Times New Roman"/>
              </w:rPr>
              <w:t>Строительство овощехранилища СППК «Усадьба»</w:t>
            </w:r>
          </w:p>
        </w:tc>
        <w:tc>
          <w:tcPr>
            <w:tcW w:w="698" w:type="pct"/>
            <w:vAlign w:val="center"/>
          </w:tcPr>
          <w:p w:rsidR="002D1E45" w:rsidRPr="00AF7759" w:rsidRDefault="002D1E45" w:rsidP="00427382">
            <w:pPr>
              <w:tabs>
                <w:tab w:val="left" w:pos="1418"/>
              </w:tabs>
              <w:spacing w:after="0" w:line="240" w:lineRule="auto"/>
              <w:rPr>
                <w:rFonts w:ascii="Times New Roman" w:hAnsi="Times New Roman"/>
              </w:rPr>
            </w:pPr>
            <w:r w:rsidRPr="00AF7759">
              <w:rPr>
                <w:rFonts w:ascii="Times New Roman" w:hAnsi="Times New Roman"/>
              </w:rPr>
              <w:t>г. Куйбышев</w:t>
            </w:r>
            <w:r w:rsidRPr="00AF7759">
              <w:t xml:space="preserve"> </w:t>
            </w:r>
          </w:p>
        </w:tc>
        <w:tc>
          <w:tcPr>
            <w:tcW w:w="754" w:type="pct"/>
            <w:vAlign w:val="center"/>
          </w:tcPr>
          <w:p w:rsidR="002D1E45" w:rsidRPr="00AF7759" w:rsidRDefault="002D1E45" w:rsidP="00427382">
            <w:pPr>
              <w:spacing w:after="0" w:line="240" w:lineRule="auto"/>
              <w:jc w:val="center"/>
              <w:rPr>
                <w:rFonts w:ascii="Times New Roman" w:hAnsi="Times New Roman"/>
                <w:lang w:eastAsia="ru-RU"/>
              </w:rPr>
            </w:pPr>
            <w:r w:rsidRPr="00AF7759">
              <w:rPr>
                <w:rFonts w:ascii="Times New Roman" w:hAnsi="Times New Roman"/>
              </w:rPr>
              <w:t>требует уточнения на этапе проектирования</w:t>
            </w:r>
          </w:p>
        </w:tc>
        <w:tc>
          <w:tcPr>
            <w:tcW w:w="773" w:type="pct"/>
            <w:vAlign w:val="center"/>
          </w:tcPr>
          <w:p w:rsidR="002D1E45" w:rsidRPr="00AF7759" w:rsidRDefault="002D1E45" w:rsidP="00427382">
            <w:pPr>
              <w:spacing w:after="0" w:line="240" w:lineRule="auto"/>
              <w:jc w:val="center"/>
              <w:rPr>
                <w:rFonts w:ascii="Times New Roman" w:hAnsi="Times New Roman"/>
              </w:rPr>
            </w:pPr>
            <w:r w:rsidRPr="00AF7759">
              <w:rPr>
                <w:rFonts w:ascii="Times New Roman" w:hAnsi="Times New Roman"/>
              </w:rPr>
              <w:t>Санитарно-защитная зона</w:t>
            </w:r>
            <w:r w:rsidRPr="00AF7759">
              <w:rPr>
                <w:rFonts w:ascii="Times New Roman" w:hAnsi="Times New Roman"/>
                <w:vertAlign w:val="superscript"/>
              </w:rPr>
              <w:footnoteReference w:id="44"/>
            </w:r>
            <w:r w:rsidRPr="00AF7759">
              <w:rPr>
                <w:rFonts w:ascii="Times New Roman" w:hAnsi="Times New Roman"/>
              </w:rPr>
              <w:t xml:space="preserve"> – 50 м</w:t>
            </w:r>
          </w:p>
        </w:tc>
        <w:tc>
          <w:tcPr>
            <w:tcW w:w="609" w:type="pct"/>
            <w:vAlign w:val="center"/>
          </w:tcPr>
          <w:p w:rsidR="002D1E45" w:rsidRPr="00AF7759" w:rsidRDefault="002D1E45" w:rsidP="00427382">
            <w:pPr>
              <w:spacing w:after="0" w:line="240" w:lineRule="auto"/>
              <w:jc w:val="center"/>
              <w:rPr>
                <w:rFonts w:ascii="Times New Roman" w:hAnsi="Times New Roman"/>
                <w:lang w:eastAsia="ru-RU"/>
              </w:rPr>
            </w:pPr>
            <w:r w:rsidRPr="00AF7759">
              <w:rPr>
                <w:rFonts w:ascii="Times New Roman" w:hAnsi="Times New Roman"/>
              </w:rPr>
              <w:t>Первая очередь</w:t>
            </w:r>
          </w:p>
        </w:tc>
        <w:tc>
          <w:tcPr>
            <w:tcW w:w="1009" w:type="pct"/>
            <w:vAlign w:val="center"/>
          </w:tcPr>
          <w:p w:rsidR="002D1E45" w:rsidRPr="00AF7759" w:rsidRDefault="002D1E45" w:rsidP="00427382">
            <w:pPr>
              <w:spacing w:after="0" w:line="240" w:lineRule="auto"/>
              <w:jc w:val="center"/>
              <w:rPr>
                <w:rFonts w:ascii="Times New Roman" w:hAnsi="Times New Roman"/>
                <w:lang w:eastAsia="ru-RU"/>
              </w:rPr>
            </w:pPr>
            <w:r w:rsidRPr="00AF7759">
              <w:rPr>
                <w:rFonts w:ascii="Times New Roman" w:hAnsi="Times New Roman"/>
                <w:lang w:eastAsia="ru-RU"/>
              </w:rPr>
              <w:t>Стратегия СЭР Куйбышевского района на период до 2030 года</w:t>
            </w:r>
          </w:p>
        </w:tc>
      </w:tr>
      <w:bookmarkEnd w:id="379"/>
      <w:tr w:rsidR="002D1E45" w:rsidRPr="00AF7759" w:rsidTr="00C8545B">
        <w:trPr>
          <w:cantSplit/>
          <w:trHeight w:val="170"/>
          <w:jc w:val="center"/>
        </w:trPr>
        <w:tc>
          <w:tcPr>
            <w:tcW w:w="208" w:type="pct"/>
            <w:vAlign w:val="center"/>
          </w:tcPr>
          <w:p w:rsidR="002D1E45" w:rsidRPr="00AF7759" w:rsidRDefault="002D1E45" w:rsidP="00427382">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427382">
            <w:pPr>
              <w:autoSpaceDE w:val="0"/>
              <w:autoSpaceDN w:val="0"/>
              <w:adjustRightInd w:val="0"/>
              <w:spacing w:after="0" w:line="240" w:lineRule="auto"/>
              <w:rPr>
                <w:rFonts w:ascii="Times New Roman" w:hAnsi="Times New Roman"/>
                <w:lang w:eastAsia="ru-RU"/>
              </w:rPr>
            </w:pPr>
            <w:r w:rsidRPr="00AF7759">
              <w:rPr>
                <w:rFonts w:ascii="Times New Roman" w:hAnsi="Times New Roman"/>
                <w:lang w:eastAsia="ru-RU"/>
              </w:rPr>
              <w:t>Модернизация молокоперерабатывающего предприятия на территории ООО «Баланс»</w:t>
            </w:r>
          </w:p>
        </w:tc>
        <w:tc>
          <w:tcPr>
            <w:tcW w:w="698" w:type="pct"/>
            <w:vAlign w:val="center"/>
          </w:tcPr>
          <w:p w:rsidR="002D1E45" w:rsidRPr="00AF7759" w:rsidRDefault="002D1E45" w:rsidP="00427382">
            <w:pPr>
              <w:tabs>
                <w:tab w:val="left" w:pos="1418"/>
              </w:tabs>
              <w:spacing w:after="0" w:line="240" w:lineRule="auto"/>
              <w:rPr>
                <w:rFonts w:ascii="Times New Roman" w:hAnsi="Times New Roman"/>
              </w:rPr>
            </w:pPr>
            <w:r w:rsidRPr="00AF7759">
              <w:rPr>
                <w:rFonts w:ascii="Times New Roman" w:hAnsi="Times New Roman"/>
              </w:rPr>
              <w:t>г. Куйбышев</w:t>
            </w:r>
            <w:r w:rsidRPr="00AF7759">
              <w:t xml:space="preserve"> </w:t>
            </w:r>
          </w:p>
        </w:tc>
        <w:tc>
          <w:tcPr>
            <w:tcW w:w="754" w:type="pct"/>
            <w:vAlign w:val="center"/>
          </w:tcPr>
          <w:p w:rsidR="002D1E45" w:rsidRPr="00AF7759" w:rsidRDefault="002D1E45" w:rsidP="00427382">
            <w:pPr>
              <w:spacing w:after="0" w:line="240" w:lineRule="auto"/>
              <w:jc w:val="center"/>
              <w:rPr>
                <w:rFonts w:ascii="Times New Roman" w:hAnsi="Times New Roman"/>
                <w:lang w:eastAsia="ru-RU"/>
              </w:rPr>
            </w:pPr>
            <w:r w:rsidRPr="00AF7759">
              <w:rPr>
                <w:rFonts w:ascii="Times New Roman" w:hAnsi="Times New Roman"/>
              </w:rPr>
              <w:t>требует уточнения на этапе проектирования</w:t>
            </w:r>
          </w:p>
        </w:tc>
        <w:tc>
          <w:tcPr>
            <w:tcW w:w="773" w:type="pct"/>
            <w:vAlign w:val="center"/>
          </w:tcPr>
          <w:p w:rsidR="002D1E45" w:rsidRPr="00AF7759" w:rsidRDefault="002D1E45" w:rsidP="00427382">
            <w:pPr>
              <w:spacing w:after="0" w:line="240" w:lineRule="auto"/>
              <w:jc w:val="center"/>
              <w:rPr>
                <w:rFonts w:ascii="Times New Roman" w:hAnsi="Times New Roman"/>
              </w:rPr>
            </w:pPr>
            <w:r w:rsidRPr="00AF7759">
              <w:rPr>
                <w:rFonts w:ascii="Times New Roman" w:hAnsi="Times New Roman"/>
              </w:rPr>
              <w:t>Санитарно-защитная зона</w:t>
            </w:r>
            <w:r w:rsidRPr="00AF7759">
              <w:rPr>
                <w:rFonts w:ascii="Times New Roman" w:hAnsi="Times New Roman"/>
                <w:vertAlign w:val="superscript"/>
              </w:rPr>
              <w:footnoteReference w:id="45"/>
            </w:r>
            <w:r w:rsidRPr="00AF7759">
              <w:rPr>
                <w:rFonts w:ascii="Times New Roman" w:hAnsi="Times New Roman"/>
              </w:rPr>
              <w:t xml:space="preserve"> – 50 м</w:t>
            </w:r>
          </w:p>
        </w:tc>
        <w:tc>
          <w:tcPr>
            <w:tcW w:w="609" w:type="pct"/>
            <w:vAlign w:val="center"/>
          </w:tcPr>
          <w:p w:rsidR="002D1E45" w:rsidRPr="00AF7759" w:rsidRDefault="002D1E45" w:rsidP="00427382">
            <w:pPr>
              <w:spacing w:after="0" w:line="240" w:lineRule="auto"/>
              <w:jc w:val="center"/>
              <w:rPr>
                <w:rFonts w:ascii="Times New Roman" w:hAnsi="Times New Roman"/>
                <w:lang w:eastAsia="ru-RU"/>
              </w:rPr>
            </w:pPr>
            <w:r w:rsidRPr="00AF7759">
              <w:rPr>
                <w:rFonts w:ascii="Times New Roman" w:hAnsi="Times New Roman"/>
              </w:rPr>
              <w:t>Первая очередь</w:t>
            </w:r>
          </w:p>
        </w:tc>
        <w:tc>
          <w:tcPr>
            <w:tcW w:w="1009" w:type="pct"/>
            <w:vAlign w:val="center"/>
          </w:tcPr>
          <w:p w:rsidR="002D1E45" w:rsidRPr="00AF7759" w:rsidRDefault="002D1E45" w:rsidP="00427382">
            <w:pPr>
              <w:spacing w:after="0" w:line="240" w:lineRule="auto"/>
              <w:jc w:val="center"/>
              <w:rPr>
                <w:rFonts w:ascii="Times New Roman" w:hAnsi="Times New Roman"/>
                <w:lang w:eastAsia="ru-RU"/>
              </w:rPr>
            </w:pPr>
            <w:r w:rsidRPr="00AF7759">
              <w:rPr>
                <w:rFonts w:ascii="Times New Roman" w:hAnsi="Times New Roman"/>
                <w:lang w:eastAsia="ru-RU"/>
              </w:rPr>
              <w:t>Стратегия СЭР Куйбышевского района на период до 2030 года</w:t>
            </w:r>
          </w:p>
        </w:tc>
      </w:tr>
      <w:tr w:rsidR="002D1E45" w:rsidRPr="00AF7759" w:rsidTr="00C8545B">
        <w:trPr>
          <w:cantSplit/>
          <w:trHeight w:val="170"/>
          <w:jc w:val="center"/>
        </w:trPr>
        <w:tc>
          <w:tcPr>
            <w:tcW w:w="208" w:type="pct"/>
            <w:vAlign w:val="center"/>
          </w:tcPr>
          <w:p w:rsidR="002D1E45" w:rsidRPr="00AF7759" w:rsidRDefault="002D1E45" w:rsidP="00427382">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427382">
            <w:pPr>
              <w:autoSpaceDE w:val="0"/>
              <w:autoSpaceDN w:val="0"/>
              <w:adjustRightInd w:val="0"/>
              <w:spacing w:after="0" w:line="240" w:lineRule="auto"/>
              <w:rPr>
                <w:rFonts w:ascii="Times New Roman" w:hAnsi="Times New Roman"/>
                <w:lang w:eastAsia="ru-RU"/>
              </w:rPr>
            </w:pPr>
            <w:r w:rsidRPr="00AF7759">
              <w:rPr>
                <w:rFonts w:ascii="Times New Roman" w:hAnsi="Times New Roman"/>
              </w:rPr>
              <w:t xml:space="preserve">Станция технического обслуживания </w:t>
            </w:r>
          </w:p>
        </w:tc>
        <w:tc>
          <w:tcPr>
            <w:tcW w:w="698" w:type="pct"/>
            <w:vAlign w:val="center"/>
          </w:tcPr>
          <w:p w:rsidR="002D1E45" w:rsidRPr="00AF7759" w:rsidRDefault="002D1E45" w:rsidP="00427382">
            <w:pPr>
              <w:tabs>
                <w:tab w:val="left" w:pos="1418"/>
              </w:tabs>
              <w:spacing w:after="0" w:line="240" w:lineRule="auto"/>
              <w:rPr>
                <w:rFonts w:ascii="Times New Roman" w:hAnsi="Times New Roman"/>
                <w:lang w:eastAsia="ru-RU"/>
              </w:rPr>
            </w:pPr>
            <w:r w:rsidRPr="00AF7759">
              <w:rPr>
                <w:rFonts w:ascii="Times New Roman" w:hAnsi="Times New Roman"/>
              </w:rPr>
              <w:t>г. Куйбышев</w:t>
            </w:r>
          </w:p>
        </w:tc>
        <w:tc>
          <w:tcPr>
            <w:tcW w:w="754" w:type="pct"/>
            <w:vAlign w:val="center"/>
          </w:tcPr>
          <w:p w:rsidR="002D1E45" w:rsidRPr="00AF7759" w:rsidRDefault="002D1E45" w:rsidP="00427382">
            <w:pPr>
              <w:spacing w:after="0" w:line="240" w:lineRule="auto"/>
              <w:jc w:val="center"/>
              <w:rPr>
                <w:rFonts w:ascii="Times New Roman" w:hAnsi="Times New Roman"/>
                <w:lang w:eastAsia="ru-RU"/>
              </w:rPr>
            </w:pPr>
            <w:r w:rsidRPr="00AF7759">
              <w:rPr>
                <w:rFonts w:ascii="Times New Roman" w:hAnsi="Times New Roman"/>
              </w:rPr>
              <w:t>до 8</w:t>
            </w:r>
            <w:r w:rsidRPr="00AF7759">
              <w:rPr>
                <w:rFonts w:ascii="Times New Roman" w:hAnsi="Times New Roman"/>
                <w:lang w:eastAsia="ru-RU"/>
              </w:rPr>
              <w:t>2 постов, до 15 постов автомойки</w:t>
            </w:r>
          </w:p>
        </w:tc>
        <w:tc>
          <w:tcPr>
            <w:tcW w:w="773" w:type="pct"/>
            <w:vAlign w:val="center"/>
          </w:tcPr>
          <w:p w:rsidR="002D1E45" w:rsidRPr="00AF7759" w:rsidRDefault="002D1E45" w:rsidP="00427382">
            <w:pPr>
              <w:spacing w:after="0" w:line="240" w:lineRule="auto"/>
              <w:jc w:val="center"/>
              <w:rPr>
                <w:rFonts w:ascii="Times New Roman" w:hAnsi="Times New Roman"/>
                <w:lang w:eastAsia="ru-RU"/>
              </w:rPr>
            </w:pPr>
            <w:r w:rsidRPr="00AF7759">
              <w:rPr>
                <w:rFonts w:ascii="Times New Roman" w:hAnsi="Times New Roman"/>
              </w:rPr>
              <w:t>Санитарно-защитная зона</w:t>
            </w:r>
            <w:r w:rsidRPr="00AF7759">
              <w:rPr>
                <w:rFonts w:ascii="Times New Roman" w:hAnsi="Times New Roman"/>
                <w:vertAlign w:val="superscript"/>
              </w:rPr>
              <w:footnoteReference w:id="46"/>
            </w:r>
            <w:r w:rsidRPr="00AF7759">
              <w:rPr>
                <w:rFonts w:ascii="Times New Roman" w:hAnsi="Times New Roman"/>
              </w:rPr>
              <w:t xml:space="preserve"> – 50 м</w:t>
            </w:r>
          </w:p>
        </w:tc>
        <w:tc>
          <w:tcPr>
            <w:tcW w:w="609" w:type="pct"/>
            <w:vAlign w:val="center"/>
          </w:tcPr>
          <w:p w:rsidR="002D1E45" w:rsidRPr="00AF7759" w:rsidRDefault="002D1E45" w:rsidP="00427382">
            <w:pPr>
              <w:spacing w:after="0" w:line="240" w:lineRule="auto"/>
              <w:jc w:val="center"/>
              <w:rPr>
                <w:rFonts w:ascii="Times New Roman" w:hAnsi="Times New Roman"/>
                <w:lang w:eastAsia="ru-RU"/>
              </w:rPr>
            </w:pPr>
            <w:r w:rsidRPr="00AF7759">
              <w:rPr>
                <w:rFonts w:ascii="Times New Roman" w:hAnsi="Times New Roman"/>
                <w:lang w:eastAsia="ru-RU"/>
              </w:rPr>
              <w:t>Расчётный срок</w:t>
            </w:r>
          </w:p>
        </w:tc>
        <w:tc>
          <w:tcPr>
            <w:tcW w:w="1009" w:type="pct"/>
            <w:vAlign w:val="center"/>
          </w:tcPr>
          <w:p w:rsidR="002D1E45" w:rsidRPr="00AF7759" w:rsidRDefault="002D1E45" w:rsidP="00427382">
            <w:pPr>
              <w:spacing w:after="0" w:line="240" w:lineRule="auto"/>
              <w:jc w:val="center"/>
              <w:rPr>
                <w:rFonts w:ascii="Times New Roman" w:hAnsi="Times New Roman"/>
                <w:lang w:eastAsia="ru-RU"/>
              </w:rPr>
            </w:pPr>
            <w:r w:rsidRPr="00AF7759">
              <w:rPr>
                <w:rFonts w:ascii="Times New Roman" w:hAnsi="Times New Roman"/>
                <w:lang w:eastAsia="ru-RU"/>
              </w:rPr>
              <w:t>Предложение разработчиков</w:t>
            </w:r>
          </w:p>
        </w:tc>
      </w:tr>
      <w:tr w:rsidR="002D1E45" w:rsidRPr="00AF7759" w:rsidTr="00C8545B">
        <w:trPr>
          <w:cantSplit/>
          <w:trHeight w:val="170"/>
          <w:jc w:val="center"/>
        </w:trPr>
        <w:tc>
          <w:tcPr>
            <w:tcW w:w="208" w:type="pct"/>
            <w:vAlign w:val="center"/>
          </w:tcPr>
          <w:p w:rsidR="002D1E45" w:rsidRPr="00AF7759" w:rsidRDefault="002D1E45" w:rsidP="00427382">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427382">
            <w:pPr>
              <w:autoSpaceDE w:val="0"/>
              <w:autoSpaceDN w:val="0"/>
              <w:adjustRightInd w:val="0"/>
              <w:spacing w:after="0" w:line="240" w:lineRule="auto"/>
              <w:rPr>
                <w:rFonts w:ascii="Times New Roman" w:hAnsi="Times New Roman"/>
                <w:lang w:eastAsia="ru-RU"/>
              </w:rPr>
            </w:pPr>
            <w:r w:rsidRPr="00AF7759">
              <w:rPr>
                <w:rFonts w:ascii="Times New Roman" w:hAnsi="Times New Roman"/>
                <w:lang w:eastAsia="ru-RU"/>
              </w:rPr>
              <w:t>Открытые парковки для личного автотранспорта</w:t>
            </w:r>
          </w:p>
        </w:tc>
        <w:tc>
          <w:tcPr>
            <w:tcW w:w="698" w:type="pct"/>
            <w:vAlign w:val="center"/>
          </w:tcPr>
          <w:p w:rsidR="002D1E45" w:rsidRPr="00AF7759" w:rsidRDefault="002D1E45" w:rsidP="00427382">
            <w:pPr>
              <w:tabs>
                <w:tab w:val="left" w:pos="1418"/>
              </w:tabs>
              <w:spacing w:after="0" w:line="240" w:lineRule="auto"/>
              <w:rPr>
                <w:rFonts w:ascii="Times New Roman" w:hAnsi="Times New Roman"/>
                <w:lang w:eastAsia="ru-RU"/>
              </w:rPr>
            </w:pPr>
            <w:r w:rsidRPr="00AF7759">
              <w:rPr>
                <w:rFonts w:ascii="Times New Roman" w:hAnsi="Times New Roman"/>
              </w:rPr>
              <w:t>г. Куйбышев</w:t>
            </w:r>
          </w:p>
        </w:tc>
        <w:tc>
          <w:tcPr>
            <w:tcW w:w="754" w:type="pct"/>
            <w:vAlign w:val="center"/>
          </w:tcPr>
          <w:p w:rsidR="002D1E45" w:rsidRPr="00AF7759" w:rsidRDefault="002D1E45" w:rsidP="00427382">
            <w:pPr>
              <w:spacing w:after="0" w:line="240" w:lineRule="auto"/>
              <w:jc w:val="center"/>
              <w:rPr>
                <w:rFonts w:ascii="Times New Roman" w:hAnsi="Times New Roman"/>
                <w:lang w:eastAsia="ru-RU"/>
              </w:rPr>
            </w:pPr>
            <w:r w:rsidRPr="00AF7759">
              <w:rPr>
                <w:rFonts w:ascii="Times New Roman" w:hAnsi="Times New Roman"/>
                <w:lang w:eastAsia="ru-RU"/>
              </w:rPr>
              <w:t>до 10,7 тыс. машино-мест</w:t>
            </w:r>
          </w:p>
        </w:tc>
        <w:tc>
          <w:tcPr>
            <w:tcW w:w="773" w:type="pct"/>
            <w:vAlign w:val="center"/>
          </w:tcPr>
          <w:p w:rsidR="002D1E45" w:rsidRPr="00AF7759" w:rsidRDefault="002D1E45" w:rsidP="00427382">
            <w:pPr>
              <w:spacing w:after="0" w:line="240" w:lineRule="auto"/>
              <w:jc w:val="center"/>
              <w:rPr>
                <w:rFonts w:ascii="Times New Roman" w:hAnsi="Times New Roman"/>
                <w:lang w:eastAsia="ru-RU"/>
              </w:rPr>
            </w:pPr>
            <w:r w:rsidRPr="00AF7759">
              <w:rPr>
                <w:rFonts w:ascii="Times New Roman" w:hAnsi="Times New Roman"/>
              </w:rPr>
              <w:t>Не устанавливается</w:t>
            </w:r>
          </w:p>
        </w:tc>
        <w:tc>
          <w:tcPr>
            <w:tcW w:w="609" w:type="pct"/>
            <w:vAlign w:val="center"/>
          </w:tcPr>
          <w:p w:rsidR="002D1E45" w:rsidRPr="00AF7759" w:rsidRDefault="002D1E45" w:rsidP="00427382">
            <w:pPr>
              <w:spacing w:after="0" w:line="240" w:lineRule="auto"/>
              <w:jc w:val="center"/>
              <w:rPr>
                <w:rFonts w:ascii="Times New Roman" w:hAnsi="Times New Roman"/>
                <w:lang w:eastAsia="ru-RU"/>
              </w:rPr>
            </w:pPr>
            <w:r w:rsidRPr="00AF7759">
              <w:rPr>
                <w:rFonts w:ascii="Times New Roman" w:hAnsi="Times New Roman"/>
                <w:lang w:eastAsia="ru-RU"/>
              </w:rPr>
              <w:t>Расчётный срок</w:t>
            </w:r>
          </w:p>
        </w:tc>
        <w:tc>
          <w:tcPr>
            <w:tcW w:w="1009" w:type="pct"/>
            <w:vAlign w:val="center"/>
          </w:tcPr>
          <w:p w:rsidR="002D1E45" w:rsidRPr="00AF7759" w:rsidRDefault="002D1E45" w:rsidP="00427382">
            <w:pPr>
              <w:spacing w:after="0" w:line="240" w:lineRule="auto"/>
              <w:jc w:val="center"/>
              <w:rPr>
                <w:rFonts w:ascii="Times New Roman" w:hAnsi="Times New Roman"/>
                <w:lang w:eastAsia="ru-RU"/>
              </w:rPr>
            </w:pPr>
            <w:r w:rsidRPr="00AF7759">
              <w:rPr>
                <w:rFonts w:ascii="Times New Roman" w:hAnsi="Times New Roman"/>
                <w:lang w:eastAsia="ru-RU"/>
              </w:rPr>
              <w:t>Предложение разработчиков</w:t>
            </w:r>
          </w:p>
        </w:tc>
      </w:tr>
      <w:tr w:rsidR="002D1E45" w:rsidRPr="00AF7759" w:rsidTr="00C8545B">
        <w:trPr>
          <w:cantSplit/>
          <w:trHeight w:val="170"/>
          <w:jc w:val="center"/>
        </w:trPr>
        <w:tc>
          <w:tcPr>
            <w:tcW w:w="208" w:type="pct"/>
            <w:vAlign w:val="center"/>
          </w:tcPr>
          <w:p w:rsidR="002D1E45" w:rsidRPr="00AF7759" w:rsidRDefault="002D1E45" w:rsidP="00427382">
            <w:pPr>
              <w:numPr>
                <w:ilvl w:val="0"/>
                <w:numId w:val="42"/>
              </w:numPr>
              <w:tabs>
                <w:tab w:val="left" w:pos="497"/>
              </w:tabs>
              <w:spacing w:after="0" w:line="240" w:lineRule="auto"/>
              <w:jc w:val="right"/>
              <w:rPr>
                <w:rFonts w:ascii="Times New Roman" w:hAnsi="Times New Roman"/>
              </w:rPr>
            </w:pPr>
          </w:p>
        </w:tc>
        <w:tc>
          <w:tcPr>
            <w:tcW w:w="949" w:type="pct"/>
            <w:vAlign w:val="center"/>
          </w:tcPr>
          <w:p w:rsidR="002D1E45" w:rsidRPr="00AF7759" w:rsidRDefault="002D1E45" w:rsidP="00427382">
            <w:pPr>
              <w:autoSpaceDE w:val="0"/>
              <w:autoSpaceDN w:val="0"/>
              <w:adjustRightInd w:val="0"/>
              <w:spacing w:after="0" w:line="240" w:lineRule="auto"/>
              <w:rPr>
                <w:rFonts w:ascii="Times New Roman" w:hAnsi="Times New Roman"/>
                <w:lang w:eastAsia="ru-RU"/>
              </w:rPr>
            </w:pPr>
            <w:r w:rsidRPr="00AF7759">
              <w:rPr>
                <w:rFonts w:ascii="Times New Roman" w:hAnsi="Times New Roman"/>
                <w:lang w:eastAsia="ru-RU"/>
              </w:rPr>
              <w:t>Включение объекта размещения отходов в ГРОРО, дооснащение и последующая его рекультивация после ввода полигона в г. Барабинск</w:t>
            </w:r>
          </w:p>
        </w:tc>
        <w:tc>
          <w:tcPr>
            <w:tcW w:w="698" w:type="pct"/>
            <w:vAlign w:val="center"/>
          </w:tcPr>
          <w:p w:rsidR="002D1E45" w:rsidRPr="00AF7759" w:rsidRDefault="002D1E45" w:rsidP="00427382">
            <w:pPr>
              <w:tabs>
                <w:tab w:val="left" w:pos="1418"/>
              </w:tabs>
              <w:spacing w:after="0" w:line="240" w:lineRule="auto"/>
              <w:rPr>
                <w:rFonts w:ascii="Times New Roman" w:hAnsi="Times New Roman"/>
                <w:lang w:eastAsia="ru-RU"/>
              </w:rPr>
            </w:pPr>
            <w:r w:rsidRPr="00AF7759">
              <w:rPr>
                <w:rFonts w:ascii="Times New Roman" w:hAnsi="Times New Roman"/>
              </w:rPr>
              <w:t>г. Куйбышев</w:t>
            </w:r>
          </w:p>
        </w:tc>
        <w:tc>
          <w:tcPr>
            <w:tcW w:w="754" w:type="pct"/>
            <w:vAlign w:val="center"/>
          </w:tcPr>
          <w:p w:rsidR="002D1E45" w:rsidRPr="00AF7759" w:rsidRDefault="002D1E45" w:rsidP="00427382">
            <w:pPr>
              <w:spacing w:after="0" w:line="240" w:lineRule="auto"/>
              <w:jc w:val="center"/>
              <w:rPr>
                <w:rFonts w:ascii="Times New Roman" w:hAnsi="Times New Roman"/>
                <w:lang w:eastAsia="ru-RU"/>
              </w:rPr>
            </w:pPr>
            <w:r w:rsidRPr="00AF7759">
              <w:rPr>
                <w:rFonts w:ascii="Times New Roman" w:hAnsi="Times New Roman"/>
                <w:lang w:eastAsia="ru-RU"/>
              </w:rPr>
              <w:t>без увеличения мощности</w:t>
            </w:r>
          </w:p>
        </w:tc>
        <w:tc>
          <w:tcPr>
            <w:tcW w:w="773" w:type="pct"/>
            <w:vAlign w:val="center"/>
          </w:tcPr>
          <w:p w:rsidR="002D1E45" w:rsidRPr="00AF7759" w:rsidRDefault="002D1E45" w:rsidP="00427382">
            <w:pPr>
              <w:spacing w:after="0" w:line="240" w:lineRule="auto"/>
              <w:jc w:val="center"/>
              <w:rPr>
                <w:rFonts w:ascii="Times New Roman" w:hAnsi="Times New Roman"/>
                <w:lang w:eastAsia="ru-RU"/>
              </w:rPr>
            </w:pPr>
            <w:r w:rsidRPr="00AF7759">
              <w:rPr>
                <w:rFonts w:ascii="Times New Roman" w:hAnsi="Times New Roman"/>
                <w:szCs w:val="24"/>
              </w:rPr>
              <w:t>Санитарно-защитная зона</w:t>
            </w:r>
            <w:r w:rsidRPr="00AF7759">
              <w:rPr>
                <w:rFonts w:ascii="Times New Roman" w:hAnsi="Times New Roman"/>
                <w:szCs w:val="24"/>
                <w:vertAlign w:val="superscript"/>
              </w:rPr>
              <w:footnoteReference w:id="47"/>
            </w:r>
            <w:r w:rsidRPr="00AF7759">
              <w:rPr>
                <w:rFonts w:ascii="Times New Roman" w:hAnsi="Times New Roman"/>
                <w:szCs w:val="24"/>
                <w:vertAlign w:val="superscript"/>
              </w:rPr>
              <w:t xml:space="preserve"> </w:t>
            </w:r>
            <w:r w:rsidRPr="00AF7759">
              <w:rPr>
                <w:rFonts w:ascii="Times New Roman" w:hAnsi="Times New Roman"/>
                <w:szCs w:val="24"/>
              </w:rPr>
              <w:t>– 500 м</w:t>
            </w:r>
          </w:p>
        </w:tc>
        <w:tc>
          <w:tcPr>
            <w:tcW w:w="609" w:type="pct"/>
            <w:vAlign w:val="center"/>
          </w:tcPr>
          <w:p w:rsidR="002D1E45" w:rsidRPr="00AF7759" w:rsidRDefault="002D1E45" w:rsidP="00427382">
            <w:pPr>
              <w:spacing w:after="0" w:line="240" w:lineRule="auto"/>
              <w:jc w:val="center"/>
              <w:rPr>
                <w:rFonts w:ascii="Times New Roman" w:hAnsi="Times New Roman"/>
                <w:lang w:eastAsia="ru-RU"/>
              </w:rPr>
            </w:pPr>
            <w:r w:rsidRPr="00AF7759">
              <w:rPr>
                <w:rFonts w:ascii="Times New Roman" w:hAnsi="Times New Roman"/>
                <w:lang w:eastAsia="ru-RU"/>
              </w:rPr>
              <w:t>Первая очередь</w:t>
            </w:r>
          </w:p>
        </w:tc>
        <w:tc>
          <w:tcPr>
            <w:tcW w:w="1009" w:type="pct"/>
            <w:vAlign w:val="center"/>
          </w:tcPr>
          <w:p w:rsidR="002D1E45" w:rsidRPr="00AF7759" w:rsidRDefault="002D1E45" w:rsidP="00427382">
            <w:pPr>
              <w:spacing w:after="0" w:line="240" w:lineRule="auto"/>
              <w:jc w:val="center"/>
              <w:rPr>
                <w:rFonts w:ascii="Times New Roman" w:hAnsi="Times New Roman"/>
                <w:lang w:eastAsia="ru-RU"/>
              </w:rPr>
            </w:pPr>
            <w:r w:rsidRPr="00AF7759">
              <w:rPr>
                <w:rFonts w:ascii="Times New Roman" w:hAnsi="Times New Roman"/>
                <w:lang w:eastAsia="ru-RU"/>
              </w:rPr>
              <w:t>Территориальная схема обращения с отходами НСО</w:t>
            </w:r>
          </w:p>
        </w:tc>
      </w:tr>
      <w:bookmarkEnd w:id="375"/>
    </w:tbl>
    <w:p w:rsidR="002D1E45" w:rsidRPr="007D2EB8" w:rsidRDefault="002D1E45" w:rsidP="007D2EB8">
      <w:pPr>
        <w:spacing w:after="0" w:line="240" w:lineRule="auto"/>
        <w:rPr>
          <w:rFonts w:ascii="Times New Roman" w:hAnsi="Times New Roman"/>
          <w:vanish/>
          <w:sz w:val="2"/>
          <w:szCs w:val="2"/>
        </w:rPr>
      </w:pPr>
    </w:p>
    <w:p w:rsidR="002D1E45" w:rsidRPr="003A7901" w:rsidRDefault="002D1E45" w:rsidP="003A7901">
      <w:pPr>
        <w:spacing w:after="0" w:line="240" w:lineRule="auto"/>
        <w:rPr>
          <w:rFonts w:ascii="Times New Roman" w:hAnsi="Times New Roman"/>
          <w:vanish/>
          <w:sz w:val="2"/>
          <w:szCs w:val="2"/>
        </w:rPr>
      </w:pPr>
    </w:p>
    <w:p w:rsidR="002D1E45" w:rsidRPr="003A7901" w:rsidRDefault="002D1E45" w:rsidP="003A7901">
      <w:pPr>
        <w:spacing w:after="0" w:line="240" w:lineRule="auto"/>
        <w:rPr>
          <w:rFonts w:ascii="Times New Roman" w:hAnsi="Times New Roman"/>
          <w:vanish/>
          <w:sz w:val="2"/>
          <w:szCs w:val="2"/>
        </w:rPr>
      </w:pPr>
    </w:p>
    <w:p w:rsidR="002D1E45" w:rsidRPr="003A7901" w:rsidRDefault="002D1E45" w:rsidP="003A7901">
      <w:pPr>
        <w:tabs>
          <w:tab w:val="left" w:pos="1418"/>
        </w:tabs>
        <w:spacing w:after="0" w:line="240" w:lineRule="auto"/>
        <w:rPr>
          <w:rFonts w:ascii="Times New Roman" w:hAnsi="Times New Roman"/>
        </w:rPr>
        <w:sectPr w:rsidR="002D1E45" w:rsidRPr="003A7901" w:rsidSect="00426B31">
          <w:pgSz w:w="16838" w:h="11906" w:orient="landscape"/>
          <w:pgMar w:top="567" w:right="1134" w:bottom="1134" w:left="1134" w:header="709" w:footer="794" w:gutter="0"/>
          <w:cols w:space="708"/>
          <w:titlePg/>
          <w:docGrid w:linePitch="360"/>
        </w:sectPr>
      </w:pPr>
    </w:p>
    <w:p w:rsidR="002D1E45" w:rsidRPr="00F027A9" w:rsidRDefault="002D1E45" w:rsidP="00175844">
      <w:pPr>
        <w:spacing w:after="0" w:line="240" w:lineRule="auto"/>
        <w:ind w:firstLine="709"/>
        <w:jc w:val="both"/>
        <w:rPr>
          <w:rFonts w:ascii="Times New Roman" w:hAnsi="Times New Roman"/>
          <w:sz w:val="28"/>
          <w:szCs w:val="28"/>
          <w:u w:val="single"/>
        </w:rPr>
      </w:pPr>
      <w:r w:rsidRPr="00F027A9">
        <w:rPr>
          <w:rFonts w:ascii="Times New Roman" w:hAnsi="Times New Roman"/>
          <w:sz w:val="28"/>
          <w:szCs w:val="28"/>
          <w:u w:val="single"/>
        </w:rPr>
        <w:t xml:space="preserve">Оценка возможного влияния планируемых для размещения объектов местного значения </w:t>
      </w:r>
      <w:r>
        <w:rPr>
          <w:rFonts w:ascii="Times New Roman" w:hAnsi="Times New Roman"/>
          <w:sz w:val="28"/>
          <w:szCs w:val="28"/>
          <w:u w:val="single"/>
        </w:rPr>
        <w:t>города</w:t>
      </w:r>
      <w:r w:rsidRPr="00F027A9">
        <w:rPr>
          <w:rFonts w:ascii="Times New Roman" w:hAnsi="Times New Roman"/>
          <w:sz w:val="28"/>
          <w:szCs w:val="28"/>
          <w:u w:val="single"/>
        </w:rPr>
        <w:t xml:space="preserve"> на</w:t>
      </w:r>
      <w:r>
        <w:rPr>
          <w:rFonts w:ascii="Times New Roman" w:hAnsi="Times New Roman"/>
          <w:sz w:val="28"/>
          <w:szCs w:val="28"/>
          <w:u w:val="single"/>
        </w:rPr>
        <w:t> </w:t>
      </w:r>
      <w:r w:rsidRPr="00F027A9">
        <w:rPr>
          <w:rFonts w:ascii="Times New Roman" w:hAnsi="Times New Roman"/>
          <w:sz w:val="28"/>
          <w:szCs w:val="28"/>
          <w:u w:val="single"/>
        </w:rPr>
        <w:t>комплексное развитие территории</w:t>
      </w:r>
    </w:p>
    <w:p w:rsidR="002D1E45" w:rsidRPr="00175844" w:rsidRDefault="002D1E45" w:rsidP="00175844">
      <w:pPr>
        <w:spacing w:after="0" w:line="240" w:lineRule="auto"/>
        <w:ind w:firstLine="709"/>
        <w:jc w:val="both"/>
        <w:rPr>
          <w:rFonts w:ascii="Times New Roman" w:hAnsi="Times New Roman"/>
          <w:sz w:val="28"/>
          <w:szCs w:val="28"/>
        </w:rPr>
      </w:pPr>
      <w:r w:rsidRPr="00175844">
        <w:rPr>
          <w:rFonts w:ascii="Times New Roman" w:hAnsi="Times New Roman"/>
          <w:sz w:val="28"/>
          <w:szCs w:val="28"/>
        </w:rPr>
        <w:t xml:space="preserve">Проект </w:t>
      </w:r>
      <w:r>
        <w:rPr>
          <w:rFonts w:ascii="Times New Roman" w:hAnsi="Times New Roman"/>
          <w:sz w:val="28"/>
          <w:szCs w:val="28"/>
        </w:rPr>
        <w:t>Г</w:t>
      </w:r>
      <w:r w:rsidRPr="00175844">
        <w:rPr>
          <w:rFonts w:ascii="Times New Roman" w:hAnsi="Times New Roman"/>
          <w:sz w:val="28"/>
          <w:szCs w:val="28"/>
        </w:rPr>
        <w:t>енеральн</w:t>
      </w:r>
      <w:r>
        <w:rPr>
          <w:rFonts w:ascii="Times New Roman" w:hAnsi="Times New Roman"/>
          <w:sz w:val="28"/>
          <w:szCs w:val="28"/>
        </w:rPr>
        <w:t>ого</w:t>
      </w:r>
      <w:r w:rsidRPr="00175844">
        <w:rPr>
          <w:rFonts w:ascii="Times New Roman" w:hAnsi="Times New Roman"/>
          <w:sz w:val="28"/>
          <w:szCs w:val="28"/>
        </w:rPr>
        <w:t xml:space="preserve"> план</w:t>
      </w:r>
      <w:r>
        <w:rPr>
          <w:rFonts w:ascii="Times New Roman" w:hAnsi="Times New Roman"/>
          <w:sz w:val="28"/>
          <w:szCs w:val="28"/>
        </w:rPr>
        <w:t>а</w:t>
      </w:r>
      <w:r w:rsidRPr="00175844">
        <w:rPr>
          <w:rFonts w:ascii="Times New Roman" w:hAnsi="Times New Roman"/>
          <w:sz w:val="28"/>
          <w:szCs w:val="28"/>
        </w:rPr>
        <w:t xml:space="preserve"> предусматривает ряд мероприятий по</w:t>
      </w:r>
      <w:r>
        <w:rPr>
          <w:rFonts w:ascii="Times New Roman" w:hAnsi="Times New Roman"/>
          <w:sz w:val="28"/>
          <w:szCs w:val="28"/>
        </w:rPr>
        <w:t> </w:t>
      </w:r>
      <w:r w:rsidRPr="00175844">
        <w:rPr>
          <w:rFonts w:ascii="Times New Roman" w:hAnsi="Times New Roman"/>
          <w:sz w:val="28"/>
          <w:szCs w:val="28"/>
        </w:rPr>
        <w:t xml:space="preserve">территориальному развитию </w:t>
      </w:r>
      <w:r>
        <w:rPr>
          <w:rFonts w:ascii="Times New Roman" w:hAnsi="Times New Roman"/>
          <w:sz w:val="28"/>
          <w:szCs w:val="28"/>
        </w:rPr>
        <w:t>анализируемых населённых пунктов</w:t>
      </w:r>
      <w:r w:rsidRPr="00175844">
        <w:rPr>
          <w:rFonts w:ascii="Times New Roman" w:hAnsi="Times New Roman"/>
          <w:sz w:val="28"/>
          <w:szCs w:val="28"/>
        </w:rPr>
        <w:t>, направленных на</w:t>
      </w:r>
      <w:r>
        <w:rPr>
          <w:rFonts w:ascii="Times New Roman" w:hAnsi="Times New Roman"/>
          <w:sz w:val="28"/>
          <w:szCs w:val="28"/>
        </w:rPr>
        <w:t> </w:t>
      </w:r>
      <w:r w:rsidRPr="00175844">
        <w:rPr>
          <w:rFonts w:ascii="Times New Roman" w:hAnsi="Times New Roman"/>
          <w:sz w:val="28"/>
          <w:szCs w:val="28"/>
        </w:rPr>
        <w:t>создание условий для роста экономических и</w:t>
      </w:r>
      <w:r>
        <w:rPr>
          <w:rFonts w:ascii="Times New Roman" w:hAnsi="Times New Roman"/>
          <w:sz w:val="28"/>
          <w:szCs w:val="28"/>
        </w:rPr>
        <w:t> </w:t>
      </w:r>
      <w:r w:rsidRPr="00175844">
        <w:rPr>
          <w:rFonts w:ascii="Times New Roman" w:hAnsi="Times New Roman"/>
          <w:sz w:val="28"/>
          <w:szCs w:val="28"/>
        </w:rPr>
        <w:t>социальных показателей муниципального образования.</w:t>
      </w:r>
    </w:p>
    <w:p w:rsidR="002D1E45" w:rsidRPr="00175844" w:rsidRDefault="002D1E45" w:rsidP="00175844">
      <w:pPr>
        <w:spacing w:after="0" w:line="240" w:lineRule="auto"/>
        <w:ind w:firstLine="709"/>
        <w:jc w:val="both"/>
        <w:rPr>
          <w:rFonts w:ascii="Times New Roman" w:hAnsi="Times New Roman"/>
          <w:sz w:val="28"/>
          <w:szCs w:val="28"/>
        </w:rPr>
      </w:pPr>
      <w:r w:rsidRPr="00175844">
        <w:rPr>
          <w:rFonts w:ascii="Times New Roman" w:hAnsi="Times New Roman"/>
          <w:sz w:val="28"/>
          <w:szCs w:val="28"/>
        </w:rPr>
        <w:t>Предусмотренные проектом генерального плана мероприятия по</w:t>
      </w:r>
      <w:r>
        <w:rPr>
          <w:rFonts w:ascii="Times New Roman" w:hAnsi="Times New Roman"/>
          <w:sz w:val="28"/>
          <w:szCs w:val="28"/>
        </w:rPr>
        <w:t> </w:t>
      </w:r>
      <w:r w:rsidRPr="00175844">
        <w:rPr>
          <w:rFonts w:ascii="Times New Roman" w:hAnsi="Times New Roman"/>
          <w:sz w:val="28"/>
          <w:szCs w:val="28"/>
        </w:rPr>
        <w:t>размещению объектов местного значения в</w:t>
      </w:r>
      <w:r>
        <w:rPr>
          <w:rFonts w:ascii="Times New Roman" w:hAnsi="Times New Roman"/>
          <w:sz w:val="28"/>
          <w:szCs w:val="28"/>
        </w:rPr>
        <w:t> </w:t>
      </w:r>
      <w:r w:rsidRPr="00175844">
        <w:rPr>
          <w:rFonts w:ascii="Times New Roman" w:hAnsi="Times New Roman"/>
          <w:sz w:val="28"/>
          <w:szCs w:val="28"/>
        </w:rPr>
        <w:t>сфере инженерного и</w:t>
      </w:r>
      <w:r>
        <w:rPr>
          <w:rFonts w:ascii="Times New Roman" w:hAnsi="Times New Roman"/>
          <w:sz w:val="28"/>
          <w:szCs w:val="28"/>
        </w:rPr>
        <w:t> </w:t>
      </w:r>
      <w:r w:rsidRPr="00175844">
        <w:rPr>
          <w:rFonts w:ascii="Times New Roman" w:hAnsi="Times New Roman"/>
          <w:sz w:val="28"/>
          <w:szCs w:val="28"/>
        </w:rPr>
        <w:t xml:space="preserve">транспортного обеспечения, социальной инфраструктуры предполагают создание условий для рационального использования территориальных ресурсов </w:t>
      </w:r>
      <w:r>
        <w:rPr>
          <w:rFonts w:ascii="Times New Roman" w:hAnsi="Times New Roman"/>
          <w:sz w:val="28"/>
          <w:szCs w:val="28"/>
        </w:rPr>
        <w:t>Города Куйбышева</w:t>
      </w:r>
      <w:r w:rsidRPr="00175844">
        <w:rPr>
          <w:rFonts w:ascii="Times New Roman" w:hAnsi="Times New Roman"/>
          <w:sz w:val="28"/>
          <w:szCs w:val="28"/>
        </w:rPr>
        <w:t>, в</w:t>
      </w:r>
      <w:r>
        <w:rPr>
          <w:rFonts w:ascii="Times New Roman" w:hAnsi="Times New Roman"/>
          <w:sz w:val="28"/>
          <w:szCs w:val="28"/>
        </w:rPr>
        <w:t> </w:t>
      </w:r>
      <w:r w:rsidRPr="00175844">
        <w:rPr>
          <w:rFonts w:ascii="Times New Roman" w:hAnsi="Times New Roman"/>
          <w:sz w:val="28"/>
          <w:szCs w:val="28"/>
        </w:rPr>
        <w:t>соответствии с</w:t>
      </w:r>
      <w:r>
        <w:rPr>
          <w:rFonts w:ascii="Times New Roman" w:hAnsi="Times New Roman"/>
          <w:sz w:val="28"/>
          <w:szCs w:val="28"/>
        </w:rPr>
        <w:t> </w:t>
      </w:r>
      <w:r w:rsidRPr="00175844">
        <w:rPr>
          <w:rFonts w:ascii="Times New Roman" w:hAnsi="Times New Roman"/>
          <w:sz w:val="28"/>
          <w:szCs w:val="28"/>
        </w:rPr>
        <w:t xml:space="preserve">целями Стратегии социально-экономического развития </w:t>
      </w:r>
      <w:r>
        <w:rPr>
          <w:rFonts w:ascii="Times New Roman" w:hAnsi="Times New Roman"/>
          <w:sz w:val="28"/>
          <w:szCs w:val="28"/>
        </w:rPr>
        <w:t>Куйбышевского района</w:t>
      </w:r>
      <w:r w:rsidRPr="00175844">
        <w:rPr>
          <w:rFonts w:ascii="Times New Roman" w:hAnsi="Times New Roman"/>
          <w:sz w:val="28"/>
          <w:szCs w:val="28"/>
        </w:rPr>
        <w:t xml:space="preserve"> на</w:t>
      </w:r>
      <w:r>
        <w:rPr>
          <w:rFonts w:ascii="Times New Roman" w:hAnsi="Times New Roman"/>
          <w:sz w:val="28"/>
          <w:szCs w:val="28"/>
        </w:rPr>
        <w:t> 2019-</w:t>
      </w:r>
      <w:r w:rsidRPr="00175844">
        <w:rPr>
          <w:rFonts w:ascii="Times New Roman" w:hAnsi="Times New Roman"/>
          <w:sz w:val="28"/>
          <w:szCs w:val="28"/>
        </w:rPr>
        <w:t>20</w:t>
      </w:r>
      <w:r>
        <w:rPr>
          <w:rFonts w:ascii="Times New Roman" w:hAnsi="Times New Roman"/>
          <w:sz w:val="28"/>
          <w:szCs w:val="28"/>
        </w:rPr>
        <w:t>30</w:t>
      </w:r>
      <w:r w:rsidRPr="00175844">
        <w:rPr>
          <w:rFonts w:ascii="Times New Roman" w:hAnsi="Times New Roman"/>
          <w:sz w:val="28"/>
          <w:szCs w:val="28"/>
        </w:rPr>
        <w:t xml:space="preserve"> год</w:t>
      </w:r>
      <w:r>
        <w:rPr>
          <w:rFonts w:ascii="Times New Roman" w:hAnsi="Times New Roman"/>
          <w:sz w:val="28"/>
          <w:szCs w:val="28"/>
        </w:rPr>
        <w:t>ы</w:t>
      </w:r>
      <w:r w:rsidRPr="00175844">
        <w:rPr>
          <w:rFonts w:ascii="Times New Roman" w:hAnsi="Times New Roman"/>
          <w:sz w:val="28"/>
          <w:szCs w:val="28"/>
        </w:rPr>
        <w:t>, а</w:t>
      </w:r>
      <w:r>
        <w:rPr>
          <w:rFonts w:ascii="Times New Roman" w:hAnsi="Times New Roman"/>
          <w:sz w:val="28"/>
          <w:szCs w:val="28"/>
        </w:rPr>
        <w:t> </w:t>
      </w:r>
      <w:r w:rsidRPr="00175844">
        <w:rPr>
          <w:rFonts w:ascii="Times New Roman" w:hAnsi="Times New Roman"/>
          <w:sz w:val="28"/>
          <w:szCs w:val="28"/>
        </w:rPr>
        <w:t>также с</w:t>
      </w:r>
      <w:r>
        <w:rPr>
          <w:rFonts w:ascii="Times New Roman" w:hAnsi="Times New Roman"/>
          <w:sz w:val="28"/>
          <w:szCs w:val="28"/>
        </w:rPr>
        <w:t> </w:t>
      </w:r>
      <w:r w:rsidRPr="00175844">
        <w:rPr>
          <w:rFonts w:ascii="Times New Roman" w:hAnsi="Times New Roman"/>
          <w:sz w:val="28"/>
          <w:szCs w:val="28"/>
        </w:rPr>
        <w:t xml:space="preserve">учётом требований </w:t>
      </w:r>
      <w:r>
        <w:rPr>
          <w:rFonts w:ascii="Times New Roman" w:hAnsi="Times New Roman"/>
          <w:sz w:val="28"/>
          <w:szCs w:val="28"/>
        </w:rPr>
        <w:t>региональных и местных нормативов градостроительного проектирования</w:t>
      </w:r>
      <w:r w:rsidRPr="00175844">
        <w:rPr>
          <w:rFonts w:ascii="Times New Roman" w:hAnsi="Times New Roman"/>
          <w:sz w:val="28"/>
          <w:szCs w:val="28"/>
        </w:rPr>
        <w:t xml:space="preserve"> и</w:t>
      </w:r>
      <w:r>
        <w:rPr>
          <w:rFonts w:ascii="Times New Roman" w:hAnsi="Times New Roman"/>
          <w:sz w:val="28"/>
          <w:szCs w:val="28"/>
        </w:rPr>
        <w:t> </w:t>
      </w:r>
      <w:r w:rsidRPr="00175844">
        <w:rPr>
          <w:rFonts w:ascii="Times New Roman" w:hAnsi="Times New Roman"/>
          <w:sz w:val="28"/>
          <w:szCs w:val="28"/>
        </w:rPr>
        <w:t>иных факторов, позволяющих создать комфортную серу жизнедеятельности населения средствами планирования развития территории.</w:t>
      </w:r>
    </w:p>
    <w:p w:rsidR="002D1E45" w:rsidRPr="00175844" w:rsidRDefault="002D1E45" w:rsidP="00175844">
      <w:pPr>
        <w:spacing w:after="0" w:line="240" w:lineRule="auto"/>
        <w:ind w:firstLine="709"/>
        <w:jc w:val="both"/>
        <w:rPr>
          <w:rFonts w:ascii="Times New Roman" w:hAnsi="Times New Roman"/>
          <w:sz w:val="28"/>
          <w:szCs w:val="28"/>
        </w:rPr>
      </w:pPr>
      <w:r w:rsidRPr="00175844">
        <w:rPr>
          <w:rFonts w:ascii="Times New Roman" w:hAnsi="Times New Roman"/>
          <w:sz w:val="28"/>
          <w:szCs w:val="28"/>
        </w:rPr>
        <w:t>Реализация мероприятий, заложенных генеральным планом в</w:t>
      </w:r>
      <w:r>
        <w:rPr>
          <w:rFonts w:ascii="Times New Roman" w:hAnsi="Times New Roman"/>
          <w:sz w:val="28"/>
          <w:szCs w:val="28"/>
        </w:rPr>
        <w:t> </w:t>
      </w:r>
      <w:r w:rsidRPr="00175844">
        <w:rPr>
          <w:rFonts w:ascii="Times New Roman" w:hAnsi="Times New Roman"/>
          <w:sz w:val="28"/>
          <w:szCs w:val="28"/>
        </w:rPr>
        <w:t>части развития транспортной сети в</w:t>
      </w:r>
      <w:r>
        <w:rPr>
          <w:rFonts w:ascii="Times New Roman" w:hAnsi="Times New Roman"/>
          <w:sz w:val="28"/>
          <w:szCs w:val="28"/>
        </w:rPr>
        <w:t> </w:t>
      </w:r>
      <w:r w:rsidRPr="00175844">
        <w:rPr>
          <w:rFonts w:ascii="Times New Roman" w:hAnsi="Times New Roman"/>
          <w:sz w:val="28"/>
          <w:szCs w:val="28"/>
        </w:rPr>
        <w:t xml:space="preserve">границах </w:t>
      </w:r>
      <w:r>
        <w:rPr>
          <w:rFonts w:ascii="Times New Roman" w:hAnsi="Times New Roman"/>
          <w:sz w:val="28"/>
          <w:szCs w:val="28"/>
        </w:rPr>
        <w:t>Города Куйбышева,</w:t>
      </w:r>
      <w:r w:rsidRPr="00175844">
        <w:rPr>
          <w:rFonts w:ascii="Times New Roman" w:hAnsi="Times New Roman"/>
          <w:sz w:val="28"/>
          <w:szCs w:val="28"/>
        </w:rPr>
        <w:t xml:space="preserve"> позволит повысить связность территорий внутри </w:t>
      </w:r>
      <w:r>
        <w:rPr>
          <w:rFonts w:ascii="Times New Roman" w:hAnsi="Times New Roman"/>
          <w:sz w:val="28"/>
          <w:szCs w:val="28"/>
        </w:rPr>
        <w:t>муниципального образования</w:t>
      </w:r>
      <w:r w:rsidRPr="00175844">
        <w:rPr>
          <w:rFonts w:ascii="Times New Roman" w:hAnsi="Times New Roman"/>
          <w:sz w:val="28"/>
          <w:szCs w:val="28"/>
        </w:rPr>
        <w:t>, а</w:t>
      </w:r>
      <w:r>
        <w:rPr>
          <w:rFonts w:ascii="Times New Roman" w:hAnsi="Times New Roman"/>
          <w:sz w:val="28"/>
          <w:szCs w:val="28"/>
        </w:rPr>
        <w:t> </w:t>
      </w:r>
      <w:r w:rsidRPr="00175844">
        <w:rPr>
          <w:rFonts w:ascii="Times New Roman" w:hAnsi="Times New Roman"/>
          <w:sz w:val="28"/>
          <w:szCs w:val="28"/>
        </w:rPr>
        <w:t>также с</w:t>
      </w:r>
      <w:r>
        <w:rPr>
          <w:rFonts w:ascii="Times New Roman" w:hAnsi="Times New Roman"/>
          <w:sz w:val="28"/>
          <w:szCs w:val="28"/>
        </w:rPr>
        <w:t> </w:t>
      </w:r>
      <w:r w:rsidRPr="00175844">
        <w:rPr>
          <w:rFonts w:ascii="Times New Roman" w:hAnsi="Times New Roman"/>
          <w:sz w:val="28"/>
          <w:szCs w:val="28"/>
        </w:rPr>
        <w:t xml:space="preserve">населёнными пунктами </w:t>
      </w:r>
      <w:r>
        <w:rPr>
          <w:rFonts w:ascii="Times New Roman" w:hAnsi="Times New Roman"/>
          <w:sz w:val="28"/>
          <w:szCs w:val="28"/>
        </w:rPr>
        <w:t>Куйбышевского района</w:t>
      </w:r>
      <w:r w:rsidRPr="00175844">
        <w:rPr>
          <w:rFonts w:ascii="Times New Roman" w:hAnsi="Times New Roman"/>
          <w:sz w:val="28"/>
          <w:szCs w:val="28"/>
        </w:rPr>
        <w:t>. Будут созданы условия для выполнения требований территориальной доступности объектов обслуживания населения в</w:t>
      </w:r>
      <w:r>
        <w:rPr>
          <w:rFonts w:ascii="Times New Roman" w:hAnsi="Times New Roman"/>
          <w:sz w:val="28"/>
          <w:szCs w:val="28"/>
        </w:rPr>
        <w:t> </w:t>
      </w:r>
      <w:r w:rsidRPr="00175844">
        <w:rPr>
          <w:rFonts w:ascii="Times New Roman" w:hAnsi="Times New Roman"/>
          <w:sz w:val="28"/>
          <w:szCs w:val="28"/>
        </w:rPr>
        <w:t>границах района. Повысится уровень доступности объектов производственного назначения, в</w:t>
      </w:r>
      <w:r>
        <w:rPr>
          <w:rFonts w:ascii="Times New Roman" w:hAnsi="Times New Roman"/>
          <w:sz w:val="28"/>
          <w:szCs w:val="28"/>
        </w:rPr>
        <w:t> </w:t>
      </w:r>
      <w:r w:rsidRPr="00175844">
        <w:rPr>
          <w:rFonts w:ascii="Times New Roman" w:hAnsi="Times New Roman"/>
          <w:sz w:val="28"/>
          <w:szCs w:val="28"/>
        </w:rPr>
        <w:t>следствие чего повысится инвестиционная привлекательность территории. Развитие улично-дорожной сети в</w:t>
      </w:r>
      <w:r>
        <w:rPr>
          <w:rFonts w:ascii="Times New Roman" w:hAnsi="Times New Roman"/>
          <w:sz w:val="28"/>
          <w:szCs w:val="28"/>
        </w:rPr>
        <w:t> </w:t>
      </w:r>
      <w:r w:rsidRPr="00175844">
        <w:rPr>
          <w:rFonts w:ascii="Times New Roman" w:hAnsi="Times New Roman"/>
          <w:sz w:val="28"/>
          <w:szCs w:val="28"/>
        </w:rPr>
        <w:t>границах населённ</w:t>
      </w:r>
      <w:r>
        <w:rPr>
          <w:rFonts w:ascii="Times New Roman" w:hAnsi="Times New Roman"/>
          <w:sz w:val="28"/>
          <w:szCs w:val="28"/>
        </w:rPr>
        <w:t>ого</w:t>
      </w:r>
      <w:r w:rsidRPr="00175844">
        <w:rPr>
          <w:rFonts w:ascii="Times New Roman" w:hAnsi="Times New Roman"/>
          <w:sz w:val="28"/>
          <w:szCs w:val="28"/>
        </w:rPr>
        <w:t xml:space="preserve"> пункт</w:t>
      </w:r>
      <w:r>
        <w:rPr>
          <w:rFonts w:ascii="Times New Roman" w:hAnsi="Times New Roman"/>
          <w:sz w:val="28"/>
          <w:szCs w:val="28"/>
        </w:rPr>
        <w:t>а</w:t>
      </w:r>
      <w:r w:rsidRPr="00175844">
        <w:rPr>
          <w:rFonts w:ascii="Times New Roman" w:hAnsi="Times New Roman"/>
          <w:sz w:val="28"/>
          <w:szCs w:val="28"/>
        </w:rPr>
        <w:t xml:space="preserve"> позволит упорядочить </w:t>
      </w:r>
      <w:r>
        <w:rPr>
          <w:rFonts w:ascii="Times New Roman" w:hAnsi="Times New Roman"/>
          <w:sz w:val="28"/>
          <w:szCs w:val="28"/>
        </w:rPr>
        <w:t xml:space="preserve">его </w:t>
      </w:r>
      <w:r w:rsidRPr="00175844">
        <w:rPr>
          <w:rFonts w:ascii="Times New Roman" w:hAnsi="Times New Roman"/>
          <w:sz w:val="28"/>
          <w:szCs w:val="28"/>
        </w:rPr>
        <w:t>сложившуюся планировочную структуру, создаст условия для развития общественного транспорта.</w:t>
      </w:r>
    </w:p>
    <w:p w:rsidR="002D1E45" w:rsidRPr="00175844" w:rsidRDefault="002D1E45" w:rsidP="00175844">
      <w:pPr>
        <w:spacing w:after="0" w:line="240" w:lineRule="auto"/>
        <w:ind w:firstLine="709"/>
        <w:jc w:val="both"/>
        <w:rPr>
          <w:rFonts w:ascii="Times New Roman" w:hAnsi="Times New Roman"/>
          <w:sz w:val="28"/>
          <w:szCs w:val="28"/>
        </w:rPr>
      </w:pPr>
      <w:r w:rsidRPr="00175844">
        <w:rPr>
          <w:rFonts w:ascii="Times New Roman" w:hAnsi="Times New Roman"/>
          <w:sz w:val="28"/>
          <w:szCs w:val="28"/>
        </w:rPr>
        <w:t>Немаловажным фактором создания благоприятных условий для жизни населения является наличие мест приложения труда, стабильный рост благосостояния жителей. Увеличение мощности объектов инженерной инфраструктуры позволит реализовать инвестиционные проекты в</w:t>
      </w:r>
      <w:r>
        <w:rPr>
          <w:rFonts w:ascii="Times New Roman" w:hAnsi="Times New Roman"/>
          <w:sz w:val="28"/>
          <w:szCs w:val="28"/>
        </w:rPr>
        <w:t> </w:t>
      </w:r>
      <w:r w:rsidRPr="00175844">
        <w:rPr>
          <w:rFonts w:ascii="Times New Roman" w:hAnsi="Times New Roman"/>
          <w:sz w:val="28"/>
          <w:szCs w:val="28"/>
        </w:rPr>
        <w:t>части развития логистики</w:t>
      </w:r>
      <w:r>
        <w:rPr>
          <w:rFonts w:ascii="Times New Roman" w:hAnsi="Times New Roman"/>
          <w:sz w:val="28"/>
          <w:szCs w:val="28"/>
        </w:rPr>
        <w:t xml:space="preserve"> и </w:t>
      </w:r>
      <w:r w:rsidRPr="00175844">
        <w:rPr>
          <w:rFonts w:ascii="Times New Roman" w:hAnsi="Times New Roman"/>
          <w:sz w:val="28"/>
          <w:szCs w:val="28"/>
        </w:rPr>
        <w:t>аграрного комплексов. Реализация проектных решений в</w:t>
      </w:r>
      <w:r>
        <w:rPr>
          <w:rFonts w:ascii="Times New Roman" w:hAnsi="Times New Roman"/>
          <w:sz w:val="28"/>
          <w:szCs w:val="28"/>
        </w:rPr>
        <w:t> </w:t>
      </w:r>
      <w:r w:rsidRPr="00175844">
        <w:rPr>
          <w:rFonts w:ascii="Times New Roman" w:hAnsi="Times New Roman"/>
          <w:sz w:val="28"/>
          <w:szCs w:val="28"/>
        </w:rPr>
        <w:t>части обеспечения территории объектами инженерной инфраструктуры создаст условия для комфортного проживания населения, повышения уровня благоустройства территории, развития жилищного строительства в</w:t>
      </w:r>
      <w:r>
        <w:rPr>
          <w:rFonts w:ascii="Times New Roman" w:hAnsi="Times New Roman"/>
          <w:sz w:val="28"/>
          <w:szCs w:val="28"/>
        </w:rPr>
        <w:t> </w:t>
      </w:r>
      <w:r w:rsidRPr="00175844">
        <w:rPr>
          <w:rFonts w:ascii="Times New Roman" w:hAnsi="Times New Roman"/>
          <w:sz w:val="28"/>
          <w:szCs w:val="28"/>
        </w:rPr>
        <w:t>границах населённ</w:t>
      </w:r>
      <w:r>
        <w:rPr>
          <w:rFonts w:ascii="Times New Roman" w:hAnsi="Times New Roman"/>
          <w:sz w:val="28"/>
          <w:szCs w:val="28"/>
        </w:rPr>
        <w:t>ого</w:t>
      </w:r>
      <w:r w:rsidRPr="00175844">
        <w:rPr>
          <w:rFonts w:ascii="Times New Roman" w:hAnsi="Times New Roman"/>
          <w:sz w:val="28"/>
          <w:szCs w:val="28"/>
        </w:rPr>
        <w:t xml:space="preserve"> пункт</w:t>
      </w:r>
      <w:r>
        <w:rPr>
          <w:rFonts w:ascii="Times New Roman" w:hAnsi="Times New Roman"/>
          <w:sz w:val="28"/>
          <w:szCs w:val="28"/>
        </w:rPr>
        <w:t>а</w:t>
      </w:r>
      <w:r w:rsidRPr="00175844">
        <w:rPr>
          <w:rFonts w:ascii="Times New Roman" w:hAnsi="Times New Roman"/>
          <w:sz w:val="28"/>
          <w:szCs w:val="28"/>
        </w:rPr>
        <w:t xml:space="preserve">. </w:t>
      </w:r>
    </w:p>
    <w:p w:rsidR="002D1E45" w:rsidRPr="00175844" w:rsidRDefault="002D1E45" w:rsidP="00175844">
      <w:pPr>
        <w:spacing w:after="0" w:line="240" w:lineRule="auto"/>
        <w:ind w:firstLine="709"/>
        <w:jc w:val="both"/>
        <w:rPr>
          <w:rFonts w:ascii="Times New Roman" w:hAnsi="Times New Roman"/>
          <w:sz w:val="28"/>
          <w:szCs w:val="28"/>
        </w:rPr>
      </w:pPr>
      <w:r w:rsidRPr="00175844">
        <w:rPr>
          <w:rFonts w:ascii="Times New Roman" w:hAnsi="Times New Roman"/>
          <w:sz w:val="28"/>
          <w:szCs w:val="28"/>
        </w:rPr>
        <w:t>Решения генерального плана в</w:t>
      </w:r>
      <w:r>
        <w:rPr>
          <w:rFonts w:ascii="Times New Roman" w:hAnsi="Times New Roman"/>
          <w:sz w:val="28"/>
          <w:szCs w:val="28"/>
        </w:rPr>
        <w:t> </w:t>
      </w:r>
      <w:r w:rsidRPr="00175844">
        <w:rPr>
          <w:rFonts w:ascii="Times New Roman" w:hAnsi="Times New Roman"/>
          <w:sz w:val="28"/>
          <w:szCs w:val="28"/>
        </w:rPr>
        <w:t>части установления функциональных зон обеспечивают условия сбалансированного пользования территориальными ресурсами, учитывают потребность в</w:t>
      </w:r>
      <w:r>
        <w:rPr>
          <w:rFonts w:ascii="Times New Roman" w:hAnsi="Times New Roman"/>
          <w:sz w:val="28"/>
          <w:szCs w:val="28"/>
        </w:rPr>
        <w:t> </w:t>
      </w:r>
      <w:r w:rsidRPr="00175844">
        <w:rPr>
          <w:rFonts w:ascii="Times New Roman" w:hAnsi="Times New Roman"/>
          <w:sz w:val="28"/>
          <w:szCs w:val="28"/>
        </w:rPr>
        <w:t>территориях для размещения как объектов местного значения поселения, так и</w:t>
      </w:r>
      <w:r>
        <w:rPr>
          <w:rFonts w:ascii="Times New Roman" w:hAnsi="Times New Roman"/>
          <w:sz w:val="28"/>
          <w:szCs w:val="28"/>
        </w:rPr>
        <w:t> </w:t>
      </w:r>
      <w:r w:rsidRPr="00175844">
        <w:rPr>
          <w:rFonts w:ascii="Times New Roman" w:hAnsi="Times New Roman"/>
          <w:sz w:val="28"/>
          <w:szCs w:val="28"/>
        </w:rPr>
        <w:t>объектов местного значения муниципального района, с</w:t>
      </w:r>
      <w:r>
        <w:rPr>
          <w:rFonts w:ascii="Times New Roman" w:hAnsi="Times New Roman"/>
          <w:sz w:val="28"/>
          <w:szCs w:val="28"/>
        </w:rPr>
        <w:t> </w:t>
      </w:r>
      <w:r w:rsidRPr="00175844">
        <w:rPr>
          <w:rFonts w:ascii="Times New Roman" w:hAnsi="Times New Roman"/>
          <w:sz w:val="28"/>
          <w:szCs w:val="28"/>
        </w:rPr>
        <w:t>учётом уточнения местоположения объектов регионального значения, размещение которых предусмотрено документом территориального планирования регионального уровня. Предусматривают необходимость повышения интенсивности градостроительного освоения территории, прилегающей к</w:t>
      </w:r>
      <w:r>
        <w:rPr>
          <w:rFonts w:ascii="Times New Roman" w:hAnsi="Times New Roman"/>
          <w:sz w:val="28"/>
          <w:szCs w:val="28"/>
        </w:rPr>
        <w:t> </w:t>
      </w:r>
      <w:r w:rsidRPr="00175844">
        <w:rPr>
          <w:rFonts w:ascii="Times New Roman" w:hAnsi="Times New Roman"/>
          <w:sz w:val="28"/>
          <w:szCs w:val="28"/>
        </w:rPr>
        <w:t>транспортным магистралям.</w:t>
      </w:r>
    </w:p>
    <w:p w:rsidR="002D1E45" w:rsidRPr="00175844" w:rsidRDefault="002D1E45" w:rsidP="00175844">
      <w:pPr>
        <w:spacing w:after="0" w:line="240" w:lineRule="auto"/>
        <w:ind w:firstLine="709"/>
        <w:jc w:val="both"/>
        <w:rPr>
          <w:rFonts w:ascii="Times New Roman" w:hAnsi="Times New Roman"/>
          <w:sz w:val="28"/>
          <w:szCs w:val="28"/>
        </w:rPr>
      </w:pPr>
      <w:r w:rsidRPr="00175844">
        <w:rPr>
          <w:rFonts w:ascii="Times New Roman" w:hAnsi="Times New Roman"/>
          <w:sz w:val="28"/>
          <w:szCs w:val="28"/>
        </w:rPr>
        <w:t>Привлекательность территории с</w:t>
      </w:r>
      <w:r>
        <w:rPr>
          <w:rFonts w:ascii="Times New Roman" w:hAnsi="Times New Roman"/>
          <w:sz w:val="28"/>
          <w:szCs w:val="28"/>
        </w:rPr>
        <w:t> </w:t>
      </w:r>
      <w:r w:rsidRPr="00175844">
        <w:rPr>
          <w:rFonts w:ascii="Times New Roman" w:hAnsi="Times New Roman"/>
          <w:sz w:val="28"/>
          <w:szCs w:val="28"/>
        </w:rPr>
        <w:t xml:space="preserve">позиций экологии, как места для постоянного проживания населения, обусловлена закреплением решениями генерального плана рекреационной функции территории </w:t>
      </w:r>
      <w:r>
        <w:rPr>
          <w:rFonts w:ascii="Times New Roman" w:hAnsi="Times New Roman"/>
          <w:sz w:val="28"/>
          <w:szCs w:val="28"/>
        </w:rPr>
        <w:t>Города Куйбышева</w:t>
      </w:r>
      <w:r w:rsidRPr="00175844">
        <w:rPr>
          <w:rFonts w:ascii="Times New Roman" w:hAnsi="Times New Roman"/>
          <w:sz w:val="28"/>
          <w:szCs w:val="28"/>
        </w:rPr>
        <w:t>, посредством мероприятий по</w:t>
      </w:r>
      <w:r>
        <w:rPr>
          <w:rFonts w:ascii="Times New Roman" w:hAnsi="Times New Roman"/>
          <w:sz w:val="28"/>
          <w:szCs w:val="28"/>
        </w:rPr>
        <w:t> </w:t>
      </w:r>
      <w:r w:rsidRPr="00175844">
        <w:rPr>
          <w:rFonts w:ascii="Times New Roman" w:hAnsi="Times New Roman"/>
          <w:sz w:val="28"/>
          <w:szCs w:val="28"/>
        </w:rPr>
        <w:t>совершенствованию системы санитарной очистки и</w:t>
      </w:r>
      <w:r>
        <w:rPr>
          <w:rFonts w:ascii="Times New Roman" w:hAnsi="Times New Roman"/>
          <w:sz w:val="28"/>
          <w:szCs w:val="28"/>
        </w:rPr>
        <w:t> </w:t>
      </w:r>
      <w:r w:rsidRPr="00175844">
        <w:rPr>
          <w:rFonts w:ascii="Times New Roman" w:hAnsi="Times New Roman"/>
          <w:sz w:val="28"/>
          <w:szCs w:val="28"/>
        </w:rPr>
        <w:t xml:space="preserve">уборки территории </w:t>
      </w:r>
      <w:r>
        <w:rPr>
          <w:rFonts w:ascii="Times New Roman" w:hAnsi="Times New Roman"/>
          <w:sz w:val="28"/>
          <w:szCs w:val="28"/>
        </w:rPr>
        <w:t>населённого пункта</w:t>
      </w:r>
      <w:r w:rsidRPr="00175844">
        <w:rPr>
          <w:rFonts w:ascii="Times New Roman" w:hAnsi="Times New Roman"/>
          <w:sz w:val="28"/>
          <w:szCs w:val="28"/>
        </w:rPr>
        <w:t>, которые позволят обеспечить рациональную организацию работы по</w:t>
      </w:r>
      <w:r>
        <w:rPr>
          <w:rFonts w:ascii="Times New Roman" w:hAnsi="Times New Roman"/>
          <w:sz w:val="28"/>
          <w:szCs w:val="28"/>
        </w:rPr>
        <w:t> </w:t>
      </w:r>
      <w:r w:rsidRPr="00175844">
        <w:rPr>
          <w:rFonts w:ascii="Times New Roman" w:hAnsi="Times New Roman"/>
          <w:sz w:val="28"/>
          <w:szCs w:val="28"/>
        </w:rPr>
        <w:t>сбору, удалению, обезвреживанию и</w:t>
      </w:r>
      <w:r>
        <w:rPr>
          <w:rFonts w:ascii="Times New Roman" w:hAnsi="Times New Roman"/>
          <w:sz w:val="28"/>
          <w:szCs w:val="28"/>
        </w:rPr>
        <w:t> </w:t>
      </w:r>
      <w:r w:rsidRPr="00175844">
        <w:rPr>
          <w:rFonts w:ascii="Times New Roman" w:hAnsi="Times New Roman"/>
          <w:sz w:val="28"/>
          <w:szCs w:val="28"/>
        </w:rPr>
        <w:t>утилизации отходов, а</w:t>
      </w:r>
      <w:r>
        <w:rPr>
          <w:rFonts w:ascii="Times New Roman" w:hAnsi="Times New Roman"/>
          <w:sz w:val="28"/>
          <w:szCs w:val="28"/>
        </w:rPr>
        <w:t> </w:t>
      </w:r>
      <w:r w:rsidRPr="00175844">
        <w:rPr>
          <w:rFonts w:ascii="Times New Roman" w:hAnsi="Times New Roman"/>
          <w:sz w:val="28"/>
          <w:szCs w:val="28"/>
        </w:rPr>
        <w:t>также по</w:t>
      </w:r>
      <w:r>
        <w:rPr>
          <w:rFonts w:ascii="Times New Roman" w:hAnsi="Times New Roman"/>
          <w:sz w:val="28"/>
          <w:szCs w:val="28"/>
        </w:rPr>
        <w:t> </w:t>
      </w:r>
      <w:r w:rsidRPr="00175844">
        <w:rPr>
          <w:rFonts w:ascii="Times New Roman" w:hAnsi="Times New Roman"/>
          <w:sz w:val="28"/>
          <w:szCs w:val="28"/>
        </w:rPr>
        <w:t>совершенствованию системы санитарной очистки и</w:t>
      </w:r>
      <w:r>
        <w:rPr>
          <w:rFonts w:ascii="Times New Roman" w:hAnsi="Times New Roman"/>
          <w:sz w:val="28"/>
          <w:szCs w:val="28"/>
        </w:rPr>
        <w:t> </w:t>
      </w:r>
      <w:r w:rsidRPr="00175844">
        <w:rPr>
          <w:rFonts w:ascii="Times New Roman" w:hAnsi="Times New Roman"/>
          <w:sz w:val="28"/>
          <w:szCs w:val="28"/>
        </w:rPr>
        <w:t xml:space="preserve">уборки территории </w:t>
      </w:r>
      <w:r>
        <w:rPr>
          <w:rFonts w:ascii="Times New Roman" w:hAnsi="Times New Roman"/>
          <w:sz w:val="28"/>
          <w:szCs w:val="28"/>
        </w:rPr>
        <w:t>города</w:t>
      </w:r>
      <w:r w:rsidRPr="00175844">
        <w:rPr>
          <w:rFonts w:ascii="Times New Roman" w:hAnsi="Times New Roman"/>
          <w:sz w:val="28"/>
          <w:szCs w:val="28"/>
        </w:rPr>
        <w:t>.</w:t>
      </w:r>
    </w:p>
    <w:p w:rsidR="002D1E45" w:rsidRPr="00175844" w:rsidRDefault="002D1E45" w:rsidP="00175844">
      <w:pPr>
        <w:spacing w:after="0" w:line="240" w:lineRule="auto"/>
        <w:ind w:firstLine="709"/>
        <w:jc w:val="both"/>
        <w:rPr>
          <w:rFonts w:ascii="Times New Roman" w:hAnsi="Times New Roman"/>
          <w:sz w:val="28"/>
          <w:szCs w:val="28"/>
        </w:rPr>
      </w:pPr>
      <w:r w:rsidRPr="00175844">
        <w:rPr>
          <w:rFonts w:ascii="Times New Roman" w:hAnsi="Times New Roman"/>
          <w:sz w:val="28"/>
          <w:szCs w:val="28"/>
        </w:rPr>
        <w:t>Предусмотренное генеральным планом развитие объектов социальной инфраструктуры позволит обеспечить потребность населения в</w:t>
      </w:r>
      <w:r>
        <w:rPr>
          <w:rFonts w:ascii="Times New Roman" w:hAnsi="Times New Roman"/>
          <w:sz w:val="28"/>
          <w:szCs w:val="28"/>
        </w:rPr>
        <w:t> </w:t>
      </w:r>
      <w:r w:rsidRPr="00175844">
        <w:rPr>
          <w:rFonts w:ascii="Times New Roman" w:hAnsi="Times New Roman"/>
          <w:sz w:val="28"/>
          <w:szCs w:val="28"/>
        </w:rPr>
        <w:t>количестве и</w:t>
      </w:r>
      <w:r>
        <w:rPr>
          <w:rFonts w:ascii="Times New Roman" w:hAnsi="Times New Roman"/>
          <w:sz w:val="28"/>
          <w:szCs w:val="28"/>
        </w:rPr>
        <w:t> </w:t>
      </w:r>
      <w:r w:rsidRPr="00175844">
        <w:rPr>
          <w:rFonts w:ascii="Times New Roman" w:hAnsi="Times New Roman"/>
          <w:sz w:val="28"/>
          <w:szCs w:val="28"/>
        </w:rPr>
        <w:t xml:space="preserve">территориальной доступности услуг необходимых для комфортного проживания. </w:t>
      </w:r>
    </w:p>
    <w:p w:rsidR="002D1E45" w:rsidRDefault="002D1E45" w:rsidP="00175844">
      <w:pPr>
        <w:spacing w:after="0" w:line="240" w:lineRule="auto"/>
        <w:ind w:firstLine="709"/>
        <w:jc w:val="both"/>
        <w:rPr>
          <w:rFonts w:ascii="Times New Roman" w:hAnsi="Times New Roman"/>
          <w:sz w:val="28"/>
          <w:szCs w:val="28"/>
        </w:rPr>
      </w:pPr>
      <w:r w:rsidRPr="00175844">
        <w:rPr>
          <w:rFonts w:ascii="Times New Roman" w:hAnsi="Times New Roman"/>
          <w:sz w:val="28"/>
          <w:szCs w:val="28"/>
        </w:rPr>
        <w:t xml:space="preserve">Проектные решения генерального плана предусматривают необходимость разработки градостроительной документации последующих уровней, тем самым создавая условия для планирования комплексного, устойчивого развития территории </w:t>
      </w:r>
      <w:r>
        <w:rPr>
          <w:rFonts w:ascii="Times New Roman" w:hAnsi="Times New Roman"/>
          <w:sz w:val="28"/>
          <w:szCs w:val="28"/>
        </w:rPr>
        <w:t>города</w:t>
      </w:r>
      <w:r w:rsidRPr="00175844">
        <w:rPr>
          <w:rFonts w:ascii="Times New Roman" w:hAnsi="Times New Roman"/>
          <w:sz w:val="28"/>
          <w:szCs w:val="28"/>
        </w:rPr>
        <w:t>.</w:t>
      </w:r>
    </w:p>
    <w:p w:rsidR="002D1E45" w:rsidRPr="00175844" w:rsidRDefault="002D1E45" w:rsidP="00175844">
      <w:pPr>
        <w:spacing w:after="0" w:line="240" w:lineRule="auto"/>
        <w:ind w:firstLine="709"/>
        <w:jc w:val="both"/>
        <w:rPr>
          <w:rFonts w:ascii="Times New Roman" w:hAnsi="Times New Roman"/>
          <w:sz w:val="28"/>
          <w:szCs w:val="28"/>
        </w:rPr>
      </w:pPr>
    </w:p>
    <w:p w:rsidR="002D1E45" w:rsidRDefault="002D1E45" w:rsidP="00852938">
      <w:pPr>
        <w:pStyle w:val="Heading1"/>
        <w:numPr>
          <w:ilvl w:val="0"/>
          <w:numId w:val="65"/>
        </w:numPr>
        <w:tabs>
          <w:tab w:val="left" w:pos="709"/>
        </w:tabs>
        <w:spacing w:after="240" w:line="240" w:lineRule="auto"/>
        <w:ind w:left="709" w:hanging="709"/>
        <w:rPr>
          <w:b/>
          <w:sz w:val="32"/>
        </w:rPr>
      </w:pPr>
      <w:bookmarkStart w:id="380" w:name="_Toc84936071"/>
      <w:r w:rsidRPr="0009250A">
        <w:rPr>
          <w:b/>
          <w:sz w:val="32"/>
        </w:rPr>
        <w:t>Основные технико-экономические показатели Генерального плана</w:t>
      </w:r>
      <w:bookmarkEnd w:id="380"/>
    </w:p>
    <w:p w:rsidR="002D1E45" w:rsidRPr="00D80E47" w:rsidRDefault="002D1E45" w:rsidP="00D80E47">
      <w:pPr>
        <w:autoSpaceDE w:val="0"/>
        <w:autoSpaceDN w:val="0"/>
        <w:adjustRightInd w:val="0"/>
        <w:spacing w:before="240" w:line="240" w:lineRule="auto"/>
        <w:ind w:left="142"/>
        <w:jc w:val="right"/>
        <w:rPr>
          <w:rFonts w:ascii="Times New Roman" w:hAnsi="Times New Roman"/>
          <w:sz w:val="28"/>
          <w:szCs w:val="28"/>
        </w:rPr>
      </w:pPr>
      <w:r w:rsidRPr="00D80E47">
        <w:rPr>
          <w:rFonts w:ascii="Times New Roman" w:hAnsi="Times New Roman"/>
          <w:sz w:val="28"/>
          <w:szCs w:val="28"/>
          <w:lang w:eastAsia="ru-RU"/>
        </w:rPr>
        <w:t xml:space="preserve">Таблица </w:t>
      </w:r>
      <w:r w:rsidRPr="00D80E47">
        <w:rPr>
          <w:rFonts w:ascii="Times New Roman" w:hAnsi="Times New Roman"/>
          <w:sz w:val="28"/>
          <w:szCs w:val="28"/>
        </w:rPr>
        <w:fldChar w:fldCharType="begin"/>
      </w:r>
      <w:r w:rsidRPr="00D80E47">
        <w:rPr>
          <w:rFonts w:ascii="Times New Roman" w:hAnsi="Times New Roman"/>
          <w:sz w:val="28"/>
          <w:szCs w:val="28"/>
        </w:rPr>
        <w:instrText xml:space="preserve"> SEQ Таблица \* ARABIC </w:instrText>
      </w:r>
      <w:r w:rsidRPr="00D80E47">
        <w:rPr>
          <w:rFonts w:ascii="Times New Roman" w:hAnsi="Times New Roman"/>
          <w:sz w:val="28"/>
          <w:szCs w:val="28"/>
        </w:rPr>
        <w:fldChar w:fldCharType="separate"/>
      </w:r>
      <w:r>
        <w:rPr>
          <w:rFonts w:ascii="Times New Roman" w:hAnsi="Times New Roman"/>
          <w:noProof/>
          <w:sz w:val="28"/>
          <w:szCs w:val="28"/>
        </w:rPr>
        <w:t>69</w:t>
      </w:r>
      <w:r w:rsidRPr="00D80E47">
        <w:rPr>
          <w:rFonts w:ascii="Times New Roman" w:hAnsi="Times New Roman"/>
          <w:sz w:val="28"/>
          <w:szCs w:val="28"/>
        </w:rPr>
        <w:fldChar w:fldCharType="end"/>
      </w:r>
    </w:p>
    <w:p w:rsidR="002D1E45" w:rsidRPr="00321345" w:rsidRDefault="002D1E45" w:rsidP="005F7CC1">
      <w:pPr>
        <w:spacing w:after="0" w:line="240" w:lineRule="auto"/>
        <w:rPr>
          <w:vanish/>
          <w:sz w:val="2"/>
          <w:szCs w:val="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96"/>
        <w:gridCol w:w="3890"/>
        <w:gridCol w:w="1843"/>
        <w:gridCol w:w="1890"/>
        <w:gridCol w:w="1576"/>
      </w:tblGrid>
      <w:tr w:rsidR="002D1E45" w:rsidRPr="00AC1044" w:rsidTr="00AC1044">
        <w:trPr>
          <w:trHeight w:val="269"/>
          <w:tblHeader/>
          <w:jc w:val="center"/>
        </w:trPr>
        <w:tc>
          <w:tcPr>
            <w:tcW w:w="996" w:type="dxa"/>
            <w:vMerge w:val="restart"/>
            <w:vAlign w:val="center"/>
          </w:tcPr>
          <w:bookmarkEnd w:id="116"/>
          <w:bookmarkEnd w:id="117"/>
          <w:bookmarkEnd w:id="118"/>
          <w:bookmarkEnd w:id="119"/>
          <w:bookmarkEnd w:id="120"/>
          <w:bookmarkEnd w:id="121"/>
          <w:bookmarkEnd w:id="122"/>
          <w:bookmarkEnd w:id="123"/>
          <w:bookmarkEnd w:id="124"/>
          <w:bookmarkEnd w:id="125"/>
          <w:bookmarkEnd w:id="126"/>
          <w:bookmarkEnd w:id="127"/>
          <w:bookmarkEnd w:id="128"/>
          <w:bookmarkEnd w:id="131"/>
          <w:bookmarkEnd w:id="132"/>
          <w:bookmarkEnd w:id="133"/>
          <w:bookmarkEnd w:id="134"/>
          <w:bookmarkEnd w:id="135"/>
          <w:p w:rsidR="002D1E45" w:rsidRPr="00381A47" w:rsidRDefault="002D1E45" w:rsidP="00AC1044">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 п/п</w:t>
            </w:r>
          </w:p>
        </w:tc>
        <w:tc>
          <w:tcPr>
            <w:tcW w:w="3890" w:type="dxa"/>
            <w:vMerge w:val="restart"/>
            <w:vAlign w:val="center"/>
          </w:tcPr>
          <w:p w:rsidR="002D1E45" w:rsidRPr="00381A47" w:rsidRDefault="002D1E45" w:rsidP="00AC1044">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Наименование показателя</w:t>
            </w:r>
          </w:p>
        </w:tc>
        <w:tc>
          <w:tcPr>
            <w:tcW w:w="1843" w:type="dxa"/>
            <w:vMerge w:val="restart"/>
            <w:vAlign w:val="center"/>
          </w:tcPr>
          <w:p w:rsidR="002D1E45" w:rsidRPr="00381A47" w:rsidRDefault="002D1E45" w:rsidP="00AC1044">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Единица измерения</w:t>
            </w:r>
          </w:p>
        </w:tc>
        <w:tc>
          <w:tcPr>
            <w:tcW w:w="1890" w:type="dxa"/>
            <w:vMerge w:val="restart"/>
            <w:vAlign w:val="center"/>
          </w:tcPr>
          <w:p w:rsidR="002D1E45" w:rsidRPr="00381A47" w:rsidRDefault="002D1E45" w:rsidP="00AC1044">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Современное состояние</w:t>
            </w:r>
          </w:p>
        </w:tc>
        <w:tc>
          <w:tcPr>
            <w:tcW w:w="1576" w:type="dxa"/>
            <w:vMerge w:val="restart"/>
            <w:vAlign w:val="center"/>
          </w:tcPr>
          <w:p w:rsidR="002D1E45" w:rsidRPr="00381A47" w:rsidRDefault="002D1E45" w:rsidP="00AC1044">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Расчётный срок</w:t>
            </w:r>
          </w:p>
        </w:tc>
      </w:tr>
      <w:tr w:rsidR="002D1E45" w:rsidRPr="00AC1044" w:rsidTr="00AC1044">
        <w:trPr>
          <w:trHeight w:val="269"/>
          <w:tblHeader/>
          <w:jc w:val="center"/>
        </w:trPr>
        <w:tc>
          <w:tcPr>
            <w:tcW w:w="996" w:type="dxa"/>
            <w:vMerge/>
            <w:vAlign w:val="center"/>
          </w:tcPr>
          <w:p w:rsidR="002D1E45" w:rsidRPr="00381A47" w:rsidRDefault="002D1E45" w:rsidP="00AC1044">
            <w:pPr>
              <w:spacing w:after="0" w:line="240" w:lineRule="auto"/>
              <w:rPr>
                <w:rFonts w:ascii="Times New Roman" w:hAnsi="Times New Roman"/>
                <w:color w:val="000000"/>
                <w:lang w:eastAsia="ru-RU"/>
              </w:rPr>
            </w:pPr>
          </w:p>
        </w:tc>
        <w:tc>
          <w:tcPr>
            <w:tcW w:w="3890" w:type="dxa"/>
            <w:vMerge/>
            <w:vAlign w:val="center"/>
          </w:tcPr>
          <w:p w:rsidR="002D1E45" w:rsidRPr="00381A47" w:rsidRDefault="002D1E45" w:rsidP="00AC1044">
            <w:pPr>
              <w:spacing w:after="0" w:line="240" w:lineRule="auto"/>
              <w:rPr>
                <w:rFonts w:ascii="Times New Roman" w:hAnsi="Times New Roman"/>
                <w:color w:val="000000"/>
                <w:lang w:eastAsia="ru-RU"/>
              </w:rPr>
            </w:pPr>
          </w:p>
        </w:tc>
        <w:tc>
          <w:tcPr>
            <w:tcW w:w="1843" w:type="dxa"/>
            <w:vMerge/>
            <w:vAlign w:val="center"/>
          </w:tcPr>
          <w:p w:rsidR="002D1E45" w:rsidRPr="00381A47" w:rsidRDefault="002D1E45" w:rsidP="00AC1044">
            <w:pPr>
              <w:spacing w:after="0" w:line="240" w:lineRule="auto"/>
              <w:rPr>
                <w:rFonts w:ascii="Times New Roman" w:hAnsi="Times New Roman"/>
                <w:color w:val="000000"/>
                <w:lang w:eastAsia="ru-RU"/>
              </w:rPr>
            </w:pPr>
          </w:p>
        </w:tc>
        <w:tc>
          <w:tcPr>
            <w:tcW w:w="1890" w:type="dxa"/>
            <w:vMerge/>
            <w:vAlign w:val="center"/>
          </w:tcPr>
          <w:p w:rsidR="002D1E45" w:rsidRPr="00381A47" w:rsidRDefault="002D1E45" w:rsidP="00AC1044">
            <w:pPr>
              <w:spacing w:after="0" w:line="240" w:lineRule="auto"/>
              <w:rPr>
                <w:rFonts w:ascii="Times New Roman" w:hAnsi="Times New Roman"/>
                <w:color w:val="000000"/>
                <w:lang w:eastAsia="ru-RU"/>
              </w:rPr>
            </w:pPr>
          </w:p>
        </w:tc>
        <w:tc>
          <w:tcPr>
            <w:tcW w:w="1576" w:type="dxa"/>
            <w:vMerge/>
            <w:vAlign w:val="center"/>
          </w:tcPr>
          <w:p w:rsidR="002D1E45" w:rsidRPr="00381A47" w:rsidRDefault="002D1E45" w:rsidP="00AC1044">
            <w:pPr>
              <w:spacing w:after="0" w:line="240" w:lineRule="auto"/>
              <w:rPr>
                <w:rFonts w:ascii="Times New Roman" w:hAnsi="Times New Roman"/>
                <w:color w:val="000000"/>
                <w:lang w:eastAsia="ru-RU"/>
              </w:rPr>
            </w:pPr>
          </w:p>
        </w:tc>
      </w:tr>
      <w:tr w:rsidR="002D1E45" w:rsidRPr="004D5804" w:rsidTr="00AC1044">
        <w:trPr>
          <w:trHeight w:val="170"/>
          <w:jc w:val="center"/>
        </w:trPr>
        <w:tc>
          <w:tcPr>
            <w:tcW w:w="996" w:type="dxa"/>
            <w:vAlign w:val="center"/>
          </w:tcPr>
          <w:p w:rsidR="002D1E45" w:rsidRPr="004D5804" w:rsidRDefault="002D1E45" w:rsidP="00AC104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1</w:t>
            </w:r>
          </w:p>
        </w:tc>
        <w:tc>
          <w:tcPr>
            <w:tcW w:w="9199" w:type="dxa"/>
            <w:gridSpan w:val="4"/>
            <w:vAlign w:val="center"/>
          </w:tcPr>
          <w:p w:rsidR="002D1E45" w:rsidRPr="004D5804" w:rsidRDefault="002D1E45" w:rsidP="00AC1044">
            <w:pPr>
              <w:spacing w:after="0" w:line="240" w:lineRule="auto"/>
              <w:rPr>
                <w:rFonts w:ascii="Times New Roman" w:hAnsi="Times New Roman"/>
                <w:color w:val="000000"/>
                <w:lang w:eastAsia="ru-RU"/>
              </w:rPr>
            </w:pPr>
            <w:r w:rsidRPr="004D5804">
              <w:rPr>
                <w:rFonts w:ascii="Times New Roman" w:hAnsi="Times New Roman"/>
                <w:color w:val="000000"/>
                <w:lang w:eastAsia="ru-RU"/>
              </w:rPr>
              <w:t>ТЕРРИТОРИЯ</w:t>
            </w:r>
          </w:p>
        </w:tc>
      </w:tr>
      <w:tr w:rsidR="002D1E45" w:rsidRPr="004D5804" w:rsidTr="00982AC4">
        <w:trPr>
          <w:trHeight w:val="170"/>
          <w:jc w:val="center"/>
        </w:trPr>
        <w:tc>
          <w:tcPr>
            <w:tcW w:w="996" w:type="dxa"/>
            <w:vAlign w:val="center"/>
          </w:tcPr>
          <w:p w:rsidR="002D1E45" w:rsidRPr="004D5804" w:rsidRDefault="002D1E45" w:rsidP="00A513B8">
            <w:pPr>
              <w:spacing w:after="0" w:line="240" w:lineRule="auto"/>
              <w:jc w:val="center"/>
              <w:rPr>
                <w:rFonts w:ascii="Times New Roman" w:hAnsi="Times New Roman"/>
                <w:b/>
                <w:bCs/>
                <w:color w:val="000000"/>
                <w:lang w:eastAsia="ru-RU"/>
              </w:rPr>
            </w:pPr>
            <w:bookmarkStart w:id="381" w:name="RANGE!A4"/>
            <w:bookmarkEnd w:id="381"/>
            <w:r w:rsidRPr="004D5804">
              <w:rPr>
                <w:rFonts w:ascii="Times New Roman" w:hAnsi="Times New Roman"/>
                <w:b/>
                <w:bCs/>
                <w:color w:val="000000"/>
                <w:lang w:eastAsia="ru-RU"/>
              </w:rPr>
              <w:t>1.1</w:t>
            </w:r>
          </w:p>
        </w:tc>
        <w:tc>
          <w:tcPr>
            <w:tcW w:w="3890" w:type="dxa"/>
            <w:vAlign w:val="center"/>
          </w:tcPr>
          <w:p w:rsidR="002D1E45" w:rsidRPr="004D5804" w:rsidRDefault="002D1E45" w:rsidP="00A513B8">
            <w:pPr>
              <w:spacing w:after="0" w:line="240" w:lineRule="auto"/>
              <w:rPr>
                <w:rFonts w:ascii="Times New Roman" w:hAnsi="Times New Roman"/>
                <w:b/>
                <w:bCs/>
                <w:color w:val="000000"/>
                <w:lang w:eastAsia="ru-RU"/>
              </w:rPr>
            </w:pPr>
            <w:r w:rsidRPr="004D5804">
              <w:rPr>
                <w:rFonts w:ascii="Times New Roman" w:hAnsi="Times New Roman"/>
                <w:b/>
                <w:bCs/>
                <w:color w:val="000000"/>
                <w:lang w:eastAsia="ru-RU"/>
              </w:rPr>
              <w:t>Общая площадь территории МО «Город Куйбышев»</w:t>
            </w:r>
          </w:p>
        </w:tc>
        <w:tc>
          <w:tcPr>
            <w:tcW w:w="1843" w:type="dxa"/>
            <w:vAlign w:val="center"/>
          </w:tcPr>
          <w:p w:rsidR="002D1E45" w:rsidRPr="004D5804" w:rsidRDefault="002D1E45" w:rsidP="00A513B8">
            <w:pPr>
              <w:spacing w:after="0" w:line="240" w:lineRule="auto"/>
              <w:jc w:val="center"/>
              <w:rPr>
                <w:rFonts w:ascii="Times New Roman" w:hAnsi="Times New Roman"/>
                <w:b/>
                <w:bCs/>
                <w:color w:val="000000"/>
                <w:lang w:eastAsia="ru-RU"/>
              </w:rPr>
            </w:pPr>
            <w:r w:rsidRPr="004D5804">
              <w:rPr>
                <w:rFonts w:ascii="Times New Roman" w:hAnsi="Times New Roman"/>
                <w:b/>
                <w:bCs/>
                <w:color w:val="000000"/>
                <w:lang w:eastAsia="ru-RU"/>
              </w:rPr>
              <w:t>га</w:t>
            </w:r>
          </w:p>
        </w:tc>
        <w:tc>
          <w:tcPr>
            <w:tcW w:w="1890" w:type="dxa"/>
            <w:vAlign w:val="center"/>
          </w:tcPr>
          <w:p w:rsidR="002D1E45" w:rsidRPr="004D5804" w:rsidRDefault="002D1E45" w:rsidP="00982AC4">
            <w:pPr>
              <w:spacing w:after="0" w:line="240" w:lineRule="auto"/>
              <w:jc w:val="center"/>
              <w:rPr>
                <w:rFonts w:ascii="Times New Roman" w:hAnsi="Times New Roman"/>
                <w:b/>
                <w:bCs/>
                <w:color w:val="000000"/>
                <w:lang w:eastAsia="ru-RU"/>
              </w:rPr>
            </w:pPr>
            <w:r w:rsidRPr="004D5804">
              <w:rPr>
                <w:rFonts w:ascii="Times New Roman" w:hAnsi="Times New Roman"/>
                <w:b/>
                <w:bCs/>
                <w:color w:val="000000"/>
                <w:lang w:eastAsia="ru-RU"/>
              </w:rPr>
              <w:t>10352,86</w:t>
            </w:r>
          </w:p>
        </w:tc>
        <w:tc>
          <w:tcPr>
            <w:tcW w:w="1576" w:type="dxa"/>
            <w:vAlign w:val="center"/>
          </w:tcPr>
          <w:p w:rsidR="002D1E45" w:rsidRPr="004D5804" w:rsidRDefault="002D1E45" w:rsidP="00982AC4">
            <w:pPr>
              <w:spacing w:after="0" w:line="240" w:lineRule="auto"/>
              <w:jc w:val="center"/>
              <w:rPr>
                <w:rFonts w:ascii="Times New Roman" w:hAnsi="Times New Roman"/>
                <w:b/>
                <w:bCs/>
                <w:color w:val="000000"/>
                <w:lang w:eastAsia="ru-RU"/>
              </w:rPr>
            </w:pPr>
            <w:r w:rsidRPr="004D5804">
              <w:rPr>
                <w:rFonts w:ascii="Times New Roman" w:hAnsi="Times New Roman"/>
                <w:b/>
                <w:bCs/>
                <w:color w:val="000000"/>
                <w:lang w:eastAsia="ru-RU"/>
              </w:rPr>
              <w:t>10352,86</w:t>
            </w:r>
          </w:p>
        </w:tc>
      </w:tr>
      <w:tr w:rsidR="002D1E45" w:rsidRPr="004D5804" w:rsidTr="00982AC4">
        <w:trPr>
          <w:trHeight w:val="170"/>
          <w:jc w:val="center"/>
        </w:trPr>
        <w:tc>
          <w:tcPr>
            <w:tcW w:w="996" w:type="dxa"/>
            <w:vAlign w:val="center"/>
          </w:tcPr>
          <w:p w:rsidR="002D1E45" w:rsidRPr="004D5804" w:rsidRDefault="002D1E45" w:rsidP="00982AC4">
            <w:pPr>
              <w:spacing w:after="0" w:line="240" w:lineRule="auto"/>
              <w:jc w:val="center"/>
              <w:rPr>
                <w:rFonts w:ascii="Times New Roman" w:hAnsi="Times New Roman"/>
                <w:b/>
                <w:bCs/>
                <w:color w:val="000000"/>
                <w:lang w:eastAsia="ru-RU"/>
              </w:rPr>
            </w:pPr>
            <w:r w:rsidRPr="004D5804">
              <w:rPr>
                <w:rFonts w:ascii="Times New Roman" w:hAnsi="Times New Roman"/>
                <w:b/>
                <w:bCs/>
                <w:color w:val="000000"/>
                <w:lang w:eastAsia="ru-RU"/>
              </w:rPr>
              <w:t>1.2</w:t>
            </w:r>
          </w:p>
        </w:tc>
        <w:tc>
          <w:tcPr>
            <w:tcW w:w="3890" w:type="dxa"/>
            <w:vAlign w:val="center"/>
          </w:tcPr>
          <w:p w:rsidR="002D1E45" w:rsidRPr="004D5804" w:rsidRDefault="002D1E45" w:rsidP="00982AC4">
            <w:pPr>
              <w:spacing w:after="0" w:line="240" w:lineRule="auto"/>
              <w:rPr>
                <w:rFonts w:ascii="Times New Roman" w:hAnsi="Times New Roman"/>
                <w:b/>
                <w:bCs/>
                <w:color w:val="000000"/>
                <w:lang w:eastAsia="ru-RU"/>
              </w:rPr>
            </w:pPr>
            <w:r w:rsidRPr="004D5804">
              <w:rPr>
                <w:rFonts w:ascii="Times New Roman" w:hAnsi="Times New Roman"/>
                <w:b/>
                <w:bCs/>
                <w:color w:val="000000"/>
                <w:lang w:eastAsia="ru-RU"/>
              </w:rPr>
              <w:t>Общая площадь территории населённого пункта г. Куйбышев</w:t>
            </w:r>
          </w:p>
        </w:tc>
        <w:tc>
          <w:tcPr>
            <w:tcW w:w="1843" w:type="dxa"/>
            <w:vAlign w:val="center"/>
          </w:tcPr>
          <w:p w:rsidR="002D1E45" w:rsidRPr="004D5804" w:rsidRDefault="002D1E45" w:rsidP="00982AC4">
            <w:pPr>
              <w:spacing w:after="0" w:line="240" w:lineRule="auto"/>
              <w:jc w:val="center"/>
              <w:rPr>
                <w:rFonts w:ascii="Times New Roman" w:hAnsi="Times New Roman"/>
                <w:b/>
                <w:bCs/>
                <w:color w:val="000000"/>
                <w:lang w:eastAsia="ru-RU"/>
              </w:rPr>
            </w:pPr>
            <w:r w:rsidRPr="004D5804">
              <w:rPr>
                <w:rFonts w:ascii="Times New Roman" w:hAnsi="Times New Roman"/>
                <w:b/>
                <w:bCs/>
                <w:color w:val="000000"/>
                <w:lang w:eastAsia="ru-RU"/>
              </w:rPr>
              <w:t>га</w:t>
            </w:r>
          </w:p>
        </w:tc>
        <w:tc>
          <w:tcPr>
            <w:tcW w:w="1890" w:type="dxa"/>
            <w:vAlign w:val="center"/>
          </w:tcPr>
          <w:p w:rsidR="002D1E45" w:rsidRPr="004D5804" w:rsidRDefault="002D1E45" w:rsidP="00982AC4">
            <w:pPr>
              <w:spacing w:after="0" w:line="240" w:lineRule="auto"/>
              <w:jc w:val="center"/>
              <w:rPr>
                <w:rFonts w:ascii="Times New Roman" w:hAnsi="Times New Roman"/>
                <w:b/>
                <w:bCs/>
                <w:color w:val="000000"/>
                <w:lang w:eastAsia="ru-RU"/>
              </w:rPr>
            </w:pPr>
            <w:r w:rsidRPr="004D5804">
              <w:rPr>
                <w:rFonts w:ascii="Times New Roman" w:hAnsi="Times New Roman"/>
                <w:b/>
                <w:bCs/>
                <w:color w:val="000000"/>
                <w:lang w:eastAsia="ru-RU"/>
              </w:rPr>
              <w:t>3013,99</w:t>
            </w:r>
          </w:p>
        </w:tc>
        <w:tc>
          <w:tcPr>
            <w:tcW w:w="1576" w:type="dxa"/>
            <w:vAlign w:val="center"/>
          </w:tcPr>
          <w:p w:rsidR="002D1E45" w:rsidRPr="004D5804" w:rsidRDefault="002D1E45" w:rsidP="00982AC4">
            <w:pPr>
              <w:spacing w:after="0" w:line="240" w:lineRule="auto"/>
              <w:jc w:val="center"/>
              <w:rPr>
                <w:rFonts w:ascii="Times New Roman" w:hAnsi="Times New Roman"/>
                <w:b/>
                <w:bCs/>
                <w:color w:val="000000"/>
                <w:lang w:eastAsia="ru-RU"/>
              </w:rPr>
            </w:pPr>
            <w:r w:rsidRPr="00B316E7">
              <w:rPr>
                <w:rFonts w:ascii="Times New Roman" w:hAnsi="Times New Roman"/>
                <w:b/>
                <w:bCs/>
                <w:color w:val="000000"/>
                <w:lang w:eastAsia="ru-RU"/>
              </w:rPr>
              <w:t>3013,99</w:t>
            </w:r>
          </w:p>
        </w:tc>
      </w:tr>
      <w:tr w:rsidR="002D1E45" w:rsidRPr="004D5804" w:rsidTr="00AC1044">
        <w:trPr>
          <w:trHeight w:val="170"/>
          <w:jc w:val="center"/>
        </w:trPr>
        <w:tc>
          <w:tcPr>
            <w:tcW w:w="996" w:type="dxa"/>
            <w:vAlign w:val="center"/>
          </w:tcPr>
          <w:p w:rsidR="002D1E45" w:rsidRPr="004D5804" w:rsidRDefault="002D1E45" w:rsidP="00436526">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1.3</w:t>
            </w:r>
          </w:p>
        </w:tc>
        <w:tc>
          <w:tcPr>
            <w:tcW w:w="9199" w:type="dxa"/>
            <w:gridSpan w:val="4"/>
            <w:vAlign w:val="center"/>
          </w:tcPr>
          <w:p w:rsidR="002D1E45" w:rsidRPr="004D5804" w:rsidRDefault="002D1E45" w:rsidP="00436526">
            <w:pPr>
              <w:spacing w:after="0" w:line="240" w:lineRule="auto"/>
              <w:rPr>
                <w:rFonts w:ascii="Times New Roman" w:hAnsi="Times New Roman"/>
                <w:color w:val="000000"/>
                <w:lang w:eastAsia="ru-RU"/>
              </w:rPr>
            </w:pPr>
            <w:r w:rsidRPr="004D5804">
              <w:rPr>
                <w:rFonts w:ascii="Times New Roman" w:hAnsi="Times New Roman"/>
                <w:color w:val="000000"/>
                <w:lang w:eastAsia="ru-RU"/>
              </w:rPr>
              <w:t>Установленные функциональные зоны муниципального образования:</w:t>
            </w:r>
          </w:p>
        </w:tc>
      </w:tr>
      <w:tr w:rsidR="002D1E45" w:rsidRPr="004D5804" w:rsidTr="00982AC4">
        <w:trPr>
          <w:trHeight w:val="170"/>
          <w:jc w:val="center"/>
        </w:trPr>
        <w:tc>
          <w:tcPr>
            <w:tcW w:w="996" w:type="dxa"/>
            <w:vMerge w:val="restart"/>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1.3.1</w:t>
            </w:r>
          </w:p>
        </w:tc>
        <w:tc>
          <w:tcPr>
            <w:tcW w:w="3890" w:type="dxa"/>
            <w:vMerge w:val="restart"/>
            <w:vAlign w:val="center"/>
          </w:tcPr>
          <w:p w:rsidR="002D1E45" w:rsidRPr="004D5804" w:rsidRDefault="002D1E45" w:rsidP="00982AC4">
            <w:pPr>
              <w:spacing w:after="0" w:line="240" w:lineRule="auto"/>
              <w:rPr>
                <w:rFonts w:ascii="Times New Roman" w:hAnsi="Times New Roman"/>
                <w:color w:val="000000"/>
                <w:lang w:eastAsia="ru-RU"/>
              </w:rPr>
            </w:pPr>
            <w:r w:rsidRPr="004D5804">
              <w:rPr>
                <w:rFonts w:ascii="Times New Roman" w:hAnsi="Times New Roman"/>
                <w:color w:val="000000"/>
                <w:lang w:eastAsia="ru-RU"/>
              </w:rPr>
              <w:t>Жилые зоны</w:t>
            </w:r>
          </w:p>
          <w:p w:rsidR="002D1E45" w:rsidRPr="004D5804" w:rsidRDefault="002D1E45" w:rsidP="00982AC4">
            <w:pPr>
              <w:spacing w:after="0" w:line="240" w:lineRule="auto"/>
              <w:rPr>
                <w:rFonts w:ascii="Times New Roman" w:hAnsi="Times New Roman"/>
                <w:color w:val="000000"/>
                <w:lang w:eastAsia="ru-RU"/>
              </w:rPr>
            </w:pPr>
          </w:p>
        </w:tc>
        <w:tc>
          <w:tcPr>
            <w:tcW w:w="1843"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га</w:t>
            </w:r>
          </w:p>
        </w:tc>
        <w:tc>
          <w:tcPr>
            <w:tcW w:w="1890"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576"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6B3792">
              <w:rPr>
                <w:rFonts w:ascii="Times New Roman" w:hAnsi="Times New Roman"/>
                <w:color w:val="000000"/>
                <w:lang w:eastAsia="ru-RU"/>
              </w:rPr>
              <w:t>924,44</w:t>
            </w:r>
          </w:p>
        </w:tc>
      </w:tr>
      <w:tr w:rsidR="002D1E45" w:rsidRPr="004D5804" w:rsidTr="00982AC4">
        <w:trPr>
          <w:trHeight w:val="170"/>
          <w:jc w:val="center"/>
        </w:trPr>
        <w:tc>
          <w:tcPr>
            <w:tcW w:w="996" w:type="dxa"/>
            <w:vMerge/>
            <w:vAlign w:val="center"/>
          </w:tcPr>
          <w:p w:rsidR="002D1E45" w:rsidRPr="004D5804" w:rsidRDefault="002D1E45" w:rsidP="00982AC4">
            <w:pPr>
              <w:spacing w:after="0" w:line="240" w:lineRule="auto"/>
              <w:rPr>
                <w:rFonts w:ascii="Times New Roman" w:hAnsi="Times New Roman"/>
                <w:color w:val="000000"/>
                <w:lang w:eastAsia="ru-RU"/>
              </w:rPr>
            </w:pPr>
          </w:p>
        </w:tc>
        <w:tc>
          <w:tcPr>
            <w:tcW w:w="3890" w:type="dxa"/>
            <w:vMerge/>
            <w:vAlign w:val="center"/>
          </w:tcPr>
          <w:p w:rsidR="002D1E45" w:rsidRPr="004D5804" w:rsidRDefault="002D1E45" w:rsidP="00982AC4">
            <w:pPr>
              <w:spacing w:after="0" w:line="240" w:lineRule="auto"/>
              <w:rPr>
                <w:rFonts w:ascii="Times New Roman" w:hAnsi="Times New Roman"/>
                <w:color w:val="000000"/>
                <w:lang w:eastAsia="ru-RU"/>
              </w:rPr>
            </w:pPr>
          </w:p>
        </w:tc>
        <w:tc>
          <w:tcPr>
            <w:tcW w:w="1843"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890"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576"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6B3792">
              <w:rPr>
                <w:rFonts w:ascii="Times New Roman" w:hAnsi="Times New Roman"/>
                <w:color w:val="000000"/>
                <w:lang w:eastAsia="ru-RU"/>
              </w:rPr>
              <w:t>8,93</w:t>
            </w:r>
          </w:p>
        </w:tc>
      </w:tr>
      <w:tr w:rsidR="002D1E45" w:rsidRPr="004D5804" w:rsidTr="00982AC4">
        <w:trPr>
          <w:trHeight w:val="170"/>
          <w:jc w:val="center"/>
        </w:trPr>
        <w:tc>
          <w:tcPr>
            <w:tcW w:w="996" w:type="dxa"/>
            <w:vMerge w:val="restart"/>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1.3.2</w:t>
            </w:r>
          </w:p>
        </w:tc>
        <w:tc>
          <w:tcPr>
            <w:tcW w:w="3890" w:type="dxa"/>
            <w:vMerge w:val="restart"/>
            <w:vAlign w:val="center"/>
          </w:tcPr>
          <w:p w:rsidR="002D1E45" w:rsidRPr="004D5804" w:rsidRDefault="002D1E45" w:rsidP="00982AC4">
            <w:pPr>
              <w:spacing w:after="0" w:line="240" w:lineRule="auto"/>
              <w:rPr>
                <w:rFonts w:ascii="Times New Roman" w:hAnsi="Times New Roman"/>
                <w:color w:val="000000"/>
                <w:lang w:eastAsia="ru-RU"/>
              </w:rPr>
            </w:pPr>
            <w:r w:rsidRPr="004D5804">
              <w:rPr>
                <w:rFonts w:ascii="Times New Roman" w:hAnsi="Times New Roman"/>
                <w:color w:val="000000"/>
                <w:lang w:eastAsia="ru-RU"/>
              </w:rPr>
              <w:t>Общественно-деловые зоны</w:t>
            </w:r>
          </w:p>
          <w:p w:rsidR="002D1E45" w:rsidRPr="004D5804" w:rsidRDefault="002D1E45" w:rsidP="00982AC4">
            <w:pPr>
              <w:spacing w:after="0" w:line="240" w:lineRule="auto"/>
              <w:rPr>
                <w:rFonts w:ascii="Times New Roman" w:hAnsi="Times New Roman"/>
                <w:color w:val="000000"/>
                <w:lang w:eastAsia="ru-RU"/>
              </w:rPr>
            </w:pPr>
          </w:p>
        </w:tc>
        <w:tc>
          <w:tcPr>
            <w:tcW w:w="1843"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га</w:t>
            </w:r>
          </w:p>
        </w:tc>
        <w:tc>
          <w:tcPr>
            <w:tcW w:w="1890"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576"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6B3792">
              <w:rPr>
                <w:rFonts w:ascii="Times New Roman" w:hAnsi="Times New Roman"/>
                <w:color w:val="000000"/>
                <w:lang w:eastAsia="ru-RU"/>
              </w:rPr>
              <w:t>118,37</w:t>
            </w:r>
          </w:p>
        </w:tc>
      </w:tr>
      <w:tr w:rsidR="002D1E45" w:rsidRPr="004D5804" w:rsidTr="00982AC4">
        <w:trPr>
          <w:trHeight w:val="170"/>
          <w:jc w:val="center"/>
        </w:trPr>
        <w:tc>
          <w:tcPr>
            <w:tcW w:w="996" w:type="dxa"/>
            <w:vMerge/>
            <w:vAlign w:val="center"/>
          </w:tcPr>
          <w:p w:rsidR="002D1E45" w:rsidRPr="004D5804" w:rsidRDefault="002D1E45" w:rsidP="00982AC4">
            <w:pPr>
              <w:spacing w:after="0" w:line="240" w:lineRule="auto"/>
              <w:rPr>
                <w:rFonts w:ascii="Times New Roman" w:hAnsi="Times New Roman"/>
                <w:color w:val="000000"/>
                <w:lang w:eastAsia="ru-RU"/>
              </w:rPr>
            </w:pPr>
          </w:p>
        </w:tc>
        <w:tc>
          <w:tcPr>
            <w:tcW w:w="3890" w:type="dxa"/>
            <w:vMerge/>
            <w:vAlign w:val="center"/>
          </w:tcPr>
          <w:p w:rsidR="002D1E45" w:rsidRPr="004D5804" w:rsidRDefault="002D1E45" w:rsidP="00982AC4">
            <w:pPr>
              <w:spacing w:after="0" w:line="240" w:lineRule="auto"/>
              <w:rPr>
                <w:rFonts w:ascii="Times New Roman" w:hAnsi="Times New Roman"/>
                <w:color w:val="000000"/>
                <w:lang w:eastAsia="ru-RU"/>
              </w:rPr>
            </w:pPr>
          </w:p>
        </w:tc>
        <w:tc>
          <w:tcPr>
            <w:tcW w:w="1843"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890"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576"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6B3792">
              <w:rPr>
                <w:rFonts w:ascii="Times New Roman" w:hAnsi="Times New Roman"/>
                <w:color w:val="000000"/>
                <w:lang w:eastAsia="ru-RU"/>
              </w:rPr>
              <w:t>1,14</w:t>
            </w:r>
          </w:p>
        </w:tc>
      </w:tr>
      <w:tr w:rsidR="002D1E45" w:rsidRPr="004D5804" w:rsidTr="00982AC4">
        <w:trPr>
          <w:trHeight w:val="170"/>
          <w:jc w:val="center"/>
        </w:trPr>
        <w:tc>
          <w:tcPr>
            <w:tcW w:w="996" w:type="dxa"/>
            <w:vMerge w:val="restart"/>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1.3.3</w:t>
            </w:r>
          </w:p>
        </w:tc>
        <w:tc>
          <w:tcPr>
            <w:tcW w:w="3890" w:type="dxa"/>
            <w:vMerge w:val="restart"/>
            <w:vAlign w:val="center"/>
          </w:tcPr>
          <w:p w:rsidR="002D1E45" w:rsidRPr="004D5804" w:rsidRDefault="002D1E45" w:rsidP="00982AC4">
            <w:pPr>
              <w:spacing w:after="0" w:line="240" w:lineRule="auto"/>
              <w:rPr>
                <w:rFonts w:ascii="Times New Roman" w:hAnsi="Times New Roman"/>
                <w:color w:val="000000"/>
                <w:lang w:eastAsia="ru-RU"/>
              </w:rPr>
            </w:pPr>
            <w:r w:rsidRPr="004D5804">
              <w:rPr>
                <w:rFonts w:ascii="Times New Roman" w:hAnsi="Times New Roman"/>
                <w:color w:val="000000"/>
                <w:lang w:eastAsia="ru-RU"/>
              </w:rPr>
              <w:t>Производственные зоны, зоны инженерной и транспортной инфраструктур</w:t>
            </w:r>
          </w:p>
        </w:tc>
        <w:tc>
          <w:tcPr>
            <w:tcW w:w="1843"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га</w:t>
            </w:r>
          </w:p>
        </w:tc>
        <w:tc>
          <w:tcPr>
            <w:tcW w:w="1890"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576"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6B3792">
              <w:rPr>
                <w:rFonts w:ascii="Times New Roman" w:hAnsi="Times New Roman"/>
                <w:color w:val="000000"/>
                <w:lang w:eastAsia="ru-RU"/>
              </w:rPr>
              <w:t>58,55</w:t>
            </w:r>
          </w:p>
        </w:tc>
      </w:tr>
      <w:tr w:rsidR="002D1E45" w:rsidRPr="004D5804" w:rsidTr="00982AC4">
        <w:trPr>
          <w:trHeight w:val="170"/>
          <w:jc w:val="center"/>
        </w:trPr>
        <w:tc>
          <w:tcPr>
            <w:tcW w:w="996" w:type="dxa"/>
            <w:vMerge/>
            <w:vAlign w:val="center"/>
          </w:tcPr>
          <w:p w:rsidR="002D1E45" w:rsidRPr="004D5804" w:rsidRDefault="002D1E45" w:rsidP="00982AC4">
            <w:pPr>
              <w:spacing w:after="0" w:line="240" w:lineRule="auto"/>
              <w:rPr>
                <w:rFonts w:ascii="Times New Roman" w:hAnsi="Times New Roman"/>
                <w:color w:val="000000"/>
                <w:lang w:eastAsia="ru-RU"/>
              </w:rPr>
            </w:pPr>
          </w:p>
        </w:tc>
        <w:tc>
          <w:tcPr>
            <w:tcW w:w="3890" w:type="dxa"/>
            <w:vMerge/>
            <w:vAlign w:val="center"/>
          </w:tcPr>
          <w:p w:rsidR="002D1E45" w:rsidRPr="004D5804" w:rsidRDefault="002D1E45" w:rsidP="00982AC4">
            <w:pPr>
              <w:spacing w:after="0" w:line="240" w:lineRule="auto"/>
              <w:rPr>
                <w:rFonts w:ascii="Times New Roman" w:hAnsi="Times New Roman"/>
                <w:color w:val="000000"/>
                <w:lang w:eastAsia="ru-RU"/>
              </w:rPr>
            </w:pPr>
          </w:p>
        </w:tc>
        <w:tc>
          <w:tcPr>
            <w:tcW w:w="1843"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890"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576"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6B3792">
              <w:rPr>
                <w:rFonts w:ascii="Times New Roman" w:hAnsi="Times New Roman"/>
                <w:color w:val="000000"/>
                <w:lang w:eastAsia="ru-RU"/>
              </w:rPr>
              <w:t>0,57</w:t>
            </w:r>
          </w:p>
        </w:tc>
      </w:tr>
      <w:tr w:rsidR="002D1E45" w:rsidRPr="004D5804" w:rsidTr="00982AC4">
        <w:trPr>
          <w:trHeight w:val="170"/>
          <w:jc w:val="center"/>
        </w:trPr>
        <w:tc>
          <w:tcPr>
            <w:tcW w:w="996" w:type="dxa"/>
            <w:vMerge w:val="restart"/>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1.3.4</w:t>
            </w:r>
          </w:p>
        </w:tc>
        <w:tc>
          <w:tcPr>
            <w:tcW w:w="3890" w:type="dxa"/>
            <w:vMerge w:val="restart"/>
            <w:vAlign w:val="center"/>
          </w:tcPr>
          <w:p w:rsidR="002D1E45" w:rsidRPr="004D5804" w:rsidRDefault="002D1E45" w:rsidP="00982AC4">
            <w:pPr>
              <w:spacing w:after="0" w:line="240" w:lineRule="auto"/>
              <w:rPr>
                <w:rFonts w:ascii="Times New Roman" w:hAnsi="Times New Roman"/>
                <w:color w:val="000000"/>
                <w:lang w:eastAsia="ru-RU"/>
              </w:rPr>
            </w:pPr>
            <w:r w:rsidRPr="004D5804">
              <w:rPr>
                <w:rFonts w:ascii="Times New Roman" w:hAnsi="Times New Roman"/>
                <w:color w:val="000000"/>
                <w:lang w:eastAsia="ru-RU"/>
              </w:rPr>
              <w:t>Производственная зона</w:t>
            </w:r>
          </w:p>
        </w:tc>
        <w:tc>
          <w:tcPr>
            <w:tcW w:w="1843"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га</w:t>
            </w:r>
          </w:p>
        </w:tc>
        <w:tc>
          <w:tcPr>
            <w:tcW w:w="1890"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576"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6B3792">
              <w:rPr>
                <w:rFonts w:ascii="Times New Roman" w:hAnsi="Times New Roman"/>
                <w:color w:val="000000"/>
                <w:lang w:eastAsia="ru-RU"/>
              </w:rPr>
              <w:t>736,19</w:t>
            </w:r>
          </w:p>
        </w:tc>
      </w:tr>
      <w:tr w:rsidR="002D1E45" w:rsidRPr="004D5804" w:rsidTr="00982AC4">
        <w:trPr>
          <w:trHeight w:val="170"/>
          <w:jc w:val="center"/>
        </w:trPr>
        <w:tc>
          <w:tcPr>
            <w:tcW w:w="996" w:type="dxa"/>
            <w:vMerge/>
            <w:vAlign w:val="center"/>
          </w:tcPr>
          <w:p w:rsidR="002D1E45" w:rsidRPr="004D5804" w:rsidRDefault="002D1E45" w:rsidP="00982AC4">
            <w:pPr>
              <w:spacing w:after="0" w:line="240" w:lineRule="auto"/>
              <w:rPr>
                <w:rFonts w:ascii="Times New Roman" w:hAnsi="Times New Roman"/>
                <w:color w:val="000000"/>
                <w:lang w:eastAsia="ru-RU"/>
              </w:rPr>
            </w:pPr>
          </w:p>
        </w:tc>
        <w:tc>
          <w:tcPr>
            <w:tcW w:w="3890" w:type="dxa"/>
            <w:vMerge/>
            <w:vAlign w:val="center"/>
          </w:tcPr>
          <w:p w:rsidR="002D1E45" w:rsidRPr="004D5804" w:rsidRDefault="002D1E45" w:rsidP="00982AC4">
            <w:pPr>
              <w:spacing w:after="0" w:line="240" w:lineRule="auto"/>
              <w:rPr>
                <w:rFonts w:ascii="Times New Roman" w:hAnsi="Times New Roman"/>
                <w:color w:val="000000"/>
                <w:lang w:eastAsia="ru-RU"/>
              </w:rPr>
            </w:pPr>
          </w:p>
        </w:tc>
        <w:tc>
          <w:tcPr>
            <w:tcW w:w="1843"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890"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576"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6B3792">
              <w:rPr>
                <w:rFonts w:ascii="Times New Roman" w:hAnsi="Times New Roman"/>
                <w:color w:val="000000"/>
                <w:lang w:eastAsia="ru-RU"/>
              </w:rPr>
              <w:t>7,11</w:t>
            </w:r>
          </w:p>
        </w:tc>
      </w:tr>
      <w:tr w:rsidR="002D1E45" w:rsidRPr="004D5804" w:rsidTr="00982AC4">
        <w:trPr>
          <w:trHeight w:val="170"/>
          <w:jc w:val="center"/>
        </w:trPr>
        <w:tc>
          <w:tcPr>
            <w:tcW w:w="996" w:type="dxa"/>
            <w:vMerge w:val="restart"/>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1.3.5</w:t>
            </w:r>
          </w:p>
        </w:tc>
        <w:tc>
          <w:tcPr>
            <w:tcW w:w="3890" w:type="dxa"/>
            <w:vMerge w:val="restart"/>
            <w:vAlign w:val="center"/>
          </w:tcPr>
          <w:p w:rsidR="002D1E45" w:rsidRPr="004D5804" w:rsidRDefault="002D1E45" w:rsidP="00982AC4">
            <w:pPr>
              <w:spacing w:after="0" w:line="240" w:lineRule="auto"/>
              <w:rPr>
                <w:rFonts w:ascii="Times New Roman" w:hAnsi="Times New Roman"/>
                <w:color w:val="000000"/>
                <w:lang w:eastAsia="ru-RU"/>
              </w:rPr>
            </w:pPr>
            <w:r w:rsidRPr="004D5804">
              <w:rPr>
                <w:rFonts w:ascii="Times New Roman" w:hAnsi="Times New Roman"/>
                <w:color w:val="000000"/>
                <w:lang w:eastAsia="ru-RU"/>
              </w:rPr>
              <w:t>Коммунально-складская зона</w:t>
            </w:r>
          </w:p>
        </w:tc>
        <w:tc>
          <w:tcPr>
            <w:tcW w:w="1843"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га</w:t>
            </w:r>
          </w:p>
        </w:tc>
        <w:tc>
          <w:tcPr>
            <w:tcW w:w="1890"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576"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6B3792">
              <w:rPr>
                <w:rFonts w:ascii="Times New Roman" w:hAnsi="Times New Roman"/>
                <w:color w:val="000000"/>
                <w:lang w:eastAsia="ru-RU"/>
              </w:rPr>
              <w:t>63,36</w:t>
            </w:r>
          </w:p>
        </w:tc>
      </w:tr>
      <w:tr w:rsidR="002D1E45" w:rsidRPr="004D5804" w:rsidTr="00982AC4">
        <w:trPr>
          <w:trHeight w:val="170"/>
          <w:jc w:val="center"/>
        </w:trPr>
        <w:tc>
          <w:tcPr>
            <w:tcW w:w="996" w:type="dxa"/>
            <w:vMerge/>
            <w:vAlign w:val="center"/>
          </w:tcPr>
          <w:p w:rsidR="002D1E45" w:rsidRPr="004D5804" w:rsidRDefault="002D1E45" w:rsidP="00982AC4">
            <w:pPr>
              <w:spacing w:after="0" w:line="240" w:lineRule="auto"/>
              <w:rPr>
                <w:rFonts w:ascii="Times New Roman" w:hAnsi="Times New Roman"/>
                <w:color w:val="000000"/>
                <w:lang w:eastAsia="ru-RU"/>
              </w:rPr>
            </w:pPr>
          </w:p>
        </w:tc>
        <w:tc>
          <w:tcPr>
            <w:tcW w:w="3890" w:type="dxa"/>
            <w:vMerge/>
            <w:vAlign w:val="center"/>
          </w:tcPr>
          <w:p w:rsidR="002D1E45" w:rsidRPr="004D5804" w:rsidRDefault="002D1E45" w:rsidP="00982AC4">
            <w:pPr>
              <w:spacing w:after="0" w:line="240" w:lineRule="auto"/>
              <w:rPr>
                <w:rFonts w:ascii="Times New Roman" w:hAnsi="Times New Roman"/>
                <w:color w:val="000000"/>
                <w:lang w:eastAsia="ru-RU"/>
              </w:rPr>
            </w:pPr>
          </w:p>
        </w:tc>
        <w:tc>
          <w:tcPr>
            <w:tcW w:w="1843"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890"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576"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6B3792">
              <w:rPr>
                <w:rFonts w:ascii="Times New Roman" w:hAnsi="Times New Roman"/>
                <w:color w:val="000000"/>
                <w:lang w:eastAsia="ru-RU"/>
              </w:rPr>
              <w:t>0,61</w:t>
            </w:r>
          </w:p>
        </w:tc>
      </w:tr>
      <w:tr w:rsidR="002D1E45" w:rsidRPr="004D5804" w:rsidTr="00982AC4">
        <w:trPr>
          <w:trHeight w:val="170"/>
          <w:jc w:val="center"/>
        </w:trPr>
        <w:tc>
          <w:tcPr>
            <w:tcW w:w="996" w:type="dxa"/>
            <w:vMerge w:val="restart"/>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1.3.6</w:t>
            </w:r>
          </w:p>
        </w:tc>
        <w:tc>
          <w:tcPr>
            <w:tcW w:w="3890" w:type="dxa"/>
            <w:vMerge w:val="restart"/>
            <w:vAlign w:val="center"/>
          </w:tcPr>
          <w:p w:rsidR="002D1E45" w:rsidRPr="004D5804" w:rsidRDefault="002D1E45" w:rsidP="00982AC4">
            <w:pPr>
              <w:spacing w:after="0" w:line="240" w:lineRule="auto"/>
              <w:rPr>
                <w:rFonts w:ascii="Times New Roman" w:hAnsi="Times New Roman"/>
                <w:color w:val="000000"/>
                <w:lang w:eastAsia="ru-RU"/>
              </w:rPr>
            </w:pPr>
            <w:r w:rsidRPr="004D5804">
              <w:rPr>
                <w:rFonts w:ascii="Times New Roman" w:hAnsi="Times New Roman"/>
                <w:color w:val="000000"/>
                <w:lang w:eastAsia="ru-RU"/>
              </w:rPr>
              <w:t>Зона инженерной инфраструктуры</w:t>
            </w:r>
          </w:p>
          <w:p w:rsidR="002D1E45" w:rsidRPr="004D5804" w:rsidRDefault="002D1E45" w:rsidP="00982AC4">
            <w:pPr>
              <w:spacing w:after="0" w:line="240" w:lineRule="auto"/>
              <w:rPr>
                <w:rFonts w:ascii="Times New Roman" w:hAnsi="Times New Roman"/>
                <w:color w:val="000000"/>
                <w:lang w:eastAsia="ru-RU"/>
              </w:rPr>
            </w:pPr>
          </w:p>
        </w:tc>
        <w:tc>
          <w:tcPr>
            <w:tcW w:w="1843"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га</w:t>
            </w:r>
          </w:p>
        </w:tc>
        <w:tc>
          <w:tcPr>
            <w:tcW w:w="1890"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576"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6B3792">
              <w:rPr>
                <w:rFonts w:ascii="Times New Roman" w:hAnsi="Times New Roman"/>
                <w:color w:val="000000"/>
                <w:lang w:eastAsia="ru-RU"/>
              </w:rPr>
              <w:t>237,00</w:t>
            </w:r>
          </w:p>
        </w:tc>
      </w:tr>
      <w:tr w:rsidR="002D1E45" w:rsidRPr="004D5804" w:rsidTr="00982AC4">
        <w:trPr>
          <w:trHeight w:val="170"/>
          <w:jc w:val="center"/>
        </w:trPr>
        <w:tc>
          <w:tcPr>
            <w:tcW w:w="996" w:type="dxa"/>
            <w:vMerge/>
            <w:vAlign w:val="center"/>
          </w:tcPr>
          <w:p w:rsidR="002D1E45" w:rsidRPr="004D5804" w:rsidRDefault="002D1E45" w:rsidP="00982AC4">
            <w:pPr>
              <w:spacing w:after="0" w:line="240" w:lineRule="auto"/>
              <w:rPr>
                <w:rFonts w:ascii="Times New Roman" w:hAnsi="Times New Roman"/>
                <w:color w:val="000000"/>
                <w:lang w:eastAsia="ru-RU"/>
              </w:rPr>
            </w:pPr>
          </w:p>
        </w:tc>
        <w:tc>
          <w:tcPr>
            <w:tcW w:w="3890" w:type="dxa"/>
            <w:vMerge/>
            <w:vAlign w:val="center"/>
          </w:tcPr>
          <w:p w:rsidR="002D1E45" w:rsidRPr="004D5804" w:rsidRDefault="002D1E45" w:rsidP="00982AC4">
            <w:pPr>
              <w:spacing w:after="0" w:line="240" w:lineRule="auto"/>
              <w:rPr>
                <w:rFonts w:ascii="Times New Roman" w:hAnsi="Times New Roman"/>
                <w:color w:val="000000"/>
                <w:lang w:eastAsia="ru-RU"/>
              </w:rPr>
            </w:pPr>
          </w:p>
        </w:tc>
        <w:tc>
          <w:tcPr>
            <w:tcW w:w="1843"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890"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576"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6B3792">
              <w:rPr>
                <w:rFonts w:ascii="Times New Roman" w:hAnsi="Times New Roman"/>
                <w:color w:val="000000"/>
                <w:lang w:eastAsia="ru-RU"/>
              </w:rPr>
              <w:t>2,29</w:t>
            </w:r>
          </w:p>
        </w:tc>
      </w:tr>
      <w:tr w:rsidR="002D1E45" w:rsidRPr="004D5804" w:rsidTr="00982AC4">
        <w:trPr>
          <w:trHeight w:val="170"/>
          <w:jc w:val="center"/>
        </w:trPr>
        <w:tc>
          <w:tcPr>
            <w:tcW w:w="996" w:type="dxa"/>
            <w:vMerge w:val="restart"/>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1.3.7</w:t>
            </w:r>
          </w:p>
        </w:tc>
        <w:tc>
          <w:tcPr>
            <w:tcW w:w="3890" w:type="dxa"/>
            <w:vMerge w:val="restart"/>
            <w:vAlign w:val="center"/>
          </w:tcPr>
          <w:p w:rsidR="002D1E45" w:rsidRPr="004D5804" w:rsidRDefault="002D1E45" w:rsidP="00982AC4">
            <w:pPr>
              <w:spacing w:after="0" w:line="240" w:lineRule="auto"/>
              <w:rPr>
                <w:rFonts w:ascii="Times New Roman" w:hAnsi="Times New Roman"/>
                <w:color w:val="000000"/>
                <w:lang w:eastAsia="ru-RU"/>
              </w:rPr>
            </w:pPr>
            <w:r w:rsidRPr="004D5804">
              <w:rPr>
                <w:rFonts w:ascii="Times New Roman" w:hAnsi="Times New Roman"/>
                <w:color w:val="000000"/>
                <w:lang w:eastAsia="ru-RU"/>
              </w:rPr>
              <w:t>Зона транспортной инфраструктуры</w:t>
            </w:r>
          </w:p>
          <w:p w:rsidR="002D1E45" w:rsidRPr="004D5804" w:rsidRDefault="002D1E45" w:rsidP="00982AC4">
            <w:pPr>
              <w:spacing w:after="0" w:line="240" w:lineRule="auto"/>
              <w:rPr>
                <w:rFonts w:ascii="Times New Roman" w:hAnsi="Times New Roman"/>
                <w:color w:val="000000"/>
                <w:lang w:eastAsia="ru-RU"/>
              </w:rPr>
            </w:pPr>
          </w:p>
        </w:tc>
        <w:tc>
          <w:tcPr>
            <w:tcW w:w="1843"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га</w:t>
            </w:r>
          </w:p>
        </w:tc>
        <w:tc>
          <w:tcPr>
            <w:tcW w:w="1890"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576"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6B3792">
              <w:rPr>
                <w:rFonts w:ascii="Times New Roman" w:hAnsi="Times New Roman"/>
                <w:color w:val="000000"/>
                <w:lang w:eastAsia="ru-RU"/>
              </w:rPr>
              <w:t>191,73</w:t>
            </w:r>
          </w:p>
        </w:tc>
      </w:tr>
      <w:tr w:rsidR="002D1E45" w:rsidRPr="004D5804" w:rsidTr="00982AC4">
        <w:trPr>
          <w:trHeight w:val="170"/>
          <w:jc w:val="center"/>
        </w:trPr>
        <w:tc>
          <w:tcPr>
            <w:tcW w:w="996" w:type="dxa"/>
            <w:vMerge/>
            <w:vAlign w:val="center"/>
          </w:tcPr>
          <w:p w:rsidR="002D1E45" w:rsidRPr="004D5804" w:rsidRDefault="002D1E45" w:rsidP="00982AC4">
            <w:pPr>
              <w:spacing w:after="0" w:line="240" w:lineRule="auto"/>
              <w:rPr>
                <w:rFonts w:ascii="Times New Roman" w:hAnsi="Times New Roman"/>
                <w:color w:val="000000"/>
                <w:lang w:eastAsia="ru-RU"/>
              </w:rPr>
            </w:pPr>
          </w:p>
        </w:tc>
        <w:tc>
          <w:tcPr>
            <w:tcW w:w="3890" w:type="dxa"/>
            <w:vMerge/>
            <w:vAlign w:val="center"/>
          </w:tcPr>
          <w:p w:rsidR="002D1E45" w:rsidRPr="004D5804" w:rsidRDefault="002D1E45" w:rsidP="00982AC4">
            <w:pPr>
              <w:spacing w:after="0" w:line="240" w:lineRule="auto"/>
              <w:rPr>
                <w:rFonts w:ascii="Times New Roman" w:hAnsi="Times New Roman"/>
                <w:color w:val="000000"/>
                <w:lang w:eastAsia="ru-RU"/>
              </w:rPr>
            </w:pPr>
          </w:p>
        </w:tc>
        <w:tc>
          <w:tcPr>
            <w:tcW w:w="1843"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890"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576"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6B3792">
              <w:rPr>
                <w:rFonts w:ascii="Times New Roman" w:hAnsi="Times New Roman"/>
                <w:color w:val="000000"/>
                <w:lang w:eastAsia="ru-RU"/>
              </w:rPr>
              <w:t>1,85</w:t>
            </w:r>
          </w:p>
        </w:tc>
      </w:tr>
      <w:tr w:rsidR="002D1E45" w:rsidRPr="004D5804" w:rsidTr="00982AC4">
        <w:trPr>
          <w:trHeight w:val="170"/>
          <w:jc w:val="center"/>
        </w:trPr>
        <w:tc>
          <w:tcPr>
            <w:tcW w:w="996" w:type="dxa"/>
            <w:vMerge w:val="restart"/>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1.3.8</w:t>
            </w:r>
          </w:p>
        </w:tc>
        <w:tc>
          <w:tcPr>
            <w:tcW w:w="3890" w:type="dxa"/>
            <w:vMerge w:val="restart"/>
            <w:vAlign w:val="center"/>
          </w:tcPr>
          <w:p w:rsidR="002D1E45" w:rsidRPr="004D5804" w:rsidRDefault="002D1E45" w:rsidP="00982AC4">
            <w:pPr>
              <w:spacing w:after="0" w:line="240" w:lineRule="auto"/>
              <w:rPr>
                <w:rFonts w:ascii="Times New Roman" w:hAnsi="Times New Roman"/>
                <w:color w:val="000000"/>
                <w:lang w:eastAsia="ru-RU"/>
              </w:rPr>
            </w:pPr>
            <w:r w:rsidRPr="004D5804">
              <w:rPr>
                <w:rFonts w:ascii="Times New Roman" w:hAnsi="Times New Roman"/>
                <w:color w:val="000000"/>
                <w:lang w:eastAsia="ru-RU"/>
              </w:rPr>
              <w:t>Зона сельскохозяйственного использования</w:t>
            </w:r>
          </w:p>
          <w:p w:rsidR="002D1E45" w:rsidRPr="004D5804" w:rsidRDefault="002D1E45" w:rsidP="00982AC4">
            <w:pPr>
              <w:spacing w:after="0" w:line="240" w:lineRule="auto"/>
              <w:rPr>
                <w:rFonts w:ascii="Times New Roman" w:hAnsi="Times New Roman"/>
                <w:color w:val="000000"/>
                <w:lang w:eastAsia="ru-RU"/>
              </w:rPr>
            </w:pPr>
          </w:p>
        </w:tc>
        <w:tc>
          <w:tcPr>
            <w:tcW w:w="1843"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га</w:t>
            </w:r>
          </w:p>
        </w:tc>
        <w:tc>
          <w:tcPr>
            <w:tcW w:w="1890"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576"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6B3792">
              <w:rPr>
                <w:rFonts w:ascii="Times New Roman" w:hAnsi="Times New Roman"/>
                <w:color w:val="000000"/>
                <w:lang w:eastAsia="ru-RU"/>
              </w:rPr>
              <w:t>5515,27</w:t>
            </w:r>
          </w:p>
        </w:tc>
      </w:tr>
      <w:tr w:rsidR="002D1E45" w:rsidRPr="004D5804" w:rsidTr="00982AC4">
        <w:trPr>
          <w:trHeight w:val="170"/>
          <w:jc w:val="center"/>
        </w:trPr>
        <w:tc>
          <w:tcPr>
            <w:tcW w:w="996" w:type="dxa"/>
            <w:vMerge/>
            <w:vAlign w:val="center"/>
          </w:tcPr>
          <w:p w:rsidR="002D1E45" w:rsidRPr="004D5804" w:rsidRDefault="002D1E45" w:rsidP="00982AC4">
            <w:pPr>
              <w:spacing w:after="0" w:line="240" w:lineRule="auto"/>
              <w:rPr>
                <w:rFonts w:ascii="Times New Roman" w:hAnsi="Times New Roman"/>
                <w:color w:val="000000"/>
                <w:lang w:eastAsia="ru-RU"/>
              </w:rPr>
            </w:pPr>
          </w:p>
        </w:tc>
        <w:tc>
          <w:tcPr>
            <w:tcW w:w="3890" w:type="dxa"/>
            <w:vMerge/>
            <w:vAlign w:val="center"/>
          </w:tcPr>
          <w:p w:rsidR="002D1E45" w:rsidRPr="004D5804" w:rsidRDefault="002D1E45" w:rsidP="00982AC4">
            <w:pPr>
              <w:spacing w:after="0" w:line="240" w:lineRule="auto"/>
              <w:rPr>
                <w:rFonts w:ascii="Times New Roman" w:hAnsi="Times New Roman"/>
                <w:color w:val="000000"/>
                <w:lang w:eastAsia="ru-RU"/>
              </w:rPr>
            </w:pPr>
          </w:p>
        </w:tc>
        <w:tc>
          <w:tcPr>
            <w:tcW w:w="1843"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890"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576" w:type="dxa"/>
            <w:vAlign w:val="center"/>
          </w:tcPr>
          <w:p w:rsidR="002D1E45" w:rsidRPr="004D5804" w:rsidRDefault="002D1E45" w:rsidP="00982AC4">
            <w:pPr>
              <w:spacing w:after="0" w:line="240" w:lineRule="auto"/>
              <w:jc w:val="center"/>
              <w:rPr>
                <w:rFonts w:ascii="Times New Roman" w:hAnsi="Times New Roman"/>
                <w:color w:val="000000"/>
                <w:lang w:eastAsia="ru-RU"/>
              </w:rPr>
            </w:pPr>
            <w:r>
              <w:rPr>
                <w:rFonts w:ascii="Times New Roman" w:hAnsi="Times New Roman"/>
                <w:color w:val="000000"/>
                <w:lang w:eastAsia="ru-RU"/>
              </w:rPr>
              <w:t>53,26</w:t>
            </w:r>
            <w:r w:rsidRPr="004D5804">
              <w:rPr>
                <w:rFonts w:ascii="Times New Roman" w:hAnsi="Times New Roman"/>
                <w:color w:val="000000"/>
                <w:lang w:eastAsia="ru-RU"/>
              </w:rPr>
              <w:t xml:space="preserve"> </w:t>
            </w:r>
          </w:p>
        </w:tc>
      </w:tr>
      <w:tr w:rsidR="002D1E45" w:rsidRPr="004D5804" w:rsidTr="00982AC4">
        <w:trPr>
          <w:trHeight w:val="170"/>
          <w:jc w:val="center"/>
        </w:trPr>
        <w:tc>
          <w:tcPr>
            <w:tcW w:w="996" w:type="dxa"/>
            <w:vMerge w:val="restart"/>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1.3.9</w:t>
            </w:r>
          </w:p>
        </w:tc>
        <w:tc>
          <w:tcPr>
            <w:tcW w:w="3890" w:type="dxa"/>
            <w:vMerge w:val="restart"/>
            <w:vAlign w:val="center"/>
          </w:tcPr>
          <w:p w:rsidR="002D1E45" w:rsidRPr="004D5804" w:rsidRDefault="002D1E45" w:rsidP="00982AC4">
            <w:pPr>
              <w:spacing w:after="0" w:line="240" w:lineRule="auto"/>
              <w:rPr>
                <w:rFonts w:ascii="Times New Roman" w:hAnsi="Times New Roman"/>
                <w:color w:val="000000"/>
                <w:lang w:eastAsia="ru-RU"/>
              </w:rPr>
            </w:pPr>
            <w:r w:rsidRPr="004D5804">
              <w:rPr>
                <w:rFonts w:ascii="Times New Roman" w:hAnsi="Times New Roman"/>
                <w:color w:val="000000"/>
                <w:lang w:eastAsia="ru-RU"/>
              </w:rPr>
              <w:t>Производственная зона сельскохозяйственных предприятий</w:t>
            </w:r>
          </w:p>
          <w:p w:rsidR="002D1E45" w:rsidRPr="004D5804" w:rsidRDefault="002D1E45" w:rsidP="00982AC4">
            <w:pPr>
              <w:spacing w:after="0" w:line="240" w:lineRule="auto"/>
              <w:rPr>
                <w:rFonts w:ascii="Times New Roman" w:hAnsi="Times New Roman"/>
                <w:color w:val="000000"/>
                <w:lang w:eastAsia="ru-RU"/>
              </w:rPr>
            </w:pPr>
          </w:p>
        </w:tc>
        <w:tc>
          <w:tcPr>
            <w:tcW w:w="1843"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га</w:t>
            </w:r>
          </w:p>
        </w:tc>
        <w:tc>
          <w:tcPr>
            <w:tcW w:w="1890"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576"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6B3792">
              <w:rPr>
                <w:rFonts w:ascii="Times New Roman" w:hAnsi="Times New Roman"/>
                <w:color w:val="000000"/>
                <w:lang w:eastAsia="ru-RU"/>
              </w:rPr>
              <w:t>12,04</w:t>
            </w:r>
          </w:p>
        </w:tc>
      </w:tr>
      <w:tr w:rsidR="002D1E45" w:rsidRPr="004D5804" w:rsidTr="00982AC4">
        <w:trPr>
          <w:trHeight w:val="170"/>
          <w:jc w:val="center"/>
        </w:trPr>
        <w:tc>
          <w:tcPr>
            <w:tcW w:w="996" w:type="dxa"/>
            <w:vMerge/>
            <w:vAlign w:val="center"/>
          </w:tcPr>
          <w:p w:rsidR="002D1E45" w:rsidRPr="004D5804" w:rsidRDefault="002D1E45" w:rsidP="00982AC4">
            <w:pPr>
              <w:spacing w:after="0" w:line="240" w:lineRule="auto"/>
              <w:rPr>
                <w:rFonts w:ascii="Times New Roman" w:hAnsi="Times New Roman"/>
                <w:color w:val="000000"/>
                <w:lang w:eastAsia="ru-RU"/>
              </w:rPr>
            </w:pPr>
          </w:p>
        </w:tc>
        <w:tc>
          <w:tcPr>
            <w:tcW w:w="3890" w:type="dxa"/>
            <w:vMerge/>
            <w:vAlign w:val="center"/>
          </w:tcPr>
          <w:p w:rsidR="002D1E45" w:rsidRPr="004D5804" w:rsidRDefault="002D1E45" w:rsidP="00982AC4">
            <w:pPr>
              <w:spacing w:after="0" w:line="240" w:lineRule="auto"/>
              <w:rPr>
                <w:rFonts w:ascii="Times New Roman" w:hAnsi="Times New Roman"/>
                <w:color w:val="000000"/>
                <w:lang w:eastAsia="ru-RU"/>
              </w:rPr>
            </w:pPr>
          </w:p>
        </w:tc>
        <w:tc>
          <w:tcPr>
            <w:tcW w:w="1843"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890"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576"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 xml:space="preserve">0,12 </w:t>
            </w:r>
          </w:p>
        </w:tc>
      </w:tr>
      <w:tr w:rsidR="002D1E45" w:rsidRPr="004D5804" w:rsidTr="00982AC4">
        <w:trPr>
          <w:trHeight w:val="170"/>
          <w:jc w:val="center"/>
        </w:trPr>
        <w:tc>
          <w:tcPr>
            <w:tcW w:w="996" w:type="dxa"/>
            <w:vMerge w:val="restart"/>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1.3.10</w:t>
            </w:r>
          </w:p>
        </w:tc>
        <w:tc>
          <w:tcPr>
            <w:tcW w:w="3890" w:type="dxa"/>
            <w:vMerge w:val="restart"/>
            <w:vAlign w:val="center"/>
          </w:tcPr>
          <w:p w:rsidR="002D1E45" w:rsidRPr="004D5804" w:rsidRDefault="002D1E45" w:rsidP="00982AC4">
            <w:pPr>
              <w:spacing w:after="0" w:line="240" w:lineRule="auto"/>
              <w:rPr>
                <w:rFonts w:ascii="Times New Roman" w:hAnsi="Times New Roman"/>
                <w:color w:val="000000"/>
                <w:lang w:eastAsia="ru-RU"/>
              </w:rPr>
            </w:pPr>
            <w:r w:rsidRPr="004D5804">
              <w:rPr>
                <w:rFonts w:ascii="Times New Roman" w:hAnsi="Times New Roman"/>
                <w:color w:val="000000"/>
                <w:lang w:eastAsia="ru-RU"/>
              </w:rPr>
              <w:t>Зона садоводческих или огороднических некоммерческих товариществ</w:t>
            </w:r>
          </w:p>
          <w:p w:rsidR="002D1E45" w:rsidRPr="004D5804" w:rsidRDefault="002D1E45" w:rsidP="00982AC4">
            <w:pPr>
              <w:spacing w:after="0" w:line="240" w:lineRule="auto"/>
              <w:rPr>
                <w:rFonts w:ascii="Times New Roman" w:hAnsi="Times New Roman"/>
                <w:color w:val="000000"/>
                <w:lang w:eastAsia="ru-RU"/>
              </w:rPr>
            </w:pPr>
          </w:p>
        </w:tc>
        <w:tc>
          <w:tcPr>
            <w:tcW w:w="1843"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га</w:t>
            </w:r>
          </w:p>
        </w:tc>
        <w:tc>
          <w:tcPr>
            <w:tcW w:w="1890"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576"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6B3792">
              <w:rPr>
                <w:rFonts w:ascii="Times New Roman" w:hAnsi="Times New Roman"/>
                <w:color w:val="000000"/>
                <w:lang w:eastAsia="ru-RU"/>
              </w:rPr>
              <w:t>525,56</w:t>
            </w:r>
          </w:p>
        </w:tc>
      </w:tr>
      <w:tr w:rsidR="002D1E45" w:rsidRPr="004D5804" w:rsidTr="00982AC4">
        <w:trPr>
          <w:trHeight w:val="170"/>
          <w:jc w:val="center"/>
        </w:trPr>
        <w:tc>
          <w:tcPr>
            <w:tcW w:w="996" w:type="dxa"/>
            <w:vMerge/>
            <w:vAlign w:val="center"/>
          </w:tcPr>
          <w:p w:rsidR="002D1E45" w:rsidRPr="004D5804" w:rsidRDefault="002D1E45" w:rsidP="00982AC4">
            <w:pPr>
              <w:spacing w:after="0" w:line="240" w:lineRule="auto"/>
              <w:rPr>
                <w:rFonts w:ascii="Times New Roman" w:hAnsi="Times New Roman"/>
                <w:color w:val="000000"/>
                <w:lang w:eastAsia="ru-RU"/>
              </w:rPr>
            </w:pPr>
          </w:p>
        </w:tc>
        <w:tc>
          <w:tcPr>
            <w:tcW w:w="3890" w:type="dxa"/>
            <w:vMerge/>
            <w:vAlign w:val="center"/>
          </w:tcPr>
          <w:p w:rsidR="002D1E45" w:rsidRPr="004D5804" w:rsidRDefault="002D1E45" w:rsidP="00982AC4">
            <w:pPr>
              <w:spacing w:after="0" w:line="240" w:lineRule="auto"/>
              <w:rPr>
                <w:rFonts w:ascii="Times New Roman" w:hAnsi="Times New Roman"/>
                <w:color w:val="000000"/>
                <w:lang w:eastAsia="ru-RU"/>
              </w:rPr>
            </w:pPr>
          </w:p>
        </w:tc>
        <w:tc>
          <w:tcPr>
            <w:tcW w:w="1843"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890"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576"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6B3792">
              <w:rPr>
                <w:rFonts w:ascii="Times New Roman" w:hAnsi="Times New Roman"/>
                <w:color w:val="000000"/>
                <w:lang w:eastAsia="ru-RU"/>
              </w:rPr>
              <w:t>5,08</w:t>
            </w:r>
          </w:p>
        </w:tc>
      </w:tr>
      <w:tr w:rsidR="002D1E45" w:rsidRPr="004D5804" w:rsidTr="00982AC4">
        <w:trPr>
          <w:trHeight w:val="170"/>
          <w:jc w:val="center"/>
        </w:trPr>
        <w:tc>
          <w:tcPr>
            <w:tcW w:w="996" w:type="dxa"/>
            <w:vMerge w:val="restart"/>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1.3.11</w:t>
            </w:r>
          </w:p>
        </w:tc>
        <w:tc>
          <w:tcPr>
            <w:tcW w:w="3890" w:type="dxa"/>
            <w:vMerge w:val="restart"/>
            <w:vAlign w:val="center"/>
          </w:tcPr>
          <w:p w:rsidR="002D1E45" w:rsidRPr="004D5804" w:rsidRDefault="002D1E45" w:rsidP="00982AC4">
            <w:pPr>
              <w:spacing w:after="0" w:line="240" w:lineRule="auto"/>
              <w:rPr>
                <w:rFonts w:ascii="Times New Roman" w:hAnsi="Times New Roman"/>
                <w:color w:val="000000"/>
                <w:lang w:eastAsia="ru-RU"/>
              </w:rPr>
            </w:pPr>
            <w:r w:rsidRPr="004D5804">
              <w:rPr>
                <w:rFonts w:ascii="Times New Roman" w:hAnsi="Times New Roman"/>
                <w:color w:val="000000"/>
                <w:lang w:eastAsia="ru-RU"/>
              </w:rPr>
              <w:t>Зона озеленённых территорий общего пользования</w:t>
            </w:r>
          </w:p>
          <w:p w:rsidR="002D1E45" w:rsidRPr="004D5804" w:rsidRDefault="002D1E45" w:rsidP="00982AC4">
            <w:pPr>
              <w:spacing w:after="0" w:line="240" w:lineRule="auto"/>
              <w:rPr>
                <w:rFonts w:ascii="Times New Roman" w:hAnsi="Times New Roman"/>
                <w:color w:val="000000"/>
                <w:lang w:eastAsia="ru-RU"/>
              </w:rPr>
            </w:pPr>
          </w:p>
        </w:tc>
        <w:tc>
          <w:tcPr>
            <w:tcW w:w="1843"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га</w:t>
            </w:r>
          </w:p>
        </w:tc>
        <w:tc>
          <w:tcPr>
            <w:tcW w:w="1890"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576"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6B3792">
              <w:rPr>
                <w:rFonts w:ascii="Times New Roman" w:hAnsi="Times New Roman"/>
                <w:color w:val="000000"/>
                <w:lang w:eastAsia="ru-RU"/>
              </w:rPr>
              <w:t>119,30</w:t>
            </w:r>
          </w:p>
        </w:tc>
      </w:tr>
      <w:tr w:rsidR="002D1E45" w:rsidRPr="004D5804" w:rsidTr="00982AC4">
        <w:trPr>
          <w:trHeight w:val="170"/>
          <w:jc w:val="center"/>
        </w:trPr>
        <w:tc>
          <w:tcPr>
            <w:tcW w:w="996" w:type="dxa"/>
            <w:vMerge/>
            <w:vAlign w:val="center"/>
          </w:tcPr>
          <w:p w:rsidR="002D1E45" w:rsidRPr="004D5804" w:rsidRDefault="002D1E45" w:rsidP="00982AC4">
            <w:pPr>
              <w:spacing w:after="0" w:line="240" w:lineRule="auto"/>
              <w:rPr>
                <w:rFonts w:ascii="Times New Roman" w:hAnsi="Times New Roman"/>
                <w:color w:val="000000"/>
                <w:lang w:eastAsia="ru-RU"/>
              </w:rPr>
            </w:pPr>
          </w:p>
        </w:tc>
        <w:tc>
          <w:tcPr>
            <w:tcW w:w="3890" w:type="dxa"/>
            <w:vMerge/>
            <w:vAlign w:val="center"/>
          </w:tcPr>
          <w:p w:rsidR="002D1E45" w:rsidRPr="004D5804" w:rsidRDefault="002D1E45" w:rsidP="00982AC4">
            <w:pPr>
              <w:spacing w:after="0" w:line="240" w:lineRule="auto"/>
              <w:rPr>
                <w:rFonts w:ascii="Times New Roman" w:hAnsi="Times New Roman"/>
                <w:color w:val="000000"/>
                <w:lang w:eastAsia="ru-RU"/>
              </w:rPr>
            </w:pPr>
          </w:p>
        </w:tc>
        <w:tc>
          <w:tcPr>
            <w:tcW w:w="1843"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890"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576"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6B3792">
              <w:rPr>
                <w:rFonts w:ascii="Times New Roman" w:hAnsi="Times New Roman"/>
                <w:color w:val="000000"/>
                <w:lang w:eastAsia="ru-RU"/>
              </w:rPr>
              <w:t>1,15</w:t>
            </w:r>
          </w:p>
        </w:tc>
      </w:tr>
      <w:tr w:rsidR="002D1E45" w:rsidRPr="004D5804" w:rsidTr="00982AC4">
        <w:trPr>
          <w:trHeight w:val="170"/>
          <w:jc w:val="center"/>
        </w:trPr>
        <w:tc>
          <w:tcPr>
            <w:tcW w:w="996" w:type="dxa"/>
            <w:vMerge w:val="restart"/>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1.3.12</w:t>
            </w:r>
          </w:p>
        </w:tc>
        <w:tc>
          <w:tcPr>
            <w:tcW w:w="3890" w:type="dxa"/>
            <w:vMerge w:val="restart"/>
            <w:vAlign w:val="center"/>
          </w:tcPr>
          <w:p w:rsidR="002D1E45" w:rsidRPr="004D5804" w:rsidRDefault="002D1E45" w:rsidP="00982AC4">
            <w:pPr>
              <w:spacing w:after="0" w:line="240" w:lineRule="auto"/>
              <w:rPr>
                <w:rFonts w:ascii="Times New Roman" w:hAnsi="Times New Roman"/>
                <w:color w:val="000000"/>
                <w:lang w:eastAsia="ru-RU"/>
              </w:rPr>
            </w:pPr>
            <w:r w:rsidRPr="004D5804">
              <w:rPr>
                <w:rFonts w:ascii="Times New Roman" w:hAnsi="Times New Roman"/>
                <w:color w:val="000000"/>
                <w:lang w:eastAsia="ru-RU"/>
              </w:rPr>
              <w:t>Зона рекреационного назначения</w:t>
            </w:r>
          </w:p>
          <w:p w:rsidR="002D1E45" w:rsidRPr="004D5804" w:rsidRDefault="002D1E45" w:rsidP="00982AC4">
            <w:pPr>
              <w:spacing w:after="0" w:line="240" w:lineRule="auto"/>
              <w:rPr>
                <w:rFonts w:ascii="Times New Roman" w:hAnsi="Times New Roman"/>
                <w:color w:val="000000"/>
                <w:lang w:eastAsia="ru-RU"/>
              </w:rPr>
            </w:pPr>
          </w:p>
        </w:tc>
        <w:tc>
          <w:tcPr>
            <w:tcW w:w="1843"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га</w:t>
            </w:r>
          </w:p>
        </w:tc>
        <w:tc>
          <w:tcPr>
            <w:tcW w:w="1890"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576" w:type="dxa"/>
            <w:vAlign w:val="center"/>
          </w:tcPr>
          <w:p w:rsidR="002D1E45" w:rsidRPr="004D5804" w:rsidRDefault="002D1E45" w:rsidP="006071F8">
            <w:pPr>
              <w:spacing w:after="0" w:line="240" w:lineRule="auto"/>
              <w:jc w:val="center"/>
              <w:rPr>
                <w:rFonts w:ascii="Times New Roman" w:hAnsi="Times New Roman"/>
                <w:color w:val="000000"/>
                <w:lang w:eastAsia="ru-RU"/>
              </w:rPr>
            </w:pPr>
            <w:r w:rsidRPr="006B3792">
              <w:rPr>
                <w:rFonts w:ascii="Times New Roman" w:hAnsi="Times New Roman"/>
                <w:color w:val="000000"/>
                <w:lang w:eastAsia="ru-RU"/>
              </w:rPr>
              <w:t>192,53</w:t>
            </w:r>
          </w:p>
        </w:tc>
      </w:tr>
      <w:tr w:rsidR="002D1E45" w:rsidRPr="004D5804" w:rsidTr="00982AC4">
        <w:trPr>
          <w:trHeight w:val="170"/>
          <w:jc w:val="center"/>
        </w:trPr>
        <w:tc>
          <w:tcPr>
            <w:tcW w:w="996" w:type="dxa"/>
            <w:vMerge/>
            <w:vAlign w:val="center"/>
          </w:tcPr>
          <w:p w:rsidR="002D1E45" w:rsidRPr="004D5804" w:rsidRDefault="002D1E45" w:rsidP="00982AC4">
            <w:pPr>
              <w:spacing w:after="0" w:line="240" w:lineRule="auto"/>
              <w:rPr>
                <w:rFonts w:ascii="Times New Roman" w:hAnsi="Times New Roman"/>
                <w:color w:val="000000"/>
                <w:lang w:eastAsia="ru-RU"/>
              </w:rPr>
            </w:pPr>
          </w:p>
        </w:tc>
        <w:tc>
          <w:tcPr>
            <w:tcW w:w="3890" w:type="dxa"/>
            <w:vMerge/>
            <w:vAlign w:val="center"/>
          </w:tcPr>
          <w:p w:rsidR="002D1E45" w:rsidRPr="004D5804" w:rsidRDefault="002D1E45" w:rsidP="00982AC4">
            <w:pPr>
              <w:spacing w:after="0" w:line="240" w:lineRule="auto"/>
              <w:rPr>
                <w:rFonts w:ascii="Times New Roman" w:hAnsi="Times New Roman"/>
                <w:color w:val="000000"/>
                <w:lang w:eastAsia="ru-RU"/>
              </w:rPr>
            </w:pPr>
          </w:p>
        </w:tc>
        <w:tc>
          <w:tcPr>
            <w:tcW w:w="1843"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890"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576"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6B3792">
              <w:rPr>
                <w:rFonts w:ascii="Times New Roman" w:hAnsi="Times New Roman"/>
                <w:color w:val="000000"/>
                <w:lang w:eastAsia="ru-RU"/>
              </w:rPr>
              <w:t>1,86</w:t>
            </w:r>
          </w:p>
        </w:tc>
      </w:tr>
      <w:tr w:rsidR="002D1E45" w:rsidRPr="004D5804" w:rsidTr="00982AC4">
        <w:trPr>
          <w:trHeight w:val="170"/>
          <w:jc w:val="center"/>
        </w:trPr>
        <w:tc>
          <w:tcPr>
            <w:tcW w:w="996" w:type="dxa"/>
            <w:vMerge w:val="restart"/>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1.3.13</w:t>
            </w:r>
          </w:p>
        </w:tc>
        <w:tc>
          <w:tcPr>
            <w:tcW w:w="3890" w:type="dxa"/>
            <w:vMerge w:val="restart"/>
            <w:vAlign w:val="center"/>
          </w:tcPr>
          <w:p w:rsidR="002D1E45" w:rsidRPr="004D5804" w:rsidRDefault="002D1E45" w:rsidP="00982AC4">
            <w:pPr>
              <w:spacing w:after="0" w:line="240" w:lineRule="auto"/>
              <w:rPr>
                <w:rFonts w:ascii="Times New Roman" w:hAnsi="Times New Roman"/>
                <w:color w:val="000000"/>
                <w:lang w:eastAsia="ru-RU"/>
              </w:rPr>
            </w:pPr>
            <w:r w:rsidRPr="004D5804">
              <w:rPr>
                <w:rFonts w:ascii="Times New Roman" w:hAnsi="Times New Roman"/>
                <w:color w:val="000000"/>
                <w:lang w:eastAsia="ru-RU"/>
              </w:rPr>
              <w:t>Зона лесов</w:t>
            </w:r>
          </w:p>
          <w:p w:rsidR="002D1E45" w:rsidRPr="004D5804" w:rsidRDefault="002D1E45" w:rsidP="00982AC4">
            <w:pPr>
              <w:spacing w:after="0" w:line="240" w:lineRule="auto"/>
              <w:rPr>
                <w:rFonts w:ascii="Times New Roman" w:hAnsi="Times New Roman"/>
                <w:color w:val="000000"/>
                <w:lang w:eastAsia="ru-RU"/>
              </w:rPr>
            </w:pPr>
          </w:p>
        </w:tc>
        <w:tc>
          <w:tcPr>
            <w:tcW w:w="1843"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га</w:t>
            </w:r>
          </w:p>
        </w:tc>
        <w:tc>
          <w:tcPr>
            <w:tcW w:w="1890"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576"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6B3792">
              <w:rPr>
                <w:rFonts w:ascii="Times New Roman" w:hAnsi="Times New Roman"/>
                <w:color w:val="000000"/>
                <w:lang w:eastAsia="ru-RU"/>
              </w:rPr>
              <w:t>144,60</w:t>
            </w:r>
          </w:p>
        </w:tc>
      </w:tr>
      <w:tr w:rsidR="002D1E45" w:rsidRPr="004D5804" w:rsidTr="00982AC4">
        <w:trPr>
          <w:trHeight w:val="170"/>
          <w:jc w:val="center"/>
        </w:trPr>
        <w:tc>
          <w:tcPr>
            <w:tcW w:w="996" w:type="dxa"/>
            <w:vMerge/>
            <w:vAlign w:val="center"/>
          </w:tcPr>
          <w:p w:rsidR="002D1E45" w:rsidRPr="004D5804" w:rsidRDefault="002D1E45" w:rsidP="00982AC4">
            <w:pPr>
              <w:spacing w:after="0" w:line="240" w:lineRule="auto"/>
              <w:rPr>
                <w:rFonts w:ascii="Times New Roman" w:hAnsi="Times New Roman"/>
                <w:color w:val="000000"/>
                <w:lang w:eastAsia="ru-RU"/>
              </w:rPr>
            </w:pPr>
          </w:p>
        </w:tc>
        <w:tc>
          <w:tcPr>
            <w:tcW w:w="3890" w:type="dxa"/>
            <w:vMerge/>
            <w:vAlign w:val="center"/>
          </w:tcPr>
          <w:p w:rsidR="002D1E45" w:rsidRPr="004D5804" w:rsidRDefault="002D1E45" w:rsidP="00982AC4">
            <w:pPr>
              <w:spacing w:after="0" w:line="240" w:lineRule="auto"/>
              <w:rPr>
                <w:rFonts w:ascii="Times New Roman" w:hAnsi="Times New Roman"/>
                <w:color w:val="000000"/>
                <w:lang w:eastAsia="ru-RU"/>
              </w:rPr>
            </w:pPr>
          </w:p>
        </w:tc>
        <w:tc>
          <w:tcPr>
            <w:tcW w:w="1843"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890"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576"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6B3792">
              <w:rPr>
                <w:rFonts w:ascii="Times New Roman" w:hAnsi="Times New Roman"/>
                <w:color w:val="000000"/>
                <w:lang w:eastAsia="ru-RU"/>
              </w:rPr>
              <w:t>1,4</w:t>
            </w:r>
          </w:p>
        </w:tc>
      </w:tr>
      <w:tr w:rsidR="002D1E45" w:rsidRPr="004D5804" w:rsidTr="00982AC4">
        <w:trPr>
          <w:trHeight w:val="170"/>
          <w:jc w:val="center"/>
        </w:trPr>
        <w:tc>
          <w:tcPr>
            <w:tcW w:w="996" w:type="dxa"/>
            <w:vMerge w:val="restart"/>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1.3.14</w:t>
            </w:r>
          </w:p>
        </w:tc>
        <w:tc>
          <w:tcPr>
            <w:tcW w:w="3890" w:type="dxa"/>
            <w:vMerge w:val="restart"/>
            <w:vAlign w:val="center"/>
          </w:tcPr>
          <w:p w:rsidR="002D1E45" w:rsidRPr="004D5804" w:rsidRDefault="002D1E45" w:rsidP="00982AC4">
            <w:pPr>
              <w:spacing w:after="0" w:line="240" w:lineRule="auto"/>
              <w:rPr>
                <w:rFonts w:ascii="Times New Roman" w:hAnsi="Times New Roman"/>
                <w:color w:val="000000"/>
                <w:lang w:eastAsia="ru-RU"/>
              </w:rPr>
            </w:pPr>
            <w:r w:rsidRPr="004D5804">
              <w:rPr>
                <w:rFonts w:ascii="Times New Roman" w:hAnsi="Times New Roman"/>
                <w:color w:val="000000"/>
                <w:lang w:eastAsia="ru-RU"/>
              </w:rPr>
              <w:t>Зона отдыха</w:t>
            </w:r>
          </w:p>
          <w:p w:rsidR="002D1E45" w:rsidRPr="004D5804" w:rsidRDefault="002D1E45" w:rsidP="00982AC4">
            <w:pPr>
              <w:spacing w:after="0" w:line="240" w:lineRule="auto"/>
              <w:rPr>
                <w:rFonts w:ascii="Times New Roman" w:hAnsi="Times New Roman"/>
                <w:color w:val="000000"/>
                <w:lang w:eastAsia="ru-RU"/>
              </w:rPr>
            </w:pPr>
          </w:p>
        </w:tc>
        <w:tc>
          <w:tcPr>
            <w:tcW w:w="1843"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га</w:t>
            </w:r>
          </w:p>
        </w:tc>
        <w:tc>
          <w:tcPr>
            <w:tcW w:w="1890"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576"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21,17</w:t>
            </w:r>
          </w:p>
        </w:tc>
      </w:tr>
      <w:tr w:rsidR="002D1E45" w:rsidRPr="004D5804" w:rsidTr="00982AC4">
        <w:trPr>
          <w:trHeight w:val="170"/>
          <w:jc w:val="center"/>
        </w:trPr>
        <w:tc>
          <w:tcPr>
            <w:tcW w:w="996" w:type="dxa"/>
            <w:vMerge/>
            <w:vAlign w:val="center"/>
          </w:tcPr>
          <w:p w:rsidR="002D1E45" w:rsidRPr="004D5804" w:rsidRDefault="002D1E45" w:rsidP="00982AC4">
            <w:pPr>
              <w:spacing w:after="0" w:line="240" w:lineRule="auto"/>
              <w:rPr>
                <w:rFonts w:ascii="Times New Roman" w:hAnsi="Times New Roman"/>
                <w:color w:val="000000"/>
                <w:lang w:eastAsia="ru-RU"/>
              </w:rPr>
            </w:pPr>
          </w:p>
        </w:tc>
        <w:tc>
          <w:tcPr>
            <w:tcW w:w="3890" w:type="dxa"/>
            <w:vMerge/>
            <w:vAlign w:val="center"/>
          </w:tcPr>
          <w:p w:rsidR="002D1E45" w:rsidRPr="004D5804" w:rsidRDefault="002D1E45" w:rsidP="00982AC4">
            <w:pPr>
              <w:spacing w:after="0" w:line="240" w:lineRule="auto"/>
              <w:rPr>
                <w:rFonts w:ascii="Times New Roman" w:hAnsi="Times New Roman"/>
                <w:color w:val="000000"/>
                <w:lang w:eastAsia="ru-RU"/>
              </w:rPr>
            </w:pPr>
          </w:p>
        </w:tc>
        <w:tc>
          <w:tcPr>
            <w:tcW w:w="1843"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890"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576"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 xml:space="preserve">0,20 </w:t>
            </w:r>
          </w:p>
        </w:tc>
      </w:tr>
      <w:tr w:rsidR="002D1E45" w:rsidRPr="004D5804" w:rsidTr="00982AC4">
        <w:trPr>
          <w:trHeight w:val="170"/>
          <w:jc w:val="center"/>
        </w:trPr>
        <w:tc>
          <w:tcPr>
            <w:tcW w:w="996" w:type="dxa"/>
            <w:vMerge w:val="restart"/>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1.3.15</w:t>
            </w:r>
          </w:p>
        </w:tc>
        <w:tc>
          <w:tcPr>
            <w:tcW w:w="3890" w:type="dxa"/>
            <w:vMerge w:val="restart"/>
            <w:vAlign w:val="center"/>
          </w:tcPr>
          <w:p w:rsidR="002D1E45" w:rsidRPr="004D5804" w:rsidRDefault="002D1E45" w:rsidP="00982AC4">
            <w:pPr>
              <w:spacing w:after="0" w:line="240" w:lineRule="auto"/>
              <w:rPr>
                <w:rFonts w:ascii="Times New Roman" w:hAnsi="Times New Roman"/>
                <w:color w:val="000000"/>
                <w:lang w:eastAsia="ru-RU"/>
              </w:rPr>
            </w:pPr>
            <w:r w:rsidRPr="004D5804">
              <w:rPr>
                <w:rFonts w:ascii="Times New Roman" w:hAnsi="Times New Roman"/>
                <w:color w:val="000000"/>
                <w:lang w:eastAsia="ru-RU"/>
              </w:rPr>
              <w:t xml:space="preserve">Зона складирования и захоронения отходов </w:t>
            </w:r>
          </w:p>
          <w:p w:rsidR="002D1E45" w:rsidRPr="004D5804" w:rsidRDefault="002D1E45" w:rsidP="00982AC4">
            <w:pPr>
              <w:spacing w:after="0" w:line="240" w:lineRule="auto"/>
              <w:rPr>
                <w:rFonts w:ascii="Times New Roman" w:hAnsi="Times New Roman"/>
                <w:color w:val="000000"/>
                <w:lang w:eastAsia="ru-RU"/>
              </w:rPr>
            </w:pPr>
          </w:p>
        </w:tc>
        <w:tc>
          <w:tcPr>
            <w:tcW w:w="1843"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га</w:t>
            </w:r>
          </w:p>
        </w:tc>
        <w:tc>
          <w:tcPr>
            <w:tcW w:w="1890"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576"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59,17</w:t>
            </w:r>
          </w:p>
        </w:tc>
      </w:tr>
      <w:tr w:rsidR="002D1E45" w:rsidRPr="004D5804" w:rsidTr="00982AC4">
        <w:trPr>
          <w:trHeight w:val="170"/>
          <w:jc w:val="center"/>
        </w:trPr>
        <w:tc>
          <w:tcPr>
            <w:tcW w:w="996" w:type="dxa"/>
            <w:vMerge/>
            <w:vAlign w:val="center"/>
          </w:tcPr>
          <w:p w:rsidR="002D1E45" w:rsidRPr="004D5804" w:rsidRDefault="002D1E45" w:rsidP="00982AC4">
            <w:pPr>
              <w:spacing w:after="0" w:line="240" w:lineRule="auto"/>
              <w:rPr>
                <w:rFonts w:ascii="Times New Roman" w:hAnsi="Times New Roman"/>
                <w:color w:val="000000"/>
                <w:lang w:eastAsia="ru-RU"/>
              </w:rPr>
            </w:pPr>
          </w:p>
        </w:tc>
        <w:tc>
          <w:tcPr>
            <w:tcW w:w="3890" w:type="dxa"/>
            <w:vMerge/>
            <w:vAlign w:val="center"/>
          </w:tcPr>
          <w:p w:rsidR="002D1E45" w:rsidRPr="004D5804" w:rsidRDefault="002D1E45" w:rsidP="00982AC4">
            <w:pPr>
              <w:spacing w:after="0" w:line="240" w:lineRule="auto"/>
              <w:rPr>
                <w:rFonts w:ascii="Times New Roman" w:hAnsi="Times New Roman"/>
                <w:color w:val="000000"/>
                <w:lang w:eastAsia="ru-RU"/>
              </w:rPr>
            </w:pPr>
          </w:p>
        </w:tc>
        <w:tc>
          <w:tcPr>
            <w:tcW w:w="1843"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890"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576"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 xml:space="preserve">0,57 </w:t>
            </w:r>
          </w:p>
        </w:tc>
      </w:tr>
      <w:tr w:rsidR="002D1E45" w:rsidRPr="004D5804" w:rsidTr="00982AC4">
        <w:trPr>
          <w:trHeight w:val="170"/>
          <w:jc w:val="center"/>
        </w:trPr>
        <w:tc>
          <w:tcPr>
            <w:tcW w:w="996" w:type="dxa"/>
            <w:vMerge w:val="restart"/>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1.3.16</w:t>
            </w:r>
          </w:p>
        </w:tc>
        <w:tc>
          <w:tcPr>
            <w:tcW w:w="3890" w:type="dxa"/>
            <w:vMerge w:val="restart"/>
            <w:vAlign w:val="center"/>
          </w:tcPr>
          <w:p w:rsidR="002D1E45" w:rsidRPr="004D5804" w:rsidRDefault="002D1E45" w:rsidP="00982AC4">
            <w:pPr>
              <w:spacing w:after="0" w:line="240" w:lineRule="auto"/>
              <w:rPr>
                <w:rFonts w:ascii="Times New Roman" w:hAnsi="Times New Roman"/>
                <w:color w:val="000000"/>
                <w:lang w:eastAsia="ru-RU"/>
              </w:rPr>
            </w:pPr>
            <w:r w:rsidRPr="004D5804">
              <w:rPr>
                <w:rFonts w:ascii="Times New Roman" w:hAnsi="Times New Roman"/>
                <w:color w:val="000000"/>
                <w:lang w:eastAsia="ru-RU"/>
              </w:rPr>
              <w:t>Зона режимных территорий</w:t>
            </w:r>
          </w:p>
          <w:p w:rsidR="002D1E45" w:rsidRPr="004D5804" w:rsidRDefault="002D1E45" w:rsidP="00982AC4">
            <w:pPr>
              <w:spacing w:after="0" w:line="240" w:lineRule="auto"/>
              <w:rPr>
                <w:rFonts w:ascii="Times New Roman" w:hAnsi="Times New Roman"/>
                <w:color w:val="000000"/>
                <w:lang w:eastAsia="ru-RU"/>
              </w:rPr>
            </w:pPr>
          </w:p>
        </w:tc>
        <w:tc>
          <w:tcPr>
            <w:tcW w:w="1843"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га</w:t>
            </w:r>
          </w:p>
        </w:tc>
        <w:tc>
          <w:tcPr>
            <w:tcW w:w="1890"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576"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18,4</w:t>
            </w:r>
            <w:r>
              <w:rPr>
                <w:rFonts w:ascii="Times New Roman" w:hAnsi="Times New Roman"/>
                <w:color w:val="000000"/>
                <w:lang w:eastAsia="ru-RU"/>
              </w:rPr>
              <w:t>2</w:t>
            </w:r>
          </w:p>
        </w:tc>
      </w:tr>
      <w:tr w:rsidR="002D1E45" w:rsidRPr="004D5804" w:rsidTr="00982AC4">
        <w:trPr>
          <w:trHeight w:val="170"/>
          <w:jc w:val="center"/>
        </w:trPr>
        <w:tc>
          <w:tcPr>
            <w:tcW w:w="996" w:type="dxa"/>
            <w:vMerge/>
            <w:vAlign w:val="center"/>
          </w:tcPr>
          <w:p w:rsidR="002D1E45" w:rsidRPr="004D5804" w:rsidRDefault="002D1E45" w:rsidP="00982AC4">
            <w:pPr>
              <w:spacing w:after="0" w:line="240" w:lineRule="auto"/>
              <w:rPr>
                <w:rFonts w:ascii="Times New Roman" w:hAnsi="Times New Roman"/>
                <w:color w:val="000000"/>
                <w:lang w:eastAsia="ru-RU"/>
              </w:rPr>
            </w:pPr>
          </w:p>
        </w:tc>
        <w:tc>
          <w:tcPr>
            <w:tcW w:w="3890" w:type="dxa"/>
            <w:vMerge/>
            <w:vAlign w:val="center"/>
          </w:tcPr>
          <w:p w:rsidR="002D1E45" w:rsidRPr="004D5804" w:rsidRDefault="002D1E45" w:rsidP="00982AC4">
            <w:pPr>
              <w:spacing w:after="0" w:line="240" w:lineRule="auto"/>
              <w:rPr>
                <w:rFonts w:ascii="Times New Roman" w:hAnsi="Times New Roman"/>
                <w:color w:val="000000"/>
                <w:lang w:eastAsia="ru-RU"/>
              </w:rPr>
            </w:pPr>
          </w:p>
        </w:tc>
        <w:tc>
          <w:tcPr>
            <w:tcW w:w="1843"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890"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576" w:type="dxa"/>
            <w:vAlign w:val="center"/>
          </w:tcPr>
          <w:p w:rsidR="002D1E45" w:rsidRPr="004D5804" w:rsidRDefault="002D1E45" w:rsidP="006B3792">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0,1</w:t>
            </w:r>
            <w:r>
              <w:rPr>
                <w:rFonts w:ascii="Times New Roman" w:hAnsi="Times New Roman"/>
                <w:color w:val="000000"/>
                <w:lang w:eastAsia="ru-RU"/>
              </w:rPr>
              <w:t>8</w:t>
            </w:r>
            <w:r w:rsidRPr="004D5804">
              <w:rPr>
                <w:rFonts w:ascii="Times New Roman" w:hAnsi="Times New Roman"/>
                <w:color w:val="000000"/>
                <w:lang w:eastAsia="ru-RU"/>
              </w:rPr>
              <w:t xml:space="preserve"> </w:t>
            </w:r>
          </w:p>
        </w:tc>
      </w:tr>
      <w:tr w:rsidR="002D1E45" w:rsidRPr="004D5804" w:rsidTr="00982AC4">
        <w:trPr>
          <w:trHeight w:val="170"/>
          <w:jc w:val="center"/>
        </w:trPr>
        <w:tc>
          <w:tcPr>
            <w:tcW w:w="996" w:type="dxa"/>
            <w:vMerge w:val="restart"/>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1.3.17</w:t>
            </w:r>
          </w:p>
        </w:tc>
        <w:tc>
          <w:tcPr>
            <w:tcW w:w="3890" w:type="dxa"/>
            <w:vMerge w:val="restart"/>
            <w:vAlign w:val="center"/>
          </w:tcPr>
          <w:p w:rsidR="002D1E45" w:rsidRPr="004D5804" w:rsidRDefault="002D1E45" w:rsidP="00982AC4">
            <w:pPr>
              <w:spacing w:after="0" w:line="240" w:lineRule="auto"/>
              <w:rPr>
                <w:rFonts w:ascii="Times New Roman" w:hAnsi="Times New Roman"/>
                <w:color w:val="000000"/>
                <w:lang w:eastAsia="ru-RU"/>
              </w:rPr>
            </w:pPr>
            <w:r w:rsidRPr="004D5804">
              <w:rPr>
                <w:rFonts w:ascii="Times New Roman" w:hAnsi="Times New Roman"/>
                <w:color w:val="000000"/>
                <w:lang w:eastAsia="ru-RU"/>
              </w:rPr>
              <w:t>Зона кладбищ</w:t>
            </w:r>
          </w:p>
          <w:p w:rsidR="002D1E45" w:rsidRPr="004D5804" w:rsidRDefault="002D1E45" w:rsidP="00982AC4">
            <w:pPr>
              <w:spacing w:after="0" w:line="240" w:lineRule="auto"/>
              <w:rPr>
                <w:rFonts w:ascii="Times New Roman" w:hAnsi="Times New Roman"/>
                <w:color w:val="000000"/>
                <w:lang w:eastAsia="ru-RU"/>
              </w:rPr>
            </w:pPr>
          </w:p>
        </w:tc>
        <w:tc>
          <w:tcPr>
            <w:tcW w:w="1843"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га</w:t>
            </w:r>
          </w:p>
        </w:tc>
        <w:tc>
          <w:tcPr>
            <w:tcW w:w="1890"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576"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62,6</w:t>
            </w:r>
            <w:r>
              <w:rPr>
                <w:rFonts w:ascii="Times New Roman" w:hAnsi="Times New Roman"/>
                <w:color w:val="000000"/>
                <w:lang w:eastAsia="ru-RU"/>
              </w:rPr>
              <w:t>5</w:t>
            </w:r>
          </w:p>
        </w:tc>
      </w:tr>
      <w:tr w:rsidR="002D1E45" w:rsidRPr="004D5804" w:rsidTr="00982AC4">
        <w:trPr>
          <w:trHeight w:val="170"/>
          <w:jc w:val="center"/>
        </w:trPr>
        <w:tc>
          <w:tcPr>
            <w:tcW w:w="996" w:type="dxa"/>
            <w:vMerge/>
            <w:vAlign w:val="center"/>
          </w:tcPr>
          <w:p w:rsidR="002D1E45" w:rsidRPr="004D5804" w:rsidRDefault="002D1E45" w:rsidP="00982AC4">
            <w:pPr>
              <w:spacing w:after="0" w:line="240" w:lineRule="auto"/>
              <w:rPr>
                <w:rFonts w:ascii="Times New Roman" w:hAnsi="Times New Roman"/>
                <w:color w:val="000000"/>
                <w:lang w:eastAsia="ru-RU"/>
              </w:rPr>
            </w:pPr>
          </w:p>
        </w:tc>
        <w:tc>
          <w:tcPr>
            <w:tcW w:w="3890" w:type="dxa"/>
            <w:vMerge/>
            <w:vAlign w:val="center"/>
          </w:tcPr>
          <w:p w:rsidR="002D1E45" w:rsidRPr="004D5804" w:rsidRDefault="002D1E45" w:rsidP="00982AC4">
            <w:pPr>
              <w:spacing w:after="0" w:line="240" w:lineRule="auto"/>
              <w:rPr>
                <w:rFonts w:ascii="Times New Roman" w:hAnsi="Times New Roman"/>
                <w:color w:val="000000"/>
                <w:lang w:eastAsia="ru-RU"/>
              </w:rPr>
            </w:pPr>
          </w:p>
        </w:tc>
        <w:tc>
          <w:tcPr>
            <w:tcW w:w="1843"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890"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576" w:type="dxa"/>
            <w:vAlign w:val="center"/>
          </w:tcPr>
          <w:p w:rsidR="002D1E45" w:rsidRPr="004D5804" w:rsidRDefault="002D1E45" w:rsidP="00982AC4">
            <w:pPr>
              <w:spacing w:after="0" w:line="240" w:lineRule="auto"/>
              <w:jc w:val="center"/>
              <w:rPr>
                <w:rFonts w:ascii="Times New Roman" w:hAnsi="Times New Roman"/>
                <w:color w:val="000000"/>
                <w:lang w:eastAsia="ru-RU"/>
              </w:rPr>
            </w:pPr>
            <w:r>
              <w:rPr>
                <w:rFonts w:ascii="Times New Roman" w:hAnsi="Times New Roman"/>
                <w:color w:val="000000"/>
                <w:lang w:eastAsia="ru-RU"/>
              </w:rPr>
              <w:t>0,61</w:t>
            </w:r>
            <w:r w:rsidRPr="004D5804">
              <w:rPr>
                <w:rFonts w:ascii="Times New Roman" w:hAnsi="Times New Roman"/>
                <w:color w:val="000000"/>
                <w:lang w:eastAsia="ru-RU"/>
              </w:rPr>
              <w:t xml:space="preserve"> </w:t>
            </w:r>
          </w:p>
        </w:tc>
      </w:tr>
      <w:tr w:rsidR="002D1E45" w:rsidRPr="004D5804" w:rsidTr="00982AC4">
        <w:trPr>
          <w:trHeight w:val="170"/>
          <w:jc w:val="center"/>
        </w:trPr>
        <w:tc>
          <w:tcPr>
            <w:tcW w:w="996" w:type="dxa"/>
            <w:vMerge w:val="restart"/>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1.3.18</w:t>
            </w:r>
          </w:p>
        </w:tc>
        <w:tc>
          <w:tcPr>
            <w:tcW w:w="3890" w:type="dxa"/>
            <w:vMerge w:val="restart"/>
            <w:vAlign w:val="center"/>
          </w:tcPr>
          <w:p w:rsidR="002D1E45" w:rsidRPr="004D5804" w:rsidRDefault="002D1E45" w:rsidP="00982AC4">
            <w:pPr>
              <w:spacing w:after="0" w:line="240" w:lineRule="auto"/>
              <w:rPr>
                <w:rFonts w:ascii="Times New Roman" w:hAnsi="Times New Roman"/>
                <w:color w:val="000000"/>
                <w:lang w:eastAsia="ru-RU"/>
              </w:rPr>
            </w:pPr>
            <w:r w:rsidRPr="004D5804">
              <w:rPr>
                <w:rFonts w:ascii="Times New Roman" w:hAnsi="Times New Roman"/>
                <w:color w:val="000000"/>
                <w:lang w:eastAsia="ru-RU"/>
              </w:rPr>
              <w:t>Зона акваторий</w:t>
            </w:r>
          </w:p>
          <w:p w:rsidR="002D1E45" w:rsidRPr="004D5804" w:rsidRDefault="002D1E45" w:rsidP="00982AC4">
            <w:pPr>
              <w:spacing w:after="0" w:line="240" w:lineRule="auto"/>
              <w:rPr>
                <w:rFonts w:ascii="Times New Roman" w:hAnsi="Times New Roman"/>
                <w:color w:val="000000"/>
                <w:lang w:eastAsia="ru-RU"/>
              </w:rPr>
            </w:pPr>
          </w:p>
        </w:tc>
        <w:tc>
          <w:tcPr>
            <w:tcW w:w="1843"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га</w:t>
            </w:r>
          </w:p>
        </w:tc>
        <w:tc>
          <w:tcPr>
            <w:tcW w:w="1890"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576" w:type="dxa"/>
            <w:vAlign w:val="center"/>
          </w:tcPr>
          <w:p w:rsidR="002D1E45" w:rsidRPr="004D5804" w:rsidRDefault="002D1E45" w:rsidP="00982AC4">
            <w:pPr>
              <w:spacing w:after="0" w:line="240" w:lineRule="auto"/>
              <w:jc w:val="center"/>
              <w:rPr>
                <w:rFonts w:ascii="Times New Roman" w:hAnsi="Times New Roman"/>
                <w:color w:val="000000"/>
                <w:lang w:eastAsia="ru-RU"/>
              </w:rPr>
            </w:pPr>
            <w:r>
              <w:rPr>
                <w:rFonts w:ascii="Times New Roman" w:hAnsi="Times New Roman"/>
                <w:color w:val="000000"/>
                <w:lang w:eastAsia="ru-RU"/>
              </w:rPr>
              <w:t>377,52</w:t>
            </w:r>
          </w:p>
        </w:tc>
      </w:tr>
      <w:tr w:rsidR="002D1E45" w:rsidRPr="004D5804" w:rsidTr="00982AC4">
        <w:trPr>
          <w:trHeight w:val="170"/>
          <w:jc w:val="center"/>
        </w:trPr>
        <w:tc>
          <w:tcPr>
            <w:tcW w:w="996" w:type="dxa"/>
            <w:vMerge/>
            <w:vAlign w:val="center"/>
          </w:tcPr>
          <w:p w:rsidR="002D1E45" w:rsidRPr="004D5804" w:rsidRDefault="002D1E45" w:rsidP="00982AC4">
            <w:pPr>
              <w:spacing w:after="0" w:line="240" w:lineRule="auto"/>
              <w:rPr>
                <w:rFonts w:ascii="Times New Roman" w:hAnsi="Times New Roman"/>
                <w:color w:val="000000"/>
                <w:lang w:eastAsia="ru-RU"/>
              </w:rPr>
            </w:pPr>
          </w:p>
        </w:tc>
        <w:tc>
          <w:tcPr>
            <w:tcW w:w="3890" w:type="dxa"/>
            <w:vMerge/>
            <w:vAlign w:val="center"/>
          </w:tcPr>
          <w:p w:rsidR="002D1E45" w:rsidRPr="004D5804" w:rsidRDefault="002D1E45" w:rsidP="00982AC4">
            <w:pPr>
              <w:spacing w:after="0" w:line="240" w:lineRule="auto"/>
              <w:rPr>
                <w:rFonts w:ascii="Times New Roman" w:hAnsi="Times New Roman"/>
                <w:color w:val="000000"/>
                <w:lang w:eastAsia="ru-RU"/>
              </w:rPr>
            </w:pPr>
          </w:p>
        </w:tc>
        <w:tc>
          <w:tcPr>
            <w:tcW w:w="1843"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890"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576" w:type="dxa"/>
            <w:vAlign w:val="center"/>
          </w:tcPr>
          <w:p w:rsidR="002D1E45" w:rsidRPr="004D5804" w:rsidRDefault="002D1E45" w:rsidP="00982AC4">
            <w:pPr>
              <w:spacing w:after="0" w:line="240" w:lineRule="auto"/>
              <w:jc w:val="center"/>
              <w:rPr>
                <w:rFonts w:ascii="Times New Roman" w:hAnsi="Times New Roman"/>
                <w:color w:val="000000"/>
                <w:lang w:eastAsia="ru-RU"/>
              </w:rPr>
            </w:pPr>
            <w:r>
              <w:rPr>
                <w:rFonts w:ascii="Times New Roman" w:hAnsi="Times New Roman"/>
                <w:color w:val="000000"/>
                <w:lang w:eastAsia="ru-RU"/>
              </w:rPr>
              <w:t>3,65</w:t>
            </w:r>
          </w:p>
        </w:tc>
      </w:tr>
      <w:tr w:rsidR="002D1E45" w:rsidRPr="004D5804" w:rsidTr="00982AC4">
        <w:trPr>
          <w:trHeight w:val="170"/>
          <w:jc w:val="center"/>
        </w:trPr>
        <w:tc>
          <w:tcPr>
            <w:tcW w:w="996" w:type="dxa"/>
            <w:vMerge w:val="restart"/>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1.3.19</w:t>
            </w:r>
          </w:p>
        </w:tc>
        <w:tc>
          <w:tcPr>
            <w:tcW w:w="3890" w:type="dxa"/>
            <w:vMerge w:val="restart"/>
            <w:vAlign w:val="center"/>
          </w:tcPr>
          <w:p w:rsidR="002D1E45" w:rsidRPr="004D5804" w:rsidRDefault="002D1E45" w:rsidP="00982AC4">
            <w:pPr>
              <w:spacing w:after="0" w:line="240" w:lineRule="auto"/>
              <w:rPr>
                <w:rFonts w:ascii="Times New Roman" w:hAnsi="Times New Roman"/>
                <w:color w:val="000000"/>
                <w:lang w:eastAsia="ru-RU"/>
              </w:rPr>
            </w:pPr>
            <w:r w:rsidRPr="004D5804">
              <w:rPr>
                <w:rFonts w:ascii="Times New Roman" w:hAnsi="Times New Roman"/>
                <w:color w:val="000000"/>
                <w:lang w:eastAsia="ru-RU"/>
              </w:rPr>
              <w:t>Иные зоны (сохранение природного ландшафта)</w:t>
            </w:r>
          </w:p>
          <w:p w:rsidR="002D1E45" w:rsidRPr="004D5804" w:rsidRDefault="002D1E45" w:rsidP="00982AC4">
            <w:pPr>
              <w:spacing w:after="0" w:line="240" w:lineRule="auto"/>
              <w:rPr>
                <w:rFonts w:ascii="Times New Roman" w:hAnsi="Times New Roman"/>
                <w:color w:val="000000"/>
                <w:lang w:eastAsia="ru-RU"/>
              </w:rPr>
            </w:pPr>
          </w:p>
        </w:tc>
        <w:tc>
          <w:tcPr>
            <w:tcW w:w="1843"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га</w:t>
            </w:r>
          </w:p>
        </w:tc>
        <w:tc>
          <w:tcPr>
            <w:tcW w:w="1890"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576" w:type="dxa"/>
            <w:vAlign w:val="center"/>
          </w:tcPr>
          <w:p w:rsidR="002D1E45" w:rsidRPr="004D5804" w:rsidRDefault="002D1E45" w:rsidP="00982AC4">
            <w:pPr>
              <w:spacing w:after="0" w:line="240" w:lineRule="auto"/>
              <w:jc w:val="center"/>
              <w:rPr>
                <w:rFonts w:ascii="Times New Roman" w:hAnsi="Times New Roman"/>
                <w:color w:val="000000"/>
                <w:lang w:eastAsia="ru-RU"/>
              </w:rPr>
            </w:pPr>
            <w:r>
              <w:rPr>
                <w:rFonts w:ascii="Times New Roman" w:hAnsi="Times New Roman"/>
                <w:color w:val="000000"/>
                <w:lang w:eastAsia="ru-RU"/>
              </w:rPr>
              <w:t>629,41</w:t>
            </w:r>
          </w:p>
        </w:tc>
      </w:tr>
      <w:tr w:rsidR="002D1E45" w:rsidRPr="004D5804" w:rsidTr="00982AC4">
        <w:trPr>
          <w:trHeight w:val="170"/>
          <w:jc w:val="center"/>
        </w:trPr>
        <w:tc>
          <w:tcPr>
            <w:tcW w:w="996" w:type="dxa"/>
            <w:vMerge/>
            <w:vAlign w:val="center"/>
          </w:tcPr>
          <w:p w:rsidR="002D1E45" w:rsidRPr="004D5804" w:rsidRDefault="002D1E45" w:rsidP="00982AC4">
            <w:pPr>
              <w:spacing w:after="0" w:line="240" w:lineRule="auto"/>
              <w:rPr>
                <w:rFonts w:ascii="Times New Roman" w:hAnsi="Times New Roman"/>
                <w:color w:val="000000"/>
                <w:lang w:eastAsia="ru-RU"/>
              </w:rPr>
            </w:pPr>
          </w:p>
        </w:tc>
        <w:tc>
          <w:tcPr>
            <w:tcW w:w="3890" w:type="dxa"/>
            <w:vMerge/>
            <w:vAlign w:val="center"/>
          </w:tcPr>
          <w:p w:rsidR="002D1E45" w:rsidRPr="004D5804" w:rsidRDefault="002D1E45" w:rsidP="00982AC4">
            <w:pPr>
              <w:spacing w:after="0" w:line="240" w:lineRule="auto"/>
              <w:rPr>
                <w:rFonts w:ascii="Times New Roman" w:hAnsi="Times New Roman"/>
                <w:color w:val="000000"/>
                <w:lang w:eastAsia="ru-RU"/>
              </w:rPr>
            </w:pPr>
          </w:p>
        </w:tc>
        <w:tc>
          <w:tcPr>
            <w:tcW w:w="1843"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890"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576" w:type="dxa"/>
            <w:vAlign w:val="center"/>
          </w:tcPr>
          <w:p w:rsidR="002D1E45" w:rsidRPr="004D5804" w:rsidRDefault="002D1E45" w:rsidP="00982AC4">
            <w:pPr>
              <w:spacing w:after="0" w:line="240" w:lineRule="auto"/>
              <w:jc w:val="center"/>
              <w:rPr>
                <w:rFonts w:ascii="Times New Roman" w:hAnsi="Times New Roman"/>
                <w:color w:val="000000"/>
                <w:lang w:eastAsia="ru-RU"/>
              </w:rPr>
            </w:pPr>
            <w:r>
              <w:rPr>
                <w:rFonts w:ascii="Times New Roman" w:hAnsi="Times New Roman"/>
                <w:color w:val="000000"/>
                <w:lang w:eastAsia="ru-RU"/>
              </w:rPr>
              <w:t>6,08</w:t>
            </w:r>
            <w:r w:rsidRPr="004D5804">
              <w:rPr>
                <w:rFonts w:ascii="Times New Roman" w:hAnsi="Times New Roman"/>
                <w:color w:val="000000"/>
                <w:lang w:eastAsia="ru-RU"/>
              </w:rPr>
              <w:t xml:space="preserve"> </w:t>
            </w:r>
          </w:p>
        </w:tc>
      </w:tr>
      <w:tr w:rsidR="002D1E45" w:rsidRPr="004D5804" w:rsidTr="00982AC4">
        <w:trPr>
          <w:trHeight w:val="170"/>
          <w:jc w:val="center"/>
        </w:trPr>
        <w:tc>
          <w:tcPr>
            <w:tcW w:w="996" w:type="dxa"/>
            <w:vMerge w:val="restart"/>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1.3.20</w:t>
            </w:r>
          </w:p>
        </w:tc>
        <w:tc>
          <w:tcPr>
            <w:tcW w:w="3890" w:type="dxa"/>
            <w:vMerge w:val="restart"/>
            <w:vAlign w:val="center"/>
          </w:tcPr>
          <w:p w:rsidR="002D1E45" w:rsidRPr="004D5804" w:rsidRDefault="002D1E45" w:rsidP="00982AC4">
            <w:pPr>
              <w:spacing w:after="0" w:line="240" w:lineRule="auto"/>
              <w:rPr>
                <w:rFonts w:ascii="Times New Roman" w:hAnsi="Times New Roman"/>
                <w:color w:val="000000"/>
                <w:lang w:eastAsia="ru-RU"/>
              </w:rPr>
            </w:pPr>
            <w:r w:rsidRPr="004D5804">
              <w:rPr>
                <w:rFonts w:ascii="Times New Roman" w:hAnsi="Times New Roman"/>
                <w:color w:val="000000"/>
                <w:lang w:eastAsia="ru-RU"/>
              </w:rPr>
              <w:t>Зона улично-дорожной сети</w:t>
            </w:r>
          </w:p>
        </w:tc>
        <w:tc>
          <w:tcPr>
            <w:tcW w:w="1843"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га</w:t>
            </w:r>
          </w:p>
        </w:tc>
        <w:tc>
          <w:tcPr>
            <w:tcW w:w="1890"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576"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345,6</w:t>
            </w:r>
            <w:r>
              <w:rPr>
                <w:rFonts w:ascii="Times New Roman" w:hAnsi="Times New Roman"/>
                <w:color w:val="000000"/>
                <w:lang w:eastAsia="ru-RU"/>
              </w:rPr>
              <w:t>8</w:t>
            </w:r>
          </w:p>
        </w:tc>
      </w:tr>
      <w:tr w:rsidR="002D1E45" w:rsidRPr="00AF7759" w:rsidTr="00982AC4">
        <w:trPr>
          <w:trHeight w:val="170"/>
          <w:jc w:val="center"/>
        </w:trPr>
        <w:tc>
          <w:tcPr>
            <w:tcW w:w="996" w:type="dxa"/>
            <w:vMerge/>
            <w:vAlign w:val="center"/>
          </w:tcPr>
          <w:p w:rsidR="002D1E45" w:rsidRPr="004D5804" w:rsidRDefault="002D1E45" w:rsidP="00982AC4">
            <w:pPr>
              <w:spacing w:after="0" w:line="240" w:lineRule="auto"/>
              <w:rPr>
                <w:rFonts w:ascii="Times New Roman" w:hAnsi="Times New Roman"/>
                <w:color w:val="000000"/>
                <w:lang w:eastAsia="ru-RU"/>
              </w:rPr>
            </w:pPr>
          </w:p>
        </w:tc>
        <w:tc>
          <w:tcPr>
            <w:tcW w:w="3890" w:type="dxa"/>
            <w:vMerge/>
            <w:vAlign w:val="center"/>
          </w:tcPr>
          <w:p w:rsidR="002D1E45" w:rsidRPr="004D5804" w:rsidRDefault="002D1E45" w:rsidP="00982AC4">
            <w:pPr>
              <w:spacing w:after="0" w:line="240" w:lineRule="auto"/>
              <w:rPr>
                <w:rFonts w:ascii="Times New Roman" w:hAnsi="Times New Roman"/>
                <w:color w:val="000000"/>
                <w:lang w:eastAsia="ru-RU"/>
              </w:rPr>
            </w:pPr>
          </w:p>
        </w:tc>
        <w:tc>
          <w:tcPr>
            <w:tcW w:w="1843"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890" w:type="dxa"/>
            <w:vAlign w:val="center"/>
          </w:tcPr>
          <w:p w:rsidR="002D1E45" w:rsidRPr="004D580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w:t>
            </w:r>
          </w:p>
        </w:tc>
        <w:tc>
          <w:tcPr>
            <w:tcW w:w="1576" w:type="dxa"/>
            <w:vAlign w:val="center"/>
          </w:tcPr>
          <w:p w:rsidR="002D1E45" w:rsidRPr="00982AC4" w:rsidRDefault="002D1E45" w:rsidP="00982AC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3,34</w:t>
            </w:r>
            <w:r>
              <w:rPr>
                <w:rFonts w:ascii="Times New Roman" w:hAnsi="Times New Roman"/>
                <w:color w:val="000000"/>
                <w:lang w:eastAsia="ru-RU"/>
              </w:rPr>
              <w:t xml:space="preserve"> </w:t>
            </w:r>
          </w:p>
        </w:tc>
      </w:tr>
      <w:tr w:rsidR="002D1E45" w:rsidRPr="00AC1044" w:rsidTr="00AC1044">
        <w:trPr>
          <w:trHeight w:val="170"/>
          <w:jc w:val="center"/>
        </w:trPr>
        <w:tc>
          <w:tcPr>
            <w:tcW w:w="996" w:type="dxa"/>
            <w:vAlign w:val="center"/>
          </w:tcPr>
          <w:p w:rsidR="002D1E45" w:rsidRPr="00381A47" w:rsidRDefault="002D1E45" w:rsidP="00436526">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2</w:t>
            </w:r>
          </w:p>
        </w:tc>
        <w:tc>
          <w:tcPr>
            <w:tcW w:w="9199" w:type="dxa"/>
            <w:gridSpan w:val="4"/>
            <w:vAlign w:val="center"/>
          </w:tcPr>
          <w:p w:rsidR="002D1E45" w:rsidRPr="00381A47" w:rsidRDefault="002D1E45" w:rsidP="00436526">
            <w:pPr>
              <w:spacing w:after="0" w:line="240" w:lineRule="auto"/>
              <w:rPr>
                <w:rFonts w:ascii="Times New Roman" w:hAnsi="Times New Roman"/>
                <w:color w:val="000000"/>
                <w:lang w:eastAsia="ru-RU"/>
              </w:rPr>
            </w:pPr>
            <w:r w:rsidRPr="00381A47">
              <w:rPr>
                <w:rFonts w:ascii="Times New Roman" w:hAnsi="Times New Roman"/>
                <w:color w:val="000000"/>
                <w:lang w:eastAsia="ru-RU"/>
              </w:rPr>
              <w:t>НАСЕЛЕНИЕ</w:t>
            </w: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20</w:t>
            </w:r>
          </w:p>
        </w:tc>
        <w:tc>
          <w:tcPr>
            <w:tcW w:w="3890" w:type="dxa"/>
            <w:vAlign w:val="center"/>
          </w:tcPr>
          <w:p w:rsidR="002D1E45" w:rsidRPr="00381A47" w:rsidRDefault="002D1E45" w:rsidP="00A513B8">
            <w:pPr>
              <w:spacing w:after="0" w:line="240" w:lineRule="auto"/>
              <w:rPr>
                <w:rFonts w:ascii="Times New Roman" w:hAnsi="Times New Roman"/>
                <w:color w:val="000000"/>
                <w:lang w:eastAsia="ru-RU"/>
              </w:rPr>
            </w:pPr>
            <w:r w:rsidRPr="00381A47">
              <w:rPr>
                <w:rFonts w:ascii="Times New Roman" w:hAnsi="Times New Roman"/>
                <w:color w:val="000000"/>
                <w:lang w:eastAsia="ru-RU"/>
              </w:rPr>
              <w:t>Постоянное население</w:t>
            </w:r>
          </w:p>
        </w:tc>
        <w:tc>
          <w:tcPr>
            <w:tcW w:w="1843"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тыс. человек</w:t>
            </w:r>
          </w:p>
        </w:tc>
        <w:tc>
          <w:tcPr>
            <w:tcW w:w="1890"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43 536</w:t>
            </w:r>
          </w:p>
        </w:tc>
        <w:tc>
          <w:tcPr>
            <w:tcW w:w="157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38 950</w:t>
            </w: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21</w:t>
            </w:r>
          </w:p>
        </w:tc>
        <w:tc>
          <w:tcPr>
            <w:tcW w:w="3890" w:type="dxa"/>
            <w:vAlign w:val="center"/>
          </w:tcPr>
          <w:p w:rsidR="002D1E45" w:rsidRPr="00381A47" w:rsidRDefault="002D1E45" w:rsidP="00A513B8">
            <w:pPr>
              <w:spacing w:after="0" w:line="240" w:lineRule="auto"/>
              <w:rPr>
                <w:rFonts w:ascii="Times New Roman" w:hAnsi="Times New Roman"/>
                <w:color w:val="000000"/>
                <w:lang w:eastAsia="ru-RU"/>
              </w:rPr>
            </w:pPr>
            <w:r w:rsidRPr="00381A47">
              <w:rPr>
                <w:rFonts w:ascii="Times New Roman" w:hAnsi="Times New Roman"/>
                <w:color w:val="000000"/>
                <w:lang w:eastAsia="ru-RU"/>
              </w:rPr>
              <w:t xml:space="preserve">Возрастная структура населения </w:t>
            </w:r>
          </w:p>
        </w:tc>
        <w:tc>
          <w:tcPr>
            <w:tcW w:w="1843"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 </w:t>
            </w:r>
          </w:p>
        </w:tc>
        <w:tc>
          <w:tcPr>
            <w:tcW w:w="1890" w:type="dxa"/>
            <w:vAlign w:val="center"/>
          </w:tcPr>
          <w:p w:rsidR="002D1E45" w:rsidRPr="00381A47" w:rsidRDefault="002D1E45" w:rsidP="00A513B8">
            <w:pPr>
              <w:spacing w:after="0" w:line="240" w:lineRule="auto"/>
              <w:jc w:val="center"/>
              <w:rPr>
                <w:rFonts w:ascii="Times New Roman" w:hAnsi="Times New Roman"/>
                <w:color w:val="000000"/>
                <w:lang w:eastAsia="ru-RU"/>
              </w:rPr>
            </w:pPr>
          </w:p>
        </w:tc>
        <w:tc>
          <w:tcPr>
            <w:tcW w:w="1576" w:type="dxa"/>
            <w:vAlign w:val="center"/>
          </w:tcPr>
          <w:p w:rsidR="002D1E45" w:rsidRPr="00381A47" w:rsidRDefault="002D1E45" w:rsidP="00A513B8">
            <w:pPr>
              <w:spacing w:after="0" w:line="240" w:lineRule="auto"/>
              <w:jc w:val="center"/>
              <w:rPr>
                <w:rFonts w:ascii="Times New Roman" w:hAnsi="Times New Roman"/>
                <w:color w:val="000000"/>
                <w:lang w:eastAsia="ru-RU"/>
              </w:rPr>
            </w:pP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22</w:t>
            </w:r>
          </w:p>
        </w:tc>
        <w:tc>
          <w:tcPr>
            <w:tcW w:w="3890" w:type="dxa"/>
            <w:vAlign w:val="center"/>
          </w:tcPr>
          <w:p w:rsidR="002D1E45" w:rsidRPr="00381A47" w:rsidRDefault="002D1E45" w:rsidP="00803DB4">
            <w:pPr>
              <w:spacing w:after="0" w:line="240" w:lineRule="auto"/>
              <w:ind w:firstLineChars="200" w:firstLine="440"/>
              <w:rPr>
                <w:rFonts w:ascii="Times New Roman" w:hAnsi="Times New Roman"/>
                <w:color w:val="000000"/>
                <w:lang w:eastAsia="ru-RU"/>
              </w:rPr>
            </w:pPr>
            <w:r w:rsidRPr="00381A47">
              <w:rPr>
                <w:rFonts w:ascii="Times New Roman" w:hAnsi="Times New Roman"/>
                <w:color w:val="000000"/>
                <w:lang w:eastAsia="ru-RU"/>
              </w:rPr>
              <w:t>–   младше трудоспособного возраста</w:t>
            </w:r>
          </w:p>
        </w:tc>
        <w:tc>
          <w:tcPr>
            <w:tcW w:w="1843"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w:t>
            </w:r>
          </w:p>
        </w:tc>
        <w:tc>
          <w:tcPr>
            <w:tcW w:w="1890"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18,5</w:t>
            </w:r>
          </w:p>
        </w:tc>
        <w:tc>
          <w:tcPr>
            <w:tcW w:w="157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19,0</w:t>
            </w: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23</w:t>
            </w:r>
          </w:p>
        </w:tc>
        <w:tc>
          <w:tcPr>
            <w:tcW w:w="3890" w:type="dxa"/>
            <w:vAlign w:val="center"/>
          </w:tcPr>
          <w:p w:rsidR="002D1E45" w:rsidRPr="00381A47" w:rsidRDefault="002D1E45" w:rsidP="00803DB4">
            <w:pPr>
              <w:spacing w:after="0" w:line="240" w:lineRule="auto"/>
              <w:ind w:firstLineChars="200" w:firstLine="440"/>
              <w:rPr>
                <w:rFonts w:ascii="Times New Roman" w:hAnsi="Times New Roman"/>
                <w:color w:val="000000"/>
                <w:lang w:eastAsia="ru-RU"/>
              </w:rPr>
            </w:pPr>
            <w:r w:rsidRPr="00381A47">
              <w:rPr>
                <w:rFonts w:ascii="Times New Roman" w:hAnsi="Times New Roman"/>
                <w:color w:val="000000"/>
                <w:lang w:eastAsia="ru-RU"/>
              </w:rPr>
              <w:t>–   трудоспособного возраста</w:t>
            </w:r>
          </w:p>
        </w:tc>
        <w:tc>
          <w:tcPr>
            <w:tcW w:w="1843"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w:t>
            </w:r>
          </w:p>
        </w:tc>
        <w:tc>
          <w:tcPr>
            <w:tcW w:w="1890"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59,1</w:t>
            </w:r>
          </w:p>
        </w:tc>
        <w:tc>
          <w:tcPr>
            <w:tcW w:w="157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56,0</w:t>
            </w: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24</w:t>
            </w:r>
          </w:p>
        </w:tc>
        <w:tc>
          <w:tcPr>
            <w:tcW w:w="3890" w:type="dxa"/>
            <w:vAlign w:val="center"/>
          </w:tcPr>
          <w:p w:rsidR="002D1E45" w:rsidRPr="00381A47" w:rsidRDefault="002D1E45" w:rsidP="00803DB4">
            <w:pPr>
              <w:spacing w:after="0" w:line="240" w:lineRule="auto"/>
              <w:ind w:firstLineChars="200" w:firstLine="440"/>
              <w:rPr>
                <w:rFonts w:ascii="Times New Roman" w:hAnsi="Times New Roman"/>
                <w:color w:val="000000"/>
                <w:lang w:eastAsia="ru-RU"/>
              </w:rPr>
            </w:pPr>
            <w:r w:rsidRPr="00381A47">
              <w:rPr>
                <w:rFonts w:ascii="Times New Roman" w:hAnsi="Times New Roman"/>
                <w:color w:val="000000"/>
                <w:lang w:eastAsia="ru-RU"/>
              </w:rPr>
              <w:t xml:space="preserve">–   старше трудоспособного возраста </w:t>
            </w:r>
          </w:p>
        </w:tc>
        <w:tc>
          <w:tcPr>
            <w:tcW w:w="1843"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w:t>
            </w:r>
          </w:p>
        </w:tc>
        <w:tc>
          <w:tcPr>
            <w:tcW w:w="1890"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22,3</w:t>
            </w:r>
          </w:p>
        </w:tc>
        <w:tc>
          <w:tcPr>
            <w:tcW w:w="157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25,0</w:t>
            </w:r>
          </w:p>
        </w:tc>
      </w:tr>
      <w:tr w:rsidR="002D1E45" w:rsidRPr="00AC1044" w:rsidTr="004D5804">
        <w:trPr>
          <w:trHeight w:val="170"/>
          <w:jc w:val="center"/>
        </w:trPr>
        <w:tc>
          <w:tcPr>
            <w:tcW w:w="996" w:type="dxa"/>
            <w:vAlign w:val="center"/>
          </w:tcPr>
          <w:p w:rsidR="002D1E45" w:rsidRPr="00381A47" w:rsidRDefault="002D1E45" w:rsidP="004D5804">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25</w:t>
            </w:r>
          </w:p>
        </w:tc>
        <w:tc>
          <w:tcPr>
            <w:tcW w:w="3890" w:type="dxa"/>
            <w:vAlign w:val="center"/>
          </w:tcPr>
          <w:p w:rsidR="002D1E45" w:rsidRPr="00381A47" w:rsidRDefault="002D1E45" w:rsidP="004D5804">
            <w:pPr>
              <w:spacing w:after="0" w:line="240" w:lineRule="auto"/>
              <w:rPr>
                <w:rFonts w:ascii="Times New Roman" w:hAnsi="Times New Roman"/>
                <w:color w:val="000000"/>
                <w:lang w:eastAsia="ru-RU"/>
              </w:rPr>
            </w:pPr>
            <w:r w:rsidRPr="00381A47">
              <w:rPr>
                <w:rFonts w:ascii="Times New Roman" w:hAnsi="Times New Roman"/>
                <w:color w:val="000000"/>
                <w:lang w:eastAsia="ru-RU"/>
              </w:rPr>
              <w:t>Плотность населения в</w:t>
            </w:r>
            <w:r>
              <w:rPr>
                <w:rFonts w:ascii="Times New Roman" w:hAnsi="Times New Roman"/>
                <w:color w:val="000000"/>
                <w:lang w:eastAsia="ru-RU"/>
              </w:rPr>
              <w:t> </w:t>
            </w:r>
            <w:r w:rsidRPr="00381A47">
              <w:rPr>
                <w:rFonts w:ascii="Times New Roman" w:hAnsi="Times New Roman"/>
                <w:color w:val="000000"/>
                <w:lang w:eastAsia="ru-RU"/>
              </w:rPr>
              <w:t>границах населённых пунктов</w:t>
            </w:r>
          </w:p>
        </w:tc>
        <w:tc>
          <w:tcPr>
            <w:tcW w:w="1843" w:type="dxa"/>
            <w:vAlign w:val="center"/>
          </w:tcPr>
          <w:p w:rsidR="002D1E45" w:rsidRPr="00381A47" w:rsidRDefault="002D1E45" w:rsidP="004D5804">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чел. на</w:t>
            </w:r>
            <w:r>
              <w:rPr>
                <w:rFonts w:ascii="Times New Roman" w:hAnsi="Times New Roman"/>
                <w:color w:val="000000"/>
                <w:lang w:eastAsia="ru-RU"/>
              </w:rPr>
              <w:t> </w:t>
            </w:r>
            <w:r w:rsidRPr="00381A47">
              <w:rPr>
                <w:rFonts w:ascii="Times New Roman" w:hAnsi="Times New Roman"/>
                <w:color w:val="000000"/>
                <w:lang w:eastAsia="ru-RU"/>
              </w:rPr>
              <w:t>га</w:t>
            </w:r>
          </w:p>
        </w:tc>
        <w:tc>
          <w:tcPr>
            <w:tcW w:w="1890" w:type="dxa"/>
            <w:vAlign w:val="center"/>
          </w:tcPr>
          <w:p w:rsidR="002D1E45" w:rsidRPr="00381A47" w:rsidRDefault="002D1E45" w:rsidP="004D580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4,205</w:t>
            </w:r>
          </w:p>
        </w:tc>
        <w:tc>
          <w:tcPr>
            <w:tcW w:w="1576" w:type="dxa"/>
            <w:vAlign w:val="center"/>
          </w:tcPr>
          <w:p w:rsidR="002D1E45" w:rsidRPr="00381A47" w:rsidRDefault="002D1E45" w:rsidP="004D580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3,762</w:t>
            </w: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26</w:t>
            </w:r>
          </w:p>
        </w:tc>
        <w:tc>
          <w:tcPr>
            <w:tcW w:w="3890" w:type="dxa"/>
            <w:vAlign w:val="center"/>
          </w:tcPr>
          <w:p w:rsidR="002D1E45" w:rsidRPr="00381A47" w:rsidRDefault="002D1E45" w:rsidP="00A513B8">
            <w:pPr>
              <w:spacing w:after="0" w:line="240" w:lineRule="auto"/>
              <w:rPr>
                <w:rFonts w:ascii="Times New Roman" w:hAnsi="Times New Roman"/>
                <w:color w:val="000000"/>
                <w:lang w:eastAsia="ru-RU"/>
              </w:rPr>
            </w:pPr>
            <w:r w:rsidRPr="00381A47">
              <w:rPr>
                <w:rFonts w:ascii="Times New Roman" w:hAnsi="Times New Roman"/>
                <w:color w:val="000000"/>
                <w:lang w:eastAsia="ru-RU"/>
              </w:rPr>
              <w:t>ЖИЛИЩНЫЙ ФОНД </w:t>
            </w:r>
          </w:p>
        </w:tc>
        <w:tc>
          <w:tcPr>
            <w:tcW w:w="1843"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 </w:t>
            </w:r>
          </w:p>
        </w:tc>
        <w:tc>
          <w:tcPr>
            <w:tcW w:w="1890" w:type="dxa"/>
            <w:vAlign w:val="center"/>
          </w:tcPr>
          <w:p w:rsidR="002D1E45" w:rsidRPr="00381A47" w:rsidRDefault="002D1E45" w:rsidP="00A513B8">
            <w:pPr>
              <w:spacing w:after="0" w:line="240" w:lineRule="auto"/>
              <w:jc w:val="center"/>
              <w:rPr>
                <w:rFonts w:ascii="Times New Roman" w:hAnsi="Times New Roman"/>
                <w:color w:val="000000"/>
                <w:lang w:eastAsia="ru-RU"/>
              </w:rPr>
            </w:pPr>
          </w:p>
        </w:tc>
        <w:tc>
          <w:tcPr>
            <w:tcW w:w="1576" w:type="dxa"/>
            <w:vAlign w:val="center"/>
          </w:tcPr>
          <w:p w:rsidR="002D1E45" w:rsidRPr="00381A47" w:rsidRDefault="002D1E45" w:rsidP="00A513B8">
            <w:pPr>
              <w:spacing w:after="0" w:line="240" w:lineRule="auto"/>
              <w:jc w:val="center"/>
              <w:rPr>
                <w:rFonts w:ascii="Times New Roman" w:hAnsi="Times New Roman"/>
                <w:color w:val="000000"/>
                <w:lang w:eastAsia="ru-RU"/>
              </w:rPr>
            </w:pP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27</w:t>
            </w:r>
          </w:p>
        </w:tc>
        <w:tc>
          <w:tcPr>
            <w:tcW w:w="3890" w:type="dxa"/>
            <w:vAlign w:val="center"/>
          </w:tcPr>
          <w:p w:rsidR="002D1E45" w:rsidRPr="00381A47" w:rsidRDefault="002D1E45" w:rsidP="00A513B8">
            <w:pPr>
              <w:spacing w:after="0" w:line="240" w:lineRule="auto"/>
              <w:rPr>
                <w:rFonts w:ascii="Times New Roman" w:hAnsi="Times New Roman"/>
                <w:color w:val="000000"/>
                <w:lang w:eastAsia="ru-RU"/>
              </w:rPr>
            </w:pPr>
            <w:r w:rsidRPr="00381A47">
              <w:rPr>
                <w:rFonts w:ascii="Times New Roman" w:hAnsi="Times New Roman"/>
                <w:color w:val="000000"/>
                <w:lang w:eastAsia="ru-RU"/>
              </w:rPr>
              <w:t>Объём жилищного фонда, всего, в</w:t>
            </w:r>
            <w:r>
              <w:rPr>
                <w:rFonts w:ascii="Times New Roman" w:hAnsi="Times New Roman"/>
                <w:color w:val="000000"/>
                <w:lang w:eastAsia="ru-RU"/>
              </w:rPr>
              <w:t> </w:t>
            </w:r>
            <w:r w:rsidRPr="00381A47">
              <w:rPr>
                <w:rFonts w:ascii="Times New Roman" w:hAnsi="Times New Roman"/>
                <w:color w:val="000000"/>
                <w:lang w:eastAsia="ru-RU"/>
              </w:rPr>
              <w:t>том числе:</w:t>
            </w:r>
          </w:p>
        </w:tc>
        <w:tc>
          <w:tcPr>
            <w:tcW w:w="1843"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тыс. кв. м</w:t>
            </w:r>
          </w:p>
        </w:tc>
        <w:tc>
          <w:tcPr>
            <w:tcW w:w="1890"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936,04</w:t>
            </w:r>
          </w:p>
        </w:tc>
        <w:tc>
          <w:tcPr>
            <w:tcW w:w="157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1090,6</w:t>
            </w: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28</w:t>
            </w:r>
          </w:p>
        </w:tc>
        <w:tc>
          <w:tcPr>
            <w:tcW w:w="3890" w:type="dxa"/>
            <w:vAlign w:val="center"/>
          </w:tcPr>
          <w:p w:rsidR="002D1E45" w:rsidRPr="00381A47" w:rsidRDefault="002D1E45" w:rsidP="00A513B8">
            <w:pPr>
              <w:spacing w:after="0" w:line="240" w:lineRule="auto"/>
              <w:rPr>
                <w:rFonts w:ascii="Times New Roman" w:hAnsi="Times New Roman"/>
                <w:color w:val="000000"/>
                <w:lang w:eastAsia="ru-RU"/>
              </w:rPr>
            </w:pPr>
            <w:r w:rsidRPr="00381A47">
              <w:rPr>
                <w:rFonts w:ascii="Times New Roman" w:hAnsi="Times New Roman"/>
                <w:color w:val="000000"/>
                <w:lang w:eastAsia="ru-RU"/>
              </w:rPr>
              <w:t>Средняя жилищная обеспеченность</w:t>
            </w:r>
          </w:p>
        </w:tc>
        <w:tc>
          <w:tcPr>
            <w:tcW w:w="1843"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кв. м</w:t>
            </w:r>
            <w:r>
              <w:rPr>
                <w:rFonts w:ascii="Times New Roman" w:hAnsi="Times New Roman"/>
                <w:color w:val="000000"/>
                <w:lang w:eastAsia="ru-RU"/>
              </w:rPr>
              <w:t> </w:t>
            </w:r>
            <w:r w:rsidRPr="00381A47">
              <w:rPr>
                <w:rFonts w:ascii="Times New Roman" w:hAnsi="Times New Roman"/>
                <w:color w:val="000000"/>
                <w:lang w:eastAsia="ru-RU"/>
              </w:rPr>
              <w:t>общей площади жилых помещений на</w:t>
            </w:r>
            <w:r>
              <w:rPr>
                <w:rFonts w:ascii="Times New Roman" w:hAnsi="Times New Roman"/>
                <w:color w:val="000000"/>
                <w:lang w:eastAsia="ru-RU"/>
              </w:rPr>
              <w:t> </w:t>
            </w:r>
            <w:r w:rsidRPr="00381A47">
              <w:rPr>
                <w:rFonts w:ascii="Times New Roman" w:hAnsi="Times New Roman"/>
                <w:color w:val="000000"/>
                <w:lang w:eastAsia="ru-RU"/>
              </w:rPr>
              <w:t>человека</w:t>
            </w:r>
          </w:p>
        </w:tc>
        <w:tc>
          <w:tcPr>
            <w:tcW w:w="1890"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21,5</w:t>
            </w:r>
          </w:p>
        </w:tc>
        <w:tc>
          <w:tcPr>
            <w:tcW w:w="157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28,0</w:t>
            </w:r>
          </w:p>
        </w:tc>
      </w:tr>
      <w:tr w:rsidR="002D1E45" w:rsidRPr="00AC1044" w:rsidTr="00AC1044">
        <w:trPr>
          <w:trHeight w:val="170"/>
          <w:jc w:val="center"/>
        </w:trPr>
        <w:tc>
          <w:tcPr>
            <w:tcW w:w="996" w:type="dxa"/>
            <w:vAlign w:val="center"/>
          </w:tcPr>
          <w:p w:rsidR="002D1E45" w:rsidRPr="00381A47" w:rsidRDefault="002D1E45" w:rsidP="00436526">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29</w:t>
            </w:r>
          </w:p>
        </w:tc>
        <w:tc>
          <w:tcPr>
            <w:tcW w:w="9199" w:type="dxa"/>
            <w:gridSpan w:val="4"/>
            <w:vAlign w:val="center"/>
          </w:tcPr>
          <w:p w:rsidR="002D1E45" w:rsidRPr="00381A47" w:rsidRDefault="002D1E45" w:rsidP="00436526">
            <w:pPr>
              <w:spacing w:after="0" w:line="240" w:lineRule="auto"/>
              <w:rPr>
                <w:rFonts w:ascii="Times New Roman" w:hAnsi="Times New Roman"/>
                <w:color w:val="000000"/>
                <w:lang w:eastAsia="ru-RU"/>
              </w:rPr>
            </w:pPr>
            <w:r w:rsidRPr="00381A47">
              <w:rPr>
                <w:rFonts w:ascii="Times New Roman" w:hAnsi="Times New Roman"/>
                <w:color w:val="000000"/>
                <w:lang w:eastAsia="ru-RU"/>
              </w:rPr>
              <w:t>ОБЪЕКТЫ СОЦИАЛЬНОЙ ИНФРАСТРУКТУРЫ</w:t>
            </w:r>
          </w:p>
        </w:tc>
      </w:tr>
      <w:tr w:rsidR="002D1E45" w:rsidRPr="00AC1044" w:rsidTr="00AC1044">
        <w:trPr>
          <w:trHeight w:val="170"/>
          <w:jc w:val="center"/>
        </w:trPr>
        <w:tc>
          <w:tcPr>
            <w:tcW w:w="996" w:type="dxa"/>
            <w:vAlign w:val="center"/>
          </w:tcPr>
          <w:p w:rsidR="002D1E45" w:rsidRPr="00381A47" w:rsidRDefault="002D1E45" w:rsidP="00436526">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30</w:t>
            </w:r>
          </w:p>
        </w:tc>
        <w:tc>
          <w:tcPr>
            <w:tcW w:w="9199" w:type="dxa"/>
            <w:gridSpan w:val="4"/>
            <w:vAlign w:val="center"/>
          </w:tcPr>
          <w:p w:rsidR="002D1E45" w:rsidRPr="00381A47" w:rsidRDefault="002D1E45" w:rsidP="00436526">
            <w:pPr>
              <w:spacing w:after="0" w:line="240" w:lineRule="auto"/>
              <w:rPr>
                <w:rFonts w:ascii="Times New Roman" w:hAnsi="Times New Roman"/>
                <w:color w:val="000000"/>
                <w:lang w:eastAsia="ru-RU"/>
              </w:rPr>
            </w:pPr>
            <w:r w:rsidRPr="00381A47">
              <w:rPr>
                <w:rFonts w:ascii="Times New Roman" w:hAnsi="Times New Roman"/>
                <w:color w:val="000000"/>
                <w:lang w:eastAsia="ru-RU"/>
              </w:rPr>
              <w:t>Образовательные организации</w:t>
            </w: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31</w:t>
            </w:r>
          </w:p>
        </w:tc>
        <w:tc>
          <w:tcPr>
            <w:tcW w:w="3890" w:type="dxa"/>
            <w:vMerge w:val="restart"/>
            <w:vAlign w:val="center"/>
          </w:tcPr>
          <w:p w:rsidR="002D1E45" w:rsidRPr="00381A47" w:rsidRDefault="002D1E45" w:rsidP="00A513B8">
            <w:pPr>
              <w:spacing w:after="0" w:line="240" w:lineRule="auto"/>
              <w:rPr>
                <w:rFonts w:ascii="Times New Roman" w:hAnsi="Times New Roman"/>
                <w:color w:val="000000"/>
                <w:lang w:eastAsia="ru-RU"/>
              </w:rPr>
            </w:pPr>
            <w:r w:rsidRPr="00381A47">
              <w:rPr>
                <w:rFonts w:ascii="Times New Roman" w:hAnsi="Times New Roman"/>
                <w:color w:val="000000"/>
                <w:lang w:eastAsia="ru-RU"/>
              </w:rPr>
              <w:t>Дошкольные образовательные организации</w:t>
            </w:r>
          </w:p>
        </w:tc>
        <w:tc>
          <w:tcPr>
            <w:tcW w:w="1843"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мест</w:t>
            </w:r>
          </w:p>
        </w:tc>
        <w:tc>
          <w:tcPr>
            <w:tcW w:w="1890"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2 379</w:t>
            </w:r>
          </w:p>
        </w:tc>
        <w:tc>
          <w:tcPr>
            <w:tcW w:w="157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2 709</w:t>
            </w: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32</w:t>
            </w:r>
          </w:p>
        </w:tc>
        <w:tc>
          <w:tcPr>
            <w:tcW w:w="3890" w:type="dxa"/>
            <w:vMerge/>
            <w:vAlign w:val="center"/>
          </w:tcPr>
          <w:p w:rsidR="002D1E45" w:rsidRPr="00381A47" w:rsidRDefault="002D1E45" w:rsidP="00A513B8">
            <w:pPr>
              <w:spacing w:after="0" w:line="240" w:lineRule="auto"/>
              <w:rPr>
                <w:rFonts w:ascii="Times New Roman" w:hAnsi="Times New Roman"/>
                <w:color w:val="000000"/>
                <w:lang w:eastAsia="ru-RU"/>
              </w:rPr>
            </w:pPr>
          </w:p>
        </w:tc>
        <w:tc>
          <w:tcPr>
            <w:tcW w:w="1843"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мест/1000 чел.</w:t>
            </w:r>
          </w:p>
        </w:tc>
        <w:tc>
          <w:tcPr>
            <w:tcW w:w="1890"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55</w:t>
            </w:r>
          </w:p>
        </w:tc>
        <w:tc>
          <w:tcPr>
            <w:tcW w:w="157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70</w:t>
            </w: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33</w:t>
            </w:r>
          </w:p>
        </w:tc>
        <w:tc>
          <w:tcPr>
            <w:tcW w:w="3890" w:type="dxa"/>
            <w:vMerge w:val="restart"/>
            <w:vAlign w:val="center"/>
          </w:tcPr>
          <w:p w:rsidR="002D1E45" w:rsidRPr="00381A47" w:rsidRDefault="002D1E45" w:rsidP="00A513B8">
            <w:pPr>
              <w:spacing w:after="0" w:line="240" w:lineRule="auto"/>
              <w:rPr>
                <w:rFonts w:ascii="Times New Roman" w:hAnsi="Times New Roman"/>
                <w:color w:val="000000"/>
                <w:lang w:eastAsia="ru-RU"/>
              </w:rPr>
            </w:pPr>
            <w:r w:rsidRPr="00381A47">
              <w:rPr>
                <w:rFonts w:ascii="Times New Roman" w:hAnsi="Times New Roman"/>
                <w:color w:val="000000"/>
                <w:lang w:eastAsia="ru-RU"/>
              </w:rPr>
              <w:t xml:space="preserve">Общеобразовательные организации </w:t>
            </w:r>
          </w:p>
        </w:tc>
        <w:tc>
          <w:tcPr>
            <w:tcW w:w="1843"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мест</w:t>
            </w:r>
          </w:p>
        </w:tc>
        <w:tc>
          <w:tcPr>
            <w:tcW w:w="1890"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5 048</w:t>
            </w:r>
          </w:p>
        </w:tc>
        <w:tc>
          <w:tcPr>
            <w:tcW w:w="157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5 048</w:t>
            </w: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34</w:t>
            </w:r>
          </w:p>
        </w:tc>
        <w:tc>
          <w:tcPr>
            <w:tcW w:w="3890" w:type="dxa"/>
            <w:vMerge/>
            <w:vAlign w:val="center"/>
          </w:tcPr>
          <w:p w:rsidR="002D1E45" w:rsidRPr="00381A47" w:rsidRDefault="002D1E45" w:rsidP="00A513B8">
            <w:pPr>
              <w:spacing w:after="0" w:line="240" w:lineRule="auto"/>
              <w:rPr>
                <w:rFonts w:ascii="Times New Roman" w:hAnsi="Times New Roman"/>
                <w:color w:val="000000"/>
                <w:lang w:eastAsia="ru-RU"/>
              </w:rPr>
            </w:pPr>
          </w:p>
        </w:tc>
        <w:tc>
          <w:tcPr>
            <w:tcW w:w="1843"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мест/1000 чел.</w:t>
            </w:r>
          </w:p>
        </w:tc>
        <w:tc>
          <w:tcPr>
            <w:tcW w:w="1890"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116</w:t>
            </w:r>
          </w:p>
        </w:tc>
        <w:tc>
          <w:tcPr>
            <w:tcW w:w="157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130</w:t>
            </w: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35</w:t>
            </w:r>
          </w:p>
        </w:tc>
        <w:tc>
          <w:tcPr>
            <w:tcW w:w="3890" w:type="dxa"/>
            <w:vMerge w:val="restart"/>
            <w:vAlign w:val="center"/>
          </w:tcPr>
          <w:p w:rsidR="002D1E45" w:rsidRPr="00381A47" w:rsidRDefault="002D1E45" w:rsidP="00A513B8">
            <w:pPr>
              <w:spacing w:after="0" w:line="240" w:lineRule="auto"/>
              <w:rPr>
                <w:rFonts w:ascii="Times New Roman" w:hAnsi="Times New Roman"/>
                <w:color w:val="000000"/>
                <w:lang w:eastAsia="ru-RU"/>
              </w:rPr>
            </w:pPr>
            <w:r w:rsidRPr="00381A47">
              <w:rPr>
                <w:rFonts w:ascii="Times New Roman" w:hAnsi="Times New Roman"/>
                <w:color w:val="000000"/>
                <w:lang w:eastAsia="ru-RU"/>
              </w:rPr>
              <w:t>Организации дополнительного образования</w:t>
            </w:r>
          </w:p>
        </w:tc>
        <w:tc>
          <w:tcPr>
            <w:tcW w:w="1843"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мест</w:t>
            </w:r>
          </w:p>
        </w:tc>
        <w:tc>
          <w:tcPr>
            <w:tcW w:w="1890"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2408</w:t>
            </w:r>
          </w:p>
        </w:tc>
        <w:tc>
          <w:tcPr>
            <w:tcW w:w="157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3508</w:t>
            </w: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36</w:t>
            </w:r>
          </w:p>
        </w:tc>
        <w:tc>
          <w:tcPr>
            <w:tcW w:w="3890" w:type="dxa"/>
            <w:vMerge/>
            <w:vAlign w:val="center"/>
          </w:tcPr>
          <w:p w:rsidR="002D1E45" w:rsidRPr="00381A47" w:rsidRDefault="002D1E45" w:rsidP="00A513B8">
            <w:pPr>
              <w:spacing w:after="0" w:line="240" w:lineRule="auto"/>
              <w:rPr>
                <w:rFonts w:ascii="Times New Roman" w:hAnsi="Times New Roman"/>
                <w:color w:val="000000"/>
                <w:lang w:eastAsia="ru-RU"/>
              </w:rPr>
            </w:pPr>
          </w:p>
        </w:tc>
        <w:tc>
          <w:tcPr>
            <w:tcW w:w="1843"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мест/1000 чел.</w:t>
            </w:r>
          </w:p>
        </w:tc>
        <w:tc>
          <w:tcPr>
            <w:tcW w:w="1890"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55</w:t>
            </w:r>
          </w:p>
        </w:tc>
        <w:tc>
          <w:tcPr>
            <w:tcW w:w="157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90</w:t>
            </w: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37</w:t>
            </w:r>
          </w:p>
        </w:tc>
        <w:tc>
          <w:tcPr>
            <w:tcW w:w="3890" w:type="dxa"/>
            <w:vAlign w:val="center"/>
          </w:tcPr>
          <w:p w:rsidR="002D1E45" w:rsidRPr="00381A47" w:rsidRDefault="002D1E45" w:rsidP="00A513B8">
            <w:pPr>
              <w:spacing w:after="0" w:line="240" w:lineRule="auto"/>
              <w:rPr>
                <w:rFonts w:ascii="Times New Roman" w:hAnsi="Times New Roman"/>
                <w:color w:val="000000"/>
                <w:lang w:eastAsia="ru-RU"/>
              </w:rPr>
            </w:pPr>
            <w:r w:rsidRPr="00381A47">
              <w:rPr>
                <w:rFonts w:ascii="Times New Roman" w:hAnsi="Times New Roman"/>
                <w:color w:val="000000"/>
                <w:lang w:eastAsia="ru-RU"/>
              </w:rPr>
              <w:t>Медицинские организации</w:t>
            </w:r>
          </w:p>
        </w:tc>
        <w:tc>
          <w:tcPr>
            <w:tcW w:w="1843"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 </w:t>
            </w:r>
          </w:p>
        </w:tc>
        <w:tc>
          <w:tcPr>
            <w:tcW w:w="1890" w:type="dxa"/>
            <w:vAlign w:val="center"/>
          </w:tcPr>
          <w:p w:rsidR="002D1E45" w:rsidRPr="00381A47" w:rsidRDefault="002D1E45" w:rsidP="00A513B8">
            <w:pPr>
              <w:spacing w:after="0" w:line="240" w:lineRule="auto"/>
              <w:jc w:val="center"/>
              <w:rPr>
                <w:rFonts w:ascii="Times New Roman" w:hAnsi="Times New Roman"/>
                <w:color w:val="000000"/>
                <w:lang w:eastAsia="ru-RU"/>
              </w:rPr>
            </w:pPr>
          </w:p>
        </w:tc>
        <w:tc>
          <w:tcPr>
            <w:tcW w:w="1576" w:type="dxa"/>
            <w:vAlign w:val="center"/>
          </w:tcPr>
          <w:p w:rsidR="002D1E45" w:rsidRPr="00381A47" w:rsidRDefault="002D1E45" w:rsidP="00A513B8">
            <w:pPr>
              <w:spacing w:after="0" w:line="240" w:lineRule="auto"/>
              <w:jc w:val="center"/>
              <w:rPr>
                <w:rFonts w:ascii="Times New Roman" w:hAnsi="Times New Roman"/>
                <w:color w:val="000000"/>
                <w:lang w:eastAsia="ru-RU"/>
              </w:rPr>
            </w:pP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38</w:t>
            </w:r>
          </w:p>
        </w:tc>
        <w:tc>
          <w:tcPr>
            <w:tcW w:w="3890" w:type="dxa"/>
            <w:vMerge w:val="restart"/>
            <w:vAlign w:val="center"/>
          </w:tcPr>
          <w:p w:rsidR="002D1E45" w:rsidRPr="00381A47" w:rsidRDefault="002D1E45" w:rsidP="00A513B8">
            <w:pPr>
              <w:spacing w:after="0" w:line="240" w:lineRule="auto"/>
              <w:rPr>
                <w:rFonts w:ascii="Times New Roman" w:hAnsi="Times New Roman"/>
                <w:color w:val="000000"/>
                <w:lang w:eastAsia="ru-RU"/>
              </w:rPr>
            </w:pPr>
            <w:r w:rsidRPr="00381A47">
              <w:rPr>
                <w:rFonts w:ascii="Times New Roman" w:hAnsi="Times New Roman"/>
                <w:color w:val="000000"/>
                <w:lang w:eastAsia="ru-RU"/>
              </w:rPr>
              <w:t>Лечебно-профилактические медицинские организации, оказывающие медицинскую помощь в</w:t>
            </w:r>
            <w:r>
              <w:rPr>
                <w:rFonts w:ascii="Times New Roman" w:hAnsi="Times New Roman"/>
                <w:color w:val="000000"/>
                <w:lang w:eastAsia="ru-RU"/>
              </w:rPr>
              <w:t> </w:t>
            </w:r>
            <w:r w:rsidRPr="00381A47">
              <w:rPr>
                <w:rFonts w:ascii="Times New Roman" w:hAnsi="Times New Roman"/>
                <w:color w:val="000000"/>
                <w:lang w:eastAsia="ru-RU"/>
              </w:rPr>
              <w:t>стационарных условиях</w:t>
            </w:r>
          </w:p>
        </w:tc>
        <w:tc>
          <w:tcPr>
            <w:tcW w:w="1843"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койка</w:t>
            </w:r>
          </w:p>
        </w:tc>
        <w:tc>
          <w:tcPr>
            <w:tcW w:w="1890"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438</w:t>
            </w:r>
          </w:p>
        </w:tc>
        <w:tc>
          <w:tcPr>
            <w:tcW w:w="157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528</w:t>
            </w: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39</w:t>
            </w:r>
          </w:p>
        </w:tc>
        <w:tc>
          <w:tcPr>
            <w:tcW w:w="3890" w:type="dxa"/>
            <w:vMerge/>
            <w:vAlign w:val="center"/>
          </w:tcPr>
          <w:p w:rsidR="002D1E45" w:rsidRPr="00381A47" w:rsidRDefault="002D1E45" w:rsidP="00A513B8">
            <w:pPr>
              <w:spacing w:after="0" w:line="240" w:lineRule="auto"/>
              <w:rPr>
                <w:rFonts w:ascii="Times New Roman" w:hAnsi="Times New Roman"/>
                <w:color w:val="000000"/>
                <w:lang w:eastAsia="ru-RU"/>
              </w:rPr>
            </w:pPr>
          </w:p>
        </w:tc>
        <w:tc>
          <w:tcPr>
            <w:tcW w:w="1843"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койка/1000 чел.</w:t>
            </w:r>
          </w:p>
        </w:tc>
        <w:tc>
          <w:tcPr>
            <w:tcW w:w="1890"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10</w:t>
            </w:r>
          </w:p>
        </w:tc>
        <w:tc>
          <w:tcPr>
            <w:tcW w:w="157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14</w:t>
            </w: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40</w:t>
            </w:r>
          </w:p>
        </w:tc>
        <w:tc>
          <w:tcPr>
            <w:tcW w:w="3890" w:type="dxa"/>
            <w:vMerge w:val="restart"/>
            <w:vAlign w:val="center"/>
          </w:tcPr>
          <w:p w:rsidR="002D1E45" w:rsidRPr="00381A47" w:rsidRDefault="002D1E45" w:rsidP="00A513B8">
            <w:pPr>
              <w:spacing w:after="0" w:line="240" w:lineRule="auto"/>
              <w:rPr>
                <w:rFonts w:ascii="Times New Roman" w:hAnsi="Times New Roman"/>
                <w:color w:val="000000"/>
                <w:lang w:eastAsia="ru-RU"/>
              </w:rPr>
            </w:pPr>
            <w:r w:rsidRPr="00381A47">
              <w:rPr>
                <w:rFonts w:ascii="Times New Roman" w:hAnsi="Times New Roman"/>
                <w:color w:val="000000"/>
                <w:lang w:eastAsia="ru-RU"/>
              </w:rPr>
              <w:t>Лечебно-профилактические медицинские организации, оказывающие медицинскую помощь в</w:t>
            </w:r>
            <w:r>
              <w:rPr>
                <w:rFonts w:ascii="Times New Roman" w:hAnsi="Times New Roman"/>
                <w:color w:val="000000"/>
                <w:lang w:eastAsia="ru-RU"/>
              </w:rPr>
              <w:t> </w:t>
            </w:r>
            <w:r w:rsidRPr="00381A47">
              <w:rPr>
                <w:rFonts w:ascii="Times New Roman" w:hAnsi="Times New Roman"/>
                <w:color w:val="000000"/>
                <w:lang w:eastAsia="ru-RU"/>
              </w:rPr>
              <w:t>амбулаторных условиях</w:t>
            </w:r>
          </w:p>
        </w:tc>
        <w:tc>
          <w:tcPr>
            <w:tcW w:w="1843"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посещений в</w:t>
            </w:r>
            <w:r>
              <w:rPr>
                <w:rFonts w:ascii="Times New Roman" w:hAnsi="Times New Roman"/>
                <w:color w:val="000000"/>
                <w:lang w:eastAsia="ru-RU"/>
              </w:rPr>
              <w:t> </w:t>
            </w:r>
            <w:r w:rsidRPr="00381A47">
              <w:rPr>
                <w:rFonts w:ascii="Times New Roman" w:hAnsi="Times New Roman"/>
                <w:color w:val="000000"/>
                <w:lang w:eastAsia="ru-RU"/>
              </w:rPr>
              <w:t>смену</w:t>
            </w:r>
          </w:p>
        </w:tc>
        <w:tc>
          <w:tcPr>
            <w:tcW w:w="1890"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677</w:t>
            </w:r>
          </w:p>
        </w:tc>
        <w:tc>
          <w:tcPr>
            <w:tcW w:w="157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710</w:t>
            </w: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41</w:t>
            </w:r>
          </w:p>
        </w:tc>
        <w:tc>
          <w:tcPr>
            <w:tcW w:w="3890" w:type="dxa"/>
            <w:vMerge/>
            <w:vAlign w:val="center"/>
          </w:tcPr>
          <w:p w:rsidR="002D1E45" w:rsidRPr="00381A47" w:rsidRDefault="002D1E45" w:rsidP="00A513B8">
            <w:pPr>
              <w:spacing w:after="0" w:line="240" w:lineRule="auto"/>
              <w:rPr>
                <w:rFonts w:ascii="Times New Roman" w:hAnsi="Times New Roman"/>
                <w:color w:val="000000"/>
                <w:lang w:eastAsia="ru-RU"/>
              </w:rPr>
            </w:pPr>
          </w:p>
        </w:tc>
        <w:tc>
          <w:tcPr>
            <w:tcW w:w="1843"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посещений в</w:t>
            </w:r>
            <w:r>
              <w:rPr>
                <w:rFonts w:ascii="Times New Roman" w:hAnsi="Times New Roman"/>
                <w:color w:val="000000"/>
                <w:lang w:eastAsia="ru-RU"/>
              </w:rPr>
              <w:t> </w:t>
            </w:r>
            <w:r w:rsidRPr="00381A47">
              <w:rPr>
                <w:rFonts w:ascii="Times New Roman" w:hAnsi="Times New Roman"/>
                <w:color w:val="000000"/>
                <w:lang w:eastAsia="ru-RU"/>
              </w:rPr>
              <w:t>смену/1000 чел.</w:t>
            </w:r>
          </w:p>
        </w:tc>
        <w:tc>
          <w:tcPr>
            <w:tcW w:w="1890"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16</w:t>
            </w:r>
          </w:p>
        </w:tc>
        <w:tc>
          <w:tcPr>
            <w:tcW w:w="157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18</w:t>
            </w: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42</w:t>
            </w:r>
          </w:p>
        </w:tc>
        <w:tc>
          <w:tcPr>
            <w:tcW w:w="3890" w:type="dxa"/>
            <w:vAlign w:val="center"/>
          </w:tcPr>
          <w:p w:rsidR="002D1E45" w:rsidRPr="00381A47" w:rsidRDefault="002D1E45" w:rsidP="00A513B8">
            <w:pPr>
              <w:spacing w:after="0" w:line="240" w:lineRule="auto"/>
              <w:rPr>
                <w:rFonts w:ascii="Times New Roman" w:hAnsi="Times New Roman"/>
                <w:color w:val="000000"/>
                <w:lang w:eastAsia="ru-RU"/>
              </w:rPr>
            </w:pPr>
            <w:r w:rsidRPr="00381A47">
              <w:rPr>
                <w:rFonts w:ascii="Times New Roman" w:hAnsi="Times New Roman"/>
                <w:color w:val="000000"/>
                <w:lang w:eastAsia="ru-RU"/>
              </w:rPr>
              <w:t>Физкультурно-спортивные сооружения</w:t>
            </w:r>
          </w:p>
        </w:tc>
        <w:tc>
          <w:tcPr>
            <w:tcW w:w="1843"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 </w:t>
            </w:r>
          </w:p>
        </w:tc>
        <w:tc>
          <w:tcPr>
            <w:tcW w:w="1890" w:type="dxa"/>
            <w:vAlign w:val="center"/>
          </w:tcPr>
          <w:p w:rsidR="002D1E45" w:rsidRPr="00381A47" w:rsidRDefault="002D1E45" w:rsidP="00A513B8">
            <w:pPr>
              <w:spacing w:after="0" w:line="240" w:lineRule="auto"/>
              <w:jc w:val="center"/>
              <w:rPr>
                <w:rFonts w:ascii="Times New Roman" w:hAnsi="Times New Roman"/>
                <w:color w:val="000000"/>
                <w:lang w:eastAsia="ru-RU"/>
              </w:rPr>
            </w:pPr>
          </w:p>
        </w:tc>
        <w:tc>
          <w:tcPr>
            <w:tcW w:w="1576" w:type="dxa"/>
            <w:vAlign w:val="center"/>
          </w:tcPr>
          <w:p w:rsidR="002D1E45" w:rsidRPr="00381A47" w:rsidRDefault="002D1E45" w:rsidP="00A513B8">
            <w:pPr>
              <w:spacing w:after="0" w:line="240" w:lineRule="auto"/>
              <w:jc w:val="center"/>
              <w:rPr>
                <w:rFonts w:ascii="Times New Roman" w:hAnsi="Times New Roman"/>
                <w:color w:val="000000"/>
                <w:lang w:eastAsia="ru-RU"/>
              </w:rPr>
            </w:pP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43</w:t>
            </w:r>
          </w:p>
        </w:tc>
        <w:tc>
          <w:tcPr>
            <w:tcW w:w="3890" w:type="dxa"/>
            <w:vMerge w:val="restart"/>
            <w:vAlign w:val="center"/>
          </w:tcPr>
          <w:p w:rsidR="002D1E45" w:rsidRPr="00381A47" w:rsidRDefault="002D1E45" w:rsidP="00A513B8">
            <w:pPr>
              <w:spacing w:after="0" w:line="240" w:lineRule="auto"/>
              <w:rPr>
                <w:rFonts w:ascii="Times New Roman" w:hAnsi="Times New Roman"/>
                <w:color w:val="000000"/>
                <w:lang w:eastAsia="ru-RU"/>
              </w:rPr>
            </w:pPr>
            <w:r w:rsidRPr="00381A47">
              <w:rPr>
                <w:rFonts w:ascii="Times New Roman" w:hAnsi="Times New Roman"/>
                <w:color w:val="000000"/>
                <w:lang w:eastAsia="ru-RU"/>
              </w:rPr>
              <w:t>Физкультурно-спортивные залы</w:t>
            </w:r>
          </w:p>
        </w:tc>
        <w:tc>
          <w:tcPr>
            <w:tcW w:w="1843"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кв. м</w:t>
            </w:r>
            <w:r>
              <w:rPr>
                <w:rFonts w:ascii="Times New Roman" w:hAnsi="Times New Roman"/>
                <w:color w:val="000000"/>
                <w:lang w:eastAsia="ru-RU"/>
              </w:rPr>
              <w:t> </w:t>
            </w:r>
            <w:r w:rsidRPr="00381A47">
              <w:rPr>
                <w:rFonts w:ascii="Times New Roman" w:hAnsi="Times New Roman"/>
                <w:color w:val="000000"/>
                <w:lang w:eastAsia="ru-RU"/>
              </w:rPr>
              <w:t>площади пола</w:t>
            </w:r>
          </w:p>
        </w:tc>
        <w:tc>
          <w:tcPr>
            <w:tcW w:w="1890"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6374</w:t>
            </w:r>
          </w:p>
        </w:tc>
        <w:tc>
          <w:tcPr>
            <w:tcW w:w="157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13634</w:t>
            </w: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44</w:t>
            </w:r>
          </w:p>
        </w:tc>
        <w:tc>
          <w:tcPr>
            <w:tcW w:w="3890" w:type="dxa"/>
            <w:vMerge/>
            <w:vAlign w:val="center"/>
          </w:tcPr>
          <w:p w:rsidR="002D1E45" w:rsidRPr="00381A47" w:rsidRDefault="002D1E45" w:rsidP="00A513B8">
            <w:pPr>
              <w:spacing w:after="0" w:line="240" w:lineRule="auto"/>
              <w:rPr>
                <w:rFonts w:ascii="Times New Roman" w:hAnsi="Times New Roman"/>
                <w:color w:val="000000"/>
                <w:lang w:eastAsia="ru-RU"/>
              </w:rPr>
            </w:pPr>
          </w:p>
        </w:tc>
        <w:tc>
          <w:tcPr>
            <w:tcW w:w="1843"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кв. м</w:t>
            </w:r>
            <w:r>
              <w:rPr>
                <w:rFonts w:ascii="Times New Roman" w:hAnsi="Times New Roman"/>
                <w:color w:val="000000"/>
                <w:lang w:eastAsia="ru-RU"/>
              </w:rPr>
              <w:t> </w:t>
            </w:r>
            <w:r w:rsidRPr="00381A47">
              <w:rPr>
                <w:rFonts w:ascii="Times New Roman" w:hAnsi="Times New Roman"/>
                <w:color w:val="000000"/>
                <w:lang w:eastAsia="ru-RU"/>
              </w:rPr>
              <w:t>площади пола/1000 чел.</w:t>
            </w:r>
          </w:p>
        </w:tc>
        <w:tc>
          <w:tcPr>
            <w:tcW w:w="1890"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146</w:t>
            </w:r>
          </w:p>
        </w:tc>
        <w:tc>
          <w:tcPr>
            <w:tcW w:w="157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350</w:t>
            </w: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45</w:t>
            </w:r>
          </w:p>
        </w:tc>
        <w:tc>
          <w:tcPr>
            <w:tcW w:w="3890" w:type="dxa"/>
            <w:vMerge w:val="restart"/>
            <w:vAlign w:val="center"/>
          </w:tcPr>
          <w:p w:rsidR="002D1E45" w:rsidRPr="00381A47" w:rsidRDefault="002D1E45" w:rsidP="00A513B8">
            <w:pPr>
              <w:spacing w:after="0" w:line="240" w:lineRule="auto"/>
              <w:rPr>
                <w:rFonts w:ascii="Times New Roman" w:hAnsi="Times New Roman"/>
                <w:color w:val="000000"/>
                <w:lang w:eastAsia="ru-RU"/>
              </w:rPr>
            </w:pPr>
            <w:r w:rsidRPr="00381A47">
              <w:rPr>
                <w:rFonts w:ascii="Times New Roman" w:hAnsi="Times New Roman"/>
                <w:color w:val="000000"/>
                <w:lang w:eastAsia="ru-RU"/>
              </w:rPr>
              <w:t>Плоскостные спортивные сооружения</w:t>
            </w:r>
          </w:p>
        </w:tc>
        <w:tc>
          <w:tcPr>
            <w:tcW w:w="1843"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кв. м</w:t>
            </w:r>
          </w:p>
        </w:tc>
        <w:tc>
          <w:tcPr>
            <w:tcW w:w="1890"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77347</w:t>
            </w:r>
          </w:p>
        </w:tc>
        <w:tc>
          <w:tcPr>
            <w:tcW w:w="157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77347</w:t>
            </w: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46</w:t>
            </w:r>
          </w:p>
        </w:tc>
        <w:tc>
          <w:tcPr>
            <w:tcW w:w="3890" w:type="dxa"/>
            <w:vMerge/>
            <w:vAlign w:val="center"/>
          </w:tcPr>
          <w:p w:rsidR="002D1E45" w:rsidRPr="00381A47" w:rsidRDefault="002D1E45" w:rsidP="00A513B8">
            <w:pPr>
              <w:spacing w:after="0" w:line="240" w:lineRule="auto"/>
              <w:rPr>
                <w:rFonts w:ascii="Times New Roman" w:hAnsi="Times New Roman"/>
                <w:color w:val="000000"/>
                <w:lang w:eastAsia="ru-RU"/>
              </w:rPr>
            </w:pPr>
          </w:p>
        </w:tc>
        <w:tc>
          <w:tcPr>
            <w:tcW w:w="1843"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кв. м/1000 чел.</w:t>
            </w:r>
          </w:p>
        </w:tc>
        <w:tc>
          <w:tcPr>
            <w:tcW w:w="1890"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1777</w:t>
            </w:r>
          </w:p>
        </w:tc>
        <w:tc>
          <w:tcPr>
            <w:tcW w:w="157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1986</w:t>
            </w: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47</w:t>
            </w:r>
          </w:p>
        </w:tc>
        <w:tc>
          <w:tcPr>
            <w:tcW w:w="3890" w:type="dxa"/>
            <w:vMerge w:val="restart"/>
            <w:vAlign w:val="center"/>
          </w:tcPr>
          <w:p w:rsidR="002D1E45" w:rsidRPr="00381A47" w:rsidRDefault="002D1E45" w:rsidP="00A513B8">
            <w:pPr>
              <w:spacing w:after="0" w:line="240" w:lineRule="auto"/>
              <w:rPr>
                <w:rFonts w:ascii="Times New Roman" w:hAnsi="Times New Roman"/>
                <w:color w:val="000000"/>
                <w:lang w:eastAsia="ru-RU"/>
              </w:rPr>
            </w:pPr>
            <w:r w:rsidRPr="00381A47">
              <w:rPr>
                <w:rFonts w:ascii="Times New Roman" w:hAnsi="Times New Roman"/>
                <w:color w:val="000000"/>
                <w:lang w:eastAsia="ru-RU"/>
              </w:rPr>
              <w:t>Плавательные бассейны</w:t>
            </w:r>
          </w:p>
        </w:tc>
        <w:tc>
          <w:tcPr>
            <w:tcW w:w="1843"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кв. м</w:t>
            </w:r>
            <w:r>
              <w:rPr>
                <w:rFonts w:ascii="Times New Roman" w:hAnsi="Times New Roman"/>
                <w:color w:val="000000"/>
                <w:lang w:eastAsia="ru-RU"/>
              </w:rPr>
              <w:t> </w:t>
            </w:r>
            <w:r w:rsidRPr="00381A47">
              <w:rPr>
                <w:rFonts w:ascii="Times New Roman" w:hAnsi="Times New Roman"/>
                <w:color w:val="000000"/>
                <w:lang w:eastAsia="ru-RU"/>
              </w:rPr>
              <w:t>зеркала воды</w:t>
            </w:r>
          </w:p>
        </w:tc>
        <w:tc>
          <w:tcPr>
            <w:tcW w:w="1890"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457</w:t>
            </w:r>
          </w:p>
        </w:tc>
        <w:tc>
          <w:tcPr>
            <w:tcW w:w="1576" w:type="dxa"/>
            <w:vAlign w:val="center"/>
          </w:tcPr>
          <w:p w:rsidR="002D1E45" w:rsidRPr="00381A47" w:rsidRDefault="002D1E45" w:rsidP="00A513B8">
            <w:pPr>
              <w:spacing w:after="0" w:line="240" w:lineRule="auto"/>
              <w:jc w:val="center"/>
              <w:rPr>
                <w:rFonts w:ascii="Times New Roman" w:hAnsi="Times New Roman"/>
                <w:color w:val="000000"/>
                <w:lang w:eastAsia="ru-RU"/>
              </w:rPr>
            </w:pPr>
            <w:r>
              <w:rPr>
                <w:rFonts w:ascii="Times New Roman" w:hAnsi="Times New Roman"/>
                <w:color w:val="000000"/>
                <w:lang w:eastAsia="ru-RU"/>
              </w:rPr>
              <w:t>77</w:t>
            </w:r>
            <w:r w:rsidRPr="00A513B8">
              <w:rPr>
                <w:rFonts w:ascii="Times New Roman" w:hAnsi="Times New Roman"/>
                <w:color w:val="000000"/>
                <w:lang w:eastAsia="ru-RU"/>
              </w:rPr>
              <w:t>7</w:t>
            </w: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48</w:t>
            </w:r>
          </w:p>
        </w:tc>
        <w:tc>
          <w:tcPr>
            <w:tcW w:w="3890" w:type="dxa"/>
            <w:vMerge/>
            <w:vAlign w:val="center"/>
          </w:tcPr>
          <w:p w:rsidR="002D1E45" w:rsidRPr="00381A47" w:rsidRDefault="002D1E45" w:rsidP="00A513B8">
            <w:pPr>
              <w:spacing w:after="0" w:line="240" w:lineRule="auto"/>
              <w:rPr>
                <w:rFonts w:ascii="Times New Roman" w:hAnsi="Times New Roman"/>
                <w:color w:val="000000"/>
                <w:lang w:eastAsia="ru-RU"/>
              </w:rPr>
            </w:pPr>
          </w:p>
        </w:tc>
        <w:tc>
          <w:tcPr>
            <w:tcW w:w="1843"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кв. м/1000 чел.</w:t>
            </w:r>
          </w:p>
        </w:tc>
        <w:tc>
          <w:tcPr>
            <w:tcW w:w="1890"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10</w:t>
            </w:r>
          </w:p>
        </w:tc>
        <w:tc>
          <w:tcPr>
            <w:tcW w:w="157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24</w:t>
            </w: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49</w:t>
            </w:r>
          </w:p>
        </w:tc>
        <w:tc>
          <w:tcPr>
            <w:tcW w:w="3890" w:type="dxa"/>
            <w:vAlign w:val="center"/>
          </w:tcPr>
          <w:p w:rsidR="002D1E45" w:rsidRPr="00381A47" w:rsidRDefault="002D1E45" w:rsidP="00A513B8">
            <w:pPr>
              <w:spacing w:after="0" w:line="240" w:lineRule="auto"/>
              <w:rPr>
                <w:rFonts w:ascii="Times New Roman" w:hAnsi="Times New Roman"/>
                <w:color w:val="000000"/>
                <w:lang w:eastAsia="ru-RU"/>
              </w:rPr>
            </w:pPr>
            <w:r w:rsidRPr="00381A47">
              <w:rPr>
                <w:rFonts w:ascii="Times New Roman" w:hAnsi="Times New Roman"/>
                <w:color w:val="000000"/>
                <w:lang w:eastAsia="ru-RU"/>
              </w:rPr>
              <w:t xml:space="preserve">Учреждения культуры </w:t>
            </w:r>
          </w:p>
        </w:tc>
        <w:tc>
          <w:tcPr>
            <w:tcW w:w="1843"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 </w:t>
            </w:r>
          </w:p>
        </w:tc>
        <w:tc>
          <w:tcPr>
            <w:tcW w:w="1890" w:type="dxa"/>
            <w:vAlign w:val="center"/>
          </w:tcPr>
          <w:p w:rsidR="002D1E45" w:rsidRPr="00381A47" w:rsidRDefault="002D1E45" w:rsidP="00A513B8">
            <w:pPr>
              <w:spacing w:after="0" w:line="240" w:lineRule="auto"/>
              <w:jc w:val="center"/>
              <w:rPr>
                <w:rFonts w:ascii="Times New Roman" w:hAnsi="Times New Roman"/>
                <w:color w:val="000000"/>
                <w:lang w:eastAsia="ru-RU"/>
              </w:rPr>
            </w:pPr>
          </w:p>
        </w:tc>
        <w:tc>
          <w:tcPr>
            <w:tcW w:w="1576" w:type="dxa"/>
            <w:vAlign w:val="center"/>
          </w:tcPr>
          <w:p w:rsidR="002D1E45" w:rsidRPr="00381A47" w:rsidRDefault="002D1E45" w:rsidP="00A513B8">
            <w:pPr>
              <w:spacing w:after="0" w:line="240" w:lineRule="auto"/>
              <w:jc w:val="center"/>
              <w:rPr>
                <w:rFonts w:ascii="Times New Roman" w:hAnsi="Times New Roman"/>
                <w:color w:val="000000"/>
                <w:lang w:eastAsia="ru-RU"/>
              </w:rPr>
            </w:pP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50</w:t>
            </w:r>
          </w:p>
        </w:tc>
        <w:tc>
          <w:tcPr>
            <w:tcW w:w="3890" w:type="dxa"/>
            <w:vMerge w:val="restart"/>
            <w:vAlign w:val="center"/>
          </w:tcPr>
          <w:p w:rsidR="002D1E45" w:rsidRPr="00381A47" w:rsidRDefault="002D1E45" w:rsidP="00A513B8">
            <w:pPr>
              <w:spacing w:after="0" w:line="240" w:lineRule="auto"/>
              <w:rPr>
                <w:rFonts w:ascii="Times New Roman" w:hAnsi="Times New Roman"/>
                <w:color w:val="000000"/>
                <w:lang w:eastAsia="ru-RU"/>
              </w:rPr>
            </w:pPr>
            <w:r w:rsidRPr="00381A47">
              <w:rPr>
                <w:rFonts w:ascii="Times New Roman" w:hAnsi="Times New Roman"/>
                <w:color w:val="000000"/>
                <w:lang w:eastAsia="ru-RU"/>
              </w:rPr>
              <w:t>Учреждения культуры клубного типа</w:t>
            </w:r>
          </w:p>
        </w:tc>
        <w:tc>
          <w:tcPr>
            <w:tcW w:w="1843"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мест</w:t>
            </w:r>
          </w:p>
        </w:tc>
        <w:tc>
          <w:tcPr>
            <w:tcW w:w="1890"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606</w:t>
            </w:r>
          </w:p>
        </w:tc>
        <w:tc>
          <w:tcPr>
            <w:tcW w:w="157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1 946</w:t>
            </w: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51</w:t>
            </w:r>
          </w:p>
        </w:tc>
        <w:tc>
          <w:tcPr>
            <w:tcW w:w="3890" w:type="dxa"/>
            <w:vMerge/>
            <w:vAlign w:val="center"/>
          </w:tcPr>
          <w:p w:rsidR="002D1E45" w:rsidRPr="00381A47" w:rsidRDefault="002D1E45" w:rsidP="00A513B8">
            <w:pPr>
              <w:spacing w:after="0" w:line="240" w:lineRule="auto"/>
              <w:rPr>
                <w:rFonts w:ascii="Times New Roman" w:hAnsi="Times New Roman"/>
                <w:color w:val="000000"/>
                <w:lang w:eastAsia="ru-RU"/>
              </w:rPr>
            </w:pPr>
          </w:p>
        </w:tc>
        <w:tc>
          <w:tcPr>
            <w:tcW w:w="1843"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мест/1000 чел.</w:t>
            </w:r>
          </w:p>
        </w:tc>
        <w:tc>
          <w:tcPr>
            <w:tcW w:w="1890"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14</w:t>
            </w:r>
          </w:p>
        </w:tc>
        <w:tc>
          <w:tcPr>
            <w:tcW w:w="157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50</w:t>
            </w: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52</w:t>
            </w:r>
          </w:p>
        </w:tc>
        <w:tc>
          <w:tcPr>
            <w:tcW w:w="3890" w:type="dxa"/>
            <w:vAlign w:val="center"/>
          </w:tcPr>
          <w:p w:rsidR="002D1E45" w:rsidRPr="00381A47" w:rsidRDefault="002D1E45" w:rsidP="00A513B8">
            <w:pPr>
              <w:spacing w:after="0" w:line="240" w:lineRule="auto"/>
              <w:rPr>
                <w:rFonts w:ascii="Times New Roman" w:hAnsi="Times New Roman"/>
                <w:color w:val="000000"/>
                <w:lang w:eastAsia="ru-RU"/>
              </w:rPr>
            </w:pPr>
            <w:r w:rsidRPr="00381A47">
              <w:rPr>
                <w:rFonts w:ascii="Times New Roman" w:hAnsi="Times New Roman"/>
                <w:color w:val="000000"/>
                <w:lang w:eastAsia="ru-RU"/>
              </w:rPr>
              <w:t>Библиотеки общедоступные</w:t>
            </w:r>
          </w:p>
        </w:tc>
        <w:tc>
          <w:tcPr>
            <w:tcW w:w="1843"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объектов</w:t>
            </w:r>
          </w:p>
        </w:tc>
        <w:tc>
          <w:tcPr>
            <w:tcW w:w="1890"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4</w:t>
            </w:r>
          </w:p>
        </w:tc>
        <w:tc>
          <w:tcPr>
            <w:tcW w:w="157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4</w:t>
            </w: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53</w:t>
            </w:r>
          </w:p>
        </w:tc>
        <w:tc>
          <w:tcPr>
            <w:tcW w:w="3890" w:type="dxa"/>
            <w:vAlign w:val="center"/>
          </w:tcPr>
          <w:p w:rsidR="002D1E45" w:rsidRPr="00381A47" w:rsidRDefault="002D1E45" w:rsidP="00A513B8">
            <w:pPr>
              <w:spacing w:after="0" w:line="240" w:lineRule="auto"/>
              <w:rPr>
                <w:rFonts w:ascii="Times New Roman" w:hAnsi="Times New Roman"/>
                <w:color w:val="000000"/>
                <w:lang w:eastAsia="ru-RU"/>
              </w:rPr>
            </w:pPr>
            <w:r w:rsidRPr="00381A47">
              <w:rPr>
                <w:rFonts w:ascii="Times New Roman" w:hAnsi="Times New Roman"/>
                <w:color w:val="000000"/>
                <w:lang w:eastAsia="ru-RU"/>
              </w:rPr>
              <w:t>Музеи общедоступные</w:t>
            </w:r>
          </w:p>
        </w:tc>
        <w:tc>
          <w:tcPr>
            <w:tcW w:w="1843"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объектов</w:t>
            </w:r>
          </w:p>
        </w:tc>
        <w:tc>
          <w:tcPr>
            <w:tcW w:w="1890"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2</w:t>
            </w:r>
          </w:p>
        </w:tc>
        <w:tc>
          <w:tcPr>
            <w:tcW w:w="157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2</w:t>
            </w: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54</w:t>
            </w:r>
          </w:p>
        </w:tc>
        <w:tc>
          <w:tcPr>
            <w:tcW w:w="3890" w:type="dxa"/>
            <w:vAlign w:val="center"/>
          </w:tcPr>
          <w:p w:rsidR="002D1E45" w:rsidRPr="00381A47" w:rsidRDefault="002D1E45" w:rsidP="00A513B8">
            <w:pPr>
              <w:spacing w:after="0" w:line="240" w:lineRule="auto"/>
              <w:rPr>
                <w:rFonts w:ascii="Times New Roman" w:hAnsi="Times New Roman"/>
                <w:color w:val="000000"/>
                <w:lang w:eastAsia="ru-RU"/>
              </w:rPr>
            </w:pPr>
            <w:r w:rsidRPr="00381A47">
              <w:rPr>
                <w:rFonts w:ascii="Times New Roman" w:hAnsi="Times New Roman"/>
                <w:color w:val="000000"/>
                <w:lang w:eastAsia="ru-RU"/>
              </w:rPr>
              <w:t>Парк культуры и</w:t>
            </w:r>
            <w:r>
              <w:rPr>
                <w:rFonts w:ascii="Times New Roman" w:hAnsi="Times New Roman"/>
                <w:color w:val="000000"/>
                <w:lang w:eastAsia="ru-RU"/>
              </w:rPr>
              <w:t> </w:t>
            </w:r>
            <w:r w:rsidRPr="00381A47">
              <w:rPr>
                <w:rFonts w:ascii="Times New Roman" w:hAnsi="Times New Roman"/>
                <w:color w:val="000000"/>
                <w:lang w:eastAsia="ru-RU"/>
              </w:rPr>
              <w:t>отдыха</w:t>
            </w:r>
          </w:p>
        </w:tc>
        <w:tc>
          <w:tcPr>
            <w:tcW w:w="1843"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объектов</w:t>
            </w:r>
          </w:p>
        </w:tc>
        <w:tc>
          <w:tcPr>
            <w:tcW w:w="1890"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3</w:t>
            </w:r>
          </w:p>
        </w:tc>
        <w:tc>
          <w:tcPr>
            <w:tcW w:w="157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3</w:t>
            </w: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55</w:t>
            </w:r>
          </w:p>
        </w:tc>
        <w:tc>
          <w:tcPr>
            <w:tcW w:w="3890" w:type="dxa"/>
            <w:vAlign w:val="center"/>
          </w:tcPr>
          <w:p w:rsidR="002D1E45" w:rsidRPr="00381A47" w:rsidRDefault="002D1E45" w:rsidP="00A513B8">
            <w:pPr>
              <w:spacing w:after="0" w:line="240" w:lineRule="auto"/>
              <w:rPr>
                <w:rFonts w:ascii="Times New Roman" w:hAnsi="Times New Roman"/>
                <w:color w:val="000000"/>
                <w:lang w:eastAsia="ru-RU"/>
              </w:rPr>
            </w:pPr>
            <w:r w:rsidRPr="00381A47">
              <w:rPr>
                <w:rFonts w:ascii="Times New Roman" w:hAnsi="Times New Roman"/>
                <w:color w:val="000000"/>
                <w:lang w:eastAsia="ru-RU"/>
              </w:rPr>
              <w:t>Кинозалы</w:t>
            </w:r>
          </w:p>
        </w:tc>
        <w:tc>
          <w:tcPr>
            <w:tcW w:w="1843"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объектов</w:t>
            </w:r>
          </w:p>
        </w:tc>
        <w:tc>
          <w:tcPr>
            <w:tcW w:w="1890"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2</w:t>
            </w:r>
          </w:p>
        </w:tc>
        <w:tc>
          <w:tcPr>
            <w:tcW w:w="157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2</w:t>
            </w:r>
          </w:p>
        </w:tc>
      </w:tr>
      <w:tr w:rsidR="002D1E45" w:rsidRPr="00AC1044" w:rsidTr="00AC1044">
        <w:trPr>
          <w:trHeight w:val="170"/>
          <w:jc w:val="center"/>
        </w:trPr>
        <w:tc>
          <w:tcPr>
            <w:tcW w:w="996" w:type="dxa"/>
            <w:vAlign w:val="center"/>
          </w:tcPr>
          <w:p w:rsidR="002D1E45" w:rsidRPr="00381A47" w:rsidRDefault="002D1E45" w:rsidP="00436526">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56</w:t>
            </w:r>
          </w:p>
        </w:tc>
        <w:tc>
          <w:tcPr>
            <w:tcW w:w="9199" w:type="dxa"/>
            <w:gridSpan w:val="4"/>
            <w:vAlign w:val="center"/>
          </w:tcPr>
          <w:p w:rsidR="002D1E45" w:rsidRPr="00381A47" w:rsidRDefault="002D1E45" w:rsidP="00436526">
            <w:pPr>
              <w:spacing w:after="0" w:line="240" w:lineRule="auto"/>
              <w:rPr>
                <w:rFonts w:ascii="Times New Roman" w:hAnsi="Times New Roman"/>
                <w:color w:val="000000"/>
                <w:lang w:eastAsia="ru-RU"/>
              </w:rPr>
            </w:pPr>
            <w:r w:rsidRPr="00381A47">
              <w:rPr>
                <w:rFonts w:ascii="Times New Roman" w:hAnsi="Times New Roman"/>
                <w:color w:val="000000"/>
                <w:lang w:eastAsia="ru-RU"/>
              </w:rPr>
              <w:t>ТРАНСПОРТНАЯ ИНФРАСТРУКТУРА</w:t>
            </w: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57</w:t>
            </w:r>
          </w:p>
        </w:tc>
        <w:tc>
          <w:tcPr>
            <w:tcW w:w="3890" w:type="dxa"/>
            <w:vAlign w:val="center"/>
          </w:tcPr>
          <w:p w:rsidR="002D1E45" w:rsidRPr="00381A47" w:rsidRDefault="002D1E45" w:rsidP="00A513B8">
            <w:pPr>
              <w:spacing w:after="0" w:line="240" w:lineRule="auto"/>
              <w:rPr>
                <w:rFonts w:ascii="Times New Roman" w:hAnsi="Times New Roman"/>
                <w:color w:val="000000"/>
                <w:lang w:eastAsia="ru-RU"/>
              </w:rPr>
            </w:pPr>
            <w:r w:rsidRPr="00381A47">
              <w:rPr>
                <w:rFonts w:ascii="Times New Roman" w:hAnsi="Times New Roman"/>
                <w:color w:val="000000"/>
                <w:lang w:eastAsia="ru-RU"/>
              </w:rPr>
              <w:t xml:space="preserve">Протяженность автомобильных дорог местного значения </w:t>
            </w:r>
            <w:r>
              <w:rPr>
                <w:rFonts w:ascii="Times New Roman" w:hAnsi="Times New Roman"/>
                <w:color w:val="000000"/>
                <w:lang w:eastAsia="ru-RU"/>
              </w:rPr>
              <w:t>(УДС)</w:t>
            </w:r>
          </w:p>
        </w:tc>
        <w:tc>
          <w:tcPr>
            <w:tcW w:w="1843"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км</w:t>
            </w:r>
          </w:p>
        </w:tc>
        <w:tc>
          <w:tcPr>
            <w:tcW w:w="1890"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173,8</w:t>
            </w:r>
          </w:p>
        </w:tc>
        <w:tc>
          <w:tcPr>
            <w:tcW w:w="157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183,73</w:t>
            </w:r>
          </w:p>
        </w:tc>
      </w:tr>
      <w:tr w:rsidR="002D1E45" w:rsidRPr="00AC1044" w:rsidTr="004D5804">
        <w:trPr>
          <w:trHeight w:val="170"/>
          <w:jc w:val="center"/>
        </w:trPr>
        <w:tc>
          <w:tcPr>
            <w:tcW w:w="996" w:type="dxa"/>
            <w:vAlign w:val="center"/>
          </w:tcPr>
          <w:p w:rsidR="002D1E45" w:rsidRPr="00381A47" w:rsidRDefault="002D1E45" w:rsidP="004D5804">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58</w:t>
            </w:r>
          </w:p>
        </w:tc>
        <w:tc>
          <w:tcPr>
            <w:tcW w:w="3890" w:type="dxa"/>
            <w:vAlign w:val="center"/>
          </w:tcPr>
          <w:p w:rsidR="002D1E45" w:rsidRPr="00381A47" w:rsidRDefault="002D1E45" w:rsidP="004D5804">
            <w:pPr>
              <w:spacing w:after="0" w:line="240" w:lineRule="auto"/>
              <w:rPr>
                <w:rFonts w:ascii="Times New Roman" w:hAnsi="Times New Roman"/>
                <w:color w:val="000000"/>
                <w:lang w:eastAsia="ru-RU"/>
              </w:rPr>
            </w:pPr>
            <w:r w:rsidRPr="00381A47">
              <w:rPr>
                <w:rFonts w:ascii="Times New Roman" w:hAnsi="Times New Roman"/>
                <w:color w:val="000000"/>
                <w:lang w:eastAsia="ru-RU"/>
              </w:rPr>
              <w:t xml:space="preserve">Плотность автомобильных дорог </w:t>
            </w:r>
          </w:p>
        </w:tc>
        <w:tc>
          <w:tcPr>
            <w:tcW w:w="1843" w:type="dxa"/>
            <w:vAlign w:val="center"/>
          </w:tcPr>
          <w:p w:rsidR="002D1E45" w:rsidRPr="00381A47" w:rsidRDefault="002D1E45" w:rsidP="004D5804">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км/1000 км</w:t>
            </w:r>
            <w:r w:rsidRPr="00381A47">
              <w:rPr>
                <w:rFonts w:ascii="Times New Roman" w:hAnsi="Times New Roman"/>
                <w:color w:val="000000"/>
                <w:vertAlign w:val="superscript"/>
                <w:lang w:eastAsia="ru-RU"/>
              </w:rPr>
              <w:t>2</w:t>
            </w:r>
          </w:p>
        </w:tc>
        <w:tc>
          <w:tcPr>
            <w:tcW w:w="1890" w:type="dxa"/>
            <w:vAlign w:val="center"/>
          </w:tcPr>
          <w:p w:rsidR="002D1E45" w:rsidRPr="00381A47" w:rsidRDefault="002D1E45" w:rsidP="004D580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1679</w:t>
            </w:r>
          </w:p>
        </w:tc>
        <w:tc>
          <w:tcPr>
            <w:tcW w:w="1576" w:type="dxa"/>
            <w:vAlign w:val="center"/>
          </w:tcPr>
          <w:p w:rsidR="002D1E45" w:rsidRPr="00381A47" w:rsidRDefault="002D1E45" w:rsidP="004D5804">
            <w:pPr>
              <w:spacing w:after="0" w:line="240" w:lineRule="auto"/>
              <w:jc w:val="center"/>
              <w:rPr>
                <w:rFonts w:ascii="Times New Roman" w:hAnsi="Times New Roman"/>
                <w:color w:val="000000"/>
                <w:lang w:eastAsia="ru-RU"/>
              </w:rPr>
            </w:pPr>
            <w:r w:rsidRPr="004D5804">
              <w:rPr>
                <w:rFonts w:ascii="Times New Roman" w:hAnsi="Times New Roman"/>
                <w:color w:val="000000"/>
                <w:lang w:eastAsia="ru-RU"/>
              </w:rPr>
              <w:t>1775</w:t>
            </w: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59</w:t>
            </w:r>
          </w:p>
        </w:tc>
        <w:tc>
          <w:tcPr>
            <w:tcW w:w="3890" w:type="dxa"/>
            <w:vAlign w:val="center"/>
          </w:tcPr>
          <w:p w:rsidR="002D1E45" w:rsidRPr="00381A47" w:rsidRDefault="002D1E45" w:rsidP="00A513B8">
            <w:pPr>
              <w:spacing w:after="0" w:line="240" w:lineRule="auto"/>
              <w:rPr>
                <w:rFonts w:ascii="Times New Roman" w:hAnsi="Times New Roman"/>
                <w:color w:val="000000"/>
                <w:lang w:eastAsia="ru-RU"/>
              </w:rPr>
            </w:pPr>
            <w:r w:rsidRPr="00381A47">
              <w:rPr>
                <w:rFonts w:ascii="Times New Roman" w:hAnsi="Times New Roman"/>
                <w:color w:val="000000"/>
                <w:lang w:eastAsia="ru-RU"/>
              </w:rPr>
              <w:t>Обеспеченность населения индивидуальными легковыми автомобилями</w:t>
            </w:r>
          </w:p>
        </w:tc>
        <w:tc>
          <w:tcPr>
            <w:tcW w:w="1843"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автомобилей на 1000 жителей</w:t>
            </w:r>
          </w:p>
        </w:tc>
        <w:tc>
          <w:tcPr>
            <w:tcW w:w="1890"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300</w:t>
            </w:r>
          </w:p>
        </w:tc>
        <w:tc>
          <w:tcPr>
            <w:tcW w:w="157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420</w:t>
            </w:r>
          </w:p>
        </w:tc>
      </w:tr>
      <w:tr w:rsidR="002D1E45" w:rsidRPr="00AC1044" w:rsidTr="00AC1044">
        <w:trPr>
          <w:trHeight w:val="170"/>
          <w:jc w:val="center"/>
        </w:trPr>
        <w:tc>
          <w:tcPr>
            <w:tcW w:w="996" w:type="dxa"/>
            <w:vAlign w:val="center"/>
          </w:tcPr>
          <w:p w:rsidR="002D1E45" w:rsidRPr="00381A47" w:rsidRDefault="002D1E45" w:rsidP="00436526">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60</w:t>
            </w:r>
          </w:p>
        </w:tc>
        <w:tc>
          <w:tcPr>
            <w:tcW w:w="9199" w:type="dxa"/>
            <w:gridSpan w:val="4"/>
            <w:vAlign w:val="center"/>
          </w:tcPr>
          <w:p w:rsidR="002D1E45" w:rsidRPr="00381A47" w:rsidRDefault="002D1E45" w:rsidP="00436526">
            <w:pPr>
              <w:spacing w:after="0" w:line="240" w:lineRule="auto"/>
              <w:rPr>
                <w:rFonts w:ascii="Times New Roman" w:hAnsi="Times New Roman"/>
                <w:color w:val="000000"/>
                <w:lang w:eastAsia="ru-RU"/>
              </w:rPr>
            </w:pPr>
            <w:r w:rsidRPr="00381A47">
              <w:rPr>
                <w:rFonts w:ascii="Times New Roman" w:hAnsi="Times New Roman"/>
                <w:color w:val="000000"/>
                <w:lang w:eastAsia="ru-RU"/>
              </w:rPr>
              <w:t>ИНЖЕНЕРНАЯ ИНФРАСТРУКТУРА И</w:t>
            </w:r>
            <w:r>
              <w:rPr>
                <w:rFonts w:ascii="Times New Roman" w:hAnsi="Times New Roman"/>
                <w:color w:val="000000"/>
                <w:lang w:eastAsia="ru-RU"/>
              </w:rPr>
              <w:t> </w:t>
            </w:r>
            <w:r w:rsidRPr="00381A47">
              <w:rPr>
                <w:rFonts w:ascii="Times New Roman" w:hAnsi="Times New Roman"/>
                <w:color w:val="000000"/>
                <w:lang w:eastAsia="ru-RU"/>
              </w:rPr>
              <w:t>БЛАГОУСТРОЙСТВО ТЕРРИТОРИИ</w:t>
            </w:r>
          </w:p>
        </w:tc>
      </w:tr>
      <w:tr w:rsidR="002D1E45" w:rsidRPr="00AC1044" w:rsidTr="00AC1044">
        <w:trPr>
          <w:trHeight w:val="170"/>
          <w:jc w:val="center"/>
        </w:trPr>
        <w:tc>
          <w:tcPr>
            <w:tcW w:w="996" w:type="dxa"/>
            <w:vAlign w:val="center"/>
          </w:tcPr>
          <w:p w:rsidR="002D1E45" w:rsidRPr="00381A47" w:rsidRDefault="002D1E45" w:rsidP="00436526">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61</w:t>
            </w:r>
          </w:p>
        </w:tc>
        <w:tc>
          <w:tcPr>
            <w:tcW w:w="3890" w:type="dxa"/>
            <w:vAlign w:val="center"/>
          </w:tcPr>
          <w:p w:rsidR="002D1E45" w:rsidRPr="00381A47" w:rsidRDefault="002D1E45" w:rsidP="00436526">
            <w:pPr>
              <w:spacing w:after="0" w:line="240" w:lineRule="auto"/>
              <w:rPr>
                <w:rFonts w:ascii="Times New Roman" w:hAnsi="Times New Roman"/>
                <w:color w:val="000000"/>
                <w:lang w:eastAsia="ru-RU"/>
              </w:rPr>
            </w:pPr>
            <w:r w:rsidRPr="00381A47">
              <w:rPr>
                <w:rFonts w:ascii="Times New Roman" w:hAnsi="Times New Roman"/>
                <w:color w:val="000000"/>
                <w:lang w:eastAsia="ru-RU"/>
              </w:rPr>
              <w:t>ВОДОСНАБЖЕНИЕ</w:t>
            </w:r>
          </w:p>
        </w:tc>
        <w:tc>
          <w:tcPr>
            <w:tcW w:w="1843" w:type="dxa"/>
            <w:vAlign w:val="center"/>
          </w:tcPr>
          <w:p w:rsidR="002D1E45" w:rsidRPr="00381A47" w:rsidRDefault="002D1E45" w:rsidP="00436526">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 </w:t>
            </w:r>
          </w:p>
        </w:tc>
        <w:tc>
          <w:tcPr>
            <w:tcW w:w="1890" w:type="dxa"/>
            <w:vAlign w:val="center"/>
          </w:tcPr>
          <w:p w:rsidR="002D1E45" w:rsidRPr="00381A47" w:rsidRDefault="002D1E45" w:rsidP="00436526">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 </w:t>
            </w:r>
          </w:p>
        </w:tc>
        <w:tc>
          <w:tcPr>
            <w:tcW w:w="1576" w:type="dxa"/>
            <w:vAlign w:val="center"/>
          </w:tcPr>
          <w:p w:rsidR="002D1E45" w:rsidRPr="00381A47" w:rsidRDefault="002D1E45" w:rsidP="00436526">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 </w:t>
            </w: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62</w:t>
            </w:r>
          </w:p>
        </w:tc>
        <w:tc>
          <w:tcPr>
            <w:tcW w:w="3890" w:type="dxa"/>
            <w:vAlign w:val="center"/>
          </w:tcPr>
          <w:p w:rsidR="002D1E45" w:rsidRPr="00381A47" w:rsidRDefault="002D1E45" w:rsidP="00A513B8">
            <w:pPr>
              <w:spacing w:after="0" w:line="240" w:lineRule="auto"/>
              <w:rPr>
                <w:rFonts w:ascii="Times New Roman" w:hAnsi="Times New Roman"/>
                <w:color w:val="000000"/>
                <w:lang w:eastAsia="ru-RU"/>
              </w:rPr>
            </w:pPr>
            <w:r w:rsidRPr="00381A47">
              <w:rPr>
                <w:rFonts w:ascii="Times New Roman" w:hAnsi="Times New Roman"/>
                <w:color w:val="000000"/>
                <w:lang w:eastAsia="ru-RU"/>
              </w:rPr>
              <w:t>Водопотребление ЖКХ</w:t>
            </w:r>
          </w:p>
        </w:tc>
        <w:tc>
          <w:tcPr>
            <w:tcW w:w="1843"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тыс. куб. м/в сутки</w:t>
            </w:r>
          </w:p>
        </w:tc>
        <w:tc>
          <w:tcPr>
            <w:tcW w:w="1890"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4,1</w:t>
            </w:r>
          </w:p>
        </w:tc>
        <w:tc>
          <w:tcPr>
            <w:tcW w:w="157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12,7</w:t>
            </w: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63</w:t>
            </w:r>
          </w:p>
        </w:tc>
        <w:tc>
          <w:tcPr>
            <w:tcW w:w="3890" w:type="dxa"/>
            <w:vAlign w:val="center"/>
          </w:tcPr>
          <w:p w:rsidR="002D1E45" w:rsidRPr="00381A47" w:rsidRDefault="002D1E45" w:rsidP="00A513B8">
            <w:pPr>
              <w:spacing w:after="0" w:line="240" w:lineRule="auto"/>
              <w:rPr>
                <w:rFonts w:ascii="Times New Roman" w:hAnsi="Times New Roman"/>
                <w:color w:val="000000"/>
                <w:lang w:eastAsia="ru-RU"/>
              </w:rPr>
            </w:pPr>
            <w:r w:rsidRPr="00381A47">
              <w:rPr>
                <w:rFonts w:ascii="Times New Roman" w:hAnsi="Times New Roman"/>
                <w:color w:val="000000"/>
                <w:lang w:eastAsia="ru-RU"/>
              </w:rPr>
              <w:t>Производительность водозаборных сооружений</w:t>
            </w:r>
          </w:p>
        </w:tc>
        <w:tc>
          <w:tcPr>
            <w:tcW w:w="1843"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тыс. куб. м/в сутки</w:t>
            </w:r>
          </w:p>
        </w:tc>
        <w:tc>
          <w:tcPr>
            <w:tcW w:w="1890"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3,6</w:t>
            </w:r>
          </w:p>
        </w:tc>
        <w:tc>
          <w:tcPr>
            <w:tcW w:w="157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13,0</w:t>
            </w: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64</w:t>
            </w:r>
          </w:p>
        </w:tc>
        <w:tc>
          <w:tcPr>
            <w:tcW w:w="3890" w:type="dxa"/>
            <w:vAlign w:val="center"/>
          </w:tcPr>
          <w:p w:rsidR="002D1E45" w:rsidRPr="00381A47" w:rsidRDefault="002D1E45" w:rsidP="00A513B8">
            <w:pPr>
              <w:spacing w:after="0" w:line="240" w:lineRule="auto"/>
              <w:rPr>
                <w:rFonts w:ascii="Times New Roman" w:hAnsi="Times New Roman"/>
                <w:color w:val="000000"/>
                <w:lang w:eastAsia="ru-RU"/>
              </w:rPr>
            </w:pPr>
            <w:r w:rsidRPr="00381A47">
              <w:rPr>
                <w:rFonts w:ascii="Times New Roman" w:hAnsi="Times New Roman"/>
                <w:color w:val="000000"/>
                <w:lang w:eastAsia="ru-RU"/>
              </w:rPr>
              <w:t>Среднесуточное водопотребление на 1 человека</w:t>
            </w:r>
          </w:p>
        </w:tc>
        <w:tc>
          <w:tcPr>
            <w:tcW w:w="1843"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л/в сутки на</w:t>
            </w:r>
            <w:r>
              <w:rPr>
                <w:rFonts w:ascii="Times New Roman" w:hAnsi="Times New Roman"/>
                <w:color w:val="000000"/>
                <w:lang w:eastAsia="ru-RU"/>
              </w:rPr>
              <w:t> </w:t>
            </w:r>
            <w:r w:rsidRPr="00381A47">
              <w:rPr>
                <w:rFonts w:ascii="Times New Roman" w:hAnsi="Times New Roman"/>
                <w:color w:val="000000"/>
                <w:lang w:eastAsia="ru-RU"/>
              </w:rPr>
              <w:t>чел.</w:t>
            </w:r>
          </w:p>
        </w:tc>
        <w:tc>
          <w:tcPr>
            <w:tcW w:w="1890"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94</w:t>
            </w:r>
          </w:p>
        </w:tc>
        <w:tc>
          <w:tcPr>
            <w:tcW w:w="157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326</w:t>
            </w: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65</w:t>
            </w:r>
          </w:p>
        </w:tc>
        <w:tc>
          <w:tcPr>
            <w:tcW w:w="3890" w:type="dxa"/>
            <w:vAlign w:val="center"/>
          </w:tcPr>
          <w:p w:rsidR="002D1E45" w:rsidRPr="00381A47" w:rsidRDefault="002D1E45" w:rsidP="00A513B8">
            <w:pPr>
              <w:spacing w:after="0" w:line="240" w:lineRule="auto"/>
              <w:rPr>
                <w:rFonts w:ascii="Times New Roman" w:hAnsi="Times New Roman"/>
                <w:color w:val="000000"/>
                <w:lang w:eastAsia="ru-RU"/>
              </w:rPr>
            </w:pPr>
            <w:r w:rsidRPr="00381A47">
              <w:rPr>
                <w:rFonts w:ascii="Times New Roman" w:hAnsi="Times New Roman"/>
                <w:color w:val="000000"/>
                <w:lang w:eastAsia="ru-RU"/>
              </w:rPr>
              <w:t>Протяженность сетей</w:t>
            </w:r>
          </w:p>
        </w:tc>
        <w:tc>
          <w:tcPr>
            <w:tcW w:w="1843"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км</w:t>
            </w:r>
          </w:p>
        </w:tc>
        <w:tc>
          <w:tcPr>
            <w:tcW w:w="1890"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92,92</w:t>
            </w:r>
          </w:p>
        </w:tc>
        <w:tc>
          <w:tcPr>
            <w:tcW w:w="157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112,92</w:t>
            </w: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66</w:t>
            </w:r>
          </w:p>
        </w:tc>
        <w:tc>
          <w:tcPr>
            <w:tcW w:w="3890" w:type="dxa"/>
            <w:vAlign w:val="center"/>
          </w:tcPr>
          <w:p w:rsidR="002D1E45" w:rsidRPr="00381A47" w:rsidRDefault="002D1E45" w:rsidP="00A513B8">
            <w:pPr>
              <w:spacing w:after="0" w:line="240" w:lineRule="auto"/>
              <w:rPr>
                <w:rFonts w:ascii="Times New Roman" w:hAnsi="Times New Roman"/>
                <w:color w:val="000000"/>
                <w:lang w:eastAsia="ru-RU"/>
              </w:rPr>
            </w:pPr>
            <w:r w:rsidRPr="00381A47">
              <w:rPr>
                <w:rFonts w:ascii="Times New Roman" w:hAnsi="Times New Roman"/>
                <w:color w:val="000000"/>
                <w:lang w:eastAsia="ru-RU"/>
              </w:rPr>
              <w:t>ВОДООТВЕДЕНИЕ (КАНАЛИЗАЦИЯ)</w:t>
            </w:r>
          </w:p>
        </w:tc>
        <w:tc>
          <w:tcPr>
            <w:tcW w:w="1843"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 </w:t>
            </w:r>
          </w:p>
        </w:tc>
        <w:tc>
          <w:tcPr>
            <w:tcW w:w="1890" w:type="dxa"/>
            <w:vAlign w:val="center"/>
          </w:tcPr>
          <w:p w:rsidR="002D1E45" w:rsidRPr="00381A47" w:rsidRDefault="002D1E45" w:rsidP="00A513B8">
            <w:pPr>
              <w:spacing w:after="0" w:line="240" w:lineRule="auto"/>
              <w:jc w:val="center"/>
              <w:rPr>
                <w:rFonts w:ascii="Times New Roman" w:hAnsi="Times New Roman"/>
                <w:color w:val="000000"/>
                <w:lang w:eastAsia="ru-RU"/>
              </w:rPr>
            </w:pPr>
          </w:p>
        </w:tc>
        <w:tc>
          <w:tcPr>
            <w:tcW w:w="1576" w:type="dxa"/>
            <w:vAlign w:val="center"/>
          </w:tcPr>
          <w:p w:rsidR="002D1E45" w:rsidRPr="00381A47" w:rsidRDefault="002D1E45" w:rsidP="00A513B8">
            <w:pPr>
              <w:spacing w:after="0" w:line="240" w:lineRule="auto"/>
              <w:jc w:val="center"/>
              <w:rPr>
                <w:rFonts w:ascii="Times New Roman" w:hAnsi="Times New Roman"/>
                <w:color w:val="000000"/>
                <w:lang w:eastAsia="ru-RU"/>
              </w:rPr>
            </w:pP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67</w:t>
            </w:r>
          </w:p>
        </w:tc>
        <w:tc>
          <w:tcPr>
            <w:tcW w:w="3890" w:type="dxa"/>
            <w:vAlign w:val="center"/>
          </w:tcPr>
          <w:p w:rsidR="002D1E45" w:rsidRPr="00381A47" w:rsidRDefault="002D1E45" w:rsidP="00A513B8">
            <w:pPr>
              <w:spacing w:after="0" w:line="240" w:lineRule="auto"/>
              <w:rPr>
                <w:rFonts w:ascii="Times New Roman" w:hAnsi="Times New Roman"/>
                <w:color w:val="000000"/>
                <w:lang w:eastAsia="ru-RU"/>
              </w:rPr>
            </w:pPr>
            <w:r w:rsidRPr="00381A47">
              <w:rPr>
                <w:rFonts w:ascii="Times New Roman" w:hAnsi="Times New Roman"/>
                <w:color w:val="000000"/>
                <w:lang w:eastAsia="ru-RU"/>
              </w:rPr>
              <w:t>Общее поступление сточных вод от</w:t>
            </w:r>
            <w:r>
              <w:rPr>
                <w:rFonts w:ascii="Times New Roman" w:hAnsi="Times New Roman"/>
                <w:color w:val="000000"/>
                <w:lang w:eastAsia="ru-RU"/>
              </w:rPr>
              <w:t> </w:t>
            </w:r>
            <w:r w:rsidRPr="00381A47">
              <w:rPr>
                <w:rFonts w:ascii="Times New Roman" w:hAnsi="Times New Roman"/>
                <w:color w:val="000000"/>
                <w:lang w:eastAsia="ru-RU"/>
              </w:rPr>
              <w:t>ЖКХ</w:t>
            </w:r>
          </w:p>
        </w:tc>
        <w:tc>
          <w:tcPr>
            <w:tcW w:w="1843"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тыс. куб. м/в сутки</w:t>
            </w:r>
          </w:p>
        </w:tc>
        <w:tc>
          <w:tcPr>
            <w:tcW w:w="1890"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4,20</w:t>
            </w:r>
          </w:p>
        </w:tc>
        <w:tc>
          <w:tcPr>
            <w:tcW w:w="157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12,63</w:t>
            </w: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68</w:t>
            </w:r>
          </w:p>
        </w:tc>
        <w:tc>
          <w:tcPr>
            <w:tcW w:w="3890" w:type="dxa"/>
            <w:vAlign w:val="center"/>
          </w:tcPr>
          <w:p w:rsidR="002D1E45" w:rsidRPr="00381A47" w:rsidRDefault="002D1E45" w:rsidP="00A513B8">
            <w:pPr>
              <w:spacing w:after="0" w:line="240" w:lineRule="auto"/>
              <w:rPr>
                <w:rFonts w:ascii="Times New Roman" w:hAnsi="Times New Roman"/>
                <w:color w:val="000000"/>
                <w:lang w:eastAsia="ru-RU"/>
              </w:rPr>
            </w:pPr>
            <w:r w:rsidRPr="00381A47">
              <w:rPr>
                <w:rFonts w:ascii="Times New Roman" w:hAnsi="Times New Roman"/>
                <w:color w:val="000000"/>
                <w:lang w:eastAsia="ru-RU"/>
              </w:rPr>
              <w:t>Производительность очистных сооружений канализации (с учётом промышленных предприятий)</w:t>
            </w:r>
          </w:p>
        </w:tc>
        <w:tc>
          <w:tcPr>
            <w:tcW w:w="1843"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тыс. куб. м/в сутки</w:t>
            </w:r>
          </w:p>
        </w:tc>
        <w:tc>
          <w:tcPr>
            <w:tcW w:w="1890"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27,00</w:t>
            </w:r>
          </w:p>
        </w:tc>
        <w:tc>
          <w:tcPr>
            <w:tcW w:w="157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27,00</w:t>
            </w: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69</w:t>
            </w:r>
          </w:p>
        </w:tc>
        <w:tc>
          <w:tcPr>
            <w:tcW w:w="3890" w:type="dxa"/>
            <w:vAlign w:val="center"/>
          </w:tcPr>
          <w:p w:rsidR="002D1E45" w:rsidRPr="00381A47" w:rsidRDefault="002D1E45" w:rsidP="00A513B8">
            <w:pPr>
              <w:spacing w:after="0" w:line="240" w:lineRule="auto"/>
              <w:rPr>
                <w:rFonts w:ascii="Times New Roman" w:hAnsi="Times New Roman"/>
                <w:color w:val="000000"/>
                <w:lang w:eastAsia="ru-RU"/>
              </w:rPr>
            </w:pPr>
            <w:r w:rsidRPr="00381A47">
              <w:rPr>
                <w:rFonts w:ascii="Times New Roman" w:hAnsi="Times New Roman"/>
                <w:color w:val="000000"/>
                <w:lang w:eastAsia="ru-RU"/>
              </w:rPr>
              <w:t>Протяженность сетей</w:t>
            </w:r>
          </w:p>
        </w:tc>
        <w:tc>
          <w:tcPr>
            <w:tcW w:w="1843"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км</w:t>
            </w:r>
          </w:p>
        </w:tc>
        <w:tc>
          <w:tcPr>
            <w:tcW w:w="1890"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62,3</w:t>
            </w:r>
          </w:p>
        </w:tc>
        <w:tc>
          <w:tcPr>
            <w:tcW w:w="157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107,3</w:t>
            </w: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70</w:t>
            </w:r>
          </w:p>
        </w:tc>
        <w:tc>
          <w:tcPr>
            <w:tcW w:w="3890" w:type="dxa"/>
            <w:vAlign w:val="center"/>
          </w:tcPr>
          <w:p w:rsidR="002D1E45" w:rsidRPr="00381A47" w:rsidRDefault="002D1E45" w:rsidP="00A513B8">
            <w:pPr>
              <w:spacing w:after="0" w:line="240" w:lineRule="auto"/>
              <w:rPr>
                <w:rFonts w:ascii="Times New Roman" w:hAnsi="Times New Roman"/>
                <w:color w:val="000000"/>
                <w:lang w:eastAsia="ru-RU"/>
              </w:rPr>
            </w:pPr>
            <w:r w:rsidRPr="00381A47">
              <w:rPr>
                <w:rFonts w:ascii="Times New Roman" w:hAnsi="Times New Roman"/>
                <w:color w:val="000000"/>
                <w:lang w:eastAsia="ru-RU"/>
              </w:rPr>
              <w:t>ЭЛЕКТРОСНАБЖЕНИЕ</w:t>
            </w:r>
          </w:p>
        </w:tc>
        <w:tc>
          <w:tcPr>
            <w:tcW w:w="1843" w:type="dxa"/>
            <w:vAlign w:val="center"/>
          </w:tcPr>
          <w:p w:rsidR="002D1E45" w:rsidRPr="00381A47" w:rsidRDefault="002D1E45" w:rsidP="00A513B8">
            <w:pPr>
              <w:spacing w:after="0" w:line="240" w:lineRule="auto"/>
              <w:rPr>
                <w:rFonts w:ascii="Times New Roman" w:hAnsi="Times New Roman"/>
                <w:color w:val="000000"/>
                <w:lang w:eastAsia="ru-RU"/>
              </w:rPr>
            </w:pPr>
            <w:r w:rsidRPr="00381A47">
              <w:rPr>
                <w:rFonts w:ascii="Times New Roman" w:hAnsi="Times New Roman"/>
                <w:color w:val="000000"/>
                <w:lang w:eastAsia="ru-RU"/>
              </w:rPr>
              <w:t> </w:t>
            </w:r>
          </w:p>
        </w:tc>
        <w:tc>
          <w:tcPr>
            <w:tcW w:w="1890" w:type="dxa"/>
            <w:vAlign w:val="center"/>
          </w:tcPr>
          <w:p w:rsidR="002D1E45" w:rsidRPr="00381A47" w:rsidRDefault="002D1E45" w:rsidP="00A513B8">
            <w:pPr>
              <w:spacing w:after="0" w:line="240" w:lineRule="auto"/>
              <w:jc w:val="center"/>
              <w:rPr>
                <w:rFonts w:ascii="Times New Roman" w:hAnsi="Times New Roman"/>
                <w:color w:val="000000"/>
                <w:lang w:eastAsia="ru-RU"/>
              </w:rPr>
            </w:pPr>
          </w:p>
        </w:tc>
        <w:tc>
          <w:tcPr>
            <w:tcW w:w="1576" w:type="dxa"/>
            <w:vAlign w:val="center"/>
          </w:tcPr>
          <w:p w:rsidR="002D1E45" w:rsidRPr="00381A47" w:rsidRDefault="002D1E45" w:rsidP="00A513B8">
            <w:pPr>
              <w:spacing w:after="0" w:line="240" w:lineRule="auto"/>
              <w:jc w:val="center"/>
              <w:rPr>
                <w:rFonts w:ascii="Times New Roman" w:hAnsi="Times New Roman"/>
                <w:color w:val="000000"/>
                <w:lang w:eastAsia="ru-RU"/>
              </w:rPr>
            </w:pP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71</w:t>
            </w:r>
          </w:p>
        </w:tc>
        <w:tc>
          <w:tcPr>
            <w:tcW w:w="3890" w:type="dxa"/>
            <w:vAlign w:val="center"/>
          </w:tcPr>
          <w:p w:rsidR="002D1E45" w:rsidRPr="00381A47" w:rsidRDefault="002D1E45" w:rsidP="00A513B8">
            <w:pPr>
              <w:spacing w:after="0" w:line="240" w:lineRule="auto"/>
              <w:rPr>
                <w:rFonts w:ascii="Times New Roman" w:hAnsi="Times New Roman"/>
                <w:color w:val="000000"/>
                <w:lang w:eastAsia="ru-RU"/>
              </w:rPr>
            </w:pPr>
            <w:r w:rsidRPr="00381A47">
              <w:rPr>
                <w:rFonts w:ascii="Times New Roman" w:hAnsi="Times New Roman"/>
                <w:color w:val="000000"/>
                <w:lang w:eastAsia="ru-RU"/>
              </w:rPr>
              <w:t>Потребность в</w:t>
            </w:r>
            <w:r>
              <w:rPr>
                <w:rFonts w:ascii="Times New Roman" w:hAnsi="Times New Roman"/>
                <w:color w:val="000000"/>
                <w:lang w:eastAsia="ru-RU"/>
              </w:rPr>
              <w:t> </w:t>
            </w:r>
            <w:r w:rsidRPr="00381A47">
              <w:rPr>
                <w:rFonts w:ascii="Times New Roman" w:hAnsi="Times New Roman"/>
                <w:color w:val="000000"/>
                <w:lang w:eastAsia="ru-RU"/>
              </w:rPr>
              <w:t xml:space="preserve">электроэнергии </w:t>
            </w:r>
          </w:p>
        </w:tc>
        <w:tc>
          <w:tcPr>
            <w:tcW w:w="1843"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млн кВт×ч/год</w:t>
            </w:r>
          </w:p>
        </w:tc>
        <w:tc>
          <w:tcPr>
            <w:tcW w:w="1890"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н/д</w:t>
            </w:r>
          </w:p>
        </w:tc>
        <w:tc>
          <w:tcPr>
            <w:tcW w:w="157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89,7</w:t>
            </w: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72</w:t>
            </w:r>
          </w:p>
        </w:tc>
        <w:tc>
          <w:tcPr>
            <w:tcW w:w="3890" w:type="dxa"/>
            <w:vAlign w:val="center"/>
          </w:tcPr>
          <w:p w:rsidR="002D1E45" w:rsidRPr="00381A47" w:rsidRDefault="002D1E45" w:rsidP="00A513B8">
            <w:pPr>
              <w:spacing w:after="0" w:line="240" w:lineRule="auto"/>
              <w:rPr>
                <w:rFonts w:ascii="Times New Roman" w:hAnsi="Times New Roman"/>
                <w:color w:val="000000"/>
                <w:lang w:eastAsia="ru-RU"/>
              </w:rPr>
            </w:pPr>
            <w:r w:rsidRPr="00381A47">
              <w:rPr>
                <w:rFonts w:ascii="Times New Roman" w:hAnsi="Times New Roman"/>
                <w:color w:val="000000"/>
                <w:lang w:eastAsia="ru-RU"/>
              </w:rPr>
              <w:t>Потребление электроэнергии на 1 чел. в</w:t>
            </w:r>
            <w:r>
              <w:rPr>
                <w:rFonts w:ascii="Times New Roman" w:hAnsi="Times New Roman"/>
                <w:color w:val="000000"/>
                <w:lang w:eastAsia="ru-RU"/>
              </w:rPr>
              <w:t> </w:t>
            </w:r>
            <w:r w:rsidRPr="00381A47">
              <w:rPr>
                <w:rFonts w:ascii="Times New Roman" w:hAnsi="Times New Roman"/>
                <w:color w:val="000000"/>
                <w:lang w:eastAsia="ru-RU"/>
              </w:rPr>
              <w:t>год</w:t>
            </w:r>
          </w:p>
        </w:tc>
        <w:tc>
          <w:tcPr>
            <w:tcW w:w="1843"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кВт×ч</w:t>
            </w:r>
          </w:p>
        </w:tc>
        <w:tc>
          <w:tcPr>
            <w:tcW w:w="1890"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н/д</w:t>
            </w:r>
          </w:p>
        </w:tc>
        <w:tc>
          <w:tcPr>
            <w:tcW w:w="157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2304</w:t>
            </w: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73</w:t>
            </w:r>
          </w:p>
        </w:tc>
        <w:tc>
          <w:tcPr>
            <w:tcW w:w="3890" w:type="dxa"/>
            <w:vAlign w:val="center"/>
          </w:tcPr>
          <w:p w:rsidR="002D1E45" w:rsidRPr="00381A47" w:rsidRDefault="002D1E45" w:rsidP="00A513B8">
            <w:pPr>
              <w:spacing w:after="0" w:line="240" w:lineRule="auto"/>
              <w:rPr>
                <w:rFonts w:ascii="Times New Roman" w:hAnsi="Times New Roman"/>
                <w:color w:val="000000"/>
                <w:lang w:eastAsia="ru-RU"/>
              </w:rPr>
            </w:pPr>
            <w:r w:rsidRPr="00381A47">
              <w:rPr>
                <w:rFonts w:ascii="Times New Roman" w:hAnsi="Times New Roman"/>
                <w:color w:val="000000"/>
                <w:lang w:eastAsia="ru-RU"/>
              </w:rPr>
              <w:t>ТЕПЛОСНАБЖЕНИЕ</w:t>
            </w:r>
          </w:p>
        </w:tc>
        <w:tc>
          <w:tcPr>
            <w:tcW w:w="1843" w:type="dxa"/>
            <w:vAlign w:val="center"/>
          </w:tcPr>
          <w:p w:rsidR="002D1E45" w:rsidRPr="00381A47" w:rsidRDefault="002D1E45" w:rsidP="00A513B8">
            <w:pPr>
              <w:spacing w:after="0" w:line="240" w:lineRule="auto"/>
              <w:rPr>
                <w:rFonts w:ascii="Times New Roman" w:hAnsi="Times New Roman"/>
                <w:color w:val="000000"/>
                <w:lang w:eastAsia="ru-RU"/>
              </w:rPr>
            </w:pPr>
            <w:r w:rsidRPr="00381A47">
              <w:rPr>
                <w:rFonts w:ascii="Times New Roman" w:hAnsi="Times New Roman"/>
                <w:color w:val="000000"/>
                <w:lang w:eastAsia="ru-RU"/>
              </w:rPr>
              <w:t> </w:t>
            </w:r>
          </w:p>
        </w:tc>
        <w:tc>
          <w:tcPr>
            <w:tcW w:w="1890" w:type="dxa"/>
            <w:vAlign w:val="center"/>
          </w:tcPr>
          <w:p w:rsidR="002D1E45" w:rsidRPr="00381A47" w:rsidRDefault="002D1E45" w:rsidP="00A513B8">
            <w:pPr>
              <w:spacing w:after="0" w:line="240" w:lineRule="auto"/>
              <w:jc w:val="center"/>
              <w:rPr>
                <w:rFonts w:ascii="Times New Roman" w:hAnsi="Times New Roman"/>
                <w:color w:val="000000"/>
                <w:lang w:eastAsia="ru-RU"/>
              </w:rPr>
            </w:pPr>
          </w:p>
        </w:tc>
        <w:tc>
          <w:tcPr>
            <w:tcW w:w="1576" w:type="dxa"/>
            <w:vAlign w:val="center"/>
          </w:tcPr>
          <w:p w:rsidR="002D1E45" w:rsidRPr="00381A47" w:rsidRDefault="002D1E45" w:rsidP="00A513B8">
            <w:pPr>
              <w:spacing w:after="0" w:line="240" w:lineRule="auto"/>
              <w:jc w:val="center"/>
              <w:rPr>
                <w:rFonts w:ascii="Times New Roman" w:hAnsi="Times New Roman"/>
                <w:color w:val="000000"/>
                <w:lang w:eastAsia="ru-RU"/>
              </w:rPr>
            </w:pP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74</w:t>
            </w:r>
          </w:p>
        </w:tc>
        <w:tc>
          <w:tcPr>
            <w:tcW w:w="3890" w:type="dxa"/>
            <w:vAlign w:val="center"/>
          </w:tcPr>
          <w:p w:rsidR="002D1E45" w:rsidRPr="00381A47" w:rsidRDefault="002D1E45" w:rsidP="00A513B8">
            <w:pPr>
              <w:spacing w:after="0" w:line="240" w:lineRule="auto"/>
              <w:rPr>
                <w:rFonts w:ascii="Times New Roman" w:hAnsi="Times New Roman"/>
                <w:color w:val="000000"/>
                <w:lang w:eastAsia="ru-RU"/>
              </w:rPr>
            </w:pPr>
            <w:r w:rsidRPr="00381A47">
              <w:rPr>
                <w:rFonts w:ascii="Times New Roman" w:hAnsi="Times New Roman"/>
                <w:color w:val="000000"/>
                <w:lang w:eastAsia="ru-RU"/>
              </w:rPr>
              <w:t>Потребление тепла</w:t>
            </w:r>
          </w:p>
        </w:tc>
        <w:tc>
          <w:tcPr>
            <w:tcW w:w="1843"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Гкал/ч</w:t>
            </w:r>
          </w:p>
        </w:tc>
        <w:tc>
          <w:tcPr>
            <w:tcW w:w="1890"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124,4</w:t>
            </w:r>
          </w:p>
        </w:tc>
        <w:tc>
          <w:tcPr>
            <w:tcW w:w="157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125,6</w:t>
            </w: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75</w:t>
            </w:r>
          </w:p>
        </w:tc>
        <w:tc>
          <w:tcPr>
            <w:tcW w:w="3890" w:type="dxa"/>
            <w:vAlign w:val="center"/>
          </w:tcPr>
          <w:p w:rsidR="002D1E45" w:rsidRPr="00381A47" w:rsidRDefault="002D1E45" w:rsidP="00A513B8">
            <w:pPr>
              <w:spacing w:after="0" w:line="240" w:lineRule="auto"/>
              <w:rPr>
                <w:rFonts w:ascii="Times New Roman" w:hAnsi="Times New Roman"/>
                <w:color w:val="000000"/>
                <w:lang w:eastAsia="ru-RU"/>
              </w:rPr>
            </w:pPr>
            <w:r w:rsidRPr="00381A47">
              <w:rPr>
                <w:rFonts w:ascii="Times New Roman" w:hAnsi="Times New Roman"/>
                <w:color w:val="000000"/>
                <w:lang w:eastAsia="ru-RU"/>
              </w:rPr>
              <w:t>Производительность</w:t>
            </w:r>
          </w:p>
        </w:tc>
        <w:tc>
          <w:tcPr>
            <w:tcW w:w="1843" w:type="dxa"/>
            <w:vMerge w:val="restart"/>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Гкал/ч</w:t>
            </w:r>
          </w:p>
        </w:tc>
        <w:tc>
          <w:tcPr>
            <w:tcW w:w="1890" w:type="dxa"/>
            <w:vMerge w:val="restart"/>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302,1</w:t>
            </w:r>
          </w:p>
        </w:tc>
        <w:tc>
          <w:tcPr>
            <w:tcW w:w="1576" w:type="dxa"/>
            <w:vMerge w:val="restart"/>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302,1</w:t>
            </w: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76</w:t>
            </w:r>
          </w:p>
        </w:tc>
        <w:tc>
          <w:tcPr>
            <w:tcW w:w="3890" w:type="dxa"/>
            <w:vAlign w:val="center"/>
          </w:tcPr>
          <w:p w:rsidR="002D1E45" w:rsidRPr="00381A47" w:rsidRDefault="002D1E45" w:rsidP="00A513B8">
            <w:pPr>
              <w:spacing w:after="0" w:line="240" w:lineRule="auto"/>
              <w:rPr>
                <w:rFonts w:ascii="Times New Roman" w:hAnsi="Times New Roman"/>
                <w:color w:val="000000"/>
                <w:lang w:eastAsia="ru-RU"/>
              </w:rPr>
            </w:pPr>
            <w:r w:rsidRPr="00381A47">
              <w:rPr>
                <w:rFonts w:ascii="Times New Roman" w:hAnsi="Times New Roman"/>
                <w:color w:val="000000"/>
                <w:lang w:eastAsia="ru-RU"/>
              </w:rPr>
              <w:t>централизованных источников теплоснабжения – всего</w:t>
            </w:r>
          </w:p>
        </w:tc>
        <w:tc>
          <w:tcPr>
            <w:tcW w:w="1843" w:type="dxa"/>
            <w:vMerge/>
            <w:vAlign w:val="center"/>
          </w:tcPr>
          <w:p w:rsidR="002D1E45" w:rsidRPr="00381A47" w:rsidRDefault="002D1E45" w:rsidP="00A513B8">
            <w:pPr>
              <w:spacing w:after="0" w:line="240" w:lineRule="auto"/>
              <w:rPr>
                <w:rFonts w:ascii="Times New Roman" w:hAnsi="Times New Roman"/>
                <w:color w:val="000000"/>
                <w:lang w:eastAsia="ru-RU"/>
              </w:rPr>
            </w:pPr>
          </w:p>
        </w:tc>
        <w:tc>
          <w:tcPr>
            <w:tcW w:w="1890" w:type="dxa"/>
            <w:vMerge/>
            <w:vAlign w:val="center"/>
          </w:tcPr>
          <w:p w:rsidR="002D1E45" w:rsidRPr="00381A47" w:rsidRDefault="002D1E45" w:rsidP="00A513B8">
            <w:pPr>
              <w:spacing w:after="0" w:line="240" w:lineRule="auto"/>
              <w:jc w:val="center"/>
              <w:rPr>
                <w:rFonts w:ascii="Times New Roman" w:hAnsi="Times New Roman"/>
                <w:color w:val="000000"/>
                <w:lang w:eastAsia="ru-RU"/>
              </w:rPr>
            </w:pPr>
          </w:p>
        </w:tc>
        <w:tc>
          <w:tcPr>
            <w:tcW w:w="1576" w:type="dxa"/>
            <w:vMerge/>
            <w:vAlign w:val="center"/>
          </w:tcPr>
          <w:p w:rsidR="002D1E45" w:rsidRPr="00381A47" w:rsidRDefault="002D1E45" w:rsidP="00A513B8">
            <w:pPr>
              <w:spacing w:after="0" w:line="240" w:lineRule="auto"/>
              <w:jc w:val="center"/>
              <w:rPr>
                <w:rFonts w:ascii="Times New Roman" w:hAnsi="Times New Roman"/>
                <w:color w:val="000000"/>
                <w:lang w:eastAsia="ru-RU"/>
              </w:rPr>
            </w:pP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77</w:t>
            </w:r>
          </w:p>
        </w:tc>
        <w:tc>
          <w:tcPr>
            <w:tcW w:w="3890" w:type="dxa"/>
            <w:vAlign w:val="center"/>
          </w:tcPr>
          <w:p w:rsidR="002D1E45" w:rsidRPr="00381A47" w:rsidRDefault="002D1E45" w:rsidP="00A513B8">
            <w:pPr>
              <w:spacing w:after="0" w:line="240" w:lineRule="auto"/>
              <w:rPr>
                <w:rFonts w:ascii="Times New Roman" w:hAnsi="Times New Roman"/>
                <w:color w:val="000000"/>
                <w:lang w:eastAsia="ru-RU"/>
              </w:rPr>
            </w:pPr>
            <w:r w:rsidRPr="00381A47">
              <w:rPr>
                <w:rFonts w:ascii="Times New Roman" w:hAnsi="Times New Roman"/>
                <w:color w:val="000000"/>
                <w:lang w:eastAsia="ru-RU"/>
              </w:rPr>
              <w:t>Протяженность сетей, однотрубное исчисление</w:t>
            </w:r>
          </w:p>
        </w:tc>
        <w:tc>
          <w:tcPr>
            <w:tcW w:w="1843"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км</w:t>
            </w:r>
          </w:p>
        </w:tc>
        <w:tc>
          <w:tcPr>
            <w:tcW w:w="1890"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60,113</w:t>
            </w:r>
          </w:p>
        </w:tc>
        <w:tc>
          <w:tcPr>
            <w:tcW w:w="157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60,113</w:t>
            </w: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78</w:t>
            </w:r>
          </w:p>
        </w:tc>
        <w:tc>
          <w:tcPr>
            <w:tcW w:w="3890" w:type="dxa"/>
            <w:vAlign w:val="center"/>
          </w:tcPr>
          <w:p w:rsidR="002D1E45" w:rsidRPr="00381A47" w:rsidRDefault="002D1E45" w:rsidP="00A513B8">
            <w:pPr>
              <w:spacing w:after="0" w:line="240" w:lineRule="auto"/>
              <w:rPr>
                <w:rFonts w:ascii="Times New Roman" w:hAnsi="Times New Roman"/>
                <w:color w:val="000000"/>
                <w:lang w:eastAsia="ru-RU"/>
              </w:rPr>
            </w:pPr>
            <w:r w:rsidRPr="00381A47">
              <w:rPr>
                <w:rFonts w:ascii="Times New Roman" w:hAnsi="Times New Roman"/>
                <w:color w:val="000000"/>
                <w:lang w:eastAsia="ru-RU"/>
              </w:rPr>
              <w:t>ГАЗОСНАБЖЕНИЕ</w:t>
            </w:r>
          </w:p>
        </w:tc>
        <w:tc>
          <w:tcPr>
            <w:tcW w:w="1843"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 </w:t>
            </w:r>
          </w:p>
        </w:tc>
        <w:tc>
          <w:tcPr>
            <w:tcW w:w="1890" w:type="dxa"/>
            <w:vAlign w:val="center"/>
          </w:tcPr>
          <w:p w:rsidR="002D1E45" w:rsidRPr="00381A47" w:rsidRDefault="002D1E45" w:rsidP="00A513B8">
            <w:pPr>
              <w:spacing w:after="0" w:line="240" w:lineRule="auto"/>
              <w:jc w:val="center"/>
              <w:rPr>
                <w:rFonts w:ascii="Times New Roman" w:hAnsi="Times New Roman"/>
                <w:color w:val="000000"/>
                <w:lang w:eastAsia="ru-RU"/>
              </w:rPr>
            </w:pPr>
          </w:p>
        </w:tc>
        <w:tc>
          <w:tcPr>
            <w:tcW w:w="1576" w:type="dxa"/>
            <w:vAlign w:val="center"/>
          </w:tcPr>
          <w:p w:rsidR="002D1E45" w:rsidRPr="00381A47" w:rsidRDefault="002D1E45" w:rsidP="00A513B8">
            <w:pPr>
              <w:spacing w:after="0" w:line="240" w:lineRule="auto"/>
              <w:jc w:val="center"/>
              <w:rPr>
                <w:rFonts w:ascii="Times New Roman" w:hAnsi="Times New Roman"/>
                <w:color w:val="000000"/>
                <w:lang w:eastAsia="ru-RU"/>
              </w:rPr>
            </w:pP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79</w:t>
            </w:r>
          </w:p>
        </w:tc>
        <w:tc>
          <w:tcPr>
            <w:tcW w:w="3890" w:type="dxa"/>
            <w:vAlign w:val="center"/>
          </w:tcPr>
          <w:p w:rsidR="002D1E45" w:rsidRPr="00381A47" w:rsidRDefault="002D1E45" w:rsidP="00A513B8">
            <w:pPr>
              <w:spacing w:after="0" w:line="240" w:lineRule="auto"/>
              <w:rPr>
                <w:rFonts w:ascii="Times New Roman" w:hAnsi="Times New Roman"/>
                <w:color w:val="000000"/>
                <w:lang w:eastAsia="ru-RU"/>
              </w:rPr>
            </w:pPr>
            <w:r w:rsidRPr="00381A47">
              <w:rPr>
                <w:rFonts w:ascii="Times New Roman" w:hAnsi="Times New Roman"/>
                <w:color w:val="000000"/>
                <w:lang w:eastAsia="ru-RU"/>
              </w:rPr>
              <w:t>Потребление газа, всего</w:t>
            </w:r>
          </w:p>
        </w:tc>
        <w:tc>
          <w:tcPr>
            <w:tcW w:w="1843"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млн куб. м/год</w:t>
            </w:r>
          </w:p>
        </w:tc>
        <w:tc>
          <w:tcPr>
            <w:tcW w:w="1890"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11,8</w:t>
            </w:r>
          </w:p>
        </w:tc>
        <w:tc>
          <w:tcPr>
            <w:tcW w:w="157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11,8</w:t>
            </w: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80</w:t>
            </w:r>
          </w:p>
        </w:tc>
        <w:tc>
          <w:tcPr>
            <w:tcW w:w="3890" w:type="dxa"/>
            <w:vAlign w:val="center"/>
          </w:tcPr>
          <w:p w:rsidR="002D1E45" w:rsidRPr="00381A47" w:rsidRDefault="002D1E45" w:rsidP="00A513B8">
            <w:pPr>
              <w:spacing w:after="0" w:line="240" w:lineRule="auto"/>
              <w:rPr>
                <w:rFonts w:ascii="Times New Roman" w:hAnsi="Times New Roman"/>
                <w:color w:val="000000"/>
                <w:lang w:eastAsia="ru-RU"/>
              </w:rPr>
            </w:pPr>
            <w:r w:rsidRPr="00381A47">
              <w:rPr>
                <w:rFonts w:ascii="Times New Roman" w:hAnsi="Times New Roman"/>
                <w:color w:val="000000"/>
                <w:lang w:eastAsia="ru-RU"/>
              </w:rPr>
              <w:t>Протяженность сетей, всего</w:t>
            </w:r>
          </w:p>
        </w:tc>
        <w:tc>
          <w:tcPr>
            <w:tcW w:w="1843"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км</w:t>
            </w:r>
          </w:p>
        </w:tc>
        <w:tc>
          <w:tcPr>
            <w:tcW w:w="1890"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н/д</w:t>
            </w:r>
          </w:p>
        </w:tc>
        <w:tc>
          <w:tcPr>
            <w:tcW w:w="157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н/д</w:t>
            </w:r>
          </w:p>
        </w:tc>
      </w:tr>
      <w:tr w:rsidR="002D1E45" w:rsidRPr="00AC1044" w:rsidTr="00AC1044">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81</w:t>
            </w:r>
          </w:p>
        </w:tc>
        <w:tc>
          <w:tcPr>
            <w:tcW w:w="9199" w:type="dxa"/>
            <w:gridSpan w:val="4"/>
            <w:vAlign w:val="center"/>
          </w:tcPr>
          <w:p w:rsidR="002D1E45" w:rsidRPr="00381A47" w:rsidRDefault="002D1E45" w:rsidP="00A513B8">
            <w:pPr>
              <w:spacing w:after="0" w:line="240" w:lineRule="auto"/>
              <w:rPr>
                <w:rFonts w:ascii="Times New Roman" w:hAnsi="Times New Roman"/>
                <w:color w:val="000000"/>
                <w:lang w:eastAsia="ru-RU"/>
              </w:rPr>
            </w:pPr>
            <w:r w:rsidRPr="00381A47">
              <w:rPr>
                <w:rFonts w:ascii="Times New Roman" w:hAnsi="Times New Roman"/>
                <w:color w:val="000000"/>
                <w:lang w:eastAsia="ru-RU"/>
              </w:rPr>
              <w:t>СВЯЗЬ</w:t>
            </w: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82</w:t>
            </w:r>
          </w:p>
        </w:tc>
        <w:tc>
          <w:tcPr>
            <w:tcW w:w="3890" w:type="dxa"/>
            <w:vAlign w:val="center"/>
          </w:tcPr>
          <w:p w:rsidR="002D1E45" w:rsidRPr="00381A47" w:rsidRDefault="002D1E45" w:rsidP="00A513B8">
            <w:pPr>
              <w:spacing w:after="0" w:line="240" w:lineRule="auto"/>
              <w:rPr>
                <w:rFonts w:ascii="Times New Roman" w:hAnsi="Times New Roman"/>
                <w:color w:val="000000"/>
                <w:lang w:eastAsia="ru-RU"/>
              </w:rPr>
            </w:pPr>
            <w:r w:rsidRPr="00381A47">
              <w:rPr>
                <w:rFonts w:ascii="Times New Roman" w:hAnsi="Times New Roman"/>
                <w:color w:val="000000"/>
                <w:lang w:eastAsia="ru-RU"/>
              </w:rPr>
              <w:t>Охват населения телевизионным вещанием</w:t>
            </w:r>
          </w:p>
        </w:tc>
        <w:tc>
          <w:tcPr>
            <w:tcW w:w="1843"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 от</w:t>
            </w:r>
            <w:r>
              <w:rPr>
                <w:rFonts w:ascii="Times New Roman" w:hAnsi="Times New Roman"/>
                <w:color w:val="000000"/>
                <w:lang w:eastAsia="ru-RU"/>
              </w:rPr>
              <w:t> </w:t>
            </w:r>
            <w:r w:rsidRPr="00381A47">
              <w:rPr>
                <w:rFonts w:ascii="Times New Roman" w:hAnsi="Times New Roman"/>
                <w:color w:val="000000"/>
                <w:lang w:eastAsia="ru-RU"/>
              </w:rPr>
              <w:t>населения</w:t>
            </w:r>
          </w:p>
        </w:tc>
        <w:tc>
          <w:tcPr>
            <w:tcW w:w="1890"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100</w:t>
            </w:r>
          </w:p>
        </w:tc>
        <w:tc>
          <w:tcPr>
            <w:tcW w:w="157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100</w:t>
            </w: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83</w:t>
            </w:r>
          </w:p>
        </w:tc>
        <w:tc>
          <w:tcPr>
            <w:tcW w:w="3890" w:type="dxa"/>
            <w:vAlign w:val="center"/>
          </w:tcPr>
          <w:p w:rsidR="002D1E45" w:rsidRPr="00381A47" w:rsidRDefault="002D1E45" w:rsidP="00A513B8">
            <w:pPr>
              <w:spacing w:after="0" w:line="240" w:lineRule="auto"/>
              <w:rPr>
                <w:rFonts w:ascii="Times New Roman" w:hAnsi="Times New Roman"/>
                <w:color w:val="000000"/>
                <w:lang w:eastAsia="ru-RU"/>
              </w:rPr>
            </w:pPr>
            <w:r w:rsidRPr="00381A47">
              <w:rPr>
                <w:rFonts w:ascii="Times New Roman" w:hAnsi="Times New Roman"/>
                <w:color w:val="000000"/>
                <w:lang w:eastAsia="ru-RU"/>
              </w:rPr>
              <w:t>Обеспеченность населения телефонной сетью общего пользования</w:t>
            </w:r>
          </w:p>
        </w:tc>
        <w:tc>
          <w:tcPr>
            <w:tcW w:w="1843"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Номеров на 1000 человек</w:t>
            </w:r>
          </w:p>
        </w:tc>
        <w:tc>
          <w:tcPr>
            <w:tcW w:w="1890"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н/д</w:t>
            </w:r>
          </w:p>
        </w:tc>
        <w:tc>
          <w:tcPr>
            <w:tcW w:w="157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400</w:t>
            </w:r>
          </w:p>
        </w:tc>
      </w:tr>
      <w:tr w:rsidR="002D1E45" w:rsidRPr="00AC1044" w:rsidTr="00AC1044">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84</w:t>
            </w:r>
          </w:p>
        </w:tc>
        <w:tc>
          <w:tcPr>
            <w:tcW w:w="9199" w:type="dxa"/>
            <w:gridSpan w:val="4"/>
            <w:vAlign w:val="center"/>
          </w:tcPr>
          <w:p w:rsidR="002D1E45" w:rsidRPr="00381A47" w:rsidRDefault="002D1E45" w:rsidP="00A513B8">
            <w:pPr>
              <w:spacing w:after="0" w:line="240" w:lineRule="auto"/>
              <w:rPr>
                <w:rFonts w:ascii="Times New Roman" w:hAnsi="Times New Roman"/>
                <w:color w:val="000000"/>
                <w:lang w:eastAsia="ru-RU"/>
              </w:rPr>
            </w:pPr>
            <w:r w:rsidRPr="00381A47">
              <w:rPr>
                <w:rFonts w:ascii="Times New Roman" w:hAnsi="Times New Roman"/>
                <w:color w:val="000000"/>
                <w:lang w:eastAsia="ru-RU"/>
              </w:rPr>
              <w:t>ОБРАЩЕНИЕ С</w:t>
            </w:r>
            <w:r>
              <w:rPr>
                <w:rFonts w:ascii="Times New Roman" w:hAnsi="Times New Roman"/>
                <w:color w:val="000000"/>
                <w:lang w:eastAsia="ru-RU"/>
              </w:rPr>
              <w:t> </w:t>
            </w:r>
            <w:r w:rsidRPr="00381A47">
              <w:rPr>
                <w:rFonts w:ascii="Times New Roman" w:hAnsi="Times New Roman"/>
                <w:color w:val="000000"/>
                <w:lang w:eastAsia="ru-RU"/>
              </w:rPr>
              <w:t>ОТХОДАМИ ПРОИЗВОДСТВА И</w:t>
            </w:r>
            <w:r>
              <w:rPr>
                <w:rFonts w:ascii="Times New Roman" w:hAnsi="Times New Roman"/>
                <w:color w:val="000000"/>
                <w:lang w:eastAsia="ru-RU"/>
              </w:rPr>
              <w:t> </w:t>
            </w:r>
            <w:r w:rsidRPr="00381A47">
              <w:rPr>
                <w:rFonts w:ascii="Times New Roman" w:hAnsi="Times New Roman"/>
                <w:color w:val="000000"/>
                <w:lang w:eastAsia="ru-RU"/>
              </w:rPr>
              <w:t>ПОТРЕБЛЕНИЯ</w:t>
            </w: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85</w:t>
            </w:r>
          </w:p>
        </w:tc>
        <w:tc>
          <w:tcPr>
            <w:tcW w:w="3890" w:type="dxa"/>
            <w:vAlign w:val="center"/>
          </w:tcPr>
          <w:p w:rsidR="002D1E45" w:rsidRPr="00381A47" w:rsidRDefault="002D1E45" w:rsidP="00A513B8">
            <w:pPr>
              <w:spacing w:after="0" w:line="240" w:lineRule="auto"/>
              <w:rPr>
                <w:rFonts w:ascii="Times New Roman" w:hAnsi="Times New Roman"/>
                <w:color w:val="000000"/>
                <w:lang w:eastAsia="ru-RU"/>
              </w:rPr>
            </w:pPr>
            <w:r w:rsidRPr="00381A47">
              <w:rPr>
                <w:rFonts w:ascii="Times New Roman" w:hAnsi="Times New Roman"/>
                <w:color w:val="000000"/>
                <w:lang w:eastAsia="ru-RU"/>
              </w:rPr>
              <w:t>Объем твёрдых коммунальных отходов</w:t>
            </w:r>
          </w:p>
        </w:tc>
        <w:tc>
          <w:tcPr>
            <w:tcW w:w="1843"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тыс. т/год</w:t>
            </w:r>
          </w:p>
        </w:tc>
        <w:tc>
          <w:tcPr>
            <w:tcW w:w="1890"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17,11</w:t>
            </w:r>
          </w:p>
        </w:tc>
        <w:tc>
          <w:tcPr>
            <w:tcW w:w="157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A513B8">
              <w:rPr>
                <w:rFonts w:ascii="Times New Roman" w:hAnsi="Times New Roman"/>
                <w:color w:val="000000"/>
                <w:lang w:eastAsia="ru-RU"/>
              </w:rPr>
              <w:t>20,61</w:t>
            </w:r>
          </w:p>
        </w:tc>
      </w:tr>
      <w:tr w:rsidR="002D1E45" w:rsidRPr="00AC1044" w:rsidTr="00AC1044">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86</w:t>
            </w:r>
          </w:p>
        </w:tc>
        <w:tc>
          <w:tcPr>
            <w:tcW w:w="9199" w:type="dxa"/>
            <w:gridSpan w:val="4"/>
            <w:vAlign w:val="center"/>
          </w:tcPr>
          <w:p w:rsidR="002D1E45" w:rsidRPr="00381A47" w:rsidRDefault="002D1E45" w:rsidP="00A513B8">
            <w:pPr>
              <w:spacing w:after="0" w:line="240" w:lineRule="auto"/>
              <w:rPr>
                <w:rFonts w:ascii="Times New Roman" w:hAnsi="Times New Roman"/>
                <w:color w:val="000000"/>
                <w:lang w:eastAsia="ru-RU"/>
              </w:rPr>
            </w:pPr>
            <w:r w:rsidRPr="00381A47">
              <w:rPr>
                <w:rFonts w:ascii="Times New Roman" w:hAnsi="Times New Roman"/>
                <w:color w:val="000000"/>
                <w:lang w:eastAsia="ru-RU"/>
              </w:rPr>
              <w:t>,</w:t>
            </w:r>
          </w:p>
        </w:tc>
      </w:tr>
      <w:tr w:rsidR="002D1E45" w:rsidRPr="00AC1044" w:rsidTr="00A513B8">
        <w:trPr>
          <w:trHeight w:val="170"/>
          <w:jc w:val="center"/>
        </w:trPr>
        <w:tc>
          <w:tcPr>
            <w:tcW w:w="996"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87</w:t>
            </w:r>
          </w:p>
        </w:tc>
        <w:tc>
          <w:tcPr>
            <w:tcW w:w="3890" w:type="dxa"/>
            <w:vAlign w:val="center"/>
          </w:tcPr>
          <w:p w:rsidR="002D1E45" w:rsidRPr="00381A47" w:rsidRDefault="002D1E45" w:rsidP="00A513B8">
            <w:pPr>
              <w:spacing w:after="0" w:line="240" w:lineRule="auto"/>
              <w:rPr>
                <w:rFonts w:ascii="Times New Roman" w:hAnsi="Times New Roman"/>
                <w:color w:val="000000"/>
                <w:lang w:eastAsia="ru-RU"/>
              </w:rPr>
            </w:pPr>
            <w:r w:rsidRPr="00381A47">
              <w:rPr>
                <w:rFonts w:ascii="Times New Roman" w:hAnsi="Times New Roman"/>
                <w:color w:val="000000"/>
                <w:lang w:eastAsia="ru-RU"/>
              </w:rPr>
              <w:t>Общее количество кладбищ</w:t>
            </w:r>
          </w:p>
        </w:tc>
        <w:tc>
          <w:tcPr>
            <w:tcW w:w="1843" w:type="dxa"/>
            <w:vAlign w:val="center"/>
          </w:tcPr>
          <w:p w:rsidR="002D1E45" w:rsidRPr="00381A47" w:rsidRDefault="002D1E45" w:rsidP="00A513B8">
            <w:pPr>
              <w:spacing w:after="0" w:line="240" w:lineRule="auto"/>
              <w:jc w:val="center"/>
              <w:rPr>
                <w:rFonts w:ascii="Times New Roman" w:hAnsi="Times New Roman"/>
                <w:color w:val="000000"/>
                <w:lang w:eastAsia="ru-RU"/>
              </w:rPr>
            </w:pPr>
            <w:r w:rsidRPr="00381A47">
              <w:rPr>
                <w:rFonts w:ascii="Times New Roman" w:hAnsi="Times New Roman"/>
                <w:color w:val="000000"/>
                <w:lang w:eastAsia="ru-RU"/>
              </w:rPr>
              <w:t>единиц/га</w:t>
            </w:r>
          </w:p>
        </w:tc>
        <w:tc>
          <w:tcPr>
            <w:tcW w:w="1890" w:type="dxa"/>
            <w:vAlign w:val="center"/>
          </w:tcPr>
          <w:p w:rsidR="002D1E45" w:rsidRPr="00381A47" w:rsidRDefault="002D1E45" w:rsidP="00A513B8">
            <w:pPr>
              <w:spacing w:after="0" w:line="240" w:lineRule="auto"/>
              <w:jc w:val="center"/>
              <w:rPr>
                <w:rFonts w:ascii="Times New Roman" w:hAnsi="Times New Roman"/>
                <w:color w:val="000000"/>
                <w:lang w:eastAsia="ru-RU"/>
              </w:rPr>
            </w:pPr>
            <w:r>
              <w:rPr>
                <w:rFonts w:ascii="Times New Roman" w:hAnsi="Times New Roman"/>
                <w:color w:val="000000"/>
                <w:lang w:eastAsia="ru-RU"/>
              </w:rPr>
              <w:t>2</w:t>
            </w:r>
            <w:r w:rsidRPr="00A513B8">
              <w:rPr>
                <w:rFonts w:ascii="Times New Roman" w:hAnsi="Times New Roman"/>
                <w:color w:val="000000"/>
                <w:lang w:eastAsia="ru-RU"/>
              </w:rPr>
              <w:t>/н/д</w:t>
            </w:r>
          </w:p>
        </w:tc>
        <w:tc>
          <w:tcPr>
            <w:tcW w:w="1576" w:type="dxa"/>
            <w:vAlign w:val="center"/>
          </w:tcPr>
          <w:p w:rsidR="002D1E45" w:rsidRPr="00381A47" w:rsidRDefault="002D1E45" w:rsidP="00A513B8">
            <w:pPr>
              <w:spacing w:after="0" w:line="240" w:lineRule="auto"/>
              <w:jc w:val="center"/>
              <w:rPr>
                <w:rFonts w:ascii="Times New Roman" w:hAnsi="Times New Roman"/>
                <w:color w:val="000000"/>
                <w:lang w:eastAsia="ru-RU"/>
              </w:rPr>
            </w:pPr>
            <w:r>
              <w:rPr>
                <w:rFonts w:ascii="Times New Roman" w:hAnsi="Times New Roman"/>
                <w:color w:val="000000"/>
                <w:lang w:eastAsia="ru-RU"/>
              </w:rPr>
              <w:t>2</w:t>
            </w:r>
            <w:r w:rsidRPr="00A513B8">
              <w:rPr>
                <w:rFonts w:ascii="Times New Roman" w:hAnsi="Times New Roman"/>
                <w:color w:val="000000"/>
                <w:lang w:eastAsia="ru-RU"/>
              </w:rPr>
              <w:t>/н/д</w:t>
            </w:r>
          </w:p>
        </w:tc>
      </w:tr>
    </w:tbl>
    <w:p w:rsidR="002D1E45" w:rsidRDefault="002D1E45" w:rsidP="00D8038B">
      <w:pPr>
        <w:rPr>
          <w:highlight w:val="yellow"/>
        </w:rPr>
      </w:pPr>
    </w:p>
    <w:p w:rsidR="002D1E45" w:rsidRDefault="002D1E45" w:rsidP="00D8038B">
      <w:pPr>
        <w:rPr>
          <w:highlight w:val="yellow"/>
        </w:rPr>
        <w:sectPr w:rsidR="002D1E45" w:rsidSect="00D8038B">
          <w:headerReference w:type="first" r:id="rId39"/>
          <w:pgSz w:w="11906" w:h="16838"/>
          <w:pgMar w:top="1134" w:right="567" w:bottom="1134" w:left="1134" w:header="709" w:footer="709" w:gutter="0"/>
          <w:cols w:space="708"/>
          <w:docGrid w:linePitch="360"/>
        </w:sectPr>
      </w:pPr>
    </w:p>
    <w:p w:rsidR="002D1E45" w:rsidRPr="00A071F0" w:rsidRDefault="002D1E45" w:rsidP="00852938">
      <w:pPr>
        <w:pStyle w:val="Heading1"/>
        <w:numPr>
          <w:ilvl w:val="0"/>
          <w:numId w:val="65"/>
        </w:numPr>
        <w:tabs>
          <w:tab w:val="left" w:pos="709"/>
        </w:tabs>
        <w:spacing w:after="240" w:line="240" w:lineRule="auto"/>
        <w:ind w:left="709" w:hanging="709"/>
        <w:rPr>
          <w:b/>
          <w:sz w:val="32"/>
        </w:rPr>
      </w:pPr>
      <w:bookmarkStart w:id="382" w:name="_Toc523920575"/>
      <w:bookmarkStart w:id="383" w:name="_Toc84936072"/>
      <w:r w:rsidRPr="00A071F0">
        <w:rPr>
          <w:b/>
          <w:sz w:val="32"/>
        </w:rPr>
        <w:t>Приложения</w:t>
      </w:r>
      <w:bookmarkEnd w:id="382"/>
      <w:bookmarkEnd w:id="383"/>
    </w:p>
    <w:p w:rsidR="002D1E45" w:rsidRPr="00A071F0" w:rsidRDefault="002D1E45" w:rsidP="00852938">
      <w:pPr>
        <w:pStyle w:val="Heading2"/>
        <w:numPr>
          <w:ilvl w:val="1"/>
          <w:numId w:val="65"/>
        </w:numPr>
        <w:spacing w:before="240"/>
        <w:ind w:left="993" w:hanging="633"/>
        <w:jc w:val="both"/>
        <w:rPr>
          <w:b/>
        </w:rPr>
      </w:pPr>
      <w:bookmarkStart w:id="384" w:name="_Toc523920576"/>
      <w:bookmarkStart w:id="385" w:name="_Toc84936073"/>
      <w:r w:rsidRPr="00A071F0">
        <w:rPr>
          <w:b/>
        </w:rPr>
        <w:t>Перечень основных превентивных пропивопаводковых мероприятий, выполняемых при различных режимах ЧС</w:t>
      </w:r>
      <w:bookmarkEnd w:id="384"/>
      <w:bookmarkEnd w:id="385"/>
    </w:p>
    <w:p w:rsidR="002D1E45" w:rsidRPr="00A071F0" w:rsidRDefault="002D1E45" w:rsidP="00A071F0">
      <w:pPr>
        <w:spacing w:after="0" w:line="240" w:lineRule="auto"/>
        <w:jc w:val="center"/>
        <w:rPr>
          <w:rFonts w:ascii="Times New Roman" w:hAnsi="Times New Roman"/>
          <w:sz w:val="24"/>
          <w:szCs w:val="24"/>
          <w:lang w:eastAsia="ru-RU"/>
        </w:rPr>
      </w:pPr>
    </w:p>
    <w:p w:rsidR="002D1E45" w:rsidRPr="00A071F0" w:rsidRDefault="002D1E45" w:rsidP="00A071F0">
      <w:pPr>
        <w:spacing w:after="0" w:line="240" w:lineRule="auto"/>
        <w:jc w:val="both"/>
        <w:rPr>
          <w:rFonts w:ascii="Times New Roman" w:hAnsi="Times New Roman"/>
          <w:sz w:val="28"/>
          <w:szCs w:val="24"/>
          <w:u w:val="single"/>
          <w:lang w:eastAsia="ru-RU"/>
        </w:rPr>
      </w:pPr>
      <w:r w:rsidRPr="00A071F0">
        <w:rPr>
          <w:rFonts w:ascii="Times New Roman" w:hAnsi="Times New Roman"/>
          <w:sz w:val="28"/>
          <w:szCs w:val="24"/>
          <w:u w:val="single"/>
          <w:lang w:eastAsia="ru-RU"/>
        </w:rPr>
        <w:t>Режимы функционирования:</w:t>
      </w:r>
    </w:p>
    <w:p w:rsidR="002D1E45" w:rsidRPr="00A071F0" w:rsidRDefault="002D1E45" w:rsidP="00D05D06">
      <w:pPr>
        <w:numPr>
          <w:ilvl w:val="0"/>
          <w:numId w:val="86"/>
        </w:numPr>
        <w:spacing w:after="0" w:line="240" w:lineRule="auto"/>
        <w:contextualSpacing/>
        <w:jc w:val="both"/>
        <w:rPr>
          <w:rFonts w:ascii="Times New Roman" w:hAnsi="Times New Roman"/>
          <w:sz w:val="28"/>
          <w:szCs w:val="24"/>
          <w:lang w:eastAsia="ru-RU"/>
        </w:rPr>
      </w:pPr>
      <w:r w:rsidRPr="00A071F0">
        <w:rPr>
          <w:rFonts w:ascii="Times New Roman" w:hAnsi="Times New Roman"/>
          <w:sz w:val="28"/>
          <w:szCs w:val="24"/>
          <w:lang w:eastAsia="ru-RU"/>
        </w:rPr>
        <w:t>Режим повседневной деятельности – при нормальной гидрологической обстановки.</w:t>
      </w:r>
    </w:p>
    <w:p w:rsidR="002D1E45" w:rsidRPr="00A071F0" w:rsidRDefault="002D1E45" w:rsidP="00D05D06">
      <w:pPr>
        <w:numPr>
          <w:ilvl w:val="0"/>
          <w:numId w:val="86"/>
        </w:numPr>
        <w:spacing w:after="0" w:line="240" w:lineRule="auto"/>
        <w:contextualSpacing/>
        <w:jc w:val="both"/>
        <w:rPr>
          <w:rFonts w:ascii="Times New Roman" w:hAnsi="Times New Roman"/>
          <w:sz w:val="28"/>
          <w:szCs w:val="24"/>
          <w:lang w:eastAsia="ru-RU"/>
        </w:rPr>
      </w:pPr>
      <w:r w:rsidRPr="00A071F0">
        <w:rPr>
          <w:rFonts w:ascii="Times New Roman" w:hAnsi="Times New Roman"/>
          <w:sz w:val="28"/>
          <w:szCs w:val="24"/>
          <w:lang w:eastAsia="ru-RU"/>
        </w:rPr>
        <w:t>Режим повышенной готовности – при ухудшении гидрологической обстановки и</w:t>
      </w:r>
      <w:r>
        <w:rPr>
          <w:rFonts w:ascii="Times New Roman" w:hAnsi="Times New Roman"/>
          <w:sz w:val="28"/>
          <w:szCs w:val="24"/>
          <w:lang w:eastAsia="ru-RU"/>
        </w:rPr>
        <w:t> </w:t>
      </w:r>
      <w:r w:rsidRPr="00A071F0">
        <w:rPr>
          <w:rFonts w:ascii="Times New Roman" w:hAnsi="Times New Roman"/>
          <w:sz w:val="28"/>
          <w:szCs w:val="24"/>
          <w:lang w:eastAsia="ru-RU"/>
        </w:rPr>
        <w:t>при получении прогноза о</w:t>
      </w:r>
      <w:r>
        <w:rPr>
          <w:rFonts w:ascii="Times New Roman" w:hAnsi="Times New Roman"/>
          <w:sz w:val="28"/>
          <w:szCs w:val="24"/>
          <w:lang w:eastAsia="ru-RU"/>
        </w:rPr>
        <w:t> </w:t>
      </w:r>
      <w:r w:rsidRPr="00A071F0">
        <w:rPr>
          <w:rFonts w:ascii="Times New Roman" w:hAnsi="Times New Roman"/>
          <w:sz w:val="28"/>
          <w:szCs w:val="24"/>
          <w:lang w:eastAsia="ru-RU"/>
        </w:rPr>
        <w:t>возможности возникновения чрезвычайной ситуации.</w:t>
      </w:r>
    </w:p>
    <w:p w:rsidR="002D1E45" w:rsidRPr="00A071F0" w:rsidRDefault="002D1E45" w:rsidP="00D05D06">
      <w:pPr>
        <w:numPr>
          <w:ilvl w:val="0"/>
          <w:numId w:val="86"/>
        </w:numPr>
        <w:spacing w:after="0" w:line="240" w:lineRule="auto"/>
        <w:contextualSpacing/>
        <w:jc w:val="both"/>
        <w:rPr>
          <w:rFonts w:ascii="Times New Roman" w:hAnsi="Times New Roman"/>
          <w:sz w:val="28"/>
          <w:szCs w:val="24"/>
          <w:lang w:eastAsia="ru-RU"/>
        </w:rPr>
      </w:pPr>
      <w:r w:rsidRPr="00A071F0">
        <w:rPr>
          <w:rFonts w:ascii="Times New Roman" w:hAnsi="Times New Roman"/>
          <w:sz w:val="28"/>
          <w:szCs w:val="24"/>
          <w:lang w:eastAsia="ru-RU"/>
        </w:rPr>
        <w:t>Режим чрезвычайной ситуации – при возникновении и</w:t>
      </w:r>
      <w:r>
        <w:rPr>
          <w:rFonts w:ascii="Times New Roman" w:hAnsi="Times New Roman"/>
          <w:sz w:val="28"/>
          <w:szCs w:val="24"/>
          <w:lang w:eastAsia="ru-RU"/>
        </w:rPr>
        <w:t> </w:t>
      </w:r>
      <w:r w:rsidRPr="00A071F0">
        <w:rPr>
          <w:rFonts w:ascii="Times New Roman" w:hAnsi="Times New Roman"/>
          <w:sz w:val="28"/>
          <w:szCs w:val="24"/>
          <w:lang w:eastAsia="ru-RU"/>
        </w:rPr>
        <w:t>во</w:t>
      </w:r>
      <w:r>
        <w:rPr>
          <w:rFonts w:ascii="Times New Roman" w:hAnsi="Times New Roman"/>
          <w:sz w:val="28"/>
          <w:szCs w:val="24"/>
          <w:lang w:eastAsia="ru-RU"/>
        </w:rPr>
        <w:t> </w:t>
      </w:r>
      <w:r w:rsidRPr="00A071F0">
        <w:rPr>
          <w:rFonts w:ascii="Times New Roman" w:hAnsi="Times New Roman"/>
          <w:sz w:val="28"/>
          <w:szCs w:val="24"/>
          <w:lang w:eastAsia="ru-RU"/>
        </w:rPr>
        <w:t>время ликвидации чрезвычайной ситуации.</w:t>
      </w:r>
    </w:p>
    <w:p w:rsidR="002D1E45" w:rsidRPr="00A071F0" w:rsidRDefault="002D1E45" w:rsidP="00A071F0">
      <w:pPr>
        <w:spacing w:after="0" w:line="240" w:lineRule="auto"/>
        <w:jc w:val="right"/>
        <w:rPr>
          <w:rFonts w:ascii="Times New Roman" w:hAnsi="Times New Roman"/>
          <w:sz w:val="28"/>
          <w:szCs w:val="28"/>
        </w:rPr>
      </w:pPr>
      <w:r w:rsidRPr="00A071F0">
        <w:rPr>
          <w:rFonts w:ascii="Times New Roman" w:hAnsi="Times New Roman"/>
          <w:sz w:val="28"/>
          <w:szCs w:val="28"/>
        </w:rPr>
        <w:t xml:space="preserve">Таблица </w:t>
      </w:r>
      <w:r w:rsidRPr="00A071F0">
        <w:rPr>
          <w:rFonts w:ascii="Times New Roman" w:hAnsi="Times New Roman"/>
          <w:sz w:val="28"/>
          <w:szCs w:val="28"/>
        </w:rPr>
        <w:fldChar w:fldCharType="begin"/>
      </w:r>
      <w:r w:rsidRPr="00A071F0">
        <w:rPr>
          <w:rFonts w:ascii="Times New Roman" w:hAnsi="Times New Roman"/>
          <w:sz w:val="28"/>
          <w:szCs w:val="28"/>
        </w:rPr>
        <w:instrText xml:space="preserve"> SEQ Таблица \* ARABIC </w:instrText>
      </w:r>
      <w:r w:rsidRPr="00A071F0">
        <w:rPr>
          <w:rFonts w:ascii="Times New Roman" w:hAnsi="Times New Roman"/>
          <w:sz w:val="28"/>
          <w:szCs w:val="28"/>
        </w:rPr>
        <w:fldChar w:fldCharType="separate"/>
      </w:r>
      <w:r>
        <w:rPr>
          <w:rFonts w:ascii="Times New Roman" w:hAnsi="Times New Roman"/>
          <w:noProof/>
          <w:sz w:val="28"/>
          <w:szCs w:val="28"/>
        </w:rPr>
        <w:t>69</w:t>
      </w:r>
      <w:r w:rsidRPr="00A071F0">
        <w:rPr>
          <w:rFonts w:ascii="Times New Roman" w:hAnsi="Times New Roman"/>
          <w:sz w:val="28"/>
          <w:szCs w:val="28"/>
        </w:rPr>
        <w:fldChar w:fldCharType="end"/>
      </w:r>
    </w:p>
    <w:p w:rsidR="002D1E45" w:rsidRPr="00A071F0" w:rsidRDefault="002D1E45" w:rsidP="00A071F0">
      <w:pPr>
        <w:spacing w:after="240" w:line="240" w:lineRule="auto"/>
        <w:jc w:val="center"/>
        <w:rPr>
          <w:rFonts w:ascii="Times New Roman" w:hAnsi="Times New Roman"/>
          <w:sz w:val="28"/>
          <w:szCs w:val="24"/>
          <w:lang w:eastAsia="ru-RU"/>
        </w:rPr>
      </w:pPr>
      <w:r w:rsidRPr="00A071F0">
        <w:rPr>
          <w:rFonts w:ascii="Times New Roman" w:hAnsi="Times New Roman"/>
          <w:sz w:val="28"/>
          <w:szCs w:val="24"/>
          <w:lang w:eastAsia="ru-RU"/>
        </w:rPr>
        <w:t>Перечень превентивных мероприятий при наводнениях</w:t>
      </w:r>
    </w:p>
    <w:tbl>
      <w:tblPr>
        <w:tblW w:w="52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tblPr>
      <w:tblGrid>
        <w:gridCol w:w="4601"/>
        <w:gridCol w:w="11060"/>
      </w:tblGrid>
      <w:tr w:rsidR="002D1E45" w:rsidRPr="00A071F0" w:rsidTr="001F6325">
        <w:trPr>
          <w:trHeight w:val="283"/>
          <w:tblHeader/>
          <w:jc w:val="center"/>
        </w:trPr>
        <w:tc>
          <w:tcPr>
            <w:tcW w:w="1469" w:type="pct"/>
            <w:vAlign w:val="center"/>
          </w:tcPr>
          <w:p w:rsidR="002D1E45" w:rsidRPr="00A071F0" w:rsidRDefault="002D1E45" w:rsidP="00A071F0">
            <w:pPr>
              <w:spacing w:after="0" w:line="240" w:lineRule="auto"/>
              <w:jc w:val="center"/>
              <w:rPr>
                <w:rFonts w:ascii="Times New Roman" w:hAnsi="Times New Roman"/>
                <w:sz w:val="20"/>
                <w:szCs w:val="20"/>
                <w:lang w:eastAsia="ru-RU"/>
              </w:rPr>
            </w:pPr>
            <w:r w:rsidRPr="00A071F0">
              <w:rPr>
                <w:rFonts w:ascii="Times New Roman" w:hAnsi="Times New Roman"/>
                <w:sz w:val="20"/>
                <w:szCs w:val="20"/>
                <w:lang w:eastAsia="ru-RU"/>
              </w:rPr>
              <w:t>Мероприятия регионального уровня</w:t>
            </w:r>
          </w:p>
        </w:tc>
        <w:tc>
          <w:tcPr>
            <w:tcW w:w="3531" w:type="pct"/>
            <w:vAlign w:val="center"/>
          </w:tcPr>
          <w:p w:rsidR="002D1E45" w:rsidRPr="00A071F0" w:rsidRDefault="002D1E45" w:rsidP="00A071F0">
            <w:pPr>
              <w:spacing w:after="0" w:line="240" w:lineRule="auto"/>
              <w:jc w:val="center"/>
              <w:rPr>
                <w:rFonts w:ascii="Times New Roman" w:hAnsi="Times New Roman"/>
                <w:sz w:val="20"/>
                <w:szCs w:val="20"/>
                <w:lang w:eastAsia="ru-RU"/>
              </w:rPr>
            </w:pPr>
            <w:r w:rsidRPr="00A071F0">
              <w:rPr>
                <w:rFonts w:ascii="Times New Roman" w:hAnsi="Times New Roman"/>
                <w:sz w:val="20"/>
                <w:szCs w:val="20"/>
                <w:lang w:eastAsia="ru-RU"/>
              </w:rPr>
              <w:t>Характеристика мероприятия, параметры их</w:t>
            </w:r>
            <w:r>
              <w:rPr>
                <w:rFonts w:ascii="Times New Roman" w:hAnsi="Times New Roman"/>
                <w:sz w:val="20"/>
                <w:szCs w:val="20"/>
                <w:lang w:eastAsia="ru-RU"/>
              </w:rPr>
              <w:t> </w:t>
            </w:r>
            <w:r w:rsidRPr="00A071F0">
              <w:rPr>
                <w:rFonts w:ascii="Times New Roman" w:hAnsi="Times New Roman"/>
                <w:sz w:val="20"/>
                <w:szCs w:val="20"/>
                <w:lang w:eastAsia="ru-RU"/>
              </w:rPr>
              <w:t>проведения</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Контроль за</w:t>
            </w:r>
            <w:r>
              <w:rPr>
                <w:rFonts w:ascii="Times New Roman" w:hAnsi="Times New Roman"/>
                <w:b/>
                <w:sz w:val="20"/>
                <w:szCs w:val="20"/>
                <w:lang w:eastAsia="ru-RU"/>
              </w:rPr>
              <w:t> </w:t>
            </w:r>
            <w:r w:rsidRPr="00A071F0">
              <w:rPr>
                <w:rFonts w:ascii="Times New Roman" w:hAnsi="Times New Roman"/>
                <w:b/>
                <w:sz w:val="20"/>
                <w:szCs w:val="20"/>
                <w:lang w:eastAsia="ru-RU"/>
              </w:rPr>
              <w:t>состоянием гидропостов на</w:t>
            </w:r>
            <w:r>
              <w:rPr>
                <w:rFonts w:ascii="Times New Roman" w:hAnsi="Times New Roman"/>
                <w:b/>
                <w:sz w:val="20"/>
                <w:szCs w:val="20"/>
                <w:lang w:eastAsia="ru-RU"/>
              </w:rPr>
              <w:t> </w:t>
            </w:r>
            <w:r w:rsidRPr="00A071F0">
              <w:rPr>
                <w:rFonts w:ascii="Times New Roman" w:hAnsi="Times New Roman"/>
                <w:b/>
                <w:sz w:val="20"/>
                <w:szCs w:val="20"/>
                <w:lang w:eastAsia="ru-RU"/>
              </w:rPr>
              <w:t>реках и</w:t>
            </w:r>
            <w:r>
              <w:rPr>
                <w:rFonts w:ascii="Times New Roman" w:hAnsi="Times New Roman"/>
                <w:b/>
                <w:sz w:val="20"/>
                <w:szCs w:val="20"/>
                <w:lang w:eastAsia="ru-RU"/>
              </w:rPr>
              <w:t> </w:t>
            </w:r>
            <w:r w:rsidRPr="00A071F0">
              <w:rPr>
                <w:rFonts w:ascii="Times New Roman" w:hAnsi="Times New Roman"/>
                <w:b/>
                <w:sz w:val="20"/>
                <w:szCs w:val="20"/>
                <w:lang w:eastAsia="ru-RU"/>
              </w:rPr>
              <w:t>водоёмах данной территории и</w:t>
            </w:r>
            <w:r>
              <w:rPr>
                <w:rFonts w:ascii="Times New Roman" w:hAnsi="Times New Roman"/>
                <w:b/>
                <w:sz w:val="20"/>
                <w:szCs w:val="20"/>
                <w:lang w:eastAsia="ru-RU"/>
              </w:rPr>
              <w:t> </w:t>
            </w:r>
            <w:r w:rsidRPr="00A071F0">
              <w:rPr>
                <w:rFonts w:ascii="Times New Roman" w:hAnsi="Times New Roman"/>
                <w:b/>
                <w:sz w:val="20"/>
                <w:szCs w:val="20"/>
                <w:lang w:eastAsia="ru-RU"/>
              </w:rPr>
              <w:t>принятие мер по</w:t>
            </w:r>
            <w:r>
              <w:rPr>
                <w:rFonts w:ascii="Times New Roman" w:hAnsi="Times New Roman"/>
                <w:b/>
                <w:sz w:val="20"/>
                <w:szCs w:val="20"/>
                <w:lang w:eastAsia="ru-RU"/>
              </w:rPr>
              <w:t> </w:t>
            </w:r>
            <w:r w:rsidRPr="00A071F0">
              <w:rPr>
                <w:rFonts w:ascii="Times New Roman" w:hAnsi="Times New Roman"/>
                <w:b/>
                <w:sz w:val="20"/>
                <w:szCs w:val="20"/>
                <w:lang w:eastAsia="ru-RU"/>
              </w:rPr>
              <w:t>его развитию и</w:t>
            </w:r>
            <w:r>
              <w:rPr>
                <w:rFonts w:ascii="Times New Roman" w:hAnsi="Times New Roman"/>
                <w:b/>
                <w:sz w:val="20"/>
                <w:szCs w:val="20"/>
                <w:lang w:eastAsia="ru-RU"/>
              </w:rPr>
              <w:t> </w:t>
            </w:r>
            <w:r w:rsidRPr="00A071F0">
              <w:rPr>
                <w:rFonts w:ascii="Times New Roman" w:hAnsi="Times New Roman"/>
                <w:b/>
                <w:sz w:val="20"/>
                <w:szCs w:val="20"/>
                <w:lang w:eastAsia="ru-RU"/>
              </w:rPr>
              <w:t>совершенствованию</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 xml:space="preserve">Режимы 1, 2. </w:t>
            </w:r>
            <w:r w:rsidRPr="00A071F0">
              <w:rPr>
                <w:rFonts w:ascii="Times New Roman" w:hAnsi="Times New Roman"/>
                <w:sz w:val="20"/>
                <w:szCs w:val="20"/>
                <w:lang w:eastAsia="ru-RU"/>
              </w:rPr>
              <w:t>Контроль за</w:t>
            </w:r>
            <w:r>
              <w:rPr>
                <w:rFonts w:ascii="Times New Roman" w:hAnsi="Times New Roman"/>
                <w:sz w:val="20"/>
                <w:szCs w:val="20"/>
                <w:lang w:eastAsia="ru-RU"/>
              </w:rPr>
              <w:t> </w:t>
            </w:r>
            <w:r w:rsidRPr="00A071F0">
              <w:rPr>
                <w:rFonts w:ascii="Times New Roman" w:hAnsi="Times New Roman"/>
                <w:sz w:val="20"/>
                <w:szCs w:val="20"/>
                <w:lang w:eastAsia="ru-RU"/>
              </w:rPr>
              <w:t>эффективностью функционирования Гидрометеослужбы (в т.ч. сети гидропостов) на</w:t>
            </w:r>
            <w:r>
              <w:rPr>
                <w:rFonts w:ascii="Times New Roman" w:hAnsi="Times New Roman"/>
                <w:sz w:val="20"/>
                <w:szCs w:val="20"/>
                <w:lang w:eastAsia="ru-RU"/>
              </w:rPr>
              <w:t> </w:t>
            </w:r>
            <w:r w:rsidRPr="00A071F0">
              <w:rPr>
                <w:rFonts w:ascii="Times New Roman" w:hAnsi="Times New Roman"/>
                <w:sz w:val="20"/>
                <w:szCs w:val="20"/>
                <w:lang w:eastAsia="ru-RU"/>
              </w:rPr>
              <w:t>реках и</w:t>
            </w:r>
            <w:r>
              <w:rPr>
                <w:rFonts w:ascii="Times New Roman" w:hAnsi="Times New Roman"/>
                <w:sz w:val="20"/>
                <w:szCs w:val="20"/>
                <w:lang w:eastAsia="ru-RU"/>
              </w:rPr>
              <w:t> </w:t>
            </w:r>
            <w:r w:rsidRPr="00A071F0">
              <w:rPr>
                <w:rFonts w:ascii="Times New Roman" w:hAnsi="Times New Roman"/>
                <w:sz w:val="20"/>
                <w:szCs w:val="20"/>
                <w:lang w:eastAsia="ru-RU"/>
              </w:rPr>
              <w:t>водоёмах РФ</w:t>
            </w:r>
            <w:r>
              <w:rPr>
                <w:rFonts w:ascii="Times New Roman" w:hAnsi="Times New Roman"/>
                <w:sz w:val="20"/>
                <w:szCs w:val="20"/>
                <w:lang w:eastAsia="ru-RU"/>
              </w:rPr>
              <w:t> </w:t>
            </w:r>
            <w:r w:rsidRPr="00A071F0">
              <w:rPr>
                <w:rFonts w:ascii="Times New Roman" w:hAnsi="Times New Roman"/>
                <w:sz w:val="20"/>
                <w:szCs w:val="20"/>
                <w:lang w:eastAsia="ru-RU"/>
              </w:rPr>
              <w:t>и</w:t>
            </w:r>
            <w:r>
              <w:rPr>
                <w:rFonts w:ascii="Times New Roman" w:hAnsi="Times New Roman"/>
                <w:sz w:val="20"/>
                <w:szCs w:val="20"/>
                <w:lang w:eastAsia="ru-RU"/>
              </w:rPr>
              <w:t> </w:t>
            </w:r>
            <w:r w:rsidRPr="00A071F0">
              <w:rPr>
                <w:rFonts w:ascii="Times New Roman" w:hAnsi="Times New Roman"/>
                <w:sz w:val="20"/>
                <w:szCs w:val="20"/>
                <w:lang w:eastAsia="ru-RU"/>
              </w:rPr>
              <w:t>принятие мер по</w:t>
            </w:r>
            <w:r>
              <w:rPr>
                <w:rFonts w:ascii="Times New Roman" w:hAnsi="Times New Roman"/>
                <w:sz w:val="20"/>
                <w:szCs w:val="20"/>
                <w:lang w:eastAsia="ru-RU"/>
              </w:rPr>
              <w:t> </w:t>
            </w:r>
            <w:r w:rsidRPr="00A071F0">
              <w:rPr>
                <w:rFonts w:ascii="Times New Roman" w:hAnsi="Times New Roman"/>
                <w:sz w:val="20"/>
                <w:szCs w:val="20"/>
                <w:lang w:eastAsia="ru-RU"/>
              </w:rPr>
              <w:t>её укреплению и</w:t>
            </w:r>
            <w:r>
              <w:rPr>
                <w:rFonts w:ascii="Times New Roman" w:hAnsi="Times New Roman"/>
                <w:sz w:val="20"/>
                <w:szCs w:val="20"/>
                <w:lang w:eastAsia="ru-RU"/>
              </w:rPr>
              <w:t> </w:t>
            </w:r>
            <w:r w:rsidRPr="00A071F0">
              <w:rPr>
                <w:rFonts w:ascii="Times New Roman" w:hAnsi="Times New Roman"/>
                <w:sz w:val="20"/>
                <w:szCs w:val="20"/>
                <w:lang w:eastAsia="ru-RU"/>
              </w:rPr>
              <w:t>совершенствованию: создание системы комплексных наблюдений, обеспечивающих непрерывный сбор прогностических данных для региональных отделений Гидрометцентра, оснащение цифровым оборудованием, средствами вычислительной техники, электронной и</w:t>
            </w:r>
            <w:r>
              <w:rPr>
                <w:rFonts w:ascii="Times New Roman" w:hAnsi="Times New Roman"/>
                <w:sz w:val="20"/>
                <w:szCs w:val="20"/>
                <w:lang w:eastAsia="ru-RU"/>
              </w:rPr>
              <w:t> </w:t>
            </w:r>
            <w:r w:rsidRPr="00A071F0">
              <w:rPr>
                <w:rFonts w:ascii="Times New Roman" w:hAnsi="Times New Roman"/>
                <w:sz w:val="20"/>
                <w:szCs w:val="20"/>
                <w:lang w:eastAsia="ru-RU"/>
              </w:rPr>
              <w:t>межкомпьютерной связью. Сохранение существующей сети гидропостов, выделение финансовых и</w:t>
            </w:r>
            <w:r>
              <w:rPr>
                <w:rFonts w:ascii="Times New Roman" w:hAnsi="Times New Roman"/>
                <w:sz w:val="20"/>
                <w:szCs w:val="20"/>
                <w:lang w:eastAsia="ru-RU"/>
              </w:rPr>
              <w:t> </w:t>
            </w:r>
            <w:r w:rsidRPr="00A071F0">
              <w:rPr>
                <w:rFonts w:ascii="Times New Roman" w:hAnsi="Times New Roman"/>
                <w:sz w:val="20"/>
                <w:szCs w:val="20"/>
                <w:lang w:eastAsia="ru-RU"/>
              </w:rPr>
              <w:t>материально-технических ресурсов для поддержания их</w:t>
            </w:r>
            <w:r>
              <w:rPr>
                <w:rFonts w:ascii="Times New Roman" w:hAnsi="Times New Roman"/>
                <w:sz w:val="20"/>
                <w:szCs w:val="20"/>
                <w:lang w:eastAsia="ru-RU"/>
              </w:rPr>
              <w:t> </w:t>
            </w:r>
            <w:r w:rsidRPr="00A071F0">
              <w:rPr>
                <w:rFonts w:ascii="Times New Roman" w:hAnsi="Times New Roman"/>
                <w:sz w:val="20"/>
                <w:szCs w:val="20"/>
                <w:lang w:eastAsia="ru-RU"/>
              </w:rPr>
              <w:t>функционирования.</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Создание, совершенствование и</w:t>
            </w:r>
            <w:r>
              <w:rPr>
                <w:rFonts w:ascii="Times New Roman" w:hAnsi="Times New Roman"/>
                <w:b/>
                <w:sz w:val="20"/>
                <w:szCs w:val="20"/>
                <w:lang w:eastAsia="ru-RU"/>
              </w:rPr>
              <w:t> </w:t>
            </w:r>
            <w:r w:rsidRPr="00A071F0">
              <w:rPr>
                <w:rFonts w:ascii="Times New Roman" w:hAnsi="Times New Roman"/>
                <w:b/>
                <w:sz w:val="20"/>
                <w:szCs w:val="20"/>
                <w:lang w:eastAsia="ru-RU"/>
              </w:rPr>
              <w:t>обеспечение функционирования системы непрерывного наблюдения за</w:t>
            </w:r>
            <w:r>
              <w:rPr>
                <w:rFonts w:ascii="Times New Roman" w:hAnsi="Times New Roman"/>
                <w:b/>
                <w:sz w:val="20"/>
                <w:szCs w:val="20"/>
                <w:lang w:eastAsia="ru-RU"/>
              </w:rPr>
              <w:t> </w:t>
            </w:r>
            <w:r w:rsidRPr="00A071F0">
              <w:rPr>
                <w:rFonts w:ascii="Times New Roman" w:hAnsi="Times New Roman"/>
                <w:b/>
                <w:sz w:val="20"/>
                <w:szCs w:val="20"/>
                <w:lang w:eastAsia="ru-RU"/>
              </w:rPr>
              <w:t>гидрологической обстановкой на</w:t>
            </w:r>
            <w:r>
              <w:rPr>
                <w:rFonts w:ascii="Times New Roman" w:hAnsi="Times New Roman"/>
                <w:b/>
                <w:sz w:val="20"/>
                <w:szCs w:val="20"/>
                <w:lang w:eastAsia="ru-RU"/>
              </w:rPr>
              <w:t> </w:t>
            </w:r>
            <w:r w:rsidRPr="00A071F0">
              <w:rPr>
                <w:rFonts w:ascii="Times New Roman" w:hAnsi="Times New Roman"/>
                <w:b/>
                <w:sz w:val="20"/>
                <w:szCs w:val="20"/>
                <w:lang w:eastAsia="ru-RU"/>
              </w:rPr>
              <w:t>реках и</w:t>
            </w:r>
            <w:r>
              <w:rPr>
                <w:rFonts w:ascii="Times New Roman" w:hAnsi="Times New Roman"/>
                <w:b/>
                <w:sz w:val="20"/>
                <w:szCs w:val="20"/>
                <w:lang w:eastAsia="ru-RU"/>
              </w:rPr>
              <w:t> </w:t>
            </w:r>
            <w:r w:rsidRPr="00A071F0">
              <w:rPr>
                <w:rFonts w:ascii="Times New Roman" w:hAnsi="Times New Roman"/>
                <w:b/>
                <w:sz w:val="20"/>
                <w:szCs w:val="20"/>
                <w:lang w:eastAsia="ru-RU"/>
              </w:rPr>
              <w:t>водоёмах данной территории и</w:t>
            </w:r>
            <w:r>
              <w:rPr>
                <w:rFonts w:ascii="Times New Roman" w:hAnsi="Times New Roman"/>
                <w:b/>
                <w:sz w:val="20"/>
                <w:szCs w:val="20"/>
                <w:lang w:eastAsia="ru-RU"/>
              </w:rPr>
              <w:t> </w:t>
            </w:r>
            <w:r w:rsidRPr="00A071F0">
              <w:rPr>
                <w:rFonts w:ascii="Times New Roman" w:hAnsi="Times New Roman"/>
                <w:b/>
                <w:sz w:val="20"/>
                <w:szCs w:val="20"/>
                <w:lang w:eastAsia="ru-RU"/>
              </w:rPr>
              <w:t>оповещения об</w:t>
            </w:r>
            <w:r>
              <w:rPr>
                <w:rFonts w:ascii="Times New Roman" w:hAnsi="Times New Roman"/>
                <w:b/>
                <w:sz w:val="20"/>
                <w:szCs w:val="20"/>
                <w:lang w:eastAsia="ru-RU"/>
              </w:rPr>
              <w:t> </w:t>
            </w:r>
            <w:r w:rsidRPr="00A071F0">
              <w:rPr>
                <w:rFonts w:ascii="Times New Roman" w:hAnsi="Times New Roman"/>
                <w:b/>
                <w:sz w:val="20"/>
                <w:szCs w:val="20"/>
                <w:lang w:eastAsia="ru-RU"/>
              </w:rPr>
              <w:t>угрозе наводнения</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Режимы 1, 2.</w:t>
            </w:r>
            <w:r w:rsidRPr="00A071F0">
              <w:rPr>
                <w:rFonts w:ascii="Times New Roman" w:hAnsi="Times New Roman"/>
                <w:sz w:val="20"/>
                <w:szCs w:val="20"/>
                <w:lang w:eastAsia="ru-RU"/>
              </w:rPr>
              <w:t xml:space="preserve"> Использование данных традиционных и</w:t>
            </w:r>
            <w:r>
              <w:rPr>
                <w:rFonts w:ascii="Times New Roman" w:hAnsi="Times New Roman"/>
                <w:sz w:val="20"/>
                <w:szCs w:val="20"/>
                <w:lang w:eastAsia="ru-RU"/>
              </w:rPr>
              <w:t> </w:t>
            </w:r>
            <w:r w:rsidRPr="00A071F0">
              <w:rPr>
                <w:rFonts w:ascii="Times New Roman" w:hAnsi="Times New Roman"/>
                <w:sz w:val="20"/>
                <w:szCs w:val="20"/>
                <w:lang w:eastAsia="ru-RU"/>
              </w:rPr>
              <w:t>автоматизированных гидрометрических постов Гидрометцентра, показаний сети метеорологических радаров, данных спутникового наблюдения. Контроль за</w:t>
            </w:r>
            <w:r>
              <w:rPr>
                <w:rFonts w:ascii="Times New Roman" w:hAnsi="Times New Roman"/>
                <w:sz w:val="20"/>
                <w:szCs w:val="20"/>
                <w:lang w:eastAsia="ru-RU"/>
              </w:rPr>
              <w:t> </w:t>
            </w:r>
            <w:r w:rsidRPr="00A071F0">
              <w:rPr>
                <w:rFonts w:ascii="Times New Roman" w:hAnsi="Times New Roman"/>
                <w:sz w:val="20"/>
                <w:szCs w:val="20"/>
                <w:lang w:eastAsia="ru-RU"/>
              </w:rPr>
              <w:t>не</w:t>
            </w:r>
            <w:r>
              <w:rPr>
                <w:rFonts w:ascii="Times New Roman" w:hAnsi="Times New Roman"/>
                <w:sz w:val="20"/>
                <w:szCs w:val="20"/>
                <w:lang w:eastAsia="ru-RU"/>
              </w:rPr>
              <w:t> </w:t>
            </w:r>
            <w:r w:rsidRPr="00A071F0">
              <w:rPr>
                <w:rFonts w:ascii="Times New Roman" w:hAnsi="Times New Roman"/>
                <w:sz w:val="20"/>
                <w:szCs w:val="20"/>
                <w:lang w:eastAsia="ru-RU"/>
              </w:rPr>
              <w:t>превышением наблюдаемых параметров критических для конкретных ГТС, выдача предупреждения на</w:t>
            </w:r>
            <w:r>
              <w:rPr>
                <w:rFonts w:ascii="Times New Roman" w:hAnsi="Times New Roman"/>
                <w:sz w:val="20"/>
                <w:szCs w:val="20"/>
                <w:lang w:eastAsia="ru-RU"/>
              </w:rPr>
              <w:t> </w:t>
            </w:r>
            <w:r w:rsidRPr="00A071F0">
              <w:rPr>
                <w:rFonts w:ascii="Times New Roman" w:hAnsi="Times New Roman"/>
                <w:sz w:val="20"/>
                <w:szCs w:val="20"/>
                <w:lang w:eastAsia="ru-RU"/>
              </w:rPr>
              <w:t>проведение сброса воды по</w:t>
            </w:r>
            <w:r>
              <w:rPr>
                <w:rFonts w:ascii="Times New Roman" w:hAnsi="Times New Roman"/>
                <w:sz w:val="20"/>
                <w:szCs w:val="20"/>
                <w:lang w:eastAsia="ru-RU"/>
              </w:rPr>
              <w:t> </w:t>
            </w:r>
            <w:r w:rsidRPr="00A071F0">
              <w:rPr>
                <w:rFonts w:ascii="Times New Roman" w:hAnsi="Times New Roman"/>
                <w:sz w:val="20"/>
                <w:szCs w:val="20"/>
                <w:lang w:eastAsia="ru-RU"/>
              </w:rPr>
              <w:t>результатам наблюдения и</w:t>
            </w:r>
            <w:r>
              <w:rPr>
                <w:rFonts w:ascii="Times New Roman" w:hAnsi="Times New Roman"/>
                <w:sz w:val="20"/>
                <w:szCs w:val="20"/>
                <w:lang w:eastAsia="ru-RU"/>
              </w:rPr>
              <w:t> </w:t>
            </w:r>
            <w:r w:rsidRPr="00A071F0">
              <w:rPr>
                <w:rFonts w:ascii="Times New Roman" w:hAnsi="Times New Roman"/>
                <w:sz w:val="20"/>
                <w:szCs w:val="20"/>
                <w:lang w:eastAsia="ru-RU"/>
              </w:rPr>
              <w:t>расчётов. Финансирование и</w:t>
            </w:r>
            <w:r>
              <w:rPr>
                <w:rFonts w:ascii="Times New Roman" w:hAnsi="Times New Roman"/>
                <w:sz w:val="20"/>
                <w:szCs w:val="20"/>
                <w:lang w:eastAsia="ru-RU"/>
              </w:rPr>
              <w:t> </w:t>
            </w:r>
            <w:r w:rsidRPr="00A071F0">
              <w:rPr>
                <w:rFonts w:ascii="Times New Roman" w:hAnsi="Times New Roman"/>
                <w:sz w:val="20"/>
                <w:szCs w:val="20"/>
                <w:lang w:eastAsia="ru-RU"/>
              </w:rPr>
              <w:t>техническое перевооружение системы наблюдения. Автоматизация процесса контроля за</w:t>
            </w:r>
            <w:r>
              <w:rPr>
                <w:rFonts w:ascii="Times New Roman" w:hAnsi="Times New Roman"/>
                <w:sz w:val="20"/>
                <w:szCs w:val="20"/>
                <w:lang w:eastAsia="ru-RU"/>
              </w:rPr>
              <w:t> </w:t>
            </w:r>
            <w:r w:rsidRPr="00A071F0">
              <w:rPr>
                <w:rFonts w:ascii="Times New Roman" w:hAnsi="Times New Roman"/>
                <w:sz w:val="20"/>
                <w:szCs w:val="20"/>
                <w:lang w:eastAsia="ru-RU"/>
              </w:rPr>
              <w:t>состоянием плотин, дамб и</w:t>
            </w:r>
            <w:r>
              <w:rPr>
                <w:rFonts w:ascii="Times New Roman" w:hAnsi="Times New Roman"/>
                <w:sz w:val="20"/>
                <w:szCs w:val="20"/>
                <w:lang w:eastAsia="ru-RU"/>
              </w:rPr>
              <w:t> </w:t>
            </w:r>
            <w:r w:rsidRPr="00A071F0">
              <w:rPr>
                <w:rFonts w:ascii="Times New Roman" w:hAnsi="Times New Roman"/>
                <w:sz w:val="20"/>
                <w:szCs w:val="20"/>
                <w:lang w:eastAsia="ru-RU"/>
              </w:rPr>
              <w:t>т.п. Согласование времени сброса воды из</w:t>
            </w:r>
            <w:r>
              <w:rPr>
                <w:rFonts w:ascii="Times New Roman" w:hAnsi="Times New Roman"/>
                <w:sz w:val="20"/>
                <w:szCs w:val="20"/>
                <w:lang w:eastAsia="ru-RU"/>
              </w:rPr>
              <w:t> </w:t>
            </w:r>
            <w:r w:rsidRPr="00A071F0">
              <w:rPr>
                <w:rFonts w:ascii="Times New Roman" w:hAnsi="Times New Roman"/>
                <w:sz w:val="20"/>
                <w:szCs w:val="20"/>
                <w:lang w:eastAsia="ru-RU"/>
              </w:rPr>
              <w:t>водохранилищ. Информирование и</w:t>
            </w:r>
            <w:r>
              <w:rPr>
                <w:rFonts w:ascii="Times New Roman" w:hAnsi="Times New Roman"/>
                <w:sz w:val="20"/>
                <w:szCs w:val="20"/>
                <w:lang w:eastAsia="ru-RU"/>
              </w:rPr>
              <w:t> </w:t>
            </w:r>
            <w:r w:rsidRPr="00A071F0">
              <w:rPr>
                <w:rFonts w:ascii="Times New Roman" w:hAnsi="Times New Roman"/>
                <w:sz w:val="20"/>
                <w:szCs w:val="20"/>
                <w:lang w:eastAsia="ru-RU"/>
              </w:rPr>
              <w:t>оповещение органов власти, ГОЧС и</w:t>
            </w:r>
            <w:r>
              <w:rPr>
                <w:rFonts w:ascii="Times New Roman" w:hAnsi="Times New Roman"/>
                <w:sz w:val="20"/>
                <w:szCs w:val="20"/>
                <w:lang w:eastAsia="ru-RU"/>
              </w:rPr>
              <w:t> </w:t>
            </w:r>
            <w:r w:rsidRPr="00A071F0">
              <w:rPr>
                <w:rFonts w:ascii="Times New Roman" w:hAnsi="Times New Roman"/>
                <w:sz w:val="20"/>
                <w:szCs w:val="20"/>
                <w:lang w:eastAsia="ru-RU"/>
              </w:rPr>
              <w:t xml:space="preserve">населения. </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Прогнозирование возможной обстановки при ожидаемом наводнении и</w:t>
            </w:r>
            <w:r>
              <w:rPr>
                <w:rFonts w:ascii="Times New Roman" w:hAnsi="Times New Roman"/>
                <w:b/>
                <w:sz w:val="20"/>
                <w:szCs w:val="20"/>
                <w:lang w:eastAsia="ru-RU"/>
              </w:rPr>
              <w:t> </w:t>
            </w:r>
            <w:r w:rsidRPr="00A071F0">
              <w:rPr>
                <w:rFonts w:ascii="Times New Roman" w:hAnsi="Times New Roman"/>
                <w:b/>
                <w:sz w:val="20"/>
                <w:szCs w:val="20"/>
                <w:lang w:eastAsia="ru-RU"/>
              </w:rPr>
              <w:t>оповещение о</w:t>
            </w:r>
            <w:r>
              <w:rPr>
                <w:rFonts w:ascii="Times New Roman" w:hAnsi="Times New Roman"/>
                <w:b/>
                <w:sz w:val="20"/>
                <w:szCs w:val="20"/>
                <w:lang w:eastAsia="ru-RU"/>
              </w:rPr>
              <w:t> </w:t>
            </w:r>
            <w:r w:rsidRPr="00A071F0">
              <w:rPr>
                <w:rFonts w:ascii="Times New Roman" w:hAnsi="Times New Roman"/>
                <w:b/>
                <w:sz w:val="20"/>
                <w:szCs w:val="20"/>
                <w:lang w:eastAsia="ru-RU"/>
              </w:rPr>
              <w:t>результатах прогноза органов власти, учреждений, организаций, предприятий и</w:t>
            </w:r>
            <w:r>
              <w:rPr>
                <w:rFonts w:ascii="Times New Roman" w:hAnsi="Times New Roman"/>
                <w:b/>
                <w:sz w:val="20"/>
                <w:szCs w:val="20"/>
                <w:lang w:eastAsia="ru-RU"/>
              </w:rPr>
              <w:t> </w:t>
            </w:r>
            <w:r w:rsidRPr="00A071F0">
              <w:rPr>
                <w:rFonts w:ascii="Times New Roman" w:hAnsi="Times New Roman"/>
                <w:b/>
                <w:sz w:val="20"/>
                <w:szCs w:val="20"/>
                <w:lang w:eastAsia="ru-RU"/>
              </w:rPr>
              <w:t>населения</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Режимы 1, 2.</w:t>
            </w:r>
            <w:r w:rsidRPr="00A071F0">
              <w:rPr>
                <w:rFonts w:ascii="Times New Roman" w:hAnsi="Times New Roman"/>
                <w:sz w:val="20"/>
                <w:szCs w:val="20"/>
                <w:lang w:eastAsia="ru-RU"/>
              </w:rPr>
              <w:t xml:space="preserve"> Проведение расчётов по</w:t>
            </w:r>
            <w:r>
              <w:rPr>
                <w:rFonts w:ascii="Times New Roman" w:hAnsi="Times New Roman"/>
                <w:sz w:val="20"/>
                <w:szCs w:val="20"/>
                <w:lang w:eastAsia="ru-RU"/>
              </w:rPr>
              <w:t> </w:t>
            </w:r>
            <w:r w:rsidRPr="00A071F0">
              <w:rPr>
                <w:rFonts w:ascii="Times New Roman" w:hAnsi="Times New Roman"/>
                <w:sz w:val="20"/>
                <w:szCs w:val="20"/>
                <w:lang w:eastAsia="ru-RU"/>
              </w:rPr>
              <w:t>известным методикам, моделирование гидрологических процессов с</w:t>
            </w:r>
            <w:r>
              <w:rPr>
                <w:rFonts w:ascii="Times New Roman" w:hAnsi="Times New Roman"/>
                <w:sz w:val="20"/>
                <w:szCs w:val="20"/>
                <w:lang w:eastAsia="ru-RU"/>
              </w:rPr>
              <w:t> </w:t>
            </w:r>
            <w:r w:rsidRPr="00A071F0">
              <w:rPr>
                <w:rFonts w:ascii="Times New Roman" w:hAnsi="Times New Roman"/>
                <w:sz w:val="20"/>
                <w:szCs w:val="20"/>
                <w:lang w:eastAsia="ru-RU"/>
              </w:rPr>
              <w:t>использованием моделей и</w:t>
            </w:r>
            <w:r>
              <w:rPr>
                <w:rFonts w:ascii="Times New Roman" w:hAnsi="Times New Roman"/>
                <w:sz w:val="20"/>
                <w:szCs w:val="20"/>
                <w:lang w:eastAsia="ru-RU"/>
              </w:rPr>
              <w:t> </w:t>
            </w:r>
            <w:r w:rsidRPr="00A071F0">
              <w:rPr>
                <w:rFonts w:ascii="Times New Roman" w:hAnsi="Times New Roman"/>
                <w:sz w:val="20"/>
                <w:szCs w:val="20"/>
                <w:lang w:eastAsia="ru-RU"/>
              </w:rPr>
              <w:t>режимов реального времени. Проверка и</w:t>
            </w:r>
            <w:r>
              <w:rPr>
                <w:rFonts w:ascii="Times New Roman" w:hAnsi="Times New Roman"/>
                <w:sz w:val="20"/>
                <w:szCs w:val="20"/>
                <w:lang w:eastAsia="ru-RU"/>
              </w:rPr>
              <w:t> </w:t>
            </w:r>
            <w:r w:rsidRPr="00A071F0">
              <w:rPr>
                <w:rFonts w:ascii="Times New Roman" w:hAnsi="Times New Roman"/>
                <w:sz w:val="20"/>
                <w:szCs w:val="20"/>
                <w:lang w:eastAsia="ru-RU"/>
              </w:rPr>
              <w:t>уточнение проектных решений с</w:t>
            </w:r>
            <w:r>
              <w:rPr>
                <w:rFonts w:ascii="Times New Roman" w:hAnsi="Times New Roman"/>
                <w:sz w:val="20"/>
                <w:szCs w:val="20"/>
                <w:lang w:eastAsia="ru-RU"/>
              </w:rPr>
              <w:t> </w:t>
            </w:r>
            <w:r w:rsidRPr="00A071F0">
              <w:rPr>
                <w:rFonts w:ascii="Times New Roman" w:hAnsi="Times New Roman"/>
                <w:sz w:val="20"/>
                <w:szCs w:val="20"/>
                <w:lang w:eastAsia="ru-RU"/>
              </w:rPr>
              <w:t>учётом последних методических разработок. Задействование ГИС региональных центров ГОЧС. Доклад результатов расчёта (прогноза) руководству МЧС, доведение его до</w:t>
            </w:r>
            <w:r>
              <w:rPr>
                <w:rFonts w:ascii="Times New Roman" w:hAnsi="Times New Roman"/>
                <w:sz w:val="20"/>
                <w:szCs w:val="20"/>
                <w:lang w:eastAsia="ru-RU"/>
              </w:rPr>
              <w:t> </w:t>
            </w:r>
            <w:r w:rsidRPr="00A071F0">
              <w:rPr>
                <w:rFonts w:ascii="Times New Roman" w:hAnsi="Times New Roman"/>
                <w:sz w:val="20"/>
                <w:szCs w:val="20"/>
                <w:lang w:eastAsia="ru-RU"/>
              </w:rPr>
              <w:t>ГУ</w:t>
            </w:r>
            <w:r>
              <w:rPr>
                <w:rFonts w:ascii="Times New Roman" w:hAnsi="Times New Roman"/>
                <w:sz w:val="20"/>
                <w:szCs w:val="20"/>
                <w:lang w:eastAsia="ru-RU"/>
              </w:rPr>
              <w:t> </w:t>
            </w:r>
            <w:r w:rsidRPr="00A071F0">
              <w:rPr>
                <w:rFonts w:ascii="Times New Roman" w:hAnsi="Times New Roman"/>
                <w:sz w:val="20"/>
                <w:szCs w:val="20"/>
                <w:lang w:eastAsia="ru-RU"/>
              </w:rPr>
              <w:t>ГОЧС, органов власти на</w:t>
            </w:r>
            <w:r>
              <w:rPr>
                <w:rFonts w:ascii="Times New Roman" w:hAnsi="Times New Roman"/>
                <w:sz w:val="20"/>
                <w:szCs w:val="20"/>
                <w:lang w:eastAsia="ru-RU"/>
              </w:rPr>
              <w:t> </w:t>
            </w:r>
            <w:r w:rsidRPr="00A071F0">
              <w:rPr>
                <w:rFonts w:ascii="Times New Roman" w:hAnsi="Times New Roman"/>
                <w:sz w:val="20"/>
                <w:szCs w:val="20"/>
                <w:lang w:eastAsia="ru-RU"/>
              </w:rPr>
              <w:t>местах. В</w:t>
            </w:r>
            <w:r>
              <w:rPr>
                <w:rFonts w:ascii="Times New Roman" w:hAnsi="Times New Roman"/>
                <w:sz w:val="20"/>
                <w:szCs w:val="20"/>
                <w:lang w:eastAsia="ru-RU"/>
              </w:rPr>
              <w:t> </w:t>
            </w:r>
            <w:r w:rsidRPr="00A071F0">
              <w:rPr>
                <w:rFonts w:ascii="Times New Roman" w:hAnsi="Times New Roman"/>
                <w:sz w:val="20"/>
                <w:szCs w:val="20"/>
                <w:lang w:eastAsia="ru-RU"/>
              </w:rPr>
              <w:t>случае возникновения реальной угрозы затопления - оповещение органов власти, ГОЧС и</w:t>
            </w:r>
            <w:r>
              <w:rPr>
                <w:rFonts w:ascii="Times New Roman" w:hAnsi="Times New Roman"/>
                <w:sz w:val="20"/>
                <w:szCs w:val="20"/>
                <w:lang w:eastAsia="ru-RU"/>
              </w:rPr>
              <w:t> </w:t>
            </w:r>
            <w:r w:rsidRPr="00A071F0">
              <w:rPr>
                <w:rFonts w:ascii="Times New Roman" w:hAnsi="Times New Roman"/>
                <w:sz w:val="20"/>
                <w:szCs w:val="20"/>
                <w:lang w:eastAsia="ru-RU"/>
              </w:rPr>
              <w:t>населения.</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Подготовка к</w:t>
            </w:r>
            <w:r>
              <w:rPr>
                <w:rFonts w:ascii="Times New Roman" w:hAnsi="Times New Roman"/>
                <w:b/>
                <w:sz w:val="20"/>
                <w:szCs w:val="20"/>
                <w:lang w:eastAsia="ru-RU"/>
              </w:rPr>
              <w:t> </w:t>
            </w:r>
            <w:r w:rsidRPr="00A071F0">
              <w:rPr>
                <w:rFonts w:ascii="Times New Roman" w:hAnsi="Times New Roman"/>
                <w:b/>
                <w:sz w:val="20"/>
                <w:szCs w:val="20"/>
                <w:lang w:eastAsia="ru-RU"/>
              </w:rPr>
              <w:t>проведению мероприятий по</w:t>
            </w:r>
            <w:r>
              <w:rPr>
                <w:rFonts w:ascii="Times New Roman" w:hAnsi="Times New Roman"/>
                <w:b/>
                <w:sz w:val="20"/>
                <w:szCs w:val="20"/>
                <w:lang w:eastAsia="ru-RU"/>
              </w:rPr>
              <w:t> </w:t>
            </w:r>
            <w:r w:rsidRPr="00A071F0">
              <w:rPr>
                <w:rFonts w:ascii="Times New Roman" w:hAnsi="Times New Roman"/>
                <w:b/>
                <w:sz w:val="20"/>
                <w:szCs w:val="20"/>
                <w:lang w:eastAsia="ru-RU"/>
              </w:rPr>
              <w:t>эвакуации населения и</w:t>
            </w:r>
            <w:r>
              <w:rPr>
                <w:rFonts w:ascii="Times New Roman" w:hAnsi="Times New Roman"/>
                <w:b/>
                <w:sz w:val="20"/>
                <w:szCs w:val="20"/>
                <w:lang w:eastAsia="ru-RU"/>
              </w:rPr>
              <w:t> </w:t>
            </w:r>
            <w:r w:rsidRPr="00A071F0">
              <w:rPr>
                <w:rFonts w:ascii="Times New Roman" w:hAnsi="Times New Roman"/>
                <w:b/>
                <w:sz w:val="20"/>
                <w:szCs w:val="20"/>
                <w:lang w:eastAsia="ru-RU"/>
              </w:rPr>
              <w:t>материальных ценностей из</w:t>
            </w:r>
            <w:r>
              <w:rPr>
                <w:rFonts w:ascii="Times New Roman" w:hAnsi="Times New Roman"/>
                <w:b/>
                <w:sz w:val="20"/>
                <w:szCs w:val="20"/>
                <w:lang w:eastAsia="ru-RU"/>
              </w:rPr>
              <w:t> </w:t>
            </w:r>
            <w:r w:rsidRPr="00A071F0">
              <w:rPr>
                <w:rFonts w:ascii="Times New Roman" w:hAnsi="Times New Roman"/>
                <w:b/>
                <w:sz w:val="20"/>
                <w:szCs w:val="20"/>
                <w:lang w:eastAsia="ru-RU"/>
              </w:rPr>
              <w:t>зон возможного затопления (уточнение расчёта сил и</w:t>
            </w:r>
            <w:r>
              <w:rPr>
                <w:rFonts w:ascii="Times New Roman" w:hAnsi="Times New Roman"/>
                <w:b/>
                <w:sz w:val="20"/>
                <w:szCs w:val="20"/>
                <w:lang w:eastAsia="ru-RU"/>
              </w:rPr>
              <w:t> </w:t>
            </w:r>
            <w:r w:rsidRPr="00A071F0">
              <w:rPr>
                <w:rFonts w:ascii="Times New Roman" w:hAnsi="Times New Roman"/>
                <w:b/>
                <w:sz w:val="20"/>
                <w:szCs w:val="20"/>
                <w:lang w:eastAsia="ru-RU"/>
              </w:rPr>
              <w:t>средств; организация взаимодействия с</w:t>
            </w:r>
            <w:r>
              <w:rPr>
                <w:rFonts w:ascii="Times New Roman" w:hAnsi="Times New Roman"/>
                <w:b/>
                <w:sz w:val="20"/>
                <w:szCs w:val="20"/>
                <w:lang w:eastAsia="ru-RU"/>
              </w:rPr>
              <w:t> </w:t>
            </w:r>
            <w:r w:rsidRPr="00A071F0">
              <w:rPr>
                <w:rFonts w:ascii="Times New Roman" w:hAnsi="Times New Roman"/>
                <w:b/>
                <w:sz w:val="20"/>
                <w:szCs w:val="20"/>
                <w:lang w:eastAsia="ru-RU"/>
              </w:rPr>
              <w:t>воинскими частями; проведение тренировок по</w:t>
            </w:r>
            <w:r>
              <w:rPr>
                <w:rFonts w:ascii="Times New Roman" w:hAnsi="Times New Roman"/>
                <w:b/>
                <w:sz w:val="20"/>
                <w:szCs w:val="20"/>
                <w:lang w:eastAsia="ru-RU"/>
              </w:rPr>
              <w:t> </w:t>
            </w:r>
            <w:r w:rsidRPr="00A071F0">
              <w:rPr>
                <w:rFonts w:ascii="Times New Roman" w:hAnsi="Times New Roman"/>
                <w:b/>
                <w:sz w:val="20"/>
                <w:szCs w:val="20"/>
                <w:lang w:eastAsia="ru-RU"/>
              </w:rPr>
              <w:t>действиям в</w:t>
            </w:r>
            <w:r>
              <w:rPr>
                <w:rFonts w:ascii="Times New Roman" w:hAnsi="Times New Roman"/>
                <w:b/>
                <w:sz w:val="20"/>
                <w:szCs w:val="20"/>
                <w:lang w:eastAsia="ru-RU"/>
              </w:rPr>
              <w:t> </w:t>
            </w:r>
            <w:r w:rsidRPr="00A071F0">
              <w:rPr>
                <w:rFonts w:ascii="Times New Roman" w:hAnsi="Times New Roman"/>
                <w:b/>
                <w:sz w:val="20"/>
                <w:szCs w:val="20"/>
                <w:lang w:eastAsia="ru-RU"/>
              </w:rPr>
              <w:t>случае наводнения) и</w:t>
            </w:r>
            <w:r>
              <w:rPr>
                <w:rFonts w:ascii="Times New Roman" w:hAnsi="Times New Roman"/>
                <w:b/>
                <w:sz w:val="20"/>
                <w:szCs w:val="20"/>
                <w:lang w:eastAsia="ru-RU"/>
              </w:rPr>
              <w:t> </w:t>
            </w:r>
            <w:r w:rsidRPr="00A071F0">
              <w:rPr>
                <w:rFonts w:ascii="Times New Roman" w:hAnsi="Times New Roman"/>
                <w:b/>
                <w:sz w:val="20"/>
                <w:szCs w:val="20"/>
                <w:lang w:eastAsia="ru-RU"/>
              </w:rPr>
              <w:t>заблаговременное её проведение при угрозе ЧС.</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Режимы 1, 2, 3.</w:t>
            </w:r>
            <w:r w:rsidRPr="00A071F0">
              <w:rPr>
                <w:rFonts w:ascii="Times New Roman" w:hAnsi="Times New Roman"/>
                <w:sz w:val="20"/>
                <w:szCs w:val="20"/>
                <w:lang w:eastAsia="ru-RU"/>
              </w:rPr>
              <w:t xml:space="preserve"> Отработка планов проведения эвакуации. Определение мест размещения эвакуированного населения, порядка обеспечения его жизненно важных потребностей. Доведение до</w:t>
            </w:r>
            <w:r>
              <w:rPr>
                <w:rFonts w:ascii="Times New Roman" w:hAnsi="Times New Roman"/>
                <w:sz w:val="20"/>
                <w:szCs w:val="20"/>
                <w:lang w:eastAsia="ru-RU"/>
              </w:rPr>
              <w:t> </w:t>
            </w:r>
            <w:r w:rsidRPr="00A071F0">
              <w:rPr>
                <w:rFonts w:ascii="Times New Roman" w:hAnsi="Times New Roman"/>
                <w:sz w:val="20"/>
                <w:szCs w:val="20"/>
                <w:lang w:eastAsia="ru-RU"/>
              </w:rPr>
              <w:t>населения порядка действий и</w:t>
            </w:r>
            <w:r>
              <w:rPr>
                <w:rFonts w:ascii="Times New Roman" w:hAnsi="Times New Roman"/>
                <w:sz w:val="20"/>
                <w:szCs w:val="20"/>
                <w:lang w:eastAsia="ru-RU"/>
              </w:rPr>
              <w:t> </w:t>
            </w:r>
            <w:r w:rsidRPr="00A071F0">
              <w:rPr>
                <w:rFonts w:ascii="Times New Roman" w:hAnsi="Times New Roman"/>
                <w:sz w:val="20"/>
                <w:szCs w:val="20"/>
                <w:lang w:eastAsia="ru-RU"/>
              </w:rPr>
              <w:t>правил поведения в</w:t>
            </w:r>
            <w:r>
              <w:rPr>
                <w:rFonts w:ascii="Times New Roman" w:hAnsi="Times New Roman"/>
                <w:sz w:val="20"/>
                <w:szCs w:val="20"/>
                <w:lang w:eastAsia="ru-RU"/>
              </w:rPr>
              <w:t> </w:t>
            </w:r>
            <w:r w:rsidRPr="00A071F0">
              <w:rPr>
                <w:rFonts w:ascii="Times New Roman" w:hAnsi="Times New Roman"/>
                <w:sz w:val="20"/>
                <w:szCs w:val="20"/>
                <w:lang w:eastAsia="ru-RU"/>
              </w:rPr>
              <w:t>случае осуществления эвакуации. Установление порядка и</w:t>
            </w:r>
            <w:r>
              <w:rPr>
                <w:rFonts w:ascii="Times New Roman" w:hAnsi="Times New Roman"/>
                <w:sz w:val="20"/>
                <w:szCs w:val="20"/>
                <w:lang w:eastAsia="ru-RU"/>
              </w:rPr>
              <w:t> </w:t>
            </w:r>
            <w:r w:rsidRPr="00A071F0">
              <w:rPr>
                <w:rFonts w:ascii="Times New Roman" w:hAnsi="Times New Roman"/>
                <w:sz w:val="20"/>
                <w:szCs w:val="20"/>
                <w:lang w:eastAsia="ru-RU"/>
              </w:rPr>
              <w:t>норм обеспечения, определение источников финансирования эвакуационных мероприятий. Создание формирований транспортного и</w:t>
            </w:r>
            <w:r>
              <w:rPr>
                <w:rFonts w:ascii="Times New Roman" w:hAnsi="Times New Roman"/>
                <w:sz w:val="20"/>
                <w:szCs w:val="20"/>
                <w:lang w:eastAsia="ru-RU"/>
              </w:rPr>
              <w:t> </w:t>
            </w:r>
            <w:r w:rsidRPr="00A071F0">
              <w:rPr>
                <w:rFonts w:ascii="Times New Roman" w:hAnsi="Times New Roman"/>
                <w:sz w:val="20"/>
                <w:szCs w:val="20"/>
                <w:lang w:eastAsia="ru-RU"/>
              </w:rPr>
              <w:t>материального обеспечения. Проведение расчётов по</w:t>
            </w:r>
            <w:r>
              <w:rPr>
                <w:rFonts w:ascii="Times New Roman" w:hAnsi="Times New Roman"/>
                <w:sz w:val="20"/>
                <w:szCs w:val="20"/>
                <w:lang w:eastAsia="ru-RU"/>
              </w:rPr>
              <w:t> </w:t>
            </w:r>
            <w:r w:rsidRPr="00A071F0">
              <w:rPr>
                <w:rFonts w:ascii="Times New Roman" w:hAnsi="Times New Roman"/>
                <w:sz w:val="20"/>
                <w:szCs w:val="20"/>
                <w:lang w:eastAsia="ru-RU"/>
              </w:rPr>
              <w:t>определению потребности в</w:t>
            </w:r>
            <w:r>
              <w:rPr>
                <w:rFonts w:ascii="Times New Roman" w:hAnsi="Times New Roman"/>
                <w:sz w:val="20"/>
                <w:szCs w:val="20"/>
                <w:lang w:eastAsia="ru-RU"/>
              </w:rPr>
              <w:t> </w:t>
            </w:r>
            <w:r w:rsidRPr="00A071F0">
              <w:rPr>
                <w:rFonts w:ascii="Times New Roman" w:hAnsi="Times New Roman"/>
                <w:sz w:val="20"/>
                <w:szCs w:val="20"/>
                <w:lang w:eastAsia="ru-RU"/>
              </w:rPr>
              <w:t>транспортных средствах, ГСМ и</w:t>
            </w:r>
            <w:r>
              <w:rPr>
                <w:rFonts w:ascii="Times New Roman" w:hAnsi="Times New Roman"/>
                <w:sz w:val="20"/>
                <w:szCs w:val="20"/>
                <w:lang w:eastAsia="ru-RU"/>
              </w:rPr>
              <w:t> </w:t>
            </w:r>
            <w:r w:rsidRPr="00A071F0">
              <w:rPr>
                <w:rFonts w:ascii="Times New Roman" w:hAnsi="Times New Roman"/>
                <w:sz w:val="20"/>
                <w:szCs w:val="20"/>
                <w:lang w:eastAsia="ru-RU"/>
              </w:rPr>
              <w:t>ресурсах первоочередного жизнеобеспечения. Планомерное проведение эвакуации в</w:t>
            </w:r>
            <w:r>
              <w:rPr>
                <w:rFonts w:ascii="Times New Roman" w:hAnsi="Times New Roman"/>
                <w:sz w:val="20"/>
                <w:szCs w:val="20"/>
                <w:lang w:eastAsia="ru-RU"/>
              </w:rPr>
              <w:t> </w:t>
            </w:r>
            <w:r w:rsidRPr="00A071F0">
              <w:rPr>
                <w:rFonts w:ascii="Times New Roman" w:hAnsi="Times New Roman"/>
                <w:sz w:val="20"/>
                <w:szCs w:val="20"/>
                <w:lang w:eastAsia="ru-RU"/>
              </w:rPr>
              <w:t>случае возникновения реальной угрозы (по данным наблюдений и</w:t>
            </w:r>
            <w:r>
              <w:rPr>
                <w:rFonts w:ascii="Times New Roman" w:hAnsi="Times New Roman"/>
                <w:sz w:val="20"/>
                <w:szCs w:val="20"/>
                <w:lang w:eastAsia="ru-RU"/>
              </w:rPr>
              <w:t> </w:t>
            </w:r>
            <w:r w:rsidRPr="00A071F0">
              <w:rPr>
                <w:rFonts w:ascii="Times New Roman" w:hAnsi="Times New Roman"/>
                <w:sz w:val="20"/>
                <w:szCs w:val="20"/>
                <w:lang w:eastAsia="ru-RU"/>
              </w:rPr>
              <w:t>прогноза).</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Подсыпка и</w:t>
            </w:r>
            <w:r>
              <w:rPr>
                <w:rFonts w:ascii="Times New Roman" w:hAnsi="Times New Roman"/>
                <w:b/>
                <w:sz w:val="20"/>
                <w:szCs w:val="20"/>
                <w:lang w:eastAsia="ru-RU"/>
              </w:rPr>
              <w:t> </w:t>
            </w:r>
            <w:r w:rsidRPr="00A071F0">
              <w:rPr>
                <w:rFonts w:ascii="Times New Roman" w:hAnsi="Times New Roman"/>
                <w:b/>
                <w:sz w:val="20"/>
                <w:szCs w:val="20"/>
                <w:lang w:eastAsia="ru-RU"/>
              </w:rPr>
              <w:t>укрепление берегозащитных сооружений (ограждение дамб, обваловок и</w:t>
            </w:r>
            <w:r>
              <w:rPr>
                <w:rFonts w:ascii="Times New Roman" w:hAnsi="Times New Roman"/>
                <w:b/>
                <w:sz w:val="20"/>
                <w:szCs w:val="20"/>
                <w:lang w:eastAsia="ru-RU"/>
              </w:rPr>
              <w:t> </w:t>
            </w:r>
            <w:r w:rsidRPr="00A071F0">
              <w:rPr>
                <w:rFonts w:ascii="Times New Roman" w:hAnsi="Times New Roman"/>
                <w:b/>
                <w:sz w:val="20"/>
                <w:szCs w:val="20"/>
                <w:lang w:eastAsia="ru-RU"/>
              </w:rPr>
              <w:t>т.п.)</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 xml:space="preserve">Режимы 1, 2. </w:t>
            </w:r>
            <w:r w:rsidRPr="00A071F0">
              <w:rPr>
                <w:rFonts w:ascii="Times New Roman" w:hAnsi="Times New Roman"/>
                <w:sz w:val="20"/>
                <w:szCs w:val="20"/>
                <w:lang w:eastAsia="ru-RU"/>
              </w:rPr>
              <w:t>Наличие технических решений на</w:t>
            </w:r>
            <w:r>
              <w:rPr>
                <w:rFonts w:ascii="Times New Roman" w:hAnsi="Times New Roman"/>
                <w:sz w:val="20"/>
                <w:szCs w:val="20"/>
                <w:lang w:eastAsia="ru-RU"/>
              </w:rPr>
              <w:t> </w:t>
            </w:r>
            <w:r w:rsidRPr="00A071F0">
              <w:rPr>
                <w:rFonts w:ascii="Times New Roman" w:hAnsi="Times New Roman"/>
                <w:sz w:val="20"/>
                <w:szCs w:val="20"/>
                <w:lang w:eastAsia="ru-RU"/>
              </w:rPr>
              <w:t>проведение работ. Определение мест выемки грунта, бутовых материалов и</w:t>
            </w:r>
            <w:r>
              <w:rPr>
                <w:rFonts w:ascii="Times New Roman" w:hAnsi="Times New Roman"/>
                <w:sz w:val="20"/>
                <w:szCs w:val="20"/>
                <w:lang w:eastAsia="ru-RU"/>
              </w:rPr>
              <w:t> </w:t>
            </w:r>
            <w:r w:rsidRPr="00A071F0">
              <w:rPr>
                <w:rFonts w:ascii="Times New Roman" w:hAnsi="Times New Roman"/>
                <w:sz w:val="20"/>
                <w:szCs w:val="20"/>
                <w:lang w:eastAsia="ru-RU"/>
              </w:rPr>
              <w:t>пр. Определение подрядных организаций на</w:t>
            </w:r>
            <w:r>
              <w:rPr>
                <w:rFonts w:ascii="Times New Roman" w:hAnsi="Times New Roman"/>
                <w:sz w:val="20"/>
                <w:szCs w:val="20"/>
                <w:lang w:eastAsia="ru-RU"/>
              </w:rPr>
              <w:t> </w:t>
            </w:r>
            <w:r w:rsidRPr="00A071F0">
              <w:rPr>
                <w:rFonts w:ascii="Times New Roman" w:hAnsi="Times New Roman"/>
                <w:sz w:val="20"/>
                <w:szCs w:val="20"/>
                <w:lang w:eastAsia="ru-RU"/>
              </w:rPr>
              <w:t>производство работ. Планирование работ.</w:t>
            </w:r>
          </w:p>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sz w:val="20"/>
                <w:szCs w:val="20"/>
                <w:lang w:eastAsia="ru-RU"/>
              </w:rPr>
              <w:t>Обеспечение материально-техническими ресурсами работ по</w:t>
            </w:r>
            <w:r>
              <w:rPr>
                <w:rFonts w:ascii="Times New Roman" w:hAnsi="Times New Roman"/>
                <w:sz w:val="20"/>
                <w:szCs w:val="20"/>
                <w:lang w:eastAsia="ru-RU"/>
              </w:rPr>
              <w:t> </w:t>
            </w:r>
            <w:r w:rsidRPr="00A071F0">
              <w:rPr>
                <w:rFonts w:ascii="Times New Roman" w:hAnsi="Times New Roman"/>
                <w:sz w:val="20"/>
                <w:szCs w:val="20"/>
                <w:lang w:eastAsia="ru-RU"/>
              </w:rPr>
              <w:t>реконструкции ГТС.</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Контроль за</w:t>
            </w:r>
            <w:r>
              <w:rPr>
                <w:rFonts w:ascii="Times New Roman" w:hAnsi="Times New Roman"/>
                <w:b/>
                <w:sz w:val="20"/>
                <w:szCs w:val="20"/>
                <w:lang w:eastAsia="ru-RU"/>
              </w:rPr>
              <w:t> </w:t>
            </w:r>
            <w:r w:rsidRPr="00A071F0">
              <w:rPr>
                <w:rFonts w:ascii="Times New Roman" w:hAnsi="Times New Roman"/>
                <w:b/>
                <w:sz w:val="20"/>
                <w:szCs w:val="20"/>
                <w:lang w:eastAsia="ru-RU"/>
              </w:rPr>
              <w:t>работой водохранилищ по</w:t>
            </w:r>
            <w:r>
              <w:rPr>
                <w:rFonts w:ascii="Times New Roman" w:hAnsi="Times New Roman"/>
                <w:b/>
                <w:sz w:val="20"/>
                <w:szCs w:val="20"/>
                <w:lang w:eastAsia="ru-RU"/>
              </w:rPr>
              <w:t> </w:t>
            </w:r>
            <w:r w:rsidRPr="00A071F0">
              <w:rPr>
                <w:rFonts w:ascii="Times New Roman" w:hAnsi="Times New Roman"/>
                <w:b/>
                <w:sz w:val="20"/>
                <w:szCs w:val="20"/>
                <w:lang w:eastAsia="ru-RU"/>
              </w:rPr>
              <w:t>принятию паводковых вод и</w:t>
            </w:r>
            <w:r>
              <w:rPr>
                <w:rFonts w:ascii="Times New Roman" w:hAnsi="Times New Roman"/>
                <w:b/>
                <w:sz w:val="20"/>
                <w:szCs w:val="20"/>
                <w:lang w:eastAsia="ru-RU"/>
              </w:rPr>
              <w:t> </w:t>
            </w:r>
            <w:r w:rsidRPr="00A071F0">
              <w:rPr>
                <w:rFonts w:ascii="Times New Roman" w:hAnsi="Times New Roman"/>
                <w:b/>
                <w:sz w:val="20"/>
                <w:szCs w:val="20"/>
                <w:lang w:eastAsia="ru-RU"/>
              </w:rPr>
              <w:t>регулированию стока</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Режимы 1, 2.</w:t>
            </w:r>
            <w:r w:rsidRPr="00A071F0">
              <w:rPr>
                <w:rFonts w:ascii="Times New Roman" w:hAnsi="Times New Roman"/>
                <w:sz w:val="20"/>
                <w:szCs w:val="20"/>
                <w:lang w:eastAsia="ru-RU"/>
              </w:rPr>
              <w:t xml:space="preserve"> Сезонный сброс воды из</w:t>
            </w:r>
            <w:r>
              <w:rPr>
                <w:rFonts w:ascii="Times New Roman" w:hAnsi="Times New Roman"/>
                <w:sz w:val="20"/>
                <w:szCs w:val="20"/>
                <w:lang w:eastAsia="ru-RU"/>
              </w:rPr>
              <w:t> </w:t>
            </w:r>
            <w:r w:rsidRPr="00A071F0">
              <w:rPr>
                <w:rFonts w:ascii="Times New Roman" w:hAnsi="Times New Roman"/>
                <w:sz w:val="20"/>
                <w:szCs w:val="20"/>
                <w:lang w:eastAsia="ru-RU"/>
              </w:rPr>
              <w:t>верхнего бьефа в</w:t>
            </w:r>
            <w:r>
              <w:rPr>
                <w:rFonts w:ascii="Times New Roman" w:hAnsi="Times New Roman"/>
                <w:sz w:val="20"/>
                <w:szCs w:val="20"/>
                <w:lang w:eastAsia="ru-RU"/>
              </w:rPr>
              <w:t> </w:t>
            </w:r>
            <w:r w:rsidRPr="00A071F0">
              <w:rPr>
                <w:rFonts w:ascii="Times New Roman" w:hAnsi="Times New Roman"/>
                <w:sz w:val="20"/>
                <w:szCs w:val="20"/>
                <w:lang w:eastAsia="ru-RU"/>
              </w:rPr>
              <w:t>соответствии с</w:t>
            </w:r>
            <w:r>
              <w:rPr>
                <w:rFonts w:ascii="Times New Roman" w:hAnsi="Times New Roman"/>
                <w:sz w:val="20"/>
                <w:szCs w:val="20"/>
                <w:lang w:eastAsia="ru-RU"/>
              </w:rPr>
              <w:t> </w:t>
            </w:r>
            <w:r w:rsidRPr="00A071F0">
              <w:rPr>
                <w:rFonts w:ascii="Times New Roman" w:hAnsi="Times New Roman"/>
                <w:sz w:val="20"/>
                <w:szCs w:val="20"/>
                <w:lang w:eastAsia="ru-RU"/>
              </w:rPr>
              <w:t>расчётами по</w:t>
            </w:r>
            <w:r>
              <w:rPr>
                <w:rFonts w:ascii="Times New Roman" w:hAnsi="Times New Roman"/>
                <w:sz w:val="20"/>
                <w:szCs w:val="20"/>
                <w:lang w:eastAsia="ru-RU"/>
              </w:rPr>
              <w:t> </w:t>
            </w:r>
            <w:r w:rsidRPr="00A071F0">
              <w:rPr>
                <w:rFonts w:ascii="Times New Roman" w:hAnsi="Times New Roman"/>
                <w:sz w:val="20"/>
                <w:szCs w:val="20"/>
                <w:lang w:eastAsia="ru-RU"/>
              </w:rPr>
              <w:t>данным многолетних наблюдений. Усиление контроля в</w:t>
            </w:r>
            <w:r>
              <w:rPr>
                <w:rFonts w:ascii="Times New Roman" w:hAnsi="Times New Roman"/>
                <w:sz w:val="20"/>
                <w:szCs w:val="20"/>
                <w:lang w:eastAsia="ru-RU"/>
              </w:rPr>
              <w:t> </w:t>
            </w:r>
            <w:r w:rsidRPr="00A071F0">
              <w:rPr>
                <w:rFonts w:ascii="Times New Roman" w:hAnsi="Times New Roman"/>
                <w:sz w:val="20"/>
                <w:szCs w:val="20"/>
                <w:lang w:eastAsia="ru-RU"/>
              </w:rPr>
              <w:t>предпаводковый и</w:t>
            </w:r>
            <w:r>
              <w:rPr>
                <w:rFonts w:ascii="Times New Roman" w:hAnsi="Times New Roman"/>
                <w:sz w:val="20"/>
                <w:szCs w:val="20"/>
                <w:lang w:eastAsia="ru-RU"/>
              </w:rPr>
              <w:t> </w:t>
            </w:r>
            <w:r w:rsidRPr="00A071F0">
              <w:rPr>
                <w:rFonts w:ascii="Times New Roman" w:hAnsi="Times New Roman"/>
                <w:sz w:val="20"/>
                <w:szCs w:val="20"/>
                <w:lang w:eastAsia="ru-RU"/>
              </w:rPr>
              <w:t>паводковый периоды, периоды половодья. Корректировка графика сброса воды по</w:t>
            </w:r>
            <w:r>
              <w:rPr>
                <w:rFonts w:ascii="Times New Roman" w:hAnsi="Times New Roman"/>
                <w:sz w:val="20"/>
                <w:szCs w:val="20"/>
                <w:lang w:eastAsia="ru-RU"/>
              </w:rPr>
              <w:t> </w:t>
            </w:r>
            <w:r w:rsidRPr="00A071F0">
              <w:rPr>
                <w:rFonts w:ascii="Times New Roman" w:hAnsi="Times New Roman"/>
                <w:sz w:val="20"/>
                <w:szCs w:val="20"/>
                <w:lang w:eastAsia="ru-RU"/>
              </w:rPr>
              <w:t>данным конкретного периода. Согласование на</w:t>
            </w:r>
            <w:r>
              <w:rPr>
                <w:rFonts w:ascii="Times New Roman" w:hAnsi="Times New Roman"/>
                <w:sz w:val="20"/>
                <w:szCs w:val="20"/>
                <w:lang w:eastAsia="ru-RU"/>
              </w:rPr>
              <w:t> </w:t>
            </w:r>
            <w:r w:rsidRPr="00A071F0">
              <w:rPr>
                <w:rFonts w:ascii="Times New Roman" w:hAnsi="Times New Roman"/>
                <w:sz w:val="20"/>
                <w:szCs w:val="20"/>
                <w:lang w:eastAsia="ru-RU"/>
              </w:rPr>
              <w:t>межрегиональном уровне графика сброса воды для крупных водохранилищ. Оперативное обобщение данных о</w:t>
            </w:r>
            <w:r>
              <w:rPr>
                <w:rFonts w:ascii="Times New Roman" w:hAnsi="Times New Roman"/>
                <w:sz w:val="20"/>
                <w:szCs w:val="20"/>
                <w:lang w:eastAsia="ru-RU"/>
              </w:rPr>
              <w:t> </w:t>
            </w:r>
            <w:r w:rsidRPr="00A071F0">
              <w:rPr>
                <w:rFonts w:ascii="Times New Roman" w:hAnsi="Times New Roman"/>
                <w:sz w:val="20"/>
                <w:szCs w:val="20"/>
                <w:lang w:eastAsia="ru-RU"/>
              </w:rPr>
              <w:t>наполнении водохранилищ и</w:t>
            </w:r>
            <w:r>
              <w:rPr>
                <w:rFonts w:ascii="Times New Roman" w:hAnsi="Times New Roman"/>
                <w:sz w:val="20"/>
                <w:szCs w:val="20"/>
                <w:lang w:eastAsia="ru-RU"/>
              </w:rPr>
              <w:t> </w:t>
            </w:r>
            <w:r w:rsidRPr="00A071F0">
              <w:rPr>
                <w:rFonts w:ascii="Times New Roman" w:hAnsi="Times New Roman"/>
                <w:sz w:val="20"/>
                <w:szCs w:val="20"/>
                <w:lang w:eastAsia="ru-RU"/>
              </w:rPr>
              <w:t>выработка предложений по</w:t>
            </w:r>
            <w:r>
              <w:rPr>
                <w:rFonts w:ascii="Times New Roman" w:hAnsi="Times New Roman"/>
                <w:sz w:val="20"/>
                <w:szCs w:val="20"/>
                <w:lang w:eastAsia="ru-RU"/>
              </w:rPr>
              <w:t> </w:t>
            </w:r>
            <w:r w:rsidRPr="00A071F0">
              <w:rPr>
                <w:rFonts w:ascii="Times New Roman" w:hAnsi="Times New Roman"/>
                <w:sz w:val="20"/>
                <w:szCs w:val="20"/>
                <w:lang w:eastAsia="ru-RU"/>
              </w:rPr>
              <w:t>времени и</w:t>
            </w:r>
            <w:r>
              <w:rPr>
                <w:rFonts w:ascii="Times New Roman" w:hAnsi="Times New Roman"/>
                <w:sz w:val="20"/>
                <w:szCs w:val="20"/>
                <w:lang w:eastAsia="ru-RU"/>
              </w:rPr>
              <w:t> </w:t>
            </w:r>
            <w:r w:rsidRPr="00A071F0">
              <w:rPr>
                <w:rFonts w:ascii="Times New Roman" w:hAnsi="Times New Roman"/>
                <w:sz w:val="20"/>
                <w:szCs w:val="20"/>
                <w:lang w:eastAsia="ru-RU"/>
              </w:rPr>
              <w:t xml:space="preserve">объёму сброса для принятия решения ответственными лицами. </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Подготовка мер по</w:t>
            </w:r>
            <w:r>
              <w:rPr>
                <w:rFonts w:ascii="Times New Roman" w:hAnsi="Times New Roman"/>
                <w:b/>
                <w:sz w:val="20"/>
                <w:szCs w:val="20"/>
                <w:lang w:eastAsia="ru-RU"/>
              </w:rPr>
              <w:t> </w:t>
            </w:r>
            <w:r w:rsidRPr="00A071F0">
              <w:rPr>
                <w:rFonts w:ascii="Times New Roman" w:hAnsi="Times New Roman"/>
                <w:b/>
                <w:sz w:val="20"/>
                <w:szCs w:val="20"/>
                <w:lang w:eastAsia="ru-RU"/>
              </w:rPr>
              <w:t>отводу паводковых вод, дноуглубительные и</w:t>
            </w:r>
            <w:r>
              <w:rPr>
                <w:rFonts w:ascii="Times New Roman" w:hAnsi="Times New Roman"/>
                <w:b/>
                <w:sz w:val="20"/>
                <w:szCs w:val="20"/>
                <w:lang w:eastAsia="ru-RU"/>
              </w:rPr>
              <w:t> </w:t>
            </w:r>
            <w:r w:rsidRPr="00A071F0">
              <w:rPr>
                <w:rFonts w:ascii="Times New Roman" w:hAnsi="Times New Roman"/>
                <w:b/>
                <w:sz w:val="20"/>
                <w:szCs w:val="20"/>
                <w:lang w:eastAsia="ru-RU"/>
              </w:rPr>
              <w:t>русловыпрямительные работы</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Режимы 1, 2.</w:t>
            </w:r>
            <w:r w:rsidRPr="00A071F0">
              <w:rPr>
                <w:rFonts w:ascii="Times New Roman" w:hAnsi="Times New Roman"/>
                <w:sz w:val="20"/>
                <w:szCs w:val="20"/>
                <w:lang w:eastAsia="ru-RU"/>
              </w:rPr>
              <w:t xml:space="preserve"> Проводятся по</w:t>
            </w:r>
            <w:r>
              <w:rPr>
                <w:rFonts w:ascii="Times New Roman" w:hAnsi="Times New Roman"/>
                <w:sz w:val="20"/>
                <w:szCs w:val="20"/>
                <w:lang w:eastAsia="ru-RU"/>
              </w:rPr>
              <w:t> </w:t>
            </w:r>
            <w:r w:rsidRPr="00A071F0">
              <w:rPr>
                <w:rFonts w:ascii="Times New Roman" w:hAnsi="Times New Roman"/>
                <w:sz w:val="20"/>
                <w:szCs w:val="20"/>
                <w:lang w:eastAsia="ru-RU"/>
              </w:rPr>
              <w:t>результатам гидрогеологических изысканий. Контроль за</w:t>
            </w:r>
            <w:r>
              <w:rPr>
                <w:rFonts w:ascii="Times New Roman" w:hAnsi="Times New Roman"/>
                <w:sz w:val="20"/>
                <w:szCs w:val="20"/>
                <w:lang w:eastAsia="ru-RU"/>
              </w:rPr>
              <w:t> </w:t>
            </w:r>
            <w:r w:rsidRPr="00A071F0">
              <w:rPr>
                <w:rFonts w:ascii="Times New Roman" w:hAnsi="Times New Roman"/>
                <w:sz w:val="20"/>
                <w:szCs w:val="20"/>
                <w:lang w:eastAsia="ru-RU"/>
              </w:rPr>
              <w:t>состоянием береговой линии, набережных в</w:t>
            </w:r>
            <w:r>
              <w:rPr>
                <w:rFonts w:ascii="Times New Roman" w:hAnsi="Times New Roman"/>
                <w:sz w:val="20"/>
                <w:szCs w:val="20"/>
                <w:lang w:eastAsia="ru-RU"/>
              </w:rPr>
              <w:t> </w:t>
            </w:r>
            <w:r w:rsidRPr="00A071F0">
              <w:rPr>
                <w:rFonts w:ascii="Times New Roman" w:hAnsi="Times New Roman"/>
                <w:sz w:val="20"/>
                <w:szCs w:val="20"/>
                <w:lang w:eastAsia="ru-RU"/>
              </w:rPr>
              <w:t>черте населённых пунктов. Разработка и</w:t>
            </w:r>
            <w:r>
              <w:rPr>
                <w:rFonts w:ascii="Times New Roman" w:hAnsi="Times New Roman"/>
                <w:sz w:val="20"/>
                <w:szCs w:val="20"/>
                <w:lang w:eastAsia="ru-RU"/>
              </w:rPr>
              <w:t> </w:t>
            </w:r>
            <w:r w:rsidRPr="00A071F0">
              <w:rPr>
                <w:rFonts w:ascii="Times New Roman" w:hAnsi="Times New Roman"/>
                <w:sz w:val="20"/>
                <w:szCs w:val="20"/>
                <w:lang w:eastAsia="ru-RU"/>
              </w:rPr>
              <w:t>планомерная реализация проектов производства работ для населённых пунктов, подверженных воздействию фактора. Использование местных строительных естественных и</w:t>
            </w:r>
            <w:r>
              <w:rPr>
                <w:rFonts w:ascii="Times New Roman" w:hAnsi="Times New Roman"/>
                <w:sz w:val="20"/>
                <w:szCs w:val="20"/>
                <w:lang w:eastAsia="ru-RU"/>
              </w:rPr>
              <w:t> </w:t>
            </w:r>
            <w:r w:rsidRPr="00A071F0">
              <w:rPr>
                <w:rFonts w:ascii="Times New Roman" w:hAnsi="Times New Roman"/>
                <w:sz w:val="20"/>
                <w:szCs w:val="20"/>
                <w:lang w:eastAsia="ru-RU"/>
              </w:rPr>
              <w:t>искусственных материалов. Завоз материалов и</w:t>
            </w:r>
            <w:r>
              <w:rPr>
                <w:rFonts w:ascii="Times New Roman" w:hAnsi="Times New Roman"/>
                <w:sz w:val="20"/>
                <w:szCs w:val="20"/>
                <w:lang w:eastAsia="ru-RU"/>
              </w:rPr>
              <w:t> </w:t>
            </w:r>
            <w:r w:rsidRPr="00A071F0">
              <w:rPr>
                <w:rFonts w:ascii="Times New Roman" w:hAnsi="Times New Roman"/>
                <w:sz w:val="20"/>
                <w:szCs w:val="20"/>
                <w:lang w:eastAsia="ru-RU"/>
              </w:rPr>
              <w:t>конструкций для производства работ (в случае необходимости). Контроль за</w:t>
            </w:r>
            <w:r>
              <w:rPr>
                <w:rFonts w:ascii="Times New Roman" w:hAnsi="Times New Roman"/>
                <w:sz w:val="20"/>
                <w:szCs w:val="20"/>
                <w:lang w:eastAsia="ru-RU"/>
              </w:rPr>
              <w:t> </w:t>
            </w:r>
            <w:r w:rsidRPr="00A071F0">
              <w:rPr>
                <w:rFonts w:ascii="Times New Roman" w:hAnsi="Times New Roman"/>
                <w:sz w:val="20"/>
                <w:szCs w:val="20"/>
                <w:lang w:eastAsia="ru-RU"/>
              </w:rPr>
              <w:t>своевременностью выполнения работ (готовность к</w:t>
            </w:r>
            <w:r>
              <w:rPr>
                <w:rFonts w:ascii="Times New Roman" w:hAnsi="Times New Roman"/>
                <w:sz w:val="20"/>
                <w:szCs w:val="20"/>
                <w:lang w:eastAsia="ru-RU"/>
              </w:rPr>
              <w:t> </w:t>
            </w:r>
            <w:r w:rsidRPr="00A071F0">
              <w:rPr>
                <w:rFonts w:ascii="Times New Roman" w:hAnsi="Times New Roman"/>
                <w:sz w:val="20"/>
                <w:szCs w:val="20"/>
                <w:lang w:eastAsia="ru-RU"/>
              </w:rPr>
              <w:t>паводковому периоду). СНиП 2.06.15-85, СНиП 2.01.14-83.</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Обследование и</w:t>
            </w:r>
            <w:r>
              <w:rPr>
                <w:rFonts w:ascii="Times New Roman" w:hAnsi="Times New Roman"/>
                <w:b/>
                <w:sz w:val="20"/>
                <w:szCs w:val="20"/>
                <w:lang w:eastAsia="ru-RU"/>
              </w:rPr>
              <w:t> </w:t>
            </w:r>
            <w:r w:rsidRPr="00A071F0">
              <w:rPr>
                <w:rFonts w:ascii="Times New Roman" w:hAnsi="Times New Roman"/>
                <w:b/>
                <w:sz w:val="20"/>
                <w:szCs w:val="20"/>
                <w:lang w:eastAsia="ru-RU"/>
              </w:rPr>
              <w:t>укрепление мостов, подготовка материалов и</w:t>
            </w:r>
            <w:r>
              <w:rPr>
                <w:rFonts w:ascii="Times New Roman" w:hAnsi="Times New Roman"/>
                <w:b/>
                <w:sz w:val="20"/>
                <w:szCs w:val="20"/>
                <w:lang w:eastAsia="ru-RU"/>
              </w:rPr>
              <w:t> </w:t>
            </w:r>
            <w:r w:rsidRPr="00A071F0">
              <w:rPr>
                <w:rFonts w:ascii="Times New Roman" w:hAnsi="Times New Roman"/>
                <w:b/>
                <w:sz w:val="20"/>
                <w:szCs w:val="20"/>
                <w:lang w:eastAsia="ru-RU"/>
              </w:rPr>
              <w:t>средств к</w:t>
            </w:r>
            <w:r>
              <w:rPr>
                <w:rFonts w:ascii="Times New Roman" w:hAnsi="Times New Roman"/>
                <w:b/>
                <w:sz w:val="20"/>
                <w:szCs w:val="20"/>
                <w:lang w:eastAsia="ru-RU"/>
              </w:rPr>
              <w:t> </w:t>
            </w:r>
            <w:r w:rsidRPr="00A071F0">
              <w:rPr>
                <w:rFonts w:ascii="Times New Roman" w:hAnsi="Times New Roman"/>
                <w:b/>
                <w:sz w:val="20"/>
                <w:szCs w:val="20"/>
                <w:lang w:eastAsia="ru-RU"/>
              </w:rPr>
              <w:t>их</w:t>
            </w:r>
            <w:r>
              <w:rPr>
                <w:rFonts w:ascii="Times New Roman" w:hAnsi="Times New Roman"/>
                <w:b/>
                <w:sz w:val="20"/>
                <w:szCs w:val="20"/>
                <w:lang w:eastAsia="ru-RU"/>
              </w:rPr>
              <w:t> </w:t>
            </w:r>
            <w:r w:rsidRPr="00A071F0">
              <w:rPr>
                <w:rFonts w:ascii="Times New Roman" w:hAnsi="Times New Roman"/>
                <w:b/>
                <w:sz w:val="20"/>
                <w:szCs w:val="20"/>
                <w:lang w:eastAsia="ru-RU"/>
              </w:rPr>
              <w:t>восстановлению. Планирование и</w:t>
            </w:r>
            <w:r>
              <w:rPr>
                <w:rFonts w:ascii="Times New Roman" w:hAnsi="Times New Roman"/>
                <w:b/>
                <w:sz w:val="20"/>
                <w:szCs w:val="20"/>
                <w:lang w:eastAsia="ru-RU"/>
              </w:rPr>
              <w:t> </w:t>
            </w:r>
            <w:r w:rsidRPr="00A071F0">
              <w:rPr>
                <w:rFonts w:ascii="Times New Roman" w:hAnsi="Times New Roman"/>
                <w:b/>
                <w:sz w:val="20"/>
                <w:szCs w:val="20"/>
                <w:lang w:eastAsia="ru-RU"/>
              </w:rPr>
              <w:t>подготовка к</w:t>
            </w:r>
            <w:r>
              <w:rPr>
                <w:rFonts w:ascii="Times New Roman" w:hAnsi="Times New Roman"/>
                <w:b/>
                <w:sz w:val="20"/>
                <w:szCs w:val="20"/>
                <w:lang w:eastAsia="ru-RU"/>
              </w:rPr>
              <w:t> </w:t>
            </w:r>
            <w:r w:rsidRPr="00A071F0">
              <w:rPr>
                <w:rFonts w:ascii="Times New Roman" w:hAnsi="Times New Roman"/>
                <w:b/>
                <w:sz w:val="20"/>
                <w:szCs w:val="20"/>
                <w:lang w:eastAsia="ru-RU"/>
              </w:rPr>
              <w:t>наводнению временных переправ</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sz w:val="20"/>
                <w:szCs w:val="20"/>
                <w:lang w:eastAsia="ru-RU"/>
              </w:rPr>
              <w:t>Режимы 2, 3. Производится специалистами визуально и</w:t>
            </w:r>
            <w:r>
              <w:rPr>
                <w:rFonts w:ascii="Times New Roman" w:hAnsi="Times New Roman"/>
                <w:sz w:val="20"/>
                <w:szCs w:val="20"/>
                <w:lang w:eastAsia="ru-RU"/>
              </w:rPr>
              <w:t> </w:t>
            </w:r>
            <w:r w:rsidRPr="00A071F0">
              <w:rPr>
                <w:rFonts w:ascii="Times New Roman" w:hAnsi="Times New Roman"/>
                <w:sz w:val="20"/>
                <w:szCs w:val="20"/>
                <w:lang w:eastAsia="ru-RU"/>
              </w:rPr>
              <w:t>с</w:t>
            </w:r>
            <w:r>
              <w:rPr>
                <w:rFonts w:ascii="Times New Roman" w:hAnsi="Times New Roman"/>
                <w:sz w:val="20"/>
                <w:szCs w:val="20"/>
                <w:lang w:eastAsia="ru-RU"/>
              </w:rPr>
              <w:t> </w:t>
            </w:r>
            <w:r w:rsidRPr="00A071F0">
              <w:rPr>
                <w:rFonts w:ascii="Times New Roman" w:hAnsi="Times New Roman"/>
                <w:sz w:val="20"/>
                <w:szCs w:val="20"/>
                <w:lang w:eastAsia="ru-RU"/>
              </w:rPr>
              <w:t>применением специального оборудования на</w:t>
            </w:r>
            <w:r>
              <w:rPr>
                <w:rFonts w:ascii="Times New Roman" w:hAnsi="Times New Roman"/>
                <w:sz w:val="20"/>
                <w:szCs w:val="20"/>
                <w:lang w:eastAsia="ru-RU"/>
              </w:rPr>
              <w:t> </w:t>
            </w:r>
            <w:r w:rsidRPr="00A071F0">
              <w:rPr>
                <w:rFonts w:ascii="Times New Roman" w:hAnsi="Times New Roman"/>
                <w:sz w:val="20"/>
                <w:szCs w:val="20"/>
                <w:lang w:eastAsia="ru-RU"/>
              </w:rPr>
              <w:t>предмет физической устойчивости и</w:t>
            </w:r>
            <w:r>
              <w:rPr>
                <w:rFonts w:ascii="Times New Roman" w:hAnsi="Times New Roman"/>
                <w:sz w:val="20"/>
                <w:szCs w:val="20"/>
                <w:lang w:eastAsia="ru-RU"/>
              </w:rPr>
              <w:t> </w:t>
            </w:r>
            <w:r w:rsidRPr="00A071F0">
              <w:rPr>
                <w:rFonts w:ascii="Times New Roman" w:hAnsi="Times New Roman"/>
                <w:sz w:val="20"/>
                <w:szCs w:val="20"/>
                <w:lang w:eastAsia="ru-RU"/>
              </w:rPr>
              <w:t>способности функционировать в</w:t>
            </w:r>
            <w:r>
              <w:rPr>
                <w:rFonts w:ascii="Times New Roman" w:hAnsi="Times New Roman"/>
                <w:sz w:val="20"/>
                <w:szCs w:val="20"/>
                <w:lang w:eastAsia="ru-RU"/>
              </w:rPr>
              <w:t> </w:t>
            </w:r>
            <w:r w:rsidRPr="00A071F0">
              <w:rPr>
                <w:rFonts w:ascii="Times New Roman" w:hAnsi="Times New Roman"/>
                <w:sz w:val="20"/>
                <w:szCs w:val="20"/>
                <w:lang w:eastAsia="ru-RU"/>
              </w:rPr>
              <w:t>экстремальных условиях. По</w:t>
            </w:r>
            <w:r>
              <w:rPr>
                <w:rFonts w:ascii="Times New Roman" w:hAnsi="Times New Roman"/>
                <w:sz w:val="20"/>
                <w:szCs w:val="20"/>
                <w:lang w:eastAsia="ru-RU"/>
              </w:rPr>
              <w:t> </w:t>
            </w:r>
            <w:r w:rsidRPr="00A071F0">
              <w:rPr>
                <w:rFonts w:ascii="Times New Roman" w:hAnsi="Times New Roman"/>
                <w:sz w:val="20"/>
                <w:szCs w:val="20"/>
                <w:lang w:eastAsia="ru-RU"/>
              </w:rPr>
              <w:t>результатам обследования принимается решение на</w:t>
            </w:r>
            <w:r>
              <w:rPr>
                <w:rFonts w:ascii="Times New Roman" w:hAnsi="Times New Roman"/>
                <w:sz w:val="20"/>
                <w:szCs w:val="20"/>
                <w:lang w:eastAsia="ru-RU"/>
              </w:rPr>
              <w:t> </w:t>
            </w:r>
            <w:r w:rsidRPr="00A071F0">
              <w:rPr>
                <w:rFonts w:ascii="Times New Roman" w:hAnsi="Times New Roman"/>
                <w:sz w:val="20"/>
                <w:szCs w:val="20"/>
                <w:lang w:eastAsia="ru-RU"/>
              </w:rPr>
              <w:t>усиление, дублирование, вывод из</w:t>
            </w:r>
            <w:r>
              <w:rPr>
                <w:rFonts w:ascii="Times New Roman" w:hAnsi="Times New Roman"/>
                <w:sz w:val="20"/>
                <w:szCs w:val="20"/>
                <w:lang w:eastAsia="ru-RU"/>
              </w:rPr>
              <w:t> </w:t>
            </w:r>
            <w:r w:rsidRPr="00A071F0">
              <w:rPr>
                <w:rFonts w:ascii="Times New Roman" w:hAnsi="Times New Roman"/>
                <w:sz w:val="20"/>
                <w:szCs w:val="20"/>
                <w:lang w:eastAsia="ru-RU"/>
              </w:rPr>
              <w:t>эксплуатации и</w:t>
            </w:r>
            <w:r>
              <w:rPr>
                <w:rFonts w:ascii="Times New Roman" w:hAnsi="Times New Roman"/>
                <w:sz w:val="20"/>
                <w:szCs w:val="20"/>
                <w:lang w:eastAsia="ru-RU"/>
              </w:rPr>
              <w:t> </w:t>
            </w:r>
            <w:r w:rsidRPr="00A071F0">
              <w:rPr>
                <w:rFonts w:ascii="Times New Roman" w:hAnsi="Times New Roman"/>
                <w:sz w:val="20"/>
                <w:szCs w:val="20"/>
                <w:lang w:eastAsia="ru-RU"/>
              </w:rPr>
              <w:t>т.п. Решение согласуется (ведомства, владельцы, арендаторы и</w:t>
            </w:r>
            <w:r>
              <w:rPr>
                <w:rFonts w:ascii="Times New Roman" w:hAnsi="Times New Roman"/>
                <w:sz w:val="20"/>
                <w:szCs w:val="20"/>
                <w:lang w:eastAsia="ru-RU"/>
              </w:rPr>
              <w:t> </w:t>
            </w:r>
            <w:r w:rsidRPr="00A071F0">
              <w:rPr>
                <w:rFonts w:ascii="Times New Roman" w:hAnsi="Times New Roman"/>
                <w:sz w:val="20"/>
                <w:szCs w:val="20"/>
                <w:lang w:eastAsia="ru-RU"/>
              </w:rPr>
              <w:t>др.).</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Подготовительные работы по</w:t>
            </w:r>
            <w:r>
              <w:rPr>
                <w:rFonts w:ascii="Times New Roman" w:hAnsi="Times New Roman"/>
                <w:b/>
                <w:sz w:val="20"/>
                <w:szCs w:val="20"/>
                <w:lang w:eastAsia="ru-RU"/>
              </w:rPr>
              <w:t> </w:t>
            </w:r>
            <w:r w:rsidRPr="00A071F0">
              <w:rPr>
                <w:rFonts w:ascii="Times New Roman" w:hAnsi="Times New Roman"/>
                <w:b/>
                <w:sz w:val="20"/>
                <w:szCs w:val="20"/>
                <w:lang w:eastAsia="ru-RU"/>
              </w:rPr>
              <w:t>организации оказания медицинской помощи пострадавшим людям, по</w:t>
            </w:r>
            <w:r>
              <w:rPr>
                <w:rFonts w:ascii="Times New Roman" w:hAnsi="Times New Roman"/>
                <w:b/>
                <w:sz w:val="20"/>
                <w:szCs w:val="20"/>
                <w:lang w:eastAsia="ru-RU"/>
              </w:rPr>
              <w:t> </w:t>
            </w:r>
            <w:r w:rsidRPr="00A071F0">
              <w:rPr>
                <w:rFonts w:ascii="Times New Roman" w:hAnsi="Times New Roman"/>
                <w:b/>
                <w:sz w:val="20"/>
                <w:szCs w:val="20"/>
                <w:lang w:eastAsia="ru-RU"/>
              </w:rPr>
              <w:t>первоочередному жизнеобеспечению, а</w:t>
            </w:r>
            <w:r>
              <w:rPr>
                <w:rFonts w:ascii="Times New Roman" w:hAnsi="Times New Roman"/>
                <w:b/>
                <w:sz w:val="20"/>
                <w:szCs w:val="20"/>
                <w:lang w:eastAsia="ru-RU"/>
              </w:rPr>
              <w:t> </w:t>
            </w:r>
            <w:r w:rsidRPr="00A071F0">
              <w:rPr>
                <w:rFonts w:ascii="Times New Roman" w:hAnsi="Times New Roman"/>
                <w:b/>
                <w:sz w:val="20"/>
                <w:szCs w:val="20"/>
                <w:lang w:eastAsia="ru-RU"/>
              </w:rPr>
              <w:t>также по</w:t>
            </w:r>
            <w:r>
              <w:rPr>
                <w:rFonts w:ascii="Times New Roman" w:hAnsi="Times New Roman"/>
                <w:b/>
                <w:sz w:val="20"/>
                <w:szCs w:val="20"/>
                <w:lang w:eastAsia="ru-RU"/>
              </w:rPr>
              <w:t> </w:t>
            </w:r>
            <w:r w:rsidRPr="00A071F0">
              <w:rPr>
                <w:rFonts w:ascii="Times New Roman" w:hAnsi="Times New Roman"/>
                <w:b/>
                <w:sz w:val="20"/>
                <w:szCs w:val="20"/>
                <w:lang w:eastAsia="ru-RU"/>
              </w:rPr>
              <w:t>защите сельскохозяйственных животных при угрозе наводнения</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Режимы 2, 3.</w:t>
            </w:r>
            <w:r w:rsidRPr="00A071F0">
              <w:rPr>
                <w:rFonts w:ascii="Times New Roman" w:hAnsi="Times New Roman"/>
                <w:sz w:val="20"/>
                <w:szCs w:val="20"/>
                <w:lang w:eastAsia="ru-RU"/>
              </w:rPr>
              <w:t xml:space="preserve"> Приведение в</w:t>
            </w:r>
            <w:r>
              <w:rPr>
                <w:rFonts w:ascii="Times New Roman" w:hAnsi="Times New Roman"/>
                <w:sz w:val="20"/>
                <w:szCs w:val="20"/>
                <w:lang w:eastAsia="ru-RU"/>
              </w:rPr>
              <w:t> </w:t>
            </w:r>
            <w:r w:rsidRPr="00A071F0">
              <w:rPr>
                <w:rFonts w:ascii="Times New Roman" w:hAnsi="Times New Roman"/>
                <w:sz w:val="20"/>
                <w:szCs w:val="20"/>
                <w:lang w:eastAsia="ru-RU"/>
              </w:rPr>
              <w:t>готовность больничной сети, развёртывание дополнительных пунктов оказания медицинской помощи. Закрепление медицинского персонала за</w:t>
            </w:r>
            <w:r>
              <w:rPr>
                <w:rFonts w:ascii="Times New Roman" w:hAnsi="Times New Roman"/>
                <w:sz w:val="20"/>
                <w:szCs w:val="20"/>
                <w:lang w:eastAsia="ru-RU"/>
              </w:rPr>
              <w:t> </w:t>
            </w:r>
            <w:r w:rsidRPr="00A071F0">
              <w:rPr>
                <w:rFonts w:ascii="Times New Roman" w:hAnsi="Times New Roman"/>
                <w:sz w:val="20"/>
                <w:szCs w:val="20"/>
                <w:lang w:eastAsia="ru-RU"/>
              </w:rPr>
              <w:t>местами размещения эвакуируемых. Пополнение запасов медикаментов и</w:t>
            </w:r>
            <w:r>
              <w:rPr>
                <w:rFonts w:ascii="Times New Roman" w:hAnsi="Times New Roman"/>
                <w:sz w:val="20"/>
                <w:szCs w:val="20"/>
                <w:lang w:eastAsia="ru-RU"/>
              </w:rPr>
              <w:t> </w:t>
            </w:r>
            <w:r w:rsidRPr="00A071F0">
              <w:rPr>
                <w:rFonts w:ascii="Times New Roman" w:hAnsi="Times New Roman"/>
                <w:sz w:val="20"/>
                <w:szCs w:val="20"/>
                <w:lang w:eastAsia="ru-RU"/>
              </w:rPr>
              <w:t>средств оказания медицинской помощи. Выдвижение медицинских формирования к</w:t>
            </w:r>
            <w:r>
              <w:rPr>
                <w:rFonts w:ascii="Times New Roman" w:hAnsi="Times New Roman"/>
                <w:sz w:val="20"/>
                <w:szCs w:val="20"/>
                <w:lang w:eastAsia="ru-RU"/>
              </w:rPr>
              <w:t> </w:t>
            </w:r>
            <w:r w:rsidRPr="00A071F0">
              <w:rPr>
                <w:rFonts w:ascii="Times New Roman" w:hAnsi="Times New Roman"/>
                <w:sz w:val="20"/>
                <w:szCs w:val="20"/>
                <w:lang w:eastAsia="ru-RU"/>
              </w:rPr>
              <w:t>предполагаемым местам проведения аварийно-спасательных работ. Подготовка транспорта для лечебно-эвакуационного обеспечения населения в</w:t>
            </w:r>
            <w:r>
              <w:rPr>
                <w:rFonts w:ascii="Times New Roman" w:hAnsi="Times New Roman"/>
                <w:sz w:val="20"/>
                <w:szCs w:val="20"/>
                <w:lang w:eastAsia="ru-RU"/>
              </w:rPr>
              <w:t> </w:t>
            </w:r>
            <w:r w:rsidRPr="00A071F0">
              <w:rPr>
                <w:rFonts w:ascii="Times New Roman" w:hAnsi="Times New Roman"/>
                <w:sz w:val="20"/>
                <w:szCs w:val="20"/>
                <w:lang w:eastAsia="ru-RU"/>
              </w:rPr>
              <w:t>зоне ЧС. Организация взаимодействия с</w:t>
            </w:r>
            <w:r>
              <w:rPr>
                <w:rFonts w:ascii="Times New Roman" w:hAnsi="Times New Roman"/>
                <w:sz w:val="20"/>
                <w:szCs w:val="20"/>
                <w:lang w:eastAsia="ru-RU"/>
              </w:rPr>
              <w:t> </w:t>
            </w:r>
            <w:r w:rsidRPr="00A071F0">
              <w:rPr>
                <w:rFonts w:ascii="Times New Roman" w:hAnsi="Times New Roman"/>
                <w:sz w:val="20"/>
                <w:szCs w:val="20"/>
                <w:lang w:eastAsia="ru-RU"/>
              </w:rPr>
              <w:t>местными органами власти, аварийно-спасательными формированиями, милицией, войсковыми частями, лечебными учреждениями, предприятиями и</w:t>
            </w:r>
            <w:r>
              <w:rPr>
                <w:rFonts w:ascii="Times New Roman" w:hAnsi="Times New Roman"/>
                <w:sz w:val="20"/>
                <w:szCs w:val="20"/>
                <w:lang w:eastAsia="ru-RU"/>
              </w:rPr>
              <w:t> </w:t>
            </w:r>
            <w:r w:rsidRPr="00A071F0">
              <w:rPr>
                <w:rFonts w:ascii="Times New Roman" w:hAnsi="Times New Roman"/>
                <w:sz w:val="20"/>
                <w:szCs w:val="20"/>
                <w:lang w:eastAsia="ru-RU"/>
              </w:rPr>
              <w:t>организациями в</w:t>
            </w:r>
            <w:r>
              <w:rPr>
                <w:rFonts w:ascii="Times New Roman" w:hAnsi="Times New Roman"/>
                <w:sz w:val="20"/>
                <w:szCs w:val="20"/>
                <w:lang w:eastAsia="ru-RU"/>
              </w:rPr>
              <w:t> </w:t>
            </w:r>
            <w:r w:rsidRPr="00A071F0">
              <w:rPr>
                <w:rFonts w:ascii="Times New Roman" w:hAnsi="Times New Roman"/>
                <w:sz w:val="20"/>
                <w:szCs w:val="20"/>
                <w:lang w:eastAsia="ru-RU"/>
              </w:rPr>
              <w:t>зонах ЧС. Подготовка медперсонала по</w:t>
            </w:r>
            <w:r>
              <w:rPr>
                <w:rFonts w:ascii="Times New Roman" w:hAnsi="Times New Roman"/>
                <w:sz w:val="20"/>
                <w:szCs w:val="20"/>
                <w:lang w:eastAsia="ru-RU"/>
              </w:rPr>
              <w:t> </w:t>
            </w:r>
            <w:r w:rsidRPr="00A071F0">
              <w:rPr>
                <w:rFonts w:ascii="Times New Roman" w:hAnsi="Times New Roman"/>
                <w:sz w:val="20"/>
                <w:szCs w:val="20"/>
                <w:lang w:eastAsia="ru-RU"/>
              </w:rPr>
              <w:t>курсу «Медицина катастроф». Применение мобильных формирований первичного жизнеобеспечения и</w:t>
            </w:r>
            <w:r>
              <w:rPr>
                <w:rFonts w:ascii="Times New Roman" w:hAnsi="Times New Roman"/>
                <w:sz w:val="20"/>
                <w:szCs w:val="20"/>
                <w:lang w:eastAsia="ru-RU"/>
              </w:rPr>
              <w:t> </w:t>
            </w:r>
            <w:r w:rsidRPr="00A071F0">
              <w:rPr>
                <w:rFonts w:ascii="Times New Roman" w:hAnsi="Times New Roman"/>
                <w:sz w:val="20"/>
                <w:szCs w:val="20"/>
                <w:lang w:eastAsia="ru-RU"/>
              </w:rPr>
              <w:t>мобильных комплексов первичного жизнеобеспечения. Завоз продовольствия и</w:t>
            </w:r>
            <w:r>
              <w:rPr>
                <w:rFonts w:ascii="Times New Roman" w:hAnsi="Times New Roman"/>
                <w:sz w:val="20"/>
                <w:szCs w:val="20"/>
                <w:lang w:eastAsia="ru-RU"/>
              </w:rPr>
              <w:t> </w:t>
            </w:r>
            <w:r w:rsidRPr="00A071F0">
              <w:rPr>
                <w:rFonts w:ascii="Times New Roman" w:hAnsi="Times New Roman"/>
                <w:sz w:val="20"/>
                <w:szCs w:val="20"/>
                <w:lang w:eastAsia="ru-RU"/>
              </w:rPr>
              <w:t>предметов первой необходимости, гуманитарной помощи с</w:t>
            </w:r>
            <w:r>
              <w:rPr>
                <w:rFonts w:ascii="Times New Roman" w:hAnsi="Times New Roman"/>
                <w:sz w:val="20"/>
                <w:szCs w:val="20"/>
                <w:lang w:eastAsia="ru-RU"/>
              </w:rPr>
              <w:t> </w:t>
            </w:r>
            <w:r w:rsidRPr="00A071F0">
              <w:rPr>
                <w:rFonts w:ascii="Times New Roman" w:hAnsi="Times New Roman"/>
                <w:sz w:val="20"/>
                <w:szCs w:val="20"/>
                <w:lang w:eastAsia="ru-RU"/>
              </w:rPr>
              <w:t>применением авиации и</w:t>
            </w:r>
            <w:r>
              <w:rPr>
                <w:rFonts w:ascii="Times New Roman" w:hAnsi="Times New Roman"/>
                <w:sz w:val="20"/>
                <w:szCs w:val="20"/>
                <w:lang w:eastAsia="ru-RU"/>
              </w:rPr>
              <w:t> </w:t>
            </w:r>
            <w:r w:rsidRPr="00A071F0">
              <w:rPr>
                <w:rFonts w:ascii="Times New Roman" w:hAnsi="Times New Roman"/>
                <w:sz w:val="20"/>
                <w:szCs w:val="20"/>
                <w:lang w:eastAsia="ru-RU"/>
              </w:rPr>
              <w:t>судов маломерного флота при невозможности доставки автомобильным транспортом. Оборудование площадок разгрузки и</w:t>
            </w:r>
            <w:r>
              <w:rPr>
                <w:rFonts w:ascii="Times New Roman" w:hAnsi="Times New Roman"/>
                <w:sz w:val="20"/>
                <w:szCs w:val="20"/>
                <w:lang w:eastAsia="ru-RU"/>
              </w:rPr>
              <w:t> </w:t>
            </w:r>
            <w:r w:rsidRPr="00A071F0">
              <w:rPr>
                <w:rFonts w:ascii="Times New Roman" w:hAnsi="Times New Roman"/>
                <w:sz w:val="20"/>
                <w:szCs w:val="20"/>
                <w:lang w:eastAsia="ru-RU"/>
              </w:rPr>
              <w:t>хранения. Создание запасов в</w:t>
            </w:r>
            <w:r>
              <w:rPr>
                <w:rFonts w:ascii="Times New Roman" w:hAnsi="Times New Roman"/>
                <w:sz w:val="20"/>
                <w:szCs w:val="20"/>
                <w:lang w:eastAsia="ru-RU"/>
              </w:rPr>
              <w:t> </w:t>
            </w:r>
            <w:r w:rsidRPr="00A071F0">
              <w:rPr>
                <w:rFonts w:ascii="Times New Roman" w:hAnsi="Times New Roman"/>
                <w:sz w:val="20"/>
                <w:szCs w:val="20"/>
                <w:lang w:eastAsia="ru-RU"/>
              </w:rPr>
              <w:t>угрожаемый период. Обеспечение охраны и</w:t>
            </w:r>
            <w:r>
              <w:rPr>
                <w:rFonts w:ascii="Times New Roman" w:hAnsi="Times New Roman"/>
                <w:sz w:val="20"/>
                <w:szCs w:val="20"/>
                <w:lang w:eastAsia="ru-RU"/>
              </w:rPr>
              <w:t> </w:t>
            </w:r>
            <w:r w:rsidRPr="00A071F0">
              <w:rPr>
                <w:rFonts w:ascii="Times New Roman" w:hAnsi="Times New Roman"/>
                <w:sz w:val="20"/>
                <w:szCs w:val="20"/>
                <w:lang w:eastAsia="ru-RU"/>
              </w:rPr>
              <w:t>сохранности. Организация распределения. Определение безопасных мест размещения животных. Транспортное обеспечение в</w:t>
            </w:r>
            <w:r>
              <w:rPr>
                <w:rFonts w:ascii="Times New Roman" w:hAnsi="Times New Roman"/>
                <w:sz w:val="20"/>
                <w:szCs w:val="20"/>
                <w:lang w:eastAsia="ru-RU"/>
              </w:rPr>
              <w:t> </w:t>
            </w:r>
            <w:r w:rsidRPr="00A071F0">
              <w:rPr>
                <w:rFonts w:ascii="Times New Roman" w:hAnsi="Times New Roman"/>
                <w:sz w:val="20"/>
                <w:szCs w:val="20"/>
                <w:lang w:eastAsia="ru-RU"/>
              </w:rPr>
              <w:t>случае необходимости. Обеспечение кормами. Обеспечение охраны. Обеспечение сбора и</w:t>
            </w:r>
            <w:r>
              <w:rPr>
                <w:rFonts w:ascii="Times New Roman" w:hAnsi="Times New Roman"/>
                <w:sz w:val="20"/>
                <w:szCs w:val="20"/>
                <w:lang w:eastAsia="ru-RU"/>
              </w:rPr>
              <w:t> </w:t>
            </w:r>
            <w:r w:rsidRPr="00A071F0">
              <w:rPr>
                <w:rFonts w:ascii="Times New Roman" w:hAnsi="Times New Roman"/>
                <w:sz w:val="20"/>
                <w:szCs w:val="20"/>
                <w:lang w:eastAsia="ru-RU"/>
              </w:rPr>
              <w:t>транспортировки к</w:t>
            </w:r>
            <w:r>
              <w:rPr>
                <w:rFonts w:ascii="Times New Roman" w:hAnsi="Times New Roman"/>
                <w:sz w:val="20"/>
                <w:szCs w:val="20"/>
                <w:lang w:eastAsia="ru-RU"/>
              </w:rPr>
              <w:t> </w:t>
            </w:r>
            <w:r w:rsidRPr="00A071F0">
              <w:rPr>
                <w:rFonts w:ascii="Times New Roman" w:hAnsi="Times New Roman"/>
                <w:sz w:val="20"/>
                <w:szCs w:val="20"/>
                <w:lang w:eastAsia="ru-RU"/>
              </w:rPr>
              <w:t>местам потребления (переработки) сельхозпродукции (мяса, молока, яиц и</w:t>
            </w:r>
            <w:r>
              <w:rPr>
                <w:rFonts w:ascii="Times New Roman" w:hAnsi="Times New Roman"/>
                <w:sz w:val="20"/>
                <w:szCs w:val="20"/>
                <w:lang w:eastAsia="ru-RU"/>
              </w:rPr>
              <w:t> </w:t>
            </w:r>
            <w:r w:rsidRPr="00A071F0">
              <w:rPr>
                <w:rFonts w:ascii="Times New Roman" w:hAnsi="Times New Roman"/>
                <w:sz w:val="20"/>
                <w:szCs w:val="20"/>
                <w:lang w:eastAsia="ru-RU"/>
              </w:rPr>
              <w:t>т.п.).</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Проведение мероприятий по</w:t>
            </w:r>
            <w:r>
              <w:rPr>
                <w:rFonts w:ascii="Times New Roman" w:hAnsi="Times New Roman"/>
                <w:b/>
                <w:sz w:val="20"/>
                <w:szCs w:val="20"/>
                <w:lang w:eastAsia="ru-RU"/>
              </w:rPr>
              <w:t> </w:t>
            </w:r>
            <w:r w:rsidRPr="00A071F0">
              <w:rPr>
                <w:rFonts w:ascii="Times New Roman" w:hAnsi="Times New Roman"/>
                <w:b/>
                <w:sz w:val="20"/>
                <w:szCs w:val="20"/>
                <w:lang w:eastAsia="ru-RU"/>
              </w:rPr>
              <w:t>укреплению железных и</w:t>
            </w:r>
            <w:r>
              <w:rPr>
                <w:rFonts w:ascii="Times New Roman" w:hAnsi="Times New Roman"/>
                <w:b/>
                <w:sz w:val="20"/>
                <w:szCs w:val="20"/>
                <w:lang w:eastAsia="ru-RU"/>
              </w:rPr>
              <w:t> </w:t>
            </w:r>
            <w:r w:rsidRPr="00A071F0">
              <w:rPr>
                <w:rFonts w:ascii="Times New Roman" w:hAnsi="Times New Roman"/>
                <w:b/>
                <w:sz w:val="20"/>
                <w:szCs w:val="20"/>
                <w:lang w:eastAsia="ru-RU"/>
              </w:rPr>
              <w:t>автомобильных дорог, попадающих в</w:t>
            </w:r>
            <w:r>
              <w:rPr>
                <w:rFonts w:ascii="Times New Roman" w:hAnsi="Times New Roman"/>
                <w:b/>
                <w:sz w:val="20"/>
                <w:szCs w:val="20"/>
                <w:lang w:eastAsia="ru-RU"/>
              </w:rPr>
              <w:t> </w:t>
            </w:r>
            <w:r w:rsidRPr="00A071F0">
              <w:rPr>
                <w:rFonts w:ascii="Times New Roman" w:hAnsi="Times New Roman"/>
                <w:b/>
                <w:sz w:val="20"/>
                <w:szCs w:val="20"/>
                <w:lang w:eastAsia="ru-RU"/>
              </w:rPr>
              <w:t>зоны возможного затопления. Подготовка к</w:t>
            </w:r>
            <w:r>
              <w:rPr>
                <w:rFonts w:ascii="Times New Roman" w:hAnsi="Times New Roman"/>
                <w:b/>
                <w:sz w:val="20"/>
                <w:szCs w:val="20"/>
                <w:lang w:eastAsia="ru-RU"/>
              </w:rPr>
              <w:t> </w:t>
            </w:r>
            <w:r w:rsidRPr="00A071F0">
              <w:rPr>
                <w:rFonts w:ascii="Times New Roman" w:hAnsi="Times New Roman"/>
                <w:b/>
                <w:sz w:val="20"/>
                <w:szCs w:val="20"/>
                <w:lang w:eastAsia="ru-RU"/>
              </w:rPr>
              <w:t>организации временных объездных путей</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Режимы 2, 3.</w:t>
            </w:r>
            <w:r w:rsidRPr="00A071F0">
              <w:rPr>
                <w:rFonts w:ascii="Times New Roman" w:hAnsi="Times New Roman"/>
                <w:sz w:val="20"/>
                <w:szCs w:val="20"/>
                <w:lang w:eastAsia="ru-RU"/>
              </w:rPr>
              <w:t xml:space="preserve"> По</w:t>
            </w:r>
            <w:r>
              <w:rPr>
                <w:rFonts w:ascii="Times New Roman" w:hAnsi="Times New Roman"/>
                <w:sz w:val="20"/>
                <w:szCs w:val="20"/>
                <w:lang w:eastAsia="ru-RU"/>
              </w:rPr>
              <w:t> </w:t>
            </w:r>
            <w:r w:rsidRPr="00A071F0">
              <w:rPr>
                <w:rFonts w:ascii="Times New Roman" w:hAnsi="Times New Roman"/>
                <w:sz w:val="20"/>
                <w:szCs w:val="20"/>
                <w:lang w:eastAsia="ru-RU"/>
              </w:rPr>
              <w:t>результатам обследования принимается решение на</w:t>
            </w:r>
            <w:r>
              <w:rPr>
                <w:rFonts w:ascii="Times New Roman" w:hAnsi="Times New Roman"/>
                <w:sz w:val="20"/>
                <w:szCs w:val="20"/>
                <w:lang w:eastAsia="ru-RU"/>
              </w:rPr>
              <w:t> </w:t>
            </w:r>
            <w:r w:rsidRPr="00A071F0">
              <w:rPr>
                <w:rFonts w:ascii="Times New Roman" w:hAnsi="Times New Roman"/>
                <w:sz w:val="20"/>
                <w:szCs w:val="20"/>
                <w:lang w:eastAsia="ru-RU"/>
              </w:rPr>
              <w:t>усиление, дублирование, выход из</w:t>
            </w:r>
            <w:r>
              <w:rPr>
                <w:rFonts w:ascii="Times New Roman" w:hAnsi="Times New Roman"/>
                <w:sz w:val="20"/>
                <w:szCs w:val="20"/>
                <w:lang w:eastAsia="ru-RU"/>
              </w:rPr>
              <w:t> </w:t>
            </w:r>
            <w:r w:rsidRPr="00A071F0">
              <w:rPr>
                <w:rFonts w:ascii="Times New Roman" w:hAnsi="Times New Roman"/>
                <w:sz w:val="20"/>
                <w:szCs w:val="20"/>
                <w:lang w:eastAsia="ru-RU"/>
              </w:rPr>
              <w:t>эксплуатации и</w:t>
            </w:r>
            <w:r>
              <w:rPr>
                <w:rFonts w:ascii="Times New Roman" w:hAnsi="Times New Roman"/>
                <w:sz w:val="20"/>
                <w:szCs w:val="20"/>
                <w:lang w:eastAsia="ru-RU"/>
              </w:rPr>
              <w:t> </w:t>
            </w:r>
            <w:r w:rsidRPr="00A071F0">
              <w:rPr>
                <w:rFonts w:ascii="Times New Roman" w:hAnsi="Times New Roman"/>
                <w:sz w:val="20"/>
                <w:szCs w:val="20"/>
                <w:lang w:eastAsia="ru-RU"/>
              </w:rPr>
              <w:t>т.п. Решение согласуется (ведомства, владельцы, арендаторы и</w:t>
            </w:r>
            <w:r>
              <w:rPr>
                <w:rFonts w:ascii="Times New Roman" w:hAnsi="Times New Roman"/>
                <w:sz w:val="20"/>
                <w:szCs w:val="20"/>
                <w:lang w:eastAsia="ru-RU"/>
              </w:rPr>
              <w:t> </w:t>
            </w:r>
            <w:r w:rsidRPr="00A071F0">
              <w:rPr>
                <w:rFonts w:ascii="Times New Roman" w:hAnsi="Times New Roman"/>
                <w:sz w:val="20"/>
                <w:szCs w:val="20"/>
                <w:lang w:eastAsia="ru-RU"/>
              </w:rPr>
              <w:t>др.). Корректировка транспортной схемы производится по</w:t>
            </w:r>
            <w:r>
              <w:rPr>
                <w:rFonts w:ascii="Times New Roman" w:hAnsi="Times New Roman"/>
                <w:sz w:val="20"/>
                <w:szCs w:val="20"/>
                <w:lang w:eastAsia="ru-RU"/>
              </w:rPr>
              <w:t> </w:t>
            </w:r>
            <w:r w:rsidRPr="00A071F0">
              <w:rPr>
                <w:rFonts w:ascii="Times New Roman" w:hAnsi="Times New Roman"/>
                <w:sz w:val="20"/>
                <w:szCs w:val="20"/>
                <w:lang w:eastAsia="ru-RU"/>
              </w:rPr>
              <w:t>результатам разведки и</w:t>
            </w:r>
            <w:r>
              <w:rPr>
                <w:rFonts w:ascii="Times New Roman" w:hAnsi="Times New Roman"/>
                <w:sz w:val="20"/>
                <w:szCs w:val="20"/>
                <w:lang w:eastAsia="ru-RU"/>
              </w:rPr>
              <w:t> </w:t>
            </w:r>
            <w:r w:rsidRPr="00A071F0">
              <w:rPr>
                <w:rFonts w:ascii="Times New Roman" w:hAnsi="Times New Roman"/>
                <w:sz w:val="20"/>
                <w:szCs w:val="20"/>
                <w:lang w:eastAsia="ru-RU"/>
              </w:rPr>
              <w:t>обследования состояния транспортных коммуникаций и</w:t>
            </w:r>
            <w:r>
              <w:rPr>
                <w:rFonts w:ascii="Times New Roman" w:hAnsi="Times New Roman"/>
                <w:sz w:val="20"/>
                <w:szCs w:val="20"/>
                <w:lang w:eastAsia="ru-RU"/>
              </w:rPr>
              <w:t> </w:t>
            </w:r>
            <w:r w:rsidRPr="00A071F0">
              <w:rPr>
                <w:rFonts w:ascii="Times New Roman" w:hAnsi="Times New Roman"/>
                <w:sz w:val="20"/>
                <w:szCs w:val="20"/>
                <w:lang w:eastAsia="ru-RU"/>
              </w:rPr>
              <w:t>объектов в</w:t>
            </w:r>
            <w:r>
              <w:rPr>
                <w:rFonts w:ascii="Times New Roman" w:hAnsi="Times New Roman"/>
                <w:sz w:val="20"/>
                <w:szCs w:val="20"/>
                <w:lang w:eastAsia="ru-RU"/>
              </w:rPr>
              <w:t> </w:t>
            </w:r>
            <w:r w:rsidRPr="00A071F0">
              <w:rPr>
                <w:rFonts w:ascii="Times New Roman" w:hAnsi="Times New Roman"/>
                <w:sz w:val="20"/>
                <w:szCs w:val="20"/>
                <w:lang w:eastAsia="ru-RU"/>
              </w:rPr>
              <w:t>случае невозможности их</w:t>
            </w:r>
            <w:r>
              <w:rPr>
                <w:rFonts w:ascii="Times New Roman" w:hAnsi="Times New Roman"/>
                <w:sz w:val="20"/>
                <w:szCs w:val="20"/>
                <w:lang w:eastAsia="ru-RU"/>
              </w:rPr>
              <w:t> </w:t>
            </w:r>
            <w:r w:rsidRPr="00A071F0">
              <w:rPr>
                <w:rFonts w:ascii="Times New Roman" w:hAnsi="Times New Roman"/>
                <w:sz w:val="20"/>
                <w:szCs w:val="20"/>
                <w:lang w:eastAsia="ru-RU"/>
              </w:rPr>
              <w:t>дальнейшей эксплуатации. Производится за</w:t>
            </w:r>
            <w:r>
              <w:rPr>
                <w:rFonts w:ascii="Times New Roman" w:hAnsi="Times New Roman"/>
                <w:sz w:val="20"/>
                <w:szCs w:val="20"/>
                <w:lang w:eastAsia="ru-RU"/>
              </w:rPr>
              <w:t> </w:t>
            </w:r>
            <w:r w:rsidRPr="00A071F0">
              <w:rPr>
                <w:rFonts w:ascii="Times New Roman" w:hAnsi="Times New Roman"/>
                <w:sz w:val="20"/>
                <w:szCs w:val="20"/>
                <w:lang w:eastAsia="ru-RU"/>
              </w:rPr>
              <w:t>счёт использования резервных маршрутов или сооружения временных транспортных коммуникаций. Увязка пунктов сопряжения различных видов транспорта по</w:t>
            </w:r>
            <w:r>
              <w:rPr>
                <w:rFonts w:ascii="Times New Roman" w:hAnsi="Times New Roman"/>
                <w:sz w:val="20"/>
                <w:szCs w:val="20"/>
                <w:lang w:eastAsia="ru-RU"/>
              </w:rPr>
              <w:t> </w:t>
            </w:r>
            <w:r w:rsidRPr="00A071F0">
              <w:rPr>
                <w:rFonts w:ascii="Times New Roman" w:hAnsi="Times New Roman"/>
                <w:sz w:val="20"/>
                <w:szCs w:val="20"/>
                <w:lang w:eastAsia="ru-RU"/>
              </w:rPr>
              <w:t>пунктам обслуживания населения и</w:t>
            </w:r>
            <w:r>
              <w:rPr>
                <w:rFonts w:ascii="Times New Roman" w:hAnsi="Times New Roman"/>
                <w:sz w:val="20"/>
                <w:szCs w:val="20"/>
                <w:lang w:eastAsia="ru-RU"/>
              </w:rPr>
              <w:t> </w:t>
            </w:r>
            <w:r w:rsidRPr="00A071F0">
              <w:rPr>
                <w:rFonts w:ascii="Times New Roman" w:hAnsi="Times New Roman"/>
                <w:sz w:val="20"/>
                <w:szCs w:val="20"/>
                <w:lang w:eastAsia="ru-RU"/>
              </w:rPr>
              <w:t>грузопотоков. Организация регулирования на</w:t>
            </w:r>
            <w:r>
              <w:rPr>
                <w:rFonts w:ascii="Times New Roman" w:hAnsi="Times New Roman"/>
                <w:sz w:val="20"/>
                <w:szCs w:val="20"/>
                <w:lang w:eastAsia="ru-RU"/>
              </w:rPr>
              <w:t> </w:t>
            </w:r>
            <w:r w:rsidRPr="00A071F0">
              <w:rPr>
                <w:rFonts w:ascii="Times New Roman" w:hAnsi="Times New Roman"/>
                <w:sz w:val="20"/>
                <w:szCs w:val="20"/>
                <w:lang w:eastAsia="ru-RU"/>
              </w:rPr>
              <w:t>новых маршрутах. Обеспечение регламентирующими знаками, указателями и</w:t>
            </w:r>
            <w:r>
              <w:rPr>
                <w:rFonts w:ascii="Times New Roman" w:hAnsi="Times New Roman"/>
                <w:sz w:val="20"/>
                <w:szCs w:val="20"/>
                <w:lang w:eastAsia="ru-RU"/>
              </w:rPr>
              <w:t> </w:t>
            </w:r>
            <w:r w:rsidRPr="00A071F0">
              <w:rPr>
                <w:rFonts w:ascii="Times New Roman" w:hAnsi="Times New Roman"/>
                <w:sz w:val="20"/>
                <w:szCs w:val="20"/>
                <w:lang w:eastAsia="ru-RU"/>
              </w:rPr>
              <w:t xml:space="preserve">т.п. </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Создание запасов средств для ликвидации последствий</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Режимы 1, 2.</w:t>
            </w:r>
            <w:r w:rsidRPr="00A071F0">
              <w:rPr>
                <w:rFonts w:ascii="Times New Roman" w:hAnsi="Times New Roman"/>
                <w:sz w:val="20"/>
                <w:szCs w:val="20"/>
                <w:lang w:eastAsia="ru-RU"/>
              </w:rPr>
              <w:t xml:space="preserve"> Анализ порядка и</w:t>
            </w:r>
            <w:r>
              <w:rPr>
                <w:rFonts w:ascii="Times New Roman" w:hAnsi="Times New Roman"/>
                <w:sz w:val="20"/>
                <w:szCs w:val="20"/>
                <w:lang w:eastAsia="ru-RU"/>
              </w:rPr>
              <w:t> </w:t>
            </w:r>
            <w:r w:rsidRPr="00A071F0">
              <w:rPr>
                <w:rFonts w:ascii="Times New Roman" w:hAnsi="Times New Roman"/>
                <w:sz w:val="20"/>
                <w:szCs w:val="20"/>
                <w:lang w:eastAsia="ru-RU"/>
              </w:rPr>
              <w:t>номенклатуры используемых материально-технических ресурсов при ликвидации ЧС</w:t>
            </w:r>
            <w:r>
              <w:rPr>
                <w:rFonts w:ascii="Times New Roman" w:hAnsi="Times New Roman"/>
                <w:sz w:val="20"/>
                <w:szCs w:val="20"/>
                <w:lang w:eastAsia="ru-RU"/>
              </w:rPr>
              <w:t> </w:t>
            </w:r>
            <w:r w:rsidRPr="00A071F0">
              <w:rPr>
                <w:rFonts w:ascii="Times New Roman" w:hAnsi="Times New Roman"/>
                <w:sz w:val="20"/>
                <w:szCs w:val="20"/>
                <w:lang w:eastAsia="ru-RU"/>
              </w:rPr>
              <w:t>для районов с</w:t>
            </w:r>
            <w:r>
              <w:rPr>
                <w:rFonts w:ascii="Times New Roman" w:hAnsi="Times New Roman"/>
                <w:sz w:val="20"/>
                <w:szCs w:val="20"/>
                <w:lang w:eastAsia="ru-RU"/>
              </w:rPr>
              <w:t> </w:t>
            </w:r>
            <w:r w:rsidRPr="00A071F0">
              <w:rPr>
                <w:rFonts w:ascii="Times New Roman" w:hAnsi="Times New Roman"/>
                <w:sz w:val="20"/>
                <w:szCs w:val="20"/>
                <w:lang w:eastAsia="ru-RU"/>
              </w:rPr>
              <w:t>частой повторяемостью по</w:t>
            </w:r>
            <w:r>
              <w:rPr>
                <w:rFonts w:ascii="Times New Roman" w:hAnsi="Times New Roman"/>
                <w:sz w:val="20"/>
                <w:szCs w:val="20"/>
                <w:lang w:eastAsia="ru-RU"/>
              </w:rPr>
              <w:t> </w:t>
            </w:r>
            <w:r w:rsidRPr="00A071F0">
              <w:rPr>
                <w:rFonts w:ascii="Times New Roman" w:hAnsi="Times New Roman"/>
                <w:sz w:val="20"/>
                <w:szCs w:val="20"/>
                <w:lang w:eastAsia="ru-RU"/>
              </w:rPr>
              <w:t>данным многолетних наблюдений. Выработка предложений по</w:t>
            </w:r>
            <w:r>
              <w:rPr>
                <w:rFonts w:ascii="Times New Roman" w:hAnsi="Times New Roman"/>
                <w:sz w:val="20"/>
                <w:szCs w:val="20"/>
                <w:lang w:eastAsia="ru-RU"/>
              </w:rPr>
              <w:t> </w:t>
            </w:r>
            <w:r w:rsidRPr="00A071F0">
              <w:rPr>
                <w:rFonts w:ascii="Times New Roman" w:hAnsi="Times New Roman"/>
                <w:sz w:val="20"/>
                <w:szCs w:val="20"/>
                <w:lang w:eastAsia="ru-RU"/>
              </w:rPr>
              <w:t>составу и</w:t>
            </w:r>
            <w:r>
              <w:rPr>
                <w:rFonts w:ascii="Times New Roman" w:hAnsi="Times New Roman"/>
                <w:sz w:val="20"/>
                <w:szCs w:val="20"/>
                <w:lang w:eastAsia="ru-RU"/>
              </w:rPr>
              <w:t> </w:t>
            </w:r>
            <w:r w:rsidRPr="00A071F0">
              <w:rPr>
                <w:rFonts w:ascii="Times New Roman" w:hAnsi="Times New Roman"/>
                <w:sz w:val="20"/>
                <w:szCs w:val="20"/>
                <w:lang w:eastAsia="ru-RU"/>
              </w:rPr>
              <w:t>объёму создаваемых резервных запасов, порядку финансирования, подготовка заявок. Контроль за</w:t>
            </w:r>
            <w:r>
              <w:rPr>
                <w:rFonts w:ascii="Times New Roman" w:hAnsi="Times New Roman"/>
                <w:sz w:val="20"/>
                <w:szCs w:val="20"/>
                <w:lang w:eastAsia="ru-RU"/>
              </w:rPr>
              <w:t> </w:t>
            </w:r>
            <w:r w:rsidRPr="00A071F0">
              <w:rPr>
                <w:rFonts w:ascii="Times New Roman" w:hAnsi="Times New Roman"/>
                <w:sz w:val="20"/>
                <w:szCs w:val="20"/>
                <w:lang w:eastAsia="ru-RU"/>
              </w:rPr>
              <w:t>состоянием неснижаемых (нормируемых) запасов. Определение мест хранения и</w:t>
            </w:r>
            <w:r>
              <w:rPr>
                <w:rFonts w:ascii="Times New Roman" w:hAnsi="Times New Roman"/>
                <w:sz w:val="20"/>
                <w:szCs w:val="20"/>
                <w:lang w:eastAsia="ru-RU"/>
              </w:rPr>
              <w:t> </w:t>
            </w:r>
            <w:r w:rsidRPr="00A071F0">
              <w:rPr>
                <w:rFonts w:ascii="Times New Roman" w:hAnsi="Times New Roman"/>
                <w:sz w:val="20"/>
                <w:szCs w:val="20"/>
                <w:lang w:eastAsia="ru-RU"/>
              </w:rPr>
              <w:t>порядка доставки в</w:t>
            </w:r>
            <w:r>
              <w:rPr>
                <w:rFonts w:ascii="Times New Roman" w:hAnsi="Times New Roman"/>
                <w:sz w:val="20"/>
                <w:szCs w:val="20"/>
                <w:lang w:eastAsia="ru-RU"/>
              </w:rPr>
              <w:t> </w:t>
            </w:r>
            <w:r w:rsidRPr="00A071F0">
              <w:rPr>
                <w:rFonts w:ascii="Times New Roman" w:hAnsi="Times New Roman"/>
                <w:sz w:val="20"/>
                <w:szCs w:val="20"/>
                <w:lang w:eastAsia="ru-RU"/>
              </w:rPr>
              <w:t>район бедствия. Подготовка площадок для приёма поступающих в</w:t>
            </w:r>
            <w:r>
              <w:rPr>
                <w:rFonts w:ascii="Times New Roman" w:hAnsi="Times New Roman"/>
                <w:sz w:val="20"/>
                <w:szCs w:val="20"/>
                <w:lang w:eastAsia="ru-RU"/>
              </w:rPr>
              <w:t> </w:t>
            </w:r>
            <w:r w:rsidRPr="00A071F0">
              <w:rPr>
                <w:rFonts w:ascii="Times New Roman" w:hAnsi="Times New Roman"/>
                <w:sz w:val="20"/>
                <w:szCs w:val="20"/>
                <w:lang w:eastAsia="ru-RU"/>
              </w:rPr>
              <w:t>ходе ликвидации ЧС</w:t>
            </w:r>
            <w:r>
              <w:rPr>
                <w:rFonts w:ascii="Times New Roman" w:hAnsi="Times New Roman"/>
                <w:sz w:val="20"/>
                <w:szCs w:val="20"/>
                <w:lang w:eastAsia="ru-RU"/>
              </w:rPr>
              <w:t> </w:t>
            </w:r>
            <w:r w:rsidRPr="00A071F0">
              <w:rPr>
                <w:rFonts w:ascii="Times New Roman" w:hAnsi="Times New Roman"/>
                <w:sz w:val="20"/>
                <w:szCs w:val="20"/>
                <w:lang w:eastAsia="ru-RU"/>
              </w:rPr>
              <w:t>грузов.</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Подготовка к</w:t>
            </w:r>
            <w:r>
              <w:rPr>
                <w:rFonts w:ascii="Times New Roman" w:hAnsi="Times New Roman"/>
                <w:b/>
                <w:sz w:val="20"/>
                <w:szCs w:val="20"/>
                <w:lang w:eastAsia="ru-RU"/>
              </w:rPr>
              <w:t> </w:t>
            </w:r>
            <w:r w:rsidRPr="00A071F0">
              <w:rPr>
                <w:rFonts w:ascii="Times New Roman" w:hAnsi="Times New Roman"/>
                <w:b/>
                <w:sz w:val="20"/>
                <w:szCs w:val="20"/>
                <w:lang w:eastAsia="ru-RU"/>
              </w:rPr>
              <w:t>восстановлению повреждённых наводнением систем водо-, тепло-, энергоснабжения и</w:t>
            </w:r>
            <w:r>
              <w:rPr>
                <w:rFonts w:ascii="Times New Roman" w:hAnsi="Times New Roman"/>
                <w:b/>
                <w:sz w:val="20"/>
                <w:szCs w:val="20"/>
                <w:lang w:eastAsia="ru-RU"/>
              </w:rPr>
              <w:t> </w:t>
            </w:r>
            <w:r w:rsidRPr="00A071F0">
              <w:rPr>
                <w:rFonts w:ascii="Times New Roman" w:hAnsi="Times New Roman"/>
                <w:b/>
                <w:sz w:val="20"/>
                <w:szCs w:val="20"/>
                <w:lang w:eastAsia="ru-RU"/>
              </w:rPr>
              <w:t>связи, разрушенных или повреждённых дорог</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Режимы 1, 2.</w:t>
            </w:r>
            <w:r w:rsidRPr="00A071F0">
              <w:rPr>
                <w:rFonts w:ascii="Times New Roman" w:hAnsi="Times New Roman"/>
                <w:sz w:val="20"/>
                <w:szCs w:val="20"/>
                <w:lang w:eastAsia="ru-RU"/>
              </w:rPr>
              <w:t xml:space="preserve"> Разработка планов действий в</w:t>
            </w:r>
            <w:r>
              <w:rPr>
                <w:rFonts w:ascii="Times New Roman" w:hAnsi="Times New Roman"/>
                <w:sz w:val="20"/>
                <w:szCs w:val="20"/>
                <w:lang w:eastAsia="ru-RU"/>
              </w:rPr>
              <w:t> </w:t>
            </w:r>
            <w:r w:rsidRPr="00A071F0">
              <w:rPr>
                <w:rFonts w:ascii="Times New Roman" w:hAnsi="Times New Roman"/>
                <w:sz w:val="20"/>
                <w:szCs w:val="20"/>
                <w:lang w:eastAsia="ru-RU"/>
              </w:rPr>
              <w:t>условиях угрозы и</w:t>
            </w:r>
            <w:r>
              <w:rPr>
                <w:rFonts w:ascii="Times New Roman" w:hAnsi="Times New Roman"/>
                <w:sz w:val="20"/>
                <w:szCs w:val="20"/>
                <w:lang w:eastAsia="ru-RU"/>
              </w:rPr>
              <w:t> </w:t>
            </w:r>
            <w:r w:rsidRPr="00A071F0">
              <w:rPr>
                <w:rFonts w:ascii="Times New Roman" w:hAnsi="Times New Roman"/>
                <w:sz w:val="20"/>
                <w:szCs w:val="20"/>
                <w:lang w:eastAsia="ru-RU"/>
              </w:rPr>
              <w:t>в</w:t>
            </w:r>
            <w:r>
              <w:rPr>
                <w:rFonts w:ascii="Times New Roman" w:hAnsi="Times New Roman"/>
                <w:sz w:val="20"/>
                <w:szCs w:val="20"/>
                <w:lang w:eastAsia="ru-RU"/>
              </w:rPr>
              <w:t> </w:t>
            </w:r>
            <w:r w:rsidRPr="00A071F0">
              <w:rPr>
                <w:rFonts w:ascii="Times New Roman" w:hAnsi="Times New Roman"/>
                <w:sz w:val="20"/>
                <w:szCs w:val="20"/>
                <w:lang w:eastAsia="ru-RU"/>
              </w:rPr>
              <w:t>ходе ликвидации ЧС. Обеспечение материально-техническими ресурсами. Создание запасов резервных автономных источников энергоснабжения, тепла и</w:t>
            </w:r>
            <w:r>
              <w:rPr>
                <w:rFonts w:ascii="Times New Roman" w:hAnsi="Times New Roman"/>
                <w:sz w:val="20"/>
                <w:szCs w:val="20"/>
                <w:lang w:eastAsia="ru-RU"/>
              </w:rPr>
              <w:t> </w:t>
            </w:r>
            <w:r w:rsidRPr="00A071F0">
              <w:rPr>
                <w:rFonts w:ascii="Times New Roman" w:hAnsi="Times New Roman"/>
                <w:sz w:val="20"/>
                <w:szCs w:val="20"/>
                <w:lang w:eastAsia="ru-RU"/>
              </w:rPr>
              <w:t>т.п. Проведение учений и</w:t>
            </w:r>
            <w:r>
              <w:rPr>
                <w:rFonts w:ascii="Times New Roman" w:hAnsi="Times New Roman"/>
                <w:sz w:val="20"/>
                <w:szCs w:val="20"/>
                <w:lang w:eastAsia="ru-RU"/>
              </w:rPr>
              <w:t> </w:t>
            </w:r>
            <w:r w:rsidRPr="00A071F0">
              <w:rPr>
                <w:rFonts w:ascii="Times New Roman" w:hAnsi="Times New Roman"/>
                <w:sz w:val="20"/>
                <w:szCs w:val="20"/>
                <w:lang w:eastAsia="ru-RU"/>
              </w:rPr>
              <w:t>тренировок по</w:t>
            </w:r>
            <w:r>
              <w:rPr>
                <w:rFonts w:ascii="Times New Roman" w:hAnsi="Times New Roman"/>
                <w:sz w:val="20"/>
                <w:szCs w:val="20"/>
                <w:lang w:eastAsia="ru-RU"/>
              </w:rPr>
              <w:t> </w:t>
            </w:r>
            <w:r w:rsidRPr="00A071F0">
              <w:rPr>
                <w:rFonts w:ascii="Times New Roman" w:hAnsi="Times New Roman"/>
                <w:sz w:val="20"/>
                <w:szCs w:val="20"/>
                <w:lang w:eastAsia="ru-RU"/>
              </w:rPr>
              <w:t>переводу коммунально-энергетических объектов на</w:t>
            </w:r>
            <w:r>
              <w:rPr>
                <w:rFonts w:ascii="Times New Roman" w:hAnsi="Times New Roman"/>
                <w:sz w:val="20"/>
                <w:szCs w:val="20"/>
                <w:lang w:eastAsia="ru-RU"/>
              </w:rPr>
              <w:t> </w:t>
            </w:r>
            <w:r w:rsidRPr="00A071F0">
              <w:rPr>
                <w:rFonts w:ascii="Times New Roman" w:hAnsi="Times New Roman"/>
                <w:sz w:val="20"/>
                <w:szCs w:val="20"/>
                <w:lang w:eastAsia="ru-RU"/>
              </w:rPr>
              <w:t>особый режим функционирования, отработка нормативов перевода на</w:t>
            </w:r>
            <w:r>
              <w:rPr>
                <w:rFonts w:ascii="Times New Roman" w:hAnsi="Times New Roman"/>
                <w:sz w:val="20"/>
                <w:szCs w:val="20"/>
                <w:lang w:eastAsia="ru-RU"/>
              </w:rPr>
              <w:t> </w:t>
            </w:r>
            <w:r w:rsidRPr="00A071F0">
              <w:rPr>
                <w:rFonts w:ascii="Times New Roman" w:hAnsi="Times New Roman"/>
                <w:sz w:val="20"/>
                <w:szCs w:val="20"/>
                <w:lang w:eastAsia="ru-RU"/>
              </w:rPr>
              <w:t>особый режим (подготовка к</w:t>
            </w:r>
            <w:r>
              <w:rPr>
                <w:rFonts w:ascii="Times New Roman" w:hAnsi="Times New Roman"/>
                <w:sz w:val="20"/>
                <w:szCs w:val="20"/>
                <w:lang w:eastAsia="ru-RU"/>
              </w:rPr>
              <w:t> </w:t>
            </w:r>
            <w:r w:rsidRPr="00A071F0">
              <w:rPr>
                <w:rFonts w:ascii="Times New Roman" w:hAnsi="Times New Roman"/>
                <w:sz w:val="20"/>
                <w:szCs w:val="20"/>
                <w:lang w:eastAsia="ru-RU"/>
              </w:rPr>
              <w:t>переводу - не</w:t>
            </w:r>
            <w:r>
              <w:rPr>
                <w:rFonts w:ascii="Times New Roman" w:hAnsi="Times New Roman"/>
                <w:sz w:val="20"/>
                <w:szCs w:val="20"/>
                <w:lang w:eastAsia="ru-RU"/>
              </w:rPr>
              <w:t> </w:t>
            </w:r>
            <w:r w:rsidRPr="00A071F0">
              <w:rPr>
                <w:rFonts w:ascii="Times New Roman" w:hAnsi="Times New Roman"/>
                <w:sz w:val="20"/>
                <w:szCs w:val="20"/>
                <w:lang w:eastAsia="ru-RU"/>
              </w:rPr>
              <w:t>более 12 часов, непосредственно перевод - не</w:t>
            </w:r>
            <w:r>
              <w:rPr>
                <w:rFonts w:ascii="Times New Roman" w:hAnsi="Times New Roman"/>
                <w:sz w:val="20"/>
                <w:szCs w:val="20"/>
                <w:lang w:eastAsia="ru-RU"/>
              </w:rPr>
              <w:t> </w:t>
            </w:r>
            <w:r w:rsidRPr="00A071F0">
              <w:rPr>
                <w:rFonts w:ascii="Times New Roman" w:hAnsi="Times New Roman"/>
                <w:sz w:val="20"/>
                <w:szCs w:val="20"/>
                <w:lang w:eastAsia="ru-RU"/>
              </w:rPr>
              <w:t>более 6 часов). Создание запасов реагентов, расходных материалов. Согласование порядка обеспечения эвакуированного населения коммунально-энергетическими услугами.</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Осуществление мер по</w:t>
            </w:r>
            <w:r>
              <w:rPr>
                <w:rFonts w:ascii="Times New Roman" w:hAnsi="Times New Roman"/>
                <w:b/>
                <w:sz w:val="20"/>
                <w:szCs w:val="20"/>
                <w:lang w:eastAsia="ru-RU"/>
              </w:rPr>
              <w:t> </w:t>
            </w:r>
            <w:r w:rsidRPr="00A071F0">
              <w:rPr>
                <w:rFonts w:ascii="Times New Roman" w:hAnsi="Times New Roman"/>
                <w:b/>
                <w:sz w:val="20"/>
                <w:szCs w:val="20"/>
                <w:lang w:eastAsia="ru-RU"/>
              </w:rPr>
              <w:t>укреплению и</w:t>
            </w:r>
            <w:r>
              <w:rPr>
                <w:rFonts w:ascii="Times New Roman" w:hAnsi="Times New Roman"/>
                <w:b/>
                <w:sz w:val="20"/>
                <w:szCs w:val="20"/>
                <w:lang w:eastAsia="ru-RU"/>
              </w:rPr>
              <w:t> </w:t>
            </w:r>
            <w:r w:rsidRPr="00A071F0">
              <w:rPr>
                <w:rFonts w:ascii="Times New Roman" w:hAnsi="Times New Roman"/>
                <w:b/>
                <w:sz w:val="20"/>
                <w:szCs w:val="20"/>
                <w:lang w:eastAsia="ru-RU"/>
              </w:rPr>
              <w:t>защите систем тепло-, электроснабжения и</w:t>
            </w:r>
            <w:r>
              <w:rPr>
                <w:rFonts w:ascii="Times New Roman" w:hAnsi="Times New Roman"/>
                <w:b/>
                <w:sz w:val="20"/>
                <w:szCs w:val="20"/>
                <w:lang w:eastAsia="ru-RU"/>
              </w:rPr>
              <w:t> </w:t>
            </w:r>
            <w:r w:rsidRPr="00A071F0">
              <w:rPr>
                <w:rFonts w:ascii="Times New Roman" w:hAnsi="Times New Roman"/>
                <w:b/>
                <w:sz w:val="20"/>
                <w:szCs w:val="20"/>
                <w:lang w:eastAsia="ru-RU"/>
              </w:rPr>
              <w:t>связи, дорог и</w:t>
            </w:r>
            <w:r>
              <w:rPr>
                <w:rFonts w:ascii="Times New Roman" w:hAnsi="Times New Roman"/>
                <w:b/>
                <w:sz w:val="20"/>
                <w:szCs w:val="20"/>
                <w:lang w:eastAsia="ru-RU"/>
              </w:rPr>
              <w:t> </w:t>
            </w:r>
            <w:r w:rsidRPr="00A071F0">
              <w:rPr>
                <w:rFonts w:ascii="Times New Roman" w:hAnsi="Times New Roman"/>
                <w:b/>
                <w:sz w:val="20"/>
                <w:szCs w:val="20"/>
                <w:lang w:eastAsia="ru-RU"/>
              </w:rPr>
              <w:t>других транспортных коммуникаций.</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Режимы 2, 3.</w:t>
            </w:r>
            <w:r w:rsidRPr="00A071F0">
              <w:rPr>
                <w:rFonts w:ascii="Times New Roman" w:hAnsi="Times New Roman"/>
                <w:sz w:val="20"/>
                <w:szCs w:val="20"/>
                <w:lang w:eastAsia="ru-RU"/>
              </w:rPr>
              <w:t xml:space="preserve"> Изучение условий размещения объектов, трассировки трубопроводных сетей. Оценка риска повреждения и</w:t>
            </w:r>
            <w:r>
              <w:rPr>
                <w:rFonts w:ascii="Times New Roman" w:hAnsi="Times New Roman"/>
                <w:sz w:val="20"/>
                <w:szCs w:val="20"/>
                <w:lang w:eastAsia="ru-RU"/>
              </w:rPr>
              <w:t> </w:t>
            </w:r>
            <w:r w:rsidRPr="00A071F0">
              <w:rPr>
                <w:rFonts w:ascii="Times New Roman" w:hAnsi="Times New Roman"/>
                <w:sz w:val="20"/>
                <w:szCs w:val="20"/>
                <w:lang w:eastAsia="ru-RU"/>
              </w:rPr>
              <w:t>разрушения. Разработка и</w:t>
            </w:r>
            <w:r>
              <w:rPr>
                <w:rFonts w:ascii="Times New Roman" w:hAnsi="Times New Roman"/>
                <w:sz w:val="20"/>
                <w:szCs w:val="20"/>
                <w:lang w:eastAsia="ru-RU"/>
              </w:rPr>
              <w:t> </w:t>
            </w:r>
            <w:r w:rsidRPr="00A071F0">
              <w:rPr>
                <w:rFonts w:ascii="Times New Roman" w:hAnsi="Times New Roman"/>
                <w:sz w:val="20"/>
                <w:szCs w:val="20"/>
                <w:lang w:eastAsia="ru-RU"/>
              </w:rPr>
              <w:t>обоснование технических решений для конкретных объектов с</w:t>
            </w:r>
            <w:r>
              <w:rPr>
                <w:rFonts w:ascii="Times New Roman" w:hAnsi="Times New Roman"/>
                <w:sz w:val="20"/>
                <w:szCs w:val="20"/>
                <w:lang w:eastAsia="ru-RU"/>
              </w:rPr>
              <w:t> </w:t>
            </w:r>
            <w:r w:rsidRPr="00A071F0">
              <w:rPr>
                <w:rFonts w:ascii="Times New Roman" w:hAnsi="Times New Roman"/>
                <w:sz w:val="20"/>
                <w:szCs w:val="20"/>
                <w:lang w:eastAsia="ru-RU"/>
              </w:rPr>
              <w:t>учётом возможного характера воздействия ЧС</w:t>
            </w:r>
            <w:r>
              <w:rPr>
                <w:rFonts w:ascii="Times New Roman" w:hAnsi="Times New Roman"/>
                <w:sz w:val="20"/>
                <w:szCs w:val="20"/>
                <w:lang w:eastAsia="ru-RU"/>
              </w:rPr>
              <w:t> </w:t>
            </w:r>
            <w:r w:rsidRPr="00A071F0">
              <w:rPr>
                <w:rFonts w:ascii="Times New Roman" w:hAnsi="Times New Roman"/>
                <w:sz w:val="20"/>
                <w:szCs w:val="20"/>
                <w:lang w:eastAsia="ru-RU"/>
              </w:rPr>
              <w:t>на</w:t>
            </w:r>
            <w:r>
              <w:rPr>
                <w:rFonts w:ascii="Times New Roman" w:hAnsi="Times New Roman"/>
                <w:sz w:val="20"/>
                <w:szCs w:val="20"/>
                <w:lang w:eastAsia="ru-RU"/>
              </w:rPr>
              <w:t> </w:t>
            </w:r>
            <w:r w:rsidRPr="00A071F0">
              <w:rPr>
                <w:rFonts w:ascii="Times New Roman" w:hAnsi="Times New Roman"/>
                <w:sz w:val="20"/>
                <w:szCs w:val="20"/>
                <w:lang w:eastAsia="ru-RU"/>
              </w:rPr>
              <w:t>здания и</w:t>
            </w:r>
            <w:r>
              <w:rPr>
                <w:rFonts w:ascii="Times New Roman" w:hAnsi="Times New Roman"/>
                <w:sz w:val="20"/>
                <w:szCs w:val="20"/>
                <w:lang w:eastAsia="ru-RU"/>
              </w:rPr>
              <w:t> </w:t>
            </w:r>
            <w:r w:rsidRPr="00A071F0">
              <w:rPr>
                <w:rFonts w:ascii="Times New Roman" w:hAnsi="Times New Roman"/>
                <w:sz w:val="20"/>
                <w:szCs w:val="20"/>
                <w:lang w:eastAsia="ru-RU"/>
              </w:rPr>
              <w:t>сооружения объекта, технологический процесс. Увязка решения с</w:t>
            </w:r>
            <w:r>
              <w:rPr>
                <w:rFonts w:ascii="Times New Roman" w:hAnsi="Times New Roman"/>
                <w:sz w:val="20"/>
                <w:szCs w:val="20"/>
                <w:lang w:eastAsia="ru-RU"/>
              </w:rPr>
              <w:t> </w:t>
            </w:r>
            <w:r w:rsidRPr="00A071F0">
              <w:rPr>
                <w:rFonts w:ascii="Times New Roman" w:hAnsi="Times New Roman"/>
                <w:sz w:val="20"/>
                <w:szCs w:val="20"/>
                <w:lang w:eastAsia="ru-RU"/>
              </w:rPr>
              <w:t>общим комплексом мероприятий по</w:t>
            </w:r>
            <w:r>
              <w:rPr>
                <w:rFonts w:ascii="Times New Roman" w:hAnsi="Times New Roman"/>
                <w:sz w:val="20"/>
                <w:szCs w:val="20"/>
                <w:lang w:eastAsia="ru-RU"/>
              </w:rPr>
              <w:t> </w:t>
            </w:r>
            <w:r w:rsidRPr="00A071F0">
              <w:rPr>
                <w:rFonts w:ascii="Times New Roman" w:hAnsi="Times New Roman"/>
                <w:sz w:val="20"/>
                <w:szCs w:val="20"/>
                <w:lang w:eastAsia="ru-RU"/>
              </w:rPr>
              <w:t>предотвращению затоплений. Снижений вероятности возникновения вторичных факторов поражения за</w:t>
            </w:r>
            <w:r>
              <w:rPr>
                <w:rFonts w:ascii="Times New Roman" w:hAnsi="Times New Roman"/>
                <w:sz w:val="20"/>
                <w:szCs w:val="20"/>
                <w:lang w:eastAsia="ru-RU"/>
              </w:rPr>
              <w:t> </w:t>
            </w:r>
            <w:r w:rsidRPr="00A071F0">
              <w:rPr>
                <w:rFonts w:ascii="Times New Roman" w:hAnsi="Times New Roman"/>
                <w:sz w:val="20"/>
                <w:szCs w:val="20"/>
                <w:lang w:eastAsia="ru-RU"/>
              </w:rPr>
              <w:t>счёт инженерных решений и</w:t>
            </w:r>
            <w:r>
              <w:rPr>
                <w:rFonts w:ascii="Times New Roman" w:hAnsi="Times New Roman"/>
                <w:sz w:val="20"/>
                <w:szCs w:val="20"/>
                <w:lang w:eastAsia="ru-RU"/>
              </w:rPr>
              <w:t> </w:t>
            </w:r>
            <w:r w:rsidRPr="00A071F0">
              <w:rPr>
                <w:rFonts w:ascii="Times New Roman" w:hAnsi="Times New Roman"/>
                <w:sz w:val="20"/>
                <w:szCs w:val="20"/>
                <w:lang w:eastAsia="ru-RU"/>
              </w:rPr>
              <w:t>введения особого технологического режима, снижения запасов опасных веществ, ограничения мощности производства. В</w:t>
            </w:r>
            <w:r>
              <w:rPr>
                <w:rFonts w:ascii="Times New Roman" w:hAnsi="Times New Roman"/>
                <w:sz w:val="20"/>
                <w:szCs w:val="20"/>
                <w:lang w:eastAsia="ru-RU"/>
              </w:rPr>
              <w:t> </w:t>
            </w:r>
            <w:r w:rsidRPr="00A071F0">
              <w:rPr>
                <w:rFonts w:ascii="Times New Roman" w:hAnsi="Times New Roman"/>
                <w:sz w:val="20"/>
                <w:szCs w:val="20"/>
                <w:lang w:eastAsia="ru-RU"/>
              </w:rPr>
              <w:t>некоторых случаях - остановка производства, прекращение деятельности, корректировка транспортной схемы.</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Предварительное ослабление ледяного покрова для предотвращения образования заторов и</w:t>
            </w:r>
            <w:r>
              <w:rPr>
                <w:rFonts w:ascii="Times New Roman" w:hAnsi="Times New Roman"/>
                <w:b/>
                <w:sz w:val="20"/>
                <w:szCs w:val="20"/>
                <w:lang w:eastAsia="ru-RU"/>
              </w:rPr>
              <w:t> </w:t>
            </w:r>
            <w:r w:rsidRPr="00A071F0">
              <w:rPr>
                <w:rFonts w:ascii="Times New Roman" w:hAnsi="Times New Roman"/>
                <w:b/>
                <w:sz w:val="20"/>
                <w:szCs w:val="20"/>
                <w:lang w:eastAsia="ru-RU"/>
              </w:rPr>
              <w:t>зажоров</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Режимы 2, 3.</w:t>
            </w:r>
            <w:r w:rsidRPr="00A071F0">
              <w:rPr>
                <w:rFonts w:ascii="Times New Roman" w:hAnsi="Times New Roman"/>
                <w:sz w:val="20"/>
                <w:szCs w:val="20"/>
                <w:lang w:eastAsia="ru-RU"/>
              </w:rPr>
              <w:t xml:space="preserve"> Создание специальных команд для подрыва льда, обучение методике проведения взрывных работ на</w:t>
            </w:r>
            <w:r>
              <w:rPr>
                <w:rFonts w:ascii="Times New Roman" w:hAnsi="Times New Roman"/>
                <w:sz w:val="20"/>
                <w:szCs w:val="20"/>
                <w:lang w:eastAsia="ru-RU"/>
              </w:rPr>
              <w:t> </w:t>
            </w:r>
            <w:r w:rsidRPr="00A071F0">
              <w:rPr>
                <w:rFonts w:ascii="Times New Roman" w:hAnsi="Times New Roman"/>
                <w:sz w:val="20"/>
                <w:szCs w:val="20"/>
                <w:lang w:eastAsia="ru-RU"/>
              </w:rPr>
              <w:t>реках с</w:t>
            </w:r>
            <w:r>
              <w:rPr>
                <w:rFonts w:ascii="Times New Roman" w:hAnsi="Times New Roman"/>
                <w:sz w:val="20"/>
                <w:szCs w:val="20"/>
                <w:lang w:eastAsia="ru-RU"/>
              </w:rPr>
              <w:t> </w:t>
            </w:r>
            <w:r w:rsidRPr="00A071F0">
              <w:rPr>
                <w:rFonts w:ascii="Times New Roman" w:hAnsi="Times New Roman"/>
                <w:sz w:val="20"/>
                <w:szCs w:val="20"/>
                <w:lang w:eastAsia="ru-RU"/>
              </w:rPr>
              <w:t>различной ледовой обстановкой. Сертификация формирований. Экипировка и</w:t>
            </w:r>
            <w:r>
              <w:rPr>
                <w:rFonts w:ascii="Times New Roman" w:hAnsi="Times New Roman"/>
                <w:sz w:val="20"/>
                <w:szCs w:val="20"/>
                <w:lang w:eastAsia="ru-RU"/>
              </w:rPr>
              <w:t> </w:t>
            </w:r>
            <w:r w:rsidRPr="00A071F0">
              <w:rPr>
                <w:rFonts w:ascii="Times New Roman" w:hAnsi="Times New Roman"/>
                <w:sz w:val="20"/>
                <w:szCs w:val="20"/>
                <w:lang w:eastAsia="ru-RU"/>
              </w:rPr>
              <w:t>оснащение команд. Согласование порядка применения взрывного способа ликвидации заторов и</w:t>
            </w:r>
            <w:r>
              <w:rPr>
                <w:rFonts w:ascii="Times New Roman" w:hAnsi="Times New Roman"/>
                <w:sz w:val="20"/>
                <w:szCs w:val="20"/>
                <w:lang w:eastAsia="ru-RU"/>
              </w:rPr>
              <w:t> </w:t>
            </w:r>
            <w:r w:rsidRPr="00A071F0">
              <w:rPr>
                <w:rFonts w:ascii="Times New Roman" w:hAnsi="Times New Roman"/>
                <w:sz w:val="20"/>
                <w:szCs w:val="20"/>
                <w:lang w:eastAsia="ru-RU"/>
              </w:rPr>
              <w:t>порядка использования команд подрывников. Планирование доставки команд в</w:t>
            </w:r>
            <w:r>
              <w:rPr>
                <w:rFonts w:ascii="Times New Roman" w:hAnsi="Times New Roman"/>
                <w:sz w:val="20"/>
                <w:szCs w:val="20"/>
                <w:lang w:eastAsia="ru-RU"/>
              </w:rPr>
              <w:t> </w:t>
            </w:r>
            <w:r w:rsidRPr="00A071F0">
              <w:rPr>
                <w:rFonts w:ascii="Times New Roman" w:hAnsi="Times New Roman"/>
                <w:sz w:val="20"/>
                <w:szCs w:val="20"/>
                <w:lang w:eastAsia="ru-RU"/>
              </w:rPr>
              <w:t>места проведения взрывных работ. Проведение учений и</w:t>
            </w:r>
            <w:r>
              <w:rPr>
                <w:rFonts w:ascii="Times New Roman" w:hAnsi="Times New Roman"/>
                <w:sz w:val="20"/>
                <w:szCs w:val="20"/>
                <w:lang w:eastAsia="ru-RU"/>
              </w:rPr>
              <w:t> </w:t>
            </w:r>
            <w:r w:rsidRPr="00A071F0">
              <w:rPr>
                <w:rFonts w:ascii="Times New Roman" w:hAnsi="Times New Roman"/>
                <w:sz w:val="20"/>
                <w:szCs w:val="20"/>
                <w:lang w:eastAsia="ru-RU"/>
              </w:rPr>
              <w:t>тренировок. Применение ледокольного флота. Зачернение ледовых полей. Применение авиации для прицельного бомбометания по</w:t>
            </w:r>
            <w:r>
              <w:rPr>
                <w:rFonts w:ascii="Times New Roman" w:hAnsi="Times New Roman"/>
                <w:sz w:val="20"/>
                <w:szCs w:val="20"/>
                <w:lang w:eastAsia="ru-RU"/>
              </w:rPr>
              <w:t> </w:t>
            </w:r>
            <w:r w:rsidRPr="00A071F0">
              <w:rPr>
                <w:rFonts w:ascii="Times New Roman" w:hAnsi="Times New Roman"/>
                <w:sz w:val="20"/>
                <w:szCs w:val="20"/>
                <w:lang w:eastAsia="ru-RU"/>
              </w:rPr>
              <w:t>местам образования заторов.</w:t>
            </w:r>
          </w:p>
        </w:tc>
      </w:tr>
      <w:tr w:rsidR="002D1E45" w:rsidRPr="00A071F0" w:rsidTr="001F6325">
        <w:trPr>
          <w:trHeight w:val="283"/>
          <w:jc w:val="center"/>
        </w:trPr>
        <w:tc>
          <w:tcPr>
            <w:tcW w:w="5000" w:type="pct"/>
            <w:gridSpan w:val="2"/>
            <w:tcBorders>
              <w:bottom w:val="nil"/>
            </w:tcBorders>
            <w:vAlign w:val="center"/>
          </w:tcPr>
          <w:p w:rsidR="002D1E45" w:rsidRPr="00A071F0" w:rsidRDefault="002D1E45" w:rsidP="00A071F0">
            <w:pPr>
              <w:spacing w:after="0" w:line="240" w:lineRule="auto"/>
              <w:jc w:val="center"/>
              <w:rPr>
                <w:rFonts w:ascii="Times New Roman" w:hAnsi="Times New Roman"/>
                <w:b/>
                <w:sz w:val="20"/>
                <w:szCs w:val="20"/>
                <w:lang w:eastAsia="ru-RU"/>
              </w:rPr>
            </w:pPr>
            <w:r w:rsidRPr="00A071F0">
              <w:rPr>
                <w:rFonts w:ascii="Times New Roman" w:hAnsi="Times New Roman"/>
                <w:b/>
                <w:sz w:val="20"/>
                <w:szCs w:val="20"/>
                <w:lang w:eastAsia="ru-RU"/>
              </w:rPr>
              <w:t>Перечень превентивных мероприятий при авариях на</w:t>
            </w:r>
            <w:r>
              <w:rPr>
                <w:rFonts w:ascii="Times New Roman" w:hAnsi="Times New Roman"/>
                <w:b/>
                <w:sz w:val="20"/>
                <w:szCs w:val="20"/>
                <w:lang w:eastAsia="ru-RU"/>
              </w:rPr>
              <w:t> </w:t>
            </w:r>
            <w:r w:rsidRPr="00A071F0">
              <w:rPr>
                <w:rFonts w:ascii="Times New Roman" w:hAnsi="Times New Roman"/>
                <w:b/>
                <w:sz w:val="20"/>
                <w:szCs w:val="20"/>
                <w:lang w:eastAsia="ru-RU"/>
              </w:rPr>
              <w:t>гидротехнических сооружениях, угрозе подтопления и</w:t>
            </w:r>
            <w:r>
              <w:rPr>
                <w:rFonts w:ascii="Times New Roman" w:hAnsi="Times New Roman"/>
                <w:b/>
                <w:sz w:val="20"/>
                <w:szCs w:val="20"/>
                <w:lang w:eastAsia="ru-RU"/>
              </w:rPr>
              <w:t> </w:t>
            </w:r>
            <w:r w:rsidRPr="00A071F0">
              <w:rPr>
                <w:rFonts w:ascii="Times New Roman" w:hAnsi="Times New Roman"/>
                <w:b/>
                <w:sz w:val="20"/>
                <w:szCs w:val="20"/>
                <w:lang w:eastAsia="ru-RU"/>
              </w:rPr>
              <w:t>затопления</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Прогноз параметров волны прорыва, зон возможного затопления и</w:t>
            </w:r>
            <w:r>
              <w:rPr>
                <w:rFonts w:ascii="Times New Roman" w:hAnsi="Times New Roman"/>
                <w:b/>
                <w:sz w:val="20"/>
                <w:szCs w:val="20"/>
                <w:lang w:eastAsia="ru-RU"/>
              </w:rPr>
              <w:t> </w:t>
            </w:r>
            <w:r w:rsidRPr="00A071F0">
              <w:rPr>
                <w:rFonts w:ascii="Times New Roman" w:hAnsi="Times New Roman"/>
                <w:b/>
                <w:sz w:val="20"/>
                <w:szCs w:val="20"/>
                <w:lang w:eastAsia="ru-RU"/>
              </w:rPr>
              <w:t>возможной обстановки при прорыве гидротехнических сооружений напорного фронта. Прогноз обстановка при аварийном сбросе воды, доведение результатов прогноза до</w:t>
            </w:r>
            <w:r>
              <w:rPr>
                <w:rFonts w:ascii="Times New Roman" w:hAnsi="Times New Roman"/>
                <w:b/>
                <w:sz w:val="20"/>
                <w:szCs w:val="20"/>
                <w:lang w:eastAsia="ru-RU"/>
              </w:rPr>
              <w:t> </w:t>
            </w:r>
            <w:r w:rsidRPr="00A071F0">
              <w:rPr>
                <w:rFonts w:ascii="Times New Roman" w:hAnsi="Times New Roman"/>
                <w:b/>
                <w:sz w:val="20"/>
                <w:szCs w:val="20"/>
                <w:lang w:eastAsia="ru-RU"/>
              </w:rPr>
              <w:t>органов власти, учреждений, организаций, предприятий и</w:t>
            </w:r>
            <w:r>
              <w:rPr>
                <w:rFonts w:ascii="Times New Roman" w:hAnsi="Times New Roman"/>
                <w:b/>
                <w:sz w:val="20"/>
                <w:szCs w:val="20"/>
                <w:lang w:eastAsia="ru-RU"/>
              </w:rPr>
              <w:t> </w:t>
            </w:r>
            <w:r w:rsidRPr="00A071F0">
              <w:rPr>
                <w:rFonts w:ascii="Times New Roman" w:hAnsi="Times New Roman"/>
                <w:b/>
                <w:sz w:val="20"/>
                <w:szCs w:val="20"/>
                <w:lang w:eastAsia="ru-RU"/>
              </w:rPr>
              <w:t>населения</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Режимы 1, 2.</w:t>
            </w:r>
            <w:r w:rsidRPr="00A071F0">
              <w:rPr>
                <w:rFonts w:ascii="Times New Roman" w:hAnsi="Times New Roman"/>
                <w:sz w:val="20"/>
                <w:szCs w:val="20"/>
                <w:lang w:eastAsia="ru-RU"/>
              </w:rPr>
              <w:t xml:space="preserve"> Проведение расчётов по</w:t>
            </w:r>
            <w:r>
              <w:rPr>
                <w:rFonts w:ascii="Times New Roman" w:hAnsi="Times New Roman"/>
                <w:sz w:val="20"/>
                <w:szCs w:val="20"/>
                <w:lang w:eastAsia="ru-RU"/>
              </w:rPr>
              <w:t> </w:t>
            </w:r>
            <w:r w:rsidRPr="00A071F0">
              <w:rPr>
                <w:rFonts w:ascii="Times New Roman" w:hAnsi="Times New Roman"/>
                <w:sz w:val="20"/>
                <w:szCs w:val="20"/>
                <w:lang w:eastAsia="ru-RU"/>
              </w:rPr>
              <w:t>известным методикам, моделирование гидрологических процессов с</w:t>
            </w:r>
            <w:r>
              <w:rPr>
                <w:rFonts w:ascii="Times New Roman" w:hAnsi="Times New Roman"/>
                <w:sz w:val="20"/>
                <w:szCs w:val="20"/>
                <w:lang w:eastAsia="ru-RU"/>
              </w:rPr>
              <w:t> </w:t>
            </w:r>
            <w:r w:rsidRPr="00A071F0">
              <w:rPr>
                <w:rFonts w:ascii="Times New Roman" w:hAnsi="Times New Roman"/>
                <w:sz w:val="20"/>
                <w:szCs w:val="20"/>
                <w:lang w:eastAsia="ru-RU"/>
              </w:rPr>
              <w:t>использованием моделей и</w:t>
            </w:r>
            <w:r>
              <w:rPr>
                <w:rFonts w:ascii="Times New Roman" w:hAnsi="Times New Roman"/>
                <w:sz w:val="20"/>
                <w:szCs w:val="20"/>
                <w:lang w:eastAsia="ru-RU"/>
              </w:rPr>
              <w:t> </w:t>
            </w:r>
            <w:r w:rsidRPr="00A071F0">
              <w:rPr>
                <w:rFonts w:ascii="Times New Roman" w:hAnsi="Times New Roman"/>
                <w:sz w:val="20"/>
                <w:szCs w:val="20"/>
                <w:lang w:eastAsia="ru-RU"/>
              </w:rPr>
              <w:t>режимов реального времени. Проверка и</w:t>
            </w:r>
            <w:r>
              <w:rPr>
                <w:rFonts w:ascii="Times New Roman" w:hAnsi="Times New Roman"/>
                <w:sz w:val="20"/>
                <w:szCs w:val="20"/>
                <w:lang w:eastAsia="ru-RU"/>
              </w:rPr>
              <w:t> </w:t>
            </w:r>
            <w:r w:rsidRPr="00A071F0">
              <w:rPr>
                <w:rFonts w:ascii="Times New Roman" w:hAnsi="Times New Roman"/>
                <w:sz w:val="20"/>
                <w:szCs w:val="20"/>
                <w:lang w:eastAsia="ru-RU"/>
              </w:rPr>
              <w:t>уточнение проектных решений с</w:t>
            </w:r>
            <w:r>
              <w:rPr>
                <w:rFonts w:ascii="Times New Roman" w:hAnsi="Times New Roman"/>
                <w:sz w:val="20"/>
                <w:szCs w:val="20"/>
                <w:lang w:eastAsia="ru-RU"/>
              </w:rPr>
              <w:t> </w:t>
            </w:r>
            <w:r w:rsidRPr="00A071F0">
              <w:rPr>
                <w:rFonts w:ascii="Times New Roman" w:hAnsi="Times New Roman"/>
                <w:sz w:val="20"/>
                <w:szCs w:val="20"/>
                <w:lang w:eastAsia="ru-RU"/>
              </w:rPr>
              <w:t>учётом последних методических разработок. Задействование ГИС региональных центров ГОЧС. Доклад результатов расчёта (прогноза) руководству МЧС, доведение его до</w:t>
            </w:r>
            <w:r>
              <w:rPr>
                <w:rFonts w:ascii="Times New Roman" w:hAnsi="Times New Roman"/>
                <w:sz w:val="20"/>
                <w:szCs w:val="20"/>
                <w:lang w:eastAsia="ru-RU"/>
              </w:rPr>
              <w:t> </w:t>
            </w:r>
            <w:r w:rsidRPr="00A071F0">
              <w:rPr>
                <w:rFonts w:ascii="Times New Roman" w:hAnsi="Times New Roman"/>
                <w:sz w:val="20"/>
                <w:szCs w:val="20"/>
                <w:lang w:eastAsia="ru-RU"/>
              </w:rPr>
              <w:t>ГУ</w:t>
            </w:r>
            <w:r>
              <w:rPr>
                <w:rFonts w:ascii="Times New Roman" w:hAnsi="Times New Roman"/>
                <w:sz w:val="20"/>
                <w:szCs w:val="20"/>
                <w:lang w:eastAsia="ru-RU"/>
              </w:rPr>
              <w:t> </w:t>
            </w:r>
            <w:r w:rsidRPr="00A071F0">
              <w:rPr>
                <w:rFonts w:ascii="Times New Roman" w:hAnsi="Times New Roman"/>
                <w:sz w:val="20"/>
                <w:szCs w:val="20"/>
                <w:lang w:eastAsia="ru-RU"/>
              </w:rPr>
              <w:t>ГОЧС, органов власти на</w:t>
            </w:r>
            <w:r>
              <w:rPr>
                <w:rFonts w:ascii="Times New Roman" w:hAnsi="Times New Roman"/>
                <w:sz w:val="20"/>
                <w:szCs w:val="20"/>
                <w:lang w:eastAsia="ru-RU"/>
              </w:rPr>
              <w:t> </w:t>
            </w:r>
            <w:r w:rsidRPr="00A071F0">
              <w:rPr>
                <w:rFonts w:ascii="Times New Roman" w:hAnsi="Times New Roman"/>
                <w:sz w:val="20"/>
                <w:szCs w:val="20"/>
                <w:lang w:eastAsia="ru-RU"/>
              </w:rPr>
              <w:t>местах. В</w:t>
            </w:r>
            <w:r>
              <w:rPr>
                <w:rFonts w:ascii="Times New Roman" w:hAnsi="Times New Roman"/>
                <w:sz w:val="20"/>
                <w:szCs w:val="20"/>
                <w:lang w:eastAsia="ru-RU"/>
              </w:rPr>
              <w:t> </w:t>
            </w:r>
            <w:r w:rsidRPr="00A071F0">
              <w:rPr>
                <w:rFonts w:ascii="Times New Roman" w:hAnsi="Times New Roman"/>
                <w:sz w:val="20"/>
                <w:szCs w:val="20"/>
                <w:lang w:eastAsia="ru-RU"/>
              </w:rPr>
              <w:t>случае возникновения реальной угрозы затопления - оповещение населения.</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Обеспечение функционирования системы непрерывного наблюдения за</w:t>
            </w:r>
            <w:r>
              <w:rPr>
                <w:rFonts w:ascii="Times New Roman" w:hAnsi="Times New Roman"/>
                <w:b/>
                <w:sz w:val="20"/>
                <w:szCs w:val="20"/>
                <w:lang w:eastAsia="ru-RU"/>
              </w:rPr>
              <w:t> </w:t>
            </w:r>
            <w:r w:rsidRPr="00A071F0">
              <w:rPr>
                <w:rFonts w:ascii="Times New Roman" w:hAnsi="Times New Roman"/>
                <w:b/>
                <w:sz w:val="20"/>
                <w:szCs w:val="20"/>
                <w:lang w:eastAsia="ru-RU"/>
              </w:rPr>
              <w:t>состоянием ГТС и</w:t>
            </w:r>
            <w:r>
              <w:rPr>
                <w:rFonts w:ascii="Times New Roman" w:hAnsi="Times New Roman"/>
                <w:b/>
                <w:sz w:val="20"/>
                <w:szCs w:val="20"/>
                <w:lang w:eastAsia="ru-RU"/>
              </w:rPr>
              <w:t> </w:t>
            </w:r>
            <w:r w:rsidRPr="00A071F0">
              <w:rPr>
                <w:rFonts w:ascii="Times New Roman" w:hAnsi="Times New Roman"/>
                <w:b/>
                <w:sz w:val="20"/>
                <w:szCs w:val="20"/>
                <w:lang w:eastAsia="ru-RU"/>
              </w:rPr>
              <w:t>оповещение органов власти, хоз. организаций и</w:t>
            </w:r>
            <w:r>
              <w:rPr>
                <w:rFonts w:ascii="Times New Roman" w:hAnsi="Times New Roman"/>
                <w:b/>
                <w:sz w:val="20"/>
                <w:szCs w:val="20"/>
                <w:lang w:eastAsia="ru-RU"/>
              </w:rPr>
              <w:t> </w:t>
            </w:r>
            <w:r w:rsidRPr="00A071F0">
              <w:rPr>
                <w:rFonts w:ascii="Times New Roman" w:hAnsi="Times New Roman"/>
                <w:b/>
                <w:sz w:val="20"/>
                <w:szCs w:val="20"/>
                <w:lang w:eastAsia="ru-RU"/>
              </w:rPr>
              <w:t>населения об</w:t>
            </w:r>
            <w:r>
              <w:rPr>
                <w:rFonts w:ascii="Times New Roman" w:hAnsi="Times New Roman"/>
                <w:b/>
                <w:sz w:val="20"/>
                <w:szCs w:val="20"/>
                <w:lang w:eastAsia="ru-RU"/>
              </w:rPr>
              <w:t> </w:t>
            </w:r>
            <w:r w:rsidRPr="00A071F0">
              <w:rPr>
                <w:rFonts w:ascii="Times New Roman" w:hAnsi="Times New Roman"/>
                <w:b/>
                <w:sz w:val="20"/>
                <w:szCs w:val="20"/>
                <w:lang w:eastAsia="ru-RU"/>
              </w:rPr>
              <w:t>угрозе прорыва сооружений напорного фронта и</w:t>
            </w:r>
            <w:r>
              <w:rPr>
                <w:rFonts w:ascii="Times New Roman" w:hAnsi="Times New Roman"/>
                <w:b/>
                <w:sz w:val="20"/>
                <w:szCs w:val="20"/>
                <w:lang w:eastAsia="ru-RU"/>
              </w:rPr>
              <w:t> </w:t>
            </w:r>
            <w:r w:rsidRPr="00A071F0">
              <w:rPr>
                <w:rFonts w:ascii="Times New Roman" w:hAnsi="Times New Roman"/>
                <w:b/>
                <w:sz w:val="20"/>
                <w:szCs w:val="20"/>
                <w:lang w:eastAsia="ru-RU"/>
              </w:rPr>
              <w:t>подготовке, и</w:t>
            </w:r>
            <w:r>
              <w:rPr>
                <w:rFonts w:ascii="Times New Roman" w:hAnsi="Times New Roman"/>
                <w:b/>
                <w:sz w:val="20"/>
                <w:szCs w:val="20"/>
                <w:lang w:eastAsia="ru-RU"/>
              </w:rPr>
              <w:t> </w:t>
            </w:r>
            <w:r w:rsidRPr="00A071F0">
              <w:rPr>
                <w:rFonts w:ascii="Times New Roman" w:hAnsi="Times New Roman"/>
                <w:b/>
                <w:sz w:val="20"/>
                <w:szCs w:val="20"/>
                <w:lang w:eastAsia="ru-RU"/>
              </w:rPr>
              <w:t>проведении аварийного сброса воды из</w:t>
            </w:r>
            <w:r>
              <w:rPr>
                <w:rFonts w:ascii="Times New Roman" w:hAnsi="Times New Roman"/>
                <w:b/>
                <w:sz w:val="20"/>
                <w:szCs w:val="20"/>
                <w:lang w:eastAsia="ru-RU"/>
              </w:rPr>
              <w:t> </w:t>
            </w:r>
            <w:r w:rsidRPr="00A071F0">
              <w:rPr>
                <w:rFonts w:ascii="Times New Roman" w:hAnsi="Times New Roman"/>
                <w:b/>
                <w:sz w:val="20"/>
                <w:szCs w:val="20"/>
                <w:lang w:eastAsia="ru-RU"/>
              </w:rPr>
              <w:t>водохранилища (в случае необходимости)</w:t>
            </w:r>
          </w:p>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Организация работ по</w:t>
            </w:r>
            <w:r>
              <w:rPr>
                <w:rFonts w:ascii="Times New Roman" w:hAnsi="Times New Roman"/>
                <w:b/>
                <w:sz w:val="20"/>
                <w:szCs w:val="20"/>
                <w:lang w:eastAsia="ru-RU"/>
              </w:rPr>
              <w:t> </w:t>
            </w:r>
            <w:r w:rsidRPr="00A071F0">
              <w:rPr>
                <w:rFonts w:ascii="Times New Roman" w:hAnsi="Times New Roman"/>
                <w:b/>
                <w:sz w:val="20"/>
                <w:szCs w:val="20"/>
                <w:lang w:eastAsia="ru-RU"/>
              </w:rPr>
              <w:t>усилению ГТС (плотин, дамб и</w:t>
            </w:r>
            <w:r>
              <w:rPr>
                <w:rFonts w:ascii="Times New Roman" w:hAnsi="Times New Roman"/>
                <w:b/>
                <w:sz w:val="20"/>
                <w:szCs w:val="20"/>
                <w:lang w:eastAsia="ru-RU"/>
              </w:rPr>
              <w:t> </w:t>
            </w:r>
            <w:r w:rsidRPr="00A071F0">
              <w:rPr>
                <w:rFonts w:ascii="Times New Roman" w:hAnsi="Times New Roman"/>
                <w:b/>
                <w:sz w:val="20"/>
                <w:szCs w:val="20"/>
                <w:lang w:eastAsia="ru-RU"/>
              </w:rPr>
              <w:t>т.п.)</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Режимы 1, 2.</w:t>
            </w:r>
            <w:r w:rsidRPr="00A071F0">
              <w:rPr>
                <w:rFonts w:ascii="Times New Roman" w:hAnsi="Times New Roman"/>
                <w:sz w:val="20"/>
                <w:szCs w:val="20"/>
                <w:lang w:eastAsia="ru-RU"/>
              </w:rPr>
              <w:t xml:space="preserve"> Использование данных традиционных и</w:t>
            </w:r>
            <w:r>
              <w:rPr>
                <w:rFonts w:ascii="Times New Roman" w:hAnsi="Times New Roman"/>
                <w:sz w:val="20"/>
                <w:szCs w:val="20"/>
                <w:lang w:eastAsia="ru-RU"/>
              </w:rPr>
              <w:t> </w:t>
            </w:r>
            <w:r w:rsidRPr="00A071F0">
              <w:rPr>
                <w:rFonts w:ascii="Times New Roman" w:hAnsi="Times New Roman"/>
                <w:sz w:val="20"/>
                <w:szCs w:val="20"/>
                <w:lang w:eastAsia="ru-RU"/>
              </w:rPr>
              <w:t>автоматизированных гидрометрических постов Гидрометцентра, показаний сети метеорологических радаров, данных спутникового наблюдения. Контроль за</w:t>
            </w:r>
            <w:r>
              <w:rPr>
                <w:rFonts w:ascii="Times New Roman" w:hAnsi="Times New Roman"/>
                <w:sz w:val="20"/>
                <w:szCs w:val="20"/>
                <w:lang w:eastAsia="ru-RU"/>
              </w:rPr>
              <w:t> </w:t>
            </w:r>
            <w:r w:rsidRPr="00A071F0">
              <w:rPr>
                <w:rFonts w:ascii="Times New Roman" w:hAnsi="Times New Roman"/>
                <w:sz w:val="20"/>
                <w:szCs w:val="20"/>
                <w:lang w:eastAsia="ru-RU"/>
              </w:rPr>
              <w:t>не</w:t>
            </w:r>
            <w:r>
              <w:rPr>
                <w:rFonts w:ascii="Times New Roman" w:hAnsi="Times New Roman"/>
                <w:sz w:val="20"/>
                <w:szCs w:val="20"/>
                <w:lang w:eastAsia="ru-RU"/>
              </w:rPr>
              <w:t> </w:t>
            </w:r>
            <w:r w:rsidRPr="00A071F0">
              <w:rPr>
                <w:rFonts w:ascii="Times New Roman" w:hAnsi="Times New Roman"/>
                <w:sz w:val="20"/>
                <w:szCs w:val="20"/>
                <w:lang w:eastAsia="ru-RU"/>
              </w:rPr>
              <w:t>превышением наблюдаемых параметров критических для конкретных ГТС, выдача предупреждения на</w:t>
            </w:r>
            <w:r>
              <w:rPr>
                <w:rFonts w:ascii="Times New Roman" w:hAnsi="Times New Roman"/>
                <w:sz w:val="20"/>
                <w:szCs w:val="20"/>
                <w:lang w:eastAsia="ru-RU"/>
              </w:rPr>
              <w:t> </w:t>
            </w:r>
            <w:r w:rsidRPr="00A071F0">
              <w:rPr>
                <w:rFonts w:ascii="Times New Roman" w:hAnsi="Times New Roman"/>
                <w:sz w:val="20"/>
                <w:szCs w:val="20"/>
                <w:lang w:eastAsia="ru-RU"/>
              </w:rPr>
              <w:t>проведение сброса воды по</w:t>
            </w:r>
            <w:r>
              <w:rPr>
                <w:rFonts w:ascii="Times New Roman" w:hAnsi="Times New Roman"/>
                <w:sz w:val="20"/>
                <w:szCs w:val="20"/>
                <w:lang w:eastAsia="ru-RU"/>
              </w:rPr>
              <w:t> </w:t>
            </w:r>
            <w:r w:rsidRPr="00A071F0">
              <w:rPr>
                <w:rFonts w:ascii="Times New Roman" w:hAnsi="Times New Roman"/>
                <w:sz w:val="20"/>
                <w:szCs w:val="20"/>
                <w:lang w:eastAsia="ru-RU"/>
              </w:rPr>
              <w:t>результатам наблюдения и</w:t>
            </w:r>
            <w:r>
              <w:rPr>
                <w:rFonts w:ascii="Times New Roman" w:hAnsi="Times New Roman"/>
                <w:sz w:val="20"/>
                <w:szCs w:val="20"/>
                <w:lang w:eastAsia="ru-RU"/>
              </w:rPr>
              <w:t> </w:t>
            </w:r>
            <w:r w:rsidRPr="00A071F0">
              <w:rPr>
                <w:rFonts w:ascii="Times New Roman" w:hAnsi="Times New Roman"/>
                <w:sz w:val="20"/>
                <w:szCs w:val="20"/>
                <w:lang w:eastAsia="ru-RU"/>
              </w:rPr>
              <w:t>расчётов. Финансирование и</w:t>
            </w:r>
            <w:r>
              <w:rPr>
                <w:rFonts w:ascii="Times New Roman" w:hAnsi="Times New Roman"/>
                <w:sz w:val="20"/>
                <w:szCs w:val="20"/>
                <w:lang w:eastAsia="ru-RU"/>
              </w:rPr>
              <w:t> </w:t>
            </w:r>
            <w:r w:rsidRPr="00A071F0">
              <w:rPr>
                <w:rFonts w:ascii="Times New Roman" w:hAnsi="Times New Roman"/>
                <w:sz w:val="20"/>
                <w:szCs w:val="20"/>
                <w:lang w:eastAsia="ru-RU"/>
              </w:rPr>
              <w:t>техническое перевооружение системы наблюдения. Автоматизация процесса контроля за</w:t>
            </w:r>
            <w:r>
              <w:rPr>
                <w:rFonts w:ascii="Times New Roman" w:hAnsi="Times New Roman"/>
                <w:sz w:val="20"/>
                <w:szCs w:val="20"/>
                <w:lang w:eastAsia="ru-RU"/>
              </w:rPr>
              <w:t> </w:t>
            </w:r>
            <w:r w:rsidRPr="00A071F0">
              <w:rPr>
                <w:rFonts w:ascii="Times New Roman" w:hAnsi="Times New Roman"/>
                <w:sz w:val="20"/>
                <w:szCs w:val="20"/>
                <w:lang w:eastAsia="ru-RU"/>
              </w:rPr>
              <w:t>состоянием плотин, дамб и</w:t>
            </w:r>
            <w:r>
              <w:rPr>
                <w:rFonts w:ascii="Times New Roman" w:hAnsi="Times New Roman"/>
                <w:sz w:val="20"/>
                <w:szCs w:val="20"/>
                <w:lang w:eastAsia="ru-RU"/>
              </w:rPr>
              <w:t> </w:t>
            </w:r>
            <w:r w:rsidRPr="00A071F0">
              <w:rPr>
                <w:rFonts w:ascii="Times New Roman" w:hAnsi="Times New Roman"/>
                <w:sz w:val="20"/>
                <w:szCs w:val="20"/>
                <w:lang w:eastAsia="ru-RU"/>
              </w:rPr>
              <w:t>т.п. Согласование времени сброса воды из</w:t>
            </w:r>
            <w:r>
              <w:rPr>
                <w:rFonts w:ascii="Times New Roman" w:hAnsi="Times New Roman"/>
                <w:sz w:val="20"/>
                <w:szCs w:val="20"/>
                <w:lang w:eastAsia="ru-RU"/>
              </w:rPr>
              <w:t> </w:t>
            </w:r>
            <w:r w:rsidRPr="00A071F0">
              <w:rPr>
                <w:rFonts w:ascii="Times New Roman" w:hAnsi="Times New Roman"/>
                <w:sz w:val="20"/>
                <w:szCs w:val="20"/>
                <w:lang w:eastAsia="ru-RU"/>
              </w:rPr>
              <w:t>водохранилищ.</w:t>
            </w:r>
          </w:p>
          <w:p w:rsidR="002D1E45" w:rsidRPr="00A071F0" w:rsidRDefault="002D1E45" w:rsidP="00A071F0">
            <w:pPr>
              <w:spacing w:after="0" w:line="240" w:lineRule="auto"/>
              <w:jc w:val="both"/>
              <w:rPr>
                <w:rFonts w:ascii="Times New Roman" w:hAnsi="Times New Roman"/>
                <w:sz w:val="20"/>
                <w:szCs w:val="20"/>
                <w:lang w:eastAsia="ru-RU"/>
              </w:rPr>
            </w:pPr>
          </w:p>
          <w:p w:rsidR="002D1E45" w:rsidRPr="00A071F0" w:rsidRDefault="002D1E45" w:rsidP="00A071F0">
            <w:pPr>
              <w:spacing w:after="0" w:line="240" w:lineRule="auto"/>
              <w:jc w:val="both"/>
              <w:rPr>
                <w:rFonts w:ascii="Times New Roman" w:hAnsi="Times New Roman"/>
                <w:sz w:val="20"/>
                <w:szCs w:val="20"/>
                <w:lang w:eastAsia="ru-RU"/>
              </w:rPr>
            </w:pPr>
          </w:p>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Режимы 1, 2.</w:t>
            </w:r>
            <w:r w:rsidRPr="00A071F0">
              <w:rPr>
                <w:rFonts w:ascii="Times New Roman" w:hAnsi="Times New Roman"/>
                <w:sz w:val="20"/>
                <w:szCs w:val="20"/>
                <w:lang w:eastAsia="ru-RU"/>
              </w:rPr>
              <w:t xml:space="preserve"> Наличие технических решений на</w:t>
            </w:r>
            <w:r>
              <w:rPr>
                <w:rFonts w:ascii="Times New Roman" w:hAnsi="Times New Roman"/>
                <w:sz w:val="20"/>
                <w:szCs w:val="20"/>
                <w:lang w:eastAsia="ru-RU"/>
              </w:rPr>
              <w:t> </w:t>
            </w:r>
            <w:r w:rsidRPr="00A071F0">
              <w:rPr>
                <w:rFonts w:ascii="Times New Roman" w:hAnsi="Times New Roman"/>
                <w:sz w:val="20"/>
                <w:szCs w:val="20"/>
                <w:lang w:eastAsia="ru-RU"/>
              </w:rPr>
              <w:t>проведение работ. Определение мест грунта, бутовых материалов и</w:t>
            </w:r>
            <w:r>
              <w:rPr>
                <w:rFonts w:ascii="Times New Roman" w:hAnsi="Times New Roman"/>
                <w:sz w:val="20"/>
                <w:szCs w:val="20"/>
                <w:lang w:eastAsia="ru-RU"/>
              </w:rPr>
              <w:t> </w:t>
            </w:r>
            <w:r w:rsidRPr="00A071F0">
              <w:rPr>
                <w:rFonts w:ascii="Times New Roman" w:hAnsi="Times New Roman"/>
                <w:sz w:val="20"/>
                <w:szCs w:val="20"/>
                <w:lang w:eastAsia="ru-RU"/>
              </w:rPr>
              <w:t>пр. Определение подрядных организаций на</w:t>
            </w:r>
            <w:r>
              <w:rPr>
                <w:rFonts w:ascii="Times New Roman" w:hAnsi="Times New Roman"/>
                <w:sz w:val="20"/>
                <w:szCs w:val="20"/>
                <w:lang w:eastAsia="ru-RU"/>
              </w:rPr>
              <w:t> </w:t>
            </w:r>
            <w:r w:rsidRPr="00A071F0">
              <w:rPr>
                <w:rFonts w:ascii="Times New Roman" w:hAnsi="Times New Roman"/>
                <w:sz w:val="20"/>
                <w:szCs w:val="20"/>
                <w:lang w:eastAsia="ru-RU"/>
              </w:rPr>
              <w:t>производство работ. Планирование работ. Обеспечение материально-техническими ресурсами работ по</w:t>
            </w:r>
            <w:r>
              <w:rPr>
                <w:rFonts w:ascii="Times New Roman" w:hAnsi="Times New Roman"/>
                <w:sz w:val="20"/>
                <w:szCs w:val="20"/>
                <w:lang w:eastAsia="ru-RU"/>
              </w:rPr>
              <w:t> </w:t>
            </w:r>
            <w:r w:rsidRPr="00A071F0">
              <w:rPr>
                <w:rFonts w:ascii="Times New Roman" w:hAnsi="Times New Roman"/>
                <w:sz w:val="20"/>
                <w:szCs w:val="20"/>
                <w:lang w:eastAsia="ru-RU"/>
              </w:rPr>
              <w:t>реконструкции ГТС.</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Осуществление контроля над регулирование паводкового стока водохранилищ (частичного опорожнения водохранилищ для принятия паводковых вод)</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Режимы 1, 2.</w:t>
            </w:r>
            <w:r w:rsidRPr="00A071F0">
              <w:rPr>
                <w:rFonts w:ascii="Times New Roman" w:hAnsi="Times New Roman"/>
                <w:sz w:val="20"/>
                <w:szCs w:val="20"/>
                <w:lang w:eastAsia="ru-RU"/>
              </w:rPr>
              <w:t xml:space="preserve"> Сезонный сброс воды из</w:t>
            </w:r>
            <w:r>
              <w:rPr>
                <w:rFonts w:ascii="Times New Roman" w:hAnsi="Times New Roman"/>
                <w:sz w:val="20"/>
                <w:szCs w:val="20"/>
                <w:lang w:eastAsia="ru-RU"/>
              </w:rPr>
              <w:t> </w:t>
            </w:r>
            <w:r w:rsidRPr="00A071F0">
              <w:rPr>
                <w:rFonts w:ascii="Times New Roman" w:hAnsi="Times New Roman"/>
                <w:sz w:val="20"/>
                <w:szCs w:val="20"/>
                <w:lang w:eastAsia="ru-RU"/>
              </w:rPr>
              <w:t>верхнего бьефа в</w:t>
            </w:r>
            <w:r>
              <w:rPr>
                <w:rFonts w:ascii="Times New Roman" w:hAnsi="Times New Roman"/>
                <w:sz w:val="20"/>
                <w:szCs w:val="20"/>
                <w:lang w:eastAsia="ru-RU"/>
              </w:rPr>
              <w:t> </w:t>
            </w:r>
            <w:r w:rsidRPr="00A071F0">
              <w:rPr>
                <w:rFonts w:ascii="Times New Roman" w:hAnsi="Times New Roman"/>
                <w:sz w:val="20"/>
                <w:szCs w:val="20"/>
                <w:lang w:eastAsia="ru-RU"/>
              </w:rPr>
              <w:t>соответствии с</w:t>
            </w:r>
            <w:r>
              <w:rPr>
                <w:rFonts w:ascii="Times New Roman" w:hAnsi="Times New Roman"/>
                <w:sz w:val="20"/>
                <w:szCs w:val="20"/>
                <w:lang w:eastAsia="ru-RU"/>
              </w:rPr>
              <w:t> </w:t>
            </w:r>
            <w:r w:rsidRPr="00A071F0">
              <w:rPr>
                <w:rFonts w:ascii="Times New Roman" w:hAnsi="Times New Roman"/>
                <w:sz w:val="20"/>
                <w:szCs w:val="20"/>
                <w:lang w:eastAsia="ru-RU"/>
              </w:rPr>
              <w:t>расчётами по</w:t>
            </w:r>
            <w:r>
              <w:rPr>
                <w:rFonts w:ascii="Times New Roman" w:hAnsi="Times New Roman"/>
                <w:sz w:val="20"/>
                <w:szCs w:val="20"/>
                <w:lang w:eastAsia="ru-RU"/>
              </w:rPr>
              <w:t> </w:t>
            </w:r>
            <w:r w:rsidRPr="00A071F0">
              <w:rPr>
                <w:rFonts w:ascii="Times New Roman" w:hAnsi="Times New Roman"/>
                <w:sz w:val="20"/>
                <w:szCs w:val="20"/>
                <w:lang w:eastAsia="ru-RU"/>
              </w:rPr>
              <w:t>данным многолетних наблюдений. Усиление контроля в</w:t>
            </w:r>
            <w:r>
              <w:rPr>
                <w:rFonts w:ascii="Times New Roman" w:hAnsi="Times New Roman"/>
                <w:sz w:val="20"/>
                <w:szCs w:val="20"/>
                <w:lang w:eastAsia="ru-RU"/>
              </w:rPr>
              <w:t> </w:t>
            </w:r>
            <w:r w:rsidRPr="00A071F0">
              <w:rPr>
                <w:rFonts w:ascii="Times New Roman" w:hAnsi="Times New Roman"/>
                <w:sz w:val="20"/>
                <w:szCs w:val="20"/>
                <w:lang w:eastAsia="ru-RU"/>
              </w:rPr>
              <w:t>предпаводковый и</w:t>
            </w:r>
            <w:r>
              <w:rPr>
                <w:rFonts w:ascii="Times New Roman" w:hAnsi="Times New Roman"/>
                <w:sz w:val="20"/>
                <w:szCs w:val="20"/>
                <w:lang w:eastAsia="ru-RU"/>
              </w:rPr>
              <w:t> </w:t>
            </w:r>
            <w:r w:rsidRPr="00A071F0">
              <w:rPr>
                <w:rFonts w:ascii="Times New Roman" w:hAnsi="Times New Roman"/>
                <w:sz w:val="20"/>
                <w:szCs w:val="20"/>
                <w:lang w:eastAsia="ru-RU"/>
              </w:rPr>
              <w:t>паводковый периоды, периоды, периоды половодья. Корректировка графика сброса по</w:t>
            </w:r>
            <w:r>
              <w:rPr>
                <w:rFonts w:ascii="Times New Roman" w:hAnsi="Times New Roman"/>
                <w:sz w:val="20"/>
                <w:szCs w:val="20"/>
                <w:lang w:eastAsia="ru-RU"/>
              </w:rPr>
              <w:t> </w:t>
            </w:r>
            <w:r w:rsidRPr="00A071F0">
              <w:rPr>
                <w:rFonts w:ascii="Times New Roman" w:hAnsi="Times New Roman"/>
                <w:sz w:val="20"/>
                <w:szCs w:val="20"/>
                <w:lang w:eastAsia="ru-RU"/>
              </w:rPr>
              <w:t>данным конкретного периода. Согласование на</w:t>
            </w:r>
            <w:r>
              <w:rPr>
                <w:rFonts w:ascii="Times New Roman" w:hAnsi="Times New Roman"/>
                <w:sz w:val="20"/>
                <w:szCs w:val="20"/>
                <w:lang w:eastAsia="ru-RU"/>
              </w:rPr>
              <w:t> </w:t>
            </w:r>
            <w:r w:rsidRPr="00A071F0">
              <w:rPr>
                <w:rFonts w:ascii="Times New Roman" w:hAnsi="Times New Roman"/>
                <w:sz w:val="20"/>
                <w:szCs w:val="20"/>
                <w:lang w:eastAsia="ru-RU"/>
              </w:rPr>
              <w:t>межрегиональном уровне графика сброса воды для крупных водохранилищ. Оперативное обобщение данных о</w:t>
            </w:r>
            <w:r>
              <w:rPr>
                <w:rFonts w:ascii="Times New Roman" w:hAnsi="Times New Roman"/>
                <w:sz w:val="20"/>
                <w:szCs w:val="20"/>
                <w:lang w:eastAsia="ru-RU"/>
              </w:rPr>
              <w:t> </w:t>
            </w:r>
            <w:r w:rsidRPr="00A071F0">
              <w:rPr>
                <w:rFonts w:ascii="Times New Roman" w:hAnsi="Times New Roman"/>
                <w:sz w:val="20"/>
                <w:szCs w:val="20"/>
                <w:lang w:eastAsia="ru-RU"/>
              </w:rPr>
              <w:t>наполнении водохранилищ и</w:t>
            </w:r>
            <w:r>
              <w:rPr>
                <w:rFonts w:ascii="Times New Roman" w:hAnsi="Times New Roman"/>
                <w:sz w:val="20"/>
                <w:szCs w:val="20"/>
                <w:lang w:eastAsia="ru-RU"/>
              </w:rPr>
              <w:t> </w:t>
            </w:r>
            <w:r w:rsidRPr="00A071F0">
              <w:rPr>
                <w:rFonts w:ascii="Times New Roman" w:hAnsi="Times New Roman"/>
                <w:sz w:val="20"/>
                <w:szCs w:val="20"/>
                <w:lang w:eastAsia="ru-RU"/>
              </w:rPr>
              <w:t>выработка предложения по</w:t>
            </w:r>
            <w:r>
              <w:rPr>
                <w:rFonts w:ascii="Times New Roman" w:hAnsi="Times New Roman"/>
                <w:sz w:val="20"/>
                <w:szCs w:val="20"/>
                <w:lang w:eastAsia="ru-RU"/>
              </w:rPr>
              <w:t> </w:t>
            </w:r>
            <w:r w:rsidRPr="00A071F0">
              <w:rPr>
                <w:rFonts w:ascii="Times New Roman" w:hAnsi="Times New Roman"/>
                <w:sz w:val="20"/>
                <w:szCs w:val="20"/>
                <w:lang w:eastAsia="ru-RU"/>
              </w:rPr>
              <w:t>времени и</w:t>
            </w:r>
            <w:r>
              <w:rPr>
                <w:rFonts w:ascii="Times New Roman" w:hAnsi="Times New Roman"/>
                <w:sz w:val="20"/>
                <w:szCs w:val="20"/>
                <w:lang w:eastAsia="ru-RU"/>
              </w:rPr>
              <w:t> </w:t>
            </w:r>
            <w:r w:rsidRPr="00A071F0">
              <w:rPr>
                <w:rFonts w:ascii="Times New Roman" w:hAnsi="Times New Roman"/>
                <w:sz w:val="20"/>
                <w:szCs w:val="20"/>
                <w:lang w:eastAsia="ru-RU"/>
              </w:rPr>
              <w:t>объёму сброса для принятия решения ответственными лицами.</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Планирование эвакуации (временного отселения) населения из</w:t>
            </w:r>
            <w:r>
              <w:rPr>
                <w:rFonts w:ascii="Times New Roman" w:hAnsi="Times New Roman"/>
                <w:b/>
                <w:sz w:val="20"/>
                <w:szCs w:val="20"/>
                <w:lang w:eastAsia="ru-RU"/>
              </w:rPr>
              <w:t> </w:t>
            </w:r>
            <w:r w:rsidRPr="00A071F0">
              <w:rPr>
                <w:rFonts w:ascii="Times New Roman" w:hAnsi="Times New Roman"/>
                <w:b/>
                <w:sz w:val="20"/>
                <w:szCs w:val="20"/>
                <w:lang w:eastAsia="ru-RU"/>
              </w:rPr>
              <w:t>зон возможного затопления и</w:t>
            </w:r>
            <w:r>
              <w:rPr>
                <w:rFonts w:ascii="Times New Roman" w:hAnsi="Times New Roman"/>
                <w:b/>
                <w:sz w:val="20"/>
                <w:szCs w:val="20"/>
                <w:lang w:eastAsia="ru-RU"/>
              </w:rPr>
              <w:t> </w:t>
            </w:r>
            <w:r w:rsidRPr="00A071F0">
              <w:rPr>
                <w:rFonts w:ascii="Times New Roman" w:hAnsi="Times New Roman"/>
                <w:b/>
                <w:sz w:val="20"/>
                <w:szCs w:val="20"/>
                <w:lang w:eastAsia="ru-RU"/>
              </w:rPr>
              <w:t>заблаговременное её проведение при угрозе затопления</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Режимы 1, 2, 3.</w:t>
            </w:r>
            <w:r w:rsidRPr="00A071F0">
              <w:rPr>
                <w:rFonts w:ascii="Times New Roman" w:hAnsi="Times New Roman"/>
                <w:sz w:val="20"/>
                <w:szCs w:val="20"/>
                <w:lang w:eastAsia="ru-RU"/>
              </w:rPr>
              <w:t xml:space="preserve"> Отработка планов проведения эвакуации. Определение мест размещения эвакуированного населения, порядка обеспечения его жизненно важных потребностей. Доведение до</w:t>
            </w:r>
            <w:r>
              <w:rPr>
                <w:rFonts w:ascii="Times New Roman" w:hAnsi="Times New Roman"/>
                <w:sz w:val="20"/>
                <w:szCs w:val="20"/>
                <w:lang w:eastAsia="ru-RU"/>
              </w:rPr>
              <w:t> </w:t>
            </w:r>
            <w:r w:rsidRPr="00A071F0">
              <w:rPr>
                <w:rFonts w:ascii="Times New Roman" w:hAnsi="Times New Roman"/>
                <w:sz w:val="20"/>
                <w:szCs w:val="20"/>
                <w:lang w:eastAsia="ru-RU"/>
              </w:rPr>
              <w:t>населения порядка действий и</w:t>
            </w:r>
            <w:r>
              <w:rPr>
                <w:rFonts w:ascii="Times New Roman" w:hAnsi="Times New Roman"/>
                <w:sz w:val="20"/>
                <w:szCs w:val="20"/>
                <w:lang w:eastAsia="ru-RU"/>
              </w:rPr>
              <w:t> </w:t>
            </w:r>
            <w:r w:rsidRPr="00A071F0">
              <w:rPr>
                <w:rFonts w:ascii="Times New Roman" w:hAnsi="Times New Roman"/>
                <w:sz w:val="20"/>
                <w:szCs w:val="20"/>
                <w:lang w:eastAsia="ru-RU"/>
              </w:rPr>
              <w:t>правил поведения в</w:t>
            </w:r>
            <w:r>
              <w:rPr>
                <w:rFonts w:ascii="Times New Roman" w:hAnsi="Times New Roman"/>
                <w:sz w:val="20"/>
                <w:szCs w:val="20"/>
                <w:lang w:eastAsia="ru-RU"/>
              </w:rPr>
              <w:t> </w:t>
            </w:r>
            <w:r w:rsidRPr="00A071F0">
              <w:rPr>
                <w:rFonts w:ascii="Times New Roman" w:hAnsi="Times New Roman"/>
                <w:sz w:val="20"/>
                <w:szCs w:val="20"/>
                <w:lang w:eastAsia="ru-RU"/>
              </w:rPr>
              <w:t>случае осуществления эвакуации. Установление порядка и</w:t>
            </w:r>
            <w:r>
              <w:rPr>
                <w:rFonts w:ascii="Times New Roman" w:hAnsi="Times New Roman"/>
                <w:sz w:val="20"/>
                <w:szCs w:val="20"/>
                <w:lang w:eastAsia="ru-RU"/>
              </w:rPr>
              <w:t> </w:t>
            </w:r>
            <w:r w:rsidRPr="00A071F0">
              <w:rPr>
                <w:rFonts w:ascii="Times New Roman" w:hAnsi="Times New Roman"/>
                <w:sz w:val="20"/>
                <w:szCs w:val="20"/>
                <w:lang w:eastAsia="ru-RU"/>
              </w:rPr>
              <w:t>норм обеспечения, определение источников финансирования эвакуационных мероприятий. Создание формирований транспортного и</w:t>
            </w:r>
            <w:r>
              <w:rPr>
                <w:rFonts w:ascii="Times New Roman" w:hAnsi="Times New Roman"/>
                <w:sz w:val="20"/>
                <w:szCs w:val="20"/>
                <w:lang w:eastAsia="ru-RU"/>
              </w:rPr>
              <w:t> </w:t>
            </w:r>
            <w:r w:rsidRPr="00A071F0">
              <w:rPr>
                <w:rFonts w:ascii="Times New Roman" w:hAnsi="Times New Roman"/>
                <w:sz w:val="20"/>
                <w:szCs w:val="20"/>
                <w:lang w:eastAsia="ru-RU"/>
              </w:rPr>
              <w:t>материального обеспечения. Проведение расчётов по</w:t>
            </w:r>
            <w:r>
              <w:rPr>
                <w:rFonts w:ascii="Times New Roman" w:hAnsi="Times New Roman"/>
                <w:sz w:val="20"/>
                <w:szCs w:val="20"/>
                <w:lang w:eastAsia="ru-RU"/>
              </w:rPr>
              <w:t> </w:t>
            </w:r>
            <w:r w:rsidRPr="00A071F0">
              <w:rPr>
                <w:rFonts w:ascii="Times New Roman" w:hAnsi="Times New Roman"/>
                <w:sz w:val="20"/>
                <w:szCs w:val="20"/>
                <w:lang w:eastAsia="ru-RU"/>
              </w:rPr>
              <w:t>определению потребности в</w:t>
            </w:r>
            <w:r>
              <w:rPr>
                <w:rFonts w:ascii="Times New Roman" w:hAnsi="Times New Roman"/>
                <w:sz w:val="20"/>
                <w:szCs w:val="20"/>
                <w:lang w:eastAsia="ru-RU"/>
              </w:rPr>
              <w:t> </w:t>
            </w:r>
            <w:r w:rsidRPr="00A071F0">
              <w:rPr>
                <w:rFonts w:ascii="Times New Roman" w:hAnsi="Times New Roman"/>
                <w:sz w:val="20"/>
                <w:szCs w:val="20"/>
                <w:lang w:eastAsia="ru-RU"/>
              </w:rPr>
              <w:t>транспортных средствах, ГСМ и</w:t>
            </w:r>
            <w:r>
              <w:rPr>
                <w:rFonts w:ascii="Times New Roman" w:hAnsi="Times New Roman"/>
                <w:sz w:val="20"/>
                <w:szCs w:val="20"/>
                <w:lang w:eastAsia="ru-RU"/>
              </w:rPr>
              <w:t> </w:t>
            </w:r>
            <w:r w:rsidRPr="00A071F0">
              <w:rPr>
                <w:rFonts w:ascii="Times New Roman" w:hAnsi="Times New Roman"/>
                <w:sz w:val="20"/>
                <w:szCs w:val="20"/>
                <w:lang w:eastAsia="ru-RU"/>
              </w:rPr>
              <w:t>ресурсах первоочередного жизнеобеспечения. Планомерное проведение эвакуации в</w:t>
            </w:r>
            <w:r>
              <w:rPr>
                <w:rFonts w:ascii="Times New Roman" w:hAnsi="Times New Roman"/>
                <w:sz w:val="20"/>
                <w:szCs w:val="20"/>
                <w:lang w:eastAsia="ru-RU"/>
              </w:rPr>
              <w:t> </w:t>
            </w:r>
            <w:r w:rsidRPr="00A071F0">
              <w:rPr>
                <w:rFonts w:ascii="Times New Roman" w:hAnsi="Times New Roman"/>
                <w:sz w:val="20"/>
                <w:szCs w:val="20"/>
                <w:lang w:eastAsia="ru-RU"/>
              </w:rPr>
              <w:t>случае возникновения реальной угрозы (по данным наблюдений и</w:t>
            </w:r>
            <w:r>
              <w:rPr>
                <w:rFonts w:ascii="Times New Roman" w:hAnsi="Times New Roman"/>
                <w:sz w:val="20"/>
                <w:szCs w:val="20"/>
                <w:lang w:eastAsia="ru-RU"/>
              </w:rPr>
              <w:t> </w:t>
            </w:r>
            <w:r w:rsidRPr="00A071F0">
              <w:rPr>
                <w:rFonts w:ascii="Times New Roman" w:hAnsi="Times New Roman"/>
                <w:sz w:val="20"/>
                <w:szCs w:val="20"/>
                <w:lang w:eastAsia="ru-RU"/>
              </w:rPr>
              <w:t>прогноза)</w:t>
            </w:r>
          </w:p>
        </w:tc>
      </w:tr>
      <w:tr w:rsidR="002D1E45" w:rsidRPr="00A071F0" w:rsidTr="001F6325">
        <w:trPr>
          <w:trHeight w:val="283"/>
          <w:jc w:val="center"/>
        </w:trPr>
        <w:tc>
          <w:tcPr>
            <w:tcW w:w="5000" w:type="pct"/>
            <w:gridSpan w:val="2"/>
            <w:vAlign w:val="center"/>
          </w:tcPr>
          <w:p w:rsidR="002D1E45" w:rsidRPr="00A071F0" w:rsidRDefault="002D1E45" w:rsidP="00A071F0">
            <w:pPr>
              <w:spacing w:after="0" w:line="240" w:lineRule="auto"/>
              <w:jc w:val="center"/>
              <w:rPr>
                <w:rFonts w:ascii="Times New Roman" w:hAnsi="Times New Roman"/>
                <w:b/>
                <w:sz w:val="20"/>
                <w:szCs w:val="20"/>
                <w:lang w:eastAsia="ru-RU"/>
              </w:rPr>
            </w:pPr>
            <w:r w:rsidRPr="00A071F0">
              <w:rPr>
                <w:rFonts w:ascii="Times New Roman" w:hAnsi="Times New Roman"/>
                <w:b/>
                <w:sz w:val="20"/>
                <w:szCs w:val="20"/>
                <w:lang w:eastAsia="ru-RU"/>
              </w:rPr>
              <w:t>Подтопление</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Дренирование территорий (по результатам изысканий и</w:t>
            </w:r>
            <w:r>
              <w:rPr>
                <w:rFonts w:ascii="Times New Roman" w:hAnsi="Times New Roman"/>
                <w:b/>
                <w:sz w:val="20"/>
                <w:szCs w:val="20"/>
                <w:lang w:eastAsia="ru-RU"/>
              </w:rPr>
              <w:t> </w:t>
            </w:r>
            <w:r w:rsidRPr="00A071F0">
              <w:rPr>
                <w:rFonts w:ascii="Times New Roman" w:hAnsi="Times New Roman"/>
                <w:b/>
                <w:sz w:val="20"/>
                <w:szCs w:val="20"/>
                <w:lang w:eastAsia="ru-RU"/>
              </w:rPr>
              <w:t>проектирования)</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 1.</w:t>
            </w:r>
            <w:r w:rsidRPr="00A071F0">
              <w:rPr>
                <w:rFonts w:ascii="Times New Roman" w:hAnsi="Times New Roman"/>
                <w:sz w:val="20"/>
                <w:szCs w:val="20"/>
                <w:lang w:eastAsia="ru-RU"/>
              </w:rPr>
              <w:t xml:space="preserve"> Изучение геоморфологических, геолого-гидрогеологических и</w:t>
            </w:r>
            <w:r>
              <w:rPr>
                <w:rFonts w:ascii="Times New Roman" w:hAnsi="Times New Roman"/>
                <w:sz w:val="20"/>
                <w:szCs w:val="20"/>
                <w:lang w:eastAsia="ru-RU"/>
              </w:rPr>
              <w:t> </w:t>
            </w:r>
            <w:r w:rsidRPr="00A071F0">
              <w:rPr>
                <w:rFonts w:ascii="Times New Roman" w:hAnsi="Times New Roman"/>
                <w:sz w:val="20"/>
                <w:szCs w:val="20"/>
                <w:lang w:eastAsia="ru-RU"/>
              </w:rPr>
              <w:t>инженерно-геологических условий осваиваемых территорий, проведение специальных изысканий на</w:t>
            </w:r>
            <w:r>
              <w:rPr>
                <w:rFonts w:ascii="Times New Roman" w:hAnsi="Times New Roman"/>
                <w:sz w:val="20"/>
                <w:szCs w:val="20"/>
                <w:lang w:eastAsia="ru-RU"/>
              </w:rPr>
              <w:t> </w:t>
            </w:r>
            <w:r w:rsidRPr="00A071F0">
              <w:rPr>
                <w:rFonts w:ascii="Times New Roman" w:hAnsi="Times New Roman"/>
                <w:sz w:val="20"/>
                <w:szCs w:val="20"/>
                <w:lang w:eastAsia="ru-RU"/>
              </w:rPr>
              <w:t>участках слабопроницаемых и</w:t>
            </w:r>
            <w:r>
              <w:rPr>
                <w:rFonts w:ascii="Times New Roman" w:hAnsi="Times New Roman"/>
                <w:sz w:val="20"/>
                <w:szCs w:val="20"/>
                <w:lang w:eastAsia="ru-RU"/>
              </w:rPr>
              <w:t> </w:t>
            </w:r>
            <w:r w:rsidRPr="00A071F0">
              <w:rPr>
                <w:rFonts w:ascii="Times New Roman" w:hAnsi="Times New Roman"/>
                <w:sz w:val="20"/>
                <w:szCs w:val="20"/>
                <w:lang w:eastAsia="ru-RU"/>
              </w:rPr>
              <w:t>набухающих грунтов, со</w:t>
            </w:r>
            <w:r>
              <w:rPr>
                <w:rFonts w:ascii="Times New Roman" w:hAnsi="Times New Roman"/>
                <w:sz w:val="20"/>
                <w:szCs w:val="20"/>
                <w:lang w:eastAsia="ru-RU"/>
              </w:rPr>
              <w:t> </w:t>
            </w:r>
            <w:r w:rsidRPr="00A071F0">
              <w:rPr>
                <w:rFonts w:ascii="Times New Roman" w:hAnsi="Times New Roman"/>
                <w:sz w:val="20"/>
                <w:szCs w:val="20"/>
                <w:lang w:eastAsia="ru-RU"/>
              </w:rPr>
              <w:t>слабо развитой эрозионной сетью, неглубоким залеганием водоупорных слоёв с</w:t>
            </w:r>
            <w:r>
              <w:rPr>
                <w:rFonts w:ascii="Times New Roman" w:hAnsi="Times New Roman"/>
                <w:sz w:val="20"/>
                <w:szCs w:val="20"/>
                <w:lang w:eastAsia="ru-RU"/>
              </w:rPr>
              <w:t> </w:t>
            </w:r>
            <w:r w:rsidRPr="00A071F0">
              <w:rPr>
                <w:rFonts w:ascii="Times New Roman" w:hAnsi="Times New Roman"/>
                <w:sz w:val="20"/>
                <w:szCs w:val="20"/>
                <w:lang w:eastAsia="ru-RU"/>
              </w:rPr>
              <w:t>неровной кровли, затруднённым поверхностным и</w:t>
            </w:r>
            <w:r>
              <w:rPr>
                <w:rFonts w:ascii="Times New Roman" w:hAnsi="Times New Roman"/>
                <w:sz w:val="20"/>
                <w:szCs w:val="20"/>
                <w:lang w:eastAsia="ru-RU"/>
              </w:rPr>
              <w:t> </w:t>
            </w:r>
            <w:r w:rsidRPr="00A071F0">
              <w:rPr>
                <w:rFonts w:ascii="Times New Roman" w:hAnsi="Times New Roman"/>
                <w:sz w:val="20"/>
                <w:szCs w:val="20"/>
                <w:lang w:eastAsia="ru-RU"/>
              </w:rPr>
              <w:t>подземных стоком. Изучение естественных и</w:t>
            </w:r>
            <w:r>
              <w:rPr>
                <w:rFonts w:ascii="Times New Roman" w:hAnsi="Times New Roman"/>
                <w:sz w:val="20"/>
                <w:szCs w:val="20"/>
                <w:lang w:eastAsia="ru-RU"/>
              </w:rPr>
              <w:t> </w:t>
            </w:r>
            <w:r w:rsidRPr="00A071F0">
              <w:rPr>
                <w:rFonts w:ascii="Times New Roman" w:hAnsi="Times New Roman"/>
                <w:sz w:val="20"/>
                <w:szCs w:val="20"/>
                <w:lang w:eastAsia="ru-RU"/>
              </w:rPr>
              <w:t>искусственных (техногенная деятельность) факторов подтопления. Прогнозирование возможности подтопления при помощи аналитических методов и</w:t>
            </w:r>
            <w:r>
              <w:rPr>
                <w:rFonts w:ascii="Times New Roman" w:hAnsi="Times New Roman"/>
                <w:sz w:val="20"/>
                <w:szCs w:val="20"/>
                <w:lang w:eastAsia="ru-RU"/>
              </w:rPr>
              <w:t> </w:t>
            </w:r>
            <w:r w:rsidRPr="00A071F0">
              <w:rPr>
                <w:rFonts w:ascii="Times New Roman" w:hAnsi="Times New Roman"/>
                <w:sz w:val="20"/>
                <w:szCs w:val="20"/>
                <w:lang w:eastAsia="ru-RU"/>
              </w:rPr>
              <w:t>моделирования. Сооружение перехватывающих, пластовых, горизонтальных, вертикальных, пристенных и</w:t>
            </w:r>
            <w:r>
              <w:rPr>
                <w:rFonts w:ascii="Times New Roman" w:hAnsi="Times New Roman"/>
                <w:sz w:val="20"/>
                <w:szCs w:val="20"/>
                <w:lang w:eastAsia="ru-RU"/>
              </w:rPr>
              <w:t> </w:t>
            </w:r>
            <w:r w:rsidRPr="00A071F0">
              <w:rPr>
                <w:rFonts w:ascii="Times New Roman" w:hAnsi="Times New Roman"/>
                <w:sz w:val="20"/>
                <w:szCs w:val="20"/>
                <w:lang w:eastAsia="ru-RU"/>
              </w:rPr>
              <w:t>сопутствующих дренажей, противофильтрационных экранов и</w:t>
            </w:r>
            <w:r>
              <w:rPr>
                <w:rFonts w:ascii="Times New Roman" w:hAnsi="Times New Roman"/>
                <w:sz w:val="20"/>
                <w:szCs w:val="20"/>
                <w:lang w:eastAsia="ru-RU"/>
              </w:rPr>
              <w:t> </w:t>
            </w:r>
            <w:r w:rsidRPr="00A071F0">
              <w:rPr>
                <w:rFonts w:ascii="Times New Roman" w:hAnsi="Times New Roman"/>
                <w:sz w:val="20"/>
                <w:szCs w:val="20"/>
                <w:lang w:eastAsia="ru-RU"/>
              </w:rPr>
              <w:t xml:space="preserve">завес. </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Оповещение населения</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Режимы 2, 3.</w:t>
            </w:r>
            <w:r w:rsidRPr="00A071F0">
              <w:rPr>
                <w:rFonts w:ascii="Times New Roman" w:hAnsi="Times New Roman"/>
                <w:sz w:val="20"/>
                <w:szCs w:val="20"/>
                <w:lang w:eastAsia="ru-RU"/>
              </w:rPr>
              <w:t xml:space="preserve"> Задействование федеральной, территориальных и</w:t>
            </w:r>
            <w:r>
              <w:rPr>
                <w:rFonts w:ascii="Times New Roman" w:hAnsi="Times New Roman"/>
                <w:sz w:val="20"/>
                <w:szCs w:val="20"/>
                <w:lang w:eastAsia="ru-RU"/>
              </w:rPr>
              <w:t> </w:t>
            </w:r>
            <w:r w:rsidRPr="00A071F0">
              <w:rPr>
                <w:rFonts w:ascii="Times New Roman" w:hAnsi="Times New Roman"/>
                <w:sz w:val="20"/>
                <w:szCs w:val="20"/>
                <w:lang w:eastAsia="ru-RU"/>
              </w:rPr>
              <w:t>локальных систем оповещения в</w:t>
            </w:r>
            <w:r>
              <w:rPr>
                <w:rFonts w:ascii="Times New Roman" w:hAnsi="Times New Roman"/>
                <w:sz w:val="20"/>
                <w:szCs w:val="20"/>
                <w:lang w:eastAsia="ru-RU"/>
              </w:rPr>
              <w:t> </w:t>
            </w:r>
            <w:r w:rsidRPr="00A071F0">
              <w:rPr>
                <w:rFonts w:ascii="Times New Roman" w:hAnsi="Times New Roman"/>
                <w:sz w:val="20"/>
                <w:szCs w:val="20"/>
                <w:lang w:eastAsia="ru-RU"/>
              </w:rPr>
              <w:t>случае возникновения реальной угрозы. Использование ручного и</w:t>
            </w:r>
            <w:r>
              <w:rPr>
                <w:rFonts w:ascii="Times New Roman" w:hAnsi="Times New Roman"/>
                <w:sz w:val="20"/>
                <w:szCs w:val="20"/>
                <w:lang w:eastAsia="ru-RU"/>
              </w:rPr>
              <w:t> </w:t>
            </w:r>
            <w:r w:rsidRPr="00A071F0">
              <w:rPr>
                <w:rFonts w:ascii="Times New Roman" w:hAnsi="Times New Roman"/>
                <w:sz w:val="20"/>
                <w:szCs w:val="20"/>
                <w:lang w:eastAsia="ru-RU"/>
              </w:rPr>
              <w:t>автоматизированного способов оповещения, централизованное управление СО</w:t>
            </w:r>
            <w:r>
              <w:rPr>
                <w:rFonts w:ascii="Times New Roman" w:hAnsi="Times New Roman"/>
                <w:sz w:val="20"/>
                <w:szCs w:val="20"/>
                <w:lang w:eastAsia="ru-RU"/>
              </w:rPr>
              <w:t> </w:t>
            </w:r>
            <w:r w:rsidRPr="00A071F0">
              <w:rPr>
                <w:rFonts w:ascii="Times New Roman" w:hAnsi="Times New Roman"/>
                <w:sz w:val="20"/>
                <w:szCs w:val="20"/>
                <w:lang w:eastAsia="ru-RU"/>
              </w:rPr>
              <w:t>объектов экономики, принудительное переключение программ вещания радиотрансляционных узлов, радиовещательных и</w:t>
            </w:r>
            <w:r>
              <w:rPr>
                <w:rFonts w:ascii="Times New Roman" w:hAnsi="Times New Roman"/>
                <w:sz w:val="20"/>
                <w:szCs w:val="20"/>
                <w:lang w:eastAsia="ru-RU"/>
              </w:rPr>
              <w:t> </w:t>
            </w:r>
            <w:r w:rsidRPr="00A071F0">
              <w:rPr>
                <w:rFonts w:ascii="Times New Roman" w:hAnsi="Times New Roman"/>
                <w:sz w:val="20"/>
                <w:szCs w:val="20"/>
                <w:lang w:eastAsia="ru-RU"/>
              </w:rPr>
              <w:t>телевизионных станций на</w:t>
            </w:r>
            <w:r>
              <w:rPr>
                <w:rFonts w:ascii="Times New Roman" w:hAnsi="Times New Roman"/>
                <w:sz w:val="20"/>
                <w:szCs w:val="20"/>
                <w:lang w:eastAsia="ru-RU"/>
              </w:rPr>
              <w:t> </w:t>
            </w:r>
            <w:r w:rsidRPr="00A071F0">
              <w:rPr>
                <w:rFonts w:ascii="Times New Roman" w:hAnsi="Times New Roman"/>
                <w:sz w:val="20"/>
                <w:szCs w:val="20"/>
                <w:lang w:eastAsia="ru-RU"/>
              </w:rPr>
              <w:t>передачу сигнала оповещения.</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Предотвращение смыва загрязнений, ГСМ и</w:t>
            </w:r>
            <w:r>
              <w:rPr>
                <w:rFonts w:ascii="Times New Roman" w:hAnsi="Times New Roman"/>
                <w:b/>
                <w:sz w:val="20"/>
                <w:szCs w:val="20"/>
                <w:lang w:eastAsia="ru-RU"/>
              </w:rPr>
              <w:t> </w:t>
            </w:r>
            <w:r w:rsidRPr="00A071F0">
              <w:rPr>
                <w:rFonts w:ascii="Times New Roman" w:hAnsi="Times New Roman"/>
                <w:b/>
                <w:sz w:val="20"/>
                <w:szCs w:val="20"/>
                <w:lang w:eastAsia="ru-RU"/>
              </w:rPr>
              <w:t>т.п.</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Режимы 2, 3.</w:t>
            </w:r>
            <w:r w:rsidRPr="00A071F0">
              <w:rPr>
                <w:rFonts w:ascii="Times New Roman" w:hAnsi="Times New Roman"/>
                <w:sz w:val="20"/>
                <w:szCs w:val="20"/>
                <w:lang w:eastAsia="ru-RU"/>
              </w:rPr>
              <w:t xml:space="preserve"> Зачистка территории, обвалование ёмкостей хранение ГСМ. Перемещение сыпучих материалов на</w:t>
            </w:r>
            <w:r>
              <w:rPr>
                <w:rFonts w:ascii="Times New Roman" w:hAnsi="Times New Roman"/>
                <w:sz w:val="20"/>
                <w:szCs w:val="20"/>
                <w:lang w:eastAsia="ru-RU"/>
              </w:rPr>
              <w:t> </w:t>
            </w:r>
            <w:r w:rsidRPr="00A071F0">
              <w:rPr>
                <w:rFonts w:ascii="Times New Roman" w:hAnsi="Times New Roman"/>
                <w:sz w:val="20"/>
                <w:szCs w:val="20"/>
                <w:lang w:eastAsia="ru-RU"/>
              </w:rPr>
              <w:t>незатапливаемую территорию. Снижение запасов хранимых материалов в</w:t>
            </w:r>
            <w:r>
              <w:rPr>
                <w:rFonts w:ascii="Times New Roman" w:hAnsi="Times New Roman"/>
                <w:sz w:val="20"/>
                <w:szCs w:val="20"/>
                <w:lang w:eastAsia="ru-RU"/>
              </w:rPr>
              <w:t> </w:t>
            </w:r>
            <w:r w:rsidRPr="00A071F0">
              <w:rPr>
                <w:rFonts w:ascii="Times New Roman" w:hAnsi="Times New Roman"/>
                <w:sz w:val="20"/>
                <w:szCs w:val="20"/>
                <w:lang w:eastAsia="ru-RU"/>
              </w:rPr>
              <w:t>угрожаемый период. Применение сорбирующих материалов на</w:t>
            </w:r>
            <w:r>
              <w:rPr>
                <w:rFonts w:ascii="Times New Roman" w:hAnsi="Times New Roman"/>
                <w:sz w:val="20"/>
                <w:szCs w:val="20"/>
                <w:lang w:eastAsia="ru-RU"/>
              </w:rPr>
              <w:t> </w:t>
            </w:r>
            <w:r w:rsidRPr="00A071F0">
              <w:rPr>
                <w:rFonts w:ascii="Times New Roman" w:hAnsi="Times New Roman"/>
                <w:sz w:val="20"/>
                <w:szCs w:val="20"/>
                <w:lang w:eastAsia="ru-RU"/>
              </w:rPr>
              <w:t>площадках хранения детергентов. Контроль за</w:t>
            </w:r>
            <w:r>
              <w:rPr>
                <w:rFonts w:ascii="Times New Roman" w:hAnsi="Times New Roman"/>
                <w:sz w:val="20"/>
                <w:szCs w:val="20"/>
                <w:lang w:eastAsia="ru-RU"/>
              </w:rPr>
              <w:t> </w:t>
            </w:r>
            <w:r w:rsidRPr="00A071F0">
              <w:rPr>
                <w:rFonts w:ascii="Times New Roman" w:hAnsi="Times New Roman"/>
                <w:sz w:val="20"/>
                <w:szCs w:val="20"/>
                <w:lang w:eastAsia="ru-RU"/>
              </w:rPr>
              <w:t>состоянием систем отвода производственных стоков, очистными сооружениями, полями фильтрации, орошения, снижение нагрузки на</w:t>
            </w:r>
            <w:r>
              <w:rPr>
                <w:rFonts w:ascii="Times New Roman" w:hAnsi="Times New Roman"/>
                <w:sz w:val="20"/>
                <w:szCs w:val="20"/>
                <w:lang w:eastAsia="ru-RU"/>
              </w:rPr>
              <w:t> </w:t>
            </w:r>
            <w:r w:rsidRPr="00A071F0">
              <w:rPr>
                <w:rFonts w:ascii="Times New Roman" w:hAnsi="Times New Roman"/>
                <w:sz w:val="20"/>
                <w:szCs w:val="20"/>
                <w:lang w:eastAsia="ru-RU"/>
              </w:rPr>
              <w:t xml:space="preserve">низкорасположенные площадки утилизации отходов. </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Подготовка и</w:t>
            </w:r>
            <w:r>
              <w:rPr>
                <w:rFonts w:ascii="Times New Roman" w:hAnsi="Times New Roman"/>
                <w:b/>
                <w:sz w:val="20"/>
                <w:szCs w:val="20"/>
                <w:lang w:eastAsia="ru-RU"/>
              </w:rPr>
              <w:t> </w:t>
            </w:r>
            <w:r w:rsidRPr="00A071F0">
              <w:rPr>
                <w:rFonts w:ascii="Times New Roman" w:hAnsi="Times New Roman"/>
                <w:b/>
                <w:sz w:val="20"/>
                <w:szCs w:val="20"/>
                <w:lang w:eastAsia="ru-RU"/>
              </w:rPr>
              <w:t>реконструкция насыпей, дамб</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Режимы 1, 2.</w:t>
            </w:r>
            <w:r w:rsidRPr="00A071F0">
              <w:rPr>
                <w:rFonts w:ascii="Times New Roman" w:hAnsi="Times New Roman"/>
                <w:sz w:val="20"/>
                <w:szCs w:val="20"/>
                <w:lang w:eastAsia="ru-RU"/>
              </w:rPr>
              <w:t xml:space="preserve"> Выработка технических решений на</w:t>
            </w:r>
            <w:r>
              <w:rPr>
                <w:rFonts w:ascii="Times New Roman" w:hAnsi="Times New Roman"/>
                <w:sz w:val="20"/>
                <w:szCs w:val="20"/>
                <w:lang w:eastAsia="ru-RU"/>
              </w:rPr>
              <w:t> </w:t>
            </w:r>
            <w:r w:rsidRPr="00A071F0">
              <w:rPr>
                <w:rFonts w:ascii="Times New Roman" w:hAnsi="Times New Roman"/>
                <w:sz w:val="20"/>
                <w:szCs w:val="20"/>
                <w:lang w:eastAsia="ru-RU"/>
              </w:rPr>
              <w:t>проведение работ. Определение мест выемки грунта, бутовых материалов и</w:t>
            </w:r>
            <w:r>
              <w:rPr>
                <w:rFonts w:ascii="Times New Roman" w:hAnsi="Times New Roman"/>
                <w:sz w:val="20"/>
                <w:szCs w:val="20"/>
                <w:lang w:eastAsia="ru-RU"/>
              </w:rPr>
              <w:t> </w:t>
            </w:r>
            <w:r w:rsidRPr="00A071F0">
              <w:rPr>
                <w:rFonts w:ascii="Times New Roman" w:hAnsi="Times New Roman"/>
                <w:sz w:val="20"/>
                <w:szCs w:val="20"/>
                <w:lang w:eastAsia="ru-RU"/>
              </w:rPr>
              <w:t>пр. Определение подрядных организаций на</w:t>
            </w:r>
            <w:r>
              <w:rPr>
                <w:rFonts w:ascii="Times New Roman" w:hAnsi="Times New Roman"/>
                <w:sz w:val="20"/>
                <w:szCs w:val="20"/>
                <w:lang w:eastAsia="ru-RU"/>
              </w:rPr>
              <w:t> </w:t>
            </w:r>
            <w:r w:rsidRPr="00A071F0">
              <w:rPr>
                <w:rFonts w:ascii="Times New Roman" w:hAnsi="Times New Roman"/>
                <w:sz w:val="20"/>
                <w:szCs w:val="20"/>
                <w:lang w:eastAsia="ru-RU"/>
              </w:rPr>
              <w:t>производство работ. Планирование регламентных работ по</w:t>
            </w:r>
            <w:r>
              <w:rPr>
                <w:rFonts w:ascii="Times New Roman" w:hAnsi="Times New Roman"/>
                <w:sz w:val="20"/>
                <w:szCs w:val="20"/>
                <w:lang w:eastAsia="ru-RU"/>
              </w:rPr>
              <w:t> </w:t>
            </w:r>
            <w:r w:rsidRPr="00A071F0">
              <w:rPr>
                <w:rFonts w:ascii="Times New Roman" w:hAnsi="Times New Roman"/>
                <w:sz w:val="20"/>
                <w:szCs w:val="20"/>
                <w:lang w:eastAsia="ru-RU"/>
              </w:rPr>
              <w:t>месту и</w:t>
            </w:r>
            <w:r>
              <w:rPr>
                <w:rFonts w:ascii="Times New Roman" w:hAnsi="Times New Roman"/>
                <w:sz w:val="20"/>
                <w:szCs w:val="20"/>
                <w:lang w:eastAsia="ru-RU"/>
              </w:rPr>
              <w:t> </w:t>
            </w:r>
            <w:r w:rsidRPr="00A071F0">
              <w:rPr>
                <w:rFonts w:ascii="Times New Roman" w:hAnsi="Times New Roman"/>
                <w:sz w:val="20"/>
                <w:szCs w:val="20"/>
                <w:lang w:eastAsia="ru-RU"/>
              </w:rPr>
              <w:t>времени производства, а</w:t>
            </w:r>
            <w:r>
              <w:rPr>
                <w:rFonts w:ascii="Times New Roman" w:hAnsi="Times New Roman"/>
                <w:sz w:val="20"/>
                <w:szCs w:val="20"/>
                <w:lang w:eastAsia="ru-RU"/>
              </w:rPr>
              <w:t> </w:t>
            </w:r>
            <w:r w:rsidRPr="00A071F0">
              <w:rPr>
                <w:rFonts w:ascii="Times New Roman" w:hAnsi="Times New Roman"/>
                <w:sz w:val="20"/>
                <w:szCs w:val="20"/>
                <w:lang w:eastAsia="ru-RU"/>
              </w:rPr>
              <w:t>также в</w:t>
            </w:r>
            <w:r>
              <w:rPr>
                <w:rFonts w:ascii="Times New Roman" w:hAnsi="Times New Roman"/>
                <w:sz w:val="20"/>
                <w:szCs w:val="20"/>
                <w:lang w:eastAsia="ru-RU"/>
              </w:rPr>
              <w:t> </w:t>
            </w:r>
            <w:r w:rsidRPr="00A071F0">
              <w:rPr>
                <w:rFonts w:ascii="Times New Roman" w:hAnsi="Times New Roman"/>
                <w:sz w:val="20"/>
                <w:szCs w:val="20"/>
                <w:lang w:eastAsia="ru-RU"/>
              </w:rPr>
              <w:t>угрожаемый период. Обеспечение работ материально-техническими ресурсами. Определение порядка привлечения строительных организаций и</w:t>
            </w:r>
            <w:r>
              <w:rPr>
                <w:rFonts w:ascii="Times New Roman" w:hAnsi="Times New Roman"/>
                <w:sz w:val="20"/>
                <w:szCs w:val="20"/>
                <w:lang w:eastAsia="ru-RU"/>
              </w:rPr>
              <w:t> </w:t>
            </w:r>
            <w:r w:rsidRPr="00A071F0">
              <w:rPr>
                <w:rFonts w:ascii="Times New Roman" w:hAnsi="Times New Roman"/>
                <w:sz w:val="20"/>
                <w:szCs w:val="20"/>
                <w:lang w:eastAsia="ru-RU"/>
              </w:rPr>
              <w:t xml:space="preserve">механизированных колонн. </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Контроль за</w:t>
            </w:r>
            <w:r>
              <w:rPr>
                <w:rFonts w:ascii="Times New Roman" w:hAnsi="Times New Roman"/>
                <w:b/>
                <w:sz w:val="20"/>
                <w:szCs w:val="20"/>
                <w:lang w:eastAsia="ru-RU"/>
              </w:rPr>
              <w:t> </w:t>
            </w:r>
            <w:r w:rsidRPr="00A071F0">
              <w:rPr>
                <w:rFonts w:ascii="Times New Roman" w:hAnsi="Times New Roman"/>
                <w:b/>
                <w:sz w:val="20"/>
                <w:szCs w:val="20"/>
                <w:lang w:eastAsia="ru-RU"/>
              </w:rPr>
              <w:t>состоянием зданий, сооружений</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Режимы 2, 3.</w:t>
            </w:r>
            <w:r w:rsidRPr="00A071F0">
              <w:rPr>
                <w:rFonts w:ascii="Times New Roman" w:hAnsi="Times New Roman"/>
                <w:sz w:val="20"/>
                <w:szCs w:val="20"/>
                <w:lang w:eastAsia="ru-RU"/>
              </w:rPr>
              <w:t xml:space="preserve"> Усиление строительных конструкций ответственных объектов по</w:t>
            </w:r>
            <w:r>
              <w:rPr>
                <w:rFonts w:ascii="Times New Roman" w:hAnsi="Times New Roman"/>
                <w:sz w:val="20"/>
                <w:szCs w:val="20"/>
                <w:lang w:eastAsia="ru-RU"/>
              </w:rPr>
              <w:t> </w:t>
            </w:r>
            <w:r w:rsidRPr="00A071F0">
              <w:rPr>
                <w:rFonts w:ascii="Times New Roman" w:hAnsi="Times New Roman"/>
                <w:sz w:val="20"/>
                <w:szCs w:val="20"/>
                <w:lang w:eastAsia="ru-RU"/>
              </w:rPr>
              <w:t>результатам обследования. Запрещение эксплуатации аварийных зданий и</w:t>
            </w:r>
            <w:r>
              <w:rPr>
                <w:rFonts w:ascii="Times New Roman" w:hAnsi="Times New Roman"/>
                <w:sz w:val="20"/>
                <w:szCs w:val="20"/>
                <w:lang w:eastAsia="ru-RU"/>
              </w:rPr>
              <w:t> </w:t>
            </w:r>
            <w:r w:rsidRPr="00A071F0">
              <w:rPr>
                <w:rFonts w:ascii="Times New Roman" w:hAnsi="Times New Roman"/>
                <w:sz w:val="20"/>
                <w:szCs w:val="20"/>
                <w:lang w:eastAsia="ru-RU"/>
              </w:rPr>
              <w:t>сооружений. Обследование оснований и</w:t>
            </w:r>
            <w:r>
              <w:rPr>
                <w:rFonts w:ascii="Times New Roman" w:hAnsi="Times New Roman"/>
                <w:sz w:val="20"/>
                <w:szCs w:val="20"/>
                <w:lang w:eastAsia="ru-RU"/>
              </w:rPr>
              <w:t> </w:t>
            </w:r>
            <w:r w:rsidRPr="00A071F0">
              <w:rPr>
                <w:rFonts w:ascii="Times New Roman" w:hAnsi="Times New Roman"/>
                <w:sz w:val="20"/>
                <w:szCs w:val="20"/>
                <w:lang w:eastAsia="ru-RU"/>
              </w:rPr>
              <w:t>фундаментов, гидроизоляция. Определение перечня ремонтно-восстановительных организации и</w:t>
            </w:r>
            <w:r>
              <w:rPr>
                <w:rFonts w:ascii="Times New Roman" w:hAnsi="Times New Roman"/>
                <w:sz w:val="20"/>
                <w:szCs w:val="20"/>
                <w:lang w:eastAsia="ru-RU"/>
              </w:rPr>
              <w:t> </w:t>
            </w:r>
            <w:r w:rsidRPr="00A071F0">
              <w:rPr>
                <w:rFonts w:ascii="Times New Roman" w:hAnsi="Times New Roman"/>
                <w:sz w:val="20"/>
                <w:szCs w:val="20"/>
                <w:lang w:eastAsia="ru-RU"/>
              </w:rPr>
              <w:t>служб. Создание запасов строительных материалов и</w:t>
            </w:r>
            <w:r>
              <w:rPr>
                <w:rFonts w:ascii="Times New Roman" w:hAnsi="Times New Roman"/>
                <w:sz w:val="20"/>
                <w:szCs w:val="20"/>
                <w:lang w:eastAsia="ru-RU"/>
              </w:rPr>
              <w:t> </w:t>
            </w:r>
            <w:r w:rsidRPr="00A071F0">
              <w:rPr>
                <w:rFonts w:ascii="Times New Roman" w:hAnsi="Times New Roman"/>
                <w:sz w:val="20"/>
                <w:szCs w:val="20"/>
                <w:lang w:eastAsia="ru-RU"/>
              </w:rPr>
              <w:t xml:space="preserve">изделий для ремонтных работ. </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Подготовка сил и</w:t>
            </w:r>
            <w:r>
              <w:rPr>
                <w:rFonts w:ascii="Times New Roman" w:hAnsi="Times New Roman"/>
                <w:b/>
                <w:sz w:val="20"/>
                <w:szCs w:val="20"/>
                <w:lang w:eastAsia="ru-RU"/>
              </w:rPr>
              <w:t> </w:t>
            </w:r>
            <w:r w:rsidRPr="00A071F0">
              <w:rPr>
                <w:rFonts w:ascii="Times New Roman" w:hAnsi="Times New Roman"/>
                <w:b/>
                <w:sz w:val="20"/>
                <w:szCs w:val="20"/>
                <w:lang w:eastAsia="ru-RU"/>
              </w:rPr>
              <w:t>средств для ликвидации последствий.</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Режимы 1, 2.</w:t>
            </w:r>
            <w:r w:rsidRPr="00A071F0">
              <w:rPr>
                <w:rFonts w:ascii="Times New Roman" w:hAnsi="Times New Roman"/>
                <w:sz w:val="20"/>
                <w:szCs w:val="20"/>
                <w:lang w:eastAsia="ru-RU"/>
              </w:rPr>
              <w:t xml:space="preserve"> Создание, экипировка и</w:t>
            </w:r>
            <w:r>
              <w:rPr>
                <w:rFonts w:ascii="Times New Roman" w:hAnsi="Times New Roman"/>
                <w:sz w:val="20"/>
                <w:szCs w:val="20"/>
                <w:lang w:eastAsia="ru-RU"/>
              </w:rPr>
              <w:t> </w:t>
            </w:r>
            <w:r w:rsidRPr="00A071F0">
              <w:rPr>
                <w:rFonts w:ascii="Times New Roman" w:hAnsi="Times New Roman"/>
                <w:sz w:val="20"/>
                <w:szCs w:val="20"/>
                <w:lang w:eastAsia="ru-RU"/>
              </w:rPr>
              <w:t>оснащение, подготовка и</w:t>
            </w:r>
            <w:r>
              <w:rPr>
                <w:rFonts w:ascii="Times New Roman" w:hAnsi="Times New Roman"/>
                <w:sz w:val="20"/>
                <w:szCs w:val="20"/>
                <w:lang w:eastAsia="ru-RU"/>
              </w:rPr>
              <w:t> </w:t>
            </w:r>
            <w:r w:rsidRPr="00A071F0">
              <w:rPr>
                <w:rFonts w:ascii="Times New Roman" w:hAnsi="Times New Roman"/>
                <w:sz w:val="20"/>
                <w:szCs w:val="20"/>
                <w:lang w:eastAsia="ru-RU"/>
              </w:rPr>
              <w:t>аттестация профессиональных, нештатных и</w:t>
            </w:r>
            <w:r>
              <w:rPr>
                <w:rFonts w:ascii="Times New Roman" w:hAnsi="Times New Roman"/>
                <w:sz w:val="20"/>
                <w:szCs w:val="20"/>
                <w:lang w:eastAsia="ru-RU"/>
              </w:rPr>
              <w:t> </w:t>
            </w:r>
            <w:r w:rsidRPr="00A071F0">
              <w:rPr>
                <w:rFonts w:ascii="Times New Roman" w:hAnsi="Times New Roman"/>
                <w:sz w:val="20"/>
                <w:szCs w:val="20"/>
                <w:lang w:eastAsia="ru-RU"/>
              </w:rPr>
              <w:t>общественных аварийно-спасательных сил, и</w:t>
            </w:r>
            <w:r>
              <w:rPr>
                <w:rFonts w:ascii="Times New Roman" w:hAnsi="Times New Roman"/>
                <w:sz w:val="20"/>
                <w:szCs w:val="20"/>
                <w:lang w:eastAsia="ru-RU"/>
              </w:rPr>
              <w:t> </w:t>
            </w:r>
            <w:r w:rsidRPr="00A071F0">
              <w:rPr>
                <w:rFonts w:ascii="Times New Roman" w:hAnsi="Times New Roman"/>
                <w:sz w:val="20"/>
                <w:szCs w:val="20"/>
                <w:lang w:eastAsia="ru-RU"/>
              </w:rPr>
              <w:t>средств на</w:t>
            </w:r>
            <w:r>
              <w:rPr>
                <w:rFonts w:ascii="Times New Roman" w:hAnsi="Times New Roman"/>
                <w:sz w:val="20"/>
                <w:szCs w:val="20"/>
                <w:lang w:eastAsia="ru-RU"/>
              </w:rPr>
              <w:t> </w:t>
            </w:r>
            <w:r w:rsidRPr="00A071F0">
              <w:rPr>
                <w:rFonts w:ascii="Times New Roman" w:hAnsi="Times New Roman"/>
                <w:sz w:val="20"/>
                <w:szCs w:val="20"/>
                <w:lang w:eastAsia="ru-RU"/>
              </w:rPr>
              <w:t>базе предприятий, ведомств, ведомств, федеральных и</w:t>
            </w:r>
            <w:r>
              <w:rPr>
                <w:rFonts w:ascii="Times New Roman" w:hAnsi="Times New Roman"/>
                <w:sz w:val="20"/>
                <w:szCs w:val="20"/>
                <w:lang w:eastAsia="ru-RU"/>
              </w:rPr>
              <w:t> </w:t>
            </w:r>
            <w:r w:rsidRPr="00A071F0">
              <w:rPr>
                <w:rFonts w:ascii="Times New Roman" w:hAnsi="Times New Roman"/>
                <w:sz w:val="20"/>
                <w:szCs w:val="20"/>
                <w:lang w:eastAsia="ru-RU"/>
              </w:rPr>
              <w:t>территориальных органов. Поддержание в</w:t>
            </w:r>
            <w:r>
              <w:rPr>
                <w:rFonts w:ascii="Times New Roman" w:hAnsi="Times New Roman"/>
                <w:sz w:val="20"/>
                <w:szCs w:val="20"/>
                <w:lang w:eastAsia="ru-RU"/>
              </w:rPr>
              <w:t> </w:t>
            </w:r>
            <w:r w:rsidRPr="00A071F0">
              <w:rPr>
                <w:rFonts w:ascii="Times New Roman" w:hAnsi="Times New Roman"/>
                <w:sz w:val="20"/>
                <w:szCs w:val="20"/>
                <w:lang w:eastAsia="ru-RU"/>
              </w:rPr>
              <w:t>готовности аварийно-спасательных служб (АСС). Создание запасов материально-технических средств по</w:t>
            </w:r>
            <w:r>
              <w:rPr>
                <w:rFonts w:ascii="Times New Roman" w:hAnsi="Times New Roman"/>
                <w:sz w:val="20"/>
                <w:szCs w:val="20"/>
                <w:lang w:eastAsia="ru-RU"/>
              </w:rPr>
              <w:t> </w:t>
            </w:r>
            <w:r w:rsidRPr="00A071F0">
              <w:rPr>
                <w:rFonts w:ascii="Times New Roman" w:hAnsi="Times New Roman"/>
                <w:sz w:val="20"/>
                <w:szCs w:val="20"/>
                <w:lang w:eastAsia="ru-RU"/>
              </w:rPr>
              <w:t>профилю ЧС. Выделение материально-технических и</w:t>
            </w:r>
            <w:r>
              <w:rPr>
                <w:rFonts w:ascii="Times New Roman" w:hAnsi="Times New Roman"/>
                <w:sz w:val="20"/>
                <w:szCs w:val="20"/>
                <w:lang w:eastAsia="ru-RU"/>
              </w:rPr>
              <w:t> </w:t>
            </w:r>
            <w:r w:rsidRPr="00A071F0">
              <w:rPr>
                <w:rFonts w:ascii="Times New Roman" w:hAnsi="Times New Roman"/>
                <w:sz w:val="20"/>
                <w:szCs w:val="20"/>
                <w:lang w:eastAsia="ru-RU"/>
              </w:rPr>
              <w:t>финансовых ресурсов для ликвидации последствий ЧС. Планирование действий, отработка взаимодействия, проведение учений и</w:t>
            </w:r>
            <w:r>
              <w:rPr>
                <w:rFonts w:ascii="Times New Roman" w:hAnsi="Times New Roman"/>
                <w:sz w:val="20"/>
                <w:szCs w:val="20"/>
                <w:lang w:eastAsia="ru-RU"/>
              </w:rPr>
              <w:t> </w:t>
            </w:r>
            <w:r w:rsidRPr="00A071F0">
              <w:rPr>
                <w:rFonts w:ascii="Times New Roman" w:hAnsi="Times New Roman"/>
                <w:sz w:val="20"/>
                <w:szCs w:val="20"/>
                <w:lang w:eastAsia="ru-RU"/>
              </w:rPr>
              <w:t>тренировок.</w:t>
            </w:r>
          </w:p>
          <w:p w:rsidR="002D1E45" w:rsidRPr="00A071F0" w:rsidRDefault="002D1E45" w:rsidP="00A071F0">
            <w:pPr>
              <w:spacing w:after="0" w:line="240" w:lineRule="auto"/>
              <w:jc w:val="both"/>
              <w:rPr>
                <w:rFonts w:ascii="Times New Roman" w:hAnsi="Times New Roman"/>
                <w:sz w:val="20"/>
                <w:szCs w:val="20"/>
                <w:lang w:eastAsia="ru-RU"/>
              </w:rPr>
            </w:pP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Распашка поперёк склонов, террасирование склонов</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 1.</w:t>
            </w:r>
            <w:r w:rsidRPr="00A071F0">
              <w:rPr>
                <w:rFonts w:ascii="Times New Roman" w:hAnsi="Times New Roman"/>
                <w:sz w:val="20"/>
                <w:szCs w:val="20"/>
                <w:lang w:eastAsia="ru-RU"/>
              </w:rPr>
              <w:t xml:space="preserve"> Проводится с</w:t>
            </w:r>
            <w:r>
              <w:rPr>
                <w:rFonts w:ascii="Times New Roman" w:hAnsi="Times New Roman"/>
                <w:sz w:val="20"/>
                <w:szCs w:val="20"/>
                <w:lang w:eastAsia="ru-RU"/>
              </w:rPr>
              <w:t> </w:t>
            </w:r>
            <w:r w:rsidRPr="00A071F0">
              <w:rPr>
                <w:rFonts w:ascii="Times New Roman" w:hAnsi="Times New Roman"/>
                <w:sz w:val="20"/>
                <w:szCs w:val="20"/>
                <w:lang w:eastAsia="ru-RU"/>
              </w:rPr>
              <w:t>целью перевода скоротечного поверхностного стока в</w:t>
            </w:r>
            <w:r>
              <w:rPr>
                <w:rFonts w:ascii="Times New Roman" w:hAnsi="Times New Roman"/>
                <w:sz w:val="20"/>
                <w:szCs w:val="20"/>
                <w:lang w:eastAsia="ru-RU"/>
              </w:rPr>
              <w:t> </w:t>
            </w:r>
            <w:r w:rsidRPr="00A071F0">
              <w:rPr>
                <w:rFonts w:ascii="Times New Roman" w:hAnsi="Times New Roman"/>
                <w:sz w:val="20"/>
                <w:szCs w:val="20"/>
                <w:lang w:eastAsia="ru-RU"/>
              </w:rPr>
              <w:t>замедленный подземный. Может проводиться распашка снежных полей с</w:t>
            </w:r>
            <w:r>
              <w:rPr>
                <w:rFonts w:ascii="Times New Roman" w:hAnsi="Times New Roman"/>
                <w:sz w:val="20"/>
                <w:szCs w:val="20"/>
                <w:lang w:eastAsia="ru-RU"/>
              </w:rPr>
              <w:t> </w:t>
            </w:r>
            <w:r w:rsidRPr="00A071F0">
              <w:rPr>
                <w:rFonts w:ascii="Times New Roman" w:hAnsi="Times New Roman"/>
                <w:sz w:val="20"/>
                <w:szCs w:val="20"/>
                <w:lang w:eastAsia="ru-RU"/>
              </w:rPr>
              <w:t>образованием снежных валов в</w:t>
            </w:r>
            <w:r>
              <w:rPr>
                <w:rFonts w:ascii="Times New Roman" w:hAnsi="Times New Roman"/>
                <w:sz w:val="20"/>
                <w:szCs w:val="20"/>
                <w:lang w:eastAsia="ru-RU"/>
              </w:rPr>
              <w:t> </w:t>
            </w:r>
            <w:r w:rsidRPr="00A071F0">
              <w:rPr>
                <w:rFonts w:ascii="Times New Roman" w:hAnsi="Times New Roman"/>
                <w:sz w:val="20"/>
                <w:szCs w:val="20"/>
                <w:lang w:eastAsia="ru-RU"/>
              </w:rPr>
              <w:t>весенний период для задержки снеготаяния. Хороший эффект - в</w:t>
            </w:r>
            <w:r>
              <w:rPr>
                <w:rFonts w:ascii="Times New Roman" w:hAnsi="Times New Roman"/>
                <w:sz w:val="20"/>
                <w:szCs w:val="20"/>
                <w:lang w:eastAsia="ru-RU"/>
              </w:rPr>
              <w:t> </w:t>
            </w:r>
            <w:r w:rsidRPr="00A071F0">
              <w:rPr>
                <w:rFonts w:ascii="Times New Roman" w:hAnsi="Times New Roman"/>
                <w:sz w:val="20"/>
                <w:szCs w:val="20"/>
                <w:lang w:eastAsia="ru-RU"/>
              </w:rPr>
              <w:t>сочетании с</w:t>
            </w:r>
            <w:r>
              <w:rPr>
                <w:rFonts w:ascii="Times New Roman" w:hAnsi="Times New Roman"/>
                <w:sz w:val="20"/>
                <w:szCs w:val="20"/>
                <w:lang w:eastAsia="ru-RU"/>
              </w:rPr>
              <w:t> </w:t>
            </w:r>
            <w:r w:rsidRPr="00A071F0">
              <w:rPr>
                <w:rFonts w:ascii="Times New Roman" w:hAnsi="Times New Roman"/>
                <w:sz w:val="20"/>
                <w:szCs w:val="20"/>
                <w:lang w:eastAsia="ru-RU"/>
              </w:rPr>
              <w:t xml:space="preserve">созданием лесозаградительных полос. </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Берего- и</w:t>
            </w:r>
            <w:r>
              <w:rPr>
                <w:rFonts w:ascii="Times New Roman" w:hAnsi="Times New Roman"/>
                <w:b/>
                <w:sz w:val="20"/>
                <w:szCs w:val="20"/>
                <w:lang w:eastAsia="ru-RU"/>
              </w:rPr>
              <w:t> </w:t>
            </w:r>
            <w:r w:rsidRPr="00A071F0">
              <w:rPr>
                <w:rFonts w:ascii="Times New Roman" w:hAnsi="Times New Roman"/>
                <w:b/>
                <w:sz w:val="20"/>
                <w:szCs w:val="20"/>
                <w:lang w:eastAsia="ru-RU"/>
              </w:rPr>
              <w:t>дноукрепительные работы</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Режимы 1, 2.</w:t>
            </w:r>
            <w:r w:rsidRPr="00A071F0">
              <w:rPr>
                <w:rFonts w:ascii="Times New Roman" w:hAnsi="Times New Roman"/>
                <w:sz w:val="20"/>
                <w:szCs w:val="20"/>
                <w:lang w:eastAsia="ru-RU"/>
              </w:rPr>
              <w:t xml:space="preserve"> Проводятся по</w:t>
            </w:r>
            <w:r>
              <w:rPr>
                <w:rFonts w:ascii="Times New Roman" w:hAnsi="Times New Roman"/>
                <w:sz w:val="20"/>
                <w:szCs w:val="20"/>
                <w:lang w:eastAsia="ru-RU"/>
              </w:rPr>
              <w:t> </w:t>
            </w:r>
            <w:r w:rsidRPr="00A071F0">
              <w:rPr>
                <w:rFonts w:ascii="Times New Roman" w:hAnsi="Times New Roman"/>
                <w:sz w:val="20"/>
                <w:szCs w:val="20"/>
                <w:lang w:eastAsia="ru-RU"/>
              </w:rPr>
              <w:t>результатам гидрогеологических изысканий. Контроль за</w:t>
            </w:r>
            <w:r>
              <w:rPr>
                <w:rFonts w:ascii="Times New Roman" w:hAnsi="Times New Roman"/>
                <w:sz w:val="20"/>
                <w:szCs w:val="20"/>
                <w:lang w:eastAsia="ru-RU"/>
              </w:rPr>
              <w:t> </w:t>
            </w:r>
            <w:r w:rsidRPr="00A071F0">
              <w:rPr>
                <w:rFonts w:ascii="Times New Roman" w:hAnsi="Times New Roman"/>
                <w:sz w:val="20"/>
                <w:szCs w:val="20"/>
                <w:lang w:eastAsia="ru-RU"/>
              </w:rPr>
              <w:t>состоянием береговой линии, набережных в</w:t>
            </w:r>
            <w:r>
              <w:rPr>
                <w:rFonts w:ascii="Times New Roman" w:hAnsi="Times New Roman"/>
                <w:sz w:val="20"/>
                <w:szCs w:val="20"/>
                <w:lang w:eastAsia="ru-RU"/>
              </w:rPr>
              <w:t> </w:t>
            </w:r>
            <w:r w:rsidRPr="00A071F0">
              <w:rPr>
                <w:rFonts w:ascii="Times New Roman" w:hAnsi="Times New Roman"/>
                <w:sz w:val="20"/>
                <w:szCs w:val="20"/>
                <w:lang w:eastAsia="ru-RU"/>
              </w:rPr>
              <w:t>черте населённых пунктов. Разработка и</w:t>
            </w:r>
            <w:r>
              <w:rPr>
                <w:rFonts w:ascii="Times New Roman" w:hAnsi="Times New Roman"/>
                <w:sz w:val="20"/>
                <w:szCs w:val="20"/>
                <w:lang w:eastAsia="ru-RU"/>
              </w:rPr>
              <w:t> </w:t>
            </w:r>
            <w:r w:rsidRPr="00A071F0">
              <w:rPr>
                <w:rFonts w:ascii="Times New Roman" w:hAnsi="Times New Roman"/>
                <w:sz w:val="20"/>
                <w:szCs w:val="20"/>
                <w:lang w:eastAsia="ru-RU"/>
              </w:rPr>
              <w:t>планомерная реализация проектов производства работ для населённых пунктов, подверженных воздействию фактора. Использование местных строительных естественных и</w:t>
            </w:r>
            <w:r>
              <w:rPr>
                <w:rFonts w:ascii="Times New Roman" w:hAnsi="Times New Roman"/>
                <w:sz w:val="20"/>
                <w:szCs w:val="20"/>
                <w:lang w:eastAsia="ru-RU"/>
              </w:rPr>
              <w:t> </w:t>
            </w:r>
            <w:r w:rsidRPr="00A071F0">
              <w:rPr>
                <w:rFonts w:ascii="Times New Roman" w:hAnsi="Times New Roman"/>
                <w:sz w:val="20"/>
                <w:szCs w:val="20"/>
                <w:lang w:eastAsia="ru-RU"/>
              </w:rPr>
              <w:t>искусственных материалов. Завоз материалов и</w:t>
            </w:r>
            <w:r>
              <w:rPr>
                <w:rFonts w:ascii="Times New Roman" w:hAnsi="Times New Roman"/>
                <w:sz w:val="20"/>
                <w:szCs w:val="20"/>
                <w:lang w:eastAsia="ru-RU"/>
              </w:rPr>
              <w:t> </w:t>
            </w:r>
            <w:r w:rsidRPr="00A071F0">
              <w:rPr>
                <w:rFonts w:ascii="Times New Roman" w:hAnsi="Times New Roman"/>
                <w:sz w:val="20"/>
                <w:szCs w:val="20"/>
                <w:lang w:eastAsia="ru-RU"/>
              </w:rPr>
              <w:t>конструкций для производства работ (в случае необходимости). Контроль за</w:t>
            </w:r>
            <w:r>
              <w:rPr>
                <w:rFonts w:ascii="Times New Roman" w:hAnsi="Times New Roman"/>
                <w:sz w:val="20"/>
                <w:szCs w:val="20"/>
                <w:lang w:eastAsia="ru-RU"/>
              </w:rPr>
              <w:t> </w:t>
            </w:r>
            <w:r w:rsidRPr="00A071F0">
              <w:rPr>
                <w:rFonts w:ascii="Times New Roman" w:hAnsi="Times New Roman"/>
                <w:sz w:val="20"/>
                <w:szCs w:val="20"/>
                <w:lang w:eastAsia="ru-RU"/>
              </w:rPr>
              <w:t>своевременностью выполнения работ (готовность к</w:t>
            </w:r>
            <w:r>
              <w:rPr>
                <w:rFonts w:ascii="Times New Roman" w:hAnsi="Times New Roman"/>
                <w:sz w:val="20"/>
                <w:szCs w:val="20"/>
                <w:lang w:eastAsia="ru-RU"/>
              </w:rPr>
              <w:t> </w:t>
            </w:r>
            <w:r w:rsidRPr="00A071F0">
              <w:rPr>
                <w:rFonts w:ascii="Times New Roman" w:hAnsi="Times New Roman"/>
                <w:sz w:val="20"/>
                <w:szCs w:val="20"/>
                <w:lang w:eastAsia="ru-RU"/>
              </w:rPr>
              <w:t xml:space="preserve">паводковому периоду). </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Спрямление русла (для малых рек и</w:t>
            </w:r>
            <w:r>
              <w:rPr>
                <w:rFonts w:ascii="Times New Roman" w:hAnsi="Times New Roman"/>
                <w:b/>
                <w:sz w:val="20"/>
                <w:szCs w:val="20"/>
                <w:lang w:eastAsia="ru-RU"/>
              </w:rPr>
              <w:t> </w:t>
            </w:r>
            <w:r w:rsidRPr="00A071F0">
              <w:rPr>
                <w:rFonts w:ascii="Times New Roman" w:hAnsi="Times New Roman"/>
                <w:b/>
                <w:sz w:val="20"/>
                <w:szCs w:val="20"/>
                <w:lang w:eastAsia="ru-RU"/>
              </w:rPr>
              <w:t>водотоков)</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Режимы 1, 2.</w:t>
            </w:r>
            <w:r w:rsidRPr="00A071F0">
              <w:rPr>
                <w:rFonts w:ascii="Times New Roman" w:hAnsi="Times New Roman"/>
                <w:sz w:val="20"/>
                <w:szCs w:val="20"/>
                <w:lang w:eastAsia="ru-RU"/>
              </w:rPr>
              <w:t xml:space="preserve"> Проводится только на</w:t>
            </w:r>
            <w:r>
              <w:rPr>
                <w:rFonts w:ascii="Times New Roman" w:hAnsi="Times New Roman"/>
                <w:sz w:val="20"/>
                <w:szCs w:val="20"/>
                <w:lang w:eastAsia="ru-RU"/>
              </w:rPr>
              <w:t> </w:t>
            </w:r>
            <w:r w:rsidRPr="00A071F0">
              <w:rPr>
                <w:rFonts w:ascii="Times New Roman" w:hAnsi="Times New Roman"/>
                <w:sz w:val="20"/>
                <w:szCs w:val="20"/>
                <w:lang w:eastAsia="ru-RU"/>
              </w:rPr>
              <w:t>основании технико-экономического обоснования с</w:t>
            </w:r>
            <w:r>
              <w:rPr>
                <w:rFonts w:ascii="Times New Roman" w:hAnsi="Times New Roman"/>
                <w:sz w:val="20"/>
                <w:szCs w:val="20"/>
                <w:lang w:eastAsia="ru-RU"/>
              </w:rPr>
              <w:t> </w:t>
            </w:r>
            <w:r w:rsidRPr="00A071F0">
              <w:rPr>
                <w:rFonts w:ascii="Times New Roman" w:hAnsi="Times New Roman"/>
                <w:sz w:val="20"/>
                <w:szCs w:val="20"/>
                <w:lang w:eastAsia="ru-RU"/>
              </w:rPr>
              <w:t>целью увеличения скорости потока. Составление проекта производства работ, выполнение по</w:t>
            </w:r>
            <w:r>
              <w:rPr>
                <w:rFonts w:ascii="Times New Roman" w:hAnsi="Times New Roman"/>
                <w:sz w:val="20"/>
                <w:szCs w:val="20"/>
                <w:lang w:eastAsia="ru-RU"/>
              </w:rPr>
              <w:t> </w:t>
            </w:r>
            <w:r w:rsidRPr="00A071F0">
              <w:rPr>
                <w:rFonts w:ascii="Times New Roman" w:hAnsi="Times New Roman"/>
                <w:sz w:val="20"/>
                <w:szCs w:val="20"/>
                <w:lang w:eastAsia="ru-RU"/>
              </w:rPr>
              <w:t>решению местных органов власти (резервный вариант). Особенная эффективность для рек с</w:t>
            </w:r>
            <w:r>
              <w:rPr>
                <w:rFonts w:ascii="Times New Roman" w:hAnsi="Times New Roman"/>
                <w:sz w:val="20"/>
                <w:szCs w:val="20"/>
                <w:lang w:eastAsia="ru-RU"/>
              </w:rPr>
              <w:t> </w:t>
            </w:r>
            <w:r w:rsidRPr="00A071F0">
              <w:rPr>
                <w:rFonts w:ascii="Times New Roman" w:hAnsi="Times New Roman"/>
                <w:sz w:val="20"/>
                <w:szCs w:val="20"/>
                <w:lang w:eastAsia="ru-RU"/>
              </w:rPr>
              <w:t xml:space="preserve">заторно-зажорными явлениями. </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Обвалование сплошное и</w:t>
            </w:r>
            <w:r>
              <w:rPr>
                <w:rFonts w:ascii="Times New Roman" w:hAnsi="Times New Roman"/>
                <w:b/>
                <w:sz w:val="20"/>
                <w:szCs w:val="20"/>
                <w:lang w:eastAsia="ru-RU"/>
              </w:rPr>
              <w:t> </w:t>
            </w:r>
            <w:r w:rsidRPr="00A071F0">
              <w:rPr>
                <w:rFonts w:ascii="Times New Roman" w:hAnsi="Times New Roman"/>
                <w:b/>
                <w:sz w:val="20"/>
                <w:szCs w:val="20"/>
                <w:lang w:eastAsia="ru-RU"/>
              </w:rPr>
              <w:t>по</w:t>
            </w:r>
            <w:r>
              <w:rPr>
                <w:rFonts w:ascii="Times New Roman" w:hAnsi="Times New Roman"/>
                <w:b/>
                <w:sz w:val="20"/>
                <w:szCs w:val="20"/>
                <w:lang w:eastAsia="ru-RU"/>
              </w:rPr>
              <w:t> </w:t>
            </w:r>
            <w:r w:rsidRPr="00A071F0">
              <w:rPr>
                <w:rFonts w:ascii="Times New Roman" w:hAnsi="Times New Roman"/>
                <w:b/>
                <w:sz w:val="20"/>
                <w:szCs w:val="20"/>
                <w:lang w:eastAsia="ru-RU"/>
              </w:rPr>
              <w:t>участкам</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Режимы 1, 2.</w:t>
            </w:r>
            <w:r w:rsidRPr="00A071F0">
              <w:rPr>
                <w:rFonts w:ascii="Times New Roman" w:hAnsi="Times New Roman"/>
                <w:sz w:val="20"/>
                <w:szCs w:val="20"/>
                <w:lang w:eastAsia="ru-RU"/>
              </w:rPr>
              <w:t xml:space="preserve"> Применяется для защиты населённых пунктов, объектов экономики, транспортных коммуникаций по</w:t>
            </w:r>
            <w:r>
              <w:rPr>
                <w:rFonts w:ascii="Times New Roman" w:hAnsi="Times New Roman"/>
                <w:sz w:val="20"/>
                <w:szCs w:val="20"/>
                <w:lang w:eastAsia="ru-RU"/>
              </w:rPr>
              <w:t> </w:t>
            </w:r>
            <w:r w:rsidRPr="00A071F0">
              <w:rPr>
                <w:rFonts w:ascii="Times New Roman" w:hAnsi="Times New Roman"/>
                <w:sz w:val="20"/>
                <w:szCs w:val="20"/>
                <w:lang w:eastAsia="ru-RU"/>
              </w:rPr>
              <w:t>результатам обследования и</w:t>
            </w:r>
            <w:r>
              <w:rPr>
                <w:rFonts w:ascii="Times New Roman" w:hAnsi="Times New Roman"/>
                <w:sz w:val="20"/>
                <w:szCs w:val="20"/>
                <w:lang w:eastAsia="ru-RU"/>
              </w:rPr>
              <w:t> </w:t>
            </w:r>
            <w:r w:rsidRPr="00A071F0">
              <w:rPr>
                <w:rFonts w:ascii="Times New Roman" w:hAnsi="Times New Roman"/>
                <w:sz w:val="20"/>
                <w:szCs w:val="20"/>
                <w:lang w:eastAsia="ru-RU"/>
              </w:rPr>
              <w:t>данных многолетних наблюдений. Проведение расчётов и</w:t>
            </w:r>
            <w:r>
              <w:rPr>
                <w:rFonts w:ascii="Times New Roman" w:hAnsi="Times New Roman"/>
                <w:sz w:val="20"/>
                <w:szCs w:val="20"/>
                <w:lang w:eastAsia="ru-RU"/>
              </w:rPr>
              <w:t> </w:t>
            </w:r>
            <w:r w:rsidRPr="00A071F0">
              <w:rPr>
                <w:rFonts w:ascii="Times New Roman" w:hAnsi="Times New Roman"/>
                <w:sz w:val="20"/>
                <w:szCs w:val="20"/>
                <w:lang w:eastAsia="ru-RU"/>
              </w:rPr>
              <w:t>выбор места для достижения максимального эффекта. Использование местных строительных материалов (грунт, бутовая насыпь, бетонные и</w:t>
            </w:r>
            <w:r>
              <w:rPr>
                <w:rFonts w:ascii="Times New Roman" w:hAnsi="Times New Roman"/>
                <w:sz w:val="20"/>
                <w:szCs w:val="20"/>
                <w:lang w:eastAsia="ru-RU"/>
              </w:rPr>
              <w:t> </w:t>
            </w:r>
            <w:r w:rsidRPr="00A071F0">
              <w:rPr>
                <w:rFonts w:ascii="Times New Roman" w:hAnsi="Times New Roman"/>
                <w:sz w:val="20"/>
                <w:szCs w:val="20"/>
                <w:lang w:eastAsia="ru-RU"/>
              </w:rPr>
              <w:t>железобетонные конструкции). Способствует предотвращению смыва загрязнений и</w:t>
            </w:r>
            <w:r>
              <w:rPr>
                <w:rFonts w:ascii="Times New Roman" w:hAnsi="Times New Roman"/>
                <w:sz w:val="20"/>
                <w:szCs w:val="20"/>
                <w:lang w:eastAsia="ru-RU"/>
              </w:rPr>
              <w:t> </w:t>
            </w:r>
            <w:r w:rsidRPr="00A071F0">
              <w:rPr>
                <w:rFonts w:ascii="Times New Roman" w:hAnsi="Times New Roman"/>
                <w:sz w:val="20"/>
                <w:szCs w:val="20"/>
                <w:lang w:eastAsia="ru-RU"/>
              </w:rPr>
              <w:t>ГСМ.</w:t>
            </w:r>
            <w:r w:rsidRPr="00A071F0">
              <w:rPr>
                <w:rFonts w:ascii="Times New Roman" w:hAnsi="Times New Roman"/>
                <w:b/>
                <w:sz w:val="20"/>
                <w:szCs w:val="20"/>
                <w:lang w:eastAsia="ru-RU"/>
              </w:rPr>
              <w:t xml:space="preserve"> </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Подсыпка территорий</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Режимы 1, 2.</w:t>
            </w:r>
            <w:r w:rsidRPr="00A071F0">
              <w:rPr>
                <w:rFonts w:ascii="Times New Roman" w:hAnsi="Times New Roman"/>
                <w:sz w:val="20"/>
                <w:szCs w:val="20"/>
                <w:lang w:eastAsia="ru-RU"/>
              </w:rPr>
              <w:t xml:space="preserve"> Применяется в</w:t>
            </w:r>
            <w:r>
              <w:rPr>
                <w:rFonts w:ascii="Times New Roman" w:hAnsi="Times New Roman"/>
                <w:sz w:val="20"/>
                <w:szCs w:val="20"/>
                <w:lang w:eastAsia="ru-RU"/>
              </w:rPr>
              <w:t> </w:t>
            </w:r>
            <w:r w:rsidRPr="00A071F0">
              <w:rPr>
                <w:rFonts w:ascii="Times New Roman" w:hAnsi="Times New Roman"/>
                <w:sz w:val="20"/>
                <w:szCs w:val="20"/>
                <w:lang w:eastAsia="ru-RU"/>
              </w:rPr>
              <w:t>основном для вновь застраиваемой территории при сравнительно небольшой средней высоте подсыпки (до 2-2,5 м), определяемой по</w:t>
            </w:r>
            <w:r>
              <w:rPr>
                <w:rFonts w:ascii="Times New Roman" w:hAnsi="Times New Roman"/>
                <w:sz w:val="20"/>
                <w:szCs w:val="20"/>
                <w:lang w:eastAsia="ru-RU"/>
              </w:rPr>
              <w:t> </w:t>
            </w:r>
            <w:r w:rsidRPr="00A071F0">
              <w:rPr>
                <w:rFonts w:ascii="Times New Roman" w:hAnsi="Times New Roman"/>
                <w:sz w:val="20"/>
                <w:szCs w:val="20"/>
                <w:lang w:eastAsia="ru-RU"/>
              </w:rPr>
              <w:t>результатам изысканий и</w:t>
            </w:r>
            <w:r>
              <w:rPr>
                <w:rFonts w:ascii="Times New Roman" w:hAnsi="Times New Roman"/>
                <w:sz w:val="20"/>
                <w:szCs w:val="20"/>
                <w:lang w:eastAsia="ru-RU"/>
              </w:rPr>
              <w:t> </w:t>
            </w:r>
            <w:r w:rsidRPr="00A071F0">
              <w:rPr>
                <w:rFonts w:ascii="Times New Roman" w:hAnsi="Times New Roman"/>
                <w:sz w:val="20"/>
                <w:szCs w:val="20"/>
                <w:lang w:eastAsia="ru-RU"/>
              </w:rPr>
              <w:t xml:space="preserve">расчётов. </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Противоэпидемические мероприятия</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 3.</w:t>
            </w:r>
            <w:r w:rsidRPr="00A071F0">
              <w:rPr>
                <w:rFonts w:ascii="Times New Roman" w:hAnsi="Times New Roman"/>
                <w:sz w:val="20"/>
                <w:szCs w:val="20"/>
                <w:lang w:eastAsia="ru-RU"/>
              </w:rPr>
              <w:t xml:space="preserve"> Проведение санитарно-эпидемиологической разведки. Организация санитарно-эпидемиологического наблюдения и</w:t>
            </w:r>
            <w:r>
              <w:rPr>
                <w:rFonts w:ascii="Times New Roman" w:hAnsi="Times New Roman"/>
                <w:sz w:val="20"/>
                <w:szCs w:val="20"/>
                <w:lang w:eastAsia="ru-RU"/>
              </w:rPr>
              <w:t> </w:t>
            </w:r>
            <w:r w:rsidRPr="00A071F0">
              <w:rPr>
                <w:rFonts w:ascii="Times New Roman" w:hAnsi="Times New Roman"/>
                <w:sz w:val="20"/>
                <w:szCs w:val="20"/>
                <w:lang w:eastAsia="ru-RU"/>
              </w:rPr>
              <w:t>микробиологического контроля. Организация и</w:t>
            </w:r>
            <w:r>
              <w:rPr>
                <w:rFonts w:ascii="Times New Roman" w:hAnsi="Times New Roman"/>
                <w:sz w:val="20"/>
                <w:szCs w:val="20"/>
                <w:lang w:eastAsia="ru-RU"/>
              </w:rPr>
              <w:t> </w:t>
            </w:r>
            <w:r w:rsidRPr="00A071F0">
              <w:rPr>
                <w:rFonts w:ascii="Times New Roman" w:hAnsi="Times New Roman"/>
                <w:sz w:val="20"/>
                <w:szCs w:val="20"/>
                <w:lang w:eastAsia="ru-RU"/>
              </w:rPr>
              <w:t>проведение экстренной и</w:t>
            </w:r>
            <w:r>
              <w:rPr>
                <w:rFonts w:ascii="Times New Roman" w:hAnsi="Times New Roman"/>
                <w:sz w:val="20"/>
                <w:szCs w:val="20"/>
                <w:lang w:eastAsia="ru-RU"/>
              </w:rPr>
              <w:t> </w:t>
            </w:r>
            <w:r w:rsidRPr="00A071F0">
              <w:rPr>
                <w:rFonts w:ascii="Times New Roman" w:hAnsi="Times New Roman"/>
                <w:sz w:val="20"/>
                <w:szCs w:val="20"/>
                <w:lang w:eastAsia="ru-RU"/>
              </w:rPr>
              <w:t>специфической профилактики. Санитарно-противоэпидемическое обеспечение пострадавшего населения, эвакуируемого из</w:t>
            </w:r>
            <w:r>
              <w:rPr>
                <w:rFonts w:ascii="Times New Roman" w:hAnsi="Times New Roman"/>
                <w:sz w:val="20"/>
                <w:szCs w:val="20"/>
                <w:lang w:eastAsia="ru-RU"/>
              </w:rPr>
              <w:t> </w:t>
            </w:r>
            <w:r w:rsidRPr="00A071F0">
              <w:rPr>
                <w:rFonts w:ascii="Times New Roman" w:hAnsi="Times New Roman"/>
                <w:sz w:val="20"/>
                <w:szCs w:val="20"/>
                <w:lang w:eastAsia="ru-RU"/>
              </w:rPr>
              <w:t>районов бедствия. Дезинфекционные мероприятия. Организация медпомощи инфекционным больным на</w:t>
            </w:r>
            <w:r>
              <w:rPr>
                <w:rFonts w:ascii="Times New Roman" w:hAnsi="Times New Roman"/>
                <w:sz w:val="20"/>
                <w:szCs w:val="20"/>
                <w:lang w:eastAsia="ru-RU"/>
              </w:rPr>
              <w:t> </w:t>
            </w:r>
            <w:r w:rsidRPr="00A071F0">
              <w:rPr>
                <w:rFonts w:ascii="Times New Roman" w:hAnsi="Times New Roman"/>
                <w:sz w:val="20"/>
                <w:szCs w:val="20"/>
                <w:lang w:eastAsia="ru-RU"/>
              </w:rPr>
              <w:t>догоспитальном этапе. Медицинская сортировка инфекционных больных. Организация противоэпидемического режима на</w:t>
            </w:r>
            <w:r>
              <w:rPr>
                <w:rFonts w:ascii="Times New Roman" w:hAnsi="Times New Roman"/>
                <w:sz w:val="20"/>
                <w:szCs w:val="20"/>
                <w:lang w:eastAsia="ru-RU"/>
              </w:rPr>
              <w:t> </w:t>
            </w:r>
            <w:r w:rsidRPr="00A071F0">
              <w:rPr>
                <w:rFonts w:ascii="Times New Roman" w:hAnsi="Times New Roman"/>
                <w:sz w:val="20"/>
                <w:szCs w:val="20"/>
                <w:lang w:eastAsia="ru-RU"/>
              </w:rPr>
              <w:t xml:space="preserve">этапах медицинской эвакуации. </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Обследование транспортных коммуникаций, кабельных линий, мостов, дюкеров, шлюзов, закрытых водоёмов, шламоотстойников, водопропускных труб, попадающих в</w:t>
            </w:r>
            <w:r>
              <w:rPr>
                <w:rFonts w:ascii="Times New Roman" w:hAnsi="Times New Roman"/>
                <w:b/>
                <w:sz w:val="20"/>
                <w:szCs w:val="20"/>
                <w:lang w:eastAsia="ru-RU"/>
              </w:rPr>
              <w:t> </w:t>
            </w:r>
            <w:r w:rsidRPr="00A071F0">
              <w:rPr>
                <w:rFonts w:ascii="Times New Roman" w:hAnsi="Times New Roman"/>
                <w:b/>
                <w:sz w:val="20"/>
                <w:szCs w:val="20"/>
                <w:lang w:eastAsia="ru-RU"/>
              </w:rPr>
              <w:t>зону возможного затопления</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Режимы 2, 3.</w:t>
            </w:r>
            <w:r w:rsidRPr="00A071F0">
              <w:rPr>
                <w:rFonts w:ascii="Times New Roman" w:hAnsi="Times New Roman"/>
                <w:sz w:val="20"/>
                <w:szCs w:val="20"/>
                <w:lang w:eastAsia="ru-RU"/>
              </w:rPr>
              <w:t xml:space="preserve"> Производится специалистами визуально и</w:t>
            </w:r>
            <w:r>
              <w:rPr>
                <w:rFonts w:ascii="Times New Roman" w:hAnsi="Times New Roman"/>
                <w:sz w:val="20"/>
                <w:szCs w:val="20"/>
                <w:lang w:eastAsia="ru-RU"/>
              </w:rPr>
              <w:t> </w:t>
            </w:r>
            <w:r w:rsidRPr="00A071F0">
              <w:rPr>
                <w:rFonts w:ascii="Times New Roman" w:hAnsi="Times New Roman"/>
                <w:sz w:val="20"/>
                <w:szCs w:val="20"/>
                <w:lang w:eastAsia="ru-RU"/>
              </w:rPr>
              <w:t>с</w:t>
            </w:r>
            <w:r>
              <w:rPr>
                <w:rFonts w:ascii="Times New Roman" w:hAnsi="Times New Roman"/>
                <w:sz w:val="20"/>
                <w:szCs w:val="20"/>
                <w:lang w:eastAsia="ru-RU"/>
              </w:rPr>
              <w:t> </w:t>
            </w:r>
            <w:r w:rsidRPr="00A071F0">
              <w:rPr>
                <w:rFonts w:ascii="Times New Roman" w:hAnsi="Times New Roman"/>
                <w:sz w:val="20"/>
                <w:szCs w:val="20"/>
                <w:lang w:eastAsia="ru-RU"/>
              </w:rPr>
              <w:t>применением специального оборудования на</w:t>
            </w:r>
            <w:r>
              <w:rPr>
                <w:rFonts w:ascii="Times New Roman" w:hAnsi="Times New Roman"/>
                <w:sz w:val="20"/>
                <w:szCs w:val="20"/>
                <w:lang w:eastAsia="ru-RU"/>
              </w:rPr>
              <w:t> </w:t>
            </w:r>
            <w:r w:rsidRPr="00A071F0">
              <w:rPr>
                <w:rFonts w:ascii="Times New Roman" w:hAnsi="Times New Roman"/>
                <w:sz w:val="20"/>
                <w:szCs w:val="20"/>
                <w:lang w:eastAsia="ru-RU"/>
              </w:rPr>
              <w:t>предмет физической устойчивости и</w:t>
            </w:r>
            <w:r>
              <w:rPr>
                <w:rFonts w:ascii="Times New Roman" w:hAnsi="Times New Roman"/>
                <w:sz w:val="20"/>
                <w:szCs w:val="20"/>
                <w:lang w:eastAsia="ru-RU"/>
              </w:rPr>
              <w:t> </w:t>
            </w:r>
            <w:r w:rsidRPr="00A071F0">
              <w:rPr>
                <w:rFonts w:ascii="Times New Roman" w:hAnsi="Times New Roman"/>
                <w:sz w:val="20"/>
                <w:szCs w:val="20"/>
                <w:lang w:eastAsia="ru-RU"/>
              </w:rPr>
              <w:t>способности функционировать в</w:t>
            </w:r>
            <w:r>
              <w:rPr>
                <w:rFonts w:ascii="Times New Roman" w:hAnsi="Times New Roman"/>
                <w:sz w:val="20"/>
                <w:szCs w:val="20"/>
                <w:lang w:eastAsia="ru-RU"/>
              </w:rPr>
              <w:t> </w:t>
            </w:r>
            <w:r w:rsidRPr="00A071F0">
              <w:rPr>
                <w:rFonts w:ascii="Times New Roman" w:hAnsi="Times New Roman"/>
                <w:sz w:val="20"/>
                <w:szCs w:val="20"/>
                <w:lang w:eastAsia="ru-RU"/>
              </w:rPr>
              <w:t>экстремальных условиях. По</w:t>
            </w:r>
            <w:r>
              <w:rPr>
                <w:rFonts w:ascii="Times New Roman" w:hAnsi="Times New Roman"/>
                <w:sz w:val="20"/>
                <w:szCs w:val="20"/>
                <w:lang w:eastAsia="ru-RU"/>
              </w:rPr>
              <w:t> </w:t>
            </w:r>
            <w:r w:rsidRPr="00A071F0">
              <w:rPr>
                <w:rFonts w:ascii="Times New Roman" w:hAnsi="Times New Roman"/>
                <w:sz w:val="20"/>
                <w:szCs w:val="20"/>
                <w:lang w:eastAsia="ru-RU"/>
              </w:rPr>
              <w:t>результатам обследования принимается решение на</w:t>
            </w:r>
            <w:r>
              <w:rPr>
                <w:rFonts w:ascii="Times New Roman" w:hAnsi="Times New Roman"/>
                <w:sz w:val="20"/>
                <w:szCs w:val="20"/>
                <w:lang w:eastAsia="ru-RU"/>
              </w:rPr>
              <w:t> </w:t>
            </w:r>
            <w:r w:rsidRPr="00A071F0">
              <w:rPr>
                <w:rFonts w:ascii="Times New Roman" w:hAnsi="Times New Roman"/>
                <w:sz w:val="20"/>
                <w:szCs w:val="20"/>
                <w:lang w:eastAsia="ru-RU"/>
              </w:rPr>
              <w:t>усиление, дублирование, вывод из</w:t>
            </w:r>
            <w:r>
              <w:rPr>
                <w:rFonts w:ascii="Times New Roman" w:hAnsi="Times New Roman"/>
                <w:sz w:val="20"/>
                <w:szCs w:val="20"/>
                <w:lang w:eastAsia="ru-RU"/>
              </w:rPr>
              <w:t> </w:t>
            </w:r>
            <w:r w:rsidRPr="00A071F0">
              <w:rPr>
                <w:rFonts w:ascii="Times New Roman" w:hAnsi="Times New Roman"/>
                <w:sz w:val="20"/>
                <w:szCs w:val="20"/>
                <w:lang w:eastAsia="ru-RU"/>
              </w:rPr>
              <w:t>эксплуатации и</w:t>
            </w:r>
            <w:r>
              <w:rPr>
                <w:rFonts w:ascii="Times New Roman" w:hAnsi="Times New Roman"/>
                <w:sz w:val="20"/>
                <w:szCs w:val="20"/>
                <w:lang w:eastAsia="ru-RU"/>
              </w:rPr>
              <w:t> </w:t>
            </w:r>
            <w:r w:rsidRPr="00A071F0">
              <w:rPr>
                <w:rFonts w:ascii="Times New Roman" w:hAnsi="Times New Roman"/>
                <w:sz w:val="20"/>
                <w:szCs w:val="20"/>
                <w:lang w:eastAsia="ru-RU"/>
              </w:rPr>
              <w:t>т.п. Решение согласуется (ведомства, владельцы, арендаторы и</w:t>
            </w:r>
            <w:r>
              <w:rPr>
                <w:rFonts w:ascii="Times New Roman" w:hAnsi="Times New Roman"/>
                <w:sz w:val="20"/>
                <w:szCs w:val="20"/>
                <w:lang w:eastAsia="ru-RU"/>
              </w:rPr>
              <w:t> </w:t>
            </w:r>
            <w:r w:rsidRPr="00A071F0">
              <w:rPr>
                <w:rFonts w:ascii="Times New Roman" w:hAnsi="Times New Roman"/>
                <w:sz w:val="20"/>
                <w:szCs w:val="20"/>
                <w:lang w:eastAsia="ru-RU"/>
              </w:rPr>
              <w:t>др.).</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Ограничение использования некоторых объектов</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Режимы 2, 3.</w:t>
            </w:r>
            <w:r w:rsidRPr="00A071F0">
              <w:rPr>
                <w:rFonts w:ascii="Times New Roman" w:hAnsi="Times New Roman"/>
                <w:sz w:val="20"/>
                <w:szCs w:val="20"/>
                <w:lang w:eastAsia="ru-RU"/>
              </w:rPr>
              <w:t xml:space="preserve"> Решение принимается по</w:t>
            </w:r>
            <w:r>
              <w:rPr>
                <w:rFonts w:ascii="Times New Roman" w:hAnsi="Times New Roman"/>
                <w:sz w:val="20"/>
                <w:szCs w:val="20"/>
                <w:lang w:eastAsia="ru-RU"/>
              </w:rPr>
              <w:t> </w:t>
            </w:r>
            <w:r w:rsidRPr="00A071F0">
              <w:rPr>
                <w:rFonts w:ascii="Times New Roman" w:hAnsi="Times New Roman"/>
                <w:sz w:val="20"/>
                <w:szCs w:val="20"/>
                <w:lang w:eastAsia="ru-RU"/>
              </w:rPr>
              <w:t>результатам обследования (см) или данных прогноза. Производится оценка последствий ограничений для населения и</w:t>
            </w:r>
            <w:r>
              <w:rPr>
                <w:rFonts w:ascii="Times New Roman" w:hAnsi="Times New Roman"/>
                <w:sz w:val="20"/>
                <w:szCs w:val="20"/>
                <w:lang w:eastAsia="ru-RU"/>
              </w:rPr>
              <w:t> </w:t>
            </w:r>
            <w:r w:rsidRPr="00A071F0">
              <w:rPr>
                <w:rFonts w:ascii="Times New Roman" w:hAnsi="Times New Roman"/>
                <w:sz w:val="20"/>
                <w:szCs w:val="20"/>
                <w:lang w:eastAsia="ru-RU"/>
              </w:rPr>
              <w:t>экономики. Компенсация продукции или услуг за</w:t>
            </w:r>
            <w:r>
              <w:rPr>
                <w:rFonts w:ascii="Times New Roman" w:hAnsi="Times New Roman"/>
                <w:sz w:val="20"/>
                <w:szCs w:val="20"/>
                <w:lang w:eastAsia="ru-RU"/>
              </w:rPr>
              <w:t> </w:t>
            </w:r>
            <w:r w:rsidRPr="00A071F0">
              <w:rPr>
                <w:rFonts w:ascii="Times New Roman" w:hAnsi="Times New Roman"/>
                <w:sz w:val="20"/>
                <w:szCs w:val="20"/>
                <w:lang w:eastAsia="ru-RU"/>
              </w:rPr>
              <w:t>счёт внешних поступлений. Согласование порядка введения ограничений и</w:t>
            </w:r>
            <w:r>
              <w:rPr>
                <w:rFonts w:ascii="Times New Roman" w:hAnsi="Times New Roman"/>
                <w:sz w:val="20"/>
                <w:szCs w:val="20"/>
                <w:lang w:eastAsia="ru-RU"/>
              </w:rPr>
              <w:t> </w:t>
            </w:r>
            <w:r w:rsidRPr="00A071F0">
              <w:rPr>
                <w:rFonts w:ascii="Times New Roman" w:hAnsi="Times New Roman"/>
                <w:sz w:val="20"/>
                <w:szCs w:val="20"/>
                <w:lang w:eastAsia="ru-RU"/>
              </w:rPr>
              <w:t>получения компенсаций.</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Разработка планов и</w:t>
            </w:r>
            <w:r>
              <w:rPr>
                <w:rFonts w:ascii="Times New Roman" w:hAnsi="Times New Roman"/>
                <w:b/>
                <w:sz w:val="20"/>
                <w:szCs w:val="20"/>
                <w:lang w:eastAsia="ru-RU"/>
              </w:rPr>
              <w:t> </w:t>
            </w:r>
            <w:r w:rsidRPr="00A071F0">
              <w:rPr>
                <w:rFonts w:ascii="Times New Roman" w:hAnsi="Times New Roman"/>
                <w:b/>
                <w:sz w:val="20"/>
                <w:szCs w:val="20"/>
                <w:lang w:eastAsia="ru-RU"/>
              </w:rPr>
              <w:t>различных сценариев. Подготовка руководящего состава</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Режимы 1, 2.</w:t>
            </w:r>
            <w:r w:rsidRPr="00A071F0">
              <w:rPr>
                <w:rFonts w:ascii="Times New Roman" w:hAnsi="Times New Roman"/>
                <w:sz w:val="20"/>
                <w:szCs w:val="20"/>
                <w:lang w:eastAsia="ru-RU"/>
              </w:rPr>
              <w:t xml:space="preserve"> Планирование и</w:t>
            </w:r>
            <w:r>
              <w:rPr>
                <w:rFonts w:ascii="Times New Roman" w:hAnsi="Times New Roman"/>
                <w:sz w:val="20"/>
                <w:szCs w:val="20"/>
                <w:lang w:eastAsia="ru-RU"/>
              </w:rPr>
              <w:t> </w:t>
            </w:r>
            <w:r w:rsidRPr="00A071F0">
              <w:rPr>
                <w:rFonts w:ascii="Times New Roman" w:hAnsi="Times New Roman"/>
                <w:sz w:val="20"/>
                <w:szCs w:val="20"/>
                <w:lang w:eastAsia="ru-RU"/>
              </w:rPr>
              <w:t>корректировка планов в</w:t>
            </w:r>
            <w:r>
              <w:rPr>
                <w:rFonts w:ascii="Times New Roman" w:hAnsi="Times New Roman"/>
                <w:sz w:val="20"/>
                <w:szCs w:val="20"/>
                <w:lang w:eastAsia="ru-RU"/>
              </w:rPr>
              <w:t> </w:t>
            </w:r>
            <w:r w:rsidRPr="00A071F0">
              <w:rPr>
                <w:rFonts w:ascii="Times New Roman" w:hAnsi="Times New Roman"/>
                <w:sz w:val="20"/>
                <w:szCs w:val="20"/>
                <w:lang w:eastAsia="ru-RU"/>
              </w:rPr>
              <w:t>соответствии со</w:t>
            </w:r>
            <w:r>
              <w:rPr>
                <w:rFonts w:ascii="Times New Roman" w:hAnsi="Times New Roman"/>
                <w:sz w:val="20"/>
                <w:szCs w:val="20"/>
                <w:lang w:eastAsia="ru-RU"/>
              </w:rPr>
              <w:t> </w:t>
            </w:r>
            <w:r w:rsidRPr="00A071F0">
              <w:rPr>
                <w:rFonts w:ascii="Times New Roman" w:hAnsi="Times New Roman"/>
                <w:sz w:val="20"/>
                <w:szCs w:val="20"/>
                <w:lang w:eastAsia="ru-RU"/>
              </w:rPr>
              <w:t>складывающейся обстановкой. Использование данных мониторинга и</w:t>
            </w:r>
            <w:r>
              <w:rPr>
                <w:rFonts w:ascii="Times New Roman" w:hAnsi="Times New Roman"/>
                <w:sz w:val="20"/>
                <w:szCs w:val="20"/>
                <w:lang w:eastAsia="ru-RU"/>
              </w:rPr>
              <w:t> </w:t>
            </w:r>
            <w:r w:rsidRPr="00A071F0">
              <w:rPr>
                <w:rFonts w:ascii="Times New Roman" w:hAnsi="Times New Roman"/>
                <w:sz w:val="20"/>
                <w:szCs w:val="20"/>
                <w:lang w:eastAsia="ru-RU"/>
              </w:rPr>
              <w:t>прогнозирования. Проведение учений и</w:t>
            </w:r>
            <w:r>
              <w:rPr>
                <w:rFonts w:ascii="Times New Roman" w:hAnsi="Times New Roman"/>
                <w:sz w:val="20"/>
                <w:szCs w:val="20"/>
                <w:lang w:eastAsia="ru-RU"/>
              </w:rPr>
              <w:t> </w:t>
            </w:r>
            <w:r w:rsidRPr="00A071F0">
              <w:rPr>
                <w:rFonts w:ascii="Times New Roman" w:hAnsi="Times New Roman"/>
                <w:sz w:val="20"/>
                <w:szCs w:val="20"/>
                <w:lang w:eastAsia="ru-RU"/>
              </w:rPr>
              <w:t>тренировок. Отработка взаимодействия. Внедрение систем поддержки принятия решений на</w:t>
            </w:r>
            <w:r>
              <w:rPr>
                <w:rFonts w:ascii="Times New Roman" w:hAnsi="Times New Roman"/>
                <w:sz w:val="20"/>
                <w:szCs w:val="20"/>
                <w:lang w:eastAsia="ru-RU"/>
              </w:rPr>
              <w:t> </w:t>
            </w:r>
            <w:r w:rsidRPr="00A071F0">
              <w:rPr>
                <w:rFonts w:ascii="Times New Roman" w:hAnsi="Times New Roman"/>
                <w:sz w:val="20"/>
                <w:szCs w:val="20"/>
                <w:lang w:eastAsia="ru-RU"/>
              </w:rPr>
              <w:t>основе ПЭВМ. Подготовка руководящего состава к</w:t>
            </w:r>
            <w:r>
              <w:rPr>
                <w:rFonts w:ascii="Times New Roman" w:hAnsi="Times New Roman"/>
                <w:sz w:val="20"/>
                <w:szCs w:val="20"/>
                <w:lang w:eastAsia="ru-RU"/>
              </w:rPr>
              <w:t> </w:t>
            </w:r>
            <w:r w:rsidRPr="00A071F0">
              <w:rPr>
                <w:rFonts w:ascii="Times New Roman" w:hAnsi="Times New Roman"/>
                <w:sz w:val="20"/>
                <w:szCs w:val="20"/>
                <w:lang w:eastAsia="ru-RU"/>
              </w:rPr>
              <w:t>действиям при угрозе возникновения ЧС</w:t>
            </w:r>
            <w:r>
              <w:rPr>
                <w:rFonts w:ascii="Times New Roman" w:hAnsi="Times New Roman"/>
                <w:sz w:val="20"/>
                <w:szCs w:val="20"/>
                <w:lang w:eastAsia="ru-RU"/>
              </w:rPr>
              <w:t> </w:t>
            </w:r>
            <w:r w:rsidRPr="00A071F0">
              <w:rPr>
                <w:rFonts w:ascii="Times New Roman" w:hAnsi="Times New Roman"/>
                <w:sz w:val="20"/>
                <w:szCs w:val="20"/>
                <w:lang w:eastAsia="ru-RU"/>
              </w:rPr>
              <w:t>на</w:t>
            </w:r>
            <w:r>
              <w:rPr>
                <w:rFonts w:ascii="Times New Roman" w:hAnsi="Times New Roman"/>
                <w:sz w:val="20"/>
                <w:szCs w:val="20"/>
                <w:lang w:eastAsia="ru-RU"/>
              </w:rPr>
              <w:t> </w:t>
            </w:r>
            <w:r w:rsidRPr="00A071F0">
              <w:rPr>
                <w:rFonts w:ascii="Times New Roman" w:hAnsi="Times New Roman"/>
                <w:sz w:val="20"/>
                <w:szCs w:val="20"/>
                <w:lang w:eastAsia="ru-RU"/>
              </w:rPr>
              <w:t>основе современных методических и</w:t>
            </w:r>
            <w:r>
              <w:rPr>
                <w:rFonts w:ascii="Times New Roman" w:hAnsi="Times New Roman"/>
                <w:sz w:val="20"/>
                <w:szCs w:val="20"/>
                <w:lang w:eastAsia="ru-RU"/>
              </w:rPr>
              <w:t> </w:t>
            </w:r>
            <w:r w:rsidRPr="00A071F0">
              <w:rPr>
                <w:rFonts w:ascii="Times New Roman" w:hAnsi="Times New Roman"/>
                <w:sz w:val="20"/>
                <w:szCs w:val="20"/>
                <w:lang w:eastAsia="ru-RU"/>
              </w:rPr>
              <w:t>практических разработок.</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Составление проектов защиты территорий, их</w:t>
            </w:r>
            <w:r>
              <w:rPr>
                <w:rFonts w:ascii="Times New Roman" w:hAnsi="Times New Roman"/>
                <w:b/>
                <w:sz w:val="20"/>
                <w:szCs w:val="20"/>
                <w:lang w:eastAsia="ru-RU"/>
              </w:rPr>
              <w:t> </w:t>
            </w:r>
            <w:r w:rsidRPr="00A071F0">
              <w:rPr>
                <w:rFonts w:ascii="Times New Roman" w:hAnsi="Times New Roman"/>
                <w:b/>
                <w:sz w:val="20"/>
                <w:szCs w:val="20"/>
                <w:lang w:eastAsia="ru-RU"/>
              </w:rPr>
              <w:t xml:space="preserve">планомерная реализация </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 1.</w:t>
            </w:r>
            <w:r w:rsidRPr="00A071F0">
              <w:rPr>
                <w:rFonts w:ascii="Times New Roman" w:hAnsi="Times New Roman"/>
                <w:sz w:val="20"/>
                <w:szCs w:val="20"/>
                <w:lang w:eastAsia="ru-RU"/>
              </w:rPr>
              <w:t xml:space="preserve"> Проведение обследований селитебной зоны, изучение геоморфологических, геолого-гидрогеологических и</w:t>
            </w:r>
            <w:r>
              <w:rPr>
                <w:rFonts w:ascii="Times New Roman" w:hAnsi="Times New Roman"/>
                <w:sz w:val="20"/>
                <w:szCs w:val="20"/>
                <w:lang w:eastAsia="ru-RU"/>
              </w:rPr>
              <w:t> </w:t>
            </w:r>
            <w:r w:rsidRPr="00A071F0">
              <w:rPr>
                <w:rFonts w:ascii="Times New Roman" w:hAnsi="Times New Roman"/>
                <w:sz w:val="20"/>
                <w:szCs w:val="20"/>
                <w:lang w:eastAsia="ru-RU"/>
              </w:rPr>
              <w:t>инженерно-геологических условий. Выбор рационального комплекса защитных мероприятий на</w:t>
            </w:r>
            <w:r>
              <w:rPr>
                <w:rFonts w:ascii="Times New Roman" w:hAnsi="Times New Roman"/>
                <w:sz w:val="20"/>
                <w:szCs w:val="20"/>
                <w:lang w:eastAsia="ru-RU"/>
              </w:rPr>
              <w:t> </w:t>
            </w:r>
            <w:r w:rsidRPr="00A071F0">
              <w:rPr>
                <w:rFonts w:ascii="Times New Roman" w:hAnsi="Times New Roman"/>
                <w:sz w:val="20"/>
                <w:szCs w:val="20"/>
                <w:lang w:eastAsia="ru-RU"/>
              </w:rPr>
              <w:t>основании технико-экономических расчётов. Составление и</w:t>
            </w:r>
            <w:r>
              <w:rPr>
                <w:rFonts w:ascii="Times New Roman" w:hAnsi="Times New Roman"/>
                <w:sz w:val="20"/>
                <w:szCs w:val="20"/>
                <w:lang w:eastAsia="ru-RU"/>
              </w:rPr>
              <w:t> </w:t>
            </w:r>
            <w:r w:rsidRPr="00A071F0">
              <w:rPr>
                <w:rFonts w:ascii="Times New Roman" w:hAnsi="Times New Roman"/>
                <w:sz w:val="20"/>
                <w:szCs w:val="20"/>
                <w:lang w:eastAsia="ru-RU"/>
              </w:rPr>
              <w:t>увязка графика реализации мероприятий по</w:t>
            </w:r>
            <w:r>
              <w:rPr>
                <w:rFonts w:ascii="Times New Roman" w:hAnsi="Times New Roman"/>
                <w:sz w:val="20"/>
                <w:szCs w:val="20"/>
                <w:lang w:eastAsia="ru-RU"/>
              </w:rPr>
              <w:t> </w:t>
            </w:r>
            <w:r w:rsidRPr="00A071F0">
              <w:rPr>
                <w:rFonts w:ascii="Times New Roman" w:hAnsi="Times New Roman"/>
                <w:sz w:val="20"/>
                <w:szCs w:val="20"/>
                <w:lang w:eastAsia="ru-RU"/>
              </w:rPr>
              <w:t>защите территорий. Выделение финансовых и</w:t>
            </w:r>
            <w:r>
              <w:rPr>
                <w:rFonts w:ascii="Times New Roman" w:hAnsi="Times New Roman"/>
                <w:sz w:val="20"/>
                <w:szCs w:val="20"/>
                <w:lang w:eastAsia="ru-RU"/>
              </w:rPr>
              <w:t> </w:t>
            </w:r>
            <w:r w:rsidRPr="00A071F0">
              <w:rPr>
                <w:rFonts w:ascii="Times New Roman" w:hAnsi="Times New Roman"/>
                <w:sz w:val="20"/>
                <w:szCs w:val="20"/>
                <w:lang w:eastAsia="ru-RU"/>
              </w:rPr>
              <w:t>материально-технических ресурсов. Контроль за</w:t>
            </w:r>
            <w:r>
              <w:rPr>
                <w:rFonts w:ascii="Times New Roman" w:hAnsi="Times New Roman"/>
                <w:sz w:val="20"/>
                <w:szCs w:val="20"/>
                <w:lang w:eastAsia="ru-RU"/>
              </w:rPr>
              <w:t> </w:t>
            </w:r>
            <w:r w:rsidRPr="00A071F0">
              <w:rPr>
                <w:rFonts w:ascii="Times New Roman" w:hAnsi="Times New Roman"/>
                <w:sz w:val="20"/>
                <w:szCs w:val="20"/>
                <w:lang w:eastAsia="ru-RU"/>
              </w:rPr>
              <w:t xml:space="preserve">выполнение графика реализации мероприятий. </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Водопоглощающие скважины (по результатам изысканий)</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 1.</w:t>
            </w:r>
            <w:r w:rsidRPr="00A071F0">
              <w:rPr>
                <w:rFonts w:ascii="Times New Roman" w:hAnsi="Times New Roman"/>
                <w:sz w:val="20"/>
                <w:szCs w:val="20"/>
                <w:lang w:eastAsia="ru-RU"/>
              </w:rPr>
              <w:t xml:space="preserve"> Смотри «Дренирование территорий». </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Контроль за</w:t>
            </w:r>
            <w:r>
              <w:rPr>
                <w:rFonts w:ascii="Times New Roman" w:hAnsi="Times New Roman"/>
                <w:b/>
                <w:sz w:val="20"/>
                <w:szCs w:val="20"/>
                <w:lang w:eastAsia="ru-RU"/>
              </w:rPr>
              <w:t> </w:t>
            </w:r>
            <w:r w:rsidRPr="00A071F0">
              <w:rPr>
                <w:rFonts w:ascii="Times New Roman" w:hAnsi="Times New Roman"/>
                <w:b/>
                <w:sz w:val="20"/>
                <w:szCs w:val="20"/>
                <w:lang w:eastAsia="ru-RU"/>
              </w:rPr>
              <w:t>размещением и</w:t>
            </w:r>
            <w:r>
              <w:rPr>
                <w:rFonts w:ascii="Times New Roman" w:hAnsi="Times New Roman"/>
                <w:b/>
                <w:sz w:val="20"/>
                <w:szCs w:val="20"/>
                <w:lang w:eastAsia="ru-RU"/>
              </w:rPr>
              <w:t> </w:t>
            </w:r>
            <w:r w:rsidRPr="00A071F0">
              <w:rPr>
                <w:rFonts w:ascii="Times New Roman" w:hAnsi="Times New Roman"/>
                <w:b/>
                <w:sz w:val="20"/>
                <w:szCs w:val="20"/>
                <w:lang w:eastAsia="ru-RU"/>
              </w:rPr>
              <w:t>строительство объектов в</w:t>
            </w:r>
            <w:r>
              <w:rPr>
                <w:rFonts w:ascii="Times New Roman" w:hAnsi="Times New Roman"/>
                <w:b/>
                <w:sz w:val="20"/>
                <w:szCs w:val="20"/>
                <w:lang w:eastAsia="ru-RU"/>
              </w:rPr>
              <w:t> </w:t>
            </w:r>
            <w:r w:rsidRPr="00A071F0">
              <w:rPr>
                <w:rFonts w:ascii="Times New Roman" w:hAnsi="Times New Roman"/>
                <w:b/>
                <w:sz w:val="20"/>
                <w:szCs w:val="20"/>
                <w:lang w:eastAsia="ru-RU"/>
              </w:rPr>
              <w:t>соответствии с</w:t>
            </w:r>
            <w:r>
              <w:rPr>
                <w:rFonts w:ascii="Times New Roman" w:hAnsi="Times New Roman"/>
                <w:b/>
                <w:sz w:val="20"/>
                <w:szCs w:val="20"/>
                <w:lang w:eastAsia="ru-RU"/>
              </w:rPr>
              <w:t> </w:t>
            </w:r>
            <w:r w:rsidRPr="00A071F0">
              <w:rPr>
                <w:rFonts w:ascii="Times New Roman" w:hAnsi="Times New Roman"/>
                <w:b/>
                <w:sz w:val="20"/>
                <w:szCs w:val="20"/>
                <w:lang w:eastAsia="ru-RU"/>
              </w:rPr>
              <w:t>законодательством, требованиями норм и</w:t>
            </w:r>
            <w:r>
              <w:rPr>
                <w:rFonts w:ascii="Times New Roman" w:hAnsi="Times New Roman"/>
                <w:b/>
                <w:sz w:val="20"/>
                <w:szCs w:val="20"/>
                <w:lang w:eastAsia="ru-RU"/>
              </w:rPr>
              <w:t> </w:t>
            </w:r>
            <w:r w:rsidRPr="00A071F0">
              <w:rPr>
                <w:rFonts w:ascii="Times New Roman" w:hAnsi="Times New Roman"/>
                <w:b/>
                <w:sz w:val="20"/>
                <w:szCs w:val="20"/>
                <w:lang w:eastAsia="ru-RU"/>
              </w:rPr>
              <w:t>правил</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 1.</w:t>
            </w:r>
            <w:r w:rsidRPr="00A071F0">
              <w:rPr>
                <w:rFonts w:ascii="Times New Roman" w:hAnsi="Times New Roman"/>
                <w:sz w:val="20"/>
                <w:szCs w:val="20"/>
                <w:lang w:eastAsia="ru-RU"/>
              </w:rPr>
              <w:t xml:space="preserve"> Контроль за</w:t>
            </w:r>
            <w:r>
              <w:rPr>
                <w:rFonts w:ascii="Times New Roman" w:hAnsi="Times New Roman"/>
                <w:sz w:val="20"/>
                <w:szCs w:val="20"/>
                <w:lang w:eastAsia="ru-RU"/>
              </w:rPr>
              <w:t> </w:t>
            </w:r>
            <w:r w:rsidRPr="00A071F0">
              <w:rPr>
                <w:rFonts w:ascii="Times New Roman" w:hAnsi="Times New Roman"/>
                <w:sz w:val="20"/>
                <w:szCs w:val="20"/>
                <w:lang w:eastAsia="ru-RU"/>
              </w:rPr>
              <w:t>выдачей разрешений на</w:t>
            </w:r>
            <w:r>
              <w:rPr>
                <w:rFonts w:ascii="Times New Roman" w:hAnsi="Times New Roman"/>
                <w:sz w:val="20"/>
                <w:szCs w:val="20"/>
                <w:lang w:eastAsia="ru-RU"/>
              </w:rPr>
              <w:t> </w:t>
            </w:r>
            <w:r w:rsidRPr="00A071F0">
              <w:rPr>
                <w:rFonts w:ascii="Times New Roman" w:hAnsi="Times New Roman"/>
                <w:sz w:val="20"/>
                <w:szCs w:val="20"/>
                <w:lang w:eastAsia="ru-RU"/>
              </w:rPr>
              <w:t>отвод земли, лицензий на</w:t>
            </w:r>
            <w:r>
              <w:rPr>
                <w:rFonts w:ascii="Times New Roman" w:hAnsi="Times New Roman"/>
                <w:sz w:val="20"/>
                <w:szCs w:val="20"/>
                <w:lang w:eastAsia="ru-RU"/>
              </w:rPr>
              <w:t> </w:t>
            </w:r>
            <w:r w:rsidRPr="00A071F0">
              <w:rPr>
                <w:rFonts w:ascii="Times New Roman" w:hAnsi="Times New Roman"/>
                <w:sz w:val="20"/>
                <w:szCs w:val="20"/>
                <w:lang w:eastAsia="ru-RU"/>
              </w:rPr>
              <w:t>проведение строительных работ. Экспертиза проектов размещения и</w:t>
            </w:r>
            <w:r>
              <w:rPr>
                <w:rFonts w:ascii="Times New Roman" w:hAnsi="Times New Roman"/>
                <w:sz w:val="20"/>
                <w:szCs w:val="20"/>
                <w:lang w:eastAsia="ru-RU"/>
              </w:rPr>
              <w:t> </w:t>
            </w:r>
            <w:r w:rsidRPr="00A071F0">
              <w:rPr>
                <w:rFonts w:ascii="Times New Roman" w:hAnsi="Times New Roman"/>
                <w:sz w:val="20"/>
                <w:szCs w:val="20"/>
                <w:lang w:eastAsia="ru-RU"/>
              </w:rPr>
              <w:t>строительства объектов. Сертификация производства вновь сооружаемых объектов. Перевод (перемещение) производств на</w:t>
            </w:r>
            <w:r>
              <w:rPr>
                <w:rFonts w:ascii="Times New Roman" w:hAnsi="Times New Roman"/>
                <w:sz w:val="20"/>
                <w:szCs w:val="20"/>
                <w:lang w:eastAsia="ru-RU"/>
              </w:rPr>
              <w:t> </w:t>
            </w:r>
            <w:r w:rsidRPr="00A071F0">
              <w:rPr>
                <w:rFonts w:ascii="Times New Roman" w:hAnsi="Times New Roman"/>
                <w:sz w:val="20"/>
                <w:szCs w:val="20"/>
                <w:lang w:eastAsia="ru-RU"/>
              </w:rPr>
              <w:t>другие площадки в</w:t>
            </w:r>
            <w:r>
              <w:rPr>
                <w:rFonts w:ascii="Times New Roman" w:hAnsi="Times New Roman"/>
                <w:sz w:val="20"/>
                <w:szCs w:val="20"/>
                <w:lang w:eastAsia="ru-RU"/>
              </w:rPr>
              <w:t> </w:t>
            </w:r>
            <w:r w:rsidRPr="00A071F0">
              <w:rPr>
                <w:rFonts w:ascii="Times New Roman" w:hAnsi="Times New Roman"/>
                <w:sz w:val="20"/>
                <w:szCs w:val="20"/>
                <w:lang w:eastAsia="ru-RU"/>
              </w:rPr>
              <w:t>случае невыполнения требований норм и</w:t>
            </w:r>
            <w:r>
              <w:rPr>
                <w:rFonts w:ascii="Times New Roman" w:hAnsi="Times New Roman"/>
                <w:sz w:val="20"/>
                <w:szCs w:val="20"/>
                <w:lang w:eastAsia="ru-RU"/>
              </w:rPr>
              <w:t> </w:t>
            </w:r>
            <w:r w:rsidRPr="00A071F0">
              <w:rPr>
                <w:rFonts w:ascii="Times New Roman" w:hAnsi="Times New Roman"/>
                <w:sz w:val="20"/>
                <w:szCs w:val="20"/>
                <w:lang w:eastAsia="ru-RU"/>
              </w:rPr>
              <w:t>правил.</w:t>
            </w:r>
          </w:p>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sz w:val="20"/>
                <w:szCs w:val="20"/>
                <w:lang w:eastAsia="ru-RU"/>
              </w:rPr>
              <w:t xml:space="preserve"> </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Создание запасов материально-технических средств и</w:t>
            </w:r>
            <w:r>
              <w:rPr>
                <w:rFonts w:ascii="Times New Roman" w:hAnsi="Times New Roman"/>
                <w:b/>
                <w:sz w:val="20"/>
                <w:szCs w:val="20"/>
                <w:lang w:eastAsia="ru-RU"/>
              </w:rPr>
              <w:t> </w:t>
            </w:r>
            <w:r w:rsidRPr="00A071F0">
              <w:rPr>
                <w:rFonts w:ascii="Times New Roman" w:hAnsi="Times New Roman"/>
                <w:b/>
                <w:sz w:val="20"/>
                <w:szCs w:val="20"/>
                <w:lang w:eastAsia="ru-RU"/>
              </w:rPr>
              <w:t>сорбирующих материалов для ликвидации ЧС</w:t>
            </w:r>
            <w:r>
              <w:rPr>
                <w:rFonts w:ascii="Times New Roman" w:hAnsi="Times New Roman"/>
                <w:b/>
                <w:sz w:val="20"/>
                <w:szCs w:val="20"/>
                <w:lang w:eastAsia="ru-RU"/>
              </w:rPr>
              <w:t> </w:t>
            </w:r>
            <w:r w:rsidRPr="00A071F0">
              <w:rPr>
                <w:rFonts w:ascii="Times New Roman" w:hAnsi="Times New Roman"/>
                <w:b/>
                <w:sz w:val="20"/>
                <w:szCs w:val="20"/>
                <w:lang w:eastAsia="ru-RU"/>
              </w:rPr>
              <w:t>и</w:t>
            </w:r>
            <w:r>
              <w:rPr>
                <w:rFonts w:ascii="Times New Roman" w:hAnsi="Times New Roman"/>
                <w:b/>
                <w:sz w:val="20"/>
                <w:szCs w:val="20"/>
                <w:lang w:eastAsia="ru-RU"/>
              </w:rPr>
              <w:t> </w:t>
            </w:r>
            <w:r w:rsidRPr="00A071F0">
              <w:rPr>
                <w:rFonts w:ascii="Times New Roman" w:hAnsi="Times New Roman"/>
                <w:b/>
                <w:sz w:val="20"/>
                <w:szCs w:val="20"/>
                <w:lang w:eastAsia="ru-RU"/>
              </w:rPr>
              <w:t>их</w:t>
            </w:r>
            <w:r>
              <w:rPr>
                <w:rFonts w:ascii="Times New Roman" w:hAnsi="Times New Roman"/>
                <w:b/>
                <w:sz w:val="20"/>
                <w:szCs w:val="20"/>
                <w:lang w:eastAsia="ru-RU"/>
              </w:rPr>
              <w:t> </w:t>
            </w:r>
            <w:r w:rsidRPr="00A071F0">
              <w:rPr>
                <w:rFonts w:ascii="Times New Roman" w:hAnsi="Times New Roman"/>
                <w:b/>
                <w:sz w:val="20"/>
                <w:szCs w:val="20"/>
                <w:lang w:eastAsia="ru-RU"/>
              </w:rPr>
              <w:t>последствий</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Режимы 1, 2.</w:t>
            </w:r>
            <w:r w:rsidRPr="00A071F0">
              <w:rPr>
                <w:rFonts w:ascii="Times New Roman" w:hAnsi="Times New Roman"/>
                <w:sz w:val="20"/>
                <w:szCs w:val="20"/>
                <w:lang w:eastAsia="ru-RU"/>
              </w:rPr>
              <w:t xml:space="preserve"> Анализ порядка и</w:t>
            </w:r>
            <w:r>
              <w:rPr>
                <w:rFonts w:ascii="Times New Roman" w:hAnsi="Times New Roman"/>
                <w:sz w:val="20"/>
                <w:szCs w:val="20"/>
                <w:lang w:eastAsia="ru-RU"/>
              </w:rPr>
              <w:t> </w:t>
            </w:r>
            <w:r w:rsidRPr="00A071F0">
              <w:rPr>
                <w:rFonts w:ascii="Times New Roman" w:hAnsi="Times New Roman"/>
                <w:sz w:val="20"/>
                <w:szCs w:val="20"/>
                <w:lang w:eastAsia="ru-RU"/>
              </w:rPr>
              <w:t>номенклатуры используемых материально-технических ресурсов при ликвидации ЧС</w:t>
            </w:r>
            <w:r>
              <w:rPr>
                <w:rFonts w:ascii="Times New Roman" w:hAnsi="Times New Roman"/>
                <w:sz w:val="20"/>
                <w:szCs w:val="20"/>
                <w:lang w:eastAsia="ru-RU"/>
              </w:rPr>
              <w:t> </w:t>
            </w:r>
            <w:r w:rsidRPr="00A071F0">
              <w:rPr>
                <w:rFonts w:ascii="Times New Roman" w:hAnsi="Times New Roman"/>
                <w:sz w:val="20"/>
                <w:szCs w:val="20"/>
                <w:lang w:eastAsia="ru-RU"/>
              </w:rPr>
              <w:t>для районов с</w:t>
            </w:r>
            <w:r>
              <w:rPr>
                <w:rFonts w:ascii="Times New Roman" w:hAnsi="Times New Roman"/>
                <w:sz w:val="20"/>
                <w:szCs w:val="20"/>
                <w:lang w:eastAsia="ru-RU"/>
              </w:rPr>
              <w:t> </w:t>
            </w:r>
            <w:r w:rsidRPr="00A071F0">
              <w:rPr>
                <w:rFonts w:ascii="Times New Roman" w:hAnsi="Times New Roman"/>
                <w:sz w:val="20"/>
                <w:szCs w:val="20"/>
                <w:lang w:eastAsia="ru-RU"/>
              </w:rPr>
              <w:t>частой повторяемостью по</w:t>
            </w:r>
            <w:r>
              <w:rPr>
                <w:rFonts w:ascii="Times New Roman" w:hAnsi="Times New Roman"/>
                <w:sz w:val="20"/>
                <w:szCs w:val="20"/>
                <w:lang w:eastAsia="ru-RU"/>
              </w:rPr>
              <w:t> </w:t>
            </w:r>
            <w:r w:rsidRPr="00A071F0">
              <w:rPr>
                <w:rFonts w:ascii="Times New Roman" w:hAnsi="Times New Roman"/>
                <w:sz w:val="20"/>
                <w:szCs w:val="20"/>
                <w:lang w:eastAsia="ru-RU"/>
              </w:rPr>
              <w:t>данным многолетних наблюдений. Выработка предложений по</w:t>
            </w:r>
            <w:r>
              <w:rPr>
                <w:rFonts w:ascii="Times New Roman" w:hAnsi="Times New Roman"/>
                <w:sz w:val="20"/>
                <w:szCs w:val="20"/>
                <w:lang w:eastAsia="ru-RU"/>
              </w:rPr>
              <w:t> </w:t>
            </w:r>
            <w:r w:rsidRPr="00A071F0">
              <w:rPr>
                <w:rFonts w:ascii="Times New Roman" w:hAnsi="Times New Roman"/>
                <w:sz w:val="20"/>
                <w:szCs w:val="20"/>
                <w:lang w:eastAsia="ru-RU"/>
              </w:rPr>
              <w:t>составу и</w:t>
            </w:r>
            <w:r>
              <w:rPr>
                <w:rFonts w:ascii="Times New Roman" w:hAnsi="Times New Roman"/>
                <w:sz w:val="20"/>
                <w:szCs w:val="20"/>
                <w:lang w:eastAsia="ru-RU"/>
              </w:rPr>
              <w:t> </w:t>
            </w:r>
            <w:r w:rsidRPr="00A071F0">
              <w:rPr>
                <w:rFonts w:ascii="Times New Roman" w:hAnsi="Times New Roman"/>
                <w:sz w:val="20"/>
                <w:szCs w:val="20"/>
                <w:lang w:eastAsia="ru-RU"/>
              </w:rPr>
              <w:t>объёму создаваемых резервных запасов, порядку финансирования, подготовка заявок. Контроль за</w:t>
            </w:r>
            <w:r>
              <w:rPr>
                <w:rFonts w:ascii="Times New Roman" w:hAnsi="Times New Roman"/>
                <w:sz w:val="20"/>
                <w:szCs w:val="20"/>
                <w:lang w:eastAsia="ru-RU"/>
              </w:rPr>
              <w:t> </w:t>
            </w:r>
            <w:r w:rsidRPr="00A071F0">
              <w:rPr>
                <w:rFonts w:ascii="Times New Roman" w:hAnsi="Times New Roman"/>
                <w:sz w:val="20"/>
                <w:szCs w:val="20"/>
                <w:lang w:eastAsia="ru-RU"/>
              </w:rPr>
              <w:t>состоянием неснижаемых (нормируемых) запасов. Определение мест хранения и</w:t>
            </w:r>
            <w:r>
              <w:rPr>
                <w:rFonts w:ascii="Times New Roman" w:hAnsi="Times New Roman"/>
                <w:sz w:val="20"/>
                <w:szCs w:val="20"/>
                <w:lang w:eastAsia="ru-RU"/>
              </w:rPr>
              <w:t> </w:t>
            </w:r>
            <w:r w:rsidRPr="00A071F0">
              <w:rPr>
                <w:rFonts w:ascii="Times New Roman" w:hAnsi="Times New Roman"/>
                <w:sz w:val="20"/>
                <w:szCs w:val="20"/>
                <w:lang w:eastAsia="ru-RU"/>
              </w:rPr>
              <w:t>порядка доставки в</w:t>
            </w:r>
            <w:r>
              <w:rPr>
                <w:rFonts w:ascii="Times New Roman" w:hAnsi="Times New Roman"/>
                <w:sz w:val="20"/>
                <w:szCs w:val="20"/>
                <w:lang w:eastAsia="ru-RU"/>
              </w:rPr>
              <w:t> </w:t>
            </w:r>
            <w:r w:rsidRPr="00A071F0">
              <w:rPr>
                <w:rFonts w:ascii="Times New Roman" w:hAnsi="Times New Roman"/>
                <w:sz w:val="20"/>
                <w:szCs w:val="20"/>
                <w:lang w:eastAsia="ru-RU"/>
              </w:rPr>
              <w:t>район бедствия. Подготовка площадок для приёма поступающих в</w:t>
            </w:r>
            <w:r>
              <w:rPr>
                <w:rFonts w:ascii="Times New Roman" w:hAnsi="Times New Roman"/>
                <w:sz w:val="20"/>
                <w:szCs w:val="20"/>
                <w:lang w:eastAsia="ru-RU"/>
              </w:rPr>
              <w:t> </w:t>
            </w:r>
            <w:r w:rsidRPr="00A071F0">
              <w:rPr>
                <w:rFonts w:ascii="Times New Roman" w:hAnsi="Times New Roman"/>
                <w:sz w:val="20"/>
                <w:szCs w:val="20"/>
                <w:lang w:eastAsia="ru-RU"/>
              </w:rPr>
              <w:t>ходе ликвидации ЧС</w:t>
            </w:r>
            <w:r>
              <w:rPr>
                <w:rFonts w:ascii="Times New Roman" w:hAnsi="Times New Roman"/>
                <w:sz w:val="20"/>
                <w:szCs w:val="20"/>
                <w:lang w:eastAsia="ru-RU"/>
              </w:rPr>
              <w:t> </w:t>
            </w:r>
            <w:r w:rsidRPr="00A071F0">
              <w:rPr>
                <w:rFonts w:ascii="Times New Roman" w:hAnsi="Times New Roman"/>
                <w:sz w:val="20"/>
                <w:szCs w:val="20"/>
                <w:lang w:eastAsia="ru-RU"/>
              </w:rPr>
              <w:t>грузов.</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Подготовка команд для подрыва льда с</w:t>
            </w:r>
            <w:r>
              <w:rPr>
                <w:rFonts w:ascii="Times New Roman" w:hAnsi="Times New Roman"/>
                <w:b/>
                <w:sz w:val="20"/>
                <w:szCs w:val="20"/>
                <w:lang w:eastAsia="ru-RU"/>
              </w:rPr>
              <w:t> </w:t>
            </w:r>
            <w:r w:rsidRPr="00A071F0">
              <w:rPr>
                <w:rFonts w:ascii="Times New Roman" w:hAnsi="Times New Roman"/>
                <w:b/>
                <w:sz w:val="20"/>
                <w:szCs w:val="20"/>
                <w:lang w:eastAsia="ru-RU"/>
              </w:rPr>
              <w:t>целью предотвращения и</w:t>
            </w:r>
            <w:r>
              <w:rPr>
                <w:rFonts w:ascii="Times New Roman" w:hAnsi="Times New Roman"/>
                <w:b/>
                <w:sz w:val="20"/>
                <w:szCs w:val="20"/>
                <w:lang w:eastAsia="ru-RU"/>
              </w:rPr>
              <w:t> </w:t>
            </w:r>
            <w:r w:rsidRPr="00A071F0">
              <w:rPr>
                <w:rFonts w:ascii="Times New Roman" w:hAnsi="Times New Roman"/>
                <w:b/>
                <w:sz w:val="20"/>
                <w:szCs w:val="20"/>
                <w:lang w:eastAsia="ru-RU"/>
              </w:rPr>
              <w:t>ликвидации заторов на</w:t>
            </w:r>
            <w:r>
              <w:rPr>
                <w:rFonts w:ascii="Times New Roman" w:hAnsi="Times New Roman"/>
                <w:b/>
                <w:sz w:val="20"/>
                <w:szCs w:val="20"/>
                <w:lang w:eastAsia="ru-RU"/>
              </w:rPr>
              <w:t> </w:t>
            </w:r>
            <w:r w:rsidRPr="00A071F0">
              <w:rPr>
                <w:rFonts w:ascii="Times New Roman" w:hAnsi="Times New Roman"/>
                <w:b/>
                <w:sz w:val="20"/>
                <w:szCs w:val="20"/>
                <w:lang w:eastAsia="ru-RU"/>
              </w:rPr>
              <w:t>реках</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Режимы 1, 2, 3.</w:t>
            </w:r>
            <w:r w:rsidRPr="00A071F0">
              <w:rPr>
                <w:rFonts w:ascii="Times New Roman" w:hAnsi="Times New Roman"/>
                <w:sz w:val="20"/>
                <w:szCs w:val="20"/>
                <w:lang w:eastAsia="ru-RU"/>
              </w:rPr>
              <w:t xml:space="preserve"> Создание специальных команд. Обучение методике проведения в</w:t>
            </w:r>
            <w:r>
              <w:rPr>
                <w:rFonts w:ascii="Times New Roman" w:hAnsi="Times New Roman"/>
                <w:sz w:val="20"/>
                <w:szCs w:val="20"/>
                <w:lang w:eastAsia="ru-RU"/>
              </w:rPr>
              <w:t> </w:t>
            </w:r>
            <w:r w:rsidRPr="00A071F0">
              <w:rPr>
                <w:rFonts w:ascii="Times New Roman" w:hAnsi="Times New Roman"/>
                <w:sz w:val="20"/>
                <w:szCs w:val="20"/>
                <w:lang w:eastAsia="ru-RU"/>
              </w:rPr>
              <w:t>взрывных работ на</w:t>
            </w:r>
            <w:r>
              <w:rPr>
                <w:rFonts w:ascii="Times New Roman" w:hAnsi="Times New Roman"/>
                <w:sz w:val="20"/>
                <w:szCs w:val="20"/>
                <w:lang w:eastAsia="ru-RU"/>
              </w:rPr>
              <w:t> </w:t>
            </w:r>
            <w:r w:rsidRPr="00A071F0">
              <w:rPr>
                <w:rFonts w:ascii="Times New Roman" w:hAnsi="Times New Roman"/>
                <w:sz w:val="20"/>
                <w:szCs w:val="20"/>
                <w:lang w:eastAsia="ru-RU"/>
              </w:rPr>
              <w:t>реках с</w:t>
            </w:r>
            <w:r>
              <w:rPr>
                <w:rFonts w:ascii="Times New Roman" w:hAnsi="Times New Roman"/>
                <w:sz w:val="20"/>
                <w:szCs w:val="20"/>
                <w:lang w:eastAsia="ru-RU"/>
              </w:rPr>
              <w:t> </w:t>
            </w:r>
            <w:r w:rsidRPr="00A071F0">
              <w:rPr>
                <w:rFonts w:ascii="Times New Roman" w:hAnsi="Times New Roman"/>
                <w:sz w:val="20"/>
                <w:szCs w:val="20"/>
                <w:lang w:eastAsia="ru-RU"/>
              </w:rPr>
              <w:t>различной ледовой обстановкой. Сертификация формирований. Экипировка и</w:t>
            </w:r>
            <w:r>
              <w:rPr>
                <w:rFonts w:ascii="Times New Roman" w:hAnsi="Times New Roman"/>
                <w:sz w:val="20"/>
                <w:szCs w:val="20"/>
                <w:lang w:eastAsia="ru-RU"/>
              </w:rPr>
              <w:t> </w:t>
            </w:r>
            <w:r w:rsidRPr="00A071F0">
              <w:rPr>
                <w:rFonts w:ascii="Times New Roman" w:hAnsi="Times New Roman"/>
                <w:sz w:val="20"/>
                <w:szCs w:val="20"/>
                <w:lang w:eastAsia="ru-RU"/>
              </w:rPr>
              <w:t>оснащение команд. Согласование порядка применения взрывного способа ликвидации заторов и</w:t>
            </w:r>
            <w:r>
              <w:rPr>
                <w:rFonts w:ascii="Times New Roman" w:hAnsi="Times New Roman"/>
                <w:sz w:val="20"/>
                <w:szCs w:val="20"/>
                <w:lang w:eastAsia="ru-RU"/>
              </w:rPr>
              <w:t> </w:t>
            </w:r>
            <w:r w:rsidRPr="00A071F0">
              <w:rPr>
                <w:rFonts w:ascii="Times New Roman" w:hAnsi="Times New Roman"/>
                <w:sz w:val="20"/>
                <w:szCs w:val="20"/>
                <w:lang w:eastAsia="ru-RU"/>
              </w:rPr>
              <w:t>порядка использования команд подрывников. Планирование доставки команд в</w:t>
            </w:r>
            <w:r>
              <w:rPr>
                <w:rFonts w:ascii="Times New Roman" w:hAnsi="Times New Roman"/>
                <w:sz w:val="20"/>
                <w:szCs w:val="20"/>
                <w:lang w:eastAsia="ru-RU"/>
              </w:rPr>
              <w:t> </w:t>
            </w:r>
            <w:r w:rsidRPr="00A071F0">
              <w:rPr>
                <w:rFonts w:ascii="Times New Roman" w:hAnsi="Times New Roman"/>
                <w:sz w:val="20"/>
                <w:szCs w:val="20"/>
                <w:lang w:eastAsia="ru-RU"/>
              </w:rPr>
              <w:t>места проведения взрывных работ. Проведение учений и</w:t>
            </w:r>
            <w:r>
              <w:rPr>
                <w:rFonts w:ascii="Times New Roman" w:hAnsi="Times New Roman"/>
                <w:sz w:val="20"/>
                <w:szCs w:val="20"/>
                <w:lang w:eastAsia="ru-RU"/>
              </w:rPr>
              <w:t> </w:t>
            </w:r>
            <w:r w:rsidRPr="00A071F0">
              <w:rPr>
                <w:rFonts w:ascii="Times New Roman" w:hAnsi="Times New Roman"/>
                <w:sz w:val="20"/>
                <w:szCs w:val="20"/>
                <w:lang w:eastAsia="ru-RU"/>
              </w:rPr>
              <w:t>тренировок.</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Готовность коммунальных служб</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Режимы 1, 2.</w:t>
            </w:r>
            <w:r w:rsidRPr="00A071F0">
              <w:rPr>
                <w:rFonts w:ascii="Times New Roman" w:hAnsi="Times New Roman"/>
                <w:sz w:val="20"/>
                <w:szCs w:val="20"/>
                <w:lang w:eastAsia="ru-RU"/>
              </w:rPr>
              <w:t xml:space="preserve"> Разработка планов действий в</w:t>
            </w:r>
            <w:r>
              <w:rPr>
                <w:rFonts w:ascii="Times New Roman" w:hAnsi="Times New Roman"/>
                <w:sz w:val="20"/>
                <w:szCs w:val="20"/>
                <w:lang w:eastAsia="ru-RU"/>
              </w:rPr>
              <w:t> </w:t>
            </w:r>
            <w:r w:rsidRPr="00A071F0">
              <w:rPr>
                <w:rFonts w:ascii="Times New Roman" w:hAnsi="Times New Roman"/>
                <w:sz w:val="20"/>
                <w:szCs w:val="20"/>
                <w:lang w:eastAsia="ru-RU"/>
              </w:rPr>
              <w:t>условиях угрозы и</w:t>
            </w:r>
            <w:r>
              <w:rPr>
                <w:rFonts w:ascii="Times New Roman" w:hAnsi="Times New Roman"/>
                <w:sz w:val="20"/>
                <w:szCs w:val="20"/>
                <w:lang w:eastAsia="ru-RU"/>
              </w:rPr>
              <w:t> </w:t>
            </w:r>
            <w:r w:rsidRPr="00A071F0">
              <w:rPr>
                <w:rFonts w:ascii="Times New Roman" w:hAnsi="Times New Roman"/>
                <w:sz w:val="20"/>
                <w:szCs w:val="20"/>
                <w:lang w:eastAsia="ru-RU"/>
              </w:rPr>
              <w:t>в</w:t>
            </w:r>
            <w:r>
              <w:rPr>
                <w:rFonts w:ascii="Times New Roman" w:hAnsi="Times New Roman"/>
                <w:sz w:val="20"/>
                <w:szCs w:val="20"/>
                <w:lang w:eastAsia="ru-RU"/>
              </w:rPr>
              <w:t> </w:t>
            </w:r>
            <w:r w:rsidRPr="00A071F0">
              <w:rPr>
                <w:rFonts w:ascii="Times New Roman" w:hAnsi="Times New Roman"/>
                <w:sz w:val="20"/>
                <w:szCs w:val="20"/>
                <w:lang w:eastAsia="ru-RU"/>
              </w:rPr>
              <w:t>ходе ликвидации ЧС. Обеспечение материально-техническими ресурсами. Создание запасов резервных автономных источников энергоснабжения, тепла и</w:t>
            </w:r>
            <w:r>
              <w:rPr>
                <w:rFonts w:ascii="Times New Roman" w:hAnsi="Times New Roman"/>
                <w:sz w:val="20"/>
                <w:szCs w:val="20"/>
                <w:lang w:eastAsia="ru-RU"/>
              </w:rPr>
              <w:t> </w:t>
            </w:r>
            <w:r w:rsidRPr="00A071F0">
              <w:rPr>
                <w:rFonts w:ascii="Times New Roman" w:hAnsi="Times New Roman"/>
                <w:sz w:val="20"/>
                <w:szCs w:val="20"/>
                <w:lang w:eastAsia="ru-RU"/>
              </w:rPr>
              <w:t>т.п. Проведение учений и</w:t>
            </w:r>
            <w:r>
              <w:rPr>
                <w:rFonts w:ascii="Times New Roman" w:hAnsi="Times New Roman"/>
                <w:sz w:val="20"/>
                <w:szCs w:val="20"/>
                <w:lang w:eastAsia="ru-RU"/>
              </w:rPr>
              <w:t> </w:t>
            </w:r>
            <w:r w:rsidRPr="00A071F0">
              <w:rPr>
                <w:rFonts w:ascii="Times New Roman" w:hAnsi="Times New Roman"/>
                <w:sz w:val="20"/>
                <w:szCs w:val="20"/>
                <w:lang w:eastAsia="ru-RU"/>
              </w:rPr>
              <w:t>тренировок по</w:t>
            </w:r>
            <w:r>
              <w:rPr>
                <w:rFonts w:ascii="Times New Roman" w:hAnsi="Times New Roman"/>
                <w:sz w:val="20"/>
                <w:szCs w:val="20"/>
                <w:lang w:eastAsia="ru-RU"/>
              </w:rPr>
              <w:t> </w:t>
            </w:r>
            <w:r w:rsidRPr="00A071F0">
              <w:rPr>
                <w:rFonts w:ascii="Times New Roman" w:hAnsi="Times New Roman"/>
                <w:sz w:val="20"/>
                <w:szCs w:val="20"/>
                <w:lang w:eastAsia="ru-RU"/>
              </w:rPr>
              <w:t>переводу коммунально-энергетических объектов на</w:t>
            </w:r>
            <w:r>
              <w:rPr>
                <w:rFonts w:ascii="Times New Roman" w:hAnsi="Times New Roman"/>
                <w:sz w:val="20"/>
                <w:szCs w:val="20"/>
                <w:lang w:eastAsia="ru-RU"/>
              </w:rPr>
              <w:t> </w:t>
            </w:r>
            <w:r w:rsidRPr="00A071F0">
              <w:rPr>
                <w:rFonts w:ascii="Times New Roman" w:hAnsi="Times New Roman"/>
                <w:sz w:val="20"/>
                <w:szCs w:val="20"/>
                <w:lang w:eastAsia="ru-RU"/>
              </w:rPr>
              <w:t>особый режим функционирования, отработка нормативов переводы на</w:t>
            </w:r>
            <w:r>
              <w:rPr>
                <w:rFonts w:ascii="Times New Roman" w:hAnsi="Times New Roman"/>
                <w:sz w:val="20"/>
                <w:szCs w:val="20"/>
                <w:lang w:eastAsia="ru-RU"/>
              </w:rPr>
              <w:t> </w:t>
            </w:r>
            <w:r w:rsidRPr="00A071F0">
              <w:rPr>
                <w:rFonts w:ascii="Times New Roman" w:hAnsi="Times New Roman"/>
                <w:sz w:val="20"/>
                <w:szCs w:val="20"/>
                <w:lang w:eastAsia="ru-RU"/>
              </w:rPr>
              <w:t>особый режим (подготовка к</w:t>
            </w:r>
            <w:r>
              <w:rPr>
                <w:rFonts w:ascii="Times New Roman" w:hAnsi="Times New Roman"/>
                <w:sz w:val="20"/>
                <w:szCs w:val="20"/>
                <w:lang w:eastAsia="ru-RU"/>
              </w:rPr>
              <w:t> </w:t>
            </w:r>
            <w:r w:rsidRPr="00A071F0">
              <w:rPr>
                <w:rFonts w:ascii="Times New Roman" w:hAnsi="Times New Roman"/>
                <w:sz w:val="20"/>
                <w:szCs w:val="20"/>
                <w:lang w:eastAsia="ru-RU"/>
              </w:rPr>
              <w:t>переводу - не</w:t>
            </w:r>
            <w:r>
              <w:rPr>
                <w:rFonts w:ascii="Times New Roman" w:hAnsi="Times New Roman"/>
                <w:sz w:val="20"/>
                <w:szCs w:val="20"/>
                <w:lang w:eastAsia="ru-RU"/>
              </w:rPr>
              <w:t> </w:t>
            </w:r>
            <w:r w:rsidRPr="00A071F0">
              <w:rPr>
                <w:rFonts w:ascii="Times New Roman" w:hAnsi="Times New Roman"/>
                <w:sz w:val="20"/>
                <w:szCs w:val="20"/>
                <w:lang w:eastAsia="ru-RU"/>
              </w:rPr>
              <w:t>более 12 часов, непосредственно перевод - не</w:t>
            </w:r>
            <w:r>
              <w:rPr>
                <w:rFonts w:ascii="Times New Roman" w:hAnsi="Times New Roman"/>
                <w:sz w:val="20"/>
                <w:szCs w:val="20"/>
                <w:lang w:eastAsia="ru-RU"/>
              </w:rPr>
              <w:t> </w:t>
            </w:r>
            <w:r w:rsidRPr="00A071F0">
              <w:rPr>
                <w:rFonts w:ascii="Times New Roman" w:hAnsi="Times New Roman"/>
                <w:sz w:val="20"/>
                <w:szCs w:val="20"/>
                <w:lang w:eastAsia="ru-RU"/>
              </w:rPr>
              <w:t xml:space="preserve">более 6 часов). Создание запасов реагентов, расходных материалов. Согласование порядка обеспечения эвакуированного населения коммунально-энергетическими услугами. </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Организация круглосуточного дежурства</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 2.</w:t>
            </w:r>
            <w:r w:rsidRPr="00A071F0">
              <w:rPr>
                <w:rFonts w:ascii="Times New Roman" w:hAnsi="Times New Roman"/>
                <w:sz w:val="20"/>
                <w:szCs w:val="20"/>
                <w:lang w:eastAsia="ru-RU"/>
              </w:rPr>
              <w:t xml:space="preserve"> При непосредственной угрозе ЧС</w:t>
            </w:r>
            <w:r>
              <w:rPr>
                <w:rFonts w:ascii="Times New Roman" w:hAnsi="Times New Roman"/>
                <w:sz w:val="20"/>
                <w:szCs w:val="20"/>
                <w:lang w:eastAsia="ru-RU"/>
              </w:rPr>
              <w:t> </w:t>
            </w:r>
            <w:r w:rsidRPr="00A071F0">
              <w:rPr>
                <w:rFonts w:ascii="Times New Roman" w:hAnsi="Times New Roman"/>
                <w:sz w:val="20"/>
                <w:szCs w:val="20"/>
                <w:lang w:eastAsia="ru-RU"/>
              </w:rPr>
              <w:t>на</w:t>
            </w:r>
            <w:r>
              <w:rPr>
                <w:rFonts w:ascii="Times New Roman" w:hAnsi="Times New Roman"/>
                <w:sz w:val="20"/>
                <w:szCs w:val="20"/>
                <w:lang w:eastAsia="ru-RU"/>
              </w:rPr>
              <w:t> </w:t>
            </w:r>
            <w:r w:rsidRPr="00A071F0">
              <w:rPr>
                <w:rFonts w:ascii="Times New Roman" w:hAnsi="Times New Roman"/>
                <w:sz w:val="20"/>
                <w:szCs w:val="20"/>
                <w:lang w:eastAsia="ru-RU"/>
              </w:rPr>
              <w:t>постах наблюдения, штабах ГОЧС, коммунальных службах, хозяйственных органах, органах охраны порядка. Оперативная обработка информации и</w:t>
            </w:r>
            <w:r>
              <w:rPr>
                <w:rFonts w:ascii="Times New Roman" w:hAnsi="Times New Roman"/>
                <w:sz w:val="20"/>
                <w:szCs w:val="20"/>
                <w:lang w:eastAsia="ru-RU"/>
              </w:rPr>
              <w:t> </w:t>
            </w:r>
            <w:r w:rsidRPr="00A071F0">
              <w:rPr>
                <w:rFonts w:ascii="Times New Roman" w:hAnsi="Times New Roman"/>
                <w:sz w:val="20"/>
                <w:szCs w:val="20"/>
                <w:lang w:eastAsia="ru-RU"/>
              </w:rPr>
              <w:t>данных наблюдения, оценка обстановки и</w:t>
            </w:r>
            <w:r>
              <w:rPr>
                <w:rFonts w:ascii="Times New Roman" w:hAnsi="Times New Roman"/>
                <w:sz w:val="20"/>
                <w:szCs w:val="20"/>
                <w:lang w:eastAsia="ru-RU"/>
              </w:rPr>
              <w:t> </w:t>
            </w:r>
            <w:r w:rsidRPr="00A071F0">
              <w:rPr>
                <w:rFonts w:ascii="Times New Roman" w:hAnsi="Times New Roman"/>
                <w:sz w:val="20"/>
                <w:szCs w:val="20"/>
                <w:lang w:eastAsia="ru-RU"/>
              </w:rPr>
              <w:t>прогнозирование её динамики. Установление связи и</w:t>
            </w:r>
            <w:r>
              <w:rPr>
                <w:rFonts w:ascii="Times New Roman" w:hAnsi="Times New Roman"/>
                <w:sz w:val="20"/>
                <w:szCs w:val="20"/>
                <w:lang w:eastAsia="ru-RU"/>
              </w:rPr>
              <w:t> </w:t>
            </w:r>
            <w:r w:rsidRPr="00A071F0">
              <w:rPr>
                <w:rFonts w:ascii="Times New Roman" w:hAnsi="Times New Roman"/>
                <w:sz w:val="20"/>
                <w:szCs w:val="20"/>
                <w:lang w:eastAsia="ru-RU"/>
              </w:rPr>
              <w:t>организация взаимодействия между службами различных ведомств, объектами экономики.</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Выделение финансовых средств на</w:t>
            </w:r>
            <w:r>
              <w:rPr>
                <w:rFonts w:ascii="Times New Roman" w:hAnsi="Times New Roman"/>
                <w:b/>
                <w:sz w:val="20"/>
                <w:szCs w:val="20"/>
                <w:lang w:eastAsia="ru-RU"/>
              </w:rPr>
              <w:t> </w:t>
            </w:r>
            <w:r w:rsidRPr="00A071F0">
              <w:rPr>
                <w:rFonts w:ascii="Times New Roman" w:hAnsi="Times New Roman"/>
                <w:b/>
                <w:sz w:val="20"/>
                <w:szCs w:val="20"/>
                <w:lang w:eastAsia="ru-RU"/>
              </w:rPr>
              <w:t>проведение мероприятий</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Режимы 1, 2.</w:t>
            </w:r>
            <w:r w:rsidRPr="00A071F0">
              <w:rPr>
                <w:rFonts w:ascii="Times New Roman" w:hAnsi="Times New Roman"/>
                <w:sz w:val="20"/>
                <w:szCs w:val="20"/>
                <w:lang w:eastAsia="ru-RU"/>
              </w:rPr>
              <w:t xml:space="preserve"> Средства выделяются из</w:t>
            </w:r>
            <w:r>
              <w:rPr>
                <w:rFonts w:ascii="Times New Roman" w:hAnsi="Times New Roman"/>
                <w:sz w:val="20"/>
                <w:szCs w:val="20"/>
                <w:lang w:eastAsia="ru-RU"/>
              </w:rPr>
              <w:t> </w:t>
            </w:r>
            <w:r w:rsidRPr="00A071F0">
              <w:rPr>
                <w:rFonts w:ascii="Times New Roman" w:hAnsi="Times New Roman"/>
                <w:sz w:val="20"/>
                <w:szCs w:val="20"/>
                <w:lang w:eastAsia="ru-RU"/>
              </w:rPr>
              <w:t>федерального и</w:t>
            </w:r>
            <w:r>
              <w:rPr>
                <w:rFonts w:ascii="Times New Roman" w:hAnsi="Times New Roman"/>
                <w:sz w:val="20"/>
                <w:szCs w:val="20"/>
                <w:lang w:eastAsia="ru-RU"/>
              </w:rPr>
              <w:t> </w:t>
            </w:r>
            <w:r w:rsidRPr="00A071F0">
              <w:rPr>
                <w:rFonts w:ascii="Times New Roman" w:hAnsi="Times New Roman"/>
                <w:sz w:val="20"/>
                <w:szCs w:val="20"/>
                <w:lang w:eastAsia="ru-RU"/>
              </w:rPr>
              <w:t>местного бюджетов на</w:t>
            </w:r>
            <w:r>
              <w:rPr>
                <w:rFonts w:ascii="Times New Roman" w:hAnsi="Times New Roman"/>
                <w:sz w:val="20"/>
                <w:szCs w:val="20"/>
                <w:lang w:eastAsia="ru-RU"/>
              </w:rPr>
              <w:t> </w:t>
            </w:r>
            <w:r w:rsidRPr="00A071F0">
              <w:rPr>
                <w:rFonts w:ascii="Times New Roman" w:hAnsi="Times New Roman"/>
                <w:sz w:val="20"/>
                <w:szCs w:val="20"/>
                <w:lang w:eastAsia="ru-RU"/>
              </w:rPr>
              <w:t>основе технико-экономического обоснования и</w:t>
            </w:r>
            <w:r>
              <w:rPr>
                <w:rFonts w:ascii="Times New Roman" w:hAnsi="Times New Roman"/>
                <w:sz w:val="20"/>
                <w:szCs w:val="20"/>
                <w:lang w:eastAsia="ru-RU"/>
              </w:rPr>
              <w:t> </w:t>
            </w:r>
            <w:r w:rsidRPr="00A071F0">
              <w:rPr>
                <w:rFonts w:ascii="Times New Roman" w:hAnsi="Times New Roman"/>
                <w:sz w:val="20"/>
                <w:szCs w:val="20"/>
                <w:lang w:eastAsia="ru-RU"/>
              </w:rPr>
              <w:t>наличия проектно-технических решений. Финансирование мероприятий по</w:t>
            </w:r>
            <w:r>
              <w:rPr>
                <w:rFonts w:ascii="Times New Roman" w:hAnsi="Times New Roman"/>
                <w:sz w:val="20"/>
                <w:szCs w:val="20"/>
                <w:lang w:eastAsia="ru-RU"/>
              </w:rPr>
              <w:t> </w:t>
            </w:r>
            <w:r w:rsidRPr="00A071F0">
              <w:rPr>
                <w:rFonts w:ascii="Times New Roman" w:hAnsi="Times New Roman"/>
                <w:sz w:val="20"/>
                <w:szCs w:val="20"/>
                <w:lang w:eastAsia="ru-RU"/>
              </w:rPr>
              <w:t>защите объектов может осуществляться за</w:t>
            </w:r>
            <w:r>
              <w:rPr>
                <w:rFonts w:ascii="Times New Roman" w:hAnsi="Times New Roman"/>
                <w:sz w:val="20"/>
                <w:szCs w:val="20"/>
                <w:lang w:eastAsia="ru-RU"/>
              </w:rPr>
              <w:t> </w:t>
            </w:r>
            <w:r w:rsidRPr="00A071F0">
              <w:rPr>
                <w:rFonts w:ascii="Times New Roman" w:hAnsi="Times New Roman"/>
                <w:sz w:val="20"/>
                <w:szCs w:val="20"/>
                <w:lang w:eastAsia="ru-RU"/>
              </w:rPr>
              <w:t>счёт их</w:t>
            </w:r>
            <w:r>
              <w:rPr>
                <w:rFonts w:ascii="Times New Roman" w:hAnsi="Times New Roman"/>
                <w:sz w:val="20"/>
                <w:szCs w:val="20"/>
                <w:lang w:eastAsia="ru-RU"/>
              </w:rPr>
              <w:t> </w:t>
            </w:r>
            <w:r w:rsidRPr="00A071F0">
              <w:rPr>
                <w:rFonts w:ascii="Times New Roman" w:hAnsi="Times New Roman"/>
                <w:sz w:val="20"/>
                <w:szCs w:val="20"/>
                <w:lang w:eastAsia="ru-RU"/>
              </w:rPr>
              <w:t>собственников. Утверждение смет на</w:t>
            </w:r>
            <w:r>
              <w:rPr>
                <w:rFonts w:ascii="Times New Roman" w:hAnsi="Times New Roman"/>
                <w:sz w:val="20"/>
                <w:szCs w:val="20"/>
                <w:lang w:eastAsia="ru-RU"/>
              </w:rPr>
              <w:t> </w:t>
            </w:r>
            <w:r w:rsidRPr="00A071F0">
              <w:rPr>
                <w:rFonts w:ascii="Times New Roman" w:hAnsi="Times New Roman"/>
                <w:sz w:val="20"/>
                <w:szCs w:val="20"/>
                <w:lang w:eastAsia="ru-RU"/>
              </w:rPr>
              <w:t>реализацию защитных мероприятий и</w:t>
            </w:r>
            <w:r>
              <w:rPr>
                <w:rFonts w:ascii="Times New Roman" w:hAnsi="Times New Roman"/>
                <w:sz w:val="20"/>
                <w:szCs w:val="20"/>
                <w:lang w:eastAsia="ru-RU"/>
              </w:rPr>
              <w:t> </w:t>
            </w:r>
            <w:r w:rsidRPr="00A071F0">
              <w:rPr>
                <w:rFonts w:ascii="Times New Roman" w:hAnsi="Times New Roman"/>
                <w:sz w:val="20"/>
                <w:szCs w:val="20"/>
                <w:lang w:eastAsia="ru-RU"/>
              </w:rPr>
              <w:t>контроль за</w:t>
            </w:r>
            <w:r>
              <w:rPr>
                <w:rFonts w:ascii="Times New Roman" w:hAnsi="Times New Roman"/>
                <w:sz w:val="20"/>
                <w:szCs w:val="20"/>
                <w:lang w:eastAsia="ru-RU"/>
              </w:rPr>
              <w:t> </w:t>
            </w:r>
            <w:r w:rsidRPr="00A071F0">
              <w:rPr>
                <w:rFonts w:ascii="Times New Roman" w:hAnsi="Times New Roman"/>
                <w:sz w:val="20"/>
                <w:szCs w:val="20"/>
                <w:lang w:eastAsia="ru-RU"/>
              </w:rPr>
              <w:t>целевым расходованием средств.</w:t>
            </w:r>
          </w:p>
        </w:tc>
      </w:tr>
      <w:tr w:rsidR="002D1E45" w:rsidRPr="00A071F0" w:rsidTr="001F6325">
        <w:trPr>
          <w:trHeight w:val="283"/>
          <w:jc w:val="center"/>
        </w:trPr>
        <w:tc>
          <w:tcPr>
            <w:tcW w:w="5000" w:type="pct"/>
            <w:gridSpan w:val="2"/>
            <w:vAlign w:val="center"/>
          </w:tcPr>
          <w:p w:rsidR="002D1E45" w:rsidRPr="00A071F0" w:rsidRDefault="002D1E45" w:rsidP="00A071F0">
            <w:pPr>
              <w:spacing w:after="0" w:line="240" w:lineRule="auto"/>
              <w:jc w:val="center"/>
              <w:rPr>
                <w:rFonts w:ascii="Times New Roman" w:hAnsi="Times New Roman"/>
                <w:b/>
                <w:sz w:val="20"/>
                <w:szCs w:val="20"/>
                <w:lang w:eastAsia="ru-RU"/>
              </w:rPr>
            </w:pPr>
            <w:r w:rsidRPr="00A071F0">
              <w:rPr>
                <w:rFonts w:ascii="Times New Roman" w:hAnsi="Times New Roman"/>
                <w:b/>
                <w:sz w:val="20"/>
                <w:szCs w:val="20"/>
                <w:lang w:eastAsia="ru-RU"/>
              </w:rPr>
              <w:t>Затопление</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Предварительно проводятся мероприятия, характерные для подтопления</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Режимы 1, 2, 3.</w:t>
            </w:r>
            <w:r w:rsidRPr="00A071F0">
              <w:rPr>
                <w:rFonts w:ascii="Times New Roman" w:hAnsi="Times New Roman"/>
                <w:sz w:val="20"/>
                <w:szCs w:val="20"/>
                <w:lang w:eastAsia="ru-RU"/>
              </w:rPr>
              <w:t xml:space="preserve"> Контроль за</w:t>
            </w:r>
            <w:r>
              <w:rPr>
                <w:rFonts w:ascii="Times New Roman" w:hAnsi="Times New Roman"/>
                <w:sz w:val="20"/>
                <w:szCs w:val="20"/>
                <w:lang w:eastAsia="ru-RU"/>
              </w:rPr>
              <w:t> </w:t>
            </w:r>
            <w:r w:rsidRPr="00A071F0">
              <w:rPr>
                <w:rFonts w:ascii="Times New Roman" w:hAnsi="Times New Roman"/>
                <w:sz w:val="20"/>
                <w:szCs w:val="20"/>
                <w:lang w:eastAsia="ru-RU"/>
              </w:rPr>
              <w:t>степенью реализации мероприятий и</w:t>
            </w:r>
            <w:r>
              <w:rPr>
                <w:rFonts w:ascii="Times New Roman" w:hAnsi="Times New Roman"/>
                <w:sz w:val="20"/>
                <w:szCs w:val="20"/>
                <w:lang w:eastAsia="ru-RU"/>
              </w:rPr>
              <w:t> </w:t>
            </w:r>
            <w:r w:rsidRPr="00A071F0">
              <w:rPr>
                <w:rFonts w:ascii="Times New Roman" w:hAnsi="Times New Roman"/>
                <w:sz w:val="20"/>
                <w:szCs w:val="20"/>
                <w:lang w:eastAsia="ru-RU"/>
              </w:rPr>
              <w:t>наблюдаемым эффектом.</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Оповещение населения</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Режимы 2, 3.</w:t>
            </w:r>
            <w:r w:rsidRPr="00A071F0">
              <w:rPr>
                <w:rFonts w:ascii="Times New Roman" w:hAnsi="Times New Roman"/>
                <w:sz w:val="20"/>
                <w:szCs w:val="20"/>
                <w:lang w:eastAsia="ru-RU"/>
              </w:rPr>
              <w:t xml:space="preserve"> Задействование федеральной, территориальных и</w:t>
            </w:r>
            <w:r>
              <w:rPr>
                <w:rFonts w:ascii="Times New Roman" w:hAnsi="Times New Roman"/>
                <w:sz w:val="20"/>
                <w:szCs w:val="20"/>
                <w:lang w:eastAsia="ru-RU"/>
              </w:rPr>
              <w:t> </w:t>
            </w:r>
            <w:r w:rsidRPr="00A071F0">
              <w:rPr>
                <w:rFonts w:ascii="Times New Roman" w:hAnsi="Times New Roman"/>
                <w:sz w:val="20"/>
                <w:szCs w:val="20"/>
                <w:lang w:eastAsia="ru-RU"/>
              </w:rPr>
              <w:t>локальных систем оповещения в</w:t>
            </w:r>
            <w:r>
              <w:rPr>
                <w:rFonts w:ascii="Times New Roman" w:hAnsi="Times New Roman"/>
                <w:sz w:val="20"/>
                <w:szCs w:val="20"/>
                <w:lang w:eastAsia="ru-RU"/>
              </w:rPr>
              <w:t> </w:t>
            </w:r>
            <w:r w:rsidRPr="00A071F0">
              <w:rPr>
                <w:rFonts w:ascii="Times New Roman" w:hAnsi="Times New Roman"/>
                <w:sz w:val="20"/>
                <w:szCs w:val="20"/>
                <w:lang w:eastAsia="ru-RU"/>
              </w:rPr>
              <w:t>случае возникновения реальной угрозы. Использование ручного и</w:t>
            </w:r>
            <w:r>
              <w:rPr>
                <w:rFonts w:ascii="Times New Roman" w:hAnsi="Times New Roman"/>
                <w:sz w:val="20"/>
                <w:szCs w:val="20"/>
                <w:lang w:eastAsia="ru-RU"/>
              </w:rPr>
              <w:t> </w:t>
            </w:r>
            <w:r w:rsidRPr="00A071F0">
              <w:rPr>
                <w:rFonts w:ascii="Times New Roman" w:hAnsi="Times New Roman"/>
                <w:sz w:val="20"/>
                <w:szCs w:val="20"/>
                <w:lang w:eastAsia="ru-RU"/>
              </w:rPr>
              <w:t>автоматизированного способов оповещения, централизованное управление СО</w:t>
            </w:r>
            <w:r>
              <w:rPr>
                <w:rFonts w:ascii="Times New Roman" w:hAnsi="Times New Roman"/>
                <w:sz w:val="20"/>
                <w:szCs w:val="20"/>
                <w:lang w:eastAsia="ru-RU"/>
              </w:rPr>
              <w:t> </w:t>
            </w:r>
            <w:r w:rsidRPr="00A071F0">
              <w:rPr>
                <w:rFonts w:ascii="Times New Roman" w:hAnsi="Times New Roman"/>
                <w:sz w:val="20"/>
                <w:szCs w:val="20"/>
                <w:lang w:eastAsia="ru-RU"/>
              </w:rPr>
              <w:t>объектов экономики, принудительное переключение программ вещания радиотрансляционных узлов, радиовещательных и</w:t>
            </w:r>
            <w:r>
              <w:rPr>
                <w:rFonts w:ascii="Times New Roman" w:hAnsi="Times New Roman"/>
                <w:sz w:val="20"/>
                <w:szCs w:val="20"/>
                <w:lang w:eastAsia="ru-RU"/>
              </w:rPr>
              <w:t> </w:t>
            </w:r>
            <w:r w:rsidRPr="00A071F0">
              <w:rPr>
                <w:rFonts w:ascii="Times New Roman" w:hAnsi="Times New Roman"/>
                <w:sz w:val="20"/>
                <w:szCs w:val="20"/>
                <w:lang w:eastAsia="ru-RU"/>
              </w:rPr>
              <w:t>телевизионных станций на</w:t>
            </w:r>
            <w:r>
              <w:rPr>
                <w:rFonts w:ascii="Times New Roman" w:hAnsi="Times New Roman"/>
                <w:sz w:val="20"/>
                <w:szCs w:val="20"/>
                <w:lang w:eastAsia="ru-RU"/>
              </w:rPr>
              <w:t> </w:t>
            </w:r>
            <w:r w:rsidRPr="00A071F0">
              <w:rPr>
                <w:rFonts w:ascii="Times New Roman" w:hAnsi="Times New Roman"/>
                <w:sz w:val="20"/>
                <w:szCs w:val="20"/>
                <w:lang w:eastAsia="ru-RU"/>
              </w:rPr>
              <w:t xml:space="preserve">передачу сигнала оповещения. </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Готовность транспорта к</w:t>
            </w:r>
            <w:r>
              <w:rPr>
                <w:rFonts w:ascii="Times New Roman" w:hAnsi="Times New Roman"/>
                <w:b/>
                <w:sz w:val="20"/>
                <w:szCs w:val="20"/>
                <w:lang w:eastAsia="ru-RU"/>
              </w:rPr>
              <w:t> </w:t>
            </w:r>
            <w:r w:rsidRPr="00A071F0">
              <w:rPr>
                <w:rFonts w:ascii="Times New Roman" w:hAnsi="Times New Roman"/>
                <w:b/>
                <w:sz w:val="20"/>
                <w:szCs w:val="20"/>
                <w:lang w:eastAsia="ru-RU"/>
              </w:rPr>
              <w:t>проведению эвакуации и</w:t>
            </w:r>
            <w:r>
              <w:rPr>
                <w:rFonts w:ascii="Times New Roman" w:hAnsi="Times New Roman"/>
                <w:b/>
                <w:sz w:val="20"/>
                <w:szCs w:val="20"/>
                <w:lang w:eastAsia="ru-RU"/>
              </w:rPr>
              <w:t> </w:t>
            </w:r>
            <w:r w:rsidRPr="00A071F0">
              <w:rPr>
                <w:rFonts w:ascii="Times New Roman" w:hAnsi="Times New Roman"/>
                <w:b/>
                <w:sz w:val="20"/>
                <w:szCs w:val="20"/>
                <w:lang w:eastAsia="ru-RU"/>
              </w:rPr>
              <w:t>доставки необходимого оборудования и</w:t>
            </w:r>
            <w:r>
              <w:rPr>
                <w:rFonts w:ascii="Times New Roman" w:hAnsi="Times New Roman"/>
                <w:b/>
                <w:sz w:val="20"/>
                <w:szCs w:val="20"/>
                <w:lang w:eastAsia="ru-RU"/>
              </w:rPr>
              <w:t> </w:t>
            </w:r>
            <w:r w:rsidRPr="00A071F0">
              <w:rPr>
                <w:rFonts w:ascii="Times New Roman" w:hAnsi="Times New Roman"/>
                <w:b/>
                <w:sz w:val="20"/>
                <w:szCs w:val="20"/>
                <w:lang w:eastAsia="ru-RU"/>
              </w:rPr>
              <w:t>материалов</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Режимы 2, 3.</w:t>
            </w:r>
            <w:r w:rsidRPr="00A071F0">
              <w:rPr>
                <w:rFonts w:ascii="Times New Roman" w:hAnsi="Times New Roman"/>
                <w:sz w:val="20"/>
                <w:szCs w:val="20"/>
                <w:lang w:eastAsia="ru-RU"/>
              </w:rPr>
              <w:t xml:space="preserve"> Выделение транспортных средств, предназначенных для эвакуации. Планирование использования транспорта и</w:t>
            </w:r>
            <w:r>
              <w:rPr>
                <w:rFonts w:ascii="Times New Roman" w:hAnsi="Times New Roman"/>
                <w:sz w:val="20"/>
                <w:szCs w:val="20"/>
                <w:lang w:eastAsia="ru-RU"/>
              </w:rPr>
              <w:t> </w:t>
            </w:r>
            <w:r w:rsidRPr="00A071F0">
              <w:rPr>
                <w:rFonts w:ascii="Times New Roman" w:hAnsi="Times New Roman"/>
                <w:sz w:val="20"/>
                <w:szCs w:val="20"/>
                <w:lang w:eastAsia="ru-RU"/>
              </w:rPr>
              <w:t>закладка карточек с</w:t>
            </w:r>
            <w:r>
              <w:rPr>
                <w:rFonts w:ascii="Times New Roman" w:hAnsi="Times New Roman"/>
                <w:sz w:val="20"/>
                <w:szCs w:val="20"/>
                <w:lang w:eastAsia="ru-RU"/>
              </w:rPr>
              <w:t> </w:t>
            </w:r>
            <w:r w:rsidRPr="00A071F0">
              <w:rPr>
                <w:rFonts w:ascii="Times New Roman" w:hAnsi="Times New Roman"/>
                <w:sz w:val="20"/>
                <w:szCs w:val="20"/>
                <w:lang w:eastAsia="ru-RU"/>
              </w:rPr>
              <w:t>указанием маршрутов и</w:t>
            </w:r>
            <w:r>
              <w:rPr>
                <w:rFonts w:ascii="Times New Roman" w:hAnsi="Times New Roman"/>
                <w:sz w:val="20"/>
                <w:szCs w:val="20"/>
                <w:lang w:eastAsia="ru-RU"/>
              </w:rPr>
              <w:t> </w:t>
            </w:r>
            <w:r w:rsidRPr="00A071F0">
              <w:rPr>
                <w:rFonts w:ascii="Times New Roman" w:hAnsi="Times New Roman"/>
                <w:sz w:val="20"/>
                <w:szCs w:val="20"/>
                <w:lang w:eastAsia="ru-RU"/>
              </w:rPr>
              <w:t>приписанным контингентом. Подготовка товарно-транспортной документации. Гарантированное обеспечение транспортных средств ГСМ. Контроль за</w:t>
            </w:r>
            <w:r>
              <w:rPr>
                <w:rFonts w:ascii="Times New Roman" w:hAnsi="Times New Roman"/>
                <w:sz w:val="20"/>
                <w:szCs w:val="20"/>
                <w:lang w:eastAsia="ru-RU"/>
              </w:rPr>
              <w:t> </w:t>
            </w:r>
            <w:r w:rsidRPr="00A071F0">
              <w:rPr>
                <w:rFonts w:ascii="Times New Roman" w:hAnsi="Times New Roman"/>
                <w:sz w:val="20"/>
                <w:szCs w:val="20"/>
                <w:lang w:eastAsia="ru-RU"/>
              </w:rPr>
              <w:t>техническим состоянием, исправностью транспортных средств. Резервирование транспортных единиц.</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Эвакуация</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Режимы 2, 3.</w:t>
            </w:r>
            <w:r w:rsidRPr="00A071F0">
              <w:rPr>
                <w:rFonts w:ascii="Times New Roman" w:hAnsi="Times New Roman"/>
                <w:sz w:val="20"/>
                <w:szCs w:val="20"/>
                <w:lang w:eastAsia="ru-RU"/>
              </w:rPr>
              <w:t xml:space="preserve"> Проводится заблаговременно при непосредственной угрозе ЧС, если другие мероприятия не</w:t>
            </w:r>
            <w:r>
              <w:rPr>
                <w:rFonts w:ascii="Times New Roman" w:hAnsi="Times New Roman"/>
                <w:sz w:val="20"/>
                <w:szCs w:val="20"/>
                <w:lang w:eastAsia="ru-RU"/>
              </w:rPr>
              <w:t> </w:t>
            </w:r>
            <w:r w:rsidRPr="00A071F0">
              <w:rPr>
                <w:rFonts w:ascii="Times New Roman" w:hAnsi="Times New Roman"/>
                <w:sz w:val="20"/>
                <w:szCs w:val="20"/>
                <w:lang w:eastAsia="ru-RU"/>
              </w:rPr>
              <w:t>дали эффекта, либо при спрогнозированной крупномасштабной ЧС. Может проводиться экстренно при неблагоприятном варианте развития ЧС. Задействование планов проведения эвакуации в</w:t>
            </w:r>
            <w:r>
              <w:rPr>
                <w:rFonts w:ascii="Times New Roman" w:hAnsi="Times New Roman"/>
                <w:sz w:val="20"/>
                <w:szCs w:val="20"/>
                <w:lang w:eastAsia="ru-RU"/>
              </w:rPr>
              <w:t> </w:t>
            </w:r>
            <w:r w:rsidRPr="00A071F0">
              <w:rPr>
                <w:rFonts w:ascii="Times New Roman" w:hAnsi="Times New Roman"/>
                <w:sz w:val="20"/>
                <w:szCs w:val="20"/>
                <w:lang w:eastAsia="ru-RU"/>
              </w:rPr>
              <w:t>соответствии с</w:t>
            </w:r>
            <w:r>
              <w:rPr>
                <w:rFonts w:ascii="Times New Roman" w:hAnsi="Times New Roman"/>
                <w:sz w:val="20"/>
                <w:szCs w:val="20"/>
                <w:lang w:eastAsia="ru-RU"/>
              </w:rPr>
              <w:t> </w:t>
            </w:r>
            <w:r w:rsidRPr="00A071F0">
              <w:rPr>
                <w:rFonts w:ascii="Times New Roman" w:hAnsi="Times New Roman"/>
                <w:sz w:val="20"/>
                <w:szCs w:val="20"/>
                <w:lang w:eastAsia="ru-RU"/>
              </w:rPr>
              <w:t>вариантом (сценарием) ЧС. развёртывание эвакокомиссий, эвакопунктов, оборудование мест временного размещения населения. Организация охраны общественного порядка. Доставка продовольствия и</w:t>
            </w:r>
            <w:r>
              <w:rPr>
                <w:rFonts w:ascii="Times New Roman" w:hAnsi="Times New Roman"/>
                <w:sz w:val="20"/>
                <w:szCs w:val="20"/>
                <w:lang w:eastAsia="ru-RU"/>
              </w:rPr>
              <w:t> </w:t>
            </w:r>
            <w:r w:rsidRPr="00A071F0">
              <w:rPr>
                <w:rFonts w:ascii="Times New Roman" w:hAnsi="Times New Roman"/>
                <w:sz w:val="20"/>
                <w:szCs w:val="20"/>
                <w:lang w:eastAsia="ru-RU"/>
              </w:rPr>
              <w:t xml:space="preserve">необходимых грузов. </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Готовность медицинских сил и</w:t>
            </w:r>
            <w:r>
              <w:rPr>
                <w:rFonts w:ascii="Times New Roman" w:hAnsi="Times New Roman"/>
                <w:b/>
                <w:sz w:val="20"/>
                <w:szCs w:val="20"/>
                <w:lang w:eastAsia="ru-RU"/>
              </w:rPr>
              <w:t> </w:t>
            </w:r>
            <w:r w:rsidRPr="00A071F0">
              <w:rPr>
                <w:rFonts w:ascii="Times New Roman" w:hAnsi="Times New Roman"/>
                <w:b/>
                <w:sz w:val="20"/>
                <w:szCs w:val="20"/>
                <w:lang w:eastAsia="ru-RU"/>
              </w:rPr>
              <w:t>средств</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 2.</w:t>
            </w:r>
            <w:r w:rsidRPr="00A071F0">
              <w:rPr>
                <w:rFonts w:ascii="Times New Roman" w:hAnsi="Times New Roman"/>
                <w:sz w:val="20"/>
                <w:szCs w:val="20"/>
                <w:lang w:eastAsia="ru-RU"/>
              </w:rPr>
              <w:t xml:space="preserve"> Приведение в</w:t>
            </w:r>
            <w:r>
              <w:rPr>
                <w:rFonts w:ascii="Times New Roman" w:hAnsi="Times New Roman"/>
                <w:sz w:val="20"/>
                <w:szCs w:val="20"/>
                <w:lang w:eastAsia="ru-RU"/>
              </w:rPr>
              <w:t> </w:t>
            </w:r>
            <w:r w:rsidRPr="00A071F0">
              <w:rPr>
                <w:rFonts w:ascii="Times New Roman" w:hAnsi="Times New Roman"/>
                <w:sz w:val="20"/>
                <w:szCs w:val="20"/>
                <w:lang w:eastAsia="ru-RU"/>
              </w:rPr>
              <w:t>готовность больничной сети, развёртывание дополнительных пунктов оказания медицинской помощи. Закрепление медицинского персонала за</w:t>
            </w:r>
            <w:r>
              <w:rPr>
                <w:rFonts w:ascii="Times New Roman" w:hAnsi="Times New Roman"/>
                <w:sz w:val="20"/>
                <w:szCs w:val="20"/>
                <w:lang w:eastAsia="ru-RU"/>
              </w:rPr>
              <w:t> </w:t>
            </w:r>
            <w:r w:rsidRPr="00A071F0">
              <w:rPr>
                <w:rFonts w:ascii="Times New Roman" w:hAnsi="Times New Roman"/>
                <w:sz w:val="20"/>
                <w:szCs w:val="20"/>
                <w:lang w:eastAsia="ru-RU"/>
              </w:rPr>
              <w:t>местами размещения эвакуируемых. Пополнение запасов медикаментов и</w:t>
            </w:r>
            <w:r>
              <w:rPr>
                <w:rFonts w:ascii="Times New Roman" w:hAnsi="Times New Roman"/>
                <w:sz w:val="20"/>
                <w:szCs w:val="20"/>
                <w:lang w:eastAsia="ru-RU"/>
              </w:rPr>
              <w:t> </w:t>
            </w:r>
            <w:r w:rsidRPr="00A071F0">
              <w:rPr>
                <w:rFonts w:ascii="Times New Roman" w:hAnsi="Times New Roman"/>
                <w:sz w:val="20"/>
                <w:szCs w:val="20"/>
                <w:lang w:eastAsia="ru-RU"/>
              </w:rPr>
              <w:t>средств оказания медицинской помощи. Выдвижение медицинских формирований к</w:t>
            </w:r>
            <w:r>
              <w:rPr>
                <w:rFonts w:ascii="Times New Roman" w:hAnsi="Times New Roman"/>
                <w:sz w:val="20"/>
                <w:szCs w:val="20"/>
                <w:lang w:eastAsia="ru-RU"/>
              </w:rPr>
              <w:t> </w:t>
            </w:r>
            <w:r w:rsidRPr="00A071F0">
              <w:rPr>
                <w:rFonts w:ascii="Times New Roman" w:hAnsi="Times New Roman"/>
                <w:sz w:val="20"/>
                <w:szCs w:val="20"/>
                <w:lang w:eastAsia="ru-RU"/>
              </w:rPr>
              <w:t>предполагаемым местам проведения аварийно-спасательных работ. Подготовка транспорта для лечебно-эвакуационного обеспечения населения в</w:t>
            </w:r>
            <w:r>
              <w:rPr>
                <w:rFonts w:ascii="Times New Roman" w:hAnsi="Times New Roman"/>
                <w:sz w:val="20"/>
                <w:szCs w:val="20"/>
                <w:lang w:eastAsia="ru-RU"/>
              </w:rPr>
              <w:t> </w:t>
            </w:r>
            <w:r w:rsidRPr="00A071F0">
              <w:rPr>
                <w:rFonts w:ascii="Times New Roman" w:hAnsi="Times New Roman"/>
                <w:sz w:val="20"/>
                <w:szCs w:val="20"/>
                <w:lang w:eastAsia="ru-RU"/>
              </w:rPr>
              <w:t>зоне ЧС. Организация взаимодействия с</w:t>
            </w:r>
            <w:r>
              <w:rPr>
                <w:rFonts w:ascii="Times New Roman" w:hAnsi="Times New Roman"/>
                <w:sz w:val="20"/>
                <w:szCs w:val="20"/>
                <w:lang w:eastAsia="ru-RU"/>
              </w:rPr>
              <w:t> </w:t>
            </w:r>
            <w:r w:rsidRPr="00A071F0">
              <w:rPr>
                <w:rFonts w:ascii="Times New Roman" w:hAnsi="Times New Roman"/>
                <w:sz w:val="20"/>
                <w:szCs w:val="20"/>
                <w:lang w:eastAsia="ru-RU"/>
              </w:rPr>
              <w:t>местными органами власти, аварийно-спасательными формированиями, милицией, войсковыми частями, лечебными учреждениями, предприятиями и</w:t>
            </w:r>
            <w:r>
              <w:rPr>
                <w:rFonts w:ascii="Times New Roman" w:hAnsi="Times New Roman"/>
                <w:sz w:val="20"/>
                <w:szCs w:val="20"/>
                <w:lang w:eastAsia="ru-RU"/>
              </w:rPr>
              <w:t> </w:t>
            </w:r>
            <w:r w:rsidRPr="00A071F0">
              <w:rPr>
                <w:rFonts w:ascii="Times New Roman" w:hAnsi="Times New Roman"/>
                <w:sz w:val="20"/>
                <w:szCs w:val="20"/>
                <w:lang w:eastAsia="ru-RU"/>
              </w:rPr>
              <w:t>организациями в</w:t>
            </w:r>
            <w:r>
              <w:rPr>
                <w:rFonts w:ascii="Times New Roman" w:hAnsi="Times New Roman"/>
                <w:sz w:val="20"/>
                <w:szCs w:val="20"/>
                <w:lang w:eastAsia="ru-RU"/>
              </w:rPr>
              <w:t> </w:t>
            </w:r>
            <w:r w:rsidRPr="00A071F0">
              <w:rPr>
                <w:rFonts w:ascii="Times New Roman" w:hAnsi="Times New Roman"/>
                <w:sz w:val="20"/>
                <w:szCs w:val="20"/>
                <w:lang w:eastAsia="ru-RU"/>
              </w:rPr>
              <w:t>зонах ЧС. Подготовка медперсонала по</w:t>
            </w:r>
            <w:r>
              <w:rPr>
                <w:rFonts w:ascii="Times New Roman" w:hAnsi="Times New Roman"/>
                <w:sz w:val="20"/>
                <w:szCs w:val="20"/>
                <w:lang w:eastAsia="ru-RU"/>
              </w:rPr>
              <w:t> </w:t>
            </w:r>
            <w:r w:rsidRPr="00A071F0">
              <w:rPr>
                <w:rFonts w:ascii="Times New Roman" w:hAnsi="Times New Roman"/>
                <w:sz w:val="20"/>
                <w:szCs w:val="20"/>
                <w:lang w:eastAsia="ru-RU"/>
              </w:rPr>
              <w:t>курсу «Медицина катастроф».</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Готовность жизнеобеспечивающих служб</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 2.</w:t>
            </w:r>
            <w:r w:rsidRPr="00A071F0">
              <w:rPr>
                <w:rFonts w:ascii="Times New Roman" w:hAnsi="Times New Roman"/>
                <w:sz w:val="20"/>
                <w:szCs w:val="20"/>
                <w:lang w:eastAsia="ru-RU"/>
              </w:rPr>
              <w:t xml:space="preserve"> Готовность - прибытие жизнеобеспечивающих формирований в</w:t>
            </w:r>
            <w:r>
              <w:rPr>
                <w:rFonts w:ascii="Times New Roman" w:hAnsi="Times New Roman"/>
                <w:sz w:val="20"/>
                <w:szCs w:val="20"/>
                <w:lang w:eastAsia="ru-RU"/>
              </w:rPr>
              <w:t> </w:t>
            </w:r>
            <w:r w:rsidRPr="00A071F0">
              <w:rPr>
                <w:rFonts w:ascii="Times New Roman" w:hAnsi="Times New Roman"/>
                <w:sz w:val="20"/>
                <w:szCs w:val="20"/>
                <w:lang w:eastAsia="ru-RU"/>
              </w:rPr>
              <w:t>зону ЧС</w:t>
            </w:r>
            <w:r>
              <w:rPr>
                <w:rFonts w:ascii="Times New Roman" w:hAnsi="Times New Roman"/>
                <w:sz w:val="20"/>
                <w:szCs w:val="20"/>
                <w:lang w:eastAsia="ru-RU"/>
              </w:rPr>
              <w:t> </w:t>
            </w:r>
            <w:r w:rsidRPr="00A071F0">
              <w:rPr>
                <w:rFonts w:ascii="Times New Roman" w:hAnsi="Times New Roman"/>
                <w:sz w:val="20"/>
                <w:szCs w:val="20"/>
                <w:lang w:eastAsia="ru-RU"/>
              </w:rPr>
              <w:t>не</w:t>
            </w:r>
            <w:r>
              <w:rPr>
                <w:rFonts w:ascii="Times New Roman" w:hAnsi="Times New Roman"/>
                <w:sz w:val="20"/>
                <w:szCs w:val="20"/>
                <w:lang w:eastAsia="ru-RU"/>
              </w:rPr>
              <w:t> </w:t>
            </w:r>
            <w:r w:rsidRPr="00A071F0">
              <w:rPr>
                <w:rFonts w:ascii="Times New Roman" w:hAnsi="Times New Roman"/>
                <w:sz w:val="20"/>
                <w:szCs w:val="20"/>
                <w:lang w:eastAsia="ru-RU"/>
              </w:rPr>
              <w:t>позднее чем через 16 часов. Разработка планов действий в</w:t>
            </w:r>
            <w:r>
              <w:rPr>
                <w:rFonts w:ascii="Times New Roman" w:hAnsi="Times New Roman"/>
                <w:sz w:val="20"/>
                <w:szCs w:val="20"/>
                <w:lang w:eastAsia="ru-RU"/>
              </w:rPr>
              <w:t> </w:t>
            </w:r>
            <w:r w:rsidRPr="00A071F0">
              <w:rPr>
                <w:rFonts w:ascii="Times New Roman" w:hAnsi="Times New Roman"/>
                <w:sz w:val="20"/>
                <w:szCs w:val="20"/>
                <w:lang w:eastAsia="ru-RU"/>
              </w:rPr>
              <w:t>условиях угрозы и</w:t>
            </w:r>
            <w:r>
              <w:rPr>
                <w:rFonts w:ascii="Times New Roman" w:hAnsi="Times New Roman"/>
                <w:sz w:val="20"/>
                <w:szCs w:val="20"/>
                <w:lang w:eastAsia="ru-RU"/>
              </w:rPr>
              <w:t> </w:t>
            </w:r>
            <w:r w:rsidRPr="00A071F0">
              <w:rPr>
                <w:rFonts w:ascii="Times New Roman" w:hAnsi="Times New Roman"/>
                <w:sz w:val="20"/>
                <w:szCs w:val="20"/>
                <w:lang w:eastAsia="ru-RU"/>
              </w:rPr>
              <w:t>в</w:t>
            </w:r>
            <w:r>
              <w:rPr>
                <w:rFonts w:ascii="Times New Roman" w:hAnsi="Times New Roman"/>
                <w:sz w:val="20"/>
                <w:szCs w:val="20"/>
                <w:lang w:eastAsia="ru-RU"/>
              </w:rPr>
              <w:t> </w:t>
            </w:r>
            <w:r w:rsidRPr="00A071F0">
              <w:rPr>
                <w:rFonts w:ascii="Times New Roman" w:hAnsi="Times New Roman"/>
                <w:sz w:val="20"/>
                <w:szCs w:val="20"/>
                <w:lang w:eastAsia="ru-RU"/>
              </w:rPr>
              <w:t>ходе ликвидации ЧС. Создание мобильных формирований первичного жизнеобеспечения населения. Включение в</w:t>
            </w:r>
            <w:r>
              <w:rPr>
                <w:rFonts w:ascii="Times New Roman" w:hAnsi="Times New Roman"/>
                <w:sz w:val="20"/>
                <w:szCs w:val="20"/>
                <w:lang w:eastAsia="ru-RU"/>
              </w:rPr>
              <w:t> </w:t>
            </w:r>
            <w:r w:rsidRPr="00A071F0">
              <w:rPr>
                <w:rFonts w:ascii="Times New Roman" w:hAnsi="Times New Roman"/>
                <w:sz w:val="20"/>
                <w:szCs w:val="20"/>
                <w:lang w:eastAsia="ru-RU"/>
              </w:rPr>
              <w:t>штатное оснащение мобильных комплексов средств первичного жизнеобеспечения (МКЖ). Обеспечение материально-техническими ресурсами. Создание запасов резервных автономных источников энергоснабжения, тепла и</w:t>
            </w:r>
            <w:r>
              <w:rPr>
                <w:rFonts w:ascii="Times New Roman" w:hAnsi="Times New Roman"/>
                <w:sz w:val="20"/>
                <w:szCs w:val="20"/>
                <w:lang w:eastAsia="ru-RU"/>
              </w:rPr>
              <w:t> </w:t>
            </w:r>
            <w:r w:rsidRPr="00A071F0">
              <w:rPr>
                <w:rFonts w:ascii="Times New Roman" w:hAnsi="Times New Roman"/>
                <w:sz w:val="20"/>
                <w:szCs w:val="20"/>
                <w:lang w:eastAsia="ru-RU"/>
              </w:rPr>
              <w:t>т.п. Проведение учений и</w:t>
            </w:r>
            <w:r>
              <w:rPr>
                <w:rFonts w:ascii="Times New Roman" w:hAnsi="Times New Roman"/>
                <w:sz w:val="20"/>
                <w:szCs w:val="20"/>
                <w:lang w:eastAsia="ru-RU"/>
              </w:rPr>
              <w:t> </w:t>
            </w:r>
            <w:r w:rsidRPr="00A071F0">
              <w:rPr>
                <w:rFonts w:ascii="Times New Roman" w:hAnsi="Times New Roman"/>
                <w:sz w:val="20"/>
                <w:szCs w:val="20"/>
                <w:lang w:eastAsia="ru-RU"/>
              </w:rPr>
              <w:t>тренировок по</w:t>
            </w:r>
            <w:r>
              <w:rPr>
                <w:rFonts w:ascii="Times New Roman" w:hAnsi="Times New Roman"/>
                <w:sz w:val="20"/>
                <w:szCs w:val="20"/>
                <w:lang w:eastAsia="ru-RU"/>
              </w:rPr>
              <w:t> </w:t>
            </w:r>
            <w:r w:rsidRPr="00A071F0">
              <w:rPr>
                <w:rFonts w:ascii="Times New Roman" w:hAnsi="Times New Roman"/>
                <w:sz w:val="20"/>
                <w:szCs w:val="20"/>
                <w:lang w:eastAsia="ru-RU"/>
              </w:rPr>
              <w:t>переводу коммунально-энергетических объектов на</w:t>
            </w:r>
            <w:r>
              <w:rPr>
                <w:rFonts w:ascii="Times New Roman" w:hAnsi="Times New Roman"/>
                <w:sz w:val="20"/>
                <w:szCs w:val="20"/>
                <w:lang w:eastAsia="ru-RU"/>
              </w:rPr>
              <w:t> </w:t>
            </w:r>
            <w:r w:rsidRPr="00A071F0">
              <w:rPr>
                <w:rFonts w:ascii="Times New Roman" w:hAnsi="Times New Roman"/>
                <w:sz w:val="20"/>
                <w:szCs w:val="20"/>
                <w:lang w:eastAsia="ru-RU"/>
              </w:rPr>
              <w:t>особый режим функционирования, отработка нормативов перевода на</w:t>
            </w:r>
            <w:r>
              <w:rPr>
                <w:rFonts w:ascii="Times New Roman" w:hAnsi="Times New Roman"/>
                <w:sz w:val="20"/>
                <w:szCs w:val="20"/>
                <w:lang w:eastAsia="ru-RU"/>
              </w:rPr>
              <w:t> </w:t>
            </w:r>
            <w:r w:rsidRPr="00A071F0">
              <w:rPr>
                <w:rFonts w:ascii="Times New Roman" w:hAnsi="Times New Roman"/>
                <w:sz w:val="20"/>
                <w:szCs w:val="20"/>
                <w:lang w:eastAsia="ru-RU"/>
              </w:rPr>
              <w:t>особый режим (подготовка к</w:t>
            </w:r>
            <w:r>
              <w:rPr>
                <w:rFonts w:ascii="Times New Roman" w:hAnsi="Times New Roman"/>
                <w:sz w:val="20"/>
                <w:szCs w:val="20"/>
                <w:lang w:eastAsia="ru-RU"/>
              </w:rPr>
              <w:t> </w:t>
            </w:r>
            <w:r w:rsidRPr="00A071F0">
              <w:rPr>
                <w:rFonts w:ascii="Times New Roman" w:hAnsi="Times New Roman"/>
                <w:sz w:val="20"/>
                <w:szCs w:val="20"/>
                <w:lang w:eastAsia="ru-RU"/>
              </w:rPr>
              <w:t>переводу - не</w:t>
            </w:r>
            <w:r>
              <w:rPr>
                <w:rFonts w:ascii="Times New Roman" w:hAnsi="Times New Roman"/>
                <w:sz w:val="20"/>
                <w:szCs w:val="20"/>
                <w:lang w:eastAsia="ru-RU"/>
              </w:rPr>
              <w:t> </w:t>
            </w:r>
            <w:r w:rsidRPr="00A071F0">
              <w:rPr>
                <w:rFonts w:ascii="Times New Roman" w:hAnsi="Times New Roman"/>
                <w:sz w:val="20"/>
                <w:szCs w:val="20"/>
                <w:lang w:eastAsia="ru-RU"/>
              </w:rPr>
              <w:t>более 12 часов, непосредственно перевод - не</w:t>
            </w:r>
            <w:r>
              <w:rPr>
                <w:rFonts w:ascii="Times New Roman" w:hAnsi="Times New Roman"/>
                <w:sz w:val="20"/>
                <w:szCs w:val="20"/>
                <w:lang w:eastAsia="ru-RU"/>
              </w:rPr>
              <w:t> </w:t>
            </w:r>
            <w:r w:rsidRPr="00A071F0">
              <w:rPr>
                <w:rFonts w:ascii="Times New Roman" w:hAnsi="Times New Roman"/>
                <w:sz w:val="20"/>
                <w:szCs w:val="20"/>
                <w:lang w:eastAsia="ru-RU"/>
              </w:rPr>
              <w:t xml:space="preserve">более 6 часов). Создание запасов реагентов, расходных материалов. Согласование порядка обеспечения эвакуированного населения коммунально-энергетическими услугами. </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 xml:space="preserve">Противоэпидемические мероприятия </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 3.</w:t>
            </w:r>
            <w:r w:rsidRPr="00A071F0">
              <w:rPr>
                <w:rFonts w:ascii="Times New Roman" w:hAnsi="Times New Roman"/>
                <w:sz w:val="20"/>
                <w:szCs w:val="20"/>
                <w:lang w:eastAsia="ru-RU"/>
              </w:rPr>
              <w:t xml:space="preserve"> Проведение санитарно-эпидемиологической разведки. Организация санитарно-эпидемиологического наблюдения и</w:t>
            </w:r>
            <w:r>
              <w:rPr>
                <w:rFonts w:ascii="Times New Roman" w:hAnsi="Times New Roman"/>
                <w:sz w:val="20"/>
                <w:szCs w:val="20"/>
                <w:lang w:eastAsia="ru-RU"/>
              </w:rPr>
              <w:t> </w:t>
            </w:r>
            <w:r w:rsidRPr="00A071F0">
              <w:rPr>
                <w:rFonts w:ascii="Times New Roman" w:hAnsi="Times New Roman"/>
                <w:sz w:val="20"/>
                <w:szCs w:val="20"/>
                <w:lang w:eastAsia="ru-RU"/>
              </w:rPr>
              <w:t>микробиологического контроля. Организация и</w:t>
            </w:r>
            <w:r>
              <w:rPr>
                <w:rFonts w:ascii="Times New Roman" w:hAnsi="Times New Roman"/>
                <w:sz w:val="20"/>
                <w:szCs w:val="20"/>
                <w:lang w:eastAsia="ru-RU"/>
              </w:rPr>
              <w:t> </w:t>
            </w:r>
            <w:r w:rsidRPr="00A071F0">
              <w:rPr>
                <w:rFonts w:ascii="Times New Roman" w:hAnsi="Times New Roman"/>
                <w:sz w:val="20"/>
                <w:szCs w:val="20"/>
                <w:lang w:eastAsia="ru-RU"/>
              </w:rPr>
              <w:t>проведение экстренной и</w:t>
            </w:r>
            <w:r>
              <w:rPr>
                <w:rFonts w:ascii="Times New Roman" w:hAnsi="Times New Roman"/>
                <w:sz w:val="20"/>
                <w:szCs w:val="20"/>
                <w:lang w:eastAsia="ru-RU"/>
              </w:rPr>
              <w:t> </w:t>
            </w:r>
            <w:r w:rsidRPr="00A071F0">
              <w:rPr>
                <w:rFonts w:ascii="Times New Roman" w:hAnsi="Times New Roman"/>
                <w:sz w:val="20"/>
                <w:szCs w:val="20"/>
                <w:lang w:eastAsia="ru-RU"/>
              </w:rPr>
              <w:t>специфической профилактики. Санитарно-противоэпидемическое обеспечение пострадавшего населения, эвакуируемого из</w:t>
            </w:r>
            <w:r>
              <w:rPr>
                <w:rFonts w:ascii="Times New Roman" w:hAnsi="Times New Roman"/>
                <w:sz w:val="20"/>
                <w:szCs w:val="20"/>
                <w:lang w:eastAsia="ru-RU"/>
              </w:rPr>
              <w:t> </w:t>
            </w:r>
            <w:r w:rsidRPr="00A071F0">
              <w:rPr>
                <w:rFonts w:ascii="Times New Roman" w:hAnsi="Times New Roman"/>
                <w:sz w:val="20"/>
                <w:szCs w:val="20"/>
                <w:lang w:eastAsia="ru-RU"/>
              </w:rPr>
              <w:t>районов бедствия. Дезинфекционные мероприятия. Организация медпомощи инфекционным больным на</w:t>
            </w:r>
            <w:r>
              <w:rPr>
                <w:rFonts w:ascii="Times New Roman" w:hAnsi="Times New Roman"/>
                <w:sz w:val="20"/>
                <w:szCs w:val="20"/>
                <w:lang w:eastAsia="ru-RU"/>
              </w:rPr>
              <w:t> </w:t>
            </w:r>
            <w:r w:rsidRPr="00A071F0">
              <w:rPr>
                <w:rFonts w:ascii="Times New Roman" w:hAnsi="Times New Roman"/>
                <w:sz w:val="20"/>
                <w:szCs w:val="20"/>
                <w:lang w:eastAsia="ru-RU"/>
              </w:rPr>
              <w:t>догоспитальном этапе. Медицинская сортировка инфекционных больных. Организация противоэпидемического режима на</w:t>
            </w:r>
            <w:r>
              <w:rPr>
                <w:rFonts w:ascii="Times New Roman" w:hAnsi="Times New Roman"/>
                <w:sz w:val="20"/>
                <w:szCs w:val="20"/>
                <w:lang w:eastAsia="ru-RU"/>
              </w:rPr>
              <w:t> </w:t>
            </w:r>
            <w:r w:rsidRPr="00A071F0">
              <w:rPr>
                <w:rFonts w:ascii="Times New Roman" w:hAnsi="Times New Roman"/>
                <w:sz w:val="20"/>
                <w:szCs w:val="20"/>
                <w:lang w:eastAsia="ru-RU"/>
              </w:rPr>
              <w:t>этапах медицинской эвакуации. Руководство по</w:t>
            </w:r>
            <w:r>
              <w:rPr>
                <w:rFonts w:ascii="Times New Roman" w:hAnsi="Times New Roman"/>
                <w:sz w:val="20"/>
                <w:szCs w:val="20"/>
                <w:lang w:eastAsia="ru-RU"/>
              </w:rPr>
              <w:t> </w:t>
            </w:r>
            <w:r w:rsidRPr="00A071F0">
              <w:rPr>
                <w:rFonts w:ascii="Times New Roman" w:hAnsi="Times New Roman"/>
                <w:sz w:val="20"/>
                <w:szCs w:val="20"/>
                <w:lang w:eastAsia="ru-RU"/>
              </w:rPr>
              <w:t>противоэпидемическому обеспечению населения в</w:t>
            </w:r>
            <w:r>
              <w:rPr>
                <w:rFonts w:ascii="Times New Roman" w:hAnsi="Times New Roman"/>
                <w:sz w:val="20"/>
                <w:szCs w:val="20"/>
                <w:lang w:eastAsia="ru-RU"/>
              </w:rPr>
              <w:t> </w:t>
            </w:r>
            <w:r w:rsidRPr="00A071F0">
              <w:rPr>
                <w:rFonts w:ascii="Times New Roman" w:hAnsi="Times New Roman"/>
                <w:sz w:val="20"/>
                <w:szCs w:val="20"/>
                <w:lang w:eastAsia="ru-RU"/>
              </w:rPr>
              <w:t>чрезвычайных ситуациях.</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Готовность спасательных сил и</w:t>
            </w:r>
            <w:r>
              <w:rPr>
                <w:rFonts w:ascii="Times New Roman" w:hAnsi="Times New Roman"/>
                <w:b/>
                <w:sz w:val="20"/>
                <w:szCs w:val="20"/>
                <w:lang w:eastAsia="ru-RU"/>
              </w:rPr>
              <w:t> </w:t>
            </w:r>
            <w:r w:rsidRPr="00A071F0">
              <w:rPr>
                <w:rFonts w:ascii="Times New Roman" w:hAnsi="Times New Roman"/>
                <w:b/>
                <w:sz w:val="20"/>
                <w:szCs w:val="20"/>
                <w:lang w:eastAsia="ru-RU"/>
              </w:rPr>
              <w:t>средств</w:t>
            </w:r>
          </w:p>
        </w:tc>
        <w:tc>
          <w:tcPr>
            <w:tcW w:w="3531" w:type="pct"/>
          </w:tcPr>
          <w:p w:rsidR="002D1E45" w:rsidRPr="00A071F0" w:rsidRDefault="002D1E45" w:rsidP="00A071F0">
            <w:pPr>
              <w:spacing w:after="0" w:line="240" w:lineRule="auto"/>
              <w:jc w:val="both"/>
              <w:rPr>
                <w:rFonts w:ascii="Times New Roman" w:hAnsi="Times New Roman"/>
                <w:b/>
                <w:sz w:val="20"/>
                <w:szCs w:val="20"/>
                <w:lang w:eastAsia="ru-RU"/>
              </w:rPr>
            </w:pPr>
            <w:r w:rsidRPr="00A071F0">
              <w:rPr>
                <w:rFonts w:ascii="Times New Roman" w:hAnsi="Times New Roman"/>
                <w:b/>
                <w:sz w:val="20"/>
                <w:szCs w:val="20"/>
                <w:lang w:eastAsia="ru-RU"/>
              </w:rPr>
              <w:t>Режимы 1, 2.</w:t>
            </w:r>
            <w:r w:rsidRPr="00A071F0">
              <w:rPr>
                <w:rFonts w:ascii="Times New Roman" w:hAnsi="Times New Roman"/>
                <w:sz w:val="20"/>
                <w:szCs w:val="20"/>
                <w:lang w:eastAsia="ru-RU"/>
              </w:rPr>
              <w:t xml:space="preserve"> Создание, экипировка и</w:t>
            </w:r>
            <w:r>
              <w:rPr>
                <w:rFonts w:ascii="Times New Roman" w:hAnsi="Times New Roman"/>
                <w:sz w:val="20"/>
                <w:szCs w:val="20"/>
                <w:lang w:eastAsia="ru-RU"/>
              </w:rPr>
              <w:t> </w:t>
            </w:r>
            <w:r w:rsidRPr="00A071F0">
              <w:rPr>
                <w:rFonts w:ascii="Times New Roman" w:hAnsi="Times New Roman"/>
                <w:sz w:val="20"/>
                <w:szCs w:val="20"/>
                <w:lang w:eastAsia="ru-RU"/>
              </w:rPr>
              <w:t>оснащение, подготовка и</w:t>
            </w:r>
            <w:r>
              <w:rPr>
                <w:rFonts w:ascii="Times New Roman" w:hAnsi="Times New Roman"/>
                <w:sz w:val="20"/>
                <w:szCs w:val="20"/>
                <w:lang w:eastAsia="ru-RU"/>
              </w:rPr>
              <w:t> </w:t>
            </w:r>
            <w:r w:rsidRPr="00A071F0">
              <w:rPr>
                <w:rFonts w:ascii="Times New Roman" w:hAnsi="Times New Roman"/>
                <w:sz w:val="20"/>
                <w:szCs w:val="20"/>
                <w:lang w:eastAsia="ru-RU"/>
              </w:rPr>
              <w:t>аттестация профессиональных, нештатных и</w:t>
            </w:r>
            <w:r>
              <w:rPr>
                <w:rFonts w:ascii="Times New Roman" w:hAnsi="Times New Roman"/>
                <w:sz w:val="20"/>
                <w:szCs w:val="20"/>
                <w:lang w:eastAsia="ru-RU"/>
              </w:rPr>
              <w:t> </w:t>
            </w:r>
            <w:r w:rsidRPr="00A071F0">
              <w:rPr>
                <w:rFonts w:ascii="Times New Roman" w:hAnsi="Times New Roman"/>
                <w:sz w:val="20"/>
                <w:szCs w:val="20"/>
                <w:lang w:eastAsia="ru-RU"/>
              </w:rPr>
              <w:t>общественных аварийно-спасательных сил, и</w:t>
            </w:r>
            <w:r>
              <w:rPr>
                <w:rFonts w:ascii="Times New Roman" w:hAnsi="Times New Roman"/>
                <w:sz w:val="20"/>
                <w:szCs w:val="20"/>
                <w:lang w:eastAsia="ru-RU"/>
              </w:rPr>
              <w:t> </w:t>
            </w:r>
            <w:r w:rsidRPr="00A071F0">
              <w:rPr>
                <w:rFonts w:ascii="Times New Roman" w:hAnsi="Times New Roman"/>
                <w:sz w:val="20"/>
                <w:szCs w:val="20"/>
                <w:lang w:eastAsia="ru-RU"/>
              </w:rPr>
              <w:t>средств на</w:t>
            </w:r>
            <w:r>
              <w:rPr>
                <w:rFonts w:ascii="Times New Roman" w:hAnsi="Times New Roman"/>
                <w:sz w:val="20"/>
                <w:szCs w:val="20"/>
                <w:lang w:eastAsia="ru-RU"/>
              </w:rPr>
              <w:t> </w:t>
            </w:r>
            <w:r w:rsidRPr="00A071F0">
              <w:rPr>
                <w:rFonts w:ascii="Times New Roman" w:hAnsi="Times New Roman"/>
                <w:sz w:val="20"/>
                <w:szCs w:val="20"/>
                <w:lang w:eastAsia="ru-RU"/>
              </w:rPr>
              <w:t>базе предприятий, ведомств, федеральных и</w:t>
            </w:r>
            <w:r>
              <w:rPr>
                <w:rFonts w:ascii="Times New Roman" w:hAnsi="Times New Roman"/>
                <w:sz w:val="20"/>
                <w:szCs w:val="20"/>
                <w:lang w:eastAsia="ru-RU"/>
              </w:rPr>
              <w:t> </w:t>
            </w:r>
            <w:r w:rsidRPr="00A071F0">
              <w:rPr>
                <w:rFonts w:ascii="Times New Roman" w:hAnsi="Times New Roman"/>
                <w:sz w:val="20"/>
                <w:szCs w:val="20"/>
                <w:lang w:eastAsia="ru-RU"/>
              </w:rPr>
              <w:t>территориальных органов. Поддержание в</w:t>
            </w:r>
            <w:r>
              <w:rPr>
                <w:rFonts w:ascii="Times New Roman" w:hAnsi="Times New Roman"/>
                <w:sz w:val="20"/>
                <w:szCs w:val="20"/>
                <w:lang w:eastAsia="ru-RU"/>
              </w:rPr>
              <w:t> </w:t>
            </w:r>
            <w:r w:rsidRPr="00A071F0">
              <w:rPr>
                <w:rFonts w:ascii="Times New Roman" w:hAnsi="Times New Roman"/>
                <w:sz w:val="20"/>
                <w:szCs w:val="20"/>
                <w:lang w:eastAsia="ru-RU"/>
              </w:rPr>
              <w:t>готовности аварийно-спасательных служб (АСС). Создание запасов материально-технических средств по</w:t>
            </w:r>
            <w:r>
              <w:rPr>
                <w:rFonts w:ascii="Times New Roman" w:hAnsi="Times New Roman"/>
                <w:sz w:val="20"/>
                <w:szCs w:val="20"/>
                <w:lang w:eastAsia="ru-RU"/>
              </w:rPr>
              <w:t> </w:t>
            </w:r>
            <w:r w:rsidRPr="00A071F0">
              <w:rPr>
                <w:rFonts w:ascii="Times New Roman" w:hAnsi="Times New Roman"/>
                <w:sz w:val="20"/>
                <w:szCs w:val="20"/>
                <w:lang w:eastAsia="ru-RU"/>
              </w:rPr>
              <w:t>профилю ЧС. Выделение материально-технических и</w:t>
            </w:r>
            <w:r>
              <w:rPr>
                <w:rFonts w:ascii="Times New Roman" w:hAnsi="Times New Roman"/>
                <w:sz w:val="20"/>
                <w:szCs w:val="20"/>
                <w:lang w:eastAsia="ru-RU"/>
              </w:rPr>
              <w:t> </w:t>
            </w:r>
            <w:r w:rsidRPr="00A071F0">
              <w:rPr>
                <w:rFonts w:ascii="Times New Roman" w:hAnsi="Times New Roman"/>
                <w:sz w:val="20"/>
                <w:szCs w:val="20"/>
                <w:lang w:eastAsia="ru-RU"/>
              </w:rPr>
              <w:t>финансовых ресурсов для ликвидации последствий ЧС. Планирование действий, отработка взаимодействия, проведение учений и</w:t>
            </w:r>
            <w:r>
              <w:rPr>
                <w:rFonts w:ascii="Times New Roman" w:hAnsi="Times New Roman"/>
                <w:sz w:val="20"/>
                <w:szCs w:val="20"/>
                <w:lang w:eastAsia="ru-RU"/>
              </w:rPr>
              <w:t> </w:t>
            </w:r>
            <w:r w:rsidRPr="00A071F0">
              <w:rPr>
                <w:rFonts w:ascii="Times New Roman" w:hAnsi="Times New Roman"/>
                <w:sz w:val="20"/>
                <w:szCs w:val="20"/>
                <w:lang w:eastAsia="ru-RU"/>
              </w:rPr>
              <w:t xml:space="preserve">тренировок. </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Защита объектов</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Режимы 2, 3.</w:t>
            </w:r>
            <w:r w:rsidRPr="00A071F0">
              <w:rPr>
                <w:rFonts w:ascii="Times New Roman" w:hAnsi="Times New Roman"/>
                <w:sz w:val="20"/>
                <w:szCs w:val="20"/>
                <w:lang w:eastAsia="ru-RU"/>
              </w:rPr>
              <w:t xml:space="preserve"> Изучение условий размещения объектов. Оценка риска. Разработка и</w:t>
            </w:r>
            <w:r>
              <w:rPr>
                <w:rFonts w:ascii="Times New Roman" w:hAnsi="Times New Roman"/>
                <w:sz w:val="20"/>
                <w:szCs w:val="20"/>
                <w:lang w:eastAsia="ru-RU"/>
              </w:rPr>
              <w:t> </w:t>
            </w:r>
            <w:r w:rsidRPr="00A071F0">
              <w:rPr>
                <w:rFonts w:ascii="Times New Roman" w:hAnsi="Times New Roman"/>
                <w:sz w:val="20"/>
                <w:szCs w:val="20"/>
                <w:lang w:eastAsia="ru-RU"/>
              </w:rPr>
              <w:t>обоснование технических решений для конкретных объектов с</w:t>
            </w:r>
            <w:r>
              <w:rPr>
                <w:rFonts w:ascii="Times New Roman" w:hAnsi="Times New Roman"/>
                <w:sz w:val="20"/>
                <w:szCs w:val="20"/>
                <w:lang w:eastAsia="ru-RU"/>
              </w:rPr>
              <w:t> </w:t>
            </w:r>
            <w:r w:rsidRPr="00A071F0">
              <w:rPr>
                <w:rFonts w:ascii="Times New Roman" w:hAnsi="Times New Roman"/>
                <w:sz w:val="20"/>
                <w:szCs w:val="20"/>
                <w:lang w:eastAsia="ru-RU"/>
              </w:rPr>
              <w:t>учётом возможного характера воздействия ЧС</w:t>
            </w:r>
            <w:r>
              <w:rPr>
                <w:rFonts w:ascii="Times New Roman" w:hAnsi="Times New Roman"/>
                <w:sz w:val="20"/>
                <w:szCs w:val="20"/>
                <w:lang w:eastAsia="ru-RU"/>
              </w:rPr>
              <w:t> </w:t>
            </w:r>
            <w:r w:rsidRPr="00A071F0">
              <w:rPr>
                <w:rFonts w:ascii="Times New Roman" w:hAnsi="Times New Roman"/>
                <w:sz w:val="20"/>
                <w:szCs w:val="20"/>
                <w:lang w:eastAsia="ru-RU"/>
              </w:rPr>
              <w:t>на</w:t>
            </w:r>
            <w:r>
              <w:rPr>
                <w:rFonts w:ascii="Times New Roman" w:hAnsi="Times New Roman"/>
                <w:sz w:val="20"/>
                <w:szCs w:val="20"/>
                <w:lang w:eastAsia="ru-RU"/>
              </w:rPr>
              <w:t> </w:t>
            </w:r>
            <w:r w:rsidRPr="00A071F0">
              <w:rPr>
                <w:rFonts w:ascii="Times New Roman" w:hAnsi="Times New Roman"/>
                <w:sz w:val="20"/>
                <w:szCs w:val="20"/>
                <w:lang w:eastAsia="ru-RU"/>
              </w:rPr>
              <w:t>здания и</w:t>
            </w:r>
            <w:r>
              <w:rPr>
                <w:rFonts w:ascii="Times New Roman" w:hAnsi="Times New Roman"/>
                <w:sz w:val="20"/>
                <w:szCs w:val="20"/>
                <w:lang w:eastAsia="ru-RU"/>
              </w:rPr>
              <w:t> </w:t>
            </w:r>
            <w:r w:rsidRPr="00A071F0">
              <w:rPr>
                <w:rFonts w:ascii="Times New Roman" w:hAnsi="Times New Roman"/>
                <w:sz w:val="20"/>
                <w:szCs w:val="20"/>
                <w:lang w:eastAsia="ru-RU"/>
              </w:rPr>
              <w:t>сооружения объекта, технологический процесс. Увязка решений с</w:t>
            </w:r>
            <w:r>
              <w:rPr>
                <w:rFonts w:ascii="Times New Roman" w:hAnsi="Times New Roman"/>
                <w:sz w:val="20"/>
                <w:szCs w:val="20"/>
                <w:lang w:eastAsia="ru-RU"/>
              </w:rPr>
              <w:t> </w:t>
            </w:r>
            <w:r w:rsidRPr="00A071F0">
              <w:rPr>
                <w:rFonts w:ascii="Times New Roman" w:hAnsi="Times New Roman"/>
                <w:sz w:val="20"/>
                <w:szCs w:val="20"/>
                <w:lang w:eastAsia="ru-RU"/>
              </w:rPr>
              <w:t>общим комплексом мероприятий по</w:t>
            </w:r>
            <w:r>
              <w:rPr>
                <w:rFonts w:ascii="Times New Roman" w:hAnsi="Times New Roman"/>
                <w:sz w:val="20"/>
                <w:szCs w:val="20"/>
                <w:lang w:eastAsia="ru-RU"/>
              </w:rPr>
              <w:t> </w:t>
            </w:r>
            <w:r w:rsidRPr="00A071F0">
              <w:rPr>
                <w:rFonts w:ascii="Times New Roman" w:hAnsi="Times New Roman"/>
                <w:sz w:val="20"/>
                <w:szCs w:val="20"/>
                <w:lang w:eastAsia="ru-RU"/>
              </w:rPr>
              <w:t>предотвращению затоплений. Снижение вероятности возникновения вторичных факторов поражения за</w:t>
            </w:r>
            <w:r>
              <w:rPr>
                <w:rFonts w:ascii="Times New Roman" w:hAnsi="Times New Roman"/>
                <w:sz w:val="20"/>
                <w:szCs w:val="20"/>
                <w:lang w:eastAsia="ru-RU"/>
              </w:rPr>
              <w:t> </w:t>
            </w:r>
            <w:r w:rsidRPr="00A071F0">
              <w:rPr>
                <w:rFonts w:ascii="Times New Roman" w:hAnsi="Times New Roman"/>
                <w:sz w:val="20"/>
                <w:szCs w:val="20"/>
                <w:lang w:eastAsia="ru-RU"/>
              </w:rPr>
              <w:t>счёт инженерных решений и</w:t>
            </w:r>
            <w:r>
              <w:rPr>
                <w:rFonts w:ascii="Times New Roman" w:hAnsi="Times New Roman"/>
                <w:sz w:val="20"/>
                <w:szCs w:val="20"/>
                <w:lang w:eastAsia="ru-RU"/>
              </w:rPr>
              <w:t> </w:t>
            </w:r>
            <w:r w:rsidRPr="00A071F0">
              <w:rPr>
                <w:rFonts w:ascii="Times New Roman" w:hAnsi="Times New Roman"/>
                <w:sz w:val="20"/>
                <w:szCs w:val="20"/>
                <w:lang w:eastAsia="ru-RU"/>
              </w:rPr>
              <w:t>введения особого технологического режима, снижения запасов опасных веществ, ограничения мощности производства. В</w:t>
            </w:r>
            <w:r>
              <w:rPr>
                <w:rFonts w:ascii="Times New Roman" w:hAnsi="Times New Roman"/>
                <w:sz w:val="20"/>
                <w:szCs w:val="20"/>
                <w:lang w:eastAsia="ru-RU"/>
              </w:rPr>
              <w:t> </w:t>
            </w:r>
            <w:r w:rsidRPr="00A071F0">
              <w:rPr>
                <w:rFonts w:ascii="Times New Roman" w:hAnsi="Times New Roman"/>
                <w:sz w:val="20"/>
                <w:szCs w:val="20"/>
                <w:lang w:eastAsia="ru-RU"/>
              </w:rPr>
              <w:t>некоторых случаях - остановка производства, прекращение деятельности.</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Перемещение ценного оборудования</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Режимы 2, 3.</w:t>
            </w:r>
            <w:r w:rsidRPr="00A071F0">
              <w:rPr>
                <w:rFonts w:ascii="Times New Roman" w:hAnsi="Times New Roman"/>
                <w:sz w:val="20"/>
                <w:szCs w:val="20"/>
                <w:lang w:eastAsia="ru-RU"/>
              </w:rPr>
              <w:t xml:space="preserve"> Оценка риска повреждения оборудования. Подготовка мест временного размещения оборудования, организация его охраны и</w:t>
            </w:r>
            <w:r>
              <w:rPr>
                <w:rFonts w:ascii="Times New Roman" w:hAnsi="Times New Roman"/>
                <w:sz w:val="20"/>
                <w:szCs w:val="20"/>
                <w:lang w:eastAsia="ru-RU"/>
              </w:rPr>
              <w:t> </w:t>
            </w:r>
            <w:r w:rsidRPr="00A071F0">
              <w:rPr>
                <w:rFonts w:ascii="Times New Roman" w:hAnsi="Times New Roman"/>
                <w:sz w:val="20"/>
                <w:szCs w:val="20"/>
                <w:lang w:eastAsia="ru-RU"/>
              </w:rPr>
              <w:t>обеспечение сохранности в</w:t>
            </w:r>
            <w:r>
              <w:rPr>
                <w:rFonts w:ascii="Times New Roman" w:hAnsi="Times New Roman"/>
                <w:sz w:val="20"/>
                <w:szCs w:val="20"/>
                <w:lang w:eastAsia="ru-RU"/>
              </w:rPr>
              <w:t> </w:t>
            </w:r>
            <w:r w:rsidRPr="00A071F0">
              <w:rPr>
                <w:rFonts w:ascii="Times New Roman" w:hAnsi="Times New Roman"/>
                <w:sz w:val="20"/>
                <w:szCs w:val="20"/>
                <w:lang w:eastAsia="ru-RU"/>
              </w:rPr>
              <w:t>рабочем состоянии (при необходимости - регламентные работы). Подготовка погрузочно-разгрузочного оборудования и</w:t>
            </w:r>
            <w:r>
              <w:rPr>
                <w:rFonts w:ascii="Times New Roman" w:hAnsi="Times New Roman"/>
                <w:sz w:val="20"/>
                <w:szCs w:val="20"/>
                <w:lang w:eastAsia="ru-RU"/>
              </w:rPr>
              <w:t> </w:t>
            </w:r>
            <w:r w:rsidRPr="00A071F0">
              <w:rPr>
                <w:rFonts w:ascii="Times New Roman" w:hAnsi="Times New Roman"/>
                <w:sz w:val="20"/>
                <w:szCs w:val="20"/>
                <w:lang w:eastAsia="ru-RU"/>
              </w:rPr>
              <w:t>транспорта для перемещения. Увязка изъятия оборудования с</w:t>
            </w:r>
            <w:r>
              <w:rPr>
                <w:rFonts w:ascii="Times New Roman" w:hAnsi="Times New Roman"/>
                <w:sz w:val="20"/>
                <w:szCs w:val="20"/>
                <w:lang w:eastAsia="ru-RU"/>
              </w:rPr>
              <w:t> </w:t>
            </w:r>
            <w:r w:rsidRPr="00A071F0">
              <w:rPr>
                <w:rFonts w:ascii="Times New Roman" w:hAnsi="Times New Roman"/>
                <w:sz w:val="20"/>
                <w:szCs w:val="20"/>
                <w:lang w:eastAsia="ru-RU"/>
              </w:rPr>
              <w:t>мест постоянного размещения по</w:t>
            </w:r>
            <w:r>
              <w:rPr>
                <w:rFonts w:ascii="Times New Roman" w:hAnsi="Times New Roman"/>
                <w:sz w:val="20"/>
                <w:szCs w:val="20"/>
                <w:lang w:eastAsia="ru-RU"/>
              </w:rPr>
              <w:t> </w:t>
            </w:r>
            <w:r w:rsidRPr="00A071F0">
              <w:rPr>
                <w:rFonts w:ascii="Times New Roman" w:hAnsi="Times New Roman"/>
                <w:sz w:val="20"/>
                <w:szCs w:val="20"/>
                <w:lang w:eastAsia="ru-RU"/>
              </w:rPr>
              <w:t>технологическим параметрам. Заблаговременное перемещение оборудования складского хранения.</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Контроль за</w:t>
            </w:r>
            <w:r>
              <w:rPr>
                <w:rFonts w:ascii="Times New Roman" w:hAnsi="Times New Roman"/>
                <w:b/>
                <w:sz w:val="20"/>
                <w:szCs w:val="20"/>
                <w:lang w:eastAsia="ru-RU"/>
              </w:rPr>
              <w:t> </w:t>
            </w:r>
            <w:r w:rsidRPr="00A071F0">
              <w:rPr>
                <w:rFonts w:ascii="Times New Roman" w:hAnsi="Times New Roman"/>
                <w:b/>
                <w:sz w:val="20"/>
                <w:szCs w:val="20"/>
                <w:lang w:eastAsia="ru-RU"/>
              </w:rPr>
              <w:t>состоянием зданий, сооружений, переходов и</w:t>
            </w:r>
            <w:r>
              <w:rPr>
                <w:rFonts w:ascii="Times New Roman" w:hAnsi="Times New Roman"/>
                <w:b/>
                <w:sz w:val="20"/>
                <w:szCs w:val="20"/>
                <w:lang w:eastAsia="ru-RU"/>
              </w:rPr>
              <w:t> </w:t>
            </w:r>
            <w:r w:rsidRPr="00A071F0">
              <w:rPr>
                <w:rFonts w:ascii="Times New Roman" w:hAnsi="Times New Roman"/>
                <w:b/>
                <w:sz w:val="20"/>
                <w:szCs w:val="20"/>
                <w:lang w:eastAsia="ru-RU"/>
              </w:rPr>
              <w:t>транспортных коммуникаций</w:t>
            </w:r>
          </w:p>
        </w:tc>
        <w:tc>
          <w:tcPr>
            <w:tcW w:w="3531" w:type="pct"/>
          </w:tcPr>
          <w:p w:rsidR="002D1E45" w:rsidRPr="00A071F0" w:rsidRDefault="002D1E45" w:rsidP="00A071F0">
            <w:pPr>
              <w:spacing w:after="0" w:line="240" w:lineRule="auto"/>
              <w:jc w:val="both"/>
              <w:rPr>
                <w:rFonts w:ascii="Times New Roman" w:hAnsi="Times New Roman"/>
                <w:b/>
                <w:sz w:val="20"/>
                <w:szCs w:val="20"/>
                <w:lang w:eastAsia="ru-RU"/>
              </w:rPr>
            </w:pPr>
            <w:r w:rsidRPr="00A071F0">
              <w:rPr>
                <w:rFonts w:ascii="Times New Roman" w:hAnsi="Times New Roman"/>
                <w:b/>
                <w:sz w:val="20"/>
                <w:szCs w:val="20"/>
                <w:lang w:eastAsia="ru-RU"/>
              </w:rPr>
              <w:t>Режимы 2, 3.</w:t>
            </w:r>
            <w:r w:rsidRPr="00A071F0">
              <w:rPr>
                <w:rFonts w:ascii="Times New Roman" w:hAnsi="Times New Roman"/>
                <w:sz w:val="20"/>
                <w:szCs w:val="20"/>
                <w:lang w:eastAsia="ru-RU"/>
              </w:rPr>
              <w:t xml:space="preserve"> Усиление строительных конструкций ответственных объектов по</w:t>
            </w:r>
            <w:r>
              <w:rPr>
                <w:rFonts w:ascii="Times New Roman" w:hAnsi="Times New Roman"/>
                <w:sz w:val="20"/>
                <w:szCs w:val="20"/>
                <w:lang w:eastAsia="ru-RU"/>
              </w:rPr>
              <w:t> </w:t>
            </w:r>
            <w:r w:rsidRPr="00A071F0">
              <w:rPr>
                <w:rFonts w:ascii="Times New Roman" w:hAnsi="Times New Roman"/>
                <w:sz w:val="20"/>
                <w:szCs w:val="20"/>
                <w:lang w:eastAsia="ru-RU"/>
              </w:rPr>
              <w:t>результатам обследования. Запрещение эксплуатации аварийных зданий и</w:t>
            </w:r>
            <w:r>
              <w:rPr>
                <w:rFonts w:ascii="Times New Roman" w:hAnsi="Times New Roman"/>
                <w:sz w:val="20"/>
                <w:szCs w:val="20"/>
                <w:lang w:eastAsia="ru-RU"/>
              </w:rPr>
              <w:t> </w:t>
            </w:r>
            <w:r w:rsidRPr="00A071F0">
              <w:rPr>
                <w:rFonts w:ascii="Times New Roman" w:hAnsi="Times New Roman"/>
                <w:sz w:val="20"/>
                <w:szCs w:val="20"/>
                <w:lang w:eastAsia="ru-RU"/>
              </w:rPr>
              <w:t>сооружений. Обследование оснований и</w:t>
            </w:r>
            <w:r>
              <w:rPr>
                <w:rFonts w:ascii="Times New Roman" w:hAnsi="Times New Roman"/>
                <w:sz w:val="20"/>
                <w:szCs w:val="20"/>
                <w:lang w:eastAsia="ru-RU"/>
              </w:rPr>
              <w:t> </w:t>
            </w:r>
            <w:r w:rsidRPr="00A071F0">
              <w:rPr>
                <w:rFonts w:ascii="Times New Roman" w:hAnsi="Times New Roman"/>
                <w:sz w:val="20"/>
                <w:szCs w:val="20"/>
                <w:lang w:eastAsia="ru-RU"/>
              </w:rPr>
              <w:t>фундаментов, гидроизоляция. Определение перечня ремонтно-восстановительных организаций и</w:t>
            </w:r>
            <w:r>
              <w:rPr>
                <w:rFonts w:ascii="Times New Roman" w:hAnsi="Times New Roman"/>
                <w:sz w:val="20"/>
                <w:szCs w:val="20"/>
                <w:lang w:eastAsia="ru-RU"/>
              </w:rPr>
              <w:t> </w:t>
            </w:r>
            <w:r w:rsidRPr="00A071F0">
              <w:rPr>
                <w:rFonts w:ascii="Times New Roman" w:hAnsi="Times New Roman"/>
                <w:sz w:val="20"/>
                <w:szCs w:val="20"/>
                <w:lang w:eastAsia="ru-RU"/>
              </w:rPr>
              <w:t>служб. Создание запасов строительных материалов и</w:t>
            </w:r>
            <w:r>
              <w:rPr>
                <w:rFonts w:ascii="Times New Roman" w:hAnsi="Times New Roman"/>
                <w:sz w:val="20"/>
                <w:szCs w:val="20"/>
                <w:lang w:eastAsia="ru-RU"/>
              </w:rPr>
              <w:t> </w:t>
            </w:r>
            <w:r w:rsidRPr="00A071F0">
              <w:rPr>
                <w:rFonts w:ascii="Times New Roman" w:hAnsi="Times New Roman"/>
                <w:sz w:val="20"/>
                <w:szCs w:val="20"/>
                <w:lang w:eastAsia="ru-RU"/>
              </w:rPr>
              <w:t xml:space="preserve">изделий для ремонтных работ. </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Корректировка транспортной схемы</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 3.</w:t>
            </w:r>
            <w:r w:rsidRPr="00A071F0">
              <w:rPr>
                <w:rFonts w:ascii="Times New Roman" w:hAnsi="Times New Roman"/>
                <w:sz w:val="20"/>
                <w:szCs w:val="20"/>
                <w:lang w:eastAsia="ru-RU"/>
              </w:rPr>
              <w:t xml:space="preserve"> Производится по</w:t>
            </w:r>
            <w:r>
              <w:rPr>
                <w:rFonts w:ascii="Times New Roman" w:hAnsi="Times New Roman"/>
                <w:sz w:val="20"/>
                <w:szCs w:val="20"/>
                <w:lang w:eastAsia="ru-RU"/>
              </w:rPr>
              <w:t> </w:t>
            </w:r>
            <w:r w:rsidRPr="00A071F0">
              <w:rPr>
                <w:rFonts w:ascii="Times New Roman" w:hAnsi="Times New Roman"/>
                <w:sz w:val="20"/>
                <w:szCs w:val="20"/>
                <w:lang w:eastAsia="ru-RU"/>
              </w:rPr>
              <w:t>результатам разведки и</w:t>
            </w:r>
            <w:r>
              <w:rPr>
                <w:rFonts w:ascii="Times New Roman" w:hAnsi="Times New Roman"/>
                <w:sz w:val="20"/>
                <w:szCs w:val="20"/>
                <w:lang w:eastAsia="ru-RU"/>
              </w:rPr>
              <w:t> </w:t>
            </w:r>
            <w:r w:rsidRPr="00A071F0">
              <w:rPr>
                <w:rFonts w:ascii="Times New Roman" w:hAnsi="Times New Roman"/>
                <w:sz w:val="20"/>
                <w:szCs w:val="20"/>
                <w:lang w:eastAsia="ru-RU"/>
              </w:rPr>
              <w:t>обследования состояния транспортных коммуникаций и</w:t>
            </w:r>
            <w:r>
              <w:rPr>
                <w:rFonts w:ascii="Times New Roman" w:hAnsi="Times New Roman"/>
                <w:sz w:val="20"/>
                <w:szCs w:val="20"/>
                <w:lang w:eastAsia="ru-RU"/>
              </w:rPr>
              <w:t> </w:t>
            </w:r>
            <w:r w:rsidRPr="00A071F0">
              <w:rPr>
                <w:rFonts w:ascii="Times New Roman" w:hAnsi="Times New Roman"/>
                <w:sz w:val="20"/>
                <w:szCs w:val="20"/>
                <w:lang w:eastAsia="ru-RU"/>
              </w:rPr>
              <w:t>объектов в</w:t>
            </w:r>
            <w:r>
              <w:rPr>
                <w:rFonts w:ascii="Times New Roman" w:hAnsi="Times New Roman"/>
                <w:sz w:val="20"/>
                <w:szCs w:val="20"/>
                <w:lang w:eastAsia="ru-RU"/>
              </w:rPr>
              <w:t> </w:t>
            </w:r>
            <w:r w:rsidRPr="00A071F0">
              <w:rPr>
                <w:rFonts w:ascii="Times New Roman" w:hAnsi="Times New Roman"/>
                <w:sz w:val="20"/>
                <w:szCs w:val="20"/>
                <w:lang w:eastAsia="ru-RU"/>
              </w:rPr>
              <w:t>случае невозможности их</w:t>
            </w:r>
            <w:r>
              <w:rPr>
                <w:rFonts w:ascii="Times New Roman" w:hAnsi="Times New Roman"/>
                <w:sz w:val="20"/>
                <w:szCs w:val="20"/>
                <w:lang w:eastAsia="ru-RU"/>
              </w:rPr>
              <w:t> </w:t>
            </w:r>
            <w:r w:rsidRPr="00A071F0">
              <w:rPr>
                <w:rFonts w:ascii="Times New Roman" w:hAnsi="Times New Roman"/>
                <w:sz w:val="20"/>
                <w:szCs w:val="20"/>
                <w:lang w:eastAsia="ru-RU"/>
              </w:rPr>
              <w:t>дальнейшей эксплуатации. Производится за</w:t>
            </w:r>
            <w:r>
              <w:rPr>
                <w:rFonts w:ascii="Times New Roman" w:hAnsi="Times New Roman"/>
                <w:sz w:val="20"/>
                <w:szCs w:val="20"/>
                <w:lang w:eastAsia="ru-RU"/>
              </w:rPr>
              <w:t> </w:t>
            </w:r>
            <w:r w:rsidRPr="00A071F0">
              <w:rPr>
                <w:rFonts w:ascii="Times New Roman" w:hAnsi="Times New Roman"/>
                <w:sz w:val="20"/>
                <w:szCs w:val="20"/>
                <w:lang w:eastAsia="ru-RU"/>
              </w:rPr>
              <w:t>счёт использования резервных маршрутов или сооружения временных транспортных коммуникаций. Увязка пунктов сопряжения различных видов транспорта по</w:t>
            </w:r>
            <w:r>
              <w:rPr>
                <w:rFonts w:ascii="Times New Roman" w:hAnsi="Times New Roman"/>
                <w:sz w:val="20"/>
                <w:szCs w:val="20"/>
                <w:lang w:eastAsia="ru-RU"/>
              </w:rPr>
              <w:t> </w:t>
            </w:r>
            <w:r w:rsidRPr="00A071F0">
              <w:rPr>
                <w:rFonts w:ascii="Times New Roman" w:hAnsi="Times New Roman"/>
                <w:sz w:val="20"/>
                <w:szCs w:val="20"/>
                <w:lang w:eastAsia="ru-RU"/>
              </w:rPr>
              <w:t>пунктам обслуживания населения и</w:t>
            </w:r>
            <w:r>
              <w:rPr>
                <w:rFonts w:ascii="Times New Roman" w:hAnsi="Times New Roman"/>
                <w:sz w:val="20"/>
                <w:szCs w:val="20"/>
                <w:lang w:eastAsia="ru-RU"/>
              </w:rPr>
              <w:t> </w:t>
            </w:r>
            <w:r w:rsidRPr="00A071F0">
              <w:rPr>
                <w:rFonts w:ascii="Times New Roman" w:hAnsi="Times New Roman"/>
                <w:sz w:val="20"/>
                <w:szCs w:val="20"/>
                <w:lang w:eastAsia="ru-RU"/>
              </w:rPr>
              <w:t>грузопотоков. Организация регулирования на</w:t>
            </w:r>
            <w:r>
              <w:rPr>
                <w:rFonts w:ascii="Times New Roman" w:hAnsi="Times New Roman"/>
                <w:sz w:val="20"/>
                <w:szCs w:val="20"/>
                <w:lang w:eastAsia="ru-RU"/>
              </w:rPr>
              <w:t> </w:t>
            </w:r>
            <w:r w:rsidRPr="00A071F0">
              <w:rPr>
                <w:rFonts w:ascii="Times New Roman" w:hAnsi="Times New Roman"/>
                <w:sz w:val="20"/>
                <w:szCs w:val="20"/>
                <w:lang w:eastAsia="ru-RU"/>
              </w:rPr>
              <w:t>новых маршрутах. Обеспечение регламентирующими знаками, указателями и</w:t>
            </w:r>
            <w:r>
              <w:rPr>
                <w:rFonts w:ascii="Times New Roman" w:hAnsi="Times New Roman"/>
                <w:sz w:val="20"/>
                <w:szCs w:val="20"/>
                <w:lang w:eastAsia="ru-RU"/>
              </w:rPr>
              <w:t> </w:t>
            </w:r>
            <w:r w:rsidRPr="00A071F0">
              <w:rPr>
                <w:rFonts w:ascii="Times New Roman" w:hAnsi="Times New Roman"/>
                <w:sz w:val="20"/>
                <w:szCs w:val="20"/>
                <w:lang w:eastAsia="ru-RU"/>
              </w:rPr>
              <w:t xml:space="preserve">т.п. </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Оказание квалифицированной и</w:t>
            </w:r>
            <w:r>
              <w:rPr>
                <w:rFonts w:ascii="Times New Roman" w:hAnsi="Times New Roman"/>
                <w:b/>
                <w:sz w:val="20"/>
                <w:szCs w:val="20"/>
                <w:lang w:eastAsia="ru-RU"/>
              </w:rPr>
              <w:t> </w:t>
            </w:r>
            <w:r w:rsidRPr="00A071F0">
              <w:rPr>
                <w:rFonts w:ascii="Times New Roman" w:hAnsi="Times New Roman"/>
                <w:b/>
                <w:sz w:val="20"/>
                <w:szCs w:val="20"/>
                <w:lang w:eastAsia="ru-RU"/>
              </w:rPr>
              <w:t>специализированной медицинской помощи</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 3.</w:t>
            </w:r>
            <w:r w:rsidRPr="00A071F0">
              <w:rPr>
                <w:rFonts w:ascii="Times New Roman" w:hAnsi="Times New Roman"/>
                <w:sz w:val="20"/>
                <w:szCs w:val="20"/>
                <w:lang w:eastAsia="ru-RU"/>
              </w:rPr>
              <w:t xml:space="preserve"> Осуществление комплекса лечебно-профилактических мероприятий по</w:t>
            </w:r>
            <w:r>
              <w:rPr>
                <w:rFonts w:ascii="Times New Roman" w:hAnsi="Times New Roman"/>
                <w:sz w:val="20"/>
                <w:szCs w:val="20"/>
                <w:lang w:eastAsia="ru-RU"/>
              </w:rPr>
              <w:t> </w:t>
            </w:r>
            <w:r w:rsidRPr="00A071F0">
              <w:rPr>
                <w:rFonts w:ascii="Times New Roman" w:hAnsi="Times New Roman"/>
                <w:sz w:val="20"/>
                <w:szCs w:val="20"/>
                <w:lang w:eastAsia="ru-RU"/>
              </w:rPr>
              <w:t>оказанию помощи пострадавшим в</w:t>
            </w:r>
            <w:r>
              <w:rPr>
                <w:rFonts w:ascii="Times New Roman" w:hAnsi="Times New Roman"/>
                <w:sz w:val="20"/>
                <w:szCs w:val="20"/>
                <w:lang w:eastAsia="ru-RU"/>
              </w:rPr>
              <w:t> </w:t>
            </w:r>
            <w:r w:rsidRPr="00A071F0">
              <w:rPr>
                <w:rFonts w:ascii="Times New Roman" w:hAnsi="Times New Roman"/>
                <w:sz w:val="20"/>
                <w:szCs w:val="20"/>
                <w:lang w:eastAsia="ru-RU"/>
              </w:rPr>
              <w:t>стационарных и</w:t>
            </w:r>
            <w:r>
              <w:rPr>
                <w:rFonts w:ascii="Times New Roman" w:hAnsi="Times New Roman"/>
                <w:sz w:val="20"/>
                <w:szCs w:val="20"/>
                <w:lang w:eastAsia="ru-RU"/>
              </w:rPr>
              <w:t> </w:t>
            </w:r>
            <w:r w:rsidRPr="00A071F0">
              <w:rPr>
                <w:rFonts w:ascii="Times New Roman" w:hAnsi="Times New Roman"/>
                <w:sz w:val="20"/>
                <w:szCs w:val="20"/>
                <w:lang w:eastAsia="ru-RU"/>
              </w:rPr>
              <w:t>специализированных лечебных учреждениях квалифицированными специалистами с</w:t>
            </w:r>
            <w:r>
              <w:rPr>
                <w:rFonts w:ascii="Times New Roman" w:hAnsi="Times New Roman"/>
                <w:sz w:val="20"/>
                <w:szCs w:val="20"/>
                <w:lang w:eastAsia="ru-RU"/>
              </w:rPr>
              <w:t> </w:t>
            </w:r>
            <w:r w:rsidRPr="00A071F0">
              <w:rPr>
                <w:rFonts w:ascii="Times New Roman" w:hAnsi="Times New Roman"/>
                <w:sz w:val="20"/>
                <w:szCs w:val="20"/>
                <w:lang w:eastAsia="ru-RU"/>
              </w:rPr>
              <w:t>использованием лечебно-диагностического оборудования.</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Разработка и</w:t>
            </w:r>
            <w:r>
              <w:rPr>
                <w:rFonts w:ascii="Times New Roman" w:hAnsi="Times New Roman"/>
                <w:b/>
                <w:sz w:val="20"/>
                <w:szCs w:val="20"/>
                <w:lang w:eastAsia="ru-RU"/>
              </w:rPr>
              <w:t> </w:t>
            </w:r>
            <w:r w:rsidRPr="00A071F0">
              <w:rPr>
                <w:rFonts w:ascii="Times New Roman" w:hAnsi="Times New Roman"/>
                <w:b/>
                <w:sz w:val="20"/>
                <w:szCs w:val="20"/>
                <w:lang w:eastAsia="ru-RU"/>
              </w:rPr>
              <w:t>корректировка планов</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sz w:val="20"/>
                <w:szCs w:val="20"/>
                <w:lang w:eastAsia="ru-RU"/>
              </w:rPr>
              <w:t>Проводится после завершения этапа лечебно-эвакуационного обеспечения и</w:t>
            </w:r>
            <w:r>
              <w:rPr>
                <w:rFonts w:ascii="Times New Roman" w:hAnsi="Times New Roman"/>
                <w:sz w:val="20"/>
                <w:szCs w:val="20"/>
                <w:lang w:eastAsia="ru-RU"/>
              </w:rPr>
              <w:t> </w:t>
            </w:r>
            <w:r w:rsidRPr="00A071F0">
              <w:rPr>
                <w:rFonts w:ascii="Times New Roman" w:hAnsi="Times New Roman"/>
                <w:sz w:val="20"/>
                <w:szCs w:val="20"/>
                <w:lang w:eastAsia="ru-RU"/>
              </w:rPr>
              <w:t>медицинской сортировки поражённых по</w:t>
            </w:r>
            <w:r>
              <w:rPr>
                <w:rFonts w:ascii="Times New Roman" w:hAnsi="Times New Roman"/>
                <w:sz w:val="20"/>
                <w:szCs w:val="20"/>
                <w:lang w:eastAsia="ru-RU"/>
              </w:rPr>
              <w:t> </w:t>
            </w:r>
            <w:r w:rsidRPr="00A071F0">
              <w:rPr>
                <w:rFonts w:ascii="Times New Roman" w:hAnsi="Times New Roman"/>
                <w:sz w:val="20"/>
                <w:szCs w:val="20"/>
                <w:lang w:eastAsia="ru-RU"/>
              </w:rPr>
              <w:t>медицинским показаниям.</w:t>
            </w:r>
          </w:p>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Режимы 1, 2.</w:t>
            </w:r>
            <w:r w:rsidRPr="00A071F0">
              <w:rPr>
                <w:rFonts w:ascii="Times New Roman" w:hAnsi="Times New Roman"/>
                <w:sz w:val="20"/>
                <w:szCs w:val="20"/>
                <w:lang w:eastAsia="ru-RU"/>
              </w:rPr>
              <w:t xml:space="preserve"> Производится на</w:t>
            </w:r>
            <w:r>
              <w:rPr>
                <w:rFonts w:ascii="Times New Roman" w:hAnsi="Times New Roman"/>
                <w:sz w:val="20"/>
                <w:szCs w:val="20"/>
                <w:lang w:eastAsia="ru-RU"/>
              </w:rPr>
              <w:t> </w:t>
            </w:r>
            <w:r w:rsidRPr="00A071F0">
              <w:rPr>
                <w:rFonts w:ascii="Times New Roman" w:hAnsi="Times New Roman"/>
                <w:sz w:val="20"/>
                <w:szCs w:val="20"/>
                <w:lang w:eastAsia="ru-RU"/>
              </w:rPr>
              <w:t>объектовом, местном и</w:t>
            </w:r>
            <w:r>
              <w:rPr>
                <w:rFonts w:ascii="Times New Roman" w:hAnsi="Times New Roman"/>
                <w:sz w:val="20"/>
                <w:szCs w:val="20"/>
                <w:lang w:eastAsia="ru-RU"/>
              </w:rPr>
              <w:t> </w:t>
            </w:r>
            <w:r w:rsidRPr="00A071F0">
              <w:rPr>
                <w:rFonts w:ascii="Times New Roman" w:hAnsi="Times New Roman"/>
                <w:sz w:val="20"/>
                <w:szCs w:val="20"/>
                <w:lang w:eastAsia="ru-RU"/>
              </w:rPr>
              <w:t>региональном уровнях с</w:t>
            </w:r>
            <w:r>
              <w:rPr>
                <w:rFonts w:ascii="Times New Roman" w:hAnsi="Times New Roman"/>
                <w:sz w:val="20"/>
                <w:szCs w:val="20"/>
                <w:lang w:eastAsia="ru-RU"/>
              </w:rPr>
              <w:t> </w:t>
            </w:r>
            <w:r w:rsidRPr="00A071F0">
              <w:rPr>
                <w:rFonts w:ascii="Times New Roman" w:hAnsi="Times New Roman"/>
                <w:sz w:val="20"/>
                <w:szCs w:val="20"/>
                <w:lang w:eastAsia="ru-RU"/>
              </w:rPr>
              <w:t>учётом данных многолетних наблюдений и</w:t>
            </w:r>
            <w:r>
              <w:rPr>
                <w:rFonts w:ascii="Times New Roman" w:hAnsi="Times New Roman"/>
                <w:sz w:val="20"/>
                <w:szCs w:val="20"/>
                <w:lang w:eastAsia="ru-RU"/>
              </w:rPr>
              <w:t> </w:t>
            </w:r>
            <w:r w:rsidRPr="00A071F0">
              <w:rPr>
                <w:rFonts w:ascii="Times New Roman" w:hAnsi="Times New Roman"/>
                <w:sz w:val="20"/>
                <w:szCs w:val="20"/>
                <w:lang w:eastAsia="ru-RU"/>
              </w:rPr>
              <w:t xml:space="preserve">данных прогноза. </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Организация взаимодействия</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Режимы 2, 3.</w:t>
            </w:r>
            <w:r w:rsidRPr="00A071F0">
              <w:rPr>
                <w:rFonts w:ascii="Times New Roman" w:hAnsi="Times New Roman"/>
                <w:sz w:val="20"/>
                <w:szCs w:val="20"/>
                <w:lang w:eastAsia="ru-RU"/>
              </w:rPr>
              <w:t xml:space="preserve"> Взаимодействие организуется между органами управления ГОЧС, органами исполнительной власти субъектов РФ, местного самоуправления и</w:t>
            </w:r>
            <w:r>
              <w:rPr>
                <w:rFonts w:ascii="Times New Roman" w:hAnsi="Times New Roman"/>
                <w:sz w:val="20"/>
                <w:szCs w:val="20"/>
                <w:lang w:eastAsia="ru-RU"/>
              </w:rPr>
              <w:t> </w:t>
            </w:r>
            <w:r w:rsidRPr="00A071F0">
              <w:rPr>
                <w:rFonts w:ascii="Times New Roman" w:hAnsi="Times New Roman"/>
                <w:sz w:val="20"/>
                <w:szCs w:val="20"/>
                <w:lang w:eastAsia="ru-RU"/>
              </w:rPr>
              <w:t>другими органами, развёртываемыми в</w:t>
            </w:r>
            <w:r>
              <w:rPr>
                <w:rFonts w:ascii="Times New Roman" w:hAnsi="Times New Roman"/>
                <w:sz w:val="20"/>
                <w:szCs w:val="20"/>
                <w:lang w:eastAsia="ru-RU"/>
              </w:rPr>
              <w:t> </w:t>
            </w:r>
            <w:r w:rsidRPr="00A071F0">
              <w:rPr>
                <w:rFonts w:ascii="Times New Roman" w:hAnsi="Times New Roman"/>
                <w:sz w:val="20"/>
                <w:szCs w:val="20"/>
                <w:lang w:eastAsia="ru-RU"/>
              </w:rPr>
              <w:t>зоне ЧС. Сущность взаимодействия заключается в</w:t>
            </w:r>
            <w:r>
              <w:rPr>
                <w:rFonts w:ascii="Times New Roman" w:hAnsi="Times New Roman"/>
                <w:sz w:val="20"/>
                <w:szCs w:val="20"/>
                <w:lang w:eastAsia="ru-RU"/>
              </w:rPr>
              <w:t> </w:t>
            </w:r>
            <w:r w:rsidRPr="00A071F0">
              <w:rPr>
                <w:rFonts w:ascii="Times New Roman" w:hAnsi="Times New Roman"/>
                <w:sz w:val="20"/>
                <w:szCs w:val="20"/>
                <w:lang w:eastAsia="ru-RU"/>
              </w:rPr>
              <w:t>целенаправленной, управленческой деятельности, согласованной по</w:t>
            </w:r>
            <w:r>
              <w:rPr>
                <w:rFonts w:ascii="Times New Roman" w:hAnsi="Times New Roman"/>
                <w:sz w:val="20"/>
                <w:szCs w:val="20"/>
                <w:lang w:eastAsia="ru-RU"/>
              </w:rPr>
              <w:t> </w:t>
            </w:r>
            <w:r w:rsidRPr="00A071F0">
              <w:rPr>
                <w:rFonts w:ascii="Times New Roman" w:hAnsi="Times New Roman"/>
                <w:sz w:val="20"/>
                <w:szCs w:val="20"/>
                <w:lang w:eastAsia="ru-RU"/>
              </w:rPr>
              <w:t>целям, задачам, месту, времени и</w:t>
            </w:r>
            <w:r>
              <w:rPr>
                <w:rFonts w:ascii="Times New Roman" w:hAnsi="Times New Roman"/>
                <w:sz w:val="20"/>
                <w:szCs w:val="20"/>
                <w:lang w:eastAsia="ru-RU"/>
              </w:rPr>
              <w:t> </w:t>
            </w:r>
            <w:r w:rsidRPr="00A071F0">
              <w:rPr>
                <w:rFonts w:ascii="Times New Roman" w:hAnsi="Times New Roman"/>
                <w:sz w:val="20"/>
                <w:szCs w:val="20"/>
                <w:lang w:eastAsia="ru-RU"/>
              </w:rPr>
              <w:t>способам действий подчинённых и</w:t>
            </w:r>
            <w:r>
              <w:rPr>
                <w:rFonts w:ascii="Times New Roman" w:hAnsi="Times New Roman"/>
                <w:sz w:val="20"/>
                <w:szCs w:val="20"/>
                <w:lang w:eastAsia="ru-RU"/>
              </w:rPr>
              <w:t> </w:t>
            </w:r>
            <w:r w:rsidRPr="00A071F0">
              <w:rPr>
                <w:rFonts w:ascii="Times New Roman" w:hAnsi="Times New Roman"/>
                <w:sz w:val="20"/>
                <w:szCs w:val="20"/>
                <w:lang w:eastAsia="ru-RU"/>
              </w:rPr>
              <w:t>взаимодействующих органов управления и</w:t>
            </w:r>
            <w:r>
              <w:rPr>
                <w:rFonts w:ascii="Times New Roman" w:hAnsi="Times New Roman"/>
                <w:sz w:val="20"/>
                <w:szCs w:val="20"/>
                <w:lang w:eastAsia="ru-RU"/>
              </w:rPr>
              <w:t> </w:t>
            </w:r>
            <w:r w:rsidRPr="00A071F0">
              <w:rPr>
                <w:rFonts w:ascii="Times New Roman" w:hAnsi="Times New Roman"/>
                <w:sz w:val="20"/>
                <w:szCs w:val="20"/>
                <w:lang w:eastAsia="ru-RU"/>
              </w:rPr>
              <w:t>сил РСЧС на</w:t>
            </w:r>
            <w:r>
              <w:rPr>
                <w:rFonts w:ascii="Times New Roman" w:hAnsi="Times New Roman"/>
                <w:sz w:val="20"/>
                <w:szCs w:val="20"/>
                <w:lang w:eastAsia="ru-RU"/>
              </w:rPr>
              <w:t> </w:t>
            </w:r>
            <w:r w:rsidRPr="00A071F0">
              <w:rPr>
                <w:rFonts w:ascii="Times New Roman" w:hAnsi="Times New Roman"/>
                <w:sz w:val="20"/>
                <w:szCs w:val="20"/>
                <w:lang w:eastAsia="ru-RU"/>
              </w:rPr>
              <w:t>всех этапах предупреждения и</w:t>
            </w:r>
            <w:r>
              <w:rPr>
                <w:rFonts w:ascii="Times New Roman" w:hAnsi="Times New Roman"/>
                <w:sz w:val="20"/>
                <w:szCs w:val="20"/>
                <w:lang w:eastAsia="ru-RU"/>
              </w:rPr>
              <w:t> </w:t>
            </w:r>
            <w:r w:rsidRPr="00A071F0">
              <w:rPr>
                <w:rFonts w:ascii="Times New Roman" w:hAnsi="Times New Roman"/>
                <w:sz w:val="20"/>
                <w:szCs w:val="20"/>
                <w:lang w:eastAsia="ru-RU"/>
              </w:rPr>
              <w:t xml:space="preserve">ликвидации ЧС. </w:t>
            </w:r>
          </w:p>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Взаимодействие организуют Председатель Межведомственной комиссии по</w:t>
            </w:r>
            <w:r>
              <w:rPr>
                <w:rFonts w:ascii="Times New Roman" w:hAnsi="Times New Roman"/>
                <w:b/>
                <w:sz w:val="20"/>
                <w:szCs w:val="20"/>
                <w:lang w:eastAsia="ru-RU"/>
              </w:rPr>
              <w:t> </w:t>
            </w:r>
            <w:r w:rsidRPr="00A071F0">
              <w:rPr>
                <w:rFonts w:ascii="Times New Roman" w:hAnsi="Times New Roman"/>
                <w:b/>
                <w:sz w:val="20"/>
                <w:szCs w:val="20"/>
                <w:lang w:eastAsia="ru-RU"/>
              </w:rPr>
              <w:t>ЧС - Министр МЧС России, начальники региональных центров, начальники ГО (председатели комиссий по</w:t>
            </w:r>
            <w:r>
              <w:rPr>
                <w:rFonts w:ascii="Times New Roman" w:hAnsi="Times New Roman"/>
                <w:b/>
                <w:sz w:val="20"/>
                <w:szCs w:val="20"/>
                <w:lang w:eastAsia="ru-RU"/>
              </w:rPr>
              <w:t> </w:t>
            </w:r>
            <w:r w:rsidRPr="00A071F0">
              <w:rPr>
                <w:rFonts w:ascii="Times New Roman" w:hAnsi="Times New Roman"/>
                <w:b/>
                <w:sz w:val="20"/>
                <w:szCs w:val="20"/>
                <w:lang w:eastAsia="ru-RU"/>
              </w:rPr>
              <w:t>ЧС) субъектов РФ, органов местного самоуправления, министерств, ведомств, организаций РФ, командиры воинских частей ГО, начальники организаций, объектов экономики и</w:t>
            </w:r>
            <w:r>
              <w:rPr>
                <w:rFonts w:ascii="Times New Roman" w:hAnsi="Times New Roman"/>
                <w:b/>
                <w:sz w:val="20"/>
                <w:szCs w:val="20"/>
                <w:lang w:eastAsia="ru-RU"/>
              </w:rPr>
              <w:t> </w:t>
            </w:r>
            <w:r w:rsidRPr="00A071F0">
              <w:rPr>
                <w:rFonts w:ascii="Times New Roman" w:hAnsi="Times New Roman"/>
                <w:b/>
                <w:sz w:val="20"/>
                <w:szCs w:val="20"/>
                <w:lang w:eastAsia="ru-RU"/>
              </w:rPr>
              <w:t>формирований.</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Ограничение (прекращение) деятельности предприятий и</w:t>
            </w:r>
            <w:r>
              <w:rPr>
                <w:rFonts w:ascii="Times New Roman" w:hAnsi="Times New Roman"/>
                <w:b/>
                <w:sz w:val="20"/>
                <w:szCs w:val="20"/>
                <w:lang w:eastAsia="ru-RU"/>
              </w:rPr>
              <w:t> </w:t>
            </w:r>
            <w:r w:rsidRPr="00A071F0">
              <w:rPr>
                <w:rFonts w:ascii="Times New Roman" w:hAnsi="Times New Roman"/>
                <w:b/>
                <w:sz w:val="20"/>
                <w:szCs w:val="20"/>
                <w:lang w:eastAsia="ru-RU"/>
              </w:rPr>
              <w:t>организаций</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 3.</w:t>
            </w:r>
            <w:r w:rsidRPr="00A071F0">
              <w:rPr>
                <w:rFonts w:ascii="Times New Roman" w:hAnsi="Times New Roman"/>
                <w:sz w:val="20"/>
                <w:szCs w:val="20"/>
                <w:lang w:eastAsia="ru-RU"/>
              </w:rPr>
              <w:t xml:space="preserve"> В</w:t>
            </w:r>
            <w:r>
              <w:rPr>
                <w:rFonts w:ascii="Times New Roman" w:hAnsi="Times New Roman"/>
                <w:sz w:val="20"/>
                <w:szCs w:val="20"/>
                <w:lang w:eastAsia="ru-RU"/>
              </w:rPr>
              <w:t> </w:t>
            </w:r>
            <w:r w:rsidRPr="00A071F0">
              <w:rPr>
                <w:rFonts w:ascii="Times New Roman" w:hAnsi="Times New Roman"/>
                <w:sz w:val="20"/>
                <w:szCs w:val="20"/>
                <w:lang w:eastAsia="ru-RU"/>
              </w:rPr>
              <w:t>соответствии с</w:t>
            </w:r>
            <w:r>
              <w:rPr>
                <w:rFonts w:ascii="Times New Roman" w:hAnsi="Times New Roman"/>
                <w:sz w:val="20"/>
                <w:szCs w:val="20"/>
                <w:lang w:eastAsia="ru-RU"/>
              </w:rPr>
              <w:t> </w:t>
            </w:r>
            <w:r w:rsidRPr="00A071F0">
              <w:rPr>
                <w:rFonts w:ascii="Times New Roman" w:hAnsi="Times New Roman"/>
                <w:sz w:val="20"/>
                <w:szCs w:val="20"/>
                <w:lang w:eastAsia="ru-RU"/>
              </w:rPr>
              <w:t>планом функционирования в</w:t>
            </w:r>
            <w:r>
              <w:rPr>
                <w:rFonts w:ascii="Times New Roman" w:hAnsi="Times New Roman"/>
                <w:sz w:val="20"/>
                <w:szCs w:val="20"/>
                <w:lang w:eastAsia="ru-RU"/>
              </w:rPr>
              <w:t> </w:t>
            </w:r>
            <w:r w:rsidRPr="00A071F0">
              <w:rPr>
                <w:rFonts w:ascii="Times New Roman" w:hAnsi="Times New Roman"/>
                <w:sz w:val="20"/>
                <w:szCs w:val="20"/>
                <w:lang w:eastAsia="ru-RU"/>
              </w:rPr>
              <w:t>ЧС</w:t>
            </w:r>
            <w:r>
              <w:rPr>
                <w:rFonts w:ascii="Times New Roman" w:hAnsi="Times New Roman"/>
                <w:sz w:val="20"/>
                <w:szCs w:val="20"/>
                <w:lang w:eastAsia="ru-RU"/>
              </w:rPr>
              <w:t> </w:t>
            </w:r>
            <w:r w:rsidRPr="00A071F0">
              <w:rPr>
                <w:rFonts w:ascii="Times New Roman" w:hAnsi="Times New Roman"/>
                <w:sz w:val="20"/>
                <w:szCs w:val="20"/>
                <w:lang w:eastAsia="ru-RU"/>
              </w:rPr>
              <w:t>для потенциально опасных производств может вводиться ограничение по</w:t>
            </w:r>
            <w:r>
              <w:rPr>
                <w:rFonts w:ascii="Times New Roman" w:hAnsi="Times New Roman"/>
                <w:sz w:val="20"/>
                <w:szCs w:val="20"/>
                <w:lang w:eastAsia="ru-RU"/>
              </w:rPr>
              <w:t> </w:t>
            </w:r>
            <w:r w:rsidRPr="00A071F0">
              <w:rPr>
                <w:rFonts w:ascii="Times New Roman" w:hAnsi="Times New Roman"/>
                <w:sz w:val="20"/>
                <w:szCs w:val="20"/>
                <w:lang w:eastAsia="ru-RU"/>
              </w:rPr>
              <w:t>мощности производства (объёму выпуска продукции) или прекращаться их</w:t>
            </w:r>
            <w:r>
              <w:rPr>
                <w:rFonts w:ascii="Times New Roman" w:hAnsi="Times New Roman"/>
                <w:sz w:val="20"/>
                <w:szCs w:val="20"/>
                <w:lang w:eastAsia="ru-RU"/>
              </w:rPr>
              <w:t> </w:t>
            </w:r>
            <w:r w:rsidRPr="00A071F0">
              <w:rPr>
                <w:rFonts w:ascii="Times New Roman" w:hAnsi="Times New Roman"/>
                <w:sz w:val="20"/>
                <w:szCs w:val="20"/>
                <w:lang w:eastAsia="ru-RU"/>
              </w:rPr>
              <w:t>деятельность с</w:t>
            </w:r>
            <w:r>
              <w:rPr>
                <w:rFonts w:ascii="Times New Roman" w:hAnsi="Times New Roman"/>
                <w:sz w:val="20"/>
                <w:szCs w:val="20"/>
                <w:lang w:eastAsia="ru-RU"/>
              </w:rPr>
              <w:t> </w:t>
            </w:r>
            <w:r w:rsidRPr="00A071F0">
              <w:rPr>
                <w:rFonts w:ascii="Times New Roman" w:hAnsi="Times New Roman"/>
                <w:sz w:val="20"/>
                <w:szCs w:val="20"/>
                <w:lang w:eastAsia="ru-RU"/>
              </w:rPr>
              <w:t>целью защиты персонала, ценного оборудования, недопущения возникновения вторичных факторов поражения. Решение согласуется на</w:t>
            </w:r>
            <w:r>
              <w:rPr>
                <w:rFonts w:ascii="Times New Roman" w:hAnsi="Times New Roman"/>
                <w:sz w:val="20"/>
                <w:szCs w:val="20"/>
                <w:lang w:eastAsia="ru-RU"/>
              </w:rPr>
              <w:t> </w:t>
            </w:r>
            <w:r w:rsidRPr="00A071F0">
              <w:rPr>
                <w:rFonts w:ascii="Times New Roman" w:hAnsi="Times New Roman"/>
                <w:sz w:val="20"/>
                <w:szCs w:val="20"/>
                <w:lang w:eastAsia="ru-RU"/>
              </w:rPr>
              <w:t>местном и</w:t>
            </w:r>
            <w:r>
              <w:rPr>
                <w:rFonts w:ascii="Times New Roman" w:hAnsi="Times New Roman"/>
                <w:sz w:val="20"/>
                <w:szCs w:val="20"/>
                <w:lang w:eastAsia="ru-RU"/>
              </w:rPr>
              <w:t> </w:t>
            </w:r>
            <w:r w:rsidRPr="00A071F0">
              <w:rPr>
                <w:rFonts w:ascii="Times New Roman" w:hAnsi="Times New Roman"/>
                <w:sz w:val="20"/>
                <w:szCs w:val="20"/>
                <w:lang w:eastAsia="ru-RU"/>
              </w:rPr>
              <w:t xml:space="preserve">региональном уровнях. </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Определение карьеров выемки грунта, материалов для сооружения дамб</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Режимы 1, 2.</w:t>
            </w:r>
            <w:r w:rsidRPr="00A071F0">
              <w:rPr>
                <w:rFonts w:ascii="Times New Roman" w:hAnsi="Times New Roman"/>
                <w:sz w:val="20"/>
                <w:szCs w:val="20"/>
                <w:lang w:eastAsia="ru-RU"/>
              </w:rPr>
              <w:t xml:space="preserve"> Производится на</w:t>
            </w:r>
            <w:r>
              <w:rPr>
                <w:rFonts w:ascii="Times New Roman" w:hAnsi="Times New Roman"/>
                <w:sz w:val="20"/>
                <w:szCs w:val="20"/>
                <w:lang w:eastAsia="ru-RU"/>
              </w:rPr>
              <w:t> </w:t>
            </w:r>
            <w:r w:rsidRPr="00A071F0">
              <w:rPr>
                <w:rFonts w:ascii="Times New Roman" w:hAnsi="Times New Roman"/>
                <w:sz w:val="20"/>
                <w:szCs w:val="20"/>
                <w:lang w:eastAsia="ru-RU"/>
              </w:rPr>
              <w:t>основе инженерно-геологических изысканий и</w:t>
            </w:r>
            <w:r>
              <w:rPr>
                <w:rFonts w:ascii="Times New Roman" w:hAnsi="Times New Roman"/>
                <w:sz w:val="20"/>
                <w:szCs w:val="20"/>
                <w:lang w:eastAsia="ru-RU"/>
              </w:rPr>
              <w:t> </w:t>
            </w:r>
            <w:r w:rsidRPr="00A071F0">
              <w:rPr>
                <w:rFonts w:ascii="Times New Roman" w:hAnsi="Times New Roman"/>
                <w:sz w:val="20"/>
                <w:szCs w:val="20"/>
                <w:lang w:eastAsia="ru-RU"/>
              </w:rPr>
              <w:t>технико-экономического обоснования. Определение порядка разработки карьеров и</w:t>
            </w:r>
            <w:r>
              <w:rPr>
                <w:rFonts w:ascii="Times New Roman" w:hAnsi="Times New Roman"/>
                <w:sz w:val="20"/>
                <w:szCs w:val="20"/>
                <w:lang w:eastAsia="ru-RU"/>
              </w:rPr>
              <w:t> </w:t>
            </w:r>
            <w:r w:rsidRPr="00A071F0">
              <w:rPr>
                <w:rFonts w:ascii="Times New Roman" w:hAnsi="Times New Roman"/>
                <w:sz w:val="20"/>
                <w:szCs w:val="20"/>
                <w:lang w:eastAsia="ru-RU"/>
              </w:rPr>
              <w:t>порядка доставки к</w:t>
            </w:r>
            <w:r>
              <w:rPr>
                <w:rFonts w:ascii="Times New Roman" w:hAnsi="Times New Roman"/>
                <w:sz w:val="20"/>
                <w:szCs w:val="20"/>
                <w:lang w:eastAsia="ru-RU"/>
              </w:rPr>
              <w:t> </w:t>
            </w:r>
            <w:r w:rsidRPr="00A071F0">
              <w:rPr>
                <w:rFonts w:ascii="Times New Roman" w:hAnsi="Times New Roman"/>
                <w:sz w:val="20"/>
                <w:szCs w:val="20"/>
                <w:lang w:eastAsia="ru-RU"/>
              </w:rPr>
              <w:t>местам производства работ. Проведение расчетов по</w:t>
            </w:r>
            <w:r>
              <w:rPr>
                <w:rFonts w:ascii="Times New Roman" w:hAnsi="Times New Roman"/>
                <w:sz w:val="20"/>
                <w:szCs w:val="20"/>
                <w:lang w:eastAsia="ru-RU"/>
              </w:rPr>
              <w:t> </w:t>
            </w:r>
            <w:r w:rsidRPr="00A071F0">
              <w:rPr>
                <w:rFonts w:ascii="Times New Roman" w:hAnsi="Times New Roman"/>
                <w:sz w:val="20"/>
                <w:szCs w:val="20"/>
                <w:lang w:eastAsia="ru-RU"/>
              </w:rPr>
              <w:t>определению объёмов выемки. Определение сроков доставки.</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Предотвращение смыва ГСМ, удобрений и</w:t>
            </w:r>
            <w:r>
              <w:rPr>
                <w:rFonts w:ascii="Times New Roman" w:hAnsi="Times New Roman"/>
                <w:b/>
                <w:sz w:val="20"/>
                <w:szCs w:val="20"/>
                <w:lang w:eastAsia="ru-RU"/>
              </w:rPr>
              <w:t> </w:t>
            </w:r>
            <w:r w:rsidRPr="00A071F0">
              <w:rPr>
                <w:rFonts w:ascii="Times New Roman" w:hAnsi="Times New Roman"/>
                <w:b/>
                <w:sz w:val="20"/>
                <w:szCs w:val="20"/>
                <w:lang w:eastAsia="ru-RU"/>
              </w:rPr>
              <w:t>других загрязнений</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Режимы 2, 3.</w:t>
            </w:r>
            <w:r w:rsidRPr="00A071F0">
              <w:rPr>
                <w:rFonts w:ascii="Times New Roman" w:hAnsi="Times New Roman"/>
                <w:sz w:val="20"/>
                <w:szCs w:val="20"/>
                <w:lang w:eastAsia="ru-RU"/>
              </w:rPr>
              <w:t xml:space="preserve"> Зачистка территории, обвалование ёмкостей хранения ГСМ. Перемещение сыпучих материалов на</w:t>
            </w:r>
            <w:r>
              <w:rPr>
                <w:rFonts w:ascii="Times New Roman" w:hAnsi="Times New Roman"/>
                <w:sz w:val="20"/>
                <w:szCs w:val="20"/>
                <w:lang w:eastAsia="ru-RU"/>
              </w:rPr>
              <w:t> </w:t>
            </w:r>
            <w:r w:rsidRPr="00A071F0">
              <w:rPr>
                <w:rFonts w:ascii="Times New Roman" w:hAnsi="Times New Roman"/>
                <w:sz w:val="20"/>
                <w:szCs w:val="20"/>
                <w:lang w:eastAsia="ru-RU"/>
              </w:rPr>
              <w:t>незатапливаемую территорию. Снижение запасов хранимых материалов в</w:t>
            </w:r>
            <w:r>
              <w:rPr>
                <w:rFonts w:ascii="Times New Roman" w:hAnsi="Times New Roman"/>
                <w:sz w:val="20"/>
                <w:szCs w:val="20"/>
                <w:lang w:eastAsia="ru-RU"/>
              </w:rPr>
              <w:t> </w:t>
            </w:r>
            <w:r w:rsidRPr="00A071F0">
              <w:rPr>
                <w:rFonts w:ascii="Times New Roman" w:hAnsi="Times New Roman"/>
                <w:sz w:val="20"/>
                <w:szCs w:val="20"/>
                <w:lang w:eastAsia="ru-RU"/>
              </w:rPr>
              <w:t>угрожаемый период. Применение сорбирующих материалов на</w:t>
            </w:r>
            <w:r>
              <w:rPr>
                <w:rFonts w:ascii="Times New Roman" w:hAnsi="Times New Roman"/>
                <w:sz w:val="20"/>
                <w:szCs w:val="20"/>
                <w:lang w:eastAsia="ru-RU"/>
              </w:rPr>
              <w:t> </w:t>
            </w:r>
            <w:r w:rsidRPr="00A071F0">
              <w:rPr>
                <w:rFonts w:ascii="Times New Roman" w:hAnsi="Times New Roman"/>
                <w:sz w:val="20"/>
                <w:szCs w:val="20"/>
                <w:lang w:eastAsia="ru-RU"/>
              </w:rPr>
              <w:t>площадках хранения детергентов. Контроль за</w:t>
            </w:r>
            <w:r>
              <w:rPr>
                <w:rFonts w:ascii="Times New Roman" w:hAnsi="Times New Roman"/>
                <w:sz w:val="20"/>
                <w:szCs w:val="20"/>
                <w:lang w:eastAsia="ru-RU"/>
              </w:rPr>
              <w:t> </w:t>
            </w:r>
            <w:r w:rsidRPr="00A071F0">
              <w:rPr>
                <w:rFonts w:ascii="Times New Roman" w:hAnsi="Times New Roman"/>
                <w:sz w:val="20"/>
                <w:szCs w:val="20"/>
                <w:lang w:eastAsia="ru-RU"/>
              </w:rPr>
              <w:t>состоянием систем отвода производственных стоков, очистными сооружениями, полями фильтрации, орошения, снижение нагрузки на</w:t>
            </w:r>
            <w:r>
              <w:rPr>
                <w:rFonts w:ascii="Times New Roman" w:hAnsi="Times New Roman"/>
                <w:sz w:val="20"/>
                <w:szCs w:val="20"/>
                <w:lang w:eastAsia="ru-RU"/>
              </w:rPr>
              <w:t> </w:t>
            </w:r>
            <w:r w:rsidRPr="00A071F0">
              <w:rPr>
                <w:rFonts w:ascii="Times New Roman" w:hAnsi="Times New Roman"/>
                <w:sz w:val="20"/>
                <w:szCs w:val="20"/>
                <w:lang w:eastAsia="ru-RU"/>
              </w:rPr>
              <w:t xml:space="preserve">низкорасположенные площадки утилизации отходов. </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Защита сельхозугодий, кормов</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Режимы 2, 3.</w:t>
            </w:r>
            <w:r w:rsidRPr="00A071F0">
              <w:rPr>
                <w:rFonts w:ascii="Times New Roman" w:hAnsi="Times New Roman"/>
                <w:sz w:val="20"/>
                <w:szCs w:val="20"/>
                <w:lang w:eastAsia="ru-RU"/>
              </w:rPr>
              <w:t xml:space="preserve"> Производится в</w:t>
            </w:r>
            <w:r>
              <w:rPr>
                <w:rFonts w:ascii="Times New Roman" w:hAnsi="Times New Roman"/>
                <w:sz w:val="20"/>
                <w:szCs w:val="20"/>
                <w:lang w:eastAsia="ru-RU"/>
              </w:rPr>
              <w:t> </w:t>
            </w:r>
            <w:r w:rsidRPr="00A071F0">
              <w:rPr>
                <w:rFonts w:ascii="Times New Roman" w:hAnsi="Times New Roman"/>
                <w:sz w:val="20"/>
                <w:szCs w:val="20"/>
                <w:lang w:eastAsia="ru-RU"/>
              </w:rPr>
              <w:t>основном за</w:t>
            </w:r>
            <w:r>
              <w:rPr>
                <w:rFonts w:ascii="Times New Roman" w:hAnsi="Times New Roman"/>
                <w:sz w:val="20"/>
                <w:szCs w:val="20"/>
                <w:lang w:eastAsia="ru-RU"/>
              </w:rPr>
              <w:t> </w:t>
            </w:r>
            <w:r w:rsidRPr="00A071F0">
              <w:rPr>
                <w:rFonts w:ascii="Times New Roman" w:hAnsi="Times New Roman"/>
                <w:sz w:val="20"/>
                <w:szCs w:val="20"/>
                <w:lang w:eastAsia="ru-RU"/>
              </w:rPr>
              <w:t>счёт обвалований, сооружения дамб, а</w:t>
            </w:r>
            <w:r>
              <w:rPr>
                <w:rFonts w:ascii="Times New Roman" w:hAnsi="Times New Roman"/>
                <w:sz w:val="20"/>
                <w:szCs w:val="20"/>
                <w:lang w:eastAsia="ru-RU"/>
              </w:rPr>
              <w:t> </w:t>
            </w:r>
            <w:r w:rsidRPr="00A071F0">
              <w:rPr>
                <w:rFonts w:ascii="Times New Roman" w:hAnsi="Times New Roman"/>
                <w:sz w:val="20"/>
                <w:szCs w:val="20"/>
                <w:lang w:eastAsia="ru-RU"/>
              </w:rPr>
              <w:t>также мер, применяемых при защите объектов. Перемещение хранимых запасов кормов на</w:t>
            </w:r>
            <w:r>
              <w:rPr>
                <w:rFonts w:ascii="Times New Roman" w:hAnsi="Times New Roman"/>
                <w:sz w:val="20"/>
                <w:szCs w:val="20"/>
                <w:lang w:eastAsia="ru-RU"/>
              </w:rPr>
              <w:t> </w:t>
            </w:r>
            <w:r w:rsidRPr="00A071F0">
              <w:rPr>
                <w:rFonts w:ascii="Times New Roman" w:hAnsi="Times New Roman"/>
                <w:sz w:val="20"/>
                <w:szCs w:val="20"/>
                <w:lang w:eastAsia="ru-RU"/>
              </w:rPr>
              <w:t>незатапливаемую территорию. Определение номенклатуры и</w:t>
            </w:r>
            <w:r>
              <w:rPr>
                <w:rFonts w:ascii="Times New Roman" w:hAnsi="Times New Roman"/>
                <w:sz w:val="20"/>
                <w:szCs w:val="20"/>
                <w:lang w:eastAsia="ru-RU"/>
              </w:rPr>
              <w:t> </w:t>
            </w:r>
            <w:r w:rsidRPr="00A071F0">
              <w:rPr>
                <w:rFonts w:ascii="Times New Roman" w:hAnsi="Times New Roman"/>
                <w:sz w:val="20"/>
                <w:szCs w:val="20"/>
                <w:lang w:eastAsia="ru-RU"/>
              </w:rPr>
              <w:t>объёмов перемещаемых запасов. Транспортное обеспечение.</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Охрана общественного порядка в</w:t>
            </w:r>
            <w:r>
              <w:rPr>
                <w:rFonts w:ascii="Times New Roman" w:hAnsi="Times New Roman"/>
                <w:b/>
                <w:sz w:val="20"/>
                <w:szCs w:val="20"/>
                <w:lang w:eastAsia="ru-RU"/>
              </w:rPr>
              <w:t> </w:t>
            </w:r>
            <w:r w:rsidRPr="00A071F0">
              <w:rPr>
                <w:rFonts w:ascii="Times New Roman" w:hAnsi="Times New Roman"/>
                <w:b/>
                <w:sz w:val="20"/>
                <w:szCs w:val="20"/>
                <w:lang w:eastAsia="ru-RU"/>
              </w:rPr>
              <w:t>период и</w:t>
            </w:r>
            <w:r>
              <w:rPr>
                <w:rFonts w:ascii="Times New Roman" w:hAnsi="Times New Roman"/>
                <w:b/>
                <w:sz w:val="20"/>
                <w:szCs w:val="20"/>
                <w:lang w:eastAsia="ru-RU"/>
              </w:rPr>
              <w:t> </w:t>
            </w:r>
            <w:r w:rsidRPr="00A071F0">
              <w:rPr>
                <w:rFonts w:ascii="Times New Roman" w:hAnsi="Times New Roman"/>
                <w:b/>
                <w:sz w:val="20"/>
                <w:szCs w:val="20"/>
                <w:lang w:eastAsia="ru-RU"/>
              </w:rPr>
              <w:t>местах проведения эвакуации</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 3.</w:t>
            </w:r>
            <w:r w:rsidRPr="00A071F0">
              <w:rPr>
                <w:rFonts w:ascii="Times New Roman" w:hAnsi="Times New Roman"/>
                <w:sz w:val="20"/>
                <w:szCs w:val="20"/>
                <w:lang w:eastAsia="ru-RU"/>
              </w:rPr>
              <w:t xml:space="preserve"> Организуется силами территориальных органов управления МВД, милиции и</w:t>
            </w:r>
            <w:r>
              <w:rPr>
                <w:rFonts w:ascii="Times New Roman" w:hAnsi="Times New Roman"/>
                <w:sz w:val="20"/>
                <w:szCs w:val="20"/>
                <w:lang w:eastAsia="ru-RU"/>
              </w:rPr>
              <w:t> </w:t>
            </w:r>
            <w:r w:rsidRPr="00A071F0">
              <w:rPr>
                <w:rFonts w:ascii="Times New Roman" w:hAnsi="Times New Roman"/>
                <w:sz w:val="20"/>
                <w:szCs w:val="20"/>
                <w:lang w:eastAsia="ru-RU"/>
              </w:rPr>
              <w:t>правопорядка, невоенизированными формированиями по</w:t>
            </w:r>
            <w:r>
              <w:rPr>
                <w:rFonts w:ascii="Times New Roman" w:hAnsi="Times New Roman"/>
                <w:sz w:val="20"/>
                <w:szCs w:val="20"/>
                <w:lang w:eastAsia="ru-RU"/>
              </w:rPr>
              <w:t> </w:t>
            </w:r>
            <w:r w:rsidRPr="00A071F0">
              <w:rPr>
                <w:rFonts w:ascii="Times New Roman" w:hAnsi="Times New Roman"/>
                <w:sz w:val="20"/>
                <w:szCs w:val="20"/>
                <w:lang w:eastAsia="ru-RU"/>
              </w:rPr>
              <w:t>охране общественного порядка. Могут привлекаться воинские формирования, задействованные в</w:t>
            </w:r>
            <w:r>
              <w:rPr>
                <w:rFonts w:ascii="Times New Roman" w:hAnsi="Times New Roman"/>
                <w:sz w:val="20"/>
                <w:szCs w:val="20"/>
                <w:lang w:eastAsia="ru-RU"/>
              </w:rPr>
              <w:t> </w:t>
            </w:r>
            <w:r w:rsidRPr="00A071F0">
              <w:rPr>
                <w:rFonts w:ascii="Times New Roman" w:hAnsi="Times New Roman"/>
                <w:sz w:val="20"/>
                <w:szCs w:val="20"/>
                <w:lang w:eastAsia="ru-RU"/>
              </w:rPr>
              <w:t>ликвидации ЧС.</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Защита низководных мостов</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 xml:space="preserve">Режим 2. </w:t>
            </w:r>
            <w:r w:rsidRPr="00A071F0">
              <w:rPr>
                <w:rFonts w:ascii="Times New Roman" w:hAnsi="Times New Roman"/>
                <w:sz w:val="20"/>
                <w:szCs w:val="20"/>
                <w:lang w:eastAsia="ru-RU"/>
              </w:rPr>
              <w:t>Обследование состояния, укрепление конструкций из</w:t>
            </w:r>
            <w:r>
              <w:rPr>
                <w:rFonts w:ascii="Times New Roman" w:hAnsi="Times New Roman"/>
                <w:sz w:val="20"/>
                <w:szCs w:val="20"/>
                <w:lang w:eastAsia="ru-RU"/>
              </w:rPr>
              <w:t> </w:t>
            </w:r>
            <w:r w:rsidRPr="00A071F0">
              <w:rPr>
                <w:rFonts w:ascii="Times New Roman" w:hAnsi="Times New Roman"/>
                <w:sz w:val="20"/>
                <w:szCs w:val="20"/>
                <w:lang w:eastAsia="ru-RU"/>
              </w:rPr>
              <w:t>соображений рациональности решения и</w:t>
            </w:r>
            <w:r>
              <w:rPr>
                <w:rFonts w:ascii="Times New Roman" w:hAnsi="Times New Roman"/>
                <w:sz w:val="20"/>
                <w:szCs w:val="20"/>
                <w:lang w:eastAsia="ru-RU"/>
              </w:rPr>
              <w:t> </w:t>
            </w:r>
            <w:r w:rsidRPr="00A071F0">
              <w:rPr>
                <w:rFonts w:ascii="Times New Roman" w:hAnsi="Times New Roman"/>
                <w:sz w:val="20"/>
                <w:szCs w:val="20"/>
                <w:lang w:eastAsia="ru-RU"/>
              </w:rPr>
              <w:t>места в</w:t>
            </w:r>
            <w:r>
              <w:rPr>
                <w:rFonts w:ascii="Times New Roman" w:hAnsi="Times New Roman"/>
                <w:sz w:val="20"/>
                <w:szCs w:val="20"/>
                <w:lang w:eastAsia="ru-RU"/>
              </w:rPr>
              <w:t> </w:t>
            </w:r>
            <w:r w:rsidRPr="00A071F0">
              <w:rPr>
                <w:rFonts w:ascii="Times New Roman" w:hAnsi="Times New Roman"/>
                <w:sz w:val="20"/>
                <w:szCs w:val="20"/>
                <w:lang w:eastAsia="ru-RU"/>
              </w:rPr>
              <w:t>транспортной схеме. Применение отбойников, ледорезов, искусственного нагружения. Анкерное крепление</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Обеспечение продовольствия и</w:t>
            </w:r>
            <w:r>
              <w:rPr>
                <w:rFonts w:ascii="Times New Roman" w:hAnsi="Times New Roman"/>
                <w:b/>
                <w:sz w:val="20"/>
                <w:szCs w:val="20"/>
                <w:lang w:eastAsia="ru-RU"/>
              </w:rPr>
              <w:t> </w:t>
            </w:r>
            <w:r w:rsidRPr="00A071F0">
              <w:rPr>
                <w:rFonts w:ascii="Times New Roman" w:hAnsi="Times New Roman"/>
                <w:b/>
                <w:sz w:val="20"/>
                <w:szCs w:val="20"/>
                <w:lang w:eastAsia="ru-RU"/>
              </w:rPr>
              <w:t>предметами первой необходимости</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Режимы 2, 3.</w:t>
            </w:r>
            <w:r w:rsidRPr="00A071F0">
              <w:rPr>
                <w:rFonts w:ascii="Times New Roman" w:hAnsi="Times New Roman"/>
                <w:sz w:val="20"/>
                <w:szCs w:val="20"/>
                <w:lang w:eastAsia="ru-RU"/>
              </w:rPr>
              <w:t xml:space="preserve"> Применение мобильных формирований первичного жизнеобеспечения и</w:t>
            </w:r>
            <w:r>
              <w:rPr>
                <w:rFonts w:ascii="Times New Roman" w:hAnsi="Times New Roman"/>
                <w:sz w:val="20"/>
                <w:szCs w:val="20"/>
                <w:lang w:eastAsia="ru-RU"/>
              </w:rPr>
              <w:t> </w:t>
            </w:r>
            <w:r w:rsidRPr="00A071F0">
              <w:rPr>
                <w:rFonts w:ascii="Times New Roman" w:hAnsi="Times New Roman"/>
                <w:sz w:val="20"/>
                <w:szCs w:val="20"/>
                <w:lang w:eastAsia="ru-RU"/>
              </w:rPr>
              <w:t>мобильных комплексов первичного жизнеобеспечения. Завоз продовольствия и</w:t>
            </w:r>
            <w:r>
              <w:rPr>
                <w:rFonts w:ascii="Times New Roman" w:hAnsi="Times New Roman"/>
                <w:sz w:val="20"/>
                <w:szCs w:val="20"/>
                <w:lang w:eastAsia="ru-RU"/>
              </w:rPr>
              <w:t> </w:t>
            </w:r>
            <w:r w:rsidRPr="00A071F0">
              <w:rPr>
                <w:rFonts w:ascii="Times New Roman" w:hAnsi="Times New Roman"/>
                <w:sz w:val="20"/>
                <w:szCs w:val="20"/>
                <w:lang w:eastAsia="ru-RU"/>
              </w:rPr>
              <w:t>предметов первой необходимости, гуманитарной помощи с</w:t>
            </w:r>
            <w:r>
              <w:rPr>
                <w:rFonts w:ascii="Times New Roman" w:hAnsi="Times New Roman"/>
                <w:sz w:val="20"/>
                <w:szCs w:val="20"/>
                <w:lang w:eastAsia="ru-RU"/>
              </w:rPr>
              <w:t> </w:t>
            </w:r>
            <w:r w:rsidRPr="00A071F0">
              <w:rPr>
                <w:rFonts w:ascii="Times New Roman" w:hAnsi="Times New Roman"/>
                <w:sz w:val="20"/>
                <w:szCs w:val="20"/>
                <w:lang w:eastAsia="ru-RU"/>
              </w:rPr>
              <w:t>применением авиации и</w:t>
            </w:r>
            <w:r>
              <w:rPr>
                <w:rFonts w:ascii="Times New Roman" w:hAnsi="Times New Roman"/>
                <w:sz w:val="20"/>
                <w:szCs w:val="20"/>
                <w:lang w:eastAsia="ru-RU"/>
              </w:rPr>
              <w:t> </w:t>
            </w:r>
            <w:r w:rsidRPr="00A071F0">
              <w:rPr>
                <w:rFonts w:ascii="Times New Roman" w:hAnsi="Times New Roman"/>
                <w:sz w:val="20"/>
                <w:szCs w:val="20"/>
                <w:lang w:eastAsia="ru-RU"/>
              </w:rPr>
              <w:t>судов маломерного флота при невозможности доставки автомобильным транспортом. Оборудование площадок разгрузки и</w:t>
            </w:r>
            <w:r>
              <w:rPr>
                <w:rFonts w:ascii="Times New Roman" w:hAnsi="Times New Roman"/>
                <w:sz w:val="20"/>
                <w:szCs w:val="20"/>
                <w:lang w:eastAsia="ru-RU"/>
              </w:rPr>
              <w:t> </w:t>
            </w:r>
            <w:r w:rsidRPr="00A071F0">
              <w:rPr>
                <w:rFonts w:ascii="Times New Roman" w:hAnsi="Times New Roman"/>
                <w:sz w:val="20"/>
                <w:szCs w:val="20"/>
                <w:lang w:eastAsia="ru-RU"/>
              </w:rPr>
              <w:t>хранения. Создание запасов в</w:t>
            </w:r>
            <w:r>
              <w:rPr>
                <w:rFonts w:ascii="Times New Roman" w:hAnsi="Times New Roman"/>
                <w:sz w:val="20"/>
                <w:szCs w:val="20"/>
                <w:lang w:eastAsia="ru-RU"/>
              </w:rPr>
              <w:t> </w:t>
            </w:r>
            <w:r w:rsidRPr="00A071F0">
              <w:rPr>
                <w:rFonts w:ascii="Times New Roman" w:hAnsi="Times New Roman"/>
                <w:sz w:val="20"/>
                <w:szCs w:val="20"/>
                <w:lang w:eastAsia="ru-RU"/>
              </w:rPr>
              <w:t>угрожаемый период. Обеспечение охраны и</w:t>
            </w:r>
            <w:r>
              <w:rPr>
                <w:rFonts w:ascii="Times New Roman" w:hAnsi="Times New Roman"/>
                <w:sz w:val="20"/>
                <w:szCs w:val="20"/>
                <w:lang w:eastAsia="ru-RU"/>
              </w:rPr>
              <w:t> </w:t>
            </w:r>
            <w:r w:rsidRPr="00A071F0">
              <w:rPr>
                <w:rFonts w:ascii="Times New Roman" w:hAnsi="Times New Roman"/>
                <w:sz w:val="20"/>
                <w:szCs w:val="20"/>
                <w:lang w:eastAsia="ru-RU"/>
              </w:rPr>
              <w:t>сохранности. Организация распределения.</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Временное отселение населения в</w:t>
            </w:r>
            <w:r>
              <w:rPr>
                <w:rFonts w:ascii="Times New Roman" w:hAnsi="Times New Roman"/>
                <w:b/>
                <w:sz w:val="20"/>
                <w:szCs w:val="20"/>
                <w:lang w:eastAsia="ru-RU"/>
              </w:rPr>
              <w:t> </w:t>
            </w:r>
            <w:r w:rsidRPr="00A071F0">
              <w:rPr>
                <w:rFonts w:ascii="Times New Roman" w:hAnsi="Times New Roman"/>
                <w:b/>
                <w:sz w:val="20"/>
                <w:szCs w:val="20"/>
                <w:lang w:eastAsia="ru-RU"/>
              </w:rPr>
              <w:t>безопасные места</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Режимы 2, 3.</w:t>
            </w:r>
            <w:r w:rsidRPr="00A071F0">
              <w:rPr>
                <w:rFonts w:ascii="Times New Roman" w:hAnsi="Times New Roman"/>
                <w:sz w:val="20"/>
                <w:szCs w:val="20"/>
                <w:lang w:eastAsia="ru-RU"/>
              </w:rPr>
              <w:t xml:space="preserve"> Подготовка мест временного отселения (пансионаты, школы, клубы и</w:t>
            </w:r>
            <w:r>
              <w:rPr>
                <w:rFonts w:ascii="Times New Roman" w:hAnsi="Times New Roman"/>
                <w:sz w:val="20"/>
                <w:szCs w:val="20"/>
                <w:lang w:eastAsia="ru-RU"/>
              </w:rPr>
              <w:t> </w:t>
            </w:r>
            <w:r w:rsidRPr="00A071F0">
              <w:rPr>
                <w:rFonts w:ascii="Times New Roman" w:hAnsi="Times New Roman"/>
                <w:sz w:val="20"/>
                <w:szCs w:val="20"/>
                <w:lang w:eastAsia="ru-RU"/>
              </w:rPr>
              <w:t>т.п.). Транспортное обеспечение. Обеспечение охраны в</w:t>
            </w:r>
            <w:r>
              <w:rPr>
                <w:rFonts w:ascii="Times New Roman" w:hAnsi="Times New Roman"/>
                <w:sz w:val="20"/>
                <w:szCs w:val="20"/>
                <w:lang w:eastAsia="ru-RU"/>
              </w:rPr>
              <w:t> </w:t>
            </w:r>
            <w:r w:rsidRPr="00A071F0">
              <w:rPr>
                <w:rFonts w:ascii="Times New Roman" w:hAnsi="Times New Roman"/>
                <w:sz w:val="20"/>
                <w:szCs w:val="20"/>
                <w:lang w:eastAsia="ru-RU"/>
              </w:rPr>
              <w:t>отселённых пунктах. Предоставление услуг жизнеобеспечения по</w:t>
            </w:r>
            <w:r>
              <w:rPr>
                <w:rFonts w:ascii="Times New Roman" w:hAnsi="Times New Roman"/>
                <w:sz w:val="20"/>
                <w:szCs w:val="20"/>
                <w:lang w:eastAsia="ru-RU"/>
              </w:rPr>
              <w:t> </w:t>
            </w:r>
            <w:r w:rsidRPr="00A071F0">
              <w:rPr>
                <w:rFonts w:ascii="Times New Roman" w:hAnsi="Times New Roman"/>
                <w:sz w:val="20"/>
                <w:szCs w:val="20"/>
                <w:lang w:eastAsia="ru-RU"/>
              </w:rPr>
              <w:t>месту отселения. Организация связи (почтовой, телеграфной, телефонной, радиорелейной) в</w:t>
            </w:r>
            <w:r>
              <w:rPr>
                <w:rFonts w:ascii="Times New Roman" w:hAnsi="Times New Roman"/>
                <w:sz w:val="20"/>
                <w:szCs w:val="20"/>
                <w:lang w:eastAsia="ru-RU"/>
              </w:rPr>
              <w:t> </w:t>
            </w:r>
            <w:r w:rsidRPr="00A071F0">
              <w:rPr>
                <w:rFonts w:ascii="Times New Roman" w:hAnsi="Times New Roman"/>
                <w:sz w:val="20"/>
                <w:szCs w:val="20"/>
                <w:lang w:eastAsia="ru-RU"/>
              </w:rPr>
              <w:t>местах отселения. Организация службы регистрации перемещаемого населения.</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Вывод, вывоз, перегон сельскохозяйственных животных в</w:t>
            </w:r>
            <w:r>
              <w:rPr>
                <w:rFonts w:ascii="Times New Roman" w:hAnsi="Times New Roman"/>
                <w:b/>
                <w:sz w:val="20"/>
                <w:szCs w:val="20"/>
                <w:lang w:eastAsia="ru-RU"/>
              </w:rPr>
              <w:t> </w:t>
            </w:r>
            <w:r w:rsidRPr="00A071F0">
              <w:rPr>
                <w:rFonts w:ascii="Times New Roman" w:hAnsi="Times New Roman"/>
                <w:b/>
                <w:sz w:val="20"/>
                <w:szCs w:val="20"/>
                <w:lang w:eastAsia="ru-RU"/>
              </w:rPr>
              <w:t>безопасные места</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Режимы 2, 3.</w:t>
            </w:r>
            <w:r w:rsidRPr="00A071F0">
              <w:rPr>
                <w:rFonts w:ascii="Times New Roman" w:hAnsi="Times New Roman"/>
                <w:sz w:val="20"/>
                <w:szCs w:val="20"/>
                <w:lang w:eastAsia="ru-RU"/>
              </w:rPr>
              <w:t xml:space="preserve"> Определение безопасных мест размещения животных. Транспортное обеспечение в</w:t>
            </w:r>
            <w:r>
              <w:rPr>
                <w:rFonts w:ascii="Times New Roman" w:hAnsi="Times New Roman"/>
                <w:sz w:val="20"/>
                <w:szCs w:val="20"/>
                <w:lang w:eastAsia="ru-RU"/>
              </w:rPr>
              <w:t> </w:t>
            </w:r>
            <w:r w:rsidRPr="00A071F0">
              <w:rPr>
                <w:rFonts w:ascii="Times New Roman" w:hAnsi="Times New Roman"/>
                <w:sz w:val="20"/>
                <w:szCs w:val="20"/>
                <w:lang w:eastAsia="ru-RU"/>
              </w:rPr>
              <w:t>случае необходимости. Обеспечение кормами. Обеспечение охраны. Обеспечение сбора и</w:t>
            </w:r>
            <w:r>
              <w:rPr>
                <w:rFonts w:ascii="Times New Roman" w:hAnsi="Times New Roman"/>
                <w:sz w:val="20"/>
                <w:szCs w:val="20"/>
                <w:lang w:eastAsia="ru-RU"/>
              </w:rPr>
              <w:t> </w:t>
            </w:r>
            <w:r w:rsidRPr="00A071F0">
              <w:rPr>
                <w:rFonts w:ascii="Times New Roman" w:hAnsi="Times New Roman"/>
                <w:sz w:val="20"/>
                <w:szCs w:val="20"/>
                <w:lang w:eastAsia="ru-RU"/>
              </w:rPr>
              <w:t>транспортировки к</w:t>
            </w:r>
            <w:r>
              <w:rPr>
                <w:rFonts w:ascii="Times New Roman" w:hAnsi="Times New Roman"/>
                <w:sz w:val="20"/>
                <w:szCs w:val="20"/>
                <w:lang w:eastAsia="ru-RU"/>
              </w:rPr>
              <w:t> </w:t>
            </w:r>
            <w:r w:rsidRPr="00A071F0">
              <w:rPr>
                <w:rFonts w:ascii="Times New Roman" w:hAnsi="Times New Roman"/>
                <w:sz w:val="20"/>
                <w:szCs w:val="20"/>
                <w:lang w:eastAsia="ru-RU"/>
              </w:rPr>
              <w:t>местам потребления (переработки) сельхозпродукции (мясом, молока, яиц и</w:t>
            </w:r>
            <w:r>
              <w:rPr>
                <w:rFonts w:ascii="Times New Roman" w:hAnsi="Times New Roman"/>
                <w:sz w:val="20"/>
                <w:szCs w:val="20"/>
                <w:lang w:eastAsia="ru-RU"/>
              </w:rPr>
              <w:t> </w:t>
            </w:r>
            <w:r w:rsidRPr="00A071F0">
              <w:rPr>
                <w:rFonts w:ascii="Times New Roman" w:hAnsi="Times New Roman"/>
                <w:sz w:val="20"/>
                <w:szCs w:val="20"/>
                <w:lang w:eastAsia="ru-RU"/>
              </w:rPr>
              <w:t>т.п.).</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Подготовка вертолётных площадок</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Режимы 2, 3.</w:t>
            </w:r>
            <w:r w:rsidRPr="00A071F0">
              <w:rPr>
                <w:rFonts w:ascii="Times New Roman" w:hAnsi="Times New Roman"/>
                <w:sz w:val="20"/>
                <w:szCs w:val="20"/>
                <w:lang w:eastAsia="ru-RU"/>
              </w:rPr>
              <w:t xml:space="preserve"> Производится выбор и</w:t>
            </w:r>
            <w:r>
              <w:rPr>
                <w:rFonts w:ascii="Times New Roman" w:hAnsi="Times New Roman"/>
                <w:sz w:val="20"/>
                <w:szCs w:val="20"/>
                <w:lang w:eastAsia="ru-RU"/>
              </w:rPr>
              <w:t> </w:t>
            </w:r>
            <w:r w:rsidRPr="00A071F0">
              <w:rPr>
                <w:rFonts w:ascii="Times New Roman" w:hAnsi="Times New Roman"/>
                <w:sz w:val="20"/>
                <w:szCs w:val="20"/>
                <w:lang w:eastAsia="ru-RU"/>
              </w:rPr>
              <w:t>оборудование площадок с</w:t>
            </w:r>
            <w:r>
              <w:rPr>
                <w:rFonts w:ascii="Times New Roman" w:hAnsi="Times New Roman"/>
                <w:sz w:val="20"/>
                <w:szCs w:val="20"/>
                <w:lang w:eastAsia="ru-RU"/>
              </w:rPr>
              <w:t> </w:t>
            </w:r>
            <w:r w:rsidRPr="00A071F0">
              <w:rPr>
                <w:rFonts w:ascii="Times New Roman" w:hAnsi="Times New Roman"/>
                <w:sz w:val="20"/>
                <w:szCs w:val="20"/>
                <w:lang w:eastAsia="ru-RU"/>
              </w:rPr>
              <w:t>учётом удобства и</w:t>
            </w:r>
            <w:r>
              <w:rPr>
                <w:rFonts w:ascii="Times New Roman" w:hAnsi="Times New Roman"/>
                <w:sz w:val="20"/>
                <w:szCs w:val="20"/>
                <w:lang w:eastAsia="ru-RU"/>
              </w:rPr>
              <w:t> </w:t>
            </w:r>
            <w:r w:rsidRPr="00A071F0">
              <w:rPr>
                <w:rFonts w:ascii="Times New Roman" w:hAnsi="Times New Roman"/>
                <w:sz w:val="20"/>
                <w:szCs w:val="20"/>
                <w:lang w:eastAsia="ru-RU"/>
              </w:rPr>
              <w:t>безопасности дальнейшей транспортировки людей и</w:t>
            </w:r>
            <w:r>
              <w:rPr>
                <w:rFonts w:ascii="Times New Roman" w:hAnsi="Times New Roman"/>
                <w:sz w:val="20"/>
                <w:szCs w:val="20"/>
                <w:lang w:eastAsia="ru-RU"/>
              </w:rPr>
              <w:t> </w:t>
            </w:r>
            <w:r w:rsidRPr="00A071F0">
              <w:rPr>
                <w:rFonts w:ascii="Times New Roman" w:hAnsi="Times New Roman"/>
                <w:sz w:val="20"/>
                <w:szCs w:val="20"/>
                <w:lang w:eastAsia="ru-RU"/>
              </w:rPr>
              <w:t>грузов при условии гарантированной защиты площадок от</w:t>
            </w:r>
            <w:r>
              <w:rPr>
                <w:rFonts w:ascii="Times New Roman" w:hAnsi="Times New Roman"/>
                <w:sz w:val="20"/>
                <w:szCs w:val="20"/>
                <w:lang w:eastAsia="ru-RU"/>
              </w:rPr>
              <w:t> </w:t>
            </w:r>
            <w:r w:rsidRPr="00A071F0">
              <w:rPr>
                <w:rFonts w:ascii="Times New Roman" w:hAnsi="Times New Roman"/>
                <w:sz w:val="20"/>
                <w:szCs w:val="20"/>
                <w:lang w:eastAsia="ru-RU"/>
              </w:rPr>
              <w:t>затопления.</w:t>
            </w:r>
          </w:p>
        </w:tc>
      </w:tr>
      <w:tr w:rsidR="002D1E45" w:rsidRPr="00A071F0" w:rsidTr="001F6325">
        <w:trPr>
          <w:trHeight w:val="283"/>
          <w:jc w:val="center"/>
        </w:trPr>
        <w:tc>
          <w:tcPr>
            <w:tcW w:w="1469" w:type="pct"/>
          </w:tcPr>
          <w:p w:rsidR="002D1E45" w:rsidRPr="00A071F0" w:rsidRDefault="002D1E45" w:rsidP="00A071F0">
            <w:pPr>
              <w:spacing w:after="0" w:line="240" w:lineRule="auto"/>
              <w:rPr>
                <w:rFonts w:ascii="Times New Roman" w:hAnsi="Times New Roman"/>
                <w:b/>
                <w:sz w:val="20"/>
                <w:szCs w:val="20"/>
                <w:lang w:eastAsia="ru-RU"/>
              </w:rPr>
            </w:pPr>
            <w:r w:rsidRPr="00A071F0">
              <w:rPr>
                <w:rFonts w:ascii="Times New Roman" w:hAnsi="Times New Roman"/>
                <w:b/>
                <w:sz w:val="20"/>
                <w:szCs w:val="20"/>
                <w:lang w:eastAsia="ru-RU"/>
              </w:rPr>
              <w:t>Выделение финансовых средств для проведения мероприятий</w:t>
            </w:r>
          </w:p>
        </w:tc>
        <w:tc>
          <w:tcPr>
            <w:tcW w:w="3531" w:type="pct"/>
          </w:tcPr>
          <w:p w:rsidR="002D1E45" w:rsidRPr="00A071F0" w:rsidRDefault="002D1E45" w:rsidP="00A071F0">
            <w:pPr>
              <w:spacing w:after="0" w:line="240" w:lineRule="auto"/>
              <w:jc w:val="both"/>
              <w:rPr>
                <w:rFonts w:ascii="Times New Roman" w:hAnsi="Times New Roman"/>
                <w:sz w:val="20"/>
                <w:szCs w:val="20"/>
                <w:lang w:eastAsia="ru-RU"/>
              </w:rPr>
            </w:pPr>
            <w:r w:rsidRPr="00A071F0">
              <w:rPr>
                <w:rFonts w:ascii="Times New Roman" w:hAnsi="Times New Roman"/>
                <w:b/>
                <w:sz w:val="20"/>
                <w:szCs w:val="20"/>
                <w:lang w:eastAsia="ru-RU"/>
              </w:rPr>
              <w:t>Режимы 1, 2.</w:t>
            </w:r>
            <w:r w:rsidRPr="00A071F0">
              <w:rPr>
                <w:rFonts w:ascii="Times New Roman" w:hAnsi="Times New Roman"/>
                <w:sz w:val="20"/>
                <w:szCs w:val="20"/>
                <w:lang w:eastAsia="ru-RU"/>
              </w:rPr>
              <w:t xml:space="preserve"> Средства выделяются из</w:t>
            </w:r>
            <w:r>
              <w:rPr>
                <w:rFonts w:ascii="Times New Roman" w:hAnsi="Times New Roman"/>
                <w:sz w:val="20"/>
                <w:szCs w:val="20"/>
                <w:lang w:eastAsia="ru-RU"/>
              </w:rPr>
              <w:t> </w:t>
            </w:r>
            <w:r w:rsidRPr="00A071F0">
              <w:rPr>
                <w:rFonts w:ascii="Times New Roman" w:hAnsi="Times New Roman"/>
                <w:sz w:val="20"/>
                <w:szCs w:val="20"/>
                <w:lang w:eastAsia="ru-RU"/>
              </w:rPr>
              <w:t>федерального и</w:t>
            </w:r>
            <w:r>
              <w:rPr>
                <w:rFonts w:ascii="Times New Roman" w:hAnsi="Times New Roman"/>
                <w:sz w:val="20"/>
                <w:szCs w:val="20"/>
                <w:lang w:eastAsia="ru-RU"/>
              </w:rPr>
              <w:t> </w:t>
            </w:r>
            <w:r w:rsidRPr="00A071F0">
              <w:rPr>
                <w:rFonts w:ascii="Times New Roman" w:hAnsi="Times New Roman"/>
                <w:sz w:val="20"/>
                <w:szCs w:val="20"/>
                <w:lang w:eastAsia="ru-RU"/>
              </w:rPr>
              <w:t>местного бюджетов на</w:t>
            </w:r>
            <w:r>
              <w:rPr>
                <w:rFonts w:ascii="Times New Roman" w:hAnsi="Times New Roman"/>
                <w:sz w:val="20"/>
                <w:szCs w:val="20"/>
                <w:lang w:eastAsia="ru-RU"/>
              </w:rPr>
              <w:t> </w:t>
            </w:r>
            <w:r w:rsidRPr="00A071F0">
              <w:rPr>
                <w:rFonts w:ascii="Times New Roman" w:hAnsi="Times New Roman"/>
                <w:sz w:val="20"/>
                <w:szCs w:val="20"/>
                <w:lang w:eastAsia="ru-RU"/>
              </w:rPr>
              <w:t>основе технико-экономического обоснования и</w:t>
            </w:r>
            <w:r>
              <w:rPr>
                <w:rFonts w:ascii="Times New Roman" w:hAnsi="Times New Roman"/>
                <w:sz w:val="20"/>
                <w:szCs w:val="20"/>
                <w:lang w:eastAsia="ru-RU"/>
              </w:rPr>
              <w:t> </w:t>
            </w:r>
            <w:r w:rsidRPr="00A071F0">
              <w:rPr>
                <w:rFonts w:ascii="Times New Roman" w:hAnsi="Times New Roman"/>
                <w:sz w:val="20"/>
                <w:szCs w:val="20"/>
                <w:lang w:eastAsia="ru-RU"/>
              </w:rPr>
              <w:t>наличия проектно-технических решений. Финансирование мероприятий по</w:t>
            </w:r>
            <w:r>
              <w:rPr>
                <w:rFonts w:ascii="Times New Roman" w:hAnsi="Times New Roman"/>
                <w:sz w:val="20"/>
                <w:szCs w:val="20"/>
                <w:lang w:eastAsia="ru-RU"/>
              </w:rPr>
              <w:t> </w:t>
            </w:r>
            <w:r w:rsidRPr="00A071F0">
              <w:rPr>
                <w:rFonts w:ascii="Times New Roman" w:hAnsi="Times New Roman"/>
                <w:sz w:val="20"/>
                <w:szCs w:val="20"/>
                <w:lang w:eastAsia="ru-RU"/>
              </w:rPr>
              <w:t>защите объектов может осуществляться за</w:t>
            </w:r>
            <w:r>
              <w:rPr>
                <w:rFonts w:ascii="Times New Roman" w:hAnsi="Times New Roman"/>
                <w:sz w:val="20"/>
                <w:szCs w:val="20"/>
                <w:lang w:eastAsia="ru-RU"/>
              </w:rPr>
              <w:t> </w:t>
            </w:r>
            <w:r w:rsidRPr="00A071F0">
              <w:rPr>
                <w:rFonts w:ascii="Times New Roman" w:hAnsi="Times New Roman"/>
                <w:sz w:val="20"/>
                <w:szCs w:val="20"/>
                <w:lang w:eastAsia="ru-RU"/>
              </w:rPr>
              <w:t>счёт их</w:t>
            </w:r>
            <w:r>
              <w:rPr>
                <w:rFonts w:ascii="Times New Roman" w:hAnsi="Times New Roman"/>
                <w:sz w:val="20"/>
                <w:szCs w:val="20"/>
                <w:lang w:eastAsia="ru-RU"/>
              </w:rPr>
              <w:t> </w:t>
            </w:r>
            <w:r w:rsidRPr="00A071F0">
              <w:rPr>
                <w:rFonts w:ascii="Times New Roman" w:hAnsi="Times New Roman"/>
                <w:sz w:val="20"/>
                <w:szCs w:val="20"/>
                <w:lang w:eastAsia="ru-RU"/>
              </w:rPr>
              <w:t>собственников. Утверждение смет на</w:t>
            </w:r>
            <w:r>
              <w:rPr>
                <w:rFonts w:ascii="Times New Roman" w:hAnsi="Times New Roman"/>
                <w:sz w:val="20"/>
                <w:szCs w:val="20"/>
                <w:lang w:eastAsia="ru-RU"/>
              </w:rPr>
              <w:t> </w:t>
            </w:r>
            <w:r w:rsidRPr="00A071F0">
              <w:rPr>
                <w:rFonts w:ascii="Times New Roman" w:hAnsi="Times New Roman"/>
                <w:sz w:val="20"/>
                <w:szCs w:val="20"/>
                <w:lang w:eastAsia="ru-RU"/>
              </w:rPr>
              <w:t>реализацию защитных мероприятий и</w:t>
            </w:r>
            <w:r>
              <w:rPr>
                <w:rFonts w:ascii="Times New Roman" w:hAnsi="Times New Roman"/>
                <w:sz w:val="20"/>
                <w:szCs w:val="20"/>
                <w:lang w:eastAsia="ru-RU"/>
              </w:rPr>
              <w:t> </w:t>
            </w:r>
            <w:r w:rsidRPr="00A071F0">
              <w:rPr>
                <w:rFonts w:ascii="Times New Roman" w:hAnsi="Times New Roman"/>
                <w:sz w:val="20"/>
                <w:szCs w:val="20"/>
                <w:lang w:eastAsia="ru-RU"/>
              </w:rPr>
              <w:t>контроль за</w:t>
            </w:r>
            <w:r>
              <w:rPr>
                <w:rFonts w:ascii="Times New Roman" w:hAnsi="Times New Roman"/>
                <w:sz w:val="20"/>
                <w:szCs w:val="20"/>
                <w:lang w:eastAsia="ru-RU"/>
              </w:rPr>
              <w:t> </w:t>
            </w:r>
            <w:r w:rsidRPr="00A071F0">
              <w:rPr>
                <w:rFonts w:ascii="Times New Roman" w:hAnsi="Times New Roman"/>
                <w:sz w:val="20"/>
                <w:szCs w:val="20"/>
                <w:lang w:eastAsia="ru-RU"/>
              </w:rPr>
              <w:t>целевым расходованием средств.</w:t>
            </w:r>
          </w:p>
        </w:tc>
      </w:tr>
      <w:tr w:rsidR="002D1E45" w:rsidRPr="00A071F0" w:rsidTr="001F6325">
        <w:trPr>
          <w:trHeight w:val="283"/>
          <w:jc w:val="center"/>
        </w:trPr>
        <w:tc>
          <w:tcPr>
            <w:tcW w:w="5000" w:type="pct"/>
            <w:gridSpan w:val="2"/>
          </w:tcPr>
          <w:p w:rsidR="002D1E45" w:rsidRPr="00A071F0" w:rsidRDefault="002D1E45" w:rsidP="00A071F0">
            <w:pPr>
              <w:spacing w:after="0" w:line="240" w:lineRule="auto"/>
              <w:jc w:val="center"/>
              <w:rPr>
                <w:rFonts w:ascii="Times New Roman" w:hAnsi="Times New Roman"/>
                <w:b/>
                <w:sz w:val="20"/>
                <w:szCs w:val="20"/>
                <w:lang w:eastAsia="ru-RU"/>
              </w:rPr>
            </w:pPr>
            <w:r w:rsidRPr="00A071F0">
              <w:rPr>
                <w:rFonts w:ascii="Times New Roman" w:hAnsi="Times New Roman"/>
                <w:b/>
                <w:sz w:val="20"/>
                <w:szCs w:val="20"/>
                <w:lang w:eastAsia="ru-RU"/>
              </w:rPr>
              <w:t>Критические параметры (летальный исход для человека):</w:t>
            </w:r>
          </w:p>
        </w:tc>
      </w:tr>
      <w:tr w:rsidR="002D1E45" w:rsidRPr="00A071F0" w:rsidTr="001F6325">
        <w:trPr>
          <w:trHeight w:val="283"/>
          <w:jc w:val="center"/>
        </w:trPr>
        <w:tc>
          <w:tcPr>
            <w:tcW w:w="5000" w:type="pct"/>
            <w:gridSpan w:val="2"/>
          </w:tcPr>
          <w:p w:rsidR="002D1E45" w:rsidRPr="00A071F0" w:rsidRDefault="002D1E45" w:rsidP="00A071F0">
            <w:pPr>
              <w:spacing w:after="0" w:line="240" w:lineRule="auto"/>
              <w:rPr>
                <w:rFonts w:ascii="Times New Roman" w:hAnsi="Times New Roman"/>
                <w:sz w:val="20"/>
                <w:szCs w:val="20"/>
                <w:lang w:eastAsia="ru-RU"/>
              </w:rPr>
            </w:pPr>
            <w:r w:rsidRPr="00A071F0">
              <w:rPr>
                <w:rFonts w:ascii="Times New Roman" w:hAnsi="Times New Roman"/>
                <w:sz w:val="20"/>
                <w:szCs w:val="20"/>
                <w:lang w:eastAsia="ru-RU"/>
              </w:rPr>
              <w:t xml:space="preserve">Н=1,5 м (высота потока) – </w:t>
            </w:r>
            <w:r w:rsidRPr="00A071F0">
              <w:rPr>
                <w:rFonts w:ascii="Times New Roman" w:hAnsi="Times New Roman"/>
                <w:sz w:val="20"/>
                <w:szCs w:val="20"/>
                <w:lang w:val="en-US" w:eastAsia="ru-RU"/>
              </w:rPr>
              <w:t>V</w:t>
            </w:r>
            <w:r w:rsidRPr="00A071F0">
              <w:rPr>
                <w:rFonts w:ascii="Times New Roman" w:hAnsi="Times New Roman"/>
                <w:sz w:val="20"/>
                <w:szCs w:val="20"/>
                <w:lang w:eastAsia="ru-RU"/>
              </w:rPr>
              <w:t xml:space="preserve"> = 2,5 м/с (скорость потока)</w:t>
            </w:r>
          </w:p>
          <w:p w:rsidR="002D1E45" w:rsidRPr="00A071F0" w:rsidRDefault="002D1E45" w:rsidP="00A071F0">
            <w:pPr>
              <w:spacing w:after="0" w:line="240" w:lineRule="auto"/>
              <w:rPr>
                <w:rFonts w:ascii="Times New Roman" w:hAnsi="Times New Roman"/>
                <w:sz w:val="20"/>
                <w:szCs w:val="20"/>
                <w:lang w:eastAsia="ru-RU"/>
              </w:rPr>
            </w:pPr>
            <w:r w:rsidRPr="00A071F0">
              <w:rPr>
                <w:rFonts w:ascii="Times New Roman" w:hAnsi="Times New Roman"/>
                <w:sz w:val="20"/>
                <w:szCs w:val="20"/>
                <w:lang w:val="en-US" w:eastAsia="ru-RU"/>
              </w:rPr>
              <w:t>t</w:t>
            </w:r>
            <w:r w:rsidRPr="00A071F0">
              <w:rPr>
                <w:rFonts w:ascii="Times New Roman" w:hAnsi="Times New Roman"/>
                <w:sz w:val="20"/>
                <w:szCs w:val="20"/>
                <w:lang w:eastAsia="ru-RU"/>
              </w:rPr>
              <w:t>=2-3</w:t>
            </w:r>
            <w:r w:rsidRPr="00A071F0">
              <w:rPr>
                <w:rFonts w:ascii="Times New Roman" w:hAnsi="Times New Roman"/>
                <w:sz w:val="20"/>
                <w:szCs w:val="20"/>
                <w:vertAlign w:val="superscript"/>
                <w:lang w:eastAsia="ru-RU"/>
              </w:rPr>
              <w:t xml:space="preserve">о </w:t>
            </w:r>
            <w:r w:rsidRPr="00A071F0">
              <w:rPr>
                <w:rFonts w:ascii="Times New Roman" w:hAnsi="Times New Roman"/>
                <w:sz w:val="20"/>
                <w:szCs w:val="20"/>
                <w:lang w:eastAsia="ru-RU"/>
              </w:rPr>
              <w:t xml:space="preserve">(температура воды) – </w:t>
            </w:r>
            <w:r w:rsidRPr="00A071F0">
              <w:rPr>
                <w:rFonts w:ascii="Times New Roman" w:hAnsi="Times New Roman"/>
                <w:sz w:val="20"/>
                <w:szCs w:val="20"/>
                <w:lang w:val="en-US" w:eastAsia="ru-RU"/>
              </w:rPr>
              <w:t>T</w:t>
            </w:r>
            <w:r w:rsidRPr="00A071F0">
              <w:rPr>
                <w:rFonts w:ascii="Times New Roman" w:hAnsi="Times New Roman"/>
                <w:sz w:val="20"/>
                <w:szCs w:val="20"/>
                <w:lang w:eastAsia="ru-RU"/>
              </w:rPr>
              <w:t xml:space="preserve"> = 10-15 мин (время пребывания в</w:t>
            </w:r>
            <w:r>
              <w:rPr>
                <w:rFonts w:ascii="Times New Roman" w:hAnsi="Times New Roman"/>
                <w:sz w:val="20"/>
                <w:szCs w:val="20"/>
                <w:lang w:eastAsia="ru-RU"/>
              </w:rPr>
              <w:t> </w:t>
            </w:r>
            <w:r w:rsidRPr="00A071F0">
              <w:rPr>
                <w:rFonts w:ascii="Times New Roman" w:hAnsi="Times New Roman"/>
                <w:sz w:val="20"/>
                <w:szCs w:val="20"/>
                <w:lang w:eastAsia="ru-RU"/>
              </w:rPr>
              <w:t>воде)</w:t>
            </w:r>
          </w:p>
        </w:tc>
      </w:tr>
    </w:tbl>
    <w:p w:rsidR="002D1E45" w:rsidRDefault="002D1E45" w:rsidP="00D8038B">
      <w:pPr>
        <w:rPr>
          <w:highlight w:val="yellow"/>
        </w:rPr>
      </w:pPr>
    </w:p>
    <w:p w:rsidR="002D1E45" w:rsidRDefault="002D1E45" w:rsidP="00D8038B">
      <w:pPr>
        <w:rPr>
          <w:highlight w:val="yellow"/>
        </w:rPr>
      </w:pPr>
    </w:p>
    <w:p w:rsidR="002D1E45" w:rsidRDefault="002D1E45" w:rsidP="00D8038B">
      <w:pPr>
        <w:rPr>
          <w:highlight w:val="yellow"/>
        </w:rPr>
      </w:pPr>
    </w:p>
    <w:p w:rsidR="002D1E45" w:rsidRDefault="002D1E45" w:rsidP="00D8038B">
      <w:pPr>
        <w:rPr>
          <w:highlight w:val="yellow"/>
        </w:rPr>
      </w:pPr>
    </w:p>
    <w:p w:rsidR="002D1E45" w:rsidRDefault="002D1E45" w:rsidP="00D8038B">
      <w:pPr>
        <w:rPr>
          <w:highlight w:val="yellow"/>
        </w:rPr>
      </w:pPr>
    </w:p>
    <w:p w:rsidR="002D1E45" w:rsidRDefault="002D1E45" w:rsidP="00D8038B">
      <w:pPr>
        <w:rPr>
          <w:highlight w:val="yellow"/>
        </w:rPr>
      </w:pPr>
    </w:p>
    <w:p w:rsidR="002D1E45" w:rsidRDefault="002D1E45" w:rsidP="00D8038B">
      <w:pPr>
        <w:rPr>
          <w:highlight w:val="yellow"/>
        </w:rPr>
      </w:pPr>
    </w:p>
    <w:p w:rsidR="002D1E45" w:rsidRDefault="002D1E45" w:rsidP="00D8038B">
      <w:pPr>
        <w:rPr>
          <w:highlight w:val="yellow"/>
        </w:rPr>
        <w:sectPr w:rsidR="002D1E45" w:rsidSect="00A071F0">
          <w:pgSz w:w="16838" w:h="11906" w:orient="landscape"/>
          <w:pgMar w:top="1134" w:right="1134" w:bottom="567" w:left="1134" w:header="709" w:footer="709" w:gutter="0"/>
          <w:cols w:space="708"/>
          <w:docGrid w:linePitch="360"/>
        </w:sectPr>
      </w:pPr>
    </w:p>
    <w:p w:rsidR="002D1E45" w:rsidRPr="00A071F0" w:rsidRDefault="002D1E45" w:rsidP="00852938">
      <w:pPr>
        <w:pStyle w:val="Heading2"/>
        <w:numPr>
          <w:ilvl w:val="1"/>
          <w:numId w:val="65"/>
        </w:numPr>
        <w:tabs>
          <w:tab w:val="clear" w:pos="794"/>
        </w:tabs>
        <w:spacing w:before="240" w:after="240"/>
        <w:ind w:left="993" w:hanging="633"/>
        <w:jc w:val="both"/>
        <w:rPr>
          <w:b/>
        </w:rPr>
      </w:pPr>
      <w:bookmarkStart w:id="386" w:name="_Toc84936074"/>
      <w:r w:rsidRPr="000112EE">
        <w:rPr>
          <w:b/>
        </w:rPr>
        <w:t>Сводная таблица по пожарным гидрантам</w:t>
      </w:r>
      <w:bookmarkEnd w:id="386"/>
    </w:p>
    <w:tbl>
      <w:tblPr>
        <w:tblW w:w="0" w:type="auto"/>
        <w:jc w:val="center"/>
        <w:tblLayout w:type="fixed"/>
        <w:tblCellMar>
          <w:left w:w="0" w:type="dxa"/>
          <w:right w:w="0" w:type="dxa"/>
        </w:tblCellMar>
        <w:tblLook w:val="0000"/>
      </w:tblPr>
      <w:tblGrid>
        <w:gridCol w:w="704"/>
        <w:gridCol w:w="1346"/>
        <w:gridCol w:w="2930"/>
        <w:gridCol w:w="3347"/>
        <w:gridCol w:w="1251"/>
      </w:tblGrid>
      <w:tr w:rsidR="002D1E45" w:rsidRPr="001B59EA" w:rsidTr="00685188">
        <w:trPr>
          <w:trHeight w:val="57"/>
          <w:tblHeader/>
          <w:jc w:val="center"/>
        </w:trPr>
        <w:tc>
          <w:tcPr>
            <w:tcW w:w="704" w:type="dxa"/>
            <w:tcBorders>
              <w:top w:val="single" w:sz="4" w:space="0" w:color="auto"/>
              <w:left w:val="single" w:sz="4" w:space="0" w:color="auto"/>
              <w:bottom w:val="nil"/>
              <w:right w:val="nil"/>
            </w:tcBorders>
            <w:shd w:val="clear" w:color="auto" w:fill="FFFFFF"/>
            <w:vAlign w:val="center"/>
          </w:tcPr>
          <w:p w:rsidR="002D1E45" w:rsidRPr="001B59EA" w:rsidRDefault="002D1E45" w:rsidP="00C51397">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 п/п</w:t>
            </w:r>
          </w:p>
        </w:tc>
        <w:tc>
          <w:tcPr>
            <w:tcW w:w="1346" w:type="dxa"/>
            <w:tcBorders>
              <w:top w:val="single" w:sz="4" w:space="0" w:color="auto"/>
              <w:left w:val="single" w:sz="4" w:space="0" w:color="auto"/>
              <w:bottom w:val="nil"/>
              <w:right w:val="nil"/>
            </w:tcBorders>
            <w:shd w:val="clear" w:color="auto" w:fill="FFFFFF"/>
            <w:vAlign w:val="center"/>
          </w:tcPr>
          <w:p w:rsidR="002D1E45" w:rsidRPr="001B59EA" w:rsidRDefault="002D1E45" w:rsidP="00C51397">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Тип, диаметр сети</w:t>
            </w:r>
          </w:p>
        </w:tc>
        <w:tc>
          <w:tcPr>
            <w:tcW w:w="2930" w:type="dxa"/>
            <w:tcBorders>
              <w:top w:val="single" w:sz="4" w:space="0" w:color="auto"/>
              <w:left w:val="single" w:sz="4" w:space="0" w:color="auto"/>
              <w:bottom w:val="nil"/>
              <w:right w:val="nil"/>
            </w:tcBorders>
            <w:shd w:val="clear" w:color="auto" w:fill="FFFFFF"/>
            <w:vAlign w:val="center"/>
          </w:tcPr>
          <w:p w:rsidR="002D1E45" w:rsidRPr="001B59EA" w:rsidRDefault="002D1E45" w:rsidP="00C51397">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Наименование улиц</w:t>
            </w:r>
          </w:p>
        </w:tc>
        <w:tc>
          <w:tcPr>
            <w:tcW w:w="3347" w:type="dxa"/>
            <w:tcBorders>
              <w:top w:val="single" w:sz="4" w:space="0" w:color="auto"/>
              <w:left w:val="single" w:sz="4" w:space="0" w:color="auto"/>
              <w:bottom w:val="nil"/>
              <w:right w:val="nil"/>
            </w:tcBorders>
            <w:shd w:val="clear" w:color="auto" w:fill="FFFFFF"/>
            <w:vAlign w:val="center"/>
          </w:tcPr>
          <w:p w:rsidR="002D1E45" w:rsidRPr="001B59EA" w:rsidRDefault="002D1E45" w:rsidP="00C51397">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Номера домов, где находятся ПГ</w:t>
            </w:r>
          </w:p>
        </w:tc>
        <w:tc>
          <w:tcPr>
            <w:tcW w:w="1251" w:type="dxa"/>
            <w:tcBorders>
              <w:top w:val="single" w:sz="4" w:space="0" w:color="auto"/>
              <w:left w:val="single" w:sz="4" w:space="0" w:color="auto"/>
              <w:bottom w:val="nil"/>
              <w:right w:val="single" w:sz="4" w:space="0" w:color="auto"/>
            </w:tcBorders>
            <w:shd w:val="clear" w:color="auto" w:fill="FFFFFF"/>
            <w:vAlign w:val="center"/>
          </w:tcPr>
          <w:p w:rsidR="002D1E45" w:rsidRPr="001B59EA" w:rsidRDefault="002D1E45" w:rsidP="00C51397">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Число ПГ</w:t>
            </w:r>
          </w:p>
        </w:tc>
      </w:tr>
      <w:tr w:rsidR="002D1E45" w:rsidRPr="001B59EA" w:rsidTr="00685188">
        <w:trPr>
          <w:trHeight w:val="57"/>
          <w:jc w:val="center"/>
        </w:trPr>
        <w:tc>
          <w:tcPr>
            <w:tcW w:w="704"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1</w:t>
            </w:r>
          </w:p>
        </w:tc>
        <w:tc>
          <w:tcPr>
            <w:tcW w:w="1346"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К-200</w:t>
            </w:r>
          </w:p>
        </w:tc>
        <w:tc>
          <w:tcPr>
            <w:tcW w:w="2930" w:type="dxa"/>
            <w:tcBorders>
              <w:top w:val="single" w:sz="4" w:space="0" w:color="auto"/>
              <w:left w:val="single" w:sz="4" w:space="0" w:color="auto"/>
              <w:bottom w:val="nil"/>
              <w:right w:val="nil"/>
            </w:tcBorders>
            <w:shd w:val="clear" w:color="auto" w:fill="FFFFFF"/>
            <w:vAlign w:val="bottom"/>
          </w:tcPr>
          <w:p w:rsidR="002D1E45" w:rsidRPr="001B59EA" w:rsidRDefault="002D1E45" w:rsidP="00CD3649">
            <w:pPr>
              <w:spacing w:after="0" w:line="240" w:lineRule="auto"/>
              <w:rPr>
                <w:rFonts w:ascii="Times New Roman" w:hAnsi="Times New Roman"/>
                <w:sz w:val="20"/>
                <w:szCs w:val="20"/>
                <w:lang w:eastAsia="ru-RU"/>
              </w:rPr>
            </w:pPr>
            <w:r w:rsidRPr="001B59EA">
              <w:rPr>
                <w:rFonts w:ascii="Times New Roman" w:hAnsi="Times New Roman"/>
                <w:color w:val="000000"/>
                <w:sz w:val="20"/>
                <w:szCs w:val="20"/>
                <w:lang w:eastAsia="ru-RU"/>
              </w:rPr>
              <w:t>Ул. Агафонова</w:t>
            </w:r>
          </w:p>
        </w:tc>
        <w:tc>
          <w:tcPr>
            <w:tcW w:w="3347"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5,35</w:t>
            </w:r>
          </w:p>
        </w:tc>
        <w:tc>
          <w:tcPr>
            <w:tcW w:w="1251" w:type="dxa"/>
            <w:tcBorders>
              <w:top w:val="single" w:sz="4" w:space="0" w:color="auto"/>
              <w:left w:val="single" w:sz="4" w:space="0" w:color="auto"/>
              <w:bottom w:val="nil"/>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2</w:t>
            </w:r>
          </w:p>
        </w:tc>
      </w:tr>
      <w:tr w:rsidR="002D1E45" w:rsidRPr="001B59EA" w:rsidTr="00685188">
        <w:trPr>
          <w:trHeight w:val="57"/>
          <w:jc w:val="center"/>
        </w:trPr>
        <w:tc>
          <w:tcPr>
            <w:tcW w:w="704"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2</w:t>
            </w:r>
          </w:p>
        </w:tc>
        <w:tc>
          <w:tcPr>
            <w:tcW w:w="1346"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К-200</w:t>
            </w:r>
          </w:p>
        </w:tc>
        <w:tc>
          <w:tcPr>
            <w:tcW w:w="2930" w:type="dxa"/>
            <w:tcBorders>
              <w:top w:val="single" w:sz="4" w:space="0" w:color="auto"/>
              <w:left w:val="single" w:sz="4" w:space="0" w:color="auto"/>
              <w:bottom w:val="nil"/>
              <w:right w:val="nil"/>
            </w:tcBorders>
            <w:shd w:val="clear" w:color="auto" w:fill="FFFFFF"/>
            <w:vAlign w:val="bottom"/>
          </w:tcPr>
          <w:p w:rsidR="002D1E45" w:rsidRPr="001B59EA" w:rsidRDefault="002D1E45" w:rsidP="00CD3649">
            <w:pPr>
              <w:spacing w:after="0" w:line="240" w:lineRule="auto"/>
              <w:rPr>
                <w:rFonts w:ascii="Times New Roman" w:hAnsi="Times New Roman"/>
                <w:sz w:val="20"/>
                <w:szCs w:val="20"/>
                <w:lang w:eastAsia="ru-RU"/>
              </w:rPr>
            </w:pPr>
            <w:r w:rsidRPr="001B59EA">
              <w:rPr>
                <w:rFonts w:ascii="Times New Roman" w:hAnsi="Times New Roman"/>
                <w:color w:val="000000"/>
                <w:sz w:val="20"/>
                <w:szCs w:val="20"/>
                <w:lang w:eastAsia="ru-RU"/>
              </w:rPr>
              <w:t>Ул. Бородина</w:t>
            </w:r>
          </w:p>
        </w:tc>
        <w:tc>
          <w:tcPr>
            <w:tcW w:w="3347"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16,30</w:t>
            </w:r>
          </w:p>
        </w:tc>
        <w:tc>
          <w:tcPr>
            <w:tcW w:w="1251" w:type="dxa"/>
            <w:tcBorders>
              <w:top w:val="single" w:sz="4" w:space="0" w:color="auto"/>
              <w:left w:val="single" w:sz="4" w:space="0" w:color="auto"/>
              <w:bottom w:val="nil"/>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2</w:t>
            </w:r>
          </w:p>
        </w:tc>
      </w:tr>
      <w:tr w:rsidR="002D1E45" w:rsidRPr="001B59EA" w:rsidTr="00685188">
        <w:trPr>
          <w:trHeight w:val="57"/>
          <w:jc w:val="center"/>
        </w:trPr>
        <w:tc>
          <w:tcPr>
            <w:tcW w:w="704"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3</w:t>
            </w:r>
          </w:p>
        </w:tc>
        <w:tc>
          <w:tcPr>
            <w:tcW w:w="1346"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К-200</w:t>
            </w:r>
          </w:p>
        </w:tc>
        <w:tc>
          <w:tcPr>
            <w:tcW w:w="2930" w:type="dxa"/>
            <w:tcBorders>
              <w:top w:val="single" w:sz="4" w:space="0" w:color="auto"/>
              <w:left w:val="single" w:sz="4" w:space="0" w:color="auto"/>
              <w:bottom w:val="nil"/>
              <w:right w:val="nil"/>
            </w:tcBorders>
            <w:shd w:val="clear" w:color="auto" w:fill="FFFFFF"/>
            <w:vAlign w:val="bottom"/>
          </w:tcPr>
          <w:p w:rsidR="002D1E45" w:rsidRPr="001B59EA" w:rsidRDefault="002D1E45" w:rsidP="00CD3649">
            <w:pPr>
              <w:spacing w:after="0" w:line="240" w:lineRule="auto"/>
              <w:rPr>
                <w:rFonts w:ascii="Times New Roman" w:hAnsi="Times New Roman"/>
                <w:sz w:val="20"/>
                <w:szCs w:val="20"/>
                <w:lang w:eastAsia="ru-RU"/>
              </w:rPr>
            </w:pPr>
            <w:r w:rsidRPr="001B59EA">
              <w:rPr>
                <w:rFonts w:ascii="Times New Roman" w:hAnsi="Times New Roman"/>
                <w:color w:val="000000"/>
                <w:sz w:val="20"/>
                <w:szCs w:val="20"/>
                <w:lang w:eastAsia="ru-RU"/>
              </w:rPr>
              <w:t>Ул. Войкова</w:t>
            </w:r>
          </w:p>
        </w:tc>
        <w:tc>
          <w:tcPr>
            <w:tcW w:w="3347"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46,54,126</w:t>
            </w:r>
          </w:p>
        </w:tc>
        <w:tc>
          <w:tcPr>
            <w:tcW w:w="1251" w:type="dxa"/>
            <w:tcBorders>
              <w:top w:val="single" w:sz="4" w:space="0" w:color="auto"/>
              <w:left w:val="single" w:sz="4" w:space="0" w:color="auto"/>
              <w:bottom w:val="nil"/>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3</w:t>
            </w:r>
          </w:p>
        </w:tc>
      </w:tr>
      <w:tr w:rsidR="002D1E45" w:rsidRPr="001B59EA" w:rsidTr="00685188">
        <w:trPr>
          <w:trHeight w:val="57"/>
          <w:jc w:val="center"/>
        </w:trPr>
        <w:tc>
          <w:tcPr>
            <w:tcW w:w="704"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5</w:t>
            </w:r>
          </w:p>
        </w:tc>
        <w:tc>
          <w:tcPr>
            <w:tcW w:w="1346"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К-500</w:t>
            </w:r>
          </w:p>
        </w:tc>
        <w:tc>
          <w:tcPr>
            <w:tcW w:w="2930" w:type="dxa"/>
            <w:tcBorders>
              <w:top w:val="single" w:sz="4" w:space="0" w:color="auto"/>
              <w:left w:val="single" w:sz="4" w:space="0" w:color="auto"/>
              <w:bottom w:val="nil"/>
              <w:right w:val="nil"/>
            </w:tcBorders>
            <w:shd w:val="clear" w:color="auto" w:fill="FFFFFF"/>
            <w:vAlign w:val="bottom"/>
          </w:tcPr>
          <w:p w:rsidR="002D1E45" w:rsidRPr="001B59EA" w:rsidRDefault="002D1E45" w:rsidP="00CD3649">
            <w:pPr>
              <w:spacing w:after="0" w:line="240" w:lineRule="auto"/>
              <w:rPr>
                <w:rFonts w:ascii="Times New Roman" w:hAnsi="Times New Roman"/>
                <w:sz w:val="20"/>
                <w:szCs w:val="20"/>
                <w:lang w:eastAsia="ru-RU"/>
              </w:rPr>
            </w:pPr>
            <w:r w:rsidRPr="001B59EA">
              <w:rPr>
                <w:rFonts w:ascii="Times New Roman" w:hAnsi="Times New Roman"/>
                <w:color w:val="000000"/>
                <w:sz w:val="20"/>
                <w:szCs w:val="20"/>
                <w:lang w:eastAsia="ru-RU"/>
              </w:rPr>
              <w:t>Ул. Володарского</w:t>
            </w:r>
          </w:p>
        </w:tc>
        <w:tc>
          <w:tcPr>
            <w:tcW w:w="3347"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«Балатон»,</w:t>
            </w:r>
            <w:r>
              <w:rPr>
                <w:rFonts w:ascii="Times New Roman" w:hAnsi="Times New Roman"/>
                <w:color w:val="000000"/>
                <w:sz w:val="20"/>
                <w:szCs w:val="20"/>
                <w:lang w:eastAsia="ru-RU"/>
              </w:rPr>
              <w:t xml:space="preserve"> </w:t>
            </w:r>
            <w:r w:rsidRPr="001B59EA">
              <w:rPr>
                <w:rFonts w:ascii="Times New Roman" w:hAnsi="Times New Roman"/>
                <w:color w:val="000000"/>
                <w:sz w:val="20"/>
                <w:szCs w:val="20"/>
                <w:lang w:eastAsia="ru-RU"/>
              </w:rPr>
              <w:t>90-1</w:t>
            </w:r>
          </w:p>
        </w:tc>
        <w:tc>
          <w:tcPr>
            <w:tcW w:w="1251" w:type="dxa"/>
            <w:tcBorders>
              <w:top w:val="single" w:sz="4" w:space="0" w:color="auto"/>
              <w:left w:val="single" w:sz="4" w:space="0" w:color="auto"/>
              <w:bottom w:val="nil"/>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2</w:t>
            </w:r>
          </w:p>
        </w:tc>
      </w:tr>
      <w:tr w:rsidR="002D1E45" w:rsidRPr="001B59EA" w:rsidTr="00685188">
        <w:trPr>
          <w:trHeight w:val="57"/>
          <w:jc w:val="center"/>
        </w:trPr>
        <w:tc>
          <w:tcPr>
            <w:tcW w:w="704"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6</w:t>
            </w:r>
          </w:p>
        </w:tc>
        <w:tc>
          <w:tcPr>
            <w:tcW w:w="1346"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К-150</w:t>
            </w:r>
          </w:p>
        </w:tc>
        <w:tc>
          <w:tcPr>
            <w:tcW w:w="2930" w:type="dxa"/>
            <w:tcBorders>
              <w:top w:val="single" w:sz="4" w:space="0" w:color="auto"/>
              <w:left w:val="single" w:sz="4" w:space="0" w:color="auto"/>
              <w:bottom w:val="nil"/>
              <w:right w:val="nil"/>
            </w:tcBorders>
            <w:shd w:val="clear" w:color="auto" w:fill="FFFFFF"/>
            <w:vAlign w:val="bottom"/>
          </w:tcPr>
          <w:p w:rsidR="002D1E45" w:rsidRPr="001B59EA" w:rsidRDefault="002D1E45" w:rsidP="00CD3649">
            <w:pPr>
              <w:spacing w:after="0" w:line="240" w:lineRule="auto"/>
              <w:rPr>
                <w:rFonts w:ascii="Times New Roman" w:hAnsi="Times New Roman"/>
                <w:sz w:val="20"/>
                <w:szCs w:val="20"/>
                <w:lang w:eastAsia="ru-RU"/>
              </w:rPr>
            </w:pPr>
            <w:r w:rsidRPr="001B59EA">
              <w:rPr>
                <w:rFonts w:ascii="Times New Roman" w:hAnsi="Times New Roman"/>
                <w:color w:val="000000"/>
                <w:sz w:val="20"/>
                <w:szCs w:val="20"/>
                <w:lang w:eastAsia="ru-RU"/>
              </w:rPr>
              <w:t>Ул. Гуляева</w:t>
            </w:r>
          </w:p>
        </w:tc>
        <w:tc>
          <w:tcPr>
            <w:tcW w:w="3347"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46</w:t>
            </w:r>
          </w:p>
        </w:tc>
        <w:tc>
          <w:tcPr>
            <w:tcW w:w="1251" w:type="dxa"/>
            <w:tcBorders>
              <w:top w:val="single" w:sz="4" w:space="0" w:color="auto"/>
              <w:left w:val="single" w:sz="4" w:space="0" w:color="auto"/>
              <w:bottom w:val="nil"/>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1</w:t>
            </w:r>
          </w:p>
        </w:tc>
      </w:tr>
      <w:tr w:rsidR="002D1E45" w:rsidRPr="001B59EA" w:rsidTr="00685188">
        <w:trPr>
          <w:trHeight w:val="57"/>
          <w:jc w:val="center"/>
        </w:trPr>
        <w:tc>
          <w:tcPr>
            <w:tcW w:w="704"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7</w:t>
            </w:r>
          </w:p>
        </w:tc>
        <w:tc>
          <w:tcPr>
            <w:tcW w:w="1346"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К-150</w:t>
            </w:r>
          </w:p>
        </w:tc>
        <w:tc>
          <w:tcPr>
            <w:tcW w:w="2930" w:type="dxa"/>
            <w:tcBorders>
              <w:top w:val="single" w:sz="4" w:space="0" w:color="auto"/>
              <w:left w:val="single" w:sz="4" w:space="0" w:color="auto"/>
              <w:bottom w:val="nil"/>
              <w:right w:val="nil"/>
            </w:tcBorders>
            <w:shd w:val="clear" w:color="auto" w:fill="FFFFFF"/>
            <w:vAlign w:val="bottom"/>
          </w:tcPr>
          <w:p w:rsidR="002D1E45" w:rsidRPr="001B59EA" w:rsidRDefault="002D1E45" w:rsidP="00CD3649">
            <w:pPr>
              <w:spacing w:after="0" w:line="240" w:lineRule="auto"/>
              <w:rPr>
                <w:rFonts w:ascii="Times New Roman" w:hAnsi="Times New Roman"/>
                <w:sz w:val="20"/>
                <w:szCs w:val="20"/>
                <w:lang w:eastAsia="ru-RU"/>
              </w:rPr>
            </w:pPr>
            <w:r w:rsidRPr="001B59EA">
              <w:rPr>
                <w:rFonts w:ascii="Times New Roman" w:hAnsi="Times New Roman"/>
                <w:color w:val="000000"/>
                <w:sz w:val="20"/>
                <w:szCs w:val="20"/>
                <w:lang w:eastAsia="ru-RU"/>
              </w:rPr>
              <w:t>Ул. Гагарина</w:t>
            </w:r>
          </w:p>
        </w:tc>
        <w:tc>
          <w:tcPr>
            <w:tcW w:w="3347"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12</w:t>
            </w:r>
          </w:p>
        </w:tc>
        <w:tc>
          <w:tcPr>
            <w:tcW w:w="1251" w:type="dxa"/>
            <w:tcBorders>
              <w:top w:val="single" w:sz="4" w:space="0" w:color="auto"/>
              <w:left w:val="single" w:sz="4" w:space="0" w:color="auto"/>
              <w:bottom w:val="nil"/>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1</w:t>
            </w:r>
          </w:p>
        </w:tc>
      </w:tr>
      <w:tr w:rsidR="002D1E45" w:rsidRPr="001B59EA" w:rsidTr="00685188">
        <w:trPr>
          <w:trHeight w:val="57"/>
          <w:jc w:val="center"/>
        </w:trPr>
        <w:tc>
          <w:tcPr>
            <w:tcW w:w="704"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8</w:t>
            </w:r>
          </w:p>
        </w:tc>
        <w:tc>
          <w:tcPr>
            <w:tcW w:w="1346"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К-150</w:t>
            </w:r>
          </w:p>
        </w:tc>
        <w:tc>
          <w:tcPr>
            <w:tcW w:w="2930" w:type="dxa"/>
            <w:tcBorders>
              <w:top w:val="single" w:sz="4" w:space="0" w:color="auto"/>
              <w:left w:val="single" w:sz="4" w:space="0" w:color="auto"/>
              <w:bottom w:val="nil"/>
              <w:right w:val="nil"/>
            </w:tcBorders>
            <w:shd w:val="clear" w:color="auto" w:fill="FFFFFF"/>
            <w:vAlign w:val="bottom"/>
          </w:tcPr>
          <w:p w:rsidR="002D1E45" w:rsidRPr="001B59EA" w:rsidRDefault="002D1E45" w:rsidP="00CD3649">
            <w:pPr>
              <w:spacing w:after="0" w:line="240" w:lineRule="auto"/>
              <w:rPr>
                <w:rFonts w:ascii="Times New Roman" w:hAnsi="Times New Roman"/>
                <w:sz w:val="20"/>
                <w:szCs w:val="20"/>
                <w:lang w:eastAsia="ru-RU"/>
              </w:rPr>
            </w:pPr>
            <w:r w:rsidRPr="001B59EA">
              <w:rPr>
                <w:rFonts w:ascii="Times New Roman" w:hAnsi="Times New Roman"/>
                <w:color w:val="000000"/>
                <w:sz w:val="20"/>
                <w:szCs w:val="20"/>
                <w:lang w:eastAsia="ru-RU"/>
              </w:rPr>
              <w:t>Ул. М.</w:t>
            </w:r>
            <w:r>
              <w:rPr>
                <w:rFonts w:ascii="Times New Roman" w:hAnsi="Times New Roman"/>
                <w:color w:val="000000"/>
                <w:sz w:val="20"/>
                <w:szCs w:val="20"/>
                <w:lang w:eastAsia="ru-RU"/>
              </w:rPr>
              <w:t xml:space="preserve"> </w:t>
            </w:r>
            <w:r w:rsidRPr="001B59EA">
              <w:rPr>
                <w:rFonts w:ascii="Times New Roman" w:hAnsi="Times New Roman"/>
                <w:color w:val="000000"/>
                <w:sz w:val="20"/>
                <w:szCs w:val="20"/>
                <w:lang w:eastAsia="ru-RU"/>
              </w:rPr>
              <w:t>Горького</w:t>
            </w:r>
          </w:p>
        </w:tc>
        <w:tc>
          <w:tcPr>
            <w:tcW w:w="3347"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10,19,36</w:t>
            </w:r>
          </w:p>
        </w:tc>
        <w:tc>
          <w:tcPr>
            <w:tcW w:w="1251" w:type="dxa"/>
            <w:tcBorders>
              <w:top w:val="single" w:sz="4" w:space="0" w:color="auto"/>
              <w:left w:val="single" w:sz="4" w:space="0" w:color="auto"/>
              <w:bottom w:val="nil"/>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3</w:t>
            </w:r>
          </w:p>
        </w:tc>
      </w:tr>
      <w:tr w:rsidR="002D1E45" w:rsidRPr="001B59EA" w:rsidTr="00685188">
        <w:trPr>
          <w:trHeight w:val="57"/>
          <w:jc w:val="center"/>
        </w:trPr>
        <w:tc>
          <w:tcPr>
            <w:tcW w:w="704"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9</w:t>
            </w:r>
          </w:p>
        </w:tc>
        <w:tc>
          <w:tcPr>
            <w:tcW w:w="1346"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К-150</w:t>
            </w:r>
          </w:p>
        </w:tc>
        <w:tc>
          <w:tcPr>
            <w:tcW w:w="2930" w:type="dxa"/>
            <w:tcBorders>
              <w:top w:val="single" w:sz="4" w:space="0" w:color="auto"/>
              <w:left w:val="single" w:sz="4" w:space="0" w:color="auto"/>
              <w:bottom w:val="nil"/>
              <w:right w:val="nil"/>
            </w:tcBorders>
            <w:shd w:val="clear" w:color="auto" w:fill="FFFFFF"/>
            <w:vAlign w:val="bottom"/>
          </w:tcPr>
          <w:p w:rsidR="002D1E45" w:rsidRPr="001B59EA" w:rsidRDefault="002D1E45" w:rsidP="00CD3649">
            <w:pPr>
              <w:spacing w:after="0" w:line="240" w:lineRule="auto"/>
              <w:rPr>
                <w:rFonts w:ascii="Times New Roman" w:hAnsi="Times New Roman"/>
                <w:sz w:val="20"/>
                <w:szCs w:val="20"/>
                <w:lang w:eastAsia="ru-RU"/>
              </w:rPr>
            </w:pPr>
            <w:r w:rsidRPr="001B59EA">
              <w:rPr>
                <w:rFonts w:ascii="Times New Roman" w:hAnsi="Times New Roman"/>
                <w:color w:val="000000"/>
                <w:sz w:val="20"/>
                <w:szCs w:val="20"/>
                <w:lang w:eastAsia="ru-RU"/>
              </w:rPr>
              <w:t>Ул. 1-Е Декабря</w:t>
            </w:r>
          </w:p>
        </w:tc>
        <w:tc>
          <w:tcPr>
            <w:tcW w:w="3347"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8,28,58,66</w:t>
            </w:r>
          </w:p>
        </w:tc>
        <w:tc>
          <w:tcPr>
            <w:tcW w:w="1251" w:type="dxa"/>
            <w:tcBorders>
              <w:top w:val="single" w:sz="4" w:space="0" w:color="auto"/>
              <w:left w:val="single" w:sz="4" w:space="0" w:color="auto"/>
              <w:bottom w:val="nil"/>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4</w:t>
            </w:r>
          </w:p>
        </w:tc>
      </w:tr>
      <w:tr w:rsidR="002D1E45" w:rsidRPr="001B59EA" w:rsidTr="00685188">
        <w:trPr>
          <w:trHeight w:val="57"/>
          <w:jc w:val="center"/>
        </w:trPr>
        <w:tc>
          <w:tcPr>
            <w:tcW w:w="704"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10</w:t>
            </w:r>
          </w:p>
        </w:tc>
        <w:tc>
          <w:tcPr>
            <w:tcW w:w="1346"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К-150</w:t>
            </w:r>
          </w:p>
        </w:tc>
        <w:tc>
          <w:tcPr>
            <w:tcW w:w="2930" w:type="dxa"/>
            <w:tcBorders>
              <w:top w:val="single" w:sz="4" w:space="0" w:color="auto"/>
              <w:left w:val="single" w:sz="4" w:space="0" w:color="auto"/>
              <w:bottom w:val="nil"/>
              <w:right w:val="nil"/>
            </w:tcBorders>
            <w:shd w:val="clear" w:color="auto" w:fill="FFFFFF"/>
            <w:vAlign w:val="bottom"/>
          </w:tcPr>
          <w:p w:rsidR="002D1E45" w:rsidRPr="001B59EA" w:rsidRDefault="002D1E45" w:rsidP="00CD3649">
            <w:pPr>
              <w:spacing w:after="0" w:line="240" w:lineRule="auto"/>
              <w:rPr>
                <w:rFonts w:ascii="Times New Roman" w:hAnsi="Times New Roman"/>
                <w:sz w:val="20"/>
                <w:szCs w:val="20"/>
                <w:lang w:eastAsia="ru-RU"/>
              </w:rPr>
            </w:pPr>
            <w:r w:rsidRPr="001B59EA">
              <w:rPr>
                <w:rFonts w:ascii="Times New Roman" w:hAnsi="Times New Roman"/>
                <w:color w:val="000000"/>
                <w:sz w:val="20"/>
                <w:szCs w:val="20"/>
                <w:lang w:eastAsia="ru-RU"/>
              </w:rPr>
              <w:t>Ул. Достоевскою</w:t>
            </w:r>
          </w:p>
        </w:tc>
        <w:tc>
          <w:tcPr>
            <w:tcW w:w="3347"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81,53,67</w:t>
            </w:r>
          </w:p>
        </w:tc>
        <w:tc>
          <w:tcPr>
            <w:tcW w:w="1251" w:type="dxa"/>
            <w:tcBorders>
              <w:top w:val="single" w:sz="4" w:space="0" w:color="auto"/>
              <w:left w:val="single" w:sz="4" w:space="0" w:color="auto"/>
              <w:bottom w:val="nil"/>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3</w:t>
            </w:r>
          </w:p>
        </w:tc>
      </w:tr>
      <w:tr w:rsidR="002D1E45" w:rsidRPr="001B59EA" w:rsidTr="00685188">
        <w:trPr>
          <w:trHeight w:val="57"/>
          <w:jc w:val="center"/>
        </w:trPr>
        <w:tc>
          <w:tcPr>
            <w:tcW w:w="704"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11</w:t>
            </w:r>
          </w:p>
        </w:tc>
        <w:tc>
          <w:tcPr>
            <w:tcW w:w="1346"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К-150</w:t>
            </w:r>
          </w:p>
        </w:tc>
        <w:tc>
          <w:tcPr>
            <w:tcW w:w="2930" w:type="dxa"/>
            <w:tcBorders>
              <w:top w:val="single" w:sz="4" w:space="0" w:color="auto"/>
              <w:left w:val="single" w:sz="4" w:space="0" w:color="auto"/>
              <w:bottom w:val="nil"/>
              <w:right w:val="nil"/>
            </w:tcBorders>
            <w:shd w:val="clear" w:color="auto" w:fill="FFFFFF"/>
            <w:vAlign w:val="bottom"/>
          </w:tcPr>
          <w:p w:rsidR="002D1E45" w:rsidRPr="001B59EA" w:rsidRDefault="002D1E45" w:rsidP="00CD3649">
            <w:pPr>
              <w:spacing w:after="0" w:line="240" w:lineRule="auto"/>
              <w:rPr>
                <w:rFonts w:ascii="Times New Roman" w:hAnsi="Times New Roman"/>
                <w:sz w:val="20"/>
                <w:szCs w:val="20"/>
                <w:lang w:eastAsia="ru-RU"/>
              </w:rPr>
            </w:pPr>
            <w:r w:rsidRPr="001B59EA">
              <w:rPr>
                <w:rFonts w:ascii="Times New Roman" w:hAnsi="Times New Roman"/>
                <w:color w:val="000000"/>
                <w:sz w:val="20"/>
                <w:szCs w:val="20"/>
                <w:lang w:eastAsia="ru-RU"/>
              </w:rPr>
              <w:t>Ул. Державина</w:t>
            </w:r>
          </w:p>
        </w:tc>
        <w:tc>
          <w:tcPr>
            <w:tcW w:w="3347"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3,32,48,62</w:t>
            </w:r>
          </w:p>
        </w:tc>
        <w:tc>
          <w:tcPr>
            <w:tcW w:w="1251" w:type="dxa"/>
            <w:tcBorders>
              <w:top w:val="single" w:sz="4" w:space="0" w:color="auto"/>
              <w:left w:val="single" w:sz="4" w:space="0" w:color="auto"/>
              <w:bottom w:val="nil"/>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4</w:t>
            </w:r>
          </w:p>
        </w:tc>
      </w:tr>
      <w:tr w:rsidR="002D1E45" w:rsidRPr="001B59EA" w:rsidTr="00685188">
        <w:trPr>
          <w:trHeight w:val="57"/>
          <w:jc w:val="center"/>
        </w:trPr>
        <w:tc>
          <w:tcPr>
            <w:tcW w:w="704"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12</w:t>
            </w:r>
          </w:p>
        </w:tc>
        <w:tc>
          <w:tcPr>
            <w:tcW w:w="1346"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К-150</w:t>
            </w:r>
          </w:p>
        </w:tc>
        <w:tc>
          <w:tcPr>
            <w:tcW w:w="2930" w:type="dxa"/>
            <w:tcBorders>
              <w:top w:val="single" w:sz="4" w:space="0" w:color="auto"/>
              <w:left w:val="single" w:sz="4" w:space="0" w:color="auto"/>
              <w:bottom w:val="nil"/>
              <w:right w:val="nil"/>
            </w:tcBorders>
            <w:shd w:val="clear" w:color="auto" w:fill="FFFFFF"/>
            <w:vAlign w:val="bottom"/>
          </w:tcPr>
          <w:p w:rsidR="002D1E45" w:rsidRPr="001B59EA" w:rsidRDefault="002D1E45" w:rsidP="00CD3649">
            <w:pPr>
              <w:spacing w:after="0" w:line="240" w:lineRule="auto"/>
              <w:rPr>
                <w:rFonts w:ascii="Times New Roman" w:hAnsi="Times New Roman"/>
                <w:sz w:val="20"/>
                <w:szCs w:val="20"/>
                <w:lang w:eastAsia="ru-RU"/>
              </w:rPr>
            </w:pPr>
            <w:r w:rsidRPr="001B59EA">
              <w:rPr>
                <w:rFonts w:ascii="Times New Roman" w:hAnsi="Times New Roman"/>
                <w:color w:val="000000"/>
                <w:sz w:val="20"/>
                <w:szCs w:val="20"/>
                <w:lang w:eastAsia="ru-RU"/>
              </w:rPr>
              <w:t>Ул. Заречная</w:t>
            </w:r>
          </w:p>
        </w:tc>
        <w:tc>
          <w:tcPr>
            <w:tcW w:w="3347"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4,54</w:t>
            </w:r>
          </w:p>
        </w:tc>
        <w:tc>
          <w:tcPr>
            <w:tcW w:w="1251" w:type="dxa"/>
            <w:tcBorders>
              <w:top w:val="single" w:sz="4" w:space="0" w:color="auto"/>
              <w:left w:val="single" w:sz="4" w:space="0" w:color="auto"/>
              <w:bottom w:val="nil"/>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2</w:t>
            </w:r>
          </w:p>
        </w:tc>
      </w:tr>
      <w:tr w:rsidR="002D1E45" w:rsidRPr="001B59EA" w:rsidTr="00685188">
        <w:trPr>
          <w:trHeight w:val="57"/>
          <w:jc w:val="center"/>
        </w:trPr>
        <w:tc>
          <w:tcPr>
            <w:tcW w:w="704"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13</w:t>
            </w:r>
          </w:p>
        </w:tc>
        <w:tc>
          <w:tcPr>
            <w:tcW w:w="1346"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К-200</w:t>
            </w:r>
          </w:p>
        </w:tc>
        <w:tc>
          <w:tcPr>
            <w:tcW w:w="2930" w:type="dxa"/>
            <w:tcBorders>
              <w:top w:val="single" w:sz="4" w:space="0" w:color="auto"/>
              <w:left w:val="single" w:sz="4" w:space="0" w:color="auto"/>
              <w:bottom w:val="nil"/>
              <w:right w:val="nil"/>
            </w:tcBorders>
            <w:shd w:val="clear" w:color="auto" w:fill="FFFFFF"/>
            <w:vAlign w:val="bottom"/>
          </w:tcPr>
          <w:p w:rsidR="002D1E45" w:rsidRPr="001B59EA" w:rsidRDefault="002D1E45" w:rsidP="00CD3649">
            <w:pPr>
              <w:spacing w:after="0" w:line="240" w:lineRule="auto"/>
              <w:rPr>
                <w:rFonts w:ascii="Times New Roman" w:hAnsi="Times New Roman"/>
                <w:sz w:val="20"/>
                <w:szCs w:val="20"/>
                <w:lang w:eastAsia="ru-RU"/>
              </w:rPr>
            </w:pPr>
            <w:r w:rsidRPr="001B59EA">
              <w:rPr>
                <w:rFonts w:ascii="Times New Roman" w:hAnsi="Times New Roman"/>
                <w:color w:val="000000"/>
                <w:sz w:val="20"/>
                <w:szCs w:val="20"/>
                <w:lang w:eastAsia="ru-RU"/>
              </w:rPr>
              <w:t>Ул. Закроевского</w:t>
            </w:r>
          </w:p>
        </w:tc>
        <w:tc>
          <w:tcPr>
            <w:tcW w:w="3347"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«Монетка»</w:t>
            </w:r>
          </w:p>
        </w:tc>
        <w:tc>
          <w:tcPr>
            <w:tcW w:w="1251" w:type="dxa"/>
            <w:tcBorders>
              <w:top w:val="single" w:sz="4" w:space="0" w:color="auto"/>
              <w:left w:val="single" w:sz="4" w:space="0" w:color="auto"/>
              <w:bottom w:val="nil"/>
              <w:right w:val="single" w:sz="4" w:space="0" w:color="auto"/>
            </w:tcBorders>
            <w:shd w:val="clear" w:color="auto" w:fill="FFFFFF"/>
            <w:vAlign w:val="center"/>
          </w:tcPr>
          <w:p w:rsidR="002D1E45" w:rsidRPr="001B59EA" w:rsidRDefault="002D1E45" w:rsidP="00CD3649">
            <w:pPr>
              <w:tabs>
                <w:tab w:val="left" w:leader="underscore" w:pos="732"/>
                <w:tab w:val="left" w:leader="underscore" w:pos="1650"/>
              </w:tabs>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I</w:t>
            </w:r>
          </w:p>
        </w:tc>
      </w:tr>
      <w:tr w:rsidR="002D1E45" w:rsidRPr="001B59EA" w:rsidTr="00685188">
        <w:trPr>
          <w:trHeight w:val="57"/>
          <w:jc w:val="center"/>
        </w:trPr>
        <w:tc>
          <w:tcPr>
            <w:tcW w:w="704"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14</w:t>
            </w:r>
          </w:p>
        </w:tc>
        <w:tc>
          <w:tcPr>
            <w:tcW w:w="1346"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К-150</w:t>
            </w:r>
          </w:p>
        </w:tc>
        <w:tc>
          <w:tcPr>
            <w:tcW w:w="2930" w:type="dxa"/>
            <w:tcBorders>
              <w:top w:val="single" w:sz="4" w:space="0" w:color="auto"/>
              <w:left w:val="single" w:sz="4" w:space="0" w:color="auto"/>
              <w:bottom w:val="nil"/>
              <w:right w:val="nil"/>
            </w:tcBorders>
            <w:shd w:val="clear" w:color="auto" w:fill="FFFFFF"/>
            <w:vAlign w:val="bottom"/>
          </w:tcPr>
          <w:p w:rsidR="002D1E45" w:rsidRPr="001B59EA" w:rsidRDefault="002D1E45" w:rsidP="00CD3649">
            <w:pPr>
              <w:spacing w:after="0" w:line="240" w:lineRule="auto"/>
              <w:rPr>
                <w:rFonts w:ascii="Times New Roman" w:hAnsi="Times New Roman"/>
                <w:sz w:val="20"/>
                <w:szCs w:val="20"/>
                <w:lang w:eastAsia="ru-RU"/>
              </w:rPr>
            </w:pPr>
            <w:r w:rsidRPr="001B59EA">
              <w:rPr>
                <w:rFonts w:ascii="Times New Roman" w:hAnsi="Times New Roman"/>
                <w:color w:val="000000"/>
                <w:sz w:val="20"/>
                <w:szCs w:val="20"/>
                <w:lang w:eastAsia="ru-RU"/>
              </w:rPr>
              <w:t>Ул. Закроевского</w:t>
            </w:r>
          </w:p>
        </w:tc>
        <w:tc>
          <w:tcPr>
            <w:tcW w:w="3347"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93,102</w:t>
            </w:r>
          </w:p>
        </w:tc>
        <w:tc>
          <w:tcPr>
            <w:tcW w:w="1251" w:type="dxa"/>
            <w:tcBorders>
              <w:top w:val="single" w:sz="4" w:space="0" w:color="auto"/>
              <w:left w:val="single" w:sz="4" w:space="0" w:color="auto"/>
              <w:bottom w:val="nil"/>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2</w:t>
            </w:r>
          </w:p>
        </w:tc>
      </w:tr>
      <w:tr w:rsidR="002D1E45" w:rsidRPr="001B59EA" w:rsidTr="00685188">
        <w:trPr>
          <w:trHeight w:val="57"/>
          <w:jc w:val="center"/>
        </w:trPr>
        <w:tc>
          <w:tcPr>
            <w:tcW w:w="704"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15</w:t>
            </w:r>
          </w:p>
        </w:tc>
        <w:tc>
          <w:tcPr>
            <w:tcW w:w="1346"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К-150</w:t>
            </w:r>
          </w:p>
        </w:tc>
        <w:tc>
          <w:tcPr>
            <w:tcW w:w="2930" w:type="dxa"/>
            <w:tcBorders>
              <w:top w:val="single" w:sz="4" w:space="0" w:color="auto"/>
              <w:left w:val="single" w:sz="4" w:space="0" w:color="auto"/>
              <w:bottom w:val="nil"/>
              <w:right w:val="nil"/>
            </w:tcBorders>
            <w:shd w:val="clear" w:color="auto" w:fill="FFFFFF"/>
            <w:vAlign w:val="bottom"/>
          </w:tcPr>
          <w:p w:rsidR="002D1E45" w:rsidRPr="001B59EA" w:rsidRDefault="002D1E45" w:rsidP="00CD3649">
            <w:pPr>
              <w:spacing w:after="0" w:line="240" w:lineRule="auto"/>
              <w:rPr>
                <w:rFonts w:ascii="Times New Roman" w:hAnsi="Times New Roman"/>
                <w:sz w:val="20"/>
                <w:szCs w:val="20"/>
                <w:lang w:eastAsia="ru-RU"/>
              </w:rPr>
            </w:pPr>
            <w:r w:rsidRPr="001B59EA">
              <w:rPr>
                <w:rFonts w:ascii="Times New Roman" w:hAnsi="Times New Roman"/>
                <w:color w:val="000000"/>
                <w:sz w:val="20"/>
                <w:szCs w:val="20"/>
                <w:lang w:eastAsia="ru-RU"/>
              </w:rPr>
              <w:t>Ул. Здвинского</w:t>
            </w:r>
          </w:p>
        </w:tc>
        <w:tc>
          <w:tcPr>
            <w:tcW w:w="3347"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7</w:t>
            </w:r>
          </w:p>
        </w:tc>
        <w:tc>
          <w:tcPr>
            <w:tcW w:w="1251" w:type="dxa"/>
            <w:tcBorders>
              <w:top w:val="single" w:sz="4" w:space="0" w:color="auto"/>
              <w:left w:val="single" w:sz="4" w:space="0" w:color="auto"/>
              <w:bottom w:val="nil"/>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1</w:t>
            </w:r>
          </w:p>
        </w:tc>
      </w:tr>
      <w:tr w:rsidR="002D1E45" w:rsidRPr="001B59EA" w:rsidTr="00685188">
        <w:trPr>
          <w:trHeight w:val="57"/>
          <w:jc w:val="center"/>
        </w:trPr>
        <w:tc>
          <w:tcPr>
            <w:tcW w:w="704"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16</w:t>
            </w:r>
          </w:p>
        </w:tc>
        <w:tc>
          <w:tcPr>
            <w:tcW w:w="1346"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К-200</w:t>
            </w:r>
          </w:p>
        </w:tc>
        <w:tc>
          <w:tcPr>
            <w:tcW w:w="2930" w:type="dxa"/>
            <w:tcBorders>
              <w:top w:val="single" w:sz="4" w:space="0" w:color="auto"/>
              <w:left w:val="single" w:sz="4" w:space="0" w:color="auto"/>
              <w:bottom w:val="nil"/>
              <w:right w:val="nil"/>
            </w:tcBorders>
            <w:shd w:val="clear" w:color="auto" w:fill="FFFFFF"/>
            <w:vAlign w:val="bottom"/>
          </w:tcPr>
          <w:p w:rsidR="002D1E45" w:rsidRPr="001B59EA" w:rsidRDefault="002D1E45" w:rsidP="00CD3649">
            <w:pPr>
              <w:spacing w:after="0" w:line="240" w:lineRule="auto"/>
              <w:rPr>
                <w:rFonts w:ascii="Times New Roman" w:hAnsi="Times New Roman"/>
                <w:sz w:val="20"/>
                <w:szCs w:val="20"/>
                <w:lang w:eastAsia="ru-RU"/>
              </w:rPr>
            </w:pPr>
            <w:r w:rsidRPr="001B59EA">
              <w:rPr>
                <w:rFonts w:ascii="Times New Roman" w:hAnsi="Times New Roman"/>
                <w:color w:val="000000"/>
                <w:sz w:val="20"/>
                <w:szCs w:val="20"/>
                <w:lang w:eastAsia="ru-RU"/>
              </w:rPr>
              <w:t>Ул. Репина</w:t>
            </w:r>
          </w:p>
        </w:tc>
        <w:tc>
          <w:tcPr>
            <w:tcW w:w="3347"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22</w:t>
            </w:r>
          </w:p>
        </w:tc>
        <w:tc>
          <w:tcPr>
            <w:tcW w:w="1251" w:type="dxa"/>
            <w:tcBorders>
              <w:top w:val="single" w:sz="4" w:space="0" w:color="auto"/>
              <w:left w:val="single" w:sz="4" w:space="0" w:color="auto"/>
              <w:bottom w:val="nil"/>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1</w:t>
            </w:r>
          </w:p>
        </w:tc>
      </w:tr>
      <w:tr w:rsidR="002D1E45" w:rsidRPr="001B59EA" w:rsidTr="00685188">
        <w:trPr>
          <w:trHeight w:val="57"/>
          <w:jc w:val="center"/>
        </w:trPr>
        <w:tc>
          <w:tcPr>
            <w:tcW w:w="704"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17</w:t>
            </w:r>
          </w:p>
        </w:tc>
        <w:tc>
          <w:tcPr>
            <w:tcW w:w="1346"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К-150</w:t>
            </w:r>
          </w:p>
        </w:tc>
        <w:tc>
          <w:tcPr>
            <w:tcW w:w="2930" w:type="dxa"/>
            <w:tcBorders>
              <w:top w:val="single" w:sz="4" w:space="0" w:color="auto"/>
              <w:left w:val="single" w:sz="4" w:space="0" w:color="auto"/>
              <w:bottom w:val="nil"/>
              <w:right w:val="nil"/>
            </w:tcBorders>
            <w:shd w:val="clear" w:color="auto" w:fill="FFFFFF"/>
            <w:vAlign w:val="bottom"/>
          </w:tcPr>
          <w:p w:rsidR="002D1E45" w:rsidRPr="001B59EA" w:rsidRDefault="002D1E45" w:rsidP="00CD3649">
            <w:pPr>
              <w:spacing w:after="0" w:line="240" w:lineRule="auto"/>
              <w:rPr>
                <w:rFonts w:ascii="Times New Roman" w:hAnsi="Times New Roman"/>
                <w:sz w:val="20"/>
                <w:szCs w:val="20"/>
                <w:lang w:eastAsia="ru-RU"/>
              </w:rPr>
            </w:pPr>
            <w:r w:rsidRPr="001B59EA">
              <w:rPr>
                <w:rFonts w:ascii="Times New Roman" w:hAnsi="Times New Roman"/>
                <w:color w:val="000000"/>
                <w:sz w:val="20"/>
                <w:szCs w:val="20"/>
                <w:lang w:eastAsia="ru-RU"/>
              </w:rPr>
              <w:t>Ул. Кутузова</w:t>
            </w:r>
          </w:p>
        </w:tc>
        <w:tc>
          <w:tcPr>
            <w:tcW w:w="3347"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37,47,53,65</w:t>
            </w:r>
          </w:p>
        </w:tc>
        <w:tc>
          <w:tcPr>
            <w:tcW w:w="1251" w:type="dxa"/>
            <w:tcBorders>
              <w:top w:val="single" w:sz="4" w:space="0" w:color="auto"/>
              <w:left w:val="single" w:sz="4" w:space="0" w:color="auto"/>
              <w:bottom w:val="nil"/>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4</w:t>
            </w:r>
          </w:p>
        </w:tc>
      </w:tr>
      <w:tr w:rsidR="002D1E45" w:rsidRPr="001B59EA" w:rsidTr="00685188">
        <w:trPr>
          <w:trHeight w:val="57"/>
          <w:jc w:val="center"/>
        </w:trPr>
        <w:tc>
          <w:tcPr>
            <w:tcW w:w="704"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18</w:t>
            </w:r>
          </w:p>
        </w:tc>
        <w:tc>
          <w:tcPr>
            <w:tcW w:w="1346"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К-150</w:t>
            </w:r>
          </w:p>
        </w:tc>
        <w:tc>
          <w:tcPr>
            <w:tcW w:w="2930" w:type="dxa"/>
            <w:tcBorders>
              <w:top w:val="single" w:sz="4" w:space="0" w:color="auto"/>
              <w:left w:val="single" w:sz="4" w:space="0" w:color="auto"/>
              <w:bottom w:val="nil"/>
              <w:right w:val="nil"/>
            </w:tcBorders>
            <w:shd w:val="clear" w:color="auto" w:fill="FFFFFF"/>
            <w:vAlign w:val="bottom"/>
          </w:tcPr>
          <w:p w:rsidR="002D1E45" w:rsidRPr="001B59EA" w:rsidRDefault="002D1E45" w:rsidP="00CD3649">
            <w:pPr>
              <w:spacing w:after="0" w:line="240" w:lineRule="auto"/>
              <w:rPr>
                <w:rFonts w:ascii="Times New Roman" w:hAnsi="Times New Roman"/>
                <w:sz w:val="20"/>
                <w:szCs w:val="20"/>
                <w:lang w:eastAsia="ru-RU"/>
              </w:rPr>
            </w:pPr>
            <w:r w:rsidRPr="001B59EA">
              <w:rPr>
                <w:rFonts w:ascii="Times New Roman" w:hAnsi="Times New Roman"/>
                <w:color w:val="000000"/>
                <w:sz w:val="20"/>
                <w:szCs w:val="20"/>
                <w:lang w:eastAsia="ru-RU"/>
              </w:rPr>
              <w:t>Ул. Кирова</w:t>
            </w:r>
          </w:p>
        </w:tc>
        <w:tc>
          <w:tcPr>
            <w:tcW w:w="3347"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13</w:t>
            </w:r>
          </w:p>
        </w:tc>
        <w:tc>
          <w:tcPr>
            <w:tcW w:w="1251" w:type="dxa"/>
            <w:tcBorders>
              <w:top w:val="single" w:sz="4" w:space="0" w:color="auto"/>
              <w:left w:val="single" w:sz="4" w:space="0" w:color="auto"/>
              <w:bottom w:val="nil"/>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1</w:t>
            </w:r>
          </w:p>
        </w:tc>
      </w:tr>
      <w:tr w:rsidR="002D1E45" w:rsidRPr="001B59EA" w:rsidTr="00685188">
        <w:trPr>
          <w:trHeight w:val="57"/>
          <w:jc w:val="center"/>
        </w:trPr>
        <w:tc>
          <w:tcPr>
            <w:tcW w:w="704"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19</w:t>
            </w:r>
          </w:p>
        </w:tc>
        <w:tc>
          <w:tcPr>
            <w:tcW w:w="1346"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К-150</w:t>
            </w:r>
          </w:p>
        </w:tc>
        <w:tc>
          <w:tcPr>
            <w:tcW w:w="2930" w:type="dxa"/>
            <w:tcBorders>
              <w:top w:val="single" w:sz="4" w:space="0" w:color="auto"/>
              <w:left w:val="single" w:sz="4" w:space="0" w:color="auto"/>
              <w:bottom w:val="nil"/>
              <w:right w:val="nil"/>
            </w:tcBorders>
            <w:shd w:val="clear" w:color="auto" w:fill="FFFFFF"/>
            <w:vAlign w:val="bottom"/>
          </w:tcPr>
          <w:p w:rsidR="002D1E45" w:rsidRPr="001B59EA" w:rsidRDefault="002D1E45" w:rsidP="00CD3649">
            <w:pPr>
              <w:spacing w:after="0" w:line="240" w:lineRule="auto"/>
              <w:rPr>
                <w:rFonts w:ascii="Times New Roman" w:hAnsi="Times New Roman"/>
                <w:sz w:val="20"/>
                <w:szCs w:val="20"/>
                <w:lang w:eastAsia="ru-RU"/>
              </w:rPr>
            </w:pPr>
            <w:r w:rsidRPr="001B59EA">
              <w:rPr>
                <w:rFonts w:ascii="Times New Roman" w:hAnsi="Times New Roman"/>
                <w:color w:val="000000"/>
                <w:sz w:val="20"/>
                <w:szCs w:val="20"/>
                <w:lang w:eastAsia="ru-RU"/>
              </w:rPr>
              <w:t>Ул. Кооперативная</w:t>
            </w:r>
          </w:p>
        </w:tc>
        <w:tc>
          <w:tcPr>
            <w:tcW w:w="3347"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73,101,151</w:t>
            </w:r>
          </w:p>
        </w:tc>
        <w:tc>
          <w:tcPr>
            <w:tcW w:w="1251" w:type="dxa"/>
            <w:tcBorders>
              <w:top w:val="single" w:sz="4" w:space="0" w:color="auto"/>
              <w:left w:val="single" w:sz="4" w:space="0" w:color="auto"/>
              <w:bottom w:val="nil"/>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3</w:t>
            </w:r>
          </w:p>
        </w:tc>
      </w:tr>
      <w:tr w:rsidR="002D1E45" w:rsidRPr="001B59EA" w:rsidTr="00685188">
        <w:trPr>
          <w:trHeight w:val="57"/>
          <w:jc w:val="center"/>
        </w:trPr>
        <w:tc>
          <w:tcPr>
            <w:tcW w:w="704"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20</w:t>
            </w:r>
          </w:p>
        </w:tc>
        <w:tc>
          <w:tcPr>
            <w:tcW w:w="1346"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К-150</w:t>
            </w:r>
          </w:p>
        </w:tc>
        <w:tc>
          <w:tcPr>
            <w:tcW w:w="2930" w:type="dxa"/>
            <w:tcBorders>
              <w:top w:val="single" w:sz="4" w:space="0" w:color="auto"/>
              <w:left w:val="single" w:sz="4" w:space="0" w:color="auto"/>
              <w:bottom w:val="nil"/>
              <w:right w:val="nil"/>
            </w:tcBorders>
            <w:shd w:val="clear" w:color="auto" w:fill="FFFFFF"/>
            <w:vAlign w:val="bottom"/>
          </w:tcPr>
          <w:p w:rsidR="002D1E45" w:rsidRPr="001B59EA" w:rsidRDefault="002D1E45" w:rsidP="00CD3649">
            <w:pPr>
              <w:spacing w:after="0" w:line="240" w:lineRule="auto"/>
              <w:rPr>
                <w:rFonts w:ascii="Times New Roman" w:hAnsi="Times New Roman"/>
                <w:sz w:val="20"/>
                <w:szCs w:val="20"/>
                <w:lang w:eastAsia="ru-RU"/>
              </w:rPr>
            </w:pPr>
            <w:r w:rsidRPr="001B59EA">
              <w:rPr>
                <w:rFonts w:ascii="Times New Roman" w:hAnsi="Times New Roman"/>
                <w:color w:val="000000"/>
                <w:sz w:val="20"/>
                <w:szCs w:val="20"/>
                <w:lang w:eastAsia="ru-RU"/>
              </w:rPr>
              <w:t>Ул. Коммунальная</w:t>
            </w:r>
          </w:p>
        </w:tc>
        <w:tc>
          <w:tcPr>
            <w:tcW w:w="3347"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9</w:t>
            </w:r>
          </w:p>
        </w:tc>
        <w:tc>
          <w:tcPr>
            <w:tcW w:w="1251" w:type="dxa"/>
            <w:tcBorders>
              <w:top w:val="single" w:sz="4" w:space="0" w:color="auto"/>
              <w:left w:val="single" w:sz="4" w:space="0" w:color="auto"/>
              <w:bottom w:val="nil"/>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1</w:t>
            </w:r>
          </w:p>
        </w:tc>
      </w:tr>
      <w:tr w:rsidR="002D1E45" w:rsidRPr="001B59EA" w:rsidTr="00685188">
        <w:trPr>
          <w:trHeight w:val="57"/>
          <w:jc w:val="center"/>
        </w:trPr>
        <w:tc>
          <w:tcPr>
            <w:tcW w:w="704"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21</w:t>
            </w:r>
          </w:p>
        </w:tc>
        <w:tc>
          <w:tcPr>
            <w:tcW w:w="1346"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К-200</w:t>
            </w:r>
          </w:p>
        </w:tc>
        <w:tc>
          <w:tcPr>
            <w:tcW w:w="2930" w:type="dxa"/>
            <w:tcBorders>
              <w:top w:val="single" w:sz="4" w:space="0" w:color="auto"/>
              <w:left w:val="single" w:sz="4" w:space="0" w:color="auto"/>
              <w:bottom w:val="nil"/>
              <w:right w:val="nil"/>
            </w:tcBorders>
            <w:shd w:val="clear" w:color="auto" w:fill="FFFFFF"/>
            <w:vAlign w:val="bottom"/>
          </w:tcPr>
          <w:p w:rsidR="002D1E45" w:rsidRPr="001B59EA" w:rsidRDefault="002D1E45" w:rsidP="00CD3649">
            <w:pPr>
              <w:spacing w:after="0" w:line="240" w:lineRule="auto"/>
              <w:rPr>
                <w:rFonts w:ascii="Times New Roman" w:hAnsi="Times New Roman"/>
                <w:sz w:val="20"/>
                <w:szCs w:val="20"/>
                <w:lang w:eastAsia="ru-RU"/>
              </w:rPr>
            </w:pPr>
            <w:r w:rsidRPr="001B59EA">
              <w:rPr>
                <w:rFonts w:ascii="Times New Roman" w:hAnsi="Times New Roman"/>
                <w:color w:val="000000"/>
                <w:sz w:val="20"/>
                <w:szCs w:val="20"/>
                <w:lang w:eastAsia="ru-RU"/>
              </w:rPr>
              <w:t>Ул. Красная</w:t>
            </w:r>
          </w:p>
        </w:tc>
        <w:tc>
          <w:tcPr>
            <w:tcW w:w="3347"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16 (школа № 1), 26</w:t>
            </w:r>
          </w:p>
        </w:tc>
        <w:tc>
          <w:tcPr>
            <w:tcW w:w="1251" w:type="dxa"/>
            <w:tcBorders>
              <w:top w:val="single" w:sz="4" w:space="0" w:color="auto"/>
              <w:left w:val="single" w:sz="4" w:space="0" w:color="auto"/>
              <w:bottom w:val="nil"/>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2</w:t>
            </w:r>
          </w:p>
        </w:tc>
      </w:tr>
      <w:tr w:rsidR="002D1E45" w:rsidRPr="001B59EA" w:rsidTr="00685188">
        <w:trPr>
          <w:trHeight w:val="57"/>
          <w:jc w:val="center"/>
        </w:trPr>
        <w:tc>
          <w:tcPr>
            <w:tcW w:w="704"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22</w:t>
            </w:r>
          </w:p>
        </w:tc>
        <w:tc>
          <w:tcPr>
            <w:tcW w:w="1346"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К-200</w:t>
            </w:r>
          </w:p>
        </w:tc>
        <w:tc>
          <w:tcPr>
            <w:tcW w:w="2930" w:type="dxa"/>
            <w:tcBorders>
              <w:top w:val="single" w:sz="4" w:space="0" w:color="auto"/>
              <w:left w:val="single" w:sz="4" w:space="0" w:color="auto"/>
              <w:bottom w:val="nil"/>
              <w:right w:val="nil"/>
            </w:tcBorders>
            <w:shd w:val="clear" w:color="auto" w:fill="FFFFFF"/>
            <w:vAlign w:val="bottom"/>
          </w:tcPr>
          <w:p w:rsidR="002D1E45" w:rsidRPr="001B59EA" w:rsidRDefault="002D1E45" w:rsidP="00CD3649">
            <w:pPr>
              <w:spacing w:after="0" w:line="240" w:lineRule="auto"/>
              <w:rPr>
                <w:rFonts w:ascii="Times New Roman" w:hAnsi="Times New Roman"/>
                <w:sz w:val="20"/>
                <w:szCs w:val="20"/>
                <w:lang w:eastAsia="ru-RU"/>
              </w:rPr>
            </w:pPr>
            <w:r w:rsidRPr="001B59EA">
              <w:rPr>
                <w:rFonts w:ascii="Times New Roman" w:hAnsi="Times New Roman"/>
                <w:color w:val="000000"/>
                <w:sz w:val="20"/>
                <w:szCs w:val="20"/>
                <w:lang w:eastAsia="ru-RU"/>
              </w:rPr>
              <w:t>Ул. Коммунистическая</w:t>
            </w:r>
          </w:p>
        </w:tc>
        <w:tc>
          <w:tcPr>
            <w:tcW w:w="3347"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29,52,60</w:t>
            </w:r>
          </w:p>
        </w:tc>
        <w:tc>
          <w:tcPr>
            <w:tcW w:w="1251" w:type="dxa"/>
            <w:tcBorders>
              <w:top w:val="single" w:sz="4" w:space="0" w:color="auto"/>
              <w:left w:val="single" w:sz="4" w:space="0" w:color="auto"/>
              <w:bottom w:val="nil"/>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3</w:t>
            </w:r>
          </w:p>
        </w:tc>
      </w:tr>
      <w:tr w:rsidR="002D1E45" w:rsidRPr="001B59EA" w:rsidTr="00685188">
        <w:trPr>
          <w:trHeight w:val="57"/>
          <w:jc w:val="center"/>
        </w:trPr>
        <w:tc>
          <w:tcPr>
            <w:tcW w:w="704"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23</w:t>
            </w:r>
          </w:p>
        </w:tc>
        <w:tc>
          <w:tcPr>
            <w:tcW w:w="1346"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К-300</w:t>
            </w:r>
          </w:p>
        </w:tc>
        <w:tc>
          <w:tcPr>
            <w:tcW w:w="2930" w:type="dxa"/>
            <w:tcBorders>
              <w:top w:val="single" w:sz="4" w:space="0" w:color="auto"/>
              <w:left w:val="single" w:sz="4" w:space="0" w:color="auto"/>
              <w:bottom w:val="nil"/>
              <w:right w:val="nil"/>
            </w:tcBorders>
            <w:shd w:val="clear" w:color="auto" w:fill="FFFFFF"/>
            <w:vAlign w:val="bottom"/>
          </w:tcPr>
          <w:p w:rsidR="002D1E45" w:rsidRPr="001B59EA" w:rsidRDefault="002D1E45" w:rsidP="00CD3649">
            <w:pPr>
              <w:spacing w:after="0" w:line="240" w:lineRule="auto"/>
              <w:rPr>
                <w:rFonts w:ascii="Times New Roman" w:hAnsi="Times New Roman"/>
                <w:sz w:val="20"/>
                <w:szCs w:val="20"/>
                <w:lang w:eastAsia="ru-RU"/>
              </w:rPr>
            </w:pPr>
            <w:r w:rsidRPr="001B59EA">
              <w:rPr>
                <w:rFonts w:ascii="Times New Roman" w:hAnsi="Times New Roman"/>
                <w:color w:val="000000"/>
                <w:sz w:val="20"/>
                <w:szCs w:val="20"/>
                <w:lang w:eastAsia="ru-RU"/>
              </w:rPr>
              <w:t>Ул. 1-Я Красноармейская</w:t>
            </w:r>
          </w:p>
        </w:tc>
        <w:tc>
          <w:tcPr>
            <w:tcW w:w="3347"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1(СПШ), 51,6</w:t>
            </w:r>
          </w:p>
        </w:tc>
        <w:tc>
          <w:tcPr>
            <w:tcW w:w="1251" w:type="dxa"/>
            <w:tcBorders>
              <w:top w:val="single" w:sz="4" w:space="0" w:color="auto"/>
              <w:left w:val="single" w:sz="4" w:space="0" w:color="auto"/>
              <w:bottom w:val="nil"/>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3</w:t>
            </w:r>
          </w:p>
        </w:tc>
      </w:tr>
      <w:tr w:rsidR="002D1E45" w:rsidRPr="001B59EA" w:rsidTr="00685188">
        <w:trPr>
          <w:trHeight w:val="57"/>
          <w:jc w:val="center"/>
        </w:trPr>
        <w:tc>
          <w:tcPr>
            <w:tcW w:w="704"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24</w:t>
            </w:r>
          </w:p>
        </w:tc>
        <w:tc>
          <w:tcPr>
            <w:tcW w:w="1346"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К-100</w:t>
            </w:r>
          </w:p>
        </w:tc>
        <w:tc>
          <w:tcPr>
            <w:tcW w:w="2930" w:type="dxa"/>
            <w:tcBorders>
              <w:top w:val="single" w:sz="4" w:space="0" w:color="auto"/>
              <w:left w:val="single" w:sz="4" w:space="0" w:color="auto"/>
              <w:bottom w:val="nil"/>
              <w:right w:val="nil"/>
            </w:tcBorders>
            <w:shd w:val="clear" w:color="auto" w:fill="FFFFFF"/>
            <w:vAlign w:val="bottom"/>
          </w:tcPr>
          <w:p w:rsidR="002D1E45" w:rsidRPr="001B59EA" w:rsidRDefault="002D1E45" w:rsidP="00CD3649">
            <w:pPr>
              <w:spacing w:after="0" w:line="240" w:lineRule="auto"/>
              <w:rPr>
                <w:rFonts w:ascii="Times New Roman" w:hAnsi="Times New Roman"/>
                <w:sz w:val="20"/>
                <w:szCs w:val="20"/>
                <w:lang w:eastAsia="ru-RU"/>
              </w:rPr>
            </w:pPr>
            <w:r w:rsidRPr="001B59EA">
              <w:rPr>
                <w:rFonts w:ascii="Times New Roman" w:hAnsi="Times New Roman"/>
                <w:color w:val="000000"/>
                <w:sz w:val="20"/>
                <w:szCs w:val="20"/>
                <w:lang w:eastAsia="ru-RU"/>
              </w:rPr>
              <w:t>Ул. Красильникова</w:t>
            </w:r>
          </w:p>
        </w:tc>
        <w:tc>
          <w:tcPr>
            <w:tcW w:w="3347"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25</w:t>
            </w:r>
          </w:p>
        </w:tc>
        <w:tc>
          <w:tcPr>
            <w:tcW w:w="1251" w:type="dxa"/>
            <w:tcBorders>
              <w:top w:val="single" w:sz="4" w:space="0" w:color="auto"/>
              <w:left w:val="single" w:sz="4" w:space="0" w:color="auto"/>
              <w:bottom w:val="nil"/>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1</w:t>
            </w:r>
          </w:p>
        </w:tc>
      </w:tr>
      <w:tr w:rsidR="002D1E45" w:rsidRPr="001B59EA" w:rsidTr="00685188">
        <w:trPr>
          <w:trHeight w:val="57"/>
          <w:jc w:val="center"/>
        </w:trPr>
        <w:tc>
          <w:tcPr>
            <w:tcW w:w="704"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25</w:t>
            </w:r>
          </w:p>
        </w:tc>
        <w:tc>
          <w:tcPr>
            <w:tcW w:w="1346"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К-300</w:t>
            </w:r>
          </w:p>
        </w:tc>
        <w:tc>
          <w:tcPr>
            <w:tcW w:w="2930" w:type="dxa"/>
            <w:tcBorders>
              <w:top w:val="single" w:sz="4" w:space="0" w:color="auto"/>
              <w:left w:val="single" w:sz="4" w:space="0" w:color="auto"/>
              <w:bottom w:val="nil"/>
              <w:right w:val="nil"/>
            </w:tcBorders>
            <w:shd w:val="clear" w:color="auto" w:fill="FFFFFF"/>
            <w:vAlign w:val="bottom"/>
          </w:tcPr>
          <w:p w:rsidR="002D1E45" w:rsidRPr="001B59EA" w:rsidRDefault="002D1E45" w:rsidP="00CD3649">
            <w:pPr>
              <w:spacing w:after="0" w:line="240" w:lineRule="auto"/>
              <w:rPr>
                <w:rFonts w:ascii="Times New Roman" w:hAnsi="Times New Roman"/>
                <w:sz w:val="20"/>
                <w:szCs w:val="20"/>
                <w:lang w:eastAsia="ru-RU"/>
              </w:rPr>
            </w:pPr>
            <w:r w:rsidRPr="001B59EA">
              <w:rPr>
                <w:rFonts w:ascii="Times New Roman" w:hAnsi="Times New Roman"/>
                <w:color w:val="000000"/>
                <w:sz w:val="20"/>
                <w:szCs w:val="20"/>
                <w:lang w:eastAsia="ru-RU"/>
              </w:rPr>
              <w:t>Ул. 2</w:t>
            </w:r>
            <w:r>
              <w:rPr>
                <w:rFonts w:ascii="Times New Roman" w:hAnsi="Times New Roman"/>
                <w:color w:val="000000"/>
                <w:sz w:val="20"/>
                <w:szCs w:val="20"/>
                <w:lang w:eastAsia="ru-RU"/>
              </w:rPr>
              <w:t>-</w:t>
            </w:r>
            <w:r w:rsidRPr="001B59EA">
              <w:rPr>
                <w:rFonts w:ascii="Times New Roman" w:hAnsi="Times New Roman"/>
                <w:color w:val="000000"/>
                <w:sz w:val="20"/>
                <w:szCs w:val="20"/>
                <w:lang w:eastAsia="ru-RU"/>
              </w:rPr>
              <w:t>Ая Красноармейская</w:t>
            </w:r>
          </w:p>
        </w:tc>
        <w:tc>
          <w:tcPr>
            <w:tcW w:w="3347" w:type="dxa"/>
            <w:tcBorders>
              <w:top w:val="single" w:sz="4" w:space="0" w:color="auto"/>
              <w:left w:val="single" w:sz="4" w:space="0" w:color="auto"/>
              <w:bottom w:val="nil"/>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5,9</w:t>
            </w:r>
          </w:p>
        </w:tc>
        <w:tc>
          <w:tcPr>
            <w:tcW w:w="1251" w:type="dxa"/>
            <w:tcBorders>
              <w:top w:val="single" w:sz="4" w:space="0" w:color="auto"/>
              <w:left w:val="single" w:sz="4" w:space="0" w:color="auto"/>
              <w:bottom w:val="nil"/>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2</w:t>
            </w:r>
          </w:p>
        </w:tc>
      </w:tr>
      <w:tr w:rsidR="002D1E45" w:rsidRPr="001B59EA"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26</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sz w:val="20"/>
                <w:szCs w:val="20"/>
                <w:lang w:eastAsia="ru-RU"/>
              </w:rPr>
            </w:pPr>
            <w:r w:rsidRPr="001B59EA">
              <w:rPr>
                <w:rFonts w:ascii="Times New Roman" w:hAnsi="Times New Roman"/>
                <w:color w:val="000000"/>
                <w:sz w:val="20"/>
                <w:szCs w:val="20"/>
                <w:lang w:eastAsia="ru-RU"/>
              </w:rPr>
              <w:t>Ул. Калугина</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6</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sz w:val="20"/>
                <w:szCs w:val="20"/>
                <w:lang w:eastAsia="ru-RU"/>
              </w:rPr>
            </w:pPr>
            <w:r w:rsidRPr="001B59EA">
              <w:rPr>
                <w:rFonts w:ascii="Times New Roman" w:hAnsi="Times New Roman"/>
                <w:color w:val="000000"/>
                <w:sz w:val="20"/>
                <w:szCs w:val="20"/>
                <w:lang w:eastAsia="ru-RU"/>
              </w:rPr>
              <w:t>1</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27</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К-500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Ул. Первомайская Площадь</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60м от остановки к АЗС</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1</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28</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Ул. С.Лазо</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4,61</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2</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29</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К-200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Ул. Макарова</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1,26,60</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3</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30</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К-200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Ул. Мошнинская</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1,12,49,66</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4</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31</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Ул. Маяковского</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59 маг. «Гермес»</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1</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32</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К-300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Ул. Маяковского</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57,44</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2</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33</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К-500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Ул. Молодёжная</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1, 3 (общежитие ПУ-89)</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2</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34</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К-110, 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Ул. Молодёжная</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5 (мастерская НУ-89), 7-3 шт.</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4</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35</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К-110,150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Ул. Матросова</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3,13,20,28,36</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5</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36</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Ул. Набережная</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2а,26,36,60,72</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5</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37</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 200,150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Ул. Омская</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8,28а,61,71,85</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5</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38</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Ул. Первомайская</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10</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1</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39</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Ул. 19-</w:t>
            </w:r>
            <w:r>
              <w:rPr>
                <w:rFonts w:ascii="Times New Roman" w:hAnsi="Times New Roman"/>
                <w:color w:val="000000"/>
                <w:sz w:val="20"/>
                <w:szCs w:val="20"/>
                <w:lang w:eastAsia="ru-RU"/>
              </w:rPr>
              <w:t>г</w:t>
            </w:r>
            <w:r w:rsidRPr="001B59EA">
              <w:rPr>
                <w:rFonts w:ascii="Times New Roman" w:hAnsi="Times New Roman"/>
                <w:color w:val="000000"/>
                <w:sz w:val="20"/>
                <w:szCs w:val="20"/>
                <w:lang w:eastAsia="ru-RU"/>
              </w:rPr>
              <w:t>о Партсъезда</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9,19</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2</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40</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Ул. Папшева</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10</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1</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41</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Ул. Сарайная</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1,23</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2</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42</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К-150,200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Ул. Суворова</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8,33</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2</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43</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К-200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Ул. Свердлова</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32</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1</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44</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Ул. Строительная</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3</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1</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45</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Ул. Свободы</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62</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46</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 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Ул. Советская</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34</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1</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47</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Ул. Каинская</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Магазин № 13, 78 (школа №5)</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2</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48</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Ул. Щетинкина</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17</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1</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49</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Учебный Городок КСХТ</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3, гараж № 106</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2</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50</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К-110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Ул. Фрунзе</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9, МКК-95</w:t>
            </w:r>
            <w:r>
              <w:rPr>
                <w:rFonts w:ascii="Times New Roman" w:hAnsi="Times New Roman"/>
                <w:color w:val="000000"/>
                <w:sz w:val="20"/>
                <w:szCs w:val="20"/>
                <w:lang w:eastAsia="ru-RU"/>
              </w:rPr>
              <w:t xml:space="preserve"> </w:t>
            </w:r>
            <w:r w:rsidRPr="001B59EA">
              <w:rPr>
                <w:rFonts w:ascii="Times New Roman" w:hAnsi="Times New Roman"/>
                <w:color w:val="000000"/>
                <w:sz w:val="20"/>
                <w:szCs w:val="20"/>
                <w:lang w:eastAsia="ru-RU"/>
              </w:rPr>
              <w:t>(магазин),32</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3</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51</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К-110, 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Ул. Чапаева</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4,12,24,38</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4</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52</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 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Ул. Шевченко</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6</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1</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53</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Ул. О. Кошевого</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12</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1</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54</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К-200, 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Ул. Партизанская</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2 (СОК «Олимп»)</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2</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55</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Ул. Павлова</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30,42</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2</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56</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К-200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Ул. Луговая</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ДОУ «Родничок»</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1</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7</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Ул. Краскома</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32 (комета). 32 (комета-банк)</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2</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58</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К-150,200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 xml:space="preserve">Ул. Светлая </w:t>
            </w:r>
            <w:r w:rsidRPr="001B59EA">
              <w:rPr>
                <w:rFonts w:ascii="Times New Roman" w:hAnsi="Times New Roman"/>
                <w:color w:val="000000"/>
                <w:sz w:val="20"/>
                <w:szCs w:val="20"/>
                <w:lang w:eastAsia="ru-RU"/>
              </w:rPr>
              <w:tab/>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1,11-2 шт.</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3</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59</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Ул. Снежная</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8,14</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2</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60</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К-100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Ул. Короленко</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31</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1</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61</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Ул. Карбышева</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5,21</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2</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62</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Ул. Юбилейная</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2</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1</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63</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К-110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Ул. Мясокомбинатовская</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7,24</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2</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64</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К-110,300</w:t>
            </w:r>
          </w:p>
        </w:tc>
        <w:tc>
          <w:tcPr>
            <w:tcW w:w="2930"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Квартал № 1</w:t>
            </w:r>
            <w:r w:rsidRPr="001B59EA">
              <w:rPr>
                <w:rFonts w:ascii="Times New Roman" w:hAnsi="Times New Roman"/>
                <w:color w:val="000000"/>
                <w:sz w:val="20"/>
                <w:szCs w:val="20"/>
                <w:lang w:eastAsia="ru-RU"/>
              </w:rPr>
              <w:tab/>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 xml:space="preserve">2,3,4,9,1 </w:t>
            </w:r>
            <w:r>
              <w:rPr>
                <w:rFonts w:ascii="Times New Roman" w:hAnsi="Times New Roman"/>
                <w:color w:val="000000"/>
                <w:sz w:val="20"/>
                <w:szCs w:val="20"/>
                <w:lang w:eastAsia="ru-RU"/>
              </w:rPr>
              <w:t>3</w:t>
            </w:r>
            <w:r w:rsidRPr="001B59EA">
              <w:rPr>
                <w:rFonts w:ascii="Times New Roman" w:hAnsi="Times New Roman"/>
                <w:color w:val="000000"/>
                <w:sz w:val="20"/>
                <w:szCs w:val="20"/>
                <w:lang w:eastAsia="ru-RU"/>
              </w:rPr>
              <w:t>а,29</w:t>
            </w:r>
            <w:r>
              <w:rPr>
                <w:rFonts w:ascii="Times New Roman" w:hAnsi="Times New Roman"/>
                <w:color w:val="000000"/>
                <w:sz w:val="20"/>
                <w:szCs w:val="20"/>
                <w:lang w:eastAsia="ru-RU"/>
              </w:rPr>
              <w:t xml:space="preserve"> </w:t>
            </w:r>
            <w:r w:rsidRPr="001B59EA">
              <w:rPr>
                <w:rFonts w:ascii="Times New Roman" w:hAnsi="Times New Roman"/>
                <w:color w:val="000000"/>
                <w:sz w:val="20"/>
                <w:szCs w:val="20"/>
                <w:lang w:eastAsia="ru-RU"/>
              </w:rPr>
              <w:t>(Ланта-Банк), АТС</w:t>
            </w:r>
            <w:r>
              <w:rPr>
                <w:rFonts w:ascii="Times New Roman" w:hAnsi="Times New Roman"/>
                <w:color w:val="000000"/>
                <w:sz w:val="20"/>
                <w:szCs w:val="20"/>
                <w:lang w:eastAsia="ru-RU"/>
              </w:rPr>
              <w:t>10</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8</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65</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К-300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Квартал № 1 А</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3</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1</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66</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К-300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Квартал № 2</w:t>
            </w:r>
            <w:r w:rsidRPr="001B59EA">
              <w:rPr>
                <w:rFonts w:ascii="Times New Roman" w:hAnsi="Times New Roman"/>
                <w:color w:val="000000"/>
                <w:sz w:val="20"/>
                <w:szCs w:val="20"/>
                <w:lang w:eastAsia="ru-RU"/>
              </w:rPr>
              <w:tab/>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4а</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1</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67</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К-200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Квартал № 3</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1,16</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2</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68</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К-200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Квартал № 4</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7 (Дом ребёнка)</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1</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69</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К-200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Квартал № 5</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Школа № 10, 5 (маг. Мебель)</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2</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70</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К-100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Квартал № 6</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1</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1</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71</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К-200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Квартал № 7</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1,2, 8а (баня)</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3</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72</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К-200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Квартал № 8</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17а</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1</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73</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К-100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Квартал № 9</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6,8,9 (Сибириада)</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3</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74</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К-200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Квартал № 10</w:t>
            </w:r>
            <w:r w:rsidRPr="001B59EA">
              <w:rPr>
                <w:rFonts w:ascii="Times New Roman" w:hAnsi="Times New Roman"/>
                <w:color w:val="000000"/>
                <w:sz w:val="20"/>
                <w:szCs w:val="20"/>
                <w:lang w:eastAsia="ru-RU"/>
              </w:rPr>
              <w:tab/>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1,2,9,10</w:t>
            </w:r>
            <w:r w:rsidRPr="001B59EA">
              <w:rPr>
                <w:rFonts w:ascii="Times New Roman" w:hAnsi="Times New Roman"/>
                <w:color w:val="000000"/>
                <w:sz w:val="20"/>
                <w:szCs w:val="20"/>
                <w:lang w:eastAsia="ru-RU"/>
              </w:rPr>
              <w:tab/>
              <w:t>,</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4</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 xml:space="preserve">75 </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Квартал № 11</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2,8,11</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3</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76</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К-И50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Квартал № ]3</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1,5-2шт.</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3</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77</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К-200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Квартал № 14</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2,5</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2</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78</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К-300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Квартал № 15</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4,8,3,1</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4</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79</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К-200</w:t>
            </w:r>
          </w:p>
        </w:tc>
        <w:tc>
          <w:tcPr>
            <w:tcW w:w="2930"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685188">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Пос. Южный</w:t>
            </w:r>
            <w:r w:rsidRPr="001B59EA">
              <w:rPr>
                <w:rFonts w:ascii="Times New Roman" w:hAnsi="Times New Roman"/>
                <w:color w:val="000000"/>
                <w:sz w:val="20"/>
                <w:szCs w:val="20"/>
                <w:lang w:eastAsia="ru-RU"/>
              </w:rPr>
              <w:tab/>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4-2 шт., 5,1,7,8, 1 (ЦТП),3 (МШНД) - 3</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10</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80</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К-200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Ул. Плановая</w:t>
            </w:r>
            <w:r w:rsidRPr="001B59EA">
              <w:rPr>
                <w:rFonts w:ascii="Times New Roman" w:hAnsi="Times New Roman"/>
                <w:color w:val="000000"/>
                <w:sz w:val="20"/>
                <w:szCs w:val="20"/>
                <w:lang w:eastAsia="ru-RU"/>
              </w:rPr>
              <w:tab/>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5/1</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1</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 xml:space="preserve"> 81</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К-200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Пос. Энергетик</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Остановка Песчаная</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1</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82</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 xml:space="preserve">Ул. С. Разина </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26</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1</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83</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К-100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Ул. Путевая</w:t>
            </w:r>
            <w:r w:rsidRPr="001B59EA">
              <w:rPr>
                <w:rFonts w:ascii="Times New Roman" w:hAnsi="Times New Roman"/>
                <w:color w:val="000000"/>
                <w:sz w:val="20"/>
                <w:szCs w:val="20"/>
                <w:lang w:eastAsia="ru-RU"/>
              </w:rPr>
              <w:tab/>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8/2 (пилорама)</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1</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84</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Ул. Ромашковая</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1,12</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2</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75</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Квартал № 11</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2</w:t>
            </w:r>
            <w:r w:rsidRPr="001B59EA">
              <w:rPr>
                <w:rFonts w:ascii="Times New Roman" w:hAnsi="Times New Roman"/>
                <w:color w:val="000000"/>
                <w:sz w:val="20"/>
                <w:szCs w:val="20"/>
                <w:lang w:eastAsia="ru-RU"/>
              </w:rPr>
              <w:t>,8,11</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3</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76</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w:t>
            </w:r>
            <w:r>
              <w:rPr>
                <w:rFonts w:ascii="Times New Roman" w:hAnsi="Times New Roman"/>
                <w:color w:val="000000"/>
                <w:sz w:val="20"/>
                <w:szCs w:val="20"/>
                <w:lang w:eastAsia="ru-RU"/>
              </w:rPr>
              <w:t>11</w:t>
            </w:r>
            <w:r w:rsidRPr="001B59EA">
              <w:rPr>
                <w:rFonts w:ascii="Times New Roman" w:hAnsi="Times New Roman"/>
                <w:color w:val="000000"/>
                <w:sz w:val="20"/>
                <w:szCs w:val="20"/>
                <w:lang w:eastAsia="ru-RU"/>
              </w:rPr>
              <w:t>5</w:t>
            </w:r>
            <w:r>
              <w:rPr>
                <w:rFonts w:ascii="Times New Roman" w:hAnsi="Times New Roman"/>
                <w:color w:val="000000"/>
                <w:sz w:val="20"/>
                <w:szCs w:val="20"/>
                <w:lang w:eastAsia="ru-RU"/>
              </w:rPr>
              <w:t>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Квартал № 13</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1,5-2</w:t>
            </w:r>
            <w:r>
              <w:rPr>
                <w:rFonts w:ascii="Times New Roman" w:hAnsi="Times New Roman"/>
                <w:color w:val="000000"/>
                <w:sz w:val="20"/>
                <w:szCs w:val="20"/>
                <w:lang w:eastAsia="ru-RU"/>
              </w:rPr>
              <w:t xml:space="preserve"> </w:t>
            </w:r>
            <w:r w:rsidRPr="001B59EA">
              <w:rPr>
                <w:rFonts w:ascii="Times New Roman" w:hAnsi="Times New Roman"/>
                <w:color w:val="000000"/>
                <w:sz w:val="20"/>
                <w:szCs w:val="20"/>
                <w:lang w:eastAsia="ru-RU"/>
              </w:rPr>
              <w:t>шт.</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3</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77</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К-200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Квартал № 14</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2,5</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2</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78</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К-300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Квартал № 15</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4,8,3,1</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4</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79</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К-200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Пос. Южный</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4-2 шт., 5.1,7,8, 1 (ЦТП),3 (МШНД) 3</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10</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80</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К-200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Ул. Плановая</w:t>
            </w:r>
            <w:r w:rsidRPr="001B59EA">
              <w:rPr>
                <w:rFonts w:ascii="Times New Roman" w:hAnsi="Times New Roman"/>
                <w:color w:val="000000"/>
                <w:sz w:val="20"/>
                <w:szCs w:val="20"/>
                <w:lang w:eastAsia="ru-RU"/>
              </w:rPr>
              <w:tab/>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5/1</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1</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81</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К-200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Пос. Энергетик</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Остановка Песчаная</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I</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82</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Ул. С.</w:t>
            </w:r>
            <w:r>
              <w:rPr>
                <w:rFonts w:ascii="Times New Roman" w:hAnsi="Times New Roman"/>
                <w:color w:val="000000"/>
                <w:sz w:val="20"/>
                <w:szCs w:val="20"/>
                <w:lang w:eastAsia="ru-RU"/>
              </w:rPr>
              <w:t xml:space="preserve"> </w:t>
            </w:r>
            <w:r w:rsidRPr="001B59EA">
              <w:rPr>
                <w:rFonts w:ascii="Times New Roman" w:hAnsi="Times New Roman"/>
                <w:color w:val="000000"/>
                <w:sz w:val="20"/>
                <w:szCs w:val="20"/>
                <w:lang w:eastAsia="ru-RU"/>
              </w:rPr>
              <w:t>Разина</w:t>
            </w:r>
            <w:r w:rsidRPr="001B59EA">
              <w:rPr>
                <w:rFonts w:ascii="Times New Roman" w:hAnsi="Times New Roman"/>
                <w:color w:val="000000"/>
                <w:sz w:val="20"/>
                <w:szCs w:val="20"/>
                <w:lang w:eastAsia="ru-RU"/>
              </w:rPr>
              <w:tab/>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26</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1</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83</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К-100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Ул. Путевая</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8/2 (пилорама)</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1</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84</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Ул. Ромашковая</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1,12</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2</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85</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К-100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Ул. Крылова</w:t>
            </w:r>
            <w:r w:rsidRPr="001B59EA">
              <w:rPr>
                <w:rFonts w:ascii="Times New Roman" w:hAnsi="Times New Roman"/>
                <w:color w:val="000000"/>
                <w:sz w:val="20"/>
                <w:szCs w:val="20"/>
                <w:lang w:eastAsia="ru-RU"/>
              </w:rPr>
              <w:tab/>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6,18,32,54</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4</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86</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К-100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Ул, Котовского</w:t>
            </w:r>
            <w:r w:rsidRPr="001B59EA">
              <w:rPr>
                <w:rFonts w:ascii="Times New Roman" w:hAnsi="Times New Roman"/>
                <w:color w:val="000000"/>
                <w:sz w:val="20"/>
                <w:szCs w:val="20"/>
                <w:lang w:eastAsia="ru-RU"/>
              </w:rPr>
              <w:tab/>
              <w:t>_</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44</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1</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87</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К-100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Ул. Б.</w:t>
            </w:r>
            <w:r>
              <w:rPr>
                <w:rFonts w:ascii="Times New Roman" w:hAnsi="Times New Roman"/>
                <w:color w:val="000000"/>
                <w:sz w:val="20"/>
                <w:szCs w:val="20"/>
                <w:lang w:eastAsia="ru-RU"/>
              </w:rPr>
              <w:t xml:space="preserve"> </w:t>
            </w:r>
            <w:r w:rsidRPr="001B59EA">
              <w:rPr>
                <w:rFonts w:ascii="Times New Roman" w:hAnsi="Times New Roman"/>
                <w:color w:val="000000"/>
                <w:sz w:val="20"/>
                <w:szCs w:val="20"/>
                <w:lang w:eastAsia="ru-RU"/>
              </w:rPr>
              <w:t>Х</w:t>
            </w:r>
            <w:r>
              <w:rPr>
                <w:rFonts w:ascii="Times New Roman" w:hAnsi="Times New Roman"/>
                <w:color w:val="000000"/>
                <w:sz w:val="20"/>
                <w:szCs w:val="20"/>
                <w:lang w:eastAsia="ru-RU"/>
              </w:rPr>
              <w:t>м</w:t>
            </w:r>
            <w:r w:rsidRPr="001B59EA">
              <w:rPr>
                <w:rFonts w:ascii="Times New Roman" w:hAnsi="Times New Roman"/>
                <w:color w:val="000000"/>
                <w:sz w:val="20"/>
                <w:szCs w:val="20"/>
                <w:lang w:eastAsia="ru-RU"/>
              </w:rPr>
              <w:t>ельницкого</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5,24,40</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3</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88</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К-100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Ул. Фурманова</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1а,5</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2</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89</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Ул. Крупская</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10,26</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2</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90</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Ул. Тупиковая</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21</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91</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Ул. Космическая</w:t>
            </w:r>
            <w:r w:rsidRPr="001B59EA">
              <w:rPr>
                <w:rFonts w:ascii="Times New Roman" w:hAnsi="Times New Roman"/>
                <w:color w:val="000000"/>
                <w:sz w:val="20"/>
                <w:szCs w:val="20"/>
                <w:lang w:eastAsia="ru-RU"/>
              </w:rPr>
              <w:tab/>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5/2</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1</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92</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К-100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Ул. Звёздная</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Перекрёсток ул. С Лазо</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1</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93</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Ул. 1-Ая Красноармейская</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1</w:t>
            </w:r>
            <w:r w:rsidRPr="001B59EA">
              <w:rPr>
                <w:rFonts w:ascii="Times New Roman" w:hAnsi="Times New Roman"/>
                <w:color w:val="000000"/>
                <w:sz w:val="20"/>
                <w:szCs w:val="20"/>
                <w:lang w:eastAsia="ru-RU"/>
              </w:rPr>
              <w:t>09 (НФС)</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2</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94</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К-110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Ул. Пожарского</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24</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95</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К-110</w:t>
            </w:r>
          </w:p>
        </w:tc>
        <w:tc>
          <w:tcPr>
            <w:tcW w:w="2930"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Ул. Мичурина</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29,43,59</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3</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96</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Ул. Озёрная</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32,48/2</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2</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97</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К-110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Ул. Фадеева</w:t>
            </w:r>
            <w:r w:rsidRPr="001B59EA">
              <w:rPr>
                <w:rFonts w:ascii="Times New Roman" w:hAnsi="Times New Roman"/>
                <w:color w:val="000000"/>
                <w:sz w:val="20"/>
                <w:szCs w:val="20"/>
                <w:lang w:eastAsia="ru-RU"/>
              </w:rPr>
              <w:tab/>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2,22</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2</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98</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К-110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Пос. Заводской</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6,13</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2</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99</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К-110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Ул. Д. Ковальчук</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21,37</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2</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100</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К-160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 xml:space="preserve">Ул. Студенческая </w:t>
            </w:r>
            <w:r w:rsidRPr="001B59EA">
              <w:rPr>
                <w:rFonts w:ascii="Times New Roman" w:hAnsi="Times New Roman"/>
                <w:color w:val="000000"/>
                <w:sz w:val="20"/>
                <w:szCs w:val="20"/>
                <w:lang w:eastAsia="ru-RU"/>
              </w:rPr>
              <w:tab/>
            </w:r>
            <w:r w:rsidRPr="001B59EA">
              <w:rPr>
                <w:rFonts w:ascii="Times New Roman" w:hAnsi="Times New Roman"/>
                <w:color w:val="000000"/>
                <w:sz w:val="20"/>
                <w:szCs w:val="20"/>
                <w:lang w:eastAsia="ru-RU"/>
              </w:rPr>
              <w:tab/>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1</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1</w:t>
            </w:r>
          </w:p>
        </w:tc>
      </w:tr>
      <w:tr w:rsidR="002D1E45"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121</w:t>
            </w: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К-110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1B59EA" w:rsidRDefault="002D1E45" w:rsidP="00CD3649">
            <w:pPr>
              <w:spacing w:after="0" w:line="240" w:lineRule="auto"/>
              <w:rPr>
                <w:rFonts w:ascii="Times New Roman" w:hAnsi="Times New Roman"/>
                <w:color w:val="000000"/>
                <w:sz w:val="20"/>
                <w:szCs w:val="20"/>
                <w:lang w:eastAsia="ru-RU"/>
              </w:rPr>
            </w:pPr>
            <w:r w:rsidRPr="001B59EA">
              <w:rPr>
                <w:rFonts w:ascii="Times New Roman" w:hAnsi="Times New Roman"/>
                <w:color w:val="000000"/>
                <w:sz w:val="20"/>
                <w:szCs w:val="20"/>
                <w:lang w:eastAsia="ru-RU"/>
              </w:rPr>
              <w:t>Ул. Сибирская</w:t>
            </w: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2,13</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1B59EA" w:rsidRDefault="002D1E45" w:rsidP="00CD3649">
            <w:pPr>
              <w:spacing w:after="0" w:line="240" w:lineRule="auto"/>
              <w:jc w:val="center"/>
              <w:rPr>
                <w:rFonts w:ascii="Times New Roman" w:hAnsi="Times New Roman"/>
                <w:color w:val="000000"/>
                <w:sz w:val="20"/>
                <w:szCs w:val="20"/>
                <w:lang w:eastAsia="ru-RU"/>
              </w:rPr>
            </w:pPr>
            <w:r w:rsidRPr="001B59EA">
              <w:rPr>
                <w:rFonts w:ascii="Times New Roman" w:hAnsi="Times New Roman"/>
                <w:color w:val="000000"/>
                <w:sz w:val="20"/>
                <w:szCs w:val="20"/>
                <w:lang w:eastAsia="ru-RU"/>
              </w:rPr>
              <w:t>2</w:t>
            </w:r>
          </w:p>
        </w:tc>
      </w:tr>
      <w:tr w:rsidR="002D1E45" w:rsidRPr="00685188"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2D1E45" w:rsidRPr="00685188" w:rsidRDefault="002D1E45" w:rsidP="00CD3649">
            <w:pPr>
              <w:spacing w:after="0" w:line="240" w:lineRule="auto"/>
              <w:jc w:val="center"/>
              <w:rPr>
                <w:rFonts w:ascii="Times New Roman" w:hAnsi="Times New Roman"/>
                <w:b/>
                <w:bCs/>
                <w:i/>
                <w:iCs/>
                <w:color w:val="000000"/>
                <w:sz w:val="20"/>
                <w:szCs w:val="20"/>
                <w:lang w:eastAsia="ru-RU"/>
              </w:rPr>
            </w:pPr>
          </w:p>
        </w:tc>
        <w:tc>
          <w:tcPr>
            <w:tcW w:w="1346" w:type="dxa"/>
            <w:tcBorders>
              <w:top w:val="single" w:sz="4" w:space="0" w:color="auto"/>
              <w:left w:val="single" w:sz="4" w:space="0" w:color="auto"/>
              <w:bottom w:val="single" w:sz="4" w:space="0" w:color="auto"/>
              <w:right w:val="nil"/>
            </w:tcBorders>
            <w:shd w:val="clear" w:color="auto" w:fill="FFFFFF"/>
            <w:vAlign w:val="center"/>
          </w:tcPr>
          <w:p w:rsidR="002D1E45" w:rsidRPr="00685188" w:rsidRDefault="002D1E45" w:rsidP="00CD3649">
            <w:pPr>
              <w:spacing w:after="0" w:line="240" w:lineRule="auto"/>
              <w:jc w:val="center"/>
              <w:rPr>
                <w:rFonts w:ascii="Times New Roman" w:hAnsi="Times New Roman"/>
                <w:b/>
                <w:bCs/>
                <w:i/>
                <w:iCs/>
                <w:color w:val="000000"/>
                <w:sz w:val="20"/>
                <w:szCs w:val="20"/>
                <w:lang w:eastAsia="ru-RU"/>
              </w:rPr>
            </w:pPr>
            <w:r w:rsidRPr="00685188">
              <w:rPr>
                <w:rFonts w:ascii="Times New Roman" w:hAnsi="Times New Roman"/>
                <w:b/>
                <w:bCs/>
                <w:i/>
                <w:iCs/>
                <w:color w:val="000000"/>
                <w:sz w:val="20"/>
                <w:szCs w:val="20"/>
                <w:lang w:eastAsia="ru-RU"/>
              </w:rPr>
              <w:t>ИТОГО</w:t>
            </w:r>
          </w:p>
        </w:tc>
        <w:tc>
          <w:tcPr>
            <w:tcW w:w="2930" w:type="dxa"/>
            <w:tcBorders>
              <w:top w:val="single" w:sz="4" w:space="0" w:color="auto"/>
              <w:left w:val="single" w:sz="4" w:space="0" w:color="auto"/>
              <w:bottom w:val="single" w:sz="4" w:space="0" w:color="auto"/>
              <w:right w:val="nil"/>
            </w:tcBorders>
            <w:shd w:val="clear" w:color="auto" w:fill="FFFFFF"/>
            <w:vAlign w:val="bottom"/>
          </w:tcPr>
          <w:p w:rsidR="002D1E45" w:rsidRPr="00685188" w:rsidRDefault="002D1E45" w:rsidP="00CD3649">
            <w:pPr>
              <w:spacing w:after="0" w:line="240" w:lineRule="auto"/>
              <w:rPr>
                <w:rFonts w:ascii="Times New Roman" w:hAnsi="Times New Roman"/>
                <w:b/>
                <w:bCs/>
                <w:i/>
                <w:iCs/>
                <w:color w:val="000000"/>
                <w:sz w:val="20"/>
                <w:szCs w:val="20"/>
                <w:lang w:eastAsia="ru-RU"/>
              </w:rPr>
            </w:pPr>
          </w:p>
        </w:tc>
        <w:tc>
          <w:tcPr>
            <w:tcW w:w="3347" w:type="dxa"/>
            <w:tcBorders>
              <w:top w:val="single" w:sz="4" w:space="0" w:color="auto"/>
              <w:left w:val="single" w:sz="4" w:space="0" w:color="auto"/>
              <w:bottom w:val="single" w:sz="4" w:space="0" w:color="auto"/>
              <w:right w:val="nil"/>
            </w:tcBorders>
            <w:shd w:val="clear" w:color="auto" w:fill="FFFFFF"/>
            <w:vAlign w:val="center"/>
          </w:tcPr>
          <w:p w:rsidR="002D1E45" w:rsidRPr="00685188" w:rsidRDefault="002D1E45" w:rsidP="00CD3649">
            <w:pPr>
              <w:spacing w:after="0" w:line="240" w:lineRule="auto"/>
              <w:jc w:val="center"/>
              <w:rPr>
                <w:rFonts w:ascii="Times New Roman" w:hAnsi="Times New Roman"/>
                <w:b/>
                <w:bCs/>
                <w:i/>
                <w:iCs/>
                <w:color w:val="000000"/>
                <w:sz w:val="20"/>
                <w:szCs w:val="20"/>
                <w:lang w:eastAsia="ru-RU"/>
              </w:rPr>
            </w:pP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2D1E45" w:rsidRPr="00685188" w:rsidRDefault="002D1E45" w:rsidP="00CD3649">
            <w:pPr>
              <w:spacing w:after="0" w:line="240" w:lineRule="auto"/>
              <w:jc w:val="center"/>
              <w:rPr>
                <w:rFonts w:ascii="Times New Roman" w:hAnsi="Times New Roman"/>
                <w:b/>
                <w:bCs/>
                <w:i/>
                <w:iCs/>
                <w:color w:val="000000"/>
                <w:sz w:val="20"/>
                <w:szCs w:val="20"/>
                <w:lang w:eastAsia="ru-RU"/>
              </w:rPr>
            </w:pPr>
            <w:r w:rsidRPr="00685188">
              <w:rPr>
                <w:rFonts w:ascii="Times New Roman" w:hAnsi="Times New Roman"/>
                <w:b/>
                <w:bCs/>
                <w:i/>
                <w:iCs/>
                <w:color w:val="000000"/>
                <w:sz w:val="20"/>
                <w:szCs w:val="20"/>
                <w:lang w:eastAsia="ru-RU"/>
              </w:rPr>
              <w:t>218</w:t>
            </w:r>
          </w:p>
        </w:tc>
      </w:tr>
    </w:tbl>
    <w:p w:rsidR="002D1E45" w:rsidRPr="009527FE" w:rsidRDefault="002D1E45" w:rsidP="00AA1CBC">
      <w:pPr>
        <w:pStyle w:val="S5"/>
        <w:ind w:firstLine="0"/>
      </w:pPr>
    </w:p>
    <w:sectPr w:rsidR="002D1E45" w:rsidRPr="009527FE" w:rsidSect="005D3C06">
      <w:pgSz w:w="11906" w:h="16838"/>
      <w:pgMar w:top="1134" w:right="1134" w:bottom="1134" w:left="567"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D1E45" w:rsidRDefault="002D1E45">
      <w:r>
        <w:separator/>
      </w:r>
    </w:p>
  </w:endnote>
  <w:endnote w:type="continuationSeparator" w:id="0">
    <w:p w:rsidR="002D1E45" w:rsidRDefault="002D1E4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Trebuchet MS">
    <w:panose1 w:val="020B0603020202020204"/>
    <w:charset w:val="CC"/>
    <w:family w:val="swiss"/>
    <w:pitch w:val="variable"/>
    <w:sig w:usb0="00000287" w:usb1="00000000" w:usb2="00000000" w:usb3="00000000" w:csb0="000000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 Antiqua">
    <w:panose1 w:val="02040602050305030304"/>
    <w:charset w:val="CC"/>
    <w:family w:val="roman"/>
    <w:pitch w:val="variable"/>
    <w:sig w:usb0="00000287" w:usb1="00000000" w:usb2="00000000" w:usb3="00000000" w:csb0="0000009F" w:csb1="00000000"/>
  </w:font>
  <w:font w:name="Cambria">
    <w:panose1 w:val="02040503050406030204"/>
    <w:charset w:val="CC"/>
    <w:family w:val="roman"/>
    <w:pitch w:val="variable"/>
    <w:sig w:usb0="A00002EF" w:usb1="4000004B" w:usb2="00000000" w:usb3="00000000" w:csb0="0000009F"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20002A87" w:usb1="80000000" w:usb2="00000008" w:usb3="00000000" w:csb0="000001FF" w:csb1="00000000"/>
  </w:font>
  <w:font w:name="MS Mincho">
    <w:altName w:val="?l?r ??Ѓfc"/>
    <w:panose1 w:val="02020609040205080304"/>
    <w:charset w:val="80"/>
    <w:family w:val="modern"/>
    <w:pitch w:val="fixed"/>
    <w:sig w:usb0="A00002BF" w:usb1="68C7FCFB" w:usb2="00000010" w:usb3="00000000" w:csb0="0002009F" w:csb1="00000000"/>
  </w:font>
  <w:font w:name="Tahoma">
    <w:panose1 w:val="020B0604030504040204"/>
    <w:charset w:val="CC"/>
    <w:family w:val="swiss"/>
    <w:pitch w:val="variable"/>
    <w:sig w:usb0="61002A87" w:usb1="80000000" w:usb2="00000008" w:usb3="00000000" w:csb0="000101FF" w:csb1="00000000"/>
  </w:font>
  <w:font w:name="Times New Roman CYR">
    <w:panose1 w:val="02020603050405020304"/>
    <w:charset w:val="CC"/>
    <w:family w:val="roman"/>
    <w:pitch w:val="variable"/>
    <w:sig w:usb0="20002A87" w:usb1="80000000" w:usb2="00000008" w:usb3="00000000" w:csb0="000001FF" w:csb1="00000000"/>
  </w:font>
  <w:font w:name="Arial Black">
    <w:panose1 w:val="020B0A04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Journal SansSerif">
    <w:altName w:val="Arial"/>
    <w:panose1 w:val="00000000000000000000"/>
    <w:charset w:val="00"/>
    <w:family w:val="swiss"/>
    <w:notTrueType/>
    <w:pitch w:val="variable"/>
    <w:sig w:usb0="00000003" w:usb1="00000000" w:usb2="00000000" w:usb3="00000000" w:csb0="00000001" w:csb1="00000000"/>
  </w:font>
  <w:font w:name="Franklin Gothic Medium Cond">
    <w:panose1 w:val="020B0606030402020204"/>
    <w:charset w:val="CC"/>
    <w:family w:val="swiss"/>
    <w:pitch w:val="variable"/>
    <w:sig w:usb0="00000287" w:usb1="00000000" w:usb2="00000000" w:usb3="00000000" w:csb0="0000009F" w:csb1="00000000"/>
  </w:font>
  <w:font w:name="Arial CYR">
    <w:panose1 w:val="020B0604020202020204"/>
    <w:charset w:val="CC"/>
    <w:family w:val="swiss"/>
    <w:pitch w:val="variable"/>
    <w:sig w:usb0="20002A87" w:usb1="80000000" w:usb2="00000008" w:usb3="00000000" w:csb0="000001FF" w:csb1="00000000"/>
  </w:font>
  <w:font w:name="Verdana">
    <w:panose1 w:val="020B0604030504040204"/>
    <w:charset w:val="CC"/>
    <w:family w:val="swiss"/>
    <w:pitch w:val="variable"/>
    <w:sig w:usb0="20000287" w:usb1="00000000" w:usb2="00000000" w:usb3="00000000" w:csb0="0000019F" w:csb1="00000000"/>
  </w:font>
  <w:font w:name="MS ??">
    <w:altName w:val="MS Mincho"/>
    <w:panose1 w:val="00000000000000000000"/>
    <w:charset w:val="80"/>
    <w:family w:val="auto"/>
    <w:notTrueType/>
    <w:pitch w:val="variable"/>
    <w:sig w:usb0="00000001" w:usb1="08070000" w:usb2="00000010" w:usb3="00000000" w:csb0="00020000" w:csb1="00000000"/>
  </w:font>
  <w:font w:name="OpenSymbol">
    <w:altName w:val="Calibri"/>
    <w:panose1 w:val="00000000000000000000"/>
    <w:charset w:val="00"/>
    <w:family w:val="auto"/>
    <w:notTrueType/>
    <w:pitch w:val="variable"/>
    <w:sig w:usb0="00000003" w:usb1="00000000" w:usb2="00000000" w:usb3="00000000" w:csb0="00000001" w:csb1="00000000"/>
  </w:font>
  <w:font w:name="Helvetica">
    <w:panose1 w:val="020B0604020202020204"/>
    <w:charset w:val="CC"/>
    <w:family w:val="swiss"/>
    <w:pitch w:val="variable"/>
    <w:sig w:usb0="20002A87" w:usb1="80000000" w:usb2="00000008" w:usb3="00000000" w:csb0="000001FF" w:csb1="00000000"/>
  </w:font>
  <w:font w:name="Comic Sans MS">
    <w:panose1 w:val="030F0702030302020204"/>
    <w:charset w:val="CC"/>
    <w:family w:val="script"/>
    <w:pitch w:val="variable"/>
    <w:sig w:usb0="00000287" w:usb1="00000000" w:usb2="00000000" w:usb3="00000000" w:csb0="0000009F" w:csb1="00000000"/>
  </w:font>
  <w:font w:name="Consolas">
    <w:panose1 w:val="020B0609020204030204"/>
    <w:charset w:val="CC"/>
    <w:family w:val="modern"/>
    <w:pitch w:val="fixed"/>
    <w:sig w:usb0="A00002EF" w:usb1="4000204B" w:usb2="00000000" w:usb3="00000000" w:csb0="0000009F" w:csb1="00000000"/>
  </w:font>
  <w:font w:name="TimesNewRoman">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1E45" w:rsidRDefault="002D1E45" w:rsidP="004226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2D1E45" w:rsidRDefault="002D1E45" w:rsidP="00A94491">
    <w:pPr>
      <w:pStyle w:val="Footer"/>
      <w:ind w:right="360"/>
    </w:pPr>
  </w:p>
  <w:p w:rsidR="002D1E45" w:rsidRDefault="002D1E45"/>
  <w:p w:rsidR="002D1E45" w:rsidRDefault="002D1E45"/>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D1E45" w:rsidRDefault="002D1E45">
      <w:r>
        <w:separator/>
      </w:r>
    </w:p>
  </w:footnote>
  <w:footnote w:type="continuationSeparator" w:id="0">
    <w:p w:rsidR="002D1E45" w:rsidRDefault="002D1E45">
      <w:r>
        <w:continuationSeparator/>
      </w:r>
    </w:p>
  </w:footnote>
  <w:footnote w:id="1">
    <w:p w:rsidR="002D1E45" w:rsidRDefault="002D1E45" w:rsidP="00BB36C0">
      <w:pPr>
        <w:pStyle w:val="FootnoteText"/>
      </w:pPr>
      <w:r w:rsidRPr="00D8521F">
        <w:rPr>
          <w:rStyle w:val="FootnoteReference"/>
          <w:sz w:val="18"/>
          <w:szCs w:val="18"/>
        </w:rPr>
        <w:footnoteRef/>
      </w:r>
      <w:r w:rsidRPr="00D8521F">
        <w:rPr>
          <w:sz w:val="18"/>
          <w:szCs w:val="18"/>
        </w:rPr>
        <w:t xml:space="preserve"> Постановления Губернатора Новосибирской области: № 129 от 23.04.2019, № 191 от 26.07.2019, № 256 от 25.10.2019, № 11 от 29.01.2020.</w:t>
      </w:r>
    </w:p>
  </w:footnote>
  <w:footnote w:id="2">
    <w:p w:rsidR="002D1E45" w:rsidRDefault="002D1E45">
      <w:pPr>
        <w:pStyle w:val="FootnoteText"/>
      </w:pPr>
      <w:r w:rsidRPr="00D8521F">
        <w:rPr>
          <w:rStyle w:val="FootnoteReference"/>
          <w:sz w:val="18"/>
          <w:szCs w:val="18"/>
        </w:rPr>
        <w:footnoteRef/>
      </w:r>
      <w:r w:rsidRPr="00D8521F">
        <w:rPr>
          <w:sz w:val="18"/>
          <w:szCs w:val="18"/>
        </w:rPr>
        <w:t xml:space="preserve"> Среднемесячная заработная плата в Куйбышевском районе.</w:t>
      </w:r>
    </w:p>
  </w:footnote>
  <w:footnote w:id="3">
    <w:p w:rsidR="002D1E45" w:rsidRDefault="002D1E45">
      <w:pPr>
        <w:pStyle w:val="FootnoteText"/>
      </w:pPr>
      <w:r w:rsidRPr="00282E4D">
        <w:rPr>
          <w:rStyle w:val="FootnoteReference"/>
          <w:sz w:val="18"/>
          <w:szCs w:val="18"/>
        </w:rPr>
        <w:footnoteRef/>
      </w:r>
      <w:r w:rsidRPr="00282E4D">
        <w:rPr>
          <w:sz w:val="18"/>
          <w:szCs w:val="18"/>
        </w:rPr>
        <w:t xml:space="preserve"> В соответствии с </w:t>
      </w:r>
      <w:r>
        <w:rPr>
          <w:sz w:val="18"/>
          <w:szCs w:val="18"/>
        </w:rPr>
        <w:t>ответом на запрос ООО «Корпус»</w:t>
      </w:r>
      <w:r w:rsidRPr="00282E4D">
        <w:rPr>
          <w:sz w:val="18"/>
          <w:szCs w:val="18"/>
        </w:rPr>
        <w:t xml:space="preserve"> от Минздрава НСО от </w:t>
      </w:r>
      <w:r>
        <w:rPr>
          <w:sz w:val="18"/>
          <w:szCs w:val="18"/>
        </w:rPr>
        <w:t>25.06.2020</w:t>
      </w:r>
      <w:r w:rsidRPr="00282E4D">
        <w:rPr>
          <w:sz w:val="18"/>
          <w:szCs w:val="18"/>
        </w:rPr>
        <w:t xml:space="preserve"> № </w:t>
      </w:r>
      <w:r>
        <w:rPr>
          <w:sz w:val="18"/>
          <w:szCs w:val="18"/>
        </w:rPr>
        <w:t>7396</w:t>
      </w:r>
      <w:r w:rsidRPr="00282E4D">
        <w:rPr>
          <w:sz w:val="18"/>
          <w:szCs w:val="18"/>
        </w:rPr>
        <w:t>-01/24.</w:t>
      </w:r>
    </w:p>
  </w:footnote>
  <w:footnote w:id="4">
    <w:p w:rsidR="002D1E45" w:rsidRDefault="002D1E45" w:rsidP="004D071E">
      <w:pPr>
        <w:pStyle w:val="FootnoteText"/>
        <w:jc w:val="both"/>
      </w:pPr>
      <w:r>
        <w:rPr>
          <w:rStyle w:val="FootnoteReference"/>
        </w:rPr>
        <w:footnoteRef/>
      </w:r>
      <w:r w:rsidRPr="00DD46A8">
        <w:rPr>
          <w:lang w:val="en-US"/>
        </w:rPr>
        <w:t xml:space="preserve"> </w:t>
      </w:r>
      <w:r w:rsidRPr="00781283">
        <w:rPr>
          <w:lang w:val="en-US"/>
        </w:rPr>
        <w:t>BLEVE</w:t>
      </w:r>
      <w:r w:rsidRPr="00DD46A8">
        <w:rPr>
          <w:lang w:val="en-US"/>
        </w:rPr>
        <w:t xml:space="preserve"> — </w:t>
      </w:r>
      <w:r w:rsidRPr="00D5112E">
        <w:t>от</w:t>
      </w:r>
      <w:r w:rsidRPr="00DD46A8">
        <w:rPr>
          <w:lang w:val="en-US"/>
        </w:rPr>
        <w:t xml:space="preserve"> </w:t>
      </w:r>
      <w:r w:rsidRPr="00D5112E">
        <w:t>англ</w:t>
      </w:r>
      <w:r w:rsidRPr="00DD46A8">
        <w:rPr>
          <w:lang w:val="en-US"/>
        </w:rPr>
        <w:t xml:space="preserve">. </w:t>
      </w:r>
      <w:r w:rsidRPr="00D5112E">
        <w:rPr>
          <w:lang w:val="en-US"/>
        </w:rPr>
        <w:t>Boiling</w:t>
      </w:r>
      <w:r w:rsidRPr="006E76DB">
        <w:rPr>
          <w:lang w:val="en-US"/>
        </w:rPr>
        <w:t xml:space="preserve"> </w:t>
      </w:r>
      <w:r w:rsidRPr="00D5112E">
        <w:rPr>
          <w:lang w:val="en-US"/>
        </w:rPr>
        <w:t>liquid</w:t>
      </w:r>
      <w:r w:rsidRPr="006E76DB">
        <w:rPr>
          <w:lang w:val="en-US"/>
        </w:rPr>
        <w:t xml:space="preserve"> </w:t>
      </w:r>
      <w:r w:rsidRPr="00D5112E">
        <w:rPr>
          <w:lang w:val="en-US"/>
        </w:rPr>
        <w:t>expanding</w:t>
      </w:r>
      <w:r w:rsidRPr="006E76DB">
        <w:rPr>
          <w:lang w:val="en-US"/>
        </w:rPr>
        <w:t xml:space="preserve"> </w:t>
      </w:r>
      <w:r w:rsidRPr="00D5112E">
        <w:rPr>
          <w:lang w:val="en-US"/>
        </w:rPr>
        <w:t>vapour</w:t>
      </w:r>
      <w:r w:rsidRPr="006E76DB">
        <w:rPr>
          <w:lang w:val="en-US"/>
        </w:rPr>
        <w:t xml:space="preserve"> </w:t>
      </w:r>
      <w:r w:rsidRPr="00D5112E">
        <w:rPr>
          <w:lang w:val="en-US"/>
        </w:rPr>
        <w:t>explosion</w:t>
      </w:r>
      <w:r w:rsidRPr="006E76DB">
        <w:rPr>
          <w:lang w:val="en-US"/>
        </w:rPr>
        <w:t xml:space="preserve">. </w:t>
      </w:r>
      <w:r w:rsidRPr="00D5112E">
        <w:t xml:space="preserve">Взрыв расширяющихся паров вскипающей жидкости — тип взрыва сосуда с жидкостью, находящейся под давлением. Такой взрыв обозначается акронимом </w:t>
      </w:r>
    </w:p>
  </w:footnote>
  <w:footnote w:id="5">
    <w:p w:rsidR="002D1E45" w:rsidRDefault="002D1E45" w:rsidP="000D1A50">
      <w:pPr>
        <w:pStyle w:val="FootnoteText"/>
        <w:jc w:val="both"/>
      </w:pPr>
      <w:r>
        <w:rPr>
          <w:rStyle w:val="FootnoteReference"/>
        </w:rPr>
        <w:footnoteRef/>
      </w:r>
      <w:r>
        <w:t xml:space="preserve"> По данным формы № </w:t>
      </w:r>
      <w:r w:rsidRPr="00827BCA">
        <w:t>6 АРИЭ</w:t>
      </w:r>
      <w:r>
        <w:t>, предоставляемой Управлением строительства, жилищно-коммунального и дорожного хозяйства администрации г. Куйбышева.</w:t>
      </w:r>
    </w:p>
  </w:footnote>
  <w:footnote w:id="6">
    <w:p w:rsidR="002D1E45" w:rsidRDefault="002D1E45" w:rsidP="004E0426">
      <w:pPr>
        <w:pStyle w:val="FootnoteText"/>
      </w:pPr>
      <w:r>
        <w:rPr>
          <w:rStyle w:val="FootnoteReference"/>
        </w:rPr>
        <w:footnoteRef/>
      </w:r>
      <w:r>
        <w:t xml:space="preserve"> Приложение 7 </w:t>
      </w:r>
      <w:r w:rsidRPr="00337968">
        <w:t>НПБ 101-95 «Нормы проектирования объектов пожарной охраны»</w:t>
      </w:r>
      <w:r>
        <w:t>.</w:t>
      </w:r>
    </w:p>
  </w:footnote>
  <w:footnote w:id="7">
    <w:p w:rsidR="002D1E45" w:rsidRDefault="002D1E45">
      <w:pPr>
        <w:pStyle w:val="FootnoteText"/>
      </w:pPr>
      <w:r w:rsidRPr="00792975">
        <w:rPr>
          <w:rStyle w:val="FootnoteReference"/>
          <w:sz w:val="18"/>
          <w:szCs w:val="18"/>
        </w:rPr>
        <w:footnoteRef/>
      </w:r>
      <w:r w:rsidRPr="00792975">
        <w:rPr>
          <w:rStyle w:val="FootnoteReference"/>
          <w:sz w:val="18"/>
          <w:szCs w:val="18"/>
        </w:rPr>
        <w:footnoteRef/>
      </w:r>
      <w:r w:rsidRPr="00792975">
        <w:rPr>
          <w:sz w:val="18"/>
          <w:szCs w:val="18"/>
        </w:rPr>
        <w:t xml:space="preserve"> В соответствии с МНГП </w:t>
      </w:r>
      <w:r>
        <w:rPr>
          <w:sz w:val="18"/>
          <w:szCs w:val="18"/>
        </w:rPr>
        <w:t>г. Куйбышева</w:t>
      </w:r>
      <w:r w:rsidRPr="00792975">
        <w:rPr>
          <w:sz w:val="18"/>
          <w:szCs w:val="18"/>
        </w:rPr>
        <w:t>.</w:t>
      </w:r>
    </w:p>
  </w:footnote>
  <w:footnote w:id="8">
    <w:p w:rsidR="002D1E45" w:rsidRDefault="002D1E45">
      <w:pPr>
        <w:pStyle w:val="FootnoteText"/>
      </w:pPr>
      <w:r>
        <w:rPr>
          <w:rStyle w:val="FootnoteReference"/>
        </w:rPr>
        <w:footnoteRef/>
      </w:r>
      <w:r>
        <w:t xml:space="preserve"> </w:t>
      </w:r>
      <w:r w:rsidRPr="002C6221">
        <w:rPr>
          <w:sz w:val="18"/>
          <w:szCs w:val="18"/>
        </w:rPr>
        <w:t>В соответствии</w:t>
      </w:r>
      <w:r>
        <w:rPr>
          <w:sz w:val="18"/>
          <w:szCs w:val="18"/>
        </w:rPr>
        <w:t xml:space="preserve"> с </w:t>
      </w:r>
      <w:r w:rsidRPr="00696657">
        <w:rPr>
          <w:sz w:val="18"/>
          <w:szCs w:val="18"/>
        </w:rPr>
        <w:t>Постановление</w:t>
      </w:r>
      <w:r>
        <w:rPr>
          <w:sz w:val="18"/>
          <w:szCs w:val="18"/>
        </w:rPr>
        <w:t>м</w:t>
      </w:r>
      <w:r w:rsidRPr="00696657">
        <w:rPr>
          <w:sz w:val="18"/>
          <w:szCs w:val="18"/>
        </w:rPr>
        <w:t xml:space="preserve"> Правительства Новосибирской области от 26.04.2017 № 158-п «Об установлении нормативов минимальной обеспеченности населения площадью торговых объектов для Новосибирской области»</w:t>
      </w:r>
      <w:r>
        <w:rPr>
          <w:sz w:val="18"/>
          <w:szCs w:val="18"/>
        </w:rPr>
        <w:t>.</w:t>
      </w:r>
    </w:p>
  </w:footnote>
  <w:footnote w:id="9">
    <w:p w:rsidR="002D1E45" w:rsidRDefault="002D1E45" w:rsidP="003E1F2C">
      <w:pPr>
        <w:pStyle w:val="FootnoteText"/>
        <w:jc w:val="both"/>
      </w:pPr>
      <w:r w:rsidRPr="002C6221">
        <w:rPr>
          <w:rStyle w:val="FootnoteReference"/>
          <w:sz w:val="18"/>
          <w:szCs w:val="18"/>
        </w:rPr>
        <w:footnoteRef/>
      </w:r>
      <w:r w:rsidRPr="002C6221">
        <w:rPr>
          <w:sz w:val="18"/>
          <w:szCs w:val="18"/>
        </w:rPr>
        <w:t xml:space="preserve"> В соответствии с п. 4 Приложения 4 к методике расчёта нормативов минимальной обеспеченности населения площадью торговых объектов (утв. Постановлением Правительства Российской Федерации от 09.04.2016 № 291 «Об утверждении Правил установления субъектами Российской Федерации нормативов минимальной обеспеченности населения площадью торговых объектов и методики расчёта нормативов минимальной обеспеченности населения площадью торговых объектов, а также о признании утратившим силу постановления Правительства Российской Федерации от 24 сентября 2010 г. № 754»).</w:t>
      </w:r>
    </w:p>
  </w:footnote>
  <w:footnote w:id="10">
    <w:p w:rsidR="002D1E45" w:rsidRDefault="002D1E45" w:rsidP="003E1F2C">
      <w:pPr>
        <w:pStyle w:val="FootnoteText"/>
        <w:jc w:val="both"/>
      </w:pPr>
      <w:r w:rsidRPr="00022976">
        <w:rPr>
          <w:rStyle w:val="FootnoteReference"/>
          <w:sz w:val="18"/>
        </w:rPr>
        <w:footnoteRef/>
      </w:r>
      <w:r w:rsidRPr="00022976">
        <w:rPr>
          <w:sz w:val="18"/>
        </w:rPr>
        <w:t xml:space="preserve"> В соответствии с Приказом Министерства связи СССР от 27.04.81 № 178 «О введении нормативов развития и размещения в городах и сельской местности сети отделений и пунктов почтовой связи системы Министерства связи СССР».</w:t>
      </w:r>
    </w:p>
  </w:footnote>
  <w:footnote w:id="11">
    <w:p w:rsidR="002D1E45" w:rsidRDefault="002D1E45" w:rsidP="003E1F2C">
      <w:pPr>
        <w:pStyle w:val="FootnoteText"/>
        <w:jc w:val="both"/>
      </w:pPr>
      <w:r w:rsidRPr="00022976">
        <w:rPr>
          <w:rStyle w:val="FootnoteReference"/>
          <w:sz w:val="18"/>
        </w:rPr>
        <w:footnoteRef/>
      </w:r>
      <w:r w:rsidRPr="00022976">
        <w:rPr>
          <w:sz w:val="18"/>
        </w:rPr>
        <w:t xml:space="preserve"> В соответствии с СП 42.13330.2016 «Градостроительство. Планировка и застройка городских и сельских поселений. Актуализированная редакция СНиП 2.07.01-89*».</w:t>
      </w:r>
    </w:p>
  </w:footnote>
  <w:footnote w:id="12">
    <w:p w:rsidR="002D1E45" w:rsidRDefault="002D1E45" w:rsidP="00394690">
      <w:pPr>
        <w:pStyle w:val="FootnoteText"/>
        <w:jc w:val="both"/>
      </w:pPr>
      <w:r w:rsidRPr="00022976">
        <w:rPr>
          <w:rStyle w:val="FootnoteReference"/>
          <w:sz w:val="18"/>
        </w:rPr>
        <w:footnoteRef/>
      </w:r>
      <w:r w:rsidRPr="00022976">
        <w:rPr>
          <w:sz w:val="18"/>
        </w:rPr>
        <w:t xml:space="preserve"> В соответствии с СП 42.13330.2016 «Градостроительство. Планировка и застройка городских и сельских поселений. Актуализированная редакция СНиП 2.07.01-89*».</w:t>
      </w:r>
    </w:p>
  </w:footnote>
  <w:footnote w:id="13">
    <w:p w:rsidR="002D1E45" w:rsidRDefault="002D1E45" w:rsidP="003A7901">
      <w:pPr>
        <w:pStyle w:val="FootnoteText"/>
        <w:jc w:val="both"/>
      </w:pPr>
      <w:r w:rsidRPr="001C6447">
        <w:rPr>
          <w:rStyle w:val="FootnoteReference"/>
          <w:sz w:val="18"/>
          <w:szCs w:val="18"/>
        </w:rPr>
        <w:footnoteRef/>
      </w:r>
      <w:r w:rsidRPr="001C6447">
        <w:rPr>
          <w:sz w:val="18"/>
          <w:szCs w:val="18"/>
        </w:rPr>
        <w:t xml:space="preserve"> Телевидение по протоколу интернета (англ. Internet Protocol Television) (IP-TV, IP-телевидение) - технология цифрового телевидения в сетях передачи данных по протоколу IP, новое поколение телевидения.</w:t>
      </w:r>
    </w:p>
  </w:footnote>
  <w:footnote w:id="14">
    <w:p w:rsidR="002D1E45" w:rsidRDefault="002D1E45" w:rsidP="00BF418D">
      <w:pPr>
        <w:pStyle w:val="FootnoteText"/>
        <w:jc w:val="both"/>
      </w:pPr>
      <w:r w:rsidRPr="00BA4D6A">
        <w:rPr>
          <w:rStyle w:val="FootnoteReference"/>
          <w:sz w:val="18"/>
          <w:szCs w:val="18"/>
        </w:rPr>
        <w:footnoteRef/>
      </w:r>
      <w:r w:rsidRPr="00BA4D6A">
        <w:rPr>
          <w:sz w:val="18"/>
          <w:szCs w:val="18"/>
        </w:rPr>
        <w:t xml:space="preserve"> Средняя плотность твёрдых коммунальных отходов по Новосибирской области составляет 165 кг/м</w:t>
      </w:r>
      <w:r w:rsidRPr="00BA4D6A">
        <w:rPr>
          <w:sz w:val="18"/>
          <w:szCs w:val="18"/>
          <w:vertAlign w:val="superscript"/>
        </w:rPr>
        <w:t>3</w:t>
      </w:r>
      <w:r w:rsidRPr="00BA4D6A">
        <w:rPr>
          <w:sz w:val="18"/>
          <w:szCs w:val="18"/>
        </w:rPr>
        <w:t xml:space="preserve"> и применяется в соответствии с Правилами коммерческого учёта объёма и (или) массы твёрдых коммунальных отходов, утверждёнными Постановлением Правительства Российской Федерации от 03.06.2016 № 505 и Приказом департамента по тарифам Новосибирской области от 20.10.2017 № 342-ЖКХ «Об утверждении нормативов накопления твёрдых коммунальных отходов на территории Новосибирской области».</w:t>
      </w:r>
    </w:p>
  </w:footnote>
  <w:footnote w:id="15">
    <w:p w:rsidR="002D1E45" w:rsidRDefault="002D1E45" w:rsidP="00AF7759">
      <w:pPr>
        <w:pStyle w:val="FootnoteText"/>
        <w:jc w:val="both"/>
      </w:pPr>
      <w:r>
        <w:rPr>
          <w:rStyle w:val="FootnoteReference"/>
          <w:rFonts w:eastAsia="Arial Unicode MS"/>
          <w:sz w:val="18"/>
        </w:rPr>
        <w:footnoteRef/>
      </w:r>
      <w:r>
        <w:rPr>
          <w:sz w:val="18"/>
        </w:rPr>
        <w:t xml:space="preserve"> В соответствии с 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придорожная полоса составляет </w:t>
      </w:r>
      <w:r w:rsidRPr="00825923">
        <w:rPr>
          <w:sz w:val="18"/>
        </w:rPr>
        <w:t>50</w:t>
      </w:r>
      <w:r>
        <w:rPr>
          <w:sz w:val="18"/>
        </w:rPr>
        <w:t xml:space="preserve"> м (по обе стороны) для автодорог </w:t>
      </w:r>
      <w:r>
        <w:rPr>
          <w:sz w:val="18"/>
          <w:lang w:val="en-US"/>
        </w:rPr>
        <w:t>IV</w:t>
      </w:r>
      <w:r>
        <w:rPr>
          <w:sz w:val="18"/>
        </w:rPr>
        <w:t xml:space="preserve"> категории. </w:t>
      </w:r>
      <w:r w:rsidRPr="007F35F6">
        <w:rPr>
          <w:sz w:val="18"/>
        </w:rPr>
        <w:t xml:space="preserve">Размер санитарного разрыва </w:t>
      </w:r>
      <w:r>
        <w:rPr>
          <w:sz w:val="18"/>
        </w:rPr>
        <w:t xml:space="preserve">устанавливается на основании расчётов рассеивания загрязнения атмосферного воздуха и физических факторов (шума, вибрации, электромагнитных полей и другие) с последующим проведением натурных исследований и измерений, режим территории санитарного разрыва в соответствии с СанПиНом 2.2.1/2.1.1.1200 - 03 (новая редакция). </w:t>
      </w:r>
    </w:p>
  </w:footnote>
  <w:footnote w:id="16">
    <w:p w:rsidR="002D1E45" w:rsidRDefault="002D1E45" w:rsidP="00AF7759">
      <w:pPr>
        <w:pStyle w:val="FootnoteText"/>
        <w:jc w:val="both"/>
      </w:pPr>
      <w:r>
        <w:rPr>
          <w:rStyle w:val="FootnoteReference"/>
          <w:rFonts w:eastAsia="Arial Unicode MS"/>
          <w:sz w:val="18"/>
        </w:rPr>
        <w:footnoteRef/>
      </w:r>
      <w:r>
        <w:rPr>
          <w:sz w:val="18"/>
        </w:rPr>
        <w:t xml:space="preserve"> В соответствии с 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придорожная полоса составляет 25 м (по обе стороны) для автодорог </w:t>
      </w:r>
      <w:r>
        <w:rPr>
          <w:sz w:val="18"/>
          <w:lang w:val="en-US"/>
        </w:rPr>
        <w:t>V</w:t>
      </w:r>
      <w:r>
        <w:rPr>
          <w:sz w:val="18"/>
        </w:rPr>
        <w:t xml:space="preserve"> категории. </w:t>
      </w:r>
      <w:r w:rsidRPr="007F35F6">
        <w:rPr>
          <w:sz w:val="18"/>
        </w:rPr>
        <w:t xml:space="preserve">Размер санитарного разрыва </w:t>
      </w:r>
      <w:r>
        <w:rPr>
          <w:sz w:val="18"/>
        </w:rPr>
        <w:t xml:space="preserve">устанавливается на основании расчётов рассеивания загрязнения атмосферного воздуха и физических факторов (шума, вибрации, электромагнитных полей и другие) с последующим проведением натурных исследований и измерений, режим территории санитарного разрыва в соответствии с СанПиНом 2.2.1/2.1.1.1200 - 03 (новая редакция). </w:t>
      </w:r>
    </w:p>
  </w:footnote>
  <w:footnote w:id="17">
    <w:p w:rsidR="002D1E45" w:rsidRDefault="002D1E45" w:rsidP="00AF7759">
      <w:pPr>
        <w:pStyle w:val="FootnoteText"/>
        <w:jc w:val="both"/>
      </w:pPr>
      <w:r>
        <w:rPr>
          <w:rStyle w:val="FootnoteReference"/>
          <w:rFonts w:eastAsia="Arial Unicode MS"/>
          <w:sz w:val="18"/>
        </w:rPr>
        <w:footnoteRef/>
      </w:r>
      <w:r>
        <w:rPr>
          <w:sz w:val="18"/>
        </w:rPr>
        <w:t xml:space="preserve"> Санитарно-защитная полоса водоводов согласно подпункту 2.4.3 СанПиН 2.1.4.1110-02 «Зоны санитарной охраны источников водоснабжения и водопроводов питьевого назначения», при условии отсутствия грунтовых вод и диаметре водоводов менее 1000 мм принята по обе стороны от крайних линий водопровода 10 м.</w:t>
      </w:r>
    </w:p>
  </w:footnote>
  <w:footnote w:id="18">
    <w:p w:rsidR="002D1E45" w:rsidRDefault="002D1E45" w:rsidP="00AF7759">
      <w:pPr>
        <w:pStyle w:val="FootnoteText"/>
        <w:jc w:val="both"/>
      </w:pPr>
      <w:r>
        <w:rPr>
          <w:rStyle w:val="FootnoteReference"/>
          <w:rFonts w:eastAsia="Arial Unicode MS"/>
          <w:sz w:val="18"/>
        </w:rPr>
        <w:footnoteRef/>
      </w:r>
      <w:r>
        <w:rPr>
          <w:sz w:val="18"/>
        </w:rPr>
        <w:t xml:space="preserve"> Санитарно-защитная полоса водоводов согласно подпункту 2.4.3 СанПиН 2.1.4.1110-02 «Зоны санитарной охраны источников водоснабжения и водопроводов питьевого назначения», при условии отсутствия грунтовых вод и диаметре водоводов менее 1000 мм принята по обе стороны от крайних линий водопровода 10 м.</w:t>
      </w:r>
    </w:p>
  </w:footnote>
  <w:footnote w:id="19">
    <w:p w:rsidR="002D1E45" w:rsidRDefault="002D1E45" w:rsidP="00AF7759">
      <w:pPr>
        <w:pStyle w:val="FootnoteText"/>
        <w:jc w:val="both"/>
      </w:pPr>
      <w:r>
        <w:rPr>
          <w:rStyle w:val="FootnoteReference"/>
          <w:rFonts w:eastAsia="Arial Unicode MS"/>
          <w:sz w:val="18"/>
        </w:rPr>
        <w:footnoteRef/>
      </w:r>
      <w:r>
        <w:rPr>
          <w:sz w:val="18"/>
        </w:rPr>
        <w:t xml:space="preserve"> Согласно СанПиН 2.1.4.1110-02 «Зоны санитарной охраны источников водоснабжения и водопроводов питьевого назначения».</w:t>
      </w:r>
    </w:p>
  </w:footnote>
  <w:footnote w:id="20">
    <w:p w:rsidR="002D1E45" w:rsidRDefault="002D1E45" w:rsidP="00AF7759">
      <w:pPr>
        <w:pStyle w:val="FootnoteText"/>
        <w:jc w:val="both"/>
      </w:pPr>
      <w:r>
        <w:rPr>
          <w:rStyle w:val="FootnoteReference"/>
          <w:rFonts w:eastAsia="Arial Unicode MS"/>
          <w:sz w:val="18"/>
        </w:rPr>
        <w:footnoteRef/>
      </w:r>
      <w:r>
        <w:rPr>
          <w:sz w:val="18"/>
        </w:rPr>
        <w:t xml:space="preserve"> Согласно СанПиН 2.1.4.1110-02 «Зоны санитарной охраны источников водоснабжения и водопроводов питьевого назначения».</w:t>
      </w:r>
    </w:p>
  </w:footnote>
  <w:footnote w:id="21">
    <w:p w:rsidR="002D1E45" w:rsidRDefault="002D1E45" w:rsidP="00AF7759">
      <w:pPr>
        <w:pStyle w:val="FootnoteText"/>
        <w:jc w:val="both"/>
      </w:pPr>
      <w:r>
        <w:rPr>
          <w:rStyle w:val="FootnoteReference"/>
          <w:rFonts w:eastAsia="Arial Unicode MS"/>
          <w:sz w:val="18"/>
        </w:rPr>
        <w:footnoteRef/>
      </w:r>
      <w:r>
        <w:rPr>
          <w:sz w:val="18"/>
        </w:rPr>
        <w:t xml:space="preserve"> Согласно СанПиН 2.1.4.1110-02 «Зоны санитарной охраны источников водоснабжения и водопроводов питьевого назначения».</w:t>
      </w:r>
    </w:p>
  </w:footnote>
  <w:footnote w:id="22">
    <w:p w:rsidR="002D1E45" w:rsidRDefault="002D1E45" w:rsidP="00AF7759">
      <w:pPr>
        <w:pStyle w:val="FootnoteText"/>
        <w:jc w:val="both"/>
      </w:pPr>
      <w:r>
        <w:rPr>
          <w:rStyle w:val="FootnoteReference"/>
          <w:rFonts w:eastAsia="Arial Unicode MS"/>
          <w:sz w:val="18"/>
        </w:rPr>
        <w:footnoteRef/>
      </w:r>
      <w:r>
        <w:rPr>
          <w:sz w:val="18"/>
        </w:rPr>
        <w:t xml:space="preserve"> Санитарно-защитная полоса водоводов согласно подпункту 2.4.3 СанПиН 2.1.4.1110-02 «Зоны санитарной охраны источников водоснабжения и водопроводов питьевого назначения», при условии отсутствия грунтовых вод и диаметре водоводов менее 1000 мм принята по обе стороны от крайних линий водопровода 10 м.</w:t>
      </w:r>
    </w:p>
  </w:footnote>
  <w:footnote w:id="23">
    <w:p w:rsidR="002D1E45" w:rsidRDefault="002D1E45" w:rsidP="00AF7759">
      <w:pPr>
        <w:pStyle w:val="FootnoteText"/>
        <w:jc w:val="both"/>
      </w:pPr>
      <w:r>
        <w:rPr>
          <w:rStyle w:val="FootnoteReference"/>
          <w:rFonts w:eastAsia="Arial Unicode MS"/>
          <w:sz w:val="18"/>
        </w:rPr>
        <w:footnoteRef/>
      </w:r>
      <w:r>
        <w:rPr>
          <w:sz w:val="18"/>
        </w:rPr>
        <w:t xml:space="preserve"> Санитарно-защитная полоса водоводов согласно подпункту 2.4.3 СанПиН 2.1.4.1110-02 «Зоны санитарной охраны источников водоснабжения и водопроводов питьевого назначения», при условии отсутствия грунтовых вод и диаметре водоводов менее 1000 мм принята по обе стороны от крайних линий водопровода 10 м.</w:t>
      </w:r>
    </w:p>
  </w:footnote>
  <w:footnote w:id="24">
    <w:p w:rsidR="002D1E45" w:rsidRDefault="002D1E45" w:rsidP="00AF7759">
      <w:pPr>
        <w:pStyle w:val="FootnoteText"/>
        <w:jc w:val="both"/>
      </w:pPr>
      <w:r>
        <w:rPr>
          <w:rStyle w:val="FootnoteReference"/>
          <w:rFonts w:eastAsia="Arial Unicode MS"/>
          <w:sz w:val="18"/>
        </w:rPr>
        <w:footnoteRef/>
      </w:r>
      <w:r>
        <w:rPr>
          <w:sz w:val="18"/>
        </w:rPr>
        <w:t xml:space="preserve"> Санитарно-защитная полоса водоводов согласно подпункту 2.4.3 СанПиН 2.1.4.1110-02 «Зоны санитарной охраны источников водоснабжения и водопроводов питьевого назначения», при условии отсутствия грунтовых вод и диаметре водоводов менее 1000 мм принята по обе стороны от крайних линий водопровода 10 м.</w:t>
      </w:r>
    </w:p>
  </w:footnote>
  <w:footnote w:id="25">
    <w:p w:rsidR="002D1E45" w:rsidRDefault="002D1E45" w:rsidP="00AF7759">
      <w:pPr>
        <w:pStyle w:val="FootnoteText"/>
        <w:jc w:val="both"/>
      </w:pPr>
      <w:r>
        <w:rPr>
          <w:rStyle w:val="FootnoteReference"/>
          <w:rFonts w:eastAsia="Arial Unicode MS"/>
          <w:sz w:val="18"/>
        </w:rPr>
        <w:footnoteRef/>
      </w:r>
      <w:r>
        <w:rPr>
          <w:sz w:val="18"/>
        </w:rPr>
        <w:t xml:space="preserve"> Санитарно-защитная полоса водоводов согласно подпункту 2.4.3 СанПиН 2.1.4.1110-02 «Зоны санитарной охраны источников водоснабжения и водопроводов питьевого назначения», при условии отсутствия грунтовых вод и диаметре водоводов менее 1000 мм принята по обе стороны от крайних линий водопровода 10 м.</w:t>
      </w:r>
    </w:p>
  </w:footnote>
  <w:footnote w:id="26">
    <w:p w:rsidR="002D1E45" w:rsidRDefault="002D1E45" w:rsidP="00AF7759">
      <w:pPr>
        <w:pStyle w:val="FootnoteText"/>
        <w:jc w:val="both"/>
      </w:pPr>
      <w:r>
        <w:rPr>
          <w:rStyle w:val="FootnoteReference"/>
          <w:rFonts w:eastAsia="Arial Unicode MS"/>
          <w:sz w:val="18"/>
        </w:rPr>
        <w:footnoteRef/>
      </w:r>
      <w:r>
        <w:rPr>
          <w:sz w:val="18"/>
        </w:rPr>
        <w:t xml:space="preserve"> Санитарно-защитная полоса водоводов согласно подпункту 2.4.3 СанПиН 2.1.4.1110-02 «Зоны санитарной охраны источников водоснабжения и водопроводов питьевого назначения», при условии отсутствия грунтовых вод и диаметре водоводов менее 1000 мм принята по обе стороны от крайних линий водопровода 10 м.</w:t>
      </w:r>
    </w:p>
  </w:footnote>
  <w:footnote w:id="27">
    <w:p w:rsidR="002D1E45" w:rsidRDefault="002D1E45" w:rsidP="00AF7759">
      <w:pPr>
        <w:pStyle w:val="FootnoteText"/>
        <w:jc w:val="both"/>
      </w:pPr>
      <w:r>
        <w:rPr>
          <w:rStyle w:val="FootnoteReference"/>
          <w:rFonts w:eastAsia="Arial Unicode MS"/>
          <w:sz w:val="18"/>
        </w:rPr>
        <w:footnoteRef/>
      </w:r>
      <w:r>
        <w:rPr>
          <w:sz w:val="18"/>
        </w:rPr>
        <w:t xml:space="preserve"> </w:t>
      </w:r>
      <w:r w:rsidRPr="00EF3AD9">
        <w:rPr>
          <w:sz w:val="18"/>
        </w:rPr>
        <w:t>В соответствии с проектом Положени</w:t>
      </w:r>
      <w:r>
        <w:rPr>
          <w:sz w:val="18"/>
        </w:rPr>
        <w:t xml:space="preserve">я </w:t>
      </w:r>
      <w:r w:rsidRPr="00EF3AD9">
        <w:rPr>
          <w:sz w:val="18"/>
        </w:rPr>
        <w:t>об охранной зоне тепловых сетей</w:t>
      </w:r>
      <w:r>
        <w:rPr>
          <w:sz w:val="18"/>
        </w:rPr>
        <w:t xml:space="preserve">, </w:t>
      </w:r>
      <w:r w:rsidRPr="00EF3AD9">
        <w:rPr>
          <w:sz w:val="18"/>
        </w:rPr>
        <w:t xml:space="preserve">охранные зоны будут распространяться на </w:t>
      </w:r>
      <w:r>
        <w:rPr>
          <w:sz w:val="18"/>
        </w:rPr>
        <w:t>3</w:t>
      </w:r>
      <w:r w:rsidRPr="00EF3AD9">
        <w:rPr>
          <w:sz w:val="18"/>
        </w:rPr>
        <w:t xml:space="preserve"> метра от теплосетей в каждую сторону</w:t>
      </w:r>
      <w:r w:rsidRPr="00EF3AD9">
        <w:t xml:space="preserve"> </w:t>
      </w:r>
      <w:r w:rsidRPr="00EF3AD9">
        <w:rPr>
          <w:sz w:val="18"/>
        </w:rPr>
        <w:t>в случае подземной прокладки тепловых сетей</w:t>
      </w:r>
      <w:r>
        <w:rPr>
          <w:sz w:val="18"/>
        </w:rPr>
        <w:t>.</w:t>
      </w:r>
    </w:p>
  </w:footnote>
  <w:footnote w:id="28">
    <w:p w:rsidR="002D1E45" w:rsidRDefault="002D1E45" w:rsidP="00EF3AD9">
      <w:pPr>
        <w:pStyle w:val="FootnoteText"/>
        <w:jc w:val="both"/>
      </w:pPr>
      <w:r>
        <w:rPr>
          <w:rStyle w:val="FootnoteReference"/>
          <w:rFonts w:eastAsia="Arial Unicode MS"/>
          <w:sz w:val="18"/>
        </w:rPr>
        <w:footnoteRef/>
      </w:r>
      <w:r>
        <w:rPr>
          <w:sz w:val="18"/>
        </w:rPr>
        <w:t xml:space="preserve"> </w:t>
      </w:r>
      <w:r w:rsidRPr="00EF3AD9">
        <w:rPr>
          <w:sz w:val="18"/>
        </w:rPr>
        <w:t>В соответствии с проектом Положени</w:t>
      </w:r>
      <w:r>
        <w:rPr>
          <w:sz w:val="18"/>
        </w:rPr>
        <w:t xml:space="preserve">я </w:t>
      </w:r>
      <w:r w:rsidRPr="00EF3AD9">
        <w:rPr>
          <w:sz w:val="18"/>
        </w:rPr>
        <w:t>об охранной зоне тепловых сетей</w:t>
      </w:r>
      <w:r>
        <w:rPr>
          <w:sz w:val="18"/>
        </w:rPr>
        <w:t xml:space="preserve">, </w:t>
      </w:r>
      <w:r w:rsidRPr="00EF3AD9">
        <w:rPr>
          <w:sz w:val="18"/>
        </w:rPr>
        <w:t xml:space="preserve">охранные зоны будут распространяться на </w:t>
      </w:r>
      <w:r>
        <w:rPr>
          <w:sz w:val="18"/>
        </w:rPr>
        <w:t>3</w:t>
      </w:r>
      <w:r w:rsidRPr="00EF3AD9">
        <w:rPr>
          <w:sz w:val="18"/>
        </w:rPr>
        <w:t xml:space="preserve"> метра от теплосетей в каждую сторону</w:t>
      </w:r>
      <w:r w:rsidRPr="00EF3AD9">
        <w:t xml:space="preserve"> </w:t>
      </w:r>
      <w:r w:rsidRPr="00EF3AD9">
        <w:rPr>
          <w:sz w:val="18"/>
        </w:rPr>
        <w:t>в случае подземной прокладки тепловых сетей</w:t>
      </w:r>
      <w:r>
        <w:rPr>
          <w:sz w:val="18"/>
        </w:rPr>
        <w:t>.</w:t>
      </w:r>
    </w:p>
  </w:footnote>
  <w:footnote w:id="29">
    <w:p w:rsidR="002D1E45" w:rsidRDefault="002D1E45" w:rsidP="00EF3AD9">
      <w:pPr>
        <w:pStyle w:val="FootnoteText"/>
        <w:jc w:val="both"/>
      </w:pPr>
      <w:r>
        <w:rPr>
          <w:rStyle w:val="FootnoteReference"/>
          <w:rFonts w:eastAsia="Arial Unicode MS"/>
          <w:sz w:val="18"/>
        </w:rPr>
        <w:footnoteRef/>
      </w:r>
      <w:r>
        <w:rPr>
          <w:sz w:val="18"/>
        </w:rPr>
        <w:t xml:space="preserve"> </w:t>
      </w:r>
      <w:r w:rsidRPr="00EF3AD9">
        <w:rPr>
          <w:sz w:val="18"/>
        </w:rPr>
        <w:t>В соответствии с проектом Положени</w:t>
      </w:r>
      <w:r>
        <w:rPr>
          <w:sz w:val="18"/>
        </w:rPr>
        <w:t xml:space="preserve">я </w:t>
      </w:r>
      <w:r w:rsidRPr="00EF3AD9">
        <w:rPr>
          <w:sz w:val="18"/>
        </w:rPr>
        <w:t>об охранной зоне тепловых сетей</w:t>
      </w:r>
      <w:r>
        <w:rPr>
          <w:sz w:val="18"/>
        </w:rPr>
        <w:t xml:space="preserve">, </w:t>
      </w:r>
      <w:r w:rsidRPr="00EF3AD9">
        <w:rPr>
          <w:sz w:val="18"/>
        </w:rPr>
        <w:t xml:space="preserve">охранные зоны будут распространяться на </w:t>
      </w:r>
      <w:r>
        <w:rPr>
          <w:sz w:val="18"/>
        </w:rPr>
        <w:t>3</w:t>
      </w:r>
      <w:r w:rsidRPr="00EF3AD9">
        <w:rPr>
          <w:sz w:val="18"/>
        </w:rPr>
        <w:t xml:space="preserve"> метра от теплосетей в каждую сторону</w:t>
      </w:r>
      <w:r w:rsidRPr="00EF3AD9">
        <w:t xml:space="preserve"> </w:t>
      </w:r>
      <w:r w:rsidRPr="00EF3AD9">
        <w:rPr>
          <w:sz w:val="18"/>
        </w:rPr>
        <w:t>в случае подземной прокладки тепловых сетей</w:t>
      </w:r>
      <w:r>
        <w:rPr>
          <w:sz w:val="18"/>
        </w:rPr>
        <w:t>.</w:t>
      </w:r>
    </w:p>
  </w:footnote>
  <w:footnote w:id="30">
    <w:p w:rsidR="002D1E45" w:rsidRDefault="002D1E45" w:rsidP="00EF3AD9">
      <w:pPr>
        <w:pStyle w:val="FootnoteText"/>
        <w:jc w:val="both"/>
      </w:pPr>
      <w:r>
        <w:rPr>
          <w:rStyle w:val="FootnoteReference"/>
          <w:rFonts w:eastAsia="Arial Unicode MS"/>
          <w:sz w:val="18"/>
        </w:rPr>
        <w:footnoteRef/>
      </w:r>
      <w:r>
        <w:rPr>
          <w:sz w:val="18"/>
        </w:rPr>
        <w:t xml:space="preserve"> </w:t>
      </w:r>
      <w:r w:rsidRPr="00EF3AD9">
        <w:rPr>
          <w:sz w:val="18"/>
        </w:rPr>
        <w:t>В соответствии с проектом Положени</w:t>
      </w:r>
      <w:r>
        <w:rPr>
          <w:sz w:val="18"/>
        </w:rPr>
        <w:t xml:space="preserve">я </w:t>
      </w:r>
      <w:r w:rsidRPr="00EF3AD9">
        <w:rPr>
          <w:sz w:val="18"/>
        </w:rPr>
        <w:t>об охранной зоне тепловых сетей</w:t>
      </w:r>
      <w:r>
        <w:rPr>
          <w:sz w:val="18"/>
        </w:rPr>
        <w:t xml:space="preserve">, </w:t>
      </w:r>
      <w:r w:rsidRPr="00EF3AD9">
        <w:rPr>
          <w:sz w:val="18"/>
        </w:rPr>
        <w:t xml:space="preserve">охранные зоны будут распространяться на </w:t>
      </w:r>
      <w:r>
        <w:rPr>
          <w:sz w:val="18"/>
        </w:rPr>
        <w:t>3</w:t>
      </w:r>
      <w:r w:rsidRPr="00EF3AD9">
        <w:rPr>
          <w:sz w:val="18"/>
        </w:rPr>
        <w:t xml:space="preserve"> метра от теплосетей в каждую сторону</w:t>
      </w:r>
      <w:r w:rsidRPr="00EF3AD9">
        <w:t xml:space="preserve"> </w:t>
      </w:r>
      <w:r w:rsidRPr="00EF3AD9">
        <w:rPr>
          <w:sz w:val="18"/>
        </w:rPr>
        <w:t>в случае подземной прокладки тепловых сетей</w:t>
      </w:r>
      <w:r>
        <w:rPr>
          <w:sz w:val="18"/>
        </w:rPr>
        <w:t>.</w:t>
      </w:r>
    </w:p>
  </w:footnote>
  <w:footnote w:id="31">
    <w:p w:rsidR="002D1E45" w:rsidRDefault="002D1E45" w:rsidP="00AF7759">
      <w:pPr>
        <w:pStyle w:val="FootnoteText"/>
        <w:jc w:val="both"/>
      </w:pPr>
      <w:r>
        <w:rPr>
          <w:rStyle w:val="FootnoteReference"/>
          <w:sz w:val="18"/>
        </w:rPr>
        <w:footnoteRef/>
      </w:r>
      <w:r>
        <w:rPr>
          <w:sz w:val="18"/>
        </w:rPr>
        <w:t xml:space="preserve"> Согласно п. 7.1.10. СанПиН 2.2.1/2.1.1.1200-03 «Санитарно-защитные зоны и санитарная классификация предприятий, сооружений и иных объектов», размер санитарно-защитной зоны котельных до 200 Гкал/ч устанавливается в каждом конкретном случае на основании расчётов рассеивания загрязнений атмосферного воздуха и физического воздействия на атмосферный воздух.</w:t>
      </w:r>
    </w:p>
  </w:footnote>
  <w:footnote w:id="32">
    <w:p w:rsidR="002D1E45" w:rsidRDefault="002D1E45" w:rsidP="00AF7759">
      <w:pPr>
        <w:pStyle w:val="FootnoteText"/>
        <w:jc w:val="both"/>
      </w:pPr>
      <w:r>
        <w:rPr>
          <w:rStyle w:val="FootnoteReference"/>
          <w:sz w:val="18"/>
        </w:rPr>
        <w:footnoteRef/>
      </w:r>
      <w:r>
        <w:rPr>
          <w:sz w:val="18"/>
        </w:rPr>
        <w:t xml:space="preserve"> Согласно п. 7.1.10. СанПиН 2.2.1/2.1.1.1200-03 «Санитарно-защитные зоны и санитарная классификация предприятий, сооружений и иных объектов», размер санитарно-защитной зоны котельных до 200 Гкал/ч устанавливается в каждом конкретном случае на основании расчётов рассеивания загрязнений атмосферного воздуха и физического воздействия на атмосферный воздух.</w:t>
      </w:r>
    </w:p>
  </w:footnote>
  <w:footnote w:id="33">
    <w:p w:rsidR="002D1E45" w:rsidRDefault="002D1E45" w:rsidP="00AF7759">
      <w:pPr>
        <w:pStyle w:val="FootnoteText"/>
        <w:jc w:val="both"/>
      </w:pPr>
      <w:r>
        <w:rPr>
          <w:rStyle w:val="FootnoteReference"/>
          <w:sz w:val="18"/>
        </w:rPr>
        <w:footnoteRef/>
      </w:r>
      <w:r>
        <w:rPr>
          <w:sz w:val="18"/>
        </w:rPr>
        <w:t xml:space="preserve"> Согласно п. 7.1.10. СанПиН 2.2.1/2.1.1.1200-03 «Санитарно-защитные зоны и санитарная классификация предприятий, сооружений и иных объектов», размер санитарно-защитной зоны котельных до 200 Гкал/ч устанавливается в каждом конкретном случае на основании расчётов рассеивания загрязнений атмосферного воздуха и физического воздействия на атмосферный воздух.</w:t>
      </w:r>
    </w:p>
  </w:footnote>
  <w:footnote w:id="34">
    <w:p w:rsidR="002D1E45" w:rsidRDefault="002D1E45" w:rsidP="00AF7759">
      <w:pPr>
        <w:pStyle w:val="FootnoteText"/>
        <w:jc w:val="both"/>
      </w:pPr>
      <w:r w:rsidRPr="00FF4B93">
        <w:rPr>
          <w:rStyle w:val="FootnoteReference"/>
          <w:rFonts w:eastAsia="Arial Unicode MS"/>
          <w:sz w:val="18"/>
        </w:rPr>
        <w:footnoteRef/>
      </w:r>
      <w:r w:rsidRPr="00FF4B93">
        <w:rPr>
          <w:sz w:val="18"/>
        </w:rPr>
        <w:t xml:space="preserve"> В соответствии с Правилами охраны газораспределительных сетей, утверждёнными постановлением Правительства Российской Федерации от 20.11.2000 № 878, вдоль трасс наружных газопроводов охранные зоны устанавливаются в виде территории, ограниченной условными линиями, проходящими на расстоянии 2 метров с каждой стороны.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 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footnote>
  <w:footnote w:id="35">
    <w:p w:rsidR="002D1E45" w:rsidRDefault="002D1E45" w:rsidP="00AF7759">
      <w:pPr>
        <w:pStyle w:val="FootnoteText"/>
        <w:jc w:val="both"/>
      </w:pPr>
      <w:r w:rsidRPr="00FF4B93">
        <w:rPr>
          <w:rStyle w:val="FootnoteReference"/>
          <w:rFonts w:eastAsia="Arial Unicode MS"/>
          <w:sz w:val="18"/>
        </w:rPr>
        <w:footnoteRef/>
      </w:r>
      <w:r w:rsidRPr="00FF4B93">
        <w:rPr>
          <w:sz w:val="18"/>
        </w:rPr>
        <w:t xml:space="preserve"> В соответствии с Правилами охраны газораспределительных сетей, утверждёнными постановлением Правительства Российской Федерации от 20.11.2000 № 878, вдоль трасс наружных газопроводов охранные зоны устанавливаются в виде территории, ограниченной условными линиями, проходящими на расстоянии 2 метров с каждой стороны.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 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footnote>
  <w:footnote w:id="36">
    <w:p w:rsidR="002D1E45" w:rsidRDefault="002D1E45" w:rsidP="00AF7759">
      <w:pPr>
        <w:pStyle w:val="FootnoteText"/>
        <w:jc w:val="both"/>
      </w:pPr>
      <w:r w:rsidRPr="00FF4B93">
        <w:rPr>
          <w:rStyle w:val="FootnoteReference"/>
          <w:rFonts w:eastAsia="Arial Unicode MS"/>
          <w:sz w:val="18"/>
        </w:rPr>
        <w:footnoteRef/>
      </w:r>
      <w:r w:rsidRPr="00FF4B93">
        <w:rPr>
          <w:sz w:val="18"/>
        </w:rPr>
        <w:t xml:space="preserve"> В соответствии с Правилами охраны газораспределительных сетей, утверждёнными постановлением Правительства Российской Федерации от 20.11.2000 № 878, вдоль трасс наружных газопроводов охранные зоны устанавливаются в виде территории, ограниченной условными линиями, проходящими на расстоянии 2 метров с каждой стороны.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 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footnote>
  <w:footnote w:id="37">
    <w:p w:rsidR="002D1E45" w:rsidRDefault="002D1E45" w:rsidP="00AF7759">
      <w:pPr>
        <w:pStyle w:val="FootnoteText"/>
        <w:jc w:val="both"/>
      </w:pPr>
      <w:r w:rsidRPr="00FF4B93">
        <w:rPr>
          <w:rStyle w:val="FootnoteReference"/>
          <w:rFonts w:eastAsia="Arial Unicode MS"/>
          <w:sz w:val="18"/>
        </w:rPr>
        <w:footnoteRef/>
      </w:r>
      <w:r w:rsidRPr="00FF4B93">
        <w:rPr>
          <w:sz w:val="18"/>
        </w:rPr>
        <w:t xml:space="preserve"> В соответствии с постановлением Правительства Российской Федерации от 24.02.2009 № 160,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 на расстоянии 20 м.</w:t>
      </w:r>
    </w:p>
  </w:footnote>
  <w:footnote w:id="38">
    <w:p w:rsidR="002D1E45" w:rsidRDefault="002D1E45" w:rsidP="00AF7759">
      <w:pPr>
        <w:pStyle w:val="FootnoteText"/>
        <w:jc w:val="both"/>
      </w:pPr>
      <w:r w:rsidRPr="00FF4B93">
        <w:rPr>
          <w:rStyle w:val="FootnoteReference"/>
          <w:rFonts w:eastAsia="Arial Unicode MS"/>
          <w:sz w:val="18"/>
        </w:rPr>
        <w:footnoteRef/>
      </w:r>
      <w:r w:rsidRPr="00FF4B93">
        <w:rPr>
          <w:sz w:val="18"/>
        </w:rPr>
        <w:t xml:space="preserve"> В соответствии с постановлением Правительства Российской Федерации от 24.02.2009 № 160, охранные зоны устанавливаются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 отклонённом их положении на расстоянии 2 м – для линий электропередачи напряжением до 1 кВ.</w:t>
      </w:r>
    </w:p>
  </w:footnote>
  <w:footnote w:id="39">
    <w:p w:rsidR="002D1E45" w:rsidRDefault="002D1E45" w:rsidP="00AF7759">
      <w:pPr>
        <w:pStyle w:val="FootnoteText"/>
        <w:jc w:val="both"/>
      </w:pPr>
      <w:r w:rsidRPr="00FF4B93">
        <w:rPr>
          <w:rStyle w:val="FootnoteReference"/>
          <w:rFonts w:eastAsia="Arial Unicode MS"/>
          <w:sz w:val="18"/>
        </w:rPr>
        <w:footnoteRef/>
      </w:r>
      <w:r w:rsidRPr="00FF4B93">
        <w:rPr>
          <w:sz w:val="18"/>
        </w:rPr>
        <w:t xml:space="preserve"> В соответствии с постановлением Правительства Российской Федерации от 24.02.2009 № 160, охранные зоны устанавливаются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 отклонённом их положении на расстоянии 2 м – для линий электропередачи напряжением до 1 кВ.</w:t>
      </w:r>
    </w:p>
  </w:footnote>
  <w:footnote w:id="40">
    <w:p w:rsidR="002D1E45" w:rsidRDefault="002D1E45" w:rsidP="00AF7759">
      <w:pPr>
        <w:pStyle w:val="FootnoteText"/>
        <w:jc w:val="both"/>
      </w:pPr>
      <w:r w:rsidRPr="00FF4B93">
        <w:rPr>
          <w:rStyle w:val="FootnoteReference"/>
          <w:rFonts w:eastAsia="Arial Unicode MS"/>
          <w:sz w:val="18"/>
        </w:rPr>
        <w:footnoteRef/>
      </w:r>
      <w:r w:rsidRPr="00FF4B93">
        <w:rPr>
          <w:sz w:val="18"/>
        </w:rPr>
        <w:t xml:space="preserve"> В соответствии с постановлением Правительства Российской Федерации от 24.02.2009 № 160, охранные зоны устанавливаются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 отклонённом их положении на расстоянии 2 м – для линий электропередачи напряжением до 1 кВ.</w:t>
      </w:r>
    </w:p>
  </w:footnote>
  <w:footnote w:id="41">
    <w:p w:rsidR="002D1E45" w:rsidRDefault="002D1E45" w:rsidP="00AF7759">
      <w:pPr>
        <w:pStyle w:val="FootnoteText"/>
        <w:jc w:val="both"/>
      </w:pPr>
      <w:r w:rsidRPr="00FF4B93">
        <w:rPr>
          <w:rStyle w:val="FootnoteReference"/>
          <w:rFonts w:eastAsia="Arial Unicode MS"/>
          <w:sz w:val="18"/>
        </w:rPr>
        <w:footnoteRef/>
      </w:r>
      <w:r w:rsidRPr="00FF4B93">
        <w:rPr>
          <w:sz w:val="18"/>
        </w:rPr>
        <w:t xml:space="preserve"> В соответствии с постановлением Правительства Российской Федерации от 24.02.2009 № 160, охранные зоны устанавливаются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 отклонённом их положении на расстоянии 2 м – для линий электропередачи напряжением до 1 кВ.</w:t>
      </w:r>
    </w:p>
  </w:footnote>
  <w:footnote w:id="42">
    <w:p w:rsidR="002D1E45" w:rsidRDefault="002D1E45" w:rsidP="00AF7759">
      <w:pPr>
        <w:pStyle w:val="FootnoteText"/>
        <w:jc w:val="both"/>
      </w:pPr>
      <w:r w:rsidRPr="00FF4B93">
        <w:rPr>
          <w:rStyle w:val="FootnoteReference"/>
          <w:rFonts w:eastAsia="Arial Unicode MS"/>
          <w:sz w:val="18"/>
        </w:rPr>
        <w:footnoteRef/>
      </w:r>
      <w:r w:rsidRPr="00FF4B93">
        <w:rPr>
          <w:sz w:val="18"/>
        </w:rPr>
        <w:t xml:space="preserve"> В соответствии с постановлением Правительства Российской Федерации от 24.02.2009 № 160,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 на расстоянии 20 м.</w:t>
      </w:r>
    </w:p>
  </w:footnote>
  <w:footnote w:id="43">
    <w:p w:rsidR="002D1E45" w:rsidRDefault="002D1E45" w:rsidP="00AF7759">
      <w:pPr>
        <w:pStyle w:val="FootnoteText"/>
        <w:jc w:val="both"/>
      </w:pPr>
      <w:r w:rsidRPr="00666ED4">
        <w:rPr>
          <w:rStyle w:val="FootnoteReference"/>
          <w:rFonts w:eastAsia="Arial Unicode MS"/>
          <w:sz w:val="18"/>
          <w:szCs w:val="18"/>
        </w:rPr>
        <w:footnoteRef/>
      </w:r>
      <w:r w:rsidRPr="00666ED4">
        <w:rPr>
          <w:sz w:val="18"/>
          <w:szCs w:val="18"/>
        </w:rPr>
        <w:t xml:space="preserve"> В соответствии с постановлением Правительства Российской Федерации от 9.06.1995 № 578, для подземных кабельных и для воздушных линий связи и линий радиофикации, расположенных вне населённых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метра с каждой стороны.</w:t>
      </w:r>
    </w:p>
  </w:footnote>
  <w:footnote w:id="44">
    <w:p w:rsidR="002D1E45" w:rsidRDefault="002D1E45" w:rsidP="00AF7759">
      <w:pPr>
        <w:pStyle w:val="FootnoteText"/>
        <w:jc w:val="both"/>
      </w:pPr>
      <w:r w:rsidRPr="00FF4B93">
        <w:rPr>
          <w:rStyle w:val="FootnoteReference"/>
          <w:rFonts w:eastAsia="Arial Unicode MS"/>
          <w:sz w:val="18"/>
        </w:rPr>
        <w:footnoteRef/>
      </w:r>
      <w:r w:rsidRPr="00FF4B93">
        <w:rPr>
          <w:sz w:val="18"/>
        </w:rPr>
        <w:t xml:space="preserve"> Согласно п. 7.1.</w:t>
      </w:r>
      <w:r>
        <w:rPr>
          <w:sz w:val="18"/>
        </w:rPr>
        <w:t>11</w:t>
      </w:r>
      <w:r w:rsidRPr="00FF4B93">
        <w:rPr>
          <w:sz w:val="18"/>
        </w:rPr>
        <w:t xml:space="preserve">. СанПиН 2.2.1/2.1.1.1200-03 «Санитарно-защитные зоны и санитарная классификация предприятий, сооружений и иных объектов», для организации </w:t>
      </w:r>
      <w:r>
        <w:rPr>
          <w:sz w:val="18"/>
        </w:rPr>
        <w:t>х</w:t>
      </w:r>
      <w:r w:rsidRPr="008B3525">
        <w:rPr>
          <w:sz w:val="18"/>
        </w:rPr>
        <w:t>ранилища фруктов, овощей, картофеля, зерна</w:t>
      </w:r>
      <w:r w:rsidRPr="00FF4B93">
        <w:rPr>
          <w:sz w:val="18"/>
        </w:rPr>
        <w:t xml:space="preserve">, СЗЗ составляет </w:t>
      </w:r>
      <w:r>
        <w:rPr>
          <w:sz w:val="18"/>
        </w:rPr>
        <w:t>5</w:t>
      </w:r>
      <w:r w:rsidRPr="00FF4B93">
        <w:rPr>
          <w:sz w:val="18"/>
        </w:rPr>
        <w:t>0 м.</w:t>
      </w:r>
    </w:p>
  </w:footnote>
  <w:footnote w:id="45">
    <w:p w:rsidR="002D1E45" w:rsidRDefault="002D1E45" w:rsidP="00AF7759">
      <w:pPr>
        <w:pStyle w:val="FootnoteText"/>
        <w:jc w:val="both"/>
      </w:pPr>
      <w:r w:rsidRPr="00FF4B93">
        <w:rPr>
          <w:rStyle w:val="FootnoteReference"/>
          <w:rFonts w:eastAsia="Arial Unicode MS"/>
          <w:sz w:val="18"/>
        </w:rPr>
        <w:footnoteRef/>
      </w:r>
      <w:r w:rsidRPr="00FF4B93">
        <w:rPr>
          <w:sz w:val="18"/>
        </w:rPr>
        <w:t xml:space="preserve"> Согласно п. 7.1.</w:t>
      </w:r>
      <w:r>
        <w:rPr>
          <w:sz w:val="18"/>
        </w:rPr>
        <w:t>8</w:t>
      </w:r>
      <w:r w:rsidRPr="00FF4B93">
        <w:rPr>
          <w:sz w:val="18"/>
        </w:rPr>
        <w:t xml:space="preserve">. СанПиН 2.2.1/2.1.1.1200-03 «Санитарно-защитные зоны и санитарная классификация предприятий, сооружений и иных объектов», для организации </w:t>
      </w:r>
      <w:r>
        <w:rPr>
          <w:sz w:val="18"/>
        </w:rPr>
        <w:t>м</w:t>
      </w:r>
      <w:r w:rsidRPr="00EA4BEA">
        <w:rPr>
          <w:sz w:val="18"/>
        </w:rPr>
        <w:t>алы</w:t>
      </w:r>
      <w:r>
        <w:rPr>
          <w:sz w:val="18"/>
        </w:rPr>
        <w:t>х</w:t>
      </w:r>
      <w:r w:rsidRPr="00EA4BEA">
        <w:rPr>
          <w:sz w:val="18"/>
        </w:rPr>
        <w:t xml:space="preserve"> предприяти</w:t>
      </w:r>
      <w:r>
        <w:rPr>
          <w:sz w:val="18"/>
        </w:rPr>
        <w:t xml:space="preserve">й </w:t>
      </w:r>
      <w:r w:rsidRPr="00EA4BEA">
        <w:rPr>
          <w:sz w:val="18"/>
        </w:rPr>
        <w:t>и цех</w:t>
      </w:r>
      <w:r>
        <w:rPr>
          <w:sz w:val="18"/>
        </w:rPr>
        <w:t>ов</w:t>
      </w:r>
      <w:r w:rsidRPr="00EA4BEA">
        <w:rPr>
          <w:sz w:val="18"/>
        </w:rPr>
        <w:t xml:space="preserve"> малой мощности: по переработке</w:t>
      </w:r>
      <w:r>
        <w:rPr>
          <w:sz w:val="18"/>
        </w:rPr>
        <w:t xml:space="preserve"> </w:t>
      </w:r>
      <w:r w:rsidRPr="00EA4BEA">
        <w:rPr>
          <w:sz w:val="18"/>
        </w:rPr>
        <w:t>молока - до 10 т/сутки</w:t>
      </w:r>
      <w:r w:rsidRPr="00FF4B93">
        <w:rPr>
          <w:sz w:val="18"/>
        </w:rPr>
        <w:t xml:space="preserve">, СЗЗ составляет </w:t>
      </w:r>
      <w:r>
        <w:rPr>
          <w:sz w:val="18"/>
        </w:rPr>
        <w:t>5</w:t>
      </w:r>
      <w:r w:rsidRPr="00FF4B93">
        <w:rPr>
          <w:sz w:val="18"/>
        </w:rPr>
        <w:t>0 м.</w:t>
      </w:r>
    </w:p>
  </w:footnote>
  <w:footnote w:id="46">
    <w:p w:rsidR="002D1E45" w:rsidRDefault="002D1E45" w:rsidP="00AF7759">
      <w:pPr>
        <w:pStyle w:val="FootnoteText"/>
        <w:jc w:val="both"/>
      </w:pPr>
      <w:r w:rsidRPr="00E14403">
        <w:rPr>
          <w:rStyle w:val="FootnoteReference"/>
          <w:rFonts w:eastAsia="Arial Unicode MS"/>
          <w:sz w:val="18"/>
          <w:szCs w:val="18"/>
        </w:rPr>
        <w:footnoteRef/>
      </w:r>
      <w:r w:rsidRPr="00E14403">
        <w:rPr>
          <w:sz w:val="18"/>
          <w:szCs w:val="18"/>
        </w:rPr>
        <w:t xml:space="preserve"> Согласно п. 7.1.12. СанПиН 2.2.1/2.1.1.1200-03 «Санитарно-защитные зоны и санитарная классификация предприятий, сооружений и иных объектов», для организации станций технического обслуживания легковых автомобилей до 5 постов, СЗЗ составляет 50 м.</w:t>
      </w:r>
    </w:p>
  </w:footnote>
  <w:footnote w:id="47">
    <w:p w:rsidR="002D1E45" w:rsidRDefault="002D1E45" w:rsidP="00AF7759">
      <w:pPr>
        <w:pStyle w:val="FootnoteText"/>
        <w:jc w:val="both"/>
      </w:pPr>
      <w:r>
        <w:rPr>
          <w:rStyle w:val="FootnoteReference"/>
          <w:rFonts w:eastAsia="Arial Unicode MS"/>
          <w:sz w:val="18"/>
        </w:rPr>
        <w:footnoteRef/>
      </w:r>
      <w:r>
        <w:rPr>
          <w:sz w:val="18"/>
        </w:rPr>
        <w:t xml:space="preserve"> Согласно п. 7.1.12. СанПиН 2.2.1/2.1.1.1200-03 «Санитарно-защитные зоны и санитарная классификация предприятий, сооружений и иных объектов», для полигонов по размещению, обезвреживанию, захоронению токсичных отходов производства и потребления 3-4 классов опасности СЗЗ составляет 500 м.</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1E45" w:rsidRPr="000D04D2" w:rsidRDefault="002D1E45">
    <w:pPr>
      <w:pStyle w:val="Header"/>
      <w:jc w:val="center"/>
    </w:pPr>
    <w:fldSimple w:instr="PAGE   \* MERGEFORMAT">
      <w:r>
        <w:rPr>
          <w:noProof/>
        </w:rPr>
        <w:t>248</w:t>
      </w:r>
    </w:fldSimple>
  </w:p>
  <w:p w:rsidR="002D1E45" w:rsidRDefault="002D1E45">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1E45" w:rsidRDefault="002D1E45">
    <w:pPr>
      <w:pStyle w:val="Header"/>
      <w:jc w:val="center"/>
    </w:pPr>
  </w:p>
  <w:p w:rsidR="002D1E45" w:rsidRDefault="002D1E45">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1E45" w:rsidRDefault="002D1E45">
    <w:pPr>
      <w:pStyle w:val="Header"/>
      <w:jc w:val="center"/>
    </w:pPr>
    <w:fldSimple w:instr="PAGE   \* MERGEFORMAT">
      <w:r>
        <w:rPr>
          <w:noProof/>
        </w:rPr>
        <w:t>2</w:t>
      </w:r>
    </w:fldSimple>
  </w:p>
  <w:p w:rsidR="002D1E45" w:rsidRDefault="002D1E45">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1E45" w:rsidRDefault="002D1E45">
    <w:pPr>
      <w:pStyle w:val="Header"/>
      <w:jc w:val="center"/>
    </w:pPr>
    <w:fldSimple w:instr="PAGE   \* MERGEFORMAT">
      <w:r>
        <w:rPr>
          <w:noProof/>
        </w:rPr>
        <w:t>222</w:t>
      </w:r>
    </w:fldSimple>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1E45" w:rsidRDefault="002D1E45">
    <w:pPr>
      <w:pStyle w:val="Header"/>
      <w:jc w:val="center"/>
    </w:pPr>
    <w:fldSimple w:instr="PAGE   \* MERGEFORMAT">
      <w:r>
        <w:rPr>
          <w:noProof/>
        </w:rPr>
        <w:t>2</w:t>
      </w:r>
    </w:fldSimple>
  </w:p>
  <w:p w:rsidR="002D1E45" w:rsidRDefault="002D1E45">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DD8854BC"/>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691CB3D8"/>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E3942518"/>
    <w:lvl w:ilvl="0">
      <w:start w:val="1"/>
      <w:numFmt w:val="decimal"/>
      <w:pStyle w:val="ListNumber3"/>
      <w:lvlText w:val="%1."/>
      <w:lvlJc w:val="left"/>
      <w:pPr>
        <w:tabs>
          <w:tab w:val="num" w:pos="926"/>
        </w:tabs>
        <w:ind w:left="926" w:hanging="360"/>
      </w:pPr>
    </w:lvl>
  </w:abstractNum>
  <w:abstractNum w:abstractNumId="3">
    <w:nsid w:val="FFFFFF7F"/>
    <w:multiLevelType w:val="singleLevel"/>
    <w:tmpl w:val="480A1AAE"/>
    <w:lvl w:ilvl="0">
      <w:start w:val="1"/>
      <w:numFmt w:val="decimal"/>
      <w:pStyle w:val="ListNumber2"/>
      <w:lvlText w:val="%1."/>
      <w:lvlJc w:val="left"/>
      <w:pPr>
        <w:tabs>
          <w:tab w:val="num" w:pos="643"/>
        </w:tabs>
        <w:ind w:left="643" w:hanging="360"/>
      </w:pPr>
    </w:lvl>
  </w:abstractNum>
  <w:abstractNum w:abstractNumId="4">
    <w:nsid w:val="FFFFFF80"/>
    <w:multiLevelType w:val="singleLevel"/>
    <w:tmpl w:val="5E6CE3EC"/>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77E05F16"/>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2A08EDC0"/>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2C18EF7C"/>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8E5E22EE"/>
    <w:lvl w:ilvl="0">
      <w:start w:val="1"/>
      <w:numFmt w:val="decimal"/>
      <w:pStyle w:val="ListNumber"/>
      <w:lvlText w:val="%1."/>
      <w:lvlJc w:val="left"/>
      <w:pPr>
        <w:tabs>
          <w:tab w:val="num" w:pos="360"/>
        </w:tabs>
        <w:ind w:left="360" w:hanging="360"/>
      </w:pPr>
    </w:lvl>
  </w:abstractNum>
  <w:abstractNum w:abstractNumId="9">
    <w:nsid w:val="FFFFFF89"/>
    <w:multiLevelType w:val="singleLevel"/>
    <w:tmpl w:val="6ABAEC2E"/>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0000001"/>
    <w:multiLevelType w:val="multilevel"/>
    <w:tmpl w:val="00000001"/>
    <w:name w:val="WW8Num1"/>
    <w:lvl w:ilvl="0">
      <w:start w:val="1"/>
      <w:numFmt w:val="bullet"/>
      <w:lvlText w:val=""/>
      <w:lvlJc w:val="left"/>
      <w:pPr>
        <w:tabs>
          <w:tab w:val="num" w:pos="567"/>
        </w:tabs>
        <w:ind w:left="567" w:hanging="567"/>
      </w:pPr>
      <w:rPr>
        <w:rFonts w:ascii="Symbol" w:hAnsi="Symbol"/>
      </w:rPr>
    </w:lvl>
    <w:lvl w:ilvl="1">
      <w:start w:val="5"/>
      <w:numFmt w:val="decimal"/>
      <w:lvlText w:val="%1.%2."/>
      <w:lvlJc w:val="left"/>
      <w:pPr>
        <w:tabs>
          <w:tab w:val="num" w:pos="720"/>
        </w:tabs>
        <w:ind w:left="720" w:hanging="720"/>
      </w:pPr>
      <w:rPr>
        <w:rFonts w:cs="Times New Roman"/>
      </w:rPr>
    </w:lvl>
    <w:lvl w:ilvl="2">
      <w:start w:val="1"/>
      <w:numFmt w:val="decimal"/>
      <w:lvlText w:val="%1.%2.%3."/>
      <w:lvlJc w:val="left"/>
      <w:pPr>
        <w:tabs>
          <w:tab w:val="num" w:pos="1080"/>
        </w:tabs>
        <w:ind w:left="1080" w:hanging="1080"/>
      </w:pPr>
      <w:rPr>
        <w:rFonts w:cs="Times New Roman"/>
      </w:rPr>
    </w:lvl>
    <w:lvl w:ilvl="3">
      <w:start w:val="1"/>
      <w:numFmt w:val="decimal"/>
      <w:lvlText w:val="%1.%2.%3.%4."/>
      <w:lvlJc w:val="left"/>
      <w:pPr>
        <w:tabs>
          <w:tab w:val="num" w:pos="1080"/>
        </w:tabs>
        <w:ind w:left="1080" w:hanging="1080"/>
      </w:pPr>
      <w:rPr>
        <w:rFonts w:cs="Times New Roman"/>
      </w:rPr>
    </w:lvl>
    <w:lvl w:ilvl="4">
      <w:start w:val="1"/>
      <w:numFmt w:val="decimal"/>
      <w:lvlText w:val="%1.%2.%3.%4.%5."/>
      <w:lvlJc w:val="left"/>
      <w:pPr>
        <w:tabs>
          <w:tab w:val="num" w:pos="1440"/>
        </w:tabs>
        <w:ind w:left="1440" w:hanging="1440"/>
      </w:pPr>
      <w:rPr>
        <w:rFonts w:cs="Times New Roman"/>
      </w:rPr>
    </w:lvl>
    <w:lvl w:ilvl="5">
      <w:start w:val="1"/>
      <w:numFmt w:val="decimal"/>
      <w:lvlText w:val="%1.%2.%3.%4.%5.%6."/>
      <w:lvlJc w:val="left"/>
      <w:pPr>
        <w:tabs>
          <w:tab w:val="num" w:pos="1800"/>
        </w:tabs>
        <w:ind w:left="1800" w:hanging="1800"/>
      </w:pPr>
      <w:rPr>
        <w:rFonts w:cs="Times New Roman"/>
      </w:rPr>
    </w:lvl>
    <w:lvl w:ilvl="6">
      <w:start w:val="1"/>
      <w:numFmt w:val="decimal"/>
      <w:lvlText w:val="%1.%2.%3.%4.%5.%6.%7."/>
      <w:lvlJc w:val="left"/>
      <w:pPr>
        <w:tabs>
          <w:tab w:val="num" w:pos="2160"/>
        </w:tabs>
        <w:ind w:left="2160" w:hanging="2160"/>
      </w:pPr>
      <w:rPr>
        <w:rFonts w:cs="Times New Roman"/>
      </w:rPr>
    </w:lvl>
    <w:lvl w:ilvl="7">
      <w:start w:val="1"/>
      <w:numFmt w:val="decimal"/>
      <w:lvlText w:val="%1.%2.%3.%4.%5.%6.%7.%8."/>
      <w:lvlJc w:val="left"/>
      <w:pPr>
        <w:tabs>
          <w:tab w:val="num" w:pos="2160"/>
        </w:tabs>
        <w:ind w:left="2160" w:hanging="2160"/>
      </w:pPr>
      <w:rPr>
        <w:rFonts w:cs="Times New Roman"/>
      </w:rPr>
    </w:lvl>
    <w:lvl w:ilvl="8">
      <w:start w:val="1"/>
      <w:numFmt w:val="decimal"/>
      <w:lvlText w:val="%1.%2.%3.%4.%5.%6.%7.%8.%9."/>
      <w:lvlJc w:val="left"/>
      <w:pPr>
        <w:tabs>
          <w:tab w:val="num" w:pos="2520"/>
        </w:tabs>
        <w:ind w:left="2520" w:hanging="2520"/>
      </w:pPr>
      <w:rPr>
        <w:rFonts w:cs="Times New Roman"/>
      </w:rPr>
    </w:lvl>
  </w:abstractNum>
  <w:abstractNum w:abstractNumId="11">
    <w:nsid w:val="00000003"/>
    <w:multiLevelType w:val="singleLevel"/>
    <w:tmpl w:val="00000003"/>
    <w:name w:val="WW8Num2"/>
    <w:lvl w:ilvl="0">
      <w:start w:val="1"/>
      <w:numFmt w:val="bullet"/>
      <w:lvlText w:val=""/>
      <w:lvlJc w:val="left"/>
      <w:pPr>
        <w:tabs>
          <w:tab w:val="num" w:pos="926"/>
        </w:tabs>
        <w:ind w:left="926" w:hanging="360"/>
      </w:pPr>
      <w:rPr>
        <w:rFonts w:ascii="Symbol" w:hAnsi="Symbol"/>
      </w:rPr>
    </w:lvl>
  </w:abstractNum>
  <w:abstractNum w:abstractNumId="12">
    <w:nsid w:val="00000004"/>
    <w:multiLevelType w:val="singleLevel"/>
    <w:tmpl w:val="00000004"/>
    <w:name w:val="WW8Num3"/>
    <w:lvl w:ilvl="0">
      <w:start w:val="1"/>
      <w:numFmt w:val="bullet"/>
      <w:lvlText w:val=""/>
      <w:lvlJc w:val="left"/>
      <w:pPr>
        <w:tabs>
          <w:tab w:val="num" w:pos="643"/>
        </w:tabs>
        <w:ind w:left="643" w:hanging="360"/>
      </w:pPr>
      <w:rPr>
        <w:rFonts w:ascii="Symbol" w:hAnsi="Symbol"/>
      </w:rPr>
    </w:lvl>
  </w:abstractNum>
  <w:abstractNum w:abstractNumId="13">
    <w:nsid w:val="00000005"/>
    <w:multiLevelType w:val="singleLevel"/>
    <w:tmpl w:val="00000005"/>
    <w:name w:val="WW8Num4"/>
    <w:lvl w:ilvl="0">
      <w:start w:val="1"/>
      <w:numFmt w:val="decimal"/>
      <w:lvlText w:val="%1."/>
      <w:lvlJc w:val="left"/>
      <w:pPr>
        <w:tabs>
          <w:tab w:val="num" w:pos="720"/>
        </w:tabs>
        <w:ind w:left="720" w:hanging="360"/>
      </w:pPr>
      <w:rPr>
        <w:rFonts w:cs="Times New Roman"/>
      </w:rPr>
    </w:lvl>
  </w:abstractNum>
  <w:abstractNum w:abstractNumId="14">
    <w:nsid w:val="00000007"/>
    <w:multiLevelType w:val="singleLevel"/>
    <w:tmpl w:val="00000007"/>
    <w:name w:val="WW8Num6"/>
    <w:lvl w:ilvl="0">
      <w:start w:val="1"/>
      <w:numFmt w:val="bullet"/>
      <w:lvlText w:val=""/>
      <w:lvlJc w:val="left"/>
      <w:pPr>
        <w:tabs>
          <w:tab w:val="num" w:pos="567"/>
        </w:tabs>
        <w:ind w:left="1134" w:hanging="567"/>
      </w:pPr>
      <w:rPr>
        <w:rFonts w:ascii="Symbol" w:hAnsi="Symbol"/>
      </w:rPr>
    </w:lvl>
  </w:abstractNum>
  <w:abstractNum w:abstractNumId="15">
    <w:nsid w:val="00000008"/>
    <w:multiLevelType w:val="singleLevel"/>
    <w:tmpl w:val="00000008"/>
    <w:name w:val="WW8Num7"/>
    <w:lvl w:ilvl="0">
      <w:start w:val="1"/>
      <w:numFmt w:val="decimal"/>
      <w:lvlText w:val="%1."/>
      <w:lvlJc w:val="left"/>
      <w:pPr>
        <w:tabs>
          <w:tab w:val="num" w:pos="720"/>
        </w:tabs>
        <w:ind w:left="720" w:hanging="360"/>
      </w:pPr>
      <w:rPr>
        <w:rFonts w:cs="Times New Roman"/>
      </w:rPr>
    </w:lvl>
  </w:abstractNum>
  <w:abstractNum w:abstractNumId="16">
    <w:nsid w:val="00000009"/>
    <w:multiLevelType w:val="singleLevel"/>
    <w:tmpl w:val="00000009"/>
    <w:name w:val="WW8Num8"/>
    <w:lvl w:ilvl="0">
      <w:start w:val="1"/>
      <w:numFmt w:val="decimal"/>
      <w:lvlText w:val="%1."/>
      <w:lvlJc w:val="left"/>
      <w:pPr>
        <w:tabs>
          <w:tab w:val="num" w:pos="1287"/>
        </w:tabs>
        <w:ind w:left="1287" w:hanging="360"/>
      </w:pPr>
      <w:rPr>
        <w:rFonts w:ascii="Trebuchet MS" w:hAnsi="Trebuchet MS" w:cs="Trebuchet MS"/>
      </w:rPr>
    </w:lvl>
  </w:abstractNum>
  <w:abstractNum w:abstractNumId="17">
    <w:nsid w:val="0000000A"/>
    <w:multiLevelType w:val="singleLevel"/>
    <w:tmpl w:val="0000000A"/>
    <w:name w:val="WW8Num9"/>
    <w:lvl w:ilvl="0">
      <w:start w:val="1"/>
      <w:numFmt w:val="decimal"/>
      <w:lvlText w:val="%1."/>
      <w:lvlJc w:val="left"/>
      <w:pPr>
        <w:tabs>
          <w:tab w:val="num" w:pos="720"/>
        </w:tabs>
        <w:ind w:left="720" w:hanging="360"/>
      </w:pPr>
      <w:rPr>
        <w:rFonts w:ascii="Trebuchet MS" w:hAnsi="Trebuchet MS" w:cs="Trebuchet MS"/>
      </w:rPr>
    </w:lvl>
  </w:abstractNum>
  <w:abstractNum w:abstractNumId="18">
    <w:nsid w:val="0000000B"/>
    <w:multiLevelType w:val="multilevel"/>
    <w:tmpl w:val="0000000B"/>
    <w:name w:val="WW8Num10"/>
    <w:lvl w:ilvl="0">
      <w:start w:val="1"/>
      <w:numFmt w:val="bullet"/>
      <w:lvlText w:val=""/>
      <w:lvlJc w:val="left"/>
      <w:pPr>
        <w:tabs>
          <w:tab w:val="num" w:pos="2847"/>
        </w:tabs>
        <w:ind w:left="2847" w:hanging="360"/>
      </w:pPr>
      <w:rPr>
        <w:rFonts w:ascii="Symbol" w:hAnsi="Symbol"/>
        <w:spacing w:val="-2"/>
      </w:rPr>
    </w:lvl>
    <w:lvl w:ilvl="1">
      <w:start w:val="1"/>
      <w:numFmt w:val="bullet"/>
      <w:lvlText w:val="o"/>
      <w:lvlJc w:val="left"/>
      <w:pPr>
        <w:tabs>
          <w:tab w:val="num" w:pos="2007"/>
        </w:tabs>
        <w:ind w:left="2007" w:hanging="360"/>
      </w:pPr>
      <w:rPr>
        <w:rFonts w:ascii="Courier New" w:hAnsi="Courier New"/>
      </w:rPr>
    </w:lvl>
    <w:lvl w:ilvl="2">
      <w:start w:val="1"/>
      <w:numFmt w:val="bullet"/>
      <w:lvlText w:val=""/>
      <w:lvlJc w:val="left"/>
      <w:pPr>
        <w:tabs>
          <w:tab w:val="num" w:pos="2727"/>
        </w:tabs>
        <w:ind w:left="2727" w:hanging="360"/>
      </w:pPr>
      <w:rPr>
        <w:rFonts w:ascii="Wingdings" w:hAnsi="Wingdings"/>
      </w:rPr>
    </w:lvl>
    <w:lvl w:ilvl="3">
      <w:start w:val="1"/>
      <w:numFmt w:val="bullet"/>
      <w:lvlText w:val=""/>
      <w:lvlJc w:val="left"/>
      <w:pPr>
        <w:tabs>
          <w:tab w:val="num" w:pos="3447"/>
        </w:tabs>
        <w:ind w:left="3447" w:hanging="360"/>
      </w:pPr>
      <w:rPr>
        <w:rFonts w:ascii="Symbol" w:hAnsi="Symbol"/>
        <w:spacing w:val="-2"/>
      </w:rPr>
    </w:lvl>
    <w:lvl w:ilvl="4">
      <w:start w:val="1"/>
      <w:numFmt w:val="bullet"/>
      <w:lvlText w:val="o"/>
      <w:lvlJc w:val="left"/>
      <w:pPr>
        <w:tabs>
          <w:tab w:val="num" w:pos="4167"/>
        </w:tabs>
        <w:ind w:left="4167" w:hanging="360"/>
      </w:pPr>
      <w:rPr>
        <w:rFonts w:ascii="Courier New" w:hAnsi="Courier New"/>
      </w:rPr>
    </w:lvl>
    <w:lvl w:ilvl="5">
      <w:start w:val="1"/>
      <w:numFmt w:val="bullet"/>
      <w:lvlText w:val=""/>
      <w:lvlJc w:val="left"/>
      <w:pPr>
        <w:tabs>
          <w:tab w:val="num" w:pos="4887"/>
        </w:tabs>
        <w:ind w:left="4887" w:hanging="360"/>
      </w:pPr>
      <w:rPr>
        <w:rFonts w:ascii="Wingdings" w:hAnsi="Wingdings"/>
      </w:rPr>
    </w:lvl>
    <w:lvl w:ilvl="6">
      <w:start w:val="1"/>
      <w:numFmt w:val="bullet"/>
      <w:lvlText w:val=""/>
      <w:lvlJc w:val="left"/>
      <w:pPr>
        <w:tabs>
          <w:tab w:val="num" w:pos="5607"/>
        </w:tabs>
        <w:ind w:left="5607" w:hanging="360"/>
      </w:pPr>
      <w:rPr>
        <w:rFonts w:ascii="Symbol" w:hAnsi="Symbol"/>
        <w:spacing w:val="-2"/>
      </w:rPr>
    </w:lvl>
    <w:lvl w:ilvl="7">
      <w:start w:val="1"/>
      <w:numFmt w:val="bullet"/>
      <w:lvlText w:val="o"/>
      <w:lvlJc w:val="left"/>
      <w:pPr>
        <w:tabs>
          <w:tab w:val="num" w:pos="6327"/>
        </w:tabs>
        <w:ind w:left="6327" w:hanging="360"/>
      </w:pPr>
      <w:rPr>
        <w:rFonts w:ascii="Courier New" w:hAnsi="Courier New"/>
      </w:rPr>
    </w:lvl>
    <w:lvl w:ilvl="8">
      <w:start w:val="1"/>
      <w:numFmt w:val="bullet"/>
      <w:lvlText w:val=""/>
      <w:lvlJc w:val="left"/>
      <w:pPr>
        <w:tabs>
          <w:tab w:val="num" w:pos="7047"/>
        </w:tabs>
        <w:ind w:left="7047" w:hanging="360"/>
      </w:pPr>
      <w:rPr>
        <w:rFonts w:ascii="Wingdings" w:hAnsi="Wingdings"/>
      </w:rPr>
    </w:lvl>
  </w:abstractNum>
  <w:abstractNum w:abstractNumId="19">
    <w:nsid w:val="0000000C"/>
    <w:multiLevelType w:val="singleLevel"/>
    <w:tmpl w:val="0000000C"/>
    <w:name w:val="WW8Num11"/>
    <w:lvl w:ilvl="0">
      <w:start w:val="1"/>
      <w:numFmt w:val="bullet"/>
      <w:lvlText w:val=""/>
      <w:lvlJc w:val="left"/>
      <w:pPr>
        <w:tabs>
          <w:tab w:val="num" w:pos="0"/>
        </w:tabs>
        <w:ind w:left="567" w:hanging="567"/>
      </w:pPr>
      <w:rPr>
        <w:rFonts w:ascii="Symbol" w:hAnsi="Symbol"/>
      </w:rPr>
    </w:lvl>
  </w:abstractNum>
  <w:abstractNum w:abstractNumId="20">
    <w:nsid w:val="0000000D"/>
    <w:multiLevelType w:val="singleLevel"/>
    <w:tmpl w:val="0000000D"/>
    <w:name w:val="WW8Num12"/>
    <w:lvl w:ilvl="0">
      <w:start w:val="1"/>
      <w:numFmt w:val="decimal"/>
      <w:lvlText w:val="%1."/>
      <w:lvlJc w:val="left"/>
      <w:pPr>
        <w:tabs>
          <w:tab w:val="num" w:pos="1080"/>
        </w:tabs>
        <w:ind w:left="1080" w:hanging="360"/>
      </w:pPr>
      <w:rPr>
        <w:rFonts w:ascii="Trebuchet MS" w:hAnsi="Trebuchet MS" w:cs="Trebuchet MS"/>
      </w:rPr>
    </w:lvl>
  </w:abstractNum>
  <w:abstractNum w:abstractNumId="21">
    <w:nsid w:val="0000000E"/>
    <w:multiLevelType w:val="singleLevel"/>
    <w:tmpl w:val="0000000E"/>
    <w:name w:val="WW8Num13"/>
    <w:lvl w:ilvl="0">
      <w:start w:val="1"/>
      <w:numFmt w:val="decimal"/>
      <w:lvlText w:val="%1."/>
      <w:lvlJc w:val="left"/>
      <w:pPr>
        <w:tabs>
          <w:tab w:val="num" w:pos="1287"/>
        </w:tabs>
        <w:ind w:left="1287" w:hanging="360"/>
      </w:pPr>
      <w:rPr>
        <w:rFonts w:cs="Times New Roman"/>
      </w:rPr>
    </w:lvl>
  </w:abstractNum>
  <w:abstractNum w:abstractNumId="22">
    <w:nsid w:val="00000010"/>
    <w:multiLevelType w:val="singleLevel"/>
    <w:tmpl w:val="00000010"/>
    <w:name w:val="WW8Num14"/>
    <w:lvl w:ilvl="0">
      <w:start w:val="1"/>
      <w:numFmt w:val="decimal"/>
      <w:lvlText w:val="%1."/>
      <w:lvlJc w:val="left"/>
      <w:pPr>
        <w:tabs>
          <w:tab w:val="num" w:pos="1140"/>
        </w:tabs>
        <w:ind w:left="1140" w:hanging="360"/>
      </w:pPr>
      <w:rPr>
        <w:rFonts w:cs="Times New Roman"/>
      </w:rPr>
    </w:lvl>
  </w:abstractNum>
  <w:abstractNum w:abstractNumId="23">
    <w:nsid w:val="00000011"/>
    <w:multiLevelType w:val="singleLevel"/>
    <w:tmpl w:val="00000011"/>
    <w:name w:val="WW8Num5"/>
    <w:lvl w:ilvl="0">
      <w:start w:val="1"/>
      <w:numFmt w:val="bullet"/>
      <w:lvlText w:val=""/>
      <w:lvlJc w:val="left"/>
      <w:pPr>
        <w:tabs>
          <w:tab w:val="num" w:pos="1440"/>
        </w:tabs>
        <w:ind w:left="1440" w:hanging="360"/>
      </w:pPr>
      <w:rPr>
        <w:rFonts w:ascii="Symbol" w:hAnsi="Symbol"/>
      </w:rPr>
    </w:lvl>
  </w:abstractNum>
  <w:abstractNum w:abstractNumId="24">
    <w:nsid w:val="00000012"/>
    <w:multiLevelType w:val="multilevel"/>
    <w:tmpl w:val="00000012"/>
    <w:name w:val="WW8Num19"/>
    <w:lvl w:ilvl="0">
      <w:start w:val="1"/>
      <w:numFmt w:val="decimal"/>
      <w:lvlText w:val="%1."/>
      <w:lvlJc w:val="left"/>
      <w:pPr>
        <w:tabs>
          <w:tab w:val="num" w:pos="786"/>
        </w:tabs>
        <w:ind w:left="786" w:hanging="360"/>
      </w:pPr>
      <w:rPr>
        <w:rFonts w:cs="Times New Roman"/>
      </w:rPr>
    </w:lvl>
    <w:lvl w:ilvl="1">
      <w:start w:val="1"/>
      <w:numFmt w:val="bullet"/>
      <w:lvlText w:val=""/>
      <w:lvlJc w:val="left"/>
      <w:pPr>
        <w:tabs>
          <w:tab w:val="num" w:pos="1506"/>
        </w:tabs>
        <w:ind w:left="1506" w:hanging="360"/>
      </w:pPr>
      <w:rPr>
        <w:rFonts w:ascii="Symbol" w:hAnsi="Symbol"/>
      </w:rPr>
    </w:lvl>
    <w:lvl w:ilvl="2">
      <w:start w:val="1"/>
      <w:numFmt w:val="lowerRoman"/>
      <w:lvlText w:val="%3."/>
      <w:lvlJc w:val="right"/>
      <w:pPr>
        <w:tabs>
          <w:tab w:val="num" w:pos="2226"/>
        </w:tabs>
        <w:ind w:left="2226" w:hanging="180"/>
      </w:pPr>
      <w:rPr>
        <w:rFonts w:cs="Times New Roman"/>
      </w:rPr>
    </w:lvl>
    <w:lvl w:ilvl="3">
      <w:start w:val="1"/>
      <w:numFmt w:val="decimal"/>
      <w:lvlText w:val="%4."/>
      <w:lvlJc w:val="left"/>
      <w:pPr>
        <w:tabs>
          <w:tab w:val="num" w:pos="2946"/>
        </w:tabs>
        <w:ind w:left="2946" w:hanging="360"/>
      </w:pPr>
      <w:rPr>
        <w:rFonts w:cs="Times New Roman"/>
      </w:rPr>
    </w:lvl>
    <w:lvl w:ilvl="4">
      <w:start w:val="1"/>
      <w:numFmt w:val="lowerLetter"/>
      <w:lvlText w:val="%5."/>
      <w:lvlJc w:val="left"/>
      <w:pPr>
        <w:tabs>
          <w:tab w:val="num" w:pos="3666"/>
        </w:tabs>
        <w:ind w:left="3666" w:hanging="360"/>
      </w:pPr>
      <w:rPr>
        <w:rFonts w:cs="Times New Roman"/>
      </w:rPr>
    </w:lvl>
    <w:lvl w:ilvl="5">
      <w:start w:val="1"/>
      <w:numFmt w:val="lowerRoman"/>
      <w:lvlText w:val="%6."/>
      <w:lvlJc w:val="right"/>
      <w:pPr>
        <w:tabs>
          <w:tab w:val="num" w:pos="4386"/>
        </w:tabs>
        <w:ind w:left="4386" w:hanging="180"/>
      </w:pPr>
      <w:rPr>
        <w:rFonts w:cs="Times New Roman"/>
      </w:rPr>
    </w:lvl>
    <w:lvl w:ilvl="6">
      <w:start w:val="1"/>
      <w:numFmt w:val="decimal"/>
      <w:lvlText w:val="%7."/>
      <w:lvlJc w:val="left"/>
      <w:pPr>
        <w:tabs>
          <w:tab w:val="num" w:pos="5106"/>
        </w:tabs>
        <w:ind w:left="5106" w:hanging="360"/>
      </w:pPr>
      <w:rPr>
        <w:rFonts w:cs="Times New Roman"/>
      </w:rPr>
    </w:lvl>
    <w:lvl w:ilvl="7">
      <w:start w:val="1"/>
      <w:numFmt w:val="lowerLetter"/>
      <w:lvlText w:val="%8."/>
      <w:lvlJc w:val="left"/>
      <w:pPr>
        <w:tabs>
          <w:tab w:val="num" w:pos="5826"/>
        </w:tabs>
        <w:ind w:left="5826" w:hanging="360"/>
      </w:pPr>
      <w:rPr>
        <w:rFonts w:cs="Times New Roman"/>
      </w:rPr>
    </w:lvl>
    <w:lvl w:ilvl="8">
      <w:start w:val="1"/>
      <w:numFmt w:val="lowerRoman"/>
      <w:lvlText w:val="%9."/>
      <w:lvlJc w:val="right"/>
      <w:pPr>
        <w:tabs>
          <w:tab w:val="num" w:pos="6546"/>
        </w:tabs>
        <w:ind w:left="6546" w:hanging="180"/>
      </w:pPr>
      <w:rPr>
        <w:rFonts w:cs="Times New Roman"/>
      </w:rPr>
    </w:lvl>
  </w:abstractNum>
  <w:abstractNum w:abstractNumId="25">
    <w:nsid w:val="00000013"/>
    <w:multiLevelType w:val="singleLevel"/>
    <w:tmpl w:val="00000013"/>
    <w:name w:val="WW8Num18"/>
    <w:lvl w:ilvl="0">
      <w:start w:val="1"/>
      <w:numFmt w:val="decimal"/>
      <w:lvlText w:val="%1."/>
      <w:lvlJc w:val="left"/>
      <w:pPr>
        <w:tabs>
          <w:tab w:val="num" w:pos="720"/>
        </w:tabs>
        <w:ind w:left="720" w:hanging="360"/>
      </w:pPr>
      <w:rPr>
        <w:rFonts w:ascii="Trebuchet MS" w:hAnsi="Trebuchet MS" w:cs="Trebuchet MS"/>
      </w:rPr>
    </w:lvl>
  </w:abstractNum>
  <w:abstractNum w:abstractNumId="26">
    <w:nsid w:val="00000015"/>
    <w:multiLevelType w:val="singleLevel"/>
    <w:tmpl w:val="00000015"/>
    <w:name w:val="WW8Num20"/>
    <w:lvl w:ilvl="0">
      <w:start w:val="1"/>
      <w:numFmt w:val="bullet"/>
      <w:lvlText w:val=""/>
      <w:lvlJc w:val="left"/>
      <w:pPr>
        <w:tabs>
          <w:tab w:val="num" w:pos="1134"/>
        </w:tabs>
        <w:ind w:left="1701" w:hanging="567"/>
      </w:pPr>
      <w:rPr>
        <w:rFonts w:ascii="Symbol" w:hAnsi="Symbol"/>
      </w:rPr>
    </w:lvl>
  </w:abstractNum>
  <w:abstractNum w:abstractNumId="27">
    <w:nsid w:val="00000016"/>
    <w:multiLevelType w:val="singleLevel"/>
    <w:tmpl w:val="00000016"/>
    <w:name w:val="WW8Num21"/>
    <w:lvl w:ilvl="0">
      <w:start w:val="1"/>
      <w:numFmt w:val="bullet"/>
      <w:lvlText w:val=""/>
      <w:lvlJc w:val="left"/>
      <w:pPr>
        <w:tabs>
          <w:tab w:val="num" w:pos="1134"/>
        </w:tabs>
        <w:ind w:left="1701" w:hanging="567"/>
      </w:pPr>
      <w:rPr>
        <w:rFonts w:ascii="Symbol" w:hAnsi="Symbol"/>
      </w:rPr>
    </w:lvl>
  </w:abstractNum>
  <w:abstractNum w:abstractNumId="28">
    <w:nsid w:val="00000017"/>
    <w:multiLevelType w:val="singleLevel"/>
    <w:tmpl w:val="00000017"/>
    <w:name w:val="WW8Num22"/>
    <w:lvl w:ilvl="0">
      <w:start w:val="1"/>
      <w:numFmt w:val="decimal"/>
      <w:lvlText w:val="%1."/>
      <w:lvlJc w:val="left"/>
      <w:pPr>
        <w:tabs>
          <w:tab w:val="num" w:pos="720"/>
        </w:tabs>
        <w:ind w:left="720" w:hanging="360"/>
      </w:pPr>
      <w:rPr>
        <w:rFonts w:cs="Times New Roman"/>
      </w:rPr>
    </w:lvl>
  </w:abstractNum>
  <w:abstractNum w:abstractNumId="29">
    <w:nsid w:val="00000018"/>
    <w:multiLevelType w:val="singleLevel"/>
    <w:tmpl w:val="00000018"/>
    <w:name w:val="WW8Num23"/>
    <w:lvl w:ilvl="0">
      <w:start w:val="1"/>
      <w:numFmt w:val="bullet"/>
      <w:lvlText w:val=""/>
      <w:lvlJc w:val="left"/>
      <w:pPr>
        <w:tabs>
          <w:tab w:val="num" w:pos="567"/>
        </w:tabs>
        <w:ind w:left="1134" w:hanging="567"/>
      </w:pPr>
      <w:rPr>
        <w:rFonts w:ascii="Symbol" w:hAnsi="Symbol"/>
      </w:rPr>
    </w:lvl>
  </w:abstractNum>
  <w:abstractNum w:abstractNumId="30">
    <w:nsid w:val="00000019"/>
    <w:multiLevelType w:val="singleLevel"/>
    <w:tmpl w:val="00000019"/>
    <w:name w:val="WW8Num27"/>
    <w:lvl w:ilvl="0">
      <w:start w:val="1"/>
      <w:numFmt w:val="bullet"/>
      <w:lvlText w:val=""/>
      <w:lvlJc w:val="left"/>
      <w:pPr>
        <w:tabs>
          <w:tab w:val="num" w:pos="721"/>
        </w:tabs>
        <w:ind w:left="721" w:hanging="360"/>
      </w:pPr>
      <w:rPr>
        <w:rFonts w:ascii="Symbol" w:hAnsi="Symbol"/>
      </w:rPr>
    </w:lvl>
  </w:abstractNum>
  <w:abstractNum w:abstractNumId="31">
    <w:nsid w:val="0000001A"/>
    <w:multiLevelType w:val="singleLevel"/>
    <w:tmpl w:val="0000001A"/>
    <w:name w:val="WW8Num26"/>
    <w:lvl w:ilvl="0">
      <w:start w:val="1"/>
      <w:numFmt w:val="bullet"/>
      <w:lvlText w:val=""/>
      <w:lvlJc w:val="left"/>
      <w:pPr>
        <w:tabs>
          <w:tab w:val="num" w:pos="1494"/>
        </w:tabs>
        <w:ind w:left="2061" w:hanging="567"/>
      </w:pPr>
      <w:rPr>
        <w:rFonts w:ascii="Symbol" w:hAnsi="Symbol"/>
      </w:rPr>
    </w:lvl>
  </w:abstractNum>
  <w:abstractNum w:abstractNumId="32">
    <w:nsid w:val="0000001B"/>
    <w:multiLevelType w:val="singleLevel"/>
    <w:tmpl w:val="0000001B"/>
    <w:name w:val="WW8Num28"/>
    <w:lvl w:ilvl="0">
      <w:start w:val="1"/>
      <w:numFmt w:val="decimal"/>
      <w:lvlText w:val="%1."/>
      <w:lvlJc w:val="left"/>
      <w:pPr>
        <w:tabs>
          <w:tab w:val="num" w:pos="899"/>
        </w:tabs>
        <w:ind w:left="899" w:hanging="360"/>
      </w:pPr>
      <w:rPr>
        <w:rFonts w:cs="Times New Roman"/>
      </w:rPr>
    </w:lvl>
  </w:abstractNum>
  <w:abstractNum w:abstractNumId="33">
    <w:nsid w:val="0000001C"/>
    <w:multiLevelType w:val="multilevel"/>
    <w:tmpl w:val="0000001C"/>
    <w:name w:val="WW8Num29"/>
    <w:lvl w:ilvl="0">
      <w:start w:val="1"/>
      <w:numFmt w:val="decimal"/>
      <w:lvlText w:val="%1."/>
      <w:lvlJc w:val="left"/>
      <w:pPr>
        <w:tabs>
          <w:tab w:val="num" w:pos="2847"/>
        </w:tabs>
        <w:ind w:left="2847"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bullet"/>
      <w:lvlText w:val="o"/>
      <w:lvlJc w:val="left"/>
      <w:pPr>
        <w:tabs>
          <w:tab w:val="num" w:pos="2340"/>
        </w:tabs>
        <w:ind w:left="2340" w:hanging="360"/>
      </w:pPr>
      <w:rPr>
        <w:rFonts w:ascii="Courier New" w:hAnsi="Courier New"/>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34">
    <w:nsid w:val="0000001D"/>
    <w:multiLevelType w:val="singleLevel"/>
    <w:tmpl w:val="0000001D"/>
    <w:name w:val="WW8Num31"/>
    <w:lvl w:ilvl="0">
      <w:start w:val="1"/>
      <w:numFmt w:val="bullet"/>
      <w:lvlText w:val=""/>
      <w:lvlJc w:val="left"/>
      <w:pPr>
        <w:tabs>
          <w:tab w:val="num" w:pos="1429"/>
        </w:tabs>
        <w:ind w:left="1429" w:hanging="360"/>
      </w:pPr>
      <w:rPr>
        <w:rFonts w:ascii="Symbol" w:hAnsi="Symbol"/>
      </w:rPr>
    </w:lvl>
  </w:abstractNum>
  <w:abstractNum w:abstractNumId="35">
    <w:nsid w:val="0000001F"/>
    <w:multiLevelType w:val="singleLevel"/>
    <w:tmpl w:val="0000001F"/>
    <w:name w:val="WW8Num32"/>
    <w:lvl w:ilvl="0">
      <w:start w:val="1"/>
      <w:numFmt w:val="bullet"/>
      <w:lvlText w:val=""/>
      <w:lvlJc w:val="left"/>
      <w:pPr>
        <w:tabs>
          <w:tab w:val="num" w:pos="1429"/>
        </w:tabs>
        <w:ind w:left="1429" w:hanging="360"/>
      </w:pPr>
      <w:rPr>
        <w:rFonts w:ascii="Symbol" w:hAnsi="Symbol"/>
      </w:rPr>
    </w:lvl>
  </w:abstractNum>
  <w:abstractNum w:abstractNumId="36">
    <w:nsid w:val="00000020"/>
    <w:multiLevelType w:val="singleLevel"/>
    <w:tmpl w:val="00000020"/>
    <w:name w:val="WW8Num35"/>
    <w:lvl w:ilvl="0">
      <w:start w:val="1"/>
      <w:numFmt w:val="decimal"/>
      <w:lvlText w:val="%1."/>
      <w:lvlJc w:val="left"/>
      <w:pPr>
        <w:tabs>
          <w:tab w:val="num" w:pos="720"/>
        </w:tabs>
        <w:ind w:left="720" w:hanging="360"/>
      </w:pPr>
      <w:rPr>
        <w:rFonts w:cs="Times New Roman"/>
      </w:rPr>
    </w:lvl>
  </w:abstractNum>
  <w:abstractNum w:abstractNumId="37">
    <w:nsid w:val="00000021"/>
    <w:multiLevelType w:val="singleLevel"/>
    <w:tmpl w:val="00000021"/>
    <w:name w:val="WW8Num36"/>
    <w:lvl w:ilvl="0">
      <w:start w:val="1"/>
      <w:numFmt w:val="decimal"/>
      <w:lvlText w:val="%1."/>
      <w:lvlJc w:val="left"/>
      <w:pPr>
        <w:tabs>
          <w:tab w:val="num" w:pos="899"/>
        </w:tabs>
        <w:ind w:left="899" w:hanging="360"/>
      </w:pPr>
      <w:rPr>
        <w:rFonts w:ascii="Trebuchet MS" w:hAnsi="Trebuchet MS" w:cs="Trebuchet MS"/>
      </w:rPr>
    </w:lvl>
  </w:abstractNum>
  <w:abstractNum w:abstractNumId="38">
    <w:nsid w:val="00000022"/>
    <w:multiLevelType w:val="singleLevel"/>
    <w:tmpl w:val="00000022"/>
    <w:name w:val="WW8Num37"/>
    <w:lvl w:ilvl="0">
      <w:start w:val="1"/>
      <w:numFmt w:val="decimal"/>
      <w:lvlText w:val="%1."/>
      <w:lvlJc w:val="left"/>
      <w:pPr>
        <w:tabs>
          <w:tab w:val="num" w:pos="1512"/>
        </w:tabs>
        <w:ind w:left="1512" w:hanging="945"/>
      </w:pPr>
      <w:rPr>
        <w:rFonts w:cs="Times New Roman"/>
      </w:rPr>
    </w:lvl>
  </w:abstractNum>
  <w:abstractNum w:abstractNumId="39">
    <w:nsid w:val="00000023"/>
    <w:multiLevelType w:val="singleLevel"/>
    <w:tmpl w:val="00000023"/>
    <w:name w:val="WW8Num38"/>
    <w:lvl w:ilvl="0">
      <w:start w:val="1"/>
      <w:numFmt w:val="decimal"/>
      <w:lvlText w:val="%1."/>
      <w:lvlJc w:val="left"/>
      <w:pPr>
        <w:tabs>
          <w:tab w:val="num" w:pos="1407"/>
        </w:tabs>
        <w:ind w:left="1407" w:hanging="840"/>
      </w:pPr>
      <w:rPr>
        <w:rFonts w:cs="Times New Roman"/>
      </w:rPr>
    </w:lvl>
  </w:abstractNum>
  <w:abstractNum w:abstractNumId="40">
    <w:nsid w:val="00000025"/>
    <w:multiLevelType w:val="singleLevel"/>
    <w:tmpl w:val="00000025"/>
    <w:name w:val="WW8Num39"/>
    <w:lvl w:ilvl="0">
      <w:start w:val="1"/>
      <w:numFmt w:val="bullet"/>
      <w:lvlText w:val=""/>
      <w:lvlJc w:val="left"/>
      <w:pPr>
        <w:tabs>
          <w:tab w:val="num" w:pos="1428"/>
        </w:tabs>
        <w:ind w:left="1428" w:hanging="360"/>
      </w:pPr>
      <w:rPr>
        <w:rFonts w:ascii="Symbol" w:hAnsi="Symbol"/>
      </w:rPr>
    </w:lvl>
  </w:abstractNum>
  <w:abstractNum w:abstractNumId="41">
    <w:nsid w:val="00000026"/>
    <w:multiLevelType w:val="singleLevel"/>
    <w:tmpl w:val="00000026"/>
    <w:name w:val="WW8Num41"/>
    <w:lvl w:ilvl="0">
      <w:start w:val="1"/>
      <w:numFmt w:val="decimal"/>
      <w:lvlText w:val="%1."/>
      <w:lvlJc w:val="left"/>
      <w:pPr>
        <w:tabs>
          <w:tab w:val="num" w:pos="1572"/>
        </w:tabs>
        <w:ind w:left="1572" w:hanging="1005"/>
      </w:pPr>
      <w:rPr>
        <w:rFonts w:cs="Times New Roman"/>
      </w:rPr>
    </w:lvl>
  </w:abstractNum>
  <w:abstractNum w:abstractNumId="42">
    <w:nsid w:val="00000027"/>
    <w:multiLevelType w:val="singleLevel"/>
    <w:tmpl w:val="00000027"/>
    <w:name w:val="WW8Num42"/>
    <w:lvl w:ilvl="0">
      <w:start w:val="1"/>
      <w:numFmt w:val="decimal"/>
      <w:lvlText w:val="%1."/>
      <w:lvlJc w:val="left"/>
      <w:pPr>
        <w:tabs>
          <w:tab w:val="num" w:pos="1049"/>
        </w:tabs>
        <w:ind w:left="1049" w:hanging="360"/>
      </w:pPr>
      <w:rPr>
        <w:rFonts w:ascii="Trebuchet MS" w:hAnsi="Trebuchet MS" w:cs="Trebuchet MS"/>
        <w:bCs/>
      </w:rPr>
    </w:lvl>
  </w:abstractNum>
  <w:abstractNum w:abstractNumId="43">
    <w:nsid w:val="00000028"/>
    <w:multiLevelType w:val="singleLevel"/>
    <w:tmpl w:val="00000028"/>
    <w:name w:val="WW8Num43"/>
    <w:lvl w:ilvl="0">
      <w:start w:val="1"/>
      <w:numFmt w:val="decimal"/>
      <w:lvlText w:val="%1."/>
      <w:lvlJc w:val="left"/>
      <w:pPr>
        <w:tabs>
          <w:tab w:val="num" w:pos="1287"/>
        </w:tabs>
        <w:ind w:left="1287" w:hanging="360"/>
      </w:pPr>
      <w:rPr>
        <w:rFonts w:ascii="Trebuchet MS" w:hAnsi="Trebuchet MS" w:cs="Trebuchet MS"/>
      </w:rPr>
    </w:lvl>
  </w:abstractNum>
  <w:abstractNum w:abstractNumId="44">
    <w:nsid w:val="0000002A"/>
    <w:multiLevelType w:val="singleLevel"/>
    <w:tmpl w:val="0000002A"/>
    <w:name w:val="WW8Num44"/>
    <w:lvl w:ilvl="0">
      <w:start w:val="1"/>
      <w:numFmt w:val="bullet"/>
      <w:lvlText w:val=""/>
      <w:lvlJc w:val="left"/>
      <w:pPr>
        <w:tabs>
          <w:tab w:val="num" w:pos="1080"/>
        </w:tabs>
        <w:ind w:left="1080" w:hanging="360"/>
      </w:pPr>
      <w:rPr>
        <w:rFonts w:ascii="Symbol" w:hAnsi="Symbol"/>
      </w:rPr>
    </w:lvl>
  </w:abstractNum>
  <w:abstractNum w:abstractNumId="45">
    <w:nsid w:val="0000002B"/>
    <w:multiLevelType w:val="singleLevel"/>
    <w:tmpl w:val="0000002B"/>
    <w:name w:val="WW8Num46"/>
    <w:lvl w:ilvl="0">
      <w:start w:val="1"/>
      <w:numFmt w:val="bullet"/>
      <w:lvlText w:val=""/>
      <w:lvlJc w:val="left"/>
      <w:pPr>
        <w:tabs>
          <w:tab w:val="num" w:pos="567"/>
        </w:tabs>
        <w:ind w:left="1134" w:hanging="567"/>
      </w:pPr>
      <w:rPr>
        <w:rFonts w:ascii="Symbol" w:hAnsi="Symbol"/>
      </w:rPr>
    </w:lvl>
  </w:abstractNum>
  <w:abstractNum w:abstractNumId="46">
    <w:nsid w:val="0000002C"/>
    <w:multiLevelType w:val="singleLevel"/>
    <w:tmpl w:val="0000002C"/>
    <w:name w:val="WW8Num47"/>
    <w:lvl w:ilvl="0">
      <w:start w:val="1"/>
      <w:numFmt w:val="bullet"/>
      <w:lvlText w:val=""/>
      <w:lvlJc w:val="left"/>
      <w:pPr>
        <w:tabs>
          <w:tab w:val="num" w:pos="1701"/>
        </w:tabs>
        <w:ind w:left="2268" w:hanging="567"/>
      </w:pPr>
      <w:rPr>
        <w:rFonts w:ascii="Symbol" w:hAnsi="Symbol"/>
      </w:rPr>
    </w:lvl>
  </w:abstractNum>
  <w:abstractNum w:abstractNumId="47">
    <w:nsid w:val="0000002E"/>
    <w:multiLevelType w:val="singleLevel"/>
    <w:tmpl w:val="0000002E"/>
    <w:name w:val="WW8Num48"/>
    <w:lvl w:ilvl="0">
      <w:start w:val="1"/>
      <w:numFmt w:val="bullet"/>
      <w:lvlText w:val=""/>
      <w:lvlJc w:val="left"/>
      <w:pPr>
        <w:tabs>
          <w:tab w:val="num" w:pos="1429"/>
        </w:tabs>
        <w:ind w:left="1429" w:hanging="360"/>
      </w:pPr>
      <w:rPr>
        <w:rFonts w:ascii="Symbol" w:hAnsi="Symbol"/>
      </w:rPr>
    </w:lvl>
  </w:abstractNum>
  <w:abstractNum w:abstractNumId="48">
    <w:nsid w:val="0000002F"/>
    <w:multiLevelType w:val="singleLevel"/>
    <w:tmpl w:val="0000002F"/>
    <w:name w:val="WW8Num50"/>
    <w:lvl w:ilvl="0">
      <w:start w:val="1"/>
      <w:numFmt w:val="bullet"/>
      <w:lvlText w:val=""/>
      <w:lvlJc w:val="left"/>
      <w:pPr>
        <w:tabs>
          <w:tab w:val="num" w:pos="567"/>
        </w:tabs>
        <w:ind w:left="1134" w:hanging="567"/>
      </w:pPr>
      <w:rPr>
        <w:rFonts w:ascii="Symbol" w:hAnsi="Symbol"/>
      </w:rPr>
    </w:lvl>
  </w:abstractNum>
  <w:abstractNum w:abstractNumId="49">
    <w:nsid w:val="00000030"/>
    <w:multiLevelType w:val="singleLevel"/>
    <w:tmpl w:val="00000030"/>
    <w:name w:val="WW8Num51"/>
    <w:lvl w:ilvl="0">
      <w:start w:val="1"/>
      <w:numFmt w:val="bullet"/>
      <w:lvlText w:val=""/>
      <w:lvlJc w:val="left"/>
      <w:pPr>
        <w:tabs>
          <w:tab w:val="num" w:pos="567"/>
        </w:tabs>
        <w:ind w:left="1134" w:hanging="567"/>
      </w:pPr>
      <w:rPr>
        <w:rFonts w:ascii="Symbol" w:hAnsi="Symbol"/>
      </w:rPr>
    </w:lvl>
  </w:abstractNum>
  <w:abstractNum w:abstractNumId="50">
    <w:nsid w:val="00000031"/>
    <w:multiLevelType w:val="singleLevel"/>
    <w:tmpl w:val="00000031"/>
    <w:name w:val="WW8Num52"/>
    <w:lvl w:ilvl="0">
      <w:start w:val="1"/>
      <w:numFmt w:val="bullet"/>
      <w:lvlText w:val=""/>
      <w:lvlJc w:val="left"/>
      <w:pPr>
        <w:tabs>
          <w:tab w:val="num" w:pos="567"/>
        </w:tabs>
        <w:ind w:left="1134" w:hanging="567"/>
      </w:pPr>
      <w:rPr>
        <w:rFonts w:ascii="Symbol" w:hAnsi="Symbol"/>
      </w:rPr>
    </w:lvl>
  </w:abstractNum>
  <w:abstractNum w:abstractNumId="51">
    <w:nsid w:val="00000032"/>
    <w:multiLevelType w:val="singleLevel"/>
    <w:tmpl w:val="00000032"/>
    <w:name w:val="WW8Num53"/>
    <w:lvl w:ilvl="0">
      <w:start w:val="1"/>
      <w:numFmt w:val="decimal"/>
      <w:lvlText w:val="%1."/>
      <w:lvlJc w:val="left"/>
      <w:pPr>
        <w:tabs>
          <w:tab w:val="num" w:pos="720"/>
        </w:tabs>
        <w:ind w:left="720" w:hanging="360"/>
      </w:pPr>
      <w:rPr>
        <w:rFonts w:cs="Times New Roman"/>
      </w:rPr>
    </w:lvl>
  </w:abstractNum>
  <w:abstractNum w:abstractNumId="52">
    <w:nsid w:val="00000033"/>
    <w:multiLevelType w:val="multilevel"/>
    <w:tmpl w:val="00000033"/>
    <w:name w:val="WW8Num54"/>
    <w:lvl w:ilvl="0">
      <w:start w:val="1"/>
      <w:numFmt w:val="bullet"/>
      <w:lvlText w:val=""/>
      <w:lvlJc w:val="left"/>
      <w:pPr>
        <w:tabs>
          <w:tab w:val="num" w:pos="1134"/>
        </w:tabs>
        <w:ind w:left="1701" w:hanging="567"/>
      </w:pPr>
      <w:rPr>
        <w:rFonts w:ascii="Symbol" w:hAnsi="Symbol"/>
      </w:rPr>
    </w:lvl>
    <w:lvl w:ilvl="1">
      <w:start w:val="1"/>
      <w:numFmt w:val="bullet"/>
      <w:lvlText w:val=""/>
      <w:lvlJc w:val="left"/>
      <w:pPr>
        <w:tabs>
          <w:tab w:val="num" w:pos="708"/>
        </w:tabs>
        <w:ind w:left="1770" w:hanging="360"/>
      </w:pPr>
      <w:rPr>
        <w:rFonts w:ascii="Wingdings" w:hAnsi="Wingdings"/>
      </w:rPr>
    </w:lvl>
    <w:lvl w:ilvl="2">
      <w:start w:val="1"/>
      <w:numFmt w:val="lowerRoman"/>
      <w:lvlText w:val="%3."/>
      <w:lvlJc w:val="right"/>
      <w:pPr>
        <w:tabs>
          <w:tab w:val="num" w:pos="0"/>
        </w:tabs>
        <w:ind w:left="2490" w:hanging="180"/>
      </w:pPr>
      <w:rPr>
        <w:rFonts w:cs="Times New Roman"/>
      </w:rPr>
    </w:lvl>
    <w:lvl w:ilvl="3">
      <w:start w:val="1"/>
      <w:numFmt w:val="decimal"/>
      <w:lvlText w:val="%4."/>
      <w:lvlJc w:val="left"/>
      <w:pPr>
        <w:tabs>
          <w:tab w:val="num" w:pos="0"/>
        </w:tabs>
        <w:ind w:left="3210" w:hanging="360"/>
      </w:pPr>
      <w:rPr>
        <w:rFonts w:cs="Times New Roman"/>
      </w:rPr>
    </w:lvl>
    <w:lvl w:ilvl="4">
      <w:start w:val="1"/>
      <w:numFmt w:val="lowerLetter"/>
      <w:lvlText w:val="%5."/>
      <w:lvlJc w:val="left"/>
      <w:pPr>
        <w:tabs>
          <w:tab w:val="num" w:pos="0"/>
        </w:tabs>
        <w:ind w:left="3930" w:hanging="360"/>
      </w:pPr>
      <w:rPr>
        <w:rFonts w:cs="Times New Roman"/>
      </w:rPr>
    </w:lvl>
    <w:lvl w:ilvl="5">
      <w:start w:val="1"/>
      <w:numFmt w:val="lowerRoman"/>
      <w:lvlText w:val="%6."/>
      <w:lvlJc w:val="right"/>
      <w:pPr>
        <w:tabs>
          <w:tab w:val="num" w:pos="0"/>
        </w:tabs>
        <w:ind w:left="4650" w:hanging="180"/>
      </w:pPr>
      <w:rPr>
        <w:rFonts w:cs="Times New Roman"/>
      </w:rPr>
    </w:lvl>
    <w:lvl w:ilvl="6">
      <w:start w:val="1"/>
      <w:numFmt w:val="decimal"/>
      <w:lvlText w:val="%7."/>
      <w:lvlJc w:val="left"/>
      <w:pPr>
        <w:tabs>
          <w:tab w:val="num" w:pos="0"/>
        </w:tabs>
        <w:ind w:left="5370" w:hanging="360"/>
      </w:pPr>
      <w:rPr>
        <w:rFonts w:cs="Times New Roman"/>
      </w:rPr>
    </w:lvl>
    <w:lvl w:ilvl="7">
      <w:start w:val="1"/>
      <w:numFmt w:val="lowerLetter"/>
      <w:lvlText w:val="%8."/>
      <w:lvlJc w:val="left"/>
      <w:pPr>
        <w:tabs>
          <w:tab w:val="num" w:pos="0"/>
        </w:tabs>
        <w:ind w:left="6090" w:hanging="360"/>
      </w:pPr>
      <w:rPr>
        <w:rFonts w:cs="Times New Roman"/>
      </w:rPr>
    </w:lvl>
    <w:lvl w:ilvl="8">
      <w:start w:val="1"/>
      <w:numFmt w:val="lowerRoman"/>
      <w:lvlText w:val="%9."/>
      <w:lvlJc w:val="right"/>
      <w:pPr>
        <w:tabs>
          <w:tab w:val="num" w:pos="0"/>
        </w:tabs>
        <w:ind w:left="6810" w:hanging="180"/>
      </w:pPr>
      <w:rPr>
        <w:rFonts w:cs="Times New Roman"/>
      </w:rPr>
    </w:lvl>
  </w:abstractNum>
  <w:abstractNum w:abstractNumId="53">
    <w:nsid w:val="00000034"/>
    <w:multiLevelType w:val="singleLevel"/>
    <w:tmpl w:val="00000034"/>
    <w:name w:val="WW8Num55"/>
    <w:lvl w:ilvl="0">
      <w:start w:val="1"/>
      <w:numFmt w:val="bullet"/>
      <w:lvlText w:val=""/>
      <w:lvlJc w:val="left"/>
      <w:pPr>
        <w:tabs>
          <w:tab w:val="num" w:pos="567"/>
        </w:tabs>
        <w:ind w:left="1134" w:hanging="567"/>
      </w:pPr>
      <w:rPr>
        <w:rFonts w:ascii="Symbol" w:hAnsi="Symbol"/>
      </w:rPr>
    </w:lvl>
  </w:abstractNum>
  <w:abstractNum w:abstractNumId="54">
    <w:nsid w:val="00000035"/>
    <w:multiLevelType w:val="singleLevel"/>
    <w:tmpl w:val="00000035"/>
    <w:name w:val="WW8Num56"/>
    <w:lvl w:ilvl="0">
      <w:start w:val="1"/>
      <w:numFmt w:val="bullet"/>
      <w:lvlText w:val=""/>
      <w:lvlJc w:val="left"/>
      <w:pPr>
        <w:tabs>
          <w:tab w:val="num" w:pos="567"/>
        </w:tabs>
        <w:ind w:left="1134" w:hanging="567"/>
      </w:pPr>
      <w:rPr>
        <w:rFonts w:ascii="Symbol" w:hAnsi="Symbol"/>
      </w:rPr>
    </w:lvl>
  </w:abstractNum>
  <w:abstractNum w:abstractNumId="55">
    <w:nsid w:val="00000037"/>
    <w:multiLevelType w:val="singleLevel"/>
    <w:tmpl w:val="00000037"/>
    <w:name w:val="WW8Num57"/>
    <w:lvl w:ilvl="0">
      <w:start w:val="1"/>
      <w:numFmt w:val="bullet"/>
      <w:lvlText w:val=""/>
      <w:lvlJc w:val="left"/>
      <w:pPr>
        <w:tabs>
          <w:tab w:val="num" w:pos="720"/>
        </w:tabs>
        <w:ind w:left="720" w:hanging="360"/>
      </w:pPr>
      <w:rPr>
        <w:rFonts w:ascii="Symbol" w:hAnsi="Symbol"/>
      </w:rPr>
    </w:lvl>
  </w:abstractNum>
  <w:abstractNum w:abstractNumId="56">
    <w:nsid w:val="00000038"/>
    <w:multiLevelType w:val="singleLevel"/>
    <w:tmpl w:val="00000038"/>
    <w:name w:val="WW8Num59"/>
    <w:lvl w:ilvl="0">
      <w:start w:val="1"/>
      <w:numFmt w:val="bullet"/>
      <w:lvlText w:val=""/>
      <w:lvlJc w:val="left"/>
      <w:pPr>
        <w:tabs>
          <w:tab w:val="num" w:pos="567"/>
        </w:tabs>
        <w:ind w:left="1134" w:hanging="567"/>
      </w:pPr>
      <w:rPr>
        <w:rFonts w:ascii="Symbol" w:hAnsi="Symbol"/>
      </w:rPr>
    </w:lvl>
  </w:abstractNum>
  <w:abstractNum w:abstractNumId="57">
    <w:nsid w:val="0000003A"/>
    <w:multiLevelType w:val="singleLevel"/>
    <w:tmpl w:val="0000003A"/>
    <w:name w:val="WW8Num60"/>
    <w:lvl w:ilvl="0">
      <w:start w:val="1"/>
      <w:numFmt w:val="decimal"/>
      <w:lvlText w:val="%1."/>
      <w:lvlJc w:val="left"/>
      <w:pPr>
        <w:tabs>
          <w:tab w:val="num" w:pos="1069"/>
        </w:tabs>
        <w:ind w:left="1069" w:hanging="360"/>
      </w:pPr>
      <w:rPr>
        <w:rFonts w:cs="Times New Roman"/>
      </w:rPr>
    </w:lvl>
  </w:abstractNum>
  <w:abstractNum w:abstractNumId="58">
    <w:nsid w:val="0000003B"/>
    <w:multiLevelType w:val="singleLevel"/>
    <w:tmpl w:val="0000003B"/>
    <w:name w:val="WW8Num61"/>
    <w:lvl w:ilvl="0">
      <w:start w:val="1"/>
      <w:numFmt w:val="bullet"/>
      <w:lvlText w:val=""/>
      <w:lvlJc w:val="left"/>
      <w:pPr>
        <w:tabs>
          <w:tab w:val="num" w:pos="720"/>
        </w:tabs>
        <w:ind w:left="720" w:hanging="360"/>
      </w:pPr>
      <w:rPr>
        <w:rFonts w:ascii="Symbol" w:hAnsi="Symbol"/>
      </w:rPr>
    </w:lvl>
  </w:abstractNum>
  <w:abstractNum w:abstractNumId="59">
    <w:nsid w:val="0000003D"/>
    <w:multiLevelType w:val="singleLevel"/>
    <w:tmpl w:val="0000003D"/>
    <w:name w:val="WW8Num63"/>
    <w:lvl w:ilvl="0">
      <w:start w:val="1"/>
      <w:numFmt w:val="bullet"/>
      <w:lvlText w:val=""/>
      <w:lvlJc w:val="left"/>
      <w:pPr>
        <w:tabs>
          <w:tab w:val="num" w:pos="1429"/>
        </w:tabs>
        <w:ind w:left="1429" w:hanging="360"/>
      </w:pPr>
      <w:rPr>
        <w:rFonts w:ascii="Symbol" w:hAnsi="Symbol"/>
      </w:rPr>
    </w:lvl>
  </w:abstractNum>
  <w:abstractNum w:abstractNumId="60">
    <w:nsid w:val="000A326C"/>
    <w:multiLevelType w:val="multilevel"/>
    <w:tmpl w:val="FA645958"/>
    <w:lvl w:ilvl="0">
      <w:start w:val="1"/>
      <w:numFmt w:val="decimal"/>
      <w:pStyle w:val="a"/>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61">
    <w:nsid w:val="013C7F47"/>
    <w:multiLevelType w:val="singleLevel"/>
    <w:tmpl w:val="0419000F"/>
    <w:styleLink w:val="1111112175"/>
    <w:lvl w:ilvl="0">
      <w:start w:val="1"/>
      <w:numFmt w:val="decimal"/>
      <w:lvlText w:val="%1."/>
      <w:lvlJc w:val="left"/>
      <w:pPr>
        <w:tabs>
          <w:tab w:val="num" w:pos="360"/>
        </w:tabs>
        <w:ind w:left="360" w:hanging="360"/>
      </w:pPr>
      <w:rPr>
        <w:rFonts w:cs="Times New Roman"/>
      </w:rPr>
    </w:lvl>
  </w:abstractNum>
  <w:abstractNum w:abstractNumId="62">
    <w:nsid w:val="02442A8E"/>
    <w:multiLevelType w:val="hybridMultilevel"/>
    <w:tmpl w:val="B6880BB2"/>
    <w:name w:val="WW8Num40"/>
    <w:lvl w:ilvl="0" w:tplc="FFFFFFFF">
      <w:start w:val="1"/>
      <w:numFmt w:val="bullet"/>
      <w:lvlText w:val="-"/>
      <w:lvlJc w:val="left"/>
      <w:pPr>
        <w:ind w:left="360" w:hanging="360"/>
      </w:pPr>
      <w:rPr>
        <w:rFonts w:ascii="Book Antiqua" w:hAnsi="Book Antiqua" w:hint="default"/>
        <w:b w:val="0"/>
        <w:i w:val="0"/>
        <w:color w:val="auto"/>
      </w:rPr>
    </w:lvl>
    <w:lvl w:ilvl="1" w:tplc="FFFFFFFF" w:tentative="1">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3">
    <w:nsid w:val="02A0670D"/>
    <w:multiLevelType w:val="hybridMultilevel"/>
    <w:tmpl w:val="7B640FBC"/>
    <w:styleLink w:val="1104"/>
    <w:lvl w:ilvl="0" w:tplc="F5CE9202">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64">
    <w:nsid w:val="03673F4C"/>
    <w:multiLevelType w:val="hybridMultilevel"/>
    <w:tmpl w:val="F2E26534"/>
    <w:lvl w:ilvl="0" w:tplc="04190011">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65">
    <w:nsid w:val="05221616"/>
    <w:multiLevelType w:val="multilevel"/>
    <w:tmpl w:val="CB644FAA"/>
    <w:lvl w:ilvl="0">
      <w:start w:val="1"/>
      <w:numFmt w:val="decimal"/>
      <w:lvlText w:val="%1."/>
      <w:lvlJc w:val="left"/>
      <w:pPr>
        <w:ind w:left="450" w:hanging="450"/>
      </w:pPr>
      <w:rPr>
        <w:rFonts w:cs="Times New Roman" w:hint="default"/>
      </w:rPr>
    </w:lvl>
    <w:lvl w:ilvl="1">
      <w:start w:val="1"/>
      <w:numFmt w:val="decimal"/>
      <w:lvlText w:val="%1.%2."/>
      <w:lvlJc w:val="left"/>
      <w:pPr>
        <w:ind w:left="1080" w:hanging="720"/>
      </w:pPr>
      <w:rPr>
        <w:rFonts w:cs="Times New Roman" w:hint="default"/>
      </w:rPr>
    </w:lvl>
    <w:lvl w:ilvl="2">
      <w:start w:val="1"/>
      <w:numFmt w:val="decimal"/>
      <w:lvlText w:val="%1.%2.%3."/>
      <w:lvlJc w:val="left"/>
      <w:pPr>
        <w:ind w:left="1440" w:hanging="720"/>
      </w:pPr>
      <w:rPr>
        <w:rFonts w:cs="Times New Roman" w:hint="default"/>
      </w:rPr>
    </w:lvl>
    <w:lvl w:ilvl="3">
      <w:start w:val="1"/>
      <w:numFmt w:val="decimal"/>
      <w:lvlText w:val="%1.%2.%3.%4."/>
      <w:lvlJc w:val="left"/>
      <w:pPr>
        <w:ind w:left="2160" w:hanging="1080"/>
      </w:pPr>
      <w:rPr>
        <w:rFonts w:cs="Times New Roman" w:hint="default"/>
      </w:rPr>
    </w:lvl>
    <w:lvl w:ilvl="4">
      <w:start w:val="1"/>
      <w:numFmt w:val="decimal"/>
      <w:lvlText w:val="%1.%2.%3.%4.%5."/>
      <w:lvlJc w:val="left"/>
      <w:pPr>
        <w:ind w:left="2520" w:hanging="1080"/>
      </w:pPr>
      <w:rPr>
        <w:rFonts w:cs="Times New Roman" w:hint="default"/>
      </w:rPr>
    </w:lvl>
    <w:lvl w:ilvl="5">
      <w:start w:val="1"/>
      <w:numFmt w:val="decimal"/>
      <w:lvlText w:val="%1.%2.%3.%4.%5.%6."/>
      <w:lvlJc w:val="left"/>
      <w:pPr>
        <w:ind w:left="3240" w:hanging="1440"/>
      </w:pPr>
      <w:rPr>
        <w:rFonts w:cs="Times New Roman" w:hint="default"/>
      </w:rPr>
    </w:lvl>
    <w:lvl w:ilvl="6">
      <w:start w:val="1"/>
      <w:numFmt w:val="decimal"/>
      <w:lvlText w:val="%1.%2.%3.%4.%5.%6.%7."/>
      <w:lvlJc w:val="left"/>
      <w:pPr>
        <w:ind w:left="3960" w:hanging="1800"/>
      </w:pPr>
      <w:rPr>
        <w:rFonts w:cs="Times New Roman" w:hint="default"/>
      </w:rPr>
    </w:lvl>
    <w:lvl w:ilvl="7">
      <w:start w:val="1"/>
      <w:numFmt w:val="decimal"/>
      <w:lvlText w:val="%1.%2.%3.%4.%5.%6.%7.%8."/>
      <w:lvlJc w:val="left"/>
      <w:pPr>
        <w:ind w:left="4320" w:hanging="1800"/>
      </w:pPr>
      <w:rPr>
        <w:rFonts w:cs="Times New Roman" w:hint="default"/>
      </w:rPr>
    </w:lvl>
    <w:lvl w:ilvl="8">
      <w:start w:val="1"/>
      <w:numFmt w:val="decimal"/>
      <w:lvlText w:val="%1.%2.%3.%4.%5.%6.%7.%8.%9."/>
      <w:lvlJc w:val="left"/>
      <w:pPr>
        <w:ind w:left="5040" w:hanging="2160"/>
      </w:pPr>
      <w:rPr>
        <w:rFonts w:cs="Times New Roman" w:hint="default"/>
      </w:rPr>
    </w:lvl>
  </w:abstractNum>
  <w:abstractNum w:abstractNumId="66">
    <w:nsid w:val="05814BCF"/>
    <w:multiLevelType w:val="multilevel"/>
    <w:tmpl w:val="0419001D"/>
    <w:styleLink w:val="1ai21814"/>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67">
    <w:nsid w:val="064660C5"/>
    <w:multiLevelType w:val="multilevel"/>
    <w:tmpl w:val="9F8416FA"/>
    <w:lvl w:ilvl="0">
      <w:start w:val="1"/>
      <w:numFmt w:val="decimal"/>
      <w:lvlText w:val="%1."/>
      <w:lvlJc w:val="left"/>
      <w:pPr>
        <w:ind w:left="502" w:hanging="360"/>
      </w:pPr>
      <w:rPr>
        <w:rFonts w:cs="Times New Roman" w:hint="default"/>
      </w:rPr>
    </w:lvl>
    <w:lvl w:ilvl="1">
      <w:start w:val="1"/>
      <w:numFmt w:val="decimal"/>
      <w:lvlText w:val="%1.%2."/>
      <w:lvlJc w:val="left"/>
      <w:pPr>
        <w:tabs>
          <w:tab w:val="num" w:pos="794"/>
        </w:tabs>
        <w:ind w:left="907" w:hanging="547"/>
      </w:pPr>
      <w:rPr>
        <w:rFonts w:cs="Times New Roman" w:hint="default"/>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68">
    <w:nsid w:val="07822842"/>
    <w:multiLevelType w:val="hybridMultilevel"/>
    <w:tmpl w:val="3DAE8A50"/>
    <w:lvl w:ilvl="0" w:tplc="F0E0649E">
      <w:start w:val="1"/>
      <w:numFmt w:val="bullet"/>
      <w:lvlText w:val=""/>
      <w:lvlJc w:val="left"/>
      <w:pPr>
        <w:ind w:left="720" w:hanging="360"/>
      </w:pPr>
      <w:rPr>
        <w:rFonts w:ascii="Symbol" w:eastAsia="Times New Roman" w:hAnsi="Symbol" w:hint="default"/>
        <w:w w:val="99"/>
        <w:sz w:val="20"/>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nsid w:val="091179FB"/>
    <w:multiLevelType w:val="hybridMultilevel"/>
    <w:tmpl w:val="B09A8C2E"/>
    <w:lvl w:ilvl="0" w:tplc="FA529E9A">
      <w:start w:val="1"/>
      <w:numFmt w:val="decimal"/>
      <w:pStyle w:val="10"/>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0">
    <w:nsid w:val="093F76A3"/>
    <w:multiLevelType w:val="hybridMultilevel"/>
    <w:tmpl w:val="685E4AFC"/>
    <w:styleLink w:val="11111121114"/>
    <w:lvl w:ilvl="0" w:tplc="6A5A6D1C">
      <w:start w:val="1"/>
      <w:numFmt w:val="bullet"/>
      <w:lvlText w:val=""/>
      <w:lvlJc w:val="left"/>
      <w:pPr>
        <w:tabs>
          <w:tab w:val="num" w:pos="360"/>
        </w:tabs>
        <w:ind w:left="360" w:hanging="360"/>
      </w:pPr>
      <w:rPr>
        <w:rFonts w:ascii="Symbol" w:hAnsi="Symbol" w:hint="default"/>
        <w:color w:val="auto"/>
        <w:sz w:val="16"/>
      </w:rPr>
    </w:lvl>
    <w:lvl w:ilvl="1" w:tplc="13260202">
      <w:start w:val="1"/>
      <w:numFmt w:val="decimal"/>
      <w:lvlText w:val="%2."/>
      <w:lvlJc w:val="left"/>
      <w:pPr>
        <w:tabs>
          <w:tab w:val="num" w:pos="1190"/>
        </w:tabs>
        <w:ind w:left="1190" w:hanging="465"/>
      </w:pPr>
      <w:rPr>
        <w:rFonts w:cs="Times New Roman" w:hint="default"/>
      </w:rPr>
    </w:lvl>
    <w:lvl w:ilvl="2" w:tplc="05806C18" w:tentative="1">
      <w:start w:val="1"/>
      <w:numFmt w:val="lowerRoman"/>
      <w:lvlText w:val="%3."/>
      <w:lvlJc w:val="right"/>
      <w:pPr>
        <w:tabs>
          <w:tab w:val="num" w:pos="1805"/>
        </w:tabs>
        <w:ind w:left="1805" w:hanging="180"/>
      </w:pPr>
      <w:rPr>
        <w:rFonts w:cs="Times New Roman"/>
      </w:rPr>
    </w:lvl>
    <w:lvl w:ilvl="3" w:tplc="507619B6" w:tentative="1">
      <w:start w:val="1"/>
      <w:numFmt w:val="decimal"/>
      <w:lvlText w:val="%4."/>
      <w:lvlJc w:val="left"/>
      <w:pPr>
        <w:tabs>
          <w:tab w:val="num" w:pos="2525"/>
        </w:tabs>
        <w:ind w:left="2525" w:hanging="360"/>
      </w:pPr>
      <w:rPr>
        <w:rFonts w:cs="Times New Roman"/>
      </w:rPr>
    </w:lvl>
    <w:lvl w:ilvl="4" w:tplc="A2C62E1A" w:tentative="1">
      <w:start w:val="1"/>
      <w:numFmt w:val="lowerLetter"/>
      <w:lvlText w:val="%5."/>
      <w:lvlJc w:val="left"/>
      <w:pPr>
        <w:tabs>
          <w:tab w:val="num" w:pos="3245"/>
        </w:tabs>
        <w:ind w:left="3245" w:hanging="360"/>
      </w:pPr>
      <w:rPr>
        <w:rFonts w:cs="Times New Roman"/>
      </w:rPr>
    </w:lvl>
    <w:lvl w:ilvl="5" w:tplc="F6C48484" w:tentative="1">
      <w:start w:val="1"/>
      <w:numFmt w:val="lowerRoman"/>
      <w:lvlText w:val="%6."/>
      <w:lvlJc w:val="right"/>
      <w:pPr>
        <w:tabs>
          <w:tab w:val="num" w:pos="3965"/>
        </w:tabs>
        <w:ind w:left="3965" w:hanging="180"/>
      </w:pPr>
      <w:rPr>
        <w:rFonts w:cs="Times New Roman"/>
      </w:rPr>
    </w:lvl>
    <w:lvl w:ilvl="6" w:tplc="4E7667D4" w:tentative="1">
      <w:start w:val="1"/>
      <w:numFmt w:val="decimal"/>
      <w:lvlText w:val="%7."/>
      <w:lvlJc w:val="left"/>
      <w:pPr>
        <w:tabs>
          <w:tab w:val="num" w:pos="4685"/>
        </w:tabs>
        <w:ind w:left="4685" w:hanging="360"/>
      </w:pPr>
      <w:rPr>
        <w:rFonts w:cs="Times New Roman"/>
      </w:rPr>
    </w:lvl>
    <w:lvl w:ilvl="7" w:tplc="8EDCF65C" w:tentative="1">
      <w:start w:val="1"/>
      <w:numFmt w:val="lowerLetter"/>
      <w:lvlText w:val="%8."/>
      <w:lvlJc w:val="left"/>
      <w:pPr>
        <w:tabs>
          <w:tab w:val="num" w:pos="5405"/>
        </w:tabs>
        <w:ind w:left="5405" w:hanging="360"/>
      </w:pPr>
      <w:rPr>
        <w:rFonts w:cs="Times New Roman"/>
      </w:rPr>
    </w:lvl>
    <w:lvl w:ilvl="8" w:tplc="B6E29CD2" w:tentative="1">
      <w:start w:val="1"/>
      <w:numFmt w:val="lowerRoman"/>
      <w:lvlText w:val="%9."/>
      <w:lvlJc w:val="right"/>
      <w:pPr>
        <w:tabs>
          <w:tab w:val="num" w:pos="6125"/>
        </w:tabs>
        <w:ind w:left="6125" w:hanging="180"/>
      </w:pPr>
      <w:rPr>
        <w:rFonts w:cs="Times New Roman"/>
      </w:rPr>
    </w:lvl>
  </w:abstractNum>
  <w:abstractNum w:abstractNumId="71">
    <w:nsid w:val="09BB757A"/>
    <w:multiLevelType w:val="multilevel"/>
    <w:tmpl w:val="0419001F"/>
    <w:styleLink w:val="1111113814"/>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72">
    <w:nsid w:val="0B4B6889"/>
    <w:multiLevelType w:val="hybridMultilevel"/>
    <w:tmpl w:val="96AA5BBA"/>
    <w:lvl w:ilvl="0" w:tplc="1604DC8C">
      <w:start w:val="1"/>
      <w:numFmt w:val="decimal"/>
      <w:lvlText w:val="%1."/>
      <w:lvlJc w:val="left"/>
      <w:pPr>
        <w:ind w:left="502" w:hanging="360"/>
      </w:pPr>
      <w:rPr>
        <w:rFonts w:ascii="Times New Roman" w:hAnsi="Times New Roman"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73">
    <w:nsid w:val="0C250C57"/>
    <w:multiLevelType w:val="hybridMultilevel"/>
    <w:tmpl w:val="4D2CF10E"/>
    <w:lvl w:ilvl="0" w:tplc="04190011">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74">
    <w:nsid w:val="0C9A2AD6"/>
    <w:multiLevelType w:val="hybridMultilevel"/>
    <w:tmpl w:val="3B522B9A"/>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75">
    <w:nsid w:val="0FDE6DC3"/>
    <w:multiLevelType w:val="hybridMultilevel"/>
    <w:tmpl w:val="147ADDF0"/>
    <w:lvl w:ilvl="0" w:tplc="0419000F">
      <w:start w:val="1"/>
      <w:numFmt w:val="decimal"/>
      <w:lvlText w:val="%1."/>
      <w:lvlJc w:val="left"/>
      <w:pPr>
        <w:ind w:left="928" w:hanging="360"/>
      </w:pPr>
      <w:rPr>
        <w:rFonts w:cs="Times New Roman"/>
      </w:rPr>
    </w:lvl>
    <w:lvl w:ilvl="1" w:tplc="04190019" w:tentative="1">
      <w:start w:val="1"/>
      <w:numFmt w:val="lowerLetter"/>
      <w:lvlText w:val="%2."/>
      <w:lvlJc w:val="left"/>
      <w:pPr>
        <w:ind w:left="1648" w:hanging="360"/>
      </w:pPr>
      <w:rPr>
        <w:rFonts w:cs="Times New Roman"/>
      </w:rPr>
    </w:lvl>
    <w:lvl w:ilvl="2" w:tplc="0419001B" w:tentative="1">
      <w:start w:val="1"/>
      <w:numFmt w:val="lowerRoman"/>
      <w:lvlText w:val="%3."/>
      <w:lvlJc w:val="right"/>
      <w:pPr>
        <w:ind w:left="2368" w:hanging="180"/>
      </w:pPr>
      <w:rPr>
        <w:rFonts w:cs="Times New Roman"/>
      </w:rPr>
    </w:lvl>
    <w:lvl w:ilvl="3" w:tplc="0419000F" w:tentative="1">
      <w:start w:val="1"/>
      <w:numFmt w:val="decimal"/>
      <w:lvlText w:val="%4."/>
      <w:lvlJc w:val="left"/>
      <w:pPr>
        <w:ind w:left="3088" w:hanging="360"/>
      </w:pPr>
      <w:rPr>
        <w:rFonts w:cs="Times New Roman"/>
      </w:rPr>
    </w:lvl>
    <w:lvl w:ilvl="4" w:tplc="04190019" w:tentative="1">
      <w:start w:val="1"/>
      <w:numFmt w:val="lowerLetter"/>
      <w:lvlText w:val="%5."/>
      <w:lvlJc w:val="left"/>
      <w:pPr>
        <w:ind w:left="3808" w:hanging="360"/>
      </w:pPr>
      <w:rPr>
        <w:rFonts w:cs="Times New Roman"/>
      </w:rPr>
    </w:lvl>
    <w:lvl w:ilvl="5" w:tplc="0419001B" w:tentative="1">
      <w:start w:val="1"/>
      <w:numFmt w:val="lowerRoman"/>
      <w:lvlText w:val="%6."/>
      <w:lvlJc w:val="right"/>
      <w:pPr>
        <w:ind w:left="4528" w:hanging="180"/>
      </w:pPr>
      <w:rPr>
        <w:rFonts w:cs="Times New Roman"/>
      </w:rPr>
    </w:lvl>
    <w:lvl w:ilvl="6" w:tplc="0419000F" w:tentative="1">
      <w:start w:val="1"/>
      <w:numFmt w:val="decimal"/>
      <w:lvlText w:val="%7."/>
      <w:lvlJc w:val="left"/>
      <w:pPr>
        <w:ind w:left="5248" w:hanging="360"/>
      </w:pPr>
      <w:rPr>
        <w:rFonts w:cs="Times New Roman"/>
      </w:rPr>
    </w:lvl>
    <w:lvl w:ilvl="7" w:tplc="04190019" w:tentative="1">
      <w:start w:val="1"/>
      <w:numFmt w:val="lowerLetter"/>
      <w:lvlText w:val="%8."/>
      <w:lvlJc w:val="left"/>
      <w:pPr>
        <w:ind w:left="5968" w:hanging="360"/>
      </w:pPr>
      <w:rPr>
        <w:rFonts w:cs="Times New Roman"/>
      </w:rPr>
    </w:lvl>
    <w:lvl w:ilvl="8" w:tplc="0419001B" w:tentative="1">
      <w:start w:val="1"/>
      <w:numFmt w:val="lowerRoman"/>
      <w:lvlText w:val="%9."/>
      <w:lvlJc w:val="right"/>
      <w:pPr>
        <w:ind w:left="6688" w:hanging="180"/>
      </w:pPr>
      <w:rPr>
        <w:rFonts w:cs="Times New Roman"/>
      </w:rPr>
    </w:lvl>
  </w:abstractNum>
  <w:abstractNum w:abstractNumId="76">
    <w:nsid w:val="0FFA28B4"/>
    <w:multiLevelType w:val="multilevel"/>
    <w:tmpl w:val="87A08124"/>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77">
    <w:nsid w:val="116E58D8"/>
    <w:multiLevelType w:val="hybridMultilevel"/>
    <w:tmpl w:val="5088F76A"/>
    <w:lvl w:ilvl="0" w:tplc="34F024B0">
      <w:start w:val="1"/>
      <w:numFmt w:val="bullet"/>
      <w:lvlText w:val="–"/>
      <w:lvlJc w:val="left"/>
      <w:pPr>
        <w:ind w:left="720" w:hanging="360"/>
      </w:pPr>
      <w:rPr>
        <w:rFonts w:ascii="Cambria" w:hAnsi="Cambria"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nsid w:val="1362407C"/>
    <w:multiLevelType w:val="hybridMultilevel"/>
    <w:tmpl w:val="2D4ACE34"/>
    <w:lvl w:ilvl="0" w:tplc="0419000F">
      <w:start w:val="1"/>
      <w:numFmt w:val="decimal"/>
      <w:lvlText w:val="%1."/>
      <w:lvlJc w:val="left"/>
      <w:pPr>
        <w:ind w:left="505" w:hanging="360"/>
      </w:pPr>
      <w:rPr>
        <w:rFonts w:cs="Times New Roman"/>
      </w:rPr>
    </w:lvl>
    <w:lvl w:ilvl="1" w:tplc="04190019" w:tentative="1">
      <w:start w:val="1"/>
      <w:numFmt w:val="lowerLetter"/>
      <w:lvlText w:val="%2."/>
      <w:lvlJc w:val="left"/>
      <w:pPr>
        <w:ind w:left="1225" w:hanging="360"/>
      </w:pPr>
      <w:rPr>
        <w:rFonts w:cs="Times New Roman"/>
      </w:rPr>
    </w:lvl>
    <w:lvl w:ilvl="2" w:tplc="0419001B" w:tentative="1">
      <w:start w:val="1"/>
      <w:numFmt w:val="lowerRoman"/>
      <w:lvlText w:val="%3."/>
      <w:lvlJc w:val="right"/>
      <w:pPr>
        <w:ind w:left="1945" w:hanging="180"/>
      </w:pPr>
      <w:rPr>
        <w:rFonts w:cs="Times New Roman"/>
      </w:rPr>
    </w:lvl>
    <w:lvl w:ilvl="3" w:tplc="0419000F" w:tentative="1">
      <w:start w:val="1"/>
      <w:numFmt w:val="decimal"/>
      <w:lvlText w:val="%4."/>
      <w:lvlJc w:val="left"/>
      <w:pPr>
        <w:ind w:left="2665" w:hanging="360"/>
      </w:pPr>
      <w:rPr>
        <w:rFonts w:cs="Times New Roman"/>
      </w:rPr>
    </w:lvl>
    <w:lvl w:ilvl="4" w:tplc="04190019" w:tentative="1">
      <w:start w:val="1"/>
      <w:numFmt w:val="lowerLetter"/>
      <w:lvlText w:val="%5."/>
      <w:lvlJc w:val="left"/>
      <w:pPr>
        <w:ind w:left="3385" w:hanging="360"/>
      </w:pPr>
      <w:rPr>
        <w:rFonts w:cs="Times New Roman"/>
      </w:rPr>
    </w:lvl>
    <w:lvl w:ilvl="5" w:tplc="0419001B" w:tentative="1">
      <w:start w:val="1"/>
      <w:numFmt w:val="lowerRoman"/>
      <w:lvlText w:val="%6."/>
      <w:lvlJc w:val="right"/>
      <w:pPr>
        <w:ind w:left="4105" w:hanging="180"/>
      </w:pPr>
      <w:rPr>
        <w:rFonts w:cs="Times New Roman"/>
      </w:rPr>
    </w:lvl>
    <w:lvl w:ilvl="6" w:tplc="0419000F" w:tentative="1">
      <w:start w:val="1"/>
      <w:numFmt w:val="decimal"/>
      <w:lvlText w:val="%7."/>
      <w:lvlJc w:val="left"/>
      <w:pPr>
        <w:ind w:left="4825" w:hanging="360"/>
      </w:pPr>
      <w:rPr>
        <w:rFonts w:cs="Times New Roman"/>
      </w:rPr>
    </w:lvl>
    <w:lvl w:ilvl="7" w:tplc="04190019" w:tentative="1">
      <w:start w:val="1"/>
      <w:numFmt w:val="lowerLetter"/>
      <w:lvlText w:val="%8."/>
      <w:lvlJc w:val="left"/>
      <w:pPr>
        <w:ind w:left="5545" w:hanging="360"/>
      </w:pPr>
      <w:rPr>
        <w:rFonts w:cs="Times New Roman"/>
      </w:rPr>
    </w:lvl>
    <w:lvl w:ilvl="8" w:tplc="0419001B" w:tentative="1">
      <w:start w:val="1"/>
      <w:numFmt w:val="lowerRoman"/>
      <w:lvlText w:val="%9."/>
      <w:lvlJc w:val="right"/>
      <w:pPr>
        <w:ind w:left="6265" w:hanging="180"/>
      </w:pPr>
      <w:rPr>
        <w:rFonts w:cs="Times New Roman"/>
      </w:rPr>
    </w:lvl>
  </w:abstractNum>
  <w:abstractNum w:abstractNumId="79">
    <w:nsid w:val="17B11747"/>
    <w:multiLevelType w:val="hybridMultilevel"/>
    <w:tmpl w:val="6A3862D6"/>
    <w:lvl w:ilvl="0" w:tplc="C28E7724">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80">
    <w:nsid w:val="189A795C"/>
    <w:multiLevelType w:val="multilevel"/>
    <w:tmpl w:val="3A0A111E"/>
    <w:lvl w:ilvl="0">
      <w:start w:val="1"/>
      <w:numFmt w:val="russianLower"/>
      <w:pStyle w:val="a0"/>
      <w:suff w:val="space"/>
      <w:lvlText w:val="%1)"/>
      <w:lvlJc w:val="left"/>
      <w:pPr>
        <w:ind w:left="567"/>
      </w:pPr>
      <w:rPr>
        <w:rFonts w:ascii="Times New Roman" w:hAnsi="Times New Roman" w:cs="Times New Roman"/>
        <w:b w:val="0"/>
        <w:bCs w:val="0"/>
        <w:i w:val="0"/>
        <w:iCs w:val="0"/>
        <w:caps w:val="0"/>
        <w:smallCaps w:val="0"/>
        <w:strike w:val="0"/>
        <w:dstrike w:val="0"/>
        <w:vanish w:val="0"/>
        <w:color w:val="000000"/>
        <w:spacing w:val="0"/>
        <w:kern w:val="0"/>
        <w:position w:val="0"/>
        <w:u w:val="none"/>
        <w:effect w:val="none"/>
        <w:vertAlign w:val="baseline"/>
      </w:rPr>
    </w:lvl>
    <w:lvl w:ilvl="1">
      <w:start w:val="1"/>
      <w:numFmt w:val="russianLower"/>
      <w:suff w:val="space"/>
      <w:lvlText w:val="%1.%2"/>
      <w:lvlJc w:val="left"/>
      <w:pPr>
        <w:ind w:left="567" w:firstLine="567"/>
      </w:pPr>
      <w:rPr>
        <w:rFonts w:ascii="Times New Roman" w:hAnsi="Times New Roman" w:cs="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cs="Times New Roman" w:hint="default"/>
        <w:b/>
        <w:i w:val="0"/>
        <w:color w:val="auto"/>
        <w:sz w:val="26"/>
      </w:rPr>
    </w:lvl>
    <w:lvl w:ilvl="3">
      <w:start w:val="1"/>
      <w:numFmt w:val="decimal"/>
      <w:suff w:val="space"/>
      <w:lvlText w:val="%1.%2.%3.%4"/>
      <w:lvlJc w:val="left"/>
      <w:pPr>
        <w:ind w:left="567"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cs="Times New Roman" w:hint="default"/>
      </w:rPr>
    </w:lvl>
    <w:lvl w:ilvl="5">
      <w:start w:val="1"/>
      <w:numFmt w:val="decimal"/>
      <w:lvlText w:val="%1.%2.%3.%4.%5.%6"/>
      <w:lvlJc w:val="left"/>
      <w:pPr>
        <w:tabs>
          <w:tab w:val="num" w:pos="2286"/>
        </w:tabs>
        <w:ind w:left="2286" w:hanging="1152"/>
      </w:pPr>
      <w:rPr>
        <w:rFonts w:cs="Times New Roman" w:hint="default"/>
      </w:rPr>
    </w:lvl>
    <w:lvl w:ilvl="6">
      <w:start w:val="1"/>
      <w:numFmt w:val="decimal"/>
      <w:lvlText w:val="%1.%2.%3.%4.%5.%6.%7"/>
      <w:lvlJc w:val="left"/>
      <w:pPr>
        <w:tabs>
          <w:tab w:val="num" w:pos="2430"/>
        </w:tabs>
        <w:ind w:left="2430" w:hanging="1296"/>
      </w:pPr>
      <w:rPr>
        <w:rFonts w:cs="Times New Roman" w:hint="default"/>
      </w:rPr>
    </w:lvl>
    <w:lvl w:ilvl="7">
      <w:start w:val="1"/>
      <w:numFmt w:val="decimal"/>
      <w:lvlText w:val="%1.%2.%3.%4.%5.%6.%7.%8"/>
      <w:lvlJc w:val="left"/>
      <w:pPr>
        <w:tabs>
          <w:tab w:val="num" w:pos="2574"/>
        </w:tabs>
        <w:ind w:left="2574" w:hanging="1440"/>
      </w:pPr>
      <w:rPr>
        <w:rFonts w:cs="Times New Roman" w:hint="default"/>
      </w:rPr>
    </w:lvl>
    <w:lvl w:ilvl="8">
      <w:start w:val="1"/>
      <w:numFmt w:val="decimal"/>
      <w:lvlText w:val="%1.%2.%3.%4.%5.%6.%7.%8.%9"/>
      <w:lvlJc w:val="left"/>
      <w:pPr>
        <w:tabs>
          <w:tab w:val="num" w:pos="2718"/>
        </w:tabs>
        <w:ind w:left="2718" w:hanging="1584"/>
      </w:pPr>
      <w:rPr>
        <w:rFonts w:cs="Times New Roman" w:hint="default"/>
      </w:rPr>
    </w:lvl>
  </w:abstractNum>
  <w:abstractNum w:abstractNumId="81">
    <w:nsid w:val="19120EA7"/>
    <w:multiLevelType w:val="hybridMultilevel"/>
    <w:tmpl w:val="C95EABCC"/>
    <w:lvl w:ilvl="0" w:tplc="4B7064DC">
      <w:start w:val="1"/>
      <w:numFmt w:val="decimal"/>
      <w:lvlText w:val="%1."/>
      <w:lvlJc w:val="left"/>
      <w:pPr>
        <w:ind w:left="1977" w:hanging="141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82">
    <w:nsid w:val="192725E4"/>
    <w:multiLevelType w:val="hybridMultilevel"/>
    <w:tmpl w:val="CE7AD320"/>
    <w:lvl w:ilvl="0" w:tplc="F0E0649E">
      <w:start w:val="1"/>
      <w:numFmt w:val="bullet"/>
      <w:lvlText w:val=""/>
      <w:lvlJc w:val="left"/>
      <w:pPr>
        <w:ind w:left="331" w:hanging="228"/>
      </w:pPr>
      <w:rPr>
        <w:rFonts w:ascii="Symbol" w:eastAsia="Times New Roman" w:hAnsi="Symbol" w:hint="default"/>
        <w:w w:val="99"/>
        <w:sz w:val="20"/>
      </w:rPr>
    </w:lvl>
    <w:lvl w:ilvl="1" w:tplc="9E5CDA14">
      <w:start w:val="1"/>
      <w:numFmt w:val="bullet"/>
      <w:lvlText w:val="•"/>
      <w:lvlJc w:val="left"/>
      <w:pPr>
        <w:ind w:left="720" w:hanging="228"/>
      </w:pPr>
    </w:lvl>
    <w:lvl w:ilvl="2" w:tplc="B6E2717C">
      <w:start w:val="1"/>
      <w:numFmt w:val="bullet"/>
      <w:lvlText w:val="•"/>
      <w:lvlJc w:val="left"/>
      <w:pPr>
        <w:ind w:left="1101" w:hanging="228"/>
      </w:pPr>
    </w:lvl>
    <w:lvl w:ilvl="3" w:tplc="38C08400">
      <w:start w:val="1"/>
      <w:numFmt w:val="bullet"/>
      <w:lvlText w:val="•"/>
      <w:lvlJc w:val="left"/>
      <w:pPr>
        <w:ind w:left="1482" w:hanging="228"/>
      </w:pPr>
    </w:lvl>
    <w:lvl w:ilvl="4" w:tplc="74B6F68A">
      <w:start w:val="1"/>
      <w:numFmt w:val="bullet"/>
      <w:lvlText w:val="•"/>
      <w:lvlJc w:val="left"/>
      <w:pPr>
        <w:ind w:left="1863" w:hanging="228"/>
      </w:pPr>
    </w:lvl>
    <w:lvl w:ilvl="5" w:tplc="B86CBE5A">
      <w:start w:val="1"/>
      <w:numFmt w:val="bullet"/>
      <w:lvlText w:val="•"/>
      <w:lvlJc w:val="left"/>
      <w:pPr>
        <w:ind w:left="2244" w:hanging="228"/>
      </w:pPr>
    </w:lvl>
    <w:lvl w:ilvl="6" w:tplc="3D64851E">
      <w:start w:val="1"/>
      <w:numFmt w:val="bullet"/>
      <w:lvlText w:val="•"/>
      <w:lvlJc w:val="left"/>
      <w:pPr>
        <w:ind w:left="2624" w:hanging="228"/>
      </w:pPr>
    </w:lvl>
    <w:lvl w:ilvl="7" w:tplc="3C46DDF4">
      <w:start w:val="1"/>
      <w:numFmt w:val="bullet"/>
      <w:lvlText w:val="•"/>
      <w:lvlJc w:val="left"/>
      <w:pPr>
        <w:ind w:left="3005" w:hanging="228"/>
      </w:pPr>
    </w:lvl>
    <w:lvl w:ilvl="8" w:tplc="792ADED4">
      <w:start w:val="1"/>
      <w:numFmt w:val="bullet"/>
      <w:lvlText w:val="•"/>
      <w:lvlJc w:val="left"/>
      <w:pPr>
        <w:ind w:left="3386" w:hanging="228"/>
      </w:pPr>
    </w:lvl>
  </w:abstractNum>
  <w:abstractNum w:abstractNumId="83">
    <w:nsid w:val="19632050"/>
    <w:multiLevelType w:val="hybridMultilevel"/>
    <w:tmpl w:val="A274EBA2"/>
    <w:lvl w:ilvl="0" w:tplc="70F0183C">
      <w:start w:val="1"/>
      <w:numFmt w:val="decimal"/>
      <w:lvlText w:val="%1."/>
      <w:lvlJc w:val="left"/>
      <w:pPr>
        <w:ind w:left="2007"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4">
    <w:nsid w:val="1BA2484D"/>
    <w:multiLevelType w:val="hybridMultilevel"/>
    <w:tmpl w:val="E8328D7A"/>
    <w:lvl w:ilvl="0" w:tplc="55CC09F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nsid w:val="1C0B7994"/>
    <w:multiLevelType w:val="multilevel"/>
    <w:tmpl w:val="04190023"/>
    <w:styleLink w:val="21814"/>
    <w:lvl w:ilvl="0">
      <w:start w:val="1"/>
      <w:numFmt w:val="upperRoman"/>
      <w:lvlText w:val="Статья %1."/>
      <w:lvlJc w:val="left"/>
      <w:pPr>
        <w:tabs>
          <w:tab w:val="num" w:pos="1800"/>
        </w:tabs>
      </w:pPr>
      <w:rPr>
        <w:rFonts w:cs="Times New Roman"/>
      </w:rPr>
    </w:lvl>
    <w:lvl w:ilvl="1">
      <w:start w:val="1"/>
      <w:numFmt w:val="decimalZero"/>
      <w:isLgl/>
      <w:lvlText w:val="Раздел %1.%2"/>
      <w:lvlJc w:val="left"/>
      <w:pPr>
        <w:tabs>
          <w:tab w:val="num" w:pos="144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86">
    <w:nsid w:val="1C180362"/>
    <w:multiLevelType w:val="hybridMultilevel"/>
    <w:tmpl w:val="010C9F66"/>
    <w:lvl w:ilvl="0" w:tplc="6E6E0B32">
      <w:start w:val="1"/>
      <w:numFmt w:val="decimal"/>
      <w:lvlText w:val="%1."/>
      <w:lvlJc w:val="left"/>
      <w:pPr>
        <w:ind w:left="1069" w:hanging="360"/>
      </w:pPr>
      <w:rPr>
        <w:rFonts w:cs="Times New Roman"/>
      </w:rPr>
    </w:lvl>
    <w:lvl w:ilvl="1" w:tplc="04190019">
      <w:start w:val="1"/>
      <w:numFmt w:val="lowerLetter"/>
      <w:lvlText w:val="%2."/>
      <w:lvlJc w:val="left"/>
      <w:pPr>
        <w:ind w:left="1789" w:hanging="360"/>
      </w:pPr>
      <w:rPr>
        <w:rFonts w:cs="Times New Roman"/>
      </w:rPr>
    </w:lvl>
    <w:lvl w:ilvl="2" w:tplc="0419001B">
      <w:start w:val="1"/>
      <w:numFmt w:val="lowerRoman"/>
      <w:lvlText w:val="%3."/>
      <w:lvlJc w:val="right"/>
      <w:pPr>
        <w:ind w:left="2509" w:hanging="180"/>
      </w:pPr>
      <w:rPr>
        <w:rFonts w:cs="Times New Roman"/>
      </w:rPr>
    </w:lvl>
    <w:lvl w:ilvl="3" w:tplc="0419000F">
      <w:start w:val="1"/>
      <w:numFmt w:val="decimal"/>
      <w:lvlText w:val="%4."/>
      <w:lvlJc w:val="left"/>
      <w:pPr>
        <w:ind w:left="3229" w:hanging="360"/>
      </w:pPr>
      <w:rPr>
        <w:rFonts w:cs="Times New Roman"/>
      </w:rPr>
    </w:lvl>
    <w:lvl w:ilvl="4" w:tplc="04190019">
      <w:start w:val="1"/>
      <w:numFmt w:val="lowerLetter"/>
      <w:lvlText w:val="%5."/>
      <w:lvlJc w:val="left"/>
      <w:pPr>
        <w:ind w:left="3949" w:hanging="360"/>
      </w:pPr>
      <w:rPr>
        <w:rFonts w:cs="Times New Roman"/>
      </w:rPr>
    </w:lvl>
    <w:lvl w:ilvl="5" w:tplc="0419001B">
      <w:start w:val="1"/>
      <w:numFmt w:val="lowerRoman"/>
      <w:lvlText w:val="%6."/>
      <w:lvlJc w:val="right"/>
      <w:pPr>
        <w:ind w:left="4669" w:hanging="180"/>
      </w:pPr>
      <w:rPr>
        <w:rFonts w:cs="Times New Roman"/>
      </w:rPr>
    </w:lvl>
    <w:lvl w:ilvl="6" w:tplc="0419000F">
      <w:start w:val="1"/>
      <w:numFmt w:val="decimal"/>
      <w:lvlText w:val="%7."/>
      <w:lvlJc w:val="left"/>
      <w:pPr>
        <w:ind w:left="5389" w:hanging="360"/>
      </w:pPr>
      <w:rPr>
        <w:rFonts w:cs="Times New Roman"/>
      </w:rPr>
    </w:lvl>
    <w:lvl w:ilvl="7" w:tplc="04190019">
      <w:start w:val="1"/>
      <w:numFmt w:val="lowerLetter"/>
      <w:lvlText w:val="%8."/>
      <w:lvlJc w:val="left"/>
      <w:pPr>
        <w:ind w:left="6109" w:hanging="360"/>
      </w:pPr>
      <w:rPr>
        <w:rFonts w:cs="Times New Roman"/>
      </w:rPr>
    </w:lvl>
    <w:lvl w:ilvl="8" w:tplc="0419001B">
      <w:start w:val="1"/>
      <w:numFmt w:val="lowerRoman"/>
      <w:lvlText w:val="%9."/>
      <w:lvlJc w:val="right"/>
      <w:pPr>
        <w:ind w:left="6829" w:hanging="180"/>
      </w:pPr>
      <w:rPr>
        <w:rFonts w:cs="Times New Roman"/>
      </w:rPr>
    </w:lvl>
  </w:abstractNum>
  <w:abstractNum w:abstractNumId="87">
    <w:nsid w:val="1CF76041"/>
    <w:multiLevelType w:val="hybridMultilevel"/>
    <w:tmpl w:val="C6C86AF2"/>
    <w:lvl w:ilvl="0" w:tplc="420A05C0">
      <w:numFmt w:val="bullet"/>
      <w:lvlText w:val="•"/>
      <w:lvlJc w:val="left"/>
      <w:pPr>
        <w:ind w:left="1429" w:hanging="360"/>
      </w:pPr>
      <w:rPr>
        <w:rFonts w:ascii="Times New Roman" w:eastAsia="Times New Roman" w:hAnsi="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nsid w:val="1D975A51"/>
    <w:multiLevelType w:val="hybridMultilevel"/>
    <w:tmpl w:val="F8465D74"/>
    <w:lvl w:ilvl="0" w:tplc="1974D0E0">
      <w:start w:val="1"/>
      <w:numFmt w:val="decimal"/>
      <w:lvlText w:val="%1."/>
      <w:lvlJc w:val="left"/>
      <w:pPr>
        <w:ind w:left="360" w:hanging="360"/>
      </w:pPr>
      <w:rPr>
        <w:rFonts w:ascii="Times New Roman" w:hAnsi="Times New Roman" w:cs="Times New Roman" w:hint="default"/>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89">
    <w:nsid w:val="201F06E4"/>
    <w:multiLevelType w:val="hybridMultilevel"/>
    <w:tmpl w:val="2E8E4438"/>
    <w:lvl w:ilvl="0" w:tplc="420A05C0">
      <w:numFmt w:val="bullet"/>
      <w:lvlText w:val="•"/>
      <w:lvlJc w:val="left"/>
      <w:pPr>
        <w:ind w:left="1429" w:hanging="360"/>
      </w:pPr>
      <w:rPr>
        <w:rFonts w:ascii="Times New Roman" w:eastAsia="Times New Roman" w:hAnsi="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nsid w:val="203B21E9"/>
    <w:multiLevelType w:val="hybridMultilevel"/>
    <w:tmpl w:val="AF04B81A"/>
    <w:lvl w:ilvl="0" w:tplc="04190011">
      <w:start w:val="1"/>
      <w:numFmt w:val="decimal"/>
      <w:lvlText w:val="%1)"/>
      <w:lvlJc w:val="left"/>
      <w:pPr>
        <w:ind w:left="1287" w:hanging="360"/>
      </w:pPr>
      <w:rPr>
        <w:rFonts w:cs="Times New Roman"/>
      </w:rPr>
    </w:lvl>
    <w:lvl w:ilvl="1" w:tplc="70F0183C">
      <w:start w:val="1"/>
      <w:numFmt w:val="decimal"/>
      <w:lvlText w:val="%2."/>
      <w:lvlJc w:val="left"/>
      <w:pPr>
        <w:ind w:left="2007" w:hanging="360"/>
      </w:pPr>
      <w:rPr>
        <w:rFonts w:cs="Times New Roman" w:hint="default"/>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91">
    <w:nsid w:val="22222D57"/>
    <w:multiLevelType w:val="hybridMultilevel"/>
    <w:tmpl w:val="5838B1E8"/>
    <w:lvl w:ilvl="0" w:tplc="34F024B0">
      <w:start w:val="1"/>
      <w:numFmt w:val="bullet"/>
      <w:lvlText w:val="–"/>
      <w:lvlJc w:val="left"/>
      <w:pPr>
        <w:ind w:left="1429" w:hanging="360"/>
      </w:pPr>
      <w:rPr>
        <w:rFonts w:ascii="Cambria" w:hAnsi="Cambria" w:hint="default"/>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92">
    <w:nsid w:val="23E13426"/>
    <w:multiLevelType w:val="hybridMultilevel"/>
    <w:tmpl w:val="A0485AB8"/>
    <w:styleLink w:val="2175"/>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2520"/>
        </w:tabs>
        <w:ind w:left="2520" w:hanging="360"/>
      </w:pPr>
      <w:rPr>
        <w:rFonts w:ascii="Courier New" w:hAnsi="Courier New" w:hint="default"/>
      </w:rPr>
    </w:lvl>
    <w:lvl w:ilvl="2" w:tplc="04190005" w:tentative="1">
      <w:start w:val="1"/>
      <w:numFmt w:val="bullet"/>
      <w:lvlText w:val=""/>
      <w:lvlJc w:val="left"/>
      <w:pPr>
        <w:tabs>
          <w:tab w:val="num" w:pos="3240"/>
        </w:tabs>
        <w:ind w:left="3240" w:hanging="360"/>
      </w:pPr>
      <w:rPr>
        <w:rFonts w:ascii="Wingdings" w:hAnsi="Wingdings" w:hint="default"/>
      </w:rPr>
    </w:lvl>
    <w:lvl w:ilvl="3" w:tplc="04190001" w:tentative="1">
      <w:start w:val="1"/>
      <w:numFmt w:val="bullet"/>
      <w:lvlText w:val=""/>
      <w:lvlJc w:val="left"/>
      <w:pPr>
        <w:tabs>
          <w:tab w:val="num" w:pos="3960"/>
        </w:tabs>
        <w:ind w:left="3960" w:hanging="360"/>
      </w:pPr>
      <w:rPr>
        <w:rFonts w:ascii="Symbol" w:hAnsi="Symbol" w:hint="default"/>
      </w:rPr>
    </w:lvl>
    <w:lvl w:ilvl="4" w:tplc="04190003" w:tentative="1">
      <w:start w:val="1"/>
      <w:numFmt w:val="bullet"/>
      <w:lvlText w:val="o"/>
      <w:lvlJc w:val="left"/>
      <w:pPr>
        <w:tabs>
          <w:tab w:val="num" w:pos="4680"/>
        </w:tabs>
        <w:ind w:left="4680" w:hanging="360"/>
      </w:pPr>
      <w:rPr>
        <w:rFonts w:ascii="Courier New" w:hAnsi="Courier New" w:hint="default"/>
      </w:rPr>
    </w:lvl>
    <w:lvl w:ilvl="5" w:tplc="04190005" w:tentative="1">
      <w:start w:val="1"/>
      <w:numFmt w:val="bullet"/>
      <w:lvlText w:val=""/>
      <w:lvlJc w:val="left"/>
      <w:pPr>
        <w:tabs>
          <w:tab w:val="num" w:pos="5400"/>
        </w:tabs>
        <w:ind w:left="5400" w:hanging="360"/>
      </w:pPr>
      <w:rPr>
        <w:rFonts w:ascii="Wingdings" w:hAnsi="Wingdings" w:hint="default"/>
      </w:rPr>
    </w:lvl>
    <w:lvl w:ilvl="6" w:tplc="04190001" w:tentative="1">
      <w:start w:val="1"/>
      <w:numFmt w:val="bullet"/>
      <w:lvlText w:val=""/>
      <w:lvlJc w:val="left"/>
      <w:pPr>
        <w:tabs>
          <w:tab w:val="num" w:pos="6120"/>
        </w:tabs>
        <w:ind w:left="6120" w:hanging="360"/>
      </w:pPr>
      <w:rPr>
        <w:rFonts w:ascii="Symbol" w:hAnsi="Symbol" w:hint="default"/>
      </w:rPr>
    </w:lvl>
    <w:lvl w:ilvl="7" w:tplc="04190003" w:tentative="1">
      <w:start w:val="1"/>
      <w:numFmt w:val="bullet"/>
      <w:lvlText w:val="o"/>
      <w:lvlJc w:val="left"/>
      <w:pPr>
        <w:tabs>
          <w:tab w:val="num" w:pos="6840"/>
        </w:tabs>
        <w:ind w:left="6840" w:hanging="360"/>
      </w:pPr>
      <w:rPr>
        <w:rFonts w:ascii="Courier New" w:hAnsi="Courier New" w:hint="default"/>
      </w:rPr>
    </w:lvl>
    <w:lvl w:ilvl="8" w:tplc="04190005" w:tentative="1">
      <w:start w:val="1"/>
      <w:numFmt w:val="bullet"/>
      <w:lvlText w:val=""/>
      <w:lvlJc w:val="left"/>
      <w:pPr>
        <w:tabs>
          <w:tab w:val="num" w:pos="7560"/>
        </w:tabs>
        <w:ind w:left="7560" w:hanging="360"/>
      </w:pPr>
      <w:rPr>
        <w:rFonts w:ascii="Wingdings" w:hAnsi="Wingdings" w:hint="default"/>
      </w:rPr>
    </w:lvl>
  </w:abstractNum>
  <w:abstractNum w:abstractNumId="93">
    <w:nsid w:val="25F5650B"/>
    <w:multiLevelType w:val="hybridMultilevel"/>
    <w:tmpl w:val="19BE08E8"/>
    <w:styleLink w:val="1ai11027"/>
    <w:lvl w:ilvl="0" w:tplc="FFFFFFFF">
      <w:start w:val="1"/>
      <w:numFmt w:val="bullet"/>
      <w:pStyle w:val="ListBullet"/>
      <w:lvlText w:val=""/>
      <w:lvlJc w:val="left"/>
      <w:pPr>
        <w:tabs>
          <w:tab w:val="num" w:pos="2149"/>
        </w:tabs>
        <w:ind w:left="2149"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4">
    <w:nsid w:val="27355B1B"/>
    <w:multiLevelType w:val="multilevel"/>
    <w:tmpl w:val="0419001D"/>
    <w:styleLink w:val="1ai3814"/>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95">
    <w:nsid w:val="290E37BD"/>
    <w:multiLevelType w:val="hybridMultilevel"/>
    <w:tmpl w:val="00DEBAD2"/>
    <w:lvl w:ilvl="0" w:tplc="96105722">
      <w:start w:val="1"/>
      <w:numFmt w:val="bullet"/>
      <w:pStyle w:val="-"/>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96">
    <w:nsid w:val="2B405E6B"/>
    <w:multiLevelType w:val="hybridMultilevel"/>
    <w:tmpl w:val="C81C5DE6"/>
    <w:lvl w:ilvl="0" w:tplc="0419000F">
      <w:start w:val="1"/>
      <w:numFmt w:val="decimal"/>
      <w:lvlText w:val="%1."/>
      <w:lvlJc w:val="left"/>
      <w:pPr>
        <w:ind w:left="502" w:hanging="360"/>
      </w:pPr>
      <w:rPr>
        <w:rFonts w:cs="Times New Roman"/>
      </w:rPr>
    </w:lvl>
    <w:lvl w:ilvl="1" w:tplc="04190019">
      <w:start w:val="1"/>
      <w:numFmt w:val="lowerLetter"/>
      <w:lvlText w:val="%2."/>
      <w:lvlJc w:val="left"/>
      <w:pPr>
        <w:ind w:left="1222" w:hanging="360"/>
      </w:pPr>
      <w:rPr>
        <w:rFonts w:cs="Times New Roman"/>
      </w:rPr>
    </w:lvl>
    <w:lvl w:ilvl="2" w:tplc="0419001B">
      <w:start w:val="1"/>
      <w:numFmt w:val="lowerRoman"/>
      <w:lvlText w:val="%3."/>
      <w:lvlJc w:val="right"/>
      <w:pPr>
        <w:ind w:left="1942" w:hanging="180"/>
      </w:pPr>
      <w:rPr>
        <w:rFonts w:cs="Times New Roman"/>
      </w:rPr>
    </w:lvl>
    <w:lvl w:ilvl="3" w:tplc="0419000F">
      <w:start w:val="1"/>
      <w:numFmt w:val="decimal"/>
      <w:lvlText w:val="%4."/>
      <w:lvlJc w:val="left"/>
      <w:pPr>
        <w:ind w:left="2662" w:hanging="360"/>
      </w:pPr>
      <w:rPr>
        <w:rFonts w:cs="Times New Roman"/>
      </w:rPr>
    </w:lvl>
    <w:lvl w:ilvl="4" w:tplc="04190019">
      <w:start w:val="1"/>
      <w:numFmt w:val="lowerLetter"/>
      <w:lvlText w:val="%5."/>
      <w:lvlJc w:val="left"/>
      <w:pPr>
        <w:ind w:left="3382" w:hanging="360"/>
      </w:pPr>
      <w:rPr>
        <w:rFonts w:cs="Times New Roman"/>
      </w:rPr>
    </w:lvl>
    <w:lvl w:ilvl="5" w:tplc="0419001B">
      <w:start w:val="1"/>
      <w:numFmt w:val="lowerRoman"/>
      <w:lvlText w:val="%6."/>
      <w:lvlJc w:val="right"/>
      <w:pPr>
        <w:ind w:left="4102" w:hanging="180"/>
      </w:pPr>
      <w:rPr>
        <w:rFonts w:cs="Times New Roman"/>
      </w:rPr>
    </w:lvl>
    <w:lvl w:ilvl="6" w:tplc="0419000F">
      <w:start w:val="1"/>
      <w:numFmt w:val="decimal"/>
      <w:lvlText w:val="%7."/>
      <w:lvlJc w:val="left"/>
      <w:pPr>
        <w:ind w:left="4822" w:hanging="360"/>
      </w:pPr>
      <w:rPr>
        <w:rFonts w:cs="Times New Roman"/>
      </w:rPr>
    </w:lvl>
    <w:lvl w:ilvl="7" w:tplc="04190019">
      <w:start w:val="1"/>
      <w:numFmt w:val="lowerLetter"/>
      <w:lvlText w:val="%8."/>
      <w:lvlJc w:val="left"/>
      <w:pPr>
        <w:ind w:left="5542" w:hanging="360"/>
      </w:pPr>
      <w:rPr>
        <w:rFonts w:cs="Times New Roman"/>
      </w:rPr>
    </w:lvl>
    <w:lvl w:ilvl="8" w:tplc="0419001B">
      <w:start w:val="1"/>
      <w:numFmt w:val="lowerRoman"/>
      <w:lvlText w:val="%9."/>
      <w:lvlJc w:val="right"/>
      <w:pPr>
        <w:ind w:left="6262" w:hanging="180"/>
      </w:pPr>
      <w:rPr>
        <w:rFonts w:cs="Times New Roman"/>
      </w:rPr>
    </w:lvl>
  </w:abstractNum>
  <w:abstractNum w:abstractNumId="97">
    <w:nsid w:val="2CD9440B"/>
    <w:multiLevelType w:val="hybridMultilevel"/>
    <w:tmpl w:val="49A8054E"/>
    <w:styleLink w:val="111111117311"/>
    <w:lvl w:ilvl="0" w:tplc="DD3E36AA">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8">
    <w:nsid w:val="30905289"/>
    <w:multiLevelType w:val="hybridMultilevel"/>
    <w:tmpl w:val="4F167C9A"/>
    <w:lvl w:ilvl="0" w:tplc="04190011">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99">
    <w:nsid w:val="317879B9"/>
    <w:multiLevelType w:val="hybridMultilevel"/>
    <w:tmpl w:val="B7CA4AB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0">
    <w:nsid w:val="32E13067"/>
    <w:multiLevelType w:val="hybridMultilevel"/>
    <w:tmpl w:val="402AE51C"/>
    <w:lvl w:ilvl="0" w:tplc="C28E7724">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01">
    <w:nsid w:val="34D056A8"/>
    <w:multiLevelType w:val="hybridMultilevel"/>
    <w:tmpl w:val="FCBEB0A6"/>
    <w:lvl w:ilvl="0" w:tplc="0419000F">
      <w:start w:val="1"/>
      <w:numFmt w:val="decimal"/>
      <w:lvlText w:val="%1."/>
      <w:lvlJc w:val="left"/>
      <w:pPr>
        <w:ind w:left="502" w:hanging="360"/>
      </w:pPr>
      <w:rPr>
        <w:rFonts w:cs="Times New Roman"/>
      </w:rPr>
    </w:lvl>
    <w:lvl w:ilvl="1" w:tplc="04190019">
      <w:start w:val="1"/>
      <w:numFmt w:val="lowerLetter"/>
      <w:lvlText w:val="%2."/>
      <w:lvlJc w:val="left"/>
      <w:pPr>
        <w:ind w:left="1222" w:hanging="360"/>
      </w:pPr>
      <w:rPr>
        <w:rFonts w:cs="Times New Roman"/>
      </w:rPr>
    </w:lvl>
    <w:lvl w:ilvl="2" w:tplc="0419001B">
      <w:start w:val="1"/>
      <w:numFmt w:val="lowerRoman"/>
      <w:lvlText w:val="%3."/>
      <w:lvlJc w:val="right"/>
      <w:pPr>
        <w:ind w:left="1942" w:hanging="180"/>
      </w:pPr>
      <w:rPr>
        <w:rFonts w:cs="Times New Roman"/>
      </w:rPr>
    </w:lvl>
    <w:lvl w:ilvl="3" w:tplc="0419000F">
      <w:start w:val="1"/>
      <w:numFmt w:val="decimal"/>
      <w:lvlText w:val="%4."/>
      <w:lvlJc w:val="left"/>
      <w:pPr>
        <w:ind w:left="2662" w:hanging="360"/>
      </w:pPr>
      <w:rPr>
        <w:rFonts w:cs="Times New Roman"/>
      </w:rPr>
    </w:lvl>
    <w:lvl w:ilvl="4" w:tplc="04190019">
      <w:start w:val="1"/>
      <w:numFmt w:val="lowerLetter"/>
      <w:lvlText w:val="%5."/>
      <w:lvlJc w:val="left"/>
      <w:pPr>
        <w:ind w:left="3382" w:hanging="360"/>
      </w:pPr>
      <w:rPr>
        <w:rFonts w:cs="Times New Roman"/>
      </w:rPr>
    </w:lvl>
    <w:lvl w:ilvl="5" w:tplc="0419001B">
      <w:start w:val="1"/>
      <w:numFmt w:val="lowerRoman"/>
      <w:lvlText w:val="%6."/>
      <w:lvlJc w:val="right"/>
      <w:pPr>
        <w:ind w:left="4102" w:hanging="180"/>
      </w:pPr>
      <w:rPr>
        <w:rFonts w:cs="Times New Roman"/>
      </w:rPr>
    </w:lvl>
    <w:lvl w:ilvl="6" w:tplc="0419000F">
      <w:start w:val="1"/>
      <w:numFmt w:val="decimal"/>
      <w:lvlText w:val="%7."/>
      <w:lvlJc w:val="left"/>
      <w:pPr>
        <w:ind w:left="4822" w:hanging="360"/>
      </w:pPr>
      <w:rPr>
        <w:rFonts w:cs="Times New Roman"/>
      </w:rPr>
    </w:lvl>
    <w:lvl w:ilvl="7" w:tplc="04190019">
      <w:start w:val="1"/>
      <w:numFmt w:val="lowerLetter"/>
      <w:lvlText w:val="%8."/>
      <w:lvlJc w:val="left"/>
      <w:pPr>
        <w:ind w:left="5542" w:hanging="360"/>
      </w:pPr>
      <w:rPr>
        <w:rFonts w:cs="Times New Roman"/>
      </w:rPr>
    </w:lvl>
    <w:lvl w:ilvl="8" w:tplc="0419001B">
      <w:start w:val="1"/>
      <w:numFmt w:val="lowerRoman"/>
      <w:lvlText w:val="%9."/>
      <w:lvlJc w:val="right"/>
      <w:pPr>
        <w:ind w:left="6262" w:hanging="180"/>
      </w:pPr>
      <w:rPr>
        <w:rFonts w:cs="Times New Roman"/>
      </w:rPr>
    </w:lvl>
  </w:abstractNum>
  <w:abstractNum w:abstractNumId="102">
    <w:nsid w:val="35B81EE6"/>
    <w:multiLevelType w:val="hybridMultilevel"/>
    <w:tmpl w:val="7264CC4E"/>
    <w:styleLink w:val="1111111176"/>
    <w:lvl w:ilvl="0" w:tplc="FFFFFFFF">
      <w:start w:val="1"/>
      <w:numFmt w:val="decimal"/>
      <w:lvlText w:val="%1."/>
      <w:lvlJc w:val="left"/>
      <w:pPr>
        <w:tabs>
          <w:tab w:val="num" w:pos="960"/>
        </w:tabs>
        <w:ind w:left="960" w:hanging="960"/>
      </w:pPr>
      <w:rPr>
        <w:rFonts w:cs="Times New Roman" w:hint="default"/>
      </w:rPr>
    </w:lvl>
    <w:lvl w:ilvl="1" w:tplc="FFFFFFFF" w:tentative="1">
      <w:start w:val="1"/>
      <w:numFmt w:val="lowerLetter"/>
      <w:lvlText w:val="%2."/>
      <w:lvlJc w:val="left"/>
      <w:pPr>
        <w:tabs>
          <w:tab w:val="num" w:pos="1080"/>
        </w:tabs>
        <w:ind w:left="1080" w:hanging="360"/>
      </w:pPr>
      <w:rPr>
        <w:rFonts w:cs="Times New Roman"/>
      </w:rPr>
    </w:lvl>
    <w:lvl w:ilvl="2" w:tplc="FFFFFFFF" w:tentative="1">
      <w:start w:val="1"/>
      <w:numFmt w:val="lowerRoman"/>
      <w:lvlText w:val="%3."/>
      <w:lvlJc w:val="right"/>
      <w:pPr>
        <w:tabs>
          <w:tab w:val="num" w:pos="1800"/>
        </w:tabs>
        <w:ind w:left="1800" w:hanging="180"/>
      </w:pPr>
      <w:rPr>
        <w:rFonts w:cs="Times New Roman"/>
      </w:rPr>
    </w:lvl>
    <w:lvl w:ilvl="3" w:tplc="FFFFFFFF" w:tentative="1">
      <w:start w:val="1"/>
      <w:numFmt w:val="decimal"/>
      <w:lvlText w:val="%4."/>
      <w:lvlJc w:val="left"/>
      <w:pPr>
        <w:tabs>
          <w:tab w:val="num" w:pos="2520"/>
        </w:tabs>
        <w:ind w:left="2520" w:hanging="360"/>
      </w:pPr>
      <w:rPr>
        <w:rFonts w:cs="Times New Roman"/>
      </w:rPr>
    </w:lvl>
    <w:lvl w:ilvl="4" w:tplc="FFFFFFFF" w:tentative="1">
      <w:start w:val="1"/>
      <w:numFmt w:val="lowerLetter"/>
      <w:lvlText w:val="%5."/>
      <w:lvlJc w:val="left"/>
      <w:pPr>
        <w:tabs>
          <w:tab w:val="num" w:pos="3240"/>
        </w:tabs>
        <w:ind w:left="3240" w:hanging="360"/>
      </w:pPr>
      <w:rPr>
        <w:rFonts w:cs="Times New Roman"/>
      </w:rPr>
    </w:lvl>
    <w:lvl w:ilvl="5" w:tplc="FFFFFFFF" w:tentative="1">
      <w:start w:val="1"/>
      <w:numFmt w:val="lowerRoman"/>
      <w:lvlText w:val="%6."/>
      <w:lvlJc w:val="right"/>
      <w:pPr>
        <w:tabs>
          <w:tab w:val="num" w:pos="3960"/>
        </w:tabs>
        <w:ind w:left="3960" w:hanging="180"/>
      </w:pPr>
      <w:rPr>
        <w:rFonts w:cs="Times New Roman"/>
      </w:rPr>
    </w:lvl>
    <w:lvl w:ilvl="6" w:tplc="FFFFFFFF" w:tentative="1">
      <w:start w:val="1"/>
      <w:numFmt w:val="decimal"/>
      <w:lvlText w:val="%7."/>
      <w:lvlJc w:val="left"/>
      <w:pPr>
        <w:tabs>
          <w:tab w:val="num" w:pos="4680"/>
        </w:tabs>
        <w:ind w:left="4680" w:hanging="360"/>
      </w:pPr>
      <w:rPr>
        <w:rFonts w:cs="Times New Roman"/>
      </w:rPr>
    </w:lvl>
    <w:lvl w:ilvl="7" w:tplc="FFFFFFFF" w:tentative="1">
      <w:start w:val="1"/>
      <w:numFmt w:val="lowerLetter"/>
      <w:lvlText w:val="%8."/>
      <w:lvlJc w:val="left"/>
      <w:pPr>
        <w:tabs>
          <w:tab w:val="num" w:pos="5400"/>
        </w:tabs>
        <w:ind w:left="5400" w:hanging="360"/>
      </w:pPr>
      <w:rPr>
        <w:rFonts w:cs="Times New Roman"/>
      </w:rPr>
    </w:lvl>
    <w:lvl w:ilvl="8" w:tplc="FFFFFFFF" w:tentative="1">
      <w:start w:val="1"/>
      <w:numFmt w:val="lowerRoman"/>
      <w:lvlText w:val="%9."/>
      <w:lvlJc w:val="right"/>
      <w:pPr>
        <w:tabs>
          <w:tab w:val="num" w:pos="6120"/>
        </w:tabs>
        <w:ind w:left="6120" w:hanging="180"/>
      </w:pPr>
      <w:rPr>
        <w:rFonts w:cs="Times New Roman"/>
      </w:rPr>
    </w:lvl>
  </w:abstractNum>
  <w:abstractNum w:abstractNumId="103">
    <w:nsid w:val="373D5848"/>
    <w:multiLevelType w:val="hybridMultilevel"/>
    <w:tmpl w:val="44F245DC"/>
    <w:styleLink w:val="1ai194"/>
    <w:lvl w:ilvl="0" w:tplc="D7429B16">
      <w:start w:val="1"/>
      <w:numFmt w:val="decimal"/>
      <w:lvlText w:val="%1."/>
      <w:lvlJc w:val="left"/>
      <w:pPr>
        <w:ind w:left="1654" w:hanging="945"/>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04">
    <w:nsid w:val="37700446"/>
    <w:multiLevelType w:val="hybridMultilevel"/>
    <w:tmpl w:val="385A232C"/>
    <w:lvl w:ilvl="0" w:tplc="34F024B0">
      <w:start w:val="1"/>
      <w:numFmt w:val="bullet"/>
      <w:lvlText w:val="–"/>
      <w:lvlJc w:val="left"/>
      <w:pPr>
        <w:ind w:left="1429" w:hanging="360"/>
      </w:pPr>
      <w:rPr>
        <w:rFonts w:ascii="Cambria" w:hAnsi="Cambria"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nsid w:val="38345307"/>
    <w:multiLevelType w:val="multilevel"/>
    <w:tmpl w:val="738AD8E8"/>
    <w:styleLink w:val="1111111173122"/>
    <w:lvl w:ilvl="0">
      <w:start w:val="1"/>
      <w:numFmt w:val="decimal"/>
      <w:pStyle w:val="S1"/>
      <w:lvlText w:val="%1"/>
      <w:lvlJc w:val="left"/>
      <w:pPr>
        <w:tabs>
          <w:tab w:val="num" w:pos="360"/>
        </w:tabs>
        <w:ind w:left="360" w:hanging="360"/>
      </w:pPr>
      <w:rPr>
        <w:rFonts w:cs="Times New Roman" w:hint="default"/>
        <w:b/>
      </w:rPr>
    </w:lvl>
    <w:lvl w:ilvl="1">
      <w:start w:val="1"/>
      <w:numFmt w:val="decimal"/>
      <w:pStyle w:val="S2"/>
      <w:lvlText w:val="%1.%2"/>
      <w:lvlJc w:val="left"/>
      <w:pPr>
        <w:tabs>
          <w:tab w:val="num" w:pos="720"/>
        </w:tabs>
        <w:ind w:left="720" w:hanging="360"/>
      </w:pPr>
      <w:rPr>
        <w:rFonts w:cs="Times New Roman" w:hint="default"/>
        <w:b/>
      </w:rPr>
    </w:lvl>
    <w:lvl w:ilvl="2">
      <w:start w:val="1"/>
      <w:numFmt w:val="decimal"/>
      <w:pStyle w:val="S3"/>
      <w:lvlText w:val="%1.%2.%3"/>
      <w:lvlJc w:val="left"/>
      <w:pPr>
        <w:tabs>
          <w:tab w:val="num" w:pos="1620"/>
        </w:tabs>
        <w:ind w:left="1620" w:hanging="720"/>
      </w:pPr>
      <w:rPr>
        <w:rFonts w:cs="Times New Roman" w:hint="default"/>
      </w:rPr>
    </w:lvl>
    <w:lvl w:ilvl="3">
      <w:start w:val="1"/>
      <w:numFmt w:val="decimal"/>
      <w:pStyle w:val="S4"/>
      <w:lvlText w:val="%1.%2.%3.%4"/>
      <w:lvlJc w:val="left"/>
      <w:pPr>
        <w:tabs>
          <w:tab w:val="num" w:pos="1800"/>
        </w:tabs>
        <w:ind w:left="1800" w:hanging="720"/>
      </w:pPr>
      <w:rPr>
        <w:rFonts w:cs="Times New Roman" w:hint="default"/>
      </w:rPr>
    </w:lvl>
    <w:lvl w:ilvl="4">
      <w:start w:val="1"/>
      <w:numFmt w:val="decimal"/>
      <w:lvlText w:val="%1.%2.%3.%4.%5"/>
      <w:lvlJc w:val="left"/>
      <w:pPr>
        <w:tabs>
          <w:tab w:val="num" w:pos="2520"/>
        </w:tabs>
        <w:ind w:left="2520" w:hanging="1080"/>
      </w:pPr>
      <w:rPr>
        <w:rFonts w:cs="Times New Roman" w:hint="default"/>
      </w:rPr>
    </w:lvl>
    <w:lvl w:ilvl="5">
      <w:start w:val="1"/>
      <w:numFmt w:val="decimal"/>
      <w:lvlText w:val="%1.%2.%3.%4.%5.%6"/>
      <w:lvlJc w:val="left"/>
      <w:pPr>
        <w:tabs>
          <w:tab w:val="num" w:pos="2880"/>
        </w:tabs>
        <w:ind w:left="2880" w:hanging="1080"/>
      </w:pPr>
      <w:rPr>
        <w:rFonts w:cs="Times New Roman" w:hint="default"/>
      </w:rPr>
    </w:lvl>
    <w:lvl w:ilvl="6">
      <w:start w:val="1"/>
      <w:numFmt w:val="decimal"/>
      <w:lvlText w:val="%1.%2.%3.%4.%5.%6.%7"/>
      <w:lvlJc w:val="left"/>
      <w:pPr>
        <w:tabs>
          <w:tab w:val="num" w:pos="3600"/>
        </w:tabs>
        <w:ind w:left="3600" w:hanging="1440"/>
      </w:pPr>
      <w:rPr>
        <w:rFonts w:cs="Times New Roman" w:hint="default"/>
      </w:rPr>
    </w:lvl>
    <w:lvl w:ilvl="7">
      <w:start w:val="1"/>
      <w:numFmt w:val="decimal"/>
      <w:lvlText w:val="%1.%2.%3.%4.%5.%6.%7.%8"/>
      <w:lvlJc w:val="left"/>
      <w:pPr>
        <w:tabs>
          <w:tab w:val="num" w:pos="3960"/>
        </w:tabs>
        <w:ind w:left="3960" w:hanging="1440"/>
      </w:pPr>
      <w:rPr>
        <w:rFonts w:cs="Times New Roman" w:hint="default"/>
      </w:rPr>
    </w:lvl>
    <w:lvl w:ilvl="8">
      <w:start w:val="1"/>
      <w:numFmt w:val="decimal"/>
      <w:lvlText w:val="%1.%2.%3.%4.%5.%6.%7.%8.%9"/>
      <w:lvlJc w:val="left"/>
      <w:pPr>
        <w:tabs>
          <w:tab w:val="num" w:pos="4680"/>
        </w:tabs>
        <w:ind w:left="4680" w:hanging="1800"/>
      </w:pPr>
      <w:rPr>
        <w:rFonts w:cs="Times New Roman" w:hint="default"/>
      </w:rPr>
    </w:lvl>
  </w:abstractNum>
  <w:abstractNum w:abstractNumId="106">
    <w:nsid w:val="3D1C2EA7"/>
    <w:multiLevelType w:val="hybridMultilevel"/>
    <w:tmpl w:val="E3549766"/>
    <w:styleLink w:val="11111140"/>
    <w:lvl w:ilvl="0" w:tplc="E52EAA70">
      <w:start w:val="1"/>
      <w:numFmt w:val="decimal"/>
      <w:lvlText w:val="%1."/>
      <w:lvlJc w:val="left"/>
      <w:pPr>
        <w:tabs>
          <w:tab w:val="num" w:pos="1069"/>
        </w:tabs>
        <w:ind w:left="1069" w:hanging="360"/>
      </w:pPr>
      <w:rPr>
        <w:rFonts w:cs="Times New Roman" w:hint="default"/>
      </w:rPr>
    </w:lvl>
    <w:lvl w:ilvl="1" w:tplc="04190003" w:tentative="1">
      <w:start w:val="1"/>
      <w:numFmt w:val="lowerLetter"/>
      <w:lvlText w:val="%2."/>
      <w:lvlJc w:val="left"/>
      <w:pPr>
        <w:tabs>
          <w:tab w:val="num" w:pos="1440"/>
        </w:tabs>
        <w:ind w:left="1440" w:hanging="360"/>
      </w:pPr>
      <w:rPr>
        <w:rFonts w:cs="Times New Roman"/>
      </w:rPr>
    </w:lvl>
    <w:lvl w:ilvl="2" w:tplc="04190005" w:tentative="1">
      <w:start w:val="1"/>
      <w:numFmt w:val="lowerRoman"/>
      <w:lvlText w:val="%3."/>
      <w:lvlJc w:val="right"/>
      <w:pPr>
        <w:tabs>
          <w:tab w:val="num" w:pos="2160"/>
        </w:tabs>
        <w:ind w:left="2160" w:hanging="180"/>
      </w:pPr>
      <w:rPr>
        <w:rFonts w:cs="Times New Roman"/>
      </w:rPr>
    </w:lvl>
    <w:lvl w:ilvl="3" w:tplc="04190001" w:tentative="1">
      <w:start w:val="1"/>
      <w:numFmt w:val="decimal"/>
      <w:lvlText w:val="%4."/>
      <w:lvlJc w:val="left"/>
      <w:pPr>
        <w:tabs>
          <w:tab w:val="num" w:pos="2880"/>
        </w:tabs>
        <w:ind w:left="2880" w:hanging="360"/>
      </w:pPr>
      <w:rPr>
        <w:rFonts w:cs="Times New Roman"/>
      </w:rPr>
    </w:lvl>
    <w:lvl w:ilvl="4" w:tplc="04190003" w:tentative="1">
      <w:start w:val="1"/>
      <w:numFmt w:val="lowerLetter"/>
      <w:lvlText w:val="%5."/>
      <w:lvlJc w:val="left"/>
      <w:pPr>
        <w:tabs>
          <w:tab w:val="num" w:pos="3600"/>
        </w:tabs>
        <w:ind w:left="3600" w:hanging="360"/>
      </w:pPr>
      <w:rPr>
        <w:rFonts w:cs="Times New Roman"/>
      </w:rPr>
    </w:lvl>
    <w:lvl w:ilvl="5" w:tplc="04190005" w:tentative="1">
      <w:start w:val="1"/>
      <w:numFmt w:val="lowerRoman"/>
      <w:lvlText w:val="%6."/>
      <w:lvlJc w:val="right"/>
      <w:pPr>
        <w:tabs>
          <w:tab w:val="num" w:pos="4320"/>
        </w:tabs>
        <w:ind w:left="4320" w:hanging="180"/>
      </w:pPr>
      <w:rPr>
        <w:rFonts w:cs="Times New Roman"/>
      </w:rPr>
    </w:lvl>
    <w:lvl w:ilvl="6" w:tplc="04190001" w:tentative="1">
      <w:start w:val="1"/>
      <w:numFmt w:val="decimal"/>
      <w:lvlText w:val="%7."/>
      <w:lvlJc w:val="left"/>
      <w:pPr>
        <w:tabs>
          <w:tab w:val="num" w:pos="5040"/>
        </w:tabs>
        <w:ind w:left="5040" w:hanging="360"/>
      </w:pPr>
      <w:rPr>
        <w:rFonts w:cs="Times New Roman"/>
      </w:rPr>
    </w:lvl>
    <w:lvl w:ilvl="7" w:tplc="04190003" w:tentative="1">
      <w:start w:val="1"/>
      <w:numFmt w:val="lowerLetter"/>
      <w:lvlText w:val="%8."/>
      <w:lvlJc w:val="left"/>
      <w:pPr>
        <w:tabs>
          <w:tab w:val="num" w:pos="5760"/>
        </w:tabs>
        <w:ind w:left="5760" w:hanging="360"/>
      </w:pPr>
      <w:rPr>
        <w:rFonts w:cs="Times New Roman"/>
      </w:rPr>
    </w:lvl>
    <w:lvl w:ilvl="8" w:tplc="04190005" w:tentative="1">
      <w:start w:val="1"/>
      <w:numFmt w:val="lowerRoman"/>
      <w:lvlText w:val="%9."/>
      <w:lvlJc w:val="right"/>
      <w:pPr>
        <w:tabs>
          <w:tab w:val="num" w:pos="6480"/>
        </w:tabs>
        <w:ind w:left="6480" w:hanging="180"/>
      </w:pPr>
      <w:rPr>
        <w:rFonts w:cs="Times New Roman"/>
      </w:rPr>
    </w:lvl>
  </w:abstractNum>
  <w:abstractNum w:abstractNumId="107">
    <w:nsid w:val="3F8F03C8"/>
    <w:multiLevelType w:val="hybridMultilevel"/>
    <w:tmpl w:val="AF04B81A"/>
    <w:lvl w:ilvl="0" w:tplc="04190011">
      <w:start w:val="1"/>
      <w:numFmt w:val="decimal"/>
      <w:lvlText w:val="%1)"/>
      <w:lvlJc w:val="left"/>
      <w:pPr>
        <w:ind w:left="1287" w:hanging="360"/>
      </w:pPr>
      <w:rPr>
        <w:rFonts w:cs="Times New Roman"/>
      </w:rPr>
    </w:lvl>
    <w:lvl w:ilvl="1" w:tplc="70F0183C">
      <w:start w:val="1"/>
      <w:numFmt w:val="decimal"/>
      <w:lvlText w:val="%2."/>
      <w:lvlJc w:val="left"/>
      <w:pPr>
        <w:ind w:left="2007" w:hanging="360"/>
      </w:pPr>
      <w:rPr>
        <w:rFonts w:cs="Times New Roman" w:hint="default"/>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108">
    <w:nsid w:val="402213C2"/>
    <w:multiLevelType w:val="hybridMultilevel"/>
    <w:tmpl w:val="6CB6F554"/>
    <w:lvl w:ilvl="0" w:tplc="70F0183C">
      <w:start w:val="1"/>
      <w:numFmt w:val="decimal"/>
      <w:lvlText w:val="%1."/>
      <w:lvlJc w:val="left"/>
      <w:pPr>
        <w:ind w:left="2007"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9">
    <w:nsid w:val="40CD3A0D"/>
    <w:multiLevelType w:val="hybridMultilevel"/>
    <w:tmpl w:val="6380C044"/>
    <w:lvl w:ilvl="0" w:tplc="34F024B0">
      <w:start w:val="1"/>
      <w:numFmt w:val="bullet"/>
      <w:lvlText w:val="–"/>
      <w:lvlJc w:val="left"/>
      <w:pPr>
        <w:ind w:left="1429" w:hanging="360"/>
      </w:pPr>
      <w:rPr>
        <w:rFonts w:ascii="Cambria" w:hAnsi="Cambria"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0">
    <w:nsid w:val="41B031ED"/>
    <w:multiLevelType w:val="hybridMultilevel"/>
    <w:tmpl w:val="9692DB2E"/>
    <w:lvl w:ilvl="0" w:tplc="C28E7724">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11">
    <w:nsid w:val="41E9532F"/>
    <w:multiLevelType w:val="hybridMultilevel"/>
    <w:tmpl w:val="111A67F2"/>
    <w:styleLink w:val="1ai11814"/>
    <w:lvl w:ilvl="0" w:tplc="04190001">
      <w:start w:val="1"/>
      <w:numFmt w:val="bullet"/>
      <w:lvlText w:val=""/>
      <w:lvlJc w:val="left"/>
      <w:pPr>
        <w:tabs>
          <w:tab w:val="num" w:pos="1490"/>
        </w:tabs>
        <w:ind w:left="1490" w:hanging="360"/>
      </w:pPr>
      <w:rPr>
        <w:rFonts w:ascii="Symbol" w:hAnsi="Symbol" w:hint="default"/>
      </w:rPr>
    </w:lvl>
    <w:lvl w:ilvl="1" w:tplc="04190003" w:tentative="1">
      <w:start w:val="1"/>
      <w:numFmt w:val="bullet"/>
      <w:lvlText w:val="o"/>
      <w:lvlJc w:val="left"/>
      <w:pPr>
        <w:tabs>
          <w:tab w:val="num" w:pos="2210"/>
        </w:tabs>
        <w:ind w:left="2210" w:hanging="360"/>
      </w:pPr>
      <w:rPr>
        <w:rFonts w:ascii="Courier New" w:hAnsi="Courier New" w:hint="default"/>
      </w:rPr>
    </w:lvl>
    <w:lvl w:ilvl="2" w:tplc="04190005" w:tentative="1">
      <w:start w:val="1"/>
      <w:numFmt w:val="bullet"/>
      <w:lvlText w:val=""/>
      <w:lvlJc w:val="left"/>
      <w:pPr>
        <w:tabs>
          <w:tab w:val="num" w:pos="2930"/>
        </w:tabs>
        <w:ind w:left="2930" w:hanging="360"/>
      </w:pPr>
      <w:rPr>
        <w:rFonts w:ascii="Wingdings" w:hAnsi="Wingdings" w:hint="default"/>
      </w:rPr>
    </w:lvl>
    <w:lvl w:ilvl="3" w:tplc="04190001" w:tentative="1">
      <w:start w:val="1"/>
      <w:numFmt w:val="bullet"/>
      <w:lvlText w:val=""/>
      <w:lvlJc w:val="left"/>
      <w:pPr>
        <w:tabs>
          <w:tab w:val="num" w:pos="3650"/>
        </w:tabs>
        <w:ind w:left="3650" w:hanging="360"/>
      </w:pPr>
      <w:rPr>
        <w:rFonts w:ascii="Symbol" w:hAnsi="Symbol" w:hint="default"/>
      </w:rPr>
    </w:lvl>
    <w:lvl w:ilvl="4" w:tplc="04190003" w:tentative="1">
      <w:start w:val="1"/>
      <w:numFmt w:val="bullet"/>
      <w:lvlText w:val="o"/>
      <w:lvlJc w:val="left"/>
      <w:pPr>
        <w:tabs>
          <w:tab w:val="num" w:pos="4370"/>
        </w:tabs>
        <w:ind w:left="4370" w:hanging="360"/>
      </w:pPr>
      <w:rPr>
        <w:rFonts w:ascii="Courier New" w:hAnsi="Courier New" w:hint="default"/>
      </w:rPr>
    </w:lvl>
    <w:lvl w:ilvl="5" w:tplc="04190005" w:tentative="1">
      <w:start w:val="1"/>
      <w:numFmt w:val="bullet"/>
      <w:lvlText w:val=""/>
      <w:lvlJc w:val="left"/>
      <w:pPr>
        <w:tabs>
          <w:tab w:val="num" w:pos="5090"/>
        </w:tabs>
        <w:ind w:left="5090" w:hanging="360"/>
      </w:pPr>
      <w:rPr>
        <w:rFonts w:ascii="Wingdings" w:hAnsi="Wingdings" w:hint="default"/>
      </w:rPr>
    </w:lvl>
    <w:lvl w:ilvl="6" w:tplc="04190001" w:tentative="1">
      <w:start w:val="1"/>
      <w:numFmt w:val="bullet"/>
      <w:lvlText w:val=""/>
      <w:lvlJc w:val="left"/>
      <w:pPr>
        <w:tabs>
          <w:tab w:val="num" w:pos="5810"/>
        </w:tabs>
        <w:ind w:left="5810" w:hanging="360"/>
      </w:pPr>
      <w:rPr>
        <w:rFonts w:ascii="Symbol" w:hAnsi="Symbol" w:hint="default"/>
      </w:rPr>
    </w:lvl>
    <w:lvl w:ilvl="7" w:tplc="04190003" w:tentative="1">
      <w:start w:val="1"/>
      <w:numFmt w:val="bullet"/>
      <w:lvlText w:val="o"/>
      <w:lvlJc w:val="left"/>
      <w:pPr>
        <w:tabs>
          <w:tab w:val="num" w:pos="6530"/>
        </w:tabs>
        <w:ind w:left="6530" w:hanging="360"/>
      </w:pPr>
      <w:rPr>
        <w:rFonts w:ascii="Courier New" w:hAnsi="Courier New" w:hint="default"/>
      </w:rPr>
    </w:lvl>
    <w:lvl w:ilvl="8" w:tplc="04190005" w:tentative="1">
      <w:start w:val="1"/>
      <w:numFmt w:val="bullet"/>
      <w:lvlText w:val=""/>
      <w:lvlJc w:val="left"/>
      <w:pPr>
        <w:tabs>
          <w:tab w:val="num" w:pos="7250"/>
        </w:tabs>
        <w:ind w:left="7250" w:hanging="360"/>
      </w:pPr>
      <w:rPr>
        <w:rFonts w:ascii="Wingdings" w:hAnsi="Wingdings" w:hint="default"/>
      </w:rPr>
    </w:lvl>
  </w:abstractNum>
  <w:abstractNum w:abstractNumId="112">
    <w:nsid w:val="41EA7FF3"/>
    <w:multiLevelType w:val="hybridMultilevel"/>
    <w:tmpl w:val="AD90138C"/>
    <w:lvl w:ilvl="0" w:tplc="420A05C0">
      <w:numFmt w:val="bullet"/>
      <w:lvlText w:val="•"/>
      <w:lvlJc w:val="left"/>
      <w:pPr>
        <w:ind w:left="1789" w:hanging="360"/>
      </w:pPr>
      <w:rPr>
        <w:rFonts w:ascii="Times New Roman" w:eastAsia="Times New Roman" w:hAnsi="Times New Roman"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13">
    <w:nsid w:val="42376CD6"/>
    <w:multiLevelType w:val="hybridMultilevel"/>
    <w:tmpl w:val="288850D4"/>
    <w:styleLink w:val="1ai40"/>
    <w:lvl w:ilvl="0" w:tplc="0419000F">
      <w:start w:val="1"/>
      <w:numFmt w:val="decimal"/>
      <w:pStyle w:val="S"/>
      <w:lvlText w:val="Таблица %1."/>
      <w:lvlJc w:val="left"/>
      <w:pPr>
        <w:tabs>
          <w:tab w:val="num" w:pos="8100"/>
        </w:tabs>
        <w:ind w:left="8100" w:hanging="360"/>
      </w:pPr>
      <w:rPr>
        <w:rFonts w:cs="Times New Roman"/>
        <w:b w:val="0"/>
        <w:bCs w:val="0"/>
        <w:i w:val="0"/>
        <w:iCs w:val="0"/>
        <w:caps w:val="0"/>
        <w:smallCaps w:val="0"/>
        <w:strike w:val="0"/>
        <w:dstrike w:val="0"/>
        <w:outline w:val="0"/>
        <w:shadow w:val="0"/>
        <w:emboss w:val="0"/>
        <w:imprint w:val="0"/>
        <w:vanish w:val="0"/>
        <w:spacing w:val="0"/>
        <w:kern w:val="0"/>
        <w:position w:val="0"/>
        <w:u w:val="none"/>
        <w:effect w:val="none"/>
        <w:vertAlign w:val="baseline"/>
      </w:rPr>
    </w:lvl>
    <w:lvl w:ilvl="1" w:tplc="04190019" w:tentative="1">
      <w:start w:val="1"/>
      <w:numFmt w:val="lowerLetter"/>
      <w:lvlText w:val="%2."/>
      <w:lvlJc w:val="left"/>
      <w:pPr>
        <w:tabs>
          <w:tab w:val="num" w:pos="8820"/>
        </w:tabs>
        <w:ind w:left="8820" w:hanging="360"/>
      </w:pPr>
      <w:rPr>
        <w:rFonts w:cs="Times New Roman"/>
      </w:rPr>
    </w:lvl>
    <w:lvl w:ilvl="2" w:tplc="0419001B" w:tentative="1">
      <w:start w:val="1"/>
      <w:numFmt w:val="lowerRoman"/>
      <w:lvlText w:val="%3."/>
      <w:lvlJc w:val="right"/>
      <w:pPr>
        <w:tabs>
          <w:tab w:val="num" w:pos="9540"/>
        </w:tabs>
        <w:ind w:left="9540" w:hanging="180"/>
      </w:pPr>
      <w:rPr>
        <w:rFonts w:cs="Times New Roman"/>
      </w:rPr>
    </w:lvl>
    <w:lvl w:ilvl="3" w:tplc="0419000F" w:tentative="1">
      <w:start w:val="1"/>
      <w:numFmt w:val="decimal"/>
      <w:lvlText w:val="%4."/>
      <w:lvlJc w:val="left"/>
      <w:pPr>
        <w:tabs>
          <w:tab w:val="num" w:pos="10260"/>
        </w:tabs>
        <w:ind w:left="10260" w:hanging="360"/>
      </w:pPr>
      <w:rPr>
        <w:rFonts w:cs="Times New Roman"/>
      </w:rPr>
    </w:lvl>
    <w:lvl w:ilvl="4" w:tplc="04190019" w:tentative="1">
      <w:start w:val="1"/>
      <w:numFmt w:val="lowerLetter"/>
      <w:lvlText w:val="%5."/>
      <w:lvlJc w:val="left"/>
      <w:pPr>
        <w:tabs>
          <w:tab w:val="num" w:pos="10980"/>
        </w:tabs>
        <w:ind w:left="10980" w:hanging="360"/>
      </w:pPr>
      <w:rPr>
        <w:rFonts w:cs="Times New Roman"/>
      </w:rPr>
    </w:lvl>
    <w:lvl w:ilvl="5" w:tplc="0419001B" w:tentative="1">
      <w:start w:val="1"/>
      <w:numFmt w:val="lowerRoman"/>
      <w:lvlText w:val="%6."/>
      <w:lvlJc w:val="right"/>
      <w:pPr>
        <w:tabs>
          <w:tab w:val="num" w:pos="11700"/>
        </w:tabs>
        <w:ind w:left="11700" w:hanging="180"/>
      </w:pPr>
      <w:rPr>
        <w:rFonts w:cs="Times New Roman"/>
      </w:rPr>
    </w:lvl>
    <w:lvl w:ilvl="6" w:tplc="0419000F" w:tentative="1">
      <w:start w:val="1"/>
      <w:numFmt w:val="decimal"/>
      <w:lvlText w:val="%7."/>
      <w:lvlJc w:val="left"/>
      <w:pPr>
        <w:tabs>
          <w:tab w:val="num" w:pos="12420"/>
        </w:tabs>
        <w:ind w:left="12420" w:hanging="360"/>
      </w:pPr>
      <w:rPr>
        <w:rFonts w:cs="Times New Roman"/>
      </w:rPr>
    </w:lvl>
    <w:lvl w:ilvl="7" w:tplc="04190019" w:tentative="1">
      <w:start w:val="1"/>
      <w:numFmt w:val="lowerLetter"/>
      <w:lvlText w:val="%8."/>
      <w:lvlJc w:val="left"/>
      <w:pPr>
        <w:tabs>
          <w:tab w:val="num" w:pos="13140"/>
        </w:tabs>
        <w:ind w:left="13140" w:hanging="360"/>
      </w:pPr>
      <w:rPr>
        <w:rFonts w:cs="Times New Roman"/>
      </w:rPr>
    </w:lvl>
    <w:lvl w:ilvl="8" w:tplc="0419001B" w:tentative="1">
      <w:start w:val="1"/>
      <w:numFmt w:val="lowerRoman"/>
      <w:lvlText w:val="%9."/>
      <w:lvlJc w:val="right"/>
      <w:pPr>
        <w:tabs>
          <w:tab w:val="num" w:pos="13860"/>
        </w:tabs>
        <w:ind w:left="13860" w:hanging="180"/>
      </w:pPr>
      <w:rPr>
        <w:rFonts w:cs="Times New Roman"/>
      </w:rPr>
    </w:lvl>
  </w:abstractNum>
  <w:abstractNum w:abstractNumId="114">
    <w:nsid w:val="444B4184"/>
    <w:multiLevelType w:val="hybridMultilevel"/>
    <w:tmpl w:val="60FC0762"/>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15">
    <w:nsid w:val="45260E4A"/>
    <w:multiLevelType w:val="hybridMultilevel"/>
    <w:tmpl w:val="CE22655E"/>
    <w:styleLink w:val="11111111115"/>
    <w:lvl w:ilvl="0" w:tplc="420A05C0">
      <w:numFmt w:val="bullet"/>
      <w:lvlText w:val="•"/>
      <w:lvlJc w:val="left"/>
      <w:pPr>
        <w:tabs>
          <w:tab w:val="num" w:pos="1429"/>
        </w:tabs>
        <w:ind w:left="1429" w:hanging="360"/>
      </w:pPr>
      <w:rPr>
        <w:rFonts w:ascii="Times New Roman" w:eastAsia="Times New Roman" w:hAnsi="Times New Roman" w:hint="default"/>
      </w:rPr>
    </w:lvl>
    <w:lvl w:ilvl="1" w:tplc="420A05C0">
      <w:numFmt w:val="bullet"/>
      <w:lvlText w:val="•"/>
      <w:lvlJc w:val="left"/>
      <w:pPr>
        <w:ind w:left="2149" w:hanging="360"/>
      </w:pPr>
      <w:rPr>
        <w:rFonts w:ascii="Times New Roman" w:eastAsia="Times New Roman" w:hAnsi="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16">
    <w:nsid w:val="480F2882"/>
    <w:multiLevelType w:val="hybridMultilevel"/>
    <w:tmpl w:val="96629FBE"/>
    <w:styleLink w:val="194"/>
    <w:lvl w:ilvl="0" w:tplc="443C11B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7">
    <w:nsid w:val="49643F15"/>
    <w:multiLevelType w:val="hybridMultilevel"/>
    <w:tmpl w:val="51220E92"/>
    <w:styleLink w:val="1ai301"/>
    <w:lvl w:ilvl="0" w:tplc="0419000F">
      <w:start w:val="1"/>
      <w:numFmt w:val="decimal"/>
      <w:lvlText w:val="%1."/>
      <w:lvlJc w:val="left"/>
      <w:pPr>
        <w:tabs>
          <w:tab w:val="num" w:pos="2448"/>
        </w:tabs>
        <w:ind w:left="2448" w:hanging="1368"/>
      </w:pPr>
      <w:rPr>
        <w:rFonts w:cs="Times New Roman" w:hint="default"/>
      </w:rPr>
    </w:lvl>
    <w:lvl w:ilvl="1" w:tplc="04190019" w:tentative="1">
      <w:start w:val="1"/>
      <w:numFmt w:val="lowerLetter"/>
      <w:lvlText w:val="%2."/>
      <w:lvlJc w:val="left"/>
      <w:pPr>
        <w:tabs>
          <w:tab w:val="num" w:pos="2160"/>
        </w:tabs>
        <w:ind w:left="2160" w:hanging="360"/>
      </w:pPr>
      <w:rPr>
        <w:rFonts w:cs="Times New Roman"/>
      </w:rPr>
    </w:lvl>
    <w:lvl w:ilvl="2" w:tplc="0419001B" w:tentative="1">
      <w:start w:val="1"/>
      <w:numFmt w:val="lowerRoman"/>
      <w:lvlText w:val="%3."/>
      <w:lvlJc w:val="right"/>
      <w:pPr>
        <w:tabs>
          <w:tab w:val="num" w:pos="2880"/>
        </w:tabs>
        <w:ind w:left="2880" w:hanging="180"/>
      </w:pPr>
      <w:rPr>
        <w:rFonts w:cs="Times New Roman"/>
      </w:rPr>
    </w:lvl>
    <w:lvl w:ilvl="3" w:tplc="0419000F" w:tentative="1">
      <w:start w:val="1"/>
      <w:numFmt w:val="decimal"/>
      <w:lvlText w:val="%4."/>
      <w:lvlJc w:val="left"/>
      <w:pPr>
        <w:tabs>
          <w:tab w:val="num" w:pos="3600"/>
        </w:tabs>
        <w:ind w:left="3600" w:hanging="360"/>
      </w:pPr>
      <w:rPr>
        <w:rFonts w:cs="Times New Roman"/>
      </w:rPr>
    </w:lvl>
    <w:lvl w:ilvl="4" w:tplc="04190019" w:tentative="1">
      <w:start w:val="1"/>
      <w:numFmt w:val="lowerLetter"/>
      <w:lvlText w:val="%5."/>
      <w:lvlJc w:val="left"/>
      <w:pPr>
        <w:tabs>
          <w:tab w:val="num" w:pos="4320"/>
        </w:tabs>
        <w:ind w:left="4320" w:hanging="360"/>
      </w:pPr>
      <w:rPr>
        <w:rFonts w:cs="Times New Roman"/>
      </w:rPr>
    </w:lvl>
    <w:lvl w:ilvl="5" w:tplc="0419001B" w:tentative="1">
      <w:start w:val="1"/>
      <w:numFmt w:val="lowerRoman"/>
      <w:lvlText w:val="%6."/>
      <w:lvlJc w:val="right"/>
      <w:pPr>
        <w:tabs>
          <w:tab w:val="num" w:pos="5040"/>
        </w:tabs>
        <w:ind w:left="5040" w:hanging="180"/>
      </w:pPr>
      <w:rPr>
        <w:rFonts w:cs="Times New Roman"/>
      </w:rPr>
    </w:lvl>
    <w:lvl w:ilvl="6" w:tplc="0419000F" w:tentative="1">
      <w:start w:val="1"/>
      <w:numFmt w:val="decimal"/>
      <w:lvlText w:val="%7."/>
      <w:lvlJc w:val="left"/>
      <w:pPr>
        <w:tabs>
          <w:tab w:val="num" w:pos="5760"/>
        </w:tabs>
        <w:ind w:left="5760" w:hanging="360"/>
      </w:pPr>
      <w:rPr>
        <w:rFonts w:cs="Times New Roman"/>
      </w:rPr>
    </w:lvl>
    <w:lvl w:ilvl="7" w:tplc="04190019" w:tentative="1">
      <w:start w:val="1"/>
      <w:numFmt w:val="lowerLetter"/>
      <w:lvlText w:val="%8."/>
      <w:lvlJc w:val="left"/>
      <w:pPr>
        <w:tabs>
          <w:tab w:val="num" w:pos="6480"/>
        </w:tabs>
        <w:ind w:left="6480" w:hanging="360"/>
      </w:pPr>
      <w:rPr>
        <w:rFonts w:cs="Times New Roman"/>
      </w:rPr>
    </w:lvl>
    <w:lvl w:ilvl="8" w:tplc="0419001B" w:tentative="1">
      <w:start w:val="1"/>
      <w:numFmt w:val="lowerRoman"/>
      <w:lvlText w:val="%9."/>
      <w:lvlJc w:val="right"/>
      <w:pPr>
        <w:tabs>
          <w:tab w:val="num" w:pos="7200"/>
        </w:tabs>
        <w:ind w:left="7200" w:hanging="180"/>
      </w:pPr>
      <w:rPr>
        <w:rFonts w:cs="Times New Roman"/>
      </w:rPr>
    </w:lvl>
  </w:abstractNum>
  <w:abstractNum w:abstractNumId="118">
    <w:nsid w:val="4BDF68B4"/>
    <w:multiLevelType w:val="multilevel"/>
    <w:tmpl w:val="0419001F"/>
    <w:styleLink w:val="11111121814"/>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19">
    <w:nsid w:val="58DC36CA"/>
    <w:multiLevelType w:val="hybridMultilevel"/>
    <w:tmpl w:val="66263BBA"/>
    <w:lvl w:ilvl="0" w:tplc="3B86F01E">
      <w:start w:val="1"/>
      <w:numFmt w:val="decimal"/>
      <w:lvlText w:val="%1)"/>
      <w:lvlJc w:val="left"/>
      <w:pPr>
        <w:ind w:left="1117" w:hanging="408"/>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20">
    <w:nsid w:val="59E60585"/>
    <w:multiLevelType w:val="hybridMultilevel"/>
    <w:tmpl w:val="E78C7934"/>
    <w:styleLink w:val="11111111814"/>
    <w:lvl w:ilvl="0" w:tplc="E52EAA70">
      <w:start w:val="1"/>
      <w:numFmt w:val="bullet"/>
      <w:lvlText w:val=""/>
      <w:lvlJc w:val="left"/>
      <w:pPr>
        <w:tabs>
          <w:tab w:val="num" w:pos="3346"/>
        </w:tabs>
        <w:ind w:left="3346" w:hanging="360"/>
      </w:pPr>
      <w:rPr>
        <w:rFonts w:ascii="Symbol" w:hAnsi="Symbol" w:hint="default"/>
        <w:color w:val="auto"/>
      </w:rPr>
    </w:lvl>
    <w:lvl w:ilvl="1" w:tplc="04190003">
      <w:start w:val="1"/>
      <w:numFmt w:val="bullet"/>
      <w:pStyle w:val="1"/>
      <w:lvlText w:val=""/>
      <w:lvlJc w:val="left"/>
      <w:pPr>
        <w:tabs>
          <w:tab w:val="num" w:pos="2149"/>
        </w:tabs>
        <w:ind w:left="2149" w:hanging="360"/>
      </w:pPr>
      <w:rPr>
        <w:rFonts w:ascii="Symbol" w:hAnsi="Symbol" w:hint="default"/>
        <w:color w:val="auto"/>
      </w:rPr>
    </w:lvl>
    <w:lvl w:ilvl="2" w:tplc="04190005">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21">
    <w:nsid w:val="5AAF2C29"/>
    <w:multiLevelType w:val="hybridMultilevel"/>
    <w:tmpl w:val="90B88C14"/>
    <w:styleLink w:val="111111117312"/>
    <w:lvl w:ilvl="0" w:tplc="0419000F">
      <w:start w:val="1"/>
      <w:numFmt w:val="decimal"/>
      <w:lvlText w:val="%1."/>
      <w:lvlJc w:val="left"/>
      <w:pPr>
        <w:ind w:left="360" w:hanging="360"/>
      </w:pPr>
      <w:rPr>
        <w:rFonts w:cs="Times New Roman"/>
      </w:rPr>
    </w:lvl>
    <w:lvl w:ilvl="1" w:tplc="04190019">
      <w:start w:val="1"/>
      <w:numFmt w:val="lowerLetter"/>
      <w:lvlText w:val="%2."/>
      <w:lvlJc w:val="left"/>
      <w:pPr>
        <w:ind w:left="1080" w:hanging="360"/>
      </w:pPr>
      <w:rPr>
        <w:rFonts w:cs="Times New Roman"/>
      </w:rPr>
    </w:lvl>
    <w:lvl w:ilvl="2" w:tplc="0419001B">
      <w:start w:val="1"/>
      <w:numFmt w:val="lowerRoman"/>
      <w:lvlText w:val="%3."/>
      <w:lvlJc w:val="right"/>
      <w:pPr>
        <w:ind w:left="1800" w:hanging="180"/>
      </w:pPr>
      <w:rPr>
        <w:rFonts w:cs="Times New Roman"/>
      </w:rPr>
    </w:lvl>
    <w:lvl w:ilvl="3" w:tplc="0419000F">
      <w:start w:val="1"/>
      <w:numFmt w:val="decimal"/>
      <w:lvlText w:val="%4."/>
      <w:lvlJc w:val="left"/>
      <w:pPr>
        <w:ind w:left="2520" w:hanging="360"/>
      </w:pPr>
      <w:rPr>
        <w:rFonts w:cs="Times New Roman"/>
      </w:rPr>
    </w:lvl>
    <w:lvl w:ilvl="4" w:tplc="04190019">
      <w:start w:val="1"/>
      <w:numFmt w:val="lowerLetter"/>
      <w:lvlText w:val="%5."/>
      <w:lvlJc w:val="left"/>
      <w:pPr>
        <w:ind w:left="3240" w:hanging="360"/>
      </w:pPr>
      <w:rPr>
        <w:rFonts w:cs="Times New Roman"/>
      </w:rPr>
    </w:lvl>
    <w:lvl w:ilvl="5" w:tplc="0419001B">
      <w:start w:val="1"/>
      <w:numFmt w:val="lowerRoman"/>
      <w:lvlText w:val="%6."/>
      <w:lvlJc w:val="right"/>
      <w:pPr>
        <w:ind w:left="3960" w:hanging="180"/>
      </w:pPr>
      <w:rPr>
        <w:rFonts w:cs="Times New Roman"/>
      </w:rPr>
    </w:lvl>
    <w:lvl w:ilvl="6" w:tplc="0419000F">
      <w:start w:val="1"/>
      <w:numFmt w:val="decimal"/>
      <w:lvlText w:val="%7."/>
      <w:lvlJc w:val="left"/>
      <w:pPr>
        <w:ind w:left="4680" w:hanging="360"/>
      </w:pPr>
      <w:rPr>
        <w:rFonts w:cs="Times New Roman"/>
      </w:rPr>
    </w:lvl>
    <w:lvl w:ilvl="7" w:tplc="04190019">
      <w:start w:val="1"/>
      <w:numFmt w:val="lowerLetter"/>
      <w:lvlText w:val="%8."/>
      <w:lvlJc w:val="left"/>
      <w:pPr>
        <w:ind w:left="5400" w:hanging="360"/>
      </w:pPr>
      <w:rPr>
        <w:rFonts w:cs="Times New Roman"/>
      </w:rPr>
    </w:lvl>
    <w:lvl w:ilvl="8" w:tplc="0419001B">
      <w:start w:val="1"/>
      <w:numFmt w:val="lowerRoman"/>
      <w:lvlText w:val="%9."/>
      <w:lvlJc w:val="right"/>
      <w:pPr>
        <w:ind w:left="6120" w:hanging="180"/>
      </w:pPr>
      <w:rPr>
        <w:rFonts w:cs="Times New Roman"/>
      </w:rPr>
    </w:lvl>
  </w:abstractNum>
  <w:abstractNum w:abstractNumId="122">
    <w:nsid w:val="5B0D5CC3"/>
    <w:multiLevelType w:val="hybridMultilevel"/>
    <w:tmpl w:val="D7D0E8D0"/>
    <w:name w:val="Нумерованный список 46"/>
    <w:lvl w:ilvl="0" w:tplc="FFFFFFFF">
      <w:start w:val="1"/>
      <w:numFmt w:val="decimal"/>
      <w:lvlText w:val="%1."/>
      <w:lvlJc w:val="left"/>
      <w:pPr>
        <w:ind w:left="720" w:hanging="360"/>
      </w:pPr>
      <w:rPr>
        <w:rFonts w:cs="Times New Roman" w:hint="default"/>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23">
    <w:nsid w:val="5D321F78"/>
    <w:multiLevelType w:val="hybridMultilevel"/>
    <w:tmpl w:val="96B4FA00"/>
    <w:lvl w:ilvl="0" w:tplc="70F0183C">
      <w:start w:val="1"/>
      <w:numFmt w:val="decimal"/>
      <w:lvlText w:val="%1."/>
      <w:lvlJc w:val="left"/>
      <w:pPr>
        <w:ind w:left="2007"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4">
    <w:nsid w:val="5EB05A5A"/>
    <w:multiLevelType w:val="multilevel"/>
    <w:tmpl w:val="04190023"/>
    <w:styleLink w:val="3814"/>
    <w:lvl w:ilvl="0">
      <w:start w:val="1"/>
      <w:numFmt w:val="upperRoman"/>
      <w:lvlText w:val="Статья %1."/>
      <w:lvlJc w:val="left"/>
      <w:pPr>
        <w:tabs>
          <w:tab w:val="num" w:pos="1440"/>
        </w:tabs>
      </w:pPr>
      <w:rPr>
        <w:rFonts w:cs="Times New Roman"/>
      </w:rPr>
    </w:lvl>
    <w:lvl w:ilvl="1">
      <w:start w:val="1"/>
      <w:numFmt w:val="decimalZero"/>
      <w:isLgl/>
      <w:lvlText w:val="Раздел %1.%2"/>
      <w:lvlJc w:val="left"/>
      <w:pPr>
        <w:tabs>
          <w:tab w:val="num" w:pos="144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125">
    <w:nsid w:val="61026530"/>
    <w:multiLevelType w:val="hybridMultilevel"/>
    <w:tmpl w:val="4E743EA8"/>
    <w:styleLink w:val="294"/>
    <w:lvl w:ilvl="0" w:tplc="04190005">
      <w:numFmt w:val="bullet"/>
      <w:pStyle w:val="a1"/>
      <w:lvlText w:val=""/>
      <w:lvlJc w:val="left"/>
      <w:pPr>
        <w:tabs>
          <w:tab w:val="num" w:pos="1080"/>
        </w:tabs>
        <w:ind w:left="1077" w:hanging="357"/>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26">
    <w:nsid w:val="61DB5CB2"/>
    <w:multiLevelType w:val="hybridMultilevel"/>
    <w:tmpl w:val="5B60D03E"/>
    <w:lvl w:ilvl="0" w:tplc="1BECAD5E">
      <w:start w:val="1"/>
      <w:numFmt w:val="decimal"/>
      <w:lvlText w:val="%1."/>
      <w:lvlJc w:val="left"/>
      <w:pPr>
        <w:ind w:left="1417" w:hanging="708"/>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27">
    <w:nsid w:val="62A4684C"/>
    <w:multiLevelType w:val="hybridMultilevel"/>
    <w:tmpl w:val="F09635CE"/>
    <w:styleLink w:val="1ai117"/>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28">
    <w:nsid w:val="642D6A0D"/>
    <w:multiLevelType w:val="hybridMultilevel"/>
    <w:tmpl w:val="9B9E6F4C"/>
    <w:lvl w:ilvl="0" w:tplc="34F024B0">
      <w:start w:val="1"/>
      <w:numFmt w:val="bullet"/>
      <w:lvlText w:val="–"/>
      <w:lvlJc w:val="left"/>
      <w:pPr>
        <w:ind w:left="720" w:hanging="360"/>
      </w:pPr>
      <w:rPr>
        <w:rFonts w:ascii="Cambria" w:hAnsi="Cambria"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9">
    <w:nsid w:val="69BD4492"/>
    <w:multiLevelType w:val="hybridMultilevel"/>
    <w:tmpl w:val="D826A77A"/>
    <w:styleLink w:val="111111194"/>
    <w:lvl w:ilvl="0" w:tplc="A2345220">
      <w:start w:val="1"/>
      <w:numFmt w:val="decimal"/>
      <w:lvlText w:val="%1."/>
      <w:lvlJc w:val="left"/>
      <w:pPr>
        <w:tabs>
          <w:tab w:val="num" w:pos="720"/>
        </w:tabs>
        <w:ind w:left="720" w:hanging="360"/>
      </w:pPr>
      <w:rPr>
        <w:rFonts w:cs="Times New Roman"/>
        <w:sz w:val="22"/>
        <w:szCs w:val="22"/>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30">
    <w:nsid w:val="6B002FD2"/>
    <w:multiLevelType w:val="hybridMultilevel"/>
    <w:tmpl w:val="AC2EDB06"/>
    <w:styleLink w:val="1ai1175"/>
    <w:lvl w:ilvl="0" w:tplc="04190001">
      <w:start w:val="1"/>
      <w:numFmt w:val="bullet"/>
      <w:lvlText w:val=""/>
      <w:lvlJc w:val="left"/>
      <w:pPr>
        <w:tabs>
          <w:tab w:val="num" w:pos="1800"/>
        </w:tabs>
        <w:ind w:left="1800" w:hanging="360"/>
      </w:pPr>
      <w:rPr>
        <w:rFonts w:ascii="Symbol" w:hAnsi="Symbol"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31">
    <w:nsid w:val="6CAB2DB0"/>
    <w:multiLevelType w:val="hybridMultilevel"/>
    <w:tmpl w:val="1F14BE2C"/>
    <w:styleLink w:val="1ai11028"/>
    <w:lvl w:ilvl="0" w:tplc="DD3E36AA">
      <w:numFmt w:val="bullet"/>
      <w:lvlText w:val=""/>
      <w:lvlJc w:val="left"/>
      <w:pPr>
        <w:tabs>
          <w:tab w:val="num" w:pos="1429"/>
        </w:tabs>
        <w:ind w:left="1429" w:hanging="360"/>
      </w:pPr>
      <w:rPr>
        <w:rFonts w:ascii="Symbol" w:hAnsi="Symbol" w:hint="default"/>
      </w:rPr>
    </w:lvl>
    <w:lvl w:ilvl="1" w:tplc="420A05C0">
      <w:numFmt w:val="bullet"/>
      <w:lvlText w:val="•"/>
      <w:lvlJc w:val="left"/>
      <w:pPr>
        <w:ind w:left="2149" w:hanging="360"/>
      </w:pPr>
      <w:rPr>
        <w:rFonts w:ascii="Times New Roman" w:eastAsia="Times New Roman" w:hAnsi="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32">
    <w:nsid w:val="6E225D37"/>
    <w:multiLevelType w:val="hybridMultilevel"/>
    <w:tmpl w:val="BDC0EFE2"/>
    <w:styleLink w:val="1ai2175"/>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33">
    <w:nsid w:val="6E23070A"/>
    <w:multiLevelType w:val="hybridMultilevel"/>
    <w:tmpl w:val="E4845118"/>
    <w:styleLink w:val="11111111731"/>
    <w:lvl w:ilvl="0" w:tplc="0419000F">
      <w:start w:val="1"/>
      <w:numFmt w:val="decimal"/>
      <w:lvlText w:val="%1."/>
      <w:lvlJc w:val="left"/>
      <w:pPr>
        <w:ind w:left="360" w:hanging="360"/>
      </w:pPr>
      <w:rPr>
        <w:rFonts w:cs="Times New Roman"/>
      </w:rPr>
    </w:lvl>
    <w:lvl w:ilvl="1" w:tplc="04190019">
      <w:start w:val="1"/>
      <w:numFmt w:val="lowerLetter"/>
      <w:lvlText w:val="%2."/>
      <w:lvlJc w:val="left"/>
      <w:pPr>
        <w:ind w:left="1080" w:hanging="360"/>
      </w:pPr>
      <w:rPr>
        <w:rFonts w:cs="Times New Roman"/>
      </w:rPr>
    </w:lvl>
    <w:lvl w:ilvl="2" w:tplc="0419001B">
      <w:start w:val="1"/>
      <w:numFmt w:val="lowerRoman"/>
      <w:lvlText w:val="%3."/>
      <w:lvlJc w:val="right"/>
      <w:pPr>
        <w:ind w:left="1800" w:hanging="180"/>
      </w:pPr>
      <w:rPr>
        <w:rFonts w:cs="Times New Roman"/>
      </w:rPr>
    </w:lvl>
    <w:lvl w:ilvl="3" w:tplc="0419000F">
      <w:start w:val="1"/>
      <w:numFmt w:val="decimal"/>
      <w:lvlText w:val="%4."/>
      <w:lvlJc w:val="left"/>
      <w:pPr>
        <w:ind w:left="2520" w:hanging="360"/>
      </w:pPr>
      <w:rPr>
        <w:rFonts w:cs="Times New Roman"/>
      </w:rPr>
    </w:lvl>
    <w:lvl w:ilvl="4" w:tplc="04190019">
      <w:start w:val="1"/>
      <w:numFmt w:val="lowerLetter"/>
      <w:lvlText w:val="%5."/>
      <w:lvlJc w:val="left"/>
      <w:pPr>
        <w:ind w:left="3240" w:hanging="360"/>
      </w:pPr>
      <w:rPr>
        <w:rFonts w:cs="Times New Roman"/>
      </w:rPr>
    </w:lvl>
    <w:lvl w:ilvl="5" w:tplc="0419001B">
      <w:start w:val="1"/>
      <w:numFmt w:val="lowerRoman"/>
      <w:lvlText w:val="%6."/>
      <w:lvlJc w:val="right"/>
      <w:pPr>
        <w:ind w:left="3960" w:hanging="180"/>
      </w:pPr>
      <w:rPr>
        <w:rFonts w:cs="Times New Roman"/>
      </w:rPr>
    </w:lvl>
    <w:lvl w:ilvl="6" w:tplc="0419000F">
      <w:start w:val="1"/>
      <w:numFmt w:val="decimal"/>
      <w:lvlText w:val="%7."/>
      <w:lvlJc w:val="left"/>
      <w:pPr>
        <w:ind w:left="4680" w:hanging="360"/>
      </w:pPr>
      <w:rPr>
        <w:rFonts w:cs="Times New Roman"/>
      </w:rPr>
    </w:lvl>
    <w:lvl w:ilvl="7" w:tplc="04190019">
      <w:start w:val="1"/>
      <w:numFmt w:val="lowerLetter"/>
      <w:lvlText w:val="%8."/>
      <w:lvlJc w:val="left"/>
      <w:pPr>
        <w:ind w:left="5400" w:hanging="360"/>
      </w:pPr>
      <w:rPr>
        <w:rFonts w:cs="Times New Roman"/>
      </w:rPr>
    </w:lvl>
    <w:lvl w:ilvl="8" w:tplc="0419001B">
      <w:start w:val="1"/>
      <w:numFmt w:val="lowerRoman"/>
      <w:lvlText w:val="%9."/>
      <w:lvlJc w:val="right"/>
      <w:pPr>
        <w:ind w:left="6120" w:hanging="180"/>
      </w:pPr>
      <w:rPr>
        <w:rFonts w:cs="Times New Roman"/>
      </w:rPr>
    </w:lvl>
  </w:abstractNum>
  <w:abstractNum w:abstractNumId="134">
    <w:nsid w:val="70CC008F"/>
    <w:multiLevelType w:val="multilevel"/>
    <w:tmpl w:val="D3A4E860"/>
    <w:lvl w:ilvl="0">
      <w:start w:val="1"/>
      <w:numFmt w:val="decimal"/>
      <w:pStyle w:val="a2"/>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135">
    <w:nsid w:val="72A45FD2"/>
    <w:multiLevelType w:val="hybridMultilevel"/>
    <w:tmpl w:val="DCBE020A"/>
    <w:lvl w:ilvl="0" w:tplc="34F024B0">
      <w:start w:val="1"/>
      <w:numFmt w:val="bullet"/>
      <w:lvlText w:val="–"/>
      <w:lvlJc w:val="left"/>
      <w:pPr>
        <w:ind w:left="720" w:hanging="360"/>
      </w:pPr>
      <w:rPr>
        <w:rFonts w:ascii="Cambria" w:hAnsi="Cambria" w:hint="default"/>
      </w:rPr>
    </w:lvl>
    <w:lvl w:ilvl="1" w:tplc="73283D82">
      <w:numFmt w:val="bullet"/>
      <w:lvlText w:val="•"/>
      <w:lvlJc w:val="left"/>
      <w:pPr>
        <w:ind w:left="1440" w:hanging="360"/>
      </w:pPr>
      <w:rPr>
        <w:rFonts w:ascii="Times New Roman" w:hAnsi="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6">
    <w:nsid w:val="789B166E"/>
    <w:multiLevelType w:val="hybridMultilevel"/>
    <w:tmpl w:val="7AB27C62"/>
    <w:lvl w:ilvl="0" w:tplc="04190011">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137">
    <w:nsid w:val="7AAE326C"/>
    <w:multiLevelType w:val="hybridMultilevel"/>
    <w:tmpl w:val="D64E2F66"/>
    <w:lvl w:ilvl="0" w:tplc="3AF08E46">
      <w:start w:val="1"/>
      <w:numFmt w:val="decimal"/>
      <w:pStyle w:val="S0"/>
      <w:lvlText w:val="Рисунок %1"/>
      <w:lvlJc w:val="left"/>
      <w:pPr>
        <w:ind w:left="360" w:hanging="360"/>
      </w:pPr>
      <w:rPr>
        <w:rFonts w:cs="Times New Roman" w:hint="default"/>
      </w:rPr>
    </w:lvl>
    <w:lvl w:ilvl="1" w:tplc="92B01560" w:tentative="1">
      <w:start w:val="1"/>
      <w:numFmt w:val="bullet"/>
      <w:lvlText w:val="o"/>
      <w:lvlJc w:val="left"/>
      <w:pPr>
        <w:ind w:left="1789" w:hanging="360"/>
      </w:pPr>
      <w:rPr>
        <w:rFonts w:ascii="Courier New" w:hAnsi="Courier New" w:hint="default"/>
      </w:rPr>
    </w:lvl>
    <w:lvl w:ilvl="2" w:tplc="4D66A470" w:tentative="1">
      <w:start w:val="1"/>
      <w:numFmt w:val="bullet"/>
      <w:lvlText w:val=""/>
      <w:lvlJc w:val="left"/>
      <w:pPr>
        <w:ind w:left="2509" w:hanging="360"/>
      </w:pPr>
      <w:rPr>
        <w:rFonts w:ascii="Wingdings" w:hAnsi="Wingdings" w:hint="default"/>
      </w:rPr>
    </w:lvl>
    <w:lvl w:ilvl="3" w:tplc="E2BE4F34" w:tentative="1">
      <w:start w:val="1"/>
      <w:numFmt w:val="bullet"/>
      <w:lvlText w:val=""/>
      <w:lvlJc w:val="left"/>
      <w:pPr>
        <w:ind w:left="3229" w:hanging="360"/>
      </w:pPr>
      <w:rPr>
        <w:rFonts w:ascii="Symbol" w:hAnsi="Symbol" w:hint="default"/>
      </w:rPr>
    </w:lvl>
    <w:lvl w:ilvl="4" w:tplc="EE56FA42" w:tentative="1">
      <w:start w:val="1"/>
      <w:numFmt w:val="bullet"/>
      <w:lvlText w:val="o"/>
      <w:lvlJc w:val="left"/>
      <w:pPr>
        <w:ind w:left="3949" w:hanging="360"/>
      </w:pPr>
      <w:rPr>
        <w:rFonts w:ascii="Courier New" w:hAnsi="Courier New" w:hint="default"/>
      </w:rPr>
    </w:lvl>
    <w:lvl w:ilvl="5" w:tplc="4A087B36" w:tentative="1">
      <w:start w:val="1"/>
      <w:numFmt w:val="bullet"/>
      <w:lvlText w:val=""/>
      <w:lvlJc w:val="left"/>
      <w:pPr>
        <w:ind w:left="4669" w:hanging="360"/>
      </w:pPr>
      <w:rPr>
        <w:rFonts w:ascii="Wingdings" w:hAnsi="Wingdings" w:hint="default"/>
      </w:rPr>
    </w:lvl>
    <w:lvl w:ilvl="6" w:tplc="5978DDC8" w:tentative="1">
      <w:start w:val="1"/>
      <w:numFmt w:val="bullet"/>
      <w:lvlText w:val=""/>
      <w:lvlJc w:val="left"/>
      <w:pPr>
        <w:ind w:left="5389" w:hanging="360"/>
      </w:pPr>
      <w:rPr>
        <w:rFonts w:ascii="Symbol" w:hAnsi="Symbol" w:hint="default"/>
      </w:rPr>
    </w:lvl>
    <w:lvl w:ilvl="7" w:tplc="D898E982" w:tentative="1">
      <w:start w:val="1"/>
      <w:numFmt w:val="bullet"/>
      <w:lvlText w:val="o"/>
      <w:lvlJc w:val="left"/>
      <w:pPr>
        <w:ind w:left="6109" w:hanging="360"/>
      </w:pPr>
      <w:rPr>
        <w:rFonts w:ascii="Courier New" w:hAnsi="Courier New" w:hint="default"/>
      </w:rPr>
    </w:lvl>
    <w:lvl w:ilvl="8" w:tplc="D5D60828" w:tentative="1">
      <w:start w:val="1"/>
      <w:numFmt w:val="bullet"/>
      <w:lvlText w:val=""/>
      <w:lvlJc w:val="left"/>
      <w:pPr>
        <w:ind w:left="6829" w:hanging="360"/>
      </w:pPr>
      <w:rPr>
        <w:rFonts w:ascii="Wingdings" w:hAnsi="Wingdings" w:hint="default"/>
      </w:rPr>
    </w:lvl>
  </w:abstractNum>
  <w:abstractNum w:abstractNumId="138">
    <w:nsid w:val="7B9556C6"/>
    <w:multiLevelType w:val="hybridMultilevel"/>
    <w:tmpl w:val="9692DB2E"/>
    <w:lvl w:ilvl="0" w:tplc="C28E7724">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39">
    <w:nsid w:val="7BE97C43"/>
    <w:multiLevelType w:val="hybridMultilevel"/>
    <w:tmpl w:val="A1443130"/>
    <w:lvl w:ilvl="0" w:tplc="C28E7724">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40">
    <w:nsid w:val="7E596963"/>
    <w:multiLevelType w:val="hybridMultilevel"/>
    <w:tmpl w:val="D9342C9C"/>
    <w:lvl w:ilvl="0" w:tplc="C28E7724">
      <w:start w:val="1"/>
      <w:numFmt w:val="decimal"/>
      <w:lvlText w:val="%1)"/>
      <w:lvlJc w:val="left"/>
      <w:pPr>
        <w:ind w:left="1069" w:hanging="360"/>
      </w:pPr>
      <w:rPr>
        <w:rFonts w:cs="Times New Roman" w:hint="default"/>
      </w:rPr>
    </w:lvl>
    <w:lvl w:ilvl="1" w:tplc="EB64053C">
      <w:start w:val="1"/>
      <w:numFmt w:val="decimal"/>
      <w:lvlText w:val="%2."/>
      <w:lvlJc w:val="left"/>
      <w:pPr>
        <w:ind w:left="1789" w:hanging="360"/>
      </w:pPr>
      <w:rPr>
        <w:rFonts w:cs="Times New Roman" w:hint="default"/>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41">
    <w:nsid w:val="7E8A56CA"/>
    <w:multiLevelType w:val="hybridMultilevel"/>
    <w:tmpl w:val="96B4FA00"/>
    <w:lvl w:ilvl="0" w:tplc="70F0183C">
      <w:start w:val="1"/>
      <w:numFmt w:val="decimal"/>
      <w:lvlText w:val="%1."/>
      <w:lvlJc w:val="left"/>
      <w:pPr>
        <w:ind w:left="2007"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42">
    <w:nsid w:val="7EA9613B"/>
    <w:multiLevelType w:val="multilevel"/>
    <w:tmpl w:val="CB644FAA"/>
    <w:styleLink w:val="11111111111"/>
    <w:lvl w:ilvl="0">
      <w:start w:val="1"/>
      <w:numFmt w:val="decimal"/>
      <w:lvlText w:val="%1."/>
      <w:lvlJc w:val="left"/>
      <w:pPr>
        <w:ind w:left="450" w:hanging="450"/>
      </w:pPr>
      <w:rPr>
        <w:rFonts w:cs="Times New Roman" w:hint="default"/>
      </w:rPr>
    </w:lvl>
    <w:lvl w:ilvl="1">
      <w:start w:val="1"/>
      <w:numFmt w:val="decimal"/>
      <w:lvlText w:val="%1.%2."/>
      <w:lvlJc w:val="left"/>
      <w:pPr>
        <w:ind w:left="1080" w:hanging="720"/>
      </w:pPr>
      <w:rPr>
        <w:rFonts w:cs="Times New Roman" w:hint="default"/>
      </w:rPr>
    </w:lvl>
    <w:lvl w:ilvl="2">
      <w:start w:val="1"/>
      <w:numFmt w:val="decimal"/>
      <w:lvlText w:val="%1.%2.%3."/>
      <w:lvlJc w:val="left"/>
      <w:pPr>
        <w:ind w:left="1440" w:hanging="720"/>
      </w:pPr>
      <w:rPr>
        <w:rFonts w:cs="Times New Roman" w:hint="default"/>
      </w:rPr>
    </w:lvl>
    <w:lvl w:ilvl="3">
      <w:start w:val="1"/>
      <w:numFmt w:val="decimal"/>
      <w:lvlText w:val="%1.%2.%3.%4."/>
      <w:lvlJc w:val="left"/>
      <w:pPr>
        <w:ind w:left="2160" w:hanging="1080"/>
      </w:pPr>
      <w:rPr>
        <w:rFonts w:cs="Times New Roman" w:hint="default"/>
      </w:rPr>
    </w:lvl>
    <w:lvl w:ilvl="4">
      <w:start w:val="1"/>
      <w:numFmt w:val="decimal"/>
      <w:lvlText w:val="%1.%2.%3.%4.%5."/>
      <w:lvlJc w:val="left"/>
      <w:pPr>
        <w:ind w:left="2520" w:hanging="1080"/>
      </w:pPr>
      <w:rPr>
        <w:rFonts w:cs="Times New Roman" w:hint="default"/>
      </w:rPr>
    </w:lvl>
    <w:lvl w:ilvl="5">
      <w:start w:val="1"/>
      <w:numFmt w:val="decimal"/>
      <w:lvlText w:val="%1.%2.%3.%4.%5.%6."/>
      <w:lvlJc w:val="left"/>
      <w:pPr>
        <w:ind w:left="3240" w:hanging="1440"/>
      </w:pPr>
      <w:rPr>
        <w:rFonts w:cs="Times New Roman" w:hint="default"/>
      </w:rPr>
    </w:lvl>
    <w:lvl w:ilvl="6">
      <w:start w:val="1"/>
      <w:numFmt w:val="decimal"/>
      <w:lvlText w:val="%1.%2.%3.%4.%5.%6.%7."/>
      <w:lvlJc w:val="left"/>
      <w:pPr>
        <w:ind w:left="3960" w:hanging="1800"/>
      </w:pPr>
      <w:rPr>
        <w:rFonts w:cs="Times New Roman" w:hint="default"/>
      </w:rPr>
    </w:lvl>
    <w:lvl w:ilvl="7">
      <w:start w:val="1"/>
      <w:numFmt w:val="decimal"/>
      <w:lvlText w:val="%1.%2.%3.%4.%5.%6.%7.%8."/>
      <w:lvlJc w:val="left"/>
      <w:pPr>
        <w:ind w:left="4320" w:hanging="1800"/>
      </w:pPr>
      <w:rPr>
        <w:rFonts w:cs="Times New Roman" w:hint="default"/>
      </w:rPr>
    </w:lvl>
    <w:lvl w:ilvl="8">
      <w:start w:val="1"/>
      <w:numFmt w:val="decimal"/>
      <w:lvlText w:val="%1.%2.%3.%4.%5.%6.%7.%8.%9."/>
      <w:lvlJc w:val="left"/>
      <w:pPr>
        <w:ind w:left="5040" w:hanging="2160"/>
      </w:pPr>
      <w:rPr>
        <w:rFonts w:cs="Times New Roman" w:hint="default"/>
      </w:rPr>
    </w:lvl>
  </w:abstractNum>
  <w:abstractNum w:abstractNumId="143">
    <w:nsid w:val="7EED2FD4"/>
    <w:multiLevelType w:val="hybridMultilevel"/>
    <w:tmpl w:val="2AC8BCBA"/>
    <w:lvl w:ilvl="0" w:tplc="C352CE9E">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93"/>
  </w:num>
  <w:num w:numId="12">
    <w:abstractNumId w:val="105"/>
  </w:num>
  <w:num w:numId="13">
    <w:abstractNumId w:val="120"/>
  </w:num>
  <w:num w:numId="14">
    <w:abstractNumId w:val="118"/>
  </w:num>
  <w:num w:numId="15">
    <w:abstractNumId w:val="66"/>
  </w:num>
  <w:num w:numId="16">
    <w:abstractNumId w:val="85"/>
  </w:num>
  <w:num w:numId="17">
    <w:abstractNumId w:val="111"/>
  </w:num>
  <w:num w:numId="18">
    <w:abstractNumId w:val="106"/>
  </w:num>
  <w:num w:numId="19">
    <w:abstractNumId w:val="113"/>
  </w:num>
  <w:num w:numId="20">
    <w:abstractNumId w:val="71"/>
  </w:num>
  <w:num w:numId="21">
    <w:abstractNumId w:val="94"/>
  </w:num>
  <w:num w:numId="22">
    <w:abstractNumId w:val="124"/>
  </w:num>
  <w:num w:numId="23">
    <w:abstractNumId w:val="125"/>
  </w:num>
  <w:num w:numId="24">
    <w:abstractNumId w:val="131"/>
  </w:num>
  <w:num w:numId="25">
    <w:abstractNumId w:val="63"/>
  </w:num>
  <w:num w:numId="26">
    <w:abstractNumId w:val="129"/>
  </w:num>
  <w:num w:numId="27">
    <w:abstractNumId w:val="103"/>
  </w:num>
  <w:num w:numId="28">
    <w:abstractNumId w:val="116"/>
  </w:num>
  <w:num w:numId="29">
    <w:abstractNumId w:val="136"/>
  </w:num>
  <w:num w:numId="30">
    <w:abstractNumId w:val="107"/>
  </w:num>
  <w:num w:numId="31">
    <w:abstractNumId w:val="64"/>
  </w:num>
  <w:num w:numId="32">
    <w:abstractNumId w:val="73"/>
  </w:num>
  <w:num w:numId="33">
    <w:abstractNumId w:val="142"/>
  </w:num>
  <w:num w:numId="34">
    <w:abstractNumId w:val="115"/>
  </w:num>
  <w:num w:numId="35">
    <w:abstractNumId w:val="70"/>
  </w:num>
  <w:num w:numId="36">
    <w:abstractNumId w:val="102"/>
  </w:num>
  <w:num w:numId="37">
    <w:abstractNumId w:val="61"/>
  </w:num>
  <w:num w:numId="38">
    <w:abstractNumId w:val="132"/>
  </w:num>
  <w:num w:numId="39">
    <w:abstractNumId w:val="92"/>
  </w:num>
  <w:num w:numId="40">
    <w:abstractNumId w:val="130"/>
  </w:num>
  <w:num w:numId="41">
    <w:abstractNumId w:val="127"/>
  </w:num>
  <w:num w:numId="42">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98"/>
  </w:num>
  <w:num w:numId="44">
    <w:abstractNumId w:val="97"/>
  </w:num>
  <w:num w:numId="45">
    <w:abstractNumId w:val="89"/>
  </w:num>
  <w:num w:numId="46">
    <w:abstractNumId w:val="81"/>
  </w:num>
  <w:num w:numId="47">
    <w:abstractNumId w:val="133"/>
  </w:num>
  <w:num w:numId="48">
    <w:abstractNumId w:val="121"/>
  </w:num>
  <w:num w:numId="49">
    <w:abstractNumId w:val="80"/>
  </w:num>
  <w:num w:numId="50">
    <w:abstractNumId w:val="134"/>
  </w:num>
  <w:num w:numId="51">
    <w:abstractNumId w:val="60"/>
  </w:num>
  <w:num w:numId="52">
    <w:abstractNumId w:val="69"/>
  </w:num>
  <w:num w:numId="53">
    <w:abstractNumId w:val="117"/>
  </w:num>
  <w:num w:numId="54">
    <w:abstractNumId w:val="137"/>
  </w:num>
  <w:num w:numId="55">
    <w:abstractNumId w:val="95"/>
  </w:num>
  <w:num w:numId="56">
    <w:abstractNumId w:val="91"/>
  </w:num>
  <w:num w:numId="57">
    <w:abstractNumId w:val="131"/>
  </w:num>
  <w:num w:numId="58">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78"/>
  </w:num>
  <w:num w:numId="60">
    <w:abstractNumId w:val="131"/>
  </w:num>
  <w:num w:numId="61">
    <w:abstractNumId w:val="74"/>
  </w:num>
  <w:num w:numId="62">
    <w:abstractNumId w:val="82"/>
  </w:num>
  <w:num w:numId="63">
    <w:abstractNumId w:val="131"/>
  </w:num>
  <w:num w:numId="64">
    <w:abstractNumId w:val="65"/>
  </w:num>
  <w:num w:numId="65">
    <w:abstractNumId w:val="67"/>
  </w:num>
  <w:num w:numId="66">
    <w:abstractNumId w:val="90"/>
  </w:num>
  <w:num w:numId="67">
    <w:abstractNumId w:val="112"/>
  </w:num>
  <w:num w:numId="68">
    <w:abstractNumId w:val="143"/>
  </w:num>
  <w:num w:numId="69">
    <w:abstractNumId w:val="75"/>
  </w:num>
  <w:num w:numId="70">
    <w:abstractNumId w:val="119"/>
  </w:num>
  <w:num w:numId="71">
    <w:abstractNumId w:val="77"/>
  </w:num>
  <w:num w:numId="72">
    <w:abstractNumId w:val="128"/>
  </w:num>
  <w:num w:numId="73">
    <w:abstractNumId w:val="100"/>
  </w:num>
  <w:num w:numId="74">
    <w:abstractNumId w:val="110"/>
  </w:num>
  <w:num w:numId="75">
    <w:abstractNumId w:val="139"/>
  </w:num>
  <w:num w:numId="76">
    <w:abstractNumId w:val="79"/>
  </w:num>
  <w:num w:numId="77">
    <w:abstractNumId w:val="104"/>
  </w:num>
  <w:num w:numId="78">
    <w:abstractNumId w:val="138"/>
  </w:num>
  <w:num w:numId="79">
    <w:abstractNumId w:val="140"/>
  </w:num>
  <w:num w:numId="80">
    <w:abstractNumId w:val="114"/>
  </w:num>
  <w:num w:numId="81">
    <w:abstractNumId w:val="83"/>
  </w:num>
  <w:num w:numId="82">
    <w:abstractNumId w:val="109"/>
  </w:num>
  <w:num w:numId="83">
    <w:abstractNumId w:val="72"/>
  </w:num>
  <w:num w:numId="84">
    <w:abstractNumId w:val="141"/>
  </w:num>
  <w:num w:numId="85">
    <w:abstractNumId w:val="123"/>
  </w:num>
  <w:num w:numId="86">
    <w:abstractNumId w:val="99"/>
  </w:num>
  <w:num w:numId="87">
    <w:abstractNumId w:val="88"/>
  </w:num>
  <w:num w:numId="88">
    <w:abstractNumId w:val="135"/>
  </w:num>
  <w:num w:numId="89">
    <w:abstractNumId w:val="126"/>
  </w:num>
  <w:num w:numId="90">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31"/>
  </w:num>
  <w:num w:numId="92">
    <w:abstractNumId w:val="131"/>
  </w:num>
  <w:num w:numId="93">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68"/>
  </w:num>
  <w:num w:numId="96">
    <w:abstractNumId w:val="84"/>
  </w:num>
  <w:num w:numId="97">
    <w:abstractNumId w:val="87"/>
  </w:num>
  <w:num w:numId="98">
    <w:abstractNumId w:val="1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08"/>
  </w:num>
  <w:numIdMacAtCleanup w:val="8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SystemFonts/>
  <w:stylePaneFormatFilter w:val="3F01"/>
  <w:defaultTabStop w:val="709"/>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B55249"/>
    <w:rsid w:val="00000069"/>
    <w:rsid w:val="0000011C"/>
    <w:rsid w:val="00000437"/>
    <w:rsid w:val="00001379"/>
    <w:rsid w:val="0000148E"/>
    <w:rsid w:val="00001718"/>
    <w:rsid w:val="000017EA"/>
    <w:rsid w:val="00001828"/>
    <w:rsid w:val="00001D98"/>
    <w:rsid w:val="0000229E"/>
    <w:rsid w:val="000027D5"/>
    <w:rsid w:val="00002824"/>
    <w:rsid w:val="00002C12"/>
    <w:rsid w:val="00002C43"/>
    <w:rsid w:val="00002D9C"/>
    <w:rsid w:val="00002F36"/>
    <w:rsid w:val="0000302F"/>
    <w:rsid w:val="00003030"/>
    <w:rsid w:val="00003EFF"/>
    <w:rsid w:val="0000414C"/>
    <w:rsid w:val="0000443D"/>
    <w:rsid w:val="000046CC"/>
    <w:rsid w:val="00004716"/>
    <w:rsid w:val="0000486D"/>
    <w:rsid w:val="000049C0"/>
    <w:rsid w:val="00004D19"/>
    <w:rsid w:val="00004FAE"/>
    <w:rsid w:val="00004FFC"/>
    <w:rsid w:val="00005636"/>
    <w:rsid w:val="000056E1"/>
    <w:rsid w:val="00005DAF"/>
    <w:rsid w:val="00005F1A"/>
    <w:rsid w:val="00005FEB"/>
    <w:rsid w:val="00006392"/>
    <w:rsid w:val="000063D0"/>
    <w:rsid w:val="00006AE8"/>
    <w:rsid w:val="00006D6F"/>
    <w:rsid w:val="00007175"/>
    <w:rsid w:val="00007274"/>
    <w:rsid w:val="00007B99"/>
    <w:rsid w:val="000101C0"/>
    <w:rsid w:val="00010212"/>
    <w:rsid w:val="00010264"/>
    <w:rsid w:val="000102BD"/>
    <w:rsid w:val="000102EA"/>
    <w:rsid w:val="00010466"/>
    <w:rsid w:val="00010AB4"/>
    <w:rsid w:val="00010B0B"/>
    <w:rsid w:val="00010C3B"/>
    <w:rsid w:val="00010F91"/>
    <w:rsid w:val="000112EE"/>
    <w:rsid w:val="0001146D"/>
    <w:rsid w:val="00011665"/>
    <w:rsid w:val="00011B64"/>
    <w:rsid w:val="00011CA8"/>
    <w:rsid w:val="00011DE4"/>
    <w:rsid w:val="000124AE"/>
    <w:rsid w:val="000127BC"/>
    <w:rsid w:val="00012A66"/>
    <w:rsid w:val="00012DA8"/>
    <w:rsid w:val="00013A20"/>
    <w:rsid w:val="00013A8A"/>
    <w:rsid w:val="00013CAF"/>
    <w:rsid w:val="00013FBF"/>
    <w:rsid w:val="00014152"/>
    <w:rsid w:val="00014177"/>
    <w:rsid w:val="0001436E"/>
    <w:rsid w:val="00014640"/>
    <w:rsid w:val="000146AB"/>
    <w:rsid w:val="0001483D"/>
    <w:rsid w:val="00014851"/>
    <w:rsid w:val="00014B97"/>
    <w:rsid w:val="00014CA6"/>
    <w:rsid w:val="00015089"/>
    <w:rsid w:val="00015200"/>
    <w:rsid w:val="00015247"/>
    <w:rsid w:val="00015471"/>
    <w:rsid w:val="00015475"/>
    <w:rsid w:val="000156EB"/>
    <w:rsid w:val="00015CFD"/>
    <w:rsid w:val="00015E89"/>
    <w:rsid w:val="000162CA"/>
    <w:rsid w:val="000168D8"/>
    <w:rsid w:val="00016BF0"/>
    <w:rsid w:val="00016DD4"/>
    <w:rsid w:val="00016F5A"/>
    <w:rsid w:val="000171AD"/>
    <w:rsid w:val="0001725E"/>
    <w:rsid w:val="000173C4"/>
    <w:rsid w:val="0001783F"/>
    <w:rsid w:val="00017B5A"/>
    <w:rsid w:val="00017FC8"/>
    <w:rsid w:val="000200B7"/>
    <w:rsid w:val="00020690"/>
    <w:rsid w:val="000207BC"/>
    <w:rsid w:val="00020B70"/>
    <w:rsid w:val="00020CF2"/>
    <w:rsid w:val="00020D15"/>
    <w:rsid w:val="0002146E"/>
    <w:rsid w:val="000216FC"/>
    <w:rsid w:val="00021808"/>
    <w:rsid w:val="00021864"/>
    <w:rsid w:val="000219DD"/>
    <w:rsid w:val="00021A57"/>
    <w:rsid w:val="00021C1B"/>
    <w:rsid w:val="00021C6A"/>
    <w:rsid w:val="0002261A"/>
    <w:rsid w:val="00022689"/>
    <w:rsid w:val="0002275A"/>
    <w:rsid w:val="00022976"/>
    <w:rsid w:val="00022B13"/>
    <w:rsid w:val="00022C89"/>
    <w:rsid w:val="00022ED3"/>
    <w:rsid w:val="0002310D"/>
    <w:rsid w:val="0002325C"/>
    <w:rsid w:val="000233B5"/>
    <w:rsid w:val="000235C8"/>
    <w:rsid w:val="000237E7"/>
    <w:rsid w:val="000238DD"/>
    <w:rsid w:val="00023B4A"/>
    <w:rsid w:val="00023CDA"/>
    <w:rsid w:val="0002413B"/>
    <w:rsid w:val="000244A8"/>
    <w:rsid w:val="0002487C"/>
    <w:rsid w:val="00024D37"/>
    <w:rsid w:val="00024F28"/>
    <w:rsid w:val="000252B6"/>
    <w:rsid w:val="000254CC"/>
    <w:rsid w:val="00025586"/>
    <w:rsid w:val="000260FE"/>
    <w:rsid w:val="00026294"/>
    <w:rsid w:val="00026338"/>
    <w:rsid w:val="000266C8"/>
    <w:rsid w:val="00026ABE"/>
    <w:rsid w:val="00026FF4"/>
    <w:rsid w:val="0002729C"/>
    <w:rsid w:val="000279E6"/>
    <w:rsid w:val="00027B3A"/>
    <w:rsid w:val="00027C41"/>
    <w:rsid w:val="00027F89"/>
    <w:rsid w:val="0003050D"/>
    <w:rsid w:val="00030523"/>
    <w:rsid w:val="00031209"/>
    <w:rsid w:val="00031883"/>
    <w:rsid w:val="00032460"/>
    <w:rsid w:val="0003252F"/>
    <w:rsid w:val="000325E4"/>
    <w:rsid w:val="000329BA"/>
    <w:rsid w:val="00032F20"/>
    <w:rsid w:val="000330C7"/>
    <w:rsid w:val="00033121"/>
    <w:rsid w:val="000332E2"/>
    <w:rsid w:val="00033895"/>
    <w:rsid w:val="00033D2D"/>
    <w:rsid w:val="0003401B"/>
    <w:rsid w:val="000341CE"/>
    <w:rsid w:val="00034258"/>
    <w:rsid w:val="00034677"/>
    <w:rsid w:val="000355D5"/>
    <w:rsid w:val="0003587E"/>
    <w:rsid w:val="000358E5"/>
    <w:rsid w:val="00035FC8"/>
    <w:rsid w:val="00036085"/>
    <w:rsid w:val="0003610F"/>
    <w:rsid w:val="00036574"/>
    <w:rsid w:val="00036A0C"/>
    <w:rsid w:val="0003741C"/>
    <w:rsid w:val="000375A9"/>
    <w:rsid w:val="000375E4"/>
    <w:rsid w:val="00037990"/>
    <w:rsid w:val="000379E2"/>
    <w:rsid w:val="00037A8B"/>
    <w:rsid w:val="00037B44"/>
    <w:rsid w:val="00037D86"/>
    <w:rsid w:val="000401B5"/>
    <w:rsid w:val="00040704"/>
    <w:rsid w:val="00040747"/>
    <w:rsid w:val="00040937"/>
    <w:rsid w:val="00040B84"/>
    <w:rsid w:val="00040C12"/>
    <w:rsid w:val="00040DA1"/>
    <w:rsid w:val="00040F18"/>
    <w:rsid w:val="0004110F"/>
    <w:rsid w:val="000412EB"/>
    <w:rsid w:val="0004138D"/>
    <w:rsid w:val="000413F1"/>
    <w:rsid w:val="000414C0"/>
    <w:rsid w:val="00041E8F"/>
    <w:rsid w:val="00041F06"/>
    <w:rsid w:val="0004255B"/>
    <w:rsid w:val="00042594"/>
    <w:rsid w:val="0004273E"/>
    <w:rsid w:val="00042764"/>
    <w:rsid w:val="00042F4A"/>
    <w:rsid w:val="000430F4"/>
    <w:rsid w:val="00043921"/>
    <w:rsid w:val="00043935"/>
    <w:rsid w:val="00043EB2"/>
    <w:rsid w:val="0004419F"/>
    <w:rsid w:val="00044391"/>
    <w:rsid w:val="0004446E"/>
    <w:rsid w:val="000444B3"/>
    <w:rsid w:val="00044538"/>
    <w:rsid w:val="0004488A"/>
    <w:rsid w:val="000449CE"/>
    <w:rsid w:val="00044A16"/>
    <w:rsid w:val="00044B5C"/>
    <w:rsid w:val="00044D18"/>
    <w:rsid w:val="00044E73"/>
    <w:rsid w:val="00044F28"/>
    <w:rsid w:val="00044FEF"/>
    <w:rsid w:val="00045598"/>
    <w:rsid w:val="00045B35"/>
    <w:rsid w:val="00045E51"/>
    <w:rsid w:val="00046110"/>
    <w:rsid w:val="00046429"/>
    <w:rsid w:val="0004668C"/>
    <w:rsid w:val="000475D4"/>
    <w:rsid w:val="00047C17"/>
    <w:rsid w:val="00047C27"/>
    <w:rsid w:val="00047C59"/>
    <w:rsid w:val="00047F34"/>
    <w:rsid w:val="000504F0"/>
    <w:rsid w:val="00050664"/>
    <w:rsid w:val="00050880"/>
    <w:rsid w:val="00050993"/>
    <w:rsid w:val="00050FD6"/>
    <w:rsid w:val="00051206"/>
    <w:rsid w:val="000515A2"/>
    <w:rsid w:val="00051F54"/>
    <w:rsid w:val="000520A1"/>
    <w:rsid w:val="000525EB"/>
    <w:rsid w:val="0005266E"/>
    <w:rsid w:val="000527E0"/>
    <w:rsid w:val="00052923"/>
    <w:rsid w:val="00052D26"/>
    <w:rsid w:val="00052E31"/>
    <w:rsid w:val="000535A5"/>
    <w:rsid w:val="000536A3"/>
    <w:rsid w:val="00053D10"/>
    <w:rsid w:val="00053F2B"/>
    <w:rsid w:val="00053F37"/>
    <w:rsid w:val="000546C9"/>
    <w:rsid w:val="000547F3"/>
    <w:rsid w:val="000548C7"/>
    <w:rsid w:val="00054E12"/>
    <w:rsid w:val="00054E32"/>
    <w:rsid w:val="000551DD"/>
    <w:rsid w:val="0005551E"/>
    <w:rsid w:val="00055725"/>
    <w:rsid w:val="0005582F"/>
    <w:rsid w:val="000558B6"/>
    <w:rsid w:val="00055A9A"/>
    <w:rsid w:val="00055D45"/>
    <w:rsid w:val="00055E28"/>
    <w:rsid w:val="00055E7F"/>
    <w:rsid w:val="000563E2"/>
    <w:rsid w:val="0005646A"/>
    <w:rsid w:val="00056820"/>
    <w:rsid w:val="00056C8F"/>
    <w:rsid w:val="000570B4"/>
    <w:rsid w:val="00057287"/>
    <w:rsid w:val="00057450"/>
    <w:rsid w:val="00057FD1"/>
    <w:rsid w:val="000605C6"/>
    <w:rsid w:val="0006094F"/>
    <w:rsid w:val="00060D9A"/>
    <w:rsid w:val="0006114D"/>
    <w:rsid w:val="00061342"/>
    <w:rsid w:val="000616FB"/>
    <w:rsid w:val="00061D4B"/>
    <w:rsid w:val="0006251F"/>
    <w:rsid w:val="00062BCA"/>
    <w:rsid w:val="00063845"/>
    <w:rsid w:val="00063E7D"/>
    <w:rsid w:val="00063F8C"/>
    <w:rsid w:val="00064336"/>
    <w:rsid w:val="000643A2"/>
    <w:rsid w:val="00064B66"/>
    <w:rsid w:val="00064F9D"/>
    <w:rsid w:val="0006561A"/>
    <w:rsid w:val="000659B9"/>
    <w:rsid w:val="00065B48"/>
    <w:rsid w:val="00065F03"/>
    <w:rsid w:val="00066175"/>
    <w:rsid w:val="000661F0"/>
    <w:rsid w:val="00066384"/>
    <w:rsid w:val="00066556"/>
    <w:rsid w:val="00066C9F"/>
    <w:rsid w:val="00066D83"/>
    <w:rsid w:val="00067045"/>
    <w:rsid w:val="00067A40"/>
    <w:rsid w:val="00067AA3"/>
    <w:rsid w:val="00067AB9"/>
    <w:rsid w:val="00070000"/>
    <w:rsid w:val="00070067"/>
    <w:rsid w:val="0007015F"/>
    <w:rsid w:val="000702C2"/>
    <w:rsid w:val="000702C6"/>
    <w:rsid w:val="00070A24"/>
    <w:rsid w:val="00071628"/>
    <w:rsid w:val="0007185F"/>
    <w:rsid w:val="00072553"/>
    <w:rsid w:val="00072E07"/>
    <w:rsid w:val="00073729"/>
    <w:rsid w:val="000739F2"/>
    <w:rsid w:val="00073E02"/>
    <w:rsid w:val="00074052"/>
    <w:rsid w:val="00074807"/>
    <w:rsid w:val="00075396"/>
    <w:rsid w:val="00075542"/>
    <w:rsid w:val="00075821"/>
    <w:rsid w:val="00075BDC"/>
    <w:rsid w:val="00075C12"/>
    <w:rsid w:val="00076244"/>
    <w:rsid w:val="0007658B"/>
    <w:rsid w:val="000765A5"/>
    <w:rsid w:val="000766B1"/>
    <w:rsid w:val="00076AEC"/>
    <w:rsid w:val="00076B85"/>
    <w:rsid w:val="00077223"/>
    <w:rsid w:val="000775BC"/>
    <w:rsid w:val="00077735"/>
    <w:rsid w:val="00077964"/>
    <w:rsid w:val="00077AC7"/>
    <w:rsid w:val="00080093"/>
    <w:rsid w:val="00080B60"/>
    <w:rsid w:val="00080D86"/>
    <w:rsid w:val="0008123C"/>
    <w:rsid w:val="000815B0"/>
    <w:rsid w:val="000822F8"/>
    <w:rsid w:val="0008289C"/>
    <w:rsid w:val="00082ACC"/>
    <w:rsid w:val="00082EC5"/>
    <w:rsid w:val="00083307"/>
    <w:rsid w:val="0008338D"/>
    <w:rsid w:val="00083405"/>
    <w:rsid w:val="00083653"/>
    <w:rsid w:val="00083ADB"/>
    <w:rsid w:val="00083BC4"/>
    <w:rsid w:val="00083C79"/>
    <w:rsid w:val="000845BC"/>
    <w:rsid w:val="00084681"/>
    <w:rsid w:val="000849E2"/>
    <w:rsid w:val="00085033"/>
    <w:rsid w:val="0008530A"/>
    <w:rsid w:val="00085A95"/>
    <w:rsid w:val="00085CFD"/>
    <w:rsid w:val="0008620C"/>
    <w:rsid w:val="00086329"/>
    <w:rsid w:val="0008638E"/>
    <w:rsid w:val="00086444"/>
    <w:rsid w:val="00086BB9"/>
    <w:rsid w:val="00087727"/>
    <w:rsid w:val="000877E2"/>
    <w:rsid w:val="00087AC4"/>
    <w:rsid w:val="00087E23"/>
    <w:rsid w:val="0009014C"/>
    <w:rsid w:val="0009092E"/>
    <w:rsid w:val="00090D88"/>
    <w:rsid w:val="00091590"/>
    <w:rsid w:val="0009167E"/>
    <w:rsid w:val="00091B44"/>
    <w:rsid w:val="00091DDD"/>
    <w:rsid w:val="00092244"/>
    <w:rsid w:val="000922A0"/>
    <w:rsid w:val="0009250A"/>
    <w:rsid w:val="00092832"/>
    <w:rsid w:val="00092880"/>
    <w:rsid w:val="000928B8"/>
    <w:rsid w:val="00092BDB"/>
    <w:rsid w:val="00092D38"/>
    <w:rsid w:val="00092DF8"/>
    <w:rsid w:val="00093306"/>
    <w:rsid w:val="00093658"/>
    <w:rsid w:val="000936D3"/>
    <w:rsid w:val="00093D53"/>
    <w:rsid w:val="00093FD6"/>
    <w:rsid w:val="000943A3"/>
    <w:rsid w:val="0009494C"/>
    <w:rsid w:val="00094EE1"/>
    <w:rsid w:val="00095196"/>
    <w:rsid w:val="00095C3B"/>
    <w:rsid w:val="00096485"/>
    <w:rsid w:val="000964BF"/>
    <w:rsid w:val="00096807"/>
    <w:rsid w:val="00096843"/>
    <w:rsid w:val="000968B5"/>
    <w:rsid w:val="00096B2F"/>
    <w:rsid w:val="00096F78"/>
    <w:rsid w:val="00097521"/>
    <w:rsid w:val="000978B1"/>
    <w:rsid w:val="000A002B"/>
    <w:rsid w:val="000A0434"/>
    <w:rsid w:val="000A04F0"/>
    <w:rsid w:val="000A08A6"/>
    <w:rsid w:val="000A0932"/>
    <w:rsid w:val="000A0A93"/>
    <w:rsid w:val="000A0BB0"/>
    <w:rsid w:val="000A0DA2"/>
    <w:rsid w:val="000A16CC"/>
    <w:rsid w:val="000A1A46"/>
    <w:rsid w:val="000A1B18"/>
    <w:rsid w:val="000A1C8A"/>
    <w:rsid w:val="000A379F"/>
    <w:rsid w:val="000A38E0"/>
    <w:rsid w:val="000A39DE"/>
    <w:rsid w:val="000A3C68"/>
    <w:rsid w:val="000A3F95"/>
    <w:rsid w:val="000A4373"/>
    <w:rsid w:val="000A4670"/>
    <w:rsid w:val="000A477D"/>
    <w:rsid w:val="000A47CF"/>
    <w:rsid w:val="000A4C05"/>
    <w:rsid w:val="000A4D03"/>
    <w:rsid w:val="000A4FB4"/>
    <w:rsid w:val="000A4FF6"/>
    <w:rsid w:val="000A512E"/>
    <w:rsid w:val="000A525A"/>
    <w:rsid w:val="000A52FF"/>
    <w:rsid w:val="000A57A2"/>
    <w:rsid w:val="000A5EA9"/>
    <w:rsid w:val="000A611E"/>
    <w:rsid w:val="000A6372"/>
    <w:rsid w:val="000A68B1"/>
    <w:rsid w:val="000A6AAC"/>
    <w:rsid w:val="000A6BF9"/>
    <w:rsid w:val="000A6E06"/>
    <w:rsid w:val="000A718C"/>
    <w:rsid w:val="000A741A"/>
    <w:rsid w:val="000A7430"/>
    <w:rsid w:val="000A7482"/>
    <w:rsid w:val="000A7895"/>
    <w:rsid w:val="000A7BD7"/>
    <w:rsid w:val="000A7D80"/>
    <w:rsid w:val="000B1142"/>
    <w:rsid w:val="000B1322"/>
    <w:rsid w:val="000B149A"/>
    <w:rsid w:val="000B14DF"/>
    <w:rsid w:val="000B167D"/>
    <w:rsid w:val="000B1B67"/>
    <w:rsid w:val="000B1E31"/>
    <w:rsid w:val="000B221A"/>
    <w:rsid w:val="000B251B"/>
    <w:rsid w:val="000B25C3"/>
    <w:rsid w:val="000B27FD"/>
    <w:rsid w:val="000B286C"/>
    <w:rsid w:val="000B2B47"/>
    <w:rsid w:val="000B2B6B"/>
    <w:rsid w:val="000B2C1A"/>
    <w:rsid w:val="000B2EB4"/>
    <w:rsid w:val="000B3481"/>
    <w:rsid w:val="000B3B79"/>
    <w:rsid w:val="000B4097"/>
    <w:rsid w:val="000B40D5"/>
    <w:rsid w:val="000B439E"/>
    <w:rsid w:val="000B4880"/>
    <w:rsid w:val="000B4C48"/>
    <w:rsid w:val="000B51E8"/>
    <w:rsid w:val="000B5B75"/>
    <w:rsid w:val="000B5B94"/>
    <w:rsid w:val="000B5C9E"/>
    <w:rsid w:val="000B641C"/>
    <w:rsid w:val="000B6424"/>
    <w:rsid w:val="000B6501"/>
    <w:rsid w:val="000B6618"/>
    <w:rsid w:val="000B693A"/>
    <w:rsid w:val="000B69BA"/>
    <w:rsid w:val="000B6EF4"/>
    <w:rsid w:val="000B6F17"/>
    <w:rsid w:val="000B6F8A"/>
    <w:rsid w:val="000B7311"/>
    <w:rsid w:val="000B7768"/>
    <w:rsid w:val="000B79A3"/>
    <w:rsid w:val="000C060E"/>
    <w:rsid w:val="000C0854"/>
    <w:rsid w:val="000C0E5A"/>
    <w:rsid w:val="000C0F02"/>
    <w:rsid w:val="000C134A"/>
    <w:rsid w:val="000C1706"/>
    <w:rsid w:val="000C1C1D"/>
    <w:rsid w:val="000C1CF9"/>
    <w:rsid w:val="000C1E63"/>
    <w:rsid w:val="000C1FAA"/>
    <w:rsid w:val="000C2A69"/>
    <w:rsid w:val="000C313A"/>
    <w:rsid w:val="000C313D"/>
    <w:rsid w:val="000C324D"/>
    <w:rsid w:val="000C3271"/>
    <w:rsid w:val="000C34E4"/>
    <w:rsid w:val="000C3563"/>
    <w:rsid w:val="000C36F0"/>
    <w:rsid w:val="000C3850"/>
    <w:rsid w:val="000C3B1C"/>
    <w:rsid w:val="000C3D26"/>
    <w:rsid w:val="000C3E41"/>
    <w:rsid w:val="000C40E5"/>
    <w:rsid w:val="000C458C"/>
    <w:rsid w:val="000C4D5D"/>
    <w:rsid w:val="000C55A4"/>
    <w:rsid w:val="000C5DF7"/>
    <w:rsid w:val="000C6617"/>
    <w:rsid w:val="000C68A4"/>
    <w:rsid w:val="000C695C"/>
    <w:rsid w:val="000C7051"/>
    <w:rsid w:val="000C75BD"/>
    <w:rsid w:val="000C771E"/>
    <w:rsid w:val="000C7AF7"/>
    <w:rsid w:val="000C7FDE"/>
    <w:rsid w:val="000D024B"/>
    <w:rsid w:val="000D03D3"/>
    <w:rsid w:val="000D04D2"/>
    <w:rsid w:val="000D05CB"/>
    <w:rsid w:val="000D06AA"/>
    <w:rsid w:val="000D0A5E"/>
    <w:rsid w:val="000D0E34"/>
    <w:rsid w:val="000D123D"/>
    <w:rsid w:val="000D12B2"/>
    <w:rsid w:val="000D1489"/>
    <w:rsid w:val="000D1698"/>
    <w:rsid w:val="000D1A50"/>
    <w:rsid w:val="000D1C03"/>
    <w:rsid w:val="000D1D53"/>
    <w:rsid w:val="000D232C"/>
    <w:rsid w:val="000D285E"/>
    <w:rsid w:val="000D28F0"/>
    <w:rsid w:val="000D296A"/>
    <w:rsid w:val="000D2992"/>
    <w:rsid w:val="000D2C72"/>
    <w:rsid w:val="000D31FD"/>
    <w:rsid w:val="000D3378"/>
    <w:rsid w:val="000D35B2"/>
    <w:rsid w:val="000D3671"/>
    <w:rsid w:val="000D409D"/>
    <w:rsid w:val="000D4513"/>
    <w:rsid w:val="000D4CD0"/>
    <w:rsid w:val="000D4D1D"/>
    <w:rsid w:val="000D4DC6"/>
    <w:rsid w:val="000D4F86"/>
    <w:rsid w:val="000D50D1"/>
    <w:rsid w:val="000D54E7"/>
    <w:rsid w:val="000D5542"/>
    <w:rsid w:val="000D569C"/>
    <w:rsid w:val="000D57B5"/>
    <w:rsid w:val="000D580C"/>
    <w:rsid w:val="000D5848"/>
    <w:rsid w:val="000D59E3"/>
    <w:rsid w:val="000D5ACC"/>
    <w:rsid w:val="000D5E6D"/>
    <w:rsid w:val="000D5ED1"/>
    <w:rsid w:val="000D6903"/>
    <w:rsid w:val="000D6F84"/>
    <w:rsid w:val="000D6FE1"/>
    <w:rsid w:val="000D708D"/>
    <w:rsid w:val="000D753B"/>
    <w:rsid w:val="000D7FBD"/>
    <w:rsid w:val="000E00E8"/>
    <w:rsid w:val="000E013F"/>
    <w:rsid w:val="000E08A7"/>
    <w:rsid w:val="000E0D19"/>
    <w:rsid w:val="000E1064"/>
    <w:rsid w:val="000E1137"/>
    <w:rsid w:val="000E1324"/>
    <w:rsid w:val="000E147C"/>
    <w:rsid w:val="000E16EE"/>
    <w:rsid w:val="000E1736"/>
    <w:rsid w:val="000E1B5F"/>
    <w:rsid w:val="000E20CF"/>
    <w:rsid w:val="000E2277"/>
    <w:rsid w:val="000E22A7"/>
    <w:rsid w:val="000E22ED"/>
    <w:rsid w:val="000E25F1"/>
    <w:rsid w:val="000E2A13"/>
    <w:rsid w:val="000E32F7"/>
    <w:rsid w:val="000E381E"/>
    <w:rsid w:val="000E3AEB"/>
    <w:rsid w:val="000E4019"/>
    <w:rsid w:val="000E4421"/>
    <w:rsid w:val="000E4906"/>
    <w:rsid w:val="000E4CA2"/>
    <w:rsid w:val="000E4F6D"/>
    <w:rsid w:val="000E5496"/>
    <w:rsid w:val="000E56AD"/>
    <w:rsid w:val="000E56C5"/>
    <w:rsid w:val="000E5B04"/>
    <w:rsid w:val="000E64B9"/>
    <w:rsid w:val="000E6562"/>
    <w:rsid w:val="000E6586"/>
    <w:rsid w:val="000E72CA"/>
    <w:rsid w:val="000E7460"/>
    <w:rsid w:val="000E785F"/>
    <w:rsid w:val="000F0095"/>
    <w:rsid w:val="000F0866"/>
    <w:rsid w:val="000F08DE"/>
    <w:rsid w:val="000F0AEA"/>
    <w:rsid w:val="000F0B14"/>
    <w:rsid w:val="000F0D9D"/>
    <w:rsid w:val="000F1187"/>
    <w:rsid w:val="000F13C2"/>
    <w:rsid w:val="000F15F2"/>
    <w:rsid w:val="000F1830"/>
    <w:rsid w:val="000F2759"/>
    <w:rsid w:val="000F317F"/>
    <w:rsid w:val="000F337B"/>
    <w:rsid w:val="000F3CC7"/>
    <w:rsid w:val="000F403D"/>
    <w:rsid w:val="000F4287"/>
    <w:rsid w:val="000F4389"/>
    <w:rsid w:val="000F484B"/>
    <w:rsid w:val="000F4FAE"/>
    <w:rsid w:val="000F5591"/>
    <w:rsid w:val="000F57E4"/>
    <w:rsid w:val="000F5C16"/>
    <w:rsid w:val="000F60E6"/>
    <w:rsid w:val="000F6F5B"/>
    <w:rsid w:val="000F743B"/>
    <w:rsid w:val="000F79ED"/>
    <w:rsid w:val="000F7E8F"/>
    <w:rsid w:val="00100565"/>
    <w:rsid w:val="0010079F"/>
    <w:rsid w:val="001007F6"/>
    <w:rsid w:val="0010085A"/>
    <w:rsid w:val="00100B18"/>
    <w:rsid w:val="00100C0C"/>
    <w:rsid w:val="00100FA1"/>
    <w:rsid w:val="00100FA5"/>
    <w:rsid w:val="0010136D"/>
    <w:rsid w:val="001013C0"/>
    <w:rsid w:val="0010153E"/>
    <w:rsid w:val="001017D1"/>
    <w:rsid w:val="00101889"/>
    <w:rsid w:val="00101BF0"/>
    <w:rsid w:val="00102343"/>
    <w:rsid w:val="00102433"/>
    <w:rsid w:val="00102564"/>
    <w:rsid w:val="001028FB"/>
    <w:rsid w:val="0010291C"/>
    <w:rsid w:val="00102B88"/>
    <w:rsid w:val="00102C99"/>
    <w:rsid w:val="00103887"/>
    <w:rsid w:val="00103962"/>
    <w:rsid w:val="00103D38"/>
    <w:rsid w:val="00104722"/>
    <w:rsid w:val="00104A66"/>
    <w:rsid w:val="00104A96"/>
    <w:rsid w:val="00104DF2"/>
    <w:rsid w:val="00104E38"/>
    <w:rsid w:val="00104E39"/>
    <w:rsid w:val="001053AC"/>
    <w:rsid w:val="001055E1"/>
    <w:rsid w:val="001057A1"/>
    <w:rsid w:val="00105C11"/>
    <w:rsid w:val="00105CA0"/>
    <w:rsid w:val="0010630B"/>
    <w:rsid w:val="0010653D"/>
    <w:rsid w:val="0010728C"/>
    <w:rsid w:val="00107807"/>
    <w:rsid w:val="0010780B"/>
    <w:rsid w:val="0010794E"/>
    <w:rsid w:val="00107B11"/>
    <w:rsid w:val="00107B79"/>
    <w:rsid w:val="00107D7C"/>
    <w:rsid w:val="00107DE6"/>
    <w:rsid w:val="00110460"/>
    <w:rsid w:val="00110AD1"/>
    <w:rsid w:val="00110B44"/>
    <w:rsid w:val="00110C30"/>
    <w:rsid w:val="00110DE8"/>
    <w:rsid w:val="00111278"/>
    <w:rsid w:val="00111481"/>
    <w:rsid w:val="00111703"/>
    <w:rsid w:val="001122D9"/>
    <w:rsid w:val="001125E5"/>
    <w:rsid w:val="001125E7"/>
    <w:rsid w:val="0011327A"/>
    <w:rsid w:val="001132D9"/>
    <w:rsid w:val="00113605"/>
    <w:rsid w:val="00113943"/>
    <w:rsid w:val="00113975"/>
    <w:rsid w:val="00113AE1"/>
    <w:rsid w:val="00113D29"/>
    <w:rsid w:val="0011400E"/>
    <w:rsid w:val="0011403F"/>
    <w:rsid w:val="001144DA"/>
    <w:rsid w:val="0011463D"/>
    <w:rsid w:val="001147C3"/>
    <w:rsid w:val="00115092"/>
    <w:rsid w:val="001151F3"/>
    <w:rsid w:val="001151FC"/>
    <w:rsid w:val="00115369"/>
    <w:rsid w:val="00115564"/>
    <w:rsid w:val="00115E0B"/>
    <w:rsid w:val="00115E7A"/>
    <w:rsid w:val="00115FB8"/>
    <w:rsid w:val="001163B4"/>
    <w:rsid w:val="0011652B"/>
    <w:rsid w:val="0011673A"/>
    <w:rsid w:val="001167F3"/>
    <w:rsid w:val="0011681B"/>
    <w:rsid w:val="00116D9F"/>
    <w:rsid w:val="00117135"/>
    <w:rsid w:val="00117DF4"/>
    <w:rsid w:val="00117E44"/>
    <w:rsid w:val="001208F5"/>
    <w:rsid w:val="00120EEF"/>
    <w:rsid w:val="00121126"/>
    <w:rsid w:val="00121370"/>
    <w:rsid w:val="00121427"/>
    <w:rsid w:val="00121B9F"/>
    <w:rsid w:val="001225E5"/>
    <w:rsid w:val="00123406"/>
    <w:rsid w:val="00124033"/>
    <w:rsid w:val="0012413D"/>
    <w:rsid w:val="0012415F"/>
    <w:rsid w:val="0012466D"/>
    <w:rsid w:val="001246E9"/>
    <w:rsid w:val="00124768"/>
    <w:rsid w:val="0012480C"/>
    <w:rsid w:val="00124B97"/>
    <w:rsid w:val="00124D10"/>
    <w:rsid w:val="00124EFA"/>
    <w:rsid w:val="001253F8"/>
    <w:rsid w:val="001256E6"/>
    <w:rsid w:val="00125704"/>
    <w:rsid w:val="00125993"/>
    <w:rsid w:val="00125E3E"/>
    <w:rsid w:val="00125EC8"/>
    <w:rsid w:val="001267F3"/>
    <w:rsid w:val="00126B33"/>
    <w:rsid w:val="00126B66"/>
    <w:rsid w:val="00126C2D"/>
    <w:rsid w:val="001275D2"/>
    <w:rsid w:val="0012786E"/>
    <w:rsid w:val="00127BAB"/>
    <w:rsid w:val="00127E98"/>
    <w:rsid w:val="00127FB2"/>
    <w:rsid w:val="00127FB5"/>
    <w:rsid w:val="00130A74"/>
    <w:rsid w:val="00130C1F"/>
    <w:rsid w:val="00130DF6"/>
    <w:rsid w:val="001312C9"/>
    <w:rsid w:val="001321C2"/>
    <w:rsid w:val="0013228C"/>
    <w:rsid w:val="00132445"/>
    <w:rsid w:val="001324E1"/>
    <w:rsid w:val="00132A51"/>
    <w:rsid w:val="00132F01"/>
    <w:rsid w:val="001331C9"/>
    <w:rsid w:val="00133252"/>
    <w:rsid w:val="0013329B"/>
    <w:rsid w:val="0013382F"/>
    <w:rsid w:val="00133B6E"/>
    <w:rsid w:val="00133C59"/>
    <w:rsid w:val="001340D6"/>
    <w:rsid w:val="0013449E"/>
    <w:rsid w:val="001348A5"/>
    <w:rsid w:val="00134C65"/>
    <w:rsid w:val="00135B13"/>
    <w:rsid w:val="00135BE2"/>
    <w:rsid w:val="00135E40"/>
    <w:rsid w:val="00136038"/>
    <w:rsid w:val="00136172"/>
    <w:rsid w:val="00136726"/>
    <w:rsid w:val="0013675C"/>
    <w:rsid w:val="00136943"/>
    <w:rsid w:val="00136DD5"/>
    <w:rsid w:val="00137CD1"/>
    <w:rsid w:val="00137DDF"/>
    <w:rsid w:val="00140462"/>
    <w:rsid w:val="001405F2"/>
    <w:rsid w:val="00140671"/>
    <w:rsid w:val="00140930"/>
    <w:rsid w:val="00140D73"/>
    <w:rsid w:val="0014116A"/>
    <w:rsid w:val="0014122E"/>
    <w:rsid w:val="001412BE"/>
    <w:rsid w:val="0014148D"/>
    <w:rsid w:val="00141775"/>
    <w:rsid w:val="001419DB"/>
    <w:rsid w:val="00141C07"/>
    <w:rsid w:val="00141C08"/>
    <w:rsid w:val="00141C38"/>
    <w:rsid w:val="00141EB4"/>
    <w:rsid w:val="00141F2E"/>
    <w:rsid w:val="00141FDD"/>
    <w:rsid w:val="0014294F"/>
    <w:rsid w:val="001429CB"/>
    <w:rsid w:val="00142FE8"/>
    <w:rsid w:val="0014322A"/>
    <w:rsid w:val="001436EE"/>
    <w:rsid w:val="00143B0F"/>
    <w:rsid w:val="00143BC4"/>
    <w:rsid w:val="00143C67"/>
    <w:rsid w:val="00143F7F"/>
    <w:rsid w:val="00144047"/>
    <w:rsid w:val="00144059"/>
    <w:rsid w:val="001440E7"/>
    <w:rsid w:val="00144344"/>
    <w:rsid w:val="00144374"/>
    <w:rsid w:val="0014437D"/>
    <w:rsid w:val="0014466E"/>
    <w:rsid w:val="00144673"/>
    <w:rsid w:val="001446D2"/>
    <w:rsid w:val="00144726"/>
    <w:rsid w:val="00144767"/>
    <w:rsid w:val="0014490D"/>
    <w:rsid w:val="00144F35"/>
    <w:rsid w:val="00145331"/>
    <w:rsid w:val="001455DE"/>
    <w:rsid w:val="00145803"/>
    <w:rsid w:val="00145BF2"/>
    <w:rsid w:val="00145C4D"/>
    <w:rsid w:val="00146184"/>
    <w:rsid w:val="00146391"/>
    <w:rsid w:val="00146607"/>
    <w:rsid w:val="0014699F"/>
    <w:rsid w:val="00146A2F"/>
    <w:rsid w:val="00146B05"/>
    <w:rsid w:val="00146C8A"/>
    <w:rsid w:val="00146D55"/>
    <w:rsid w:val="00146F18"/>
    <w:rsid w:val="00147126"/>
    <w:rsid w:val="0014724F"/>
    <w:rsid w:val="00147295"/>
    <w:rsid w:val="00147818"/>
    <w:rsid w:val="00147FEF"/>
    <w:rsid w:val="00150376"/>
    <w:rsid w:val="001503D0"/>
    <w:rsid w:val="00150521"/>
    <w:rsid w:val="00150814"/>
    <w:rsid w:val="0015087D"/>
    <w:rsid w:val="0015097F"/>
    <w:rsid w:val="001509CA"/>
    <w:rsid w:val="00150C1E"/>
    <w:rsid w:val="0015167F"/>
    <w:rsid w:val="00151943"/>
    <w:rsid w:val="00151F94"/>
    <w:rsid w:val="001524FB"/>
    <w:rsid w:val="00152701"/>
    <w:rsid w:val="00152B08"/>
    <w:rsid w:val="00153540"/>
    <w:rsid w:val="00153976"/>
    <w:rsid w:val="00153DAE"/>
    <w:rsid w:val="00153DC2"/>
    <w:rsid w:val="001540BA"/>
    <w:rsid w:val="00154274"/>
    <w:rsid w:val="001543E0"/>
    <w:rsid w:val="00154653"/>
    <w:rsid w:val="00154F6D"/>
    <w:rsid w:val="001556FC"/>
    <w:rsid w:val="0015573A"/>
    <w:rsid w:val="00155EEA"/>
    <w:rsid w:val="00155FD9"/>
    <w:rsid w:val="00156434"/>
    <w:rsid w:val="00156556"/>
    <w:rsid w:val="00156744"/>
    <w:rsid w:val="00157387"/>
    <w:rsid w:val="00157584"/>
    <w:rsid w:val="001575D4"/>
    <w:rsid w:val="001575F8"/>
    <w:rsid w:val="00157648"/>
    <w:rsid w:val="00157866"/>
    <w:rsid w:val="00157980"/>
    <w:rsid w:val="00157E05"/>
    <w:rsid w:val="00160454"/>
    <w:rsid w:val="0016058D"/>
    <w:rsid w:val="001607E5"/>
    <w:rsid w:val="00160980"/>
    <w:rsid w:val="00160AD4"/>
    <w:rsid w:val="00160BC7"/>
    <w:rsid w:val="0016130B"/>
    <w:rsid w:val="00161353"/>
    <w:rsid w:val="00161462"/>
    <w:rsid w:val="00161490"/>
    <w:rsid w:val="0016182B"/>
    <w:rsid w:val="00161DB9"/>
    <w:rsid w:val="00162104"/>
    <w:rsid w:val="00162740"/>
    <w:rsid w:val="001628A9"/>
    <w:rsid w:val="00162E69"/>
    <w:rsid w:val="00163665"/>
    <w:rsid w:val="00163743"/>
    <w:rsid w:val="00163994"/>
    <w:rsid w:val="001639AB"/>
    <w:rsid w:val="001645C3"/>
    <w:rsid w:val="00164650"/>
    <w:rsid w:val="001649E4"/>
    <w:rsid w:val="00164C4E"/>
    <w:rsid w:val="00164FC4"/>
    <w:rsid w:val="001657A1"/>
    <w:rsid w:val="00165961"/>
    <w:rsid w:val="00165B3A"/>
    <w:rsid w:val="001669D3"/>
    <w:rsid w:val="00166F4B"/>
    <w:rsid w:val="00166FBD"/>
    <w:rsid w:val="0016714B"/>
    <w:rsid w:val="001674EC"/>
    <w:rsid w:val="00167577"/>
    <w:rsid w:val="0017016D"/>
    <w:rsid w:val="001701DB"/>
    <w:rsid w:val="001702AB"/>
    <w:rsid w:val="001702D1"/>
    <w:rsid w:val="001711EE"/>
    <w:rsid w:val="001715F7"/>
    <w:rsid w:val="00171C5B"/>
    <w:rsid w:val="00171D1D"/>
    <w:rsid w:val="00171D8A"/>
    <w:rsid w:val="00172378"/>
    <w:rsid w:val="001727E1"/>
    <w:rsid w:val="0017294C"/>
    <w:rsid w:val="00172971"/>
    <w:rsid w:val="00173011"/>
    <w:rsid w:val="0017323B"/>
    <w:rsid w:val="00173241"/>
    <w:rsid w:val="00173670"/>
    <w:rsid w:val="0017389A"/>
    <w:rsid w:val="00173C4A"/>
    <w:rsid w:val="00173ECC"/>
    <w:rsid w:val="00174454"/>
    <w:rsid w:val="001745DE"/>
    <w:rsid w:val="00175009"/>
    <w:rsid w:val="001751C4"/>
    <w:rsid w:val="00175348"/>
    <w:rsid w:val="00175713"/>
    <w:rsid w:val="00175844"/>
    <w:rsid w:val="001762BD"/>
    <w:rsid w:val="001769AA"/>
    <w:rsid w:val="001773E7"/>
    <w:rsid w:val="001774A5"/>
    <w:rsid w:val="00177518"/>
    <w:rsid w:val="001775EF"/>
    <w:rsid w:val="00177C23"/>
    <w:rsid w:val="00177C63"/>
    <w:rsid w:val="00177D8A"/>
    <w:rsid w:val="0018028C"/>
    <w:rsid w:val="0018034A"/>
    <w:rsid w:val="001804DC"/>
    <w:rsid w:val="0018072A"/>
    <w:rsid w:val="00180756"/>
    <w:rsid w:val="001807D6"/>
    <w:rsid w:val="00180838"/>
    <w:rsid w:val="00180AB2"/>
    <w:rsid w:val="00180AC9"/>
    <w:rsid w:val="00180C62"/>
    <w:rsid w:val="00180CB8"/>
    <w:rsid w:val="0018185E"/>
    <w:rsid w:val="00181916"/>
    <w:rsid w:val="001819E1"/>
    <w:rsid w:val="00181AF5"/>
    <w:rsid w:val="00181D86"/>
    <w:rsid w:val="00182435"/>
    <w:rsid w:val="0018270F"/>
    <w:rsid w:val="00182B5D"/>
    <w:rsid w:val="00182C59"/>
    <w:rsid w:val="00182D3D"/>
    <w:rsid w:val="00182DD9"/>
    <w:rsid w:val="001830E6"/>
    <w:rsid w:val="001833EA"/>
    <w:rsid w:val="0018344F"/>
    <w:rsid w:val="00183C87"/>
    <w:rsid w:val="00184DF4"/>
    <w:rsid w:val="00184E1F"/>
    <w:rsid w:val="00184E5F"/>
    <w:rsid w:val="00184EA7"/>
    <w:rsid w:val="00184F02"/>
    <w:rsid w:val="001851CE"/>
    <w:rsid w:val="001859B1"/>
    <w:rsid w:val="0018645F"/>
    <w:rsid w:val="00186981"/>
    <w:rsid w:val="00186F25"/>
    <w:rsid w:val="00187388"/>
    <w:rsid w:val="00187D3C"/>
    <w:rsid w:val="00187E46"/>
    <w:rsid w:val="00190701"/>
    <w:rsid w:val="00190B5D"/>
    <w:rsid w:val="00190C3E"/>
    <w:rsid w:val="00190EBA"/>
    <w:rsid w:val="00191054"/>
    <w:rsid w:val="0019249F"/>
    <w:rsid w:val="00192717"/>
    <w:rsid w:val="00192EA2"/>
    <w:rsid w:val="00193079"/>
    <w:rsid w:val="0019361F"/>
    <w:rsid w:val="0019383D"/>
    <w:rsid w:val="00194523"/>
    <w:rsid w:val="0019482F"/>
    <w:rsid w:val="00194E37"/>
    <w:rsid w:val="00194EE0"/>
    <w:rsid w:val="00195278"/>
    <w:rsid w:val="001952EF"/>
    <w:rsid w:val="0019531D"/>
    <w:rsid w:val="001959E3"/>
    <w:rsid w:val="00195B86"/>
    <w:rsid w:val="00195F8B"/>
    <w:rsid w:val="00196048"/>
    <w:rsid w:val="00196061"/>
    <w:rsid w:val="00196267"/>
    <w:rsid w:val="001962DB"/>
    <w:rsid w:val="001964A3"/>
    <w:rsid w:val="001965B3"/>
    <w:rsid w:val="0019674E"/>
    <w:rsid w:val="0019686A"/>
    <w:rsid w:val="00196903"/>
    <w:rsid w:val="00196CEE"/>
    <w:rsid w:val="00196D2C"/>
    <w:rsid w:val="00196E61"/>
    <w:rsid w:val="0019781F"/>
    <w:rsid w:val="001978D8"/>
    <w:rsid w:val="0019796F"/>
    <w:rsid w:val="00197ACD"/>
    <w:rsid w:val="00197BD5"/>
    <w:rsid w:val="00197C63"/>
    <w:rsid w:val="00197D10"/>
    <w:rsid w:val="001A01F8"/>
    <w:rsid w:val="001A0910"/>
    <w:rsid w:val="001A0D8A"/>
    <w:rsid w:val="001A1081"/>
    <w:rsid w:val="001A137C"/>
    <w:rsid w:val="001A15C6"/>
    <w:rsid w:val="001A1E78"/>
    <w:rsid w:val="001A24C9"/>
    <w:rsid w:val="001A26BE"/>
    <w:rsid w:val="001A2BC3"/>
    <w:rsid w:val="001A3487"/>
    <w:rsid w:val="001A3995"/>
    <w:rsid w:val="001A4906"/>
    <w:rsid w:val="001A4F58"/>
    <w:rsid w:val="001A533E"/>
    <w:rsid w:val="001A58EB"/>
    <w:rsid w:val="001A5E4D"/>
    <w:rsid w:val="001A5F78"/>
    <w:rsid w:val="001A62C8"/>
    <w:rsid w:val="001A642D"/>
    <w:rsid w:val="001A65EA"/>
    <w:rsid w:val="001A66B2"/>
    <w:rsid w:val="001A7199"/>
    <w:rsid w:val="001A7307"/>
    <w:rsid w:val="001A786A"/>
    <w:rsid w:val="001A7B4C"/>
    <w:rsid w:val="001A7BCF"/>
    <w:rsid w:val="001A7D02"/>
    <w:rsid w:val="001A7E5E"/>
    <w:rsid w:val="001A7E73"/>
    <w:rsid w:val="001B0343"/>
    <w:rsid w:val="001B0C29"/>
    <w:rsid w:val="001B143F"/>
    <w:rsid w:val="001B177A"/>
    <w:rsid w:val="001B1E97"/>
    <w:rsid w:val="001B1F9B"/>
    <w:rsid w:val="001B2007"/>
    <w:rsid w:val="001B24B5"/>
    <w:rsid w:val="001B2C07"/>
    <w:rsid w:val="001B2C65"/>
    <w:rsid w:val="001B30B6"/>
    <w:rsid w:val="001B3352"/>
    <w:rsid w:val="001B366C"/>
    <w:rsid w:val="001B480D"/>
    <w:rsid w:val="001B50EC"/>
    <w:rsid w:val="001B5245"/>
    <w:rsid w:val="001B5723"/>
    <w:rsid w:val="001B5778"/>
    <w:rsid w:val="001B59EA"/>
    <w:rsid w:val="001B5CF0"/>
    <w:rsid w:val="001B5F1B"/>
    <w:rsid w:val="001B5FC3"/>
    <w:rsid w:val="001B6134"/>
    <w:rsid w:val="001B62BE"/>
    <w:rsid w:val="001B6449"/>
    <w:rsid w:val="001B6589"/>
    <w:rsid w:val="001B6727"/>
    <w:rsid w:val="001B677A"/>
    <w:rsid w:val="001B6841"/>
    <w:rsid w:val="001B6EA0"/>
    <w:rsid w:val="001B7237"/>
    <w:rsid w:val="001B72A0"/>
    <w:rsid w:val="001B72CE"/>
    <w:rsid w:val="001B7314"/>
    <w:rsid w:val="001B7436"/>
    <w:rsid w:val="001B7EC8"/>
    <w:rsid w:val="001C0401"/>
    <w:rsid w:val="001C04E9"/>
    <w:rsid w:val="001C0961"/>
    <w:rsid w:val="001C0976"/>
    <w:rsid w:val="001C09FF"/>
    <w:rsid w:val="001C0A5F"/>
    <w:rsid w:val="001C0AE9"/>
    <w:rsid w:val="001C0B0E"/>
    <w:rsid w:val="001C0C95"/>
    <w:rsid w:val="001C0CD6"/>
    <w:rsid w:val="001C16B9"/>
    <w:rsid w:val="001C187C"/>
    <w:rsid w:val="001C18C0"/>
    <w:rsid w:val="001C1C58"/>
    <w:rsid w:val="001C1CAC"/>
    <w:rsid w:val="001C1CEE"/>
    <w:rsid w:val="001C1D1F"/>
    <w:rsid w:val="001C1D75"/>
    <w:rsid w:val="001C2147"/>
    <w:rsid w:val="001C26C9"/>
    <w:rsid w:val="001C2A51"/>
    <w:rsid w:val="001C2A5E"/>
    <w:rsid w:val="001C2C7F"/>
    <w:rsid w:val="001C2E20"/>
    <w:rsid w:val="001C3050"/>
    <w:rsid w:val="001C30A9"/>
    <w:rsid w:val="001C3959"/>
    <w:rsid w:val="001C3C48"/>
    <w:rsid w:val="001C3C6C"/>
    <w:rsid w:val="001C3F0F"/>
    <w:rsid w:val="001C4AEA"/>
    <w:rsid w:val="001C58BD"/>
    <w:rsid w:val="001C5C69"/>
    <w:rsid w:val="001C5C94"/>
    <w:rsid w:val="001C5CEE"/>
    <w:rsid w:val="001C5D71"/>
    <w:rsid w:val="001C6447"/>
    <w:rsid w:val="001C654D"/>
    <w:rsid w:val="001C6B80"/>
    <w:rsid w:val="001C70D3"/>
    <w:rsid w:val="001C71F9"/>
    <w:rsid w:val="001C7204"/>
    <w:rsid w:val="001C7629"/>
    <w:rsid w:val="001C7A9C"/>
    <w:rsid w:val="001C7CE1"/>
    <w:rsid w:val="001D00B9"/>
    <w:rsid w:val="001D0A1C"/>
    <w:rsid w:val="001D0B9D"/>
    <w:rsid w:val="001D0C26"/>
    <w:rsid w:val="001D0DE5"/>
    <w:rsid w:val="001D10EF"/>
    <w:rsid w:val="001D1184"/>
    <w:rsid w:val="001D1322"/>
    <w:rsid w:val="001D1489"/>
    <w:rsid w:val="001D1803"/>
    <w:rsid w:val="001D196E"/>
    <w:rsid w:val="001D1F57"/>
    <w:rsid w:val="001D2001"/>
    <w:rsid w:val="001D2179"/>
    <w:rsid w:val="001D23B3"/>
    <w:rsid w:val="001D26B4"/>
    <w:rsid w:val="001D26D4"/>
    <w:rsid w:val="001D29DD"/>
    <w:rsid w:val="001D2F24"/>
    <w:rsid w:val="001D34A9"/>
    <w:rsid w:val="001D38F3"/>
    <w:rsid w:val="001D3900"/>
    <w:rsid w:val="001D3B05"/>
    <w:rsid w:val="001D4033"/>
    <w:rsid w:val="001D40B1"/>
    <w:rsid w:val="001D42F8"/>
    <w:rsid w:val="001D45EE"/>
    <w:rsid w:val="001D4B4C"/>
    <w:rsid w:val="001D4BB6"/>
    <w:rsid w:val="001D4C1E"/>
    <w:rsid w:val="001D509C"/>
    <w:rsid w:val="001D526E"/>
    <w:rsid w:val="001D5701"/>
    <w:rsid w:val="001D57C5"/>
    <w:rsid w:val="001D5C93"/>
    <w:rsid w:val="001D5E01"/>
    <w:rsid w:val="001D5E5D"/>
    <w:rsid w:val="001D5EE4"/>
    <w:rsid w:val="001D6949"/>
    <w:rsid w:val="001D73C5"/>
    <w:rsid w:val="001D76F6"/>
    <w:rsid w:val="001D775D"/>
    <w:rsid w:val="001D786C"/>
    <w:rsid w:val="001D7CC4"/>
    <w:rsid w:val="001D7D2F"/>
    <w:rsid w:val="001E0296"/>
    <w:rsid w:val="001E04E8"/>
    <w:rsid w:val="001E07A2"/>
    <w:rsid w:val="001E08FD"/>
    <w:rsid w:val="001E1354"/>
    <w:rsid w:val="001E14B9"/>
    <w:rsid w:val="001E18D9"/>
    <w:rsid w:val="001E1FCF"/>
    <w:rsid w:val="001E20FD"/>
    <w:rsid w:val="001E2267"/>
    <w:rsid w:val="001E2637"/>
    <w:rsid w:val="001E2A20"/>
    <w:rsid w:val="001E2D8A"/>
    <w:rsid w:val="001E2EB0"/>
    <w:rsid w:val="001E300D"/>
    <w:rsid w:val="001E30B2"/>
    <w:rsid w:val="001E373C"/>
    <w:rsid w:val="001E3D7D"/>
    <w:rsid w:val="001E3F78"/>
    <w:rsid w:val="001E4198"/>
    <w:rsid w:val="001E43ED"/>
    <w:rsid w:val="001E4F2E"/>
    <w:rsid w:val="001E5033"/>
    <w:rsid w:val="001E5217"/>
    <w:rsid w:val="001E572B"/>
    <w:rsid w:val="001E5C1C"/>
    <w:rsid w:val="001E5C97"/>
    <w:rsid w:val="001E5EDA"/>
    <w:rsid w:val="001E6651"/>
    <w:rsid w:val="001E69EF"/>
    <w:rsid w:val="001E6D44"/>
    <w:rsid w:val="001E7750"/>
    <w:rsid w:val="001E7880"/>
    <w:rsid w:val="001E7EF3"/>
    <w:rsid w:val="001E7F09"/>
    <w:rsid w:val="001F059E"/>
    <w:rsid w:val="001F087D"/>
    <w:rsid w:val="001F0A2D"/>
    <w:rsid w:val="001F0AF1"/>
    <w:rsid w:val="001F1028"/>
    <w:rsid w:val="001F1230"/>
    <w:rsid w:val="001F1778"/>
    <w:rsid w:val="001F1A47"/>
    <w:rsid w:val="001F1C7D"/>
    <w:rsid w:val="001F1D47"/>
    <w:rsid w:val="001F2564"/>
    <w:rsid w:val="001F2779"/>
    <w:rsid w:val="001F2E44"/>
    <w:rsid w:val="001F3051"/>
    <w:rsid w:val="001F31D9"/>
    <w:rsid w:val="001F342D"/>
    <w:rsid w:val="001F35B9"/>
    <w:rsid w:val="001F395C"/>
    <w:rsid w:val="001F399A"/>
    <w:rsid w:val="001F3B40"/>
    <w:rsid w:val="001F4026"/>
    <w:rsid w:val="001F42A4"/>
    <w:rsid w:val="001F42DD"/>
    <w:rsid w:val="001F44DE"/>
    <w:rsid w:val="001F4A12"/>
    <w:rsid w:val="001F4A64"/>
    <w:rsid w:val="001F4B50"/>
    <w:rsid w:val="001F591D"/>
    <w:rsid w:val="001F5BFE"/>
    <w:rsid w:val="001F5FAF"/>
    <w:rsid w:val="001F6325"/>
    <w:rsid w:val="001F653B"/>
    <w:rsid w:val="001F678F"/>
    <w:rsid w:val="001F69FE"/>
    <w:rsid w:val="001F6A0A"/>
    <w:rsid w:val="001F6C9D"/>
    <w:rsid w:val="001F71DE"/>
    <w:rsid w:val="001F728E"/>
    <w:rsid w:val="001F7335"/>
    <w:rsid w:val="001F746B"/>
    <w:rsid w:val="001F783B"/>
    <w:rsid w:val="002004B5"/>
    <w:rsid w:val="00200A58"/>
    <w:rsid w:val="0020115B"/>
    <w:rsid w:val="0020118E"/>
    <w:rsid w:val="00201390"/>
    <w:rsid w:val="00201AD3"/>
    <w:rsid w:val="00201B4F"/>
    <w:rsid w:val="00202731"/>
    <w:rsid w:val="00202FF3"/>
    <w:rsid w:val="00203214"/>
    <w:rsid w:val="00203669"/>
    <w:rsid w:val="00203884"/>
    <w:rsid w:val="00203A11"/>
    <w:rsid w:val="00203A3D"/>
    <w:rsid w:val="00203E63"/>
    <w:rsid w:val="00203F61"/>
    <w:rsid w:val="002040BA"/>
    <w:rsid w:val="00204234"/>
    <w:rsid w:val="00204CB2"/>
    <w:rsid w:val="00204EB1"/>
    <w:rsid w:val="002052F6"/>
    <w:rsid w:val="00205787"/>
    <w:rsid w:val="00205C1E"/>
    <w:rsid w:val="002062A1"/>
    <w:rsid w:val="002062ED"/>
    <w:rsid w:val="002063F5"/>
    <w:rsid w:val="00206B0F"/>
    <w:rsid w:val="00206F17"/>
    <w:rsid w:val="002070B9"/>
    <w:rsid w:val="00207292"/>
    <w:rsid w:val="00207A76"/>
    <w:rsid w:val="00207E9C"/>
    <w:rsid w:val="002109EC"/>
    <w:rsid w:val="00210ED5"/>
    <w:rsid w:val="0021131D"/>
    <w:rsid w:val="00211415"/>
    <w:rsid w:val="0021154F"/>
    <w:rsid w:val="00211603"/>
    <w:rsid w:val="0021178A"/>
    <w:rsid w:val="00211A9D"/>
    <w:rsid w:val="00211E3A"/>
    <w:rsid w:val="00212629"/>
    <w:rsid w:val="00212D0A"/>
    <w:rsid w:val="0021342F"/>
    <w:rsid w:val="00213716"/>
    <w:rsid w:val="00213AA3"/>
    <w:rsid w:val="00213AE7"/>
    <w:rsid w:val="00213CD1"/>
    <w:rsid w:val="002144B9"/>
    <w:rsid w:val="002145B2"/>
    <w:rsid w:val="002148B7"/>
    <w:rsid w:val="00215153"/>
    <w:rsid w:val="002152B4"/>
    <w:rsid w:val="00215363"/>
    <w:rsid w:val="002155D5"/>
    <w:rsid w:val="002157D0"/>
    <w:rsid w:val="002158BB"/>
    <w:rsid w:val="00215923"/>
    <w:rsid w:val="00215B16"/>
    <w:rsid w:val="00216252"/>
    <w:rsid w:val="00216304"/>
    <w:rsid w:val="00216A42"/>
    <w:rsid w:val="0021762E"/>
    <w:rsid w:val="00217863"/>
    <w:rsid w:val="00217875"/>
    <w:rsid w:val="00217C16"/>
    <w:rsid w:val="00217CDD"/>
    <w:rsid w:val="00217DF4"/>
    <w:rsid w:val="00217FF3"/>
    <w:rsid w:val="002201D1"/>
    <w:rsid w:val="0022087F"/>
    <w:rsid w:val="00220A70"/>
    <w:rsid w:val="00220E2B"/>
    <w:rsid w:val="00220FF9"/>
    <w:rsid w:val="00221C9E"/>
    <w:rsid w:val="00221CE5"/>
    <w:rsid w:val="00222238"/>
    <w:rsid w:val="002223C9"/>
    <w:rsid w:val="00222500"/>
    <w:rsid w:val="002226AA"/>
    <w:rsid w:val="0022270D"/>
    <w:rsid w:val="00222C43"/>
    <w:rsid w:val="00222D7F"/>
    <w:rsid w:val="00222DC8"/>
    <w:rsid w:val="002231EE"/>
    <w:rsid w:val="002233E3"/>
    <w:rsid w:val="002239B7"/>
    <w:rsid w:val="00223A30"/>
    <w:rsid w:val="00223B60"/>
    <w:rsid w:val="00223DE6"/>
    <w:rsid w:val="00223F62"/>
    <w:rsid w:val="00223F9C"/>
    <w:rsid w:val="00223FFC"/>
    <w:rsid w:val="002249B1"/>
    <w:rsid w:val="00224B87"/>
    <w:rsid w:val="002252A4"/>
    <w:rsid w:val="002256D7"/>
    <w:rsid w:val="002256F8"/>
    <w:rsid w:val="0022588E"/>
    <w:rsid w:val="00226142"/>
    <w:rsid w:val="00226165"/>
    <w:rsid w:val="0022658A"/>
    <w:rsid w:val="00226901"/>
    <w:rsid w:val="00226BFE"/>
    <w:rsid w:val="00226C9A"/>
    <w:rsid w:val="00226CAA"/>
    <w:rsid w:val="00226E16"/>
    <w:rsid w:val="00226F0D"/>
    <w:rsid w:val="00226FCA"/>
    <w:rsid w:val="00227818"/>
    <w:rsid w:val="0022783D"/>
    <w:rsid w:val="00227A0E"/>
    <w:rsid w:val="00227CA3"/>
    <w:rsid w:val="00227CAC"/>
    <w:rsid w:val="00227F09"/>
    <w:rsid w:val="002300C7"/>
    <w:rsid w:val="002300D2"/>
    <w:rsid w:val="00230153"/>
    <w:rsid w:val="00230303"/>
    <w:rsid w:val="00230718"/>
    <w:rsid w:val="00230D26"/>
    <w:rsid w:val="002314F1"/>
    <w:rsid w:val="00231683"/>
    <w:rsid w:val="00231CB7"/>
    <w:rsid w:val="00231EF3"/>
    <w:rsid w:val="0023208D"/>
    <w:rsid w:val="00232266"/>
    <w:rsid w:val="002324A6"/>
    <w:rsid w:val="002325A1"/>
    <w:rsid w:val="00232989"/>
    <w:rsid w:val="00232A0A"/>
    <w:rsid w:val="00232B15"/>
    <w:rsid w:val="00232B66"/>
    <w:rsid w:val="00232E63"/>
    <w:rsid w:val="00233149"/>
    <w:rsid w:val="0023329A"/>
    <w:rsid w:val="002333DE"/>
    <w:rsid w:val="00233477"/>
    <w:rsid w:val="00233F42"/>
    <w:rsid w:val="002348CB"/>
    <w:rsid w:val="002349BD"/>
    <w:rsid w:val="00234A0C"/>
    <w:rsid w:val="0023556F"/>
    <w:rsid w:val="00235ACA"/>
    <w:rsid w:val="00236590"/>
    <w:rsid w:val="00236846"/>
    <w:rsid w:val="00236C23"/>
    <w:rsid w:val="00236C72"/>
    <w:rsid w:val="00236C7C"/>
    <w:rsid w:val="00236D67"/>
    <w:rsid w:val="0023725F"/>
    <w:rsid w:val="00237F39"/>
    <w:rsid w:val="002402F2"/>
    <w:rsid w:val="002413BD"/>
    <w:rsid w:val="00241542"/>
    <w:rsid w:val="0024185C"/>
    <w:rsid w:val="002418E7"/>
    <w:rsid w:val="00241A04"/>
    <w:rsid w:val="00241A62"/>
    <w:rsid w:val="00241B80"/>
    <w:rsid w:val="00241C03"/>
    <w:rsid w:val="00241F45"/>
    <w:rsid w:val="00241F5F"/>
    <w:rsid w:val="00241FE2"/>
    <w:rsid w:val="0024244A"/>
    <w:rsid w:val="0024265F"/>
    <w:rsid w:val="002426C6"/>
    <w:rsid w:val="002427E0"/>
    <w:rsid w:val="00242B14"/>
    <w:rsid w:val="00242C0C"/>
    <w:rsid w:val="00242E31"/>
    <w:rsid w:val="0024301C"/>
    <w:rsid w:val="0024379A"/>
    <w:rsid w:val="00243812"/>
    <w:rsid w:val="00243ACD"/>
    <w:rsid w:val="00243BBE"/>
    <w:rsid w:val="00243C6C"/>
    <w:rsid w:val="0024489F"/>
    <w:rsid w:val="00244FD7"/>
    <w:rsid w:val="0024598B"/>
    <w:rsid w:val="00245AEB"/>
    <w:rsid w:val="002461EA"/>
    <w:rsid w:val="002462E4"/>
    <w:rsid w:val="002467DF"/>
    <w:rsid w:val="0024687E"/>
    <w:rsid w:val="002470B2"/>
    <w:rsid w:val="00247351"/>
    <w:rsid w:val="0024791D"/>
    <w:rsid w:val="00247ACC"/>
    <w:rsid w:val="00247FB1"/>
    <w:rsid w:val="00250170"/>
    <w:rsid w:val="0025022B"/>
    <w:rsid w:val="00251027"/>
    <w:rsid w:val="002510E4"/>
    <w:rsid w:val="0025119D"/>
    <w:rsid w:val="002512E4"/>
    <w:rsid w:val="0025156F"/>
    <w:rsid w:val="00251989"/>
    <w:rsid w:val="00251B43"/>
    <w:rsid w:val="00251FAE"/>
    <w:rsid w:val="002520F8"/>
    <w:rsid w:val="0025211D"/>
    <w:rsid w:val="002526AA"/>
    <w:rsid w:val="0025346F"/>
    <w:rsid w:val="002535C1"/>
    <w:rsid w:val="002535F2"/>
    <w:rsid w:val="00253A28"/>
    <w:rsid w:val="00253B29"/>
    <w:rsid w:val="002540E7"/>
    <w:rsid w:val="0025414B"/>
    <w:rsid w:val="002543FB"/>
    <w:rsid w:val="00254992"/>
    <w:rsid w:val="00254A31"/>
    <w:rsid w:val="00254B17"/>
    <w:rsid w:val="0025529C"/>
    <w:rsid w:val="0025553E"/>
    <w:rsid w:val="002559DA"/>
    <w:rsid w:val="00255A5F"/>
    <w:rsid w:val="002567B3"/>
    <w:rsid w:val="002567D9"/>
    <w:rsid w:val="00257074"/>
    <w:rsid w:val="0025716B"/>
    <w:rsid w:val="002572DE"/>
    <w:rsid w:val="002574AB"/>
    <w:rsid w:val="00257710"/>
    <w:rsid w:val="00257D51"/>
    <w:rsid w:val="00260D34"/>
    <w:rsid w:val="00260E55"/>
    <w:rsid w:val="002617C9"/>
    <w:rsid w:val="002618C2"/>
    <w:rsid w:val="00261D85"/>
    <w:rsid w:val="00262087"/>
    <w:rsid w:val="0026214D"/>
    <w:rsid w:val="0026227B"/>
    <w:rsid w:val="00262456"/>
    <w:rsid w:val="0026246C"/>
    <w:rsid w:val="002624A1"/>
    <w:rsid w:val="002627F3"/>
    <w:rsid w:val="00262BD7"/>
    <w:rsid w:val="00262C4D"/>
    <w:rsid w:val="0026359A"/>
    <w:rsid w:val="002636A2"/>
    <w:rsid w:val="002636E9"/>
    <w:rsid w:val="0026396F"/>
    <w:rsid w:val="00263A8D"/>
    <w:rsid w:val="00263C47"/>
    <w:rsid w:val="00263C9F"/>
    <w:rsid w:val="00263E47"/>
    <w:rsid w:val="00263FB4"/>
    <w:rsid w:val="002640D0"/>
    <w:rsid w:val="002643DA"/>
    <w:rsid w:val="002644E2"/>
    <w:rsid w:val="0026461E"/>
    <w:rsid w:val="00264E91"/>
    <w:rsid w:val="00264F6D"/>
    <w:rsid w:val="002655F6"/>
    <w:rsid w:val="0026560C"/>
    <w:rsid w:val="00265FF0"/>
    <w:rsid w:val="00266E09"/>
    <w:rsid w:val="0026739F"/>
    <w:rsid w:val="00267640"/>
    <w:rsid w:val="00270029"/>
    <w:rsid w:val="0027018D"/>
    <w:rsid w:val="00270611"/>
    <w:rsid w:val="00270697"/>
    <w:rsid w:val="00270755"/>
    <w:rsid w:val="00270B47"/>
    <w:rsid w:val="00270D59"/>
    <w:rsid w:val="00271289"/>
    <w:rsid w:val="0027134C"/>
    <w:rsid w:val="00271593"/>
    <w:rsid w:val="002715A6"/>
    <w:rsid w:val="0027161F"/>
    <w:rsid w:val="00271D4D"/>
    <w:rsid w:val="00271E47"/>
    <w:rsid w:val="0027224A"/>
    <w:rsid w:val="002724EF"/>
    <w:rsid w:val="002724F4"/>
    <w:rsid w:val="00272C48"/>
    <w:rsid w:val="002732D0"/>
    <w:rsid w:val="002736D7"/>
    <w:rsid w:val="0027373B"/>
    <w:rsid w:val="00274050"/>
    <w:rsid w:val="00274196"/>
    <w:rsid w:val="00274205"/>
    <w:rsid w:val="002744A3"/>
    <w:rsid w:val="002744AA"/>
    <w:rsid w:val="002747BF"/>
    <w:rsid w:val="002747D0"/>
    <w:rsid w:val="002748ED"/>
    <w:rsid w:val="00274955"/>
    <w:rsid w:val="0027499C"/>
    <w:rsid w:val="00274A6C"/>
    <w:rsid w:val="00274C83"/>
    <w:rsid w:val="00274CDA"/>
    <w:rsid w:val="0027513F"/>
    <w:rsid w:val="00275142"/>
    <w:rsid w:val="00275637"/>
    <w:rsid w:val="002757D0"/>
    <w:rsid w:val="00275A5D"/>
    <w:rsid w:val="00275AD2"/>
    <w:rsid w:val="0027613B"/>
    <w:rsid w:val="0027644C"/>
    <w:rsid w:val="002765AD"/>
    <w:rsid w:val="002767D0"/>
    <w:rsid w:val="00276D6C"/>
    <w:rsid w:val="00276F23"/>
    <w:rsid w:val="0027716C"/>
    <w:rsid w:val="002779DD"/>
    <w:rsid w:val="00277F07"/>
    <w:rsid w:val="0028013C"/>
    <w:rsid w:val="002803DE"/>
    <w:rsid w:val="002804A3"/>
    <w:rsid w:val="00280893"/>
    <w:rsid w:val="002812C9"/>
    <w:rsid w:val="002814EC"/>
    <w:rsid w:val="0028166F"/>
    <w:rsid w:val="00281860"/>
    <w:rsid w:val="00281952"/>
    <w:rsid w:val="00282A78"/>
    <w:rsid w:val="00282B4B"/>
    <w:rsid w:val="00282BDA"/>
    <w:rsid w:val="00282E4D"/>
    <w:rsid w:val="002832E0"/>
    <w:rsid w:val="002833BB"/>
    <w:rsid w:val="0028346E"/>
    <w:rsid w:val="002835C7"/>
    <w:rsid w:val="00284392"/>
    <w:rsid w:val="00284567"/>
    <w:rsid w:val="00284A7F"/>
    <w:rsid w:val="00284BC4"/>
    <w:rsid w:val="00284C0D"/>
    <w:rsid w:val="00285346"/>
    <w:rsid w:val="0028553F"/>
    <w:rsid w:val="00285701"/>
    <w:rsid w:val="00285A7F"/>
    <w:rsid w:val="00285AF2"/>
    <w:rsid w:val="00285FC0"/>
    <w:rsid w:val="00285FC5"/>
    <w:rsid w:val="0028641F"/>
    <w:rsid w:val="002867AA"/>
    <w:rsid w:val="002869F5"/>
    <w:rsid w:val="00286F24"/>
    <w:rsid w:val="00286F32"/>
    <w:rsid w:val="00287223"/>
    <w:rsid w:val="00287681"/>
    <w:rsid w:val="00287EBD"/>
    <w:rsid w:val="00287F8E"/>
    <w:rsid w:val="0029008F"/>
    <w:rsid w:val="0029079A"/>
    <w:rsid w:val="00290A2D"/>
    <w:rsid w:val="002910F2"/>
    <w:rsid w:val="002911F5"/>
    <w:rsid w:val="00291250"/>
    <w:rsid w:val="0029135F"/>
    <w:rsid w:val="0029196D"/>
    <w:rsid w:val="00291A01"/>
    <w:rsid w:val="00291A62"/>
    <w:rsid w:val="00291F28"/>
    <w:rsid w:val="00292687"/>
    <w:rsid w:val="002929B3"/>
    <w:rsid w:val="00292B75"/>
    <w:rsid w:val="00292E90"/>
    <w:rsid w:val="00292F01"/>
    <w:rsid w:val="0029342F"/>
    <w:rsid w:val="002934B1"/>
    <w:rsid w:val="00293626"/>
    <w:rsid w:val="00293B87"/>
    <w:rsid w:val="00293C9E"/>
    <w:rsid w:val="00293DAA"/>
    <w:rsid w:val="00293E69"/>
    <w:rsid w:val="00294076"/>
    <w:rsid w:val="00294094"/>
    <w:rsid w:val="002942B9"/>
    <w:rsid w:val="002944AD"/>
    <w:rsid w:val="00294D12"/>
    <w:rsid w:val="00295814"/>
    <w:rsid w:val="00295EBF"/>
    <w:rsid w:val="00295FCC"/>
    <w:rsid w:val="00296318"/>
    <w:rsid w:val="002963ED"/>
    <w:rsid w:val="00296B3C"/>
    <w:rsid w:val="002976EF"/>
    <w:rsid w:val="00297F6D"/>
    <w:rsid w:val="002A017C"/>
    <w:rsid w:val="002A043F"/>
    <w:rsid w:val="002A082D"/>
    <w:rsid w:val="002A0AC1"/>
    <w:rsid w:val="002A1683"/>
    <w:rsid w:val="002A18F0"/>
    <w:rsid w:val="002A195B"/>
    <w:rsid w:val="002A1B4D"/>
    <w:rsid w:val="002A1D8E"/>
    <w:rsid w:val="002A226C"/>
    <w:rsid w:val="002A25D6"/>
    <w:rsid w:val="002A287D"/>
    <w:rsid w:val="002A30A8"/>
    <w:rsid w:val="002A325C"/>
    <w:rsid w:val="002A354B"/>
    <w:rsid w:val="002A3C55"/>
    <w:rsid w:val="002A3E93"/>
    <w:rsid w:val="002A40B5"/>
    <w:rsid w:val="002A40BF"/>
    <w:rsid w:val="002A438B"/>
    <w:rsid w:val="002A43DA"/>
    <w:rsid w:val="002A4413"/>
    <w:rsid w:val="002A47C6"/>
    <w:rsid w:val="002A4B45"/>
    <w:rsid w:val="002A4F64"/>
    <w:rsid w:val="002A4FAA"/>
    <w:rsid w:val="002A543C"/>
    <w:rsid w:val="002A5850"/>
    <w:rsid w:val="002A5E2B"/>
    <w:rsid w:val="002A60AB"/>
    <w:rsid w:val="002A62D4"/>
    <w:rsid w:val="002A6559"/>
    <w:rsid w:val="002A72E4"/>
    <w:rsid w:val="002A7464"/>
    <w:rsid w:val="002A753D"/>
    <w:rsid w:val="002A76F0"/>
    <w:rsid w:val="002A78B2"/>
    <w:rsid w:val="002A7969"/>
    <w:rsid w:val="002A7DE4"/>
    <w:rsid w:val="002B07B5"/>
    <w:rsid w:val="002B07D5"/>
    <w:rsid w:val="002B0B06"/>
    <w:rsid w:val="002B0B36"/>
    <w:rsid w:val="002B1469"/>
    <w:rsid w:val="002B21F2"/>
    <w:rsid w:val="002B22FF"/>
    <w:rsid w:val="002B2487"/>
    <w:rsid w:val="002B2750"/>
    <w:rsid w:val="002B2CDA"/>
    <w:rsid w:val="002B3B40"/>
    <w:rsid w:val="002B3B45"/>
    <w:rsid w:val="002B3C6E"/>
    <w:rsid w:val="002B4636"/>
    <w:rsid w:val="002B5679"/>
    <w:rsid w:val="002B589F"/>
    <w:rsid w:val="002B5CDE"/>
    <w:rsid w:val="002B6271"/>
    <w:rsid w:val="002B63AB"/>
    <w:rsid w:val="002B6969"/>
    <w:rsid w:val="002B6B15"/>
    <w:rsid w:val="002B6C6C"/>
    <w:rsid w:val="002B6E38"/>
    <w:rsid w:val="002B7093"/>
    <w:rsid w:val="002C028F"/>
    <w:rsid w:val="002C02EC"/>
    <w:rsid w:val="002C02EF"/>
    <w:rsid w:val="002C0435"/>
    <w:rsid w:val="002C0475"/>
    <w:rsid w:val="002C049C"/>
    <w:rsid w:val="002C06A2"/>
    <w:rsid w:val="002C0797"/>
    <w:rsid w:val="002C09C9"/>
    <w:rsid w:val="002C1425"/>
    <w:rsid w:val="002C196B"/>
    <w:rsid w:val="002C1A16"/>
    <w:rsid w:val="002C1D69"/>
    <w:rsid w:val="002C2023"/>
    <w:rsid w:val="002C2E78"/>
    <w:rsid w:val="002C341B"/>
    <w:rsid w:val="002C36FF"/>
    <w:rsid w:val="002C3863"/>
    <w:rsid w:val="002C38D3"/>
    <w:rsid w:val="002C399A"/>
    <w:rsid w:val="002C3F6E"/>
    <w:rsid w:val="002C40E3"/>
    <w:rsid w:val="002C426B"/>
    <w:rsid w:val="002C4910"/>
    <w:rsid w:val="002C51F4"/>
    <w:rsid w:val="002C52BD"/>
    <w:rsid w:val="002C5465"/>
    <w:rsid w:val="002C580B"/>
    <w:rsid w:val="002C5A9A"/>
    <w:rsid w:val="002C5D82"/>
    <w:rsid w:val="002C5F99"/>
    <w:rsid w:val="002C6221"/>
    <w:rsid w:val="002C6936"/>
    <w:rsid w:val="002C6EF6"/>
    <w:rsid w:val="002C70A1"/>
    <w:rsid w:val="002C70EB"/>
    <w:rsid w:val="002C71BC"/>
    <w:rsid w:val="002C7CB3"/>
    <w:rsid w:val="002D01B6"/>
    <w:rsid w:val="002D051A"/>
    <w:rsid w:val="002D066C"/>
    <w:rsid w:val="002D0BD7"/>
    <w:rsid w:val="002D0D75"/>
    <w:rsid w:val="002D17A6"/>
    <w:rsid w:val="002D1E45"/>
    <w:rsid w:val="002D1F87"/>
    <w:rsid w:val="002D2373"/>
    <w:rsid w:val="002D26F6"/>
    <w:rsid w:val="002D2A19"/>
    <w:rsid w:val="002D2A84"/>
    <w:rsid w:val="002D30BE"/>
    <w:rsid w:val="002D325A"/>
    <w:rsid w:val="002D3A06"/>
    <w:rsid w:val="002D3E99"/>
    <w:rsid w:val="002D3FAD"/>
    <w:rsid w:val="002D4667"/>
    <w:rsid w:val="002D48AC"/>
    <w:rsid w:val="002D4A83"/>
    <w:rsid w:val="002D4C2A"/>
    <w:rsid w:val="002D5156"/>
    <w:rsid w:val="002D5221"/>
    <w:rsid w:val="002D54B2"/>
    <w:rsid w:val="002D5AD5"/>
    <w:rsid w:val="002D5F75"/>
    <w:rsid w:val="002D60C7"/>
    <w:rsid w:val="002D6528"/>
    <w:rsid w:val="002D655D"/>
    <w:rsid w:val="002D6810"/>
    <w:rsid w:val="002D68CE"/>
    <w:rsid w:val="002D68D1"/>
    <w:rsid w:val="002D68F0"/>
    <w:rsid w:val="002D6938"/>
    <w:rsid w:val="002D6EA4"/>
    <w:rsid w:val="002D6F4C"/>
    <w:rsid w:val="002D712B"/>
    <w:rsid w:val="002D7489"/>
    <w:rsid w:val="002D75E1"/>
    <w:rsid w:val="002D7852"/>
    <w:rsid w:val="002D7876"/>
    <w:rsid w:val="002D7F7C"/>
    <w:rsid w:val="002E00F5"/>
    <w:rsid w:val="002E0245"/>
    <w:rsid w:val="002E09BB"/>
    <w:rsid w:val="002E10DC"/>
    <w:rsid w:val="002E155F"/>
    <w:rsid w:val="002E1B96"/>
    <w:rsid w:val="002E1D4F"/>
    <w:rsid w:val="002E1F15"/>
    <w:rsid w:val="002E1F17"/>
    <w:rsid w:val="002E205D"/>
    <w:rsid w:val="002E22DB"/>
    <w:rsid w:val="002E28BB"/>
    <w:rsid w:val="002E2C03"/>
    <w:rsid w:val="002E2EC0"/>
    <w:rsid w:val="002E3387"/>
    <w:rsid w:val="002E34D6"/>
    <w:rsid w:val="002E3B88"/>
    <w:rsid w:val="002E3D5B"/>
    <w:rsid w:val="002E3DAD"/>
    <w:rsid w:val="002E3ED7"/>
    <w:rsid w:val="002E4583"/>
    <w:rsid w:val="002E4707"/>
    <w:rsid w:val="002E4B35"/>
    <w:rsid w:val="002E542B"/>
    <w:rsid w:val="002E6D9B"/>
    <w:rsid w:val="002E7A1F"/>
    <w:rsid w:val="002E7AE0"/>
    <w:rsid w:val="002E7B93"/>
    <w:rsid w:val="002E7F73"/>
    <w:rsid w:val="002F0117"/>
    <w:rsid w:val="002F033F"/>
    <w:rsid w:val="002F0447"/>
    <w:rsid w:val="002F046F"/>
    <w:rsid w:val="002F0546"/>
    <w:rsid w:val="002F0E28"/>
    <w:rsid w:val="002F0F50"/>
    <w:rsid w:val="002F0FBF"/>
    <w:rsid w:val="002F12A5"/>
    <w:rsid w:val="002F1589"/>
    <w:rsid w:val="002F17EF"/>
    <w:rsid w:val="002F1969"/>
    <w:rsid w:val="002F1FC7"/>
    <w:rsid w:val="002F2886"/>
    <w:rsid w:val="002F309F"/>
    <w:rsid w:val="002F33C7"/>
    <w:rsid w:val="002F3538"/>
    <w:rsid w:val="002F3CF1"/>
    <w:rsid w:val="002F3D37"/>
    <w:rsid w:val="002F42BA"/>
    <w:rsid w:val="002F452B"/>
    <w:rsid w:val="002F4635"/>
    <w:rsid w:val="002F4CC1"/>
    <w:rsid w:val="002F4E53"/>
    <w:rsid w:val="002F4E82"/>
    <w:rsid w:val="002F4FEE"/>
    <w:rsid w:val="002F50B4"/>
    <w:rsid w:val="002F5550"/>
    <w:rsid w:val="002F57FD"/>
    <w:rsid w:val="002F5DB6"/>
    <w:rsid w:val="002F5EEF"/>
    <w:rsid w:val="002F5FFD"/>
    <w:rsid w:val="002F6510"/>
    <w:rsid w:val="002F6A30"/>
    <w:rsid w:val="002F6C71"/>
    <w:rsid w:val="002F762A"/>
    <w:rsid w:val="002F7CDE"/>
    <w:rsid w:val="00300614"/>
    <w:rsid w:val="0030079A"/>
    <w:rsid w:val="00300A4F"/>
    <w:rsid w:val="003011E0"/>
    <w:rsid w:val="00301AB9"/>
    <w:rsid w:val="00301E31"/>
    <w:rsid w:val="003020F0"/>
    <w:rsid w:val="003021E3"/>
    <w:rsid w:val="003021EB"/>
    <w:rsid w:val="0030234F"/>
    <w:rsid w:val="003024F1"/>
    <w:rsid w:val="00302C47"/>
    <w:rsid w:val="00302DE7"/>
    <w:rsid w:val="00302E2C"/>
    <w:rsid w:val="0030381E"/>
    <w:rsid w:val="00303848"/>
    <w:rsid w:val="00303894"/>
    <w:rsid w:val="00303A13"/>
    <w:rsid w:val="00303D41"/>
    <w:rsid w:val="0030400B"/>
    <w:rsid w:val="003040BB"/>
    <w:rsid w:val="003042E2"/>
    <w:rsid w:val="00304465"/>
    <w:rsid w:val="00304543"/>
    <w:rsid w:val="00304659"/>
    <w:rsid w:val="00304816"/>
    <w:rsid w:val="00305216"/>
    <w:rsid w:val="00305929"/>
    <w:rsid w:val="00305A87"/>
    <w:rsid w:val="003064CB"/>
    <w:rsid w:val="00306A6A"/>
    <w:rsid w:val="00306AA7"/>
    <w:rsid w:val="00306CB1"/>
    <w:rsid w:val="00306F51"/>
    <w:rsid w:val="00306F9A"/>
    <w:rsid w:val="00307117"/>
    <w:rsid w:val="00307711"/>
    <w:rsid w:val="003077AC"/>
    <w:rsid w:val="00307B03"/>
    <w:rsid w:val="0031013A"/>
    <w:rsid w:val="0031018C"/>
    <w:rsid w:val="003105B2"/>
    <w:rsid w:val="00310832"/>
    <w:rsid w:val="00310AC6"/>
    <w:rsid w:val="00310E02"/>
    <w:rsid w:val="003111BD"/>
    <w:rsid w:val="00311355"/>
    <w:rsid w:val="003118E0"/>
    <w:rsid w:val="00311967"/>
    <w:rsid w:val="00311BFF"/>
    <w:rsid w:val="0031201D"/>
    <w:rsid w:val="003124A8"/>
    <w:rsid w:val="0031286E"/>
    <w:rsid w:val="00312EEF"/>
    <w:rsid w:val="00312FD4"/>
    <w:rsid w:val="0031302C"/>
    <w:rsid w:val="00313A91"/>
    <w:rsid w:val="00313C73"/>
    <w:rsid w:val="0031435C"/>
    <w:rsid w:val="003144DA"/>
    <w:rsid w:val="00314577"/>
    <w:rsid w:val="003145BA"/>
    <w:rsid w:val="003146B3"/>
    <w:rsid w:val="003148C5"/>
    <w:rsid w:val="003148E8"/>
    <w:rsid w:val="0031494A"/>
    <w:rsid w:val="00314D64"/>
    <w:rsid w:val="003153AB"/>
    <w:rsid w:val="00315C1F"/>
    <w:rsid w:val="00316A8D"/>
    <w:rsid w:val="00316B3D"/>
    <w:rsid w:val="0031710A"/>
    <w:rsid w:val="0031727B"/>
    <w:rsid w:val="003173FE"/>
    <w:rsid w:val="0031743E"/>
    <w:rsid w:val="003175D3"/>
    <w:rsid w:val="003176EF"/>
    <w:rsid w:val="00317939"/>
    <w:rsid w:val="00317951"/>
    <w:rsid w:val="003179E4"/>
    <w:rsid w:val="00317A5B"/>
    <w:rsid w:val="00317B85"/>
    <w:rsid w:val="00317C82"/>
    <w:rsid w:val="00317C8D"/>
    <w:rsid w:val="00320125"/>
    <w:rsid w:val="00320258"/>
    <w:rsid w:val="00320778"/>
    <w:rsid w:val="003208F1"/>
    <w:rsid w:val="00320B46"/>
    <w:rsid w:val="00321345"/>
    <w:rsid w:val="003219C6"/>
    <w:rsid w:val="00321BAA"/>
    <w:rsid w:val="00321FE8"/>
    <w:rsid w:val="003228E7"/>
    <w:rsid w:val="00322C86"/>
    <w:rsid w:val="00322F9C"/>
    <w:rsid w:val="00323064"/>
    <w:rsid w:val="00323789"/>
    <w:rsid w:val="003237CD"/>
    <w:rsid w:val="003239FE"/>
    <w:rsid w:val="00323A36"/>
    <w:rsid w:val="00323C3F"/>
    <w:rsid w:val="00324043"/>
    <w:rsid w:val="003240C6"/>
    <w:rsid w:val="003240DB"/>
    <w:rsid w:val="00324172"/>
    <w:rsid w:val="003243F1"/>
    <w:rsid w:val="00324811"/>
    <w:rsid w:val="00324D96"/>
    <w:rsid w:val="003251F5"/>
    <w:rsid w:val="003251FD"/>
    <w:rsid w:val="003252DE"/>
    <w:rsid w:val="0032561C"/>
    <w:rsid w:val="003256BF"/>
    <w:rsid w:val="0032627E"/>
    <w:rsid w:val="003263D2"/>
    <w:rsid w:val="003265DD"/>
    <w:rsid w:val="00326D3E"/>
    <w:rsid w:val="0032714F"/>
    <w:rsid w:val="0032737B"/>
    <w:rsid w:val="0032755B"/>
    <w:rsid w:val="0032756B"/>
    <w:rsid w:val="003278B6"/>
    <w:rsid w:val="00327A8B"/>
    <w:rsid w:val="00327CA0"/>
    <w:rsid w:val="00327E04"/>
    <w:rsid w:val="00327E52"/>
    <w:rsid w:val="00330024"/>
    <w:rsid w:val="0033034B"/>
    <w:rsid w:val="00330B34"/>
    <w:rsid w:val="00331365"/>
    <w:rsid w:val="003316ED"/>
    <w:rsid w:val="0033175A"/>
    <w:rsid w:val="003318EC"/>
    <w:rsid w:val="00331ACB"/>
    <w:rsid w:val="0033226E"/>
    <w:rsid w:val="003322C0"/>
    <w:rsid w:val="0033245B"/>
    <w:rsid w:val="003327D1"/>
    <w:rsid w:val="00332A9F"/>
    <w:rsid w:val="00332C11"/>
    <w:rsid w:val="0033316B"/>
    <w:rsid w:val="003331E4"/>
    <w:rsid w:val="003332A5"/>
    <w:rsid w:val="003332B4"/>
    <w:rsid w:val="003332C9"/>
    <w:rsid w:val="00333498"/>
    <w:rsid w:val="00333521"/>
    <w:rsid w:val="00333680"/>
    <w:rsid w:val="00333F62"/>
    <w:rsid w:val="003340C4"/>
    <w:rsid w:val="003342C3"/>
    <w:rsid w:val="00334AB7"/>
    <w:rsid w:val="00334DBD"/>
    <w:rsid w:val="00334F85"/>
    <w:rsid w:val="0033524F"/>
    <w:rsid w:val="003354E8"/>
    <w:rsid w:val="00335704"/>
    <w:rsid w:val="00335B8C"/>
    <w:rsid w:val="00335BEC"/>
    <w:rsid w:val="00335C3B"/>
    <w:rsid w:val="00335FEF"/>
    <w:rsid w:val="00336121"/>
    <w:rsid w:val="00336146"/>
    <w:rsid w:val="003369C1"/>
    <w:rsid w:val="00336D68"/>
    <w:rsid w:val="00336D7E"/>
    <w:rsid w:val="00337075"/>
    <w:rsid w:val="0033707C"/>
    <w:rsid w:val="003373A9"/>
    <w:rsid w:val="003373F7"/>
    <w:rsid w:val="003375F2"/>
    <w:rsid w:val="0033764C"/>
    <w:rsid w:val="00337968"/>
    <w:rsid w:val="003379E1"/>
    <w:rsid w:val="0034005A"/>
    <w:rsid w:val="00340105"/>
    <w:rsid w:val="003405F2"/>
    <w:rsid w:val="0034077B"/>
    <w:rsid w:val="00340B3C"/>
    <w:rsid w:val="00340EA3"/>
    <w:rsid w:val="00340EC3"/>
    <w:rsid w:val="00341352"/>
    <w:rsid w:val="0034136D"/>
    <w:rsid w:val="00341648"/>
    <w:rsid w:val="00341871"/>
    <w:rsid w:val="00341BA2"/>
    <w:rsid w:val="0034246D"/>
    <w:rsid w:val="003426DD"/>
    <w:rsid w:val="003429BB"/>
    <w:rsid w:val="00342C6D"/>
    <w:rsid w:val="00342D91"/>
    <w:rsid w:val="0034360D"/>
    <w:rsid w:val="00343823"/>
    <w:rsid w:val="00343AEB"/>
    <w:rsid w:val="00343B37"/>
    <w:rsid w:val="003441AF"/>
    <w:rsid w:val="0034430C"/>
    <w:rsid w:val="0034477E"/>
    <w:rsid w:val="0034499B"/>
    <w:rsid w:val="003449EE"/>
    <w:rsid w:val="00344C86"/>
    <w:rsid w:val="00345346"/>
    <w:rsid w:val="003459A5"/>
    <w:rsid w:val="00345E3E"/>
    <w:rsid w:val="00345E83"/>
    <w:rsid w:val="003461A8"/>
    <w:rsid w:val="003461B5"/>
    <w:rsid w:val="0034647F"/>
    <w:rsid w:val="003465BD"/>
    <w:rsid w:val="003467BA"/>
    <w:rsid w:val="003472CE"/>
    <w:rsid w:val="003474C7"/>
    <w:rsid w:val="00347AEC"/>
    <w:rsid w:val="00350027"/>
    <w:rsid w:val="003501D8"/>
    <w:rsid w:val="003506E8"/>
    <w:rsid w:val="00350808"/>
    <w:rsid w:val="00350B40"/>
    <w:rsid w:val="00350BE1"/>
    <w:rsid w:val="00350C45"/>
    <w:rsid w:val="00350D37"/>
    <w:rsid w:val="003513D0"/>
    <w:rsid w:val="00351544"/>
    <w:rsid w:val="00351D23"/>
    <w:rsid w:val="00352111"/>
    <w:rsid w:val="0035243E"/>
    <w:rsid w:val="003529B5"/>
    <w:rsid w:val="003529C4"/>
    <w:rsid w:val="00352D51"/>
    <w:rsid w:val="0035318B"/>
    <w:rsid w:val="0035377D"/>
    <w:rsid w:val="00353951"/>
    <w:rsid w:val="00353DEF"/>
    <w:rsid w:val="003548CE"/>
    <w:rsid w:val="003550CB"/>
    <w:rsid w:val="0035532F"/>
    <w:rsid w:val="00355506"/>
    <w:rsid w:val="0035582D"/>
    <w:rsid w:val="003558B6"/>
    <w:rsid w:val="0035596F"/>
    <w:rsid w:val="00355B23"/>
    <w:rsid w:val="003564AF"/>
    <w:rsid w:val="003576FD"/>
    <w:rsid w:val="0035786F"/>
    <w:rsid w:val="00357B2B"/>
    <w:rsid w:val="00357BD4"/>
    <w:rsid w:val="0036002A"/>
    <w:rsid w:val="0036041D"/>
    <w:rsid w:val="00360810"/>
    <w:rsid w:val="00360C9D"/>
    <w:rsid w:val="00360FA1"/>
    <w:rsid w:val="003611FD"/>
    <w:rsid w:val="00361663"/>
    <w:rsid w:val="00361B72"/>
    <w:rsid w:val="00361FD5"/>
    <w:rsid w:val="003620B5"/>
    <w:rsid w:val="003620DB"/>
    <w:rsid w:val="003621B7"/>
    <w:rsid w:val="0036259B"/>
    <w:rsid w:val="00362A92"/>
    <w:rsid w:val="00362BC1"/>
    <w:rsid w:val="00362FE2"/>
    <w:rsid w:val="003630BD"/>
    <w:rsid w:val="0036312A"/>
    <w:rsid w:val="00363568"/>
    <w:rsid w:val="003638A2"/>
    <w:rsid w:val="00363E3B"/>
    <w:rsid w:val="00363E47"/>
    <w:rsid w:val="0036416D"/>
    <w:rsid w:val="00364582"/>
    <w:rsid w:val="003645D7"/>
    <w:rsid w:val="00364A82"/>
    <w:rsid w:val="00365286"/>
    <w:rsid w:val="00365C52"/>
    <w:rsid w:val="00365F41"/>
    <w:rsid w:val="00366017"/>
    <w:rsid w:val="00366401"/>
    <w:rsid w:val="00366520"/>
    <w:rsid w:val="003666EE"/>
    <w:rsid w:val="00366833"/>
    <w:rsid w:val="00366FF4"/>
    <w:rsid w:val="0036702E"/>
    <w:rsid w:val="00367099"/>
    <w:rsid w:val="00367116"/>
    <w:rsid w:val="003671C2"/>
    <w:rsid w:val="003673CB"/>
    <w:rsid w:val="00367508"/>
    <w:rsid w:val="00367CAA"/>
    <w:rsid w:val="00370218"/>
    <w:rsid w:val="00370956"/>
    <w:rsid w:val="00370A0F"/>
    <w:rsid w:val="00370D91"/>
    <w:rsid w:val="00371DDF"/>
    <w:rsid w:val="00371E75"/>
    <w:rsid w:val="00372B2C"/>
    <w:rsid w:val="00372B94"/>
    <w:rsid w:val="00372E1F"/>
    <w:rsid w:val="0037305D"/>
    <w:rsid w:val="00373080"/>
    <w:rsid w:val="0037327A"/>
    <w:rsid w:val="003732D2"/>
    <w:rsid w:val="003733B9"/>
    <w:rsid w:val="003734EA"/>
    <w:rsid w:val="00373772"/>
    <w:rsid w:val="0037381A"/>
    <w:rsid w:val="00373863"/>
    <w:rsid w:val="0037417F"/>
    <w:rsid w:val="0037434F"/>
    <w:rsid w:val="003744B2"/>
    <w:rsid w:val="00374A1A"/>
    <w:rsid w:val="00374CFC"/>
    <w:rsid w:val="003751DB"/>
    <w:rsid w:val="00375561"/>
    <w:rsid w:val="0037566E"/>
    <w:rsid w:val="0037573E"/>
    <w:rsid w:val="0037587B"/>
    <w:rsid w:val="00375FE1"/>
    <w:rsid w:val="0037620D"/>
    <w:rsid w:val="00376889"/>
    <w:rsid w:val="0037688C"/>
    <w:rsid w:val="0037736A"/>
    <w:rsid w:val="003778DE"/>
    <w:rsid w:val="00377A92"/>
    <w:rsid w:val="00377CAB"/>
    <w:rsid w:val="00377CCF"/>
    <w:rsid w:val="003800B0"/>
    <w:rsid w:val="00380150"/>
    <w:rsid w:val="0038021F"/>
    <w:rsid w:val="00380627"/>
    <w:rsid w:val="00380A43"/>
    <w:rsid w:val="00380BE5"/>
    <w:rsid w:val="00380D61"/>
    <w:rsid w:val="00380E4F"/>
    <w:rsid w:val="00381580"/>
    <w:rsid w:val="003816B6"/>
    <w:rsid w:val="00381735"/>
    <w:rsid w:val="00381A47"/>
    <w:rsid w:val="00381AE0"/>
    <w:rsid w:val="00381F29"/>
    <w:rsid w:val="003822F0"/>
    <w:rsid w:val="0038263F"/>
    <w:rsid w:val="003829FF"/>
    <w:rsid w:val="00382C25"/>
    <w:rsid w:val="00382E60"/>
    <w:rsid w:val="0038324A"/>
    <w:rsid w:val="00383257"/>
    <w:rsid w:val="003835F4"/>
    <w:rsid w:val="00383A82"/>
    <w:rsid w:val="00383B9A"/>
    <w:rsid w:val="0038426B"/>
    <w:rsid w:val="003843D7"/>
    <w:rsid w:val="003849FB"/>
    <w:rsid w:val="00384B3B"/>
    <w:rsid w:val="00385C5F"/>
    <w:rsid w:val="00385DE1"/>
    <w:rsid w:val="00386363"/>
    <w:rsid w:val="003867F0"/>
    <w:rsid w:val="003871D5"/>
    <w:rsid w:val="00387309"/>
    <w:rsid w:val="0038764F"/>
    <w:rsid w:val="00387679"/>
    <w:rsid w:val="003878E4"/>
    <w:rsid w:val="00387CCC"/>
    <w:rsid w:val="00387D94"/>
    <w:rsid w:val="00390021"/>
    <w:rsid w:val="003902EC"/>
    <w:rsid w:val="0039034E"/>
    <w:rsid w:val="0039053A"/>
    <w:rsid w:val="00390919"/>
    <w:rsid w:val="00390925"/>
    <w:rsid w:val="00390A07"/>
    <w:rsid w:val="00390FA8"/>
    <w:rsid w:val="00391369"/>
    <w:rsid w:val="003917CB"/>
    <w:rsid w:val="00391998"/>
    <w:rsid w:val="00391E4D"/>
    <w:rsid w:val="0039240C"/>
    <w:rsid w:val="0039253A"/>
    <w:rsid w:val="0039272C"/>
    <w:rsid w:val="00392801"/>
    <w:rsid w:val="00392907"/>
    <w:rsid w:val="00392AAD"/>
    <w:rsid w:val="003941C6"/>
    <w:rsid w:val="003941CF"/>
    <w:rsid w:val="003943D7"/>
    <w:rsid w:val="00394690"/>
    <w:rsid w:val="0039499C"/>
    <w:rsid w:val="00394B2F"/>
    <w:rsid w:val="00394D37"/>
    <w:rsid w:val="0039501D"/>
    <w:rsid w:val="00395940"/>
    <w:rsid w:val="00395BC4"/>
    <w:rsid w:val="00395E6F"/>
    <w:rsid w:val="0039633C"/>
    <w:rsid w:val="00396746"/>
    <w:rsid w:val="00396CC7"/>
    <w:rsid w:val="00396FF0"/>
    <w:rsid w:val="003976D0"/>
    <w:rsid w:val="0039784D"/>
    <w:rsid w:val="00397969"/>
    <w:rsid w:val="00397A5E"/>
    <w:rsid w:val="00397AAD"/>
    <w:rsid w:val="00397CB3"/>
    <w:rsid w:val="00397FF2"/>
    <w:rsid w:val="003A0398"/>
    <w:rsid w:val="003A047C"/>
    <w:rsid w:val="003A0DB5"/>
    <w:rsid w:val="003A145B"/>
    <w:rsid w:val="003A157A"/>
    <w:rsid w:val="003A176A"/>
    <w:rsid w:val="003A1844"/>
    <w:rsid w:val="003A184C"/>
    <w:rsid w:val="003A1899"/>
    <w:rsid w:val="003A1926"/>
    <w:rsid w:val="003A1C22"/>
    <w:rsid w:val="003A1C65"/>
    <w:rsid w:val="003A1CF9"/>
    <w:rsid w:val="003A26FA"/>
    <w:rsid w:val="003A287A"/>
    <w:rsid w:val="003A29E9"/>
    <w:rsid w:val="003A2A7F"/>
    <w:rsid w:val="003A33E2"/>
    <w:rsid w:val="003A38DD"/>
    <w:rsid w:val="003A3D24"/>
    <w:rsid w:val="003A3D53"/>
    <w:rsid w:val="003A40F3"/>
    <w:rsid w:val="003A436D"/>
    <w:rsid w:val="003A4A59"/>
    <w:rsid w:val="003A4A81"/>
    <w:rsid w:val="003A4FE4"/>
    <w:rsid w:val="003A5190"/>
    <w:rsid w:val="003A528D"/>
    <w:rsid w:val="003A5646"/>
    <w:rsid w:val="003A566F"/>
    <w:rsid w:val="003A5A32"/>
    <w:rsid w:val="003A5E41"/>
    <w:rsid w:val="003A65B1"/>
    <w:rsid w:val="003A673B"/>
    <w:rsid w:val="003A6859"/>
    <w:rsid w:val="003A68E3"/>
    <w:rsid w:val="003A6912"/>
    <w:rsid w:val="003A70B3"/>
    <w:rsid w:val="003A723C"/>
    <w:rsid w:val="003A7262"/>
    <w:rsid w:val="003A7901"/>
    <w:rsid w:val="003A7925"/>
    <w:rsid w:val="003A7CF6"/>
    <w:rsid w:val="003A7FFD"/>
    <w:rsid w:val="003B01AD"/>
    <w:rsid w:val="003B05ED"/>
    <w:rsid w:val="003B0B3D"/>
    <w:rsid w:val="003B0C2D"/>
    <w:rsid w:val="003B0E52"/>
    <w:rsid w:val="003B132D"/>
    <w:rsid w:val="003B17C5"/>
    <w:rsid w:val="003B1B51"/>
    <w:rsid w:val="003B22F7"/>
    <w:rsid w:val="003B2A75"/>
    <w:rsid w:val="003B2CEE"/>
    <w:rsid w:val="003B2D31"/>
    <w:rsid w:val="003B303C"/>
    <w:rsid w:val="003B304A"/>
    <w:rsid w:val="003B3172"/>
    <w:rsid w:val="003B3279"/>
    <w:rsid w:val="003B357E"/>
    <w:rsid w:val="003B3978"/>
    <w:rsid w:val="003B41AB"/>
    <w:rsid w:val="003B41AF"/>
    <w:rsid w:val="003B44F3"/>
    <w:rsid w:val="003B4F57"/>
    <w:rsid w:val="003B5077"/>
    <w:rsid w:val="003B52A8"/>
    <w:rsid w:val="003B52F7"/>
    <w:rsid w:val="003B578C"/>
    <w:rsid w:val="003B5E36"/>
    <w:rsid w:val="003B5F0A"/>
    <w:rsid w:val="003B61CB"/>
    <w:rsid w:val="003B677D"/>
    <w:rsid w:val="003B6C29"/>
    <w:rsid w:val="003B6DC4"/>
    <w:rsid w:val="003B6E68"/>
    <w:rsid w:val="003B7010"/>
    <w:rsid w:val="003B7D7F"/>
    <w:rsid w:val="003B7FB5"/>
    <w:rsid w:val="003C0009"/>
    <w:rsid w:val="003C048B"/>
    <w:rsid w:val="003C04E1"/>
    <w:rsid w:val="003C0AEF"/>
    <w:rsid w:val="003C0CE2"/>
    <w:rsid w:val="003C1700"/>
    <w:rsid w:val="003C1993"/>
    <w:rsid w:val="003C1E3E"/>
    <w:rsid w:val="003C2055"/>
    <w:rsid w:val="003C270C"/>
    <w:rsid w:val="003C29CB"/>
    <w:rsid w:val="003C2BE4"/>
    <w:rsid w:val="003C2D08"/>
    <w:rsid w:val="003C2E68"/>
    <w:rsid w:val="003C2EE3"/>
    <w:rsid w:val="003C317C"/>
    <w:rsid w:val="003C3719"/>
    <w:rsid w:val="003C38EF"/>
    <w:rsid w:val="003C3FD5"/>
    <w:rsid w:val="003C421F"/>
    <w:rsid w:val="003C44DE"/>
    <w:rsid w:val="003C4928"/>
    <w:rsid w:val="003C4A82"/>
    <w:rsid w:val="003C524F"/>
    <w:rsid w:val="003C57DC"/>
    <w:rsid w:val="003C5C6B"/>
    <w:rsid w:val="003C62E6"/>
    <w:rsid w:val="003C6388"/>
    <w:rsid w:val="003C63E0"/>
    <w:rsid w:val="003C6DC2"/>
    <w:rsid w:val="003C712E"/>
    <w:rsid w:val="003C74EB"/>
    <w:rsid w:val="003C776C"/>
    <w:rsid w:val="003C7E38"/>
    <w:rsid w:val="003C7E92"/>
    <w:rsid w:val="003D022D"/>
    <w:rsid w:val="003D0BB2"/>
    <w:rsid w:val="003D0E03"/>
    <w:rsid w:val="003D1172"/>
    <w:rsid w:val="003D14AF"/>
    <w:rsid w:val="003D1738"/>
    <w:rsid w:val="003D1997"/>
    <w:rsid w:val="003D1A47"/>
    <w:rsid w:val="003D20A7"/>
    <w:rsid w:val="003D23EC"/>
    <w:rsid w:val="003D403E"/>
    <w:rsid w:val="003D42D9"/>
    <w:rsid w:val="003D4367"/>
    <w:rsid w:val="003D4767"/>
    <w:rsid w:val="003D48E3"/>
    <w:rsid w:val="003D49D6"/>
    <w:rsid w:val="003D4B23"/>
    <w:rsid w:val="003D4C60"/>
    <w:rsid w:val="003D4D6B"/>
    <w:rsid w:val="003D50EC"/>
    <w:rsid w:val="003D5179"/>
    <w:rsid w:val="003D5451"/>
    <w:rsid w:val="003D5514"/>
    <w:rsid w:val="003D5668"/>
    <w:rsid w:val="003D57A3"/>
    <w:rsid w:val="003D5AD7"/>
    <w:rsid w:val="003D5CDE"/>
    <w:rsid w:val="003D6174"/>
    <w:rsid w:val="003D6413"/>
    <w:rsid w:val="003D6472"/>
    <w:rsid w:val="003D65C0"/>
    <w:rsid w:val="003D661A"/>
    <w:rsid w:val="003D67A1"/>
    <w:rsid w:val="003D6BB6"/>
    <w:rsid w:val="003D6D7D"/>
    <w:rsid w:val="003D6E42"/>
    <w:rsid w:val="003D6E49"/>
    <w:rsid w:val="003D6E59"/>
    <w:rsid w:val="003D711E"/>
    <w:rsid w:val="003D7374"/>
    <w:rsid w:val="003D779F"/>
    <w:rsid w:val="003D794B"/>
    <w:rsid w:val="003D7975"/>
    <w:rsid w:val="003D7EBB"/>
    <w:rsid w:val="003D7F48"/>
    <w:rsid w:val="003D7F9B"/>
    <w:rsid w:val="003D7FC5"/>
    <w:rsid w:val="003E010D"/>
    <w:rsid w:val="003E07BA"/>
    <w:rsid w:val="003E0BF1"/>
    <w:rsid w:val="003E10D2"/>
    <w:rsid w:val="003E1204"/>
    <w:rsid w:val="003E15D2"/>
    <w:rsid w:val="003E1949"/>
    <w:rsid w:val="003E199F"/>
    <w:rsid w:val="003E1BF0"/>
    <w:rsid w:val="003E1F2C"/>
    <w:rsid w:val="003E2283"/>
    <w:rsid w:val="003E23AB"/>
    <w:rsid w:val="003E25C2"/>
    <w:rsid w:val="003E2B7A"/>
    <w:rsid w:val="003E2C82"/>
    <w:rsid w:val="003E343B"/>
    <w:rsid w:val="003E3710"/>
    <w:rsid w:val="003E3805"/>
    <w:rsid w:val="003E3AC0"/>
    <w:rsid w:val="003E413E"/>
    <w:rsid w:val="003E4553"/>
    <w:rsid w:val="003E483E"/>
    <w:rsid w:val="003E4999"/>
    <w:rsid w:val="003E4DB9"/>
    <w:rsid w:val="003E5106"/>
    <w:rsid w:val="003E5452"/>
    <w:rsid w:val="003E5ED4"/>
    <w:rsid w:val="003E5F64"/>
    <w:rsid w:val="003E6036"/>
    <w:rsid w:val="003E60CA"/>
    <w:rsid w:val="003E6739"/>
    <w:rsid w:val="003E6A00"/>
    <w:rsid w:val="003E6D4C"/>
    <w:rsid w:val="003E6DD0"/>
    <w:rsid w:val="003E6EB5"/>
    <w:rsid w:val="003E738E"/>
    <w:rsid w:val="003E7466"/>
    <w:rsid w:val="003E747E"/>
    <w:rsid w:val="003E75D8"/>
    <w:rsid w:val="003E75DD"/>
    <w:rsid w:val="003E7F03"/>
    <w:rsid w:val="003E7F56"/>
    <w:rsid w:val="003F05A1"/>
    <w:rsid w:val="003F072E"/>
    <w:rsid w:val="003F0A77"/>
    <w:rsid w:val="003F0DC0"/>
    <w:rsid w:val="003F0F06"/>
    <w:rsid w:val="003F10C2"/>
    <w:rsid w:val="003F163B"/>
    <w:rsid w:val="003F1962"/>
    <w:rsid w:val="003F1D3F"/>
    <w:rsid w:val="003F27FE"/>
    <w:rsid w:val="003F2CD6"/>
    <w:rsid w:val="003F2D9D"/>
    <w:rsid w:val="003F2F74"/>
    <w:rsid w:val="003F4232"/>
    <w:rsid w:val="003F535C"/>
    <w:rsid w:val="003F5782"/>
    <w:rsid w:val="003F59F3"/>
    <w:rsid w:val="003F5A09"/>
    <w:rsid w:val="003F5A71"/>
    <w:rsid w:val="003F5AB8"/>
    <w:rsid w:val="003F5BCF"/>
    <w:rsid w:val="003F61F2"/>
    <w:rsid w:val="003F6306"/>
    <w:rsid w:val="003F64A7"/>
    <w:rsid w:val="003F651F"/>
    <w:rsid w:val="003F67D5"/>
    <w:rsid w:val="003F6EDE"/>
    <w:rsid w:val="003F72B3"/>
    <w:rsid w:val="003F77BC"/>
    <w:rsid w:val="00400086"/>
    <w:rsid w:val="00400167"/>
    <w:rsid w:val="00400AD1"/>
    <w:rsid w:val="00401163"/>
    <w:rsid w:val="00401171"/>
    <w:rsid w:val="00402199"/>
    <w:rsid w:val="004021F6"/>
    <w:rsid w:val="00402823"/>
    <w:rsid w:val="00402A93"/>
    <w:rsid w:val="004032F0"/>
    <w:rsid w:val="00403AB8"/>
    <w:rsid w:val="00403EC3"/>
    <w:rsid w:val="004041F7"/>
    <w:rsid w:val="00404D42"/>
    <w:rsid w:val="00404E76"/>
    <w:rsid w:val="00405380"/>
    <w:rsid w:val="00405393"/>
    <w:rsid w:val="00405409"/>
    <w:rsid w:val="00405452"/>
    <w:rsid w:val="00405C6D"/>
    <w:rsid w:val="0040601C"/>
    <w:rsid w:val="0040604D"/>
    <w:rsid w:val="0040662E"/>
    <w:rsid w:val="00406706"/>
    <w:rsid w:val="00406B1B"/>
    <w:rsid w:val="00407073"/>
    <w:rsid w:val="00407C7E"/>
    <w:rsid w:val="00407D27"/>
    <w:rsid w:val="004102C5"/>
    <w:rsid w:val="0041080E"/>
    <w:rsid w:val="004108CF"/>
    <w:rsid w:val="004113CF"/>
    <w:rsid w:val="00411874"/>
    <w:rsid w:val="00411C07"/>
    <w:rsid w:val="00411C3A"/>
    <w:rsid w:val="00411D59"/>
    <w:rsid w:val="00411DBF"/>
    <w:rsid w:val="00412120"/>
    <w:rsid w:val="004122B7"/>
    <w:rsid w:val="004125F8"/>
    <w:rsid w:val="004126D8"/>
    <w:rsid w:val="00412732"/>
    <w:rsid w:val="0041287E"/>
    <w:rsid w:val="00412941"/>
    <w:rsid w:val="00412A1C"/>
    <w:rsid w:val="00412A9A"/>
    <w:rsid w:val="00412B05"/>
    <w:rsid w:val="00412E3E"/>
    <w:rsid w:val="0041306D"/>
    <w:rsid w:val="004137A0"/>
    <w:rsid w:val="00413C4F"/>
    <w:rsid w:val="00413DAA"/>
    <w:rsid w:val="00413DB7"/>
    <w:rsid w:val="00414227"/>
    <w:rsid w:val="00415034"/>
    <w:rsid w:val="00415974"/>
    <w:rsid w:val="00415A40"/>
    <w:rsid w:val="00416097"/>
    <w:rsid w:val="00416277"/>
    <w:rsid w:val="00416715"/>
    <w:rsid w:val="00416D6C"/>
    <w:rsid w:val="00416D9B"/>
    <w:rsid w:val="00416E1D"/>
    <w:rsid w:val="004171AC"/>
    <w:rsid w:val="00417426"/>
    <w:rsid w:val="00417963"/>
    <w:rsid w:val="00417F00"/>
    <w:rsid w:val="004201F9"/>
    <w:rsid w:val="00420691"/>
    <w:rsid w:val="00420919"/>
    <w:rsid w:val="004209EA"/>
    <w:rsid w:val="00420C86"/>
    <w:rsid w:val="00420DA8"/>
    <w:rsid w:val="004214D1"/>
    <w:rsid w:val="0042172F"/>
    <w:rsid w:val="00421879"/>
    <w:rsid w:val="004226DD"/>
    <w:rsid w:val="00422703"/>
    <w:rsid w:val="004228DB"/>
    <w:rsid w:val="00422CCB"/>
    <w:rsid w:val="00422F61"/>
    <w:rsid w:val="0042399D"/>
    <w:rsid w:val="00423D45"/>
    <w:rsid w:val="004256B2"/>
    <w:rsid w:val="004258EB"/>
    <w:rsid w:val="00425C65"/>
    <w:rsid w:val="00426242"/>
    <w:rsid w:val="004263DD"/>
    <w:rsid w:val="00426B31"/>
    <w:rsid w:val="00426C16"/>
    <w:rsid w:val="00426C3D"/>
    <w:rsid w:val="00426C91"/>
    <w:rsid w:val="004272E7"/>
    <w:rsid w:val="00427382"/>
    <w:rsid w:val="00427A8E"/>
    <w:rsid w:val="00427CBB"/>
    <w:rsid w:val="00427F05"/>
    <w:rsid w:val="0043005A"/>
    <w:rsid w:val="004302FC"/>
    <w:rsid w:val="004306DF"/>
    <w:rsid w:val="00430728"/>
    <w:rsid w:val="00430D53"/>
    <w:rsid w:val="00431053"/>
    <w:rsid w:val="00431166"/>
    <w:rsid w:val="004312AC"/>
    <w:rsid w:val="0043143D"/>
    <w:rsid w:val="0043160B"/>
    <w:rsid w:val="00431BD6"/>
    <w:rsid w:val="00431D5A"/>
    <w:rsid w:val="00432A0F"/>
    <w:rsid w:val="00432B6D"/>
    <w:rsid w:val="00432BD9"/>
    <w:rsid w:val="00432F24"/>
    <w:rsid w:val="00433063"/>
    <w:rsid w:val="00433294"/>
    <w:rsid w:val="00433353"/>
    <w:rsid w:val="004338D5"/>
    <w:rsid w:val="0043394F"/>
    <w:rsid w:val="0043418B"/>
    <w:rsid w:val="00434456"/>
    <w:rsid w:val="0043487C"/>
    <w:rsid w:val="00434B6B"/>
    <w:rsid w:val="00435106"/>
    <w:rsid w:val="00435446"/>
    <w:rsid w:val="00435560"/>
    <w:rsid w:val="00435CC3"/>
    <w:rsid w:val="00435E1B"/>
    <w:rsid w:val="00436526"/>
    <w:rsid w:val="004368E1"/>
    <w:rsid w:val="0043698F"/>
    <w:rsid w:val="00436AE0"/>
    <w:rsid w:val="00436AEF"/>
    <w:rsid w:val="00436CF7"/>
    <w:rsid w:val="00436E5C"/>
    <w:rsid w:val="004371E9"/>
    <w:rsid w:val="004375B1"/>
    <w:rsid w:val="0043778B"/>
    <w:rsid w:val="00437831"/>
    <w:rsid w:val="00437BF6"/>
    <w:rsid w:val="00437CAC"/>
    <w:rsid w:val="00437E9D"/>
    <w:rsid w:val="00440C3D"/>
    <w:rsid w:val="0044147E"/>
    <w:rsid w:val="004417DE"/>
    <w:rsid w:val="00441A53"/>
    <w:rsid w:val="00441B1C"/>
    <w:rsid w:val="00441BC1"/>
    <w:rsid w:val="00441C6D"/>
    <w:rsid w:val="00441E1C"/>
    <w:rsid w:val="00441EA7"/>
    <w:rsid w:val="004420A8"/>
    <w:rsid w:val="00442B06"/>
    <w:rsid w:val="00442D41"/>
    <w:rsid w:val="00442DBF"/>
    <w:rsid w:val="00442E23"/>
    <w:rsid w:val="00443044"/>
    <w:rsid w:val="00443103"/>
    <w:rsid w:val="00443143"/>
    <w:rsid w:val="00443533"/>
    <w:rsid w:val="004438F7"/>
    <w:rsid w:val="00443985"/>
    <w:rsid w:val="00443C76"/>
    <w:rsid w:val="0044419D"/>
    <w:rsid w:val="0044438A"/>
    <w:rsid w:val="00444562"/>
    <w:rsid w:val="0044478E"/>
    <w:rsid w:val="004447EA"/>
    <w:rsid w:val="0044488E"/>
    <w:rsid w:val="00444C19"/>
    <w:rsid w:val="00444F9D"/>
    <w:rsid w:val="004458CA"/>
    <w:rsid w:val="00445AFA"/>
    <w:rsid w:val="00445D01"/>
    <w:rsid w:val="00445E5F"/>
    <w:rsid w:val="00446157"/>
    <w:rsid w:val="004461A4"/>
    <w:rsid w:val="004461D0"/>
    <w:rsid w:val="004462D2"/>
    <w:rsid w:val="00446374"/>
    <w:rsid w:val="00446489"/>
    <w:rsid w:val="00446537"/>
    <w:rsid w:val="00446605"/>
    <w:rsid w:val="004466CD"/>
    <w:rsid w:val="0044671A"/>
    <w:rsid w:val="00446798"/>
    <w:rsid w:val="00446B30"/>
    <w:rsid w:val="00447387"/>
    <w:rsid w:val="00447397"/>
    <w:rsid w:val="0044789A"/>
    <w:rsid w:val="00447CC2"/>
    <w:rsid w:val="00447FCB"/>
    <w:rsid w:val="0045026C"/>
    <w:rsid w:val="00450663"/>
    <w:rsid w:val="004507D7"/>
    <w:rsid w:val="00450BC6"/>
    <w:rsid w:val="00450DAD"/>
    <w:rsid w:val="00450E01"/>
    <w:rsid w:val="00450FA8"/>
    <w:rsid w:val="00451177"/>
    <w:rsid w:val="0045123E"/>
    <w:rsid w:val="004512ED"/>
    <w:rsid w:val="004518D0"/>
    <w:rsid w:val="00452310"/>
    <w:rsid w:val="0045288A"/>
    <w:rsid w:val="00452ACD"/>
    <w:rsid w:val="00452B84"/>
    <w:rsid w:val="00452C80"/>
    <w:rsid w:val="004531A4"/>
    <w:rsid w:val="00453268"/>
    <w:rsid w:val="00453577"/>
    <w:rsid w:val="00453C5D"/>
    <w:rsid w:val="00454170"/>
    <w:rsid w:val="00454832"/>
    <w:rsid w:val="00454890"/>
    <w:rsid w:val="00454A4D"/>
    <w:rsid w:val="00454A90"/>
    <w:rsid w:val="00454F20"/>
    <w:rsid w:val="004553C6"/>
    <w:rsid w:val="00455834"/>
    <w:rsid w:val="00455B45"/>
    <w:rsid w:val="00455B9C"/>
    <w:rsid w:val="00455BB7"/>
    <w:rsid w:val="00456165"/>
    <w:rsid w:val="0045649E"/>
    <w:rsid w:val="004565EB"/>
    <w:rsid w:val="00456861"/>
    <w:rsid w:val="004572A3"/>
    <w:rsid w:val="004576F2"/>
    <w:rsid w:val="004577F9"/>
    <w:rsid w:val="00457CC6"/>
    <w:rsid w:val="00457DE2"/>
    <w:rsid w:val="00457FB3"/>
    <w:rsid w:val="004608B6"/>
    <w:rsid w:val="004608EE"/>
    <w:rsid w:val="0046098B"/>
    <w:rsid w:val="004610D7"/>
    <w:rsid w:val="00461155"/>
    <w:rsid w:val="004615C4"/>
    <w:rsid w:val="00461628"/>
    <w:rsid w:val="00461A79"/>
    <w:rsid w:val="0046245E"/>
    <w:rsid w:val="00462996"/>
    <w:rsid w:val="00462A41"/>
    <w:rsid w:val="00462B20"/>
    <w:rsid w:val="00462BD0"/>
    <w:rsid w:val="00462D04"/>
    <w:rsid w:val="00462DB7"/>
    <w:rsid w:val="00463017"/>
    <w:rsid w:val="00463593"/>
    <w:rsid w:val="004635B6"/>
    <w:rsid w:val="0046376F"/>
    <w:rsid w:val="00463986"/>
    <w:rsid w:val="00463CF2"/>
    <w:rsid w:val="0046420B"/>
    <w:rsid w:val="00464B26"/>
    <w:rsid w:val="00464CC2"/>
    <w:rsid w:val="00464DAA"/>
    <w:rsid w:val="004655C4"/>
    <w:rsid w:val="004657FF"/>
    <w:rsid w:val="00465892"/>
    <w:rsid w:val="00465895"/>
    <w:rsid w:val="00465A53"/>
    <w:rsid w:val="00465CB2"/>
    <w:rsid w:val="00465D75"/>
    <w:rsid w:val="004661B1"/>
    <w:rsid w:val="004663F7"/>
    <w:rsid w:val="00466D7E"/>
    <w:rsid w:val="004674C1"/>
    <w:rsid w:val="00467852"/>
    <w:rsid w:val="004679FD"/>
    <w:rsid w:val="00470019"/>
    <w:rsid w:val="00470308"/>
    <w:rsid w:val="0047046B"/>
    <w:rsid w:val="00470DB4"/>
    <w:rsid w:val="0047107A"/>
    <w:rsid w:val="004710D3"/>
    <w:rsid w:val="004710DF"/>
    <w:rsid w:val="004714D2"/>
    <w:rsid w:val="00471507"/>
    <w:rsid w:val="00471D6C"/>
    <w:rsid w:val="00471E47"/>
    <w:rsid w:val="00471FC5"/>
    <w:rsid w:val="00472074"/>
    <w:rsid w:val="00472AEE"/>
    <w:rsid w:val="00472B3C"/>
    <w:rsid w:val="00472B9D"/>
    <w:rsid w:val="00472D20"/>
    <w:rsid w:val="004737B3"/>
    <w:rsid w:val="004738E4"/>
    <w:rsid w:val="004738E5"/>
    <w:rsid w:val="00473F1D"/>
    <w:rsid w:val="004740CB"/>
    <w:rsid w:val="004743A8"/>
    <w:rsid w:val="0047459B"/>
    <w:rsid w:val="0047466C"/>
    <w:rsid w:val="00474928"/>
    <w:rsid w:val="00474EC8"/>
    <w:rsid w:val="0047513F"/>
    <w:rsid w:val="0047556E"/>
    <w:rsid w:val="0047565B"/>
    <w:rsid w:val="004757A8"/>
    <w:rsid w:val="0047598B"/>
    <w:rsid w:val="00475DAC"/>
    <w:rsid w:val="004761DC"/>
    <w:rsid w:val="0047633A"/>
    <w:rsid w:val="0047634B"/>
    <w:rsid w:val="00476428"/>
    <w:rsid w:val="00476588"/>
    <w:rsid w:val="00476831"/>
    <w:rsid w:val="00476EBB"/>
    <w:rsid w:val="0047711B"/>
    <w:rsid w:val="00477336"/>
    <w:rsid w:val="00477AA4"/>
    <w:rsid w:val="00477C62"/>
    <w:rsid w:val="00477E82"/>
    <w:rsid w:val="00477FB2"/>
    <w:rsid w:val="0048004E"/>
    <w:rsid w:val="00480129"/>
    <w:rsid w:val="00480575"/>
    <w:rsid w:val="00480F11"/>
    <w:rsid w:val="00482083"/>
    <w:rsid w:val="004823C1"/>
    <w:rsid w:val="004823D0"/>
    <w:rsid w:val="004825D7"/>
    <w:rsid w:val="004831BB"/>
    <w:rsid w:val="00483290"/>
    <w:rsid w:val="004834B7"/>
    <w:rsid w:val="00483841"/>
    <w:rsid w:val="00483914"/>
    <w:rsid w:val="00483C6F"/>
    <w:rsid w:val="00484263"/>
    <w:rsid w:val="004843B5"/>
    <w:rsid w:val="004844FC"/>
    <w:rsid w:val="00484FDF"/>
    <w:rsid w:val="004854A5"/>
    <w:rsid w:val="004855F1"/>
    <w:rsid w:val="00485A07"/>
    <w:rsid w:val="00485A73"/>
    <w:rsid w:val="00485D62"/>
    <w:rsid w:val="00485D6D"/>
    <w:rsid w:val="00485EDD"/>
    <w:rsid w:val="00486243"/>
    <w:rsid w:val="00486319"/>
    <w:rsid w:val="004864A6"/>
    <w:rsid w:val="004865EE"/>
    <w:rsid w:val="004868A0"/>
    <w:rsid w:val="00486B0E"/>
    <w:rsid w:val="00487952"/>
    <w:rsid w:val="00487F97"/>
    <w:rsid w:val="00490235"/>
    <w:rsid w:val="004904F5"/>
    <w:rsid w:val="00490575"/>
    <w:rsid w:val="0049105E"/>
    <w:rsid w:val="0049114B"/>
    <w:rsid w:val="004913BD"/>
    <w:rsid w:val="00491B51"/>
    <w:rsid w:val="0049254E"/>
    <w:rsid w:val="00492B5E"/>
    <w:rsid w:val="00492B75"/>
    <w:rsid w:val="00492BDE"/>
    <w:rsid w:val="00493194"/>
    <w:rsid w:val="004933E0"/>
    <w:rsid w:val="0049407C"/>
    <w:rsid w:val="004947BD"/>
    <w:rsid w:val="004948E4"/>
    <w:rsid w:val="00494D55"/>
    <w:rsid w:val="004953A7"/>
    <w:rsid w:val="00495729"/>
    <w:rsid w:val="00495C08"/>
    <w:rsid w:val="00495C16"/>
    <w:rsid w:val="00495EDB"/>
    <w:rsid w:val="00495FEA"/>
    <w:rsid w:val="004963FD"/>
    <w:rsid w:val="004975DF"/>
    <w:rsid w:val="004976A3"/>
    <w:rsid w:val="00497F41"/>
    <w:rsid w:val="004A0140"/>
    <w:rsid w:val="004A0471"/>
    <w:rsid w:val="004A09B6"/>
    <w:rsid w:val="004A12A2"/>
    <w:rsid w:val="004A1350"/>
    <w:rsid w:val="004A138A"/>
    <w:rsid w:val="004A1B0F"/>
    <w:rsid w:val="004A1CF9"/>
    <w:rsid w:val="004A1FE1"/>
    <w:rsid w:val="004A2013"/>
    <w:rsid w:val="004A228C"/>
    <w:rsid w:val="004A29C1"/>
    <w:rsid w:val="004A29F7"/>
    <w:rsid w:val="004A2FEB"/>
    <w:rsid w:val="004A3467"/>
    <w:rsid w:val="004A34BC"/>
    <w:rsid w:val="004A4183"/>
    <w:rsid w:val="004A460D"/>
    <w:rsid w:val="004A4913"/>
    <w:rsid w:val="004A4985"/>
    <w:rsid w:val="004A49CD"/>
    <w:rsid w:val="004A4D4D"/>
    <w:rsid w:val="004A526B"/>
    <w:rsid w:val="004A52FC"/>
    <w:rsid w:val="004A535F"/>
    <w:rsid w:val="004A55B8"/>
    <w:rsid w:val="004A5826"/>
    <w:rsid w:val="004A6463"/>
    <w:rsid w:val="004A659B"/>
    <w:rsid w:val="004A65E6"/>
    <w:rsid w:val="004A6695"/>
    <w:rsid w:val="004A671E"/>
    <w:rsid w:val="004A673C"/>
    <w:rsid w:val="004A6C23"/>
    <w:rsid w:val="004A7471"/>
    <w:rsid w:val="004A77E1"/>
    <w:rsid w:val="004A783D"/>
    <w:rsid w:val="004B0247"/>
    <w:rsid w:val="004B064C"/>
    <w:rsid w:val="004B1565"/>
    <w:rsid w:val="004B1868"/>
    <w:rsid w:val="004B1AFA"/>
    <w:rsid w:val="004B204C"/>
    <w:rsid w:val="004B208C"/>
    <w:rsid w:val="004B2265"/>
    <w:rsid w:val="004B2807"/>
    <w:rsid w:val="004B2918"/>
    <w:rsid w:val="004B3418"/>
    <w:rsid w:val="004B3574"/>
    <w:rsid w:val="004B3864"/>
    <w:rsid w:val="004B3D7B"/>
    <w:rsid w:val="004B3DD6"/>
    <w:rsid w:val="004B3FD2"/>
    <w:rsid w:val="004B40A6"/>
    <w:rsid w:val="004B4A4D"/>
    <w:rsid w:val="004B4D89"/>
    <w:rsid w:val="004B4EBD"/>
    <w:rsid w:val="004B54E6"/>
    <w:rsid w:val="004B5828"/>
    <w:rsid w:val="004B5884"/>
    <w:rsid w:val="004B5B64"/>
    <w:rsid w:val="004B5B9E"/>
    <w:rsid w:val="004B5CD7"/>
    <w:rsid w:val="004B5D77"/>
    <w:rsid w:val="004B6016"/>
    <w:rsid w:val="004B635B"/>
    <w:rsid w:val="004B665D"/>
    <w:rsid w:val="004B68B5"/>
    <w:rsid w:val="004B69F9"/>
    <w:rsid w:val="004B6C92"/>
    <w:rsid w:val="004B6FBE"/>
    <w:rsid w:val="004B7820"/>
    <w:rsid w:val="004B7D4C"/>
    <w:rsid w:val="004C01AC"/>
    <w:rsid w:val="004C09A9"/>
    <w:rsid w:val="004C0B00"/>
    <w:rsid w:val="004C18D7"/>
    <w:rsid w:val="004C1BEF"/>
    <w:rsid w:val="004C1CB1"/>
    <w:rsid w:val="004C23AD"/>
    <w:rsid w:val="004C250D"/>
    <w:rsid w:val="004C25C6"/>
    <w:rsid w:val="004C2D23"/>
    <w:rsid w:val="004C2E11"/>
    <w:rsid w:val="004C32C2"/>
    <w:rsid w:val="004C333E"/>
    <w:rsid w:val="004C34B9"/>
    <w:rsid w:val="004C4198"/>
    <w:rsid w:val="004C4728"/>
    <w:rsid w:val="004C4B4F"/>
    <w:rsid w:val="004C4B62"/>
    <w:rsid w:val="004C4C89"/>
    <w:rsid w:val="004C599B"/>
    <w:rsid w:val="004C5EBE"/>
    <w:rsid w:val="004C6382"/>
    <w:rsid w:val="004C63EC"/>
    <w:rsid w:val="004C6C36"/>
    <w:rsid w:val="004C6F21"/>
    <w:rsid w:val="004C71AA"/>
    <w:rsid w:val="004C7984"/>
    <w:rsid w:val="004C7A1E"/>
    <w:rsid w:val="004D03BC"/>
    <w:rsid w:val="004D071E"/>
    <w:rsid w:val="004D0B5C"/>
    <w:rsid w:val="004D0D8C"/>
    <w:rsid w:val="004D0EED"/>
    <w:rsid w:val="004D0F83"/>
    <w:rsid w:val="004D10C5"/>
    <w:rsid w:val="004D1891"/>
    <w:rsid w:val="004D1ABA"/>
    <w:rsid w:val="004D1BF0"/>
    <w:rsid w:val="004D1C79"/>
    <w:rsid w:val="004D21E0"/>
    <w:rsid w:val="004D2573"/>
    <w:rsid w:val="004D25A3"/>
    <w:rsid w:val="004D275D"/>
    <w:rsid w:val="004D2765"/>
    <w:rsid w:val="004D277D"/>
    <w:rsid w:val="004D2F4E"/>
    <w:rsid w:val="004D30BB"/>
    <w:rsid w:val="004D317E"/>
    <w:rsid w:val="004D33EA"/>
    <w:rsid w:val="004D39E7"/>
    <w:rsid w:val="004D3E26"/>
    <w:rsid w:val="004D3EE1"/>
    <w:rsid w:val="004D3FC0"/>
    <w:rsid w:val="004D4395"/>
    <w:rsid w:val="004D444D"/>
    <w:rsid w:val="004D47AB"/>
    <w:rsid w:val="004D4AC7"/>
    <w:rsid w:val="004D4D68"/>
    <w:rsid w:val="004D5020"/>
    <w:rsid w:val="004D5071"/>
    <w:rsid w:val="004D5804"/>
    <w:rsid w:val="004D5A8D"/>
    <w:rsid w:val="004D5F5C"/>
    <w:rsid w:val="004D5FD4"/>
    <w:rsid w:val="004D6295"/>
    <w:rsid w:val="004D67A6"/>
    <w:rsid w:val="004D77DE"/>
    <w:rsid w:val="004D77FD"/>
    <w:rsid w:val="004D7C39"/>
    <w:rsid w:val="004D7C90"/>
    <w:rsid w:val="004E0426"/>
    <w:rsid w:val="004E05BD"/>
    <w:rsid w:val="004E083A"/>
    <w:rsid w:val="004E0C40"/>
    <w:rsid w:val="004E0DE8"/>
    <w:rsid w:val="004E0F77"/>
    <w:rsid w:val="004E0FF8"/>
    <w:rsid w:val="004E1812"/>
    <w:rsid w:val="004E23F3"/>
    <w:rsid w:val="004E2C7E"/>
    <w:rsid w:val="004E2D66"/>
    <w:rsid w:val="004E2E3E"/>
    <w:rsid w:val="004E335C"/>
    <w:rsid w:val="004E3A87"/>
    <w:rsid w:val="004E3B92"/>
    <w:rsid w:val="004E3D74"/>
    <w:rsid w:val="004E3DDC"/>
    <w:rsid w:val="004E3E91"/>
    <w:rsid w:val="004E4004"/>
    <w:rsid w:val="004E42DB"/>
    <w:rsid w:val="004E43EC"/>
    <w:rsid w:val="004E499A"/>
    <w:rsid w:val="004E4CBB"/>
    <w:rsid w:val="004E4D99"/>
    <w:rsid w:val="004E53BC"/>
    <w:rsid w:val="004E5962"/>
    <w:rsid w:val="004E599D"/>
    <w:rsid w:val="004E59C9"/>
    <w:rsid w:val="004E5BD3"/>
    <w:rsid w:val="004E5D2E"/>
    <w:rsid w:val="004E6536"/>
    <w:rsid w:val="004E6641"/>
    <w:rsid w:val="004E73C7"/>
    <w:rsid w:val="004E7C33"/>
    <w:rsid w:val="004E7D31"/>
    <w:rsid w:val="004F06A5"/>
    <w:rsid w:val="004F079A"/>
    <w:rsid w:val="004F0CB5"/>
    <w:rsid w:val="004F0D68"/>
    <w:rsid w:val="004F0FA8"/>
    <w:rsid w:val="004F1289"/>
    <w:rsid w:val="004F12F9"/>
    <w:rsid w:val="004F13D4"/>
    <w:rsid w:val="004F1476"/>
    <w:rsid w:val="004F1559"/>
    <w:rsid w:val="004F185C"/>
    <w:rsid w:val="004F1E33"/>
    <w:rsid w:val="004F1F62"/>
    <w:rsid w:val="004F2016"/>
    <w:rsid w:val="004F21E8"/>
    <w:rsid w:val="004F2253"/>
    <w:rsid w:val="004F2456"/>
    <w:rsid w:val="004F2B1A"/>
    <w:rsid w:val="004F2C0A"/>
    <w:rsid w:val="004F2CEB"/>
    <w:rsid w:val="004F2E19"/>
    <w:rsid w:val="004F2F6E"/>
    <w:rsid w:val="004F3332"/>
    <w:rsid w:val="004F35E4"/>
    <w:rsid w:val="004F37F2"/>
    <w:rsid w:val="004F3BD5"/>
    <w:rsid w:val="004F3DF1"/>
    <w:rsid w:val="004F3E04"/>
    <w:rsid w:val="004F3EA2"/>
    <w:rsid w:val="004F4149"/>
    <w:rsid w:val="004F459E"/>
    <w:rsid w:val="004F48F8"/>
    <w:rsid w:val="004F493C"/>
    <w:rsid w:val="004F499C"/>
    <w:rsid w:val="004F49A5"/>
    <w:rsid w:val="004F49BE"/>
    <w:rsid w:val="004F4AD3"/>
    <w:rsid w:val="004F4C62"/>
    <w:rsid w:val="004F4E5C"/>
    <w:rsid w:val="004F4FE3"/>
    <w:rsid w:val="004F50D5"/>
    <w:rsid w:val="004F558C"/>
    <w:rsid w:val="004F570C"/>
    <w:rsid w:val="004F5743"/>
    <w:rsid w:val="004F584B"/>
    <w:rsid w:val="004F5EA8"/>
    <w:rsid w:val="004F5F4E"/>
    <w:rsid w:val="004F610E"/>
    <w:rsid w:val="004F614C"/>
    <w:rsid w:val="004F640C"/>
    <w:rsid w:val="004F648F"/>
    <w:rsid w:val="004F661A"/>
    <w:rsid w:val="004F66B1"/>
    <w:rsid w:val="004F6921"/>
    <w:rsid w:val="004F6A7F"/>
    <w:rsid w:val="004F7E50"/>
    <w:rsid w:val="00500024"/>
    <w:rsid w:val="00500107"/>
    <w:rsid w:val="005009D2"/>
    <w:rsid w:val="00500BD8"/>
    <w:rsid w:val="00501096"/>
    <w:rsid w:val="00501673"/>
    <w:rsid w:val="00501987"/>
    <w:rsid w:val="00501B01"/>
    <w:rsid w:val="00501DCB"/>
    <w:rsid w:val="00502AD0"/>
    <w:rsid w:val="00502BB3"/>
    <w:rsid w:val="00502C3F"/>
    <w:rsid w:val="005035A1"/>
    <w:rsid w:val="00503842"/>
    <w:rsid w:val="005044D5"/>
    <w:rsid w:val="00504A51"/>
    <w:rsid w:val="005051ED"/>
    <w:rsid w:val="00505FBE"/>
    <w:rsid w:val="00506378"/>
    <w:rsid w:val="00506592"/>
    <w:rsid w:val="00506747"/>
    <w:rsid w:val="0050687B"/>
    <w:rsid w:val="005069F5"/>
    <w:rsid w:val="00506FD2"/>
    <w:rsid w:val="00507179"/>
    <w:rsid w:val="005072F6"/>
    <w:rsid w:val="00507381"/>
    <w:rsid w:val="0050773C"/>
    <w:rsid w:val="00507779"/>
    <w:rsid w:val="00507D35"/>
    <w:rsid w:val="00507F4E"/>
    <w:rsid w:val="00507F57"/>
    <w:rsid w:val="00510163"/>
    <w:rsid w:val="00510930"/>
    <w:rsid w:val="00510E58"/>
    <w:rsid w:val="00511235"/>
    <w:rsid w:val="00511361"/>
    <w:rsid w:val="00511736"/>
    <w:rsid w:val="0051182C"/>
    <w:rsid w:val="0051189B"/>
    <w:rsid w:val="00512066"/>
    <w:rsid w:val="005120DF"/>
    <w:rsid w:val="0051292A"/>
    <w:rsid w:val="00513042"/>
    <w:rsid w:val="00513388"/>
    <w:rsid w:val="0051363C"/>
    <w:rsid w:val="0051372D"/>
    <w:rsid w:val="0051374C"/>
    <w:rsid w:val="00513BE8"/>
    <w:rsid w:val="00513C79"/>
    <w:rsid w:val="00513DBA"/>
    <w:rsid w:val="00514228"/>
    <w:rsid w:val="00514E5D"/>
    <w:rsid w:val="005151F6"/>
    <w:rsid w:val="005154BA"/>
    <w:rsid w:val="00515673"/>
    <w:rsid w:val="005158CD"/>
    <w:rsid w:val="00515A5C"/>
    <w:rsid w:val="00516006"/>
    <w:rsid w:val="0051654E"/>
    <w:rsid w:val="00516F54"/>
    <w:rsid w:val="00516FB9"/>
    <w:rsid w:val="00517056"/>
    <w:rsid w:val="0051738D"/>
    <w:rsid w:val="005177AA"/>
    <w:rsid w:val="00517F51"/>
    <w:rsid w:val="00520168"/>
    <w:rsid w:val="00520389"/>
    <w:rsid w:val="005205D4"/>
    <w:rsid w:val="00520884"/>
    <w:rsid w:val="00520F1C"/>
    <w:rsid w:val="005212C4"/>
    <w:rsid w:val="0052132B"/>
    <w:rsid w:val="005217F1"/>
    <w:rsid w:val="00521DC4"/>
    <w:rsid w:val="00521EC4"/>
    <w:rsid w:val="0052253C"/>
    <w:rsid w:val="00522688"/>
    <w:rsid w:val="00522804"/>
    <w:rsid w:val="00522A82"/>
    <w:rsid w:val="00522FB4"/>
    <w:rsid w:val="00523487"/>
    <w:rsid w:val="005238EC"/>
    <w:rsid w:val="00523D71"/>
    <w:rsid w:val="00523DA4"/>
    <w:rsid w:val="00523EED"/>
    <w:rsid w:val="00523FBF"/>
    <w:rsid w:val="0052442B"/>
    <w:rsid w:val="005245AE"/>
    <w:rsid w:val="005245C6"/>
    <w:rsid w:val="0052478D"/>
    <w:rsid w:val="005247D8"/>
    <w:rsid w:val="00524D49"/>
    <w:rsid w:val="005254BF"/>
    <w:rsid w:val="005255AF"/>
    <w:rsid w:val="00525B54"/>
    <w:rsid w:val="00525E90"/>
    <w:rsid w:val="00525FFB"/>
    <w:rsid w:val="005260A9"/>
    <w:rsid w:val="00526109"/>
    <w:rsid w:val="00526E53"/>
    <w:rsid w:val="00526EDD"/>
    <w:rsid w:val="0052703E"/>
    <w:rsid w:val="00527289"/>
    <w:rsid w:val="00527CBA"/>
    <w:rsid w:val="00530412"/>
    <w:rsid w:val="005308A3"/>
    <w:rsid w:val="00530BAD"/>
    <w:rsid w:val="00530D07"/>
    <w:rsid w:val="005314D2"/>
    <w:rsid w:val="00531A24"/>
    <w:rsid w:val="00532160"/>
    <w:rsid w:val="0053238B"/>
    <w:rsid w:val="00532486"/>
    <w:rsid w:val="005324E5"/>
    <w:rsid w:val="005329A8"/>
    <w:rsid w:val="00532B2A"/>
    <w:rsid w:val="00532F0D"/>
    <w:rsid w:val="0053335A"/>
    <w:rsid w:val="005335C8"/>
    <w:rsid w:val="00533850"/>
    <w:rsid w:val="00533D2B"/>
    <w:rsid w:val="00533E8C"/>
    <w:rsid w:val="00533F94"/>
    <w:rsid w:val="0053419B"/>
    <w:rsid w:val="005348E7"/>
    <w:rsid w:val="00534921"/>
    <w:rsid w:val="00535204"/>
    <w:rsid w:val="00535364"/>
    <w:rsid w:val="00535D15"/>
    <w:rsid w:val="00535E04"/>
    <w:rsid w:val="005367F3"/>
    <w:rsid w:val="005369FC"/>
    <w:rsid w:val="00536BEA"/>
    <w:rsid w:val="0053739E"/>
    <w:rsid w:val="00537593"/>
    <w:rsid w:val="005376AC"/>
    <w:rsid w:val="00537A5E"/>
    <w:rsid w:val="005401B7"/>
    <w:rsid w:val="00540586"/>
    <w:rsid w:val="00540626"/>
    <w:rsid w:val="00540BBF"/>
    <w:rsid w:val="00540BE8"/>
    <w:rsid w:val="00540CAE"/>
    <w:rsid w:val="00541043"/>
    <w:rsid w:val="00541503"/>
    <w:rsid w:val="00541761"/>
    <w:rsid w:val="00542050"/>
    <w:rsid w:val="00542548"/>
    <w:rsid w:val="00542876"/>
    <w:rsid w:val="00542B60"/>
    <w:rsid w:val="00542BD8"/>
    <w:rsid w:val="00542D44"/>
    <w:rsid w:val="00542E9C"/>
    <w:rsid w:val="00543459"/>
    <w:rsid w:val="00543D53"/>
    <w:rsid w:val="00544120"/>
    <w:rsid w:val="00544895"/>
    <w:rsid w:val="005449D5"/>
    <w:rsid w:val="00545012"/>
    <w:rsid w:val="005454FC"/>
    <w:rsid w:val="0054566F"/>
    <w:rsid w:val="00545D06"/>
    <w:rsid w:val="005463E8"/>
    <w:rsid w:val="0054694F"/>
    <w:rsid w:val="0054697A"/>
    <w:rsid w:val="00546AFD"/>
    <w:rsid w:val="005470B2"/>
    <w:rsid w:val="005470DB"/>
    <w:rsid w:val="00547106"/>
    <w:rsid w:val="00547118"/>
    <w:rsid w:val="00547431"/>
    <w:rsid w:val="00550205"/>
    <w:rsid w:val="005505DC"/>
    <w:rsid w:val="0055192F"/>
    <w:rsid w:val="00551A6E"/>
    <w:rsid w:val="00551D09"/>
    <w:rsid w:val="00552BB8"/>
    <w:rsid w:val="0055306C"/>
    <w:rsid w:val="00553144"/>
    <w:rsid w:val="0055338B"/>
    <w:rsid w:val="00553604"/>
    <w:rsid w:val="0055385F"/>
    <w:rsid w:val="005538D9"/>
    <w:rsid w:val="00553D3E"/>
    <w:rsid w:val="00553EE3"/>
    <w:rsid w:val="00554580"/>
    <w:rsid w:val="00555624"/>
    <w:rsid w:val="00555778"/>
    <w:rsid w:val="00555EC6"/>
    <w:rsid w:val="00555F65"/>
    <w:rsid w:val="00555F66"/>
    <w:rsid w:val="0055620C"/>
    <w:rsid w:val="005568E2"/>
    <w:rsid w:val="0055690E"/>
    <w:rsid w:val="00556A1F"/>
    <w:rsid w:val="00556F2D"/>
    <w:rsid w:val="00557440"/>
    <w:rsid w:val="0055764E"/>
    <w:rsid w:val="0055768F"/>
    <w:rsid w:val="005576C2"/>
    <w:rsid w:val="00557B28"/>
    <w:rsid w:val="00557C49"/>
    <w:rsid w:val="0056031D"/>
    <w:rsid w:val="00560FA8"/>
    <w:rsid w:val="005613BC"/>
    <w:rsid w:val="005615A8"/>
    <w:rsid w:val="00561679"/>
    <w:rsid w:val="00561A9F"/>
    <w:rsid w:val="00561DED"/>
    <w:rsid w:val="0056207D"/>
    <w:rsid w:val="00562272"/>
    <w:rsid w:val="00562A2D"/>
    <w:rsid w:val="00562DC4"/>
    <w:rsid w:val="005636B1"/>
    <w:rsid w:val="0056395C"/>
    <w:rsid w:val="00565155"/>
    <w:rsid w:val="00565317"/>
    <w:rsid w:val="00565367"/>
    <w:rsid w:val="00566368"/>
    <w:rsid w:val="005672F9"/>
    <w:rsid w:val="00567EE4"/>
    <w:rsid w:val="00570032"/>
    <w:rsid w:val="0057047D"/>
    <w:rsid w:val="0057049E"/>
    <w:rsid w:val="00570564"/>
    <w:rsid w:val="00570605"/>
    <w:rsid w:val="005708EC"/>
    <w:rsid w:val="00570F63"/>
    <w:rsid w:val="00571270"/>
    <w:rsid w:val="005713CC"/>
    <w:rsid w:val="00571754"/>
    <w:rsid w:val="0057188B"/>
    <w:rsid w:val="00571BC6"/>
    <w:rsid w:val="00571D1F"/>
    <w:rsid w:val="00571D7A"/>
    <w:rsid w:val="00571E3F"/>
    <w:rsid w:val="00571E5F"/>
    <w:rsid w:val="00571F49"/>
    <w:rsid w:val="00572056"/>
    <w:rsid w:val="005723B6"/>
    <w:rsid w:val="00572832"/>
    <w:rsid w:val="00572B81"/>
    <w:rsid w:val="00572F15"/>
    <w:rsid w:val="00573188"/>
    <w:rsid w:val="005732BD"/>
    <w:rsid w:val="005732EA"/>
    <w:rsid w:val="00573331"/>
    <w:rsid w:val="005739FB"/>
    <w:rsid w:val="00573B41"/>
    <w:rsid w:val="00573F1A"/>
    <w:rsid w:val="005745F8"/>
    <w:rsid w:val="0057470C"/>
    <w:rsid w:val="00574866"/>
    <w:rsid w:val="00574B0F"/>
    <w:rsid w:val="00574EE5"/>
    <w:rsid w:val="0057658C"/>
    <w:rsid w:val="00576ACB"/>
    <w:rsid w:val="00576BF4"/>
    <w:rsid w:val="00576E03"/>
    <w:rsid w:val="005770F1"/>
    <w:rsid w:val="0057714E"/>
    <w:rsid w:val="00577559"/>
    <w:rsid w:val="00577699"/>
    <w:rsid w:val="00577EBD"/>
    <w:rsid w:val="00577F10"/>
    <w:rsid w:val="00580790"/>
    <w:rsid w:val="00581446"/>
    <w:rsid w:val="00581A52"/>
    <w:rsid w:val="00581B3D"/>
    <w:rsid w:val="00581EC4"/>
    <w:rsid w:val="00582109"/>
    <w:rsid w:val="00582153"/>
    <w:rsid w:val="005824B7"/>
    <w:rsid w:val="00582F4D"/>
    <w:rsid w:val="00582FF3"/>
    <w:rsid w:val="00583296"/>
    <w:rsid w:val="0058336C"/>
    <w:rsid w:val="005839B5"/>
    <w:rsid w:val="005839C0"/>
    <w:rsid w:val="00583C7E"/>
    <w:rsid w:val="005842BF"/>
    <w:rsid w:val="005845BE"/>
    <w:rsid w:val="005847DF"/>
    <w:rsid w:val="00584A10"/>
    <w:rsid w:val="00584EB7"/>
    <w:rsid w:val="0058558C"/>
    <w:rsid w:val="00585592"/>
    <w:rsid w:val="005868A0"/>
    <w:rsid w:val="00586A23"/>
    <w:rsid w:val="0058793B"/>
    <w:rsid w:val="0059029B"/>
    <w:rsid w:val="005902CD"/>
    <w:rsid w:val="00590911"/>
    <w:rsid w:val="00590AE1"/>
    <w:rsid w:val="00590BAF"/>
    <w:rsid w:val="00590BB7"/>
    <w:rsid w:val="00590E01"/>
    <w:rsid w:val="00591205"/>
    <w:rsid w:val="005912F3"/>
    <w:rsid w:val="005916F8"/>
    <w:rsid w:val="005919FD"/>
    <w:rsid w:val="00591DF6"/>
    <w:rsid w:val="00591DFA"/>
    <w:rsid w:val="00591F1A"/>
    <w:rsid w:val="00591F7F"/>
    <w:rsid w:val="00592164"/>
    <w:rsid w:val="00592648"/>
    <w:rsid w:val="005926E1"/>
    <w:rsid w:val="005928D4"/>
    <w:rsid w:val="00592A64"/>
    <w:rsid w:val="00592AF3"/>
    <w:rsid w:val="00592C7B"/>
    <w:rsid w:val="00592DD6"/>
    <w:rsid w:val="00592E26"/>
    <w:rsid w:val="00593031"/>
    <w:rsid w:val="005931B9"/>
    <w:rsid w:val="00593609"/>
    <w:rsid w:val="00593CE8"/>
    <w:rsid w:val="00593CE9"/>
    <w:rsid w:val="00593F69"/>
    <w:rsid w:val="00594110"/>
    <w:rsid w:val="00594273"/>
    <w:rsid w:val="00594372"/>
    <w:rsid w:val="00594667"/>
    <w:rsid w:val="00594EBD"/>
    <w:rsid w:val="00595156"/>
    <w:rsid w:val="00595C16"/>
    <w:rsid w:val="00595D5A"/>
    <w:rsid w:val="005963B3"/>
    <w:rsid w:val="0059688E"/>
    <w:rsid w:val="005969ED"/>
    <w:rsid w:val="00596DF9"/>
    <w:rsid w:val="00596E70"/>
    <w:rsid w:val="00597124"/>
    <w:rsid w:val="0059756C"/>
    <w:rsid w:val="00597690"/>
    <w:rsid w:val="005A0231"/>
    <w:rsid w:val="005A0669"/>
    <w:rsid w:val="005A0966"/>
    <w:rsid w:val="005A0A0D"/>
    <w:rsid w:val="005A14E9"/>
    <w:rsid w:val="005A1829"/>
    <w:rsid w:val="005A18BC"/>
    <w:rsid w:val="005A2506"/>
    <w:rsid w:val="005A2BCA"/>
    <w:rsid w:val="005A2CAD"/>
    <w:rsid w:val="005A3105"/>
    <w:rsid w:val="005A33B6"/>
    <w:rsid w:val="005A3C70"/>
    <w:rsid w:val="005A3F1B"/>
    <w:rsid w:val="005A45C2"/>
    <w:rsid w:val="005A47A2"/>
    <w:rsid w:val="005A52A5"/>
    <w:rsid w:val="005A5316"/>
    <w:rsid w:val="005A5863"/>
    <w:rsid w:val="005A5C8A"/>
    <w:rsid w:val="005A5FB0"/>
    <w:rsid w:val="005A620B"/>
    <w:rsid w:val="005A6239"/>
    <w:rsid w:val="005A6529"/>
    <w:rsid w:val="005A6600"/>
    <w:rsid w:val="005A6A04"/>
    <w:rsid w:val="005A6CA1"/>
    <w:rsid w:val="005A72AC"/>
    <w:rsid w:val="005A750D"/>
    <w:rsid w:val="005A75BA"/>
    <w:rsid w:val="005A7D99"/>
    <w:rsid w:val="005B013C"/>
    <w:rsid w:val="005B04AD"/>
    <w:rsid w:val="005B081D"/>
    <w:rsid w:val="005B0EBE"/>
    <w:rsid w:val="005B1086"/>
    <w:rsid w:val="005B11F7"/>
    <w:rsid w:val="005B131E"/>
    <w:rsid w:val="005B183A"/>
    <w:rsid w:val="005B185B"/>
    <w:rsid w:val="005B1D53"/>
    <w:rsid w:val="005B1F1D"/>
    <w:rsid w:val="005B1FA9"/>
    <w:rsid w:val="005B2143"/>
    <w:rsid w:val="005B2191"/>
    <w:rsid w:val="005B244A"/>
    <w:rsid w:val="005B25ED"/>
    <w:rsid w:val="005B320A"/>
    <w:rsid w:val="005B3214"/>
    <w:rsid w:val="005B3327"/>
    <w:rsid w:val="005B397B"/>
    <w:rsid w:val="005B3BE3"/>
    <w:rsid w:val="005B4122"/>
    <w:rsid w:val="005B413F"/>
    <w:rsid w:val="005B42EB"/>
    <w:rsid w:val="005B44E7"/>
    <w:rsid w:val="005B45F3"/>
    <w:rsid w:val="005B481E"/>
    <w:rsid w:val="005B485C"/>
    <w:rsid w:val="005B4892"/>
    <w:rsid w:val="005B48F6"/>
    <w:rsid w:val="005B4F08"/>
    <w:rsid w:val="005B522C"/>
    <w:rsid w:val="005B5589"/>
    <w:rsid w:val="005B57A2"/>
    <w:rsid w:val="005B5822"/>
    <w:rsid w:val="005B5B8F"/>
    <w:rsid w:val="005B5F9D"/>
    <w:rsid w:val="005B673C"/>
    <w:rsid w:val="005B6A0A"/>
    <w:rsid w:val="005B74C4"/>
    <w:rsid w:val="005B7A4F"/>
    <w:rsid w:val="005B7C91"/>
    <w:rsid w:val="005C02CF"/>
    <w:rsid w:val="005C02DF"/>
    <w:rsid w:val="005C03F6"/>
    <w:rsid w:val="005C06D2"/>
    <w:rsid w:val="005C08AC"/>
    <w:rsid w:val="005C12D7"/>
    <w:rsid w:val="005C19D6"/>
    <w:rsid w:val="005C1C02"/>
    <w:rsid w:val="005C1C1E"/>
    <w:rsid w:val="005C2151"/>
    <w:rsid w:val="005C21EE"/>
    <w:rsid w:val="005C272C"/>
    <w:rsid w:val="005C2C42"/>
    <w:rsid w:val="005C2C5C"/>
    <w:rsid w:val="005C2EEA"/>
    <w:rsid w:val="005C34B1"/>
    <w:rsid w:val="005C395F"/>
    <w:rsid w:val="005C3978"/>
    <w:rsid w:val="005C3E21"/>
    <w:rsid w:val="005C4186"/>
    <w:rsid w:val="005C435E"/>
    <w:rsid w:val="005C44AC"/>
    <w:rsid w:val="005C45C1"/>
    <w:rsid w:val="005C45D9"/>
    <w:rsid w:val="005C4930"/>
    <w:rsid w:val="005C4978"/>
    <w:rsid w:val="005C4A43"/>
    <w:rsid w:val="005C4D7A"/>
    <w:rsid w:val="005C50FB"/>
    <w:rsid w:val="005C5659"/>
    <w:rsid w:val="005C570F"/>
    <w:rsid w:val="005C5BA8"/>
    <w:rsid w:val="005C600D"/>
    <w:rsid w:val="005C668A"/>
    <w:rsid w:val="005C67B2"/>
    <w:rsid w:val="005C6AB3"/>
    <w:rsid w:val="005C6C39"/>
    <w:rsid w:val="005C6D1C"/>
    <w:rsid w:val="005C6F75"/>
    <w:rsid w:val="005C7013"/>
    <w:rsid w:val="005C712C"/>
    <w:rsid w:val="005C773C"/>
    <w:rsid w:val="005C789A"/>
    <w:rsid w:val="005C7F12"/>
    <w:rsid w:val="005C7F96"/>
    <w:rsid w:val="005D00AC"/>
    <w:rsid w:val="005D021A"/>
    <w:rsid w:val="005D0682"/>
    <w:rsid w:val="005D0A5B"/>
    <w:rsid w:val="005D0AC2"/>
    <w:rsid w:val="005D10A8"/>
    <w:rsid w:val="005D11F2"/>
    <w:rsid w:val="005D1643"/>
    <w:rsid w:val="005D188E"/>
    <w:rsid w:val="005D18E3"/>
    <w:rsid w:val="005D1CB5"/>
    <w:rsid w:val="005D22D8"/>
    <w:rsid w:val="005D2741"/>
    <w:rsid w:val="005D288B"/>
    <w:rsid w:val="005D28B1"/>
    <w:rsid w:val="005D291C"/>
    <w:rsid w:val="005D2A30"/>
    <w:rsid w:val="005D2B9F"/>
    <w:rsid w:val="005D2F6C"/>
    <w:rsid w:val="005D3491"/>
    <w:rsid w:val="005D3C06"/>
    <w:rsid w:val="005D3F4B"/>
    <w:rsid w:val="005D41A4"/>
    <w:rsid w:val="005D4AF4"/>
    <w:rsid w:val="005D4B83"/>
    <w:rsid w:val="005D4BAC"/>
    <w:rsid w:val="005D4CCB"/>
    <w:rsid w:val="005D51AD"/>
    <w:rsid w:val="005D5B11"/>
    <w:rsid w:val="005D5E04"/>
    <w:rsid w:val="005D6865"/>
    <w:rsid w:val="005D68DC"/>
    <w:rsid w:val="005D69CD"/>
    <w:rsid w:val="005D6BF7"/>
    <w:rsid w:val="005D6D08"/>
    <w:rsid w:val="005D6F58"/>
    <w:rsid w:val="005D72C6"/>
    <w:rsid w:val="005D7728"/>
    <w:rsid w:val="005D7B70"/>
    <w:rsid w:val="005D7CF2"/>
    <w:rsid w:val="005E02A5"/>
    <w:rsid w:val="005E066D"/>
    <w:rsid w:val="005E07B0"/>
    <w:rsid w:val="005E08D6"/>
    <w:rsid w:val="005E0C87"/>
    <w:rsid w:val="005E0CB6"/>
    <w:rsid w:val="005E0FB5"/>
    <w:rsid w:val="005E11CF"/>
    <w:rsid w:val="005E12AB"/>
    <w:rsid w:val="005E12B1"/>
    <w:rsid w:val="005E1470"/>
    <w:rsid w:val="005E149E"/>
    <w:rsid w:val="005E1ECD"/>
    <w:rsid w:val="005E20B7"/>
    <w:rsid w:val="005E21CD"/>
    <w:rsid w:val="005E29AA"/>
    <w:rsid w:val="005E2A00"/>
    <w:rsid w:val="005E39B2"/>
    <w:rsid w:val="005E3CC1"/>
    <w:rsid w:val="005E3F77"/>
    <w:rsid w:val="005E44FA"/>
    <w:rsid w:val="005E4AD3"/>
    <w:rsid w:val="005E4FC9"/>
    <w:rsid w:val="005E518D"/>
    <w:rsid w:val="005E51FE"/>
    <w:rsid w:val="005E541D"/>
    <w:rsid w:val="005E6026"/>
    <w:rsid w:val="005E6678"/>
    <w:rsid w:val="005E6805"/>
    <w:rsid w:val="005E6B35"/>
    <w:rsid w:val="005E6D87"/>
    <w:rsid w:val="005E718A"/>
    <w:rsid w:val="005E7278"/>
    <w:rsid w:val="005E73B5"/>
    <w:rsid w:val="005E7724"/>
    <w:rsid w:val="005E7753"/>
    <w:rsid w:val="005E780A"/>
    <w:rsid w:val="005E7D5E"/>
    <w:rsid w:val="005E7F26"/>
    <w:rsid w:val="005E7F7D"/>
    <w:rsid w:val="005E7FCC"/>
    <w:rsid w:val="005F0579"/>
    <w:rsid w:val="005F0589"/>
    <w:rsid w:val="005F092D"/>
    <w:rsid w:val="005F09C4"/>
    <w:rsid w:val="005F0A2B"/>
    <w:rsid w:val="005F1406"/>
    <w:rsid w:val="005F1444"/>
    <w:rsid w:val="005F19EB"/>
    <w:rsid w:val="005F1DBA"/>
    <w:rsid w:val="005F21C6"/>
    <w:rsid w:val="005F2240"/>
    <w:rsid w:val="005F2482"/>
    <w:rsid w:val="005F2843"/>
    <w:rsid w:val="005F3A48"/>
    <w:rsid w:val="005F3B32"/>
    <w:rsid w:val="005F3CE2"/>
    <w:rsid w:val="005F4064"/>
    <w:rsid w:val="005F4875"/>
    <w:rsid w:val="005F531B"/>
    <w:rsid w:val="005F5794"/>
    <w:rsid w:val="005F5E3B"/>
    <w:rsid w:val="005F66D2"/>
    <w:rsid w:val="005F6859"/>
    <w:rsid w:val="005F6AC9"/>
    <w:rsid w:val="005F6B62"/>
    <w:rsid w:val="005F714D"/>
    <w:rsid w:val="005F7208"/>
    <w:rsid w:val="005F7655"/>
    <w:rsid w:val="005F78C9"/>
    <w:rsid w:val="005F78DB"/>
    <w:rsid w:val="005F79CA"/>
    <w:rsid w:val="005F7A86"/>
    <w:rsid w:val="005F7CC1"/>
    <w:rsid w:val="00600930"/>
    <w:rsid w:val="00600950"/>
    <w:rsid w:val="00600BCC"/>
    <w:rsid w:val="006013E0"/>
    <w:rsid w:val="006016CC"/>
    <w:rsid w:val="006017A0"/>
    <w:rsid w:val="00601803"/>
    <w:rsid w:val="00601E47"/>
    <w:rsid w:val="0060215F"/>
    <w:rsid w:val="00602662"/>
    <w:rsid w:val="00602692"/>
    <w:rsid w:val="00602DBF"/>
    <w:rsid w:val="0060343D"/>
    <w:rsid w:val="00603443"/>
    <w:rsid w:val="0060380F"/>
    <w:rsid w:val="00603D72"/>
    <w:rsid w:val="006041F4"/>
    <w:rsid w:val="00604A70"/>
    <w:rsid w:val="00604F77"/>
    <w:rsid w:val="00605312"/>
    <w:rsid w:val="006053FA"/>
    <w:rsid w:val="00605497"/>
    <w:rsid w:val="0060579C"/>
    <w:rsid w:val="0060599D"/>
    <w:rsid w:val="00605AC6"/>
    <w:rsid w:val="00605F21"/>
    <w:rsid w:val="00605FD5"/>
    <w:rsid w:val="00606495"/>
    <w:rsid w:val="0060692A"/>
    <w:rsid w:val="00606C67"/>
    <w:rsid w:val="00606D91"/>
    <w:rsid w:val="00606EE9"/>
    <w:rsid w:val="006071F8"/>
    <w:rsid w:val="0060750E"/>
    <w:rsid w:val="0060760E"/>
    <w:rsid w:val="00607D2A"/>
    <w:rsid w:val="006104A0"/>
    <w:rsid w:val="006104C4"/>
    <w:rsid w:val="00610B4F"/>
    <w:rsid w:val="00610B60"/>
    <w:rsid w:val="00610DED"/>
    <w:rsid w:val="0061104C"/>
    <w:rsid w:val="006110B1"/>
    <w:rsid w:val="006117EC"/>
    <w:rsid w:val="006119F6"/>
    <w:rsid w:val="00611AD8"/>
    <w:rsid w:val="00611BE2"/>
    <w:rsid w:val="00611D1C"/>
    <w:rsid w:val="00611FBB"/>
    <w:rsid w:val="0061247F"/>
    <w:rsid w:val="00612698"/>
    <w:rsid w:val="00612D04"/>
    <w:rsid w:val="00612D9D"/>
    <w:rsid w:val="00612F3C"/>
    <w:rsid w:val="00613568"/>
    <w:rsid w:val="00613A58"/>
    <w:rsid w:val="00614164"/>
    <w:rsid w:val="00614DB8"/>
    <w:rsid w:val="0061523E"/>
    <w:rsid w:val="006155C4"/>
    <w:rsid w:val="006157DD"/>
    <w:rsid w:val="00615934"/>
    <w:rsid w:val="0061673B"/>
    <w:rsid w:val="0061748C"/>
    <w:rsid w:val="006175A1"/>
    <w:rsid w:val="00617905"/>
    <w:rsid w:val="0062018E"/>
    <w:rsid w:val="0062025C"/>
    <w:rsid w:val="0062098F"/>
    <w:rsid w:val="006209F6"/>
    <w:rsid w:val="00620B1B"/>
    <w:rsid w:val="0062139E"/>
    <w:rsid w:val="00621405"/>
    <w:rsid w:val="00621469"/>
    <w:rsid w:val="006217A3"/>
    <w:rsid w:val="00621D04"/>
    <w:rsid w:val="00621EF6"/>
    <w:rsid w:val="0062218E"/>
    <w:rsid w:val="006223C5"/>
    <w:rsid w:val="006226D9"/>
    <w:rsid w:val="006227A3"/>
    <w:rsid w:val="00622857"/>
    <w:rsid w:val="00622DDC"/>
    <w:rsid w:val="00622F55"/>
    <w:rsid w:val="0062392F"/>
    <w:rsid w:val="00623AEA"/>
    <w:rsid w:val="00623EF3"/>
    <w:rsid w:val="0062407A"/>
    <w:rsid w:val="006242F0"/>
    <w:rsid w:val="006243EC"/>
    <w:rsid w:val="006245DD"/>
    <w:rsid w:val="00624D61"/>
    <w:rsid w:val="00624FA7"/>
    <w:rsid w:val="0062577F"/>
    <w:rsid w:val="006259EC"/>
    <w:rsid w:val="00625B1E"/>
    <w:rsid w:val="00625CD1"/>
    <w:rsid w:val="0062612E"/>
    <w:rsid w:val="0062615D"/>
    <w:rsid w:val="00626276"/>
    <w:rsid w:val="006264D5"/>
    <w:rsid w:val="0062667D"/>
    <w:rsid w:val="006267E9"/>
    <w:rsid w:val="00626876"/>
    <w:rsid w:val="00626F72"/>
    <w:rsid w:val="00626FE3"/>
    <w:rsid w:val="006270E2"/>
    <w:rsid w:val="0062713D"/>
    <w:rsid w:val="00627332"/>
    <w:rsid w:val="006278BC"/>
    <w:rsid w:val="00627A09"/>
    <w:rsid w:val="00627DE4"/>
    <w:rsid w:val="006300A5"/>
    <w:rsid w:val="0063069B"/>
    <w:rsid w:val="00630CE0"/>
    <w:rsid w:val="00631241"/>
    <w:rsid w:val="00631489"/>
    <w:rsid w:val="00631D68"/>
    <w:rsid w:val="0063235E"/>
    <w:rsid w:val="00632421"/>
    <w:rsid w:val="00632AE3"/>
    <w:rsid w:val="00632D4E"/>
    <w:rsid w:val="0063345C"/>
    <w:rsid w:val="00633EC5"/>
    <w:rsid w:val="00634545"/>
    <w:rsid w:val="00635069"/>
    <w:rsid w:val="006350B5"/>
    <w:rsid w:val="0063528A"/>
    <w:rsid w:val="0063595F"/>
    <w:rsid w:val="0063596B"/>
    <w:rsid w:val="00635AB7"/>
    <w:rsid w:val="00635EFC"/>
    <w:rsid w:val="00635F4D"/>
    <w:rsid w:val="006360FC"/>
    <w:rsid w:val="006363B0"/>
    <w:rsid w:val="0063654F"/>
    <w:rsid w:val="006369F7"/>
    <w:rsid w:val="00636BE0"/>
    <w:rsid w:val="0063749D"/>
    <w:rsid w:val="0063771D"/>
    <w:rsid w:val="0063795F"/>
    <w:rsid w:val="00637F48"/>
    <w:rsid w:val="00640631"/>
    <w:rsid w:val="00640A8C"/>
    <w:rsid w:val="00640D8C"/>
    <w:rsid w:val="00641490"/>
    <w:rsid w:val="0064184F"/>
    <w:rsid w:val="00641B62"/>
    <w:rsid w:val="00641E49"/>
    <w:rsid w:val="006420AF"/>
    <w:rsid w:val="00642223"/>
    <w:rsid w:val="0064262B"/>
    <w:rsid w:val="00642A27"/>
    <w:rsid w:val="00642B8A"/>
    <w:rsid w:val="00642ECC"/>
    <w:rsid w:val="006431C3"/>
    <w:rsid w:val="006431DB"/>
    <w:rsid w:val="00643392"/>
    <w:rsid w:val="00643447"/>
    <w:rsid w:val="00643462"/>
    <w:rsid w:val="006437F1"/>
    <w:rsid w:val="00643E5F"/>
    <w:rsid w:val="00643F90"/>
    <w:rsid w:val="0064437A"/>
    <w:rsid w:val="00644513"/>
    <w:rsid w:val="00644784"/>
    <w:rsid w:val="00644BFD"/>
    <w:rsid w:val="00645728"/>
    <w:rsid w:val="00645C8E"/>
    <w:rsid w:val="00645FC2"/>
    <w:rsid w:val="00646136"/>
    <w:rsid w:val="0064614D"/>
    <w:rsid w:val="00646159"/>
    <w:rsid w:val="00646ADF"/>
    <w:rsid w:val="00646E98"/>
    <w:rsid w:val="006470E8"/>
    <w:rsid w:val="006471AA"/>
    <w:rsid w:val="0064762B"/>
    <w:rsid w:val="006479FB"/>
    <w:rsid w:val="00647F4E"/>
    <w:rsid w:val="00650673"/>
    <w:rsid w:val="006507BF"/>
    <w:rsid w:val="006509FC"/>
    <w:rsid w:val="00650D4F"/>
    <w:rsid w:val="00650E1F"/>
    <w:rsid w:val="00650F51"/>
    <w:rsid w:val="006510CD"/>
    <w:rsid w:val="00651160"/>
    <w:rsid w:val="0065129C"/>
    <w:rsid w:val="0065174F"/>
    <w:rsid w:val="00651803"/>
    <w:rsid w:val="00651979"/>
    <w:rsid w:val="00651A8A"/>
    <w:rsid w:val="00652017"/>
    <w:rsid w:val="0065251B"/>
    <w:rsid w:val="00652ADE"/>
    <w:rsid w:val="0065368B"/>
    <w:rsid w:val="006537C8"/>
    <w:rsid w:val="00653AEB"/>
    <w:rsid w:val="00654161"/>
    <w:rsid w:val="006543DB"/>
    <w:rsid w:val="00654CE5"/>
    <w:rsid w:val="00654D86"/>
    <w:rsid w:val="006551F9"/>
    <w:rsid w:val="0065540E"/>
    <w:rsid w:val="006559B0"/>
    <w:rsid w:val="006561C5"/>
    <w:rsid w:val="0065623A"/>
    <w:rsid w:val="00656A16"/>
    <w:rsid w:val="00656C07"/>
    <w:rsid w:val="00657224"/>
    <w:rsid w:val="00657298"/>
    <w:rsid w:val="00657E13"/>
    <w:rsid w:val="00660129"/>
    <w:rsid w:val="006602A5"/>
    <w:rsid w:val="00660EA0"/>
    <w:rsid w:val="00660EB5"/>
    <w:rsid w:val="00660F1A"/>
    <w:rsid w:val="00661281"/>
    <w:rsid w:val="006614BB"/>
    <w:rsid w:val="00661BAE"/>
    <w:rsid w:val="00661D4C"/>
    <w:rsid w:val="00661F6A"/>
    <w:rsid w:val="00662647"/>
    <w:rsid w:val="006627B8"/>
    <w:rsid w:val="00662857"/>
    <w:rsid w:val="00662971"/>
    <w:rsid w:val="00662B06"/>
    <w:rsid w:val="00662FAB"/>
    <w:rsid w:val="006632F3"/>
    <w:rsid w:val="006638BE"/>
    <w:rsid w:val="00663B1D"/>
    <w:rsid w:val="00663C31"/>
    <w:rsid w:val="00663C78"/>
    <w:rsid w:val="00663F87"/>
    <w:rsid w:val="00663FF8"/>
    <w:rsid w:val="00664239"/>
    <w:rsid w:val="006642D3"/>
    <w:rsid w:val="00664676"/>
    <w:rsid w:val="006648F8"/>
    <w:rsid w:val="00664930"/>
    <w:rsid w:val="00664A22"/>
    <w:rsid w:val="00664AF8"/>
    <w:rsid w:val="00665012"/>
    <w:rsid w:val="006651FC"/>
    <w:rsid w:val="00665343"/>
    <w:rsid w:val="006655AD"/>
    <w:rsid w:val="006659B7"/>
    <w:rsid w:val="00665B99"/>
    <w:rsid w:val="00666106"/>
    <w:rsid w:val="006662AF"/>
    <w:rsid w:val="0066679D"/>
    <w:rsid w:val="00666B4F"/>
    <w:rsid w:val="00666ED4"/>
    <w:rsid w:val="00666FA8"/>
    <w:rsid w:val="00667403"/>
    <w:rsid w:val="0066746B"/>
    <w:rsid w:val="006676C5"/>
    <w:rsid w:val="00667AA9"/>
    <w:rsid w:val="00670520"/>
    <w:rsid w:val="006706ED"/>
    <w:rsid w:val="00670865"/>
    <w:rsid w:val="006709EE"/>
    <w:rsid w:val="00670FD3"/>
    <w:rsid w:val="006711C3"/>
    <w:rsid w:val="006714A8"/>
    <w:rsid w:val="006715FA"/>
    <w:rsid w:val="006717A7"/>
    <w:rsid w:val="00671BEC"/>
    <w:rsid w:val="00671C9B"/>
    <w:rsid w:val="00671D4A"/>
    <w:rsid w:val="00672310"/>
    <w:rsid w:val="006723C1"/>
    <w:rsid w:val="006726C5"/>
    <w:rsid w:val="006728DA"/>
    <w:rsid w:val="00672995"/>
    <w:rsid w:val="00672ADD"/>
    <w:rsid w:val="00672BA9"/>
    <w:rsid w:val="00672CCB"/>
    <w:rsid w:val="00672CF8"/>
    <w:rsid w:val="00673040"/>
    <w:rsid w:val="00673567"/>
    <w:rsid w:val="00673DF6"/>
    <w:rsid w:val="00673E3B"/>
    <w:rsid w:val="00673EFD"/>
    <w:rsid w:val="006741C6"/>
    <w:rsid w:val="006742EE"/>
    <w:rsid w:val="006746B9"/>
    <w:rsid w:val="006746BC"/>
    <w:rsid w:val="0067497C"/>
    <w:rsid w:val="006749ED"/>
    <w:rsid w:val="0067515D"/>
    <w:rsid w:val="0067517C"/>
    <w:rsid w:val="0067575D"/>
    <w:rsid w:val="00675FE0"/>
    <w:rsid w:val="00676050"/>
    <w:rsid w:val="006763A3"/>
    <w:rsid w:val="00676663"/>
    <w:rsid w:val="006766B7"/>
    <w:rsid w:val="006768A4"/>
    <w:rsid w:val="00676C34"/>
    <w:rsid w:val="00676E60"/>
    <w:rsid w:val="00677122"/>
    <w:rsid w:val="0067743C"/>
    <w:rsid w:val="006779D8"/>
    <w:rsid w:val="00677A34"/>
    <w:rsid w:val="00677B37"/>
    <w:rsid w:val="00677DEB"/>
    <w:rsid w:val="00680488"/>
    <w:rsid w:val="00680574"/>
    <w:rsid w:val="006805C0"/>
    <w:rsid w:val="00680663"/>
    <w:rsid w:val="00680F3C"/>
    <w:rsid w:val="0068127D"/>
    <w:rsid w:val="00681DBF"/>
    <w:rsid w:val="00682184"/>
    <w:rsid w:val="006829F2"/>
    <w:rsid w:val="0068310B"/>
    <w:rsid w:val="00683281"/>
    <w:rsid w:val="0068357D"/>
    <w:rsid w:val="006835C7"/>
    <w:rsid w:val="00683A27"/>
    <w:rsid w:val="00683AB8"/>
    <w:rsid w:val="00684040"/>
    <w:rsid w:val="0068404B"/>
    <w:rsid w:val="0068405C"/>
    <w:rsid w:val="006841EF"/>
    <w:rsid w:val="006843AB"/>
    <w:rsid w:val="0068457A"/>
    <w:rsid w:val="0068460D"/>
    <w:rsid w:val="0068515F"/>
    <w:rsid w:val="00685188"/>
    <w:rsid w:val="006858CE"/>
    <w:rsid w:val="006859F6"/>
    <w:rsid w:val="00685E06"/>
    <w:rsid w:val="00686281"/>
    <w:rsid w:val="006862C0"/>
    <w:rsid w:val="006862CD"/>
    <w:rsid w:val="00686434"/>
    <w:rsid w:val="00686967"/>
    <w:rsid w:val="00686DF4"/>
    <w:rsid w:val="00686EE2"/>
    <w:rsid w:val="006872CF"/>
    <w:rsid w:val="00687A8A"/>
    <w:rsid w:val="00687BB3"/>
    <w:rsid w:val="00687DDA"/>
    <w:rsid w:val="00687F39"/>
    <w:rsid w:val="006903A9"/>
    <w:rsid w:val="00690466"/>
    <w:rsid w:val="00690684"/>
    <w:rsid w:val="00690D12"/>
    <w:rsid w:val="00691069"/>
    <w:rsid w:val="00691498"/>
    <w:rsid w:val="0069193D"/>
    <w:rsid w:val="00691A80"/>
    <w:rsid w:val="00692016"/>
    <w:rsid w:val="006922A3"/>
    <w:rsid w:val="00692E59"/>
    <w:rsid w:val="0069309E"/>
    <w:rsid w:val="006930A2"/>
    <w:rsid w:val="0069351F"/>
    <w:rsid w:val="00693AD5"/>
    <w:rsid w:val="00693C5D"/>
    <w:rsid w:val="00694C29"/>
    <w:rsid w:val="00695015"/>
    <w:rsid w:val="00695334"/>
    <w:rsid w:val="00695491"/>
    <w:rsid w:val="006955E6"/>
    <w:rsid w:val="00695B0C"/>
    <w:rsid w:val="00695F3C"/>
    <w:rsid w:val="0069625B"/>
    <w:rsid w:val="00696525"/>
    <w:rsid w:val="00696657"/>
    <w:rsid w:val="006966BB"/>
    <w:rsid w:val="00696F99"/>
    <w:rsid w:val="00697280"/>
    <w:rsid w:val="00697553"/>
    <w:rsid w:val="00697731"/>
    <w:rsid w:val="00697D69"/>
    <w:rsid w:val="006A07B0"/>
    <w:rsid w:val="006A0B33"/>
    <w:rsid w:val="006A0D22"/>
    <w:rsid w:val="006A0EE8"/>
    <w:rsid w:val="006A10FD"/>
    <w:rsid w:val="006A154A"/>
    <w:rsid w:val="006A183A"/>
    <w:rsid w:val="006A1BD3"/>
    <w:rsid w:val="006A1F30"/>
    <w:rsid w:val="006A1FCF"/>
    <w:rsid w:val="006A24BD"/>
    <w:rsid w:val="006A2538"/>
    <w:rsid w:val="006A275F"/>
    <w:rsid w:val="006A27D9"/>
    <w:rsid w:val="006A2A5E"/>
    <w:rsid w:val="006A2E58"/>
    <w:rsid w:val="006A2E8D"/>
    <w:rsid w:val="006A3080"/>
    <w:rsid w:val="006A30B7"/>
    <w:rsid w:val="006A3443"/>
    <w:rsid w:val="006A350D"/>
    <w:rsid w:val="006A376F"/>
    <w:rsid w:val="006A3796"/>
    <w:rsid w:val="006A37EF"/>
    <w:rsid w:val="006A3D61"/>
    <w:rsid w:val="006A3D77"/>
    <w:rsid w:val="006A4B64"/>
    <w:rsid w:val="006A4D14"/>
    <w:rsid w:val="006A4E62"/>
    <w:rsid w:val="006A4EB8"/>
    <w:rsid w:val="006A4F4B"/>
    <w:rsid w:val="006A5004"/>
    <w:rsid w:val="006A53B7"/>
    <w:rsid w:val="006A53F0"/>
    <w:rsid w:val="006A5469"/>
    <w:rsid w:val="006A58AA"/>
    <w:rsid w:val="006A6045"/>
    <w:rsid w:val="006A60ED"/>
    <w:rsid w:val="006A68A8"/>
    <w:rsid w:val="006A6A47"/>
    <w:rsid w:val="006A6E30"/>
    <w:rsid w:val="006A6FDC"/>
    <w:rsid w:val="006A706A"/>
    <w:rsid w:val="006A70D8"/>
    <w:rsid w:val="006A76ED"/>
    <w:rsid w:val="006A77CF"/>
    <w:rsid w:val="006A7DEC"/>
    <w:rsid w:val="006B02DE"/>
    <w:rsid w:val="006B034F"/>
    <w:rsid w:val="006B038A"/>
    <w:rsid w:val="006B0F8C"/>
    <w:rsid w:val="006B0FC1"/>
    <w:rsid w:val="006B10BC"/>
    <w:rsid w:val="006B13A5"/>
    <w:rsid w:val="006B18F3"/>
    <w:rsid w:val="006B1927"/>
    <w:rsid w:val="006B1FBD"/>
    <w:rsid w:val="006B259B"/>
    <w:rsid w:val="006B2A8B"/>
    <w:rsid w:val="006B2F9E"/>
    <w:rsid w:val="006B322F"/>
    <w:rsid w:val="006B33D4"/>
    <w:rsid w:val="006B373C"/>
    <w:rsid w:val="006B376E"/>
    <w:rsid w:val="006B3792"/>
    <w:rsid w:val="006B3A86"/>
    <w:rsid w:val="006B3FDA"/>
    <w:rsid w:val="006B40BB"/>
    <w:rsid w:val="006B40EE"/>
    <w:rsid w:val="006B44A3"/>
    <w:rsid w:val="006B474C"/>
    <w:rsid w:val="006B49F4"/>
    <w:rsid w:val="006B4AB7"/>
    <w:rsid w:val="006B5043"/>
    <w:rsid w:val="006B51AE"/>
    <w:rsid w:val="006B530D"/>
    <w:rsid w:val="006B53EE"/>
    <w:rsid w:val="006B54D5"/>
    <w:rsid w:val="006B595C"/>
    <w:rsid w:val="006B5B02"/>
    <w:rsid w:val="006B5B3E"/>
    <w:rsid w:val="006B6138"/>
    <w:rsid w:val="006B660F"/>
    <w:rsid w:val="006B67A5"/>
    <w:rsid w:val="006B69B9"/>
    <w:rsid w:val="006B6A63"/>
    <w:rsid w:val="006B6C85"/>
    <w:rsid w:val="006B6ECE"/>
    <w:rsid w:val="006B6F30"/>
    <w:rsid w:val="006B76FD"/>
    <w:rsid w:val="006B7AD4"/>
    <w:rsid w:val="006C00BF"/>
    <w:rsid w:val="006C0191"/>
    <w:rsid w:val="006C01B1"/>
    <w:rsid w:val="006C05C4"/>
    <w:rsid w:val="006C062C"/>
    <w:rsid w:val="006C0771"/>
    <w:rsid w:val="006C1095"/>
    <w:rsid w:val="006C12C6"/>
    <w:rsid w:val="006C1522"/>
    <w:rsid w:val="006C1ECD"/>
    <w:rsid w:val="006C20A0"/>
    <w:rsid w:val="006C2549"/>
    <w:rsid w:val="006C254F"/>
    <w:rsid w:val="006C2893"/>
    <w:rsid w:val="006C2AA7"/>
    <w:rsid w:val="006C2BEC"/>
    <w:rsid w:val="006C33CE"/>
    <w:rsid w:val="006C357C"/>
    <w:rsid w:val="006C361E"/>
    <w:rsid w:val="006C3ED3"/>
    <w:rsid w:val="006C5141"/>
    <w:rsid w:val="006C5191"/>
    <w:rsid w:val="006C5F7C"/>
    <w:rsid w:val="006C6093"/>
    <w:rsid w:val="006C669D"/>
    <w:rsid w:val="006C6EC7"/>
    <w:rsid w:val="006C77A2"/>
    <w:rsid w:val="006C7ABE"/>
    <w:rsid w:val="006C7C3B"/>
    <w:rsid w:val="006D0013"/>
    <w:rsid w:val="006D081C"/>
    <w:rsid w:val="006D15EF"/>
    <w:rsid w:val="006D1757"/>
    <w:rsid w:val="006D1C73"/>
    <w:rsid w:val="006D1E4A"/>
    <w:rsid w:val="006D209C"/>
    <w:rsid w:val="006D226C"/>
    <w:rsid w:val="006D26AD"/>
    <w:rsid w:val="006D2947"/>
    <w:rsid w:val="006D2A72"/>
    <w:rsid w:val="006D2A7F"/>
    <w:rsid w:val="006D2B78"/>
    <w:rsid w:val="006D2E52"/>
    <w:rsid w:val="006D36E8"/>
    <w:rsid w:val="006D3E7D"/>
    <w:rsid w:val="006D3F95"/>
    <w:rsid w:val="006D410B"/>
    <w:rsid w:val="006D43AB"/>
    <w:rsid w:val="006D4695"/>
    <w:rsid w:val="006D473B"/>
    <w:rsid w:val="006D4746"/>
    <w:rsid w:val="006D54A3"/>
    <w:rsid w:val="006D54E8"/>
    <w:rsid w:val="006D636C"/>
    <w:rsid w:val="006D63D7"/>
    <w:rsid w:val="006D685E"/>
    <w:rsid w:val="006D68DB"/>
    <w:rsid w:val="006D6A1E"/>
    <w:rsid w:val="006D6C69"/>
    <w:rsid w:val="006D6D66"/>
    <w:rsid w:val="006D6EB7"/>
    <w:rsid w:val="006D7689"/>
    <w:rsid w:val="006E0634"/>
    <w:rsid w:val="006E086C"/>
    <w:rsid w:val="006E180D"/>
    <w:rsid w:val="006E18EA"/>
    <w:rsid w:val="006E1DFB"/>
    <w:rsid w:val="006E1E8E"/>
    <w:rsid w:val="006E26A7"/>
    <w:rsid w:val="006E2832"/>
    <w:rsid w:val="006E2EA0"/>
    <w:rsid w:val="006E311D"/>
    <w:rsid w:val="006E320C"/>
    <w:rsid w:val="006E3245"/>
    <w:rsid w:val="006E33A2"/>
    <w:rsid w:val="006E35DA"/>
    <w:rsid w:val="006E371D"/>
    <w:rsid w:val="006E39D3"/>
    <w:rsid w:val="006E3A49"/>
    <w:rsid w:val="006E3C78"/>
    <w:rsid w:val="006E41FB"/>
    <w:rsid w:val="006E4295"/>
    <w:rsid w:val="006E439A"/>
    <w:rsid w:val="006E4844"/>
    <w:rsid w:val="006E4B63"/>
    <w:rsid w:val="006E4CD3"/>
    <w:rsid w:val="006E4F57"/>
    <w:rsid w:val="006E521E"/>
    <w:rsid w:val="006E54C7"/>
    <w:rsid w:val="006E58C0"/>
    <w:rsid w:val="006E5A2F"/>
    <w:rsid w:val="006E5A89"/>
    <w:rsid w:val="006E5C7C"/>
    <w:rsid w:val="006E5D25"/>
    <w:rsid w:val="006E5D9B"/>
    <w:rsid w:val="006E6D4F"/>
    <w:rsid w:val="006E6D51"/>
    <w:rsid w:val="006E6E20"/>
    <w:rsid w:val="006E6E2A"/>
    <w:rsid w:val="006E7567"/>
    <w:rsid w:val="006E76DB"/>
    <w:rsid w:val="006F00AE"/>
    <w:rsid w:val="006F07E7"/>
    <w:rsid w:val="006F07E8"/>
    <w:rsid w:val="006F0B29"/>
    <w:rsid w:val="006F0BB2"/>
    <w:rsid w:val="006F1257"/>
    <w:rsid w:val="006F130F"/>
    <w:rsid w:val="006F1669"/>
    <w:rsid w:val="006F1828"/>
    <w:rsid w:val="006F18DE"/>
    <w:rsid w:val="006F1C57"/>
    <w:rsid w:val="006F1E5F"/>
    <w:rsid w:val="006F2839"/>
    <w:rsid w:val="006F291C"/>
    <w:rsid w:val="006F2D5F"/>
    <w:rsid w:val="006F3637"/>
    <w:rsid w:val="006F4419"/>
    <w:rsid w:val="006F4495"/>
    <w:rsid w:val="006F4E97"/>
    <w:rsid w:val="006F5710"/>
    <w:rsid w:val="006F5796"/>
    <w:rsid w:val="006F5A23"/>
    <w:rsid w:val="006F5D32"/>
    <w:rsid w:val="006F5E6B"/>
    <w:rsid w:val="006F5F7E"/>
    <w:rsid w:val="006F61A7"/>
    <w:rsid w:val="006F66DD"/>
    <w:rsid w:val="006F6F6C"/>
    <w:rsid w:val="006F74DE"/>
    <w:rsid w:val="006F769C"/>
    <w:rsid w:val="006F7778"/>
    <w:rsid w:val="006F7CA7"/>
    <w:rsid w:val="00700907"/>
    <w:rsid w:val="00700C00"/>
    <w:rsid w:val="00700D1A"/>
    <w:rsid w:val="007013F4"/>
    <w:rsid w:val="00701714"/>
    <w:rsid w:val="007017F4"/>
    <w:rsid w:val="00701BD4"/>
    <w:rsid w:val="00701E52"/>
    <w:rsid w:val="007020AC"/>
    <w:rsid w:val="007027F1"/>
    <w:rsid w:val="00702D57"/>
    <w:rsid w:val="00702EDD"/>
    <w:rsid w:val="00703226"/>
    <w:rsid w:val="00703705"/>
    <w:rsid w:val="0070387D"/>
    <w:rsid w:val="00703A1B"/>
    <w:rsid w:val="0070411E"/>
    <w:rsid w:val="007042E0"/>
    <w:rsid w:val="007044B9"/>
    <w:rsid w:val="00704D54"/>
    <w:rsid w:val="00705021"/>
    <w:rsid w:val="007051F7"/>
    <w:rsid w:val="00705341"/>
    <w:rsid w:val="0070545F"/>
    <w:rsid w:val="00705FC5"/>
    <w:rsid w:val="00705FD4"/>
    <w:rsid w:val="0070670F"/>
    <w:rsid w:val="00707129"/>
    <w:rsid w:val="007075A4"/>
    <w:rsid w:val="00707623"/>
    <w:rsid w:val="00707C79"/>
    <w:rsid w:val="00707E25"/>
    <w:rsid w:val="00707F4F"/>
    <w:rsid w:val="00710A6A"/>
    <w:rsid w:val="00710BE7"/>
    <w:rsid w:val="00711A58"/>
    <w:rsid w:val="00711BB1"/>
    <w:rsid w:val="00712131"/>
    <w:rsid w:val="007125C5"/>
    <w:rsid w:val="007126F3"/>
    <w:rsid w:val="00712CF5"/>
    <w:rsid w:val="007133A4"/>
    <w:rsid w:val="00713762"/>
    <w:rsid w:val="00713A6C"/>
    <w:rsid w:val="00714097"/>
    <w:rsid w:val="007144E2"/>
    <w:rsid w:val="007145A0"/>
    <w:rsid w:val="00714960"/>
    <w:rsid w:val="00714B14"/>
    <w:rsid w:val="00714B81"/>
    <w:rsid w:val="00714BC7"/>
    <w:rsid w:val="00714D74"/>
    <w:rsid w:val="007153E9"/>
    <w:rsid w:val="007156FA"/>
    <w:rsid w:val="007159BC"/>
    <w:rsid w:val="007159D5"/>
    <w:rsid w:val="00715DCF"/>
    <w:rsid w:val="00715E2C"/>
    <w:rsid w:val="00715E71"/>
    <w:rsid w:val="00716358"/>
    <w:rsid w:val="00716B47"/>
    <w:rsid w:val="00716E9F"/>
    <w:rsid w:val="007170C2"/>
    <w:rsid w:val="0071733E"/>
    <w:rsid w:val="00717779"/>
    <w:rsid w:val="00717848"/>
    <w:rsid w:val="00717D5F"/>
    <w:rsid w:val="00717EFA"/>
    <w:rsid w:val="00720301"/>
    <w:rsid w:val="0072051C"/>
    <w:rsid w:val="00720AAA"/>
    <w:rsid w:val="00720D20"/>
    <w:rsid w:val="00720E75"/>
    <w:rsid w:val="00720ECB"/>
    <w:rsid w:val="00720F71"/>
    <w:rsid w:val="00721566"/>
    <w:rsid w:val="00721717"/>
    <w:rsid w:val="007218D9"/>
    <w:rsid w:val="00721DC7"/>
    <w:rsid w:val="0072220F"/>
    <w:rsid w:val="00722AB5"/>
    <w:rsid w:val="00722BBE"/>
    <w:rsid w:val="00722C32"/>
    <w:rsid w:val="00722CA8"/>
    <w:rsid w:val="00723034"/>
    <w:rsid w:val="007231FF"/>
    <w:rsid w:val="00723360"/>
    <w:rsid w:val="007234D9"/>
    <w:rsid w:val="00723698"/>
    <w:rsid w:val="00723858"/>
    <w:rsid w:val="00723DB1"/>
    <w:rsid w:val="00724343"/>
    <w:rsid w:val="007247BE"/>
    <w:rsid w:val="007248AD"/>
    <w:rsid w:val="00724F79"/>
    <w:rsid w:val="00725728"/>
    <w:rsid w:val="007258DE"/>
    <w:rsid w:val="00725C8F"/>
    <w:rsid w:val="00725CB7"/>
    <w:rsid w:val="00726540"/>
    <w:rsid w:val="00726643"/>
    <w:rsid w:val="00726775"/>
    <w:rsid w:val="00726832"/>
    <w:rsid w:val="00726C96"/>
    <w:rsid w:val="00726DEE"/>
    <w:rsid w:val="00726F22"/>
    <w:rsid w:val="0072712D"/>
    <w:rsid w:val="007276D4"/>
    <w:rsid w:val="00727975"/>
    <w:rsid w:val="00727D72"/>
    <w:rsid w:val="00727E44"/>
    <w:rsid w:val="0073045A"/>
    <w:rsid w:val="00730487"/>
    <w:rsid w:val="00730527"/>
    <w:rsid w:val="00730CE2"/>
    <w:rsid w:val="00731069"/>
    <w:rsid w:val="0073158E"/>
    <w:rsid w:val="007316AC"/>
    <w:rsid w:val="00731AB7"/>
    <w:rsid w:val="00731DBA"/>
    <w:rsid w:val="00732375"/>
    <w:rsid w:val="00732535"/>
    <w:rsid w:val="007328C7"/>
    <w:rsid w:val="00732A0B"/>
    <w:rsid w:val="00732AA4"/>
    <w:rsid w:val="00732D14"/>
    <w:rsid w:val="00732ED4"/>
    <w:rsid w:val="007333B4"/>
    <w:rsid w:val="0073364D"/>
    <w:rsid w:val="007336CF"/>
    <w:rsid w:val="00733801"/>
    <w:rsid w:val="00733804"/>
    <w:rsid w:val="00733C32"/>
    <w:rsid w:val="00733D0E"/>
    <w:rsid w:val="00734556"/>
    <w:rsid w:val="0073475A"/>
    <w:rsid w:val="0073476E"/>
    <w:rsid w:val="00734850"/>
    <w:rsid w:val="00734ADF"/>
    <w:rsid w:val="00734E89"/>
    <w:rsid w:val="00734F23"/>
    <w:rsid w:val="0073530E"/>
    <w:rsid w:val="00735DB4"/>
    <w:rsid w:val="00735DE3"/>
    <w:rsid w:val="00736038"/>
    <w:rsid w:val="007362F7"/>
    <w:rsid w:val="0073654D"/>
    <w:rsid w:val="007365A5"/>
    <w:rsid w:val="007369BB"/>
    <w:rsid w:val="007369C1"/>
    <w:rsid w:val="007369D0"/>
    <w:rsid w:val="00736A59"/>
    <w:rsid w:val="0073718A"/>
    <w:rsid w:val="007372BD"/>
    <w:rsid w:val="007372F8"/>
    <w:rsid w:val="007375D7"/>
    <w:rsid w:val="007378B2"/>
    <w:rsid w:val="007378FC"/>
    <w:rsid w:val="00737A1C"/>
    <w:rsid w:val="00737D10"/>
    <w:rsid w:val="00737E00"/>
    <w:rsid w:val="0074009A"/>
    <w:rsid w:val="007401BD"/>
    <w:rsid w:val="00740293"/>
    <w:rsid w:val="00740509"/>
    <w:rsid w:val="00740A70"/>
    <w:rsid w:val="00740CF5"/>
    <w:rsid w:val="007410A8"/>
    <w:rsid w:val="0074117D"/>
    <w:rsid w:val="0074170F"/>
    <w:rsid w:val="007423C7"/>
    <w:rsid w:val="00742573"/>
    <w:rsid w:val="00742AE6"/>
    <w:rsid w:val="00742F23"/>
    <w:rsid w:val="00743205"/>
    <w:rsid w:val="007432C3"/>
    <w:rsid w:val="0074366C"/>
    <w:rsid w:val="007436C2"/>
    <w:rsid w:val="00743C1C"/>
    <w:rsid w:val="00744224"/>
    <w:rsid w:val="0074458F"/>
    <w:rsid w:val="00744599"/>
    <w:rsid w:val="0074542A"/>
    <w:rsid w:val="007456B3"/>
    <w:rsid w:val="00745A90"/>
    <w:rsid w:val="00745BB5"/>
    <w:rsid w:val="00745C45"/>
    <w:rsid w:val="00745E43"/>
    <w:rsid w:val="00745E84"/>
    <w:rsid w:val="0074606C"/>
    <w:rsid w:val="00746235"/>
    <w:rsid w:val="007462D6"/>
    <w:rsid w:val="0074641C"/>
    <w:rsid w:val="00746441"/>
    <w:rsid w:val="00746896"/>
    <w:rsid w:val="0074697A"/>
    <w:rsid w:val="00746AD9"/>
    <w:rsid w:val="00747900"/>
    <w:rsid w:val="00747BCE"/>
    <w:rsid w:val="00747E96"/>
    <w:rsid w:val="0075014A"/>
    <w:rsid w:val="007508DC"/>
    <w:rsid w:val="0075112E"/>
    <w:rsid w:val="00751224"/>
    <w:rsid w:val="007512C6"/>
    <w:rsid w:val="00751394"/>
    <w:rsid w:val="007513EF"/>
    <w:rsid w:val="00751753"/>
    <w:rsid w:val="00751B06"/>
    <w:rsid w:val="00751C38"/>
    <w:rsid w:val="00752BAE"/>
    <w:rsid w:val="00752D85"/>
    <w:rsid w:val="0075302E"/>
    <w:rsid w:val="007536D0"/>
    <w:rsid w:val="00753B06"/>
    <w:rsid w:val="00753B30"/>
    <w:rsid w:val="00753F1B"/>
    <w:rsid w:val="00754243"/>
    <w:rsid w:val="00754335"/>
    <w:rsid w:val="00754F43"/>
    <w:rsid w:val="00755225"/>
    <w:rsid w:val="007554A3"/>
    <w:rsid w:val="00755B84"/>
    <w:rsid w:val="00755D24"/>
    <w:rsid w:val="00756554"/>
    <w:rsid w:val="00756F92"/>
    <w:rsid w:val="00757024"/>
    <w:rsid w:val="007571C5"/>
    <w:rsid w:val="00757301"/>
    <w:rsid w:val="0075733E"/>
    <w:rsid w:val="00757D6C"/>
    <w:rsid w:val="00757E2A"/>
    <w:rsid w:val="00757E50"/>
    <w:rsid w:val="0076005D"/>
    <w:rsid w:val="00760420"/>
    <w:rsid w:val="00760BD6"/>
    <w:rsid w:val="00760BE7"/>
    <w:rsid w:val="00760CE4"/>
    <w:rsid w:val="00760EDD"/>
    <w:rsid w:val="00761063"/>
    <w:rsid w:val="00761912"/>
    <w:rsid w:val="00761B07"/>
    <w:rsid w:val="00761F1D"/>
    <w:rsid w:val="00761FED"/>
    <w:rsid w:val="0076227B"/>
    <w:rsid w:val="00762318"/>
    <w:rsid w:val="007623C9"/>
    <w:rsid w:val="0076240E"/>
    <w:rsid w:val="00762612"/>
    <w:rsid w:val="00762CA7"/>
    <w:rsid w:val="00762CF6"/>
    <w:rsid w:val="00762ED6"/>
    <w:rsid w:val="00763055"/>
    <w:rsid w:val="00763252"/>
    <w:rsid w:val="00763A2C"/>
    <w:rsid w:val="00763B3C"/>
    <w:rsid w:val="00763BC7"/>
    <w:rsid w:val="00763D97"/>
    <w:rsid w:val="00763F9F"/>
    <w:rsid w:val="0076423F"/>
    <w:rsid w:val="007643C0"/>
    <w:rsid w:val="007643C5"/>
    <w:rsid w:val="007646D3"/>
    <w:rsid w:val="00764701"/>
    <w:rsid w:val="00764862"/>
    <w:rsid w:val="00764A8F"/>
    <w:rsid w:val="00764B34"/>
    <w:rsid w:val="00764C33"/>
    <w:rsid w:val="00764D51"/>
    <w:rsid w:val="00764D91"/>
    <w:rsid w:val="00764DD5"/>
    <w:rsid w:val="00764E3F"/>
    <w:rsid w:val="00764FCE"/>
    <w:rsid w:val="0076556F"/>
    <w:rsid w:val="00765719"/>
    <w:rsid w:val="00765832"/>
    <w:rsid w:val="0076596A"/>
    <w:rsid w:val="00765DBC"/>
    <w:rsid w:val="0076670C"/>
    <w:rsid w:val="00766EFE"/>
    <w:rsid w:val="00767339"/>
    <w:rsid w:val="00767E15"/>
    <w:rsid w:val="00767EF4"/>
    <w:rsid w:val="0077003D"/>
    <w:rsid w:val="007708BC"/>
    <w:rsid w:val="007712D3"/>
    <w:rsid w:val="007713CB"/>
    <w:rsid w:val="0077174E"/>
    <w:rsid w:val="00771AE3"/>
    <w:rsid w:val="00771B46"/>
    <w:rsid w:val="0077205B"/>
    <w:rsid w:val="007722DE"/>
    <w:rsid w:val="00772770"/>
    <w:rsid w:val="00772A5D"/>
    <w:rsid w:val="00772B4D"/>
    <w:rsid w:val="00772EF5"/>
    <w:rsid w:val="0077325B"/>
    <w:rsid w:val="007733FF"/>
    <w:rsid w:val="0077341D"/>
    <w:rsid w:val="007735EF"/>
    <w:rsid w:val="0077368F"/>
    <w:rsid w:val="007736B1"/>
    <w:rsid w:val="007737C1"/>
    <w:rsid w:val="00773CB5"/>
    <w:rsid w:val="00773EE9"/>
    <w:rsid w:val="00773F92"/>
    <w:rsid w:val="00773FB6"/>
    <w:rsid w:val="0077401E"/>
    <w:rsid w:val="00774436"/>
    <w:rsid w:val="00774BC0"/>
    <w:rsid w:val="00774D56"/>
    <w:rsid w:val="007750CC"/>
    <w:rsid w:val="0077534F"/>
    <w:rsid w:val="00775784"/>
    <w:rsid w:val="007758D1"/>
    <w:rsid w:val="00775A32"/>
    <w:rsid w:val="00775AAA"/>
    <w:rsid w:val="00775E17"/>
    <w:rsid w:val="00775FE1"/>
    <w:rsid w:val="00776037"/>
    <w:rsid w:val="00776370"/>
    <w:rsid w:val="007766CF"/>
    <w:rsid w:val="00776D5E"/>
    <w:rsid w:val="00776D66"/>
    <w:rsid w:val="00777421"/>
    <w:rsid w:val="007777D9"/>
    <w:rsid w:val="007777EA"/>
    <w:rsid w:val="007801B0"/>
    <w:rsid w:val="007803DE"/>
    <w:rsid w:val="00780725"/>
    <w:rsid w:val="00780C90"/>
    <w:rsid w:val="00780F45"/>
    <w:rsid w:val="00780F93"/>
    <w:rsid w:val="00781180"/>
    <w:rsid w:val="00781283"/>
    <w:rsid w:val="007812D4"/>
    <w:rsid w:val="0078134A"/>
    <w:rsid w:val="00781E85"/>
    <w:rsid w:val="007822F1"/>
    <w:rsid w:val="007825AC"/>
    <w:rsid w:val="0078282E"/>
    <w:rsid w:val="0078289F"/>
    <w:rsid w:val="00782E11"/>
    <w:rsid w:val="0078331E"/>
    <w:rsid w:val="00783528"/>
    <w:rsid w:val="0078376F"/>
    <w:rsid w:val="007839B8"/>
    <w:rsid w:val="007847FD"/>
    <w:rsid w:val="0078487F"/>
    <w:rsid w:val="00784AAE"/>
    <w:rsid w:val="007850AF"/>
    <w:rsid w:val="0078552C"/>
    <w:rsid w:val="00785862"/>
    <w:rsid w:val="00785AA9"/>
    <w:rsid w:val="00785AD3"/>
    <w:rsid w:val="00785DA7"/>
    <w:rsid w:val="00785F57"/>
    <w:rsid w:val="00786231"/>
    <w:rsid w:val="00786707"/>
    <w:rsid w:val="00786A04"/>
    <w:rsid w:val="00786BB2"/>
    <w:rsid w:val="00787174"/>
    <w:rsid w:val="007872C0"/>
    <w:rsid w:val="00787318"/>
    <w:rsid w:val="00787440"/>
    <w:rsid w:val="00787935"/>
    <w:rsid w:val="00787A5A"/>
    <w:rsid w:val="00787E07"/>
    <w:rsid w:val="007903D7"/>
    <w:rsid w:val="007907DA"/>
    <w:rsid w:val="00790922"/>
    <w:rsid w:val="00790AD6"/>
    <w:rsid w:val="00790B02"/>
    <w:rsid w:val="00790E0B"/>
    <w:rsid w:val="00791069"/>
    <w:rsid w:val="007922A2"/>
    <w:rsid w:val="00792975"/>
    <w:rsid w:val="00792A32"/>
    <w:rsid w:val="00792BE9"/>
    <w:rsid w:val="00792C66"/>
    <w:rsid w:val="00792F7E"/>
    <w:rsid w:val="00792FEE"/>
    <w:rsid w:val="0079373C"/>
    <w:rsid w:val="00793773"/>
    <w:rsid w:val="00793DA9"/>
    <w:rsid w:val="00794559"/>
    <w:rsid w:val="0079487B"/>
    <w:rsid w:val="00794BC0"/>
    <w:rsid w:val="00794BEC"/>
    <w:rsid w:val="00794EF8"/>
    <w:rsid w:val="00795215"/>
    <w:rsid w:val="0079539F"/>
    <w:rsid w:val="00795433"/>
    <w:rsid w:val="0079573F"/>
    <w:rsid w:val="00795EF8"/>
    <w:rsid w:val="0079662D"/>
    <w:rsid w:val="00796954"/>
    <w:rsid w:val="007969A1"/>
    <w:rsid w:val="00797587"/>
    <w:rsid w:val="0079772A"/>
    <w:rsid w:val="007977EE"/>
    <w:rsid w:val="007A03CB"/>
    <w:rsid w:val="007A046B"/>
    <w:rsid w:val="007A0493"/>
    <w:rsid w:val="007A0658"/>
    <w:rsid w:val="007A0677"/>
    <w:rsid w:val="007A19BF"/>
    <w:rsid w:val="007A1CE1"/>
    <w:rsid w:val="007A209B"/>
    <w:rsid w:val="007A24DC"/>
    <w:rsid w:val="007A29D5"/>
    <w:rsid w:val="007A2AFD"/>
    <w:rsid w:val="007A2E34"/>
    <w:rsid w:val="007A2F54"/>
    <w:rsid w:val="007A340D"/>
    <w:rsid w:val="007A3481"/>
    <w:rsid w:val="007A353A"/>
    <w:rsid w:val="007A39E2"/>
    <w:rsid w:val="007A3A60"/>
    <w:rsid w:val="007A3C15"/>
    <w:rsid w:val="007A4178"/>
    <w:rsid w:val="007A435C"/>
    <w:rsid w:val="007A586B"/>
    <w:rsid w:val="007A6453"/>
    <w:rsid w:val="007A677B"/>
    <w:rsid w:val="007A6A0B"/>
    <w:rsid w:val="007A6E31"/>
    <w:rsid w:val="007A6FE8"/>
    <w:rsid w:val="007A72AA"/>
    <w:rsid w:val="007A72EC"/>
    <w:rsid w:val="007A73A7"/>
    <w:rsid w:val="007A7A17"/>
    <w:rsid w:val="007A7B90"/>
    <w:rsid w:val="007B019A"/>
    <w:rsid w:val="007B0610"/>
    <w:rsid w:val="007B07BD"/>
    <w:rsid w:val="007B0814"/>
    <w:rsid w:val="007B0ABE"/>
    <w:rsid w:val="007B16A9"/>
    <w:rsid w:val="007B211A"/>
    <w:rsid w:val="007B2583"/>
    <w:rsid w:val="007B275C"/>
    <w:rsid w:val="007B307E"/>
    <w:rsid w:val="007B33FF"/>
    <w:rsid w:val="007B3610"/>
    <w:rsid w:val="007B38D1"/>
    <w:rsid w:val="007B3B6A"/>
    <w:rsid w:val="007B3BDC"/>
    <w:rsid w:val="007B3F99"/>
    <w:rsid w:val="007B42E4"/>
    <w:rsid w:val="007B50D5"/>
    <w:rsid w:val="007B50D6"/>
    <w:rsid w:val="007B5141"/>
    <w:rsid w:val="007B5358"/>
    <w:rsid w:val="007B54A0"/>
    <w:rsid w:val="007B580B"/>
    <w:rsid w:val="007B5B44"/>
    <w:rsid w:val="007B5E24"/>
    <w:rsid w:val="007B69CA"/>
    <w:rsid w:val="007B6B46"/>
    <w:rsid w:val="007B741A"/>
    <w:rsid w:val="007B771F"/>
    <w:rsid w:val="007B7D7F"/>
    <w:rsid w:val="007B7E7D"/>
    <w:rsid w:val="007B7FCB"/>
    <w:rsid w:val="007C0CFB"/>
    <w:rsid w:val="007C0FF4"/>
    <w:rsid w:val="007C11C8"/>
    <w:rsid w:val="007C1591"/>
    <w:rsid w:val="007C20DB"/>
    <w:rsid w:val="007C23CA"/>
    <w:rsid w:val="007C29E7"/>
    <w:rsid w:val="007C2ECB"/>
    <w:rsid w:val="007C2EEE"/>
    <w:rsid w:val="007C32BA"/>
    <w:rsid w:val="007C3367"/>
    <w:rsid w:val="007C364E"/>
    <w:rsid w:val="007C36B1"/>
    <w:rsid w:val="007C3722"/>
    <w:rsid w:val="007C3747"/>
    <w:rsid w:val="007C38D9"/>
    <w:rsid w:val="007C3DE5"/>
    <w:rsid w:val="007C3EA3"/>
    <w:rsid w:val="007C4074"/>
    <w:rsid w:val="007C4F5A"/>
    <w:rsid w:val="007C50F4"/>
    <w:rsid w:val="007C5200"/>
    <w:rsid w:val="007C5581"/>
    <w:rsid w:val="007C5732"/>
    <w:rsid w:val="007C5A5A"/>
    <w:rsid w:val="007C5DA4"/>
    <w:rsid w:val="007C5DD1"/>
    <w:rsid w:val="007C6326"/>
    <w:rsid w:val="007C684E"/>
    <w:rsid w:val="007C6C41"/>
    <w:rsid w:val="007C72F0"/>
    <w:rsid w:val="007C73BA"/>
    <w:rsid w:val="007C7797"/>
    <w:rsid w:val="007C7A6B"/>
    <w:rsid w:val="007C7C0D"/>
    <w:rsid w:val="007D0152"/>
    <w:rsid w:val="007D0A4F"/>
    <w:rsid w:val="007D0CEE"/>
    <w:rsid w:val="007D0E99"/>
    <w:rsid w:val="007D0EC3"/>
    <w:rsid w:val="007D124F"/>
    <w:rsid w:val="007D12C0"/>
    <w:rsid w:val="007D150B"/>
    <w:rsid w:val="007D1607"/>
    <w:rsid w:val="007D1645"/>
    <w:rsid w:val="007D18E0"/>
    <w:rsid w:val="007D1BC1"/>
    <w:rsid w:val="007D1C66"/>
    <w:rsid w:val="007D1CC7"/>
    <w:rsid w:val="007D1CFA"/>
    <w:rsid w:val="007D1E39"/>
    <w:rsid w:val="007D2240"/>
    <w:rsid w:val="007D22B0"/>
    <w:rsid w:val="007D2504"/>
    <w:rsid w:val="007D279A"/>
    <w:rsid w:val="007D2ABA"/>
    <w:rsid w:val="007D2ADC"/>
    <w:rsid w:val="007D2D26"/>
    <w:rsid w:val="007D2EB8"/>
    <w:rsid w:val="007D2EC6"/>
    <w:rsid w:val="007D3264"/>
    <w:rsid w:val="007D32FF"/>
    <w:rsid w:val="007D375C"/>
    <w:rsid w:val="007D3C9B"/>
    <w:rsid w:val="007D409B"/>
    <w:rsid w:val="007D41AB"/>
    <w:rsid w:val="007D4587"/>
    <w:rsid w:val="007D47CB"/>
    <w:rsid w:val="007D4BC7"/>
    <w:rsid w:val="007D4C39"/>
    <w:rsid w:val="007D4D48"/>
    <w:rsid w:val="007D4DA5"/>
    <w:rsid w:val="007D5948"/>
    <w:rsid w:val="007D5B4C"/>
    <w:rsid w:val="007D5C25"/>
    <w:rsid w:val="007D5D86"/>
    <w:rsid w:val="007D5EA0"/>
    <w:rsid w:val="007D5FDB"/>
    <w:rsid w:val="007D627E"/>
    <w:rsid w:val="007D62FD"/>
    <w:rsid w:val="007D6494"/>
    <w:rsid w:val="007D64A7"/>
    <w:rsid w:val="007D6508"/>
    <w:rsid w:val="007D6C21"/>
    <w:rsid w:val="007D716E"/>
    <w:rsid w:val="007D7ACF"/>
    <w:rsid w:val="007D7BCF"/>
    <w:rsid w:val="007E00E4"/>
    <w:rsid w:val="007E0268"/>
    <w:rsid w:val="007E060E"/>
    <w:rsid w:val="007E087A"/>
    <w:rsid w:val="007E0969"/>
    <w:rsid w:val="007E09FA"/>
    <w:rsid w:val="007E1244"/>
    <w:rsid w:val="007E1A43"/>
    <w:rsid w:val="007E1A52"/>
    <w:rsid w:val="007E1ADE"/>
    <w:rsid w:val="007E1D43"/>
    <w:rsid w:val="007E1D4D"/>
    <w:rsid w:val="007E2123"/>
    <w:rsid w:val="007E241C"/>
    <w:rsid w:val="007E2834"/>
    <w:rsid w:val="007E2BC4"/>
    <w:rsid w:val="007E2DA6"/>
    <w:rsid w:val="007E2FA4"/>
    <w:rsid w:val="007E30B9"/>
    <w:rsid w:val="007E3370"/>
    <w:rsid w:val="007E3593"/>
    <w:rsid w:val="007E3686"/>
    <w:rsid w:val="007E3EA5"/>
    <w:rsid w:val="007E3F11"/>
    <w:rsid w:val="007E3F9E"/>
    <w:rsid w:val="007E47F7"/>
    <w:rsid w:val="007E48E6"/>
    <w:rsid w:val="007E4A75"/>
    <w:rsid w:val="007E4A99"/>
    <w:rsid w:val="007E4C83"/>
    <w:rsid w:val="007E4FF9"/>
    <w:rsid w:val="007E56C3"/>
    <w:rsid w:val="007E5D09"/>
    <w:rsid w:val="007E5D15"/>
    <w:rsid w:val="007E60E4"/>
    <w:rsid w:val="007E61AF"/>
    <w:rsid w:val="007E61DC"/>
    <w:rsid w:val="007E6348"/>
    <w:rsid w:val="007E63EE"/>
    <w:rsid w:val="007E64B8"/>
    <w:rsid w:val="007E6716"/>
    <w:rsid w:val="007E67E9"/>
    <w:rsid w:val="007E6845"/>
    <w:rsid w:val="007E684D"/>
    <w:rsid w:val="007E6ADF"/>
    <w:rsid w:val="007E6AFE"/>
    <w:rsid w:val="007E6EC8"/>
    <w:rsid w:val="007E710C"/>
    <w:rsid w:val="007E72A0"/>
    <w:rsid w:val="007E7602"/>
    <w:rsid w:val="007E769B"/>
    <w:rsid w:val="007E76D6"/>
    <w:rsid w:val="007E775F"/>
    <w:rsid w:val="007E7799"/>
    <w:rsid w:val="007E7C3A"/>
    <w:rsid w:val="007F0137"/>
    <w:rsid w:val="007F0F44"/>
    <w:rsid w:val="007F13C7"/>
    <w:rsid w:val="007F13E5"/>
    <w:rsid w:val="007F1C37"/>
    <w:rsid w:val="007F1C87"/>
    <w:rsid w:val="007F1EB8"/>
    <w:rsid w:val="007F2148"/>
    <w:rsid w:val="007F2178"/>
    <w:rsid w:val="007F2329"/>
    <w:rsid w:val="007F2475"/>
    <w:rsid w:val="007F28FE"/>
    <w:rsid w:val="007F2C05"/>
    <w:rsid w:val="007F2F0B"/>
    <w:rsid w:val="007F3061"/>
    <w:rsid w:val="007F31BC"/>
    <w:rsid w:val="007F34DE"/>
    <w:rsid w:val="007F35F6"/>
    <w:rsid w:val="007F390A"/>
    <w:rsid w:val="007F4472"/>
    <w:rsid w:val="007F4B96"/>
    <w:rsid w:val="007F4F74"/>
    <w:rsid w:val="007F5177"/>
    <w:rsid w:val="007F60E6"/>
    <w:rsid w:val="007F6270"/>
    <w:rsid w:val="007F6404"/>
    <w:rsid w:val="007F718E"/>
    <w:rsid w:val="007F771F"/>
    <w:rsid w:val="007F7A4C"/>
    <w:rsid w:val="008001D8"/>
    <w:rsid w:val="008006A8"/>
    <w:rsid w:val="00800BB8"/>
    <w:rsid w:val="00800E2C"/>
    <w:rsid w:val="00800F0F"/>
    <w:rsid w:val="00801002"/>
    <w:rsid w:val="00802450"/>
    <w:rsid w:val="008025B5"/>
    <w:rsid w:val="0080274C"/>
    <w:rsid w:val="00802CB7"/>
    <w:rsid w:val="00802CDF"/>
    <w:rsid w:val="00802E4A"/>
    <w:rsid w:val="00802EE9"/>
    <w:rsid w:val="00803A2E"/>
    <w:rsid w:val="00803DB4"/>
    <w:rsid w:val="00803FF4"/>
    <w:rsid w:val="0080414C"/>
    <w:rsid w:val="008041B4"/>
    <w:rsid w:val="008043C2"/>
    <w:rsid w:val="00804428"/>
    <w:rsid w:val="00804761"/>
    <w:rsid w:val="008047A2"/>
    <w:rsid w:val="00804A49"/>
    <w:rsid w:val="00804C46"/>
    <w:rsid w:val="008050C6"/>
    <w:rsid w:val="0080576A"/>
    <w:rsid w:val="00805848"/>
    <w:rsid w:val="00806065"/>
    <w:rsid w:val="00806A5A"/>
    <w:rsid w:val="008071B3"/>
    <w:rsid w:val="00807212"/>
    <w:rsid w:val="0080760F"/>
    <w:rsid w:val="00807880"/>
    <w:rsid w:val="00807C26"/>
    <w:rsid w:val="00807F63"/>
    <w:rsid w:val="00810315"/>
    <w:rsid w:val="00810398"/>
    <w:rsid w:val="00810414"/>
    <w:rsid w:val="00810708"/>
    <w:rsid w:val="008108F0"/>
    <w:rsid w:val="008109F5"/>
    <w:rsid w:val="00810C6B"/>
    <w:rsid w:val="00811081"/>
    <w:rsid w:val="008110E1"/>
    <w:rsid w:val="00811601"/>
    <w:rsid w:val="00811852"/>
    <w:rsid w:val="00811902"/>
    <w:rsid w:val="00811A43"/>
    <w:rsid w:val="00811FE4"/>
    <w:rsid w:val="00812170"/>
    <w:rsid w:val="0081258B"/>
    <w:rsid w:val="00812BBB"/>
    <w:rsid w:val="00812C46"/>
    <w:rsid w:val="00812CD9"/>
    <w:rsid w:val="008132A5"/>
    <w:rsid w:val="00813330"/>
    <w:rsid w:val="00813361"/>
    <w:rsid w:val="008134AA"/>
    <w:rsid w:val="008137F2"/>
    <w:rsid w:val="00813849"/>
    <w:rsid w:val="00814082"/>
    <w:rsid w:val="0081486F"/>
    <w:rsid w:val="00814B3B"/>
    <w:rsid w:val="00814B61"/>
    <w:rsid w:val="00815174"/>
    <w:rsid w:val="008155F9"/>
    <w:rsid w:val="008159A1"/>
    <w:rsid w:val="00815B37"/>
    <w:rsid w:val="00815EA7"/>
    <w:rsid w:val="00815EBD"/>
    <w:rsid w:val="008162FE"/>
    <w:rsid w:val="00816398"/>
    <w:rsid w:val="0081654E"/>
    <w:rsid w:val="00816C1E"/>
    <w:rsid w:val="00816C46"/>
    <w:rsid w:val="00816D56"/>
    <w:rsid w:val="008171AB"/>
    <w:rsid w:val="008172B0"/>
    <w:rsid w:val="00817387"/>
    <w:rsid w:val="0081797F"/>
    <w:rsid w:val="008200DC"/>
    <w:rsid w:val="008203C2"/>
    <w:rsid w:val="00821293"/>
    <w:rsid w:val="00821807"/>
    <w:rsid w:val="00821895"/>
    <w:rsid w:val="00821A6B"/>
    <w:rsid w:val="00821CE2"/>
    <w:rsid w:val="008220BB"/>
    <w:rsid w:val="00822539"/>
    <w:rsid w:val="008234B3"/>
    <w:rsid w:val="00823566"/>
    <w:rsid w:val="00823B15"/>
    <w:rsid w:val="00824561"/>
    <w:rsid w:val="00824E70"/>
    <w:rsid w:val="0082502E"/>
    <w:rsid w:val="008251CA"/>
    <w:rsid w:val="008253C6"/>
    <w:rsid w:val="008253F0"/>
    <w:rsid w:val="008256F2"/>
    <w:rsid w:val="00825923"/>
    <w:rsid w:val="00825F83"/>
    <w:rsid w:val="0082612E"/>
    <w:rsid w:val="008262C5"/>
    <w:rsid w:val="00826510"/>
    <w:rsid w:val="0082706E"/>
    <w:rsid w:val="0082759B"/>
    <w:rsid w:val="00827BCA"/>
    <w:rsid w:val="00827DAD"/>
    <w:rsid w:val="00827F05"/>
    <w:rsid w:val="00827F6D"/>
    <w:rsid w:val="0083080E"/>
    <w:rsid w:val="0083086C"/>
    <w:rsid w:val="00830CF4"/>
    <w:rsid w:val="00830DAF"/>
    <w:rsid w:val="00830F63"/>
    <w:rsid w:val="00830F77"/>
    <w:rsid w:val="008311D9"/>
    <w:rsid w:val="00831486"/>
    <w:rsid w:val="00831AC1"/>
    <w:rsid w:val="00831F2E"/>
    <w:rsid w:val="008325A4"/>
    <w:rsid w:val="00832ADC"/>
    <w:rsid w:val="00832E81"/>
    <w:rsid w:val="00833A63"/>
    <w:rsid w:val="00833BF2"/>
    <w:rsid w:val="00833D11"/>
    <w:rsid w:val="00833D69"/>
    <w:rsid w:val="00833F52"/>
    <w:rsid w:val="00834120"/>
    <w:rsid w:val="00834185"/>
    <w:rsid w:val="00834541"/>
    <w:rsid w:val="00834920"/>
    <w:rsid w:val="008349E6"/>
    <w:rsid w:val="00834C64"/>
    <w:rsid w:val="00834ECA"/>
    <w:rsid w:val="00834ED1"/>
    <w:rsid w:val="00834EE9"/>
    <w:rsid w:val="00835031"/>
    <w:rsid w:val="008354B6"/>
    <w:rsid w:val="00835797"/>
    <w:rsid w:val="00835A24"/>
    <w:rsid w:val="00835B9C"/>
    <w:rsid w:val="00835BEA"/>
    <w:rsid w:val="00835C42"/>
    <w:rsid w:val="00836133"/>
    <w:rsid w:val="0083635A"/>
    <w:rsid w:val="008365CB"/>
    <w:rsid w:val="00836C7C"/>
    <w:rsid w:val="00836DB2"/>
    <w:rsid w:val="00836F53"/>
    <w:rsid w:val="00837197"/>
    <w:rsid w:val="008375F6"/>
    <w:rsid w:val="008377FE"/>
    <w:rsid w:val="00837A1D"/>
    <w:rsid w:val="00837D64"/>
    <w:rsid w:val="00837E77"/>
    <w:rsid w:val="008400EC"/>
    <w:rsid w:val="0084034A"/>
    <w:rsid w:val="00840447"/>
    <w:rsid w:val="0084099B"/>
    <w:rsid w:val="00840F5A"/>
    <w:rsid w:val="00840FC2"/>
    <w:rsid w:val="0084150B"/>
    <w:rsid w:val="0084178A"/>
    <w:rsid w:val="00841F2F"/>
    <w:rsid w:val="00841F32"/>
    <w:rsid w:val="00841FD5"/>
    <w:rsid w:val="0084207E"/>
    <w:rsid w:val="00843913"/>
    <w:rsid w:val="00843B1E"/>
    <w:rsid w:val="00843B27"/>
    <w:rsid w:val="00844103"/>
    <w:rsid w:val="008441EA"/>
    <w:rsid w:val="00844794"/>
    <w:rsid w:val="008447E6"/>
    <w:rsid w:val="0084482C"/>
    <w:rsid w:val="00845048"/>
    <w:rsid w:val="008452FB"/>
    <w:rsid w:val="008457C9"/>
    <w:rsid w:val="00845898"/>
    <w:rsid w:val="00845C8D"/>
    <w:rsid w:val="00845F37"/>
    <w:rsid w:val="0084642F"/>
    <w:rsid w:val="00846458"/>
    <w:rsid w:val="008465F4"/>
    <w:rsid w:val="00846A80"/>
    <w:rsid w:val="00847162"/>
    <w:rsid w:val="008472BD"/>
    <w:rsid w:val="008473E4"/>
    <w:rsid w:val="008477EC"/>
    <w:rsid w:val="008479D2"/>
    <w:rsid w:val="00847D45"/>
    <w:rsid w:val="00847DFB"/>
    <w:rsid w:val="00847E31"/>
    <w:rsid w:val="00850BAB"/>
    <w:rsid w:val="00851693"/>
    <w:rsid w:val="0085176F"/>
    <w:rsid w:val="0085195C"/>
    <w:rsid w:val="00851F11"/>
    <w:rsid w:val="008521E1"/>
    <w:rsid w:val="0085225F"/>
    <w:rsid w:val="00852400"/>
    <w:rsid w:val="00852938"/>
    <w:rsid w:val="00852D44"/>
    <w:rsid w:val="008530EB"/>
    <w:rsid w:val="0085337D"/>
    <w:rsid w:val="008533E2"/>
    <w:rsid w:val="0085363E"/>
    <w:rsid w:val="00853EC8"/>
    <w:rsid w:val="00853EDE"/>
    <w:rsid w:val="0085402E"/>
    <w:rsid w:val="008541BF"/>
    <w:rsid w:val="008545D3"/>
    <w:rsid w:val="00854628"/>
    <w:rsid w:val="008547C4"/>
    <w:rsid w:val="00854A4F"/>
    <w:rsid w:val="00854D45"/>
    <w:rsid w:val="00854F38"/>
    <w:rsid w:val="00855083"/>
    <w:rsid w:val="00855EDE"/>
    <w:rsid w:val="00855F9C"/>
    <w:rsid w:val="00856487"/>
    <w:rsid w:val="0085684E"/>
    <w:rsid w:val="00856EBC"/>
    <w:rsid w:val="00857644"/>
    <w:rsid w:val="00857B5D"/>
    <w:rsid w:val="00857BD4"/>
    <w:rsid w:val="00857C3A"/>
    <w:rsid w:val="00857F77"/>
    <w:rsid w:val="00860617"/>
    <w:rsid w:val="008606ED"/>
    <w:rsid w:val="0086099B"/>
    <w:rsid w:val="00860CB8"/>
    <w:rsid w:val="00860E78"/>
    <w:rsid w:val="00860F42"/>
    <w:rsid w:val="0086129F"/>
    <w:rsid w:val="00861D60"/>
    <w:rsid w:val="0086286D"/>
    <w:rsid w:val="0086299E"/>
    <w:rsid w:val="00862A79"/>
    <w:rsid w:val="00862B26"/>
    <w:rsid w:val="00862DF6"/>
    <w:rsid w:val="0086306A"/>
    <w:rsid w:val="0086392F"/>
    <w:rsid w:val="00863A18"/>
    <w:rsid w:val="00863A9C"/>
    <w:rsid w:val="00863AAB"/>
    <w:rsid w:val="00863B3E"/>
    <w:rsid w:val="00863BCA"/>
    <w:rsid w:val="00863C5D"/>
    <w:rsid w:val="00864B9C"/>
    <w:rsid w:val="00864DD5"/>
    <w:rsid w:val="00864E60"/>
    <w:rsid w:val="008651C2"/>
    <w:rsid w:val="008656B8"/>
    <w:rsid w:val="0086572F"/>
    <w:rsid w:val="00865818"/>
    <w:rsid w:val="0086582D"/>
    <w:rsid w:val="00865D23"/>
    <w:rsid w:val="00866052"/>
    <w:rsid w:val="00866268"/>
    <w:rsid w:val="008668B7"/>
    <w:rsid w:val="00866EEA"/>
    <w:rsid w:val="0086727A"/>
    <w:rsid w:val="00867798"/>
    <w:rsid w:val="008677CD"/>
    <w:rsid w:val="00867A65"/>
    <w:rsid w:val="00867C5A"/>
    <w:rsid w:val="00867CB4"/>
    <w:rsid w:val="00867CC3"/>
    <w:rsid w:val="00867D03"/>
    <w:rsid w:val="00867D35"/>
    <w:rsid w:val="0087007F"/>
    <w:rsid w:val="0087015A"/>
    <w:rsid w:val="00870441"/>
    <w:rsid w:val="008705CF"/>
    <w:rsid w:val="00870F38"/>
    <w:rsid w:val="00871074"/>
    <w:rsid w:val="00871C8C"/>
    <w:rsid w:val="008720CB"/>
    <w:rsid w:val="008726A9"/>
    <w:rsid w:val="00872787"/>
    <w:rsid w:val="008729D0"/>
    <w:rsid w:val="00872C40"/>
    <w:rsid w:val="00872D7F"/>
    <w:rsid w:val="00872DB3"/>
    <w:rsid w:val="008736C3"/>
    <w:rsid w:val="0087390D"/>
    <w:rsid w:val="00873CBA"/>
    <w:rsid w:val="00874008"/>
    <w:rsid w:val="008740A4"/>
    <w:rsid w:val="00874188"/>
    <w:rsid w:val="0087486B"/>
    <w:rsid w:val="00875314"/>
    <w:rsid w:val="0087532C"/>
    <w:rsid w:val="00875357"/>
    <w:rsid w:val="00875535"/>
    <w:rsid w:val="00875647"/>
    <w:rsid w:val="00875C02"/>
    <w:rsid w:val="00875C95"/>
    <w:rsid w:val="0087627E"/>
    <w:rsid w:val="00876323"/>
    <w:rsid w:val="00876E08"/>
    <w:rsid w:val="008771C4"/>
    <w:rsid w:val="008771E1"/>
    <w:rsid w:val="008772EF"/>
    <w:rsid w:val="00877482"/>
    <w:rsid w:val="0087793A"/>
    <w:rsid w:val="00877A42"/>
    <w:rsid w:val="00877CCA"/>
    <w:rsid w:val="00877E26"/>
    <w:rsid w:val="00877F97"/>
    <w:rsid w:val="00880187"/>
    <w:rsid w:val="008807B2"/>
    <w:rsid w:val="00880B0F"/>
    <w:rsid w:val="00880B38"/>
    <w:rsid w:val="008810ED"/>
    <w:rsid w:val="0088155F"/>
    <w:rsid w:val="00881959"/>
    <w:rsid w:val="00881ABE"/>
    <w:rsid w:val="00881C47"/>
    <w:rsid w:val="00881FA6"/>
    <w:rsid w:val="00881FC5"/>
    <w:rsid w:val="008827B5"/>
    <w:rsid w:val="00882E0E"/>
    <w:rsid w:val="00883479"/>
    <w:rsid w:val="00883601"/>
    <w:rsid w:val="00884438"/>
    <w:rsid w:val="008845D2"/>
    <w:rsid w:val="00884689"/>
    <w:rsid w:val="00884986"/>
    <w:rsid w:val="00884E3A"/>
    <w:rsid w:val="00884F66"/>
    <w:rsid w:val="00885945"/>
    <w:rsid w:val="00886031"/>
    <w:rsid w:val="00886287"/>
    <w:rsid w:val="008865EF"/>
    <w:rsid w:val="00886926"/>
    <w:rsid w:val="008869CD"/>
    <w:rsid w:val="00886C82"/>
    <w:rsid w:val="00886CA9"/>
    <w:rsid w:val="00886F3F"/>
    <w:rsid w:val="00887159"/>
    <w:rsid w:val="008871E3"/>
    <w:rsid w:val="0088732A"/>
    <w:rsid w:val="008876C3"/>
    <w:rsid w:val="0088771E"/>
    <w:rsid w:val="00887E0A"/>
    <w:rsid w:val="00887F79"/>
    <w:rsid w:val="00890178"/>
    <w:rsid w:val="0089018B"/>
    <w:rsid w:val="008908F5"/>
    <w:rsid w:val="00890907"/>
    <w:rsid w:val="00890DFA"/>
    <w:rsid w:val="00890F78"/>
    <w:rsid w:val="0089120C"/>
    <w:rsid w:val="008912E6"/>
    <w:rsid w:val="0089138D"/>
    <w:rsid w:val="00891863"/>
    <w:rsid w:val="00891FAF"/>
    <w:rsid w:val="008925B1"/>
    <w:rsid w:val="0089275F"/>
    <w:rsid w:val="00892A3B"/>
    <w:rsid w:val="00892CA5"/>
    <w:rsid w:val="00892E00"/>
    <w:rsid w:val="00892E48"/>
    <w:rsid w:val="00892E84"/>
    <w:rsid w:val="0089333C"/>
    <w:rsid w:val="00893479"/>
    <w:rsid w:val="00893902"/>
    <w:rsid w:val="00893A12"/>
    <w:rsid w:val="00894306"/>
    <w:rsid w:val="00894712"/>
    <w:rsid w:val="00894888"/>
    <w:rsid w:val="008949DC"/>
    <w:rsid w:val="00894D38"/>
    <w:rsid w:val="00894EB0"/>
    <w:rsid w:val="008950DA"/>
    <w:rsid w:val="00895431"/>
    <w:rsid w:val="00896177"/>
    <w:rsid w:val="0089699E"/>
    <w:rsid w:val="00896A7F"/>
    <w:rsid w:val="00897169"/>
    <w:rsid w:val="00897285"/>
    <w:rsid w:val="00897399"/>
    <w:rsid w:val="00897681"/>
    <w:rsid w:val="0089779C"/>
    <w:rsid w:val="00897D80"/>
    <w:rsid w:val="00897DD2"/>
    <w:rsid w:val="008A0385"/>
    <w:rsid w:val="008A0DCD"/>
    <w:rsid w:val="008A0EDE"/>
    <w:rsid w:val="008A0EE8"/>
    <w:rsid w:val="008A1306"/>
    <w:rsid w:val="008A14C4"/>
    <w:rsid w:val="008A20A1"/>
    <w:rsid w:val="008A241C"/>
    <w:rsid w:val="008A247F"/>
    <w:rsid w:val="008A25DF"/>
    <w:rsid w:val="008A2A7F"/>
    <w:rsid w:val="008A2BC2"/>
    <w:rsid w:val="008A2EED"/>
    <w:rsid w:val="008A3B93"/>
    <w:rsid w:val="008A3C64"/>
    <w:rsid w:val="008A3D0B"/>
    <w:rsid w:val="008A3EBD"/>
    <w:rsid w:val="008A3FE9"/>
    <w:rsid w:val="008A4144"/>
    <w:rsid w:val="008A4E20"/>
    <w:rsid w:val="008A4EA3"/>
    <w:rsid w:val="008A5893"/>
    <w:rsid w:val="008A5F7B"/>
    <w:rsid w:val="008A6419"/>
    <w:rsid w:val="008A6E62"/>
    <w:rsid w:val="008A7024"/>
    <w:rsid w:val="008A760B"/>
    <w:rsid w:val="008A7E5B"/>
    <w:rsid w:val="008A7F16"/>
    <w:rsid w:val="008A7FF1"/>
    <w:rsid w:val="008B03B8"/>
    <w:rsid w:val="008B0AEA"/>
    <w:rsid w:val="008B0CE3"/>
    <w:rsid w:val="008B0CFB"/>
    <w:rsid w:val="008B0D74"/>
    <w:rsid w:val="008B1657"/>
    <w:rsid w:val="008B167F"/>
    <w:rsid w:val="008B1B1E"/>
    <w:rsid w:val="008B1C53"/>
    <w:rsid w:val="008B1EDF"/>
    <w:rsid w:val="008B21D4"/>
    <w:rsid w:val="008B22BA"/>
    <w:rsid w:val="008B2A6C"/>
    <w:rsid w:val="008B2C88"/>
    <w:rsid w:val="008B317E"/>
    <w:rsid w:val="008B3525"/>
    <w:rsid w:val="008B3BFC"/>
    <w:rsid w:val="008B417A"/>
    <w:rsid w:val="008B47DF"/>
    <w:rsid w:val="008B4ACB"/>
    <w:rsid w:val="008B4BD6"/>
    <w:rsid w:val="008B4C4F"/>
    <w:rsid w:val="008B4CD5"/>
    <w:rsid w:val="008B4D67"/>
    <w:rsid w:val="008B513C"/>
    <w:rsid w:val="008B515C"/>
    <w:rsid w:val="008B544C"/>
    <w:rsid w:val="008B5962"/>
    <w:rsid w:val="008B62D2"/>
    <w:rsid w:val="008B6326"/>
    <w:rsid w:val="008B6513"/>
    <w:rsid w:val="008B6CC7"/>
    <w:rsid w:val="008B7083"/>
    <w:rsid w:val="008B79F6"/>
    <w:rsid w:val="008B7BA6"/>
    <w:rsid w:val="008B7BDD"/>
    <w:rsid w:val="008C004F"/>
    <w:rsid w:val="008C00FA"/>
    <w:rsid w:val="008C031E"/>
    <w:rsid w:val="008C0496"/>
    <w:rsid w:val="008C0725"/>
    <w:rsid w:val="008C09C3"/>
    <w:rsid w:val="008C0A2C"/>
    <w:rsid w:val="008C0CD1"/>
    <w:rsid w:val="008C0FCD"/>
    <w:rsid w:val="008C141C"/>
    <w:rsid w:val="008C178B"/>
    <w:rsid w:val="008C1CEF"/>
    <w:rsid w:val="008C1FB8"/>
    <w:rsid w:val="008C2188"/>
    <w:rsid w:val="008C28FC"/>
    <w:rsid w:val="008C2B53"/>
    <w:rsid w:val="008C2C5D"/>
    <w:rsid w:val="008C2DF1"/>
    <w:rsid w:val="008C2E09"/>
    <w:rsid w:val="008C2E73"/>
    <w:rsid w:val="008C2F26"/>
    <w:rsid w:val="008C304E"/>
    <w:rsid w:val="008C3341"/>
    <w:rsid w:val="008C3B27"/>
    <w:rsid w:val="008C40F4"/>
    <w:rsid w:val="008C4236"/>
    <w:rsid w:val="008C440D"/>
    <w:rsid w:val="008C45EB"/>
    <w:rsid w:val="008C4AA7"/>
    <w:rsid w:val="008C5370"/>
    <w:rsid w:val="008C53E6"/>
    <w:rsid w:val="008C61E8"/>
    <w:rsid w:val="008C65D8"/>
    <w:rsid w:val="008C6723"/>
    <w:rsid w:val="008C69F0"/>
    <w:rsid w:val="008C6F58"/>
    <w:rsid w:val="008C71C6"/>
    <w:rsid w:val="008C7236"/>
    <w:rsid w:val="008C7457"/>
    <w:rsid w:val="008C765C"/>
    <w:rsid w:val="008C7731"/>
    <w:rsid w:val="008C77E4"/>
    <w:rsid w:val="008C7A0B"/>
    <w:rsid w:val="008C7A60"/>
    <w:rsid w:val="008C7B67"/>
    <w:rsid w:val="008C7F15"/>
    <w:rsid w:val="008D09DE"/>
    <w:rsid w:val="008D0F15"/>
    <w:rsid w:val="008D1621"/>
    <w:rsid w:val="008D172B"/>
    <w:rsid w:val="008D1BA5"/>
    <w:rsid w:val="008D2C98"/>
    <w:rsid w:val="008D3458"/>
    <w:rsid w:val="008D345E"/>
    <w:rsid w:val="008D3466"/>
    <w:rsid w:val="008D3B15"/>
    <w:rsid w:val="008D3B7B"/>
    <w:rsid w:val="008D3C87"/>
    <w:rsid w:val="008D4662"/>
    <w:rsid w:val="008D46B1"/>
    <w:rsid w:val="008D5085"/>
    <w:rsid w:val="008D514A"/>
    <w:rsid w:val="008D55C8"/>
    <w:rsid w:val="008D621C"/>
    <w:rsid w:val="008D656C"/>
    <w:rsid w:val="008D6AB6"/>
    <w:rsid w:val="008D6AEA"/>
    <w:rsid w:val="008D6F9D"/>
    <w:rsid w:val="008D72C8"/>
    <w:rsid w:val="008D770F"/>
    <w:rsid w:val="008D7967"/>
    <w:rsid w:val="008D7A0C"/>
    <w:rsid w:val="008D7B18"/>
    <w:rsid w:val="008E0261"/>
    <w:rsid w:val="008E050A"/>
    <w:rsid w:val="008E06ED"/>
    <w:rsid w:val="008E093D"/>
    <w:rsid w:val="008E14EB"/>
    <w:rsid w:val="008E15B8"/>
    <w:rsid w:val="008E15D4"/>
    <w:rsid w:val="008E1948"/>
    <w:rsid w:val="008E1BEC"/>
    <w:rsid w:val="008E1CB1"/>
    <w:rsid w:val="008E1F08"/>
    <w:rsid w:val="008E2320"/>
    <w:rsid w:val="008E240F"/>
    <w:rsid w:val="008E2575"/>
    <w:rsid w:val="008E2A9B"/>
    <w:rsid w:val="008E2BD1"/>
    <w:rsid w:val="008E3342"/>
    <w:rsid w:val="008E3398"/>
    <w:rsid w:val="008E39F4"/>
    <w:rsid w:val="008E3B1C"/>
    <w:rsid w:val="008E3EB2"/>
    <w:rsid w:val="008E4C43"/>
    <w:rsid w:val="008E52F2"/>
    <w:rsid w:val="008E539B"/>
    <w:rsid w:val="008E5769"/>
    <w:rsid w:val="008E58ED"/>
    <w:rsid w:val="008E5B55"/>
    <w:rsid w:val="008E5BD6"/>
    <w:rsid w:val="008E5F0C"/>
    <w:rsid w:val="008E6158"/>
    <w:rsid w:val="008E62F9"/>
    <w:rsid w:val="008E6605"/>
    <w:rsid w:val="008E673A"/>
    <w:rsid w:val="008E67E1"/>
    <w:rsid w:val="008E6921"/>
    <w:rsid w:val="008E6AEC"/>
    <w:rsid w:val="008E6BFD"/>
    <w:rsid w:val="008E6CBC"/>
    <w:rsid w:val="008E6F19"/>
    <w:rsid w:val="008E79A0"/>
    <w:rsid w:val="008E7DAA"/>
    <w:rsid w:val="008F0505"/>
    <w:rsid w:val="008F0771"/>
    <w:rsid w:val="008F0966"/>
    <w:rsid w:val="008F0E42"/>
    <w:rsid w:val="008F0E74"/>
    <w:rsid w:val="008F1131"/>
    <w:rsid w:val="008F195C"/>
    <w:rsid w:val="008F1A00"/>
    <w:rsid w:val="008F1AD7"/>
    <w:rsid w:val="008F22D5"/>
    <w:rsid w:val="008F23C5"/>
    <w:rsid w:val="008F26C8"/>
    <w:rsid w:val="008F29EB"/>
    <w:rsid w:val="008F2DDD"/>
    <w:rsid w:val="008F30D9"/>
    <w:rsid w:val="008F359F"/>
    <w:rsid w:val="008F37EC"/>
    <w:rsid w:val="008F3CF8"/>
    <w:rsid w:val="008F3D5C"/>
    <w:rsid w:val="008F3F23"/>
    <w:rsid w:val="008F3F37"/>
    <w:rsid w:val="008F46EB"/>
    <w:rsid w:val="008F4BD8"/>
    <w:rsid w:val="008F4D67"/>
    <w:rsid w:val="008F4E9C"/>
    <w:rsid w:val="008F514D"/>
    <w:rsid w:val="008F546D"/>
    <w:rsid w:val="008F5489"/>
    <w:rsid w:val="008F5BE4"/>
    <w:rsid w:val="008F5C1E"/>
    <w:rsid w:val="008F5C8A"/>
    <w:rsid w:val="008F601F"/>
    <w:rsid w:val="008F6099"/>
    <w:rsid w:val="008F618B"/>
    <w:rsid w:val="008F667B"/>
    <w:rsid w:val="008F6C87"/>
    <w:rsid w:val="008F70CD"/>
    <w:rsid w:val="008F7C27"/>
    <w:rsid w:val="00900513"/>
    <w:rsid w:val="00900E61"/>
    <w:rsid w:val="0090117A"/>
    <w:rsid w:val="0090154D"/>
    <w:rsid w:val="00901580"/>
    <w:rsid w:val="0090189D"/>
    <w:rsid w:val="0090293D"/>
    <w:rsid w:val="00902AC5"/>
    <w:rsid w:val="00902C25"/>
    <w:rsid w:val="0090300A"/>
    <w:rsid w:val="00903216"/>
    <w:rsid w:val="00903272"/>
    <w:rsid w:val="00903532"/>
    <w:rsid w:val="00903794"/>
    <w:rsid w:val="00904FBC"/>
    <w:rsid w:val="009055EB"/>
    <w:rsid w:val="00905B69"/>
    <w:rsid w:val="009060A8"/>
    <w:rsid w:val="00906853"/>
    <w:rsid w:val="00906856"/>
    <w:rsid w:val="00906864"/>
    <w:rsid w:val="00906A15"/>
    <w:rsid w:val="00906ABF"/>
    <w:rsid w:val="00906C11"/>
    <w:rsid w:val="009071AE"/>
    <w:rsid w:val="0090749D"/>
    <w:rsid w:val="00907596"/>
    <w:rsid w:val="0090764B"/>
    <w:rsid w:val="009076CB"/>
    <w:rsid w:val="009078AF"/>
    <w:rsid w:val="00907EB1"/>
    <w:rsid w:val="00907EEC"/>
    <w:rsid w:val="009102C4"/>
    <w:rsid w:val="00910BA2"/>
    <w:rsid w:val="00910D04"/>
    <w:rsid w:val="00910F7B"/>
    <w:rsid w:val="009115C8"/>
    <w:rsid w:val="00911733"/>
    <w:rsid w:val="0091179B"/>
    <w:rsid w:val="0091257C"/>
    <w:rsid w:val="0091271F"/>
    <w:rsid w:val="00912CE0"/>
    <w:rsid w:val="00912DD2"/>
    <w:rsid w:val="00912F07"/>
    <w:rsid w:val="00912F87"/>
    <w:rsid w:val="009132AA"/>
    <w:rsid w:val="009135E5"/>
    <w:rsid w:val="00913717"/>
    <w:rsid w:val="00913790"/>
    <w:rsid w:val="00913C7F"/>
    <w:rsid w:val="00913D47"/>
    <w:rsid w:val="00913E9D"/>
    <w:rsid w:val="009143DF"/>
    <w:rsid w:val="00914437"/>
    <w:rsid w:val="009147CE"/>
    <w:rsid w:val="00914AB9"/>
    <w:rsid w:val="00914F69"/>
    <w:rsid w:val="009157B4"/>
    <w:rsid w:val="0091624C"/>
    <w:rsid w:val="00916658"/>
    <w:rsid w:val="00916E5A"/>
    <w:rsid w:val="00917177"/>
    <w:rsid w:val="009175C8"/>
    <w:rsid w:val="00917B3B"/>
    <w:rsid w:val="0092006C"/>
    <w:rsid w:val="00920473"/>
    <w:rsid w:val="0092088B"/>
    <w:rsid w:val="00920AD2"/>
    <w:rsid w:val="00920FA4"/>
    <w:rsid w:val="0092109F"/>
    <w:rsid w:val="00921510"/>
    <w:rsid w:val="0092193B"/>
    <w:rsid w:val="009219D3"/>
    <w:rsid w:val="00921D32"/>
    <w:rsid w:val="0092209F"/>
    <w:rsid w:val="00922279"/>
    <w:rsid w:val="00922548"/>
    <w:rsid w:val="0092254B"/>
    <w:rsid w:val="00922B18"/>
    <w:rsid w:val="00923118"/>
    <w:rsid w:val="009236E3"/>
    <w:rsid w:val="00923A43"/>
    <w:rsid w:val="00923AE0"/>
    <w:rsid w:val="00923BC3"/>
    <w:rsid w:val="00923E43"/>
    <w:rsid w:val="00923F54"/>
    <w:rsid w:val="00924E02"/>
    <w:rsid w:val="00924E30"/>
    <w:rsid w:val="009251D0"/>
    <w:rsid w:val="00925774"/>
    <w:rsid w:val="00925821"/>
    <w:rsid w:val="00925FF3"/>
    <w:rsid w:val="00926802"/>
    <w:rsid w:val="009269F5"/>
    <w:rsid w:val="00927BAA"/>
    <w:rsid w:val="00927CCF"/>
    <w:rsid w:val="00927DB4"/>
    <w:rsid w:val="00927F77"/>
    <w:rsid w:val="00927FEB"/>
    <w:rsid w:val="009304F1"/>
    <w:rsid w:val="00930641"/>
    <w:rsid w:val="0093088D"/>
    <w:rsid w:val="00930C11"/>
    <w:rsid w:val="00930D0B"/>
    <w:rsid w:val="00930DD3"/>
    <w:rsid w:val="009313EC"/>
    <w:rsid w:val="00931554"/>
    <w:rsid w:val="00931B48"/>
    <w:rsid w:val="00931CE2"/>
    <w:rsid w:val="0093200C"/>
    <w:rsid w:val="009325ED"/>
    <w:rsid w:val="0093275E"/>
    <w:rsid w:val="0093287D"/>
    <w:rsid w:val="00932D4D"/>
    <w:rsid w:val="00932DE2"/>
    <w:rsid w:val="00932E21"/>
    <w:rsid w:val="0093355D"/>
    <w:rsid w:val="00933887"/>
    <w:rsid w:val="009339E0"/>
    <w:rsid w:val="00933DB8"/>
    <w:rsid w:val="00933E9F"/>
    <w:rsid w:val="0093457B"/>
    <w:rsid w:val="00934D3B"/>
    <w:rsid w:val="0093523C"/>
    <w:rsid w:val="009352D1"/>
    <w:rsid w:val="00935CC2"/>
    <w:rsid w:val="00935D23"/>
    <w:rsid w:val="0093605F"/>
    <w:rsid w:val="009360C9"/>
    <w:rsid w:val="00936545"/>
    <w:rsid w:val="00936D64"/>
    <w:rsid w:val="00936F3A"/>
    <w:rsid w:val="00936F68"/>
    <w:rsid w:val="00937205"/>
    <w:rsid w:val="0093729E"/>
    <w:rsid w:val="009378CC"/>
    <w:rsid w:val="00937B53"/>
    <w:rsid w:val="00937BA2"/>
    <w:rsid w:val="00940009"/>
    <w:rsid w:val="009403B1"/>
    <w:rsid w:val="00940992"/>
    <w:rsid w:val="00940B40"/>
    <w:rsid w:val="00940B47"/>
    <w:rsid w:val="00940C7A"/>
    <w:rsid w:val="00940E2E"/>
    <w:rsid w:val="00940ECD"/>
    <w:rsid w:val="00941161"/>
    <w:rsid w:val="0094116E"/>
    <w:rsid w:val="00941302"/>
    <w:rsid w:val="0094131C"/>
    <w:rsid w:val="0094136B"/>
    <w:rsid w:val="00941555"/>
    <w:rsid w:val="00941B19"/>
    <w:rsid w:val="009424BE"/>
    <w:rsid w:val="009426FC"/>
    <w:rsid w:val="009428F9"/>
    <w:rsid w:val="00943268"/>
    <w:rsid w:val="00943605"/>
    <w:rsid w:val="00943812"/>
    <w:rsid w:val="00943923"/>
    <w:rsid w:val="00943EB7"/>
    <w:rsid w:val="00943F71"/>
    <w:rsid w:val="00943FBC"/>
    <w:rsid w:val="009452AE"/>
    <w:rsid w:val="00945548"/>
    <w:rsid w:val="00945834"/>
    <w:rsid w:val="009458E4"/>
    <w:rsid w:val="00945A9F"/>
    <w:rsid w:val="00945CDE"/>
    <w:rsid w:val="00945DD4"/>
    <w:rsid w:val="0094626E"/>
    <w:rsid w:val="009463D7"/>
    <w:rsid w:val="00946B1E"/>
    <w:rsid w:val="00946EC2"/>
    <w:rsid w:val="0094764A"/>
    <w:rsid w:val="009479DB"/>
    <w:rsid w:val="0095016A"/>
    <w:rsid w:val="0095038D"/>
    <w:rsid w:val="00951969"/>
    <w:rsid w:val="00951BB1"/>
    <w:rsid w:val="00951ED8"/>
    <w:rsid w:val="009524C6"/>
    <w:rsid w:val="009527FE"/>
    <w:rsid w:val="00952805"/>
    <w:rsid w:val="00952C7D"/>
    <w:rsid w:val="00952ED4"/>
    <w:rsid w:val="00953062"/>
    <w:rsid w:val="00953263"/>
    <w:rsid w:val="00953AFF"/>
    <w:rsid w:val="00953BA1"/>
    <w:rsid w:val="00953E7D"/>
    <w:rsid w:val="00953FA0"/>
    <w:rsid w:val="00954233"/>
    <w:rsid w:val="00954283"/>
    <w:rsid w:val="0095446D"/>
    <w:rsid w:val="0095452A"/>
    <w:rsid w:val="0095460C"/>
    <w:rsid w:val="0095480E"/>
    <w:rsid w:val="00954BAD"/>
    <w:rsid w:val="00954E91"/>
    <w:rsid w:val="009550C2"/>
    <w:rsid w:val="0095533C"/>
    <w:rsid w:val="009557A8"/>
    <w:rsid w:val="00955DE6"/>
    <w:rsid w:val="00955DF3"/>
    <w:rsid w:val="00955DFE"/>
    <w:rsid w:val="00955F0C"/>
    <w:rsid w:val="009560F5"/>
    <w:rsid w:val="00956C7D"/>
    <w:rsid w:val="00956CDB"/>
    <w:rsid w:val="0095730C"/>
    <w:rsid w:val="00957695"/>
    <w:rsid w:val="009576DE"/>
    <w:rsid w:val="00957CC0"/>
    <w:rsid w:val="00957D47"/>
    <w:rsid w:val="00957EC5"/>
    <w:rsid w:val="00960237"/>
    <w:rsid w:val="0096032B"/>
    <w:rsid w:val="009606AB"/>
    <w:rsid w:val="009609B8"/>
    <w:rsid w:val="00960A1B"/>
    <w:rsid w:val="00960A5B"/>
    <w:rsid w:val="00960DD3"/>
    <w:rsid w:val="00960DD6"/>
    <w:rsid w:val="00960DF8"/>
    <w:rsid w:val="00960F40"/>
    <w:rsid w:val="00960FA4"/>
    <w:rsid w:val="00961315"/>
    <w:rsid w:val="0096148D"/>
    <w:rsid w:val="00962566"/>
    <w:rsid w:val="00962DEC"/>
    <w:rsid w:val="0096305B"/>
    <w:rsid w:val="00963321"/>
    <w:rsid w:val="0096374E"/>
    <w:rsid w:val="0096384C"/>
    <w:rsid w:val="00963990"/>
    <w:rsid w:val="00963F3E"/>
    <w:rsid w:val="00963FB5"/>
    <w:rsid w:val="00964615"/>
    <w:rsid w:val="00964654"/>
    <w:rsid w:val="009648C7"/>
    <w:rsid w:val="00964F94"/>
    <w:rsid w:val="009655CE"/>
    <w:rsid w:val="00965D54"/>
    <w:rsid w:val="009662CE"/>
    <w:rsid w:val="00966480"/>
    <w:rsid w:val="009667B5"/>
    <w:rsid w:val="0096690C"/>
    <w:rsid w:val="00966956"/>
    <w:rsid w:val="00966A9F"/>
    <w:rsid w:val="0096711A"/>
    <w:rsid w:val="00967304"/>
    <w:rsid w:val="00967551"/>
    <w:rsid w:val="009675E9"/>
    <w:rsid w:val="009677A1"/>
    <w:rsid w:val="00970D50"/>
    <w:rsid w:val="00970FEB"/>
    <w:rsid w:val="00971110"/>
    <w:rsid w:val="0097136E"/>
    <w:rsid w:val="009713D0"/>
    <w:rsid w:val="00971927"/>
    <w:rsid w:val="00971969"/>
    <w:rsid w:val="00971BC7"/>
    <w:rsid w:val="00971C05"/>
    <w:rsid w:val="00971CAA"/>
    <w:rsid w:val="00972210"/>
    <w:rsid w:val="0097343E"/>
    <w:rsid w:val="00973AAB"/>
    <w:rsid w:val="00973C00"/>
    <w:rsid w:val="00973D92"/>
    <w:rsid w:val="00973E53"/>
    <w:rsid w:val="00974110"/>
    <w:rsid w:val="009741DD"/>
    <w:rsid w:val="009742E5"/>
    <w:rsid w:val="00974907"/>
    <w:rsid w:val="00974AE7"/>
    <w:rsid w:val="0097550F"/>
    <w:rsid w:val="0097594A"/>
    <w:rsid w:val="009759C3"/>
    <w:rsid w:val="00975A0E"/>
    <w:rsid w:val="00976090"/>
    <w:rsid w:val="0097735E"/>
    <w:rsid w:val="0097784C"/>
    <w:rsid w:val="009778A0"/>
    <w:rsid w:val="00977B6E"/>
    <w:rsid w:val="00977D78"/>
    <w:rsid w:val="009801FA"/>
    <w:rsid w:val="00980377"/>
    <w:rsid w:val="00980390"/>
    <w:rsid w:val="009803F5"/>
    <w:rsid w:val="00980790"/>
    <w:rsid w:val="00980BB9"/>
    <w:rsid w:val="00980E2A"/>
    <w:rsid w:val="00980EC8"/>
    <w:rsid w:val="009815C2"/>
    <w:rsid w:val="0098278D"/>
    <w:rsid w:val="00982AC4"/>
    <w:rsid w:val="0098346C"/>
    <w:rsid w:val="0098353D"/>
    <w:rsid w:val="009835FB"/>
    <w:rsid w:val="00983797"/>
    <w:rsid w:val="00983827"/>
    <w:rsid w:val="0098488D"/>
    <w:rsid w:val="00984A8C"/>
    <w:rsid w:val="00984AAD"/>
    <w:rsid w:val="00984B8B"/>
    <w:rsid w:val="00984D74"/>
    <w:rsid w:val="00984DD8"/>
    <w:rsid w:val="0098508E"/>
    <w:rsid w:val="009852F4"/>
    <w:rsid w:val="009859BF"/>
    <w:rsid w:val="00987163"/>
    <w:rsid w:val="0098754F"/>
    <w:rsid w:val="00987980"/>
    <w:rsid w:val="00987E89"/>
    <w:rsid w:val="00991459"/>
    <w:rsid w:val="00991671"/>
    <w:rsid w:val="00991782"/>
    <w:rsid w:val="009917E3"/>
    <w:rsid w:val="00991A13"/>
    <w:rsid w:val="00991E2A"/>
    <w:rsid w:val="009921AD"/>
    <w:rsid w:val="009921D4"/>
    <w:rsid w:val="0099278A"/>
    <w:rsid w:val="00992869"/>
    <w:rsid w:val="00992C3D"/>
    <w:rsid w:val="00992DE3"/>
    <w:rsid w:val="0099312A"/>
    <w:rsid w:val="00993200"/>
    <w:rsid w:val="00993249"/>
    <w:rsid w:val="00993475"/>
    <w:rsid w:val="00993B49"/>
    <w:rsid w:val="00993BD3"/>
    <w:rsid w:val="00994D3E"/>
    <w:rsid w:val="009955E0"/>
    <w:rsid w:val="00995611"/>
    <w:rsid w:val="009957D0"/>
    <w:rsid w:val="009958F6"/>
    <w:rsid w:val="00995A30"/>
    <w:rsid w:val="00995C78"/>
    <w:rsid w:val="00995D52"/>
    <w:rsid w:val="00995D62"/>
    <w:rsid w:val="00995EED"/>
    <w:rsid w:val="0099609C"/>
    <w:rsid w:val="009967AD"/>
    <w:rsid w:val="00996821"/>
    <w:rsid w:val="009969C4"/>
    <w:rsid w:val="00996C5E"/>
    <w:rsid w:val="00996E57"/>
    <w:rsid w:val="009972EB"/>
    <w:rsid w:val="00997809"/>
    <w:rsid w:val="009A00EF"/>
    <w:rsid w:val="009A031D"/>
    <w:rsid w:val="009A0546"/>
    <w:rsid w:val="009A0691"/>
    <w:rsid w:val="009A0AA4"/>
    <w:rsid w:val="009A1202"/>
    <w:rsid w:val="009A16E8"/>
    <w:rsid w:val="009A170E"/>
    <w:rsid w:val="009A1756"/>
    <w:rsid w:val="009A179F"/>
    <w:rsid w:val="009A1F5C"/>
    <w:rsid w:val="009A215F"/>
    <w:rsid w:val="009A24E6"/>
    <w:rsid w:val="009A24F6"/>
    <w:rsid w:val="009A2528"/>
    <w:rsid w:val="009A261F"/>
    <w:rsid w:val="009A295F"/>
    <w:rsid w:val="009A2EEB"/>
    <w:rsid w:val="009A3A57"/>
    <w:rsid w:val="009A3CCC"/>
    <w:rsid w:val="009A4396"/>
    <w:rsid w:val="009A452F"/>
    <w:rsid w:val="009A46B8"/>
    <w:rsid w:val="009A4725"/>
    <w:rsid w:val="009A4863"/>
    <w:rsid w:val="009A4996"/>
    <w:rsid w:val="009A4BC2"/>
    <w:rsid w:val="009A4F9A"/>
    <w:rsid w:val="009A5039"/>
    <w:rsid w:val="009A519E"/>
    <w:rsid w:val="009A5423"/>
    <w:rsid w:val="009A5468"/>
    <w:rsid w:val="009A57B5"/>
    <w:rsid w:val="009A5B9A"/>
    <w:rsid w:val="009A5E75"/>
    <w:rsid w:val="009A60AE"/>
    <w:rsid w:val="009A616D"/>
    <w:rsid w:val="009A6712"/>
    <w:rsid w:val="009A68F1"/>
    <w:rsid w:val="009A6A5B"/>
    <w:rsid w:val="009A6B39"/>
    <w:rsid w:val="009A6D9B"/>
    <w:rsid w:val="009A7078"/>
    <w:rsid w:val="009A751C"/>
    <w:rsid w:val="009A7768"/>
    <w:rsid w:val="009A778F"/>
    <w:rsid w:val="009A7BB0"/>
    <w:rsid w:val="009A7BFB"/>
    <w:rsid w:val="009A7C9E"/>
    <w:rsid w:val="009B030A"/>
    <w:rsid w:val="009B0BA0"/>
    <w:rsid w:val="009B0D0E"/>
    <w:rsid w:val="009B0D1C"/>
    <w:rsid w:val="009B1D40"/>
    <w:rsid w:val="009B2453"/>
    <w:rsid w:val="009B25C0"/>
    <w:rsid w:val="009B2649"/>
    <w:rsid w:val="009B27CF"/>
    <w:rsid w:val="009B2818"/>
    <w:rsid w:val="009B2A7E"/>
    <w:rsid w:val="009B2AAF"/>
    <w:rsid w:val="009B2AFC"/>
    <w:rsid w:val="009B2B4B"/>
    <w:rsid w:val="009B2DDF"/>
    <w:rsid w:val="009B2F8B"/>
    <w:rsid w:val="009B3261"/>
    <w:rsid w:val="009B3DE1"/>
    <w:rsid w:val="009B4723"/>
    <w:rsid w:val="009B4B92"/>
    <w:rsid w:val="009B54B4"/>
    <w:rsid w:val="009B5A4D"/>
    <w:rsid w:val="009B5BB6"/>
    <w:rsid w:val="009B6CDE"/>
    <w:rsid w:val="009B7120"/>
    <w:rsid w:val="009B79FA"/>
    <w:rsid w:val="009B7A35"/>
    <w:rsid w:val="009B7B82"/>
    <w:rsid w:val="009B7DC2"/>
    <w:rsid w:val="009C053E"/>
    <w:rsid w:val="009C06B6"/>
    <w:rsid w:val="009C08EA"/>
    <w:rsid w:val="009C09FD"/>
    <w:rsid w:val="009C0D5C"/>
    <w:rsid w:val="009C1451"/>
    <w:rsid w:val="009C1F4F"/>
    <w:rsid w:val="009C2072"/>
    <w:rsid w:val="009C23D6"/>
    <w:rsid w:val="009C2722"/>
    <w:rsid w:val="009C2729"/>
    <w:rsid w:val="009C2784"/>
    <w:rsid w:val="009C2AEA"/>
    <w:rsid w:val="009C2C3F"/>
    <w:rsid w:val="009C2FDD"/>
    <w:rsid w:val="009C34F9"/>
    <w:rsid w:val="009C35E7"/>
    <w:rsid w:val="009C36E7"/>
    <w:rsid w:val="009C38E9"/>
    <w:rsid w:val="009C39F3"/>
    <w:rsid w:val="009C3E94"/>
    <w:rsid w:val="009C3FCC"/>
    <w:rsid w:val="009C4BE5"/>
    <w:rsid w:val="009C4ED7"/>
    <w:rsid w:val="009C4F74"/>
    <w:rsid w:val="009C5115"/>
    <w:rsid w:val="009C517E"/>
    <w:rsid w:val="009C542D"/>
    <w:rsid w:val="009C57E9"/>
    <w:rsid w:val="009C5B1C"/>
    <w:rsid w:val="009C5BC1"/>
    <w:rsid w:val="009C6835"/>
    <w:rsid w:val="009C696A"/>
    <w:rsid w:val="009C6BF5"/>
    <w:rsid w:val="009C708E"/>
    <w:rsid w:val="009C715D"/>
    <w:rsid w:val="009C76B8"/>
    <w:rsid w:val="009C7E16"/>
    <w:rsid w:val="009C7E8B"/>
    <w:rsid w:val="009C7F54"/>
    <w:rsid w:val="009C7F9F"/>
    <w:rsid w:val="009D04EE"/>
    <w:rsid w:val="009D07C5"/>
    <w:rsid w:val="009D0A80"/>
    <w:rsid w:val="009D0AA1"/>
    <w:rsid w:val="009D0AF6"/>
    <w:rsid w:val="009D0B58"/>
    <w:rsid w:val="009D0BEB"/>
    <w:rsid w:val="009D11AD"/>
    <w:rsid w:val="009D1479"/>
    <w:rsid w:val="009D15E4"/>
    <w:rsid w:val="009D162D"/>
    <w:rsid w:val="009D17A0"/>
    <w:rsid w:val="009D19F1"/>
    <w:rsid w:val="009D2125"/>
    <w:rsid w:val="009D227E"/>
    <w:rsid w:val="009D23AA"/>
    <w:rsid w:val="009D23C0"/>
    <w:rsid w:val="009D281F"/>
    <w:rsid w:val="009D298A"/>
    <w:rsid w:val="009D29F0"/>
    <w:rsid w:val="009D2B6B"/>
    <w:rsid w:val="009D2BE3"/>
    <w:rsid w:val="009D2E4A"/>
    <w:rsid w:val="009D2EBB"/>
    <w:rsid w:val="009D2FBB"/>
    <w:rsid w:val="009D31E6"/>
    <w:rsid w:val="009D35BB"/>
    <w:rsid w:val="009D3A39"/>
    <w:rsid w:val="009D3AE1"/>
    <w:rsid w:val="009D3AF5"/>
    <w:rsid w:val="009D461A"/>
    <w:rsid w:val="009D56D5"/>
    <w:rsid w:val="009D57B6"/>
    <w:rsid w:val="009D5916"/>
    <w:rsid w:val="009D5D5E"/>
    <w:rsid w:val="009D6099"/>
    <w:rsid w:val="009D61D7"/>
    <w:rsid w:val="009D61E5"/>
    <w:rsid w:val="009D6605"/>
    <w:rsid w:val="009D67EA"/>
    <w:rsid w:val="009D6ABA"/>
    <w:rsid w:val="009D6ABF"/>
    <w:rsid w:val="009D6D5A"/>
    <w:rsid w:val="009D79DB"/>
    <w:rsid w:val="009D7A84"/>
    <w:rsid w:val="009D7AB4"/>
    <w:rsid w:val="009D7D1E"/>
    <w:rsid w:val="009D7FD1"/>
    <w:rsid w:val="009E037F"/>
    <w:rsid w:val="009E07DE"/>
    <w:rsid w:val="009E0BCD"/>
    <w:rsid w:val="009E0BEF"/>
    <w:rsid w:val="009E0DD7"/>
    <w:rsid w:val="009E0F4D"/>
    <w:rsid w:val="009E0FB4"/>
    <w:rsid w:val="009E1086"/>
    <w:rsid w:val="009E1294"/>
    <w:rsid w:val="009E19F8"/>
    <w:rsid w:val="009E1C77"/>
    <w:rsid w:val="009E2DEE"/>
    <w:rsid w:val="009E36EB"/>
    <w:rsid w:val="009E3E4C"/>
    <w:rsid w:val="009E3FFF"/>
    <w:rsid w:val="009E45F4"/>
    <w:rsid w:val="009E4622"/>
    <w:rsid w:val="009E48F5"/>
    <w:rsid w:val="009E5044"/>
    <w:rsid w:val="009E5060"/>
    <w:rsid w:val="009E53F0"/>
    <w:rsid w:val="009E53F2"/>
    <w:rsid w:val="009E5666"/>
    <w:rsid w:val="009E56C1"/>
    <w:rsid w:val="009E591E"/>
    <w:rsid w:val="009E5D87"/>
    <w:rsid w:val="009E5DE0"/>
    <w:rsid w:val="009E68A8"/>
    <w:rsid w:val="009E6988"/>
    <w:rsid w:val="009E6C73"/>
    <w:rsid w:val="009E6CC9"/>
    <w:rsid w:val="009E71EE"/>
    <w:rsid w:val="009E7D27"/>
    <w:rsid w:val="009F0DAA"/>
    <w:rsid w:val="009F0E30"/>
    <w:rsid w:val="009F1B40"/>
    <w:rsid w:val="009F1C8A"/>
    <w:rsid w:val="009F254F"/>
    <w:rsid w:val="009F26F9"/>
    <w:rsid w:val="009F2846"/>
    <w:rsid w:val="009F2AFA"/>
    <w:rsid w:val="009F2D02"/>
    <w:rsid w:val="009F3060"/>
    <w:rsid w:val="009F37DD"/>
    <w:rsid w:val="009F3857"/>
    <w:rsid w:val="009F3960"/>
    <w:rsid w:val="009F3C41"/>
    <w:rsid w:val="009F426A"/>
    <w:rsid w:val="009F4681"/>
    <w:rsid w:val="009F48C5"/>
    <w:rsid w:val="009F4D8C"/>
    <w:rsid w:val="009F4FFF"/>
    <w:rsid w:val="009F519D"/>
    <w:rsid w:val="009F5232"/>
    <w:rsid w:val="009F52A3"/>
    <w:rsid w:val="009F53C7"/>
    <w:rsid w:val="009F56F5"/>
    <w:rsid w:val="009F590B"/>
    <w:rsid w:val="009F5AF6"/>
    <w:rsid w:val="009F5EC0"/>
    <w:rsid w:val="009F6174"/>
    <w:rsid w:val="009F61F3"/>
    <w:rsid w:val="009F6612"/>
    <w:rsid w:val="009F66D0"/>
    <w:rsid w:val="009F6BFF"/>
    <w:rsid w:val="009F6C12"/>
    <w:rsid w:val="009F6C6F"/>
    <w:rsid w:val="009F6D60"/>
    <w:rsid w:val="009F6E91"/>
    <w:rsid w:val="009F7704"/>
    <w:rsid w:val="009F7E7D"/>
    <w:rsid w:val="00A00108"/>
    <w:rsid w:val="00A0029D"/>
    <w:rsid w:val="00A006E2"/>
    <w:rsid w:val="00A006EE"/>
    <w:rsid w:val="00A0074F"/>
    <w:rsid w:val="00A00F23"/>
    <w:rsid w:val="00A013C1"/>
    <w:rsid w:val="00A01BB7"/>
    <w:rsid w:val="00A01BBC"/>
    <w:rsid w:val="00A01C6B"/>
    <w:rsid w:val="00A01CBE"/>
    <w:rsid w:val="00A0234B"/>
    <w:rsid w:val="00A024CC"/>
    <w:rsid w:val="00A02851"/>
    <w:rsid w:val="00A02878"/>
    <w:rsid w:val="00A02CB7"/>
    <w:rsid w:val="00A0335B"/>
    <w:rsid w:val="00A03B79"/>
    <w:rsid w:val="00A03E14"/>
    <w:rsid w:val="00A04440"/>
    <w:rsid w:val="00A04E5B"/>
    <w:rsid w:val="00A04F29"/>
    <w:rsid w:val="00A05038"/>
    <w:rsid w:val="00A0578A"/>
    <w:rsid w:val="00A05925"/>
    <w:rsid w:val="00A05AA3"/>
    <w:rsid w:val="00A05C90"/>
    <w:rsid w:val="00A05F18"/>
    <w:rsid w:val="00A06349"/>
    <w:rsid w:val="00A06389"/>
    <w:rsid w:val="00A063D6"/>
    <w:rsid w:val="00A06AF7"/>
    <w:rsid w:val="00A06C3B"/>
    <w:rsid w:val="00A0705C"/>
    <w:rsid w:val="00A071F0"/>
    <w:rsid w:val="00A0795B"/>
    <w:rsid w:val="00A07FD5"/>
    <w:rsid w:val="00A10198"/>
    <w:rsid w:val="00A101C2"/>
    <w:rsid w:val="00A10679"/>
    <w:rsid w:val="00A106EB"/>
    <w:rsid w:val="00A109EE"/>
    <w:rsid w:val="00A112E7"/>
    <w:rsid w:val="00A11859"/>
    <w:rsid w:val="00A11F40"/>
    <w:rsid w:val="00A12240"/>
    <w:rsid w:val="00A12640"/>
    <w:rsid w:val="00A128AA"/>
    <w:rsid w:val="00A12C11"/>
    <w:rsid w:val="00A12C12"/>
    <w:rsid w:val="00A12D6A"/>
    <w:rsid w:val="00A12D7C"/>
    <w:rsid w:val="00A1375D"/>
    <w:rsid w:val="00A1385D"/>
    <w:rsid w:val="00A13B28"/>
    <w:rsid w:val="00A13D39"/>
    <w:rsid w:val="00A13F73"/>
    <w:rsid w:val="00A13F82"/>
    <w:rsid w:val="00A13FED"/>
    <w:rsid w:val="00A14252"/>
    <w:rsid w:val="00A148D1"/>
    <w:rsid w:val="00A148FB"/>
    <w:rsid w:val="00A14FE7"/>
    <w:rsid w:val="00A150D5"/>
    <w:rsid w:val="00A15168"/>
    <w:rsid w:val="00A1543F"/>
    <w:rsid w:val="00A15572"/>
    <w:rsid w:val="00A15783"/>
    <w:rsid w:val="00A15C97"/>
    <w:rsid w:val="00A15CBA"/>
    <w:rsid w:val="00A16141"/>
    <w:rsid w:val="00A166D0"/>
    <w:rsid w:val="00A16A35"/>
    <w:rsid w:val="00A1722D"/>
    <w:rsid w:val="00A1763E"/>
    <w:rsid w:val="00A17B2D"/>
    <w:rsid w:val="00A17C35"/>
    <w:rsid w:val="00A17D80"/>
    <w:rsid w:val="00A17DDB"/>
    <w:rsid w:val="00A17E93"/>
    <w:rsid w:val="00A17FD5"/>
    <w:rsid w:val="00A20378"/>
    <w:rsid w:val="00A209EA"/>
    <w:rsid w:val="00A20D10"/>
    <w:rsid w:val="00A20E6C"/>
    <w:rsid w:val="00A20F11"/>
    <w:rsid w:val="00A21ABD"/>
    <w:rsid w:val="00A21BFA"/>
    <w:rsid w:val="00A21CE4"/>
    <w:rsid w:val="00A2207C"/>
    <w:rsid w:val="00A22137"/>
    <w:rsid w:val="00A226FC"/>
    <w:rsid w:val="00A226FF"/>
    <w:rsid w:val="00A2291F"/>
    <w:rsid w:val="00A22E0D"/>
    <w:rsid w:val="00A22F42"/>
    <w:rsid w:val="00A23506"/>
    <w:rsid w:val="00A23648"/>
    <w:rsid w:val="00A23994"/>
    <w:rsid w:val="00A23B5E"/>
    <w:rsid w:val="00A24233"/>
    <w:rsid w:val="00A24248"/>
    <w:rsid w:val="00A24A2D"/>
    <w:rsid w:val="00A252E7"/>
    <w:rsid w:val="00A2593E"/>
    <w:rsid w:val="00A261A7"/>
    <w:rsid w:val="00A262EE"/>
    <w:rsid w:val="00A270A3"/>
    <w:rsid w:val="00A27218"/>
    <w:rsid w:val="00A272C0"/>
    <w:rsid w:val="00A27335"/>
    <w:rsid w:val="00A27758"/>
    <w:rsid w:val="00A27EF4"/>
    <w:rsid w:val="00A27F1E"/>
    <w:rsid w:val="00A30022"/>
    <w:rsid w:val="00A30405"/>
    <w:rsid w:val="00A30473"/>
    <w:rsid w:val="00A304F6"/>
    <w:rsid w:val="00A30940"/>
    <w:rsid w:val="00A30C79"/>
    <w:rsid w:val="00A30CD9"/>
    <w:rsid w:val="00A30D84"/>
    <w:rsid w:val="00A310F8"/>
    <w:rsid w:val="00A31154"/>
    <w:rsid w:val="00A3124A"/>
    <w:rsid w:val="00A31811"/>
    <w:rsid w:val="00A31CD5"/>
    <w:rsid w:val="00A32633"/>
    <w:rsid w:val="00A32EF9"/>
    <w:rsid w:val="00A3384E"/>
    <w:rsid w:val="00A33D51"/>
    <w:rsid w:val="00A33EAA"/>
    <w:rsid w:val="00A34099"/>
    <w:rsid w:val="00A343F7"/>
    <w:rsid w:val="00A34488"/>
    <w:rsid w:val="00A34787"/>
    <w:rsid w:val="00A3483B"/>
    <w:rsid w:val="00A348E8"/>
    <w:rsid w:val="00A34919"/>
    <w:rsid w:val="00A34AB2"/>
    <w:rsid w:val="00A3521D"/>
    <w:rsid w:val="00A352D6"/>
    <w:rsid w:val="00A35655"/>
    <w:rsid w:val="00A35DA5"/>
    <w:rsid w:val="00A3602A"/>
    <w:rsid w:val="00A3612D"/>
    <w:rsid w:val="00A3687D"/>
    <w:rsid w:val="00A36911"/>
    <w:rsid w:val="00A36FC7"/>
    <w:rsid w:val="00A375E3"/>
    <w:rsid w:val="00A37CCC"/>
    <w:rsid w:val="00A37D0D"/>
    <w:rsid w:val="00A40248"/>
    <w:rsid w:val="00A40A2D"/>
    <w:rsid w:val="00A40C6F"/>
    <w:rsid w:val="00A40F5C"/>
    <w:rsid w:val="00A41847"/>
    <w:rsid w:val="00A41B59"/>
    <w:rsid w:val="00A41EEF"/>
    <w:rsid w:val="00A4240B"/>
    <w:rsid w:val="00A4252A"/>
    <w:rsid w:val="00A429A0"/>
    <w:rsid w:val="00A43176"/>
    <w:rsid w:val="00A43177"/>
    <w:rsid w:val="00A43326"/>
    <w:rsid w:val="00A43637"/>
    <w:rsid w:val="00A4383F"/>
    <w:rsid w:val="00A43F6D"/>
    <w:rsid w:val="00A442DB"/>
    <w:rsid w:val="00A44570"/>
    <w:rsid w:val="00A44F49"/>
    <w:rsid w:val="00A465D5"/>
    <w:rsid w:val="00A47257"/>
    <w:rsid w:val="00A4729B"/>
    <w:rsid w:val="00A4778F"/>
    <w:rsid w:val="00A47AEC"/>
    <w:rsid w:val="00A47F2C"/>
    <w:rsid w:val="00A50056"/>
    <w:rsid w:val="00A5053E"/>
    <w:rsid w:val="00A50D97"/>
    <w:rsid w:val="00A51313"/>
    <w:rsid w:val="00A513B8"/>
    <w:rsid w:val="00A51795"/>
    <w:rsid w:val="00A51870"/>
    <w:rsid w:val="00A518ED"/>
    <w:rsid w:val="00A51CA5"/>
    <w:rsid w:val="00A51F41"/>
    <w:rsid w:val="00A51F64"/>
    <w:rsid w:val="00A52270"/>
    <w:rsid w:val="00A526BB"/>
    <w:rsid w:val="00A528FE"/>
    <w:rsid w:val="00A52AB8"/>
    <w:rsid w:val="00A52C16"/>
    <w:rsid w:val="00A52FAE"/>
    <w:rsid w:val="00A53478"/>
    <w:rsid w:val="00A537B8"/>
    <w:rsid w:val="00A537CA"/>
    <w:rsid w:val="00A53809"/>
    <w:rsid w:val="00A53D59"/>
    <w:rsid w:val="00A53E21"/>
    <w:rsid w:val="00A54816"/>
    <w:rsid w:val="00A54971"/>
    <w:rsid w:val="00A54E31"/>
    <w:rsid w:val="00A5553C"/>
    <w:rsid w:val="00A55B82"/>
    <w:rsid w:val="00A56042"/>
    <w:rsid w:val="00A5604E"/>
    <w:rsid w:val="00A56484"/>
    <w:rsid w:val="00A56E0B"/>
    <w:rsid w:val="00A575B8"/>
    <w:rsid w:val="00A57746"/>
    <w:rsid w:val="00A57A97"/>
    <w:rsid w:val="00A57D2D"/>
    <w:rsid w:val="00A6006A"/>
    <w:rsid w:val="00A6014E"/>
    <w:rsid w:val="00A604C0"/>
    <w:rsid w:val="00A607AF"/>
    <w:rsid w:val="00A60DD1"/>
    <w:rsid w:val="00A6113E"/>
    <w:rsid w:val="00A6171A"/>
    <w:rsid w:val="00A61798"/>
    <w:rsid w:val="00A6194C"/>
    <w:rsid w:val="00A61983"/>
    <w:rsid w:val="00A61A8E"/>
    <w:rsid w:val="00A61DB3"/>
    <w:rsid w:val="00A61E69"/>
    <w:rsid w:val="00A62020"/>
    <w:rsid w:val="00A626B2"/>
    <w:rsid w:val="00A627DD"/>
    <w:rsid w:val="00A629DA"/>
    <w:rsid w:val="00A6304F"/>
    <w:rsid w:val="00A63AA4"/>
    <w:rsid w:val="00A63B13"/>
    <w:rsid w:val="00A63D49"/>
    <w:rsid w:val="00A64267"/>
    <w:rsid w:val="00A648AE"/>
    <w:rsid w:val="00A64BC5"/>
    <w:rsid w:val="00A64D66"/>
    <w:rsid w:val="00A65203"/>
    <w:rsid w:val="00A65267"/>
    <w:rsid w:val="00A6539A"/>
    <w:rsid w:val="00A65429"/>
    <w:rsid w:val="00A65763"/>
    <w:rsid w:val="00A65CF2"/>
    <w:rsid w:val="00A65FB1"/>
    <w:rsid w:val="00A660DE"/>
    <w:rsid w:val="00A66337"/>
    <w:rsid w:val="00A66855"/>
    <w:rsid w:val="00A66C91"/>
    <w:rsid w:val="00A66D12"/>
    <w:rsid w:val="00A66D7A"/>
    <w:rsid w:val="00A670D6"/>
    <w:rsid w:val="00A6729D"/>
    <w:rsid w:val="00A67394"/>
    <w:rsid w:val="00A677B5"/>
    <w:rsid w:val="00A6790F"/>
    <w:rsid w:val="00A67912"/>
    <w:rsid w:val="00A67DAC"/>
    <w:rsid w:val="00A701FD"/>
    <w:rsid w:val="00A707D4"/>
    <w:rsid w:val="00A70A5B"/>
    <w:rsid w:val="00A70BDE"/>
    <w:rsid w:val="00A70E8D"/>
    <w:rsid w:val="00A70EC1"/>
    <w:rsid w:val="00A70F52"/>
    <w:rsid w:val="00A710F7"/>
    <w:rsid w:val="00A71124"/>
    <w:rsid w:val="00A7121B"/>
    <w:rsid w:val="00A715C6"/>
    <w:rsid w:val="00A715FD"/>
    <w:rsid w:val="00A71A9A"/>
    <w:rsid w:val="00A71FF8"/>
    <w:rsid w:val="00A7266F"/>
    <w:rsid w:val="00A72C11"/>
    <w:rsid w:val="00A72E7A"/>
    <w:rsid w:val="00A7352C"/>
    <w:rsid w:val="00A73841"/>
    <w:rsid w:val="00A73A59"/>
    <w:rsid w:val="00A73D44"/>
    <w:rsid w:val="00A741C8"/>
    <w:rsid w:val="00A74A9A"/>
    <w:rsid w:val="00A74C38"/>
    <w:rsid w:val="00A75314"/>
    <w:rsid w:val="00A7562A"/>
    <w:rsid w:val="00A75D66"/>
    <w:rsid w:val="00A75E31"/>
    <w:rsid w:val="00A75E76"/>
    <w:rsid w:val="00A76326"/>
    <w:rsid w:val="00A765A2"/>
    <w:rsid w:val="00A765C0"/>
    <w:rsid w:val="00A767AF"/>
    <w:rsid w:val="00A7686C"/>
    <w:rsid w:val="00A76A08"/>
    <w:rsid w:val="00A76A40"/>
    <w:rsid w:val="00A76B2A"/>
    <w:rsid w:val="00A76D07"/>
    <w:rsid w:val="00A76E3C"/>
    <w:rsid w:val="00A7790D"/>
    <w:rsid w:val="00A77B57"/>
    <w:rsid w:val="00A77BFB"/>
    <w:rsid w:val="00A800B3"/>
    <w:rsid w:val="00A80333"/>
    <w:rsid w:val="00A807B7"/>
    <w:rsid w:val="00A80877"/>
    <w:rsid w:val="00A80892"/>
    <w:rsid w:val="00A80A0E"/>
    <w:rsid w:val="00A80A86"/>
    <w:rsid w:val="00A810F9"/>
    <w:rsid w:val="00A8111C"/>
    <w:rsid w:val="00A8170A"/>
    <w:rsid w:val="00A818A4"/>
    <w:rsid w:val="00A81DD7"/>
    <w:rsid w:val="00A820B4"/>
    <w:rsid w:val="00A82346"/>
    <w:rsid w:val="00A82675"/>
    <w:rsid w:val="00A82773"/>
    <w:rsid w:val="00A8277D"/>
    <w:rsid w:val="00A83BFC"/>
    <w:rsid w:val="00A83DD5"/>
    <w:rsid w:val="00A841A8"/>
    <w:rsid w:val="00A8425B"/>
    <w:rsid w:val="00A84D1E"/>
    <w:rsid w:val="00A85234"/>
    <w:rsid w:val="00A853B5"/>
    <w:rsid w:val="00A855A2"/>
    <w:rsid w:val="00A85755"/>
    <w:rsid w:val="00A858ED"/>
    <w:rsid w:val="00A85A20"/>
    <w:rsid w:val="00A85D90"/>
    <w:rsid w:val="00A85E89"/>
    <w:rsid w:val="00A85EB0"/>
    <w:rsid w:val="00A86531"/>
    <w:rsid w:val="00A867EB"/>
    <w:rsid w:val="00A86B33"/>
    <w:rsid w:val="00A86EEB"/>
    <w:rsid w:val="00A87155"/>
    <w:rsid w:val="00A87208"/>
    <w:rsid w:val="00A87724"/>
    <w:rsid w:val="00A87820"/>
    <w:rsid w:val="00A8788D"/>
    <w:rsid w:val="00A878A4"/>
    <w:rsid w:val="00A879D6"/>
    <w:rsid w:val="00A87C29"/>
    <w:rsid w:val="00A87F41"/>
    <w:rsid w:val="00A903DE"/>
    <w:rsid w:val="00A90584"/>
    <w:rsid w:val="00A90A12"/>
    <w:rsid w:val="00A90F31"/>
    <w:rsid w:val="00A912DD"/>
    <w:rsid w:val="00A915D8"/>
    <w:rsid w:val="00A91839"/>
    <w:rsid w:val="00A91B76"/>
    <w:rsid w:val="00A91B9A"/>
    <w:rsid w:val="00A91E08"/>
    <w:rsid w:val="00A92168"/>
    <w:rsid w:val="00A92513"/>
    <w:rsid w:val="00A928DB"/>
    <w:rsid w:val="00A9295F"/>
    <w:rsid w:val="00A92B87"/>
    <w:rsid w:val="00A9315B"/>
    <w:rsid w:val="00A931F2"/>
    <w:rsid w:val="00A93507"/>
    <w:rsid w:val="00A935C3"/>
    <w:rsid w:val="00A93D4E"/>
    <w:rsid w:val="00A93DE5"/>
    <w:rsid w:val="00A93DE8"/>
    <w:rsid w:val="00A93F76"/>
    <w:rsid w:val="00A94491"/>
    <w:rsid w:val="00A9480B"/>
    <w:rsid w:val="00A94810"/>
    <w:rsid w:val="00A951C6"/>
    <w:rsid w:val="00A95BEC"/>
    <w:rsid w:val="00A961BB"/>
    <w:rsid w:val="00A9681E"/>
    <w:rsid w:val="00A96A52"/>
    <w:rsid w:val="00A96A66"/>
    <w:rsid w:val="00A96AE7"/>
    <w:rsid w:val="00A96EA8"/>
    <w:rsid w:val="00A97920"/>
    <w:rsid w:val="00A97D65"/>
    <w:rsid w:val="00A97F1F"/>
    <w:rsid w:val="00AA02FD"/>
    <w:rsid w:val="00AA042C"/>
    <w:rsid w:val="00AA0584"/>
    <w:rsid w:val="00AA069E"/>
    <w:rsid w:val="00AA0A78"/>
    <w:rsid w:val="00AA0C0C"/>
    <w:rsid w:val="00AA0C45"/>
    <w:rsid w:val="00AA1080"/>
    <w:rsid w:val="00AA1CBC"/>
    <w:rsid w:val="00AA23FC"/>
    <w:rsid w:val="00AA2521"/>
    <w:rsid w:val="00AA2F18"/>
    <w:rsid w:val="00AA314E"/>
    <w:rsid w:val="00AA33A4"/>
    <w:rsid w:val="00AA346B"/>
    <w:rsid w:val="00AA3476"/>
    <w:rsid w:val="00AA3937"/>
    <w:rsid w:val="00AA3B2C"/>
    <w:rsid w:val="00AA3C7A"/>
    <w:rsid w:val="00AA3CBE"/>
    <w:rsid w:val="00AA3FF2"/>
    <w:rsid w:val="00AA4246"/>
    <w:rsid w:val="00AA4607"/>
    <w:rsid w:val="00AA47E8"/>
    <w:rsid w:val="00AA48A3"/>
    <w:rsid w:val="00AA4924"/>
    <w:rsid w:val="00AA4D99"/>
    <w:rsid w:val="00AA4E2D"/>
    <w:rsid w:val="00AA510B"/>
    <w:rsid w:val="00AA512E"/>
    <w:rsid w:val="00AA51BB"/>
    <w:rsid w:val="00AA52B0"/>
    <w:rsid w:val="00AA54CF"/>
    <w:rsid w:val="00AA55AC"/>
    <w:rsid w:val="00AA55DC"/>
    <w:rsid w:val="00AA5A0A"/>
    <w:rsid w:val="00AA5D36"/>
    <w:rsid w:val="00AA5F33"/>
    <w:rsid w:val="00AA66CE"/>
    <w:rsid w:val="00AA6F5D"/>
    <w:rsid w:val="00AA7915"/>
    <w:rsid w:val="00AB097D"/>
    <w:rsid w:val="00AB0B87"/>
    <w:rsid w:val="00AB0E1C"/>
    <w:rsid w:val="00AB10CD"/>
    <w:rsid w:val="00AB1244"/>
    <w:rsid w:val="00AB1504"/>
    <w:rsid w:val="00AB20B0"/>
    <w:rsid w:val="00AB2119"/>
    <w:rsid w:val="00AB237C"/>
    <w:rsid w:val="00AB269D"/>
    <w:rsid w:val="00AB274E"/>
    <w:rsid w:val="00AB292A"/>
    <w:rsid w:val="00AB2CF5"/>
    <w:rsid w:val="00AB2E72"/>
    <w:rsid w:val="00AB2F00"/>
    <w:rsid w:val="00AB301B"/>
    <w:rsid w:val="00AB308B"/>
    <w:rsid w:val="00AB3408"/>
    <w:rsid w:val="00AB364B"/>
    <w:rsid w:val="00AB389E"/>
    <w:rsid w:val="00AB3D6A"/>
    <w:rsid w:val="00AB42B0"/>
    <w:rsid w:val="00AB47F0"/>
    <w:rsid w:val="00AB4952"/>
    <w:rsid w:val="00AB4C51"/>
    <w:rsid w:val="00AB4C7F"/>
    <w:rsid w:val="00AB4E24"/>
    <w:rsid w:val="00AB4FE3"/>
    <w:rsid w:val="00AB504C"/>
    <w:rsid w:val="00AB51FA"/>
    <w:rsid w:val="00AB5375"/>
    <w:rsid w:val="00AB5404"/>
    <w:rsid w:val="00AB55DD"/>
    <w:rsid w:val="00AB5747"/>
    <w:rsid w:val="00AB5B35"/>
    <w:rsid w:val="00AB5CE5"/>
    <w:rsid w:val="00AB67B5"/>
    <w:rsid w:val="00AB67F3"/>
    <w:rsid w:val="00AB6D48"/>
    <w:rsid w:val="00AB6EC3"/>
    <w:rsid w:val="00AB7C45"/>
    <w:rsid w:val="00AC0763"/>
    <w:rsid w:val="00AC0967"/>
    <w:rsid w:val="00AC0D90"/>
    <w:rsid w:val="00AC1044"/>
    <w:rsid w:val="00AC1366"/>
    <w:rsid w:val="00AC1455"/>
    <w:rsid w:val="00AC18E9"/>
    <w:rsid w:val="00AC19BD"/>
    <w:rsid w:val="00AC2032"/>
    <w:rsid w:val="00AC20DA"/>
    <w:rsid w:val="00AC22D2"/>
    <w:rsid w:val="00AC2495"/>
    <w:rsid w:val="00AC2652"/>
    <w:rsid w:val="00AC2926"/>
    <w:rsid w:val="00AC2B5B"/>
    <w:rsid w:val="00AC308A"/>
    <w:rsid w:val="00AC358E"/>
    <w:rsid w:val="00AC3903"/>
    <w:rsid w:val="00AC4063"/>
    <w:rsid w:val="00AC40EE"/>
    <w:rsid w:val="00AC4234"/>
    <w:rsid w:val="00AC4D26"/>
    <w:rsid w:val="00AC4E76"/>
    <w:rsid w:val="00AC4F73"/>
    <w:rsid w:val="00AC533B"/>
    <w:rsid w:val="00AC56DD"/>
    <w:rsid w:val="00AC5796"/>
    <w:rsid w:val="00AC650B"/>
    <w:rsid w:val="00AC6598"/>
    <w:rsid w:val="00AC68D8"/>
    <w:rsid w:val="00AC699A"/>
    <w:rsid w:val="00AC6C6D"/>
    <w:rsid w:val="00AC6DC2"/>
    <w:rsid w:val="00AC704A"/>
    <w:rsid w:val="00AC73C4"/>
    <w:rsid w:val="00AC77AC"/>
    <w:rsid w:val="00AC7D8E"/>
    <w:rsid w:val="00AD009D"/>
    <w:rsid w:val="00AD034D"/>
    <w:rsid w:val="00AD040A"/>
    <w:rsid w:val="00AD0684"/>
    <w:rsid w:val="00AD0779"/>
    <w:rsid w:val="00AD08EF"/>
    <w:rsid w:val="00AD1039"/>
    <w:rsid w:val="00AD1BF3"/>
    <w:rsid w:val="00AD1E48"/>
    <w:rsid w:val="00AD2171"/>
    <w:rsid w:val="00AD3062"/>
    <w:rsid w:val="00AD3099"/>
    <w:rsid w:val="00AD312C"/>
    <w:rsid w:val="00AD32CE"/>
    <w:rsid w:val="00AD334F"/>
    <w:rsid w:val="00AD3D3D"/>
    <w:rsid w:val="00AD405F"/>
    <w:rsid w:val="00AD40C2"/>
    <w:rsid w:val="00AD4218"/>
    <w:rsid w:val="00AD4487"/>
    <w:rsid w:val="00AD46B1"/>
    <w:rsid w:val="00AD475B"/>
    <w:rsid w:val="00AD4D3C"/>
    <w:rsid w:val="00AD502A"/>
    <w:rsid w:val="00AD56C8"/>
    <w:rsid w:val="00AD5D9A"/>
    <w:rsid w:val="00AD5DF1"/>
    <w:rsid w:val="00AD63F8"/>
    <w:rsid w:val="00AD67A3"/>
    <w:rsid w:val="00AD67D1"/>
    <w:rsid w:val="00AD6D97"/>
    <w:rsid w:val="00AD6F2C"/>
    <w:rsid w:val="00AD74DE"/>
    <w:rsid w:val="00AD75D9"/>
    <w:rsid w:val="00AD767D"/>
    <w:rsid w:val="00AD79C8"/>
    <w:rsid w:val="00AE024C"/>
    <w:rsid w:val="00AE068F"/>
    <w:rsid w:val="00AE0719"/>
    <w:rsid w:val="00AE084B"/>
    <w:rsid w:val="00AE0FEB"/>
    <w:rsid w:val="00AE0FF8"/>
    <w:rsid w:val="00AE1545"/>
    <w:rsid w:val="00AE15DC"/>
    <w:rsid w:val="00AE1955"/>
    <w:rsid w:val="00AE1B40"/>
    <w:rsid w:val="00AE20EA"/>
    <w:rsid w:val="00AE224C"/>
    <w:rsid w:val="00AE278A"/>
    <w:rsid w:val="00AE2AC4"/>
    <w:rsid w:val="00AE32E1"/>
    <w:rsid w:val="00AE3803"/>
    <w:rsid w:val="00AE3814"/>
    <w:rsid w:val="00AE38C8"/>
    <w:rsid w:val="00AE46DB"/>
    <w:rsid w:val="00AE4840"/>
    <w:rsid w:val="00AE5283"/>
    <w:rsid w:val="00AE542C"/>
    <w:rsid w:val="00AE5D98"/>
    <w:rsid w:val="00AE5E12"/>
    <w:rsid w:val="00AE5E2B"/>
    <w:rsid w:val="00AE5EA0"/>
    <w:rsid w:val="00AE69C5"/>
    <w:rsid w:val="00AE6EB1"/>
    <w:rsid w:val="00AE6F8E"/>
    <w:rsid w:val="00AE76BD"/>
    <w:rsid w:val="00AE794E"/>
    <w:rsid w:val="00AE7B87"/>
    <w:rsid w:val="00AF04F5"/>
    <w:rsid w:val="00AF077C"/>
    <w:rsid w:val="00AF078B"/>
    <w:rsid w:val="00AF0C3E"/>
    <w:rsid w:val="00AF14A8"/>
    <w:rsid w:val="00AF1564"/>
    <w:rsid w:val="00AF1B37"/>
    <w:rsid w:val="00AF2287"/>
    <w:rsid w:val="00AF2712"/>
    <w:rsid w:val="00AF2CC9"/>
    <w:rsid w:val="00AF2D3E"/>
    <w:rsid w:val="00AF2F7A"/>
    <w:rsid w:val="00AF2F9D"/>
    <w:rsid w:val="00AF3149"/>
    <w:rsid w:val="00AF3509"/>
    <w:rsid w:val="00AF3529"/>
    <w:rsid w:val="00AF3B58"/>
    <w:rsid w:val="00AF3E49"/>
    <w:rsid w:val="00AF424F"/>
    <w:rsid w:val="00AF4343"/>
    <w:rsid w:val="00AF55AA"/>
    <w:rsid w:val="00AF56AE"/>
    <w:rsid w:val="00AF5852"/>
    <w:rsid w:val="00AF5A03"/>
    <w:rsid w:val="00AF5B3E"/>
    <w:rsid w:val="00AF5FD0"/>
    <w:rsid w:val="00AF6623"/>
    <w:rsid w:val="00AF6C6E"/>
    <w:rsid w:val="00AF6F3F"/>
    <w:rsid w:val="00AF7725"/>
    <w:rsid w:val="00AF7759"/>
    <w:rsid w:val="00B003B5"/>
    <w:rsid w:val="00B00493"/>
    <w:rsid w:val="00B006EA"/>
    <w:rsid w:val="00B00992"/>
    <w:rsid w:val="00B00A3C"/>
    <w:rsid w:val="00B00DA1"/>
    <w:rsid w:val="00B00DA4"/>
    <w:rsid w:val="00B00DC4"/>
    <w:rsid w:val="00B0124C"/>
    <w:rsid w:val="00B01375"/>
    <w:rsid w:val="00B01420"/>
    <w:rsid w:val="00B016D4"/>
    <w:rsid w:val="00B01D43"/>
    <w:rsid w:val="00B01FC6"/>
    <w:rsid w:val="00B02031"/>
    <w:rsid w:val="00B026F6"/>
    <w:rsid w:val="00B02F28"/>
    <w:rsid w:val="00B0318E"/>
    <w:rsid w:val="00B033E0"/>
    <w:rsid w:val="00B03510"/>
    <w:rsid w:val="00B03804"/>
    <w:rsid w:val="00B03DEE"/>
    <w:rsid w:val="00B045D9"/>
    <w:rsid w:val="00B04A0F"/>
    <w:rsid w:val="00B04AE7"/>
    <w:rsid w:val="00B04EEB"/>
    <w:rsid w:val="00B04F2C"/>
    <w:rsid w:val="00B053A9"/>
    <w:rsid w:val="00B05AC4"/>
    <w:rsid w:val="00B05EA9"/>
    <w:rsid w:val="00B05F50"/>
    <w:rsid w:val="00B0603D"/>
    <w:rsid w:val="00B06108"/>
    <w:rsid w:val="00B06342"/>
    <w:rsid w:val="00B063E9"/>
    <w:rsid w:val="00B066FE"/>
    <w:rsid w:val="00B067B6"/>
    <w:rsid w:val="00B069EB"/>
    <w:rsid w:val="00B06D78"/>
    <w:rsid w:val="00B074B7"/>
    <w:rsid w:val="00B07A34"/>
    <w:rsid w:val="00B07A9B"/>
    <w:rsid w:val="00B07C0E"/>
    <w:rsid w:val="00B101E2"/>
    <w:rsid w:val="00B10273"/>
    <w:rsid w:val="00B102A5"/>
    <w:rsid w:val="00B10437"/>
    <w:rsid w:val="00B105C4"/>
    <w:rsid w:val="00B10857"/>
    <w:rsid w:val="00B114AA"/>
    <w:rsid w:val="00B11588"/>
    <w:rsid w:val="00B11AF5"/>
    <w:rsid w:val="00B11C47"/>
    <w:rsid w:val="00B12253"/>
    <w:rsid w:val="00B1237E"/>
    <w:rsid w:val="00B12763"/>
    <w:rsid w:val="00B12A63"/>
    <w:rsid w:val="00B12BF1"/>
    <w:rsid w:val="00B12CB5"/>
    <w:rsid w:val="00B12D76"/>
    <w:rsid w:val="00B12EAC"/>
    <w:rsid w:val="00B13341"/>
    <w:rsid w:val="00B1351D"/>
    <w:rsid w:val="00B13820"/>
    <w:rsid w:val="00B1420F"/>
    <w:rsid w:val="00B14339"/>
    <w:rsid w:val="00B1488F"/>
    <w:rsid w:val="00B1495C"/>
    <w:rsid w:val="00B14964"/>
    <w:rsid w:val="00B14EC4"/>
    <w:rsid w:val="00B14FB8"/>
    <w:rsid w:val="00B150F3"/>
    <w:rsid w:val="00B1542F"/>
    <w:rsid w:val="00B15BB8"/>
    <w:rsid w:val="00B15BD5"/>
    <w:rsid w:val="00B1658C"/>
    <w:rsid w:val="00B165F4"/>
    <w:rsid w:val="00B16B51"/>
    <w:rsid w:val="00B16CE4"/>
    <w:rsid w:val="00B17267"/>
    <w:rsid w:val="00B17A6F"/>
    <w:rsid w:val="00B17A77"/>
    <w:rsid w:val="00B17F34"/>
    <w:rsid w:val="00B2037C"/>
    <w:rsid w:val="00B206CE"/>
    <w:rsid w:val="00B207CE"/>
    <w:rsid w:val="00B207EC"/>
    <w:rsid w:val="00B208ED"/>
    <w:rsid w:val="00B211C4"/>
    <w:rsid w:val="00B21203"/>
    <w:rsid w:val="00B214B2"/>
    <w:rsid w:val="00B215AA"/>
    <w:rsid w:val="00B215BC"/>
    <w:rsid w:val="00B21620"/>
    <w:rsid w:val="00B22E8F"/>
    <w:rsid w:val="00B22F40"/>
    <w:rsid w:val="00B23200"/>
    <w:rsid w:val="00B2379C"/>
    <w:rsid w:val="00B23892"/>
    <w:rsid w:val="00B23D2B"/>
    <w:rsid w:val="00B246A6"/>
    <w:rsid w:val="00B24E41"/>
    <w:rsid w:val="00B24E66"/>
    <w:rsid w:val="00B25027"/>
    <w:rsid w:val="00B2582C"/>
    <w:rsid w:val="00B25907"/>
    <w:rsid w:val="00B264BA"/>
    <w:rsid w:val="00B267C6"/>
    <w:rsid w:val="00B26F46"/>
    <w:rsid w:val="00B270F2"/>
    <w:rsid w:val="00B271B9"/>
    <w:rsid w:val="00B27380"/>
    <w:rsid w:val="00B274BB"/>
    <w:rsid w:val="00B27520"/>
    <w:rsid w:val="00B275DE"/>
    <w:rsid w:val="00B27710"/>
    <w:rsid w:val="00B2772A"/>
    <w:rsid w:val="00B27B90"/>
    <w:rsid w:val="00B27BDA"/>
    <w:rsid w:val="00B302EC"/>
    <w:rsid w:val="00B304C9"/>
    <w:rsid w:val="00B3096D"/>
    <w:rsid w:val="00B30EC9"/>
    <w:rsid w:val="00B31340"/>
    <w:rsid w:val="00B316E7"/>
    <w:rsid w:val="00B31A7D"/>
    <w:rsid w:val="00B31B75"/>
    <w:rsid w:val="00B31F3B"/>
    <w:rsid w:val="00B3255B"/>
    <w:rsid w:val="00B32622"/>
    <w:rsid w:val="00B32722"/>
    <w:rsid w:val="00B32901"/>
    <w:rsid w:val="00B32BC4"/>
    <w:rsid w:val="00B32F30"/>
    <w:rsid w:val="00B334E2"/>
    <w:rsid w:val="00B340D8"/>
    <w:rsid w:val="00B34423"/>
    <w:rsid w:val="00B345E1"/>
    <w:rsid w:val="00B34696"/>
    <w:rsid w:val="00B34A3A"/>
    <w:rsid w:val="00B3508E"/>
    <w:rsid w:val="00B35471"/>
    <w:rsid w:val="00B355F7"/>
    <w:rsid w:val="00B355F9"/>
    <w:rsid w:val="00B357FC"/>
    <w:rsid w:val="00B35891"/>
    <w:rsid w:val="00B358AC"/>
    <w:rsid w:val="00B358E9"/>
    <w:rsid w:val="00B35CC2"/>
    <w:rsid w:val="00B36659"/>
    <w:rsid w:val="00B366D3"/>
    <w:rsid w:val="00B3693E"/>
    <w:rsid w:val="00B37158"/>
    <w:rsid w:val="00B373C5"/>
    <w:rsid w:val="00B373F6"/>
    <w:rsid w:val="00B3753C"/>
    <w:rsid w:val="00B37824"/>
    <w:rsid w:val="00B379CB"/>
    <w:rsid w:val="00B37AB0"/>
    <w:rsid w:val="00B37B1C"/>
    <w:rsid w:val="00B37D83"/>
    <w:rsid w:val="00B4003F"/>
    <w:rsid w:val="00B4027C"/>
    <w:rsid w:val="00B405AA"/>
    <w:rsid w:val="00B41129"/>
    <w:rsid w:val="00B41C6E"/>
    <w:rsid w:val="00B41EB7"/>
    <w:rsid w:val="00B420EF"/>
    <w:rsid w:val="00B4230F"/>
    <w:rsid w:val="00B42619"/>
    <w:rsid w:val="00B42645"/>
    <w:rsid w:val="00B4304B"/>
    <w:rsid w:val="00B43378"/>
    <w:rsid w:val="00B4338C"/>
    <w:rsid w:val="00B43BD7"/>
    <w:rsid w:val="00B43C58"/>
    <w:rsid w:val="00B44956"/>
    <w:rsid w:val="00B4527D"/>
    <w:rsid w:val="00B45F5B"/>
    <w:rsid w:val="00B45F5C"/>
    <w:rsid w:val="00B4613C"/>
    <w:rsid w:val="00B464BF"/>
    <w:rsid w:val="00B47705"/>
    <w:rsid w:val="00B47ABD"/>
    <w:rsid w:val="00B47AD1"/>
    <w:rsid w:val="00B47CF4"/>
    <w:rsid w:val="00B47D36"/>
    <w:rsid w:val="00B502BB"/>
    <w:rsid w:val="00B503FD"/>
    <w:rsid w:val="00B50466"/>
    <w:rsid w:val="00B5046F"/>
    <w:rsid w:val="00B505A0"/>
    <w:rsid w:val="00B5084A"/>
    <w:rsid w:val="00B50D60"/>
    <w:rsid w:val="00B5111F"/>
    <w:rsid w:val="00B5185C"/>
    <w:rsid w:val="00B51AB7"/>
    <w:rsid w:val="00B5203B"/>
    <w:rsid w:val="00B52188"/>
    <w:rsid w:val="00B5250E"/>
    <w:rsid w:val="00B5261C"/>
    <w:rsid w:val="00B526AE"/>
    <w:rsid w:val="00B52770"/>
    <w:rsid w:val="00B52A1C"/>
    <w:rsid w:val="00B52A23"/>
    <w:rsid w:val="00B52B05"/>
    <w:rsid w:val="00B52D02"/>
    <w:rsid w:val="00B5318B"/>
    <w:rsid w:val="00B531BC"/>
    <w:rsid w:val="00B53482"/>
    <w:rsid w:val="00B5387F"/>
    <w:rsid w:val="00B5389B"/>
    <w:rsid w:val="00B538F1"/>
    <w:rsid w:val="00B539E7"/>
    <w:rsid w:val="00B53E93"/>
    <w:rsid w:val="00B54054"/>
    <w:rsid w:val="00B54064"/>
    <w:rsid w:val="00B54297"/>
    <w:rsid w:val="00B546F4"/>
    <w:rsid w:val="00B54741"/>
    <w:rsid w:val="00B55036"/>
    <w:rsid w:val="00B55249"/>
    <w:rsid w:val="00B5525F"/>
    <w:rsid w:val="00B55663"/>
    <w:rsid w:val="00B55685"/>
    <w:rsid w:val="00B55912"/>
    <w:rsid w:val="00B561D6"/>
    <w:rsid w:val="00B561F7"/>
    <w:rsid w:val="00B5637B"/>
    <w:rsid w:val="00B56DF4"/>
    <w:rsid w:val="00B57213"/>
    <w:rsid w:val="00B573A4"/>
    <w:rsid w:val="00B5750A"/>
    <w:rsid w:val="00B57E4C"/>
    <w:rsid w:val="00B608C4"/>
    <w:rsid w:val="00B609CB"/>
    <w:rsid w:val="00B61A4B"/>
    <w:rsid w:val="00B61D45"/>
    <w:rsid w:val="00B621BD"/>
    <w:rsid w:val="00B622DE"/>
    <w:rsid w:val="00B6234B"/>
    <w:rsid w:val="00B6240A"/>
    <w:rsid w:val="00B6240F"/>
    <w:rsid w:val="00B626C5"/>
    <w:rsid w:val="00B626D5"/>
    <w:rsid w:val="00B62CEE"/>
    <w:rsid w:val="00B63154"/>
    <w:rsid w:val="00B636AA"/>
    <w:rsid w:val="00B642D8"/>
    <w:rsid w:val="00B647B6"/>
    <w:rsid w:val="00B64D1F"/>
    <w:rsid w:val="00B64D40"/>
    <w:rsid w:val="00B6520B"/>
    <w:rsid w:val="00B657C0"/>
    <w:rsid w:val="00B659C5"/>
    <w:rsid w:val="00B66936"/>
    <w:rsid w:val="00B66BE4"/>
    <w:rsid w:val="00B67407"/>
    <w:rsid w:val="00B674C9"/>
    <w:rsid w:val="00B6750B"/>
    <w:rsid w:val="00B67969"/>
    <w:rsid w:val="00B7024E"/>
    <w:rsid w:val="00B70395"/>
    <w:rsid w:val="00B70444"/>
    <w:rsid w:val="00B70C63"/>
    <w:rsid w:val="00B70D4A"/>
    <w:rsid w:val="00B719DC"/>
    <w:rsid w:val="00B71DF4"/>
    <w:rsid w:val="00B71FF8"/>
    <w:rsid w:val="00B7214D"/>
    <w:rsid w:val="00B7237E"/>
    <w:rsid w:val="00B72491"/>
    <w:rsid w:val="00B72997"/>
    <w:rsid w:val="00B72B2D"/>
    <w:rsid w:val="00B73379"/>
    <w:rsid w:val="00B738A1"/>
    <w:rsid w:val="00B73E83"/>
    <w:rsid w:val="00B73F7D"/>
    <w:rsid w:val="00B7404A"/>
    <w:rsid w:val="00B743DB"/>
    <w:rsid w:val="00B74423"/>
    <w:rsid w:val="00B74642"/>
    <w:rsid w:val="00B74D25"/>
    <w:rsid w:val="00B7536C"/>
    <w:rsid w:val="00B7552C"/>
    <w:rsid w:val="00B757CF"/>
    <w:rsid w:val="00B7595E"/>
    <w:rsid w:val="00B75F42"/>
    <w:rsid w:val="00B766BB"/>
    <w:rsid w:val="00B766D1"/>
    <w:rsid w:val="00B769B6"/>
    <w:rsid w:val="00B76C16"/>
    <w:rsid w:val="00B77226"/>
    <w:rsid w:val="00B7723F"/>
    <w:rsid w:val="00B77294"/>
    <w:rsid w:val="00B77450"/>
    <w:rsid w:val="00B776BA"/>
    <w:rsid w:val="00B77C3D"/>
    <w:rsid w:val="00B803FB"/>
    <w:rsid w:val="00B804AA"/>
    <w:rsid w:val="00B8054A"/>
    <w:rsid w:val="00B8064A"/>
    <w:rsid w:val="00B81830"/>
    <w:rsid w:val="00B81AF0"/>
    <w:rsid w:val="00B81B2D"/>
    <w:rsid w:val="00B82189"/>
    <w:rsid w:val="00B82335"/>
    <w:rsid w:val="00B82367"/>
    <w:rsid w:val="00B825BC"/>
    <w:rsid w:val="00B8299B"/>
    <w:rsid w:val="00B82BB6"/>
    <w:rsid w:val="00B830E9"/>
    <w:rsid w:val="00B8316D"/>
    <w:rsid w:val="00B83687"/>
    <w:rsid w:val="00B83B40"/>
    <w:rsid w:val="00B83E28"/>
    <w:rsid w:val="00B8416F"/>
    <w:rsid w:val="00B84482"/>
    <w:rsid w:val="00B845CB"/>
    <w:rsid w:val="00B8472E"/>
    <w:rsid w:val="00B84801"/>
    <w:rsid w:val="00B8506F"/>
    <w:rsid w:val="00B85311"/>
    <w:rsid w:val="00B859FF"/>
    <w:rsid w:val="00B85A40"/>
    <w:rsid w:val="00B85B95"/>
    <w:rsid w:val="00B85DAE"/>
    <w:rsid w:val="00B85DF7"/>
    <w:rsid w:val="00B85FDF"/>
    <w:rsid w:val="00B86233"/>
    <w:rsid w:val="00B868D1"/>
    <w:rsid w:val="00B870B9"/>
    <w:rsid w:val="00B87548"/>
    <w:rsid w:val="00B87808"/>
    <w:rsid w:val="00B87C05"/>
    <w:rsid w:val="00B87FF0"/>
    <w:rsid w:val="00B90186"/>
    <w:rsid w:val="00B90220"/>
    <w:rsid w:val="00B9055C"/>
    <w:rsid w:val="00B90640"/>
    <w:rsid w:val="00B90A24"/>
    <w:rsid w:val="00B90AFB"/>
    <w:rsid w:val="00B91017"/>
    <w:rsid w:val="00B91019"/>
    <w:rsid w:val="00B91898"/>
    <w:rsid w:val="00B91D43"/>
    <w:rsid w:val="00B91FFC"/>
    <w:rsid w:val="00B922CF"/>
    <w:rsid w:val="00B9259B"/>
    <w:rsid w:val="00B925A4"/>
    <w:rsid w:val="00B92867"/>
    <w:rsid w:val="00B92C8B"/>
    <w:rsid w:val="00B92CE3"/>
    <w:rsid w:val="00B92EDF"/>
    <w:rsid w:val="00B933ED"/>
    <w:rsid w:val="00B9374D"/>
    <w:rsid w:val="00B939BE"/>
    <w:rsid w:val="00B93A53"/>
    <w:rsid w:val="00B93E91"/>
    <w:rsid w:val="00B94416"/>
    <w:rsid w:val="00B945F6"/>
    <w:rsid w:val="00B9494F"/>
    <w:rsid w:val="00B949CD"/>
    <w:rsid w:val="00B94DD4"/>
    <w:rsid w:val="00B957E1"/>
    <w:rsid w:val="00B95A70"/>
    <w:rsid w:val="00B95F0E"/>
    <w:rsid w:val="00B96800"/>
    <w:rsid w:val="00B96DC9"/>
    <w:rsid w:val="00B96EA0"/>
    <w:rsid w:val="00B972E9"/>
    <w:rsid w:val="00BA00D0"/>
    <w:rsid w:val="00BA0219"/>
    <w:rsid w:val="00BA0229"/>
    <w:rsid w:val="00BA0362"/>
    <w:rsid w:val="00BA0611"/>
    <w:rsid w:val="00BA0A56"/>
    <w:rsid w:val="00BA149A"/>
    <w:rsid w:val="00BA162E"/>
    <w:rsid w:val="00BA178A"/>
    <w:rsid w:val="00BA2D52"/>
    <w:rsid w:val="00BA2D5D"/>
    <w:rsid w:val="00BA3151"/>
    <w:rsid w:val="00BA34EC"/>
    <w:rsid w:val="00BA38D3"/>
    <w:rsid w:val="00BA3DB2"/>
    <w:rsid w:val="00BA3E49"/>
    <w:rsid w:val="00BA43FA"/>
    <w:rsid w:val="00BA4C42"/>
    <w:rsid w:val="00BA4D6A"/>
    <w:rsid w:val="00BA5CA8"/>
    <w:rsid w:val="00BA5DFF"/>
    <w:rsid w:val="00BA5FEF"/>
    <w:rsid w:val="00BA61E1"/>
    <w:rsid w:val="00BA63A1"/>
    <w:rsid w:val="00BA683E"/>
    <w:rsid w:val="00BA68F0"/>
    <w:rsid w:val="00BA6BF0"/>
    <w:rsid w:val="00BA6EF9"/>
    <w:rsid w:val="00BA6FA4"/>
    <w:rsid w:val="00BA7546"/>
    <w:rsid w:val="00BA7725"/>
    <w:rsid w:val="00BA7AD3"/>
    <w:rsid w:val="00BA7FCF"/>
    <w:rsid w:val="00BB022C"/>
    <w:rsid w:val="00BB06E2"/>
    <w:rsid w:val="00BB0DAB"/>
    <w:rsid w:val="00BB167D"/>
    <w:rsid w:val="00BB2025"/>
    <w:rsid w:val="00BB2060"/>
    <w:rsid w:val="00BB20A4"/>
    <w:rsid w:val="00BB2AF6"/>
    <w:rsid w:val="00BB2FFB"/>
    <w:rsid w:val="00BB311C"/>
    <w:rsid w:val="00BB337E"/>
    <w:rsid w:val="00BB34A9"/>
    <w:rsid w:val="00BB350E"/>
    <w:rsid w:val="00BB36C0"/>
    <w:rsid w:val="00BB3A28"/>
    <w:rsid w:val="00BB3B2D"/>
    <w:rsid w:val="00BB409B"/>
    <w:rsid w:val="00BB40BB"/>
    <w:rsid w:val="00BB4189"/>
    <w:rsid w:val="00BB42C2"/>
    <w:rsid w:val="00BB4456"/>
    <w:rsid w:val="00BB44E6"/>
    <w:rsid w:val="00BB4C96"/>
    <w:rsid w:val="00BB4FFB"/>
    <w:rsid w:val="00BB50AC"/>
    <w:rsid w:val="00BB5B79"/>
    <w:rsid w:val="00BB5B9B"/>
    <w:rsid w:val="00BB5C44"/>
    <w:rsid w:val="00BB5F33"/>
    <w:rsid w:val="00BB6048"/>
    <w:rsid w:val="00BB61AC"/>
    <w:rsid w:val="00BB6470"/>
    <w:rsid w:val="00BB6844"/>
    <w:rsid w:val="00BB6956"/>
    <w:rsid w:val="00BB6A39"/>
    <w:rsid w:val="00BB6A44"/>
    <w:rsid w:val="00BB6A93"/>
    <w:rsid w:val="00BB6D27"/>
    <w:rsid w:val="00BB74DB"/>
    <w:rsid w:val="00BB757B"/>
    <w:rsid w:val="00BB77E4"/>
    <w:rsid w:val="00BB782C"/>
    <w:rsid w:val="00BB786D"/>
    <w:rsid w:val="00BB7993"/>
    <w:rsid w:val="00BB7B40"/>
    <w:rsid w:val="00BB7C66"/>
    <w:rsid w:val="00BC0314"/>
    <w:rsid w:val="00BC05B3"/>
    <w:rsid w:val="00BC073A"/>
    <w:rsid w:val="00BC0F9C"/>
    <w:rsid w:val="00BC106A"/>
    <w:rsid w:val="00BC12BA"/>
    <w:rsid w:val="00BC13B7"/>
    <w:rsid w:val="00BC1604"/>
    <w:rsid w:val="00BC1A09"/>
    <w:rsid w:val="00BC1A9E"/>
    <w:rsid w:val="00BC21DC"/>
    <w:rsid w:val="00BC26BD"/>
    <w:rsid w:val="00BC2834"/>
    <w:rsid w:val="00BC2EB8"/>
    <w:rsid w:val="00BC3404"/>
    <w:rsid w:val="00BC34B3"/>
    <w:rsid w:val="00BC37BB"/>
    <w:rsid w:val="00BC37ED"/>
    <w:rsid w:val="00BC3E79"/>
    <w:rsid w:val="00BC3F4F"/>
    <w:rsid w:val="00BC402B"/>
    <w:rsid w:val="00BC40C2"/>
    <w:rsid w:val="00BC4464"/>
    <w:rsid w:val="00BC4A1C"/>
    <w:rsid w:val="00BC4A5E"/>
    <w:rsid w:val="00BC4CDE"/>
    <w:rsid w:val="00BC4F0F"/>
    <w:rsid w:val="00BC4F86"/>
    <w:rsid w:val="00BC5197"/>
    <w:rsid w:val="00BC51DE"/>
    <w:rsid w:val="00BC569F"/>
    <w:rsid w:val="00BC59F6"/>
    <w:rsid w:val="00BC5B02"/>
    <w:rsid w:val="00BC5E6B"/>
    <w:rsid w:val="00BC645D"/>
    <w:rsid w:val="00BC689E"/>
    <w:rsid w:val="00BC6E57"/>
    <w:rsid w:val="00BC6FF0"/>
    <w:rsid w:val="00BC7003"/>
    <w:rsid w:val="00BC72DF"/>
    <w:rsid w:val="00BC7514"/>
    <w:rsid w:val="00BC7A8A"/>
    <w:rsid w:val="00BC7E36"/>
    <w:rsid w:val="00BD0239"/>
    <w:rsid w:val="00BD028C"/>
    <w:rsid w:val="00BD0665"/>
    <w:rsid w:val="00BD07EF"/>
    <w:rsid w:val="00BD07F5"/>
    <w:rsid w:val="00BD0E05"/>
    <w:rsid w:val="00BD0EC3"/>
    <w:rsid w:val="00BD1044"/>
    <w:rsid w:val="00BD1408"/>
    <w:rsid w:val="00BD15C5"/>
    <w:rsid w:val="00BD16AD"/>
    <w:rsid w:val="00BD183E"/>
    <w:rsid w:val="00BD1966"/>
    <w:rsid w:val="00BD19F8"/>
    <w:rsid w:val="00BD21EF"/>
    <w:rsid w:val="00BD2722"/>
    <w:rsid w:val="00BD290B"/>
    <w:rsid w:val="00BD2A30"/>
    <w:rsid w:val="00BD2C67"/>
    <w:rsid w:val="00BD319D"/>
    <w:rsid w:val="00BD3B1A"/>
    <w:rsid w:val="00BD3CC7"/>
    <w:rsid w:val="00BD47CB"/>
    <w:rsid w:val="00BD4986"/>
    <w:rsid w:val="00BD4A06"/>
    <w:rsid w:val="00BD4D4D"/>
    <w:rsid w:val="00BD4F72"/>
    <w:rsid w:val="00BD5117"/>
    <w:rsid w:val="00BD52AB"/>
    <w:rsid w:val="00BD5483"/>
    <w:rsid w:val="00BD5626"/>
    <w:rsid w:val="00BD57FD"/>
    <w:rsid w:val="00BD5E7B"/>
    <w:rsid w:val="00BD67E2"/>
    <w:rsid w:val="00BD6DBD"/>
    <w:rsid w:val="00BD6E04"/>
    <w:rsid w:val="00BD73E0"/>
    <w:rsid w:val="00BD746B"/>
    <w:rsid w:val="00BD7971"/>
    <w:rsid w:val="00BD7A89"/>
    <w:rsid w:val="00BD7AB5"/>
    <w:rsid w:val="00BD7C5B"/>
    <w:rsid w:val="00BD7CEE"/>
    <w:rsid w:val="00BD7D8E"/>
    <w:rsid w:val="00BE0028"/>
    <w:rsid w:val="00BE06B0"/>
    <w:rsid w:val="00BE06D9"/>
    <w:rsid w:val="00BE09AD"/>
    <w:rsid w:val="00BE0B76"/>
    <w:rsid w:val="00BE18A5"/>
    <w:rsid w:val="00BE19E5"/>
    <w:rsid w:val="00BE1DE4"/>
    <w:rsid w:val="00BE1F06"/>
    <w:rsid w:val="00BE1FDE"/>
    <w:rsid w:val="00BE24B8"/>
    <w:rsid w:val="00BE2516"/>
    <w:rsid w:val="00BE2676"/>
    <w:rsid w:val="00BE27F3"/>
    <w:rsid w:val="00BE2B0C"/>
    <w:rsid w:val="00BE2E84"/>
    <w:rsid w:val="00BE2FC2"/>
    <w:rsid w:val="00BE303E"/>
    <w:rsid w:val="00BE333D"/>
    <w:rsid w:val="00BE3465"/>
    <w:rsid w:val="00BE4325"/>
    <w:rsid w:val="00BE52FA"/>
    <w:rsid w:val="00BE5611"/>
    <w:rsid w:val="00BE56AA"/>
    <w:rsid w:val="00BE56CB"/>
    <w:rsid w:val="00BE58B2"/>
    <w:rsid w:val="00BE6197"/>
    <w:rsid w:val="00BE6510"/>
    <w:rsid w:val="00BE6562"/>
    <w:rsid w:val="00BE6B39"/>
    <w:rsid w:val="00BE6C2F"/>
    <w:rsid w:val="00BE6CE0"/>
    <w:rsid w:val="00BE712C"/>
    <w:rsid w:val="00BE75E1"/>
    <w:rsid w:val="00BE76C2"/>
    <w:rsid w:val="00BE785F"/>
    <w:rsid w:val="00BE78BC"/>
    <w:rsid w:val="00BE7C9B"/>
    <w:rsid w:val="00BF00BE"/>
    <w:rsid w:val="00BF018E"/>
    <w:rsid w:val="00BF04F4"/>
    <w:rsid w:val="00BF07C9"/>
    <w:rsid w:val="00BF092E"/>
    <w:rsid w:val="00BF0D10"/>
    <w:rsid w:val="00BF0E67"/>
    <w:rsid w:val="00BF0F6C"/>
    <w:rsid w:val="00BF14A4"/>
    <w:rsid w:val="00BF1503"/>
    <w:rsid w:val="00BF1995"/>
    <w:rsid w:val="00BF20B3"/>
    <w:rsid w:val="00BF2226"/>
    <w:rsid w:val="00BF2A9A"/>
    <w:rsid w:val="00BF3C18"/>
    <w:rsid w:val="00BF4105"/>
    <w:rsid w:val="00BF418D"/>
    <w:rsid w:val="00BF452F"/>
    <w:rsid w:val="00BF456D"/>
    <w:rsid w:val="00BF55FF"/>
    <w:rsid w:val="00BF571A"/>
    <w:rsid w:val="00BF5A3A"/>
    <w:rsid w:val="00BF5B6E"/>
    <w:rsid w:val="00BF5D51"/>
    <w:rsid w:val="00BF5FB4"/>
    <w:rsid w:val="00BF6487"/>
    <w:rsid w:val="00BF6693"/>
    <w:rsid w:val="00BF66D7"/>
    <w:rsid w:val="00BF6AF7"/>
    <w:rsid w:val="00BF6D3E"/>
    <w:rsid w:val="00BF6F1F"/>
    <w:rsid w:val="00BF7145"/>
    <w:rsid w:val="00BF7221"/>
    <w:rsid w:val="00BF7B8D"/>
    <w:rsid w:val="00BF7EAE"/>
    <w:rsid w:val="00C00180"/>
    <w:rsid w:val="00C002A6"/>
    <w:rsid w:val="00C0040F"/>
    <w:rsid w:val="00C00B97"/>
    <w:rsid w:val="00C00ED8"/>
    <w:rsid w:val="00C011B7"/>
    <w:rsid w:val="00C01350"/>
    <w:rsid w:val="00C017BB"/>
    <w:rsid w:val="00C01DB8"/>
    <w:rsid w:val="00C01E51"/>
    <w:rsid w:val="00C01F8C"/>
    <w:rsid w:val="00C0200B"/>
    <w:rsid w:val="00C020FC"/>
    <w:rsid w:val="00C02143"/>
    <w:rsid w:val="00C02566"/>
    <w:rsid w:val="00C02575"/>
    <w:rsid w:val="00C02775"/>
    <w:rsid w:val="00C02AB4"/>
    <w:rsid w:val="00C02B6E"/>
    <w:rsid w:val="00C02C7F"/>
    <w:rsid w:val="00C02FC6"/>
    <w:rsid w:val="00C03236"/>
    <w:rsid w:val="00C03A12"/>
    <w:rsid w:val="00C03E02"/>
    <w:rsid w:val="00C03F80"/>
    <w:rsid w:val="00C04424"/>
    <w:rsid w:val="00C0453D"/>
    <w:rsid w:val="00C05095"/>
    <w:rsid w:val="00C05A2D"/>
    <w:rsid w:val="00C05D31"/>
    <w:rsid w:val="00C05E10"/>
    <w:rsid w:val="00C060E2"/>
    <w:rsid w:val="00C06660"/>
    <w:rsid w:val="00C0691F"/>
    <w:rsid w:val="00C06953"/>
    <w:rsid w:val="00C06CC3"/>
    <w:rsid w:val="00C06DF9"/>
    <w:rsid w:val="00C06FB3"/>
    <w:rsid w:val="00C070C3"/>
    <w:rsid w:val="00C078EE"/>
    <w:rsid w:val="00C07BC7"/>
    <w:rsid w:val="00C10240"/>
    <w:rsid w:val="00C102D6"/>
    <w:rsid w:val="00C104EA"/>
    <w:rsid w:val="00C10512"/>
    <w:rsid w:val="00C10BF8"/>
    <w:rsid w:val="00C10D7B"/>
    <w:rsid w:val="00C10F49"/>
    <w:rsid w:val="00C11443"/>
    <w:rsid w:val="00C11555"/>
    <w:rsid w:val="00C1180F"/>
    <w:rsid w:val="00C11BE8"/>
    <w:rsid w:val="00C11EA5"/>
    <w:rsid w:val="00C11F74"/>
    <w:rsid w:val="00C129E9"/>
    <w:rsid w:val="00C12C11"/>
    <w:rsid w:val="00C12C97"/>
    <w:rsid w:val="00C13509"/>
    <w:rsid w:val="00C13555"/>
    <w:rsid w:val="00C135A5"/>
    <w:rsid w:val="00C137B3"/>
    <w:rsid w:val="00C13AE6"/>
    <w:rsid w:val="00C13EEF"/>
    <w:rsid w:val="00C14134"/>
    <w:rsid w:val="00C1486A"/>
    <w:rsid w:val="00C14D0F"/>
    <w:rsid w:val="00C150B0"/>
    <w:rsid w:val="00C152AF"/>
    <w:rsid w:val="00C15325"/>
    <w:rsid w:val="00C15977"/>
    <w:rsid w:val="00C15C67"/>
    <w:rsid w:val="00C15EE9"/>
    <w:rsid w:val="00C15F3E"/>
    <w:rsid w:val="00C162BB"/>
    <w:rsid w:val="00C1648E"/>
    <w:rsid w:val="00C16B62"/>
    <w:rsid w:val="00C16CD0"/>
    <w:rsid w:val="00C16D8C"/>
    <w:rsid w:val="00C1711A"/>
    <w:rsid w:val="00C174BB"/>
    <w:rsid w:val="00C17BF1"/>
    <w:rsid w:val="00C17C09"/>
    <w:rsid w:val="00C20128"/>
    <w:rsid w:val="00C201C6"/>
    <w:rsid w:val="00C20663"/>
    <w:rsid w:val="00C208B3"/>
    <w:rsid w:val="00C20A81"/>
    <w:rsid w:val="00C20C04"/>
    <w:rsid w:val="00C213C5"/>
    <w:rsid w:val="00C2147C"/>
    <w:rsid w:val="00C21867"/>
    <w:rsid w:val="00C21BF0"/>
    <w:rsid w:val="00C21CA2"/>
    <w:rsid w:val="00C21FA4"/>
    <w:rsid w:val="00C21FB6"/>
    <w:rsid w:val="00C220D9"/>
    <w:rsid w:val="00C22109"/>
    <w:rsid w:val="00C22165"/>
    <w:rsid w:val="00C22178"/>
    <w:rsid w:val="00C22628"/>
    <w:rsid w:val="00C22699"/>
    <w:rsid w:val="00C2292E"/>
    <w:rsid w:val="00C22AA2"/>
    <w:rsid w:val="00C22F8E"/>
    <w:rsid w:val="00C23063"/>
    <w:rsid w:val="00C236A3"/>
    <w:rsid w:val="00C236BB"/>
    <w:rsid w:val="00C23703"/>
    <w:rsid w:val="00C239A2"/>
    <w:rsid w:val="00C23EA5"/>
    <w:rsid w:val="00C23EFC"/>
    <w:rsid w:val="00C23F8F"/>
    <w:rsid w:val="00C24301"/>
    <w:rsid w:val="00C244F8"/>
    <w:rsid w:val="00C24626"/>
    <w:rsid w:val="00C24A64"/>
    <w:rsid w:val="00C24E2A"/>
    <w:rsid w:val="00C24E2B"/>
    <w:rsid w:val="00C24F63"/>
    <w:rsid w:val="00C250B1"/>
    <w:rsid w:val="00C2586A"/>
    <w:rsid w:val="00C25936"/>
    <w:rsid w:val="00C25DE7"/>
    <w:rsid w:val="00C260AE"/>
    <w:rsid w:val="00C26418"/>
    <w:rsid w:val="00C267CE"/>
    <w:rsid w:val="00C27C00"/>
    <w:rsid w:val="00C3012D"/>
    <w:rsid w:val="00C309C4"/>
    <w:rsid w:val="00C30C4F"/>
    <w:rsid w:val="00C30FEC"/>
    <w:rsid w:val="00C310A6"/>
    <w:rsid w:val="00C313EB"/>
    <w:rsid w:val="00C31477"/>
    <w:rsid w:val="00C3163C"/>
    <w:rsid w:val="00C3189B"/>
    <w:rsid w:val="00C31991"/>
    <w:rsid w:val="00C31BF9"/>
    <w:rsid w:val="00C31E68"/>
    <w:rsid w:val="00C31E98"/>
    <w:rsid w:val="00C31F06"/>
    <w:rsid w:val="00C3200E"/>
    <w:rsid w:val="00C32227"/>
    <w:rsid w:val="00C32521"/>
    <w:rsid w:val="00C3256D"/>
    <w:rsid w:val="00C326F5"/>
    <w:rsid w:val="00C328C0"/>
    <w:rsid w:val="00C329BB"/>
    <w:rsid w:val="00C32CD7"/>
    <w:rsid w:val="00C32D73"/>
    <w:rsid w:val="00C33480"/>
    <w:rsid w:val="00C3351E"/>
    <w:rsid w:val="00C33ABF"/>
    <w:rsid w:val="00C33F88"/>
    <w:rsid w:val="00C347EB"/>
    <w:rsid w:val="00C34A8A"/>
    <w:rsid w:val="00C34E96"/>
    <w:rsid w:val="00C34F98"/>
    <w:rsid w:val="00C34FE9"/>
    <w:rsid w:val="00C351F0"/>
    <w:rsid w:val="00C3528E"/>
    <w:rsid w:val="00C3546C"/>
    <w:rsid w:val="00C36345"/>
    <w:rsid w:val="00C36660"/>
    <w:rsid w:val="00C36908"/>
    <w:rsid w:val="00C36A6C"/>
    <w:rsid w:val="00C36D0F"/>
    <w:rsid w:val="00C36F38"/>
    <w:rsid w:val="00C36F53"/>
    <w:rsid w:val="00C375DD"/>
    <w:rsid w:val="00C37B8B"/>
    <w:rsid w:val="00C40486"/>
    <w:rsid w:val="00C405F4"/>
    <w:rsid w:val="00C40609"/>
    <w:rsid w:val="00C40777"/>
    <w:rsid w:val="00C408E3"/>
    <w:rsid w:val="00C409E2"/>
    <w:rsid w:val="00C40A4C"/>
    <w:rsid w:val="00C40A63"/>
    <w:rsid w:val="00C40D3E"/>
    <w:rsid w:val="00C40E93"/>
    <w:rsid w:val="00C40F5C"/>
    <w:rsid w:val="00C40F77"/>
    <w:rsid w:val="00C4136B"/>
    <w:rsid w:val="00C413B2"/>
    <w:rsid w:val="00C413CD"/>
    <w:rsid w:val="00C41992"/>
    <w:rsid w:val="00C419F9"/>
    <w:rsid w:val="00C41CC2"/>
    <w:rsid w:val="00C41DFC"/>
    <w:rsid w:val="00C41E87"/>
    <w:rsid w:val="00C41F13"/>
    <w:rsid w:val="00C42424"/>
    <w:rsid w:val="00C43286"/>
    <w:rsid w:val="00C4358D"/>
    <w:rsid w:val="00C4370D"/>
    <w:rsid w:val="00C44058"/>
    <w:rsid w:val="00C4495F"/>
    <w:rsid w:val="00C45325"/>
    <w:rsid w:val="00C453A3"/>
    <w:rsid w:val="00C45ADF"/>
    <w:rsid w:val="00C45CB8"/>
    <w:rsid w:val="00C46336"/>
    <w:rsid w:val="00C4689A"/>
    <w:rsid w:val="00C46E54"/>
    <w:rsid w:val="00C4703A"/>
    <w:rsid w:val="00C474C1"/>
    <w:rsid w:val="00C47EAC"/>
    <w:rsid w:val="00C47FE1"/>
    <w:rsid w:val="00C5008A"/>
    <w:rsid w:val="00C507B2"/>
    <w:rsid w:val="00C50B28"/>
    <w:rsid w:val="00C50B89"/>
    <w:rsid w:val="00C51397"/>
    <w:rsid w:val="00C516C6"/>
    <w:rsid w:val="00C51953"/>
    <w:rsid w:val="00C52043"/>
    <w:rsid w:val="00C5268A"/>
    <w:rsid w:val="00C529CC"/>
    <w:rsid w:val="00C52D26"/>
    <w:rsid w:val="00C53272"/>
    <w:rsid w:val="00C53E29"/>
    <w:rsid w:val="00C53EAE"/>
    <w:rsid w:val="00C53F85"/>
    <w:rsid w:val="00C54548"/>
    <w:rsid w:val="00C549F3"/>
    <w:rsid w:val="00C54CE5"/>
    <w:rsid w:val="00C54D13"/>
    <w:rsid w:val="00C54EF1"/>
    <w:rsid w:val="00C5502B"/>
    <w:rsid w:val="00C551F8"/>
    <w:rsid w:val="00C552FA"/>
    <w:rsid w:val="00C5557C"/>
    <w:rsid w:val="00C55714"/>
    <w:rsid w:val="00C5571A"/>
    <w:rsid w:val="00C55833"/>
    <w:rsid w:val="00C55ABB"/>
    <w:rsid w:val="00C55C94"/>
    <w:rsid w:val="00C560ED"/>
    <w:rsid w:val="00C56423"/>
    <w:rsid w:val="00C56B2B"/>
    <w:rsid w:val="00C56DFA"/>
    <w:rsid w:val="00C5706C"/>
    <w:rsid w:val="00C5748D"/>
    <w:rsid w:val="00C57495"/>
    <w:rsid w:val="00C5764E"/>
    <w:rsid w:val="00C57724"/>
    <w:rsid w:val="00C578BE"/>
    <w:rsid w:val="00C57A7C"/>
    <w:rsid w:val="00C57ABD"/>
    <w:rsid w:val="00C57E0C"/>
    <w:rsid w:val="00C60420"/>
    <w:rsid w:val="00C608EB"/>
    <w:rsid w:val="00C61442"/>
    <w:rsid w:val="00C6148E"/>
    <w:rsid w:val="00C616DC"/>
    <w:rsid w:val="00C61D53"/>
    <w:rsid w:val="00C628B9"/>
    <w:rsid w:val="00C62D5C"/>
    <w:rsid w:val="00C62D63"/>
    <w:rsid w:val="00C62FD1"/>
    <w:rsid w:val="00C63112"/>
    <w:rsid w:val="00C6323C"/>
    <w:rsid w:val="00C632AB"/>
    <w:rsid w:val="00C635E9"/>
    <w:rsid w:val="00C63676"/>
    <w:rsid w:val="00C638AE"/>
    <w:rsid w:val="00C6396D"/>
    <w:rsid w:val="00C63FC5"/>
    <w:rsid w:val="00C64147"/>
    <w:rsid w:val="00C64212"/>
    <w:rsid w:val="00C64557"/>
    <w:rsid w:val="00C648CB"/>
    <w:rsid w:val="00C64B1E"/>
    <w:rsid w:val="00C64B99"/>
    <w:rsid w:val="00C64FFC"/>
    <w:rsid w:val="00C64FFD"/>
    <w:rsid w:val="00C65030"/>
    <w:rsid w:val="00C655D5"/>
    <w:rsid w:val="00C65CFF"/>
    <w:rsid w:val="00C65EEE"/>
    <w:rsid w:val="00C662BB"/>
    <w:rsid w:val="00C66354"/>
    <w:rsid w:val="00C66A8E"/>
    <w:rsid w:val="00C66B4B"/>
    <w:rsid w:val="00C670A3"/>
    <w:rsid w:val="00C670AE"/>
    <w:rsid w:val="00C671DE"/>
    <w:rsid w:val="00C673C5"/>
    <w:rsid w:val="00C67831"/>
    <w:rsid w:val="00C67EA5"/>
    <w:rsid w:val="00C67F6C"/>
    <w:rsid w:val="00C701DC"/>
    <w:rsid w:val="00C70366"/>
    <w:rsid w:val="00C70A2A"/>
    <w:rsid w:val="00C71651"/>
    <w:rsid w:val="00C71716"/>
    <w:rsid w:val="00C71B9C"/>
    <w:rsid w:val="00C71BAB"/>
    <w:rsid w:val="00C71BCA"/>
    <w:rsid w:val="00C71DA3"/>
    <w:rsid w:val="00C71FEF"/>
    <w:rsid w:val="00C723D3"/>
    <w:rsid w:val="00C7245C"/>
    <w:rsid w:val="00C72BF5"/>
    <w:rsid w:val="00C72E28"/>
    <w:rsid w:val="00C72E48"/>
    <w:rsid w:val="00C72F9F"/>
    <w:rsid w:val="00C730B0"/>
    <w:rsid w:val="00C73AB5"/>
    <w:rsid w:val="00C742F4"/>
    <w:rsid w:val="00C74456"/>
    <w:rsid w:val="00C744F9"/>
    <w:rsid w:val="00C74CB4"/>
    <w:rsid w:val="00C7506D"/>
    <w:rsid w:val="00C75070"/>
    <w:rsid w:val="00C7519E"/>
    <w:rsid w:val="00C755A3"/>
    <w:rsid w:val="00C75D11"/>
    <w:rsid w:val="00C75E9E"/>
    <w:rsid w:val="00C76290"/>
    <w:rsid w:val="00C764DC"/>
    <w:rsid w:val="00C76567"/>
    <w:rsid w:val="00C76946"/>
    <w:rsid w:val="00C76B5E"/>
    <w:rsid w:val="00C76D1B"/>
    <w:rsid w:val="00C770A4"/>
    <w:rsid w:val="00C77201"/>
    <w:rsid w:val="00C7749B"/>
    <w:rsid w:val="00C774E8"/>
    <w:rsid w:val="00C77D52"/>
    <w:rsid w:val="00C804F3"/>
    <w:rsid w:val="00C805E2"/>
    <w:rsid w:val="00C806F4"/>
    <w:rsid w:val="00C80E41"/>
    <w:rsid w:val="00C810E4"/>
    <w:rsid w:val="00C8182A"/>
    <w:rsid w:val="00C81C54"/>
    <w:rsid w:val="00C81D9B"/>
    <w:rsid w:val="00C822FD"/>
    <w:rsid w:val="00C82360"/>
    <w:rsid w:val="00C823D2"/>
    <w:rsid w:val="00C825B6"/>
    <w:rsid w:val="00C82D07"/>
    <w:rsid w:val="00C82EE1"/>
    <w:rsid w:val="00C834B5"/>
    <w:rsid w:val="00C836AB"/>
    <w:rsid w:val="00C83829"/>
    <w:rsid w:val="00C83AB1"/>
    <w:rsid w:val="00C83C0B"/>
    <w:rsid w:val="00C84335"/>
    <w:rsid w:val="00C84382"/>
    <w:rsid w:val="00C846D6"/>
    <w:rsid w:val="00C84879"/>
    <w:rsid w:val="00C8490D"/>
    <w:rsid w:val="00C849C3"/>
    <w:rsid w:val="00C84CA9"/>
    <w:rsid w:val="00C84DAA"/>
    <w:rsid w:val="00C85290"/>
    <w:rsid w:val="00C8537C"/>
    <w:rsid w:val="00C8545B"/>
    <w:rsid w:val="00C85463"/>
    <w:rsid w:val="00C86660"/>
    <w:rsid w:val="00C866CF"/>
    <w:rsid w:val="00C86725"/>
    <w:rsid w:val="00C86798"/>
    <w:rsid w:val="00C869FF"/>
    <w:rsid w:val="00C86B66"/>
    <w:rsid w:val="00C8703E"/>
    <w:rsid w:val="00C87047"/>
    <w:rsid w:val="00C871AB"/>
    <w:rsid w:val="00C8759E"/>
    <w:rsid w:val="00C878DD"/>
    <w:rsid w:val="00C87E7C"/>
    <w:rsid w:val="00C901B8"/>
    <w:rsid w:val="00C901D2"/>
    <w:rsid w:val="00C902BC"/>
    <w:rsid w:val="00C903C5"/>
    <w:rsid w:val="00C90E9F"/>
    <w:rsid w:val="00C90F68"/>
    <w:rsid w:val="00C90FAD"/>
    <w:rsid w:val="00C911C4"/>
    <w:rsid w:val="00C91235"/>
    <w:rsid w:val="00C91579"/>
    <w:rsid w:val="00C91B03"/>
    <w:rsid w:val="00C91B1A"/>
    <w:rsid w:val="00C91B69"/>
    <w:rsid w:val="00C91B6B"/>
    <w:rsid w:val="00C91D6B"/>
    <w:rsid w:val="00C92840"/>
    <w:rsid w:val="00C929BD"/>
    <w:rsid w:val="00C92C3E"/>
    <w:rsid w:val="00C92C8B"/>
    <w:rsid w:val="00C92FE3"/>
    <w:rsid w:val="00C93213"/>
    <w:rsid w:val="00C9359D"/>
    <w:rsid w:val="00C93794"/>
    <w:rsid w:val="00C93AB1"/>
    <w:rsid w:val="00C93C1C"/>
    <w:rsid w:val="00C93C71"/>
    <w:rsid w:val="00C94BF7"/>
    <w:rsid w:val="00C94FDA"/>
    <w:rsid w:val="00C952F2"/>
    <w:rsid w:val="00C95593"/>
    <w:rsid w:val="00C95601"/>
    <w:rsid w:val="00C95761"/>
    <w:rsid w:val="00C95B50"/>
    <w:rsid w:val="00C95B74"/>
    <w:rsid w:val="00C95DA9"/>
    <w:rsid w:val="00C95FCB"/>
    <w:rsid w:val="00C96008"/>
    <w:rsid w:val="00C96072"/>
    <w:rsid w:val="00C96114"/>
    <w:rsid w:val="00C96342"/>
    <w:rsid w:val="00C96488"/>
    <w:rsid w:val="00C965F4"/>
    <w:rsid w:val="00C966E7"/>
    <w:rsid w:val="00C967C3"/>
    <w:rsid w:val="00C967C7"/>
    <w:rsid w:val="00C967D6"/>
    <w:rsid w:val="00C96A2F"/>
    <w:rsid w:val="00C96F4D"/>
    <w:rsid w:val="00C973B5"/>
    <w:rsid w:val="00C97477"/>
    <w:rsid w:val="00C976FC"/>
    <w:rsid w:val="00C977D5"/>
    <w:rsid w:val="00C97877"/>
    <w:rsid w:val="00C978CE"/>
    <w:rsid w:val="00C97AD6"/>
    <w:rsid w:val="00C97AE1"/>
    <w:rsid w:val="00C97DD6"/>
    <w:rsid w:val="00C97F8E"/>
    <w:rsid w:val="00CA0429"/>
    <w:rsid w:val="00CA05C1"/>
    <w:rsid w:val="00CA0D15"/>
    <w:rsid w:val="00CA0E1C"/>
    <w:rsid w:val="00CA11A6"/>
    <w:rsid w:val="00CA1764"/>
    <w:rsid w:val="00CA184C"/>
    <w:rsid w:val="00CA1A12"/>
    <w:rsid w:val="00CA1A44"/>
    <w:rsid w:val="00CA2208"/>
    <w:rsid w:val="00CA2352"/>
    <w:rsid w:val="00CA27D4"/>
    <w:rsid w:val="00CA28E3"/>
    <w:rsid w:val="00CA3429"/>
    <w:rsid w:val="00CA3A9A"/>
    <w:rsid w:val="00CA3C06"/>
    <w:rsid w:val="00CA42DE"/>
    <w:rsid w:val="00CA4D0F"/>
    <w:rsid w:val="00CA5771"/>
    <w:rsid w:val="00CA57F7"/>
    <w:rsid w:val="00CA5873"/>
    <w:rsid w:val="00CA5DDF"/>
    <w:rsid w:val="00CA6218"/>
    <w:rsid w:val="00CA6293"/>
    <w:rsid w:val="00CA6487"/>
    <w:rsid w:val="00CA6560"/>
    <w:rsid w:val="00CA6A93"/>
    <w:rsid w:val="00CA6BAC"/>
    <w:rsid w:val="00CA6C37"/>
    <w:rsid w:val="00CA6C42"/>
    <w:rsid w:val="00CA76DA"/>
    <w:rsid w:val="00CA7A78"/>
    <w:rsid w:val="00CA7CA6"/>
    <w:rsid w:val="00CB0586"/>
    <w:rsid w:val="00CB08AF"/>
    <w:rsid w:val="00CB0DF6"/>
    <w:rsid w:val="00CB13A4"/>
    <w:rsid w:val="00CB15CF"/>
    <w:rsid w:val="00CB1A5C"/>
    <w:rsid w:val="00CB1CF7"/>
    <w:rsid w:val="00CB1DF2"/>
    <w:rsid w:val="00CB1FB6"/>
    <w:rsid w:val="00CB2765"/>
    <w:rsid w:val="00CB279B"/>
    <w:rsid w:val="00CB28F7"/>
    <w:rsid w:val="00CB2CB7"/>
    <w:rsid w:val="00CB2DEC"/>
    <w:rsid w:val="00CB3059"/>
    <w:rsid w:val="00CB30E1"/>
    <w:rsid w:val="00CB3228"/>
    <w:rsid w:val="00CB32CE"/>
    <w:rsid w:val="00CB3560"/>
    <w:rsid w:val="00CB3830"/>
    <w:rsid w:val="00CB3B40"/>
    <w:rsid w:val="00CB3C16"/>
    <w:rsid w:val="00CB3DC2"/>
    <w:rsid w:val="00CB3EBC"/>
    <w:rsid w:val="00CB437F"/>
    <w:rsid w:val="00CB4605"/>
    <w:rsid w:val="00CB4A00"/>
    <w:rsid w:val="00CB4B6A"/>
    <w:rsid w:val="00CB4BB0"/>
    <w:rsid w:val="00CB4F1F"/>
    <w:rsid w:val="00CB51BA"/>
    <w:rsid w:val="00CB52C1"/>
    <w:rsid w:val="00CB55C5"/>
    <w:rsid w:val="00CB570F"/>
    <w:rsid w:val="00CB5D3D"/>
    <w:rsid w:val="00CB5E81"/>
    <w:rsid w:val="00CB602C"/>
    <w:rsid w:val="00CB622A"/>
    <w:rsid w:val="00CB624B"/>
    <w:rsid w:val="00CB70DA"/>
    <w:rsid w:val="00CB71E9"/>
    <w:rsid w:val="00CB731A"/>
    <w:rsid w:val="00CB7C20"/>
    <w:rsid w:val="00CB7F49"/>
    <w:rsid w:val="00CC0290"/>
    <w:rsid w:val="00CC02B8"/>
    <w:rsid w:val="00CC0726"/>
    <w:rsid w:val="00CC0CD8"/>
    <w:rsid w:val="00CC0ECB"/>
    <w:rsid w:val="00CC0F0E"/>
    <w:rsid w:val="00CC0F11"/>
    <w:rsid w:val="00CC0FD5"/>
    <w:rsid w:val="00CC122D"/>
    <w:rsid w:val="00CC1355"/>
    <w:rsid w:val="00CC19B5"/>
    <w:rsid w:val="00CC1A4D"/>
    <w:rsid w:val="00CC20E3"/>
    <w:rsid w:val="00CC214D"/>
    <w:rsid w:val="00CC2210"/>
    <w:rsid w:val="00CC2929"/>
    <w:rsid w:val="00CC29E8"/>
    <w:rsid w:val="00CC333D"/>
    <w:rsid w:val="00CC3544"/>
    <w:rsid w:val="00CC4220"/>
    <w:rsid w:val="00CC445D"/>
    <w:rsid w:val="00CC478C"/>
    <w:rsid w:val="00CC4B48"/>
    <w:rsid w:val="00CC4CFB"/>
    <w:rsid w:val="00CC4D82"/>
    <w:rsid w:val="00CC4DB5"/>
    <w:rsid w:val="00CC4F1B"/>
    <w:rsid w:val="00CC4F79"/>
    <w:rsid w:val="00CC5049"/>
    <w:rsid w:val="00CC549F"/>
    <w:rsid w:val="00CC54A5"/>
    <w:rsid w:val="00CC54E7"/>
    <w:rsid w:val="00CC576B"/>
    <w:rsid w:val="00CC6555"/>
    <w:rsid w:val="00CC66D5"/>
    <w:rsid w:val="00CC6A0B"/>
    <w:rsid w:val="00CC6B94"/>
    <w:rsid w:val="00CC6D80"/>
    <w:rsid w:val="00CC6F86"/>
    <w:rsid w:val="00CC74EB"/>
    <w:rsid w:val="00CC769F"/>
    <w:rsid w:val="00CC7BE7"/>
    <w:rsid w:val="00CC7DE4"/>
    <w:rsid w:val="00CC7E5A"/>
    <w:rsid w:val="00CC7F47"/>
    <w:rsid w:val="00CD07B5"/>
    <w:rsid w:val="00CD0B3E"/>
    <w:rsid w:val="00CD183A"/>
    <w:rsid w:val="00CD279A"/>
    <w:rsid w:val="00CD2F2A"/>
    <w:rsid w:val="00CD2FDE"/>
    <w:rsid w:val="00CD3649"/>
    <w:rsid w:val="00CD393A"/>
    <w:rsid w:val="00CD397B"/>
    <w:rsid w:val="00CD3BCE"/>
    <w:rsid w:val="00CD41CE"/>
    <w:rsid w:val="00CD4871"/>
    <w:rsid w:val="00CD4925"/>
    <w:rsid w:val="00CD4A65"/>
    <w:rsid w:val="00CD4FF8"/>
    <w:rsid w:val="00CD53EB"/>
    <w:rsid w:val="00CD5422"/>
    <w:rsid w:val="00CD5490"/>
    <w:rsid w:val="00CD587E"/>
    <w:rsid w:val="00CD5931"/>
    <w:rsid w:val="00CD59DC"/>
    <w:rsid w:val="00CD5AF8"/>
    <w:rsid w:val="00CD5AFE"/>
    <w:rsid w:val="00CD5E2C"/>
    <w:rsid w:val="00CD5EE3"/>
    <w:rsid w:val="00CD61B3"/>
    <w:rsid w:val="00CD6401"/>
    <w:rsid w:val="00CD64FF"/>
    <w:rsid w:val="00CD676D"/>
    <w:rsid w:val="00CD68ED"/>
    <w:rsid w:val="00CD69A9"/>
    <w:rsid w:val="00CD69FB"/>
    <w:rsid w:val="00CD6C45"/>
    <w:rsid w:val="00CD717E"/>
    <w:rsid w:val="00CD742C"/>
    <w:rsid w:val="00CD7497"/>
    <w:rsid w:val="00CD74C0"/>
    <w:rsid w:val="00CD781F"/>
    <w:rsid w:val="00CD7969"/>
    <w:rsid w:val="00CD7BFF"/>
    <w:rsid w:val="00CD7F01"/>
    <w:rsid w:val="00CE011C"/>
    <w:rsid w:val="00CE01CE"/>
    <w:rsid w:val="00CE01E6"/>
    <w:rsid w:val="00CE039C"/>
    <w:rsid w:val="00CE040F"/>
    <w:rsid w:val="00CE0773"/>
    <w:rsid w:val="00CE1129"/>
    <w:rsid w:val="00CE1A13"/>
    <w:rsid w:val="00CE1C38"/>
    <w:rsid w:val="00CE2255"/>
    <w:rsid w:val="00CE2939"/>
    <w:rsid w:val="00CE2A86"/>
    <w:rsid w:val="00CE2CEE"/>
    <w:rsid w:val="00CE2D22"/>
    <w:rsid w:val="00CE30F8"/>
    <w:rsid w:val="00CE38BA"/>
    <w:rsid w:val="00CE4326"/>
    <w:rsid w:val="00CE4A88"/>
    <w:rsid w:val="00CE4E60"/>
    <w:rsid w:val="00CE4E88"/>
    <w:rsid w:val="00CE5060"/>
    <w:rsid w:val="00CE5502"/>
    <w:rsid w:val="00CE57B6"/>
    <w:rsid w:val="00CE5B49"/>
    <w:rsid w:val="00CE5B63"/>
    <w:rsid w:val="00CE5FE4"/>
    <w:rsid w:val="00CE6974"/>
    <w:rsid w:val="00CE6F09"/>
    <w:rsid w:val="00CE6F9A"/>
    <w:rsid w:val="00CE739E"/>
    <w:rsid w:val="00CE775D"/>
    <w:rsid w:val="00CF0D65"/>
    <w:rsid w:val="00CF107E"/>
    <w:rsid w:val="00CF117E"/>
    <w:rsid w:val="00CF1B47"/>
    <w:rsid w:val="00CF26A4"/>
    <w:rsid w:val="00CF27DA"/>
    <w:rsid w:val="00CF3872"/>
    <w:rsid w:val="00CF3924"/>
    <w:rsid w:val="00CF3A0F"/>
    <w:rsid w:val="00CF3A21"/>
    <w:rsid w:val="00CF3B70"/>
    <w:rsid w:val="00CF3E6D"/>
    <w:rsid w:val="00CF42E7"/>
    <w:rsid w:val="00CF4459"/>
    <w:rsid w:val="00CF4689"/>
    <w:rsid w:val="00CF4A56"/>
    <w:rsid w:val="00CF4F93"/>
    <w:rsid w:val="00CF50A0"/>
    <w:rsid w:val="00CF56E8"/>
    <w:rsid w:val="00CF58E7"/>
    <w:rsid w:val="00CF592B"/>
    <w:rsid w:val="00CF59F3"/>
    <w:rsid w:val="00CF5C7A"/>
    <w:rsid w:val="00CF5E35"/>
    <w:rsid w:val="00CF5E51"/>
    <w:rsid w:val="00CF623C"/>
    <w:rsid w:val="00CF6AFF"/>
    <w:rsid w:val="00CF7168"/>
    <w:rsid w:val="00CF735E"/>
    <w:rsid w:val="00CF73B8"/>
    <w:rsid w:val="00CF7415"/>
    <w:rsid w:val="00CF77B3"/>
    <w:rsid w:val="00CF78B2"/>
    <w:rsid w:val="00D00593"/>
    <w:rsid w:val="00D005B9"/>
    <w:rsid w:val="00D0077A"/>
    <w:rsid w:val="00D00D9A"/>
    <w:rsid w:val="00D0113B"/>
    <w:rsid w:val="00D017A9"/>
    <w:rsid w:val="00D01994"/>
    <w:rsid w:val="00D019B9"/>
    <w:rsid w:val="00D01F4F"/>
    <w:rsid w:val="00D01FA5"/>
    <w:rsid w:val="00D02279"/>
    <w:rsid w:val="00D022B8"/>
    <w:rsid w:val="00D0261F"/>
    <w:rsid w:val="00D02F13"/>
    <w:rsid w:val="00D02FE2"/>
    <w:rsid w:val="00D03302"/>
    <w:rsid w:val="00D03309"/>
    <w:rsid w:val="00D03652"/>
    <w:rsid w:val="00D03900"/>
    <w:rsid w:val="00D03D46"/>
    <w:rsid w:val="00D03E43"/>
    <w:rsid w:val="00D04430"/>
    <w:rsid w:val="00D05571"/>
    <w:rsid w:val="00D0571D"/>
    <w:rsid w:val="00D059EF"/>
    <w:rsid w:val="00D05B66"/>
    <w:rsid w:val="00D05D06"/>
    <w:rsid w:val="00D06000"/>
    <w:rsid w:val="00D0649B"/>
    <w:rsid w:val="00D067F3"/>
    <w:rsid w:val="00D07D78"/>
    <w:rsid w:val="00D07E5C"/>
    <w:rsid w:val="00D07F5A"/>
    <w:rsid w:val="00D07FEA"/>
    <w:rsid w:val="00D10C47"/>
    <w:rsid w:val="00D10F61"/>
    <w:rsid w:val="00D11A47"/>
    <w:rsid w:val="00D11BBE"/>
    <w:rsid w:val="00D11BC5"/>
    <w:rsid w:val="00D120A3"/>
    <w:rsid w:val="00D12124"/>
    <w:rsid w:val="00D1215C"/>
    <w:rsid w:val="00D1269C"/>
    <w:rsid w:val="00D128A4"/>
    <w:rsid w:val="00D12983"/>
    <w:rsid w:val="00D12D49"/>
    <w:rsid w:val="00D12E4E"/>
    <w:rsid w:val="00D12FE3"/>
    <w:rsid w:val="00D130F2"/>
    <w:rsid w:val="00D13DC3"/>
    <w:rsid w:val="00D143DF"/>
    <w:rsid w:val="00D14B32"/>
    <w:rsid w:val="00D14DFF"/>
    <w:rsid w:val="00D14E96"/>
    <w:rsid w:val="00D1567E"/>
    <w:rsid w:val="00D15732"/>
    <w:rsid w:val="00D164B9"/>
    <w:rsid w:val="00D16750"/>
    <w:rsid w:val="00D16BCA"/>
    <w:rsid w:val="00D16DBD"/>
    <w:rsid w:val="00D16F4D"/>
    <w:rsid w:val="00D17157"/>
    <w:rsid w:val="00D173FA"/>
    <w:rsid w:val="00D17940"/>
    <w:rsid w:val="00D17E8C"/>
    <w:rsid w:val="00D200AD"/>
    <w:rsid w:val="00D209D7"/>
    <w:rsid w:val="00D20C20"/>
    <w:rsid w:val="00D217CF"/>
    <w:rsid w:val="00D21CD2"/>
    <w:rsid w:val="00D21CFA"/>
    <w:rsid w:val="00D22113"/>
    <w:rsid w:val="00D221B7"/>
    <w:rsid w:val="00D222C6"/>
    <w:rsid w:val="00D2283C"/>
    <w:rsid w:val="00D22A80"/>
    <w:rsid w:val="00D22C0A"/>
    <w:rsid w:val="00D22C30"/>
    <w:rsid w:val="00D22D4A"/>
    <w:rsid w:val="00D22F3C"/>
    <w:rsid w:val="00D230A4"/>
    <w:rsid w:val="00D230F3"/>
    <w:rsid w:val="00D23122"/>
    <w:rsid w:val="00D232BF"/>
    <w:rsid w:val="00D235CC"/>
    <w:rsid w:val="00D2386E"/>
    <w:rsid w:val="00D23D5B"/>
    <w:rsid w:val="00D241B0"/>
    <w:rsid w:val="00D2453C"/>
    <w:rsid w:val="00D2459F"/>
    <w:rsid w:val="00D24907"/>
    <w:rsid w:val="00D249D2"/>
    <w:rsid w:val="00D24DE7"/>
    <w:rsid w:val="00D2516D"/>
    <w:rsid w:val="00D25873"/>
    <w:rsid w:val="00D25DAF"/>
    <w:rsid w:val="00D26301"/>
    <w:rsid w:val="00D26D39"/>
    <w:rsid w:val="00D27409"/>
    <w:rsid w:val="00D27540"/>
    <w:rsid w:val="00D27769"/>
    <w:rsid w:val="00D279B8"/>
    <w:rsid w:val="00D27F7C"/>
    <w:rsid w:val="00D30128"/>
    <w:rsid w:val="00D30372"/>
    <w:rsid w:val="00D307D2"/>
    <w:rsid w:val="00D30BD5"/>
    <w:rsid w:val="00D30C40"/>
    <w:rsid w:val="00D310FA"/>
    <w:rsid w:val="00D315BB"/>
    <w:rsid w:val="00D31981"/>
    <w:rsid w:val="00D31BA6"/>
    <w:rsid w:val="00D31CFC"/>
    <w:rsid w:val="00D322C2"/>
    <w:rsid w:val="00D32411"/>
    <w:rsid w:val="00D324ED"/>
    <w:rsid w:val="00D33035"/>
    <w:rsid w:val="00D33038"/>
    <w:rsid w:val="00D33275"/>
    <w:rsid w:val="00D33278"/>
    <w:rsid w:val="00D335C3"/>
    <w:rsid w:val="00D3375E"/>
    <w:rsid w:val="00D33852"/>
    <w:rsid w:val="00D33D31"/>
    <w:rsid w:val="00D344A7"/>
    <w:rsid w:val="00D34757"/>
    <w:rsid w:val="00D34B46"/>
    <w:rsid w:val="00D350C4"/>
    <w:rsid w:val="00D3559B"/>
    <w:rsid w:val="00D35E85"/>
    <w:rsid w:val="00D360F1"/>
    <w:rsid w:val="00D36322"/>
    <w:rsid w:val="00D366D9"/>
    <w:rsid w:val="00D36DF2"/>
    <w:rsid w:val="00D37431"/>
    <w:rsid w:val="00D37733"/>
    <w:rsid w:val="00D37A21"/>
    <w:rsid w:val="00D37AAF"/>
    <w:rsid w:val="00D37B37"/>
    <w:rsid w:val="00D37BFA"/>
    <w:rsid w:val="00D37EA6"/>
    <w:rsid w:val="00D40872"/>
    <w:rsid w:val="00D40E7C"/>
    <w:rsid w:val="00D40F27"/>
    <w:rsid w:val="00D41179"/>
    <w:rsid w:val="00D41803"/>
    <w:rsid w:val="00D41A05"/>
    <w:rsid w:val="00D41A3B"/>
    <w:rsid w:val="00D41A7D"/>
    <w:rsid w:val="00D41C03"/>
    <w:rsid w:val="00D42B7C"/>
    <w:rsid w:val="00D43133"/>
    <w:rsid w:val="00D4322E"/>
    <w:rsid w:val="00D43AFC"/>
    <w:rsid w:val="00D43C8E"/>
    <w:rsid w:val="00D43DA5"/>
    <w:rsid w:val="00D44404"/>
    <w:rsid w:val="00D44638"/>
    <w:rsid w:val="00D4497C"/>
    <w:rsid w:val="00D449A0"/>
    <w:rsid w:val="00D44E88"/>
    <w:rsid w:val="00D450A2"/>
    <w:rsid w:val="00D45419"/>
    <w:rsid w:val="00D457BD"/>
    <w:rsid w:val="00D46514"/>
    <w:rsid w:val="00D46798"/>
    <w:rsid w:val="00D46ADF"/>
    <w:rsid w:val="00D46C81"/>
    <w:rsid w:val="00D47673"/>
    <w:rsid w:val="00D47B77"/>
    <w:rsid w:val="00D50034"/>
    <w:rsid w:val="00D503EC"/>
    <w:rsid w:val="00D50F65"/>
    <w:rsid w:val="00D50F81"/>
    <w:rsid w:val="00D5112E"/>
    <w:rsid w:val="00D51720"/>
    <w:rsid w:val="00D51B2A"/>
    <w:rsid w:val="00D51D4A"/>
    <w:rsid w:val="00D52209"/>
    <w:rsid w:val="00D5234B"/>
    <w:rsid w:val="00D52395"/>
    <w:rsid w:val="00D52581"/>
    <w:rsid w:val="00D52759"/>
    <w:rsid w:val="00D52769"/>
    <w:rsid w:val="00D52807"/>
    <w:rsid w:val="00D52BB3"/>
    <w:rsid w:val="00D52C1D"/>
    <w:rsid w:val="00D53964"/>
    <w:rsid w:val="00D53984"/>
    <w:rsid w:val="00D53BAC"/>
    <w:rsid w:val="00D53BE1"/>
    <w:rsid w:val="00D53C87"/>
    <w:rsid w:val="00D54868"/>
    <w:rsid w:val="00D54C61"/>
    <w:rsid w:val="00D54D1E"/>
    <w:rsid w:val="00D55266"/>
    <w:rsid w:val="00D55283"/>
    <w:rsid w:val="00D5595E"/>
    <w:rsid w:val="00D55BCE"/>
    <w:rsid w:val="00D5613C"/>
    <w:rsid w:val="00D56253"/>
    <w:rsid w:val="00D56498"/>
    <w:rsid w:val="00D567FE"/>
    <w:rsid w:val="00D56CE8"/>
    <w:rsid w:val="00D5731E"/>
    <w:rsid w:val="00D579C3"/>
    <w:rsid w:val="00D57E09"/>
    <w:rsid w:val="00D6016A"/>
    <w:rsid w:val="00D60191"/>
    <w:rsid w:val="00D61005"/>
    <w:rsid w:val="00D61015"/>
    <w:rsid w:val="00D61131"/>
    <w:rsid w:val="00D611BB"/>
    <w:rsid w:val="00D61829"/>
    <w:rsid w:val="00D61A11"/>
    <w:rsid w:val="00D61ADA"/>
    <w:rsid w:val="00D61BEC"/>
    <w:rsid w:val="00D61EBC"/>
    <w:rsid w:val="00D61F64"/>
    <w:rsid w:val="00D620A2"/>
    <w:rsid w:val="00D622CE"/>
    <w:rsid w:val="00D625F9"/>
    <w:rsid w:val="00D626BE"/>
    <w:rsid w:val="00D627CF"/>
    <w:rsid w:val="00D62824"/>
    <w:rsid w:val="00D6298A"/>
    <w:rsid w:val="00D62A18"/>
    <w:rsid w:val="00D62B58"/>
    <w:rsid w:val="00D630C5"/>
    <w:rsid w:val="00D636AD"/>
    <w:rsid w:val="00D63D63"/>
    <w:rsid w:val="00D64252"/>
    <w:rsid w:val="00D64417"/>
    <w:rsid w:val="00D6444A"/>
    <w:rsid w:val="00D644E7"/>
    <w:rsid w:val="00D646C6"/>
    <w:rsid w:val="00D64822"/>
    <w:rsid w:val="00D652FF"/>
    <w:rsid w:val="00D653DB"/>
    <w:rsid w:val="00D654C8"/>
    <w:rsid w:val="00D6567B"/>
    <w:rsid w:val="00D65AA1"/>
    <w:rsid w:val="00D6638B"/>
    <w:rsid w:val="00D66DD9"/>
    <w:rsid w:val="00D66FA6"/>
    <w:rsid w:val="00D671DD"/>
    <w:rsid w:val="00D67240"/>
    <w:rsid w:val="00D678AC"/>
    <w:rsid w:val="00D67A44"/>
    <w:rsid w:val="00D67C73"/>
    <w:rsid w:val="00D7030E"/>
    <w:rsid w:val="00D703A3"/>
    <w:rsid w:val="00D7040C"/>
    <w:rsid w:val="00D705E7"/>
    <w:rsid w:val="00D7074F"/>
    <w:rsid w:val="00D70CD1"/>
    <w:rsid w:val="00D70E7A"/>
    <w:rsid w:val="00D70F4A"/>
    <w:rsid w:val="00D71546"/>
    <w:rsid w:val="00D716E8"/>
    <w:rsid w:val="00D71916"/>
    <w:rsid w:val="00D719E6"/>
    <w:rsid w:val="00D71CEF"/>
    <w:rsid w:val="00D7218F"/>
    <w:rsid w:val="00D72199"/>
    <w:rsid w:val="00D72232"/>
    <w:rsid w:val="00D722CF"/>
    <w:rsid w:val="00D725DB"/>
    <w:rsid w:val="00D72C5F"/>
    <w:rsid w:val="00D72DA4"/>
    <w:rsid w:val="00D732EE"/>
    <w:rsid w:val="00D73338"/>
    <w:rsid w:val="00D73348"/>
    <w:rsid w:val="00D73FD6"/>
    <w:rsid w:val="00D74262"/>
    <w:rsid w:val="00D7433C"/>
    <w:rsid w:val="00D74575"/>
    <w:rsid w:val="00D7465E"/>
    <w:rsid w:val="00D74A56"/>
    <w:rsid w:val="00D74D31"/>
    <w:rsid w:val="00D74D6F"/>
    <w:rsid w:val="00D74EF6"/>
    <w:rsid w:val="00D74F07"/>
    <w:rsid w:val="00D74F9C"/>
    <w:rsid w:val="00D75012"/>
    <w:rsid w:val="00D75773"/>
    <w:rsid w:val="00D760A9"/>
    <w:rsid w:val="00D760CF"/>
    <w:rsid w:val="00D763C6"/>
    <w:rsid w:val="00D76440"/>
    <w:rsid w:val="00D76731"/>
    <w:rsid w:val="00D7695D"/>
    <w:rsid w:val="00D77746"/>
    <w:rsid w:val="00D778C2"/>
    <w:rsid w:val="00D77CA3"/>
    <w:rsid w:val="00D8038B"/>
    <w:rsid w:val="00D803E5"/>
    <w:rsid w:val="00D80BA3"/>
    <w:rsid w:val="00D80E47"/>
    <w:rsid w:val="00D813D1"/>
    <w:rsid w:val="00D81428"/>
    <w:rsid w:val="00D818D9"/>
    <w:rsid w:val="00D81B53"/>
    <w:rsid w:val="00D81D91"/>
    <w:rsid w:val="00D81E8A"/>
    <w:rsid w:val="00D82675"/>
    <w:rsid w:val="00D8270A"/>
    <w:rsid w:val="00D82A8E"/>
    <w:rsid w:val="00D82DF1"/>
    <w:rsid w:val="00D82EF5"/>
    <w:rsid w:val="00D831D9"/>
    <w:rsid w:val="00D83235"/>
    <w:rsid w:val="00D8393F"/>
    <w:rsid w:val="00D840E6"/>
    <w:rsid w:val="00D8429C"/>
    <w:rsid w:val="00D842D4"/>
    <w:rsid w:val="00D84621"/>
    <w:rsid w:val="00D8462B"/>
    <w:rsid w:val="00D84941"/>
    <w:rsid w:val="00D8521F"/>
    <w:rsid w:val="00D85335"/>
    <w:rsid w:val="00D856EC"/>
    <w:rsid w:val="00D8570C"/>
    <w:rsid w:val="00D85824"/>
    <w:rsid w:val="00D85C69"/>
    <w:rsid w:val="00D85C72"/>
    <w:rsid w:val="00D85DEB"/>
    <w:rsid w:val="00D861F0"/>
    <w:rsid w:val="00D86504"/>
    <w:rsid w:val="00D86DFF"/>
    <w:rsid w:val="00D87212"/>
    <w:rsid w:val="00D87551"/>
    <w:rsid w:val="00D87C1E"/>
    <w:rsid w:val="00D90067"/>
    <w:rsid w:val="00D903FC"/>
    <w:rsid w:val="00D903FF"/>
    <w:rsid w:val="00D9066D"/>
    <w:rsid w:val="00D90844"/>
    <w:rsid w:val="00D90C47"/>
    <w:rsid w:val="00D90CDB"/>
    <w:rsid w:val="00D9124E"/>
    <w:rsid w:val="00D917CA"/>
    <w:rsid w:val="00D918CD"/>
    <w:rsid w:val="00D9196C"/>
    <w:rsid w:val="00D91C21"/>
    <w:rsid w:val="00D91EC6"/>
    <w:rsid w:val="00D91F11"/>
    <w:rsid w:val="00D91FF6"/>
    <w:rsid w:val="00D921B7"/>
    <w:rsid w:val="00D922E8"/>
    <w:rsid w:val="00D92491"/>
    <w:rsid w:val="00D92AE3"/>
    <w:rsid w:val="00D92CE4"/>
    <w:rsid w:val="00D934D4"/>
    <w:rsid w:val="00D935B0"/>
    <w:rsid w:val="00D93895"/>
    <w:rsid w:val="00D93B30"/>
    <w:rsid w:val="00D93EE5"/>
    <w:rsid w:val="00D9400B"/>
    <w:rsid w:val="00D94351"/>
    <w:rsid w:val="00D9436E"/>
    <w:rsid w:val="00D9442C"/>
    <w:rsid w:val="00D94635"/>
    <w:rsid w:val="00D95228"/>
    <w:rsid w:val="00D957C3"/>
    <w:rsid w:val="00D95AF4"/>
    <w:rsid w:val="00D95CB7"/>
    <w:rsid w:val="00D96247"/>
    <w:rsid w:val="00D9632F"/>
    <w:rsid w:val="00D9690E"/>
    <w:rsid w:val="00D97DC7"/>
    <w:rsid w:val="00D97EE3"/>
    <w:rsid w:val="00DA00AE"/>
    <w:rsid w:val="00DA0108"/>
    <w:rsid w:val="00DA01C4"/>
    <w:rsid w:val="00DA0DD0"/>
    <w:rsid w:val="00DA1876"/>
    <w:rsid w:val="00DA1992"/>
    <w:rsid w:val="00DA1A61"/>
    <w:rsid w:val="00DA1BBD"/>
    <w:rsid w:val="00DA27FD"/>
    <w:rsid w:val="00DA281D"/>
    <w:rsid w:val="00DA2B3F"/>
    <w:rsid w:val="00DA2D48"/>
    <w:rsid w:val="00DA31D6"/>
    <w:rsid w:val="00DA32ED"/>
    <w:rsid w:val="00DA355F"/>
    <w:rsid w:val="00DA3637"/>
    <w:rsid w:val="00DA3DE0"/>
    <w:rsid w:val="00DA452D"/>
    <w:rsid w:val="00DA4785"/>
    <w:rsid w:val="00DA47F3"/>
    <w:rsid w:val="00DA48A9"/>
    <w:rsid w:val="00DA4AAB"/>
    <w:rsid w:val="00DA4BE1"/>
    <w:rsid w:val="00DA4C15"/>
    <w:rsid w:val="00DA4CE7"/>
    <w:rsid w:val="00DA4E26"/>
    <w:rsid w:val="00DA4EDE"/>
    <w:rsid w:val="00DA549C"/>
    <w:rsid w:val="00DA54CD"/>
    <w:rsid w:val="00DA571E"/>
    <w:rsid w:val="00DA5943"/>
    <w:rsid w:val="00DA5F1F"/>
    <w:rsid w:val="00DA61F5"/>
    <w:rsid w:val="00DA6232"/>
    <w:rsid w:val="00DA65B2"/>
    <w:rsid w:val="00DA662D"/>
    <w:rsid w:val="00DA6ABD"/>
    <w:rsid w:val="00DA6E57"/>
    <w:rsid w:val="00DA7056"/>
    <w:rsid w:val="00DA7340"/>
    <w:rsid w:val="00DA7BA4"/>
    <w:rsid w:val="00DA7E61"/>
    <w:rsid w:val="00DA7FCB"/>
    <w:rsid w:val="00DB01DB"/>
    <w:rsid w:val="00DB09AB"/>
    <w:rsid w:val="00DB0A6B"/>
    <w:rsid w:val="00DB0C61"/>
    <w:rsid w:val="00DB0FD0"/>
    <w:rsid w:val="00DB111F"/>
    <w:rsid w:val="00DB1156"/>
    <w:rsid w:val="00DB1ADE"/>
    <w:rsid w:val="00DB21F9"/>
    <w:rsid w:val="00DB23E1"/>
    <w:rsid w:val="00DB242E"/>
    <w:rsid w:val="00DB247B"/>
    <w:rsid w:val="00DB2500"/>
    <w:rsid w:val="00DB25F7"/>
    <w:rsid w:val="00DB2745"/>
    <w:rsid w:val="00DB2810"/>
    <w:rsid w:val="00DB296C"/>
    <w:rsid w:val="00DB2979"/>
    <w:rsid w:val="00DB29FA"/>
    <w:rsid w:val="00DB2B88"/>
    <w:rsid w:val="00DB2C50"/>
    <w:rsid w:val="00DB32C4"/>
    <w:rsid w:val="00DB3873"/>
    <w:rsid w:val="00DB38FF"/>
    <w:rsid w:val="00DB3F39"/>
    <w:rsid w:val="00DB3FF4"/>
    <w:rsid w:val="00DB4EA6"/>
    <w:rsid w:val="00DB51A7"/>
    <w:rsid w:val="00DB5222"/>
    <w:rsid w:val="00DB5A41"/>
    <w:rsid w:val="00DB5DD7"/>
    <w:rsid w:val="00DB64EB"/>
    <w:rsid w:val="00DB6A15"/>
    <w:rsid w:val="00DB6C7B"/>
    <w:rsid w:val="00DB71FD"/>
    <w:rsid w:val="00DB756B"/>
    <w:rsid w:val="00DB7684"/>
    <w:rsid w:val="00DB7D5B"/>
    <w:rsid w:val="00DB7F4C"/>
    <w:rsid w:val="00DC037E"/>
    <w:rsid w:val="00DC0828"/>
    <w:rsid w:val="00DC085B"/>
    <w:rsid w:val="00DC08CF"/>
    <w:rsid w:val="00DC0984"/>
    <w:rsid w:val="00DC0EC9"/>
    <w:rsid w:val="00DC0ECC"/>
    <w:rsid w:val="00DC141E"/>
    <w:rsid w:val="00DC15EC"/>
    <w:rsid w:val="00DC1957"/>
    <w:rsid w:val="00DC1CFE"/>
    <w:rsid w:val="00DC21D5"/>
    <w:rsid w:val="00DC27DA"/>
    <w:rsid w:val="00DC2C4C"/>
    <w:rsid w:val="00DC2EE7"/>
    <w:rsid w:val="00DC3280"/>
    <w:rsid w:val="00DC3341"/>
    <w:rsid w:val="00DC339F"/>
    <w:rsid w:val="00DC33AB"/>
    <w:rsid w:val="00DC3481"/>
    <w:rsid w:val="00DC38A8"/>
    <w:rsid w:val="00DC38BC"/>
    <w:rsid w:val="00DC3992"/>
    <w:rsid w:val="00DC3E04"/>
    <w:rsid w:val="00DC402E"/>
    <w:rsid w:val="00DC4284"/>
    <w:rsid w:val="00DC4376"/>
    <w:rsid w:val="00DC50F1"/>
    <w:rsid w:val="00DC520C"/>
    <w:rsid w:val="00DC535D"/>
    <w:rsid w:val="00DC5445"/>
    <w:rsid w:val="00DC562B"/>
    <w:rsid w:val="00DC5FEC"/>
    <w:rsid w:val="00DC6606"/>
    <w:rsid w:val="00DC673D"/>
    <w:rsid w:val="00DC67C7"/>
    <w:rsid w:val="00DC69E6"/>
    <w:rsid w:val="00DC6EDE"/>
    <w:rsid w:val="00DC6F21"/>
    <w:rsid w:val="00DC741A"/>
    <w:rsid w:val="00DC751E"/>
    <w:rsid w:val="00DC7B73"/>
    <w:rsid w:val="00DC7C4E"/>
    <w:rsid w:val="00DC7E15"/>
    <w:rsid w:val="00DC7E27"/>
    <w:rsid w:val="00DD01DC"/>
    <w:rsid w:val="00DD042E"/>
    <w:rsid w:val="00DD0A18"/>
    <w:rsid w:val="00DD0A2F"/>
    <w:rsid w:val="00DD0B4F"/>
    <w:rsid w:val="00DD0C8C"/>
    <w:rsid w:val="00DD109B"/>
    <w:rsid w:val="00DD16ED"/>
    <w:rsid w:val="00DD17BD"/>
    <w:rsid w:val="00DD1B72"/>
    <w:rsid w:val="00DD1D1C"/>
    <w:rsid w:val="00DD237A"/>
    <w:rsid w:val="00DD397C"/>
    <w:rsid w:val="00DD3CEA"/>
    <w:rsid w:val="00DD46A8"/>
    <w:rsid w:val="00DD4838"/>
    <w:rsid w:val="00DD4C81"/>
    <w:rsid w:val="00DD54F2"/>
    <w:rsid w:val="00DD55B0"/>
    <w:rsid w:val="00DD68AB"/>
    <w:rsid w:val="00DD69F4"/>
    <w:rsid w:val="00DD7431"/>
    <w:rsid w:val="00DD760A"/>
    <w:rsid w:val="00DD7A76"/>
    <w:rsid w:val="00DD7BC2"/>
    <w:rsid w:val="00DD7E50"/>
    <w:rsid w:val="00DE032C"/>
    <w:rsid w:val="00DE0474"/>
    <w:rsid w:val="00DE0727"/>
    <w:rsid w:val="00DE0A01"/>
    <w:rsid w:val="00DE0F9E"/>
    <w:rsid w:val="00DE0FA7"/>
    <w:rsid w:val="00DE1511"/>
    <w:rsid w:val="00DE1522"/>
    <w:rsid w:val="00DE1AC8"/>
    <w:rsid w:val="00DE1F3F"/>
    <w:rsid w:val="00DE2077"/>
    <w:rsid w:val="00DE257A"/>
    <w:rsid w:val="00DE287C"/>
    <w:rsid w:val="00DE31E6"/>
    <w:rsid w:val="00DE3718"/>
    <w:rsid w:val="00DE38C1"/>
    <w:rsid w:val="00DE3990"/>
    <w:rsid w:val="00DE3D4C"/>
    <w:rsid w:val="00DE3F61"/>
    <w:rsid w:val="00DE4264"/>
    <w:rsid w:val="00DE473A"/>
    <w:rsid w:val="00DE47DB"/>
    <w:rsid w:val="00DE4B48"/>
    <w:rsid w:val="00DE4BD2"/>
    <w:rsid w:val="00DE4C60"/>
    <w:rsid w:val="00DE4E7A"/>
    <w:rsid w:val="00DE585A"/>
    <w:rsid w:val="00DE6784"/>
    <w:rsid w:val="00DE6861"/>
    <w:rsid w:val="00DE6C98"/>
    <w:rsid w:val="00DE6F68"/>
    <w:rsid w:val="00DE7C17"/>
    <w:rsid w:val="00DE7CE1"/>
    <w:rsid w:val="00DF02B9"/>
    <w:rsid w:val="00DF043D"/>
    <w:rsid w:val="00DF04F9"/>
    <w:rsid w:val="00DF05F2"/>
    <w:rsid w:val="00DF0C83"/>
    <w:rsid w:val="00DF122E"/>
    <w:rsid w:val="00DF1835"/>
    <w:rsid w:val="00DF1838"/>
    <w:rsid w:val="00DF1BB2"/>
    <w:rsid w:val="00DF1CC0"/>
    <w:rsid w:val="00DF2033"/>
    <w:rsid w:val="00DF22C7"/>
    <w:rsid w:val="00DF2408"/>
    <w:rsid w:val="00DF281A"/>
    <w:rsid w:val="00DF2B2A"/>
    <w:rsid w:val="00DF2B65"/>
    <w:rsid w:val="00DF324D"/>
    <w:rsid w:val="00DF34E6"/>
    <w:rsid w:val="00DF3C68"/>
    <w:rsid w:val="00DF4AAE"/>
    <w:rsid w:val="00DF4BE1"/>
    <w:rsid w:val="00DF4DC9"/>
    <w:rsid w:val="00DF4E74"/>
    <w:rsid w:val="00DF54DF"/>
    <w:rsid w:val="00DF55D6"/>
    <w:rsid w:val="00DF5623"/>
    <w:rsid w:val="00DF5F78"/>
    <w:rsid w:val="00DF5FC0"/>
    <w:rsid w:val="00DF6021"/>
    <w:rsid w:val="00DF6457"/>
    <w:rsid w:val="00DF64F5"/>
    <w:rsid w:val="00DF6B13"/>
    <w:rsid w:val="00DF737B"/>
    <w:rsid w:val="00DF7C16"/>
    <w:rsid w:val="00E00185"/>
    <w:rsid w:val="00E0093C"/>
    <w:rsid w:val="00E01018"/>
    <w:rsid w:val="00E01634"/>
    <w:rsid w:val="00E01C55"/>
    <w:rsid w:val="00E01D5B"/>
    <w:rsid w:val="00E01DC2"/>
    <w:rsid w:val="00E021CD"/>
    <w:rsid w:val="00E02227"/>
    <w:rsid w:val="00E027BD"/>
    <w:rsid w:val="00E02C60"/>
    <w:rsid w:val="00E02EF2"/>
    <w:rsid w:val="00E02FCD"/>
    <w:rsid w:val="00E03172"/>
    <w:rsid w:val="00E0321A"/>
    <w:rsid w:val="00E03563"/>
    <w:rsid w:val="00E037E5"/>
    <w:rsid w:val="00E0384A"/>
    <w:rsid w:val="00E0397E"/>
    <w:rsid w:val="00E03CB0"/>
    <w:rsid w:val="00E043AD"/>
    <w:rsid w:val="00E0468B"/>
    <w:rsid w:val="00E04764"/>
    <w:rsid w:val="00E04C8A"/>
    <w:rsid w:val="00E0514D"/>
    <w:rsid w:val="00E0525B"/>
    <w:rsid w:val="00E0547E"/>
    <w:rsid w:val="00E0548D"/>
    <w:rsid w:val="00E0589C"/>
    <w:rsid w:val="00E05B76"/>
    <w:rsid w:val="00E05E36"/>
    <w:rsid w:val="00E06078"/>
    <w:rsid w:val="00E06183"/>
    <w:rsid w:val="00E06199"/>
    <w:rsid w:val="00E064A1"/>
    <w:rsid w:val="00E064D5"/>
    <w:rsid w:val="00E068E7"/>
    <w:rsid w:val="00E06D23"/>
    <w:rsid w:val="00E07323"/>
    <w:rsid w:val="00E07CED"/>
    <w:rsid w:val="00E10057"/>
    <w:rsid w:val="00E1009B"/>
    <w:rsid w:val="00E10270"/>
    <w:rsid w:val="00E10421"/>
    <w:rsid w:val="00E104FF"/>
    <w:rsid w:val="00E10748"/>
    <w:rsid w:val="00E10E90"/>
    <w:rsid w:val="00E10F69"/>
    <w:rsid w:val="00E1107E"/>
    <w:rsid w:val="00E111E0"/>
    <w:rsid w:val="00E11503"/>
    <w:rsid w:val="00E1151C"/>
    <w:rsid w:val="00E11848"/>
    <w:rsid w:val="00E11B3A"/>
    <w:rsid w:val="00E11E52"/>
    <w:rsid w:val="00E11F1C"/>
    <w:rsid w:val="00E123DD"/>
    <w:rsid w:val="00E126D5"/>
    <w:rsid w:val="00E12E70"/>
    <w:rsid w:val="00E1397B"/>
    <w:rsid w:val="00E13F67"/>
    <w:rsid w:val="00E14087"/>
    <w:rsid w:val="00E140B5"/>
    <w:rsid w:val="00E1418D"/>
    <w:rsid w:val="00E1423A"/>
    <w:rsid w:val="00E14403"/>
    <w:rsid w:val="00E1461B"/>
    <w:rsid w:val="00E14BC2"/>
    <w:rsid w:val="00E14C96"/>
    <w:rsid w:val="00E1560A"/>
    <w:rsid w:val="00E1567C"/>
    <w:rsid w:val="00E15869"/>
    <w:rsid w:val="00E1609B"/>
    <w:rsid w:val="00E166C2"/>
    <w:rsid w:val="00E1675A"/>
    <w:rsid w:val="00E167F9"/>
    <w:rsid w:val="00E168A2"/>
    <w:rsid w:val="00E16ADA"/>
    <w:rsid w:val="00E16E47"/>
    <w:rsid w:val="00E2023E"/>
    <w:rsid w:val="00E20289"/>
    <w:rsid w:val="00E20441"/>
    <w:rsid w:val="00E204BF"/>
    <w:rsid w:val="00E20548"/>
    <w:rsid w:val="00E20830"/>
    <w:rsid w:val="00E20A15"/>
    <w:rsid w:val="00E20A70"/>
    <w:rsid w:val="00E20B01"/>
    <w:rsid w:val="00E20E29"/>
    <w:rsid w:val="00E212C2"/>
    <w:rsid w:val="00E21687"/>
    <w:rsid w:val="00E21A4E"/>
    <w:rsid w:val="00E21CCC"/>
    <w:rsid w:val="00E21F08"/>
    <w:rsid w:val="00E22182"/>
    <w:rsid w:val="00E221B8"/>
    <w:rsid w:val="00E227E9"/>
    <w:rsid w:val="00E2290E"/>
    <w:rsid w:val="00E22C48"/>
    <w:rsid w:val="00E22F19"/>
    <w:rsid w:val="00E23299"/>
    <w:rsid w:val="00E237B6"/>
    <w:rsid w:val="00E238DE"/>
    <w:rsid w:val="00E23CC0"/>
    <w:rsid w:val="00E24A62"/>
    <w:rsid w:val="00E24B9B"/>
    <w:rsid w:val="00E24BEA"/>
    <w:rsid w:val="00E24E54"/>
    <w:rsid w:val="00E24EDA"/>
    <w:rsid w:val="00E25072"/>
    <w:rsid w:val="00E25593"/>
    <w:rsid w:val="00E25888"/>
    <w:rsid w:val="00E25E6C"/>
    <w:rsid w:val="00E25E82"/>
    <w:rsid w:val="00E25EB6"/>
    <w:rsid w:val="00E25FFA"/>
    <w:rsid w:val="00E26226"/>
    <w:rsid w:val="00E264E6"/>
    <w:rsid w:val="00E26C3F"/>
    <w:rsid w:val="00E2702B"/>
    <w:rsid w:val="00E271D3"/>
    <w:rsid w:val="00E27479"/>
    <w:rsid w:val="00E30596"/>
    <w:rsid w:val="00E306C3"/>
    <w:rsid w:val="00E307C6"/>
    <w:rsid w:val="00E30AFB"/>
    <w:rsid w:val="00E30BAF"/>
    <w:rsid w:val="00E31856"/>
    <w:rsid w:val="00E31C9C"/>
    <w:rsid w:val="00E31F8E"/>
    <w:rsid w:val="00E3221D"/>
    <w:rsid w:val="00E326FD"/>
    <w:rsid w:val="00E32CF9"/>
    <w:rsid w:val="00E32FF4"/>
    <w:rsid w:val="00E33143"/>
    <w:rsid w:val="00E33356"/>
    <w:rsid w:val="00E3397C"/>
    <w:rsid w:val="00E33D42"/>
    <w:rsid w:val="00E343CE"/>
    <w:rsid w:val="00E344DA"/>
    <w:rsid w:val="00E3491A"/>
    <w:rsid w:val="00E349B8"/>
    <w:rsid w:val="00E34CA7"/>
    <w:rsid w:val="00E352F7"/>
    <w:rsid w:val="00E353D9"/>
    <w:rsid w:val="00E35D66"/>
    <w:rsid w:val="00E35E4B"/>
    <w:rsid w:val="00E360FF"/>
    <w:rsid w:val="00E3611C"/>
    <w:rsid w:val="00E36230"/>
    <w:rsid w:val="00E3631E"/>
    <w:rsid w:val="00E368E4"/>
    <w:rsid w:val="00E36976"/>
    <w:rsid w:val="00E36BAA"/>
    <w:rsid w:val="00E36CFB"/>
    <w:rsid w:val="00E36D5C"/>
    <w:rsid w:val="00E3715C"/>
    <w:rsid w:val="00E37189"/>
    <w:rsid w:val="00E371DE"/>
    <w:rsid w:val="00E375F3"/>
    <w:rsid w:val="00E376AB"/>
    <w:rsid w:val="00E379D1"/>
    <w:rsid w:val="00E37EC0"/>
    <w:rsid w:val="00E408A8"/>
    <w:rsid w:val="00E40E8C"/>
    <w:rsid w:val="00E41B1C"/>
    <w:rsid w:val="00E41C61"/>
    <w:rsid w:val="00E41C86"/>
    <w:rsid w:val="00E42244"/>
    <w:rsid w:val="00E4230D"/>
    <w:rsid w:val="00E42425"/>
    <w:rsid w:val="00E4251A"/>
    <w:rsid w:val="00E42B3F"/>
    <w:rsid w:val="00E42F92"/>
    <w:rsid w:val="00E4306E"/>
    <w:rsid w:val="00E43143"/>
    <w:rsid w:val="00E4319B"/>
    <w:rsid w:val="00E431C0"/>
    <w:rsid w:val="00E435DB"/>
    <w:rsid w:val="00E438F3"/>
    <w:rsid w:val="00E43E10"/>
    <w:rsid w:val="00E44403"/>
    <w:rsid w:val="00E4459E"/>
    <w:rsid w:val="00E44B2F"/>
    <w:rsid w:val="00E44BB0"/>
    <w:rsid w:val="00E44BD4"/>
    <w:rsid w:val="00E44E92"/>
    <w:rsid w:val="00E44F03"/>
    <w:rsid w:val="00E4550C"/>
    <w:rsid w:val="00E455FF"/>
    <w:rsid w:val="00E45677"/>
    <w:rsid w:val="00E4598D"/>
    <w:rsid w:val="00E45A35"/>
    <w:rsid w:val="00E45E51"/>
    <w:rsid w:val="00E46055"/>
    <w:rsid w:val="00E46079"/>
    <w:rsid w:val="00E46636"/>
    <w:rsid w:val="00E467B0"/>
    <w:rsid w:val="00E46983"/>
    <w:rsid w:val="00E47160"/>
    <w:rsid w:val="00E47596"/>
    <w:rsid w:val="00E4778B"/>
    <w:rsid w:val="00E47A0A"/>
    <w:rsid w:val="00E5045D"/>
    <w:rsid w:val="00E5056B"/>
    <w:rsid w:val="00E50844"/>
    <w:rsid w:val="00E50CB4"/>
    <w:rsid w:val="00E50F14"/>
    <w:rsid w:val="00E5122B"/>
    <w:rsid w:val="00E5129B"/>
    <w:rsid w:val="00E513EC"/>
    <w:rsid w:val="00E51579"/>
    <w:rsid w:val="00E51952"/>
    <w:rsid w:val="00E51B97"/>
    <w:rsid w:val="00E51E7C"/>
    <w:rsid w:val="00E51FD7"/>
    <w:rsid w:val="00E5213D"/>
    <w:rsid w:val="00E5219B"/>
    <w:rsid w:val="00E521BE"/>
    <w:rsid w:val="00E52552"/>
    <w:rsid w:val="00E52B77"/>
    <w:rsid w:val="00E52F14"/>
    <w:rsid w:val="00E5310C"/>
    <w:rsid w:val="00E53438"/>
    <w:rsid w:val="00E54149"/>
    <w:rsid w:val="00E546C4"/>
    <w:rsid w:val="00E548E2"/>
    <w:rsid w:val="00E54DE3"/>
    <w:rsid w:val="00E54F4D"/>
    <w:rsid w:val="00E55287"/>
    <w:rsid w:val="00E55299"/>
    <w:rsid w:val="00E55714"/>
    <w:rsid w:val="00E55985"/>
    <w:rsid w:val="00E55B0C"/>
    <w:rsid w:val="00E55F2F"/>
    <w:rsid w:val="00E560A8"/>
    <w:rsid w:val="00E56390"/>
    <w:rsid w:val="00E56D0D"/>
    <w:rsid w:val="00E572E9"/>
    <w:rsid w:val="00E574AC"/>
    <w:rsid w:val="00E57956"/>
    <w:rsid w:val="00E57C5D"/>
    <w:rsid w:val="00E6016A"/>
    <w:rsid w:val="00E605E6"/>
    <w:rsid w:val="00E60873"/>
    <w:rsid w:val="00E6090C"/>
    <w:rsid w:val="00E609AB"/>
    <w:rsid w:val="00E60BB3"/>
    <w:rsid w:val="00E6105C"/>
    <w:rsid w:val="00E61077"/>
    <w:rsid w:val="00E6123A"/>
    <w:rsid w:val="00E6126C"/>
    <w:rsid w:val="00E614BD"/>
    <w:rsid w:val="00E61CE1"/>
    <w:rsid w:val="00E61EF0"/>
    <w:rsid w:val="00E61F27"/>
    <w:rsid w:val="00E624E9"/>
    <w:rsid w:val="00E6252C"/>
    <w:rsid w:val="00E62570"/>
    <w:rsid w:val="00E629E2"/>
    <w:rsid w:val="00E63481"/>
    <w:rsid w:val="00E63590"/>
    <w:rsid w:val="00E63907"/>
    <w:rsid w:val="00E63A14"/>
    <w:rsid w:val="00E63A34"/>
    <w:rsid w:val="00E63B2E"/>
    <w:rsid w:val="00E646AD"/>
    <w:rsid w:val="00E6471A"/>
    <w:rsid w:val="00E64A13"/>
    <w:rsid w:val="00E64A84"/>
    <w:rsid w:val="00E64B4F"/>
    <w:rsid w:val="00E64D9B"/>
    <w:rsid w:val="00E64F93"/>
    <w:rsid w:val="00E651D6"/>
    <w:rsid w:val="00E65328"/>
    <w:rsid w:val="00E654FC"/>
    <w:rsid w:val="00E65612"/>
    <w:rsid w:val="00E65743"/>
    <w:rsid w:val="00E6581C"/>
    <w:rsid w:val="00E65BBB"/>
    <w:rsid w:val="00E65C3D"/>
    <w:rsid w:val="00E6616C"/>
    <w:rsid w:val="00E6643A"/>
    <w:rsid w:val="00E66695"/>
    <w:rsid w:val="00E66A8E"/>
    <w:rsid w:val="00E66B7D"/>
    <w:rsid w:val="00E66D4C"/>
    <w:rsid w:val="00E66D4D"/>
    <w:rsid w:val="00E66E8A"/>
    <w:rsid w:val="00E6750E"/>
    <w:rsid w:val="00E6759D"/>
    <w:rsid w:val="00E6772B"/>
    <w:rsid w:val="00E678F9"/>
    <w:rsid w:val="00E67B4B"/>
    <w:rsid w:val="00E7000C"/>
    <w:rsid w:val="00E706FA"/>
    <w:rsid w:val="00E707F8"/>
    <w:rsid w:val="00E713E0"/>
    <w:rsid w:val="00E7152F"/>
    <w:rsid w:val="00E71D13"/>
    <w:rsid w:val="00E71EA7"/>
    <w:rsid w:val="00E7208C"/>
    <w:rsid w:val="00E721CE"/>
    <w:rsid w:val="00E7293A"/>
    <w:rsid w:val="00E72DDA"/>
    <w:rsid w:val="00E72F61"/>
    <w:rsid w:val="00E73885"/>
    <w:rsid w:val="00E73CA7"/>
    <w:rsid w:val="00E742D9"/>
    <w:rsid w:val="00E74854"/>
    <w:rsid w:val="00E748FD"/>
    <w:rsid w:val="00E74DF5"/>
    <w:rsid w:val="00E74ECB"/>
    <w:rsid w:val="00E75347"/>
    <w:rsid w:val="00E75766"/>
    <w:rsid w:val="00E75AF9"/>
    <w:rsid w:val="00E75B4C"/>
    <w:rsid w:val="00E75BC5"/>
    <w:rsid w:val="00E75C95"/>
    <w:rsid w:val="00E76086"/>
    <w:rsid w:val="00E763C9"/>
    <w:rsid w:val="00E76AB5"/>
    <w:rsid w:val="00E76BB2"/>
    <w:rsid w:val="00E76E06"/>
    <w:rsid w:val="00E775A5"/>
    <w:rsid w:val="00E77BBA"/>
    <w:rsid w:val="00E77D22"/>
    <w:rsid w:val="00E77F4D"/>
    <w:rsid w:val="00E8009A"/>
    <w:rsid w:val="00E8096C"/>
    <w:rsid w:val="00E814AB"/>
    <w:rsid w:val="00E81E23"/>
    <w:rsid w:val="00E81EE8"/>
    <w:rsid w:val="00E821AE"/>
    <w:rsid w:val="00E82D72"/>
    <w:rsid w:val="00E832EF"/>
    <w:rsid w:val="00E8379A"/>
    <w:rsid w:val="00E83D45"/>
    <w:rsid w:val="00E842A7"/>
    <w:rsid w:val="00E84ACA"/>
    <w:rsid w:val="00E84CA0"/>
    <w:rsid w:val="00E84CA5"/>
    <w:rsid w:val="00E851D6"/>
    <w:rsid w:val="00E85474"/>
    <w:rsid w:val="00E857D7"/>
    <w:rsid w:val="00E85B41"/>
    <w:rsid w:val="00E85F55"/>
    <w:rsid w:val="00E85FC7"/>
    <w:rsid w:val="00E86086"/>
    <w:rsid w:val="00E86E29"/>
    <w:rsid w:val="00E8751B"/>
    <w:rsid w:val="00E87611"/>
    <w:rsid w:val="00E87F79"/>
    <w:rsid w:val="00E904CE"/>
    <w:rsid w:val="00E90538"/>
    <w:rsid w:val="00E90753"/>
    <w:rsid w:val="00E91093"/>
    <w:rsid w:val="00E910EC"/>
    <w:rsid w:val="00E91341"/>
    <w:rsid w:val="00E91899"/>
    <w:rsid w:val="00E9205E"/>
    <w:rsid w:val="00E921A2"/>
    <w:rsid w:val="00E924FF"/>
    <w:rsid w:val="00E932F1"/>
    <w:rsid w:val="00E939CA"/>
    <w:rsid w:val="00E93C91"/>
    <w:rsid w:val="00E93F4B"/>
    <w:rsid w:val="00E941EC"/>
    <w:rsid w:val="00E94910"/>
    <w:rsid w:val="00E94B53"/>
    <w:rsid w:val="00E94DCE"/>
    <w:rsid w:val="00E94DFA"/>
    <w:rsid w:val="00E94E86"/>
    <w:rsid w:val="00E9518C"/>
    <w:rsid w:val="00E951C0"/>
    <w:rsid w:val="00E952A0"/>
    <w:rsid w:val="00E95571"/>
    <w:rsid w:val="00E955EA"/>
    <w:rsid w:val="00E960BD"/>
    <w:rsid w:val="00E964D1"/>
    <w:rsid w:val="00E96552"/>
    <w:rsid w:val="00E96B7A"/>
    <w:rsid w:val="00E96F4E"/>
    <w:rsid w:val="00E97B42"/>
    <w:rsid w:val="00E97EB7"/>
    <w:rsid w:val="00EA008A"/>
    <w:rsid w:val="00EA0622"/>
    <w:rsid w:val="00EA0A20"/>
    <w:rsid w:val="00EA0A62"/>
    <w:rsid w:val="00EA0A7C"/>
    <w:rsid w:val="00EA0C0E"/>
    <w:rsid w:val="00EA0FB2"/>
    <w:rsid w:val="00EA11C8"/>
    <w:rsid w:val="00EA1508"/>
    <w:rsid w:val="00EA16F8"/>
    <w:rsid w:val="00EA1920"/>
    <w:rsid w:val="00EA1B80"/>
    <w:rsid w:val="00EA1CCE"/>
    <w:rsid w:val="00EA1D6D"/>
    <w:rsid w:val="00EA1DB9"/>
    <w:rsid w:val="00EA2EED"/>
    <w:rsid w:val="00EA3084"/>
    <w:rsid w:val="00EA3C9C"/>
    <w:rsid w:val="00EA3EAD"/>
    <w:rsid w:val="00EA3ECD"/>
    <w:rsid w:val="00EA46CB"/>
    <w:rsid w:val="00EA4758"/>
    <w:rsid w:val="00EA47F2"/>
    <w:rsid w:val="00EA4A67"/>
    <w:rsid w:val="00EA4BEA"/>
    <w:rsid w:val="00EA4D1B"/>
    <w:rsid w:val="00EA4F72"/>
    <w:rsid w:val="00EA53C1"/>
    <w:rsid w:val="00EA57CD"/>
    <w:rsid w:val="00EA5AB4"/>
    <w:rsid w:val="00EA5B0F"/>
    <w:rsid w:val="00EA6801"/>
    <w:rsid w:val="00EA682A"/>
    <w:rsid w:val="00EA72CD"/>
    <w:rsid w:val="00EA740E"/>
    <w:rsid w:val="00EA7C1D"/>
    <w:rsid w:val="00EA7E2B"/>
    <w:rsid w:val="00EB0220"/>
    <w:rsid w:val="00EB03FF"/>
    <w:rsid w:val="00EB048D"/>
    <w:rsid w:val="00EB051C"/>
    <w:rsid w:val="00EB13F2"/>
    <w:rsid w:val="00EB1444"/>
    <w:rsid w:val="00EB1A6B"/>
    <w:rsid w:val="00EB2F23"/>
    <w:rsid w:val="00EB3208"/>
    <w:rsid w:val="00EB3D15"/>
    <w:rsid w:val="00EB3D97"/>
    <w:rsid w:val="00EB42BA"/>
    <w:rsid w:val="00EB434F"/>
    <w:rsid w:val="00EB43DE"/>
    <w:rsid w:val="00EB46C9"/>
    <w:rsid w:val="00EB55FB"/>
    <w:rsid w:val="00EB5B27"/>
    <w:rsid w:val="00EB5CD1"/>
    <w:rsid w:val="00EB5EE6"/>
    <w:rsid w:val="00EB6FD3"/>
    <w:rsid w:val="00EB7AC5"/>
    <w:rsid w:val="00EC03A0"/>
    <w:rsid w:val="00EC042C"/>
    <w:rsid w:val="00EC05FB"/>
    <w:rsid w:val="00EC09D2"/>
    <w:rsid w:val="00EC0BB0"/>
    <w:rsid w:val="00EC0D7E"/>
    <w:rsid w:val="00EC0F4A"/>
    <w:rsid w:val="00EC166D"/>
    <w:rsid w:val="00EC1C8B"/>
    <w:rsid w:val="00EC2080"/>
    <w:rsid w:val="00EC209C"/>
    <w:rsid w:val="00EC20D6"/>
    <w:rsid w:val="00EC226E"/>
    <w:rsid w:val="00EC2273"/>
    <w:rsid w:val="00EC24D4"/>
    <w:rsid w:val="00EC254D"/>
    <w:rsid w:val="00EC25D1"/>
    <w:rsid w:val="00EC26F3"/>
    <w:rsid w:val="00EC28C1"/>
    <w:rsid w:val="00EC2B08"/>
    <w:rsid w:val="00EC2B9B"/>
    <w:rsid w:val="00EC2D59"/>
    <w:rsid w:val="00EC2FC8"/>
    <w:rsid w:val="00EC2FF7"/>
    <w:rsid w:val="00EC35E1"/>
    <w:rsid w:val="00EC3CA8"/>
    <w:rsid w:val="00EC3CC4"/>
    <w:rsid w:val="00EC3EC4"/>
    <w:rsid w:val="00EC41DD"/>
    <w:rsid w:val="00EC4332"/>
    <w:rsid w:val="00EC43A5"/>
    <w:rsid w:val="00EC43C6"/>
    <w:rsid w:val="00EC453F"/>
    <w:rsid w:val="00EC4945"/>
    <w:rsid w:val="00EC4BB0"/>
    <w:rsid w:val="00EC4C52"/>
    <w:rsid w:val="00EC4D27"/>
    <w:rsid w:val="00EC4F43"/>
    <w:rsid w:val="00EC5044"/>
    <w:rsid w:val="00EC5293"/>
    <w:rsid w:val="00EC52D4"/>
    <w:rsid w:val="00EC53D6"/>
    <w:rsid w:val="00EC5570"/>
    <w:rsid w:val="00EC5578"/>
    <w:rsid w:val="00EC56B2"/>
    <w:rsid w:val="00EC61BB"/>
    <w:rsid w:val="00EC63AA"/>
    <w:rsid w:val="00EC6858"/>
    <w:rsid w:val="00EC7E56"/>
    <w:rsid w:val="00ED047E"/>
    <w:rsid w:val="00ED0561"/>
    <w:rsid w:val="00ED0BA1"/>
    <w:rsid w:val="00ED0BD8"/>
    <w:rsid w:val="00ED1468"/>
    <w:rsid w:val="00ED166F"/>
    <w:rsid w:val="00ED17B3"/>
    <w:rsid w:val="00ED1C2A"/>
    <w:rsid w:val="00ED21DA"/>
    <w:rsid w:val="00ED2269"/>
    <w:rsid w:val="00ED2590"/>
    <w:rsid w:val="00ED2734"/>
    <w:rsid w:val="00ED2921"/>
    <w:rsid w:val="00ED3167"/>
    <w:rsid w:val="00ED35D4"/>
    <w:rsid w:val="00ED3625"/>
    <w:rsid w:val="00ED3641"/>
    <w:rsid w:val="00ED3669"/>
    <w:rsid w:val="00ED3815"/>
    <w:rsid w:val="00ED3855"/>
    <w:rsid w:val="00ED3DD5"/>
    <w:rsid w:val="00ED4170"/>
    <w:rsid w:val="00ED4A85"/>
    <w:rsid w:val="00ED4C0F"/>
    <w:rsid w:val="00ED4DF4"/>
    <w:rsid w:val="00ED51D0"/>
    <w:rsid w:val="00ED52CD"/>
    <w:rsid w:val="00ED6325"/>
    <w:rsid w:val="00ED6DD9"/>
    <w:rsid w:val="00ED6DFA"/>
    <w:rsid w:val="00ED7202"/>
    <w:rsid w:val="00ED7278"/>
    <w:rsid w:val="00ED77C7"/>
    <w:rsid w:val="00ED77F4"/>
    <w:rsid w:val="00ED79A5"/>
    <w:rsid w:val="00ED79B9"/>
    <w:rsid w:val="00ED7CE8"/>
    <w:rsid w:val="00EE0012"/>
    <w:rsid w:val="00EE0289"/>
    <w:rsid w:val="00EE0771"/>
    <w:rsid w:val="00EE0B99"/>
    <w:rsid w:val="00EE1305"/>
    <w:rsid w:val="00EE1534"/>
    <w:rsid w:val="00EE170F"/>
    <w:rsid w:val="00EE22B5"/>
    <w:rsid w:val="00EE2F95"/>
    <w:rsid w:val="00EE42B5"/>
    <w:rsid w:val="00EE4B84"/>
    <w:rsid w:val="00EE5377"/>
    <w:rsid w:val="00EE54C8"/>
    <w:rsid w:val="00EE560E"/>
    <w:rsid w:val="00EE57F7"/>
    <w:rsid w:val="00EE5ADB"/>
    <w:rsid w:val="00EE5B70"/>
    <w:rsid w:val="00EE5CA9"/>
    <w:rsid w:val="00EE5D08"/>
    <w:rsid w:val="00EE5E7A"/>
    <w:rsid w:val="00EE6247"/>
    <w:rsid w:val="00EE66E8"/>
    <w:rsid w:val="00EE6794"/>
    <w:rsid w:val="00EE6F09"/>
    <w:rsid w:val="00EE703F"/>
    <w:rsid w:val="00EE769A"/>
    <w:rsid w:val="00EE7A07"/>
    <w:rsid w:val="00EE7A8A"/>
    <w:rsid w:val="00EE7B58"/>
    <w:rsid w:val="00EE7C58"/>
    <w:rsid w:val="00EE7D33"/>
    <w:rsid w:val="00EF009B"/>
    <w:rsid w:val="00EF05CB"/>
    <w:rsid w:val="00EF0A27"/>
    <w:rsid w:val="00EF0C5F"/>
    <w:rsid w:val="00EF12B0"/>
    <w:rsid w:val="00EF1519"/>
    <w:rsid w:val="00EF1B12"/>
    <w:rsid w:val="00EF22E0"/>
    <w:rsid w:val="00EF2300"/>
    <w:rsid w:val="00EF234D"/>
    <w:rsid w:val="00EF2557"/>
    <w:rsid w:val="00EF2C3F"/>
    <w:rsid w:val="00EF30CB"/>
    <w:rsid w:val="00EF3151"/>
    <w:rsid w:val="00EF3173"/>
    <w:rsid w:val="00EF331D"/>
    <w:rsid w:val="00EF3355"/>
    <w:rsid w:val="00EF3521"/>
    <w:rsid w:val="00EF3AD9"/>
    <w:rsid w:val="00EF3CC0"/>
    <w:rsid w:val="00EF3D69"/>
    <w:rsid w:val="00EF3E7F"/>
    <w:rsid w:val="00EF3EE3"/>
    <w:rsid w:val="00EF40AE"/>
    <w:rsid w:val="00EF4228"/>
    <w:rsid w:val="00EF4415"/>
    <w:rsid w:val="00EF4AD3"/>
    <w:rsid w:val="00EF4C3A"/>
    <w:rsid w:val="00EF5180"/>
    <w:rsid w:val="00EF5299"/>
    <w:rsid w:val="00EF541D"/>
    <w:rsid w:val="00EF5422"/>
    <w:rsid w:val="00EF55FC"/>
    <w:rsid w:val="00EF5804"/>
    <w:rsid w:val="00EF59F0"/>
    <w:rsid w:val="00EF5ECB"/>
    <w:rsid w:val="00EF60E3"/>
    <w:rsid w:val="00EF65E7"/>
    <w:rsid w:val="00EF673E"/>
    <w:rsid w:val="00EF678C"/>
    <w:rsid w:val="00EF6B9A"/>
    <w:rsid w:val="00EF70AF"/>
    <w:rsid w:val="00EF7734"/>
    <w:rsid w:val="00EF7A85"/>
    <w:rsid w:val="00EF7DA7"/>
    <w:rsid w:val="00EF7F6D"/>
    <w:rsid w:val="00F0035F"/>
    <w:rsid w:val="00F004A9"/>
    <w:rsid w:val="00F0088E"/>
    <w:rsid w:val="00F00996"/>
    <w:rsid w:val="00F00F21"/>
    <w:rsid w:val="00F0144B"/>
    <w:rsid w:val="00F01C83"/>
    <w:rsid w:val="00F01DFC"/>
    <w:rsid w:val="00F01FD5"/>
    <w:rsid w:val="00F02358"/>
    <w:rsid w:val="00F02432"/>
    <w:rsid w:val="00F02483"/>
    <w:rsid w:val="00F025F2"/>
    <w:rsid w:val="00F026D8"/>
    <w:rsid w:val="00F02774"/>
    <w:rsid w:val="00F027A9"/>
    <w:rsid w:val="00F0286E"/>
    <w:rsid w:val="00F02B1B"/>
    <w:rsid w:val="00F02DD4"/>
    <w:rsid w:val="00F02DEE"/>
    <w:rsid w:val="00F0359C"/>
    <w:rsid w:val="00F03916"/>
    <w:rsid w:val="00F03B59"/>
    <w:rsid w:val="00F045D3"/>
    <w:rsid w:val="00F049A0"/>
    <w:rsid w:val="00F04A75"/>
    <w:rsid w:val="00F04BDD"/>
    <w:rsid w:val="00F04E08"/>
    <w:rsid w:val="00F054BD"/>
    <w:rsid w:val="00F057FE"/>
    <w:rsid w:val="00F05D3A"/>
    <w:rsid w:val="00F05E2B"/>
    <w:rsid w:val="00F06E64"/>
    <w:rsid w:val="00F0727B"/>
    <w:rsid w:val="00F074A9"/>
    <w:rsid w:val="00F0755B"/>
    <w:rsid w:val="00F07834"/>
    <w:rsid w:val="00F07C3E"/>
    <w:rsid w:val="00F07F57"/>
    <w:rsid w:val="00F10726"/>
    <w:rsid w:val="00F109A9"/>
    <w:rsid w:val="00F11004"/>
    <w:rsid w:val="00F1123F"/>
    <w:rsid w:val="00F11260"/>
    <w:rsid w:val="00F1126B"/>
    <w:rsid w:val="00F11280"/>
    <w:rsid w:val="00F11782"/>
    <w:rsid w:val="00F11AA8"/>
    <w:rsid w:val="00F11F8D"/>
    <w:rsid w:val="00F12000"/>
    <w:rsid w:val="00F1226F"/>
    <w:rsid w:val="00F1245B"/>
    <w:rsid w:val="00F12540"/>
    <w:rsid w:val="00F1290E"/>
    <w:rsid w:val="00F12BF6"/>
    <w:rsid w:val="00F12F98"/>
    <w:rsid w:val="00F13075"/>
    <w:rsid w:val="00F132A2"/>
    <w:rsid w:val="00F134AF"/>
    <w:rsid w:val="00F13608"/>
    <w:rsid w:val="00F13713"/>
    <w:rsid w:val="00F13AB4"/>
    <w:rsid w:val="00F13C47"/>
    <w:rsid w:val="00F13DB9"/>
    <w:rsid w:val="00F1491B"/>
    <w:rsid w:val="00F14BE6"/>
    <w:rsid w:val="00F153D9"/>
    <w:rsid w:val="00F1544B"/>
    <w:rsid w:val="00F15C05"/>
    <w:rsid w:val="00F15C95"/>
    <w:rsid w:val="00F15D94"/>
    <w:rsid w:val="00F162B0"/>
    <w:rsid w:val="00F16509"/>
    <w:rsid w:val="00F165E8"/>
    <w:rsid w:val="00F16982"/>
    <w:rsid w:val="00F16BBE"/>
    <w:rsid w:val="00F16BE5"/>
    <w:rsid w:val="00F16E3B"/>
    <w:rsid w:val="00F16EBC"/>
    <w:rsid w:val="00F171E9"/>
    <w:rsid w:val="00F17511"/>
    <w:rsid w:val="00F17CED"/>
    <w:rsid w:val="00F20399"/>
    <w:rsid w:val="00F20586"/>
    <w:rsid w:val="00F2069C"/>
    <w:rsid w:val="00F20991"/>
    <w:rsid w:val="00F209DC"/>
    <w:rsid w:val="00F20B5D"/>
    <w:rsid w:val="00F2119F"/>
    <w:rsid w:val="00F214C8"/>
    <w:rsid w:val="00F217BB"/>
    <w:rsid w:val="00F21BB3"/>
    <w:rsid w:val="00F220BD"/>
    <w:rsid w:val="00F22245"/>
    <w:rsid w:val="00F22432"/>
    <w:rsid w:val="00F22D42"/>
    <w:rsid w:val="00F22D63"/>
    <w:rsid w:val="00F23926"/>
    <w:rsid w:val="00F23988"/>
    <w:rsid w:val="00F239DB"/>
    <w:rsid w:val="00F248B6"/>
    <w:rsid w:val="00F25BA1"/>
    <w:rsid w:val="00F25F4F"/>
    <w:rsid w:val="00F25F66"/>
    <w:rsid w:val="00F26186"/>
    <w:rsid w:val="00F26946"/>
    <w:rsid w:val="00F2697D"/>
    <w:rsid w:val="00F26E0B"/>
    <w:rsid w:val="00F26FC9"/>
    <w:rsid w:val="00F270EB"/>
    <w:rsid w:val="00F276A7"/>
    <w:rsid w:val="00F27FFC"/>
    <w:rsid w:val="00F306BB"/>
    <w:rsid w:val="00F30864"/>
    <w:rsid w:val="00F30DB2"/>
    <w:rsid w:val="00F30E0A"/>
    <w:rsid w:val="00F30E1F"/>
    <w:rsid w:val="00F30E53"/>
    <w:rsid w:val="00F30ECA"/>
    <w:rsid w:val="00F30F2F"/>
    <w:rsid w:val="00F3114F"/>
    <w:rsid w:val="00F31374"/>
    <w:rsid w:val="00F31531"/>
    <w:rsid w:val="00F315FD"/>
    <w:rsid w:val="00F32CC9"/>
    <w:rsid w:val="00F32D06"/>
    <w:rsid w:val="00F32F61"/>
    <w:rsid w:val="00F3306C"/>
    <w:rsid w:val="00F330A7"/>
    <w:rsid w:val="00F332C8"/>
    <w:rsid w:val="00F334E2"/>
    <w:rsid w:val="00F33D91"/>
    <w:rsid w:val="00F3452C"/>
    <w:rsid w:val="00F34EFB"/>
    <w:rsid w:val="00F34F7B"/>
    <w:rsid w:val="00F3510B"/>
    <w:rsid w:val="00F35798"/>
    <w:rsid w:val="00F36084"/>
    <w:rsid w:val="00F36644"/>
    <w:rsid w:val="00F3720A"/>
    <w:rsid w:val="00F3737B"/>
    <w:rsid w:val="00F3746E"/>
    <w:rsid w:val="00F378D0"/>
    <w:rsid w:val="00F4014F"/>
    <w:rsid w:val="00F40169"/>
    <w:rsid w:val="00F40E08"/>
    <w:rsid w:val="00F40E6C"/>
    <w:rsid w:val="00F41130"/>
    <w:rsid w:val="00F41547"/>
    <w:rsid w:val="00F41755"/>
    <w:rsid w:val="00F41C49"/>
    <w:rsid w:val="00F42189"/>
    <w:rsid w:val="00F4257D"/>
    <w:rsid w:val="00F425C6"/>
    <w:rsid w:val="00F42938"/>
    <w:rsid w:val="00F429A0"/>
    <w:rsid w:val="00F42A33"/>
    <w:rsid w:val="00F42D66"/>
    <w:rsid w:val="00F4309F"/>
    <w:rsid w:val="00F43281"/>
    <w:rsid w:val="00F4349A"/>
    <w:rsid w:val="00F435B7"/>
    <w:rsid w:val="00F43749"/>
    <w:rsid w:val="00F43B29"/>
    <w:rsid w:val="00F44116"/>
    <w:rsid w:val="00F4420F"/>
    <w:rsid w:val="00F44464"/>
    <w:rsid w:val="00F45A2D"/>
    <w:rsid w:val="00F45B5C"/>
    <w:rsid w:val="00F45E2F"/>
    <w:rsid w:val="00F4666B"/>
    <w:rsid w:val="00F468B3"/>
    <w:rsid w:val="00F46947"/>
    <w:rsid w:val="00F46BBC"/>
    <w:rsid w:val="00F47164"/>
    <w:rsid w:val="00F47605"/>
    <w:rsid w:val="00F4791C"/>
    <w:rsid w:val="00F50B49"/>
    <w:rsid w:val="00F50BFE"/>
    <w:rsid w:val="00F50CB7"/>
    <w:rsid w:val="00F50D52"/>
    <w:rsid w:val="00F50E3D"/>
    <w:rsid w:val="00F510DF"/>
    <w:rsid w:val="00F5130C"/>
    <w:rsid w:val="00F515BE"/>
    <w:rsid w:val="00F51774"/>
    <w:rsid w:val="00F51AE6"/>
    <w:rsid w:val="00F51CB1"/>
    <w:rsid w:val="00F51E79"/>
    <w:rsid w:val="00F51FFA"/>
    <w:rsid w:val="00F52361"/>
    <w:rsid w:val="00F524A7"/>
    <w:rsid w:val="00F533D1"/>
    <w:rsid w:val="00F534D4"/>
    <w:rsid w:val="00F53523"/>
    <w:rsid w:val="00F535F4"/>
    <w:rsid w:val="00F53D3A"/>
    <w:rsid w:val="00F53DD9"/>
    <w:rsid w:val="00F54446"/>
    <w:rsid w:val="00F5463A"/>
    <w:rsid w:val="00F549C9"/>
    <w:rsid w:val="00F54D7E"/>
    <w:rsid w:val="00F54EF2"/>
    <w:rsid w:val="00F553A0"/>
    <w:rsid w:val="00F553F3"/>
    <w:rsid w:val="00F55717"/>
    <w:rsid w:val="00F557A0"/>
    <w:rsid w:val="00F55827"/>
    <w:rsid w:val="00F559F1"/>
    <w:rsid w:val="00F55C4B"/>
    <w:rsid w:val="00F56030"/>
    <w:rsid w:val="00F56198"/>
    <w:rsid w:val="00F56346"/>
    <w:rsid w:val="00F56A8D"/>
    <w:rsid w:val="00F56D1D"/>
    <w:rsid w:val="00F56D8D"/>
    <w:rsid w:val="00F56F57"/>
    <w:rsid w:val="00F57A19"/>
    <w:rsid w:val="00F57AD3"/>
    <w:rsid w:val="00F57DBF"/>
    <w:rsid w:val="00F60254"/>
    <w:rsid w:val="00F60780"/>
    <w:rsid w:val="00F610E2"/>
    <w:rsid w:val="00F611C7"/>
    <w:rsid w:val="00F61226"/>
    <w:rsid w:val="00F614D7"/>
    <w:rsid w:val="00F61649"/>
    <w:rsid w:val="00F6170F"/>
    <w:rsid w:val="00F61B5A"/>
    <w:rsid w:val="00F61EF1"/>
    <w:rsid w:val="00F6263C"/>
    <w:rsid w:val="00F62D8E"/>
    <w:rsid w:val="00F6324B"/>
    <w:rsid w:val="00F632CF"/>
    <w:rsid w:val="00F633DF"/>
    <w:rsid w:val="00F635EB"/>
    <w:rsid w:val="00F636D8"/>
    <w:rsid w:val="00F63B09"/>
    <w:rsid w:val="00F63CD5"/>
    <w:rsid w:val="00F63D5A"/>
    <w:rsid w:val="00F63D6F"/>
    <w:rsid w:val="00F63EE9"/>
    <w:rsid w:val="00F64154"/>
    <w:rsid w:val="00F64265"/>
    <w:rsid w:val="00F64337"/>
    <w:rsid w:val="00F64483"/>
    <w:rsid w:val="00F6553F"/>
    <w:rsid w:val="00F6560A"/>
    <w:rsid w:val="00F65768"/>
    <w:rsid w:val="00F65908"/>
    <w:rsid w:val="00F65A7E"/>
    <w:rsid w:val="00F66318"/>
    <w:rsid w:val="00F66610"/>
    <w:rsid w:val="00F66707"/>
    <w:rsid w:val="00F66708"/>
    <w:rsid w:val="00F66F00"/>
    <w:rsid w:val="00F66FAB"/>
    <w:rsid w:val="00F67415"/>
    <w:rsid w:val="00F6753F"/>
    <w:rsid w:val="00F67AC2"/>
    <w:rsid w:val="00F67CB4"/>
    <w:rsid w:val="00F67CEB"/>
    <w:rsid w:val="00F67D22"/>
    <w:rsid w:val="00F67FFB"/>
    <w:rsid w:val="00F70430"/>
    <w:rsid w:val="00F706B8"/>
    <w:rsid w:val="00F7081B"/>
    <w:rsid w:val="00F70F04"/>
    <w:rsid w:val="00F710CE"/>
    <w:rsid w:val="00F71249"/>
    <w:rsid w:val="00F715F9"/>
    <w:rsid w:val="00F71C31"/>
    <w:rsid w:val="00F71D0F"/>
    <w:rsid w:val="00F7207F"/>
    <w:rsid w:val="00F72142"/>
    <w:rsid w:val="00F72156"/>
    <w:rsid w:val="00F72FB8"/>
    <w:rsid w:val="00F73302"/>
    <w:rsid w:val="00F7366E"/>
    <w:rsid w:val="00F738C0"/>
    <w:rsid w:val="00F74BDB"/>
    <w:rsid w:val="00F74DA1"/>
    <w:rsid w:val="00F74FBC"/>
    <w:rsid w:val="00F75343"/>
    <w:rsid w:val="00F75733"/>
    <w:rsid w:val="00F75746"/>
    <w:rsid w:val="00F75983"/>
    <w:rsid w:val="00F75995"/>
    <w:rsid w:val="00F75B2C"/>
    <w:rsid w:val="00F75E73"/>
    <w:rsid w:val="00F75F1C"/>
    <w:rsid w:val="00F76507"/>
    <w:rsid w:val="00F76DE0"/>
    <w:rsid w:val="00F772CB"/>
    <w:rsid w:val="00F77526"/>
    <w:rsid w:val="00F77867"/>
    <w:rsid w:val="00F77A01"/>
    <w:rsid w:val="00F77D4D"/>
    <w:rsid w:val="00F80059"/>
    <w:rsid w:val="00F800B6"/>
    <w:rsid w:val="00F8013D"/>
    <w:rsid w:val="00F8064C"/>
    <w:rsid w:val="00F8097E"/>
    <w:rsid w:val="00F80FD7"/>
    <w:rsid w:val="00F815EB"/>
    <w:rsid w:val="00F81FFE"/>
    <w:rsid w:val="00F8227B"/>
    <w:rsid w:val="00F82E2E"/>
    <w:rsid w:val="00F830B3"/>
    <w:rsid w:val="00F831CE"/>
    <w:rsid w:val="00F83617"/>
    <w:rsid w:val="00F83C98"/>
    <w:rsid w:val="00F84063"/>
    <w:rsid w:val="00F84147"/>
    <w:rsid w:val="00F843A5"/>
    <w:rsid w:val="00F84777"/>
    <w:rsid w:val="00F84B77"/>
    <w:rsid w:val="00F8559F"/>
    <w:rsid w:val="00F85738"/>
    <w:rsid w:val="00F859C5"/>
    <w:rsid w:val="00F85D84"/>
    <w:rsid w:val="00F85E7A"/>
    <w:rsid w:val="00F8609A"/>
    <w:rsid w:val="00F86338"/>
    <w:rsid w:val="00F8693C"/>
    <w:rsid w:val="00F86FFC"/>
    <w:rsid w:val="00F871F6"/>
    <w:rsid w:val="00F87838"/>
    <w:rsid w:val="00F87867"/>
    <w:rsid w:val="00F8786C"/>
    <w:rsid w:val="00F900C4"/>
    <w:rsid w:val="00F90109"/>
    <w:rsid w:val="00F90192"/>
    <w:rsid w:val="00F90A4C"/>
    <w:rsid w:val="00F90A62"/>
    <w:rsid w:val="00F90DE3"/>
    <w:rsid w:val="00F91036"/>
    <w:rsid w:val="00F915B0"/>
    <w:rsid w:val="00F91F1B"/>
    <w:rsid w:val="00F92253"/>
    <w:rsid w:val="00F92447"/>
    <w:rsid w:val="00F92CC4"/>
    <w:rsid w:val="00F92DAA"/>
    <w:rsid w:val="00F92EE6"/>
    <w:rsid w:val="00F92FDD"/>
    <w:rsid w:val="00F930C4"/>
    <w:rsid w:val="00F932FB"/>
    <w:rsid w:val="00F934B8"/>
    <w:rsid w:val="00F9371D"/>
    <w:rsid w:val="00F938A4"/>
    <w:rsid w:val="00F93A2B"/>
    <w:rsid w:val="00F93A8D"/>
    <w:rsid w:val="00F93B83"/>
    <w:rsid w:val="00F93D94"/>
    <w:rsid w:val="00F93E13"/>
    <w:rsid w:val="00F94910"/>
    <w:rsid w:val="00F94927"/>
    <w:rsid w:val="00F94B0C"/>
    <w:rsid w:val="00F94C0B"/>
    <w:rsid w:val="00F95AEB"/>
    <w:rsid w:val="00F95EAF"/>
    <w:rsid w:val="00F95EE3"/>
    <w:rsid w:val="00F96327"/>
    <w:rsid w:val="00F96387"/>
    <w:rsid w:val="00F96ABC"/>
    <w:rsid w:val="00F96C7A"/>
    <w:rsid w:val="00F97541"/>
    <w:rsid w:val="00F9773A"/>
    <w:rsid w:val="00F97F36"/>
    <w:rsid w:val="00FA00A0"/>
    <w:rsid w:val="00FA01C0"/>
    <w:rsid w:val="00FA033C"/>
    <w:rsid w:val="00FA04BE"/>
    <w:rsid w:val="00FA05F4"/>
    <w:rsid w:val="00FA0C1B"/>
    <w:rsid w:val="00FA1B8C"/>
    <w:rsid w:val="00FA1BC3"/>
    <w:rsid w:val="00FA1DB3"/>
    <w:rsid w:val="00FA1DE7"/>
    <w:rsid w:val="00FA2244"/>
    <w:rsid w:val="00FA2540"/>
    <w:rsid w:val="00FA26BE"/>
    <w:rsid w:val="00FA2818"/>
    <w:rsid w:val="00FA2A08"/>
    <w:rsid w:val="00FA2A8E"/>
    <w:rsid w:val="00FA30F6"/>
    <w:rsid w:val="00FA32BD"/>
    <w:rsid w:val="00FA34AC"/>
    <w:rsid w:val="00FA3BCD"/>
    <w:rsid w:val="00FA3F2B"/>
    <w:rsid w:val="00FA41C1"/>
    <w:rsid w:val="00FA4765"/>
    <w:rsid w:val="00FA49C8"/>
    <w:rsid w:val="00FA4FBA"/>
    <w:rsid w:val="00FA504F"/>
    <w:rsid w:val="00FA5CE8"/>
    <w:rsid w:val="00FA60DF"/>
    <w:rsid w:val="00FA67C6"/>
    <w:rsid w:val="00FA6C93"/>
    <w:rsid w:val="00FA764F"/>
    <w:rsid w:val="00FA7B49"/>
    <w:rsid w:val="00FA7FD0"/>
    <w:rsid w:val="00FB00AE"/>
    <w:rsid w:val="00FB045A"/>
    <w:rsid w:val="00FB05A8"/>
    <w:rsid w:val="00FB06EE"/>
    <w:rsid w:val="00FB0D00"/>
    <w:rsid w:val="00FB0F95"/>
    <w:rsid w:val="00FB12DD"/>
    <w:rsid w:val="00FB1C96"/>
    <w:rsid w:val="00FB2222"/>
    <w:rsid w:val="00FB230F"/>
    <w:rsid w:val="00FB26CE"/>
    <w:rsid w:val="00FB2C27"/>
    <w:rsid w:val="00FB3464"/>
    <w:rsid w:val="00FB36A0"/>
    <w:rsid w:val="00FB378F"/>
    <w:rsid w:val="00FB3CA8"/>
    <w:rsid w:val="00FB3D65"/>
    <w:rsid w:val="00FB4896"/>
    <w:rsid w:val="00FB49C9"/>
    <w:rsid w:val="00FB5479"/>
    <w:rsid w:val="00FB5BE0"/>
    <w:rsid w:val="00FB66DF"/>
    <w:rsid w:val="00FB67FB"/>
    <w:rsid w:val="00FB68B4"/>
    <w:rsid w:val="00FB6D37"/>
    <w:rsid w:val="00FB6FE3"/>
    <w:rsid w:val="00FB7158"/>
    <w:rsid w:val="00FB726C"/>
    <w:rsid w:val="00FB75F6"/>
    <w:rsid w:val="00FC0929"/>
    <w:rsid w:val="00FC0B69"/>
    <w:rsid w:val="00FC0DD7"/>
    <w:rsid w:val="00FC15A1"/>
    <w:rsid w:val="00FC15B6"/>
    <w:rsid w:val="00FC1E7C"/>
    <w:rsid w:val="00FC211A"/>
    <w:rsid w:val="00FC24EE"/>
    <w:rsid w:val="00FC2522"/>
    <w:rsid w:val="00FC2886"/>
    <w:rsid w:val="00FC2C55"/>
    <w:rsid w:val="00FC312E"/>
    <w:rsid w:val="00FC346A"/>
    <w:rsid w:val="00FC3BE2"/>
    <w:rsid w:val="00FC3F56"/>
    <w:rsid w:val="00FC42D9"/>
    <w:rsid w:val="00FC49F9"/>
    <w:rsid w:val="00FC4F0F"/>
    <w:rsid w:val="00FC4F67"/>
    <w:rsid w:val="00FC509E"/>
    <w:rsid w:val="00FC525E"/>
    <w:rsid w:val="00FC55B4"/>
    <w:rsid w:val="00FC5ADA"/>
    <w:rsid w:val="00FC60AF"/>
    <w:rsid w:val="00FC6224"/>
    <w:rsid w:val="00FC6496"/>
    <w:rsid w:val="00FC6906"/>
    <w:rsid w:val="00FC69CA"/>
    <w:rsid w:val="00FC6B75"/>
    <w:rsid w:val="00FC7632"/>
    <w:rsid w:val="00FC7807"/>
    <w:rsid w:val="00FC7B72"/>
    <w:rsid w:val="00FC7D2A"/>
    <w:rsid w:val="00FC7F6A"/>
    <w:rsid w:val="00FD01AC"/>
    <w:rsid w:val="00FD01BA"/>
    <w:rsid w:val="00FD06A4"/>
    <w:rsid w:val="00FD0897"/>
    <w:rsid w:val="00FD0912"/>
    <w:rsid w:val="00FD10F6"/>
    <w:rsid w:val="00FD12B2"/>
    <w:rsid w:val="00FD12B3"/>
    <w:rsid w:val="00FD1AE0"/>
    <w:rsid w:val="00FD2D3C"/>
    <w:rsid w:val="00FD375E"/>
    <w:rsid w:val="00FD399B"/>
    <w:rsid w:val="00FD3F7E"/>
    <w:rsid w:val="00FD41C0"/>
    <w:rsid w:val="00FD4CF6"/>
    <w:rsid w:val="00FD5455"/>
    <w:rsid w:val="00FD5531"/>
    <w:rsid w:val="00FD584E"/>
    <w:rsid w:val="00FD5AE7"/>
    <w:rsid w:val="00FD5F9D"/>
    <w:rsid w:val="00FD618D"/>
    <w:rsid w:val="00FD66C9"/>
    <w:rsid w:val="00FD6D27"/>
    <w:rsid w:val="00FD6F86"/>
    <w:rsid w:val="00FD75D7"/>
    <w:rsid w:val="00FD762F"/>
    <w:rsid w:val="00FD76A1"/>
    <w:rsid w:val="00FD7D93"/>
    <w:rsid w:val="00FD7DE1"/>
    <w:rsid w:val="00FE029E"/>
    <w:rsid w:val="00FE036B"/>
    <w:rsid w:val="00FE0473"/>
    <w:rsid w:val="00FE051B"/>
    <w:rsid w:val="00FE05F2"/>
    <w:rsid w:val="00FE0609"/>
    <w:rsid w:val="00FE08A0"/>
    <w:rsid w:val="00FE0BA6"/>
    <w:rsid w:val="00FE0C80"/>
    <w:rsid w:val="00FE0EEB"/>
    <w:rsid w:val="00FE1247"/>
    <w:rsid w:val="00FE13FE"/>
    <w:rsid w:val="00FE1543"/>
    <w:rsid w:val="00FE174B"/>
    <w:rsid w:val="00FE1BF0"/>
    <w:rsid w:val="00FE1C12"/>
    <w:rsid w:val="00FE23D2"/>
    <w:rsid w:val="00FE2C75"/>
    <w:rsid w:val="00FE2EA9"/>
    <w:rsid w:val="00FE2F88"/>
    <w:rsid w:val="00FE3205"/>
    <w:rsid w:val="00FE3508"/>
    <w:rsid w:val="00FE4194"/>
    <w:rsid w:val="00FE4C69"/>
    <w:rsid w:val="00FE50F5"/>
    <w:rsid w:val="00FE5A67"/>
    <w:rsid w:val="00FE5B4E"/>
    <w:rsid w:val="00FE5BB6"/>
    <w:rsid w:val="00FE5FE2"/>
    <w:rsid w:val="00FE68AF"/>
    <w:rsid w:val="00FE69FF"/>
    <w:rsid w:val="00FE6B81"/>
    <w:rsid w:val="00FE6F08"/>
    <w:rsid w:val="00FE73DA"/>
    <w:rsid w:val="00FE7461"/>
    <w:rsid w:val="00FE7AE3"/>
    <w:rsid w:val="00FE7B60"/>
    <w:rsid w:val="00FE7DA7"/>
    <w:rsid w:val="00FF008D"/>
    <w:rsid w:val="00FF035A"/>
    <w:rsid w:val="00FF0673"/>
    <w:rsid w:val="00FF0D10"/>
    <w:rsid w:val="00FF0F50"/>
    <w:rsid w:val="00FF1047"/>
    <w:rsid w:val="00FF14A9"/>
    <w:rsid w:val="00FF1544"/>
    <w:rsid w:val="00FF17EF"/>
    <w:rsid w:val="00FF1913"/>
    <w:rsid w:val="00FF19D2"/>
    <w:rsid w:val="00FF1B3F"/>
    <w:rsid w:val="00FF2053"/>
    <w:rsid w:val="00FF21AF"/>
    <w:rsid w:val="00FF23D4"/>
    <w:rsid w:val="00FF2490"/>
    <w:rsid w:val="00FF24C2"/>
    <w:rsid w:val="00FF2651"/>
    <w:rsid w:val="00FF2697"/>
    <w:rsid w:val="00FF26E2"/>
    <w:rsid w:val="00FF2FA3"/>
    <w:rsid w:val="00FF3527"/>
    <w:rsid w:val="00FF3F2D"/>
    <w:rsid w:val="00FF3FDC"/>
    <w:rsid w:val="00FF418C"/>
    <w:rsid w:val="00FF458A"/>
    <w:rsid w:val="00FF4B3E"/>
    <w:rsid w:val="00FF4B93"/>
    <w:rsid w:val="00FF4BC9"/>
    <w:rsid w:val="00FF4BCD"/>
    <w:rsid w:val="00FF4CE9"/>
    <w:rsid w:val="00FF4F95"/>
    <w:rsid w:val="00FF5096"/>
    <w:rsid w:val="00FF529E"/>
    <w:rsid w:val="00FF549F"/>
    <w:rsid w:val="00FF54B7"/>
    <w:rsid w:val="00FF5666"/>
    <w:rsid w:val="00FF56A5"/>
    <w:rsid w:val="00FF5BF6"/>
    <w:rsid w:val="00FF5C6D"/>
    <w:rsid w:val="00FF5C6E"/>
    <w:rsid w:val="00FF633F"/>
    <w:rsid w:val="00FF66CC"/>
    <w:rsid w:val="00FF67D3"/>
    <w:rsid w:val="00FF6B0E"/>
    <w:rsid w:val="00FF6B43"/>
    <w:rsid w:val="00FF6F3F"/>
    <w:rsid w:val="00FF7328"/>
    <w:rsid w:val="00FF7600"/>
    <w:rsid w:val="00FF77A7"/>
    <w:rsid w:val="00FF7B0F"/>
    <w:rsid w:val="00FF7D42"/>
    <w:rsid w:val="00FF7F25"/>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semiHidden="0" w:uiPriority="39" w:unhideWhenUsed="0" w:qFormat="1"/>
  </w:latentStyles>
  <w:style w:type="paragraph" w:default="1" w:styleId="Normal">
    <w:name w:val="Normal"/>
    <w:qFormat/>
    <w:rsid w:val="00982AC4"/>
    <w:pPr>
      <w:spacing w:after="200" w:line="276" w:lineRule="auto"/>
    </w:pPr>
    <w:rPr>
      <w:rFonts w:ascii="Calibri" w:hAnsi="Calibri"/>
      <w:lang w:eastAsia="en-US"/>
    </w:rPr>
  </w:style>
  <w:style w:type="paragraph" w:styleId="Heading1">
    <w:name w:val="heading 1"/>
    <w:aliases w:val="Заголовок 1 Знак Знак,Заголовок 1 Знак Знак Знак,Заголовок 1 Знак"/>
    <w:basedOn w:val="Normal"/>
    <w:next w:val="Normal"/>
    <w:link w:val="Heading1Char"/>
    <w:uiPriority w:val="99"/>
    <w:qFormat/>
    <w:rsid w:val="005072F6"/>
    <w:pPr>
      <w:keepNext/>
      <w:spacing w:after="0" w:line="360" w:lineRule="auto"/>
      <w:jc w:val="both"/>
      <w:outlineLvl w:val="0"/>
    </w:pPr>
    <w:rPr>
      <w:rFonts w:ascii="Times New Roman" w:hAnsi="Times New Roman"/>
      <w:bCs/>
      <w:sz w:val="28"/>
      <w:szCs w:val="28"/>
      <w:lang w:eastAsia="ru-RU"/>
    </w:rPr>
  </w:style>
  <w:style w:type="paragraph" w:styleId="Heading2">
    <w:name w:val="heading 2"/>
    <w:aliases w:val="Знак2,Заголовок 2 Знак Знак,Заголовок 2 Знак Знак Знак,Знак2 Знак,Знак2 Знак Знак Знак,Знак2 Знак1,Заголовок 2 Знак1,ГЛАВА"/>
    <w:basedOn w:val="Normal"/>
    <w:next w:val="Normal"/>
    <w:link w:val="Heading2Char"/>
    <w:uiPriority w:val="99"/>
    <w:qFormat/>
    <w:rsid w:val="005A620B"/>
    <w:pPr>
      <w:keepNext/>
      <w:spacing w:after="0" w:line="240" w:lineRule="auto"/>
      <w:jc w:val="center"/>
      <w:outlineLvl w:val="1"/>
    </w:pPr>
    <w:rPr>
      <w:rFonts w:ascii="Times New Roman" w:hAnsi="Times New Roman"/>
      <w:sz w:val="28"/>
      <w:szCs w:val="20"/>
      <w:lang w:eastAsia="ru-RU"/>
    </w:rPr>
  </w:style>
  <w:style w:type="paragraph" w:styleId="Heading3">
    <w:name w:val="heading 3"/>
    <w:aliases w:val="Знак3,Заголовок 3 Знак,Знак19,Заголовок главный,Знак3 Знак Знак Знак,ПодЗаголовок,Знак6,Знак14,Заголовок 31"/>
    <w:basedOn w:val="Normal"/>
    <w:next w:val="Normal"/>
    <w:link w:val="Heading3Char1"/>
    <w:uiPriority w:val="99"/>
    <w:qFormat/>
    <w:rsid w:val="005072F6"/>
    <w:pPr>
      <w:keepNext/>
      <w:spacing w:before="240" w:after="60" w:line="240" w:lineRule="auto"/>
      <w:outlineLvl w:val="2"/>
    </w:pPr>
    <w:rPr>
      <w:rFonts w:ascii="Arial" w:hAnsi="Arial"/>
      <w:b/>
      <w:sz w:val="26"/>
      <w:szCs w:val="20"/>
      <w:lang w:eastAsia="ko-KR"/>
    </w:rPr>
  </w:style>
  <w:style w:type="paragraph" w:styleId="Heading4">
    <w:name w:val="heading 4"/>
    <w:basedOn w:val="Normal"/>
    <w:next w:val="Normal"/>
    <w:link w:val="Heading4Char"/>
    <w:uiPriority w:val="99"/>
    <w:qFormat/>
    <w:rsid w:val="005072F6"/>
    <w:pPr>
      <w:keepNext/>
      <w:spacing w:before="240" w:after="60" w:line="240" w:lineRule="auto"/>
      <w:outlineLvl w:val="3"/>
    </w:pPr>
    <w:rPr>
      <w:rFonts w:ascii="Times New Roman" w:hAnsi="Times New Roman"/>
      <w:b/>
      <w:bCs/>
      <w:sz w:val="28"/>
      <w:szCs w:val="28"/>
      <w:lang w:eastAsia="ko-KR"/>
    </w:rPr>
  </w:style>
  <w:style w:type="paragraph" w:styleId="Heading5">
    <w:name w:val="heading 5"/>
    <w:basedOn w:val="Normal"/>
    <w:next w:val="Normal"/>
    <w:link w:val="Heading5Char"/>
    <w:uiPriority w:val="99"/>
    <w:qFormat/>
    <w:rsid w:val="005072F6"/>
    <w:pPr>
      <w:tabs>
        <w:tab w:val="num" w:pos="1008"/>
      </w:tabs>
      <w:spacing w:before="240" w:after="60" w:line="360" w:lineRule="auto"/>
      <w:ind w:left="1008" w:hanging="432"/>
      <w:jc w:val="both"/>
      <w:outlineLvl w:val="4"/>
    </w:pPr>
    <w:rPr>
      <w:rFonts w:ascii="Times New Roman" w:hAnsi="Times New Roman"/>
      <w:b/>
      <w:bCs/>
      <w:i/>
      <w:iCs/>
      <w:sz w:val="26"/>
      <w:szCs w:val="26"/>
      <w:lang w:eastAsia="ru-RU"/>
    </w:rPr>
  </w:style>
  <w:style w:type="paragraph" w:styleId="Heading6">
    <w:name w:val="heading 6"/>
    <w:basedOn w:val="Normal"/>
    <w:next w:val="Normal"/>
    <w:link w:val="Heading6Char"/>
    <w:uiPriority w:val="99"/>
    <w:qFormat/>
    <w:rsid w:val="005A620B"/>
    <w:pPr>
      <w:keepNext/>
      <w:spacing w:after="0" w:line="240" w:lineRule="auto"/>
      <w:jc w:val="center"/>
      <w:outlineLvl w:val="5"/>
    </w:pPr>
    <w:rPr>
      <w:rFonts w:ascii="Times New Roman" w:hAnsi="Times New Roman"/>
      <w:color w:val="FF0000"/>
      <w:sz w:val="24"/>
      <w:szCs w:val="20"/>
      <w:lang w:eastAsia="ru-RU"/>
    </w:rPr>
  </w:style>
  <w:style w:type="paragraph" w:styleId="Heading7">
    <w:name w:val="heading 7"/>
    <w:aliases w:val="Заголовок x.x"/>
    <w:basedOn w:val="Normal"/>
    <w:next w:val="BodyText"/>
    <w:link w:val="Heading7Char"/>
    <w:uiPriority w:val="99"/>
    <w:qFormat/>
    <w:rsid w:val="005072F6"/>
    <w:pPr>
      <w:tabs>
        <w:tab w:val="num" w:pos="2005"/>
      </w:tabs>
      <w:spacing w:after="0" w:line="360" w:lineRule="auto"/>
      <w:ind w:left="2005" w:hanging="1296"/>
      <w:jc w:val="both"/>
      <w:outlineLvl w:val="6"/>
    </w:pPr>
    <w:rPr>
      <w:rFonts w:ascii="Times New Roman" w:hAnsi="Times New Roman"/>
      <w:sz w:val="20"/>
      <w:szCs w:val="20"/>
      <w:lang w:eastAsia="ru-RU"/>
    </w:rPr>
  </w:style>
  <w:style w:type="paragraph" w:styleId="Heading8">
    <w:name w:val="heading 8"/>
    <w:aliases w:val="Заголовок ТАБЛ,№ ТАБЛ"/>
    <w:basedOn w:val="Normal"/>
    <w:next w:val="Normal"/>
    <w:link w:val="Heading8Char"/>
    <w:uiPriority w:val="99"/>
    <w:qFormat/>
    <w:rsid w:val="005072F6"/>
    <w:pPr>
      <w:keepNext/>
      <w:spacing w:after="0" w:line="240" w:lineRule="auto"/>
      <w:jc w:val="both"/>
      <w:outlineLvl w:val="7"/>
    </w:pPr>
    <w:rPr>
      <w:rFonts w:ascii="Times New Roman" w:hAnsi="Times New Roman"/>
      <w:b/>
      <w:color w:val="0000FF"/>
      <w:sz w:val="28"/>
      <w:szCs w:val="24"/>
      <w:lang w:eastAsia="ko-KR"/>
    </w:rPr>
  </w:style>
  <w:style w:type="paragraph" w:styleId="Heading9">
    <w:name w:val="heading 9"/>
    <w:aliases w:val="Таблица 9,ТАБЛИЦА"/>
    <w:basedOn w:val="Normal"/>
    <w:next w:val="Normal"/>
    <w:link w:val="Heading9Char"/>
    <w:uiPriority w:val="99"/>
    <w:qFormat/>
    <w:rsid w:val="005072F6"/>
    <w:pPr>
      <w:keepNext/>
      <w:spacing w:after="0" w:line="240" w:lineRule="auto"/>
      <w:jc w:val="both"/>
      <w:outlineLvl w:val="8"/>
    </w:pPr>
    <w:rPr>
      <w:rFonts w:ascii="Times New Roman" w:hAnsi="Times New Roman"/>
      <w:color w:val="000000"/>
      <w:sz w:val="28"/>
      <w:szCs w:val="24"/>
      <w:lang w:eastAsia="ko-KR"/>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Заголовок 1 Знак Знак Char,Заголовок 1 Знак Знак Знак Char,Заголовок 1 Знак Char"/>
    <w:basedOn w:val="DefaultParagraphFont"/>
    <w:link w:val="Heading1"/>
    <w:uiPriority w:val="99"/>
    <w:locked/>
    <w:rsid w:val="005072F6"/>
    <w:rPr>
      <w:rFonts w:cs="Times New Roman"/>
      <w:sz w:val="28"/>
      <w:lang w:val="ru-RU" w:eastAsia="ru-RU"/>
    </w:rPr>
  </w:style>
  <w:style w:type="character" w:customStyle="1" w:styleId="Heading2Char">
    <w:name w:val="Heading 2 Char"/>
    <w:aliases w:val="Знак2 Char,Заголовок 2 Знак Знак Char,Заголовок 2 Знак Знак Знак Char,Знак2 Знак Char,Знак2 Знак Знак Знак Char,Знак2 Знак1 Char,Заголовок 2 Знак1 Char,ГЛАВА Char"/>
    <w:basedOn w:val="DefaultParagraphFont"/>
    <w:link w:val="Heading2"/>
    <w:uiPriority w:val="99"/>
    <w:locked/>
    <w:rsid w:val="005072F6"/>
    <w:rPr>
      <w:rFonts w:cs="Times New Roman"/>
      <w:sz w:val="28"/>
      <w:lang w:val="ru-RU" w:eastAsia="ru-RU"/>
    </w:rPr>
  </w:style>
  <w:style w:type="character" w:customStyle="1" w:styleId="Heading3Char">
    <w:name w:val="Heading 3 Char"/>
    <w:aliases w:val="Знак3 Char,Заголовок 3 Знак Char,Знак19 Char,Заголовок главный Char,Знак3 Знак Знак Знак Char,ПодЗаголовок Char,Знак6 Char,Знак14 Char,Заголовок 31 Char"/>
    <w:basedOn w:val="DefaultParagraphFont"/>
    <w:link w:val="Heading3"/>
    <w:uiPriority w:val="99"/>
    <w:semiHidden/>
    <w:locked/>
    <w:rsid w:val="006B3A86"/>
    <w:rPr>
      <w:rFonts w:ascii="Cambria" w:hAnsi="Cambria" w:cs="Times New Roman"/>
      <w:b/>
      <w:bCs/>
      <w:sz w:val="26"/>
      <w:szCs w:val="26"/>
      <w:lang w:eastAsia="en-US"/>
    </w:rPr>
  </w:style>
  <w:style w:type="character" w:customStyle="1" w:styleId="Heading4Char">
    <w:name w:val="Heading 4 Char"/>
    <w:basedOn w:val="DefaultParagraphFont"/>
    <w:link w:val="Heading4"/>
    <w:uiPriority w:val="99"/>
    <w:locked/>
    <w:rsid w:val="008521E1"/>
    <w:rPr>
      <w:rFonts w:cs="Times New Roman"/>
      <w:b/>
      <w:sz w:val="28"/>
    </w:rPr>
  </w:style>
  <w:style w:type="character" w:customStyle="1" w:styleId="Heading5Char">
    <w:name w:val="Heading 5 Char"/>
    <w:basedOn w:val="DefaultParagraphFont"/>
    <w:link w:val="Heading5"/>
    <w:uiPriority w:val="99"/>
    <w:locked/>
    <w:rsid w:val="005072F6"/>
    <w:rPr>
      <w:rFonts w:cs="Times New Roman"/>
      <w:b/>
      <w:i/>
      <w:sz w:val="26"/>
      <w:lang w:val="ru-RU" w:eastAsia="ru-RU"/>
    </w:rPr>
  </w:style>
  <w:style w:type="character" w:customStyle="1" w:styleId="Heading6Char">
    <w:name w:val="Heading 6 Char"/>
    <w:basedOn w:val="DefaultParagraphFont"/>
    <w:link w:val="Heading6"/>
    <w:uiPriority w:val="99"/>
    <w:locked/>
    <w:rsid w:val="00337075"/>
    <w:rPr>
      <w:rFonts w:cs="Times New Roman"/>
      <w:snapToGrid w:val="0"/>
      <w:color w:val="FF0000"/>
      <w:sz w:val="24"/>
      <w:lang w:val="ru-RU" w:eastAsia="ru-RU"/>
    </w:rPr>
  </w:style>
  <w:style w:type="character" w:customStyle="1" w:styleId="Heading7Char">
    <w:name w:val="Heading 7 Char"/>
    <w:aliases w:val="Заголовок x.x Char"/>
    <w:basedOn w:val="DefaultParagraphFont"/>
    <w:link w:val="Heading7"/>
    <w:uiPriority w:val="99"/>
    <w:locked/>
    <w:rsid w:val="00775784"/>
    <w:rPr>
      <w:rFonts w:cs="Times New Roman"/>
    </w:rPr>
  </w:style>
  <w:style w:type="character" w:customStyle="1" w:styleId="Heading8Char">
    <w:name w:val="Heading 8 Char"/>
    <w:aliases w:val="Заголовок ТАБЛ Char,№ ТАБЛ Char"/>
    <w:basedOn w:val="DefaultParagraphFont"/>
    <w:link w:val="Heading8"/>
    <w:uiPriority w:val="99"/>
    <w:locked/>
    <w:rsid w:val="00775784"/>
    <w:rPr>
      <w:rFonts w:cs="Times New Roman"/>
      <w:b/>
      <w:color w:val="0000FF"/>
      <w:sz w:val="24"/>
    </w:rPr>
  </w:style>
  <w:style w:type="character" w:customStyle="1" w:styleId="Heading9Char">
    <w:name w:val="Heading 9 Char"/>
    <w:aliases w:val="Таблица 9 Char,ТАБЛИЦА Char"/>
    <w:basedOn w:val="DefaultParagraphFont"/>
    <w:link w:val="Heading9"/>
    <w:uiPriority w:val="99"/>
    <w:locked/>
    <w:rsid w:val="00775784"/>
    <w:rPr>
      <w:rFonts w:cs="Times New Roman"/>
      <w:color w:val="000000"/>
      <w:sz w:val="24"/>
    </w:rPr>
  </w:style>
  <w:style w:type="paragraph" w:styleId="ListParagraph">
    <w:name w:val="List Paragraph"/>
    <w:basedOn w:val="Normal"/>
    <w:link w:val="ListParagraphChar"/>
    <w:uiPriority w:val="99"/>
    <w:qFormat/>
    <w:rsid w:val="00B55249"/>
    <w:pPr>
      <w:ind w:left="720"/>
      <w:contextualSpacing/>
    </w:pPr>
    <w:rPr>
      <w:szCs w:val="20"/>
    </w:rPr>
  </w:style>
  <w:style w:type="paragraph" w:customStyle="1" w:styleId="CharChar">
    <w:name w:val="Char Char"/>
    <w:basedOn w:val="Normal"/>
    <w:uiPriority w:val="99"/>
    <w:rsid w:val="003B01AD"/>
    <w:pPr>
      <w:autoSpaceDE w:val="0"/>
      <w:autoSpaceDN w:val="0"/>
      <w:spacing w:after="160" w:line="240" w:lineRule="exact"/>
    </w:pPr>
    <w:rPr>
      <w:rFonts w:ascii="Arial" w:eastAsia="MS Mincho" w:hAnsi="Arial" w:cs="Arial"/>
      <w:b/>
      <w:sz w:val="20"/>
      <w:szCs w:val="20"/>
      <w:lang w:val="en-US" w:eastAsia="de-DE"/>
    </w:rPr>
  </w:style>
  <w:style w:type="character" w:customStyle="1" w:styleId="apple-style-span">
    <w:name w:val="apple-style-span"/>
    <w:basedOn w:val="DefaultParagraphFont"/>
    <w:uiPriority w:val="99"/>
    <w:rsid w:val="00A85D90"/>
    <w:rPr>
      <w:rFonts w:cs="Times New Roman"/>
    </w:rPr>
  </w:style>
  <w:style w:type="paragraph" w:styleId="BodyText">
    <w:name w:val="Body Text"/>
    <w:aliases w:val="Знак,Знак1 Знак,Основной текст1,Основной текст Знак Знак Знак,Основной текст Знак Знак1,Основной текст Знак,Знак1 Знак Знак Знак Знак,Знак1 Знак Знак Знак,bt Знак,bt,Îñíîâíîé òåêñò Çíàê Çíàê,Iniiaiie oaeno Ciae Ciae"/>
    <w:basedOn w:val="Normal"/>
    <w:link w:val="BodyTextChar"/>
    <w:uiPriority w:val="99"/>
    <w:rsid w:val="00222DC8"/>
    <w:pPr>
      <w:spacing w:after="0" w:line="240" w:lineRule="auto"/>
      <w:jc w:val="both"/>
    </w:pPr>
    <w:rPr>
      <w:rFonts w:ascii="Times New Roman" w:hAnsi="Times New Roman"/>
      <w:sz w:val="28"/>
      <w:szCs w:val="20"/>
      <w:lang w:eastAsia="ru-RU"/>
    </w:rPr>
  </w:style>
  <w:style w:type="character" w:customStyle="1" w:styleId="BodyTextChar">
    <w:name w:val="Body Text Char"/>
    <w:aliases w:val="Знак Char,Знак1 Знак Char,Основной текст1 Char,Основной текст Знак Знак Знак Char,Основной текст Знак Знак1 Char,Основной текст Знак Char,Знак1 Знак Знак Знак Знак Char,Знак1 Знак Знак Знак Char,bt Знак Char,bt Char"/>
    <w:basedOn w:val="DefaultParagraphFont"/>
    <w:link w:val="BodyText"/>
    <w:uiPriority w:val="99"/>
    <w:locked/>
    <w:rsid w:val="00222DC8"/>
    <w:rPr>
      <w:rFonts w:cs="Times New Roman"/>
      <w:sz w:val="28"/>
      <w:lang w:val="ru-RU" w:eastAsia="ru-RU"/>
    </w:rPr>
  </w:style>
  <w:style w:type="paragraph" w:styleId="Header">
    <w:name w:val="header"/>
    <w:aliases w:val="ВерхКолонтитул,Знак4,Знак8"/>
    <w:basedOn w:val="Normal"/>
    <w:link w:val="HeaderChar"/>
    <w:uiPriority w:val="99"/>
    <w:rsid w:val="00C419F9"/>
    <w:pPr>
      <w:tabs>
        <w:tab w:val="center" w:pos="4677"/>
        <w:tab w:val="right" w:pos="9355"/>
      </w:tabs>
      <w:spacing w:after="0" w:line="240" w:lineRule="auto"/>
    </w:pPr>
    <w:rPr>
      <w:rFonts w:ascii="Times New Roman" w:hAnsi="Times New Roman"/>
      <w:sz w:val="28"/>
      <w:szCs w:val="24"/>
      <w:lang w:eastAsia="ru-RU"/>
    </w:rPr>
  </w:style>
  <w:style w:type="character" w:customStyle="1" w:styleId="HeaderChar">
    <w:name w:val="Header Char"/>
    <w:aliases w:val="ВерхКолонтитул Char,Знак4 Char,Знак8 Char"/>
    <w:basedOn w:val="DefaultParagraphFont"/>
    <w:link w:val="Header"/>
    <w:uiPriority w:val="99"/>
    <w:locked/>
    <w:rsid w:val="00C419F9"/>
    <w:rPr>
      <w:rFonts w:cs="Times New Roman"/>
      <w:sz w:val="24"/>
      <w:lang w:val="ru-RU" w:eastAsia="ru-RU"/>
    </w:rPr>
  </w:style>
  <w:style w:type="paragraph" w:styleId="EndnoteText">
    <w:name w:val="endnote text"/>
    <w:basedOn w:val="Normal"/>
    <w:link w:val="EndnoteTextChar"/>
    <w:uiPriority w:val="99"/>
    <w:rsid w:val="00C419F9"/>
    <w:pPr>
      <w:spacing w:after="0" w:line="240" w:lineRule="auto"/>
    </w:pPr>
    <w:rPr>
      <w:rFonts w:ascii="Times New Roman" w:hAnsi="Times New Roman"/>
      <w:sz w:val="20"/>
      <w:szCs w:val="20"/>
      <w:lang w:eastAsia="ru-RU"/>
    </w:rPr>
  </w:style>
  <w:style w:type="character" w:customStyle="1" w:styleId="EndnoteTextChar">
    <w:name w:val="Endnote Text Char"/>
    <w:basedOn w:val="DefaultParagraphFont"/>
    <w:link w:val="EndnoteText"/>
    <w:uiPriority w:val="99"/>
    <w:locked/>
    <w:rsid w:val="006E35DA"/>
    <w:rPr>
      <w:rFonts w:cs="Times New Roman"/>
    </w:rPr>
  </w:style>
  <w:style w:type="paragraph" w:styleId="Footer">
    <w:name w:val="footer"/>
    <w:aliases w:val="Знак61,Знак141"/>
    <w:basedOn w:val="Normal"/>
    <w:link w:val="FooterChar1"/>
    <w:uiPriority w:val="99"/>
    <w:rsid w:val="00C419F9"/>
    <w:pPr>
      <w:tabs>
        <w:tab w:val="center" w:pos="4677"/>
        <w:tab w:val="right" w:pos="9355"/>
      </w:tabs>
      <w:spacing w:after="0" w:line="240" w:lineRule="auto"/>
    </w:pPr>
    <w:rPr>
      <w:rFonts w:ascii="Times New Roman" w:hAnsi="Times New Roman"/>
      <w:sz w:val="24"/>
      <w:szCs w:val="20"/>
      <w:lang w:eastAsia="ru-RU"/>
    </w:rPr>
  </w:style>
  <w:style w:type="character" w:customStyle="1" w:styleId="FooterChar">
    <w:name w:val="Footer Char"/>
    <w:aliases w:val="Знак61 Char,Знак141 Char"/>
    <w:basedOn w:val="DefaultParagraphFont"/>
    <w:link w:val="Footer"/>
    <w:uiPriority w:val="99"/>
    <w:semiHidden/>
    <w:locked/>
    <w:rsid w:val="006B3A86"/>
    <w:rPr>
      <w:rFonts w:ascii="Calibri" w:hAnsi="Calibri" w:cs="Times New Roman"/>
      <w:lang w:eastAsia="en-US"/>
    </w:rPr>
  </w:style>
  <w:style w:type="character" w:customStyle="1" w:styleId="FooterChar1">
    <w:name w:val="Footer Char1"/>
    <w:aliases w:val="Знак61 Char1,Знак141 Char1"/>
    <w:link w:val="Footer"/>
    <w:uiPriority w:val="99"/>
    <w:locked/>
    <w:rsid w:val="00C419F9"/>
    <w:rPr>
      <w:sz w:val="24"/>
      <w:lang w:val="ru-RU" w:eastAsia="ru-RU"/>
    </w:rPr>
  </w:style>
  <w:style w:type="character" w:styleId="PageNumber">
    <w:name w:val="page number"/>
    <w:basedOn w:val="DefaultParagraphFont"/>
    <w:uiPriority w:val="99"/>
    <w:rsid w:val="00C419F9"/>
    <w:rPr>
      <w:rFonts w:cs="Times New Roman"/>
    </w:rPr>
  </w:style>
  <w:style w:type="paragraph" w:styleId="BlockText">
    <w:name w:val="Block Text"/>
    <w:basedOn w:val="Normal"/>
    <w:uiPriority w:val="99"/>
    <w:rsid w:val="00C419F9"/>
    <w:pPr>
      <w:spacing w:after="0" w:line="360" w:lineRule="auto"/>
      <w:ind w:left="360" w:right="-8" w:firstLine="709"/>
      <w:jc w:val="both"/>
    </w:pPr>
    <w:rPr>
      <w:rFonts w:ascii="Times New Roman" w:hAnsi="Times New Roman"/>
      <w:bCs/>
      <w:sz w:val="28"/>
      <w:szCs w:val="28"/>
      <w:lang w:eastAsia="ru-RU"/>
    </w:rPr>
  </w:style>
  <w:style w:type="paragraph" w:styleId="TOC2">
    <w:name w:val="toc 2"/>
    <w:basedOn w:val="Normal"/>
    <w:next w:val="Normal"/>
    <w:autoRedefine/>
    <w:uiPriority w:val="99"/>
    <w:rsid w:val="002004B5"/>
    <w:pPr>
      <w:tabs>
        <w:tab w:val="left" w:pos="900"/>
        <w:tab w:val="right" w:pos="10490"/>
      </w:tabs>
      <w:spacing w:after="0" w:line="240" w:lineRule="auto"/>
      <w:ind w:left="360"/>
      <w:jc w:val="both"/>
    </w:pPr>
    <w:rPr>
      <w:rFonts w:ascii="Times New Roman" w:hAnsi="Times New Roman"/>
      <w:noProof/>
      <w:sz w:val="24"/>
      <w:szCs w:val="24"/>
      <w:lang w:eastAsia="ru-RU"/>
    </w:rPr>
  </w:style>
  <w:style w:type="paragraph" w:customStyle="1" w:styleId="Style5">
    <w:name w:val="Style5"/>
    <w:basedOn w:val="Normal"/>
    <w:uiPriority w:val="99"/>
    <w:rsid w:val="00C419F9"/>
    <w:pPr>
      <w:widowControl w:val="0"/>
      <w:autoSpaceDE w:val="0"/>
      <w:autoSpaceDN w:val="0"/>
      <w:adjustRightInd w:val="0"/>
      <w:spacing w:after="0" w:line="250" w:lineRule="exact"/>
      <w:jc w:val="center"/>
    </w:pPr>
    <w:rPr>
      <w:rFonts w:ascii="Times New Roman" w:hAnsi="Times New Roman"/>
      <w:sz w:val="24"/>
      <w:szCs w:val="24"/>
      <w:lang w:eastAsia="ru-RU"/>
    </w:rPr>
  </w:style>
  <w:style w:type="character" w:customStyle="1" w:styleId="FontStyle39">
    <w:name w:val="Font Style39"/>
    <w:uiPriority w:val="99"/>
    <w:rsid w:val="00C419F9"/>
    <w:rPr>
      <w:rFonts w:ascii="Times New Roman" w:hAnsi="Times New Roman"/>
      <w:sz w:val="16"/>
    </w:rPr>
  </w:style>
  <w:style w:type="character" w:customStyle="1" w:styleId="FontStyle43">
    <w:name w:val="Font Style43"/>
    <w:uiPriority w:val="99"/>
    <w:rsid w:val="00C419F9"/>
    <w:rPr>
      <w:rFonts w:ascii="Times New Roman" w:hAnsi="Times New Roman"/>
      <w:sz w:val="16"/>
    </w:rPr>
  </w:style>
  <w:style w:type="paragraph" w:styleId="BodyTextIndent">
    <w:name w:val="Body Text Indent"/>
    <w:aliases w:val="Основной текст 1,Нумерованный список !!,Надин стиль,Основной текст с отступом Знак Знак,Основной текст с отступом Знак Знак Знак,Íóìåðîâàííûé ñïèñîê !!,Îñíîâíîé òåêñò 1,Iniiaiie oaeno 1,Основной текст 11"/>
    <w:basedOn w:val="Normal"/>
    <w:link w:val="BodyTextIndentChar"/>
    <w:uiPriority w:val="99"/>
    <w:rsid w:val="005A620B"/>
    <w:pPr>
      <w:spacing w:after="120"/>
      <w:ind w:left="283"/>
    </w:pPr>
  </w:style>
  <w:style w:type="character" w:customStyle="1" w:styleId="BodyTextIndentChar">
    <w:name w:val="Body Text Indent Char"/>
    <w:aliases w:val="Основной текст 1 Char,Нумерованный список !! Char,Надин стиль Char,Основной текст с отступом Знак Знак Char,Основной текст с отступом Знак Знак Знак Char,Íóìåðîâàííûé ñïèñîê !! Char,Îñíîâíîé òåêñò 1 Char,Iniiaiie oaeno 1 Char"/>
    <w:basedOn w:val="DefaultParagraphFont"/>
    <w:link w:val="BodyTextIndent"/>
    <w:uiPriority w:val="99"/>
    <w:locked/>
    <w:rsid w:val="005072F6"/>
    <w:rPr>
      <w:rFonts w:ascii="Calibri" w:hAnsi="Calibri" w:cs="Times New Roman"/>
      <w:sz w:val="22"/>
      <w:lang w:val="ru-RU" w:eastAsia="en-US"/>
    </w:rPr>
  </w:style>
  <w:style w:type="paragraph" w:customStyle="1" w:styleId="91">
    <w:name w:val="Заголовок 91"/>
    <w:uiPriority w:val="99"/>
    <w:rsid w:val="005A620B"/>
    <w:pPr>
      <w:keepNext/>
      <w:jc w:val="center"/>
    </w:pPr>
    <w:rPr>
      <w:rFonts w:ascii="Arial" w:hAnsi="Arial"/>
      <w:color w:val="000000"/>
      <w:sz w:val="28"/>
      <w:szCs w:val="20"/>
    </w:rPr>
  </w:style>
  <w:style w:type="paragraph" w:styleId="Title">
    <w:name w:val="Title"/>
    <w:aliases w:val="Название таблицы"/>
    <w:basedOn w:val="Normal"/>
    <w:next w:val="BodyText"/>
    <w:link w:val="TitleChar"/>
    <w:uiPriority w:val="99"/>
    <w:qFormat/>
    <w:rsid w:val="00775784"/>
    <w:pPr>
      <w:keepNext/>
      <w:suppressAutoHyphens/>
      <w:spacing w:before="240" w:after="120" w:line="240" w:lineRule="auto"/>
      <w:ind w:firstLine="709"/>
      <w:jc w:val="both"/>
    </w:pPr>
    <w:rPr>
      <w:rFonts w:ascii="Times New Roman" w:hAnsi="Times New Roman"/>
      <w:sz w:val="24"/>
      <w:szCs w:val="20"/>
      <w:lang w:eastAsia="ru-RU"/>
    </w:rPr>
  </w:style>
  <w:style w:type="character" w:customStyle="1" w:styleId="TitleChar">
    <w:name w:val="Title Char"/>
    <w:aliases w:val="Название таблицы Char"/>
    <w:basedOn w:val="DefaultParagraphFont"/>
    <w:link w:val="Title"/>
    <w:uiPriority w:val="99"/>
    <w:locked/>
    <w:rsid w:val="00775784"/>
    <w:rPr>
      <w:rFonts w:ascii="Arial" w:hAnsi="Arial" w:cs="Tahoma"/>
      <w:color w:val="000000"/>
      <w:sz w:val="28"/>
      <w:szCs w:val="28"/>
      <w:lang w:eastAsia="ar-SA" w:bidi="ar-SA"/>
    </w:rPr>
  </w:style>
  <w:style w:type="character" w:customStyle="1" w:styleId="a3">
    <w:name w:val="Название Знак"/>
    <w:aliases w:val="Название таблицы Знак"/>
    <w:uiPriority w:val="99"/>
    <w:locked/>
    <w:rsid w:val="00A94491"/>
    <w:rPr>
      <w:sz w:val="24"/>
      <w:lang w:val="ru-RU" w:eastAsia="ru-RU"/>
    </w:rPr>
  </w:style>
  <w:style w:type="paragraph" w:styleId="NormalWeb">
    <w:name w:val="Normal (Web)"/>
    <w:aliases w:val="Обычный (Web)1,Обычный (веб)1,Обычный (веб) Знак,Обычный (веб) Знак1,Обычный (веб) Знак Знак"/>
    <w:basedOn w:val="Normal"/>
    <w:uiPriority w:val="99"/>
    <w:rsid w:val="000F08DE"/>
    <w:pPr>
      <w:spacing w:before="100" w:beforeAutospacing="1" w:after="100" w:afterAutospacing="1" w:line="360" w:lineRule="exact"/>
      <w:ind w:firstLine="709"/>
      <w:jc w:val="both"/>
    </w:pPr>
    <w:rPr>
      <w:rFonts w:ascii="Times New Roman" w:hAnsi="Times New Roman"/>
      <w:sz w:val="28"/>
      <w:szCs w:val="28"/>
      <w:lang w:eastAsia="ru-RU"/>
    </w:rPr>
  </w:style>
  <w:style w:type="character" w:styleId="Hyperlink">
    <w:name w:val="Hyperlink"/>
    <w:basedOn w:val="DefaultParagraphFont"/>
    <w:uiPriority w:val="99"/>
    <w:rsid w:val="005072F6"/>
    <w:rPr>
      <w:rFonts w:cs="Times New Roman"/>
      <w:color w:val="0000FF"/>
      <w:u w:val="single"/>
    </w:rPr>
  </w:style>
  <w:style w:type="character" w:styleId="FootnoteReference">
    <w:name w:val="footnote reference"/>
    <w:aliases w:val="Знак сноски 1,Знак сноски-FN,Ciae niinee-FN,Referencia nota al pie,Ссылка на сноску 45,Appel note de bas de page"/>
    <w:basedOn w:val="DefaultParagraphFont"/>
    <w:uiPriority w:val="99"/>
    <w:rsid w:val="005072F6"/>
    <w:rPr>
      <w:rFonts w:cs="Times New Roman"/>
      <w:vertAlign w:val="superscript"/>
    </w:rPr>
  </w:style>
  <w:style w:type="table" w:styleId="TableGrid5">
    <w:name w:val="Table Grid 5"/>
    <w:basedOn w:val="TableNormal"/>
    <w:uiPriority w:val="99"/>
    <w:rsid w:val="005072F6"/>
    <w:rPr>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
    <w:name w:val="Table Grid"/>
    <w:aliases w:val="Table Grid Report"/>
    <w:basedOn w:val="TableNormal"/>
    <w:uiPriority w:val="99"/>
    <w:rsid w:val="005072F6"/>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EndnoteReference">
    <w:name w:val="endnote reference"/>
    <w:basedOn w:val="DefaultParagraphFont"/>
    <w:uiPriority w:val="99"/>
    <w:rsid w:val="005072F6"/>
    <w:rPr>
      <w:rFonts w:cs="Times New Roman"/>
      <w:vertAlign w:val="superscript"/>
    </w:rPr>
  </w:style>
  <w:style w:type="paragraph" w:customStyle="1" w:styleId="2">
    <w:name w:val="Заголовок_2 Знак"/>
    <w:basedOn w:val="Normal"/>
    <w:next w:val="Normal"/>
    <w:uiPriority w:val="99"/>
    <w:rsid w:val="005072F6"/>
    <w:pPr>
      <w:keepNext/>
      <w:tabs>
        <w:tab w:val="num" w:pos="360"/>
      </w:tabs>
      <w:spacing w:before="60" w:after="60" w:line="240" w:lineRule="auto"/>
      <w:jc w:val="center"/>
      <w:outlineLvl w:val="0"/>
    </w:pPr>
    <w:rPr>
      <w:rFonts w:ascii="Times New Roman" w:hAnsi="Times New Roman"/>
      <w:b/>
      <w:kern w:val="32"/>
      <w:sz w:val="28"/>
      <w:szCs w:val="28"/>
      <w:lang w:val="en-US" w:eastAsia="ru-RU"/>
    </w:rPr>
  </w:style>
  <w:style w:type="paragraph" w:customStyle="1" w:styleId="S5">
    <w:name w:val="S_Обычный"/>
    <w:basedOn w:val="Normal"/>
    <w:link w:val="S6"/>
    <w:uiPriority w:val="99"/>
    <w:rsid w:val="005072F6"/>
    <w:pPr>
      <w:spacing w:after="0" w:line="360" w:lineRule="auto"/>
      <w:ind w:firstLine="709"/>
      <w:jc w:val="both"/>
    </w:pPr>
    <w:rPr>
      <w:rFonts w:ascii="Times New Roman" w:hAnsi="Times New Roman"/>
      <w:sz w:val="24"/>
      <w:szCs w:val="20"/>
      <w:lang w:eastAsia="ru-RU"/>
    </w:rPr>
  </w:style>
  <w:style w:type="character" w:customStyle="1" w:styleId="S6">
    <w:name w:val="S_Обычный Знак"/>
    <w:link w:val="S5"/>
    <w:uiPriority w:val="99"/>
    <w:locked/>
    <w:rsid w:val="005072F6"/>
    <w:rPr>
      <w:sz w:val="24"/>
      <w:lang w:val="ru-RU" w:eastAsia="ru-RU"/>
    </w:rPr>
  </w:style>
  <w:style w:type="paragraph" w:customStyle="1" w:styleId="a4">
    <w:name w:val="Подчеркнутый"/>
    <w:basedOn w:val="Normal"/>
    <w:link w:val="a5"/>
    <w:uiPriority w:val="99"/>
    <w:semiHidden/>
    <w:rsid w:val="005072F6"/>
    <w:pPr>
      <w:spacing w:after="0" w:line="360" w:lineRule="auto"/>
      <w:ind w:firstLine="709"/>
      <w:jc w:val="both"/>
    </w:pPr>
    <w:rPr>
      <w:rFonts w:ascii="Times New Roman" w:hAnsi="Times New Roman"/>
      <w:sz w:val="24"/>
      <w:szCs w:val="20"/>
      <w:u w:val="single"/>
      <w:lang w:eastAsia="ru-RU"/>
    </w:rPr>
  </w:style>
  <w:style w:type="character" w:customStyle="1" w:styleId="a5">
    <w:name w:val="Подчеркнутый Знак"/>
    <w:link w:val="a4"/>
    <w:uiPriority w:val="99"/>
    <w:locked/>
    <w:rsid w:val="005072F6"/>
    <w:rPr>
      <w:sz w:val="24"/>
      <w:u w:val="single"/>
      <w:lang w:val="ru-RU" w:eastAsia="ru-RU"/>
    </w:rPr>
  </w:style>
  <w:style w:type="character" w:customStyle="1" w:styleId="FontStyle15">
    <w:name w:val="Font Style15"/>
    <w:uiPriority w:val="99"/>
    <w:rsid w:val="005072F6"/>
    <w:rPr>
      <w:rFonts w:ascii="Times New Roman" w:hAnsi="Times New Roman"/>
      <w:sz w:val="26"/>
    </w:rPr>
  </w:style>
  <w:style w:type="paragraph" w:styleId="BodyText3">
    <w:name w:val="Body Text 3"/>
    <w:basedOn w:val="Normal"/>
    <w:link w:val="BodyText3Char"/>
    <w:uiPriority w:val="99"/>
    <w:rsid w:val="005072F6"/>
    <w:pPr>
      <w:spacing w:after="120" w:line="240" w:lineRule="auto"/>
    </w:pPr>
    <w:rPr>
      <w:rFonts w:ascii="Times New Roman" w:hAnsi="Times New Roman"/>
      <w:sz w:val="16"/>
      <w:szCs w:val="16"/>
      <w:lang w:eastAsia="ru-RU"/>
    </w:rPr>
  </w:style>
  <w:style w:type="character" w:customStyle="1" w:styleId="BodyText3Char">
    <w:name w:val="Body Text 3 Char"/>
    <w:basedOn w:val="DefaultParagraphFont"/>
    <w:link w:val="BodyText3"/>
    <w:uiPriority w:val="99"/>
    <w:locked/>
    <w:rsid w:val="005072F6"/>
    <w:rPr>
      <w:rFonts w:cs="Times New Roman"/>
      <w:sz w:val="16"/>
      <w:lang w:val="ru-RU" w:eastAsia="ru-RU"/>
    </w:rPr>
  </w:style>
  <w:style w:type="paragraph" w:customStyle="1" w:styleId="textn">
    <w:name w:val="textn"/>
    <w:basedOn w:val="Normal"/>
    <w:uiPriority w:val="99"/>
    <w:rsid w:val="005072F6"/>
    <w:pPr>
      <w:spacing w:before="100" w:beforeAutospacing="1" w:after="100" w:afterAutospacing="1" w:line="240" w:lineRule="auto"/>
    </w:pPr>
    <w:rPr>
      <w:rFonts w:ascii="Times New Roman" w:hAnsi="Times New Roman"/>
      <w:sz w:val="24"/>
      <w:szCs w:val="24"/>
      <w:lang w:eastAsia="ru-RU"/>
    </w:rPr>
  </w:style>
  <w:style w:type="character" w:styleId="Strong">
    <w:name w:val="Strong"/>
    <w:basedOn w:val="DefaultParagraphFont"/>
    <w:uiPriority w:val="99"/>
    <w:qFormat/>
    <w:rsid w:val="005072F6"/>
    <w:rPr>
      <w:rFonts w:cs="Times New Roman"/>
      <w:b/>
    </w:rPr>
  </w:style>
  <w:style w:type="paragraph" w:styleId="ListBullet">
    <w:name w:val="List Bullet"/>
    <w:aliases w:val="Маркированный"/>
    <w:basedOn w:val="Normal"/>
    <w:autoRedefine/>
    <w:uiPriority w:val="99"/>
    <w:rsid w:val="005072F6"/>
    <w:pPr>
      <w:numPr>
        <w:numId w:val="11"/>
      </w:numPr>
      <w:spacing w:after="0" w:line="360" w:lineRule="auto"/>
      <w:jc w:val="both"/>
    </w:pPr>
    <w:rPr>
      <w:rFonts w:ascii="Times New Roman" w:hAnsi="Times New Roman"/>
      <w:sz w:val="24"/>
      <w:szCs w:val="24"/>
      <w:lang w:eastAsia="ru-RU"/>
    </w:rPr>
  </w:style>
  <w:style w:type="paragraph" w:customStyle="1" w:styleId="S7">
    <w:name w:val="S_Маркированный"/>
    <w:basedOn w:val="ListBullet"/>
    <w:uiPriority w:val="99"/>
    <w:rsid w:val="005072F6"/>
    <w:pPr>
      <w:tabs>
        <w:tab w:val="clear" w:pos="2149"/>
        <w:tab w:val="num" w:pos="900"/>
      </w:tabs>
      <w:ind w:left="0" w:firstLine="720"/>
    </w:pPr>
  </w:style>
  <w:style w:type="character" w:customStyle="1" w:styleId="3">
    <w:name w:val="Знак Знак3"/>
    <w:uiPriority w:val="99"/>
    <w:rsid w:val="005072F6"/>
    <w:rPr>
      <w:sz w:val="24"/>
      <w:lang w:val="ru-RU" w:eastAsia="ru-RU"/>
    </w:rPr>
  </w:style>
  <w:style w:type="paragraph" w:customStyle="1" w:styleId="S1">
    <w:name w:val="S_Заголовок 1"/>
    <w:basedOn w:val="Normal"/>
    <w:uiPriority w:val="99"/>
    <w:rsid w:val="005072F6"/>
    <w:pPr>
      <w:numPr>
        <w:numId w:val="12"/>
      </w:numPr>
      <w:spacing w:after="0" w:line="240" w:lineRule="auto"/>
      <w:jc w:val="center"/>
    </w:pPr>
    <w:rPr>
      <w:rFonts w:ascii="Times New Roman" w:hAnsi="Times New Roman"/>
      <w:b/>
      <w:caps/>
      <w:sz w:val="24"/>
      <w:szCs w:val="24"/>
      <w:lang w:eastAsia="ru-RU"/>
    </w:rPr>
  </w:style>
  <w:style w:type="paragraph" w:customStyle="1" w:styleId="S2">
    <w:name w:val="S_Заголовок 2"/>
    <w:basedOn w:val="Heading2"/>
    <w:uiPriority w:val="99"/>
    <w:rsid w:val="005072F6"/>
    <w:pPr>
      <w:keepNext w:val="0"/>
      <w:numPr>
        <w:ilvl w:val="1"/>
        <w:numId w:val="12"/>
      </w:numPr>
      <w:tabs>
        <w:tab w:val="clear" w:pos="720"/>
        <w:tab w:val="num" w:pos="1440"/>
      </w:tabs>
      <w:ind w:left="1440"/>
      <w:jc w:val="both"/>
    </w:pPr>
    <w:rPr>
      <w:b/>
      <w:sz w:val="24"/>
      <w:szCs w:val="24"/>
    </w:rPr>
  </w:style>
  <w:style w:type="paragraph" w:customStyle="1" w:styleId="S3">
    <w:name w:val="S_Заголовок 3"/>
    <w:basedOn w:val="Heading3"/>
    <w:link w:val="S30"/>
    <w:uiPriority w:val="99"/>
    <w:rsid w:val="005072F6"/>
    <w:pPr>
      <w:keepNext w:val="0"/>
      <w:numPr>
        <w:ilvl w:val="2"/>
        <w:numId w:val="12"/>
      </w:numPr>
      <w:tabs>
        <w:tab w:val="clear" w:pos="1620"/>
        <w:tab w:val="num" w:pos="643"/>
        <w:tab w:val="num" w:pos="1080"/>
      </w:tabs>
      <w:spacing w:before="0" w:after="0" w:line="360" w:lineRule="auto"/>
      <w:ind w:left="643" w:hanging="360"/>
    </w:pPr>
    <w:rPr>
      <w:bCs/>
      <w:sz w:val="24"/>
      <w:szCs w:val="24"/>
      <w:u w:val="single"/>
    </w:rPr>
  </w:style>
  <w:style w:type="paragraph" w:customStyle="1" w:styleId="S4">
    <w:name w:val="S_Заголовок 4"/>
    <w:basedOn w:val="Heading4"/>
    <w:link w:val="S40"/>
    <w:uiPriority w:val="99"/>
    <w:rsid w:val="005072F6"/>
    <w:pPr>
      <w:keepNext w:val="0"/>
      <w:numPr>
        <w:ilvl w:val="3"/>
        <w:numId w:val="12"/>
      </w:numPr>
      <w:tabs>
        <w:tab w:val="clear" w:pos="1800"/>
        <w:tab w:val="num" w:pos="2880"/>
      </w:tabs>
      <w:spacing w:before="0" w:after="0"/>
      <w:ind w:left="2880" w:hanging="360"/>
    </w:pPr>
    <w:rPr>
      <w:b w:val="0"/>
      <w:bCs w:val="0"/>
      <w:i/>
      <w:sz w:val="24"/>
      <w:szCs w:val="24"/>
    </w:rPr>
  </w:style>
  <w:style w:type="paragraph" w:customStyle="1" w:styleId="xl22">
    <w:name w:val="xl22"/>
    <w:basedOn w:val="Normal"/>
    <w:uiPriority w:val="99"/>
    <w:semiHidden/>
    <w:rsid w:val="005072F6"/>
    <w:pPr>
      <w:spacing w:before="100" w:beforeAutospacing="1" w:after="100" w:afterAutospacing="1" w:line="360" w:lineRule="auto"/>
      <w:ind w:firstLine="709"/>
      <w:jc w:val="center"/>
    </w:pPr>
    <w:rPr>
      <w:rFonts w:ascii="Times New Roman CYR" w:hAnsi="Times New Roman CYR" w:cs="Times New Roman CYR"/>
      <w:sz w:val="24"/>
      <w:szCs w:val="24"/>
      <w:lang w:eastAsia="ru-RU"/>
    </w:rPr>
  </w:style>
  <w:style w:type="character" w:customStyle="1" w:styleId="11">
    <w:name w:val="Заголовок 1 Знак Знак Знак Знак"/>
    <w:aliases w:val="Заголовок 1 Знак Знак Знак2"/>
    <w:uiPriority w:val="99"/>
    <w:rsid w:val="005072F6"/>
    <w:rPr>
      <w:sz w:val="28"/>
      <w:lang w:val="ru-RU" w:eastAsia="ru-RU"/>
    </w:rPr>
  </w:style>
  <w:style w:type="paragraph" w:styleId="BodyText2">
    <w:name w:val="Body Text 2"/>
    <w:aliases w:val="Знак1"/>
    <w:basedOn w:val="Normal"/>
    <w:link w:val="BodyText2Char"/>
    <w:uiPriority w:val="99"/>
    <w:rsid w:val="005072F6"/>
    <w:pPr>
      <w:spacing w:after="0" w:line="360" w:lineRule="auto"/>
      <w:ind w:firstLine="709"/>
      <w:jc w:val="center"/>
    </w:pPr>
    <w:rPr>
      <w:rFonts w:ascii="Times New Roman" w:hAnsi="Times New Roman"/>
      <w:b/>
      <w:bCs/>
      <w:caps/>
      <w:sz w:val="24"/>
      <w:szCs w:val="24"/>
      <w:lang w:eastAsia="ru-RU"/>
    </w:rPr>
  </w:style>
  <w:style w:type="character" w:customStyle="1" w:styleId="BodyText2Char">
    <w:name w:val="Body Text 2 Char"/>
    <w:aliases w:val="Знак1 Char"/>
    <w:basedOn w:val="DefaultParagraphFont"/>
    <w:link w:val="BodyText2"/>
    <w:uiPriority w:val="99"/>
    <w:locked/>
    <w:rsid w:val="005072F6"/>
    <w:rPr>
      <w:rFonts w:cs="Times New Roman"/>
      <w:b/>
      <w:caps/>
      <w:sz w:val="24"/>
      <w:lang w:val="ru-RU" w:eastAsia="ru-RU"/>
    </w:rPr>
  </w:style>
  <w:style w:type="paragraph" w:styleId="BodyTextIndent2">
    <w:name w:val="Body Text Indent 2"/>
    <w:basedOn w:val="Normal"/>
    <w:link w:val="BodyTextIndent2Char"/>
    <w:uiPriority w:val="99"/>
    <w:rsid w:val="005072F6"/>
    <w:pPr>
      <w:spacing w:after="0" w:line="360" w:lineRule="auto"/>
      <w:ind w:left="360" w:firstLine="709"/>
      <w:jc w:val="center"/>
    </w:pPr>
    <w:rPr>
      <w:rFonts w:ascii="Times New Roman" w:hAnsi="Times New Roman"/>
      <w:b/>
      <w:bCs/>
      <w:caps/>
      <w:sz w:val="24"/>
      <w:szCs w:val="24"/>
      <w:lang w:eastAsia="ko-KR"/>
    </w:rPr>
  </w:style>
  <w:style w:type="character" w:customStyle="1" w:styleId="BodyTextIndent2Char">
    <w:name w:val="Body Text Indent 2 Char"/>
    <w:basedOn w:val="DefaultParagraphFont"/>
    <w:link w:val="BodyTextIndent2"/>
    <w:uiPriority w:val="99"/>
    <w:locked/>
    <w:rsid w:val="00775784"/>
    <w:rPr>
      <w:rFonts w:cs="Times New Roman"/>
      <w:b/>
      <w:caps/>
      <w:sz w:val="24"/>
    </w:rPr>
  </w:style>
  <w:style w:type="paragraph" w:styleId="BodyTextIndent3">
    <w:name w:val="Body Text Indent 3"/>
    <w:aliases w:val="Знак Знак Знак"/>
    <w:basedOn w:val="Normal"/>
    <w:link w:val="BodyTextIndent3Char"/>
    <w:uiPriority w:val="99"/>
    <w:rsid w:val="005072F6"/>
    <w:pPr>
      <w:spacing w:after="0" w:line="360" w:lineRule="auto"/>
      <w:ind w:firstLine="540"/>
      <w:jc w:val="both"/>
    </w:pPr>
    <w:rPr>
      <w:rFonts w:ascii="Times New Roman" w:hAnsi="Times New Roman"/>
      <w:sz w:val="28"/>
      <w:szCs w:val="28"/>
      <w:lang w:eastAsia="ko-KR"/>
    </w:rPr>
  </w:style>
  <w:style w:type="character" w:customStyle="1" w:styleId="BodyTextIndent3Char">
    <w:name w:val="Body Text Indent 3 Char"/>
    <w:aliases w:val="Знак Знак Знак Char"/>
    <w:basedOn w:val="DefaultParagraphFont"/>
    <w:link w:val="BodyTextIndent3"/>
    <w:uiPriority w:val="99"/>
    <w:locked/>
    <w:rsid w:val="00775784"/>
    <w:rPr>
      <w:rFonts w:cs="Times New Roman"/>
      <w:sz w:val="28"/>
    </w:rPr>
  </w:style>
  <w:style w:type="paragraph" w:customStyle="1" w:styleId="ConsNormal">
    <w:name w:val="ConsNormal"/>
    <w:uiPriority w:val="99"/>
    <w:rsid w:val="005072F6"/>
    <w:pPr>
      <w:widowControl w:val="0"/>
      <w:autoSpaceDE w:val="0"/>
      <w:autoSpaceDN w:val="0"/>
      <w:adjustRightInd w:val="0"/>
      <w:ind w:firstLine="720"/>
    </w:pPr>
    <w:rPr>
      <w:rFonts w:ascii="Arial" w:hAnsi="Arial" w:cs="Arial"/>
      <w:sz w:val="20"/>
      <w:szCs w:val="20"/>
    </w:rPr>
  </w:style>
  <w:style w:type="paragraph" w:customStyle="1" w:styleId="a6">
    <w:name w:val="Îáû÷íûé"/>
    <w:uiPriority w:val="99"/>
    <w:rsid w:val="005072F6"/>
    <w:rPr>
      <w:sz w:val="20"/>
      <w:szCs w:val="20"/>
      <w:lang w:val="en-US"/>
    </w:rPr>
  </w:style>
  <w:style w:type="paragraph" w:customStyle="1" w:styleId="ConsNonformat">
    <w:name w:val="ConsNonformat"/>
    <w:uiPriority w:val="99"/>
    <w:rsid w:val="005072F6"/>
    <w:pPr>
      <w:widowControl w:val="0"/>
      <w:autoSpaceDE w:val="0"/>
      <w:autoSpaceDN w:val="0"/>
      <w:adjustRightInd w:val="0"/>
    </w:pPr>
    <w:rPr>
      <w:rFonts w:ascii="Courier New" w:hAnsi="Courier New" w:cs="Courier New"/>
      <w:sz w:val="20"/>
      <w:szCs w:val="20"/>
    </w:rPr>
  </w:style>
  <w:style w:type="paragraph" w:customStyle="1" w:styleId="a7">
    <w:name w:val="Заглавие раздела"/>
    <w:basedOn w:val="Heading2"/>
    <w:uiPriority w:val="99"/>
    <w:semiHidden/>
    <w:rsid w:val="005072F6"/>
    <w:pPr>
      <w:keepNext w:val="0"/>
      <w:tabs>
        <w:tab w:val="num" w:pos="555"/>
        <w:tab w:val="num" w:pos="1789"/>
      </w:tabs>
      <w:spacing w:after="240" w:line="360" w:lineRule="auto"/>
      <w:ind w:left="1789" w:hanging="360"/>
    </w:pPr>
    <w:rPr>
      <w:b/>
      <w:i/>
      <w:iCs/>
      <w:sz w:val="24"/>
      <w:szCs w:val="24"/>
    </w:rPr>
  </w:style>
  <w:style w:type="paragraph" w:customStyle="1" w:styleId="12">
    <w:name w:val="Заголовок_1 Знак"/>
    <w:basedOn w:val="Normal"/>
    <w:link w:val="13"/>
    <w:uiPriority w:val="99"/>
    <w:semiHidden/>
    <w:rsid w:val="005072F6"/>
    <w:pPr>
      <w:spacing w:after="0" w:line="360" w:lineRule="auto"/>
      <w:ind w:firstLine="709"/>
      <w:jc w:val="center"/>
    </w:pPr>
    <w:rPr>
      <w:rFonts w:ascii="Times New Roman" w:hAnsi="Times New Roman"/>
      <w:b/>
      <w:caps/>
      <w:sz w:val="24"/>
      <w:szCs w:val="20"/>
      <w:lang w:eastAsia="ru-RU"/>
    </w:rPr>
  </w:style>
  <w:style w:type="character" w:customStyle="1" w:styleId="13">
    <w:name w:val="Заголовок_1 Знак Знак"/>
    <w:link w:val="12"/>
    <w:uiPriority w:val="99"/>
    <w:locked/>
    <w:rsid w:val="005072F6"/>
    <w:rPr>
      <w:b/>
      <w:caps/>
      <w:sz w:val="24"/>
      <w:lang w:val="ru-RU" w:eastAsia="ru-RU"/>
    </w:rPr>
  </w:style>
  <w:style w:type="character" w:styleId="FollowedHyperlink">
    <w:name w:val="FollowedHyperlink"/>
    <w:basedOn w:val="DefaultParagraphFont"/>
    <w:uiPriority w:val="99"/>
    <w:rsid w:val="005072F6"/>
    <w:rPr>
      <w:rFonts w:cs="Times New Roman"/>
      <w:color w:val="800080"/>
      <w:u w:val="single"/>
    </w:rPr>
  </w:style>
  <w:style w:type="paragraph" w:customStyle="1" w:styleId="a8">
    <w:name w:val="Неразрывный основной текст"/>
    <w:basedOn w:val="BodyText"/>
    <w:uiPriority w:val="99"/>
    <w:semiHidden/>
    <w:rsid w:val="005072F6"/>
    <w:pPr>
      <w:keepNext/>
      <w:spacing w:after="240" w:line="240" w:lineRule="atLeast"/>
      <w:ind w:left="1080" w:firstLine="709"/>
    </w:pPr>
    <w:rPr>
      <w:rFonts w:ascii="Arial" w:hAnsi="Arial" w:cs="Arial"/>
      <w:spacing w:val="-5"/>
      <w:sz w:val="20"/>
      <w:lang w:eastAsia="en-US"/>
    </w:rPr>
  </w:style>
  <w:style w:type="paragraph" w:customStyle="1" w:styleId="a9">
    <w:name w:val="Рисунок"/>
    <w:basedOn w:val="Normal"/>
    <w:next w:val="Caption"/>
    <w:uiPriority w:val="99"/>
    <w:semiHidden/>
    <w:rsid w:val="005072F6"/>
    <w:pPr>
      <w:keepNext/>
      <w:spacing w:after="0" w:line="360" w:lineRule="auto"/>
      <w:ind w:left="1080" w:firstLine="709"/>
      <w:jc w:val="both"/>
    </w:pPr>
    <w:rPr>
      <w:rFonts w:ascii="Arial" w:hAnsi="Arial" w:cs="Arial"/>
      <w:spacing w:val="-5"/>
      <w:sz w:val="20"/>
      <w:szCs w:val="20"/>
    </w:rPr>
  </w:style>
  <w:style w:type="paragraph" w:styleId="Caption">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Normal"/>
    <w:next w:val="Normal"/>
    <w:link w:val="CaptionChar"/>
    <w:uiPriority w:val="99"/>
    <w:qFormat/>
    <w:rsid w:val="005072F6"/>
    <w:pPr>
      <w:spacing w:after="0" w:line="360" w:lineRule="auto"/>
      <w:ind w:firstLine="709"/>
      <w:jc w:val="both"/>
    </w:pPr>
    <w:rPr>
      <w:rFonts w:ascii="Times New Roman" w:hAnsi="Times New Roman"/>
      <w:b/>
      <w:sz w:val="20"/>
      <w:szCs w:val="20"/>
      <w:lang w:eastAsia="ko-KR"/>
    </w:rPr>
  </w:style>
  <w:style w:type="paragraph" w:customStyle="1" w:styleId="aa">
    <w:name w:val="Название части"/>
    <w:basedOn w:val="Normal"/>
    <w:uiPriority w:val="99"/>
    <w:semiHidden/>
    <w:rsid w:val="005072F6"/>
    <w:pPr>
      <w:shd w:val="solid" w:color="auto" w:fill="auto"/>
      <w:spacing w:after="0" w:line="360" w:lineRule="exact"/>
      <w:ind w:firstLine="709"/>
      <w:jc w:val="center"/>
    </w:pPr>
    <w:rPr>
      <w:rFonts w:ascii="Arial" w:hAnsi="Arial" w:cs="Arial"/>
      <w:color w:val="FFFFFF"/>
      <w:spacing w:val="-16"/>
      <w:sz w:val="26"/>
      <w:szCs w:val="26"/>
    </w:rPr>
  </w:style>
  <w:style w:type="paragraph" w:styleId="Subtitle">
    <w:name w:val="Subtitle"/>
    <w:basedOn w:val="Title"/>
    <w:next w:val="BodyText"/>
    <w:link w:val="SubtitleChar"/>
    <w:uiPriority w:val="99"/>
    <w:qFormat/>
    <w:rsid w:val="005072F6"/>
    <w:pPr>
      <w:keepLines/>
      <w:suppressAutoHyphens w:val="0"/>
      <w:spacing w:before="60" w:line="340" w:lineRule="atLeast"/>
      <w:jc w:val="left"/>
    </w:pPr>
    <w:rPr>
      <w:rFonts w:cs="Arial"/>
      <w:spacing w:val="-16"/>
      <w:kern w:val="28"/>
      <w:sz w:val="32"/>
      <w:szCs w:val="32"/>
      <w:lang w:eastAsia="en-US"/>
    </w:rPr>
  </w:style>
  <w:style w:type="character" w:customStyle="1" w:styleId="SubtitleChar">
    <w:name w:val="Subtitle Char"/>
    <w:basedOn w:val="DefaultParagraphFont"/>
    <w:link w:val="Subtitle"/>
    <w:uiPriority w:val="99"/>
    <w:locked/>
    <w:rsid w:val="00C15EE9"/>
    <w:rPr>
      <w:rFonts w:ascii="Arial" w:hAnsi="Arial" w:cs="Times New Roman"/>
      <w:spacing w:val="-16"/>
      <w:kern w:val="28"/>
      <w:sz w:val="32"/>
      <w:lang w:val="ru-RU" w:eastAsia="en-US"/>
    </w:rPr>
  </w:style>
  <w:style w:type="paragraph" w:customStyle="1" w:styleId="ab">
    <w:name w:val="Подзаголовок главы"/>
    <w:basedOn w:val="Subtitle"/>
    <w:uiPriority w:val="99"/>
    <w:semiHidden/>
    <w:rsid w:val="005072F6"/>
  </w:style>
  <w:style w:type="paragraph" w:customStyle="1" w:styleId="ac">
    <w:name w:val="Название предприятия"/>
    <w:basedOn w:val="Normal"/>
    <w:uiPriority w:val="99"/>
    <w:semiHidden/>
    <w:rsid w:val="005072F6"/>
    <w:pPr>
      <w:keepNext/>
      <w:keepLines/>
      <w:spacing w:after="0" w:line="220" w:lineRule="atLeast"/>
      <w:ind w:firstLine="709"/>
      <w:jc w:val="both"/>
    </w:pPr>
    <w:rPr>
      <w:rFonts w:ascii="Arial Black" w:hAnsi="Arial Black" w:cs="Arial Black"/>
      <w:spacing w:val="-25"/>
      <w:kern w:val="28"/>
      <w:sz w:val="32"/>
      <w:szCs w:val="32"/>
    </w:rPr>
  </w:style>
  <w:style w:type="paragraph" w:customStyle="1" w:styleId="1">
    <w:name w:val="Маркированный_1"/>
    <w:basedOn w:val="Normal"/>
    <w:link w:val="14"/>
    <w:uiPriority w:val="99"/>
    <w:semiHidden/>
    <w:rsid w:val="005072F6"/>
    <w:pPr>
      <w:numPr>
        <w:ilvl w:val="1"/>
        <w:numId w:val="13"/>
      </w:numPr>
      <w:tabs>
        <w:tab w:val="left" w:pos="900"/>
      </w:tabs>
      <w:spacing w:after="0" w:line="360" w:lineRule="auto"/>
      <w:ind w:firstLine="720"/>
      <w:jc w:val="both"/>
    </w:pPr>
    <w:rPr>
      <w:rFonts w:ascii="Times New Roman" w:hAnsi="Times New Roman"/>
      <w:sz w:val="24"/>
      <w:szCs w:val="24"/>
      <w:lang w:eastAsia="ko-KR"/>
    </w:rPr>
  </w:style>
  <w:style w:type="character" w:customStyle="1" w:styleId="14">
    <w:name w:val="Маркированный_1 Знак"/>
    <w:link w:val="1"/>
    <w:uiPriority w:val="99"/>
    <w:semiHidden/>
    <w:locked/>
    <w:rsid w:val="005072F6"/>
    <w:rPr>
      <w:sz w:val="24"/>
      <w:szCs w:val="24"/>
      <w:lang w:eastAsia="ko-KR"/>
    </w:rPr>
  </w:style>
  <w:style w:type="paragraph" w:customStyle="1" w:styleId="ad">
    <w:name w:val="Текст таблицы"/>
    <w:basedOn w:val="Normal"/>
    <w:uiPriority w:val="99"/>
    <w:rsid w:val="005072F6"/>
    <w:pPr>
      <w:spacing w:before="60" w:after="0" w:line="360" w:lineRule="auto"/>
      <w:ind w:firstLine="709"/>
      <w:jc w:val="both"/>
    </w:pPr>
    <w:rPr>
      <w:rFonts w:ascii="Arial" w:hAnsi="Arial" w:cs="Arial"/>
      <w:spacing w:val="-5"/>
      <w:sz w:val="16"/>
      <w:szCs w:val="16"/>
    </w:rPr>
  </w:style>
  <w:style w:type="paragraph" w:customStyle="1" w:styleId="ae">
    <w:name w:val="Название документа"/>
    <w:basedOn w:val="Normal"/>
    <w:uiPriority w:val="99"/>
    <w:semiHidden/>
    <w:rsid w:val="005072F6"/>
    <w:pPr>
      <w:keepNext/>
      <w:keepLines/>
      <w:pBdr>
        <w:top w:val="single" w:sz="48" w:space="31" w:color="auto"/>
      </w:pBdr>
      <w:tabs>
        <w:tab w:val="left" w:pos="0"/>
      </w:tabs>
      <w:spacing w:before="240" w:after="500" w:line="640" w:lineRule="exact"/>
      <w:ind w:firstLine="709"/>
      <w:jc w:val="both"/>
    </w:pPr>
    <w:rPr>
      <w:rFonts w:ascii="Arial Black" w:hAnsi="Arial Black" w:cs="Arial Black"/>
      <w:b/>
      <w:bCs/>
      <w:spacing w:val="-48"/>
      <w:kern w:val="28"/>
      <w:sz w:val="64"/>
      <w:szCs w:val="64"/>
    </w:rPr>
  </w:style>
  <w:style w:type="paragraph" w:customStyle="1" w:styleId="af">
    <w:name w:val="Нижний колонтитул (четный)"/>
    <w:basedOn w:val="Footer"/>
    <w:uiPriority w:val="99"/>
    <w:semiHidden/>
    <w:rsid w:val="005072F6"/>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0">
    <w:name w:val="Нижний колонтитул (первый)"/>
    <w:basedOn w:val="Footer"/>
    <w:uiPriority w:val="99"/>
    <w:semiHidden/>
    <w:rsid w:val="005072F6"/>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1">
    <w:name w:val="Нижний колонтитул (нечетный)"/>
    <w:basedOn w:val="Footer"/>
    <w:uiPriority w:val="99"/>
    <w:semiHidden/>
    <w:rsid w:val="005072F6"/>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character" w:styleId="LineNumber">
    <w:name w:val="line number"/>
    <w:basedOn w:val="DefaultParagraphFont"/>
    <w:uiPriority w:val="99"/>
    <w:rsid w:val="005072F6"/>
    <w:rPr>
      <w:rFonts w:cs="Times New Roman"/>
      <w:sz w:val="18"/>
    </w:rPr>
  </w:style>
  <w:style w:type="paragraph" w:styleId="List">
    <w:name w:val="List"/>
    <w:basedOn w:val="BodyText"/>
    <w:link w:val="ListChar"/>
    <w:uiPriority w:val="99"/>
    <w:rsid w:val="005072F6"/>
    <w:pPr>
      <w:spacing w:after="240" w:line="240" w:lineRule="atLeast"/>
      <w:ind w:left="1440" w:hanging="360"/>
    </w:pPr>
    <w:rPr>
      <w:rFonts w:ascii="Arial" w:hAnsi="Arial"/>
      <w:spacing w:val="-5"/>
      <w:sz w:val="20"/>
      <w:lang w:eastAsia="en-US"/>
    </w:rPr>
  </w:style>
  <w:style w:type="paragraph" w:styleId="List2">
    <w:name w:val="List 2"/>
    <w:basedOn w:val="List"/>
    <w:uiPriority w:val="99"/>
    <w:rsid w:val="005072F6"/>
    <w:pPr>
      <w:ind w:left="1800"/>
    </w:pPr>
  </w:style>
  <w:style w:type="paragraph" w:styleId="List3">
    <w:name w:val="List 3"/>
    <w:basedOn w:val="List"/>
    <w:uiPriority w:val="99"/>
    <w:rsid w:val="005072F6"/>
    <w:pPr>
      <w:ind w:left="2160"/>
    </w:pPr>
  </w:style>
  <w:style w:type="paragraph" w:styleId="List4">
    <w:name w:val="List 4"/>
    <w:basedOn w:val="List"/>
    <w:uiPriority w:val="99"/>
    <w:rsid w:val="005072F6"/>
    <w:pPr>
      <w:ind w:left="2520"/>
    </w:pPr>
  </w:style>
  <w:style w:type="paragraph" w:styleId="List5">
    <w:name w:val="List 5"/>
    <w:basedOn w:val="List"/>
    <w:uiPriority w:val="99"/>
    <w:rsid w:val="005072F6"/>
    <w:pPr>
      <w:ind w:left="2880"/>
    </w:pPr>
  </w:style>
  <w:style w:type="paragraph" w:styleId="ListBullet2">
    <w:name w:val="List Bullet 2"/>
    <w:basedOn w:val="Normal"/>
    <w:autoRedefine/>
    <w:uiPriority w:val="99"/>
    <w:rsid w:val="005072F6"/>
    <w:pPr>
      <w:tabs>
        <w:tab w:val="num" w:pos="552"/>
      </w:tabs>
      <w:spacing w:after="240" w:line="240" w:lineRule="atLeast"/>
      <w:ind w:left="1800" w:hanging="552"/>
      <w:jc w:val="both"/>
    </w:pPr>
    <w:rPr>
      <w:rFonts w:ascii="Arial" w:hAnsi="Arial" w:cs="Arial"/>
      <w:spacing w:val="-5"/>
      <w:sz w:val="20"/>
      <w:szCs w:val="20"/>
    </w:rPr>
  </w:style>
  <w:style w:type="paragraph" w:styleId="ListBullet3">
    <w:name w:val="List Bullet 3"/>
    <w:basedOn w:val="Normal"/>
    <w:autoRedefine/>
    <w:uiPriority w:val="99"/>
    <w:rsid w:val="005072F6"/>
    <w:pPr>
      <w:tabs>
        <w:tab w:val="num" w:pos="552"/>
      </w:tabs>
      <w:spacing w:after="240" w:line="240" w:lineRule="atLeast"/>
      <w:ind w:left="2160" w:hanging="552"/>
      <w:jc w:val="both"/>
    </w:pPr>
    <w:rPr>
      <w:rFonts w:ascii="Arial" w:hAnsi="Arial" w:cs="Arial"/>
      <w:spacing w:val="-5"/>
      <w:sz w:val="20"/>
      <w:szCs w:val="20"/>
    </w:rPr>
  </w:style>
  <w:style w:type="paragraph" w:styleId="ListBullet4">
    <w:name w:val="List Bullet 4"/>
    <w:basedOn w:val="Normal"/>
    <w:autoRedefine/>
    <w:uiPriority w:val="99"/>
    <w:rsid w:val="005072F6"/>
    <w:pPr>
      <w:tabs>
        <w:tab w:val="num" w:pos="552"/>
      </w:tabs>
      <w:spacing w:after="240" w:line="240" w:lineRule="atLeast"/>
      <w:ind w:left="2520" w:hanging="552"/>
      <w:jc w:val="both"/>
    </w:pPr>
    <w:rPr>
      <w:rFonts w:ascii="Arial" w:hAnsi="Arial" w:cs="Arial"/>
      <w:spacing w:val="-5"/>
      <w:sz w:val="20"/>
      <w:szCs w:val="20"/>
    </w:rPr>
  </w:style>
  <w:style w:type="paragraph" w:styleId="ListBullet5">
    <w:name w:val="List Bullet 5"/>
    <w:basedOn w:val="Normal"/>
    <w:autoRedefine/>
    <w:uiPriority w:val="99"/>
    <w:rsid w:val="005072F6"/>
    <w:pPr>
      <w:tabs>
        <w:tab w:val="num" w:pos="552"/>
      </w:tabs>
      <w:spacing w:after="240" w:line="240" w:lineRule="atLeast"/>
      <w:ind w:left="2880" w:hanging="552"/>
      <w:jc w:val="both"/>
    </w:pPr>
    <w:rPr>
      <w:rFonts w:ascii="Arial" w:hAnsi="Arial" w:cs="Arial"/>
      <w:spacing w:val="-5"/>
      <w:sz w:val="20"/>
      <w:szCs w:val="20"/>
    </w:rPr>
  </w:style>
  <w:style w:type="paragraph" w:styleId="ListContinue">
    <w:name w:val="List Continue"/>
    <w:basedOn w:val="List"/>
    <w:uiPriority w:val="99"/>
    <w:rsid w:val="005072F6"/>
    <w:pPr>
      <w:ind w:firstLine="0"/>
    </w:pPr>
  </w:style>
  <w:style w:type="paragraph" w:styleId="ListContinue2">
    <w:name w:val="List Continue 2"/>
    <w:basedOn w:val="ListContinue"/>
    <w:uiPriority w:val="99"/>
    <w:rsid w:val="005072F6"/>
    <w:pPr>
      <w:ind w:left="2160"/>
    </w:pPr>
  </w:style>
  <w:style w:type="paragraph" w:styleId="ListContinue3">
    <w:name w:val="List Continue 3"/>
    <w:basedOn w:val="ListContinue"/>
    <w:uiPriority w:val="99"/>
    <w:rsid w:val="005072F6"/>
    <w:pPr>
      <w:ind w:left="2520"/>
    </w:pPr>
  </w:style>
  <w:style w:type="paragraph" w:styleId="ListContinue4">
    <w:name w:val="List Continue 4"/>
    <w:basedOn w:val="ListContinue"/>
    <w:uiPriority w:val="99"/>
    <w:rsid w:val="005072F6"/>
    <w:pPr>
      <w:ind w:left="2880"/>
    </w:pPr>
  </w:style>
  <w:style w:type="paragraph" w:styleId="ListContinue5">
    <w:name w:val="List Continue 5"/>
    <w:basedOn w:val="ListContinue"/>
    <w:uiPriority w:val="99"/>
    <w:rsid w:val="005072F6"/>
    <w:pPr>
      <w:ind w:left="3240"/>
    </w:pPr>
  </w:style>
  <w:style w:type="paragraph" w:styleId="ListNumber">
    <w:name w:val="List Number"/>
    <w:basedOn w:val="Normal"/>
    <w:uiPriority w:val="99"/>
    <w:rsid w:val="005072F6"/>
    <w:pPr>
      <w:spacing w:before="100" w:beforeAutospacing="1" w:after="100" w:afterAutospacing="1" w:line="360" w:lineRule="auto"/>
      <w:ind w:firstLine="709"/>
      <w:jc w:val="both"/>
    </w:pPr>
    <w:rPr>
      <w:rFonts w:ascii="Times New Roman" w:hAnsi="Times New Roman"/>
      <w:sz w:val="28"/>
      <w:szCs w:val="28"/>
      <w:lang w:eastAsia="ru-RU"/>
    </w:rPr>
  </w:style>
  <w:style w:type="paragraph" w:styleId="ListNumber2">
    <w:name w:val="List Number 2"/>
    <w:basedOn w:val="ListNumber"/>
    <w:uiPriority w:val="99"/>
    <w:rsid w:val="005072F6"/>
    <w:pPr>
      <w:spacing w:before="0" w:beforeAutospacing="0" w:after="240" w:afterAutospacing="0" w:line="240" w:lineRule="atLeast"/>
      <w:ind w:left="1800" w:hanging="360"/>
    </w:pPr>
    <w:rPr>
      <w:rFonts w:ascii="Arial" w:hAnsi="Arial" w:cs="Arial"/>
      <w:spacing w:val="-5"/>
      <w:sz w:val="20"/>
      <w:szCs w:val="20"/>
      <w:lang w:eastAsia="en-US"/>
    </w:rPr>
  </w:style>
  <w:style w:type="paragraph" w:styleId="ListNumber3">
    <w:name w:val="List Number 3"/>
    <w:basedOn w:val="ListNumber"/>
    <w:uiPriority w:val="99"/>
    <w:rsid w:val="005072F6"/>
    <w:pPr>
      <w:tabs>
        <w:tab w:val="num" w:pos="720"/>
      </w:tabs>
      <w:spacing w:before="0" w:beforeAutospacing="0" w:after="240" w:afterAutospacing="0" w:line="240" w:lineRule="atLeast"/>
      <w:ind w:left="2160" w:hanging="360"/>
    </w:pPr>
    <w:rPr>
      <w:rFonts w:ascii="Arial" w:hAnsi="Arial" w:cs="Arial"/>
      <w:spacing w:val="-5"/>
      <w:sz w:val="20"/>
      <w:szCs w:val="20"/>
      <w:lang w:eastAsia="en-US"/>
    </w:rPr>
  </w:style>
  <w:style w:type="paragraph" w:styleId="ListNumber4">
    <w:name w:val="List Number 4"/>
    <w:basedOn w:val="ListNumber"/>
    <w:uiPriority w:val="99"/>
    <w:rsid w:val="005072F6"/>
    <w:pPr>
      <w:spacing w:before="0" w:beforeAutospacing="0" w:after="240" w:afterAutospacing="0" w:line="240" w:lineRule="atLeast"/>
      <w:ind w:left="2520" w:hanging="360"/>
    </w:pPr>
    <w:rPr>
      <w:rFonts w:ascii="Arial" w:hAnsi="Arial" w:cs="Arial"/>
      <w:spacing w:val="-5"/>
      <w:sz w:val="20"/>
      <w:szCs w:val="20"/>
      <w:lang w:eastAsia="en-US"/>
    </w:rPr>
  </w:style>
  <w:style w:type="paragraph" w:styleId="ListNumber5">
    <w:name w:val="List Number 5"/>
    <w:basedOn w:val="ListNumber"/>
    <w:uiPriority w:val="99"/>
    <w:rsid w:val="005072F6"/>
    <w:pPr>
      <w:spacing w:before="0" w:beforeAutospacing="0" w:after="240" w:afterAutospacing="0" w:line="240" w:lineRule="atLeast"/>
      <w:ind w:left="2880" w:hanging="360"/>
    </w:pPr>
    <w:rPr>
      <w:rFonts w:ascii="Arial" w:hAnsi="Arial" w:cs="Arial"/>
      <w:spacing w:val="-5"/>
      <w:sz w:val="20"/>
      <w:szCs w:val="20"/>
      <w:lang w:eastAsia="en-US"/>
    </w:rPr>
  </w:style>
  <w:style w:type="paragraph" w:styleId="NormalIndent">
    <w:name w:val="Normal Indent"/>
    <w:basedOn w:val="Normal"/>
    <w:uiPriority w:val="99"/>
    <w:rsid w:val="005072F6"/>
    <w:pPr>
      <w:spacing w:after="0" w:line="360" w:lineRule="auto"/>
      <w:ind w:left="1440" w:firstLine="709"/>
      <w:jc w:val="both"/>
    </w:pPr>
    <w:rPr>
      <w:rFonts w:ascii="Arial" w:hAnsi="Arial" w:cs="Arial"/>
      <w:spacing w:val="-5"/>
      <w:sz w:val="20"/>
      <w:szCs w:val="20"/>
    </w:rPr>
  </w:style>
  <w:style w:type="paragraph" w:customStyle="1" w:styleId="af2">
    <w:name w:val="Подзаголовок части"/>
    <w:basedOn w:val="Normal"/>
    <w:next w:val="BodyText"/>
    <w:uiPriority w:val="99"/>
    <w:semiHidden/>
    <w:rsid w:val="005072F6"/>
    <w:pPr>
      <w:keepNext/>
      <w:spacing w:before="360" w:after="120" w:line="360" w:lineRule="auto"/>
      <w:ind w:left="1080" w:firstLine="709"/>
      <w:jc w:val="both"/>
    </w:pPr>
    <w:rPr>
      <w:rFonts w:ascii="Arial" w:hAnsi="Arial" w:cs="Arial"/>
      <w:i/>
      <w:iCs/>
      <w:spacing w:val="-5"/>
      <w:kern w:val="28"/>
      <w:sz w:val="26"/>
      <w:szCs w:val="26"/>
    </w:rPr>
  </w:style>
  <w:style w:type="paragraph" w:customStyle="1" w:styleId="af3">
    <w:name w:val="Обратный адрес"/>
    <w:basedOn w:val="Normal"/>
    <w:uiPriority w:val="99"/>
    <w:semiHidden/>
    <w:rsid w:val="005072F6"/>
    <w:pPr>
      <w:keepLines/>
      <w:framePr w:w="5160" w:h="840" w:wrap="notBeside" w:vAnchor="page" w:hAnchor="page" w:x="6121" w:y="915" w:anchorLock="1"/>
      <w:tabs>
        <w:tab w:val="left" w:pos="2160"/>
      </w:tabs>
      <w:spacing w:after="0" w:line="160" w:lineRule="atLeast"/>
      <w:ind w:firstLine="709"/>
      <w:jc w:val="both"/>
    </w:pPr>
    <w:rPr>
      <w:rFonts w:ascii="Arial" w:hAnsi="Arial" w:cs="Arial"/>
      <w:sz w:val="14"/>
      <w:szCs w:val="14"/>
    </w:rPr>
  </w:style>
  <w:style w:type="paragraph" w:customStyle="1" w:styleId="af4">
    <w:name w:val="Название раздела"/>
    <w:basedOn w:val="Normal"/>
    <w:next w:val="BodyText"/>
    <w:uiPriority w:val="99"/>
    <w:semiHidden/>
    <w:rsid w:val="005072F6"/>
    <w:pPr>
      <w:pBdr>
        <w:bottom w:val="single" w:sz="6" w:space="2" w:color="auto"/>
      </w:pBdr>
      <w:spacing w:before="360" w:after="960" w:line="360" w:lineRule="auto"/>
      <w:ind w:firstLine="709"/>
      <w:jc w:val="both"/>
    </w:pPr>
    <w:rPr>
      <w:rFonts w:ascii="Arial Black" w:hAnsi="Arial Black" w:cs="Arial Black"/>
      <w:spacing w:val="-35"/>
      <w:sz w:val="54"/>
      <w:szCs w:val="54"/>
      <w:lang w:eastAsia="ru-RU"/>
    </w:rPr>
  </w:style>
  <w:style w:type="paragraph" w:customStyle="1" w:styleId="af5">
    <w:name w:val="Подзаголовок титульного листа"/>
    <w:basedOn w:val="Normal"/>
    <w:next w:val="BodyText"/>
    <w:uiPriority w:val="99"/>
    <w:semiHidden/>
    <w:rsid w:val="005072F6"/>
    <w:pPr>
      <w:pBdr>
        <w:top w:val="single" w:sz="6" w:space="24" w:color="auto"/>
      </w:pBdr>
      <w:spacing w:after="0" w:line="480" w:lineRule="atLeast"/>
      <w:ind w:left="835" w:right="835" w:firstLine="709"/>
      <w:jc w:val="both"/>
    </w:pPr>
    <w:rPr>
      <w:rFonts w:ascii="Arial" w:hAnsi="Arial" w:cs="Arial"/>
      <w:b/>
      <w:bCs/>
      <w:spacing w:val="-30"/>
      <w:sz w:val="48"/>
      <w:szCs w:val="48"/>
      <w:lang w:eastAsia="ru-RU"/>
    </w:rPr>
  </w:style>
  <w:style w:type="character" w:customStyle="1" w:styleId="af6">
    <w:name w:val="Надстрочный"/>
    <w:uiPriority w:val="99"/>
    <w:semiHidden/>
    <w:rsid w:val="005072F6"/>
    <w:rPr>
      <w:b/>
      <w:vertAlign w:val="superscript"/>
    </w:rPr>
  </w:style>
  <w:style w:type="paragraph" w:styleId="TOC1">
    <w:name w:val="toc 1"/>
    <w:basedOn w:val="Subtitle"/>
    <w:next w:val="Normal"/>
    <w:link w:val="TOC1Char"/>
    <w:autoRedefine/>
    <w:uiPriority w:val="99"/>
    <w:rsid w:val="00971927"/>
    <w:pPr>
      <w:tabs>
        <w:tab w:val="left" w:pos="720"/>
        <w:tab w:val="left" w:pos="9071"/>
      </w:tabs>
      <w:spacing w:before="0" w:line="240" w:lineRule="auto"/>
      <w:ind w:left="426" w:hanging="284"/>
    </w:pPr>
    <w:rPr>
      <w:rFonts w:cs="Times New Roman"/>
      <w:b/>
      <w:noProof/>
      <w:sz w:val="24"/>
      <w:szCs w:val="20"/>
      <w:lang w:eastAsia="ko-KR"/>
    </w:rPr>
  </w:style>
  <w:style w:type="paragraph" w:styleId="TOC3">
    <w:name w:val="toc 3"/>
    <w:basedOn w:val="Normal"/>
    <w:next w:val="Normal"/>
    <w:autoRedefine/>
    <w:uiPriority w:val="99"/>
    <w:rsid w:val="002004B5"/>
    <w:pPr>
      <w:tabs>
        <w:tab w:val="left" w:pos="1440"/>
        <w:tab w:val="right" w:pos="10206"/>
      </w:tabs>
      <w:spacing w:after="0" w:line="240" w:lineRule="auto"/>
      <w:ind w:left="720"/>
      <w:jc w:val="both"/>
    </w:pPr>
    <w:rPr>
      <w:rFonts w:ascii="Times New Roman" w:hAnsi="Times New Roman"/>
      <w:noProof/>
      <w:sz w:val="24"/>
      <w:szCs w:val="24"/>
      <w:lang w:eastAsia="ru-RU"/>
    </w:rPr>
  </w:style>
  <w:style w:type="character" w:styleId="HTMLSample">
    <w:name w:val="HTML Sample"/>
    <w:basedOn w:val="DefaultParagraphFont"/>
    <w:uiPriority w:val="99"/>
    <w:rsid w:val="005072F6"/>
    <w:rPr>
      <w:rFonts w:ascii="Courier New" w:hAnsi="Courier New" w:cs="Times New Roman"/>
      <w:lang w:val="ru-RU"/>
    </w:rPr>
  </w:style>
  <w:style w:type="paragraph" w:styleId="EnvelopeReturn">
    <w:name w:val="envelope return"/>
    <w:basedOn w:val="Normal"/>
    <w:uiPriority w:val="99"/>
    <w:rsid w:val="005072F6"/>
    <w:pPr>
      <w:spacing w:after="0" w:line="360" w:lineRule="auto"/>
      <w:ind w:left="1080" w:firstLine="709"/>
      <w:jc w:val="both"/>
    </w:pPr>
    <w:rPr>
      <w:rFonts w:ascii="Arial" w:hAnsi="Arial" w:cs="Arial"/>
      <w:spacing w:val="-5"/>
      <w:sz w:val="20"/>
      <w:szCs w:val="20"/>
    </w:rPr>
  </w:style>
  <w:style w:type="character" w:styleId="HTMLDefinition">
    <w:name w:val="HTML Definition"/>
    <w:basedOn w:val="DefaultParagraphFont"/>
    <w:uiPriority w:val="99"/>
    <w:rsid w:val="005072F6"/>
    <w:rPr>
      <w:rFonts w:cs="Times New Roman"/>
      <w:i/>
      <w:lang w:val="ru-RU"/>
    </w:rPr>
  </w:style>
  <w:style w:type="character" w:styleId="HTMLVariable">
    <w:name w:val="HTML Variable"/>
    <w:basedOn w:val="DefaultParagraphFont"/>
    <w:uiPriority w:val="99"/>
    <w:rsid w:val="005072F6"/>
    <w:rPr>
      <w:rFonts w:cs="Times New Roman"/>
      <w:i/>
      <w:lang w:val="ru-RU"/>
    </w:rPr>
  </w:style>
  <w:style w:type="character" w:styleId="HTMLTypewriter">
    <w:name w:val="HTML Typewriter"/>
    <w:basedOn w:val="DefaultParagraphFont"/>
    <w:uiPriority w:val="99"/>
    <w:rsid w:val="005072F6"/>
    <w:rPr>
      <w:rFonts w:ascii="Courier New" w:hAnsi="Courier New" w:cs="Times New Roman"/>
      <w:sz w:val="20"/>
      <w:lang w:val="ru-RU"/>
    </w:rPr>
  </w:style>
  <w:style w:type="paragraph" w:styleId="Signature">
    <w:name w:val="Signature"/>
    <w:basedOn w:val="Normal"/>
    <w:link w:val="SignatureChar"/>
    <w:uiPriority w:val="99"/>
    <w:rsid w:val="005072F6"/>
    <w:pPr>
      <w:spacing w:after="0" w:line="360" w:lineRule="auto"/>
      <w:ind w:left="4252" w:firstLine="709"/>
      <w:jc w:val="both"/>
    </w:pPr>
    <w:rPr>
      <w:rFonts w:ascii="Arial" w:hAnsi="Arial" w:cs="Arial"/>
      <w:spacing w:val="-5"/>
      <w:sz w:val="20"/>
      <w:szCs w:val="20"/>
    </w:rPr>
  </w:style>
  <w:style w:type="character" w:customStyle="1" w:styleId="SignatureChar">
    <w:name w:val="Signature Char"/>
    <w:basedOn w:val="DefaultParagraphFont"/>
    <w:link w:val="Signature"/>
    <w:uiPriority w:val="99"/>
    <w:locked/>
    <w:rsid w:val="003A7901"/>
    <w:rPr>
      <w:rFonts w:ascii="Arial" w:hAnsi="Arial" w:cs="Arial"/>
      <w:spacing w:val="-5"/>
      <w:lang w:eastAsia="en-US"/>
    </w:rPr>
  </w:style>
  <w:style w:type="paragraph" w:styleId="Salutation">
    <w:name w:val="Salutation"/>
    <w:basedOn w:val="Normal"/>
    <w:next w:val="Normal"/>
    <w:link w:val="SalutationChar"/>
    <w:uiPriority w:val="99"/>
    <w:rsid w:val="005072F6"/>
    <w:pPr>
      <w:spacing w:after="0" w:line="360" w:lineRule="auto"/>
      <w:ind w:left="1080" w:firstLine="709"/>
      <w:jc w:val="both"/>
    </w:pPr>
    <w:rPr>
      <w:rFonts w:ascii="Arial" w:hAnsi="Arial" w:cs="Arial"/>
      <w:spacing w:val="-5"/>
      <w:sz w:val="20"/>
      <w:szCs w:val="20"/>
    </w:rPr>
  </w:style>
  <w:style w:type="character" w:customStyle="1" w:styleId="SalutationChar">
    <w:name w:val="Salutation Char"/>
    <w:basedOn w:val="DefaultParagraphFont"/>
    <w:link w:val="Salutation"/>
    <w:uiPriority w:val="99"/>
    <w:locked/>
    <w:rsid w:val="003A7901"/>
    <w:rPr>
      <w:rFonts w:ascii="Arial" w:hAnsi="Arial" w:cs="Arial"/>
      <w:spacing w:val="-5"/>
      <w:lang w:eastAsia="en-US"/>
    </w:rPr>
  </w:style>
  <w:style w:type="paragraph" w:styleId="Closing">
    <w:name w:val="Closing"/>
    <w:basedOn w:val="Normal"/>
    <w:link w:val="ClosingChar"/>
    <w:uiPriority w:val="99"/>
    <w:rsid w:val="005072F6"/>
    <w:pPr>
      <w:spacing w:after="0" w:line="360" w:lineRule="auto"/>
      <w:ind w:left="4252" w:firstLine="709"/>
      <w:jc w:val="both"/>
    </w:pPr>
    <w:rPr>
      <w:rFonts w:ascii="Arial" w:hAnsi="Arial" w:cs="Arial"/>
      <w:spacing w:val="-5"/>
      <w:sz w:val="20"/>
      <w:szCs w:val="20"/>
    </w:rPr>
  </w:style>
  <w:style w:type="character" w:customStyle="1" w:styleId="ClosingChar">
    <w:name w:val="Closing Char"/>
    <w:basedOn w:val="DefaultParagraphFont"/>
    <w:link w:val="Closing"/>
    <w:uiPriority w:val="99"/>
    <w:locked/>
    <w:rsid w:val="003A7901"/>
    <w:rPr>
      <w:rFonts w:ascii="Arial" w:hAnsi="Arial" w:cs="Arial"/>
      <w:spacing w:val="-5"/>
      <w:lang w:eastAsia="en-US"/>
    </w:rPr>
  </w:style>
  <w:style w:type="paragraph" w:styleId="HTMLPreformatted">
    <w:name w:val="HTML Preformatted"/>
    <w:basedOn w:val="Normal"/>
    <w:link w:val="HTMLPreformattedChar"/>
    <w:uiPriority w:val="99"/>
    <w:rsid w:val="005072F6"/>
    <w:pPr>
      <w:spacing w:after="0" w:line="360" w:lineRule="auto"/>
      <w:ind w:left="1080" w:firstLine="709"/>
      <w:jc w:val="both"/>
    </w:pPr>
    <w:rPr>
      <w:rFonts w:ascii="Courier New" w:hAnsi="Courier New"/>
      <w:spacing w:val="-5"/>
      <w:sz w:val="20"/>
      <w:szCs w:val="20"/>
    </w:rPr>
  </w:style>
  <w:style w:type="character" w:customStyle="1" w:styleId="HTMLPreformattedChar">
    <w:name w:val="HTML Preformatted Char"/>
    <w:basedOn w:val="DefaultParagraphFont"/>
    <w:link w:val="HTMLPreformatted"/>
    <w:uiPriority w:val="99"/>
    <w:locked/>
    <w:rsid w:val="00775784"/>
    <w:rPr>
      <w:rFonts w:ascii="Courier New" w:hAnsi="Courier New" w:cs="Times New Roman"/>
      <w:spacing w:val="-5"/>
      <w:lang w:eastAsia="en-US"/>
    </w:rPr>
  </w:style>
  <w:style w:type="paragraph" w:styleId="PlainText">
    <w:name w:val="Plain Text"/>
    <w:basedOn w:val="Normal"/>
    <w:link w:val="PlainTextChar"/>
    <w:uiPriority w:val="99"/>
    <w:rsid w:val="005072F6"/>
    <w:pPr>
      <w:spacing w:after="0" w:line="360" w:lineRule="auto"/>
      <w:ind w:left="1080" w:firstLine="709"/>
      <w:jc w:val="both"/>
    </w:pPr>
    <w:rPr>
      <w:rFonts w:ascii="Courier New" w:hAnsi="Courier New" w:cs="Courier New"/>
      <w:spacing w:val="-5"/>
      <w:sz w:val="20"/>
      <w:szCs w:val="20"/>
    </w:rPr>
  </w:style>
  <w:style w:type="character" w:customStyle="1" w:styleId="PlainTextChar">
    <w:name w:val="Plain Text Char"/>
    <w:basedOn w:val="DefaultParagraphFont"/>
    <w:link w:val="PlainText"/>
    <w:uiPriority w:val="99"/>
    <w:semiHidden/>
    <w:locked/>
    <w:rsid w:val="006B3A86"/>
    <w:rPr>
      <w:rFonts w:ascii="Courier New" w:hAnsi="Courier New" w:cs="Courier New"/>
      <w:sz w:val="20"/>
      <w:szCs w:val="20"/>
      <w:lang w:eastAsia="en-US"/>
    </w:rPr>
  </w:style>
  <w:style w:type="paragraph" w:styleId="E-mailSignature">
    <w:name w:val="E-mail Signature"/>
    <w:basedOn w:val="Normal"/>
    <w:link w:val="E-mailSignatureChar"/>
    <w:uiPriority w:val="99"/>
    <w:rsid w:val="005072F6"/>
    <w:pPr>
      <w:spacing w:after="0" w:line="360" w:lineRule="auto"/>
      <w:ind w:left="1080" w:firstLine="709"/>
      <w:jc w:val="both"/>
    </w:pPr>
    <w:rPr>
      <w:rFonts w:ascii="Arial" w:hAnsi="Arial" w:cs="Arial"/>
      <w:spacing w:val="-5"/>
      <w:sz w:val="20"/>
      <w:szCs w:val="20"/>
    </w:rPr>
  </w:style>
  <w:style w:type="character" w:customStyle="1" w:styleId="E-mailSignatureChar">
    <w:name w:val="E-mail Signature Char"/>
    <w:basedOn w:val="DefaultParagraphFont"/>
    <w:link w:val="E-mailSignature"/>
    <w:uiPriority w:val="99"/>
    <w:locked/>
    <w:rsid w:val="003A7901"/>
    <w:rPr>
      <w:rFonts w:ascii="Arial" w:hAnsi="Arial" w:cs="Arial"/>
      <w:spacing w:val="-5"/>
      <w:lang w:eastAsia="en-US"/>
    </w:rPr>
  </w:style>
  <w:style w:type="paragraph" w:customStyle="1" w:styleId="af7">
    <w:name w:val="Обычный в таблице"/>
    <w:basedOn w:val="Normal"/>
    <w:link w:val="af8"/>
    <w:uiPriority w:val="99"/>
    <w:semiHidden/>
    <w:rsid w:val="005072F6"/>
    <w:pPr>
      <w:spacing w:after="0" w:line="360" w:lineRule="auto"/>
      <w:ind w:firstLine="709"/>
      <w:jc w:val="both"/>
    </w:pPr>
    <w:rPr>
      <w:rFonts w:ascii="Times New Roman" w:hAnsi="Times New Roman"/>
      <w:sz w:val="28"/>
      <w:szCs w:val="20"/>
      <w:lang w:eastAsia="ru-RU"/>
    </w:rPr>
  </w:style>
  <w:style w:type="character" w:customStyle="1" w:styleId="15">
    <w:name w:val="Заголовок_1 Знак Знак Знак"/>
    <w:uiPriority w:val="99"/>
    <w:semiHidden/>
    <w:rsid w:val="005072F6"/>
    <w:rPr>
      <w:b/>
      <w:caps/>
      <w:sz w:val="24"/>
      <w:lang w:val="ru-RU" w:eastAsia="ru-RU"/>
    </w:rPr>
  </w:style>
  <w:style w:type="paragraph" w:customStyle="1" w:styleId="ConsTitle">
    <w:name w:val="ConsTitle"/>
    <w:uiPriority w:val="99"/>
    <w:semiHidden/>
    <w:rsid w:val="005072F6"/>
    <w:pPr>
      <w:widowControl w:val="0"/>
      <w:autoSpaceDE w:val="0"/>
      <w:autoSpaceDN w:val="0"/>
      <w:adjustRightInd w:val="0"/>
      <w:ind w:right="19772"/>
    </w:pPr>
    <w:rPr>
      <w:rFonts w:ascii="Arial" w:hAnsi="Arial" w:cs="Arial"/>
      <w:b/>
      <w:bCs/>
      <w:sz w:val="16"/>
      <w:szCs w:val="16"/>
    </w:rPr>
  </w:style>
  <w:style w:type="paragraph" w:customStyle="1" w:styleId="16">
    <w:name w:val="Стиль1"/>
    <w:basedOn w:val="Normal"/>
    <w:uiPriority w:val="99"/>
    <w:rsid w:val="005072F6"/>
    <w:pPr>
      <w:spacing w:after="0" w:line="360" w:lineRule="auto"/>
      <w:ind w:firstLine="540"/>
      <w:jc w:val="center"/>
    </w:pPr>
    <w:rPr>
      <w:rFonts w:ascii="Times New Roman" w:hAnsi="Times New Roman"/>
      <w:b/>
      <w:sz w:val="24"/>
      <w:szCs w:val="24"/>
      <w:lang w:eastAsia="ru-RU"/>
    </w:rPr>
  </w:style>
  <w:style w:type="paragraph" w:customStyle="1" w:styleId="20">
    <w:name w:val="Стиль2"/>
    <w:basedOn w:val="Normal"/>
    <w:next w:val="16"/>
    <w:uiPriority w:val="99"/>
    <w:rsid w:val="005072F6"/>
    <w:pPr>
      <w:spacing w:after="0" w:line="360" w:lineRule="auto"/>
      <w:ind w:right="-8" w:firstLine="720"/>
      <w:jc w:val="center"/>
    </w:pPr>
    <w:rPr>
      <w:rFonts w:ascii="Times New Roman" w:hAnsi="Times New Roman"/>
      <w:b/>
      <w:caps/>
      <w:sz w:val="24"/>
      <w:szCs w:val="24"/>
      <w:lang w:eastAsia="ru-RU"/>
    </w:rPr>
  </w:style>
  <w:style w:type="character" w:styleId="CommentReference">
    <w:name w:val="annotation reference"/>
    <w:basedOn w:val="DefaultParagraphFont"/>
    <w:uiPriority w:val="99"/>
    <w:rsid w:val="005072F6"/>
    <w:rPr>
      <w:rFonts w:cs="Times New Roman"/>
      <w:sz w:val="16"/>
    </w:rPr>
  </w:style>
  <w:style w:type="paragraph" w:styleId="CommentText">
    <w:name w:val="annotation text"/>
    <w:basedOn w:val="Normal"/>
    <w:link w:val="CommentTextChar"/>
    <w:uiPriority w:val="99"/>
    <w:rsid w:val="005072F6"/>
    <w:pPr>
      <w:spacing w:after="0" w:line="360" w:lineRule="auto"/>
      <w:ind w:firstLine="680"/>
      <w:jc w:val="both"/>
    </w:pPr>
    <w:rPr>
      <w:rFonts w:ascii="Times New Roman" w:hAnsi="Times New Roman"/>
      <w:sz w:val="20"/>
      <w:szCs w:val="20"/>
      <w:lang w:eastAsia="ru-RU"/>
    </w:rPr>
  </w:style>
  <w:style w:type="character" w:customStyle="1" w:styleId="CommentTextChar">
    <w:name w:val="Comment Text Char"/>
    <w:basedOn w:val="DefaultParagraphFont"/>
    <w:link w:val="CommentText"/>
    <w:uiPriority w:val="99"/>
    <w:locked/>
    <w:rsid w:val="00775784"/>
    <w:rPr>
      <w:rFonts w:cs="Times New Roman"/>
    </w:rPr>
  </w:style>
  <w:style w:type="paragraph" w:styleId="CommentSubject">
    <w:name w:val="annotation subject"/>
    <w:basedOn w:val="CommentText"/>
    <w:next w:val="CommentText"/>
    <w:link w:val="CommentSubjectChar"/>
    <w:uiPriority w:val="99"/>
    <w:rsid w:val="005072F6"/>
    <w:rPr>
      <w:b/>
      <w:bCs/>
      <w:lang w:eastAsia="ko-KR"/>
    </w:rPr>
  </w:style>
  <w:style w:type="character" w:customStyle="1" w:styleId="CommentSubjectChar">
    <w:name w:val="Comment Subject Char"/>
    <w:basedOn w:val="CommentTextChar"/>
    <w:link w:val="CommentSubject"/>
    <w:uiPriority w:val="99"/>
    <w:locked/>
    <w:rsid w:val="00775784"/>
    <w:rPr>
      <w:b/>
    </w:rPr>
  </w:style>
  <w:style w:type="paragraph" w:styleId="BalloonText">
    <w:name w:val="Balloon Text"/>
    <w:aliases w:val="Знак5"/>
    <w:basedOn w:val="Normal"/>
    <w:link w:val="BalloonTextChar"/>
    <w:uiPriority w:val="99"/>
    <w:rsid w:val="005072F6"/>
    <w:pPr>
      <w:spacing w:after="0" w:line="360" w:lineRule="auto"/>
      <w:ind w:firstLine="680"/>
      <w:jc w:val="both"/>
    </w:pPr>
    <w:rPr>
      <w:rFonts w:ascii="Tahoma" w:hAnsi="Tahoma" w:cs="Tahoma"/>
      <w:sz w:val="16"/>
      <w:szCs w:val="16"/>
      <w:lang w:eastAsia="ru-RU"/>
    </w:rPr>
  </w:style>
  <w:style w:type="character" w:customStyle="1" w:styleId="BalloonTextChar">
    <w:name w:val="Balloon Text Char"/>
    <w:aliases w:val="Знак5 Char"/>
    <w:basedOn w:val="DefaultParagraphFont"/>
    <w:link w:val="BalloonText"/>
    <w:uiPriority w:val="99"/>
    <w:locked/>
    <w:rsid w:val="00337075"/>
    <w:rPr>
      <w:rFonts w:ascii="Tahoma" w:hAnsi="Tahoma" w:cs="Times New Roman"/>
      <w:sz w:val="16"/>
      <w:lang w:val="ru-RU" w:eastAsia="ru-RU"/>
    </w:rPr>
  </w:style>
  <w:style w:type="paragraph" w:customStyle="1" w:styleId="17">
    <w:name w:val="Заголовок1"/>
    <w:basedOn w:val="Normal"/>
    <w:uiPriority w:val="99"/>
    <w:rsid w:val="005072F6"/>
    <w:pPr>
      <w:tabs>
        <w:tab w:val="left" w:pos="8460"/>
      </w:tabs>
      <w:spacing w:after="0" w:line="360" w:lineRule="auto"/>
      <w:ind w:firstLine="540"/>
      <w:jc w:val="center"/>
    </w:pPr>
    <w:rPr>
      <w:rFonts w:ascii="Times New Roman" w:hAnsi="Times New Roman"/>
      <w:caps/>
      <w:sz w:val="24"/>
      <w:szCs w:val="24"/>
      <w:lang w:eastAsia="ru-RU"/>
    </w:rPr>
  </w:style>
  <w:style w:type="paragraph" w:styleId="DocumentMap">
    <w:name w:val="Document Map"/>
    <w:basedOn w:val="Normal"/>
    <w:link w:val="DocumentMapChar"/>
    <w:uiPriority w:val="99"/>
    <w:semiHidden/>
    <w:rsid w:val="005072F6"/>
    <w:pPr>
      <w:shd w:val="clear" w:color="auto" w:fill="000080"/>
      <w:spacing w:after="0" w:line="360" w:lineRule="auto"/>
      <w:ind w:firstLine="709"/>
      <w:jc w:val="both"/>
    </w:pPr>
    <w:rPr>
      <w:rFonts w:ascii="Tahoma" w:hAnsi="Tahoma"/>
      <w:sz w:val="28"/>
      <w:szCs w:val="28"/>
      <w:lang w:eastAsia="ko-KR"/>
    </w:rPr>
  </w:style>
  <w:style w:type="character" w:customStyle="1" w:styleId="DocumentMapChar">
    <w:name w:val="Document Map Char"/>
    <w:basedOn w:val="DefaultParagraphFont"/>
    <w:link w:val="DocumentMap"/>
    <w:uiPriority w:val="99"/>
    <w:locked/>
    <w:rsid w:val="00775784"/>
    <w:rPr>
      <w:rFonts w:ascii="Tahoma" w:hAnsi="Tahoma" w:cs="Times New Roman"/>
      <w:sz w:val="28"/>
      <w:shd w:val="clear" w:color="auto" w:fill="000080"/>
    </w:rPr>
  </w:style>
  <w:style w:type="paragraph" w:customStyle="1" w:styleId="af9">
    <w:name w:val="База заголовка"/>
    <w:basedOn w:val="Normal"/>
    <w:next w:val="BodyText"/>
    <w:uiPriority w:val="99"/>
    <w:semiHidden/>
    <w:rsid w:val="005072F6"/>
    <w:pPr>
      <w:keepNext/>
      <w:keepLines/>
      <w:spacing w:before="140" w:after="0" w:line="220" w:lineRule="atLeast"/>
      <w:ind w:left="1080" w:firstLine="709"/>
      <w:jc w:val="both"/>
    </w:pPr>
    <w:rPr>
      <w:rFonts w:ascii="Arial" w:hAnsi="Arial" w:cs="Arial"/>
      <w:spacing w:val="-4"/>
      <w:kern w:val="28"/>
    </w:rPr>
  </w:style>
  <w:style w:type="paragraph" w:customStyle="1" w:styleId="afa">
    <w:name w:val="Цитаты"/>
    <w:basedOn w:val="Normal"/>
    <w:uiPriority w:val="99"/>
    <w:semiHidden/>
    <w:rsid w:val="005072F6"/>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hAnsi="Arial Narrow" w:cs="Arial Narrow"/>
      <w:spacing w:val="-5"/>
      <w:sz w:val="20"/>
      <w:szCs w:val="20"/>
    </w:rPr>
  </w:style>
  <w:style w:type="paragraph" w:customStyle="1" w:styleId="afb">
    <w:name w:val="Заголовок части"/>
    <w:basedOn w:val="Normal"/>
    <w:uiPriority w:val="99"/>
    <w:semiHidden/>
    <w:rsid w:val="005072F6"/>
    <w:pPr>
      <w:shd w:val="solid" w:color="auto" w:fill="auto"/>
      <w:spacing w:after="0" w:line="660" w:lineRule="exact"/>
      <w:ind w:firstLine="709"/>
      <w:jc w:val="center"/>
    </w:pPr>
    <w:rPr>
      <w:rFonts w:ascii="Arial Black" w:hAnsi="Arial Black" w:cs="Arial Black"/>
      <w:color w:val="FFFFFF"/>
      <w:spacing w:val="-40"/>
      <w:sz w:val="84"/>
      <w:szCs w:val="84"/>
    </w:rPr>
  </w:style>
  <w:style w:type="paragraph" w:customStyle="1" w:styleId="afc">
    <w:name w:val="Заголовок главы"/>
    <w:basedOn w:val="Normal"/>
    <w:uiPriority w:val="99"/>
    <w:semiHidden/>
    <w:rsid w:val="005072F6"/>
    <w:pPr>
      <w:spacing w:after="0" w:line="360" w:lineRule="auto"/>
      <w:ind w:firstLine="709"/>
      <w:jc w:val="center"/>
    </w:pPr>
    <w:rPr>
      <w:rFonts w:ascii="Times New Roman" w:hAnsi="Times New Roman"/>
      <w:caps/>
      <w:sz w:val="24"/>
      <w:szCs w:val="24"/>
      <w:lang w:eastAsia="ru-RU"/>
    </w:rPr>
  </w:style>
  <w:style w:type="paragraph" w:customStyle="1" w:styleId="afd">
    <w:name w:val="База сноски"/>
    <w:basedOn w:val="Normal"/>
    <w:uiPriority w:val="99"/>
    <w:semiHidden/>
    <w:rsid w:val="005072F6"/>
    <w:pPr>
      <w:keepLines/>
      <w:spacing w:after="0" w:line="200" w:lineRule="atLeast"/>
      <w:ind w:left="1080" w:firstLine="709"/>
      <w:jc w:val="both"/>
    </w:pPr>
    <w:rPr>
      <w:rFonts w:ascii="Arial" w:hAnsi="Arial" w:cs="Arial"/>
      <w:spacing w:val="-5"/>
      <w:sz w:val="16"/>
      <w:szCs w:val="16"/>
    </w:rPr>
  </w:style>
  <w:style w:type="paragraph" w:customStyle="1" w:styleId="afe">
    <w:name w:val="Заголовок титульного листа"/>
    <w:basedOn w:val="af9"/>
    <w:next w:val="Normal"/>
    <w:uiPriority w:val="99"/>
    <w:semiHidden/>
    <w:rsid w:val="005072F6"/>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character" w:styleId="Emphasis">
    <w:name w:val="Emphasis"/>
    <w:basedOn w:val="DefaultParagraphFont"/>
    <w:uiPriority w:val="99"/>
    <w:qFormat/>
    <w:rsid w:val="005072F6"/>
    <w:rPr>
      <w:rFonts w:ascii="Arial Black" w:hAnsi="Arial Black" w:cs="Times New Roman"/>
      <w:spacing w:val="-4"/>
      <w:sz w:val="18"/>
    </w:rPr>
  </w:style>
  <w:style w:type="paragraph" w:customStyle="1" w:styleId="aff">
    <w:name w:val="База верхнего колонтитула"/>
    <w:basedOn w:val="Normal"/>
    <w:uiPriority w:val="99"/>
    <w:semiHidden/>
    <w:rsid w:val="005072F6"/>
    <w:pPr>
      <w:keepLines/>
      <w:tabs>
        <w:tab w:val="center" w:pos="4320"/>
        <w:tab w:val="right" w:pos="8640"/>
      </w:tabs>
      <w:spacing w:after="0" w:line="190" w:lineRule="atLeast"/>
      <w:ind w:left="1080" w:firstLine="709"/>
      <w:jc w:val="both"/>
    </w:pPr>
    <w:rPr>
      <w:rFonts w:ascii="Arial" w:hAnsi="Arial" w:cs="Arial"/>
      <w:caps/>
      <w:spacing w:val="-5"/>
      <w:sz w:val="15"/>
      <w:szCs w:val="15"/>
    </w:rPr>
  </w:style>
  <w:style w:type="paragraph" w:customStyle="1" w:styleId="aff0">
    <w:name w:val="Верхний колонтитул (четный)"/>
    <w:basedOn w:val="Header"/>
    <w:uiPriority w:val="99"/>
    <w:semiHidden/>
    <w:rsid w:val="005072F6"/>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1">
    <w:name w:val="Верхний колонтитул (первый)"/>
    <w:basedOn w:val="Header"/>
    <w:uiPriority w:val="99"/>
    <w:semiHidden/>
    <w:rsid w:val="005072F6"/>
    <w:pPr>
      <w:keepLines/>
      <w:pBdr>
        <w:top w:val="single" w:sz="6" w:space="2" w:color="auto"/>
      </w:pBdr>
      <w:tabs>
        <w:tab w:val="clear" w:pos="4677"/>
        <w:tab w:val="clear" w:pos="9355"/>
        <w:tab w:val="center" w:pos="4320"/>
        <w:tab w:val="right" w:pos="8640"/>
      </w:tabs>
      <w:spacing w:line="190" w:lineRule="atLeast"/>
      <w:ind w:left="1080" w:firstLine="709"/>
      <w:jc w:val="right"/>
    </w:pPr>
    <w:rPr>
      <w:rFonts w:ascii="Arial" w:hAnsi="Arial" w:cs="Arial"/>
      <w:caps/>
      <w:spacing w:val="-5"/>
      <w:sz w:val="15"/>
      <w:szCs w:val="15"/>
      <w:lang w:eastAsia="en-US"/>
    </w:rPr>
  </w:style>
  <w:style w:type="paragraph" w:customStyle="1" w:styleId="aff2">
    <w:name w:val="Верхний колонтитул (нечетный)"/>
    <w:basedOn w:val="Header"/>
    <w:uiPriority w:val="99"/>
    <w:semiHidden/>
    <w:rsid w:val="005072F6"/>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3">
    <w:name w:val="База указателя"/>
    <w:basedOn w:val="Normal"/>
    <w:uiPriority w:val="99"/>
    <w:semiHidden/>
    <w:rsid w:val="005072F6"/>
    <w:pPr>
      <w:spacing w:after="0" w:line="240" w:lineRule="atLeast"/>
      <w:ind w:left="360" w:hanging="360"/>
      <w:jc w:val="both"/>
    </w:pPr>
    <w:rPr>
      <w:rFonts w:ascii="Arial" w:hAnsi="Arial" w:cs="Arial"/>
      <w:spacing w:val="-5"/>
      <w:sz w:val="18"/>
      <w:szCs w:val="18"/>
    </w:rPr>
  </w:style>
  <w:style w:type="character" w:customStyle="1" w:styleId="aff4">
    <w:name w:val="Вступление"/>
    <w:uiPriority w:val="99"/>
    <w:semiHidden/>
    <w:rsid w:val="005072F6"/>
    <w:rPr>
      <w:rFonts w:ascii="Arial Black" w:hAnsi="Arial Black"/>
      <w:spacing w:val="-4"/>
      <w:sz w:val="18"/>
    </w:rPr>
  </w:style>
  <w:style w:type="paragraph" w:customStyle="1" w:styleId="aff5">
    <w:name w:val="Заголовок таблицы"/>
    <w:basedOn w:val="Normal"/>
    <w:uiPriority w:val="99"/>
    <w:rsid w:val="005072F6"/>
    <w:pPr>
      <w:spacing w:before="60" w:after="0" w:line="360" w:lineRule="auto"/>
      <w:ind w:firstLine="709"/>
      <w:jc w:val="center"/>
    </w:pPr>
    <w:rPr>
      <w:rFonts w:ascii="Arial Black" w:hAnsi="Arial Black" w:cs="Arial Black"/>
      <w:spacing w:val="-5"/>
      <w:sz w:val="16"/>
      <w:szCs w:val="16"/>
    </w:rPr>
  </w:style>
  <w:style w:type="paragraph" w:styleId="MessageHeader">
    <w:name w:val="Message Header"/>
    <w:basedOn w:val="BodyText"/>
    <w:link w:val="MessageHeaderChar"/>
    <w:uiPriority w:val="99"/>
    <w:rsid w:val="005072F6"/>
    <w:pPr>
      <w:keepLines/>
      <w:tabs>
        <w:tab w:val="left" w:pos="3600"/>
        <w:tab w:val="left" w:pos="4680"/>
      </w:tabs>
      <w:spacing w:after="120" w:line="280" w:lineRule="exact"/>
      <w:ind w:left="1080" w:right="2160" w:hanging="1080"/>
    </w:pPr>
    <w:rPr>
      <w:rFonts w:ascii="Arial" w:hAnsi="Arial" w:cs="Arial"/>
      <w:sz w:val="22"/>
      <w:szCs w:val="22"/>
      <w:lang w:eastAsia="en-US"/>
    </w:rPr>
  </w:style>
  <w:style w:type="character" w:customStyle="1" w:styleId="MessageHeaderChar">
    <w:name w:val="Message Header Char"/>
    <w:basedOn w:val="DefaultParagraphFont"/>
    <w:link w:val="MessageHeader"/>
    <w:uiPriority w:val="99"/>
    <w:locked/>
    <w:rsid w:val="003A7901"/>
    <w:rPr>
      <w:rFonts w:ascii="Arial" w:hAnsi="Arial" w:cs="Arial"/>
      <w:sz w:val="22"/>
      <w:szCs w:val="22"/>
      <w:lang w:eastAsia="en-US"/>
    </w:rPr>
  </w:style>
  <w:style w:type="character" w:customStyle="1" w:styleId="aff6">
    <w:name w:val="Девиз"/>
    <w:uiPriority w:val="99"/>
    <w:semiHidden/>
    <w:rsid w:val="005072F6"/>
    <w:rPr>
      <w:i/>
      <w:spacing w:val="-6"/>
      <w:sz w:val="24"/>
      <w:lang w:val="ru-RU"/>
    </w:rPr>
  </w:style>
  <w:style w:type="paragraph" w:customStyle="1" w:styleId="aff7">
    <w:name w:val="База оглавления"/>
    <w:basedOn w:val="Normal"/>
    <w:uiPriority w:val="99"/>
    <w:semiHidden/>
    <w:rsid w:val="005072F6"/>
    <w:pPr>
      <w:tabs>
        <w:tab w:val="right" w:leader="dot" w:pos="6480"/>
      </w:tabs>
      <w:spacing w:after="240" w:line="240" w:lineRule="atLeast"/>
      <w:ind w:firstLine="709"/>
      <w:jc w:val="both"/>
    </w:pPr>
    <w:rPr>
      <w:rFonts w:ascii="Arial" w:hAnsi="Arial" w:cs="Arial"/>
      <w:spacing w:val="-5"/>
      <w:sz w:val="20"/>
      <w:szCs w:val="20"/>
    </w:rPr>
  </w:style>
  <w:style w:type="paragraph" w:styleId="HTMLAddress">
    <w:name w:val="HTML Address"/>
    <w:basedOn w:val="Normal"/>
    <w:link w:val="HTMLAddressChar"/>
    <w:uiPriority w:val="99"/>
    <w:rsid w:val="005072F6"/>
    <w:pPr>
      <w:spacing w:after="0" w:line="360" w:lineRule="auto"/>
      <w:ind w:left="1080" w:firstLine="709"/>
      <w:jc w:val="both"/>
    </w:pPr>
    <w:rPr>
      <w:rFonts w:ascii="Arial" w:hAnsi="Arial" w:cs="Arial"/>
      <w:i/>
      <w:iCs/>
      <w:spacing w:val="-5"/>
      <w:sz w:val="20"/>
      <w:szCs w:val="20"/>
    </w:rPr>
  </w:style>
  <w:style w:type="character" w:customStyle="1" w:styleId="HTMLAddressChar">
    <w:name w:val="HTML Address Char"/>
    <w:basedOn w:val="DefaultParagraphFont"/>
    <w:link w:val="HTMLAddress"/>
    <w:uiPriority w:val="99"/>
    <w:locked/>
    <w:rsid w:val="003A7901"/>
    <w:rPr>
      <w:rFonts w:ascii="Arial" w:hAnsi="Arial" w:cs="Arial"/>
      <w:i/>
      <w:iCs/>
      <w:spacing w:val="-5"/>
      <w:lang w:eastAsia="en-US"/>
    </w:rPr>
  </w:style>
  <w:style w:type="paragraph" w:styleId="EnvelopeAddress">
    <w:name w:val="envelope address"/>
    <w:basedOn w:val="Normal"/>
    <w:uiPriority w:val="99"/>
    <w:rsid w:val="005072F6"/>
    <w:pPr>
      <w:framePr w:w="7920" w:h="1980" w:hRule="exact" w:hSpace="180" w:wrap="auto" w:hAnchor="page" w:xAlign="center" w:yAlign="bottom"/>
      <w:spacing w:after="0" w:line="360" w:lineRule="auto"/>
      <w:ind w:left="2880" w:firstLine="709"/>
      <w:jc w:val="both"/>
    </w:pPr>
    <w:rPr>
      <w:rFonts w:ascii="Arial" w:hAnsi="Arial" w:cs="Arial"/>
      <w:spacing w:val="-5"/>
      <w:sz w:val="28"/>
      <w:szCs w:val="28"/>
    </w:rPr>
  </w:style>
  <w:style w:type="character" w:styleId="HTMLAcronym">
    <w:name w:val="HTML Acronym"/>
    <w:basedOn w:val="DefaultParagraphFont"/>
    <w:uiPriority w:val="99"/>
    <w:rsid w:val="005072F6"/>
    <w:rPr>
      <w:rFonts w:cs="Times New Roman"/>
      <w:lang w:val="ru-RU"/>
    </w:rPr>
  </w:style>
  <w:style w:type="paragraph" w:styleId="Date">
    <w:name w:val="Date"/>
    <w:basedOn w:val="Normal"/>
    <w:next w:val="Normal"/>
    <w:link w:val="DateChar"/>
    <w:uiPriority w:val="99"/>
    <w:rsid w:val="005072F6"/>
    <w:pPr>
      <w:spacing w:after="0" w:line="360" w:lineRule="auto"/>
      <w:ind w:left="1080" w:firstLine="709"/>
      <w:jc w:val="both"/>
    </w:pPr>
    <w:rPr>
      <w:rFonts w:ascii="Arial" w:hAnsi="Arial" w:cs="Arial"/>
      <w:spacing w:val="-5"/>
      <w:sz w:val="20"/>
      <w:szCs w:val="20"/>
    </w:rPr>
  </w:style>
  <w:style w:type="character" w:customStyle="1" w:styleId="DateChar">
    <w:name w:val="Date Char"/>
    <w:basedOn w:val="DefaultParagraphFont"/>
    <w:link w:val="Date"/>
    <w:uiPriority w:val="99"/>
    <w:locked/>
    <w:rsid w:val="003A7901"/>
    <w:rPr>
      <w:rFonts w:ascii="Arial" w:hAnsi="Arial" w:cs="Arial"/>
      <w:spacing w:val="-5"/>
      <w:lang w:eastAsia="en-US"/>
    </w:rPr>
  </w:style>
  <w:style w:type="paragraph" w:styleId="NoteHeading">
    <w:name w:val="Note Heading"/>
    <w:basedOn w:val="Normal"/>
    <w:next w:val="Normal"/>
    <w:link w:val="NoteHeadingChar"/>
    <w:uiPriority w:val="99"/>
    <w:rsid w:val="005072F6"/>
    <w:pPr>
      <w:spacing w:after="0" w:line="360" w:lineRule="auto"/>
      <w:ind w:left="1080" w:firstLine="709"/>
      <w:jc w:val="both"/>
    </w:pPr>
    <w:rPr>
      <w:rFonts w:ascii="Arial" w:hAnsi="Arial" w:cs="Arial"/>
      <w:spacing w:val="-5"/>
      <w:sz w:val="20"/>
      <w:szCs w:val="20"/>
    </w:rPr>
  </w:style>
  <w:style w:type="character" w:customStyle="1" w:styleId="NoteHeadingChar">
    <w:name w:val="Note Heading Char"/>
    <w:basedOn w:val="DefaultParagraphFont"/>
    <w:link w:val="NoteHeading"/>
    <w:uiPriority w:val="99"/>
    <w:locked/>
    <w:rsid w:val="003A7901"/>
    <w:rPr>
      <w:rFonts w:ascii="Arial" w:hAnsi="Arial" w:cs="Arial"/>
      <w:spacing w:val="-5"/>
      <w:lang w:eastAsia="en-US"/>
    </w:rPr>
  </w:style>
  <w:style w:type="character" w:styleId="HTMLKeyboard">
    <w:name w:val="HTML Keyboard"/>
    <w:basedOn w:val="DefaultParagraphFont"/>
    <w:uiPriority w:val="99"/>
    <w:rsid w:val="005072F6"/>
    <w:rPr>
      <w:rFonts w:ascii="Courier New" w:hAnsi="Courier New" w:cs="Times New Roman"/>
      <w:sz w:val="20"/>
      <w:lang w:val="ru-RU"/>
    </w:rPr>
  </w:style>
  <w:style w:type="character" w:styleId="HTMLCode">
    <w:name w:val="HTML Code"/>
    <w:basedOn w:val="DefaultParagraphFont"/>
    <w:uiPriority w:val="99"/>
    <w:rsid w:val="005072F6"/>
    <w:rPr>
      <w:rFonts w:ascii="Courier New" w:hAnsi="Courier New" w:cs="Times New Roman"/>
      <w:sz w:val="20"/>
      <w:lang w:val="ru-RU"/>
    </w:rPr>
  </w:style>
  <w:style w:type="paragraph" w:styleId="BodyTextFirstIndent">
    <w:name w:val="Body Text First Indent"/>
    <w:basedOn w:val="BodyText"/>
    <w:link w:val="BodyTextFirstIndentChar"/>
    <w:uiPriority w:val="99"/>
    <w:rsid w:val="005072F6"/>
    <w:pPr>
      <w:spacing w:after="120" w:line="360" w:lineRule="auto"/>
      <w:ind w:left="1080" w:firstLine="210"/>
    </w:pPr>
    <w:rPr>
      <w:rFonts w:ascii="Arial" w:hAnsi="Arial"/>
      <w:spacing w:val="-5"/>
      <w:sz w:val="20"/>
      <w:lang w:eastAsia="en-US"/>
    </w:rPr>
  </w:style>
  <w:style w:type="character" w:customStyle="1" w:styleId="BodyTextFirstIndentChar">
    <w:name w:val="Body Text First Indent Char"/>
    <w:basedOn w:val="BodyTextChar"/>
    <w:link w:val="BodyTextFirstIndent"/>
    <w:uiPriority w:val="99"/>
    <w:locked/>
    <w:rsid w:val="00775784"/>
    <w:rPr>
      <w:rFonts w:ascii="Arial" w:hAnsi="Arial"/>
      <w:spacing w:val="-5"/>
      <w:lang w:eastAsia="en-US"/>
    </w:rPr>
  </w:style>
  <w:style w:type="paragraph" w:styleId="BodyTextFirstIndent2">
    <w:name w:val="Body Text First Indent 2"/>
    <w:basedOn w:val="BodyTextIndent"/>
    <w:link w:val="BodyTextFirstIndent2Char"/>
    <w:uiPriority w:val="99"/>
    <w:rsid w:val="005072F6"/>
    <w:pPr>
      <w:spacing w:line="360" w:lineRule="auto"/>
      <w:ind w:firstLine="210"/>
    </w:pPr>
    <w:rPr>
      <w:rFonts w:ascii="Arial" w:hAnsi="Arial" w:cs="Arial"/>
      <w:spacing w:val="-5"/>
      <w:sz w:val="20"/>
      <w:szCs w:val="20"/>
    </w:rPr>
  </w:style>
  <w:style w:type="character" w:customStyle="1" w:styleId="BodyTextFirstIndent2Char">
    <w:name w:val="Body Text First Indent 2 Char"/>
    <w:basedOn w:val="BodyTextIndentChar"/>
    <w:link w:val="BodyTextFirstIndent2"/>
    <w:uiPriority w:val="99"/>
    <w:locked/>
    <w:rsid w:val="003A7901"/>
    <w:rPr>
      <w:rFonts w:ascii="Arial" w:hAnsi="Arial" w:cs="Arial"/>
      <w:spacing w:val="-5"/>
      <w:szCs w:val="22"/>
      <w:lang w:bidi="ar-SA"/>
    </w:rPr>
  </w:style>
  <w:style w:type="character" w:styleId="HTMLCite">
    <w:name w:val="HTML Cite"/>
    <w:basedOn w:val="DefaultParagraphFont"/>
    <w:uiPriority w:val="99"/>
    <w:rsid w:val="005072F6"/>
    <w:rPr>
      <w:rFonts w:cs="Times New Roman"/>
      <w:i/>
      <w:lang w:val="ru-RU"/>
    </w:rPr>
  </w:style>
  <w:style w:type="paragraph" w:customStyle="1" w:styleId="18">
    <w:name w:val="Название объекта1"/>
    <w:basedOn w:val="Normal"/>
    <w:uiPriority w:val="99"/>
    <w:rsid w:val="005072F6"/>
    <w:pPr>
      <w:spacing w:after="0" w:line="360" w:lineRule="auto"/>
      <w:ind w:left="1080" w:firstLine="709"/>
      <w:jc w:val="both"/>
    </w:pPr>
    <w:rPr>
      <w:rFonts w:ascii="Arial" w:hAnsi="Arial" w:cs="Arial"/>
      <w:spacing w:val="-5"/>
      <w:sz w:val="20"/>
      <w:szCs w:val="20"/>
      <w:lang w:eastAsia="ru-RU"/>
    </w:rPr>
  </w:style>
  <w:style w:type="paragraph" w:styleId="TOC4">
    <w:name w:val="toc 4"/>
    <w:basedOn w:val="Heading4"/>
    <w:next w:val="Normal"/>
    <w:autoRedefine/>
    <w:uiPriority w:val="99"/>
    <w:rsid w:val="008025B5"/>
    <w:pPr>
      <w:tabs>
        <w:tab w:val="left" w:pos="1134"/>
        <w:tab w:val="right" w:leader="dot" w:pos="9072"/>
      </w:tabs>
      <w:spacing w:before="0" w:after="120"/>
      <w:ind w:left="1134" w:hanging="437"/>
      <w:jc w:val="both"/>
    </w:pPr>
    <w:rPr>
      <w:noProof/>
      <w:sz w:val="26"/>
      <w:szCs w:val="26"/>
      <w:lang w:eastAsia="ru-RU"/>
    </w:rPr>
  </w:style>
  <w:style w:type="paragraph" w:styleId="TOC5">
    <w:name w:val="toc 5"/>
    <w:basedOn w:val="Normal"/>
    <w:next w:val="Normal"/>
    <w:autoRedefine/>
    <w:uiPriority w:val="99"/>
    <w:rsid w:val="008025B5"/>
    <w:pPr>
      <w:tabs>
        <w:tab w:val="left" w:pos="1843"/>
        <w:tab w:val="right" w:leader="dot" w:pos="9072"/>
      </w:tabs>
      <w:spacing w:after="120" w:line="240" w:lineRule="auto"/>
      <w:ind w:left="1843" w:hanging="721"/>
      <w:jc w:val="both"/>
    </w:pPr>
    <w:rPr>
      <w:rFonts w:ascii="Times New Roman" w:hAnsi="Times New Roman"/>
      <w:noProof/>
      <w:sz w:val="24"/>
      <w:szCs w:val="18"/>
      <w:lang w:eastAsia="ru-RU"/>
    </w:rPr>
  </w:style>
  <w:style w:type="paragraph" w:styleId="TOC6">
    <w:name w:val="toc 6"/>
    <w:basedOn w:val="Normal"/>
    <w:next w:val="Normal"/>
    <w:autoRedefine/>
    <w:uiPriority w:val="99"/>
    <w:rsid w:val="005072F6"/>
    <w:pPr>
      <w:spacing w:after="0" w:line="360" w:lineRule="auto"/>
      <w:ind w:left="1400" w:firstLine="709"/>
      <w:jc w:val="both"/>
    </w:pPr>
    <w:rPr>
      <w:rFonts w:ascii="Times New Roman" w:hAnsi="Times New Roman"/>
      <w:sz w:val="18"/>
      <w:szCs w:val="18"/>
      <w:lang w:eastAsia="ru-RU"/>
    </w:rPr>
  </w:style>
  <w:style w:type="paragraph" w:styleId="TOC7">
    <w:name w:val="toc 7"/>
    <w:basedOn w:val="Normal"/>
    <w:next w:val="Normal"/>
    <w:autoRedefine/>
    <w:uiPriority w:val="99"/>
    <w:rsid w:val="005072F6"/>
    <w:pPr>
      <w:spacing w:after="0" w:line="360" w:lineRule="auto"/>
      <w:ind w:left="1680" w:firstLine="709"/>
      <w:jc w:val="both"/>
    </w:pPr>
    <w:rPr>
      <w:rFonts w:ascii="Times New Roman" w:hAnsi="Times New Roman"/>
      <w:sz w:val="18"/>
      <w:szCs w:val="18"/>
      <w:lang w:eastAsia="ru-RU"/>
    </w:rPr>
  </w:style>
  <w:style w:type="paragraph" w:styleId="TOC8">
    <w:name w:val="toc 8"/>
    <w:basedOn w:val="Normal"/>
    <w:next w:val="Normal"/>
    <w:autoRedefine/>
    <w:uiPriority w:val="99"/>
    <w:rsid w:val="005072F6"/>
    <w:pPr>
      <w:spacing w:after="0" w:line="360" w:lineRule="auto"/>
      <w:ind w:left="1960" w:firstLine="709"/>
      <w:jc w:val="both"/>
    </w:pPr>
    <w:rPr>
      <w:rFonts w:ascii="Times New Roman" w:hAnsi="Times New Roman"/>
      <w:sz w:val="18"/>
      <w:szCs w:val="18"/>
      <w:lang w:eastAsia="ru-RU"/>
    </w:rPr>
  </w:style>
  <w:style w:type="paragraph" w:styleId="TOC9">
    <w:name w:val="toc 9"/>
    <w:basedOn w:val="Normal"/>
    <w:next w:val="Normal"/>
    <w:autoRedefine/>
    <w:uiPriority w:val="99"/>
    <w:rsid w:val="005072F6"/>
    <w:pPr>
      <w:spacing w:after="0" w:line="360" w:lineRule="auto"/>
      <w:ind w:left="2240" w:firstLine="709"/>
      <w:jc w:val="both"/>
    </w:pPr>
    <w:rPr>
      <w:rFonts w:ascii="Times New Roman" w:hAnsi="Times New Roman"/>
      <w:sz w:val="18"/>
      <w:szCs w:val="18"/>
      <w:lang w:eastAsia="ru-RU"/>
    </w:rPr>
  </w:style>
  <w:style w:type="paragraph" w:customStyle="1" w:styleId="21">
    <w:name w:val="Основной текст 21"/>
    <w:basedOn w:val="Normal"/>
    <w:uiPriority w:val="99"/>
    <w:rsid w:val="005072F6"/>
    <w:pPr>
      <w:spacing w:after="0" w:line="360" w:lineRule="auto"/>
      <w:ind w:left="426" w:hanging="426"/>
      <w:jc w:val="both"/>
    </w:pPr>
    <w:rPr>
      <w:rFonts w:ascii="Times New Roman" w:hAnsi="Times New Roman"/>
      <w:b/>
      <w:sz w:val="28"/>
      <w:szCs w:val="20"/>
      <w:lang w:eastAsia="ru-RU"/>
    </w:rPr>
  </w:style>
  <w:style w:type="paragraph" w:customStyle="1" w:styleId="19">
    <w:name w:val="Цитата1"/>
    <w:basedOn w:val="Normal"/>
    <w:uiPriority w:val="99"/>
    <w:rsid w:val="005072F6"/>
    <w:pPr>
      <w:spacing w:after="0" w:line="360" w:lineRule="auto"/>
      <w:ind w:left="526" w:right="43" w:firstLine="709"/>
      <w:jc w:val="both"/>
    </w:pPr>
    <w:rPr>
      <w:rFonts w:ascii="Times New Roman" w:hAnsi="Times New Roman"/>
      <w:sz w:val="28"/>
      <w:szCs w:val="20"/>
      <w:lang w:eastAsia="ru-RU"/>
    </w:rPr>
  </w:style>
  <w:style w:type="paragraph" w:customStyle="1" w:styleId="1a">
    <w:name w:val="Маркированный список1"/>
    <w:basedOn w:val="Normal"/>
    <w:uiPriority w:val="99"/>
    <w:rsid w:val="005072F6"/>
    <w:pPr>
      <w:spacing w:before="100" w:beforeAutospacing="1" w:after="100" w:afterAutospacing="1" w:line="360" w:lineRule="auto"/>
      <w:ind w:firstLine="709"/>
      <w:jc w:val="both"/>
    </w:pPr>
    <w:rPr>
      <w:rFonts w:ascii="Times New Roman" w:hAnsi="Times New Roman"/>
      <w:sz w:val="28"/>
      <w:szCs w:val="24"/>
      <w:lang w:eastAsia="ru-RU"/>
    </w:rPr>
  </w:style>
  <w:style w:type="paragraph" w:customStyle="1" w:styleId="1b">
    <w:name w:val="Нумерованный список1"/>
    <w:basedOn w:val="Normal"/>
    <w:uiPriority w:val="99"/>
    <w:semiHidden/>
    <w:rsid w:val="005072F6"/>
    <w:pPr>
      <w:spacing w:before="100" w:beforeAutospacing="1" w:after="100" w:afterAutospacing="1" w:line="360" w:lineRule="auto"/>
      <w:ind w:firstLine="709"/>
      <w:jc w:val="both"/>
    </w:pPr>
    <w:rPr>
      <w:rFonts w:ascii="Times New Roman" w:hAnsi="Times New Roman"/>
      <w:sz w:val="28"/>
      <w:szCs w:val="24"/>
      <w:lang w:eastAsia="ru-RU"/>
    </w:rPr>
  </w:style>
  <w:style w:type="table" w:styleId="TableWeb1">
    <w:name w:val="Table Web 1"/>
    <w:basedOn w:val="TableNormal"/>
    <w:uiPriority w:val="99"/>
    <w:semiHidden/>
    <w:rsid w:val="005072F6"/>
    <w:rPr>
      <w:sz w:val="20"/>
      <w:szCs w:val="20"/>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Web2">
    <w:name w:val="Table Web 2"/>
    <w:basedOn w:val="TableNormal"/>
    <w:uiPriority w:val="99"/>
    <w:semiHidden/>
    <w:rsid w:val="005072F6"/>
    <w:rPr>
      <w:sz w:val="20"/>
      <w:szCs w:val="20"/>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Web3">
    <w:name w:val="Table Web 3"/>
    <w:basedOn w:val="TableNormal"/>
    <w:uiPriority w:val="99"/>
    <w:semiHidden/>
    <w:rsid w:val="005072F6"/>
    <w:rPr>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Elegant">
    <w:name w:val="Table Elegant"/>
    <w:basedOn w:val="TableNormal"/>
    <w:uiPriority w:val="99"/>
    <w:semiHidden/>
    <w:rsid w:val="005072F6"/>
    <w:rPr>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styleId="TableSubtle1">
    <w:name w:val="Table Subtle 1"/>
    <w:basedOn w:val="TableNormal"/>
    <w:uiPriority w:val="99"/>
    <w:semiHidden/>
    <w:rsid w:val="005072F6"/>
    <w:rPr>
      <w:sz w:val="20"/>
      <w:szCs w:val="20"/>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Subtle2">
    <w:name w:val="Table Subtle 2"/>
    <w:basedOn w:val="TableNormal"/>
    <w:uiPriority w:val="99"/>
    <w:semiHidden/>
    <w:rsid w:val="005072F6"/>
    <w:rPr>
      <w:sz w:val="20"/>
      <w:szCs w:val="20"/>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lassic1">
    <w:name w:val="Table Classic 1"/>
    <w:basedOn w:val="TableNormal"/>
    <w:uiPriority w:val="99"/>
    <w:semiHidden/>
    <w:rsid w:val="005072F6"/>
    <w:rPr>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lassic2">
    <w:name w:val="Table Classic 2"/>
    <w:basedOn w:val="TableNormal"/>
    <w:uiPriority w:val="99"/>
    <w:semiHidden/>
    <w:rsid w:val="005072F6"/>
    <w:rPr>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rsid w:val="005072F6"/>
    <w:rPr>
      <w:color w:val="000080"/>
      <w:sz w:val="20"/>
      <w:szCs w:val="2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rsid w:val="005072F6"/>
    <w:rPr>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styleId="Table3Deffects1">
    <w:name w:val="Table 3D effects 1"/>
    <w:basedOn w:val="TableNormal"/>
    <w:uiPriority w:val="99"/>
    <w:semiHidden/>
    <w:rsid w:val="005072F6"/>
    <w:rPr>
      <w:sz w:val="20"/>
      <w:szCs w:val="20"/>
    </w:rPr>
    <w:tblPr>
      <w:tblInd w:w="0" w:type="dxa"/>
      <w:tblCellMar>
        <w:top w:w="0" w:type="dxa"/>
        <w:left w:w="108" w:type="dxa"/>
        <w:bottom w:w="0" w:type="dxa"/>
        <w:right w:w="108" w:type="dxa"/>
      </w:tblCellMa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rsid w:val="005072F6"/>
    <w:rPr>
      <w:sz w:val="20"/>
      <w:szCs w:val="20"/>
    </w:rPr>
    <w:tblPr>
      <w:tblStyleRowBandSize w:val="1"/>
      <w:tblInd w:w="0" w:type="dxa"/>
      <w:tblCellMar>
        <w:top w:w="0" w:type="dxa"/>
        <w:left w:w="108" w:type="dxa"/>
        <w:bottom w:w="0" w:type="dxa"/>
        <w:right w:w="108" w:type="dxa"/>
      </w:tblCellMar>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rsid w:val="005072F6"/>
    <w:rPr>
      <w:sz w:val="20"/>
      <w:szCs w:val="20"/>
    </w:r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Simple1">
    <w:name w:val="Table Simple 1"/>
    <w:basedOn w:val="TableNormal"/>
    <w:uiPriority w:val="99"/>
    <w:semiHidden/>
    <w:rsid w:val="005072F6"/>
    <w:rPr>
      <w:sz w:val="20"/>
      <w:szCs w:val="20"/>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rsid w:val="005072F6"/>
    <w:rPr>
      <w:sz w:val="20"/>
      <w:szCs w:val="20"/>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rsid w:val="005072F6"/>
    <w:rPr>
      <w:sz w:val="20"/>
      <w:szCs w:val="2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TableGrid1">
    <w:name w:val="Table Grid 1"/>
    <w:basedOn w:val="TableNormal"/>
    <w:uiPriority w:val="99"/>
    <w:semiHidden/>
    <w:rsid w:val="005072F6"/>
    <w:rPr>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TableGrid2">
    <w:name w:val="Table Grid 2"/>
    <w:basedOn w:val="TableNormal"/>
    <w:uiPriority w:val="99"/>
    <w:semiHidden/>
    <w:rsid w:val="005072F6"/>
    <w:rPr>
      <w:sz w:val="20"/>
      <w:szCs w:val="20"/>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TableGrid3">
    <w:name w:val="Table Grid 3"/>
    <w:basedOn w:val="TableNormal"/>
    <w:uiPriority w:val="99"/>
    <w:semiHidden/>
    <w:rsid w:val="005072F6"/>
    <w:rPr>
      <w:sz w:val="20"/>
      <w:szCs w:val="20"/>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TableGrid4">
    <w:name w:val="Table Grid 4"/>
    <w:basedOn w:val="TableNormal"/>
    <w:uiPriority w:val="99"/>
    <w:semiHidden/>
    <w:rsid w:val="005072F6"/>
    <w:rPr>
      <w:sz w:val="20"/>
      <w:szCs w:val="20"/>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TableGrid6">
    <w:name w:val="Table Grid 6"/>
    <w:basedOn w:val="TableNormal"/>
    <w:uiPriority w:val="99"/>
    <w:semiHidden/>
    <w:rsid w:val="005072F6"/>
    <w:rPr>
      <w:sz w:val="20"/>
      <w:szCs w:val="20"/>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7">
    <w:name w:val="Table Grid 7"/>
    <w:basedOn w:val="TableNormal"/>
    <w:uiPriority w:val="99"/>
    <w:semiHidden/>
    <w:rsid w:val="005072F6"/>
    <w:rPr>
      <w:b/>
      <w:bCs/>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8">
    <w:name w:val="Table Grid 8"/>
    <w:basedOn w:val="TableNormal"/>
    <w:uiPriority w:val="99"/>
    <w:semiHidden/>
    <w:rsid w:val="005072F6"/>
    <w:rPr>
      <w:sz w:val="20"/>
      <w:szCs w:val="20"/>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TableContemporary">
    <w:name w:val="Table Contemporary"/>
    <w:basedOn w:val="TableNormal"/>
    <w:uiPriority w:val="99"/>
    <w:semiHidden/>
    <w:rsid w:val="005072F6"/>
    <w:rPr>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TableProfessional">
    <w:name w:val="Table Professional"/>
    <w:basedOn w:val="TableNormal"/>
    <w:uiPriority w:val="99"/>
    <w:semiHidden/>
    <w:rsid w:val="005072F6"/>
    <w:rPr>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rsid w:val="005072F6"/>
    <w:rPr>
      <w:b/>
      <w:bCs/>
      <w:sz w:val="20"/>
      <w:szCs w:val="20"/>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lumns2">
    <w:name w:val="Table Columns 2"/>
    <w:basedOn w:val="TableNormal"/>
    <w:uiPriority w:val="99"/>
    <w:semiHidden/>
    <w:rsid w:val="005072F6"/>
    <w:rPr>
      <w:b/>
      <w:bCs/>
      <w:sz w:val="20"/>
      <w:szCs w:val="20"/>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lumns3">
    <w:name w:val="Table Columns 3"/>
    <w:basedOn w:val="TableNormal"/>
    <w:uiPriority w:val="99"/>
    <w:semiHidden/>
    <w:rsid w:val="005072F6"/>
    <w:rPr>
      <w:b/>
      <w:bCs/>
      <w:sz w:val="20"/>
      <w:szCs w:val="20"/>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TableColumns4">
    <w:name w:val="Table Columns 4"/>
    <w:basedOn w:val="TableNormal"/>
    <w:uiPriority w:val="99"/>
    <w:semiHidden/>
    <w:rsid w:val="005072F6"/>
    <w:rPr>
      <w:sz w:val="20"/>
      <w:szCs w:val="20"/>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TableColumns5">
    <w:name w:val="Table Columns 5"/>
    <w:basedOn w:val="TableNormal"/>
    <w:uiPriority w:val="99"/>
    <w:semiHidden/>
    <w:rsid w:val="005072F6"/>
    <w:rPr>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TableList1">
    <w:name w:val="Table List 1"/>
    <w:basedOn w:val="TableNormal"/>
    <w:uiPriority w:val="99"/>
    <w:semiHidden/>
    <w:rsid w:val="005072F6"/>
    <w:rPr>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List2">
    <w:name w:val="Table List 2"/>
    <w:basedOn w:val="TableNormal"/>
    <w:uiPriority w:val="99"/>
    <w:semiHidden/>
    <w:rsid w:val="005072F6"/>
    <w:rPr>
      <w:sz w:val="20"/>
      <w:szCs w:val="20"/>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List3">
    <w:name w:val="Table List 3"/>
    <w:basedOn w:val="TableNormal"/>
    <w:uiPriority w:val="99"/>
    <w:semiHidden/>
    <w:rsid w:val="005072F6"/>
    <w:rPr>
      <w:sz w:val="20"/>
      <w:szCs w:val="20"/>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rsid w:val="005072F6"/>
    <w:rPr>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rsid w:val="005072F6"/>
    <w:rPr>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TableList6">
    <w:name w:val="Table List 6"/>
    <w:basedOn w:val="TableNormal"/>
    <w:uiPriority w:val="99"/>
    <w:semiHidden/>
    <w:rsid w:val="005072F6"/>
    <w:rPr>
      <w:sz w:val="20"/>
      <w:szCs w:val="20"/>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rsid w:val="005072F6"/>
    <w:rPr>
      <w:sz w:val="20"/>
      <w:szCs w:val="20"/>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rsid w:val="005072F6"/>
    <w:rPr>
      <w:sz w:val="20"/>
      <w:szCs w:val="20"/>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TableTheme">
    <w:name w:val="Table Theme"/>
    <w:basedOn w:val="TableNormal"/>
    <w:uiPriority w:val="99"/>
    <w:semiHidden/>
    <w:rsid w:val="005072F6"/>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Colorful1">
    <w:name w:val="Table Colorful 1"/>
    <w:basedOn w:val="TableNormal"/>
    <w:uiPriority w:val="99"/>
    <w:semiHidden/>
    <w:rsid w:val="005072F6"/>
    <w:rPr>
      <w:color w:val="FFFFFF"/>
      <w:sz w:val="20"/>
      <w:szCs w:val="20"/>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rsid w:val="005072F6"/>
    <w:rPr>
      <w:sz w:val="20"/>
      <w:szCs w:val="20"/>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rsid w:val="005072F6"/>
    <w:rPr>
      <w:sz w:val="20"/>
      <w:szCs w:val="20"/>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paragraph" w:customStyle="1" w:styleId="aff8">
    <w:name w:val="Таблица"/>
    <w:basedOn w:val="Normal"/>
    <w:link w:val="aff9"/>
    <w:uiPriority w:val="99"/>
    <w:rsid w:val="005072F6"/>
    <w:pPr>
      <w:spacing w:after="0" w:line="240" w:lineRule="auto"/>
      <w:jc w:val="both"/>
    </w:pPr>
    <w:rPr>
      <w:rFonts w:ascii="Times New Roman" w:hAnsi="Times New Roman"/>
      <w:sz w:val="24"/>
      <w:szCs w:val="20"/>
      <w:lang w:eastAsia="ko-KR"/>
    </w:rPr>
  </w:style>
  <w:style w:type="character" w:customStyle="1" w:styleId="1c">
    <w:name w:val="Заголовок_1"/>
    <w:uiPriority w:val="99"/>
    <w:semiHidden/>
    <w:rsid w:val="005072F6"/>
    <w:rPr>
      <w:caps/>
    </w:rPr>
  </w:style>
  <w:style w:type="character" w:customStyle="1" w:styleId="1d">
    <w:name w:val="Маркированный_1 Знак Знак"/>
    <w:uiPriority w:val="99"/>
    <w:semiHidden/>
    <w:rsid w:val="005072F6"/>
    <w:rPr>
      <w:sz w:val="24"/>
      <w:lang w:val="ru-RU" w:eastAsia="ru-RU"/>
    </w:rPr>
  </w:style>
  <w:style w:type="character" w:customStyle="1" w:styleId="affa">
    <w:name w:val="Подчеркнутый Знак Знак"/>
    <w:uiPriority w:val="99"/>
    <w:semiHidden/>
    <w:rsid w:val="005072F6"/>
    <w:rPr>
      <w:sz w:val="24"/>
      <w:u w:val="single"/>
      <w:lang w:val="ru-RU" w:eastAsia="ru-RU"/>
    </w:rPr>
  </w:style>
  <w:style w:type="paragraph" w:customStyle="1" w:styleId="affb">
    <w:name w:val="Статья"/>
    <w:basedOn w:val="Normal"/>
    <w:uiPriority w:val="99"/>
    <w:semiHidden/>
    <w:rsid w:val="005072F6"/>
    <w:pPr>
      <w:spacing w:after="0" w:line="240" w:lineRule="auto"/>
      <w:jc w:val="both"/>
    </w:pPr>
    <w:rPr>
      <w:rFonts w:ascii="Times New Roman" w:hAnsi="Times New Roman"/>
      <w:sz w:val="24"/>
      <w:szCs w:val="24"/>
      <w:lang w:eastAsia="ru-RU"/>
    </w:rPr>
  </w:style>
  <w:style w:type="paragraph" w:customStyle="1" w:styleId="1e">
    <w:name w:val="текст 1"/>
    <w:basedOn w:val="Normal"/>
    <w:next w:val="Normal"/>
    <w:uiPriority w:val="99"/>
    <w:semiHidden/>
    <w:rsid w:val="005072F6"/>
    <w:pPr>
      <w:spacing w:after="0" w:line="240" w:lineRule="auto"/>
      <w:ind w:firstLine="540"/>
      <w:jc w:val="both"/>
    </w:pPr>
    <w:rPr>
      <w:rFonts w:ascii="Times New Roman" w:hAnsi="Times New Roman"/>
      <w:sz w:val="20"/>
      <w:szCs w:val="24"/>
      <w:lang w:eastAsia="ru-RU"/>
    </w:rPr>
  </w:style>
  <w:style w:type="paragraph" w:customStyle="1" w:styleId="affc">
    <w:name w:val="Заголовок таблици"/>
    <w:uiPriority w:val="99"/>
    <w:semiHidden/>
    <w:rsid w:val="005072F6"/>
    <w:pPr>
      <w:ind w:firstLine="540"/>
      <w:jc w:val="both"/>
    </w:pPr>
    <w:rPr>
      <w:szCs w:val="24"/>
    </w:rPr>
  </w:style>
  <w:style w:type="paragraph" w:customStyle="1" w:styleId="affd">
    <w:name w:val="Номер таблици"/>
    <w:basedOn w:val="Normal"/>
    <w:next w:val="Normal"/>
    <w:uiPriority w:val="99"/>
    <w:semiHidden/>
    <w:rsid w:val="005072F6"/>
    <w:pPr>
      <w:spacing w:after="0" w:line="240" w:lineRule="auto"/>
      <w:jc w:val="right"/>
    </w:pPr>
    <w:rPr>
      <w:rFonts w:ascii="Times New Roman" w:hAnsi="Times New Roman"/>
      <w:b/>
      <w:sz w:val="20"/>
      <w:szCs w:val="24"/>
      <w:lang w:eastAsia="ru-RU"/>
    </w:rPr>
  </w:style>
  <w:style w:type="paragraph" w:customStyle="1" w:styleId="affe">
    <w:name w:val="Приложение"/>
    <w:basedOn w:val="Normal"/>
    <w:next w:val="Normal"/>
    <w:uiPriority w:val="99"/>
    <w:semiHidden/>
    <w:rsid w:val="005072F6"/>
    <w:pPr>
      <w:spacing w:after="0" w:line="240" w:lineRule="auto"/>
      <w:jc w:val="right"/>
    </w:pPr>
    <w:rPr>
      <w:rFonts w:ascii="Times New Roman" w:hAnsi="Times New Roman"/>
      <w:sz w:val="20"/>
      <w:szCs w:val="24"/>
      <w:lang w:eastAsia="ru-RU"/>
    </w:rPr>
  </w:style>
  <w:style w:type="paragraph" w:customStyle="1" w:styleId="afff">
    <w:name w:val="Обычный по таблице"/>
    <w:basedOn w:val="Normal"/>
    <w:uiPriority w:val="99"/>
    <w:semiHidden/>
    <w:rsid w:val="005072F6"/>
    <w:pPr>
      <w:spacing w:after="0" w:line="240" w:lineRule="auto"/>
    </w:pPr>
    <w:rPr>
      <w:rFonts w:ascii="Times New Roman" w:hAnsi="Times New Roman"/>
      <w:sz w:val="24"/>
      <w:szCs w:val="24"/>
      <w:lang w:eastAsia="ru-RU"/>
    </w:rPr>
  </w:style>
  <w:style w:type="character" w:customStyle="1" w:styleId="af8">
    <w:name w:val="Обычный в таблице Знак"/>
    <w:link w:val="af7"/>
    <w:uiPriority w:val="99"/>
    <w:locked/>
    <w:rsid w:val="005072F6"/>
    <w:rPr>
      <w:sz w:val="28"/>
      <w:lang w:val="ru-RU" w:eastAsia="ru-RU"/>
    </w:rPr>
  </w:style>
  <w:style w:type="paragraph" w:customStyle="1" w:styleId="font5">
    <w:name w:val="font5"/>
    <w:basedOn w:val="Normal"/>
    <w:uiPriority w:val="99"/>
    <w:rsid w:val="005072F6"/>
    <w:pPr>
      <w:spacing w:before="100" w:beforeAutospacing="1" w:after="100" w:afterAutospacing="1" w:line="240" w:lineRule="auto"/>
    </w:pPr>
    <w:rPr>
      <w:rFonts w:ascii="Times New Roman" w:hAnsi="Times New Roman"/>
      <w:sz w:val="20"/>
      <w:szCs w:val="20"/>
      <w:lang w:eastAsia="ru-RU"/>
    </w:rPr>
  </w:style>
  <w:style w:type="paragraph" w:customStyle="1" w:styleId="font6">
    <w:name w:val="font6"/>
    <w:basedOn w:val="Normal"/>
    <w:uiPriority w:val="99"/>
    <w:rsid w:val="005072F6"/>
    <w:pPr>
      <w:spacing w:before="100" w:beforeAutospacing="1" w:after="100" w:afterAutospacing="1" w:line="240" w:lineRule="auto"/>
    </w:pPr>
    <w:rPr>
      <w:rFonts w:ascii="Times New Roman" w:hAnsi="Times New Roman"/>
      <w:b/>
      <w:bCs/>
      <w:lang w:eastAsia="ru-RU"/>
    </w:rPr>
  </w:style>
  <w:style w:type="paragraph" w:customStyle="1" w:styleId="xl24">
    <w:name w:val="xl24"/>
    <w:basedOn w:val="Normal"/>
    <w:uiPriority w:val="99"/>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lang w:eastAsia="ru-RU"/>
    </w:rPr>
  </w:style>
  <w:style w:type="paragraph" w:customStyle="1" w:styleId="xl25">
    <w:name w:val="xl25"/>
    <w:basedOn w:val="Normal"/>
    <w:uiPriority w:val="99"/>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lang w:eastAsia="ru-RU"/>
    </w:rPr>
  </w:style>
  <w:style w:type="paragraph" w:customStyle="1" w:styleId="xl26">
    <w:name w:val="xl26"/>
    <w:basedOn w:val="Normal"/>
    <w:uiPriority w:val="99"/>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lang w:eastAsia="ru-RU"/>
    </w:rPr>
  </w:style>
  <w:style w:type="paragraph" w:customStyle="1" w:styleId="xl27">
    <w:name w:val="xl27"/>
    <w:basedOn w:val="Normal"/>
    <w:uiPriority w:val="99"/>
    <w:semiHidden/>
    <w:rsid w:val="005072F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hAnsi="Times New Roman"/>
      <w:b/>
      <w:bCs/>
      <w:lang w:eastAsia="ru-RU"/>
    </w:rPr>
  </w:style>
  <w:style w:type="paragraph" w:customStyle="1" w:styleId="xl28">
    <w:name w:val="xl28"/>
    <w:basedOn w:val="Normal"/>
    <w:uiPriority w:val="99"/>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lang w:eastAsia="ru-RU"/>
    </w:rPr>
  </w:style>
  <w:style w:type="paragraph" w:customStyle="1" w:styleId="xl29">
    <w:name w:val="xl29"/>
    <w:basedOn w:val="Normal"/>
    <w:uiPriority w:val="99"/>
    <w:semiHidden/>
    <w:rsid w:val="005072F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hAnsi="Times New Roman"/>
      <w:lang w:eastAsia="ru-RU"/>
    </w:rPr>
  </w:style>
  <w:style w:type="paragraph" w:customStyle="1" w:styleId="xl30">
    <w:name w:val="xl30"/>
    <w:basedOn w:val="Normal"/>
    <w:uiPriority w:val="99"/>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lang w:eastAsia="ru-RU"/>
    </w:rPr>
  </w:style>
  <w:style w:type="paragraph" w:customStyle="1" w:styleId="xl31">
    <w:name w:val="xl31"/>
    <w:basedOn w:val="Normal"/>
    <w:uiPriority w:val="99"/>
    <w:semiHidden/>
    <w:rsid w:val="005072F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hAnsi="Times New Roman"/>
      <w:b/>
      <w:bCs/>
      <w:lang w:eastAsia="ru-RU"/>
    </w:rPr>
  </w:style>
  <w:style w:type="paragraph" w:customStyle="1" w:styleId="xl32">
    <w:name w:val="xl32"/>
    <w:basedOn w:val="Normal"/>
    <w:uiPriority w:val="99"/>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lang w:eastAsia="ru-RU"/>
    </w:rPr>
  </w:style>
  <w:style w:type="paragraph" w:customStyle="1" w:styleId="xl33">
    <w:name w:val="xl33"/>
    <w:basedOn w:val="Normal"/>
    <w:uiPriority w:val="99"/>
    <w:semiHidden/>
    <w:rsid w:val="005072F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hAnsi="Times New Roman"/>
      <w:b/>
      <w:bCs/>
      <w:lang w:eastAsia="ru-RU"/>
    </w:rPr>
  </w:style>
  <w:style w:type="paragraph" w:customStyle="1" w:styleId="xl34">
    <w:name w:val="xl34"/>
    <w:basedOn w:val="Normal"/>
    <w:uiPriority w:val="99"/>
    <w:semiHidden/>
    <w:rsid w:val="005072F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hAnsi="Times New Roman"/>
      <w:b/>
      <w:bCs/>
      <w:lang w:eastAsia="ru-RU"/>
    </w:rPr>
  </w:style>
  <w:style w:type="paragraph" w:customStyle="1" w:styleId="xl35">
    <w:name w:val="xl35"/>
    <w:basedOn w:val="Normal"/>
    <w:uiPriority w:val="99"/>
    <w:semiHidden/>
    <w:rsid w:val="005072F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hAnsi="Times New Roman"/>
      <w:lang w:eastAsia="ru-RU"/>
    </w:rPr>
  </w:style>
  <w:style w:type="paragraph" w:customStyle="1" w:styleId="xl36">
    <w:name w:val="xl36"/>
    <w:basedOn w:val="Normal"/>
    <w:uiPriority w:val="99"/>
    <w:semiHidden/>
    <w:rsid w:val="005072F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hAnsi="Times New Roman"/>
      <w:lang w:eastAsia="ru-RU"/>
    </w:rPr>
  </w:style>
  <w:style w:type="paragraph" w:customStyle="1" w:styleId="xl37">
    <w:name w:val="xl37"/>
    <w:basedOn w:val="Normal"/>
    <w:uiPriority w:val="99"/>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lang w:eastAsia="ru-RU"/>
    </w:rPr>
  </w:style>
  <w:style w:type="character" w:customStyle="1" w:styleId="1f">
    <w:name w:val="Знак Знак1"/>
    <w:aliases w:val="Знак1 Знак Знак1,Основной текст1 Знак1,Основной текст Знак Знак Знак Знак1,Основной текст Знак Знак1 Знак1"/>
    <w:uiPriority w:val="99"/>
    <w:semiHidden/>
    <w:rsid w:val="005072F6"/>
    <w:rPr>
      <w:sz w:val="24"/>
      <w:u w:val="single"/>
      <w:lang w:val="ru-RU" w:eastAsia="ru-RU"/>
    </w:rPr>
  </w:style>
  <w:style w:type="character" w:customStyle="1" w:styleId="1f0">
    <w:name w:val="Маркированный_1 Знак Знак Знак"/>
    <w:uiPriority w:val="99"/>
    <w:semiHidden/>
    <w:rsid w:val="005072F6"/>
    <w:rPr>
      <w:sz w:val="24"/>
      <w:lang w:val="ru-RU" w:eastAsia="ru-RU"/>
    </w:rPr>
  </w:style>
  <w:style w:type="paragraph" w:customStyle="1" w:styleId="xl38">
    <w:name w:val="xl38"/>
    <w:basedOn w:val="Normal"/>
    <w:uiPriority w:val="99"/>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4"/>
      <w:szCs w:val="24"/>
      <w:lang w:eastAsia="ru-RU"/>
    </w:rPr>
  </w:style>
  <w:style w:type="paragraph" w:customStyle="1" w:styleId="xl39">
    <w:name w:val="xl39"/>
    <w:basedOn w:val="Normal"/>
    <w:uiPriority w:val="99"/>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4"/>
      <w:szCs w:val="24"/>
      <w:lang w:eastAsia="ru-RU"/>
    </w:rPr>
  </w:style>
  <w:style w:type="paragraph" w:customStyle="1" w:styleId="xl40">
    <w:name w:val="xl40"/>
    <w:basedOn w:val="Normal"/>
    <w:uiPriority w:val="99"/>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41">
    <w:name w:val="xl41"/>
    <w:basedOn w:val="Normal"/>
    <w:uiPriority w:val="99"/>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42">
    <w:name w:val="xl42"/>
    <w:basedOn w:val="Normal"/>
    <w:uiPriority w:val="99"/>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43">
    <w:name w:val="xl43"/>
    <w:basedOn w:val="Normal"/>
    <w:uiPriority w:val="99"/>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44">
    <w:name w:val="xl44"/>
    <w:basedOn w:val="Normal"/>
    <w:uiPriority w:val="99"/>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45">
    <w:name w:val="xl45"/>
    <w:basedOn w:val="Normal"/>
    <w:uiPriority w:val="99"/>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lang w:eastAsia="ru-RU"/>
    </w:rPr>
  </w:style>
  <w:style w:type="paragraph" w:customStyle="1" w:styleId="xl46">
    <w:name w:val="xl46"/>
    <w:basedOn w:val="Normal"/>
    <w:uiPriority w:val="99"/>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47">
    <w:name w:val="xl47"/>
    <w:basedOn w:val="Normal"/>
    <w:uiPriority w:val="99"/>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48">
    <w:name w:val="xl48"/>
    <w:basedOn w:val="Normal"/>
    <w:uiPriority w:val="99"/>
    <w:semiHidden/>
    <w:rsid w:val="005072F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sz w:val="24"/>
      <w:szCs w:val="24"/>
      <w:lang w:eastAsia="ru-RU"/>
    </w:rPr>
  </w:style>
  <w:style w:type="paragraph" w:customStyle="1" w:styleId="xl49">
    <w:name w:val="xl49"/>
    <w:basedOn w:val="Normal"/>
    <w:uiPriority w:val="99"/>
    <w:semiHidden/>
    <w:rsid w:val="005072F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lang w:eastAsia="ru-RU"/>
    </w:rPr>
  </w:style>
  <w:style w:type="paragraph" w:customStyle="1" w:styleId="xl50">
    <w:name w:val="xl50"/>
    <w:basedOn w:val="Normal"/>
    <w:uiPriority w:val="99"/>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4"/>
      <w:szCs w:val="24"/>
      <w:lang w:eastAsia="ru-RU"/>
    </w:rPr>
  </w:style>
  <w:style w:type="paragraph" w:customStyle="1" w:styleId="xl51">
    <w:name w:val="xl51"/>
    <w:basedOn w:val="Normal"/>
    <w:uiPriority w:val="99"/>
    <w:semiHidden/>
    <w:rsid w:val="005072F6"/>
    <w:pPr>
      <w:pBdr>
        <w:left w:val="single" w:sz="4" w:space="0" w:color="auto"/>
        <w:right w:val="single" w:sz="4" w:space="0" w:color="auto"/>
      </w:pBdr>
      <w:spacing w:before="100" w:beforeAutospacing="1" w:after="100" w:afterAutospacing="1" w:line="240" w:lineRule="auto"/>
      <w:jc w:val="center"/>
    </w:pPr>
    <w:rPr>
      <w:rFonts w:ascii="Times New Roman" w:hAnsi="Times New Roman"/>
      <w:sz w:val="24"/>
      <w:szCs w:val="24"/>
      <w:lang w:eastAsia="ru-RU"/>
    </w:rPr>
  </w:style>
  <w:style w:type="paragraph" w:customStyle="1" w:styleId="xl52">
    <w:name w:val="xl52"/>
    <w:basedOn w:val="Normal"/>
    <w:uiPriority w:val="99"/>
    <w:semiHidden/>
    <w:rsid w:val="005072F6"/>
    <w:pPr>
      <w:pBdr>
        <w:left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53">
    <w:name w:val="xl53"/>
    <w:basedOn w:val="Normal"/>
    <w:uiPriority w:val="99"/>
    <w:rsid w:val="005072F6"/>
    <w:pPr>
      <w:pBdr>
        <w:left w:val="single" w:sz="4" w:space="0" w:color="auto"/>
        <w:right w:val="single" w:sz="4" w:space="0" w:color="auto"/>
      </w:pBdr>
      <w:spacing w:before="100" w:beforeAutospacing="1" w:after="100" w:afterAutospacing="1" w:line="240" w:lineRule="auto"/>
      <w:jc w:val="center"/>
    </w:pPr>
    <w:rPr>
      <w:rFonts w:ascii="Times New Roman" w:hAnsi="Times New Roman"/>
      <w:b/>
      <w:bCs/>
      <w:color w:val="FF0000"/>
      <w:sz w:val="24"/>
      <w:szCs w:val="24"/>
      <w:lang w:eastAsia="ru-RU"/>
    </w:rPr>
  </w:style>
  <w:style w:type="paragraph" w:customStyle="1" w:styleId="xl54">
    <w:name w:val="xl54"/>
    <w:basedOn w:val="Normal"/>
    <w:uiPriority w:val="99"/>
    <w:rsid w:val="005072F6"/>
    <w:pPr>
      <w:pBdr>
        <w:left w:val="single" w:sz="4" w:space="0" w:color="auto"/>
        <w:right w:val="single" w:sz="4" w:space="0" w:color="auto"/>
      </w:pBdr>
      <w:spacing w:before="100" w:beforeAutospacing="1" w:after="100" w:afterAutospacing="1" w:line="240" w:lineRule="auto"/>
      <w:jc w:val="center"/>
    </w:pPr>
    <w:rPr>
      <w:rFonts w:ascii="Times New Roman" w:hAnsi="Times New Roman"/>
      <w:b/>
      <w:bCs/>
      <w:color w:val="FF0000"/>
      <w:sz w:val="24"/>
      <w:szCs w:val="24"/>
      <w:lang w:eastAsia="ru-RU"/>
    </w:rPr>
  </w:style>
  <w:style w:type="paragraph" w:customStyle="1" w:styleId="xl55">
    <w:name w:val="xl55"/>
    <w:basedOn w:val="Normal"/>
    <w:uiPriority w:val="99"/>
    <w:semiHidden/>
    <w:rsid w:val="005072F6"/>
    <w:pPr>
      <w:pBdr>
        <w:left w:val="single" w:sz="4" w:space="0" w:color="auto"/>
        <w:right w:val="single" w:sz="4" w:space="0" w:color="auto"/>
      </w:pBdr>
      <w:spacing w:before="100" w:beforeAutospacing="1" w:after="100" w:afterAutospacing="1" w:line="240" w:lineRule="auto"/>
    </w:pPr>
    <w:rPr>
      <w:rFonts w:ascii="Times New Roman" w:hAnsi="Times New Roman"/>
      <w:b/>
      <w:bCs/>
      <w:sz w:val="24"/>
      <w:szCs w:val="24"/>
      <w:lang w:eastAsia="ru-RU"/>
    </w:rPr>
  </w:style>
  <w:style w:type="character" w:customStyle="1" w:styleId="afff0">
    <w:name w:val="Знак Знак Знак Знак"/>
    <w:uiPriority w:val="99"/>
    <w:semiHidden/>
    <w:rsid w:val="005072F6"/>
    <w:rPr>
      <w:sz w:val="24"/>
      <w:lang w:val="ru-RU" w:eastAsia="ru-RU"/>
    </w:rPr>
  </w:style>
  <w:style w:type="paragraph" w:customStyle="1" w:styleId="xl23">
    <w:name w:val="xl23"/>
    <w:basedOn w:val="Normal"/>
    <w:uiPriority w:val="99"/>
    <w:semiHidden/>
    <w:rsid w:val="005072F6"/>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sz w:val="24"/>
      <w:szCs w:val="24"/>
      <w:lang w:eastAsia="ru-RU"/>
    </w:rPr>
  </w:style>
  <w:style w:type="character" w:customStyle="1" w:styleId="30">
    <w:name w:val="Знак3 Знак Знак"/>
    <w:aliases w:val="Знак3 Знак1,Знак3 Знак Знак Знак Знак,ПодЗаголовок Знак,Знак6 Знак,Знак14 Знак,Заголовок 31 Знак,Знак19 Знак1,Заголовок главный Знак1"/>
    <w:uiPriority w:val="99"/>
    <w:rsid w:val="005072F6"/>
    <w:rPr>
      <w:b/>
      <w:sz w:val="24"/>
      <w:u w:val="single"/>
      <w:lang w:val="ru-RU" w:eastAsia="ru-RU"/>
    </w:rPr>
  </w:style>
  <w:style w:type="character" w:customStyle="1" w:styleId="afff1">
    <w:name w:val="Подчеркнутый Знак Знак Знак"/>
    <w:uiPriority w:val="99"/>
    <w:semiHidden/>
    <w:rsid w:val="005072F6"/>
    <w:rPr>
      <w:sz w:val="24"/>
      <w:u w:val="single"/>
      <w:lang w:val="ru-RU" w:eastAsia="ru-RU"/>
    </w:rPr>
  </w:style>
  <w:style w:type="character" w:customStyle="1" w:styleId="1f1">
    <w:name w:val="Маркированный_1 Знак Знак Знак Знак"/>
    <w:uiPriority w:val="99"/>
    <w:semiHidden/>
    <w:rsid w:val="005072F6"/>
    <w:rPr>
      <w:sz w:val="24"/>
      <w:lang w:val="ru-RU" w:eastAsia="ru-RU"/>
    </w:rPr>
  </w:style>
  <w:style w:type="character" w:customStyle="1" w:styleId="22">
    <w:name w:val="Знак2 Знак Знак"/>
    <w:uiPriority w:val="99"/>
    <w:semiHidden/>
    <w:rsid w:val="005072F6"/>
    <w:rPr>
      <w:b/>
      <w:sz w:val="24"/>
      <w:lang w:val="ru-RU" w:eastAsia="ru-RU"/>
    </w:rPr>
  </w:style>
  <w:style w:type="character" w:customStyle="1" w:styleId="1f2">
    <w:name w:val="Подчеркнутый Знак Знак1"/>
    <w:uiPriority w:val="99"/>
    <w:semiHidden/>
    <w:rsid w:val="005072F6"/>
    <w:rPr>
      <w:sz w:val="24"/>
      <w:u w:val="single"/>
      <w:lang w:val="ru-RU" w:eastAsia="ru-RU"/>
    </w:rPr>
  </w:style>
  <w:style w:type="character" w:customStyle="1" w:styleId="S40">
    <w:name w:val="S_Заголовок 4 Знак"/>
    <w:link w:val="S4"/>
    <w:uiPriority w:val="99"/>
    <w:locked/>
    <w:rsid w:val="005072F6"/>
    <w:rPr>
      <w:i/>
      <w:sz w:val="24"/>
      <w:szCs w:val="24"/>
      <w:lang w:eastAsia="ko-KR"/>
    </w:rPr>
  </w:style>
  <w:style w:type="paragraph" w:customStyle="1" w:styleId="S8">
    <w:name w:val="S_Обычный в таблице"/>
    <w:basedOn w:val="Normal"/>
    <w:link w:val="S9"/>
    <w:uiPriority w:val="99"/>
    <w:rsid w:val="005072F6"/>
    <w:pPr>
      <w:spacing w:after="0" w:line="360" w:lineRule="auto"/>
      <w:jc w:val="center"/>
    </w:pPr>
    <w:rPr>
      <w:rFonts w:ascii="Times New Roman" w:hAnsi="Times New Roman"/>
      <w:sz w:val="24"/>
      <w:szCs w:val="20"/>
      <w:lang w:eastAsia="ru-RU"/>
    </w:rPr>
  </w:style>
  <w:style w:type="character" w:customStyle="1" w:styleId="S9">
    <w:name w:val="S_Обычный в таблице Знак"/>
    <w:link w:val="S8"/>
    <w:uiPriority w:val="99"/>
    <w:locked/>
    <w:rsid w:val="005072F6"/>
    <w:rPr>
      <w:sz w:val="24"/>
      <w:lang w:val="ru-RU" w:eastAsia="ru-RU"/>
    </w:rPr>
  </w:style>
  <w:style w:type="paragraph" w:customStyle="1" w:styleId="Sa">
    <w:name w:val="S_Титульный"/>
    <w:basedOn w:val="afe"/>
    <w:uiPriority w:val="99"/>
    <w:rsid w:val="005072F6"/>
    <w:pPr>
      <w:keepNext w:val="0"/>
      <w:keepLines w:val="0"/>
      <w:pBdr>
        <w:top w:val="none" w:sz="0" w:space="0" w:color="auto"/>
      </w:pBdr>
      <w:tabs>
        <w:tab w:val="clear" w:pos="0"/>
      </w:tabs>
      <w:spacing w:before="0" w:after="0" w:line="360" w:lineRule="auto"/>
      <w:ind w:left="3060" w:firstLine="0"/>
      <w:jc w:val="right"/>
    </w:pPr>
    <w:rPr>
      <w:rFonts w:ascii="Times New Roman" w:hAnsi="Times New Roman" w:cs="Times New Roman"/>
      <w:bCs w:val="0"/>
      <w:caps/>
      <w:spacing w:val="0"/>
      <w:kern w:val="0"/>
      <w:sz w:val="24"/>
      <w:szCs w:val="24"/>
      <w:lang w:eastAsia="ru-RU"/>
    </w:rPr>
  </w:style>
  <w:style w:type="paragraph" w:customStyle="1" w:styleId="ConsPlusNormal">
    <w:name w:val="ConsPlusNormal"/>
    <w:link w:val="ConsPlusNormal0"/>
    <w:uiPriority w:val="99"/>
    <w:rsid w:val="005072F6"/>
    <w:pPr>
      <w:autoSpaceDE w:val="0"/>
      <w:autoSpaceDN w:val="0"/>
      <w:adjustRightInd w:val="0"/>
      <w:ind w:firstLine="720"/>
    </w:pPr>
    <w:rPr>
      <w:rFonts w:ascii="Arial" w:hAnsi="Arial"/>
    </w:rPr>
  </w:style>
  <w:style w:type="character" w:customStyle="1" w:styleId="110">
    <w:name w:val="Маркированный_1 Знак1"/>
    <w:basedOn w:val="DefaultParagraphFont"/>
    <w:uiPriority w:val="99"/>
    <w:rsid w:val="005072F6"/>
    <w:rPr>
      <w:rFonts w:cs="Times New Roman"/>
    </w:rPr>
  </w:style>
  <w:style w:type="character" w:customStyle="1" w:styleId="S30">
    <w:name w:val="S_Заголовок 3 Знак"/>
    <w:link w:val="S3"/>
    <w:uiPriority w:val="99"/>
    <w:locked/>
    <w:rsid w:val="005072F6"/>
    <w:rPr>
      <w:rFonts w:ascii="Arial" w:hAnsi="Arial"/>
      <w:b/>
      <w:bCs/>
      <w:sz w:val="24"/>
      <w:szCs w:val="24"/>
      <w:u w:val="single"/>
      <w:lang w:eastAsia="ko-KR"/>
    </w:rPr>
  </w:style>
  <w:style w:type="paragraph" w:customStyle="1" w:styleId="S">
    <w:name w:val="S_Таблица"/>
    <w:basedOn w:val="Normal"/>
    <w:uiPriority w:val="99"/>
    <w:rsid w:val="005072F6"/>
    <w:pPr>
      <w:numPr>
        <w:numId w:val="19"/>
      </w:numPr>
      <w:spacing w:after="0" w:line="360" w:lineRule="auto"/>
      <w:ind w:right="-6"/>
      <w:jc w:val="right"/>
    </w:pPr>
    <w:rPr>
      <w:rFonts w:ascii="Times New Roman" w:hAnsi="Times New Roman"/>
      <w:sz w:val="24"/>
      <w:szCs w:val="24"/>
      <w:lang w:eastAsia="ru-RU"/>
    </w:rPr>
  </w:style>
  <w:style w:type="paragraph" w:customStyle="1" w:styleId="ConsPlusNonformat">
    <w:name w:val="ConsPlusNonformat"/>
    <w:uiPriority w:val="99"/>
    <w:rsid w:val="005072F6"/>
    <w:pPr>
      <w:widowControl w:val="0"/>
      <w:autoSpaceDE w:val="0"/>
      <w:autoSpaceDN w:val="0"/>
      <w:adjustRightInd w:val="0"/>
    </w:pPr>
    <w:rPr>
      <w:rFonts w:ascii="Courier New" w:hAnsi="Courier New" w:cs="Courier New"/>
      <w:sz w:val="20"/>
      <w:szCs w:val="20"/>
    </w:rPr>
  </w:style>
  <w:style w:type="paragraph" w:customStyle="1" w:styleId="ConsPlusTitle">
    <w:name w:val="ConsPlusTitle"/>
    <w:uiPriority w:val="99"/>
    <w:rsid w:val="005072F6"/>
    <w:pPr>
      <w:widowControl w:val="0"/>
      <w:autoSpaceDE w:val="0"/>
      <w:autoSpaceDN w:val="0"/>
      <w:adjustRightInd w:val="0"/>
    </w:pPr>
    <w:rPr>
      <w:rFonts w:ascii="Arial" w:hAnsi="Arial" w:cs="Arial"/>
      <w:b/>
      <w:bCs/>
      <w:sz w:val="20"/>
      <w:szCs w:val="20"/>
    </w:rPr>
  </w:style>
  <w:style w:type="paragraph" w:customStyle="1" w:styleId="Preformat">
    <w:name w:val="Preformat"/>
    <w:uiPriority w:val="99"/>
    <w:semiHidden/>
    <w:rsid w:val="005072F6"/>
    <w:rPr>
      <w:rFonts w:ascii="Courier New" w:hAnsi="Courier New" w:cs="Courier New"/>
      <w:sz w:val="20"/>
      <w:szCs w:val="20"/>
    </w:rPr>
  </w:style>
  <w:style w:type="paragraph" w:customStyle="1" w:styleId="OTCHET00">
    <w:name w:val="OTCHET_00"/>
    <w:basedOn w:val="Normal"/>
    <w:uiPriority w:val="99"/>
    <w:rsid w:val="005072F6"/>
    <w:pPr>
      <w:tabs>
        <w:tab w:val="left" w:pos="709"/>
        <w:tab w:val="left" w:pos="3402"/>
      </w:tabs>
      <w:spacing w:after="0" w:line="360" w:lineRule="auto"/>
      <w:jc w:val="both"/>
    </w:pPr>
    <w:rPr>
      <w:rFonts w:ascii="NTTimes/Cyrillic" w:hAnsi="NTTimes/Cyrillic" w:cs="NTTimes/Cyrillic"/>
      <w:sz w:val="24"/>
      <w:szCs w:val="24"/>
      <w:lang w:eastAsia="ru-RU"/>
    </w:rPr>
  </w:style>
  <w:style w:type="paragraph" w:customStyle="1" w:styleId="afff2">
    <w:name w:val="В таблице"/>
    <w:basedOn w:val="Normal"/>
    <w:uiPriority w:val="99"/>
    <w:rsid w:val="005072F6"/>
    <w:pPr>
      <w:spacing w:after="0" w:line="360" w:lineRule="auto"/>
      <w:jc w:val="center"/>
    </w:pPr>
    <w:rPr>
      <w:rFonts w:ascii="Times New Roman" w:hAnsi="Times New Roman"/>
      <w:sz w:val="24"/>
      <w:szCs w:val="24"/>
      <w:lang w:eastAsia="ru-RU"/>
    </w:rPr>
  </w:style>
  <w:style w:type="paragraph" w:customStyle="1" w:styleId="ConsCell">
    <w:name w:val="ConsCell"/>
    <w:uiPriority w:val="99"/>
    <w:rsid w:val="005072F6"/>
    <w:pPr>
      <w:widowControl w:val="0"/>
      <w:autoSpaceDE w:val="0"/>
      <w:autoSpaceDN w:val="0"/>
      <w:adjustRightInd w:val="0"/>
    </w:pPr>
    <w:rPr>
      <w:rFonts w:ascii="Arial" w:hAnsi="Arial" w:cs="Arial"/>
      <w:sz w:val="20"/>
      <w:szCs w:val="20"/>
    </w:rPr>
  </w:style>
  <w:style w:type="character" w:customStyle="1" w:styleId="23">
    <w:name w:val="Знак Знак2"/>
    <w:uiPriority w:val="99"/>
    <w:locked/>
    <w:rsid w:val="005072F6"/>
    <w:rPr>
      <w:b/>
      <w:sz w:val="24"/>
      <w:u w:val="single"/>
      <w:lang w:val="ru-RU" w:eastAsia="ru-RU"/>
    </w:rPr>
  </w:style>
  <w:style w:type="paragraph" w:customStyle="1" w:styleId="Sb">
    <w:name w:val="S_Обычный с подчеркиванием"/>
    <w:basedOn w:val="Normal"/>
    <w:link w:val="Sc"/>
    <w:uiPriority w:val="99"/>
    <w:rsid w:val="005072F6"/>
    <w:pPr>
      <w:spacing w:after="0" w:line="360" w:lineRule="auto"/>
      <w:ind w:firstLine="709"/>
      <w:jc w:val="both"/>
    </w:pPr>
    <w:rPr>
      <w:rFonts w:ascii="Times New Roman" w:hAnsi="Times New Roman"/>
      <w:sz w:val="24"/>
      <w:szCs w:val="20"/>
      <w:u w:val="single"/>
      <w:lang w:eastAsia="ru-RU"/>
    </w:rPr>
  </w:style>
  <w:style w:type="character" w:customStyle="1" w:styleId="Sc">
    <w:name w:val="S_Обычный с подчеркиванием Знак"/>
    <w:link w:val="Sb"/>
    <w:uiPriority w:val="99"/>
    <w:locked/>
    <w:rsid w:val="005072F6"/>
    <w:rPr>
      <w:sz w:val="24"/>
      <w:u w:val="single"/>
      <w:lang w:val="ru-RU" w:eastAsia="ru-RU"/>
    </w:rPr>
  </w:style>
  <w:style w:type="paragraph" w:customStyle="1" w:styleId="xl56">
    <w:name w:val="xl56"/>
    <w:basedOn w:val="Normal"/>
    <w:uiPriority w:val="99"/>
    <w:rsid w:val="005072F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57">
    <w:name w:val="xl57"/>
    <w:basedOn w:val="Normal"/>
    <w:uiPriority w:val="99"/>
    <w:rsid w:val="005072F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58">
    <w:name w:val="xl58"/>
    <w:basedOn w:val="Normal"/>
    <w:uiPriority w:val="99"/>
    <w:rsid w:val="005072F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59">
    <w:name w:val="xl59"/>
    <w:basedOn w:val="Normal"/>
    <w:uiPriority w:val="99"/>
    <w:rsid w:val="005072F6"/>
    <w:pPr>
      <w:pBdr>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24"/>
      <w:szCs w:val="24"/>
      <w:lang w:eastAsia="ru-RU"/>
    </w:rPr>
  </w:style>
  <w:style w:type="paragraph" w:customStyle="1" w:styleId="xl60">
    <w:name w:val="xl60"/>
    <w:basedOn w:val="Normal"/>
    <w:uiPriority w:val="99"/>
    <w:rsid w:val="005072F6"/>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24"/>
      <w:szCs w:val="24"/>
      <w:lang w:eastAsia="ru-RU"/>
    </w:rPr>
  </w:style>
  <w:style w:type="paragraph" w:customStyle="1" w:styleId="xl61">
    <w:name w:val="xl61"/>
    <w:basedOn w:val="Normal"/>
    <w:uiPriority w:val="99"/>
    <w:rsid w:val="005072F6"/>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table" w:customStyle="1" w:styleId="1f3">
    <w:name w:val="Сетка таблицы1"/>
    <w:uiPriority w:val="99"/>
    <w:rsid w:val="005072F6"/>
    <w:pPr>
      <w:spacing w:line="360" w:lineRule="auto"/>
      <w:ind w:firstLine="709"/>
      <w:jc w:val="both"/>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
    <w:name w:val="Сетка таблицы2"/>
    <w:uiPriority w:val="99"/>
    <w:rsid w:val="005072F6"/>
    <w:pPr>
      <w:spacing w:line="360" w:lineRule="auto"/>
      <w:ind w:firstLine="709"/>
      <w:jc w:val="both"/>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4">
    <w:name w:val="Перечисление 1"/>
    <w:basedOn w:val="Normal"/>
    <w:uiPriority w:val="99"/>
    <w:rsid w:val="005072F6"/>
    <w:pPr>
      <w:tabs>
        <w:tab w:val="num" w:pos="360"/>
      </w:tabs>
      <w:spacing w:after="0" w:line="240" w:lineRule="auto"/>
      <w:ind w:left="360" w:hanging="360"/>
    </w:pPr>
    <w:rPr>
      <w:rFonts w:ascii="Arial" w:hAnsi="Arial" w:cs="Arial"/>
      <w:sz w:val="24"/>
      <w:szCs w:val="20"/>
      <w:lang w:eastAsia="ru-RU"/>
    </w:rPr>
  </w:style>
  <w:style w:type="paragraph" w:customStyle="1" w:styleId="Heading">
    <w:name w:val="Heading"/>
    <w:uiPriority w:val="99"/>
    <w:rsid w:val="005072F6"/>
    <w:pPr>
      <w:autoSpaceDE w:val="0"/>
      <w:autoSpaceDN w:val="0"/>
      <w:adjustRightInd w:val="0"/>
    </w:pPr>
    <w:rPr>
      <w:rFonts w:ascii="Arial" w:hAnsi="Arial" w:cs="Arial"/>
      <w:b/>
      <w:bCs/>
    </w:rPr>
  </w:style>
  <w:style w:type="paragraph" w:customStyle="1" w:styleId="afff3">
    <w:name w:val="Маркированный текст"/>
    <w:basedOn w:val="1f4"/>
    <w:uiPriority w:val="99"/>
    <w:rsid w:val="005072F6"/>
    <w:pPr>
      <w:tabs>
        <w:tab w:val="clear" w:pos="360"/>
        <w:tab w:val="num" w:pos="240"/>
        <w:tab w:val="num" w:pos="1429"/>
      </w:tabs>
      <w:ind w:left="0" w:firstLine="0"/>
      <w:jc w:val="both"/>
    </w:pPr>
    <w:rPr>
      <w:sz w:val="22"/>
    </w:rPr>
  </w:style>
  <w:style w:type="character" w:customStyle="1" w:styleId="Sd">
    <w:name w:val="S_Обычный Знак Знак"/>
    <w:uiPriority w:val="99"/>
    <w:rsid w:val="005072F6"/>
    <w:rPr>
      <w:sz w:val="24"/>
      <w:lang w:val="ru-RU" w:eastAsia="ru-RU"/>
    </w:rPr>
  </w:style>
  <w:style w:type="paragraph" w:styleId="FootnoteText">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
    <w:basedOn w:val="Normal"/>
    <w:link w:val="FootnoteTextChar"/>
    <w:uiPriority w:val="99"/>
    <w:rsid w:val="005072F6"/>
    <w:pPr>
      <w:spacing w:after="0" w:line="240" w:lineRule="auto"/>
    </w:pPr>
    <w:rPr>
      <w:rFonts w:ascii="Times New Roman" w:hAnsi="Times New Roman"/>
      <w:sz w:val="20"/>
      <w:szCs w:val="20"/>
      <w:lang w:eastAsia="ru-RU"/>
    </w:rPr>
  </w:style>
  <w:style w:type="character" w:customStyle="1" w:styleId="FootnoteTextChar">
    <w:name w:val="Footnote Text Char"/>
    <w:aliases w:val="Table_Footnote_last Char,Table_Footnote_last Знак Знак Знак Char,Table_Footnote_last Знак Char,Текст сноски Знак1 Char,Текст сноски Знак Знак Char,Текст сноски Знак1 Знак Знак Char,Текст сноски Знак Знак Знак Знак Char"/>
    <w:basedOn w:val="DefaultParagraphFont"/>
    <w:link w:val="FootnoteText"/>
    <w:uiPriority w:val="99"/>
    <w:locked/>
    <w:rsid w:val="00A62020"/>
    <w:rPr>
      <w:rFonts w:cs="Times New Roman"/>
    </w:rPr>
  </w:style>
  <w:style w:type="paragraph" w:customStyle="1" w:styleId="Style2">
    <w:name w:val="Style2"/>
    <w:basedOn w:val="Normal"/>
    <w:uiPriority w:val="99"/>
    <w:rsid w:val="005072F6"/>
    <w:pPr>
      <w:widowControl w:val="0"/>
      <w:autoSpaceDE w:val="0"/>
      <w:autoSpaceDN w:val="0"/>
      <w:adjustRightInd w:val="0"/>
      <w:spacing w:after="0" w:line="240" w:lineRule="auto"/>
    </w:pPr>
    <w:rPr>
      <w:rFonts w:ascii="Times New Roman" w:hAnsi="Times New Roman"/>
      <w:sz w:val="24"/>
      <w:szCs w:val="24"/>
      <w:lang w:eastAsia="ru-RU"/>
    </w:rPr>
  </w:style>
  <w:style w:type="paragraph" w:customStyle="1" w:styleId="a1">
    <w:name w:val="СписокМаркер"/>
    <w:basedOn w:val="BodyTextIndent"/>
    <w:uiPriority w:val="99"/>
    <w:rsid w:val="005072F6"/>
    <w:pPr>
      <w:numPr>
        <w:numId w:val="23"/>
      </w:numPr>
      <w:autoSpaceDE w:val="0"/>
      <w:autoSpaceDN w:val="0"/>
      <w:spacing w:after="0" w:line="360" w:lineRule="auto"/>
      <w:jc w:val="both"/>
    </w:pPr>
    <w:rPr>
      <w:rFonts w:ascii="Times New Roman" w:hAnsi="Times New Roman"/>
      <w:sz w:val="24"/>
      <w:szCs w:val="20"/>
      <w:lang w:eastAsia="zh-CN" w:bidi="he-IL"/>
    </w:rPr>
  </w:style>
  <w:style w:type="paragraph" w:customStyle="1" w:styleId="consnormal0">
    <w:name w:val="consnormal"/>
    <w:basedOn w:val="Normal"/>
    <w:uiPriority w:val="99"/>
    <w:rsid w:val="005072F6"/>
    <w:pPr>
      <w:spacing w:before="100" w:beforeAutospacing="1" w:after="100" w:afterAutospacing="1" w:line="240" w:lineRule="auto"/>
    </w:pPr>
    <w:rPr>
      <w:rFonts w:ascii="Times New Roman" w:hAnsi="Times New Roman"/>
      <w:sz w:val="24"/>
      <w:szCs w:val="24"/>
      <w:lang w:eastAsia="ru-RU"/>
    </w:rPr>
  </w:style>
  <w:style w:type="character" w:customStyle="1" w:styleId="31">
    <w:name w:val="Заголовок 3 Знак Знак Знак"/>
    <w:uiPriority w:val="99"/>
    <w:rsid w:val="005072F6"/>
    <w:rPr>
      <w:rFonts w:ascii="Arial" w:hAnsi="Arial"/>
      <w:b/>
      <w:sz w:val="26"/>
      <w:lang w:val="ru-RU" w:eastAsia="ru-RU"/>
    </w:rPr>
  </w:style>
  <w:style w:type="character" w:customStyle="1" w:styleId="mw-headline">
    <w:name w:val="mw-headline"/>
    <w:basedOn w:val="DefaultParagraphFont"/>
    <w:uiPriority w:val="99"/>
    <w:rsid w:val="005072F6"/>
    <w:rPr>
      <w:rFonts w:cs="Times New Roman"/>
    </w:rPr>
  </w:style>
  <w:style w:type="paragraph" w:customStyle="1" w:styleId="111">
    <w:name w:val="Заголовок 11"/>
    <w:basedOn w:val="Heading1"/>
    <w:uiPriority w:val="99"/>
    <w:rsid w:val="005072F6"/>
    <w:pPr>
      <w:spacing w:line="240" w:lineRule="auto"/>
      <w:jc w:val="left"/>
    </w:pPr>
    <w:rPr>
      <w:bCs w:val="0"/>
      <w:caps/>
      <w:sz w:val="24"/>
      <w:szCs w:val="24"/>
    </w:rPr>
  </w:style>
  <w:style w:type="paragraph" w:customStyle="1" w:styleId="afff4">
    <w:name w:val="Знак Знак Знак Знак Знак Знак Знак Знак Знак Знак Знак Знак Знак Знак Знак Знак Знак Знак Знак Знак Знак Знак"/>
    <w:basedOn w:val="Normal"/>
    <w:autoRedefine/>
    <w:uiPriority w:val="99"/>
    <w:rsid w:val="005072F6"/>
    <w:pPr>
      <w:spacing w:after="160" w:line="240" w:lineRule="exact"/>
    </w:pPr>
    <w:rPr>
      <w:rFonts w:ascii="Times New Roman" w:hAnsi="Times New Roman"/>
      <w:sz w:val="28"/>
      <w:szCs w:val="20"/>
      <w:lang w:val="en-US"/>
    </w:rPr>
  </w:style>
  <w:style w:type="paragraph" w:customStyle="1" w:styleId="Style7">
    <w:name w:val="Style7"/>
    <w:basedOn w:val="Normal"/>
    <w:uiPriority w:val="99"/>
    <w:rsid w:val="005072F6"/>
    <w:pPr>
      <w:widowControl w:val="0"/>
      <w:autoSpaceDE w:val="0"/>
      <w:autoSpaceDN w:val="0"/>
      <w:adjustRightInd w:val="0"/>
      <w:spacing w:after="0" w:line="274" w:lineRule="exact"/>
    </w:pPr>
    <w:rPr>
      <w:rFonts w:ascii="Times New Roman" w:hAnsi="Times New Roman"/>
      <w:sz w:val="24"/>
      <w:szCs w:val="24"/>
      <w:lang w:eastAsia="ru-RU"/>
    </w:rPr>
  </w:style>
  <w:style w:type="character" w:customStyle="1" w:styleId="FontStyle14">
    <w:name w:val="Font Style14"/>
    <w:uiPriority w:val="99"/>
    <w:rsid w:val="005072F6"/>
    <w:rPr>
      <w:rFonts w:ascii="Times New Roman" w:hAnsi="Times New Roman"/>
      <w:sz w:val="24"/>
    </w:rPr>
  </w:style>
  <w:style w:type="character" w:customStyle="1" w:styleId="FontStyle42">
    <w:name w:val="Font Style42"/>
    <w:uiPriority w:val="99"/>
    <w:rsid w:val="005072F6"/>
    <w:rPr>
      <w:rFonts w:ascii="Times New Roman" w:hAnsi="Times New Roman"/>
      <w:sz w:val="16"/>
    </w:rPr>
  </w:style>
  <w:style w:type="character" w:customStyle="1" w:styleId="apple-converted-space">
    <w:name w:val="apple-converted-space"/>
    <w:basedOn w:val="DefaultParagraphFont"/>
    <w:uiPriority w:val="99"/>
    <w:rsid w:val="005072F6"/>
    <w:rPr>
      <w:rFonts w:cs="Times New Roman"/>
    </w:rPr>
  </w:style>
  <w:style w:type="character" w:customStyle="1" w:styleId="170">
    <w:name w:val="Знак Знак17"/>
    <w:uiPriority w:val="99"/>
    <w:rsid w:val="005072F6"/>
    <w:rPr>
      <w:sz w:val="24"/>
      <w:lang w:val="ru-RU" w:eastAsia="ru-RU"/>
    </w:rPr>
  </w:style>
  <w:style w:type="paragraph" w:customStyle="1" w:styleId="ConsPlusCell">
    <w:name w:val="ConsPlusCell"/>
    <w:uiPriority w:val="99"/>
    <w:rsid w:val="005072F6"/>
    <w:pPr>
      <w:autoSpaceDE w:val="0"/>
      <w:autoSpaceDN w:val="0"/>
      <w:adjustRightInd w:val="0"/>
    </w:pPr>
    <w:rPr>
      <w:rFonts w:ascii="Arial" w:hAnsi="Arial" w:cs="Arial"/>
      <w:sz w:val="20"/>
      <w:szCs w:val="20"/>
    </w:rPr>
  </w:style>
  <w:style w:type="character" w:customStyle="1" w:styleId="210">
    <w:name w:val="Знак2 Знак Знак1"/>
    <w:uiPriority w:val="99"/>
    <w:locked/>
    <w:rsid w:val="005072F6"/>
    <w:rPr>
      <w:rFonts w:eastAsia="Arial Unicode MS"/>
      <w:sz w:val="24"/>
      <w:lang w:val="ru-RU" w:eastAsia="ru-RU"/>
    </w:rPr>
  </w:style>
  <w:style w:type="character" w:customStyle="1" w:styleId="112">
    <w:name w:val="Знак11"/>
    <w:uiPriority w:val="99"/>
    <w:semiHidden/>
    <w:rsid w:val="005072F6"/>
    <w:rPr>
      <w:rFonts w:ascii="Arial" w:hAnsi="Arial"/>
      <w:b/>
      <w:i/>
      <w:sz w:val="28"/>
      <w:lang w:val="ru-RU" w:eastAsia="ru-RU"/>
    </w:rPr>
  </w:style>
  <w:style w:type="character" w:customStyle="1" w:styleId="113">
    <w:name w:val="Знак Знак11"/>
    <w:uiPriority w:val="99"/>
    <w:rsid w:val="005072F6"/>
    <w:rPr>
      <w:sz w:val="24"/>
      <w:u w:val="single"/>
      <w:lang w:val="ru-RU" w:eastAsia="ru-RU"/>
    </w:rPr>
  </w:style>
  <w:style w:type="character" w:customStyle="1" w:styleId="1f5">
    <w:name w:val="Знак Знак Знак Знак1"/>
    <w:uiPriority w:val="99"/>
    <w:semiHidden/>
    <w:rsid w:val="005072F6"/>
    <w:rPr>
      <w:sz w:val="24"/>
      <w:lang w:val="ru-RU" w:eastAsia="ru-RU"/>
    </w:rPr>
  </w:style>
  <w:style w:type="character" w:customStyle="1" w:styleId="310">
    <w:name w:val="Знак3 Знак Знак1"/>
    <w:uiPriority w:val="99"/>
    <w:semiHidden/>
    <w:rsid w:val="005072F6"/>
    <w:rPr>
      <w:b/>
      <w:sz w:val="24"/>
      <w:u w:val="single"/>
      <w:lang w:val="ru-RU" w:eastAsia="ru-RU"/>
    </w:rPr>
  </w:style>
  <w:style w:type="character" w:customStyle="1" w:styleId="230">
    <w:name w:val="Знак2 Знак Знак3"/>
    <w:uiPriority w:val="99"/>
    <w:semiHidden/>
    <w:rsid w:val="005072F6"/>
    <w:rPr>
      <w:b/>
      <w:sz w:val="24"/>
      <w:lang w:val="ru-RU" w:eastAsia="ru-RU"/>
    </w:rPr>
  </w:style>
  <w:style w:type="character" w:customStyle="1" w:styleId="211">
    <w:name w:val="Знак21"/>
    <w:uiPriority w:val="99"/>
    <w:semiHidden/>
    <w:rsid w:val="005072F6"/>
    <w:rPr>
      <w:b/>
      <w:sz w:val="24"/>
      <w:lang w:val="ru-RU" w:eastAsia="ru-RU"/>
    </w:rPr>
  </w:style>
  <w:style w:type="paragraph" w:customStyle="1" w:styleId="afff5">
    <w:name w:val="Таблица центр"/>
    <w:basedOn w:val="Normal"/>
    <w:uiPriority w:val="99"/>
    <w:rsid w:val="005072F6"/>
    <w:pPr>
      <w:spacing w:before="40" w:after="40" w:line="240" w:lineRule="auto"/>
      <w:jc w:val="center"/>
    </w:pPr>
    <w:rPr>
      <w:rFonts w:ascii="Arial" w:hAnsi="Arial"/>
      <w:szCs w:val="20"/>
      <w:lang w:eastAsia="ru-RU"/>
    </w:rPr>
  </w:style>
  <w:style w:type="paragraph" w:customStyle="1" w:styleId="-0">
    <w:name w:val="Раздел-табл заг"/>
    <w:basedOn w:val="Normal"/>
    <w:uiPriority w:val="99"/>
    <w:rsid w:val="005072F6"/>
    <w:pPr>
      <w:keepNext/>
      <w:pBdr>
        <w:top w:val="single" w:sz="6" w:space="4" w:color="FFFFFF"/>
        <w:bottom w:val="single" w:sz="6" w:space="4" w:color="FFFFFF"/>
      </w:pBdr>
      <w:spacing w:before="360" w:after="0" w:line="288" w:lineRule="auto"/>
      <w:ind w:left="1701"/>
      <w:outlineLvl w:val="2"/>
    </w:pPr>
    <w:rPr>
      <w:rFonts w:ascii="Arial" w:hAnsi="Arial"/>
      <w:b/>
      <w:caps/>
      <w:sz w:val="26"/>
      <w:szCs w:val="20"/>
      <w:lang w:eastAsia="ru-RU"/>
    </w:rPr>
  </w:style>
  <w:style w:type="paragraph" w:customStyle="1" w:styleId="0-">
    <w:name w:val="Таблица 0-ж"/>
    <w:basedOn w:val="Normal"/>
    <w:uiPriority w:val="99"/>
    <w:rsid w:val="005072F6"/>
    <w:pPr>
      <w:spacing w:before="80" w:after="80" w:line="240" w:lineRule="auto"/>
    </w:pPr>
    <w:rPr>
      <w:rFonts w:ascii="Arial" w:hAnsi="Arial"/>
      <w:b/>
      <w:szCs w:val="20"/>
      <w:lang w:eastAsia="ru-RU"/>
    </w:rPr>
  </w:style>
  <w:style w:type="paragraph" w:customStyle="1" w:styleId="32">
    <w:name w:val="3"/>
    <w:basedOn w:val="Normal"/>
    <w:uiPriority w:val="99"/>
    <w:rsid w:val="005072F6"/>
    <w:pPr>
      <w:spacing w:before="240" w:after="0" w:line="288" w:lineRule="auto"/>
      <w:ind w:left="567"/>
    </w:pPr>
    <w:rPr>
      <w:rFonts w:ascii="Arial" w:hAnsi="Arial"/>
      <w:b/>
      <w:caps/>
      <w:sz w:val="40"/>
      <w:szCs w:val="20"/>
      <w:lang w:eastAsia="ru-RU"/>
    </w:rPr>
  </w:style>
  <w:style w:type="paragraph" w:customStyle="1" w:styleId="0">
    <w:name w:val="Таблица 0"/>
    <w:basedOn w:val="Normal"/>
    <w:uiPriority w:val="99"/>
    <w:rsid w:val="005072F6"/>
    <w:pPr>
      <w:spacing w:before="80" w:after="80" w:line="240" w:lineRule="auto"/>
    </w:pPr>
    <w:rPr>
      <w:rFonts w:ascii="Arial" w:hAnsi="Arial"/>
      <w:szCs w:val="20"/>
      <w:lang w:eastAsia="ru-RU"/>
    </w:rPr>
  </w:style>
  <w:style w:type="paragraph" w:customStyle="1" w:styleId="afff6">
    <w:name w:val="Таблица первая стр"/>
    <w:basedOn w:val="afff5"/>
    <w:uiPriority w:val="99"/>
    <w:rsid w:val="005072F6"/>
    <w:pPr>
      <w:ind w:right="57"/>
      <w:jc w:val="right"/>
    </w:pPr>
  </w:style>
  <w:style w:type="paragraph" w:customStyle="1" w:styleId="1f6">
    <w:name w:val="Таблица 1"/>
    <w:basedOn w:val="Normal"/>
    <w:uiPriority w:val="99"/>
    <w:rsid w:val="005072F6"/>
    <w:pPr>
      <w:spacing w:before="80" w:after="80" w:line="240" w:lineRule="auto"/>
      <w:ind w:left="567"/>
      <w:jc w:val="right"/>
    </w:pPr>
    <w:rPr>
      <w:rFonts w:ascii="Arial" w:hAnsi="Arial"/>
      <w:b/>
      <w:szCs w:val="20"/>
      <w:lang w:eastAsia="ru-RU"/>
    </w:rPr>
  </w:style>
  <w:style w:type="paragraph" w:customStyle="1" w:styleId="-1">
    <w:name w:val="Раздел-табл подзаг"/>
    <w:basedOn w:val="Normal"/>
    <w:uiPriority w:val="99"/>
    <w:rsid w:val="005072F6"/>
    <w:pPr>
      <w:keepNext/>
      <w:pBdr>
        <w:top w:val="single" w:sz="6" w:space="4" w:color="FFFFFF"/>
        <w:bottom w:val="single" w:sz="6" w:space="4" w:color="FFFFFF"/>
      </w:pBdr>
      <w:spacing w:after="240" w:line="288" w:lineRule="auto"/>
      <w:ind w:left="1701"/>
      <w:outlineLvl w:val="3"/>
    </w:pPr>
    <w:rPr>
      <w:rFonts w:ascii="Arial" w:hAnsi="Arial"/>
      <w:caps/>
      <w:spacing w:val="20"/>
      <w:sz w:val="18"/>
      <w:szCs w:val="20"/>
      <w:lang w:eastAsia="ru-RU"/>
    </w:rPr>
  </w:style>
  <w:style w:type="paragraph" w:customStyle="1" w:styleId="25">
    <w:name w:val="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Normal"/>
    <w:uiPriority w:val="99"/>
    <w:rsid w:val="005072F6"/>
    <w:pPr>
      <w:spacing w:before="100" w:beforeAutospacing="1" w:after="100" w:afterAutospacing="1" w:line="240" w:lineRule="auto"/>
      <w:jc w:val="both"/>
    </w:pPr>
    <w:rPr>
      <w:rFonts w:ascii="Tahoma" w:hAnsi="Tahoma"/>
      <w:sz w:val="20"/>
      <w:szCs w:val="20"/>
      <w:lang w:val="en-US"/>
    </w:rPr>
  </w:style>
  <w:style w:type="paragraph" w:customStyle="1" w:styleId="import">
    <w:name w:val="import"/>
    <w:basedOn w:val="Normal"/>
    <w:uiPriority w:val="99"/>
    <w:rsid w:val="005072F6"/>
    <w:pPr>
      <w:spacing w:before="100" w:beforeAutospacing="1" w:after="100" w:afterAutospacing="1" w:line="240" w:lineRule="auto"/>
    </w:pPr>
    <w:rPr>
      <w:rFonts w:ascii="Times New Roman" w:hAnsi="Times New Roman"/>
      <w:sz w:val="24"/>
      <w:szCs w:val="24"/>
      <w:lang w:eastAsia="ru-RU"/>
    </w:rPr>
  </w:style>
  <w:style w:type="paragraph" w:customStyle="1" w:styleId="textr">
    <w:name w:val="text_r"/>
    <w:basedOn w:val="Normal"/>
    <w:uiPriority w:val="99"/>
    <w:rsid w:val="005072F6"/>
    <w:pPr>
      <w:spacing w:before="100" w:beforeAutospacing="1" w:after="100" w:afterAutospacing="1" w:line="360" w:lineRule="auto"/>
      <w:jc w:val="right"/>
    </w:pPr>
    <w:rPr>
      <w:rFonts w:ascii="Arial" w:hAnsi="Arial" w:cs="Arial"/>
      <w:color w:val="222222"/>
      <w:sz w:val="20"/>
      <w:szCs w:val="20"/>
      <w:lang w:eastAsia="ru-RU"/>
    </w:rPr>
  </w:style>
  <w:style w:type="paragraph" w:customStyle="1" w:styleId="text">
    <w:name w:val="text"/>
    <w:basedOn w:val="Normal"/>
    <w:uiPriority w:val="99"/>
    <w:rsid w:val="005072F6"/>
    <w:pPr>
      <w:spacing w:before="100" w:beforeAutospacing="1" w:after="100" w:afterAutospacing="1" w:line="324" w:lineRule="auto"/>
      <w:jc w:val="both"/>
    </w:pPr>
    <w:rPr>
      <w:rFonts w:ascii="Arial" w:hAnsi="Arial" w:cs="Arial"/>
      <w:color w:val="222222"/>
      <w:sz w:val="20"/>
      <w:szCs w:val="20"/>
      <w:lang w:eastAsia="ru-RU"/>
    </w:rPr>
  </w:style>
  <w:style w:type="paragraph" w:customStyle="1" w:styleId="CharChar1">
    <w:name w:val="Char Char1"/>
    <w:basedOn w:val="Normal"/>
    <w:uiPriority w:val="99"/>
    <w:rsid w:val="005072F6"/>
    <w:pPr>
      <w:autoSpaceDE w:val="0"/>
      <w:autoSpaceDN w:val="0"/>
      <w:spacing w:after="160" w:line="240" w:lineRule="exact"/>
    </w:pPr>
    <w:rPr>
      <w:rFonts w:ascii="Arial" w:eastAsia="MS Mincho" w:hAnsi="Arial" w:cs="Arial"/>
      <w:b/>
      <w:sz w:val="20"/>
      <w:szCs w:val="20"/>
      <w:lang w:val="en-US" w:eastAsia="de-DE"/>
    </w:rPr>
  </w:style>
  <w:style w:type="character" w:customStyle="1" w:styleId="w300">
    <w:name w:val="w300"/>
    <w:basedOn w:val="DefaultParagraphFont"/>
    <w:uiPriority w:val="99"/>
    <w:rsid w:val="005072F6"/>
    <w:rPr>
      <w:rFonts w:cs="Times New Roman"/>
    </w:rPr>
  </w:style>
  <w:style w:type="character" w:customStyle="1" w:styleId="spelle">
    <w:name w:val="spelle"/>
    <w:basedOn w:val="DefaultParagraphFont"/>
    <w:uiPriority w:val="99"/>
    <w:rsid w:val="005072F6"/>
    <w:rPr>
      <w:rFonts w:cs="Times New Roman"/>
    </w:rPr>
  </w:style>
  <w:style w:type="character" w:customStyle="1" w:styleId="grame">
    <w:name w:val="grame"/>
    <w:basedOn w:val="DefaultParagraphFont"/>
    <w:uiPriority w:val="99"/>
    <w:rsid w:val="005072F6"/>
    <w:rPr>
      <w:rFonts w:cs="Times New Roman"/>
    </w:rPr>
  </w:style>
  <w:style w:type="paragraph" w:customStyle="1" w:styleId="Default">
    <w:name w:val="Default"/>
    <w:uiPriority w:val="99"/>
    <w:rsid w:val="005072F6"/>
    <w:pPr>
      <w:autoSpaceDE w:val="0"/>
      <w:autoSpaceDN w:val="0"/>
      <w:adjustRightInd w:val="0"/>
    </w:pPr>
    <w:rPr>
      <w:color w:val="000000"/>
      <w:sz w:val="24"/>
      <w:szCs w:val="24"/>
    </w:rPr>
  </w:style>
  <w:style w:type="paragraph" w:customStyle="1" w:styleId="Standard">
    <w:name w:val="Standard"/>
    <w:uiPriority w:val="99"/>
    <w:rsid w:val="00337075"/>
    <w:pPr>
      <w:widowControl w:val="0"/>
      <w:suppressAutoHyphens/>
      <w:autoSpaceDN w:val="0"/>
      <w:textAlignment w:val="baseline"/>
    </w:pPr>
    <w:rPr>
      <w:rFonts w:ascii="Arial" w:hAnsi="Arial" w:cs="Tahoma"/>
      <w:kern w:val="3"/>
      <w:sz w:val="21"/>
      <w:szCs w:val="24"/>
    </w:rPr>
  </w:style>
  <w:style w:type="paragraph" w:customStyle="1" w:styleId="afff7">
    <w:name w:val="Таблицы (моноширинный)"/>
    <w:basedOn w:val="Standard"/>
    <w:next w:val="Standard"/>
    <w:uiPriority w:val="99"/>
    <w:rsid w:val="00337075"/>
    <w:rPr>
      <w:rFonts w:ascii="Courier New" w:hAnsi="Courier New" w:cs="Courier New"/>
    </w:rPr>
  </w:style>
  <w:style w:type="paragraph" w:customStyle="1" w:styleId="afff8">
    <w:name w:val="Журнал"/>
    <w:uiPriority w:val="99"/>
    <w:rsid w:val="00337075"/>
    <w:pPr>
      <w:autoSpaceDE w:val="0"/>
      <w:autoSpaceDN w:val="0"/>
      <w:adjustRightInd w:val="0"/>
      <w:spacing w:line="160" w:lineRule="atLeast"/>
      <w:ind w:firstLine="227"/>
      <w:jc w:val="both"/>
    </w:pPr>
    <w:rPr>
      <w:rFonts w:ascii="Journal SansSerif" w:hAnsi="Journal SansSerif" w:cs="Journal SansSerif"/>
      <w:color w:val="000000"/>
      <w:sz w:val="16"/>
      <w:szCs w:val="16"/>
    </w:rPr>
  </w:style>
  <w:style w:type="paragraph" w:styleId="NoSpacing">
    <w:name w:val="No Spacing"/>
    <w:link w:val="NoSpacingChar"/>
    <w:uiPriority w:val="99"/>
    <w:qFormat/>
    <w:rsid w:val="00337075"/>
    <w:rPr>
      <w:rFonts w:ascii="Calibri" w:hAnsi="Calibri"/>
      <w:lang w:eastAsia="en-US"/>
    </w:rPr>
  </w:style>
  <w:style w:type="character" w:customStyle="1" w:styleId="NoSpacingChar">
    <w:name w:val="No Spacing Char"/>
    <w:link w:val="NoSpacing"/>
    <w:uiPriority w:val="99"/>
    <w:locked/>
    <w:rsid w:val="00337075"/>
    <w:rPr>
      <w:rFonts w:ascii="Calibri" w:hAnsi="Calibri"/>
      <w:sz w:val="22"/>
      <w:lang w:val="ru-RU" w:eastAsia="en-US"/>
    </w:rPr>
  </w:style>
  <w:style w:type="paragraph" w:customStyle="1" w:styleId="1f7">
    <w:name w:val="Обычный1"/>
    <w:uiPriority w:val="99"/>
    <w:rsid w:val="006859F6"/>
    <w:pPr>
      <w:widowControl w:val="0"/>
      <w:snapToGrid w:val="0"/>
    </w:pPr>
    <w:rPr>
      <w:sz w:val="20"/>
      <w:szCs w:val="20"/>
    </w:rPr>
  </w:style>
  <w:style w:type="character" w:customStyle="1" w:styleId="style171">
    <w:name w:val="style171"/>
    <w:uiPriority w:val="99"/>
    <w:rsid w:val="006859F6"/>
    <w:rPr>
      <w:sz w:val="24"/>
    </w:rPr>
  </w:style>
  <w:style w:type="paragraph" w:styleId="TOCHeading">
    <w:name w:val="TOC Heading"/>
    <w:basedOn w:val="Heading1"/>
    <w:next w:val="Normal"/>
    <w:uiPriority w:val="99"/>
    <w:qFormat/>
    <w:rsid w:val="0003050D"/>
    <w:pPr>
      <w:keepLines/>
      <w:spacing w:before="480" w:line="276" w:lineRule="auto"/>
      <w:jc w:val="left"/>
      <w:outlineLvl w:val="9"/>
    </w:pPr>
    <w:rPr>
      <w:rFonts w:ascii="Cambria" w:hAnsi="Cambria"/>
      <w:b/>
      <w:color w:val="365F91"/>
    </w:rPr>
  </w:style>
  <w:style w:type="paragraph" w:customStyle="1" w:styleId="33">
    <w:name w:val="Стиль3"/>
    <w:basedOn w:val="TOC1"/>
    <w:link w:val="34"/>
    <w:uiPriority w:val="99"/>
    <w:rsid w:val="00C15EE9"/>
    <w:pPr>
      <w:tabs>
        <w:tab w:val="clear" w:pos="720"/>
        <w:tab w:val="left" w:pos="284"/>
      </w:tabs>
      <w:ind w:firstLine="0"/>
    </w:pPr>
  </w:style>
  <w:style w:type="character" w:customStyle="1" w:styleId="TOC1Char">
    <w:name w:val="TOC 1 Char"/>
    <w:link w:val="TOC1"/>
    <w:uiPriority w:val="99"/>
    <w:locked/>
    <w:rsid w:val="00971927"/>
    <w:rPr>
      <w:b/>
      <w:noProof/>
      <w:spacing w:val="-16"/>
      <w:kern w:val="28"/>
      <w:sz w:val="24"/>
    </w:rPr>
  </w:style>
  <w:style w:type="character" w:customStyle="1" w:styleId="34">
    <w:name w:val="Стиль3 Знак"/>
    <w:basedOn w:val="TOC1Char"/>
    <w:link w:val="33"/>
    <w:uiPriority w:val="99"/>
    <w:locked/>
    <w:rsid w:val="00C15EE9"/>
    <w:rPr>
      <w:rFonts w:cs="Times New Roman"/>
      <w:szCs w:val="24"/>
    </w:rPr>
  </w:style>
  <w:style w:type="paragraph" w:customStyle="1" w:styleId="Style4">
    <w:name w:val="Style4"/>
    <w:basedOn w:val="Normal"/>
    <w:uiPriority w:val="99"/>
    <w:rsid w:val="006E35DA"/>
    <w:pPr>
      <w:widowControl w:val="0"/>
      <w:autoSpaceDE w:val="0"/>
      <w:autoSpaceDN w:val="0"/>
      <w:adjustRightInd w:val="0"/>
      <w:spacing w:after="0" w:line="240" w:lineRule="auto"/>
    </w:pPr>
    <w:rPr>
      <w:rFonts w:ascii="Franklin Gothic Medium Cond" w:hAnsi="Franklin Gothic Medium Cond"/>
      <w:sz w:val="24"/>
      <w:szCs w:val="24"/>
      <w:lang w:eastAsia="ru-RU"/>
    </w:rPr>
  </w:style>
  <w:style w:type="character" w:customStyle="1" w:styleId="FontStyle18">
    <w:name w:val="Font Style18"/>
    <w:uiPriority w:val="99"/>
    <w:rsid w:val="006E35DA"/>
    <w:rPr>
      <w:rFonts w:ascii="Times New Roman" w:hAnsi="Times New Roman"/>
      <w:sz w:val="20"/>
    </w:rPr>
  </w:style>
  <w:style w:type="paragraph" w:customStyle="1" w:styleId="26">
    <w:name w:val="Заголовок2"/>
    <w:uiPriority w:val="99"/>
    <w:rsid w:val="00C45ADF"/>
    <w:pPr>
      <w:jc w:val="center"/>
    </w:pPr>
    <w:rPr>
      <w:rFonts w:ascii="Arial" w:hAnsi="Arial"/>
      <w:sz w:val="24"/>
      <w:szCs w:val="20"/>
    </w:rPr>
  </w:style>
  <w:style w:type="character" w:customStyle="1" w:styleId="FontStyle11">
    <w:name w:val="Font Style11"/>
    <w:uiPriority w:val="99"/>
    <w:rsid w:val="00FF4BC9"/>
    <w:rPr>
      <w:rFonts w:ascii="Times New Roman" w:hAnsi="Times New Roman"/>
      <w:spacing w:val="10"/>
      <w:sz w:val="24"/>
    </w:rPr>
  </w:style>
  <w:style w:type="character" w:customStyle="1" w:styleId="FontStyle12">
    <w:name w:val="Font Style12"/>
    <w:uiPriority w:val="99"/>
    <w:rsid w:val="008521E1"/>
    <w:rPr>
      <w:rFonts w:ascii="Times New Roman" w:hAnsi="Times New Roman"/>
      <w:sz w:val="20"/>
    </w:rPr>
  </w:style>
  <w:style w:type="paragraph" w:customStyle="1" w:styleId="27">
    <w:name w:val="Основной текст2"/>
    <w:basedOn w:val="Normal"/>
    <w:uiPriority w:val="99"/>
    <w:rsid w:val="008521E1"/>
    <w:pPr>
      <w:tabs>
        <w:tab w:val="left" w:pos="709"/>
      </w:tabs>
      <w:spacing w:after="0" w:line="240" w:lineRule="auto"/>
      <w:jc w:val="both"/>
    </w:pPr>
    <w:rPr>
      <w:rFonts w:ascii="Arial" w:hAnsi="Arial"/>
      <w:sz w:val="24"/>
      <w:szCs w:val="20"/>
      <w:lang w:eastAsia="ru-RU"/>
    </w:rPr>
  </w:style>
  <w:style w:type="paragraph" w:customStyle="1" w:styleId="Style6">
    <w:name w:val="Style6"/>
    <w:basedOn w:val="Normal"/>
    <w:uiPriority w:val="99"/>
    <w:rsid w:val="008521E1"/>
    <w:pPr>
      <w:widowControl w:val="0"/>
      <w:autoSpaceDE w:val="0"/>
      <w:autoSpaceDN w:val="0"/>
      <w:adjustRightInd w:val="0"/>
      <w:spacing w:after="0" w:line="240" w:lineRule="auto"/>
    </w:pPr>
    <w:rPr>
      <w:rFonts w:ascii="Times New Roman" w:hAnsi="Times New Roman"/>
      <w:sz w:val="24"/>
      <w:szCs w:val="24"/>
      <w:lang w:eastAsia="ru-RU"/>
    </w:rPr>
  </w:style>
  <w:style w:type="table" w:customStyle="1" w:styleId="1f8">
    <w:name w:val="Стиль таблицы1"/>
    <w:uiPriority w:val="99"/>
    <w:rsid w:val="00EF5ECB"/>
    <w:pPr>
      <w:spacing w:line="360" w:lineRule="auto"/>
    </w:pPr>
    <w:rPr>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35">
    <w:name w:val="Сетка таблицы3"/>
    <w:uiPriority w:val="99"/>
    <w:rsid w:val="0026359A"/>
    <w:rPr>
      <w:rFonts w:ascii="Calibri" w:hAnsi="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28">
    <w:name w:val="Основной текст (2)_"/>
    <w:uiPriority w:val="99"/>
    <w:rsid w:val="007C0CFB"/>
    <w:rPr>
      <w:rFonts w:ascii="Times New Roman" w:hAnsi="Times New Roman"/>
      <w:u w:val="none"/>
    </w:rPr>
  </w:style>
  <w:style w:type="character" w:customStyle="1" w:styleId="29">
    <w:name w:val="Основной текст (2)"/>
    <w:uiPriority w:val="99"/>
    <w:rsid w:val="007C0CFB"/>
    <w:rPr>
      <w:rFonts w:ascii="Times New Roman" w:hAnsi="Times New Roman"/>
      <w:color w:val="000000"/>
      <w:spacing w:val="0"/>
      <w:w w:val="100"/>
      <w:position w:val="0"/>
      <w:sz w:val="24"/>
      <w:u w:val="none"/>
      <w:lang w:val="ru-RU" w:eastAsia="ru-RU"/>
    </w:rPr>
  </w:style>
  <w:style w:type="character" w:customStyle="1" w:styleId="2a">
    <w:name w:val="Основной текст (2) + Полужирный"/>
    <w:uiPriority w:val="99"/>
    <w:rsid w:val="007C0CFB"/>
    <w:rPr>
      <w:rFonts w:ascii="Times New Roman" w:hAnsi="Times New Roman"/>
      <w:b/>
      <w:color w:val="000000"/>
      <w:spacing w:val="0"/>
      <w:w w:val="100"/>
      <w:position w:val="0"/>
      <w:sz w:val="24"/>
      <w:u w:val="none"/>
      <w:lang w:val="ru-RU" w:eastAsia="ru-RU"/>
    </w:rPr>
  </w:style>
  <w:style w:type="paragraph" w:customStyle="1" w:styleId="114">
    <w:name w:val="Табличный_таблица_11"/>
    <w:link w:val="115"/>
    <w:uiPriority w:val="99"/>
    <w:rsid w:val="0057470C"/>
    <w:pPr>
      <w:jc w:val="center"/>
    </w:pPr>
  </w:style>
  <w:style w:type="character" w:customStyle="1" w:styleId="115">
    <w:name w:val="Табличный_таблица_11 Знак"/>
    <w:link w:val="114"/>
    <w:uiPriority w:val="99"/>
    <w:locked/>
    <w:rsid w:val="0057470C"/>
    <w:rPr>
      <w:sz w:val="22"/>
    </w:rPr>
  </w:style>
  <w:style w:type="character" w:customStyle="1" w:styleId="afff9">
    <w:name w:val="Текст_Обычный"/>
    <w:uiPriority w:val="99"/>
    <w:rsid w:val="0057470C"/>
  </w:style>
  <w:style w:type="character" w:customStyle="1" w:styleId="Heading3Char1">
    <w:name w:val="Heading 3 Char1"/>
    <w:aliases w:val="Знак3 Char1,Заголовок 3 Знак Char1,Знак19 Char1,Заголовок главный Char1,Знак3 Знак Знак Знак Char1,ПодЗаголовок Char1,Знак6 Char1,Знак14 Char1,Заголовок 31 Char1"/>
    <w:link w:val="Heading3"/>
    <w:uiPriority w:val="99"/>
    <w:locked/>
    <w:rsid w:val="00FA4765"/>
    <w:rPr>
      <w:rFonts w:ascii="Arial" w:hAnsi="Arial"/>
      <w:b/>
      <w:sz w:val="26"/>
    </w:rPr>
  </w:style>
  <w:style w:type="paragraph" w:customStyle="1" w:styleId="1f9">
    <w:name w:val="1"/>
    <w:basedOn w:val="Normal"/>
    <w:uiPriority w:val="99"/>
    <w:rsid w:val="00134C65"/>
    <w:pPr>
      <w:autoSpaceDE w:val="0"/>
      <w:autoSpaceDN w:val="0"/>
      <w:spacing w:after="160" w:line="240" w:lineRule="exact"/>
    </w:pPr>
    <w:rPr>
      <w:rFonts w:ascii="Arial" w:eastAsia="MS Mincho" w:hAnsi="Arial" w:cs="Arial"/>
      <w:b/>
      <w:sz w:val="20"/>
      <w:szCs w:val="20"/>
      <w:lang w:val="en-US" w:eastAsia="de-DE"/>
    </w:rPr>
  </w:style>
  <w:style w:type="paragraph" w:customStyle="1" w:styleId="TableParagraph">
    <w:name w:val="Table Paragraph"/>
    <w:basedOn w:val="Normal"/>
    <w:uiPriority w:val="99"/>
    <w:rsid w:val="00134C65"/>
    <w:pPr>
      <w:widowControl w:val="0"/>
      <w:spacing w:after="0" w:line="240" w:lineRule="auto"/>
    </w:pPr>
    <w:rPr>
      <w:lang w:val="en-US"/>
    </w:rPr>
  </w:style>
  <w:style w:type="table" w:customStyle="1" w:styleId="TableNormal1">
    <w:name w:val="Table Normal1"/>
    <w:uiPriority w:val="99"/>
    <w:semiHidden/>
    <w:rsid w:val="00134C65"/>
    <w:pPr>
      <w:widowControl w:val="0"/>
    </w:pPr>
    <w:rPr>
      <w:rFonts w:ascii="Calibri" w:hAnsi="Calibri"/>
      <w:lang w:val="en-US" w:eastAsia="en-US"/>
    </w:rPr>
    <w:tblPr>
      <w:tblInd w:w="0" w:type="dxa"/>
      <w:tblCellMar>
        <w:top w:w="0" w:type="dxa"/>
        <w:left w:w="0" w:type="dxa"/>
        <w:bottom w:w="0" w:type="dxa"/>
        <w:right w:w="0" w:type="dxa"/>
      </w:tblCellMar>
    </w:tblPr>
  </w:style>
  <w:style w:type="table" w:customStyle="1" w:styleId="TableNormal110">
    <w:name w:val="Table Normal110"/>
    <w:uiPriority w:val="99"/>
    <w:semiHidden/>
    <w:rsid w:val="00134C65"/>
    <w:pPr>
      <w:widowControl w:val="0"/>
    </w:pPr>
    <w:rPr>
      <w:rFonts w:ascii="Calibri" w:hAnsi="Calibri"/>
      <w:lang w:val="en-US" w:eastAsia="en-US"/>
    </w:rPr>
    <w:tblPr>
      <w:tblInd w:w="0" w:type="dxa"/>
      <w:tblCellMar>
        <w:top w:w="0" w:type="dxa"/>
        <w:left w:w="0" w:type="dxa"/>
        <w:bottom w:w="0" w:type="dxa"/>
        <w:right w:w="0" w:type="dxa"/>
      </w:tblCellMar>
    </w:tblPr>
  </w:style>
  <w:style w:type="table" w:customStyle="1" w:styleId="TableNormal2">
    <w:name w:val="Table Normal2"/>
    <w:uiPriority w:val="99"/>
    <w:semiHidden/>
    <w:rsid w:val="00134C65"/>
    <w:pPr>
      <w:widowControl w:val="0"/>
    </w:pPr>
    <w:rPr>
      <w:rFonts w:ascii="Calibri" w:hAnsi="Calibri"/>
      <w:lang w:val="en-US" w:eastAsia="en-US"/>
    </w:rPr>
    <w:tblPr>
      <w:tblInd w:w="0" w:type="dxa"/>
      <w:tblCellMar>
        <w:top w:w="0" w:type="dxa"/>
        <w:left w:w="0" w:type="dxa"/>
        <w:bottom w:w="0" w:type="dxa"/>
        <w:right w:w="0" w:type="dxa"/>
      </w:tblCellMar>
    </w:tblPr>
  </w:style>
  <w:style w:type="table" w:customStyle="1" w:styleId="TableNormal3">
    <w:name w:val="Table Normal3"/>
    <w:uiPriority w:val="99"/>
    <w:semiHidden/>
    <w:rsid w:val="00134C65"/>
    <w:pPr>
      <w:widowControl w:val="0"/>
    </w:pPr>
    <w:rPr>
      <w:rFonts w:ascii="Calibri" w:hAnsi="Calibri"/>
      <w:lang w:val="en-US" w:eastAsia="en-US"/>
    </w:rPr>
    <w:tblPr>
      <w:tblInd w:w="0" w:type="dxa"/>
      <w:tblCellMar>
        <w:top w:w="0" w:type="dxa"/>
        <w:left w:w="0" w:type="dxa"/>
        <w:bottom w:w="0" w:type="dxa"/>
        <w:right w:w="0" w:type="dxa"/>
      </w:tblCellMar>
    </w:tblPr>
  </w:style>
  <w:style w:type="table" w:customStyle="1" w:styleId="TableNormal11">
    <w:name w:val="Table Normal11"/>
    <w:uiPriority w:val="99"/>
    <w:semiHidden/>
    <w:rsid w:val="00134C65"/>
    <w:pPr>
      <w:widowControl w:val="0"/>
    </w:pPr>
    <w:rPr>
      <w:rFonts w:ascii="Calibri" w:hAnsi="Calibri"/>
      <w:lang w:val="en-US" w:eastAsia="en-US"/>
    </w:rPr>
    <w:tblPr>
      <w:tblInd w:w="0" w:type="dxa"/>
      <w:tblCellMar>
        <w:top w:w="0" w:type="dxa"/>
        <w:left w:w="0" w:type="dxa"/>
        <w:bottom w:w="0" w:type="dxa"/>
        <w:right w:w="0" w:type="dxa"/>
      </w:tblCellMar>
    </w:tblPr>
  </w:style>
  <w:style w:type="table" w:customStyle="1" w:styleId="TableNormal21">
    <w:name w:val="Table Normal21"/>
    <w:uiPriority w:val="99"/>
    <w:semiHidden/>
    <w:rsid w:val="00134C65"/>
    <w:pPr>
      <w:widowControl w:val="0"/>
    </w:pPr>
    <w:rPr>
      <w:rFonts w:ascii="Calibri" w:hAnsi="Calibri"/>
      <w:lang w:val="en-US" w:eastAsia="en-US"/>
    </w:rPr>
    <w:tblPr>
      <w:tblInd w:w="0" w:type="dxa"/>
      <w:tblCellMar>
        <w:top w:w="0" w:type="dxa"/>
        <w:left w:w="0" w:type="dxa"/>
        <w:bottom w:w="0" w:type="dxa"/>
        <w:right w:w="0" w:type="dxa"/>
      </w:tblCellMar>
    </w:tblPr>
  </w:style>
  <w:style w:type="table" w:customStyle="1" w:styleId="TableNormal22">
    <w:name w:val="Table Normal22"/>
    <w:uiPriority w:val="99"/>
    <w:semiHidden/>
    <w:rsid w:val="00134C65"/>
    <w:pPr>
      <w:widowControl w:val="0"/>
    </w:pPr>
    <w:rPr>
      <w:rFonts w:ascii="Calibri" w:hAnsi="Calibri"/>
      <w:lang w:val="en-US" w:eastAsia="en-US"/>
    </w:rPr>
    <w:tblPr>
      <w:tblInd w:w="0" w:type="dxa"/>
      <w:tblCellMar>
        <w:top w:w="0" w:type="dxa"/>
        <w:left w:w="0" w:type="dxa"/>
        <w:bottom w:w="0" w:type="dxa"/>
        <w:right w:w="0" w:type="dxa"/>
      </w:tblCellMar>
    </w:tblPr>
  </w:style>
  <w:style w:type="table" w:customStyle="1" w:styleId="TableNormal31">
    <w:name w:val="Table Normal31"/>
    <w:uiPriority w:val="99"/>
    <w:semiHidden/>
    <w:rsid w:val="00134C65"/>
    <w:pPr>
      <w:widowControl w:val="0"/>
    </w:pPr>
    <w:rPr>
      <w:rFonts w:ascii="Calibri" w:hAnsi="Calibri"/>
      <w:lang w:val="en-US" w:eastAsia="en-US"/>
    </w:rPr>
    <w:tblPr>
      <w:tblInd w:w="0" w:type="dxa"/>
      <w:tblCellMar>
        <w:top w:w="0" w:type="dxa"/>
        <w:left w:w="0" w:type="dxa"/>
        <w:bottom w:w="0" w:type="dxa"/>
        <w:right w:w="0" w:type="dxa"/>
      </w:tblCellMar>
    </w:tblPr>
  </w:style>
  <w:style w:type="paragraph" w:customStyle="1" w:styleId="afffa">
    <w:name w:val="Абзац"/>
    <w:basedOn w:val="Normal"/>
    <w:link w:val="afffb"/>
    <w:uiPriority w:val="99"/>
    <w:rsid w:val="00134C65"/>
    <w:pPr>
      <w:spacing w:before="120" w:after="60" w:line="240" w:lineRule="auto"/>
      <w:ind w:firstLine="567"/>
      <w:jc w:val="both"/>
    </w:pPr>
    <w:rPr>
      <w:rFonts w:ascii="Times New Roman" w:hAnsi="Times New Roman"/>
      <w:sz w:val="24"/>
      <w:szCs w:val="20"/>
      <w:lang w:eastAsia="ko-KR"/>
    </w:rPr>
  </w:style>
  <w:style w:type="character" w:customStyle="1" w:styleId="afffb">
    <w:name w:val="Абзац Знак"/>
    <w:link w:val="afffa"/>
    <w:uiPriority w:val="99"/>
    <w:locked/>
    <w:rsid w:val="00134C65"/>
    <w:rPr>
      <w:sz w:val="24"/>
    </w:rPr>
  </w:style>
  <w:style w:type="paragraph" w:customStyle="1" w:styleId="afffc">
    <w:name w:val="Табличный_заголовки"/>
    <w:basedOn w:val="Normal"/>
    <w:uiPriority w:val="99"/>
    <w:rsid w:val="00134C65"/>
    <w:pPr>
      <w:keepNext/>
      <w:keepLines/>
      <w:spacing w:after="0" w:line="240" w:lineRule="auto"/>
      <w:jc w:val="center"/>
    </w:pPr>
    <w:rPr>
      <w:rFonts w:ascii="Times New Roman" w:hAnsi="Times New Roman"/>
      <w:b/>
      <w:lang w:eastAsia="ru-RU"/>
    </w:rPr>
  </w:style>
  <w:style w:type="paragraph" w:customStyle="1" w:styleId="afffd">
    <w:name w:val="Табличный_центр"/>
    <w:basedOn w:val="Normal"/>
    <w:uiPriority w:val="99"/>
    <w:rsid w:val="00134C65"/>
    <w:pPr>
      <w:spacing w:after="0" w:line="240" w:lineRule="auto"/>
      <w:jc w:val="center"/>
    </w:pPr>
    <w:rPr>
      <w:rFonts w:ascii="Times New Roman" w:hAnsi="Times New Roman"/>
      <w:lang w:eastAsia="ru-RU"/>
    </w:rPr>
  </w:style>
  <w:style w:type="paragraph" w:customStyle="1" w:styleId="afffe">
    <w:name w:val="Табличный_слева"/>
    <w:basedOn w:val="Normal"/>
    <w:uiPriority w:val="99"/>
    <w:rsid w:val="00134C65"/>
    <w:pPr>
      <w:spacing w:after="0" w:line="240" w:lineRule="auto"/>
    </w:pPr>
    <w:rPr>
      <w:rFonts w:ascii="Times New Roman" w:hAnsi="Times New Roman"/>
      <w:lang w:eastAsia="ru-RU"/>
    </w:rPr>
  </w:style>
  <w:style w:type="character" w:customStyle="1" w:styleId="CaptionChar">
    <w:name w:val="Caption Char"/>
    <w:aliases w:val="Название объекта Знак Char,Название объекта Знак1 Знак Char,Название объекта Знак Знак Знак Char,Название объекта Знак Знак Знак Знак Знак Знак Знак Знак Знак Char,Название объекта Знак Знак Знак Знак Знак Знак1 Знак Знак Char"/>
    <w:link w:val="Caption"/>
    <w:uiPriority w:val="99"/>
    <w:locked/>
    <w:rsid w:val="00134C65"/>
    <w:rPr>
      <w:b/>
    </w:rPr>
  </w:style>
  <w:style w:type="table" w:customStyle="1" w:styleId="311">
    <w:name w:val="Сетка таблицы31"/>
    <w:uiPriority w:val="99"/>
    <w:rsid w:val="00134C65"/>
    <w:rPr>
      <w:rFonts w:ascii="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0">
    <w:name w:val="Сетка таблицы311"/>
    <w:uiPriority w:val="99"/>
    <w:rsid w:val="00134C65"/>
    <w:rPr>
      <w:rFonts w:ascii="Calibri" w:hAnsi="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0">
    <w:name w:val="Сетка таблицы32"/>
    <w:uiPriority w:val="99"/>
    <w:rsid w:val="00134C65"/>
    <w:rPr>
      <w:rFonts w:ascii="Calibri" w:hAnsi="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0">
    <w:name w:val="Сетка таблицы33"/>
    <w:uiPriority w:val="99"/>
    <w:rsid w:val="00134C65"/>
    <w:rPr>
      <w:rFonts w:ascii="Calibri" w:hAnsi="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0">
    <w:name w:val="Сетка таблицы34"/>
    <w:uiPriority w:val="99"/>
    <w:rsid w:val="00134C65"/>
    <w:rPr>
      <w:rFonts w:ascii="Calibri" w:hAnsi="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0">
    <w:name w:val="Сетка таблицы35"/>
    <w:uiPriority w:val="99"/>
    <w:rsid w:val="00134C65"/>
    <w:rPr>
      <w:rFonts w:ascii="Calibri" w:hAnsi="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
    <w:name w:val="Сетка таблицы36"/>
    <w:uiPriority w:val="99"/>
    <w:rsid w:val="00971CAA"/>
    <w:rPr>
      <w:rFonts w:ascii="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
    <w:name w:val="Сетка таблицы312"/>
    <w:uiPriority w:val="99"/>
    <w:rsid w:val="00971CAA"/>
    <w:rPr>
      <w:rFonts w:ascii="Calibri" w:hAnsi="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
    <w:name w:val="Сетка таблицы4"/>
    <w:uiPriority w:val="99"/>
    <w:rsid w:val="004F3E04"/>
    <w:rPr>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TableNormal4">
    <w:name w:val="Table Normal4"/>
    <w:uiPriority w:val="99"/>
    <w:semiHidden/>
    <w:rsid w:val="00F84147"/>
    <w:pPr>
      <w:widowControl w:val="0"/>
    </w:pPr>
    <w:rPr>
      <w:rFonts w:ascii="Calibri" w:hAnsi="Calibri"/>
      <w:lang w:val="en-US" w:eastAsia="en-US"/>
    </w:rPr>
    <w:tblPr>
      <w:tblInd w:w="0" w:type="dxa"/>
      <w:tblCellMar>
        <w:top w:w="0" w:type="dxa"/>
        <w:left w:w="0" w:type="dxa"/>
        <w:bottom w:w="0" w:type="dxa"/>
        <w:right w:w="0" w:type="dxa"/>
      </w:tblCellMar>
    </w:tblPr>
  </w:style>
  <w:style w:type="table" w:customStyle="1" w:styleId="TableNormal5">
    <w:name w:val="Table Normal5"/>
    <w:uiPriority w:val="99"/>
    <w:semiHidden/>
    <w:rsid w:val="00F84147"/>
    <w:pPr>
      <w:widowControl w:val="0"/>
    </w:pPr>
    <w:rPr>
      <w:rFonts w:ascii="Calibri" w:hAnsi="Calibri"/>
      <w:lang w:val="en-US" w:eastAsia="en-US"/>
    </w:rPr>
    <w:tblPr>
      <w:tblInd w:w="0" w:type="dxa"/>
      <w:tblCellMar>
        <w:top w:w="0" w:type="dxa"/>
        <w:left w:w="0" w:type="dxa"/>
        <w:bottom w:w="0" w:type="dxa"/>
        <w:right w:w="0" w:type="dxa"/>
      </w:tblCellMar>
    </w:tblPr>
  </w:style>
  <w:style w:type="table" w:customStyle="1" w:styleId="TableNormal6">
    <w:name w:val="Table Normal6"/>
    <w:uiPriority w:val="99"/>
    <w:semiHidden/>
    <w:rsid w:val="00CC333D"/>
    <w:pPr>
      <w:widowControl w:val="0"/>
    </w:pPr>
    <w:rPr>
      <w:rFonts w:ascii="Calibri" w:hAnsi="Calibri"/>
      <w:lang w:val="en-US" w:eastAsia="en-US"/>
    </w:rPr>
    <w:tblPr>
      <w:tblInd w:w="0" w:type="dxa"/>
      <w:tblCellMar>
        <w:top w:w="0" w:type="dxa"/>
        <w:left w:w="0" w:type="dxa"/>
        <w:bottom w:w="0" w:type="dxa"/>
        <w:right w:w="0" w:type="dxa"/>
      </w:tblCellMar>
    </w:tblPr>
  </w:style>
  <w:style w:type="table" w:customStyle="1" w:styleId="TableNormal7">
    <w:name w:val="Table Normal7"/>
    <w:uiPriority w:val="99"/>
    <w:semiHidden/>
    <w:rsid w:val="0093355D"/>
    <w:pPr>
      <w:widowControl w:val="0"/>
    </w:pPr>
    <w:rPr>
      <w:rFonts w:ascii="Calibri" w:hAnsi="Calibri"/>
      <w:lang w:val="en-US" w:eastAsia="en-US"/>
    </w:rPr>
    <w:tblPr>
      <w:tblInd w:w="0" w:type="dxa"/>
      <w:tblCellMar>
        <w:top w:w="0" w:type="dxa"/>
        <w:left w:w="0" w:type="dxa"/>
        <w:bottom w:w="0" w:type="dxa"/>
        <w:right w:w="0" w:type="dxa"/>
      </w:tblCellMar>
    </w:tblPr>
  </w:style>
  <w:style w:type="table" w:customStyle="1" w:styleId="TableNormal8">
    <w:name w:val="Table Normal8"/>
    <w:uiPriority w:val="99"/>
    <w:semiHidden/>
    <w:rsid w:val="00912F07"/>
    <w:pPr>
      <w:widowControl w:val="0"/>
    </w:pPr>
    <w:rPr>
      <w:rFonts w:ascii="Calibri" w:hAnsi="Calibri"/>
      <w:lang w:val="en-US" w:eastAsia="en-US"/>
    </w:rPr>
    <w:tblPr>
      <w:tblInd w:w="0" w:type="dxa"/>
      <w:tblCellMar>
        <w:top w:w="0" w:type="dxa"/>
        <w:left w:w="0" w:type="dxa"/>
        <w:bottom w:w="0" w:type="dxa"/>
        <w:right w:w="0" w:type="dxa"/>
      </w:tblCellMar>
    </w:tblPr>
  </w:style>
  <w:style w:type="table" w:customStyle="1" w:styleId="TableNormal9">
    <w:name w:val="Table Normal9"/>
    <w:uiPriority w:val="99"/>
    <w:semiHidden/>
    <w:rsid w:val="00717D5F"/>
    <w:pPr>
      <w:widowControl w:val="0"/>
    </w:pPr>
    <w:rPr>
      <w:rFonts w:ascii="Calibri" w:hAnsi="Calibri"/>
      <w:lang w:val="en-US" w:eastAsia="en-US"/>
    </w:rPr>
    <w:tblPr>
      <w:tblInd w:w="0" w:type="dxa"/>
      <w:tblCellMar>
        <w:top w:w="0" w:type="dxa"/>
        <w:left w:w="0" w:type="dxa"/>
        <w:bottom w:w="0" w:type="dxa"/>
        <w:right w:w="0" w:type="dxa"/>
      </w:tblCellMar>
    </w:tblPr>
  </w:style>
  <w:style w:type="table" w:customStyle="1" w:styleId="TableNormal10">
    <w:name w:val="Table Normal10"/>
    <w:uiPriority w:val="99"/>
    <w:semiHidden/>
    <w:rsid w:val="00927BAA"/>
    <w:pPr>
      <w:widowControl w:val="0"/>
    </w:pPr>
    <w:rPr>
      <w:rFonts w:ascii="Calibri" w:hAnsi="Calibri"/>
      <w:lang w:val="en-US" w:eastAsia="en-US"/>
    </w:rPr>
    <w:tblPr>
      <w:tblInd w:w="0" w:type="dxa"/>
      <w:tblCellMar>
        <w:top w:w="0" w:type="dxa"/>
        <w:left w:w="0" w:type="dxa"/>
        <w:bottom w:w="0" w:type="dxa"/>
        <w:right w:w="0" w:type="dxa"/>
      </w:tblCellMar>
    </w:tblPr>
  </w:style>
  <w:style w:type="table" w:customStyle="1" w:styleId="TableNormal12">
    <w:name w:val="Table Normal12"/>
    <w:uiPriority w:val="99"/>
    <w:semiHidden/>
    <w:rsid w:val="009E1294"/>
    <w:pPr>
      <w:widowControl w:val="0"/>
    </w:pPr>
    <w:rPr>
      <w:rFonts w:ascii="Calibri" w:hAnsi="Calibri"/>
      <w:lang w:val="en-US" w:eastAsia="en-US"/>
    </w:rPr>
    <w:tblPr>
      <w:tblInd w:w="0" w:type="dxa"/>
      <w:tblCellMar>
        <w:top w:w="0" w:type="dxa"/>
        <w:left w:w="0" w:type="dxa"/>
        <w:bottom w:w="0" w:type="dxa"/>
        <w:right w:w="0" w:type="dxa"/>
      </w:tblCellMar>
    </w:tblPr>
  </w:style>
  <w:style w:type="table" w:customStyle="1" w:styleId="TableNormal13">
    <w:name w:val="Table Normal13"/>
    <w:uiPriority w:val="99"/>
    <w:semiHidden/>
    <w:rsid w:val="001962DB"/>
    <w:pPr>
      <w:widowControl w:val="0"/>
    </w:pPr>
    <w:rPr>
      <w:rFonts w:ascii="Calibri" w:hAnsi="Calibri"/>
      <w:lang w:val="en-US" w:eastAsia="en-US"/>
    </w:rPr>
    <w:tblPr>
      <w:tblInd w:w="0" w:type="dxa"/>
      <w:tblCellMar>
        <w:top w:w="0" w:type="dxa"/>
        <w:left w:w="0" w:type="dxa"/>
        <w:bottom w:w="0" w:type="dxa"/>
        <w:right w:w="0" w:type="dxa"/>
      </w:tblCellMar>
    </w:tblPr>
  </w:style>
  <w:style w:type="table" w:customStyle="1" w:styleId="TableNormal14">
    <w:name w:val="Table Normal14"/>
    <w:uiPriority w:val="99"/>
    <w:semiHidden/>
    <w:rsid w:val="003D7EBB"/>
    <w:pPr>
      <w:widowControl w:val="0"/>
    </w:pPr>
    <w:rPr>
      <w:rFonts w:ascii="Calibri" w:hAnsi="Calibri"/>
      <w:lang w:val="en-US" w:eastAsia="en-US"/>
    </w:rPr>
    <w:tblPr>
      <w:tblInd w:w="0" w:type="dxa"/>
      <w:tblCellMar>
        <w:top w:w="0" w:type="dxa"/>
        <w:left w:w="0" w:type="dxa"/>
        <w:bottom w:w="0" w:type="dxa"/>
        <w:right w:w="0" w:type="dxa"/>
      </w:tblCellMar>
    </w:tblPr>
  </w:style>
  <w:style w:type="character" w:customStyle="1" w:styleId="219pt">
    <w:name w:val="Основной текст (2) + 19 pt"/>
    <w:uiPriority w:val="99"/>
    <w:rsid w:val="0049254E"/>
    <w:rPr>
      <w:rFonts w:ascii="Times New Roman" w:hAnsi="Times New Roman"/>
      <w:color w:val="000000"/>
      <w:spacing w:val="0"/>
      <w:w w:val="100"/>
      <w:position w:val="0"/>
      <w:sz w:val="38"/>
      <w:u w:val="none"/>
      <w:lang w:val="ru-RU" w:eastAsia="ru-RU"/>
    </w:rPr>
  </w:style>
  <w:style w:type="character" w:customStyle="1" w:styleId="219pt1">
    <w:name w:val="Основной текст (2) + 19 pt1"/>
    <w:aliases w:val="Курсив"/>
    <w:uiPriority w:val="99"/>
    <w:rsid w:val="0049254E"/>
    <w:rPr>
      <w:rFonts w:ascii="Times New Roman" w:hAnsi="Times New Roman"/>
      <w:i/>
      <w:color w:val="000000"/>
      <w:spacing w:val="0"/>
      <w:w w:val="100"/>
      <w:position w:val="0"/>
      <w:sz w:val="38"/>
      <w:u w:val="none"/>
      <w:lang w:val="ru-RU" w:eastAsia="ru-RU"/>
    </w:rPr>
  </w:style>
  <w:style w:type="table" w:customStyle="1" w:styleId="TableNormal15">
    <w:name w:val="Table Normal15"/>
    <w:uiPriority w:val="99"/>
    <w:semiHidden/>
    <w:rsid w:val="00A66C91"/>
    <w:pPr>
      <w:widowControl w:val="0"/>
    </w:pPr>
    <w:rPr>
      <w:rFonts w:ascii="Calibri" w:hAnsi="Calibri"/>
      <w:lang w:val="en-US" w:eastAsia="en-US"/>
    </w:rPr>
    <w:tblPr>
      <w:tblInd w:w="0" w:type="dxa"/>
      <w:tblCellMar>
        <w:top w:w="0" w:type="dxa"/>
        <w:left w:w="0" w:type="dxa"/>
        <w:bottom w:w="0" w:type="dxa"/>
        <w:right w:w="0" w:type="dxa"/>
      </w:tblCellMar>
    </w:tblPr>
  </w:style>
  <w:style w:type="table" w:customStyle="1" w:styleId="TableNormal16">
    <w:name w:val="Table Normal16"/>
    <w:uiPriority w:val="99"/>
    <w:semiHidden/>
    <w:rsid w:val="006E33A2"/>
    <w:pPr>
      <w:widowControl w:val="0"/>
    </w:pPr>
    <w:rPr>
      <w:rFonts w:ascii="Calibri" w:hAnsi="Calibri"/>
      <w:lang w:val="en-US" w:eastAsia="en-US"/>
    </w:rPr>
    <w:tblPr>
      <w:tblInd w:w="0" w:type="dxa"/>
      <w:tblCellMar>
        <w:top w:w="0" w:type="dxa"/>
        <w:left w:w="0" w:type="dxa"/>
        <w:bottom w:w="0" w:type="dxa"/>
        <w:right w:w="0" w:type="dxa"/>
      </w:tblCellMar>
    </w:tblPr>
  </w:style>
  <w:style w:type="table" w:customStyle="1" w:styleId="TableNormal17">
    <w:name w:val="Table Normal17"/>
    <w:uiPriority w:val="99"/>
    <w:semiHidden/>
    <w:rsid w:val="006E33A2"/>
    <w:pPr>
      <w:widowControl w:val="0"/>
    </w:pPr>
    <w:rPr>
      <w:rFonts w:ascii="Calibri" w:hAnsi="Calibri"/>
      <w:lang w:val="en-US" w:eastAsia="en-US"/>
    </w:rPr>
    <w:tblPr>
      <w:tblInd w:w="0" w:type="dxa"/>
      <w:tblCellMar>
        <w:top w:w="0" w:type="dxa"/>
        <w:left w:w="0" w:type="dxa"/>
        <w:bottom w:w="0" w:type="dxa"/>
        <w:right w:w="0" w:type="dxa"/>
      </w:tblCellMar>
    </w:tblPr>
  </w:style>
  <w:style w:type="paragraph" w:customStyle="1" w:styleId="140">
    <w:name w:val="Текст 14(справа)"/>
    <w:basedOn w:val="Normal"/>
    <w:link w:val="141"/>
    <w:autoRedefine/>
    <w:uiPriority w:val="99"/>
    <w:rsid w:val="00083405"/>
    <w:pPr>
      <w:spacing w:after="0" w:line="336" w:lineRule="auto"/>
      <w:contextualSpacing/>
      <w:jc w:val="both"/>
    </w:pPr>
    <w:rPr>
      <w:rFonts w:ascii="Times New Roman" w:hAnsi="Times New Roman"/>
      <w:color w:val="FF0000"/>
      <w:sz w:val="26"/>
      <w:szCs w:val="20"/>
      <w:lang w:eastAsia="ko-KR"/>
    </w:rPr>
  </w:style>
  <w:style w:type="character" w:customStyle="1" w:styleId="141">
    <w:name w:val="Текст 14(справа) Знак"/>
    <w:link w:val="140"/>
    <w:uiPriority w:val="99"/>
    <w:locked/>
    <w:rsid w:val="00083405"/>
    <w:rPr>
      <w:color w:val="FF0000"/>
      <w:sz w:val="26"/>
    </w:rPr>
  </w:style>
  <w:style w:type="paragraph" w:customStyle="1" w:styleId="affff">
    <w:name w:val="Ячейка таблицы"/>
    <w:basedOn w:val="NoSpacing"/>
    <w:link w:val="affff0"/>
    <w:uiPriority w:val="99"/>
    <w:rsid w:val="00EE5377"/>
    <w:pPr>
      <w:suppressAutoHyphens/>
    </w:pPr>
    <w:rPr>
      <w:rFonts w:ascii="Arial" w:hAnsi="Arial"/>
      <w:sz w:val="32"/>
      <w:lang w:eastAsia="ar-SA"/>
    </w:rPr>
  </w:style>
  <w:style w:type="character" w:customStyle="1" w:styleId="affff0">
    <w:name w:val="Ячейка таблицы Знак"/>
    <w:link w:val="affff"/>
    <w:uiPriority w:val="99"/>
    <w:locked/>
    <w:rsid w:val="00EE5377"/>
    <w:rPr>
      <w:rFonts w:ascii="Arial" w:hAnsi="Arial"/>
      <w:sz w:val="32"/>
      <w:lang w:eastAsia="ar-SA" w:bidi="ar-SA"/>
    </w:rPr>
  </w:style>
  <w:style w:type="paragraph" w:customStyle="1" w:styleId="affff1">
    <w:name w:val="текст табл"/>
    <w:basedOn w:val="Normal"/>
    <w:link w:val="affff2"/>
    <w:uiPriority w:val="99"/>
    <w:rsid w:val="00775784"/>
    <w:pPr>
      <w:suppressAutoHyphens/>
      <w:spacing w:after="0" w:line="240" w:lineRule="auto"/>
      <w:ind w:firstLine="709"/>
      <w:jc w:val="both"/>
    </w:pPr>
    <w:rPr>
      <w:rFonts w:ascii="Arial" w:hAnsi="Arial"/>
      <w:sz w:val="24"/>
      <w:szCs w:val="20"/>
      <w:lang w:eastAsia="ar-SA"/>
    </w:rPr>
  </w:style>
  <w:style w:type="character" w:customStyle="1" w:styleId="affff2">
    <w:name w:val="текст табл Знак"/>
    <w:link w:val="affff1"/>
    <w:uiPriority w:val="99"/>
    <w:locked/>
    <w:rsid w:val="00775784"/>
    <w:rPr>
      <w:rFonts w:ascii="Arial" w:hAnsi="Arial"/>
      <w:sz w:val="24"/>
      <w:lang w:eastAsia="ar-SA" w:bidi="ar-SA"/>
    </w:rPr>
  </w:style>
  <w:style w:type="paragraph" w:styleId="Quote">
    <w:name w:val="Quote"/>
    <w:basedOn w:val="Normal"/>
    <w:next w:val="Normal"/>
    <w:link w:val="QuoteChar"/>
    <w:uiPriority w:val="99"/>
    <w:qFormat/>
    <w:rsid w:val="00775784"/>
    <w:pPr>
      <w:suppressAutoHyphens/>
      <w:spacing w:after="0" w:line="240" w:lineRule="auto"/>
      <w:ind w:firstLine="709"/>
      <w:jc w:val="both"/>
    </w:pPr>
    <w:rPr>
      <w:rFonts w:ascii="Arial" w:hAnsi="Arial" w:cs="Arial"/>
      <w:i/>
      <w:sz w:val="24"/>
      <w:szCs w:val="16"/>
      <w:lang w:eastAsia="ar-SA"/>
    </w:rPr>
  </w:style>
  <w:style w:type="character" w:customStyle="1" w:styleId="QuoteChar">
    <w:name w:val="Quote Char"/>
    <w:basedOn w:val="DefaultParagraphFont"/>
    <w:link w:val="Quote"/>
    <w:uiPriority w:val="99"/>
    <w:locked/>
    <w:rsid w:val="00775784"/>
    <w:rPr>
      <w:rFonts w:ascii="Arial" w:hAnsi="Arial" w:cs="Arial"/>
      <w:i/>
      <w:sz w:val="16"/>
      <w:szCs w:val="16"/>
      <w:lang w:eastAsia="ar-SA" w:bidi="ar-SA"/>
    </w:rPr>
  </w:style>
  <w:style w:type="paragraph" w:styleId="IntenseQuote">
    <w:name w:val="Intense Quote"/>
    <w:basedOn w:val="Normal"/>
    <w:next w:val="Normal"/>
    <w:link w:val="IntenseQuoteChar"/>
    <w:uiPriority w:val="99"/>
    <w:qFormat/>
    <w:rsid w:val="00775784"/>
    <w:pPr>
      <w:suppressAutoHyphens/>
      <w:spacing w:after="0" w:line="240" w:lineRule="auto"/>
      <w:ind w:left="720" w:right="720" w:firstLine="709"/>
      <w:jc w:val="both"/>
    </w:pPr>
    <w:rPr>
      <w:rFonts w:ascii="Arial" w:hAnsi="Arial" w:cs="Arial"/>
      <w:b/>
      <w:i/>
      <w:sz w:val="24"/>
      <w:lang w:eastAsia="ar-SA"/>
    </w:rPr>
  </w:style>
  <w:style w:type="character" w:customStyle="1" w:styleId="IntenseQuoteChar">
    <w:name w:val="Intense Quote Char"/>
    <w:basedOn w:val="DefaultParagraphFont"/>
    <w:link w:val="IntenseQuote"/>
    <w:uiPriority w:val="99"/>
    <w:locked/>
    <w:rsid w:val="00775784"/>
    <w:rPr>
      <w:rFonts w:ascii="Arial" w:hAnsi="Arial" w:cs="Arial"/>
      <w:b/>
      <w:i/>
      <w:sz w:val="22"/>
      <w:szCs w:val="22"/>
      <w:lang w:eastAsia="ar-SA" w:bidi="ar-SA"/>
    </w:rPr>
  </w:style>
  <w:style w:type="character" w:styleId="SubtleEmphasis">
    <w:name w:val="Subtle Emphasis"/>
    <w:basedOn w:val="DefaultParagraphFont"/>
    <w:uiPriority w:val="99"/>
    <w:qFormat/>
    <w:rsid w:val="00775784"/>
    <w:rPr>
      <w:rFonts w:ascii="Arial" w:hAnsi="Arial" w:cs="Times New Roman"/>
      <w:i/>
      <w:color w:val="5A5A5A"/>
      <w:sz w:val="24"/>
    </w:rPr>
  </w:style>
  <w:style w:type="character" w:styleId="IntenseEmphasis">
    <w:name w:val="Intense Emphasis"/>
    <w:basedOn w:val="DefaultParagraphFont"/>
    <w:uiPriority w:val="99"/>
    <w:qFormat/>
    <w:rsid w:val="00775784"/>
    <w:rPr>
      <w:rFonts w:cs="Times New Roman"/>
      <w:b/>
      <w:i/>
      <w:sz w:val="24"/>
      <w:u w:val="single"/>
    </w:rPr>
  </w:style>
  <w:style w:type="character" w:styleId="SubtleReference">
    <w:name w:val="Subtle Reference"/>
    <w:basedOn w:val="DefaultParagraphFont"/>
    <w:uiPriority w:val="99"/>
    <w:qFormat/>
    <w:rsid w:val="00775784"/>
    <w:rPr>
      <w:rFonts w:ascii="Arial" w:hAnsi="Arial" w:cs="Times New Roman"/>
      <w:i/>
      <w:color w:val="0070C0"/>
      <w:sz w:val="24"/>
      <w:u w:val="single"/>
    </w:rPr>
  </w:style>
  <w:style w:type="character" w:styleId="IntenseReference">
    <w:name w:val="Intense Reference"/>
    <w:basedOn w:val="DefaultParagraphFont"/>
    <w:uiPriority w:val="99"/>
    <w:qFormat/>
    <w:rsid w:val="00775784"/>
    <w:rPr>
      <w:rFonts w:cs="Times New Roman"/>
      <w:b/>
      <w:sz w:val="24"/>
      <w:u w:val="single"/>
    </w:rPr>
  </w:style>
  <w:style w:type="character" w:styleId="BookTitle">
    <w:name w:val="Book Title"/>
    <w:basedOn w:val="DefaultParagraphFont"/>
    <w:uiPriority w:val="99"/>
    <w:qFormat/>
    <w:rsid w:val="00775784"/>
    <w:rPr>
      <w:rFonts w:ascii="Cambria" w:hAnsi="Cambria" w:cs="Times New Roman"/>
      <w:b/>
      <w:i/>
      <w:sz w:val="24"/>
    </w:rPr>
  </w:style>
  <w:style w:type="character" w:customStyle="1" w:styleId="WW8Num3z0">
    <w:name w:val="WW8Num3z0"/>
    <w:uiPriority w:val="99"/>
    <w:rsid w:val="00775784"/>
    <w:rPr>
      <w:rFonts w:ascii="Symbol" w:hAnsi="Symbol"/>
    </w:rPr>
  </w:style>
  <w:style w:type="character" w:customStyle="1" w:styleId="WW8Num4z0">
    <w:name w:val="WW8Num4z0"/>
    <w:uiPriority w:val="99"/>
    <w:rsid w:val="00775784"/>
    <w:rPr>
      <w:rFonts w:ascii="Symbol" w:hAnsi="Symbol"/>
    </w:rPr>
  </w:style>
  <w:style w:type="character" w:customStyle="1" w:styleId="WW8Num5z0">
    <w:name w:val="WW8Num5z0"/>
    <w:uiPriority w:val="99"/>
    <w:rsid w:val="00775784"/>
    <w:rPr>
      <w:rFonts w:ascii="Symbol" w:hAnsi="Symbol"/>
    </w:rPr>
  </w:style>
  <w:style w:type="character" w:customStyle="1" w:styleId="WW8Num6z0">
    <w:name w:val="WW8Num6z0"/>
    <w:uiPriority w:val="99"/>
    <w:rsid w:val="00775784"/>
    <w:rPr>
      <w:rFonts w:ascii="Symbol" w:hAnsi="Symbol"/>
    </w:rPr>
  </w:style>
  <w:style w:type="character" w:customStyle="1" w:styleId="WW8Num7z0">
    <w:name w:val="WW8Num7z0"/>
    <w:uiPriority w:val="99"/>
    <w:rsid w:val="00775784"/>
    <w:rPr>
      <w:rFonts w:ascii="Symbol" w:hAnsi="Symbol"/>
    </w:rPr>
  </w:style>
  <w:style w:type="character" w:customStyle="1" w:styleId="WW8Num8z1">
    <w:name w:val="WW8Num8z1"/>
    <w:uiPriority w:val="99"/>
    <w:rsid w:val="00775784"/>
    <w:rPr>
      <w:rFonts w:ascii="Symbol" w:hAnsi="Symbol"/>
    </w:rPr>
  </w:style>
  <w:style w:type="character" w:customStyle="1" w:styleId="WW8Num9z0">
    <w:name w:val="WW8Num9z0"/>
    <w:uiPriority w:val="99"/>
    <w:rsid w:val="00775784"/>
    <w:rPr>
      <w:sz w:val="20"/>
    </w:rPr>
  </w:style>
  <w:style w:type="character" w:customStyle="1" w:styleId="WW8Num10z0">
    <w:name w:val="WW8Num10z0"/>
    <w:uiPriority w:val="99"/>
    <w:rsid w:val="00775784"/>
    <w:rPr>
      <w:rFonts w:ascii="Symbol" w:hAnsi="Symbol"/>
    </w:rPr>
  </w:style>
  <w:style w:type="character" w:customStyle="1" w:styleId="WW8Num11z0">
    <w:name w:val="WW8Num11z0"/>
    <w:uiPriority w:val="99"/>
    <w:rsid w:val="00775784"/>
    <w:rPr>
      <w:rFonts w:ascii="Symbol" w:hAnsi="Symbol"/>
    </w:rPr>
  </w:style>
  <w:style w:type="character" w:customStyle="1" w:styleId="WW8Num12z0">
    <w:name w:val="WW8Num12z0"/>
    <w:uiPriority w:val="99"/>
    <w:rsid w:val="00775784"/>
    <w:rPr>
      <w:rFonts w:ascii="Symbol" w:hAnsi="Symbol"/>
    </w:rPr>
  </w:style>
  <w:style w:type="character" w:customStyle="1" w:styleId="WW8Num13z0">
    <w:name w:val="WW8Num13z0"/>
    <w:uiPriority w:val="99"/>
    <w:rsid w:val="00775784"/>
    <w:rPr>
      <w:rFonts w:ascii="Symbol" w:hAnsi="Symbol"/>
    </w:rPr>
  </w:style>
  <w:style w:type="character" w:customStyle="1" w:styleId="WW8Num14z0">
    <w:name w:val="WW8Num14z0"/>
    <w:uiPriority w:val="99"/>
    <w:rsid w:val="00775784"/>
    <w:rPr>
      <w:rFonts w:ascii="Symbol" w:hAnsi="Symbol"/>
    </w:rPr>
  </w:style>
  <w:style w:type="character" w:customStyle="1" w:styleId="WW8Num15z0">
    <w:name w:val="WW8Num15z0"/>
    <w:uiPriority w:val="99"/>
    <w:rsid w:val="00775784"/>
    <w:rPr>
      <w:rFonts w:ascii="Symbol" w:hAnsi="Symbol"/>
    </w:rPr>
  </w:style>
  <w:style w:type="character" w:customStyle="1" w:styleId="WW8Num16z0">
    <w:name w:val="WW8Num16z0"/>
    <w:uiPriority w:val="99"/>
    <w:rsid w:val="00775784"/>
    <w:rPr>
      <w:rFonts w:ascii="Symbol" w:hAnsi="Symbol"/>
    </w:rPr>
  </w:style>
  <w:style w:type="character" w:customStyle="1" w:styleId="WW8Num17z0">
    <w:name w:val="WW8Num17z0"/>
    <w:uiPriority w:val="99"/>
    <w:rsid w:val="00775784"/>
    <w:rPr>
      <w:rFonts w:ascii="Symbol" w:hAnsi="Symbol"/>
    </w:rPr>
  </w:style>
  <w:style w:type="character" w:customStyle="1" w:styleId="WW8Num18z0">
    <w:name w:val="WW8Num18z0"/>
    <w:uiPriority w:val="99"/>
    <w:rsid w:val="00775784"/>
    <w:rPr>
      <w:rFonts w:ascii="Symbol" w:hAnsi="Symbol"/>
    </w:rPr>
  </w:style>
  <w:style w:type="character" w:customStyle="1" w:styleId="WW8Num19z0">
    <w:name w:val="WW8Num19z0"/>
    <w:uiPriority w:val="99"/>
    <w:rsid w:val="00775784"/>
    <w:rPr>
      <w:rFonts w:ascii="Arial" w:hAnsi="Arial"/>
    </w:rPr>
  </w:style>
  <w:style w:type="character" w:customStyle="1" w:styleId="WW8Num20z0">
    <w:name w:val="WW8Num20z0"/>
    <w:uiPriority w:val="99"/>
    <w:rsid w:val="00775784"/>
    <w:rPr>
      <w:rFonts w:ascii="Symbol" w:hAnsi="Symbol"/>
    </w:rPr>
  </w:style>
  <w:style w:type="character" w:customStyle="1" w:styleId="WW8Num21z0">
    <w:name w:val="WW8Num21z0"/>
    <w:uiPriority w:val="99"/>
    <w:rsid w:val="00775784"/>
    <w:rPr>
      <w:rFonts w:ascii="Symbol" w:hAnsi="Symbol"/>
    </w:rPr>
  </w:style>
  <w:style w:type="character" w:customStyle="1" w:styleId="WW8Num22z0">
    <w:name w:val="WW8Num22z0"/>
    <w:uiPriority w:val="99"/>
    <w:rsid w:val="00775784"/>
    <w:rPr>
      <w:rFonts w:ascii="Symbol" w:hAnsi="Symbol"/>
    </w:rPr>
  </w:style>
  <w:style w:type="character" w:customStyle="1" w:styleId="WW8Num24z0">
    <w:name w:val="WW8Num24z0"/>
    <w:uiPriority w:val="99"/>
    <w:rsid w:val="00775784"/>
    <w:rPr>
      <w:rFonts w:ascii="Symbol" w:hAnsi="Symbol"/>
      <w:color w:val="auto"/>
    </w:rPr>
  </w:style>
  <w:style w:type="character" w:customStyle="1" w:styleId="WW8Num25z0">
    <w:name w:val="WW8Num25z0"/>
    <w:uiPriority w:val="99"/>
    <w:rsid w:val="00775784"/>
    <w:rPr>
      <w:rFonts w:ascii="Symbol" w:hAnsi="Symbol"/>
    </w:rPr>
  </w:style>
  <w:style w:type="character" w:customStyle="1" w:styleId="WW8Num27z0">
    <w:name w:val="WW8Num27z0"/>
    <w:uiPriority w:val="99"/>
    <w:rsid w:val="00775784"/>
    <w:rPr>
      <w:rFonts w:ascii="Symbol" w:hAnsi="Symbol"/>
    </w:rPr>
  </w:style>
  <w:style w:type="character" w:customStyle="1" w:styleId="WW8Num28z0">
    <w:name w:val="WW8Num28z0"/>
    <w:uiPriority w:val="99"/>
    <w:rsid w:val="00775784"/>
    <w:rPr>
      <w:rFonts w:ascii="Symbol" w:hAnsi="Symbol"/>
    </w:rPr>
  </w:style>
  <w:style w:type="character" w:customStyle="1" w:styleId="WW8Num30z0">
    <w:name w:val="WW8Num30z0"/>
    <w:uiPriority w:val="99"/>
    <w:rsid w:val="00775784"/>
    <w:rPr>
      <w:rFonts w:ascii="Symbol" w:hAnsi="Symbol"/>
    </w:rPr>
  </w:style>
  <w:style w:type="character" w:customStyle="1" w:styleId="WW8Num31z0">
    <w:name w:val="WW8Num31z0"/>
    <w:uiPriority w:val="99"/>
    <w:rsid w:val="00775784"/>
    <w:rPr>
      <w:rFonts w:ascii="Symbol" w:hAnsi="Symbol"/>
    </w:rPr>
  </w:style>
  <w:style w:type="character" w:customStyle="1" w:styleId="WW8Num32z0">
    <w:name w:val="WW8Num32z0"/>
    <w:uiPriority w:val="99"/>
    <w:rsid w:val="00775784"/>
    <w:rPr>
      <w:rFonts w:ascii="Symbol" w:hAnsi="Symbol"/>
    </w:rPr>
  </w:style>
  <w:style w:type="character" w:customStyle="1" w:styleId="WW8Num34z0">
    <w:name w:val="WW8Num34z0"/>
    <w:uiPriority w:val="99"/>
    <w:rsid w:val="00775784"/>
    <w:rPr>
      <w:rFonts w:ascii="Symbol" w:hAnsi="Symbol"/>
    </w:rPr>
  </w:style>
  <w:style w:type="character" w:customStyle="1" w:styleId="WW8Num35z0">
    <w:name w:val="WW8Num35z0"/>
    <w:uiPriority w:val="99"/>
    <w:rsid w:val="00775784"/>
    <w:rPr>
      <w:rFonts w:ascii="Symbol" w:hAnsi="Symbol"/>
    </w:rPr>
  </w:style>
  <w:style w:type="character" w:customStyle="1" w:styleId="WW8Num37z0">
    <w:name w:val="WW8Num37z0"/>
    <w:uiPriority w:val="99"/>
    <w:rsid w:val="00775784"/>
    <w:rPr>
      <w:rFonts w:ascii="Symbol" w:hAnsi="Symbol"/>
    </w:rPr>
  </w:style>
  <w:style w:type="character" w:customStyle="1" w:styleId="WW8Num38z0">
    <w:name w:val="WW8Num38z0"/>
    <w:uiPriority w:val="99"/>
    <w:rsid w:val="00775784"/>
    <w:rPr>
      <w:rFonts w:ascii="Symbol" w:hAnsi="Symbol"/>
    </w:rPr>
  </w:style>
  <w:style w:type="character" w:customStyle="1" w:styleId="WW8Num42z0">
    <w:name w:val="WW8Num42z0"/>
    <w:uiPriority w:val="99"/>
    <w:rsid w:val="00775784"/>
    <w:rPr>
      <w:rFonts w:ascii="Symbol" w:hAnsi="Symbol"/>
    </w:rPr>
  </w:style>
  <w:style w:type="character" w:customStyle="1" w:styleId="WW8Num44z0">
    <w:name w:val="WW8Num44z0"/>
    <w:uiPriority w:val="99"/>
    <w:rsid w:val="00775784"/>
    <w:rPr>
      <w:rFonts w:ascii="Symbol" w:hAnsi="Symbol"/>
    </w:rPr>
  </w:style>
  <w:style w:type="character" w:customStyle="1" w:styleId="WW8Num45z0">
    <w:name w:val="WW8Num45z0"/>
    <w:uiPriority w:val="99"/>
    <w:rsid w:val="00775784"/>
    <w:rPr>
      <w:rFonts w:ascii="Symbol" w:hAnsi="Symbol"/>
      <w:color w:val="auto"/>
    </w:rPr>
  </w:style>
  <w:style w:type="character" w:customStyle="1" w:styleId="WW8Num46z0">
    <w:name w:val="WW8Num46z0"/>
    <w:uiPriority w:val="99"/>
    <w:rsid w:val="00775784"/>
    <w:rPr>
      <w:rFonts w:ascii="Symbol" w:hAnsi="Symbol"/>
    </w:rPr>
  </w:style>
  <w:style w:type="character" w:customStyle="1" w:styleId="WW8Num47z0">
    <w:name w:val="WW8Num47z0"/>
    <w:uiPriority w:val="99"/>
    <w:rsid w:val="00775784"/>
    <w:rPr>
      <w:rFonts w:ascii="Symbol" w:hAnsi="Symbol"/>
      <w:color w:val="auto"/>
    </w:rPr>
  </w:style>
  <w:style w:type="character" w:customStyle="1" w:styleId="WW8Num48z0">
    <w:name w:val="WW8Num48z0"/>
    <w:uiPriority w:val="99"/>
    <w:rsid w:val="00775784"/>
    <w:rPr>
      <w:rFonts w:ascii="Symbol" w:hAnsi="Symbol"/>
    </w:rPr>
  </w:style>
  <w:style w:type="character" w:customStyle="1" w:styleId="WW8Num50z0">
    <w:name w:val="WW8Num50z0"/>
    <w:uiPriority w:val="99"/>
    <w:rsid w:val="00775784"/>
    <w:rPr>
      <w:rFonts w:ascii="Symbol" w:hAnsi="Symbol"/>
      <w:color w:val="auto"/>
      <w:position w:val="0"/>
      <w:sz w:val="24"/>
      <w:vertAlign w:val="baseline"/>
    </w:rPr>
  </w:style>
  <w:style w:type="character" w:customStyle="1" w:styleId="WW8Num52z0">
    <w:name w:val="WW8Num52z0"/>
    <w:uiPriority w:val="99"/>
    <w:rsid w:val="00775784"/>
    <w:rPr>
      <w:rFonts w:ascii="Arial" w:hAnsi="Arial"/>
    </w:rPr>
  </w:style>
  <w:style w:type="character" w:customStyle="1" w:styleId="WW8Num53z0">
    <w:name w:val="WW8Num53z0"/>
    <w:uiPriority w:val="99"/>
    <w:rsid w:val="00775784"/>
    <w:rPr>
      <w:rFonts w:ascii="Symbol" w:hAnsi="Symbol"/>
    </w:rPr>
  </w:style>
  <w:style w:type="character" w:customStyle="1" w:styleId="WW8Num55z0">
    <w:name w:val="WW8Num55z0"/>
    <w:uiPriority w:val="99"/>
    <w:rsid w:val="00775784"/>
    <w:rPr>
      <w:rFonts w:ascii="Symbol" w:hAnsi="Symbol"/>
    </w:rPr>
  </w:style>
  <w:style w:type="character" w:customStyle="1" w:styleId="WW8Num57z0">
    <w:name w:val="WW8Num57z0"/>
    <w:uiPriority w:val="99"/>
    <w:rsid w:val="00775784"/>
    <w:rPr>
      <w:rFonts w:ascii="Arial" w:hAnsi="Arial"/>
    </w:rPr>
  </w:style>
  <w:style w:type="character" w:customStyle="1" w:styleId="WW8Num61z0">
    <w:name w:val="WW8Num61z0"/>
    <w:uiPriority w:val="99"/>
    <w:rsid w:val="00775784"/>
    <w:rPr>
      <w:rFonts w:ascii="Symbol" w:hAnsi="Symbol"/>
    </w:rPr>
  </w:style>
  <w:style w:type="character" w:customStyle="1" w:styleId="Absatz-Standardschriftart">
    <w:name w:val="Absatz-Standardschriftart"/>
    <w:uiPriority w:val="99"/>
    <w:rsid w:val="00775784"/>
  </w:style>
  <w:style w:type="character" w:customStyle="1" w:styleId="WW8Num13z1">
    <w:name w:val="WW8Num13z1"/>
    <w:uiPriority w:val="99"/>
    <w:rsid w:val="00775784"/>
    <w:rPr>
      <w:rFonts w:ascii="Courier New" w:hAnsi="Courier New"/>
    </w:rPr>
  </w:style>
  <w:style w:type="character" w:customStyle="1" w:styleId="WW8Num13z2">
    <w:name w:val="WW8Num13z2"/>
    <w:uiPriority w:val="99"/>
    <w:rsid w:val="00775784"/>
    <w:rPr>
      <w:rFonts w:ascii="Wingdings" w:hAnsi="Wingdings"/>
    </w:rPr>
  </w:style>
  <w:style w:type="character" w:customStyle="1" w:styleId="WW8Num14z1">
    <w:name w:val="WW8Num14z1"/>
    <w:uiPriority w:val="99"/>
    <w:rsid w:val="00775784"/>
    <w:rPr>
      <w:rFonts w:ascii="Courier New" w:hAnsi="Courier New"/>
    </w:rPr>
  </w:style>
  <w:style w:type="character" w:customStyle="1" w:styleId="WW8Num14z2">
    <w:name w:val="WW8Num14z2"/>
    <w:uiPriority w:val="99"/>
    <w:rsid w:val="00775784"/>
    <w:rPr>
      <w:rFonts w:ascii="Wingdings" w:hAnsi="Wingdings"/>
    </w:rPr>
  </w:style>
  <w:style w:type="character" w:customStyle="1" w:styleId="WW8Num15z1">
    <w:name w:val="WW8Num15z1"/>
    <w:uiPriority w:val="99"/>
    <w:rsid w:val="00775784"/>
    <w:rPr>
      <w:rFonts w:ascii="Courier New" w:hAnsi="Courier New"/>
    </w:rPr>
  </w:style>
  <w:style w:type="character" w:customStyle="1" w:styleId="WW8Num15z2">
    <w:name w:val="WW8Num15z2"/>
    <w:uiPriority w:val="99"/>
    <w:rsid w:val="00775784"/>
    <w:rPr>
      <w:rFonts w:ascii="Wingdings" w:hAnsi="Wingdings"/>
    </w:rPr>
  </w:style>
  <w:style w:type="character" w:customStyle="1" w:styleId="WW8Num16z1">
    <w:name w:val="WW8Num16z1"/>
    <w:uiPriority w:val="99"/>
    <w:rsid w:val="00775784"/>
    <w:rPr>
      <w:rFonts w:ascii="Courier New" w:hAnsi="Courier New"/>
    </w:rPr>
  </w:style>
  <w:style w:type="character" w:customStyle="1" w:styleId="WW8Num16z2">
    <w:name w:val="WW8Num16z2"/>
    <w:uiPriority w:val="99"/>
    <w:rsid w:val="00775784"/>
    <w:rPr>
      <w:rFonts w:ascii="Wingdings" w:hAnsi="Wingdings"/>
    </w:rPr>
  </w:style>
  <w:style w:type="character" w:customStyle="1" w:styleId="WW8Num17z1">
    <w:name w:val="WW8Num17z1"/>
    <w:uiPriority w:val="99"/>
    <w:rsid w:val="00775784"/>
    <w:rPr>
      <w:rFonts w:ascii="Courier New" w:hAnsi="Courier New"/>
    </w:rPr>
  </w:style>
  <w:style w:type="character" w:customStyle="1" w:styleId="WW8Num17z2">
    <w:name w:val="WW8Num17z2"/>
    <w:uiPriority w:val="99"/>
    <w:rsid w:val="00775784"/>
    <w:rPr>
      <w:rFonts w:ascii="Wingdings" w:hAnsi="Wingdings"/>
    </w:rPr>
  </w:style>
  <w:style w:type="character" w:customStyle="1" w:styleId="WW8Num18z1">
    <w:name w:val="WW8Num18z1"/>
    <w:uiPriority w:val="99"/>
    <w:rsid w:val="00775784"/>
    <w:rPr>
      <w:rFonts w:ascii="Courier New" w:hAnsi="Courier New"/>
    </w:rPr>
  </w:style>
  <w:style w:type="character" w:customStyle="1" w:styleId="WW8Num18z2">
    <w:name w:val="WW8Num18z2"/>
    <w:uiPriority w:val="99"/>
    <w:rsid w:val="00775784"/>
    <w:rPr>
      <w:rFonts w:ascii="Wingdings" w:hAnsi="Wingdings"/>
    </w:rPr>
  </w:style>
  <w:style w:type="character" w:customStyle="1" w:styleId="WW8Num19z1">
    <w:name w:val="WW8Num19z1"/>
    <w:uiPriority w:val="99"/>
    <w:rsid w:val="00775784"/>
    <w:rPr>
      <w:rFonts w:ascii="Courier New" w:hAnsi="Courier New"/>
    </w:rPr>
  </w:style>
  <w:style w:type="character" w:customStyle="1" w:styleId="WW8Num19z2">
    <w:name w:val="WW8Num19z2"/>
    <w:uiPriority w:val="99"/>
    <w:rsid w:val="00775784"/>
    <w:rPr>
      <w:rFonts w:ascii="Wingdings" w:hAnsi="Wingdings"/>
    </w:rPr>
  </w:style>
  <w:style w:type="character" w:customStyle="1" w:styleId="WW8Num19z3">
    <w:name w:val="WW8Num19z3"/>
    <w:uiPriority w:val="99"/>
    <w:rsid w:val="00775784"/>
    <w:rPr>
      <w:rFonts w:ascii="Symbol" w:hAnsi="Symbol"/>
    </w:rPr>
  </w:style>
  <w:style w:type="character" w:customStyle="1" w:styleId="WW8Num20z1">
    <w:name w:val="WW8Num20z1"/>
    <w:uiPriority w:val="99"/>
    <w:rsid w:val="00775784"/>
    <w:rPr>
      <w:rFonts w:ascii="Courier New" w:hAnsi="Courier New"/>
    </w:rPr>
  </w:style>
  <w:style w:type="character" w:customStyle="1" w:styleId="WW8Num20z2">
    <w:name w:val="WW8Num20z2"/>
    <w:uiPriority w:val="99"/>
    <w:rsid w:val="00775784"/>
    <w:rPr>
      <w:rFonts w:ascii="Wingdings" w:hAnsi="Wingdings"/>
    </w:rPr>
  </w:style>
  <w:style w:type="character" w:customStyle="1" w:styleId="WW8Num21z1">
    <w:name w:val="WW8Num21z1"/>
    <w:uiPriority w:val="99"/>
    <w:rsid w:val="00775784"/>
    <w:rPr>
      <w:rFonts w:ascii="Courier New" w:hAnsi="Courier New"/>
    </w:rPr>
  </w:style>
  <w:style w:type="character" w:customStyle="1" w:styleId="WW8Num21z2">
    <w:name w:val="WW8Num21z2"/>
    <w:uiPriority w:val="99"/>
    <w:rsid w:val="00775784"/>
    <w:rPr>
      <w:rFonts w:ascii="Wingdings" w:hAnsi="Wingdings"/>
    </w:rPr>
  </w:style>
  <w:style w:type="character" w:customStyle="1" w:styleId="WW8Num22z1">
    <w:name w:val="WW8Num22z1"/>
    <w:uiPriority w:val="99"/>
    <w:rsid w:val="00775784"/>
    <w:rPr>
      <w:rFonts w:ascii="Courier New" w:hAnsi="Courier New"/>
    </w:rPr>
  </w:style>
  <w:style w:type="character" w:customStyle="1" w:styleId="WW8Num22z2">
    <w:name w:val="WW8Num22z2"/>
    <w:uiPriority w:val="99"/>
    <w:rsid w:val="00775784"/>
    <w:rPr>
      <w:rFonts w:ascii="Wingdings" w:hAnsi="Wingdings"/>
    </w:rPr>
  </w:style>
  <w:style w:type="character" w:customStyle="1" w:styleId="WW8Num23z0">
    <w:name w:val="WW8Num23z0"/>
    <w:uiPriority w:val="99"/>
    <w:rsid w:val="00775784"/>
    <w:rPr>
      <w:rFonts w:ascii="Wingdings" w:hAnsi="Wingdings"/>
    </w:rPr>
  </w:style>
  <w:style w:type="character" w:customStyle="1" w:styleId="WW8Num23z1">
    <w:name w:val="WW8Num23z1"/>
    <w:uiPriority w:val="99"/>
    <w:rsid w:val="00775784"/>
    <w:rPr>
      <w:rFonts w:ascii="Courier New" w:hAnsi="Courier New"/>
    </w:rPr>
  </w:style>
  <w:style w:type="character" w:customStyle="1" w:styleId="WW8Num23z2">
    <w:name w:val="WW8Num23z2"/>
    <w:uiPriority w:val="99"/>
    <w:rsid w:val="00775784"/>
    <w:rPr>
      <w:rFonts w:ascii="Wingdings" w:hAnsi="Wingdings"/>
    </w:rPr>
  </w:style>
  <w:style w:type="character" w:customStyle="1" w:styleId="WW8Num24z1">
    <w:name w:val="WW8Num24z1"/>
    <w:uiPriority w:val="99"/>
    <w:rsid w:val="00775784"/>
    <w:rPr>
      <w:rFonts w:ascii="Courier New" w:hAnsi="Courier New"/>
    </w:rPr>
  </w:style>
  <w:style w:type="character" w:customStyle="1" w:styleId="WW8Num24z2">
    <w:name w:val="WW8Num24z2"/>
    <w:uiPriority w:val="99"/>
    <w:rsid w:val="00775784"/>
    <w:rPr>
      <w:rFonts w:ascii="Wingdings" w:hAnsi="Wingdings"/>
    </w:rPr>
  </w:style>
  <w:style w:type="character" w:customStyle="1" w:styleId="WW8Num24z3">
    <w:name w:val="WW8Num24z3"/>
    <w:uiPriority w:val="99"/>
    <w:rsid w:val="00775784"/>
    <w:rPr>
      <w:rFonts w:ascii="Symbol" w:hAnsi="Symbol"/>
    </w:rPr>
  </w:style>
  <w:style w:type="character" w:customStyle="1" w:styleId="WW8Num26z0">
    <w:name w:val="WW8Num26z0"/>
    <w:uiPriority w:val="99"/>
    <w:rsid w:val="00775784"/>
    <w:rPr>
      <w:rFonts w:ascii="Symbol" w:hAnsi="Symbol"/>
    </w:rPr>
  </w:style>
  <w:style w:type="character" w:customStyle="1" w:styleId="WW8Num26z1">
    <w:name w:val="WW8Num26z1"/>
    <w:uiPriority w:val="99"/>
    <w:rsid w:val="00775784"/>
    <w:rPr>
      <w:rFonts w:ascii="Courier New" w:hAnsi="Courier New"/>
    </w:rPr>
  </w:style>
  <w:style w:type="character" w:customStyle="1" w:styleId="WW8Num26z2">
    <w:name w:val="WW8Num26z2"/>
    <w:uiPriority w:val="99"/>
    <w:rsid w:val="00775784"/>
    <w:rPr>
      <w:rFonts w:ascii="Wingdings" w:hAnsi="Wingdings"/>
    </w:rPr>
  </w:style>
  <w:style w:type="character" w:customStyle="1" w:styleId="WW8Num27z1">
    <w:name w:val="WW8Num27z1"/>
    <w:uiPriority w:val="99"/>
    <w:rsid w:val="00775784"/>
    <w:rPr>
      <w:rFonts w:ascii="Courier New" w:hAnsi="Courier New"/>
    </w:rPr>
  </w:style>
  <w:style w:type="character" w:customStyle="1" w:styleId="WW8Num27z2">
    <w:name w:val="WW8Num27z2"/>
    <w:uiPriority w:val="99"/>
    <w:rsid w:val="00775784"/>
    <w:rPr>
      <w:rFonts w:ascii="Wingdings" w:hAnsi="Wingdings"/>
    </w:rPr>
  </w:style>
  <w:style w:type="character" w:customStyle="1" w:styleId="WW8Num29z0">
    <w:name w:val="WW8Num29z0"/>
    <w:uiPriority w:val="99"/>
    <w:rsid w:val="00775784"/>
    <w:rPr>
      <w:rFonts w:ascii="Times New Roman" w:hAnsi="Times New Roman"/>
    </w:rPr>
  </w:style>
  <w:style w:type="character" w:customStyle="1" w:styleId="WW8Num30z1">
    <w:name w:val="WW8Num30z1"/>
    <w:uiPriority w:val="99"/>
    <w:rsid w:val="00775784"/>
    <w:rPr>
      <w:rFonts w:ascii="Courier New" w:hAnsi="Courier New"/>
    </w:rPr>
  </w:style>
  <w:style w:type="character" w:customStyle="1" w:styleId="WW8Num30z2">
    <w:name w:val="WW8Num30z2"/>
    <w:uiPriority w:val="99"/>
    <w:rsid w:val="00775784"/>
    <w:rPr>
      <w:rFonts w:ascii="Wingdings" w:hAnsi="Wingdings"/>
    </w:rPr>
  </w:style>
  <w:style w:type="character" w:customStyle="1" w:styleId="WW8Num32z1">
    <w:name w:val="WW8Num32z1"/>
    <w:uiPriority w:val="99"/>
    <w:rsid w:val="00775784"/>
    <w:rPr>
      <w:rFonts w:ascii="Courier New" w:hAnsi="Courier New"/>
    </w:rPr>
  </w:style>
  <w:style w:type="character" w:customStyle="1" w:styleId="WW8Num32z2">
    <w:name w:val="WW8Num32z2"/>
    <w:uiPriority w:val="99"/>
    <w:rsid w:val="00775784"/>
    <w:rPr>
      <w:rFonts w:ascii="Wingdings" w:hAnsi="Wingdings"/>
    </w:rPr>
  </w:style>
  <w:style w:type="character" w:customStyle="1" w:styleId="WW8Num33z0">
    <w:name w:val="WW8Num33z0"/>
    <w:uiPriority w:val="99"/>
    <w:rsid w:val="00775784"/>
    <w:rPr>
      <w:rFonts w:ascii="Symbol" w:hAnsi="Symbol"/>
    </w:rPr>
  </w:style>
  <w:style w:type="character" w:customStyle="1" w:styleId="WW8Num33z1">
    <w:name w:val="WW8Num33z1"/>
    <w:uiPriority w:val="99"/>
    <w:rsid w:val="00775784"/>
    <w:rPr>
      <w:rFonts w:ascii="Courier New" w:hAnsi="Courier New"/>
    </w:rPr>
  </w:style>
  <w:style w:type="character" w:customStyle="1" w:styleId="WW8Num33z2">
    <w:name w:val="WW8Num33z2"/>
    <w:uiPriority w:val="99"/>
    <w:rsid w:val="00775784"/>
    <w:rPr>
      <w:rFonts w:ascii="Wingdings" w:hAnsi="Wingdings"/>
    </w:rPr>
  </w:style>
  <w:style w:type="character" w:customStyle="1" w:styleId="WW8Num34z1">
    <w:name w:val="WW8Num34z1"/>
    <w:uiPriority w:val="99"/>
    <w:rsid w:val="00775784"/>
    <w:rPr>
      <w:rFonts w:ascii="Courier New" w:hAnsi="Courier New"/>
    </w:rPr>
  </w:style>
  <w:style w:type="character" w:customStyle="1" w:styleId="WW8Num34z2">
    <w:name w:val="WW8Num34z2"/>
    <w:uiPriority w:val="99"/>
    <w:rsid w:val="00775784"/>
    <w:rPr>
      <w:rFonts w:ascii="Wingdings" w:hAnsi="Wingdings"/>
    </w:rPr>
  </w:style>
  <w:style w:type="character" w:customStyle="1" w:styleId="WW8Num36z0">
    <w:name w:val="WW8Num36z0"/>
    <w:uiPriority w:val="99"/>
    <w:rsid w:val="00775784"/>
    <w:rPr>
      <w:rFonts w:ascii="Symbol" w:hAnsi="Symbol"/>
    </w:rPr>
  </w:style>
  <w:style w:type="character" w:customStyle="1" w:styleId="WW8Num36z1">
    <w:name w:val="WW8Num36z1"/>
    <w:uiPriority w:val="99"/>
    <w:rsid w:val="00775784"/>
    <w:rPr>
      <w:rFonts w:ascii="Courier New" w:hAnsi="Courier New"/>
    </w:rPr>
  </w:style>
  <w:style w:type="character" w:customStyle="1" w:styleId="WW8Num36z2">
    <w:name w:val="WW8Num36z2"/>
    <w:uiPriority w:val="99"/>
    <w:rsid w:val="00775784"/>
    <w:rPr>
      <w:rFonts w:ascii="Wingdings" w:hAnsi="Wingdings"/>
    </w:rPr>
  </w:style>
  <w:style w:type="character" w:customStyle="1" w:styleId="WW8Num37z1">
    <w:name w:val="WW8Num37z1"/>
    <w:uiPriority w:val="99"/>
    <w:rsid w:val="00775784"/>
    <w:rPr>
      <w:rFonts w:ascii="Courier New" w:hAnsi="Courier New"/>
    </w:rPr>
  </w:style>
  <w:style w:type="character" w:customStyle="1" w:styleId="WW8Num37z2">
    <w:name w:val="WW8Num37z2"/>
    <w:uiPriority w:val="99"/>
    <w:rsid w:val="00775784"/>
    <w:rPr>
      <w:rFonts w:ascii="Wingdings" w:hAnsi="Wingdings"/>
    </w:rPr>
  </w:style>
  <w:style w:type="character" w:customStyle="1" w:styleId="WW8Num39z0">
    <w:name w:val="WW8Num39z0"/>
    <w:uiPriority w:val="99"/>
    <w:rsid w:val="00775784"/>
    <w:rPr>
      <w:rFonts w:ascii="Symbol" w:hAnsi="Symbol"/>
    </w:rPr>
  </w:style>
  <w:style w:type="character" w:customStyle="1" w:styleId="WW8Num39z1">
    <w:name w:val="WW8Num39z1"/>
    <w:uiPriority w:val="99"/>
    <w:rsid w:val="00775784"/>
    <w:rPr>
      <w:rFonts w:ascii="Courier New" w:hAnsi="Courier New"/>
    </w:rPr>
  </w:style>
  <w:style w:type="character" w:customStyle="1" w:styleId="WW8Num39z2">
    <w:name w:val="WW8Num39z2"/>
    <w:uiPriority w:val="99"/>
    <w:rsid w:val="00775784"/>
    <w:rPr>
      <w:rFonts w:ascii="Wingdings" w:hAnsi="Wingdings"/>
    </w:rPr>
  </w:style>
  <w:style w:type="character" w:customStyle="1" w:styleId="WW8Num40z0">
    <w:name w:val="WW8Num40z0"/>
    <w:uiPriority w:val="99"/>
    <w:rsid w:val="00775784"/>
    <w:rPr>
      <w:rFonts w:ascii="Symbol" w:hAnsi="Symbol"/>
    </w:rPr>
  </w:style>
  <w:style w:type="character" w:customStyle="1" w:styleId="WW8Num40z1">
    <w:name w:val="WW8Num40z1"/>
    <w:uiPriority w:val="99"/>
    <w:rsid w:val="00775784"/>
    <w:rPr>
      <w:rFonts w:ascii="Courier New" w:hAnsi="Courier New"/>
    </w:rPr>
  </w:style>
  <w:style w:type="character" w:customStyle="1" w:styleId="WW8Num40z2">
    <w:name w:val="WW8Num40z2"/>
    <w:uiPriority w:val="99"/>
    <w:rsid w:val="00775784"/>
    <w:rPr>
      <w:rFonts w:ascii="Wingdings" w:hAnsi="Wingdings"/>
    </w:rPr>
  </w:style>
  <w:style w:type="character" w:customStyle="1" w:styleId="WW8Num44z1">
    <w:name w:val="WW8Num44z1"/>
    <w:uiPriority w:val="99"/>
    <w:rsid w:val="00775784"/>
    <w:rPr>
      <w:rFonts w:ascii="Courier New" w:hAnsi="Courier New"/>
    </w:rPr>
  </w:style>
  <w:style w:type="character" w:customStyle="1" w:styleId="WW8Num44z2">
    <w:name w:val="WW8Num44z2"/>
    <w:uiPriority w:val="99"/>
    <w:rsid w:val="00775784"/>
    <w:rPr>
      <w:rFonts w:ascii="Wingdings" w:hAnsi="Wingdings"/>
    </w:rPr>
  </w:style>
  <w:style w:type="character" w:customStyle="1" w:styleId="WW8Num46z1">
    <w:name w:val="WW8Num46z1"/>
    <w:uiPriority w:val="99"/>
    <w:rsid w:val="00775784"/>
    <w:rPr>
      <w:rFonts w:ascii="Courier New" w:hAnsi="Courier New"/>
    </w:rPr>
  </w:style>
  <w:style w:type="character" w:customStyle="1" w:styleId="WW8Num46z2">
    <w:name w:val="WW8Num46z2"/>
    <w:uiPriority w:val="99"/>
    <w:rsid w:val="00775784"/>
    <w:rPr>
      <w:rFonts w:ascii="Wingdings" w:hAnsi="Wingdings"/>
    </w:rPr>
  </w:style>
  <w:style w:type="character" w:customStyle="1" w:styleId="WW8Num47z1">
    <w:name w:val="WW8Num47z1"/>
    <w:uiPriority w:val="99"/>
    <w:rsid w:val="00775784"/>
    <w:rPr>
      <w:rFonts w:ascii="Courier New" w:hAnsi="Courier New"/>
    </w:rPr>
  </w:style>
  <w:style w:type="character" w:customStyle="1" w:styleId="WW8Num47z2">
    <w:name w:val="WW8Num47z2"/>
    <w:uiPriority w:val="99"/>
    <w:rsid w:val="00775784"/>
    <w:rPr>
      <w:rFonts w:ascii="Wingdings" w:hAnsi="Wingdings"/>
    </w:rPr>
  </w:style>
  <w:style w:type="character" w:customStyle="1" w:styleId="WW8Num47z3">
    <w:name w:val="WW8Num47z3"/>
    <w:uiPriority w:val="99"/>
    <w:rsid w:val="00775784"/>
    <w:rPr>
      <w:rFonts w:ascii="Symbol" w:hAnsi="Symbol"/>
    </w:rPr>
  </w:style>
  <w:style w:type="character" w:customStyle="1" w:styleId="WW8Num48z1">
    <w:name w:val="WW8Num48z1"/>
    <w:uiPriority w:val="99"/>
    <w:rsid w:val="00775784"/>
    <w:rPr>
      <w:rFonts w:ascii="Courier New" w:hAnsi="Courier New"/>
    </w:rPr>
  </w:style>
  <w:style w:type="character" w:customStyle="1" w:styleId="WW8Num48z2">
    <w:name w:val="WW8Num48z2"/>
    <w:uiPriority w:val="99"/>
    <w:rsid w:val="00775784"/>
    <w:rPr>
      <w:rFonts w:ascii="Wingdings" w:hAnsi="Wingdings"/>
    </w:rPr>
  </w:style>
  <w:style w:type="character" w:customStyle="1" w:styleId="WW8Num49z0">
    <w:name w:val="WW8Num49z0"/>
    <w:uiPriority w:val="99"/>
    <w:rsid w:val="00775784"/>
    <w:rPr>
      <w:rFonts w:ascii="Symbol" w:hAnsi="Symbol"/>
    </w:rPr>
  </w:style>
  <w:style w:type="character" w:customStyle="1" w:styleId="WW8Num49z1">
    <w:name w:val="WW8Num49z1"/>
    <w:uiPriority w:val="99"/>
    <w:rsid w:val="00775784"/>
    <w:rPr>
      <w:rFonts w:ascii="Courier New" w:hAnsi="Courier New"/>
    </w:rPr>
  </w:style>
  <w:style w:type="character" w:customStyle="1" w:styleId="WW8Num49z2">
    <w:name w:val="WW8Num49z2"/>
    <w:uiPriority w:val="99"/>
    <w:rsid w:val="00775784"/>
    <w:rPr>
      <w:rFonts w:ascii="Wingdings" w:hAnsi="Wingdings"/>
    </w:rPr>
  </w:style>
  <w:style w:type="character" w:customStyle="1" w:styleId="WW8Num50z1">
    <w:name w:val="WW8Num50z1"/>
    <w:uiPriority w:val="99"/>
    <w:rsid w:val="00775784"/>
    <w:rPr>
      <w:rFonts w:ascii="Courier New" w:hAnsi="Courier New"/>
    </w:rPr>
  </w:style>
  <w:style w:type="character" w:customStyle="1" w:styleId="WW8Num50z2">
    <w:name w:val="WW8Num50z2"/>
    <w:uiPriority w:val="99"/>
    <w:rsid w:val="00775784"/>
    <w:rPr>
      <w:rFonts w:ascii="Wingdings" w:hAnsi="Wingdings"/>
    </w:rPr>
  </w:style>
  <w:style w:type="character" w:customStyle="1" w:styleId="WW8Num50z3">
    <w:name w:val="WW8Num50z3"/>
    <w:uiPriority w:val="99"/>
    <w:rsid w:val="00775784"/>
    <w:rPr>
      <w:rFonts w:ascii="Symbol" w:hAnsi="Symbol"/>
    </w:rPr>
  </w:style>
  <w:style w:type="character" w:customStyle="1" w:styleId="WW8Num52z1">
    <w:name w:val="WW8Num52z1"/>
    <w:uiPriority w:val="99"/>
    <w:rsid w:val="00775784"/>
    <w:rPr>
      <w:rFonts w:ascii="Courier New" w:hAnsi="Courier New"/>
    </w:rPr>
  </w:style>
  <w:style w:type="character" w:customStyle="1" w:styleId="WW8Num52z2">
    <w:name w:val="WW8Num52z2"/>
    <w:uiPriority w:val="99"/>
    <w:rsid w:val="00775784"/>
    <w:rPr>
      <w:rFonts w:ascii="Wingdings" w:hAnsi="Wingdings"/>
    </w:rPr>
  </w:style>
  <w:style w:type="character" w:customStyle="1" w:styleId="WW8Num52z3">
    <w:name w:val="WW8Num52z3"/>
    <w:uiPriority w:val="99"/>
    <w:rsid w:val="00775784"/>
    <w:rPr>
      <w:rFonts w:ascii="Symbol" w:hAnsi="Symbol"/>
    </w:rPr>
  </w:style>
  <w:style w:type="character" w:customStyle="1" w:styleId="WW8Num54z0">
    <w:name w:val="WW8Num54z0"/>
    <w:uiPriority w:val="99"/>
    <w:rsid w:val="00775784"/>
    <w:rPr>
      <w:rFonts w:ascii="Symbol" w:hAnsi="Symbol"/>
    </w:rPr>
  </w:style>
  <w:style w:type="character" w:customStyle="1" w:styleId="WW8Num54z1">
    <w:name w:val="WW8Num54z1"/>
    <w:uiPriority w:val="99"/>
    <w:rsid w:val="00775784"/>
    <w:rPr>
      <w:rFonts w:ascii="Courier New" w:hAnsi="Courier New"/>
    </w:rPr>
  </w:style>
  <w:style w:type="character" w:customStyle="1" w:styleId="WW8Num54z2">
    <w:name w:val="WW8Num54z2"/>
    <w:uiPriority w:val="99"/>
    <w:rsid w:val="00775784"/>
    <w:rPr>
      <w:rFonts w:ascii="Wingdings" w:hAnsi="Wingdings"/>
    </w:rPr>
  </w:style>
  <w:style w:type="character" w:customStyle="1" w:styleId="WW8Num55z1">
    <w:name w:val="WW8Num55z1"/>
    <w:uiPriority w:val="99"/>
    <w:rsid w:val="00775784"/>
    <w:rPr>
      <w:rFonts w:ascii="Courier New" w:hAnsi="Courier New"/>
    </w:rPr>
  </w:style>
  <w:style w:type="character" w:customStyle="1" w:styleId="WW8Num55z2">
    <w:name w:val="WW8Num55z2"/>
    <w:uiPriority w:val="99"/>
    <w:rsid w:val="00775784"/>
    <w:rPr>
      <w:rFonts w:ascii="Wingdings" w:hAnsi="Wingdings"/>
    </w:rPr>
  </w:style>
  <w:style w:type="character" w:customStyle="1" w:styleId="WW8Num59z0">
    <w:name w:val="WW8Num59z0"/>
    <w:uiPriority w:val="99"/>
    <w:rsid w:val="00775784"/>
    <w:rPr>
      <w:rFonts w:ascii="Symbol" w:hAnsi="Symbol"/>
      <w:color w:val="auto"/>
      <w:position w:val="0"/>
      <w:sz w:val="24"/>
      <w:vertAlign w:val="baseline"/>
    </w:rPr>
  </w:style>
  <w:style w:type="character" w:customStyle="1" w:styleId="WW8Num59z1">
    <w:name w:val="WW8Num59z1"/>
    <w:uiPriority w:val="99"/>
    <w:rsid w:val="00775784"/>
    <w:rPr>
      <w:rFonts w:ascii="Courier New" w:hAnsi="Courier New"/>
    </w:rPr>
  </w:style>
  <w:style w:type="character" w:customStyle="1" w:styleId="WW8Num59z2">
    <w:name w:val="WW8Num59z2"/>
    <w:uiPriority w:val="99"/>
    <w:rsid w:val="00775784"/>
    <w:rPr>
      <w:rFonts w:ascii="Wingdings" w:hAnsi="Wingdings"/>
    </w:rPr>
  </w:style>
  <w:style w:type="character" w:customStyle="1" w:styleId="WW8Num59z3">
    <w:name w:val="WW8Num59z3"/>
    <w:uiPriority w:val="99"/>
    <w:rsid w:val="00775784"/>
    <w:rPr>
      <w:rFonts w:ascii="Symbol" w:hAnsi="Symbol"/>
    </w:rPr>
  </w:style>
  <w:style w:type="character" w:customStyle="1" w:styleId="WW8Num63z1">
    <w:name w:val="WW8Num63z1"/>
    <w:uiPriority w:val="99"/>
    <w:rsid w:val="00775784"/>
    <w:rPr>
      <w:rFonts w:ascii="Symbol" w:hAnsi="Symbol"/>
    </w:rPr>
  </w:style>
  <w:style w:type="character" w:customStyle="1" w:styleId="WW8Num64z0">
    <w:name w:val="WW8Num64z0"/>
    <w:uiPriority w:val="99"/>
    <w:rsid w:val="00775784"/>
    <w:rPr>
      <w:rFonts w:ascii="Symbol" w:hAnsi="Symbol"/>
    </w:rPr>
  </w:style>
  <w:style w:type="character" w:customStyle="1" w:styleId="WW8Num64z1">
    <w:name w:val="WW8Num64z1"/>
    <w:uiPriority w:val="99"/>
    <w:rsid w:val="00775784"/>
    <w:rPr>
      <w:rFonts w:ascii="Courier New" w:hAnsi="Courier New"/>
    </w:rPr>
  </w:style>
  <w:style w:type="character" w:customStyle="1" w:styleId="WW8Num64z2">
    <w:name w:val="WW8Num64z2"/>
    <w:uiPriority w:val="99"/>
    <w:rsid w:val="00775784"/>
    <w:rPr>
      <w:rFonts w:ascii="Wingdings" w:hAnsi="Wingdings"/>
    </w:rPr>
  </w:style>
  <w:style w:type="character" w:customStyle="1" w:styleId="1fa">
    <w:name w:val="Основной шрифт абзаца1"/>
    <w:uiPriority w:val="99"/>
    <w:rsid w:val="00775784"/>
  </w:style>
  <w:style w:type="character" w:customStyle="1" w:styleId="WW8Num2z0">
    <w:name w:val="WW8Num2z0"/>
    <w:uiPriority w:val="99"/>
    <w:rsid w:val="00775784"/>
    <w:rPr>
      <w:rFonts w:ascii="Times New Roman" w:hAnsi="Times New Roman"/>
    </w:rPr>
  </w:style>
  <w:style w:type="paragraph" w:styleId="Index1">
    <w:name w:val="index 1"/>
    <w:basedOn w:val="Normal"/>
    <w:next w:val="Normal"/>
    <w:autoRedefine/>
    <w:uiPriority w:val="99"/>
    <w:rsid w:val="00775784"/>
    <w:pPr>
      <w:spacing w:after="0" w:line="240" w:lineRule="auto"/>
      <w:ind w:left="220" w:hanging="220"/>
    </w:pPr>
  </w:style>
  <w:style w:type="paragraph" w:styleId="IndexHeading">
    <w:name w:val="index heading"/>
    <w:basedOn w:val="Normal"/>
    <w:next w:val="Index1"/>
    <w:uiPriority w:val="99"/>
    <w:rsid w:val="00775784"/>
    <w:pPr>
      <w:suppressAutoHyphens/>
      <w:spacing w:after="0" w:line="240" w:lineRule="auto"/>
      <w:ind w:firstLine="709"/>
      <w:jc w:val="both"/>
    </w:pPr>
    <w:rPr>
      <w:rFonts w:ascii="Arial" w:hAnsi="Arial" w:cs="Arial"/>
      <w:sz w:val="24"/>
      <w:szCs w:val="16"/>
      <w:lang w:eastAsia="ar-SA"/>
    </w:rPr>
  </w:style>
  <w:style w:type="paragraph" w:customStyle="1" w:styleId="affff3">
    <w:name w:val="Основной"/>
    <w:basedOn w:val="BodyTextIndent"/>
    <w:uiPriority w:val="99"/>
    <w:rsid w:val="00775784"/>
    <w:pPr>
      <w:suppressAutoHyphens/>
      <w:spacing w:after="0" w:line="240" w:lineRule="auto"/>
      <w:ind w:left="0" w:firstLine="680"/>
      <w:jc w:val="both"/>
    </w:pPr>
    <w:rPr>
      <w:rFonts w:ascii="Times New Roman" w:hAnsi="Times New Roman"/>
      <w:sz w:val="28"/>
      <w:szCs w:val="16"/>
      <w:lang w:eastAsia="ar-SA"/>
    </w:rPr>
  </w:style>
  <w:style w:type="character" w:customStyle="1" w:styleId="ConsPlusNormal0">
    <w:name w:val="ConsPlusNormal Знак"/>
    <w:link w:val="ConsPlusNormal"/>
    <w:uiPriority w:val="99"/>
    <w:locked/>
    <w:rsid w:val="00775784"/>
    <w:rPr>
      <w:rFonts w:ascii="Arial" w:hAnsi="Arial"/>
      <w:sz w:val="22"/>
      <w:lang w:val="ru-RU" w:eastAsia="ru-RU"/>
    </w:rPr>
  </w:style>
  <w:style w:type="paragraph" w:customStyle="1" w:styleId="affff4">
    <w:name w:val="Стиль пункта схемы"/>
    <w:basedOn w:val="Normal"/>
    <w:link w:val="affff5"/>
    <w:uiPriority w:val="99"/>
    <w:rsid w:val="00775784"/>
    <w:pPr>
      <w:suppressAutoHyphens/>
      <w:autoSpaceDE w:val="0"/>
      <w:spacing w:after="0" w:line="360" w:lineRule="auto"/>
      <w:ind w:firstLine="680"/>
      <w:jc w:val="both"/>
    </w:pPr>
    <w:rPr>
      <w:rFonts w:ascii="Arial" w:hAnsi="Arial"/>
      <w:sz w:val="28"/>
      <w:szCs w:val="20"/>
      <w:lang w:eastAsia="ar-SA"/>
    </w:rPr>
  </w:style>
  <w:style w:type="character" w:customStyle="1" w:styleId="affff5">
    <w:name w:val="Стиль пункта схемы Знак"/>
    <w:link w:val="affff4"/>
    <w:uiPriority w:val="99"/>
    <w:locked/>
    <w:rsid w:val="00775784"/>
    <w:rPr>
      <w:rFonts w:ascii="Arial" w:hAnsi="Arial"/>
      <w:sz w:val="28"/>
      <w:lang w:eastAsia="ar-SA" w:bidi="ar-SA"/>
    </w:rPr>
  </w:style>
  <w:style w:type="paragraph" w:customStyle="1" w:styleId="affff6">
    <w:name w:val="№табл"/>
    <w:basedOn w:val="Heading9"/>
    <w:link w:val="affff7"/>
    <w:uiPriority w:val="99"/>
    <w:rsid w:val="00775784"/>
    <w:pPr>
      <w:keepNext w:val="0"/>
      <w:suppressAutoHyphens/>
      <w:spacing w:before="240" w:after="60"/>
      <w:jc w:val="right"/>
    </w:pPr>
    <w:rPr>
      <w:rFonts w:ascii="Arial" w:hAnsi="Arial"/>
      <w:color w:val="auto"/>
      <w:sz w:val="22"/>
      <w:szCs w:val="20"/>
      <w:lang w:eastAsia="ar-SA"/>
    </w:rPr>
  </w:style>
  <w:style w:type="character" w:customStyle="1" w:styleId="affff7">
    <w:name w:val="№табл Знак"/>
    <w:link w:val="affff6"/>
    <w:uiPriority w:val="99"/>
    <w:locked/>
    <w:rsid w:val="00775784"/>
    <w:rPr>
      <w:rFonts w:ascii="Arial" w:hAnsi="Arial"/>
      <w:sz w:val="22"/>
      <w:lang w:eastAsia="ar-SA" w:bidi="ar-SA"/>
    </w:rPr>
  </w:style>
  <w:style w:type="character" w:customStyle="1" w:styleId="1fb">
    <w:name w:val="Название объекта Знак Знак1 Знак"/>
    <w:aliases w:val="Название объекта Знак Знак Знак Знак Знак,Название объекта Знак Знак Знак1 Знак"/>
    <w:uiPriority w:val="99"/>
    <w:rsid w:val="00775784"/>
    <w:rPr>
      <w:rFonts w:ascii="Arial" w:hAnsi="Arial"/>
      <w:b/>
      <w:lang w:eastAsia="ar-SA" w:bidi="ar-SA"/>
    </w:rPr>
  </w:style>
  <w:style w:type="paragraph" w:customStyle="1" w:styleId="2b">
    <w:name w:val="Обычный2"/>
    <w:uiPriority w:val="99"/>
    <w:rsid w:val="00775784"/>
    <w:pPr>
      <w:widowControl w:val="0"/>
    </w:pPr>
    <w:rPr>
      <w:sz w:val="20"/>
      <w:szCs w:val="24"/>
    </w:rPr>
  </w:style>
  <w:style w:type="paragraph" w:customStyle="1" w:styleId="affff8">
    <w:name w:val="Формула"/>
    <w:basedOn w:val="Normal"/>
    <w:link w:val="affff9"/>
    <w:uiPriority w:val="99"/>
    <w:rsid w:val="00775784"/>
    <w:pPr>
      <w:suppressAutoHyphens/>
      <w:spacing w:after="0" w:line="240" w:lineRule="auto"/>
      <w:ind w:firstLine="709"/>
      <w:jc w:val="both"/>
    </w:pPr>
    <w:rPr>
      <w:rFonts w:ascii="Arial" w:hAnsi="Arial"/>
      <w:sz w:val="28"/>
      <w:szCs w:val="20"/>
      <w:lang w:val="en-US" w:eastAsia="ar-SA"/>
    </w:rPr>
  </w:style>
  <w:style w:type="character" w:customStyle="1" w:styleId="affff9">
    <w:name w:val="Формула Знак"/>
    <w:link w:val="affff8"/>
    <w:uiPriority w:val="99"/>
    <w:locked/>
    <w:rsid w:val="00775784"/>
    <w:rPr>
      <w:rFonts w:ascii="Arial" w:hAnsi="Arial"/>
      <w:sz w:val="28"/>
      <w:lang w:val="en-US" w:eastAsia="ar-SA" w:bidi="ar-SA"/>
    </w:rPr>
  </w:style>
  <w:style w:type="paragraph" w:customStyle="1" w:styleId="37">
    <w:name w:val="Обычный3"/>
    <w:uiPriority w:val="99"/>
    <w:rsid w:val="00775784"/>
    <w:pPr>
      <w:widowControl w:val="0"/>
    </w:pPr>
    <w:rPr>
      <w:rFonts w:ascii="Arial" w:hAnsi="Arial"/>
      <w:sz w:val="20"/>
      <w:szCs w:val="20"/>
    </w:rPr>
  </w:style>
  <w:style w:type="paragraph" w:customStyle="1" w:styleId="affffa">
    <w:name w:val="МОН основной"/>
    <w:basedOn w:val="Normal"/>
    <w:uiPriority w:val="99"/>
    <w:rsid w:val="00775784"/>
    <w:pPr>
      <w:widowControl w:val="0"/>
      <w:autoSpaceDE w:val="0"/>
      <w:autoSpaceDN w:val="0"/>
      <w:adjustRightInd w:val="0"/>
      <w:spacing w:after="0" w:line="360" w:lineRule="auto"/>
      <w:ind w:firstLine="709"/>
      <w:jc w:val="both"/>
    </w:pPr>
    <w:rPr>
      <w:rFonts w:ascii="Arial" w:hAnsi="Arial" w:cs="Arial"/>
      <w:sz w:val="28"/>
      <w:szCs w:val="20"/>
      <w:lang w:eastAsia="ru-RU"/>
    </w:rPr>
  </w:style>
  <w:style w:type="paragraph" w:customStyle="1" w:styleId="2c">
    <w:name w:val="Обычный (веб)2"/>
    <w:basedOn w:val="Normal"/>
    <w:uiPriority w:val="99"/>
    <w:rsid w:val="00775784"/>
    <w:pPr>
      <w:spacing w:after="0" w:line="255" w:lineRule="atLeast"/>
    </w:pPr>
    <w:rPr>
      <w:rFonts w:ascii="Arial" w:hAnsi="Arial" w:cs="Arial"/>
      <w:color w:val="304257"/>
      <w:sz w:val="21"/>
      <w:szCs w:val="21"/>
      <w:lang w:eastAsia="ru-RU"/>
    </w:rPr>
  </w:style>
  <w:style w:type="paragraph" w:customStyle="1" w:styleId="DefaultParagraphFontChar">
    <w:name w:val="Default Paragraph Font Char"/>
    <w:aliases w:val="Char Char2,Char1 Char"/>
    <w:basedOn w:val="Normal"/>
    <w:uiPriority w:val="99"/>
    <w:rsid w:val="00775784"/>
    <w:pPr>
      <w:spacing w:before="100" w:beforeAutospacing="1" w:after="100" w:afterAutospacing="1" w:line="240" w:lineRule="auto"/>
    </w:pPr>
    <w:rPr>
      <w:rFonts w:ascii="Tahoma" w:hAnsi="Tahoma"/>
      <w:sz w:val="20"/>
      <w:szCs w:val="20"/>
      <w:lang w:val="en-US"/>
    </w:rPr>
  </w:style>
  <w:style w:type="paragraph" w:customStyle="1" w:styleId="msonormalcxspmiddle">
    <w:name w:val="msonormalcxspmiddle"/>
    <w:basedOn w:val="Normal"/>
    <w:uiPriority w:val="99"/>
    <w:rsid w:val="00775784"/>
    <w:pPr>
      <w:spacing w:before="100" w:beforeAutospacing="1" w:after="100" w:afterAutospacing="1" w:line="240" w:lineRule="auto"/>
    </w:pPr>
    <w:rPr>
      <w:rFonts w:ascii="Times New Roman" w:hAnsi="Times New Roman"/>
      <w:sz w:val="24"/>
      <w:szCs w:val="24"/>
      <w:lang w:eastAsia="ru-RU"/>
    </w:rPr>
  </w:style>
  <w:style w:type="paragraph" w:customStyle="1" w:styleId="affffb">
    <w:name w:val="Содержимое таблицы"/>
    <w:basedOn w:val="Normal"/>
    <w:uiPriority w:val="99"/>
    <w:rsid w:val="00775784"/>
    <w:pPr>
      <w:suppressLineNumbers/>
      <w:suppressAutoHyphens/>
    </w:pPr>
    <w:rPr>
      <w:rFonts w:cs="Calibri"/>
      <w:lang w:eastAsia="ar-SA"/>
    </w:rPr>
  </w:style>
  <w:style w:type="paragraph" w:customStyle="1" w:styleId="Style17">
    <w:name w:val="Style17"/>
    <w:basedOn w:val="Normal"/>
    <w:uiPriority w:val="99"/>
    <w:rsid w:val="00775784"/>
    <w:pPr>
      <w:widowControl w:val="0"/>
      <w:spacing w:after="0" w:line="302" w:lineRule="exact"/>
    </w:pPr>
    <w:rPr>
      <w:rFonts w:ascii="Times New Roman" w:hAnsi="Times New Roman"/>
      <w:color w:val="000000"/>
      <w:sz w:val="24"/>
      <w:szCs w:val="24"/>
      <w:lang w:eastAsia="ru-RU"/>
    </w:rPr>
  </w:style>
  <w:style w:type="paragraph" w:customStyle="1" w:styleId="Style20">
    <w:name w:val="Style20"/>
    <w:basedOn w:val="Normal"/>
    <w:uiPriority w:val="99"/>
    <w:rsid w:val="00775784"/>
    <w:pPr>
      <w:widowControl w:val="0"/>
      <w:spacing w:after="0" w:line="240" w:lineRule="auto"/>
    </w:pPr>
    <w:rPr>
      <w:rFonts w:ascii="Times New Roman" w:hAnsi="Times New Roman"/>
      <w:color w:val="000000"/>
      <w:sz w:val="24"/>
      <w:szCs w:val="24"/>
      <w:lang w:eastAsia="ru-RU"/>
    </w:rPr>
  </w:style>
  <w:style w:type="paragraph" w:customStyle="1" w:styleId="Style43">
    <w:name w:val="Style43"/>
    <w:basedOn w:val="Normal"/>
    <w:uiPriority w:val="99"/>
    <w:rsid w:val="00775784"/>
    <w:pPr>
      <w:widowControl w:val="0"/>
      <w:spacing w:after="0" w:line="240" w:lineRule="auto"/>
      <w:jc w:val="right"/>
    </w:pPr>
    <w:rPr>
      <w:rFonts w:ascii="Times New Roman" w:hAnsi="Times New Roman"/>
      <w:color w:val="000000"/>
      <w:sz w:val="24"/>
      <w:szCs w:val="24"/>
      <w:lang w:eastAsia="ru-RU"/>
    </w:rPr>
  </w:style>
  <w:style w:type="paragraph" w:customStyle="1" w:styleId="Style40">
    <w:name w:val="Style40"/>
    <w:basedOn w:val="Normal"/>
    <w:uiPriority w:val="99"/>
    <w:rsid w:val="00775784"/>
    <w:pPr>
      <w:widowControl w:val="0"/>
      <w:spacing w:after="0" w:line="240" w:lineRule="auto"/>
    </w:pPr>
    <w:rPr>
      <w:rFonts w:ascii="Times New Roman" w:hAnsi="Times New Roman"/>
      <w:color w:val="000000"/>
      <w:sz w:val="24"/>
      <w:szCs w:val="24"/>
      <w:lang w:eastAsia="ru-RU"/>
    </w:rPr>
  </w:style>
  <w:style w:type="paragraph" w:customStyle="1" w:styleId="1fc">
    <w:name w:val="Название1"/>
    <w:basedOn w:val="Normal"/>
    <w:uiPriority w:val="99"/>
    <w:rsid w:val="00775784"/>
    <w:pPr>
      <w:suppressAutoHyphens/>
      <w:spacing w:before="120" w:after="120" w:line="240" w:lineRule="auto"/>
      <w:ind w:firstLine="709"/>
      <w:jc w:val="both"/>
    </w:pPr>
    <w:rPr>
      <w:rFonts w:ascii="Arial" w:hAnsi="Arial" w:cs="Tahoma"/>
      <w:i/>
      <w:color w:val="000000"/>
      <w:sz w:val="24"/>
      <w:szCs w:val="16"/>
      <w:lang w:eastAsia="ar-SA"/>
    </w:rPr>
  </w:style>
  <w:style w:type="paragraph" w:customStyle="1" w:styleId="1fd">
    <w:name w:val="Указатель1"/>
    <w:basedOn w:val="Normal"/>
    <w:uiPriority w:val="99"/>
    <w:rsid w:val="00775784"/>
    <w:pPr>
      <w:suppressAutoHyphens/>
      <w:spacing w:after="0" w:line="240" w:lineRule="auto"/>
      <w:ind w:firstLine="709"/>
      <w:jc w:val="both"/>
    </w:pPr>
    <w:rPr>
      <w:rFonts w:ascii="Arial" w:hAnsi="Arial" w:cs="Tahoma"/>
      <w:color w:val="000000"/>
      <w:sz w:val="24"/>
      <w:szCs w:val="16"/>
      <w:lang w:eastAsia="ar-SA"/>
    </w:rPr>
  </w:style>
  <w:style w:type="paragraph" w:customStyle="1" w:styleId="220">
    <w:name w:val="Основной текст 22"/>
    <w:basedOn w:val="Normal"/>
    <w:uiPriority w:val="99"/>
    <w:rsid w:val="00775784"/>
    <w:pPr>
      <w:suppressAutoHyphens/>
      <w:spacing w:after="0" w:line="240" w:lineRule="auto"/>
      <w:ind w:firstLine="709"/>
      <w:jc w:val="both"/>
    </w:pPr>
    <w:rPr>
      <w:rFonts w:ascii="Arial" w:hAnsi="Arial" w:cs="Arial"/>
      <w:color w:val="FF0000"/>
      <w:sz w:val="24"/>
      <w:szCs w:val="16"/>
      <w:lang w:eastAsia="ar-SA"/>
    </w:rPr>
  </w:style>
  <w:style w:type="paragraph" w:customStyle="1" w:styleId="321">
    <w:name w:val="Основной текст 32"/>
    <w:basedOn w:val="Normal"/>
    <w:uiPriority w:val="99"/>
    <w:rsid w:val="00775784"/>
    <w:pPr>
      <w:suppressAutoHyphens/>
      <w:spacing w:after="0" w:line="240" w:lineRule="auto"/>
      <w:ind w:firstLine="709"/>
      <w:jc w:val="both"/>
    </w:pPr>
    <w:rPr>
      <w:rFonts w:ascii="Arial" w:hAnsi="Arial" w:cs="Arial"/>
      <w:color w:val="000000"/>
      <w:sz w:val="16"/>
      <w:szCs w:val="16"/>
      <w:lang w:eastAsia="ar-SA"/>
    </w:rPr>
  </w:style>
  <w:style w:type="paragraph" w:customStyle="1" w:styleId="313">
    <w:name w:val="Основной текст с отступом 31"/>
    <w:basedOn w:val="Normal"/>
    <w:uiPriority w:val="99"/>
    <w:rsid w:val="00775784"/>
    <w:pPr>
      <w:suppressAutoHyphens/>
      <w:spacing w:after="0" w:line="240" w:lineRule="auto"/>
      <w:ind w:firstLine="360"/>
      <w:jc w:val="both"/>
    </w:pPr>
    <w:rPr>
      <w:rFonts w:ascii="Arial" w:hAnsi="Arial" w:cs="Arial"/>
      <w:color w:val="FF0000"/>
      <w:sz w:val="24"/>
      <w:szCs w:val="16"/>
      <w:lang w:eastAsia="ar-SA"/>
    </w:rPr>
  </w:style>
  <w:style w:type="paragraph" w:customStyle="1" w:styleId="221">
    <w:name w:val="Основной текст с отступом 22"/>
    <w:basedOn w:val="Normal"/>
    <w:uiPriority w:val="99"/>
    <w:rsid w:val="00775784"/>
    <w:pPr>
      <w:suppressAutoHyphens/>
      <w:spacing w:after="0" w:line="240" w:lineRule="auto"/>
      <w:ind w:left="798" w:firstLine="709"/>
      <w:jc w:val="both"/>
    </w:pPr>
    <w:rPr>
      <w:rFonts w:ascii="Arial" w:hAnsi="Arial" w:cs="Arial"/>
      <w:color w:val="000000"/>
      <w:sz w:val="24"/>
      <w:szCs w:val="16"/>
      <w:lang w:eastAsia="ar-SA"/>
    </w:rPr>
  </w:style>
  <w:style w:type="paragraph" w:customStyle="1" w:styleId="212">
    <w:name w:val="Основной текст с отступом 21"/>
    <w:basedOn w:val="Normal"/>
    <w:uiPriority w:val="99"/>
    <w:rsid w:val="00775784"/>
    <w:pPr>
      <w:suppressAutoHyphens/>
      <w:spacing w:after="0" w:line="240" w:lineRule="auto"/>
      <w:ind w:firstLine="709"/>
      <w:jc w:val="both"/>
    </w:pPr>
    <w:rPr>
      <w:rFonts w:ascii="Arial" w:hAnsi="Arial" w:cs="Arial"/>
      <w:color w:val="000000"/>
      <w:sz w:val="24"/>
      <w:szCs w:val="20"/>
      <w:lang w:eastAsia="ar-SA"/>
    </w:rPr>
  </w:style>
  <w:style w:type="paragraph" w:customStyle="1" w:styleId="affffc">
    <w:name w:val="Обычный сжат межстрочн"/>
    <w:basedOn w:val="Normal"/>
    <w:uiPriority w:val="99"/>
    <w:rsid w:val="00775784"/>
    <w:pPr>
      <w:widowControl w:val="0"/>
      <w:suppressAutoHyphens/>
      <w:spacing w:after="0" w:line="224" w:lineRule="atLeast"/>
      <w:ind w:firstLine="284"/>
      <w:jc w:val="both"/>
    </w:pPr>
    <w:rPr>
      <w:rFonts w:ascii="Arial" w:hAnsi="Arial" w:cs="Arial"/>
      <w:color w:val="000000"/>
      <w:sz w:val="20"/>
      <w:szCs w:val="20"/>
      <w:lang w:eastAsia="ar-SA"/>
    </w:rPr>
  </w:style>
  <w:style w:type="paragraph" w:customStyle="1" w:styleId="1fe">
    <w:name w:val="Заголовок 1 с Нум"/>
    <w:basedOn w:val="Heading1"/>
    <w:uiPriority w:val="99"/>
    <w:rsid w:val="00775784"/>
    <w:pPr>
      <w:suppressAutoHyphens/>
      <w:spacing w:before="240" w:after="60" w:line="240" w:lineRule="auto"/>
      <w:ind w:firstLine="709"/>
      <w:jc w:val="center"/>
    </w:pPr>
    <w:rPr>
      <w:bCs w:val="0"/>
      <w:color w:val="000000"/>
      <w:kern w:val="1"/>
      <w:sz w:val="24"/>
      <w:szCs w:val="32"/>
      <w:lang w:eastAsia="ar-SA"/>
    </w:rPr>
  </w:style>
  <w:style w:type="paragraph" w:customStyle="1" w:styleId="caaieiaie2">
    <w:name w:val="caaieiaie 2"/>
    <w:basedOn w:val="Normal"/>
    <w:next w:val="Normal"/>
    <w:uiPriority w:val="99"/>
    <w:rsid w:val="00775784"/>
    <w:pPr>
      <w:keepNext/>
      <w:suppressAutoHyphens/>
      <w:spacing w:before="240" w:after="60" w:line="240" w:lineRule="auto"/>
      <w:ind w:firstLine="709"/>
      <w:jc w:val="center"/>
    </w:pPr>
    <w:rPr>
      <w:rFonts w:ascii="Arial CYR" w:hAnsi="Arial CYR" w:cs="Arial CYR"/>
      <w:b/>
      <w:color w:val="000000"/>
      <w:sz w:val="24"/>
      <w:szCs w:val="20"/>
      <w:lang w:eastAsia="ar-SA"/>
    </w:rPr>
  </w:style>
  <w:style w:type="paragraph" w:customStyle="1" w:styleId="213">
    <w:name w:val="Маркированный список 21"/>
    <w:basedOn w:val="Normal"/>
    <w:uiPriority w:val="99"/>
    <w:rsid w:val="00775784"/>
    <w:pPr>
      <w:suppressAutoHyphens/>
      <w:spacing w:after="0" w:line="360" w:lineRule="auto"/>
      <w:ind w:firstLine="567"/>
      <w:jc w:val="both"/>
    </w:pPr>
    <w:rPr>
      <w:rFonts w:ascii="Arial" w:hAnsi="Arial" w:cs="Arial"/>
      <w:color w:val="000000"/>
      <w:spacing w:val="6"/>
      <w:sz w:val="24"/>
      <w:szCs w:val="16"/>
      <w:lang w:eastAsia="ar-SA"/>
    </w:rPr>
  </w:style>
  <w:style w:type="paragraph" w:customStyle="1" w:styleId="affffd">
    <w:name w:val="Стиль главы схемы"/>
    <w:basedOn w:val="Normal"/>
    <w:uiPriority w:val="99"/>
    <w:rsid w:val="00775784"/>
    <w:pPr>
      <w:suppressAutoHyphens/>
      <w:spacing w:before="240" w:after="240" w:line="240" w:lineRule="auto"/>
      <w:ind w:firstLine="709"/>
      <w:jc w:val="center"/>
    </w:pPr>
    <w:rPr>
      <w:rFonts w:ascii="Arial" w:hAnsi="Arial" w:cs="Arial"/>
      <w:b/>
      <w:color w:val="000000"/>
      <w:kern w:val="1"/>
      <w:sz w:val="28"/>
      <w:szCs w:val="28"/>
      <w:lang w:eastAsia="ar-SA"/>
    </w:rPr>
  </w:style>
  <w:style w:type="paragraph" w:customStyle="1" w:styleId="affffe">
    <w:name w:val="основной с отступом"/>
    <w:basedOn w:val="BodyText"/>
    <w:uiPriority w:val="99"/>
    <w:rsid w:val="00775784"/>
    <w:pPr>
      <w:suppressAutoHyphens/>
      <w:ind w:firstLine="709"/>
    </w:pPr>
    <w:rPr>
      <w:rFonts w:ascii="Arial" w:hAnsi="Arial" w:cs="Arial"/>
      <w:color w:val="000000"/>
      <w:sz w:val="24"/>
      <w:szCs w:val="16"/>
      <w:lang w:eastAsia="ar-SA"/>
    </w:rPr>
  </w:style>
  <w:style w:type="paragraph" w:customStyle="1" w:styleId="afffff">
    <w:name w:val="Стиль названия"/>
    <w:basedOn w:val="Normal"/>
    <w:uiPriority w:val="99"/>
    <w:rsid w:val="00775784"/>
    <w:pPr>
      <w:suppressAutoHyphens/>
      <w:spacing w:after="60" w:line="240" w:lineRule="auto"/>
      <w:ind w:firstLine="680"/>
      <w:jc w:val="both"/>
    </w:pPr>
    <w:rPr>
      <w:rFonts w:ascii="Arial" w:hAnsi="Arial" w:cs="Arial"/>
      <w:b/>
      <w:i/>
      <w:color w:val="000000"/>
      <w:sz w:val="24"/>
      <w:szCs w:val="28"/>
      <w:lang w:eastAsia="ar-SA"/>
    </w:rPr>
  </w:style>
  <w:style w:type="paragraph" w:customStyle="1" w:styleId="1ff">
    <w:name w:val="Нор Абзац1"/>
    <w:basedOn w:val="Normal"/>
    <w:uiPriority w:val="99"/>
    <w:rsid w:val="00775784"/>
    <w:pPr>
      <w:suppressAutoHyphens/>
      <w:spacing w:before="60" w:after="0" w:line="240" w:lineRule="auto"/>
      <w:ind w:firstLine="397"/>
      <w:jc w:val="both"/>
    </w:pPr>
    <w:rPr>
      <w:rFonts w:ascii="Arial" w:hAnsi="Arial" w:cs="Arial"/>
      <w:color w:val="000000"/>
      <w:sz w:val="24"/>
      <w:szCs w:val="20"/>
      <w:lang w:eastAsia="ar-SA"/>
    </w:rPr>
  </w:style>
  <w:style w:type="paragraph" w:customStyle="1" w:styleId="afffff0">
    <w:name w:val="Пункт заключения"/>
    <w:basedOn w:val="Normal"/>
    <w:uiPriority w:val="99"/>
    <w:rsid w:val="00775784"/>
    <w:pPr>
      <w:tabs>
        <w:tab w:val="left" w:pos="1080"/>
      </w:tabs>
      <w:suppressAutoHyphens/>
      <w:spacing w:after="0" w:line="480" w:lineRule="auto"/>
      <w:ind w:firstLine="709"/>
      <w:jc w:val="both"/>
    </w:pPr>
    <w:rPr>
      <w:rFonts w:ascii="Arial" w:hAnsi="Arial" w:cs="Arial"/>
      <w:b/>
      <w:color w:val="000000"/>
      <w:sz w:val="28"/>
      <w:szCs w:val="28"/>
      <w:lang w:eastAsia="ar-SA"/>
    </w:rPr>
  </w:style>
  <w:style w:type="paragraph" w:customStyle="1" w:styleId="afffff1">
    <w:name w:val="Подпункт заключения"/>
    <w:basedOn w:val="Normal"/>
    <w:uiPriority w:val="99"/>
    <w:rsid w:val="00775784"/>
    <w:pPr>
      <w:suppressAutoHyphens/>
      <w:spacing w:after="0" w:line="360" w:lineRule="auto"/>
      <w:ind w:firstLine="709"/>
      <w:jc w:val="both"/>
    </w:pPr>
    <w:rPr>
      <w:rFonts w:ascii="Arial" w:hAnsi="Arial" w:cs="Arial"/>
      <w:b/>
      <w:i/>
      <w:color w:val="000000"/>
      <w:sz w:val="28"/>
      <w:szCs w:val="28"/>
      <w:lang w:eastAsia="ar-SA"/>
    </w:rPr>
  </w:style>
  <w:style w:type="paragraph" w:customStyle="1" w:styleId="Char-Tab">
    <w:name w:val="Char-Tab"/>
    <w:basedOn w:val="Normal"/>
    <w:uiPriority w:val="99"/>
    <w:rsid w:val="00775784"/>
    <w:pPr>
      <w:suppressAutoHyphens/>
      <w:spacing w:after="0" w:line="360" w:lineRule="auto"/>
      <w:ind w:firstLine="709"/>
      <w:jc w:val="both"/>
    </w:pPr>
    <w:rPr>
      <w:rFonts w:ascii="Arial" w:hAnsi="Arial" w:cs="Arial"/>
      <w:color w:val="000000"/>
      <w:sz w:val="24"/>
      <w:szCs w:val="16"/>
      <w:lang w:eastAsia="ar-SA"/>
    </w:rPr>
  </w:style>
  <w:style w:type="paragraph" w:customStyle="1" w:styleId="afffff2">
    <w:name w:val="Стиль заключения Знак"/>
    <w:basedOn w:val="Normal"/>
    <w:uiPriority w:val="99"/>
    <w:rsid w:val="00775784"/>
    <w:pPr>
      <w:suppressAutoHyphens/>
      <w:spacing w:after="0" w:line="360" w:lineRule="auto"/>
      <w:ind w:firstLine="720"/>
      <w:jc w:val="both"/>
    </w:pPr>
    <w:rPr>
      <w:rFonts w:ascii="Arial" w:hAnsi="Arial" w:cs="Arial"/>
      <w:color w:val="000000"/>
      <w:sz w:val="28"/>
      <w:szCs w:val="28"/>
      <w:lang w:eastAsia="ar-SA"/>
    </w:rPr>
  </w:style>
  <w:style w:type="paragraph" w:customStyle="1" w:styleId="afffff3">
    <w:name w:val="!Простой текст! Знак Знак Знак Знак"/>
    <w:basedOn w:val="Normal"/>
    <w:uiPriority w:val="99"/>
    <w:rsid w:val="00775784"/>
    <w:pPr>
      <w:suppressAutoHyphens/>
      <w:spacing w:after="120" w:line="240" w:lineRule="auto"/>
      <w:ind w:firstLine="709"/>
      <w:jc w:val="both"/>
    </w:pPr>
    <w:rPr>
      <w:rFonts w:ascii="Arial" w:hAnsi="Arial" w:cs="Arial"/>
      <w:color w:val="000000"/>
      <w:sz w:val="24"/>
      <w:szCs w:val="16"/>
      <w:lang w:eastAsia="ar-SA"/>
    </w:rPr>
  </w:style>
  <w:style w:type="paragraph" w:customStyle="1" w:styleId="afffff4">
    <w:name w:val="Основной стиль"/>
    <w:basedOn w:val="Normal"/>
    <w:uiPriority w:val="99"/>
    <w:rsid w:val="00775784"/>
    <w:pPr>
      <w:suppressAutoHyphens/>
      <w:spacing w:after="0" w:line="240" w:lineRule="auto"/>
      <w:ind w:firstLine="680"/>
      <w:jc w:val="both"/>
    </w:pPr>
    <w:rPr>
      <w:rFonts w:ascii="Arial" w:hAnsi="Arial" w:cs="Arial"/>
      <w:color w:val="000000"/>
      <w:sz w:val="24"/>
      <w:szCs w:val="28"/>
      <w:lang w:eastAsia="ar-SA"/>
    </w:rPr>
  </w:style>
  <w:style w:type="paragraph" w:customStyle="1" w:styleId="314">
    <w:name w:val="Основной текст 31"/>
    <w:basedOn w:val="Normal"/>
    <w:uiPriority w:val="99"/>
    <w:rsid w:val="00775784"/>
    <w:pPr>
      <w:suppressAutoHyphens/>
      <w:spacing w:after="120" w:line="240" w:lineRule="auto"/>
      <w:ind w:firstLine="709"/>
      <w:jc w:val="both"/>
    </w:pPr>
    <w:rPr>
      <w:rFonts w:ascii="Arial" w:hAnsi="Arial" w:cs="Arial"/>
      <w:color w:val="000000"/>
      <w:sz w:val="16"/>
      <w:szCs w:val="16"/>
      <w:lang w:eastAsia="ar-SA"/>
    </w:rPr>
  </w:style>
  <w:style w:type="paragraph" w:customStyle="1" w:styleId="1ff0">
    <w:name w:val="Текст1"/>
    <w:basedOn w:val="Normal"/>
    <w:uiPriority w:val="99"/>
    <w:rsid w:val="00775784"/>
    <w:pPr>
      <w:suppressAutoHyphens/>
      <w:spacing w:after="0" w:line="240" w:lineRule="auto"/>
      <w:ind w:firstLine="709"/>
      <w:jc w:val="both"/>
    </w:pPr>
    <w:rPr>
      <w:rFonts w:ascii="Courier New" w:hAnsi="Courier New" w:cs="Courier New"/>
      <w:color w:val="000000"/>
      <w:sz w:val="20"/>
      <w:szCs w:val="20"/>
      <w:lang w:eastAsia="ar-SA"/>
    </w:rPr>
  </w:style>
  <w:style w:type="paragraph" w:customStyle="1" w:styleId="100">
    <w:name w:val="Оглавление 10"/>
    <w:basedOn w:val="1fd"/>
    <w:uiPriority w:val="99"/>
    <w:rsid w:val="00775784"/>
    <w:pPr>
      <w:tabs>
        <w:tab w:val="right" w:leader="dot" w:pos="9353"/>
      </w:tabs>
      <w:ind w:left="2547"/>
    </w:pPr>
  </w:style>
  <w:style w:type="paragraph" w:customStyle="1" w:styleId="afffff5">
    <w:name w:val="Содержимое врезки"/>
    <w:basedOn w:val="BodyText"/>
    <w:uiPriority w:val="99"/>
    <w:rsid w:val="00775784"/>
    <w:pPr>
      <w:suppressAutoHyphens/>
      <w:ind w:firstLine="709"/>
    </w:pPr>
    <w:rPr>
      <w:rFonts w:ascii="Arial" w:hAnsi="Arial" w:cs="Arial"/>
      <w:color w:val="000000"/>
      <w:sz w:val="24"/>
      <w:szCs w:val="16"/>
      <w:lang w:eastAsia="ar-SA"/>
    </w:rPr>
  </w:style>
  <w:style w:type="paragraph" w:customStyle="1" w:styleId="western">
    <w:name w:val="western"/>
    <w:basedOn w:val="Normal"/>
    <w:uiPriority w:val="99"/>
    <w:rsid w:val="00775784"/>
    <w:pPr>
      <w:spacing w:before="100" w:beforeAutospacing="1" w:after="115" w:line="240" w:lineRule="auto"/>
    </w:pPr>
    <w:rPr>
      <w:rFonts w:ascii="Times New Roman" w:hAnsi="Times New Roman"/>
      <w:color w:val="000000"/>
      <w:sz w:val="24"/>
      <w:szCs w:val="24"/>
      <w:lang w:eastAsia="ru-RU"/>
    </w:rPr>
  </w:style>
  <w:style w:type="character" w:customStyle="1" w:styleId="afffff6">
    <w:name w:val="Символ сноски"/>
    <w:uiPriority w:val="99"/>
    <w:rsid w:val="00775784"/>
    <w:rPr>
      <w:position w:val="-2"/>
      <w:vertAlign w:val="superscript"/>
    </w:rPr>
  </w:style>
  <w:style w:type="character" w:customStyle="1" w:styleId="afffff7">
    <w:name w:val="Стиль заключения Знак Знак"/>
    <w:uiPriority w:val="99"/>
    <w:rsid w:val="00775784"/>
    <w:rPr>
      <w:sz w:val="28"/>
    </w:rPr>
  </w:style>
  <w:style w:type="character" w:customStyle="1" w:styleId="afffff8">
    <w:name w:val="!Простой текст! Знак Знак Знак Знак Знак"/>
    <w:uiPriority w:val="99"/>
    <w:rsid w:val="00775784"/>
    <w:rPr>
      <w:sz w:val="24"/>
    </w:rPr>
  </w:style>
  <w:style w:type="character" w:customStyle="1" w:styleId="afffff9">
    <w:name w:val="ВерИндекс"/>
    <w:uiPriority w:val="99"/>
    <w:rsid w:val="00775784"/>
    <w:rPr>
      <w:position w:val="-2"/>
      <w:vertAlign w:val="superscript"/>
    </w:rPr>
  </w:style>
  <w:style w:type="character" w:customStyle="1" w:styleId="afffffa">
    <w:name w:val="Текст Знак"/>
    <w:uiPriority w:val="99"/>
    <w:rsid w:val="00775784"/>
    <w:rPr>
      <w:rFonts w:ascii="Courier New" w:hAnsi="Courier New"/>
    </w:rPr>
  </w:style>
  <w:style w:type="character" w:customStyle="1" w:styleId="1ff1">
    <w:name w:val="Нижний колонтитул Знак1"/>
    <w:uiPriority w:val="99"/>
    <w:rsid w:val="00775784"/>
    <w:rPr>
      <w:rFonts w:ascii="Arial" w:hAnsi="Arial"/>
      <w:sz w:val="16"/>
      <w:lang w:val="ru-RU" w:eastAsia="ar-SA" w:bidi="ar-SA"/>
    </w:rPr>
  </w:style>
  <w:style w:type="character" w:customStyle="1" w:styleId="1ff2">
    <w:name w:val="Основной текст с отступом Знак1"/>
    <w:aliases w:val="Основной текст 1 Знак1,Нумерованный список !! Знак1,Надин стиль Знак1,Основной текст с отступом Знак Знак Знак2,Основной текст с отступом Знак Знак Знак Знак1,Íóìåðîâàííûé ñïèñîê !! Знак1,Îñíîâíîé òåêñò 1 Знак1"/>
    <w:uiPriority w:val="99"/>
    <w:rsid w:val="00775784"/>
    <w:rPr>
      <w:rFonts w:ascii="Arial" w:hAnsi="Arial"/>
      <w:color w:val="FF0000"/>
      <w:sz w:val="16"/>
      <w:lang w:val="ru-RU" w:eastAsia="ar-SA" w:bidi="ar-SA"/>
    </w:rPr>
  </w:style>
  <w:style w:type="character" w:customStyle="1" w:styleId="1ff3">
    <w:name w:val="Текст выноски Знак1"/>
    <w:aliases w:val="Знак5 Знак1"/>
    <w:uiPriority w:val="99"/>
    <w:rsid w:val="00775784"/>
    <w:rPr>
      <w:rFonts w:ascii="Tahoma" w:hAnsi="Tahoma"/>
      <w:sz w:val="16"/>
      <w:lang w:val="ru-RU" w:eastAsia="ar-SA" w:bidi="ar-SA"/>
    </w:rPr>
  </w:style>
  <w:style w:type="character" w:customStyle="1" w:styleId="HTML1">
    <w:name w:val="Стандартный HTML Знак1"/>
    <w:uiPriority w:val="99"/>
    <w:rsid w:val="00775784"/>
    <w:rPr>
      <w:rFonts w:ascii="Courier New" w:hAnsi="Courier New"/>
      <w:color w:val="000000"/>
      <w:sz w:val="16"/>
      <w:lang w:val="ru-RU" w:eastAsia="ar-SA" w:bidi="ar-SA"/>
    </w:rPr>
  </w:style>
  <w:style w:type="character" w:customStyle="1" w:styleId="214">
    <w:name w:val="Основной текст 2 Знак1"/>
    <w:aliases w:val="Знак1 Знак1"/>
    <w:uiPriority w:val="99"/>
    <w:rsid w:val="00775784"/>
    <w:rPr>
      <w:rFonts w:ascii="Arial" w:hAnsi="Arial"/>
      <w:sz w:val="16"/>
      <w:lang w:val="ru-RU" w:eastAsia="ar-SA" w:bidi="ar-SA"/>
    </w:rPr>
  </w:style>
  <w:style w:type="character" w:customStyle="1" w:styleId="215">
    <w:name w:val="Основной текст с отступом 2 Знак1"/>
    <w:uiPriority w:val="99"/>
    <w:rsid w:val="00775784"/>
    <w:rPr>
      <w:rFonts w:ascii="Arial" w:hAnsi="Arial"/>
      <w:sz w:val="16"/>
      <w:lang w:val="ru-RU" w:eastAsia="ar-SA" w:bidi="ar-SA"/>
    </w:rPr>
  </w:style>
  <w:style w:type="character" w:customStyle="1" w:styleId="315">
    <w:name w:val="Основной текст с отступом 3 Знак1"/>
    <w:aliases w:val="Знак Знак Знак Знак2"/>
    <w:uiPriority w:val="99"/>
    <w:rsid w:val="00775784"/>
    <w:rPr>
      <w:rFonts w:ascii="Arial" w:hAnsi="Arial"/>
      <w:sz w:val="16"/>
      <w:lang w:val="ru-RU" w:eastAsia="ar-SA" w:bidi="ar-SA"/>
    </w:rPr>
  </w:style>
  <w:style w:type="character" w:customStyle="1" w:styleId="highlight">
    <w:name w:val="highlight"/>
    <w:basedOn w:val="DefaultParagraphFont"/>
    <w:uiPriority w:val="99"/>
    <w:rsid w:val="00775784"/>
    <w:rPr>
      <w:rFonts w:cs="Times New Roman"/>
    </w:rPr>
  </w:style>
  <w:style w:type="character" w:customStyle="1" w:styleId="200">
    <w:name w:val="Знак Знак20"/>
    <w:uiPriority w:val="99"/>
    <w:rsid w:val="00775784"/>
    <w:rPr>
      <w:rFonts w:ascii="Arial" w:hAnsi="Arial"/>
      <w:kern w:val="1"/>
      <w:sz w:val="32"/>
      <w:lang w:eastAsia="ar-SA" w:bidi="ar-SA"/>
    </w:rPr>
  </w:style>
  <w:style w:type="character" w:customStyle="1" w:styleId="190">
    <w:name w:val="Знак Знак19"/>
    <w:uiPriority w:val="99"/>
    <w:rsid w:val="00775784"/>
    <w:rPr>
      <w:rFonts w:ascii="Arial" w:hAnsi="Arial"/>
      <w:sz w:val="28"/>
      <w:lang w:eastAsia="ar-SA" w:bidi="ar-SA"/>
    </w:rPr>
  </w:style>
  <w:style w:type="paragraph" w:customStyle="1" w:styleId="161">
    <w:name w:val="стиль161"/>
    <w:basedOn w:val="Normal"/>
    <w:uiPriority w:val="99"/>
    <w:rsid w:val="00775784"/>
    <w:pPr>
      <w:spacing w:after="240" w:line="270" w:lineRule="atLeast"/>
      <w:ind w:left="300" w:right="300"/>
    </w:pPr>
    <w:rPr>
      <w:rFonts w:ascii="Arial" w:hAnsi="Arial" w:cs="Arial"/>
      <w:color w:val="000000"/>
      <w:sz w:val="21"/>
      <w:szCs w:val="21"/>
      <w:lang w:eastAsia="ru-RU"/>
    </w:rPr>
  </w:style>
  <w:style w:type="character" w:customStyle="1" w:styleId="251">
    <w:name w:val="стиль251"/>
    <w:uiPriority w:val="99"/>
    <w:rsid w:val="00775784"/>
    <w:rPr>
      <w:rFonts w:ascii="Verdana" w:hAnsi="Verdana"/>
      <w:sz w:val="18"/>
    </w:rPr>
  </w:style>
  <w:style w:type="character" w:customStyle="1" w:styleId="316">
    <w:name w:val="Основной текст 3 Знак1"/>
    <w:uiPriority w:val="99"/>
    <w:rsid w:val="00775784"/>
    <w:rPr>
      <w:rFonts w:eastAsia="Times New Roman"/>
      <w:sz w:val="24"/>
    </w:rPr>
  </w:style>
  <w:style w:type="paragraph" w:styleId="Revision">
    <w:name w:val="Revision"/>
    <w:hidden/>
    <w:uiPriority w:val="99"/>
    <w:rsid w:val="00775784"/>
    <w:pPr>
      <w:ind w:firstLine="709"/>
      <w:jc w:val="both"/>
    </w:pPr>
    <w:rPr>
      <w:sz w:val="24"/>
      <w:szCs w:val="24"/>
      <w:lang w:val="en-US" w:eastAsia="ar-SA"/>
    </w:rPr>
  </w:style>
  <w:style w:type="character" w:styleId="PlaceholderText">
    <w:name w:val="Placeholder Text"/>
    <w:basedOn w:val="DefaultParagraphFont"/>
    <w:uiPriority w:val="99"/>
    <w:rsid w:val="00775784"/>
    <w:rPr>
      <w:rFonts w:cs="Times New Roman"/>
      <w:color w:val="808080"/>
    </w:rPr>
  </w:style>
  <w:style w:type="paragraph" w:customStyle="1" w:styleId="317">
    <w:name w:val="Обычный31"/>
    <w:uiPriority w:val="99"/>
    <w:rsid w:val="00775784"/>
    <w:pPr>
      <w:snapToGrid w:val="0"/>
    </w:pPr>
    <w:rPr>
      <w:szCs w:val="20"/>
      <w:lang w:val="en-US"/>
    </w:rPr>
  </w:style>
  <w:style w:type="paragraph" w:customStyle="1" w:styleId="afffffb">
    <w:name w:val="название Знак Знак"/>
    <w:basedOn w:val="Normal"/>
    <w:uiPriority w:val="99"/>
    <w:rsid w:val="00775784"/>
    <w:pPr>
      <w:widowControl w:val="0"/>
      <w:autoSpaceDE w:val="0"/>
      <w:autoSpaceDN w:val="0"/>
      <w:adjustRightInd w:val="0"/>
      <w:spacing w:before="240" w:after="0" w:line="240" w:lineRule="auto"/>
      <w:ind w:firstLine="720"/>
    </w:pPr>
    <w:rPr>
      <w:rFonts w:ascii="Times New Roman" w:hAnsi="Times New Roman"/>
      <w:b/>
      <w:bCs/>
      <w:sz w:val="26"/>
      <w:szCs w:val="20"/>
      <w:lang w:val="en-US"/>
    </w:rPr>
  </w:style>
  <w:style w:type="paragraph" w:customStyle="1" w:styleId="ArNar">
    <w:name w:val="Обычный ArNar"/>
    <w:basedOn w:val="Normal"/>
    <w:uiPriority w:val="99"/>
    <w:rsid w:val="00775784"/>
    <w:pPr>
      <w:spacing w:after="0" w:line="240" w:lineRule="auto"/>
    </w:pPr>
    <w:rPr>
      <w:rFonts w:ascii="Arial Narrow" w:hAnsi="Arial Narrow"/>
      <w:color w:val="000000"/>
      <w:sz w:val="24"/>
      <w:szCs w:val="20"/>
      <w:lang w:val="en-US"/>
    </w:rPr>
  </w:style>
  <w:style w:type="character" w:customStyle="1" w:styleId="WW8Num11z1">
    <w:name w:val="WW8Num11z1"/>
    <w:uiPriority w:val="99"/>
    <w:rsid w:val="00775784"/>
    <w:rPr>
      <w:rFonts w:ascii="Arial" w:hAnsi="Arial"/>
    </w:rPr>
  </w:style>
  <w:style w:type="character" w:customStyle="1" w:styleId="WW8Num11z2">
    <w:name w:val="WW8Num11z2"/>
    <w:uiPriority w:val="99"/>
    <w:rsid w:val="00775784"/>
    <w:rPr>
      <w:rFonts w:ascii="Wingdings" w:hAnsi="Wingdings"/>
    </w:rPr>
  </w:style>
  <w:style w:type="character" w:customStyle="1" w:styleId="WW8Num11z4">
    <w:name w:val="WW8Num11z4"/>
    <w:uiPriority w:val="99"/>
    <w:rsid w:val="00775784"/>
    <w:rPr>
      <w:rFonts w:ascii="Courier New" w:hAnsi="Courier New"/>
    </w:rPr>
  </w:style>
  <w:style w:type="character" w:customStyle="1" w:styleId="WW8Num41z0">
    <w:name w:val="WW8Num41z0"/>
    <w:uiPriority w:val="99"/>
    <w:rsid w:val="00775784"/>
    <w:rPr>
      <w:rFonts w:ascii="Symbol" w:hAnsi="Symbol"/>
      <w:color w:val="auto"/>
    </w:rPr>
  </w:style>
  <w:style w:type="character" w:customStyle="1" w:styleId="WW8Num43z0">
    <w:name w:val="WW8Num43z0"/>
    <w:uiPriority w:val="99"/>
    <w:rsid w:val="00775784"/>
    <w:rPr>
      <w:rFonts w:ascii="Symbol" w:hAnsi="Symbol"/>
      <w:color w:val="auto"/>
    </w:rPr>
  </w:style>
  <w:style w:type="character" w:customStyle="1" w:styleId="WW8Num56z0">
    <w:name w:val="WW8Num56z0"/>
    <w:uiPriority w:val="99"/>
    <w:rsid w:val="00775784"/>
    <w:rPr>
      <w:rFonts w:ascii="Symbol" w:hAnsi="Symbol"/>
    </w:rPr>
  </w:style>
  <w:style w:type="character" w:customStyle="1" w:styleId="WW8Num61z1">
    <w:name w:val="WW8Num61z1"/>
    <w:uiPriority w:val="99"/>
    <w:rsid w:val="00775784"/>
    <w:rPr>
      <w:rFonts w:ascii="Courier New" w:hAnsi="Courier New"/>
    </w:rPr>
  </w:style>
  <w:style w:type="character" w:customStyle="1" w:styleId="WW8Num61z2">
    <w:name w:val="WW8Num61z2"/>
    <w:uiPriority w:val="99"/>
    <w:rsid w:val="00775784"/>
    <w:rPr>
      <w:rFonts w:ascii="Wingdings" w:hAnsi="Wingdings"/>
    </w:rPr>
  </w:style>
  <w:style w:type="character" w:customStyle="1" w:styleId="WW8Num61z3">
    <w:name w:val="WW8Num61z3"/>
    <w:uiPriority w:val="99"/>
    <w:rsid w:val="00775784"/>
    <w:rPr>
      <w:rFonts w:ascii="Symbol" w:hAnsi="Symbol"/>
    </w:rPr>
  </w:style>
  <w:style w:type="character" w:customStyle="1" w:styleId="WW8Num62z0">
    <w:name w:val="WW8Num62z0"/>
    <w:uiPriority w:val="99"/>
    <w:rsid w:val="00775784"/>
    <w:rPr>
      <w:rFonts w:ascii="Symbol" w:hAnsi="Symbol"/>
    </w:rPr>
  </w:style>
  <w:style w:type="character" w:customStyle="1" w:styleId="WW8Num62z1">
    <w:name w:val="WW8Num62z1"/>
    <w:uiPriority w:val="99"/>
    <w:rsid w:val="00775784"/>
    <w:rPr>
      <w:rFonts w:ascii="Courier New" w:hAnsi="Courier New"/>
    </w:rPr>
  </w:style>
  <w:style w:type="character" w:customStyle="1" w:styleId="WW8Num62z2">
    <w:name w:val="WW8Num62z2"/>
    <w:uiPriority w:val="99"/>
    <w:rsid w:val="00775784"/>
    <w:rPr>
      <w:rFonts w:ascii="Wingdings" w:hAnsi="Wingdings"/>
    </w:rPr>
  </w:style>
  <w:style w:type="character" w:customStyle="1" w:styleId="WW8Num63z0">
    <w:name w:val="WW8Num63z0"/>
    <w:uiPriority w:val="99"/>
    <w:rsid w:val="00775784"/>
    <w:rPr>
      <w:rFonts w:ascii="Times New Roman" w:hAnsi="Times New Roman"/>
    </w:rPr>
  </w:style>
  <w:style w:type="character" w:customStyle="1" w:styleId="WW8Num63z2">
    <w:name w:val="WW8Num63z2"/>
    <w:uiPriority w:val="99"/>
    <w:rsid w:val="00775784"/>
    <w:rPr>
      <w:rFonts w:ascii="Wingdings" w:hAnsi="Wingdings"/>
    </w:rPr>
  </w:style>
  <w:style w:type="character" w:customStyle="1" w:styleId="WW8Num63z3">
    <w:name w:val="WW8Num63z3"/>
    <w:uiPriority w:val="99"/>
    <w:rsid w:val="00775784"/>
    <w:rPr>
      <w:rFonts w:ascii="Symbol" w:hAnsi="Symbol"/>
    </w:rPr>
  </w:style>
  <w:style w:type="character" w:customStyle="1" w:styleId="WW8Num64z4">
    <w:name w:val="WW8Num64z4"/>
    <w:uiPriority w:val="99"/>
    <w:rsid w:val="00775784"/>
    <w:rPr>
      <w:rFonts w:ascii="Courier New" w:hAnsi="Courier New"/>
    </w:rPr>
  </w:style>
  <w:style w:type="character" w:customStyle="1" w:styleId="WW8Num65z0">
    <w:name w:val="WW8Num65z0"/>
    <w:uiPriority w:val="99"/>
    <w:rsid w:val="00775784"/>
    <w:rPr>
      <w:rFonts w:ascii="Symbol" w:hAnsi="Symbol"/>
    </w:rPr>
  </w:style>
  <w:style w:type="character" w:customStyle="1" w:styleId="WW8Num65z1">
    <w:name w:val="WW8Num65z1"/>
    <w:uiPriority w:val="99"/>
    <w:rsid w:val="00775784"/>
    <w:rPr>
      <w:rFonts w:ascii="Courier New" w:hAnsi="Courier New"/>
    </w:rPr>
  </w:style>
  <w:style w:type="character" w:customStyle="1" w:styleId="WW8Num65z2">
    <w:name w:val="WW8Num65z2"/>
    <w:uiPriority w:val="99"/>
    <w:rsid w:val="00775784"/>
    <w:rPr>
      <w:rFonts w:ascii="Wingdings" w:hAnsi="Wingdings"/>
    </w:rPr>
  </w:style>
  <w:style w:type="character" w:customStyle="1" w:styleId="WW8Num67z0">
    <w:name w:val="WW8Num67z0"/>
    <w:uiPriority w:val="99"/>
    <w:rsid w:val="00775784"/>
    <w:rPr>
      <w:rFonts w:ascii="Symbol" w:hAnsi="Symbol"/>
    </w:rPr>
  </w:style>
  <w:style w:type="character" w:customStyle="1" w:styleId="WW8Num67z1">
    <w:name w:val="WW8Num67z1"/>
    <w:uiPriority w:val="99"/>
    <w:rsid w:val="00775784"/>
    <w:rPr>
      <w:rFonts w:ascii="Courier New" w:hAnsi="Courier New"/>
    </w:rPr>
  </w:style>
  <w:style w:type="character" w:customStyle="1" w:styleId="WW8Num67z2">
    <w:name w:val="WW8Num67z2"/>
    <w:uiPriority w:val="99"/>
    <w:rsid w:val="00775784"/>
    <w:rPr>
      <w:rFonts w:ascii="Wingdings" w:hAnsi="Wingdings"/>
    </w:rPr>
  </w:style>
  <w:style w:type="character" w:customStyle="1" w:styleId="WW8Num68z0">
    <w:name w:val="WW8Num68z0"/>
    <w:uiPriority w:val="99"/>
    <w:rsid w:val="00775784"/>
    <w:rPr>
      <w:rFonts w:ascii="Book Antiqua" w:hAnsi="Book Antiqua"/>
    </w:rPr>
  </w:style>
  <w:style w:type="character" w:customStyle="1" w:styleId="WW8Num68z1">
    <w:name w:val="WW8Num68z1"/>
    <w:uiPriority w:val="99"/>
    <w:rsid w:val="00775784"/>
    <w:rPr>
      <w:rFonts w:ascii="Courier New" w:hAnsi="Courier New"/>
    </w:rPr>
  </w:style>
  <w:style w:type="character" w:customStyle="1" w:styleId="WW8Num68z2">
    <w:name w:val="WW8Num68z2"/>
    <w:uiPriority w:val="99"/>
    <w:rsid w:val="00775784"/>
    <w:rPr>
      <w:rFonts w:ascii="Wingdings" w:hAnsi="Wingdings"/>
    </w:rPr>
  </w:style>
  <w:style w:type="character" w:customStyle="1" w:styleId="WW8Num68z3">
    <w:name w:val="WW8Num68z3"/>
    <w:uiPriority w:val="99"/>
    <w:rsid w:val="00775784"/>
    <w:rPr>
      <w:rFonts w:ascii="Symbol" w:hAnsi="Symbol"/>
    </w:rPr>
  </w:style>
  <w:style w:type="character" w:customStyle="1" w:styleId="WW8Num69z0">
    <w:name w:val="WW8Num69z0"/>
    <w:uiPriority w:val="99"/>
    <w:rsid w:val="00775784"/>
    <w:rPr>
      <w:rFonts w:ascii="Symbol" w:hAnsi="Symbol"/>
    </w:rPr>
  </w:style>
  <w:style w:type="character" w:customStyle="1" w:styleId="WW8Num69z1">
    <w:name w:val="WW8Num69z1"/>
    <w:uiPriority w:val="99"/>
    <w:rsid w:val="00775784"/>
    <w:rPr>
      <w:rFonts w:ascii="Courier New" w:hAnsi="Courier New"/>
    </w:rPr>
  </w:style>
  <w:style w:type="character" w:customStyle="1" w:styleId="WW8Num69z2">
    <w:name w:val="WW8Num69z2"/>
    <w:uiPriority w:val="99"/>
    <w:rsid w:val="00775784"/>
    <w:rPr>
      <w:rFonts w:ascii="Wingdings" w:hAnsi="Wingdings"/>
    </w:rPr>
  </w:style>
  <w:style w:type="character" w:customStyle="1" w:styleId="WW8Num70z0">
    <w:name w:val="WW8Num70z0"/>
    <w:uiPriority w:val="99"/>
    <w:rsid w:val="00775784"/>
    <w:rPr>
      <w:rFonts w:ascii="Arial" w:hAnsi="Arial"/>
    </w:rPr>
  </w:style>
  <w:style w:type="character" w:customStyle="1" w:styleId="WW8Num70z2">
    <w:name w:val="WW8Num70z2"/>
    <w:uiPriority w:val="99"/>
    <w:rsid w:val="00775784"/>
    <w:rPr>
      <w:rFonts w:ascii="Wingdings" w:hAnsi="Wingdings"/>
    </w:rPr>
  </w:style>
  <w:style w:type="character" w:customStyle="1" w:styleId="WW8Num70z3">
    <w:name w:val="WW8Num70z3"/>
    <w:uiPriority w:val="99"/>
    <w:rsid w:val="00775784"/>
    <w:rPr>
      <w:rFonts w:ascii="Symbol" w:hAnsi="Symbol"/>
    </w:rPr>
  </w:style>
  <w:style w:type="character" w:customStyle="1" w:styleId="WW8Num70z4">
    <w:name w:val="WW8Num70z4"/>
    <w:uiPriority w:val="99"/>
    <w:rsid w:val="00775784"/>
    <w:rPr>
      <w:rFonts w:ascii="Courier New" w:hAnsi="Courier New"/>
    </w:rPr>
  </w:style>
  <w:style w:type="character" w:customStyle="1" w:styleId="WW8Num71z0">
    <w:name w:val="WW8Num71z0"/>
    <w:uiPriority w:val="99"/>
    <w:rsid w:val="00775784"/>
    <w:rPr>
      <w:rFonts w:ascii="Times New Roman" w:hAnsi="Times New Roman"/>
    </w:rPr>
  </w:style>
  <w:style w:type="character" w:customStyle="1" w:styleId="WW8Num71z1">
    <w:name w:val="WW8Num71z1"/>
    <w:uiPriority w:val="99"/>
    <w:rsid w:val="00775784"/>
    <w:rPr>
      <w:rFonts w:ascii="Courier New" w:hAnsi="Courier New"/>
    </w:rPr>
  </w:style>
  <w:style w:type="character" w:customStyle="1" w:styleId="WW8Num71z2">
    <w:name w:val="WW8Num71z2"/>
    <w:uiPriority w:val="99"/>
    <w:rsid w:val="00775784"/>
    <w:rPr>
      <w:rFonts w:ascii="Wingdings" w:hAnsi="Wingdings"/>
    </w:rPr>
  </w:style>
  <w:style w:type="character" w:customStyle="1" w:styleId="WW8Num71z3">
    <w:name w:val="WW8Num71z3"/>
    <w:uiPriority w:val="99"/>
    <w:rsid w:val="00775784"/>
    <w:rPr>
      <w:rFonts w:ascii="Symbol" w:hAnsi="Symbol"/>
    </w:rPr>
  </w:style>
  <w:style w:type="character" w:customStyle="1" w:styleId="WW8Num77z0">
    <w:name w:val="WW8Num77z0"/>
    <w:uiPriority w:val="99"/>
    <w:rsid w:val="00775784"/>
    <w:rPr>
      <w:rFonts w:ascii="Times New Roman" w:hAnsi="Times New Roman"/>
    </w:rPr>
  </w:style>
  <w:style w:type="character" w:customStyle="1" w:styleId="WW8Num77z2">
    <w:name w:val="WW8Num77z2"/>
    <w:uiPriority w:val="99"/>
    <w:rsid w:val="00775784"/>
    <w:rPr>
      <w:rFonts w:ascii="Wingdings" w:hAnsi="Wingdings"/>
    </w:rPr>
  </w:style>
  <w:style w:type="character" w:customStyle="1" w:styleId="WW8Num77z3">
    <w:name w:val="WW8Num77z3"/>
    <w:uiPriority w:val="99"/>
    <w:rsid w:val="00775784"/>
    <w:rPr>
      <w:rFonts w:ascii="Symbol" w:hAnsi="Symbol"/>
    </w:rPr>
  </w:style>
  <w:style w:type="character" w:customStyle="1" w:styleId="WW8Num77z4">
    <w:name w:val="WW8Num77z4"/>
    <w:uiPriority w:val="99"/>
    <w:rsid w:val="00775784"/>
    <w:rPr>
      <w:rFonts w:ascii="Courier New" w:hAnsi="Courier New"/>
    </w:rPr>
  </w:style>
  <w:style w:type="character" w:customStyle="1" w:styleId="WW8Num78z0">
    <w:name w:val="WW8Num78z0"/>
    <w:uiPriority w:val="99"/>
    <w:rsid w:val="00775784"/>
    <w:rPr>
      <w:rFonts w:ascii="Symbol" w:hAnsi="Symbol"/>
    </w:rPr>
  </w:style>
  <w:style w:type="character" w:customStyle="1" w:styleId="WW8Num78z1">
    <w:name w:val="WW8Num78z1"/>
    <w:uiPriority w:val="99"/>
    <w:rsid w:val="00775784"/>
    <w:rPr>
      <w:rFonts w:ascii="Courier New" w:hAnsi="Courier New"/>
    </w:rPr>
  </w:style>
  <w:style w:type="character" w:customStyle="1" w:styleId="WW8Num78z2">
    <w:name w:val="WW8Num78z2"/>
    <w:uiPriority w:val="99"/>
    <w:rsid w:val="00775784"/>
    <w:rPr>
      <w:rFonts w:ascii="Wingdings" w:hAnsi="Wingdings"/>
    </w:rPr>
  </w:style>
  <w:style w:type="character" w:customStyle="1" w:styleId="WW8Num79z0">
    <w:name w:val="WW8Num79z0"/>
    <w:uiPriority w:val="99"/>
    <w:rsid w:val="00775784"/>
    <w:rPr>
      <w:rFonts w:ascii="Times New Roman" w:hAnsi="Times New Roman"/>
      <w:color w:val="auto"/>
    </w:rPr>
  </w:style>
  <w:style w:type="character" w:customStyle="1" w:styleId="WW8Num79z1">
    <w:name w:val="WW8Num79z1"/>
    <w:uiPriority w:val="99"/>
    <w:rsid w:val="00775784"/>
    <w:rPr>
      <w:rFonts w:ascii="Courier New" w:hAnsi="Courier New"/>
    </w:rPr>
  </w:style>
  <w:style w:type="character" w:customStyle="1" w:styleId="WW8Num79z2">
    <w:name w:val="WW8Num79z2"/>
    <w:uiPriority w:val="99"/>
    <w:rsid w:val="00775784"/>
    <w:rPr>
      <w:rFonts w:ascii="Wingdings" w:hAnsi="Wingdings"/>
    </w:rPr>
  </w:style>
  <w:style w:type="character" w:customStyle="1" w:styleId="WW8Num79z3">
    <w:name w:val="WW8Num79z3"/>
    <w:uiPriority w:val="99"/>
    <w:rsid w:val="00775784"/>
    <w:rPr>
      <w:rFonts w:ascii="Symbol" w:hAnsi="Symbol"/>
    </w:rPr>
  </w:style>
  <w:style w:type="character" w:customStyle="1" w:styleId="WW8Num81z0">
    <w:name w:val="WW8Num81z0"/>
    <w:uiPriority w:val="99"/>
    <w:rsid w:val="00775784"/>
    <w:rPr>
      <w:rFonts w:ascii="Times New Roman" w:hAnsi="Times New Roman"/>
      <w:color w:val="auto"/>
    </w:rPr>
  </w:style>
  <w:style w:type="character" w:customStyle="1" w:styleId="WW8Num81z1">
    <w:name w:val="WW8Num81z1"/>
    <w:uiPriority w:val="99"/>
    <w:rsid w:val="00775784"/>
    <w:rPr>
      <w:rFonts w:ascii="Courier New" w:hAnsi="Courier New"/>
    </w:rPr>
  </w:style>
  <w:style w:type="character" w:customStyle="1" w:styleId="WW8Num81z2">
    <w:name w:val="WW8Num81z2"/>
    <w:uiPriority w:val="99"/>
    <w:rsid w:val="00775784"/>
    <w:rPr>
      <w:rFonts w:ascii="Wingdings" w:hAnsi="Wingdings"/>
    </w:rPr>
  </w:style>
  <w:style w:type="character" w:customStyle="1" w:styleId="WW8Num81z3">
    <w:name w:val="WW8Num81z3"/>
    <w:uiPriority w:val="99"/>
    <w:rsid w:val="00775784"/>
    <w:rPr>
      <w:rFonts w:ascii="Symbol" w:hAnsi="Symbol"/>
    </w:rPr>
  </w:style>
  <w:style w:type="character" w:customStyle="1" w:styleId="WW8Num82z0">
    <w:name w:val="WW8Num82z0"/>
    <w:uiPriority w:val="99"/>
    <w:rsid w:val="00775784"/>
    <w:rPr>
      <w:rFonts w:ascii="Times New Roman" w:hAnsi="Times New Roman"/>
    </w:rPr>
  </w:style>
  <w:style w:type="character" w:customStyle="1" w:styleId="WW8Num82z1">
    <w:name w:val="WW8Num82z1"/>
    <w:uiPriority w:val="99"/>
    <w:rsid w:val="00775784"/>
    <w:rPr>
      <w:rFonts w:ascii="Courier New" w:hAnsi="Courier New"/>
    </w:rPr>
  </w:style>
  <w:style w:type="character" w:customStyle="1" w:styleId="WW8Num82z2">
    <w:name w:val="WW8Num82z2"/>
    <w:uiPriority w:val="99"/>
    <w:rsid w:val="00775784"/>
    <w:rPr>
      <w:rFonts w:ascii="Wingdings" w:hAnsi="Wingdings"/>
    </w:rPr>
  </w:style>
  <w:style w:type="character" w:customStyle="1" w:styleId="WW8Num82z3">
    <w:name w:val="WW8Num82z3"/>
    <w:uiPriority w:val="99"/>
    <w:rsid w:val="00775784"/>
    <w:rPr>
      <w:rFonts w:ascii="Symbol" w:hAnsi="Symbol"/>
    </w:rPr>
  </w:style>
  <w:style w:type="character" w:customStyle="1" w:styleId="WW8Num83z0">
    <w:name w:val="WW8Num83z0"/>
    <w:uiPriority w:val="99"/>
    <w:rsid w:val="00775784"/>
    <w:rPr>
      <w:rFonts w:ascii="Symbol" w:hAnsi="Symbol"/>
    </w:rPr>
  </w:style>
  <w:style w:type="character" w:customStyle="1" w:styleId="WW8Num83z1">
    <w:name w:val="WW8Num83z1"/>
    <w:uiPriority w:val="99"/>
    <w:rsid w:val="00775784"/>
    <w:rPr>
      <w:rFonts w:ascii="Courier New" w:hAnsi="Courier New"/>
    </w:rPr>
  </w:style>
  <w:style w:type="character" w:customStyle="1" w:styleId="WW8Num83z2">
    <w:name w:val="WW8Num83z2"/>
    <w:uiPriority w:val="99"/>
    <w:rsid w:val="00775784"/>
    <w:rPr>
      <w:rFonts w:ascii="Wingdings" w:hAnsi="Wingdings"/>
    </w:rPr>
  </w:style>
  <w:style w:type="character" w:customStyle="1" w:styleId="WW8Num85z0">
    <w:name w:val="WW8Num85z0"/>
    <w:uiPriority w:val="99"/>
    <w:rsid w:val="00775784"/>
    <w:rPr>
      <w:rFonts w:ascii="Symbol" w:hAnsi="Symbol"/>
    </w:rPr>
  </w:style>
  <w:style w:type="character" w:customStyle="1" w:styleId="WW8Num85z1">
    <w:name w:val="WW8Num85z1"/>
    <w:uiPriority w:val="99"/>
    <w:rsid w:val="00775784"/>
    <w:rPr>
      <w:rFonts w:ascii="Courier New" w:hAnsi="Courier New"/>
    </w:rPr>
  </w:style>
  <w:style w:type="character" w:customStyle="1" w:styleId="WW8Num85z2">
    <w:name w:val="WW8Num85z2"/>
    <w:uiPriority w:val="99"/>
    <w:rsid w:val="00775784"/>
    <w:rPr>
      <w:rFonts w:ascii="Wingdings" w:hAnsi="Wingdings"/>
    </w:rPr>
  </w:style>
  <w:style w:type="character" w:customStyle="1" w:styleId="WW8Num86z0">
    <w:name w:val="WW8Num86z0"/>
    <w:uiPriority w:val="99"/>
    <w:rsid w:val="00775784"/>
    <w:rPr>
      <w:rFonts w:ascii="Times New Roman" w:hAnsi="Times New Roman"/>
    </w:rPr>
  </w:style>
  <w:style w:type="character" w:customStyle="1" w:styleId="WW8Num88z1">
    <w:name w:val="WW8Num88z1"/>
    <w:uiPriority w:val="99"/>
    <w:rsid w:val="00775784"/>
    <w:rPr>
      <w:rFonts w:ascii="Symbol" w:hAnsi="Symbol"/>
    </w:rPr>
  </w:style>
  <w:style w:type="character" w:customStyle="1" w:styleId="WW8Num89z0">
    <w:name w:val="WW8Num89z0"/>
    <w:uiPriority w:val="99"/>
    <w:rsid w:val="00775784"/>
    <w:rPr>
      <w:rFonts w:ascii="Book Antiqua" w:hAnsi="Book Antiqua"/>
      <w:color w:val="auto"/>
    </w:rPr>
  </w:style>
  <w:style w:type="character" w:customStyle="1" w:styleId="WW8Num89z1">
    <w:name w:val="WW8Num89z1"/>
    <w:uiPriority w:val="99"/>
    <w:rsid w:val="00775784"/>
    <w:rPr>
      <w:rFonts w:ascii="Courier New" w:hAnsi="Courier New"/>
    </w:rPr>
  </w:style>
  <w:style w:type="character" w:customStyle="1" w:styleId="WW8Num89z2">
    <w:name w:val="WW8Num89z2"/>
    <w:uiPriority w:val="99"/>
    <w:rsid w:val="00775784"/>
    <w:rPr>
      <w:rFonts w:ascii="Wingdings" w:hAnsi="Wingdings"/>
    </w:rPr>
  </w:style>
  <w:style w:type="character" w:customStyle="1" w:styleId="WW8Num89z3">
    <w:name w:val="WW8Num89z3"/>
    <w:uiPriority w:val="99"/>
    <w:rsid w:val="00775784"/>
    <w:rPr>
      <w:rFonts w:ascii="Symbol" w:hAnsi="Symbol"/>
    </w:rPr>
  </w:style>
  <w:style w:type="character" w:customStyle="1" w:styleId="WW8Num91z0">
    <w:name w:val="WW8Num91z0"/>
    <w:uiPriority w:val="99"/>
    <w:rsid w:val="00775784"/>
    <w:rPr>
      <w:rFonts w:ascii="Symbol" w:hAnsi="Symbol"/>
    </w:rPr>
  </w:style>
  <w:style w:type="character" w:customStyle="1" w:styleId="WW8Num91z1">
    <w:name w:val="WW8Num91z1"/>
    <w:uiPriority w:val="99"/>
    <w:rsid w:val="00775784"/>
    <w:rPr>
      <w:rFonts w:ascii="Courier New" w:hAnsi="Courier New"/>
    </w:rPr>
  </w:style>
  <w:style w:type="character" w:customStyle="1" w:styleId="WW8Num91z2">
    <w:name w:val="WW8Num91z2"/>
    <w:uiPriority w:val="99"/>
    <w:rsid w:val="00775784"/>
    <w:rPr>
      <w:rFonts w:ascii="Wingdings" w:hAnsi="Wingdings"/>
    </w:rPr>
  </w:style>
  <w:style w:type="character" w:customStyle="1" w:styleId="2d">
    <w:name w:val="Основной шрифт абзаца2"/>
    <w:uiPriority w:val="99"/>
    <w:rsid w:val="00775784"/>
  </w:style>
  <w:style w:type="character" w:customStyle="1" w:styleId="WW-Absatz-Standardschriftart">
    <w:name w:val="WW-Absatz-Standardschriftart"/>
    <w:uiPriority w:val="99"/>
    <w:rsid w:val="00775784"/>
  </w:style>
  <w:style w:type="character" w:customStyle="1" w:styleId="1ff4">
    <w:name w:val="Знак примечания1"/>
    <w:uiPriority w:val="99"/>
    <w:rsid w:val="00775784"/>
    <w:rPr>
      <w:sz w:val="16"/>
    </w:rPr>
  </w:style>
  <w:style w:type="character" w:customStyle="1" w:styleId="1ff5">
    <w:name w:val="Знак сноски1"/>
    <w:uiPriority w:val="99"/>
    <w:rsid w:val="00775784"/>
    <w:rPr>
      <w:vertAlign w:val="superscript"/>
    </w:rPr>
  </w:style>
  <w:style w:type="character" w:customStyle="1" w:styleId="afffffc">
    <w:name w:val="Символы концевой сноски"/>
    <w:uiPriority w:val="99"/>
    <w:rsid w:val="00775784"/>
    <w:rPr>
      <w:vertAlign w:val="superscript"/>
    </w:rPr>
  </w:style>
  <w:style w:type="character" w:customStyle="1" w:styleId="WW-">
    <w:name w:val="WW-Символы концевой сноски"/>
    <w:uiPriority w:val="99"/>
    <w:rsid w:val="00775784"/>
  </w:style>
  <w:style w:type="paragraph" w:customStyle="1" w:styleId="2e">
    <w:name w:val="Название2"/>
    <w:basedOn w:val="Normal"/>
    <w:uiPriority w:val="99"/>
    <w:rsid w:val="00775784"/>
    <w:pPr>
      <w:suppressLineNumbers/>
      <w:suppressAutoHyphens/>
      <w:spacing w:before="120" w:after="120" w:line="240" w:lineRule="auto"/>
    </w:pPr>
    <w:rPr>
      <w:rFonts w:cs="Tahoma"/>
      <w:i/>
      <w:iCs/>
      <w:sz w:val="24"/>
      <w:szCs w:val="24"/>
      <w:lang w:val="en-US" w:eastAsia="ar-SA"/>
    </w:rPr>
  </w:style>
  <w:style w:type="paragraph" w:customStyle="1" w:styleId="2f">
    <w:name w:val="Указатель2"/>
    <w:basedOn w:val="Normal"/>
    <w:uiPriority w:val="99"/>
    <w:rsid w:val="00775784"/>
    <w:pPr>
      <w:suppressLineNumbers/>
      <w:suppressAutoHyphens/>
      <w:spacing w:after="0" w:line="240" w:lineRule="auto"/>
    </w:pPr>
    <w:rPr>
      <w:rFonts w:cs="Tahoma"/>
      <w:sz w:val="24"/>
      <w:szCs w:val="16"/>
      <w:lang w:val="en-US" w:eastAsia="ar-SA"/>
    </w:rPr>
  </w:style>
  <w:style w:type="paragraph" w:customStyle="1" w:styleId="231">
    <w:name w:val="Основной текст 23"/>
    <w:basedOn w:val="Normal"/>
    <w:uiPriority w:val="99"/>
    <w:rsid w:val="00775784"/>
    <w:pPr>
      <w:suppressAutoHyphens/>
      <w:spacing w:after="120" w:line="480" w:lineRule="auto"/>
    </w:pPr>
    <w:rPr>
      <w:rFonts w:cs="Arial"/>
      <w:sz w:val="24"/>
      <w:szCs w:val="16"/>
      <w:lang w:val="en-US" w:eastAsia="ar-SA"/>
    </w:rPr>
  </w:style>
  <w:style w:type="paragraph" w:customStyle="1" w:styleId="232">
    <w:name w:val="Основной текст с отступом 23"/>
    <w:basedOn w:val="Normal"/>
    <w:uiPriority w:val="99"/>
    <w:rsid w:val="00775784"/>
    <w:pPr>
      <w:suppressAutoHyphens/>
      <w:spacing w:after="120" w:line="480" w:lineRule="auto"/>
      <w:ind w:left="283"/>
    </w:pPr>
    <w:rPr>
      <w:rFonts w:cs="Arial"/>
      <w:sz w:val="24"/>
      <w:szCs w:val="16"/>
      <w:lang w:val="en-US" w:eastAsia="ar-SA"/>
    </w:rPr>
  </w:style>
  <w:style w:type="paragraph" w:customStyle="1" w:styleId="322">
    <w:name w:val="Основной текст с отступом 32"/>
    <w:basedOn w:val="Normal"/>
    <w:uiPriority w:val="99"/>
    <w:rsid w:val="00775784"/>
    <w:pPr>
      <w:suppressAutoHyphens/>
      <w:spacing w:after="120" w:line="240" w:lineRule="auto"/>
      <w:ind w:left="283"/>
    </w:pPr>
    <w:rPr>
      <w:rFonts w:cs="Arial"/>
      <w:sz w:val="16"/>
      <w:szCs w:val="16"/>
      <w:lang w:val="en-US" w:eastAsia="ar-SA"/>
    </w:rPr>
  </w:style>
  <w:style w:type="paragraph" w:customStyle="1" w:styleId="1ff6">
    <w:name w:val="Текст примечания1"/>
    <w:basedOn w:val="Normal"/>
    <w:uiPriority w:val="99"/>
    <w:rsid w:val="00775784"/>
    <w:pPr>
      <w:suppressAutoHyphens/>
      <w:spacing w:after="0" w:line="240" w:lineRule="auto"/>
    </w:pPr>
    <w:rPr>
      <w:rFonts w:cs="Arial"/>
      <w:sz w:val="20"/>
      <w:szCs w:val="20"/>
      <w:lang w:val="en-US" w:eastAsia="ar-SA"/>
    </w:rPr>
  </w:style>
  <w:style w:type="paragraph" w:customStyle="1" w:styleId="1ff7">
    <w:name w:val="Схема документа1"/>
    <w:basedOn w:val="Normal"/>
    <w:uiPriority w:val="99"/>
    <w:rsid w:val="00775784"/>
    <w:pPr>
      <w:suppressAutoHyphens/>
      <w:spacing w:after="0" w:line="240" w:lineRule="auto"/>
    </w:pPr>
    <w:rPr>
      <w:rFonts w:ascii="Tahoma" w:hAnsi="Tahoma" w:cs="Tahoma"/>
      <w:sz w:val="16"/>
      <w:szCs w:val="16"/>
      <w:lang w:val="en-US" w:eastAsia="ar-SA"/>
    </w:rPr>
  </w:style>
  <w:style w:type="paragraph" w:customStyle="1" w:styleId="2f0">
    <w:name w:val="Название объекта2"/>
    <w:basedOn w:val="Normal"/>
    <w:next w:val="Normal"/>
    <w:uiPriority w:val="99"/>
    <w:rsid w:val="00775784"/>
    <w:pPr>
      <w:suppressAutoHyphens/>
      <w:spacing w:after="0" w:line="240" w:lineRule="auto"/>
    </w:pPr>
    <w:rPr>
      <w:rFonts w:cs="Arial"/>
      <w:b/>
      <w:bCs/>
      <w:sz w:val="20"/>
      <w:szCs w:val="20"/>
      <w:lang w:val="en-US" w:eastAsia="ar-SA"/>
    </w:rPr>
  </w:style>
  <w:style w:type="paragraph" w:customStyle="1" w:styleId="331">
    <w:name w:val="Основной текст 33"/>
    <w:basedOn w:val="Normal"/>
    <w:uiPriority w:val="99"/>
    <w:rsid w:val="00775784"/>
    <w:pPr>
      <w:spacing w:after="0" w:line="240" w:lineRule="auto"/>
    </w:pPr>
    <w:rPr>
      <w:rFonts w:cs="Arial"/>
      <w:sz w:val="16"/>
      <w:szCs w:val="24"/>
      <w:lang w:val="en-US" w:eastAsia="ar-SA"/>
    </w:rPr>
  </w:style>
  <w:style w:type="paragraph" w:customStyle="1" w:styleId="40">
    <w:name w:val="Обычный4"/>
    <w:uiPriority w:val="99"/>
    <w:rsid w:val="00775784"/>
    <w:pPr>
      <w:suppressAutoHyphens/>
      <w:snapToGrid w:val="0"/>
    </w:pPr>
    <w:rPr>
      <w:rFonts w:cs="Arial"/>
      <w:szCs w:val="20"/>
      <w:lang w:val="en-US" w:eastAsia="ar-SA"/>
    </w:rPr>
  </w:style>
  <w:style w:type="paragraph" w:customStyle="1" w:styleId="Style30">
    <w:name w:val="Style30"/>
    <w:basedOn w:val="Normal"/>
    <w:uiPriority w:val="99"/>
    <w:rsid w:val="00775784"/>
    <w:pPr>
      <w:widowControl w:val="0"/>
      <w:spacing w:after="0" w:line="277" w:lineRule="exact"/>
      <w:jc w:val="center"/>
    </w:pPr>
    <w:rPr>
      <w:rFonts w:ascii="Times New Roman" w:eastAsia="MS ??" w:hAnsi="Times New Roman"/>
      <w:color w:val="000000"/>
      <w:sz w:val="24"/>
      <w:szCs w:val="24"/>
      <w:lang w:val="en-US"/>
    </w:rPr>
  </w:style>
  <w:style w:type="paragraph" w:customStyle="1" w:styleId="Style59">
    <w:name w:val="Style59"/>
    <w:basedOn w:val="Normal"/>
    <w:uiPriority w:val="99"/>
    <w:rsid w:val="00775784"/>
    <w:pPr>
      <w:widowControl w:val="0"/>
      <w:spacing w:after="0" w:line="274" w:lineRule="exact"/>
    </w:pPr>
    <w:rPr>
      <w:rFonts w:ascii="Times New Roman" w:eastAsia="MS ??" w:hAnsi="Times New Roman"/>
      <w:color w:val="000000"/>
      <w:sz w:val="24"/>
      <w:szCs w:val="24"/>
      <w:lang w:val="en-US"/>
    </w:rPr>
  </w:style>
  <w:style w:type="paragraph" w:customStyle="1" w:styleId="FORMATTEXT">
    <w:name w:val=".FORMATTEXT"/>
    <w:uiPriority w:val="99"/>
    <w:rsid w:val="00775784"/>
    <w:pPr>
      <w:widowControl w:val="0"/>
      <w:autoSpaceDE w:val="0"/>
      <w:autoSpaceDN w:val="0"/>
      <w:adjustRightInd w:val="0"/>
    </w:pPr>
    <w:rPr>
      <w:sz w:val="24"/>
      <w:szCs w:val="24"/>
      <w:lang w:val="en-US"/>
    </w:rPr>
  </w:style>
  <w:style w:type="paragraph" w:customStyle="1" w:styleId="120">
    <w:name w:val="Заголовок 12"/>
    <w:basedOn w:val="Normal"/>
    <w:next w:val="Normal"/>
    <w:uiPriority w:val="99"/>
    <w:rsid w:val="00775784"/>
    <w:pPr>
      <w:keepNext/>
      <w:suppressAutoHyphens/>
      <w:autoSpaceDN w:val="0"/>
      <w:spacing w:after="0" w:line="240" w:lineRule="auto"/>
      <w:jc w:val="center"/>
      <w:textAlignment w:val="baseline"/>
      <w:outlineLvl w:val="0"/>
    </w:pPr>
    <w:rPr>
      <w:rFonts w:ascii="Courier New" w:hAnsi="Courier New" w:cs="Courier New"/>
      <w:b/>
      <w:bCs/>
      <w:kern w:val="3"/>
      <w:sz w:val="24"/>
      <w:szCs w:val="24"/>
      <w:lang w:val="en-US"/>
    </w:rPr>
  </w:style>
  <w:style w:type="paragraph" w:customStyle="1" w:styleId="TableContents">
    <w:name w:val="Table Contents"/>
    <w:basedOn w:val="Normal"/>
    <w:uiPriority w:val="99"/>
    <w:rsid w:val="00775784"/>
    <w:pPr>
      <w:suppressLineNumbers/>
      <w:suppressAutoHyphens/>
      <w:autoSpaceDN w:val="0"/>
      <w:spacing w:after="0" w:line="240" w:lineRule="auto"/>
      <w:textAlignment w:val="baseline"/>
    </w:pPr>
    <w:rPr>
      <w:rFonts w:ascii="Times New Roman" w:hAnsi="Times New Roman"/>
      <w:kern w:val="3"/>
      <w:sz w:val="24"/>
      <w:szCs w:val="24"/>
      <w:lang w:val="en-US"/>
    </w:rPr>
  </w:style>
  <w:style w:type="character" w:customStyle="1" w:styleId="match">
    <w:name w:val="match"/>
    <w:basedOn w:val="DefaultParagraphFont"/>
    <w:uiPriority w:val="99"/>
    <w:rsid w:val="00775784"/>
    <w:rPr>
      <w:rFonts w:cs="Times New Roman"/>
    </w:rPr>
  </w:style>
  <w:style w:type="character" w:customStyle="1" w:styleId="ListChar">
    <w:name w:val="List Char"/>
    <w:link w:val="List"/>
    <w:uiPriority w:val="99"/>
    <w:locked/>
    <w:rsid w:val="00775784"/>
    <w:rPr>
      <w:rFonts w:ascii="Arial" w:hAnsi="Arial"/>
      <w:spacing w:val="-5"/>
      <w:lang w:eastAsia="en-US"/>
    </w:rPr>
  </w:style>
  <w:style w:type="paragraph" w:customStyle="1" w:styleId="1ff8">
    <w:name w:val="Абзац списка1"/>
    <w:uiPriority w:val="99"/>
    <w:rsid w:val="00775784"/>
    <w:pPr>
      <w:widowControl w:val="0"/>
      <w:suppressAutoHyphens/>
      <w:ind w:left="720"/>
    </w:pPr>
    <w:rPr>
      <w:rFonts w:eastAsia="Arial Unicode MS" w:cs="Tahoma"/>
      <w:color w:val="000000"/>
      <w:sz w:val="24"/>
      <w:szCs w:val="24"/>
      <w:lang w:val="en-US" w:eastAsia="en-US"/>
    </w:rPr>
  </w:style>
  <w:style w:type="paragraph" w:customStyle="1" w:styleId="1ff9">
    <w:name w:val="Без интервала1"/>
    <w:uiPriority w:val="99"/>
    <w:rsid w:val="00775784"/>
    <w:rPr>
      <w:rFonts w:ascii="Cambria" w:eastAsia="MS Mincho" w:hAnsi="Cambria"/>
      <w:sz w:val="24"/>
      <w:szCs w:val="24"/>
      <w:lang w:val="en-US"/>
    </w:rPr>
  </w:style>
  <w:style w:type="paragraph" w:customStyle="1" w:styleId="6">
    <w:name w:val="заголовок 6"/>
    <w:basedOn w:val="Normal"/>
    <w:next w:val="Normal"/>
    <w:uiPriority w:val="99"/>
    <w:rsid w:val="00775784"/>
    <w:pPr>
      <w:keepNext/>
      <w:autoSpaceDE w:val="0"/>
      <w:autoSpaceDN w:val="0"/>
      <w:spacing w:after="0" w:line="240" w:lineRule="auto"/>
      <w:jc w:val="center"/>
    </w:pPr>
    <w:rPr>
      <w:rFonts w:ascii="Courier New" w:hAnsi="Courier New" w:cs="Courier New"/>
      <w:sz w:val="24"/>
      <w:szCs w:val="24"/>
      <w:lang w:val="en-US"/>
    </w:rPr>
  </w:style>
  <w:style w:type="paragraph" w:customStyle="1" w:styleId="1ffa">
    <w:name w:val="Стиль подчеркивание по ширине Первая строка:  1 см"/>
    <w:basedOn w:val="Normal"/>
    <w:uiPriority w:val="99"/>
    <w:rsid w:val="00775784"/>
    <w:pPr>
      <w:spacing w:after="0" w:line="240" w:lineRule="auto"/>
      <w:ind w:firstLine="567"/>
    </w:pPr>
    <w:rPr>
      <w:rFonts w:ascii="Times New Roman" w:hAnsi="Times New Roman"/>
      <w:sz w:val="24"/>
      <w:szCs w:val="20"/>
      <w:lang w:val="en-US"/>
    </w:rPr>
  </w:style>
  <w:style w:type="paragraph" w:customStyle="1" w:styleId="116">
    <w:name w:val="Стиль подчеркивание Первая строка:  11 см"/>
    <w:basedOn w:val="Normal"/>
    <w:uiPriority w:val="99"/>
    <w:rsid w:val="00775784"/>
    <w:pPr>
      <w:spacing w:after="0" w:line="240" w:lineRule="auto"/>
      <w:ind w:firstLine="624"/>
    </w:pPr>
    <w:rPr>
      <w:rFonts w:ascii="Times New Roman" w:hAnsi="Times New Roman"/>
      <w:sz w:val="24"/>
      <w:szCs w:val="20"/>
      <w:lang w:val="en-US"/>
    </w:rPr>
  </w:style>
  <w:style w:type="paragraph" w:customStyle="1" w:styleId="formattext0">
    <w:name w:val="formattext"/>
    <w:basedOn w:val="Normal"/>
    <w:uiPriority w:val="99"/>
    <w:rsid w:val="00775784"/>
    <w:pPr>
      <w:spacing w:before="100" w:beforeAutospacing="1" w:after="100" w:afterAutospacing="1" w:line="240" w:lineRule="auto"/>
    </w:pPr>
    <w:rPr>
      <w:rFonts w:ascii="Times New Roman" w:hAnsi="Times New Roman"/>
      <w:sz w:val="24"/>
      <w:szCs w:val="24"/>
      <w:lang w:val="en-US"/>
    </w:rPr>
  </w:style>
  <w:style w:type="paragraph" w:customStyle="1" w:styleId="afffffd">
    <w:name w:val="."/>
    <w:uiPriority w:val="99"/>
    <w:rsid w:val="00775784"/>
    <w:pPr>
      <w:widowControl w:val="0"/>
      <w:autoSpaceDE w:val="0"/>
      <w:autoSpaceDN w:val="0"/>
      <w:adjustRightInd w:val="0"/>
    </w:pPr>
    <w:rPr>
      <w:sz w:val="24"/>
      <w:szCs w:val="24"/>
      <w:lang w:val="en-US"/>
    </w:rPr>
  </w:style>
  <w:style w:type="paragraph" w:customStyle="1" w:styleId="HEADERTEXT">
    <w:name w:val=".HEADERTEXT"/>
    <w:uiPriority w:val="99"/>
    <w:rsid w:val="00775784"/>
    <w:pPr>
      <w:widowControl w:val="0"/>
      <w:autoSpaceDE w:val="0"/>
      <w:autoSpaceDN w:val="0"/>
      <w:adjustRightInd w:val="0"/>
    </w:pPr>
    <w:rPr>
      <w:color w:val="2B4279"/>
      <w:sz w:val="24"/>
      <w:szCs w:val="24"/>
      <w:lang w:val="en-US"/>
    </w:rPr>
  </w:style>
  <w:style w:type="paragraph" w:customStyle="1" w:styleId="afffffe">
    <w:name w:val="Примечание"/>
    <w:basedOn w:val="Normal"/>
    <w:uiPriority w:val="99"/>
    <w:rsid w:val="00775784"/>
    <w:pPr>
      <w:widowControl w:val="0"/>
      <w:shd w:val="clear" w:color="auto" w:fill="FFFFFF"/>
      <w:autoSpaceDE w:val="0"/>
      <w:autoSpaceDN w:val="0"/>
      <w:adjustRightInd w:val="0"/>
      <w:spacing w:before="120" w:after="120" w:line="240" w:lineRule="auto"/>
      <w:ind w:firstLine="284"/>
    </w:pPr>
    <w:rPr>
      <w:rFonts w:ascii="Times New Roman" w:hAnsi="Times New Roman"/>
      <w:sz w:val="20"/>
      <w:szCs w:val="20"/>
      <w:lang w:val="en-US"/>
    </w:rPr>
  </w:style>
  <w:style w:type="paragraph" w:customStyle="1" w:styleId="affffff">
    <w:name w:val="табл_строка"/>
    <w:basedOn w:val="BodyText"/>
    <w:link w:val="affffff0"/>
    <w:uiPriority w:val="99"/>
    <w:rsid w:val="00775784"/>
    <w:pPr>
      <w:spacing w:before="120"/>
      <w:jc w:val="center"/>
    </w:pPr>
    <w:rPr>
      <w:sz w:val="24"/>
      <w:lang w:val="en-US" w:eastAsia="ko-KR"/>
    </w:rPr>
  </w:style>
  <w:style w:type="character" w:customStyle="1" w:styleId="affffff0">
    <w:name w:val="табл_строка Знак"/>
    <w:link w:val="affffff"/>
    <w:uiPriority w:val="99"/>
    <w:locked/>
    <w:rsid w:val="00775784"/>
    <w:rPr>
      <w:sz w:val="24"/>
      <w:lang w:val="en-US"/>
    </w:rPr>
  </w:style>
  <w:style w:type="paragraph" w:customStyle="1" w:styleId="affffff1">
    <w:name w:val="табл_заголовок"/>
    <w:uiPriority w:val="99"/>
    <w:rsid w:val="00775784"/>
    <w:pPr>
      <w:keepNext/>
      <w:keepLines/>
      <w:jc w:val="center"/>
    </w:pPr>
    <w:rPr>
      <w:noProof/>
      <w:sz w:val="24"/>
      <w:szCs w:val="20"/>
      <w:lang w:val="en-US"/>
    </w:rPr>
  </w:style>
  <w:style w:type="paragraph" w:customStyle="1" w:styleId="affffff2">
    <w:name w:val="табл_название"/>
    <w:next w:val="affffff"/>
    <w:uiPriority w:val="99"/>
    <w:rsid w:val="00775784"/>
    <w:pPr>
      <w:keepNext/>
      <w:widowControl w:val="0"/>
      <w:spacing w:before="120" w:after="120"/>
      <w:jc w:val="center"/>
    </w:pPr>
    <w:rPr>
      <w:b/>
      <w:sz w:val="24"/>
      <w:szCs w:val="20"/>
      <w:lang w:val="en-US"/>
    </w:rPr>
  </w:style>
  <w:style w:type="paragraph" w:customStyle="1" w:styleId="affffff3">
    <w:name w:val="Основной текст продолжение"/>
    <w:basedOn w:val="BodyText"/>
    <w:next w:val="BodyText"/>
    <w:uiPriority w:val="99"/>
    <w:rsid w:val="00775784"/>
    <w:pPr>
      <w:spacing w:before="120"/>
      <w:jc w:val="left"/>
    </w:pPr>
    <w:rPr>
      <w:sz w:val="24"/>
      <w:lang w:val="en-US"/>
    </w:rPr>
  </w:style>
  <w:style w:type="character" w:customStyle="1" w:styleId="WW-Absatz-Standardschriftart1">
    <w:name w:val="WW-Absatz-Standardschriftart1"/>
    <w:uiPriority w:val="99"/>
    <w:rsid w:val="00775784"/>
  </w:style>
  <w:style w:type="character" w:customStyle="1" w:styleId="WW-Absatz-Standardschriftart11">
    <w:name w:val="WW-Absatz-Standardschriftart11"/>
    <w:uiPriority w:val="99"/>
    <w:rsid w:val="00775784"/>
  </w:style>
  <w:style w:type="character" w:customStyle="1" w:styleId="WW8Num8z0">
    <w:name w:val="WW8Num8z0"/>
    <w:uiPriority w:val="99"/>
    <w:rsid w:val="00775784"/>
    <w:rPr>
      <w:rFonts w:ascii="Symbol" w:hAnsi="Symbol"/>
      <w:sz w:val="18"/>
    </w:rPr>
  </w:style>
  <w:style w:type="character" w:customStyle="1" w:styleId="WW-Absatz-Standardschriftart111">
    <w:name w:val="WW-Absatz-Standardschriftart111"/>
    <w:uiPriority w:val="99"/>
    <w:rsid w:val="00775784"/>
  </w:style>
  <w:style w:type="character" w:customStyle="1" w:styleId="WW-Absatz-Standardschriftart1111">
    <w:name w:val="WW-Absatz-Standardschriftart1111"/>
    <w:uiPriority w:val="99"/>
    <w:rsid w:val="00775784"/>
  </w:style>
  <w:style w:type="character" w:customStyle="1" w:styleId="WW-Absatz-Standardschriftart11111">
    <w:name w:val="WW-Absatz-Standardschriftart11111"/>
    <w:uiPriority w:val="99"/>
    <w:rsid w:val="00775784"/>
  </w:style>
  <w:style w:type="character" w:customStyle="1" w:styleId="WW-Absatz-Standardschriftart111111">
    <w:name w:val="WW-Absatz-Standardschriftart111111"/>
    <w:uiPriority w:val="99"/>
    <w:rsid w:val="00775784"/>
  </w:style>
  <w:style w:type="character" w:customStyle="1" w:styleId="WW-Absatz-Standardschriftart1111111">
    <w:name w:val="WW-Absatz-Standardschriftart1111111"/>
    <w:uiPriority w:val="99"/>
    <w:rsid w:val="00775784"/>
  </w:style>
  <w:style w:type="character" w:customStyle="1" w:styleId="WW-Absatz-Standardschriftart11111111">
    <w:name w:val="WW-Absatz-Standardschriftart11111111"/>
    <w:uiPriority w:val="99"/>
    <w:rsid w:val="00775784"/>
  </w:style>
  <w:style w:type="character" w:customStyle="1" w:styleId="WW-Absatz-Standardschriftart111111111">
    <w:name w:val="WW-Absatz-Standardschriftart111111111"/>
    <w:uiPriority w:val="99"/>
    <w:rsid w:val="00775784"/>
  </w:style>
  <w:style w:type="character" w:customStyle="1" w:styleId="WW-Absatz-Standardschriftart1111111111">
    <w:name w:val="WW-Absatz-Standardschriftart1111111111"/>
    <w:uiPriority w:val="99"/>
    <w:rsid w:val="00775784"/>
  </w:style>
  <w:style w:type="character" w:customStyle="1" w:styleId="WW-Absatz-Standardschriftart11111111111">
    <w:name w:val="WW-Absatz-Standardschriftart11111111111"/>
    <w:uiPriority w:val="99"/>
    <w:rsid w:val="00775784"/>
  </w:style>
  <w:style w:type="character" w:customStyle="1" w:styleId="WW-Absatz-Standardschriftart111111111111">
    <w:name w:val="WW-Absatz-Standardschriftart111111111111"/>
    <w:uiPriority w:val="99"/>
    <w:rsid w:val="00775784"/>
  </w:style>
  <w:style w:type="character" w:customStyle="1" w:styleId="WW-Absatz-Standardschriftart1111111111111">
    <w:name w:val="WW-Absatz-Standardschriftart1111111111111"/>
    <w:uiPriority w:val="99"/>
    <w:rsid w:val="00775784"/>
  </w:style>
  <w:style w:type="character" w:customStyle="1" w:styleId="WW-Absatz-Standardschriftart11111111111111">
    <w:name w:val="WW-Absatz-Standardschriftart11111111111111"/>
    <w:uiPriority w:val="99"/>
    <w:rsid w:val="00775784"/>
  </w:style>
  <w:style w:type="character" w:customStyle="1" w:styleId="WW-Absatz-Standardschriftart111111111111111">
    <w:name w:val="WW-Absatz-Standardschriftart111111111111111"/>
    <w:uiPriority w:val="99"/>
    <w:rsid w:val="00775784"/>
  </w:style>
  <w:style w:type="character" w:customStyle="1" w:styleId="WW-Absatz-Standardschriftart1111111111111111">
    <w:name w:val="WW-Absatz-Standardschriftart1111111111111111"/>
    <w:uiPriority w:val="99"/>
    <w:rsid w:val="00775784"/>
  </w:style>
  <w:style w:type="character" w:customStyle="1" w:styleId="WW-Absatz-Standardschriftart11111111111111111">
    <w:name w:val="WW-Absatz-Standardschriftart11111111111111111"/>
    <w:uiPriority w:val="99"/>
    <w:rsid w:val="00775784"/>
  </w:style>
  <w:style w:type="character" w:customStyle="1" w:styleId="WW-Absatz-Standardschriftart111111111111111111">
    <w:name w:val="WW-Absatz-Standardschriftart111111111111111111"/>
    <w:uiPriority w:val="99"/>
    <w:rsid w:val="00775784"/>
  </w:style>
  <w:style w:type="character" w:customStyle="1" w:styleId="WW-Absatz-Standardschriftart1111111111111111111">
    <w:name w:val="WW-Absatz-Standardschriftart1111111111111111111"/>
    <w:uiPriority w:val="99"/>
    <w:rsid w:val="00775784"/>
  </w:style>
  <w:style w:type="character" w:customStyle="1" w:styleId="WW-Absatz-Standardschriftart11111111111111111111">
    <w:name w:val="WW-Absatz-Standardschriftart11111111111111111111"/>
    <w:uiPriority w:val="99"/>
    <w:rsid w:val="00775784"/>
  </w:style>
  <w:style w:type="character" w:customStyle="1" w:styleId="WW-Absatz-Standardschriftart111111111111111111111">
    <w:name w:val="WW-Absatz-Standardschriftart111111111111111111111"/>
    <w:uiPriority w:val="99"/>
    <w:rsid w:val="00775784"/>
  </w:style>
  <w:style w:type="character" w:customStyle="1" w:styleId="WW-Absatz-Standardschriftart1111111111111111111111">
    <w:name w:val="WW-Absatz-Standardschriftart1111111111111111111111"/>
    <w:uiPriority w:val="99"/>
    <w:rsid w:val="00775784"/>
  </w:style>
  <w:style w:type="character" w:customStyle="1" w:styleId="WW-Absatz-Standardschriftart11111111111111111111111">
    <w:name w:val="WW-Absatz-Standardschriftart11111111111111111111111"/>
    <w:uiPriority w:val="99"/>
    <w:rsid w:val="00775784"/>
  </w:style>
  <w:style w:type="character" w:customStyle="1" w:styleId="WW-Absatz-Standardschriftart111111111111111111111111">
    <w:name w:val="WW-Absatz-Standardschriftart111111111111111111111111"/>
    <w:uiPriority w:val="99"/>
    <w:rsid w:val="00775784"/>
  </w:style>
  <w:style w:type="character" w:customStyle="1" w:styleId="WW-Absatz-Standardschriftart1111111111111111111111111">
    <w:name w:val="WW-Absatz-Standardschriftart1111111111111111111111111"/>
    <w:uiPriority w:val="99"/>
    <w:rsid w:val="00775784"/>
  </w:style>
  <w:style w:type="character" w:customStyle="1" w:styleId="WW-Absatz-Standardschriftart11111111111111111111111111">
    <w:name w:val="WW-Absatz-Standardschriftart11111111111111111111111111"/>
    <w:uiPriority w:val="99"/>
    <w:rsid w:val="00775784"/>
  </w:style>
  <w:style w:type="character" w:customStyle="1" w:styleId="WW-Absatz-Standardschriftart111111111111111111111111111">
    <w:name w:val="WW-Absatz-Standardschriftart111111111111111111111111111"/>
    <w:uiPriority w:val="99"/>
    <w:rsid w:val="00775784"/>
  </w:style>
  <w:style w:type="character" w:customStyle="1" w:styleId="WW-Absatz-Standardschriftart1111111111111111111111111111">
    <w:name w:val="WW-Absatz-Standardschriftart1111111111111111111111111111"/>
    <w:uiPriority w:val="99"/>
    <w:rsid w:val="00775784"/>
  </w:style>
  <w:style w:type="character" w:customStyle="1" w:styleId="WW-Absatz-Standardschriftart11111111111111111111111111111">
    <w:name w:val="WW-Absatz-Standardschriftart11111111111111111111111111111"/>
    <w:uiPriority w:val="99"/>
    <w:rsid w:val="00775784"/>
  </w:style>
  <w:style w:type="character" w:customStyle="1" w:styleId="WW-Absatz-Standardschriftart111111111111111111111111111111">
    <w:name w:val="WW-Absatz-Standardschriftart111111111111111111111111111111"/>
    <w:uiPriority w:val="99"/>
    <w:rsid w:val="00775784"/>
  </w:style>
  <w:style w:type="character" w:customStyle="1" w:styleId="WW-Absatz-Standardschriftart1111111111111111111111111111111">
    <w:name w:val="WW-Absatz-Standardschriftart1111111111111111111111111111111"/>
    <w:uiPriority w:val="99"/>
    <w:rsid w:val="00775784"/>
  </w:style>
  <w:style w:type="character" w:customStyle="1" w:styleId="WW-Absatz-Standardschriftart11111111111111111111111111111111">
    <w:name w:val="WW-Absatz-Standardschriftart11111111111111111111111111111111"/>
    <w:uiPriority w:val="99"/>
    <w:rsid w:val="00775784"/>
  </w:style>
  <w:style w:type="character" w:customStyle="1" w:styleId="WW-Absatz-Standardschriftart111111111111111111111111111111111">
    <w:name w:val="WW-Absatz-Standardschriftart111111111111111111111111111111111"/>
    <w:uiPriority w:val="99"/>
    <w:rsid w:val="00775784"/>
  </w:style>
  <w:style w:type="character" w:customStyle="1" w:styleId="WW-Absatz-Standardschriftart1111111111111111111111111111111111">
    <w:name w:val="WW-Absatz-Standardschriftart1111111111111111111111111111111111"/>
    <w:uiPriority w:val="99"/>
    <w:rsid w:val="00775784"/>
  </w:style>
  <w:style w:type="character" w:customStyle="1" w:styleId="WW-Absatz-Standardschriftart11111111111111111111111111111111111">
    <w:name w:val="WW-Absatz-Standardschriftart11111111111111111111111111111111111"/>
    <w:uiPriority w:val="99"/>
    <w:rsid w:val="00775784"/>
  </w:style>
  <w:style w:type="character" w:customStyle="1" w:styleId="WW-Absatz-Standardschriftart111111111111111111111111111111111111">
    <w:name w:val="WW-Absatz-Standardschriftart111111111111111111111111111111111111"/>
    <w:uiPriority w:val="99"/>
    <w:rsid w:val="00775784"/>
  </w:style>
  <w:style w:type="character" w:customStyle="1" w:styleId="WW-Absatz-Standardschriftart1111111111111111111111111111111111111">
    <w:name w:val="WW-Absatz-Standardschriftart1111111111111111111111111111111111111"/>
    <w:uiPriority w:val="99"/>
    <w:rsid w:val="00775784"/>
  </w:style>
  <w:style w:type="character" w:customStyle="1" w:styleId="WW-Absatz-Standardschriftart11111111111111111111111111111111111111">
    <w:name w:val="WW-Absatz-Standardschriftart11111111111111111111111111111111111111"/>
    <w:uiPriority w:val="99"/>
    <w:rsid w:val="00775784"/>
  </w:style>
  <w:style w:type="character" w:customStyle="1" w:styleId="WW-Absatz-Standardschriftart111111111111111111111111111111111111111">
    <w:name w:val="WW-Absatz-Standardschriftart111111111111111111111111111111111111111"/>
    <w:uiPriority w:val="99"/>
    <w:rsid w:val="00775784"/>
  </w:style>
  <w:style w:type="character" w:customStyle="1" w:styleId="WW-Absatz-Standardschriftart1111111111111111111111111111111111111111">
    <w:name w:val="WW-Absatz-Standardschriftart1111111111111111111111111111111111111111"/>
    <w:uiPriority w:val="99"/>
    <w:rsid w:val="00775784"/>
  </w:style>
  <w:style w:type="character" w:customStyle="1" w:styleId="WW-Absatz-Standardschriftart11111111111111111111111111111111111111111">
    <w:name w:val="WW-Absatz-Standardschriftart11111111111111111111111111111111111111111"/>
    <w:uiPriority w:val="99"/>
    <w:rsid w:val="00775784"/>
  </w:style>
  <w:style w:type="character" w:customStyle="1" w:styleId="WW-Absatz-Standardschriftart111111111111111111111111111111111111111111">
    <w:name w:val="WW-Absatz-Standardschriftart111111111111111111111111111111111111111111"/>
    <w:uiPriority w:val="99"/>
    <w:rsid w:val="00775784"/>
  </w:style>
  <w:style w:type="character" w:customStyle="1" w:styleId="WW-Absatz-Standardschriftart1111111111111111111111111111111111111111111">
    <w:name w:val="WW-Absatz-Standardschriftart1111111111111111111111111111111111111111111"/>
    <w:uiPriority w:val="99"/>
    <w:rsid w:val="00775784"/>
  </w:style>
  <w:style w:type="character" w:customStyle="1" w:styleId="WW-Absatz-Standardschriftart11111111111111111111111111111111111111111111">
    <w:name w:val="WW-Absatz-Standardschriftart11111111111111111111111111111111111111111111"/>
    <w:uiPriority w:val="99"/>
    <w:rsid w:val="00775784"/>
  </w:style>
  <w:style w:type="character" w:customStyle="1" w:styleId="WW8Num1z0">
    <w:name w:val="WW8Num1z0"/>
    <w:uiPriority w:val="99"/>
    <w:rsid w:val="00775784"/>
    <w:rPr>
      <w:rFonts w:ascii="Symbol" w:hAnsi="Symbol"/>
    </w:rPr>
  </w:style>
  <w:style w:type="character" w:customStyle="1" w:styleId="WW8Num1z1">
    <w:name w:val="WW8Num1z1"/>
    <w:uiPriority w:val="99"/>
    <w:rsid w:val="00775784"/>
    <w:rPr>
      <w:rFonts w:ascii="Courier New" w:hAnsi="Courier New"/>
    </w:rPr>
  </w:style>
  <w:style w:type="character" w:customStyle="1" w:styleId="WW8Num1z2">
    <w:name w:val="WW8Num1z2"/>
    <w:uiPriority w:val="99"/>
    <w:rsid w:val="00775784"/>
    <w:rPr>
      <w:rFonts w:ascii="Wingdings" w:hAnsi="Wingdings"/>
    </w:rPr>
  </w:style>
  <w:style w:type="character" w:customStyle="1" w:styleId="101">
    <w:name w:val="Знак Знак10"/>
    <w:uiPriority w:val="99"/>
    <w:rsid w:val="00775784"/>
    <w:rPr>
      <w:rFonts w:ascii="Arial" w:hAnsi="Arial"/>
      <w:kern w:val="1"/>
      <w:sz w:val="32"/>
      <w:lang w:val="en-US"/>
    </w:rPr>
  </w:style>
  <w:style w:type="character" w:customStyle="1" w:styleId="9">
    <w:name w:val="Знак Знак9"/>
    <w:uiPriority w:val="99"/>
    <w:rsid w:val="00775784"/>
    <w:rPr>
      <w:rFonts w:ascii="Arial" w:hAnsi="Arial"/>
      <w:sz w:val="28"/>
    </w:rPr>
  </w:style>
  <w:style w:type="character" w:customStyle="1" w:styleId="8">
    <w:name w:val="Знак Знак8"/>
    <w:uiPriority w:val="99"/>
    <w:rsid w:val="00775784"/>
    <w:rPr>
      <w:rFonts w:ascii="Arial" w:hAnsi="Arial"/>
      <w:i/>
      <w:sz w:val="26"/>
      <w:lang w:val="en-US"/>
    </w:rPr>
  </w:style>
  <w:style w:type="character" w:customStyle="1" w:styleId="7">
    <w:name w:val="Знак Знак7"/>
    <w:uiPriority w:val="99"/>
    <w:rsid w:val="00775784"/>
    <w:rPr>
      <w:b/>
      <w:sz w:val="28"/>
    </w:rPr>
  </w:style>
  <w:style w:type="character" w:customStyle="1" w:styleId="60">
    <w:name w:val="Знак Знак6"/>
    <w:uiPriority w:val="99"/>
    <w:rsid w:val="00775784"/>
    <w:rPr>
      <w:b/>
      <w:i/>
      <w:sz w:val="26"/>
    </w:rPr>
  </w:style>
  <w:style w:type="character" w:customStyle="1" w:styleId="5">
    <w:name w:val="Знак Знак5"/>
    <w:uiPriority w:val="99"/>
    <w:rsid w:val="00775784"/>
    <w:rPr>
      <w:b/>
    </w:rPr>
  </w:style>
  <w:style w:type="character" w:customStyle="1" w:styleId="41">
    <w:name w:val="Знак Знак4"/>
    <w:uiPriority w:val="99"/>
    <w:rsid w:val="00775784"/>
    <w:rPr>
      <w:sz w:val="24"/>
    </w:rPr>
  </w:style>
  <w:style w:type="character" w:customStyle="1" w:styleId="affffff4">
    <w:name w:val="Символ нумерации"/>
    <w:uiPriority w:val="99"/>
    <w:rsid w:val="00775784"/>
  </w:style>
  <w:style w:type="character" w:customStyle="1" w:styleId="affffff5">
    <w:name w:val="Маркеры списка"/>
    <w:uiPriority w:val="99"/>
    <w:rsid w:val="00775784"/>
    <w:rPr>
      <w:rFonts w:ascii="OpenSymbol" w:hAnsi="OpenSymbol"/>
    </w:rPr>
  </w:style>
  <w:style w:type="paragraph" w:customStyle="1" w:styleId="Textbodyindent">
    <w:name w:val="Text body indent"/>
    <w:basedOn w:val="Normal"/>
    <w:uiPriority w:val="99"/>
    <w:rsid w:val="00775784"/>
    <w:pPr>
      <w:widowControl w:val="0"/>
      <w:suppressAutoHyphens/>
      <w:autoSpaceDN w:val="0"/>
      <w:spacing w:after="0" w:line="240" w:lineRule="auto"/>
      <w:ind w:right="43" w:firstLine="851"/>
      <w:jc w:val="center"/>
      <w:textAlignment w:val="baseline"/>
    </w:pPr>
    <w:rPr>
      <w:rFonts w:ascii="Times New Roman" w:hAnsi="Times New Roman" w:cs="Tahoma"/>
      <w:kern w:val="3"/>
      <w:sz w:val="28"/>
      <w:szCs w:val="24"/>
      <w:lang w:val="en-US"/>
    </w:rPr>
  </w:style>
  <w:style w:type="paragraph" w:customStyle="1" w:styleId="Textbody">
    <w:name w:val="Text body"/>
    <w:basedOn w:val="Normal"/>
    <w:uiPriority w:val="99"/>
    <w:rsid w:val="00775784"/>
    <w:pPr>
      <w:widowControl w:val="0"/>
      <w:suppressAutoHyphens/>
      <w:autoSpaceDN w:val="0"/>
      <w:spacing w:after="120" w:line="240" w:lineRule="auto"/>
      <w:textAlignment w:val="baseline"/>
    </w:pPr>
    <w:rPr>
      <w:rFonts w:ascii="Times New Roman" w:hAnsi="Times New Roman" w:cs="Tahoma"/>
      <w:kern w:val="3"/>
      <w:sz w:val="24"/>
      <w:szCs w:val="24"/>
      <w:lang w:val="en-US"/>
    </w:rPr>
  </w:style>
  <w:style w:type="paragraph" w:customStyle="1" w:styleId="headertext0">
    <w:name w:val="headertext"/>
    <w:basedOn w:val="Normal"/>
    <w:uiPriority w:val="99"/>
    <w:rsid w:val="00775784"/>
    <w:pPr>
      <w:spacing w:before="100" w:beforeAutospacing="1" w:after="100" w:afterAutospacing="1" w:line="240" w:lineRule="auto"/>
    </w:pPr>
    <w:rPr>
      <w:rFonts w:ascii="Times New Roman" w:hAnsi="Times New Roman"/>
      <w:sz w:val="24"/>
      <w:szCs w:val="24"/>
      <w:lang w:val="en-US"/>
    </w:rPr>
  </w:style>
  <w:style w:type="paragraph" w:customStyle="1" w:styleId="50">
    <w:name w:val="Обычный5"/>
    <w:uiPriority w:val="99"/>
    <w:rsid w:val="00775784"/>
    <w:pPr>
      <w:snapToGrid w:val="0"/>
    </w:pPr>
    <w:rPr>
      <w:szCs w:val="20"/>
      <w:lang w:val="en-US"/>
    </w:rPr>
  </w:style>
  <w:style w:type="paragraph" w:customStyle="1" w:styleId="240">
    <w:name w:val="Основной текст 24"/>
    <w:basedOn w:val="Normal"/>
    <w:uiPriority w:val="99"/>
    <w:rsid w:val="00775784"/>
    <w:pPr>
      <w:overflowPunct w:val="0"/>
      <w:autoSpaceDE w:val="0"/>
      <w:autoSpaceDN w:val="0"/>
      <w:adjustRightInd w:val="0"/>
      <w:spacing w:after="0" w:line="240" w:lineRule="auto"/>
      <w:ind w:firstLine="720"/>
    </w:pPr>
    <w:rPr>
      <w:rFonts w:ascii="Times New Roman" w:hAnsi="Times New Roman"/>
      <w:sz w:val="28"/>
      <w:szCs w:val="20"/>
      <w:lang w:val="en-US"/>
    </w:rPr>
  </w:style>
  <w:style w:type="paragraph" w:customStyle="1" w:styleId="sightdescr">
    <w:name w:val="sight_descr"/>
    <w:basedOn w:val="Normal"/>
    <w:uiPriority w:val="99"/>
    <w:rsid w:val="00775784"/>
    <w:pPr>
      <w:spacing w:before="100" w:beforeAutospacing="1" w:after="100" w:afterAutospacing="1" w:line="240" w:lineRule="auto"/>
    </w:pPr>
    <w:rPr>
      <w:rFonts w:ascii="Times New Roman" w:hAnsi="Times New Roman"/>
      <w:sz w:val="24"/>
      <w:szCs w:val="24"/>
      <w:lang w:val="en-US"/>
    </w:rPr>
  </w:style>
  <w:style w:type="paragraph" w:customStyle="1" w:styleId="affffff6">
    <w:name w:val="Основной текст.Абзац"/>
    <w:basedOn w:val="Normal"/>
    <w:link w:val="affffff7"/>
    <w:uiPriority w:val="99"/>
    <w:rsid w:val="00775784"/>
    <w:pPr>
      <w:suppressAutoHyphens/>
      <w:spacing w:before="120" w:after="0" w:line="240" w:lineRule="auto"/>
      <w:ind w:firstLine="680"/>
    </w:pPr>
    <w:rPr>
      <w:sz w:val="20"/>
      <w:szCs w:val="20"/>
      <w:lang w:val="en-US"/>
    </w:rPr>
  </w:style>
  <w:style w:type="character" w:customStyle="1" w:styleId="affffff7">
    <w:name w:val="Основной текст.Абзац Знак"/>
    <w:link w:val="affffff6"/>
    <w:uiPriority w:val="99"/>
    <w:locked/>
    <w:rsid w:val="00775784"/>
    <w:rPr>
      <w:rFonts w:ascii="Calibri" w:hAnsi="Calibri"/>
      <w:lang w:val="en-US" w:eastAsia="en-US"/>
    </w:rPr>
  </w:style>
  <w:style w:type="character" w:customStyle="1" w:styleId="affffff8">
    <w:name w:val="Основной текст_"/>
    <w:uiPriority w:val="99"/>
    <w:rsid w:val="00775784"/>
    <w:rPr>
      <w:lang w:val="ru-RU" w:eastAsia="ru-RU"/>
    </w:rPr>
  </w:style>
  <w:style w:type="character" w:customStyle="1" w:styleId="affffff9">
    <w:name w:val="Текстовый Знак"/>
    <w:link w:val="affffffa"/>
    <w:uiPriority w:val="99"/>
    <w:locked/>
    <w:rsid w:val="00775784"/>
    <w:rPr>
      <w:rFonts w:ascii="Arial" w:hAnsi="Arial"/>
      <w:sz w:val="24"/>
    </w:rPr>
  </w:style>
  <w:style w:type="paragraph" w:customStyle="1" w:styleId="affffffa">
    <w:name w:val="Текстовый"/>
    <w:basedOn w:val="Normal"/>
    <w:link w:val="affffff9"/>
    <w:uiPriority w:val="99"/>
    <w:rsid w:val="00775784"/>
    <w:pPr>
      <w:widowControl w:val="0"/>
      <w:spacing w:after="0" w:line="300" w:lineRule="auto"/>
      <w:ind w:left="227" w:right="170" w:firstLine="567"/>
    </w:pPr>
    <w:rPr>
      <w:rFonts w:ascii="Arial" w:hAnsi="Arial"/>
      <w:sz w:val="24"/>
      <w:szCs w:val="20"/>
      <w:lang w:eastAsia="ko-KR"/>
    </w:rPr>
  </w:style>
  <w:style w:type="paragraph" w:customStyle="1" w:styleId="38">
    <w:name w:val="Титул3"/>
    <w:basedOn w:val="Normal"/>
    <w:uiPriority w:val="99"/>
    <w:rsid w:val="00775784"/>
    <w:pPr>
      <w:spacing w:after="0" w:line="240" w:lineRule="auto"/>
      <w:jc w:val="center"/>
    </w:pPr>
    <w:rPr>
      <w:rFonts w:ascii="Times New Roman" w:hAnsi="Times New Roman"/>
      <w:b/>
      <w:sz w:val="28"/>
      <w:szCs w:val="20"/>
      <w:lang w:val="en-US"/>
    </w:rPr>
  </w:style>
  <w:style w:type="character" w:customStyle="1" w:styleId="affffffb">
    <w:name w:val="таблица"/>
    <w:uiPriority w:val="99"/>
    <w:rsid w:val="00775784"/>
    <w:rPr>
      <w:rFonts w:ascii="Times New Roman" w:hAnsi="Times New Roman"/>
      <w:sz w:val="24"/>
    </w:rPr>
  </w:style>
  <w:style w:type="paragraph" w:customStyle="1" w:styleId="332">
    <w:name w:val="Основной текст с отступом 33"/>
    <w:basedOn w:val="Normal"/>
    <w:uiPriority w:val="99"/>
    <w:rsid w:val="00775784"/>
    <w:pPr>
      <w:overflowPunct w:val="0"/>
      <w:autoSpaceDE w:val="0"/>
      <w:autoSpaceDN w:val="0"/>
      <w:adjustRightInd w:val="0"/>
      <w:spacing w:after="0" w:line="240" w:lineRule="auto"/>
      <w:ind w:firstLine="567"/>
      <w:jc w:val="both"/>
      <w:textAlignment w:val="baseline"/>
    </w:pPr>
    <w:rPr>
      <w:rFonts w:ascii="Arial CYR" w:hAnsi="Arial CYR"/>
      <w:i/>
      <w:sz w:val="24"/>
      <w:szCs w:val="20"/>
      <w:lang w:eastAsia="ru-RU"/>
    </w:rPr>
  </w:style>
  <w:style w:type="character" w:customStyle="1" w:styleId="WW8Num3z1">
    <w:name w:val="WW8Num3z1"/>
    <w:uiPriority w:val="99"/>
    <w:rsid w:val="00775784"/>
    <w:rPr>
      <w:rFonts w:ascii="Courier New" w:hAnsi="Courier New"/>
    </w:rPr>
  </w:style>
  <w:style w:type="character" w:customStyle="1" w:styleId="WW8Num3z2">
    <w:name w:val="WW8Num3z2"/>
    <w:uiPriority w:val="99"/>
    <w:rsid w:val="00775784"/>
    <w:rPr>
      <w:rFonts w:ascii="Wingdings" w:hAnsi="Wingdings"/>
    </w:rPr>
  </w:style>
  <w:style w:type="character" w:customStyle="1" w:styleId="WW8Num5z1">
    <w:name w:val="WW8Num5z1"/>
    <w:uiPriority w:val="99"/>
    <w:rsid w:val="00775784"/>
    <w:rPr>
      <w:rFonts w:ascii="Courier New" w:hAnsi="Courier New"/>
    </w:rPr>
  </w:style>
  <w:style w:type="character" w:customStyle="1" w:styleId="WW8Num5z2">
    <w:name w:val="WW8Num5z2"/>
    <w:uiPriority w:val="99"/>
    <w:rsid w:val="00775784"/>
    <w:rPr>
      <w:rFonts w:ascii="Wingdings" w:hAnsi="Wingdings"/>
    </w:rPr>
  </w:style>
  <w:style w:type="character" w:customStyle="1" w:styleId="WW8Num9z1">
    <w:name w:val="WW8Num9z1"/>
    <w:uiPriority w:val="99"/>
    <w:rsid w:val="00775784"/>
    <w:rPr>
      <w:rFonts w:ascii="Courier New" w:hAnsi="Courier New"/>
    </w:rPr>
  </w:style>
  <w:style w:type="character" w:customStyle="1" w:styleId="WW8Num9z2">
    <w:name w:val="WW8Num9z2"/>
    <w:uiPriority w:val="99"/>
    <w:rsid w:val="00775784"/>
    <w:rPr>
      <w:rFonts w:ascii="Wingdings" w:hAnsi="Wingdings"/>
    </w:rPr>
  </w:style>
  <w:style w:type="character" w:customStyle="1" w:styleId="WW8Num9z3">
    <w:name w:val="WW8Num9z3"/>
    <w:uiPriority w:val="99"/>
    <w:rsid w:val="00775784"/>
    <w:rPr>
      <w:rFonts w:ascii="Symbol" w:hAnsi="Symbol"/>
    </w:rPr>
  </w:style>
  <w:style w:type="character" w:customStyle="1" w:styleId="WW8Num10z1">
    <w:name w:val="WW8Num10z1"/>
    <w:uiPriority w:val="99"/>
    <w:rsid w:val="00775784"/>
    <w:rPr>
      <w:rFonts w:ascii="Courier New" w:hAnsi="Courier New"/>
    </w:rPr>
  </w:style>
  <w:style w:type="character" w:customStyle="1" w:styleId="WW8Num10z2">
    <w:name w:val="WW8Num10z2"/>
    <w:uiPriority w:val="99"/>
    <w:rsid w:val="00775784"/>
    <w:rPr>
      <w:rFonts w:ascii="Wingdings" w:hAnsi="Wingdings"/>
    </w:rPr>
  </w:style>
  <w:style w:type="character" w:customStyle="1" w:styleId="WW8Num16z3">
    <w:name w:val="WW8Num16z3"/>
    <w:uiPriority w:val="99"/>
    <w:rsid w:val="00775784"/>
    <w:rPr>
      <w:rFonts w:ascii="Symbol" w:hAnsi="Symbol"/>
    </w:rPr>
  </w:style>
  <w:style w:type="character" w:customStyle="1" w:styleId="WW8Num28z1">
    <w:name w:val="WW8Num28z1"/>
    <w:uiPriority w:val="99"/>
    <w:rsid w:val="00775784"/>
    <w:rPr>
      <w:rFonts w:ascii="Courier New" w:hAnsi="Courier New"/>
    </w:rPr>
  </w:style>
  <w:style w:type="character" w:customStyle="1" w:styleId="WW8Num28z2">
    <w:name w:val="WW8Num28z2"/>
    <w:uiPriority w:val="99"/>
    <w:rsid w:val="00775784"/>
    <w:rPr>
      <w:rFonts w:ascii="Wingdings" w:hAnsi="Wingdings"/>
    </w:rPr>
  </w:style>
  <w:style w:type="character" w:customStyle="1" w:styleId="WW8Num31z1">
    <w:name w:val="WW8Num31z1"/>
    <w:uiPriority w:val="99"/>
    <w:rsid w:val="00775784"/>
    <w:rPr>
      <w:rFonts w:ascii="Courier New" w:hAnsi="Courier New"/>
    </w:rPr>
  </w:style>
  <w:style w:type="character" w:customStyle="1" w:styleId="WW8Num31z2">
    <w:name w:val="WW8Num31z2"/>
    <w:uiPriority w:val="99"/>
    <w:rsid w:val="00775784"/>
    <w:rPr>
      <w:rFonts w:ascii="Wingdings" w:hAnsi="Wingdings"/>
    </w:rPr>
  </w:style>
  <w:style w:type="character" w:customStyle="1" w:styleId="WW8Num35z1">
    <w:name w:val="WW8Num35z1"/>
    <w:uiPriority w:val="99"/>
    <w:rsid w:val="00775784"/>
    <w:rPr>
      <w:rFonts w:ascii="Courier New" w:hAnsi="Courier New"/>
    </w:rPr>
  </w:style>
  <w:style w:type="character" w:customStyle="1" w:styleId="WW8Num35z2">
    <w:name w:val="WW8Num35z2"/>
    <w:uiPriority w:val="99"/>
    <w:rsid w:val="00775784"/>
    <w:rPr>
      <w:rFonts w:ascii="Wingdings" w:hAnsi="Wingdings"/>
    </w:rPr>
  </w:style>
  <w:style w:type="character" w:customStyle="1" w:styleId="WW8Num38z1">
    <w:name w:val="WW8Num38z1"/>
    <w:uiPriority w:val="99"/>
    <w:rsid w:val="00775784"/>
    <w:rPr>
      <w:rFonts w:ascii="Courier New" w:hAnsi="Courier New"/>
    </w:rPr>
  </w:style>
  <w:style w:type="character" w:customStyle="1" w:styleId="WW8Num38z2">
    <w:name w:val="WW8Num38z2"/>
    <w:uiPriority w:val="99"/>
    <w:rsid w:val="00775784"/>
    <w:rPr>
      <w:rFonts w:ascii="Wingdings" w:hAnsi="Wingdings"/>
    </w:rPr>
  </w:style>
  <w:style w:type="character" w:customStyle="1" w:styleId="WW8Num42z1">
    <w:name w:val="WW8Num42z1"/>
    <w:uiPriority w:val="99"/>
    <w:rsid w:val="00775784"/>
    <w:rPr>
      <w:rFonts w:ascii="Courier New" w:hAnsi="Courier New"/>
    </w:rPr>
  </w:style>
  <w:style w:type="character" w:customStyle="1" w:styleId="WW8Num42z2">
    <w:name w:val="WW8Num42z2"/>
    <w:uiPriority w:val="99"/>
    <w:rsid w:val="00775784"/>
    <w:rPr>
      <w:rFonts w:ascii="Wingdings" w:hAnsi="Wingdings"/>
    </w:rPr>
  </w:style>
  <w:style w:type="character" w:customStyle="1" w:styleId="WW8Num45z1">
    <w:name w:val="WW8Num45z1"/>
    <w:uiPriority w:val="99"/>
    <w:rsid w:val="00775784"/>
    <w:rPr>
      <w:rFonts w:ascii="Courier New" w:hAnsi="Courier New"/>
    </w:rPr>
  </w:style>
  <w:style w:type="character" w:customStyle="1" w:styleId="WW8Num45z2">
    <w:name w:val="WW8Num45z2"/>
    <w:uiPriority w:val="99"/>
    <w:rsid w:val="00775784"/>
    <w:rPr>
      <w:rFonts w:ascii="Wingdings" w:hAnsi="Wingdings"/>
    </w:rPr>
  </w:style>
  <w:style w:type="character" w:customStyle="1" w:styleId="WW8Num47z4">
    <w:name w:val="WW8Num47z4"/>
    <w:uiPriority w:val="99"/>
    <w:rsid w:val="00775784"/>
    <w:rPr>
      <w:rFonts w:ascii="Courier New" w:hAnsi="Courier New"/>
    </w:rPr>
  </w:style>
  <w:style w:type="character" w:customStyle="1" w:styleId="WW8Num55z3">
    <w:name w:val="WW8Num55z3"/>
    <w:uiPriority w:val="99"/>
    <w:rsid w:val="00775784"/>
    <w:rPr>
      <w:rFonts w:ascii="Symbol" w:hAnsi="Symbol"/>
    </w:rPr>
  </w:style>
  <w:style w:type="character" w:customStyle="1" w:styleId="WW8Num56z1">
    <w:name w:val="WW8Num56z1"/>
    <w:uiPriority w:val="99"/>
    <w:rsid w:val="00775784"/>
    <w:rPr>
      <w:rFonts w:ascii="Courier New" w:hAnsi="Courier New"/>
    </w:rPr>
  </w:style>
  <w:style w:type="character" w:customStyle="1" w:styleId="WW8Num56z2">
    <w:name w:val="WW8Num56z2"/>
    <w:uiPriority w:val="99"/>
    <w:rsid w:val="00775784"/>
    <w:rPr>
      <w:rFonts w:ascii="Wingdings" w:hAnsi="Wingdings"/>
    </w:rPr>
  </w:style>
  <w:style w:type="character" w:customStyle="1" w:styleId="WW8Num57z1">
    <w:name w:val="WW8Num57z1"/>
    <w:uiPriority w:val="99"/>
    <w:rsid w:val="00775784"/>
    <w:rPr>
      <w:rFonts w:ascii="Courier New" w:hAnsi="Courier New"/>
    </w:rPr>
  </w:style>
  <w:style w:type="character" w:customStyle="1" w:styleId="WW8Num57z2">
    <w:name w:val="WW8Num57z2"/>
    <w:uiPriority w:val="99"/>
    <w:rsid w:val="00775784"/>
    <w:rPr>
      <w:rFonts w:ascii="Wingdings" w:hAnsi="Wingdings"/>
    </w:rPr>
  </w:style>
  <w:style w:type="character" w:customStyle="1" w:styleId="WW8Num60z1">
    <w:name w:val="WW8Num60z1"/>
    <w:uiPriority w:val="99"/>
    <w:rsid w:val="00775784"/>
    <w:rPr>
      <w:rFonts w:ascii="Symbol" w:hAnsi="Symbol"/>
    </w:rPr>
  </w:style>
  <w:style w:type="character" w:customStyle="1" w:styleId="affffffc">
    <w:name w:val="Основной стиль Знак"/>
    <w:uiPriority w:val="99"/>
    <w:rsid w:val="00775784"/>
    <w:rPr>
      <w:rFonts w:ascii="Arial" w:hAnsi="Arial"/>
      <w:sz w:val="28"/>
      <w:lang w:val="ru-RU" w:eastAsia="ar-SA" w:bidi="ar-SA"/>
    </w:rPr>
  </w:style>
  <w:style w:type="paragraph" w:customStyle="1" w:styleId="71">
    <w:name w:val="Указатель 71"/>
    <w:basedOn w:val="Normal"/>
    <w:next w:val="Normal"/>
    <w:uiPriority w:val="99"/>
    <w:rsid w:val="00775784"/>
    <w:pPr>
      <w:suppressAutoHyphens/>
      <w:spacing w:after="0" w:line="240" w:lineRule="auto"/>
      <w:ind w:left="1680" w:hanging="240"/>
    </w:pPr>
    <w:rPr>
      <w:rFonts w:ascii="Times New Roman" w:hAnsi="Times New Roman"/>
      <w:sz w:val="24"/>
      <w:szCs w:val="24"/>
      <w:lang w:eastAsia="ar-SA"/>
    </w:rPr>
  </w:style>
  <w:style w:type="paragraph" w:customStyle="1" w:styleId="241">
    <w:name w:val="Основной текст с отступом 24"/>
    <w:basedOn w:val="Normal"/>
    <w:uiPriority w:val="99"/>
    <w:rsid w:val="00775784"/>
    <w:pPr>
      <w:overflowPunct w:val="0"/>
      <w:autoSpaceDE w:val="0"/>
      <w:autoSpaceDN w:val="0"/>
      <w:adjustRightInd w:val="0"/>
      <w:spacing w:after="0" w:line="240" w:lineRule="auto"/>
      <w:ind w:left="567"/>
      <w:jc w:val="both"/>
      <w:textAlignment w:val="baseline"/>
    </w:pPr>
    <w:rPr>
      <w:rFonts w:ascii="Arial CYR" w:hAnsi="Arial CYR"/>
      <w:sz w:val="24"/>
      <w:szCs w:val="20"/>
      <w:lang w:eastAsia="ru-RU"/>
    </w:rPr>
  </w:style>
  <w:style w:type="paragraph" w:customStyle="1" w:styleId="section1">
    <w:name w:val="section1"/>
    <w:basedOn w:val="Normal"/>
    <w:uiPriority w:val="99"/>
    <w:rsid w:val="00775784"/>
    <w:pPr>
      <w:spacing w:before="100" w:beforeAutospacing="1" w:after="100" w:afterAutospacing="1" w:line="400" w:lineRule="atLeast"/>
    </w:pPr>
    <w:rPr>
      <w:rFonts w:ascii="Verdana" w:hAnsi="Verdana"/>
      <w:color w:val="656A6E"/>
      <w:sz w:val="24"/>
      <w:szCs w:val="24"/>
      <w:lang w:eastAsia="ru-RU"/>
    </w:rPr>
  </w:style>
  <w:style w:type="paragraph" w:customStyle="1" w:styleId="affffffd">
    <w:name w:val="Стиль По ширине"/>
    <w:basedOn w:val="Normal"/>
    <w:next w:val="Normal"/>
    <w:uiPriority w:val="99"/>
    <w:rsid w:val="00775784"/>
    <w:pPr>
      <w:spacing w:after="0" w:line="240" w:lineRule="auto"/>
      <w:jc w:val="both"/>
    </w:pPr>
    <w:rPr>
      <w:rFonts w:ascii="Times New Roman" w:hAnsi="Times New Roman"/>
      <w:sz w:val="24"/>
      <w:szCs w:val="20"/>
      <w:lang w:eastAsia="ru-RU"/>
    </w:rPr>
  </w:style>
  <w:style w:type="paragraph" w:customStyle="1" w:styleId="affffffe">
    <w:name w:val="Таблица_номер"/>
    <w:basedOn w:val="Normal"/>
    <w:autoRedefine/>
    <w:uiPriority w:val="99"/>
    <w:rsid w:val="00775784"/>
    <w:pPr>
      <w:spacing w:after="0" w:line="240" w:lineRule="auto"/>
      <w:jc w:val="right"/>
    </w:pPr>
    <w:rPr>
      <w:rFonts w:ascii="Arial" w:hAnsi="Arial" w:cs="Arial"/>
      <w:lang w:eastAsia="ru-RU"/>
    </w:rPr>
  </w:style>
  <w:style w:type="paragraph" w:customStyle="1" w:styleId="afffffff">
    <w:name w:val="Таблица_название"/>
    <w:basedOn w:val="Normal"/>
    <w:autoRedefine/>
    <w:uiPriority w:val="99"/>
    <w:rsid w:val="00775784"/>
    <w:pPr>
      <w:spacing w:before="120" w:after="120" w:line="240" w:lineRule="auto"/>
      <w:jc w:val="center"/>
    </w:pPr>
    <w:rPr>
      <w:rFonts w:ascii="Arial" w:hAnsi="Arial" w:cs="Arial"/>
      <w:b/>
      <w:sz w:val="24"/>
      <w:szCs w:val="24"/>
      <w:lang w:eastAsia="ru-RU"/>
    </w:rPr>
  </w:style>
  <w:style w:type="table" w:customStyle="1" w:styleId="TableNormal18">
    <w:name w:val="Table Normal18"/>
    <w:uiPriority w:val="99"/>
    <w:semiHidden/>
    <w:rsid w:val="00201390"/>
    <w:pPr>
      <w:widowControl w:val="0"/>
    </w:pPr>
    <w:rPr>
      <w:rFonts w:ascii="Calibri" w:hAnsi="Calibri"/>
      <w:lang w:val="en-US" w:eastAsia="en-US"/>
    </w:rPr>
    <w:tblPr>
      <w:tblInd w:w="0" w:type="dxa"/>
      <w:tblCellMar>
        <w:top w:w="0" w:type="dxa"/>
        <w:left w:w="0" w:type="dxa"/>
        <w:bottom w:w="0" w:type="dxa"/>
        <w:right w:w="0" w:type="dxa"/>
      </w:tblCellMar>
    </w:tblPr>
  </w:style>
  <w:style w:type="table" w:customStyle="1" w:styleId="TableNormal19">
    <w:name w:val="Table Normal19"/>
    <w:uiPriority w:val="99"/>
    <w:rsid w:val="00334AB7"/>
    <w:pPr>
      <w:widowControl w:val="0"/>
    </w:pPr>
    <w:rPr>
      <w:rFonts w:ascii="Calibri" w:hAnsi="Calibri"/>
      <w:lang w:val="en-US" w:eastAsia="en-US"/>
    </w:rPr>
    <w:tblPr>
      <w:tblInd w:w="0" w:type="dxa"/>
      <w:tblCellMar>
        <w:top w:w="0" w:type="dxa"/>
        <w:left w:w="0" w:type="dxa"/>
        <w:bottom w:w="0" w:type="dxa"/>
        <w:right w:w="0" w:type="dxa"/>
      </w:tblCellMar>
    </w:tblPr>
  </w:style>
  <w:style w:type="table" w:customStyle="1" w:styleId="TableNormal20">
    <w:name w:val="Table Normal20"/>
    <w:uiPriority w:val="99"/>
    <w:semiHidden/>
    <w:rsid w:val="006A30B7"/>
    <w:pPr>
      <w:widowControl w:val="0"/>
    </w:pPr>
    <w:rPr>
      <w:rFonts w:ascii="Calibri" w:hAnsi="Calibri"/>
      <w:lang w:val="en-US" w:eastAsia="en-US"/>
    </w:rPr>
    <w:tblPr>
      <w:tblInd w:w="0" w:type="dxa"/>
      <w:tblCellMar>
        <w:top w:w="0" w:type="dxa"/>
        <w:left w:w="0" w:type="dxa"/>
        <w:bottom w:w="0" w:type="dxa"/>
        <w:right w:w="0" w:type="dxa"/>
      </w:tblCellMar>
    </w:tblPr>
  </w:style>
  <w:style w:type="table" w:customStyle="1" w:styleId="TableNormal25">
    <w:name w:val="Table Normal25"/>
    <w:uiPriority w:val="99"/>
    <w:semiHidden/>
    <w:rsid w:val="003A7901"/>
    <w:pPr>
      <w:widowControl w:val="0"/>
    </w:pPr>
    <w:rPr>
      <w:rFonts w:ascii="Calibri" w:hAnsi="Calibri"/>
      <w:lang w:val="en-US" w:eastAsia="en-US"/>
    </w:rPr>
    <w:tblPr>
      <w:tblInd w:w="0" w:type="dxa"/>
      <w:tblCellMar>
        <w:top w:w="0" w:type="dxa"/>
        <w:left w:w="0" w:type="dxa"/>
        <w:bottom w:w="0" w:type="dxa"/>
        <w:right w:w="0" w:type="dxa"/>
      </w:tblCellMar>
    </w:tblPr>
  </w:style>
  <w:style w:type="table" w:customStyle="1" w:styleId="51">
    <w:name w:val="Сетка таблицы 51"/>
    <w:uiPriority w:val="99"/>
    <w:rsid w:val="003A7901"/>
    <w:rPr>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2">
    <w:name w:val="Сетка таблицы5"/>
    <w:uiPriority w:val="99"/>
    <w:locked/>
    <w:rsid w:val="003A7901"/>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
    <w:name w:val="Веб-таблица 11"/>
    <w:uiPriority w:val="99"/>
    <w:semiHidden/>
    <w:rsid w:val="003A7901"/>
    <w:rPr>
      <w:sz w:val="20"/>
      <w:szCs w:val="20"/>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
    <w:name w:val="Веб-таблица 21"/>
    <w:uiPriority w:val="99"/>
    <w:semiHidden/>
    <w:rsid w:val="003A7901"/>
    <w:rPr>
      <w:sz w:val="20"/>
      <w:szCs w:val="20"/>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
    <w:name w:val="Веб-таблица 31"/>
    <w:uiPriority w:val="99"/>
    <w:semiHidden/>
    <w:rsid w:val="003A7901"/>
    <w:rPr>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ffb">
    <w:name w:val="Изысканная таблица1"/>
    <w:uiPriority w:val="99"/>
    <w:semiHidden/>
    <w:rsid w:val="003A7901"/>
    <w:rPr>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7">
    <w:name w:val="Изящная таблица 11"/>
    <w:uiPriority w:val="99"/>
    <w:semiHidden/>
    <w:rsid w:val="003A7901"/>
    <w:rPr>
      <w:sz w:val="20"/>
      <w:szCs w:val="20"/>
    </w:rPr>
    <w:tblPr>
      <w:tblStyleRowBandSize w:val="1"/>
      <w:tblInd w:w="0" w:type="dxa"/>
      <w:tblCellMar>
        <w:top w:w="0" w:type="dxa"/>
        <w:left w:w="108" w:type="dxa"/>
        <w:bottom w:w="0" w:type="dxa"/>
        <w:right w:w="108" w:type="dxa"/>
      </w:tblCellMar>
    </w:tblPr>
  </w:style>
  <w:style w:type="table" w:customStyle="1" w:styleId="216">
    <w:name w:val="Изящная таблица 21"/>
    <w:uiPriority w:val="99"/>
    <w:semiHidden/>
    <w:rsid w:val="003A7901"/>
    <w:rPr>
      <w:sz w:val="20"/>
      <w:szCs w:val="20"/>
    </w:rPr>
    <w:tblPr>
      <w:tblInd w:w="0" w:type="dxa"/>
      <w:tblBorders>
        <w:left w:val="single" w:sz="6" w:space="0" w:color="000000"/>
        <w:right w:val="single" w:sz="6" w:space="0" w:color="000000"/>
      </w:tblBorders>
      <w:tblCellMar>
        <w:top w:w="0" w:type="dxa"/>
        <w:left w:w="108" w:type="dxa"/>
        <w:bottom w:w="0" w:type="dxa"/>
        <w:right w:w="108" w:type="dxa"/>
      </w:tblCellMar>
    </w:tblPr>
  </w:style>
  <w:style w:type="table" w:customStyle="1" w:styleId="118">
    <w:name w:val="Классическая таблица 11"/>
    <w:uiPriority w:val="99"/>
    <w:semiHidden/>
    <w:rsid w:val="003A7901"/>
    <w:rPr>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217">
    <w:name w:val="Классическая таблица 21"/>
    <w:uiPriority w:val="99"/>
    <w:semiHidden/>
    <w:rsid w:val="003A7901"/>
    <w:rPr>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318">
    <w:name w:val="Классическая таблица 31"/>
    <w:uiPriority w:val="99"/>
    <w:semiHidden/>
    <w:rsid w:val="003A7901"/>
    <w:rPr>
      <w:color w:val="000080"/>
      <w:sz w:val="20"/>
      <w:szCs w:val="2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10">
    <w:name w:val="Классическая таблица 41"/>
    <w:uiPriority w:val="99"/>
    <w:semiHidden/>
    <w:rsid w:val="003A7901"/>
    <w:rPr>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19">
    <w:name w:val="Объемная таблица 11"/>
    <w:uiPriority w:val="99"/>
    <w:semiHidden/>
    <w:rsid w:val="003A7901"/>
    <w:rPr>
      <w:sz w:val="20"/>
      <w:szCs w:val="20"/>
    </w:rPr>
    <w:tblPr>
      <w:tblInd w:w="0" w:type="dxa"/>
      <w:tblCellMar>
        <w:top w:w="0" w:type="dxa"/>
        <w:left w:w="108" w:type="dxa"/>
        <w:bottom w:w="0" w:type="dxa"/>
        <w:right w:w="108" w:type="dxa"/>
      </w:tblCellMar>
    </w:tblPr>
    <w:tcPr>
      <w:shd w:val="solid" w:color="C0C0C0" w:fill="FFFFFF"/>
    </w:tcPr>
  </w:style>
  <w:style w:type="table" w:customStyle="1" w:styleId="218">
    <w:name w:val="Объемная таблица 21"/>
    <w:uiPriority w:val="99"/>
    <w:semiHidden/>
    <w:rsid w:val="003A7901"/>
    <w:rPr>
      <w:sz w:val="20"/>
      <w:szCs w:val="20"/>
    </w:rPr>
    <w:tblPr>
      <w:tblStyleRowBandSize w:val="1"/>
      <w:tblInd w:w="0" w:type="dxa"/>
      <w:tblCellMar>
        <w:top w:w="0" w:type="dxa"/>
        <w:left w:w="108" w:type="dxa"/>
        <w:bottom w:w="0" w:type="dxa"/>
        <w:right w:w="108" w:type="dxa"/>
      </w:tblCellMar>
    </w:tblPr>
    <w:tcPr>
      <w:shd w:val="solid" w:color="C0C0C0" w:fill="FFFFFF"/>
    </w:tcPr>
  </w:style>
  <w:style w:type="table" w:customStyle="1" w:styleId="319">
    <w:name w:val="Объемная таблица 31"/>
    <w:uiPriority w:val="99"/>
    <w:semiHidden/>
    <w:rsid w:val="003A7901"/>
    <w:rPr>
      <w:sz w:val="20"/>
      <w:szCs w:val="20"/>
    </w:rPr>
    <w:tblPr>
      <w:tblStyleRowBandSize w:val="1"/>
      <w:tblStyleColBandSize w:val="1"/>
      <w:tblInd w:w="0" w:type="dxa"/>
      <w:tblCellMar>
        <w:top w:w="0" w:type="dxa"/>
        <w:left w:w="108" w:type="dxa"/>
        <w:bottom w:w="0" w:type="dxa"/>
        <w:right w:w="108" w:type="dxa"/>
      </w:tblCellMar>
    </w:tblPr>
  </w:style>
  <w:style w:type="table" w:customStyle="1" w:styleId="11a">
    <w:name w:val="Простая таблица 11"/>
    <w:uiPriority w:val="99"/>
    <w:semiHidden/>
    <w:rsid w:val="003A7901"/>
    <w:rPr>
      <w:sz w:val="20"/>
      <w:szCs w:val="20"/>
    </w:rPr>
    <w:tblPr>
      <w:tblInd w:w="0" w:type="dxa"/>
      <w:tblBorders>
        <w:top w:val="single" w:sz="12" w:space="0" w:color="008000"/>
        <w:bottom w:val="single" w:sz="12" w:space="0" w:color="008000"/>
      </w:tblBorders>
      <w:tblCellMar>
        <w:top w:w="0" w:type="dxa"/>
        <w:left w:w="108" w:type="dxa"/>
        <w:bottom w:w="0" w:type="dxa"/>
        <w:right w:w="108" w:type="dxa"/>
      </w:tblCellMar>
    </w:tblPr>
  </w:style>
  <w:style w:type="table" w:customStyle="1" w:styleId="219">
    <w:name w:val="Простая таблица 21"/>
    <w:uiPriority w:val="99"/>
    <w:semiHidden/>
    <w:rsid w:val="003A7901"/>
    <w:rPr>
      <w:sz w:val="20"/>
      <w:szCs w:val="20"/>
    </w:rPr>
    <w:tblPr>
      <w:tblInd w:w="0" w:type="dxa"/>
      <w:tblCellMar>
        <w:top w:w="0" w:type="dxa"/>
        <w:left w:w="108" w:type="dxa"/>
        <w:bottom w:w="0" w:type="dxa"/>
        <w:right w:w="108" w:type="dxa"/>
      </w:tblCellMar>
    </w:tblPr>
  </w:style>
  <w:style w:type="table" w:customStyle="1" w:styleId="31a">
    <w:name w:val="Простая таблица 31"/>
    <w:uiPriority w:val="99"/>
    <w:semiHidden/>
    <w:rsid w:val="003A7901"/>
    <w:rPr>
      <w:sz w:val="20"/>
      <w:szCs w:val="2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1b">
    <w:name w:val="Сетка таблицы 11"/>
    <w:uiPriority w:val="99"/>
    <w:semiHidden/>
    <w:rsid w:val="003A7901"/>
    <w:rPr>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1a">
    <w:name w:val="Сетка таблицы 21"/>
    <w:uiPriority w:val="99"/>
    <w:semiHidden/>
    <w:rsid w:val="003A7901"/>
    <w:rPr>
      <w:sz w:val="20"/>
      <w:szCs w:val="20"/>
    </w:rPr>
    <w:tblPr>
      <w:tblInd w:w="0" w:type="dxa"/>
      <w:tblBorders>
        <w:insideH w:val="single" w:sz="6" w:space="0" w:color="000000"/>
        <w:insideV w:val="single" w:sz="6" w:space="0" w:color="000000"/>
      </w:tblBorders>
      <w:tblCellMar>
        <w:top w:w="0" w:type="dxa"/>
        <w:left w:w="108" w:type="dxa"/>
        <w:bottom w:w="0" w:type="dxa"/>
        <w:right w:w="108" w:type="dxa"/>
      </w:tblCellMar>
    </w:tblPr>
  </w:style>
  <w:style w:type="table" w:customStyle="1" w:styleId="31b">
    <w:name w:val="Сетка таблицы 31"/>
    <w:uiPriority w:val="99"/>
    <w:semiHidden/>
    <w:rsid w:val="003A7901"/>
    <w:rPr>
      <w:sz w:val="20"/>
      <w:szCs w:val="20"/>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11">
    <w:name w:val="Сетка таблицы 41"/>
    <w:uiPriority w:val="99"/>
    <w:semiHidden/>
    <w:rsid w:val="003A7901"/>
    <w:rPr>
      <w:sz w:val="20"/>
      <w:szCs w:val="20"/>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1">
    <w:name w:val="Сетка таблицы 61"/>
    <w:uiPriority w:val="99"/>
    <w:semiHidden/>
    <w:rsid w:val="003A7901"/>
    <w:rPr>
      <w:sz w:val="20"/>
      <w:szCs w:val="20"/>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10">
    <w:name w:val="Сетка таблицы 71"/>
    <w:uiPriority w:val="99"/>
    <w:semiHidden/>
    <w:rsid w:val="003A7901"/>
    <w:rPr>
      <w:b/>
      <w:bCs/>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1">
    <w:name w:val="Сетка таблицы 81"/>
    <w:uiPriority w:val="99"/>
    <w:semiHidden/>
    <w:rsid w:val="003A7901"/>
    <w:rPr>
      <w:sz w:val="20"/>
      <w:szCs w:val="20"/>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1ffc">
    <w:name w:val="Современная таблица1"/>
    <w:uiPriority w:val="99"/>
    <w:semiHidden/>
    <w:rsid w:val="003A7901"/>
    <w:rPr>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ffd">
    <w:name w:val="Стандартная таблица1"/>
    <w:uiPriority w:val="99"/>
    <w:semiHidden/>
    <w:rsid w:val="003A7901"/>
    <w:rPr>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c">
    <w:name w:val="Столбцы таблицы 11"/>
    <w:uiPriority w:val="99"/>
    <w:semiHidden/>
    <w:rsid w:val="003A7901"/>
    <w:rPr>
      <w:b/>
      <w:bCs/>
      <w:sz w:val="20"/>
      <w:szCs w:val="20"/>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1b">
    <w:name w:val="Столбцы таблицы 21"/>
    <w:uiPriority w:val="99"/>
    <w:semiHidden/>
    <w:rsid w:val="003A7901"/>
    <w:rPr>
      <w:b/>
      <w:bCs/>
      <w:sz w:val="20"/>
      <w:szCs w:val="20"/>
    </w:rPr>
    <w:tblPr>
      <w:tblStyleColBandSize w:val="1"/>
      <w:tblInd w:w="0" w:type="dxa"/>
      <w:tblCellMar>
        <w:top w:w="0" w:type="dxa"/>
        <w:left w:w="108" w:type="dxa"/>
        <w:bottom w:w="0" w:type="dxa"/>
        <w:right w:w="108" w:type="dxa"/>
      </w:tblCellMar>
    </w:tblPr>
  </w:style>
  <w:style w:type="table" w:customStyle="1" w:styleId="31c">
    <w:name w:val="Столбцы таблицы 31"/>
    <w:uiPriority w:val="99"/>
    <w:semiHidden/>
    <w:rsid w:val="003A7901"/>
    <w:rPr>
      <w:b/>
      <w:bCs/>
      <w:sz w:val="20"/>
      <w:szCs w:val="20"/>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2">
    <w:name w:val="Столбцы таблицы 41"/>
    <w:uiPriority w:val="99"/>
    <w:semiHidden/>
    <w:rsid w:val="003A7901"/>
    <w:rPr>
      <w:sz w:val="20"/>
      <w:szCs w:val="20"/>
    </w:rPr>
    <w:tblPr>
      <w:tblStyleColBandSize w:val="1"/>
      <w:tblInd w:w="0" w:type="dxa"/>
      <w:tblCellMar>
        <w:top w:w="0" w:type="dxa"/>
        <w:left w:w="108" w:type="dxa"/>
        <w:bottom w:w="0" w:type="dxa"/>
        <w:right w:w="108" w:type="dxa"/>
      </w:tblCellMar>
    </w:tblPr>
  </w:style>
  <w:style w:type="table" w:customStyle="1" w:styleId="510">
    <w:name w:val="Столбцы таблицы 51"/>
    <w:uiPriority w:val="99"/>
    <w:semiHidden/>
    <w:rsid w:val="003A7901"/>
    <w:rPr>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0">
    <w:name w:val="Таблица-список 11"/>
    <w:uiPriority w:val="99"/>
    <w:semiHidden/>
    <w:rsid w:val="003A7901"/>
    <w:rPr>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0">
    <w:name w:val="Таблица-список 21"/>
    <w:uiPriority w:val="99"/>
    <w:semiHidden/>
    <w:rsid w:val="003A7901"/>
    <w:rPr>
      <w:sz w:val="20"/>
      <w:szCs w:val="20"/>
    </w:rPr>
    <w:tblPr>
      <w:tblStyleRowBandSize w:val="2"/>
      <w:tblInd w:w="0" w:type="dxa"/>
      <w:tblBorders>
        <w:bottom w:val="single" w:sz="12" w:space="0" w:color="808080"/>
      </w:tblBorders>
      <w:tblCellMar>
        <w:top w:w="0" w:type="dxa"/>
        <w:left w:w="108" w:type="dxa"/>
        <w:bottom w:w="0" w:type="dxa"/>
        <w:right w:w="108" w:type="dxa"/>
      </w:tblCellMar>
    </w:tblPr>
  </w:style>
  <w:style w:type="table" w:customStyle="1" w:styleId="-310">
    <w:name w:val="Таблица-список 31"/>
    <w:uiPriority w:val="99"/>
    <w:semiHidden/>
    <w:rsid w:val="003A7901"/>
    <w:rPr>
      <w:sz w:val="20"/>
      <w:szCs w:val="20"/>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1">
    <w:name w:val="Таблица-список 41"/>
    <w:uiPriority w:val="99"/>
    <w:semiHidden/>
    <w:rsid w:val="003A7901"/>
    <w:rPr>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1">
    <w:name w:val="Таблица-список 51"/>
    <w:uiPriority w:val="99"/>
    <w:semiHidden/>
    <w:rsid w:val="003A7901"/>
    <w:rPr>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1">
    <w:name w:val="Таблица-список 61"/>
    <w:uiPriority w:val="99"/>
    <w:semiHidden/>
    <w:rsid w:val="003A7901"/>
    <w:rPr>
      <w:sz w:val="20"/>
      <w:szCs w:val="20"/>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1">
    <w:name w:val="Таблица-список 71"/>
    <w:uiPriority w:val="99"/>
    <w:semiHidden/>
    <w:rsid w:val="003A7901"/>
    <w:rPr>
      <w:sz w:val="20"/>
      <w:szCs w:val="20"/>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1">
    <w:name w:val="Таблица-список 81"/>
    <w:uiPriority w:val="99"/>
    <w:semiHidden/>
    <w:rsid w:val="003A7901"/>
    <w:rPr>
      <w:sz w:val="20"/>
      <w:szCs w:val="20"/>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1ffe">
    <w:name w:val="Тема таблицы1"/>
    <w:uiPriority w:val="99"/>
    <w:locked/>
    <w:rsid w:val="003A7901"/>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d">
    <w:name w:val="Цветная таблица 11"/>
    <w:uiPriority w:val="99"/>
    <w:semiHidden/>
    <w:rsid w:val="003A7901"/>
    <w:rPr>
      <w:color w:val="FFFFFF"/>
      <w:sz w:val="20"/>
      <w:szCs w:val="20"/>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1c">
    <w:name w:val="Цветная таблица 21"/>
    <w:uiPriority w:val="99"/>
    <w:semiHidden/>
    <w:rsid w:val="003A7901"/>
    <w:rPr>
      <w:sz w:val="20"/>
      <w:szCs w:val="20"/>
    </w:rPr>
    <w:tblPr>
      <w:tblInd w:w="0" w:type="dxa"/>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1d">
    <w:name w:val="Цветная таблица 31"/>
    <w:uiPriority w:val="99"/>
    <w:semiHidden/>
    <w:rsid w:val="003A7901"/>
    <w:rPr>
      <w:sz w:val="20"/>
      <w:szCs w:val="20"/>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1e">
    <w:name w:val="Сетка таблицы11"/>
    <w:uiPriority w:val="99"/>
    <w:locked/>
    <w:rsid w:val="003A7901"/>
    <w:pPr>
      <w:spacing w:line="360" w:lineRule="auto"/>
      <w:ind w:firstLine="709"/>
      <w:jc w:val="both"/>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d">
    <w:name w:val="Сетка таблицы21"/>
    <w:uiPriority w:val="99"/>
    <w:locked/>
    <w:rsid w:val="003A7901"/>
    <w:pPr>
      <w:spacing w:line="360" w:lineRule="auto"/>
      <w:ind w:firstLine="709"/>
      <w:jc w:val="both"/>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
    <w:name w:val="Стиль таблицы11"/>
    <w:uiPriority w:val="99"/>
    <w:locked/>
    <w:rsid w:val="003A7901"/>
    <w:pPr>
      <w:spacing w:line="360" w:lineRule="auto"/>
    </w:pPr>
    <w:rPr>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370">
    <w:name w:val="Сетка таблицы37"/>
    <w:uiPriority w:val="99"/>
    <w:locked/>
    <w:rsid w:val="003A7901"/>
    <w:rPr>
      <w:rFonts w:ascii="Calibri" w:hAnsi="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23">
    <w:name w:val="Table Normal23"/>
    <w:uiPriority w:val="99"/>
    <w:semiHidden/>
    <w:rsid w:val="003A7901"/>
    <w:pPr>
      <w:widowControl w:val="0"/>
    </w:pPr>
    <w:rPr>
      <w:rFonts w:ascii="Calibri" w:hAnsi="Calibri"/>
      <w:lang w:val="en-US" w:eastAsia="en-US"/>
    </w:rPr>
    <w:tblPr>
      <w:tblInd w:w="0" w:type="dxa"/>
      <w:tblCellMar>
        <w:top w:w="0" w:type="dxa"/>
        <w:left w:w="0" w:type="dxa"/>
        <w:bottom w:w="0" w:type="dxa"/>
        <w:right w:w="0" w:type="dxa"/>
      </w:tblCellMar>
    </w:tblPr>
  </w:style>
  <w:style w:type="table" w:customStyle="1" w:styleId="TableNormal32">
    <w:name w:val="Table Normal32"/>
    <w:uiPriority w:val="99"/>
    <w:semiHidden/>
    <w:rsid w:val="003A7901"/>
    <w:pPr>
      <w:widowControl w:val="0"/>
    </w:pPr>
    <w:rPr>
      <w:rFonts w:ascii="Calibri" w:hAnsi="Calibri"/>
      <w:lang w:val="en-US" w:eastAsia="en-US"/>
    </w:rPr>
    <w:tblPr>
      <w:tblInd w:w="0" w:type="dxa"/>
      <w:tblCellMar>
        <w:top w:w="0" w:type="dxa"/>
        <w:left w:w="0" w:type="dxa"/>
        <w:bottom w:w="0" w:type="dxa"/>
        <w:right w:w="0" w:type="dxa"/>
      </w:tblCellMar>
    </w:tblPr>
  </w:style>
  <w:style w:type="table" w:customStyle="1" w:styleId="TableNormal111">
    <w:name w:val="Table Normal111"/>
    <w:uiPriority w:val="99"/>
    <w:semiHidden/>
    <w:rsid w:val="003A7901"/>
    <w:pPr>
      <w:widowControl w:val="0"/>
    </w:pPr>
    <w:rPr>
      <w:rFonts w:ascii="Calibri" w:hAnsi="Calibri"/>
      <w:lang w:val="en-US" w:eastAsia="en-US"/>
    </w:rPr>
    <w:tblPr>
      <w:tblInd w:w="0" w:type="dxa"/>
      <w:tblCellMar>
        <w:top w:w="0" w:type="dxa"/>
        <w:left w:w="0" w:type="dxa"/>
        <w:bottom w:w="0" w:type="dxa"/>
        <w:right w:w="0" w:type="dxa"/>
      </w:tblCellMar>
    </w:tblPr>
  </w:style>
  <w:style w:type="table" w:customStyle="1" w:styleId="TableNormal211">
    <w:name w:val="Table Normal211"/>
    <w:uiPriority w:val="99"/>
    <w:semiHidden/>
    <w:rsid w:val="003A7901"/>
    <w:pPr>
      <w:widowControl w:val="0"/>
    </w:pPr>
    <w:rPr>
      <w:rFonts w:ascii="Calibri" w:hAnsi="Calibri"/>
      <w:lang w:val="en-US" w:eastAsia="en-US"/>
    </w:rPr>
    <w:tblPr>
      <w:tblInd w:w="0" w:type="dxa"/>
      <w:tblCellMar>
        <w:top w:w="0" w:type="dxa"/>
        <w:left w:w="0" w:type="dxa"/>
        <w:bottom w:w="0" w:type="dxa"/>
        <w:right w:w="0" w:type="dxa"/>
      </w:tblCellMar>
    </w:tblPr>
  </w:style>
  <w:style w:type="table" w:customStyle="1" w:styleId="TableNormal221">
    <w:name w:val="Table Normal221"/>
    <w:uiPriority w:val="99"/>
    <w:semiHidden/>
    <w:rsid w:val="003A7901"/>
    <w:pPr>
      <w:widowControl w:val="0"/>
    </w:pPr>
    <w:rPr>
      <w:rFonts w:ascii="Calibri" w:hAnsi="Calibri"/>
      <w:lang w:val="en-US" w:eastAsia="en-US"/>
    </w:rPr>
    <w:tblPr>
      <w:tblInd w:w="0" w:type="dxa"/>
      <w:tblCellMar>
        <w:top w:w="0" w:type="dxa"/>
        <w:left w:w="0" w:type="dxa"/>
        <w:bottom w:w="0" w:type="dxa"/>
        <w:right w:w="0" w:type="dxa"/>
      </w:tblCellMar>
    </w:tblPr>
  </w:style>
  <w:style w:type="table" w:customStyle="1" w:styleId="TableNormal311">
    <w:name w:val="Table Normal311"/>
    <w:uiPriority w:val="99"/>
    <w:semiHidden/>
    <w:rsid w:val="003A7901"/>
    <w:pPr>
      <w:widowControl w:val="0"/>
    </w:pPr>
    <w:rPr>
      <w:rFonts w:ascii="Calibri" w:hAnsi="Calibri"/>
      <w:lang w:val="en-US" w:eastAsia="en-US"/>
    </w:rPr>
    <w:tblPr>
      <w:tblInd w:w="0" w:type="dxa"/>
      <w:tblCellMar>
        <w:top w:w="0" w:type="dxa"/>
        <w:left w:w="0" w:type="dxa"/>
        <w:bottom w:w="0" w:type="dxa"/>
        <w:right w:w="0" w:type="dxa"/>
      </w:tblCellMar>
    </w:tblPr>
  </w:style>
  <w:style w:type="table" w:customStyle="1" w:styleId="3130">
    <w:name w:val="Сетка таблицы313"/>
    <w:uiPriority w:val="99"/>
    <w:rsid w:val="003A7901"/>
    <w:rPr>
      <w:rFonts w:ascii="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
    <w:name w:val="Сетка таблицы3111"/>
    <w:uiPriority w:val="99"/>
    <w:locked/>
    <w:rsid w:val="003A7901"/>
    <w:rPr>
      <w:rFonts w:ascii="Calibri" w:hAnsi="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0">
    <w:name w:val="Сетка таблицы321"/>
    <w:uiPriority w:val="99"/>
    <w:rsid w:val="003A7901"/>
    <w:rPr>
      <w:rFonts w:ascii="Calibri" w:hAnsi="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10">
    <w:name w:val="Сетка таблицы331"/>
    <w:uiPriority w:val="99"/>
    <w:rsid w:val="003A7901"/>
    <w:rPr>
      <w:rFonts w:ascii="Calibri" w:hAnsi="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
    <w:name w:val="Сетка таблицы341"/>
    <w:uiPriority w:val="99"/>
    <w:rsid w:val="003A7901"/>
    <w:rPr>
      <w:rFonts w:ascii="Calibri" w:hAnsi="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
    <w:name w:val="Сетка таблицы351"/>
    <w:uiPriority w:val="99"/>
    <w:rsid w:val="003A7901"/>
    <w:rPr>
      <w:rFonts w:ascii="Calibri" w:hAnsi="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
    <w:name w:val="Сетка таблицы361"/>
    <w:uiPriority w:val="99"/>
    <w:locked/>
    <w:rsid w:val="003A7901"/>
    <w:rPr>
      <w:rFonts w:ascii="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1">
    <w:name w:val="Сетка таблицы3121"/>
    <w:uiPriority w:val="99"/>
    <w:locked/>
    <w:rsid w:val="003A7901"/>
    <w:rPr>
      <w:rFonts w:ascii="Calibri" w:hAnsi="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3">
    <w:name w:val="Сетка таблицы41"/>
    <w:uiPriority w:val="99"/>
    <w:rsid w:val="003A7901"/>
    <w:rPr>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TableNormal41">
    <w:name w:val="Table Normal41"/>
    <w:uiPriority w:val="99"/>
    <w:semiHidden/>
    <w:rsid w:val="003A7901"/>
    <w:pPr>
      <w:widowControl w:val="0"/>
    </w:pPr>
    <w:rPr>
      <w:rFonts w:ascii="Calibri" w:hAnsi="Calibri"/>
      <w:lang w:val="en-US" w:eastAsia="en-US"/>
    </w:rPr>
    <w:tblPr>
      <w:tblInd w:w="0" w:type="dxa"/>
      <w:tblCellMar>
        <w:top w:w="0" w:type="dxa"/>
        <w:left w:w="0" w:type="dxa"/>
        <w:bottom w:w="0" w:type="dxa"/>
        <w:right w:w="0" w:type="dxa"/>
      </w:tblCellMar>
    </w:tblPr>
  </w:style>
  <w:style w:type="table" w:customStyle="1" w:styleId="TableNormal51">
    <w:name w:val="Table Normal51"/>
    <w:uiPriority w:val="99"/>
    <w:semiHidden/>
    <w:rsid w:val="003A7901"/>
    <w:pPr>
      <w:widowControl w:val="0"/>
    </w:pPr>
    <w:rPr>
      <w:rFonts w:ascii="Calibri" w:hAnsi="Calibri"/>
      <w:lang w:val="en-US" w:eastAsia="en-US"/>
    </w:rPr>
    <w:tblPr>
      <w:tblInd w:w="0" w:type="dxa"/>
      <w:tblCellMar>
        <w:top w:w="0" w:type="dxa"/>
        <w:left w:w="0" w:type="dxa"/>
        <w:bottom w:w="0" w:type="dxa"/>
        <w:right w:w="0" w:type="dxa"/>
      </w:tblCellMar>
    </w:tblPr>
  </w:style>
  <w:style w:type="table" w:customStyle="1" w:styleId="TableNormal61">
    <w:name w:val="Table Normal61"/>
    <w:uiPriority w:val="99"/>
    <w:semiHidden/>
    <w:rsid w:val="003A7901"/>
    <w:pPr>
      <w:widowControl w:val="0"/>
    </w:pPr>
    <w:rPr>
      <w:rFonts w:ascii="Calibri" w:hAnsi="Calibri"/>
      <w:lang w:val="en-US" w:eastAsia="en-US"/>
    </w:rPr>
    <w:tblPr>
      <w:tblInd w:w="0" w:type="dxa"/>
      <w:tblCellMar>
        <w:top w:w="0" w:type="dxa"/>
        <w:left w:w="0" w:type="dxa"/>
        <w:bottom w:w="0" w:type="dxa"/>
        <w:right w:w="0" w:type="dxa"/>
      </w:tblCellMar>
    </w:tblPr>
  </w:style>
  <w:style w:type="table" w:customStyle="1" w:styleId="TableNormal71">
    <w:name w:val="Table Normal71"/>
    <w:uiPriority w:val="99"/>
    <w:locked/>
    <w:rsid w:val="003A7901"/>
    <w:pPr>
      <w:widowControl w:val="0"/>
    </w:pPr>
    <w:rPr>
      <w:rFonts w:ascii="Calibri" w:hAnsi="Calibri"/>
      <w:lang w:val="en-US" w:eastAsia="en-US"/>
    </w:rPr>
    <w:tblPr>
      <w:tblInd w:w="0" w:type="dxa"/>
      <w:tblCellMar>
        <w:top w:w="0" w:type="dxa"/>
        <w:left w:w="0" w:type="dxa"/>
        <w:bottom w:w="0" w:type="dxa"/>
        <w:right w:w="0" w:type="dxa"/>
      </w:tblCellMar>
    </w:tblPr>
  </w:style>
  <w:style w:type="table" w:customStyle="1" w:styleId="TableNormal81">
    <w:name w:val="Table Normal81"/>
    <w:uiPriority w:val="99"/>
    <w:locked/>
    <w:rsid w:val="003A7901"/>
    <w:pPr>
      <w:widowControl w:val="0"/>
    </w:pPr>
    <w:rPr>
      <w:rFonts w:ascii="Calibri" w:hAnsi="Calibri"/>
      <w:lang w:val="en-US" w:eastAsia="en-US"/>
    </w:rPr>
    <w:tblPr>
      <w:tblInd w:w="0" w:type="dxa"/>
      <w:tblCellMar>
        <w:top w:w="0" w:type="dxa"/>
        <w:left w:w="0" w:type="dxa"/>
        <w:bottom w:w="0" w:type="dxa"/>
        <w:right w:w="0" w:type="dxa"/>
      </w:tblCellMar>
    </w:tblPr>
  </w:style>
  <w:style w:type="table" w:customStyle="1" w:styleId="TableNormal91">
    <w:name w:val="Table Normal91"/>
    <w:uiPriority w:val="99"/>
    <w:semiHidden/>
    <w:rsid w:val="003A7901"/>
    <w:pPr>
      <w:widowControl w:val="0"/>
    </w:pPr>
    <w:rPr>
      <w:rFonts w:ascii="Calibri" w:hAnsi="Calibri"/>
      <w:lang w:val="en-US" w:eastAsia="en-US"/>
    </w:rPr>
    <w:tblPr>
      <w:tblInd w:w="0" w:type="dxa"/>
      <w:tblCellMar>
        <w:top w:w="0" w:type="dxa"/>
        <w:left w:w="0" w:type="dxa"/>
        <w:bottom w:w="0" w:type="dxa"/>
        <w:right w:w="0" w:type="dxa"/>
      </w:tblCellMar>
    </w:tblPr>
  </w:style>
  <w:style w:type="table" w:customStyle="1" w:styleId="TableNormal101">
    <w:name w:val="Table Normal101"/>
    <w:uiPriority w:val="99"/>
    <w:semiHidden/>
    <w:rsid w:val="003A7901"/>
    <w:pPr>
      <w:widowControl w:val="0"/>
    </w:pPr>
    <w:rPr>
      <w:rFonts w:ascii="Calibri" w:hAnsi="Calibri"/>
      <w:lang w:val="en-US" w:eastAsia="en-US"/>
    </w:rPr>
    <w:tblPr>
      <w:tblInd w:w="0" w:type="dxa"/>
      <w:tblCellMar>
        <w:top w:w="0" w:type="dxa"/>
        <w:left w:w="0" w:type="dxa"/>
        <w:bottom w:w="0" w:type="dxa"/>
        <w:right w:w="0" w:type="dxa"/>
      </w:tblCellMar>
    </w:tblPr>
  </w:style>
  <w:style w:type="table" w:customStyle="1" w:styleId="TableNormal121">
    <w:name w:val="Table Normal121"/>
    <w:uiPriority w:val="99"/>
    <w:semiHidden/>
    <w:rsid w:val="003A7901"/>
    <w:pPr>
      <w:widowControl w:val="0"/>
    </w:pPr>
    <w:rPr>
      <w:rFonts w:ascii="Calibri" w:hAnsi="Calibri"/>
      <w:lang w:val="en-US" w:eastAsia="en-US"/>
    </w:rPr>
    <w:tblPr>
      <w:tblInd w:w="0" w:type="dxa"/>
      <w:tblCellMar>
        <w:top w:w="0" w:type="dxa"/>
        <w:left w:w="0" w:type="dxa"/>
        <w:bottom w:w="0" w:type="dxa"/>
        <w:right w:w="0" w:type="dxa"/>
      </w:tblCellMar>
    </w:tblPr>
  </w:style>
  <w:style w:type="table" w:customStyle="1" w:styleId="TableNormal131">
    <w:name w:val="Table Normal131"/>
    <w:uiPriority w:val="99"/>
    <w:semiHidden/>
    <w:rsid w:val="003A7901"/>
    <w:pPr>
      <w:widowControl w:val="0"/>
    </w:pPr>
    <w:rPr>
      <w:rFonts w:ascii="Calibri" w:hAnsi="Calibri"/>
      <w:lang w:val="en-US" w:eastAsia="en-US"/>
    </w:rPr>
    <w:tblPr>
      <w:tblInd w:w="0" w:type="dxa"/>
      <w:tblCellMar>
        <w:top w:w="0" w:type="dxa"/>
        <w:left w:w="0" w:type="dxa"/>
        <w:bottom w:w="0" w:type="dxa"/>
        <w:right w:w="0" w:type="dxa"/>
      </w:tblCellMar>
    </w:tblPr>
  </w:style>
  <w:style w:type="table" w:customStyle="1" w:styleId="TableNormal141">
    <w:name w:val="Table Normal141"/>
    <w:uiPriority w:val="99"/>
    <w:semiHidden/>
    <w:rsid w:val="003A7901"/>
    <w:pPr>
      <w:widowControl w:val="0"/>
    </w:pPr>
    <w:rPr>
      <w:rFonts w:ascii="Calibri" w:hAnsi="Calibri"/>
      <w:lang w:val="en-US" w:eastAsia="en-US"/>
    </w:rPr>
    <w:tblPr>
      <w:tblInd w:w="0" w:type="dxa"/>
      <w:tblCellMar>
        <w:top w:w="0" w:type="dxa"/>
        <w:left w:w="0" w:type="dxa"/>
        <w:bottom w:w="0" w:type="dxa"/>
        <w:right w:w="0" w:type="dxa"/>
      </w:tblCellMar>
    </w:tblPr>
  </w:style>
  <w:style w:type="table" w:customStyle="1" w:styleId="TableNormal151">
    <w:name w:val="Table Normal151"/>
    <w:uiPriority w:val="99"/>
    <w:semiHidden/>
    <w:rsid w:val="003A7901"/>
    <w:pPr>
      <w:widowControl w:val="0"/>
    </w:pPr>
    <w:rPr>
      <w:rFonts w:ascii="Calibri" w:hAnsi="Calibri"/>
      <w:lang w:val="en-US" w:eastAsia="en-US"/>
    </w:rPr>
    <w:tblPr>
      <w:tblInd w:w="0" w:type="dxa"/>
      <w:tblCellMar>
        <w:top w:w="0" w:type="dxa"/>
        <w:left w:w="0" w:type="dxa"/>
        <w:bottom w:w="0" w:type="dxa"/>
        <w:right w:w="0" w:type="dxa"/>
      </w:tblCellMar>
    </w:tblPr>
  </w:style>
  <w:style w:type="table" w:customStyle="1" w:styleId="TableNormal161">
    <w:name w:val="Table Normal161"/>
    <w:uiPriority w:val="99"/>
    <w:semiHidden/>
    <w:rsid w:val="003A7901"/>
    <w:pPr>
      <w:widowControl w:val="0"/>
    </w:pPr>
    <w:rPr>
      <w:rFonts w:ascii="Calibri" w:hAnsi="Calibri"/>
      <w:lang w:val="en-US" w:eastAsia="en-US"/>
    </w:rPr>
    <w:tblPr>
      <w:tblInd w:w="0" w:type="dxa"/>
      <w:tblCellMar>
        <w:top w:w="0" w:type="dxa"/>
        <w:left w:w="0" w:type="dxa"/>
        <w:bottom w:w="0" w:type="dxa"/>
        <w:right w:w="0" w:type="dxa"/>
      </w:tblCellMar>
    </w:tblPr>
  </w:style>
  <w:style w:type="table" w:customStyle="1" w:styleId="TableNormal171">
    <w:name w:val="Table Normal171"/>
    <w:uiPriority w:val="99"/>
    <w:semiHidden/>
    <w:rsid w:val="003A7901"/>
    <w:pPr>
      <w:widowControl w:val="0"/>
    </w:pPr>
    <w:rPr>
      <w:rFonts w:ascii="Calibri" w:hAnsi="Calibri"/>
      <w:lang w:val="en-US" w:eastAsia="en-US"/>
    </w:rPr>
    <w:tblPr>
      <w:tblInd w:w="0" w:type="dxa"/>
      <w:tblCellMar>
        <w:top w:w="0" w:type="dxa"/>
        <w:left w:w="0" w:type="dxa"/>
        <w:bottom w:w="0" w:type="dxa"/>
        <w:right w:w="0" w:type="dxa"/>
      </w:tblCellMar>
    </w:tblPr>
  </w:style>
  <w:style w:type="table" w:customStyle="1" w:styleId="TableNormal24">
    <w:name w:val="Table Normal24"/>
    <w:uiPriority w:val="99"/>
    <w:semiHidden/>
    <w:rsid w:val="003A7901"/>
    <w:pPr>
      <w:widowControl w:val="0"/>
    </w:pPr>
    <w:rPr>
      <w:rFonts w:ascii="Calibri" w:hAnsi="Calibri"/>
      <w:lang w:val="en-US" w:eastAsia="en-US"/>
    </w:rPr>
    <w:tblPr>
      <w:tblInd w:w="0" w:type="dxa"/>
      <w:tblCellMar>
        <w:top w:w="0" w:type="dxa"/>
        <w:left w:w="0" w:type="dxa"/>
        <w:bottom w:w="0" w:type="dxa"/>
        <w:right w:w="0" w:type="dxa"/>
      </w:tblCellMar>
    </w:tblPr>
  </w:style>
  <w:style w:type="table" w:customStyle="1" w:styleId="TableNormal26">
    <w:name w:val="Table Normal26"/>
    <w:uiPriority w:val="99"/>
    <w:semiHidden/>
    <w:rsid w:val="003A7901"/>
    <w:pPr>
      <w:widowControl w:val="0"/>
    </w:pPr>
    <w:rPr>
      <w:rFonts w:ascii="Calibri" w:hAnsi="Calibri"/>
      <w:lang w:val="en-US" w:eastAsia="en-US"/>
    </w:rPr>
    <w:tblPr>
      <w:tblInd w:w="0" w:type="dxa"/>
      <w:tblCellMar>
        <w:top w:w="0" w:type="dxa"/>
        <w:left w:w="0" w:type="dxa"/>
        <w:bottom w:w="0" w:type="dxa"/>
        <w:right w:w="0" w:type="dxa"/>
      </w:tblCellMar>
    </w:tblPr>
  </w:style>
  <w:style w:type="table" w:customStyle="1" w:styleId="62">
    <w:name w:val="Сетка таблицы6"/>
    <w:uiPriority w:val="99"/>
    <w:rsid w:val="008F6C87"/>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tion">
    <w:name w:val="Mention"/>
    <w:basedOn w:val="DefaultParagraphFont"/>
    <w:uiPriority w:val="99"/>
    <w:semiHidden/>
    <w:rsid w:val="008F6C87"/>
    <w:rPr>
      <w:rFonts w:cs="Times New Roman"/>
      <w:color w:val="2B579A"/>
      <w:shd w:val="clear" w:color="auto" w:fill="E6E6E6"/>
    </w:rPr>
  </w:style>
  <w:style w:type="character" w:customStyle="1" w:styleId="font301">
    <w:name w:val="font301"/>
    <w:basedOn w:val="DefaultParagraphFont"/>
    <w:uiPriority w:val="99"/>
    <w:rsid w:val="008F6C87"/>
    <w:rPr>
      <w:rFonts w:ascii="Calibri" w:hAnsi="Calibri" w:cs="Calibri"/>
      <w:color w:val="000000"/>
      <w:sz w:val="24"/>
      <w:szCs w:val="24"/>
      <w:u w:val="none"/>
      <w:effect w:val="none"/>
    </w:rPr>
  </w:style>
  <w:style w:type="character" w:customStyle="1" w:styleId="font461">
    <w:name w:val="font461"/>
    <w:basedOn w:val="DefaultParagraphFont"/>
    <w:uiPriority w:val="99"/>
    <w:rsid w:val="008F6C87"/>
    <w:rPr>
      <w:rFonts w:ascii="Times New Roman" w:hAnsi="Times New Roman" w:cs="Times New Roman"/>
      <w:color w:val="000000"/>
      <w:sz w:val="24"/>
      <w:szCs w:val="24"/>
      <w:u w:val="none"/>
      <w:effect w:val="none"/>
    </w:rPr>
  </w:style>
  <w:style w:type="character" w:customStyle="1" w:styleId="font171">
    <w:name w:val="font171"/>
    <w:basedOn w:val="DefaultParagraphFont"/>
    <w:uiPriority w:val="99"/>
    <w:rsid w:val="008F6C87"/>
    <w:rPr>
      <w:rFonts w:ascii="Times New Roman" w:hAnsi="Times New Roman" w:cs="Times New Roman"/>
      <w:color w:val="000000"/>
      <w:sz w:val="24"/>
      <w:szCs w:val="24"/>
      <w:u w:val="none"/>
      <w:effect w:val="none"/>
    </w:rPr>
  </w:style>
  <w:style w:type="table" w:customStyle="1" w:styleId="TableNormal27">
    <w:name w:val="Table Normal27"/>
    <w:uiPriority w:val="99"/>
    <w:semiHidden/>
    <w:rsid w:val="008F6C87"/>
    <w:pPr>
      <w:widowControl w:val="0"/>
    </w:pPr>
    <w:rPr>
      <w:rFonts w:ascii="Calibri" w:hAnsi="Calibri"/>
      <w:lang w:val="en-US" w:eastAsia="en-US"/>
    </w:rPr>
    <w:tblPr>
      <w:tblInd w:w="0" w:type="dxa"/>
      <w:tblCellMar>
        <w:top w:w="0" w:type="dxa"/>
        <w:left w:w="0" w:type="dxa"/>
        <w:bottom w:w="0" w:type="dxa"/>
        <w:right w:w="0" w:type="dxa"/>
      </w:tblCellMar>
    </w:tblPr>
  </w:style>
  <w:style w:type="table" w:customStyle="1" w:styleId="70">
    <w:name w:val="Сетка таблицы7"/>
    <w:uiPriority w:val="99"/>
    <w:rsid w:val="008F6C87"/>
    <w:rPr>
      <w:rFonts w:ascii="Calibri" w:hAnsi="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
    <w:uiPriority w:val="99"/>
    <w:rsid w:val="008F6C87"/>
    <w:rPr>
      <w:rFonts w:ascii="Calibri" w:hAnsi="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28">
    <w:name w:val="Table Normal28"/>
    <w:uiPriority w:val="99"/>
    <w:semiHidden/>
    <w:rsid w:val="008F6C87"/>
    <w:pPr>
      <w:widowControl w:val="0"/>
    </w:pPr>
    <w:rPr>
      <w:rFonts w:ascii="Calibri" w:hAnsi="Calibri"/>
      <w:lang w:val="en-US" w:eastAsia="en-US"/>
    </w:rPr>
    <w:tblPr>
      <w:tblInd w:w="0" w:type="dxa"/>
      <w:tblCellMar>
        <w:top w:w="0" w:type="dxa"/>
        <w:left w:w="0" w:type="dxa"/>
        <w:bottom w:w="0" w:type="dxa"/>
        <w:right w:w="0" w:type="dxa"/>
      </w:tblCellMar>
    </w:tblPr>
  </w:style>
  <w:style w:type="table" w:customStyle="1" w:styleId="TableNormal29">
    <w:name w:val="Table Normal29"/>
    <w:uiPriority w:val="99"/>
    <w:semiHidden/>
    <w:rsid w:val="008F6C87"/>
    <w:pPr>
      <w:widowControl w:val="0"/>
    </w:pPr>
    <w:rPr>
      <w:rFonts w:ascii="Calibri" w:hAnsi="Calibri"/>
      <w:lang w:val="en-US" w:eastAsia="en-US"/>
    </w:rPr>
    <w:tblPr>
      <w:tblInd w:w="0" w:type="dxa"/>
      <w:tblCellMar>
        <w:top w:w="0" w:type="dxa"/>
        <w:left w:w="0" w:type="dxa"/>
        <w:bottom w:w="0" w:type="dxa"/>
        <w:right w:w="0" w:type="dxa"/>
      </w:tblCellMar>
    </w:tblPr>
  </w:style>
  <w:style w:type="table" w:customStyle="1" w:styleId="TableNormal30">
    <w:name w:val="Table Normal30"/>
    <w:uiPriority w:val="99"/>
    <w:semiHidden/>
    <w:rsid w:val="008F6C87"/>
    <w:pPr>
      <w:widowControl w:val="0"/>
    </w:pPr>
    <w:rPr>
      <w:rFonts w:ascii="Calibri" w:hAnsi="Calibri"/>
      <w:lang w:val="en-US" w:eastAsia="en-US"/>
    </w:rPr>
    <w:tblPr>
      <w:tblInd w:w="0" w:type="dxa"/>
      <w:tblCellMar>
        <w:top w:w="0" w:type="dxa"/>
        <w:left w:w="0" w:type="dxa"/>
        <w:bottom w:w="0" w:type="dxa"/>
        <w:right w:w="0" w:type="dxa"/>
      </w:tblCellMar>
    </w:tblPr>
  </w:style>
  <w:style w:type="table" w:customStyle="1" w:styleId="TableNormal33">
    <w:name w:val="Table Normal33"/>
    <w:uiPriority w:val="99"/>
    <w:semiHidden/>
    <w:rsid w:val="008F6C87"/>
    <w:pPr>
      <w:widowControl w:val="0"/>
    </w:pPr>
    <w:rPr>
      <w:rFonts w:ascii="Calibri" w:hAnsi="Calibri"/>
      <w:lang w:val="en-US" w:eastAsia="en-US"/>
    </w:rPr>
    <w:tblPr>
      <w:tblInd w:w="0" w:type="dxa"/>
      <w:tblCellMar>
        <w:top w:w="0" w:type="dxa"/>
        <w:left w:w="0" w:type="dxa"/>
        <w:bottom w:w="0" w:type="dxa"/>
        <w:right w:w="0" w:type="dxa"/>
      </w:tblCellMar>
    </w:tblPr>
  </w:style>
  <w:style w:type="table" w:customStyle="1" w:styleId="TableNormal34">
    <w:name w:val="Table Normal34"/>
    <w:uiPriority w:val="99"/>
    <w:semiHidden/>
    <w:rsid w:val="008F6C87"/>
    <w:pPr>
      <w:widowControl w:val="0"/>
    </w:pPr>
    <w:rPr>
      <w:rFonts w:ascii="Calibri" w:hAnsi="Calibri"/>
      <w:lang w:val="en-US" w:eastAsia="en-US"/>
    </w:rPr>
    <w:tblPr>
      <w:tblInd w:w="0" w:type="dxa"/>
      <w:tblCellMar>
        <w:top w:w="0" w:type="dxa"/>
        <w:left w:w="0" w:type="dxa"/>
        <w:bottom w:w="0" w:type="dxa"/>
        <w:right w:w="0" w:type="dxa"/>
      </w:tblCellMar>
    </w:tblPr>
  </w:style>
  <w:style w:type="character" w:customStyle="1" w:styleId="font311">
    <w:name w:val="font311"/>
    <w:basedOn w:val="DefaultParagraphFont"/>
    <w:uiPriority w:val="99"/>
    <w:rsid w:val="008F6C87"/>
    <w:rPr>
      <w:rFonts w:ascii="Calibri" w:hAnsi="Calibri" w:cs="Calibri"/>
      <w:color w:val="000000"/>
      <w:sz w:val="24"/>
      <w:szCs w:val="24"/>
      <w:u w:val="none"/>
      <w:effect w:val="none"/>
    </w:rPr>
  </w:style>
  <w:style w:type="character" w:customStyle="1" w:styleId="font51">
    <w:name w:val="font51"/>
    <w:basedOn w:val="DefaultParagraphFont"/>
    <w:uiPriority w:val="99"/>
    <w:rsid w:val="008F6C87"/>
    <w:rPr>
      <w:rFonts w:ascii="Times New Roman" w:hAnsi="Times New Roman" w:cs="Times New Roman"/>
      <w:color w:val="000000"/>
      <w:sz w:val="24"/>
      <w:szCs w:val="24"/>
      <w:u w:val="none"/>
      <w:effect w:val="none"/>
    </w:rPr>
  </w:style>
  <w:style w:type="character" w:customStyle="1" w:styleId="font571">
    <w:name w:val="font571"/>
    <w:basedOn w:val="DefaultParagraphFont"/>
    <w:uiPriority w:val="99"/>
    <w:rsid w:val="008F6C87"/>
    <w:rPr>
      <w:rFonts w:ascii="Times New Roman" w:hAnsi="Times New Roman" w:cs="Times New Roman"/>
      <w:color w:val="000000"/>
      <w:sz w:val="22"/>
      <w:szCs w:val="22"/>
      <w:u w:val="none"/>
      <w:effect w:val="none"/>
    </w:rPr>
  </w:style>
  <w:style w:type="table" w:customStyle="1" w:styleId="80">
    <w:name w:val="Сетка таблицы8"/>
    <w:uiPriority w:val="99"/>
    <w:rsid w:val="008F6C87"/>
    <w:rPr>
      <w:rFonts w:ascii="Calibri" w:hAnsi="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sonormal0">
    <w:name w:val="msonormal"/>
    <w:basedOn w:val="Normal"/>
    <w:uiPriority w:val="99"/>
    <w:rsid w:val="008F6C87"/>
    <w:pPr>
      <w:spacing w:before="100" w:beforeAutospacing="1" w:after="100" w:afterAutospacing="1" w:line="240" w:lineRule="auto"/>
    </w:pPr>
    <w:rPr>
      <w:rFonts w:ascii="Times New Roman" w:hAnsi="Times New Roman"/>
      <w:sz w:val="24"/>
      <w:szCs w:val="24"/>
      <w:lang w:eastAsia="ru-RU"/>
    </w:rPr>
  </w:style>
  <w:style w:type="paragraph" w:customStyle="1" w:styleId="xl409">
    <w:name w:val="xl409"/>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413">
    <w:name w:val="xl413"/>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415">
    <w:name w:val="xl415"/>
    <w:basedOn w:val="Normal"/>
    <w:uiPriority w:val="99"/>
    <w:rsid w:val="008F6C87"/>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436">
    <w:name w:val="xl436"/>
    <w:basedOn w:val="Normal"/>
    <w:uiPriority w:val="99"/>
    <w:rsid w:val="008F6C87"/>
    <w:pPr>
      <w:pBdr>
        <w:top w:val="single" w:sz="4" w:space="0" w:color="auto"/>
        <w:left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437">
    <w:name w:val="xl437"/>
    <w:basedOn w:val="Normal"/>
    <w:uiPriority w:val="99"/>
    <w:rsid w:val="008F6C87"/>
    <w:pPr>
      <w:pBdr>
        <w:left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438">
    <w:name w:val="xl438"/>
    <w:basedOn w:val="Normal"/>
    <w:uiPriority w:val="99"/>
    <w:rsid w:val="008F6C87"/>
    <w:pPr>
      <w:pBdr>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441">
    <w:name w:val="xl441"/>
    <w:basedOn w:val="Normal"/>
    <w:uiPriority w:val="99"/>
    <w:rsid w:val="008F6C87"/>
    <w:pPr>
      <w:pBdr>
        <w:top w:val="single" w:sz="4" w:space="0" w:color="auto"/>
        <w:left w:val="single" w:sz="4" w:space="0" w:color="auto"/>
        <w:bottom w:val="single" w:sz="4" w:space="0" w:color="auto"/>
      </w:pBdr>
      <w:shd w:val="clear" w:color="000000" w:fill="DAEEF3"/>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442">
    <w:name w:val="xl442"/>
    <w:basedOn w:val="Normal"/>
    <w:uiPriority w:val="99"/>
    <w:rsid w:val="008F6C87"/>
    <w:pPr>
      <w:pBdr>
        <w:top w:val="single" w:sz="4" w:space="0" w:color="auto"/>
        <w:bottom w:val="single" w:sz="4" w:space="0" w:color="auto"/>
      </w:pBdr>
      <w:shd w:val="clear" w:color="000000" w:fill="DAEEF3"/>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443">
    <w:name w:val="xl443"/>
    <w:basedOn w:val="Normal"/>
    <w:uiPriority w:val="99"/>
    <w:rsid w:val="008F6C87"/>
    <w:pPr>
      <w:pBdr>
        <w:top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font0">
    <w:name w:val="font0"/>
    <w:basedOn w:val="Normal"/>
    <w:uiPriority w:val="99"/>
    <w:rsid w:val="008F6C87"/>
    <w:pPr>
      <w:spacing w:before="100" w:beforeAutospacing="1" w:after="100" w:afterAutospacing="1" w:line="240" w:lineRule="auto"/>
    </w:pPr>
    <w:rPr>
      <w:rFonts w:cs="Calibri"/>
      <w:color w:val="000000"/>
      <w:lang w:eastAsia="ru-RU"/>
    </w:rPr>
  </w:style>
  <w:style w:type="paragraph" w:customStyle="1" w:styleId="font11">
    <w:name w:val="font11"/>
    <w:basedOn w:val="Normal"/>
    <w:uiPriority w:val="99"/>
    <w:rsid w:val="008F6C87"/>
    <w:pPr>
      <w:spacing w:before="100" w:beforeAutospacing="1" w:after="100" w:afterAutospacing="1" w:line="240" w:lineRule="auto"/>
    </w:pPr>
    <w:rPr>
      <w:rFonts w:ascii="Times New Roman" w:hAnsi="Times New Roman"/>
      <w:color w:val="000000"/>
      <w:sz w:val="24"/>
      <w:szCs w:val="24"/>
      <w:lang w:eastAsia="ru-RU"/>
    </w:rPr>
  </w:style>
  <w:style w:type="paragraph" w:customStyle="1" w:styleId="font12">
    <w:name w:val="font12"/>
    <w:basedOn w:val="Normal"/>
    <w:uiPriority w:val="99"/>
    <w:rsid w:val="008F6C87"/>
    <w:pPr>
      <w:spacing w:before="100" w:beforeAutospacing="1" w:after="100" w:afterAutospacing="1" w:line="240" w:lineRule="auto"/>
    </w:pPr>
    <w:rPr>
      <w:rFonts w:ascii="Times New Roman" w:hAnsi="Times New Roman"/>
      <w:sz w:val="24"/>
      <w:szCs w:val="24"/>
      <w:lang w:eastAsia="ru-RU"/>
    </w:rPr>
  </w:style>
  <w:style w:type="paragraph" w:customStyle="1" w:styleId="xl401">
    <w:name w:val="xl401"/>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402">
    <w:name w:val="xl402"/>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404">
    <w:name w:val="xl404"/>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405">
    <w:name w:val="xl405"/>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407">
    <w:name w:val="xl407"/>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414">
    <w:name w:val="xl414"/>
    <w:basedOn w:val="Normal"/>
    <w:uiPriority w:val="99"/>
    <w:rsid w:val="008F6C87"/>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432">
    <w:name w:val="xl432"/>
    <w:basedOn w:val="Normal"/>
    <w:uiPriority w:val="99"/>
    <w:rsid w:val="008F6C87"/>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hAnsi="Times New Roman"/>
      <w:sz w:val="24"/>
      <w:szCs w:val="24"/>
      <w:lang w:eastAsia="ru-RU"/>
    </w:rPr>
  </w:style>
  <w:style w:type="character" w:customStyle="1" w:styleId="font111">
    <w:name w:val="font111"/>
    <w:basedOn w:val="DefaultParagraphFont"/>
    <w:uiPriority w:val="99"/>
    <w:rsid w:val="008F6C87"/>
    <w:rPr>
      <w:rFonts w:ascii="Times New Roman" w:hAnsi="Times New Roman" w:cs="Times New Roman"/>
      <w:color w:val="000000"/>
      <w:sz w:val="24"/>
      <w:szCs w:val="24"/>
      <w:u w:val="none"/>
      <w:effect w:val="none"/>
    </w:rPr>
  </w:style>
  <w:style w:type="character" w:customStyle="1" w:styleId="font121">
    <w:name w:val="font121"/>
    <w:basedOn w:val="DefaultParagraphFont"/>
    <w:uiPriority w:val="99"/>
    <w:rsid w:val="008F6C87"/>
    <w:rPr>
      <w:rFonts w:ascii="Times New Roman" w:hAnsi="Times New Roman" w:cs="Times New Roman"/>
      <w:color w:val="auto"/>
      <w:sz w:val="24"/>
      <w:szCs w:val="24"/>
      <w:u w:val="none"/>
      <w:effect w:val="none"/>
    </w:rPr>
  </w:style>
  <w:style w:type="table" w:customStyle="1" w:styleId="TableNormal35">
    <w:name w:val="Table Normal35"/>
    <w:uiPriority w:val="99"/>
    <w:semiHidden/>
    <w:rsid w:val="008F6C87"/>
    <w:pPr>
      <w:widowControl w:val="0"/>
    </w:pPr>
    <w:rPr>
      <w:rFonts w:ascii="Calibri" w:hAnsi="Calibri"/>
      <w:lang w:val="en-US" w:eastAsia="en-US"/>
    </w:rPr>
    <w:tblPr>
      <w:tblInd w:w="0" w:type="dxa"/>
      <w:tblCellMar>
        <w:top w:w="0" w:type="dxa"/>
        <w:left w:w="0" w:type="dxa"/>
        <w:bottom w:w="0" w:type="dxa"/>
        <w:right w:w="0" w:type="dxa"/>
      </w:tblCellMar>
    </w:tblPr>
  </w:style>
  <w:style w:type="character" w:customStyle="1" w:styleId="font61">
    <w:name w:val="font61"/>
    <w:basedOn w:val="DefaultParagraphFont"/>
    <w:uiPriority w:val="99"/>
    <w:rsid w:val="008F6C87"/>
    <w:rPr>
      <w:rFonts w:ascii="Times New Roman" w:hAnsi="Times New Roman" w:cs="Times New Roman"/>
      <w:color w:val="000000"/>
      <w:sz w:val="24"/>
      <w:szCs w:val="24"/>
      <w:u w:val="none"/>
      <w:effect w:val="none"/>
    </w:rPr>
  </w:style>
  <w:style w:type="paragraph" w:customStyle="1" w:styleId="afffffff0">
    <w:name w:val="ТЕКСТ ГРАД"/>
    <w:basedOn w:val="Normal"/>
    <w:link w:val="afffffff1"/>
    <w:uiPriority w:val="99"/>
    <w:rsid w:val="008F6C87"/>
    <w:pPr>
      <w:spacing w:after="0" w:line="360" w:lineRule="auto"/>
      <w:ind w:firstLine="709"/>
      <w:jc w:val="both"/>
    </w:pPr>
    <w:rPr>
      <w:rFonts w:ascii="Times New Roman" w:hAnsi="Times New Roman"/>
      <w:sz w:val="24"/>
      <w:szCs w:val="20"/>
      <w:lang w:eastAsia="ko-KR"/>
    </w:rPr>
  </w:style>
  <w:style w:type="character" w:customStyle="1" w:styleId="afffffff1">
    <w:name w:val="ТЕКСТ ГРАД Знак"/>
    <w:link w:val="afffffff0"/>
    <w:uiPriority w:val="99"/>
    <w:locked/>
    <w:rsid w:val="008F6C87"/>
    <w:rPr>
      <w:sz w:val="24"/>
    </w:rPr>
  </w:style>
  <w:style w:type="paragraph" w:customStyle="1" w:styleId="afffffff2">
    <w:name w:val="ООО  «Институт Территориального Планирования"/>
    <w:basedOn w:val="Normal"/>
    <w:link w:val="afffffff3"/>
    <w:uiPriority w:val="99"/>
    <w:rsid w:val="008F6C87"/>
    <w:pPr>
      <w:spacing w:after="0" w:line="360" w:lineRule="auto"/>
      <w:ind w:left="709"/>
      <w:jc w:val="right"/>
    </w:pPr>
    <w:rPr>
      <w:rFonts w:ascii="Times New Roman" w:hAnsi="Times New Roman"/>
      <w:sz w:val="24"/>
      <w:szCs w:val="20"/>
      <w:lang w:eastAsia="ko-KR"/>
    </w:rPr>
  </w:style>
  <w:style w:type="character" w:customStyle="1" w:styleId="afffffff3">
    <w:name w:val="ООО  «Институт Территориального Планирования Знак"/>
    <w:link w:val="afffffff2"/>
    <w:uiPriority w:val="99"/>
    <w:locked/>
    <w:rsid w:val="008F6C87"/>
    <w:rPr>
      <w:sz w:val="24"/>
    </w:rPr>
  </w:style>
  <w:style w:type="paragraph" w:customStyle="1" w:styleId="Se">
    <w:name w:val="S_Обложка_проект"/>
    <w:basedOn w:val="Normal"/>
    <w:uiPriority w:val="99"/>
    <w:rsid w:val="008F6C87"/>
    <w:pPr>
      <w:spacing w:after="0" w:line="360" w:lineRule="auto"/>
      <w:ind w:left="3240"/>
      <w:jc w:val="right"/>
    </w:pPr>
    <w:rPr>
      <w:rFonts w:ascii="Times New Roman" w:hAnsi="Times New Roman"/>
      <w:caps/>
      <w:sz w:val="24"/>
      <w:szCs w:val="24"/>
      <w:lang w:eastAsia="ru-RU"/>
    </w:rPr>
  </w:style>
  <w:style w:type="paragraph" w:customStyle="1" w:styleId="a">
    <w:name w:val="Список нумерованный"/>
    <w:basedOn w:val="Normal"/>
    <w:uiPriority w:val="99"/>
    <w:rsid w:val="008F6C87"/>
    <w:pPr>
      <w:numPr>
        <w:numId w:val="51"/>
      </w:numPr>
      <w:spacing w:before="120" w:after="0" w:line="240" w:lineRule="auto"/>
      <w:jc w:val="both"/>
    </w:pPr>
    <w:rPr>
      <w:rFonts w:ascii="Times New Roman" w:hAnsi="Times New Roman"/>
      <w:sz w:val="24"/>
      <w:szCs w:val="24"/>
      <w:lang w:eastAsia="ru-RU"/>
    </w:rPr>
  </w:style>
  <w:style w:type="paragraph" w:customStyle="1" w:styleId="afffffff4">
    <w:name w:val="Табличный"/>
    <w:basedOn w:val="Normal"/>
    <w:uiPriority w:val="99"/>
    <w:rsid w:val="008F6C87"/>
    <w:pPr>
      <w:keepNext/>
      <w:widowControl w:val="0"/>
      <w:spacing w:before="60" w:after="60" w:line="240" w:lineRule="auto"/>
      <w:jc w:val="center"/>
    </w:pPr>
    <w:rPr>
      <w:rFonts w:ascii="Times New Roman" w:hAnsi="Times New Roman"/>
      <w:b/>
      <w:szCs w:val="20"/>
      <w:lang w:eastAsia="ru-RU"/>
    </w:rPr>
  </w:style>
  <w:style w:type="paragraph" w:customStyle="1" w:styleId="afffffff5">
    <w:name w:val="Содержание"/>
    <w:basedOn w:val="Normal"/>
    <w:uiPriority w:val="99"/>
    <w:rsid w:val="008F6C87"/>
    <w:pPr>
      <w:widowControl w:val="0"/>
      <w:spacing w:before="240" w:after="240" w:line="240" w:lineRule="auto"/>
      <w:jc w:val="center"/>
    </w:pPr>
    <w:rPr>
      <w:rFonts w:ascii="Times New Roman" w:hAnsi="Times New Roman"/>
      <w:b/>
      <w:caps/>
      <w:sz w:val="24"/>
      <w:szCs w:val="20"/>
      <w:lang w:eastAsia="ru-RU"/>
    </w:rPr>
  </w:style>
  <w:style w:type="paragraph" w:customStyle="1" w:styleId="1fff">
    <w:name w:val="Список 1)"/>
    <w:basedOn w:val="Normal"/>
    <w:uiPriority w:val="99"/>
    <w:rsid w:val="008F6C87"/>
    <w:pPr>
      <w:spacing w:before="120" w:after="0" w:line="240" w:lineRule="auto"/>
      <w:jc w:val="both"/>
    </w:pPr>
    <w:rPr>
      <w:rFonts w:ascii="Times New Roman" w:hAnsi="Times New Roman"/>
      <w:sz w:val="24"/>
      <w:szCs w:val="24"/>
      <w:lang w:eastAsia="ru-RU"/>
    </w:rPr>
  </w:style>
  <w:style w:type="paragraph" w:customStyle="1" w:styleId="afffffff6">
    <w:name w:val="Табличный_нумерованный"/>
    <w:basedOn w:val="Normal"/>
    <w:link w:val="afffffff7"/>
    <w:uiPriority w:val="99"/>
    <w:rsid w:val="008F6C87"/>
    <w:pPr>
      <w:spacing w:after="0" w:line="240" w:lineRule="auto"/>
    </w:pPr>
    <w:rPr>
      <w:rFonts w:ascii="Times New Roman" w:hAnsi="Times New Roman"/>
      <w:szCs w:val="20"/>
      <w:lang w:eastAsia="ko-KR"/>
    </w:rPr>
  </w:style>
  <w:style w:type="character" w:customStyle="1" w:styleId="afffffff7">
    <w:name w:val="Табличный_нумерованный Знак"/>
    <w:link w:val="afffffff6"/>
    <w:uiPriority w:val="99"/>
    <w:locked/>
    <w:rsid w:val="008F6C87"/>
    <w:rPr>
      <w:sz w:val="22"/>
    </w:rPr>
  </w:style>
  <w:style w:type="paragraph" w:styleId="TOAHeading">
    <w:name w:val="toa heading"/>
    <w:basedOn w:val="Normal"/>
    <w:next w:val="Normal"/>
    <w:uiPriority w:val="99"/>
    <w:rsid w:val="008F6C87"/>
    <w:pPr>
      <w:spacing w:before="40" w:after="20" w:line="240" w:lineRule="auto"/>
      <w:jc w:val="center"/>
    </w:pPr>
    <w:rPr>
      <w:rFonts w:ascii="Times New Roman" w:hAnsi="Times New Roman"/>
      <w:b/>
      <w:szCs w:val="20"/>
      <w:lang w:eastAsia="ru-RU"/>
    </w:rPr>
  </w:style>
  <w:style w:type="paragraph" w:customStyle="1" w:styleId="a2">
    <w:name w:val="Требования"/>
    <w:basedOn w:val="Normal"/>
    <w:uiPriority w:val="99"/>
    <w:rsid w:val="008F6C87"/>
    <w:pPr>
      <w:numPr>
        <w:ilvl w:val="1"/>
        <w:numId w:val="50"/>
      </w:numPr>
      <w:spacing w:before="120" w:after="60" w:line="240" w:lineRule="auto"/>
      <w:ind w:left="0" w:firstLine="567"/>
      <w:jc w:val="both"/>
      <w:outlineLvl w:val="1"/>
    </w:pPr>
    <w:rPr>
      <w:rFonts w:ascii="Times New Roman" w:hAnsi="Times New Roman"/>
      <w:bCs/>
      <w:i/>
      <w:iCs/>
      <w:sz w:val="24"/>
      <w:szCs w:val="24"/>
      <w:lang w:eastAsia="ru-RU"/>
    </w:rPr>
  </w:style>
  <w:style w:type="paragraph" w:customStyle="1" w:styleId="a0">
    <w:name w:val="Список а)"/>
    <w:basedOn w:val="List"/>
    <w:uiPriority w:val="99"/>
    <w:rsid w:val="008F6C87"/>
    <w:pPr>
      <w:numPr>
        <w:numId w:val="49"/>
      </w:numPr>
      <w:spacing w:after="60" w:line="240" w:lineRule="auto"/>
      <w:ind w:firstLine="0"/>
    </w:pPr>
    <w:rPr>
      <w:rFonts w:ascii="Times New Roman" w:hAnsi="Times New Roman"/>
      <w:spacing w:val="0"/>
      <w:sz w:val="24"/>
      <w:szCs w:val="24"/>
      <w:lang w:eastAsia="ko-KR"/>
    </w:rPr>
  </w:style>
  <w:style w:type="paragraph" w:customStyle="1" w:styleId="1fff0">
    <w:name w:val="Обычный 1"/>
    <w:basedOn w:val="Normal"/>
    <w:next w:val="Normal"/>
    <w:uiPriority w:val="99"/>
    <w:semiHidden/>
    <w:rsid w:val="008F6C87"/>
    <w:pPr>
      <w:tabs>
        <w:tab w:val="num" w:pos="360"/>
      </w:tabs>
      <w:spacing w:before="120" w:after="0" w:line="240" w:lineRule="auto"/>
      <w:ind w:left="360" w:hanging="360"/>
      <w:jc w:val="both"/>
    </w:pPr>
    <w:rPr>
      <w:rFonts w:ascii="Times New Roman" w:hAnsi="Times New Roman"/>
      <w:sz w:val="24"/>
      <w:szCs w:val="20"/>
      <w:lang w:eastAsia="ru-RU"/>
    </w:rPr>
  </w:style>
  <w:style w:type="table" w:customStyle="1" w:styleId="90">
    <w:name w:val="Сетка таблицы9"/>
    <w:uiPriority w:val="99"/>
    <w:rsid w:val="008F6C87"/>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8">
    <w:name w:val="Обычный влево"/>
    <w:basedOn w:val="1fff0"/>
    <w:uiPriority w:val="99"/>
    <w:rsid w:val="008F6C87"/>
    <w:pPr>
      <w:tabs>
        <w:tab w:val="clear" w:pos="360"/>
      </w:tabs>
      <w:spacing w:before="0"/>
      <w:ind w:left="0" w:firstLine="0"/>
      <w:jc w:val="left"/>
    </w:pPr>
  </w:style>
  <w:style w:type="paragraph" w:customStyle="1" w:styleId="afffffff9">
    <w:name w:val="Табличный_по ширине"/>
    <w:basedOn w:val="afffe"/>
    <w:uiPriority w:val="99"/>
    <w:rsid w:val="008F6C87"/>
    <w:pPr>
      <w:jc w:val="both"/>
    </w:pPr>
  </w:style>
  <w:style w:type="paragraph" w:customStyle="1" w:styleId="102">
    <w:name w:val="Табличный_центр_10"/>
    <w:basedOn w:val="Normal"/>
    <w:uiPriority w:val="99"/>
    <w:rsid w:val="008F6C87"/>
    <w:pPr>
      <w:spacing w:after="0" w:line="240" w:lineRule="auto"/>
      <w:jc w:val="center"/>
    </w:pPr>
    <w:rPr>
      <w:rFonts w:ascii="Times New Roman" w:hAnsi="Times New Roman"/>
      <w:sz w:val="20"/>
      <w:szCs w:val="24"/>
      <w:lang w:eastAsia="ru-RU"/>
    </w:rPr>
  </w:style>
  <w:style w:type="paragraph" w:customStyle="1" w:styleId="103">
    <w:name w:val="Табличный_слева_10"/>
    <w:basedOn w:val="Normal"/>
    <w:uiPriority w:val="99"/>
    <w:rsid w:val="008F6C87"/>
    <w:pPr>
      <w:spacing w:after="0" w:line="240" w:lineRule="auto"/>
    </w:pPr>
    <w:rPr>
      <w:rFonts w:ascii="Times New Roman" w:hAnsi="Times New Roman"/>
      <w:sz w:val="20"/>
      <w:szCs w:val="24"/>
      <w:lang w:eastAsia="ru-RU"/>
    </w:rPr>
  </w:style>
  <w:style w:type="paragraph" w:customStyle="1" w:styleId="104">
    <w:name w:val="Табличный_по ширине_10"/>
    <w:basedOn w:val="Normal"/>
    <w:uiPriority w:val="99"/>
    <w:rsid w:val="008F6C87"/>
    <w:pPr>
      <w:spacing w:after="0" w:line="240" w:lineRule="auto"/>
      <w:jc w:val="both"/>
    </w:pPr>
    <w:rPr>
      <w:rFonts w:ascii="Times New Roman" w:hAnsi="Times New Roman"/>
      <w:sz w:val="20"/>
      <w:szCs w:val="24"/>
      <w:lang w:eastAsia="ru-RU"/>
    </w:rPr>
  </w:style>
  <w:style w:type="paragraph" w:customStyle="1" w:styleId="10">
    <w:name w:val="Табличный_нумерованный_10"/>
    <w:basedOn w:val="Normal"/>
    <w:uiPriority w:val="99"/>
    <w:rsid w:val="008F6C87"/>
    <w:pPr>
      <w:numPr>
        <w:numId w:val="52"/>
      </w:numPr>
      <w:spacing w:after="0" w:line="240" w:lineRule="auto"/>
    </w:pPr>
    <w:rPr>
      <w:rFonts w:ascii="Times New Roman" w:hAnsi="Times New Roman"/>
      <w:sz w:val="20"/>
      <w:szCs w:val="24"/>
      <w:lang w:eastAsia="ru-RU"/>
    </w:rPr>
  </w:style>
  <w:style w:type="paragraph" w:customStyle="1" w:styleId="105">
    <w:name w:val="Табличный_заголовки_10"/>
    <w:basedOn w:val="afffa"/>
    <w:uiPriority w:val="99"/>
    <w:rsid w:val="008F6C87"/>
    <w:pPr>
      <w:jc w:val="center"/>
    </w:pPr>
    <w:rPr>
      <w:b/>
      <w:sz w:val="20"/>
      <w:lang w:eastAsia="ru-RU"/>
    </w:rPr>
  </w:style>
  <w:style w:type="table" w:customStyle="1" w:styleId="-12">
    <w:name w:val="Веб-таблица 12"/>
    <w:uiPriority w:val="99"/>
    <w:rsid w:val="008F6C87"/>
    <w:rPr>
      <w:sz w:val="20"/>
      <w:szCs w:val="20"/>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2">
    <w:name w:val="Веб-таблица 22"/>
    <w:uiPriority w:val="99"/>
    <w:rsid w:val="008F6C87"/>
    <w:rPr>
      <w:sz w:val="20"/>
      <w:szCs w:val="20"/>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2">
    <w:name w:val="Веб-таблица 32"/>
    <w:uiPriority w:val="99"/>
    <w:rsid w:val="008F6C87"/>
    <w:rPr>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f1">
    <w:name w:val="Изысканная таблица2"/>
    <w:uiPriority w:val="99"/>
    <w:rsid w:val="008F6C87"/>
    <w:rPr>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1">
    <w:name w:val="Изящная таблица 12"/>
    <w:uiPriority w:val="99"/>
    <w:rsid w:val="008F6C87"/>
    <w:rPr>
      <w:sz w:val="20"/>
      <w:szCs w:val="20"/>
    </w:rPr>
    <w:tblPr>
      <w:tblStyleRowBandSize w:val="1"/>
      <w:tblInd w:w="0" w:type="dxa"/>
      <w:tblCellMar>
        <w:top w:w="0" w:type="dxa"/>
        <w:left w:w="108" w:type="dxa"/>
        <w:bottom w:w="0" w:type="dxa"/>
        <w:right w:w="108" w:type="dxa"/>
      </w:tblCellMar>
    </w:tblPr>
  </w:style>
  <w:style w:type="table" w:customStyle="1" w:styleId="222">
    <w:name w:val="Изящная таблица 22"/>
    <w:uiPriority w:val="99"/>
    <w:rsid w:val="008F6C87"/>
    <w:rPr>
      <w:sz w:val="20"/>
      <w:szCs w:val="20"/>
    </w:rPr>
    <w:tblPr>
      <w:tblInd w:w="0" w:type="dxa"/>
      <w:tblBorders>
        <w:left w:val="single" w:sz="6" w:space="0" w:color="000000"/>
        <w:right w:val="single" w:sz="6" w:space="0" w:color="000000"/>
      </w:tblBorders>
      <w:tblCellMar>
        <w:top w:w="0" w:type="dxa"/>
        <w:left w:w="108" w:type="dxa"/>
        <w:bottom w:w="0" w:type="dxa"/>
        <w:right w:w="108" w:type="dxa"/>
      </w:tblCellMar>
    </w:tblPr>
  </w:style>
  <w:style w:type="table" w:customStyle="1" w:styleId="122">
    <w:name w:val="Классическая таблица 12"/>
    <w:uiPriority w:val="99"/>
    <w:rsid w:val="008F6C87"/>
    <w:rPr>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223">
    <w:name w:val="Классическая таблица 22"/>
    <w:uiPriority w:val="99"/>
    <w:rsid w:val="008F6C87"/>
    <w:rPr>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323">
    <w:name w:val="Классическая таблица 32"/>
    <w:uiPriority w:val="99"/>
    <w:rsid w:val="008F6C87"/>
    <w:rPr>
      <w:color w:val="000080"/>
      <w:sz w:val="20"/>
      <w:szCs w:val="2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2">
    <w:name w:val="Классическая таблица 42"/>
    <w:uiPriority w:val="99"/>
    <w:rsid w:val="008F6C87"/>
    <w:rPr>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23">
    <w:name w:val="Объемная таблица 12"/>
    <w:uiPriority w:val="99"/>
    <w:rsid w:val="008F6C87"/>
    <w:rPr>
      <w:sz w:val="20"/>
      <w:szCs w:val="20"/>
    </w:rPr>
    <w:tblPr>
      <w:tblInd w:w="0" w:type="dxa"/>
      <w:tblCellMar>
        <w:top w:w="0" w:type="dxa"/>
        <w:left w:w="108" w:type="dxa"/>
        <w:bottom w:w="0" w:type="dxa"/>
        <w:right w:w="108" w:type="dxa"/>
      </w:tblCellMar>
    </w:tblPr>
    <w:tcPr>
      <w:shd w:val="solid" w:color="C0C0C0" w:fill="FFFFFF"/>
    </w:tcPr>
  </w:style>
  <w:style w:type="table" w:customStyle="1" w:styleId="224">
    <w:name w:val="Объемная таблица 22"/>
    <w:uiPriority w:val="99"/>
    <w:rsid w:val="008F6C87"/>
    <w:rPr>
      <w:sz w:val="20"/>
      <w:szCs w:val="20"/>
    </w:rPr>
    <w:tblPr>
      <w:tblStyleRowBandSize w:val="1"/>
      <w:tblInd w:w="0" w:type="dxa"/>
      <w:tblCellMar>
        <w:top w:w="0" w:type="dxa"/>
        <w:left w:w="108" w:type="dxa"/>
        <w:bottom w:w="0" w:type="dxa"/>
        <w:right w:w="108" w:type="dxa"/>
      </w:tblCellMar>
    </w:tblPr>
    <w:tcPr>
      <w:shd w:val="solid" w:color="C0C0C0" w:fill="FFFFFF"/>
    </w:tcPr>
  </w:style>
  <w:style w:type="table" w:customStyle="1" w:styleId="324">
    <w:name w:val="Объемная таблица 32"/>
    <w:uiPriority w:val="99"/>
    <w:rsid w:val="008F6C87"/>
    <w:rPr>
      <w:sz w:val="20"/>
      <w:szCs w:val="20"/>
    </w:rPr>
    <w:tblPr>
      <w:tblStyleRowBandSize w:val="1"/>
      <w:tblStyleColBandSize w:val="1"/>
      <w:tblInd w:w="0" w:type="dxa"/>
      <w:tblCellMar>
        <w:top w:w="0" w:type="dxa"/>
        <w:left w:w="108" w:type="dxa"/>
        <w:bottom w:w="0" w:type="dxa"/>
        <w:right w:w="108" w:type="dxa"/>
      </w:tblCellMar>
    </w:tblPr>
  </w:style>
  <w:style w:type="table" w:customStyle="1" w:styleId="124">
    <w:name w:val="Простая таблица 12"/>
    <w:uiPriority w:val="99"/>
    <w:rsid w:val="008F6C87"/>
    <w:rPr>
      <w:sz w:val="20"/>
      <w:szCs w:val="20"/>
    </w:rPr>
    <w:tblPr>
      <w:tblInd w:w="0" w:type="dxa"/>
      <w:tblBorders>
        <w:top w:val="single" w:sz="12" w:space="0" w:color="008000"/>
        <w:bottom w:val="single" w:sz="12" w:space="0" w:color="008000"/>
      </w:tblBorders>
      <w:tblCellMar>
        <w:top w:w="0" w:type="dxa"/>
        <w:left w:w="108" w:type="dxa"/>
        <w:bottom w:w="0" w:type="dxa"/>
        <w:right w:w="108" w:type="dxa"/>
      </w:tblCellMar>
    </w:tblPr>
  </w:style>
  <w:style w:type="table" w:customStyle="1" w:styleId="225">
    <w:name w:val="Простая таблица 22"/>
    <w:uiPriority w:val="99"/>
    <w:rsid w:val="008F6C87"/>
    <w:rPr>
      <w:sz w:val="20"/>
      <w:szCs w:val="20"/>
    </w:rPr>
    <w:tblPr>
      <w:tblInd w:w="0" w:type="dxa"/>
      <w:tblCellMar>
        <w:top w:w="0" w:type="dxa"/>
        <w:left w:w="108" w:type="dxa"/>
        <w:bottom w:w="0" w:type="dxa"/>
        <w:right w:w="108" w:type="dxa"/>
      </w:tblCellMar>
    </w:tblPr>
  </w:style>
  <w:style w:type="table" w:customStyle="1" w:styleId="325">
    <w:name w:val="Простая таблица 32"/>
    <w:uiPriority w:val="99"/>
    <w:rsid w:val="008F6C87"/>
    <w:rPr>
      <w:sz w:val="20"/>
      <w:szCs w:val="2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25">
    <w:name w:val="Сетка таблицы 12"/>
    <w:uiPriority w:val="99"/>
    <w:rsid w:val="008F6C87"/>
    <w:rPr>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26">
    <w:name w:val="Сетка таблицы 22"/>
    <w:uiPriority w:val="99"/>
    <w:rsid w:val="008F6C87"/>
    <w:rPr>
      <w:sz w:val="20"/>
      <w:szCs w:val="20"/>
    </w:rPr>
    <w:tblPr>
      <w:tblInd w:w="0" w:type="dxa"/>
      <w:tblBorders>
        <w:insideH w:val="single" w:sz="6" w:space="0" w:color="000000"/>
        <w:insideV w:val="single" w:sz="6" w:space="0" w:color="000000"/>
      </w:tblBorders>
      <w:tblCellMar>
        <w:top w:w="0" w:type="dxa"/>
        <w:left w:w="108" w:type="dxa"/>
        <w:bottom w:w="0" w:type="dxa"/>
        <w:right w:w="108" w:type="dxa"/>
      </w:tblCellMar>
    </w:tblPr>
  </w:style>
  <w:style w:type="table" w:customStyle="1" w:styleId="326">
    <w:name w:val="Сетка таблицы 32"/>
    <w:uiPriority w:val="99"/>
    <w:rsid w:val="008F6C87"/>
    <w:rPr>
      <w:sz w:val="20"/>
      <w:szCs w:val="20"/>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20">
    <w:name w:val="Сетка таблицы 42"/>
    <w:uiPriority w:val="99"/>
    <w:rsid w:val="008F6C87"/>
    <w:rPr>
      <w:sz w:val="20"/>
      <w:szCs w:val="20"/>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20">
    <w:name w:val="Сетка таблицы 52"/>
    <w:uiPriority w:val="99"/>
    <w:rsid w:val="008F6C87"/>
    <w:rPr>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20">
    <w:name w:val="Сетка таблицы 62"/>
    <w:uiPriority w:val="99"/>
    <w:rsid w:val="008F6C87"/>
    <w:rPr>
      <w:sz w:val="20"/>
      <w:szCs w:val="20"/>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2">
    <w:name w:val="Сетка таблицы 72"/>
    <w:uiPriority w:val="99"/>
    <w:rsid w:val="008F6C87"/>
    <w:rPr>
      <w:b/>
      <w:bCs/>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2">
    <w:name w:val="Сетка таблицы 82"/>
    <w:uiPriority w:val="99"/>
    <w:rsid w:val="008F6C87"/>
    <w:rPr>
      <w:sz w:val="20"/>
      <w:szCs w:val="20"/>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f2">
    <w:name w:val="Современная таблица2"/>
    <w:uiPriority w:val="99"/>
    <w:rsid w:val="008F6C87"/>
    <w:rPr>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f3">
    <w:name w:val="Стандартная таблица2"/>
    <w:uiPriority w:val="99"/>
    <w:rsid w:val="008F6C87"/>
    <w:rPr>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6">
    <w:name w:val="Столбцы таблицы 12"/>
    <w:uiPriority w:val="99"/>
    <w:rsid w:val="008F6C87"/>
    <w:rPr>
      <w:b/>
      <w:bCs/>
      <w:sz w:val="20"/>
      <w:szCs w:val="20"/>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27">
    <w:name w:val="Столбцы таблицы 22"/>
    <w:uiPriority w:val="99"/>
    <w:rsid w:val="008F6C87"/>
    <w:rPr>
      <w:b/>
      <w:bCs/>
      <w:sz w:val="20"/>
      <w:szCs w:val="20"/>
    </w:rPr>
    <w:tblPr>
      <w:tblStyleColBandSize w:val="1"/>
      <w:tblInd w:w="0" w:type="dxa"/>
      <w:tblCellMar>
        <w:top w:w="0" w:type="dxa"/>
        <w:left w:w="108" w:type="dxa"/>
        <w:bottom w:w="0" w:type="dxa"/>
        <w:right w:w="108" w:type="dxa"/>
      </w:tblCellMar>
    </w:tblPr>
  </w:style>
  <w:style w:type="table" w:customStyle="1" w:styleId="327">
    <w:name w:val="Столбцы таблицы 32"/>
    <w:uiPriority w:val="99"/>
    <w:rsid w:val="008F6C87"/>
    <w:rPr>
      <w:b/>
      <w:bCs/>
      <w:sz w:val="20"/>
      <w:szCs w:val="20"/>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21">
    <w:name w:val="Столбцы таблицы 42"/>
    <w:uiPriority w:val="99"/>
    <w:rsid w:val="008F6C87"/>
    <w:rPr>
      <w:sz w:val="20"/>
      <w:szCs w:val="20"/>
    </w:rPr>
    <w:tblPr>
      <w:tblStyleColBandSize w:val="1"/>
      <w:tblInd w:w="0" w:type="dxa"/>
      <w:tblCellMar>
        <w:top w:w="0" w:type="dxa"/>
        <w:left w:w="108" w:type="dxa"/>
        <w:bottom w:w="0" w:type="dxa"/>
        <w:right w:w="108" w:type="dxa"/>
      </w:tblCellMar>
    </w:tblPr>
  </w:style>
  <w:style w:type="table" w:customStyle="1" w:styleId="521">
    <w:name w:val="Столбцы таблицы 52"/>
    <w:uiPriority w:val="99"/>
    <w:rsid w:val="008F6C87"/>
    <w:rPr>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20">
    <w:name w:val="Таблица-список 12"/>
    <w:uiPriority w:val="99"/>
    <w:rsid w:val="008F6C87"/>
    <w:rPr>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20">
    <w:name w:val="Таблица-список 22"/>
    <w:uiPriority w:val="99"/>
    <w:rsid w:val="008F6C87"/>
    <w:rPr>
      <w:sz w:val="20"/>
      <w:szCs w:val="20"/>
    </w:rPr>
    <w:tblPr>
      <w:tblStyleRowBandSize w:val="2"/>
      <w:tblInd w:w="0" w:type="dxa"/>
      <w:tblBorders>
        <w:bottom w:val="single" w:sz="12" w:space="0" w:color="808080"/>
      </w:tblBorders>
      <w:tblCellMar>
        <w:top w:w="0" w:type="dxa"/>
        <w:left w:w="108" w:type="dxa"/>
        <w:bottom w:w="0" w:type="dxa"/>
        <w:right w:w="108" w:type="dxa"/>
      </w:tblCellMar>
    </w:tblPr>
  </w:style>
  <w:style w:type="table" w:customStyle="1" w:styleId="-320">
    <w:name w:val="Таблица-список 32"/>
    <w:uiPriority w:val="99"/>
    <w:rsid w:val="008F6C87"/>
    <w:rPr>
      <w:sz w:val="20"/>
      <w:szCs w:val="20"/>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2">
    <w:name w:val="Таблица-список 42"/>
    <w:uiPriority w:val="99"/>
    <w:rsid w:val="008F6C87"/>
    <w:rPr>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2">
    <w:name w:val="Таблица-список 52"/>
    <w:uiPriority w:val="99"/>
    <w:rsid w:val="008F6C87"/>
    <w:rPr>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2">
    <w:name w:val="Таблица-список 62"/>
    <w:uiPriority w:val="99"/>
    <w:rsid w:val="008F6C87"/>
    <w:rPr>
      <w:sz w:val="20"/>
      <w:szCs w:val="20"/>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2">
    <w:name w:val="Таблица-список 72"/>
    <w:uiPriority w:val="99"/>
    <w:rsid w:val="008F6C87"/>
    <w:rPr>
      <w:sz w:val="20"/>
      <w:szCs w:val="20"/>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2">
    <w:name w:val="Таблица-список 82"/>
    <w:uiPriority w:val="99"/>
    <w:rsid w:val="008F6C87"/>
    <w:rPr>
      <w:sz w:val="20"/>
      <w:szCs w:val="20"/>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2f4">
    <w:name w:val="Тема таблицы2"/>
    <w:uiPriority w:val="99"/>
    <w:rsid w:val="008F6C87"/>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7">
    <w:name w:val="Цветная таблица 12"/>
    <w:uiPriority w:val="99"/>
    <w:rsid w:val="008F6C87"/>
    <w:rPr>
      <w:color w:val="FFFFFF"/>
      <w:sz w:val="20"/>
      <w:szCs w:val="20"/>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28">
    <w:name w:val="Цветная таблица 22"/>
    <w:uiPriority w:val="99"/>
    <w:rsid w:val="008F6C87"/>
    <w:rPr>
      <w:sz w:val="20"/>
      <w:szCs w:val="20"/>
    </w:rPr>
    <w:tblPr>
      <w:tblInd w:w="0" w:type="dxa"/>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28">
    <w:name w:val="Цветная таблица 32"/>
    <w:uiPriority w:val="99"/>
    <w:rsid w:val="008F6C87"/>
    <w:rPr>
      <w:sz w:val="20"/>
      <w:szCs w:val="20"/>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styleId="MediumShading2-Accent5">
    <w:name w:val="Medium Shading 2 Accent 5"/>
    <w:basedOn w:val="TableNormal"/>
    <w:uiPriority w:val="99"/>
    <w:rsid w:val="008F6C87"/>
    <w:rPr>
      <w:rFonts w:ascii="Calibri" w:hAnsi="Calibri"/>
      <w:sz w:val="20"/>
      <w:szCs w:val="20"/>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rPr>
        <w:rFonts w:cs="Times New Roman"/>
      </w:rPr>
      <w:tblPr/>
      <w:tcPr>
        <w:tcBorders>
          <w:top w:val="double" w:sz="6" w:space="0" w:color="auto"/>
          <w:left w:val="nil"/>
          <w:bottom w:val="single" w:sz="18" w:space="0" w:color="auto"/>
          <w:right w:val="nil"/>
          <w:insideH w:val="nil"/>
          <w:insideV w:val="nil"/>
        </w:tcBorders>
        <w:shd w:val="clear" w:color="auto" w:fill="F4F4F4"/>
      </w:tcPr>
    </w:tblStylePr>
    <w:tblStylePr w:type="firstCol">
      <w:rPr>
        <w:rFonts w:cs="Times New Roman"/>
        <w:b/>
        <w:bCs/>
        <w:color w:val="F4F4F4"/>
      </w:rPr>
      <w:tblPr/>
      <w:tcPr>
        <w:tcBorders>
          <w:top w:val="nil"/>
          <w:left w:val="nil"/>
          <w:bottom w:val="single" w:sz="18" w:space="0" w:color="auto"/>
          <w:right w:val="nil"/>
          <w:insideH w:val="nil"/>
          <w:insideV w:val="nil"/>
        </w:tcBorders>
        <w:shd w:val="clear" w:color="auto" w:fill="4BACC6"/>
      </w:tcPr>
    </w:tblStylePr>
    <w:tblStylePr w:type="lastCol">
      <w:rPr>
        <w:rFonts w:cs="Times New Roman"/>
        <w:b/>
        <w:bCs/>
        <w:color w:val="F4F4F4"/>
      </w:rPr>
      <w:tblPr/>
      <w:tcPr>
        <w:tcBorders>
          <w:left w:val="nil"/>
          <w:right w:val="nil"/>
          <w:insideH w:val="nil"/>
          <w:insideV w:val="nil"/>
        </w:tcBorders>
        <w:shd w:val="clear" w:color="auto" w:fill="4BACC6"/>
      </w:tcPr>
    </w:tblStylePr>
    <w:tblStylePr w:type="band1Vert">
      <w:rPr>
        <w:rFonts w:cs="Times New Roman"/>
      </w:rPr>
      <w:tblPr/>
      <w:tcPr>
        <w:tcBorders>
          <w:left w:val="nil"/>
          <w:right w:val="nil"/>
          <w:insideH w:val="nil"/>
          <w:insideV w:val="nil"/>
        </w:tcBorders>
        <w:shd w:val="clear" w:color="auto" w:fill="CECECE"/>
      </w:tcPr>
    </w:tblStylePr>
    <w:tblStylePr w:type="band1Horz">
      <w:rPr>
        <w:rFonts w:cs="Times New Roman"/>
      </w:rPr>
      <w:tblPr/>
      <w:tcPr>
        <w:shd w:val="clear" w:color="auto" w:fill="CECECE"/>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4F4F4"/>
      </w:rPr>
      <w:tblPr/>
      <w:tcPr>
        <w:tcBorders>
          <w:top w:val="single" w:sz="18" w:space="0" w:color="auto"/>
          <w:left w:val="nil"/>
          <w:bottom w:val="single" w:sz="18" w:space="0" w:color="auto"/>
          <w:right w:val="nil"/>
          <w:insideH w:val="nil"/>
          <w:insideV w:val="nil"/>
        </w:tcBorders>
      </w:tcPr>
    </w:tblStylePr>
  </w:style>
  <w:style w:type="paragraph" w:customStyle="1" w:styleId="S20">
    <w:name w:val="S_Титульный 2"/>
    <w:basedOn w:val="Normal"/>
    <w:uiPriority w:val="99"/>
    <w:rsid w:val="008F6C87"/>
    <w:pPr>
      <w:shd w:val="clear" w:color="auto" w:fill="FFFFFF"/>
      <w:snapToGrid w:val="0"/>
      <w:spacing w:after="0" w:line="240" w:lineRule="auto"/>
      <w:jc w:val="center"/>
    </w:pPr>
    <w:rPr>
      <w:rFonts w:ascii="Times New Roman" w:hAnsi="Times New Roman"/>
      <w:sz w:val="24"/>
      <w:szCs w:val="24"/>
      <w:lang w:eastAsia="ar-SA"/>
    </w:rPr>
  </w:style>
  <w:style w:type="paragraph" w:customStyle="1" w:styleId="afffffffa">
    <w:name w:val="Текст отчета"/>
    <w:basedOn w:val="Normal"/>
    <w:uiPriority w:val="99"/>
    <w:rsid w:val="008F6C87"/>
    <w:pPr>
      <w:spacing w:after="0" w:line="360" w:lineRule="auto"/>
      <w:ind w:firstLine="709"/>
    </w:pPr>
    <w:rPr>
      <w:rFonts w:ascii="Times New Roman" w:hAnsi="Times New Roman"/>
      <w:sz w:val="24"/>
      <w:lang w:eastAsia="ru-RU"/>
    </w:rPr>
  </w:style>
  <w:style w:type="paragraph" w:customStyle="1" w:styleId="xl64">
    <w:name w:val="xl64"/>
    <w:basedOn w:val="Normal"/>
    <w:uiPriority w:val="99"/>
    <w:rsid w:val="008F6C8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sz w:val="18"/>
      <w:szCs w:val="18"/>
      <w:lang w:eastAsia="ru-RU"/>
    </w:rPr>
  </w:style>
  <w:style w:type="paragraph" w:customStyle="1" w:styleId="xl65">
    <w:name w:val="xl65"/>
    <w:basedOn w:val="Normal"/>
    <w:uiPriority w:val="99"/>
    <w:rsid w:val="008F6C8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sz w:val="18"/>
      <w:szCs w:val="18"/>
      <w:lang w:eastAsia="ru-RU"/>
    </w:rPr>
  </w:style>
  <w:style w:type="paragraph" w:customStyle="1" w:styleId="xl66">
    <w:name w:val="xl66"/>
    <w:basedOn w:val="Normal"/>
    <w:uiPriority w:val="99"/>
    <w:rsid w:val="008F6C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sz w:val="18"/>
      <w:szCs w:val="18"/>
      <w:lang w:eastAsia="ru-RU"/>
    </w:rPr>
  </w:style>
  <w:style w:type="paragraph" w:customStyle="1" w:styleId="xl67">
    <w:name w:val="xl67"/>
    <w:basedOn w:val="Normal"/>
    <w:uiPriority w:val="99"/>
    <w:rsid w:val="008F6C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sz w:val="18"/>
      <w:szCs w:val="18"/>
      <w:lang w:eastAsia="ru-RU"/>
    </w:rPr>
  </w:style>
  <w:style w:type="paragraph" w:customStyle="1" w:styleId="xl68">
    <w:name w:val="xl68"/>
    <w:basedOn w:val="Normal"/>
    <w:uiPriority w:val="99"/>
    <w:rsid w:val="008F6C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sz w:val="18"/>
      <w:szCs w:val="18"/>
      <w:lang w:eastAsia="ru-RU"/>
    </w:rPr>
  </w:style>
  <w:style w:type="paragraph" w:customStyle="1" w:styleId="xl69">
    <w:name w:val="xl69"/>
    <w:basedOn w:val="Normal"/>
    <w:uiPriority w:val="99"/>
    <w:rsid w:val="008F6C87"/>
    <w:pPr>
      <w:pBdr>
        <w:top w:val="single" w:sz="4" w:space="0" w:color="auto"/>
        <w:left w:val="single" w:sz="4" w:space="0" w:color="auto"/>
        <w:right w:val="single" w:sz="4" w:space="0" w:color="auto"/>
      </w:pBdr>
      <w:shd w:val="clear" w:color="000000" w:fill="FFFFFF"/>
      <w:spacing w:before="100" w:beforeAutospacing="1" w:after="100" w:afterAutospacing="1" w:line="240" w:lineRule="auto"/>
    </w:pPr>
    <w:rPr>
      <w:rFonts w:ascii="Times New Roman" w:hAnsi="Times New Roman"/>
      <w:sz w:val="18"/>
      <w:szCs w:val="18"/>
      <w:lang w:eastAsia="ru-RU"/>
    </w:rPr>
  </w:style>
  <w:style w:type="paragraph" w:customStyle="1" w:styleId="xl70">
    <w:name w:val="xl70"/>
    <w:basedOn w:val="Normal"/>
    <w:uiPriority w:val="99"/>
    <w:rsid w:val="008F6C87"/>
    <w:pPr>
      <w:pBdr>
        <w:top w:val="single" w:sz="4" w:space="0" w:color="auto"/>
        <w:left w:val="single" w:sz="4" w:space="0" w:color="auto"/>
        <w:right w:val="single" w:sz="4" w:space="0" w:color="auto"/>
      </w:pBdr>
      <w:shd w:val="clear" w:color="000000" w:fill="FFFFFF"/>
      <w:spacing w:before="100" w:beforeAutospacing="1" w:after="100" w:afterAutospacing="1" w:line="240" w:lineRule="auto"/>
    </w:pPr>
    <w:rPr>
      <w:rFonts w:ascii="Times New Roman" w:hAnsi="Times New Roman"/>
      <w:sz w:val="18"/>
      <w:szCs w:val="18"/>
      <w:lang w:eastAsia="ru-RU"/>
    </w:rPr>
  </w:style>
  <w:style w:type="paragraph" w:customStyle="1" w:styleId="xl71">
    <w:name w:val="xl71"/>
    <w:basedOn w:val="Normal"/>
    <w:uiPriority w:val="99"/>
    <w:rsid w:val="008F6C8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sz w:val="18"/>
      <w:szCs w:val="18"/>
      <w:lang w:eastAsia="ru-RU"/>
    </w:rPr>
  </w:style>
  <w:style w:type="paragraph" w:customStyle="1" w:styleId="xl72">
    <w:name w:val="xl72"/>
    <w:basedOn w:val="Normal"/>
    <w:uiPriority w:val="99"/>
    <w:rsid w:val="008F6C8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sz w:val="18"/>
      <w:szCs w:val="18"/>
      <w:lang w:eastAsia="ru-RU"/>
    </w:rPr>
  </w:style>
  <w:style w:type="paragraph" w:customStyle="1" w:styleId="xl73">
    <w:name w:val="xl73"/>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 w:val="18"/>
      <w:szCs w:val="18"/>
      <w:lang w:eastAsia="ru-RU"/>
    </w:rPr>
  </w:style>
  <w:style w:type="paragraph" w:customStyle="1" w:styleId="xl74">
    <w:name w:val="xl74"/>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 w:val="18"/>
      <w:szCs w:val="18"/>
      <w:lang w:eastAsia="ru-RU"/>
    </w:rPr>
  </w:style>
  <w:style w:type="paragraph" w:customStyle="1" w:styleId="xl75">
    <w:name w:val="xl75"/>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18"/>
      <w:szCs w:val="18"/>
      <w:lang w:eastAsia="ru-RU"/>
    </w:rPr>
  </w:style>
  <w:style w:type="paragraph" w:customStyle="1" w:styleId="xl76">
    <w:name w:val="xl76"/>
    <w:basedOn w:val="Normal"/>
    <w:uiPriority w:val="99"/>
    <w:rsid w:val="008F6C87"/>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sz w:val="18"/>
      <w:szCs w:val="18"/>
      <w:lang w:eastAsia="ru-RU"/>
    </w:rPr>
  </w:style>
  <w:style w:type="paragraph" w:customStyle="1" w:styleId="xl77">
    <w:name w:val="xl77"/>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18"/>
      <w:szCs w:val="18"/>
      <w:lang w:eastAsia="ru-RU"/>
    </w:rPr>
  </w:style>
  <w:style w:type="paragraph" w:customStyle="1" w:styleId="xl78">
    <w:name w:val="xl78"/>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4"/>
      <w:szCs w:val="24"/>
      <w:lang w:eastAsia="ru-RU"/>
    </w:rPr>
  </w:style>
  <w:style w:type="paragraph" w:customStyle="1" w:styleId="Sf">
    <w:name w:val="S_Отступ"/>
    <w:basedOn w:val="Normal"/>
    <w:uiPriority w:val="99"/>
    <w:rsid w:val="008F6C87"/>
    <w:pPr>
      <w:spacing w:after="0" w:line="360" w:lineRule="auto"/>
    </w:pPr>
    <w:rPr>
      <w:rFonts w:ascii="Times New Roman" w:hAnsi="Times New Roman"/>
      <w:sz w:val="24"/>
      <w:szCs w:val="24"/>
      <w:lang w:eastAsia="ar-SA"/>
    </w:rPr>
  </w:style>
  <w:style w:type="paragraph" w:customStyle="1" w:styleId="afffffffb">
    <w:name w:val="ГРАД Основной текст"/>
    <w:basedOn w:val="Normal"/>
    <w:link w:val="afffffffc"/>
    <w:autoRedefine/>
    <w:uiPriority w:val="99"/>
    <w:rsid w:val="008F6C87"/>
    <w:pPr>
      <w:tabs>
        <w:tab w:val="left" w:pos="540"/>
        <w:tab w:val="left" w:pos="1260"/>
        <w:tab w:val="left" w:pos="1620"/>
      </w:tabs>
      <w:spacing w:before="240" w:after="0"/>
    </w:pPr>
    <w:rPr>
      <w:rFonts w:ascii="Times New Roman" w:hAnsi="Times New Roman"/>
      <w:spacing w:val="4"/>
      <w:sz w:val="20"/>
      <w:szCs w:val="20"/>
    </w:rPr>
  </w:style>
  <w:style w:type="character" w:customStyle="1" w:styleId="afffffffc">
    <w:name w:val="ГРАД Основной текст Знак Знак"/>
    <w:link w:val="afffffffb"/>
    <w:uiPriority w:val="99"/>
    <w:locked/>
    <w:rsid w:val="008F6C87"/>
    <w:rPr>
      <w:rFonts w:eastAsia="Times New Roman"/>
      <w:spacing w:val="4"/>
      <w:lang w:eastAsia="en-US"/>
    </w:rPr>
  </w:style>
  <w:style w:type="paragraph" w:customStyle="1" w:styleId="S0">
    <w:name w:val="S_рисунок"/>
    <w:basedOn w:val="Normal"/>
    <w:autoRedefine/>
    <w:uiPriority w:val="99"/>
    <w:rsid w:val="008F6C87"/>
    <w:pPr>
      <w:numPr>
        <w:numId w:val="54"/>
      </w:numPr>
      <w:suppressAutoHyphens/>
      <w:spacing w:after="0" w:line="240" w:lineRule="auto"/>
      <w:ind w:left="357" w:hanging="357"/>
      <w:jc w:val="center"/>
    </w:pPr>
    <w:rPr>
      <w:rFonts w:ascii="Times New Roman" w:hAnsi="Times New Roman"/>
      <w:color w:val="00B0F0"/>
      <w:sz w:val="24"/>
      <w:szCs w:val="24"/>
      <w:lang w:eastAsia="ar-SA"/>
    </w:rPr>
  </w:style>
  <w:style w:type="paragraph" w:customStyle="1" w:styleId="xl63">
    <w:name w:val="xl63"/>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0"/>
      <w:szCs w:val="20"/>
      <w:lang w:eastAsia="ru-RU"/>
    </w:rPr>
  </w:style>
  <w:style w:type="paragraph" w:customStyle="1" w:styleId="afffffffd">
    <w:name w:val="Таблица текст"/>
    <w:basedOn w:val="Normal"/>
    <w:uiPriority w:val="99"/>
    <w:rsid w:val="008F6C87"/>
    <w:pPr>
      <w:spacing w:before="20" w:after="20" w:line="216" w:lineRule="auto"/>
    </w:pPr>
    <w:rPr>
      <w:rFonts w:ascii="Times New Roman" w:hAnsi="Times New Roman"/>
      <w:sz w:val="20"/>
      <w:szCs w:val="20"/>
      <w:lang w:eastAsia="ru-RU"/>
    </w:rPr>
  </w:style>
  <w:style w:type="character" w:customStyle="1" w:styleId="43">
    <w:name w:val="Основной текст (4)_"/>
    <w:link w:val="44"/>
    <w:uiPriority w:val="99"/>
    <w:locked/>
    <w:rsid w:val="008F6C87"/>
    <w:rPr>
      <w:spacing w:val="7"/>
      <w:shd w:val="clear" w:color="auto" w:fill="FFFFFF"/>
    </w:rPr>
  </w:style>
  <w:style w:type="character" w:customStyle="1" w:styleId="45">
    <w:name w:val="Основной текст (4) + Не полужирный"/>
    <w:uiPriority w:val="99"/>
    <w:rsid w:val="008F6C87"/>
    <w:rPr>
      <w:b/>
      <w:spacing w:val="2"/>
      <w:shd w:val="clear" w:color="auto" w:fill="FFFFFF"/>
    </w:rPr>
  </w:style>
  <w:style w:type="character" w:customStyle="1" w:styleId="53">
    <w:name w:val="Основной текст (5)_"/>
    <w:link w:val="54"/>
    <w:uiPriority w:val="99"/>
    <w:locked/>
    <w:rsid w:val="008F6C87"/>
    <w:rPr>
      <w:spacing w:val="21"/>
      <w:sz w:val="11"/>
      <w:shd w:val="clear" w:color="auto" w:fill="FFFFFF"/>
    </w:rPr>
  </w:style>
  <w:style w:type="paragraph" w:customStyle="1" w:styleId="44">
    <w:name w:val="Основной текст (4)"/>
    <w:basedOn w:val="Normal"/>
    <w:link w:val="43"/>
    <w:uiPriority w:val="99"/>
    <w:rsid w:val="008F6C87"/>
    <w:pPr>
      <w:shd w:val="clear" w:color="auto" w:fill="FFFFFF"/>
      <w:spacing w:after="0" w:line="240" w:lineRule="atLeast"/>
      <w:jc w:val="right"/>
    </w:pPr>
    <w:rPr>
      <w:rFonts w:ascii="Times New Roman" w:hAnsi="Times New Roman"/>
      <w:spacing w:val="7"/>
      <w:sz w:val="20"/>
      <w:szCs w:val="20"/>
      <w:lang w:eastAsia="ko-KR"/>
    </w:rPr>
  </w:style>
  <w:style w:type="paragraph" w:customStyle="1" w:styleId="54">
    <w:name w:val="Основной текст (5)"/>
    <w:basedOn w:val="Normal"/>
    <w:link w:val="53"/>
    <w:uiPriority w:val="99"/>
    <w:rsid w:val="008F6C87"/>
    <w:pPr>
      <w:shd w:val="clear" w:color="auto" w:fill="FFFFFF"/>
      <w:spacing w:after="0" w:line="240" w:lineRule="atLeast"/>
    </w:pPr>
    <w:rPr>
      <w:rFonts w:ascii="Times New Roman" w:hAnsi="Times New Roman"/>
      <w:spacing w:val="21"/>
      <w:sz w:val="11"/>
      <w:szCs w:val="20"/>
      <w:lang w:eastAsia="ko-KR"/>
    </w:rPr>
  </w:style>
  <w:style w:type="character" w:customStyle="1" w:styleId="Bodytext4">
    <w:name w:val="Body text (4)_"/>
    <w:link w:val="Bodytext41"/>
    <w:uiPriority w:val="99"/>
    <w:locked/>
    <w:rsid w:val="008F6C87"/>
    <w:rPr>
      <w:b/>
      <w:i/>
      <w:sz w:val="25"/>
      <w:shd w:val="clear" w:color="auto" w:fill="FFFFFF"/>
    </w:rPr>
  </w:style>
  <w:style w:type="paragraph" w:customStyle="1" w:styleId="xl79">
    <w:name w:val="xl79"/>
    <w:basedOn w:val="Normal"/>
    <w:uiPriority w:val="99"/>
    <w:rsid w:val="008F6C87"/>
    <w:pPr>
      <w:pBdr>
        <w:top w:val="single" w:sz="8" w:space="0" w:color="auto"/>
        <w:bottom w:val="single" w:sz="8" w:space="0" w:color="auto"/>
      </w:pBdr>
      <w:spacing w:before="100" w:beforeAutospacing="1" w:after="100" w:afterAutospacing="1" w:line="240" w:lineRule="auto"/>
      <w:jc w:val="center"/>
    </w:pPr>
    <w:rPr>
      <w:rFonts w:ascii="Times New Roman" w:hAnsi="Times New Roman"/>
      <w:sz w:val="20"/>
      <w:szCs w:val="20"/>
      <w:lang w:eastAsia="ru-RU"/>
    </w:rPr>
  </w:style>
  <w:style w:type="paragraph" w:customStyle="1" w:styleId="xl80">
    <w:name w:val="xl80"/>
    <w:basedOn w:val="Normal"/>
    <w:uiPriority w:val="99"/>
    <w:rsid w:val="008F6C87"/>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hAnsi="Times New Roman"/>
      <w:sz w:val="20"/>
      <w:szCs w:val="20"/>
      <w:lang w:eastAsia="ru-RU"/>
    </w:rPr>
  </w:style>
  <w:style w:type="paragraph" w:customStyle="1" w:styleId="xl81">
    <w:name w:val="xl81"/>
    <w:basedOn w:val="Normal"/>
    <w:uiPriority w:val="99"/>
    <w:rsid w:val="008F6C87"/>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hAnsi="Times New Roman"/>
      <w:sz w:val="20"/>
      <w:szCs w:val="20"/>
      <w:lang w:eastAsia="ru-RU"/>
    </w:rPr>
  </w:style>
  <w:style w:type="paragraph" w:customStyle="1" w:styleId="xl82">
    <w:name w:val="xl82"/>
    <w:basedOn w:val="Normal"/>
    <w:uiPriority w:val="99"/>
    <w:rsid w:val="008F6C87"/>
    <w:pPr>
      <w:pBdr>
        <w:top w:val="single" w:sz="8" w:space="0" w:color="auto"/>
        <w:left w:val="single" w:sz="8" w:space="0" w:color="auto"/>
        <w:right w:val="single" w:sz="8" w:space="0" w:color="auto"/>
      </w:pBdr>
      <w:spacing w:before="100" w:beforeAutospacing="1" w:after="100" w:afterAutospacing="1" w:line="240" w:lineRule="auto"/>
    </w:pPr>
    <w:rPr>
      <w:rFonts w:ascii="Times New Roman" w:hAnsi="Times New Roman"/>
      <w:sz w:val="20"/>
      <w:szCs w:val="20"/>
      <w:lang w:eastAsia="ru-RU"/>
    </w:rPr>
  </w:style>
  <w:style w:type="paragraph" w:customStyle="1" w:styleId="xl83">
    <w:name w:val="xl83"/>
    <w:basedOn w:val="Normal"/>
    <w:uiPriority w:val="99"/>
    <w:rsid w:val="008F6C87"/>
    <w:pPr>
      <w:pBdr>
        <w:left w:val="single" w:sz="8" w:space="0" w:color="auto"/>
        <w:bottom w:val="single" w:sz="8" w:space="0" w:color="auto"/>
        <w:right w:val="single" w:sz="8" w:space="0" w:color="auto"/>
      </w:pBdr>
      <w:spacing w:before="100" w:beforeAutospacing="1" w:after="100" w:afterAutospacing="1" w:line="240" w:lineRule="auto"/>
    </w:pPr>
    <w:rPr>
      <w:rFonts w:ascii="Times New Roman" w:hAnsi="Times New Roman"/>
      <w:sz w:val="20"/>
      <w:szCs w:val="20"/>
      <w:lang w:eastAsia="ru-RU"/>
    </w:rPr>
  </w:style>
  <w:style w:type="paragraph" w:customStyle="1" w:styleId="xl84">
    <w:name w:val="xl84"/>
    <w:basedOn w:val="Normal"/>
    <w:uiPriority w:val="99"/>
    <w:rsid w:val="008F6C87"/>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color w:val="FF0000"/>
      <w:sz w:val="20"/>
      <w:szCs w:val="20"/>
      <w:lang w:eastAsia="ru-RU"/>
    </w:rPr>
  </w:style>
  <w:style w:type="paragraph" w:customStyle="1" w:styleId="xl85">
    <w:name w:val="xl85"/>
    <w:basedOn w:val="Normal"/>
    <w:uiPriority w:val="99"/>
    <w:rsid w:val="008F6C87"/>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hAnsi="Times New Roman"/>
      <w:color w:val="FF0000"/>
      <w:sz w:val="20"/>
      <w:szCs w:val="20"/>
      <w:lang w:eastAsia="ru-RU"/>
    </w:rPr>
  </w:style>
  <w:style w:type="paragraph" w:customStyle="1" w:styleId="xl86">
    <w:name w:val="xl86"/>
    <w:basedOn w:val="Normal"/>
    <w:uiPriority w:val="99"/>
    <w:rsid w:val="008F6C87"/>
    <w:pPr>
      <w:pBdr>
        <w:bottom w:val="single" w:sz="8" w:space="0" w:color="auto"/>
        <w:right w:val="single" w:sz="8" w:space="0" w:color="auto"/>
      </w:pBdr>
      <w:spacing w:before="100" w:beforeAutospacing="1" w:after="100" w:afterAutospacing="1" w:line="240" w:lineRule="auto"/>
      <w:jc w:val="center"/>
    </w:pPr>
    <w:rPr>
      <w:rFonts w:ascii="Times New Roman" w:hAnsi="Times New Roman"/>
      <w:sz w:val="20"/>
      <w:szCs w:val="20"/>
      <w:lang w:eastAsia="ru-RU"/>
    </w:rPr>
  </w:style>
  <w:style w:type="paragraph" w:customStyle="1" w:styleId="xl87">
    <w:name w:val="xl87"/>
    <w:basedOn w:val="Normal"/>
    <w:uiPriority w:val="99"/>
    <w:rsid w:val="008F6C87"/>
    <w:pPr>
      <w:pBdr>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20"/>
      <w:szCs w:val="20"/>
      <w:lang w:eastAsia="ru-RU"/>
    </w:rPr>
  </w:style>
  <w:style w:type="paragraph" w:customStyle="1" w:styleId="xl88">
    <w:name w:val="xl88"/>
    <w:basedOn w:val="Normal"/>
    <w:uiPriority w:val="99"/>
    <w:rsid w:val="008F6C87"/>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color w:val="FF0000"/>
      <w:sz w:val="24"/>
      <w:szCs w:val="24"/>
      <w:lang w:eastAsia="ru-RU"/>
    </w:rPr>
  </w:style>
  <w:style w:type="paragraph" w:customStyle="1" w:styleId="xl89">
    <w:name w:val="xl89"/>
    <w:basedOn w:val="Normal"/>
    <w:uiPriority w:val="99"/>
    <w:rsid w:val="008F6C87"/>
    <w:pPr>
      <w:pBdr>
        <w:left w:val="single" w:sz="8" w:space="0" w:color="auto"/>
        <w:bottom w:val="single" w:sz="8" w:space="0" w:color="000000"/>
        <w:right w:val="single" w:sz="8" w:space="0" w:color="auto"/>
      </w:pBdr>
      <w:spacing w:before="100" w:beforeAutospacing="1" w:after="100" w:afterAutospacing="1" w:line="240" w:lineRule="auto"/>
      <w:jc w:val="center"/>
    </w:pPr>
    <w:rPr>
      <w:rFonts w:ascii="Times New Roman" w:hAnsi="Times New Roman"/>
      <w:sz w:val="20"/>
      <w:szCs w:val="20"/>
      <w:lang w:eastAsia="ru-RU"/>
    </w:rPr>
  </w:style>
  <w:style w:type="paragraph" w:customStyle="1" w:styleId="xl90">
    <w:name w:val="xl90"/>
    <w:basedOn w:val="Normal"/>
    <w:uiPriority w:val="99"/>
    <w:rsid w:val="008F6C87"/>
    <w:pPr>
      <w:pBdr>
        <w:top w:val="single" w:sz="8" w:space="0" w:color="000000"/>
        <w:left w:val="single" w:sz="8" w:space="0" w:color="auto"/>
        <w:right w:val="single" w:sz="8" w:space="0" w:color="auto"/>
      </w:pBdr>
      <w:spacing w:before="100" w:beforeAutospacing="1" w:after="100" w:afterAutospacing="1" w:line="240" w:lineRule="auto"/>
      <w:jc w:val="center"/>
    </w:pPr>
    <w:rPr>
      <w:rFonts w:ascii="Times New Roman" w:hAnsi="Times New Roman"/>
      <w:sz w:val="20"/>
      <w:szCs w:val="20"/>
      <w:lang w:eastAsia="ru-RU"/>
    </w:rPr>
  </w:style>
  <w:style w:type="paragraph" w:customStyle="1" w:styleId="xl91">
    <w:name w:val="xl91"/>
    <w:basedOn w:val="Normal"/>
    <w:uiPriority w:val="99"/>
    <w:rsid w:val="008F6C87"/>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hAnsi="Times New Roman"/>
      <w:sz w:val="20"/>
      <w:szCs w:val="20"/>
      <w:lang w:eastAsia="ru-RU"/>
    </w:rPr>
  </w:style>
  <w:style w:type="paragraph" w:customStyle="1" w:styleId="afffffffe">
    <w:name w:val="ГРАД Список маркированный"/>
    <w:basedOn w:val="ListBullet"/>
    <w:autoRedefine/>
    <w:uiPriority w:val="99"/>
    <w:rsid w:val="008F6C87"/>
    <w:pPr>
      <w:numPr>
        <w:numId w:val="0"/>
      </w:numPr>
      <w:tabs>
        <w:tab w:val="left" w:pos="142"/>
        <w:tab w:val="left" w:pos="709"/>
      </w:tabs>
      <w:spacing w:line="240" w:lineRule="auto"/>
      <w:ind w:firstLine="709"/>
    </w:pPr>
    <w:rPr>
      <w:color w:val="000000"/>
      <w:spacing w:val="-1"/>
    </w:rPr>
  </w:style>
  <w:style w:type="paragraph" w:customStyle="1" w:styleId="usual">
    <w:name w:val="usual"/>
    <w:basedOn w:val="Normal"/>
    <w:uiPriority w:val="99"/>
    <w:rsid w:val="008F6C87"/>
    <w:pPr>
      <w:spacing w:before="100" w:beforeAutospacing="1" w:after="100" w:afterAutospacing="1" w:line="240" w:lineRule="auto"/>
    </w:pPr>
    <w:rPr>
      <w:rFonts w:ascii="Helvetica" w:hAnsi="Helvetica"/>
      <w:color w:val="000000"/>
      <w:sz w:val="18"/>
      <w:szCs w:val="18"/>
      <w:lang w:eastAsia="ru-RU"/>
    </w:rPr>
  </w:style>
  <w:style w:type="character" w:customStyle="1" w:styleId="noprint">
    <w:name w:val="noprint"/>
    <w:basedOn w:val="DefaultParagraphFont"/>
    <w:uiPriority w:val="99"/>
    <w:rsid w:val="008F6C87"/>
    <w:rPr>
      <w:rFonts w:cs="Times New Roman"/>
    </w:rPr>
  </w:style>
  <w:style w:type="paragraph" w:customStyle="1" w:styleId="textobi4">
    <w:name w:val="text_obi4"/>
    <w:basedOn w:val="Normal"/>
    <w:uiPriority w:val="99"/>
    <w:rsid w:val="008F6C87"/>
    <w:pPr>
      <w:spacing w:before="100" w:beforeAutospacing="1" w:after="100" w:afterAutospacing="1" w:line="240" w:lineRule="auto"/>
    </w:pPr>
    <w:rPr>
      <w:rFonts w:ascii="Comic Sans MS" w:hAnsi="Comic Sans MS"/>
      <w:color w:val="990000"/>
      <w:sz w:val="30"/>
      <w:szCs w:val="30"/>
      <w:lang w:eastAsia="ru-RU"/>
    </w:rPr>
  </w:style>
  <w:style w:type="character" w:customStyle="1" w:styleId="128">
    <w:name w:val="Основной текст (12)"/>
    <w:uiPriority w:val="99"/>
    <w:rsid w:val="008F6C87"/>
    <w:rPr>
      <w:rFonts w:ascii="Times New Roman" w:hAnsi="Times New Roman"/>
      <w:spacing w:val="0"/>
      <w:sz w:val="21"/>
    </w:rPr>
  </w:style>
  <w:style w:type="character" w:customStyle="1" w:styleId="106">
    <w:name w:val="Основной текст + 10"/>
    <w:aliases w:val="5 pt2"/>
    <w:uiPriority w:val="99"/>
    <w:rsid w:val="008F6C87"/>
    <w:rPr>
      <w:rFonts w:ascii="Times New Roman" w:hAnsi="Times New Roman"/>
      <w:spacing w:val="0"/>
      <w:sz w:val="21"/>
    </w:rPr>
  </w:style>
  <w:style w:type="character" w:customStyle="1" w:styleId="413pt">
    <w:name w:val="Основной текст (4) + 13 pt"/>
    <w:uiPriority w:val="99"/>
    <w:rsid w:val="008F6C87"/>
    <w:rPr>
      <w:spacing w:val="7"/>
      <w:sz w:val="26"/>
      <w:shd w:val="clear" w:color="auto" w:fill="FFFFFF"/>
    </w:rPr>
  </w:style>
  <w:style w:type="character" w:customStyle="1" w:styleId="-1pt">
    <w:name w:val="Основной текст + Интервал -1 pt"/>
    <w:uiPriority w:val="99"/>
    <w:rsid w:val="008F6C87"/>
    <w:rPr>
      <w:rFonts w:ascii="Times New Roman" w:hAnsi="Times New Roman"/>
      <w:spacing w:val="-30"/>
      <w:sz w:val="26"/>
    </w:rPr>
  </w:style>
  <w:style w:type="character" w:customStyle="1" w:styleId="413pt2">
    <w:name w:val="Основной текст (4) + 13 pt2"/>
    <w:uiPriority w:val="99"/>
    <w:rsid w:val="008F6C87"/>
    <w:rPr>
      <w:rFonts w:ascii="Times New Roman" w:hAnsi="Times New Roman"/>
      <w:spacing w:val="0"/>
      <w:sz w:val="26"/>
      <w:shd w:val="clear" w:color="auto" w:fill="FFFFFF"/>
    </w:rPr>
  </w:style>
  <w:style w:type="character" w:customStyle="1" w:styleId="413pt1">
    <w:name w:val="Основной текст (4) + 13 pt1"/>
    <w:uiPriority w:val="99"/>
    <w:rsid w:val="008F6C87"/>
    <w:rPr>
      <w:rFonts w:ascii="Times New Roman" w:hAnsi="Times New Roman"/>
      <w:spacing w:val="0"/>
      <w:sz w:val="26"/>
      <w:shd w:val="clear" w:color="auto" w:fill="FFFFFF"/>
    </w:rPr>
  </w:style>
  <w:style w:type="character" w:customStyle="1" w:styleId="1210">
    <w:name w:val="Основной текст + 121"/>
    <w:aliases w:val="5 pt1"/>
    <w:uiPriority w:val="99"/>
    <w:rsid w:val="008F6C87"/>
    <w:rPr>
      <w:rFonts w:ascii="Times New Roman" w:hAnsi="Times New Roman"/>
      <w:spacing w:val="0"/>
      <w:sz w:val="25"/>
    </w:rPr>
  </w:style>
  <w:style w:type="character" w:customStyle="1" w:styleId="12pt2">
    <w:name w:val="Основной текст + 12 pt2"/>
    <w:uiPriority w:val="99"/>
    <w:rsid w:val="008F6C87"/>
    <w:rPr>
      <w:rFonts w:ascii="Times New Roman" w:hAnsi="Times New Roman"/>
      <w:spacing w:val="0"/>
      <w:sz w:val="24"/>
    </w:rPr>
  </w:style>
  <w:style w:type="character" w:customStyle="1" w:styleId="12pt1">
    <w:name w:val="Основной текст + 12 pt1"/>
    <w:uiPriority w:val="99"/>
    <w:rsid w:val="008F6C87"/>
    <w:rPr>
      <w:rFonts w:ascii="Times New Roman" w:hAnsi="Times New Roman"/>
      <w:spacing w:val="0"/>
      <w:sz w:val="24"/>
    </w:rPr>
  </w:style>
  <w:style w:type="character" w:customStyle="1" w:styleId="1230">
    <w:name w:val="Основной текст + 123"/>
    <w:aliases w:val="5 pt6"/>
    <w:uiPriority w:val="99"/>
    <w:rsid w:val="008F6C87"/>
    <w:rPr>
      <w:rFonts w:ascii="Times New Roman" w:hAnsi="Times New Roman"/>
      <w:spacing w:val="0"/>
      <w:sz w:val="25"/>
    </w:rPr>
  </w:style>
  <w:style w:type="character" w:customStyle="1" w:styleId="513pt">
    <w:name w:val="Основной текст (5) + 13 pt"/>
    <w:uiPriority w:val="99"/>
    <w:rsid w:val="008F6C87"/>
    <w:rPr>
      <w:rFonts w:ascii="Times New Roman" w:hAnsi="Times New Roman"/>
      <w:spacing w:val="0"/>
      <w:sz w:val="26"/>
      <w:shd w:val="clear" w:color="auto" w:fill="FFFFFF"/>
    </w:rPr>
  </w:style>
  <w:style w:type="character" w:customStyle="1" w:styleId="ArialNarrow">
    <w:name w:val="Основной текст + Arial Narrow"/>
    <w:aliases w:val="12 pt,Курсив3,Интервал 1 pt"/>
    <w:uiPriority w:val="99"/>
    <w:rsid w:val="008F6C87"/>
    <w:rPr>
      <w:rFonts w:ascii="Arial Narrow" w:hAnsi="Arial Narrow"/>
      <w:i/>
      <w:spacing w:val="20"/>
      <w:sz w:val="24"/>
    </w:rPr>
  </w:style>
  <w:style w:type="character" w:customStyle="1" w:styleId="12pt">
    <w:name w:val="Основной текст + 12 pt"/>
    <w:uiPriority w:val="99"/>
    <w:rsid w:val="008F6C87"/>
    <w:rPr>
      <w:rFonts w:ascii="Times New Roman" w:hAnsi="Times New Roman"/>
      <w:spacing w:val="0"/>
      <w:sz w:val="24"/>
    </w:rPr>
  </w:style>
  <w:style w:type="paragraph" w:customStyle="1" w:styleId="11f0">
    <w:name w:val="Знак Знак11 Знак Знак Знак Знак"/>
    <w:basedOn w:val="Normal"/>
    <w:uiPriority w:val="99"/>
    <w:rsid w:val="008F6C87"/>
    <w:pPr>
      <w:spacing w:before="100" w:beforeAutospacing="1" w:after="100" w:afterAutospacing="1" w:line="240" w:lineRule="auto"/>
    </w:pPr>
    <w:rPr>
      <w:rFonts w:ascii="Tahoma" w:hAnsi="Tahoma" w:cs="Tahoma"/>
      <w:sz w:val="20"/>
      <w:szCs w:val="20"/>
      <w:lang w:val="en-US"/>
    </w:rPr>
  </w:style>
  <w:style w:type="paragraph" w:customStyle="1" w:styleId="1110">
    <w:name w:val="Знак Знак11 Знак Знак Знак Знак1"/>
    <w:basedOn w:val="Normal"/>
    <w:uiPriority w:val="99"/>
    <w:rsid w:val="008F6C87"/>
    <w:pPr>
      <w:spacing w:before="100" w:beforeAutospacing="1" w:after="100" w:afterAutospacing="1" w:line="240" w:lineRule="auto"/>
    </w:pPr>
    <w:rPr>
      <w:rFonts w:ascii="Tahoma" w:hAnsi="Tahoma" w:cs="Tahoma"/>
      <w:sz w:val="20"/>
      <w:szCs w:val="20"/>
      <w:lang w:val="en-US"/>
    </w:rPr>
  </w:style>
  <w:style w:type="paragraph" w:customStyle="1" w:styleId="1120">
    <w:name w:val="Знак Знак11 Знак Знак Знак Знак2"/>
    <w:basedOn w:val="Normal"/>
    <w:uiPriority w:val="99"/>
    <w:rsid w:val="008F6C87"/>
    <w:pPr>
      <w:spacing w:before="100" w:beforeAutospacing="1" w:after="100" w:afterAutospacing="1" w:line="240" w:lineRule="auto"/>
    </w:pPr>
    <w:rPr>
      <w:rFonts w:ascii="Tahoma" w:hAnsi="Tahoma" w:cs="Tahoma"/>
      <w:sz w:val="20"/>
      <w:szCs w:val="20"/>
      <w:lang w:val="en-US"/>
    </w:rPr>
  </w:style>
  <w:style w:type="paragraph" w:customStyle="1" w:styleId="1130">
    <w:name w:val="Знак Знак11 Знак Знак Знак Знак3"/>
    <w:basedOn w:val="Normal"/>
    <w:uiPriority w:val="99"/>
    <w:rsid w:val="008F6C87"/>
    <w:pPr>
      <w:spacing w:before="100" w:beforeAutospacing="1" w:after="100" w:afterAutospacing="1" w:line="240" w:lineRule="auto"/>
    </w:pPr>
    <w:rPr>
      <w:rFonts w:ascii="Tahoma" w:hAnsi="Tahoma" w:cs="Tahoma"/>
      <w:sz w:val="20"/>
      <w:szCs w:val="20"/>
      <w:lang w:val="en-US"/>
    </w:rPr>
  </w:style>
  <w:style w:type="paragraph" w:customStyle="1" w:styleId="1140">
    <w:name w:val="Знак Знак11 Знак Знак Знак Знак4"/>
    <w:basedOn w:val="Normal"/>
    <w:uiPriority w:val="99"/>
    <w:rsid w:val="008F6C87"/>
    <w:pPr>
      <w:spacing w:before="100" w:beforeAutospacing="1" w:after="100" w:afterAutospacing="1" w:line="240" w:lineRule="auto"/>
    </w:pPr>
    <w:rPr>
      <w:rFonts w:ascii="Tahoma" w:hAnsi="Tahoma" w:cs="Tahoma"/>
      <w:sz w:val="20"/>
      <w:szCs w:val="20"/>
      <w:lang w:val="en-US"/>
    </w:rPr>
  </w:style>
  <w:style w:type="paragraph" w:customStyle="1" w:styleId="1150">
    <w:name w:val="Знак Знак11 Знак Знак Знак Знак5"/>
    <w:basedOn w:val="Normal"/>
    <w:uiPriority w:val="99"/>
    <w:rsid w:val="008F6C87"/>
    <w:pPr>
      <w:spacing w:before="100" w:beforeAutospacing="1" w:after="100" w:afterAutospacing="1" w:line="240" w:lineRule="auto"/>
    </w:pPr>
    <w:rPr>
      <w:rFonts w:ascii="Tahoma" w:hAnsi="Tahoma" w:cs="Tahoma"/>
      <w:sz w:val="20"/>
      <w:szCs w:val="20"/>
      <w:lang w:val="en-US"/>
    </w:rPr>
  </w:style>
  <w:style w:type="paragraph" w:customStyle="1" w:styleId="affffffff">
    <w:name w:val="НашаШапка"/>
    <w:basedOn w:val="Normal"/>
    <w:uiPriority w:val="99"/>
    <w:rsid w:val="008F6C87"/>
    <w:pPr>
      <w:spacing w:after="0" w:line="240" w:lineRule="auto"/>
      <w:jc w:val="center"/>
    </w:pPr>
    <w:rPr>
      <w:rFonts w:ascii="Times New Roman" w:hAnsi="Times New Roman"/>
      <w:b/>
      <w:sz w:val="24"/>
      <w:szCs w:val="20"/>
      <w:lang w:eastAsia="ru-RU"/>
    </w:rPr>
  </w:style>
  <w:style w:type="paragraph" w:customStyle="1" w:styleId="affffffff0">
    <w:name w:val="Таблотст"/>
    <w:basedOn w:val="aff8"/>
    <w:link w:val="affffffff1"/>
    <w:uiPriority w:val="99"/>
    <w:rsid w:val="008F6C87"/>
    <w:pPr>
      <w:spacing w:before="120" w:line="204" w:lineRule="auto"/>
      <w:ind w:left="85"/>
      <w:jc w:val="left"/>
    </w:pPr>
    <w:rPr>
      <w:rFonts w:ascii="Arial" w:hAnsi="Arial"/>
      <w:sz w:val="20"/>
    </w:rPr>
  </w:style>
  <w:style w:type="character" w:customStyle="1" w:styleId="aff9">
    <w:name w:val="Таблица Знак"/>
    <w:link w:val="aff8"/>
    <w:uiPriority w:val="99"/>
    <w:locked/>
    <w:rsid w:val="008F6C87"/>
    <w:rPr>
      <w:sz w:val="24"/>
    </w:rPr>
  </w:style>
  <w:style w:type="character" w:customStyle="1" w:styleId="affffffff1">
    <w:name w:val="Таблотст Знак"/>
    <w:link w:val="affffffff0"/>
    <w:uiPriority w:val="99"/>
    <w:locked/>
    <w:rsid w:val="008F6C87"/>
    <w:rPr>
      <w:rFonts w:ascii="Arial" w:hAnsi="Arial"/>
    </w:rPr>
  </w:style>
  <w:style w:type="paragraph" w:customStyle="1" w:styleId="affffffff2">
    <w:name w:val="цифры таблицы"/>
    <w:uiPriority w:val="99"/>
    <w:rsid w:val="008F6C87"/>
    <w:pPr>
      <w:snapToGrid w:val="0"/>
      <w:jc w:val="right"/>
    </w:pPr>
    <w:rPr>
      <w:noProof/>
      <w:color w:val="000000"/>
      <w:sz w:val="26"/>
      <w:szCs w:val="20"/>
    </w:rPr>
  </w:style>
  <w:style w:type="paragraph" w:customStyle="1" w:styleId="affffffff3">
    <w:name w:val="единицы"/>
    <w:uiPriority w:val="99"/>
    <w:rsid w:val="008F6C87"/>
    <w:pPr>
      <w:keepNext/>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jc w:val="right"/>
    </w:pPr>
    <w:rPr>
      <w:noProof/>
      <w:sz w:val="24"/>
      <w:szCs w:val="20"/>
    </w:rPr>
  </w:style>
  <w:style w:type="paragraph" w:customStyle="1" w:styleId="affffffff4">
    <w:name w:val="Единицы измерения"/>
    <w:uiPriority w:val="99"/>
    <w:rsid w:val="008F6C87"/>
    <w:pPr>
      <w:keepNext/>
      <w:ind w:right="-170"/>
      <w:jc w:val="right"/>
    </w:pPr>
    <w:rPr>
      <w:sz w:val="24"/>
      <w:szCs w:val="20"/>
    </w:rPr>
  </w:style>
  <w:style w:type="paragraph" w:customStyle="1" w:styleId="affffffff5">
    <w:name w:val="Левая колонка"/>
    <w:uiPriority w:val="99"/>
    <w:rsid w:val="008F6C87"/>
    <w:pPr>
      <w:spacing w:before="120" w:line="204" w:lineRule="auto"/>
    </w:pPr>
    <w:rPr>
      <w:noProof/>
      <w:sz w:val="24"/>
      <w:szCs w:val="20"/>
    </w:rPr>
  </w:style>
  <w:style w:type="paragraph" w:customStyle="1" w:styleId="affffffff6">
    <w:name w:val="Цифры таблицы"/>
    <w:uiPriority w:val="99"/>
    <w:rsid w:val="008F6C87"/>
    <w:pPr>
      <w:jc w:val="right"/>
    </w:pPr>
    <w:rPr>
      <w:noProof/>
      <w:sz w:val="26"/>
      <w:szCs w:val="20"/>
    </w:rPr>
  </w:style>
  <w:style w:type="paragraph" w:customStyle="1" w:styleId="affffffff7">
    <w:name w:val="Единицы"/>
    <w:basedOn w:val="Normal"/>
    <w:uiPriority w:val="99"/>
    <w:rsid w:val="008F6C87"/>
    <w:pPr>
      <w:keepNext/>
      <w:spacing w:after="0" w:line="240" w:lineRule="auto"/>
      <w:jc w:val="center"/>
    </w:pPr>
    <w:rPr>
      <w:rFonts w:ascii="Arial" w:hAnsi="Arial"/>
      <w:szCs w:val="20"/>
      <w:lang w:eastAsia="ru-RU"/>
    </w:rPr>
  </w:style>
  <w:style w:type="paragraph" w:customStyle="1" w:styleId="2f5">
    <w:name w:val="Таблотст2"/>
    <w:basedOn w:val="aff8"/>
    <w:uiPriority w:val="99"/>
    <w:rsid w:val="008F6C87"/>
    <w:pPr>
      <w:spacing w:before="120" w:line="204" w:lineRule="auto"/>
      <w:ind w:left="170"/>
      <w:jc w:val="left"/>
    </w:pPr>
    <w:rPr>
      <w:rFonts w:ascii="Arial" w:hAnsi="Arial"/>
      <w:noProof/>
      <w:sz w:val="20"/>
    </w:rPr>
  </w:style>
  <w:style w:type="character" w:customStyle="1" w:styleId="FontStyle26">
    <w:name w:val="Font Style26"/>
    <w:uiPriority w:val="99"/>
    <w:rsid w:val="008F6C87"/>
    <w:rPr>
      <w:rFonts w:ascii="Verdana" w:hAnsi="Verdana"/>
      <w:sz w:val="14"/>
    </w:rPr>
  </w:style>
  <w:style w:type="character" w:customStyle="1" w:styleId="FontStyle25">
    <w:name w:val="Font Style25"/>
    <w:uiPriority w:val="99"/>
    <w:rsid w:val="008F6C87"/>
    <w:rPr>
      <w:rFonts w:ascii="Times New Roman" w:hAnsi="Times New Roman"/>
      <w:b/>
      <w:i/>
      <w:sz w:val="14"/>
    </w:rPr>
  </w:style>
  <w:style w:type="character" w:customStyle="1" w:styleId="FontStyle27">
    <w:name w:val="Font Style27"/>
    <w:uiPriority w:val="99"/>
    <w:rsid w:val="008F6C87"/>
    <w:rPr>
      <w:rFonts w:ascii="Book Antiqua" w:hAnsi="Book Antiqua"/>
      <w:i/>
      <w:sz w:val="14"/>
    </w:rPr>
  </w:style>
  <w:style w:type="character" w:customStyle="1" w:styleId="FontStyle21">
    <w:name w:val="Font Style21"/>
    <w:uiPriority w:val="99"/>
    <w:rsid w:val="008F6C87"/>
    <w:rPr>
      <w:rFonts w:ascii="Times New Roman" w:hAnsi="Times New Roman"/>
      <w:sz w:val="14"/>
    </w:rPr>
  </w:style>
  <w:style w:type="paragraph" w:customStyle="1" w:styleId="Style15">
    <w:name w:val="Style15"/>
    <w:basedOn w:val="Normal"/>
    <w:uiPriority w:val="99"/>
    <w:rsid w:val="008F6C87"/>
    <w:pPr>
      <w:suppressAutoHyphens/>
      <w:spacing w:after="0" w:line="202" w:lineRule="exact"/>
      <w:jc w:val="center"/>
    </w:pPr>
    <w:rPr>
      <w:rFonts w:ascii="Times New Roman" w:hAnsi="Times New Roman"/>
      <w:sz w:val="24"/>
      <w:szCs w:val="24"/>
      <w:lang w:eastAsia="ar-SA"/>
    </w:rPr>
  </w:style>
  <w:style w:type="paragraph" w:customStyle="1" w:styleId="Style16">
    <w:name w:val="Style16"/>
    <w:basedOn w:val="Normal"/>
    <w:uiPriority w:val="99"/>
    <w:rsid w:val="008F6C87"/>
    <w:pPr>
      <w:suppressAutoHyphens/>
      <w:spacing w:after="0" w:line="192" w:lineRule="exact"/>
    </w:pPr>
    <w:rPr>
      <w:rFonts w:ascii="Times New Roman" w:hAnsi="Times New Roman"/>
      <w:sz w:val="24"/>
      <w:szCs w:val="24"/>
      <w:lang w:eastAsia="ar-SA"/>
    </w:rPr>
  </w:style>
  <w:style w:type="paragraph" w:customStyle="1" w:styleId="Style13">
    <w:name w:val="Style13"/>
    <w:basedOn w:val="Normal"/>
    <w:uiPriority w:val="99"/>
    <w:rsid w:val="008F6C87"/>
    <w:pPr>
      <w:widowControl w:val="0"/>
      <w:autoSpaceDE w:val="0"/>
      <w:autoSpaceDN w:val="0"/>
      <w:adjustRightInd w:val="0"/>
      <w:spacing w:after="0" w:line="302" w:lineRule="atLeast"/>
      <w:ind w:firstLine="552"/>
      <w:jc w:val="both"/>
    </w:pPr>
    <w:rPr>
      <w:rFonts w:ascii="Times New Roman" w:hAnsi="Times New Roman"/>
      <w:sz w:val="24"/>
      <w:szCs w:val="24"/>
      <w:lang w:eastAsia="ru-RU"/>
    </w:rPr>
  </w:style>
  <w:style w:type="character" w:customStyle="1" w:styleId="FontStyle20">
    <w:name w:val="Font Style20"/>
    <w:uiPriority w:val="99"/>
    <w:rsid w:val="008F6C87"/>
    <w:rPr>
      <w:rFonts w:ascii="Times New Roman" w:hAnsi="Times New Roman"/>
      <w:sz w:val="22"/>
    </w:rPr>
  </w:style>
  <w:style w:type="paragraph" w:customStyle="1" w:styleId="affffffff8">
    <w:name w:val="Основной текст доклад"/>
    <w:uiPriority w:val="99"/>
    <w:rsid w:val="008F6C87"/>
    <w:pPr>
      <w:spacing w:before="120"/>
      <w:ind w:firstLine="720"/>
      <w:jc w:val="both"/>
    </w:pPr>
    <w:rPr>
      <w:rFonts w:ascii="Arial" w:hAnsi="Arial"/>
      <w:szCs w:val="20"/>
    </w:rPr>
  </w:style>
  <w:style w:type="paragraph" w:customStyle="1" w:styleId="txt">
    <w:name w:val="txt"/>
    <w:basedOn w:val="Normal"/>
    <w:uiPriority w:val="99"/>
    <w:rsid w:val="008F6C87"/>
    <w:pPr>
      <w:spacing w:before="100" w:beforeAutospacing="1" w:after="100" w:afterAutospacing="1" w:line="270" w:lineRule="atLeast"/>
      <w:ind w:firstLine="300"/>
      <w:jc w:val="both"/>
    </w:pPr>
    <w:rPr>
      <w:rFonts w:ascii="Verdana" w:eastAsia="Arial Unicode MS" w:hAnsi="Verdana" w:cs="Arial Unicode MS"/>
      <w:color w:val="001111"/>
      <w:sz w:val="18"/>
      <w:szCs w:val="18"/>
      <w:lang w:eastAsia="ru-RU"/>
    </w:rPr>
  </w:style>
  <w:style w:type="paragraph" w:customStyle="1" w:styleId="book">
    <w:name w:val="book"/>
    <w:basedOn w:val="Normal"/>
    <w:uiPriority w:val="99"/>
    <w:rsid w:val="008F6C87"/>
    <w:pPr>
      <w:spacing w:before="100" w:beforeAutospacing="1" w:after="100" w:afterAutospacing="1" w:line="240" w:lineRule="auto"/>
    </w:pPr>
    <w:rPr>
      <w:rFonts w:ascii="Times New Roman" w:hAnsi="Times New Roman"/>
      <w:sz w:val="24"/>
      <w:szCs w:val="24"/>
      <w:lang w:eastAsia="ru-RU"/>
    </w:rPr>
  </w:style>
  <w:style w:type="paragraph" w:customStyle="1" w:styleId="affffffff9">
    <w:name w:val="ГРАД Табличный текст (центр)"/>
    <w:basedOn w:val="Normal"/>
    <w:autoRedefine/>
    <w:uiPriority w:val="99"/>
    <w:rsid w:val="008F6C87"/>
    <w:pPr>
      <w:spacing w:after="0" w:line="240" w:lineRule="auto"/>
    </w:pPr>
    <w:rPr>
      <w:rFonts w:ascii="Times New Roman" w:hAnsi="Times New Roman"/>
      <w:bCs/>
      <w:spacing w:val="4"/>
      <w:sz w:val="20"/>
      <w:szCs w:val="20"/>
      <w:lang w:val="en-US"/>
    </w:rPr>
  </w:style>
  <w:style w:type="paragraph" w:customStyle="1" w:styleId="BodyTextKeep">
    <w:name w:val="Body Text Keep"/>
    <w:basedOn w:val="BodyText"/>
    <w:uiPriority w:val="99"/>
    <w:rsid w:val="008F6C87"/>
    <w:pPr>
      <w:spacing w:before="120" w:after="120"/>
      <w:ind w:left="567"/>
    </w:pPr>
    <w:rPr>
      <w:rFonts w:ascii="Calibri" w:hAnsi="Calibri"/>
      <w:spacing w:val="-5"/>
      <w:sz w:val="24"/>
      <w:szCs w:val="24"/>
      <w:lang w:eastAsia="en-US"/>
    </w:rPr>
  </w:style>
  <w:style w:type="character" w:customStyle="1" w:styleId="itemauthor1">
    <w:name w:val="itemauthor1"/>
    <w:uiPriority w:val="99"/>
    <w:rsid w:val="008F6C87"/>
    <w:rPr>
      <w:rFonts w:ascii="Tahoma" w:hAnsi="Tahoma"/>
    </w:rPr>
  </w:style>
  <w:style w:type="character" w:customStyle="1" w:styleId="itemtextresizertitle">
    <w:name w:val="itemtextresizertitle"/>
    <w:uiPriority w:val="99"/>
    <w:rsid w:val="008F6C87"/>
    <w:rPr>
      <w:rFonts w:ascii="Tahoma" w:hAnsi="Tahoma"/>
    </w:rPr>
  </w:style>
  <w:style w:type="paragraph" w:customStyle="1" w:styleId="affffffffa">
    <w:name w:val="Рабочий"/>
    <w:basedOn w:val="Normal"/>
    <w:uiPriority w:val="99"/>
    <w:rsid w:val="008F6C87"/>
    <w:pPr>
      <w:spacing w:after="0" w:line="360" w:lineRule="auto"/>
      <w:ind w:firstLine="720"/>
      <w:jc w:val="both"/>
    </w:pPr>
    <w:rPr>
      <w:rFonts w:ascii="Times New Roman" w:hAnsi="Times New Roman"/>
      <w:sz w:val="24"/>
      <w:szCs w:val="20"/>
      <w:lang w:eastAsia="ru-RU"/>
    </w:rPr>
  </w:style>
  <w:style w:type="paragraph" w:customStyle="1" w:styleId="EUMAintext">
    <w:name w:val="EU MAintext"/>
    <w:basedOn w:val="Normal"/>
    <w:uiPriority w:val="99"/>
    <w:rsid w:val="008F6C87"/>
    <w:pPr>
      <w:spacing w:line="240" w:lineRule="auto"/>
      <w:jc w:val="both"/>
    </w:pPr>
    <w:rPr>
      <w:rFonts w:ascii="Arial" w:hAnsi="Arial" w:cs="Arial"/>
      <w:szCs w:val="20"/>
    </w:rPr>
  </w:style>
  <w:style w:type="paragraph" w:customStyle="1" w:styleId="affffffffb">
    <w:name w:val="шапка"/>
    <w:uiPriority w:val="99"/>
    <w:rsid w:val="008F6C87"/>
    <w:pPr>
      <w:jc w:val="center"/>
    </w:pPr>
    <w:rPr>
      <w:b/>
      <w:noProof/>
      <w:sz w:val="24"/>
      <w:szCs w:val="20"/>
    </w:rPr>
  </w:style>
  <w:style w:type="paragraph" w:customStyle="1" w:styleId="affffffffc">
    <w:name w:val="заг. указ. литературы"/>
    <w:basedOn w:val="Normal"/>
    <w:uiPriority w:val="99"/>
    <w:rsid w:val="008F6C87"/>
    <w:pPr>
      <w:tabs>
        <w:tab w:val="left" w:pos="9000"/>
        <w:tab w:val="right" w:pos="9360"/>
      </w:tabs>
      <w:suppressAutoHyphens/>
      <w:spacing w:after="0" w:line="240" w:lineRule="auto"/>
    </w:pPr>
    <w:rPr>
      <w:rFonts w:ascii="Times New Roman CYR" w:hAnsi="Times New Roman CYR"/>
      <w:sz w:val="26"/>
      <w:szCs w:val="20"/>
      <w:lang w:val="en-US" w:eastAsia="ru-RU"/>
    </w:rPr>
  </w:style>
  <w:style w:type="paragraph" w:customStyle="1" w:styleId="affffffffd">
    <w:name w:val="единицы измерения"/>
    <w:uiPriority w:val="99"/>
    <w:rsid w:val="008F6C87"/>
    <w:pPr>
      <w:jc w:val="right"/>
    </w:pPr>
    <w:rPr>
      <w:noProof/>
      <w:sz w:val="24"/>
      <w:szCs w:val="20"/>
    </w:rPr>
  </w:style>
  <w:style w:type="paragraph" w:customStyle="1" w:styleId="5d">
    <w:name w:val="Обыч5d"/>
    <w:uiPriority w:val="99"/>
    <w:rsid w:val="008F6C87"/>
    <w:pPr>
      <w:widowControl w:val="0"/>
    </w:pPr>
    <w:rPr>
      <w:sz w:val="24"/>
      <w:szCs w:val="20"/>
    </w:rPr>
  </w:style>
  <w:style w:type="paragraph" w:customStyle="1" w:styleId="b74">
    <w:name w:val="оb7аголовок 4"/>
    <w:basedOn w:val="Normal"/>
    <w:next w:val="Normal"/>
    <w:uiPriority w:val="99"/>
    <w:rsid w:val="008F6C87"/>
    <w:pPr>
      <w:keepNext/>
      <w:widowControl w:val="0"/>
      <w:suppressAutoHyphens/>
      <w:spacing w:after="0" w:line="240" w:lineRule="auto"/>
      <w:jc w:val="center"/>
    </w:pPr>
    <w:rPr>
      <w:rFonts w:ascii="Times New Roman" w:hAnsi="Times New Roman"/>
      <w:b/>
      <w:sz w:val="24"/>
      <w:szCs w:val="24"/>
      <w:lang w:eastAsia="ru-RU"/>
    </w:rPr>
  </w:style>
  <w:style w:type="paragraph" w:customStyle="1" w:styleId="73">
    <w:name w:val="оглавление 7"/>
    <w:basedOn w:val="Normal"/>
    <w:uiPriority w:val="99"/>
    <w:rsid w:val="008F6C87"/>
    <w:pPr>
      <w:suppressAutoHyphens/>
      <w:spacing w:after="0" w:line="240" w:lineRule="auto"/>
      <w:ind w:left="720" w:hanging="720"/>
    </w:pPr>
    <w:rPr>
      <w:rFonts w:ascii="Times New Roman CYR" w:hAnsi="Times New Roman CYR"/>
      <w:sz w:val="24"/>
      <w:szCs w:val="24"/>
      <w:lang w:val="en-US" w:eastAsia="ru-RU"/>
    </w:rPr>
  </w:style>
  <w:style w:type="character" w:customStyle="1" w:styleId="st1">
    <w:name w:val="st1"/>
    <w:basedOn w:val="DefaultParagraphFont"/>
    <w:uiPriority w:val="99"/>
    <w:rsid w:val="008F6C87"/>
    <w:rPr>
      <w:rFonts w:cs="Times New Roman"/>
    </w:rPr>
  </w:style>
  <w:style w:type="paragraph" w:customStyle="1" w:styleId="affffffffe">
    <w:name w:val="Ст. без интервала"/>
    <w:basedOn w:val="Normal"/>
    <w:link w:val="afffffffff"/>
    <w:uiPriority w:val="99"/>
    <w:rsid w:val="008F6C87"/>
    <w:pPr>
      <w:spacing w:after="0" w:line="240" w:lineRule="auto"/>
      <w:ind w:firstLine="709"/>
      <w:jc w:val="both"/>
    </w:pPr>
    <w:rPr>
      <w:rFonts w:ascii="Times New Roman" w:hAnsi="Times New Roman"/>
      <w:sz w:val="28"/>
      <w:szCs w:val="20"/>
      <w:lang w:eastAsia="ko-KR"/>
    </w:rPr>
  </w:style>
  <w:style w:type="character" w:customStyle="1" w:styleId="afffffffff">
    <w:name w:val="Ст. без интервала Знак"/>
    <w:link w:val="affffffffe"/>
    <w:uiPriority w:val="99"/>
    <w:locked/>
    <w:rsid w:val="008F6C87"/>
    <w:rPr>
      <w:rFonts w:eastAsia="Times New Roman"/>
      <w:sz w:val="28"/>
    </w:rPr>
  </w:style>
  <w:style w:type="character" w:customStyle="1" w:styleId="1fff1">
    <w:name w:val="Текст сноски Знак Знак Знак Знак Знак1"/>
    <w:aliases w:val="Текст сноски Знак Знак Знак Знак2,Текст сноски Знак Знак Знак2,Текст сноски Знак Знак Знак Знак Знак Знак Знак Знак1,Текст сноски Знак Знак Знак Знак Знак Знак Знак2,Текст сноски Знак2,Table_Footnote_last Знак2"/>
    <w:basedOn w:val="DefaultParagraphFont"/>
    <w:uiPriority w:val="99"/>
    <w:semiHidden/>
    <w:rsid w:val="008F6C87"/>
    <w:rPr>
      <w:rFonts w:cs="Times New Roman"/>
    </w:rPr>
  </w:style>
  <w:style w:type="character" w:customStyle="1" w:styleId="1fff2">
    <w:name w:val="Верхний колонтитул Знак1"/>
    <w:aliases w:val="Знак4 Знак1,Знак8 Знак1,ВерхКолонтитул Знак1"/>
    <w:uiPriority w:val="99"/>
    <w:semiHidden/>
    <w:rsid w:val="008F6C87"/>
    <w:rPr>
      <w:sz w:val="24"/>
    </w:rPr>
  </w:style>
  <w:style w:type="paragraph" w:customStyle="1" w:styleId="-S">
    <w:name w:val="- S_Маркированный"/>
    <w:basedOn w:val="Normal"/>
    <w:autoRedefine/>
    <w:uiPriority w:val="99"/>
    <w:rsid w:val="008F6C87"/>
    <w:pPr>
      <w:spacing w:after="0" w:line="240" w:lineRule="auto"/>
      <w:ind w:left="284"/>
    </w:pPr>
    <w:rPr>
      <w:rFonts w:ascii="Times New Roman" w:hAnsi="Times New Roman"/>
      <w:b/>
      <w:color w:val="76923C"/>
      <w:sz w:val="24"/>
      <w:szCs w:val="24"/>
      <w:lang w:eastAsia="ru-RU"/>
    </w:rPr>
  </w:style>
  <w:style w:type="paragraph" w:customStyle="1" w:styleId="font7">
    <w:name w:val="font7"/>
    <w:basedOn w:val="Normal"/>
    <w:uiPriority w:val="99"/>
    <w:rsid w:val="008F6C87"/>
    <w:pPr>
      <w:spacing w:before="100" w:beforeAutospacing="1" w:after="100" w:afterAutospacing="1" w:line="240" w:lineRule="auto"/>
    </w:pPr>
    <w:rPr>
      <w:rFonts w:ascii="Tahoma" w:hAnsi="Tahoma" w:cs="Tahoma"/>
      <w:color w:val="000000"/>
      <w:sz w:val="16"/>
      <w:szCs w:val="16"/>
      <w:lang w:eastAsia="ru-RU"/>
    </w:rPr>
  </w:style>
  <w:style w:type="paragraph" w:customStyle="1" w:styleId="font8">
    <w:name w:val="font8"/>
    <w:basedOn w:val="Normal"/>
    <w:uiPriority w:val="99"/>
    <w:rsid w:val="008F6C87"/>
    <w:pPr>
      <w:spacing w:before="100" w:beforeAutospacing="1" w:after="100" w:afterAutospacing="1" w:line="240" w:lineRule="auto"/>
    </w:pPr>
    <w:rPr>
      <w:rFonts w:ascii="Tahoma" w:hAnsi="Tahoma" w:cs="Tahoma"/>
      <w:b/>
      <w:bCs/>
      <w:color w:val="000000"/>
      <w:sz w:val="16"/>
      <w:szCs w:val="16"/>
      <w:lang w:eastAsia="ru-RU"/>
    </w:rPr>
  </w:style>
  <w:style w:type="paragraph" w:customStyle="1" w:styleId="font9">
    <w:name w:val="font9"/>
    <w:basedOn w:val="Normal"/>
    <w:uiPriority w:val="99"/>
    <w:rsid w:val="008F6C87"/>
    <w:pPr>
      <w:spacing w:before="100" w:beforeAutospacing="1" w:after="100" w:afterAutospacing="1" w:line="240" w:lineRule="auto"/>
    </w:pPr>
    <w:rPr>
      <w:rFonts w:ascii="Tahoma" w:hAnsi="Tahoma" w:cs="Tahoma"/>
      <w:color w:val="000000"/>
      <w:sz w:val="16"/>
      <w:szCs w:val="16"/>
      <w:lang w:eastAsia="ru-RU"/>
    </w:rPr>
  </w:style>
  <w:style w:type="paragraph" w:customStyle="1" w:styleId="font10">
    <w:name w:val="font10"/>
    <w:basedOn w:val="Normal"/>
    <w:uiPriority w:val="99"/>
    <w:rsid w:val="008F6C87"/>
    <w:pPr>
      <w:spacing w:before="100" w:beforeAutospacing="1" w:after="100" w:afterAutospacing="1" w:line="240" w:lineRule="auto"/>
    </w:pPr>
    <w:rPr>
      <w:rFonts w:ascii="Tahoma" w:hAnsi="Tahoma" w:cs="Tahoma"/>
      <w:b/>
      <w:bCs/>
      <w:color w:val="000000"/>
      <w:sz w:val="16"/>
      <w:szCs w:val="16"/>
      <w:lang w:eastAsia="ru-RU"/>
    </w:rPr>
  </w:style>
  <w:style w:type="paragraph" w:customStyle="1" w:styleId="font13">
    <w:name w:val="font13"/>
    <w:basedOn w:val="Normal"/>
    <w:uiPriority w:val="99"/>
    <w:rsid w:val="008F6C87"/>
    <w:pPr>
      <w:spacing w:before="100" w:beforeAutospacing="1" w:after="100" w:afterAutospacing="1" w:line="240" w:lineRule="auto"/>
    </w:pPr>
    <w:rPr>
      <w:rFonts w:ascii="Times New Roman" w:hAnsi="Times New Roman"/>
      <w:color w:val="000000"/>
      <w:sz w:val="16"/>
      <w:szCs w:val="16"/>
      <w:lang w:eastAsia="ru-RU"/>
    </w:rPr>
  </w:style>
  <w:style w:type="paragraph" w:customStyle="1" w:styleId="font14">
    <w:name w:val="font14"/>
    <w:basedOn w:val="Normal"/>
    <w:uiPriority w:val="99"/>
    <w:rsid w:val="008F6C87"/>
    <w:pPr>
      <w:spacing w:before="100" w:beforeAutospacing="1" w:after="100" w:afterAutospacing="1" w:line="240" w:lineRule="auto"/>
    </w:pPr>
    <w:rPr>
      <w:rFonts w:ascii="Times New Roman" w:hAnsi="Times New Roman"/>
      <w:color w:val="000000"/>
      <w:sz w:val="16"/>
      <w:szCs w:val="16"/>
      <w:u w:val="single"/>
      <w:lang w:eastAsia="ru-RU"/>
    </w:rPr>
  </w:style>
  <w:style w:type="paragraph" w:customStyle="1" w:styleId="font15">
    <w:name w:val="font15"/>
    <w:basedOn w:val="Normal"/>
    <w:uiPriority w:val="99"/>
    <w:rsid w:val="008F6C87"/>
    <w:pPr>
      <w:spacing w:before="100" w:beforeAutospacing="1" w:after="100" w:afterAutospacing="1" w:line="240" w:lineRule="auto"/>
    </w:pPr>
    <w:rPr>
      <w:rFonts w:ascii="Times New Roman" w:hAnsi="Times New Roman"/>
      <w:sz w:val="16"/>
      <w:szCs w:val="16"/>
      <w:lang w:eastAsia="ru-RU"/>
    </w:rPr>
  </w:style>
  <w:style w:type="paragraph" w:customStyle="1" w:styleId="afffffffff0">
    <w:name w:val="Дистиль"/>
    <w:basedOn w:val="Normal"/>
    <w:uiPriority w:val="99"/>
    <w:rsid w:val="008F6C87"/>
    <w:pPr>
      <w:spacing w:after="0" w:line="240" w:lineRule="auto"/>
    </w:pPr>
    <w:rPr>
      <w:rFonts w:ascii="Times New Roman" w:hAnsi="Times New Roman"/>
      <w:sz w:val="28"/>
      <w:szCs w:val="20"/>
      <w:lang w:eastAsia="ru-RU"/>
    </w:rPr>
  </w:style>
  <w:style w:type="paragraph" w:customStyle="1" w:styleId="xl92">
    <w:name w:val="xl92"/>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olor w:val="FFFFFF"/>
      <w:sz w:val="16"/>
      <w:szCs w:val="16"/>
      <w:lang w:eastAsia="ru-RU"/>
    </w:rPr>
  </w:style>
  <w:style w:type="paragraph" w:customStyle="1" w:styleId="1fff3">
    <w:name w:val="Основной текст с отступом.Основной текст 1.Нумерованный список !!.Основной текст с отступом Знак.Надин стиль.Основной текст без отступа"/>
    <w:basedOn w:val="Normal"/>
    <w:uiPriority w:val="99"/>
    <w:rsid w:val="008F6C87"/>
    <w:pPr>
      <w:spacing w:after="0" w:line="360" w:lineRule="auto"/>
      <w:ind w:firstLine="709"/>
      <w:jc w:val="both"/>
    </w:pPr>
    <w:rPr>
      <w:rFonts w:ascii="Times New Roman" w:hAnsi="Times New Roman"/>
      <w:sz w:val="26"/>
      <w:szCs w:val="20"/>
      <w:lang w:eastAsia="ru-RU"/>
    </w:rPr>
  </w:style>
  <w:style w:type="character" w:customStyle="1" w:styleId="ListParagraphChar">
    <w:name w:val="List Paragraph Char"/>
    <w:link w:val="ListParagraph"/>
    <w:uiPriority w:val="99"/>
    <w:locked/>
    <w:rsid w:val="008F6C87"/>
    <w:rPr>
      <w:rFonts w:ascii="Calibri" w:hAnsi="Calibri"/>
      <w:sz w:val="22"/>
      <w:lang w:eastAsia="en-US"/>
    </w:rPr>
  </w:style>
  <w:style w:type="paragraph" w:customStyle="1" w:styleId="55">
    <w:name w:val="заголовок 5"/>
    <w:basedOn w:val="Normal"/>
    <w:next w:val="Normal"/>
    <w:uiPriority w:val="99"/>
    <w:rsid w:val="008F6C87"/>
    <w:pPr>
      <w:keepNext/>
      <w:spacing w:after="0" w:line="240" w:lineRule="auto"/>
      <w:jc w:val="center"/>
      <w:outlineLvl w:val="4"/>
    </w:pPr>
    <w:rPr>
      <w:rFonts w:ascii="Times New Roman" w:hAnsi="Times New Roman"/>
      <w:b/>
      <w:sz w:val="18"/>
      <w:szCs w:val="20"/>
      <w:lang w:val="en-US" w:eastAsia="ru-RU"/>
    </w:rPr>
  </w:style>
  <w:style w:type="paragraph" w:customStyle="1" w:styleId="xl93">
    <w:name w:val="xl93"/>
    <w:basedOn w:val="Normal"/>
    <w:uiPriority w:val="99"/>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hAnsi="Times New Roman"/>
      <w:b/>
      <w:bCs/>
      <w:color w:val="0070C0"/>
      <w:sz w:val="20"/>
      <w:szCs w:val="20"/>
      <w:lang w:eastAsia="ru-RU"/>
    </w:rPr>
  </w:style>
  <w:style w:type="paragraph" w:customStyle="1" w:styleId="xl94">
    <w:name w:val="xl94"/>
    <w:basedOn w:val="Normal"/>
    <w:uiPriority w:val="99"/>
    <w:rsid w:val="008F6C87"/>
    <w:pPr>
      <w:shd w:val="clear" w:color="000000" w:fill="DA9694"/>
      <w:spacing w:before="100" w:beforeAutospacing="1" w:after="100" w:afterAutospacing="1" w:line="240" w:lineRule="auto"/>
    </w:pPr>
    <w:rPr>
      <w:rFonts w:ascii="Times New Roman" w:hAnsi="Times New Roman"/>
      <w:sz w:val="24"/>
      <w:szCs w:val="24"/>
      <w:lang w:eastAsia="ru-RU"/>
    </w:rPr>
  </w:style>
  <w:style w:type="paragraph" w:customStyle="1" w:styleId="xl95">
    <w:name w:val="xl95"/>
    <w:basedOn w:val="Normal"/>
    <w:uiPriority w:val="99"/>
    <w:rsid w:val="008F6C87"/>
    <w:pPr>
      <w:shd w:val="clear" w:color="000000" w:fill="DA9694"/>
      <w:spacing w:before="100" w:beforeAutospacing="1" w:after="100" w:afterAutospacing="1" w:line="240" w:lineRule="auto"/>
    </w:pPr>
    <w:rPr>
      <w:rFonts w:ascii="Times New Roman" w:hAnsi="Times New Roman"/>
      <w:sz w:val="24"/>
      <w:szCs w:val="24"/>
      <w:lang w:eastAsia="ru-RU"/>
    </w:rPr>
  </w:style>
  <w:style w:type="paragraph" w:customStyle="1" w:styleId="xl96">
    <w:name w:val="xl96"/>
    <w:basedOn w:val="Normal"/>
    <w:uiPriority w:val="99"/>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hAnsi="Times New Roman"/>
      <w:b/>
      <w:bCs/>
      <w:color w:val="4F81BD"/>
      <w:sz w:val="20"/>
      <w:szCs w:val="20"/>
      <w:lang w:eastAsia="ru-RU"/>
    </w:rPr>
  </w:style>
  <w:style w:type="paragraph" w:customStyle="1" w:styleId="Bodytext41">
    <w:name w:val="Body text (4)1"/>
    <w:basedOn w:val="Normal"/>
    <w:link w:val="Bodytext4"/>
    <w:uiPriority w:val="99"/>
    <w:rsid w:val="008F6C87"/>
    <w:pPr>
      <w:shd w:val="clear" w:color="auto" w:fill="FFFFFF"/>
      <w:spacing w:after="0" w:line="302" w:lineRule="exact"/>
      <w:jc w:val="both"/>
    </w:pPr>
    <w:rPr>
      <w:rFonts w:ascii="Times New Roman" w:hAnsi="Times New Roman"/>
      <w:b/>
      <w:i/>
      <w:sz w:val="25"/>
      <w:szCs w:val="20"/>
      <w:lang w:eastAsia="ko-KR"/>
    </w:rPr>
  </w:style>
  <w:style w:type="paragraph" w:customStyle="1" w:styleId="xl98">
    <w:name w:val="xl98"/>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sz w:val="20"/>
      <w:szCs w:val="20"/>
      <w:lang w:eastAsia="ru-RU"/>
    </w:rPr>
  </w:style>
  <w:style w:type="paragraph" w:customStyle="1" w:styleId="xl99">
    <w:name w:val="xl99"/>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4F81BD"/>
      <w:sz w:val="20"/>
      <w:szCs w:val="20"/>
      <w:lang w:eastAsia="ru-RU"/>
    </w:rPr>
  </w:style>
  <w:style w:type="paragraph" w:customStyle="1" w:styleId="xl100">
    <w:name w:val="xl100"/>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sz w:val="20"/>
      <w:szCs w:val="20"/>
      <w:lang w:eastAsia="ru-RU"/>
    </w:rPr>
  </w:style>
  <w:style w:type="paragraph" w:customStyle="1" w:styleId="xl101">
    <w:name w:val="xl101"/>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sz w:val="20"/>
      <w:szCs w:val="20"/>
      <w:lang w:eastAsia="ru-RU"/>
    </w:rPr>
  </w:style>
  <w:style w:type="paragraph" w:customStyle="1" w:styleId="xl102">
    <w:name w:val="xl102"/>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4F81BD"/>
      <w:sz w:val="20"/>
      <w:szCs w:val="20"/>
      <w:lang w:eastAsia="ru-RU"/>
    </w:rPr>
  </w:style>
  <w:style w:type="paragraph" w:customStyle="1" w:styleId="xl103">
    <w:name w:val="xl103"/>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4"/>
      <w:szCs w:val="24"/>
      <w:lang w:eastAsia="ru-RU"/>
    </w:rPr>
  </w:style>
  <w:style w:type="paragraph" w:customStyle="1" w:styleId="xl104">
    <w:name w:val="xl104"/>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szCs w:val="20"/>
      <w:lang w:eastAsia="ru-RU"/>
    </w:rPr>
  </w:style>
  <w:style w:type="paragraph" w:customStyle="1" w:styleId="xl105">
    <w:name w:val="xl105"/>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70C0"/>
      <w:sz w:val="20"/>
      <w:szCs w:val="20"/>
      <w:lang w:eastAsia="ru-RU"/>
    </w:rPr>
  </w:style>
  <w:style w:type="paragraph" w:customStyle="1" w:styleId="xl106">
    <w:name w:val="xl106"/>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107">
    <w:name w:val="xl107"/>
    <w:basedOn w:val="Normal"/>
    <w:uiPriority w:val="99"/>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hAnsi="Times New Roman"/>
      <w:b/>
      <w:bCs/>
      <w:color w:val="000000"/>
      <w:sz w:val="20"/>
      <w:szCs w:val="20"/>
      <w:lang w:eastAsia="ru-RU"/>
    </w:rPr>
  </w:style>
  <w:style w:type="paragraph" w:customStyle="1" w:styleId="xl108">
    <w:name w:val="xl108"/>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sz w:val="20"/>
      <w:szCs w:val="20"/>
      <w:lang w:eastAsia="ru-RU"/>
    </w:rPr>
  </w:style>
  <w:style w:type="paragraph" w:customStyle="1" w:styleId="xl109">
    <w:name w:val="xl109"/>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110">
    <w:name w:val="xl110"/>
    <w:basedOn w:val="Normal"/>
    <w:uiPriority w:val="99"/>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111">
    <w:name w:val="xl111"/>
    <w:basedOn w:val="Normal"/>
    <w:uiPriority w:val="99"/>
    <w:rsid w:val="008F6C87"/>
    <w:pPr>
      <w:pBdr>
        <w:top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112">
    <w:name w:val="xl112"/>
    <w:basedOn w:val="Normal"/>
    <w:uiPriority w:val="99"/>
    <w:rsid w:val="008F6C8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113">
    <w:name w:val="xl113"/>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szCs w:val="20"/>
      <w:lang w:eastAsia="ru-RU"/>
    </w:rPr>
  </w:style>
  <w:style w:type="paragraph" w:customStyle="1" w:styleId="xl114">
    <w:name w:val="xl114"/>
    <w:basedOn w:val="Normal"/>
    <w:uiPriority w:val="99"/>
    <w:rsid w:val="008F6C87"/>
    <w:pPr>
      <w:spacing w:before="100" w:beforeAutospacing="1" w:after="100" w:afterAutospacing="1" w:line="240" w:lineRule="auto"/>
    </w:pPr>
    <w:rPr>
      <w:rFonts w:ascii="Times New Roman" w:hAnsi="Times New Roman"/>
      <w:sz w:val="24"/>
      <w:szCs w:val="24"/>
      <w:lang w:eastAsia="ru-RU"/>
    </w:rPr>
  </w:style>
  <w:style w:type="paragraph" w:customStyle="1" w:styleId="xl115">
    <w:name w:val="xl115"/>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6">
    <w:name w:val="xl116"/>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szCs w:val="20"/>
      <w:lang w:eastAsia="ru-RU"/>
    </w:rPr>
  </w:style>
  <w:style w:type="paragraph" w:customStyle="1" w:styleId="xl117">
    <w:name w:val="xl117"/>
    <w:basedOn w:val="Normal"/>
    <w:uiPriority w:val="99"/>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sz w:val="20"/>
      <w:szCs w:val="20"/>
      <w:lang w:eastAsia="ru-RU"/>
    </w:rPr>
  </w:style>
  <w:style w:type="paragraph" w:customStyle="1" w:styleId="xl118">
    <w:name w:val="xl118"/>
    <w:basedOn w:val="Normal"/>
    <w:uiPriority w:val="99"/>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sz w:val="20"/>
      <w:szCs w:val="20"/>
      <w:lang w:eastAsia="ru-RU"/>
    </w:rPr>
  </w:style>
  <w:style w:type="paragraph" w:customStyle="1" w:styleId="xl119">
    <w:name w:val="xl119"/>
    <w:basedOn w:val="Normal"/>
    <w:uiPriority w:val="99"/>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120">
    <w:name w:val="xl120"/>
    <w:basedOn w:val="Normal"/>
    <w:uiPriority w:val="99"/>
    <w:rsid w:val="008F6C87"/>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 w:val="20"/>
      <w:szCs w:val="20"/>
      <w:lang w:eastAsia="ru-RU"/>
    </w:rPr>
  </w:style>
  <w:style w:type="paragraph" w:customStyle="1" w:styleId="xl121">
    <w:name w:val="xl121"/>
    <w:basedOn w:val="Normal"/>
    <w:uiPriority w:val="99"/>
    <w:rsid w:val="008F6C87"/>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20"/>
      <w:szCs w:val="20"/>
      <w:lang w:eastAsia="ru-RU"/>
    </w:rPr>
  </w:style>
  <w:style w:type="paragraph" w:customStyle="1" w:styleId="xl122">
    <w:name w:val="xl122"/>
    <w:basedOn w:val="Normal"/>
    <w:uiPriority w:val="99"/>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szCs w:val="20"/>
      <w:lang w:eastAsia="ru-RU"/>
    </w:rPr>
  </w:style>
  <w:style w:type="paragraph" w:customStyle="1" w:styleId="xl123">
    <w:name w:val="xl123"/>
    <w:basedOn w:val="Normal"/>
    <w:uiPriority w:val="99"/>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124">
    <w:name w:val="xl124"/>
    <w:basedOn w:val="Normal"/>
    <w:uiPriority w:val="99"/>
    <w:rsid w:val="008F6C87"/>
    <w:pPr>
      <w:pBdr>
        <w:top w:val="single" w:sz="4" w:space="0" w:color="auto"/>
        <w:left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hAnsi="Times New Roman"/>
      <w:b/>
      <w:bCs/>
      <w:color w:val="000000"/>
      <w:sz w:val="20"/>
      <w:szCs w:val="20"/>
      <w:lang w:eastAsia="ru-RU"/>
    </w:rPr>
  </w:style>
  <w:style w:type="paragraph" w:customStyle="1" w:styleId="xl125">
    <w:name w:val="xl125"/>
    <w:basedOn w:val="Normal"/>
    <w:uiPriority w:val="99"/>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sz w:val="20"/>
      <w:szCs w:val="20"/>
      <w:lang w:eastAsia="ru-RU"/>
    </w:rPr>
  </w:style>
  <w:style w:type="paragraph" w:customStyle="1" w:styleId="xl126">
    <w:name w:val="xl126"/>
    <w:basedOn w:val="Normal"/>
    <w:uiPriority w:val="99"/>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textAlignment w:val="center"/>
    </w:pPr>
    <w:rPr>
      <w:rFonts w:ascii="Times New Roman" w:hAnsi="Times New Roman"/>
      <w:b/>
      <w:bCs/>
      <w:i/>
      <w:iCs/>
      <w:color w:val="000000"/>
      <w:sz w:val="20"/>
      <w:szCs w:val="20"/>
      <w:lang w:eastAsia="ru-RU"/>
    </w:rPr>
  </w:style>
  <w:style w:type="paragraph" w:customStyle="1" w:styleId="xl127">
    <w:name w:val="xl127"/>
    <w:basedOn w:val="Normal"/>
    <w:uiPriority w:val="99"/>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hAnsi="Times New Roman"/>
      <w:b/>
      <w:bCs/>
      <w:color w:val="4F81BD"/>
      <w:sz w:val="20"/>
      <w:szCs w:val="20"/>
      <w:lang w:eastAsia="ru-RU"/>
    </w:rPr>
  </w:style>
  <w:style w:type="paragraph" w:customStyle="1" w:styleId="xl128">
    <w:name w:val="xl128"/>
    <w:basedOn w:val="Normal"/>
    <w:uiPriority w:val="99"/>
    <w:rsid w:val="008F6C87"/>
    <w:pPr>
      <w:pBdr>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hAnsi="Times New Roman"/>
      <w:b/>
      <w:bCs/>
      <w:color w:val="4F81BD"/>
      <w:sz w:val="20"/>
      <w:szCs w:val="20"/>
      <w:lang w:eastAsia="ru-RU"/>
    </w:rPr>
  </w:style>
  <w:style w:type="paragraph" w:customStyle="1" w:styleId="xl129">
    <w:name w:val="xl129"/>
    <w:basedOn w:val="Normal"/>
    <w:uiPriority w:val="99"/>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hAnsi="Times New Roman"/>
      <w:b/>
      <w:bCs/>
      <w:sz w:val="20"/>
      <w:szCs w:val="20"/>
      <w:lang w:eastAsia="ru-RU"/>
    </w:rPr>
  </w:style>
  <w:style w:type="paragraph" w:customStyle="1" w:styleId="xl130">
    <w:name w:val="xl130"/>
    <w:basedOn w:val="Normal"/>
    <w:uiPriority w:val="99"/>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hAnsi="Times New Roman"/>
      <w:b/>
      <w:bCs/>
      <w:color w:val="000000"/>
      <w:sz w:val="24"/>
      <w:szCs w:val="24"/>
      <w:lang w:eastAsia="ru-RU"/>
    </w:rPr>
  </w:style>
  <w:style w:type="paragraph" w:customStyle="1" w:styleId="xl131">
    <w:name w:val="xl131"/>
    <w:basedOn w:val="Normal"/>
    <w:uiPriority w:val="99"/>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hAnsi="Times New Roman"/>
      <w:b/>
      <w:bCs/>
      <w:color w:val="000000"/>
      <w:sz w:val="20"/>
      <w:szCs w:val="20"/>
      <w:lang w:eastAsia="ru-RU"/>
    </w:rPr>
  </w:style>
  <w:style w:type="paragraph" w:customStyle="1" w:styleId="xl132">
    <w:name w:val="xl132"/>
    <w:basedOn w:val="Normal"/>
    <w:uiPriority w:val="99"/>
    <w:rsid w:val="008F6C87"/>
    <w:pPr>
      <w:shd w:val="clear" w:color="000000" w:fill="DA9694"/>
      <w:spacing w:before="100" w:beforeAutospacing="1" w:after="100" w:afterAutospacing="1" w:line="240" w:lineRule="auto"/>
    </w:pPr>
    <w:rPr>
      <w:rFonts w:ascii="Times New Roman" w:hAnsi="Times New Roman"/>
      <w:sz w:val="24"/>
      <w:szCs w:val="24"/>
      <w:lang w:eastAsia="ru-RU"/>
    </w:rPr>
  </w:style>
  <w:style w:type="paragraph" w:customStyle="1" w:styleId="xl134">
    <w:name w:val="xl134"/>
    <w:basedOn w:val="Normal"/>
    <w:uiPriority w:val="99"/>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color w:val="4F81BD"/>
      <w:sz w:val="20"/>
      <w:szCs w:val="20"/>
      <w:lang w:eastAsia="ru-RU"/>
    </w:rPr>
  </w:style>
  <w:style w:type="paragraph" w:customStyle="1" w:styleId="xl135">
    <w:name w:val="xl135"/>
    <w:basedOn w:val="Normal"/>
    <w:uiPriority w:val="99"/>
    <w:rsid w:val="008F6C8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136">
    <w:name w:val="xl136"/>
    <w:basedOn w:val="Normal"/>
    <w:uiPriority w:val="99"/>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szCs w:val="20"/>
      <w:lang w:eastAsia="ru-RU"/>
    </w:rPr>
  </w:style>
  <w:style w:type="paragraph" w:customStyle="1" w:styleId="xl137">
    <w:name w:val="xl137"/>
    <w:basedOn w:val="Normal"/>
    <w:uiPriority w:val="99"/>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4F81BD"/>
      <w:sz w:val="24"/>
      <w:szCs w:val="24"/>
      <w:lang w:eastAsia="ru-RU"/>
    </w:rPr>
  </w:style>
  <w:style w:type="paragraph" w:customStyle="1" w:styleId="xl138">
    <w:name w:val="xl138"/>
    <w:basedOn w:val="Normal"/>
    <w:uiPriority w:val="99"/>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4F81BD"/>
      <w:sz w:val="20"/>
      <w:szCs w:val="20"/>
      <w:lang w:eastAsia="ru-RU"/>
    </w:rPr>
  </w:style>
  <w:style w:type="character" w:customStyle="1" w:styleId="Bodytext6">
    <w:name w:val="Body text (6)_"/>
    <w:link w:val="Bodytext61"/>
    <w:uiPriority w:val="99"/>
    <w:locked/>
    <w:rsid w:val="008F6C87"/>
    <w:rPr>
      <w:sz w:val="21"/>
      <w:shd w:val="clear" w:color="auto" w:fill="FFFFFF"/>
    </w:rPr>
  </w:style>
  <w:style w:type="paragraph" w:customStyle="1" w:styleId="xl140">
    <w:name w:val="xl140"/>
    <w:basedOn w:val="Normal"/>
    <w:uiPriority w:val="99"/>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sz w:val="20"/>
      <w:szCs w:val="20"/>
      <w:lang w:eastAsia="ru-RU"/>
    </w:rPr>
  </w:style>
  <w:style w:type="paragraph" w:customStyle="1" w:styleId="xl141">
    <w:name w:val="xl141"/>
    <w:basedOn w:val="Normal"/>
    <w:uiPriority w:val="99"/>
    <w:rsid w:val="008F6C87"/>
    <w:pPr>
      <w:shd w:val="clear" w:color="000000" w:fill="DA9694"/>
      <w:spacing w:before="100" w:beforeAutospacing="1" w:after="100" w:afterAutospacing="1" w:line="240" w:lineRule="auto"/>
    </w:pPr>
    <w:rPr>
      <w:rFonts w:ascii="Times New Roman" w:hAnsi="Times New Roman"/>
      <w:sz w:val="24"/>
      <w:szCs w:val="24"/>
      <w:lang w:eastAsia="ru-RU"/>
    </w:rPr>
  </w:style>
  <w:style w:type="paragraph" w:customStyle="1" w:styleId="xl142">
    <w:name w:val="xl142"/>
    <w:basedOn w:val="Normal"/>
    <w:uiPriority w:val="99"/>
    <w:rsid w:val="008F6C87"/>
    <w:pPr>
      <w:pBdr>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hAnsi="Times New Roman"/>
      <w:color w:val="000000"/>
      <w:sz w:val="20"/>
      <w:szCs w:val="20"/>
      <w:lang w:eastAsia="ru-RU"/>
    </w:rPr>
  </w:style>
  <w:style w:type="paragraph" w:customStyle="1" w:styleId="xl144">
    <w:name w:val="xl144"/>
    <w:basedOn w:val="Normal"/>
    <w:uiPriority w:val="99"/>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sz w:val="20"/>
      <w:szCs w:val="20"/>
      <w:lang w:eastAsia="ru-RU"/>
    </w:rPr>
  </w:style>
  <w:style w:type="paragraph" w:customStyle="1" w:styleId="xl145">
    <w:name w:val="xl145"/>
    <w:basedOn w:val="Normal"/>
    <w:uiPriority w:val="99"/>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szCs w:val="20"/>
      <w:lang w:eastAsia="ru-RU"/>
    </w:rPr>
  </w:style>
  <w:style w:type="paragraph" w:customStyle="1" w:styleId="xl146">
    <w:name w:val="xl146"/>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szCs w:val="20"/>
      <w:lang w:eastAsia="ru-RU"/>
    </w:rPr>
  </w:style>
  <w:style w:type="paragraph" w:customStyle="1" w:styleId="xl147">
    <w:name w:val="xl147"/>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148">
    <w:name w:val="xl148"/>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4F81BD"/>
      <w:sz w:val="24"/>
      <w:szCs w:val="24"/>
      <w:lang w:eastAsia="ru-RU"/>
    </w:rPr>
  </w:style>
  <w:style w:type="paragraph" w:customStyle="1" w:styleId="xl149">
    <w:name w:val="xl149"/>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4F81BD"/>
      <w:sz w:val="20"/>
      <w:szCs w:val="20"/>
      <w:lang w:eastAsia="ru-RU"/>
    </w:rPr>
  </w:style>
  <w:style w:type="paragraph" w:customStyle="1" w:styleId="xl150">
    <w:name w:val="xl150"/>
    <w:basedOn w:val="Normal"/>
    <w:uiPriority w:val="99"/>
    <w:rsid w:val="008F6C87"/>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hAnsi="Times New Roman"/>
      <w:sz w:val="20"/>
      <w:szCs w:val="20"/>
      <w:lang w:eastAsia="ru-RU"/>
    </w:rPr>
  </w:style>
  <w:style w:type="paragraph" w:customStyle="1" w:styleId="xl151">
    <w:name w:val="xl151"/>
    <w:basedOn w:val="Normal"/>
    <w:uiPriority w:val="99"/>
    <w:rsid w:val="008F6C87"/>
    <w:pPr>
      <w:shd w:val="clear" w:color="000000" w:fill="DA9694"/>
      <w:spacing w:before="100" w:beforeAutospacing="1" w:after="100" w:afterAutospacing="1" w:line="240" w:lineRule="auto"/>
    </w:pPr>
    <w:rPr>
      <w:rFonts w:ascii="Times New Roman" w:hAnsi="Times New Roman"/>
      <w:sz w:val="24"/>
      <w:szCs w:val="24"/>
      <w:lang w:eastAsia="ru-RU"/>
    </w:rPr>
  </w:style>
  <w:style w:type="paragraph" w:customStyle="1" w:styleId="xl152">
    <w:name w:val="xl152"/>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FF0000"/>
      <w:sz w:val="24"/>
      <w:szCs w:val="24"/>
      <w:lang w:eastAsia="ru-RU"/>
    </w:rPr>
  </w:style>
  <w:style w:type="paragraph" w:customStyle="1" w:styleId="xl153">
    <w:name w:val="xl153"/>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FF0000"/>
      <w:sz w:val="20"/>
      <w:szCs w:val="20"/>
      <w:lang w:eastAsia="ru-RU"/>
    </w:rPr>
  </w:style>
  <w:style w:type="paragraph" w:customStyle="1" w:styleId="xl154">
    <w:name w:val="xl154"/>
    <w:basedOn w:val="Normal"/>
    <w:uiPriority w:val="99"/>
    <w:rsid w:val="008F6C87"/>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hAnsi="Times New Roman"/>
      <w:color w:val="000000"/>
      <w:sz w:val="20"/>
      <w:szCs w:val="20"/>
      <w:lang w:eastAsia="ru-RU"/>
    </w:rPr>
  </w:style>
  <w:style w:type="paragraph" w:customStyle="1" w:styleId="xl155">
    <w:name w:val="xl155"/>
    <w:basedOn w:val="Normal"/>
    <w:uiPriority w:val="99"/>
    <w:rsid w:val="008F6C87"/>
    <w:pPr>
      <w:pBdr>
        <w:top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hAnsi="Times New Roman"/>
      <w:sz w:val="20"/>
      <w:szCs w:val="20"/>
      <w:lang w:eastAsia="ru-RU"/>
    </w:rPr>
  </w:style>
  <w:style w:type="paragraph" w:customStyle="1" w:styleId="xl156">
    <w:name w:val="xl156"/>
    <w:basedOn w:val="Normal"/>
    <w:uiPriority w:val="99"/>
    <w:rsid w:val="008F6C87"/>
    <w:pPr>
      <w:pBdr>
        <w:top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hAnsi="Times New Roman"/>
      <w:color w:val="000000"/>
      <w:sz w:val="20"/>
      <w:szCs w:val="20"/>
      <w:lang w:eastAsia="ru-RU"/>
    </w:rPr>
  </w:style>
  <w:style w:type="paragraph" w:customStyle="1" w:styleId="xl157">
    <w:name w:val="xl157"/>
    <w:basedOn w:val="Normal"/>
    <w:uiPriority w:val="99"/>
    <w:rsid w:val="008F6C87"/>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hAnsi="Times New Roman"/>
      <w:sz w:val="20"/>
      <w:szCs w:val="20"/>
      <w:lang w:eastAsia="ru-RU"/>
    </w:rPr>
  </w:style>
  <w:style w:type="paragraph" w:customStyle="1" w:styleId="xl158">
    <w:name w:val="xl158"/>
    <w:basedOn w:val="Normal"/>
    <w:uiPriority w:val="99"/>
    <w:rsid w:val="008F6C87"/>
    <w:pPr>
      <w:pBdr>
        <w:top w:val="single" w:sz="4" w:space="0" w:color="auto"/>
        <w:bottom w:val="single" w:sz="4" w:space="0" w:color="auto"/>
        <w:right w:val="single" w:sz="4" w:space="0" w:color="auto"/>
      </w:pBdr>
      <w:shd w:val="clear" w:color="000000" w:fill="DA9694"/>
      <w:spacing w:before="100" w:beforeAutospacing="1" w:after="100" w:afterAutospacing="1" w:line="240" w:lineRule="auto"/>
    </w:pPr>
    <w:rPr>
      <w:rFonts w:ascii="Times New Roman" w:hAnsi="Times New Roman"/>
      <w:sz w:val="24"/>
      <w:szCs w:val="24"/>
      <w:lang w:eastAsia="ru-RU"/>
    </w:rPr>
  </w:style>
  <w:style w:type="paragraph" w:customStyle="1" w:styleId="xl159">
    <w:name w:val="xl159"/>
    <w:basedOn w:val="Normal"/>
    <w:uiPriority w:val="99"/>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hAnsi="Times New Roman"/>
      <w:b/>
      <w:bCs/>
      <w:color w:val="000000"/>
      <w:sz w:val="20"/>
      <w:szCs w:val="20"/>
      <w:lang w:eastAsia="ru-RU"/>
    </w:rPr>
  </w:style>
  <w:style w:type="paragraph" w:customStyle="1" w:styleId="xl160">
    <w:name w:val="xl160"/>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161">
    <w:name w:val="xl161"/>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70C0"/>
      <w:sz w:val="20"/>
      <w:szCs w:val="20"/>
      <w:lang w:eastAsia="ru-RU"/>
    </w:rPr>
  </w:style>
  <w:style w:type="paragraph" w:customStyle="1" w:styleId="xl162">
    <w:name w:val="xl162"/>
    <w:basedOn w:val="Normal"/>
    <w:uiPriority w:val="99"/>
    <w:rsid w:val="008F6C87"/>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hAnsi="Times New Roman"/>
      <w:b/>
      <w:bCs/>
      <w:color w:val="000000"/>
      <w:sz w:val="20"/>
      <w:szCs w:val="20"/>
      <w:lang w:eastAsia="ru-RU"/>
    </w:rPr>
  </w:style>
  <w:style w:type="paragraph" w:customStyle="1" w:styleId="xl163">
    <w:name w:val="xl163"/>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164">
    <w:name w:val="xl164"/>
    <w:basedOn w:val="Normal"/>
    <w:uiPriority w:val="99"/>
    <w:rsid w:val="008F6C87"/>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hAnsi="Times New Roman"/>
      <w:b/>
      <w:bCs/>
      <w:color w:val="000000"/>
      <w:sz w:val="20"/>
      <w:szCs w:val="20"/>
      <w:lang w:eastAsia="ru-RU"/>
    </w:rPr>
  </w:style>
  <w:style w:type="paragraph" w:customStyle="1" w:styleId="xl165">
    <w:name w:val="xl165"/>
    <w:basedOn w:val="Normal"/>
    <w:uiPriority w:val="99"/>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hAnsi="Times New Roman"/>
      <w:b/>
      <w:bCs/>
      <w:sz w:val="20"/>
      <w:szCs w:val="20"/>
      <w:lang w:eastAsia="ru-RU"/>
    </w:rPr>
  </w:style>
  <w:style w:type="paragraph" w:customStyle="1" w:styleId="xl166">
    <w:name w:val="xl166"/>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szCs w:val="20"/>
      <w:lang w:eastAsia="ru-RU"/>
    </w:rPr>
  </w:style>
  <w:style w:type="paragraph" w:customStyle="1" w:styleId="xl167">
    <w:name w:val="xl167"/>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szCs w:val="20"/>
      <w:lang w:eastAsia="ru-RU"/>
    </w:rPr>
  </w:style>
  <w:style w:type="paragraph" w:customStyle="1" w:styleId="xl168">
    <w:name w:val="xl168"/>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169">
    <w:name w:val="xl169"/>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70">
    <w:name w:val="xl170"/>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0"/>
      <w:szCs w:val="20"/>
      <w:lang w:eastAsia="ru-RU"/>
    </w:rPr>
  </w:style>
  <w:style w:type="paragraph" w:customStyle="1" w:styleId="xl171">
    <w:name w:val="xl171"/>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000000"/>
      <w:sz w:val="20"/>
      <w:szCs w:val="20"/>
      <w:lang w:eastAsia="ru-RU"/>
    </w:rPr>
  </w:style>
  <w:style w:type="paragraph" w:customStyle="1" w:styleId="xl172">
    <w:name w:val="xl172"/>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000000"/>
      <w:sz w:val="24"/>
      <w:szCs w:val="24"/>
      <w:lang w:eastAsia="ru-RU"/>
    </w:rPr>
  </w:style>
  <w:style w:type="paragraph" w:customStyle="1" w:styleId="xl173">
    <w:name w:val="xl173"/>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000000"/>
      <w:sz w:val="20"/>
      <w:szCs w:val="20"/>
      <w:lang w:eastAsia="ru-RU"/>
    </w:rPr>
  </w:style>
  <w:style w:type="paragraph" w:customStyle="1" w:styleId="xl174">
    <w:name w:val="xl174"/>
    <w:basedOn w:val="Normal"/>
    <w:uiPriority w:val="99"/>
    <w:rsid w:val="008F6C87"/>
    <w:pPr>
      <w:shd w:val="clear" w:color="000000" w:fill="DA9694"/>
      <w:spacing w:before="100" w:beforeAutospacing="1" w:after="100" w:afterAutospacing="1" w:line="240" w:lineRule="auto"/>
    </w:pPr>
    <w:rPr>
      <w:rFonts w:ascii="Times New Roman" w:hAnsi="Times New Roman"/>
      <w:b/>
      <w:bCs/>
      <w:sz w:val="24"/>
      <w:szCs w:val="24"/>
      <w:lang w:eastAsia="ru-RU"/>
    </w:rPr>
  </w:style>
  <w:style w:type="paragraph" w:customStyle="1" w:styleId="xl175">
    <w:name w:val="xl175"/>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4"/>
      <w:szCs w:val="24"/>
      <w:lang w:eastAsia="ru-RU"/>
    </w:rPr>
  </w:style>
  <w:style w:type="paragraph" w:customStyle="1" w:styleId="xl176">
    <w:name w:val="xl176"/>
    <w:basedOn w:val="Normal"/>
    <w:uiPriority w:val="99"/>
    <w:rsid w:val="008F6C87"/>
    <w:pPr>
      <w:spacing w:before="100" w:beforeAutospacing="1" w:after="100" w:afterAutospacing="1" w:line="240" w:lineRule="auto"/>
    </w:pPr>
    <w:rPr>
      <w:rFonts w:ascii="Times New Roman" w:hAnsi="Times New Roman"/>
      <w:b/>
      <w:bCs/>
      <w:sz w:val="24"/>
      <w:szCs w:val="24"/>
      <w:lang w:eastAsia="ru-RU"/>
    </w:rPr>
  </w:style>
  <w:style w:type="paragraph" w:customStyle="1" w:styleId="xl177">
    <w:name w:val="xl177"/>
    <w:basedOn w:val="Normal"/>
    <w:uiPriority w:val="99"/>
    <w:rsid w:val="008F6C87"/>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imes New Roman" w:hAnsi="Times New Roman"/>
      <w:b/>
      <w:bCs/>
      <w:color w:val="000000"/>
      <w:sz w:val="24"/>
      <w:szCs w:val="24"/>
      <w:lang w:eastAsia="ru-RU"/>
    </w:rPr>
  </w:style>
  <w:style w:type="paragraph" w:customStyle="1" w:styleId="xl178">
    <w:name w:val="xl178"/>
    <w:basedOn w:val="Normal"/>
    <w:uiPriority w:val="99"/>
    <w:rsid w:val="008F6C87"/>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hAnsi="Times New Roman"/>
      <w:b/>
      <w:bCs/>
      <w:color w:val="000000"/>
      <w:sz w:val="24"/>
      <w:szCs w:val="24"/>
      <w:lang w:eastAsia="ru-RU"/>
    </w:rPr>
  </w:style>
  <w:style w:type="character" w:customStyle="1" w:styleId="highlighthighlightactive">
    <w:name w:val="highlight highlight_active"/>
    <w:uiPriority w:val="99"/>
    <w:rsid w:val="008F6C87"/>
  </w:style>
  <w:style w:type="paragraph" w:customStyle="1" w:styleId="56">
    <w:name w:val="Знак Знак5 Знак Знак"/>
    <w:basedOn w:val="Normal"/>
    <w:uiPriority w:val="99"/>
    <w:rsid w:val="008F6C87"/>
    <w:pPr>
      <w:widowControl w:val="0"/>
      <w:adjustRightInd w:val="0"/>
      <w:spacing w:after="160" w:line="240" w:lineRule="exact"/>
      <w:jc w:val="right"/>
    </w:pPr>
    <w:rPr>
      <w:rFonts w:ascii="Times New Roman" w:hAnsi="Times New Roman"/>
      <w:sz w:val="20"/>
      <w:szCs w:val="20"/>
      <w:lang w:val="en-GB"/>
    </w:rPr>
  </w:style>
  <w:style w:type="paragraph" w:customStyle="1" w:styleId="afffffffff1">
    <w:name w:val="Знак Знак Знак Знак Знак Знак Знак Знак Знак Знак Знак Знак Знак"/>
    <w:basedOn w:val="Normal"/>
    <w:uiPriority w:val="99"/>
    <w:rsid w:val="008F6C87"/>
    <w:pPr>
      <w:spacing w:after="160" w:line="240" w:lineRule="exact"/>
    </w:pPr>
    <w:rPr>
      <w:rFonts w:ascii="Verdana" w:hAnsi="Verdana"/>
      <w:sz w:val="20"/>
      <w:szCs w:val="20"/>
      <w:lang w:val="en-US"/>
    </w:rPr>
  </w:style>
  <w:style w:type="paragraph" w:customStyle="1" w:styleId="2f6">
    <w:name w:val="Знак2 Знак Знак Знак Знак Знак Знак Знак Знак Знак Знак Знак Знак Знак Знак Знак"/>
    <w:basedOn w:val="Normal"/>
    <w:uiPriority w:val="99"/>
    <w:rsid w:val="008F6C87"/>
    <w:pPr>
      <w:spacing w:before="100" w:beforeAutospacing="1" w:after="100" w:afterAutospacing="1" w:line="240" w:lineRule="auto"/>
    </w:pPr>
    <w:rPr>
      <w:rFonts w:ascii="Tahoma" w:hAnsi="Tahoma"/>
      <w:sz w:val="20"/>
      <w:szCs w:val="20"/>
      <w:lang w:val="en-US"/>
    </w:rPr>
  </w:style>
  <w:style w:type="character" w:customStyle="1" w:styleId="afffffffff2">
    <w:name w:val="Гипертекстовая ссылка"/>
    <w:uiPriority w:val="99"/>
    <w:rsid w:val="008F6C87"/>
    <w:rPr>
      <w:color w:val="106BBE"/>
    </w:rPr>
  </w:style>
  <w:style w:type="paragraph" w:customStyle="1" w:styleId="FR1">
    <w:name w:val="FR1"/>
    <w:uiPriority w:val="99"/>
    <w:rsid w:val="008F6C87"/>
    <w:pPr>
      <w:widowControl w:val="0"/>
      <w:spacing w:before="640"/>
      <w:jc w:val="center"/>
    </w:pPr>
    <w:rPr>
      <w:rFonts w:ascii="Arial" w:hAnsi="Arial" w:cs="Arial"/>
      <w:b/>
      <w:bCs/>
      <w:sz w:val="44"/>
      <w:szCs w:val="44"/>
    </w:rPr>
  </w:style>
  <w:style w:type="paragraph" w:customStyle="1" w:styleId="Bodytext61">
    <w:name w:val="Body text (6)1"/>
    <w:basedOn w:val="Normal"/>
    <w:link w:val="Bodytext6"/>
    <w:uiPriority w:val="99"/>
    <w:rsid w:val="008F6C87"/>
    <w:pPr>
      <w:shd w:val="clear" w:color="auto" w:fill="FFFFFF"/>
      <w:spacing w:after="0" w:line="240" w:lineRule="atLeast"/>
    </w:pPr>
    <w:rPr>
      <w:rFonts w:ascii="Times New Roman" w:hAnsi="Times New Roman"/>
      <w:sz w:val="21"/>
      <w:szCs w:val="20"/>
      <w:lang w:eastAsia="ko-KR"/>
    </w:rPr>
  </w:style>
  <w:style w:type="paragraph" w:customStyle="1" w:styleId="stylet1">
    <w:name w:val="stylet1"/>
    <w:basedOn w:val="Normal"/>
    <w:uiPriority w:val="99"/>
    <w:rsid w:val="008F6C87"/>
    <w:pPr>
      <w:spacing w:before="100" w:beforeAutospacing="1" w:after="100" w:afterAutospacing="1" w:line="240" w:lineRule="auto"/>
    </w:pPr>
    <w:rPr>
      <w:rFonts w:ascii="Times New Roman" w:hAnsi="Times New Roman"/>
      <w:sz w:val="24"/>
      <w:szCs w:val="24"/>
      <w:lang w:eastAsia="ru-RU"/>
    </w:rPr>
  </w:style>
  <w:style w:type="character" w:customStyle="1" w:styleId="Bodytext5">
    <w:name w:val="Body text (5)_"/>
    <w:link w:val="Bodytext50"/>
    <w:uiPriority w:val="99"/>
    <w:locked/>
    <w:rsid w:val="008F6C87"/>
    <w:rPr>
      <w:sz w:val="19"/>
      <w:shd w:val="clear" w:color="auto" w:fill="FFFFFF"/>
    </w:rPr>
  </w:style>
  <w:style w:type="paragraph" w:customStyle="1" w:styleId="Bodytext50">
    <w:name w:val="Body text (5)"/>
    <w:basedOn w:val="Normal"/>
    <w:link w:val="Bodytext5"/>
    <w:uiPriority w:val="99"/>
    <w:rsid w:val="008F6C87"/>
    <w:pPr>
      <w:shd w:val="clear" w:color="auto" w:fill="FFFFFF"/>
      <w:spacing w:after="0" w:line="240" w:lineRule="atLeast"/>
    </w:pPr>
    <w:rPr>
      <w:rFonts w:ascii="Times New Roman" w:hAnsi="Times New Roman"/>
      <w:sz w:val="19"/>
      <w:szCs w:val="20"/>
      <w:lang w:eastAsia="ko-KR"/>
    </w:rPr>
  </w:style>
  <w:style w:type="character" w:customStyle="1" w:styleId="Tablecaption3">
    <w:name w:val="Table caption (3)_"/>
    <w:link w:val="Tablecaption31"/>
    <w:uiPriority w:val="99"/>
    <w:locked/>
    <w:rsid w:val="008F6C87"/>
    <w:rPr>
      <w:sz w:val="21"/>
      <w:shd w:val="clear" w:color="auto" w:fill="FFFFFF"/>
    </w:rPr>
  </w:style>
  <w:style w:type="character" w:customStyle="1" w:styleId="Bodytext17">
    <w:name w:val="Body text (17)_"/>
    <w:link w:val="Bodytext171"/>
    <w:uiPriority w:val="99"/>
    <w:locked/>
    <w:rsid w:val="008F6C87"/>
    <w:rPr>
      <w:sz w:val="15"/>
      <w:shd w:val="clear" w:color="auto" w:fill="FFFFFF"/>
    </w:rPr>
  </w:style>
  <w:style w:type="paragraph" w:customStyle="1" w:styleId="Tablecaption31">
    <w:name w:val="Table caption (3)1"/>
    <w:basedOn w:val="Normal"/>
    <w:link w:val="Tablecaption3"/>
    <w:uiPriority w:val="99"/>
    <w:rsid w:val="008F6C87"/>
    <w:pPr>
      <w:shd w:val="clear" w:color="auto" w:fill="FFFFFF"/>
      <w:spacing w:after="0" w:line="240" w:lineRule="atLeast"/>
      <w:ind w:hanging="720"/>
    </w:pPr>
    <w:rPr>
      <w:rFonts w:ascii="Times New Roman" w:hAnsi="Times New Roman"/>
      <w:sz w:val="21"/>
      <w:szCs w:val="20"/>
      <w:lang w:eastAsia="ko-KR"/>
    </w:rPr>
  </w:style>
  <w:style w:type="paragraph" w:customStyle="1" w:styleId="Bodytext171">
    <w:name w:val="Body text (17)1"/>
    <w:basedOn w:val="Normal"/>
    <w:link w:val="Bodytext17"/>
    <w:uiPriority w:val="99"/>
    <w:rsid w:val="008F6C87"/>
    <w:pPr>
      <w:shd w:val="clear" w:color="auto" w:fill="FFFFFF"/>
      <w:spacing w:after="0" w:line="240" w:lineRule="atLeast"/>
      <w:jc w:val="both"/>
    </w:pPr>
    <w:rPr>
      <w:rFonts w:ascii="Times New Roman" w:hAnsi="Times New Roman"/>
      <w:sz w:val="15"/>
      <w:szCs w:val="20"/>
      <w:lang w:eastAsia="ko-KR"/>
    </w:rPr>
  </w:style>
  <w:style w:type="character" w:customStyle="1" w:styleId="Headerorfooter">
    <w:name w:val="Header or footer_"/>
    <w:link w:val="Headerorfooter0"/>
    <w:uiPriority w:val="99"/>
    <w:locked/>
    <w:rsid w:val="008F6C87"/>
    <w:rPr>
      <w:shd w:val="clear" w:color="auto" w:fill="FFFFFF"/>
    </w:rPr>
  </w:style>
  <w:style w:type="character" w:customStyle="1" w:styleId="Headerorfooter12pt">
    <w:name w:val="Header or footer + 12 pt"/>
    <w:uiPriority w:val="99"/>
    <w:rsid w:val="008F6C87"/>
    <w:rPr>
      <w:rFonts w:ascii="Times New Roman" w:hAnsi="Times New Roman"/>
      <w:spacing w:val="0"/>
      <w:sz w:val="24"/>
      <w:shd w:val="clear" w:color="auto" w:fill="FFFFFF"/>
    </w:rPr>
  </w:style>
  <w:style w:type="character" w:customStyle="1" w:styleId="Headerorfooter12pt3">
    <w:name w:val="Header or footer + 12 pt3"/>
    <w:aliases w:val="Italic19"/>
    <w:uiPriority w:val="99"/>
    <w:rsid w:val="008F6C87"/>
    <w:rPr>
      <w:rFonts w:ascii="Times New Roman" w:hAnsi="Times New Roman"/>
      <w:i/>
      <w:spacing w:val="0"/>
      <w:sz w:val="24"/>
      <w:shd w:val="clear" w:color="auto" w:fill="FFFFFF"/>
    </w:rPr>
  </w:style>
  <w:style w:type="paragraph" w:customStyle="1" w:styleId="Headerorfooter0">
    <w:name w:val="Header or footer"/>
    <w:basedOn w:val="Normal"/>
    <w:link w:val="Headerorfooter"/>
    <w:uiPriority w:val="99"/>
    <w:rsid w:val="008F6C87"/>
    <w:pPr>
      <w:shd w:val="clear" w:color="auto" w:fill="FFFFFF"/>
      <w:spacing w:after="0" w:line="240" w:lineRule="auto"/>
    </w:pPr>
    <w:rPr>
      <w:rFonts w:ascii="Times New Roman" w:hAnsi="Times New Roman"/>
      <w:sz w:val="20"/>
      <w:szCs w:val="20"/>
      <w:lang w:eastAsia="ko-KR"/>
    </w:rPr>
  </w:style>
  <w:style w:type="character" w:customStyle="1" w:styleId="Tablecaption4">
    <w:name w:val="Table caption (4)_"/>
    <w:link w:val="Tablecaption40"/>
    <w:uiPriority w:val="99"/>
    <w:locked/>
    <w:rsid w:val="008F6C87"/>
    <w:rPr>
      <w:sz w:val="25"/>
      <w:shd w:val="clear" w:color="auto" w:fill="FFFFFF"/>
    </w:rPr>
  </w:style>
  <w:style w:type="paragraph" w:customStyle="1" w:styleId="Tablecaption40">
    <w:name w:val="Table caption (4)"/>
    <w:basedOn w:val="Normal"/>
    <w:link w:val="Tablecaption4"/>
    <w:uiPriority w:val="99"/>
    <w:rsid w:val="008F6C87"/>
    <w:pPr>
      <w:shd w:val="clear" w:color="auto" w:fill="FFFFFF"/>
      <w:spacing w:after="0" w:line="298" w:lineRule="exact"/>
    </w:pPr>
    <w:rPr>
      <w:rFonts w:ascii="Times New Roman" w:hAnsi="Times New Roman"/>
      <w:sz w:val="25"/>
      <w:szCs w:val="20"/>
      <w:lang w:eastAsia="ko-KR"/>
    </w:rPr>
  </w:style>
  <w:style w:type="character" w:customStyle="1" w:styleId="Bodytext62">
    <w:name w:val="Body text (6)2"/>
    <w:uiPriority w:val="99"/>
    <w:rsid w:val="008F6C87"/>
    <w:rPr>
      <w:rFonts w:ascii="Times New Roman" w:hAnsi="Times New Roman"/>
      <w:spacing w:val="0"/>
      <w:sz w:val="21"/>
      <w:shd w:val="clear" w:color="auto" w:fill="FFFFFF"/>
    </w:rPr>
  </w:style>
  <w:style w:type="character" w:customStyle="1" w:styleId="Tablecaption">
    <w:name w:val="Table caption_"/>
    <w:link w:val="Tablecaption0"/>
    <w:uiPriority w:val="99"/>
    <w:locked/>
    <w:rsid w:val="008F6C87"/>
    <w:rPr>
      <w:b/>
      <w:sz w:val="23"/>
      <w:shd w:val="clear" w:color="auto" w:fill="FFFFFF"/>
    </w:rPr>
  </w:style>
  <w:style w:type="paragraph" w:customStyle="1" w:styleId="Tablecaption0">
    <w:name w:val="Table caption"/>
    <w:basedOn w:val="Normal"/>
    <w:link w:val="Tablecaption"/>
    <w:uiPriority w:val="99"/>
    <w:rsid w:val="008F6C87"/>
    <w:pPr>
      <w:shd w:val="clear" w:color="auto" w:fill="FFFFFF"/>
      <w:spacing w:after="0" w:line="240" w:lineRule="atLeast"/>
    </w:pPr>
    <w:rPr>
      <w:rFonts w:ascii="Times New Roman" w:hAnsi="Times New Roman"/>
      <w:b/>
      <w:sz w:val="23"/>
      <w:szCs w:val="20"/>
      <w:lang w:eastAsia="ko-KR"/>
    </w:rPr>
  </w:style>
  <w:style w:type="character" w:customStyle="1" w:styleId="Bodytext65">
    <w:name w:val="Body text (6)5"/>
    <w:uiPriority w:val="99"/>
    <w:rsid w:val="008F6C87"/>
    <w:rPr>
      <w:rFonts w:ascii="Times New Roman" w:hAnsi="Times New Roman"/>
      <w:spacing w:val="0"/>
      <w:sz w:val="21"/>
      <w:shd w:val="clear" w:color="auto" w:fill="FFFFFF"/>
    </w:rPr>
  </w:style>
  <w:style w:type="character" w:customStyle="1" w:styleId="Bodytext63">
    <w:name w:val="Body text (6)3"/>
    <w:uiPriority w:val="99"/>
    <w:rsid w:val="008F6C87"/>
    <w:rPr>
      <w:rFonts w:ascii="Times New Roman" w:hAnsi="Times New Roman"/>
      <w:spacing w:val="0"/>
      <w:sz w:val="21"/>
      <w:shd w:val="clear" w:color="auto" w:fill="FFFFFF"/>
    </w:rPr>
  </w:style>
  <w:style w:type="paragraph" w:styleId="TableofFigures">
    <w:name w:val="table of figures"/>
    <w:basedOn w:val="Normal"/>
    <w:next w:val="Normal"/>
    <w:uiPriority w:val="99"/>
    <w:rsid w:val="008F6C87"/>
    <w:pPr>
      <w:widowControl w:val="0"/>
      <w:autoSpaceDE w:val="0"/>
      <w:autoSpaceDN w:val="0"/>
      <w:adjustRightInd w:val="0"/>
      <w:spacing w:after="0" w:line="240" w:lineRule="auto"/>
      <w:ind w:firstLine="540"/>
      <w:jc w:val="both"/>
    </w:pPr>
    <w:rPr>
      <w:rFonts w:ascii="Times New Roman" w:hAnsi="Times New Roman"/>
      <w:sz w:val="24"/>
      <w:szCs w:val="24"/>
    </w:rPr>
  </w:style>
  <w:style w:type="paragraph" w:customStyle="1" w:styleId="-">
    <w:name w:val="Нумерация-Тире"/>
    <w:basedOn w:val="Normal"/>
    <w:uiPriority w:val="99"/>
    <w:rsid w:val="008F6C87"/>
    <w:pPr>
      <w:numPr>
        <w:numId w:val="55"/>
      </w:numPr>
      <w:tabs>
        <w:tab w:val="left" w:pos="1134"/>
        <w:tab w:val="left" w:pos="1418"/>
      </w:tabs>
      <w:spacing w:after="0" w:line="240" w:lineRule="auto"/>
      <w:jc w:val="both"/>
    </w:pPr>
    <w:rPr>
      <w:rFonts w:ascii="Times New Roman" w:hAnsi="Times New Roman"/>
      <w:sz w:val="24"/>
      <w:szCs w:val="24"/>
    </w:rPr>
  </w:style>
  <w:style w:type="character" w:customStyle="1" w:styleId="142">
    <w:name w:val="Основной текст 14 Знак"/>
    <w:link w:val="143"/>
    <w:uiPriority w:val="99"/>
    <w:locked/>
    <w:rsid w:val="008F6C87"/>
    <w:rPr>
      <w:sz w:val="24"/>
    </w:rPr>
  </w:style>
  <w:style w:type="paragraph" w:customStyle="1" w:styleId="143">
    <w:name w:val="Основной текст 14"/>
    <w:basedOn w:val="Normal"/>
    <w:link w:val="142"/>
    <w:uiPriority w:val="99"/>
    <w:rsid w:val="008F6C87"/>
    <w:pPr>
      <w:spacing w:after="0" w:line="360" w:lineRule="auto"/>
      <w:ind w:firstLine="709"/>
      <w:jc w:val="both"/>
    </w:pPr>
    <w:rPr>
      <w:rFonts w:ascii="Times New Roman" w:hAnsi="Times New Roman"/>
      <w:sz w:val="24"/>
      <w:szCs w:val="20"/>
      <w:lang w:eastAsia="ko-KR"/>
    </w:rPr>
  </w:style>
  <w:style w:type="table" w:customStyle="1" w:styleId="-311">
    <w:name w:val="Таблица-список 311"/>
    <w:uiPriority w:val="99"/>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321">
    <w:name w:val="Таблица-список 321"/>
    <w:uiPriority w:val="99"/>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33">
    <w:name w:val="Таблица-список 33"/>
    <w:uiPriority w:val="99"/>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34">
    <w:name w:val="Таблица-список 34"/>
    <w:uiPriority w:val="99"/>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35">
    <w:name w:val="Таблица-список 35"/>
    <w:uiPriority w:val="99"/>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36">
    <w:name w:val="Таблица-список 36"/>
    <w:uiPriority w:val="99"/>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paragraph" w:customStyle="1" w:styleId="afffffffff3">
    <w:name w:val="Подпись рисунка"/>
    <w:basedOn w:val="BodyText"/>
    <w:link w:val="afffffffff4"/>
    <w:uiPriority w:val="99"/>
    <w:rsid w:val="008F6C87"/>
    <w:pPr>
      <w:spacing w:before="120" w:after="120"/>
      <w:jc w:val="center"/>
    </w:pPr>
    <w:rPr>
      <w:b/>
      <w:sz w:val="26"/>
      <w:lang w:eastAsia="ko-KR"/>
    </w:rPr>
  </w:style>
  <w:style w:type="character" w:customStyle="1" w:styleId="afffffffff4">
    <w:name w:val="Подпись рисунка Знак"/>
    <w:link w:val="afffffffff3"/>
    <w:uiPriority w:val="99"/>
    <w:locked/>
    <w:rsid w:val="008F6C87"/>
    <w:rPr>
      <w:b/>
      <w:sz w:val="26"/>
    </w:rPr>
  </w:style>
  <w:style w:type="character" w:customStyle="1" w:styleId="46">
    <w:name w:val="Основной текст4"/>
    <w:uiPriority w:val="99"/>
    <w:rsid w:val="008F6C87"/>
    <w:rPr>
      <w:spacing w:val="0"/>
      <w:sz w:val="18"/>
      <w:shd w:val="clear" w:color="auto" w:fill="FFFFFF"/>
    </w:rPr>
  </w:style>
  <w:style w:type="character" w:customStyle="1" w:styleId="57">
    <w:name w:val="Основной текст5"/>
    <w:uiPriority w:val="99"/>
    <w:rsid w:val="008F6C87"/>
    <w:rPr>
      <w:spacing w:val="0"/>
      <w:sz w:val="18"/>
      <w:shd w:val="clear" w:color="auto" w:fill="FFFFFF"/>
    </w:rPr>
  </w:style>
  <w:style w:type="character" w:customStyle="1" w:styleId="63">
    <w:name w:val="Основной текст6"/>
    <w:uiPriority w:val="99"/>
    <w:rsid w:val="008F6C87"/>
    <w:rPr>
      <w:spacing w:val="0"/>
      <w:sz w:val="18"/>
      <w:shd w:val="clear" w:color="auto" w:fill="FFFFFF"/>
    </w:rPr>
  </w:style>
  <w:style w:type="character" w:customStyle="1" w:styleId="92">
    <w:name w:val="Основной текст9"/>
    <w:uiPriority w:val="99"/>
    <w:rsid w:val="008F6C87"/>
    <w:rPr>
      <w:spacing w:val="0"/>
      <w:sz w:val="18"/>
      <w:shd w:val="clear" w:color="auto" w:fill="FFFFFF"/>
    </w:rPr>
  </w:style>
  <w:style w:type="paragraph" w:customStyle="1" w:styleId="11f1">
    <w:name w:val="Основной текст11"/>
    <w:basedOn w:val="Normal"/>
    <w:uiPriority w:val="99"/>
    <w:rsid w:val="008F6C87"/>
    <w:pPr>
      <w:shd w:val="clear" w:color="auto" w:fill="FFFFFF"/>
      <w:spacing w:after="0" w:line="240" w:lineRule="exact"/>
    </w:pPr>
    <w:rPr>
      <w:sz w:val="18"/>
      <w:szCs w:val="18"/>
    </w:rPr>
  </w:style>
  <w:style w:type="character" w:customStyle="1" w:styleId="afffffffff5">
    <w:name w:val="Подпись к таблице_"/>
    <w:link w:val="afffffffff6"/>
    <w:uiPriority w:val="99"/>
    <w:locked/>
    <w:rsid w:val="008F6C87"/>
    <w:rPr>
      <w:rFonts w:ascii="Trebuchet MS" w:hAnsi="Trebuchet MS"/>
      <w:sz w:val="21"/>
      <w:shd w:val="clear" w:color="auto" w:fill="FFFFFF"/>
    </w:rPr>
  </w:style>
  <w:style w:type="paragraph" w:customStyle="1" w:styleId="afffffffff6">
    <w:name w:val="Подпись к таблице"/>
    <w:basedOn w:val="Normal"/>
    <w:link w:val="afffffffff5"/>
    <w:uiPriority w:val="99"/>
    <w:rsid w:val="008F6C87"/>
    <w:pPr>
      <w:shd w:val="clear" w:color="auto" w:fill="FFFFFF"/>
      <w:spacing w:after="0" w:line="264" w:lineRule="exact"/>
      <w:jc w:val="both"/>
    </w:pPr>
    <w:rPr>
      <w:rFonts w:ascii="Trebuchet MS" w:hAnsi="Trebuchet MS"/>
      <w:sz w:val="21"/>
      <w:szCs w:val="20"/>
      <w:lang w:eastAsia="ko-KR"/>
    </w:rPr>
  </w:style>
  <w:style w:type="paragraph" w:customStyle="1" w:styleId="arttx">
    <w:name w:val="arttx"/>
    <w:basedOn w:val="Normal"/>
    <w:uiPriority w:val="99"/>
    <w:rsid w:val="008F6C87"/>
    <w:pPr>
      <w:spacing w:after="60" w:line="240" w:lineRule="auto"/>
    </w:pPr>
    <w:rPr>
      <w:rFonts w:ascii="Times New Roman" w:hAnsi="Times New Roman"/>
      <w:lang w:eastAsia="ru-RU"/>
    </w:rPr>
  </w:style>
  <w:style w:type="paragraph" w:customStyle="1" w:styleId="xl97">
    <w:name w:val="xl97"/>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139">
    <w:name w:val="xl139"/>
    <w:basedOn w:val="Normal"/>
    <w:uiPriority w:val="99"/>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133">
    <w:name w:val="xl133"/>
    <w:basedOn w:val="Normal"/>
    <w:uiPriority w:val="99"/>
    <w:rsid w:val="008F6C87"/>
    <w:pPr>
      <w:pBdr>
        <w:top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hAnsi="Times New Roman"/>
      <w:sz w:val="20"/>
      <w:szCs w:val="20"/>
      <w:lang w:eastAsia="ru-RU"/>
    </w:rPr>
  </w:style>
  <w:style w:type="paragraph" w:customStyle="1" w:styleId="xl143">
    <w:name w:val="xl143"/>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sz w:val="20"/>
      <w:szCs w:val="20"/>
      <w:lang w:eastAsia="ru-RU"/>
    </w:rPr>
  </w:style>
  <w:style w:type="paragraph" w:customStyle="1" w:styleId="xl179">
    <w:name w:val="xl179"/>
    <w:basedOn w:val="Normal"/>
    <w:uiPriority w:val="99"/>
    <w:rsid w:val="008F6C87"/>
    <w:pPr>
      <w:shd w:val="clear" w:color="000000" w:fill="FCD5B4"/>
      <w:spacing w:before="100" w:beforeAutospacing="1" w:after="100" w:afterAutospacing="1" w:line="240" w:lineRule="auto"/>
    </w:pPr>
    <w:rPr>
      <w:rFonts w:ascii="Times New Roman" w:hAnsi="Times New Roman"/>
      <w:sz w:val="24"/>
      <w:szCs w:val="24"/>
      <w:lang w:eastAsia="ru-RU"/>
    </w:rPr>
  </w:style>
  <w:style w:type="paragraph" w:customStyle="1" w:styleId="xl180">
    <w:name w:val="xl180"/>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szCs w:val="20"/>
      <w:lang w:eastAsia="ru-RU"/>
    </w:rPr>
  </w:style>
  <w:style w:type="paragraph" w:customStyle="1" w:styleId="xl181">
    <w:name w:val="xl181"/>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B050"/>
      <w:sz w:val="20"/>
      <w:szCs w:val="20"/>
      <w:lang w:eastAsia="ru-RU"/>
    </w:rPr>
  </w:style>
  <w:style w:type="paragraph" w:customStyle="1" w:styleId="xl182">
    <w:name w:val="xl182"/>
    <w:basedOn w:val="Normal"/>
    <w:uiPriority w:val="99"/>
    <w:rsid w:val="008F6C87"/>
    <w:pPr>
      <w:spacing w:before="100" w:beforeAutospacing="1" w:after="100" w:afterAutospacing="1" w:line="240" w:lineRule="auto"/>
    </w:pPr>
    <w:rPr>
      <w:rFonts w:ascii="Times New Roman" w:hAnsi="Times New Roman"/>
      <w:sz w:val="24"/>
      <w:szCs w:val="24"/>
      <w:lang w:eastAsia="ru-RU"/>
    </w:rPr>
  </w:style>
  <w:style w:type="paragraph" w:customStyle="1" w:styleId="xl183">
    <w:name w:val="xl183"/>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B050"/>
      <w:sz w:val="20"/>
      <w:szCs w:val="20"/>
      <w:lang w:eastAsia="ru-RU"/>
    </w:rPr>
  </w:style>
  <w:style w:type="paragraph" w:customStyle="1" w:styleId="xl184">
    <w:name w:val="xl184"/>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B050"/>
      <w:sz w:val="20"/>
      <w:szCs w:val="20"/>
      <w:lang w:eastAsia="ru-RU"/>
    </w:rPr>
  </w:style>
  <w:style w:type="paragraph" w:customStyle="1" w:styleId="xl185">
    <w:name w:val="xl185"/>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0"/>
      <w:szCs w:val="20"/>
      <w:lang w:eastAsia="ru-RU"/>
    </w:rPr>
  </w:style>
  <w:style w:type="paragraph" w:customStyle="1" w:styleId="xl186">
    <w:name w:val="xl186"/>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szCs w:val="20"/>
      <w:lang w:eastAsia="ru-RU"/>
    </w:rPr>
  </w:style>
  <w:style w:type="paragraph" w:customStyle="1" w:styleId="xl187">
    <w:name w:val="xl187"/>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B050"/>
      <w:sz w:val="20"/>
      <w:szCs w:val="20"/>
      <w:lang w:eastAsia="ru-RU"/>
    </w:rPr>
  </w:style>
  <w:style w:type="paragraph" w:customStyle="1" w:styleId="xl188">
    <w:name w:val="xl188"/>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szCs w:val="20"/>
      <w:lang w:eastAsia="ru-RU"/>
    </w:rPr>
  </w:style>
  <w:style w:type="paragraph" w:customStyle="1" w:styleId="xl189">
    <w:name w:val="xl189"/>
    <w:basedOn w:val="Normal"/>
    <w:uiPriority w:val="99"/>
    <w:rsid w:val="008F6C87"/>
    <w:pPr>
      <w:shd w:val="clear" w:color="000000" w:fill="FCD5B4"/>
      <w:spacing w:before="100" w:beforeAutospacing="1" w:after="100" w:afterAutospacing="1" w:line="240" w:lineRule="auto"/>
    </w:pPr>
    <w:rPr>
      <w:rFonts w:ascii="Times New Roman" w:hAnsi="Times New Roman"/>
      <w:sz w:val="24"/>
      <w:szCs w:val="24"/>
      <w:lang w:eastAsia="ru-RU"/>
    </w:rPr>
  </w:style>
  <w:style w:type="paragraph" w:customStyle="1" w:styleId="xl190">
    <w:name w:val="xl190"/>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szCs w:val="20"/>
      <w:lang w:eastAsia="ru-RU"/>
    </w:rPr>
  </w:style>
  <w:style w:type="paragraph" w:customStyle="1" w:styleId="xl191">
    <w:name w:val="xl191"/>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szCs w:val="20"/>
      <w:lang w:eastAsia="ru-RU"/>
    </w:rPr>
  </w:style>
  <w:style w:type="paragraph" w:customStyle="1" w:styleId="xl192">
    <w:name w:val="xl192"/>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0"/>
      <w:szCs w:val="20"/>
      <w:lang w:eastAsia="ru-RU"/>
    </w:rPr>
  </w:style>
  <w:style w:type="paragraph" w:customStyle="1" w:styleId="xl193">
    <w:name w:val="xl193"/>
    <w:basedOn w:val="Normal"/>
    <w:uiPriority w:val="99"/>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hAnsi="Times New Roman"/>
      <w:b/>
      <w:bCs/>
      <w:color w:val="00B050"/>
      <w:sz w:val="20"/>
      <w:szCs w:val="20"/>
      <w:lang w:eastAsia="ru-RU"/>
    </w:rPr>
  </w:style>
  <w:style w:type="paragraph" w:customStyle="1" w:styleId="xl194">
    <w:name w:val="xl194"/>
    <w:basedOn w:val="Normal"/>
    <w:uiPriority w:val="99"/>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hAnsi="Times New Roman"/>
      <w:b/>
      <w:bCs/>
      <w:sz w:val="20"/>
      <w:szCs w:val="20"/>
      <w:lang w:eastAsia="ru-RU"/>
    </w:rPr>
  </w:style>
  <w:style w:type="paragraph" w:customStyle="1" w:styleId="xl195">
    <w:name w:val="xl195"/>
    <w:basedOn w:val="Normal"/>
    <w:uiPriority w:val="99"/>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hAnsi="Times New Roman"/>
      <w:b/>
      <w:bCs/>
      <w:color w:val="00B050"/>
      <w:sz w:val="20"/>
      <w:szCs w:val="20"/>
      <w:lang w:eastAsia="ru-RU"/>
    </w:rPr>
  </w:style>
  <w:style w:type="paragraph" w:customStyle="1" w:styleId="xl196">
    <w:name w:val="xl196"/>
    <w:basedOn w:val="Normal"/>
    <w:uiPriority w:val="99"/>
    <w:rsid w:val="008F6C87"/>
    <w:pPr>
      <w:pBdr>
        <w:top w:val="single" w:sz="4" w:space="0" w:color="auto"/>
        <w:left w:val="single" w:sz="4" w:space="0" w:color="auto"/>
        <w:bottom w:val="single" w:sz="4" w:space="0" w:color="auto"/>
      </w:pBdr>
      <w:shd w:val="clear" w:color="000000" w:fill="B7DEE8"/>
      <w:spacing w:before="100" w:beforeAutospacing="1" w:after="100" w:afterAutospacing="1" w:line="240" w:lineRule="auto"/>
      <w:jc w:val="center"/>
      <w:textAlignment w:val="center"/>
    </w:pPr>
    <w:rPr>
      <w:rFonts w:ascii="Times New Roman" w:hAnsi="Times New Roman"/>
      <w:color w:val="000000"/>
      <w:sz w:val="20"/>
      <w:szCs w:val="20"/>
      <w:lang w:eastAsia="ru-RU"/>
    </w:rPr>
  </w:style>
  <w:style w:type="paragraph" w:customStyle="1" w:styleId="xl197">
    <w:name w:val="xl197"/>
    <w:basedOn w:val="Normal"/>
    <w:uiPriority w:val="99"/>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sz w:val="20"/>
      <w:szCs w:val="20"/>
      <w:lang w:eastAsia="ru-RU"/>
    </w:rPr>
  </w:style>
  <w:style w:type="paragraph" w:customStyle="1" w:styleId="xl198">
    <w:name w:val="xl198"/>
    <w:basedOn w:val="Normal"/>
    <w:uiPriority w:val="99"/>
    <w:rsid w:val="008F6C87"/>
    <w:pPr>
      <w:pBdr>
        <w:top w:val="single" w:sz="4" w:space="0" w:color="auto"/>
        <w:left w:val="single" w:sz="4" w:space="0" w:color="auto"/>
        <w:bottom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199">
    <w:name w:val="xl199"/>
    <w:basedOn w:val="Normal"/>
    <w:uiPriority w:val="99"/>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hAnsi="Times New Roman"/>
      <w:b/>
      <w:bCs/>
      <w:sz w:val="20"/>
      <w:szCs w:val="20"/>
      <w:lang w:eastAsia="ru-RU"/>
    </w:rPr>
  </w:style>
  <w:style w:type="paragraph" w:customStyle="1" w:styleId="xl200">
    <w:name w:val="xl200"/>
    <w:basedOn w:val="Normal"/>
    <w:uiPriority w:val="99"/>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sz w:val="20"/>
      <w:szCs w:val="20"/>
      <w:lang w:eastAsia="ru-RU"/>
    </w:rPr>
  </w:style>
  <w:style w:type="paragraph" w:customStyle="1" w:styleId="xl201">
    <w:name w:val="xl201"/>
    <w:basedOn w:val="Normal"/>
    <w:uiPriority w:val="99"/>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hAnsi="Times New Roman"/>
      <w:b/>
      <w:bCs/>
      <w:color w:val="00B050"/>
      <w:sz w:val="20"/>
      <w:szCs w:val="20"/>
      <w:lang w:eastAsia="ru-RU"/>
    </w:rPr>
  </w:style>
  <w:style w:type="paragraph" w:customStyle="1" w:styleId="xl202">
    <w:name w:val="xl202"/>
    <w:basedOn w:val="Normal"/>
    <w:uiPriority w:val="99"/>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color w:val="00B050"/>
      <w:sz w:val="20"/>
      <w:szCs w:val="20"/>
      <w:lang w:eastAsia="ru-RU"/>
    </w:rPr>
  </w:style>
  <w:style w:type="paragraph" w:customStyle="1" w:styleId="xl203">
    <w:name w:val="xl203"/>
    <w:basedOn w:val="Normal"/>
    <w:uiPriority w:val="99"/>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color w:val="00B050"/>
      <w:sz w:val="20"/>
      <w:szCs w:val="20"/>
      <w:lang w:eastAsia="ru-RU"/>
    </w:rPr>
  </w:style>
  <w:style w:type="paragraph" w:customStyle="1" w:styleId="xl204">
    <w:name w:val="xl204"/>
    <w:basedOn w:val="Normal"/>
    <w:uiPriority w:val="99"/>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color w:val="00B050"/>
      <w:sz w:val="20"/>
      <w:szCs w:val="20"/>
      <w:lang w:eastAsia="ru-RU"/>
    </w:rPr>
  </w:style>
  <w:style w:type="paragraph" w:customStyle="1" w:styleId="xl205">
    <w:name w:val="xl205"/>
    <w:basedOn w:val="Normal"/>
    <w:uiPriority w:val="99"/>
    <w:rsid w:val="008F6C87"/>
    <w:pPr>
      <w:pBdr>
        <w:top w:val="single" w:sz="4" w:space="0" w:color="auto"/>
        <w:left w:val="single" w:sz="4" w:space="0" w:color="auto"/>
        <w:bottom w:val="single" w:sz="4" w:space="0" w:color="auto"/>
      </w:pBdr>
      <w:spacing w:before="100" w:beforeAutospacing="1" w:after="100" w:afterAutospacing="1" w:line="240" w:lineRule="auto"/>
    </w:pPr>
    <w:rPr>
      <w:rFonts w:ascii="Times New Roman" w:hAnsi="Times New Roman"/>
      <w:sz w:val="20"/>
      <w:szCs w:val="20"/>
      <w:lang w:eastAsia="ru-RU"/>
    </w:rPr>
  </w:style>
  <w:style w:type="paragraph" w:customStyle="1" w:styleId="xl206">
    <w:name w:val="xl206"/>
    <w:basedOn w:val="Normal"/>
    <w:uiPriority w:val="99"/>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hAnsi="Times New Roman"/>
      <w:b/>
      <w:bCs/>
      <w:color w:val="00B050"/>
      <w:sz w:val="20"/>
      <w:szCs w:val="20"/>
      <w:lang w:eastAsia="ru-RU"/>
    </w:rPr>
  </w:style>
  <w:style w:type="paragraph" w:customStyle="1" w:styleId="xl207">
    <w:name w:val="xl207"/>
    <w:basedOn w:val="Normal"/>
    <w:uiPriority w:val="99"/>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sz w:val="20"/>
      <w:szCs w:val="20"/>
      <w:lang w:eastAsia="ru-RU"/>
    </w:rPr>
  </w:style>
  <w:style w:type="paragraph" w:customStyle="1" w:styleId="xl208">
    <w:name w:val="xl208"/>
    <w:basedOn w:val="Normal"/>
    <w:uiPriority w:val="99"/>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hAnsi="Times New Roman"/>
      <w:b/>
      <w:bCs/>
      <w:color w:val="00B050"/>
      <w:sz w:val="20"/>
      <w:szCs w:val="20"/>
      <w:lang w:eastAsia="ru-RU"/>
    </w:rPr>
  </w:style>
  <w:style w:type="paragraph" w:customStyle="1" w:styleId="xl209">
    <w:name w:val="xl209"/>
    <w:basedOn w:val="Normal"/>
    <w:uiPriority w:val="99"/>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sz w:val="20"/>
      <w:szCs w:val="20"/>
      <w:lang w:eastAsia="ru-RU"/>
    </w:rPr>
  </w:style>
  <w:style w:type="paragraph" w:customStyle="1" w:styleId="xl210">
    <w:name w:val="xl210"/>
    <w:basedOn w:val="Normal"/>
    <w:uiPriority w:val="99"/>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sz w:val="20"/>
      <w:szCs w:val="20"/>
      <w:lang w:eastAsia="ru-RU"/>
    </w:rPr>
  </w:style>
  <w:style w:type="paragraph" w:customStyle="1" w:styleId="xl211">
    <w:name w:val="xl211"/>
    <w:basedOn w:val="Normal"/>
    <w:uiPriority w:val="99"/>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sz w:val="20"/>
      <w:szCs w:val="20"/>
      <w:lang w:eastAsia="ru-RU"/>
    </w:rPr>
  </w:style>
  <w:style w:type="paragraph" w:customStyle="1" w:styleId="xl212">
    <w:name w:val="xl212"/>
    <w:basedOn w:val="Normal"/>
    <w:uiPriority w:val="99"/>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color w:val="00B050"/>
      <w:sz w:val="20"/>
      <w:szCs w:val="20"/>
      <w:lang w:eastAsia="ru-RU"/>
    </w:rPr>
  </w:style>
  <w:style w:type="paragraph" w:customStyle="1" w:styleId="xl213">
    <w:name w:val="xl213"/>
    <w:basedOn w:val="Normal"/>
    <w:uiPriority w:val="99"/>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sz w:val="20"/>
      <w:szCs w:val="20"/>
      <w:lang w:eastAsia="ru-RU"/>
    </w:rPr>
  </w:style>
  <w:style w:type="paragraph" w:customStyle="1" w:styleId="xl214">
    <w:name w:val="xl214"/>
    <w:basedOn w:val="Normal"/>
    <w:uiPriority w:val="99"/>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hAnsi="Times New Roman"/>
      <w:b/>
      <w:bCs/>
      <w:sz w:val="20"/>
      <w:szCs w:val="20"/>
      <w:lang w:eastAsia="ru-RU"/>
    </w:rPr>
  </w:style>
  <w:style w:type="paragraph" w:customStyle="1" w:styleId="xl215">
    <w:name w:val="xl215"/>
    <w:basedOn w:val="Normal"/>
    <w:uiPriority w:val="99"/>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b/>
      <w:bCs/>
      <w:sz w:val="20"/>
      <w:szCs w:val="20"/>
      <w:lang w:eastAsia="ru-RU"/>
    </w:rPr>
  </w:style>
  <w:style w:type="paragraph" w:customStyle="1" w:styleId="xl216">
    <w:name w:val="xl216"/>
    <w:basedOn w:val="Normal"/>
    <w:uiPriority w:val="99"/>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color w:val="C0504D"/>
      <w:sz w:val="20"/>
      <w:szCs w:val="20"/>
      <w:lang w:eastAsia="ru-RU"/>
    </w:rPr>
  </w:style>
  <w:style w:type="paragraph" w:customStyle="1" w:styleId="xl217">
    <w:name w:val="xl217"/>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C0504D"/>
      <w:sz w:val="20"/>
      <w:szCs w:val="20"/>
      <w:lang w:eastAsia="ru-RU"/>
    </w:rPr>
  </w:style>
  <w:style w:type="paragraph" w:customStyle="1" w:styleId="xl218">
    <w:name w:val="xl218"/>
    <w:basedOn w:val="Normal"/>
    <w:uiPriority w:val="99"/>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hAnsi="Times New Roman"/>
      <w:b/>
      <w:bCs/>
      <w:sz w:val="20"/>
      <w:szCs w:val="20"/>
      <w:lang w:eastAsia="ru-RU"/>
    </w:rPr>
  </w:style>
  <w:style w:type="paragraph" w:customStyle="1" w:styleId="xl219">
    <w:name w:val="xl219"/>
    <w:basedOn w:val="Normal"/>
    <w:uiPriority w:val="99"/>
    <w:rsid w:val="008F6C87"/>
    <w:pPr>
      <w:shd w:val="clear" w:color="000000" w:fill="B7DEE8"/>
      <w:spacing w:before="100" w:beforeAutospacing="1" w:after="100" w:afterAutospacing="1" w:line="240" w:lineRule="auto"/>
      <w:jc w:val="center"/>
    </w:pPr>
    <w:rPr>
      <w:rFonts w:ascii="Times New Roman" w:hAnsi="Times New Roman"/>
      <w:sz w:val="24"/>
      <w:szCs w:val="24"/>
      <w:lang w:eastAsia="ru-RU"/>
    </w:rPr>
  </w:style>
  <w:style w:type="paragraph" w:customStyle="1" w:styleId="xl220">
    <w:name w:val="xl220"/>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221">
    <w:name w:val="xl221"/>
    <w:basedOn w:val="Normal"/>
    <w:uiPriority w:val="99"/>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222">
    <w:name w:val="xl222"/>
    <w:basedOn w:val="Normal"/>
    <w:uiPriority w:val="99"/>
    <w:rsid w:val="008F6C87"/>
    <w:pPr>
      <w:pBdr>
        <w:top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223">
    <w:name w:val="xl223"/>
    <w:basedOn w:val="Normal"/>
    <w:uiPriority w:val="99"/>
    <w:rsid w:val="008F6C87"/>
    <w:pPr>
      <w:pBdr>
        <w:left w:val="single" w:sz="4" w:space="0" w:color="auto"/>
      </w:pBdr>
      <w:shd w:val="clear" w:color="000000" w:fill="F2F2F2"/>
      <w:spacing w:before="100" w:beforeAutospacing="1" w:after="100" w:afterAutospacing="1" w:line="240" w:lineRule="auto"/>
      <w:jc w:val="center"/>
      <w:textAlignment w:val="center"/>
    </w:pPr>
    <w:rPr>
      <w:rFonts w:ascii="Times New Roman" w:hAnsi="Times New Roman"/>
      <w:b/>
      <w:bCs/>
      <w:color w:val="000000"/>
      <w:sz w:val="20"/>
      <w:szCs w:val="20"/>
      <w:lang w:eastAsia="ru-RU"/>
    </w:rPr>
  </w:style>
  <w:style w:type="paragraph" w:customStyle="1" w:styleId="xl224">
    <w:name w:val="xl224"/>
    <w:basedOn w:val="Normal"/>
    <w:uiPriority w:val="99"/>
    <w:rsid w:val="008F6C87"/>
    <w:pPr>
      <w:shd w:val="clear" w:color="000000" w:fill="F2F2F2"/>
      <w:spacing w:before="100" w:beforeAutospacing="1" w:after="100" w:afterAutospacing="1" w:line="240" w:lineRule="auto"/>
      <w:jc w:val="center"/>
      <w:textAlignment w:val="center"/>
    </w:pPr>
    <w:rPr>
      <w:rFonts w:ascii="Times New Roman" w:hAnsi="Times New Roman"/>
      <w:b/>
      <w:bCs/>
      <w:color w:val="000000"/>
      <w:sz w:val="20"/>
      <w:szCs w:val="20"/>
      <w:lang w:eastAsia="ru-RU"/>
    </w:rPr>
  </w:style>
  <w:style w:type="paragraph" w:customStyle="1" w:styleId="xl225">
    <w:name w:val="xl225"/>
    <w:basedOn w:val="Normal"/>
    <w:uiPriority w:val="99"/>
    <w:rsid w:val="008F6C87"/>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hAnsi="Times New Roman"/>
      <w:b/>
      <w:bCs/>
      <w:color w:val="00B050"/>
      <w:sz w:val="24"/>
      <w:szCs w:val="24"/>
      <w:lang w:eastAsia="ru-RU"/>
    </w:rPr>
  </w:style>
  <w:style w:type="paragraph" w:customStyle="1" w:styleId="xl226">
    <w:name w:val="xl226"/>
    <w:basedOn w:val="Normal"/>
    <w:uiPriority w:val="99"/>
    <w:rsid w:val="008F6C87"/>
    <w:pPr>
      <w:pBdr>
        <w:top w:val="single" w:sz="4" w:space="0" w:color="auto"/>
        <w:left w:val="single" w:sz="4" w:space="0" w:color="auto"/>
        <w:bottom w:val="single" w:sz="4" w:space="0" w:color="auto"/>
      </w:pBdr>
      <w:shd w:val="clear" w:color="000000" w:fill="FCD5B4"/>
      <w:spacing w:before="100" w:beforeAutospacing="1" w:after="100" w:afterAutospacing="1" w:line="240" w:lineRule="auto"/>
      <w:jc w:val="center"/>
      <w:textAlignment w:val="center"/>
    </w:pPr>
    <w:rPr>
      <w:rFonts w:ascii="Times New Roman" w:hAnsi="Times New Roman"/>
      <w:b/>
      <w:bCs/>
      <w:color w:val="00B050"/>
      <w:sz w:val="24"/>
      <w:szCs w:val="24"/>
      <w:lang w:eastAsia="ru-RU"/>
    </w:rPr>
  </w:style>
  <w:style w:type="paragraph" w:customStyle="1" w:styleId="-111">
    <w:name w:val="Цветной список - Акцент 11"/>
    <w:basedOn w:val="Normal"/>
    <w:uiPriority w:val="99"/>
    <w:rsid w:val="008F6C87"/>
    <w:pPr>
      <w:ind w:left="720"/>
      <w:contextualSpacing/>
    </w:pPr>
    <w:rPr>
      <w:lang w:eastAsia="ru-RU"/>
    </w:rPr>
  </w:style>
  <w:style w:type="paragraph" w:customStyle="1" w:styleId="1fff4">
    <w:name w:val="Знак Знак Знак1"/>
    <w:basedOn w:val="Normal"/>
    <w:uiPriority w:val="99"/>
    <w:rsid w:val="008F6C87"/>
    <w:pPr>
      <w:spacing w:after="160" w:line="240" w:lineRule="exact"/>
    </w:pPr>
    <w:rPr>
      <w:rFonts w:ascii="Verdana" w:hAnsi="Verdana" w:cs="Verdana"/>
      <w:sz w:val="20"/>
      <w:szCs w:val="20"/>
      <w:lang w:val="en-US"/>
    </w:rPr>
  </w:style>
  <w:style w:type="character" w:customStyle="1" w:styleId="1fff5">
    <w:name w:val="Текст примечания Знак1"/>
    <w:uiPriority w:val="99"/>
    <w:semiHidden/>
    <w:rsid w:val="008F6C87"/>
    <w:rPr>
      <w:rFonts w:ascii="Calibri" w:hAnsi="Calibri"/>
      <w:lang w:eastAsia="en-US"/>
    </w:rPr>
  </w:style>
  <w:style w:type="paragraph" w:customStyle="1" w:styleId="a20">
    <w:name w:val="a2"/>
    <w:basedOn w:val="Normal"/>
    <w:uiPriority w:val="99"/>
    <w:rsid w:val="008F6C87"/>
    <w:pPr>
      <w:tabs>
        <w:tab w:val="left" w:pos="708"/>
      </w:tabs>
      <w:spacing w:before="100" w:beforeAutospacing="1" w:after="100" w:afterAutospacing="1" w:line="240" w:lineRule="auto"/>
    </w:pPr>
    <w:rPr>
      <w:rFonts w:ascii="Times New Roman" w:hAnsi="Times New Roman"/>
      <w:sz w:val="24"/>
      <w:szCs w:val="24"/>
      <w:lang w:eastAsia="ru-RU"/>
    </w:rPr>
  </w:style>
  <w:style w:type="character" w:customStyle="1" w:styleId="810">
    <w:name w:val="Заголовок 8 Знак1"/>
    <w:aliases w:val="Заголовок ТАБЛ Знак1,№ ТАБЛ Знак1"/>
    <w:uiPriority w:val="99"/>
    <w:semiHidden/>
    <w:rsid w:val="008F6C87"/>
    <w:rPr>
      <w:rFonts w:ascii="Cambria" w:hAnsi="Cambria"/>
      <w:color w:val="404040"/>
    </w:rPr>
  </w:style>
  <w:style w:type="character" w:customStyle="1" w:styleId="910">
    <w:name w:val="Заголовок 9 Знак1"/>
    <w:aliases w:val="Таблица 9 Знак1,ТАБЛИЦА Знак1"/>
    <w:uiPriority w:val="99"/>
    <w:semiHidden/>
    <w:rsid w:val="008F6C87"/>
    <w:rPr>
      <w:rFonts w:ascii="Cambria" w:hAnsi="Cambria"/>
      <w:i/>
      <w:color w:val="404040"/>
    </w:rPr>
  </w:style>
  <w:style w:type="character" w:customStyle="1" w:styleId="1fff6">
    <w:name w:val="Тема примечания Знак1"/>
    <w:uiPriority w:val="99"/>
    <w:semiHidden/>
    <w:rsid w:val="008F6C87"/>
    <w:rPr>
      <w:rFonts w:ascii="Calibri" w:hAnsi="Calibri"/>
      <w:b/>
      <w:lang w:eastAsia="en-US"/>
    </w:rPr>
  </w:style>
  <w:style w:type="character" w:customStyle="1" w:styleId="1fff7">
    <w:name w:val="Схема документа Знак1"/>
    <w:uiPriority w:val="99"/>
    <w:semiHidden/>
    <w:rsid w:val="008F6C87"/>
    <w:rPr>
      <w:rFonts w:ascii="Tahoma" w:hAnsi="Tahoma"/>
      <w:sz w:val="16"/>
      <w:lang w:eastAsia="en-US"/>
    </w:rPr>
  </w:style>
  <w:style w:type="character" w:customStyle="1" w:styleId="1fff8">
    <w:name w:val="Название Знак1"/>
    <w:uiPriority w:val="99"/>
    <w:rsid w:val="008F6C87"/>
    <w:rPr>
      <w:rFonts w:ascii="Cambria" w:hAnsi="Cambria"/>
      <w:color w:val="17365D"/>
      <w:spacing w:val="5"/>
      <w:kern w:val="28"/>
      <w:sz w:val="52"/>
      <w:lang w:eastAsia="en-US"/>
    </w:rPr>
  </w:style>
  <w:style w:type="character" w:customStyle="1" w:styleId="1fff9">
    <w:name w:val="Подзаголовок Знак1"/>
    <w:uiPriority w:val="99"/>
    <w:rsid w:val="008F6C87"/>
    <w:rPr>
      <w:rFonts w:ascii="Cambria" w:hAnsi="Cambria"/>
      <w:i/>
      <w:color w:val="4F81BD"/>
      <w:spacing w:val="15"/>
      <w:sz w:val="24"/>
      <w:lang w:eastAsia="en-US"/>
    </w:rPr>
  </w:style>
  <w:style w:type="character" w:customStyle="1" w:styleId="21e">
    <w:name w:val="Цитата 2 Знак1"/>
    <w:uiPriority w:val="99"/>
    <w:rsid w:val="008F6C87"/>
    <w:rPr>
      <w:rFonts w:ascii="Calibri" w:hAnsi="Calibri"/>
      <w:i/>
      <w:color w:val="000000"/>
      <w:sz w:val="22"/>
      <w:lang w:eastAsia="en-US"/>
    </w:rPr>
  </w:style>
  <w:style w:type="character" w:customStyle="1" w:styleId="1fffa">
    <w:name w:val="Выделенная цитата Знак1"/>
    <w:uiPriority w:val="99"/>
    <w:rsid w:val="008F6C87"/>
    <w:rPr>
      <w:rFonts w:ascii="Calibri" w:hAnsi="Calibri"/>
      <w:b/>
      <w:i/>
      <w:color w:val="4F81BD"/>
      <w:sz w:val="22"/>
      <w:lang w:eastAsia="en-US"/>
    </w:rPr>
  </w:style>
  <w:style w:type="character" w:customStyle="1" w:styleId="1fffb">
    <w:name w:val="Шапка Знак1"/>
    <w:uiPriority w:val="99"/>
    <w:semiHidden/>
    <w:rsid w:val="008F6C87"/>
    <w:rPr>
      <w:rFonts w:ascii="Cambria" w:hAnsi="Cambria"/>
      <w:sz w:val="24"/>
      <w:shd w:val="pct20" w:color="auto" w:fill="auto"/>
      <w:lang w:eastAsia="en-US"/>
    </w:rPr>
  </w:style>
  <w:style w:type="character" w:customStyle="1" w:styleId="1fffc">
    <w:name w:val="Дата Знак1"/>
    <w:uiPriority w:val="99"/>
    <w:semiHidden/>
    <w:rsid w:val="008F6C87"/>
    <w:rPr>
      <w:rFonts w:ascii="Calibri" w:hAnsi="Calibri"/>
      <w:sz w:val="22"/>
      <w:lang w:eastAsia="en-US"/>
    </w:rPr>
  </w:style>
  <w:style w:type="character" w:customStyle="1" w:styleId="1fffd">
    <w:name w:val="Заголовок записки Знак1"/>
    <w:uiPriority w:val="99"/>
    <w:semiHidden/>
    <w:rsid w:val="008F6C87"/>
    <w:rPr>
      <w:rFonts w:ascii="Calibri" w:hAnsi="Calibri"/>
      <w:sz w:val="22"/>
      <w:lang w:eastAsia="en-US"/>
    </w:rPr>
  </w:style>
  <w:style w:type="character" w:customStyle="1" w:styleId="1fffe">
    <w:name w:val="Красная строка Знак1"/>
    <w:uiPriority w:val="99"/>
    <w:semiHidden/>
    <w:rsid w:val="008F6C87"/>
    <w:rPr>
      <w:rFonts w:ascii="Calibri" w:hAnsi="Calibri"/>
      <w:sz w:val="22"/>
      <w:lang w:eastAsia="en-US"/>
    </w:rPr>
  </w:style>
  <w:style w:type="character" w:customStyle="1" w:styleId="21f">
    <w:name w:val="Красная строка 2 Знак1"/>
    <w:uiPriority w:val="99"/>
    <w:semiHidden/>
    <w:rsid w:val="008F6C87"/>
    <w:rPr>
      <w:rFonts w:ascii="Calibri" w:hAnsi="Calibri"/>
      <w:sz w:val="22"/>
      <w:lang w:eastAsia="en-US"/>
    </w:rPr>
  </w:style>
  <w:style w:type="character" w:customStyle="1" w:styleId="1ffff">
    <w:name w:val="Подпись Знак1"/>
    <w:uiPriority w:val="99"/>
    <w:semiHidden/>
    <w:rsid w:val="008F6C87"/>
    <w:rPr>
      <w:rFonts w:ascii="Calibri" w:hAnsi="Calibri"/>
      <w:sz w:val="22"/>
      <w:lang w:eastAsia="en-US"/>
    </w:rPr>
  </w:style>
  <w:style w:type="character" w:customStyle="1" w:styleId="1ffff0">
    <w:name w:val="Приветствие Знак1"/>
    <w:uiPriority w:val="99"/>
    <w:semiHidden/>
    <w:rsid w:val="008F6C87"/>
    <w:rPr>
      <w:rFonts w:ascii="Calibri" w:hAnsi="Calibri"/>
      <w:sz w:val="22"/>
      <w:lang w:eastAsia="en-US"/>
    </w:rPr>
  </w:style>
  <w:style w:type="character" w:customStyle="1" w:styleId="1ffff1">
    <w:name w:val="Прощание Знак1"/>
    <w:uiPriority w:val="99"/>
    <w:semiHidden/>
    <w:rsid w:val="008F6C87"/>
    <w:rPr>
      <w:rFonts w:ascii="Calibri" w:hAnsi="Calibri"/>
      <w:sz w:val="22"/>
      <w:lang w:eastAsia="en-US"/>
    </w:rPr>
  </w:style>
  <w:style w:type="character" w:customStyle="1" w:styleId="1ffff2">
    <w:name w:val="Текст Знак1"/>
    <w:uiPriority w:val="99"/>
    <w:semiHidden/>
    <w:rsid w:val="008F6C87"/>
    <w:rPr>
      <w:rFonts w:ascii="Consolas" w:hAnsi="Consolas"/>
      <w:sz w:val="21"/>
      <w:lang w:eastAsia="en-US"/>
    </w:rPr>
  </w:style>
  <w:style w:type="character" w:customStyle="1" w:styleId="1ffff3">
    <w:name w:val="Электронная подпись Знак1"/>
    <w:uiPriority w:val="99"/>
    <w:semiHidden/>
    <w:rsid w:val="008F6C87"/>
    <w:rPr>
      <w:rFonts w:ascii="Calibri" w:hAnsi="Calibri"/>
      <w:sz w:val="22"/>
      <w:lang w:eastAsia="en-US"/>
    </w:rPr>
  </w:style>
  <w:style w:type="character" w:customStyle="1" w:styleId="1ffff4">
    <w:name w:val="Текст концевой сноски Знак1"/>
    <w:uiPriority w:val="99"/>
    <w:semiHidden/>
    <w:rsid w:val="008F6C87"/>
    <w:rPr>
      <w:rFonts w:ascii="Calibri" w:hAnsi="Calibri"/>
      <w:lang w:eastAsia="en-US"/>
    </w:rPr>
  </w:style>
  <w:style w:type="character" w:customStyle="1" w:styleId="ucoz-forum-post">
    <w:name w:val="ucoz-forum-post"/>
    <w:basedOn w:val="DefaultParagraphFont"/>
    <w:uiPriority w:val="99"/>
    <w:rsid w:val="008F6C87"/>
    <w:rPr>
      <w:rFonts w:cs="Times New Roman"/>
    </w:rPr>
  </w:style>
  <w:style w:type="character" w:customStyle="1" w:styleId="titlerazdel">
    <w:name w:val="title_razdel"/>
    <w:basedOn w:val="DefaultParagraphFont"/>
    <w:uiPriority w:val="99"/>
    <w:rsid w:val="008F6C87"/>
    <w:rPr>
      <w:rFonts w:cs="Times New Roman"/>
    </w:rPr>
  </w:style>
  <w:style w:type="paragraph" w:customStyle="1" w:styleId="Style18">
    <w:name w:val="Style18"/>
    <w:basedOn w:val="Normal"/>
    <w:uiPriority w:val="99"/>
    <w:rsid w:val="008F6C87"/>
    <w:pPr>
      <w:widowControl w:val="0"/>
      <w:autoSpaceDE w:val="0"/>
      <w:autoSpaceDN w:val="0"/>
      <w:adjustRightInd w:val="0"/>
      <w:spacing w:after="0" w:line="274" w:lineRule="exact"/>
      <w:ind w:firstLine="840"/>
      <w:jc w:val="both"/>
    </w:pPr>
    <w:rPr>
      <w:rFonts w:ascii="Times New Roman" w:hAnsi="Times New Roman"/>
      <w:sz w:val="24"/>
      <w:szCs w:val="24"/>
      <w:lang w:eastAsia="ru-RU"/>
    </w:rPr>
  </w:style>
  <w:style w:type="character" w:customStyle="1" w:styleId="FontStyle28">
    <w:name w:val="Font Style28"/>
    <w:basedOn w:val="DefaultParagraphFont"/>
    <w:uiPriority w:val="99"/>
    <w:rsid w:val="008F6C87"/>
    <w:rPr>
      <w:rFonts w:ascii="Times New Roman" w:hAnsi="Times New Roman" w:cs="Times New Roman"/>
      <w:sz w:val="22"/>
      <w:szCs w:val="22"/>
    </w:rPr>
  </w:style>
  <w:style w:type="table" w:customStyle="1" w:styleId="107">
    <w:name w:val="Сетка таблицы10"/>
    <w:uiPriority w:val="99"/>
    <w:rsid w:val="008F6C87"/>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
    <w:name w:val="Веб-таблица 13"/>
    <w:uiPriority w:val="99"/>
    <w:rsid w:val="008F6C87"/>
    <w:rPr>
      <w:sz w:val="20"/>
      <w:szCs w:val="20"/>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3">
    <w:name w:val="Веб-таблица 23"/>
    <w:uiPriority w:val="99"/>
    <w:rsid w:val="008F6C87"/>
    <w:rPr>
      <w:sz w:val="20"/>
      <w:szCs w:val="20"/>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30">
    <w:name w:val="Веб-таблица 33"/>
    <w:uiPriority w:val="99"/>
    <w:rsid w:val="008F6C87"/>
    <w:rPr>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39">
    <w:name w:val="Изысканная таблица3"/>
    <w:uiPriority w:val="99"/>
    <w:rsid w:val="008F6C87"/>
    <w:rPr>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0">
    <w:name w:val="Изящная таблица 13"/>
    <w:uiPriority w:val="99"/>
    <w:rsid w:val="008F6C87"/>
    <w:rPr>
      <w:sz w:val="20"/>
      <w:szCs w:val="20"/>
    </w:rPr>
    <w:tblPr>
      <w:tblStyleRowBandSize w:val="1"/>
      <w:tblInd w:w="0" w:type="dxa"/>
      <w:tblCellMar>
        <w:top w:w="0" w:type="dxa"/>
        <w:left w:w="108" w:type="dxa"/>
        <w:bottom w:w="0" w:type="dxa"/>
        <w:right w:w="108" w:type="dxa"/>
      </w:tblCellMar>
    </w:tblPr>
  </w:style>
  <w:style w:type="table" w:customStyle="1" w:styleId="233">
    <w:name w:val="Изящная таблица 23"/>
    <w:uiPriority w:val="99"/>
    <w:rsid w:val="008F6C87"/>
    <w:rPr>
      <w:sz w:val="20"/>
      <w:szCs w:val="20"/>
    </w:rPr>
    <w:tblPr>
      <w:tblInd w:w="0" w:type="dxa"/>
      <w:tblBorders>
        <w:left w:val="single" w:sz="6" w:space="0" w:color="000000"/>
        <w:right w:val="single" w:sz="6" w:space="0" w:color="000000"/>
      </w:tblBorders>
      <w:tblCellMar>
        <w:top w:w="0" w:type="dxa"/>
        <w:left w:w="108" w:type="dxa"/>
        <w:bottom w:w="0" w:type="dxa"/>
        <w:right w:w="108" w:type="dxa"/>
      </w:tblCellMar>
    </w:tblPr>
  </w:style>
  <w:style w:type="table" w:customStyle="1" w:styleId="131">
    <w:name w:val="Классическая таблица 13"/>
    <w:uiPriority w:val="99"/>
    <w:rsid w:val="008F6C87"/>
    <w:rPr>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234">
    <w:name w:val="Классическая таблица 23"/>
    <w:uiPriority w:val="99"/>
    <w:rsid w:val="008F6C87"/>
    <w:rPr>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333">
    <w:name w:val="Классическая таблица 33"/>
    <w:uiPriority w:val="99"/>
    <w:rsid w:val="008F6C87"/>
    <w:rPr>
      <w:color w:val="000080"/>
      <w:sz w:val="20"/>
      <w:szCs w:val="2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30">
    <w:name w:val="Классическая таблица 43"/>
    <w:uiPriority w:val="99"/>
    <w:rsid w:val="008F6C87"/>
    <w:rPr>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32">
    <w:name w:val="Объемная таблица 13"/>
    <w:uiPriority w:val="99"/>
    <w:rsid w:val="008F6C87"/>
    <w:rPr>
      <w:sz w:val="20"/>
      <w:szCs w:val="20"/>
    </w:rPr>
    <w:tblPr>
      <w:tblInd w:w="0" w:type="dxa"/>
      <w:tblCellMar>
        <w:top w:w="0" w:type="dxa"/>
        <w:left w:w="108" w:type="dxa"/>
        <w:bottom w:w="0" w:type="dxa"/>
        <w:right w:w="108" w:type="dxa"/>
      </w:tblCellMar>
    </w:tblPr>
    <w:tcPr>
      <w:shd w:val="solid" w:color="C0C0C0" w:fill="FFFFFF"/>
    </w:tcPr>
  </w:style>
  <w:style w:type="table" w:customStyle="1" w:styleId="235">
    <w:name w:val="Объемная таблица 23"/>
    <w:uiPriority w:val="99"/>
    <w:rsid w:val="008F6C87"/>
    <w:rPr>
      <w:sz w:val="20"/>
      <w:szCs w:val="20"/>
    </w:rPr>
    <w:tblPr>
      <w:tblStyleRowBandSize w:val="1"/>
      <w:tblInd w:w="0" w:type="dxa"/>
      <w:tblCellMar>
        <w:top w:w="0" w:type="dxa"/>
        <w:left w:w="108" w:type="dxa"/>
        <w:bottom w:w="0" w:type="dxa"/>
        <w:right w:w="108" w:type="dxa"/>
      </w:tblCellMar>
    </w:tblPr>
    <w:tcPr>
      <w:shd w:val="solid" w:color="C0C0C0" w:fill="FFFFFF"/>
    </w:tcPr>
  </w:style>
  <w:style w:type="table" w:customStyle="1" w:styleId="334">
    <w:name w:val="Объемная таблица 33"/>
    <w:uiPriority w:val="99"/>
    <w:rsid w:val="008F6C87"/>
    <w:rPr>
      <w:sz w:val="20"/>
      <w:szCs w:val="20"/>
    </w:rPr>
    <w:tblPr>
      <w:tblStyleRowBandSize w:val="1"/>
      <w:tblStyleColBandSize w:val="1"/>
      <w:tblInd w:w="0" w:type="dxa"/>
      <w:tblCellMar>
        <w:top w:w="0" w:type="dxa"/>
        <w:left w:w="108" w:type="dxa"/>
        <w:bottom w:w="0" w:type="dxa"/>
        <w:right w:w="108" w:type="dxa"/>
      </w:tblCellMar>
    </w:tblPr>
  </w:style>
  <w:style w:type="table" w:customStyle="1" w:styleId="133">
    <w:name w:val="Простая таблица 13"/>
    <w:uiPriority w:val="99"/>
    <w:rsid w:val="008F6C87"/>
    <w:rPr>
      <w:sz w:val="20"/>
      <w:szCs w:val="20"/>
    </w:rPr>
    <w:tblPr>
      <w:tblInd w:w="0" w:type="dxa"/>
      <w:tblBorders>
        <w:top w:val="single" w:sz="12" w:space="0" w:color="008000"/>
        <w:bottom w:val="single" w:sz="12" w:space="0" w:color="008000"/>
      </w:tblBorders>
      <w:tblCellMar>
        <w:top w:w="0" w:type="dxa"/>
        <w:left w:w="108" w:type="dxa"/>
        <w:bottom w:w="0" w:type="dxa"/>
        <w:right w:w="108" w:type="dxa"/>
      </w:tblCellMar>
    </w:tblPr>
  </w:style>
  <w:style w:type="table" w:customStyle="1" w:styleId="236">
    <w:name w:val="Простая таблица 23"/>
    <w:uiPriority w:val="99"/>
    <w:rsid w:val="008F6C87"/>
    <w:rPr>
      <w:sz w:val="20"/>
      <w:szCs w:val="20"/>
    </w:rPr>
    <w:tblPr>
      <w:tblInd w:w="0" w:type="dxa"/>
      <w:tblCellMar>
        <w:top w:w="0" w:type="dxa"/>
        <w:left w:w="108" w:type="dxa"/>
        <w:bottom w:w="0" w:type="dxa"/>
        <w:right w:w="108" w:type="dxa"/>
      </w:tblCellMar>
    </w:tblPr>
  </w:style>
  <w:style w:type="table" w:customStyle="1" w:styleId="335">
    <w:name w:val="Простая таблица 33"/>
    <w:uiPriority w:val="99"/>
    <w:rsid w:val="008F6C87"/>
    <w:rPr>
      <w:sz w:val="20"/>
      <w:szCs w:val="2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34">
    <w:name w:val="Сетка таблицы 13"/>
    <w:uiPriority w:val="99"/>
    <w:rsid w:val="008F6C87"/>
    <w:rPr>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37">
    <w:name w:val="Сетка таблицы 23"/>
    <w:uiPriority w:val="99"/>
    <w:rsid w:val="008F6C87"/>
    <w:rPr>
      <w:sz w:val="20"/>
      <w:szCs w:val="20"/>
    </w:rPr>
    <w:tblPr>
      <w:tblInd w:w="0" w:type="dxa"/>
      <w:tblBorders>
        <w:insideH w:val="single" w:sz="6" w:space="0" w:color="000000"/>
        <w:insideV w:val="single" w:sz="6" w:space="0" w:color="000000"/>
      </w:tblBorders>
      <w:tblCellMar>
        <w:top w:w="0" w:type="dxa"/>
        <w:left w:w="108" w:type="dxa"/>
        <w:bottom w:w="0" w:type="dxa"/>
        <w:right w:w="108" w:type="dxa"/>
      </w:tblCellMar>
    </w:tblPr>
  </w:style>
  <w:style w:type="table" w:customStyle="1" w:styleId="336">
    <w:name w:val="Сетка таблицы 33"/>
    <w:uiPriority w:val="99"/>
    <w:rsid w:val="008F6C87"/>
    <w:rPr>
      <w:sz w:val="20"/>
      <w:szCs w:val="20"/>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31">
    <w:name w:val="Сетка таблицы 43"/>
    <w:uiPriority w:val="99"/>
    <w:rsid w:val="008F6C87"/>
    <w:rPr>
      <w:sz w:val="20"/>
      <w:szCs w:val="20"/>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30">
    <w:name w:val="Сетка таблицы 53"/>
    <w:uiPriority w:val="99"/>
    <w:rsid w:val="008F6C87"/>
    <w:rPr>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30">
    <w:name w:val="Сетка таблицы 63"/>
    <w:uiPriority w:val="99"/>
    <w:rsid w:val="008F6C87"/>
    <w:rPr>
      <w:sz w:val="20"/>
      <w:szCs w:val="20"/>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30">
    <w:name w:val="Сетка таблицы 73"/>
    <w:uiPriority w:val="99"/>
    <w:rsid w:val="008F6C87"/>
    <w:rPr>
      <w:b/>
      <w:bCs/>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3">
    <w:name w:val="Сетка таблицы 83"/>
    <w:uiPriority w:val="99"/>
    <w:rsid w:val="008F6C87"/>
    <w:rPr>
      <w:sz w:val="20"/>
      <w:szCs w:val="20"/>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3a">
    <w:name w:val="Современная таблица3"/>
    <w:uiPriority w:val="99"/>
    <w:rsid w:val="008F6C87"/>
    <w:rPr>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style>
  <w:style w:type="table" w:customStyle="1" w:styleId="3b">
    <w:name w:val="Стандартная таблица3"/>
    <w:uiPriority w:val="99"/>
    <w:rsid w:val="008F6C87"/>
    <w:rPr>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5">
    <w:name w:val="Столбцы таблицы 13"/>
    <w:uiPriority w:val="99"/>
    <w:rsid w:val="008F6C87"/>
    <w:rPr>
      <w:b/>
      <w:bCs/>
      <w:sz w:val="20"/>
      <w:szCs w:val="20"/>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38">
    <w:name w:val="Столбцы таблицы 23"/>
    <w:uiPriority w:val="99"/>
    <w:rsid w:val="008F6C87"/>
    <w:rPr>
      <w:b/>
      <w:bCs/>
      <w:sz w:val="20"/>
      <w:szCs w:val="20"/>
    </w:rPr>
    <w:tblPr>
      <w:tblStyleColBandSize w:val="1"/>
      <w:tblInd w:w="0" w:type="dxa"/>
      <w:tblCellMar>
        <w:top w:w="0" w:type="dxa"/>
        <w:left w:w="108" w:type="dxa"/>
        <w:bottom w:w="0" w:type="dxa"/>
        <w:right w:w="108" w:type="dxa"/>
      </w:tblCellMar>
    </w:tblPr>
  </w:style>
  <w:style w:type="table" w:customStyle="1" w:styleId="337">
    <w:name w:val="Столбцы таблицы 33"/>
    <w:uiPriority w:val="99"/>
    <w:rsid w:val="008F6C87"/>
    <w:rPr>
      <w:b/>
      <w:bCs/>
      <w:sz w:val="20"/>
      <w:szCs w:val="20"/>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32">
    <w:name w:val="Столбцы таблицы 43"/>
    <w:uiPriority w:val="99"/>
    <w:rsid w:val="008F6C87"/>
    <w:rPr>
      <w:sz w:val="20"/>
      <w:szCs w:val="20"/>
    </w:rPr>
    <w:tblPr>
      <w:tblStyleColBandSize w:val="1"/>
      <w:tblInd w:w="0" w:type="dxa"/>
      <w:tblCellMar>
        <w:top w:w="0" w:type="dxa"/>
        <w:left w:w="108" w:type="dxa"/>
        <w:bottom w:w="0" w:type="dxa"/>
        <w:right w:w="108" w:type="dxa"/>
      </w:tblCellMar>
    </w:tblPr>
  </w:style>
  <w:style w:type="table" w:customStyle="1" w:styleId="531">
    <w:name w:val="Столбцы таблицы 53"/>
    <w:uiPriority w:val="99"/>
    <w:rsid w:val="008F6C87"/>
    <w:rPr>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30">
    <w:name w:val="Таблица-список 13"/>
    <w:uiPriority w:val="99"/>
    <w:rsid w:val="008F6C87"/>
    <w:rPr>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30">
    <w:name w:val="Таблица-список 23"/>
    <w:uiPriority w:val="99"/>
    <w:rsid w:val="008F6C87"/>
    <w:rPr>
      <w:sz w:val="20"/>
      <w:szCs w:val="20"/>
    </w:rPr>
    <w:tblPr>
      <w:tblStyleRowBandSize w:val="2"/>
      <w:tblInd w:w="0" w:type="dxa"/>
      <w:tblBorders>
        <w:bottom w:val="single" w:sz="12" w:space="0" w:color="808080"/>
      </w:tblBorders>
      <w:tblCellMar>
        <w:top w:w="0" w:type="dxa"/>
        <w:left w:w="108" w:type="dxa"/>
        <w:bottom w:w="0" w:type="dxa"/>
        <w:right w:w="108" w:type="dxa"/>
      </w:tblCellMar>
    </w:tblPr>
  </w:style>
  <w:style w:type="table" w:customStyle="1" w:styleId="-37">
    <w:name w:val="Таблица-список 37"/>
    <w:uiPriority w:val="99"/>
    <w:rsid w:val="008F6C87"/>
    <w:rPr>
      <w:sz w:val="20"/>
      <w:szCs w:val="20"/>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3">
    <w:name w:val="Таблица-список 43"/>
    <w:uiPriority w:val="99"/>
    <w:rsid w:val="008F6C87"/>
    <w:rPr>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3">
    <w:name w:val="Таблица-список 53"/>
    <w:uiPriority w:val="99"/>
    <w:rsid w:val="008F6C87"/>
    <w:rPr>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3">
    <w:name w:val="Таблица-список 63"/>
    <w:uiPriority w:val="99"/>
    <w:rsid w:val="008F6C87"/>
    <w:rPr>
      <w:sz w:val="20"/>
      <w:szCs w:val="20"/>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3">
    <w:name w:val="Таблица-список 73"/>
    <w:uiPriority w:val="99"/>
    <w:rsid w:val="008F6C87"/>
    <w:rPr>
      <w:sz w:val="20"/>
      <w:szCs w:val="20"/>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3">
    <w:name w:val="Таблица-список 83"/>
    <w:uiPriority w:val="99"/>
    <w:rsid w:val="008F6C87"/>
    <w:rPr>
      <w:sz w:val="20"/>
      <w:szCs w:val="20"/>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3c">
    <w:name w:val="Тема таблицы3"/>
    <w:uiPriority w:val="99"/>
    <w:rsid w:val="008F6C87"/>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6">
    <w:name w:val="Цветная таблица 13"/>
    <w:uiPriority w:val="99"/>
    <w:rsid w:val="008F6C87"/>
    <w:rPr>
      <w:color w:val="FFFFFF"/>
      <w:sz w:val="20"/>
      <w:szCs w:val="20"/>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39">
    <w:name w:val="Цветная таблица 23"/>
    <w:uiPriority w:val="99"/>
    <w:rsid w:val="008F6C87"/>
    <w:rPr>
      <w:sz w:val="20"/>
      <w:szCs w:val="20"/>
    </w:rPr>
    <w:tblPr>
      <w:tblInd w:w="0" w:type="dxa"/>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38">
    <w:name w:val="Цветная таблица 33"/>
    <w:uiPriority w:val="99"/>
    <w:rsid w:val="008F6C87"/>
    <w:rPr>
      <w:sz w:val="20"/>
      <w:szCs w:val="20"/>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2-51">
    <w:name w:val="Средняя заливка 2 - Акцент 51"/>
    <w:uiPriority w:val="99"/>
    <w:rsid w:val="008F6C87"/>
    <w:rPr>
      <w:rFonts w:ascii="Calibri" w:hAnsi="Calibri"/>
      <w:sz w:val="20"/>
      <w:szCs w:val="20"/>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style>
  <w:style w:type="table" w:customStyle="1" w:styleId="-312">
    <w:name w:val="Таблица-список 312"/>
    <w:uiPriority w:val="99"/>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322">
    <w:name w:val="Таблица-список 322"/>
    <w:uiPriority w:val="99"/>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331">
    <w:name w:val="Таблица-список 331"/>
    <w:uiPriority w:val="99"/>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341">
    <w:name w:val="Таблица-список 341"/>
    <w:uiPriority w:val="99"/>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351">
    <w:name w:val="Таблица-список 351"/>
    <w:uiPriority w:val="99"/>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361">
    <w:name w:val="Таблица-список 361"/>
    <w:uiPriority w:val="99"/>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129">
    <w:name w:val="Сетка таблицы12"/>
    <w:uiPriority w:val="99"/>
    <w:rsid w:val="008F6C87"/>
    <w:rPr>
      <w:rFonts w:ascii="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7">
    <w:name w:val="Сетка таблицы13"/>
    <w:uiPriority w:val="99"/>
    <w:rsid w:val="008F6C87"/>
    <w:rPr>
      <w:rFonts w:ascii="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252">
    <w:name w:val="xl252"/>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8"/>
      <w:szCs w:val="28"/>
      <w:lang w:eastAsia="ru-RU"/>
    </w:rPr>
  </w:style>
  <w:style w:type="paragraph" w:customStyle="1" w:styleId="xl253">
    <w:name w:val="xl253"/>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xl262">
    <w:name w:val="xl262"/>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8"/>
      <w:szCs w:val="28"/>
      <w:lang w:eastAsia="ru-RU"/>
    </w:rPr>
  </w:style>
  <w:style w:type="paragraph" w:customStyle="1" w:styleId="xl267">
    <w:name w:val="xl267"/>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8"/>
      <w:szCs w:val="28"/>
      <w:lang w:eastAsia="ru-RU"/>
    </w:rPr>
  </w:style>
  <w:style w:type="paragraph" w:customStyle="1" w:styleId="xl268">
    <w:name w:val="xl268"/>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8"/>
      <w:szCs w:val="28"/>
      <w:lang w:eastAsia="ru-RU"/>
    </w:rPr>
  </w:style>
  <w:style w:type="paragraph" w:customStyle="1" w:styleId="xl62">
    <w:name w:val="xl62"/>
    <w:basedOn w:val="Normal"/>
    <w:uiPriority w:val="99"/>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lang w:eastAsia="ru-RU"/>
    </w:rPr>
  </w:style>
  <w:style w:type="numbering" w:customStyle="1" w:styleId="1111112175">
    <w:name w:val="1 / 1.1 / 1.1.12175"/>
    <w:rsid w:val="00414FA8"/>
    <w:pPr>
      <w:numPr>
        <w:numId w:val="37"/>
      </w:numPr>
    </w:pPr>
  </w:style>
  <w:style w:type="numbering" w:customStyle="1" w:styleId="1104">
    <w:name w:val="Статья / Раздел1104"/>
    <w:rsid w:val="00414FA8"/>
    <w:pPr>
      <w:numPr>
        <w:numId w:val="25"/>
      </w:numPr>
    </w:pPr>
  </w:style>
  <w:style w:type="numbering" w:customStyle="1" w:styleId="1ai21814">
    <w:name w:val="1 / a / i21814"/>
    <w:rsid w:val="00414FA8"/>
    <w:pPr>
      <w:numPr>
        <w:numId w:val="15"/>
      </w:numPr>
    </w:pPr>
  </w:style>
  <w:style w:type="numbering" w:customStyle="1" w:styleId="11111121114">
    <w:name w:val="1 / 1.1 / 1.1.121114"/>
    <w:rsid w:val="00414FA8"/>
    <w:pPr>
      <w:numPr>
        <w:numId w:val="35"/>
      </w:numPr>
    </w:pPr>
  </w:style>
  <w:style w:type="numbering" w:customStyle="1" w:styleId="1111113814">
    <w:name w:val="1 / 1.1 / 1.1.13814"/>
    <w:rsid w:val="00414FA8"/>
    <w:pPr>
      <w:numPr>
        <w:numId w:val="20"/>
      </w:numPr>
    </w:pPr>
  </w:style>
  <w:style w:type="numbering" w:customStyle="1" w:styleId="21814">
    <w:name w:val="Статья / Раздел21814"/>
    <w:rsid w:val="00414FA8"/>
    <w:pPr>
      <w:numPr>
        <w:numId w:val="16"/>
      </w:numPr>
    </w:pPr>
  </w:style>
  <w:style w:type="numbering" w:customStyle="1" w:styleId="2175">
    <w:name w:val="Статья / Раздел2175"/>
    <w:rsid w:val="00414FA8"/>
    <w:pPr>
      <w:numPr>
        <w:numId w:val="39"/>
      </w:numPr>
    </w:pPr>
  </w:style>
  <w:style w:type="numbering" w:customStyle="1" w:styleId="1ai11027">
    <w:name w:val="1 / a / i11027"/>
    <w:rsid w:val="00414FA8"/>
    <w:pPr>
      <w:numPr>
        <w:numId w:val="11"/>
      </w:numPr>
    </w:pPr>
  </w:style>
  <w:style w:type="numbering" w:customStyle="1" w:styleId="1ai3814">
    <w:name w:val="1 / a / i3814"/>
    <w:rsid w:val="00414FA8"/>
    <w:pPr>
      <w:numPr>
        <w:numId w:val="21"/>
      </w:numPr>
    </w:pPr>
  </w:style>
  <w:style w:type="numbering" w:customStyle="1" w:styleId="111111117311">
    <w:name w:val="1 / 1.1 / 1.1.1117311"/>
    <w:rsid w:val="00414FA8"/>
    <w:pPr>
      <w:numPr>
        <w:numId w:val="44"/>
      </w:numPr>
    </w:pPr>
  </w:style>
  <w:style w:type="numbering" w:customStyle="1" w:styleId="1111111176">
    <w:name w:val="1 / 1.1 / 1.1.11176"/>
    <w:rsid w:val="00414FA8"/>
    <w:pPr>
      <w:numPr>
        <w:numId w:val="36"/>
      </w:numPr>
    </w:pPr>
  </w:style>
  <w:style w:type="numbering" w:customStyle="1" w:styleId="1ai194">
    <w:name w:val="1 / a / i194"/>
    <w:rsid w:val="00414FA8"/>
    <w:pPr>
      <w:numPr>
        <w:numId w:val="27"/>
      </w:numPr>
    </w:pPr>
  </w:style>
  <w:style w:type="numbering" w:customStyle="1" w:styleId="1111111173122">
    <w:name w:val="1 / 1.1 / 1.1.11173122"/>
    <w:rsid w:val="00414FA8"/>
    <w:pPr>
      <w:numPr>
        <w:numId w:val="12"/>
      </w:numPr>
    </w:pPr>
  </w:style>
  <w:style w:type="numbering" w:customStyle="1" w:styleId="11111140">
    <w:name w:val="1 / 1.1 / 1.1.140"/>
    <w:rsid w:val="00414FA8"/>
    <w:pPr>
      <w:numPr>
        <w:numId w:val="18"/>
      </w:numPr>
    </w:pPr>
  </w:style>
  <w:style w:type="numbering" w:customStyle="1" w:styleId="1ai11814">
    <w:name w:val="1 / a / i11814"/>
    <w:rsid w:val="00414FA8"/>
    <w:pPr>
      <w:numPr>
        <w:numId w:val="17"/>
      </w:numPr>
    </w:pPr>
  </w:style>
  <w:style w:type="numbering" w:customStyle="1" w:styleId="1ai40">
    <w:name w:val="1 / a / i40"/>
    <w:rsid w:val="00414FA8"/>
    <w:pPr>
      <w:numPr>
        <w:numId w:val="19"/>
      </w:numPr>
    </w:pPr>
  </w:style>
  <w:style w:type="numbering" w:customStyle="1" w:styleId="11111111115">
    <w:name w:val="1 / 1.1 / 1.1.111115"/>
    <w:rsid w:val="00414FA8"/>
    <w:pPr>
      <w:numPr>
        <w:numId w:val="34"/>
      </w:numPr>
    </w:pPr>
  </w:style>
  <w:style w:type="numbering" w:customStyle="1" w:styleId="194">
    <w:name w:val="Статья / Раздел194"/>
    <w:rsid w:val="00414FA8"/>
    <w:pPr>
      <w:numPr>
        <w:numId w:val="28"/>
      </w:numPr>
    </w:pPr>
  </w:style>
  <w:style w:type="numbering" w:customStyle="1" w:styleId="1ai301">
    <w:name w:val="1 / a / i301"/>
    <w:rsid w:val="00414FA8"/>
    <w:pPr>
      <w:numPr>
        <w:numId w:val="53"/>
      </w:numPr>
    </w:pPr>
  </w:style>
  <w:style w:type="numbering" w:customStyle="1" w:styleId="11111121814">
    <w:name w:val="1 / 1.1 / 1.1.121814"/>
    <w:rsid w:val="00414FA8"/>
    <w:pPr>
      <w:numPr>
        <w:numId w:val="14"/>
      </w:numPr>
    </w:pPr>
  </w:style>
  <w:style w:type="numbering" w:customStyle="1" w:styleId="11111111814">
    <w:name w:val="1 / 1.1 / 1.1.111814"/>
    <w:rsid w:val="00414FA8"/>
    <w:pPr>
      <w:numPr>
        <w:numId w:val="13"/>
      </w:numPr>
    </w:pPr>
  </w:style>
  <w:style w:type="numbering" w:customStyle="1" w:styleId="111111117312">
    <w:name w:val="1 / 1.1 / 1.1.1117312"/>
    <w:rsid w:val="00414FA8"/>
    <w:pPr>
      <w:numPr>
        <w:numId w:val="48"/>
      </w:numPr>
    </w:pPr>
  </w:style>
  <w:style w:type="numbering" w:customStyle="1" w:styleId="3814">
    <w:name w:val="Статья / Раздел3814"/>
    <w:rsid w:val="00414FA8"/>
    <w:pPr>
      <w:numPr>
        <w:numId w:val="22"/>
      </w:numPr>
    </w:pPr>
  </w:style>
  <w:style w:type="numbering" w:customStyle="1" w:styleId="294">
    <w:name w:val="Статья / Раздел294"/>
    <w:rsid w:val="00414FA8"/>
    <w:pPr>
      <w:numPr>
        <w:numId w:val="23"/>
      </w:numPr>
    </w:pPr>
  </w:style>
  <w:style w:type="numbering" w:customStyle="1" w:styleId="1ai117">
    <w:name w:val="1 / a / i117"/>
    <w:rsid w:val="00414FA8"/>
    <w:pPr>
      <w:numPr>
        <w:numId w:val="41"/>
      </w:numPr>
    </w:pPr>
  </w:style>
  <w:style w:type="numbering" w:customStyle="1" w:styleId="111111194">
    <w:name w:val="1 / 1.1 / 1.1.1194"/>
    <w:rsid w:val="00414FA8"/>
    <w:pPr>
      <w:numPr>
        <w:numId w:val="26"/>
      </w:numPr>
    </w:pPr>
  </w:style>
  <w:style w:type="numbering" w:customStyle="1" w:styleId="1ai1175">
    <w:name w:val="1 / a / i1175"/>
    <w:rsid w:val="00414FA8"/>
    <w:pPr>
      <w:numPr>
        <w:numId w:val="40"/>
      </w:numPr>
    </w:pPr>
  </w:style>
  <w:style w:type="numbering" w:customStyle="1" w:styleId="1ai11028">
    <w:name w:val="1 / a / i11028"/>
    <w:rsid w:val="00414FA8"/>
    <w:pPr>
      <w:numPr>
        <w:numId w:val="24"/>
      </w:numPr>
    </w:pPr>
  </w:style>
  <w:style w:type="numbering" w:customStyle="1" w:styleId="1ai2175">
    <w:name w:val="1 / a / i2175"/>
    <w:rsid w:val="00414FA8"/>
    <w:pPr>
      <w:numPr>
        <w:numId w:val="38"/>
      </w:numPr>
    </w:pPr>
  </w:style>
  <w:style w:type="numbering" w:customStyle="1" w:styleId="11111111731">
    <w:name w:val="1 / 1.1 / 1.1.111731"/>
    <w:rsid w:val="00414FA8"/>
    <w:pPr>
      <w:numPr>
        <w:numId w:val="47"/>
      </w:numPr>
    </w:pPr>
  </w:style>
  <w:style w:type="numbering" w:customStyle="1" w:styleId="11111111111">
    <w:name w:val="1 / 1.1 / 1.1.111111"/>
    <w:rsid w:val="00414FA8"/>
    <w:pPr>
      <w:numPr>
        <w:numId w:val="33"/>
      </w:numPr>
    </w:pPr>
  </w:style>
</w:styles>
</file>

<file path=word/webSettings.xml><?xml version="1.0" encoding="utf-8"?>
<w:webSettings xmlns:r="http://schemas.openxmlformats.org/officeDocument/2006/relationships" xmlns:w="http://schemas.openxmlformats.org/wordprocessingml/2006/main">
  <w:divs>
    <w:div w:id="538081923">
      <w:marLeft w:val="0"/>
      <w:marRight w:val="0"/>
      <w:marTop w:val="0"/>
      <w:marBottom w:val="0"/>
      <w:divBdr>
        <w:top w:val="none" w:sz="0" w:space="0" w:color="auto"/>
        <w:left w:val="none" w:sz="0" w:space="0" w:color="auto"/>
        <w:bottom w:val="none" w:sz="0" w:space="0" w:color="auto"/>
        <w:right w:val="none" w:sz="0" w:space="0" w:color="auto"/>
      </w:divBdr>
    </w:div>
    <w:div w:id="538081924">
      <w:marLeft w:val="0"/>
      <w:marRight w:val="0"/>
      <w:marTop w:val="0"/>
      <w:marBottom w:val="0"/>
      <w:divBdr>
        <w:top w:val="none" w:sz="0" w:space="0" w:color="auto"/>
        <w:left w:val="none" w:sz="0" w:space="0" w:color="auto"/>
        <w:bottom w:val="none" w:sz="0" w:space="0" w:color="auto"/>
        <w:right w:val="none" w:sz="0" w:space="0" w:color="auto"/>
      </w:divBdr>
    </w:div>
    <w:div w:id="538081925">
      <w:marLeft w:val="0"/>
      <w:marRight w:val="0"/>
      <w:marTop w:val="0"/>
      <w:marBottom w:val="0"/>
      <w:divBdr>
        <w:top w:val="none" w:sz="0" w:space="0" w:color="auto"/>
        <w:left w:val="none" w:sz="0" w:space="0" w:color="auto"/>
        <w:bottom w:val="none" w:sz="0" w:space="0" w:color="auto"/>
        <w:right w:val="none" w:sz="0" w:space="0" w:color="auto"/>
      </w:divBdr>
    </w:div>
    <w:div w:id="538081926">
      <w:marLeft w:val="0"/>
      <w:marRight w:val="0"/>
      <w:marTop w:val="0"/>
      <w:marBottom w:val="0"/>
      <w:divBdr>
        <w:top w:val="none" w:sz="0" w:space="0" w:color="auto"/>
        <w:left w:val="none" w:sz="0" w:space="0" w:color="auto"/>
        <w:bottom w:val="none" w:sz="0" w:space="0" w:color="auto"/>
        <w:right w:val="none" w:sz="0" w:space="0" w:color="auto"/>
      </w:divBdr>
    </w:div>
    <w:div w:id="538081927">
      <w:marLeft w:val="0"/>
      <w:marRight w:val="0"/>
      <w:marTop w:val="0"/>
      <w:marBottom w:val="0"/>
      <w:divBdr>
        <w:top w:val="none" w:sz="0" w:space="0" w:color="auto"/>
        <w:left w:val="none" w:sz="0" w:space="0" w:color="auto"/>
        <w:bottom w:val="none" w:sz="0" w:space="0" w:color="auto"/>
        <w:right w:val="none" w:sz="0" w:space="0" w:color="auto"/>
      </w:divBdr>
    </w:div>
    <w:div w:id="538081928">
      <w:marLeft w:val="0"/>
      <w:marRight w:val="0"/>
      <w:marTop w:val="0"/>
      <w:marBottom w:val="0"/>
      <w:divBdr>
        <w:top w:val="none" w:sz="0" w:space="0" w:color="auto"/>
        <w:left w:val="none" w:sz="0" w:space="0" w:color="auto"/>
        <w:bottom w:val="none" w:sz="0" w:space="0" w:color="auto"/>
        <w:right w:val="none" w:sz="0" w:space="0" w:color="auto"/>
      </w:divBdr>
    </w:div>
    <w:div w:id="538081929">
      <w:marLeft w:val="0"/>
      <w:marRight w:val="0"/>
      <w:marTop w:val="0"/>
      <w:marBottom w:val="0"/>
      <w:divBdr>
        <w:top w:val="none" w:sz="0" w:space="0" w:color="auto"/>
        <w:left w:val="none" w:sz="0" w:space="0" w:color="auto"/>
        <w:bottom w:val="none" w:sz="0" w:space="0" w:color="auto"/>
        <w:right w:val="none" w:sz="0" w:space="0" w:color="auto"/>
      </w:divBdr>
    </w:div>
    <w:div w:id="538081930">
      <w:marLeft w:val="0"/>
      <w:marRight w:val="0"/>
      <w:marTop w:val="0"/>
      <w:marBottom w:val="0"/>
      <w:divBdr>
        <w:top w:val="none" w:sz="0" w:space="0" w:color="auto"/>
        <w:left w:val="none" w:sz="0" w:space="0" w:color="auto"/>
        <w:bottom w:val="none" w:sz="0" w:space="0" w:color="auto"/>
        <w:right w:val="none" w:sz="0" w:space="0" w:color="auto"/>
      </w:divBdr>
    </w:div>
    <w:div w:id="538081931">
      <w:marLeft w:val="0"/>
      <w:marRight w:val="0"/>
      <w:marTop w:val="0"/>
      <w:marBottom w:val="0"/>
      <w:divBdr>
        <w:top w:val="none" w:sz="0" w:space="0" w:color="auto"/>
        <w:left w:val="none" w:sz="0" w:space="0" w:color="auto"/>
        <w:bottom w:val="none" w:sz="0" w:space="0" w:color="auto"/>
        <w:right w:val="none" w:sz="0" w:space="0" w:color="auto"/>
      </w:divBdr>
    </w:div>
    <w:div w:id="538081932">
      <w:marLeft w:val="0"/>
      <w:marRight w:val="0"/>
      <w:marTop w:val="0"/>
      <w:marBottom w:val="0"/>
      <w:divBdr>
        <w:top w:val="none" w:sz="0" w:space="0" w:color="auto"/>
        <w:left w:val="none" w:sz="0" w:space="0" w:color="auto"/>
        <w:bottom w:val="none" w:sz="0" w:space="0" w:color="auto"/>
        <w:right w:val="none" w:sz="0" w:space="0" w:color="auto"/>
      </w:divBdr>
    </w:div>
    <w:div w:id="538081933">
      <w:marLeft w:val="0"/>
      <w:marRight w:val="0"/>
      <w:marTop w:val="0"/>
      <w:marBottom w:val="0"/>
      <w:divBdr>
        <w:top w:val="none" w:sz="0" w:space="0" w:color="auto"/>
        <w:left w:val="none" w:sz="0" w:space="0" w:color="auto"/>
        <w:bottom w:val="none" w:sz="0" w:space="0" w:color="auto"/>
        <w:right w:val="none" w:sz="0" w:space="0" w:color="auto"/>
      </w:divBdr>
    </w:div>
    <w:div w:id="538081934">
      <w:marLeft w:val="0"/>
      <w:marRight w:val="0"/>
      <w:marTop w:val="0"/>
      <w:marBottom w:val="0"/>
      <w:divBdr>
        <w:top w:val="none" w:sz="0" w:space="0" w:color="auto"/>
        <w:left w:val="none" w:sz="0" w:space="0" w:color="auto"/>
        <w:bottom w:val="none" w:sz="0" w:space="0" w:color="auto"/>
        <w:right w:val="none" w:sz="0" w:space="0" w:color="auto"/>
      </w:divBdr>
    </w:div>
    <w:div w:id="538081935">
      <w:marLeft w:val="0"/>
      <w:marRight w:val="0"/>
      <w:marTop w:val="0"/>
      <w:marBottom w:val="0"/>
      <w:divBdr>
        <w:top w:val="none" w:sz="0" w:space="0" w:color="auto"/>
        <w:left w:val="none" w:sz="0" w:space="0" w:color="auto"/>
        <w:bottom w:val="none" w:sz="0" w:space="0" w:color="auto"/>
        <w:right w:val="none" w:sz="0" w:space="0" w:color="auto"/>
      </w:divBdr>
    </w:div>
    <w:div w:id="538081936">
      <w:marLeft w:val="0"/>
      <w:marRight w:val="0"/>
      <w:marTop w:val="0"/>
      <w:marBottom w:val="0"/>
      <w:divBdr>
        <w:top w:val="none" w:sz="0" w:space="0" w:color="auto"/>
        <w:left w:val="none" w:sz="0" w:space="0" w:color="auto"/>
        <w:bottom w:val="none" w:sz="0" w:space="0" w:color="auto"/>
        <w:right w:val="none" w:sz="0" w:space="0" w:color="auto"/>
      </w:divBdr>
    </w:div>
    <w:div w:id="538081937">
      <w:marLeft w:val="0"/>
      <w:marRight w:val="0"/>
      <w:marTop w:val="0"/>
      <w:marBottom w:val="0"/>
      <w:divBdr>
        <w:top w:val="none" w:sz="0" w:space="0" w:color="auto"/>
        <w:left w:val="none" w:sz="0" w:space="0" w:color="auto"/>
        <w:bottom w:val="none" w:sz="0" w:space="0" w:color="auto"/>
        <w:right w:val="none" w:sz="0" w:space="0" w:color="auto"/>
      </w:divBdr>
    </w:div>
    <w:div w:id="538081938">
      <w:marLeft w:val="0"/>
      <w:marRight w:val="0"/>
      <w:marTop w:val="0"/>
      <w:marBottom w:val="0"/>
      <w:divBdr>
        <w:top w:val="none" w:sz="0" w:space="0" w:color="auto"/>
        <w:left w:val="none" w:sz="0" w:space="0" w:color="auto"/>
        <w:bottom w:val="none" w:sz="0" w:space="0" w:color="auto"/>
        <w:right w:val="none" w:sz="0" w:space="0" w:color="auto"/>
      </w:divBdr>
    </w:div>
    <w:div w:id="538081939">
      <w:marLeft w:val="0"/>
      <w:marRight w:val="0"/>
      <w:marTop w:val="0"/>
      <w:marBottom w:val="0"/>
      <w:divBdr>
        <w:top w:val="none" w:sz="0" w:space="0" w:color="auto"/>
        <w:left w:val="none" w:sz="0" w:space="0" w:color="auto"/>
        <w:bottom w:val="none" w:sz="0" w:space="0" w:color="auto"/>
        <w:right w:val="none" w:sz="0" w:space="0" w:color="auto"/>
      </w:divBdr>
    </w:div>
    <w:div w:id="538081940">
      <w:marLeft w:val="0"/>
      <w:marRight w:val="0"/>
      <w:marTop w:val="0"/>
      <w:marBottom w:val="0"/>
      <w:divBdr>
        <w:top w:val="none" w:sz="0" w:space="0" w:color="auto"/>
        <w:left w:val="none" w:sz="0" w:space="0" w:color="auto"/>
        <w:bottom w:val="none" w:sz="0" w:space="0" w:color="auto"/>
        <w:right w:val="none" w:sz="0" w:space="0" w:color="auto"/>
      </w:divBdr>
    </w:div>
    <w:div w:id="538081941">
      <w:marLeft w:val="0"/>
      <w:marRight w:val="0"/>
      <w:marTop w:val="0"/>
      <w:marBottom w:val="0"/>
      <w:divBdr>
        <w:top w:val="none" w:sz="0" w:space="0" w:color="auto"/>
        <w:left w:val="none" w:sz="0" w:space="0" w:color="auto"/>
        <w:bottom w:val="none" w:sz="0" w:space="0" w:color="auto"/>
        <w:right w:val="none" w:sz="0" w:space="0" w:color="auto"/>
      </w:divBdr>
    </w:div>
    <w:div w:id="538081942">
      <w:marLeft w:val="0"/>
      <w:marRight w:val="0"/>
      <w:marTop w:val="0"/>
      <w:marBottom w:val="0"/>
      <w:divBdr>
        <w:top w:val="none" w:sz="0" w:space="0" w:color="auto"/>
        <w:left w:val="none" w:sz="0" w:space="0" w:color="auto"/>
        <w:bottom w:val="none" w:sz="0" w:space="0" w:color="auto"/>
        <w:right w:val="none" w:sz="0" w:space="0" w:color="auto"/>
      </w:divBdr>
    </w:div>
    <w:div w:id="538081943">
      <w:marLeft w:val="0"/>
      <w:marRight w:val="0"/>
      <w:marTop w:val="0"/>
      <w:marBottom w:val="0"/>
      <w:divBdr>
        <w:top w:val="none" w:sz="0" w:space="0" w:color="auto"/>
        <w:left w:val="none" w:sz="0" w:space="0" w:color="auto"/>
        <w:bottom w:val="none" w:sz="0" w:space="0" w:color="auto"/>
        <w:right w:val="none" w:sz="0" w:space="0" w:color="auto"/>
      </w:divBdr>
    </w:div>
    <w:div w:id="538081944">
      <w:marLeft w:val="0"/>
      <w:marRight w:val="0"/>
      <w:marTop w:val="0"/>
      <w:marBottom w:val="0"/>
      <w:divBdr>
        <w:top w:val="none" w:sz="0" w:space="0" w:color="auto"/>
        <w:left w:val="none" w:sz="0" w:space="0" w:color="auto"/>
        <w:bottom w:val="none" w:sz="0" w:space="0" w:color="auto"/>
        <w:right w:val="none" w:sz="0" w:space="0" w:color="auto"/>
      </w:divBdr>
    </w:div>
    <w:div w:id="538081945">
      <w:marLeft w:val="0"/>
      <w:marRight w:val="0"/>
      <w:marTop w:val="0"/>
      <w:marBottom w:val="0"/>
      <w:divBdr>
        <w:top w:val="none" w:sz="0" w:space="0" w:color="auto"/>
        <w:left w:val="none" w:sz="0" w:space="0" w:color="auto"/>
        <w:bottom w:val="none" w:sz="0" w:space="0" w:color="auto"/>
        <w:right w:val="none" w:sz="0" w:space="0" w:color="auto"/>
      </w:divBdr>
    </w:div>
    <w:div w:id="538081946">
      <w:marLeft w:val="0"/>
      <w:marRight w:val="0"/>
      <w:marTop w:val="0"/>
      <w:marBottom w:val="0"/>
      <w:divBdr>
        <w:top w:val="none" w:sz="0" w:space="0" w:color="auto"/>
        <w:left w:val="none" w:sz="0" w:space="0" w:color="auto"/>
        <w:bottom w:val="none" w:sz="0" w:space="0" w:color="auto"/>
        <w:right w:val="none" w:sz="0" w:space="0" w:color="auto"/>
      </w:divBdr>
    </w:div>
    <w:div w:id="538081947">
      <w:marLeft w:val="0"/>
      <w:marRight w:val="0"/>
      <w:marTop w:val="0"/>
      <w:marBottom w:val="0"/>
      <w:divBdr>
        <w:top w:val="none" w:sz="0" w:space="0" w:color="auto"/>
        <w:left w:val="none" w:sz="0" w:space="0" w:color="auto"/>
        <w:bottom w:val="none" w:sz="0" w:space="0" w:color="auto"/>
        <w:right w:val="none" w:sz="0" w:space="0" w:color="auto"/>
      </w:divBdr>
    </w:div>
    <w:div w:id="538081948">
      <w:marLeft w:val="0"/>
      <w:marRight w:val="0"/>
      <w:marTop w:val="0"/>
      <w:marBottom w:val="0"/>
      <w:divBdr>
        <w:top w:val="none" w:sz="0" w:space="0" w:color="auto"/>
        <w:left w:val="none" w:sz="0" w:space="0" w:color="auto"/>
        <w:bottom w:val="none" w:sz="0" w:space="0" w:color="auto"/>
        <w:right w:val="none" w:sz="0" w:space="0" w:color="auto"/>
      </w:divBdr>
    </w:div>
    <w:div w:id="538081949">
      <w:marLeft w:val="0"/>
      <w:marRight w:val="0"/>
      <w:marTop w:val="0"/>
      <w:marBottom w:val="0"/>
      <w:divBdr>
        <w:top w:val="none" w:sz="0" w:space="0" w:color="auto"/>
        <w:left w:val="none" w:sz="0" w:space="0" w:color="auto"/>
        <w:bottom w:val="none" w:sz="0" w:space="0" w:color="auto"/>
        <w:right w:val="none" w:sz="0" w:space="0" w:color="auto"/>
      </w:divBdr>
    </w:div>
    <w:div w:id="538081950">
      <w:marLeft w:val="0"/>
      <w:marRight w:val="0"/>
      <w:marTop w:val="0"/>
      <w:marBottom w:val="0"/>
      <w:divBdr>
        <w:top w:val="none" w:sz="0" w:space="0" w:color="auto"/>
        <w:left w:val="none" w:sz="0" w:space="0" w:color="auto"/>
        <w:bottom w:val="none" w:sz="0" w:space="0" w:color="auto"/>
        <w:right w:val="none" w:sz="0" w:space="0" w:color="auto"/>
      </w:divBdr>
    </w:div>
    <w:div w:id="538081951">
      <w:marLeft w:val="0"/>
      <w:marRight w:val="0"/>
      <w:marTop w:val="0"/>
      <w:marBottom w:val="0"/>
      <w:divBdr>
        <w:top w:val="none" w:sz="0" w:space="0" w:color="auto"/>
        <w:left w:val="none" w:sz="0" w:space="0" w:color="auto"/>
        <w:bottom w:val="none" w:sz="0" w:space="0" w:color="auto"/>
        <w:right w:val="none" w:sz="0" w:space="0" w:color="auto"/>
      </w:divBdr>
    </w:div>
    <w:div w:id="538081952">
      <w:marLeft w:val="0"/>
      <w:marRight w:val="0"/>
      <w:marTop w:val="0"/>
      <w:marBottom w:val="0"/>
      <w:divBdr>
        <w:top w:val="none" w:sz="0" w:space="0" w:color="auto"/>
        <w:left w:val="none" w:sz="0" w:space="0" w:color="auto"/>
        <w:bottom w:val="none" w:sz="0" w:space="0" w:color="auto"/>
        <w:right w:val="none" w:sz="0" w:space="0" w:color="auto"/>
      </w:divBdr>
    </w:div>
    <w:div w:id="538081953">
      <w:marLeft w:val="0"/>
      <w:marRight w:val="0"/>
      <w:marTop w:val="0"/>
      <w:marBottom w:val="0"/>
      <w:divBdr>
        <w:top w:val="none" w:sz="0" w:space="0" w:color="auto"/>
        <w:left w:val="none" w:sz="0" w:space="0" w:color="auto"/>
        <w:bottom w:val="none" w:sz="0" w:space="0" w:color="auto"/>
        <w:right w:val="none" w:sz="0" w:space="0" w:color="auto"/>
      </w:divBdr>
    </w:div>
    <w:div w:id="538081954">
      <w:marLeft w:val="0"/>
      <w:marRight w:val="0"/>
      <w:marTop w:val="0"/>
      <w:marBottom w:val="0"/>
      <w:divBdr>
        <w:top w:val="none" w:sz="0" w:space="0" w:color="auto"/>
        <w:left w:val="none" w:sz="0" w:space="0" w:color="auto"/>
        <w:bottom w:val="none" w:sz="0" w:space="0" w:color="auto"/>
        <w:right w:val="none" w:sz="0" w:space="0" w:color="auto"/>
      </w:divBdr>
    </w:div>
    <w:div w:id="538081955">
      <w:marLeft w:val="0"/>
      <w:marRight w:val="0"/>
      <w:marTop w:val="0"/>
      <w:marBottom w:val="0"/>
      <w:divBdr>
        <w:top w:val="none" w:sz="0" w:space="0" w:color="auto"/>
        <w:left w:val="none" w:sz="0" w:space="0" w:color="auto"/>
        <w:bottom w:val="none" w:sz="0" w:space="0" w:color="auto"/>
        <w:right w:val="none" w:sz="0" w:space="0" w:color="auto"/>
      </w:divBdr>
    </w:div>
    <w:div w:id="538081956">
      <w:marLeft w:val="0"/>
      <w:marRight w:val="0"/>
      <w:marTop w:val="0"/>
      <w:marBottom w:val="0"/>
      <w:divBdr>
        <w:top w:val="none" w:sz="0" w:space="0" w:color="auto"/>
        <w:left w:val="none" w:sz="0" w:space="0" w:color="auto"/>
        <w:bottom w:val="none" w:sz="0" w:space="0" w:color="auto"/>
        <w:right w:val="none" w:sz="0" w:space="0" w:color="auto"/>
      </w:divBdr>
    </w:div>
    <w:div w:id="538081957">
      <w:marLeft w:val="0"/>
      <w:marRight w:val="0"/>
      <w:marTop w:val="0"/>
      <w:marBottom w:val="0"/>
      <w:divBdr>
        <w:top w:val="none" w:sz="0" w:space="0" w:color="auto"/>
        <w:left w:val="none" w:sz="0" w:space="0" w:color="auto"/>
        <w:bottom w:val="none" w:sz="0" w:space="0" w:color="auto"/>
        <w:right w:val="none" w:sz="0" w:space="0" w:color="auto"/>
      </w:divBdr>
    </w:div>
    <w:div w:id="538081958">
      <w:marLeft w:val="0"/>
      <w:marRight w:val="0"/>
      <w:marTop w:val="0"/>
      <w:marBottom w:val="0"/>
      <w:divBdr>
        <w:top w:val="none" w:sz="0" w:space="0" w:color="auto"/>
        <w:left w:val="none" w:sz="0" w:space="0" w:color="auto"/>
        <w:bottom w:val="none" w:sz="0" w:space="0" w:color="auto"/>
        <w:right w:val="none" w:sz="0" w:space="0" w:color="auto"/>
      </w:divBdr>
    </w:div>
    <w:div w:id="538081959">
      <w:marLeft w:val="0"/>
      <w:marRight w:val="0"/>
      <w:marTop w:val="0"/>
      <w:marBottom w:val="0"/>
      <w:divBdr>
        <w:top w:val="none" w:sz="0" w:space="0" w:color="auto"/>
        <w:left w:val="none" w:sz="0" w:space="0" w:color="auto"/>
        <w:bottom w:val="none" w:sz="0" w:space="0" w:color="auto"/>
        <w:right w:val="none" w:sz="0" w:space="0" w:color="auto"/>
      </w:divBdr>
    </w:div>
    <w:div w:id="538081960">
      <w:marLeft w:val="0"/>
      <w:marRight w:val="0"/>
      <w:marTop w:val="0"/>
      <w:marBottom w:val="0"/>
      <w:divBdr>
        <w:top w:val="none" w:sz="0" w:space="0" w:color="auto"/>
        <w:left w:val="none" w:sz="0" w:space="0" w:color="auto"/>
        <w:bottom w:val="none" w:sz="0" w:space="0" w:color="auto"/>
        <w:right w:val="none" w:sz="0" w:space="0" w:color="auto"/>
      </w:divBdr>
    </w:div>
    <w:div w:id="538081961">
      <w:marLeft w:val="0"/>
      <w:marRight w:val="0"/>
      <w:marTop w:val="0"/>
      <w:marBottom w:val="0"/>
      <w:divBdr>
        <w:top w:val="none" w:sz="0" w:space="0" w:color="auto"/>
        <w:left w:val="none" w:sz="0" w:space="0" w:color="auto"/>
        <w:bottom w:val="none" w:sz="0" w:space="0" w:color="auto"/>
        <w:right w:val="none" w:sz="0" w:space="0" w:color="auto"/>
      </w:divBdr>
    </w:div>
    <w:div w:id="538081962">
      <w:marLeft w:val="0"/>
      <w:marRight w:val="0"/>
      <w:marTop w:val="0"/>
      <w:marBottom w:val="0"/>
      <w:divBdr>
        <w:top w:val="none" w:sz="0" w:space="0" w:color="auto"/>
        <w:left w:val="none" w:sz="0" w:space="0" w:color="auto"/>
        <w:bottom w:val="none" w:sz="0" w:space="0" w:color="auto"/>
        <w:right w:val="none" w:sz="0" w:space="0" w:color="auto"/>
      </w:divBdr>
    </w:div>
    <w:div w:id="538081963">
      <w:marLeft w:val="0"/>
      <w:marRight w:val="0"/>
      <w:marTop w:val="0"/>
      <w:marBottom w:val="0"/>
      <w:divBdr>
        <w:top w:val="none" w:sz="0" w:space="0" w:color="auto"/>
        <w:left w:val="none" w:sz="0" w:space="0" w:color="auto"/>
        <w:bottom w:val="none" w:sz="0" w:space="0" w:color="auto"/>
        <w:right w:val="none" w:sz="0" w:space="0" w:color="auto"/>
      </w:divBdr>
    </w:div>
    <w:div w:id="538081964">
      <w:marLeft w:val="0"/>
      <w:marRight w:val="0"/>
      <w:marTop w:val="0"/>
      <w:marBottom w:val="0"/>
      <w:divBdr>
        <w:top w:val="none" w:sz="0" w:space="0" w:color="auto"/>
        <w:left w:val="none" w:sz="0" w:space="0" w:color="auto"/>
        <w:bottom w:val="none" w:sz="0" w:space="0" w:color="auto"/>
        <w:right w:val="none" w:sz="0" w:space="0" w:color="auto"/>
      </w:divBdr>
    </w:div>
    <w:div w:id="538081965">
      <w:marLeft w:val="0"/>
      <w:marRight w:val="0"/>
      <w:marTop w:val="0"/>
      <w:marBottom w:val="0"/>
      <w:divBdr>
        <w:top w:val="none" w:sz="0" w:space="0" w:color="auto"/>
        <w:left w:val="none" w:sz="0" w:space="0" w:color="auto"/>
        <w:bottom w:val="none" w:sz="0" w:space="0" w:color="auto"/>
        <w:right w:val="none" w:sz="0" w:space="0" w:color="auto"/>
      </w:divBdr>
    </w:div>
    <w:div w:id="538081966">
      <w:marLeft w:val="0"/>
      <w:marRight w:val="0"/>
      <w:marTop w:val="0"/>
      <w:marBottom w:val="0"/>
      <w:divBdr>
        <w:top w:val="none" w:sz="0" w:space="0" w:color="auto"/>
        <w:left w:val="none" w:sz="0" w:space="0" w:color="auto"/>
        <w:bottom w:val="none" w:sz="0" w:space="0" w:color="auto"/>
        <w:right w:val="none" w:sz="0" w:space="0" w:color="auto"/>
      </w:divBdr>
    </w:div>
    <w:div w:id="538081967">
      <w:marLeft w:val="0"/>
      <w:marRight w:val="0"/>
      <w:marTop w:val="0"/>
      <w:marBottom w:val="0"/>
      <w:divBdr>
        <w:top w:val="none" w:sz="0" w:space="0" w:color="auto"/>
        <w:left w:val="none" w:sz="0" w:space="0" w:color="auto"/>
        <w:bottom w:val="none" w:sz="0" w:space="0" w:color="auto"/>
        <w:right w:val="none" w:sz="0" w:space="0" w:color="auto"/>
      </w:divBdr>
    </w:div>
    <w:div w:id="538081968">
      <w:marLeft w:val="0"/>
      <w:marRight w:val="0"/>
      <w:marTop w:val="0"/>
      <w:marBottom w:val="0"/>
      <w:divBdr>
        <w:top w:val="none" w:sz="0" w:space="0" w:color="auto"/>
        <w:left w:val="none" w:sz="0" w:space="0" w:color="auto"/>
        <w:bottom w:val="none" w:sz="0" w:space="0" w:color="auto"/>
        <w:right w:val="none" w:sz="0" w:space="0" w:color="auto"/>
      </w:divBdr>
    </w:div>
    <w:div w:id="538081969">
      <w:marLeft w:val="0"/>
      <w:marRight w:val="0"/>
      <w:marTop w:val="0"/>
      <w:marBottom w:val="0"/>
      <w:divBdr>
        <w:top w:val="none" w:sz="0" w:space="0" w:color="auto"/>
        <w:left w:val="none" w:sz="0" w:space="0" w:color="auto"/>
        <w:bottom w:val="none" w:sz="0" w:space="0" w:color="auto"/>
        <w:right w:val="none" w:sz="0" w:space="0" w:color="auto"/>
      </w:divBdr>
    </w:div>
    <w:div w:id="538081970">
      <w:marLeft w:val="0"/>
      <w:marRight w:val="0"/>
      <w:marTop w:val="0"/>
      <w:marBottom w:val="0"/>
      <w:divBdr>
        <w:top w:val="none" w:sz="0" w:space="0" w:color="auto"/>
        <w:left w:val="none" w:sz="0" w:space="0" w:color="auto"/>
        <w:bottom w:val="none" w:sz="0" w:space="0" w:color="auto"/>
        <w:right w:val="none" w:sz="0" w:space="0" w:color="auto"/>
      </w:divBdr>
    </w:div>
    <w:div w:id="538081971">
      <w:marLeft w:val="0"/>
      <w:marRight w:val="0"/>
      <w:marTop w:val="0"/>
      <w:marBottom w:val="0"/>
      <w:divBdr>
        <w:top w:val="none" w:sz="0" w:space="0" w:color="auto"/>
        <w:left w:val="none" w:sz="0" w:space="0" w:color="auto"/>
        <w:bottom w:val="none" w:sz="0" w:space="0" w:color="auto"/>
        <w:right w:val="none" w:sz="0" w:space="0" w:color="auto"/>
      </w:divBdr>
    </w:div>
    <w:div w:id="538081972">
      <w:marLeft w:val="0"/>
      <w:marRight w:val="0"/>
      <w:marTop w:val="0"/>
      <w:marBottom w:val="0"/>
      <w:divBdr>
        <w:top w:val="none" w:sz="0" w:space="0" w:color="auto"/>
        <w:left w:val="none" w:sz="0" w:space="0" w:color="auto"/>
        <w:bottom w:val="none" w:sz="0" w:space="0" w:color="auto"/>
        <w:right w:val="none" w:sz="0" w:space="0" w:color="auto"/>
      </w:divBdr>
    </w:div>
    <w:div w:id="538081973">
      <w:marLeft w:val="0"/>
      <w:marRight w:val="0"/>
      <w:marTop w:val="0"/>
      <w:marBottom w:val="0"/>
      <w:divBdr>
        <w:top w:val="none" w:sz="0" w:space="0" w:color="auto"/>
        <w:left w:val="none" w:sz="0" w:space="0" w:color="auto"/>
        <w:bottom w:val="none" w:sz="0" w:space="0" w:color="auto"/>
        <w:right w:val="none" w:sz="0" w:space="0" w:color="auto"/>
      </w:divBdr>
    </w:div>
    <w:div w:id="538081974">
      <w:marLeft w:val="0"/>
      <w:marRight w:val="0"/>
      <w:marTop w:val="0"/>
      <w:marBottom w:val="0"/>
      <w:divBdr>
        <w:top w:val="none" w:sz="0" w:space="0" w:color="auto"/>
        <w:left w:val="none" w:sz="0" w:space="0" w:color="auto"/>
        <w:bottom w:val="none" w:sz="0" w:space="0" w:color="auto"/>
        <w:right w:val="none" w:sz="0" w:space="0" w:color="auto"/>
      </w:divBdr>
    </w:div>
    <w:div w:id="538081975">
      <w:marLeft w:val="0"/>
      <w:marRight w:val="0"/>
      <w:marTop w:val="0"/>
      <w:marBottom w:val="0"/>
      <w:divBdr>
        <w:top w:val="none" w:sz="0" w:space="0" w:color="auto"/>
        <w:left w:val="none" w:sz="0" w:space="0" w:color="auto"/>
        <w:bottom w:val="none" w:sz="0" w:space="0" w:color="auto"/>
        <w:right w:val="none" w:sz="0" w:space="0" w:color="auto"/>
      </w:divBdr>
    </w:div>
    <w:div w:id="538081976">
      <w:marLeft w:val="0"/>
      <w:marRight w:val="0"/>
      <w:marTop w:val="0"/>
      <w:marBottom w:val="0"/>
      <w:divBdr>
        <w:top w:val="none" w:sz="0" w:space="0" w:color="auto"/>
        <w:left w:val="none" w:sz="0" w:space="0" w:color="auto"/>
        <w:bottom w:val="none" w:sz="0" w:space="0" w:color="auto"/>
        <w:right w:val="none" w:sz="0" w:space="0" w:color="auto"/>
      </w:divBdr>
    </w:div>
    <w:div w:id="538081977">
      <w:marLeft w:val="0"/>
      <w:marRight w:val="0"/>
      <w:marTop w:val="0"/>
      <w:marBottom w:val="0"/>
      <w:divBdr>
        <w:top w:val="none" w:sz="0" w:space="0" w:color="auto"/>
        <w:left w:val="none" w:sz="0" w:space="0" w:color="auto"/>
        <w:bottom w:val="none" w:sz="0" w:space="0" w:color="auto"/>
        <w:right w:val="none" w:sz="0" w:space="0" w:color="auto"/>
      </w:divBdr>
    </w:div>
    <w:div w:id="538081978">
      <w:marLeft w:val="0"/>
      <w:marRight w:val="0"/>
      <w:marTop w:val="0"/>
      <w:marBottom w:val="0"/>
      <w:divBdr>
        <w:top w:val="none" w:sz="0" w:space="0" w:color="auto"/>
        <w:left w:val="none" w:sz="0" w:space="0" w:color="auto"/>
        <w:bottom w:val="none" w:sz="0" w:space="0" w:color="auto"/>
        <w:right w:val="none" w:sz="0" w:space="0" w:color="auto"/>
      </w:divBdr>
    </w:div>
    <w:div w:id="538081979">
      <w:marLeft w:val="0"/>
      <w:marRight w:val="0"/>
      <w:marTop w:val="0"/>
      <w:marBottom w:val="0"/>
      <w:divBdr>
        <w:top w:val="none" w:sz="0" w:space="0" w:color="auto"/>
        <w:left w:val="none" w:sz="0" w:space="0" w:color="auto"/>
        <w:bottom w:val="none" w:sz="0" w:space="0" w:color="auto"/>
        <w:right w:val="none" w:sz="0" w:space="0" w:color="auto"/>
      </w:divBdr>
    </w:div>
    <w:div w:id="538081980">
      <w:marLeft w:val="0"/>
      <w:marRight w:val="0"/>
      <w:marTop w:val="0"/>
      <w:marBottom w:val="0"/>
      <w:divBdr>
        <w:top w:val="none" w:sz="0" w:space="0" w:color="auto"/>
        <w:left w:val="none" w:sz="0" w:space="0" w:color="auto"/>
        <w:bottom w:val="none" w:sz="0" w:space="0" w:color="auto"/>
        <w:right w:val="none" w:sz="0" w:space="0" w:color="auto"/>
      </w:divBdr>
    </w:div>
    <w:div w:id="538081981">
      <w:marLeft w:val="0"/>
      <w:marRight w:val="0"/>
      <w:marTop w:val="0"/>
      <w:marBottom w:val="0"/>
      <w:divBdr>
        <w:top w:val="none" w:sz="0" w:space="0" w:color="auto"/>
        <w:left w:val="none" w:sz="0" w:space="0" w:color="auto"/>
        <w:bottom w:val="none" w:sz="0" w:space="0" w:color="auto"/>
        <w:right w:val="none" w:sz="0" w:space="0" w:color="auto"/>
      </w:divBdr>
    </w:div>
    <w:div w:id="538081982">
      <w:marLeft w:val="0"/>
      <w:marRight w:val="0"/>
      <w:marTop w:val="0"/>
      <w:marBottom w:val="0"/>
      <w:divBdr>
        <w:top w:val="none" w:sz="0" w:space="0" w:color="auto"/>
        <w:left w:val="none" w:sz="0" w:space="0" w:color="auto"/>
        <w:bottom w:val="none" w:sz="0" w:space="0" w:color="auto"/>
        <w:right w:val="none" w:sz="0" w:space="0" w:color="auto"/>
      </w:divBdr>
    </w:div>
    <w:div w:id="538081983">
      <w:marLeft w:val="0"/>
      <w:marRight w:val="0"/>
      <w:marTop w:val="0"/>
      <w:marBottom w:val="0"/>
      <w:divBdr>
        <w:top w:val="none" w:sz="0" w:space="0" w:color="auto"/>
        <w:left w:val="none" w:sz="0" w:space="0" w:color="auto"/>
        <w:bottom w:val="none" w:sz="0" w:space="0" w:color="auto"/>
        <w:right w:val="none" w:sz="0" w:space="0" w:color="auto"/>
      </w:divBdr>
    </w:div>
    <w:div w:id="538081984">
      <w:marLeft w:val="0"/>
      <w:marRight w:val="0"/>
      <w:marTop w:val="0"/>
      <w:marBottom w:val="0"/>
      <w:divBdr>
        <w:top w:val="none" w:sz="0" w:space="0" w:color="auto"/>
        <w:left w:val="none" w:sz="0" w:space="0" w:color="auto"/>
        <w:bottom w:val="none" w:sz="0" w:space="0" w:color="auto"/>
        <w:right w:val="none" w:sz="0" w:space="0" w:color="auto"/>
      </w:divBdr>
    </w:div>
    <w:div w:id="538081985">
      <w:marLeft w:val="0"/>
      <w:marRight w:val="0"/>
      <w:marTop w:val="0"/>
      <w:marBottom w:val="0"/>
      <w:divBdr>
        <w:top w:val="none" w:sz="0" w:space="0" w:color="auto"/>
        <w:left w:val="none" w:sz="0" w:space="0" w:color="auto"/>
        <w:bottom w:val="none" w:sz="0" w:space="0" w:color="auto"/>
        <w:right w:val="none" w:sz="0" w:space="0" w:color="auto"/>
      </w:divBdr>
    </w:div>
    <w:div w:id="538081986">
      <w:marLeft w:val="0"/>
      <w:marRight w:val="0"/>
      <w:marTop w:val="0"/>
      <w:marBottom w:val="0"/>
      <w:divBdr>
        <w:top w:val="none" w:sz="0" w:space="0" w:color="auto"/>
        <w:left w:val="none" w:sz="0" w:space="0" w:color="auto"/>
        <w:bottom w:val="none" w:sz="0" w:space="0" w:color="auto"/>
        <w:right w:val="none" w:sz="0" w:space="0" w:color="auto"/>
      </w:divBdr>
    </w:div>
    <w:div w:id="538081987">
      <w:marLeft w:val="0"/>
      <w:marRight w:val="0"/>
      <w:marTop w:val="0"/>
      <w:marBottom w:val="0"/>
      <w:divBdr>
        <w:top w:val="none" w:sz="0" w:space="0" w:color="auto"/>
        <w:left w:val="none" w:sz="0" w:space="0" w:color="auto"/>
        <w:bottom w:val="none" w:sz="0" w:space="0" w:color="auto"/>
        <w:right w:val="none" w:sz="0" w:space="0" w:color="auto"/>
      </w:divBdr>
    </w:div>
    <w:div w:id="538081988">
      <w:marLeft w:val="0"/>
      <w:marRight w:val="0"/>
      <w:marTop w:val="0"/>
      <w:marBottom w:val="0"/>
      <w:divBdr>
        <w:top w:val="none" w:sz="0" w:space="0" w:color="auto"/>
        <w:left w:val="none" w:sz="0" w:space="0" w:color="auto"/>
        <w:bottom w:val="none" w:sz="0" w:space="0" w:color="auto"/>
        <w:right w:val="none" w:sz="0" w:space="0" w:color="auto"/>
      </w:divBdr>
    </w:div>
    <w:div w:id="538081989">
      <w:marLeft w:val="0"/>
      <w:marRight w:val="0"/>
      <w:marTop w:val="0"/>
      <w:marBottom w:val="0"/>
      <w:divBdr>
        <w:top w:val="none" w:sz="0" w:space="0" w:color="auto"/>
        <w:left w:val="none" w:sz="0" w:space="0" w:color="auto"/>
        <w:bottom w:val="none" w:sz="0" w:space="0" w:color="auto"/>
        <w:right w:val="none" w:sz="0" w:space="0" w:color="auto"/>
      </w:divBdr>
    </w:div>
    <w:div w:id="538081990">
      <w:marLeft w:val="0"/>
      <w:marRight w:val="0"/>
      <w:marTop w:val="0"/>
      <w:marBottom w:val="0"/>
      <w:divBdr>
        <w:top w:val="none" w:sz="0" w:space="0" w:color="auto"/>
        <w:left w:val="none" w:sz="0" w:space="0" w:color="auto"/>
        <w:bottom w:val="none" w:sz="0" w:space="0" w:color="auto"/>
        <w:right w:val="none" w:sz="0" w:space="0" w:color="auto"/>
      </w:divBdr>
    </w:div>
    <w:div w:id="538081991">
      <w:marLeft w:val="0"/>
      <w:marRight w:val="0"/>
      <w:marTop w:val="0"/>
      <w:marBottom w:val="0"/>
      <w:divBdr>
        <w:top w:val="none" w:sz="0" w:space="0" w:color="auto"/>
        <w:left w:val="none" w:sz="0" w:space="0" w:color="auto"/>
        <w:bottom w:val="none" w:sz="0" w:space="0" w:color="auto"/>
        <w:right w:val="none" w:sz="0" w:space="0" w:color="auto"/>
      </w:divBdr>
    </w:div>
    <w:div w:id="538081992">
      <w:marLeft w:val="0"/>
      <w:marRight w:val="0"/>
      <w:marTop w:val="0"/>
      <w:marBottom w:val="0"/>
      <w:divBdr>
        <w:top w:val="none" w:sz="0" w:space="0" w:color="auto"/>
        <w:left w:val="none" w:sz="0" w:space="0" w:color="auto"/>
        <w:bottom w:val="none" w:sz="0" w:space="0" w:color="auto"/>
        <w:right w:val="none" w:sz="0" w:space="0" w:color="auto"/>
      </w:divBdr>
    </w:div>
    <w:div w:id="538081993">
      <w:marLeft w:val="0"/>
      <w:marRight w:val="0"/>
      <w:marTop w:val="0"/>
      <w:marBottom w:val="0"/>
      <w:divBdr>
        <w:top w:val="none" w:sz="0" w:space="0" w:color="auto"/>
        <w:left w:val="none" w:sz="0" w:space="0" w:color="auto"/>
        <w:bottom w:val="none" w:sz="0" w:space="0" w:color="auto"/>
        <w:right w:val="none" w:sz="0" w:space="0" w:color="auto"/>
      </w:divBdr>
    </w:div>
    <w:div w:id="538081994">
      <w:marLeft w:val="0"/>
      <w:marRight w:val="0"/>
      <w:marTop w:val="0"/>
      <w:marBottom w:val="0"/>
      <w:divBdr>
        <w:top w:val="none" w:sz="0" w:space="0" w:color="auto"/>
        <w:left w:val="none" w:sz="0" w:space="0" w:color="auto"/>
        <w:bottom w:val="none" w:sz="0" w:space="0" w:color="auto"/>
        <w:right w:val="none" w:sz="0" w:space="0" w:color="auto"/>
      </w:divBdr>
    </w:div>
    <w:div w:id="538081995">
      <w:marLeft w:val="0"/>
      <w:marRight w:val="0"/>
      <w:marTop w:val="0"/>
      <w:marBottom w:val="0"/>
      <w:divBdr>
        <w:top w:val="none" w:sz="0" w:space="0" w:color="auto"/>
        <w:left w:val="none" w:sz="0" w:space="0" w:color="auto"/>
        <w:bottom w:val="none" w:sz="0" w:space="0" w:color="auto"/>
        <w:right w:val="none" w:sz="0" w:space="0" w:color="auto"/>
      </w:divBdr>
    </w:div>
    <w:div w:id="538081996">
      <w:marLeft w:val="0"/>
      <w:marRight w:val="0"/>
      <w:marTop w:val="0"/>
      <w:marBottom w:val="0"/>
      <w:divBdr>
        <w:top w:val="none" w:sz="0" w:space="0" w:color="auto"/>
        <w:left w:val="none" w:sz="0" w:space="0" w:color="auto"/>
        <w:bottom w:val="none" w:sz="0" w:space="0" w:color="auto"/>
        <w:right w:val="none" w:sz="0" w:space="0" w:color="auto"/>
      </w:divBdr>
    </w:div>
    <w:div w:id="538081997">
      <w:marLeft w:val="0"/>
      <w:marRight w:val="0"/>
      <w:marTop w:val="0"/>
      <w:marBottom w:val="0"/>
      <w:divBdr>
        <w:top w:val="none" w:sz="0" w:space="0" w:color="auto"/>
        <w:left w:val="none" w:sz="0" w:space="0" w:color="auto"/>
        <w:bottom w:val="none" w:sz="0" w:space="0" w:color="auto"/>
        <w:right w:val="none" w:sz="0" w:space="0" w:color="auto"/>
      </w:divBdr>
    </w:div>
    <w:div w:id="538081998">
      <w:marLeft w:val="0"/>
      <w:marRight w:val="0"/>
      <w:marTop w:val="0"/>
      <w:marBottom w:val="0"/>
      <w:divBdr>
        <w:top w:val="none" w:sz="0" w:space="0" w:color="auto"/>
        <w:left w:val="none" w:sz="0" w:space="0" w:color="auto"/>
        <w:bottom w:val="none" w:sz="0" w:space="0" w:color="auto"/>
        <w:right w:val="none" w:sz="0" w:space="0" w:color="auto"/>
      </w:divBdr>
    </w:div>
    <w:div w:id="538081999">
      <w:marLeft w:val="0"/>
      <w:marRight w:val="0"/>
      <w:marTop w:val="0"/>
      <w:marBottom w:val="0"/>
      <w:divBdr>
        <w:top w:val="none" w:sz="0" w:space="0" w:color="auto"/>
        <w:left w:val="none" w:sz="0" w:space="0" w:color="auto"/>
        <w:bottom w:val="none" w:sz="0" w:space="0" w:color="auto"/>
        <w:right w:val="none" w:sz="0" w:space="0" w:color="auto"/>
      </w:divBdr>
    </w:div>
    <w:div w:id="538082000">
      <w:marLeft w:val="0"/>
      <w:marRight w:val="0"/>
      <w:marTop w:val="0"/>
      <w:marBottom w:val="0"/>
      <w:divBdr>
        <w:top w:val="none" w:sz="0" w:space="0" w:color="auto"/>
        <w:left w:val="none" w:sz="0" w:space="0" w:color="auto"/>
        <w:bottom w:val="none" w:sz="0" w:space="0" w:color="auto"/>
        <w:right w:val="none" w:sz="0" w:space="0" w:color="auto"/>
      </w:divBdr>
    </w:div>
    <w:div w:id="538082001">
      <w:marLeft w:val="0"/>
      <w:marRight w:val="0"/>
      <w:marTop w:val="0"/>
      <w:marBottom w:val="0"/>
      <w:divBdr>
        <w:top w:val="none" w:sz="0" w:space="0" w:color="auto"/>
        <w:left w:val="none" w:sz="0" w:space="0" w:color="auto"/>
        <w:bottom w:val="none" w:sz="0" w:space="0" w:color="auto"/>
        <w:right w:val="none" w:sz="0" w:space="0" w:color="auto"/>
      </w:divBdr>
    </w:div>
    <w:div w:id="538082002">
      <w:marLeft w:val="0"/>
      <w:marRight w:val="0"/>
      <w:marTop w:val="0"/>
      <w:marBottom w:val="0"/>
      <w:divBdr>
        <w:top w:val="none" w:sz="0" w:space="0" w:color="auto"/>
        <w:left w:val="none" w:sz="0" w:space="0" w:color="auto"/>
        <w:bottom w:val="none" w:sz="0" w:space="0" w:color="auto"/>
        <w:right w:val="none" w:sz="0" w:space="0" w:color="auto"/>
      </w:divBdr>
    </w:div>
    <w:div w:id="538082003">
      <w:marLeft w:val="0"/>
      <w:marRight w:val="0"/>
      <w:marTop w:val="0"/>
      <w:marBottom w:val="0"/>
      <w:divBdr>
        <w:top w:val="none" w:sz="0" w:space="0" w:color="auto"/>
        <w:left w:val="none" w:sz="0" w:space="0" w:color="auto"/>
        <w:bottom w:val="none" w:sz="0" w:space="0" w:color="auto"/>
        <w:right w:val="none" w:sz="0" w:space="0" w:color="auto"/>
      </w:divBdr>
    </w:div>
    <w:div w:id="538082004">
      <w:marLeft w:val="0"/>
      <w:marRight w:val="0"/>
      <w:marTop w:val="0"/>
      <w:marBottom w:val="0"/>
      <w:divBdr>
        <w:top w:val="none" w:sz="0" w:space="0" w:color="auto"/>
        <w:left w:val="none" w:sz="0" w:space="0" w:color="auto"/>
        <w:bottom w:val="none" w:sz="0" w:space="0" w:color="auto"/>
        <w:right w:val="none" w:sz="0" w:space="0" w:color="auto"/>
      </w:divBdr>
    </w:div>
    <w:div w:id="538082005">
      <w:marLeft w:val="0"/>
      <w:marRight w:val="0"/>
      <w:marTop w:val="0"/>
      <w:marBottom w:val="0"/>
      <w:divBdr>
        <w:top w:val="none" w:sz="0" w:space="0" w:color="auto"/>
        <w:left w:val="none" w:sz="0" w:space="0" w:color="auto"/>
        <w:bottom w:val="none" w:sz="0" w:space="0" w:color="auto"/>
        <w:right w:val="none" w:sz="0" w:space="0" w:color="auto"/>
      </w:divBdr>
    </w:div>
    <w:div w:id="538082006">
      <w:marLeft w:val="0"/>
      <w:marRight w:val="0"/>
      <w:marTop w:val="0"/>
      <w:marBottom w:val="0"/>
      <w:divBdr>
        <w:top w:val="none" w:sz="0" w:space="0" w:color="auto"/>
        <w:left w:val="none" w:sz="0" w:space="0" w:color="auto"/>
        <w:bottom w:val="none" w:sz="0" w:space="0" w:color="auto"/>
        <w:right w:val="none" w:sz="0" w:space="0" w:color="auto"/>
      </w:divBdr>
    </w:div>
    <w:div w:id="538082007">
      <w:marLeft w:val="0"/>
      <w:marRight w:val="0"/>
      <w:marTop w:val="0"/>
      <w:marBottom w:val="0"/>
      <w:divBdr>
        <w:top w:val="none" w:sz="0" w:space="0" w:color="auto"/>
        <w:left w:val="none" w:sz="0" w:space="0" w:color="auto"/>
        <w:bottom w:val="none" w:sz="0" w:space="0" w:color="auto"/>
        <w:right w:val="none" w:sz="0" w:space="0" w:color="auto"/>
      </w:divBdr>
    </w:div>
    <w:div w:id="538082008">
      <w:marLeft w:val="0"/>
      <w:marRight w:val="0"/>
      <w:marTop w:val="0"/>
      <w:marBottom w:val="0"/>
      <w:divBdr>
        <w:top w:val="none" w:sz="0" w:space="0" w:color="auto"/>
        <w:left w:val="none" w:sz="0" w:space="0" w:color="auto"/>
        <w:bottom w:val="none" w:sz="0" w:space="0" w:color="auto"/>
        <w:right w:val="none" w:sz="0" w:space="0" w:color="auto"/>
      </w:divBdr>
    </w:div>
    <w:div w:id="538082009">
      <w:marLeft w:val="0"/>
      <w:marRight w:val="0"/>
      <w:marTop w:val="0"/>
      <w:marBottom w:val="0"/>
      <w:divBdr>
        <w:top w:val="none" w:sz="0" w:space="0" w:color="auto"/>
        <w:left w:val="none" w:sz="0" w:space="0" w:color="auto"/>
        <w:bottom w:val="none" w:sz="0" w:space="0" w:color="auto"/>
        <w:right w:val="none" w:sz="0" w:space="0" w:color="auto"/>
      </w:divBdr>
    </w:div>
    <w:div w:id="538082010">
      <w:marLeft w:val="0"/>
      <w:marRight w:val="0"/>
      <w:marTop w:val="0"/>
      <w:marBottom w:val="0"/>
      <w:divBdr>
        <w:top w:val="none" w:sz="0" w:space="0" w:color="auto"/>
        <w:left w:val="none" w:sz="0" w:space="0" w:color="auto"/>
        <w:bottom w:val="none" w:sz="0" w:space="0" w:color="auto"/>
        <w:right w:val="none" w:sz="0" w:space="0" w:color="auto"/>
      </w:divBdr>
    </w:div>
    <w:div w:id="538082011">
      <w:marLeft w:val="0"/>
      <w:marRight w:val="0"/>
      <w:marTop w:val="0"/>
      <w:marBottom w:val="0"/>
      <w:divBdr>
        <w:top w:val="none" w:sz="0" w:space="0" w:color="auto"/>
        <w:left w:val="none" w:sz="0" w:space="0" w:color="auto"/>
        <w:bottom w:val="none" w:sz="0" w:space="0" w:color="auto"/>
        <w:right w:val="none" w:sz="0" w:space="0" w:color="auto"/>
      </w:divBdr>
    </w:div>
    <w:div w:id="538082012">
      <w:marLeft w:val="0"/>
      <w:marRight w:val="0"/>
      <w:marTop w:val="0"/>
      <w:marBottom w:val="0"/>
      <w:divBdr>
        <w:top w:val="none" w:sz="0" w:space="0" w:color="auto"/>
        <w:left w:val="none" w:sz="0" w:space="0" w:color="auto"/>
        <w:bottom w:val="none" w:sz="0" w:space="0" w:color="auto"/>
        <w:right w:val="none" w:sz="0" w:space="0" w:color="auto"/>
      </w:divBdr>
    </w:div>
    <w:div w:id="538082013">
      <w:marLeft w:val="0"/>
      <w:marRight w:val="0"/>
      <w:marTop w:val="0"/>
      <w:marBottom w:val="0"/>
      <w:divBdr>
        <w:top w:val="none" w:sz="0" w:space="0" w:color="auto"/>
        <w:left w:val="none" w:sz="0" w:space="0" w:color="auto"/>
        <w:bottom w:val="none" w:sz="0" w:space="0" w:color="auto"/>
        <w:right w:val="none" w:sz="0" w:space="0" w:color="auto"/>
      </w:divBdr>
    </w:div>
    <w:div w:id="538082014">
      <w:marLeft w:val="0"/>
      <w:marRight w:val="0"/>
      <w:marTop w:val="0"/>
      <w:marBottom w:val="0"/>
      <w:divBdr>
        <w:top w:val="none" w:sz="0" w:space="0" w:color="auto"/>
        <w:left w:val="none" w:sz="0" w:space="0" w:color="auto"/>
        <w:bottom w:val="none" w:sz="0" w:space="0" w:color="auto"/>
        <w:right w:val="none" w:sz="0" w:space="0" w:color="auto"/>
      </w:divBdr>
    </w:div>
    <w:div w:id="538082015">
      <w:marLeft w:val="0"/>
      <w:marRight w:val="0"/>
      <w:marTop w:val="0"/>
      <w:marBottom w:val="0"/>
      <w:divBdr>
        <w:top w:val="none" w:sz="0" w:space="0" w:color="auto"/>
        <w:left w:val="none" w:sz="0" w:space="0" w:color="auto"/>
        <w:bottom w:val="none" w:sz="0" w:space="0" w:color="auto"/>
        <w:right w:val="none" w:sz="0" w:space="0" w:color="auto"/>
      </w:divBdr>
    </w:div>
    <w:div w:id="538082016">
      <w:marLeft w:val="0"/>
      <w:marRight w:val="0"/>
      <w:marTop w:val="0"/>
      <w:marBottom w:val="0"/>
      <w:divBdr>
        <w:top w:val="none" w:sz="0" w:space="0" w:color="auto"/>
        <w:left w:val="none" w:sz="0" w:space="0" w:color="auto"/>
        <w:bottom w:val="none" w:sz="0" w:space="0" w:color="auto"/>
        <w:right w:val="none" w:sz="0" w:space="0" w:color="auto"/>
      </w:divBdr>
    </w:div>
    <w:div w:id="538082017">
      <w:marLeft w:val="0"/>
      <w:marRight w:val="0"/>
      <w:marTop w:val="0"/>
      <w:marBottom w:val="0"/>
      <w:divBdr>
        <w:top w:val="none" w:sz="0" w:space="0" w:color="auto"/>
        <w:left w:val="none" w:sz="0" w:space="0" w:color="auto"/>
        <w:bottom w:val="none" w:sz="0" w:space="0" w:color="auto"/>
        <w:right w:val="none" w:sz="0" w:space="0" w:color="auto"/>
      </w:divBdr>
    </w:div>
    <w:div w:id="538082018">
      <w:marLeft w:val="0"/>
      <w:marRight w:val="0"/>
      <w:marTop w:val="0"/>
      <w:marBottom w:val="0"/>
      <w:divBdr>
        <w:top w:val="none" w:sz="0" w:space="0" w:color="auto"/>
        <w:left w:val="none" w:sz="0" w:space="0" w:color="auto"/>
        <w:bottom w:val="none" w:sz="0" w:space="0" w:color="auto"/>
        <w:right w:val="none" w:sz="0" w:space="0" w:color="auto"/>
      </w:divBdr>
    </w:div>
    <w:div w:id="538082019">
      <w:marLeft w:val="0"/>
      <w:marRight w:val="0"/>
      <w:marTop w:val="0"/>
      <w:marBottom w:val="0"/>
      <w:divBdr>
        <w:top w:val="none" w:sz="0" w:space="0" w:color="auto"/>
        <w:left w:val="none" w:sz="0" w:space="0" w:color="auto"/>
        <w:bottom w:val="none" w:sz="0" w:space="0" w:color="auto"/>
        <w:right w:val="none" w:sz="0" w:space="0" w:color="auto"/>
      </w:divBdr>
    </w:div>
    <w:div w:id="538082020">
      <w:marLeft w:val="0"/>
      <w:marRight w:val="0"/>
      <w:marTop w:val="0"/>
      <w:marBottom w:val="0"/>
      <w:divBdr>
        <w:top w:val="none" w:sz="0" w:space="0" w:color="auto"/>
        <w:left w:val="none" w:sz="0" w:space="0" w:color="auto"/>
        <w:bottom w:val="none" w:sz="0" w:space="0" w:color="auto"/>
        <w:right w:val="none" w:sz="0" w:space="0" w:color="auto"/>
      </w:divBdr>
    </w:div>
    <w:div w:id="538082021">
      <w:marLeft w:val="0"/>
      <w:marRight w:val="0"/>
      <w:marTop w:val="0"/>
      <w:marBottom w:val="0"/>
      <w:divBdr>
        <w:top w:val="none" w:sz="0" w:space="0" w:color="auto"/>
        <w:left w:val="none" w:sz="0" w:space="0" w:color="auto"/>
        <w:bottom w:val="none" w:sz="0" w:space="0" w:color="auto"/>
        <w:right w:val="none" w:sz="0" w:space="0" w:color="auto"/>
      </w:divBdr>
    </w:div>
    <w:div w:id="538082022">
      <w:marLeft w:val="0"/>
      <w:marRight w:val="0"/>
      <w:marTop w:val="0"/>
      <w:marBottom w:val="0"/>
      <w:divBdr>
        <w:top w:val="none" w:sz="0" w:space="0" w:color="auto"/>
        <w:left w:val="none" w:sz="0" w:space="0" w:color="auto"/>
        <w:bottom w:val="none" w:sz="0" w:space="0" w:color="auto"/>
        <w:right w:val="none" w:sz="0" w:space="0" w:color="auto"/>
      </w:divBdr>
    </w:div>
    <w:div w:id="538082023">
      <w:marLeft w:val="0"/>
      <w:marRight w:val="0"/>
      <w:marTop w:val="0"/>
      <w:marBottom w:val="0"/>
      <w:divBdr>
        <w:top w:val="none" w:sz="0" w:space="0" w:color="auto"/>
        <w:left w:val="none" w:sz="0" w:space="0" w:color="auto"/>
        <w:bottom w:val="none" w:sz="0" w:space="0" w:color="auto"/>
        <w:right w:val="none" w:sz="0" w:space="0" w:color="auto"/>
      </w:divBdr>
    </w:div>
    <w:div w:id="538082024">
      <w:marLeft w:val="0"/>
      <w:marRight w:val="0"/>
      <w:marTop w:val="0"/>
      <w:marBottom w:val="0"/>
      <w:divBdr>
        <w:top w:val="none" w:sz="0" w:space="0" w:color="auto"/>
        <w:left w:val="none" w:sz="0" w:space="0" w:color="auto"/>
        <w:bottom w:val="none" w:sz="0" w:space="0" w:color="auto"/>
        <w:right w:val="none" w:sz="0" w:space="0" w:color="auto"/>
      </w:divBdr>
    </w:div>
    <w:div w:id="538082025">
      <w:marLeft w:val="0"/>
      <w:marRight w:val="0"/>
      <w:marTop w:val="0"/>
      <w:marBottom w:val="0"/>
      <w:divBdr>
        <w:top w:val="none" w:sz="0" w:space="0" w:color="auto"/>
        <w:left w:val="none" w:sz="0" w:space="0" w:color="auto"/>
        <w:bottom w:val="none" w:sz="0" w:space="0" w:color="auto"/>
        <w:right w:val="none" w:sz="0" w:space="0" w:color="auto"/>
      </w:divBdr>
    </w:div>
    <w:div w:id="538082026">
      <w:marLeft w:val="0"/>
      <w:marRight w:val="0"/>
      <w:marTop w:val="0"/>
      <w:marBottom w:val="0"/>
      <w:divBdr>
        <w:top w:val="none" w:sz="0" w:space="0" w:color="auto"/>
        <w:left w:val="none" w:sz="0" w:space="0" w:color="auto"/>
        <w:bottom w:val="none" w:sz="0" w:space="0" w:color="auto"/>
        <w:right w:val="none" w:sz="0" w:space="0" w:color="auto"/>
      </w:divBdr>
    </w:div>
    <w:div w:id="538082027">
      <w:marLeft w:val="0"/>
      <w:marRight w:val="0"/>
      <w:marTop w:val="0"/>
      <w:marBottom w:val="0"/>
      <w:divBdr>
        <w:top w:val="none" w:sz="0" w:space="0" w:color="auto"/>
        <w:left w:val="none" w:sz="0" w:space="0" w:color="auto"/>
        <w:bottom w:val="none" w:sz="0" w:space="0" w:color="auto"/>
        <w:right w:val="none" w:sz="0" w:space="0" w:color="auto"/>
      </w:divBdr>
    </w:div>
    <w:div w:id="538082028">
      <w:marLeft w:val="0"/>
      <w:marRight w:val="0"/>
      <w:marTop w:val="0"/>
      <w:marBottom w:val="0"/>
      <w:divBdr>
        <w:top w:val="none" w:sz="0" w:space="0" w:color="auto"/>
        <w:left w:val="none" w:sz="0" w:space="0" w:color="auto"/>
        <w:bottom w:val="none" w:sz="0" w:space="0" w:color="auto"/>
        <w:right w:val="none" w:sz="0" w:space="0" w:color="auto"/>
      </w:divBdr>
    </w:div>
    <w:div w:id="538082029">
      <w:marLeft w:val="0"/>
      <w:marRight w:val="0"/>
      <w:marTop w:val="0"/>
      <w:marBottom w:val="0"/>
      <w:divBdr>
        <w:top w:val="none" w:sz="0" w:space="0" w:color="auto"/>
        <w:left w:val="none" w:sz="0" w:space="0" w:color="auto"/>
        <w:bottom w:val="none" w:sz="0" w:space="0" w:color="auto"/>
        <w:right w:val="none" w:sz="0" w:space="0" w:color="auto"/>
      </w:divBdr>
    </w:div>
    <w:div w:id="538082030">
      <w:marLeft w:val="0"/>
      <w:marRight w:val="0"/>
      <w:marTop w:val="0"/>
      <w:marBottom w:val="0"/>
      <w:divBdr>
        <w:top w:val="none" w:sz="0" w:space="0" w:color="auto"/>
        <w:left w:val="none" w:sz="0" w:space="0" w:color="auto"/>
        <w:bottom w:val="none" w:sz="0" w:space="0" w:color="auto"/>
        <w:right w:val="none" w:sz="0" w:space="0" w:color="auto"/>
      </w:divBdr>
    </w:div>
    <w:div w:id="538082031">
      <w:marLeft w:val="0"/>
      <w:marRight w:val="0"/>
      <w:marTop w:val="0"/>
      <w:marBottom w:val="0"/>
      <w:divBdr>
        <w:top w:val="none" w:sz="0" w:space="0" w:color="auto"/>
        <w:left w:val="none" w:sz="0" w:space="0" w:color="auto"/>
        <w:bottom w:val="none" w:sz="0" w:space="0" w:color="auto"/>
        <w:right w:val="none" w:sz="0" w:space="0" w:color="auto"/>
      </w:divBdr>
    </w:div>
    <w:div w:id="538082032">
      <w:marLeft w:val="0"/>
      <w:marRight w:val="0"/>
      <w:marTop w:val="0"/>
      <w:marBottom w:val="0"/>
      <w:divBdr>
        <w:top w:val="none" w:sz="0" w:space="0" w:color="auto"/>
        <w:left w:val="none" w:sz="0" w:space="0" w:color="auto"/>
        <w:bottom w:val="none" w:sz="0" w:space="0" w:color="auto"/>
        <w:right w:val="none" w:sz="0" w:space="0" w:color="auto"/>
      </w:divBdr>
    </w:div>
    <w:div w:id="538082033">
      <w:marLeft w:val="0"/>
      <w:marRight w:val="0"/>
      <w:marTop w:val="0"/>
      <w:marBottom w:val="0"/>
      <w:divBdr>
        <w:top w:val="none" w:sz="0" w:space="0" w:color="auto"/>
        <w:left w:val="none" w:sz="0" w:space="0" w:color="auto"/>
        <w:bottom w:val="none" w:sz="0" w:space="0" w:color="auto"/>
        <w:right w:val="none" w:sz="0" w:space="0" w:color="auto"/>
      </w:divBdr>
    </w:div>
    <w:div w:id="538082034">
      <w:marLeft w:val="0"/>
      <w:marRight w:val="0"/>
      <w:marTop w:val="0"/>
      <w:marBottom w:val="0"/>
      <w:divBdr>
        <w:top w:val="none" w:sz="0" w:space="0" w:color="auto"/>
        <w:left w:val="none" w:sz="0" w:space="0" w:color="auto"/>
        <w:bottom w:val="none" w:sz="0" w:space="0" w:color="auto"/>
        <w:right w:val="none" w:sz="0" w:space="0" w:color="auto"/>
      </w:divBdr>
    </w:div>
    <w:div w:id="538082035">
      <w:marLeft w:val="0"/>
      <w:marRight w:val="0"/>
      <w:marTop w:val="0"/>
      <w:marBottom w:val="0"/>
      <w:divBdr>
        <w:top w:val="none" w:sz="0" w:space="0" w:color="auto"/>
        <w:left w:val="none" w:sz="0" w:space="0" w:color="auto"/>
        <w:bottom w:val="none" w:sz="0" w:space="0" w:color="auto"/>
        <w:right w:val="none" w:sz="0" w:space="0" w:color="auto"/>
      </w:divBdr>
    </w:div>
    <w:div w:id="538082036">
      <w:marLeft w:val="0"/>
      <w:marRight w:val="0"/>
      <w:marTop w:val="0"/>
      <w:marBottom w:val="0"/>
      <w:divBdr>
        <w:top w:val="none" w:sz="0" w:space="0" w:color="auto"/>
        <w:left w:val="none" w:sz="0" w:space="0" w:color="auto"/>
        <w:bottom w:val="none" w:sz="0" w:space="0" w:color="auto"/>
        <w:right w:val="none" w:sz="0" w:space="0" w:color="auto"/>
      </w:divBdr>
    </w:div>
    <w:div w:id="538082037">
      <w:marLeft w:val="0"/>
      <w:marRight w:val="0"/>
      <w:marTop w:val="0"/>
      <w:marBottom w:val="0"/>
      <w:divBdr>
        <w:top w:val="none" w:sz="0" w:space="0" w:color="auto"/>
        <w:left w:val="none" w:sz="0" w:space="0" w:color="auto"/>
        <w:bottom w:val="none" w:sz="0" w:space="0" w:color="auto"/>
        <w:right w:val="none" w:sz="0" w:space="0" w:color="auto"/>
      </w:divBdr>
    </w:div>
    <w:div w:id="538082038">
      <w:marLeft w:val="0"/>
      <w:marRight w:val="0"/>
      <w:marTop w:val="0"/>
      <w:marBottom w:val="0"/>
      <w:divBdr>
        <w:top w:val="none" w:sz="0" w:space="0" w:color="auto"/>
        <w:left w:val="none" w:sz="0" w:space="0" w:color="auto"/>
        <w:bottom w:val="none" w:sz="0" w:space="0" w:color="auto"/>
        <w:right w:val="none" w:sz="0" w:space="0" w:color="auto"/>
      </w:divBdr>
    </w:div>
    <w:div w:id="538082039">
      <w:marLeft w:val="0"/>
      <w:marRight w:val="0"/>
      <w:marTop w:val="0"/>
      <w:marBottom w:val="0"/>
      <w:divBdr>
        <w:top w:val="none" w:sz="0" w:space="0" w:color="auto"/>
        <w:left w:val="none" w:sz="0" w:space="0" w:color="auto"/>
        <w:bottom w:val="none" w:sz="0" w:space="0" w:color="auto"/>
        <w:right w:val="none" w:sz="0" w:space="0" w:color="auto"/>
      </w:divBdr>
    </w:div>
    <w:div w:id="538082040">
      <w:marLeft w:val="0"/>
      <w:marRight w:val="0"/>
      <w:marTop w:val="0"/>
      <w:marBottom w:val="0"/>
      <w:divBdr>
        <w:top w:val="none" w:sz="0" w:space="0" w:color="auto"/>
        <w:left w:val="none" w:sz="0" w:space="0" w:color="auto"/>
        <w:bottom w:val="none" w:sz="0" w:space="0" w:color="auto"/>
        <w:right w:val="none" w:sz="0" w:space="0" w:color="auto"/>
      </w:divBdr>
    </w:div>
    <w:div w:id="538082041">
      <w:marLeft w:val="0"/>
      <w:marRight w:val="0"/>
      <w:marTop w:val="0"/>
      <w:marBottom w:val="0"/>
      <w:divBdr>
        <w:top w:val="none" w:sz="0" w:space="0" w:color="auto"/>
        <w:left w:val="none" w:sz="0" w:space="0" w:color="auto"/>
        <w:bottom w:val="none" w:sz="0" w:space="0" w:color="auto"/>
        <w:right w:val="none" w:sz="0" w:space="0" w:color="auto"/>
      </w:divBdr>
    </w:div>
    <w:div w:id="538082042">
      <w:marLeft w:val="0"/>
      <w:marRight w:val="0"/>
      <w:marTop w:val="0"/>
      <w:marBottom w:val="0"/>
      <w:divBdr>
        <w:top w:val="none" w:sz="0" w:space="0" w:color="auto"/>
        <w:left w:val="none" w:sz="0" w:space="0" w:color="auto"/>
        <w:bottom w:val="none" w:sz="0" w:space="0" w:color="auto"/>
        <w:right w:val="none" w:sz="0" w:space="0" w:color="auto"/>
      </w:divBdr>
    </w:div>
    <w:div w:id="538082043">
      <w:marLeft w:val="0"/>
      <w:marRight w:val="0"/>
      <w:marTop w:val="0"/>
      <w:marBottom w:val="0"/>
      <w:divBdr>
        <w:top w:val="none" w:sz="0" w:space="0" w:color="auto"/>
        <w:left w:val="none" w:sz="0" w:space="0" w:color="auto"/>
        <w:bottom w:val="none" w:sz="0" w:space="0" w:color="auto"/>
        <w:right w:val="none" w:sz="0" w:space="0" w:color="auto"/>
      </w:divBdr>
    </w:div>
    <w:div w:id="538082044">
      <w:marLeft w:val="0"/>
      <w:marRight w:val="0"/>
      <w:marTop w:val="0"/>
      <w:marBottom w:val="0"/>
      <w:divBdr>
        <w:top w:val="none" w:sz="0" w:space="0" w:color="auto"/>
        <w:left w:val="none" w:sz="0" w:space="0" w:color="auto"/>
        <w:bottom w:val="none" w:sz="0" w:space="0" w:color="auto"/>
        <w:right w:val="none" w:sz="0" w:space="0" w:color="auto"/>
      </w:divBdr>
    </w:div>
    <w:div w:id="538082045">
      <w:marLeft w:val="0"/>
      <w:marRight w:val="0"/>
      <w:marTop w:val="0"/>
      <w:marBottom w:val="0"/>
      <w:divBdr>
        <w:top w:val="none" w:sz="0" w:space="0" w:color="auto"/>
        <w:left w:val="none" w:sz="0" w:space="0" w:color="auto"/>
        <w:bottom w:val="none" w:sz="0" w:space="0" w:color="auto"/>
        <w:right w:val="none" w:sz="0" w:space="0" w:color="auto"/>
      </w:divBdr>
    </w:div>
    <w:div w:id="538082046">
      <w:marLeft w:val="0"/>
      <w:marRight w:val="0"/>
      <w:marTop w:val="0"/>
      <w:marBottom w:val="0"/>
      <w:divBdr>
        <w:top w:val="none" w:sz="0" w:space="0" w:color="auto"/>
        <w:left w:val="none" w:sz="0" w:space="0" w:color="auto"/>
        <w:bottom w:val="none" w:sz="0" w:space="0" w:color="auto"/>
        <w:right w:val="none" w:sz="0" w:space="0" w:color="auto"/>
      </w:divBdr>
    </w:div>
    <w:div w:id="538082047">
      <w:marLeft w:val="0"/>
      <w:marRight w:val="0"/>
      <w:marTop w:val="0"/>
      <w:marBottom w:val="0"/>
      <w:divBdr>
        <w:top w:val="none" w:sz="0" w:space="0" w:color="auto"/>
        <w:left w:val="none" w:sz="0" w:space="0" w:color="auto"/>
        <w:bottom w:val="none" w:sz="0" w:space="0" w:color="auto"/>
        <w:right w:val="none" w:sz="0" w:space="0" w:color="auto"/>
      </w:divBdr>
    </w:div>
    <w:div w:id="538082048">
      <w:marLeft w:val="0"/>
      <w:marRight w:val="0"/>
      <w:marTop w:val="0"/>
      <w:marBottom w:val="0"/>
      <w:divBdr>
        <w:top w:val="none" w:sz="0" w:space="0" w:color="auto"/>
        <w:left w:val="none" w:sz="0" w:space="0" w:color="auto"/>
        <w:bottom w:val="none" w:sz="0" w:space="0" w:color="auto"/>
        <w:right w:val="none" w:sz="0" w:space="0" w:color="auto"/>
      </w:divBdr>
    </w:div>
    <w:div w:id="538082049">
      <w:marLeft w:val="0"/>
      <w:marRight w:val="0"/>
      <w:marTop w:val="0"/>
      <w:marBottom w:val="0"/>
      <w:divBdr>
        <w:top w:val="none" w:sz="0" w:space="0" w:color="auto"/>
        <w:left w:val="none" w:sz="0" w:space="0" w:color="auto"/>
        <w:bottom w:val="none" w:sz="0" w:space="0" w:color="auto"/>
        <w:right w:val="none" w:sz="0" w:space="0" w:color="auto"/>
      </w:divBdr>
    </w:div>
    <w:div w:id="538082050">
      <w:marLeft w:val="0"/>
      <w:marRight w:val="0"/>
      <w:marTop w:val="0"/>
      <w:marBottom w:val="0"/>
      <w:divBdr>
        <w:top w:val="none" w:sz="0" w:space="0" w:color="auto"/>
        <w:left w:val="none" w:sz="0" w:space="0" w:color="auto"/>
        <w:bottom w:val="none" w:sz="0" w:space="0" w:color="auto"/>
        <w:right w:val="none" w:sz="0" w:space="0" w:color="auto"/>
      </w:divBdr>
    </w:div>
    <w:div w:id="538082051">
      <w:marLeft w:val="0"/>
      <w:marRight w:val="0"/>
      <w:marTop w:val="0"/>
      <w:marBottom w:val="0"/>
      <w:divBdr>
        <w:top w:val="none" w:sz="0" w:space="0" w:color="auto"/>
        <w:left w:val="none" w:sz="0" w:space="0" w:color="auto"/>
        <w:bottom w:val="none" w:sz="0" w:space="0" w:color="auto"/>
        <w:right w:val="none" w:sz="0" w:space="0" w:color="auto"/>
      </w:divBdr>
    </w:div>
    <w:div w:id="538082052">
      <w:marLeft w:val="0"/>
      <w:marRight w:val="0"/>
      <w:marTop w:val="0"/>
      <w:marBottom w:val="0"/>
      <w:divBdr>
        <w:top w:val="none" w:sz="0" w:space="0" w:color="auto"/>
        <w:left w:val="none" w:sz="0" w:space="0" w:color="auto"/>
        <w:bottom w:val="none" w:sz="0" w:space="0" w:color="auto"/>
        <w:right w:val="none" w:sz="0" w:space="0" w:color="auto"/>
      </w:divBdr>
    </w:div>
    <w:div w:id="538082053">
      <w:marLeft w:val="0"/>
      <w:marRight w:val="0"/>
      <w:marTop w:val="0"/>
      <w:marBottom w:val="0"/>
      <w:divBdr>
        <w:top w:val="none" w:sz="0" w:space="0" w:color="auto"/>
        <w:left w:val="none" w:sz="0" w:space="0" w:color="auto"/>
        <w:bottom w:val="none" w:sz="0" w:space="0" w:color="auto"/>
        <w:right w:val="none" w:sz="0" w:space="0" w:color="auto"/>
      </w:divBdr>
    </w:div>
    <w:div w:id="538082054">
      <w:marLeft w:val="0"/>
      <w:marRight w:val="0"/>
      <w:marTop w:val="0"/>
      <w:marBottom w:val="0"/>
      <w:divBdr>
        <w:top w:val="none" w:sz="0" w:space="0" w:color="auto"/>
        <w:left w:val="none" w:sz="0" w:space="0" w:color="auto"/>
        <w:bottom w:val="none" w:sz="0" w:space="0" w:color="auto"/>
        <w:right w:val="none" w:sz="0" w:space="0" w:color="auto"/>
      </w:divBdr>
    </w:div>
    <w:div w:id="538082055">
      <w:marLeft w:val="0"/>
      <w:marRight w:val="0"/>
      <w:marTop w:val="0"/>
      <w:marBottom w:val="0"/>
      <w:divBdr>
        <w:top w:val="none" w:sz="0" w:space="0" w:color="auto"/>
        <w:left w:val="none" w:sz="0" w:space="0" w:color="auto"/>
        <w:bottom w:val="none" w:sz="0" w:space="0" w:color="auto"/>
        <w:right w:val="none" w:sz="0" w:space="0" w:color="auto"/>
      </w:divBdr>
    </w:div>
    <w:div w:id="538082056">
      <w:marLeft w:val="0"/>
      <w:marRight w:val="0"/>
      <w:marTop w:val="0"/>
      <w:marBottom w:val="0"/>
      <w:divBdr>
        <w:top w:val="none" w:sz="0" w:space="0" w:color="auto"/>
        <w:left w:val="none" w:sz="0" w:space="0" w:color="auto"/>
        <w:bottom w:val="none" w:sz="0" w:space="0" w:color="auto"/>
        <w:right w:val="none" w:sz="0" w:space="0" w:color="auto"/>
      </w:divBdr>
    </w:div>
    <w:div w:id="538082057">
      <w:marLeft w:val="0"/>
      <w:marRight w:val="0"/>
      <w:marTop w:val="0"/>
      <w:marBottom w:val="0"/>
      <w:divBdr>
        <w:top w:val="none" w:sz="0" w:space="0" w:color="auto"/>
        <w:left w:val="none" w:sz="0" w:space="0" w:color="auto"/>
        <w:bottom w:val="none" w:sz="0" w:space="0" w:color="auto"/>
        <w:right w:val="none" w:sz="0" w:space="0" w:color="auto"/>
      </w:divBdr>
    </w:div>
    <w:div w:id="538082058">
      <w:marLeft w:val="0"/>
      <w:marRight w:val="0"/>
      <w:marTop w:val="0"/>
      <w:marBottom w:val="0"/>
      <w:divBdr>
        <w:top w:val="none" w:sz="0" w:space="0" w:color="auto"/>
        <w:left w:val="none" w:sz="0" w:space="0" w:color="auto"/>
        <w:bottom w:val="none" w:sz="0" w:space="0" w:color="auto"/>
        <w:right w:val="none" w:sz="0" w:space="0" w:color="auto"/>
      </w:divBdr>
    </w:div>
    <w:div w:id="538082059">
      <w:marLeft w:val="0"/>
      <w:marRight w:val="0"/>
      <w:marTop w:val="0"/>
      <w:marBottom w:val="0"/>
      <w:divBdr>
        <w:top w:val="none" w:sz="0" w:space="0" w:color="auto"/>
        <w:left w:val="none" w:sz="0" w:space="0" w:color="auto"/>
        <w:bottom w:val="none" w:sz="0" w:space="0" w:color="auto"/>
        <w:right w:val="none" w:sz="0" w:space="0" w:color="auto"/>
      </w:divBdr>
    </w:div>
    <w:div w:id="538082060">
      <w:marLeft w:val="0"/>
      <w:marRight w:val="0"/>
      <w:marTop w:val="0"/>
      <w:marBottom w:val="0"/>
      <w:divBdr>
        <w:top w:val="none" w:sz="0" w:space="0" w:color="auto"/>
        <w:left w:val="none" w:sz="0" w:space="0" w:color="auto"/>
        <w:bottom w:val="none" w:sz="0" w:space="0" w:color="auto"/>
        <w:right w:val="none" w:sz="0" w:space="0" w:color="auto"/>
      </w:divBdr>
    </w:div>
    <w:div w:id="538082061">
      <w:marLeft w:val="0"/>
      <w:marRight w:val="0"/>
      <w:marTop w:val="0"/>
      <w:marBottom w:val="0"/>
      <w:divBdr>
        <w:top w:val="none" w:sz="0" w:space="0" w:color="auto"/>
        <w:left w:val="none" w:sz="0" w:space="0" w:color="auto"/>
        <w:bottom w:val="none" w:sz="0" w:space="0" w:color="auto"/>
        <w:right w:val="none" w:sz="0" w:space="0" w:color="auto"/>
      </w:divBdr>
    </w:div>
    <w:div w:id="538082062">
      <w:marLeft w:val="0"/>
      <w:marRight w:val="0"/>
      <w:marTop w:val="0"/>
      <w:marBottom w:val="0"/>
      <w:divBdr>
        <w:top w:val="none" w:sz="0" w:space="0" w:color="auto"/>
        <w:left w:val="none" w:sz="0" w:space="0" w:color="auto"/>
        <w:bottom w:val="none" w:sz="0" w:space="0" w:color="auto"/>
        <w:right w:val="none" w:sz="0" w:space="0" w:color="auto"/>
      </w:divBdr>
    </w:div>
    <w:div w:id="538082063">
      <w:marLeft w:val="0"/>
      <w:marRight w:val="0"/>
      <w:marTop w:val="0"/>
      <w:marBottom w:val="0"/>
      <w:divBdr>
        <w:top w:val="none" w:sz="0" w:space="0" w:color="auto"/>
        <w:left w:val="none" w:sz="0" w:space="0" w:color="auto"/>
        <w:bottom w:val="none" w:sz="0" w:space="0" w:color="auto"/>
        <w:right w:val="none" w:sz="0" w:space="0" w:color="auto"/>
      </w:divBdr>
    </w:div>
    <w:div w:id="538082064">
      <w:marLeft w:val="0"/>
      <w:marRight w:val="0"/>
      <w:marTop w:val="0"/>
      <w:marBottom w:val="0"/>
      <w:divBdr>
        <w:top w:val="none" w:sz="0" w:space="0" w:color="auto"/>
        <w:left w:val="none" w:sz="0" w:space="0" w:color="auto"/>
        <w:bottom w:val="none" w:sz="0" w:space="0" w:color="auto"/>
        <w:right w:val="none" w:sz="0" w:space="0" w:color="auto"/>
      </w:divBdr>
    </w:div>
    <w:div w:id="538082065">
      <w:marLeft w:val="0"/>
      <w:marRight w:val="0"/>
      <w:marTop w:val="0"/>
      <w:marBottom w:val="0"/>
      <w:divBdr>
        <w:top w:val="none" w:sz="0" w:space="0" w:color="auto"/>
        <w:left w:val="none" w:sz="0" w:space="0" w:color="auto"/>
        <w:bottom w:val="none" w:sz="0" w:space="0" w:color="auto"/>
        <w:right w:val="none" w:sz="0" w:space="0" w:color="auto"/>
      </w:divBdr>
    </w:div>
    <w:div w:id="538082066">
      <w:marLeft w:val="0"/>
      <w:marRight w:val="0"/>
      <w:marTop w:val="0"/>
      <w:marBottom w:val="0"/>
      <w:divBdr>
        <w:top w:val="none" w:sz="0" w:space="0" w:color="auto"/>
        <w:left w:val="none" w:sz="0" w:space="0" w:color="auto"/>
        <w:bottom w:val="none" w:sz="0" w:space="0" w:color="auto"/>
        <w:right w:val="none" w:sz="0" w:space="0" w:color="auto"/>
      </w:divBdr>
    </w:div>
    <w:div w:id="538082067">
      <w:marLeft w:val="0"/>
      <w:marRight w:val="0"/>
      <w:marTop w:val="0"/>
      <w:marBottom w:val="0"/>
      <w:divBdr>
        <w:top w:val="none" w:sz="0" w:space="0" w:color="auto"/>
        <w:left w:val="none" w:sz="0" w:space="0" w:color="auto"/>
        <w:bottom w:val="none" w:sz="0" w:space="0" w:color="auto"/>
        <w:right w:val="none" w:sz="0" w:space="0" w:color="auto"/>
      </w:divBdr>
    </w:div>
    <w:div w:id="538082068">
      <w:marLeft w:val="0"/>
      <w:marRight w:val="0"/>
      <w:marTop w:val="0"/>
      <w:marBottom w:val="0"/>
      <w:divBdr>
        <w:top w:val="none" w:sz="0" w:space="0" w:color="auto"/>
        <w:left w:val="none" w:sz="0" w:space="0" w:color="auto"/>
        <w:bottom w:val="none" w:sz="0" w:space="0" w:color="auto"/>
        <w:right w:val="none" w:sz="0" w:space="0" w:color="auto"/>
      </w:divBdr>
    </w:div>
    <w:div w:id="538082069">
      <w:marLeft w:val="0"/>
      <w:marRight w:val="0"/>
      <w:marTop w:val="0"/>
      <w:marBottom w:val="0"/>
      <w:divBdr>
        <w:top w:val="none" w:sz="0" w:space="0" w:color="auto"/>
        <w:left w:val="none" w:sz="0" w:space="0" w:color="auto"/>
        <w:bottom w:val="none" w:sz="0" w:space="0" w:color="auto"/>
        <w:right w:val="none" w:sz="0" w:space="0" w:color="auto"/>
      </w:divBdr>
    </w:div>
    <w:div w:id="538082070">
      <w:marLeft w:val="0"/>
      <w:marRight w:val="0"/>
      <w:marTop w:val="0"/>
      <w:marBottom w:val="0"/>
      <w:divBdr>
        <w:top w:val="none" w:sz="0" w:space="0" w:color="auto"/>
        <w:left w:val="none" w:sz="0" w:space="0" w:color="auto"/>
        <w:bottom w:val="none" w:sz="0" w:space="0" w:color="auto"/>
        <w:right w:val="none" w:sz="0" w:space="0" w:color="auto"/>
      </w:divBdr>
    </w:div>
    <w:div w:id="538082071">
      <w:marLeft w:val="0"/>
      <w:marRight w:val="0"/>
      <w:marTop w:val="0"/>
      <w:marBottom w:val="0"/>
      <w:divBdr>
        <w:top w:val="none" w:sz="0" w:space="0" w:color="auto"/>
        <w:left w:val="none" w:sz="0" w:space="0" w:color="auto"/>
        <w:bottom w:val="none" w:sz="0" w:space="0" w:color="auto"/>
        <w:right w:val="none" w:sz="0" w:space="0" w:color="auto"/>
      </w:divBdr>
    </w:div>
    <w:div w:id="538082072">
      <w:marLeft w:val="0"/>
      <w:marRight w:val="0"/>
      <w:marTop w:val="0"/>
      <w:marBottom w:val="0"/>
      <w:divBdr>
        <w:top w:val="none" w:sz="0" w:space="0" w:color="auto"/>
        <w:left w:val="none" w:sz="0" w:space="0" w:color="auto"/>
        <w:bottom w:val="none" w:sz="0" w:space="0" w:color="auto"/>
        <w:right w:val="none" w:sz="0" w:space="0" w:color="auto"/>
      </w:divBdr>
    </w:div>
    <w:div w:id="538082073">
      <w:marLeft w:val="0"/>
      <w:marRight w:val="0"/>
      <w:marTop w:val="0"/>
      <w:marBottom w:val="0"/>
      <w:divBdr>
        <w:top w:val="none" w:sz="0" w:space="0" w:color="auto"/>
        <w:left w:val="none" w:sz="0" w:space="0" w:color="auto"/>
        <w:bottom w:val="none" w:sz="0" w:space="0" w:color="auto"/>
        <w:right w:val="none" w:sz="0" w:space="0" w:color="auto"/>
      </w:divBdr>
    </w:div>
    <w:div w:id="538082074">
      <w:marLeft w:val="0"/>
      <w:marRight w:val="0"/>
      <w:marTop w:val="0"/>
      <w:marBottom w:val="0"/>
      <w:divBdr>
        <w:top w:val="none" w:sz="0" w:space="0" w:color="auto"/>
        <w:left w:val="none" w:sz="0" w:space="0" w:color="auto"/>
        <w:bottom w:val="none" w:sz="0" w:space="0" w:color="auto"/>
        <w:right w:val="none" w:sz="0" w:space="0" w:color="auto"/>
      </w:divBdr>
    </w:div>
    <w:div w:id="538082075">
      <w:marLeft w:val="0"/>
      <w:marRight w:val="0"/>
      <w:marTop w:val="0"/>
      <w:marBottom w:val="0"/>
      <w:divBdr>
        <w:top w:val="none" w:sz="0" w:space="0" w:color="auto"/>
        <w:left w:val="none" w:sz="0" w:space="0" w:color="auto"/>
        <w:bottom w:val="none" w:sz="0" w:space="0" w:color="auto"/>
        <w:right w:val="none" w:sz="0" w:space="0" w:color="auto"/>
      </w:divBdr>
    </w:div>
    <w:div w:id="538082076">
      <w:marLeft w:val="0"/>
      <w:marRight w:val="0"/>
      <w:marTop w:val="0"/>
      <w:marBottom w:val="0"/>
      <w:divBdr>
        <w:top w:val="none" w:sz="0" w:space="0" w:color="auto"/>
        <w:left w:val="none" w:sz="0" w:space="0" w:color="auto"/>
        <w:bottom w:val="none" w:sz="0" w:space="0" w:color="auto"/>
        <w:right w:val="none" w:sz="0" w:space="0" w:color="auto"/>
      </w:divBdr>
    </w:div>
    <w:div w:id="538082077">
      <w:marLeft w:val="0"/>
      <w:marRight w:val="0"/>
      <w:marTop w:val="0"/>
      <w:marBottom w:val="0"/>
      <w:divBdr>
        <w:top w:val="none" w:sz="0" w:space="0" w:color="auto"/>
        <w:left w:val="none" w:sz="0" w:space="0" w:color="auto"/>
        <w:bottom w:val="none" w:sz="0" w:space="0" w:color="auto"/>
        <w:right w:val="none" w:sz="0" w:space="0" w:color="auto"/>
      </w:divBdr>
    </w:div>
    <w:div w:id="538082078">
      <w:marLeft w:val="0"/>
      <w:marRight w:val="0"/>
      <w:marTop w:val="0"/>
      <w:marBottom w:val="0"/>
      <w:divBdr>
        <w:top w:val="none" w:sz="0" w:space="0" w:color="auto"/>
        <w:left w:val="none" w:sz="0" w:space="0" w:color="auto"/>
        <w:bottom w:val="none" w:sz="0" w:space="0" w:color="auto"/>
        <w:right w:val="none" w:sz="0" w:space="0" w:color="auto"/>
      </w:divBdr>
    </w:div>
    <w:div w:id="538082079">
      <w:marLeft w:val="0"/>
      <w:marRight w:val="0"/>
      <w:marTop w:val="0"/>
      <w:marBottom w:val="0"/>
      <w:divBdr>
        <w:top w:val="none" w:sz="0" w:space="0" w:color="auto"/>
        <w:left w:val="none" w:sz="0" w:space="0" w:color="auto"/>
        <w:bottom w:val="none" w:sz="0" w:space="0" w:color="auto"/>
        <w:right w:val="none" w:sz="0" w:space="0" w:color="auto"/>
      </w:divBdr>
    </w:div>
    <w:div w:id="538082080">
      <w:marLeft w:val="0"/>
      <w:marRight w:val="0"/>
      <w:marTop w:val="0"/>
      <w:marBottom w:val="0"/>
      <w:divBdr>
        <w:top w:val="none" w:sz="0" w:space="0" w:color="auto"/>
        <w:left w:val="none" w:sz="0" w:space="0" w:color="auto"/>
        <w:bottom w:val="none" w:sz="0" w:space="0" w:color="auto"/>
        <w:right w:val="none" w:sz="0" w:space="0" w:color="auto"/>
      </w:divBdr>
    </w:div>
    <w:div w:id="538082081">
      <w:marLeft w:val="0"/>
      <w:marRight w:val="0"/>
      <w:marTop w:val="0"/>
      <w:marBottom w:val="0"/>
      <w:divBdr>
        <w:top w:val="none" w:sz="0" w:space="0" w:color="auto"/>
        <w:left w:val="none" w:sz="0" w:space="0" w:color="auto"/>
        <w:bottom w:val="none" w:sz="0" w:space="0" w:color="auto"/>
        <w:right w:val="none" w:sz="0" w:space="0" w:color="auto"/>
      </w:divBdr>
    </w:div>
    <w:div w:id="538082082">
      <w:marLeft w:val="0"/>
      <w:marRight w:val="0"/>
      <w:marTop w:val="0"/>
      <w:marBottom w:val="0"/>
      <w:divBdr>
        <w:top w:val="none" w:sz="0" w:space="0" w:color="auto"/>
        <w:left w:val="none" w:sz="0" w:space="0" w:color="auto"/>
        <w:bottom w:val="none" w:sz="0" w:space="0" w:color="auto"/>
        <w:right w:val="none" w:sz="0" w:space="0" w:color="auto"/>
      </w:divBdr>
    </w:div>
    <w:div w:id="538082083">
      <w:marLeft w:val="0"/>
      <w:marRight w:val="0"/>
      <w:marTop w:val="0"/>
      <w:marBottom w:val="0"/>
      <w:divBdr>
        <w:top w:val="none" w:sz="0" w:space="0" w:color="auto"/>
        <w:left w:val="none" w:sz="0" w:space="0" w:color="auto"/>
        <w:bottom w:val="none" w:sz="0" w:space="0" w:color="auto"/>
        <w:right w:val="none" w:sz="0" w:space="0" w:color="auto"/>
      </w:divBdr>
    </w:div>
    <w:div w:id="538082084">
      <w:marLeft w:val="0"/>
      <w:marRight w:val="0"/>
      <w:marTop w:val="0"/>
      <w:marBottom w:val="0"/>
      <w:divBdr>
        <w:top w:val="none" w:sz="0" w:space="0" w:color="auto"/>
        <w:left w:val="none" w:sz="0" w:space="0" w:color="auto"/>
        <w:bottom w:val="none" w:sz="0" w:space="0" w:color="auto"/>
        <w:right w:val="none" w:sz="0" w:space="0" w:color="auto"/>
      </w:divBdr>
    </w:div>
    <w:div w:id="538082085">
      <w:marLeft w:val="0"/>
      <w:marRight w:val="0"/>
      <w:marTop w:val="0"/>
      <w:marBottom w:val="0"/>
      <w:divBdr>
        <w:top w:val="none" w:sz="0" w:space="0" w:color="auto"/>
        <w:left w:val="none" w:sz="0" w:space="0" w:color="auto"/>
        <w:bottom w:val="none" w:sz="0" w:space="0" w:color="auto"/>
        <w:right w:val="none" w:sz="0" w:space="0" w:color="auto"/>
      </w:divBdr>
    </w:div>
    <w:div w:id="538082086">
      <w:marLeft w:val="0"/>
      <w:marRight w:val="0"/>
      <w:marTop w:val="0"/>
      <w:marBottom w:val="0"/>
      <w:divBdr>
        <w:top w:val="none" w:sz="0" w:space="0" w:color="auto"/>
        <w:left w:val="none" w:sz="0" w:space="0" w:color="auto"/>
        <w:bottom w:val="none" w:sz="0" w:space="0" w:color="auto"/>
        <w:right w:val="none" w:sz="0" w:space="0" w:color="auto"/>
      </w:divBdr>
    </w:div>
    <w:div w:id="538082087">
      <w:marLeft w:val="0"/>
      <w:marRight w:val="0"/>
      <w:marTop w:val="0"/>
      <w:marBottom w:val="0"/>
      <w:divBdr>
        <w:top w:val="none" w:sz="0" w:space="0" w:color="auto"/>
        <w:left w:val="none" w:sz="0" w:space="0" w:color="auto"/>
        <w:bottom w:val="none" w:sz="0" w:space="0" w:color="auto"/>
        <w:right w:val="none" w:sz="0" w:space="0" w:color="auto"/>
      </w:divBdr>
    </w:div>
    <w:div w:id="538082088">
      <w:marLeft w:val="0"/>
      <w:marRight w:val="0"/>
      <w:marTop w:val="0"/>
      <w:marBottom w:val="0"/>
      <w:divBdr>
        <w:top w:val="none" w:sz="0" w:space="0" w:color="auto"/>
        <w:left w:val="none" w:sz="0" w:space="0" w:color="auto"/>
        <w:bottom w:val="none" w:sz="0" w:space="0" w:color="auto"/>
        <w:right w:val="none" w:sz="0" w:space="0" w:color="auto"/>
      </w:divBdr>
    </w:div>
    <w:div w:id="538082089">
      <w:marLeft w:val="0"/>
      <w:marRight w:val="0"/>
      <w:marTop w:val="0"/>
      <w:marBottom w:val="0"/>
      <w:divBdr>
        <w:top w:val="none" w:sz="0" w:space="0" w:color="auto"/>
        <w:left w:val="none" w:sz="0" w:space="0" w:color="auto"/>
        <w:bottom w:val="none" w:sz="0" w:space="0" w:color="auto"/>
        <w:right w:val="none" w:sz="0" w:space="0" w:color="auto"/>
      </w:divBdr>
    </w:div>
    <w:div w:id="538082090">
      <w:marLeft w:val="0"/>
      <w:marRight w:val="0"/>
      <w:marTop w:val="0"/>
      <w:marBottom w:val="0"/>
      <w:divBdr>
        <w:top w:val="none" w:sz="0" w:space="0" w:color="auto"/>
        <w:left w:val="none" w:sz="0" w:space="0" w:color="auto"/>
        <w:bottom w:val="none" w:sz="0" w:space="0" w:color="auto"/>
        <w:right w:val="none" w:sz="0" w:space="0" w:color="auto"/>
      </w:divBdr>
    </w:div>
    <w:div w:id="538082091">
      <w:marLeft w:val="0"/>
      <w:marRight w:val="0"/>
      <w:marTop w:val="0"/>
      <w:marBottom w:val="0"/>
      <w:divBdr>
        <w:top w:val="none" w:sz="0" w:space="0" w:color="auto"/>
        <w:left w:val="none" w:sz="0" w:space="0" w:color="auto"/>
        <w:bottom w:val="none" w:sz="0" w:space="0" w:color="auto"/>
        <w:right w:val="none" w:sz="0" w:space="0" w:color="auto"/>
      </w:divBdr>
    </w:div>
    <w:div w:id="538082092">
      <w:marLeft w:val="0"/>
      <w:marRight w:val="0"/>
      <w:marTop w:val="0"/>
      <w:marBottom w:val="0"/>
      <w:divBdr>
        <w:top w:val="none" w:sz="0" w:space="0" w:color="auto"/>
        <w:left w:val="none" w:sz="0" w:space="0" w:color="auto"/>
        <w:bottom w:val="none" w:sz="0" w:space="0" w:color="auto"/>
        <w:right w:val="none" w:sz="0" w:space="0" w:color="auto"/>
      </w:divBdr>
    </w:div>
    <w:div w:id="538082093">
      <w:marLeft w:val="0"/>
      <w:marRight w:val="0"/>
      <w:marTop w:val="0"/>
      <w:marBottom w:val="0"/>
      <w:divBdr>
        <w:top w:val="none" w:sz="0" w:space="0" w:color="auto"/>
        <w:left w:val="none" w:sz="0" w:space="0" w:color="auto"/>
        <w:bottom w:val="none" w:sz="0" w:space="0" w:color="auto"/>
        <w:right w:val="none" w:sz="0" w:space="0" w:color="auto"/>
      </w:divBdr>
    </w:div>
    <w:div w:id="538082094">
      <w:marLeft w:val="0"/>
      <w:marRight w:val="0"/>
      <w:marTop w:val="0"/>
      <w:marBottom w:val="0"/>
      <w:divBdr>
        <w:top w:val="none" w:sz="0" w:space="0" w:color="auto"/>
        <w:left w:val="none" w:sz="0" w:space="0" w:color="auto"/>
        <w:bottom w:val="none" w:sz="0" w:space="0" w:color="auto"/>
        <w:right w:val="none" w:sz="0" w:space="0" w:color="auto"/>
      </w:divBdr>
    </w:div>
    <w:div w:id="538082095">
      <w:marLeft w:val="0"/>
      <w:marRight w:val="0"/>
      <w:marTop w:val="0"/>
      <w:marBottom w:val="0"/>
      <w:divBdr>
        <w:top w:val="none" w:sz="0" w:space="0" w:color="auto"/>
        <w:left w:val="none" w:sz="0" w:space="0" w:color="auto"/>
        <w:bottom w:val="none" w:sz="0" w:space="0" w:color="auto"/>
        <w:right w:val="none" w:sz="0" w:space="0" w:color="auto"/>
      </w:divBdr>
    </w:div>
    <w:div w:id="538082096">
      <w:marLeft w:val="0"/>
      <w:marRight w:val="0"/>
      <w:marTop w:val="0"/>
      <w:marBottom w:val="0"/>
      <w:divBdr>
        <w:top w:val="none" w:sz="0" w:space="0" w:color="auto"/>
        <w:left w:val="none" w:sz="0" w:space="0" w:color="auto"/>
        <w:bottom w:val="none" w:sz="0" w:space="0" w:color="auto"/>
        <w:right w:val="none" w:sz="0" w:space="0" w:color="auto"/>
      </w:divBdr>
    </w:div>
    <w:div w:id="538082097">
      <w:marLeft w:val="0"/>
      <w:marRight w:val="0"/>
      <w:marTop w:val="0"/>
      <w:marBottom w:val="0"/>
      <w:divBdr>
        <w:top w:val="none" w:sz="0" w:space="0" w:color="auto"/>
        <w:left w:val="none" w:sz="0" w:space="0" w:color="auto"/>
        <w:bottom w:val="none" w:sz="0" w:space="0" w:color="auto"/>
        <w:right w:val="none" w:sz="0" w:space="0" w:color="auto"/>
      </w:divBdr>
    </w:div>
    <w:div w:id="538082098">
      <w:marLeft w:val="0"/>
      <w:marRight w:val="0"/>
      <w:marTop w:val="0"/>
      <w:marBottom w:val="0"/>
      <w:divBdr>
        <w:top w:val="none" w:sz="0" w:space="0" w:color="auto"/>
        <w:left w:val="none" w:sz="0" w:space="0" w:color="auto"/>
        <w:bottom w:val="none" w:sz="0" w:space="0" w:color="auto"/>
        <w:right w:val="none" w:sz="0" w:space="0" w:color="auto"/>
      </w:divBdr>
    </w:div>
    <w:div w:id="538082099">
      <w:marLeft w:val="0"/>
      <w:marRight w:val="0"/>
      <w:marTop w:val="0"/>
      <w:marBottom w:val="0"/>
      <w:divBdr>
        <w:top w:val="none" w:sz="0" w:space="0" w:color="auto"/>
        <w:left w:val="none" w:sz="0" w:space="0" w:color="auto"/>
        <w:bottom w:val="none" w:sz="0" w:space="0" w:color="auto"/>
        <w:right w:val="none" w:sz="0" w:space="0" w:color="auto"/>
      </w:divBdr>
    </w:div>
    <w:div w:id="538082100">
      <w:marLeft w:val="0"/>
      <w:marRight w:val="0"/>
      <w:marTop w:val="0"/>
      <w:marBottom w:val="0"/>
      <w:divBdr>
        <w:top w:val="none" w:sz="0" w:space="0" w:color="auto"/>
        <w:left w:val="none" w:sz="0" w:space="0" w:color="auto"/>
        <w:bottom w:val="none" w:sz="0" w:space="0" w:color="auto"/>
        <w:right w:val="none" w:sz="0" w:space="0" w:color="auto"/>
      </w:divBdr>
    </w:div>
    <w:div w:id="538082101">
      <w:marLeft w:val="0"/>
      <w:marRight w:val="0"/>
      <w:marTop w:val="0"/>
      <w:marBottom w:val="0"/>
      <w:divBdr>
        <w:top w:val="none" w:sz="0" w:space="0" w:color="auto"/>
        <w:left w:val="none" w:sz="0" w:space="0" w:color="auto"/>
        <w:bottom w:val="none" w:sz="0" w:space="0" w:color="auto"/>
        <w:right w:val="none" w:sz="0" w:space="0" w:color="auto"/>
      </w:divBdr>
    </w:div>
    <w:div w:id="538082102">
      <w:marLeft w:val="0"/>
      <w:marRight w:val="0"/>
      <w:marTop w:val="0"/>
      <w:marBottom w:val="0"/>
      <w:divBdr>
        <w:top w:val="none" w:sz="0" w:space="0" w:color="auto"/>
        <w:left w:val="none" w:sz="0" w:space="0" w:color="auto"/>
        <w:bottom w:val="none" w:sz="0" w:space="0" w:color="auto"/>
        <w:right w:val="none" w:sz="0" w:space="0" w:color="auto"/>
      </w:divBdr>
    </w:div>
    <w:div w:id="538082103">
      <w:marLeft w:val="0"/>
      <w:marRight w:val="0"/>
      <w:marTop w:val="0"/>
      <w:marBottom w:val="0"/>
      <w:divBdr>
        <w:top w:val="none" w:sz="0" w:space="0" w:color="auto"/>
        <w:left w:val="none" w:sz="0" w:space="0" w:color="auto"/>
        <w:bottom w:val="none" w:sz="0" w:space="0" w:color="auto"/>
        <w:right w:val="none" w:sz="0" w:space="0" w:color="auto"/>
      </w:divBdr>
    </w:div>
    <w:div w:id="538082104">
      <w:marLeft w:val="0"/>
      <w:marRight w:val="0"/>
      <w:marTop w:val="0"/>
      <w:marBottom w:val="0"/>
      <w:divBdr>
        <w:top w:val="none" w:sz="0" w:space="0" w:color="auto"/>
        <w:left w:val="none" w:sz="0" w:space="0" w:color="auto"/>
        <w:bottom w:val="none" w:sz="0" w:space="0" w:color="auto"/>
        <w:right w:val="none" w:sz="0" w:space="0" w:color="auto"/>
      </w:divBdr>
    </w:div>
    <w:div w:id="538082105">
      <w:marLeft w:val="0"/>
      <w:marRight w:val="0"/>
      <w:marTop w:val="0"/>
      <w:marBottom w:val="0"/>
      <w:divBdr>
        <w:top w:val="none" w:sz="0" w:space="0" w:color="auto"/>
        <w:left w:val="none" w:sz="0" w:space="0" w:color="auto"/>
        <w:bottom w:val="none" w:sz="0" w:space="0" w:color="auto"/>
        <w:right w:val="none" w:sz="0" w:space="0" w:color="auto"/>
      </w:divBdr>
    </w:div>
    <w:div w:id="538082106">
      <w:marLeft w:val="0"/>
      <w:marRight w:val="0"/>
      <w:marTop w:val="0"/>
      <w:marBottom w:val="0"/>
      <w:divBdr>
        <w:top w:val="none" w:sz="0" w:space="0" w:color="auto"/>
        <w:left w:val="none" w:sz="0" w:space="0" w:color="auto"/>
        <w:bottom w:val="none" w:sz="0" w:space="0" w:color="auto"/>
        <w:right w:val="none" w:sz="0" w:space="0" w:color="auto"/>
      </w:divBdr>
    </w:div>
    <w:div w:id="538082107">
      <w:marLeft w:val="0"/>
      <w:marRight w:val="0"/>
      <w:marTop w:val="0"/>
      <w:marBottom w:val="0"/>
      <w:divBdr>
        <w:top w:val="none" w:sz="0" w:space="0" w:color="auto"/>
        <w:left w:val="none" w:sz="0" w:space="0" w:color="auto"/>
        <w:bottom w:val="none" w:sz="0" w:space="0" w:color="auto"/>
        <w:right w:val="none" w:sz="0" w:space="0" w:color="auto"/>
      </w:divBdr>
    </w:div>
    <w:div w:id="538082108">
      <w:marLeft w:val="0"/>
      <w:marRight w:val="0"/>
      <w:marTop w:val="0"/>
      <w:marBottom w:val="0"/>
      <w:divBdr>
        <w:top w:val="none" w:sz="0" w:space="0" w:color="auto"/>
        <w:left w:val="none" w:sz="0" w:space="0" w:color="auto"/>
        <w:bottom w:val="none" w:sz="0" w:space="0" w:color="auto"/>
        <w:right w:val="none" w:sz="0" w:space="0" w:color="auto"/>
      </w:divBdr>
    </w:div>
    <w:div w:id="538082109">
      <w:marLeft w:val="0"/>
      <w:marRight w:val="0"/>
      <w:marTop w:val="0"/>
      <w:marBottom w:val="0"/>
      <w:divBdr>
        <w:top w:val="none" w:sz="0" w:space="0" w:color="auto"/>
        <w:left w:val="none" w:sz="0" w:space="0" w:color="auto"/>
        <w:bottom w:val="none" w:sz="0" w:space="0" w:color="auto"/>
        <w:right w:val="none" w:sz="0" w:space="0" w:color="auto"/>
      </w:divBdr>
    </w:div>
    <w:div w:id="538082110">
      <w:marLeft w:val="0"/>
      <w:marRight w:val="0"/>
      <w:marTop w:val="0"/>
      <w:marBottom w:val="0"/>
      <w:divBdr>
        <w:top w:val="none" w:sz="0" w:space="0" w:color="auto"/>
        <w:left w:val="none" w:sz="0" w:space="0" w:color="auto"/>
        <w:bottom w:val="none" w:sz="0" w:space="0" w:color="auto"/>
        <w:right w:val="none" w:sz="0" w:space="0" w:color="auto"/>
      </w:divBdr>
    </w:div>
    <w:div w:id="538082111">
      <w:marLeft w:val="0"/>
      <w:marRight w:val="0"/>
      <w:marTop w:val="0"/>
      <w:marBottom w:val="0"/>
      <w:divBdr>
        <w:top w:val="none" w:sz="0" w:space="0" w:color="auto"/>
        <w:left w:val="none" w:sz="0" w:space="0" w:color="auto"/>
        <w:bottom w:val="none" w:sz="0" w:space="0" w:color="auto"/>
        <w:right w:val="none" w:sz="0" w:space="0" w:color="auto"/>
      </w:divBdr>
    </w:div>
    <w:div w:id="538082112">
      <w:marLeft w:val="0"/>
      <w:marRight w:val="0"/>
      <w:marTop w:val="0"/>
      <w:marBottom w:val="0"/>
      <w:divBdr>
        <w:top w:val="none" w:sz="0" w:space="0" w:color="auto"/>
        <w:left w:val="none" w:sz="0" w:space="0" w:color="auto"/>
        <w:bottom w:val="none" w:sz="0" w:space="0" w:color="auto"/>
        <w:right w:val="none" w:sz="0" w:space="0" w:color="auto"/>
      </w:divBdr>
    </w:div>
    <w:div w:id="538082113">
      <w:marLeft w:val="0"/>
      <w:marRight w:val="0"/>
      <w:marTop w:val="0"/>
      <w:marBottom w:val="0"/>
      <w:divBdr>
        <w:top w:val="none" w:sz="0" w:space="0" w:color="auto"/>
        <w:left w:val="none" w:sz="0" w:space="0" w:color="auto"/>
        <w:bottom w:val="none" w:sz="0" w:space="0" w:color="auto"/>
        <w:right w:val="none" w:sz="0" w:space="0" w:color="auto"/>
      </w:divBdr>
    </w:div>
    <w:div w:id="538082114">
      <w:marLeft w:val="0"/>
      <w:marRight w:val="0"/>
      <w:marTop w:val="0"/>
      <w:marBottom w:val="0"/>
      <w:divBdr>
        <w:top w:val="none" w:sz="0" w:space="0" w:color="auto"/>
        <w:left w:val="none" w:sz="0" w:space="0" w:color="auto"/>
        <w:bottom w:val="none" w:sz="0" w:space="0" w:color="auto"/>
        <w:right w:val="none" w:sz="0" w:space="0" w:color="auto"/>
      </w:divBdr>
    </w:div>
    <w:div w:id="538082115">
      <w:marLeft w:val="0"/>
      <w:marRight w:val="0"/>
      <w:marTop w:val="0"/>
      <w:marBottom w:val="0"/>
      <w:divBdr>
        <w:top w:val="none" w:sz="0" w:space="0" w:color="auto"/>
        <w:left w:val="none" w:sz="0" w:space="0" w:color="auto"/>
        <w:bottom w:val="none" w:sz="0" w:space="0" w:color="auto"/>
        <w:right w:val="none" w:sz="0" w:space="0" w:color="auto"/>
      </w:divBdr>
    </w:div>
    <w:div w:id="538082116">
      <w:marLeft w:val="0"/>
      <w:marRight w:val="0"/>
      <w:marTop w:val="0"/>
      <w:marBottom w:val="0"/>
      <w:divBdr>
        <w:top w:val="none" w:sz="0" w:space="0" w:color="auto"/>
        <w:left w:val="none" w:sz="0" w:space="0" w:color="auto"/>
        <w:bottom w:val="none" w:sz="0" w:space="0" w:color="auto"/>
        <w:right w:val="none" w:sz="0" w:space="0" w:color="auto"/>
      </w:divBdr>
    </w:div>
    <w:div w:id="538082117">
      <w:marLeft w:val="0"/>
      <w:marRight w:val="0"/>
      <w:marTop w:val="0"/>
      <w:marBottom w:val="0"/>
      <w:divBdr>
        <w:top w:val="none" w:sz="0" w:space="0" w:color="auto"/>
        <w:left w:val="none" w:sz="0" w:space="0" w:color="auto"/>
        <w:bottom w:val="none" w:sz="0" w:space="0" w:color="auto"/>
        <w:right w:val="none" w:sz="0" w:space="0" w:color="auto"/>
      </w:divBdr>
    </w:div>
    <w:div w:id="538082118">
      <w:marLeft w:val="0"/>
      <w:marRight w:val="0"/>
      <w:marTop w:val="0"/>
      <w:marBottom w:val="0"/>
      <w:divBdr>
        <w:top w:val="none" w:sz="0" w:space="0" w:color="auto"/>
        <w:left w:val="none" w:sz="0" w:space="0" w:color="auto"/>
        <w:bottom w:val="none" w:sz="0" w:space="0" w:color="auto"/>
        <w:right w:val="none" w:sz="0" w:space="0" w:color="auto"/>
      </w:divBdr>
    </w:div>
    <w:div w:id="538082119">
      <w:marLeft w:val="0"/>
      <w:marRight w:val="0"/>
      <w:marTop w:val="0"/>
      <w:marBottom w:val="0"/>
      <w:divBdr>
        <w:top w:val="none" w:sz="0" w:space="0" w:color="auto"/>
        <w:left w:val="none" w:sz="0" w:space="0" w:color="auto"/>
        <w:bottom w:val="none" w:sz="0" w:space="0" w:color="auto"/>
        <w:right w:val="none" w:sz="0" w:space="0" w:color="auto"/>
      </w:divBdr>
    </w:div>
    <w:div w:id="538082120">
      <w:marLeft w:val="0"/>
      <w:marRight w:val="0"/>
      <w:marTop w:val="0"/>
      <w:marBottom w:val="0"/>
      <w:divBdr>
        <w:top w:val="none" w:sz="0" w:space="0" w:color="auto"/>
        <w:left w:val="none" w:sz="0" w:space="0" w:color="auto"/>
        <w:bottom w:val="none" w:sz="0" w:space="0" w:color="auto"/>
        <w:right w:val="none" w:sz="0" w:space="0" w:color="auto"/>
      </w:divBdr>
    </w:div>
    <w:div w:id="538082121">
      <w:marLeft w:val="0"/>
      <w:marRight w:val="0"/>
      <w:marTop w:val="0"/>
      <w:marBottom w:val="0"/>
      <w:divBdr>
        <w:top w:val="none" w:sz="0" w:space="0" w:color="auto"/>
        <w:left w:val="none" w:sz="0" w:space="0" w:color="auto"/>
        <w:bottom w:val="none" w:sz="0" w:space="0" w:color="auto"/>
        <w:right w:val="none" w:sz="0" w:space="0" w:color="auto"/>
      </w:divBdr>
    </w:div>
    <w:div w:id="538082122">
      <w:marLeft w:val="0"/>
      <w:marRight w:val="0"/>
      <w:marTop w:val="0"/>
      <w:marBottom w:val="0"/>
      <w:divBdr>
        <w:top w:val="none" w:sz="0" w:space="0" w:color="auto"/>
        <w:left w:val="none" w:sz="0" w:space="0" w:color="auto"/>
        <w:bottom w:val="none" w:sz="0" w:space="0" w:color="auto"/>
        <w:right w:val="none" w:sz="0" w:space="0" w:color="auto"/>
      </w:divBdr>
    </w:div>
    <w:div w:id="538082123">
      <w:marLeft w:val="0"/>
      <w:marRight w:val="0"/>
      <w:marTop w:val="0"/>
      <w:marBottom w:val="0"/>
      <w:divBdr>
        <w:top w:val="none" w:sz="0" w:space="0" w:color="auto"/>
        <w:left w:val="none" w:sz="0" w:space="0" w:color="auto"/>
        <w:bottom w:val="none" w:sz="0" w:space="0" w:color="auto"/>
        <w:right w:val="none" w:sz="0" w:space="0" w:color="auto"/>
      </w:divBdr>
    </w:div>
    <w:div w:id="538082124">
      <w:marLeft w:val="0"/>
      <w:marRight w:val="0"/>
      <w:marTop w:val="0"/>
      <w:marBottom w:val="0"/>
      <w:divBdr>
        <w:top w:val="none" w:sz="0" w:space="0" w:color="auto"/>
        <w:left w:val="none" w:sz="0" w:space="0" w:color="auto"/>
        <w:bottom w:val="none" w:sz="0" w:space="0" w:color="auto"/>
        <w:right w:val="none" w:sz="0" w:space="0" w:color="auto"/>
      </w:divBdr>
    </w:div>
    <w:div w:id="538082125">
      <w:marLeft w:val="0"/>
      <w:marRight w:val="0"/>
      <w:marTop w:val="0"/>
      <w:marBottom w:val="0"/>
      <w:divBdr>
        <w:top w:val="none" w:sz="0" w:space="0" w:color="auto"/>
        <w:left w:val="none" w:sz="0" w:space="0" w:color="auto"/>
        <w:bottom w:val="none" w:sz="0" w:space="0" w:color="auto"/>
        <w:right w:val="none" w:sz="0" w:space="0" w:color="auto"/>
      </w:divBdr>
    </w:div>
    <w:div w:id="538082126">
      <w:marLeft w:val="0"/>
      <w:marRight w:val="0"/>
      <w:marTop w:val="0"/>
      <w:marBottom w:val="0"/>
      <w:divBdr>
        <w:top w:val="none" w:sz="0" w:space="0" w:color="auto"/>
        <w:left w:val="none" w:sz="0" w:space="0" w:color="auto"/>
        <w:bottom w:val="none" w:sz="0" w:space="0" w:color="auto"/>
        <w:right w:val="none" w:sz="0" w:space="0" w:color="auto"/>
      </w:divBdr>
    </w:div>
    <w:div w:id="538082127">
      <w:marLeft w:val="0"/>
      <w:marRight w:val="0"/>
      <w:marTop w:val="0"/>
      <w:marBottom w:val="0"/>
      <w:divBdr>
        <w:top w:val="none" w:sz="0" w:space="0" w:color="auto"/>
        <w:left w:val="none" w:sz="0" w:space="0" w:color="auto"/>
        <w:bottom w:val="none" w:sz="0" w:space="0" w:color="auto"/>
        <w:right w:val="none" w:sz="0" w:space="0" w:color="auto"/>
      </w:divBdr>
    </w:div>
    <w:div w:id="538082128">
      <w:marLeft w:val="0"/>
      <w:marRight w:val="0"/>
      <w:marTop w:val="0"/>
      <w:marBottom w:val="0"/>
      <w:divBdr>
        <w:top w:val="none" w:sz="0" w:space="0" w:color="auto"/>
        <w:left w:val="none" w:sz="0" w:space="0" w:color="auto"/>
        <w:bottom w:val="none" w:sz="0" w:space="0" w:color="auto"/>
        <w:right w:val="none" w:sz="0" w:space="0" w:color="auto"/>
      </w:divBdr>
    </w:div>
    <w:div w:id="538082129">
      <w:marLeft w:val="0"/>
      <w:marRight w:val="0"/>
      <w:marTop w:val="0"/>
      <w:marBottom w:val="0"/>
      <w:divBdr>
        <w:top w:val="none" w:sz="0" w:space="0" w:color="auto"/>
        <w:left w:val="none" w:sz="0" w:space="0" w:color="auto"/>
        <w:bottom w:val="none" w:sz="0" w:space="0" w:color="auto"/>
        <w:right w:val="none" w:sz="0" w:space="0" w:color="auto"/>
      </w:divBdr>
    </w:div>
    <w:div w:id="538082130">
      <w:marLeft w:val="0"/>
      <w:marRight w:val="0"/>
      <w:marTop w:val="0"/>
      <w:marBottom w:val="0"/>
      <w:divBdr>
        <w:top w:val="none" w:sz="0" w:space="0" w:color="auto"/>
        <w:left w:val="none" w:sz="0" w:space="0" w:color="auto"/>
        <w:bottom w:val="none" w:sz="0" w:space="0" w:color="auto"/>
        <w:right w:val="none" w:sz="0" w:space="0" w:color="auto"/>
      </w:divBdr>
    </w:div>
    <w:div w:id="538082131">
      <w:marLeft w:val="0"/>
      <w:marRight w:val="0"/>
      <w:marTop w:val="0"/>
      <w:marBottom w:val="0"/>
      <w:divBdr>
        <w:top w:val="none" w:sz="0" w:space="0" w:color="auto"/>
        <w:left w:val="none" w:sz="0" w:space="0" w:color="auto"/>
        <w:bottom w:val="none" w:sz="0" w:space="0" w:color="auto"/>
        <w:right w:val="none" w:sz="0" w:space="0" w:color="auto"/>
      </w:divBdr>
    </w:div>
    <w:div w:id="538082132">
      <w:marLeft w:val="0"/>
      <w:marRight w:val="0"/>
      <w:marTop w:val="0"/>
      <w:marBottom w:val="0"/>
      <w:divBdr>
        <w:top w:val="none" w:sz="0" w:space="0" w:color="auto"/>
        <w:left w:val="none" w:sz="0" w:space="0" w:color="auto"/>
        <w:bottom w:val="none" w:sz="0" w:space="0" w:color="auto"/>
        <w:right w:val="none" w:sz="0" w:space="0" w:color="auto"/>
      </w:divBdr>
    </w:div>
    <w:div w:id="538082133">
      <w:marLeft w:val="0"/>
      <w:marRight w:val="0"/>
      <w:marTop w:val="0"/>
      <w:marBottom w:val="0"/>
      <w:divBdr>
        <w:top w:val="none" w:sz="0" w:space="0" w:color="auto"/>
        <w:left w:val="none" w:sz="0" w:space="0" w:color="auto"/>
        <w:bottom w:val="none" w:sz="0" w:space="0" w:color="auto"/>
        <w:right w:val="none" w:sz="0" w:space="0" w:color="auto"/>
      </w:divBdr>
    </w:div>
    <w:div w:id="538082134">
      <w:marLeft w:val="0"/>
      <w:marRight w:val="0"/>
      <w:marTop w:val="0"/>
      <w:marBottom w:val="0"/>
      <w:divBdr>
        <w:top w:val="none" w:sz="0" w:space="0" w:color="auto"/>
        <w:left w:val="none" w:sz="0" w:space="0" w:color="auto"/>
        <w:bottom w:val="none" w:sz="0" w:space="0" w:color="auto"/>
        <w:right w:val="none" w:sz="0" w:space="0" w:color="auto"/>
      </w:divBdr>
    </w:div>
    <w:div w:id="538082135">
      <w:marLeft w:val="0"/>
      <w:marRight w:val="0"/>
      <w:marTop w:val="0"/>
      <w:marBottom w:val="0"/>
      <w:divBdr>
        <w:top w:val="none" w:sz="0" w:space="0" w:color="auto"/>
        <w:left w:val="none" w:sz="0" w:space="0" w:color="auto"/>
        <w:bottom w:val="none" w:sz="0" w:space="0" w:color="auto"/>
        <w:right w:val="none" w:sz="0" w:space="0" w:color="auto"/>
      </w:divBdr>
    </w:div>
    <w:div w:id="538082136">
      <w:marLeft w:val="0"/>
      <w:marRight w:val="0"/>
      <w:marTop w:val="0"/>
      <w:marBottom w:val="0"/>
      <w:divBdr>
        <w:top w:val="none" w:sz="0" w:space="0" w:color="auto"/>
        <w:left w:val="none" w:sz="0" w:space="0" w:color="auto"/>
        <w:bottom w:val="none" w:sz="0" w:space="0" w:color="auto"/>
        <w:right w:val="none" w:sz="0" w:space="0" w:color="auto"/>
      </w:divBdr>
    </w:div>
    <w:div w:id="538082137">
      <w:marLeft w:val="0"/>
      <w:marRight w:val="0"/>
      <w:marTop w:val="0"/>
      <w:marBottom w:val="0"/>
      <w:divBdr>
        <w:top w:val="none" w:sz="0" w:space="0" w:color="auto"/>
        <w:left w:val="none" w:sz="0" w:space="0" w:color="auto"/>
        <w:bottom w:val="none" w:sz="0" w:space="0" w:color="auto"/>
        <w:right w:val="none" w:sz="0" w:space="0" w:color="auto"/>
      </w:divBdr>
    </w:div>
    <w:div w:id="538082138">
      <w:marLeft w:val="0"/>
      <w:marRight w:val="0"/>
      <w:marTop w:val="0"/>
      <w:marBottom w:val="0"/>
      <w:divBdr>
        <w:top w:val="none" w:sz="0" w:space="0" w:color="auto"/>
        <w:left w:val="none" w:sz="0" w:space="0" w:color="auto"/>
        <w:bottom w:val="none" w:sz="0" w:space="0" w:color="auto"/>
        <w:right w:val="none" w:sz="0" w:space="0" w:color="auto"/>
      </w:divBdr>
    </w:div>
    <w:div w:id="538082139">
      <w:marLeft w:val="0"/>
      <w:marRight w:val="0"/>
      <w:marTop w:val="0"/>
      <w:marBottom w:val="0"/>
      <w:divBdr>
        <w:top w:val="none" w:sz="0" w:space="0" w:color="auto"/>
        <w:left w:val="none" w:sz="0" w:space="0" w:color="auto"/>
        <w:bottom w:val="none" w:sz="0" w:space="0" w:color="auto"/>
        <w:right w:val="none" w:sz="0" w:space="0" w:color="auto"/>
      </w:divBdr>
    </w:div>
    <w:div w:id="538082140">
      <w:marLeft w:val="0"/>
      <w:marRight w:val="0"/>
      <w:marTop w:val="0"/>
      <w:marBottom w:val="0"/>
      <w:divBdr>
        <w:top w:val="none" w:sz="0" w:space="0" w:color="auto"/>
        <w:left w:val="none" w:sz="0" w:space="0" w:color="auto"/>
        <w:bottom w:val="none" w:sz="0" w:space="0" w:color="auto"/>
        <w:right w:val="none" w:sz="0" w:space="0" w:color="auto"/>
      </w:divBdr>
    </w:div>
    <w:div w:id="538082141">
      <w:marLeft w:val="0"/>
      <w:marRight w:val="0"/>
      <w:marTop w:val="0"/>
      <w:marBottom w:val="0"/>
      <w:divBdr>
        <w:top w:val="none" w:sz="0" w:space="0" w:color="auto"/>
        <w:left w:val="none" w:sz="0" w:space="0" w:color="auto"/>
        <w:bottom w:val="none" w:sz="0" w:space="0" w:color="auto"/>
        <w:right w:val="none" w:sz="0" w:space="0" w:color="auto"/>
      </w:divBdr>
    </w:div>
    <w:div w:id="538082142">
      <w:marLeft w:val="0"/>
      <w:marRight w:val="0"/>
      <w:marTop w:val="0"/>
      <w:marBottom w:val="0"/>
      <w:divBdr>
        <w:top w:val="none" w:sz="0" w:space="0" w:color="auto"/>
        <w:left w:val="none" w:sz="0" w:space="0" w:color="auto"/>
        <w:bottom w:val="none" w:sz="0" w:space="0" w:color="auto"/>
        <w:right w:val="none" w:sz="0" w:space="0" w:color="auto"/>
      </w:divBdr>
    </w:div>
    <w:div w:id="538082143">
      <w:marLeft w:val="0"/>
      <w:marRight w:val="0"/>
      <w:marTop w:val="0"/>
      <w:marBottom w:val="0"/>
      <w:divBdr>
        <w:top w:val="none" w:sz="0" w:space="0" w:color="auto"/>
        <w:left w:val="none" w:sz="0" w:space="0" w:color="auto"/>
        <w:bottom w:val="none" w:sz="0" w:space="0" w:color="auto"/>
        <w:right w:val="none" w:sz="0" w:space="0" w:color="auto"/>
      </w:divBdr>
    </w:div>
    <w:div w:id="538082144">
      <w:marLeft w:val="0"/>
      <w:marRight w:val="0"/>
      <w:marTop w:val="0"/>
      <w:marBottom w:val="0"/>
      <w:divBdr>
        <w:top w:val="none" w:sz="0" w:space="0" w:color="auto"/>
        <w:left w:val="none" w:sz="0" w:space="0" w:color="auto"/>
        <w:bottom w:val="none" w:sz="0" w:space="0" w:color="auto"/>
        <w:right w:val="none" w:sz="0" w:space="0" w:color="auto"/>
      </w:divBdr>
    </w:div>
    <w:div w:id="538082145">
      <w:marLeft w:val="0"/>
      <w:marRight w:val="0"/>
      <w:marTop w:val="0"/>
      <w:marBottom w:val="0"/>
      <w:divBdr>
        <w:top w:val="none" w:sz="0" w:space="0" w:color="auto"/>
        <w:left w:val="none" w:sz="0" w:space="0" w:color="auto"/>
        <w:bottom w:val="none" w:sz="0" w:space="0" w:color="auto"/>
        <w:right w:val="none" w:sz="0" w:space="0" w:color="auto"/>
      </w:divBdr>
    </w:div>
    <w:div w:id="538082146">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header" Target="header5.xml"/><Relationship Id="rId3" Type="http://schemas.openxmlformats.org/officeDocument/2006/relationships/settings" Target="settings.xml"/><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header" Target="header1.xml"/><Relationship Id="rId12" Type="http://schemas.openxmlformats.org/officeDocument/2006/relationships/image" Target="media/image3.png"/><Relationship Id="rId17" Type="http://schemas.openxmlformats.org/officeDocument/2006/relationships/header" Target="header3.xml"/><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header" Target="header4.xm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image" Target="media/image1.png"/><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3334</TotalTime>
  <Pages>248</Pages>
  <Words>-32766</Words>
  <Characters>-32766</Characters>
  <Application>Microsoft Office Outlook</Application>
  <DocSecurity>0</DocSecurity>
  <Lines>0</Lines>
  <Paragraphs>0</Paragraphs>
  <ScaleCrop>false</ScaleCrop>
  <Company>MoBIL GROUP</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ООО «КОРПУС»</dc:title>
  <dc:subject/>
  <dc:creator>Admin</dc:creator>
  <cp:keywords/>
  <dc:description/>
  <cp:lastModifiedBy>Пользователь</cp:lastModifiedBy>
  <cp:revision>344</cp:revision>
  <dcterms:created xsi:type="dcterms:W3CDTF">2020-06-11T17:14:00Z</dcterms:created>
  <dcterms:modified xsi:type="dcterms:W3CDTF">2023-03-27T06:38:00Z</dcterms:modified>
</cp:coreProperties>
</file>